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6420" w14:textId="77777777" w:rsidR="00CE0C2D" w:rsidRDefault="00CE0C2D" w:rsidP="00CE0C2D">
      <w:pPr>
        <w:pStyle w:val="Portada1"/>
      </w:pPr>
      <w:r>
        <w:t>TRIBUNAL CONSTITUCIONAL</w:t>
      </w:r>
    </w:p>
    <w:p w14:paraId="47580363" w14:textId="32D77E84" w:rsidR="00A8138F" w:rsidRDefault="00A8138F" w:rsidP="00CE0C2D">
      <w:pPr>
        <w:pStyle w:val="Portada1"/>
      </w:pPr>
    </w:p>
    <w:p w14:paraId="32CBBD65" w14:textId="77777777" w:rsidR="00CE0C2D" w:rsidRDefault="00CE0C2D" w:rsidP="00CE0C2D">
      <w:pPr>
        <w:pStyle w:val="Portada2"/>
      </w:pPr>
      <w:r>
        <w:t>SECRETARÍA GENERAL</w:t>
      </w:r>
    </w:p>
    <w:p w14:paraId="3F2F7F6C" w14:textId="1C383165" w:rsidR="00CE0C2D" w:rsidRDefault="00CE0C2D" w:rsidP="00CE0C2D">
      <w:pPr>
        <w:pStyle w:val="Portada2"/>
      </w:pPr>
    </w:p>
    <w:p w14:paraId="67882E5E" w14:textId="77777777" w:rsidR="00CE0C2D" w:rsidRDefault="00CE0C2D" w:rsidP="00CE0C2D">
      <w:pPr>
        <w:pStyle w:val="Portada2"/>
      </w:pPr>
    </w:p>
    <w:p w14:paraId="1A0144F4" w14:textId="77777777" w:rsidR="00CE0C2D" w:rsidRDefault="00CE0C2D" w:rsidP="00CE0C2D">
      <w:pPr>
        <w:pStyle w:val="Portada2"/>
      </w:pPr>
    </w:p>
    <w:p w14:paraId="66017D60" w14:textId="77777777" w:rsidR="00CE0C2D" w:rsidRDefault="00CE0C2D" w:rsidP="00CE0C2D">
      <w:pPr>
        <w:pStyle w:val="Portada2"/>
      </w:pPr>
    </w:p>
    <w:p w14:paraId="730A27E8" w14:textId="77777777" w:rsidR="00CE0C2D" w:rsidRDefault="00CE0C2D" w:rsidP="00CE0C2D">
      <w:pPr>
        <w:pStyle w:val="Portada2"/>
      </w:pPr>
    </w:p>
    <w:p w14:paraId="7D2CFB9A" w14:textId="77777777" w:rsidR="00CE0C2D" w:rsidRDefault="00CE0C2D" w:rsidP="00CE0C2D">
      <w:pPr>
        <w:pStyle w:val="Portada2"/>
      </w:pPr>
    </w:p>
    <w:p w14:paraId="12E5D014" w14:textId="77777777" w:rsidR="00CE0C2D" w:rsidRDefault="00CE0C2D" w:rsidP="00CE0C2D">
      <w:pPr>
        <w:pStyle w:val="Portada2"/>
      </w:pPr>
    </w:p>
    <w:p w14:paraId="74DEE97A" w14:textId="77777777" w:rsidR="00CE0C2D" w:rsidRDefault="00CE0C2D" w:rsidP="00CE0C2D">
      <w:pPr>
        <w:pStyle w:val="Portada2"/>
      </w:pPr>
    </w:p>
    <w:p w14:paraId="78264AD5" w14:textId="77777777" w:rsidR="00CE0C2D" w:rsidRDefault="00CE0C2D" w:rsidP="00CE0C2D">
      <w:pPr>
        <w:pStyle w:val="PortadaPrincipal"/>
      </w:pPr>
      <w:r>
        <w:t>JURISPRUDENCIA</w:t>
      </w:r>
    </w:p>
    <w:p w14:paraId="698E65CC" w14:textId="77777777" w:rsidR="00CE0C2D" w:rsidRDefault="00CE0C2D" w:rsidP="00CE0C2D">
      <w:pPr>
        <w:pStyle w:val="PortadaPrincipal"/>
      </w:pPr>
      <w:r>
        <w:t>CONSTITUCIONAL</w:t>
      </w:r>
    </w:p>
    <w:p w14:paraId="77812E01" w14:textId="31CEE75B" w:rsidR="00CE0C2D" w:rsidRDefault="00CE0C2D" w:rsidP="00CE0C2D">
      <w:pPr>
        <w:pStyle w:val="PortadaPrincipal"/>
      </w:pPr>
    </w:p>
    <w:p w14:paraId="7B5F0961" w14:textId="77777777" w:rsidR="00CE0C2D" w:rsidRPr="00CE0C2D" w:rsidRDefault="00CE0C2D" w:rsidP="00CE0C2D">
      <w:pPr>
        <w:pStyle w:val="Portada1"/>
        <w:rPr>
          <w:b/>
        </w:rPr>
      </w:pPr>
      <w:r w:rsidRPr="00CE0C2D">
        <w:rPr>
          <w:b/>
        </w:rPr>
        <w:t>TOMO CENTÉSIMO DÉCIMO SEXTO</w:t>
      </w:r>
    </w:p>
    <w:p w14:paraId="259D7E01" w14:textId="77777777" w:rsidR="00CE0C2D" w:rsidRPr="00CE0C2D" w:rsidRDefault="00CE0C2D" w:rsidP="00CE0C2D">
      <w:pPr>
        <w:pStyle w:val="Portada1"/>
        <w:rPr>
          <w:b/>
        </w:rPr>
      </w:pPr>
      <w:r w:rsidRPr="00CE0C2D">
        <w:rPr>
          <w:b/>
        </w:rPr>
        <w:t>(enero - junio 2025)</w:t>
      </w:r>
    </w:p>
    <w:p w14:paraId="471109BC" w14:textId="73AF42AB" w:rsidR="00CE0C2D" w:rsidRDefault="00CE0C2D" w:rsidP="00CE0C2D">
      <w:pPr>
        <w:pStyle w:val="Portada1"/>
      </w:pPr>
    </w:p>
    <w:p w14:paraId="2879843E" w14:textId="77777777" w:rsidR="00CE0C2D" w:rsidRDefault="00CE0C2D" w:rsidP="00CE0C2D">
      <w:pPr>
        <w:pStyle w:val="Portada1"/>
      </w:pPr>
    </w:p>
    <w:p w14:paraId="34C5002F" w14:textId="77777777" w:rsidR="00CE0C2D" w:rsidRDefault="00CE0C2D" w:rsidP="00CE0C2D">
      <w:pPr>
        <w:pStyle w:val="Portada1"/>
      </w:pPr>
    </w:p>
    <w:p w14:paraId="427C12DF" w14:textId="21C1E95E" w:rsidR="00CE0C2D" w:rsidRDefault="00CE0C2D" w:rsidP="00CE0C2D">
      <w:pPr>
        <w:pStyle w:val="Portada1"/>
      </w:pPr>
      <w:r>
        <w:rPr>
          <w:noProof/>
          <w14:ligatures w14:val="standardContextual"/>
        </w:rPr>
        <w:drawing>
          <wp:inline distT="0" distB="0" distL="0" distR="0" wp14:anchorId="27227BAA" wp14:editId="1C9E80B1">
            <wp:extent cx="1047896" cy="1047896"/>
            <wp:effectExtent l="0" t="0" r="0" b="0"/>
            <wp:docPr id="590994508" name="Imagen 1"/>
            <wp:cNvGraphicFramePr/>
            <a:graphic xmlns:a="http://schemas.openxmlformats.org/drawingml/2006/main">
              <a:graphicData uri="http://schemas.openxmlformats.org/drawingml/2006/picture">
                <pic:pic xmlns:pic="http://schemas.openxmlformats.org/drawingml/2006/picture">
                  <pic:nvPicPr>
                    <pic:cNvPr id="590994508"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14:paraId="161E37F8" w14:textId="77777777" w:rsidR="00CE0C2D" w:rsidRDefault="00CE0C2D" w:rsidP="00CE0C2D">
      <w:pPr>
        <w:pStyle w:val="Portada1"/>
      </w:pPr>
    </w:p>
    <w:p w14:paraId="1C16C009" w14:textId="77777777" w:rsidR="00CE0C2D" w:rsidRDefault="00CE0C2D" w:rsidP="00CE0C2D">
      <w:pPr>
        <w:pStyle w:val="Portada1"/>
      </w:pPr>
    </w:p>
    <w:p w14:paraId="4BCC6B2F" w14:textId="77777777" w:rsidR="00CE0C2D" w:rsidRDefault="00CE0C2D" w:rsidP="00CE0C2D">
      <w:pPr>
        <w:pStyle w:val="Portada1"/>
      </w:pPr>
    </w:p>
    <w:p w14:paraId="28873C45" w14:textId="77777777" w:rsidR="00CE0C2D" w:rsidRDefault="00CE0C2D" w:rsidP="00CE0C2D">
      <w:pPr>
        <w:pStyle w:val="Portada1"/>
      </w:pPr>
    </w:p>
    <w:p w14:paraId="4C455ADB" w14:textId="77777777" w:rsidR="00CE0C2D" w:rsidRDefault="00CE0C2D" w:rsidP="00CE0C2D">
      <w:pPr>
        <w:pStyle w:val="Portada1"/>
      </w:pPr>
    </w:p>
    <w:p w14:paraId="35F0B82A" w14:textId="77777777" w:rsidR="00CE0C2D" w:rsidRDefault="00CE0C2D" w:rsidP="00CE0C2D">
      <w:pPr>
        <w:pStyle w:val="Portada2"/>
      </w:pPr>
      <w:r>
        <w:t>MADRID 2025</w:t>
      </w:r>
    </w:p>
    <w:p w14:paraId="4A97093E" w14:textId="6C28DE70" w:rsidR="00D50628" w:rsidRDefault="00D50628">
      <w:pPr>
        <w:spacing w:after="160" w:line="278"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14:paraId="6F414518" w14:textId="77777777" w:rsidR="00D50628" w:rsidRDefault="00D50628" w:rsidP="00D50628">
      <w:pPr>
        <w:pStyle w:val="CabeceraApartadoDerecha"/>
      </w:pPr>
      <w:r>
        <w:lastRenderedPageBreak/>
        <w:t>CONTENIDO</w:t>
      </w:r>
    </w:p>
    <w:p w14:paraId="042C0CCC" w14:textId="646419DE" w:rsidR="00A8138F" w:rsidRDefault="00A8138F" w:rsidP="00D50628">
      <w:pPr>
        <w:pStyle w:val="CabeceraApartadoDerecha"/>
      </w:pPr>
    </w:p>
    <w:p w14:paraId="61A4DB1E" w14:textId="2090A5CC" w:rsidR="00D50628" w:rsidRDefault="00D50628" w:rsidP="00D50628">
      <w:pPr>
        <w:pStyle w:val="EntradandiceSumario"/>
        <w:keepNext w:val="0"/>
      </w:pPr>
      <w:r>
        <w:t>1. SENTENCIAS: STC 1/2025 A STC 137/2025</w:t>
      </w:r>
      <w:r>
        <w:tab/>
      </w:r>
      <w:r>
        <w:tab/>
      </w:r>
      <w:r>
        <w:fldChar w:fldCharType="begin"/>
      </w:r>
      <w:r>
        <w:instrText xml:space="preserve"> PAGEREF SUMARIOSENTENCIAS \h </w:instrText>
      </w:r>
      <w:r>
        <w:fldChar w:fldCharType="separate"/>
      </w:r>
      <w:r>
        <w:rPr>
          <w:noProof/>
        </w:rPr>
        <w:t>3</w:t>
      </w:r>
      <w:r>
        <w:fldChar w:fldCharType="end"/>
      </w:r>
    </w:p>
    <w:p w14:paraId="1A52C05B" w14:textId="73AA26F1" w:rsidR="00D50628" w:rsidRDefault="00D50628" w:rsidP="00D50628">
      <w:pPr>
        <w:pStyle w:val="EntradandiceSumario"/>
        <w:keepNext w:val="0"/>
      </w:pPr>
    </w:p>
    <w:p w14:paraId="08277EB7" w14:textId="5D14434F" w:rsidR="00D50628" w:rsidRDefault="00D50628" w:rsidP="00D50628">
      <w:pPr>
        <w:pStyle w:val="EntradandiceSumario"/>
        <w:keepNext w:val="0"/>
      </w:pPr>
      <w:bookmarkStart w:id="0" w:name="SUMARIOSINDICES"/>
      <w:r>
        <w:t>2. AUTOS: ATC 1/2025 A ATC 67/2025</w:t>
      </w:r>
      <w:r>
        <w:tab/>
      </w:r>
      <w:r>
        <w:tab/>
      </w:r>
      <w:r>
        <w:fldChar w:fldCharType="begin"/>
      </w:r>
      <w:r>
        <w:instrText xml:space="preserve"> PAGEREF SUMARIOSAUTOS \h </w:instrText>
      </w:r>
      <w:r>
        <w:fldChar w:fldCharType="separate"/>
      </w:r>
      <w:r>
        <w:rPr>
          <w:noProof/>
        </w:rPr>
        <w:t>4</w:t>
      </w:r>
      <w:r>
        <w:fldChar w:fldCharType="end"/>
      </w:r>
    </w:p>
    <w:bookmarkEnd w:id="0"/>
    <w:p w14:paraId="6744FA8C" w14:textId="5C4CC4D1" w:rsidR="00D50628" w:rsidRDefault="00D50628" w:rsidP="00D50628">
      <w:pPr>
        <w:pStyle w:val="EntradandiceSumario"/>
        <w:keepNext w:val="0"/>
      </w:pPr>
    </w:p>
    <w:p w14:paraId="6BA7AC79" w14:textId="77777777" w:rsidR="00D50628" w:rsidRDefault="00D50628" w:rsidP="00D50628">
      <w:pPr>
        <w:pStyle w:val="EntradandiceSumario"/>
        <w:keepNext w:val="0"/>
      </w:pPr>
      <w:r>
        <w:t>3. ÍNDICE DE DISPOSICIONES CON FUERZA DE LEY IMPUGNADAS:</w:t>
      </w:r>
    </w:p>
    <w:p w14:paraId="0C028CEE" w14:textId="58E53178" w:rsidR="00D50628" w:rsidRDefault="00D50628" w:rsidP="00D50628">
      <w:pPr>
        <w:pStyle w:val="EntradandiceSumario"/>
        <w:keepNext w:val="0"/>
      </w:pPr>
    </w:p>
    <w:p w14:paraId="5C1B4FC3" w14:textId="6C0A3BC4" w:rsidR="00D50628" w:rsidRDefault="00D50628" w:rsidP="00D50628">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Pr>
          <w:noProof/>
        </w:rPr>
        <w:t>2858</w:t>
      </w:r>
      <w:r>
        <w:fldChar w:fldCharType="end"/>
      </w:r>
    </w:p>
    <w:p w14:paraId="653CB713" w14:textId="28F60BC1" w:rsidR="00D50628" w:rsidRDefault="00D50628" w:rsidP="00D50628">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Pr>
          <w:noProof/>
        </w:rPr>
        <w:t>2858</w:t>
      </w:r>
      <w:r>
        <w:fldChar w:fldCharType="end"/>
      </w:r>
    </w:p>
    <w:p w14:paraId="6A33AF6C" w14:textId="77777777" w:rsidR="00D50628" w:rsidRDefault="00D50628" w:rsidP="00D50628"/>
    <w:p w14:paraId="2A9002BA" w14:textId="77777777" w:rsidR="00D50628" w:rsidRDefault="00D50628" w:rsidP="00D50628">
      <w:pPr>
        <w:pStyle w:val="EntradandiceSumario"/>
        <w:keepNext w:val="0"/>
      </w:pPr>
      <w:r>
        <w:t>4. ÍNDICE DE DISPOSICIONES GENERALES Y RESOLUCIONES IMPUGNADAS:</w:t>
      </w:r>
    </w:p>
    <w:p w14:paraId="2155389B" w14:textId="5D69452F" w:rsidR="00D50628" w:rsidRDefault="00D50628" w:rsidP="00D50628">
      <w:pPr>
        <w:pStyle w:val="EntradandiceSumario"/>
        <w:keepNext w:val="0"/>
      </w:pPr>
    </w:p>
    <w:p w14:paraId="5B7D14D5" w14:textId="30D57738" w:rsidR="00D50628" w:rsidRDefault="00D50628" w:rsidP="00D50628">
      <w:pPr>
        <w:pStyle w:val="EntradandiceSumarioNivel2"/>
        <w:keepNext w:val="0"/>
      </w:pPr>
      <w:r>
        <w:t>A) Disposiciones del Estado</w:t>
      </w:r>
      <w:r>
        <w:tab/>
      </w:r>
      <w:r>
        <w:tab/>
      </w:r>
      <w:r>
        <w:fldChar w:fldCharType="begin"/>
      </w:r>
      <w:r>
        <w:instrText xml:space="preserve"> PAGEREF INDICE22803 \h </w:instrText>
      </w:r>
      <w:r>
        <w:fldChar w:fldCharType="separate"/>
      </w:r>
      <w:r>
        <w:rPr>
          <w:noProof/>
        </w:rPr>
        <w:t>2858</w:t>
      </w:r>
      <w:r>
        <w:fldChar w:fldCharType="end"/>
      </w:r>
    </w:p>
    <w:p w14:paraId="1CFCD8BB" w14:textId="50F699F3" w:rsidR="00D50628" w:rsidRDefault="00D50628" w:rsidP="00D50628">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Pr>
          <w:noProof/>
        </w:rPr>
        <w:t>2858</w:t>
      </w:r>
      <w:r>
        <w:fldChar w:fldCharType="end"/>
      </w:r>
    </w:p>
    <w:p w14:paraId="50711114" w14:textId="77777777" w:rsidR="00D50628" w:rsidRDefault="00D50628" w:rsidP="00D50628"/>
    <w:p w14:paraId="6602E8B4" w14:textId="77777777" w:rsidR="00D50628" w:rsidRDefault="00D50628" w:rsidP="00D50628">
      <w:pPr>
        <w:pStyle w:val="EntradandiceSumario"/>
        <w:keepNext w:val="0"/>
      </w:pPr>
      <w:r>
        <w:t>5. ÍNDICE DE DISPOSICIONES CITADAS:</w:t>
      </w:r>
    </w:p>
    <w:p w14:paraId="3C977A32" w14:textId="1A37B40C" w:rsidR="00D50628" w:rsidRDefault="00D50628" w:rsidP="00D50628">
      <w:pPr>
        <w:pStyle w:val="EntradandiceSumario"/>
        <w:keepNext w:val="0"/>
      </w:pPr>
    </w:p>
    <w:p w14:paraId="36F21965" w14:textId="13DBA2FD" w:rsidR="00D50628" w:rsidRDefault="00D50628" w:rsidP="00D50628">
      <w:pPr>
        <w:pStyle w:val="EntradandiceSumarioNivel2"/>
        <w:keepNext w:val="0"/>
      </w:pPr>
      <w:r>
        <w:t>A) Constitución</w:t>
      </w:r>
      <w:r>
        <w:tab/>
      </w:r>
      <w:r>
        <w:tab/>
      </w:r>
      <w:r>
        <w:fldChar w:fldCharType="begin"/>
      </w:r>
      <w:r>
        <w:instrText xml:space="preserve"> PAGEREF INDICE22804 \h </w:instrText>
      </w:r>
      <w:r>
        <w:fldChar w:fldCharType="separate"/>
      </w:r>
      <w:r>
        <w:rPr>
          <w:noProof/>
        </w:rPr>
        <w:t>2858</w:t>
      </w:r>
      <w:r>
        <w:fldChar w:fldCharType="end"/>
      </w:r>
    </w:p>
    <w:p w14:paraId="2C85F26E" w14:textId="1AED2D3E" w:rsidR="00D50628" w:rsidRDefault="00D50628" w:rsidP="00D50628">
      <w:pPr>
        <w:pStyle w:val="EntradandiceSumarioNivel2"/>
        <w:keepNext w:val="0"/>
      </w:pPr>
      <w:r>
        <w:t>B) Tribunal Constitucional</w:t>
      </w:r>
      <w:r>
        <w:tab/>
      </w:r>
      <w:r>
        <w:tab/>
      </w:r>
      <w:r>
        <w:fldChar w:fldCharType="begin"/>
      </w:r>
      <w:r>
        <w:instrText xml:space="preserve"> PAGEREF INDICE22843 \h </w:instrText>
      </w:r>
      <w:r>
        <w:fldChar w:fldCharType="separate"/>
      </w:r>
      <w:r>
        <w:rPr>
          <w:noProof/>
        </w:rPr>
        <w:t>2858</w:t>
      </w:r>
      <w:r>
        <w:fldChar w:fldCharType="end"/>
      </w:r>
    </w:p>
    <w:p w14:paraId="61717A41" w14:textId="0BC437E9" w:rsidR="00D50628" w:rsidRDefault="00D50628" w:rsidP="00D50628">
      <w:pPr>
        <w:pStyle w:val="EntradandiceSumarioNivel2"/>
        <w:keepNext w:val="0"/>
      </w:pPr>
      <w:r>
        <w:t>C) Cortes Generales</w:t>
      </w:r>
      <w:r>
        <w:tab/>
      </w:r>
      <w:r>
        <w:tab/>
      </w:r>
      <w:r>
        <w:fldChar w:fldCharType="begin"/>
      </w:r>
      <w:r>
        <w:instrText xml:space="preserve"> PAGEREF INDICE22844 \h </w:instrText>
      </w:r>
      <w:r>
        <w:fldChar w:fldCharType="separate"/>
      </w:r>
      <w:r>
        <w:rPr>
          <w:noProof/>
        </w:rPr>
        <w:t>2858</w:t>
      </w:r>
      <w:r>
        <w:fldChar w:fldCharType="end"/>
      </w:r>
    </w:p>
    <w:p w14:paraId="516552FD" w14:textId="3067C155" w:rsidR="00D50628" w:rsidRDefault="00D50628" w:rsidP="00D50628">
      <w:pPr>
        <w:pStyle w:val="EntradandiceSumarioNivel2"/>
        <w:keepNext w:val="0"/>
      </w:pPr>
      <w:r>
        <w:t>D) Leyes Orgánicas</w:t>
      </w:r>
      <w:r>
        <w:tab/>
      </w:r>
      <w:r>
        <w:tab/>
      </w:r>
      <w:r>
        <w:fldChar w:fldCharType="begin"/>
      </w:r>
      <w:r>
        <w:instrText xml:space="preserve"> PAGEREF INDICE22845 \h </w:instrText>
      </w:r>
      <w:r>
        <w:fldChar w:fldCharType="separate"/>
      </w:r>
      <w:r>
        <w:rPr>
          <w:noProof/>
        </w:rPr>
        <w:t>2858</w:t>
      </w:r>
      <w:r>
        <w:fldChar w:fldCharType="end"/>
      </w:r>
    </w:p>
    <w:p w14:paraId="5EAB807F" w14:textId="54F42D55" w:rsidR="00D50628" w:rsidRDefault="00D50628" w:rsidP="00D50628">
      <w:pPr>
        <w:pStyle w:val="EntradandiceSumarioNivel2"/>
        <w:keepNext w:val="0"/>
      </w:pPr>
      <w:r>
        <w:t>E) Leyes de las Cortes Generales</w:t>
      </w:r>
      <w:r>
        <w:tab/>
      </w:r>
      <w:r>
        <w:tab/>
      </w:r>
      <w:r>
        <w:fldChar w:fldCharType="begin"/>
      </w:r>
      <w:r>
        <w:instrText xml:space="preserve"> PAGEREF INDICE22846 \h </w:instrText>
      </w:r>
      <w:r>
        <w:fldChar w:fldCharType="separate"/>
      </w:r>
      <w:r>
        <w:rPr>
          <w:noProof/>
        </w:rPr>
        <w:t>2858</w:t>
      </w:r>
      <w:r>
        <w:fldChar w:fldCharType="end"/>
      </w:r>
    </w:p>
    <w:p w14:paraId="2788CA6B" w14:textId="4E756749" w:rsidR="00D50628" w:rsidRDefault="00D50628" w:rsidP="00D50628">
      <w:pPr>
        <w:pStyle w:val="EntradandiceSumarioNivel2"/>
        <w:keepNext w:val="0"/>
      </w:pPr>
      <w:r>
        <w:t>F) Reales Decretos Legislativos</w:t>
      </w:r>
      <w:r>
        <w:tab/>
      </w:r>
      <w:r>
        <w:tab/>
      </w:r>
      <w:r>
        <w:fldChar w:fldCharType="begin"/>
      </w:r>
      <w:r>
        <w:instrText xml:space="preserve"> PAGEREF INDICE22847 \h </w:instrText>
      </w:r>
      <w:r>
        <w:fldChar w:fldCharType="separate"/>
      </w:r>
      <w:r>
        <w:rPr>
          <w:noProof/>
        </w:rPr>
        <w:t>2858</w:t>
      </w:r>
      <w:r>
        <w:fldChar w:fldCharType="end"/>
      </w:r>
    </w:p>
    <w:p w14:paraId="273E939B" w14:textId="1C8C09BB" w:rsidR="00D50628" w:rsidRDefault="00D50628" w:rsidP="00D50628">
      <w:pPr>
        <w:pStyle w:val="EntradandiceSumarioNivel2"/>
        <w:keepNext w:val="0"/>
      </w:pPr>
      <w:r>
        <w:t>G) Reales Decretos-leyes</w:t>
      </w:r>
      <w:r>
        <w:tab/>
      </w:r>
      <w:r>
        <w:tab/>
      </w:r>
      <w:r>
        <w:fldChar w:fldCharType="begin"/>
      </w:r>
      <w:r>
        <w:instrText xml:space="preserve"> PAGEREF INDICE22848 \h </w:instrText>
      </w:r>
      <w:r>
        <w:fldChar w:fldCharType="separate"/>
      </w:r>
      <w:r>
        <w:rPr>
          <w:noProof/>
        </w:rPr>
        <w:t>2858</w:t>
      </w:r>
      <w:r>
        <w:fldChar w:fldCharType="end"/>
      </w:r>
    </w:p>
    <w:p w14:paraId="03539B9A" w14:textId="0C2EA331" w:rsidR="00D50628" w:rsidRDefault="00D50628" w:rsidP="00D50628">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Pr>
          <w:noProof/>
        </w:rPr>
        <w:t>2858</w:t>
      </w:r>
      <w:r>
        <w:fldChar w:fldCharType="end"/>
      </w:r>
    </w:p>
    <w:p w14:paraId="61E93F90" w14:textId="0A6607E5" w:rsidR="00D50628" w:rsidRDefault="00D50628" w:rsidP="00D50628">
      <w:pPr>
        <w:pStyle w:val="EntradandiceSumarioNivel2"/>
        <w:keepNext w:val="0"/>
      </w:pPr>
      <w:r>
        <w:t>I) Legislación preconstitucional</w:t>
      </w:r>
      <w:r>
        <w:tab/>
      </w:r>
      <w:r>
        <w:tab/>
      </w:r>
      <w:r>
        <w:fldChar w:fldCharType="begin"/>
      </w:r>
      <w:r>
        <w:instrText xml:space="preserve"> PAGEREF INDICE22850 \h </w:instrText>
      </w:r>
      <w:r>
        <w:fldChar w:fldCharType="separate"/>
      </w:r>
      <w:r>
        <w:rPr>
          <w:noProof/>
        </w:rPr>
        <w:t>2858</w:t>
      </w:r>
      <w:r>
        <w:fldChar w:fldCharType="end"/>
      </w:r>
    </w:p>
    <w:p w14:paraId="6CD2AF59" w14:textId="2CC5DD09" w:rsidR="00D50628" w:rsidRDefault="00D50628" w:rsidP="00D50628">
      <w:pPr>
        <w:pStyle w:val="EntradandiceSumarioNivel2"/>
        <w:keepNext w:val="0"/>
      </w:pPr>
      <w:r>
        <w:t>J) Comunidades y Ciudades Autónomas</w:t>
      </w:r>
      <w:r>
        <w:tab/>
      </w:r>
      <w:r>
        <w:tab/>
      </w:r>
      <w:r>
        <w:fldChar w:fldCharType="begin"/>
      </w:r>
      <w:r>
        <w:instrText xml:space="preserve"> PAGEREF INDICE22851 \h </w:instrText>
      </w:r>
      <w:r>
        <w:fldChar w:fldCharType="separate"/>
      </w:r>
      <w:r>
        <w:rPr>
          <w:noProof/>
        </w:rPr>
        <w:t>2858</w:t>
      </w:r>
      <w:r>
        <w:fldChar w:fldCharType="end"/>
      </w:r>
    </w:p>
    <w:p w14:paraId="740DF3E0" w14:textId="26AE6E1C" w:rsidR="00D50628" w:rsidRDefault="00D50628" w:rsidP="00D50628">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Pr>
          <w:noProof/>
        </w:rPr>
        <w:t>2858</w:t>
      </w:r>
      <w:r>
        <w:fldChar w:fldCharType="end"/>
      </w:r>
    </w:p>
    <w:p w14:paraId="0662A4E5" w14:textId="2B2938B4" w:rsidR="00D50628" w:rsidRDefault="00D50628" w:rsidP="00D50628">
      <w:pPr>
        <w:pStyle w:val="EntradandiceSumarioNivel2"/>
        <w:keepNext w:val="0"/>
      </w:pPr>
      <w:r>
        <w:t>L) Tratados y acuerdos internacionales</w:t>
      </w:r>
      <w:r>
        <w:tab/>
      </w:r>
      <w:r>
        <w:tab/>
      </w:r>
      <w:r>
        <w:fldChar w:fldCharType="begin"/>
      </w:r>
      <w:r>
        <w:instrText xml:space="preserve"> PAGEREF INDICE22870 \h </w:instrText>
      </w:r>
      <w:r>
        <w:fldChar w:fldCharType="separate"/>
      </w:r>
      <w:r>
        <w:rPr>
          <w:noProof/>
        </w:rPr>
        <w:t>2858</w:t>
      </w:r>
      <w:r>
        <w:fldChar w:fldCharType="end"/>
      </w:r>
    </w:p>
    <w:p w14:paraId="6505FCBD" w14:textId="767B42D1" w:rsidR="00D50628" w:rsidRDefault="00D50628" w:rsidP="00D50628">
      <w:pPr>
        <w:pStyle w:val="EntradandiceSumarioNivel2"/>
        <w:keepNext w:val="0"/>
      </w:pPr>
      <w:r>
        <w:t>M) Unión Europea</w:t>
      </w:r>
      <w:r>
        <w:tab/>
      </w:r>
      <w:r>
        <w:tab/>
      </w:r>
      <w:r>
        <w:fldChar w:fldCharType="begin"/>
      </w:r>
      <w:r>
        <w:instrText xml:space="preserve"> PAGEREF INDICE22871 \h </w:instrText>
      </w:r>
      <w:r>
        <w:fldChar w:fldCharType="separate"/>
      </w:r>
      <w:r>
        <w:rPr>
          <w:noProof/>
        </w:rPr>
        <w:t>2858</w:t>
      </w:r>
      <w:r>
        <w:fldChar w:fldCharType="end"/>
      </w:r>
    </w:p>
    <w:p w14:paraId="176500F2" w14:textId="5173EFC5" w:rsidR="00D50628" w:rsidRDefault="00D50628" w:rsidP="00D50628">
      <w:pPr>
        <w:pStyle w:val="EntradandiceSumarioNivel2"/>
        <w:keepNext w:val="0"/>
      </w:pPr>
      <w:r>
        <w:t>N) Consejo de Europa</w:t>
      </w:r>
      <w:r>
        <w:tab/>
      </w:r>
      <w:r>
        <w:tab/>
      </w:r>
      <w:r>
        <w:fldChar w:fldCharType="begin"/>
      </w:r>
      <w:r>
        <w:instrText xml:space="preserve"> PAGEREF INDICE27994 \h </w:instrText>
      </w:r>
      <w:r>
        <w:fldChar w:fldCharType="separate"/>
      </w:r>
      <w:r>
        <w:rPr>
          <w:noProof/>
        </w:rPr>
        <w:t>2858</w:t>
      </w:r>
      <w:r>
        <w:fldChar w:fldCharType="end"/>
      </w:r>
    </w:p>
    <w:p w14:paraId="003D788E" w14:textId="22E8F0DD" w:rsidR="00D50628" w:rsidRDefault="00D50628" w:rsidP="00D50628">
      <w:pPr>
        <w:pStyle w:val="EntradandiceSumarioNivel2"/>
        <w:keepNext w:val="0"/>
      </w:pPr>
      <w:r>
        <w:t>Ñ) Legislación extranjera</w:t>
      </w:r>
      <w:r>
        <w:tab/>
      </w:r>
      <w:r>
        <w:tab/>
      </w:r>
      <w:r>
        <w:fldChar w:fldCharType="begin"/>
      </w:r>
      <w:r>
        <w:instrText xml:space="preserve"> PAGEREF INDICE22872 \h </w:instrText>
      </w:r>
      <w:r>
        <w:fldChar w:fldCharType="separate"/>
      </w:r>
      <w:r>
        <w:rPr>
          <w:noProof/>
        </w:rPr>
        <w:t>2858</w:t>
      </w:r>
      <w:r>
        <w:fldChar w:fldCharType="end"/>
      </w:r>
    </w:p>
    <w:p w14:paraId="02DF5CDA" w14:textId="77777777" w:rsidR="00D50628" w:rsidRDefault="00D50628" w:rsidP="00D50628"/>
    <w:p w14:paraId="1B95864E" w14:textId="77777777" w:rsidR="00D50628" w:rsidRDefault="00D50628" w:rsidP="00D50628">
      <w:pPr>
        <w:pStyle w:val="EntradandiceSumario"/>
        <w:keepNext w:val="0"/>
      </w:pPr>
      <w:r>
        <w:t>6. ÍNDICE DE RESOLUCIONES DE OTROS TRIBUNALES CITADAS:</w:t>
      </w:r>
    </w:p>
    <w:p w14:paraId="38380E67" w14:textId="598D44CE" w:rsidR="00D50628" w:rsidRDefault="00D50628" w:rsidP="00D50628">
      <w:pPr>
        <w:pStyle w:val="EntradandiceSumario"/>
        <w:keepNext w:val="0"/>
      </w:pPr>
    </w:p>
    <w:p w14:paraId="430B5B22" w14:textId="3F306ABB" w:rsidR="00D50628" w:rsidRDefault="00D50628" w:rsidP="00D50628">
      <w:pPr>
        <w:pStyle w:val="EntradandiceSumarioNivel2"/>
        <w:keepNext w:val="0"/>
      </w:pPr>
      <w:r>
        <w:t>A) Tribunal Europeo de Derechos Humanos</w:t>
      </w:r>
      <w:r>
        <w:tab/>
      </w:r>
      <w:r>
        <w:tab/>
      </w:r>
      <w:r>
        <w:fldChar w:fldCharType="begin"/>
      </w:r>
      <w:r>
        <w:instrText xml:space="preserve"> PAGEREF INDICE22805 \h </w:instrText>
      </w:r>
      <w:r>
        <w:fldChar w:fldCharType="separate"/>
      </w:r>
      <w:r>
        <w:rPr>
          <w:noProof/>
        </w:rPr>
        <w:t>2858</w:t>
      </w:r>
      <w:r>
        <w:fldChar w:fldCharType="end"/>
      </w:r>
    </w:p>
    <w:p w14:paraId="5AAFBA4A" w14:textId="7882DBB5" w:rsidR="00D50628" w:rsidRDefault="00D50628" w:rsidP="00D50628">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Pr>
          <w:noProof/>
        </w:rPr>
        <w:t>2858</w:t>
      </w:r>
      <w:r>
        <w:fldChar w:fldCharType="end"/>
      </w:r>
    </w:p>
    <w:p w14:paraId="2C3DB657" w14:textId="09DAA0A3" w:rsidR="00D50628" w:rsidRDefault="00D50628" w:rsidP="00D50628">
      <w:pPr>
        <w:pStyle w:val="EntradandiceSumarioNivel2"/>
        <w:keepNext w:val="0"/>
      </w:pPr>
      <w:r>
        <w:t>C) Tribunal Supremo</w:t>
      </w:r>
      <w:r>
        <w:tab/>
      </w:r>
      <w:r>
        <w:tab/>
      </w:r>
      <w:r>
        <w:fldChar w:fldCharType="begin"/>
      </w:r>
      <w:r>
        <w:instrText xml:space="preserve"> PAGEREF INDICE22925 \h </w:instrText>
      </w:r>
      <w:r>
        <w:fldChar w:fldCharType="separate"/>
      </w:r>
      <w:r>
        <w:rPr>
          <w:noProof/>
        </w:rPr>
        <w:t>2858</w:t>
      </w:r>
      <w:r>
        <w:fldChar w:fldCharType="end"/>
      </w:r>
    </w:p>
    <w:p w14:paraId="59F708E5" w14:textId="00FA6328" w:rsidR="00D50628" w:rsidRDefault="00D50628" w:rsidP="00D50628">
      <w:pPr>
        <w:pStyle w:val="EntradandiceSumarioNivel2"/>
        <w:keepNext w:val="0"/>
      </w:pPr>
      <w:r>
        <w:t>D) Otros Tribunales</w:t>
      </w:r>
      <w:r>
        <w:tab/>
      </w:r>
      <w:r>
        <w:tab/>
      </w:r>
      <w:r>
        <w:fldChar w:fldCharType="begin"/>
      </w:r>
      <w:r>
        <w:instrText xml:space="preserve"> PAGEREF INDICE22926 \h </w:instrText>
      </w:r>
      <w:r>
        <w:fldChar w:fldCharType="separate"/>
      </w:r>
      <w:r>
        <w:rPr>
          <w:noProof/>
        </w:rPr>
        <w:t>2858</w:t>
      </w:r>
      <w:r>
        <w:fldChar w:fldCharType="end"/>
      </w:r>
    </w:p>
    <w:p w14:paraId="7F158C10" w14:textId="77777777" w:rsidR="00D50628" w:rsidRDefault="00D50628" w:rsidP="00D50628"/>
    <w:p w14:paraId="0B56404B" w14:textId="322F37B4" w:rsidR="00D50628" w:rsidRDefault="00D50628" w:rsidP="00D50628">
      <w:pPr>
        <w:pStyle w:val="EntradandiceSumario"/>
        <w:keepNext w:val="0"/>
      </w:pPr>
      <w:r>
        <w:t>7. ÍNDICE ANALÍTICO</w:t>
      </w:r>
      <w:r>
        <w:tab/>
      </w:r>
      <w:r>
        <w:tab/>
      </w:r>
      <w:r>
        <w:fldChar w:fldCharType="begin"/>
      </w:r>
      <w:r>
        <w:instrText xml:space="preserve"> PAGEREF INDICE5ALFABETICO \h </w:instrText>
      </w:r>
      <w:r>
        <w:fldChar w:fldCharType="separate"/>
      </w:r>
      <w:r>
        <w:rPr>
          <w:noProof/>
        </w:rPr>
        <w:t>2858</w:t>
      </w:r>
      <w:r>
        <w:fldChar w:fldCharType="end"/>
      </w:r>
    </w:p>
    <w:p w14:paraId="7AFB9E10" w14:textId="77777777" w:rsidR="00D50628" w:rsidRDefault="00D50628" w:rsidP="00D50628"/>
    <w:p w14:paraId="251BCDD2" w14:textId="2E6E24F4" w:rsidR="00D50628" w:rsidRDefault="00D50628" w:rsidP="00D50628">
      <w:pPr>
        <w:pStyle w:val="EntradandiceSumario"/>
        <w:keepNext w:val="0"/>
      </w:pPr>
      <w:r>
        <w:t>8. ABREVIATURAS Y ACRÓNIMOS</w:t>
      </w:r>
      <w:r>
        <w:tab/>
      </w:r>
      <w:r>
        <w:tab/>
      </w:r>
      <w:r>
        <w:fldChar w:fldCharType="begin"/>
      </w:r>
      <w:r>
        <w:instrText xml:space="preserve"> PAGEREF ACRONIMOS \h </w:instrText>
      </w:r>
      <w:r>
        <w:fldChar w:fldCharType="separate"/>
      </w:r>
      <w:r>
        <w:rPr>
          <w:noProof/>
        </w:rPr>
        <w:t>2858</w:t>
      </w:r>
      <w:r>
        <w:fldChar w:fldCharType="end"/>
      </w:r>
    </w:p>
    <w:p w14:paraId="2A4B0540" w14:textId="1B1520F9" w:rsidR="00D50628" w:rsidRDefault="00D50628">
      <w:pPr>
        <w:spacing w:after="160" w:line="278" w:lineRule="auto"/>
        <w:rPr>
          <w:rFonts w:ascii="Times New Roman" w:eastAsia="Times New Roman" w:hAnsi="Times New Roman" w:cs="Times New Roman"/>
          <w:sz w:val="24"/>
          <w:szCs w:val="24"/>
          <w:lang w:eastAsia="es-ES"/>
        </w:rPr>
      </w:pPr>
      <w:r>
        <w:br w:type="page"/>
      </w:r>
    </w:p>
    <w:p w14:paraId="149EB731" w14:textId="77777777" w:rsidR="00D50628" w:rsidRDefault="00D50628" w:rsidP="00D50628">
      <w:pPr>
        <w:pStyle w:val="EntradandiceSumario"/>
        <w:keepNext w:val="0"/>
      </w:pPr>
    </w:p>
    <w:p w14:paraId="1A417396" w14:textId="77777777" w:rsidR="00D50628" w:rsidRDefault="00D50628" w:rsidP="00D50628"/>
    <w:p w14:paraId="546C046D" w14:textId="77777777" w:rsidR="00D50628" w:rsidRDefault="00D50628" w:rsidP="00D50628"/>
    <w:p w14:paraId="247B37C7" w14:textId="77777777" w:rsidR="00D50628" w:rsidRDefault="00D50628" w:rsidP="00D50628">
      <w:pPr>
        <w:pStyle w:val="Ttulondice"/>
      </w:pPr>
      <w:bookmarkStart w:id="1" w:name="SUMARIOSENTENCIAS"/>
      <w:r>
        <w:t>1. SENTENCIAS: STC 1/2025 A STC 137/2025</w:t>
      </w:r>
    </w:p>
    <w:bookmarkEnd w:id="1"/>
    <w:p w14:paraId="43832248" w14:textId="18C6FA40" w:rsidR="00D50628" w:rsidRDefault="00D50628" w:rsidP="00D50628">
      <w:pPr>
        <w:pStyle w:val="Ttulondice"/>
      </w:pPr>
    </w:p>
    <w:p w14:paraId="70C4BF71" w14:textId="77777777" w:rsidR="00D50628" w:rsidRDefault="00D50628" w:rsidP="00D50628">
      <w:pPr>
        <w:pStyle w:val="Ttulondice"/>
      </w:pPr>
    </w:p>
    <w:p w14:paraId="2E754CD5" w14:textId="77777777" w:rsidR="00D50628" w:rsidRDefault="00D50628" w:rsidP="00D50628">
      <w:pPr>
        <w:pStyle w:val="Ttulondice"/>
      </w:pPr>
    </w:p>
    <w:p w14:paraId="4ECCBA42" w14:textId="77777777" w:rsidR="00D50628" w:rsidRDefault="00D50628" w:rsidP="00D50628">
      <w:pPr>
        <w:pStyle w:val="Ttulondice"/>
      </w:pPr>
    </w:p>
    <w:p w14:paraId="1F9213D0" w14:textId="77777777" w:rsidR="00D50628" w:rsidRDefault="00D50628" w:rsidP="00D50628">
      <w:pPr>
        <w:pStyle w:val="Ttulondice"/>
      </w:pPr>
    </w:p>
    <w:p w14:paraId="4C57593A" w14:textId="77777777" w:rsidR="00D50628" w:rsidRDefault="00D50628" w:rsidP="00D50628">
      <w:pPr>
        <w:pStyle w:val="Ttulondice"/>
      </w:pPr>
    </w:p>
    <w:p w14:paraId="17B3F544" w14:textId="77777777" w:rsidR="00D50628" w:rsidRDefault="00D50628" w:rsidP="00D50628">
      <w:pPr>
        <w:pStyle w:val="EntradandiceSentencia"/>
      </w:pPr>
      <w:r>
        <w:t>Sala Segunda. Sentencia 1/2025, de 13 de enero de 2025</w:t>
      </w:r>
    </w:p>
    <w:p w14:paraId="4E0AED04" w14:textId="1433864D" w:rsidR="00D50628" w:rsidRDefault="00D50628" w:rsidP="00D50628">
      <w:pPr>
        <w:pStyle w:val="EntradandiceSentencia"/>
      </w:pPr>
    </w:p>
    <w:p w14:paraId="322101ED" w14:textId="7330629A" w:rsidR="00D50628" w:rsidRDefault="00D50628" w:rsidP="00D50628">
      <w:pPr>
        <w:pStyle w:val="EntradaSumario"/>
      </w:pPr>
      <w:r w:rsidRPr="00D50628">
        <w:rPr>
          <w:rStyle w:val="TextoNormalCaracter"/>
        </w:rPr>
        <w:t xml:space="preserve">Recurso de amparo 1436-2022. </w:t>
      </w:r>
      <w:r w:rsidRPr="00D50628">
        <w:rPr>
          <w:rStyle w:val="TextoNormalCursivaCaracter"/>
        </w:rPr>
        <w:t xml:space="preserve"> Supuesta vulneración del derecho al honor: improcedencia de ponderar el derecho fundamental invocado con el derecho a la producción y creación literaria por referencia a un texto respecto del cual no puede concluirse que la recurrente haya servido de modelo de su protagonista.</w:t>
      </w:r>
      <w:r>
        <w:tab/>
      </w:r>
      <w:r>
        <w:tab/>
      </w:r>
      <w:r>
        <w:fldChar w:fldCharType="begin"/>
      </w:r>
      <w:r>
        <w:instrText xml:space="preserve"> PAGEREF SENTENCIA_2025_1 \h </w:instrText>
      </w:r>
      <w:r>
        <w:fldChar w:fldCharType="separate"/>
      </w:r>
      <w:r>
        <w:rPr>
          <w:noProof/>
        </w:rPr>
        <w:t>4</w:t>
      </w:r>
      <w:r>
        <w:fldChar w:fldCharType="end"/>
      </w:r>
    </w:p>
    <w:p w14:paraId="5942FDAF" w14:textId="77777777" w:rsidR="00A8138F" w:rsidRDefault="00A8138F" w:rsidP="00D50628"/>
    <w:p w14:paraId="0C75C3C9" w14:textId="77777777" w:rsidR="00D50628" w:rsidRDefault="00D50628" w:rsidP="00D50628">
      <w:pPr>
        <w:pStyle w:val="EntradandiceSentencia"/>
      </w:pPr>
      <w:r>
        <w:t>Sala Segunda. Sentencia 2/2025, de 13 de enero de 2025</w:t>
      </w:r>
    </w:p>
    <w:p w14:paraId="51195FC5" w14:textId="557BE10E" w:rsidR="00D50628" w:rsidRDefault="00D50628" w:rsidP="00D50628">
      <w:pPr>
        <w:pStyle w:val="EntradandiceSentencia"/>
      </w:pPr>
    </w:p>
    <w:p w14:paraId="2ED03AF9" w14:textId="18C1E209" w:rsidR="00D50628" w:rsidRDefault="00D50628" w:rsidP="00D50628">
      <w:pPr>
        <w:pStyle w:val="EntradaSumario"/>
      </w:pPr>
      <w:r w:rsidRPr="00D50628">
        <w:rPr>
          <w:rStyle w:val="TextoNormalCaracter"/>
        </w:rPr>
        <w:t xml:space="preserve">Recurso de amparo 5759-2022. </w:t>
      </w:r>
      <w:r w:rsidRPr="00D50628">
        <w:rPr>
          <w:rStyle w:val="TextoNormalCursivaCaracter"/>
        </w:rPr>
        <w:t xml:space="preserve"> Vulneración del derecho a la tutela judicial sin indefensión: emplazamiento mediante edictos sin agotar las posibilidades de notificación personal al administrador de la mercantil demandada (STC 12/2024).</w:t>
      </w:r>
      <w:r>
        <w:tab/>
      </w:r>
      <w:r>
        <w:tab/>
      </w:r>
      <w:r>
        <w:fldChar w:fldCharType="begin"/>
      </w:r>
      <w:r>
        <w:instrText xml:space="preserve"> PAGEREF SENTENCIA_2025_2 \h </w:instrText>
      </w:r>
      <w:r>
        <w:fldChar w:fldCharType="separate"/>
      </w:r>
      <w:r>
        <w:rPr>
          <w:noProof/>
        </w:rPr>
        <w:t>26</w:t>
      </w:r>
      <w:r>
        <w:fldChar w:fldCharType="end"/>
      </w:r>
    </w:p>
    <w:p w14:paraId="3D298B6D" w14:textId="77777777" w:rsidR="00D50628" w:rsidRDefault="00D50628" w:rsidP="00D50628"/>
    <w:p w14:paraId="5F29DDFC" w14:textId="77777777" w:rsidR="00D50628" w:rsidRDefault="00D50628" w:rsidP="00D50628">
      <w:pPr>
        <w:pStyle w:val="EntradandiceSentencia"/>
      </w:pPr>
      <w:r>
        <w:t>Sala Segunda. Sentencia 3/2025, de 13 de enero de 2025</w:t>
      </w:r>
    </w:p>
    <w:p w14:paraId="1953D8B7" w14:textId="40AD9B41" w:rsidR="00D50628" w:rsidRDefault="00D50628" w:rsidP="00D50628">
      <w:pPr>
        <w:pStyle w:val="EntradandiceSentencia"/>
      </w:pPr>
    </w:p>
    <w:p w14:paraId="28C30EB5" w14:textId="390BC8F2" w:rsidR="00D50628" w:rsidRDefault="00D50628" w:rsidP="00D50628">
      <w:pPr>
        <w:pStyle w:val="EntradaSumario"/>
      </w:pPr>
      <w:r w:rsidRPr="00D50628">
        <w:rPr>
          <w:rStyle w:val="TextoNormalCaracter"/>
        </w:rPr>
        <w:t xml:space="preserve">Recurso de amparo 6751-2022. </w:t>
      </w:r>
      <w:r w:rsidRPr="00D50628">
        <w:rPr>
          <w:rStyle w:val="TextoNormalCursivaCaracter"/>
        </w:rPr>
        <w:t xml:space="preserve"> Vulneración del derecho a la libertad personal: resoluciones judiciales que limitaron desproporcionadamente el derecho puesto que no incluyó los días de detención policial en el cómputo del plazo máximo inicial de la prisión provisional.</w:t>
      </w:r>
      <w:r>
        <w:tab/>
      </w:r>
      <w:r>
        <w:tab/>
      </w:r>
      <w:r>
        <w:fldChar w:fldCharType="begin"/>
      </w:r>
      <w:r>
        <w:instrText xml:space="preserve"> PAGEREF SENTENCIA_2025_3 \h </w:instrText>
      </w:r>
      <w:r>
        <w:fldChar w:fldCharType="separate"/>
      </w:r>
      <w:r>
        <w:rPr>
          <w:noProof/>
        </w:rPr>
        <w:t>37</w:t>
      </w:r>
      <w:r>
        <w:fldChar w:fldCharType="end"/>
      </w:r>
    </w:p>
    <w:p w14:paraId="33915963" w14:textId="77777777" w:rsidR="00D50628" w:rsidRDefault="00D50628" w:rsidP="00D50628"/>
    <w:p w14:paraId="1AF053AE" w14:textId="77777777" w:rsidR="00D50628" w:rsidRDefault="00D50628" w:rsidP="00D50628">
      <w:pPr>
        <w:pStyle w:val="EntradandiceSentencia"/>
      </w:pPr>
      <w:r>
        <w:t>Sala Primera. Sentencia 4/2025, de 13 de enero de 2025</w:t>
      </w:r>
    </w:p>
    <w:p w14:paraId="45F07F02" w14:textId="36454838" w:rsidR="00D50628" w:rsidRDefault="00D50628" w:rsidP="00D50628">
      <w:pPr>
        <w:pStyle w:val="EntradandiceSentencia"/>
      </w:pPr>
    </w:p>
    <w:p w14:paraId="37E4D7EE" w14:textId="7906C800" w:rsidR="00D50628" w:rsidRDefault="00D50628" w:rsidP="00D50628">
      <w:pPr>
        <w:pStyle w:val="EntradaSumario"/>
      </w:pPr>
      <w:r w:rsidRPr="00D50628">
        <w:rPr>
          <w:rStyle w:val="TextoNormalCaracter"/>
        </w:rPr>
        <w:t xml:space="preserve">Recurso de amparo 4631-2023. </w:t>
      </w:r>
      <w:r w:rsidRPr="00D50628">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w:t>
      </w:r>
      <w:r w:rsidRPr="00D50628">
        <w:rPr>
          <w:rStyle w:val="TextoNormalCursivaCaracter"/>
        </w:rPr>
        <w:lastRenderedPageBreak/>
        <w:t>parentales, trabajadoras por cuenta ajena, puedan ampliar su permiso por nacimiento disfrutando del permiso que correspondería al otro progenitor, caso de existir.</w:t>
      </w:r>
      <w:r>
        <w:tab/>
      </w:r>
      <w:r>
        <w:tab/>
      </w:r>
      <w:r>
        <w:fldChar w:fldCharType="begin"/>
      </w:r>
      <w:r>
        <w:instrText xml:space="preserve"> PAGEREF SENTENCIA_2025_4 \h </w:instrText>
      </w:r>
      <w:r>
        <w:fldChar w:fldCharType="separate"/>
      </w:r>
      <w:r>
        <w:rPr>
          <w:noProof/>
        </w:rPr>
        <w:t>50</w:t>
      </w:r>
      <w:r>
        <w:fldChar w:fldCharType="end"/>
      </w:r>
    </w:p>
    <w:p w14:paraId="2D8C45A4" w14:textId="77777777" w:rsidR="00D50628" w:rsidRDefault="00D50628" w:rsidP="00D50628"/>
    <w:p w14:paraId="03A60194" w14:textId="77777777" w:rsidR="00D50628" w:rsidRDefault="00D50628" w:rsidP="00D50628">
      <w:pPr>
        <w:pStyle w:val="EntradandiceSentencia"/>
      </w:pPr>
      <w:r>
        <w:t>Sala Segunda. Sentencia 5/2025, de 13 de enero de 2025</w:t>
      </w:r>
    </w:p>
    <w:p w14:paraId="385FBA84" w14:textId="4B833571" w:rsidR="00D50628" w:rsidRDefault="00D50628" w:rsidP="00D50628">
      <w:pPr>
        <w:pStyle w:val="EntradandiceSentencia"/>
      </w:pPr>
    </w:p>
    <w:p w14:paraId="179FBBE2" w14:textId="1C69C8FC" w:rsidR="00D50628" w:rsidRDefault="00D50628" w:rsidP="00D50628">
      <w:pPr>
        <w:pStyle w:val="EntradaSumario"/>
      </w:pPr>
      <w:r w:rsidRPr="00D50628">
        <w:rPr>
          <w:rStyle w:val="TextoNormalCaracter"/>
        </w:rPr>
        <w:t xml:space="preserve">Recurso de amparo 7107-2023.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SENTENCIA_2025_5 \h </w:instrText>
      </w:r>
      <w:r>
        <w:fldChar w:fldCharType="separate"/>
      </w:r>
      <w:r>
        <w:rPr>
          <w:noProof/>
        </w:rPr>
        <w:t>59</w:t>
      </w:r>
      <w:r>
        <w:fldChar w:fldCharType="end"/>
      </w:r>
    </w:p>
    <w:p w14:paraId="07A89B55" w14:textId="77777777" w:rsidR="00D50628" w:rsidRDefault="00D50628" w:rsidP="00D50628"/>
    <w:p w14:paraId="7D0E1189" w14:textId="77777777" w:rsidR="00D50628" w:rsidRDefault="00D50628" w:rsidP="00D50628">
      <w:pPr>
        <w:pStyle w:val="EntradandiceSentencia"/>
      </w:pPr>
      <w:r>
        <w:t>Sala Primera. Sentencia 6/2025, de 13 de enero de 2025</w:t>
      </w:r>
    </w:p>
    <w:p w14:paraId="7DC11BA4" w14:textId="744E5B36" w:rsidR="00D50628" w:rsidRDefault="00D50628" w:rsidP="00D50628">
      <w:pPr>
        <w:pStyle w:val="EntradandiceSentencia"/>
      </w:pPr>
    </w:p>
    <w:p w14:paraId="74E44B70" w14:textId="192AA1B5" w:rsidR="00D50628" w:rsidRDefault="00D50628" w:rsidP="00D50628">
      <w:pPr>
        <w:pStyle w:val="EntradaSumario"/>
      </w:pPr>
      <w:r w:rsidRPr="00D50628">
        <w:rPr>
          <w:rStyle w:val="TextoNormalCaracter"/>
        </w:rPr>
        <w:t xml:space="preserve">Recurso de amparo 644-2024. </w:t>
      </w:r>
      <w:r w:rsidRPr="00D50628">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SENTENCIA_2025_6 \h </w:instrText>
      </w:r>
      <w:r>
        <w:fldChar w:fldCharType="separate"/>
      </w:r>
      <w:r>
        <w:rPr>
          <w:noProof/>
        </w:rPr>
        <w:t>65</w:t>
      </w:r>
      <w:r>
        <w:fldChar w:fldCharType="end"/>
      </w:r>
    </w:p>
    <w:p w14:paraId="7F7C3400" w14:textId="77777777" w:rsidR="00D50628" w:rsidRDefault="00D50628" w:rsidP="00D50628"/>
    <w:p w14:paraId="07F3ECE8" w14:textId="77777777" w:rsidR="00D50628" w:rsidRDefault="00D50628" w:rsidP="00D50628">
      <w:pPr>
        <w:pStyle w:val="EntradandiceSentencia"/>
      </w:pPr>
      <w:r>
        <w:t>Sala Segunda. Sentencia 7/2025, de 13 de enero de 2025</w:t>
      </w:r>
    </w:p>
    <w:p w14:paraId="33C88870" w14:textId="2F270B94" w:rsidR="00D50628" w:rsidRDefault="00D50628" w:rsidP="00D50628">
      <w:pPr>
        <w:pStyle w:val="EntradandiceSentencia"/>
      </w:pPr>
    </w:p>
    <w:p w14:paraId="149580C1" w14:textId="401FEBF9" w:rsidR="00D50628" w:rsidRDefault="00D50628" w:rsidP="00D50628">
      <w:pPr>
        <w:pStyle w:val="EntradaSumario"/>
      </w:pPr>
      <w:r w:rsidRPr="00D50628">
        <w:rPr>
          <w:rStyle w:val="TextoNormalCaracter"/>
        </w:rPr>
        <w:t xml:space="preserve">Recurso de amparo 943-2024.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 \h </w:instrText>
      </w:r>
      <w:r>
        <w:fldChar w:fldCharType="separate"/>
      </w:r>
      <w:r>
        <w:rPr>
          <w:noProof/>
        </w:rPr>
        <w:t>80</w:t>
      </w:r>
      <w:r>
        <w:fldChar w:fldCharType="end"/>
      </w:r>
    </w:p>
    <w:p w14:paraId="023CFF72" w14:textId="77777777" w:rsidR="00D50628" w:rsidRDefault="00D50628" w:rsidP="00D50628"/>
    <w:p w14:paraId="5FB2CAE0" w14:textId="77777777" w:rsidR="00D50628" w:rsidRDefault="00D50628" w:rsidP="00D50628">
      <w:pPr>
        <w:pStyle w:val="EntradandiceSentencia"/>
      </w:pPr>
      <w:r>
        <w:t>Sala Segunda. Sentencia 8/2025, de 13 de enero de 2025</w:t>
      </w:r>
    </w:p>
    <w:p w14:paraId="3CC004A0" w14:textId="2D7E41E5" w:rsidR="00D50628" w:rsidRDefault="00D50628" w:rsidP="00D50628">
      <w:pPr>
        <w:pStyle w:val="EntradandiceSentencia"/>
      </w:pPr>
    </w:p>
    <w:p w14:paraId="70A4CD40" w14:textId="2A393B85" w:rsidR="00D50628" w:rsidRDefault="00D50628" w:rsidP="00D50628">
      <w:pPr>
        <w:pStyle w:val="EntradaSumario"/>
      </w:pPr>
      <w:r w:rsidRPr="00D50628">
        <w:rPr>
          <w:rStyle w:val="TextoNormalCaracter"/>
        </w:rPr>
        <w:t xml:space="preserve">Recurso de amparo 1969-2024. </w:t>
      </w:r>
      <w:r w:rsidRPr="00D50628">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SENTENCIA_2025_8 \h </w:instrText>
      </w:r>
      <w:r>
        <w:fldChar w:fldCharType="separate"/>
      </w:r>
      <w:r>
        <w:rPr>
          <w:noProof/>
        </w:rPr>
        <w:t>88</w:t>
      </w:r>
      <w:r>
        <w:fldChar w:fldCharType="end"/>
      </w:r>
    </w:p>
    <w:p w14:paraId="28297BDB" w14:textId="77777777" w:rsidR="00D50628" w:rsidRDefault="00D50628" w:rsidP="00D50628"/>
    <w:p w14:paraId="6349ECF1" w14:textId="77777777" w:rsidR="00D50628" w:rsidRDefault="00D50628" w:rsidP="00D50628">
      <w:pPr>
        <w:pStyle w:val="EntradandiceSentencia"/>
      </w:pPr>
      <w:r>
        <w:t>Sala Primera. Sentencia 9/2025, de 13 de enero de 2025</w:t>
      </w:r>
    </w:p>
    <w:p w14:paraId="0709ED54" w14:textId="22E26BAF" w:rsidR="00D50628" w:rsidRDefault="00D50628" w:rsidP="00D50628">
      <w:pPr>
        <w:pStyle w:val="EntradandiceSentencia"/>
      </w:pPr>
    </w:p>
    <w:p w14:paraId="7E9E734C" w14:textId="3DD6C5F9" w:rsidR="00D50628" w:rsidRDefault="00D50628" w:rsidP="00D50628">
      <w:pPr>
        <w:pStyle w:val="EntradaSumario"/>
      </w:pPr>
      <w:r w:rsidRPr="00D50628">
        <w:rPr>
          <w:rStyle w:val="TextoNormalCaracter"/>
        </w:rPr>
        <w:t xml:space="preserve">Recurso de amparo 2016-2024. </w:t>
      </w:r>
      <w:r w:rsidRPr="00D50628">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SENTENCIA_2025_9 \h </w:instrText>
      </w:r>
      <w:r>
        <w:fldChar w:fldCharType="separate"/>
      </w:r>
      <w:r>
        <w:rPr>
          <w:noProof/>
        </w:rPr>
        <w:t>102</w:t>
      </w:r>
      <w:r>
        <w:fldChar w:fldCharType="end"/>
      </w:r>
    </w:p>
    <w:p w14:paraId="3DDA7EB2" w14:textId="77777777" w:rsidR="00D50628" w:rsidRDefault="00D50628" w:rsidP="00D50628"/>
    <w:p w14:paraId="27C353B4" w14:textId="77777777" w:rsidR="00D50628" w:rsidRDefault="00D50628" w:rsidP="00D50628">
      <w:pPr>
        <w:pStyle w:val="EntradandiceSentencia"/>
      </w:pPr>
      <w:r>
        <w:t>Sala Primera. Sentencia 10/2025, de 13 de enero de 2025</w:t>
      </w:r>
    </w:p>
    <w:p w14:paraId="29A2162F" w14:textId="4A39D593" w:rsidR="00D50628" w:rsidRDefault="00D50628" w:rsidP="00D50628">
      <w:pPr>
        <w:pStyle w:val="EntradandiceSentencia"/>
      </w:pPr>
    </w:p>
    <w:p w14:paraId="65885A4A" w14:textId="07EC9548" w:rsidR="00D50628" w:rsidRDefault="00D50628" w:rsidP="00D50628">
      <w:pPr>
        <w:pStyle w:val="EntradaSumario"/>
      </w:pPr>
      <w:r w:rsidRPr="00D50628">
        <w:rPr>
          <w:rStyle w:val="TextoNormalCaracter"/>
        </w:rPr>
        <w:t xml:space="preserve">Recurso de amparo 2306-2024. </w:t>
      </w:r>
      <w:r w:rsidRPr="00D50628">
        <w:rPr>
          <w:rStyle w:val="TextoNormalCursivaCaracter"/>
        </w:rPr>
        <w:t xml:space="preserve"> 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SENTENCIA_2025_10 \h </w:instrText>
      </w:r>
      <w:r>
        <w:fldChar w:fldCharType="separate"/>
      </w:r>
      <w:r>
        <w:rPr>
          <w:noProof/>
        </w:rPr>
        <w:t>111</w:t>
      </w:r>
      <w:r>
        <w:fldChar w:fldCharType="end"/>
      </w:r>
    </w:p>
    <w:p w14:paraId="2DF8F658" w14:textId="77777777" w:rsidR="00D50628" w:rsidRDefault="00D50628" w:rsidP="00D50628"/>
    <w:p w14:paraId="6BA8F2B8" w14:textId="77777777" w:rsidR="00D50628" w:rsidRDefault="00D50628" w:rsidP="00D50628">
      <w:pPr>
        <w:pStyle w:val="EntradandiceSentencia"/>
      </w:pPr>
      <w:r>
        <w:t>Sala Primera. Sentencia 11/2025, de 13 de enero de 2025</w:t>
      </w:r>
    </w:p>
    <w:p w14:paraId="7E99723B" w14:textId="5FC03472" w:rsidR="00D50628" w:rsidRDefault="00D50628" w:rsidP="00D50628">
      <w:pPr>
        <w:pStyle w:val="EntradandiceSentencia"/>
      </w:pPr>
    </w:p>
    <w:p w14:paraId="4F361886" w14:textId="000B5B5A" w:rsidR="00D50628" w:rsidRDefault="00D50628" w:rsidP="00D50628">
      <w:pPr>
        <w:pStyle w:val="EntradaSumario"/>
      </w:pPr>
      <w:r w:rsidRPr="00D50628">
        <w:rPr>
          <w:rStyle w:val="TextoNormalCaracter"/>
        </w:rPr>
        <w:t xml:space="preserve">Recurso de amparo 3143-2024. </w:t>
      </w:r>
      <w:r w:rsidRPr="00D50628">
        <w:rPr>
          <w:rStyle w:val="TextoNormalCursivaCaracter"/>
        </w:rPr>
        <w:t xml:space="preserve"> Alegada vulneración del derecho a no padecer discriminación: inadmisión del recurso de amparo extemporáneamente interpuesto.</w:t>
      </w:r>
      <w:r>
        <w:tab/>
      </w:r>
      <w:r>
        <w:tab/>
      </w:r>
      <w:r>
        <w:fldChar w:fldCharType="begin"/>
      </w:r>
      <w:r>
        <w:instrText xml:space="preserve"> PAGEREF SENTENCIA_2025_11 \h </w:instrText>
      </w:r>
      <w:r>
        <w:fldChar w:fldCharType="separate"/>
      </w:r>
      <w:r>
        <w:rPr>
          <w:noProof/>
        </w:rPr>
        <w:t>119</w:t>
      </w:r>
      <w:r>
        <w:fldChar w:fldCharType="end"/>
      </w:r>
    </w:p>
    <w:p w14:paraId="2F99B526" w14:textId="77777777" w:rsidR="00D50628" w:rsidRDefault="00D50628" w:rsidP="00D50628"/>
    <w:p w14:paraId="7CF50A01" w14:textId="77777777" w:rsidR="00D50628" w:rsidRDefault="00D50628" w:rsidP="00D50628">
      <w:pPr>
        <w:pStyle w:val="EntradandiceSentencia"/>
      </w:pPr>
      <w:r>
        <w:t>Pleno. Sentencia 12/2025, de 15 de enero de 2025</w:t>
      </w:r>
    </w:p>
    <w:p w14:paraId="3F0E55CF" w14:textId="23FEB1BB" w:rsidR="00D50628" w:rsidRDefault="00D50628" w:rsidP="00D50628">
      <w:pPr>
        <w:pStyle w:val="EntradandiceSentencia"/>
      </w:pPr>
    </w:p>
    <w:p w14:paraId="2E47FEEA" w14:textId="257D1BEC" w:rsidR="00D50628" w:rsidRDefault="00D50628" w:rsidP="00D50628">
      <w:pPr>
        <w:pStyle w:val="EntradaSumario"/>
      </w:pPr>
      <w:r w:rsidRPr="00D50628">
        <w:rPr>
          <w:rStyle w:val="TextoNormalCaracter"/>
        </w:rPr>
        <w:t xml:space="preserve">Cuestión interna de inconstitucionalidad 6596-2021. </w:t>
      </w:r>
      <w:r w:rsidRPr="00D50628">
        <w:rPr>
          <w:rStyle w:val="TextoNormalCursivaCaracter"/>
        </w:rPr>
        <w:t xml:space="preserve"> Derecho a la tutela judicial efectiva y monopolio de jurisdicción: interpretación conforme de los preceptos legales que atribuyen a los letrados de la administración de justicia la potestad de corregir a abogados y procuradores, que exclusivamente puede ejercerse en las actuaciones que se celebren ante ellos en las dependencias de la oficina judicial. Votos particulares.</w:t>
      </w:r>
      <w:r>
        <w:tab/>
      </w:r>
      <w:r>
        <w:tab/>
      </w:r>
      <w:r>
        <w:fldChar w:fldCharType="begin"/>
      </w:r>
      <w:r>
        <w:instrText xml:space="preserve"> PAGEREF SENTENCIA_2025_12 \h </w:instrText>
      </w:r>
      <w:r>
        <w:fldChar w:fldCharType="separate"/>
      </w:r>
      <w:r>
        <w:rPr>
          <w:noProof/>
        </w:rPr>
        <w:t>127</w:t>
      </w:r>
      <w:r>
        <w:fldChar w:fldCharType="end"/>
      </w:r>
    </w:p>
    <w:p w14:paraId="642C2E68" w14:textId="77777777" w:rsidR="00D50628" w:rsidRDefault="00D50628" w:rsidP="00D50628"/>
    <w:p w14:paraId="2DA30B0C" w14:textId="77777777" w:rsidR="00D50628" w:rsidRDefault="00D50628" w:rsidP="00D50628">
      <w:pPr>
        <w:pStyle w:val="EntradandiceSentencia"/>
      </w:pPr>
      <w:r>
        <w:t>Sala Segunda. Sentencia 13/2025, de 27 de enero de 2025</w:t>
      </w:r>
    </w:p>
    <w:p w14:paraId="36EB49B4" w14:textId="7B775FCC" w:rsidR="00D50628" w:rsidRDefault="00D50628" w:rsidP="00D50628">
      <w:pPr>
        <w:pStyle w:val="EntradandiceSentencia"/>
      </w:pPr>
    </w:p>
    <w:p w14:paraId="4C9143DD" w14:textId="0F570800" w:rsidR="00D50628" w:rsidRDefault="00D50628" w:rsidP="00D50628">
      <w:pPr>
        <w:pStyle w:val="EntradaSumario"/>
      </w:pPr>
      <w:r w:rsidRPr="00D50628">
        <w:rPr>
          <w:rStyle w:val="TextoNormalCaracter"/>
        </w:rPr>
        <w:t xml:space="preserve">Recurso de amparo 4986-2016. </w:t>
      </w:r>
      <w:r w:rsidRPr="00D50628">
        <w:rPr>
          <w:rStyle w:val="TextoNormalCursivaCaracter"/>
        </w:rPr>
        <w:t xml:space="preserve"> Vulneración del derecho al juez ordinario predeterminado por la ley: acuerdos correctores adoptados en un ámbito, como son </w:t>
      </w:r>
      <w:r w:rsidRPr="00D50628">
        <w:rPr>
          <w:rStyle w:val="TextoNormalCursivaCaracter"/>
        </w:rPr>
        <w:lastRenderedPageBreak/>
        <w:t>las manifestaciones vertidas en escritos procesales, ajeno a la potestad disciplinaria de los letrados de la administración de justicia (STC 12/2025).</w:t>
      </w:r>
      <w:r>
        <w:tab/>
      </w:r>
      <w:r>
        <w:tab/>
      </w:r>
      <w:r>
        <w:fldChar w:fldCharType="begin"/>
      </w:r>
      <w:r>
        <w:instrText xml:space="preserve"> PAGEREF SENTENCIA_2025_13 \h </w:instrText>
      </w:r>
      <w:r>
        <w:fldChar w:fldCharType="separate"/>
      </w:r>
      <w:r>
        <w:rPr>
          <w:noProof/>
        </w:rPr>
        <w:t>157</w:t>
      </w:r>
      <w:r>
        <w:fldChar w:fldCharType="end"/>
      </w:r>
    </w:p>
    <w:p w14:paraId="41E5368B" w14:textId="77777777" w:rsidR="00D50628" w:rsidRDefault="00D50628" w:rsidP="00D50628"/>
    <w:p w14:paraId="16F7CC7A" w14:textId="77777777" w:rsidR="00D50628" w:rsidRDefault="00D50628" w:rsidP="00D50628">
      <w:pPr>
        <w:pStyle w:val="EntradandiceSentencia"/>
      </w:pPr>
      <w:r>
        <w:t>Sala Segunda. Sentencia 14/2025, de 27 de enero de 2025</w:t>
      </w:r>
    </w:p>
    <w:p w14:paraId="0B7D8FC2" w14:textId="6B00C0F8" w:rsidR="00D50628" w:rsidRDefault="00D50628" w:rsidP="00D50628">
      <w:pPr>
        <w:pStyle w:val="EntradandiceSentencia"/>
      </w:pPr>
    </w:p>
    <w:p w14:paraId="64BCA616" w14:textId="150CEEAF" w:rsidR="00D50628" w:rsidRDefault="00D50628" w:rsidP="00D50628">
      <w:pPr>
        <w:pStyle w:val="EntradaSumario"/>
      </w:pPr>
      <w:r w:rsidRPr="00D50628">
        <w:rPr>
          <w:rStyle w:val="TextoNormalCaracter"/>
        </w:rPr>
        <w:t xml:space="preserve">Recurso de amparo 230-2022. </w:t>
      </w:r>
      <w:r w:rsidRPr="00D50628">
        <w:rPr>
          <w:rStyle w:val="TextoNormalCursivaCaracter"/>
        </w:rPr>
        <w:t xml:space="preserve"> Supuesta vulneración del derecho al ejercicio del cargo representativo: resoluciones parlamentarias relativas a los derechos o facultades de un diputado no adscrito (STC 159/2019). Voto particular.</w:t>
      </w:r>
      <w:r>
        <w:tab/>
      </w:r>
      <w:r>
        <w:tab/>
      </w:r>
      <w:r>
        <w:fldChar w:fldCharType="begin"/>
      </w:r>
      <w:r>
        <w:instrText xml:space="preserve"> PAGEREF SENTENCIA_2025_14 \h </w:instrText>
      </w:r>
      <w:r>
        <w:fldChar w:fldCharType="separate"/>
      </w:r>
      <w:r>
        <w:rPr>
          <w:noProof/>
        </w:rPr>
        <w:t>170</w:t>
      </w:r>
      <w:r>
        <w:fldChar w:fldCharType="end"/>
      </w:r>
    </w:p>
    <w:p w14:paraId="2438C5FC" w14:textId="77777777" w:rsidR="00D50628" w:rsidRDefault="00D50628" w:rsidP="00D50628"/>
    <w:p w14:paraId="10848C98" w14:textId="77777777" w:rsidR="00D50628" w:rsidRDefault="00D50628" w:rsidP="00D50628">
      <w:pPr>
        <w:pStyle w:val="EntradandiceSentencia"/>
      </w:pPr>
      <w:r>
        <w:t>Sala Segunda. Sentencia 15/2025, de 27 de enero de 2025</w:t>
      </w:r>
    </w:p>
    <w:p w14:paraId="01020F7A" w14:textId="47187670" w:rsidR="00D50628" w:rsidRDefault="00D50628" w:rsidP="00D50628">
      <w:pPr>
        <w:pStyle w:val="EntradandiceSentencia"/>
      </w:pPr>
    </w:p>
    <w:p w14:paraId="0C5AEF59" w14:textId="6859CC0F" w:rsidR="00D50628" w:rsidRDefault="00D50628" w:rsidP="00D50628">
      <w:pPr>
        <w:pStyle w:val="EntradaSumario"/>
      </w:pPr>
      <w:r w:rsidRPr="00D50628">
        <w:rPr>
          <w:rStyle w:val="TextoNormalCaracter"/>
        </w:rPr>
        <w:t xml:space="preserve">Recurso de amparo 2970-2022. </w:t>
      </w:r>
      <w:r w:rsidRPr="00D50628">
        <w:rPr>
          <w:rStyle w:val="TextoNormalCursivaCaracter"/>
        </w:rPr>
        <w:t xml:space="preserve"> Supuesta vulneración del derecho al ejercicio del cargo representativo: resoluciones parlamentarias relativas a los derechos o facultades de un diputado no adscrito (STC 159/2019). Voto particular.</w:t>
      </w:r>
      <w:r>
        <w:tab/>
      </w:r>
      <w:r>
        <w:tab/>
      </w:r>
      <w:r>
        <w:fldChar w:fldCharType="begin"/>
      </w:r>
      <w:r>
        <w:instrText xml:space="preserve"> PAGEREF SENTENCIA_2025_15 \h </w:instrText>
      </w:r>
      <w:r>
        <w:fldChar w:fldCharType="separate"/>
      </w:r>
      <w:r>
        <w:rPr>
          <w:noProof/>
        </w:rPr>
        <w:t>206</w:t>
      </w:r>
      <w:r>
        <w:fldChar w:fldCharType="end"/>
      </w:r>
    </w:p>
    <w:p w14:paraId="27A3E7E9" w14:textId="77777777" w:rsidR="00D50628" w:rsidRDefault="00D50628" w:rsidP="00D50628"/>
    <w:p w14:paraId="4F623618" w14:textId="77777777" w:rsidR="00D50628" w:rsidRDefault="00D50628" w:rsidP="00D50628">
      <w:pPr>
        <w:pStyle w:val="EntradandiceSentencia"/>
      </w:pPr>
      <w:r>
        <w:t>Sala Segunda. Sentencia 16/2025, de 27 de enero de 2025</w:t>
      </w:r>
    </w:p>
    <w:p w14:paraId="0CA4A928" w14:textId="23FA2B77" w:rsidR="00D50628" w:rsidRDefault="00D50628" w:rsidP="00D50628">
      <w:pPr>
        <w:pStyle w:val="EntradandiceSentencia"/>
      </w:pPr>
    </w:p>
    <w:p w14:paraId="2F321351" w14:textId="1F43FD12" w:rsidR="00D50628" w:rsidRDefault="00D50628" w:rsidP="00D50628">
      <w:pPr>
        <w:pStyle w:val="EntradaSumario"/>
      </w:pPr>
      <w:r w:rsidRPr="00D50628">
        <w:rPr>
          <w:rStyle w:val="TextoNormalCaracter"/>
        </w:rPr>
        <w:t xml:space="preserve">Recurso de amparo 4594-2023. </w:t>
      </w:r>
      <w:r w:rsidRPr="00D50628">
        <w:rPr>
          <w:rStyle w:val="TextoNormalCursivaCaracter"/>
        </w:rPr>
        <w:t xml:space="preserve"> Vulneración del derecho a la tutela judicial sin indefensión: inadmisión de un incidente de nulidad de actuaciones fundada en la procedencia del recurso de casación y extraordinario por infracción procesal (STC 143/2020).</w:t>
      </w:r>
      <w:r>
        <w:tab/>
      </w:r>
      <w:r>
        <w:tab/>
      </w:r>
      <w:r>
        <w:fldChar w:fldCharType="begin"/>
      </w:r>
      <w:r>
        <w:instrText xml:space="preserve"> PAGEREF SENTENCIA_2025_16 \h </w:instrText>
      </w:r>
      <w:r>
        <w:fldChar w:fldCharType="separate"/>
      </w:r>
      <w:r>
        <w:rPr>
          <w:noProof/>
        </w:rPr>
        <w:t>228</w:t>
      </w:r>
      <w:r>
        <w:fldChar w:fldCharType="end"/>
      </w:r>
    </w:p>
    <w:p w14:paraId="4943FBD5" w14:textId="77777777" w:rsidR="00D50628" w:rsidRDefault="00D50628" w:rsidP="00D50628"/>
    <w:p w14:paraId="3A417E90" w14:textId="77777777" w:rsidR="00D50628" w:rsidRDefault="00D50628" w:rsidP="00D50628">
      <w:pPr>
        <w:pStyle w:val="EntradandiceSentencia"/>
      </w:pPr>
      <w:r>
        <w:t>Sala Segunda. Sentencia 17/2025, de 27 de enero de 2025</w:t>
      </w:r>
    </w:p>
    <w:p w14:paraId="61C8813B" w14:textId="6412A499" w:rsidR="00D50628" w:rsidRDefault="00D50628" w:rsidP="00D50628">
      <w:pPr>
        <w:pStyle w:val="EntradandiceSentencia"/>
      </w:pPr>
    </w:p>
    <w:p w14:paraId="63A8B5AB" w14:textId="3A27DBCC" w:rsidR="00D50628" w:rsidRDefault="00D50628" w:rsidP="00D50628">
      <w:pPr>
        <w:pStyle w:val="EntradaSumario"/>
      </w:pPr>
      <w:r w:rsidRPr="00D50628">
        <w:rPr>
          <w:rStyle w:val="TextoNormalCaracter"/>
        </w:rPr>
        <w:t xml:space="preserve">Recurso de amparo 4828-2023.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SENTENCIA_2025_17 \h </w:instrText>
      </w:r>
      <w:r>
        <w:fldChar w:fldCharType="separate"/>
      </w:r>
      <w:r>
        <w:rPr>
          <w:noProof/>
        </w:rPr>
        <w:t>237</w:t>
      </w:r>
      <w:r>
        <w:fldChar w:fldCharType="end"/>
      </w:r>
    </w:p>
    <w:p w14:paraId="21475520" w14:textId="77777777" w:rsidR="00D50628" w:rsidRDefault="00D50628" w:rsidP="00D50628"/>
    <w:p w14:paraId="2B7043AC" w14:textId="77777777" w:rsidR="00D50628" w:rsidRDefault="00D50628" w:rsidP="00D50628">
      <w:pPr>
        <w:pStyle w:val="EntradandiceSentencia"/>
      </w:pPr>
      <w:r>
        <w:t>Sala Segunda. Sentencia 18/2025, de 27 de enero de 2025</w:t>
      </w:r>
    </w:p>
    <w:p w14:paraId="68F2A1BA" w14:textId="3F333B21" w:rsidR="00D50628" w:rsidRDefault="00D50628" w:rsidP="00D50628">
      <w:pPr>
        <w:pStyle w:val="EntradandiceSentencia"/>
      </w:pPr>
    </w:p>
    <w:p w14:paraId="7142E751" w14:textId="67238A53" w:rsidR="00D50628" w:rsidRDefault="00D50628" w:rsidP="00D50628">
      <w:pPr>
        <w:pStyle w:val="EntradaSumario"/>
      </w:pPr>
      <w:r w:rsidRPr="00D50628">
        <w:rPr>
          <w:rStyle w:val="TextoNormalCaracter"/>
        </w:rPr>
        <w:t xml:space="preserve">Recurso de amparo 5743-2023.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SENTENCIA_2025_18 \h </w:instrText>
      </w:r>
      <w:r>
        <w:fldChar w:fldCharType="separate"/>
      </w:r>
      <w:r>
        <w:rPr>
          <w:noProof/>
        </w:rPr>
        <w:t>243</w:t>
      </w:r>
      <w:r>
        <w:fldChar w:fldCharType="end"/>
      </w:r>
    </w:p>
    <w:p w14:paraId="1B25B6AB" w14:textId="77777777" w:rsidR="00D50628" w:rsidRDefault="00D50628" w:rsidP="00D50628"/>
    <w:p w14:paraId="51033A14" w14:textId="77777777" w:rsidR="00D50628" w:rsidRDefault="00D50628" w:rsidP="00D50628">
      <w:pPr>
        <w:pStyle w:val="EntradandiceSentencia"/>
      </w:pPr>
      <w:r>
        <w:lastRenderedPageBreak/>
        <w:t>Sala Segunda. Sentencia 19/2025, de 27 de enero de 2025</w:t>
      </w:r>
    </w:p>
    <w:p w14:paraId="7CD9A5E5" w14:textId="44BE3BA6" w:rsidR="00D50628" w:rsidRDefault="00D50628" w:rsidP="00D50628">
      <w:pPr>
        <w:pStyle w:val="EntradandiceSentencia"/>
      </w:pPr>
    </w:p>
    <w:p w14:paraId="1294EA4D" w14:textId="67A4C006" w:rsidR="00D50628" w:rsidRDefault="00D50628" w:rsidP="00D50628">
      <w:pPr>
        <w:pStyle w:val="EntradaSumario"/>
      </w:pPr>
      <w:r w:rsidRPr="00D50628">
        <w:rPr>
          <w:rStyle w:val="TextoNormalCaracter"/>
        </w:rPr>
        <w:t xml:space="preserve">Recurso de amparo 5755-2023.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SENTENCIA_2025_19 \h </w:instrText>
      </w:r>
      <w:r>
        <w:fldChar w:fldCharType="separate"/>
      </w:r>
      <w:r>
        <w:rPr>
          <w:noProof/>
        </w:rPr>
        <w:t>250</w:t>
      </w:r>
      <w:r>
        <w:fldChar w:fldCharType="end"/>
      </w:r>
    </w:p>
    <w:p w14:paraId="6265F153" w14:textId="77777777" w:rsidR="00D50628" w:rsidRDefault="00D50628" w:rsidP="00D50628"/>
    <w:p w14:paraId="22140BCF" w14:textId="77777777" w:rsidR="00D50628" w:rsidRDefault="00D50628" w:rsidP="00D50628">
      <w:pPr>
        <w:pStyle w:val="EntradandiceSentencia"/>
      </w:pPr>
      <w:r>
        <w:t>Sala Segunda. Sentencia 20/2025, de 27 de enero de 2025</w:t>
      </w:r>
    </w:p>
    <w:p w14:paraId="7D078CE2" w14:textId="25B4BF1A" w:rsidR="00D50628" w:rsidRDefault="00D50628" w:rsidP="00D50628">
      <w:pPr>
        <w:pStyle w:val="EntradandiceSentencia"/>
      </w:pPr>
    </w:p>
    <w:p w14:paraId="0DB62879" w14:textId="3C030D5A" w:rsidR="00D50628" w:rsidRDefault="00D50628" w:rsidP="00D50628">
      <w:pPr>
        <w:pStyle w:val="EntradaSumario"/>
      </w:pPr>
      <w:r w:rsidRPr="00D50628">
        <w:rPr>
          <w:rStyle w:val="TextoNormalCaracter"/>
        </w:rPr>
        <w:t xml:space="preserve">Recurso de amparo 612-2024.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SENTENCIA_2025_20 \h </w:instrText>
      </w:r>
      <w:r>
        <w:fldChar w:fldCharType="separate"/>
      </w:r>
      <w:r>
        <w:rPr>
          <w:noProof/>
        </w:rPr>
        <w:t>256</w:t>
      </w:r>
      <w:r>
        <w:fldChar w:fldCharType="end"/>
      </w:r>
    </w:p>
    <w:p w14:paraId="0F8930DC" w14:textId="77777777" w:rsidR="00D50628" w:rsidRDefault="00D50628" w:rsidP="00D50628"/>
    <w:p w14:paraId="7DF8F3B8" w14:textId="77777777" w:rsidR="00D50628" w:rsidRDefault="00D50628" w:rsidP="00D50628">
      <w:pPr>
        <w:pStyle w:val="EntradandiceSentencia"/>
      </w:pPr>
      <w:r>
        <w:t>Sala Primera. Sentencia 21/2025, de 27 de enero de 2025</w:t>
      </w:r>
    </w:p>
    <w:p w14:paraId="362AC224" w14:textId="2166C0A3" w:rsidR="00D50628" w:rsidRDefault="00D50628" w:rsidP="00D50628">
      <w:pPr>
        <w:pStyle w:val="EntradandiceSentencia"/>
      </w:pPr>
    </w:p>
    <w:p w14:paraId="3520A614" w14:textId="6BDFAA2F" w:rsidR="00D50628" w:rsidRDefault="00D50628" w:rsidP="00D50628">
      <w:pPr>
        <w:pStyle w:val="EntradaSumario"/>
      </w:pPr>
      <w:r w:rsidRPr="00D50628">
        <w:rPr>
          <w:rStyle w:val="TextoNormalCaracter"/>
        </w:rPr>
        <w:t xml:space="preserve">Recurso de amparo 874-2024.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SENTENCIA_2025_21 \h </w:instrText>
      </w:r>
      <w:r>
        <w:fldChar w:fldCharType="separate"/>
      </w:r>
      <w:r>
        <w:rPr>
          <w:noProof/>
        </w:rPr>
        <w:t>265</w:t>
      </w:r>
      <w:r>
        <w:fldChar w:fldCharType="end"/>
      </w:r>
    </w:p>
    <w:p w14:paraId="6477B74C" w14:textId="77777777" w:rsidR="00D50628" w:rsidRDefault="00D50628" w:rsidP="00D50628"/>
    <w:p w14:paraId="2169FD62" w14:textId="77777777" w:rsidR="00D50628" w:rsidRDefault="00D50628" w:rsidP="00D50628">
      <w:pPr>
        <w:pStyle w:val="EntradandiceSentencia"/>
      </w:pPr>
      <w:r>
        <w:t>Sala Segunda. Sentencia 22/2025, de 27 de enero de 2025</w:t>
      </w:r>
    </w:p>
    <w:p w14:paraId="3B553BBE" w14:textId="4FE1B859" w:rsidR="00D50628" w:rsidRDefault="00D50628" w:rsidP="00D50628">
      <w:pPr>
        <w:pStyle w:val="EntradandiceSentencia"/>
      </w:pPr>
    </w:p>
    <w:p w14:paraId="1238695C" w14:textId="125F82B8" w:rsidR="00D50628" w:rsidRDefault="00D50628" w:rsidP="00D50628">
      <w:pPr>
        <w:pStyle w:val="EntradaSumario"/>
      </w:pPr>
      <w:r w:rsidRPr="00D50628">
        <w:rPr>
          <w:rStyle w:val="TextoNormalCaracter"/>
        </w:rPr>
        <w:t xml:space="preserve">Recurso de amparo 1325-2024.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SENTENCIA_2025_22 \h </w:instrText>
      </w:r>
      <w:r>
        <w:fldChar w:fldCharType="separate"/>
      </w:r>
      <w:r>
        <w:rPr>
          <w:noProof/>
        </w:rPr>
        <w:t>273</w:t>
      </w:r>
      <w:r>
        <w:fldChar w:fldCharType="end"/>
      </w:r>
    </w:p>
    <w:p w14:paraId="5F7E196B" w14:textId="77777777" w:rsidR="00D50628" w:rsidRDefault="00D50628" w:rsidP="00D50628"/>
    <w:p w14:paraId="0E742184" w14:textId="77777777" w:rsidR="00D50628" w:rsidRDefault="00D50628" w:rsidP="00D50628">
      <w:pPr>
        <w:pStyle w:val="EntradandiceSentencia"/>
      </w:pPr>
      <w:r>
        <w:t>Sala Primera. Sentencia 23/2025, de 27 de enero de 2025</w:t>
      </w:r>
    </w:p>
    <w:p w14:paraId="0273A151" w14:textId="2900601E" w:rsidR="00D50628" w:rsidRDefault="00D50628" w:rsidP="00D50628">
      <w:pPr>
        <w:pStyle w:val="EntradandiceSentencia"/>
      </w:pPr>
    </w:p>
    <w:p w14:paraId="4BEA0DEF" w14:textId="60AE201D" w:rsidR="00D50628" w:rsidRDefault="00D50628" w:rsidP="00D50628">
      <w:pPr>
        <w:pStyle w:val="EntradaSumario"/>
      </w:pPr>
      <w:r w:rsidRPr="00D50628">
        <w:rPr>
          <w:rStyle w:val="TextoNormalCaracter"/>
        </w:rPr>
        <w:t xml:space="preserve">Recurso de amparo 1640-2024.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w:t>
      </w:r>
      <w:r w:rsidRPr="00D50628">
        <w:rPr>
          <w:rStyle w:val="TextoNormalCursivaCaracter"/>
        </w:rPr>
        <w:lastRenderedPageBreak/>
        <w:t>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SENTENCIA_2025_23 \h </w:instrText>
      </w:r>
      <w:r>
        <w:fldChar w:fldCharType="separate"/>
      </w:r>
      <w:r>
        <w:rPr>
          <w:noProof/>
        </w:rPr>
        <w:t>281</w:t>
      </w:r>
      <w:r>
        <w:fldChar w:fldCharType="end"/>
      </w:r>
    </w:p>
    <w:p w14:paraId="44A9BE3C" w14:textId="77777777" w:rsidR="00D50628" w:rsidRDefault="00D50628" w:rsidP="00D50628"/>
    <w:p w14:paraId="6F53CB1B" w14:textId="77777777" w:rsidR="00D50628" w:rsidRDefault="00D50628" w:rsidP="00D50628">
      <w:pPr>
        <w:pStyle w:val="EntradandiceSentencia"/>
      </w:pPr>
      <w:r>
        <w:t>Sala Primera. Sentencia 24/2025, de 27 de enero de 2025</w:t>
      </w:r>
    </w:p>
    <w:p w14:paraId="1AF09DA4" w14:textId="1BDC591F" w:rsidR="00D50628" w:rsidRDefault="00D50628" w:rsidP="00D50628">
      <w:pPr>
        <w:pStyle w:val="EntradandiceSentencia"/>
      </w:pPr>
    </w:p>
    <w:p w14:paraId="7F85AD4B" w14:textId="590E45A4" w:rsidR="00D50628" w:rsidRDefault="00D50628" w:rsidP="00D50628">
      <w:pPr>
        <w:pStyle w:val="EntradaSumario"/>
      </w:pPr>
      <w:r w:rsidRPr="00D50628">
        <w:rPr>
          <w:rStyle w:val="TextoNormalCaracter"/>
        </w:rPr>
        <w:t xml:space="preserve">Recurso de amparo 2226-2024.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SENTENCIA_2025_24 \h </w:instrText>
      </w:r>
      <w:r>
        <w:fldChar w:fldCharType="separate"/>
      </w:r>
      <w:r>
        <w:rPr>
          <w:noProof/>
        </w:rPr>
        <w:t>289</w:t>
      </w:r>
      <w:r>
        <w:fldChar w:fldCharType="end"/>
      </w:r>
    </w:p>
    <w:p w14:paraId="7B500775" w14:textId="77777777" w:rsidR="00D50628" w:rsidRDefault="00D50628" w:rsidP="00D50628"/>
    <w:p w14:paraId="1CED45A4" w14:textId="77777777" w:rsidR="00D50628" w:rsidRDefault="00D50628" w:rsidP="00D50628">
      <w:pPr>
        <w:pStyle w:val="EntradandiceSentencia"/>
      </w:pPr>
      <w:r>
        <w:t>Pleno. Sentencia 25/2025, de 29 de enero de 2025</w:t>
      </w:r>
    </w:p>
    <w:p w14:paraId="6D8957B0" w14:textId="48F5E8B5" w:rsidR="00D50628" w:rsidRDefault="00D50628" w:rsidP="00D50628">
      <w:pPr>
        <w:pStyle w:val="EntradandiceSentencia"/>
      </w:pPr>
    </w:p>
    <w:p w14:paraId="585871B7" w14:textId="7A3030B0" w:rsidR="00D50628" w:rsidRDefault="00D50628" w:rsidP="00D50628">
      <w:pPr>
        <w:pStyle w:val="EntradaSumario"/>
      </w:pPr>
      <w:r w:rsidRPr="00D50628">
        <w:rPr>
          <w:rStyle w:val="TextoNormalCaracter"/>
        </w:rPr>
        <w:t xml:space="preserve">Recurso de inconstitucionalidad 4038-2022. </w:t>
      </w:r>
      <w:r w:rsidRPr="00D50628">
        <w:rPr>
          <w:rStyle w:val="TextoNormalCursivaCaracter"/>
        </w:rPr>
        <w:t xml:space="preserve"> Competencias sobre vivienda, condiciones básicas de igualdad en el ejercicio de los derechos y cumplimiento de los deberes constitucionales, legislación procesal y civil y régimen de expropiación forzosa; derecho de propiedad: pérdida parcial de objeto del proceso en los preceptos legales declarados inconstitucionales y nulos por la STC 120/2024, de 8 de octubre; nulidad parcial del precepto legal autonómico que regula la expropiación forzosa de viviendas; interpretación conforme con la Constitución del precepto que tipifica como infracción grave el incumplimiento de los requisitos de la propuesta obligatoria de alquiler social. Votos particulares.</w:t>
      </w:r>
      <w:r>
        <w:tab/>
      </w:r>
      <w:r>
        <w:tab/>
      </w:r>
      <w:r>
        <w:fldChar w:fldCharType="begin"/>
      </w:r>
      <w:r>
        <w:instrText xml:space="preserve"> PAGEREF SENTENCIA_2025_25 \h </w:instrText>
      </w:r>
      <w:r>
        <w:fldChar w:fldCharType="separate"/>
      </w:r>
      <w:r>
        <w:rPr>
          <w:noProof/>
        </w:rPr>
        <w:t>297</w:t>
      </w:r>
      <w:r>
        <w:fldChar w:fldCharType="end"/>
      </w:r>
    </w:p>
    <w:p w14:paraId="4D5A3171" w14:textId="77777777" w:rsidR="00D50628" w:rsidRDefault="00D50628" w:rsidP="00D50628"/>
    <w:p w14:paraId="6B9B29F6" w14:textId="77777777" w:rsidR="00D50628" w:rsidRDefault="00D50628" w:rsidP="00D50628">
      <w:pPr>
        <w:pStyle w:val="EntradandiceSentencia"/>
      </w:pPr>
      <w:r>
        <w:t>Pleno. Sentencia 26/2025, de 29 de enero de 2025</w:t>
      </w:r>
    </w:p>
    <w:p w14:paraId="3D964045" w14:textId="482C6E95" w:rsidR="00D50628" w:rsidRDefault="00D50628" w:rsidP="00D50628">
      <w:pPr>
        <w:pStyle w:val="EntradandiceSentencia"/>
      </w:pPr>
    </w:p>
    <w:p w14:paraId="0F459579" w14:textId="254A36CA" w:rsidR="00D50628" w:rsidRDefault="00D50628" w:rsidP="00D50628">
      <w:pPr>
        <w:pStyle w:val="EntradaSumario"/>
      </w:pPr>
      <w:r w:rsidRPr="00D50628">
        <w:rPr>
          <w:rStyle w:val="TextoNormalCaracter"/>
        </w:rPr>
        <w:t xml:space="preserve">Recurso de inconstitucionalidad 5514-2023. </w:t>
      </w:r>
      <w:r w:rsidRPr="00D50628">
        <w:rPr>
          <w:rStyle w:val="TextoNormalCursivaCaracter"/>
        </w:rPr>
        <w:t xml:space="preserve"> Competencias sobre ordenación del territorio, urbanismo y vivienda, legislación civil y procedimiento administrativo común; principios de autonomía local y autonomía financiera de las comunidades autónomas; derechos a la propiedad y a la tutela judicial efectiva: pérdida parcial de objeto del proceso en los preceptos legales declarados inconstitucionales y nulos por la STC 79/2024, de 21 de mayo; nulidad parcial de los preceptos legales que regulan la inadmisión de las demandas que pretendan la recuperación de la posesión de una finca cuando el demandante tenga la condición de gran tenedor; extensión de los efectos de la declaración de nulidad al precepto que enumera los documentos que deben acompañar a las demandas ejecutivas. Votos particulares.</w:t>
      </w:r>
      <w:r>
        <w:tab/>
      </w:r>
      <w:r>
        <w:tab/>
      </w:r>
      <w:r>
        <w:fldChar w:fldCharType="begin"/>
      </w:r>
      <w:r>
        <w:instrText xml:space="preserve"> PAGEREF SENTENCIA_2025_26 \h </w:instrText>
      </w:r>
      <w:r>
        <w:fldChar w:fldCharType="separate"/>
      </w:r>
      <w:r>
        <w:rPr>
          <w:noProof/>
        </w:rPr>
        <w:t>353</w:t>
      </w:r>
      <w:r>
        <w:fldChar w:fldCharType="end"/>
      </w:r>
    </w:p>
    <w:p w14:paraId="23126E5E" w14:textId="77777777" w:rsidR="00D50628" w:rsidRDefault="00D50628" w:rsidP="00D50628"/>
    <w:p w14:paraId="6F262073" w14:textId="77777777" w:rsidR="00D50628" w:rsidRDefault="00D50628" w:rsidP="00D50628">
      <w:pPr>
        <w:pStyle w:val="EntradandiceSentencia"/>
      </w:pPr>
      <w:r>
        <w:lastRenderedPageBreak/>
        <w:t>Pleno. Sentencia 27/2025, de 29 de enero de 2025</w:t>
      </w:r>
    </w:p>
    <w:p w14:paraId="77964243" w14:textId="5A7900F2" w:rsidR="00D50628" w:rsidRDefault="00D50628" w:rsidP="00D50628">
      <w:pPr>
        <w:pStyle w:val="EntradandiceSentencia"/>
      </w:pPr>
    </w:p>
    <w:p w14:paraId="30365D55" w14:textId="3A9EAF56" w:rsidR="00D50628" w:rsidRDefault="00D50628" w:rsidP="00D50628">
      <w:pPr>
        <w:pStyle w:val="EntradaSumario"/>
      </w:pPr>
      <w:r w:rsidRPr="00D50628">
        <w:rPr>
          <w:rStyle w:val="TextoNormalCaracter"/>
        </w:rPr>
        <w:t xml:space="preserve">Cuestión de inconstitucionalidad 2796-2024. </w:t>
      </w:r>
      <w:r w:rsidRPr="00D50628">
        <w:rPr>
          <w:rStyle w:val="TextoNormalCursivaCaracter"/>
        </w:rPr>
        <w:t xml:space="preserve"> Derecho de acceso a las funciones públicas y competencias en materia de función pública: inadmisión de la cuestión de inconstitucionalidad por incorrecta formulación del juicio de aplicabilidad.</w:t>
      </w:r>
      <w:r>
        <w:tab/>
      </w:r>
      <w:r>
        <w:tab/>
      </w:r>
      <w:r>
        <w:fldChar w:fldCharType="begin"/>
      </w:r>
      <w:r>
        <w:instrText xml:space="preserve"> PAGEREF SENTENCIA_2025_27 \h </w:instrText>
      </w:r>
      <w:r>
        <w:fldChar w:fldCharType="separate"/>
      </w:r>
      <w:r>
        <w:rPr>
          <w:noProof/>
        </w:rPr>
        <w:t>429</w:t>
      </w:r>
      <w:r>
        <w:fldChar w:fldCharType="end"/>
      </w:r>
    </w:p>
    <w:p w14:paraId="0E28E2FB" w14:textId="77777777" w:rsidR="00D50628" w:rsidRDefault="00D50628" w:rsidP="00D50628"/>
    <w:p w14:paraId="542251E7" w14:textId="77777777" w:rsidR="00D50628" w:rsidRDefault="00D50628" w:rsidP="00D50628">
      <w:pPr>
        <w:pStyle w:val="EntradandiceSentencia"/>
      </w:pPr>
      <w:r>
        <w:t>Sala Primera. Sentencia 28/2025, de 10 de febrero de 2025</w:t>
      </w:r>
    </w:p>
    <w:p w14:paraId="42361755" w14:textId="3029F17F" w:rsidR="00D50628" w:rsidRDefault="00D50628" w:rsidP="00D50628">
      <w:pPr>
        <w:pStyle w:val="EntradandiceSentencia"/>
      </w:pPr>
    </w:p>
    <w:p w14:paraId="6B9113A0" w14:textId="05C0561B" w:rsidR="00D50628" w:rsidRDefault="00D50628" w:rsidP="00D50628">
      <w:pPr>
        <w:pStyle w:val="EntradaSumario"/>
      </w:pPr>
      <w:r w:rsidRPr="00D50628">
        <w:rPr>
          <w:rStyle w:val="TextoNormalCaracter"/>
        </w:rPr>
        <w:t xml:space="preserve">Recurso de amparo 3672-2022. </w:t>
      </w:r>
      <w:r w:rsidRPr="00D50628">
        <w:rPr>
          <w:rStyle w:val="TextoNormalCursivaCaracter"/>
        </w:rPr>
        <w:t xml:space="preserve"> Vulneración del derecho a la integridad física y moral en relación con el derecho a la tutela judicial efectiva: resoluciones judiciales que no ponderaron adecuadamente los indicios de hostigamiento padecido por quien formuló denuncia por irregularidades en el funcionamiento de la Policía Local de Torrevieja (Alicante).</w:t>
      </w:r>
      <w:r>
        <w:tab/>
      </w:r>
      <w:r>
        <w:tab/>
      </w:r>
      <w:r>
        <w:fldChar w:fldCharType="begin"/>
      </w:r>
      <w:r>
        <w:instrText xml:space="preserve"> PAGEREF SENTENCIA_2025_28 \h </w:instrText>
      </w:r>
      <w:r>
        <w:fldChar w:fldCharType="separate"/>
      </w:r>
      <w:r>
        <w:rPr>
          <w:noProof/>
        </w:rPr>
        <w:t>451</w:t>
      </w:r>
      <w:r>
        <w:fldChar w:fldCharType="end"/>
      </w:r>
    </w:p>
    <w:p w14:paraId="0BF4D6DF" w14:textId="77777777" w:rsidR="00D50628" w:rsidRDefault="00D50628" w:rsidP="00D50628"/>
    <w:p w14:paraId="303C5524" w14:textId="77777777" w:rsidR="00D50628" w:rsidRDefault="00D50628" w:rsidP="00D50628">
      <w:pPr>
        <w:pStyle w:val="EntradandiceSentencia"/>
      </w:pPr>
      <w:r>
        <w:t>Sala Segunda. Sentencia 29/2025, de 10 de febrero de 2025</w:t>
      </w:r>
    </w:p>
    <w:p w14:paraId="437890AF" w14:textId="03535DA6" w:rsidR="00D50628" w:rsidRDefault="00D50628" w:rsidP="00D50628">
      <w:pPr>
        <w:pStyle w:val="EntradandiceSentencia"/>
      </w:pPr>
    </w:p>
    <w:p w14:paraId="224BB2DA" w14:textId="1853BEDA" w:rsidR="00D50628" w:rsidRDefault="00D50628" w:rsidP="00D50628">
      <w:pPr>
        <w:pStyle w:val="EntradaSumario"/>
      </w:pPr>
      <w:r w:rsidRPr="00D50628">
        <w:rPr>
          <w:rStyle w:val="TextoNormalCaracter"/>
        </w:rPr>
        <w:t xml:space="preserve">Recurso de amparo 3182-2023.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SENTENCIA_2025_29 \h </w:instrText>
      </w:r>
      <w:r>
        <w:fldChar w:fldCharType="separate"/>
      </w:r>
      <w:r>
        <w:rPr>
          <w:noProof/>
        </w:rPr>
        <w:t>484</w:t>
      </w:r>
      <w:r>
        <w:fldChar w:fldCharType="end"/>
      </w:r>
    </w:p>
    <w:p w14:paraId="3F1FCE97" w14:textId="77777777" w:rsidR="00D50628" w:rsidRDefault="00D50628" w:rsidP="00D50628"/>
    <w:p w14:paraId="2D489C19" w14:textId="77777777" w:rsidR="00D50628" w:rsidRDefault="00D50628" w:rsidP="00D50628">
      <w:pPr>
        <w:pStyle w:val="EntradandiceSentencia"/>
      </w:pPr>
      <w:r>
        <w:t>Sala Primera. Sentencia 30/2025, de 10 de febrero de 2025</w:t>
      </w:r>
    </w:p>
    <w:p w14:paraId="04F47FE8" w14:textId="32DB9750" w:rsidR="00D50628" w:rsidRDefault="00D50628" w:rsidP="00D50628">
      <w:pPr>
        <w:pStyle w:val="EntradandiceSentencia"/>
      </w:pPr>
    </w:p>
    <w:p w14:paraId="27CCACFD" w14:textId="676D9734" w:rsidR="00D50628" w:rsidRDefault="00D50628" w:rsidP="00D50628">
      <w:pPr>
        <w:pStyle w:val="EntradaSumario"/>
      </w:pPr>
      <w:r w:rsidRPr="00D50628">
        <w:rPr>
          <w:rStyle w:val="TextoNormalCaracter"/>
        </w:rPr>
        <w:t xml:space="preserve">Recurso de amparo 4166-2023. </w:t>
      </w:r>
      <w:r w:rsidRPr="00D50628">
        <w:rPr>
          <w:rStyle w:val="TextoNormalCursivaCaracter"/>
        </w:rPr>
        <w:t xml:space="preserve"> 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SENTENCIA_2025_30 \h </w:instrText>
      </w:r>
      <w:r>
        <w:fldChar w:fldCharType="separate"/>
      </w:r>
      <w:r>
        <w:rPr>
          <w:noProof/>
        </w:rPr>
        <w:t>491</w:t>
      </w:r>
      <w:r>
        <w:fldChar w:fldCharType="end"/>
      </w:r>
    </w:p>
    <w:p w14:paraId="239D457F" w14:textId="77777777" w:rsidR="00D50628" w:rsidRDefault="00D50628" w:rsidP="00D50628"/>
    <w:p w14:paraId="50C4275D" w14:textId="77777777" w:rsidR="00D50628" w:rsidRDefault="00D50628" w:rsidP="00D50628">
      <w:pPr>
        <w:pStyle w:val="EntradandiceSentencia"/>
      </w:pPr>
      <w:r>
        <w:t>Sala Primera. Sentencia 31/2025, de 10 de febrero de 2025</w:t>
      </w:r>
    </w:p>
    <w:p w14:paraId="5FC0B32B" w14:textId="7EA666D6" w:rsidR="00D50628" w:rsidRDefault="00D50628" w:rsidP="00D50628">
      <w:pPr>
        <w:pStyle w:val="EntradandiceSentencia"/>
      </w:pPr>
    </w:p>
    <w:p w14:paraId="3758AB35" w14:textId="4BE553CF" w:rsidR="00D50628" w:rsidRDefault="00D50628" w:rsidP="00D50628">
      <w:pPr>
        <w:pStyle w:val="EntradaSumario"/>
      </w:pPr>
      <w:r w:rsidRPr="00D50628">
        <w:rPr>
          <w:rStyle w:val="TextoNormalCaracter"/>
        </w:rPr>
        <w:t xml:space="preserve">Recurso de amparo 5242-2023. </w:t>
      </w:r>
      <w:r w:rsidRPr="00D50628">
        <w:rPr>
          <w:rStyle w:val="TextoNormalCursivaCaracter"/>
        </w:rPr>
        <w:t xml:space="preserve"> Vulneración del derecho a la tutela judicial efectiva (motivación): resolución judicial que, sin ponderar adecuadamente el derecho a la inviolabilidad del domicilio, incorpora a la causa las pruebas de cargo obtenidas a partir de una diligencia de entrada y registro anulada en la instancia y cuya conformidad a Derecho no puede volver a ser enjuiciada.</w:t>
      </w:r>
      <w:r>
        <w:tab/>
      </w:r>
      <w:r>
        <w:tab/>
      </w:r>
      <w:r>
        <w:fldChar w:fldCharType="begin"/>
      </w:r>
      <w:r>
        <w:instrText xml:space="preserve"> PAGEREF SENTENCIA_2025_31 \h </w:instrText>
      </w:r>
      <w:r>
        <w:fldChar w:fldCharType="separate"/>
      </w:r>
      <w:r>
        <w:rPr>
          <w:noProof/>
        </w:rPr>
        <w:t>498</w:t>
      </w:r>
      <w:r>
        <w:fldChar w:fldCharType="end"/>
      </w:r>
    </w:p>
    <w:p w14:paraId="59D82747" w14:textId="77777777" w:rsidR="00D50628" w:rsidRDefault="00D50628" w:rsidP="00D50628"/>
    <w:p w14:paraId="2EB34BEB" w14:textId="77777777" w:rsidR="00D50628" w:rsidRDefault="00D50628" w:rsidP="00D50628">
      <w:pPr>
        <w:pStyle w:val="EntradandiceSentencia"/>
      </w:pPr>
      <w:r>
        <w:t>Sala Primera. Sentencia 32/2025, de 10 de febrero de 2025</w:t>
      </w:r>
    </w:p>
    <w:p w14:paraId="54E7827B" w14:textId="50858E5C" w:rsidR="00D50628" w:rsidRDefault="00D50628" w:rsidP="00D50628">
      <w:pPr>
        <w:pStyle w:val="EntradandiceSentencia"/>
      </w:pPr>
    </w:p>
    <w:p w14:paraId="61017E46" w14:textId="4E148ED3" w:rsidR="00D50628" w:rsidRDefault="00D50628" w:rsidP="00D50628">
      <w:pPr>
        <w:pStyle w:val="EntradaSumario"/>
      </w:pPr>
      <w:r w:rsidRPr="00D50628">
        <w:rPr>
          <w:rStyle w:val="TextoNormalCaracter"/>
        </w:rPr>
        <w:t xml:space="preserve">Recurso de amparo 5740-2023. </w:t>
      </w:r>
      <w:r w:rsidRPr="00D50628">
        <w:rPr>
          <w:rStyle w:val="TextoNormalCursivaCaracter"/>
        </w:rPr>
        <w:t xml:space="preserve"> 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SENTENCIA_2025_32 \h </w:instrText>
      </w:r>
      <w:r>
        <w:fldChar w:fldCharType="separate"/>
      </w:r>
      <w:r>
        <w:rPr>
          <w:noProof/>
        </w:rPr>
        <w:t>522</w:t>
      </w:r>
      <w:r>
        <w:fldChar w:fldCharType="end"/>
      </w:r>
    </w:p>
    <w:p w14:paraId="55EC90CD" w14:textId="77777777" w:rsidR="00D50628" w:rsidRDefault="00D50628" w:rsidP="00D50628"/>
    <w:p w14:paraId="2F81AE4C" w14:textId="77777777" w:rsidR="00D50628" w:rsidRDefault="00D50628" w:rsidP="00D50628">
      <w:pPr>
        <w:pStyle w:val="EntradandiceSentencia"/>
      </w:pPr>
      <w:r>
        <w:t>Sala Primera. Sentencia 33/2025, de 10 de febrero de 2025</w:t>
      </w:r>
    </w:p>
    <w:p w14:paraId="45F11644" w14:textId="4CF00877" w:rsidR="00D50628" w:rsidRDefault="00D50628" w:rsidP="00D50628">
      <w:pPr>
        <w:pStyle w:val="EntradandiceSentencia"/>
      </w:pPr>
    </w:p>
    <w:p w14:paraId="2EEDAEC8" w14:textId="005E9178" w:rsidR="00D50628" w:rsidRDefault="00D50628" w:rsidP="00D50628">
      <w:pPr>
        <w:pStyle w:val="EntradaSumario"/>
      </w:pPr>
      <w:r w:rsidRPr="00D50628">
        <w:rPr>
          <w:rStyle w:val="TextoNormalCaracter"/>
        </w:rPr>
        <w:t xml:space="preserve">Recurso de amparo 5744-2023.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SENTENCIA_2025_33 \h </w:instrText>
      </w:r>
      <w:r>
        <w:fldChar w:fldCharType="separate"/>
      </w:r>
      <w:r>
        <w:rPr>
          <w:noProof/>
        </w:rPr>
        <w:t>529</w:t>
      </w:r>
      <w:r>
        <w:fldChar w:fldCharType="end"/>
      </w:r>
    </w:p>
    <w:p w14:paraId="323744EF" w14:textId="77777777" w:rsidR="00D50628" w:rsidRDefault="00D50628" w:rsidP="00D50628"/>
    <w:p w14:paraId="313A9C26" w14:textId="77777777" w:rsidR="00D50628" w:rsidRDefault="00D50628" w:rsidP="00D50628">
      <w:pPr>
        <w:pStyle w:val="EntradandiceSentencia"/>
      </w:pPr>
      <w:r>
        <w:t>Sala Segunda. Sentencia 34/2025, de 10 de febrero de 2025</w:t>
      </w:r>
    </w:p>
    <w:p w14:paraId="47510245" w14:textId="09D0FB05" w:rsidR="00D50628" w:rsidRDefault="00D50628" w:rsidP="00D50628">
      <w:pPr>
        <w:pStyle w:val="EntradandiceSentencia"/>
      </w:pPr>
    </w:p>
    <w:p w14:paraId="3FD9FEAC" w14:textId="4B76877E" w:rsidR="00D50628" w:rsidRDefault="00D50628" w:rsidP="00D50628">
      <w:pPr>
        <w:pStyle w:val="EntradaSumario"/>
      </w:pPr>
      <w:r w:rsidRPr="00D50628">
        <w:rPr>
          <w:rStyle w:val="TextoNormalCaracter"/>
        </w:rPr>
        <w:t xml:space="preserve">Recurso de amparo 474-2024.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SENTENCIA_2025_34 \h </w:instrText>
      </w:r>
      <w:r>
        <w:fldChar w:fldCharType="separate"/>
      </w:r>
      <w:r>
        <w:rPr>
          <w:noProof/>
        </w:rPr>
        <w:t>536</w:t>
      </w:r>
      <w:r>
        <w:fldChar w:fldCharType="end"/>
      </w:r>
    </w:p>
    <w:p w14:paraId="20B02861" w14:textId="77777777" w:rsidR="00D50628" w:rsidRDefault="00D50628" w:rsidP="00D50628"/>
    <w:p w14:paraId="78FEDA97" w14:textId="77777777" w:rsidR="00D50628" w:rsidRDefault="00D50628" w:rsidP="00D50628">
      <w:pPr>
        <w:pStyle w:val="EntradandiceSentencia"/>
      </w:pPr>
      <w:r>
        <w:t>Sala Primera. Sentencia 35/2025, de 10 de febrero de 2025</w:t>
      </w:r>
    </w:p>
    <w:p w14:paraId="250CBF06" w14:textId="75091887" w:rsidR="00D50628" w:rsidRDefault="00D50628" w:rsidP="00D50628">
      <w:pPr>
        <w:pStyle w:val="EntradandiceSentencia"/>
      </w:pPr>
    </w:p>
    <w:p w14:paraId="5BE18007" w14:textId="246D9AA0" w:rsidR="00D50628" w:rsidRDefault="00D50628" w:rsidP="00D50628">
      <w:pPr>
        <w:pStyle w:val="EntradaSumario"/>
      </w:pPr>
      <w:r w:rsidRPr="00D50628">
        <w:rPr>
          <w:rStyle w:val="TextoNormalCaracter"/>
        </w:rPr>
        <w:t xml:space="preserve">Recurso de amparo 693-2024.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SENTENCIA_2025_35 \h </w:instrText>
      </w:r>
      <w:r>
        <w:fldChar w:fldCharType="separate"/>
      </w:r>
      <w:r>
        <w:rPr>
          <w:noProof/>
        </w:rPr>
        <w:t>544</w:t>
      </w:r>
      <w:r>
        <w:fldChar w:fldCharType="end"/>
      </w:r>
    </w:p>
    <w:p w14:paraId="3615E637" w14:textId="77777777" w:rsidR="00D50628" w:rsidRDefault="00D50628" w:rsidP="00D50628"/>
    <w:p w14:paraId="15A7A9EA" w14:textId="77777777" w:rsidR="00D50628" w:rsidRDefault="00D50628" w:rsidP="00D50628">
      <w:pPr>
        <w:pStyle w:val="EntradandiceSentencia"/>
      </w:pPr>
      <w:r>
        <w:lastRenderedPageBreak/>
        <w:t>Sala Segunda. Sentencia 36/2025, de 10 de febrero de 2025</w:t>
      </w:r>
    </w:p>
    <w:p w14:paraId="2CA0652A" w14:textId="2055C65D" w:rsidR="00D50628" w:rsidRDefault="00D50628" w:rsidP="00D50628">
      <w:pPr>
        <w:pStyle w:val="EntradandiceSentencia"/>
      </w:pPr>
    </w:p>
    <w:p w14:paraId="5028A3DF" w14:textId="56F28570" w:rsidR="00D50628" w:rsidRDefault="00D50628" w:rsidP="00D50628">
      <w:pPr>
        <w:pStyle w:val="EntradaSumario"/>
      </w:pPr>
      <w:r w:rsidRPr="00D50628">
        <w:rPr>
          <w:rStyle w:val="TextoNormalCaracter"/>
        </w:rPr>
        <w:t xml:space="preserve">Recurso de amparo 841-2024. </w:t>
      </w:r>
      <w:r w:rsidRPr="00D50628">
        <w:rPr>
          <w:rStyle w:val="TextoNormalCursivaCaracter"/>
        </w:rPr>
        <w:t xml:space="preserve"> 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SENTENCIA_2025_36 \h </w:instrText>
      </w:r>
      <w:r>
        <w:fldChar w:fldCharType="separate"/>
      </w:r>
      <w:r>
        <w:rPr>
          <w:noProof/>
        </w:rPr>
        <w:t>553</w:t>
      </w:r>
      <w:r>
        <w:fldChar w:fldCharType="end"/>
      </w:r>
    </w:p>
    <w:p w14:paraId="0F844A51" w14:textId="77777777" w:rsidR="00D50628" w:rsidRDefault="00D50628" w:rsidP="00D50628"/>
    <w:p w14:paraId="59D2EFF9" w14:textId="77777777" w:rsidR="00D50628" w:rsidRDefault="00D50628" w:rsidP="00D50628">
      <w:pPr>
        <w:pStyle w:val="EntradandiceSentencia"/>
      </w:pPr>
      <w:r>
        <w:t>Sala Segunda. Sentencia 37/2025, de 10 de febrero de 2025</w:t>
      </w:r>
    </w:p>
    <w:p w14:paraId="1992A8ED" w14:textId="2A675920" w:rsidR="00D50628" w:rsidRDefault="00D50628" w:rsidP="00D50628">
      <w:pPr>
        <w:pStyle w:val="EntradandiceSentencia"/>
      </w:pPr>
    </w:p>
    <w:p w14:paraId="6AC2E331" w14:textId="6AF8E0C2" w:rsidR="00D50628" w:rsidRDefault="00D50628" w:rsidP="00D50628">
      <w:pPr>
        <w:pStyle w:val="EntradaSumario"/>
      </w:pPr>
      <w:r w:rsidRPr="00D50628">
        <w:rPr>
          <w:rStyle w:val="TextoNormalCaracter"/>
        </w:rPr>
        <w:t xml:space="preserve">Recurso de amparo 2126-2024. </w:t>
      </w:r>
      <w:r w:rsidRPr="00D50628">
        <w:rPr>
          <w:rStyle w:val="TextoNormalCursivaCaracter"/>
        </w:rPr>
        <w:t xml:space="preserve"> Vulneración del derecho a la tutela judicial efectiva en relación con el derecho a la libertad personal: resoluciones judiciales que no satisfacen el canon de motivación reforzada al revocar la suspensión de la pena privativa de libertad fundándose en un riesgo no argumentado de reiteración delictiva (STC 32/2022).</w:t>
      </w:r>
      <w:r>
        <w:tab/>
      </w:r>
      <w:r>
        <w:tab/>
      </w:r>
      <w:r>
        <w:fldChar w:fldCharType="begin"/>
      </w:r>
      <w:r>
        <w:instrText xml:space="preserve"> PAGEREF SENTENCIA_2025_37 \h </w:instrText>
      </w:r>
      <w:r>
        <w:fldChar w:fldCharType="separate"/>
      </w:r>
      <w:r>
        <w:rPr>
          <w:noProof/>
        </w:rPr>
        <w:t>562</w:t>
      </w:r>
      <w:r>
        <w:fldChar w:fldCharType="end"/>
      </w:r>
    </w:p>
    <w:p w14:paraId="2730B653" w14:textId="77777777" w:rsidR="00D50628" w:rsidRDefault="00D50628" w:rsidP="00D50628"/>
    <w:p w14:paraId="0E30C84E" w14:textId="77777777" w:rsidR="00D50628" w:rsidRDefault="00D50628" w:rsidP="00D50628">
      <w:pPr>
        <w:pStyle w:val="EntradandiceSentencia"/>
      </w:pPr>
      <w:r>
        <w:t>Sala Primera. Sentencia 38/2025, de 10 de febrero de 2025</w:t>
      </w:r>
    </w:p>
    <w:p w14:paraId="6F882038" w14:textId="5448F6CC" w:rsidR="00D50628" w:rsidRDefault="00D50628" w:rsidP="00D50628">
      <w:pPr>
        <w:pStyle w:val="EntradandiceSentencia"/>
      </w:pPr>
    </w:p>
    <w:p w14:paraId="45777C81" w14:textId="10F4E534" w:rsidR="00D50628" w:rsidRDefault="00D50628" w:rsidP="00D50628">
      <w:pPr>
        <w:pStyle w:val="EntradaSumario"/>
      </w:pPr>
      <w:r w:rsidRPr="00D50628">
        <w:rPr>
          <w:rStyle w:val="TextoNormalCaracter"/>
        </w:rPr>
        <w:t xml:space="preserve">Recurso de amparo 2149-2024. </w:t>
      </w:r>
      <w:r w:rsidRPr="00D50628">
        <w:rPr>
          <w:rStyle w:val="TextoNormalCursivaCaracter"/>
        </w:rPr>
        <w:t xml:space="preserve"> 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SENTENCIA_2025_38 \h </w:instrText>
      </w:r>
      <w:r>
        <w:fldChar w:fldCharType="separate"/>
      </w:r>
      <w:r>
        <w:rPr>
          <w:noProof/>
        </w:rPr>
        <w:t>578</w:t>
      </w:r>
      <w:r>
        <w:fldChar w:fldCharType="end"/>
      </w:r>
    </w:p>
    <w:p w14:paraId="7951939B" w14:textId="77777777" w:rsidR="00D50628" w:rsidRDefault="00D50628" w:rsidP="00D50628"/>
    <w:p w14:paraId="7E29C5BE" w14:textId="77777777" w:rsidR="00D50628" w:rsidRDefault="00D50628" w:rsidP="00D50628">
      <w:pPr>
        <w:pStyle w:val="EntradandiceSentencia"/>
      </w:pPr>
      <w:r>
        <w:t>Sala Primera. Sentencia 39/2025, de 10 de febrero de 2025</w:t>
      </w:r>
    </w:p>
    <w:p w14:paraId="7FBF5A82" w14:textId="6B001B72" w:rsidR="00D50628" w:rsidRDefault="00D50628" w:rsidP="00D50628">
      <w:pPr>
        <w:pStyle w:val="EntradandiceSentencia"/>
      </w:pPr>
    </w:p>
    <w:p w14:paraId="74FBA3C1" w14:textId="7850F003" w:rsidR="00D50628" w:rsidRDefault="00D50628" w:rsidP="00D50628">
      <w:pPr>
        <w:pStyle w:val="EntradaSumario"/>
      </w:pPr>
      <w:r w:rsidRPr="00D50628">
        <w:rPr>
          <w:rStyle w:val="TextoNormalCaracter"/>
        </w:rPr>
        <w:t xml:space="preserve">Recurso de amparo 3366-2024. </w:t>
      </w:r>
      <w:r w:rsidRPr="00D50628">
        <w:rPr>
          <w:rStyle w:val="TextoNormalCursivaCaracter"/>
        </w:rPr>
        <w:t xml:space="preserve"> 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SENTENCIA_2025_39 \h </w:instrText>
      </w:r>
      <w:r>
        <w:fldChar w:fldCharType="separate"/>
      </w:r>
      <w:r>
        <w:rPr>
          <w:noProof/>
        </w:rPr>
        <w:t>586</w:t>
      </w:r>
      <w:r>
        <w:fldChar w:fldCharType="end"/>
      </w:r>
    </w:p>
    <w:p w14:paraId="460E3797" w14:textId="77777777" w:rsidR="00D50628" w:rsidRDefault="00D50628" w:rsidP="00D50628"/>
    <w:p w14:paraId="48AECD71" w14:textId="77777777" w:rsidR="00D50628" w:rsidRDefault="00D50628" w:rsidP="00D50628">
      <w:pPr>
        <w:pStyle w:val="EntradandiceSentencia"/>
      </w:pPr>
      <w:r>
        <w:t>Pleno. Sentencia 40/2025, de 11 de febrero de 2025</w:t>
      </w:r>
    </w:p>
    <w:p w14:paraId="7F6521CE" w14:textId="65CEC6D5" w:rsidR="00D50628" w:rsidRDefault="00D50628" w:rsidP="00D50628">
      <w:pPr>
        <w:pStyle w:val="EntradandiceSentencia"/>
      </w:pPr>
    </w:p>
    <w:p w14:paraId="13F97A83" w14:textId="3384CB8E" w:rsidR="00D50628" w:rsidRDefault="00D50628" w:rsidP="00D50628">
      <w:pPr>
        <w:pStyle w:val="EntradaSumario"/>
      </w:pPr>
      <w:r w:rsidRPr="00D50628">
        <w:rPr>
          <w:rStyle w:val="TextoNormalCaracter"/>
        </w:rPr>
        <w:t xml:space="preserve">Recurso de inconstitucionalidad 3887-2020. </w:t>
      </w:r>
      <w:r w:rsidRPr="00D50628">
        <w:rPr>
          <w:rStyle w:val="TextoNormalCursivaCaracter"/>
        </w:rPr>
        <w:t xml:space="preserve"> Límites materiales de los decretos leyes: pérdida parcial de objeto del proceso; convalidación de la norma de urgencia por la diputación permanente, convocada al efecto en el contexto de la </w:t>
      </w:r>
      <w:r w:rsidRPr="00D50628">
        <w:rPr>
          <w:rStyle w:val="TextoNormalCursivaCaracter"/>
        </w:rPr>
        <w:lastRenderedPageBreak/>
        <w:t>crisis sanitaria provocada por la pandemia de la covid-19; nulidad de los preceptos legales que reforman la Ley de creación del Consejo Audiovisual de Andalucía, los reglamentos sobre suelos contaminados y vertidos al dominio público hidráulico y marítimo terrestre, y el decreto de municipio turístico de Andalucía. Votos particulares.</w:t>
      </w:r>
      <w:r>
        <w:tab/>
      </w:r>
      <w:r>
        <w:tab/>
      </w:r>
      <w:r>
        <w:fldChar w:fldCharType="begin"/>
      </w:r>
      <w:r>
        <w:instrText xml:space="preserve"> PAGEREF SENTENCIA_2025_40 \h </w:instrText>
      </w:r>
      <w:r>
        <w:fldChar w:fldCharType="separate"/>
      </w:r>
      <w:r>
        <w:rPr>
          <w:noProof/>
        </w:rPr>
        <w:t>593</w:t>
      </w:r>
      <w:r>
        <w:fldChar w:fldCharType="end"/>
      </w:r>
    </w:p>
    <w:p w14:paraId="1126A1D2" w14:textId="77777777" w:rsidR="00D50628" w:rsidRDefault="00D50628" w:rsidP="00D50628"/>
    <w:p w14:paraId="32B32E04" w14:textId="77777777" w:rsidR="00D50628" w:rsidRDefault="00D50628" w:rsidP="00D50628">
      <w:pPr>
        <w:pStyle w:val="EntradandiceSentencia"/>
      </w:pPr>
      <w:r>
        <w:t>Pleno. Sentencia 41/2025, de 11 de febrero de 2025</w:t>
      </w:r>
    </w:p>
    <w:p w14:paraId="725441D9" w14:textId="256F1CDE" w:rsidR="00D50628" w:rsidRDefault="00D50628" w:rsidP="00D50628">
      <w:pPr>
        <w:pStyle w:val="EntradandiceSentencia"/>
      </w:pPr>
    </w:p>
    <w:p w14:paraId="170CB988" w14:textId="7538D90F" w:rsidR="00D50628" w:rsidRDefault="00D50628" w:rsidP="00D50628">
      <w:pPr>
        <w:pStyle w:val="EntradaSumario"/>
      </w:pPr>
      <w:r w:rsidRPr="00D50628">
        <w:rPr>
          <w:rStyle w:val="TextoNormalCaracter"/>
        </w:rPr>
        <w:t xml:space="preserve">Recurso de amparo 5726-2021. </w:t>
      </w:r>
      <w:r w:rsidRPr="00D50628">
        <w:rPr>
          <w:rStyle w:val="TextoNormalCursivaCaracter"/>
        </w:rPr>
        <w:t xml:space="preserve"> Supuesta vulneración de los derechos a un proceso con todas las garantías, al juez ordinario predeterminado por la ley y a la presunción de inocencia: valoración del testimonio de quien, siendo pareja del acusado, desplegó una concluyente actividad procesal reveladora de su voluntad de renunciar a la dispensa de la obligación de declarar; intervención del juez que presidió la vista oral tendente a depurar los hechos que no afecta a su imparcialidad. Voto particular.</w:t>
      </w:r>
      <w:r>
        <w:tab/>
      </w:r>
      <w:r>
        <w:tab/>
      </w:r>
      <w:r>
        <w:fldChar w:fldCharType="begin"/>
      </w:r>
      <w:r>
        <w:instrText xml:space="preserve"> PAGEREF SENTENCIA_2025_41 \h </w:instrText>
      </w:r>
      <w:r>
        <w:fldChar w:fldCharType="separate"/>
      </w:r>
      <w:r>
        <w:rPr>
          <w:noProof/>
        </w:rPr>
        <w:t>640</w:t>
      </w:r>
      <w:r>
        <w:fldChar w:fldCharType="end"/>
      </w:r>
    </w:p>
    <w:p w14:paraId="589CA1DC" w14:textId="77777777" w:rsidR="00D50628" w:rsidRDefault="00D50628" w:rsidP="00D50628"/>
    <w:p w14:paraId="4FA19CAD" w14:textId="77777777" w:rsidR="00D50628" w:rsidRDefault="00D50628" w:rsidP="00D50628">
      <w:pPr>
        <w:pStyle w:val="EntradandiceSentencia"/>
      </w:pPr>
      <w:r>
        <w:t>Pleno. Sentencia 42/2025, de 12 de febrero de 2025</w:t>
      </w:r>
    </w:p>
    <w:p w14:paraId="405C681C" w14:textId="3412C879" w:rsidR="00D50628" w:rsidRDefault="00D50628" w:rsidP="00D50628">
      <w:pPr>
        <w:pStyle w:val="EntradandiceSentencia"/>
      </w:pPr>
    </w:p>
    <w:p w14:paraId="36023044" w14:textId="181E27AB" w:rsidR="00D50628" w:rsidRDefault="00D50628" w:rsidP="00D50628">
      <w:pPr>
        <w:pStyle w:val="EntradaSumario"/>
      </w:pPr>
      <w:r w:rsidRPr="00D50628">
        <w:rPr>
          <w:rStyle w:val="TextoNormalCaracter"/>
        </w:rPr>
        <w:t xml:space="preserve">Cuestión de inconstitucionalidad 2795-2024. </w:t>
      </w:r>
      <w:r w:rsidRPr="00D50628">
        <w:rPr>
          <w:rStyle w:val="TextoNormalCursivaCaracter"/>
        </w:rPr>
        <w:t xml:space="preserve"> Competencias sobre función pública: STC 17/2022 (nulidad de la previsión legal autonómica que establece un sistema de promoción interna basado exclusivamente en la posesión de la titulación académica y prescinde de la superación de las correspondientes pruebas selectivas).</w:t>
      </w:r>
      <w:r>
        <w:tab/>
      </w:r>
      <w:r>
        <w:tab/>
      </w:r>
      <w:r>
        <w:fldChar w:fldCharType="begin"/>
      </w:r>
      <w:r>
        <w:instrText xml:space="preserve"> PAGEREF SENTENCIA_2025_42 \h </w:instrText>
      </w:r>
      <w:r>
        <w:fldChar w:fldCharType="separate"/>
      </w:r>
      <w:r>
        <w:rPr>
          <w:noProof/>
        </w:rPr>
        <w:t>669</w:t>
      </w:r>
      <w:r>
        <w:fldChar w:fldCharType="end"/>
      </w:r>
    </w:p>
    <w:p w14:paraId="0A61C984" w14:textId="77777777" w:rsidR="00D50628" w:rsidRDefault="00D50628" w:rsidP="00D50628"/>
    <w:p w14:paraId="5991126C" w14:textId="77777777" w:rsidR="00D50628" w:rsidRDefault="00D50628" w:rsidP="00D50628">
      <w:pPr>
        <w:pStyle w:val="EntradandiceSentencia"/>
      </w:pPr>
      <w:r>
        <w:t>Pleno. Sentencia 43/2025, de 12 de febrero de 2025</w:t>
      </w:r>
    </w:p>
    <w:p w14:paraId="781B9B60" w14:textId="5624B719" w:rsidR="00D50628" w:rsidRDefault="00D50628" w:rsidP="00D50628">
      <w:pPr>
        <w:pStyle w:val="EntradandiceSentencia"/>
      </w:pPr>
    </w:p>
    <w:p w14:paraId="2DB8B2FE" w14:textId="73B426EF" w:rsidR="00D50628" w:rsidRDefault="00D50628" w:rsidP="00D50628">
      <w:pPr>
        <w:pStyle w:val="EntradaSumario"/>
      </w:pPr>
      <w:r w:rsidRPr="00D50628">
        <w:rPr>
          <w:rStyle w:val="TextoNormalCaracter"/>
        </w:rPr>
        <w:t xml:space="preserve">Impugnación de disposiciones autonómicas 7118-2024. </w:t>
      </w:r>
      <w:r w:rsidRPr="00D50628">
        <w:rPr>
          <w:rStyle w:val="TextoNormalCursivaCaracter"/>
        </w:rPr>
        <w:t xml:space="preserve"> Competencias sobre inmigración, extranjería y asistencia social: resolución administrativa y acuerdo gubernamental que excluyen de la función protectora a los menores migrantes no acompañados rescatados en el mar o interceptados a su llegada a la costa.</w:t>
      </w:r>
      <w:r>
        <w:tab/>
      </w:r>
      <w:r>
        <w:tab/>
      </w:r>
      <w:r>
        <w:fldChar w:fldCharType="begin"/>
      </w:r>
      <w:r>
        <w:instrText xml:space="preserve"> PAGEREF SENTENCIA_2025_43 \h </w:instrText>
      </w:r>
      <w:r>
        <w:fldChar w:fldCharType="separate"/>
      </w:r>
      <w:r>
        <w:rPr>
          <w:noProof/>
        </w:rPr>
        <w:t>683</w:t>
      </w:r>
      <w:r>
        <w:fldChar w:fldCharType="end"/>
      </w:r>
    </w:p>
    <w:p w14:paraId="41043C62" w14:textId="77777777" w:rsidR="00D50628" w:rsidRDefault="00D50628" w:rsidP="00D50628"/>
    <w:p w14:paraId="291EEB9B" w14:textId="77777777" w:rsidR="00D50628" w:rsidRDefault="00D50628" w:rsidP="00D50628">
      <w:pPr>
        <w:pStyle w:val="EntradandiceSentencia"/>
      </w:pPr>
      <w:r>
        <w:t>Pleno. Sentencia 44/2025, de 12 de febrero de 2025</w:t>
      </w:r>
    </w:p>
    <w:p w14:paraId="12DD3308" w14:textId="4AFB6357" w:rsidR="00D50628" w:rsidRDefault="00D50628" w:rsidP="00D50628">
      <w:pPr>
        <w:pStyle w:val="EntradandiceSentencia"/>
      </w:pPr>
    </w:p>
    <w:p w14:paraId="41892B45" w14:textId="69C629F3" w:rsidR="00D50628" w:rsidRDefault="00D50628" w:rsidP="00D50628">
      <w:pPr>
        <w:pStyle w:val="EntradaSumario"/>
      </w:pPr>
      <w:r w:rsidRPr="00D50628">
        <w:rPr>
          <w:rStyle w:val="TextoNormalCaracter"/>
        </w:rPr>
        <w:t xml:space="preserve">Recurso de inconstitucionalidad 7245-2024. </w:t>
      </w:r>
      <w:r w:rsidRPr="00D50628">
        <w:rPr>
          <w:rStyle w:val="TextoNormalCursivaCaracter"/>
        </w:rPr>
        <w:t xml:space="preserve"> Competencias sobre procedimiento administrativo y contratación pública: constitucionalidad de la regulación autonómica sobre la tramitación urgente de procedimientos de ejecución de gastos con cargo a fondos europeos provenientes del Instrumento Europeo de Recuperación.</w:t>
      </w:r>
      <w:r>
        <w:tab/>
      </w:r>
      <w:r>
        <w:tab/>
      </w:r>
      <w:r>
        <w:fldChar w:fldCharType="begin"/>
      </w:r>
      <w:r>
        <w:instrText xml:space="preserve"> PAGEREF SENTENCIA_2025_44 \h </w:instrText>
      </w:r>
      <w:r>
        <w:fldChar w:fldCharType="separate"/>
      </w:r>
      <w:r>
        <w:rPr>
          <w:noProof/>
        </w:rPr>
        <w:t>706</w:t>
      </w:r>
      <w:r>
        <w:fldChar w:fldCharType="end"/>
      </w:r>
    </w:p>
    <w:p w14:paraId="5B081CAA" w14:textId="77777777" w:rsidR="00D50628" w:rsidRDefault="00D50628" w:rsidP="00D50628"/>
    <w:p w14:paraId="41087217" w14:textId="77777777" w:rsidR="00D50628" w:rsidRDefault="00D50628" w:rsidP="00D50628">
      <w:pPr>
        <w:pStyle w:val="EntradandiceSentencia"/>
      </w:pPr>
      <w:r>
        <w:lastRenderedPageBreak/>
        <w:t>Sala Segunda. Sentencia 45/2025, de 24 de febrero de 2025</w:t>
      </w:r>
    </w:p>
    <w:p w14:paraId="686B7471" w14:textId="7D5F0324" w:rsidR="00D50628" w:rsidRDefault="00D50628" w:rsidP="00D50628">
      <w:pPr>
        <w:pStyle w:val="EntradandiceSentencia"/>
      </w:pPr>
    </w:p>
    <w:p w14:paraId="0D22633E" w14:textId="40AA1EDE" w:rsidR="00D50628" w:rsidRDefault="00D50628" w:rsidP="00D50628">
      <w:pPr>
        <w:pStyle w:val="EntradaSumario"/>
      </w:pPr>
      <w:r w:rsidRPr="00D50628">
        <w:rPr>
          <w:rStyle w:val="TextoNormalCaracter"/>
        </w:rPr>
        <w:t xml:space="preserve">Recurso de amparo 5335-2023. </w:t>
      </w:r>
      <w:r w:rsidRPr="00D50628">
        <w:rPr>
          <w:rStyle w:val="TextoNormalCursivaCaracter"/>
        </w:rPr>
        <w:t xml:space="preserve"> Vulneración del derecho a la tutela judicial efectiva (resolución fundada en Derecho): resoluciones judiciales que, ignorando el principio de efectividad del Derecho de la Unión Europea, deniegan la imposición de costas en un proceso en el que se ha declarado el carácter abusivo de cláusulas contractuales (SSTC 91/2023 y 96/2023).</w:t>
      </w:r>
      <w:r>
        <w:tab/>
      </w:r>
      <w:r>
        <w:tab/>
      </w:r>
      <w:r>
        <w:fldChar w:fldCharType="begin"/>
      </w:r>
      <w:r>
        <w:instrText xml:space="preserve"> PAGEREF SENTENCIA_2025_45 \h </w:instrText>
      </w:r>
      <w:r>
        <w:fldChar w:fldCharType="separate"/>
      </w:r>
      <w:r>
        <w:rPr>
          <w:noProof/>
        </w:rPr>
        <w:t>723</w:t>
      </w:r>
      <w:r>
        <w:fldChar w:fldCharType="end"/>
      </w:r>
    </w:p>
    <w:p w14:paraId="756385DD" w14:textId="77777777" w:rsidR="00D50628" w:rsidRDefault="00D50628" w:rsidP="00D50628"/>
    <w:p w14:paraId="5853FA10" w14:textId="77777777" w:rsidR="00D50628" w:rsidRDefault="00D50628" w:rsidP="00D50628">
      <w:pPr>
        <w:pStyle w:val="EntradandiceSentencia"/>
      </w:pPr>
      <w:r>
        <w:t>Sala Segunda. Sentencia 46/2025, de 24 de febrero de 2025</w:t>
      </w:r>
    </w:p>
    <w:p w14:paraId="706D5189" w14:textId="2CDDE982" w:rsidR="00D50628" w:rsidRDefault="00D50628" w:rsidP="00D50628">
      <w:pPr>
        <w:pStyle w:val="EntradandiceSentencia"/>
      </w:pPr>
    </w:p>
    <w:p w14:paraId="69204D93" w14:textId="1076DED5" w:rsidR="00D50628" w:rsidRDefault="00D50628" w:rsidP="00D50628">
      <w:pPr>
        <w:pStyle w:val="EntradaSumario"/>
      </w:pPr>
      <w:r w:rsidRPr="00D50628">
        <w:rPr>
          <w:rStyle w:val="TextoNormalCaracter"/>
        </w:rPr>
        <w:t xml:space="preserve">Recurso de amparo 911-2024.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SENTENCIA_2025_46 \h </w:instrText>
      </w:r>
      <w:r>
        <w:fldChar w:fldCharType="separate"/>
      </w:r>
      <w:r>
        <w:rPr>
          <w:noProof/>
        </w:rPr>
        <w:t>733</w:t>
      </w:r>
      <w:r>
        <w:fldChar w:fldCharType="end"/>
      </w:r>
    </w:p>
    <w:p w14:paraId="2E44C73A" w14:textId="77777777" w:rsidR="00D50628" w:rsidRDefault="00D50628" w:rsidP="00D50628"/>
    <w:p w14:paraId="71CB14FE" w14:textId="77777777" w:rsidR="00D50628" w:rsidRDefault="00D50628" w:rsidP="00D50628">
      <w:pPr>
        <w:pStyle w:val="EntradandiceSentencia"/>
      </w:pPr>
      <w:r>
        <w:t>Sala Primera. Sentencia 47/2025, de 24 de febrero de 2025</w:t>
      </w:r>
    </w:p>
    <w:p w14:paraId="36E25F70" w14:textId="2574180B" w:rsidR="00D50628" w:rsidRDefault="00D50628" w:rsidP="00D50628">
      <w:pPr>
        <w:pStyle w:val="EntradandiceSentencia"/>
      </w:pPr>
    </w:p>
    <w:p w14:paraId="249335B8" w14:textId="6950EB67" w:rsidR="00D50628" w:rsidRDefault="00D50628" w:rsidP="00D50628">
      <w:pPr>
        <w:pStyle w:val="EntradaSumario"/>
      </w:pPr>
      <w:r w:rsidRPr="00D50628">
        <w:rPr>
          <w:rStyle w:val="TextoNormalCaracter"/>
        </w:rPr>
        <w:t xml:space="preserve">Recurso de amparo 3089-2024.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SENTENCIA_2025_47 \h </w:instrText>
      </w:r>
      <w:r>
        <w:fldChar w:fldCharType="separate"/>
      </w:r>
      <w:r>
        <w:rPr>
          <w:noProof/>
        </w:rPr>
        <w:t>741</w:t>
      </w:r>
      <w:r>
        <w:fldChar w:fldCharType="end"/>
      </w:r>
    </w:p>
    <w:p w14:paraId="39D2FC02" w14:textId="77777777" w:rsidR="00D50628" w:rsidRDefault="00D50628" w:rsidP="00D50628"/>
    <w:p w14:paraId="2DCEB720" w14:textId="77777777" w:rsidR="00D50628" w:rsidRDefault="00D50628" w:rsidP="00D50628">
      <w:pPr>
        <w:pStyle w:val="EntradandiceSentencia"/>
      </w:pPr>
      <w:r>
        <w:t>Sala Primera. Sentencia 48/2025, de 24 de febrero de 2025</w:t>
      </w:r>
    </w:p>
    <w:p w14:paraId="2069C8CC" w14:textId="15490843" w:rsidR="00D50628" w:rsidRDefault="00D50628" w:rsidP="00D50628">
      <w:pPr>
        <w:pStyle w:val="EntradandiceSentencia"/>
      </w:pPr>
    </w:p>
    <w:p w14:paraId="60831B90" w14:textId="6E84CC3E" w:rsidR="00D50628" w:rsidRDefault="00D50628" w:rsidP="00D50628">
      <w:pPr>
        <w:pStyle w:val="EntradaSumario"/>
      </w:pPr>
      <w:r w:rsidRPr="00D50628">
        <w:rPr>
          <w:rStyle w:val="TextoNormalCaracter"/>
        </w:rPr>
        <w:t xml:space="preserve">Recurso de amparo 3301-2024.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SENTENCIA_2025_48 \h </w:instrText>
      </w:r>
      <w:r>
        <w:fldChar w:fldCharType="separate"/>
      </w:r>
      <w:r>
        <w:rPr>
          <w:noProof/>
        </w:rPr>
        <w:t>747</w:t>
      </w:r>
      <w:r>
        <w:fldChar w:fldCharType="end"/>
      </w:r>
    </w:p>
    <w:p w14:paraId="2197F7E3" w14:textId="77777777" w:rsidR="00D50628" w:rsidRDefault="00D50628" w:rsidP="00D50628"/>
    <w:p w14:paraId="66E05701" w14:textId="77777777" w:rsidR="00D50628" w:rsidRDefault="00D50628" w:rsidP="00D50628">
      <w:pPr>
        <w:pStyle w:val="EntradandiceSentencia"/>
      </w:pPr>
      <w:r>
        <w:t>Sala Segunda. Sentencia 49/2025, de 24 de febrero de 2025</w:t>
      </w:r>
    </w:p>
    <w:p w14:paraId="05B3AE06" w14:textId="5927CC95" w:rsidR="00D50628" w:rsidRDefault="00D50628" w:rsidP="00D50628">
      <w:pPr>
        <w:pStyle w:val="EntradandiceSentencia"/>
      </w:pPr>
    </w:p>
    <w:p w14:paraId="5785DC5F" w14:textId="45D8C26C" w:rsidR="00D50628" w:rsidRDefault="00D50628" w:rsidP="00D50628">
      <w:pPr>
        <w:pStyle w:val="EntradaSumario"/>
      </w:pPr>
      <w:r w:rsidRPr="00D50628">
        <w:rPr>
          <w:rStyle w:val="TextoNormalCaracter"/>
        </w:rPr>
        <w:t xml:space="preserve">Recurso de amparo 4406-2024. </w:t>
      </w:r>
      <w:r w:rsidRPr="00D50628">
        <w:rPr>
          <w:rStyle w:val="TextoNormalCursivaCaracter"/>
        </w:rPr>
        <w:t xml:space="preserve"> Vulneración del derecho a la tutela judicial efectiva en relación con el derecho a la libertad personal: revocación de la sus</w:t>
      </w:r>
      <w:r w:rsidRPr="00D50628">
        <w:rPr>
          <w:rStyle w:val="TextoNormalCursivaCaracter"/>
        </w:rPr>
        <w:lastRenderedPageBreak/>
        <w:t>pensión de la pena de prisión, al no haberse satisfecho la responsabilidad civil, que no satisface las exigencias constitucionales de motivación reforzada (STC 32/2022).</w:t>
      </w:r>
      <w:r>
        <w:tab/>
      </w:r>
      <w:r>
        <w:tab/>
      </w:r>
      <w:r>
        <w:fldChar w:fldCharType="begin"/>
      </w:r>
      <w:r>
        <w:instrText xml:space="preserve"> PAGEREF SENTENCIA_2025_49 \h </w:instrText>
      </w:r>
      <w:r>
        <w:fldChar w:fldCharType="separate"/>
      </w:r>
      <w:r>
        <w:rPr>
          <w:noProof/>
        </w:rPr>
        <w:t>753</w:t>
      </w:r>
      <w:r>
        <w:fldChar w:fldCharType="end"/>
      </w:r>
    </w:p>
    <w:p w14:paraId="0CA91F88" w14:textId="77777777" w:rsidR="00D50628" w:rsidRDefault="00D50628" w:rsidP="00D50628"/>
    <w:p w14:paraId="24374514" w14:textId="77777777" w:rsidR="00D50628" w:rsidRDefault="00D50628" w:rsidP="00D50628">
      <w:pPr>
        <w:pStyle w:val="EntradandiceSentencia"/>
      </w:pPr>
      <w:r>
        <w:t>Sala Primera. Sentencia 50/2025, de 24 de febrero de 2025</w:t>
      </w:r>
    </w:p>
    <w:p w14:paraId="74B35247" w14:textId="1E685951" w:rsidR="00D50628" w:rsidRDefault="00D50628" w:rsidP="00D50628">
      <w:pPr>
        <w:pStyle w:val="EntradandiceSentencia"/>
      </w:pPr>
    </w:p>
    <w:p w14:paraId="2F86A325" w14:textId="5EEC5220" w:rsidR="00D50628" w:rsidRDefault="00D50628" w:rsidP="00D50628">
      <w:pPr>
        <w:pStyle w:val="EntradaSumario"/>
      </w:pPr>
      <w:r w:rsidRPr="00D50628">
        <w:rPr>
          <w:rStyle w:val="TextoNormalCaracter"/>
        </w:rPr>
        <w:t xml:space="preserve">Recurso de amparo 5252-2024.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SENTENCIA_2025_50 \h </w:instrText>
      </w:r>
      <w:r>
        <w:fldChar w:fldCharType="separate"/>
      </w:r>
      <w:r>
        <w:rPr>
          <w:noProof/>
        </w:rPr>
        <w:t>762</w:t>
      </w:r>
      <w:r>
        <w:fldChar w:fldCharType="end"/>
      </w:r>
    </w:p>
    <w:p w14:paraId="4462BD97" w14:textId="77777777" w:rsidR="00D50628" w:rsidRDefault="00D50628" w:rsidP="00D50628"/>
    <w:p w14:paraId="0B1C859F" w14:textId="77777777" w:rsidR="00D50628" w:rsidRDefault="00D50628" w:rsidP="00D50628">
      <w:pPr>
        <w:pStyle w:val="EntradandiceSentencia"/>
      </w:pPr>
      <w:r>
        <w:t>Pleno. Sentencia 51/2025, de 26 de febrero de 2025</w:t>
      </w:r>
    </w:p>
    <w:p w14:paraId="752F0C6F" w14:textId="28FCF3AA" w:rsidR="00D50628" w:rsidRDefault="00D50628" w:rsidP="00D50628">
      <w:pPr>
        <w:pStyle w:val="EntradandiceSentencia"/>
      </w:pPr>
    </w:p>
    <w:p w14:paraId="6C968549" w14:textId="415A8904" w:rsidR="00D50628" w:rsidRDefault="00D50628" w:rsidP="00D50628">
      <w:pPr>
        <w:pStyle w:val="EntradaSumario"/>
      </w:pPr>
      <w:r w:rsidRPr="00D50628">
        <w:rPr>
          <w:rStyle w:val="TextoNormalCaracter"/>
        </w:rPr>
        <w:t xml:space="preserve">Recurso de amparo 8005-2021. </w:t>
      </w:r>
      <w:r w:rsidRPr="00D50628">
        <w:rPr>
          <w:rStyle w:val="TextoNormalCursivaCaracter"/>
        </w:rPr>
        <w:t xml:space="preserve"> Supuesta vulneración del derecho a la legalidad penal: interpretación razonable y acorde a las exigencias constitucionales del precepto legal que tipifica el incumplimiento por los funcionarios públicos de las normas legalmente establecidas para la constitución de las juntas y mesas electorales.</w:t>
      </w:r>
      <w:r>
        <w:tab/>
      </w:r>
      <w:r>
        <w:tab/>
      </w:r>
      <w:r>
        <w:fldChar w:fldCharType="begin"/>
      </w:r>
      <w:r>
        <w:instrText xml:space="preserve"> PAGEREF SENTENCIA_2025_51 \h </w:instrText>
      </w:r>
      <w:r>
        <w:fldChar w:fldCharType="separate"/>
      </w:r>
      <w:r>
        <w:rPr>
          <w:noProof/>
        </w:rPr>
        <w:t>771</w:t>
      </w:r>
      <w:r>
        <w:fldChar w:fldCharType="end"/>
      </w:r>
    </w:p>
    <w:p w14:paraId="5E326084" w14:textId="77777777" w:rsidR="00D50628" w:rsidRDefault="00D50628" w:rsidP="00D50628"/>
    <w:p w14:paraId="290CDF41" w14:textId="77777777" w:rsidR="00D50628" w:rsidRDefault="00D50628" w:rsidP="00D50628">
      <w:pPr>
        <w:pStyle w:val="EntradandiceSentencia"/>
      </w:pPr>
      <w:r>
        <w:t>Sala Primera. Sentencia 52/2025, de 10 de marzo de 2025</w:t>
      </w:r>
    </w:p>
    <w:p w14:paraId="4D6B2925" w14:textId="23164975" w:rsidR="00D50628" w:rsidRDefault="00D50628" w:rsidP="00D50628">
      <w:pPr>
        <w:pStyle w:val="EntradandiceSentencia"/>
      </w:pPr>
    </w:p>
    <w:p w14:paraId="6019998F" w14:textId="4E7ACD92" w:rsidR="00D50628" w:rsidRDefault="00D50628" w:rsidP="00D50628">
      <w:pPr>
        <w:pStyle w:val="EntradaSumario"/>
      </w:pPr>
      <w:r w:rsidRPr="00D50628">
        <w:rPr>
          <w:rStyle w:val="TextoNormalCaracter"/>
        </w:rPr>
        <w:t xml:space="preserve">Recurso de amparo 2049-2020. </w:t>
      </w:r>
      <w:r w:rsidRPr="00D50628">
        <w:rPr>
          <w:rStyle w:val="TextoNormalCursivaCaracter"/>
        </w:rPr>
        <w:t xml:space="preserve"> Supuesta vulneración del derecho al ejercicio de las funciones representativas: interpretación extensiva de las facultades de la diputación permanente que responde a la finalidad de garantizar en lo posible la continuidad de la actividad parlamentaria (STC 40/2025). Voto particular.</w:t>
      </w:r>
      <w:r>
        <w:tab/>
      </w:r>
      <w:r>
        <w:tab/>
      </w:r>
      <w:r>
        <w:fldChar w:fldCharType="begin"/>
      </w:r>
      <w:r>
        <w:instrText xml:space="preserve"> PAGEREF SENTENCIA_2025_52 \h </w:instrText>
      </w:r>
      <w:r>
        <w:fldChar w:fldCharType="separate"/>
      </w:r>
      <w:r>
        <w:rPr>
          <w:noProof/>
        </w:rPr>
        <w:t>793</w:t>
      </w:r>
      <w:r>
        <w:fldChar w:fldCharType="end"/>
      </w:r>
    </w:p>
    <w:p w14:paraId="1F3DE188" w14:textId="77777777" w:rsidR="00D50628" w:rsidRDefault="00D50628" w:rsidP="00D50628"/>
    <w:p w14:paraId="460B536F" w14:textId="77777777" w:rsidR="00D50628" w:rsidRDefault="00D50628" w:rsidP="00D50628">
      <w:pPr>
        <w:pStyle w:val="EntradandiceSentencia"/>
      </w:pPr>
      <w:r>
        <w:t>Sala Primera. Sentencia 53/2025, de 10 de marzo de 2025</w:t>
      </w:r>
    </w:p>
    <w:p w14:paraId="20BC542E" w14:textId="73F62C38" w:rsidR="00D50628" w:rsidRDefault="00D50628" w:rsidP="00D50628">
      <w:pPr>
        <w:pStyle w:val="EntradandiceSentencia"/>
      </w:pPr>
    </w:p>
    <w:p w14:paraId="53033B6B" w14:textId="58CA54CE" w:rsidR="00D50628" w:rsidRDefault="00D50628" w:rsidP="00D50628">
      <w:pPr>
        <w:pStyle w:val="EntradaSumario"/>
      </w:pPr>
      <w:r w:rsidRPr="00D50628">
        <w:rPr>
          <w:rStyle w:val="TextoNormalCaracter"/>
        </w:rPr>
        <w:t xml:space="preserve">Recurso de amparo 3018-2020. </w:t>
      </w:r>
      <w:r w:rsidRPr="00D50628">
        <w:rPr>
          <w:rStyle w:val="TextoNormalCursivaCaracter"/>
        </w:rPr>
        <w:t xml:space="preserve"> Supuesta vulneración del derecho al ejercicio de las funciones representativas: interpretación extensiva de las facultades de la diputación permanente que responde a la finalidad de garantizar en lo posible la continuidad de la actividad parlamentaria (STC 40/2025). Voto particular.</w:t>
      </w:r>
      <w:r>
        <w:tab/>
      </w:r>
      <w:r>
        <w:tab/>
      </w:r>
      <w:r>
        <w:fldChar w:fldCharType="begin"/>
      </w:r>
      <w:r>
        <w:instrText xml:space="preserve"> PAGEREF SENTENCIA_2025_53 \h </w:instrText>
      </w:r>
      <w:r>
        <w:fldChar w:fldCharType="separate"/>
      </w:r>
      <w:r>
        <w:rPr>
          <w:noProof/>
        </w:rPr>
        <w:t>800</w:t>
      </w:r>
      <w:r>
        <w:fldChar w:fldCharType="end"/>
      </w:r>
    </w:p>
    <w:p w14:paraId="0BF92EAA" w14:textId="77777777" w:rsidR="00D50628" w:rsidRDefault="00D50628" w:rsidP="00D50628"/>
    <w:p w14:paraId="6E132CB7" w14:textId="77777777" w:rsidR="00D50628" w:rsidRDefault="00D50628" w:rsidP="00D50628">
      <w:pPr>
        <w:pStyle w:val="EntradandiceSentencia"/>
      </w:pPr>
      <w:r>
        <w:t>Sala Segunda. Sentencia 54/2025, de 10 de marzo de 2025</w:t>
      </w:r>
    </w:p>
    <w:p w14:paraId="17ABE364" w14:textId="383F43A7" w:rsidR="00D50628" w:rsidRDefault="00D50628" w:rsidP="00D50628">
      <w:pPr>
        <w:pStyle w:val="EntradandiceSentencia"/>
      </w:pPr>
    </w:p>
    <w:p w14:paraId="3CB07C59" w14:textId="3DE7601A" w:rsidR="00D50628" w:rsidRDefault="00D50628" w:rsidP="00D50628">
      <w:pPr>
        <w:pStyle w:val="EntradaSumario"/>
      </w:pPr>
      <w:r w:rsidRPr="00D50628">
        <w:rPr>
          <w:rStyle w:val="TextoNormalCaracter"/>
        </w:rPr>
        <w:t xml:space="preserve">Recurso de amparo 2024-2022. </w:t>
      </w:r>
      <w:r w:rsidRPr="00D50628">
        <w:rPr>
          <w:rStyle w:val="TextoNormalCursivaCaracter"/>
        </w:rPr>
        <w:t xml:space="preserve"> Vulneración del derecho a la tutela judicial efectiva (motivación), en conexión con el principio de interés superior del menor </w:t>
      </w:r>
      <w:r w:rsidRPr="00D50628">
        <w:rPr>
          <w:rStyle w:val="TextoNormalCursivaCaracter"/>
        </w:rPr>
        <w:lastRenderedPageBreak/>
        <w:t>y la libertad de circulación y residencia: resolución judicial que no pondera adecuadamente los intereses y derechos en presencia y no tiene en cuenta las nuevas circunstancias y las dinámicas inherentes a la violencia de género. Voto particular.</w:t>
      </w:r>
      <w:r>
        <w:tab/>
      </w:r>
      <w:r>
        <w:tab/>
      </w:r>
      <w:r>
        <w:fldChar w:fldCharType="begin"/>
      </w:r>
      <w:r>
        <w:instrText xml:space="preserve"> PAGEREF SENTENCIA_2025_54 \h </w:instrText>
      </w:r>
      <w:r>
        <w:fldChar w:fldCharType="separate"/>
      </w:r>
      <w:r>
        <w:rPr>
          <w:noProof/>
        </w:rPr>
        <w:t>807</w:t>
      </w:r>
      <w:r>
        <w:fldChar w:fldCharType="end"/>
      </w:r>
    </w:p>
    <w:p w14:paraId="6ED5E624" w14:textId="77777777" w:rsidR="00D50628" w:rsidRDefault="00D50628" w:rsidP="00D50628"/>
    <w:p w14:paraId="2A0C49EF" w14:textId="77777777" w:rsidR="00D50628" w:rsidRDefault="00D50628" w:rsidP="00D50628">
      <w:pPr>
        <w:pStyle w:val="EntradandiceSentencia"/>
      </w:pPr>
      <w:r>
        <w:t>Sala Segunda. Sentencia 55/2025, de 10 de marzo de 2025</w:t>
      </w:r>
    </w:p>
    <w:p w14:paraId="5A61D4C6" w14:textId="762CA6EA" w:rsidR="00D50628" w:rsidRDefault="00D50628" w:rsidP="00D50628">
      <w:pPr>
        <w:pStyle w:val="EntradandiceSentencia"/>
      </w:pPr>
    </w:p>
    <w:p w14:paraId="295A2732" w14:textId="77A7557C" w:rsidR="00D50628" w:rsidRDefault="00D50628" w:rsidP="00D50628">
      <w:pPr>
        <w:pStyle w:val="EntradaSumario"/>
      </w:pPr>
      <w:r w:rsidRPr="00D50628">
        <w:rPr>
          <w:rStyle w:val="TextoNormalCaracter"/>
        </w:rPr>
        <w:t xml:space="preserve">Recurso de amparo 5159-2023. </w:t>
      </w:r>
      <w:r w:rsidRPr="00D50628">
        <w:rPr>
          <w:rStyle w:val="TextoNormalCursivaCaracter"/>
        </w:rPr>
        <w:t xml:space="preserve"> Vulneración del derecho a la tutela judicial efectiva (acceso a la jurisdicción): inadmisión de demanda fundada en la falta de aportación de una carta de despido que no poseía la parte actora.</w:t>
      </w:r>
      <w:r>
        <w:tab/>
      </w:r>
      <w:r>
        <w:tab/>
      </w:r>
      <w:r>
        <w:fldChar w:fldCharType="begin"/>
      </w:r>
      <w:r>
        <w:instrText xml:space="preserve"> PAGEREF SENTENCIA_2025_55 \h </w:instrText>
      </w:r>
      <w:r>
        <w:fldChar w:fldCharType="separate"/>
      </w:r>
      <w:r>
        <w:rPr>
          <w:noProof/>
        </w:rPr>
        <w:t>842</w:t>
      </w:r>
      <w:r>
        <w:fldChar w:fldCharType="end"/>
      </w:r>
    </w:p>
    <w:p w14:paraId="515E64A9" w14:textId="77777777" w:rsidR="00D50628" w:rsidRDefault="00D50628" w:rsidP="00D50628"/>
    <w:p w14:paraId="1839B4D2" w14:textId="77777777" w:rsidR="00D50628" w:rsidRDefault="00D50628" w:rsidP="00D50628">
      <w:pPr>
        <w:pStyle w:val="EntradandiceSentencia"/>
      </w:pPr>
      <w:r>
        <w:t>Sala Segunda. Sentencia 56/2025, de 10 de marzo de 2025</w:t>
      </w:r>
    </w:p>
    <w:p w14:paraId="52C62596" w14:textId="169CCB8E" w:rsidR="00D50628" w:rsidRDefault="00D50628" w:rsidP="00D50628">
      <w:pPr>
        <w:pStyle w:val="EntradandiceSentencia"/>
      </w:pPr>
    </w:p>
    <w:p w14:paraId="1B59A1E1" w14:textId="0A12E68E" w:rsidR="00D50628" w:rsidRDefault="00D50628" w:rsidP="00D50628">
      <w:pPr>
        <w:pStyle w:val="EntradaSumario"/>
      </w:pPr>
      <w:r w:rsidRPr="00D50628">
        <w:rPr>
          <w:rStyle w:val="TextoNormalCaracter"/>
        </w:rPr>
        <w:t xml:space="preserve">Recurso de amparo 300-2024.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SENTENCIA_2025_56 \h </w:instrText>
      </w:r>
      <w:r>
        <w:fldChar w:fldCharType="separate"/>
      </w:r>
      <w:r>
        <w:rPr>
          <w:noProof/>
        </w:rPr>
        <w:t>851</w:t>
      </w:r>
      <w:r>
        <w:fldChar w:fldCharType="end"/>
      </w:r>
    </w:p>
    <w:p w14:paraId="2AF8B0F3" w14:textId="77777777" w:rsidR="00D50628" w:rsidRDefault="00D50628" w:rsidP="00D50628"/>
    <w:p w14:paraId="2E1E02C7" w14:textId="77777777" w:rsidR="00D50628" w:rsidRDefault="00D50628" w:rsidP="00D50628">
      <w:pPr>
        <w:pStyle w:val="EntradandiceSentencia"/>
      </w:pPr>
      <w:r>
        <w:t>Sala Segunda. Sentencia 57/2025, de 10 de marzo de 2025</w:t>
      </w:r>
    </w:p>
    <w:p w14:paraId="2F7BCE9A" w14:textId="3BB1C6A2" w:rsidR="00D50628" w:rsidRDefault="00D50628" w:rsidP="00D50628">
      <w:pPr>
        <w:pStyle w:val="EntradandiceSentencia"/>
      </w:pPr>
    </w:p>
    <w:p w14:paraId="0781C089" w14:textId="7A7E8343" w:rsidR="00D50628" w:rsidRDefault="00D50628" w:rsidP="00D50628">
      <w:pPr>
        <w:pStyle w:val="EntradaSumario"/>
      </w:pPr>
      <w:r w:rsidRPr="00D50628">
        <w:rPr>
          <w:rStyle w:val="TextoNormalCaracter"/>
        </w:rPr>
        <w:t xml:space="preserve">Recurso de amparo 869-2024.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SENTENCIA_2025_57 \h </w:instrText>
      </w:r>
      <w:r>
        <w:fldChar w:fldCharType="separate"/>
      </w:r>
      <w:r>
        <w:rPr>
          <w:noProof/>
        </w:rPr>
        <w:t>857</w:t>
      </w:r>
      <w:r>
        <w:fldChar w:fldCharType="end"/>
      </w:r>
    </w:p>
    <w:p w14:paraId="50AD8413" w14:textId="77777777" w:rsidR="00D50628" w:rsidRDefault="00D50628" w:rsidP="00D50628"/>
    <w:p w14:paraId="40EEBCDA" w14:textId="77777777" w:rsidR="00D50628" w:rsidRDefault="00D50628" w:rsidP="00D50628">
      <w:pPr>
        <w:pStyle w:val="EntradandiceSentencia"/>
      </w:pPr>
      <w:r>
        <w:t>Sala Segunda. Sentencia 58/2025, de 10 de marzo de 2025</w:t>
      </w:r>
    </w:p>
    <w:p w14:paraId="2F7F4761" w14:textId="40E233EC" w:rsidR="00D50628" w:rsidRDefault="00D50628" w:rsidP="00D50628">
      <w:pPr>
        <w:pStyle w:val="EntradandiceSentencia"/>
      </w:pPr>
    </w:p>
    <w:p w14:paraId="7D57B038" w14:textId="2F448074" w:rsidR="00D50628" w:rsidRDefault="00D50628" w:rsidP="00D50628">
      <w:pPr>
        <w:pStyle w:val="EntradaSumario"/>
      </w:pPr>
      <w:r w:rsidRPr="00D50628">
        <w:rPr>
          <w:rStyle w:val="TextoNormalCaracter"/>
        </w:rPr>
        <w:t xml:space="preserve">Recurso de amparo 1991-2024.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SENTENCIA_2025_58 \h </w:instrText>
      </w:r>
      <w:r>
        <w:fldChar w:fldCharType="separate"/>
      </w:r>
      <w:r>
        <w:rPr>
          <w:noProof/>
        </w:rPr>
        <w:t>863</w:t>
      </w:r>
      <w:r>
        <w:fldChar w:fldCharType="end"/>
      </w:r>
    </w:p>
    <w:p w14:paraId="0D25AB82" w14:textId="77777777" w:rsidR="00D50628" w:rsidRDefault="00D50628" w:rsidP="00D50628"/>
    <w:p w14:paraId="329AB362" w14:textId="77777777" w:rsidR="00D50628" w:rsidRDefault="00D50628" w:rsidP="00D50628">
      <w:pPr>
        <w:pStyle w:val="EntradandiceSentencia"/>
      </w:pPr>
      <w:r>
        <w:lastRenderedPageBreak/>
        <w:t>Sala Segunda. Sentencia 59/2025, de 10 de marzo de 2025</w:t>
      </w:r>
    </w:p>
    <w:p w14:paraId="4B15206C" w14:textId="0489B969" w:rsidR="00D50628" w:rsidRDefault="00D50628" w:rsidP="00D50628">
      <w:pPr>
        <w:pStyle w:val="EntradandiceSentencia"/>
      </w:pPr>
    </w:p>
    <w:p w14:paraId="0DFC28F1" w14:textId="1FAE8F93" w:rsidR="00D50628" w:rsidRDefault="00D50628" w:rsidP="00D50628">
      <w:pPr>
        <w:pStyle w:val="EntradaSumario"/>
      </w:pPr>
      <w:r w:rsidRPr="00D50628">
        <w:rPr>
          <w:rStyle w:val="TextoNormalCaracter"/>
        </w:rPr>
        <w:t xml:space="preserve">Recurso de amparo 1993-2024.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SENTENCIA_2025_59 \h </w:instrText>
      </w:r>
      <w:r>
        <w:fldChar w:fldCharType="separate"/>
      </w:r>
      <w:r>
        <w:rPr>
          <w:noProof/>
        </w:rPr>
        <w:t>870</w:t>
      </w:r>
      <w:r>
        <w:fldChar w:fldCharType="end"/>
      </w:r>
    </w:p>
    <w:p w14:paraId="2DBAC9D1" w14:textId="77777777" w:rsidR="00D50628" w:rsidRDefault="00D50628" w:rsidP="00D50628"/>
    <w:p w14:paraId="583E69CE" w14:textId="77777777" w:rsidR="00D50628" w:rsidRDefault="00D50628" w:rsidP="00D50628">
      <w:pPr>
        <w:pStyle w:val="EntradandiceSentencia"/>
      </w:pPr>
      <w:r>
        <w:t>Sala Segunda. Sentencia 60/2025, de 10 de marzo de 2025</w:t>
      </w:r>
    </w:p>
    <w:p w14:paraId="057C6C0D" w14:textId="1149D35E" w:rsidR="00D50628" w:rsidRDefault="00D50628" w:rsidP="00D50628">
      <w:pPr>
        <w:pStyle w:val="EntradandiceSentencia"/>
      </w:pPr>
    </w:p>
    <w:p w14:paraId="5377D27C" w14:textId="1319F399" w:rsidR="00D50628" w:rsidRDefault="00D50628" w:rsidP="00D50628">
      <w:pPr>
        <w:pStyle w:val="EntradaSumario"/>
      </w:pPr>
      <w:r w:rsidRPr="00D50628">
        <w:rPr>
          <w:rStyle w:val="TextoNormalCaracter"/>
        </w:rPr>
        <w:t xml:space="preserve">Recurso de amparo 2287-2024.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SENTENCIA_2025_60 \h </w:instrText>
      </w:r>
      <w:r>
        <w:fldChar w:fldCharType="separate"/>
      </w:r>
      <w:r>
        <w:rPr>
          <w:noProof/>
        </w:rPr>
        <w:t>877</w:t>
      </w:r>
      <w:r>
        <w:fldChar w:fldCharType="end"/>
      </w:r>
    </w:p>
    <w:p w14:paraId="1771B73C" w14:textId="77777777" w:rsidR="00D50628" w:rsidRDefault="00D50628" w:rsidP="00D50628"/>
    <w:p w14:paraId="29891BAD" w14:textId="77777777" w:rsidR="00D50628" w:rsidRDefault="00D50628" w:rsidP="00D50628">
      <w:pPr>
        <w:pStyle w:val="EntradandiceSentencia"/>
      </w:pPr>
      <w:r>
        <w:t>Sala Segunda. Sentencia 61/2025, de 10 de marzo de 2025</w:t>
      </w:r>
    </w:p>
    <w:p w14:paraId="2C884F7C" w14:textId="045E1CF2" w:rsidR="00D50628" w:rsidRDefault="00D50628" w:rsidP="00D50628">
      <w:pPr>
        <w:pStyle w:val="EntradandiceSentencia"/>
      </w:pPr>
    </w:p>
    <w:p w14:paraId="0A50C856" w14:textId="3642D266" w:rsidR="00D50628" w:rsidRDefault="00D50628" w:rsidP="00D50628">
      <w:pPr>
        <w:pStyle w:val="EntradaSumario"/>
      </w:pPr>
      <w:r w:rsidRPr="00D50628">
        <w:rPr>
          <w:rStyle w:val="TextoNormalCaracter"/>
        </w:rPr>
        <w:t xml:space="preserve">Recurso de amparo 7706-2024.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SENTENCIA_2025_61 \h </w:instrText>
      </w:r>
      <w:r>
        <w:fldChar w:fldCharType="separate"/>
      </w:r>
      <w:r>
        <w:rPr>
          <w:noProof/>
        </w:rPr>
        <w:t>884</w:t>
      </w:r>
      <w:r>
        <w:fldChar w:fldCharType="end"/>
      </w:r>
    </w:p>
    <w:p w14:paraId="1ADC624D" w14:textId="77777777" w:rsidR="00D50628" w:rsidRDefault="00D50628" w:rsidP="00D50628"/>
    <w:p w14:paraId="70685BBB" w14:textId="77777777" w:rsidR="00D50628" w:rsidRDefault="00D50628" w:rsidP="00D50628">
      <w:pPr>
        <w:pStyle w:val="EntradandiceSentencia"/>
      </w:pPr>
      <w:r>
        <w:t>Pleno. Sentencia 62/2025, de 11 de marzo de 2025</w:t>
      </w:r>
    </w:p>
    <w:p w14:paraId="2012FDFC" w14:textId="13A65DC7" w:rsidR="00D50628" w:rsidRDefault="00D50628" w:rsidP="00D50628">
      <w:pPr>
        <w:pStyle w:val="EntradandiceSentencia"/>
      </w:pPr>
    </w:p>
    <w:p w14:paraId="7948B520" w14:textId="3B84C670" w:rsidR="00D50628" w:rsidRDefault="00D50628" w:rsidP="00D50628">
      <w:pPr>
        <w:pStyle w:val="EntradaSumario"/>
      </w:pPr>
      <w:r w:rsidRPr="00D50628">
        <w:rPr>
          <w:rStyle w:val="TextoNormalCaracter"/>
        </w:rPr>
        <w:t xml:space="preserve">Recurso de amparo 6890-2023. </w:t>
      </w:r>
      <w:r w:rsidRPr="00D50628">
        <w:rPr>
          <w:rStyle w:val="TextoNormalCursivaCaracter"/>
        </w:rPr>
        <w:t xml:space="preserve"> Supuesta vulneración del derecho a la libertad de información: difusión de un video en el que aparecen imágenes de quien no es sujeto de la noticia; doctrina del reportaje neutral. Votos particulares.</w:t>
      </w:r>
      <w:r>
        <w:tab/>
      </w:r>
      <w:r>
        <w:tab/>
      </w:r>
      <w:r>
        <w:fldChar w:fldCharType="begin"/>
      </w:r>
      <w:r>
        <w:instrText xml:space="preserve"> PAGEREF SENTENCIA_2025_62 \h </w:instrText>
      </w:r>
      <w:r>
        <w:fldChar w:fldCharType="separate"/>
      </w:r>
      <w:r>
        <w:rPr>
          <w:noProof/>
        </w:rPr>
        <w:t>892</w:t>
      </w:r>
      <w:r>
        <w:fldChar w:fldCharType="end"/>
      </w:r>
    </w:p>
    <w:p w14:paraId="509BD5DC" w14:textId="77777777" w:rsidR="00D50628" w:rsidRDefault="00D50628" w:rsidP="00D50628"/>
    <w:p w14:paraId="4AD628E0" w14:textId="77777777" w:rsidR="00D50628" w:rsidRDefault="00D50628" w:rsidP="00D50628">
      <w:pPr>
        <w:pStyle w:val="EntradandiceSentencia"/>
      </w:pPr>
      <w:r>
        <w:t>Pleno. Sentencia 63/2025, de 12 de marzo de 2025</w:t>
      </w:r>
    </w:p>
    <w:p w14:paraId="213D869A" w14:textId="50619677" w:rsidR="00D50628" w:rsidRDefault="00D50628" w:rsidP="00D50628">
      <w:pPr>
        <w:pStyle w:val="EntradandiceSentencia"/>
      </w:pPr>
    </w:p>
    <w:p w14:paraId="4D623BBB" w14:textId="558F6606" w:rsidR="00D50628" w:rsidRDefault="00D50628" w:rsidP="00D50628">
      <w:pPr>
        <w:pStyle w:val="EntradaSumario"/>
      </w:pPr>
      <w:r w:rsidRPr="00D50628">
        <w:rPr>
          <w:rStyle w:val="TextoNormalCaracter"/>
        </w:rPr>
        <w:t xml:space="preserve">Recurso de inconstitucionalidad 7998-2023. </w:t>
      </w:r>
      <w:r w:rsidRPr="00D50628">
        <w:rPr>
          <w:rStyle w:val="TextoNormalCursivaCaracter"/>
        </w:rPr>
        <w:t xml:space="preserve"> Procedimiento legislativo; proyectos y proposiciones de ley: nulidad del precepto que, en el caso de las proposiciones de ley, atribuye a la mesa del Senado la competencia exclusiva para decidir la aplicación del procedimiento de urgencia. Voto particular.</w:t>
      </w:r>
      <w:r>
        <w:tab/>
      </w:r>
      <w:r>
        <w:tab/>
      </w:r>
      <w:r>
        <w:fldChar w:fldCharType="begin"/>
      </w:r>
      <w:r>
        <w:instrText xml:space="preserve"> PAGEREF SENTENCIA_2025_63 \h </w:instrText>
      </w:r>
      <w:r>
        <w:fldChar w:fldCharType="separate"/>
      </w:r>
      <w:r>
        <w:rPr>
          <w:noProof/>
        </w:rPr>
        <w:t>934</w:t>
      </w:r>
      <w:r>
        <w:fldChar w:fldCharType="end"/>
      </w:r>
    </w:p>
    <w:p w14:paraId="5742874A" w14:textId="77777777" w:rsidR="00D50628" w:rsidRDefault="00D50628" w:rsidP="00D50628"/>
    <w:p w14:paraId="5FA4973E" w14:textId="77777777" w:rsidR="00D50628" w:rsidRDefault="00D50628" w:rsidP="00D50628">
      <w:pPr>
        <w:pStyle w:val="EntradandiceSentencia"/>
      </w:pPr>
      <w:r>
        <w:t>Pleno. Sentencia 64/2025, de 13 de marzo de 2025</w:t>
      </w:r>
    </w:p>
    <w:p w14:paraId="0426FB21" w14:textId="667CDFDA" w:rsidR="00D50628" w:rsidRDefault="00D50628" w:rsidP="00D50628">
      <w:pPr>
        <w:pStyle w:val="EntradandiceSentencia"/>
      </w:pPr>
    </w:p>
    <w:p w14:paraId="078DC4F5" w14:textId="239EB762" w:rsidR="00D50628" w:rsidRDefault="00D50628" w:rsidP="00D50628">
      <w:pPr>
        <w:pStyle w:val="EntradaSumario"/>
      </w:pPr>
      <w:r w:rsidRPr="00D50628">
        <w:rPr>
          <w:rStyle w:val="TextoNormalCaracter"/>
        </w:rPr>
        <w:t xml:space="preserve">Recurso de inconstitucionalidad 798-2024. </w:t>
      </w:r>
      <w:r w:rsidRPr="00D50628">
        <w:rPr>
          <w:rStyle w:val="TextoNormalCursivaCaracter"/>
        </w:rPr>
        <w:t xml:space="preserve"> Límites de los decretos-leyes: justificación de la concurrencia del presupuesto habilitante para el dictado de una norma de urgencia que, en determinados municipios, supedita la posibilidad de destinar viviendas para uso turístico a la previsión expresa en el planeamiento urbanístico y la obtención de licencia previa, limitada en número y vigencia. Voto particular.</w:t>
      </w:r>
      <w:r>
        <w:tab/>
      </w:r>
      <w:r>
        <w:tab/>
      </w:r>
      <w:r>
        <w:fldChar w:fldCharType="begin"/>
      </w:r>
      <w:r>
        <w:instrText xml:space="preserve"> PAGEREF SENTENCIA_2025_64 \h </w:instrText>
      </w:r>
      <w:r>
        <w:fldChar w:fldCharType="separate"/>
      </w:r>
      <w:r>
        <w:rPr>
          <w:noProof/>
        </w:rPr>
        <w:t>977</w:t>
      </w:r>
      <w:r>
        <w:fldChar w:fldCharType="end"/>
      </w:r>
    </w:p>
    <w:p w14:paraId="0B532CCE" w14:textId="77777777" w:rsidR="00D50628" w:rsidRDefault="00D50628" w:rsidP="00D50628"/>
    <w:p w14:paraId="6263E1D3" w14:textId="77777777" w:rsidR="00D50628" w:rsidRDefault="00D50628" w:rsidP="00D50628">
      <w:pPr>
        <w:pStyle w:val="EntradandiceSentencia"/>
      </w:pPr>
      <w:r>
        <w:t>Pleno. Sentencia 65/2025, de 18 de marzo de 2025</w:t>
      </w:r>
    </w:p>
    <w:p w14:paraId="1FF542A3" w14:textId="1F0A1F6A" w:rsidR="00D50628" w:rsidRDefault="00D50628" w:rsidP="00D50628">
      <w:pPr>
        <w:pStyle w:val="EntradandiceSentencia"/>
      </w:pPr>
    </w:p>
    <w:p w14:paraId="6BC91E1F" w14:textId="329B74DF" w:rsidR="00D50628" w:rsidRDefault="00D50628" w:rsidP="00D50628">
      <w:pPr>
        <w:pStyle w:val="EntradaSumario"/>
      </w:pPr>
      <w:r w:rsidRPr="00D50628">
        <w:rPr>
          <w:rStyle w:val="TextoNormalCaracter"/>
        </w:rPr>
        <w:t xml:space="preserve">Recurso de amparo 7035-2023.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SENTENCIA_2025_65 \h </w:instrText>
      </w:r>
      <w:r>
        <w:fldChar w:fldCharType="separate"/>
      </w:r>
      <w:r>
        <w:rPr>
          <w:noProof/>
        </w:rPr>
        <w:t>1039</w:t>
      </w:r>
      <w:r>
        <w:fldChar w:fldCharType="end"/>
      </w:r>
    </w:p>
    <w:p w14:paraId="02E54649" w14:textId="77777777" w:rsidR="00D50628" w:rsidRDefault="00D50628" w:rsidP="00D50628"/>
    <w:p w14:paraId="00C371CA" w14:textId="77777777" w:rsidR="00D50628" w:rsidRDefault="00D50628" w:rsidP="00D50628">
      <w:pPr>
        <w:pStyle w:val="EntradandiceSentencia"/>
      </w:pPr>
      <w:r>
        <w:t>Pleno. Sentencia 66/2025, de 18 de marzo de 2025</w:t>
      </w:r>
    </w:p>
    <w:p w14:paraId="51C5DD42" w14:textId="2EC61940" w:rsidR="00D50628" w:rsidRDefault="00D50628" w:rsidP="00D50628">
      <w:pPr>
        <w:pStyle w:val="EntradandiceSentencia"/>
      </w:pPr>
    </w:p>
    <w:p w14:paraId="5EBBD7B0" w14:textId="6193353C" w:rsidR="00D50628" w:rsidRDefault="00D50628" w:rsidP="00D50628">
      <w:pPr>
        <w:pStyle w:val="EntradaSumario"/>
      </w:pPr>
      <w:r w:rsidRPr="00D50628">
        <w:rPr>
          <w:rStyle w:val="TextoNormalCaracter"/>
        </w:rPr>
        <w:t xml:space="preserve">Recurso de amparo 4882-2024.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SENTENCIA_2025_66 \h </w:instrText>
      </w:r>
      <w:r>
        <w:fldChar w:fldCharType="separate"/>
      </w:r>
      <w:r>
        <w:rPr>
          <w:noProof/>
        </w:rPr>
        <w:t>1045</w:t>
      </w:r>
      <w:r>
        <w:fldChar w:fldCharType="end"/>
      </w:r>
    </w:p>
    <w:p w14:paraId="1B17B84C" w14:textId="77777777" w:rsidR="00D50628" w:rsidRDefault="00D50628" w:rsidP="00D50628"/>
    <w:p w14:paraId="3CDC8C0F" w14:textId="77777777" w:rsidR="00D50628" w:rsidRDefault="00D50628" w:rsidP="00D50628">
      <w:pPr>
        <w:pStyle w:val="EntradandiceSentencia"/>
      </w:pPr>
      <w:r>
        <w:t>Pleno. Sentencia 67/2025, de 18 de marzo de 2025</w:t>
      </w:r>
    </w:p>
    <w:p w14:paraId="2BF7030D" w14:textId="3E3CC84A" w:rsidR="00D50628" w:rsidRDefault="00D50628" w:rsidP="00D50628">
      <w:pPr>
        <w:pStyle w:val="EntradandiceSentencia"/>
      </w:pPr>
    </w:p>
    <w:p w14:paraId="7D513F5F" w14:textId="06A56C07" w:rsidR="00D50628" w:rsidRDefault="00D50628" w:rsidP="00D50628">
      <w:pPr>
        <w:pStyle w:val="EntradaSumario"/>
      </w:pPr>
      <w:r w:rsidRPr="00D50628">
        <w:rPr>
          <w:rStyle w:val="TextoNormalCaracter"/>
        </w:rPr>
        <w:t xml:space="preserve">Recurso de amparo 6298-2024.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SENTENCIA_2025_67 \h </w:instrText>
      </w:r>
      <w:r>
        <w:fldChar w:fldCharType="separate"/>
      </w:r>
      <w:r>
        <w:rPr>
          <w:noProof/>
        </w:rPr>
        <w:t>1052</w:t>
      </w:r>
      <w:r>
        <w:fldChar w:fldCharType="end"/>
      </w:r>
    </w:p>
    <w:p w14:paraId="4E685657" w14:textId="77777777" w:rsidR="00D50628" w:rsidRDefault="00D50628" w:rsidP="00D50628"/>
    <w:p w14:paraId="66C834FB" w14:textId="77777777" w:rsidR="00D50628" w:rsidRDefault="00D50628" w:rsidP="00D50628">
      <w:pPr>
        <w:pStyle w:val="EntradandiceSentencia"/>
      </w:pPr>
      <w:r>
        <w:lastRenderedPageBreak/>
        <w:t>Pleno. Sentencia 68/2025, de 18 de marzo de 2025</w:t>
      </w:r>
    </w:p>
    <w:p w14:paraId="0A51F5D0" w14:textId="054FF074" w:rsidR="00D50628" w:rsidRDefault="00D50628" w:rsidP="00D50628">
      <w:pPr>
        <w:pStyle w:val="EntradandiceSentencia"/>
      </w:pPr>
    </w:p>
    <w:p w14:paraId="311CF2C6" w14:textId="65F65FD0" w:rsidR="00D50628" w:rsidRDefault="00D50628" w:rsidP="00D50628">
      <w:pPr>
        <w:pStyle w:val="EntradaSumario"/>
      </w:pPr>
      <w:r w:rsidRPr="00D50628">
        <w:rPr>
          <w:rStyle w:val="TextoNormalCaracter"/>
        </w:rPr>
        <w:t xml:space="preserve">Recurso de amparo 7723-2024.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SENTENCIA_2025_68 \h </w:instrText>
      </w:r>
      <w:r>
        <w:fldChar w:fldCharType="separate"/>
      </w:r>
      <w:r>
        <w:rPr>
          <w:noProof/>
        </w:rPr>
        <w:t>1062</w:t>
      </w:r>
      <w:r>
        <w:fldChar w:fldCharType="end"/>
      </w:r>
    </w:p>
    <w:p w14:paraId="578D766C" w14:textId="77777777" w:rsidR="00D50628" w:rsidRDefault="00D50628" w:rsidP="00D50628"/>
    <w:p w14:paraId="6BB9CD85" w14:textId="77777777" w:rsidR="00D50628" w:rsidRDefault="00D50628" w:rsidP="00D50628">
      <w:pPr>
        <w:pStyle w:val="EntradandiceSentencia"/>
      </w:pPr>
      <w:r>
        <w:t>Sala Segunda. Sentencia 69/2025, de 24 de marzo de 2025</w:t>
      </w:r>
    </w:p>
    <w:p w14:paraId="6C18469E" w14:textId="7A5A0D36" w:rsidR="00D50628" w:rsidRDefault="00D50628" w:rsidP="00D50628">
      <w:pPr>
        <w:pStyle w:val="EntradandiceSentencia"/>
      </w:pPr>
    </w:p>
    <w:p w14:paraId="5739FE00" w14:textId="5BB86C0C" w:rsidR="00D50628" w:rsidRDefault="00D50628" w:rsidP="00D50628">
      <w:pPr>
        <w:pStyle w:val="EntradaSumario"/>
      </w:pPr>
      <w:r w:rsidRPr="00D50628">
        <w:rPr>
          <w:rStyle w:val="TextoNormalCaracter"/>
        </w:rPr>
        <w:t xml:space="preserve">Recurso de amparo 8334-2021. </w:t>
      </w:r>
      <w:r w:rsidRPr="00D50628">
        <w:rPr>
          <w:rStyle w:val="TextoNormalCursivaCaracter"/>
        </w:rPr>
        <w:t xml:space="preserve"> Vulneración del derecho a la tutela judicial efectiva (acceso a la jurisdicción): resolución judicial que niega legitimación activa a una asociación que no interviene al amparo de una acción pública ambiental sino en defensa de los intereses de los asociados residentes en las inmediaciones de la incineradora proyectada (STC 252/2000).</w:t>
      </w:r>
      <w:r>
        <w:tab/>
      </w:r>
      <w:r>
        <w:tab/>
      </w:r>
      <w:r>
        <w:fldChar w:fldCharType="begin"/>
      </w:r>
      <w:r>
        <w:instrText xml:space="preserve"> PAGEREF SENTENCIA_2025_69 \h </w:instrText>
      </w:r>
      <w:r>
        <w:fldChar w:fldCharType="separate"/>
      </w:r>
      <w:r>
        <w:rPr>
          <w:noProof/>
        </w:rPr>
        <w:t>1069</w:t>
      </w:r>
      <w:r>
        <w:fldChar w:fldCharType="end"/>
      </w:r>
    </w:p>
    <w:p w14:paraId="5E34948F" w14:textId="77777777" w:rsidR="00D50628" w:rsidRDefault="00D50628" w:rsidP="00D50628"/>
    <w:p w14:paraId="13BD92FB" w14:textId="77777777" w:rsidR="00D50628" w:rsidRDefault="00D50628" w:rsidP="00D50628">
      <w:pPr>
        <w:pStyle w:val="EntradandiceSentencia"/>
      </w:pPr>
      <w:r>
        <w:t>Sala Primera. Sentencia 70/2025, de 24 de marzo de 2025</w:t>
      </w:r>
    </w:p>
    <w:p w14:paraId="53835D50" w14:textId="719F9FAD" w:rsidR="00D50628" w:rsidRDefault="00D50628" w:rsidP="00D50628">
      <w:pPr>
        <w:pStyle w:val="EntradandiceSentencia"/>
      </w:pPr>
    </w:p>
    <w:p w14:paraId="47AC2958" w14:textId="5D373D51" w:rsidR="00D50628" w:rsidRDefault="00D50628" w:rsidP="00D50628">
      <w:pPr>
        <w:pStyle w:val="EntradaSumario"/>
      </w:pPr>
      <w:r w:rsidRPr="00D50628">
        <w:rPr>
          <w:rStyle w:val="TextoNormalCaracter"/>
        </w:rPr>
        <w:t xml:space="preserve">Recurso de amparo 2426-2024.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SENTENCIA_2025_70 \h </w:instrText>
      </w:r>
      <w:r>
        <w:fldChar w:fldCharType="separate"/>
      </w:r>
      <w:r>
        <w:rPr>
          <w:noProof/>
        </w:rPr>
        <w:t>1084</w:t>
      </w:r>
      <w:r>
        <w:fldChar w:fldCharType="end"/>
      </w:r>
    </w:p>
    <w:p w14:paraId="1BD4A6EA" w14:textId="77777777" w:rsidR="00D50628" w:rsidRDefault="00D50628" w:rsidP="00D50628"/>
    <w:p w14:paraId="3FF636C1" w14:textId="77777777" w:rsidR="00D50628" w:rsidRDefault="00D50628" w:rsidP="00D50628">
      <w:pPr>
        <w:pStyle w:val="EntradandiceSentencia"/>
      </w:pPr>
      <w:r>
        <w:t>Sala Segunda. Sentencia 71/2025, de 24 de marzo de 2025</w:t>
      </w:r>
    </w:p>
    <w:p w14:paraId="1916F158" w14:textId="2035832E" w:rsidR="00D50628" w:rsidRDefault="00D50628" w:rsidP="00D50628">
      <w:pPr>
        <w:pStyle w:val="EntradandiceSentencia"/>
      </w:pPr>
    </w:p>
    <w:p w14:paraId="00C21D3C" w14:textId="25E13C34" w:rsidR="00D50628" w:rsidRDefault="00D50628" w:rsidP="00D50628">
      <w:pPr>
        <w:pStyle w:val="EntradaSumario"/>
      </w:pPr>
      <w:r w:rsidRPr="00D50628">
        <w:rPr>
          <w:rStyle w:val="TextoNormalCaracter"/>
        </w:rPr>
        <w:t xml:space="preserve">Recurso de amparo 3385-2024.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SENTENCIA_2025_71 \h </w:instrText>
      </w:r>
      <w:r>
        <w:fldChar w:fldCharType="separate"/>
      </w:r>
      <w:r>
        <w:rPr>
          <w:noProof/>
        </w:rPr>
        <w:t>1091</w:t>
      </w:r>
      <w:r>
        <w:fldChar w:fldCharType="end"/>
      </w:r>
    </w:p>
    <w:p w14:paraId="1CFF56E0" w14:textId="77777777" w:rsidR="00D50628" w:rsidRDefault="00D50628" w:rsidP="00D50628"/>
    <w:p w14:paraId="0289DD66" w14:textId="77777777" w:rsidR="00D50628" w:rsidRDefault="00D50628" w:rsidP="00D50628">
      <w:pPr>
        <w:pStyle w:val="EntradandiceSentencia"/>
      </w:pPr>
      <w:r>
        <w:t>Sala Segunda. Sentencia 72/2025, de 24 de marzo de 2025</w:t>
      </w:r>
    </w:p>
    <w:p w14:paraId="7935EACD" w14:textId="247DA0AD" w:rsidR="00D50628" w:rsidRDefault="00D50628" w:rsidP="00D50628">
      <w:pPr>
        <w:pStyle w:val="EntradandiceSentencia"/>
      </w:pPr>
    </w:p>
    <w:p w14:paraId="2A449AEE" w14:textId="48B7FA8F" w:rsidR="00D50628" w:rsidRDefault="00D50628" w:rsidP="00D50628">
      <w:pPr>
        <w:pStyle w:val="EntradaSumario"/>
      </w:pPr>
      <w:r w:rsidRPr="00D50628">
        <w:rPr>
          <w:rStyle w:val="TextoNormalCaracter"/>
        </w:rPr>
        <w:t xml:space="preserve">Recurso de amparo 4734-2024. </w:t>
      </w:r>
      <w:r w:rsidRPr="00D50628">
        <w:rPr>
          <w:rStyle w:val="TextoNormalCursivaCaracter"/>
        </w:rPr>
        <w:t xml:space="preserve"> Vulneración del derecho a la igualdad ante la ley sin discriminación por razón de nacimiento: resoluciones judiciales y admi</w:t>
      </w:r>
      <w:r w:rsidRPr="00D50628">
        <w:rPr>
          <w:rStyle w:val="TextoNormalCursivaCaracter"/>
        </w:rPr>
        <w:lastRenderedPageBreak/>
        <w:t>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SENTENCIA_2025_72 \h </w:instrText>
      </w:r>
      <w:r>
        <w:fldChar w:fldCharType="separate"/>
      </w:r>
      <w:r>
        <w:rPr>
          <w:noProof/>
        </w:rPr>
        <w:t>1098</w:t>
      </w:r>
      <w:r>
        <w:fldChar w:fldCharType="end"/>
      </w:r>
    </w:p>
    <w:p w14:paraId="2B925F7B" w14:textId="77777777" w:rsidR="00D50628" w:rsidRDefault="00D50628" w:rsidP="00D50628"/>
    <w:p w14:paraId="063B7D4E" w14:textId="77777777" w:rsidR="00D50628" w:rsidRDefault="00D50628" w:rsidP="00D50628">
      <w:pPr>
        <w:pStyle w:val="EntradandiceSentencia"/>
      </w:pPr>
      <w:r>
        <w:t>Sala Primera. Sentencia 73/2025, de 24 de marzo de 2025</w:t>
      </w:r>
    </w:p>
    <w:p w14:paraId="18EBA372" w14:textId="22EA012A" w:rsidR="00D50628" w:rsidRDefault="00D50628" w:rsidP="00D50628">
      <w:pPr>
        <w:pStyle w:val="EntradandiceSentencia"/>
      </w:pPr>
    </w:p>
    <w:p w14:paraId="27ABBC7E" w14:textId="00FA175E" w:rsidR="00D50628" w:rsidRDefault="00D50628" w:rsidP="00D50628">
      <w:pPr>
        <w:pStyle w:val="EntradaSumario"/>
      </w:pPr>
      <w:r w:rsidRPr="00D50628">
        <w:rPr>
          <w:rStyle w:val="TextoNormalCaracter"/>
        </w:rPr>
        <w:t xml:space="preserve">Recurso de amparo 4976-2024.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SENTENCIA_2025_73 \h </w:instrText>
      </w:r>
      <w:r>
        <w:fldChar w:fldCharType="separate"/>
      </w:r>
      <w:r>
        <w:rPr>
          <w:noProof/>
        </w:rPr>
        <w:t>1106</w:t>
      </w:r>
      <w:r>
        <w:fldChar w:fldCharType="end"/>
      </w:r>
    </w:p>
    <w:p w14:paraId="5067A566" w14:textId="77777777" w:rsidR="00D50628" w:rsidRDefault="00D50628" w:rsidP="00D50628"/>
    <w:p w14:paraId="73DA3BF9" w14:textId="77777777" w:rsidR="00D50628" w:rsidRDefault="00D50628" w:rsidP="00D50628">
      <w:pPr>
        <w:pStyle w:val="EntradandiceSentencia"/>
      </w:pPr>
      <w:r>
        <w:t>Sala Segunda. Sentencia 74/2025, de 24 de marzo de 2025</w:t>
      </w:r>
    </w:p>
    <w:p w14:paraId="1DB170EA" w14:textId="3B457D07" w:rsidR="00D50628" w:rsidRDefault="00D50628" w:rsidP="00D50628">
      <w:pPr>
        <w:pStyle w:val="EntradandiceSentencia"/>
      </w:pPr>
    </w:p>
    <w:p w14:paraId="124C1108" w14:textId="7CE7ACFC" w:rsidR="00D50628" w:rsidRDefault="00D50628" w:rsidP="00D50628">
      <w:pPr>
        <w:pStyle w:val="EntradaSumario"/>
      </w:pPr>
      <w:r w:rsidRPr="00D50628">
        <w:rPr>
          <w:rStyle w:val="TextoNormalCaracter"/>
        </w:rPr>
        <w:t xml:space="preserve">Recurso de amparo 5169-2024.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SENTENCIA_2025_74 \h </w:instrText>
      </w:r>
      <w:r>
        <w:fldChar w:fldCharType="separate"/>
      </w:r>
      <w:r>
        <w:rPr>
          <w:noProof/>
        </w:rPr>
        <w:t>1113</w:t>
      </w:r>
      <w:r>
        <w:fldChar w:fldCharType="end"/>
      </w:r>
    </w:p>
    <w:p w14:paraId="4D601240" w14:textId="77777777" w:rsidR="00D50628" w:rsidRDefault="00D50628" w:rsidP="00D50628"/>
    <w:p w14:paraId="79AA47FE" w14:textId="77777777" w:rsidR="00D50628" w:rsidRDefault="00D50628" w:rsidP="00D50628">
      <w:pPr>
        <w:pStyle w:val="EntradandiceSentencia"/>
      </w:pPr>
      <w:r>
        <w:t>Sala Segunda. Sentencia 75/2025, de 24 de marzo de 2025</w:t>
      </w:r>
    </w:p>
    <w:p w14:paraId="262B9151" w14:textId="7072A82A" w:rsidR="00D50628" w:rsidRDefault="00D50628" w:rsidP="00D50628">
      <w:pPr>
        <w:pStyle w:val="EntradandiceSentencia"/>
      </w:pPr>
    </w:p>
    <w:p w14:paraId="34753EE0" w14:textId="76D73A4D" w:rsidR="00D50628" w:rsidRDefault="00D50628" w:rsidP="00D50628">
      <w:pPr>
        <w:pStyle w:val="EntradaSumario"/>
      </w:pPr>
      <w:r w:rsidRPr="00D50628">
        <w:rPr>
          <w:rStyle w:val="TextoNormalCaracter"/>
        </w:rPr>
        <w:t xml:space="preserve">Recurso de amparo 5760-2024.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SENTENCIA_2025_75 \h </w:instrText>
      </w:r>
      <w:r>
        <w:fldChar w:fldCharType="separate"/>
      </w:r>
      <w:r>
        <w:rPr>
          <w:noProof/>
        </w:rPr>
        <w:t>1121</w:t>
      </w:r>
      <w:r>
        <w:fldChar w:fldCharType="end"/>
      </w:r>
    </w:p>
    <w:p w14:paraId="2AF142A4" w14:textId="77777777" w:rsidR="00D50628" w:rsidRDefault="00D50628" w:rsidP="00D50628"/>
    <w:p w14:paraId="46913192" w14:textId="77777777" w:rsidR="00D50628" w:rsidRDefault="00D50628" w:rsidP="00D50628">
      <w:pPr>
        <w:pStyle w:val="EntradandiceSentencia"/>
      </w:pPr>
      <w:r>
        <w:t>Sala Segunda. Sentencia 76/2025, de 24 de marzo de 2025</w:t>
      </w:r>
    </w:p>
    <w:p w14:paraId="60CB12CC" w14:textId="699CFC8A" w:rsidR="00D50628" w:rsidRDefault="00D50628" w:rsidP="00D50628">
      <w:pPr>
        <w:pStyle w:val="EntradandiceSentencia"/>
      </w:pPr>
    </w:p>
    <w:p w14:paraId="299B1ABD" w14:textId="11036AC9" w:rsidR="00D50628" w:rsidRDefault="00D50628" w:rsidP="00D50628">
      <w:pPr>
        <w:pStyle w:val="EntradaSumario"/>
      </w:pPr>
      <w:r w:rsidRPr="00D50628">
        <w:rPr>
          <w:rStyle w:val="TextoNormalCaracter"/>
        </w:rPr>
        <w:t xml:space="preserve">Recurso de amparo 5788-2024.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w:t>
      </w:r>
      <w:r w:rsidRPr="00D50628">
        <w:rPr>
          <w:rStyle w:val="TextoNormalCursivaCaracter"/>
        </w:rPr>
        <w:lastRenderedPageBreak/>
        <w:t>permiso por nacimiento disfrutando del permiso que correspondería al otro progenitor, caso de existir.</w:t>
      </w:r>
      <w:r>
        <w:tab/>
      </w:r>
      <w:r>
        <w:tab/>
      </w:r>
      <w:r>
        <w:fldChar w:fldCharType="begin"/>
      </w:r>
      <w:r>
        <w:instrText xml:space="preserve"> PAGEREF SENTENCIA_2025_76 \h </w:instrText>
      </w:r>
      <w:r>
        <w:fldChar w:fldCharType="separate"/>
      </w:r>
      <w:r>
        <w:rPr>
          <w:noProof/>
        </w:rPr>
        <w:t>1128</w:t>
      </w:r>
      <w:r>
        <w:fldChar w:fldCharType="end"/>
      </w:r>
    </w:p>
    <w:p w14:paraId="051CB694" w14:textId="77777777" w:rsidR="00D50628" w:rsidRDefault="00D50628" w:rsidP="00D50628"/>
    <w:p w14:paraId="578CA917" w14:textId="77777777" w:rsidR="00D50628" w:rsidRDefault="00D50628" w:rsidP="00D50628">
      <w:pPr>
        <w:pStyle w:val="EntradandiceSentencia"/>
      </w:pPr>
      <w:r>
        <w:t>Sala Segunda. Sentencia 77/2025, de 24 de marzo de 2025</w:t>
      </w:r>
    </w:p>
    <w:p w14:paraId="67D61416" w14:textId="1ACD784C" w:rsidR="00D50628" w:rsidRDefault="00D50628" w:rsidP="00D50628">
      <w:pPr>
        <w:pStyle w:val="EntradandiceSentencia"/>
      </w:pPr>
    </w:p>
    <w:p w14:paraId="201DCC24" w14:textId="4E9BDD59" w:rsidR="00D50628" w:rsidRDefault="00D50628" w:rsidP="00D50628">
      <w:pPr>
        <w:pStyle w:val="EntradaSumario"/>
      </w:pPr>
      <w:r w:rsidRPr="00D50628">
        <w:rPr>
          <w:rStyle w:val="TextoNormalCaracter"/>
        </w:rPr>
        <w:t xml:space="preserve">Recurso de amparo 5807-2024.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SENTENCIA_2025_77 \h </w:instrText>
      </w:r>
      <w:r>
        <w:fldChar w:fldCharType="separate"/>
      </w:r>
      <w:r>
        <w:rPr>
          <w:noProof/>
        </w:rPr>
        <w:t>1135</w:t>
      </w:r>
      <w:r>
        <w:fldChar w:fldCharType="end"/>
      </w:r>
    </w:p>
    <w:p w14:paraId="28338DE4" w14:textId="77777777" w:rsidR="00D50628" w:rsidRDefault="00D50628" w:rsidP="00D50628"/>
    <w:p w14:paraId="5C477608" w14:textId="77777777" w:rsidR="00D50628" w:rsidRDefault="00D50628" w:rsidP="00D50628">
      <w:pPr>
        <w:pStyle w:val="EntradandiceSentencia"/>
      </w:pPr>
      <w:r>
        <w:t>Sala Segunda. Sentencia 78/2025, de 24 de marzo de 2025</w:t>
      </w:r>
    </w:p>
    <w:p w14:paraId="4B089BFA" w14:textId="24549792" w:rsidR="00D50628" w:rsidRDefault="00D50628" w:rsidP="00D50628">
      <w:pPr>
        <w:pStyle w:val="EntradandiceSentencia"/>
      </w:pPr>
    </w:p>
    <w:p w14:paraId="07ADA692" w14:textId="0465BCFB" w:rsidR="00D50628" w:rsidRDefault="00D50628" w:rsidP="00D50628">
      <w:pPr>
        <w:pStyle w:val="EntradaSumario"/>
      </w:pPr>
      <w:r w:rsidRPr="00D50628">
        <w:rPr>
          <w:rStyle w:val="TextoNormalCaracter"/>
        </w:rPr>
        <w:t xml:space="preserve">Recurso de amparo 6011-2024.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SENTENCIA_2025_78 \h </w:instrText>
      </w:r>
      <w:r>
        <w:fldChar w:fldCharType="separate"/>
      </w:r>
      <w:r>
        <w:rPr>
          <w:noProof/>
        </w:rPr>
        <w:t>1144</w:t>
      </w:r>
      <w:r>
        <w:fldChar w:fldCharType="end"/>
      </w:r>
    </w:p>
    <w:p w14:paraId="0A72414E" w14:textId="77777777" w:rsidR="00D50628" w:rsidRDefault="00D50628" w:rsidP="00D50628"/>
    <w:p w14:paraId="228966D5" w14:textId="77777777" w:rsidR="00D50628" w:rsidRDefault="00D50628" w:rsidP="00D50628">
      <w:pPr>
        <w:pStyle w:val="EntradandiceSentencia"/>
      </w:pPr>
      <w:r>
        <w:t>Sala Segunda. Sentencia 79/2025, de 24 de marzo de 2025</w:t>
      </w:r>
    </w:p>
    <w:p w14:paraId="298373C2" w14:textId="32FCAD19" w:rsidR="00D50628" w:rsidRDefault="00D50628" w:rsidP="00D50628">
      <w:pPr>
        <w:pStyle w:val="EntradandiceSentencia"/>
      </w:pPr>
    </w:p>
    <w:p w14:paraId="1DE3C1C3" w14:textId="45A10C18" w:rsidR="00D50628" w:rsidRDefault="00D50628" w:rsidP="00D50628">
      <w:pPr>
        <w:pStyle w:val="EntradaSumario"/>
      </w:pPr>
      <w:r w:rsidRPr="00D50628">
        <w:rPr>
          <w:rStyle w:val="TextoNormalCaracter"/>
        </w:rPr>
        <w:t xml:space="preserve">Recurso de amparo 6315-2024.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SENTENCIA_2025_79 \h </w:instrText>
      </w:r>
      <w:r>
        <w:fldChar w:fldCharType="separate"/>
      </w:r>
      <w:r>
        <w:rPr>
          <w:noProof/>
        </w:rPr>
        <w:t>1153</w:t>
      </w:r>
      <w:r>
        <w:fldChar w:fldCharType="end"/>
      </w:r>
    </w:p>
    <w:p w14:paraId="6620800B" w14:textId="77777777" w:rsidR="00D50628" w:rsidRDefault="00D50628" w:rsidP="00D50628"/>
    <w:p w14:paraId="3AA1A18D" w14:textId="77777777" w:rsidR="00D50628" w:rsidRDefault="00D50628" w:rsidP="00D50628">
      <w:pPr>
        <w:pStyle w:val="EntradandiceSentencia"/>
      </w:pPr>
      <w:r>
        <w:t>Sala Primera. Sentencia 80/2025, de 24 de marzo de 2025</w:t>
      </w:r>
    </w:p>
    <w:p w14:paraId="16F4215A" w14:textId="2EB0405B" w:rsidR="00D50628" w:rsidRDefault="00D50628" w:rsidP="00D50628">
      <w:pPr>
        <w:pStyle w:val="EntradandiceSentencia"/>
      </w:pPr>
    </w:p>
    <w:p w14:paraId="3DCCFEDD" w14:textId="68DCD885" w:rsidR="00D50628" w:rsidRDefault="00D50628" w:rsidP="00D50628">
      <w:pPr>
        <w:pStyle w:val="EntradaSumario"/>
      </w:pPr>
      <w:r w:rsidRPr="00D50628">
        <w:rPr>
          <w:rStyle w:val="TextoNormalCaracter"/>
        </w:rPr>
        <w:t xml:space="preserve">Recurso de amparo 6644-2024.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SENTENCIA_2025_80 \h </w:instrText>
      </w:r>
      <w:r>
        <w:fldChar w:fldCharType="separate"/>
      </w:r>
      <w:r>
        <w:rPr>
          <w:noProof/>
        </w:rPr>
        <w:t>1161</w:t>
      </w:r>
      <w:r>
        <w:fldChar w:fldCharType="end"/>
      </w:r>
    </w:p>
    <w:p w14:paraId="4D8F3334" w14:textId="77777777" w:rsidR="00D50628" w:rsidRDefault="00D50628" w:rsidP="00D50628"/>
    <w:p w14:paraId="4CB3E7F6" w14:textId="77777777" w:rsidR="00D50628" w:rsidRDefault="00D50628" w:rsidP="00D50628">
      <w:pPr>
        <w:pStyle w:val="EntradandiceSentencia"/>
      </w:pPr>
      <w:r>
        <w:t>Sala Primera. Sentencia 81/2025, de 24 de marzo de 2025</w:t>
      </w:r>
    </w:p>
    <w:p w14:paraId="05F04BDD" w14:textId="6E9B08F7" w:rsidR="00D50628" w:rsidRDefault="00D50628" w:rsidP="00D50628">
      <w:pPr>
        <w:pStyle w:val="EntradandiceSentencia"/>
      </w:pPr>
    </w:p>
    <w:p w14:paraId="27D11FAB" w14:textId="613D7A04" w:rsidR="00D50628" w:rsidRDefault="00D50628" w:rsidP="00D50628">
      <w:pPr>
        <w:pStyle w:val="EntradaSumario"/>
      </w:pPr>
      <w:r w:rsidRPr="00D50628">
        <w:rPr>
          <w:rStyle w:val="TextoNormalCaracter"/>
        </w:rPr>
        <w:t xml:space="preserve">Recurso de amparo 7671-2024.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SENTENCIA_2025_81 \h </w:instrText>
      </w:r>
      <w:r>
        <w:fldChar w:fldCharType="separate"/>
      </w:r>
      <w:r>
        <w:rPr>
          <w:noProof/>
        </w:rPr>
        <w:t>1169</w:t>
      </w:r>
      <w:r>
        <w:fldChar w:fldCharType="end"/>
      </w:r>
    </w:p>
    <w:p w14:paraId="3E8804B0" w14:textId="77777777" w:rsidR="00D50628" w:rsidRDefault="00D50628" w:rsidP="00D50628"/>
    <w:p w14:paraId="47AD2878" w14:textId="77777777" w:rsidR="00D50628" w:rsidRDefault="00D50628" w:rsidP="00D50628">
      <w:pPr>
        <w:pStyle w:val="EntradandiceSentencia"/>
      </w:pPr>
      <w:r>
        <w:t>Pleno. Sentencia 82/2025, de 26 de marzo de 2025</w:t>
      </w:r>
    </w:p>
    <w:p w14:paraId="4C3277CB" w14:textId="472A9544" w:rsidR="00D50628" w:rsidRDefault="00D50628" w:rsidP="00D50628">
      <w:pPr>
        <w:pStyle w:val="EntradandiceSentencia"/>
      </w:pPr>
    </w:p>
    <w:p w14:paraId="00574A0E" w14:textId="3046E136" w:rsidR="00D50628" w:rsidRDefault="00D50628" w:rsidP="00D50628">
      <w:pPr>
        <w:pStyle w:val="EntradaSumario"/>
      </w:pPr>
      <w:r w:rsidRPr="00D50628">
        <w:rPr>
          <w:rStyle w:val="TextoNormalCaracter"/>
        </w:rPr>
        <w:t xml:space="preserve">Conflicto positivo de competencia 7212-2023. </w:t>
      </w:r>
      <w:r w:rsidRPr="00D50628">
        <w:rPr>
          <w:rStyle w:val="TextoNormalCursivaCaracter"/>
        </w:rPr>
        <w:t xml:space="preserve"> Competencias en materia de educación: inadmisión y pérdida parcial de objeto del conflicto; nulidad parcial de los preceptos reglamentarios estatales relativos al carácter e identificación de otras modalidades de formación profesional; asignación del alumnado para la formación en empresas; funciones, perfiles, equipos docentes y régimen de funcionamiento de los centros del sistema de formación profesional y aspectos básicos del régimen de funcionamiento de los centros privados no sostenidos con fondos públicos.</w:t>
      </w:r>
      <w:r>
        <w:tab/>
      </w:r>
      <w:r>
        <w:tab/>
      </w:r>
      <w:r>
        <w:fldChar w:fldCharType="begin"/>
      </w:r>
      <w:r>
        <w:instrText xml:space="preserve"> PAGEREF SENTENCIA_2025_82 \h </w:instrText>
      </w:r>
      <w:r>
        <w:fldChar w:fldCharType="separate"/>
      </w:r>
      <w:r>
        <w:rPr>
          <w:noProof/>
        </w:rPr>
        <w:t>1177</w:t>
      </w:r>
      <w:r>
        <w:fldChar w:fldCharType="end"/>
      </w:r>
    </w:p>
    <w:p w14:paraId="2737F233" w14:textId="77777777" w:rsidR="00D50628" w:rsidRDefault="00D50628" w:rsidP="00D50628"/>
    <w:p w14:paraId="608C1A2D" w14:textId="77777777" w:rsidR="00D50628" w:rsidRDefault="00D50628" w:rsidP="00D50628">
      <w:pPr>
        <w:pStyle w:val="EntradandiceSentencia"/>
      </w:pPr>
      <w:r>
        <w:t>Pleno. Sentencia 83/2025, de 26 de marzo de 2025</w:t>
      </w:r>
    </w:p>
    <w:p w14:paraId="2A38EF02" w14:textId="6535EB2D" w:rsidR="00D50628" w:rsidRDefault="00D50628" w:rsidP="00D50628">
      <w:pPr>
        <w:pStyle w:val="EntradandiceSentencia"/>
      </w:pPr>
    </w:p>
    <w:p w14:paraId="58764E35" w14:textId="289F8C0A" w:rsidR="00D50628" w:rsidRDefault="00D50628" w:rsidP="00D50628">
      <w:pPr>
        <w:pStyle w:val="EntradaSumario"/>
      </w:pPr>
      <w:r w:rsidRPr="00D50628">
        <w:rPr>
          <w:rStyle w:val="TextoNormalCaracter"/>
        </w:rPr>
        <w:t xml:space="preserve">Recurso de amparo 4403-2024. </w:t>
      </w:r>
      <w:r w:rsidRPr="00D50628">
        <w:rPr>
          <w:rStyle w:val="TextoNormalCursivaCaracter"/>
        </w:rPr>
        <w:t xml:space="preserve"> Vulneración del derecho al ejercicio de las funciones representativas en conexión con el derecho de los ciudadanos a participar en los asuntos públicos a través de sus representantes: aceptación de la delegación de voto que excepciona el principio de presencialidad de quien voluntariamente ha decidido eludir la acción de la jurisdicción penal española y está sujeto a una orden judicial de busca y captura (SSTC 85/2022 y 86/2024).</w:t>
      </w:r>
      <w:r>
        <w:tab/>
      </w:r>
      <w:r>
        <w:tab/>
      </w:r>
      <w:r>
        <w:fldChar w:fldCharType="begin"/>
      </w:r>
      <w:r>
        <w:instrText xml:space="preserve"> PAGEREF SENTENCIA_2025_83 \h </w:instrText>
      </w:r>
      <w:r>
        <w:fldChar w:fldCharType="separate"/>
      </w:r>
      <w:r>
        <w:rPr>
          <w:noProof/>
        </w:rPr>
        <w:t>1226</w:t>
      </w:r>
      <w:r>
        <w:fldChar w:fldCharType="end"/>
      </w:r>
    </w:p>
    <w:p w14:paraId="1AE41F32" w14:textId="77777777" w:rsidR="00D50628" w:rsidRDefault="00D50628" w:rsidP="00D50628"/>
    <w:p w14:paraId="6126F0B6" w14:textId="77777777" w:rsidR="00D50628" w:rsidRDefault="00D50628" w:rsidP="00D50628">
      <w:pPr>
        <w:pStyle w:val="EntradandiceSentencia"/>
      </w:pPr>
      <w:r>
        <w:t>Sala Primera. Sentencia 84/2025, de 7 de abril de 2025</w:t>
      </w:r>
    </w:p>
    <w:p w14:paraId="3A8B6245" w14:textId="1045CF1B" w:rsidR="00D50628" w:rsidRDefault="00D50628" w:rsidP="00D50628">
      <w:pPr>
        <w:pStyle w:val="EntradandiceSentencia"/>
      </w:pPr>
    </w:p>
    <w:p w14:paraId="5709D08C" w14:textId="31971260" w:rsidR="00D50628" w:rsidRDefault="00D50628" w:rsidP="00D50628">
      <w:pPr>
        <w:pStyle w:val="EntradaSumario"/>
      </w:pPr>
      <w:r w:rsidRPr="00D50628">
        <w:rPr>
          <w:rStyle w:val="TextoNormalCaracter"/>
        </w:rPr>
        <w:t xml:space="preserve">Recurso de amparo 6194-2020. </w:t>
      </w:r>
      <w:r w:rsidRPr="00D50628">
        <w:rPr>
          <w:rStyle w:val="TextoNormalCursivaCaracter"/>
        </w:rPr>
        <w:t xml:space="preserve"> Vulneración del derecho a un proceso con todas las garantías en relación con el derecho al juez ordinario predeterminado por la ley: acuerdo corrector adoptado en un ámbito, como son las manifestaciones vertidas en escritos procesales, ajeno a la potestad disciplinaria de los letrados de la administración de justicia (STC 12/2025). Voto particular.</w:t>
      </w:r>
      <w:r>
        <w:tab/>
      </w:r>
      <w:r>
        <w:tab/>
      </w:r>
      <w:r>
        <w:fldChar w:fldCharType="begin"/>
      </w:r>
      <w:r>
        <w:instrText xml:space="preserve"> PAGEREF SENTENCIA_2025_84 \h </w:instrText>
      </w:r>
      <w:r>
        <w:fldChar w:fldCharType="separate"/>
      </w:r>
      <w:r>
        <w:rPr>
          <w:noProof/>
        </w:rPr>
        <w:t>1239</w:t>
      </w:r>
      <w:r>
        <w:fldChar w:fldCharType="end"/>
      </w:r>
    </w:p>
    <w:p w14:paraId="5EDA9128" w14:textId="77777777" w:rsidR="00D50628" w:rsidRDefault="00D50628" w:rsidP="00D50628"/>
    <w:p w14:paraId="3FE66910" w14:textId="77777777" w:rsidR="00D50628" w:rsidRDefault="00D50628" w:rsidP="00D50628">
      <w:pPr>
        <w:pStyle w:val="EntradandiceSentencia"/>
      </w:pPr>
      <w:r>
        <w:lastRenderedPageBreak/>
        <w:t>Sala Segunda. Sentencia 85/2025, de 7 de abril de 2025</w:t>
      </w:r>
    </w:p>
    <w:p w14:paraId="47A22847" w14:textId="32F01871" w:rsidR="00D50628" w:rsidRDefault="00D50628" w:rsidP="00D50628">
      <w:pPr>
        <w:pStyle w:val="EntradandiceSentencia"/>
      </w:pPr>
    </w:p>
    <w:p w14:paraId="3C13BD80" w14:textId="631BC053" w:rsidR="00D50628" w:rsidRDefault="00D50628" w:rsidP="00D50628">
      <w:pPr>
        <w:pStyle w:val="EntradaSumario"/>
      </w:pPr>
      <w:r w:rsidRPr="00D50628">
        <w:rPr>
          <w:rStyle w:val="TextoNormalCaracter"/>
        </w:rPr>
        <w:t xml:space="preserve">Recurso de amparo 6729-2021. </w:t>
      </w:r>
      <w:r w:rsidRPr="00D50628">
        <w:rPr>
          <w:rStyle w:val="TextoNormalCursivaCaracter"/>
        </w:rPr>
        <w:t xml:space="preserve"> Vulneración de los derechos a la tutela judicial efectiva (resolución fundada en Derecho), a un proceso con todas las garantías y a la presunción de inocencia: revocación de la sentencia absolutoria basada en una discrepancia en la valoración de la prueba que supone una extralimitación de las facultades del tribunal de apelación (STC 72/2024).</w:t>
      </w:r>
      <w:r>
        <w:tab/>
      </w:r>
      <w:r>
        <w:tab/>
      </w:r>
      <w:r>
        <w:fldChar w:fldCharType="begin"/>
      </w:r>
      <w:r>
        <w:instrText xml:space="preserve"> PAGEREF SENTENCIA_2025_85 \h </w:instrText>
      </w:r>
      <w:r>
        <w:fldChar w:fldCharType="separate"/>
      </w:r>
      <w:r>
        <w:rPr>
          <w:noProof/>
        </w:rPr>
        <w:t>1256</w:t>
      </w:r>
      <w:r>
        <w:fldChar w:fldCharType="end"/>
      </w:r>
    </w:p>
    <w:p w14:paraId="13574C78" w14:textId="77777777" w:rsidR="00D50628" w:rsidRDefault="00D50628" w:rsidP="00D50628"/>
    <w:p w14:paraId="345FBFDB" w14:textId="77777777" w:rsidR="00D50628" w:rsidRDefault="00D50628" w:rsidP="00D50628">
      <w:pPr>
        <w:pStyle w:val="EntradandiceSentencia"/>
      </w:pPr>
      <w:r>
        <w:t>Sala Segunda. Sentencia 86/2025, de 7 de abril de 2025</w:t>
      </w:r>
    </w:p>
    <w:p w14:paraId="3A735BC5" w14:textId="76945A79" w:rsidR="00D50628" w:rsidRDefault="00D50628" w:rsidP="00D50628">
      <w:pPr>
        <w:pStyle w:val="EntradandiceSentencia"/>
      </w:pPr>
    </w:p>
    <w:p w14:paraId="5E49062C" w14:textId="460C358B" w:rsidR="00D50628" w:rsidRDefault="00D50628" w:rsidP="00D50628">
      <w:pPr>
        <w:pStyle w:val="EntradaSumario"/>
      </w:pPr>
      <w:r w:rsidRPr="00D50628">
        <w:rPr>
          <w:rStyle w:val="TextoNormalCaracter"/>
        </w:rPr>
        <w:t xml:space="preserve">Recurso de amparo 120-2023. </w:t>
      </w:r>
      <w:r w:rsidRPr="00D50628">
        <w:rPr>
          <w:rStyle w:val="TextoNormalCursivaCaracter"/>
        </w:rPr>
        <w:t xml:space="preserve"> Vulneración del derecho a la libertad personal: desestimación de una petición de habeas corpus sin audiencia del solicitante y sin proporcionarle los elementos de las actuaciones que sean esenciales para impugnar la legalidad de la detención policial (SSTC 13/2017 y 85/2024).</w:t>
      </w:r>
      <w:r>
        <w:tab/>
      </w:r>
      <w:r>
        <w:tab/>
      </w:r>
      <w:r>
        <w:fldChar w:fldCharType="begin"/>
      </w:r>
      <w:r>
        <w:instrText xml:space="preserve"> PAGEREF SENTENCIA_2025_86 \h </w:instrText>
      </w:r>
      <w:r>
        <w:fldChar w:fldCharType="separate"/>
      </w:r>
      <w:r>
        <w:rPr>
          <w:noProof/>
        </w:rPr>
        <w:t>1268</w:t>
      </w:r>
      <w:r>
        <w:fldChar w:fldCharType="end"/>
      </w:r>
    </w:p>
    <w:p w14:paraId="06DA112E" w14:textId="77777777" w:rsidR="00D50628" w:rsidRDefault="00D50628" w:rsidP="00D50628"/>
    <w:p w14:paraId="4318468D" w14:textId="77777777" w:rsidR="00D50628" w:rsidRDefault="00D50628" w:rsidP="00D50628">
      <w:pPr>
        <w:pStyle w:val="EntradandiceSentencia"/>
      </w:pPr>
      <w:r>
        <w:t>Sala Primera. Sentencia 87/2025, de 7 de abril de 2025</w:t>
      </w:r>
    </w:p>
    <w:p w14:paraId="1E5B9F94" w14:textId="3C05BC5E" w:rsidR="00D50628" w:rsidRDefault="00D50628" w:rsidP="00D50628">
      <w:pPr>
        <w:pStyle w:val="EntradandiceSentencia"/>
      </w:pPr>
    </w:p>
    <w:p w14:paraId="03F6B248" w14:textId="039B8B06" w:rsidR="00D50628" w:rsidRDefault="00D50628" w:rsidP="00D50628">
      <w:pPr>
        <w:pStyle w:val="EntradaSumario"/>
      </w:pPr>
      <w:r w:rsidRPr="00D50628">
        <w:rPr>
          <w:rStyle w:val="TextoNormalCaracter"/>
        </w:rPr>
        <w:t xml:space="preserve">Recurso de amparo 7510-2023. </w:t>
      </w:r>
      <w:r w:rsidRPr="00D50628">
        <w:rPr>
          <w:rStyle w:val="TextoNormalCursivaCaracter"/>
        </w:rPr>
        <w:t xml:space="preserve"> Supuesta vulneración del derecho a la libertad de información: difusión de un vídeo en el que aparecen imágenes de quien no es sujeto de la noticia; doctrina del reportaje neutral (STC 62/2025). Votos particulares.</w:t>
      </w:r>
      <w:r>
        <w:tab/>
      </w:r>
      <w:r>
        <w:tab/>
      </w:r>
      <w:r>
        <w:fldChar w:fldCharType="begin"/>
      </w:r>
      <w:r>
        <w:instrText xml:space="preserve"> PAGEREF SENTENCIA_2025_87 \h </w:instrText>
      </w:r>
      <w:r>
        <w:fldChar w:fldCharType="separate"/>
      </w:r>
      <w:r>
        <w:rPr>
          <w:noProof/>
        </w:rPr>
        <w:t>1277</w:t>
      </w:r>
      <w:r>
        <w:fldChar w:fldCharType="end"/>
      </w:r>
    </w:p>
    <w:p w14:paraId="7249C03F" w14:textId="77777777" w:rsidR="00D50628" w:rsidRDefault="00D50628" w:rsidP="00D50628"/>
    <w:p w14:paraId="3742B920" w14:textId="77777777" w:rsidR="00D50628" w:rsidRDefault="00D50628" w:rsidP="00D50628">
      <w:pPr>
        <w:pStyle w:val="EntradandiceSentencia"/>
      </w:pPr>
      <w:r>
        <w:t>Sala Primera. Sentencia 88/2025, de 7 de abril de 2025</w:t>
      </w:r>
    </w:p>
    <w:p w14:paraId="5D32EFBE" w14:textId="06243CF2" w:rsidR="00D50628" w:rsidRDefault="00D50628" w:rsidP="00D50628">
      <w:pPr>
        <w:pStyle w:val="EntradandiceSentencia"/>
      </w:pPr>
    </w:p>
    <w:p w14:paraId="0CDFCDCA" w14:textId="510D936A" w:rsidR="00D50628" w:rsidRDefault="00D50628" w:rsidP="00D50628">
      <w:pPr>
        <w:pStyle w:val="EntradaSumario"/>
      </w:pPr>
      <w:r w:rsidRPr="00D50628">
        <w:rPr>
          <w:rStyle w:val="TextoNormalCaracter"/>
        </w:rPr>
        <w:t xml:space="preserve">Recurso de amparo 5220-2024.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SENTENCIA_2025_88 \h </w:instrText>
      </w:r>
      <w:r>
        <w:fldChar w:fldCharType="separate"/>
      </w:r>
      <w:r>
        <w:rPr>
          <w:noProof/>
        </w:rPr>
        <w:t>1300</w:t>
      </w:r>
      <w:r>
        <w:fldChar w:fldCharType="end"/>
      </w:r>
    </w:p>
    <w:p w14:paraId="0EBD5D3E" w14:textId="77777777" w:rsidR="00D50628" w:rsidRDefault="00D50628" w:rsidP="00D50628"/>
    <w:p w14:paraId="1F173849" w14:textId="77777777" w:rsidR="00D50628" w:rsidRDefault="00D50628" w:rsidP="00D50628">
      <w:pPr>
        <w:pStyle w:val="EntradandiceSentencia"/>
      </w:pPr>
      <w:r>
        <w:t>Sala Primera. Sentencia 89/2025, de 7 de abril de 2025</w:t>
      </w:r>
    </w:p>
    <w:p w14:paraId="28246EEC" w14:textId="18C029FB" w:rsidR="00D50628" w:rsidRDefault="00D50628" w:rsidP="00D50628">
      <w:pPr>
        <w:pStyle w:val="EntradandiceSentencia"/>
      </w:pPr>
    </w:p>
    <w:p w14:paraId="227B8E96" w14:textId="0DB07556" w:rsidR="00D50628" w:rsidRDefault="00D50628" w:rsidP="00D50628">
      <w:pPr>
        <w:pStyle w:val="EntradaSumario"/>
      </w:pPr>
      <w:r w:rsidRPr="00D50628">
        <w:rPr>
          <w:rStyle w:val="TextoNormalCaracter"/>
        </w:rPr>
        <w:t xml:space="preserve">Recurso de amparo 5437-2024.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SENTENCIA_2025_89 \h </w:instrText>
      </w:r>
      <w:r>
        <w:fldChar w:fldCharType="separate"/>
      </w:r>
      <w:r>
        <w:rPr>
          <w:noProof/>
        </w:rPr>
        <w:t>1306</w:t>
      </w:r>
      <w:r>
        <w:fldChar w:fldCharType="end"/>
      </w:r>
    </w:p>
    <w:p w14:paraId="03789723" w14:textId="77777777" w:rsidR="00D50628" w:rsidRDefault="00D50628" w:rsidP="00D50628"/>
    <w:p w14:paraId="407269B6" w14:textId="77777777" w:rsidR="00D50628" w:rsidRDefault="00D50628" w:rsidP="00D50628">
      <w:pPr>
        <w:pStyle w:val="EntradandiceSentencia"/>
      </w:pPr>
      <w:r>
        <w:t>Sala Primera. Sentencia 90/2025, de 7 de abril de 2025</w:t>
      </w:r>
    </w:p>
    <w:p w14:paraId="24430390" w14:textId="39EC7C89" w:rsidR="00D50628" w:rsidRDefault="00D50628" w:rsidP="00D50628">
      <w:pPr>
        <w:pStyle w:val="EntradandiceSentencia"/>
      </w:pPr>
    </w:p>
    <w:p w14:paraId="10ADDE42" w14:textId="0F826C95" w:rsidR="00D50628" w:rsidRDefault="00D50628" w:rsidP="00D50628">
      <w:pPr>
        <w:pStyle w:val="EntradaSumario"/>
      </w:pPr>
      <w:r w:rsidRPr="00D50628">
        <w:rPr>
          <w:rStyle w:val="TextoNormalCaracter"/>
        </w:rPr>
        <w:t xml:space="preserve">Recurso de amparo 7364-2024.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SENTENCIA_2025_90 \h </w:instrText>
      </w:r>
      <w:r>
        <w:fldChar w:fldCharType="separate"/>
      </w:r>
      <w:r>
        <w:rPr>
          <w:noProof/>
        </w:rPr>
        <w:t>1312</w:t>
      </w:r>
      <w:r>
        <w:fldChar w:fldCharType="end"/>
      </w:r>
    </w:p>
    <w:p w14:paraId="15D781A4" w14:textId="77777777" w:rsidR="00D50628" w:rsidRDefault="00D50628" w:rsidP="00D50628"/>
    <w:p w14:paraId="0909AEED" w14:textId="77777777" w:rsidR="00D50628" w:rsidRDefault="00D50628" w:rsidP="00D50628">
      <w:pPr>
        <w:pStyle w:val="EntradandiceSentencia"/>
      </w:pPr>
      <w:r>
        <w:t>Sala Segunda. Sentencia 91/2025, de 7 de abril de 2025</w:t>
      </w:r>
    </w:p>
    <w:p w14:paraId="70F1E519" w14:textId="0AEEDFBB" w:rsidR="00D50628" w:rsidRDefault="00D50628" w:rsidP="00D50628">
      <w:pPr>
        <w:pStyle w:val="EntradandiceSentencia"/>
      </w:pPr>
    </w:p>
    <w:p w14:paraId="5C9DF100" w14:textId="341BCDB7" w:rsidR="00D50628" w:rsidRDefault="00D50628" w:rsidP="00D50628">
      <w:pPr>
        <w:pStyle w:val="EntradaSumario"/>
      </w:pPr>
      <w:r w:rsidRPr="00D50628">
        <w:rPr>
          <w:rStyle w:val="TextoNormalCaracter"/>
        </w:rPr>
        <w:t xml:space="preserve">Recurso de amparo 7473-2024.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SENTENCIA_2025_91 \h </w:instrText>
      </w:r>
      <w:r>
        <w:fldChar w:fldCharType="separate"/>
      </w:r>
      <w:r>
        <w:rPr>
          <w:noProof/>
        </w:rPr>
        <w:t>1319</w:t>
      </w:r>
      <w:r>
        <w:fldChar w:fldCharType="end"/>
      </w:r>
    </w:p>
    <w:p w14:paraId="042DE933" w14:textId="77777777" w:rsidR="00D50628" w:rsidRDefault="00D50628" w:rsidP="00D50628"/>
    <w:p w14:paraId="22172361" w14:textId="77777777" w:rsidR="00D50628" w:rsidRDefault="00D50628" w:rsidP="00D50628">
      <w:pPr>
        <w:pStyle w:val="EntradandiceSentencia"/>
      </w:pPr>
      <w:r>
        <w:t>Sala Primera. Sentencia 92/2025, de 7 de abril de 2025</w:t>
      </w:r>
    </w:p>
    <w:p w14:paraId="526EF5D8" w14:textId="05DA485F" w:rsidR="00D50628" w:rsidRDefault="00D50628" w:rsidP="00D50628">
      <w:pPr>
        <w:pStyle w:val="EntradandiceSentencia"/>
      </w:pPr>
    </w:p>
    <w:p w14:paraId="65786F48" w14:textId="55BEA4CC" w:rsidR="00D50628" w:rsidRDefault="00D50628" w:rsidP="00D50628">
      <w:pPr>
        <w:pStyle w:val="EntradaSumario"/>
      </w:pPr>
      <w:r w:rsidRPr="00D50628">
        <w:rPr>
          <w:rStyle w:val="TextoNormalCaracter"/>
        </w:rPr>
        <w:t xml:space="preserve">Recurso de amparo 7500-2024.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SENTENCIA_2025_92 \h </w:instrText>
      </w:r>
      <w:r>
        <w:fldChar w:fldCharType="separate"/>
      </w:r>
      <w:r>
        <w:rPr>
          <w:noProof/>
        </w:rPr>
        <w:t>1325</w:t>
      </w:r>
      <w:r>
        <w:fldChar w:fldCharType="end"/>
      </w:r>
    </w:p>
    <w:p w14:paraId="73DB516C" w14:textId="77777777" w:rsidR="00D50628" w:rsidRDefault="00D50628" w:rsidP="00D50628"/>
    <w:p w14:paraId="49911333" w14:textId="77777777" w:rsidR="00D50628" w:rsidRDefault="00D50628" w:rsidP="00D50628">
      <w:pPr>
        <w:pStyle w:val="EntradandiceSentencia"/>
      </w:pPr>
      <w:r>
        <w:t>Sala Primera. Sentencia 93/2025, de 7 de abril de 2025</w:t>
      </w:r>
    </w:p>
    <w:p w14:paraId="2908CBD5" w14:textId="51807EE6" w:rsidR="00D50628" w:rsidRDefault="00D50628" w:rsidP="00D50628">
      <w:pPr>
        <w:pStyle w:val="EntradandiceSentencia"/>
      </w:pPr>
    </w:p>
    <w:p w14:paraId="3422EE7E" w14:textId="5B0EAE44" w:rsidR="00D50628" w:rsidRDefault="00D50628" w:rsidP="00D50628">
      <w:pPr>
        <w:pStyle w:val="EntradaSumario"/>
      </w:pPr>
      <w:r w:rsidRPr="00D50628">
        <w:rPr>
          <w:rStyle w:val="TextoNormalCaracter"/>
        </w:rPr>
        <w:t xml:space="preserve">Recurso de amparo 7610-2024.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SENTENCIA_2025_93 \h </w:instrText>
      </w:r>
      <w:r>
        <w:fldChar w:fldCharType="separate"/>
      </w:r>
      <w:r>
        <w:rPr>
          <w:noProof/>
        </w:rPr>
        <w:t>1331</w:t>
      </w:r>
      <w:r>
        <w:fldChar w:fldCharType="end"/>
      </w:r>
    </w:p>
    <w:p w14:paraId="30C37296" w14:textId="77777777" w:rsidR="00D50628" w:rsidRDefault="00D50628" w:rsidP="00D50628"/>
    <w:p w14:paraId="1EBD034A" w14:textId="77777777" w:rsidR="00D50628" w:rsidRDefault="00D50628" w:rsidP="00D50628">
      <w:pPr>
        <w:pStyle w:val="EntradandiceSentencia"/>
      </w:pPr>
      <w:r>
        <w:lastRenderedPageBreak/>
        <w:t>Sala Primera. Sentencia 94/2025, de 7 de abril de 2025</w:t>
      </w:r>
    </w:p>
    <w:p w14:paraId="7596479D" w14:textId="21463DC9" w:rsidR="00D50628" w:rsidRDefault="00D50628" w:rsidP="00D50628">
      <w:pPr>
        <w:pStyle w:val="EntradandiceSentencia"/>
      </w:pPr>
    </w:p>
    <w:p w14:paraId="0A8538C3" w14:textId="05B97D82" w:rsidR="00D50628" w:rsidRDefault="00D50628" w:rsidP="00D50628">
      <w:pPr>
        <w:pStyle w:val="EntradaSumario"/>
      </w:pPr>
      <w:r w:rsidRPr="00D50628">
        <w:rPr>
          <w:rStyle w:val="TextoNormalCaracter"/>
        </w:rPr>
        <w:t xml:space="preserve">Recurso de amparo 7745-2024.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SENTENCIA_2025_94 \h </w:instrText>
      </w:r>
      <w:r>
        <w:fldChar w:fldCharType="separate"/>
      </w:r>
      <w:r>
        <w:rPr>
          <w:noProof/>
        </w:rPr>
        <w:t>1338</w:t>
      </w:r>
      <w:r>
        <w:fldChar w:fldCharType="end"/>
      </w:r>
    </w:p>
    <w:p w14:paraId="3AF76E07" w14:textId="77777777" w:rsidR="00D50628" w:rsidRDefault="00D50628" w:rsidP="00D50628"/>
    <w:p w14:paraId="1ECCE313" w14:textId="77777777" w:rsidR="00D50628" w:rsidRDefault="00D50628" w:rsidP="00D50628">
      <w:pPr>
        <w:pStyle w:val="EntradandiceSentencia"/>
      </w:pPr>
      <w:r>
        <w:t>Pleno. Sentencia 95/2025, de 9 de abril de 2025</w:t>
      </w:r>
    </w:p>
    <w:p w14:paraId="62DC0263" w14:textId="2D548707" w:rsidR="00D50628" w:rsidRDefault="00D50628" w:rsidP="00D50628">
      <w:pPr>
        <w:pStyle w:val="EntradandiceSentencia"/>
      </w:pPr>
    </w:p>
    <w:p w14:paraId="56031E3A" w14:textId="6E6513E6" w:rsidR="00D50628" w:rsidRDefault="00D50628" w:rsidP="00D50628">
      <w:pPr>
        <w:pStyle w:val="EntradaSumario"/>
      </w:pPr>
      <w:r w:rsidRPr="00D50628">
        <w:rPr>
          <w:rStyle w:val="TextoNormalCaracter"/>
        </w:rPr>
        <w:t xml:space="preserve">Recurso de inconstitucionalidad 7767-2021. </w:t>
      </w:r>
      <w:r w:rsidRPr="00D50628">
        <w:rPr>
          <w:rStyle w:val="TextoNormalCursivaCaracter"/>
        </w:rPr>
        <w:t xml:space="preserve"> Límites materiales de los decretos-leyes autonómicos: pérdida parcial de objeto del proceso, nulidad de los preceptos que habilitan a los órganos autonómicos para la adopción de medidas preventivas y tipifican infracciones en materia de salud (STC 136/2024); extensión, por conexión o consecuencia, de la declaración de nulidad a otros preceptos de la misma norma de urgencia.</w:t>
      </w:r>
      <w:r>
        <w:tab/>
      </w:r>
      <w:r>
        <w:tab/>
      </w:r>
      <w:r>
        <w:fldChar w:fldCharType="begin"/>
      </w:r>
      <w:r>
        <w:instrText xml:space="preserve"> PAGEREF SENTENCIA_2025_95 \h </w:instrText>
      </w:r>
      <w:r>
        <w:fldChar w:fldCharType="separate"/>
      </w:r>
      <w:r>
        <w:rPr>
          <w:noProof/>
        </w:rPr>
        <w:t>1344</w:t>
      </w:r>
      <w:r>
        <w:fldChar w:fldCharType="end"/>
      </w:r>
    </w:p>
    <w:p w14:paraId="01B6070A" w14:textId="77777777" w:rsidR="00D50628" w:rsidRDefault="00D50628" w:rsidP="00D50628"/>
    <w:p w14:paraId="3A0613BF" w14:textId="77777777" w:rsidR="00D50628" w:rsidRDefault="00D50628" w:rsidP="00D50628">
      <w:pPr>
        <w:pStyle w:val="EntradandiceSentencia"/>
      </w:pPr>
      <w:r>
        <w:t>Pleno. Sentencia 96/2025, de 9 de abril de 2025</w:t>
      </w:r>
    </w:p>
    <w:p w14:paraId="5D72FD95" w14:textId="1F772D00" w:rsidR="00D50628" w:rsidRDefault="00D50628" w:rsidP="00D50628">
      <w:pPr>
        <w:pStyle w:val="EntradandiceSentencia"/>
      </w:pPr>
    </w:p>
    <w:p w14:paraId="2D7B2F18" w14:textId="7D7B4C91" w:rsidR="00D50628" w:rsidRDefault="00D50628" w:rsidP="00D50628">
      <w:pPr>
        <w:pStyle w:val="EntradaSumario"/>
      </w:pPr>
      <w:r w:rsidRPr="00D50628">
        <w:rPr>
          <w:rStyle w:val="TextoNormalCaracter"/>
        </w:rPr>
        <w:t xml:space="preserve">Recurso de inconstitucionalidad 4926-2024. </w:t>
      </w:r>
      <w:r w:rsidRPr="00D50628">
        <w:rPr>
          <w:rStyle w:val="TextoNormalCursivaCaracter"/>
        </w:rPr>
        <w:t xml:space="preserve"> Competencias sobre legislación procesal y procedimiento administrativo: nulidad del precepto legal autonómico que niega la condición de interesados en los procedimientos administrativos sancionadores y procesos penales a asociaciones y agrupaciones titulares de intereses legítimos colectivos. Voto particular.</w:t>
      </w:r>
      <w:r>
        <w:tab/>
      </w:r>
      <w:r>
        <w:tab/>
      </w:r>
      <w:r>
        <w:fldChar w:fldCharType="begin"/>
      </w:r>
      <w:r>
        <w:instrText xml:space="preserve"> PAGEREF SENTENCIA_2025_96 \h </w:instrText>
      </w:r>
      <w:r>
        <w:fldChar w:fldCharType="separate"/>
      </w:r>
      <w:r>
        <w:rPr>
          <w:noProof/>
        </w:rPr>
        <w:t>1389</w:t>
      </w:r>
      <w:r>
        <w:fldChar w:fldCharType="end"/>
      </w:r>
    </w:p>
    <w:p w14:paraId="5B4D95B7" w14:textId="77777777" w:rsidR="00D50628" w:rsidRDefault="00D50628" w:rsidP="00D50628"/>
    <w:p w14:paraId="505D4A50" w14:textId="77777777" w:rsidR="00D50628" w:rsidRDefault="00D50628" w:rsidP="00D50628">
      <w:pPr>
        <w:pStyle w:val="EntradandiceSentencia"/>
      </w:pPr>
      <w:r>
        <w:t>Sala Primera. Sentencia 97/2025, de 28 de abril de 2025</w:t>
      </w:r>
    </w:p>
    <w:p w14:paraId="7AEBD5DB" w14:textId="4478262C" w:rsidR="00D50628" w:rsidRDefault="00D50628" w:rsidP="00D50628">
      <w:pPr>
        <w:pStyle w:val="EntradandiceSentencia"/>
      </w:pPr>
    </w:p>
    <w:p w14:paraId="0CF9169F" w14:textId="5E477396" w:rsidR="00D50628" w:rsidRDefault="00D50628" w:rsidP="00D50628">
      <w:pPr>
        <w:pStyle w:val="EntradaSumario"/>
      </w:pPr>
      <w:r w:rsidRPr="00D50628">
        <w:rPr>
          <w:rStyle w:val="TextoNormalCaracter"/>
        </w:rPr>
        <w:t xml:space="preserve">Recurso de amparo 7905-2021. </w:t>
      </w:r>
      <w:r w:rsidRPr="00D50628">
        <w:rPr>
          <w:rStyle w:val="TextoNormalCursivaCaracter"/>
        </w:rPr>
        <w:t xml:space="preserve"> Vulneración del derecho de participación política: nulidad, por falta de justificación sobrevenida (STC 38/2022) del número de iniciativas que podía promover el grupo parlamentario; competencia de la junta de portavoces para la fijación del orden del día de las sesiones plenarias, no susceptible de revisión por la mesa de la Cámara.</w:t>
      </w:r>
      <w:r>
        <w:tab/>
      </w:r>
      <w:r>
        <w:tab/>
      </w:r>
      <w:r>
        <w:fldChar w:fldCharType="begin"/>
      </w:r>
      <w:r>
        <w:instrText xml:space="preserve"> PAGEREF SENTENCIA_2025_97 \h </w:instrText>
      </w:r>
      <w:r>
        <w:fldChar w:fldCharType="separate"/>
      </w:r>
      <w:r>
        <w:rPr>
          <w:noProof/>
        </w:rPr>
        <w:t>1410</w:t>
      </w:r>
      <w:r>
        <w:fldChar w:fldCharType="end"/>
      </w:r>
    </w:p>
    <w:p w14:paraId="62C770B9" w14:textId="77777777" w:rsidR="00D50628" w:rsidRDefault="00D50628" w:rsidP="00D50628"/>
    <w:p w14:paraId="23A17B18" w14:textId="77777777" w:rsidR="00D50628" w:rsidRDefault="00D50628" w:rsidP="00D50628">
      <w:pPr>
        <w:pStyle w:val="EntradandiceSentencia"/>
      </w:pPr>
      <w:r>
        <w:t>Sala Segunda. Sentencia 98/2025, de 28 de abril de 2025</w:t>
      </w:r>
    </w:p>
    <w:p w14:paraId="3936E2A7" w14:textId="09A1EA2D" w:rsidR="00D50628" w:rsidRDefault="00D50628" w:rsidP="00D50628">
      <w:pPr>
        <w:pStyle w:val="EntradandiceSentencia"/>
      </w:pPr>
    </w:p>
    <w:p w14:paraId="5B8F5DC0" w14:textId="4A6146CA" w:rsidR="00D50628" w:rsidRDefault="00D50628" w:rsidP="00D50628">
      <w:pPr>
        <w:pStyle w:val="EntradaSumario"/>
      </w:pPr>
      <w:r w:rsidRPr="00D50628">
        <w:rPr>
          <w:rStyle w:val="TextoNormalCaracter"/>
        </w:rPr>
        <w:t xml:space="preserve">Cuestión de inconstitucionalidad 900-2023. </w:t>
      </w:r>
      <w:r w:rsidRPr="00D50628">
        <w:rPr>
          <w:rStyle w:val="TextoNormalCursivaCaracter"/>
        </w:rPr>
        <w:t xml:space="preserve"> Principio de capacidad contributiva: STC 182/2021 [nulidad del precepto regulador del impuesto sobre el incremento de valor de los terrenos de naturaleza urbana que establece un sistema objetivo y de imperativa aplicación para la determinación de la base imponible del tributo (SSTC 59/2017 y 126/2019)]. Voto particular.</w:t>
      </w:r>
      <w:r>
        <w:tab/>
      </w:r>
      <w:r>
        <w:tab/>
      </w:r>
      <w:r>
        <w:fldChar w:fldCharType="begin"/>
      </w:r>
      <w:r>
        <w:instrText xml:space="preserve"> PAGEREF SENTENCIA_2025_98 \h </w:instrText>
      </w:r>
      <w:r>
        <w:fldChar w:fldCharType="separate"/>
      </w:r>
      <w:r>
        <w:rPr>
          <w:noProof/>
        </w:rPr>
        <w:t>1427</w:t>
      </w:r>
      <w:r>
        <w:fldChar w:fldCharType="end"/>
      </w:r>
    </w:p>
    <w:p w14:paraId="2779CEF9" w14:textId="77777777" w:rsidR="00D50628" w:rsidRDefault="00D50628" w:rsidP="00D50628"/>
    <w:p w14:paraId="67B58C1D" w14:textId="77777777" w:rsidR="00D50628" w:rsidRDefault="00D50628" w:rsidP="00D50628">
      <w:pPr>
        <w:pStyle w:val="EntradandiceSentencia"/>
      </w:pPr>
      <w:r>
        <w:t>Sala Segunda. Sentencia 99/2025, de 28 de abril de 2025</w:t>
      </w:r>
    </w:p>
    <w:p w14:paraId="0D9D1216" w14:textId="5DCB9F92" w:rsidR="00D50628" w:rsidRDefault="00D50628" w:rsidP="00D50628">
      <w:pPr>
        <w:pStyle w:val="EntradandiceSentencia"/>
      </w:pPr>
    </w:p>
    <w:p w14:paraId="01257281" w14:textId="51E60FB0" w:rsidR="00D50628" w:rsidRDefault="00D50628" w:rsidP="00D50628">
      <w:pPr>
        <w:pStyle w:val="EntradaSumario"/>
      </w:pPr>
      <w:r w:rsidRPr="00D50628">
        <w:rPr>
          <w:rStyle w:val="TextoNormalCaracter"/>
        </w:rPr>
        <w:t xml:space="preserve">Recurso de amparo 2667-2023. </w:t>
      </w:r>
      <w:r w:rsidRPr="00D50628">
        <w:rPr>
          <w:rStyle w:val="TextoNormalCursivaCaracter"/>
        </w:rPr>
        <w:t xml:space="preserve"> Supuesta vulneración del derecho a la tutela judicial sin indefensión: intento infructuoso de emplazamiento a quien dice estar residiendo en Singapur, sin facilitar datos que acrediten este hecho ni haberse inscrito en el registro consular oportuno.</w:t>
      </w:r>
      <w:r>
        <w:tab/>
      </w:r>
      <w:r>
        <w:tab/>
      </w:r>
      <w:r>
        <w:fldChar w:fldCharType="begin"/>
      </w:r>
      <w:r>
        <w:instrText xml:space="preserve"> PAGEREF SENTENCIA_2025_99 \h </w:instrText>
      </w:r>
      <w:r>
        <w:fldChar w:fldCharType="separate"/>
      </w:r>
      <w:r>
        <w:rPr>
          <w:noProof/>
        </w:rPr>
        <w:t>1447</w:t>
      </w:r>
      <w:r>
        <w:fldChar w:fldCharType="end"/>
      </w:r>
    </w:p>
    <w:p w14:paraId="0DD883E1" w14:textId="77777777" w:rsidR="00D50628" w:rsidRDefault="00D50628" w:rsidP="00D50628"/>
    <w:p w14:paraId="7CA2E6A4" w14:textId="77777777" w:rsidR="00D50628" w:rsidRDefault="00D50628" w:rsidP="00D50628">
      <w:pPr>
        <w:pStyle w:val="EntradandiceSentencia"/>
      </w:pPr>
      <w:r>
        <w:t>Sala Segunda. Sentencia 100/2025, de 28 de abril de 2025</w:t>
      </w:r>
    </w:p>
    <w:p w14:paraId="606823B0" w14:textId="162DF87F" w:rsidR="00D50628" w:rsidRDefault="00D50628" w:rsidP="00D50628">
      <w:pPr>
        <w:pStyle w:val="EntradandiceSentencia"/>
      </w:pPr>
    </w:p>
    <w:p w14:paraId="721CEC99" w14:textId="24164EA3" w:rsidR="00D50628" w:rsidRDefault="00D50628" w:rsidP="00D50628">
      <w:pPr>
        <w:pStyle w:val="EntradaSumario"/>
      </w:pPr>
      <w:r w:rsidRPr="00D50628">
        <w:rPr>
          <w:rStyle w:val="TextoNormalCaracter"/>
        </w:rPr>
        <w:t xml:space="preserve">Recurso de amparo 4668-2023. </w:t>
      </w:r>
      <w:r w:rsidRPr="00D50628">
        <w:rPr>
          <w:rStyle w:val="TextoNormalCursivaCaracter"/>
        </w:rPr>
        <w:t xml:space="preserve"> Supuesta vulneración del derecho a la libertad expresión: manifestaciones injustificadas y desproporcionadas, efectuadas durante la campaña electoral y referidas a quien fuera alcalde de Oviedo pero que había abandonado el primer plano de la actividad política.</w:t>
      </w:r>
      <w:r>
        <w:tab/>
      </w:r>
      <w:r>
        <w:tab/>
      </w:r>
      <w:r>
        <w:fldChar w:fldCharType="begin"/>
      </w:r>
      <w:r>
        <w:instrText xml:space="preserve"> PAGEREF SENTENCIA_2025_100 \h </w:instrText>
      </w:r>
      <w:r>
        <w:fldChar w:fldCharType="separate"/>
      </w:r>
      <w:r>
        <w:rPr>
          <w:noProof/>
        </w:rPr>
        <w:t>1457</w:t>
      </w:r>
      <w:r>
        <w:fldChar w:fldCharType="end"/>
      </w:r>
    </w:p>
    <w:p w14:paraId="16B8AF19" w14:textId="77777777" w:rsidR="00D50628" w:rsidRDefault="00D50628" w:rsidP="00D50628"/>
    <w:p w14:paraId="594331AF" w14:textId="77777777" w:rsidR="00D50628" w:rsidRDefault="00D50628" w:rsidP="00D50628">
      <w:pPr>
        <w:pStyle w:val="EntradandiceSentencia"/>
      </w:pPr>
      <w:r>
        <w:t>Sala Segunda. Sentencia 101/2025, de 28 de abril de 2025</w:t>
      </w:r>
    </w:p>
    <w:p w14:paraId="09DC95D4" w14:textId="6E6CA6AD" w:rsidR="00D50628" w:rsidRDefault="00D50628" w:rsidP="00D50628">
      <w:pPr>
        <w:pStyle w:val="EntradandiceSentencia"/>
      </w:pPr>
    </w:p>
    <w:p w14:paraId="77294D95" w14:textId="7CE725A8" w:rsidR="00D50628" w:rsidRDefault="00D50628" w:rsidP="00D50628">
      <w:pPr>
        <w:pStyle w:val="EntradaSumario"/>
      </w:pPr>
      <w:r w:rsidRPr="00D50628">
        <w:rPr>
          <w:rStyle w:val="TextoNormalCaracter"/>
        </w:rPr>
        <w:t xml:space="preserve">Recurso de amparo 7511-2023. </w:t>
      </w:r>
      <w:r w:rsidRPr="00D50628">
        <w:rPr>
          <w:rStyle w:val="TextoNormalCursivaCaracter"/>
        </w:rPr>
        <w:t xml:space="preserve"> Supuesta vulneración del derecho a la libertad de información: STC 62/2025 (difusión de un vídeo en el que aparecen imágenes de quien no es sujeto de la noticia; doctrina del reportaje neutral). Voto particular.</w:t>
      </w:r>
      <w:r>
        <w:tab/>
      </w:r>
      <w:r>
        <w:tab/>
      </w:r>
      <w:r>
        <w:fldChar w:fldCharType="begin"/>
      </w:r>
      <w:r>
        <w:instrText xml:space="preserve"> PAGEREF SENTENCIA_2025_101 \h </w:instrText>
      </w:r>
      <w:r>
        <w:fldChar w:fldCharType="separate"/>
      </w:r>
      <w:r>
        <w:rPr>
          <w:noProof/>
        </w:rPr>
        <w:t>1477</w:t>
      </w:r>
      <w:r>
        <w:fldChar w:fldCharType="end"/>
      </w:r>
    </w:p>
    <w:p w14:paraId="7B0B1D01" w14:textId="77777777" w:rsidR="00D50628" w:rsidRDefault="00D50628" w:rsidP="00D50628"/>
    <w:p w14:paraId="4D1CE76A" w14:textId="77777777" w:rsidR="00D50628" w:rsidRDefault="00D50628" w:rsidP="00D50628">
      <w:pPr>
        <w:pStyle w:val="EntradandiceSentencia"/>
      </w:pPr>
      <w:r>
        <w:t>Sala Primera. Sentencia 102/2025, de 28 de abril de 2025</w:t>
      </w:r>
    </w:p>
    <w:p w14:paraId="7E830E3F" w14:textId="04C67902" w:rsidR="00D50628" w:rsidRDefault="00D50628" w:rsidP="00D50628">
      <w:pPr>
        <w:pStyle w:val="EntradandiceSentencia"/>
      </w:pPr>
    </w:p>
    <w:p w14:paraId="18859E42" w14:textId="75FC0F21" w:rsidR="00D50628" w:rsidRDefault="00D50628" w:rsidP="00D50628">
      <w:pPr>
        <w:pStyle w:val="EntradaSumario"/>
      </w:pPr>
      <w:r w:rsidRPr="00D50628">
        <w:rPr>
          <w:rStyle w:val="TextoNormalCaracter"/>
        </w:rPr>
        <w:t xml:space="preserve">Recurso de amparo 5381-2024.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SENTENCIA_2025_102 \h </w:instrText>
      </w:r>
      <w:r>
        <w:fldChar w:fldCharType="separate"/>
      </w:r>
      <w:r>
        <w:rPr>
          <w:noProof/>
        </w:rPr>
        <w:t>1489</w:t>
      </w:r>
      <w:r>
        <w:fldChar w:fldCharType="end"/>
      </w:r>
    </w:p>
    <w:p w14:paraId="57B3C203" w14:textId="77777777" w:rsidR="00D50628" w:rsidRDefault="00D50628" w:rsidP="00D50628"/>
    <w:p w14:paraId="7EBDF39C" w14:textId="77777777" w:rsidR="00D50628" w:rsidRDefault="00D50628" w:rsidP="00D50628">
      <w:pPr>
        <w:pStyle w:val="EntradandiceSentencia"/>
      </w:pPr>
      <w:r>
        <w:t>Sala Segunda. Sentencia 103/2025, de 28 de abril de 2025</w:t>
      </w:r>
    </w:p>
    <w:p w14:paraId="3EC74191" w14:textId="7D2B3C87" w:rsidR="00D50628" w:rsidRDefault="00D50628" w:rsidP="00D50628">
      <w:pPr>
        <w:pStyle w:val="EntradandiceSentencia"/>
      </w:pPr>
    </w:p>
    <w:p w14:paraId="26B8E18D" w14:textId="03EA8CDD" w:rsidR="00D50628" w:rsidRDefault="00D50628" w:rsidP="00D50628">
      <w:pPr>
        <w:pStyle w:val="EntradaSumario"/>
      </w:pPr>
      <w:r w:rsidRPr="00D50628">
        <w:rPr>
          <w:rStyle w:val="TextoNormalCaracter"/>
        </w:rPr>
        <w:t xml:space="preserve">Recurso de amparo 6159-2024.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SENTENCIA_2025_103 \h </w:instrText>
      </w:r>
      <w:r>
        <w:fldChar w:fldCharType="separate"/>
      </w:r>
      <w:r>
        <w:rPr>
          <w:noProof/>
        </w:rPr>
        <w:t>1495</w:t>
      </w:r>
      <w:r>
        <w:fldChar w:fldCharType="end"/>
      </w:r>
    </w:p>
    <w:p w14:paraId="1B8971A3" w14:textId="77777777" w:rsidR="00D50628" w:rsidRDefault="00D50628" w:rsidP="00D50628"/>
    <w:p w14:paraId="15485832" w14:textId="77777777" w:rsidR="00D50628" w:rsidRDefault="00D50628" w:rsidP="00D50628">
      <w:pPr>
        <w:pStyle w:val="EntradandiceSentencia"/>
      </w:pPr>
      <w:r>
        <w:t>Sala Primera. Sentencia 104/2025, de 28 de abril de 2025</w:t>
      </w:r>
    </w:p>
    <w:p w14:paraId="0EFEC64A" w14:textId="5F09C7F1" w:rsidR="00D50628" w:rsidRDefault="00D50628" w:rsidP="00D50628">
      <w:pPr>
        <w:pStyle w:val="EntradandiceSentencia"/>
      </w:pPr>
    </w:p>
    <w:p w14:paraId="7A5D8EB7" w14:textId="757624BF" w:rsidR="00D50628" w:rsidRDefault="00D50628" w:rsidP="00D50628">
      <w:pPr>
        <w:pStyle w:val="EntradaSumario"/>
      </w:pPr>
      <w:r w:rsidRPr="00D50628">
        <w:rPr>
          <w:rStyle w:val="TextoNormalCaracter"/>
        </w:rPr>
        <w:t xml:space="preserve">Recurso de amparo 7818-2024.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SENTENCIA_2025_104 \h </w:instrText>
      </w:r>
      <w:r>
        <w:fldChar w:fldCharType="separate"/>
      </w:r>
      <w:r>
        <w:rPr>
          <w:noProof/>
        </w:rPr>
        <w:t>1502</w:t>
      </w:r>
      <w:r>
        <w:fldChar w:fldCharType="end"/>
      </w:r>
    </w:p>
    <w:p w14:paraId="3FFFE3DF" w14:textId="77777777" w:rsidR="00D50628" w:rsidRDefault="00D50628" w:rsidP="00D50628"/>
    <w:p w14:paraId="3DC458AF" w14:textId="77777777" w:rsidR="00D50628" w:rsidRDefault="00D50628" w:rsidP="00D50628">
      <w:pPr>
        <w:pStyle w:val="EntradandiceSentencia"/>
      </w:pPr>
      <w:r>
        <w:t>Pleno. Sentencia 105/2025, de 29 de abril de 2025</w:t>
      </w:r>
    </w:p>
    <w:p w14:paraId="016B7578" w14:textId="12861AF1" w:rsidR="00D50628" w:rsidRDefault="00D50628" w:rsidP="00D50628">
      <w:pPr>
        <w:pStyle w:val="EntradandiceSentencia"/>
      </w:pPr>
    </w:p>
    <w:p w14:paraId="7DDF461E" w14:textId="72DF744C" w:rsidR="00D50628" w:rsidRDefault="00D50628" w:rsidP="00D50628">
      <w:pPr>
        <w:pStyle w:val="EntradaSumario"/>
      </w:pPr>
      <w:r w:rsidRPr="00D50628">
        <w:rPr>
          <w:rStyle w:val="TextoNormalCaracter"/>
        </w:rPr>
        <w:t xml:space="preserve">Recurso de amparo 4330-2023. </w:t>
      </w:r>
      <w:r w:rsidRPr="00D50628">
        <w:rPr>
          <w:rStyle w:val="TextoNormalCursivaCaracter"/>
        </w:rPr>
        <w:t xml:space="preserve"> Vulneración del derecho a la tutela judicial efectiva (acceso al recurso): derecho, de quien ha ejercido la acusación particular, al recurso devolutivo frente a las decisiones judiciales de revisión de condena; inexistencia de previsión legal al respecto y valor de las resoluciones del Tribunal Supremo. Votos particulares.</w:t>
      </w:r>
      <w:r>
        <w:tab/>
      </w:r>
      <w:r>
        <w:tab/>
      </w:r>
      <w:r>
        <w:fldChar w:fldCharType="begin"/>
      </w:r>
      <w:r>
        <w:instrText xml:space="preserve"> PAGEREF SENTENCIA_2025_105 \h </w:instrText>
      </w:r>
      <w:r>
        <w:fldChar w:fldCharType="separate"/>
      </w:r>
      <w:r>
        <w:rPr>
          <w:noProof/>
        </w:rPr>
        <w:t>1508</w:t>
      </w:r>
      <w:r>
        <w:fldChar w:fldCharType="end"/>
      </w:r>
    </w:p>
    <w:p w14:paraId="044D4EA3" w14:textId="77777777" w:rsidR="00D50628" w:rsidRDefault="00D50628" w:rsidP="00D50628"/>
    <w:p w14:paraId="08D31F07" w14:textId="77777777" w:rsidR="00D50628" w:rsidRDefault="00D50628" w:rsidP="00D50628">
      <w:pPr>
        <w:pStyle w:val="EntradandiceSentencia"/>
      </w:pPr>
      <w:r>
        <w:t>Sala Segunda. Sentencia 106/2025, de 12 de mayo de 2025</w:t>
      </w:r>
    </w:p>
    <w:p w14:paraId="6AA1F626" w14:textId="626CF3D5" w:rsidR="00D50628" w:rsidRDefault="00D50628" w:rsidP="00D50628">
      <w:pPr>
        <w:pStyle w:val="EntradandiceSentencia"/>
      </w:pPr>
    </w:p>
    <w:p w14:paraId="213EFA09" w14:textId="435ADBBA" w:rsidR="00D50628" w:rsidRDefault="00D50628" w:rsidP="00D50628">
      <w:pPr>
        <w:pStyle w:val="EntradaSumario"/>
      </w:pPr>
      <w:r w:rsidRPr="00D50628">
        <w:rPr>
          <w:rStyle w:val="TextoNormalCaracter"/>
        </w:rPr>
        <w:t xml:space="preserve">Recurso de amparo 6164-2020. </w:t>
      </w:r>
      <w:r w:rsidRPr="00D50628">
        <w:rPr>
          <w:rStyle w:val="TextoNormalCursivaCaracter"/>
        </w:rPr>
        <w:t xml:space="preserve"> Alegada vulneración de la libertad personal en conexión con los derechos a la tutela judicial y a la defensa: inadmisión del recurso de amparo extemporáneamente interpuesto.</w:t>
      </w:r>
      <w:r>
        <w:tab/>
      </w:r>
      <w:r>
        <w:tab/>
      </w:r>
      <w:r>
        <w:fldChar w:fldCharType="begin"/>
      </w:r>
      <w:r>
        <w:instrText xml:space="preserve"> PAGEREF SENTENCIA_2025_106 \h </w:instrText>
      </w:r>
      <w:r>
        <w:fldChar w:fldCharType="separate"/>
      </w:r>
      <w:r>
        <w:rPr>
          <w:noProof/>
        </w:rPr>
        <w:t>1551</w:t>
      </w:r>
      <w:r>
        <w:fldChar w:fldCharType="end"/>
      </w:r>
    </w:p>
    <w:p w14:paraId="4154046A" w14:textId="77777777" w:rsidR="00D50628" w:rsidRDefault="00D50628" w:rsidP="00D50628"/>
    <w:p w14:paraId="08E99DE2" w14:textId="77777777" w:rsidR="00D50628" w:rsidRDefault="00D50628" w:rsidP="00D50628">
      <w:pPr>
        <w:pStyle w:val="EntradandiceSentencia"/>
      </w:pPr>
      <w:r>
        <w:t>Sala Primera. Sentencia 107/2025, de 12 de mayo de 2025</w:t>
      </w:r>
    </w:p>
    <w:p w14:paraId="6FE6DA21" w14:textId="064B1176" w:rsidR="00D50628" w:rsidRDefault="00D50628" w:rsidP="00D50628">
      <w:pPr>
        <w:pStyle w:val="EntradandiceSentencia"/>
      </w:pPr>
    </w:p>
    <w:p w14:paraId="3C91F321" w14:textId="5F5FE168" w:rsidR="00D50628" w:rsidRDefault="00D50628" w:rsidP="00D50628">
      <w:pPr>
        <w:pStyle w:val="EntradaSumario"/>
      </w:pPr>
      <w:r w:rsidRPr="00D50628">
        <w:rPr>
          <w:rStyle w:val="TextoNormalCaracter"/>
        </w:rPr>
        <w:t xml:space="preserve">Recurso de amparo 5123-2021. </w:t>
      </w:r>
      <w:r w:rsidRPr="00D50628">
        <w:rPr>
          <w:rStyle w:val="TextoNormalCursivaCaracter"/>
        </w:rPr>
        <w:t xml:space="preserve"> Supuesta vulneración de los derechos al honor, tutela judicial sin indefensión, de defensa, a ser informado de la acusación y a la prueba, a no declarar contra sí mismo, a no confesarse culpable y a la presunción de inocencia: actuación de la comisión parlamentaria de investigación que no vulneró el derecho del compareciente a ser considerado y tratado como no autor o partícipe en conductas ilícitas (STC 133/2018).</w:t>
      </w:r>
      <w:r>
        <w:tab/>
      </w:r>
      <w:r>
        <w:tab/>
      </w:r>
      <w:r>
        <w:fldChar w:fldCharType="begin"/>
      </w:r>
      <w:r>
        <w:instrText xml:space="preserve"> PAGEREF SENTENCIA_2025_107 \h </w:instrText>
      </w:r>
      <w:r>
        <w:fldChar w:fldCharType="separate"/>
      </w:r>
      <w:r>
        <w:rPr>
          <w:noProof/>
        </w:rPr>
        <w:t>1561</w:t>
      </w:r>
      <w:r>
        <w:fldChar w:fldCharType="end"/>
      </w:r>
    </w:p>
    <w:p w14:paraId="315661C8" w14:textId="77777777" w:rsidR="00D50628" w:rsidRDefault="00D50628" w:rsidP="00D50628"/>
    <w:p w14:paraId="7DD8B5A5" w14:textId="77777777" w:rsidR="00D50628" w:rsidRDefault="00D50628" w:rsidP="00D50628">
      <w:pPr>
        <w:pStyle w:val="EntradandiceSentencia"/>
      </w:pPr>
      <w:r>
        <w:t>Sala Primera. Sentencia 108/2025, de 12 de mayo de 2025</w:t>
      </w:r>
    </w:p>
    <w:p w14:paraId="313743D3" w14:textId="3031B425" w:rsidR="00D50628" w:rsidRDefault="00D50628" w:rsidP="00D50628">
      <w:pPr>
        <w:pStyle w:val="EntradandiceSentencia"/>
      </w:pPr>
    </w:p>
    <w:p w14:paraId="5BB30FAC" w14:textId="3C70A6B8" w:rsidR="00D50628" w:rsidRDefault="00D50628" w:rsidP="00D50628">
      <w:pPr>
        <w:pStyle w:val="EntradaSumario"/>
      </w:pPr>
      <w:r w:rsidRPr="00D50628">
        <w:rPr>
          <w:rStyle w:val="TextoNormalCaracter"/>
        </w:rPr>
        <w:t xml:space="preserve">Recurso de amparo 5361-2021. </w:t>
      </w:r>
      <w:r w:rsidRPr="00D50628">
        <w:rPr>
          <w:rStyle w:val="TextoNormalCursivaCaracter"/>
        </w:rPr>
        <w:t xml:space="preserve"> Supuesta vulneración de los derechos al honor y a la presunción de inocencia: actuación de la comisión parlamentaria de investigación que no vulneró el derecho de los comparecientes a ser considerados y tratados como no autores o partícipes en conductas ilícitas (STC 133/2018).</w:t>
      </w:r>
      <w:r>
        <w:tab/>
      </w:r>
      <w:r>
        <w:tab/>
      </w:r>
      <w:r>
        <w:fldChar w:fldCharType="begin"/>
      </w:r>
      <w:r>
        <w:instrText xml:space="preserve"> PAGEREF SENTENCIA_2025_108 \h </w:instrText>
      </w:r>
      <w:r>
        <w:fldChar w:fldCharType="separate"/>
      </w:r>
      <w:r>
        <w:rPr>
          <w:noProof/>
        </w:rPr>
        <w:t>1584</w:t>
      </w:r>
      <w:r>
        <w:fldChar w:fldCharType="end"/>
      </w:r>
    </w:p>
    <w:p w14:paraId="4004E095" w14:textId="77777777" w:rsidR="00D50628" w:rsidRDefault="00D50628" w:rsidP="00D50628"/>
    <w:p w14:paraId="556B4DC0" w14:textId="77777777" w:rsidR="00D50628" w:rsidRDefault="00D50628" w:rsidP="00D50628">
      <w:pPr>
        <w:pStyle w:val="EntradandiceSentencia"/>
      </w:pPr>
      <w:r>
        <w:t>Sala Segunda. Sentencia 109/2025, de 12 de mayo de 2025</w:t>
      </w:r>
    </w:p>
    <w:p w14:paraId="5AFA0DD3" w14:textId="45F14EDD" w:rsidR="00D50628" w:rsidRDefault="00D50628" w:rsidP="00D50628">
      <w:pPr>
        <w:pStyle w:val="EntradandiceSentencia"/>
      </w:pPr>
    </w:p>
    <w:p w14:paraId="3C39C1FA" w14:textId="73208EC2" w:rsidR="00D50628" w:rsidRDefault="00D50628" w:rsidP="00D50628">
      <w:pPr>
        <w:pStyle w:val="EntradaSumario"/>
      </w:pPr>
      <w:r w:rsidRPr="00D50628">
        <w:rPr>
          <w:rStyle w:val="TextoNormalCaracter"/>
        </w:rPr>
        <w:t xml:space="preserve">Recurso de amparo 796-2022. </w:t>
      </w:r>
      <w:r w:rsidRPr="00D50628">
        <w:rPr>
          <w:rStyle w:val="TextoNormalCursivaCaracter"/>
        </w:rPr>
        <w:t xml:space="preserve"> Vulneración del derecho a la tutela judicial efectiva (resolución fundada en Derecho): resoluciones judiciales que, ignorando el principio de efectividad del Derecho de la Unión Europea, deniegan la imposición de costas en un proceso en el que se ha declarado el carácter abusivo de cláusulas contractuales (SSTC 91/2023 y 96/2023).</w:t>
      </w:r>
      <w:r>
        <w:tab/>
      </w:r>
      <w:r>
        <w:tab/>
      </w:r>
      <w:r>
        <w:fldChar w:fldCharType="begin"/>
      </w:r>
      <w:r>
        <w:instrText xml:space="preserve"> PAGEREF SENTENCIA_2025_109 \h </w:instrText>
      </w:r>
      <w:r>
        <w:fldChar w:fldCharType="separate"/>
      </w:r>
      <w:r>
        <w:rPr>
          <w:noProof/>
        </w:rPr>
        <w:t>1603</w:t>
      </w:r>
      <w:r>
        <w:fldChar w:fldCharType="end"/>
      </w:r>
    </w:p>
    <w:p w14:paraId="1636F220" w14:textId="77777777" w:rsidR="00D50628" w:rsidRDefault="00D50628" w:rsidP="00D50628"/>
    <w:p w14:paraId="604ED43C" w14:textId="77777777" w:rsidR="00D50628" w:rsidRDefault="00D50628" w:rsidP="00D50628">
      <w:pPr>
        <w:pStyle w:val="EntradandiceSentencia"/>
      </w:pPr>
      <w:r>
        <w:t>Sala Primera. Sentencia 110/2025, de 12 de mayo de 2025</w:t>
      </w:r>
    </w:p>
    <w:p w14:paraId="76C0F144" w14:textId="62F4B19E" w:rsidR="00D50628" w:rsidRDefault="00D50628" w:rsidP="00D50628">
      <w:pPr>
        <w:pStyle w:val="EntradandiceSentencia"/>
      </w:pPr>
    </w:p>
    <w:p w14:paraId="56341F7F" w14:textId="1741AFCE" w:rsidR="00D50628" w:rsidRDefault="00D50628" w:rsidP="00D50628">
      <w:pPr>
        <w:pStyle w:val="EntradaSumario"/>
      </w:pPr>
      <w:r w:rsidRPr="00D50628">
        <w:rPr>
          <w:rStyle w:val="TextoNormalCaracter"/>
        </w:rPr>
        <w:t xml:space="preserve">Recurso de amparo 4755-2023. </w:t>
      </w:r>
      <w:r w:rsidRPr="00D50628">
        <w:rPr>
          <w:rStyle w:val="TextoNormalCursivaCaracter"/>
        </w:rPr>
        <w:t xml:space="preserve"> Vulneración del derecho a la tutela judicial efectiva (acceso al recurso): derecho al recurso devolutivo frente a las decisiones judiciales de revisión de condena; inexistencia de previsión legal al respecto y valor de las resoluciones del Tribunal Supremo (STC 105/2025). Votos particulares.</w:t>
      </w:r>
      <w:r>
        <w:tab/>
      </w:r>
      <w:r>
        <w:tab/>
      </w:r>
      <w:r>
        <w:fldChar w:fldCharType="begin"/>
      </w:r>
      <w:r>
        <w:instrText xml:space="preserve"> PAGEREF SENTENCIA_2025_110 \h </w:instrText>
      </w:r>
      <w:r>
        <w:fldChar w:fldCharType="separate"/>
      </w:r>
      <w:r>
        <w:rPr>
          <w:noProof/>
        </w:rPr>
        <w:t>1614</w:t>
      </w:r>
      <w:r>
        <w:fldChar w:fldCharType="end"/>
      </w:r>
    </w:p>
    <w:p w14:paraId="4A7BF2C6" w14:textId="77777777" w:rsidR="00D50628" w:rsidRDefault="00D50628" w:rsidP="00D50628"/>
    <w:p w14:paraId="3F86336D" w14:textId="77777777" w:rsidR="00D50628" w:rsidRDefault="00D50628" w:rsidP="00D50628">
      <w:pPr>
        <w:pStyle w:val="EntradandiceSentencia"/>
      </w:pPr>
      <w:r>
        <w:t>Sala Segunda. Sentencia 111/2025, de 12 de mayo de 2025</w:t>
      </w:r>
    </w:p>
    <w:p w14:paraId="7D0C7E58" w14:textId="6357EF5A" w:rsidR="00D50628" w:rsidRDefault="00D50628" w:rsidP="00D50628">
      <w:pPr>
        <w:pStyle w:val="EntradandiceSentencia"/>
      </w:pPr>
    </w:p>
    <w:p w14:paraId="30216341" w14:textId="466EFC6E" w:rsidR="00D50628" w:rsidRDefault="00D50628" w:rsidP="00D50628">
      <w:pPr>
        <w:pStyle w:val="EntradaSumario"/>
      </w:pPr>
      <w:r w:rsidRPr="00D50628">
        <w:rPr>
          <w:rStyle w:val="TextoNormalCaracter"/>
        </w:rPr>
        <w:t xml:space="preserve">Recurso de amparo 62-2024. </w:t>
      </w:r>
      <w:r w:rsidRPr="00D50628">
        <w:rPr>
          <w:rStyle w:val="TextoNormalCursivaCaracter"/>
        </w:rPr>
        <w:t xml:space="preserve"> Vulneración del derecho a la legalidad penal: aplicación retroactiva de una ley penal desfavorable (STC 54/2023).</w:t>
      </w:r>
      <w:r>
        <w:tab/>
      </w:r>
      <w:r>
        <w:tab/>
      </w:r>
      <w:r>
        <w:fldChar w:fldCharType="begin"/>
      </w:r>
      <w:r>
        <w:instrText xml:space="preserve"> PAGEREF SENTENCIA_2025_111 \h </w:instrText>
      </w:r>
      <w:r>
        <w:fldChar w:fldCharType="separate"/>
      </w:r>
      <w:r>
        <w:rPr>
          <w:noProof/>
        </w:rPr>
        <w:t>1643</w:t>
      </w:r>
      <w:r>
        <w:fldChar w:fldCharType="end"/>
      </w:r>
    </w:p>
    <w:p w14:paraId="127640AF" w14:textId="77777777" w:rsidR="00D50628" w:rsidRDefault="00D50628" w:rsidP="00D50628"/>
    <w:p w14:paraId="1579419F" w14:textId="77777777" w:rsidR="00D50628" w:rsidRDefault="00D50628" w:rsidP="00D50628">
      <w:pPr>
        <w:pStyle w:val="EntradandiceSentencia"/>
      </w:pPr>
      <w:r>
        <w:t>Sala Segunda. Sentencia 112/2025, de 12 de mayo de 2025</w:t>
      </w:r>
    </w:p>
    <w:p w14:paraId="5DFC1708" w14:textId="2B0C6486" w:rsidR="00D50628" w:rsidRDefault="00D50628" w:rsidP="00D50628">
      <w:pPr>
        <w:pStyle w:val="EntradandiceSentencia"/>
      </w:pPr>
    </w:p>
    <w:p w14:paraId="2DAD07DA" w14:textId="0EAFFD85" w:rsidR="00D50628" w:rsidRDefault="00D50628" w:rsidP="00D50628">
      <w:pPr>
        <w:pStyle w:val="EntradaSumario"/>
      </w:pPr>
      <w:r w:rsidRPr="00D50628">
        <w:rPr>
          <w:rStyle w:val="TextoNormalCaracter"/>
        </w:rPr>
        <w:t xml:space="preserve">Recurso de amparo 4983-2024.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SENTENCIA_2025_112 \h </w:instrText>
      </w:r>
      <w:r>
        <w:fldChar w:fldCharType="separate"/>
      </w:r>
      <w:r>
        <w:rPr>
          <w:noProof/>
        </w:rPr>
        <w:t>1652</w:t>
      </w:r>
      <w:r>
        <w:fldChar w:fldCharType="end"/>
      </w:r>
    </w:p>
    <w:p w14:paraId="7A7346EB" w14:textId="77777777" w:rsidR="00D50628" w:rsidRDefault="00D50628" w:rsidP="00D50628"/>
    <w:p w14:paraId="27B393FC" w14:textId="77777777" w:rsidR="00D50628" w:rsidRDefault="00D50628" w:rsidP="00D50628">
      <w:pPr>
        <w:pStyle w:val="EntradandiceSentencia"/>
      </w:pPr>
      <w:r>
        <w:t>Sala Segunda. Sentencia 113/2025, de 12 de mayo de 2025</w:t>
      </w:r>
    </w:p>
    <w:p w14:paraId="5088D3B8" w14:textId="2C2F2538" w:rsidR="00D50628" w:rsidRDefault="00D50628" w:rsidP="00D50628">
      <w:pPr>
        <w:pStyle w:val="EntradandiceSentencia"/>
      </w:pPr>
    </w:p>
    <w:p w14:paraId="54D0DA33" w14:textId="0A2C9987" w:rsidR="00D50628" w:rsidRDefault="00D50628" w:rsidP="00D50628">
      <w:pPr>
        <w:pStyle w:val="EntradaSumario"/>
      </w:pPr>
      <w:r w:rsidRPr="00D50628">
        <w:rPr>
          <w:rStyle w:val="TextoNormalCaracter"/>
        </w:rPr>
        <w:t xml:space="preserve">Recurso de amparo 5901-2024.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SENTENCIA_2025_113 \h </w:instrText>
      </w:r>
      <w:r>
        <w:fldChar w:fldCharType="separate"/>
      </w:r>
      <w:r>
        <w:rPr>
          <w:noProof/>
        </w:rPr>
        <w:t>1659</w:t>
      </w:r>
      <w:r>
        <w:fldChar w:fldCharType="end"/>
      </w:r>
    </w:p>
    <w:p w14:paraId="6A23B470" w14:textId="77777777" w:rsidR="00D50628" w:rsidRDefault="00D50628" w:rsidP="00D50628"/>
    <w:p w14:paraId="7C4408E3" w14:textId="77777777" w:rsidR="00D50628" w:rsidRDefault="00D50628" w:rsidP="00D50628">
      <w:pPr>
        <w:pStyle w:val="EntradandiceSentencia"/>
      </w:pPr>
      <w:r>
        <w:t>Sala Segunda. Sentencia 114/2025, de 12 de mayo de 2025</w:t>
      </w:r>
    </w:p>
    <w:p w14:paraId="6734E3FD" w14:textId="731B6023" w:rsidR="00D50628" w:rsidRDefault="00D50628" w:rsidP="00D50628">
      <w:pPr>
        <w:pStyle w:val="EntradandiceSentencia"/>
      </w:pPr>
    </w:p>
    <w:p w14:paraId="2C1D7D2A" w14:textId="6D5854F9" w:rsidR="00D50628" w:rsidRDefault="00D50628" w:rsidP="00D50628">
      <w:pPr>
        <w:pStyle w:val="EntradaSumario"/>
      </w:pPr>
      <w:r w:rsidRPr="00D50628">
        <w:rPr>
          <w:rStyle w:val="TextoNormalCaracter"/>
        </w:rPr>
        <w:t xml:space="preserve">Recurso de amparo 6082-2024.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SENTENCIA_2025_114 \h </w:instrText>
      </w:r>
      <w:r>
        <w:fldChar w:fldCharType="separate"/>
      </w:r>
      <w:r>
        <w:rPr>
          <w:noProof/>
        </w:rPr>
        <w:t>1665</w:t>
      </w:r>
      <w:r>
        <w:fldChar w:fldCharType="end"/>
      </w:r>
    </w:p>
    <w:p w14:paraId="159529DD" w14:textId="77777777" w:rsidR="00D50628" w:rsidRDefault="00D50628" w:rsidP="00D50628"/>
    <w:p w14:paraId="3525B27B" w14:textId="77777777" w:rsidR="00D50628" w:rsidRDefault="00D50628" w:rsidP="00D50628">
      <w:pPr>
        <w:pStyle w:val="EntradandiceSentencia"/>
      </w:pPr>
      <w:r>
        <w:t>Sala Segunda. Sentencia 115/2025, de 12 de mayo de 2025</w:t>
      </w:r>
    </w:p>
    <w:p w14:paraId="260A432A" w14:textId="72BF6F82" w:rsidR="00D50628" w:rsidRDefault="00D50628" w:rsidP="00D50628">
      <w:pPr>
        <w:pStyle w:val="EntradandiceSentencia"/>
      </w:pPr>
    </w:p>
    <w:p w14:paraId="6D3F0346" w14:textId="2F29FA79" w:rsidR="00D50628" w:rsidRDefault="00D50628" w:rsidP="00D50628">
      <w:pPr>
        <w:pStyle w:val="EntradaSumario"/>
      </w:pPr>
      <w:r w:rsidRPr="00D50628">
        <w:rPr>
          <w:rStyle w:val="TextoNormalCaracter"/>
        </w:rPr>
        <w:t xml:space="preserve">Recurso de amparo 7680-2024.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SENTENCIA_2025_115 \h </w:instrText>
      </w:r>
      <w:r>
        <w:fldChar w:fldCharType="separate"/>
      </w:r>
      <w:r>
        <w:rPr>
          <w:noProof/>
        </w:rPr>
        <w:t>1672</w:t>
      </w:r>
      <w:r>
        <w:fldChar w:fldCharType="end"/>
      </w:r>
    </w:p>
    <w:p w14:paraId="331B0DF9" w14:textId="77777777" w:rsidR="00D50628" w:rsidRDefault="00D50628" w:rsidP="00D50628"/>
    <w:p w14:paraId="6E34882E" w14:textId="77777777" w:rsidR="00D50628" w:rsidRDefault="00D50628" w:rsidP="00D50628">
      <w:pPr>
        <w:pStyle w:val="EntradandiceSentencia"/>
      </w:pPr>
      <w:r>
        <w:t>Sala Segunda. Sentencia 116/2025, de 12 de mayo de 2025</w:t>
      </w:r>
    </w:p>
    <w:p w14:paraId="31032CF2" w14:textId="61E01FE5" w:rsidR="00D50628" w:rsidRDefault="00D50628" w:rsidP="00D50628">
      <w:pPr>
        <w:pStyle w:val="EntradandiceSentencia"/>
      </w:pPr>
    </w:p>
    <w:p w14:paraId="2DF640C5" w14:textId="17B7B97F" w:rsidR="00D50628" w:rsidRDefault="00D50628" w:rsidP="00D50628">
      <w:pPr>
        <w:pStyle w:val="EntradaSumario"/>
      </w:pPr>
      <w:r w:rsidRPr="00D50628">
        <w:rPr>
          <w:rStyle w:val="TextoNormalCaracter"/>
        </w:rPr>
        <w:t xml:space="preserve">Recurso de amparo 7684-2024.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SENTENCIA_2025_116 \h </w:instrText>
      </w:r>
      <w:r>
        <w:fldChar w:fldCharType="separate"/>
      </w:r>
      <w:r>
        <w:rPr>
          <w:noProof/>
        </w:rPr>
        <w:t>1678</w:t>
      </w:r>
      <w:r>
        <w:fldChar w:fldCharType="end"/>
      </w:r>
    </w:p>
    <w:p w14:paraId="58C798F9" w14:textId="77777777" w:rsidR="00D50628" w:rsidRDefault="00D50628" w:rsidP="00D50628"/>
    <w:p w14:paraId="1DC6B0EB" w14:textId="77777777" w:rsidR="00D50628" w:rsidRDefault="00D50628" w:rsidP="00D50628">
      <w:pPr>
        <w:pStyle w:val="EntradandiceSentencia"/>
      </w:pPr>
      <w:r>
        <w:t>Pleno. Sentencia 117/2025, de 13 de mayo de 2025</w:t>
      </w:r>
    </w:p>
    <w:p w14:paraId="6304A8D3" w14:textId="44CD947F" w:rsidR="00D50628" w:rsidRDefault="00D50628" w:rsidP="00D50628">
      <w:pPr>
        <w:pStyle w:val="EntradandiceSentencia"/>
      </w:pPr>
    </w:p>
    <w:p w14:paraId="504439D2" w14:textId="74511391" w:rsidR="00D50628" w:rsidRDefault="00D50628" w:rsidP="00D50628">
      <w:pPr>
        <w:pStyle w:val="EntradaSumario"/>
      </w:pPr>
      <w:r w:rsidRPr="00D50628">
        <w:rPr>
          <w:rStyle w:val="TextoNormalCaracter"/>
        </w:rPr>
        <w:t xml:space="preserve">Recurso de amparo 456-2021. </w:t>
      </w:r>
      <w:r w:rsidRPr="00D50628">
        <w:rPr>
          <w:rStyle w:val="TextoNormalCursivaCaracter"/>
        </w:rPr>
        <w:t xml:space="preserve"> Vulneración de los derechos a la libertad de expresión y a la libertad de creación artística: resoluciones judiciales que, en el enjuiciamiento penal del llamado “tour de la Manada” prescindieron de la consideración de la afectación a las libertades públicas concernidas.</w:t>
      </w:r>
      <w:r>
        <w:tab/>
      </w:r>
      <w:r>
        <w:tab/>
      </w:r>
      <w:r>
        <w:fldChar w:fldCharType="begin"/>
      </w:r>
      <w:r>
        <w:instrText xml:space="preserve"> PAGEREF SENTENCIA_2025_117 \h </w:instrText>
      </w:r>
      <w:r>
        <w:fldChar w:fldCharType="separate"/>
      </w:r>
      <w:r>
        <w:rPr>
          <w:noProof/>
        </w:rPr>
        <w:t>1685</w:t>
      </w:r>
      <w:r>
        <w:fldChar w:fldCharType="end"/>
      </w:r>
    </w:p>
    <w:p w14:paraId="263E5F37" w14:textId="77777777" w:rsidR="00D50628" w:rsidRDefault="00D50628" w:rsidP="00D50628"/>
    <w:p w14:paraId="56695B2B" w14:textId="77777777" w:rsidR="00D50628" w:rsidRDefault="00D50628" w:rsidP="00D50628">
      <w:pPr>
        <w:pStyle w:val="EntradandiceSentencia"/>
      </w:pPr>
      <w:r>
        <w:t>Pleno. Sentencia 118/2025, de 14 de mayo de 2025</w:t>
      </w:r>
    </w:p>
    <w:p w14:paraId="7B93A7C1" w14:textId="6A97A387" w:rsidR="00D50628" w:rsidRDefault="00D50628" w:rsidP="00D50628">
      <w:pPr>
        <w:pStyle w:val="EntradandiceSentencia"/>
      </w:pPr>
    </w:p>
    <w:p w14:paraId="6F3ECF7A" w14:textId="7A2E0572" w:rsidR="00D50628" w:rsidRDefault="00D50628" w:rsidP="00D50628">
      <w:pPr>
        <w:pStyle w:val="EntradaSumario"/>
      </w:pPr>
      <w:r w:rsidRPr="00D50628">
        <w:rPr>
          <w:rStyle w:val="TextoNormalCaracter"/>
        </w:rPr>
        <w:t xml:space="preserve">Recurso de inconstitucionalidad 7549-2023. </w:t>
      </w:r>
      <w:r w:rsidRPr="00D50628">
        <w:rPr>
          <w:rStyle w:val="TextoNormalCursivaCaracter"/>
        </w:rPr>
        <w:t xml:space="preserve"> Límites de los decretos-leyes: pérdida parcial de objeto del proceso; justificación de la concurrencia del presupuesto habilitante en una norma de urgencia que, al eliminar la exigencia de un determinado nivel de conocimiento de catalán como requisito para acceder a puestos de personal estatutario y laboral en el Servicio de Salud de las Illes Balears, no incorpora una regulación general del régimen de cooficialidad lingüística.</w:t>
      </w:r>
      <w:r>
        <w:tab/>
      </w:r>
      <w:r>
        <w:tab/>
      </w:r>
      <w:r>
        <w:fldChar w:fldCharType="begin"/>
      </w:r>
      <w:r>
        <w:instrText xml:space="preserve"> PAGEREF SENTENCIA_2025_118 \h </w:instrText>
      </w:r>
      <w:r>
        <w:fldChar w:fldCharType="separate"/>
      </w:r>
      <w:r>
        <w:rPr>
          <w:noProof/>
        </w:rPr>
        <w:t>1717</w:t>
      </w:r>
      <w:r>
        <w:fldChar w:fldCharType="end"/>
      </w:r>
    </w:p>
    <w:p w14:paraId="1F4ECA4A" w14:textId="77777777" w:rsidR="00D50628" w:rsidRDefault="00D50628" w:rsidP="00D50628"/>
    <w:p w14:paraId="226411BC" w14:textId="77777777" w:rsidR="00D50628" w:rsidRDefault="00D50628" w:rsidP="00D50628">
      <w:pPr>
        <w:pStyle w:val="EntradandiceSentencia"/>
      </w:pPr>
      <w:r>
        <w:t>Sala Primera. Sentencia 119/2025, de 26 de mayo de 2025</w:t>
      </w:r>
    </w:p>
    <w:p w14:paraId="11FE4C90" w14:textId="63CBF432" w:rsidR="00D50628" w:rsidRDefault="00D50628" w:rsidP="00D50628">
      <w:pPr>
        <w:pStyle w:val="EntradandiceSentencia"/>
      </w:pPr>
    </w:p>
    <w:p w14:paraId="09304B66" w14:textId="10CC18A9" w:rsidR="00D50628" w:rsidRDefault="00D50628" w:rsidP="00D50628">
      <w:pPr>
        <w:pStyle w:val="EntradaSumario"/>
      </w:pPr>
      <w:r w:rsidRPr="00D50628">
        <w:rPr>
          <w:rStyle w:val="TextoNormalCaracter"/>
        </w:rPr>
        <w:t xml:space="preserve">Recurso de amparo 1305-2023. </w:t>
      </w:r>
      <w:r w:rsidRPr="00D50628">
        <w:rPr>
          <w:rStyle w:val="TextoNormalCursivaCaracter"/>
        </w:rPr>
        <w:t xml:space="preserve"> Supuesta vulneración del derecho a la libertad religiosa y a que los hijos reciban la formación religiosa y moral acorde con las convicciones de los padres: resoluciones judiciales que prohíben expresamente al padre la realización de adoctrinamiento en la fe evangélica (STEDH de 19 de mayo de 2022, asunto T.C., c. Italia).</w:t>
      </w:r>
      <w:r>
        <w:tab/>
      </w:r>
      <w:r>
        <w:tab/>
      </w:r>
      <w:r>
        <w:fldChar w:fldCharType="begin"/>
      </w:r>
      <w:r>
        <w:instrText xml:space="preserve"> PAGEREF SENTENCIA_2025_119 \h </w:instrText>
      </w:r>
      <w:r>
        <w:fldChar w:fldCharType="separate"/>
      </w:r>
      <w:r>
        <w:rPr>
          <w:noProof/>
        </w:rPr>
        <w:t>1736</w:t>
      </w:r>
      <w:r>
        <w:fldChar w:fldCharType="end"/>
      </w:r>
    </w:p>
    <w:p w14:paraId="1B3CD12D" w14:textId="77777777" w:rsidR="00D50628" w:rsidRDefault="00D50628" w:rsidP="00D50628"/>
    <w:p w14:paraId="42121AE4" w14:textId="77777777" w:rsidR="00D50628" w:rsidRDefault="00D50628" w:rsidP="00D50628">
      <w:pPr>
        <w:pStyle w:val="EntradandiceSentencia"/>
      </w:pPr>
      <w:r>
        <w:t>Sala Segunda. Sentencia 120/2025, de 26 de mayo de 2025</w:t>
      </w:r>
    </w:p>
    <w:p w14:paraId="6F88CF81" w14:textId="6E8D696B" w:rsidR="00D50628" w:rsidRDefault="00D50628" w:rsidP="00D50628">
      <w:pPr>
        <w:pStyle w:val="EntradandiceSentencia"/>
      </w:pPr>
    </w:p>
    <w:p w14:paraId="580A82F3" w14:textId="6468D0B5" w:rsidR="00D50628" w:rsidRDefault="00D50628" w:rsidP="00D50628">
      <w:pPr>
        <w:pStyle w:val="EntradaSumario"/>
      </w:pPr>
      <w:r w:rsidRPr="00D50628">
        <w:rPr>
          <w:rStyle w:val="TextoNormalCaracter"/>
        </w:rPr>
        <w:t xml:space="preserve">Recurso de amparo 1750-2023. </w:t>
      </w:r>
      <w:r w:rsidRPr="00D50628">
        <w:rPr>
          <w:rStyle w:val="TextoNormalCursivaCaracter"/>
        </w:rPr>
        <w:t xml:space="preserve"> Vulneración del derecho a la participación política: anulación de los acuerdos del presidente del Parlamento que fijaron el orden del día del pleno de la Cámara prescindiendo del concurso de la junta de portavoces.</w:t>
      </w:r>
      <w:r>
        <w:tab/>
      </w:r>
      <w:r>
        <w:tab/>
      </w:r>
      <w:r>
        <w:fldChar w:fldCharType="begin"/>
      </w:r>
      <w:r>
        <w:instrText xml:space="preserve"> PAGEREF SENTENCIA_2025_120 \h </w:instrText>
      </w:r>
      <w:r>
        <w:fldChar w:fldCharType="separate"/>
      </w:r>
      <w:r>
        <w:rPr>
          <w:noProof/>
        </w:rPr>
        <w:t>1755</w:t>
      </w:r>
      <w:r>
        <w:fldChar w:fldCharType="end"/>
      </w:r>
    </w:p>
    <w:p w14:paraId="26C9B31A" w14:textId="77777777" w:rsidR="00D50628" w:rsidRDefault="00D50628" w:rsidP="00D50628"/>
    <w:p w14:paraId="1DE33FA6" w14:textId="77777777" w:rsidR="00D50628" w:rsidRDefault="00D50628" w:rsidP="00D50628">
      <w:pPr>
        <w:pStyle w:val="EntradandiceSentencia"/>
      </w:pPr>
      <w:r>
        <w:t>Sala Segunda. Sentencia 121/2025, de 26 de mayo de 2025</w:t>
      </w:r>
    </w:p>
    <w:p w14:paraId="2C5D974C" w14:textId="1D81F6BC" w:rsidR="00D50628" w:rsidRDefault="00D50628" w:rsidP="00D50628">
      <w:pPr>
        <w:pStyle w:val="EntradandiceSentencia"/>
      </w:pPr>
    </w:p>
    <w:p w14:paraId="46296F92" w14:textId="4FCDC59B" w:rsidR="00D50628" w:rsidRDefault="00D50628" w:rsidP="00D50628">
      <w:pPr>
        <w:pStyle w:val="EntradaSumario"/>
      </w:pPr>
      <w:r w:rsidRPr="00D50628">
        <w:rPr>
          <w:rStyle w:val="TextoNormalCaracter"/>
        </w:rPr>
        <w:t xml:space="preserve">Recurso de amparo 5143-2023. </w:t>
      </w:r>
      <w:r w:rsidRPr="00D50628">
        <w:rPr>
          <w:rStyle w:val="TextoNormalCursivaCaracter"/>
        </w:rPr>
        <w:t xml:space="preserve"> Vulneración del derecho a la tutela judicial efectiva (resolución fundada en Derecho): resolución judicial que, ignorando el principio de efectividad del Derecho de la Unión Europea, deniega la imposición de costas en un proceso en el que se ha declarado el carácter abusivo de cláusulas contractuales (SSTC 91/2023 y 96/2023).</w:t>
      </w:r>
      <w:r>
        <w:tab/>
      </w:r>
      <w:r>
        <w:tab/>
      </w:r>
      <w:r>
        <w:fldChar w:fldCharType="begin"/>
      </w:r>
      <w:r>
        <w:instrText xml:space="preserve"> PAGEREF SENTENCIA_2025_121 \h </w:instrText>
      </w:r>
      <w:r>
        <w:fldChar w:fldCharType="separate"/>
      </w:r>
      <w:r>
        <w:rPr>
          <w:noProof/>
        </w:rPr>
        <w:t>1778</w:t>
      </w:r>
      <w:r>
        <w:fldChar w:fldCharType="end"/>
      </w:r>
    </w:p>
    <w:p w14:paraId="4DEF1E4B" w14:textId="77777777" w:rsidR="00D50628" w:rsidRDefault="00D50628" w:rsidP="00D50628"/>
    <w:p w14:paraId="3B6C23DD" w14:textId="77777777" w:rsidR="00D50628" w:rsidRDefault="00D50628" w:rsidP="00D50628">
      <w:pPr>
        <w:pStyle w:val="EntradandiceSentencia"/>
      </w:pPr>
      <w:r>
        <w:t>Sala Segunda. Sentencia 122/2025, de 26 de mayo de 2025</w:t>
      </w:r>
    </w:p>
    <w:p w14:paraId="4DFFD73C" w14:textId="6AF1057B" w:rsidR="00D50628" w:rsidRDefault="00D50628" w:rsidP="00D50628">
      <w:pPr>
        <w:pStyle w:val="EntradandiceSentencia"/>
      </w:pPr>
    </w:p>
    <w:p w14:paraId="3B9A7839" w14:textId="5E380AB8" w:rsidR="00D50628" w:rsidRDefault="00D50628" w:rsidP="00D50628">
      <w:pPr>
        <w:pStyle w:val="EntradaSumario"/>
      </w:pPr>
      <w:r w:rsidRPr="00D50628">
        <w:rPr>
          <w:rStyle w:val="TextoNormalCaracter"/>
        </w:rPr>
        <w:t xml:space="preserve">Recurso de amparo 4989-2024.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SENTENCIA_2025_122 \h </w:instrText>
      </w:r>
      <w:r>
        <w:fldChar w:fldCharType="separate"/>
      </w:r>
      <w:r>
        <w:rPr>
          <w:noProof/>
        </w:rPr>
        <w:t>1793</w:t>
      </w:r>
      <w:r>
        <w:fldChar w:fldCharType="end"/>
      </w:r>
    </w:p>
    <w:p w14:paraId="2577D771" w14:textId="77777777" w:rsidR="00D50628" w:rsidRDefault="00D50628" w:rsidP="00D50628"/>
    <w:p w14:paraId="78E81FD0" w14:textId="77777777" w:rsidR="00D50628" w:rsidRDefault="00D50628" w:rsidP="00D50628">
      <w:pPr>
        <w:pStyle w:val="EntradandiceSentencia"/>
      </w:pPr>
      <w:r>
        <w:t>Sala Segunda. Sentencia 123/2025, de 26 de mayo de 2025</w:t>
      </w:r>
    </w:p>
    <w:p w14:paraId="53052A3A" w14:textId="0831C891" w:rsidR="00D50628" w:rsidRDefault="00D50628" w:rsidP="00D50628">
      <w:pPr>
        <w:pStyle w:val="EntradandiceSentencia"/>
      </w:pPr>
    </w:p>
    <w:p w14:paraId="7C6DE5F9" w14:textId="4AEC4277" w:rsidR="00D50628" w:rsidRDefault="00D50628" w:rsidP="00D50628">
      <w:pPr>
        <w:pStyle w:val="EntradaSumario"/>
      </w:pPr>
      <w:r w:rsidRPr="00D50628">
        <w:rPr>
          <w:rStyle w:val="TextoNormalCaracter"/>
        </w:rPr>
        <w:t xml:space="preserve">Recurso de amparo 5803-2024. </w:t>
      </w:r>
      <w:r w:rsidRPr="00D50628">
        <w:rPr>
          <w:rStyle w:val="TextoNormalCursivaCaracter"/>
        </w:rPr>
        <w:t xml:space="preserve"> 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SENTENCIA_2025_123 \h </w:instrText>
      </w:r>
      <w:r>
        <w:fldChar w:fldCharType="separate"/>
      </w:r>
      <w:r>
        <w:rPr>
          <w:noProof/>
        </w:rPr>
        <w:t>1800</w:t>
      </w:r>
      <w:r>
        <w:fldChar w:fldCharType="end"/>
      </w:r>
    </w:p>
    <w:p w14:paraId="16A50E7B" w14:textId="77777777" w:rsidR="00D50628" w:rsidRDefault="00D50628" w:rsidP="00D50628"/>
    <w:p w14:paraId="11D3F13D" w14:textId="77777777" w:rsidR="00D50628" w:rsidRDefault="00D50628" w:rsidP="00D50628">
      <w:pPr>
        <w:pStyle w:val="EntradandiceSentencia"/>
      </w:pPr>
      <w:r>
        <w:t>Sala Primera. Sentencia 124/2025, de 26 de mayo de 2025</w:t>
      </w:r>
    </w:p>
    <w:p w14:paraId="7268AA4F" w14:textId="345A935C" w:rsidR="00D50628" w:rsidRDefault="00D50628" w:rsidP="00D50628">
      <w:pPr>
        <w:pStyle w:val="EntradandiceSentencia"/>
      </w:pPr>
    </w:p>
    <w:p w14:paraId="0A98A74E" w14:textId="03D5CD48" w:rsidR="00D50628" w:rsidRDefault="00D50628" w:rsidP="00D50628">
      <w:pPr>
        <w:pStyle w:val="EntradaSumario"/>
      </w:pPr>
      <w:r w:rsidRPr="00D50628">
        <w:rPr>
          <w:rStyle w:val="TextoNormalCaracter"/>
        </w:rPr>
        <w:t xml:space="preserve">Recurso de amparo 5988-2024.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SENTENCIA_2025_124 \h </w:instrText>
      </w:r>
      <w:r>
        <w:fldChar w:fldCharType="separate"/>
      </w:r>
      <w:r>
        <w:rPr>
          <w:noProof/>
        </w:rPr>
        <w:t>1807</w:t>
      </w:r>
      <w:r>
        <w:fldChar w:fldCharType="end"/>
      </w:r>
    </w:p>
    <w:p w14:paraId="62716E26" w14:textId="77777777" w:rsidR="00D50628" w:rsidRDefault="00D50628" w:rsidP="00D50628"/>
    <w:p w14:paraId="76E7BE36" w14:textId="77777777" w:rsidR="00D50628" w:rsidRDefault="00D50628" w:rsidP="00D50628">
      <w:pPr>
        <w:pStyle w:val="EntradandiceSentencia"/>
      </w:pPr>
      <w:r>
        <w:t>Sala Segunda. Sentencia 125/2025, de 26 de mayo de 2025</w:t>
      </w:r>
    </w:p>
    <w:p w14:paraId="359CF005" w14:textId="60B0BA4B" w:rsidR="00D50628" w:rsidRDefault="00D50628" w:rsidP="00D50628">
      <w:pPr>
        <w:pStyle w:val="EntradandiceSentencia"/>
      </w:pPr>
    </w:p>
    <w:p w14:paraId="736A71B6" w14:textId="3C3644C0" w:rsidR="00D50628" w:rsidRDefault="00D50628" w:rsidP="00D50628">
      <w:pPr>
        <w:pStyle w:val="EntradaSumario"/>
      </w:pPr>
      <w:r w:rsidRPr="00D50628">
        <w:rPr>
          <w:rStyle w:val="TextoNormalCaracter"/>
        </w:rPr>
        <w:t xml:space="preserve">Recurso de amparo 6957-2024.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SENTENCIA_2025_125 \h </w:instrText>
      </w:r>
      <w:r>
        <w:fldChar w:fldCharType="separate"/>
      </w:r>
      <w:r>
        <w:rPr>
          <w:noProof/>
        </w:rPr>
        <w:t>1814</w:t>
      </w:r>
      <w:r>
        <w:fldChar w:fldCharType="end"/>
      </w:r>
    </w:p>
    <w:p w14:paraId="1B2875B8" w14:textId="77777777" w:rsidR="00D50628" w:rsidRDefault="00D50628" w:rsidP="00D50628"/>
    <w:p w14:paraId="7A654CBF" w14:textId="77777777" w:rsidR="00D50628" w:rsidRDefault="00D50628" w:rsidP="00D50628">
      <w:pPr>
        <w:pStyle w:val="EntradandiceSentencia"/>
      </w:pPr>
      <w:r>
        <w:t>Sala Primera. Sentencia 126/2025, de 9 de junio de 2025</w:t>
      </w:r>
    </w:p>
    <w:p w14:paraId="0629E101" w14:textId="0FA9A681" w:rsidR="00D50628" w:rsidRDefault="00D50628" w:rsidP="00D50628">
      <w:pPr>
        <w:pStyle w:val="EntradandiceSentencia"/>
      </w:pPr>
    </w:p>
    <w:p w14:paraId="7D4DF146" w14:textId="388C2676" w:rsidR="00D50628" w:rsidRDefault="00D50628" w:rsidP="00D50628">
      <w:pPr>
        <w:pStyle w:val="EntradaSumario"/>
      </w:pPr>
      <w:r w:rsidRPr="00D50628">
        <w:rPr>
          <w:rStyle w:val="TextoNormalCaracter"/>
        </w:rPr>
        <w:t xml:space="preserve">Recurso de amparo 1269-2023. </w:t>
      </w:r>
      <w:r w:rsidRPr="00D50628">
        <w:rPr>
          <w:rStyle w:val="TextoNormalCursivaCaracter"/>
        </w:rPr>
        <w:t xml:space="preserve"> Vulneración del derecho a la tutela judicial efectiva en relación con el derecho a la vida: investigación insuficiente de un posible delito de homicidio, en su caso asesinato; falta de atención debida del derecho de los familiares del fallecido a participar en el proceso penal como víctimas indirectas.</w:t>
      </w:r>
      <w:r>
        <w:tab/>
      </w:r>
      <w:r>
        <w:tab/>
      </w:r>
      <w:r>
        <w:fldChar w:fldCharType="begin"/>
      </w:r>
      <w:r>
        <w:instrText xml:space="preserve"> PAGEREF SENTENCIA_2025_126 \h </w:instrText>
      </w:r>
      <w:r>
        <w:fldChar w:fldCharType="separate"/>
      </w:r>
      <w:r>
        <w:rPr>
          <w:noProof/>
        </w:rPr>
        <w:t>1821</w:t>
      </w:r>
      <w:r>
        <w:fldChar w:fldCharType="end"/>
      </w:r>
    </w:p>
    <w:p w14:paraId="6FAFFA48" w14:textId="77777777" w:rsidR="00D50628" w:rsidRDefault="00D50628" w:rsidP="00D50628"/>
    <w:p w14:paraId="46DC45D5" w14:textId="77777777" w:rsidR="00D50628" w:rsidRDefault="00D50628" w:rsidP="00D50628">
      <w:pPr>
        <w:pStyle w:val="EntradandiceSentencia"/>
      </w:pPr>
      <w:r>
        <w:t>Sala Primera. Sentencia 127/2025, de 9 de junio de 2025</w:t>
      </w:r>
    </w:p>
    <w:p w14:paraId="40FC0B1C" w14:textId="204309D0" w:rsidR="00D50628" w:rsidRDefault="00D50628" w:rsidP="00D50628">
      <w:pPr>
        <w:pStyle w:val="EntradandiceSentencia"/>
      </w:pPr>
    </w:p>
    <w:p w14:paraId="30292C48" w14:textId="33FA8146" w:rsidR="00D50628" w:rsidRDefault="00D50628" w:rsidP="00D50628">
      <w:pPr>
        <w:pStyle w:val="EntradaSumario"/>
      </w:pPr>
      <w:r w:rsidRPr="00D50628">
        <w:rPr>
          <w:rStyle w:val="TextoNormalCaracter"/>
        </w:rPr>
        <w:t xml:space="preserve">Recurso de amparo 7544-2024.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SENTENCIA_2025_127 \h </w:instrText>
      </w:r>
      <w:r>
        <w:fldChar w:fldCharType="separate"/>
      </w:r>
      <w:r>
        <w:rPr>
          <w:noProof/>
        </w:rPr>
        <w:t>1872</w:t>
      </w:r>
      <w:r>
        <w:fldChar w:fldCharType="end"/>
      </w:r>
    </w:p>
    <w:p w14:paraId="38C7DE14" w14:textId="77777777" w:rsidR="00D50628" w:rsidRDefault="00D50628" w:rsidP="00D50628"/>
    <w:p w14:paraId="205B9363" w14:textId="77777777" w:rsidR="00D50628" w:rsidRDefault="00D50628" w:rsidP="00D50628">
      <w:pPr>
        <w:pStyle w:val="EntradandiceSentencia"/>
      </w:pPr>
      <w:r>
        <w:t>Sala Primera. Sentencia 128/2025, de 9 de junio de 2025</w:t>
      </w:r>
    </w:p>
    <w:p w14:paraId="122F9D7A" w14:textId="47B90758" w:rsidR="00D50628" w:rsidRDefault="00D50628" w:rsidP="00D50628">
      <w:pPr>
        <w:pStyle w:val="EntradandiceSentencia"/>
      </w:pPr>
    </w:p>
    <w:p w14:paraId="4F6DD86C" w14:textId="68541927" w:rsidR="00D50628" w:rsidRDefault="00D50628" w:rsidP="00D50628">
      <w:pPr>
        <w:pStyle w:val="EntradaSumario"/>
      </w:pPr>
      <w:r w:rsidRPr="00D50628">
        <w:rPr>
          <w:rStyle w:val="TextoNormalCaracter"/>
        </w:rPr>
        <w:t xml:space="preserve">Recurso de amparo 7677-2024.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SENTENCIA_2025_128 \h </w:instrText>
      </w:r>
      <w:r>
        <w:fldChar w:fldCharType="separate"/>
      </w:r>
      <w:r>
        <w:rPr>
          <w:noProof/>
        </w:rPr>
        <w:t>1880</w:t>
      </w:r>
      <w:r>
        <w:fldChar w:fldCharType="end"/>
      </w:r>
    </w:p>
    <w:p w14:paraId="779A26BA" w14:textId="77777777" w:rsidR="00D50628" w:rsidRDefault="00D50628" w:rsidP="00D50628"/>
    <w:p w14:paraId="52E0B300" w14:textId="77777777" w:rsidR="00D50628" w:rsidRDefault="00D50628" w:rsidP="00D50628">
      <w:pPr>
        <w:pStyle w:val="EntradandiceSentencia"/>
      </w:pPr>
      <w:r>
        <w:t>Sala Primera. Sentencia 129/2025, de 9 de junio de 2025</w:t>
      </w:r>
    </w:p>
    <w:p w14:paraId="295AF8AB" w14:textId="2202721E" w:rsidR="00D50628" w:rsidRDefault="00D50628" w:rsidP="00D50628">
      <w:pPr>
        <w:pStyle w:val="EntradandiceSentencia"/>
      </w:pPr>
    </w:p>
    <w:p w14:paraId="365CAA83" w14:textId="607B157B" w:rsidR="00D50628" w:rsidRDefault="00D50628" w:rsidP="00D50628">
      <w:pPr>
        <w:pStyle w:val="EntradaSumario"/>
      </w:pPr>
      <w:r w:rsidRPr="00D50628">
        <w:rPr>
          <w:rStyle w:val="TextoNormalCaracter"/>
        </w:rPr>
        <w:t xml:space="preserve">Recurso de amparo 7760-2024.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SENTENCIA_2025_129 \h </w:instrText>
      </w:r>
      <w:r>
        <w:fldChar w:fldCharType="separate"/>
      </w:r>
      <w:r>
        <w:rPr>
          <w:noProof/>
        </w:rPr>
        <w:t>1887</w:t>
      </w:r>
      <w:r>
        <w:fldChar w:fldCharType="end"/>
      </w:r>
    </w:p>
    <w:p w14:paraId="137C726A" w14:textId="77777777" w:rsidR="00D50628" w:rsidRDefault="00D50628" w:rsidP="00D50628"/>
    <w:p w14:paraId="2A88266C" w14:textId="77777777" w:rsidR="00D50628" w:rsidRDefault="00D50628" w:rsidP="00D50628">
      <w:pPr>
        <w:pStyle w:val="EntradandiceSentencia"/>
      </w:pPr>
      <w:r>
        <w:t>Sala Primera. Sentencia 130/2025, de 9 de junio de 2025</w:t>
      </w:r>
    </w:p>
    <w:p w14:paraId="3EA835AE" w14:textId="56202715" w:rsidR="00D50628" w:rsidRDefault="00D50628" w:rsidP="00D50628">
      <w:pPr>
        <w:pStyle w:val="EntradandiceSentencia"/>
      </w:pPr>
    </w:p>
    <w:p w14:paraId="07A7D4BF" w14:textId="66E1EDDD" w:rsidR="00D50628" w:rsidRDefault="00D50628" w:rsidP="00D50628">
      <w:pPr>
        <w:pStyle w:val="EntradaSumario"/>
      </w:pPr>
      <w:r w:rsidRPr="00D50628">
        <w:rPr>
          <w:rStyle w:val="TextoNormalCaracter"/>
        </w:rPr>
        <w:t xml:space="preserve">Recurso de amparo 7816-2024.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SENTENCIA_2025_130 \h </w:instrText>
      </w:r>
      <w:r>
        <w:fldChar w:fldCharType="separate"/>
      </w:r>
      <w:r>
        <w:rPr>
          <w:noProof/>
        </w:rPr>
        <w:t>1894</w:t>
      </w:r>
      <w:r>
        <w:fldChar w:fldCharType="end"/>
      </w:r>
    </w:p>
    <w:p w14:paraId="084439A3" w14:textId="77777777" w:rsidR="00D50628" w:rsidRDefault="00D50628" w:rsidP="00D50628"/>
    <w:p w14:paraId="7C2F679E" w14:textId="77777777" w:rsidR="00D50628" w:rsidRDefault="00D50628" w:rsidP="00D50628">
      <w:pPr>
        <w:pStyle w:val="EntradandiceSentencia"/>
      </w:pPr>
      <w:r>
        <w:t>Sala Primera. Sentencia 131/2025, de 9 de junio de 2025</w:t>
      </w:r>
    </w:p>
    <w:p w14:paraId="37AA19D2" w14:textId="13AD58AC" w:rsidR="00D50628" w:rsidRDefault="00D50628" w:rsidP="00D50628">
      <w:pPr>
        <w:pStyle w:val="EntradandiceSentencia"/>
      </w:pPr>
    </w:p>
    <w:p w14:paraId="50F6399D" w14:textId="36D0A931" w:rsidR="00D50628" w:rsidRDefault="00D50628" w:rsidP="00D50628">
      <w:pPr>
        <w:pStyle w:val="EntradaSumario"/>
      </w:pPr>
      <w:r w:rsidRPr="00D50628">
        <w:rPr>
          <w:rStyle w:val="TextoNormalCaracter"/>
        </w:rPr>
        <w:t xml:space="preserve">Recurso de amparo 8122-2024. </w:t>
      </w:r>
      <w:r w:rsidRPr="00D50628">
        <w:rPr>
          <w:rStyle w:val="TextoNormalCursivaCaracter"/>
        </w:rPr>
        <w:t xml:space="preserve"> 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r>
        <w:tab/>
      </w:r>
      <w:r>
        <w:tab/>
      </w:r>
      <w:r>
        <w:fldChar w:fldCharType="begin"/>
      </w:r>
      <w:r>
        <w:instrText xml:space="preserve"> PAGEREF SENTENCIA_2025_131 \h </w:instrText>
      </w:r>
      <w:r>
        <w:fldChar w:fldCharType="separate"/>
      </w:r>
      <w:r>
        <w:rPr>
          <w:noProof/>
        </w:rPr>
        <w:t>1900</w:t>
      </w:r>
      <w:r>
        <w:fldChar w:fldCharType="end"/>
      </w:r>
    </w:p>
    <w:p w14:paraId="3909A2AA" w14:textId="77777777" w:rsidR="00D50628" w:rsidRDefault="00D50628" w:rsidP="00D50628"/>
    <w:p w14:paraId="5648D855" w14:textId="77777777" w:rsidR="00D50628" w:rsidRDefault="00D50628" w:rsidP="00D50628">
      <w:pPr>
        <w:pStyle w:val="EntradandiceSentencia"/>
      </w:pPr>
      <w:r>
        <w:t>Pleno. Sentencia 132/2025, de 10 de junio de 2025</w:t>
      </w:r>
    </w:p>
    <w:p w14:paraId="11A19E15" w14:textId="003A43D4" w:rsidR="00D50628" w:rsidRDefault="00D50628" w:rsidP="00D50628">
      <w:pPr>
        <w:pStyle w:val="EntradandiceSentencia"/>
      </w:pPr>
    </w:p>
    <w:p w14:paraId="1EF41744" w14:textId="1B69C523" w:rsidR="00D50628" w:rsidRDefault="00D50628" w:rsidP="00D50628">
      <w:pPr>
        <w:pStyle w:val="EntradaSumario"/>
      </w:pPr>
      <w:r w:rsidRPr="00D50628">
        <w:rPr>
          <w:rStyle w:val="TextoNormalCaracter"/>
        </w:rPr>
        <w:t xml:space="preserve">Recurso de amparo 2835-2021. </w:t>
      </w:r>
      <w:r w:rsidRPr="00D50628">
        <w:rPr>
          <w:rStyle w:val="TextoNormalCursivaCaracter"/>
        </w:rPr>
        <w:t xml:space="preserve"> Alegada vulneración de los derechos de participación política, en relación con la libertad personal y la libertad de circulación; a la igualdad, a la tutela judicial efectiva (motivación), al juez ordinario imparcial y predeterminado por la ley, a un proceso con todas las garantías y a la presunción de inocencia: extinción del recurso por pérdida sobrevenida de su objeto.</w:t>
      </w:r>
      <w:r>
        <w:tab/>
      </w:r>
      <w:r>
        <w:tab/>
      </w:r>
      <w:r>
        <w:fldChar w:fldCharType="begin"/>
      </w:r>
      <w:r>
        <w:instrText xml:space="preserve"> PAGEREF SENTENCIA_2025_132 \h </w:instrText>
      </w:r>
      <w:r>
        <w:fldChar w:fldCharType="separate"/>
      </w:r>
      <w:r>
        <w:rPr>
          <w:noProof/>
        </w:rPr>
        <w:t>1906</w:t>
      </w:r>
      <w:r>
        <w:fldChar w:fldCharType="end"/>
      </w:r>
    </w:p>
    <w:p w14:paraId="72844B30" w14:textId="77777777" w:rsidR="00D50628" w:rsidRDefault="00D50628" w:rsidP="00D50628"/>
    <w:p w14:paraId="42537484" w14:textId="77777777" w:rsidR="00D50628" w:rsidRDefault="00D50628" w:rsidP="00D50628">
      <w:pPr>
        <w:pStyle w:val="EntradandiceSentencia"/>
      </w:pPr>
      <w:r>
        <w:t>Pleno. Sentencia 133/2025, de 10 de junio de 2025</w:t>
      </w:r>
    </w:p>
    <w:p w14:paraId="0667166B" w14:textId="3BD3AAFD" w:rsidR="00D50628" w:rsidRDefault="00D50628" w:rsidP="00D50628">
      <w:pPr>
        <w:pStyle w:val="EntradandiceSentencia"/>
      </w:pPr>
    </w:p>
    <w:p w14:paraId="04D34195" w14:textId="32C537AE" w:rsidR="00D50628" w:rsidRDefault="00D50628" w:rsidP="00D50628">
      <w:pPr>
        <w:pStyle w:val="EntradaSumario"/>
      </w:pPr>
      <w:r w:rsidRPr="00D50628">
        <w:rPr>
          <w:rStyle w:val="TextoNormalCaracter"/>
        </w:rPr>
        <w:t xml:space="preserve">Recurso de inconstitucionalidad 6174-2021. </w:t>
      </w:r>
      <w:r w:rsidRPr="00D50628">
        <w:rPr>
          <w:rStyle w:val="TextoNormalCursivaCaracter"/>
        </w:rPr>
        <w:t xml:space="preserve"> Alcance de la reserva de ley orgánica: nulidad de los preceptos que habilitan a los órganos autonómicos la adopción de medidas preventivas y tipifican infracciones en materia de salud pública (STC 136/2024); extensión, por conexión o consecuencia, de la declaración de nulidad a otros preceptos de la misma ley autonómica.</w:t>
      </w:r>
      <w:r>
        <w:tab/>
      </w:r>
      <w:r>
        <w:tab/>
      </w:r>
      <w:r>
        <w:fldChar w:fldCharType="begin"/>
      </w:r>
      <w:r>
        <w:instrText xml:space="preserve"> PAGEREF SENTENCIA_2025_133 \h </w:instrText>
      </w:r>
      <w:r>
        <w:fldChar w:fldCharType="separate"/>
      </w:r>
      <w:r>
        <w:rPr>
          <w:noProof/>
        </w:rPr>
        <w:t>1920</w:t>
      </w:r>
      <w:r>
        <w:fldChar w:fldCharType="end"/>
      </w:r>
    </w:p>
    <w:p w14:paraId="0EE3FFDC" w14:textId="77777777" w:rsidR="00D50628" w:rsidRDefault="00D50628" w:rsidP="00D50628"/>
    <w:p w14:paraId="7791965F" w14:textId="77777777" w:rsidR="00D50628" w:rsidRDefault="00D50628" w:rsidP="00D50628">
      <w:pPr>
        <w:pStyle w:val="EntradandiceSentencia"/>
      </w:pPr>
      <w:r>
        <w:t>Pleno. Sentencia 134/2025, de 10 de junio de 2025</w:t>
      </w:r>
    </w:p>
    <w:p w14:paraId="7A4646C8" w14:textId="7516679B" w:rsidR="00D50628" w:rsidRDefault="00D50628" w:rsidP="00D50628">
      <w:pPr>
        <w:pStyle w:val="EntradandiceSentencia"/>
      </w:pPr>
    </w:p>
    <w:p w14:paraId="485CED34" w14:textId="3D026159" w:rsidR="00D50628" w:rsidRDefault="00D50628" w:rsidP="00D50628">
      <w:pPr>
        <w:pStyle w:val="EntradaSumario"/>
      </w:pPr>
      <w:r w:rsidRPr="00D50628">
        <w:rPr>
          <w:rStyle w:val="TextoNormalCaracter"/>
        </w:rPr>
        <w:t xml:space="preserve">Cuestión de inconstitucionalidad 5537-2023. </w:t>
      </w:r>
      <w:r w:rsidRPr="00D50628">
        <w:rPr>
          <w:rStyle w:val="TextoNormalCursivaCaracter"/>
        </w:rPr>
        <w:t xml:space="preserve"> Derecho de acceso a los cargos públicos: nulidad del precepto legal que ajusta el quorum de concejales promotores de una moción de censura al alcalde en función de la pertenencia al mismo grupo municipal que el presidente de la corporación local; extensión, por conexión o consecuencia, de la declaración de inconstitucionalidad.</w:t>
      </w:r>
      <w:r>
        <w:tab/>
      </w:r>
      <w:r>
        <w:tab/>
      </w:r>
      <w:r>
        <w:fldChar w:fldCharType="begin"/>
      </w:r>
      <w:r>
        <w:instrText xml:space="preserve"> PAGEREF SENTENCIA_2025_134 \h </w:instrText>
      </w:r>
      <w:r>
        <w:fldChar w:fldCharType="separate"/>
      </w:r>
      <w:r>
        <w:rPr>
          <w:noProof/>
        </w:rPr>
        <w:t>1946</w:t>
      </w:r>
      <w:r>
        <w:fldChar w:fldCharType="end"/>
      </w:r>
    </w:p>
    <w:p w14:paraId="3A2D1AB6" w14:textId="77777777" w:rsidR="00D50628" w:rsidRDefault="00D50628" w:rsidP="00D50628"/>
    <w:p w14:paraId="576D57E6" w14:textId="77777777" w:rsidR="00D50628" w:rsidRDefault="00D50628" w:rsidP="00D50628">
      <w:pPr>
        <w:pStyle w:val="EntradandiceSentencia"/>
      </w:pPr>
      <w:r>
        <w:t>Pleno. Sentencia 135/2025, de 11 de junio de 2025</w:t>
      </w:r>
    </w:p>
    <w:p w14:paraId="55D1A858" w14:textId="67342B48" w:rsidR="00D50628" w:rsidRDefault="00D50628" w:rsidP="00D50628">
      <w:pPr>
        <w:pStyle w:val="EntradandiceSentencia"/>
      </w:pPr>
    </w:p>
    <w:p w14:paraId="772751D4" w14:textId="5AB12B01" w:rsidR="00D50628" w:rsidRDefault="00D50628" w:rsidP="00D50628">
      <w:pPr>
        <w:pStyle w:val="EntradaSumario"/>
      </w:pPr>
      <w:r w:rsidRPr="00D50628">
        <w:rPr>
          <w:rStyle w:val="TextoNormalCaracter"/>
        </w:rPr>
        <w:t xml:space="preserve">Conflicto entre órganos constitucionales 1219-2024. </w:t>
      </w:r>
      <w:r w:rsidRPr="00D50628">
        <w:rPr>
          <w:rStyle w:val="TextoNormalCursivaCaracter"/>
        </w:rPr>
        <w:t xml:space="preserve"> Veto presupuestario: levantamiento de un veto no referido al presupuesto en vigor sino al eventual impacto en los objetivos plurianuales de estabilidad presupuestaria (STC 34/2018).</w:t>
      </w:r>
      <w:r>
        <w:tab/>
      </w:r>
      <w:r>
        <w:tab/>
      </w:r>
      <w:r>
        <w:fldChar w:fldCharType="begin"/>
      </w:r>
      <w:r>
        <w:instrText xml:space="preserve"> PAGEREF SENTENCIA_2025_135 \h </w:instrText>
      </w:r>
      <w:r>
        <w:fldChar w:fldCharType="separate"/>
      </w:r>
      <w:r>
        <w:rPr>
          <w:noProof/>
        </w:rPr>
        <w:t>1968</w:t>
      </w:r>
      <w:r>
        <w:fldChar w:fldCharType="end"/>
      </w:r>
    </w:p>
    <w:p w14:paraId="1BD44456" w14:textId="77777777" w:rsidR="00D50628" w:rsidRDefault="00D50628" w:rsidP="00D50628"/>
    <w:p w14:paraId="6CB0DDEF" w14:textId="77777777" w:rsidR="00D50628" w:rsidRDefault="00D50628" w:rsidP="00D50628">
      <w:pPr>
        <w:pStyle w:val="EntradandiceSentencia"/>
      </w:pPr>
      <w:r>
        <w:t>Pleno. Sentencia 136/2025, de 11 de junio de 2025</w:t>
      </w:r>
    </w:p>
    <w:p w14:paraId="01281F9A" w14:textId="7B50FAC2" w:rsidR="00D50628" w:rsidRDefault="00D50628" w:rsidP="00D50628">
      <w:pPr>
        <w:pStyle w:val="EntradandiceSentencia"/>
      </w:pPr>
    </w:p>
    <w:p w14:paraId="5E7044DC" w14:textId="768CFE32" w:rsidR="00D50628" w:rsidRDefault="00D50628" w:rsidP="00D50628">
      <w:pPr>
        <w:pStyle w:val="EntradaSumario"/>
      </w:pPr>
      <w:r w:rsidRPr="00D50628">
        <w:rPr>
          <w:rStyle w:val="TextoNormalCaracter"/>
        </w:rPr>
        <w:t xml:space="preserve">Recurso de amparo 4589-2024. </w:t>
      </w:r>
      <w:r w:rsidRPr="00D50628">
        <w:rPr>
          <w:rStyle w:val="TextoNormalCursivaCaracter"/>
        </w:rPr>
        <w:t xml:space="preserve"> Vulneración del derecho al ejercicio de las funciones representativas en conexión con el derecho de los ciudadanos a participar en los asuntos públicos a través de sus representantes: aceptación de la delegación de voto que excepciona el principio de presencialidad de quienes voluntariamente han decidido eludir la acción de la jurisdicción penal española y están sujetos a una orden judicial de busca y captura (SSTC 85/2022 y 86/2024).</w:t>
      </w:r>
      <w:r>
        <w:tab/>
      </w:r>
      <w:r>
        <w:tab/>
      </w:r>
      <w:r>
        <w:fldChar w:fldCharType="begin"/>
      </w:r>
      <w:r>
        <w:instrText xml:space="preserve"> PAGEREF SENTENCIA_2025_136 \h </w:instrText>
      </w:r>
      <w:r>
        <w:fldChar w:fldCharType="separate"/>
      </w:r>
      <w:r>
        <w:rPr>
          <w:noProof/>
        </w:rPr>
        <w:t>1988</w:t>
      </w:r>
      <w:r>
        <w:fldChar w:fldCharType="end"/>
      </w:r>
    </w:p>
    <w:p w14:paraId="3C5B7955" w14:textId="77777777" w:rsidR="00D50628" w:rsidRDefault="00D50628" w:rsidP="00D50628"/>
    <w:p w14:paraId="428C7D81" w14:textId="77777777" w:rsidR="00D50628" w:rsidRDefault="00D50628" w:rsidP="00D50628">
      <w:pPr>
        <w:pStyle w:val="EntradandiceSentencia"/>
      </w:pPr>
      <w:r>
        <w:t>Pleno. Sentencia 137/2025, de 26 de junio de 2025</w:t>
      </w:r>
    </w:p>
    <w:p w14:paraId="551F35C8" w14:textId="295F27F4" w:rsidR="00D50628" w:rsidRDefault="00D50628" w:rsidP="00D50628">
      <w:pPr>
        <w:pStyle w:val="EntradandiceSentencia"/>
      </w:pPr>
    </w:p>
    <w:p w14:paraId="31119F0A" w14:textId="264CCC02" w:rsidR="00D50628" w:rsidRDefault="00D50628" w:rsidP="00D50628">
      <w:pPr>
        <w:pStyle w:val="EntradaSumario"/>
      </w:pPr>
      <w:r w:rsidRPr="00D50628">
        <w:rPr>
          <w:rStyle w:val="TextoNormalCaracter"/>
        </w:rPr>
        <w:t xml:space="preserve">Recurso de inconstitucionalidad 6436-2024. </w:t>
      </w:r>
      <w:r w:rsidRPr="00D50628">
        <w:rPr>
          <w:rStyle w:val="TextoNormalCursivaCaracter"/>
        </w:rPr>
        <w:t xml:space="preserve"> Estado democrático de Derecho, interdicción de la arbitrariedad y separación de poderes, reserva de jurisdicción y obligación de cumplir las resoluciones judiciales firmes; procedimiento legislativo; principio de igualdad, derechos a la tutela judicial efectiva y a la legalidad penal: inexistencia de una prohibición constitucional de conceder amnistías; inconstitucionalidad parcial de la delimitación del ámbito objetivo y temporal de la ley; interpretación conforme con la Constitución de los preceptos relativos a la extinción de procedimientos de depuración de responsabilidades contables. Votos particulares.</w:t>
      </w:r>
      <w:r>
        <w:tab/>
      </w:r>
      <w:r>
        <w:tab/>
      </w:r>
      <w:r>
        <w:fldChar w:fldCharType="begin"/>
      </w:r>
      <w:r>
        <w:instrText xml:space="preserve"> PAGEREF SENTENCIA_2025_137 \h </w:instrText>
      </w:r>
      <w:r>
        <w:fldChar w:fldCharType="separate"/>
      </w:r>
      <w:r>
        <w:rPr>
          <w:noProof/>
        </w:rPr>
        <w:t>2000</w:t>
      </w:r>
      <w:r>
        <w:fldChar w:fldCharType="end"/>
      </w:r>
    </w:p>
    <w:p w14:paraId="4C2345AC" w14:textId="0034B453" w:rsidR="00D50628" w:rsidRDefault="00D50628">
      <w:pPr>
        <w:spacing w:after="160" w:line="278" w:lineRule="auto"/>
      </w:pPr>
      <w:r>
        <w:br w:type="page"/>
      </w:r>
    </w:p>
    <w:p w14:paraId="00F689A8" w14:textId="77777777" w:rsidR="00D50628" w:rsidRDefault="00D50628" w:rsidP="00D50628"/>
    <w:p w14:paraId="6A1E297B" w14:textId="77777777" w:rsidR="00D50628" w:rsidRDefault="00D50628" w:rsidP="00D50628"/>
    <w:p w14:paraId="111320B5" w14:textId="77777777" w:rsidR="00D50628" w:rsidRDefault="00D50628" w:rsidP="00D50628"/>
    <w:p w14:paraId="309218CE" w14:textId="77777777" w:rsidR="00D50628" w:rsidRDefault="00D50628" w:rsidP="00D50628">
      <w:pPr>
        <w:pStyle w:val="Ttulondice"/>
      </w:pPr>
      <w:bookmarkStart w:id="2" w:name="SUMARIOSAUTOS"/>
      <w:r>
        <w:t>2. AUTOS: ATC 1/2025 A ATC 67/2025</w:t>
      </w:r>
    </w:p>
    <w:bookmarkEnd w:id="2"/>
    <w:p w14:paraId="095F0BB8" w14:textId="1E5150B6" w:rsidR="00D50628" w:rsidRDefault="00D50628" w:rsidP="00D50628">
      <w:pPr>
        <w:pStyle w:val="Ttulondice"/>
      </w:pPr>
    </w:p>
    <w:p w14:paraId="5BD14505" w14:textId="77777777" w:rsidR="00D50628" w:rsidRDefault="00D50628" w:rsidP="00D50628">
      <w:pPr>
        <w:pStyle w:val="Ttulondice"/>
      </w:pPr>
    </w:p>
    <w:p w14:paraId="09F513B4" w14:textId="77777777" w:rsidR="00D50628" w:rsidRDefault="00D50628" w:rsidP="00D50628">
      <w:pPr>
        <w:pStyle w:val="Ttulondice"/>
      </w:pPr>
    </w:p>
    <w:p w14:paraId="344A000B" w14:textId="77777777" w:rsidR="00D50628" w:rsidRDefault="00D50628" w:rsidP="00D50628">
      <w:pPr>
        <w:pStyle w:val="Ttulondice"/>
      </w:pPr>
    </w:p>
    <w:p w14:paraId="43F82259" w14:textId="77777777" w:rsidR="00D50628" w:rsidRDefault="00D50628" w:rsidP="00D50628">
      <w:pPr>
        <w:pStyle w:val="Ttulondice"/>
      </w:pPr>
    </w:p>
    <w:p w14:paraId="44BD3EFB" w14:textId="77777777" w:rsidR="00D50628" w:rsidRDefault="00D50628" w:rsidP="00D50628">
      <w:pPr>
        <w:pStyle w:val="Ttulondice"/>
      </w:pPr>
    </w:p>
    <w:p w14:paraId="6E0F0254" w14:textId="77777777" w:rsidR="00D50628" w:rsidRDefault="00D50628" w:rsidP="00D50628">
      <w:pPr>
        <w:pStyle w:val="Ttulondice"/>
      </w:pPr>
    </w:p>
    <w:p w14:paraId="61F7B35E" w14:textId="56765FE6" w:rsidR="00D50628" w:rsidRDefault="00D50628" w:rsidP="00D50628">
      <w:pPr>
        <w:pStyle w:val="EntradandiceAuto"/>
      </w:pPr>
      <w:r>
        <w:t>Sección Primera. Auto 1/2025, de 7 de enero de 2025. Acepta una abstención en el recurso de amparo 7444-2024, promovido en proceso militar.</w:t>
      </w:r>
      <w:r>
        <w:tab/>
      </w:r>
      <w:r>
        <w:tab/>
      </w:r>
      <w:r>
        <w:fldChar w:fldCharType="begin"/>
      </w:r>
      <w:r>
        <w:instrText xml:space="preserve"> PAGEREF AUTO_2025_1 \h </w:instrText>
      </w:r>
      <w:r>
        <w:fldChar w:fldCharType="separate"/>
      </w:r>
      <w:r>
        <w:rPr>
          <w:noProof/>
        </w:rPr>
        <w:t>2391</w:t>
      </w:r>
      <w:r>
        <w:fldChar w:fldCharType="end"/>
      </w:r>
    </w:p>
    <w:p w14:paraId="170E6BCE" w14:textId="77777777" w:rsidR="00A8138F" w:rsidRDefault="00A8138F" w:rsidP="00D50628"/>
    <w:p w14:paraId="34C5EF5F" w14:textId="28354613" w:rsidR="00D50628" w:rsidRDefault="00D50628" w:rsidP="00D50628">
      <w:pPr>
        <w:pStyle w:val="EntradandiceAuto"/>
      </w:pPr>
      <w:r>
        <w:t>Sala Primera. Auto 2/2025, de 13 de enero de 2025. Acuerda el desistimiento en el recurso de amparo 1443-2023, promovido por doña Ana Isabel del Real Amado y otras veintiocho personas en proceso contencioso-administrativo.</w:t>
      </w:r>
      <w:r>
        <w:tab/>
      </w:r>
      <w:r>
        <w:tab/>
      </w:r>
      <w:r>
        <w:fldChar w:fldCharType="begin"/>
      </w:r>
      <w:r>
        <w:instrText xml:space="preserve"> PAGEREF AUTO_2025_2 \h </w:instrText>
      </w:r>
      <w:r>
        <w:fldChar w:fldCharType="separate"/>
      </w:r>
      <w:r>
        <w:rPr>
          <w:noProof/>
        </w:rPr>
        <w:t>2392</w:t>
      </w:r>
      <w:r>
        <w:fldChar w:fldCharType="end"/>
      </w:r>
    </w:p>
    <w:p w14:paraId="17D9DA49" w14:textId="77777777" w:rsidR="00D50628" w:rsidRDefault="00D50628" w:rsidP="00D50628"/>
    <w:p w14:paraId="64C389CE" w14:textId="61331414" w:rsidR="00D50628" w:rsidRDefault="00D50628" w:rsidP="00D50628">
      <w:pPr>
        <w:pStyle w:val="EntradandiceAuto"/>
      </w:pPr>
      <w:r>
        <w:t>Pleno. Auto 3/2025, de 14 de enero de 2025. Acepta una abstención en los recursos de amparo 7432-2023 y 7433-2023, promovidos por don Eduardo Esteban Rincón en proceso contencioso-administrativo.</w:t>
      </w:r>
      <w:r>
        <w:tab/>
      </w:r>
      <w:r>
        <w:tab/>
      </w:r>
      <w:r>
        <w:fldChar w:fldCharType="begin"/>
      </w:r>
      <w:r>
        <w:instrText xml:space="preserve"> PAGEREF AUTO_2025_3 \h </w:instrText>
      </w:r>
      <w:r>
        <w:fldChar w:fldCharType="separate"/>
      </w:r>
      <w:r>
        <w:rPr>
          <w:noProof/>
        </w:rPr>
        <w:t>2397</w:t>
      </w:r>
      <w:r>
        <w:fldChar w:fldCharType="end"/>
      </w:r>
    </w:p>
    <w:p w14:paraId="3ECF8072" w14:textId="77777777" w:rsidR="00D50628" w:rsidRDefault="00D50628" w:rsidP="00D50628"/>
    <w:p w14:paraId="620D28D8" w14:textId="3EFE0E6D" w:rsidR="00D50628" w:rsidRDefault="00D50628" w:rsidP="00D50628">
      <w:pPr>
        <w:pStyle w:val="EntradandiceAuto"/>
      </w:pPr>
      <w:r>
        <w:t>Pleno. Auto 4/2025, de 14 de enero de 2025. Admite a trámite el recurso de amparo 7432-2023, promovido por don Eduardo Esteban Rincón en proceso contencioso-administrativo. Voto particular.</w:t>
      </w:r>
      <w:r>
        <w:tab/>
      </w:r>
      <w:r>
        <w:tab/>
      </w:r>
      <w:r>
        <w:fldChar w:fldCharType="begin"/>
      </w:r>
      <w:r>
        <w:instrText xml:space="preserve"> PAGEREF AUTO_2025_4 \h </w:instrText>
      </w:r>
      <w:r>
        <w:fldChar w:fldCharType="separate"/>
      </w:r>
      <w:r>
        <w:rPr>
          <w:noProof/>
        </w:rPr>
        <w:t>2399</w:t>
      </w:r>
      <w:r>
        <w:fldChar w:fldCharType="end"/>
      </w:r>
    </w:p>
    <w:p w14:paraId="13D7C0A4" w14:textId="77777777" w:rsidR="00D50628" w:rsidRDefault="00D50628" w:rsidP="00D50628"/>
    <w:p w14:paraId="79C4EF7F" w14:textId="418C2AD8" w:rsidR="00D50628" w:rsidRDefault="00D50628" w:rsidP="00D50628">
      <w:pPr>
        <w:pStyle w:val="EntradandiceAuto"/>
      </w:pPr>
      <w:r>
        <w:t>Pleno. Auto 5/2025, de 14 de enero de 2025. Admite a trámite el recurso de amparo 7433-2023, promovido por don Eduardo Esteban Rincón en proceso contencioso-administrativo. Voto particular.</w:t>
      </w:r>
      <w:r>
        <w:tab/>
      </w:r>
      <w:r>
        <w:tab/>
      </w:r>
      <w:r>
        <w:fldChar w:fldCharType="begin"/>
      </w:r>
      <w:r>
        <w:instrText xml:space="preserve"> PAGEREF AUTO_2025_5 \h </w:instrText>
      </w:r>
      <w:r>
        <w:fldChar w:fldCharType="separate"/>
      </w:r>
      <w:r>
        <w:rPr>
          <w:noProof/>
        </w:rPr>
        <w:t>2407</w:t>
      </w:r>
      <w:r>
        <w:fldChar w:fldCharType="end"/>
      </w:r>
    </w:p>
    <w:p w14:paraId="2C4AC51E" w14:textId="77777777" w:rsidR="00D50628" w:rsidRDefault="00D50628" w:rsidP="00D50628"/>
    <w:p w14:paraId="62D5FB08" w14:textId="765B5799" w:rsidR="00D50628" w:rsidRDefault="00D50628" w:rsidP="00D50628">
      <w:pPr>
        <w:pStyle w:val="EntradandiceAuto"/>
      </w:pPr>
      <w:r>
        <w:t>Pleno. Auto 6/2025, de 15 de enero de 2025. Acuerda una recusación en la cuestión de inconstitucionalidad núm. 6053-2024, planteada por la Sala de lo Penal del Tribunal Supremo en relación con la Ley Orgánica 1/2024, de 10 de junio, de amnistía para la normalización institucional, política y social en Cataluña. Votos particulares.</w:t>
      </w:r>
      <w:r>
        <w:tab/>
      </w:r>
      <w:r>
        <w:tab/>
      </w:r>
      <w:r>
        <w:fldChar w:fldCharType="begin"/>
      </w:r>
      <w:r>
        <w:instrText xml:space="preserve"> PAGEREF AUTO_2025_6 \h </w:instrText>
      </w:r>
      <w:r>
        <w:fldChar w:fldCharType="separate"/>
      </w:r>
      <w:r>
        <w:rPr>
          <w:noProof/>
        </w:rPr>
        <w:t>2415</w:t>
      </w:r>
      <w:r>
        <w:fldChar w:fldCharType="end"/>
      </w:r>
    </w:p>
    <w:p w14:paraId="22A8A7EF" w14:textId="77777777" w:rsidR="00D50628" w:rsidRDefault="00D50628" w:rsidP="00D50628"/>
    <w:p w14:paraId="4B368932" w14:textId="0E1F8965" w:rsidR="00D50628" w:rsidRDefault="00D50628" w:rsidP="00D50628">
      <w:pPr>
        <w:pStyle w:val="EntradandiceAuto"/>
      </w:pPr>
      <w:r>
        <w:t>Sección Segunda. Auto 7/2025, de 16 de enero de 2025. Acuerda la extinción, por pérdida sobrevenida de objeto, del recurso de amparo 1866-2024, promovido por doña Sonia María Rodríguez Fernández en procedimiento parlamentario.</w:t>
      </w:r>
      <w:r>
        <w:tab/>
      </w:r>
      <w:r>
        <w:tab/>
      </w:r>
      <w:r>
        <w:fldChar w:fldCharType="begin"/>
      </w:r>
      <w:r>
        <w:instrText xml:space="preserve"> PAGEREF AUTO_2025_7 \h </w:instrText>
      </w:r>
      <w:r>
        <w:fldChar w:fldCharType="separate"/>
      </w:r>
      <w:r>
        <w:rPr>
          <w:noProof/>
        </w:rPr>
        <w:t>2451</w:t>
      </w:r>
      <w:r>
        <w:fldChar w:fldCharType="end"/>
      </w:r>
    </w:p>
    <w:p w14:paraId="46CC0345" w14:textId="77777777" w:rsidR="00D50628" w:rsidRDefault="00D50628" w:rsidP="00D50628"/>
    <w:p w14:paraId="0F07278B" w14:textId="2F148D2E" w:rsidR="00D50628" w:rsidRDefault="00D50628" w:rsidP="00D50628">
      <w:pPr>
        <w:pStyle w:val="EntradandiceAuto"/>
      </w:pPr>
      <w:r>
        <w:t>Sección Cuarta. Auto 8/2025, de 27 de enero de 2025. Inadmite a trámite el recurso de amparo 6141-2023, promovido por don Francisco Félix Fernández Liñares en causa penal. Voto particular.</w:t>
      </w:r>
      <w:r>
        <w:tab/>
      </w:r>
      <w:r>
        <w:tab/>
      </w:r>
      <w:r>
        <w:fldChar w:fldCharType="begin"/>
      </w:r>
      <w:r>
        <w:instrText xml:space="preserve"> PAGEREF AUTO_2025_8 \h </w:instrText>
      </w:r>
      <w:r>
        <w:fldChar w:fldCharType="separate"/>
      </w:r>
      <w:r>
        <w:rPr>
          <w:noProof/>
        </w:rPr>
        <w:t>2455</w:t>
      </w:r>
      <w:r>
        <w:fldChar w:fldCharType="end"/>
      </w:r>
    </w:p>
    <w:p w14:paraId="72E9EF9F" w14:textId="77777777" w:rsidR="00D50628" w:rsidRDefault="00D50628" w:rsidP="00D50628"/>
    <w:p w14:paraId="4C43F43E" w14:textId="30E9A582" w:rsidR="00D50628" w:rsidRDefault="00D50628" w:rsidP="00D50628">
      <w:pPr>
        <w:pStyle w:val="EntradandiceAuto"/>
      </w:pPr>
      <w:r>
        <w:t>Sala Segunda. Auto 9/2025, de 27 de enero de 2025. Acuerda el archivo, por pérdida de objeto, del incidente de suspensión en el recurso de amparo 2779-2024, promovido por don Juan Ramón Palacios Palacios en litigio social.</w:t>
      </w:r>
      <w:r>
        <w:tab/>
      </w:r>
      <w:r>
        <w:tab/>
      </w:r>
      <w:r>
        <w:fldChar w:fldCharType="begin"/>
      </w:r>
      <w:r>
        <w:instrText xml:space="preserve"> PAGEREF AUTO_2025_9 \h </w:instrText>
      </w:r>
      <w:r>
        <w:fldChar w:fldCharType="separate"/>
      </w:r>
      <w:r>
        <w:rPr>
          <w:noProof/>
        </w:rPr>
        <w:t>2483</w:t>
      </w:r>
      <w:r>
        <w:fldChar w:fldCharType="end"/>
      </w:r>
    </w:p>
    <w:p w14:paraId="6824C26B" w14:textId="77777777" w:rsidR="00D50628" w:rsidRDefault="00D50628" w:rsidP="00D50628"/>
    <w:p w14:paraId="2A648B62" w14:textId="3EF8822A" w:rsidR="00D50628" w:rsidRDefault="00D50628" w:rsidP="00D50628">
      <w:pPr>
        <w:pStyle w:val="EntradandiceAuto"/>
      </w:pPr>
      <w:r>
        <w:t>Pleno. Auto 10/2025, de 28 de enero de 2025. Inadmite a trámite la cuestión de inconstitucionalidad 3591-2023, planteada por la Sala de lo Social del Tribunal Superior de Justicia del País Vasco, en relación con el artículo 48, apartados 4, 5 y 6, del texto refundido de la Ley del estatuto de los trabajadores, aprobado por Real Decreto Legislativo 2/2015, de 23 de octubre, en conexión con el artículo 177 del texto refundido de la Ley general de la Seguridad Social, aprobado por el Real Decreto Legislativo 8/2015, de 30 de octubre.</w:t>
      </w:r>
      <w:r>
        <w:tab/>
      </w:r>
      <w:r>
        <w:tab/>
      </w:r>
      <w:r>
        <w:fldChar w:fldCharType="begin"/>
      </w:r>
      <w:r>
        <w:instrText xml:space="preserve"> PAGEREF AUTO_2025_10 \h </w:instrText>
      </w:r>
      <w:r>
        <w:fldChar w:fldCharType="separate"/>
      </w:r>
      <w:r>
        <w:rPr>
          <w:noProof/>
        </w:rPr>
        <w:t>2489</w:t>
      </w:r>
      <w:r>
        <w:fldChar w:fldCharType="end"/>
      </w:r>
    </w:p>
    <w:p w14:paraId="258C9BB8" w14:textId="77777777" w:rsidR="00D50628" w:rsidRDefault="00D50628" w:rsidP="00D50628"/>
    <w:p w14:paraId="19B0301B" w14:textId="30364CC6" w:rsidR="00D50628" w:rsidRDefault="00D50628" w:rsidP="00D50628">
      <w:pPr>
        <w:pStyle w:val="EntradandiceAuto"/>
      </w:pPr>
      <w:r>
        <w:t>Pleno. Auto 11/2025, de 28 de enero de 2025. Admite a trámite el recurso de amparo 1670-2024, promovido por doña Dolores Delgado García en proceso contencioso-administrativo. Voto particular.</w:t>
      </w:r>
      <w:r>
        <w:tab/>
      </w:r>
      <w:r>
        <w:tab/>
      </w:r>
      <w:r>
        <w:fldChar w:fldCharType="begin"/>
      </w:r>
      <w:r>
        <w:instrText xml:space="preserve"> PAGEREF AUTO_2025_11 \h </w:instrText>
      </w:r>
      <w:r>
        <w:fldChar w:fldCharType="separate"/>
      </w:r>
      <w:r>
        <w:rPr>
          <w:noProof/>
        </w:rPr>
        <w:t>2498</w:t>
      </w:r>
      <w:r>
        <w:fldChar w:fldCharType="end"/>
      </w:r>
    </w:p>
    <w:p w14:paraId="77B8EC02" w14:textId="77777777" w:rsidR="00D50628" w:rsidRDefault="00D50628" w:rsidP="00D50628"/>
    <w:p w14:paraId="2B86C0F2" w14:textId="696C8A09" w:rsidR="00D50628" w:rsidRDefault="00D50628" w:rsidP="00D50628">
      <w:pPr>
        <w:pStyle w:val="EntradandiceAuto"/>
      </w:pPr>
      <w:r>
        <w:t>Pleno. Auto 12/2025, de 29 de enero de 2025. Extiende los efectos de la recusación acordada en la cuestión de inconstitucionalidad núm. 6053-2024 por el auto 6/2025, de 15 de enero, a dieciséis recursos de inconstitucionalidad y cinco cuestiones de inconstitucionalidad y declara la pérdida sobrevenida de objeto de las recusaciones formuladas en dieciséis recursos de inconstitucionalidad y cuatro cuestiones de inconstitucionalidad, en relación con la Ley Orgánica 1/2024, de 10 de junio, de amnistía para la normalización institucional, política y social en Cataluña. Votos particulares.</w:t>
      </w:r>
      <w:r>
        <w:tab/>
      </w:r>
      <w:r>
        <w:tab/>
      </w:r>
      <w:r>
        <w:fldChar w:fldCharType="begin"/>
      </w:r>
      <w:r>
        <w:instrText xml:space="preserve"> PAGEREF AUTO_2025_12 \h </w:instrText>
      </w:r>
      <w:r>
        <w:fldChar w:fldCharType="separate"/>
      </w:r>
      <w:r>
        <w:rPr>
          <w:noProof/>
        </w:rPr>
        <w:t>2506</w:t>
      </w:r>
      <w:r>
        <w:fldChar w:fldCharType="end"/>
      </w:r>
    </w:p>
    <w:p w14:paraId="7132AC76" w14:textId="77777777" w:rsidR="00D50628" w:rsidRDefault="00D50628" w:rsidP="00D50628"/>
    <w:p w14:paraId="43D36566" w14:textId="6CC87818" w:rsidR="00D50628" w:rsidRDefault="00D50628" w:rsidP="00D50628">
      <w:pPr>
        <w:pStyle w:val="EntradandiceAuto"/>
      </w:pPr>
      <w:r>
        <w:t>Pleno. Auto 13/2025, de 11 de febrero de 2025. Inadmite a trámite la cuestión de inconstitucionalidad 7753-2024, planteada por el Juzgado de Primera Instancia núm. 8 de A Coruña, en relación con el artículo 1.1 del Real Decreto-ley 11/2020, de 31 de marzo, por el que se adoptan medidas urgentes complementarias en el ámbito social y económico para hacer frente al covid-19.</w:t>
      </w:r>
      <w:r>
        <w:tab/>
      </w:r>
      <w:r>
        <w:tab/>
      </w:r>
      <w:r>
        <w:fldChar w:fldCharType="begin"/>
      </w:r>
      <w:r>
        <w:instrText xml:space="preserve"> PAGEREF AUTO_2025_13 \h </w:instrText>
      </w:r>
      <w:r>
        <w:fldChar w:fldCharType="separate"/>
      </w:r>
      <w:r>
        <w:rPr>
          <w:noProof/>
        </w:rPr>
        <w:t>2524</w:t>
      </w:r>
      <w:r>
        <w:fldChar w:fldCharType="end"/>
      </w:r>
    </w:p>
    <w:p w14:paraId="2EC17950" w14:textId="77777777" w:rsidR="00D50628" w:rsidRDefault="00D50628" w:rsidP="00D50628"/>
    <w:p w14:paraId="79ACF239" w14:textId="57BD2B61" w:rsidR="00D50628" w:rsidRDefault="00D50628" w:rsidP="00D50628">
      <w:pPr>
        <w:pStyle w:val="EntradandiceAuto"/>
      </w:pPr>
      <w:r>
        <w:t>Pleno. Auto 14/2025, de 12 de febrero de 2025. Acepta una abstención en el recurso de amparo 7432-2023, promovido por don Eduardo Esteban Rincón en proceso contencioso administrativo.</w:t>
      </w:r>
      <w:r>
        <w:tab/>
      </w:r>
      <w:r>
        <w:tab/>
      </w:r>
      <w:r>
        <w:fldChar w:fldCharType="begin"/>
      </w:r>
      <w:r>
        <w:instrText xml:space="preserve"> PAGEREF AUTO_2025_14 \h </w:instrText>
      </w:r>
      <w:r>
        <w:fldChar w:fldCharType="separate"/>
      </w:r>
      <w:r>
        <w:rPr>
          <w:noProof/>
        </w:rPr>
        <w:t>2534</w:t>
      </w:r>
      <w:r>
        <w:fldChar w:fldCharType="end"/>
      </w:r>
    </w:p>
    <w:p w14:paraId="0CFC280B" w14:textId="77777777" w:rsidR="00D50628" w:rsidRDefault="00D50628" w:rsidP="00D50628"/>
    <w:p w14:paraId="398D1F4E" w14:textId="26482773" w:rsidR="00D50628" w:rsidRDefault="00D50628" w:rsidP="00D50628">
      <w:pPr>
        <w:pStyle w:val="EntradandiceAuto"/>
      </w:pPr>
      <w:r>
        <w:t>Pleno. Auto 15/2025, de 12 de febrero de 2025. Acepta una abstención y declara la pérdida de objeto de la recusación en el recurso de amparo 7433-2023, promovido por don Eduardo Esteban Rincón en proceso contencioso administrativo. Voto particular.</w:t>
      </w:r>
      <w:r>
        <w:tab/>
      </w:r>
      <w:r>
        <w:tab/>
      </w:r>
      <w:r>
        <w:fldChar w:fldCharType="begin"/>
      </w:r>
      <w:r>
        <w:instrText xml:space="preserve"> PAGEREF AUTO_2025_15 \h </w:instrText>
      </w:r>
      <w:r>
        <w:fldChar w:fldCharType="separate"/>
      </w:r>
      <w:r>
        <w:rPr>
          <w:noProof/>
        </w:rPr>
        <w:t>2536</w:t>
      </w:r>
      <w:r>
        <w:fldChar w:fldCharType="end"/>
      </w:r>
    </w:p>
    <w:p w14:paraId="59FCCA84" w14:textId="77777777" w:rsidR="00D50628" w:rsidRDefault="00D50628" w:rsidP="00D50628"/>
    <w:p w14:paraId="262288E9" w14:textId="53635B77" w:rsidR="00D50628" w:rsidRDefault="00D50628" w:rsidP="00D50628">
      <w:pPr>
        <w:pStyle w:val="EntradandiceAuto"/>
      </w:pPr>
      <w:r>
        <w:t>Sección Cuarta. Auto 16/2025, de 12 de febrero de 2025. Inadmite las recusaciones formuladas respecto del secretario general del Tribunal y el secretario de justicia de la Sección Cuarta en el recurso de amparo 907-2024, promovido por don Fernando Argote Pons y doña Miren Garbiñe Garagarza Echaniz en causa penal.</w:t>
      </w:r>
      <w:r>
        <w:tab/>
      </w:r>
      <w:r>
        <w:tab/>
      </w:r>
      <w:r>
        <w:fldChar w:fldCharType="begin"/>
      </w:r>
      <w:r>
        <w:instrText xml:space="preserve"> PAGEREF AUTO_2025_16 \h </w:instrText>
      </w:r>
      <w:r>
        <w:fldChar w:fldCharType="separate"/>
      </w:r>
      <w:r>
        <w:rPr>
          <w:noProof/>
        </w:rPr>
        <w:t>2540</w:t>
      </w:r>
      <w:r>
        <w:fldChar w:fldCharType="end"/>
      </w:r>
    </w:p>
    <w:p w14:paraId="4FEE2400" w14:textId="77777777" w:rsidR="00D50628" w:rsidRDefault="00D50628" w:rsidP="00D50628"/>
    <w:p w14:paraId="41D6D672" w14:textId="3C439FFF" w:rsidR="00D50628" w:rsidRDefault="00D50628" w:rsidP="00D50628">
      <w:pPr>
        <w:pStyle w:val="EntradandiceAuto"/>
      </w:pPr>
      <w:r>
        <w:t>Pleno. Auto 17/2025, de 12 de febrero de 2025. Acepta una abstención en el recurso de amparo 1670-2024, promovido por doña Dolores Delgado García en proceso contencioso administrativo.</w:t>
      </w:r>
      <w:r>
        <w:tab/>
      </w:r>
      <w:r>
        <w:tab/>
      </w:r>
      <w:r>
        <w:fldChar w:fldCharType="begin"/>
      </w:r>
      <w:r>
        <w:instrText xml:space="preserve"> PAGEREF AUTO_2025_17 \h </w:instrText>
      </w:r>
      <w:r>
        <w:fldChar w:fldCharType="separate"/>
      </w:r>
      <w:r>
        <w:rPr>
          <w:noProof/>
        </w:rPr>
        <w:t>2543</w:t>
      </w:r>
      <w:r>
        <w:fldChar w:fldCharType="end"/>
      </w:r>
    </w:p>
    <w:p w14:paraId="5CFBCB55" w14:textId="77777777" w:rsidR="00D50628" w:rsidRDefault="00D50628" w:rsidP="00D50628"/>
    <w:p w14:paraId="419B84C1" w14:textId="6CA9C1F8" w:rsidR="00D50628" w:rsidRDefault="00D50628" w:rsidP="00D50628">
      <w:pPr>
        <w:pStyle w:val="EntradandiceAuto"/>
      </w:pPr>
      <w:r>
        <w:t>Sala Segunda. Auto 18/2025, de 24 de febrero de 2025. Acuerda la suspensión en el recurso de amparo 6293-2024, promovido por doña Mary Stefany Vargas Huillca en causa penal.</w:t>
      </w:r>
      <w:r>
        <w:tab/>
      </w:r>
      <w:r>
        <w:tab/>
      </w:r>
      <w:r>
        <w:fldChar w:fldCharType="begin"/>
      </w:r>
      <w:r>
        <w:instrText xml:space="preserve"> PAGEREF AUTO_2025_18 \h </w:instrText>
      </w:r>
      <w:r>
        <w:fldChar w:fldCharType="separate"/>
      </w:r>
      <w:r>
        <w:rPr>
          <w:noProof/>
        </w:rPr>
        <w:t>2545</w:t>
      </w:r>
      <w:r>
        <w:fldChar w:fldCharType="end"/>
      </w:r>
    </w:p>
    <w:p w14:paraId="50EF8B42" w14:textId="77777777" w:rsidR="00D50628" w:rsidRDefault="00D50628" w:rsidP="00D50628"/>
    <w:p w14:paraId="234A01D1" w14:textId="0EC3C96E" w:rsidR="00D50628" w:rsidRDefault="00D50628" w:rsidP="00D50628">
      <w:pPr>
        <w:pStyle w:val="EntradandiceAuto"/>
      </w:pPr>
      <w:r>
        <w:t>Pleno. Auto 19/2025, de 26 de febrero de 2025. Inadmite a trámite la cuestión de inconstitucionalidad 7619-2023, planteada por la Sala de lo Social del Tribunal Superior de Justicia del País Vasco, en relación con el artículo 48.4 del texto refundido de la Ley del estatuto de los trabajadores, aprobado por Real Decreto Legislativo 2/2015, de 23 de octubre, y el artículo 177 del texto refundido de la Ley general de la Seguridad Social, aprobado por el Real Decreto Legislativo 8/2015, de 30 de octubre.</w:t>
      </w:r>
      <w:r>
        <w:tab/>
      </w:r>
      <w:r>
        <w:tab/>
      </w:r>
      <w:r>
        <w:fldChar w:fldCharType="begin"/>
      </w:r>
      <w:r>
        <w:instrText xml:space="preserve"> PAGEREF AUTO_2025_19 \h </w:instrText>
      </w:r>
      <w:r>
        <w:fldChar w:fldCharType="separate"/>
      </w:r>
      <w:r>
        <w:rPr>
          <w:noProof/>
        </w:rPr>
        <w:t>2553</w:t>
      </w:r>
      <w:r>
        <w:fldChar w:fldCharType="end"/>
      </w:r>
    </w:p>
    <w:p w14:paraId="28B4C674" w14:textId="77777777" w:rsidR="00D50628" w:rsidRDefault="00D50628" w:rsidP="00D50628"/>
    <w:p w14:paraId="394C743F" w14:textId="66228396" w:rsidR="00D50628" w:rsidRDefault="00D50628" w:rsidP="00D50628">
      <w:pPr>
        <w:pStyle w:val="EntradandiceAuto"/>
      </w:pPr>
      <w:r>
        <w:t>Pleno. Auto 20/2025, de 26 de febrero de 2025. Inadmite a trámite la cuestión de inconstitucionalidad 6094-2024, planteada por el Juzgado de Primera Instancia núm. 1 de Barcelona, en relación con el artículo 60.1 de la Ley 1/2000, de 7 de enero, de enjuiciamiento civil.</w:t>
      </w:r>
      <w:r>
        <w:tab/>
      </w:r>
      <w:r>
        <w:tab/>
      </w:r>
      <w:r>
        <w:fldChar w:fldCharType="begin"/>
      </w:r>
      <w:r>
        <w:instrText xml:space="preserve"> PAGEREF AUTO_2025_20 \h </w:instrText>
      </w:r>
      <w:r>
        <w:fldChar w:fldCharType="separate"/>
      </w:r>
      <w:r>
        <w:rPr>
          <w:noProof/>
        </w:rPr>
        <w:t>2558</w:t>
      </w:r>
      <w:r>
        <w:fldChar w:fldCharType="end"/>
      </w:r>
    </w:p>
    <w:p w14:paraId="701E691C" w14:textId="77777777" w:rsidR="00D50628" w:rsidRDefault="00D50628" w:rsidP="00D50628"/>
    <w:p w14:paraId="3448FE52" w14:textId="22899BC3" w:rsidR="00D50628" w:rsidRDefault="00D50628" w:rsidP="00D50628">
      <w:pPr>
        <w:pStyle w:val="EntradandiceAuto"/>
      </w:pPr>
      <w:r>
        <w:t>Sala Segunda. Auto 21/2025, de 10 de marzo de 2025. Mantiene la suspensión acordada por providencia en el recurso de amparo 35-2025, promovido por don David Bossa Lisón en proceso militar.</w:t>
      </w:r>
      <w:r>
        <w:tab/>
      </w:r>
      <w:r>
        <w:tab/>
      </w:r>
      <w:r>
        <w:fldChar w:fldCharType="begin"/>
      </w:r>
      <w:r>
        <w:instrText xml:space="preserve"> PAGEREF AUTO_2025_21 \h </w:instrText>
      </w:r>
      <w:r>
        <w:fldChar w:fldCharType="separate"/>
      </w:r>
      <w:r>
        <w:rPr>
          <w:noProof/>
        </w:rPr>
        <w:t>2567</w:t>
      </w:r>
      <w:r>
        <w:fldChar w:fldCharType="end"/>
      </w:r>
    </w:p>
    <w:p w14:paraId="2BB84649" w14:textId="77777777" w:rsidR="00D50628" w:rsidRDefault="00D50628" w:rsidP="00D50628"/>
    <w:p w14:paraId="4DB5D8E2" w14:textId="1075DA54" w:rsidR="00D50628" w:rsidRDefault="00D50628" w:rsidP="00D50628">
      <w:pPr>
        <w:pStyle w:val="EntradandiceAuto"/>
      </w:pPr>
      <w:r>
        <w:t>Sección Primera. Auto 22/2025, de 11 de marzo de 2025. Deniega la solicitud de aclaración y revisión del ATC 74/2024, de 29 de julio, dictado en el recurso de amparo 8325-2022, promovido por don Salvador López Ortiz y María José López Espinosa en proceso contencioso administrativo.</w:t>
      </w:r>
      <w:r>
        <w:tab/>
      </w:r>
      <w:r>
        <w:tab/>
      </w:r>
      <w:r>
        <w:fldChar w:fldCharType="begin"/>
      </w:r>
      <w:r>
        <w:instrText xml:space="preserve"> PAGEREF AUTO_2025_22 \h </w:instrText>
      </w:r>
      <w:r>
        <w:fldChar w:fldCharType="separate"/>
      </w:r>
      <w:r>
        <w:rPr>
          <w:noProof/>
        </w:rPr>
        <w:t>2572</w:t>
      </w:r>
      <w:r>
        <w:fldChar w:fldCharType="end"/>
      </w:r>
    </w:p>
    <w:p w14:paraId="761F81A7" w14:textId="77777777" w:rsidR="00D50628" w:rsidRDefault="00D50628" w:rsidP="00D50628"/>
    <w:p w14:paraId="6F1786C4" w14:textId="4A5EDDAD" w:rsidR="00D50628" w:rsidRDefault="00D50628" w:rsidP="00D50628">
      <w:pPr>
        <w:pStyle w:val="EntradandiceAuto"/>
      </w:pPr>
      <w:r>
        <w:t>Pleno. Auto 23/2025, de 11 de marzo de 2025. Inadmite diversas recusaciones formuladas en el recurso de amparo 7129-2023, promovido por la Asociación por la Reconciliación y la Verdad Histórica en procedimiento parlamentario.</w:t>
      </w:r>
      <w:r>
        <w:tab/>
      </w:r>
      <w:r>
        <w:tab/>
      </w:r>
      <w:r>
        <w:fldChar w:fldCharType="begin"/>
      </w:r>
      <w:r>
        <w:instrText xml:space="preserve"> PAGEREF AUTO_2025_23 \h </w:instrText>
      </w:r>
      <w:r>
        <w:fldChar w:fldCharType="separate"/>
      </w:r>
      <w:r>
        <w:rPr>
          <w:noProof/>
        </w:rPr>
        <w:t>2576</w:t>
      </w:r>
      <w:r>
        <w:fldChar w:fldCharType="end"/>
      </w:r>
    </w:p>
    <w:p w14:paraId="3FFB771B" w14:textId="77777777" w:rsidR="00D50628" w:rsidRDefault="00D50628" w:rsidP="00D50628"/>
    <w:p w14:paraId="33C66537" w14:textId="0A2BC5C7" w:rsidR="00D50628" w:rsidRDefault="00D50628" w:rsidP="00D50628">
      <w:pPr>
        <w:pStyle w:val="EntradandiceAuto"/>
      </w:pPr>
      <w:r>
        <w:t>Pleno. Auto 24/2025, de 11 de marzo de 2025. Inadmite a trámite la cuestión de inconstitucionalidad 2200-2024, planteada por la Sección Primera de la Sala de lo Contencioso-Administrativo del Tribunal Superior de Justicia de Aragón en relación con diversos preceptos de la Ley de las Cortes de Aragón 3/2020, de 3 de diciembre, por la que se establece el régimen jurídico de alerta sanitaria para el control de la pandemia covid-19 en Aragón, y el apartado segundo del artículo único del Decreto-ley del Gobierno de Aragón 4/2021, de 8 de julio, de modificación de la anterior.</w:t>
      </w:r>
      <w:r>
        <w:tab/>
      </w:r>
      <w:r>
        <w:tab/>
      </w:r>
      <w:r>
        <w:fldChar w:fldCharType="begin"/>
      </w:r>
      <w:r>
        <w:instrText xml:space="preserve"> PAGEREF AUTO_2025_24 \h </w:instrText>
      </w:r>
      <w:r>
        <w:fldChar w:fldCharType="separate"/>
      </w:r>
      <w:r>
        <w:rPr>
          <w:noProof/>
        </w:rPr>
        <w:t>2581</w:t>
      </w:r>
      <w:r>
        <w:fldChar w:fldCharType="end"/>
      </w:r>
    </w:p>
    <w:p w14:paraId="07A076C8" w14:textId="77777777" w:rsidR="00D50628" w:rsidRDefault="00D50628" w:rsidP="00D50628"/>
    <w:p w14:paraId="5C4C6F62" w14:textId="10E73837" w:rsidR="00D50628" w:rsidRDefault="00D50628" w:rsidP="00D50628">
      <w:pPr>
        <w:pStyle w:val="EntradandiceAuto"/>
      </w:pPr>
      <w:r>
        <w:t>Pleno. Auto 25/2025, de 11 de marzo de 2025. Acepta una abstención en el recurso de amparo 7379-2024, promovido por doña Dolores Delgado García en proceso contencioso administrativo.</w:t>
      </w:r>
      <w:r>
        <w:tab/>
      </w:r>
      <w:r>
        <w:tab/>
      </w:r>
      <w:r>
        <w:fldChar w:fldCharType="begin"/>
      </w:r>
      <w:r>
        <w:instrText xml:space="preserve"> PAGEREF AUTO_2025_25 \h </w:instrText>
      </w:r>
      <w:r>
        <w:fldChar w:fldCharType="separate"/>
      </w:r>
      <w:r>
        <w:rPr>
          <w:noProof/>
        </w:rPr>
        <w:t>2599</w:t>
      </w:r>
      <w:r>
        <w:fldChar w:fldCharType="end"/>
      </w:r>
    </w:p>
    <w:p w14:paraId="4B6959AD" w14:textId="77777777" w:rsidR="00D50628" w:rsidRDefault="00D50628" w:rsidP="00D50628"/>
    <w:p w14:paraId="0E4F3231" w14:textId="520660C9" w:rsidR="00D50628" w:rsidRDefault="00D50628" w:rsidP="00D50628">
      <w:pPr>
        <w:pStyle w:val="EntradandiceAuto"/>
      </w:pPr>
      <w:r>
        <w:t>Pleno. Auto 26/2025, de 11 de marzo de 2025. Acepta una abstención en el recurso de amparo 7380-2024, promovido por doña Dolores Delgado García en proceso contencioso administrativo.</w:t>
      </w:r>
      <w:r>
        <w:tab/>
      </w:r>
      <w:r>
        <w:tab/>
      </w:r>
      <w:r>
        <w:fldChar w:fldCharType="begin"/>
      </w:r>
      <w:r>
        <w:instrText xml:space="preserve"> PAGEREF AUTO_2025_26 \h </w:instrText>
      </w:r>
      <w:r>
        <w:fldChar w:fldCharType="separate"/>
      </w:r>
      <w:r>
        <w:rPr>
          <w:noProof/>
        </w:rPr>
        <w:t>2601</w:t>
      </w:r>
      <w:r>
        <w:fldChar w:fldCharType="end"/>
      </w:r>
    </w:p>
    <w:p w14:paraId="1E58FBA7" w14:textId="77777777" w:rsidR="00D50628" w:rsidRDefault="00D50628" w:rsidP="00D50628"/>
    <w:p w14:paraId="6B802884" w14:textId="1502B28A" w:rsidR="00D50628" w:rsidRDefault="00D50628" w:rsidP="00D50628">
      <w:pPr>
        <w:pStyle w:val="EntradandiceAuto"/>
      </w:pPr>
      <w:r>
        <w:t>Pleno. Auto 27/2025, de 11 de marzo de 2025. Acepta una abstención en el recurso de amparo 7383-2024, promovido por doña Dolores Delgado García en proceso contencioso administrativo.</w:t>
      </w:r>
      <w:r>
        <w:tab/>
      </w:r>
      <w:r>
        <w:tab/>
      </w:r>
      <w:r>
        <w:fldChar w:fldCharType="begin"/>
      </w:r>
      <w:r>
        <w:instrText xml:space="preserve"> PAGEREF AUTO_2025_27 \h </w:instrText>
      </w:r>
      <w:r>
        <w:fldChar w:fldCharType="separate"/>
      </w:r>
      <w:r>
        <w:rPr>
          <w:noProof/>
        </w:rPr>
        <w:t>2603</w:t>
      </w:r>
      <w:r>
        <w:fldChar w:fldCharType="end"/>
      </w:r>
    </w:p>
    <w:p w14:paraId="032DBBAF" w14:textId="77777777" w:rsidR="00D50628" w:rsidRDefault="00D50628" w:rsidP="00D50628"/>
    <w:p w14:paraId="2B3283B2" w14:textId="358B4D56" w:rsidR="00D50628" w:rsidRDefault="00D50628" w:rsidP="00D50628">
      <w:pPr>
        <w:pStyle w:val="EntradandiceAuto"/>
      </w:pPr>
      <w:r>
        <w:t>Pleno. Auto 28/2025, de 25 de marzo de 2025. Inadmite a trámite el recurso de amparo 1783-2023, promovido por doña Iratxe Sorzabal Díaz en causa penal. Voto particular.</w:t>
      </w:r>
      <w:r>
        <w:tab/>
      </w:r>
      <w:r>
        <w:tab/>
      </w:r>
      <w:r>
        <w:fldChar w:fldCharType="begin"/>
      </w:r>
      <w:r>
        <w:instrText xml:space="preserve"> PAGEREF AUTO_2025_28 \h </w:instrText>
      </w:r>
      <w:r>
        <w:fldChar w:fldCharType="separate"/>
      </w:r>
      <w:r>
        <w:rPr>
          <w:noProof/>
        </w:rPr>
        <w:t>2605</w:t>
      </w:r>
      <w:r>
        <w:fldChar w:fldCharType="end"/>
      </w:r>
    </w:p>
    <w:p w14:paraId="6AF4543C" w14:textId="77777777" w:rsidR="00D50628" w:rsidRDefault="00D50628" w:rsidP="00D50628"/>
    <w:p w14:paraId="3C856E84" w14:textId="18B90BEF" w:rsidR="00D50628" w:rsidRDefault="00D50628" w:rsidP="00D50628">
      <w:pPr>
        <w:pStyle w:val="EntradandiceAuto"/>
      </w:pPr>
      <w:r>
        <w:t>Pleno. Auto 29/2025, de 25 de marzo de 2025. Inadmite a trámite la cuestión de inconstitucionalidad 3268-2024, planteada por el Juzgado de lo Contencioso-Administrativo núm. 2 de Mérida, en relación con el inciso final del párrafo primero del artículo 3 del Decreto-ley de la Junta de Extremadura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w:t>
      </w:r>
      <w:r>
        <w:tab/>
      </w:r>
      <w:r>
        <w:tab/>
      </w:r>
      <w:r>
        <w:fldChar w:fldCharType="begin"/>
      </w:r>
      <w:r>
        <w:instrText xml:space="preserve"> PAGEREF AUTO_2025_29 \h </w:instrText>
      </w:r>
      <w:r>
        <w:fldChar w:fldCharType="separate"/>
      </w:r>
      <w:r>
        <w:rPr>
          <w:noProof/>
        </w:rPr>
        <w:t>2620</w:t>
      </w:r>
      <w:r>
        <w:fldChar w:fldCharType="end"/>
      </w:r>
    </w:p>
    <w:p w14:paraId="435EB229" w14:textId="77777777" w:rsidR="00D50628" w:rsidRDefault="00D50628" w:rsidP="00D50628"/>
    <w:p w14:paraId="7F3A3C08" w14:textId="6F3F5E86" w:rsidR="00D50628" w:rsidRDefault="00D50628" w:rsidP="00D50628">
      <w:pPr>
        <w:pStyle w:val="EntradandiceAuto"/>
      </w:pPr>
      <w:r>
        <w:t>Pleno. Auto 30/2025, de 25 de marzo de 2025. Inadmite una recusación en el recurso de amparo 7762-2024, promovido por don Jordi Turull i Negre en causa penal.</w:t>
      </w:r>
      <w:r>
        <w:tab/>
      </w:r>
      <w:r>
        <w:tab/>
      </w:r>
      <w:r>
        <w:fldChar w:fldCharType="begin"/>
      </w:r>
      <w:r>
        <w:instrText xml:space="preserve"> PAGEREF AUTO_2025_30 \h </w:instrText>
      </w:r>
      <w:r>
        <w:fldChar w:fldCharType="separate"/>
      </w:r>
      <w:r>
        <w:rPr>
          <w:noProof/>
        </w:rPr>
        <w:t>2627</w:t>
      </w:r>
      <w:r>
        <w:fldChar w:fldCharType="end"/>
      </w:r>
    </w:p>
    <w:p w14:paraId="17F952FC" w14:textId="77777777" w:rsidR="00D50628" w:rsidRDefault="00D50628" w:rsidP="00D50628"/>
    <w:p w14:paraId="7BDA3790" w14:textId="209435D2" w:rsidR="00D50628" w:rsidRDefault="00D50628" w:rsidP="00D50628">
      <w:pPr>
        <w:pStyle w:val="EntradandiceAuto"/>
      </w:pPr>
      <w:r>
        <w:t>Pleno. Auto 31/2025, de 8 de abril de 2025. Inadmite a trámite el recurso de reposición y subsidiario incidente de nulidad de actuaciones en relación con el ATC 15/2025, de 12 de febrero, que aceptó una abstención y declaró la pérdida de objeto de la recusación en el recurso de amparo 7433-2023, promovido por don Eduardo Esteban Rincón en proceso contencioso administrativo. Voto particular.</w:t>
      </w:r>
      <w:r>
        <w:tab/>
      </w:r>
      <w:r>
        <w:tab/>
      </w:r>
      <w:r>
        <w:fldChar w:fldCharType="begin"/>
      </w:r>
      <w:r>
        <w:instrText xml:space="preserve"> PAGEREF AUTO_2025_31 \h </w:instrText>
      </w:r>
      <w:r>
        <w:fldChar w:fldCharType="separate"/>
      </w:r>
      <w:r>
        <w:rPr>
          <w:noProof/>
        </w:rPr>
        <w:t>2630</w:t>
      </w:r>
      <w:r>
        <w:fldChar w:fldCharType="end"/>
      </w:r>
    </w:p>
    <w:p w14:paraId="509FC8FC" w14:textId="77777777" w:rsidR="00D50628" w:rsidRDefault="00D50628" w:rsidP="00D50628"/>
    <w:p w14:paraId="13A04B73" w14:textId="16C54275" w:rsidR="00D50628" w:rsidRDefault="00D50628" w:rsidP="00D50628">
      <w:pPr>
        <w:pStyle w:val="EntradandiceAuto"/>
      </w:pPr>
      <w:r>
        <w:t>Pleno. Auto 32/2025, de 8 de abril de 2025. Inadmite a trámite la cuestión de inconstitucionalidad 7351-2024, planteada por la Sala de lo Contencioso-Administrativo del Tribunal Superior de Justicia de las Illes Balears, en relación con el artículo 59.2 de la Ley 3/2007, de 27 de marzo, de la función pública de la Comunidad Autónoma de las Illes Balears.</w:t>
      </w:r>
      <w:r>
        <w:tab/>
      </w:r>
      <w:r>
        <w:tab/>
      </w:r>
      <w:r>
        <w:fldChar w:fldCharType="begin"/>
      </w:r>
      <w:r>
        <w:instrText xml:space="preserve"> PAGEREF AUTO_2025_32 \h </w:instrText>
      </w:r>
      <w:r>
        <w:fldChar w:fldCharType="separate"/>
      </w:r>
      <w:r>
        <w:rPr>
          <w:noProof/>
        </w:rPr>
        <w:t>2641</w:t>
      </w:r>
      <w:r>
        <w:fldChar w:fldCharType="end"/>
      </w:r>
    </w:p>
    <w:p w14:paraId="519A3C27" w14:textId="77777777" w:rsidR="00D50628" w:rsidRDefault="00D50628" w:rsidP="00D50628"/>
    <w:p w14:paraId="169C68E1" w14:textId="36E5FDAE" w:rsidR="00D50628" w:rsidRDefault="00D50628" w:rsidP="00D50628">
      <w:pPr>
        <w:pStyle w:val="EntradandiceAuto"/>
      </w:pPr>
      <w:r>
        <w:t>Sala Segunda. Auto 33/2025, de 28 de abril de 2025. Inadmite la solicitud de ejecución de la STC 124/2024, de 21 de octubre, dictada en el recurso de amparo 2799-2023, promovido por don Anass Touil en causa penal.</w:t>
      </w:r>
      <w:r>
        <w:tab/>
      </w:r>
      <w:r>
        <w:tab/>
      </w:r>
      <w:r>
        <w:fldChar w:fldCharType="begin"/>
      </w:r>
      <w:r>
        <w:instrText xml:space="preserve"> PAGEREF AUTO_2025_33 \h </w:instrText>
      </w:r>
      <w:r>
        <w:fldChar w:fldCharType="separate"/>
      </w:r>
      <w:r>
        <w:rPr>
          <w:noProof/>
        </w:rPr>
        <w:t>2659</w:t>
      </w:r>
      <w:r>
        <w:fldChar w:fldCharType="end"/>
      </w:r>
    </w:p>
    <w:p w14:paraId="550AA92E" w14:textId="77777777" w:rsidR="00D50628" w:rsidRDefault="00D50628" w:rsidP="00D50628"/>
    <w:p w14:paraId="7AE65EE0" w14:textId="64C3F02D" w:rsidR="00D50628" w:rsidRDefault="00D50628" w:rsidP="00D50628">
      <w:pPr>
        <w:pStyle w:val="EntradandiceAuto"/>
      </w:pPr>
      <w:r>
        <w:t>Pleno. Auto 34/2025, de 13 de mayo de 2025. Inadmite la solicitud de ejecución de la STC 88/2025, de 7 de abril, dictada en el recurso de amparo 5220-2024, promovido por doña Ana Migallón Fernández. Voto particular.</w:t>
      </w:r>
      <w:r>
        <w:tab/>
      </w:r>
      <w:r>
        <w:tab/>
      </w:r>
      <w:r>
        <w:fldChar w:fldCharType="begin"/>
      </w:r>
      <w:r>
        <w:instrText xml:space="preserve"> PAGEREF AUTO_2025_34 \h </w:instrText>
      </w:r>
      <w:r>
        <w:fldChar w:fldCharType="separate"/>
      </w:r>
      <w:r>
        <w:rPr>
          <w:noProof/>
        </w:rPr>
        <w:t>2662</w:t>
      </w:r>
      <w:r>
        <w:fldChar w:fldCharType="end"/>
      </w:r>
    </w:p>
    <w:p w14:paraId="747FDDAC" w14:textId="77777777" w:rsidR="00D50628" w:rsidRDefault="00D50628" w:rsidP="00D50628"/>
    <w:p w14:paraId="1E9FB98F" w14:textId="2FE0AA13" w:rsidR="00D50628" w:rsidRDefault="00D50628" w:rsidP="00D50628">
      <w:pPr>
        <w:pStyle w:val="EntradandiceAuto"/>
      </w:pPr>
      <w:r>
        <w:t>Pleno. Auto 35/2025, de 13 de mayo de 2025. Desestima los recursos de súplica interpuestos en relación con el ATC 12/2025, de 29 de enero, que extendió los efectos de una recusación acordada en la cuestión de inconstitucionalidad 6053-2024 a dieciséis recursos de inconstitucionalidad y cinco cuestiones de inconstitucionalidad y declaró la pérdida sobrevenida de objeto de las recusaciones formuladas en dichos procedimientos, en relación con la Ley Orgánica 1/2024, de 10 de junio, de amnistía para la normalización institucional, política y social en Cataluña. Votos particulares.</w:t>
      </w:r>
      <w:r>
        <w:tab/>
      </w:r>
      <w:r>
        <w:tab/>
      </w:r>
      <w:r>
        <w:fldChar w:fldCharType="begin"/>
      </w:r>
      <w:r>
        <w:instrText xml:space="preserve"> PAGEREF AUTO_2025_35 \h </w:instrText>
      </w:r>
      <w:r>
        <w:fldChar w:fldCharType="separate"/>
      </w:r>
      <w:r>
        <w:rPr>
          <w:noProof/>
        </w:rPr>
        <w:t>2669</w:t>
      </w:r>
      <w:r>
        <w:fldChar w:fldCharType="end"/>
      </w:r>
    </w:p>
    <w:p w14:paraId="37E83226" w14:textId="77777777" w:rsidR="00D50628" w:rsidRDefault="00D50628" w:rsidP="00D50628"/>
    <w:p w14:paraId="2494FA47" w14:textId="0FEE262A" w:rsidR="00D50628" w:rsidRDefault="00D50628" w:rsidP="00D50628">
      <w:pPr>
        <w:pStyle w:val="EntradandiceAuto"/>
      </w:pPr>
      <w:r>
        <w:t>Sección Primera. Auto 36/2025, de 23 de mayo de 2025. Se declara incompetente para enjuiciar la impugnación de una resolución de la Comisión Central de Asistencia Jurídica Gratuita en el recurso de amparo 5826-2024, promovido por don Rubén Jiménez Alonso en causa penal.</w:t>
      </w:r>
      <w:r>
        <w:tab/>
      </w:r>
      <w:r>
        <w:tab/>
      </w:r>
      <w:r>
        <w:fldChar w:fldCharType="begin"/>
      </w:r>
      <w:r>
        <w:instrText xml:space="preserve"> PAGEREF AUTO_2025_36 \h </w:instrText>
      </w:r>
      <w:r>
        <w:fldChar w:fldCharType="separate"/>
      </w:r>
      <w:r>
        <w:rPr>
          <w:noProof/>
        </w:rPr>
        <w:t>2695</w:t>
      </w:r>
      <w:r>
        <w:fldChar w:fldCharType="end"/>
      </w:r>
    </w:p>
    <w:p w14:paraId="3FCCD6BD" w14:textId="77777777" w:rsidR="00D50628" w:rsidRDefault="00D50628" w:rsidP="00D50628"/>
    <w:p w14:paraId="54A094A9" w14:textId="7037A0B1" w:rsidR="00D50628" w:rsidRDefault="00D50628" w:rsidP="00D50628">
      <w:pPr>
        <w:pStyle w:val="EntradandiceAuto"/>
      </w:pPr>
      <w:r>
        <w:t>Sala Primera. Auto 37/2025, de 26 de mayo de 2025. Inadmite la solicitud de ejecución de la STC 30/2025, de 10 de febrero, dictada en el recurso de amparo 4166-2023, promovido por doña Miriam Gómez Fernández.</w:t>
      </w:r>
      <w:r>
        <w:tab/>
      </w:r>
      <w:r>
        <w:tab/>
      </w:r>
      <w:r>
        <w:fldChar w:fldCharType="begin"/>
      </w:r>
      <w:r>
        <w:instrText xml:space="preserve"> PAGEREF AUTO_2025_37 \h </w:instrText>
      </w:r>
      <w:r>
        <w:fldChar w:fldCharType="separate"/>
      </w:r>
      <w:r>
        <w:rPr>
          <w:noProof/>
        </w:rPr>
        <w:t>2698</w:t>
      </w:r>
      <w:r>
        <w:fldChar w:fldCharType="end"/>
      </w:r>
    </w:p>
    <w:p w14:paraId="0AED3CD4" w14:textId="77777777" w:rsidR="00D50628" w:rsidRDefault="00D50628" w:rsidP="00D50628"/>
    <w:p w14:paraId="0F5005E2" w14:textId="60B9D0CD" w:rsidR="00D50628" w:rsidRDefault="00D50628" w:rsidP="00D50628">
      <w:pPr>
        <w:pStyle w:val="EntradandiceAuto"/>
      </w:pPr>
      <w:r>
        <w:t>Sala Segunda. Auto 38/2025, de 26 de mayo de 2025. Inadmite la solicitud de ejecución de la STC 17/2025, de 27 de enero, dictada en el recurso de amparo 4828-2023, promovido por doña Vanesa Alejandra Jiménez Serrano.</w:t>
      </w:r>
      <w:r>
        <w:tab/>
      </w:r>
      <w:r>
        <w:tab/>
      </w:r>
      <w:r>
        <w:fldChar w:fldCharType="begin"/>
      </w:r>
      <w:r>
        <w:instrText xml:space="preserve"> PAGEREF AUTO_2025_38 \h </w:instrText>
      </w:r>
      <w:r>
        <w:fldChar w:fldCharType="separate"/>
      </w:r>
      <w:r>
        <w:rPr>
          <w:noProof/>
        </w:rPr>
        <w:t>2701</w:t>
      </w:r>
      <w:r>
        <w:fldChar w:fldCharType="end"/>
      </w:r>
    </w:p>
    <w:p w14:paraId="55B1CEB1" w14:textId="77777777" w:rsidR="00D50628" w:rsidRDefault="00D50628" w:rsidP="00D50628"/>
    <w:p w14:paraId="27AAD0C3" w14:textId="456E61CF" w:rsidR="00D50628" w:rsidRDefault="00D50628" w:rsidP="00D50628">
      <w:pPr>
        <w:pStyle w:val="EntradandiceAuto"/>
      </w:pPr>
      <w:r>
        <w:t>Sala Primera. Auto 39/2025, de 26 de mayo de 2025. Inadmite la solicitud de ejecución de la STC 32/2025, de 10 de febrero, dictada en el recurso de amparo 5740-2023, promovido por doña Ruth de Frutos Ortega.</w:t>
      </w:r>
      <w:r>
        <w:tab/>
      </w:r>
      <w:r>
        <w:tab/>
      </w:r>
      <w:r>
        <w:fldChar w:fldCharType="begin"/>
      </w:r>
      <w:r>
        <w:instrText xml:space="preserve"> PAGEREF AUTO_2025_39 \h </w:instrText>
      </w:r>
      <w:r>
        <w:fldChar w:fldCharType="separate"/>
      </w:r>
      <w:r>
        <w:rPr>
          <w:noProof/>
        </w:rPr>
        <w:t>2704</w:t>
      </w:r>
      <w:r>
        <w:fldChar w:fldCharType="end"/>
      </w:r>
    </w:p>
    <w:p w14:paraId="462AB302" w14:textId="77777777" w:rsidR="00D50628" w:rsidRDefault="00D50628" w:rsidP="00D50628"/>
    <w:p w14:paraId="6C3C4646" w14:textId="5B62B432" w:rsidR="00D50628" w:rsidRDefault="00D50628" w:rsidP="00D50628">
      <w:pPr>
        <w:pStyle w:val="EntradandiceAuto"/>
      </w:pPr>
      <w:r>
        <w:t>Sala Segunda. Auto 40/2025, de 26 de mayo de 2025. Inadmite la solicitud de ejecución de la STC 18/2025, de 27 de enero, dictada en el recurso de amparo 5743-2023, promovido por doña Sandra Delgado Aguiar.</w:t>
      </w:r>
      <w:r>
        <w:tab/>
      </w:r>
      <w:r>
        <w:tab/>
      </w:r>
      <w:r>
        <w:fldChar w:fldCharType="begin"/>
      </w:r>
      <w:r>
        <w:instrText xml:space="preserve"> PAGEREF AUTO_2025_40 \h </w:instrText>
      </w:r>
      <w:r>
        <w:fldChar w:fldCharType="separate"/>
      </w:r>
      <w:r>
        <w:rPr>
          <w:noProof/>
        </w:rPr>
        <w:t>2707</w:t>
      </w:r>
      <w:r>
        <w:fldChar w:fldCharType="end"/>
      </w:r>
    </w:p>
    <w:p w14:paraId="32EF9B22" w14:textId="77777777" w:rsidR="00D50628" w:rsidRDefault="00D50628" w:rsidP="00D50628"/>
    <w:p w14:paraId="03DF5F21" w14:textId="61E723E7" w:rsidR="00D50628" w:rsidRDefault="00D50628" w:rsidP="00D50628">
      <w:pPr>
        <w:pStyle w:val="EntradandiceAuto"/>
      </w:pPr>
      <w:r>
        <w:t>Sala Segunda. Auto 41/2025, de 26 de mayo de 2025. Inadmite la solicitud de ejecución de la STC 19/2025, de 27 de enero, dictada en el recurso de amparo 5755-2023, promovido por doña Laura Ramírez Rodrigo.</w:t>
      </w:r>
      <w:r>
        <w:tab/>
      </w:r>
      <w:r>
        <w:tab/>
      </w:r>
      <w:r>
        <w:fldChar w:fldCharType="begin"/>
      </w:r>
      <w:r>
        <w:instrText xml:space="preserve"> PAGEREF AUTO_2025_41 \h </w:instrText>
      </w:r>
      <w:r>
        <w:fldChar w:fldCharType="separate"/>
      </w:r>
      <w:r>
        <w:rPr>
          <w:noProof/>
        </w:rPr>
        <w:t>2710</w:t>
      </w:r>
      <w:r>
        <w:fldChar w:fldCharType="end"/>
      </w:r>
    </w:p>
    <w:p w14:paraId="68007930" w14:textId="77777777" w:rsidR="00D50628" w:rsidRDefault="00D50628" w:rsidP="00D50628"/>
    <w:p w14:paraId="36EF62B3" w14:textId="2C76DFB2" w:rsidR="00D50628" w:rsidRDefault="00D50628" w:rsidP="00D50628">
      <w:pPr>
        <w:pStyle w:val="EntradandiceAuto"/>
      </w:pPr>
      <w:r>
        <w:t>Sala Primera. Auto 42/2025, de 26 de mayo de 2025. Inadmite la solicitud de ejecución de la STC 6/2025, de 13 de enero, dictada en el recurso de amparo 644-2024, promovido por doña Eva Ordax Cano.</w:t>
      </w:r>
      <w:r>
        <w:tab/>
      </w:r>
      <w:r>
        <w:tab/>
      </w:r>
      <w:r>
        <w:fldChar w:fldCharType="begin"/>
      </w:r>
      <w:r>
        <w:instrText xml:space="preserve"> PAGEREF AUTO_2025_42 \h </w:instrText>
      </w:r>
      <w:r>
        <w:fldChar w:fldCharType="separate"/>
      </w:r>
      <w:r>
        <w:rPr>
          <w:noProof/>
        </w:rPr>
        <w:t>2713</w:t>
      </w:r>
      <w:r>
        <w:fldChar w:fldCharType="end"/>
      </w:r>
    </w:p>
    <w:p w14:paraId="31FBBCC8" w14:textId="77777777" w:rsidR="00D50628" w:rsidRDefault="00D50628" w:rsidP="00D50628"/>
    <w:p w14:paraId="5B9E9EFE" w14:textId="601C10C8" w:rsidR="00D50628" w:rsidRDefault="00D50628" w:rsidP="00D50628">
      <w:pPr>
        <w:pStyle w:val="EntradandiceAuto"/>
      </w:pPr>
      <w:r>
        <w:t>Sala Segunda. Auto 43/2025, de 26 de mayo de 2025. Inadmite la solicitud de ejecución de la STC 7/2025, de 13 de enero, dictada en el recurso de amparo 943-2024, promovido por doña Ixone Fernández Bustillo.</w:t>
      </w:r>
      <w:r>
        <w:tab/>
      </w:r>
      <w:r>
        <w:tab/>
      </w:r>
      <w:r>
        <w:fldChar w:fldCharType="begin"/>
      </w:r>
      <w:r>
        <w:instrText xml:space="preserve"> PAGEREF AUTO_2025_43 \h </w:instrText>
      </w:r>
      <w:r>
        <w:fldChar w:fldCharType="separate"/>
      </w:r>
      <w:r>
        <w:rPr>
          <w:noProof/>
        </w:rPr>
        <w:t>2717</w:t>
      </w:r>
      <w:r>
        <w:fldChar w:fldCharType="end"/>
      </w:r>
    </w:p>
    <w:p w14:paraId="79FE486E" w14:textId="77777777" w:rsidR="00D50628" w:rsidRDefault="00D50628" w:rsidP="00D50628"/>
    <w:p w14:paraId="3E3B617A" w14:textId="724578B8" w:rsidR="00D50628" w:rsidRDefault="00D50628" w:rsidP="00D50628">
      <w:pPr>
        <w:pStyle w:val="EntradandiceAuto"/>
      </w:pPr>
      <w:r>
        <w:t>Sala Primera. Auto 44/2025, de 26 de mayo de 2025. Inadmite la solicitud de ejecución de la STC 149/2024, de 2 de diciembre, dictada en el recurso de amparo 1084-2024, promovido por doña Irakusne Goiriena Ugarte.</w:t>
      </w:r>
      <w:r>
        <w:tab/>
      </w:r>
      <w:r>
        <w:tab/>
      </w:r>
      <w:r>
        <w:fldChar w:fldCharType="begin"/>
      </w:r>
      <w:r>
        <w:instrText xml:space="preserve"> PAGEREF AUTO_2025_44 \h </w:instrText>
      </w:r>
      <w:r>
        <w:fldChar w:fldCharType="separate"/>
      </w:r>
      <w:r>
        <w:rPr>
          <w:noProof/>
        </w:rPr>
        <w:t>2720</w:t>
      </w:r>
      <w:r>
        <w:fldChar w:fldCharType="end"/>
      </w:r>
    </w:p>
    <w:p w14:paraId="45BE7D0E" w14:textId="77777777" w:rsidR="00D50628" w:rsidRDefault="00D50628" w:rsidP="00D50628"/>
    <w:p w14:paraId="3524C312" w14:textId="0928B874" w:rsidR="00D50628" w:rsidRDefault="00D50628" w:rsidP="00D50628">
      <w:pPr>
        <w:pStyle w:val="EntradandiceAuto"/>
      </w:pPr>
      <w:r>
        <w:t>Sala Primera. Auto 45/2025, de 26 de mayo de 2025. Inadmite la solicitud de ejecución de la STC 23/2025, de 27 de enero, dictada en el recurso de amparo 1640-2024, promovido por doña Itziar Álvarez Rodríguez.</w:t>
      </w:r>
      <w:r>
        <w:tab/>
      </w:r>
      <w:r>
        <w:tab/>
      </w:r>
      <w:r>
        <w:fldChar w:fldCharType="begin"/>
      </w:r>
      <w:r>
        <w:instrText xml:space="preserve"> PAGEREF AUTO_2025_45 \h </w:instrText>
      </w:r>
      <w:r>
        <w:fldChar w:fldCharType="separate"/>
      </w:r>
      <w:r>
        <w:rPr>
          <w:noProof/>
        </w:rPr>
        <w:t>2724</w:t>
      </w:r>
      <w:r>
        <w:fldChar w:fldCharType="end"/>
      </w:r>
    </w:p>
    <w:p w14:paraId="794BC381" w14:textId="77777777" w:rsidR="00D50628" w:rsidRDefault="00D50628" w:rsidP="00D50628"/>
    <w:p w14:paraId="03158E70" w14:textId="76C103E4" w:rsidR="00D50628" w:rsidRDefault="00D50628" w:rsidP="00D50628">
      <w:pPr>
        <w:pStyle w:val="EntradandiceAuto"/>
      </w:pPr>
      <w:r>
        <w:t>Sala Primera. Auto 46/2025, de 26 de mayo de 2025. Inadmite la solicitud de ejecución de la STC 155/2024, de 16 de diciembre, dictada en el recurso de amparo 2068-2024, promovido por doña Eva María Bueno Flores.</w:t>
      </w:r>
      <w:r>
        <w:tab/>
      </w:r>
      <w:r>
        <w:tab/>
      </w:r>
      <w:r>
        <w:fldChar w:fldCharType="begin"/>
      </w:r>
      <w:r>
        <w:instrText xml:space="preserve"> PAGEREF AUTO_2025_46 \h </w:instrText>
      </w:r>
      <w:r>
        <w:fldChar w:fldCharType="separate"/>
      </w:r>
      <w:r>
        <w:rPr>
          <w:noProof/>
        </w:rPr>
        <w:t>2728</w:t>
      </w:r>
      <w:r>
        <w:fldChar w:fldCharType="end"/>
      </w:r>
    </w:p>
    <w:p w14:paraId="695ACF49" w14:textId="77777777" w:rsidR="00D50628" w:rsidRDefault="00D50628" w:rsidP="00D50628"/>
    <w:p w14:paraId="0A468C2A" w14:textId="76ADEF22" w:rsidR="00D50628" w:rsidRDefault="00D50628" w:rsidP="00D50628">
      <w:pPr>
        <w:pStyle w:val="EntradandiceAuto"/>
      </w:pPr>
      <w:r>
        <w:t>Sala Segunda. Auto 47/2025, de 26 de mayo de 2025. Inadmite la solicitud de ejecución de la STC 71/2025, de 24 de marzo, dictada en el recurso de amparo 3385-2024, promovido por doña Ángela María Tapia Raya.</w:t>
      </w:r>
      <w:r>
        <w:tab/>
      </w:r>
      <w:r>
        <w:tab/>
      </w:r>
      <w:r>
        <w:fldChar w:fldCharType="begin"/>
      </w:r>
      <w:r>
        <w:instrText xml:space="preserve"> PAGEREF AUTO_2025_47 \h </w:instrText>
      </w:r>
      <w:r>
        <w:fldChar w:fldCharType="separate"/>
      </w:r>
      <w:r>
        <w:rPr>
          <w:noProof/>
        </w:rPr>
        <w:t>2731</w:t>
      </w:r>
      <w:r>
        <w:fldChar w:fldCharType="end"/>
      </w:r>
    </w:p>
    <w:p w14:paraId="18F9A711" w14:textId="77777777" w:rsidR="00D50628" w:rsidRDefault="00D50628" w:rsidP="00D50628"/>
    <w:p w14:paraId="78FFF7B6" w14:textId="0523C822" w:rsidR="00D50628" w:rsidRDefault="00D50628" w:rsidP="00D50628">
      <w:pPr>
        <w:pStyle w:val="EntradandiceAuto"/>
      </w:pPr>
      <w:r>
        <w:t>Sala Segunda. Auto 48/2025, de 26 de mayo de 2025. Inadmite la solicitud de ejecución de la STC 72/2025, de 24 de marzo, dictada en el recurso de amparo 4734-2024, promovido por doña Raquel García Pérez.</w:t>
      </w:r>
      <w:r>
        <w:tab/>
      </w:r>
      <w:r>
        <w:tab/>
      </w:r>
      <w:r>
        <w:fldChar w:fldCharType="begin"/>
      </w:r>
      <w:r>
        <w:instrText xml:space="preserve"> PAGEREF AUTO_2025_48 \h </w:instrText>
      </w:r>
      <w:r>
        <w:fldChar w:fldCharType="separate"/>
      </w:r>
      <w:r>
        <w:rPr>
          <w:noProof/>
        </w:rPr>
        <w:t>2733</w:t>
      </w:r>
      <w:r>
        <w:fldChar w:fldCharType="end"/>
      </w:r>
    </w:p>
    <w:p w14:paraId="019E6195" w14:textId="77777777" w:rsidR="00D50628" w:rsidRDefault="00D50628" w:rsidP="00D50628"/>
    <w:p w14:paraId="7AC571D0" w14:textId="4076FE56" w:rsidR="00D50628" w:rsidRDefault="00D50628" w:rsidP="00D50628">
      <w:pPr>
        <w:pStyle w:val="EntradandiceAuto"/>
      </w:pPr>
      <w:r>
        <w:t>Sala Segunda. Auto 49/2025, de 26 de mayo de 2025. Inadmite la solicitud de ejecución de la STC 75/2025, de 24 de marzo, dictada en el recurso de amparo 5760-2024, promovido por doña Cristina Victoria Asenjo Gismero.</w:t>
      </w:r>
      <w:r>
        <w:tab/>
      </w:r>
      <w:r>
        <w:tab/>
      </w:r>
      <w:r>
        <w:fldChar w:fldCharType="begin"/>
      </w:r>
      <w:r>
        <w:instrText xml:space="preserve"> PAGEREF AUTO_2025_49 \h </w:instrText>
      </w:r>
      <w:r>
        <w:fldChar w:fldCharType="separate"/>
      </w:r>
      <w:r>
        <w:rPr>
          <w:noProof/>
        </w:rPr>
        <w:t>2735</w:t>
      </w:r>
      <w:r>
        <w:fldChar w:fldCharType="end"/>
      </w:r>
    </w:p>
    <w:p w14:paraId="71E7B512" w14:textId="77777777" w:rsidR="00D50628" w:rsidRDefault="00D50628" w:rsidP="00D50628"/>
    <w:p w14:paraId="72309022" w14:textId="3BB08DBA" w:rsidR="00D50628" w:rsidRDefault="00D50628" w:rsidP="00D50628">
      <w:pPr>
        <w:pStyle w:val="EntradandiceAuto"/>
      </w:pPr>
      <w:r>
        <w:t>Sala Segunda. Auto 50/2025, de 26 de mayo de 2025. Inadmite la solicitud de ejecución de la STC 77/2025, de 24 de marzo, dictada en el recurso de amparo 5807-2024, promovido por doña Elena Peinado García.</w:t>
      </w:r>
      <w:r>
        <w:tab/>
      </w:r>
      <w:r>
        <w:tab/>
      </w:r>
      <w:r>
        <w:fldChar w:fldCharType="begin"/>
      </w:r>
      <w:r>
        <w:instrText xml:space="preserve"> PAGEREF AUTO_2025_50 \h </w:instrText>
      </w:r>
      <w:r>
        <w:fldChar w:fldCharType="separate"/>
      </w:r>
      <w:r>
        <w:rPr>
          <w:noProof/>
        </w:rPr>
        <w:t>2738</w:t>
      </w:r>
      <w:r>
        <w:fldChar w:fldCharType="end"/>
      </w:r>
    </w:p>
    <w:p w14:paraId="038C0AA2" w14:textId="77777777" w:rsidR="00D50628" w:rsidRDefault="00D50628" w:rsidP="00D50628"/>
    <w:p w14:paraId="47CF418D" w14:textId="6D9C91BC" w:rsidR="00D50628" w:rsidRDefault="00D50628" w:rsidP="00D50628">
      <w:pPr>
        <w:pStyle w:val="EntradandiceAuto"/>
      </w:pPr>
      <w:r>
        <w:t>Sala Segunda. Auto 51/2025, de 26 de mayo de 2025. Inadmite la solicitud de ejecución de la STC 103/2025, de 28 de abril, dictada en el recurso de amparo 6159-2024, promovido por doña Mónica Lizuain Lasa.</w:t>
      </w:r>
      <w:r>
        <w:tab/>
      </w:r>
      <w:r>
        <w:tab/>
      </w:r>
      <w:r>
        <w:fldChar w:fldCharType="begin"/>
      </w:r>
      <w:r>
        <w:instrText xml:space="preserve"> PAGEREF AUTO_2025_51 \h </w:instrText>
      </w:r>
      <w:r>
        <w:fldChar w:fldCharType="separate"/>
      </w:r>
      <w:r>
        <w:rPr>
          <w:noProof/>
        </w:rPr>
        <w:t>2740</w:t>
      </w:r>
      <w:r>
        <w:fldChar w:fldCharType="end"/>
      </w:r>
    </w:p>
    <w:p w14:paraId="47E74C78" w14:textId="77777777" w:rsidR="00D50628" w:rsidRDefault="00D50628" w:rsidP="00D50628"/>
    <w:p w14:paraId="22DA54AB" w14:textId="6B419920" w:rsidR="00D50628" w:rsidRDefault="00D50628" w:rsidP="00D50628">
      <w:pPr>
        <w:pStyle w:val="EntradandiceAuto"/>
      </w:pPr>
      <w:r>
        <w:t>Sala Segunda. Auto 52/2025, de 26 de mayo de 2025. Inadmite la solicitud de ejecución de la STC 79/2025, de 24 de marzo, dictada en el recurso de amparo 6315-2024, promovido por doña Susana Sáiz Sánchez.</w:t>
      </w:r>
      <w:r>
        <w:tab/>
      </w:r>
      <w:r>
        <w:tab/>
      </w:r>
      <w:r>
        <w:fldChar w:fldCharType="begin"/>
      </w:r>
      <w:r>
        <w:instrText xml:space="preserve"> PAGEREF AUTO_2025_52 \h </w:instrText>
      </w:r>
      <w:r>
        <w:fldChar w:fldCharType="separate"/>
      </w:r>
      <w:r>
        <w:rPr>
          <w:noProof/>
        </w:rPr>
        <w:t>2743</w:t>
      </w:r>
      <w:r>
        <w:fldChar w:fldCharType="end"/>
      </w:r>
    </w:p>
    <w:p w14:paraId="6A36D8C1" w14:textId="77777777" w:rsidR="00D50628" w:rsidRDefault="00D50628" w:rsidP="00D50628"/>
    <w:p w14:paraId="5A37501B" w14:textId="5CBD7EE8" w:rsidR="00D50628" w:rsidRDefault="00D50628" w:rsidP="00D50628">
      <w:pPr>
        <w:pStyle w:val="EntradandiceAuto"/>
      </w:pPr>
      <w:r>
        <w:t>Sala Segunda. Auto 53/2025, de 26 de mayo de 2025. Inadmite la solicitud de ejecución de la STC 61/2025, de 10 de marzo, dictada en el recurso de amparo 7706-2024, promovido por doña Nagore Gamboa Uriarte.</w:t>
      </w:r>
      <w:r>
        <w:tab/>
      </w:r>
      <w:r>
        <w:tab/>
      </w:r>
      <w:r>
        <w:fldChar w:fldCharType="begin"/>
      </w:r>
      <w:r>
        <w:instrText xml:space="preserve"> PAGEREF AUTO_2025_53 \h </w:instrText>
      </w:r>
      <w:r>
        <w:fldChar w:fldCharType="separate"/>
      </w:r>
      <w:r>
        <w:rPr>
          <w:noProof/>
        </w:rPr>
        <w:t>2746</w:t>
      </w:r>
      <w:r>
        <w:fldChar w:fldCharType="end"/>
      </w:r>
    </w:p>
    <w:p w14:paraId="79CC6AC5" w14:textId="77777777" w:rsidR="00D50628" w:rsidRDefault="00D50628" w:rsidP="00D50628"/>
    <w:p w14:paraId="6B7F69F7" w14:textId="47E750AE" w:rsidR="00D50628" w:rsidRDefault="00D50628" w:rsidP="00D50628">
      <w:pPr>
        <w:pStyle w:val="EntradandiceAuto"/>
      </w:pPr>
      <w:r>
        <w:t>Pleno. Auto 54/2025, de 27 de mayo de 2025. Acuerda no haber lugar al incidente de ejecución de la STC 55/2022, de 5 de abril, dictada en el recurso de amparo 946-2019, promovido por Caixabank, S.A., en proceso contencioso-administrativo.</w:t>
      </w:r>
      <w:r>
        <w:tab/>
      </w:r>
      <w:r>
        <w:tab/>
      </w:r>
      <w:r>
        <w:fldChar w:fldCharType="begin"/>
      </w:r>
      <w:r>
        <w:instrText xml:space="preserve"> PAGEREF AUTO_2025_54 \h </w:instrText>
      </w:r>
      <w:r>
        <w:fldChar w:fldCharType="separate"/>
      </w:r>
      <w:r>
        <w:rPr>
          <w:noProof/>
        </w:rPr>
        <w:t>2748</w:t>
      </w:r>
      <w:r>
        <w:fldChar w:fldCharType="end"/>
      </w:r>
    </w:p>
    <w:p w14:paraId="05DCA6DC" w14:textId="77777777" w:rsidR="00D50628" w:rsidRDefault="00D50628" w:rsidP="00D50628"/>
    <w:p w14:paraId="5973EBBF" w14:textId="2B1CE13D" w:rsidR="00D50628" w:rsidRDefault="00D50628" w:rsidP="00D50628">
      <w:pPr>
        <w:pStyle w:val="EntradandiceAuto"/>
      </w:pPr>
      <w:r>
        <w:t>Pleno. Auto 55/2025, de 27 de mayo de 2025. Inadmite a trámite la cuestión de inconstitucionalidad 3595-2023, planteada por la Sala de lo Social del Tribunal Superior de Justicia del País Vasco en relación con el artículo 177 del texto refundido de la Ley general de la Seguridad Social, aprobado por el Real Decreto Legislativo 8/2015, de 30 de octubre, en conexión con los apartados 4, 5 y 6 del artículo 48 del texto refundido de la Ley del estatuto de los trabajadores, aprobado por el Real Decreto Legislativo 2/2015, de 23 de octubre.</w:t>
      </w:r>
      <w:r>
        <w:tab/>
      </w:r>
      <w:r>
        <w:tab/>
      </w:r>
      <w:r>
        <w:fldChar w:fldCharType="begin"/>
      </w:r>
      <w:r>
        <w:instrText xml:space="preserve"> PAGEREF AUTO_2025_55 \h </w:instrText>
      </w:r>
      <w:r>
        <w:fldChar w:fldCharType="separate"/>
      </w:r>
      <w:r>
        <w:rPr>
          <w:noProof/>
        </w:rPr>
        <w:t>2757</w:t>
      </w:r>
      <w:r>
        <w:fldChar w:fldCharType="end"/>
      </w:r>
    </w:p>
    <w:p w14:paraId="0EF5A353" w14:textId="77777777" w:rsidR="00D50628" w:rsidRDefault="00D50628" w:rsidP="00D50628"/>
    <w:p w14:paraId="26E44651" w14:textId="3FE6C7EA" w:rsidR="00D50628" w:rsidRDefault="00D50628" w:rsidP="00D50628">
      <w:pPr>
        <w:pStyle w:val="EntradandiceAuto"/>
      </w:pPr>
      <w:r>
        <w:t>Pleno. Auto 56/2025, de 27 de mayo de 2025. Inadmite las recusaciones formuladas en el recurso de amparo 5439-2023 y otros tres más, promovidos por don Carles Puigdemont i Casamajó, don Antoni Comín i Oliveres y doña Clara Ponsatí i Obiols en causa penal.</w:t>
      </w:r>
      <w:r>
        <w:tab/>
      </w:r>
      <w:r>
        <w:tab/>
      </w:r>
      <w:r>
        <w:fldChar w:fldCharType="begin"/>
      </w:r>
      <w:r>
        <w:instrText xml:space="preserve"> PAGEREF AUTO_2025_56 \h </w:instrText>
      </w:r>
      <w:r>
        <w:fldChar w:fldCharType="separate"/>
      </w:r>
      <w:r>
        <w:rPr>
          <w:noProof/>
        </w:rPr>
        <w:t>2765</w:t>
      </w:r>
      <w:r>
        <w:fldChar w:fldCharType="end"/>
      </w:r>
    </w:p>
    <w:p w14:paraId="5468E60E" w14:textId="77777777" w:rsidR="00D50628" w:rsidRDefault="00D50628" w:rsidP="00D50628"/>
    <w:p w14:paraId="7D475101" w14:textId="1E74573F" w:rsidR="00D50628" w:rsidRDefault="00D50628" w:rsidP="00D50628">
      <w:pPr>
        <w:pStyle w:val="EntradandiceAuto"/>
      </w:pPr>
      <w:r>
        <w:t>Pleno. Auto 57/2025, de 27 de mayo de 2025. Inadmite las recusaciones formuladas en los recursos de amparo 5440-2023 y 6248-2022, promovidos por don Carles Puigdemont i Casamajó, don Antoni Comín i Oliveres y doña Clara Ponsatí i Obiols en causa penal.</w:t>
      </w:r>
      <w:r>
        <w:tab/>
      </w:r>
      <w:r>
        <w:tab/>
      </w:r>
      <w:r>
        <w:fldChar w:fldCharType="begin"/>
      </w:r>
      <w:r>
        <w:instrText xml:space="preserve"> PAGEREF AUTO_2025_57 \h </w:instrText>
      </w:r>
      <w:r>
        <w:fldChar w:fldCharType="separate"/>
      </w:r>
      <w:r>
        <w:rPr>
          <w:noProof/>
        </w:rPr>
        <w:t>2769</w:t>
      </w:r>
      <w:r>
        <w:fldChar w:fldCharType="end"/>
      </w:r>
    </w:p>
    <w:p w14:paraId="02B68FA0" w14:textId="77777777" w:rsidR="00D50628" w:rsidRDefault="00D50628" w:rsidP="00D50628"/>
    <w:p w14:paraId="506ED3DA" w14:textId="7683713E" w:rsidR="00D50628" w:rsidRDefault="00D50628" w:rsidP="00D50628">
      <w:pPr>
        <w:pStyle w:val="EntradandiceAuto"/>
      </w:pPr>
      <w:r>
        <w:t>Pleno. Auto 58/2025, de 27 de mayo de 2025. Inadmite la solicitud de ejecución de la STC 67/2025, de 18 de marzo, dictada en el recurso de amparo 6298-2024, promovido por doña Noelia Ortego Muzás.</w:t>
      </w:r>
      <w:r>
        <w:tab/>
      </w:r>
      <w:r>
        <w:tab/>
      </w:r>
      <w:r>
        <w:fldChar w:fldCharType="begin"/>
      </w:r>
      <w:r>
        <w:instrText xml:space="preserve"> PAGEREF AUTO_2025_58 \h </w:instrText>
      </w:r>
      <w:r>
        <w:fldChar w:fldCharType="separate"/>
      </w:r>
      <w:r>
        <w:rPr>
          <w:noProof/>
        </w:rPr>
        <w:t>2772</w:t>
      </w:r>
      <w:r>
        <w:fldChar w:fldCharType="end"/>
      </w:r>
    </w:p>
    <w:p w14:paraId="2198BEB2" w14:textId="77777777" w:rsidR="00D50628" w:rsidRDefault="00D50628" w:rsidP="00D50628"/>
    <w:p w14:paraId="173C7DB4" w14:textId="24B97088" w:rsidR="00D50628" w:rsidRDefault="00D50628" w:rsidP="00D50628">
      <w:pPr>
        <w:pStyle w:val="EntradandiceAuto"/>
      </w:pPr>
      <w:r>
        <w:t>Pleno. Auto 59/2025, de 27 de mayo de 2025. Inadmite a trámite la cuestión de inconstitucionalidad 9512-2024, planteada por la Sala de lo Contencioso-Administrativo del Tribunal Supremo en relación con el artículo 2.2 b) de la Ley de la Asamblea de Madrid 5/2018, de 17 de octubre, para la protección, reconocimiento y memoria de las víctimas del terrorismo.</w:t>
      </w:r>
      <w:r>
        <w:tab/>
      </w:r>
      <w:r>
        <w:tab/>
      </w:r>
      <w:r>
        <w:fldChar w:fldCharType="begin"/>
      </w:r>
      <w:r>
        <w:instrText xml:space="preserve"> PAGEREF AUTO_2025_59 \h </w:instrText>
      </w:r>
      <w:r>
        <w:fldChar w:fldCharType="separate"/>
      </w:r>
      <w:r>
        <w:rPr>
          <w:noProof/>
        </w:rPr>
        <w:t>2775</w:t>
      </w:r>
      <w:r>
        <w:fldChar w:fldCharType="end"/>
      </w:r>
    </w:p>
    <w:p w14:paraId="1FE3B207" w14:textId="77777777" w:rsidR="00D50628" w:rsidRDefault="00D50628" w:rsidP="00D50628"/>
    <w:p w14:paraId="599BE2F2" w14:textId="2DE0F35A" w:rsidR="00D50628" w:rsidRDefault="00D50628" w:rsidP="00D50628">
      <w:pPr>
        <w:pStyle w:val="EntradandiceAuto"/>
      </w:pPr>
      <w:r>
        <w:t>Sala Primera. Auto 60/2025, de 9 de junio de 2025. Inadmite la solicitud de ejecución de la STC 4/2025, de 13 de enero, dictada en el recurso de amparo 4631-2023, promovido por doña Inés González Lobo.</w:t>
      </w:r>
      <w:r>
        <w:tab/>
      </w:r>
      <w:r>
        <w:tab/>
      </w:r>
      <w:r>
        <w:fldChar w:fldCharType="begin"/>
      </w:r>
      <w:r>
        <w:instrText xml:space="preserve"> PAGEREF AUTO_2025_60 \h </w:instrText>
      </w:r>
      <w:r>
        <w:fldChar w:fldCharType="separate"/>
      </w:r>
      <w:r>
        <w:rPr>
          <w:noProof/>
        </w:rPr>
        <w:t>2796</w:t>
      </w:r>
      <w:r>
        <w:fldChar w:fldCharType="end"/>
      </w:r>
    </w:p>
    <w:p w14:paraId="4F33FB42" w14:textId="77777777" w:rsidR="00D50628" w:rsidRDefault="00D50628" w:rsidP="00D50628"/>
    <w:p w14:paraId="71A05A8B" w14:textId="3EBC4DA3" w:rsidR="00D50628" w:rsidRDefault="00D50628" w:rsidP="00D50628">
      <w:pPr>
        <w:pStyle w:val="EntradandiceAuto"/>
      </w:pPr>
      <w:r>
        <w:t>Sala Primera. Auto 61/2025, de 9 de junio de 2025. Inadmite la solicitud de ejecución de la STC 10/2025, de 13 de enero, dictada en el recurso de amparo 2306-2024, promovido por doña Neus Albert Ivars.</w:t>
      </w:r>
      <w:r>
        <w:tab/>
      </w:r>
      <w:r>
        <w:tab/>
      </w:r>
      <w:r>
        <w:fldChar w:fldCharType="begin"/>
      </w:r>
      <w:r>
        <w:instrText xml:space="preserve"> PAGEREF AUTO_2025_61 \h </w:instrText>
      </w:r>
      <w:r>
        <w:fldChar w:fldCharType="separate"/>
      </w:r>
      <w:r>
        <w:rPr>
          <w:noProof/>
        </w:rPr>
        <w:t>2799</w:t>
      </w:r>
      <w:r>
        <w:fldChar w:fldCharType="end"/>
      </w:r>
    </w:p>
    <w:p w14:paraId="5A7BDFFA" w14:textId="77777777" w:rsidR="00D50628" w:rsidRDefault="00D50628" w:rsidP="00D50628"/>
    <w:p w14:paraId="00803208" w14:textId="3911B38D" w:rsidR="00D50628" w:rsidRDefault="00D50628" w:rsidP="00D50628">
      <w:pPr>
        <w:pStyle w:val="EntradandiceAuto"/>
      </w:pPr>
      <w:r>
        <w:t>Sala Primera. Auto 62/2025, de 9 de junio de 2025. Inadmite la solicitud de ejecución de la STC 80/2025, de 24 de marzo, dictada en el recurso de amparo 6644-2024, promovido por doña María del Castellar García García.</w:t>
      </w:r>
      <w:r>
        <w:tab/>
      </w:r>
      <w:r>
        <w:tab/>
      </w:r>
      <w:r>
        <w:fldChar w:fldCharType="begin"/>
      </w:r>
      <w:r>
        <w:instrText xml:space="preserve"> PAGEREF AUTO_2025_62 \h </w:instrText>
      </w:r>
      <w:r>
        <w:fldChar w:fldCharType="separate"/>
      </w:r>
      <w:r>
        <w:rPr>
          <w:noProof/>
        </w:rPr>
        <w:t>2802</w:t>
      </w:r>
      <w:r>
        <w:fldChar w:fldCharType="end"/>
      </w:r>
    </w:p>
    <w:p w14:paraId="43D5F3DE" w14:textId="77777777" w:rsidR="00D50628" w:rsidRDefault="00D50628" w:rsidP="00D50628"/>
    <w:p w14:paraId="14EFC082" w14:textId="70651E15" w:rsidR="00D50628" w:rsidRDefault="00D50628" w:rsidP="00D50628">
      <w:pPr>
        <w:pStyle w:val="EntradandiceAuto"/>
      </w:pPr>
      <w:r>
        <w:t>Pleno. Auto 63/2025, de 10 de junio de 2025. Inadmite la solicitud de ejecución de la STC 65/2025, de 18 de marzo, dictada en el recurso de amparo 7035-2023, promovido por doña Eva Rosado Fuentes.</w:t>
      </w:r>
      <w:r>
        <w:tab/>
      </w:r>
      <w:r>
        <w:tab/>
      </w:r>
      <w:r>
        <w:fldChar w:fldCharType="begin"/>
      </w:r>
      <w:r>
        <w:instrText xml:space="preserve"> PAGEREF AUTO_2025_63 \h </w:instrText>
      </w:r>
      <w:r>
        <w:fldChar w:fldCharType="separate"/>
      </w:r>
      <w:r>
        <w:rPr>
          <w:noProof/>
        </w:rPr>
        <w:t>2805</w:t>
      </w:r>
      <w:r>
        <w:fldChar w:fldCharType="end"/>
      </w:r>
    </w:p>
    <w:p w14:paraId="53415C64" w14:textId="77777777" w:rsidR="00D50628" w:rsidRDefault="00D50628" w:rsidP="00D50628"/>
    <w:p w14:paraId="17ACA466" w14:textId="1D5AC468" w:rsidR="00D50628" w:rsidRDefault="00D50628" w:rsidP="00D50628">
      <w:pPr>
        <w:pStyle w:val="EntradandiceAuto"/>
      </w:pPr>
      <w:r>
        <w:t>Pleno. Auto 64/2025, de 10 de junio de 2025. Mantiene la suspensión acordada en el recurso de inconstitucionalidad 1014-2025, interpuesto por el presidente del Gobierno en relación con la Ley 1/2024, de 8 de noviembre, de derogación de la Ley 8/2021, de 17 de noviembre, de memoria histórica y democrática de Cantabria. Votos particulares.</w:t>
      </w:r>
      <w:r>
        <w:tab/>
      </w:r>
      <w:r>
        <w:tab/>
      </w:r>
      <w:r>
        <w:fldChar w:fldCharType="begin"/>
      </w:r>
      <w:r>
        <w:instrText xml:space="preserve"> PAGEREF AUTO_2025_64 \h </w:instrText>
      </w:r>
      <w:r>
        <w:fldChar w:fldCharType="separate"/>
      </w:r>
      <w:r>
        <w:rPr>
          <w:noProof/>
        </w:rPr>
        <w:t>2808</w:t>
      </w:r>
      <w:r>
        <w:fldChar w:fldCharType="end"/>
      </w:r>
    </w:p>
    <w:p w14:paraId="37FFA36E" w14:textId="77777777" w:rsidR="00D50628" w:rsidRDefault="00D50628" w:rsidP="00D50628"/>
    <w:p w14:paraId="766C8669" w14:textId="72701B8B" w:rsidR="00D50628" w:rsidRDefault="00D50628" w:rsidP="00D50628">
      <w:pPr>
        <w:pStyle w:val="EntradandiceAuto"/>
      </w:pPr>
      <w:r>
        <w:t>Pleno. Auto 65/2025, de 11 de junio de 2025. Desestima diversas solicitudes planteadas en el recurso de inconstitucionalidad 6436-2024, promovido por más de cincuenta diputados y cincuenta senadores del Grupo Parlamentario Popular en relación con la Ley Orgánica 1/2024, de 10 de junio, de amnistía para la normalización institucional, política y social en Cataluña. Voto particular.</w:t>
      </w:r>
      <w:r>
        <w:tab/>
      </w:r>
      <w:r>
        <w:tab/>
      </w:r>
      <w:r>
        <w:fldChar w:fldCharType="begin"/>
      </w:r>
      <w:r>
        <w:instrText xml:space="preserve"> PAGEREF AUTO_2025_65 \h </w:instrText>
      </w:r>
      <w:r>
        <w:fldChar w:fldCharType="separate"/>
      </w:r>
      <w:r>
        <w:rPr>
          <w:noProof/>
        </w:rPr>
        <w:t>2828</w:t>
      </w:r>
      <w:r>
        <w:fldChar w:fldCharType="end"/>
      </w:r>
    </w:p>
    <w:p w14:paraId="69DBE78F" w14:textId="77777777" w:rsidR="00D50628" w:rsidRDefault="00D50628" w:rsidP="00D50628"/>
    <w:p w14:paraId="4F18BB53" w14:textId="3B79C2D5" w:rsidR="00D50628" w:rsidRDefault="00D50628" w:rsidP="00D50628">
      <w:pPr>
        <w:pStyle w:val="EntradandiceAuto"/>
      </w:pPr>
      <w:r>
        <w:t>Sección Segunda. Auto 66/2025, de 16 de junio de 2025. Acepta una abstención en el recurso de amparo 2816-2025, promovido por la asociación HazteOir.org, en causa penal.</w:t>
      </w:r>
      <w:r>
        <w:tab/>
      </w:r>
      <w:r>
        <w:tab/>
      </w:r>
      <w:r>
        <w:fldChar w:fldCharType="begin"/>
      </w:r>
      <w:r>
        <w:instrText xml:space="preserve"> PAGEREF AUTO_2025_66 \h </w:instrText>
      </w:r>
      <w:r>
        <w:fldChar w:fldCharType="separate"/>
      </w:r>
      <w:r>
        <w:rPr>
          <w:noProof/>
        </w:rPr>
        <w:t>2857</w:t>
      </w:r>
      <w:r>
        <w:fldChar w:fldCharType="end"/>
      </w:r>
    </w:p>
    <w:p w14:paraId="0DE2B2BC" w14:textId="77777777" w:rsidR="00D50628" w:rsidRDefault="00D50628" w:rsidP="00D50628"/>
    <w:p w14:paraId="1A7747BA" w14:textId="722E12C0" w:rsidR="00D50628" w:rsidRDefault="00D50628" w:rsidP="00D50628">
      <w:pPr>
        <w:pStyle w:val="EntradandiceAuto"/>
      </w:pPr>
      <w:r>
        <w:t>Sección Segunda. Auto 67/2025, de 24 de junio de 2025. Estima el recurso de súplica interpuesto por el Ministerio Fiscal en relación con la providencia de inadmisión, e inadmite a trámite el recurso de amparo 253-2024, promovido por doña María Lucía de las Virtudes Moya Platero, doña María José y doña Lucía Muñoz Moya en pleito civil.</w:t>
      </w:r>
      <w:r>
        <w:tab/>
      </w:r>
      <w:r>
        <w:tab/>
      </w:r>
      <w:r>
        <w:fldChar w:fldCharType="begin"/>
      </w:r>
      <w:r>
        <w:instrText xml:space="preserve"> PAGEREF AUTO_2025_67 \h </w:instrText>
      </w:r>
      <w:r>
        <w:fldChar w:fldCharType="separate"/>
      </w:r>
      <w:r>
        <w:rPr>
          <w:noProof/>
        </w:rPr>
        <w:t>2858</w:t>
      </w:r>
      <w:r>
        <w:fldChar w:fldCharType="end"/>
      </w:r>
    </w:p>
    <w:p w14:paraId="23706390" w14:textId="29A85771" w:rsidR="00D50628" w:rsidRDefault="00D50628">
      <w:pPr>
        <w:spacing w:after="160" w:line="278" w:lineRule="auto"/>
      </w:pPr>
      <w:r>
        <w:br w:type="page"/>
      </w:r>
    </w:p>
    <w:p w14:paraId="3A2F5282" w14:textId="77777777" w:rsidR="00D50628" w:rsidRDefault="00D50628" w:rsidP="00A8138F"/>
    <w:p w14:paraId="4B8F4041" w14:textId="77777777" w:rsidR="00D50628" w:rsidRDefault="00D50628" w:rsidP="00A8138F"/>
    <w:p w14:paraId="08B2BBAA" w14:textId="77777777" w:rsidR="00A8138F" w:rsidRDefault="00A8138F" w:rsidP="00A8138F"/>
    <w:p w14:paraId="7205A472" w14:textId="77777777" w:rsidR="00A8138F" w:rsidRDefault="00A8138F" w:rsidP="00A8138F"/>
    <w:p w14:paraId="77EE6CF0" w14:textId="77777777" w:rsidR="00A8138F" w:rsidRDefault="00A8138F" w:rsidP="00A8138F"/>
    <w:p w14:paraId="017917F1" w14:textId="77777777" w:rsidR="00A8138F" w:rsidRDefault="00A8138F" w:rsidP="00A8138F"/>
    <w:p w14:paraId="734AE9CA" w14:textId="77777777" w:rsidR="00A8138F" w:rsidRDefault="00A8138F" w:rsidP="00A8138F"/>
    <w:p w14:paraId="0EE595AD" w14:textId="77777777" w:rsidR="00A8138F" w:rsidRDefault="00A8138F" w:rsidP="00A8138F"/>
    <w:p w14:paraId="08EA460B" w14:textId="77777777" w:rsidR="00A8138F" w:rsidRDefault="00A8138F" w:rsidP="00A8138F">
      <w:pPr>
        <w:pStyle w:val="CabeceraApartado"/>
      </w:pPr>
      <w:r>
        <w:t>SENTENCIAS</w:t>
      </w:r>
    </w:p>
    <w:p w14:paraId="3D9ADC1E" w14:textId="78FB30CE" w:rsidR="00A8138F" w:rsidRDefault="00A8138F">
      <w:pPr>
        <w:spacing w:after="160" w:line="278" w:lineRule="auto"/>
        <w:rPr>
          <w:rFonts w:ascii="Times New Roman" w:eastAsia="Times New Roman" w:hAnsi="Times New Roman" w:cs="Times New Roman"/>
          <w:sz w:val="48"/>
          <w:szCs w:val="24"/>
          <w:lang w:eastAsia="es-ES"/>
        </w:rPr>
      </w:pPr>
      <w:r>
        <w:br w:type="page"/>
      </w:r>
    </w:p>
    <w:p w14:paraId="1744E55C" w14:textId="77777777" w:rsidR="00A8138F" w:rsidRDefault="00A8138F" w:rsidP="00A8138F">
      <w:pPr>
        <w:pStyle w:val="TtuloResolucin"/>
      </w:pPr>
      <w:bookmarkStart w:id="3" w:name="SENTENCIA_2025_1"/>
      <w:r>
        <w:lastRenderedPageBreak/>
        <w:t>SENTENCIA 1/2025, de 13 de enero de 2025</w:t>
      </w:r>
    </w:p>
    <w:bookmarkEnd w:id="3"/>
    <w:p w14:paraId="75F9765C" w14:textId="77777777" w:rsidR="00A8138F" w:rsidRDefault="00A8138F" w:rsidP="00A8138F">
      <w:pPr>
        <w:pStyle w:val="TtuloResolucin"/>
      </w:pPr>
      <w:r>
        <w:t>Sala Segunda</w:t>
      </w:r>
    </w:p>
    <w:p w14:paraId="77144508" w14:textId="77777777" w:rsidR="00A8138F" w:rsidRDefault="00A8138F" w:rsidP="00A8138F">
      <w:pPr>
        <w:pStyle w:val="TtuloBOE"/>
      </w:pPr>
      <w:r>
        <w:t>(BOE núm. 41, de 17 de febrero de 2025)</w:t>
      </w:r>
    </w:p>
    <w:p w14:paraId="1E46D6F2" w14:textId="77777777" w:rsidR="00A8138F" w:rsidRDefault="00A8138F" w:rsidP="00A8138F">
      <w:pPr>
        <w:pStyle w:val="TextoNormalCentrado"/>
      </w:pPr>
      <w:r>
        <w:t>ECLI:ES:TC:2025:1</w:t>
      </w:r>
    </w:p>
    <w:p w14:paraId="7B78B9FC" w14:textId="6183F47A" w:rsidR="00A8138F" w:rsidRDefault="00A8138F" w:rsidP="00A8138F">
      <w:pPr>
        <w:pStyle w:val="TextoNormalCentrado"/>
      </w:pPr>
    </w:p>
    <w:p w14:paraId="001C648C" w14:textId="77777777" w:rsidR="00A8138F" w:rsidRDefault="00A8138F" w:rsidP="00A8138F">
      <w:pPr>
        <w:pStyle w:val="SntesisDescriptiva"/>
      </w:pPr>
      <w:r>
        <w:t>Recurso de amparo 1436-2022. Promovido por doña Ana Martínez Vidal en relación con las sentencias dictadas por la Sala de lo Civil del Tribunal Supremo y la Audiencia Provincial de Murcia que desestimaron su demanda de protección de derechos fundamentales.</w:t>
      </w:r>
    </w:p>
    <w:p w14:paraId="503307D3" w14:textId="7332D4D8" w:rsidR="00A8138F" w:rsidRDefault="00A8138F" w:rsidP="00A8138F">
      <w:pPr>
        <w:pStyle w:val="SntesisDescriptiva"/>
      </w:pPr>
    </w:p>
    <w:p w14:paraId="4DE0C370" w14:textId="77777777" w:rsidR="00A8138F" w:rsidRDefault="00A8138F" w:rsidP="00A8138F">
      <w:pPr>
        <w:pStyle w:val="SntesisAnaltica"/>
      </w:pPr>
      <w:r>
        <w:t>Supuesta vulneración del derecho al honor: improcedencia de ponderar el derecho fundamental invocado con el derecho a la producción y creación literaria por referencia a un texto respecto del cual no puede concluirse que la recurrente haya servido de modelo de su protagonista.</w:t>
      </w:r>
    </w:p>
    <w:p w14:paraId="16910084" w14:textId="106355D7" w:rsidR="00A8138F" w:rsidRDefault="00A8138F" w:rsidP="00A8138F">
      <w:pPr>
        <w:pStyle w:val="SntesisAnaltica"/>
      </w:pPr>
    </w:p>
    <w:p w14:paraId="53A4A479" w14:textId="271253BC" w:rsidR="00A8138F" w:rsidRDefault="00A8138F" w:rsidP="00A8138F">
      <w:pPr>
        <w:pStyle w:val="Extracto"/>
      </w:pPr>
      <w:r>
        <w:t>1.</w:t>
      </w:r>
      <w:r>
        <w:tab/>
        <w:t>De conformidad con el art. 20.4 CE, el derecho al honor constituye un límite a las libertades de expresión que garantiza el art. 20.1. a) y d) CE. El derecho al honor es un derecho fundamental protegido por el art. 18.1 CE que, derivado de la dignidad de la persona, confiere a su titular el derecho a no ser escarnecido o humillado ante uno mismo o ante los demás (STC 83/2023). [FJ 4].</w:t>
      </w:r>
    </w:p>
    <w:p w14:paraId="30D53168" w14:textId="77777777" w:rsidR="00A8138F" w:rsidRDefault="00A8138F" w:rsidP="00A8138F">
      <w:pPr>
        <w:pStyle w:val="Extracto"/>
      </w:pPr>
    </w:p>
    <w:p w14:paraId="767E08B6" w14:textId="25A70ABE" w:rsidR="00A8138F" w:rsidRDefault="00A8138F" w:rsidP="00A8138F">
      <w:pPr>
        <w:pStyle w:val="Extracto"/>
      </w:pPr>
      <w:r>
        <w:t>2.</w:t>
      </w:r>
      <w:r>
        <w:tab/>
        <w:t xml:space="preserve">Entre los factores que han de tenerse en cuenta para valorar la identificabilidad de una persona real en una obra literaria se encuentran los relativos a rasgos de la personalidad, aspecto, actividad profesional, relaciones personales o sociales o al comportamiento del personaje que supuestamente representa al titular del derecho al honor; a la identificabilidad de otros personajes conectados con el que supuestamente alude a la persona del ofendido; o a la ubicación geográfica y temporal de los hechos narrados, así como a la historia que se cuenta. Sólo cuando los datos y referencias de la obra literaria permitan identificar de modo notorio y evidente a una persona real cabrá entender afectado, </w:t>
      </w:r>
      <w:r w:rsidRPr="00A8138F">
        <w:rPr>
          <w:i/>
        </w:rPr>
        <w:t>prima facie</w:t>
      </w:r>
      <w:r>
        <w:t>, su derecho al honor [FJ 4].</w:t>
      </w:r>
    </w:p>
    <w:p w14:paraId="6F7EC6A6" w14:textId="77777777" w:rsidR="00A8138F" w:rsidRDefault="00A8138F" w:rsidP="00A8138F">
      <w:pPr>
        <w:pStyle w:val="Extracto"/>
      </w:pPr>
    </w:p>
    <w:p w14:paraId="7469DC81" w14:textId="1C3D396D" w:rsidR="00A8138F" w:rsidRDefault="00A8138F" w:rsidP="00A8138F">
      <w:pPr>
        <w:pStyle w:val="Extracto"/>
      </w:pPr>
      <w:r>
        <w:t>3.</w:t>
      </w:r>
      <w:r>
        <w:tab/>
        <w:t>El derecho al honor protege frente al desmerecimiento en la consideración ajena (STC 52/2002), pues lo perseguido por el art. 18.1 CE es la indemnidad de la imagen que de una persona puedan tener los demás (STC 180/1999) [FJ 5].</w:t>
      </w:r>
    </w:p>
    <w:p w14:paraId="2B99DF3F" w14:textId="77777777" w:rsidR="00A8138F" w:rsidRDefault="00A8138F" w:rsidP="00A8138F">
      <w:pPr>
        <w:pStyle w:val="Extracto"/>
      </w:pPr>
    </w:p>
    <w:p w14:paraId="755AC524" w14:textId="77777777" w:rsidR="00A8138F" w:rsidRDefault="00A8138F" w:rsidP="00A8138F">
      <w:pPr>
        <w:pStyle w:val="Extracto"/>
      </w:pPr>
    </w:p>
    <w:p w14:paraId="0A39EF7D"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AA2E622" w14:textId="11B28F8E" w:rsidR="00A8138F" w:rsidRDefault="00A8138F" w:rsidP="00A8138F">
      <w:pPr>
        <w:pStyle w:val="TextoNormal"/>
      </w:pPr>
    </w:p>
    <w:p w14:paraId="4DC2963E" w14:textId="77777777" w:rsidR="00A8138F" w:rsidRDefault="00A8138F" w:rsidP="00A8138F">
      <w:pPr>
        <w:pStyle w:val="TextoNormalCentrado"/>
        <w:keepNext/>
      </w:pPr>
      <w:r>
        <w:t>EN NOMBRE DEL REY</w:t>
      </w:r>
    </w:p>
    <w:p w14:paraId="105815C6" w14:textId="1E48110B" w:rsidR="00A8138F" w:rsidRDefault="00A8138F" w:rsidP="00A8138F">
      <w:pPr>
        <w:pStyle w:val="TextoNormalCentrado"/>
        <w:keepNext/>
      </w:pPr>
    </w:p>
    <w:p w14:paraId="5F0488E6" w14:textId="77777777" w:rsidR="00A8138F" w:rsidRDefault="00A8138F" w:rsidP="00A8138F">
      <w:pPr>
        <w:pStyle w:val="TextoNormalCentrado"/>
        <w:keepNext/>
      </w:pPr>
    </w:p>
    <w:p w14:paraId="121C2CF0" w14:textId="77777777" w:rsidR="00A8138F" w:rsidRDefault="00A8138F" w:rsidP="00A8138F">
      <w:pPr>
        <w:pStyle w:val="TextoNormal"/>
      </w:pPr>
      <w:r>
        <w:t>la siguiente</w:t>
      </w:r>
    </w:p>
    <w:p w14:paraId="51D1E655" w14:textId="7C7E3DF7" w:rsidR="00A8138F" w:rsidRDefault="00A8138F" w:rsidP="00A8138F">
      <w:pPr>
        <w:pStyle w:val="TextoNormal"/>
      </w:pPr>
    </w:p>
    <w:p w14:paraId="69A6DE7D" w14:textId="77777777" w:rsidR="00A8138F" w:rsidRDefault="00A8138F" w:rsidP="00A8138F">
      <w:pPr>
        <w:pStyle w:val="TextoNormalCentrado"/>
        <w:keepNext/>
      </w:pPr>
      <w:r>
        <w:lastRenderedPageBreak/>
        <w:t>SENTENCIA</w:t>
      </w:r>
    </w:p>
    <w:p w14:paraId="40157706" w14:textId="1283E9A3" w:rsidR="00A8138F" w:rsidRDefault="00A8138F" w:rsidP="00A8138F">
      <w:pPr>
        <w:pStyle w:val="TextoNormalCentrado"/>
        <w:keepNext/>
      </w:pPr>
    </w:p>
    <w:p w14:paraId="1BE0985F" w14:textId="77777777" w:rsidR="00A8138F" w:rsidRDefault="00A8138F" w:rsidP="00A8138F">
      <w:pPr>
        <w:pStyle w:val="TextoNormal"/>
      </w:pPr>
      <w:r>
        <w:t>En el recurso de amparo núm. 1436-2022, promovido por doña Ana Martínez Vidal, representada por la procuradora de los tribunales doña María del Carmen García Vivancos y asistida por la abogada doña Victoria Salas González, contra la sentencia de 31 de enero de 2022 de la Sala de lo Civil del Tribunal Supremo, que desestimó el recurso de casación planteado contra la sentencia de 20 de julio de 2020 de la Sección Primera de la Audiencia Provincial de Murcia, que, a su vez, había estimado el recurso de apelación núm. 219-2020, interpuesto por los ahora codemandados contra la sentencia de 17 de diciembre de 2019 del Juzgado de Primera Instancia núm. 2 de Murcia, que estimó la demanda de la recurrente. Han intervenido el Ministerio Fiscal y don Miguel Ángel Gálvez Giménez, procurador de los tribunales y de la mercantil La Opinión de Murcia, S.A., editora del diario “La Opinión de Murcia”, y de don Ángel Montiel Martínez, redactor de dicho diario. Ha sido ponente el magistrado don Ramón Sáez Valcárcel.</w:t>
      </w:r>
    </w:p>
    <w:p w14:paraId="339C626A" w14:textId="47016731" w:rsidR="00A8138F" w:rsidRDefault="00A8138F" w:rsidP="00A8138F">
      <w:pPr>
        <w:pStyle w:val="TextoNormal"/>
      </w:pPr>
    </w:p>
    <w:p w14:paraId="0DA28B34" w14:textId="77777777" w:rsidR="00A8138F" w:rsidRDefault="00A8138F" w:rsidP="00A8138F">
      <w:pPr>
        <w:pStyle w:val="TextoNormalNegritaCentrado"/>
        <w:keepNext/>
      </w:pPr>
      <w:r>
        <w:t>I. Antecedentes</w:t>
      </w:r>
    </w:p>
    <w:p w14:paraId="0E6A388F" w14:textId="1C088351" w:rsidR="00A8138F" w:rsidRDefault="00A8138F" w:rsidP="00A8138F">
      <w:pPr>
        <w:pStyle w:val="TextoNormalNegritaCentrado"/>
        <w:keepNext/>
      </w:pPr>
    </w:p>
    <w:p w14:paraId="1430EA91" w14:textId="23B5AFF1" w:rsidR="00A8138F" w:rsidRDefault="00A8138F" w:rsidP="00A8138F">
      <w:pPr>
        <w:pStyle w:val="TextoNormal"/>
      </w:pPr>
      <w:r w:rsidRPr="00A8138F">
        <w:rPr>
          <w:rStyle w:val="NumeroAFNegritaCaracter"/>
        </w:rPr>
        <w:t>1</w:t>
      </w:r>
      <w:r>
        <w:t>. Por escrito registrado en este tribunal el 3 de marzo de 2022, doña María del Carmen García Vivancos, procuradora de los tribunales y de doña Ana Martínez Vidal, formuló demanda de amparo contra las sentencias de apelación y de casación señaladas en el encabezamiento.</w:t>
      </w:r>
    </w:p>
    <w:p w14:paraId="78B7660E" w14:textId="77777777" w:rsidR="00A8138F" w:rsidRDefault="00A8138F" w:rsidP="00A8138F">
      <w:pPr>
        <w:pStyle w:val="TextoNormal"/>
      </w:pPr>
    </w:p>
    <w:p w14:paraId="4691AEBB" w14:textId="77777777" w:rsidR="00A8138F" w:rsidRDefault="00A8138F" w:rsidP="00A8138F">
      <w:pPr>
        <w:pStyle w:val="TextoNormal"/>
      </w:pPr>
      <w:r w:rsidRPr="00A8138F">
        <w:rPr>
          <w:rStyle w:val="NumeroAFNegritaCaracter"/>
        </w:rPr>
        <w:t>2</w:t>
      </w:r>
      <w:r>
        <w:t>. Los hechos relevantes para el presente recurso de amparo son los siguientes:</w:t>
      </w:r>
    </w:p>
    <w:p w14:paraId="52CCB4E7" w14:textId="77777777" w:rsidR="00A8138F" w:rsidRDefault="00A8138F" w:rsidP="00A8138F">
      <w:pPr>
        <w:pStyle w:val="TextoNormal"/>
      </w:pPr>
    </w:p>
    <w:p w14:paraId="3040D806" w14:textId="77777777" w:rsidR="00A8138F" w:rsidRDefault="00A8138F" w:rsidP="00A8138F">
      <w:pPr>
        <w:pStyle w:val="TextoNormal"/>
      </w:pPr>
      <w:r>
        <w:t xml:space="preserve">a) El día 7 de agosto de 2017, en la sección de ocio (Cuentos de verano) del diario “La Opinión de Murcia” (edición digital), se publicó un artículo de don Ángel Montiel, jefe de opinión política del periódico, titulado </w:t>
      </w:r>
      <w:r w:rsidRPr="00A8138F">
        <w:rPr>
          <w:i/>
        </w:rPr>
        <w:t>El efecto látigo</w:t>
      </w:r>
      <w:r>
        <w:t>. El contenido del artículo era el siguiente:</w:t>
      </w:r>
    </w:p>
    <w:p w14:paraId="603F13E8" w14:textId="77777777" w:rsidR="00A8138F" w:rsidRDefault="00A8138F" w:rsidP="00A8138F">
      <w:pPr>
        <w:pStyle w:val="TextoNormal"/>
      </w:pPr>
    </w:p>
    <w:p w14:paraId="56841CC0" w14:textId="77777777" w:rsidR="00A8138F" w:rsidRDefault="00A8138F" w:rsidP="00A8138F">
      <w:pPr>
        <w:pStyle w:val="TextoNormal"/>
      </w:pPr>
      <w:r>
        <w:t>“El Audi 8 del concejal de basurillas se detiene en el lugar de la cita, ante el semáforo frente a la rotondona, que está en verde. A pesar de que la concejala de obrillas apenas tarda diez segundos en acceder al coche, se escuchan los claxon de la zaga, impacientes.</w:t>
      </w:r>
    </w:p>
    <w:p w14:paraId="002B5E13" w14:textId="77777777" w:rsidR="00A8138F" w:rsidRDefault="00A8138F" w:rsidP="00A8138F">
      <w:pPr>
        <w:pStyle w:val="TextoNormal"/>
      </w:pPr>
    </w:p>
    <w:p w14:paraId="0954C9E3" w14:textId="77777777" w:rsidR="00A8138F" w:rsidRDefault="00A8138F" w:rsidP="00A8138F">
      <w:pPr>
        <w:pStyle w:val="TextoNormal"/>
      </w:pPr>
      <w:r>
        <w:t>- Joder, y a estos cabrones les llaman ciudadanos —farfulla el conductor.</w:t>
      </w:r>
    </w:p>
    <w:p w14:paraId="4CC8E10B" w14:textId="77777777" w:rsidR="00A8138F" w:rsidRDefault="00A8138F" w:rsidP="00A8138F">
      <w:pPr>
        <w:pStyle w:val="TextoNormal"/>
      </w:pPr>
    </w:p>
    <w:p w14:paraId="06EEAADA" w14:textId="77777777" w:rsidR="00A8138F" w:rsidRDefault="00A8138F" w:rsidP="00A8138F">
      <w:pPr>
        <w:pStyle w:val="TextoNormal"/>
      </w:pPr>
      <w:r>
        <w:t>- No te quejes, que son los que te han votado. Además, me pitan a mí.</w:t>
      </w:r>
    </w:p>
    <w:p w14:paraId="306184D5" w14:textId="77777777" w:rsidR="00A8138F" w:rsidRDefault="00A8138F" w:rsidP="00A8138F">
      <w:pPr>
        <w:pStyle w:val="TextoNormal"/>
      </w:pPr>
    </w:p>
    <w:p w14:paraId="13D28B17" w14:textId="77777777" w:rsidR="00A8138F" w:rsidRDefault="00A8138F" w:rsidP="00A8138F">
      <w:pPr>
        <w:pStyle w:val="TextoNormal"/>
      </w:pPr>
      <w:r>
        <w:t>Ya tomada la rotondona, el concejal echa una mirada de reojillo a su compañera y observa que, al sentarse tan deprisa, la minifalda se le ha quedado al ras y sus institucionales muslos relucen como la seda natural a la luz de la mañana.</w:t>
      </w:r>
    </w:p>
    <w:p w14:paraId="0F13E769" w14:textId="77777777" w:rsidR="00A8138F" w:rsidRDefault="00A8138F" w:rsidP="00A8138F">
      <w:pPr>
        <w:pStyle w:val="TextoNormal"/>
      </w:pPr>
    </w:p>
    <w:p w14:paraId="1D297869" w14:textId="77777777" w:rsidR="00A8138F" w:rsidRDefault="00A8138F" w:rsidP="00A8138F">
      <w:pPr>
        <w:pStyle w:val="TextoNormal"/>
      </w:pPr>
      <w:r>
        <w:t>- ¡La virgen del pompillo ! ¡Qué ruedas tienes, hija de puta!</w:t>
      </w:r>
    </w:p>
    <w:p w14:paraId="3C10E2C8" w14:textId="77777777" w:rsidR="00A8138F" w:rsidRDefault="00A8138F" w:rsidP="00A8138F">
      <w:pPr>
        <w:pStyle w:val="TextoNormal"/>
      </w:pPr>
    </w:p>
    <w:p w14:paraId="135A3149" w14:textId="77777777" w:rsidR="00A8138F" w:rsidRDefault="00A8138F" w:rsidP="00A8138F">
      <w:pPr>
        <w:pStyle w:val="TextoNormal"/>
      </w:pPr>
      <w:r>
        <w:t>- Siempre he pensado que había en ti un poeta y tus piropos lo confirman.</w:t>
      </w:r>
    </w:p>
    <w:p w14:paraId="4D4BE90C" w14:textId="77777777" w:rsidR="00A8138F" w:rsidRDefault="00A8138F" w:rsidP="00A8138F">
      <w:pPr>
        <w:pStyle w:val="TextoNormal"/>
      </w:pPr>
    </w:p>
    <w:p w14:paraId="3075A082" w14:textId="77777777" w:rsidR="00A8138F" w:rsidRDefault="00A8138F" w:rsidP="00A8138F">
      <w:pPr>
        <w:pStyle w:val="TextoNormal"/>
      </w:pPr>
      <w:r>
        <w:t>- ¿No es así como te gusto, elemental y rudo?</w:t>
      </w:r>
    </w:p>
    <w:p w14:paraId="04C76BC9" w14:textId="77777777" w:rsidR="00A8138F" w:rsidRDefault="00A8138F" w:rsidP="00A8138F">
      <w:pPr>
        <w:pStyle w:val="TextoNormal"/>
      </w:pPr>
    </w:p>
    <w:p w14:paraId="722497AD" w14:textId="77777777" w:rsidR="00A8138F" w:rsidRDefault="00A8138F" w:rsidP="00A8138F">
      <w:pPr>
        <w:pStyle w:val="TextoNormal"/>
      </w:pPr>
      <w:r>
        <w:lastRenderedPageBreak/>
        <w:t>- Sí, pero eso es en el tálamo, estúpido. En la vida social hay que comportarse. Soy una señorita y me gustan las galanterías finas.</w:t>
      </w:r>
    </w:p>
    <w:p w14:paraId="06D9379D" w14:textId="77777777" w:rsidR="00A8138F" w:rsidRDefault="00A8138F" w:rsidP="00A8138F">
      <w:pPr>
        <w:pStyle w:val="TextoNormal"/>
      </w:pPr>
    </w:p>
    <w:p w14:paraId="1FC1D79E" w14:textId="77777777" w:rsidR="00A8138F" w:rsidRDefault="00A8138F" w:rsidP="00A8138F">
      <w:pPr>
        <w:pStyle w:val="TextoNormal"/>
      </w:pPr>
      <w:r>
        <w:t>- Si quieres galanterías, abre la guantera y verás.</w:t>
      </w:r>
    </w:p>
    <w:p w14:paraId="550A4A16" w14:textId="77777777" w:rsidR="00A8138F" w:rsidRDefault="00A8138F" w:rsidP="00A8138F">
      <w:pPr>
        <w:pStyle w:val="TextoNormal"/>
      </w:pPr>
    </w:p>
    <w:p w14:paraId="681075A1" w14:textId="77777777" w:rsidR="00A8138F" w:rsidRDefault="00A8138F" w:rsidP="00A8138F">
      <w:pPr>
        <w:pStyle w:val="TextoNormal"/>
      </w:pPr>
      <w:r>
        <w:t>- ¿Me has comprado aquellos zapatos de aguja que te dije?</w:t>
      </w:r>
    </w:p>
    <w:p w14:paraId="1C7AE579" w14:textId="77777777" w:rsidR="00A8138F" w:rsidRDefault="00A8138F" w:rsidP="00A8138F">
      <w:pPr>
        <w:pStyle w:val="TextoNormal"/>
      </w:pPr>
    </w:p>
    <w:p w14:paraId="7D0D3004" w14:textId="77777777" w:rsidR="00A8138F" w:rsidRDefault="00A8138F" w:rsidP="00A8138F">
      <w:pPr>
        <w:pStyle w:val="TextoNormal"/>
      </w:pPr>
      <w:r>
        <w:t>- Tú abre la guantera.</w:t>
      </w:r>
    </w:p>
    <w:p w14:paraId="2FEA9FF4" w14:textId="77777777" w:rsidR="00A8138F" w:rsidRDefault="00A8138F" w:rsidP="00A8138F">
      <w:pPr>
        <w:pStyle w:val="TextoNormal"/>
      </w:pPr>
    </w:p>
    <w:p w14:paraId="3B359872" w14:textId="77777777" w:rsidR="00A8138F" w:rsidRDefault="00A8138F" w:rsidP="00A8138F">
      <w:pPr>
        <w:pStyle w:val="TextoNormal"/>
      </w:pPr>
      <w:r>
        <w:t>La concejala obedece y extrae de la guantera una bolsa de Mercadona en cuyo interior, envueltos en plástico transparente y sujetados por gomas hay tres lindos paquetes de desigual tamaño con billetes de 500 €.</w:t>
      </w:r>
    </w:p>
    <w:p w14:paraId="5D271580" w14:textId="77777777" w:rsidR="00A8138F" w:rsidRDefault="00A8138F" w:rsidP="00A8138F">
      <w:pPr>
        <w:pStyle w:val="TextoNormal"/>
      </w:pPr>
    </w:p>
    <w:p w14:paraId="60315F5F" w14:textId="77777777" w:rsidR="00A8138F" w:rsidRDefault="00A8138F" w:rsidP="00A8138F">
      <w:pPr>
        <w:pStyle w:val="TextoNormal"/>
      </w:pPr>
      <w:r>
        <w:t>- ¿Qué coño es esto?</w:t>
      </w:r>
    </w:p>
    <w:p w14:paraId="5577B3B8" w14:textId="77777777" w:rsidR="00A8138F" w:rsidRDefault="00A8138F" w:rsidP="00A8138F">
      <w:pPr>
        <w:pStyle w:val="TextoNormal"/>
      </w:pPr>
    </w:p>
    <w:p w14:paraId="7FF272E4" w14:textId="77777777" w:rsidR="00A8138F" w:rsidRDefault="00A8138F" w:rsidP="00A8138F">
      <w:pPr>
        <w:pStyle w:val="TextoNormal"/>
      </w:pPr>
      <w:r>
        <w:t>- La cesta de la compra de anoche.</w:t>
      </w:r>
    </w:p>
    <w:p w14:paraId="7A6084F2" w14:textId="77777777" w:rsidR="00A8138F" w:rsidRDefault="00A8138F" w:rsidP="00A8138F">
      <w:pPr>
        <w:pStyle w:val="TextoNormal"/>
      </w:pPr>
    </w:p>
    <w:p w14:paraId="203EFD94" w14:textId="77777777" w:rsidR="00A8138F" w:rsidRDefault="00A8138F" w:rsidP="00A8138F">
      <w:pPr>
        <w:pStyle w:val="TextoNormal"/>
      </w:pPr>
      <w:r>
        <w:t>- Aquí hay por lo menos 100 000.</w:t>
      </w:r>
    </w:p>
    <w:p w14:paraId="3E53656C" w14:textId="77777777" w:rsidR="00A8138F" w:rsidRDefault="00A8138F" w:rsidP="00A8138F">
      <w:pPr>
        <w:pStyle w:val="TextoNormal"/>
      </w:pPr>
    </w:p>
    <w:p w14:paraId="571BB04E" w14:textId="77777777" w:rsidR="00A8138F" w:rsidRDefault="00A8138F" w:rsidP="00A8138F">
      <w:pPr>
        <w:pStyle w:val="TextoNormal"/>
      </w:pPr>
      <w:r>
        <w:t>- Qué tonta. 200 000.</w:t>
      </w:r>
    </w:p>
    <w:p w14:paraId="3C46AC1C" w14:textId="77777777" w:rsidR="00A8138F" w:rsidRDefault="00A8138F" w:rsidP="00A8138F">
      <w:pPr>
        <w:pStyle w:val="TextoNormal"/>
      </w:pPr>
    </w:p>
    <w:p w14:paraId="48DC56AA" w14:textId="77777777" w:rsidR="00A8138F" w:rsidRDefault="00A8138F" w:rsidP="00A8138F">
      <w:pPr>
        <w:pStyle w:val="TextoNormal"/>
      </w:pPr>
      <w:r>
        <w:t>- ¿Y esto de dónde lo sacas?</w:t>
      </w:r>
    </w:p>
    <w:p w14:paraId="31B479B4" w14:textId="77777777" w:rsidR="00A8138F" w:rsidRDefault="00A8138F" w:rsidP="00A8138F">
      <w:pPr>
        <w:pStyle w:val="TextoNormal"/>
      </w:pPr>
    </w:p>
    <w:p w14:paraId="53AD3D3B" w14:textId="77777777" w:rsidR="00A8138F" w:rsidRDefault="00A8138F" w:rsidP="00A8138F">
      <w:pPr>
        <w:pStyle w:val="TextoNormal"/>
      </w:pPr>
      <w:r>
        <w:t>- Unos pringaos que pretendían que yo les firmara de gratis. ‘Esto va a ser muy bueno para el municipio’, decían. ‘Crearemos puestos de trabajo y contribuiremos a activar la economía’. Hablaban como si los políticos fueran ellos, y se lo tuve que explicar: ¿Os habéis preguntado en algún momento cómo se financia un partido? les dije. Pusieron cara de tontos y tuve que recurrir al Plan B.</w:t>
      </w:r>
    </w:p>
    <w:p w14:paraId="492C5FFE" w14:textId="77777777" w:rsidR="00A8138F" w:rsidRDefault="00A8138F" w:rsidP="00A8138F">
      <w:pPr>
        <w:pStyle w:val="TextoNormal"/>
      </w:pPr>
    </w:p>
    <w:p w14:paraId="251462E1" w14:textId="77777777" w:rsidR="00A8138F" w:rsidRDefault="00A8138F" w:rsidP="00A8138F">
      <w:pPr>
        <w:pStyle w:val="TextoNormal"/>
      </w:pPr>
      <w:r>
        <w:t>- ¿Plan B?</w:t>
      </w:r>
    </w:p>
    <w:p w14:paraId="26F257DC" w14:textId="77777777" w:rsidR="00A8138F" w:rsidRDefault="00A8138F" w:rsidP="00A8138F">
      <w:pPr>
        <w:pStyle w:val="TextoNormal"/>
      </w:pPr>
    </w:p>
    <w:p w14:paraId="534CE6B1" w14:textId="77777777" w:rsidR="00A8138F" w:rsidRDefault="00A8138F" w:rsidP="00A8138F">
      <w:pPr>
        <w:pStyle w:val="TextoNormal"/>
      </w:pPr>
      <w:r>
        <w:t>- Sí, los cité para otro día y fui con mi amigo el expolicía. Cuando nos sentamos a la mesa, mi amigo dijo: ‘Perdonad, pero voy a ponerme cómodo’. Y puso la pistola sobre la mesa, como quien deja el móvil.</w:t>
      </w:r>
    </w:p>
    <w:p w14:paraId="1878451F" w14:textId="77777777" w:rsidR="00A8138F" w:rsidRDefault="00A8138F" w:rsidP="00A8138F">
      <w:pPr>
        <w:pStyle w:val="TextoNormal"/>
      </w:pPr>
    </w:p>
    <w:p w14:paraId="03A27E45" w14:textId="77777777" w:rsidR="00A8138F" w:rsidRDefault="00A8138F" w:rsidP="00A8138F">
      <w:pPr>
        <w:pStyle w:val="TextoNormal"/>
      </w:pPr>
      <w:r>
        <w:t>- ¿Una pistola?</w:t>
      </w:r>
    </w:p>
    <w:p w14:paraId="32D647D0" w14:textId="77777777" w:rsidR="00A8138F" w:rsidRDefault="00A8138F" w:rsidP="00A8138F">
      <w:pPr>
        <w:pStyle w:val="TextoNormal"/>
      </w:pPr>
    </w:p>
    <w:p w14:paraId="0E7E1C4E" w14:textId="77777777" w:rsidR="00A8138F" w:rsidRDefault="00A8138F" w:rsidP="00A8138F">
      <w:pPr>
        <w:pStyle w:val="TextoNormal"/>
      </w:pPr>
      <w:r>
        <w:t>- Tranquilízate. Estaba descargada; no soy un mafioso. Los tipos aflojaron de inmediato y enseguida preguntaron cuánto y cuándo. Los cité a las afueras, en el club Estás que Estoy Ponte que Voy, en la carretera vieja de Alicante, a las tres de la mañana. Trajeron la bolsita y encima me invitaron a las copas. A las putas, no, porque me reservé para ti, pichón.</w:t>
      </w:r>
    </w:p>
    <w:p w14:paraId="74E22845" w14:textId="77777777" w:rsidR="00A8138F" w:rsidRDefault="00A8138F" w:rsidP="00A8138F">
      <w:pPr>
        <w:pStyle w:val="TextoNormal"/>
      </w:pPr>
    </w:p>
    <w:p w14:paraId="7D675977" w14:textId="77777777" w:rsidR="00A8138F" w:rsidRDefault="00A8138F" w:rsidP="00A8138F">
      <w:pPr>
        <w:pStyle w:val="TextoNormal"/>
      </w:pPr>
      <w:r>
        <w:t>- Supongo que es un cumplido. ¿Adónde vamos?</w:t>
      </w:r>
    </w:p>
    <w:p w14:paraId="30A96E97" w14:textId="77777777" w:rsidR="00A8138F" w:rsidRDefault="00A8138F" w:rsidP="00A8138F">
      <w:pPr>
        <w:pStyle w:val="TextoNormal"/>
      </w:pPr>
    </w:p>
    <w:p w14:paraId="166770BB" w14:textId="77777777" w:rsidR="00A8138F" w:rsidRDefault="00A8138F" w:rsidP="00A8138F">
      <w:pPr>
        <w:pStyle w:val="TextoNormal"/>
      </w:pPr>
      <w:r>
        <w:t>- Hoy vamos al Vanel.</w:t>
      </w:r>
    </w:p>
    <w:p w14:paraId="0B7DD937" w14:textId="77777777" w:rsidR="00A8138F" w:rsidRDefault="00A8138F" w:rsidP="00A8138F">
      <w:pPr>
        <w:pStyle w:val="TextoNormal"/>
      </w:pPr>
    </w:p>
    <w:p w14:paraId="61E65ACC" w14:textId="77777777" w:rsidR="00A8138F" w:rsidRDefault="00A8138F" w:rsidP="00A8138F">
      <w:pPr>
        <w:pStyle w:val="TextoNormal"/>
      </w:pPr>
      <w:r>
        <w:t>- ¿Estás loco? Ahí nos conocen.</w:t>
      </w:r>
    </w:p>
    <w:p w14:paraId="02CE266F" w14:textId="77777777" w:rsidR="00A8138F" w:rsidRDefault="00A8138F" w:rsidP="00A8138F">
      <w:pPr>
        <w:pStyle w:val="TextoNormal"/>
      </w:pPr>
    </w:p>
    <w:p w14:paraId="0D449934" w14:textId="77777777" w:rsidR="00A8138F" w:rsidRDefault="00A8138F" w:rsidP="00A8138F">
      <w:pPr>
        <w:pStyle w:val="TextoNormal"/>
      </w:pPr>
      <w:r>
        <w:lastRenderedPageBreak/>
        <w:t>- Tranquila. Entramos desde el garaje. Lo tengo todo previsto.</w:t>
      </w:r>
    </w:p>
    <w:p w14:paraId="36564930" w14:textId="77777777" w:rsidR="00A8138F" w:rsidRDefault="00A8138F" w:rsidP="00A8138F">
      <w:pPr>
        <w:pStyle w:val="TextoNormal"/>
      </w:pPr>
    </w:p>
    <w:p w14:paraId="7559C0D1" w14:textId="77777777" w:rsidR="00A8138F" w:rsidRDefault="00A8138F" w:rsidP="00A8138F">
      <w:pPr>
        <w:pStyle w:val="TextoNormal"/>
      </w:pPr>
      <w:r>
        <w:t>Mientras suben por el ascensor, la concejala no puede disimular cierto desasosiego.</w:t>
      </w:r>
    </w:p>
    <w:p w14:paraId="30C3B973" w14:textId="77777777" w:rsidR="00A8138F" w:rsidRDefault="00A8138F" w:rsidP="00A8138F">
      <w:pPr>
        <w:pStyle w:val="TextoNormal"/>
      </w:pPr>
    </w:p>
    <w:p w14:paraId="3971E39A" w14:textId="77777777" w:rsidR="00A8138F" w:rsidRDefault="00A8138F" w:rsidP="00A8138F">
      <w:pPr>
        <w:pStyle w:val="TextoNormal"/>
      </w:pPr>
      <w:r>
        <w:t>- ¿Todo eso es para el partido?</w:t>
      </w:r>
    </w:p>
    <w:p w14:paraId="56827A8C" w14:textId="77777777" w:rsidR="00A8138F" w:rsidRDefault="00A8138F" w:rsidP="00A8138F">
      <w:pPr>
        <w:pStyle w:val="TextoNormal"/>
      </w:pPr>
    </w:p>
    <w:p w14:paraId="433F4942" w14:textId="77777777" w:rsidR="00A8138F" w:rsidRDefault="00A8138F" w:rsidP="00A8138F">
      <w:pPr>
        <w:pStyle w:val="TextoNormal"/>
      </w:pPr>
      <w:r>
        <w:t>- ¿Estás loca? Para el partido son 10 000, y van que chutan. Con eso me cubro las espaldas. El resto, en teoría, es a medias para mí y para el Cama.</w:t>
      </w:r>
    </w:p>
    <w:p w14:paraId="4FE9B3E6" w14:textId="77777777" w:rsidR="00A8138F" w:rsidRDefault="00A8138F" w:rsidP="00A8138F">
      <w:pPr>
        <w:pStyle w:val="TextoNormal"/>
      </w:pPr>
    </w:p>
    <w:p w14:paraId="559530C2" w14:textId="77777777" w:rsidR="00A8138F" w:rsidRDefault="00A8138F" w:rsidP="00A8138F">
      <w:pPr>
        <w:pStyle w:val="TextoNormal"/>
      </w:pPr>
      <w:r>
        <w:t>- ¿El Cama?</w:t>
      </w:r>
    </w:p>
    <w:p w14:paraId="5C9D36AD" w14:textId="77777777" w:rsidR="00A8138F" w:rsidRDefault="00A8138F" w:rsidP="00A8138F">
      <w:pPr>
        <w:pStyle w:val="TextoNormal"/>
      </w:pPr>
    </w:p>
    <w:p w14:paraId="504413B0" w14:textId="77777777" w:rsidR="00A8138F" w:rsidRDefault="00A8138F" w:rsidP="00A8138F">
      <w:pPr>
        <w:pStyle w:val="TextoNormal"/>
      </w:pPr>
      <w:r>
        <w:t>- El Camarada.</w:t>
      </w:r>
    </w:p>
    <w:p w14:paraId="425CA14E" w14:textId="77777777" w:rsidR="00A8138F" w:rsidRDefault="00A8138F" w:rsidP="00A8138F">
      <w:pPr>
        <w:pStyle w:val="TextoNormal"/>
      </w:pPr>
    </w:p>
    <w:p w14:paraId="35364DD4" w14:textId="77777777" w:rsidR="00A8138F" w:rsidRDefault="00A8138F" w:rsidP="00A8138F">
      <w:pPr>
        <w:pStyle w:val="TextoNormal"/>
      </w:pPr>
      <w:r>
        <w:t>- Y dices ¿en teoría?</w:t>
      </w:r>
    </w:p>
    <w:p w14:paraId="6B807C29" w14:textId="77777777" w:rsidR="00A8138F" w:rsidRDefault="00A8138F" w:rsidP="00A8138F">
      <w:pPr>
        <w:pStyle w:val="TextoNormal"/>
      </w:pPr>
    </w:p>
    <w:p w14:paraId="2B4E978D" w14:textId="77777777" w:rsidR="00A8138F" w:rsidRDefault="00A8138F" w:rsidP="00A8138F">
      <w:pPr>
        <w:pStyle w:val="TextoNormal"/>
      </w:pPr>
      <w:r>
        <w:t>- ¿Qué te crees, que no me cobro el seguro de riesgos? Si alguien canta, el que se la carga soy yo, que doy la cara, y hasta el Cama haría como si se escandalizara. Diría: ‘Nunca creí que defraudara tanto mi confianza’ y cosas así. Aunque él no sabe que lo tengo pillado. Por mi seguridad. Tú, al ver los paquetes, has dicho 100 000. Eso es lo que le diré yo al Cama, y le daré 45 000, la mitad menos la propina al partido.</w:t>
      </w:r>
    </w:p>
    <w:p w14:paraId="2FA56353" w14:textId="77777777" w:rsidR="00A8138F" w:rsidRDefault="00A8138F" w:rsidP="00A8138F">
      <w:pPr>
        <w:pStyle w:val="TextoNormal"/>
      </w:pPr>
    </w:p>
    <w:p w14:paraId="11306FB9" w14:textId="77777777" w:rsidR="00A8138F" w:rsidRDefault="00A8138F" w:rsidP="00A8138F">
      <w:pPr>
        <w:pStyle w:val="TextoNormal"/>
      </w:pPr>
      <w:r>
        <w:t>No sufro problemas de conciencia; él tiene otros ingresos por otros lados.</w:t>
      </w:r>
    </w:p>
    <w:p w14:paraId="09ECB8DB" w14:textId="77777777" w:rsidR="00A8138F" w:rsidRDefault="00A8138F" w:rsidP="00A8138F">
      <w:pPr>
        <w:pStyle w:val="TextoNormal"/>
      </w:pPr>
    </w:p>
    <w:p w14:paraId="33453950" w14:textId="77777777" w:rsidR="00A8138F" w:rsidRDefault="00A8138F" w:rsidP="00A8138F">
      <w:pPr>
        <w:pStyle w:val="TextoNormal"/>
      </w:pPr>
      <w:r>
        <w:t>- No puedo creerme que el Cama. O sea, que lo que se dice por ahí es verdad.</w:t>
      </w:r>
    </w:p>
    <w:p w14:paraId="049363AD" w14:textId="77777777" w:rsidR="00A8138F" w:rsidRDefault="00A8138F" w:rsidP="00A8138F">
      <w:pPr>
        <w:pStyle w:val="TextoNormal"/>
      </w:pPr>
    </w:p>
    <w:p w14:paraId="75CE750D" w14:textId="77777777" w:rsidR="00A8138F" w:rsidRDefault="00A8138F" w:rsidP="00A8138F">
      <w:pPr>
        <w:pStyle w:val="TextoNormal"/>
      </w:pPr>
      <w:r>
        <w:t>- La gente habla por hablar, y luego va y vota. Mientras voten, que hablen. Entran a la habitación, y ella se dirige de inmediato al cuarto de baño. Hablan a través de la puerta cerrada.</w:t>
      </w:r>
    </w:p>
    <w:p w14:paraId="5DCD0F54" w14:textId="77777777" w:rsidR="00A8138F" w:rsidRDefault="00A8138F" w:rsidP="00A8138F">
      <w:pPr>
        <w:pStyle w:val="TextoNormal"/>
      </w:pPr>
    </w:p>
    <w:p w14:paraId="3BDA0E98" w14:textId="77777777" w:rsidR="00A8138F" w:rsidRDefault="00A8138F" w:rsidP="00A8138F">
      <w:pPr>
        <w:pStyle w:val="TextoNormal"/>
      </w:pPr>
      <w:r>
        <w:t>- ¿Y tú para qué quieres tanta pasta? ¿Cómo justificas tu nivel de vida? ¿No ves que te van a pillar?</w:t>
      </w:r>
    </w:p>
    <w:p w14:paraId="2AF92893" w14:textId="77777777" w:rsidR="00A8138F" w:rsidRDefault="00A8138F" w:rsidP="00A8138F">
      <w:pPr>
        <w:pStyle w:val="TextoNormal"/>
      </w:pPr>
    </w:p>
    <w:p w14:paraId="0C85B5C5" w14:textId="77777777" w:rsidR="00A8138F" w:rsidRDefault="00A8138F" w:rsidP="00A8138F">
      <w:pPr>
        <w:pStyle w:val="TextoNormal"/>
      </w:pPr>
      <w:r>
        <w:t>- Tía, una vez que te metes en gastos es un no parar. ¿Tú sabes lo que me han costado los árboles llorones de mi chalet y el tratamiento por las plagas? ¿Y la cascada artificial del porche?</w:t>
      </w:r>
    </w:p>
    <w:p w14:paraId="5354F6BB" w14:textId="77777777" w:rsidR="00A8138F" w:rsidRDefault="00A8138F" w:rsidP="00A8138F">
      <w:pPr>
        <w:pStyle w:val="TextoNormal"/>
      </w:pPr>
    </w:p>
    <w:p w14:paraId="3A821CCD" w14:textId="77777777" w:rsidR="00A8138F" w:rsidRDefault="00A8138F" w:rsidP="00A8138F">
      <w:pPr>
        <w:pStyle w:val="TextoNormal"/>
      </w:pPr>
      <w:r>
        <w:t>¿Y los enanos del jardín?</w:t>
      </w:r>
    </w:p>
    <w:p w14:paraId="52AC68E9" w14:textId="77777777" w:rsidR="00A8138F" w:rsidRDefault="00A8138F" w:rsidP="00A8138F">
      <w:pPr>
        <w:pStyle w:val="TextoNormal"/>
      </w:pPr>
    </w:p>
    <w:p w14:paraId="5B419388" w14:textId="77777777" w:rsidR="00A8138F" w:rsidRDefault="00A8138F" w:rsidP="00A8138F">
      <w:pPr>
        <w:pStyle w:val="TextoNormal"/>
      </w:pPr>
      <w:r>
        <w:t>- Los enanos son de escayola; eso cuesta poco dinero.</w:t>
      </w:r>
    </w:p>
    <w:p w14:paraId="21A91FAA" w14:textId="77777777" w:rsidR="00A8138F" w:rsidRDefault="00A8138F" w:rsidP="00A8138F">
      <w:pPr>
        <w:pStyle w:val="TextoNormal"/>
      </w:pPr>
    </w:p>
    <w:p w14:paraId="1095D9B5" w14:textId="77777777" w:rsidR="00A8138F" w:rsidRDefault="00A8138F" w:rsidP="00A8138F">
      <w:pPr>
        <w:pStyle w:val="TextoNormal"/>
      </w:pPr>
      <w:r>
        <w:t>- Los míos son de bronce bañado en imitación de oro ¿o es que te crees que soy un cateto?</w:t>
      </w:r>
    </w:p>
    <w:p w14:paraId="735387B8" w14:textId="77777777" w:rsidR="00A8138F" w:rsidRDefault="00A8138F" w:rsidP="00A8138F">
      <w:pPr>
        <w:pStyle w:val="TextoNormal"/>
      </w:pPr>
    </w:p>
    <w:p w14:paraId="0BDA79D2" w14:textId="77777777" w:rsidR="00A8138F" w:rsidRDefault="00A8138F" w:rsidP="00A8138F">
      <w:pPr>
        <w:pStyle w:val="TextoNormal"/>
      </w:pPr>
      <w:r>
        <w:t>- Te digo una cosa: yo no tendría que saber nada de todo esto.</w:t>
      </w:r>
    </w:p>
    <w:p w14:paraId="677BE7A2" w14:textId="77777777" w:rsidR="00A8138F" w:rsidRDefault="00A8138F" w:rsidP="00A8138F">
      <w:pPr>
        <w:pStyle w:val="TextoNormal"/>
      </w:pPr>
    </w:p>
    <w:p w14:paraId="125BDBBF" w14:textId="77777777" w:rsidR="00A8138F" w:rsidRDefault="00A8138F" w:rsidP="00A8138F">
      <w:pPr>
        <w:pStyle w:val="TextoNormal"/>
      </w:pPr>
      <w:r>
        <w:t>- Llevas razón, pero a alguien se lo tengo que contar. No se puede ser rico y estar callado. Es como si fueras pobre.</w:t>
      </w:r>
    </w:p>
    <w:p w14:paraId="39F43AED" w14:textId="77777777" w:rsidR="00A8138F" w:rsidRDefault="00A8138F" w:rsidP="00A8138F">
      <w:pPr>
        <w:pStyle w:val="TextoNormal"/>
      </w:pPr>
    </w:p>
    <w:p w14:paraId="3CC87705" w14:textId="77777777" w:rsidR="00A8138F" w:rsidRDefault="00A8138F" w:rsidP="00A8138F">
      <w:pPr>
        <w:pStyle w:val="TextoNormal"/>
      </w:pPr>
      <w:r>
        <w:t>- ¿Y dónde guardas la pasta?</w:t>
      </w:r>
    </w:p>
    <w:p w14:paraId="737220B4" w14:textId="77777777" w:rsidR="00A8138F" w:rsidRDefault="00A8138F" w:rsidP="00A8138F">
      <w:pPr>
        <w:pStyle w:val="TextoNormal"/>
      </w:pPr>
    </w:p>
    <w:p w14:paraId="320809FA" w14:textId="77777777" w:rsidR="00A8138F" w:rsidRDefault="00A8138F" w:rsidP="00A8138F">
      <w:pPr>
        <w:pStyle w:val="TextoNormal"/>
      </w:pPr>
      <w:r>
        <w:t>- En una falsilla de la bodega de mi chalé, en un sotanillo. Las paredes están forradas de billetes. Los tengo a la temperatura de los vinos.</w:t>
      </w:r>
    </w:p>
    <w:p w14:paraId="5E7891A6" w14:textId="77777777" w:rsidR="00A8138F" w:rsidRDefault="00A8138F" w:rsidP="00A8138F">
      <w:pPr>
        <w:pStyle w:val="TextoNormal"/>
      </w:pPr>
    </w:p>
    <w:p w14:paraId="71337B70" w14:textId="77777777" w:rsidR="00A8138F" w:rsidRDefault="00A8138F" w:rsidP="00A8138F">
      <w:pPr>
        <w:pStyle w:val="TextoNormal"/>
      </w:pPr>
      <w:r>
        <w:t>- ¿Sabes que esto ya lo sabía? Me lo dijo la concejala de asuntillos. Que se lo habías dicho tú mismo.</w:t>
      </w:r>
    </w:p>
    <w:p w14:paraId="05D1DB46" w14:textId="77777777" w:rsidR="00A8138F" w:rsidRDefault="00A8138F" w:rsidP="00A8138F">
      <w:pPr>
        <w:pStyle w:val="TextoNormal"/>
      </w:pPr>
    </w:p>
    <w:p w14:paraId="4824A4FB" w14:textId="77777777" w:rsidR="00A8138F" w:rsidRDefault="00A8138F" w:rsidP="00A8138F">
      <w:pPr>
        <w:pStyle w:val="TextoNormal"/>
      </w:pPr>
      <w:r>
        <w:t>- Soy un bocazas. Es que no me puedo contener.</w:t>
      </w:r>
    </w:p>
    <w:p w14:paraId="07C61847" w14:textId="77777777" w:rsidR="00A8138F" w:rsidRDefault="00A8138F" w:rsidP="00A8138F">
      <w:pPr>
        <w:pStyle w:val="TextoNormal"/>
      </w:pPr>
    </w:p>
    <w:p w14:paraId="6EFFB196" w14:textId="77777777" w:rsidR="00A8138F" w:rsidRDefault="00A8138F" w:rsidP="00A8138F">
      <w:pPr>
        <w:pStyle w:val="TextoNormal"/>
      </w:pPr>
      <w:r>
        <w:t>La concejala de obrillas sale del cuarto de baño. Viste botas negras de tacón alto, muy ajustadas a la pierna, con el cuero liso ligeramente por encima de las rodillas. Bajo ellas, unas medias a medio muslo sostenidas por un liguero alto. Y nada más. Sin embargo, el concejal solo tiene ojos para el látigo de siete colas que la concejala lleva en la mano.</w:t>
      </w:r>
    </w:p>
    <w:p w14:paraId="349060B1" w14:textId="77777777" w:rsidR="00A8138F" w:rsidRDefault="00A8138F" w:rsidP="00A8138F">
      <w:pPr>
        <w:pStyle w:val="TextoNormal"/>
      </w:pPr>
    </w:p>
    <w:p w14:paraId="4A043778" w14:textId="77777777" w:rsidR="00A8138F" w:rsidRDefault="00A8138F" w:rsidP="00A8138F">
      <w:pPr>
        <w:pStyle w:val="TextoNormal"/>
      </w:pPr>
      <w:r>
        <w:t>- ¿Hoy vamos de rollo duro, princesa?</w:t>
      </w:r>
    </w:p>
    <w:p w14:paraId="4CCD5901" w14:textId="77777777" w:rsidR="00A8138F" w:rsidRDefault="00A8138F" w:rsidP="00A8138F">
      <w:pPr>
        <w:pStyle w:val="TextoNormal"/>
      </w:pPr>
    </w:p>
    <w:p w14:paraId="2AEBA701" w14:textId="77777777" w:rsidR="00A8138F" w:rsidRDefault="00A8138F" w:rsidP="00A8138F">
      <w:pPr>
        <w:pStyle w:val="TextoNormal"/>
      </w:pPr>
      <w:r>
        <w:t>- Tú lo has dicho. Bájate los pantalones y pon el culo en pompa. Vas a pagar por todos tus pecados.</w:t>
      </w:r>
    </w:p>
    <w:p w14:paraId="222786B0" w14:textId="77777777" w:rsidR="00A8138F" w:rsidRDefault="00A8138F" w:rsidP="00A8138F">
      <w:pPr>
        <w:pStyle w:val="TextoNormal"/>
      </w:pPr>
    </w:p>
    <w:p w14:paraId="044BA66C" w14:textId="77777777" w:rsidR="00A8138F" w:rsidRDefault="00A8138F" w:rsidP="00A8138F">
      <w:pPr>
        <w:pStyle w:val="TextoNormal"/>
      </w:pPr>
      <w:r>
        <w:t>Las siete colas del látigo restallan a ritmo acompasado en el culo blanquecino, fofo y lampiño del concejal de basurillas, repartidos por igual en cada glúteo hasta completar la decena. El dulce castigo es respondido con suspiros y ayes de naturaleza indistinguible entre dolor y placer.</w:t>
      </w:r>
    </w:p>
    <w:p w14:paraId="502B730A" w14:textId="77777777" w:rsidR="00A8138F" w:rsidRDefault="00A8138F" w:rsidP="00A8138F">
      <w:pPr>
        <w:pStyle w:val="TextoNormal"/>
      </w:pPr>
    </w:p>
    <w:p w14:paraId="3F281C2E" w14:textId="77777777" w:rsidR="00A8138F" w:rsidRDefault="00A8138F" w:rsidP="00A8138F">
      <w:pPr>
        <w:pStyle w:val="TextoNormal"/>
      </w:pPr>
      <w:r>
        <w:t>- Ahora te toca a ti —concede todavía en tono autoritario la concejala de obrillas, aunque sugiriendo la dimisión de su papel de ama para convertirse en alfombra sumisa del todopoderoso jefe de las basurillas.</w:t>
      </w:r>
    </w:p>
    <w:p w14:paraId="78C85C94" w14:textId="77777777" w:rsidR="00A8138F" w:rsidRDefault="00A8138F" w:rsidP="00A8138F">
      <w:pPr>
        <w:pStyle w:val="TextoNormal"/>
      </w:pPr>
    </w:p>
    <w:p w14:paraId="749B51B5" w14:textId="77777777" w:rsidR="00A8138F" w:rsidRDefault="00A8138F" w:rsidP="00A8138F">
      <w:pPr>
        <w:pStyle w:val="TextoNormal"/>
      </w:pPr>
      <w:r>
        <w:t>Este, aun con su postrero enrojecido y lastimado, se muestra al instante capaz de cumplimiento, según denota la rápida viveza de su pijillo, y extrae de la bolsa de billetes depositada sobre la mesilla una pieza de 500 €. Ahora es la concejala la que se pone en pompa para ser atravesada por la vía más angosta de su hemisferio carnal, a sabiendas de que la dificultad natural que tal empeño acarrea con tan exigua herramienta será superada por la excitación que inevitablemente se producirá al situar el billete, a modo de telón, entre la punta del artefacto varonil y el ojillo. De una rápida y certera embestida, el billete desaparece en el interior de la concejala con arte de malabar. Pero la gloria de ejecución tan eficaz resulta contrariada por el efecto probablemente doloroso que se desprende del grito desgarrador de la concejala, y esto a pesar de que la resolución con que ambos han acordado las posturas y los actos derivados nos permitiría sospechar que la de obrillas ya tiene adquirida la condición de hucha.</w:t>
      </w:r>
    </w:p>
    <w:p w14:paraId="13B714FF" w14:textId="77777777" w:rsidR="00A8138F" w:rsidRDefault="00A8138F" w:rsidP="00A8138F">
      <w:pPr>
        <w:pStyle w:val="TextoNormal"/>
      </w:pPr>
    </w:p>
    <w:p w14:paraId="43D04320" w14:textId="77777777" w:rsidR="00A8138F" w:rsidRDefault="00A8138F" w:rsidP="00A8138F">
      <w:pPr>
        <w:pStyle w:val="TextoNormal"/>
      </w:pPr>
      <w:r>
        <w:t>El grito y otros ruidos consiguientes, tan poco contenidos como inequívocos, alertan al empleado de planta, quien se informa en recepción sobre el titular de la reserva y, enlazando ciertos rumores, concluye acerca de la compañía. Este señor empleado es militante del partido y, dada su posición en él, es vocal de una junta vecinal, dispone de línea directa con el Cama, y así no duda en llamarlo a través del móvil.</w:t>
      </w:r>
    </w:p>
    <w:p w14:paraId="0B6BB9A1" w14:textId="77777777" w:rsidR="00A8138F" w:rsidRDefault="00A8138F" w:rsidP="00A8138F">
      <w:pPr>
        <w:pStyle w:val="TextoNormal"/>
      </w:pPr>
    </w:p>
    <w:p w14:paraId="50058DA9" w14:textId="77777777" w:rsidR="00A8138F" w:rsidRDefault="00A8138F" w:rsidP="00A8138F">
      <w:pPr>
        <w:pStyle w:val="TextoNormal"/>
      </w:pPr>
      <w:r>
        <w:lastRenderedPageBreak/>
        <w:t>- ¿Cama? Tengo en una habitación al de basurillas y a la de obrillas. Son las doce de la mañana y están encamados y dando escándalo. ¿Te parece que es el ejemplo público que deben mostrar dos servidores de un partido de orden?</w:t>
      </w:r>
    </w:p>
    <w:p w14:paraId="465E37B5" w14:textId="77777777" w:rsidR="00A8138F" w:rsidRDefault="00A8138F" w:rsidP="00A8138F">
      <w:pPr>
        <w:pStyle w:val="TextoNormal"/>
      </w:pPr>
    </w:p>
    <w:p w14:paraId="3D05A39E" w14:textId="77777777" w:rsidR="00A8138F" w:rsidRDefault="00A8138F" w:rsidP="00A8138F">
      <w:pPr>
        <w:pStyle w:val="TextoNormal"/>
      </w:pPr>
      <w:r>
        <w:t>- Y hasta aquí se puede y debe leer”.</w:t>
      </w:r>
    </w:p>
    <w:p w14:paraId="12824356" w14:textId="77777777" w:rsidR="00A8138F" w:rsidRDefault="00A8138F" w:rsidP="00A8138F">
      <w:pPr>
        <w:pStyle w:val="TextoNormal"/>
      </w:pPr>
    </w:p>
    <w:p w14:paraId="252B5E19" w14:textId="77777777" w:rsidR="00A8138F" w:rsidRDefault="00A8138F" w:rsidP="00A8138F">
      <w:pPr>
        <w:pStyle w:val="TextoNormal"/>
      </w:pPr>
      <w:r>
        <w:t>b) Posteriormente, el texto fue publicado en la página web http://murciatransparente.net/murcia-una-comunidad-corrupta/, dentro de un artículo genérico titulad</w:t>
      </w:r>
      <w:r w:rsidRPr="00A8138F">
        <w:rPr>
          <w:i/>
        </w:rPr>
        <w:t>o ¿Por qué Murcia es una comunidad corrupt</w:t>
      </w:r>
      <w:r>
        <w:t>a?</w:t>
      </w:r>
    </w:p>
    <w:p w14:paraId="3B09831E" w14:textId="77777777" w:rsidR="00A8138F" w:rsidRDefault="00A8138F" w:rsidP="00A8138F">
      <w:pPr>
        <w:pStyle w:val="TextoNormal"/>
      </w:pPr>
    </w:p>
    <w:p w14:paraId="23D3B0B4" w14:textId="77777777" w:rsidR="00A8138F" w:rsidRDefault="00A8138F" w:rsidP="00A8138F">
      <w:pPr>
        <w:pStyle w:val="TextoNormal"/>
      </w:pPr>
      <w:r>
        <w:t>c) La recurrente entendió que el relato se refería a ella, que había sido concejala delegada de calidad urbana e infraestructuras en el Ayuntamiento de Murcia hasta dos años antes, entre 2011 y 2015. Por ello, interpuso demanda de protección de derechos fundamentales en la que solicitó la condena del diario “La Opinión de Murcia” y de don Ángel Montiel Martínez por intromisión en su derecho al honor y a la intimidad personal y familiar, así como la indemnización correspondiente, con publicación de la sentencia condenatoria en el mismo medio, por entender que las referencias y datos contenidos en el artículo permitían su individualización y divulgaban hechos inveraces que afectaban a su reputación y buen nombre.</w:t>
      </w:r>
    </w:p>
    <w:p w14:paraId="1B0EBB2A" w14:textId="77777777" w:rsidR="00A8138F" w:rsidRDefault="00A8138F" w:rsidP="00A8138F">
      <w:pPr>
        <w:pStyle w:val="TextoNormal"/>
      </w:pPr>
    </w:p>
    <w:p w14:paraId="3AA5F060" w14:textId="77777777" w:rsidR="00A8138F" w:rsidRDefault="00A8138F" w:rsidP="00A8138F">
      <w:pPr>
        <w:pStyle w:val="TextoNormal"/>
      </w:pPr>
      <w:r>
        <w:t xml:space="preserve">d) El Juzgado de Primera Instancia núm. 2 de Murcia dictó sentencia, de 17 de diciembre de 2019, por la que estimó la demanda, declarando la existencia de intromisión ilegítima en el derecho al honor y a la intimidad personal y familiar de la recurrente, condenando a los demandados solidariamente al pago de una indemnización de 8000 € y a la publicación de la sentencia. Dicha sentencia consideraba el relato ofensivo y afirmaba, para lo que ahora interesa, que: “la persona de Ana Martínez Vidal quedó identificada en el relato bajo el título </w:t>
      </w:r>
      <w:r w:rsidRPr="00A8138F">
        <w:rPr>
          <w:i/>
        </w:rPr>
        <w:t>‘El efecto látigo’</w:t>
      </w:r>
      <w:r>
        <w:t xml:space="preserve"> del que es autor el demandado como la prueba acredita, añadiendo como recoge la sentencia del Tribunal Supremo de 27 de enero de 2017 con cita de la de 31 de mayo de 2010, que ‘la identificabilidad no se mide en relación con la recognoscibilidad por un círculo mayor o menor de personas, bastando incluso que lo sea en el ámbito más íntimo familiar o de allegados’ lo que en el caso queda ampliamente superado pues la consideración de ser la demandante la persona señalada en el relato no quedaba reducida al núcleo más cercano de la señora Martínez sino que podía identificarse por todos aquellos lectores interesados en la política de su municipio o de la Región de Murcia”.</w:t>
      </w:r>
    </w:p>
    <w:p w14:paraId="1D6E7A28" w14:textId="77777777" w:rsidR="00A8138F" w:rsidRDefault="00A8138F" w:rsidP="00A8138F">
      <w:pPr>
        <w:pStyle w:val="TextoNormal"/>
      </w:pPr>
    </w:p>
    <w:p w14:paraId="5690561E" w14:textId="77777777" w:rsidR="00A8138F" w:rsidRDefault="00A8138F" w:rsidP="00A8138F">
      <w:pPr>
        <w:pStyle w:val="TextoNormal"/>
      </w:pPr>
      <w:r>
        <w:t>e) Los demandados, disconformes con dicha resolución, recurrieron en apelación alegando error en la apreciación de la prueba y vulneración del derecho a la tutela judicial efectiva y del principio de congruencia, así como vulneración del derecho a las libertades de información, de expresión y de creación literaria. Se afirmaba en el recurso que “no se está narrando un hecho realmente acontecido. Es una situación de pura ficción” y que “estamos ante una mera ficción, por tanto, los personajes solo serán recognoscibles, no por su intervención en esos hechos que son irreales, sino por las notas propias del personaje, o el contexto en el que se ubica a ese personaje”.</w:t>
      </w:r>
    </w:p>
    <w:p w14:paraId="338E6B63" w14:textId="77777777" w:rsidR="00A8138F" w:rsidRDefault="00A8138F" w:rsidP="00A8138F">
      <w:pPr>
        <w:pStyle w:val="TextoNormal"/>
      </w:pPr>
    </w:p>
    <w:p w14:paraId="1313C246" w14:textId="77777777" w:rsidR="00A8138F" w:rsidRDefault="00A8138F" w:rsidP="00A8138F">
      <w:pPr>
        <w:pStyle w:val="TextoNormal"/>
      </w:pPr>
      <w:r>
        <w:t>La Audiencia Provincial de Murcia (Sección Primera) dictó sentencia de 20 de julio de 2020 por la que estimó el recurso y revocó la sentencia de primera instancia, absolviendo a los demandados, con fundamento en la falta de identificación de los personajes que integra</w:t>
      </w:r>
      <w:r>
        <w:lastRenderedPageBreak/>
        <w:t xml:space="preserve">ban el relato. La resolución, al referirse a la improcedencia de condenar a la demandante al pago de las costas de primera instancia, se expresa en los siguientes términos: </w:t>
      </w:r>
    </w:p>
    <w:p w14:paraId="3356ADFF" w14:textId="77777777" w:rsidR="00A8138F" w:rsidRDefault="00A8138F" w:rsidP="00A8138F">
      <w:pPr>
        <w:pStyle w:val="TextoNormal"/>
      </w:pPr>
    </w:p>
    <w:p w14:paraId="3E6F7A50" w14:textId="77777777" w:rsidR="00A8138F" w:rsidRDefault="00A8138F" w:rsidP="00A8138F">
      <w:pPr>
        <w:pStyle w:val="TextoNormal"/>
      </w:pPr>
      <w:r>
        <w:t>“La desestimación de la demanda deriva del juicio de ponderación y la necesidad de dar prevalencia al derecho, en este caso, el de creación literaria, debidamente ejercitado por su titular cuando no es posible acreditar que dicho derecho ha superado los límites constitucionalmente fijados para su ejercicio. El contenido del relato es evidentemente ofensivo si una persona se ve identificada en el mismo, y no cabe duda que existen serias dudas de hecho en relación con la identificación de la actora, pues tomados de forma acrítica y como única interpretación posible, sí existen datos que pudieran identificar a la actora como protagonista del relato. Sin embargo, este tribunal no los ha aceptado, ante la posibilidad de otras alternativas que diluyen dicha identificación, y esta duda que justifica la desestimación de la demanda, también es de suficiente entidad como para no imponer las costas de la primera instancia a ninguna de las partes”.</w:t>
      </w:r>
    </w:p>
    <w:p w14:paraId="7C808CDA" w14:textId="77777777" w:rsidR="00A8138F" w:rsidRDefault="00A8138F" w:rsidP="00A8138F">
      <w:pPr>
        <w:pStyle w:val="TextoNormal"/>
      </w:pPr>
    </w:p>
    <w:p w14:paraId="5EC980F1" w14:textId="77777777" w:rsidR="00A8138F" w:rsidRDefault="00A8138F" w:rsidP="00A8138F">
      <w:pPr>
        <w:pStyle w:val="TextoNormal"/>
      </w:pPr>
      <w:r>
        <w:t>f) La demandante recurrió en casación ante la Sala de lo Civil del Tribunal Supremo que, tras la oportuna tramitación, dictó sentencia de 31 de enero de 2022 por la que desestimó el recurso con imposición de costas a la parte recurrente.</w:t>
      </w:r>
    </w:p>
    <w:p w14:paraId="70592818" w14:textId="77777777" w:rsidR="00A8138F" w:rsidRDefault="00A8138F" w:rsidP="00A8138F">
      <w:pPr>
        <w:pStyle w:val="TextoNormal"/>
      </w:pPr>
    </w:p>
    <w:p w14:paraId="301659AA" w14:textId="77777777" w:rsidR="00A8138F" w:rsidRDefault="00A8138F" w:rsidP="00A8138F">
      <w:pPr>
        <w:pStyle w:val="TextoNormal"/>
      </w:pPr>
      <w:r>
        <w:t>La sentencia del Tribunal Supremo indicó que “[l]a sentencia recurrida entiende, de una parte, que el relato publicado constituye una expresión de la producción literaria y artística a que se refiere el art. 20.1 b) CE, tanto por su ubicación en la publicación (sección de ocio, dentro de la subsección de ‘[cuentos] de verano’) como por su contenido, que deja claro que no es un artículo de opinión o de crítica política sino una ficción literaria, aunque verse sobre la corrupción como trasfondo del relato. Además, la Audiencia ha razonado sobre la imposibilidad de identificar a la actora como uno de los personajes del relato, lo que vendría a justificar el carácter ficticio de la creación literaria”.</w:t>
      </w:r>
    </w:p>
    <w:p w14:paraId="50C545B4" w14:textId="77777777" w:rsidR="00A8138F" w:rsidRDefault="00A8138F" w:rsidP="00A8138F">
      <w:pPr>
        <w:pStyle w:val="TextoNormal"/>
      </w:pPr>
    </w:p>
    <w:p w14:paraId="44435409" w14:textId="77777777" w:rsidR="00A8138F" w:rsidRDefault="00A8138F" w:rsidP="00A8138F">
      <w:pPr>
        <w:pStyle w:val="TextoNormal"/>
      </w:pPr>
      <w:r>
        <w:t>Entendía el Tribunal Supremo que “ninguno de los argumentos del recurso tiene fuerza como para desvirtuar los detallados razonamientos de la sentencia recurrida. La identificación de la persona puede hacerse directamente, designándola con su nombre y apellidos, pero también de manera indirecta mediante la referencia a circunstancias o hechos que la hagan reconocible y permitan al lector asociar el personaje del relato con una persona de la vida real (por su aspecto o características físicas, su actividad profesional, datos de su vida personal, privada o social, la intervención en determinado hecho o participación en un acontecimiento, etc.). También es posible que la identificación de una persona real con el personaje resulte de la suma de un conjunto de datos que, sin ambigüedad posible, por su coincidencia o por su similitud con la vida y circunstancias de la persona real permitan al lector del relato relacionarla directamente con el personaje creado”.</w:t>
      </w:r>
    </w:p>
    <w:p w14:paraId="02BE1518" w14:textId="77777777" w:rsidR="00A8138F" w:rsidRDefault="00A8138F" w:rsidP="00A8138F">
      <w:pPr>
        <w:pStyle w:val="TextoNormal"/>
      </w:pPr>
    </w:p>
    <w:p w14:paraId="24404B97" w14:textId="77777777" w:rsidR="00A8138F" w:rsidRDefault="00A8138F" w:rsidP="00A8138F">
      <w:pPr>
        <w:pStyle w:val="TextoNormal"/>
      </w:pPr>
      <w:r>
        <w:t xml:space="preserve">Según la sentencia de casación, “[e]n el caso, sin embargo, no resulta de modo evidente que el personaje ficticio o imaginario de la ‘concejala de obrillas’ pueda confundirse con la actora, ni se aprecian las similitudes necesarias que constituyan un conjunto de indicios que hagan a tal personaje identificable con ella, no ya con una certeza inequívoca, sino siquiera con una alta probabilidad. Debemos partir de que no se relatan hechos reales, ni el artículo se refiere a personas reales ni es una versión de la realidad, sino que se refiere a una situación fácilmente apreciable como de ficción con personajes inventados. Una persona real solo podría identificarse con uno de los personajes ficticios si por alguno de los rasgos propios </w:t>
      </w:r>
      <w:r>
        <w:lastRenderedPageBreak/>
        <w:t>del personaje o por la similitud con datos reales no hay duda de tal conexión. Y no se aprecia que ello suceda en el caso”.</w:t>
      </w:r>
    </w:p>
    <w:p w14:paraId="1BA50E7F" w14:textId="77777777" w:rsidR="00A8138F" w:rsidRDefault="00A8138F" w:rsidP="00A8138F">
      <w:pPr>
        <w:pStyle w:val="TextoNormal"/>
      </w:pPr>
    </w:p>
    <w:p w14:paraId="74F61ADE" w14:textId="291E6658" w:rsidR="00A8138F" w:rsidRDefault="00A8138F" w:rsidP="00A8138F">
      <w:pPr>
        <w:pStyle w:val="TextoNormal"/>
      </w:pPr>
      <w:r>
        <w:t>El Tribunal Supremo considera que “[l]a Audiencia explica detalladamente que son insuficientes los datos que conducirían a identificar el lugar del relato con Murcia y muestra que las posibles similitudes admiten explicaciones alternativas; explica también de manera convincente que el hecho de que la actora fuera nombrada concejal (delegada de calidad urbana e infraestructuras, con competencias sobre obras e infraestructuras) después de las elecciones tampoco es definitivo para identificarla con el personaje de ficción porque en el organigrama del ayuntamiento resulta que en el mismo período que la actora otras mujeres desempeñaron el cargo de concejal y en 2012 tuvo lugar una modificación de la estructura de la organización de los servicios administrativos del Ayuntamiento de Murcia, en la que se crea un área de infraestructuras, dirigida por otra concejal, sin que el argumento de la recurrente de que en infraestructuras no se asumieron las competencias de obras lleve a la conclusión de que el relato se refiere a la actora; al carácter ficticio del personaje que la recurrente identifica con el alcalde debe sumarse la falta de identificación en el organigrama de otro de los personajes (la ‘concejal de asuntillos’), lo que refuerza el carácter ficticio del relato; también parece razonable entender, como hace la Audiencia, que el carácter atemporal del relato, redactado en presente y publicado en 2017, cuando habían pasado dos años desde el cese en el cargo de la actora como concejala, excluye la relación directa del relato con su actividad y, por tanto, su identificación; igualmente hay que compartir el criterio de la Audiencia acerca de que la percepción subjetiva de dos testigos no es suficiente para considerar identificada a la actora si no va acompañada de datos objetivos y concretos que pongan de relieve la coincidencia de rasgos, características, costumbres o relaciones coincidentes entre la actora y el personaje y los hechos que se relatan, sin que en el caso se haya precisado ningún dato en ese sentido; la apariencia de credibilidad de denuncia de corrupción del relato que la recurrente deduce de su reproducción en una web ajena a los demandados dentro de un artículo sobre la corrupción en la comunidad autónoma no conduce a la identificación de la actora por el hecho de que se pudiera identificar al personaje masculino del relato con quien fuera concejal de calidad urbana y gestión de residuos, según se dice investigado por delitos de cohecho, cuando no hay en la realidad una relación sentimental con el denominado en el relato ‘concejal de basurillas’ que permita conectar la ficción relatada con la realidad; lo mismo se podría afirmar respecto de la supuesta credibilidad del relato que se deduciría según la recurrente de la investigación de la Fiscalía y del interrogatorio del periodista como testigo, no solo por el archivo de las diligencias de investigación, sino por la ausencia de mención a datos de la realidad que conecten con la actora. En definitiva, el recurso de casación se desestima porque esta sala considera que es correcta la valoración de la sentencia recurrida acerca del carácter ficticio de la creación literaria publicada y la imposibilidad de identificar a la actora como uno de los personajes del relato”.</w:t>
      </w:r>
    </w:p>
    <w:p w14:paraId="23DE607D" w14:textId="77777777" w:rsidR="00A8138F" w:rsidRDefault="00A8138F" w:rsidP="00A8138F">
      <w:pPr>
        <w:pStyle w:val="TextoNormal"/>
      </w:pPr>
    </w:p>
    <w:p w14:paraId="0D117B38" w14:textId="77777777" w:rsidR="00A8138F" w:rsidRDefault="00A8138F" w:rsidP="00A8138F">
      <w:pPr>
        <w:pStyle w:val="TextoNormal"/>
      </w:pPr>
      <w:r w:rsidRPr="00A8138F">
        <w:rPr>
          <w:rStyle w:val="NumeroAFNegritaCaracter"/>
        </w:rPr>
        <w:t>3</w:t>
      </w:r>
      <w:r>
        <w:t>. La demandante, en su recurso de amparo, denuncia la vulneración del derecho fundamental al honor (art. 18.1 CE).</w:t>
      </w:r>
    </w:p>
    <w:p w14:paraId="00DCAE14" w14:textId="77777777" w:rsidR="00A8138F" w:rsidRDefault="00A8138F" w:rsidP="00A8138F">
      <w:pPr>
        <w:pStyle w:val="TextoNormal"/>
      </w:pPr>
    </w:p>
    <w:p w14:paraId="12B80DE5" w14:textId="77777777" w:rsidR="00A8138F" w:rsidRDefault="00A8138F" w:rsidP="00A8138F">
      <w:pPr>
        <w:pStyle w:val="TextoNormal"/>
      </w:pPr>
      <w:r>
        <w:t xml:space="preserve">Explica que tuvo desde el principio la certeza de que el “malintencionado artículo” se refería a ella al hablar de la “concejala de obrillas” y que se había redactado precisamente para llevar al lector a la pronta adivinación de quiénes eran los protagonistas (ella y los demás que se citan), procurando —eso sí— moverse en un terreno que pudiera permitir negar posteriormente la evidencia de esa identificación para evitar asumir responsabilidades </w:t>
      </w:r>
      <w:r>
        <w:lastRenderedPageBreak/>
        <w:t>por un “texto tan zafio y denigratorio” como el que se publicaba en un periódico de amplia difusión en Murcia. Tal convicción la tuvieron también numerosas personas que alertaron a la demandante sobre el contenido altamente ofensivo del texto periodístico.</w:t>
      </w:r>
    </w:p>
    <w:p w14:paraId="3B502D6B" w14:textId="77777777" w:rsidR="00A8138F" w:rsidRDefault="00A8138F" w:rsidP="00A8138F">
      <w:pPr>
        <w:pStyle w:val="TextoNormal"/>
      </w:pPr>
    </w:p>
    <w:p w14:paraId="0D551215" w14:textId="77777777" w:rsidR="00A8138F" w:rsidRDefault="00A8138F" w:rsidP="00A8138F">
      <w:pPr>
        <w:pStyle w:val="TextoNormal"/>
      </w:pPr>
      <w:r>
        <w:t>A su juicio, el autor de tal “creación literaria” persigue una finalidad ofensiva al publicar ese “escrito tan insultante”, y “la más elemental lógica conduce a pensar que quiere que el lector […] se regocije con él en la denigración de personas concretas. […] Eso sí, su autor hace lo que considera necesario para poder negar ante un tribunal, en su caso, la existencia de dichas referencias personales, en búsqueda de que se venga a admitir su versión mendaz respecto de la referencia a una finalidad simplemente literaria”. Se trata del juego propio de quien quiere decir algo para ridiculizar y faltar al honor y al respeto, calculando “hasta dónde puede llegar” para fundamentar sus posteriores excusas. Según la demanda de amparo, la ficción que ampara la creación literaria no es compatible con la posibilidad de identificación de las personas involucradas en una narración, de modo que si se quiere utilizar la ficción para describir ofensivamente a un personaje, ha de tratarse de un personaje verdaderamente ficticio, y si se introduce la realidad de los personajes —aunque no del relato— en la ficción, debe prescindirse de la mayor libertad que desde el punto de vista constitucional merece el derecho a la creación literaria, en el caso de que el texto pudiera calificarse de tal, para recuperar los límites más estrictos correspondientes a la libertad de expresión.</w:t>
      </w:r>
    </w:p>
    <w:p w14:paraId="00C15618" w14:textId="77777777" w:rsidR="00A8138F" w:rsidRDefault="00A8138F" w:rsidP="00A8138F">
      <w:pPr>
        <w:pStyle w:val="TextoNormal"/>
      </w:pPr>
    </w:p>
    <w:p w14:paraId="2CEF42BB" w14:textId="77777777" w:rsidR="00A8138F" w:rsidRDefault="00A8138F" w:rsidP="00A8138F">
      <w:pPr>
        <w:pStyle w:val="TextoNormal"/>
      </w:pPr>
      <w:r>
        <w:t>Considera la recurrente que resulta “pueril” decir que el relato no se refiere necesariamente a Murcia y que puede tratarse de cualquier otra ciudad, ya que se publica en un periódico de Murcia y se usa la paronimia para reflejar lugares muy conocidos de dicha ciudad. Tratándose además de concejales en ese entorno geográfico, se da un paso más para precisar de quién se trata, pues se indica que se trata de la “concejala de obrillas” —la recurrente había sido concejala de infraestructuras, sin que con anterioridad se hubiera dado en Murcia la circunstancia de que una mujer desempeñara dicha función— y que mantenía una relación con el que se califica como “concejal de basurillas” (residuos urbanos), el cual resultaba también plenamente identificable; y asimismo se alude a “el Cama” en clara alusión, según la recurrente en amparo, a quien entonces era alcalde de Murcia. Según la demanda, si estuviéramos ante una “creación literaria” sobre personajes ficticios que no se asemejan a la realidad, bastaría con hablar de “concejales”, sin necesidad de esas precisiones adicionales.</w:t>
      </w:r>
    </w:p>
    <w:p w14:paraId="31F1E6C7" w14:textId="77777777" w:rsidR="00A8138F" w:rsidRDefault="00A8138F" w:rsidP="00A8138F">
      <w:pPr>
        <w:pStyle w:val="TextoNormal"/>
      </w:pPr>
    </w:p>
    <w:p w14:paraId="172203BC" w14:textId="31C04A75" w:rsidR="00A8138F" w:rsidRDefault="00A8138F" w:rsidP="00A8138F">
      <w:pPr>
        <w:pStyle w:val="TextoNormal"/>
      </w:pPr>
      <w:r>
        <w:t>Estima que se ha violado su derecho fundamental al honor, pues no alberga dudas de que la relación del texto con su persona fue perfectamente conocida desde el primer momento por todas las personas que forman el entorno del periódico y también por los lectores que siguen, aunque sea mínimamente, los avatares de la vida política municipal. Resultaba tan fácil descubrirlo que cualquiera que estuviera familiarizado con ello se podía representar la intención del texto que, más allá de una crítica política o de corrupción que pudiera fundarse en el derecho a la libertad de expresión, se adentraba en un terreno de procacidad que difícilmente puede encontrar antecedentes en la producción periodística española, ni siquiera si nos refiriéramos a las denominadas revistas satíricas. Argumenta que, dado el alto nivel ofensivo del texto, el autor debe estar obligado a evitar dar datos que de modo notorio permitan la identificación de personas concretas en las que pudiera haberse inspirado para crear su fábula, debiendo recaer la carga de la prueba sobre dicho autor, una vez fijados los claros indicios de identificación.</w:t>
      </w:r>
    </w:p>
    <w:p w14:paraId="33E9FA0A" w14:textId="77777777" w:rsidR="00A8138F" w:rsidRDefault="00A8138F" w:rsidP="00A8138F">
      <w:pPr>
        <w:pStyle w:val="TextoNormal"/>
      </w:pPr>
    </w:p>
    <w:p w14:paraId="14C1AA6E" w14:textId="4C44AF96" w:rsidR="00A8138F" w:rsidRDefault="00A8138F" w:rsidP="00A8138F">
      <w:pPr>
        <w:pStyle w:val="TextoNormal"/>
      </w:pPr>
      <w:r w:rsidRPr="00A8138F">
        <w:rPr>
          <w:rStyle w:val="NumeroAFNegritaCaracter"/>
        </w:rPr>
        <w:lastRenderedPageBreak/>
        <w:t>4</w:t>
      </w:r>
      <w:r>
        <w:t>. La Sección Cuarta, mediante providencia de 17 de abril de 2023, acordó admitir a trámite el recurso de amparo, apreciando que concurre en el mismo especial trascendencia constitucional [art. 50.1 de la Ley Orgánica del Tribunal Constitucional (LOTC)] porque puede dar ocasión al Tribunal para aclarar o cambiar su doctrina, como consecuencia de un proceso de reflexión interna [STC 155/2009, de 25 de junio, FJ 2 b)]. Asimismo, en aplicación de lo dispuesto en el art. 51 LOTC, acordó recabar de los órganos judiciales certificación o fotocopia adverada de las actuaciones correspondientes al proceso judicial del presente recurso, debiendo emplazar, para que pudieran comparecer en el recurso de amparo, a quienes fueron parte en el procedimiento.</w:t>
      </w:r>
    </w:p>
    <w:p w14:paraId="60367AA4" w14:textId="77777777" w:rsidR="00A8138F" w:rsidRDefault="00A8138F" w:rsidP="00A8138F">
      <w:pPr>
        <w:pStyle w:val="TextoNormal"/>
      </w:pPr>
    </w:p>
    <w:p w14:paraId="508A1FB9" w14:textId="5793FDC5" w:rsidR="00A8138F" w:rsidRDefault="00A8138F" w:rsidP="00A8138F">
      <w:pPr>
        <w:pStyle w:val="TextoNormal"/>
      </w:pPr>
      <w:r w:rsidRPr="00A8138F">
        <w:rPr>
          <w:rStyle w:val="NumeroAFNegritaCaracter"/>
        </w:rPr>
        <w:t>5</w:t>
      </w:r>
      <w:r>
        <w:t>. Por diligencia de ordenación de 5 de septiembre de 2023 se tuvo por personado a don Miguel Ángel Gálvez Giménez, en nombre de la mercantil La Opinión de Murcia, S.A., y de don Ángel Montiel Martínez, redactor de dicho diario. Asimismo, se acordó, conforme al art. 52.1 LOTC, dar vista de las actuaciones a las partes por un plazo común de veinte días para que formularan alegaciones.</w:t>
      </w:r>
    </w:p>
    <w:p w14:paraId="0ABB1949" w14:textId="77777777" w:rsidR="00A8138F" w:rsidRDefault="00A8138F" w:rsidP="00A8138F">
      <w:pPr>
        <w:pStyle w:val="TextoNormal"/>
      </w:pPr>
    </w:p>
    <w:p w14:paraId="01908ED1" w14:textId="77777777" w:rsidR="00A8138F" w:rsidRDefault="00A8138F" w:rsidP="00A8138F">
      <w:pPr>
        <w:pStyle w:val="TextoNormal"/>
      </w:pPr>
      <w:r w:rsidRPr="00A8138F">
        <w:rPr>
          <w:rStyle w:val="NumeroAFNegritaCaracter"/>
        </w:rPr>
        <w:t>6</w:t>
      </w:r>
      <w:r>
        <w:t>. La representación procesal de la mercantil La Opinión de Murcia, S.A., y de don Ángel Montiel Martínez formuló alegaciones el 5 de octubre de 2023, en las que solicita la desestimación del recurso de amparo y que se confirmen las sentencias recurridas por ser ajustadas a Derecho.</w:t>
      </w:r>
    </w:p>
    <w:p w14:paraId="68CBA8FA" w14:textId="77777777" w:rsidR="00A8138F" w:rsidRDefault="00A8138F" w:rsidP="00A8138F">
      <w:pPr>
        <w:pStyle w:val="TextoNormal"/>
      </w:pPr>
    </w:p>
    <w:p w14:paraId="38B1F25D" w14:textId="77777777" w:rsidR="00A8138F" w:rsidRDefault="00A8138F" w:rsidP="00A8138F">
      <w:pPr>
        <w:pStyle w:val="TextoNormal"/>
      </w:pPr>
      <w:r>
        <w:t>A su juicio, las sentencias impugnadas cumplen con todas las exigencias establecidas por la doctrina constitucional en la materia, ponderando adecuadamente los derechos fundamentales en conflicto y razonando de forma detallada y extensa la prevalencia del derecho constitucional a la libertad de expresión y a la producción y creación literaria y artística, al tratarse de una obra de ficción, y la no vulneración del pretendido derecho al honor de la actora.</w:t>
      </w:r>
    </w:p>
    <w:p w14:paraId="5FF708B5" w14:textId="77777777" w:rsidR="00A8138F" w:rsidRDefault="00A8138F" w:rsidP="00A8138F">
      <w:pPr>
        <w:pStyle w:val="TextoNormal"/>
      </w:pPr>
    </w:p>
    <w:p w14:paraId="65FC1EEB" w14:textId="77777777" w:rsidR="00A8138F" w:rsidRDefault="00A8138F" w:rsidP="00A8138F">
      <w:pPr>
        <w:pStyle w:val="TextoNormal"/>
      </w:pPr>
      <w:r>
        <w:t>Expone que el texto no narra un hecho realmente acontecido, sino una situación de pura ficción, y que es absolutamente inviable, desde el punto de vista lógico y racional, que alguien pueda sentirse inevitablemente identificado en unos hechos no ocurridos. No es el caso del argumento de un libro o una película sobre un hecho histórico real (episodio de una guerra, proceso judicial, etc.) en cuya narración se utilizan personajes con nombres supuestos. Se trata de una mera ficción, de modo que los personajes no pueden ser reconocibles por su intervención en los hechos narrados (que son irreales), sino únicamente por las notas propias del personaje o el contexto en el que se le ubica.</w:t>
      </w:r>
    </w:p>
    <w:p w14:paraId="3583C048" w14:textId="77777777" w:rsidR="00A8138F" w:rsidRDefault="00A8138F" w:rsidP="00A8138F">
      <w:pPr>
        <w:pStyle w:val="TextoNormal"/>
      </w:pPr>
    </w:p>
    <w:p w14:paraId="04656B65" w14:textId="77777777" w:rsidR="00A8138F" w:rsidRDefault="00A8138F" w:rsidP="00A8138F">
      <w:pPr>
        <w:pStyle w:val="TextoNormal"/>
      </w:pPr>
      <w:r>
        <w:t xml:space="preserve">Argumenta que si el autor del relato no describe al personaje, no reseña una sola nota de su fisionomía ni de sus antecedentes personales o familiares, no detalla un solo elemento de su contexto personal o geográfico, y además lo ubica en un episodio irreal, no coincidente con hechos históricos realmente acontecidos, no se puede sino concluir que no concurren las notas propias de la jurisprudencia que pretende el demandante, apoyándose en la sentencia de instancia, para afirmar la existencia de una alta probabilidad de identificación. A su juicio, el testimonio meramente subjetivo o imaginativo de dos personas del entorno personal de la actora (que declararon testigos en la instancia) no puede ser suficiente para concluir con una afirmación de certeza de dicha identificación, al menos desde un punto de vista lógico y racional. En este sentido señala que, como consta en la grabación del juicio, los </w:t>
      </w:r>
      <w:r>
        <w:lastRenderedPageBreak/>
        <w:t>testigos fueron interrogados acerca de los aspectos propios del personaje y sobre si les constaba que alguno de ellos pudiese concurrir en la persona de la actora: si constaba una relación sentimental con un concejal de basuras, o que la demandante manejara entregas de billetes de 500 € obtenidos de comisiones ilegales, o que frecuentara un hotel en el que la conozcan, o que practicase el sadismo o sadomasoquismo, aspectos narrados en el texto. Pero ninguno de esos aspectos fue corroborado por los testigos respecto de la demandante.</w:t>
      </w:r>
    </w:p>
    <w:p w14:paraId="3CBC9981" w14:textId="77777777" w:rsidR="00A8138F" w:rsidRDefault="00A8138F" w:rsidP="00A8138F">
      <w:pPr>
        <w:pStyle w:val="TextoNormal"/>
      </w:pPr>
    </w:p>
    <w:p w14:paraId="3BC0A57F" w14:textId="77777777" w:rsidR="00A8138F" w:rsidRDefault="00A8138F" w:rsidP="00A8138F">
      <w:pPr>
        <w:pStyle w:val="TextoNormal"/>
      </w:pPr>
      <w:r>
        <w:t>Recuerda el escrito de alegaciones que, tal y como se dijo en la STC 51/2008, de 14 de abril, el objetivo principal de la libertad de expresión y la de creación literaria es “proteger la libertad del propio proceso creativo literario, manteniéndolo inmune frente a cualquier forma de censura previa (art. 20.2 CE) y protegiéndolo respecto de toda interferencia ilegítima proveniente de los poderes públicos o de los particulares”; “[c]omo en toda actividad creativa, que por definición es prolongación de su propio autor y en la que se entremezclan impresiones y experiencias del mismo, la creación literaria da nacimiento a una nueva realidad, que se forja y transmite a través de la palabra escrita, y que no se identifica con la realidad empírica”. “[L]a creación literaria, al igual que la artística, tiene una proyección externa derivada de la voluntad de su autor, quien crea para comunicarse [...] De ahí que su ámbito de protección no se limite exclusivamente a la obra literaria aisladamente considerada, sino también a su difusión”. Y recuerda que, según la citada STC 51/2008, la libertad de creación literaria ampara la “desconexión con la realidad, así como su transformación para dar lugar a un universo de ficción nuevo”.</w:t>
      </w:r>
    </w:p>
    <w:p w14:paraId="6D31B5AB" w14:textId="77777777" w:rsidR="00A8138F" w:rsidRDefault="00A8138F" w:rsidP="00A8138F">
      <w:pPr>
        <w:pStyle w:val="TextoNormal"/>
      </w:pPr>
    </w:p>
    <w:p w14:paraId="6F65E8D9" w14:textId="77777777" w:rsidR="00A8138F" w:rsidRDefault="00A8138F" w:rsidP="00A8138F">
      <w:pPr>
        <w:pStyle w:val="TextoNormal"/>
      </w:pPr>
      <w:r>
        <w:t>Como tal obra de ficción, sostiene, la combatida por la demandante está amparada por la doctrina constitucional en una triple dimensión, no solo en lo que respecta a la obra en sí mismo considerada, sino también en lo concerniente a su difusión, y además en lo que respecta a la posibilidad de crear una realidad propia diferente a los hechos que están aconteciendo o han acontecido en el mundo o en el entorno real. Esa es la protección que el Tribunal Constitucional ha sentado de forma determinante y concreta, la creación de la obra en sí, el derecho a su difusión, y el derecho a la libertad de crear un escenario que, basado en elementos que puedan o no recogerse de la realidad, sea distinta a esta por medio del proceso de transformación en un universo de ficción creado por el autor.</w:t>
      </w:r>
    </w:p>
    <w:p w14:paraId="05677DA0" w14:textId="77777777" w:rsidR="00A8138F" w:rsidRDefault="00A8138F" w:rsidP="00A8138F">
      <w:pPr>
        <w:pStyle w:val="TextoNormal"/>
      </w:pPr>
    </w:p>
    <w:p w14:paraId="2B371639" w14:textId="6E4B2775" w:rsidR="00A8138F" w:rsidRDefault="00A8138F" w:rsidP="00A8138F">
      <w:pPr>
        <w:pStyle w:val="TextoNormal"/>
      </w:pPr>
      <w:r>
        <w:t>En conclusión, a juicio de los codemandados, se han ejercido de forma lícita y legítima los derechos a la libertad de expresión y creación literaria consagrados en el art. 20 CE.</w:t>
      </w:r>
    </w:p>
    <w:p w14:paraId="29420F44" w14:textId="77777777" w:rsidR="00A8138F" w:rsidRDefault="00A8138F" w:rsidP="00A8138F">
      <w:pPr>
        <w:pStyle w:val="TextoNormal"/>
      </w:pPr>
    </w:p>
    <w:p w14:paraId="1D651769" w14:textId="77777777" w:rsidR="00A8138F" w:rsidRDefault="00A8138F" w:rsidP="00A8138F">
      <w:pPr>
        <w:pStyle w:val="TextoNormal"/>
      </w:pPr>
      <w:r w:rsidRPr="00A8138F">
        <w:rPr>
          <w:rStyle w:val="NumeroAFNegritaCaracter"/>
        </w:rPr>
        <w:t>7</w:t>
      </w:r>
      <w:r>
        <w:t>. El Ministerio Fiscal formuló sus alegaciones, solicitando la desestimación del recurso, el 26 de octubre de 2023.</w:t>
      </w:r>
    </w:p>
    <w:p w14:paraId="0C9AA3F2" w14:textId="77777777" w:rsidR="00A8138F" w:rsidRDefault="00A8138F" w:rsidP="00A8138F">
      <w:pPr>
        <w:pStyle w:val="TextoNormal"/>
      </w:pPr>
    </w:p>
    <w:p w14:paraId="348005B0" w14:textId="77777777" w:rsidR="00A8138F" w:rsidRDefault="00A8138F" w:rsidP="00A8138F">
      <w:pPr>
        <w:pStyle w:val="TextoNormal"/>
      </w:pPr>
      <w:r>
        <w:t>En primer lugar, considera correctamente agotada la vía judicial previa porque, según expone, no era en este caso necesaria la interposición de un incidente de nulidad de actuaciones. Seguidamente recuerda que el control que corresponde hacer al Tribunal Constitucional sobre la vulneración invocada en los casos de derechos fundamentales sustantivos no debe limitarse a examinar la suficiente motivación de las resolución judiciales frente a las que se demanda su amparo desde el prisma del art. 24 CE, sino que debe resolver el eventual conflicto entre el derecho a comunicar información veraz o el de expresarse libremente y el derecho al honor, determinando si, efectivamente, se han vulnerado aquellos derechos atendiendo al contenido que constitucionalmente corresponda a cada uno de ellos.</w:t>
      </w:r>
    </w:p>
    <w:p w14:paraId="3DCB375E" w14:textId="77777777" w:rsidR="00A8138F" w:rsidRDefault="00A8138F" w:rsidP="00A8138F">
      <w:pPr>
        <w:pStyle w:val="TextoNormal"/>
      </w:pPr>
    </w:p>
    <w:p w14:paraId="0B808CF6" w14:textId="77777777" w:rsidR="00A8138F" w:rsidRDefault="00A8138F" w:rsidP="00A8138F">
      <w:pPr>
        <w:pStyle w:val="TextoNormal"/>
      </w:pPr>
      <w:r>
        <w:lastRenderedPageBreak/>
        <w:t>Subraya que el Tribunal Constitucional ha considerado que el contenido del derecho al honor “es lábil y fluido, cambiante” (STC 170/1994, de 7 de junio , FJ 4), de tal suerte que una de sus características principales consiste en ser “un concepto jurídico normativo cuya precisión depende de las normas, valores e ideas sociales vigentes en cada momento" (STC 180/1999, de 11 de octubre, FJ 4, en similares términos SSTC 112/2000, de 5 de mayo, FJ 6; 297/2000, de 11 de diciembre, FJ 7; 49/2001, de 26 de febrero, FJ 5, y 46/2002, de 25 de febrero, FJ 6). Ahora bien, el grado de indeterminación del objeto de este derecho no llega a tal extremo que impida identificar como “su contenido constitucional abstracto” la preservación de “la buena reputación de una persona, protegiéndola frente a expresiones o mensajes que le hagan desmerecer en la consideración ajena al ir en su descrédito o menosprecio o que sean tenidas en el concepto público por afrentosas” (STC 180/1999, FJ 4). El derecho al honor, en tanto que derecho de la personalidad, derivado de la dignidad humana, opera como un límite especifico de la libertad de expresión (art. 20.4 CE).</w:t>
      </w:r>
    </w:p>
    <w:p w14:paraId="39379EE5" w14:textId="77777777" w:rsidR="00A8138F" w:rsidRDefault="00A8138F" w:rsidP="00A8138F">
      <w:pPr>
        <w:pStyle w:val="TextoNormal"/>
      </w:pPr>
    </w:p>
    <w:p w14:paraId="67053969" w14:textId="77777777" w:rsidR="00A8138F" w:rsidRDefault="00A8138F" w:rsidP="00A8138F">
      <w:pPr>
        <w:pStyle w:val="TextoNormal"/>
      </w:pPr>
      <w:r>
        <w:t>Considera el fiscal que, en las resoluciones impugnadas, el derecho al honor invocado entra en conflicto con el derecho a la creación literaria y artística reconocido en el art. 20.1 b) CE. Recuerda que la doctrina constitucional sobre este derecho fundamental se contiene, principalmente, en la STC 51/2008 , de 14 de abril, que en su fundamento jurídico 5 hace una referencia a la no muy amplia doctrina establecida al respecto por el propio Tribunal, resoluciones en las que se ha señalado que “la producción y creación literaria constituye una ‘concreción del derecho a expresar libremente pensamientos, ideas y opiniones’ (SSTC 153/1985, de 7 de noviembre, FJ 5, y 43/2004, de 23 de marzo, FJ 5), una ‘faceta’ de la libertad de expresión (ATC 152/1993, 24 de mayo, FJ 2), o un ‘ámbito’ en que se manifiesta la libertad de pensamiento y expresión (ATC 130/1985, de 27 de febrero, FJ 2), manifestaciones todas ellas que llevan implícita la idea de que la libertad protegida por el art. 20.1 a) CE no es solo la política, sino también la artística. Pero más allá de este hecho y de forma similar a como se ha reconocido respecto de la libertad de producción y creación científica (STC 43/2004, de 23 de marzo, FJ 5), la constitucionalización expresa del derecho a la producción y creación literaria le otorgan un contenido autónomo que, sin excluirlo, va más allá de la libertad de expresión”. Continúa señalando que, como todo derecho, está sometido a límites, en este caso contenidos en el art. 20.4 CE, que se refieren, entre otros al respeto al derecho al honor, la intimidad y la propia imagen, si bien nunca pueden ligarse al buen gusto o la calidad literaria del relato cuestionado.</w:t>
      </w:r>
    </w:p>
    <w:p w14:paraId="7BC9CA36" w14:textId="77777777" w:rsidR="00A8138F" w:rsidRDefault="00A8138F" w:rsidP="00A8138F">
      <w:pPr>
        <w:pStyle w:val="TextoNormal"/>
      </w:pPr>
    </w:p>
    <w:p w14:paraId="52E200B0" w14:textId="77777777" w:rsidR="00A8138F" w:rsidRDefault="00A8138F" w:rsidP="00A8138F">
      <w:pPr>
        <w:pStyle w:val="TextoNormal"/>
      </w:pPr>
      <w:r>
        <w:t xml:space="preserve">Recuerda el fiscal que la consideración de la narración </w:t>
      </w:r>
      <w:r w:rsidRPr="00A8138F">
        <w:rPr>
          <w:i/>
        </w:rPr>
        <w:t>El efecto látigo</w:t>
      </w:r>
      <w:r>
        <w:t>, publicada en el diario “La Opinión de Murcia”, como relato de ficción, que lo enmarca en el ejercicio del derecho a la libertad de creación literaria y artística garantizado en el art. 20.1 b) CE, no ha sido cuestionado en ninguna de las resoluciones judiciales recurridas. En consecuencia, no se puede aplicar en el presente supuesto el canon propio del ejercicio de la libertad de información, ni el de la libertad de expresión, en referencia a la exigencia de veracidad, pese a que se publicara en un medio periodístico. No se discute tampoco la potencialidad ofensiva del relato, reconocida por los órganos judiciales, sino que el centro del debate se sitúa en la posibilidad de identificación de los personajes con las personas reales titulares de los derechos al honor, intimidad o imagen que entran en pugna, como necesario paso previo a efectuar la ponderación para la resolución del conflicto entre los derechos fundamentales.</w:t>
      </w:r>
    </w:p>
    <w:p w14:paraId="37134752" w14:textId="77777777" w:rsidR="00A8138F" w:rsidRDefault="00A8138F" w:rsidP="00A8138F">
      <w:pPr>
        <w:pStyle w:val="TextoNormal"/>
      </w:pPr>
    </w:p>
    <w:p w14:paraId="64CD756C" w14:textId="77777777" w:rsidR="00A8138F" w:rsidRDefault="00A8138F" w:rsidP="00A8138F">
      <w:pPr>
        <w:pStyle w:val="TextoNormal"/>
      </w:pPr>
      <w:r>
        <w:t>A este respecto, entiende el Ministerio Fiscal que la posibilidad de identificación de un personaje incluido en una obra de ficción con una persona real es una apreciación que co</w:t>
      </w:r>
      <w:r>
        <w:lastRenderedPageBreak/>
        <w:t xml:space="preserve">rresponde a los tribunales ordinarios, en el ejercicio de su potestad jurisdiccional, sin que sea posible la fijación </w:t>
      </w:r>
      <w:r w:rsidRPr="00A8138F">
        <w:rPr>
          <w:i/>
        </w:rPr>
        <w:t>a priori</w:t>
      </w:r>
      <w:r>
        <w:t xml:space="preserve"> de unos criterios generales, dado que, en caso de que los datos permitan de un modo “notorio” la identificación del personaje, se deberá declarar así y, en consecuencia, entrar a realizar la ponderación para resolver el conflicto entre el derecho al honor y el ejercicio del derecho a la libertad de creación literaria, tal y como ha sido establecido por la doctrina del Tribunal Supremo.</w:t>
      </w:r>
    </w:p>
    <w:p w14:paraId="685B1641" w14:textId="77777777" w:rsidR="00A8138F" w:rsidRDefault="00A8138F" w:rsidP="00A8138F">
      <w:pPr>
        <w:pStyle w:val="TextoNormal"/>
      </w:pPr>
    </w:p>
    <w:p w14:paraId="1FB7814D" w14:textId="77777777" w:rsidR="00A8138F" w:rsidRDefault="00A8138F" w:rsidP="00A8138F">
      <w:pPr>
        <w:pStyle w:val="TextoNormal"/>
      </w:pPr>
      <w:r>
        <w:t>En el presente caso, por los tribunales se ha efectuado la valoración de los elementos concurrentes de un modo correcto, sin incurrir en argumentos que se aparten de la lógica, ni puedan ser tachados de arbitrarios ni irrazonables de modo que pudiera apreciarse la vulneración del derecho fundamental sustantivo invocado. La falta de certeza sobre la identificación ha conducido a la solución que mejor garantiza el derecho a la libertad de creación literaria, de modo adecuado a la concreta configuración de este derecho establecida por la doctrina constitucional.</w:t>
      </w:r>
    </w:p>
    <w:p w14:paraId="304AD169" w14:textId="77777777" w:rsidR="00A8138F" w:rsidRDefault="00A8138F" w:rsidP="00A8138F">
      <w:pPr>
        <w:pStyle w:val="TextoNormal"/>
      </w:pPr>
    </w:p>
    <w:p w14:paraId="339D6C57" w14:textId="3501AAF3" w:rsidR="00A8138F" w:rsidRDefault="00A8138F" w:rsidP="00A8138F">
      <w:pPr>
        <w:pStyle w:val="TextoNormal"/>
      </w:pPr>
      <w:r>
        <w:t>En consecuencia, no cabe efectuar ninguna ponderación entre los derechos concernidos para apreciar la vulneración del derecho al honor, ante la imposibilidad de declarar acreditado que el relato se refiera a la demandante, pues no se puede proteger un derecho de una persona que no se considera real, sino de ficción. Por ello, el Ministerio Fiscal insta la íntegra desestimación de la demanda de amparo.</w:t>
      </w:r>
    </w:p>
    <w:p w14:paraId="77954476" w14:textId="77777777" w:rsidR="00A8138F" w:rsidRDefault="00A8138F" w:rsidP="00A8138F">
      <w:pPr>
        <w:pStyle w:val="TextoNormal"/>
      </w:pPr>
    </w:p>
    <w:p w14:paraId="537EFEC6" w14:textId="4A00E013" w:rsidR="00A8138F" w:rsidRDefault="00A8138F" w:rsidP="00A8138F">
      <w:pPr>
        <w:pStyle w:val="TextoNormal"/>
      </w:pPr>
      <w:r w:rsidRPr="00A8138F">
        <w:rPr>
          <w:rStyle w:val="NumeroAFNegritaCaracter"/>
        </w:rPr>
        <w:t>8</w:t>
      </w:r>
      <w:r>
        <w:t>. Por providencia de 9 de enero de 2025, se señaló para la deliberación y votación de la presente sentencia el día 13 del mismo mes y año.</w:t>
      </w:r>
    </w:p>
    <w:p w14:paraId="246A13EC" w14:textId="77777777" w:rsidR="00A8138F" w:rsidRDefault="00A8138F" w:rsidP="00A8138F">
      <w:pPr>
        <w:pStyle w:val="TextoNormal"/>
      </w:pPr>
    </w:p>
    <w:p w14:paraId="2FC76858" w14:textId="77777777" w:rsidR="00A8138F" w:rsidRDefault="00A8138F" w:rsidP="00A8138F">
      <w:pPr>
        <w:pStyle w:val="TextoNormalNegritaCentrado"/>
        <w:keepNext/>
      </w:pPr>
      <w:r>
        <w:t>II. Fundamentos jurídicos</w:t>
      </w:r>
    </w:p>
    <w:p w14:paraId="345AEA87" w14:textId="1EE41A08" w:rsidR="00A8138F" w:rsidRDefault="00A8138F" w:rsidP="00A8138F">
      <w:pPr>
        <w:pStyle w:val="TextoNormalNegritaCentrado"/>
        <w:keepNext/>
      </w:pPr>
    </w:p>
    <w:p w14:paraId="39482AB7"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0A593D00" w14:textId="77777777" w:rsidR="00A8138F" w:rsidRDefault="00A8138F" w:rsidP="00A8138F">
      <w:pPr>
        <w:pStyle w:val="TextoNormal"/>
      </w:pPr>
    </w:p>
    <w:p w14:paraId="6E6D7FFA" w14:textId="77777777" w:rsidR="00A8138F" w:rsidRDefault="00A8138F" w:rsidP="00A8138F">
      <w:pPr>
        <w:pStyle w:val="TextoNormal"/>
      </w:pPr>
      <w:r>
        <w:t>El objeto del presente recurso de amparo es la sentencia de la Sala de lo Civil del Tribunal Supremo de 31 de enero de 2022, que desestimó el recurso de casación planteado contra la sentencia de la Sección Primera de la Audiencia Provincial de Murcia de 20 de julio de 2020, que, a su vez, había estimado el recurso de apelación interpuesto por los ahora codemandados contra la sentencia de 17 de diciembre de 2019 del Juzgado de Primera Instancia núm. 2 de Murcia, que en un principio había estimado la demanda de la recurrente. Frente a lo concluido en primera instancia, que declaró la existencia de intromisión ilegítima en el derecho al honor y a la intimidad personal y familiar de la actora, las sentencias de apelación y casación consideraron que su derecho al honor no había sido lesionado por el relato publicado en el diario “La Opinión de Murcia”.</w:t>
      </w:r>
    </w:p>
    <w:p w14:paraId="42FA0A42" w14:textId="77777777" w:rsidR="00A8138F" w:rsidRDefault="00A8138F" w:rsidP="00A8138F">
      <w:pPr>
        <w:pStyle w:val="TextoNormal"/>
      </w:pPr>
    </w:p>
    <w:p w14:paraId="6886465C" w14:textId="77777777" w:rsidR="00A8138F" w:rsidRDefault="00A8138F" w:rsidP="00A8138F">
      <w:pPr>
        <w:pStyle w:val="TextoNormal"/>
      </w:pPr>
      <w:r>
        <w:t>Como ha quedado expuesto con mayor detalle en los antecedentes, la recurrente reprocha a estas dos resoluciones judiciales no haber reparado la lesión de su derecho fundamental al honor (art. 18.1 CE) que considera causada por los codemandados, responsables de la pieza periodística y de su publicación. La recurrente entiende que el personaje de la “concejala de obrillas” se refería a ella de modo perceptible para el público lector —aunque el autor tratara de ocultar tal identificación para eludir responsabilidades— en un texto denigratorio de su persona y difundido con la intención de ridiculizarla y ofender su honor.</w:t>
      </w:r>
    </w:p>
    <w:p w14:paraId="5AE20605" w14:textId="77777777" w:rsidR="00A8138F" w:rsidRDefault="00A8138F" w:rsidP="00A8138F">
      <w:pPr>
        <w:pStyle w:val="TextoNormal"/>
      </w:pPr>
    </w:p>
    <w:p w14:paraId="2B409CD6" w14:textId="77777777" w:rsidR="00A8138F" w:rsidRDefault="00A8138F" w:rsidP="00A8138F">
      <w:pPr>
        <w:pStyle w:val="TextoNormal"/>
      </w:pPr>
      <w:r>
        <w:lastRenderedPageBreak/>
        <w:t>La sociedad editora del diario “La Opinión de Murcia” y el autor del texto defienden la correcta argumentación de las sentencias impugnadas en amparo, porque el artículo no narraba un hecho real sino situaciones de pura ficción, hechos irreales con personajes imaginarios, sin que nadie pueda sentirse identificado con hechos inventados, que no han ocurrido en la realidad.</w:t>
      </w:r>
    </w:p>
    <w:p w14:paraId="2F01260C" w14:textId="77777777" w:rsidR="00A8138F" w:rsidRDefault="00A8138F" w:rsidP="00A8138F">
      <w:pPr>
        <w:pStyle w:val="TextoNormal"/>
      </w:pPr>
    </w:p>
    <w:p w14:paraId="47B6164D" w14:textId="2857B813" w:rsidR="00A8138F" w:rsidRDefault="00A8138F" w:rsidP="00A8138F">
      <w:pPr>
        <w:pStyle w:val="TextoNormal"/>
      </w:pPr>
      <w:r>
        <w:t>Por último, el Ministerio Fiscal solicita la desestimación del amparo al entender que las sentencias impugnadas son adecuadas a los parámetros constitucionales. A su juicio, la valoración que han hecho los tribunales sobre la falta de certeza de la identidad del personaje de la concejala con la recurrente es razonable, y de esa falta de identificabilidad se sigue que no resulta necesario ponderar su derecho al honor con la libertad de producción y creación literaria, toda vez que no se puede declarar que el relato se refiera a la demandante y no se puede proteger el derecho de una persona que no es real, sino de ficción.</w:t>
      </w:r>
    </w:p>
    <w:p w14:paraId="7820B94F" w14:textId="77777777" w:rsidR="00A8138F" w:rsidRDefault="00A8138F" w:rsidP="00A8138F">
      <w:pPr>
        <w:pStyle w:val="TextoNormal"/>
      </w:pPr>
    </w:p>
    <w:p w14:paraId="698CC42E" w14:textId="77777777" w:rsidR="00A8138F" w:rsidRDefault="00A8138F" w:rsidP="00A8138F">
      <w:pPr>
        <w:pStyle w:val="TextoNormal"/>
      </w:pPr>
      <w:r w:rsidRPr="00A8138F">
        <w:rPr>
          <w:rStyle w:val="NumeroAFNegritaCaracter"/>
        </w:rPr>
        <w:t>2</w:t>
      </w:r>
      <w:r>
        <w:t xml:space="preserve">. </w:t>
      </w:r>
      <w:r w:rsidRPr="00A8138F">
        <w:rPr>
          <w:i/>
        </w:rPr>
        <w:t>Consideraciones previas</w:t>
      </w:r>
    </w:p>
    <w:p w14:paraId="69B00664" w14:textId="77777777" w:rsidR="00A8138F" w:rsidRDefault="00A8138F" w:rsidP="00A8138F">
      <w:pPr>
        <w:pStyle w:val="TextoNormal"/>
      </w:pPr>
    </w:p>
    <w:p w14:paraId="014BA3A4" w14:textId="77777777" w:rsidR="00A8138F" w:rsidRDefault="00A8138F" w:rsidP="00A8138F">
      <w:pPr>
        <w:pStyle w:val="TextoNormal"/>
      </w:pPr>
      <w:r>
        <w:t>a) Delimitación y trascendencia constitucional de las cuestiones planteadas</w:t>
      </w:r>
    </w:p>
    <w:p w14:paraId="76E98742" w14:textId="77777777" w:rsidR="00A8138F" w:rsidRDefault="00A8138F" w:rsidP="00A8138F">
      <w:pPr>
        <w:pStyle w:val="TextoNormal"/>
      </w:pPr>
    </w:p>
    <w:p w14:paraId="5D463E3C" w14:textId="77777777" w:rsidR="00A8138F" w:rsidRDefault="00A8138F" w:rsidP="00A8138F">
      <w:pPr>
        <w:pStyle w:val="TextoNormal"/>
      </w:pPr>
      <w:r>
        <w:t>El presente recurso de amparo se refiere al potencial conflicto, a raíz de la publicación de un texto en la sección de ocio (Cuentos de verano) de un periódico, entre el derecho fundamental al honor de la recurrente (art. 18.1 CE) y el derecho a la producción y creación literaria del autor del texto y de la sociedad mercantil editora del diario [art. 20.1 b) CE]. Tales son los términos en los que se formula la demanda de amparo y en los que se desarrolló el debate en la vía judicial, por más que las partes invocasen, de manera accesoria, otros derechos fundamentales —el derecho a la intimidad personal y familiar, en el caso de la ahora recurrente en amparo, y los derechos a la libertad de información y de expresión, en el caso del autor y del editor del texto controvertido—.</w:t>
      </w:r>
    </w:p>
    <w:p w14:paraId="09752D31" w14:textId="77777777" w:rsidR="00A8138F" w:rsidRDefault="00A8138F" w:rsidP="00A8138F">
      <w:pPr>
        <w:pStyle w:val="TextoNormal"/>
      </w:pPr>
    </w:p>
    <w:p w14:paraId="200E8E13" w14:textId="77777777" w:rsidR="00A8138F" w:rsidRDefault="00A8138F" w:rsidP="00A8138F">
      <w:pPr>
        <w:pStyle w:val="TextoNormal"/>
      </w:pPr>
      <w:r>
        <w:t xml:space="preserve">Como expone el Ministerio Fiscal, no se ha discutido en la vía judicial que el artículo controvertido constituye un relato de ficción que se enmarca en el derecho a la libertad de producción y creación literaria del art. 20.1 b) CE, como tampoco lo ha sido el carácter potencialmente ofensivo del texto. El debate suscitado ante los órganos de la jurisdicción, y ahora en amparo, se centra en la identificación del personaje con la demandante, como presupuesto necesario para poder entender </w:t>
      </w:r>
      <w:r w:rsidRPr="00A8138F">
        <w:rPr>
          <w:i/>
        </w:rPr>
        <w:t>prima facie</w:t>
      </w:r>
      <w:r>
        <w:t xml:space="preserve"> concernido su derecho fundamental al honor. Solo en caso de verificarse este presupuesto procedería entrar propiamente en el terreno de la ponderación —en sentido técnico— entre tal derecho y la libertad de producción y creación literaria del autor y del editor del relato.</w:t>
      </w:r>
    </w:p>
    <w:p w14:paraId="1B007296" w14:textId="77777777" w:rsidR="00A8138F" w:rsidRDefault="00A8138F" w:rsidP="00A8138F">
      <w:pPr>
        <w:pStyle w:val="TextoNormal"/>
      </w:pPr>
    </w:p>
    <w:p w14:paraId="2ECD7FEE" w14:textId="77777777" w:rsidR="00A8138F" w:rsidRDefault="00A8138F" w:rsidP="00A8138F">
      <w:pPr>
        <w:pStyle w:val="TextoNormal"/>
      </w:pPr>
      <w:r>
        <w:t xml:space="preserve">Así delimitado, el presente supuesto plantea particularidades que propician que este tribunal profundice en su doctrina sobre la naturaleza, extensión y límites del derecho fundamental a la producción y creación literaria —doctrina que, como se verá, no es aún abundante— y, en particular, sobre su interacción con el derecho fundamental al honor. Ello se encuentra relacionado con la causa de especial trascendencia constitucional apreciada al admitir a trámite el recurso de amparo, consistente en que brinda al Tribunal la oportunidad de aclarar o cambiar su doctrina como consecuencia de un proceso de reflexión interna [STC 155/2009, FJ 2 b)]. En efecto, en la decisión más relevante hasta la fecha sobre la interacción entre los dos derechos fundamentales citados —la STC 51/2008, de 14 de abril—, el Tribunal Constitucional se pronunció sobre la compatibilidad con el derecho al honor del pasaje </w:t>
      </w:r>
      <w:r>
        <w:lastRenderedPageBreak/>
        <w:t>de una novela que describía conductas ficticias de un personaje a quien se atribuía el nombre y apellidos de una persona real, girando en aquella ocasión la cuestión controvertida acerca del carácter vejatorio del texto litigioso. El presente recurso de amparo se enfrenta a la situación inversa, pues, como ya hemos indicado, no se discute en este caso el potencial ofensivo del texto sino la posibilidad misma de reconocer en él a la persona de la recurrente en amparo. Se trata de una problemática que tampoco abordó la STC 34/2010, de 19 de julio, relativa a un “docudrama” (que incluía una advertencia final conforme a la cual se trataba de “una ficción inspirada en sucesos reales” y que utilizaba nombres ficticios para todos sus protagonistas) en el que lo esencial de la historia se correspondía con hechos y situaciones reales, si bien se mezclaba con situaciones y diálogos inventados, pues en aquel caso no fue propiamente objeto de controversia ante este tribunal la conclusión de los órganos judiciales de que la notoriedad de los hechos narrados y su fidelidad esencial a los mismos permitía la recognoscibilidad de las personas afectadas por la obra.</w:t>
      </w:r>
    </w:p>
    <w:p w14:paraId="62D43007" w14:textId="77777777" w:rsidR="00A8138F" w:rsidRDefault="00A8138F" w:rsidP="00A8138F">
      <w:pPr>
        <w:pStyle w:val="TextoNormal"/>
      </w:pPr>
    </w:p>
    <w:p w14:paraId="116C6739" w14:textId="77777777" w:rsidR="00A8138F" w:rsidRDefault="00A8138F" w:rsidP="00A8138F">
      <w:pPr>
        <w:pStyle w:val="TextoNormal"/>
      </w:pPr>
      <w:r>
        <w:t>b) Alcance y estructura del enjuiciamiento</w:t>
      </w:r>
    </w:p>
    <w:p w14:paraId="2832CCBB" w14:textId="77777777" w:rsidR="00A8138F" w:rsidRDefault="00A8138F" w:rsidP="00A8138F">
      <w:pPr>
        <w:pStyle w:val="TextoNormal"/>
      </w:pPr>
    </w:p>
    <w:p w14:paraId="04D9B30B" w14:textId="77777777" w:rsidR="00A8138F" w:rsidRDefault="00A8138F" w:rsidP="00A8138F">
      <w:pPr>
        <w:pStyle w:val="TextoNormal"/>
      </w:pPr>
      <w:r>
        <w:t xml:space="preserve">El examen de la cuestión controvertida ha de realizarse teniendo en cuenta que, según consolidada doctrina constitucional (sintetizada, por todas, en la STC 79/2014, de 28 de mayo, FJ 4) la función de este tribunal en los casos de potencial colisión de derechos fundamentales sustantivos no se limita a examinar la suficiencia de la motivación de las resoluciones judiciales frente a las que se demanda amparo desde el prisma del art. 24 CE, sino que, en el ejercicio de su competencia como garante máximo de los derechos fundamentales, el Tribunal Constitucional debe resolver por sí mismo el eventual conflicto entre los derechos afectados, determinando si, efectivamente, han sido vulnerados atendiendo al contenido que constitucionalmente corresponda a cada uno de ellos. En otras palabras, en este tipo de casos este tribunal ha de controlar la razonabilidad de la argumentación que sustenta la decisión judicial cuestionada y, más allá, verificar que los órganos judiciales han realizado una “ponderación constitucionalmente adecuada” de los derechos en conflicto (SSTC 112/2000, FJ 5; 46/2002, FJ 2, y 52/2002, FJ 2). Y, en estos supuestos, “el control de la ponderación judicial que debe realizarse en amparo debe incluir, no solo la correcta identificación de los derechos en conflicto, sino también la delimitación de su concreto ámbito de protección”, puesto que “sin la concurrencia de dos derechos en conflicto no hay ponderación posible, debiéndose reconocer eficacia inmediata al derecho fundamental que se pretende ejercer” (STC 51/2008, FJ </w:t>
      </w:r>
      <w:r w:rsidRPr="00A8138F">
        <w:rPr>
          <w:i/>
        </w:rPr>
        <w:t>4 in fi</w:t>
      </w:r>
      <w:r>
        <w:t>ne).</w:t>
      </w:r>
    </w:p>
    <w:p w14:paraId="27352165" w14:textId="77777777" w:rsidR="00A8138F" w:rsidRDefault="00A8138F" w:rsidP="00A8138F">
      <w:pPr>
        <w:pStyle w:val="TextoNormal"/>
      </w:pPr>
    </w:p>
    <w:p w14:paraId="24874B5C" w14:textId="3BDED28E" w:rsidR="00A8138F" w:rsidRDefault="00A8138F" w:rsidP="00A8138F">
      <w:pPr>
        <w:pStyle w:val="TextoNormal"/>
      </w:pPr>
      <w:r>
        <w:t>Partiendo de este enfoque, se abordan a continuación el contenido y los límites de los derechos fundamentales que aparentemente entran en conflicto en el caso (fundamentos jurídicos tercero y cuarto) para, posteriormente, determinar si las sentencias impugnadas han resuelto de manera constitucionalmente adecuada la potencial situación de conflicto entre los mismos (fundamento jurídico quinto).</w:t>
      </w:r>
    </w:p>
    <w:p w14:paraId="369CFAD5" w14:textId="77777777" w:rsidR="00A8138F" w:rsidRDefault="00A8138F" w:rsidP="00A8138F">
      <w:pPr>
        <w:pStyle w:val="TextoNormal"/>
      </w:pPr>
    </w:p>
    <w:p w14:paraId="7AC23711" w14:textId="77777777" w:rsidR="00A8138F" w:rsidRDefault="00A8138F" w:rsidP="00A8138F">
      <w:pPr>
        <w:pStyle w:val="TextoNormal"/>
      </w:pPr>
      <w:r w:rsidRPr="00A8138F">
        <w:rPr>
          <w:rStyle w:val="NumeroAFNegritaCaracter"/>
        </w:rPr>
        <w:t>3</w:t>
      </w:r>
      <w:r>
        <w:t xml:space="preserve">. </w:t>
      </w:r>
      <w:r w:rsidRPr="00A8138F">
        <w:rPr>
          <w:i/>
        </w:rPr>
        <w:t>Derecho a la producción y creación literaria</w:t>
      </w:r>
    </w:p>
    <w:p w14:paraId="09CFE660" w14:textId="77777777" w:rsidR="00A8138F" w:rsidRDefault="00A8138F" w:rsidP="00A8138F">
      <w:pPr>
        <w:pStyle w:val="TextoNormal"/>
      </w:pPr>
    </w:p>
    <w:p w14:paraId="43F7059A" w14:textId="77777777" w:rsidR="00A8138F" w:rsidRDefault="00A8138F" w:rsidP="00A8138F">
      <w:pPr>
        <w:pStyle w:val="TextoNormal"/>
      </w:pPr>
      <w:r>
        <w:t>a) Carácter autónomo y relevancia para el presente caso</w:t>
      </w:r>
    </w:p>
    <w:p w14:paraId="4129EC4A" w14:textId="77777777" w:rsidR="00A8138F" w:rsidRDefault="00A8138F" w:rsidP="00A8138F">
      <w:pPr>
        <w:pStyle w:val="TextoNormal"/>
      </w:pPr>
    </w:p>
    <w:p w14:paraId="2D51BAA7" w14:textId="77777777" w:rsidR="00A8138F" w:rsidRDefault="00A8138F" w:rsidP="00A8138F">
      <w:pPr>
        <w:pStyle w:val="TextoNormal"/>
      </w:pPr>
      <w:r>
        <w:t>El art. 20.1 CE reconoce y protege varios derechos fundamentales que tienen como objeto común la libre elaboración y circulación de discursos y de obras de creación, cuyo ámbito de protección no es coincidente, como tampoco lo son los criterios aplicables para enjuiciar la legitimidad de su ejercicio cuando colisiona con los derechos fundamentales de otras personas. De lo que se sigue la relevancia de la correcta identificación de cuál o cuáles son, en cada caso, los derechos que ofrecen cobertura a la actividad de creación y difusión de un discurso, un mensaje o una obra. Una operación que ha de realizarse teniendo en cuenta que un determinado producto de creación literaria o audiovisual puede resultar al mismo tiempo del ejercicio de varios de estos derechos, supuesto en el que resultarían aplicables, en la proporción correspondiente, las exigencias y límites propios de cada uno de ellos (STC 34/2010, FJ 3).</w:t>
      </w:r>
    </w:p>
    <w:p w14:paraId="449AA532" w14:textId="77777777" w:rsidR="00A8138F" w:rsidRDefault="00A8138F" w:rsidP="00A8138F">
      <w:pPr>
        <w:pStyle w:val="TextoNormal"/>
      </w:pPr>
    </w:p>
    <w:p w14:paraId="21C79E98" w14:textId="77777777" w:rsidR="00A8138F" w:rsidRDefault="00A8138F" w:rsidP="00A8138F">
      <w:pPr>
        <w:pStyle w:val="TextoNormal"/>
      </w:pPr>
      <w:r>
        <w:t>Así, en su apartado a), el art. 20.1 CE menciona la expresión y difusión de “pensamientos, ideas y opiniones mediante la palabra, el escrito o cualquier otro medio de reproducción”, lo que remite a la libertad de expresión de opiniones y juicios de valor en toda su extensión, del discurso oral al impreso, de los medios audiovisuales a las representaciones virtuales. En el apartado b) protege la “producción y creación literaria, artística, científica y técnica”. En los siguientes apartados del artículo 20.1 CE se reconoce la libertad de cátedra [c)] y el derecho a comunicar y recibir información veraz por cualquier medio de difusión [d)].</w:t>
      </w:r>
    </w:p>
    <w:p w14:paraId="05567E02" w14:textId="77777777" w:rsidR="00A8138F" w:rsidRDefault="00A8138F" w:rsidP="00A8138F">
      <w:pPr>
        <w:pStyle w:val="TextoNormal"/>
      </w:pPr>
    </w:p>
    <w:p w14:paraId="3C72F71A" w14:textId="77777777" w:rsidR="00A8138F" w:rsidRDefault="00A8138F" w:rsidP="00A8138F">
      <w:pPr>
        <w:pStyle w:val="TextoNormal"/>
      </w:pPr>
      <w:r>
        <w:t>Por su parte, y ateniéndonos ya en exclusiva al contenido del art. 20.1 b) CE, aunque este precepto reconoce la libertad de producción y creación literaria junto a la artística, la científica y la técnica, ha de aclararse que sus ámbitos de protección no son intercambiables, como se deduce de su mención particularizada por parte del constituyente. Por una parte, resulta evidente la diferencia que existe entre el campo del arte y de la literatura y el que caracteriza a la investigación científica y a la técnica, porque estas últimas requieren de una metodología que responde a modelos desarrollados por la lógica y la razón, frente a las primeras que carecen de fronteras precisas y son lugar de desenvolvimiento de la creatividad y la imaginación del ser humano. De otro lado, y por lo que respecta a la relación entre creación literaria y artística, ha de destacarse que a pesar de que ambas tienen un objeto común —a saber, la elaboración de una obra y su posterior divulgación, sea en forma de publicación o de exhibición—, arte y literatura son disciplinas diferenciables, actividades creativas que responden a códigos distintos y respecto de las que, en consecuencia, han de operar criterios jurídicos diversos a la hora de calificar la obra y definir los límites de la protección que le dispensa el derecho fundamental. Entre otras, estas diferencias se refieren a la presencia de un discurso narrativo —frecuente en la literatura, pero que no comparece necesariamente en las múltiples expresiones del arte— o al alcance y relevancia en la obra del elemento ficcional y de las referencias al mundo de la realidad —que puede operar con rigor como criterio de análisis de la obra literaria y, sin embargo, resultar menos adecuado en el universo de la creación artística—.</w:t>
      </w:r>
    </w:p>
    <w:p w14:paraId="089F7CCE" w14:textId="77777777" w:rsidR="00A8138F" w:rsidRDefault="00A8138F" w:rsidP="00A8138F">
      <w:pPr>
        <w:pStyle w:val="TextoNormal"/>
      </w:pPr>
    </w:p>
    <w:p w14:paraId="53991ACC" w14:textId="77777777" w:rsidR="00A8138F" w:rsidRDefault="00A8138F" w:rsidP="00A8138F">
      <w:pPr>
        <w:pStyle w:val="TextoNormal"/>
      </w:pPr>
      <w:r>
        <w:t>El carácter autónomo de los distintos derechos del art. 20.1 b) CE, entre sí y respecto de otros derechos reconocidos en el art. 20.1 CE, ha sido objeto de paulatino reconocimiento en la doctrina constitucional. En un principio, se consideró que, en su conjunto, los derechos del art. 20.1 b) CE suponían una concreción del derecho a la libertad de expresión del art. 20.1 a) CE. En efecto, en el primer pronunciamiento al respecto —en un conflicto positivo de competencia promovido por el Gobierno contra un decreto de la Generalitat de Cataluña sobre espectáculos teatrales y artísticos, y a propósito de la calificación de estos por edades— el Tribunal afirmó que lo que consagra el art. 20.1 b) CE “no es sino una concreción del derecho —también reconocido y protegido en el apartado a) del mismo— a expresar y difundir libremente pensamientos, ideas y opiniones, difusión que referida a las obras teatrales presupone no solo la publicación impresa del texto literario, sino también la representación pública de la obra, que se escribe siempre para ser representada” (STC 153/1985, FJ 5).</w:t>
      </w:r>
    </w:p>
    <w:p w14:paraId="7EA4F4E9" w14:textId="77777777" w:rsidR="00A8138F" w:rsidRDefault="00A8138F" w:rsidP="00A8138F">
      <w:pPr>
        <w:pStyle w:val="TextoNormal"/>
      </w:pPr>
    </w:p>
    <w:p w14:paraId="5620C76F" w14:textId="77777777" w:rsidR="00A8138F" w:rsidRDefault="00A8138F" w:rsidP="00A8138F">
      <w:pPr>
        <w:pStyle w:val="TextoNormal"/>
      </w:pPr>
      <w:r>
        <w:t>Sin embargo, la jurisprudencia posterior recogió el dato de que la libertad de producción y creación literaria, como los relativos a la creación artística, científica y técnica, era objeto de un derecho fundamental singular e independiente. Así, la ya citada STC 51/2008, FJ 5, reseñaba lo que hasta ese momento se había dicho sobre el derecho fundamental a la producción y creación literaria: que “constituye una ‘concreción del derecho a expresar libremente pensamientos, ideas y opiniones’ (SSTC 153/1985, de 7 de noviembre, FJ 5, y 43/2004, de 23 de marzo, FJ 5), una ‘faceta’ de la libertad de expresión (ATC 152/1993, de 24 de mayo, FJ 2), o un ‘ámbito’ en que se manifiesta la libertad de pensamiento y expresión (ATC 130/1985, de 27 de febrero, FJ 2), manifestaciones todas ellas que llevan implícita la idea de que la libertad protegida por el art. 20.1 a) CE no es solo la política, sino también la artística”. Pero, junto con ello, razonaba que “más allá de este hecho y de forma similar a como se ha reconocido respecto de la libertad de producción y creación científica (STC 43/2004, de 23 de marzo, FJ 5), la constitucionalización expresa del derecho a la producción y creación literaria le otorgan un contenido autónomo que, sin excluirlo, va más allá de la libertad de expresión”. Esta valoración de la especificidad de la libertad de creación con un ámbito propio de protección se reprodujo después en la STC 34/2010, FJ 3.</w:t>
      </w:r>
    </w:p>
    <w:p w14:paraId="20B3099D" w14:textId="77777777" w:rsidR="00A8138F" w:rsidRDefault="00A8138F" w:rsidP="00A8138F">
      <w:pPr>
        <w:pStyle w:val="TextoNormal"/>
      </w:pPr>
    </w:p>
    <w:p w14:paraId="2E799915" w14:textId="77777777" w:rsidR="00A8138F" w:rsidRDefault="00A8138F" w:rsidP="00A8138F">
      <w:pPr>
        <w:pStyle w:val="TextoNormal"/>
      </w:pPr>
      <w:r>
        <w:t>Aunque, según ha quedado expuesto, en el presente caso no ha existido controversia entre las partes en la vía judicial acerca del derecho fundamental ejercitado por el autor y por el editor del texto controvertido, las alegaciones que estos han formulado en el recurso de amparo —que aluden tangencialmente a la libertad de expresión—, así como la naturaleza del medio de comunicación en el que se llevó a cabo la publicación del relato —que pudiera sugerir que nos encontramos ante un supuesto de ejercicio de la libertad de información— y las alusiones de las sentencias impugnadas, conjuntamente, a la creación literaria y artística, hacen necesario dejar sentado que la publicación del texto controvertido tiene cobertura, en principio, en el derecho a la producción y creación literaria reconocido en el art. 20.1 b) CE.</w:t>
      </w:r>
    </w:p>
    <w:p w14:paraId="38032A9D" w14:textId="77777777" w:rsidR="00A8138F" w:rsidRDefault="00A8138F" w:rsidP="00A8138F">
      <w:pPr>
        <w:pStyle w:val="TextoNormal"/>
      </w:pPr>
    </w:p>
    <w:p w14:paraId="10978618" w14:textId="77777777" w:rsidR="00A8138F" w:rsidRDefault="00A8138F" w:rsidP="00A8138F">
      <w:pPr>
        <w:pStyle w:val="TextoNormal"/>
      </w:pPr>
      <w:r>
        <w:t>Como correctamente apreciaron las sentencias recurridas, así resulta, por una parte, de la propia ubicación de la pieza en el periódico (dentro de la sección Ocio y, en concreto, en la subsección Cuentos de verano) y, de otro lado, del contenido del texto, que deja claro que no se trata de un artículo de opinión, de crítica política o de finalidad informativa, sino de una creación literaria, por más que la misma tenga como trasfondo la corrupción política. En efecto, la ubicación del texto ofrece un indicador preciso. Junto a su presentación, el estilo y los recursos que emplea el autor —exageración, diálogos rápidos, conductas no convencionales— ponen de manifiesto que está proponiendo al lector un mundo imaginado, que no intenta describir la vida política de un municipio, sino hacer anécdota a partir de ella. Es, sin duda, el espacio de la creación literaria. Desde luego, el autor no pretende trasmitir información, ya que su relato carece de datos dotados de un mínimo de precisión, ya sean relativos a hechos conocidos de la corrupción local, a nombres de actores de la política municipal o a lugares o escenarios reales de dicho contexto. Tampoco el texto sostiene opiniones o juicios de valor sobre hechos concretos de la política municipal y de la corrupción, conocida o por conocer, lo que supondría el ejercicio de la libertad de expresión del autor. Por tanto, y con independencia de su calidad y buen gusto, el texto en cuestión debe ser calificado como producto de la creación literaria.</w:t>
      </w:r>
    </w:p>
    <w:p w14:paraId="3C86E6CF" w14:textId="77777777" w:rsidR="00A8138F" w:rsidRDefault="00A8138F" w:rsidP="00A8138F">
      <w:pPr>
        <w:pStyle w:val="TextoNormal"/>
      </w:pPr>
    </w:p>
    <w:p w14:paraId="3227A8F5" w14:textId="77777777" w:rsidR="00A8138F" w:rsidRDefault="00A8138F" w:rsidP="00A8138F">
      <w:pPr>
        <w:pStyle w:val="TextoNormal"/>
      </w:pPr>
      <w:r>
        <w:t>b) Objeto y contenido</w:t>
      </w:r>
    </w:p>
    <w:p w14:paraId="548BECBD" w14:textId="77777777" w:rsidR="00A8138F" w:rsidRDefault="00A8138F" w:rsidP="00A8138F">
      <w:pPr>
        <w:pStyle w:val="TextoNormal"/>
      </w:pPr>
    </w:p>
    <w:p w14:paraId="43BA09B4" w14:textId="77777777" w:rsidR="00A8138F" w:rsidRDefault="00A8138F" w:rsidP="00A8138F">
      <w:pPr>
        <w:pStyle w:val="TextoNormal"/>
      </w:pPr>
      <w:r>
        <w:t>El objeto del derecho fundamental a la producción y creación literaria “es la libertad del propio proceso creativo”, protegiéndolo “respecto de toda interferencia ilegítima proveniente de los poderes públicos o de los particulares” (STC 51/2008, FJ 5) y, en particular, manteniéndolo inmune frente a cualquier forma de censura previa (art. 20.2 CE) y limitando el secuestro de las publicaciones a los casos en que así se acuerde por resolución judicial (art. 20.5 CE). La tutela de la creación literaria también alcanza, así, a la circulación de la obra, a su difusión, pues “tiene una proyección externa derivada de la voluntad de su autor, quien crea para comunicarse” (STC 51/2008, FJ 5).</w:t>
      </w:r>
    </w:p>
    <w:p w14:paraId="1E368560" w14:textId="77777777" w:rsidR="00A8138F" w:rsidRDefault="00A8138F" w:rsidP="00A8138F">
      <w:pPr>
        <w:pStyle w:val="TextoNormal"/>
      </w:pPr>
    </w:p>
    <w:p w14:paraId="095A90FD" w14:textId="77777777" w:rsidR="00A8138F" w:rsidRDefault="00A8138F" w:rsidP="00A8138F">
      <w:pPr>
        <w:pStyle w:val="TextoNormal"/>
      </w:pPr>
      <w:r>
        <w:t>De esta manera, la Constitución protege la creación literaria mediante el reconocimiento de un derecho de libertad que salvaguarda el proceso creativo en tanto que actividad intelectual y, por lo tanto, configura una esfera de autonomía de la persona para la elaboración de su obra, que en este campo se entiende como una proyección del autor, de su imaginación y capacidad creadora. Además, la libertad se extiende a la protección de un espacio público donde el autor pueda dar a conocer la obra mediante su circulación, distribución y exhibición. En buena medida, la creación literaria es una de las expresiones relevantes que puede asumir el libre desarrollo de la personalidad en su vertiente intelectual (art. 10.1 CE).</w:t>
      </w:r>
    </w:p>
    <w:p w14:paraId="254E9418" w14:textId="77777777" w:rsidR="00A8138F" w:rsidRDefault="00A8138F" w:rsidP="00A8138F">
      <w:pPr>
        <w:pStyle w:val="TextoNormal"/>
      </w:pPr>
    </w:p>
    <w:p w14:paraId="7C6F4D43" w14:textId="77777777" w:rsidR="00A8138F" w:rsidRDefault="00A8138F" w:rsidP="00A8138F">
      <w:pPr>
        <w:pStyle w:val="TextoNormal"/>
      </w:pPr>
      <w:r>
        <w:t>En su dimensión subjetiva, el derecho fundamental atribuye al autor la facultad de hacer literatura, que consiste —en términos generales y desde una perspectiva estrictamente jurídica al servicio del análisis de los conflictos entre este derecho fundamental y otros derechos o intereses— en la construcción de mundos posibles, de universos diferentes al mundo de la realidad en el que vivimos. Dice en este sentido la citada STC 51/2008, FJ 5, que “[c]omo en toda actividad creativa, que por definición es prolongación de su propio autor y en la que se entremezclan impresiones y experiencias del mismo, la creación literaria da nacimiento a una nueva realidad, que se forja y transmite a través de la palabra escrita, y que no se identifica con la realidad empírica”.</w:t>
      </w:r>
    </w:p>
    <w:p w14:paraId="2F166A62" w14:textId="77777777" w:rsidR="00A8138F" w:rsidRDefault="00A8138F" w:rsidP="00A8138F">
      <w:pPr>
        <w:pStyle w:val="TextoNormal"/>
      </w:pPr>
    </w:p>
    <w:p w14:paraId="0086A3E3" w14:textId="77777777" w:rsidR="00A8138F" w:rsidRDefault="00A8138F" w:rsidP="00A8138F">
      <w:pPr>
        <w:pStyle w:val="TextoNormal"/>
      </w:pPr>
      <w:r>
        <w:t>Para lograr el efecto de sentido que busca, el autor puede valerse de artificios ficcionales, pero también de otros que recoge de la realidad, artificios factuales o referenciales. De ahí que, incluso cuando el creador de piezas literarias pretende desenvolverse en el campo del parecer, en el mundo de la apariencia (propio de la ficción, de lo no literal) y no en el del ser (lo literal), no puede negarse que su ámbito de referencia, como para el lector y el espectador, es el de la vida y la experiencia personal. Por ello, en toda obra se encuentran elementos referenciales externos, ya sean relativos a personas, hechos históricos o de actualidad, a acontecimientos o lugares. En principio, esos elementos pueden ofrecer una apariencia de realidad, pero hay que entender que quedan englobados en un universo que cuenta siempre con un elemento ficcional en mayor o menor grado, lo que le dota de cierta autonomía propia en tanto invención.</w:t>
      </w:r>
    </w:p>
    <w:p w14:paraId="5899B720" w14:textId="77777777" w:rsidR="00A8138F" w:rsidRDefault="00A8138F" w:rsidP="00A8138F">
      <w:pPr>
        <w:pStyle w:val="TextoNormal"/>
      </w:pPr>
    </w:p>
    <w:p w14:paraId="5A5AB612" w14:textId="77777777" w:rsidR="00A8138F" w:rsidRDefault="00A8138F" w:rsidP="00A8138F">
      <w:pPr>
        <w:pStyle w:val="TextoNormal"/>
      </w:pPr>
      <w:r>
        <w:t>De todo ello no se sigue que proceda sin más identificar literatura y ficción, porque hay literatura no ficcional (la autoficción, la literatura memorialista o testimonial) y ficción no literaria (desde la ficción cinematográfica a los nuevos géneros producidos por la cibercultura, que plantean el problema del estatuto de seres y bienes virtuales). Pero de los rasgos de la literatura como objeto del derecho sí se sigue, como indicó la ya citada STC 51/2008, FJ 5, que “no resulte posible trasladar a este ámbito el criterio de la veracidad, definitorio de la libertad de información, o el de la relevancia pública de los personajes o hechos narrados, o el de la necesidad de la información para contribuir a la formación de una opinión pública libre”.</w:t>
      </w:r>
    </w:p>
    <w:p w14:paraId="75E5F174" w14:textId="77777777" w:rsidR="00A8138F" w:rsidRDefault="00A8138F" w:rsidP="00A8138F">
      <w:pPr>
        <w:pStyle w:val="TextoNormal"/>
      </w:pPr>
    </w:p>
    <w:p w14:paraId="1A8B9BB4" w14:textId="77777777" w:rsidR="00A8138F" w:rsidRDefault="00A8138F" w:rsidP="00A8138F">
      <w:pPr>
        <w:pStyle w:val="TextoNormal"/>
      </w:pPr>
      <w:r>
        <w:t>c) Dimensión objetiva</w:t>
      </w:r>
    </w:p>
    <w:p w14:paraId="6A002742" w14:textId="77777777" w:rsidR="00A8138F" w:rsidRDefault="00A8138F" w:rsidP="00A8138F">
      <w:pPr>
        <w:pStyle w:val="TextoNormal"/>
      </w:pPr>
    </w:p>
    <w:p w14:paraId="592F95FA" w14:textId="77777777" w:rsidR="00A8138F" w:rsidRDefault="00A8138F" w:rsidP="00A8138F">
      <w:pPr>
        <w:pStyle w:val="TextoNormal"/>
      </w:pPr>
      <w:r>
        <w:t>El derecho fundamental a la producción y creación literaria tiene, como el resto de los derechos del art. 20.1 CE, una dimensión social o pública que obliga al Estado a proteger la libertad de creación y su difusión pública. En la libre circulación de la literatura reside un interés general, pues la divulgación de la obra es condición para que pueda llegar al público, que es un interés vinculado íntimamente al escritor, pero también a la sociedad, pues hace posible la lectura de la obra, garantizando el conocimiento y goce de la literatura como una modalidad del derecho universal de acceso a la cultura que recoge el art. 44.1 CE, y que está conectado con el mandato que la Constitución dirige a los poderes públicos para facilitar la participación de todos los ciudadanos en la vida cultural y social (art. 9.2 CE).</w:t>
      </w:r>
    </w:p>
    <w:p w14:paraId="47DDC43A" w14:textId="77777777" w:rsidR="00A8138F" w:rsidRDefault="00A8138F" w:rsidP="00A8138F">
      <w:pPr>
        <w:pStyle w:val="TextoNormal"/>
      </w:pPr>
    </w:p>
    <w:p w14:paraId="2106E414" w14:textId="77777777" w:rsidR="00A8138F" w:rsidRDefault="00A8138F" w:rsidP="00A8138F">
      <w:pPr>
        <w:pStyle w:val="TextoNormal"/>
      </w:pPr>
      <w:r>
        <w:t>El concepto de cultura es complejo, pero encuentra su ámbito de manifestación característico en las actividades creativas que como derechos fundamentales enumera el art. 20.1 b) CE: el arte, la literatura, la ciencia y la técnica —sin perjuicio de que a las dos últimas se refiera de manera separada y específica el art. 44.2 CE—. Desde esta perspectiva, el derecho fundamental a la libre producción y creación literaria adquiere una dimensión objetiva en cuya virtud los poderes públicos han de velar por la posibilidad del disfrute por todos de los bienes de la cultura. En nuestro ordenamiento jurídico —y en paralelo a la construcción de los derechos fundamentales a la libre comunicación de información y a la libertad de expresión, dotados de una dimensión especial debido a su doble carácter de libertad individual y de garantía de posibilidad de la existencia de una opinión pública libre, indisolublemente unida al pluralismo político propio del Estado democrático (STC 76/2002, de 8 de abril, FJ 3)—, la libertad de producción y creación literaria tiene también una especial dimensión en razón de su doble carácter de libertad individual y de garantía de un plural y universal acceso a la cultura por parte de lectores y espectadores.</w:t>
      </w:r>
    </w:p>
    <w:p w14:paraId="694487CF" w14:textId="77777777" w:rsidR="00A8138F" w:rsidRDefault="00A8138F" w:rsidP="00A8138F">
      <w:pPr>
        <w:pStyle w:val="TextoNormal"/>
      </w:pPr>
    </w:p>
    <w:p w14:paraId="4643DB97" w14:textId="77777777" w:rsidR="00A8138F" w:rsidRDefault="00A8138F" w:rsidP="00A8138F">
      <w:pPr>
        <w:pStyle w:val="TextoNormal"/>
      </w:pPr>
      <w:r>
        <w:t xml:space="preserve">La jurisprudencia del Tribunal Europeo de Derechos Humanos acerca de la libertad de creación artística —en la que se incluye la libertad de creación literaria, y que ha sido encuadrada como una faceta de la libertad de expresión del art. 10 del Convenio europeo de derechos humanos (CEDH), dada su falta de reconocimiento expreso en el propio convenio— se refiere también al valor objetivo de dicha libertad cuando resalta su importancia para el funcionamiento de una sociedad democrática, y su criterio ha sido claramente protector de la misma cuando ha tenido que confrontarla con el derecho a la vida privada (art. 8 CEDH). Así, en la STEDH de 29 de marzo de 2005, asunto </w:t>
      </w:r>
      <w:r w:rsidRPr="00A8138F">
        <w:rPr>
          <w:i/>
        </w:rPr>
        <w:t>Alinak c. Turquía</w:t>
      </w:r>
      <w:r>
        <w:t>, relativa al secuestro de una obra literaria, el Tribunal observó que el libro controvertido era “una novela de ficción inspirada en hechos reales” y que “el artículo 10 incluye la libertad de expresión artística —en particular dentro de la libertad de recibir y difundir informaciones e ideas—, que brinda la oportunidad de participar en el intercambio público de información e ideas culturales, políticas y sociales de todo tipo”. Para concluir que “quienes crean, interpretan, distribuyen o exponen obras de arte contribuyen al intercambio de ideas y opiniones, esencial para una sociedad democrática. Por lo tanto, el Estado tiene la obligación de no coartar indebidamente la libertad de expresión del autor”.</w:t>
      </w:r>
    </w:p>
    <w:p w14:paraId="63116F5D" w14:textId="77777777" w:rsidR="00A8138F" w:rsidRDefault="00A8138F" w:rsidP="00A8138F">
      <w:pPr>
        <w:pStyle w:val="TextoNormal"/>
      </w:pPr>
    </w:p>
    <w:p w14:paraId="66395938" w14:textId="77777777" w:rsidR="00A8138F" w:rsidRDefault="00A8138F" w:rsidP="00A8138F">
      <w:pPr>
        <w:pStyle w:val="TextoNormal"/>
      </w:pPr>
      <w:r>
        <w:t>d) Límites</w:t>
      </w:r>
    </w:p>
    <w:p w14:paraId="1AB5587F" w14:textId="77777777" w:rsidR="00A8138F" w:rsidRDefault="00A8138F" w:rsidP="00A8138F">
      <w:pPr>
        <w:pStyle w:val="TextoNormal"/>
      </w:pPr>
    </w:p>
    <w:p w14:paraId="03A01566" w14:textId="77777777" w:rsidR="00A8138F" w:rsidRDefault="00A8138F" w:rsidP="00A8138F">
      <w:pPr>
        <w:pStyle w:val="TextoNormal"/>
      </w:pPr>
      <w:r>
        <w:t>El ejercicio del derecho a la producción y creación literaria está sometido, como el resto de los derechos que recoge el art. 20.1 CE, a límites constitucionales que este tribunal ha ido perfilando progresivamente. El apartado 4 del art. 20 CE dispone que las libertades reconocidas en este precepto tienen su límite en el respeto a los derechos reconocidos en el título I de la Constitución, en los preceptos de las leyes que los desarrollen “y, especialmente, en el derecho al honor, a la intimidad, a la propia imagen y a la protección de la juventud y de la infancia”. En la última época la jurisprudencia constitucional ha puesto de relieve, como límite a los derechos relacionados con la elaboración y circulación de discursos, la prohibición de expresiones que sean manifestación del denominado discurso del odio, que ha de interpretarse como aquel que contiene incitaciones a la acción violenta o a la discriminación de colectivos desfavorecidos (por todas, STC 112/2016, de 20 de junio, FJ 2). Por el contrario, nuestra doctrina ha destacado que el examen jurídico de un conflicto relacionado con la literatura o el arte no atiende a cánones estéticos o estilísticos, pues “el buen gusto o la calidad literaria no constituyen límites constitucionales a dicho derecho” (STC 51/2008, FJ 5).</w:t>
      </w:r>
    </w:p>
    <w:p w14:paraId="4E1085A6" w14:textId="77777777" w:rsidR="00A8138F" w:rsidRDefault="00A8138F" w:rsidP="00A8138F">
      <w:pPr>
        <w:pStyle w:val="TextoNormal"/>
      </w:pPr>
    </w:p>
    <w:p w14:paraId="5608D8A7" w14:textId="77777777" w:rsidR="00A8138F" w:rsidRDefault="00A8138F" w:rsidP="00A8138F">
      <w:pPr>
        <w:pStyle w:val="TextoNormal"/>
      </w:pPr>
      <w:r>
        <w:t>En cuanto a la delimitación del contenido del derecho a la producción y creación literaria y su impacto en los derechos de terceros —por lo que ahora interesa, en el derecho al honor—, adquiere particular relevancia el elemento creativo que, según hemos indicado, caracteriza en todo caso a la literatura. En el campo de la creación literaria existen diferentes géneros que van desde la novela histórica a la ciencia ficción, con formatos y soportes no solo diversos sino de difícil clasificación. Todos ellos responden a una problemática común, la referencialidad, es decir, la relación del discurso con los objetos y sujetos del mundo real, que es un modo de contextualizar o anclar el discurso creativo para dotarlo de sentido. Existe en la literatura una relación de tensión entre lo ficcional, lo que no existe, y el mundo, lo factual, relación que puede desenvolverse idealmente, siempre con la complicidad del lector, como juego y negociación. En la estrategia de sentido de una obra literaria los elementos referenciales remiten a sujetos, lugares y hechos auténticos. La relación entre lo ficcional y lo factual, que en la creación literaria es un diálogo, descansa en alguna diferencia que debe establecerse entre lo imaginario y lo real.</w:t>
      </w:r>
    </w:p>
    <w:p w14:paraId="5646C579" w14:textId="77777777" w:rsidR="00A8138F" w:rsidRDefault="00A8138F" w:rsidP="00A8138F">
      <w:pPr>
        <w:pStyle w:val="TextoNormal"/>
      </w:pPr>
    </w:p>
    <w:p w14:paraId="60D41C5D" w14:textId="77777777" w:rsidR="00A8138F" w:rsidRDefault="00A8138F" w:rsidP="00A8138F">
      <w:pPr>
        <w:pStyle w:val="TextoNormal"/>
      </w:pPr>
      <w:r>
        <w:t>La tensión entre imaginación y realidad se intensifica con la circulación de relatos que operan con personajes que no son de papel o fruto exclusivo de la invención del autor, sino que han sido tomados de modelos de la realidad o que, incluso, llevan el nombre de personas vivas o que han vivido —caso del que se ocupó, como recordábamos antes, la STC 51/2008—. Porque, en este supuesto, pueden aparecer personas que se sienten dañadas en su dignidad por la descripción y el comportamiento del personaje literario. Ello plantea dos problemas al juez: uno, si la persona está suficientemente identificada con el personaje; otro, si la conducta de este puede lesionar la reputación de aquella.</w:t>
      </w:r>
    </w:p>
    <w:p w14:paraId="72DFF64B" w14:textId="77777777" w:rsidR="00A8138F" w:rsidRDefault="00A8138F" w:rsidP="00A8138F">
      <w:pPr>
        <w:pStyle w:val="TextoNormal"/>
      </w:pPr>
    </w:p>
    <w:p w14:paraId="5F234EF4" w14:textId="77777777" w:rsidR="00A8138F" w:rsidRDefault="00A8138F" w:rsidP="00A8138F">
      <w:pPr>
        <w:pStyle w:val="TextoNormal"/>
      </w:pPr>
      <w:r>
        <w:t>Un último apunte es oportuno hacer en relación con los límites de esta libertad y la afectación de los derechos de terceros. Acerca de la libertad de creación científica del historiador, la doctrina de este tribunal ha establecido que, desde la perspectiva de su potencial conflicto con el derecho al honor de otras personas, nos encontramos ante una libertad con “una protección acrecida respecto a la que opera para las libertades de expresión e información”. En el caso del debate histórico la razón de ser de dicha protección ampliada radica en que, al referirse la historiografía a hechos del pasado protagonizados por individuos cuya personalidad se ha ido diluyendo con el paso del tiempo, la libertad historiográfica no puede incidir en la dignidad de las personas con el mismo alcance e intensidad que las libertades de expresión e información. Y responde al hecho de que “solo de esta manera se hace posible la investigación histórica, que es siempre, por definición, polémica y discutible, por erigirse alrededor de aseveraciones y juicios de valor sobre cuya verdad objetiva es imposible alcanzar plena certidumbre, siendo así que esa incertidumbre consustancial al debate histórico representa lo que este tiene de más valioso, respetable y digno de protección por el papel esencial que desempeña en la formación de una conciencia histórica adecuada a la dignidad de los ciudadanos de una sociedad libre y democrática” (STC 43/2004, FJ 5).</w:t>
      </w:r>
    </w:p>
    <w:p w14:paraId="48F18B46" w14:textId="77777777" w:rsidR="00A8138F" w:rsidRDefault="00A8138F" w:rsidP="00A8138F">
      <w:pPr>
        <w:pStyle w:val="TextoNormal"/>
      </w:pPr>
    </w:p>
    <w:p w14:paraId="6BD08C5C" w14:textId="14DFCD23" w:rsidR="00A8138F" w:rsidRDefault="00A8138F" w:rsidP="00A8138F">
      <w:pPr>
        <w:pStyle w:val="TextoNormal"/>
      </w:pPr>
      <w:r>
        <w:t>Otro tanto debemos afirmar ahora respecto de la libertad de producción y creación literaria. La literatura, en efecto, incide en la dignidad de las personas de manera diferente a como lo hacen la opinión o la información, precisamente porque, como hemos afirmado, “da nacimiento a una nueva realidad”, que se erige y configura mediante artificios literarios y de estilo, que no puede confundirse con el mundo de la realidad y de la vida, por más que el lector encuentre en la obra referencias externas a un momento histórico, a hechos realmente acaecidos o a personas reconocibles. Es por eso por lo que, en principio, la obra literaria tiene una menor capacidad de injerencia que las libertades de expresión o información en el derecho al honor o en la vida privada de las personas. Dado que dentro de la creación literaria existen diferentes géneros y no todos ellos toman distancia en la misma medida y con la misma intensidad de la realidad, cabe entender que, cuanto mayor sea la elevación de la obra literaria sobre la realidad menor será su potencial ofensivo sobre los derechos de terceros que pudieran verse afectados. Más aún, cuando dicha elevación se traduzca en la carencia absoluta de elementos referenciales —porque la obra se presente con rigor bajo el formato de una ficción pura y ofrezca mundos imaginarios y simulados— o, bien, cuando los que utilice la estrategia narrativa sean insuficientemente precisos para establecer una vinculación clara y notoria con una determinada realidad o una persona cierta, cabrá aceptar que estamos ante una obra que resulta inadecuada para lesionar los derechos de la personalidad de sujetos específicos, caso en que no resultará procedente entrar siquiera a ponderar los derechos en juego a la luz del potencial ofensivo del texto en el caso concreto.</w:t>
      </w:r>
    </w:p>
    <w:p w14:paraId="2B7F0982" w14:textId="77777777" w:rsidR="00A8138F" w:rsidRDefault="00A8138F" w:rsidP="00A8138F">
      <w:pPr>
        <w:pStyle w:val="TextoNormal"/>
      </w:pPr>
    </w:p>
    <w:p w14:paraId="475C161E" w14:textId="77777777" w:rsidR="00A8138F" w:rsidRDefault="00A8138F" w:rsidP="00A8138F">
      <w:pPr>
        <w:pStyle w:val="TextoNormal"/>
      </w:pPr>
      <w:r w:rsidRPr="00A8138F">
        <w:rPr>
          <w:rStyle w:val="NumeroAFNegritaCaracter"/>
        </w:rPr>
        <w:t>4</w:t>
      </w:r>
      <w:r>
        <w:t xml:space="preserve">. </w:t>
      </w:r>
      <w:r w:rsidRPr="00A8138F">
        <w:rPr>
          <w:i/>
        </w:rPr>
        <w:t>Derecho al honor</w:t>
      </w:r>
    </w:p>
    <w:p w14:paraId="6FE0B00A" w14:textId="77777777" w:rsidR="00A8138F" w:rsidRDefault="00A8138F" w:rsidP="00A8138F">
      <w:pPr>
        <w:pStyle w:val="TextoNormal"/>
      </w:pPr>
    </w:p>
    <w:p w14:paraId="3BDBDB6E" w14:textId="77777777" w:rsidR="00A8138F" w:rsidRDefault="00A8138F" w:rsidP="00A8138F">
      <w:pPr>
        <w:pStyle w:val="TextoNormal"/>
      </w:pPr>
      <w:r>
        <w:t>La doctrina constitucional ha reiterado que el derecho al honor es un derecho autónomo con contenido propio y específico respecto de los derechos a la intimidad personal y a la propia imagen, reconocidos en el art. 18.1 CE, a pesar de su estrecha relación con ellos en tanto que derechos de la personalidad, derivados de la dignidad humana y dirigidos a la protección del patrimonio moral de las personas [SSTC 81/2001, de 26 de marzo, FJ 2; 156/2001, de 2 de julio, FJ 3; 46/2002 , de 25 de febrero, FJ 4; 14/2003, de 28 de enero, FJ 4, y 127/2003, de 30 de junio, FJ 6 b)]. Asimismo, ha señalado que el honor, como objeto del derecho, es un concepto jurídico normativo cuya precisión depende de las reglas, valores e ideas sociales vigentes en cada momento. No obstante, la imprecisión del objeto del derecho al honor no impide delimitar su contenido constitucional abstracto en la tutela de la buena reputación de una persona, protegiéndola frente a expresiones o mensajes que la hagan desmerecer en la consideración ajena, al ir en su descrédito o menosprecio, o que sean tenidas en el concepto público como afrentosas (por todas, STC 28/2020, de 24 de febrero, FJ 4).</w:t>
      </w:r>
    </w:p>
    <w:p w14:paraId="04E1DC99" w14:textId="77777777" w:rsidR="00A8138F" w:rsidRDefault="00A8138F" w:rsidP="00A8138F">
      <w:pPr>
        <w:pStyle w:val="TextoNormal"/>
      </w:pPr>
    </w:p>
    <w:p w14:paraId="2AC380BB" w14:textId="77777777" w:rsidR="00A8138F" w:rsidRDefault="00A8138F" w:rsidP="00A8138F">
      <w:pPr>
        <w:pStyle w:val="TextoNormal"/>
      </w:pPr>
      <w:r>
        <w:t>Este tribunal ha señalado también (por todas STC 83/2023, de 4 de julio, FJ 4) que el derecho al honor constituye no solo “un límite a las libertades del art. 20.1 a) y d) CE, expresamente citado como tal en el núm. 4 del mismo artículo, sino que también es, en sí mismo considerado, un derecho fundamental protegido por el art. 18.1 CE, que, derivado de la dignidad de la persona, confiere a su titular el derecho a no ser escarnecido o humillado ante uno mismo o ante los demás”. En consecuencia, el derecho fundamental protege frente al “desmerecimiento en la consideración ajena” (STC 52/2002, de 25 de febrero, FJ 4), en la medida que el art. 18.1 CE persigue “la indemnidad de la imagen que de una persona puedan tener los demás” (STC 180/1999, de 11 de octubre, FJ 5).</w:t>
      </w:r>
    </w:p>
    <w:p w14:paraId="6E5A376F" w14:textId="77777777" w:rsidR="00A8138F" w:rsidRDefault="00A8138F" w:rsidP="00A8138F">
      <w:pPr>
        <w:pStyle w:val="TextoNormal"/>
      </w:pPr>
    </w:p>
    <w:p w14:paraId="68EF19EF" w14:textId="11BE67C6" w:rsidR="00A8138F" w:rsidRDefault="00A8138F" w:rsidP="00A8138F">
      <w:pPr>
        <w:pStyle w:val="TextoNormal"/>
      </w:pPr>
      <w:r>
        <w:t xml:space="preserve">En su interacción con el derecho fundamental a la producción y creación literaria, el derecho al honor puede verse afectado cuando una obra literaria, cualquiera que sea su formato, se refiera —en términos que quepa considerar, analizando las circunstancias concurrentes, como denigrantes, vejatorios o humillantes— a personas reales. Esta situación puede producirse cuando la obra en cuestión utiliza personajes a los que se atribuye expresamente el nombre y apellidos de una persona que vive o ha vivido en la realidad, pero puede acaecer también cuando tal persona resulta identificable de manera evidente y objetiva en el personaje literario a partir de datos referenciales contenidos en el relato. Este segundo supuesto remite a la necesidad de fijar criterios objetivos de valoración acerca de la recognoscibilidad de personas reales en los personajes de obras literarias, pues la mera sensación subjetiva del ofendido o la coincidencia de alguna o algunas características del personaje con su persona no puede bastar para entender concernido su derecho al honor en términos constitucionales, so pena de coartar de modo excesivo la libertad de producción y creación literaria —cuyo ejercicio, como venimos reiterando, implica siempre la asunción de referencias de la realidad en algún grado—. Entre los factores que han de tenerse en cuenta para valorar la identificabilidad de una persona real en una obra literaria se encuentran los relativos a rasgos de la personalidad, aspecto, actividad profesional, relaciones personales o sociales o, más en general, al comportamiento del personaje que supuestamente representa al titular del derecho al honor que se dice vulnerado; a la identificabilidad de otros personajes conectados con el que supuestamente alude a la persona del ofendido; o a la ubicación geográfica y temporal de los hechos narrados, así como a la historia que se cuenta. Solo cuando los datos y referencias de la obra literaria permitan identificar de modo notorio y evidente a una persona real cabrá entender afectado, </w:t>
      </w:r>
      <w:r w:rsidRPr="00A8138F">
        <w:rPr>
          <w:i/>
        </w:rPr>
        <w:t>prima facie</w:t>
      </w:r>
      <w:r>
        <w:t>, su derecho al honor.</w:t>
      </w:r>
    </w:p>
    <w:p w14:paraId="20D39F09" w14:textId="77777777" w:rsidR="00A8138F" w:rsidRDefault="00A8138F" w:rsidP="00A8138F">
      <w:pPr>
        <w:pStyle w:val="TextoNormal"/>
      </w:pPr>
    </w:p>
    <w:p w14:paraId="17A4709A" w14:textId="77777777" w:rsidR="00A8138F" w:rsidRDefault="00A8138F" w:rsidP="00A8138F">
      <w:pPr>
        <w:pStyle w:val="TextoNormal"/>
      </w:pPr>
      <w:r w:rsidRPr="00A8138F">
        <w:rPr>
          <w:rStyle w:val="NumeroAFNegritaCaracter"/>
        </w:rPr>
        <w:t>5</w:t>
      </w:r>
      <w:r>
        <w:t xml:space="preserve">. </w:t>
      </w:r>
      <w:r w:rsidRPr="00A8138F">
        <w:rPr>
          <w:i/>
        </w:rPr>
        <w:t>Aplicación al caso de la doctrina</w:t>
      </w:r>
    </w:p>
    <w:p w14:paraId="4E9D2E75" w14:textId="77777777" w:rsidR="00A8138F" w:rsidRDefault="00A8138F" w:rsidP="00A8138F">
      <w:pPr>
        <w:pStyle w:val="TextoNormal"/>
      </w:pPr>
    </w:p>
    <w:p w14:paraId="3EF081DB" w14:textId="77777777" w:rsidR="00A8138F" w:rsidRDefault="00A8138F" w:rsidP="00A8138F">
      <w:pPr>
        <w:pStyle w:val="TextoNormal"/>
      </w:pPr>
      <w:r>
        <w:t>Conforme a lo expuesto, la resolución de la cuestión constitucional planteada exige analizar en primer lugar si la pieza literaria cuestionada contiene elementos precisos de referencialidad para decidir si la narración trata de hechos y de personajes inventados o si, por el contrario, los protagonistas son reales y la recurrente en amparo es identificable de manera notoria y evidente con uno de ellos (en concreto, con la denominada en el relato como “concejala de obrillas”). Si no resulta razonable que la demandante se reconozca en uno de los personajes, se podría descartar de plano, como han hecho los órganos jurisdiccionales de apelación y de casación y como argumenta el Ministerio Fiscal, que su derecho al honor hubiera sido afectado de alguna manera. Si, por el contrario, se hubiera acreditado que ella es el modelo del personaje de la concejala, procedería la ponderación de los derechos en conflicto conforme a los criterios expuestos.</w:t>
      </w:r>
    </w:p>
    <w:p w14:paraId="7BE25A51" w14:textId="77777777" w:rsidR="00A8138F" w:rsidRDefault="00A8138F" w:rsidP="00A8138F">
      <w:pPr>
        <w:pStyle w:val="TextoNormal"/>
      </w:pPr>
    </w:p>
    <w:p w14:paraId="6AF0A4A6" w14:textId="77777777" w:rsidR="00A8138F" w:rsidRDefault="00A8138F" w:rsidP="00A8138F">
      <w:pPr>
        <w:pStyle w:val="TextoNormal"/>
      </w:pPr>
      <w:r>
        <w:t>En el presente caso, la protagonista del cuento, la “concejala de obrillas”, no es designada por rasgo físico o psicológico alguno que pudiera servir de indicio para su individualización en la realidad. Tampoco es recognoscible en la historia ninguna persona real que pueda asociarse con alguno de los personajes: el “concejal de basurillas”, con quien mantiene una relación íntima, “el Camarada” y “la concejala de asuntillos”. El único elemento que en el relato dibuja al personaje controvertido es su ocupación política. Pero, ha de concluirse que los términos en que se realiza dicha descripción, valorados en el contexto del conjunto del texto, son insuficientes para permitir identificar a la recurrente con la “concejala de obrillas”.</w:t>
      </w:r>
    </w:p>
    <w:p w14:paraId="12417B53" w14:textId="77777777" w:rsidR="00A8138F" w:rsidRDefault="00A8138F" w:rsidP="00A8138F">
      <w:pPr>
        <w:pStyle w:val="TextoNormal"/>
      </w:pPr>
    </w:p>
    <w:p w14:paraId="5F5C867F" w14:textId="77777777" w:rsidR="00A8138F" w:rsidRDefault="00A8138F" w:rsidP="00A8138F">
      <w:pPr>
        <w:pStyle w:val="TextoNormal"/>
      </w:pPr>
      <w:r>
        <w:t>Por una parte, hay que tener en cuenta que si bien el cuento fue publicado en un diario de ámbito regional —“La Opinión de Murcia”—, no se citan ni la región ni la ciudad de Murcia, por lo que no es posible afirmar que dicho espacio sea escenario de la narración. El texto apunta ciertas referencias que no permiten averiguar, de manera notoria y evidente, cual es la localidad donde se desarrolla la trama. La pieza menciona algunos elementos espaciales: “la rotondona”, el hotel “Vanel”, la plaza “Circular” y la “carretera vieja de Alicante”. Pero ninguno de estos datos ofrece a un lector imparcial pistas para conocer si la historia sucede en Murcia, como alega la recurrente. Y resulta que, como sostenían las sentencias impugnadas, la identificación de la ciudad es un hecho fundamental ya que la demandante basa su queja en que había sido concejal delegada de calidad urbana e infraestructuras del Ayuntamiento de Murcia, con competencia en materia de obras, entre 2011 y 2015. Sin embargo, es plausible sostener, con las resoluciones objeto del recurso, que muchas mujeres han desarrollado la actividad política como concejal con competencias en materia de obras en ayuntamientos de España o, incluso, de la propia comunidad autónoma de Murcia, si atendemos al ámbito territorial del periódico. Además, según constataban las sentencias, en el Ayuntamiento de Murcia y en el mismo período otras mujeres desempeñaron el cargo, y en el año 2012 se modificó la estructura de la organización de los servicios municipales para crear un área de infraestructuras, que fue dirigida por otra concejala, aunque no asumiera las competencias de obras.</w:t>
      </w:r>
    </w:p>
    <w:p w14:paraId="5CC298D5" w14:textId="77777777" w:rsidR="00A8138F" w:rsidRDefault="00A8138F" w:rsidP="00A8138F">
      <w:pPr>
        <w:pStyle w:val="TextoNormal"/>
      </w:pPr>
    </w:p>
    <w:p w14:paraId="6185BA78" w14:textId="77777777" w:rsidR="00A8138F" w:rsidRDefault="00A8138F" w:rsidP="00A8138F">
      <w:pPr>
        <w:pStyle w:val="TextoNormal"/>
      </w:pPr>
      <w:r>
        <w:t>De otro lado, la dimensión temporal del relato tampoco colabora a la identificación de la recurrente. En efecto, parece razonable entender —como hacen los órganos judiciales— que el carácter atemporal del texto, redactado en presente y publicado en el año 2017, cuando habían pasado dos años desde su cese en el cargo, excluye cualquier relación directa entre la anécdota narrada en el artículo y su actividad.</w:t>
      </w:r>
    </w:p>
    <w:p w14:paraId="1F590FCB" w14:textId="77777777" w:rsidR="00A8138F" w:rsidRDefault="00A8138F" w:rsidP="00A8138F">
      <w:pPr>
        <w:pStyle w:val="TextoNormal"/>
      </w:pPr>
    </w:p>
    <w:p w14:paraId="30B82759" w14:textId="77777777" w:rsidR="00A8138F" w:rsidRDefault="00A8138F" w:rsidP="00A8138F">
      <w:pPr>
        <w:pStyle w:val="TextoNormal"/>
      </w:pPr>
      <w:r>
        <w:t>Por último, conforme a la valoración de las resoluciones judiciales cuestionadas, no puede considerarse determinante para tal identificación tres indicadores que se presentan en el recurso. La declaración de los dos testigos que la actora aportó al proceso arroja una opinión, que se basa en la percepción subjetiva en tanto lectores del artículo, que no se acompañaba de datos objetivos y concretos que pusieran de relieve alguna coincidencia de rasgos, características, actos, costumbres o relaciones entre la persona de la actora y el personaje, entre su conducta conocida y los hechos que se narraban. Tampoco resulta decisiva la supuesta credibilidad del relato que se deduciría de una investigación abierta por la Fiscalía, ya que fue archivada sin mención de datos que conectaran a la recurrente con los hechos que constituían su objeto. Otro tanto cabe afirmar de la reproducción del “cuento de verano” en una web —ajena a los codemandados en la vía judicial— en un artículo sobre corrupción en la comunidad autónoma, pues que tal publicación pudiera sugerir la filiación del personaje masculino del relato, según se dice investigado por delito de cohecho, desde luego no conduce a la identificación de la recurrente, cuando no tiene ni ha tenido, según manifestó en el proceso, relación sentimental con esa persona que permita vincular la ficción con la realidad.</w:t>
      </w:r>
    </w:p>
    <w:p w14:paraId="21D3FE4B" w14:textId="77777777" w:rsidR="00A8138F" w:rsidRDefault="00A8138F" w:rsidP="00A8138F">
      <w:pPr>
        <w:pStyle w:val="TextoNormal"/>
      </w:pPr>
    </w:p>
    <w:p w14:paraId="19EF4299" w14:textId="77777777" w:rsidR="00A8138F" w:rsidRDefault="00A8138F" w:rsidP="00A8138F">
      <w:pPr>
        <w:pStyle w:val="TextoNormal"/>
      </w:pPr>
      <w:r>
        <w:t xml:space="preserve">En definitiva, y con independencia de su calidad literaria y de su buen gusto, de la lectura del texto controvertido no puede concluirse que la recurrente haya servido de modelo a la protagonista de </w:t>
      </w:r>
      <w:r w:rsidRPr="00A8138F">
        <w:rPr>
          <w:i/>
        </w:rPr>
        <w:t>El efecto látigo</w:t>
      </w:r>
      <w:r>
        <w:t>, cuya conducta considera lesiva de su reputación y buen nombre. Como indicó la sentencia de apelación, aunque existe en el texto controvertido algún elemento que, tomado de forma acrítica y descartando otras interpretaciones alternativas, pudiera llevar a establecer algún tipo de semejanza entre la persona de la actora y la protagonista del relato, lo cierto es que resulta insuficiente para afirmar dicha identificación si se valoran con un mínimo de rigor en el conjunto de la narración.</w:t>
      </w:r>
    </w:p>
    <w:p w14:paraId="01F3C3AC" w14:textId="77777777" w:rsidR="00A8138F" w:rsidRDefault="00A8138F" w:rsidP="00A8138F">
      <w:pPr>
        <w:pStyle w:val="TextoNormal"/>
      </w:pPr>
    </w:p>
    <w:p w14:paraId="2CEC3224" w14:textId="62255D79" w:rsidR="00A8138F" w:rsidRDefault="00A8138F" w:rsidP="00A8138F">
      <w:pPr>
        <w:pStyle w:val="TextoNormal"/>
      </w:pPr>
      <w:r>
        <w:t>De lo expuesto se deriva la incapacidad del relato para afectar, ni siquiera de manera indirecta, al derecho al honor de la recurrente, lo que excluye la procedencia de la ponderación de tal derecho con el derecho a la producción y creación literaria del autor y del editor del texto. Como hemos señalado, el derecho al honor protege frente al “desmerecimiento en la consideración ajena” (STC 52/2002, FJ 4), pues lo perseguido por el art. 18.1 CE “es la indemnidad de la imagen que de una persona puedan tener los demás” (STC 180/1999, FJ 5). Sin embargo, en este caso el lector no puede considerar de manera razonable que la pieza periodística se refiera a la recurrente. Su imagen o reputación social no ha sufrido ningún tipo de afectación, por lo que procede la desestimación de la demanda.</w:t>
      </w:r>
    </w:p>
    <w:p w14:paraId="1B875FEA" w14:textId="77777777" w:rsidR="00A8138F" w:rsidRDefault="00A8138F" w:rsidP="00A8138F">
      <w:pPr>
        <w:pStyle w:val="TextoNormal"/>
      </w:pPr>
    </w:p>
    <w:p w14:paraId="1963DD73" w14:textId="77777777" w:rsidR="00A8138F" w:rsidRDefault="00A8138F" w:rsidP="00A8138F">
      <w:pPr>
        <w:pStyle w:val="TextoNormalCentrado"/>
        <w:keepNext/>
      </w:pPr>
      <w:r>
        <w:t>FALLO</w:t>
      </w:r>
    </w:p>
    <w:p w14:paraId="0556CB2F" w14:textId="6DBD7CA6" w:rsidR="00A8138F" w:rsidRDefault="00A8138F" w:rsidP="00A8138F">
      <w:pPr>
        <w:pStyle w:val="TextoNormalCentrado"/>
        <w:keepNext/>
      </w:pPr>
    </w:p>
    <w:p w14:paraId="62A03A24" w14:textId="37E367C5"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doña Ana Martínez Vidal.</w:t>
      </w:r>
    </w:p>
    <w:p w14:paraId="6245BD09" w14:textId="77777777" w:rsidR="00A8138F" w:rsidRDefault="00A8138F" w:rsidP="00A8138F">
      <w:pPr>
        <w:pStyle w:val="TextoNormal"/>
      </w:pPr>
    </w:p>
    <w:p w14:paraId="4494CE4E" w14:textId="77777777" w:rsidR="00A8138F" w:rsidRDefault="00A8138F" w:rsidP="00A8138F">
      <w:pPr>
        <w:pStyle w:val="TextoNormal"/>
      </w:pPr>
      <w:r>
        <w:t>Publíquese esta sentencia en el “Boletín Oficial del Estado”.</w:t>
      </w:r>
    </w:p>
    <w:p w14:paraId="7DAD784B" w14:textId="77777777" w:rsidR="00A8138F" w:rsidRDefault="00A8138F" w:rsidP="00A8138F">
      <w:pPr>
        <w:pStyle w:val="TextoNormal"/>
      </w:pPr>
      <w:r>
        <w:t>Dada en Madrid, a trece de enero de dos mil veinticinco.</w:t>
      </w:r>
    </w:p>
    <w:p w14:paraId="51FC3793" w14:textId="53ECF6B1" w:rsidR="00A8138F" w:rsidRDefault="00A8138F">
      <w:pPr>
        <w:spacing w:after="160" w:line="278" w:lineRule="auto"/>
        <w:rPr>
          <w:rFonts w:ascii="Times New Roman" w:eastAsia="Times New Roman" w:hAnsi="Times New Roman" w:cs="Times New Roman"/>
          <w:sz w:val="24"/>
          <w:szCs w:val="24"/>
          <w:lang w:eastAsia="es-ES"/>
        </w:rPr>
      </w:pPr>
      <w:r>
        <w:br w:type="page"/>
      </w:r>
    </w:p>
    <w:p w14:paraId="3FA38CD2" w14:textId="77777777" w:rsidR="00A8138F" w:rsidRDefault="00A8138F" w:rsidP="00A8138F">
      <w:pPr>
        <w:pStyle w:val="TtuloResolucin"/>
      </w:pPr>
      <w:bookmarkStart w:id="4" w:name="SENTENCIA_2025_2"/>
      <w:r>
        <w:t>SENTENCIA 2/2025, de 13 de enero de 2025</w:t>
      </w:r>
    </w:p>
    <w:bookmarkEnd w:id="4"/>
    <w:p w14:paraId="7BD55026" w14:textId="77777777" w:rsidR="00A8138F" w:rsidRDefault="00A8138F" w:rsidP="00A8138F">
      <w:pPr>
        <w:pStyle w:val="TtuloResolucin"/>
      </w:pPr>
      <w:r>
        <w:t>Sala Segunda</w:t>
      </w:r>
    </w:p>
    <w:p w14:paraId="356870EF" w14:textId="77777777" w:rsidR="00A8138F" w:rsidRDefault="00A8138F" w:rsidP="00A8138F">
      <w:pPr>
        <w:pStyle w:val="TtuloBOE"/>
      </w:pPr>
      <w:r>
        <w:t>(BOE núm. 41, de 17 de febrero de 2025)</w:t>
      </w:r>
    </w:p>
    <w:p w14:paraId="35BAEA44" w14:textId="77777777" w:rsidR="00A8138F" w:rsidRDefault="00A8138F" w:rsidP="00A8138F">
      <w:pPr>
        <w:pStyle w:val="TextoNormalCentrado"/>
      </w:pPr>
      <w:r>
        <w:t>ECLI:ES:TC:2025:2</w:t>
      </w:r>
    </w:p>
    <w:p w14:paraId="4A730EF6" w14:textId="3B11D23B" w:rsidR="00A8138F" w:rsidRDefault="00A8138F" w:rsidP="00A8138F">
      <w:pPr>
        <w:pStyle w:val="TextoNormalCentrado"/>
      </w:pPr>
    </w:p>
    <w:p w14:paraId="07360F19" w14:textId="77777777" w:rsidR="00A8138F" w:rsidRDefault="00A8138F" w:rsidP="00A8138F">
      <w:pPr>
        <w:pStyle w:val="SntesisDescriptiva"/>
      </w:pPr>
      <w:r>
        <w:t>Recurso de amparo 5759-2022. Promovido por la entidad Pinazo Abogados, S.L., en relación con los autos dictados por un juzgado de primera instancia de Eivissa en procedimiento de ejecución hipotecaria.</w:t>
      </w:r>
    </w:p>
    <w:p w14:paraId="7435A415" w14:textId="48E4A90C" w:rsidR="00A8138F" w:rsidRDefault="00A8138F" w:rsidP="00A8138F">
      <w:pPr>
        <w:pStyle w:val="SntesisDescriptiva"/>
      </w:pPr>
    </w:p>
    <w:p w14:paraId="3EEC7821" w14:textId="77777777" w:rsidR="00A8138F" w:rsidRDefault="00A8138F" w:rsidP="00A8138F">
      <w:pPr>
        <w:pStyle w:val="SntesisAnaltica"/>
      </w:pPr>
      <w:r>
        <w:t>Vulneración del derecho a la tutela judicial sin indefensión: emplazamiento mediante edictos sin agotar las posibilidades de notificación personal al administrador de la mercantil demandada (STC 12/2024).</w:t>
      </w:r>
    </w:p>
    <w:p w14:paraId="6280B785" w14:textId="7F0D5E6D" w:rsidR="00A8138F" w:rsidRDefault="00A8138F" w:rsidP="00A8138F">
      <w:pPr>
        <w:pStyle w:val="SntesisAnaltica"/>
      </w:pPr>
    </w:p>
    <w:p w14:paraId="7F244362" w14:textId="24D66D96" w:rsidR="00A8138F" w:rsidRDefault="00A8138F" w:rsidP="00A8138F">
      <w:pPr>
        <w:pStyle w:val="Extracto"/>
      </w:pPr>
      <w:r>
        <w:t>1.</w:t>
      </w:r>
      <w:r>
        <w:tab/>
        <w:t>Es preciso que el órgano judicial agote las posibilidades de averiguación del domicilio real del demandado antes de acudir a su notificación por edictos. Cuando no conste tal domicilio en las actuaciones, el órgano judicial deberá realizar otras gestiones en orden a su averiguación, siempre que ello no suponga exigirle una desmedida actividad investigadora (SSTC 126/1999 o 12/2024) [FJ 2].</w:t>
      </w:r>
    </w:p>
    <w:p w14:paraId="411C5FFE" w14:textId="77777777" w:rsidR="00A8138F" w:rsidRDefault="00A8138F" w:rsidP="00A8138F">
      <w:pPr>
        <w:pStyle w:val="Extracto"/>
      </w:pPr>
    </w:p>
    <w:p w14:paraId="7F620FEF" w14:textId="54C99353" w:rsidR="00A8138F" w:rsidRDefault="00A8138F" w:rsidP="00A8138F">
      <w:pPr>
        <w:pStyle w:val="Extracto"/>
      </w:pPr>
      <w:r>
        <w:t>2.</w:t>
      </w:r>
      <w:r>
        <w:tab/>
        <w:t>Tras el intento infructuoso de notificación a una sociedad mercantil demandada, el órgano judicial debe consultar los datos del Registro Mercantil y, en ellos, los relativos al administrador; tomando en consideración lo que establece el art. 155.3 LEC en su último párrafo para los casos en que la demanda se dirige contra una persona jurídica, así como la jurisprudencia constitucional relativa al emplazamiento a través del administrador de una sociedad mercantil (STC 12/2024) [FJ 3].</w:t>
      </w:r>
    </w:p>
    <w:p w14:paraId="4531CFE0" w14:textId="77777777" w:rsidR="00A8138F" w:rsidRDefault="00A8138F" w:rsidP="00A8138F">
      <w:pPr>
        <w:pStyle w:val="Extracto"/>
      </w:pPr>
    </w:p>
    <w:p w14:paraId="6B4F23CE" w14:textId="77777777" w:rsidR="00A8138F" w:rsidRDefault="00A8138F" w:rsidP="00A8138F">
      <w:pPr>
        <w:pStyle w:val="Extracto"/>
      </w:pPr>
    </w:p>
    <w:p w14:paraId="7A7E1122"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34386BB" w14:textId="2EE74CE7" w:rsidR="00A8138F" w:rsidRDefault="00A8138F" w:rsidP="00A8138F">
      <w:pPr>
        <w:pStyle w:val="TextoNormal"/>
      </w:pPr>
    </w:p>
    <w:p w14:paraId="20C52828" w14:textId="77777777" w:rsidR="00A8138F" w:rsidRDefault="00A8138F" w:rsidP="00A8138F">
      <w:pPr>
        <w:pStyle w:val="TextoNormalCentrado"/>
        <w:keepNext/>
      </w:pPr>
      <w:r>
        <w:t>EN NOMBRE DEL REY</w:t>
      </w:r>
    </w:p>
    <w:p w14:paraId="6ABE760E" w14:textId="27C3E216" w:rsidR="00A8138F" w:rsidRDefault="00A8138F" w:rsidP="00A8138F">
      <w:pPr>
        <w:pStyle w:val="TextoNormalCentrado"/>
        <w:keepNext/>
      </w:pPr>
    </w:p>
    <w:p w14:paraId="5AD436A9" w14:textId="77777777" w:rsidR="00A8138F" w:rsidRDefault="00A8138F" w:rsidP="00A8138F">
      <w:pPr>
        <w:pStyle w:val="TextoNormalCentrado"/>
        <w:keepNext/>
      </w:pPr>
    </w:p>
    <w:p w14:paraId="3DE1CD0D" w14:textId="77777777" w:rsidR="00A8138F" w:rsidRDefault="00A8138F" w:rsidP="00A8138F">
      <w:pPr>
        <w:pStyle w:val="TextoNormal"/>
      </w:pPr>
      <w:r>
        <w:t>la siguiente</w:t>
      </w:r>
    </w:p>
    <w:p w14:paraId="1AFF2364" w14:textId="48FD70EB" w:rsidR="00A8138F" w:rsidRDefault="00A8138F" w:rsidP="00A8138F">
      <w:pPr>
        <w:pStyle w:val="TextoNormal"/>
      </w:pPr>
    </w:p>
    <w:p w14:paraId="03B75EED" w14:textId="77777777" w:rsidR="00A8138F" w:rsidRDefault="00A8138F" w:rsidP="00A8138F">
      <w:pPr>
        <w:pStyle w:val="TextoNormalCentrado"/>
        <w:keepNext/>
      </w:pPr>
      <w:r>
        <w:t>SENTENCIA</w:t>
      </w:r>
    </w:p>
    <w:p w14:paraId="6364B215" w14:textId="2910C737" w:rsidR="00A8138F" w:rsidRDefault="00A8138F" w:rsidP="00A8138F">
      <w:pPr>
        <w:pStyle w:val="TextoNormalCentrado"/>
        <w:keepNext/>
      </w:pPr>
    </w:p>
    <w:p w14:paraId="3736BC7F" w14:textId="77777777" w:rsidR="00A8138F" w:rsidRDefault="00A8138F" w:rsidP="00A8138F">
      <w:pPr>
        <w:pStyle w:val="TextoNormal"/>
      </w:pPr>
      <w:r>
        <w:t>En el recurso de amparo núm. 5759-2022, promovido por la entidad Pinazo Abogados, S.L., representada por la procuradora de los tribunales doña Raquel Gómez Sánchez y bajo la dirección letrada de don Bernardo María Pinazo Osuna, contra el auto de 5 de julio de 2022 dictado por el Juzgado de Primera Instancia núm. 2 de Eivissa en el incidente excepcional de nulidad de actuaciones núm. 5-2022, pieza separada del procedimiento de ejecución hipotecaria núm. 318-2019. Han sido parte la entidad Banco Santander, S.A., representada por el procurador de los tribunales don José Manuel Jiménez López, y la entidad Workki Coworking, S.L., representada por el procurador de los tribunales don Alberto Vall Cava de Llano. Ha intervenido el Ministerio Fiscal. Ha sido ponente la magistrada doña María Luisa Balaguer Callejón.</w:t>
      </w:r>
    </w:p>
    <w:p w14:paraId="0C62BAF5" w14:textId="55E46D02" w:rsidR="00A8138F" w:rsidRDefault="00A8138F" w:rsidP="00A8138F">
      <w:pPr>
        <w:pStyle w:val="TextoNormal"/>
      </w:pPr>
    </w:p>
    <w:p w14:paraId="67D3C725" w14:textId="77777777" w:rsidR="00A8138F" w:rsidRDefault="00A8138F" w:rsidP="00A8138F">
      <w:pPr>
        <w:pStyle w:val="TextoNormalNegritaCentrado"/>
        <w:keepNext/>
      </w:pPr>
      <w:r>
        <w:t>I. Antecedentes</w:t>
      </w:r>
    </w:p>
    <w:p w14:paraId="7DF78CF2" w14:textId="1CE71315" w:rsidR="00A8138F" w:rsidRDefault="00A8138F" w:rsidP="00A8138F">
      <w:pPr>
        <w:pStyle w:val="TextoNormalNegritaCentrado"/>
        <w:keepNext/>
      </w:pPr>
    </w:p>
    <w:p w14:paraId="1E6E166E" w14:textId="26D8C365" w:rsidR="00A8138F" w:rsidRDefault="00A8138F" w:rsidP="00A8138F">
      <w:pPr>
        <w:pStyle w:val="TextoNormal"/>
      </w:pPr>
      <w:r w:rsidRPr="00A8138F">
        <w:rPr>
          <w:rStyle w:val="NumeroAFNegritaCaracter"/>
        </w:rPr>
        <w:t>1</w:t>
      </w:r>
      <w:r>
        <w:t>. Por escrito registrado en este tribunal el 1 de septiembre de 2022, la entidad Pinazo Abogados, S.L., representada por la procuradora de los tribunales doña Raquel Gómez Sánchez y bajo la dirección del letrado don Bernardo María Pinazo Osuna, interpuso recurso de amparo contra el auto de 5 de julio de 2022 dictado por el Juzgado de Primera Instancia núm. 2 de Eivissa en el incidente excepcional de nulidad de actuaciones núm. 5-2022, pieza separada del procedimiento de ejecución hipotecaria núm. 318-2019.</w:t>
      </w:r>
    </w:p>
    <w:p w14:paraId="1FD925B8" w14:textId="77777777" w:rsidR="00A8138F" w:rsidRDefault="00A8138F" w:rsidP="00A8138F">
      <w:pPr>
        <w:pStyle w:val="TextoNormal"/>
      </w:pPr>
    </w:p>
    <w:p w14:paraId="74D02454" w14:textId="77777777" w:rsidR="00A8138F" w:rsidRDefault="00A8138F" w:rsidP="00A8138F">
      <w:pPr>
        <w:pStyle w:val="TextoNormal"/>
      </w:pPr>
      <w:r w:rsidRPr="00A8138F">
        <w:rPr>
          <w:rStyle w:val="NumeroAFNegritaCaracter"/>
        </w:rPr>
        <w:t>2</w:t>
      </w:r>
      <w:r>
        <w:t>. Los antecedentes relevantes para resolver la pretensión planteada son, en síntesis, los siguientes:</w:t>
      </w:r>
    </w:p>
    <w:p w14:paraId="7C81B48E" w14:textId="77777777" w:rsidR="00A8138F" w:rsidRDefault="00A8138F" w:rsidP="00A8138F">
      <w:pPr>
        <w:pStyle w:val="TextoNormal"/>
      </w:pPr>
    </w:p>
    <w:p w14:paraId="0E6E78EB" w14:textId="77777777" w:rsidR="00A8138F" w:rsidRDefault="00A8138F" w:rsidP="00A8138F">
      <w:pPr>
        <w:pStyle w:val="TextoNormal"/>
      </w:pPr>
      <w:r>
        <w:t>a) En el Juzgado de Primera Instancia núm. 2 de Eivissa se sigue procedimiento de ejecución hipotecaria núm. 318-2019 promovido por la entidad Banco Santander, S.A., frente a la entidad Promociones Casandra Siglo XXI, S.L., en calidad de deudor hipotecante, y frente a la entidad Pinazo Abogados, S.L., en calidad de tercer poseedor de tres de las cinco fincas hipotecadas, fincas núm. 18 646, 18 736 y 18 835 del Registro de la Propiedad núm. 1 de Eivissa.</w:t>
      </w:r>
    </w:p>
    <w:p w14:paraId="0551DD3D" w14:textId="77777777" w:rsidR="00A8138F" w:rsidRDefault="00A8138F" w:rsidP="00A8138F">
      <w:pPr>
        <w:pStyle w:val="TextoNormal"/>
      </w:pPr>
    </w:p>
    <w:p w14:paraId="2192CAD7" w14:textId="77777777" w:rsidR="00A8138F" w:rsidRDefault="00A8138F" w:rsidP="00A8138F">
      <w:pPr>
        <w:pStyle w:val="TextoNormal"/>
      </w:pPr>
      <w:r>
        <w:t>En la demanda se designó como domicilio a efectos de notificaciones, tanto de la entidad Promociones Casandra Siglo XXI, S.L., como de la entidad Pinazo Abogados, S.L., el sito en calle Lorenzo Viçens núm. 3, 3, Palma de Mallorca.</w:t>
      </w:r>
    </w:p>
    <w:p w14:paraId="1A39F674" w14:textId="77777777" w:rsidR="00A8138F" w:rsidRDefault="00A8138F" w:rsidP="00A8138F">
      <w:pPr>
        <w:pStyle w:val="TextoNormal"/>
      </w:pPr>
    </w:p>
    <w:p w14:paraId="45AE45A3" w14:textId="77777777" w:rsidR="00A8138F" w:rsidRDefault="00A8138F" w:rsidP="00A8138F">
      <w:pPr>
        <w:pStyle w:val="TextoNormal"/>
      </w:pPr>
      <w:r>
        <w:t>De entre los documentos adjuntos a la demanda ejecutiva deben destacarse los siguientes: (i) burofax remitido el 31 de julio de 2019 por la entidad Banco Santander, S.A., a la entidad Pinazo Abogados, S.L., a la dirección sita en edificio Portamar II, parcela de terreno 5.2/5, calle C, con resultado “no entregado por desconocido” (documentos núm. 26 a 31); (ii) burofax remitido el 15 de octubre de 2019 por el departamento de recuperaciones de la entidad Sociedad Tenedora de los Activos, S.L., a la entidad Pinazo Abogados, S.L., a la dirección sita en calle Cristo de la Epidemia núm. 86, Málaga, con resultado “ausente”, primero, y “no retirado de la oficina”, después (documentos núm. 32 y 33); (iii) nota informativa del Registro Mercantil de Málaga de fecha 6 de noviembre de 2019, en la que se hace constar como domicilio social de la entidad Pinazo Abogados, S.L., el sito en calle Cristo de la Epidemia núm. 86, 1, Málaga (documento núm. 34); y (iv) nota informativa del Registro Mercantil de Palma de Mallorca de fecha 18 de noviembre de 2019, en la que se hace constar como domicilio social de la entidad Promociones Casandra Siglo XXI, S.L., el situado en calle Lorenzo Viçens núm. 3, Palma de Mallorca (documento núm. 35).</w:t>
      </w:r>
    </w:p>
    <w:p w14:paraId="59E8F9C2" w14:textId="77777777" w:rsidR="00A8138F" w:rsidRDefault="00A8138F" w:rsidP="00A8138F">
      <w:pPr>
        <w:pStyle w:val="TextoNormal"/>
      </w:pPr>
    </w:p>
    <w:p w14:paraId="6A88083F" w14:textId="77777777" w:rsidR="00A8138F" w:rsidRDefault="00A8138F" w:rsidP="00A8138F">
      <w:pPr>
        <w:pStyle w:val="TextoNormal"/>
      </w:pPr>
      <w:r>
        <w:t>b) Por auto de 13 de julio de 2020, el juzgado acordó despachar ejecución frente a las entidades Promociones Casandra Siglo XXI, S.L., y Pinazo Abogados, S.L., por importe de 572 603,52 €, más intereses y costas. Por decreto de igual fecha se acordó expedir mandamiento al Registro de la Propiedad de Eivissa núm. 1 a fin de que comunicara el procedimiento de la ejecución al titular inscrito y a los acreedores posteriores conforme al art. 689 de la Ley de enjuiciamiento civil (LEC).</w:t>
      </w:r>
    </w:p>
    <w:p w14:paraId="4DA027F9" w14:textId="77777777" w:rsidR="00A8138F" w:rsidRDefault="00A8138F" w:rsidP="00A8138F">
      <w:pPr>
        <w:pStyle w:val="TextoNormal"/>
      </w:pPr>
    </w:p>
    <w:p w14:paraId="10E5C477" w14:textId="77777777" w:rsidR="00A8138F" w:rsidRDefault="00A8138F" w:rsidP="00A8138F">
      <w:pPr>
        <w:pStyle w:val="TextoNormal"/>
      </w:pPr>
      <w:r>
        <w:t>c) Por diligencia de ordenación de 5 de noviembre de 2020 se acordó requerir de pago tanto a la entidad Promociones Casandra Siglo XXI, S.L., como a la entidad Pinazo Abogados, S.L., en el domicilio sito en calle Lorenzo Viçens núm. 3, 3, Palma de Mallorca, acordando librar exhorto al Juzgado Decano de Palma de Mallorca.</w:t>
      </w:r>
    </w:p>
    <w:p w14:paraId="21A6A51D" w14:textId="77777777" w:rsidR="00A8138F" w:rsidRDefault="00A8138F" w:rsidP="00A8138F">
      <w:pPr>
        <w:pStyle w:val="TextoNormal"/>
      </w:pPr>
    </w:p>
    <w:p w14:paraId="6D275AD6" w14:textId="77777777" w:rsidR="00A8138F" w:rsidRDefault="00A8138F" w:rsidP="00A8138F">
      <w:pPr>
        <w:pStyle w:val="TextoNormal"/>
      </w:pPr>
      <w:r>
        <w:t>A la vista del resultado negativo del exhorto se ordenó la consulta domiciliaria “de la parte ejecutada”. En las actuaciones solo consta la consulta realizada en relación con la entidad Promociones Casandra Siglo XXI, S.L., de la que resultó otro domicilio, sito en calle Xarch núm. 7, planta 1, puerta T33, Eivissa, edificio Portamar II.</w:t>
      </w:r>
    </w:p>
    <w:p w14:paraId="107CA31D" w14:textId="77777777" w:rsidR="00A8138F" w:rsidRDefault="00A8138F" w:rsidP="00A8138F">
      <w:pPr>
        <w:pStyle w:val="TextoNormal"/>
      </w:pPr>
    </w:p>
    <w:p w14:paraId="0505BAD7" w14:textId="77777777" w:rsidR="00A8138F" w:rsidRDefault="00A8138F" w:rsidP="00A8138F">
      <w:pPr>
        <w:pStyle w:val="TextoNormal"/>
      </w:pPr>
      <w:r>
        <w:t>La parte ejecutante fue requerida por el juzgado para que aportara el número de identificación fiscal correcto de la entidad Pinazo Abogados, S.L., pero una vez aportado no consta haberse solicitado la averiguación domiciliaria de dicha mercantil.</w:t>
      </w:r>
    </w:p>
    <w:p w14:paraId="194F75F9" w14:textId="77777777" w:rsidR="00A8138F" w:rsidRDefault="00A8138F" w:rsidP="00A8138F">
      <w:pPr>
        <w:pStyle w:val="TextoNormal"/>
      </w:pPr>
    </w:p>
    <w:p w14:paraId="70767973" w14:textId="77777777" w:rsidR="00A8138F" w:rsidRDefault="00A8138F" w:rsidP="00A8138F">
      <w:pPr>
        <w:pStyle w:val="TextoNormal"/>
      </w:pPr>
      <w:r>
        <w:t>d) El servicio común de actos de comunicación y ejecución de Eivissa se personó el 19 de febrero de 2021 en la calle Xarch núm. 7, planta 1, puerta T33, Eivissa, para citar tanto a la entidad Promociones Casandra Siglo XXI, S.L., como a la entidad Pinazo Abogados, S.L., con resultado infructuoso; haciéndose constar en la correspondiente diligencia que “[e]l núm. 7 del carrer Xarch no existe. La dirección se refiere al edificio ‘Portamar’ pero la numeración no es correcta. No se corresponde con la actual”. Se realizó un segundo intento de notificación en dicho domicilio el 28 de abril de 2021 con resultado igualmente negativo, indicándose en la diligencia que “[r]ecorrida la calle indicada, no se localiza el núm. 7”.</w:t>
      </w:r>
    </w:p>
    <w:p w14:paraId="7BC5D050" w14:textId="77777777" w:rsidR="00A8138F" w:rsidRDefault="00A8138F" w:rsidP="00A8138F">
      <w:pPr>
        <w:pStyle w:val="TextoNormal"/>
      </w:pPr>
    </w:p>
    <w:p w14:paraId="0EAAFD48" w14:textId="77777777" w:rsidR="00A8138F" w:rsidRDefault="00A8138F" w:rsidP="00A8138F">
      <w:pPr>
        <w:pStyle w:val="TextoNormal"/>
      </w:pPr>
      <w:r>
        <w:t>e) Por diligencia de ordenación de 17 de mayo de 2021 se acordó que la notificación se realizara por edictos, al no constar otro domicilio de la parte ejecutada.</w:t>
      </w:r>
    </w:p>
    <w:p w14:paraId="75840CA8" w14:textId="77777777" w:rsidR="00A8138F" w:rsidRDefault="00A8138F" w:rsidP="00A8138F">
      <w:pPr>
        <w:pStyle w:val="TextoNormal"/>
      </w:pPr>
    </w:p>
    <w:p w14:paraId="311168A0" w14:textId="77777777" w:rsidR="00A8138F" w:rsidRDefault="00A8138F" w:rsidP="00A8138F">
      <w:pPr>
        <w:pStyle w:val="TextoNormal"/>
      </w:pPr>
      <w:r>
        <w:t>Por diligencia de ordenación de 18 de junio de 2021 se tuvo por notificada y requerida de pago en legal forma a la parte ejecutada.</w:t>
      </w:r>
    </w:p>
    <w:p w14:paraId="67F81D28" w14:textId="77777777" w:rsidR="00A8138F" w:rsidRDefault="00A8138F" w:rsidP="00A8138F">
      <w:pPr>
        <w:pStyle w:val="TextoNormal"/>
      </w:pPr>
    </w:p>
    <w:p w14:paraId="15BA2104" w14:textId="77777777" w:rsidR="00A8138F" w:rsidRDefault="00A8138F" w:rsidP="00A8138F">
      <w:pPr>
        <w:pStyle w:val="TextoNormal"/>
      </w:pPr>
      <w:r>
        <w:t>f) Por decreto de 17 de septiembre de 2021 se acordó convocar la subasta judicial electrónica de las fincas hipotecadas. El anuncio fue publicado en el “Boletín Oficial del Estado” de 19 de mayo de 2022.</w:t>
      </w:r>
    </w:p>
    <w:p w14:paraId="0406FC05" w14:textId="77777777" w:rsidR="00A8138F" w:rsidRDefault="00A8138F" w:rsidP="00A8138F">
      <w:pPr>
        <w:pStyle w:val="TextoNormal"/>
      </w:pPr>
    </w:p>
    <w:p w14:paraId="55AEB328" w14:textId="77777777" w:rsidR="00A8138F" w:rsidRDefault="00A8138F" w:rsidP="00A8138F">
      <w:pPr>
        <w:pStyle w:val="TextoNormal"/>
      </w:pPr>
      <w:r>
        <w:t>g) El 13 de junio de 2022 la representación procesal de la entidad Pinazo Abogados, S.L., presentó un escrito personándose en el procedimiento e instando la nulidad de todo lo actuado, alegando haber tenido conocimiento extraprocesal del asunto a través de la llamada de un tercero interesado en arrendar varias de las fincas hipotecadas. Argumentó que, al no haber sido notificada por el juzgado en ningún momento de la existencia del proceso, se había vulnerado su derecho a la tutela judicial efectiva (art. 24.1 CE) por no haber podido tener acceso al proceso ni ejercer su derecho de defensa. Invocó, con cita de numerosas sentencias de este tribunal, la doctrina constitucional que establece que el órgano judicial tiene no solo el deber de velar por la correcta ejecución de los actos de comunicación procesal, sino también el de asegurarse de que dichos actos sirven a su propósito de garantizar que dicha parte sea oída en el proceso; lo que comporta, en lo posible, la exigencia del emplazamiento personal de los afectados y, desde otra perspectiva, la limitación del empleo de la notificación edictal a aquellos supuestos en los que no consta el domicilio de quien haya de ser emplazado o bien se ignore su paradero. En el poder general para pleitos que se acompañaba al escrito se hacía constar que el domicilio social de la entidad Pinazo Abogados, S.L., estaba sito en la calle Cristo de la Epidemia núm. 86, 1 A, Málaga.</w:t>
      </w:r>
    </w:p>
    <w:p w14:paraId="098EBA1C" w14:textId="77777777" w:rsidR="00A8138F" w:rsidRDefault="00A8138F" w:rsidP="00A8138F">
      <w:pPr>
        <w:pStyle w:val="TextoNormal"/>
      </w:pPr>
    </w:p>
    <w:p w14:paraId="71FAD7CB" w14:textId="77777777" w:rsidR="00A8138F" w:rsidRDefault="00A8138F" w:rsidP="00A8138F">
      <w:pPr>
        <w:pStyle w:val="TextoNormal"/>
      </w:pPr>
      <w:r>
        <w:t>h) El juzgado incoó pieza separada de incidente excepcional de nulidad de actuaciones núm. 5-2022, dictando auto desestimatorio de 5 de julio de 2022 con la siguiente motivación:</w:t>
      </w:r>
    </w:p>
    <w:p w14:paraId="01CC3DF2" w14:textId="77777777" w:rsidR="00A8138F" w:rsidRDefault="00A8138F" w:rsidP="00A8138F">
      <w:pPr>
        <w:pStyle w:val="TextoNormal"/>
      </w:pPr>
    </w:p>
    <w:p w14:paraId="6ABE1876" w14:textId="77777777" w:rsidR="00A8138F" w:rsidRDefault="00A8138F" w:rsidP="00A8138F">
      <w:pPr>
        <w:pStyle w:val="TextoNormal"/>
      </w:pPr>
      <w:r>
        <w:t>“En el presente caso, la parte ejecutada insta la nulidad de actuaciones alegando que no ha tenido noticia del presente procedimiento hasta recibir una llamada de un interesado[;] aseguran que este juzgado ha despreciado las normas esenciales del procedimiento y […] afirman que este juzgado les ha causado indefensión.</w:t>
      </w:r>
    </w:p>
    <w:p w14:paraId="12502D67" w14:textId="77777777" w:rsidR="00A8138F" w:rsidRDefault="00A8138F" w:rsidP="00A8138F">
      <w:pPr>
        <w:pStyle w:val="TextoNormal"/>
      </w:pPr>
    </w:p>
    <w:p w14:paraId="6F23A4CE" w14:textId="77777777" w:rsidR="00A8138F" w:rsidRDefault="00A8138F" w:rsidP="00A8138F">
      <w:pPr>
        <w:pStyle w:val="TextoNormal"/>
      </w:pPr>
      <w:r>
        <w:t>Ahora bien, el auto de fecha 13 de julio de 2020 que despachaba esta ejecución y por decreto de la misma fecha se les requería de pago. En dicho decreto se ordena la notificación a Pinazo Abogados, S.L. Se emite cédula de notificación y requerimiento de fecha 6 de octubre de 2020, se notifica en la dirección que consta en calle Lorenzo Viçens, núm. 3, 3 de Palma de Mallorca. En diligencia de ordenación de 10 de diciembre de 2020 se extiende recibo del exhorto negativo del Juzgado Decano de Palma. Para ello se hace nueva averiguación domiciliaria y se repite el intento de notificación esta vez al domicilio sito en calle Xarch, núm. 7, planta 1, pta. T33 de Ibiza. Con resultado también negativo por lo que en diligencia de ordenación de 17 de mayo de 2021 tras los intentos fallidos de notificación y no constando otros domicilios se requirió de pago a través de edictos en el tablón de anuncios de este juzgado.</w:t>
      </w:r>
    </w:p>
    <w:p w14:paraId="68178732" w14:textId="77777777" w:rsidR="00A8138F" w:rsidRDefault="00A8138F" w:rsidP="00A8138F">
      <w:pPr>
        <w:pStyle w:val="TextoNormal"/>
      </w:pPr>
    </w:p>
    <w:p w14:paraId="09520881" w14:textId="77777777" w:rsidR="00A8138F" w:rsidRDefault="00A8138F" w:rsidP="00A8138F">
      <w:pPr>
        <w:pStyle w:val="TextoNormal"/>
      </w:pPr>
      <w:r>
        <w:t>En este juzgado se han seguido todas y cada una de las disposiciones legales preceptivas. Se ha intentado notificar en diversas ocasiones con resultado infructuoso, se ha hecho averiguación domiciliaria, se ha intentado notificar en el domicilio que consta. Todas ellas con resultado negativo, tanto es así que siguiendo la normativa al respecto de los arts. 161 y ss. de la Ley de enjuiciamiento civil, se ha tenido que publicar por edictos tal y como establece el artículo 164 LEC.</w:t>
      </w:r>
    </w:p>
    <w:p w14:paraId="1014CD17" w14:textId="77777777" w:rsidR="00A8138F" w:rsidRDefault="00A8138F" w:rsidP="00A8138F">
      <w:pPr>
        <w:pStyle w:val="TextoNormal"/>
      </w:pPr>
    </w:p>
    <w:p w14:paraId="470A8276" w14:textId="77777777" w:rsidR="00A8138F" w:rsidRDefault="00A8138F" w:rsidP="00A8138F">
      <w:pPr>
        <w:pStyle w:val="TextoNormal"/>
      </w:pPr>
      <w:r>
        <w:t>Por ello y no siendo imputable a este juzgado defecto u omisión alguna y seguidos todos los trámites legales desestimamos esta nulidad de actuaciones”.</w:t>
      </w:r>
    </w:p>
    <w:p w14:paraId="0430B0DD" w14:textId="77777777" w:rsidR="00A8138F" w:rsidRDefault="00A8138F" w:rsidP="00A8138F">
      <w:pPr>
        <w:pStyle w:val="TextoNormal"/>
      </w:pPr>
    </w:p>
    <w:p w14:paraId="63B36B01" w14:textId="5AFDAE94" w:rsidR="00A8138F" w:rsidRDefault="00A8138F" w:rsidP="00A8138F">
      <w:pPr>
        <w:pStyle w:val="TextoNormal"/>
      </w:pPr>
      <w:r>
        <w:t>i) Por decreto de 11 de octubre de 2022 se aprobó el remate de la subasta en favor de los respectivos mejores postores de cada una de las fincas hipotecadas, dictándose posteriormente los correspondientes decretos de adjudicación en favor de aquellos.</w:t>
      </w:r>
    </w:p>
    <w:p w14:paraId="3831C1F8" w14:textId="77777777" w:rsidR="00A8138F" w:rsidRDefault="00A8138F" w:rsidP="00A8138F">
      <w:pPr>
        <w:pStyle w:val="TextoNormal"/>
      </w:pPr>
    </w:p>
    <w:p w14:paraId="7BE63F2F" w14:textId="77777777" w:rsidR="00A8138F" w:rsidRDefault="00A8138F" w:rsidP="00A8138F">
      <w:pPr>
        <w:pStyle w:val="TextoNormal"/>
      </w:pPr>
      <w:r w:rsidRPr="00A8138F">
        <w:rPr>
          <w:rStyle w:val="NumeroAFNegritaCaracter"/>
        </w:rPr>
        <w:t>3</w:t>
      </w:r>
      <w:r>
        <w:t>. Mediante escrito presentado en el registro de este tribunal el 1 de septiembre de 2022, la entidad Pinazo Abogados, S.L., interpuso recurso de amparo frente al auto de 5 de julio de 2022 dictado en la pieza excepcional de nulidad de actuaciones núm. 5-2022, alegando la vulneración de derecho a la tutela judicial efectiva sin indefensión (art. 24.1 CE), al no haber podido acceder al proceso y ejercer su derecho de defensa. En línea con lo expuesto en el incidente de nulidad de actuaciones, argumenta que “el Juzgado de Primera Instancia núm. 2 de Eivissa, no agotó en absoluto la averiguación del domicilio del actual recurrente, es más, en manifiesto error de fácil corrección y comprobación, acudió a unos domicilios distintos erróneos y optó por la forma edictal, teniendo a su disposición los métodos habituales y públicos de averiguación de un domicilio, lo que no cumplió la jurisprudencia del Tribunal Constitucional”, lo que le causó verdadera indefensión.</w:t>
      </w:r>
    </w:p>
    <w:p w14:paraId="2D71CC64" w14:textId="77777777" w:rsidR="00A8138F" w:rsidRDefault="00A8138F" w:rsidP="00A8138F">
      <w:pPr>
        <w:pStyle w:val="TextoNormal"/>
      </w:pPr>
    </w:p>
    <w:p w14:paraId="437D956F" w14:textId="0CBE0825" w:rsidR="00A8138F" w:rsidRDefault="00A8138F" w:rsidP="00A8138F">
      <w:pPr>
        <w:pStyle w:val="TextoNormal"/>
      </w:pPr>
      <w:r>
        <w:t>Por medio de otrosí solicitó que por este tribunal se acordara la suspensión cautelar del procedimiento de ejecución hipotecaria núm. 318-2019 seguido ante el Juzgado de Primera Instancia núm. 2 de Eivissa, ya que su prosecución podría causar perjuicio de imposible reparación y hacer perder al amparo su finalidad.</w:t>
      </w:r>
    </w:p>
    <w:p w14:paraId="6E6DF105" w14:textId="77777777" w:rsidR="00A8138F" w:rsidRDefault="00A8138F" w:rsidP="00A8138F">
      <w:pPr>
        <w:pStyle w:val="TextoNormal"/>
      </w:pPr>
    </w:p>
    <w:p w14:paraId="2461B1E1" w14:textId="293E5272" w:rsidR="00A8138F" w:rsidRDefault="00A8138F" w:rsidP="00A8138F">
      <w:pPr>
        <w:pStyle w:val="TextoNormal"/>
      </w:pPr>
      <w:r w:rsidRPr="00A8138F">
        <w:rPr>
          <w:rStyle w:val="NumeroAFNegritaCaracter"/>
        </w:rPr>
        <w:t>4</w:t>
      </w:r>
      <w:r>
        <w:t>. Mediante providencia de 8 de abril de 2024, la Sección Cuarta de este tribunal acordó admitir a trámite el recurso de amparo al apreciar que concurre en el mismo una especial trascendencia constitucional [art. 50.1 de la Ley Orgánica del Tribunal Constitucional (LOTC)] como consecuencia de que el órgano judicial podría haber incurrido en una negativa manifiesta del deber de acatamiento de la doctrina de este tribunal [STC 155/2009, de 25 de junio, FJ 2 f)]; acordando asimismo formar la pieza separada para la tramitación del incidente de suspensión, y dirigir comunicación al Juzgado de Primera Instancia núm. 2 de Eivissa, a fin de que emplazase a quienes hubieran sido parte en el procedimiento de ejecución hipotecaria núm. 318-2019, excepto a la parte recurrente en amparo, para que en el plazo de diez días pudieran comparecer en el recurso de amparo, si lo desearan. En dicha providencia no se reclamaron las actuaciones por estar ya incorporadas al expediente.</w:t>
      </w:r>
    </w:p>
    <w:p w14:paraId="77C67158" w14:textId="77777777" w:rsidR="00A8138F" w:rsidRDefault="00A8138F" w:rsidP="00A8138F">
      <w:pPr>
        <w:pStyle w:val="TextoNormal"/>
      </w:pPr>
    </w:p>
    <w:p w14:paraId="3103FD64" w14:textId="011CBB80" w:rsidR="00A8138F" w:rsidRDefault="00A8138F" w:rsidP="00A8138F">
      <w:pPr>
        <w:pStyle w:val="TextoNormal"/>
      </w:pPr>
      <w:r w:rsidRPr="00A8138F">
        <w:rPr>
          <w:rStyle w:val="NumeroAFNegritaCaracter"/>
        </w:rPr>
        <w:t>5</w:t>
      </w:r>
      <w:r>
        <w:t>. Mediante escrito de 10 de mayo de 2024, el procurador de los tribunales don José Manuel Jiménez López presentó escrito en nombre y representación de la entidad Banco Santander, S.A., personándose en el presente recurso de amparo.</w:t>
      </w:r>
    </w:p>
    <w:p w14:paraId="4B241FFE" w14:textId="77777777" w:rsidR="00A8138F" w:rsidRDefault="00A8138F" w:rsidP="00A8138F">
      <w:pPr>
        <w:pStyle w:val="TextoNormal"/>
      </w:pPr>
    </w:p>
    <w:p w14:paraId="598540EF" w14:textId="21EECAE7" w:rsidR="00A8138F" w:rsidRDefault="00A8138F" w:rsidP="00A8138F">
      <w:pPr>
        <w:pStyle w:val="TextoNormal"/>
      </w:pPr>
      <w:r w:rsidRPr="00A8138F">
        <w:rPr>
          <w:rStyle w:val="NumeroAFNegritaCaracter"/>
        </w:rPr>
        <w:t>6</w:t>
      </w:r>
      <w:r>
        <w:t>. Mediante escrito de 23 de mayo de 2024, el procurador de los tribunales don Alberto Vall Cava de Llano presentó escrito en nombre y representación de la entidad Workki Coworking, S.L. (adjudicataria de una de las fincas de titularidad de la entidad Promociones Casandra Siglo XXI, S.L.), personándose en el presente recurso de amparo.</w:t>
      </w:r>
    </w:p>
    <w:p w14:paraId="28B44710" w14:textId="77777777" w:rsidR="00A8138F" w:rsidRDefault="00A8138F" w:rsidP="00A8138F">
      <w:pPr>
        <w:pStyle w:val="TextoNormal"/>
      </w:pPr>
    </w:p>
    <w:p w14:paraId="34F5D468" w14:textId="6CBF3DD1" w:rsidR="00A8138F" w:rsidRDefault="00A8138F" w:rsidP="00A8138F">
      <w:pPr>
        <w:pStyle w:val="TextoNormal"/>
      </w:pPr>
      <w:r w:rsidRPr="00A8138F">
        <w:rPr>
          <w:rStyle w:val="NumeroAFNegritaCaracter"/>
        </w:rPr>
        <w:t>7</w:t>
      </w:r>
      <w:r>
        <w:t>. Por diligencia de ordenación del secretario de justicia de la Sala Segunda, Sección Cuarta de este tribunal, se tuvo por personado y parte en el procedimiento a las entidades Banco Santander, S.A., y Workki Coworking, S.L., y se dio vista de las actuaciones a las partes personadas y al Ministerio Fiscal por plazo común de veinte días para presentar las alegaciones que estimasen pertinentes, conforme con el art. 52.1 LOTC.</w:t>
      </w:r>
    </w:p>
    <w:p w14:paraId="22AA1CC5" w14:textId="77777777" w:rsidR="00A8138F" w:rsidRDefault="00A8138F" w:rsidP="00A8138F">
      <w:pPr>
        <w:pStyle w:val="TextoNormal"/>
      </w:pPr>
    </w:p>
    <w:p w14:paraId="73AEFF48" w14:textId="4030CD84" w:rsidR="00A8138F" w:rsidRDefault="00A8138F" w:rsidP="00A8138F">
      <w:pPr>
        <w:pStyle w:val="TextoNormal"/>
      </w:pPr>
      <w:r w:rsidRPr="00A8138F">
        <w:rPr>
          <w:rStyle w:val="NumeroAFNegritaCaracter"/>
        </w:rPr>
        <w:t>8</w:t>
      </w:r>
      <w:r>
        <w:t>. La entidad Banco Santander, S.A., presentó sus alegaciones mediante escrito registrado el 15 de octubre de 2024, interesando la desestimación del recurso de amparo. Alega que el juzgado realizó las actuaciones de notificación y requerimiento de forma diligente y conforme a lo establecido en los arts. 152, 156 y 164 LEC. Además, tuvo lugar la comunicación registral prevista en el art. 689.2 LEC.</w:t>
      </w:r>
    </w:p>
    <w:p w14:paraId="2FE0408C" w14:textId="77777777" w:rsidR="00A8138F" w:rsidRDefault="00A8138F" w:rsidP="00A8138F">
      <w:pPr>
        <w:pStyle w:val="TextoNormal"/>
      </w:pPr>
    </w:p>
    <w:p w14:paraId="4584E7D5" w14:textId="77777777" w:rsidR="00A8138F" w:rsidRDefault="00A8138F" w:rsidP="00A8138F">
      <w:pPr>
        <w:pStyle w:val="TextoNormal"/>
      </w:pPr>
      <w:r w:rsidRPr="00A8138F">
        <w:rPr>
          <w:rStyle w:val="NumeroAFNegritaCaracter"/>
        </w:rPr>
        <w:t>9</w:t>
      </w:r>
      <w:r>
        <w:t>. El 15 de octubre de 2024 presentó sus alegaciones el Ministerio Fiscal, interesando la estimación del recurso de amparo. Tras indicar que no se aprecia la concurrencia de ningún óbice procesal, el fiscal expone la doctrina constitucional sobre la relevancia de los actos de comunicación, destacando, en particular, la STC 137/2023, de 23 de octubre, que transcribe en parte.</w:t>
      </w:r>
    </w:p>
    <w:p w14:paraId="2CEE20D8" w14:textId="77777777" w:rsidR="00A8138F" w:rsidRDefault="00A8138F" w:rsidP="00A8138F">
      <w:pPr>
        <w:pStyle w:val="TextoNormal"/>
      </w:pPr>
    </w:p>
    <w:p w14:paraId="7AA2BF8E" w14:textId="77777777" w:rsidR="00A8138F" w:rsidRDefault="00A8138F" w:rsidP="00A8138F">
      <w:pPr>
        <w:pStyle w:val="TextoNormal"/>
      </w:pPr>
      <w:r>
        <w:t xml:space="preserve">A continuación, aplica dicha doctrina constitucional al caso que es objeto del presente recurso de amparo. Comienza indicando que en la demanda que dio origen al procedimiento </w:t>
      </w:r>
      <w:r w:rsidRPr="00A8138F">
        <w:rPr>
          <w:i/>
        </w:rPr>
        <w:t>a quo</w:t>
      </w:r>
      <w:r>
        <w:t>, en la que la entidad Pinazo Abogados, S.L., figuraba como ejecutada junto con otra mercantil, se indicó como domicilio a efectos de notificaciones el sito en la calle Lorenzo Viçens núm. 3, 3, de Palma de Mallorca; domicilio en el que se intentó entregar la cédula de notificación y requerimiento a la entidad Pinazo Abogados, S.L., con resultado negativo. Practicada averiguación domiciliaria de la parte ejecutada, se intentó notificar y requerir de pago en el domicilio sito en calle Xarch núm. 7, planta 1, puerta T33, de Eivissa, sin que se lograra efectuar la notificación. Consta en la documentación aportada con la demanda un burofax dirigido por el banco ejecutante a la entidad Pinazo Abogados, S.L., al edificio Portamar II, que fue rechazado por desconocido. Destaca el fiscal que no se realizó por el juzgado ninguna consulta del domicilio de la entidad Pinazo Abogados, S.L., al Registro Mercantil, lo que hubiera permitido conocer que el domicilio social de dicha mercantil radica en la calle Cristo de la Epidemia núm. 86, 1 A, de Málaga.</w:t>
      </w:r>
    </w:p>
    <w:p w14:paraId="7B64A233" w14:textId="77777777" w:rsidR="00A8138F" w:rsidRDefault="00A8138F" w:rsidP="00A8138F">
      <w:pPr>
        <w:pStyle w:val="TextoNormal"/>
      </w:pPr>
    </w:p>
    <w:p w14:paraId="0A30E534" w14:textId="77777777" w:rsidR="00A8138F" w:rsidRDefault="00A8138F" w:rsidP="00A8138F">
      <w:pPr>
        <w:pStyle w:val="TextoNormal"/>
      </w:pPr>
      <w:r>
        <w:t>Los anteriores antecedentes conducen al fiscal a considerar lo siguiente:</w:t>
      </w:r>
    </w:p>
    <w:p w14:paraId="715F1330" w14:textId="77777777" w:rsidR="00A8138F" w:rsidRDefault="00A8138F" w:rsidP="00A8138F">
      <w:pPr>
        <w:pStyle w:val="TextoNormal"/>
      </w:pPr>
    </w:p>
    <w:p w14:paraId="36326C95" w14:textId="77777777" w:rsidR="00A8138F" w:rsidRDefault="00A8138F" w:rsidP="00A8138F">
      <w:pPr>
        <w:pStyle w:val="TextoNormal"/>
      </w:pPr>
      <w:r>
        <w:t>“La aplicación de la doctrina constitucional señalada al presente recurso avoca a la estimación del amparo, a saber; una vez que resultó negativa la diligencia de requerimiento y citación de la sociedad demandada en el domicilio, no se consultó en archivos o registros públicos a los que el juzgado tenía acceso, tal y como previenen los arts. 155, 156 y 686 LEC. Ante este resultado fallido, todavía se podía haber intentado el emplazamiento de la recurrente en el domicilio de su administrador único, como contempla el propio art. 155.3, párrafo segundo, LEC, el cual dispone: ‘Si la demanda se dirigiese a una persona jurídica, podrá igualmente señalarse el domicilio de cualquiera que aparezca como administrador, gerente o apoderado de la empresa mercantil, o presidente, miembro o gestor de la junta de cualquier asociación que apareciese en un registro oficial’.</w:t>
      </w:r>
    </w:p>
    <w:p w14:paraId="07C6E5A1" w14:textId="77777777" w:rsidR="00A8138F" w:rsidRDefault="00A8138F" w:rsidP="00A8138F">
      <w:pPr>
        <w:pStyle w:val="TextoNormal"/>
      </w:pPr>
    </w:p>
    <w:p w14:paraId="39D7C3A8" w14:textId="77777777" w:rsidR="00A8138F" w:rsidRDefault="00A8138F" w:rsidP="00A8138F">
      <w:pPr>
        <w:pStyle w:val="TextoNormal"/>
      </w:pPr>
      <w:r>
        <w:t>Sin agotar las posibilidades de averiguación legales, se acordó la citación edictal con publicación en el tablón de anuncios del juzgado, de la que la parte demandada/ejecutada no tuvo conocimiento real y efectivo.</w:t>
      </w:r>
    </w:p>
    <w:p w14:paraId="4E169322" w14:textId="77777777" w:rsidR="00A8138F" w:rsidRDefault="00A8138F" w:rsidP="00A8138F">
      <w:pPr>
        <w:pStyle w:val="TextoNormal"/>
      </w:pPr>
    </w:p>
    <w:p w14:paraId="1124F230" w14:textId="77777777" w:rsidR="00A8138F" w:rsidRDefault="00A8138F" w:rsidP="00A8138F">
      <w:pPr>
        <w:pStyle w:val="TextoNormal"/>
      </w:pPr>
      <w:r>
        <w:t>El conocimiento extraprocesal que la sociedad demandada tuvo del procedimiento de ejecución hipotecaria fue casual e inmediatamente se personó en el proceso, como consta en los antecedentes, e instó la nulidad de actuaciones. Hasta ese momento no consta que existiera conocimiento extraprocesal por parte de la demandada, ni que llevara a cabo una conducta negligente que impidiera o dificultara el emplazamiento personal.</w:t>
      </w:r>
    </w:p>
    <w:p w14:paraId="3088F1B3" w14:textId="77777777" w:rsidR="00A8138F" w:rsidRDefault="00A8138F" w:rsidP="00A8138F">
      <w:pPr>
        <w:pStyle w:val="TextoNormal"/>
      </w:pPr>
    </w:p>
    <w:p w14:paraId="21C5CFAA" w14:textId="77777777" w:rsidR="00A8138F" w:rsidRDefault="00A8138F" w:rsidP="00A8138F">
      <w:pPr>
        <w:pStyle w:val="TextoNormal"/>
      </w:pPr>
      <w:r>
        <w:t>Cuando la demandada accedió al procedimiento de ejecución hipotecaria su tramitación ya se encontraba avanzada y se habían realizado las subastas de los bienes hipotecados. Todo ello ante la imposibilidad de ejercitar de forma efectiva la defensa por parte de la demandada que ignoraba la existencia del procedimiento”.</w:t>
      </w:r>
    </w:p>
    <w:p w14:paraId="256AE571" w14:textId="77777777" w:rsidR="00A8138F" w:rsidRDefault="00A8138F" w:rsidP="00A8138F">
      <w:pPr>
        <w:pStyle w:val="TextoNormal"/>
      </w:pPr>
    </w:p>
    <w:p w14:paraId="602260E2" w14:textId="76F582C1" w:rsidR="00A8138F" w:rsidRDefault="00A8138F" w:rsidP="00A8138F">
      <w:pPr>
        <w:pStyle w:val="TextoNormal"/>
      </w:pPr>
      <w:r>
        <w:t>Concluye el fiscal, a la vista del examen de las actuaciones, de la legislación procesal aplicable y de la doctrina constitucional sobre los actos de comunicación, que el juzgado acudió a la citación edictal antes de haber agotado todas las posibilidades legales de averiguación del domicilio de la ejecutada, generando en la sociedad demandante de amparo una situación de indefensión real y efectiva ya que se siguió el proceso de ejecución hipotecaria sin su conocimiento, lo que le impidió personarse y ejercer su defensa. Interesa el fiscal, por tanto, que se otorgue el amparo solicitado por la entidad Pinazo Abogados, S.L., y que se le restablezca en el derecho vulnerado, lo que requiere, para remediar con total efectividad la lesión producida (SSTC 76/2006, de 13 de marzo, FJ 5, y 304/2006, de 23 de octubre, FJ 4), la anulación no solo del auto formalmente designado en la demanda de amparo como objeto de impugnación, sino también de todas las actuaciones correspondientes al procedimiento antecedente, retrotrayéndolas al momento anterior en que se dictó la diligencia de ordenación de 17 de mayo de 2021. Todo ello de acuerdo con la reiterada doctrina constitucional que establece que cuando se impugna en el recurso de amparo una resolución confirmatoria de otras que han sido lógica y cronológicamente presupuesto de aquella, han de entenderse también recurridas esas precedentes resoluciones judiciales confirmadas (por todas, SSTC 40/2009, de 9 de febrero, FJ 2, y 93/2009, de 20 de abril, FJ 5).</w:t>
      </w:r>
    </w:p>
    <w:p w14:paraId="573E4D00" w14:textId="77777777" w:rsidR="00A8138F" w:rsidRDefault="00A8138F" w:rsidP="00A8138F">
      <w:pPr>
        <w:pStyle w:val="TextoNormal"/>
      </w:pPr>
    </w:p>
    <w:p w14:paraId="4ABCDDAA" w14:textId="26A3E479" w:rsidR="00A8138F" w:rsidRDefault="00A8138F" w:rsidP="00A8138F">
      <w:pPr>
        <w:pStyle w:val="TextoNormal"/>
      </w:pPr>
      <w:r w:rsidRPr="00A8138F">
        <w:rPr>
          <w:rStyle w:val="NumeroAFNegritaCaracter"/>
        </w:rPr>
        <w:t>10</w:t>
      </w:r>
      <w:r>
        <w:t>. Mediante escrito presentado el 17 de octubre de 2024, la entidad Workki Coworking, S.L., formuló alegaciones, interesando que se desestimara el recurso de amparo y alegando que el juzgado había cumplido con todas las formalidades legales en la práctica de las notificaciones a la parte ejecutada.</w:t>
      </w:r>
    </w:p>
    <w:p w14:paraId="0051BB0E" w14:textId="77777777" w:rsidR="00A8138F" w:rsidRDefault="00A8138F" w:rsidP="00A8138F">
      <w:pPr>
        <w:pStyle w:val="TextoNormal"/>
      </w:pPr>
    </w:p>
    <w:p w14:paraId="3B5933C4" w14:textId="6823BD58" w:rsidR="00A8138F" w:rsidRDefault="00A8138F" w:rsidP="00A8138F">
      <w:pPr>
        <w:pStyle w:val="TextoNormal"/>
      </w:pPr>
      <w:r w:rsidRPr="00A8138F">
        <w:rPr>
          <w:rStyle w:val="NumeroAFNegritaCaracter"/>
        </w:rPr>
        <w:t>11</w:t>
      </w:r>
      <w:r>
        <w:t>. Mediante providencia de 9 de enero de 2025, se señaló para deliberación y votación de la presente sentencia el día 13 del mismo mes y año.</w:t>
      </w:r>
    </w:p>
    <w:p w14:paraId="7BFC9071" w14:textId="77777777" w:rsidR="00A8138F" w:rsidRDefault="00A8138F" w:rsidP="00A8138F">
      <w:pPr>
        <w:pStyle w:val="TextoNormal"/>
      </w:pPr>
    </w:p>
    <w:p w14:paraId="1E25B3C3" w14:textId="77777777" w:rsidR="00A8138F" w:rsidRDefault="00A8138F" w:rsidP="00A8138F">
      <w:pPr>
        <w:pStyle w:val="TextoNormalNegritaCentrado"/>
        <w:keepNext/>
      </w:pPr>
      <w:r>
        <w:t>II. Fundamentos jurídicos</w:t>
      </w:r>
    </w:p>
    <w:p w14:paraId="280A3B65" w14:textId="2B956A8F" w:rsidR="00A8138F" w:rsidRDefault="00A8138F" w:rsidP="00A8138F">
      <w:pPr>
        <w:pStyle w:val="TextoNormalNegritaCentrado"/>
        <w:keepNext/>
      </w:pPr>
    </w:p>
    <w:p w14:paraId="45980F6F"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6BE7841A" w14:textId="77777777" w:rsidR="00A8138F" w:rsidRDefault="00A8138F" w:rsidP="00A8138F">
      <w:pPr>
        <w:pStyle w:val="TextoNormal"/>
      </w:pPr>
    </w:p>
    <w:p w14:paraId="47F1EC13" w14:textId="77777777" w:rsidR="00A8138F" w:rsidRDefault="00A8138F" w:rsidP="00A8138F">
      <w:pPr>
        <w:pStyle w:val="TextoNormal"/>
      </w:pPr>
      <w:r>
        <w:t>El presente recurso de amparo se dirige frente al auto de 5 de julio de 2022 dictado por el Juzgado de Primera Instancia núm. 2 de Eivissa en el incidente excepcional de nulidad de actuaciones núm. 5-2022, pieza separada del procedimiento de ejecución hipotecaria núm. 318-2019; auto que desestimó la solicitud de nulidad de actuaciones efectuada por la mercantil Pinazo Abogados, S.L., una de las dos sociedades frente a las que se había dirigido la demanda ejecutiva.</w:t>
      </w:r>
    </w:p>
    <w:p w14:paraId="726B6A31" w14:textId="77777777" w:rsidR="00A8138F" w:rsidRDefault="00A8138F" w:rsidP="00A8138F">
      <w:pPr>
        <w:pStyle w:val="TextoNormal"/>
      </w:pPr>
    </w:p>
    <w:p w14:paraId="105F23E2" w14:textId="77777777" w:rsidR="00A8138F" w:rsidRDefault="00A8138F" w:rsidP="00A8138F">
      <w:pPr>
        <w:pStyle w:val="TextoNormal"/>
      </w:pPr>
      <w:r>
        <w:t>La entidad Pinazo Abogados, S.L., alega en su demanda de amparo la vulneración del derecho a la tutela judicial efectiva (art. 24.1 CE) porque, como consecuencia de haber acudido el juzgado a la citación edictal antes de haber agotado todas las posibilidades legales de averiguación de su domicilio, no llegó a tener conocimiento de la existencia del procedimiento de ejecución hasta un momento en el que el mismo se encontraba en un estado muy avanzado, lo que le causó una situación de indefensión real y efectiva al no haber podido personarse a tiempo y ejercer su derecho de defensa.</w:t>
      </w:r>
    </w:p>
    <w:p w14:paraId="18932DA6" w14:textId="77777777" w:rsidR="00A8138F" w:rsidRDefault="00A8138F" w:rsidP="00A8138F">
      <w:pPr>
        <w:pStyle w:val="TextoNormal"/>
      </w:pPr>
    </w:p>
    <w:p w14:paraId="7C0AB9D0" w14:textId="77777777" w:rsidR="00A8138F" w:rsidRDefault="00A8138F" w:rsidP="00A8138F">
      <w:pPr>
        <w:pStyle w:val="TextoNormal"/>
      </w:pPr>
      <w:r>
        <w:t xml:space="preserve">Las entidades Banco Santander, S.A., parte ejecutante en el procedimiento </w:t>
      </w:r>
      <w:r w:rsidRPr="00A8138F">
        <w:rPr>
          <w:i/>
        </w:rPr>
        <w:t>a quo</w:t>
      </w:r>
      <w:r>
        <w:t>, y Workki Coworking, S.L., adjudicataria de una de las fincas hipotecadas propiedad de la otra ejecutada, interesan la desestimación del recurso de amparo por considerar que el juzgado realizó todos los actos de comunicación con sujeción a lo dispuesto en la normativa procesal aplicable.</w:t>
      </w:r>
    </w:p>
    <w:p w14:paraId="5B42576F" w14:textId="77777777" w:rsidR="00A8138F" w:rsidRDefault="00A8138F" w:rsidP="00A8138F">
      <w:pPr>
        <w:pStyle w:val="TextoNormal"/>
      </w:pPr>
    </w:p>
    <w:p w14:paraId="62E6FC20" w14:textId="1947EE88" w:rsidR="00A8138F" w:rsidRDefault="00A8138F" w:rsidP="00A8138F">
      <w:pPr>
        <w:pStyle w:val="TextoNormal"/>
      </w:pPr>
      <w:r>
        <w:t>El Ministerio Fiscal interesa la estimación del amparo por entender que el juzgado, en contra de lo dispuesto en la doctrina constitucional sobre actos de comunicación, acudió a la citación edictal antes de haber agotado todas las posibilidades legales de averiguación del domicilio de la entidad Pinazo Abogados, S.L., generando en la sociedad demandante de amparo una situación de indefensión real y efectiva ya que se siguió el proceso de ejecución hipotecaria sin su conocimiento, lo que le impidió personarse y ejercer su defensa.</w:t>
      </w:r>
    </w:p>
    <w:p w14:paraId="65385353" w14:textId="77777777" w:rsidR="00A8138F" w:rsidRDefault="00A8138F" w:rsidP="00A8138F">
      <w:pPr>
        <w:pStyle w:val="TextoNormal"/>
      </w:pPr>
    </w:p>
    <w:p w14:paraId="0B21FDC3" w14:textId="77777777" w:rsidR="00A8138F" w:rsidRDefault="00A8138F" w:rsidP="00A8138F">
      <w:pPr>
        <w:pStyle w:val="TextoNormal"/>
      </w:pPr>
      <w:r w:rsidRPr="00A8138F">
        <w:rPr>
          <w:rStyle w:val="NumeroAFNegritaCaracter"/>
        </w:rPr>
        <w:t>2</w:t>
      </w:r>
      <w:r>
        <w:t xml:space="preserve">. </w:t>
      </w:r>
      <w:r w:rsidRPr="00A8138F">
        <w:rPr>
          <w:i/>
        </w:rPr>
        <w:t>Doctrina constitucional sobre los actos de comunicación procesal</w:t>
      </w:r>
    </w:p>
    <w:p w14:paraId="4D35BAAE" w14:textId="77777777" w:rsidR="00A8138F" w:rsidRDefault="00A8138F" w:rsidP="00A8138F">
      <w:pPr>
        <w:pStyle w:val="TextoNormal"/>
      </w:pPr>
    </w:p>
    <w:p w14:paraId="43B49181" w14:textId="77777777" w:rsidR="00A8138F" w:rsidRDefault="00A8138F" w:rsidP="00A8138F">
      <w:pPr>
        <w:pStyle w:val="TextoNormal"/>
      </w:pPr>
      <w:r>
        <w:t>Existe abundante jurisprudencia de este tribunal sobre la posible vulneración del derecho a la tutela judicial efectiva sin indefensión en relación con los actos de comunicación procesal y la citación mediante edictos. Como recuerda la STC 12/2024, de 29 de enero, FJ 2 —dictada también en relación con un emplazamiento realizado por edictos a la ejecutada en un procedimiento de ejecución hipotecaria—, este tribunal ha insistido reiteradamente en la importancia de los actos de comunicación para la correcta constitución de la relación jurídica procesal para garantizar el derecho de defensa reconocido en el art. 24 CE, que implica la posibilidad de un juicio contradictorio en el que las partes puedan hacer valer sus derechos e intereses legítimos (SSTC 30/2014, de 24 de febrero; 181/2015, de 7 de septiembre; 39/2018, de 25 de abril; 123/2019, de 28 de octubre; 62/2020, de 15 de junio, y 20/2021, de 15 de febrero). Se impone, en consecuencia, a los órganos judiciales un especial deber de diligencia en la realización de los actos de comunicación procesal que asegure, en la medida de lo posible, su recepción por parte de los destinatarios, para darles la oportunidad de defensa y evitar indefensión (SSTC 167/1992, de 26 de octubre; 103/1993, de 22 de marzo; 216/1993, de 30 de junio; 108/1994, de 11 de abril; 186/1997, de 10 de noviembre; 59/2002, de 11 de marzo, y 91/2022, de 11 de julio).</w:t>
      </w:r>
    </w:p>
    <w:p w14:paraId="65A7413B" w14:textId="77777777" w:rsidR="00A8138F" w:rsidRDefault="00A8138F" w:rsidP="00A8138F">
      <w:pPr>
        <w:pStyle w:val="TextoNormal"/>
      </w:pPr>
    </w:p>
    <w:p w14:paraId="7856E63C" w14:textId="77777777" w:rsidR="00A8138F" w:rsidRDefault="00A8138F" w:rsidP="00A8138F">
      <w:pPr>
        <w:pStyle w:val="TextoNormal"/>
      </w:pPr>
      <w:r>
        <w:t>La jurisprudencia constitucional insiste, en este sentido, en la necesidad de que el órgano judicial agote las posibilidades de averiguación del domicilio real antes de acudir a la notificación por edictos. Por ello, cuando del examen de los autos o de la documentación aportada por las partes se deduzca la existencia de un domicilio que haga factible la notificación personal al demandado, debe intentarse esta antes de acudir a la notificación por edictos (SSTC 40/2005, de 28 de febrero, FJ 2; 293/2005, de 21 de noviembre, FJ 2; 245/2006, de 24 de julio, FJ 2, y 122/2013, de 20 de mayo, FJ 3). E incluso cuando no conste ese domicilio en las actuaciones, el órgano judicial deberá realizar otras gestiones en orden a la averiguación del domicilio real del demandado, siempre que ello no suponga exigirle una desmedida actividad investigadora (SSTC 126/1999, de 28 de junio, FJ 4; 113/2001, de 7 de mayo, FJ 5; 131/2014, de 21 de julio, FJ 2; 83/2018, de 16 de julio, FJ 4, y 181/2021, de 25 de octubre, FJ 2). En ocasiones, se ha considerado que estas gestiones pueden consistir en intentar el emplazamiento en el domicilio del administrador de la sociedad cuando se desconozca el domicilio de la sociedad demandada (SSTC 181/2021, FJ 4; 73/2022, de 13 de junio, FJ 3, y 140/2022, de 14 de noviembre, FJ 3).</w:t>
      </w:r>
    </w:p>
    <w:p w14:paraId="7250FE8E" w14:textId="77777777" w:rsidR="00A8138F" w:rsidRDefault="00A8138F" w:rsidP="00A8138F">
      <w:pPr>
        <w:pStyle w:val="TextoNormal"/>
      </w:pPr>
    </w:p>
    <w:p w14:paraId="31567F53" w14:textId="2B60C0AC" w:rsidR="00A8138F" w:rsidRDefault="00A8138F" w:rsidP="00A8138F">
      <w:pPr>
        <w:pStyle w:val="TextoNormal"/>
      </w:pPr>
      <w:r>
        <w:t>No obstante, este deber que se impone a los órganos judiciales no puede llegar a significar que se deba exigir al juez o tribunal correspondiente el despliegue de una desmedida labor investigadora, lo que llevaría más bien a la indebida restricción de los derechos de defensa de los restantes personados en el proceso (SSTC 126/1999, FJ 4; 268/2000, de 13 de noviembre, FJ 4; 34/2001, de 12 de febrero, FJ 2; 55/2003, de 24 de marzo, FJ 2; 76/2006, FJ 3, y 131/2014, FJ 2). Asimismo, venimos considerando que la indefensión del demandado por falta de emplazamiento personal cede cuando la situación de incomunicación sea imputable a la propia conducta del afectado, que voluntaria o negligentemente se ha situado al margen del proceso. En efecto, el conocimiento extraprocesal del afectado o su posible negligencia, descuido o impericia impide apreciar la vulneración del derecho fundamental, aunque debe tenerse en cuenta que tales situaciones no pueden fundarse en simples conjeturas, sino que debe acreditarse fehacientemente para que pueda invalidar la tacha de indefensión (SSTC 219/1999, de 29 de noviembre, FJ 2; 128/2000, de 16 de mayo, FJ 5; 268/2000, FJ 4, y 20/2021, FJ 2). Hemos precisado, además, a propósito de esta cuestión, que el conocimiento extraprocesal del litigio ha de verificarse mediante una prueba suficiente, que no excluye las reglas del criterio humano que rigen la prueba de presunciones (por todas, SSTC 102/2003, de 2 de junio, FJ 2; 102/2004, de 2 de junio, FJ 3; 207/2005, de 18 de julio, FJ 2; 246/2005, de 10 de octubre, FJ 3; 124/2006, de 24 de abril, FJ 2, y 136/2014, de 8 de septiembre, FJ 2).</w:t>
      </w:r>
    </w:p>
    <w:p w14:paraId="6E3C7CFB" w14:textId="77777777" w:rsidR="00A8138F" w:rsidRDefault="00A8138F" w:rsidP="00A8138F">
      <w:pPr>
        <w:pStyle w:val="TextoNormal"/>
      </w:pPr>
    </w:p>
    <w:p w14:paraId="0C1B9D63"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al caso planteado</w:t>
      </w:r>
    </w:p>
    <w:p w14:paraId="11B2AEBC" w14:textId="77777777" w:rsidR="00A8138F" w:rsidRDefault="00A8138F" w:rsidP="00A8138F">
      <w:pPr>
        <w:pStyle w:val="TextoNormal"/>
      </w:pPr>
    </w:p>
    <w:p w14:paraId="2DB2A986" w14:textId="77777777" w:rsidR="00A8138F" w:rsidRDefault="00A8138F" w:rsidP="00A8138F">
      <w:pPr>
        <w:pStyle w:val="TextoNormal"/>
      </w:pPr>
      <w:r>
        <w:t>En este caso, como se ha expuesto con mayor detalle en los antecedentes, han quedado acreditados los siguientes extremos:</w:t>
      </w:r>
    </w:p>
    <w:p w14:paraId="35776985" w14:textId="77777777" w:rsidR="00A8138F" w:rsidRDefault="00A8138F" w:rsidP="00A8138F">
      <w:pPr>
        <w:pStyle w:val="TextoNormal"/>
      </w:pPr>
    </w:p>
    <w:p w14:paraId="77832B1C" w14:textId="77777777" w:rsidR="00A8138F" w:rsidRDefault="00A8138F" w:rsidP="00A8138F">
      <w:pPr>
        <w:pStyle w:val="TextoNormal"/>
      </w:pPr>
      <w:r>
        <w:t>(i) El órgano judicial intentó el emplazamiento de las dos ejecutadas en el domicilio que se indicaba en la demanda ejecutiva, sito en la calle Lorenzo Viçens núm. 3, 3, Palma de Mallorca, con resultado negativo. Según se desprende del documento núm. 35 de los acompañados con dicha demanda, en esa dirección radicaba el domicilio social de la entidad Promociones Casandra Siglo XXI, S.L.</w:t>
      </w:r>
    </w:p>
    <w:p w14:paraId="4059B7FF" w14:textId="77777777" w:rsidR="00A8138F" w:rsidRDefault="00A8138F" w:rsidP="00A8138F">
      <w:pPr>
        <w:pStyle w:val="TextoNormal"/>
      </w:pPr>
    </w:p>
    <w:p w14:paraId="38A4010B" w14:textId="77777777" w:rsidR="00A8138F" w:rsidRDefault="00A8138F" w:rsidP="00A8138F">
      <w:pPr>
        <w:pStyle w:val="TextoNormal"/>
      </w:pPr>
      <w:r>
        <w:t>(ii) El órgano judicial ordenó realizar consulta domiciliaria “de la parte ejecutada”, que solo llegó a realizarse respecto de la entidad Promociones Casandra Siglo XXI, S.L., resultando un domicilio alternativo sito en calle Xarch núm. 7, edificio Portamar II, planta 1, puerta T33, Eivissa.</w:t>
      </w:r>
    </w:p>
    <w:p w14:paraId="63D82363" w14:textId="77777777" w:rsidR="00A8138F" w:rsidRDefault="00A8138F" w:rsidP="00A8138F">
      <w:pPr>
        <w:pStyle w:val="TextoNormal"/>
      </w:pPr>
    </w:p>
    <w:p w14:paraId="641ABD4A" w14:textId="77777777" w:rsidR="00A8138F" w:rsidRDefault="00A8138F" w:rsidP="00A8138F">
      <w:pPr>
        <w:pStyle w:val="TextoNormal"/>
      </w:pPr>
      <w:r>
        <w:t>El órgano judicial requirió en varias ocasiones a la parte ejecutante para que facilitara el número de identificación fiscal correcto de la entidad Pinazo Abogados, S.L., presumiblemente para realizar la averiguación domiciliaria de esta mercantil, pero no consta en las actuaciones que dicha averiguación llegara a realizarse. El auto impugnado de 5 de julio de 2022 señala que se realizó averiguación domiciliaria, pero en autos no consta la referida a la recurrente en amparo.</w:t>
      </w:r>
    </w:p>
    <w:p w14:paraId="5D8E7703" w14:textId="77777777" w:rsidR="00A8138F" w:rsidRDefault="00A8138F" w:rsidP="00A8138F">
      <w:pPr>
        <w:pStyle w:val="TextoNormal"/>
      </w:pPr>
    </w:p>
    <w:p w14:paraId="340B581E" w14:textId="77777777" w:rsidR="00A8138F" w:rsidRDefault="00A8138F" w:rsidP="00A8138F">
      <w:pPr>
        <w:pStyle w:val="TextoNormal"/>
      </w:pPr>
      <w:r>
        <w:t>(iii) Se realizó un segundo emplazamiento, tanto de la entidad Promociones Casandra Siglo XXI, S.L., como de la entidad Pinazo Abogados, S.L., en calle Xarch núm. 7, edificio Portamar II, planta 1, puerta T33, Eivissa; nuevamente con resultado infructuoso al no existir en dicha calle ningún inmueble con esa numeración, según hizo constar el servicio común de actos de comunicación y ejecución. Ya en sede extrajudicial se había enviado un burofax a la entidad Pinazo Abogados, S.L., al edificio Portamar II, con resultado infructuoso al ser desconocido el destinatario en dicha dirección.</w:t>
      </w:r>
    </w:p>
    <w:p w14:paraId="651EDA18" w14:textId="77777777" w:rsidR="00A8138F" w:rsidRDefault="00A8138F" w:rsidP="00A8138F">
      <w:pPr>
        <w:pStyle w:val="TextoNormal"/>
      </w:pPr>
    </w:p>
    <w:p w14:paraId="67032F4B" w14:textId="77777777" w:rsidR="00A8138F" w:rsidRDefault="00A8138F" w:rsidP="00A8138F">
      <w:pPr>
        <w:pStyle w:val="TextoNormal"/>
      </w:pPr>
      <w:r>
        <w:t>(iv) Pese a que en el documento núm. 34 adjunto a la demanda ejecutiva e incorporado, por tanto, a los autos, figuraba información del Registro Mercantil de Málaga indicando que el domicilio social de la entidad Pinazo Abogados, S.L., radicaba en la calle Cristo de la Epidemia núm. 86, 1, Málaga, no se intentó ninguna notificación en dicho domicilio. Por el contrario, se dictó diligencia de ordenación de 17 de mayo de 2021 acordando el emplazamiento por edictos por no constar ningún otro domicilio de la parte ejecutada.</w:t>
      </w:r>
    </w:p>
    <w:p w14:paraId="57BFE25D" w14:textId="77777777" w:rsidR="00A8138F" w:rsidRDefault="00A8138F" w:rsidP="00A8138F">
      <w:pPr>
        <w:pStyle w:val="TextoNormal"/>
      </w:pPr>
    </w:p>
    <w:p w14:paraId="1355C852" w14:textId="77777777" w:rsidR="00A8138F" w:rsidRDefault="00A8138F" w:rsidP="00A8138F">
      <w:pPr>
        <w:pStyle w:val="TextoNormal"/>
      </w:pPr>
      <w:r>
        <w:t>(v) Aun no habiéndose apercibido el órgano judicial de la constancia en autos del domicilio social de la entidad Pinazo Abogados, S.L., tampoco consta que, tratándose de una sociedad mercantil, ordenara consultar los datos obrantes en el registro mercantil, y, entre ellos, los relativos al administrador, teniendo en cuenta lo que establece el art. 155.3 LEC en su último párrafo para los casos en los que la demanda se dirige contra una persona jurídica, así como la jurisprudencia constitucional antes citada en relación con el emplazamiento a través del administrador de una sociedad mercantil.</w:t>
      </w:r>
    </w:p>
    <w:p w14:paraId="67BD2534" w14:textId="77777777" w:rsidR="00A8138F" w:rsidRDefault="00A8138F" w:rsidP="00A8138F">
      <w:pPr>
        <w:pStyle w:val="TextoNormal"/>
      </w:pPr>
    </w:p>
    <w:p w14:paraId="363B2AB7" w14:textId="0BB7EDF3" w:rsidR="00A8138F" w:rsidRDefault="00A8138F" w:rsidP="00A8138F">
      <w:pPr>
        <w:pStyle w:val="TextoNormal"/>
      </w:pPr>
      <w:r>
        <w:t>A la vista de estas circunstancias, y aplicando la doctrina constitucional antes expuesta, debemos concluir que la entidad recurrente no pudo conocer la existencia del procedimiento en el que había sido demandada por causa no imputable a ella, lo que le impidió personarse en el mismo para formular las alegaciones que estimase pertinentes para su defensa. Esta indefensión resulta imputable al órgano judicial porque debió agotar todas las posibilidades de localización personal de la recurrente en amparo antes de acudir a la citación edictal, pero, sin embargo, no realizó todas las gestiones que le eran exigibles para procurar dicho emplazamiento personal.</w:t>
      </w:r>
    </w:p>
    <w:p w14:paraId="16106308" w14:textId="77777777" w:rsidR="00A8138F" w:rsidRDefault="00A8138F" w:rsidP="00A8138F">
      <w:pPr>
        <w:pStyle w:val="TextoNormal"/>
      </w:pPr>
    </w:p>
    <w:p w14:paraId="3603BEEC" w14:textId="77777777" w:rsidR="00A8138F" w:rsidRDefault="00A8138F" w:rsidP="00A8138F">
      <w:pPr>
        <w:pStyle w:val="TextoNormal"/>
      </w:pPr>
      <w:r w:rsidRPr="00A8138F">
        <w:rPr>
          <w:rStyle w:val="NumeroAFNegritaCaracter"/>
        </w:rPr>
        <w:t>4</w:t>
      </w:r>
      <w:r>
        <w:t xml:space="preserve">. </w:t>
      </w:r>
      <w:r w:rsidRPr="00A8138F">
        <w:rPr>
          <w:i/>
        </w:rPr>
        <w:t>Estimación del amparo y efectos</w:t>
      </w:r>
    </w:p>
    <w:p w14:paraId="0EDC668C" w14:textId="77777777" w:rsidR="00A8138F" w:rsidRDefault="00A8138F" w:rsidP="00A8138F">
      <w:pPr>
        <w:pStyle w:val="TextoNormal"/>
      </w:pPr>
    </w:p>
    <w:p w14:paraId="3837850A" w14:textId="77777777" w:rsidR="00A8138F" w:rsidRDefault="00A8138F" w:rsidP="00A8138F">
      <w:pPr>
        <w:pStyle w:val="TextoNormal"/>
      </w:pPr>
      <w:r>
        <w:t>Debemos otorgar el amparo solicitado por las razones expuestas, al haberse producido la vulneración del derecho a la tutela judicial efectiva sin padecer indefensión (art. 24.1 CE) de la recurrente, que fue emplazada indebidamente por edictos, viéndose privada de su derecho a defenderse en el procedimiento de ejecución hipotecaria dirigido contra ella. Como medidas para la reparación del derecho se acuerda la nulidad del auto del Juzgado de Primera Instancia núm. 2 de Eivissa, de 5 de julio de 2022, así como la nulidad del procedimiento de ejecución hipotecaria núm. 318-2019 seguido ante dicho juzgado, desde el momento inmediatamente anterior a aquel en que se dictó la diligencia de ordenación de 17 de mayo de 2021 que resolvió el emplazamiento por edictos de la demandante de amparo. Consiguientemente, acordamos también la retroacción de las actuaciones de dicho procedimiento hasta ese mismo momento procesal, para que por el letrado de la administración de justicia se dicte una resolución que resulte respetuosa con el derecho reconocido.</w:t>
      </w:r>
    </w:p>
    <w:p w14:paraId="6D9E46C1" w14:textId="77777777" w:rsidR="00A8138F" w:rsidRDefault="00A8138F" w:rsidP="00A8138F">
      <w:pPr>
        <w:pStyle w:val="TextoNormal"/>
      </w:pPr>
    </w:p>
    <w:p w14:paraId="48468A04" w14:textId="55351F48" w:rsidR="00A8138F" w:rsidRDefault="00A8138F" w:rsidP="00A8138F">
      <w:pPr>
        <w:pStyle w:val="TextoNormal"/>
      </w:pPr>
      <w:r>
        <w:t>Por otra parte, la resolución sobre el fondo de este recurso implica también que no resulte procedente resolver sobre la medida cautelar de suspensión solicitada por la demandante, lo que determina que deba acordarse el archivo de la pieza separada de suspensión.</w:t>
      </w:r>
    </w:p>
    <w:p w14:paraId="35069123" w14:textId="77777777" w:rsidR="00A8138F" w:rsidRDefault="00A8138F" w:rsidP="00A8138F">
      <w:pPr>
        <w:pStyle w:val="TextoNormal"/>
      </w:pPr>
    </w:p>
    <w:p w14:paraId="71F327BD" w14:textId="77777777" w:rsidR="00A8138F" w:rsidRDefault="00A8138F" w:rsidP="00A8138F">
      <w:pPr>
        <w:pStyle w:val="TextoNormalCentrado"/>
        <w:keepNext/>
      </w:pPr>
      <w:r>
        <w:t>FALLO</w:t>
      </w:r>
    </w:p>
    <w:p w14:paraId="48B93E6F" w14:textId="059CF86D" w:rsidR="00A8138F" w:rsidRDefault="00A8138F" w:rsidP="00A8138F">
      <w:pPr>
        <w:pStyle w:val="TextoNormalCentrado"/>
        <w:keepNext/>
      </w:pPr>
    </w:p>
    <w:p w14:paraId="7B275837"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la entidad Pinazo Abogados, S.L., y, en consecuencia:</w:t>
      </w:r>
    </w:p>
    <w:p w14:paraId="7BD63DAE" w14:textId="77777777" w:rsidR="00A8138F" w:rsidRDefault="00A8138F" w:rsidP="00A8138F">
      <w:pPr>
        <w:pStyle w:val="TextoNormal"/>
      </w:pPr>
    </w:p>
    <w:p w14:paraId="55B985F4" w14:textId="77777777" w:rsidR="00A8138F" w:rsidRDefault="00A8138F" w:rsidP="00A8138F">
      <w:pPr>
        <w:pStyle w:val="TextoNormal"/>
      </w:pPr>
      <w:r>
        <w:t>1º Declarar que ha sido vulnerado el derecho fundamental de la demandante de amparo a la tutela judicial efectiva sin indefensión (art. 24.1 CE).</w:t>
      </w:r>
    </w:p>
    <w:p w14:paraId="56D0BF81" w14:textId="77777777" w:rsidR="00A8138F" w:rsidRDefault="00A8138F" w:rsidP="00A8138F">
      <w:pPr>
        <w:pStyle w:val="TextoNormal"/>
      </w:pPr>
    </w:p>
    <w:p w14:paraId="46E28D42" w14:textId="77777777" w:rsidR="00A8138F" w:rsidRDefault="00A8138F" w:rsidP="00A8138F">
      <w:pPr>
        <w:pStyle w:val="TextoNormal"/>
      </w:pPr>
      <w:r>
        <w:t>2º Restablecerle en su derecho y, a tal fin, declarar la nulidad del auto de 5 de julio de 2022 dictado por el Juzgado de Primera Instancia núm. 2 de Eivissa en el incidente excepcional de nulidad de actuaciones núm. 5-2022, pieza separada del procedimiento de ejecución hipotecaria núm. 318-2019; así como la nulidad de todas las actuaciones realizadas en el referido proceso de ejecución hipotecaria seguido ante el mismo órgano judicial desde el dictado de la diligencia de ordenación del letrado de la administración de justicia de 17 de mayo de 2021, incluyendo esta.</w:t>
      </w:r>
    </w:p>
    <w:p w14:paraId="70E6710B" w14:textId="77777777" w:rsidR="00A8138F" w:rsidRDefault="00A8138F" w:rsidP="00A8138F">
      <w:pPr>
        <w:pStyle w:val="TextoNormal"/>
      </w:pPr>
    </w:p>
    <w:p w14:paraId="2A323DF1" w14:textId="2D0B2F74" w:rsidR="00A8138F" w:rsidRDefault="00A8138F" w:rsidP="00A8138F">
      <w:pPr>
        <w:pStyle w:val="TextoNormal"/>
      </w:pPr>
      <w:r>
        <w:t>3º Retrotraer el procedimiento al momento inmediatamente anterior al de dictarse la diligencia de ordenación de 17 de mayo de 2021 para que se emita una nueva resolución que sea respetuosa con el derecho fundamental reconocido.</w:t>
      </w:r>
    </w:p>
    <w:p w14:paraId="218D6ED1" w14:textId="77777777" w:rsidR="00A8138F" w:rsidRDefault="00A8138F" w:rsidP="00A8138F">
      <w:pPr>
        <w:pStyle w:val="TextoNormal"/>
      </w:pPr>
    </w:p>
    <w:p w14:paraId="4C854794" w14:textId="77777777" w:rsidR="00A8138F" w:rsidRDefault="00A8138F" w:rsidP="00A8138F">
      <w:pPr>
        <w:pStyle w:val="TextoNormal"/>
      </w:pPr>
      <w:r>
        <w:t>Publíquese esta sentencia en el “Boletín Oficial del Estado”.</w:t>
      </w:r>
    </w:p>
    <w:p w14:paraId="1F6719EB" w14:textId="77777777" w:rsidR="00A8138F" w:rsidRDefault="00A8138F" w:rsidP="00A8138F">
      <w:pPr>
        <w:pStyle w:val="TextoNormal"/>
      </w:pPr>
      <w:r>
        <w:t>Dada en Madrid, a trece de enero de dos mil veinticinco.</w:t>
      </w:r>
    </w:p>
    <w:p w14:paraId="089E6CA2" w14:textId="40BA2B50" w:rsidR="00A8138F" w:rsidRDefault="00A8138F">
      <w:pPr>
        <w:spacing w:after="160" w:line="278" w:lineRule="auto"/>
        <w:rPr>
          <w:rFonts w:ascii="Times New Roman" w:eastAsia="Times New Roman" w:hAnsi="Times New Roman" w:cs="Times New Roman"/>
          <w:sz w:val="24"/>
          <w:szCs w:val="24"/>
          <w:lang w:eastAsia="es-ES"/>
        </w:rPr>
      </w:pPr>
      <w:r>
        <w:br w:type="page"/>
      </w:r>
    </w:p>
    <w:p w14:paraId="66ABDD6F" w14:textId="77777777" w:rsidR="00A8138F" w:rsidRDefault="00A8138F" w:rsidP="00A8138F">
      <w:pPr>
        <w:pStyle w:val="TtuloResolucin"/>
      </w:pPr>
      <w:bookmarkStart w:id="5" w:name="SENTENCIA_2025_3"/>
      <w:r>
        <w:t>SENTENCIA 3/2025, de 13 de enero de 2025</w:t>
      </w:r>
    </w:p>
    <w:bookmarkEnd w:id="5"/>
    <w:p w14:paraId="274692CE" w14:textId="77777777" w:rsidR="00A8138F" w:rsidRDefault="00A8138F" w:rsidP="00A8138F">
      <w:pPr>
        <w:pStyle w:val="TtuloResolucin"/>
      </w:pPr>
      <w:r>
        <w:t>Sala Segunda</w:t>
      </w:r>
    </w:p>
    <w:p w14:paraId="3F44E4C7" w14:textId="77777777" w:rsidR="00A8138F" w:rsidRDefault="00A8138F" w:rsidP="00A8138F">
      <w:pPr>
        <w:pStyle w:val="TtuloBOE"/>
      </w:pPr>
      <w:r>
        <w:t>(BOE núm. 41, de 17 de febrero de 2025)</w:t>
      </w:r>
    </w:p>
    <w:p w14:paraId="39D4E7D8" w14:textId="77777777" w:rsidR="00A8138F" w:rsidRDefault="00A8138F" w:rsidP="00A8138F">
      <w:pPr>
        <w:pStyle w:val="TextoNormalCentrado"/>
      </w:pPr>
      <w:r>
        <w:t>ECLI:ES:TC:2025:3</w:t>
      </w:r>
    </w:p>
    <w:p w14:paraId="7280014D" w14:textId="33BECD40" w:rsidR="00A8138F" w:rsidRDefault="00A8138F" w:rsidP="00A8138F">
      <w:pPr>
        <w:pStyle w:val="TextoNormalCentrado"/>
      </w:pPr>
    </w:p>
    <w:p w14:paraId="5557EFBA" w14:textId="77777777" w:rsidR="00A8138F" w:rsidRDefault="00A8138F" w:rsidP="00A8138F">
      <w:pPr>
        <w:pStyle w:val="SntesisDescriptiva"/>
      </w:pPr>
      <w:r>
        <w:t>Recurso de amparo 6751-2022. Promovido por don José Francisco Martínez Vela respecto de los autos de un juzgado de instrucción de Sevilla que acordaron la prórroga de la prisión provisional.</w:t>
      </w:r>
    </w:p>
    <w:p w14:paraId="30DD6F68" w14:textId="3A07B92E" w:rsidR="00A8138F" w:rsidRDefault="00A8138F" w:rsidP="00A8138F">
      <w:pPr>
        <w:pStyle w:val="SntesisDescriptiva"/>
      </w:pPr>
    </w:p>
    <w:p w14:paraId="566B1923" w14:textId="77777777" w:rsidR="00A8138F" w:rsidRDefault="00A8138F" w:rsidP="00A8138F">
      <w:pPr>
        <w:pStyle w:val="SntesisAnaltica"/>
      </w:pPr>
      <w:r>
        <w:t>Vulneración del derecho a la libertad personal: resoluciones judiciales que limitaron desproporcionadamente el derecho puesto que no incluyó los días de detención policial en el cómputo del plazo máximo inicial de la prisión provisional.</w:t>
      </w:r>
    </w:p>
    <w:p w14:paraId="4E34F7FE" w14:textId="611AA64F" w:rsidR="00A8138F" w:rsidRDefault="00A8138F" w:rsidP="00A8138F">
      <w:pPr>
        <w:pStyle w:val="SntesisAnaltica"/>
      </w:pPr>
    </w:p>
    <w:p w14:paraId="71624B5A" w14:textId="62F1BAB2" w:rsidR="00A8138F" w:rsidRDefault="00A8138F" w:rsidP="00A8138F">
      <w:pPr>
        <w:pStyle w:val="Extracto"/>
      </w:pPr>
      <w:r>
        <w:t>1.</w:t>
      </w:r>
      <w:r>
        <w:tab/>
        <w:t>La superación del plazo máximo inicial de prisión provisional legalmente previsto supone una limitación desproporcionada del derecho a la libertad personal (art. 17 CE), y, en consecuencia, su vulneración (STC 32/2023) [FJ 4].</w:t>
      </w:r>
    </w:p>
    <w:p w14:paraId="47902414" w14:textId="77777777" w:rsidR="00A8138F" w:rsidRDefault="00A8138F" w:rsidP="00A8138F">
      <w:pPr>
        <w:pStyle w:val="Extracto"/>
      </w:pPr>
    </w:p>
    <w:p w14:paraId="434CD983" w14:textId="424FE24A" w:rsidR="00A8138F" w:rsidRDefault="00A8138F" w:rsidP="00A8138F">
      <w:pPr>
        <w:pStyle w:val="Extracto"/>
      </w:pPr>
      <w:r>
        <w:t>2.</w:t>
      </w:r>
      <w:r>
        <w:tab/>
        <w:t>Las resoluciones judiciales que no incluyen los días de detención policial en el cómputo del plazo máximo inicial de la prisión provisional, en contra de lo dispuesto en el primer inciso del art. 504.5 LECrim, vulneran el principio de legalidad del art. 17.1 y 4 CE [FJ 4].</w:t>
      </w:r>
    </w:p>
    <w:p w14:paraId="283E3631" w14:textId="77777777" w:rsidR="00A8138F" w:rsidRDefault="00A8138F" w:rsidP="00A8138F">
      <w:pPr>
        <w:pStyle w:val="Extracto"/>
      </w:pPr>
    </w:p>
    <w:p w14:paraId="3FDF6A9D" w14:textId="0CB5ED04" w:rsidR="00A8138F" w:rsidRDefault="00A8138F" w:rsidP="00A8138F">
      <w:pPr>
        <w:pStyle w:val="Extracto"/>
      </w:pPr>
      <w:r>
        <w:t>3.</w:t>
      </w:r>
      <w:r>
        <w:tab/>
        <w:t>La prórroga o ampliación del plazo máximo inicial de prisión provisional decretada ha de ser adoptada antes de que el plazo máximo inicial haya expirado, pues constituye una exigencia lógica para la efectividad del derecho a la libertad personal (STC 155/2004) [FJ 4].</w:t>
      </w:r>
    </w:p>
    <w:p w14:paraId="043A42DD" w14:textId="77777777" w:rsidR="00A8138F" w:rsidRDefault="00A8138F" w:rsidP="00A8138F">
      <w:pPr>
        <w:pStyle w:val="Extracto"/>
      </w:pPr>
    </w:p>
    <w:p w14:paraId="5A80872F" w14:textId="0FCEF204" w:rsidR="00A8138F" w:rsidRDefault="00A8138F" w:rsidP="00A8138F">
      <w:pPr>
        <w:pStyle w:val="Extracto"/>
      </w:pPr>
      <w:r>
        <w:t>4.</w:t>
      </w:r>
      <w:r>
        <w:tab/>
        <w:t>La lesión producida por la ignorancia del plazo no se subsana por la adopción de un intempestivo acuerdo de prórroga tras la superación de aquel (SSTC 56/1997 o 155/2004) [FJ 4].</w:t>
      </w:r>
    </w:p>
    <w:p w14:paraId="27B8428A" w14:textId="77777777" w:rsidR="00A8138F" w:rsidRDefault="00A8138F" w:rsidP="00A8138F">
      <w:pPr>
        <w:pStyle w:val="Extracto"/>
      </w:pPr>
    </w:p>
    <w:p w14:paraId="66A4E111" w14:textId="77777777" w:rsidR="00A8138F" w:rsidRDefault="00A8138F" w:rsidP="00A8138F">
      <w:pPr>
        <w:pStyle w:val="Extracto"/>
      </w:pPr>
    </w:p>
    <w:p w14:paraId="0934C740"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CCD9A6B" w14:textId="622038ED" w:rsidR="00A8138F" w:rsidRDefault="00A8138F" w:rsidP="00A8138F">
      <w:pPr>
        <w:pStyle w:val="TextoNormal"/>
      </w:pPr>
    </w:p>
    <w:p w14:paraId="3B35305D" w14:textId="77777777" w:rsidR="00A8138F" w:rsidRDefault="00A8138F" w:rsidP="00A8138F">
      <w:pPr>
        <w:pStyle w:val="TextoNormalCentrado"/>
        <w:keepNext/>
      </w:pPr>
      <w:r>
        <w:t>EN NOMBRE DEL REY</w:t>
      </w:r>
    </w:p>
    <w:p w14:paraId="0AB2BDE0" w14:textId="062B0395" w:rsidR="00A8138F" w:rsidRDefault="00A8138F" w:rsidP="00A8138F">
      <w:pPr>
        <w:pStyle w:val="TextoNormalCentrado"/>
        <w:keepNext/>
      </w:pPr>
    </w:p>
    <w:p w14:paraId="7DF70BA8" w14:textId="77777777" w:rsidR="00A8138F" w:rsidRDefault="00A8138F" w:rsidP="00A8138F">
      <w:pPr>
        <w:pStyle w:val="TextoNormalCentrado"/>
        <w:keepNext/>
      </w:pPr>
    </w:p>
    <w:p w14:paraId="660BD045" w14:textId="77777777" w:rsidR="00A8138F" w:rsidRDefault="00A8138F" w:rsidP="00A8138F">
      <w:pPr>
        <w:pStyle w:val="TextoNormal"/>
      </w:pPr>
      <w:r>
        <w:t>la siguiente</w:t>
      </w:r>
    </w:p>
    <w:p w14:paraId="380ED66C" w14:textId="2C44CA26" w:rsidR="00A8138F" w:rsidRDefault="00A8138F" w:rsidP="00A8138F">
      <w:pPr>
        <w:pStyle w:val="TextoNormal"/>
      </w:pPr>
    </w:p>
    <w:p w14:paraId="4098CAE8" w14:textId="77777777" w:rsidR="00A8138F" w:rsidRDefault="00A8138F" w:rsidP="00A8138F">
      <w:pPr>
        <w:pStyle w:val="TextoNormalCentrado"/>
        <w:keepNext/>
      </w:pPr>
      <w:r>
        <w:t>SENTENCIA</w:t>
      </w:r>
    </w:p>
    <w:p w14:paraId="1587CCB5" w14:textId="15C4F933" w:rsidR="00A8138F" w:rsidRDefault="00A8138F" w:rsidP="00A8138F">
      <w:pPr>
        <w:pStyle w:val="TextoNormalCentrado"/>
        <w:keepNext/>
      </w:pPr>
    </w:p>
    <w:p w14:paraId="4F33A8DA" w14:textId="77777777" w:rsidR="00A8138F" w:rsidRDefault="00A8138F" w:rsidP="00A8138F">
      <w:pPr>
        <w:pStyle w:val="TextoNormal"/>
      </w:pPr>
      <w:r>
        <w:t>En el recurso de amparo núm. 6751-2022, promovido por don José Francisco Martínez Vela, representado por la procuradora de los tribunales doña Blanca Murillo de la Cuadra y bajo la dirección del letrado don Juan Manuel Aído Montañez, contra los autos del Juzgado de Instrucción núm. 8 de Sevilla, dictados en las diligencias previas núm. 314-2020, de fecha 18 de julio y 3 de agosto de 2022, por los que se acordó, respectivamente, la prórroga de la prisión provisional del demandante de amparo y la desestimación del recurso de reforma entablado frente a la anterior resolución; así como contra el auto de la Sección Tercera de la Audiencia Provincial de Sevilla, emitido en el rollo de apelación núm. 7598-2022, de fecha 29 de agosto de 2022, por el que se confirmó en grado de apelación las anteriores resoluciones. Ha intervenido el Ministerio Fiscal. Ha sido ponente la magistrada doña Laura Díez Bueso.</w:t>
      </w:r>
    </w:p>
    <w:p w14:paraId="5697852E" w14:textId="354C67B7" w:rsidR="00A8138F" w:rsidRDefault="00A8138F" w:rsidP="00A8138F">
      <w:pPr>
        <w:pStyle w:val="TextoNormal"/>
      </w:pPr>
    </w:p>
    <w:p w14:paraId="0B6327CE" w14:textId="77777777" w:rsidR="00A8138F" w:rsidRDefault="00A8138F" w:rsidP="00A8138F">
      <w:pPr>
        <w:pStyle w:val="TextoNormalNegritaCentrado"/>
        <w:keepNext/>
      </w:pPr>
      <w:r>
        <w:t>I. Antecedentes</w:t>
      </w:r>
    </w:p>
    <w:p w14:paraId="2C20FFF3" w14:textId="0907CD7F" w:rsidR="00A8138F" w:rsidRDefault="00A8138F" w:rsidP="00A8138F">
      <w:pPr>
        <w:pStyle w:val="TextoNormalNegritaCentrado"/>
        <w:keepNext/>
      </w:pPr>
    </w:p>
    <w:p w14:paraId="03335185" w14:textId="24900193" w:rsidR="00A8138F" w:rsidRDefault="00A8138F" w:rsidP="00A8138F">
      <w:pPr>
        <w:pStyle w:val="TextoNormal"/>
      </w:pPr>
      <w:r w:rsidRPr="00A8138F">
        <w:rPr>
          <w:rStyle w:val="NumeroAFNegritaCaracter"/>
        </w:rPr>
        <w:t>1</w:t>
      </w:r>
      <w:r>
        <w:t>. El 14 de octubre de 2022, don José Francisco Martínez Vela, representado por la procuradora de los tribunales doña Blanca Murillo de la Cuadra y bajo la dirección del letrado don Juan Manuel Aído Montañez, interpuso recurso de amparo contra las resoluciones mencionadas en el encabezamiento de esta sentencia.</w:t>
      </w:r>
    </w:p>
    <w:p w14:paraId="6799D1D7" w14:textId="77777777" w:rsidR="00A8138F" w:rsidRDefault="00A8138F" w:rsidP="00A8138F">
      <w:pPr>
        <w:pStyle w:val="TextoNormal"/>
      </w:pPr>
    </w:p>
    <w:p w14:paraId="4FBE7CB9" w14:textId="77777777" w:rsidR="00A8138F" w:rsidRDefault="00A8138F" w:rsidP="00A8138F">
      <w:pPr>
        <w:pStyle w:val="TextoNormal"/>
      </w:pPr>
      <w:r w:rsidRPr="00A8138F">
        <w:rPr>
          <w:rStyle w:val="NumeroAFNegritaCaracter"/>
        </w:rPr>
        <w:t>2</w:t>
      </w:r>
      <w:r>
        <w:t>. El recurso tiene su origen en los siguientes antecedentes:</w:t>
      </w:r>
    </w:p>
    <w:p w14:paraId="424EAECC" w14:textId="77777777" w:rsidR="00A8138F" w:rsidRDefault="00A8138F" w:rsidP="00A8138F">
      <w:pPr>
        <w:pStyle w:val="TextoNormal"/>
      </w:pPr>
    </w:p>
    <w:p w14:paraId="5CD12632" w14:textId="77777777" w:rsidR="00A8138F" w:rsidRDefault="00A8138F" w:rsidP="00A8138F">
      <w:pPr>
        <w:pStyle w:val="TextoNormal"/>
      </w:pPr>
      <w:r>
        <w:t xml:space="preserve">a) El demandante de amparo fue detenido por agentes de la Guardia Civil a las 09:48 horas del día 16 de julio de 2020 y puesto a disposición del Juzgado de Instrucción núm. 8 de Sevilla el 18 de julio de 2020. Ese mismo día, celebrada la comparecencia prevista en el art. 505 de la Ley de enjuiciamiento criminal (en adelante, LECrim), el instructor dictó, en el curso de las diligencias previas núm. 314-2020, un auto acordando su prisión provisional comunicada y sin fianza, por dos años, por su presunta participación en un delito contra la salud pública, en cantidad de extrema gravedad, por organización criminal y con intervención de embarcaciones neumáticas de gran eslora de los arts. 368, 369 </w:t>
      </w:r>
      <w:r w:rsidRPr="00A8138F">
        <w:rPr>
          <w:i/>
        </w:rPr>
        <w:t>bis</w:t>
      </w:r>
      <w:r>
        <w:t xml:space="preserve"> y 370.3 del Código penal (en adelante, CP).</w:t>
      </w:r>
    </w:p>
    <w:p w14:paraId="1A9A7C78" w14:textId="77777777" w:rsidR="00A8138F" w:rsidRDefault="00A8138F" w:rsidP="00A8138F">
      <w:pPr>
        <w:pStyle w:val="TextoNormal"/>
      </w:pPr>
    </w:p>
    <w:p w14:paraId="47FEFDD2" w14:textId="77777777" w:rsidR="00A8138F" w:rsidRDefault="00A8138F" w:rsidP="00A8138F">
      <w:pPr>
        <w:pStyle w:val="TextoNormal"/>
      </w:pPr>
      <w:r>
        <w:t>b) Celebrada mediante videoconferencia el 8 de julio de 2022 la oportuna comparecencia a los fines prevenidos en el art. 504.2 LECrim, el juzgado de instrucción acordó la prórroga de la prisión provisional mediante auto de 18 de julio de 2022, por una sola vez y por tiempo de dos años.</w:t>
      </w:r>
    </w:p>
    <w:p w14:paraId="18B9F9A5" w14:textId="77777777" w:rsidR="00A8138F" w:rsidRDefault="00A8138F" w:rsidP="00A8138F">
      <w:pPr>
        <w:pStyle w:val="TextoNormal"/>
      </w:pPr>
    </w:p>
    <w:p w14:paraId="6EA41620" w14:textId="77777777" w:rsidR="00A8138F" w:rsidRDefault="00A8138F" w:rsidP="00A8138F">
      <w:pPr>
        <w:pStyle w:val="TextoNormal"/>
      </w:pPr>
      <w:r>
        <w:t>c) El recurrente interpuso recurso de reforma alegando infracción de ley (art. 504.5 LECrim) y vulneración del derecho a la libertad (art. 17 CE) en relación con los derechos a la tutela judicial efectiva y a un proceso con todas las garantías (art. 24.1 y 2 CE), por extemporaneidad de la prórroga acordada, argumentando que el plazo máximo de dos años de duración de la prisión provisional aplicable al caso en virtud del art. 504.2 LECrim venció el día 16 de julio de 2022 y no el 18 de ese mismo mes, cuando fue dictado el auto de prórroga, pues conforme a lo previsto en el art. 504.5 LECrim se deberían haber incluido en dicho cómputo los dos días de detención gubernativa. Así las cosas, el auto impugnado habría incurrido en un defecto invalidante e insubsanable, según doctrina constitucional asentada en las SSTC 98/1998, de 4 de mayo y 155/2004, de 20 de septiembre, con lo que procedía su inmediata puesta en libertad.</w:t>
      </w:r>
    </w:p>
    <w:p w14:paraId="7FD0533E" w14:textId="77777777" w:rsidR="00A8138F" w:rsidRDefault="00A8138F" w:rsidP="00A8138F">
      <w:pPr>
        <w:pStyle w:val="TextoNormal"/>
      </w:pPr>
    </w:p>
    <w:p w14:paraId="518FB21A" w14:textId="77777777" w:rsidR="00A8138F" w:rsidRDefault="00A8138F" w:rsidP="00A8138F">
      <w:pPr>
        <w:pStyle w:val="TextoNormal"/>
      </w:pPr>
      <w:r>
        <w:t>d) El juzgado de instrucción desestimó el citado recurso mediante auto de 3 de agosto de 2022, negando la extemporaneidad de la prórroga, “sin que la no inclusión de los días de detención implique vulneración de los derechos fundamentales”. Se argumenta que el recurrente se encontraba cumpliendo una pena privativa de libertad, en virtud de la ejecutoria núm. 12-2022 de la Sección Séptima de la Audiencia Provincial de Sevilla, en la que se había efectuado liquidación de condena con inicio de cumplimiento el día 26 de abril de 2022 (por tanto, antes del auto de prórroga impugnado), “siendo procedente la compensación de dichos días, conforme al art. 58 del Código penal y sin que ello suponga una ampliación de los días de privación de libertad”.</w:t>
      </w:r>
    </w:p>
    <w:p w14:paraId="59F7D05F" w14:textId="77777777" w:rsidR="00A8138F" w:rsidRDefault="00A8138F" w:rsidP="00A8138F">
      <w:pPr>
        <w:pStyle w:val="TextoNormal"/>
      </w:pPr>
    </w:p>
    <w:p w14:paraId="2D0D61DB" w14:textId="77777777" w:rsidR="00A8138F" w:rsidRDefault="00A8138F" w:rsidP="00A8138F">
      <w:pPr>
        <w:pStyle w:val="TextoNormal"/>
      </w:pPr>
      <w:r>
        <w:t>e) El investigado presentó recurso de apelación articulado en dos motivos: (i) por infracción del art. 504.5 LECrim y de los derechos a la libertad personal (art. 17 CE) y a la tutela judicial efectiva (art. 24.1 CE), reiterando los argumentos relativos al carácter extemporáneo de la prórroga decretada, sin que el hecho de que el interesado se hallara cumpliendo en prisión otra responsabilidad convirtiera en inoperantes los plazos máximos de prisión provisional establecidos en el art. 504.2 LECrim y sin que resultara aplicable al caso lo prevenido en el art. 58 CP y (ii) por infracción del art. 504.3 LECrim y de los derechos a la libertad personal (art. 17 CE) y a un proceso con todas las garantías (art. 24.2 CE), aduciendo que la prórroga se decretó al margen del cambio en las circunstancias que se tuvieron en cuenta para la adopción de la prisión provisional, por haber desaparecido el riesgo de fuga al encontrarse cumpliendo una pena de prisión desde el 26 de abril de 2022.</w:t>
      </w:r>
    </w:p>
    <w:p w14:paraId="5EB25F91" w14:textId="77777777" w:rsidR="00A8138F" w:rsidRDefault="00A8138F" w:rsidP="00A8138F">
      <w:pPr>
        <w:pStyle w:val="TextoNormal"/>
      </w:pPr>
    </w:p>
    <w:p w14:paraId="1232CB3F" w14:textId="77777777" w:rsidR="00A8138F" w:rsidRDefault="00A8138F" w:rsidP="00A8138F">
      <w:pPr>
        <w:pStyle w:val="TextoNormal"/>
      </w:pPr>
      <w:r>
        <w:t>f) El auto de 29 de agosto de 2022 de la Sección Tercera de la Audiencia Provincial de Sevilla, en el rollo de apelación núm. 7598-2022, desestimó el recurso de apelación, alcanzando la conclusión de que el art. 504.5 LECrim solo obliga a computar, como tiempo de la prisión provisional, el de privación de libertad que tiene su origen en la misma “causa”, y como tal, solo cabe entender procedimiento judicial (la detención acordada judicialmente y no la detención gubernativa), ofreciendo las siguientes razones:</w:t>
      </w:r>
    </w:p>
    <w:p w14:paraId="7A32B8F9" w14:textId="77777777" w:rsidR="00A8138F" w:rsidRDefault="00A8138F" w:rsidP="00A8138F">
      <w:pPr>
        <w:pStyle w:val="TextoNormal"/>
      </w:pPr>
    </w:p>
    <w:p w14:paraId="7842E5A0" w14:textId="77777777" w:rsidR="00A8138F" w:rsidRDefault="00A8138F" w:rsidP="00A8138F">
      <w:pPr>
        <w:pStyle w:val="TextoNormal"/>
      </w:pPr>
      <w:r>
        <w:t>(i) Alega que se trata de una cuestión resuelta en la STC 145/2001, de 18 de junio, con cita en la STC 37/1996, de 11 de marzo, en la que se desestimó el amparo solicitado al considerar que la pretensión de cómputo de los días de detención policial “se apoya en una determinada forma de computar el tiempo de prisión provisional que no es constitucionalmente exigida”. Según el órgano judicial, dicha doctrina constitucional no se ha visto desvirtuada por la reforma del art. 504 LECrim operada por la Ley Orgánica 13/2003, de 24 de octubre. Primero, porque el párrafo primero del art. 504.5 LECrim solo puede referirse a medidas cautelares personales adoptadas por decisión judicial en el seno de un procedimiento (y la detención policial es preprocesal); y, segundo, porque de la invocación del art. 17.4 CE en la exposición de motivos de la referida ley orgánica se desprende que la regulación de la prisión provisional es a partir de la puesta a disposición judicial, por lo que se incluyen solo las medidas cautelares judicialmente adoptadas (prisión provisional y detención judicial). Y así lo ha entendido también, a su juicio, la STC 99/2005, de 18 de abril.</w:t>
      </w:r>
    </w:p>
    <w:p w14:paraId="1D6F1BF5" w14:textId="77777777" w:rsidR="00A8138F" w:rsidRDefault="00A8138F" w:rsidP="00A8138F">
      <w:pPr>
        <w:pStyle w:val="TextoNormal"/>
      </w:pPr>
    </w:p>
    <w:p w14:paraId="77D4C81B" w14:textId="77777777" w:rsidR="00A8138F" w:rsidRDefault="00A8138F" w:rsidP="00A8138F">
      <w:pPr>
        <w:pStyle w:val="TextoNormal"/>
      </w:pPr>
      <w:r>
        <w:t xml:space="preserve">(ii) Considera que el propio párrafo segundo del art. 504.5 LECrim aclara que “[s]e excluirá, sin embargo, de aquel cómputo [del plazo máximo de privación de libertad] el tiempo en que la causa sufriere dilaciones no imputables a la administración de justicia”, argumento que ya ha sido utilizado en la STC 8/1990, de 18 de enero, para desestimar una pretensión de amparo basada en que el instructor no había adoptado como </w:t>
      </w:r>
      <w:r w:rsidRPr="00A8138F">
        <w:rPr>
          <w:i/>
        </w:rPr>
        <w:t>dies a quo</w:t>
      </w:r>
      <w:r>
        <w:t xml:space="preserve"> del plazo de duración de la prisión provisional la fecha de la detención y no el de la puesta a disposición judicial.</w:t>
      </w:r>
    </w:p>
    <w:p w14:paraId="5CCE33B3" w14:textId="77777777" w:rsidR="00A8138F" w:rsidRDefault="00A8138F" w:rsidP="00A8138F">
      <w:pPr>
        <w:pStyle w:val="TextoNormal"/>
      </w:pPr>
    </w:p>
    <w:p w14:paraId="06D3FA48" w14:textId="58571F6E" w:rsidR="00A8138F" w:rsidRDefault="00A8138F" w:rsidP="00A8138F">
      <w:pPr>
        <w:pStyle w:val="TextoNormal"/>
      </w:pPr>
      <w:r>
        <w:t>g) Promovido incidente de nulidad de actuaciones “desde el auto de fecha 18 de julio de 2022 que acuerda, de forma extemporánea, la prórroga de la prisión provisional de mi representado” por inobservancia de normas esenciales del procedimiento (fundamentalmente, del art. 504.5 LECrim) con vulneración del derecho a la libertad (art. 17 CE), dicho incidente fue desestimado por auto de 13 de septiembre de 2022 de la Sección Tercera de la Audiencia Provincial de Sevilla, al apreciar falta de competencia para declarar la nulidad del auto de prórroga de la prisión provisional del investigado.</w:t>
      </w:r>
    </w:p>
    <w:p w14:paraId="1DD8AC5D" w14:textId="77777777" w:rsidR="00A8138F" w:rsidRDefault="00A8138F" w:rsidP="00A8138F">
      <w:pPr>
        <w:pStyle w:val="TextoNormal"/>
      </w:pPr>
    </w:p>
    <w:p w14:paraId="0A6E9C4D" w14:textId="77777777" w:rsidR="00A8138F" w:rsidRDefault="00A8138F" w:rsidP="00A8138F">
      <w:pPr>
        <w:pStyle w:val="TextoNormal"/>
      </w:pPr>
      <w:r w:rsidRPr="00A8138F">
        <w:rPr>
          <w:rStyle w:val="NumeroAFNegritaCaracter"/>
        </w:rPr>
        <w:t>3</w:t>
      </w:r>
      <w:r>
        <w:t xml:space="preserve">. El recurrente denuncia en su demanda de amparo una vulneración del derecho fundamental a la libertad (art. 17.1 y 4 CE), en relación con el derecho a la tutela judicial efectiva y a un proceso con todas las garantías (art. 24.1 y 2 CE), toda vez que la resolución que acordó la prórroga de la prisión provisional </w:t>
      </w:r>
      <w:r w:rsidRPr="00A8138F">
        <w:rPr>
          <w:i/>
        </w:rPr>
        <w:t>ex</w:t>
      </w:r>
      <w:r>
        <w:t xml:space="preserve"> art. 504.5 LECrim fue dictada una vez expirado el plazo para ello, pues el período de detención gubernativa (dos días) debe ser incluido en el cómputo; y, vencido ese plazo inicial, el defecto no es subsanable mediante el dictado de una prórroga (con cita de las SSTC 144/2002, de 15 de julio, y 155/2004, de 20 de septiembre).</w:t>
      </w:r>
    </w:p>
    <w:p w14:paraId="4A468F37" w14:textId="77777777" w:rsidR="00A8138F" w:rsidRDefault="00A8138F" w:rsidP="00A8138F">
      <w:pPr>
        <w:pStyle w:val="TextoNormal"/>
      </w:pPr>
    </w:p>
    <w:p w14:paraId="161B0857" w14:textId="77777777" w:rsidR="00A8138F" w:rsidRDefault="00A8138F" w:rsidP="00A8138F">
      <w:pPr>
        <w:pStyle w:val="TextoNormal"/>
      </w:pPr>
      <w:r>
        <w:t>Respecto a los autos del Juzgado de Instrucción núm. 8 de Sevilla, se asevera que la argumentación empleada para desestimar la pretensión de nulidad de la prórroga de la prisión provisional estaría mezclando cuestiones jurídicas totalmente independientes, que no son de aplicación al supuesto enjuiciado. Así, el hecho de haber comenzado a cumplir una pena impuesta en otra causa anterior, antes del agotamiento del plazo máximo de prisión provisional inicial y del acuerdo de prórroga, no convierte en inoperantes los plazos máximos de prisión provisional establecidos en el art. 504.2 LECrim, y no resulta aplicable al caso lo dispuesto en el art. 58 CP.</w:t>
      </w:r>
    </w:p>
    <w:p w14:paraId="0FD20EB3" w14:textId="77777777" w:rsidR="00A8138F" w:rsidRDefault="00A8138F" w:rsidP="00A8138F">
      <w:pPr>
        <w:pStyle w:val="TextoNormal"/>
      </w:pPr>
    </w:p>
    <w:p w14:paraId="728FF819" w14:textId="77777777" w:rsidR="00A8138F" w:rsidRDefault="00A8138F" w:rsidP="00A8138F">
      <w:pPr>
        <w:pStyle w:val="TextoNormal"/>
      </w:pPr>
      <w:r>
        <w:t>En lo que se refiere al auto de 29 de agosto de 2022, de la Sección Tercera de la Audiencia Provincial de Sevilla, se alega que, aunque el órgano judicial se separa del planteamiento de la instructora, los argumentos empleados para desestimar la apelación son igualmente rechazables. En este sentido, se arguye: (i) que la doctrina constitucional utilizada, al ser previa a la reforma de la Ley de enjuiciamiento criminal de 2003, habría perdido ya su eficacia; (ii) que la interpretación realizada del primer párrafo del art. 504.5 LECrim, entendiendo que la detención judicial sí entraría en el cómputo de los plazos máximos de la prisión provisional, por cuanto “tiene su origen en la misma ‘causa’, y como tal, solo cabe entender procedimiento judicial” (y no así la policial), “no hace más que confirmar la extemporaneidad de la prórroga acordada para mi mandante, pues su detención fue a causa de este procedimiento, a disposición del mismo, y, por ende, por la misma causa”; (iii) que el Tribunal Supremo, desde la sentencia de 22 de marzo de 2001, ya ha establecido la obligación de incluir los días de detención en el cómputo de los plazos máximos de prisión provisional; y, (iv) que el tribunal de apelación habría incurrido en una selección arbitraria de la norma aplicable al acudir al segundo párrafo del art. 504.5 LECrim, relativo a la exclusión del cómputo del plazo máximo del “tiempo en que la causa sufriere dilaciones no imputables a la administración de justicia”, para justificar la no inclusión de los días de detención policial, pues el tenor literal del primer párrafo del art. 504.5 LECrim es claro al incorporar los días de detención en el referido cómputo.</w:t>
      </w:r>
    </w:p>
    <w:p w14:paraId="3191DE4D" w14:textId="77777777" w:rsidR="00A8138F" w:rsidRDefault="00A8138F" w:rsidP="00A8138F">
      <w:pPr>
        <w:pStyle w:val="TextoNormal"/>
      </w:pPr>
    </w:p>
    <w:p w14:paraId="24CB9F96" w14:textId="5052604B" w:rsidR="00A8138F" w:rsidRDefault="00A8138F" w:rsidP="00A8138F">
      <w:pPr>
        <w:pStyle w:val="TextoNormal"/>
      </w:pPr>
      <w:r>
        <w:t>Por lo expuesto, interesa que se le otorgue el amparo (i) declarando la nulidad del auto 18 de julio de 2022 del Juzgado de Instrucción núm. 8 de Sevilla que acordó la prórroga extemporánea de la prisión provisional (y de las resoluciones judiciales que lo confirman), y (ii) decretando su libertad provisional.</w:t>
      </w:r>
    </w:p>
    <w:p w14:paraId="09F29FB5" w14:textId="77777777" w:rsidR="00A8138F" w:rsidRDefault="00A8138F" w:rsidP="00A8138F">
      <w:pPr>
        <w:pStyle w:val="TextoNormal"/>
      </w:pPr>
    </w:p>
    <w:p w14:paraId="7339CD28" w14:textId="25F96B99" w:rsidR="00A8138F" w:rsidRDefault="00A8138F" w:rsidP="00A8138F">
      <w:pPr>
        <w:pStyle w:val="TextoNormal"/>
      </w:pPr>
      <w:r w:rsidRPr="00A8138F">
        <w:rPr>
          <w:rStyle w:val="NumeroAFNegritaCaracter"/>
        </w:rPr>
        <w:t>4</w:t>
      </w:r>
      <w:r>
        <w:t>. La Sección Tercera de este tribunal, por providencia de 20 de febrero de 2023, acordó la admisión a trámite del recurso de amparo, apreciando que concurre en el mismo una especial trascendencia constitucional [art. 50.1 de la Ley Orgánica del Tribunal Constitucional (LOTC)] porque plantea un problema o una faceta de un derecho fundamental sobre el que no hay doctrina de este tribunal [STC 155/2009, de 25 de junio, FJ 2 a)] y porque el recurso puede dar ocasión para aclarar o cambiar su doctrina, como consecuencia de cambios normativos relevantes para la configuración del contenido del derecho fundamental [STC 155/2009, FJ 2 b)]. En consecuencia, acordó dirigir atenta comunicación a la Sección Tercera de la Audiencia Provincial de Sevilla, y al Juzgado de Instrucción núm. 8 de Sevilla, a fin de que, en un plazo que no excediera de diez días, remitieran testimonio de las actuaciones correspondientes al rollo de apelación núm. 7589-3022 y a las diligencias previas núm. 314-2020, respectivamente. En la misma resolución se ordenó emplazar a quienes hubieran sido parte en el procedimiento, excepto a la parte recurrente, para que en el plazo de diez días pudiesen comparecer en el presente recurso de amparo.</w:t>
      </w:r>
    </w:p>
    <w:p w14:paraId="0BE583AD" w14:textId="77777777" w:rsidR="00A8138F" w:rsidRDefault="00A8138F" w:rsidP="00A8138F">
      <w:pPr>
        <w:pStyle w:val="TextoNormal"/>
      </w:pPr>
    </w:p>
    <w:p w14:paraId="38C3C8B9" w14:textId="5246154F" w:rsidR="00A8138F" w:rsidRDefault="00A8138F" w:rsidP="00A8138F">
      <w:pPr>
        <w:pStyle w:val="TextoNormal"/>
      </w:pPr>
      <w:r w:rsidRPr="00A8138F">
        <w:rPr>
          <w:rStyle w:val="NumeroAFNegritaCaracter"/>
        </w:rPr>
        <w:t>5</w:t>
      </w:r>
      <w:r>
        <w:t>. Por diligencia de ordenación de 31 de marzo de 2023 se acordó dar vista de las actuaciones recibidas a la parte recurrente y al Ministerio Fiscal por plazo común de veinte días, para que pudiesen presentar las alegaciones que estimasen pertinentes, de conformidad con el art. 52.1 LOTC.</w:t>
      </w:r>
    </w:p>
    <w:p w14:paraId="1DF7B5DC" w14:textId="77777777" w:rsidR="00A8138F" w:rsidRDefault="00A8138F" w:rsidP="00A8138F">
      <w:pPr>
        <w:pStyle w:val="TextoNormal"/>
      </w:pPr>
    </w:p>
    <w:p w14:paraId="381EB51A" w14:textId="0D168289" w:rsidR="00A8138F" w:rsidRDefault="00A8138F" w:rsidP="00A8138F">
      <w:pPr>
        <w:pStyle w:val="TextoNormal"/>
      </w:pPr>
      <w:r w:rsidRPr="00A8138F">
        <w:rPr>
          <w:rStyle w:val="NumeroAFNegritaCaracter"/>
        </w:rPr>
        <w:t>6</w:t>
      </w:r>
      <w:r>
        <w:t>. El recurrente presentó escrito de alegaciones con fecha 9 de mayo de 2023, en el que se ratifica íntegramente de la demanda de amparo.</w:t>
      </w:r>
    </w:p>
    <w:p w14:paraId="48EC93E9" w14:textId="77777777" w:rsidR="00A8138F" w:rsidRDefault="00A8138F" w:rsidP="00A8138F">
      <w:pPr>
        <w:pStyle w:val="TextoNormal"/>
      </w:pPr>
    </w:p>
    <w:p w14:paraId="799C6401" w14:textId="77777777" w:rsidR="00A8138F" w:rsidRDefault="00A8138F" w:rsidP="00A8138F">
      <w:pPr>
        <w:pStyle w:val="TextoNormal"/>
      </w:pPr>
      <w:r w:rsidRPr="00A8138F">
        <w:rPr>
          <w:rStyle w:val="NumeroAFNegritaCaracter"/>
        </w:rPr>
        <w:t>7</w:t>
      </w:r>
      <w:r>
        <w:t>. El Ministerio Fiscal, en escrito registrado el 11 de mayo de 2023, presentó alegaciones interesando la estimación del presente recurso.</w:t>
      </w:r>
    </w:p>
    <w:p w14:paraId="70B2F86B" w14:textId="77777777" w:rsidR="00A8138F" w:rsidRDefault="00A8138F" w:rsidP="00A8138F">
      <w:pPr>
        <w:pStyle w:val="TextoNormal"/>
      </w:pPr>
    </w:p>
    <w:p w14:paraId="5CA8BF05" w14:textId="77777777" w:rsidR="00A8138F" w:rsidRDefault="00A8138F" w:rsidP="00A8138F">
      <w:pPr>
        <w:pStyle w:val="TextoNormal"/>
      </w:pPr>
      <w:r>
        <w:t>Tras resumir los antecedentes de hecho y la demanda de amparo, se realizan las siguientes precisiones: (i) que el objeto principal del presente recurso de amparo es el auto del Juzgado de Instrucción núm. 8 de Sevilla de 18 de julio de 2022, causante de las lesiones constitucionales denunciadas, cumpliendo las demás resoluciones judiciales confirmatorias del mismo la función de mero agotamiento de la vía judicial; (ii) que no se ha producido un alargamiento indebido de la vía judicial previa al amparo, puesto que aun con la promoción del incidente de nulidad de actuaciones, el recurso de amparo se presentó tempestivamente el mismo día de finalización del plazo de treinta días del art. 44 LOTC, a contar desde la notificación del auto desestimatorio del recurso de apelación; y (iii) que el único motivo de impugnación aducido es la vulneración por las resoluciones impugnadas del derecho a la libertad personal (art. 17.1 y 4 CE) en relación con el derecho fundamental a la tutela judicial efectiva (art. 24.1 CE) y a un proceso con todas las garantías (art. 24.2 CE), por la inobservancia de lo dispuesto en el primer párrafo del art. 504.5 LECrim. Y, de entenderse producida la lesión denunciada, esta conllevaría un exceso de los plazos legalmente establecidos en el art. 504.2 LECrim que no podría ser subsanado por un intempestivo acuerdo de prórroga.</w:t>
      </w:r>
    </w:p>
    <w:p w14:paraId="4C13B645" w14:textId="77777777" w:rsidR="00A8138F" w:rsidRDefault="00A8138F" w:rsidP="00A8138F">
      <w:pPr>
        <w:pStyle w:val="TextoNormal"/>
      </w:pPr>
    </w:p>
    <w:p w14:paraId="34E1ACED" w14:textId="77777777" w:rsidR="00A8138F" w:rsidRDefault="00A8138F" w:rsidP="00A8138F">
      <w:pPr>
        <w:pStyle w:val="TextoNormal"/>
      </w:pPr>
      <w:r>
        <w:t>El fiscal destaca la doctrina constitucional aplicable a esta materia, advirtiendo que las SSTC 37/1996, de 11 de marzo, y 145/2001, de 18 de junio, (i) fueron dictadas con anterioridad a la reforma por la Ley Orgánica 13/2003, de 24 de octubre, del art. 504.5 LECrim ahora aplicable; y (ii) que “sugieren que son posibles otras interpretaciones que podrían resultar igualmente constitucionales”, más allá de la que propicia (a la vista de la redacción del art. 504 LECrim anterior) que el tiempo de detención no compute para la determinación del plazo máximo de prisión provisional.</w:t>
      </w:r>
    </w:p>
    <w:p w14:paraId="20158E58" w14:textId="77777777" w:rsidR="00A8138F" w:rsidRDefault="00A8138F" w:rsidP="00A8138F">
      <w:pPr>
        <w:pStyle w:val="TextoNormal"/>
      </w:pPr>
    </w:p>
    <w:p w14:paraId="2F050C1A" w14:textId="77777777" w:rsidR="00A8138F" w:rsidRDefault="00A8138F" w:rsidP="00A8138F">
      <w:pPr>
        <w:pStyle w:val="TextoNormal"/>
      </w:pPr>
      <w:r>
        <w:t>Sentado lo precedente, el fiscal concluye que, de acuerdo con la literalidad de la norma, la prórroga de la prisión provisional decretada el día 18 de julio de 2022 “se produjo fuera del plazo máximo inicial”, no siendo aceptables las interpretaciones patrocinadas por la Audiencia Provincial y por juzgado de instrucción. En relación con la impulsada por el primer órgano jurisdiccional mencionado, por cuanto, al mantener la vigencia de una doctrina constitucional ya superada por la nueva redacción del art. 504 LECrim (la sustentada por las SSTC 37/1996 y 145/2001), no respetó el principio de legalidad, dada la claridad de la nueva redacción del inciso primero del artículo 504.5 LECrim. Dicha infracción legal, “más allá de constituir una interpretación arbitraria o manifiestamente irrazonable, implica una afectación palmaria del derecho a la libertad (artículo 17 CE) del interesado”. Y en lo que se refiere al instructor, porque en ningún momento dejó sin efecto el auto inicial de prisión, que permaneció vigente hasta su agotamiento; y porque “[e]l problema relativo a cómo habría de computarse el período de tiempo en que el señor Martínez Vela tuvo la doble condición de preso preventivo y de penado es ajeno a este procedimiento”.</w:t>
      </w:r>
    </w:p>
    <w:p w14:paraId="04D83704" w14:textId="77777777" w:rsidR="00A8138F" w:rsidRDefault="00A8138F" w:rsidP="00A8138F">
      <w:pPr>
        <w:pStyle w:val="TextoNormal"/>
      </w:pPr>
    </w:p>
    <w:p w14:paraId="29C9A65E" w14:textId="5EA892C5" w:rsidR="00A8138F" w:rsidRDefault="00A8138F" w:rsidP="00A8138F">
      <w:pPr>
        <w:pStyle w:val="TextoNormal"/>
      </w:pPr>
      <w:r>
        <w:t>Por las razones expuestas solicita la estimación del recurso de amparo, declarando la nulidad de las resoluciones impugnadas con retroacción de actuaciones a la jurisdicción ordinaria, al ser esta la competente, que no este tribunal, para acordar el alzamiento o mantenimiento de las medidas cautelares personales en el proceso penal.</w:t>
      </w:r>
    </w:p>
    <w:p w14:paraId="7B8560FF" w14:textId="77777777" w:rsidR="00A8138F" w:rsidRDefault="00A8138F" w:rsidP="00A8138F">
      <w:pPr>
        <w:pStyle w:val="TextoNormal"/>
      </w:pPr>
    </w:p>
    <w:p w14:paraId="29C8CED6" w14:textId="17B3C076" w:rsidR="00A8138F" w:rsidRDefault="00A8138F" w:rsidP="00A8138F">
      <w:pPr>
        <w:pStyle w:val="TextoNormal"/>
      </w:pPr>
      <w:r w:rsidRPr="00A8138F">
        <w:rPr>
          <w:rStyle w:val="NumeroAFNegritaCaracter"/>
        </w:rPr>
        <w:t>8</w:t>
      </w:r>
      <w:r>
        <w:t>. Por providencia de 9 de enero de 2025 se señaló para la deliberación y votación de la presente sentencia el día 13 del mismo mes y año.</w:t>
      </w:r>
    </w:p>
    <w:p w14:paraId="08ED5781" w14:textId="77777777" w:rsidR="00A8138F" w:rsidRDefault="00A8138F" w:rsidP="00A8138F">
      <w:pPr>
        <w:pStyle w:val="TextoNormal"/>
      </w:pPr>
    </w:p>
    <w:p w14:paraId="21DBBD7B" w14:textId="77777777" w:rsidR="00A8138F" w:rsidRDefault="00A8138F" w:rsidP="00A8138F">
      <w:pPr>
        <w:pStyle w:val="TextoNormalNegritaCentrado"/>
        <w:keepNext/>
      </w:pPr>
      <w:r>
        <w:t>II. Fundamentos jurídicos</w:t>
      </w:r>
    </w:p>
    <w:p w14:paraId="5EABADCE" w14:textId="7B37AC59" w:rsidR="00A8138F" w:rsidRDefault="00A8138F" w:rsidP="00A8138F">
      <w:pPr>
        <w:pStyle w:val="TextoNormalNegritaCentrado"/>
        <w:keepNext/>
      </w:pPr>
    </w:p>
    <w:p w14:paraId="07D5CBCD" w14:textId="77777777" w:rsidR="00A8138F" w:rsidRDefault="00A8138F" w:rsidP="00A8138F">
      <w:pPr>
        <w:pStyle w:val="TextoNormal"/>
      </w:pPr>
      <w:r w:rsidRPr="00A8138F">
        <w:rPr>
          <w:rStyle w:val="NumeroAFNegritaCaracter"/>
        </w:rPr>
        <w:t>1</w:t>
      </w:r>
      <w:r>
        <w:t xml:space="preserve">. </w:t>
      </w:r>
      <w:r w:rsidRPr="00A8138F">
        <w:rPr>
          <w:i/>
        </w:rPr>
        <w:t>Objeto del proceso y posiciones de las partes</w:t>
      </w:r>
    </w:p>
    <w:p w14:paraId="5DA308D0" w14:textId="77777777" w:rsidR="00A8138F" w:rsidRDefault="00A8138F" w:rsidP="00A8138F">
      <w:pPr>
        <w:pStyle w:val="TextoNormal"/>
      </w:pPr>
    </w:p>
    <w:p w14:paraId="0F649D01" w14:textId="77777777" w:rsidR="00A8138F" w:rsidRDefault="00A8138F" w:rsidP="00A8138F">
      <w:pPr>
        <w:pStyle w:val="TextoNormal"/>
      </w:pPr>
      <w:r>
        <w:t>El objeto del presente recurso de amparo es determinar si los autos de 18 de julio y 3 de agosto de 2022, dictados por el Juzgado de Instrucción núm. 8 de Sevilla, en las diligencias previas núm. 314-2020, y el auto 29 de agosto de 2022 de la Sección Tercera de la Audiencia Provincial de Sevilla, emitido en el rollo de apelación núm. 7598-2022, que los confirma han vulnerado el derecho fundamental a la libertad (art. 17.1 y 4 CE) en relación con el derecho a la tutela judicial efectiva y a un proceso con todas las garantías (art. 24.1 y 2 CE). Y ello por haber acordado la prórroga de la prisión provisional del demandante de amparo de forma extemporánea debido a la decisión judicial de no computar, a efectos del plazo inicial máximo de duración de la prisión provisional, los dos días en los que este estuvo en situación de detención gubernativa.</w:t>
      </w:r>
    </w:p>
    <w:p w14:paraId="5A5A683B" w14:textId="77777777" w:rsidR="00A8138F" w:rsidRDefault="00A8138F" w:rsidP="00A8138F">
      <w:pPr>
        <w:pStyle w:val="TextoNormal"/>
      </w:pPr>
    </w:p>
    <w:p w14:paraId="642C8956" w14:textId="0D1C32D3" w:rsidR="00A8138F" w:rsidRDefault="00A8138F" w:rsidP="00A8138F">
      <w:pPr>
        <w:pStyle w:val="TextoNormal"/>
      </w:pPr>
      <w:r>
        <w:lastRenderedPageBreak/>
        <w:t>El Ministerio Fiscal interesa la estimación del recurso, apreciando en los términos expuestos en los antecedentes la vulneración del derecho a la libertad (art. 17 CE) por parte de las resoluciones impugnadas como consecuencia de la inobservancia del primer párrafo del art. 504.5 LECrim: “Para el cómputo de los plazos establecidos en este artículo [plazos máximos de la prisión provisional] se tendrá en cuenta el tiempo que el investigado o encausado hubiere estado detenido o sometido a prisión provisional por la misma causa”.</w:t>
      </w:r>
    </w:p>
    <w:p w14:paraId="79BDC023" w14:textId="77777777" w:rsidR="00A8138F" w:rsidRDefault="00A8138F" w:rsidP="00A8138F">
      <w:pPr>
        <w:pStyle w:val="TextoNormal"/>
      </w:pPr>
    </w:p>
    <w:p w14:paraId="4DBBC217" w14:textId="77777777" w:rsidR="00A8138F" w:rsidRDefault="00A8138F" w:rsidP="00A8138F">
      <w:pPr>
        <w:pStyle w:val="TextoNormal"/>
      </w:pPr>
      <w:r w:rsidRPr="00A8138F">
        <w:rPr>
          <w:rStyle w:val="NumeroAFNegritaCaracter"/>
        </w:rPr>
        <w:t>2</w:t>
      </w:r>
      <w:r>
        <w:t xml:space="preserve">. </w:t>
      </w:r>
      <w:r w:rsidRPr="00A8138F">
        <w:rPr>
          <w:i/>
        </w:rPr>
        <w:t>Delimitación de los motivos de impugnación</w:t>
      </w:r>
    </w:p>
    <w:p w14:paraId="3F9CCFD8" w14:textId="77777777" w:rsidR="00A8138F" w:rsidRDefault="00A8138F" w:rsidP="00A8138F">
      <w:pPr>
        <w:pStyle w:val="TextoNormal"/>
      </w:pPr>
    </w:p>
    <w:p w14:paraId="0F681152" w14:textId="77777777" w:rsidR="00A8138F" w:rsidRDefault="00A8138F" w:rsidP="00A8138F">
      <w:pPr>
        <w:pStyle w:val="TextoNormal"/>
      </w:pPr>
      <w:r>
        <w:t>Debe advertirse para la delimitación precisa del presente recurso de amparo que los defectos de motivación de las resoluciones judiciales denunciados se examinarán desde la perspectiva del derecho a la libertad personal del recurrente (art. 17 CE), pues, como tiene declarado este tribunal, la alegada vulneración del derecho a la tutela judicial efectiva carece, en este caso, de autonomía y queda englobada en las infracciones del derecho a la libertad personal [por todas, SSTC 128/1995, de 26 de junio, FJ 4 a), y 22/2004, de 23 de febrero, FJ 2]. En este sentido, es doctrina constitucional reiterada que la falta o insuficiencia de motivación en las resoluciones que acuerdan medidas limitativas de derechos fundamentales (en este caso, el derecho a la libertad) es una cuestión que concierne directamente a la lesión del propio derecho fundamental sustantivo y no, autónomamente, al derecho a la tutela judicial efectiva (por todas, STC 179/2005, de 4 de julio, FJ 2).</w:t>
      </w:r>
    </w:p>
    <w:p w14:paraId="44C1C6F6" w14:textId="77777777" w:rsidR="00A8138F" w:rsidRDefault="00A8138F" w:rsidP="00A8138F">
      <w:pPr>
        <w:pStyle w:val="TextoNormal"/>
      </w:pPr>
    </w:p>
    <w:p w14:paraId="135008A8" w14:textId="316458D6" w:rsidR="00A8138F" w:rsidRDefault="00A8138F" w:rsidP="00A8138F">
      <w:pPr>
        <w:pStyle w:val="TextoNormal"/>
      </w:pPr>
      <w:r>
        <w:t>De otra parte, no existe en esta demanda desarrollo argumental de la pretendida lesión del derecho a un proceso con todas las garantías en la que, a juicio del recurrente, habrían incurrido las resoluciones judiciales impugnadas. Esa ausencia de la carga alegatoria que le es exigible a toda parte en un proceso constitucional determina que la vulneración del art. 24.2 CE denunciada no sea objeto de enjuiciamiento, no correspondiendo a este tribunal “reconstruir de oficio las demandas, suplir los razonamientos de las partes, ni suscitar la eventual existencia de los motivos relevantes para el amparo fuera de la vía prevista en el art. 84 LOTC” (por todas, STC 90/2024, de 17 de junio, FJ 2).</w:t>
      </w:r>
    </w:p>
    <w:p w14:paraId="268865CD" w14:textId="77777777" w:rsidR="00A8138F" w:rsidRDefault="00A8138F" w:rsidP="00A8138F">
      <w:pPr>
        <w:pStyle w:val="TextoNormal"/>
      </w:pPr>
    </w:p>
    <w:p w14:paraId="663188CE" w14:textId="77777777" w:rsidR="00A8138F" w:rsidRDefault="00A8138F" w:rsidP="00A8138F">
      <w:pPr>
        <w:pStyle w:val="TextoNormal"/>
      </w:pPr>
      <w:r w:rsidRPr="00A8138F">
        <w:rPr>
          <w:rStyle w:val="NumeroAFNegritaCaracter"/>
        </w:rPr>
        <w:t>3</w:t>
      </w:r>
      <w:r>
        <w:t xml:space="preserve">. </w:t>
      </w:r>
      <w:r w:rsidRPr="00A8138F">
        <w:rPr>
          <w:i/>
        </w:rPr>
        <w:t>Doctrina constitucional sobre el derecho a la libertad personal y su limitación cautelar en el proceso penal</w:t>
      </w:r>
    </w:p>
    <w:p w14:paraId="412AF5E9" w14:textId="77777777" w:rsidR="00A8138F" w:rsidRDefault="00A8138F" w:rsidP="00A8138F">
      <w:pPr>
        <w:pStyle w:val="TextoNormal"/>
      </w:pPr>
    </w:p>
    <w:p w14:paraId="1776C0CE" w14:textId="77777777" w:rsidR="00A8138F" w:rsidRDefault="00A8138F" w:rsidP="00A8138F">
      <w:pPr>
        <w:pStyle w:val="TextoNormal"/>
      </w:pPr>
      <w:r>
        <w:t>Este tribunal posee doctrina consolidada sobre el derecho a la libertad personal (art. 17 CE) que, en lo que afecta a este caso, se refiere tanto a la medida cautelar de prisión provisional, en general, como a la inclusión o no del periodo de detención en el cómputo del plazo máximo de la prisión provisional.</w:t>
      </w:r>
    </w:p>
    <w:p w14:paraId="498179A4" w14:textId="77777777" w:rsidR="00A8138F" w:rsidRDefault="00A8138F" w:rsidP="00A8138F">
      <w:pPr>
        <w:pStyle w:val="TextoNormal"/>
      </w:pPr>
    </w:p>
    <w:p w14:paraId="084ECE6E" w14:textId="77777777" w:rsidR="00A8138F" w:rsidRDefault="00A8138F" w:rsidP="00A8138F">
      <w:pPr>
        <w:pStyle w:val="TextoNormal"/>
      </w:pPr>
      <w:r>
        <w:t>a) El derecho a la libertad personal (art. 17 CE) y su privación a través de la medida cautelar de prisión provisional</w:t>
      </w:r>
    </w:p>
    <w:p w14:paraId="31F1D0FA" w14:textId="77777777" w:rsidR="00A8138F" w:rsidRDefault="00A8138F" w:rsidP="00A8138F">
      <w:pPr>
        <w:pStyle w:val="TextoNormal"/>
      </w:pPr>
    </w:p>
    <w:p w14:paraId="03A66E6A" w14:textId="77777777" w:rsidR="00A8138F" w:rsidRDefault="00A8138F" w:rsidP="00A8138F">
      <w:pPr>
        <w:pStyle w:val="TextoNormal"/>
      </w:pPr>
      <w:r>
        <w:t>Como expuso la STC 136/2023, de 23 de octubre, FJ 3, con remisión a las SSTC 32/2023, de 17 de abril, FJ 3, 143/2022, de 14 de noviembre, FJ 4, y 29/2019, de 28 de febrero, FJ 4, las líneas maestras de esta doctrina pueden sintetizarse como sigue:</w:t>
      </w:r>
    </w:p>
    <w:p w14:paraId="01F9AFB2" w14:textId="77777777" w:rsidR="00A8138F" w:rsidRDefault="00A8138F" w:rsidP="00A8138F">
      <w:pPr>
        <w:pStyle w:val="TextoNormal"/>
      </w:pPr>
    </w:p>
    <w:p w14:paraId="462DCE9F" w14:textId="77777777" w:rsidR="00A8138F" w:rsidRDefault="00A8138F" w:rsidP="00A8138F">
      <w:pPr>
        <w:pStyle w:val="TextoNormal"/>
      </w:pPr>
      <w:r>
        <w:t>(i) Principio de legalidad</w:t>
      </w:r>
    </w:p>
    <w:p w14:paraId="064E3B54" w14:textId="77777777" w:rsidR="00A8138F" w:rsidRDefault="00A8138F" w:rsidP="00A8138F">
      <w:pPr>
        <w:pStyle w:val="TextoNormal"/>
      </w:pPr>
    </w:p>
    <w:p w14:paraId="2BF8603F" w14:textId="77777777" w:rsidR="00A8138F" w:rsidRDefault="00A8138F" w:rsidP="00A8138F">
      <w:pPr>
        <w:pStyle w:val="TextoNormal"/>
      </w:pPr>
      <w:r>
        <w:lastRenderedPageBreak/>
        <w:t>«“Uno de los principios a tener en cuenta de cara a la adopción de la medida cautelar de prisión provisional [es] el principio de legalidad, que opera como elemento habilitante de la privación de libertad y como fuente de limitación del plazo máximo de duración de la medida cautelar, ‘razón por la cual este tribunal ha declarado reiteradamente que la superación de los plazos máximos legalmente previstos supone una limitación desproporcionada de aquel derecho y, en consecuencia, su vulneración (entre otras, SSTC 99/2006, de 27 de marzo, y 95/2007, de 7 de mayo)’ (STC 29/2019, de 28 de febrero, FJ 3) […].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 (STC 29/2019, de 28 de febrero, FJ 3)”.</w:t>
      </w:r>
    </w:p>
    <w:p w14:paraId="4432897C" w14:textId="77777777" w:rsidR="00A8138F" w:rsidRDefault="00A8138F" w:rsidP="00A8138F">
      <w:pPr>
        <w:pStyle w:val="TextoNormal"/>
      </w:pPr>
    </w:p>
    <w:p w14:paraId="34723E19" w14:textId="77777777" w:rsidR="00A8138F" w:rsidRDefault="00A8138F" w:rsidP="00A8138F">
      <w:pPr>
        <w:pStyle w:val="TextoNormal"/>
      </w:pPr>
      <w:r>
        <w:t xml:space="preserve">(ii) Principio de </w:t>
      </w:r>
      <w:r w:rsidRPr="00A8138F">
        <w:rPr>
          <w:i/>
        </w:rPr>
        <w:t>favor libertatis</w:t>
      </w:r>
      <w:r>
        <w:t xml:space="preserve"> o de </w:t>
      </w:r>
      <w:r w:rsidRPr="00A8138F">
        <w:rPr>
          <w:i/>
        </w:rPr>
        <w:t>in dubio pro libertate</w:t>
      </w:r>
    </w:p>
    <w:p w14:paraId="2F70C7B3" w14:textId="77777777" w:rsidR="00A8138F" w:rsidRDefault="00A8138F" w:rsidP="00A8138F">
      <w:pPr>
        <w:pStyle w:val="TextoNormal"/>
      </w:pPr>
    </w:p>
    <w:p w14:paraId="1A4E9993" w14:textId="77777777" w:rsidR="00A8138F" w:rsidRDefault="00A8138F" w:rsidP="00A8138F">
      <w:pPr>
        <w:pStyle w:val="TextoNormal"/>
      </w:pPr>
      <w:r>
        <w:t>Conforme a estos principios,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w:t>
      </w:r>
    </w:p>
    <w:p w14:paraId="7624249C" w14:textId="77777777" w:rsidR="00A8138F" w:rsidRDefault="00A8138F" w:rsidP="00A8138F">
      <w:pPr>
        <w:pStyle w:val="TextoNormal"/>
      </w:pPr>
    </w:p>
    <w:p w14:paraId="2BE13861" w14:textId="77777777" w:rsidR="00A8138F" w:rsidRDefault="00A8138F" w:rsidP="00A8138F">
      <w:pPr>
        <w:pStyle w:val="TextoNormal"/>
      </w:pPr>
      <w:r>
        <w:t>(iii) La duración de los plazos máximos como garantía del derecho a la libertad</w:t>
      </w:r>
    </w:p>
    <w:p w14:paraId="0671A4FC" w14:textId="77777777" w:rsidR="00A8138F" w:rsidRDefault="00A8138F" w:rsidP="00A8138F">
      <w:pPr>
        <w:pStyle w:val="TextoNormal"/>
      </w:pPr>
    </w:p>
    <w:p w14:paraId="35A99CF4" w14:textId="77777777" w:rsidR="00A8138F" w:rsidRDefault="00A8138F" w:rsidP="00A8138F">
      <w:pPr>
        <w:pStyle w:val="TextoNormal"/>
      </w:pPr>
      <w:r>
        <w:t>Para este tribunal, “la limitación del plazo máximo de duración de la medida de prisión provisional opera como mecanismo de garantía evitando que alcance una duración excesiva, que dependa de causas ajenas e inciertas a la persona juzgada, y con el objetivo de que quien se somete a aquella tenga una expectativa concreta sobre su extensión y finalización. La razón de esta última exigencia, como recuerda la STC 95/2007, de 7 de mayo, ‘encuentra su último fundamento en la seguridad jurídica de los ciudadanos […].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206/1991, de 30 de octubre, FJ 4)’ (FJ 5).</w:t>
      </w:r>
    </w:p>
    <w:p w14:paraId="0E4913D4" w14:textId="77777777" w:rsidR="00A8138F" w:rsidRDefault="00A8138F" w:rsidP="00A8138F">
      <w:pPr>
        <w:pStyle w:val="TextoNormal"/>
      </w:pPr>
    </w:p>
    <w:p w14:paraId="307AD943" w14:textId="77777777" w:rsidR="00A8138F" w:rsidRDefault="00A8138F" w:rsidP="00A8138F">
      <w:pPr>
        <w:pStyle w:val="TextoNormal"/>
      </w:pPr>
      <w:r>
        <w:t xml:space="preserve">El respeto a los plazos legales máximos iniciales y de prórroga de la prisión provisional, establecidos en el art. 504, párrafo cuarto, LECrim, constituye, por lo tanto, un mandato constitucional, de forma que la superación de aquellos conllevaría una limitación desproporcionada del derecho a la libertad y, en consecuencia, su vulneración (por todas, SSTC 98/1998, de 4 de mayo, FJ 2; 142/1998, de 29 de junio, FJ 3; 234/1998, de 1 de diciembre, FJ 2; 19/1999, de 22 de febrero, FJ 4; 71/2000, de 13 de marzo, FJ 5; 72/2000, de 13 de marzo, FJ 6; 305/2000, de 11 de diciembre, FJ 4; 28/2001, de 29 de enero, FJ 4). Por ello mismo, este tribunal ha censurado en numerosas resoluciones decisiones judiciales consistentes en prorrogar el plazo de prisión provisional (art. 504.2 LECrim) después de que el plazo inicial haya expirado, pues la lesión en que consiste el incumplimiento del plazo no </w:t>
      </w:r>
      <w:r>
        <w:lastRenderedPageBreak/>
        <w:t>se subsana por el extemporáneo acuerdo de prórroga una vez finalizado aquel (en este sentido, SSTC 56/1997, de 17 de marzo; 234/1998, de 1 de diciembre; 305/2000, de 11 de diciembre, y 98/2002, de 29 de abril)”.</w:t>
      </w:r>
    </w:p>
    <w:p w14:paraId="001FBFD2" w14:textId="77777777" w:rsidR="00A8138F" w:rsidRDefault="00A8138F" w:rsidP="00A8138F">
      <w:pPr>
        <w:pStyle w:val="TextoNormal"/>
      </w:pPr>
    </w:p>
    <w:p w14:paraId="4D14BD25" w14:textId="77777777" w:rsidR="00A8138F" w:rsidRDefault="00A8138F" w:rsidP="00A8138F">
      <w:pPr>
        <w:pStyle w:val="TextoNormal"/>
      </w:pPr>
      <w:r>
        <w:t>A modo de síntesis de lo anteriormente expuesto, “cabe extraer tres criterios jurisprudenciales esenciales que deben regir en toda adopción de la medida cautelar de prisión provisional: (i) en primer lugar, que la excepcionalidad de esta medida impone una interpretación restrictiva de las normas reguladoras de aquella y en el sentido más favorable al derecho a la libertad (</w:t>
      </w:r>
      <w:r w:rsidRPr="00A8138F">
        <w:rPr>
          <w:i/>
        </w:rPr>
        <w:t>favor libertatis</w:t>
      </w:r>
      <w:r>
        <w:t>); (ii) en segundo lugar, que del primero de los fundamentos de la exigencia de un plazo máximo de duración de la medida (garantizar la seguridad jurídica) se deriva, a su vez, una exigencia de certeza en el cómputo del mismo, que lleva a la exclusión de los ‘elementos inciertos’, que pueden conducir al ‘desbordamiento del plazo razonable’, conectándose de este modo la exigencia de certeza con la del ‘plazo razonable’; (iii) en tercer lugar, que del otro criterio en que se fundamenta el establecimiento del plazo máximo (evitar dilaciones indebidas) se deriva la necesidad de valorar, junto a la complejidad de la causa, tanto la actuación de los órganos judiciales como la conducta del recurrente a la hora de determinar si las dilaciones producidas pueden o no excluirse del cómputo del plazo, criterios que coinciden con los empleados para determinar si nos encontramos o no ante un ‘plazo razonable’”».</w:t>
      </w:r>
    </w:p>
    <w:p w14:paraId="031A1765" w14:textId="77777777" w:rsidR="00A8138F" w:rsidRDefault="00A8138F" w:rsidP="00A8138F">
      <w:pPr>
        <w:pStyle w:val="TextoNormal"/>
      </w:pPr>
    </w:p>
    <w:p w14:paraId="1E13D99E" w14:textId="77777777" w:rsidR="00A8138F" w:rsidRDefault="00A8138F" w:rsidP="00A8138F">
      <w:pPr>
        <w:pStyle w:val="TextoNormal"/>
      </w:pPr>
      <w:r>
        <w:t>b) El derecho a la libertad personal (art. 17 CE) y la exclusión de los periodos de privación de libertad por detención del cómputo del plazo máximo inicial de la prisión provisional</w:t>
      </w:r>
    </w:p>
    <w:p w14:paraId="0C4F82F1" w14:textId="77777777" w:rsidR="00A8138F" w:rsidRDefault="00A8138F" w:rsidP="00A8138F">
      <w:pPr>
        <w:pStyle w:val="TextoNormal"/>
      </w:pPr>
    </w:p>
    <w:p w14:paraId="5E20F300" w14:textId="77777777" w:rsidR="00A8138F" w:rsidRDefault="00A8138F" w:rsidP="00A8138F">
      <w:pPr>
        <w:pStyle w:val="TextoNormal"/>
      </w:pPr>
      <w:r>
        <w:t xml:space="preserve">Este tribunal elaboró una doctrina constitucional sobre el derecho a la libertad personal en la que no apreciaba su vulneración, por considerar que no se superaba el plazo legal máximo de la prisión provisional, en las decisiones judiciales que no incluían el tiempo de detención (la gubernativa en la STC 145/2001, de 18 de junio; y la judicial en la STC 37/1996, de 11 de marzo) dentro del cómputo del plazo máximo inicial de esta medida cautelar establecido en el art. 504.4 LECrim aplicable </w:t>
      </w:r>
      <w:r w:rsidRPr="00A8138F">
        <w:rPr>
          <w:i/>
        </w:rPr>
        <w:t>ratione temporis</w:t>
      </w:r>
      <w:r>
        <w:t>. En ambos pronunciamientos, la normativa aplicable al respecto era el art. 504 LECrim en la redacción previa a su reforma por la Ley Orgánica 13/2003, de 24 de octubre, de reforma de la Ley de enjuiciamiento criminal en materia de prisión provisional, cuya dicción literal no preveía la inserción del tiempo de detención en el cómputo de los plazos máximos establecidos en dicho precepto, prescribiendo únicamente en su párrafo sexto que “(n)o se tendrá en cuenta, para el cómputo de los plazos establecidos en este artículo, el tiempo en que la causa sufriere dilaciones no imputables a la administración de justicia”.</w:t>
      </w:r>
    </w:p>
    <w:p w14:paraId="628CA4A9" w14:textId="77777777" w:rsidR="00A8138F" w:rsidRDefault="00A8138F" w:rsidP="00A8138F">
      <w:pPr>
        <w:pStyle w:val="TextoNormal"/>
      </w:pPr>
    </w:p>
    <w:p w14:paraId="3AC0A51B" w14:textId="7ED04218" w:rsidR="00A8138F" w:rsidRDefault="00A8138F" w:rsidP="00A8138F">
      <w:pPr>
        <w:pStyle w:val="TextoNormal"/>
      </w:pPr>
      <w:r>
        <w:t xml:space="preserve">En síntesis, en la STC 37/1996 se fundamentó la ausencia de lesión del art. 17.1 CE por no superar la prisión provisional decretada judicialmente el plazo máximo legalmente previsto en el entonces art. 504.4 LECrim, aunque el tiempo de detención judicial no había sido tenido en cuenta, arguyendo que “el hecho de que junto a la figura de la prisión provisional exista otra, la de la detención, con expreso refrendo constitucional en sus propios límites y con plazo máximo de duración igualmente tasado —en el art. 17.2 CE respecto a la detención preventiva por la autoridad gubernativa y en el art. 497 y concordantes de la LECrim cuando el detenido pasa a disposición judicial transcurrido aquel— puede servir de justificación para entender que el plazo máximo de prisión provisional no necesariamente incluye el período anterior en que se haya padecido privación de libertad con causa legal distinta, </w:t>
      </w:r>
      <w:r>
        <w:lastRenderedPageBreak/>
        <w:t>como son todos los supuestos de detención. Y así lo corrobora el propio tenor literal del art. 17 CE, que significativamente ha previsto plazos máximos para un tipo determinado de detención, la gubernativa (art. 17.2), así como plazos igualmente máximos - que ha de fijar el legislador dentro del canon de lo razonable- para la prisión provisional (art. 17.4, inciso final). Lo que entraña, en definitiva, que en la propia configuración constitucional de los supuestos de privación de libertad existen dos situaciones legales distintas tanto en lo que respecta a su finalidad como a sus consecuencias y, por ello, no cabe entender como interpretación constitucionalmente obligada que el plazo de privación de libertad padecido en atención a la primera haya de integrarse necesariamente en el plazo máximo fijado legalmente para la segunda” [FJ 4 B)]. Y con idénticos argumentos se desestimó el amparo en la STC 145/2001, en el que el periodo de detención gubernativa no había sido tenido en cuenta a los efectos del plazo máximo de duración de la prisión provisional (FJ 4).</w:t>
      </w:r>
    </w:p>
    <w:p w14:paraId="7919017A" w14:textId="77777777" w:rsidR="00A8138F" w:rsidRDefault="00A8138F" w:rsidP="00A8138F">
      <w:pPr>
        <w:pStyle w:val="TextoNormal"/>
      </w:pPr>
    </w:p>
    <w:p w14:paraId="08D876F7" w14:textId="77777777" w:rsidR="00A8138F" w:rsidRDefault="00A8138F" w:rsidP="00A8138F">
      <w:pPr>
        <w:pStyle w:val="TextoNormal"/>
      </w:pPr>
      <w:r w:rsidRPr="00A8138F">
        <w:rPr>
          <w:rStyle w:val="NumeroAFNegritaCaracter"/>
        </w:rPr>
        <w:t>4</w:t>
      </w:r>
      <w:r>
        <w:t xml:space="preserve">. </w:t>
      </w:r>
      <w:r w:rsidRPr="00A8138F">
        <w:rPr>
          <w:i/>
        </w:rPr>
        <w:t>Aplicación de la doctrina al caso concreto</w:t>
      </w:r>
    </w:p>
    <w:p w14:paraId="29BCB447" w14:textId="77777777" w:rsidR="00A8138F" w:rsidRDefault="00A8138F" w:rsidP="00A8138F">
      <w:pPr>
        <w:pStyle w:val="TextoNormal"/>
      </w:pPr>
    </w:p>
    <w:p w14:paraId="391AA782" w14:textId="77777777" w:rsidR="00A8138F" w:rsidRDefault="00A8138F" w:rsidP="00A8138F">
      <w:pPr>
        <w:pStyle w:val="TextoNormal"/>
      </w:pPr>
      <w:r>
        <w:t xml:space="preserve">Para resolver el amparo planteado por el actor, debe recordarse que, en el proceso </w:t>
      </w:r>
      <w:r w:rsidRPr="00A8138F">
        <w:rPr>
          <w:i/>
        </w:rPr>
        <w:t>a quo</w:t>
      </w:r>
      <w:r>
        <w:t>, los órganos judiciales han dado dos razones distintas para justificar que la prisión provisional impuesta ha respetado los plazos máximos de prisión provisional legalmente previstos:</w:t>
      </w:r>
    </w:p>
    <w:p w14:paraId="5CAD547A" w14:textId="77777777" w:rsidR="00A8138F" w:rsidRDefault="00A8138F" w:rsidP="00A8138F">
      <w:pPr>
        <w:pStyle w:val="TextoNormal"/>
      </w:pPr>
    </w:p>
    <w:p w14:paraId="1168EA3C" w14:textId="77777777" w:rsidR="00A8138F" w:rsidRDefault="00A8138F" w:rsidP="00A8138F">
      <w:pPr>
        <w:pStyle w:val="TextoNormal"/>
      </w:pPr>
      <w:r>
        <w:t>A) Para el Juzgado de Instrucción núm. 8 de Sevilla, el dato decisivo es la concurrencia, a partir del 26 de abril de 2022, de la prisión provisional acordada en las diligencias previas 314-2022 (objeto del presente procedimiento de amparo) con el cumplimiento efectivo de una pena de prisión en la ejecutoria núm. 12-2022 de la sección séptima de la Audiencia Provincial de Sevilla. Así, en su auto de reforma de 3 de agosto de 2022, aquí impugnado, considera que el cumplimiento simultáneo de una pena de prisión a partir del 26 de abril de 2022 (que se prolongó hasta el 20 de mayo de 2024) habría dejado materialmente sin efecto la medida cautelar de prisión provisional padecida, lo que determinaría su consiguiente exclusión del cómputo del art. 504 LECrim. El plazo de prisión provisional habría quedado, por tanto, interrumpido el 26 de abril de 2022, cuando la medida cautelar aún no había alcanzado la duración máxima de dos años, por lo que el auto de prórroga dictado el 18 de julio de 2022 no podría reputarse extemporáneo.</w:t>
      </w:r>
    </w:p>
    <w:p w14:paraId="639C30DB" w14:textId="77777777" w:rsidR="00A8138F" w:rsidRDefault="00A8138F" w:rsidP="00A8138F">
      <w:pPr>
        <w:pStyle w:val="TextoNormal"/>
      </w:pPr>
    </w:p>
    <w:p w14:paraId="6D03F8D0" w14:textId="77777777" w:rsidR="00A8138F" w:rsidRDefault="00A8138F" w:rsidP="00A8138F">
      <w:pPr>
        <w:pStyle w:val="TextoNormal"/>
      </w:pPr>
      <w:r>
        <w:t>Sin embargo, tal argumento no fue mantenido en apelación por la Audiencia Provincial en el auto de 29 de agosto de 2022 y, en todo caso, cabe señalar que no puede ser acogido en esta sede como justificación de la legalidad de los plazos de prisión provisional aplicados al recurrente. Este tribunal ha reiterado en diversas ocasiones que no cabe descontar del tiempo de prisión provisional sufrido como consecuencia de un procedimiento “el periodo de cumplimiento de condena de una pena de prisión impuesta en otra causa, porque ello determinaría también que el límite temporal de duración de la prisión provisional dependiera de un elemento incierto” (por todas, SSTC 19/1999, de 22 de febrero, FJ 5, y 32/2023, de 17 de abril, FJ 4). A esa razón se añade que el padecimiento de una situación de prisión preventiva supone un gravamen adicional para quien cumple simultáneamente una pena de prisión, pues “el cumplimiento en calidad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condicional” (STC 57/2008, de 28 de abril, FJ 7; y también antes, las SSTC 19/1999, FJ 5, y 72/2000, de 13 de marzo, FJ 6).</w:t>
      </w:r>
    </w:p>
    <w:p w14:paraId="15D93305" w14:textId="77777777" w:rsidR="00A8138F" w:rsidRDefault="00A8138F" w:rsidP="00A8138F">
      <w:pPr>
        <w:pStyle w:val="TextoNormal"/>
      </w:pPr>
    </w:p>
    <w:p w14:paraId="32CD1927" w14:textId="77777777" w:rsidR="00A8138F" w:rsidRDefault="00A8138F" w:rsidP="00A8138F">
      <w:pPr>
        <w:pStyle w:val="TextoNormal"/>
      </w:pPr>
      <w:r>
        <w:t>Por tanto, no es constitucionalmente admisible desde la perspectiva del art. 17 CE la interpretación del juzgado de instrucción según la cual el tiempo de prisión provisional quedó materialmente interrumpido a partir del 26 de abril de 2022. El dato decisivo es, en este punto, tal y como señala el Ministerio Fiscal, que el juzgado de instrucción mantuvo vigente la medida cautelar de prisión provisional.</w:t>
      </w:r>
    </w:p>
    <w:p w14:paraId="28D80272" w14:textId="77777777" w:rsidR="00A8138F" w:rsidRDefault="00A8138F" w:rsidP="00A8138F">
      <w:pPr>
        <w:pStyle w:val="TextoNormal"/>
      </w:pPr>
    </w:p>
    <w:p w14:paraId="602B307F" w14:textId="77777777" w:rsidR="00A8138F" w:rsidRDefault="00A8138F" w:rsidP="00A8138F">
      <w:pPr>
        <w:pStyle w:val="TextoNormal"/>
      </w:pPr>
      <w:r>
        <w:t>B) Por su parte, el auto de 29 de agosto de 2022 de la Audiencia Provincial considera que el plazo de prisión provisional aplicado al actor se atuvo a los términos fijados por la legalidad vigente (art. 504 LECrim) en cuanto, de acuerdo con esta, no serían computables como parte del período de prisión preventiva los dos días de detención policial sufridos por el recurrente de amparo. Descontando esos dos días del cómputo de la prisión provisional, resultaría que la prórroga acordada en auto de 18 de julio de 2022 sí se habría producido temporáneamente, ya que no había expirado aún el plazo de dos años legalmente previsto para la duración ordinaria de la prisión preventiva.</w:t>
      </w:r>
    </w:p>
    <w:p w14:paraId="65A833F0" w14:textId="77777777" w:rsidR="00A8138F" w:rsidRDefault="00A8138F" w:rsidP="00A8138F">
      <w:pPr>
        <w:pStyle w:val="TextoNormal"/>
      </w:pPr>
    </w:p>
    <w:p w14:paraId="4C5B4032" w14:textId="77777777" w:rsidR="00A8138F" w:rsidRDefault="00A8138F" w:rsidP="00A8138F">
      <w:pPr>
        <w:pStyle w:val="TextoNormal"/>
      </w:pPr>
      <w:r>
        <w:t xml:space="preserve">a) El problema constitucional que aquí se plantea consiste en determinar si esta interpretación del cómputo del plazo máximo inicial de la prisión provisional establecido en el primer párrafo del art. 504.5 LECrim es conforme con las exigencias que toda medida privativa de libertad ha de tener </w:t>
      </w:r>
      <w:r w:rsidRPr="00A8138F">
        <w:rPr>
          <w:i/>
        </w:rPr>
        <w:t>ex</w:t>
      </w:r>
      <w:r>
        <w:t xml:space="preserve"> art. 17 CE. O, por el contrario, se trata de una prórroga extemporánea al haber sido acordada una vez superado el plazo máximo de dos años legalmente previsto </w:t>
      </w:r>
      <w:r w:rsidRPr="00A8138F">
        <w:rPr>
          <w:i/>
        </w:rPr>
        <w:t>ex</w:t>
      </w:r>
      <w:r>
        <w:t xml:space="preserve"> art. 504.2 LECrim y, por tanto, contraria al derecho a la libertad (art. 17.1 y 4 CE), al no haberse incluido los días de detención policial.</w:t>
      </w:r>
    </w:p>
    <w:p w14:paraId="0A90F714" w14:textId="77777777" w:rsidR="00A8138F" w:rsidRDefault="00A8138F" w:rsidP="00A8138F">
      <w:pPr>
        <w:pStyle w:val="TextoNormal"/>
      </w:pPr>
    </w:p>
    <w:p w14:paraId="72A84B67" w14:textId="77777777" w:rsidR="00A8138F" w:rsidRDefault="00A8138F" w:rsidP="00A8138F">
      <w:pPr>
        <w:pStyle w:val="TextoNormal"/>
      </w:pPr>
      <w:r>
        <w:t xml:space="preserve">Así, debe averiguarse si el plazo máximo inicial previsto en el art. 504.2 LECrim, de dos años para el supuesto aquí enjuiciado, se había superado en el momento en el que el juzgado acuerda la prórroga de la prisión provisional. Y ello porque conviene recordar ahora, como se ha expuesto, que es doctrina constitucional consolidada que “[d]esde el citado principio </w:t>
      </w:r>
      <w:r w:rsidRPr="00A8138F">
        <w:rPr>
          <w:i/>
        </w:rPr>
        <w:t>nulla custodia sine lege</w:t>
      </w:r>
      <w:r>
        <w:t>, será la ley la que haya de fijar los plazos máximos de prisión provisional, tal como dispone el art. 17.4 CE, debiendo tales plazos ser escrupulosamente cumplidos por los órganos judiciales, resultando, en caso contrario, afectada la garantía constitucional de la libertad contenida en el art. 17 CE, por estar ante una limitación desproporcionada del derecho fundamental carente, por lo demás, de cobertura legal [SSTC 37/1996, de 11 de marzo, FJ 3; 147/2000, de 29 de mayo, FJ 4 b); 95/2007, de 7 de mayo, FJ 5]” (STC 210/2013, de 16 de diciembre, FJ 2). De ahí que se haya reiterado que “el derecho a la libertad personal puede verse lesionado tanto cuando se actúa bajo la cobertura improcedente de la ley como contra lo que la ley dispone” (por todas, STC 29/2019, de 28 de febrero, FJ 3).</w:t>
      </w:r>
    </w:p>
    <w:p w14:paraId="6649E8F5" w14:textId="77777777" w:rsidR="00A8138F" w:rsidRDefault="00A8138F" w:rsidP="00A8138F">
      <w:pPr>
        <w:pStyle w:val="TextoNormal"/>
      </w:pPr>
    </w:p>
    <w:p w14:paraId="51D4B182" w14:textId="77777777" w:rsidR="00A8138F" w:rsidRDefault="00A8138F" w:rsidP="00A8138F">
      <w:pPr>
        <w:pStyle w:val="TextoNormal"/>
      </w:pPr>
      <w:r>
        <w:t>b) Para ello, debe partirse de la normativa aplicable y del relato fáctico de este caso.</w:t>
      </w:r>
    </w:p>
    <w:p w14:paraId="192F0B4E" w14:textId="77777777" w:rsidR="00A8138F" w:rsidRDefault="00A8138F" w:rsidP="00A8138F">
      <w:pPr>
        <w:pStyle w:val="TextoNormal"/>
      </w:pPr>
    </w:p>
    <w:p w14:paraId="1502A068" w14:textId="77777777" w:rsidR="00A8138F" w:rsidRDefault="00A8138F" w:rsidP="00A8138F">
      <w:pPr>
        <w:pStyle w:val="TextoNormal"/>
      </w:pPr>
      <w:r>
        <w:t xml:space="preserve">Por un lado, el régimen legal sobre el cómputo del plazo de la prisión provisional, aquí aplicable </w:t>
      </w:r>
      <w:r w:rsidRPr="00A8138F">
        <w:rPr>
          <w:i/>
        </w:rPr>
        <w:t>ratione temporis</w:t>
      </w:r>
      <w:r>
        <w:t>, es el regulado en el art. 504.5 LECrim, en la redacción dada por la Ley Orgánica 13/2003, de 24 de octubre de reforma de la ley de enjuiciamiento criminal en materia de prisión provisional. Dicha reforma añadió a la única regla legal existente en la antigua redacción del art. 504 LECrim al respecto [“No se tendrá en cuenta, para el cómputo de los plazos establecidos en este artículo (prisión provisional), el tiempo en que la causa sufriere dilaciones no imputables a la administración de justicia”, actualmente ubi</w:t>
      </w:r>
      <w:r>
        <w:lastRenderedPageBreak/>
        <w:t xml:space="preserve">cada en el segundo párrafo del art. 504.5 LECrim] una nueva previsión (actual párrafo primero del art. 504.5 LECrim) que dispone que “(p)ara el cómputo de los plazos establecidos en este artículo se tendrá en cuenta el tiempo que el investigado o encausado hubiere estado detenido o sometido a prisión provisional por la misma causa”. De esta forma, el legislador dispone claramente que para el cómputo del plazo de duración de esta medida cautelar se tendrá en cuenta tanto el tiempo de prisión provisional como el de detención y, dentro de esta última, sin distinción, tanto la detención gubernativa como la judicial. Y ello porque la referencia legal al “tiempo que el investigado o encausado hubiera estado detenido”, considerada en sí misma, permite englobar las detenciones policiales sin necesidad de forzar su tenor literal ni la </w:t>
      </w:r>
      <w:r w:rsidRPr="00A8138F">
        <w:rPr>
          <w:i/>
        </w:rPr>
        <w:t>ratio</w:t>
      </w:r>
      <w:r>
        <w:t xml:space="preserve"> de la norma considerada en su conjunto (siguiendo los axiomas </w:t>
      </w:r>
      <w:r w:rsidRPr="00A8138F">
        <w:rPr>
          <w:i/>
        </w:rPr>
        <w:t>in claris non fit interpretatio</w:t>
      </w:r>
      <w:r>
        <w:t xml:space="preserve"> y </w:t>
      </w:r>
      <w:r w:rsidRPr="00A8138F">
        <w:rPr>
          <w:i/>
        </w:rPr>
        <w:t>ubi lex non distinguit nec nos distinguere debemus</w:t>
      </w:r>
      <w:r>
        <w:t>), pues ambos tipos de detención (gubernativa y judicial) tienen el mismo impacto material en la libertad del sospechoso y su finalidad es asegurar su persona en el marco de la investigación de un delito.</w:t>
      </w:r>
    </w:p>
    <w:p w14:paraId="7A342EAD" w14:textId="77777777" w:rsidR="00A8138F" w:rsidRDefault="00A8138F" w:rsidP="00A8138F">
      <w:pPr>
        <w:pStyle w:val="TextoNormal"/>
      </w:pPr>
    </w:p>
    <w:p w14:paraId="77D87468" w14:textId="77777777" w:rsidR="00A8138F" w:rsidRDefault="00A8138F" w:rsidP="00A8138F">
      <w:pPr>
        <w:pStyle w:val="TextoNormal"/>
      </w:pPr>
      <w:r>
        <w:t xml:space="preserve">c) Como consta en los antecedentes: (i) el recurrente en amparo fue detenido por agentes de la Guardia Civil el 16 de julio de 2020 y puesto a disposición del Juzgado de Instrucción núm. 8 de Sevilla el 18 de julio de 2020; (ii) ese mismo día, 18 de julio de 2020, tras celebrar la comparecencia prevista en el art. 505 LECrim, el juzgado acordó por auto su prisión provisional comunicada y sin fianza por un tiempo de dos años </w:t>
      </w:r>
      <w:r w:rsidRPr="00A8138F">
        <w:rPr>
          <w:i/>
        </w:rPr>
        <w:t>ex</w:t>
      </w:r>
      <w:r>
        <w:t xml:space="preserve"> art. 504.2 LECrim; (ii) el 8 de julio de 2022 se celebró una nueva comparecencia mediante videoconferencia a los fines prevenidos en el art. 504.2 LECrim, y, solicitada la prórroga de la prisión provisional por el fiscal, esta fue decretada por auto el 18 de julio de 2022, por una sola vez y por tiempo de dos años.</w:t>
      </w:r>
    </w:p>
    <w:p w14:paraId="23A61D2D" w14:textId="77777777" w:rsidR="00A8138F" w:rsidRDefault="00A8138F" w:rsidP="00A8138F">
      <w:pPr>
        <w:pStyle w:val="TextoNormal"/>
      </w:pPr>
    </w:p>
    <w:p w14:paraId="74F1E254" w14:textId="77777777" w:rsidR="00A8138F" w:rsidRDefault="00A8138F" w:rsidP="00A8138F">
      <w:pPr>
        <w:pStyle w:val="TextoNormal"/>
      </w:pPr>
      <w:r>
        <w:t>En consecuencia, teniendo en cuenta que el plazo máximo inicial de prisión provisional es de dos años (art. 504.2 LECrim), en las circunstancias expuestas y sumando el tiempo de detención y prisión ya servido cuando se acordó la prórroga, tal plazo se habría visto superado por dos días. Por lo que cabe concluir que, dado el tenor literal del primer párrafo del art. 504.5 LECrim, que obliga a tener en cuenta el tiempo de detención para el cómputo de dichos plazos máximos, la Audiencia Provincial realizó una interpretació</w:t>
      </w:r>
      <w:r w:rsidRPr="00A8138F">
        <w:rPr>
          <w:i/>
        </w:rPr>
        <w:t>n contra leg</w:t>
      </w:r>
      <w:r>
        <w:t>em.</w:t>
      </w:r>
    </w:p>
    <w:p w14:paraId="40B65476" w14:textId="77777777" w:rsidR="00A8138F" w:rsidRDefault="00A8138F" w:rsidP="00A8138F">
      <w:pPr>
        <w:pStyle w:val="TextoNormal"/>
      </w:pPr>
    </w:p>
    <w:p w14:paraId="0B913B70" w14:textId="77777777" w:rsidR="00A8138F" w:rsidRDefault="00A8138F" w:rsidP="00A8138F">
      <w:pPr>
        <w:pStyle w:val="TextoNormal"/>
      </w:pPr>
      <w:r>
        <w:t xml:space="preserve">Así pues, debe convenirse con el fiscal que, si bien las normas legales aplicables a la medida de prisión provisional han de ser siempre interpretadas desde los principios de </w:t>
      </w:r>
      <w:r w:rsidRPr="00A8138F">
        <w:rPr>
          <w:i/>
        </w:rPr>
        <w:t>favor libertatis</w:t>
      </w:r>
      <w:r>
        <w:t xml:space="preserve"> o de </w:t>
      </w:r>
      <w:r w:rsidRPr="00A8138F">
        <w:rPr>
          <w:i/>
        </w:rPr>
        <w:t>in dubio pro libertatis</w:t>
      </w:r>
      <w:r>
        <w:t xml:space="preserve"> y, por consiguiente, en caso de incertidumbre debe actuarse en beneficio del derecho fundamental a la libertad personal [SSTC 88/1988, de 9 de mayo, FJ 1; 98/2002, de 29 de abril, FJ 3; 95/2007, de 7 de mayo, FJ 4; 143/2022, FJ 4; 32/2023, FJ 3, y 136/2023, FJ 3], en las circunstancias presentes no es necesario que dichos principios entren en juego, dada la claridad del dictado del inciso primero del art. 504.5 LECrim.</w:t>
      </w:r>
    </w:p>
    <w:p w14:paraId="2607101B" w14:textId="77777777" w:rsidR="00A8138F" w:rsidRDefault="00A8138F" w:rsidP="00A8138F">
      <w:pPr>
        <w:pStyle w:val="TextoNormal"/>
      </w:pPr>
    </w:p>
    <w:p w14:paraId="71956194" w14:textId="77777777" w:rsidR="00A8138F" w:rsidRDefault="00A8138F" w:rsidP="00A8138F">
      <w:pPr>
        <w:pStyle w:val="TextoNormal"/>
      </w:pPr>
      <w:r>
        <w:t xml:space="preserve">d) Cabe reprochar al órgano judicial de apelación que, para confirmar la validez de la prisión provisional decretada, aplicara la doctrina constitucional elaborada en las SSTC 37/1996, de 11 de marzo, y 145/2001, de 18 de junio, cuando el art. 504 LECrim aplicable </w:t>
      </w:r>
      <w:r w:rsidRPr="00A8138F">
        <w:rPr>
          <w:i/>
        </w:rPr>
        <w:t>ratione temporis</w:t>
      </w:r>
      <w:r>
        <w:t xml:space="preserve"> nada disponía sobre la inclusión del período de detención en el cómputo del plazo máximo de prisión provisional. El nuevo régimen legal aplicable tras la reforma del art. 504 LECrim por la Ley Orgánica 13/2003 expresamente prevé dicha incorporación al cálculo del plazo máximo de duración de dicha medida cautelar. Una cosa es que, ante el </w:t>
      </w:r>
      <w:r>
        <w:lastRenderedPageBreak/>
        <w:t>silencio de la ley en torno a la integración o no de los días de detención en el cómputo del plazo máximo de prisión provisional, este tribunal haya declarado que su incorporación no puede ser entendida como una interpretación (de la legalidad vigente) “constitucionalmente obligada” (en la STC 37/1996, FJ 4) o “constitucionalmente exigida” (en la STC 145/2001, FJ 4); y otra muy distinta es que su inclusión en la ley no sea constitucionalmente posible, como parece entender la audiencia provincial al realizar una interpretación del vigente art. 504.5 LECrim en contra de su tenor literal y del propio principio de legalidad del art. 17.1 y 4 CE, y, por ende, vulneradora del derecho fundamental a la libertad personal del recurrente.</w:t>
      </w:r>
    </w:p>
    <w:p w14:paraId="0251A317" w14:textId="77777777" w:rsidR="00A8138F" w:rsidRDefault="00A8138F" w:rsidP="00A8138F">
      <w:pPr>
        <w:pStyle w:val="TextoNormal"/>
      </w:pPr>
    </w:p>
    <w:p w14:paraId="63230D52" w14:textId="77777777" w:rsidR="00A8138F" w:rsidRDefault="00A8138F" w:rsidP="00A8138F">
      <w:pPr>
        <w:pStyle w:val="TextoNormal"/>
      </w:pPr>
      <w:r>
        <w:t>e) En virtud de lo anterior, y desde la perspectiva constitucional que corresponde a este tribunal, la superación del plazo máximo inicial de prisión provisional legalmente previsto supone una “limitación desproporcionada” del derecho a la libertad personal (art. 17 CE), y, en consecuencia, su vulneración (por todas, STC 32/2023, FJ 3). Y ello porque las resoluciones judiciales impugnadas, al no incluir los dos días de detención policial en el cómputo del plazo máximo inicial de la prisión provisional, en contra de lo dispuesto en el primer inciso del art. 504.5 LECrim, no han respetado el principio de legalidad del art. 17.1 y 4 CE.</w:t>
      </w:r>
    </w:p>
    <w:p w14:paraId="192697B2" w14:textId="77777777" w:rsidR="00A8138F" w:rsidRDefault="00A8138F" w:rsidP="00A8138F">
      <w:pPr>
        <w:pStyle w:val="TextoNormal"/>
      </w:pPr>
    </w:p>
    <w:p w14:paraId="64366FDF" w14:textId="1035431F" w:rsidR="00A8138F" w:rsidRDefault="00A8138F" w:rsidP="00A8138F">
      <w:pPr>
        <w:pStyle w:val="TextoNormal"/>
      </w:pPr>
      <w:r>
        <w:t>Asimismo, es doctrina constitucional que “[l]a prórroga o ampliación del plazo máximo inicial de prisión provisional decretada […] ha de ser adoptada antes de que el plazo máximo inicial haya expirado, pues constituye una exigencia lógica para la efectividad del derecho a la libertad personal, por más que no venga expresamente exigida por el precepto” [por todas, STC 155/2004, de 20 de septiembre, FJ 3 c)]. Por tanto, las resoluciones judiciales aquí impugnadas, al prorrogar el plazo de prisión provisional después de que el plazo inicial haya expirado, habrían incurrido en un defecto invalidante e insubsanable, pues como prescribe la doctrina de este tribunal, la lesión producida por la ignorancia del plazo no se subsana por la adopción de un intempestivo acuerdo de prórroga tras la superación de aquel [en este sentido, SSTC 56/1997, de 17 de marzo; 234/1998, de 1 de diciembre; 305/2000, de 11 de diciembre; 98/2002, de 29 de abril, o 155/2004, FJ 3 c)].</w:t>
      </w:r>
    </w:p>
    <w:p w14:paraId="0F2A5C2D" w14:textId="77777777" w:rsidR="00A8138F" w:rsidRDefault="00A8138F" w:rsidP="00A8138F">
      <w:pPr>
        <w:pStyle w:val="TextoNormal"/>
      </w:pPr>
    </w:p>
    <w:p w14:paraId="05925555" w14:textId="77777777" w:rsidR="00A8138F" w:rsidRDefault="00A8138F" w:rsidP="00A8138F">
      <w:pPr>
        <w:pStyle w:val="TextoNormalCentrado"/>
        <w:keepNext/>
      </w:pPr>
      <w:r>
        <w:t>FALLO</w:t>
      </w:r>
    </w:p>
    <w:p w14:paraId="28A91CE0" w14:textId="7AC57E7C" w:rsidR="00A8138F" w:rsidRDefault="00A8138F" w:rsidP="00A8138F">
      <w:pPr>
        <w:pStyle w:val="TextoNormalCentrado"/>
        <w:keepNext/>
      </w:pPr>
    </w:p>
    <w:p w14:paraId="0E1AA54C" w14:textId="77777777" w:rsidR="00A8138F" w:rsidRDefault="00A8138F" w:rsidP="00A8138F">
      <w:pPr>
        <w:pStyle w:val="TextoNormal"/>
      </w:pPr>
      <w:r>
        <w:t>En atención a todo lo expuesto, el Tribunal Constitucional, por la autoridad que le confiere la Constitución de la Nación española, ha decidido:</w:t>
      </w:r>
    </w:p>
    <w:p w14:paraId="60AEFD63" w14:textId="77777777" w:rsidR="00A8138F" w:rsidRDefault="00A8138F" w:rsidP="00A8138F">
      <w:pPr>
        <w:pStyle w:val="TextoNormal"/>
      </w:pPr>
    </w:p>
    <w:p w14:paraId="5C159A46" w14:textId="77777777" w:rsidR="00A8138F" w:rsidRDefault="00A8138F" w:rsidP="00A8138F">
      <w:pPr>
        <w:pStyle w:val="TextoNormal"/>
      </w:pPr>
      <w:r>
        <w:t>1º Estimar la demanda presentada por don José Francisco Martínez Vela por vulneración de su derecho fundamental a la libertad (art. 17.1 y 4 CE), con reconocimiento de tal derecho.</w:t>
      </w:r>
    </w:p>
    <w:p w14:paraId="10AA9C27" w14:textId="77777777" w:rsidR="00A8138F" w:rsidRDefault="00A8138F" w:rsidP="00A8138F">
      <w:pPr>
        <w:pStyle w:val="TextoNormal"/>
      </w:pPr>
    </w:p>
    <w:p w14:paraId="0BE517CD" w14:textId="22D22D87" w:rsidR="00A8138F" w:rsidRDefault="00A8138F" w:rsidP="00A8138F">
      <w:pPr>
        <w:pStyle w:val="TextoNormal"/>
      </w:pPr>
      <w:r>
        <w:t>2º Declarar la nulidad de los autos del Juzgado de Instrucción núm. 8 de Sevilla, dictados en las diligencias previas núm. 314-2020, de 18 de julio y 3 de agosto de 2022; así como del auto de la Sección Tercera de la Audiencia Provincial de Sevilla, emitido en el rollo de apelación núm. 7598-2022, de 29 de agosto de 2022.</w:t>
      </w:r>
    </w:p>
    <w:p w14:paraId="6F840128" w14:textId="77777777" w:rsidR="00A8138F" w:rsidRDefault="00A8138F" w:rsidP="00A8138F">
      <w:pPr>
        <w:pStyle w:val="TextoNormal"/>
      </w:pPr>
    </w:p>
    <w:p w14:paraId="0CB9BE53" w14:textId="77777777" w:rsidR="00A8138F" w:rsidRDefault="00A8138F" w:rsidP="00A8138F">
      <w:pPr>
        <w:pStyle w:val="TextoNormal"/>
      </w:pPr>
      <w:r>
        <w:t>Publíquese esta sentencia en el “Boletín Oficial del Estado”.</w:t>
      </w:r>
    </w:p>
    <w:p w14:paraId="0DF9C9A8" w14:textId="77777777" w:rsidR="00A8138F" w:rsidRDefault="00A8138F" w:rsidP="00A8138F">
      <w:pPr>
        <w:pStyle w:val="TextoNormal"/>
      </w:pPr>
      <w:r>
        <w:t>Dada en Madrid, a trece de enero de dos mil veinticinco.</w:t>
      </w:r>
    </w:p>
    <w:p w14:paraId="72A906BF" w14:textId="5974C45F" w:rsidR="00A8138F" w:rsidRDefault="00A8138F">
      <w:pPr>
        <w:spacing w:after="160" w:line="278" w:lineRule="auto"/>
        <w:rPr>
          <w:rFonts w:ascii="Times New Roman" w:eastAsia="Times New Roman" w:hAnsi="Times New Roman" w:cs="Times New Roman"/>
          <w:sz w:val="24"/>
          <w:szCs w:val="24"/>
          <w:lang w:eastAsia="es-ES"/>
        </w:rPr>
      </w:pPr>
      <w:r>
        <w:br w:type="page"/>
      </w:r>
    </w:p>
    <w:p w14:paraId="47DDAEC2" w14:textId="77777777" w:rsidR="00A8138F" w:rsidRDefault="00A8138F" w:rsidP="00A8138F">
      <w:pPr>
        <w:pStyle w:val="TtuloResolucin"/>
      </w:pPr>
      <w:bookmarkStart w:id="6" w:name="SENTENCIA_2025_4"/>
      <w:r>
        <w:lastRenderedPageBreak/>
        <w:t>SENTENCIA 4/2025, de 13 de enero de 2025</w:t>
      </w:r>
    </w:p>
    <w:bookmarkEnd w:id="6"/>
    <w:p w14:paraId="33303CFD" w14:textId="77777777" w:rsidR="00A8138F" w:rsidRDefault="00A8138F" w:rsidP="00A8138F">
      <w:pPr>
        <w:pStyle w:val="TtuloResolucin"/>
      </w:pPr>
      <w:r>
        <w:t>Sala Primera</w:t>
      </w:r>
    </w:p>
    <w:p w14:paraId="7B0848BE" w14:textId="77777777" w:rsidR="00A8138F" w:rsidRDefault="00A8138F" w:rsidP="00A8138F">
      <w:pPr>
        <w:pStyle w:val="TtuloBOE"/>
      </w:pPr>
      <w:r>
        <w:t>(BOE núm. 41, de 17 de febrero de 2025)</w:t>
      </w:r>
    </w:p>
    <w:p w14:paraId="4D5E017A" w14:textId="77777777" w:rsidR="00A8138F" w:rsidRDefault="00A8138F" w:rsidP="00A8138F">
      <w:pPr>
        <w:pStyle w:val="TextoNormalCentrado"/>
      </w:pPr>
      <w:r>
        <w:t>ECLI:ES:TC:2025:4</w:t>
      </w:r>
    </w:p>
    <w:p w14:paraId="106E9844" w14:textId="7DD41CB3" w:rsidR="00A8138F" w:rsidRDefault="00A8138F" w:rsidP="00A8138F">
      <w:pPr>
        <w:pStyle w:val="TextoNormalCentrado"/>
      </w:pPr>
    </w:p>
    <w:p w14:paraId="0F26661E" w14:textId="77777777" w:rsidR="00A8138F" w:rsidRDefault="00A8138F" w:rsidP="00A8138F">
      <w:pPr>
        <w:pStyle w:val="SntesisDescriptiva"/>
      </w:pPr>
      <w:r>
        <w:t>Recurso de amparo 4631-2023. Promovido por doña Inés González Lobo en relación con las resoluciones administrativas y judiciales que desestimaron su petición de revisión y ampliación de la prestación por nacimiento y cuidado de hijo menor, como madre biológica de familia monoparental.</w:t>
      </w:r>
    </w:p>
    <w:p w14:paraId="72C7F836" w14:textId="5A231696" w:rsidR="00A8138F" w:rsidRDefault="00A8138F" w:rsidP="00A8138F">
      <w:pPr>
        <w:pStyle w:val="SntesisDescriptiva"/>
      </w:pPr>
    </w:p>
    <w:p w14:paraId="1B277D15" w14:textId="77777777" w:rsidR="00A8138F" w:rsidRDefault="00A8138F" w:rsidP="00A8138F">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CBBD282" w14:textId="39054B53" w:rsidR="00A8138F" w:rsidRDefault="00A8138F" w:rsidP="00A8138F">
      <w:pPr>
        <w:pStyle w:val="SntesisAnaltica"/>
      </w:pPr>
    </w:p>
    <w:p w14:paraId="04939466" w14:textId="2CB0C20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3].</w:t>
      </w:r>
    </w:p>
    <w:p w14:paraId="55B86578" w14:textId="77777777" w:rsidR="00A8138F" w:rsidRDefault="00A8138F" w:rsidP="00A8138F">
      <w:pPr>
        <w:pStyle w:val="Extracto"/>
      </w:pPr>
    </w:p>
    <w:p w14:paraId="53A9091C" w14:textId="77777777" w:rsidR="00A8138F" w:rsidRDefault="00A8138F" w:rsidP="00A8138F">
      <w:pPr>
        <w:pStyle w:val="Extracto"/>
      </w:pPr>
    </w:p>
    <w:p w14:paraId="33C110AB"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29CB589E" w14:textId="7A308DE9" w:rsidR="00A8138F" w:rsidRDefault="00A8138F" w:rsidP="00A8138F">
      <w:pPr>
        <w:pStyle w:val="TextoNormal"/>
      </w:pPr>
    </w:p>
    <w:p w14:paraId="6632F3CD" w14:textId="77777777" w:rsidR="00A8138F" w:rsidRDefault="00A8138F" w:rsidP="00A8138F">
      <w:pPr>
        <w:pStyle w:val="TextoNormalCentrado"/>
        <w:keepNext/>
      </w:pPr>
      <w:r>
        <w:t>EN NOMBRE DEL REY</w:t>
      </w:r>
    </w:p>
    <w:p w14:paraId="3883D399" w14:textId="34597038" w:rsidR="00A8138F" w:rsidRDefault="00A8138F" w:rsidP="00A8138F">
      <w:pPr>
        <w:pStyle w:val="TextoNormalCentrado"/>
        <w:keepNext/>
      </w:pPr>
    </w:p>
    <w:p w14:paraId="1C5C4894" w14:textId="77777777" w:rsidR="00A8138F" w:rsidRDefault="00A8138F" w:rsidP="00A8138F">
      <w:pPr>
        <w:pStyle w:val="TextoNormalCentrado"/>
        <w:keepNext/>
      </w:pPr>
    </w:p>
    <w:p w14:paraId="4F988AD2" w14:textId="77777777" w:rsidR="00A8138F" w:rsidRDefault="00A8138F" w:rsidP="00A8138F">
      <w:pPr>
        <w:pStyle w:val="TextoNormal"/>
      </w:pPr>
      <w:r>
        <w:t>la siguiente</w:t>
      </w:r>
    </w:p>
    <w:p w14:paraId="49D1C66B" w14:textId="0FB5E17F" w:rsidR="00A8138F" w:rsidRDefault="00A8138F" w:rsidP="00A8138F">
      <w:pPr>
        <w:pStyle w:val="TextoNormal"/>
      </w:pPr>
    </w:p>
    <w:p w14:paraId="6DF9C51C" w14:textId="77777777" w:rsidR="00A8138F" w:rsidRDefault="00A8138F" w:rsidP="00A8138F">
      <w:pPr>
        <w:pStyle w:val="TextoNormalCentrado"/>
        <w:keepNext/>
      </w:pPr>
      <w:r>
        <w:t>SENTENCIA</w:t>
      </w:r>
    </w:p>
    <w:p w14:paraId="5922608A" w14:textId="16DE6C9F" w:rsidR="00A8138F" w:rsidRDefault="00A8138F" w:rsidP="00A8138F">
      <w:pPr>
        <w:pStyle w:val="TextoNormalCentrado"/>
        <w:keepNext/>
      </w:pPr>
    </w:p>
    <w:p w14:paraId="0AA8A9BF" w14:textId="77777777" w:rsidR="00A8138F" w:rsidRDefault="00A8138F" w:rsidP="00A8138F">
      <w:pPr>
        <w:pStyle w:val="TextoNormal"/>
      </w:pPr>
      <w:r>
        <w:t xml:space="preserve">En el recurso de amparo núm. 4631-2023, promovido por doña Inés González Lobo, representada por el procurador de los tribunales don David García Riquelme y asistida por la letrada doña Lourdes Ruiz Ezquerra, contra la resolución del Instituto Nacional de la Seguridad Social de 21 de junio de 2021, que denegó tácitamente la solicitud de ampliación de la prestación por nacimiento y cuidado de hijo menor a la madre biológica de familia monoparental, y contra la resolución del mismo organismo que por silencio administrativo rechazó la reclamación administrativa previa formulada frente a la anterior resolución; contra el auto de la Sala de lo Social del Tribunal Supremo, de 24 de mayo de 2023, que inadmitió el recurso de casación para la unificación de doctrina núm. 5723-2022 interpuesto por la demandante de amparo contra la sentencia núm. 985/2022, de la Sala de lo Social del Tribunal Superior de Justicia de Madrid, de 2 de noviembre de 2022, que desestimó su recurso de suplicación núm. 775-2022 interpuesto frente a la sentencia núm. 304/2021, del Juzgado de lo Social núm. 43 de Madrid, de 22 de diciembre de 2021, recaída en los autos núm. 914-2021, que desestimó su demanda sobre reclamación de cantidad frente al Instituto </w:t>
      </w:r>
      <w:r>
        <w:lastRenderedPageBreak/>
        <w:t>Nacional de la Seguridad Social y la Tesorería General de la Seguridad Social. Han intervenido el letrado de la administración de la Seguridad Social y el Ministerio Fiscal. Ha sido ponente el magistrado don Ricardo Enríquez Sancho.</w:t>
      </w:r>
    </w:p>
    <w:p w14:paraId="38E5B09D" w14:textId="5C8F9088" w:rsidR="00A8138F" w:rsidRDefault="00A8138F" w:rsidP="00A8138F">
      <w:pPr>
        <w:pStyle w:val="TextoNormal"/>
      </w:pPr>
    </w:p>
    <w:p w14:paraId="61245043" w14:textId="77777777" w:rsidR="00A8138F" w:rsidRDefault="00A8138F" w:rsidP="00A8138F">
      <w:pPr>
        <w:pStyle w:val="TextoNormalNegritaCentrado"/>
        <w:keepNext/>
      </w:pPr>
      <w:r>
        <w:t>I. Antecedentes</w:t>
      </w:r>
    </w:p>
    <w:p w14:paraId="1D0ABD51" w14:textId="400D8140" w:rsidR="00A8138F" w:rsidRDefault="00A8138F" w:rsidP="00A8138F">
      <w:pPr>
        <w:pStyle w:val="TextoNormalNegritaCentrado"/>
        <w:keepNext/>
      </w:pPr>
    </w:p>
    <w:p w14:paraId="40FBB62D" w14:textId="7F1E1CF8" w:rsidR="00A8138F" w:rsidRDefault="00A8138F" w:rsidP="00A8138F">
      <w:pPr>
        <w:pStyle w:val="TextoNormal"/>
      </w:pPr>
      <w:r w:rsidRPr="00A8138F">
        <w:rPr>
          <w:rStyle w:val="NumeroAFNegritaCaracter"/>
        </w:rPr>
        <w:t>1</w:t>
      </w:r>
      <w:r>
        <w:t>. Mediante escrito presentado en el registro general de este tribunal el día 4 de julio de 2023, el procurador de los tribunales don David García Riquelme, actuando en nombre y representación de doña Inés González Lobo, con la asistencia letrada de doña Lourdes Ruiz Ezquerra, interpuso recurso de amparo frente a las resoluciones administrativas y judiciales que las confirmaron, y que han sido señaladas anteriormente en el encabezamiento de esta sentencia.</w:t>
      </w:r>
    </w:p>
    <w:p w14:paraId="5948511A" w14:textId="77777777" w:rsidR="00A8138F" w:rsidRDefault="00A8138F" w:rsidP="00A8138F">
      <w:pPr>
        <w:pStyle w:val="TextoNormal"/>
      </w:pPr>
    </w:p>
    <w:p w14:paraId="54F66440" w14:textId="77777777" w:rsidR="00A8138F" w:rsidRDefault="00A8138F" w:rsidP="00A8138F">
      <w:pPr>
        <w:pStyle w:val="TextoNormal"/>
      </w:pPr>
      <w:r w:rsidRPr="00A8138F">
        <w:rPr>
          <w:rStyle w:val="NumeroAFNegritaCaracter"/>
        </w:rPr>
        <w:t>2</w:t>
      </w:r>
      <w:r>
        <w:t>. El presente recurso de amparo trae causa de los siguientes antecedentes:</w:t>
      </w:r>
    </w:p>
    <w:p w14:paraId="02ACF95B" w14:textId="77777777" w:rsidR="00A8138F" w:rsidRDefault="00A8138F" w:rsidP="00A8138F">
      <w:pPr>
        <w:pStyle w:val="TextoNormal"/>
      </w:pPr>
    </w:p>
    <w:p w14:paraId="44B594FB" w14:textId="77777777" w:rsidR="00A8138F" w:rsidRDefault="00A8138F" w:rsidP="00A8138F">
      <w:pPr>
        <w:pStyle w:val="TextoNormal"/>
      </w:pPr>
      <w:r>
        <w:t>a) La recurrente en amparo, madre biológica de un menor nacido el 18 de mayo de 2021 con el que forma una familia monoparental, solicitó prestación por nacimiento y cuidado del menor, interesando que a su prestación (de dieciséis semanas de duración) se acumulase la parte que hubiera correspondido al otro progenitor de haberse tratado de una familia biparental (esto es, otras dieciséis semanas adicionales). La prestación le fue reconocida por resolución de 21 de junio de 2021 del Instituto Nacional de la Seguridad Social (INSS) en la parte que le correspondía (dieciséis semanas) sin que se produjera respuesta alguna a su solicitud de ampliación del permiso en la parte que hubiera correspondido al segundo progenitor. Frente a esa resolución se interpuso reclamación previa que no fue contestada.</w:t>
      </w:r>
    </w:p>
    <w:p w14:paraId="64CB7EE7" w14:textId="77777777" w:rsidR="00A8138F" w:rsidRDefault="00A8138F" w:rsidP="00A8138F">
      <w:pPr>
        <w:pStyle w:val="TextoNormal"/>
      </w:pPr>
    </w:p>
    <w:p w14:paraId="6B5C457F" w14:textId="77777777" w:rsidR="00A8138F" w:rsidRDefault="00A8138F" w:rsidP="00A8138F">
      <w:pPr>
        <w:pStyle w:val="TextoNormal"/>
      </w:pPr>
      <w:r>
        <w:t>b) Disconforme con la duración de la prestación, y defendiendo que la denegación de la ampliación de la prestación vulneraba el art. 14 CE, la recurrente en amparo interpuso demanda en la vía judicial, lo que dio lugar a los autos núm. 914-2021 seguidos ante el Juzgado de lo Social núm. 43 de Madrid. Por la sentencia núm. 304/2021, de 22 de diciembre, se desestimó la demanda al apreciar que la pretensión de la parte actora carecía de amparo legal y que, si bien era cierto que para el menor la atención y el apego de los dos progenitores podía resultar más beneficioso, eso no era algo que debiera ser necesariamente protegido por el sistema de la Seguridad Social salvo en circunstancias excepcionales. En suma, las familias “biparentales” o “monoparentales” no eran, en principio, titulares de los derechos, siéndolo única y exclusivamente las personas, que con plena libertad pueden adoptar las decisiones vitales que consideren pertinentes con las consecuencias jurídicas que les fueran de aplicación.</w:t>
      </w:r>
    </w:p>
    <w:p w14:paraId="17E0835D" w14:textId="77777777" w:rsidR="00A8138F" w:rsidRDefault="00A8138F" w:rsidP="00A8138F">
      <w:pPr>
        <w:pStyle w:val="TextoNormal"/>
      </w:pPr>
    </w:p>
    <w:p w14:paraId="2FE5DC5F" w14:textId="77777777" w:rsidR="00A8138F" w:rsidRDefault="00A8138F" w:rsidP="00A8138F">
      <w:pPr>
        <w:pStyle w:val="TextoNormal"/>
      </w:pPr>
      <w:r>
        <w:t xml:space="preserve">c) La sentencia del juzgado de lo social fue recurrida en suplicación por la parte actora ante la Sala de lo Social del Tribunal Superior de Justicia de Madrid, recurso núm. 775-2022 en el que se denunció, entre otras, la infracción de los arts. 10, 14 y 39 CE. El recurso fue desestimado por sentencia núm. 985/2022, de 2 de noviembre, que confirmó lo decidido en la instancia aplicando lo decidido por esa Sala en sentencia de 6 de abril de 2022, cuyos argumentos reprodujo. En síntesis, la Sala se basó en: (i) la imposibilidad de transferencia del periodo de disfrute desde la aprobación del Real Decreto-ley 6/2019, de 1 de marzo (que ni siquiera lo permitía en el supuesto de “monoparentalidad sobrevenida” por fallecimiento de la madre biológica), aclarando que la cuestión no era la interpretación de la norma legal </w:t>
      </w:r>
      <w:r>
        <w:lastRenderedPageBreak/>
        <w:t>sino si podía ser preterida por otras de aplicación prevalente; (ii) el art. 14 CE no habilitaba a inaplicar el precepto, sino solo al planteamiento de cuestión de inconstitucionalidad; la normativa internacional (Convención sobre los derechos del niño) no tenía un precepto que pudiera conducir a la ampliación reclamada por la actora pues solo contenía preceptos genéricos; (iii) la parte no denunciaba, en realidad, una diferencia de trato injustificada, sino que reclamaba una discriminación positiva a favor de las familias monoparentales; (iv) no cabría hablar de discriminación por razón de género respecto a la mujer al no haberse acreditado una principal y mayoritaria incidencia respecto a la mujer de la desigualdad discutida. Al no apreciarse vulneración del art. 14 CE se descartó el planteamiento de cuestión de inconstitucionalidad.</w:t>
      </w:r>
    </w:p>
    <w:p w14:paraId="6938499A" w14:textId="77777777" w:rsidR="00A8138F" w:rsidRDefault="00A8138F" w:rsidP="00A8138F">
      <w:pPr>
        <w:pStyle w:val="TextoNormal"/>
      </w:pPr>
    </w:p>
    <w:p w14:paraId="5866A656" w14:textId="224006D5" w:rsidR="00A8138F" w:rsidRDefault="00A8138F" w:rsidP="00A8138F">
      <w:pPr>
        <w:pStyle w:val="TextoNormal"/>
      </w:pPr>
      <w:r>
        <w:t>d) Frente a la anterior sentencia se formalizó por la parte actora recurso de casación para la unificación de doctrina, recurso núm. 5723-2022, que fue inadmitido por medio de auto de 24 de mayo de 2023 por falta de contenido casacional al adecuarse la sentencia recurrida a la doctrina sentada, en Pleno, por la Sala de lo Social del Tribunal Supremo en su sentencia de 2 de marzo de 2023, recurso núm. 3972-2020 (ECLI:ES:TS:2023:783). En esta resolución se recordó que la función de los jueces es la aplicación e interpretación de la norma, pero no la creación del Derecho, y que lo que se pretendía solo le correspondía al legislador, no competiéndoles a los jueces modificar el régimen de prestaciones del sistema de la Seguridad Social suplantando al legislador, ni modificar la suspensión del contrato prevista en el art. 48.4 del texto refundido de la Ley del estatuto de los trabajadores aprobado por el Real Decreto Legislativo 2/2015, de 23 de octubre (LET), o la correlativa prestación regulada en el art. 177 del texto refundido de la Ley general de la Seguridad Social, aprobado por el Real Decreto Legislativo 8/2015, de 30 de octubre (LGSS). Se apreció que tales normas no eran contrarias a la Constitución sino expresión de la voluntad normativa tendente al cumplimiento estricto y completo de los principios constitucionales, ni eran contrarias a la normativa internacional ni a la de la Unión Europea. Se subrayó, asimismo, que el interés del menor no era el único en juego, pues también estaban implicadas la corresponsabilidad de los progenitores en el cuidado de los hijos y la igualdad entre hombres y mujeres.</w:t>
      </w:r>
    </w:p>
    <w:p w14:paraId="4032D512" w14:textId="77777777" w:rsidR="00A8138F" w:rsidRDefault="00A8138F" w:rsidP="00A8138F">
      <w:pPr>
        <w:pStyle w:val="TextoNormal"/>
      </w:pPr>
    </w:p>
    <w:p w14:paraId="188575FB" w14:textId="6F6B2704" w:rsidR="00A8138F" w:rsidRDefault="00A8138F" w:rsidP="00A8138F">
      <w:pPr>
        <w:pStyle w:val="TextoNormal"/>
      </w:pPr>
      <w:r w:rsidRPr="00A8138F">
        <w:rPr>
          <w:rStyle w:val="NumeroAFNegritaCaracter"/>
        </w:rPr>
        <w:t>3</w:t>
      </w:r>
      <w:r>
        <w:t xml:space="preserve">. En la demanda de amparo la recurrente invoca la vulneración del derecho a la igualdad y no discriminación (art. 14 CE). En primer lugar, denuncia ser víctima de una discriminación por razón de circunstancia familiar y estado civil en tanto que por haber tomado la libre decisión de formar una “familia monoparental” se ve limitado su deber-derecho de cuidado de su hijo. Esa diferenciación resulta contraria al art. 39 CE, que impone a los poderes públicos el deber de asegurar la protección integral de la familia, y a la normativa internacional que protege los derechos del niño. Niega que se esté alegando una discriminación por indiferenciación, pues lo que se reclama es una ampliación del permiso para que no se perjudique a la mujer que es la única progenitora ni a su hijo. Subsidiariamente, para el caso de que no se aprecie la discriminación denunciada, se denuncia la infracción del derecho a la igualdad ante la ley (art. 14 CE) al entender la parte que la interpretación judicial careció de una justificación objetiva y razonable, siendo sus consecuencias jurídicas especialmente gravosas o desmedidas para la madre y el hijo recién nacido. Aparte de la discriminación directa, se alega una discriminación indirecta por razón de sexo por cuanto que está claro que estadísticamente ocho de cada diez familias monoparentales son familias “monomarentales”. En suma, el precepto aplicado afectaría de forma negativa mayoritariamente a las mujeres. Finalmente, sostiene que el recurso de amparo planteado tiene especial trascendencia constitucional, citando como motivos los previstos en los apartados a), b), e) y g) del fundamento </w:t>
      </w:r>
      <w:r>
        <w:lastRenderedPageBreak/>
        <w:t>jurídico 2 de la STC 155/2009, de 25 de junio. También se advirtió en el recurso la oportunidad de que este tribunal plantease una cuestión interna de inconstitucionalidad sobre el art. 48.4 LET.</w:t>
      </w:r>
    </w:p>
    <w:p w14:paraId="24882978" w14:textId="77777777" w:rsidR="00A8138F" w:rsidRDefault="00A8138F" w:rsidP="00A8138F">
      <w:pPr>
        <w:pStyle w:val="TextoNormal"/>
      </w:pPr>
    </w:p>
    <w:p w14:paraId="51E02B3E" w14:textId="416C2FA8" w:rsidR="00A8138F" w:rsidRDefault="00A8138F" w:rsidP="00A8138F">
      <w:pPr>
        <w:pStyle w:val="TextoNormal"/>
      </w:pPr>
      <w:r w:rsidRPr="00A8138F">
        <w:rPr>
          <w:rStyle w:val="NumeroAFNegritaCaracter"/>
        </w:rPr>
        <w:t>4</w:t>
      </w:r>
      <w:r>
        <w:t>. Por providencia de 3 de junio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FJ 2 c)]”. En aplicación de lo previsto en el art. 51 LOTC dispuso requerir a la Sala de lo Social del Tribunal Supremo y a la Sección Segunda de la Sala de lo Social del Tribunal Superior de Justicia de Madrid a fin de que, en el plazo que no excediera de diez días, remitiesen certificación o fotocopia adverada de las actuaciones correspondientes al recurso de casación para la unificación de doctrina núm. 5723-2022 y al recurso de suplicación núm. 775-2022, respectivamente. Asimismo, acordó dirigir atenta comunicación al Juzgado de lo Social núm. 43 de Madrid a fin de que, en plazo que no excediera de diez días, remitiese certificación o fotocopia adverada de las actuaciones correspondientes a los autos núm. 914-2021, emplazando a quienes hubieran sido parte en el procedimiento, excepto la parte recurrente en amparo, para que, si lo deseaban, pudieran comparecer en el presente recurso.</w:t>
      </w:r>
    </w:p>
    <w:p w14:paraId="6C693BF4" w14:textId="77777777" w:rsidR="00A8138F" w:rsidRDefault="00A8138F" w:rsidP="00A8138F">
      <w:pPr>
        <w:pStyle w:val="TextoNormal"/>
      </w:pPr>
    </w:p>
    <w:p w14:paraId="2B6C56D7" w14:textId="17D02CD0" w:rsidR="00A8138F" w:rsidRDefault="00A8138F" w:rsidP="00A8138F">
      <w:pPr>
        <w:pStyle w:val="TextoNormal"/>
      </w:pPr>
      <w:r w:rsidRPr="00A8138F">
        <w:rPr>
          <w:rStyle w:val="NumeroAFNegritaCaracter"/>
        </w:rPr>
        <w:t>5</w:t>
      </w:r>
      <w:r>
        <w:t>. El 16 de julio de 2024 se presentó ante el registro de este tribunal escrito de la Asociación de madres solteras por elección a traveés de su presidenta, doña Pilar Castellanos, representada procesalmente por el procurador don David García Riquelme y asistida de la letrada doña Lourdes Ruiz Ezquerra, solicitando su personación como parte coadyuvante de la recurrente en el presente procedimiento de amparo por ostentar interés legítimo sobre la cuestión de fondo planteada. Tras requerir a dicha entidad por diligencia de ordenación de la Secretaría de Justicia de la Sección Segunda de este tribunal, de 22 de julio de 2024, a fin de saber si la misma había sido parte en el proceso previo, aportando en su caso la documentación acreditativa, la citada asociación presentó escrito el 26 de julio de 2024 manifestando que no lo había sido. La Sala Primera de este tribunal, mediante providencia de 21 de octubre de 2024, acordó no admitir la personación solicitada, al no haber sido la asociación solicitante parte en la vía judicial previa tal como exige el art. 51.2 LOTC, y en aplicación de reiterada doctrina de este tribunal (ATC 47/2013, de 25 de febrero, FJ único, y los anteriores que en él se citan).</w:t>
      </w:r>
    </w:p>
    <w:p w14:paraId="38764D39" w14:textId="77777777" w:rsidR="00A8138F" w:rsidRDefault="00A8138F" w:rsidP="00A8138F">
      <w:pPr>
        <w:pStyle w:val="TextoNormal"/>
      </w:pPr>
    </w:p>
    <w:p w14:paraId="3AEE12E4" w14:textId="686E514E" w:rsidR="00A8138F" w:rsidRDefault="00A8138F" w:rsidP="00A8138F">
      <w:pPr>
        <w:pStyle w:val="TextoNormal"/>
      </w:pPr>
      <w:r w:rsidRPr="00A8138F">
        <w:rPr>
          <w:rStyle w:val="NumeroAFNegritaCaracter"/>
        </w:rPr>
        <w:t>6</w:t>
      </w:r>
      <w:r>
        <w:t>. Por escrito de 11 de septiembre de 2024 el letrado de la administración de la Seguridad Social, actuando en nombre y representación del INSS y de la Tesorería General de la Seguridad Social (TGSS), interesó su personación en el presente recurso de amparo.</w:t>
      </w:r>
    </w:p>
    <w:p w14:paraId="79990BD9" w14:textId="77777777" w:rsidR="00A8138F" w:rsidRDefault="00A8138F" w:rsidP="00A8138F">
      <w:pPr>
        <w:pStyle w:val="TextoNormal"/>
      </w:pPr>
    </w:p>
    <w:p w14:paraId="6833984A" w14:textId="57E58C0B" w:rsidR="00A8138F" w:rsidRDefault="00A8138F" w:rsidP="00A8138F">
      <w:pPr>
        <w:pStyle w:val="TextoNormal"/>
      </w:pPr>
      <w:r w:rsidRPr="00A8138F">
        <w:rPr>
          <w:rStyle w:val="NumeroAFNegritaCaracter"/>
        </w:rPr>
        <w:t>7</w:t>
      </w:r>
      <w:r>
        <w:t xml:space="preserve">. Por diligencia de ordenación de la Secretaría de Justicia de la Sala Primera de este tribunal de 10 de octubre de 2024 se tuvieron por recibidos los testimonios de actuaciones remitidos por la Sala de lo Social del Tribunal Supremo, por la Sala de lo Social del Tribunal Superior de Justicia de Madrid y por el Juzgado de lo Social núm. 43 de Madrid y el escrito de personación del letrado de la administración de la Seguridad Social, a quien se tuvo por personado y parte en nombre y representación del INSS y de la TGSS. Asimismo, a tenor de lo dispuesto en el art. 52 LOTC se acordó dar vista de todas las actuaciones del presente recurso de amparo en la sede electrónica de este tribunal a la parte recurrente, al Ministerio </w:t>
      </w:r>
      <w:r>
        <w:lastRenderedPageBreak/>
        <w:t>Fiscal y a la parte personada, por plazo común de veinte días, para que pudieran presentar las alegaciones que estimaran pertinentes.</w:t>
      </w:r>
    </w:p>
    <w:p w14:paraId="066BEC36" w14:textId="77777777" w:rsidR="00A8138F" w:rsidRDefault="00A8138F" w:rsidP="00A8138F">
      <w:pPr>
        <w:pStyle w:val="TextoNormal"/>
      </w:pPr>
    </w:p>
    <w:p w14:paraId="52C14083" w14:textId="2F74ADA2" w:rsidR="00A8138F" w:rsidRDefault="00A8138F" w:rsidP="00A8138F">
      <w:pPr>
        <w:pStyle w:val="TextoNormal"/>
      </w:pPr>
      <w:r w:rsidRPr="00A8138F">
        <w:rPr>
          <w:rStyle w:val="NumeroAFNegritaCaracter"/>
        </w:rPr>
        <w:t>8</w:t>
      </w:r>
      <w:r>
        <w:t>. Por medio de escrito presentado el 11 de noviembre de 2024 en el registro de este tribunal, la recurrente en amparo interesó la estimación de su recurso, dando por reproducida la argumentación contenida en el mismo y señalando que las pretensiones de esa parte se han visto confirmadas recientemente por este tribunal al haber declarado la inconstitucionalidad de los preceptos legales cuestionados (STC 140/2024, de 6 de noviembre).</w:t>
      </w:r>
    </w:p>
    <w:p w14:paraId="71012C44" w14:textId="77777777" w:rsidR="00A8138F" w:rsidRDefault="00A8138F" w:rsidP="00A8138F">
      <w:pPr>
        <w:pStyle w:val="TextoNormal"/>
      </w:pPr>
    </w:p>
    <w:p w14:paraId="02C82C94" w14:textId="77777777" w:rsidR="00A8138F" w:rsidRDefault="00A8138F" w:rsidP="00A8138F">
      <w:pPr>
        <w:pStyle w:val="TextoNormal"/>
      </w:pPr>
      <w:r w:rsidRPr="00A8138F">
        <w:rPr>
          <w:rStyle w:val="NumeroAFNegritaCaracter"/>
        </w:rPr>
        <w:t>9</w:t>
      </w:r>
      <w:r>
        <w:t xml:space="preserve">. El 29 de octubre de 2024 tuvo entrada en el registro de este tribunal el escrito del letrado de la administración de la Seguridad Social realizando alegaciones en la representación que ostenta de las entidades gestoras demandadas en el proceso </w:t>
      </w:r>
      <w:r w:rsidRPr="00A8138F">
        <w:rPr>
          <w:i/>
        </w:rPr>
        <w:t>a quo</w:t>
      </w:r>
      <w:r>
        <w:t>. Niega que las normas cuestionadas resulten discriminatorias y, en tal sentido, subraya: (i) que el permiso del progenitor distinto a la madre biológica tiene por objeto fomentar la corresponsabilidad en el cuidado del hijo y facilitar la conciliación de la vida familiar y personal, situación que no concurriría en el caso de familias monoparentales ya que no existe un segundo progenitor; y (ii) que el legislador tiene en esta materia un amplio margen para la configuración del sistema en función de los recursos disponibles y hay que partir del carácter contributivo del permiso, sujeto a la concurrencia de determinados requisitos normativamente establecidos que también se aplican a los menores nacidos en familias biparentales.</w:t>
      </w:r>
    </w:p>
    <w:p w14:paraId="6D6740DF" w14:textId="77777777" w:rsidR="00A8138F" w:rsidRDefault="00A8138F" w:rsidP="00A8138F">
      <w:pPr>
        <w:pStyle w:val="TextoNormal"/>
      </w:pPr>
    </w:p>
    <w:p w14:paraId="55DD5A19" w14:textId="77777777" w:rsidR="00A8138F" w:rsidRDefault="00A8138F" w:rsidP="00A8138F">
      <w:pPr>
        <w:pStyle w:val="TextoNormal"/>
      </w:pPr>
      <w:r>
        <w:t>Posteriormente, indica que la recurrente en amparo, tras disfrutar de su permiso por nacimiento de hijo (dieciséis semanas), se reincorporó al trabajo sin solicitar su ampliación percibiendo, por lo tanto, el correspondiente salario, y que tal salario es incompatible con la prestación que solicita. A resultas de ello, se señala que en ningún caso la hipotética estimación del presente recurso de amparo llevaría aparejado el reconocimiento de la prestación económica de Seguridad Social, dada su incompatibilidad con el salario percibido en el periodo que se reclama. Se afirma después bajo el apartado titulado “no justificación de la trascendencia constitucional” que no existe ningún derecho fundamental que resulte vulnerado por el hecho de no reconocerse un periodo superior a dieciséis semanas en una prestación de Seguridad Social a quien se reincorporó sin objeción a su trabajo tras el periodo de descanso, habiendo percibido por ello su salario. Y se entiende que no parece que la discriminación por razón de sexo o estado civil o el interés jurídico del menor sean el fundamento que subyace al recurso, sino tan solo una cuestión económica. En cualquier caso, advierte que la actora tenía a su disposición otras instituciones creadas para el cuidado del hijo como la reducción de jornada o la excedencia para el cuidado de menores de las que no hizo uso.</w:t>
      </w:r>
    </w:p>
    <w:p w14:paraId="64F65B08" w14:textId="77777777" w:rsidR="00A8138F" w:rsidRDefault="00A8138F" w:rsidP="00A8138F">
      <w:pPr>
        <w:pStyle w:val="TextoNormal"/>
      </w:pPr>
    </w:p>
    <w:p w14:paraId="5641F403" w14:textId="77777777" w:rsidR="00A8138F" w:rsidRDefault="00A8138F" w:rsidP="00A8138F">
      <w:pPr>
        <w:pStyle w:val="TextoNormal"/>
      </w:pPr>
      <w:r>
        <w:t>A la vista de ello entiende que de estimarse la pretensión de la recurrente se le haría de mejor condición por ser madre de una familia monoparental y reitera que la recurrente no justifica la interposición del recurso pues no existe trascendencia constitucional, al menos en el presente caso en el que no hubo pérdida retributiva alguna que amparase el mecanismo de protección del sistema de Seguridad Social. En cualquier caso, niega también que las normas denunciadas fueran discriminatorias, indicando que la protección de la familia y de los hijos (art. 39 CE) no constituyen derechos fundamentales y que la alegación de la vulneración del derecho a la igualdad y a la no discriminación carece de fundamento pues no aporta situaciones de contraste parangonables.</w:t>
      </w:r>
    </w:p>
    <w:p w14:paraId="61DA4DDE" w14:textId="77777777" w:rsidR="00A8138F" w:rsidRDefault="00A8138F" w:rsidP="00A8138F">
      <w:pPr>
        <w:pStyle w:val="TextoNormal"/>
      </w:pPr>
    </w:p>
    <w:p w14:paraId="177372F0" w14:textId="77777777" w:rsidR="00A8138F" w:rsidRDefault="00A8138F" w:rsidP="00A8138F">
      <w:pPr>
        <w:pStyle w:val="TextoNormal"/>
      </w:pPr>
      <w:r>
        <w:lastRenderedPageBreak/>
        <w:t>Se hace, después, un examen de la normativa aplicable (tanto nacional como internacional y de la Unión Europea), de la doctrina de la Sala de lo Social del Tribunal Supremo sobre la materia [sentencia de 2 de marzo de 2023, principalmente, y también de 29 de enero de 2024, recurso 2832-2022 (ECLI:ES:TS:2024:1103)], de la doctrina constitucional existente al tiempo de realizarse las alegaciones (esto es, la anterior al dictado de la STC 140/2024, de 6 de noviembre, que declaró la inconstitucionalidad de los preceptos que en este caso se cuestionaban), de la sentada por el Tribunal de Justicia de la Unión Europea y de la finalidad de la concesión de los permisos por nacimiento y cuidado de hijos, para terminar negando, tras todo ello, las infracciones constitucionales alegadas ya que las familias monoparentales estarían recibiendo el mismo trato que las familias biparentales y de reconocerse la ampliación a las primeras se estaría discriminando a las segundas pues al segundo progenitor se le exige cumplir los requisitos legalmente previstos (alta y periodo de cotización) para poder disfrutar de la prestación.</w:t>
      </w:r>
    </w:p>
    <w:p w14:paraId="6A963021" w14:textId="77777777" w:rsidR="00A8138F" w:rsidRDefault="00A8138F" w:rsidP="00A8138F">
      <w:pPr>
        <w:pStyle w:val="TextoNormal"/>
      </w:pPr>
    </w:p>
    <w:p w14:paraId="4F0C9310" w14:textId="31DC2DD2" w:rsidR="00A8138F" w:rsidRDefault="00A8138F" w:rsidP="00A8138F">
      <w:pPr>
        <w:pStyle w:val="TextoNormal"/>
      </w:pPr>
      <w:r>
        <w:t>En virtud de todo ello se interesa la desestimación del recurso de amparo y, para el eventual supuesto de que se estime, se solicita: (i) que se deniegue la retroacción de las actuaciones al momento previo al dictado de la resolución del INSS de 21 de junio de 2021, al no existir derecho alguno a la prestación de Seguridad Social si la recurrente se reincorporó a su relación laboral tras el permiso de dieciséis semanas dado por su empresa a la vista de la incompatibilidad entre el salario y la prestación por nacimiento y cuidado de menor; y (ii) en caso de estimarse la retroacción solicitada, reconocer que el aumento de la duración del permiso laboral y la correlativa prestación, tras el agotamiento de las primeras dieciséis semanas, sería como máximo de diez semanas y no de dieciséis como se solicita.</w:t>
      </w:r>
    </w:p>
    <w:p w14:paraId="557B36A2" w14:textId="77777777" w:rsidR="00A8138F" w:rsidRDefault="00A8138F" w:rsidP="00A8138F">
      <w:pPr>
        <w:pStyle w:val="TextoNormal"/>
      </w:pPr>
    </w:p>
    <w:p w14:paraId="35FBC6A7" w14:textId="77777777" w:rsidR="00A8138F" w:rsidRDefault="00A8138F" w:rsidP="00A8138F">
      <w:pPr>
        <w:pStyle w:val="TextoNormal"/>
      </w:pPr>
      <w:r w:rsidRPr="00A8138F">
        <w:rPr>
          <w:rStyle w:val="NumeroAFNegritaCaracter"/>
        </w:rPr>
        <w:t>10</w:t>
      </w:r>
      <w:r>
        <w:t>. La fiscal ante este Tribunal Constitucional presentó escrito el 4 de diciembre de 2024 evacuando el trámite conferido para realizar alegaciones, interesando la estimación del recurso de amparo por vulneración del derecho fundamental de la demandante y de su hijo a la no discriminación (art. 14 CE), de conformidad con la declaración de inconstitucionalidad de los arts. 48.4 LET y 177 LGSS efectuada en la STC 140/2024, de 6 de noviembre, cuyos principales argumentos reproduce. En tal sentido señala que, en aplicación del criterio constitucional mantenido en esa sentencia sobre la regulación de la suspensión del contrato de trabajo, y la correspondiente prestación de la Seguridad Social, por nacimiento y cuidado de hijos que se contiene en los arts. 48.4 LET y 177 LGSS, procede la estimación del recurso pues, al aplicar los mencionados artículos recientemente declarados inconstitucionales, las resoluciones impugnadas han generado la discriminación prohibida por el art. 14 CE, en relación con el art. 39 CE, tanto de la demandante de amparo por constituir una familia monoparental, como del hijo por razón de haber nacido en ella.</w:t>
      </w:r>
    </w:p>
    <w:p w14:paraId="119B09F5" w14:textId="77777777" w:rsidR="00A8138F" w:rsidRDefault="00A8138F" w:rsidP="00A8138F">
      <w:pPr>
        <w:pStyle w:val="TextoNormal"/>
      </w:pPr>
    </w:p>
    <w:p w14:paraId="58FC7E1A" w14:textId="5C9A7B4E" w:rsidR="00A8138F" w:rsidRDefault="00A8138F" w:rsidP="00A8138F">
      <w:pPr>
        <w:pStyle w:val="TextoNormal"/>
      </w:pPr>
      <w:r>
        <w:t xml:space="preserve">Subraya, después, que en el proceso laboral subyacente no se debatía la duración de la suspensión del contrato de trabajo, sino la concesión de la prestación de la Seguridad Social de los arts. 177 y ss. LGSS que corresponderían al segundo progenitor, en caso de haber existido. Y que el motivo de la vulneración del art. 14 CE, en relación con el art. 39 CE (de acuerdo con la citada sentencia constitucional) es el derecho a la no discriminación porque la normativa cuestionada (arts. 48.4 LET y 177 LGSS) provoca una desigualdad de trato perjudicial para los menores nacidos en familias monoparentales frente a los nacidos en familias biparentales en atención al inferior periodo de tiempo que las primeras, al estar formadas por un único progenitor, tienen para el cuidado del hijo de hasta doce meses de edad, por la regulación de la suspensión del contrato de trabajo (art. 48.4 LET). Se destaca </w:t>
      </w:r>
      <w:r>
        <w:lastRenderedPageBreak/>
        <w:t>que la duración de la prestación del art. 177 LGSS que ha sido objeto de reclamación en el proceso laboral está vinculada a la suspensión del contrato de trabajo por nacimiento y cuidado del menor que establece el citado art. 48.4 LET y que, por ese motivo, al denegar la ampliación de la prestación, las resoluciones impugnadas han resultado contrarias al art. 14 CE en relación con el art. 39 CE, y por tanto nulas. No se trata, en definitiva, prosigue diciendo, de que la interpretación y aplicación de los mencionados preceptos se haya realizado de manera ilógica o arbitraria, ya que cuando se aplicaron eran normas con rango de ley y no se había declarado su inconstitucionalidad. El Tribunal Constitucional, en la mencionada sentencia, no mantiene que los preceptos sean constitucionales con una interpretación conforme a la Constitución, sino que los declara directamente contrarios al art. 14 CE, en relación con el art. 39 CE, por omisión, estableciendo una interpretación provisional para que su aplicación no siga produciendo una vulneración del art. 14 CE, en relación con el art. 39 CE. Es la inconstitucionalidad de las normas, por consiguiente, la que produce la nulidad de las resoluciones recurridas.</w:t>
      </w:r>
    </w:p>
    <w:p w14:paraId="1F177F13" w14:textId="77777777" w:rsidR="00A8138F" w:rsidRDefault="00A8138F" w:rsidP="00A8138F">
      <w:pPr>
        <w:pStyle w:val="TextoNormal"/>
      </w:pPr>
    </w:p>
    <w:p w14:paraId="4203EACE" w14:textId="2B53CA69" w:rsidR="00A8138F" w:rsidRDefault="00A8138F" w:rsidP="00A8138F">
      <w:pPr>
        <w:pStyle w:val="TextoNormal"/>
      </w:pPr>
      <w:r w:rsidRPr="00A8138F">
        <w:rPr>
          <w:rStyle w:val="NumeroAFNegritaCaracter"/>
        </w:rPr>
        <w:t>11</w:t>
      </w:r>
      <w:r>
        <w:t>. Mediante providencia de 9 de enero de 2025, se señaló para deliberación y votación de la presente sentencia el día 13 del mismo mes y año.</w:t>
      </w:r>
    </w:p>
    <w:p w14:paraId="4939B4BF" w14:textId="77777777" w:rsidR="00A8138F" w:rsidRDefault="00A8138F" w:rsidP="00A8138F">
      <w:pPr>
        <w:pStyle w:val="TextoNormal"/>
      </w:pPr>
    </w:p>
    <w:p w14:paraId="3D937394" w14:textId="77777777" w:rsidR="00A8138F" w:rsidRDefault="00A8138F" w:rsidP="00A8138F">
      <w:pPr>
        <w:pStyle w:val="TextoNormalNegritaCentrado"/>
        <w:keepNext/>
      </w:pPr>
      <w:r>
        <w:t>II. Fundamentos jurídicos</w:t>
      </w:r>
    </w:p>
    <w:p w14:paraId="03DBFC6E" w14:textId="296FB585" w:rsidR="00A8138F" w:rsidRDefault="00A8138F" w:rsidP="00A8138F">
      <w:pPr>
        <w:pStyle w:val="TextoNormalNegritaCentrado"/>
        <w:keepNext/>
      </w:pPr>
    </w:p>
    <w:p w14:paraId="391BD7AC"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00643D3E" w14:textId="77777777" w:rsidR="00A8138F" w:rsidRDefault="00A8138F" w:rsidP="00A8138F">
      <w:pPr>
        <w:pStyle w:val="TextoNormal"/>
      </w:pPr>
    </w:p>
    <w:p w14:paraId="46041615" w14:textId="2424C135"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en relación con el art. 177 del texto refundido de la Ley general de la Seguridad Social, aprobado por el Real Decreto Legislativo 8/2015, de 30 de octubre, en la redacción dada a los mismos por el Real Decreto-ley 6/2019, de 1 de marzo, de medidas urgentes para garantía de la igualdad de trato y de oportunidades entre mujeres y hombres en el empleo y la ocupación.</w:t>
      </w:r>
    </w:p>
    <w:p w14:paraId="04E5CE46" w14:textId="77777777" w:rsidR="00A8138F" w:rsidRDefault="00A8138F" w:rsidP="00A8138F">
      <w:pPr>
        <w:pStyle w:val="TextoNormal"/>
      </w:pPr>
    </w:p>
    <w:p w14:paraId="0F88516A" w14:textId="77777777" w:rsidR="00A8138F" w:rsidRDefault="00A8138F" w:rsidP="00A8138F">
      <w:pPr>
        <w:pStyle w:val="TextoNormal"/>
      </w:pPr>
      <w:r w:rsidRPr="00A8138F">
        <w:rPr>
          <w:rStyle w:val="NumeroAFNegritaCaracter"/>
        </w:rPr>
        <w:t>2</w:t>
      </w:r>
      <w:r>
        <w:t xml:space="preserve">. </w:t>
      </w:r>
      <w:r w:rsidRPr="00A8138F">
        <w:rPr>
          <w:i/>
        </w:rPr>
        <w:t>Sobre la objeción de “no justificación de la trascendencia constitucional” del recurso</w:t>
      </w:r>
    </w:p>
    <w:p w14:paraId="7A39302D" w14:textId="77777777" w:rsidR="00A8138F" w:rsidRDefault="00A8138F" w:rsidP="00A8138F">
      <w:pPr>
        <w:pStyle w:val="TextoNormal"/>
      </w:pPr>
    </w:p>
    <w:p w14:paraId="12206C04" w14:textId="77777777" w:rsidR="00A8138F" w:rsidRDefault="00A8138F" w:rsidP="00A8138F">
      <w:pPr>
        <w:pStyle w:val="TextoNormal"/>
      </w:pPr>
      <w:r>
        <w:t>Antes de entrar a examinar las quejas de fondo de la demanda, el letrado del INSS advierte en su escrito de alegaciones del trámite del art. 52 LOTC que la demanda había incurrido en el defecto de “no justificación de la trascendencia constitucional”, señalando más adelante que “no existe trascendencia constitucional” en el recurso, todo ello porque no se habría producido la vulneración del derecho fundamental que denuncia la demanda, empleando al respecto argumentos que luego utiliza en el mismo escrito para pedir la desestimación del recurso.</w:t>
      </w:r>
    </w:p>
    <w:p w14:paraId="2B0FFB02" w14:textId="77777777" w:rsidR="00A8138F" w:rsidRDefault="00A8138F" w:rsidP="00A8138F">
      <w:pPr>
        <w:pStyle w:val="TextoNormal"/>
      </w:pPr>
    </w:p>
    <w:p w14:paraId="15AB7631" w14:textId="2C191BD8" w:rsidR="00A8138F" w:rsidRDefault="00A8138F" w:rsidP="00A8138F">
      <w:pPr>
        <w:pStyle w:val="TextoNormal"/>
      </w:pPr>
      <w:r>
        <w:t xml:space="preserve">Resulta así palmario que el escrito de alegaciones confunde como una misma cosa tres conceptos distintos como son la falta de justificación de la especial trascendencia constitucional (óbice formal </w:t>
      </w:r>
      <w:r w:rsidRPr="00A8138F">
        <w:rPr>
          <w:i/>
        </w:rPr>
        <w:t>ex</w:t>
      </w:r>
      <w:r>
        <w:t xml:space="preserve"> art. 49.1 </w:t>
      </w:r>
      <w:r w:rsidRPr="00A8138F">
        <w:rPr>
          <w:i/>
        </w:rPr>
        <w:t>in fine</w:t>
      </w:r>
      <w:r>
        <w:t xml:space="preserve"> LOTC), la falta material de este requisito [art. 50.1 b) LOTC y STC 155/2009, de 25 de junio, FJ 2] y la inexistencia de la vulneración del derecho fundamental invocado como infringido, es decir, el propio tema de fondo planteado, lo que relevaría de más contestación. Lo cierto, en cualquier caso, es que el escrito del re</w:t>
      </w:r>
      <w:r>
        <w:lastRenderedPageBreak/>
        <w:t>presentante del INSS no ofrece razón alguna para reconsiderar el juicio positivo sobre la especial trascendencia constitucional que quedó expresado en la providencia de admisión del presente recurso, mientras que lo que concierne a la cuestión de fondo se resuelve en el próximo fundamento jurídico.</w:t>
      </w:r>
    </w:p>
    <w:p w14:paraId="7D56008F" w14:textId="77777777" w:rsidR="00A8138F" w:rsidRDefault="00A8138F" w:rsidP="00A8138F">
      <w:pPr>
        <w:pStyle w:val="TextoNormal"/>
      </w:pPr>
    </w:p>
    <w:p w14:paraId="61307EB9"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fijada en la STC 140/2024, de 6 de noviembre</w:t>
      </w:r>
    </w:p>
    <w:p w14:paraId="2006ECE2" w14:textId="77777777" w:rsidR="00A8138F" w:rsidRDefault="00A8138F" w:rsidP="00A8138F">
      <w:pPr>
        <w:pStyle w:val="TextoNormal"/>
      </w:pPr>
    </w:p>
    <w:p w14:paraId="0444E7FC"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E57B355" w14:textId="77777777" w:rsidR="00A8138F" w:rsidRDefault="00A8138F" w:rsidP="00A8138F">
      <w:pPr>
        <w:pStyle w:val="TextoNormal"/>
      </w:pPr>
    </w:p>
    <w:p w14:paraId="59BB527C"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EE41E9F" w14:textId="77777777" w:rsidR="00A8138F" w:rsidRDefault="00A8138F" w:rsidP="00A8138F">
      <w:pPr>
        <w:pStyle w:val="TextoNormal"/>
      </w:pPr>
    </w:p>
    <w:p w14:paraId="2CD64746"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47E57118" w14:textId="77777777" w:rsidR="00A8138F" w:rsidRDefault="00A8138F" w:rsidP="00A8138F">
      <w:pPr>
        <w:pStyle w:val="TextoNormal"/>
      </w:pPr>
    </w:p>
    <w:p w14:paraId="791E2388" w14:textId="653A5844" w:rsidR="00A8138F" w:rsidRDefault="00A8138F" w:rsidP="00A8138F">
      <w:pPr>
        <w:pStyle w:val="TextoNormal"/>
      </w:pPr>
      <w: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en relación con el art. 177 LGSS, ha de ser interpretado en el sentido de adicionarse al permiso del </w:t>
      </w:r>
      <w:r>
        <w:lastRenderedPageBreak/>
        <w:t>primer párrafo para la madre biológica (dieciséis semanas), el previsto en el segundo para progenitor distinto (diez semanas, al excluirse las seis primeras, que necesariamente deben disfrutarse de forma ininterrumpida e inmediatamente posterior al parto).</w:t>
      </w:r>
    </w:p>
    <w:p w14:paraId="18274D9B" w14:textId="77777777" w:rsidR="00A8138F" w:rsidRDefault="00A8138F" w:rsidP="00A8138F">
      <w:pPr>
        <w:pStyle w:val="TextoNormal"/>
      </w:pPr>
    </w:p>
    <w:p w14:paraId="694B941B" w14:textId="77777777" w:rsidR="00A8138F" w:rsidRDefault="00A8138F" w:rsidP="00A8138F">
      <w:pPr>
        <w:pStyle w:val="TextoNormalCentrado"/>
        <w:keepNext/>
      </w:pPr>
      <w:r>
        <w:t>FALLO</w:t>
      </w:r>
    </w:p>
    <w:p w14:paraId="3A065F99" w14:textId="218E4075" w:rsidR="00A8138F" w:rsidRDefault="00A8138F" w:rsidP="00A8138F">
      <w:pPr>
        <w:pStyle w:val="TextoNormalCentrado"/>
        <w:keepNext/>
      </w:pPr>
    </w:p>
    <w:p w14:paraId="0671A55E" w14:textId="77777777" w:rsidR="00A8138F" w:rsidRDefault="00A8138F" w:rsidP="00A8138F">
      <w:pPr>
        <w:pStyle w:val="TextoNormal"/>
      </w:pPr>
      <w:r>
        <w:t>En atención a todo lo expuesto, el Tribunal Constitucional, por la autoridad que le confiere la Constitución de la Nación española, ha decidido:</w:t>
      </w:r>
    </w:p>
    <w:p w14:paraId="7E87E061" w14:textId="77777777" w:rsidR="00A8138F" w:rsidRDefault="00A8138F" w:rsidP="00A8138F">
      <w:pPr>
        <w:pStyle w:val="TextoNormal"/>
      </w:pPr>
    </w:p>
    <w:p w14:paraId="1A2617D1" w14:textId="77777777" w:rsidR="00A8138F" w:rsidRDefault="00A8138F" w:rsidP="00A8138F">
      <w:pPr>
        <w:pStyle w:val="TextoNormal"/>
      </w:pPr>
      <w:r>
        <w:t>1º Estimar la demanda presentada por doña Inés González Lobo por vulneración del derecho fundamental de igualdad ante la ley sin discriminación por razón de nacimiento (art. 14 CE) de un hijo menor en una familia monoparental.</w:t>
      </w:r>
    </w:p>
    <w:p w14:paraId="544D8EFC" w14:textId="77777777" w:rsidR="00A8138F" w:rsidRDefault="00A8138F" w:rsidP="00A8138F">
      <w:pPr>
        <w:pStyle w:val="TextoNormal"/>
      </w:pPr>
    </w:p>
    <w:p w14:paraId="2F983814" w14:textId="77777777" w:rsidR="00A8138F" w:rsidRDefault="00A8138F" w:rsidP="00A8138F">
      <w:pPr>
        <w:pStyle w:val="TextoNormal"/>
      </w:pPr>
      <w:r>
        <w:t>2º Declarar la nulidad de las siguientes resoluciones: (i) la resolución del Instituto Nacional de la Seguridad Social de 21 de junio de 2021 y la desestimación por silencio administrativo de la reclamación previa interpuesta frente a ella; (ii) la sentencia núm. 304/2021, de 22 de diciembre, dictada por el Juzgado de lo Social núm. 43 de Madrid en los autos núm. 914-2021; (iii) la sentencia núm. 985/2022, de 2 de noviembre, dictada por la Sección Segunda de la Sala de lo Social del Tribunal Superior de Justicia de Madrid en el recurso de suplicación núm. 775-2022, y (iv) el auto de 24 de mayo de 2023 dictado por la Sala de lo Social del Tribunal Supremo en el recurso de casación para la unificación de doctrina núm. 5723-2022.</w:t>
      </w:r>
    </w:p>
    <w:p w14:paraId="51B3CCAE" w14:textId="77777777" w:rsidR="00A8138F" w:rsidRDefault="00A8138F" w:rsidP="00A8138F">
      <w:pPr>
        <w:pStyle w:val="TextoNormal"/>
      </w:pPr>
    </w:p>
    <w:p w14:paraId="5105686F" w14:textId="5619D58D" w:rsidR="00A8138F" w:rsidRDefault="00A8138F" w:rsidP="00A8138F">
      <w:pPr>
        <w:pStyle w:val="TextoNormal"/>
      </w:pPr>
      <w:r>
        <w:t>3º Retrotraer las actuaciones al momento previo al dictado de las resoluciones administrativas mencionadas en el apartado anterior, para que el Instituto Nacional de la Seguridad Social dicte resolución expresa que resulte respetuosa con el derecho fundamental reconocido a la recurrente, con el alcance fijado en el último párrafo del fundamento jurídico 3 de esta sentencia.</w:t>
      </w:r>
    </w:p>
    <w:p w14:paraId="19B11DCC" w14:textId="77777777" w:rsidR="00A8138F" w:rsidRDefault="00A8138F" w:rsidP="00A8138F">
      <w:pPr>
        <w:pStyle w:val="TextoNormal"/>
      </w:pPr>
    </w:p>
    <w:p w14:paraId="253A6FC7" w14:textId="77777777" w:rsidR="00A8138F" w:rsidRDefault="00A8138F" w:rsidP="00A8138F">
      <w:pPr>
        <w:pStyle w:val="TextoNormal"/>
      </w:pPr>
      <w:r>
        <w:t>Publíquese esta sentencia en el “Boletín Oficial del Estado”.</w:t>
      </w:r>
    </w:p>
    <w:p w14:paraId="7C25AD18" w14:textId="77777777" w:rsidR="00A8138F" w:rsidRDefault="00A8138F" w:rsidP="00A8138F">
      <w:pPr>
        <w:pStyle w:val="TextoNormal"/>
      </w:pPr>
      <w:r>
        <w:t>Dada en Madrid, a trece de enero de dos mil veinticinco.</w:t>
      </w:r>
    </w:p>
    <w:p w14:paraId="41F3150E" w14:textId="257B83D1" w:rsidR="00A8138F" w:rsidRDefault="00A8138F">
      <w:pPr>
        <w:spacing w:after="160" w:line="278" w:lineRule="auto"/>
        <w:rPr>
          <w:rFonts w:ascii="Times New Roman" w:eastAsia="Times New Roman" w:hAnsi="Times New Roman" w:cs="Times New Roman"/>
          <w:sz w:val="24"/>
          <w:szCs w:val="24"/>
          <w:lang w:eastAsia="es-ES"/>
        </w:rPr>
      </w:pPr>
      <w:r>
        <w:br w:type="page"/>
      </w:r>
    </w:p>
    <w:p w14:paraId="6067EBA2" w14:textId="77777777" w:rsidR="00A8138F" w:rsidRDefault="00A8138F" w:rsidP="00A8138F">
      <w:pPr>
        <w:pStyle w:val="TtuloResolucin"/>
      </w:pPr>
      <w:bookmarkStart w:id="7" w:name="SENTENCIA_2025_5"/>
      <w:r>
        <w:lastRenderedPageBreak/>
        <w:t>SENTENCIA 5/2025, de 13 de enero de 2025</w:t>
      </w:r>
    </w:p>
    <w:bookmarkEnd w:id="7"/>
    <w:p w14:paraId="710F3861" w14:textId="77777777" w:rsidR="00A8138F" w:rsidRDefault="00A8138F" w:rsidP="00A8138F">
      <w:pPr>
        <w:pStyle w:val="TtuloResolucin"/>
      </w:pPr>
      <w:r>
        <w:t>Sala Segunda</w:t>
      </w:r>
    </w:p>
    <w:p w14:paraId="27CAD044" w14:textId="77777777" w:rsidR="00A8138F" w:rsidRDefault="00A8138F" w:rsidP="00A8138F">
      <w:pPr>
        <w:pStyle w:val="TtuloBOE"/>
      </w:pPr>
      <w:r>
        <w:t>(BOE núm. 41, de 17 de febrero de 2025)</w:t>
      </w:r>
    </w:p>
    <w:p w14:paraId="7ADBE6CD" w14:textId="77777777" w:rsidR="00A8138F" w:rsidRDefault="00A8138F" w:rsidP="00A8138F">
      <w:pPr>
        <w:pStyle w:val="TextoNormalCentrado"/>
      </w:pPr>
      <w:r>
        <w:t>ECLI:ES:TC:2025:5</w:t>
      </w:r>
    </w:p>
    <w:p w14:paraId="03460C29" w14:textId="314D3AF7" w:rsidR="00A8138F" w:rsidRDefault="00A8138F" w:rsidP="00A8138F">
      <w:pPr>
        <w:pStyle w:val="TextoNormalCentrado"/>
      </w:pPr>
    </w:p>
    <w:p w14:paraId="43A149CC" w14:textId="77777777" w:rsidR="00A8138F" w:rsidRDefault="00A8138F" w:rsidP="00A8138F">
      <w:pPr>
        <w:pStyle w:val="SntesisDescriptiva"/>
      </w:pPr>
      <w:r>
        <w:t>Recurso de amparo 7107-2023. Promovido por doña Silvia Cubero Rodríguez en relación con las resoluciones administrativas y judiciales que desestimaron su petición de revisión y ampliación de la prestación por nacimiento y cuidado de hijo menor, como madre biológica de familia monoparental.</w:t>
      </w:r>
    </w:p>
    <w:p w14:paraId="438862F8" w14:textId="3EF477B6" w:rsidR="00A8138F" w:rsidRDefault="00A8138F" w:rsidP="00A8138F">
      <w:pPr>
        <w:pStyle w:val="SntesisDescriptiva"/>
      </w:pPr>
    </w:p>
    <w:p w14:paraId="43B88F1D"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5E77C38" w14:textId="443516CD" w:rsidR="00A8138F" w:rsidRDefault="00A8138F" w:rsidP="00A8138F">
      <w:pPr>
        <w:pStyle w:val="SntesisAnaltica"/>
      </w:pPr>
    </w:p>
    <w:p w14:paraId="7404DA1B" w14:textId="79302090"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23A7A504" w14:textId="77777777" w:rsidR="00A8138F" w:rsidRDefault="00A8138F" w:rsidP="00A8138F">
      <w:pPr>
        <w:pStyle w:val="Extracto"/>
      </w:pPr>
    </w:p>
    <w:p w14:paraId="4B7E8E6D" w14:textId="77777777" w:rsidR="00A8138F" w:rsidRDefault="00A8138F" w:rsidP="00A8138F">
      <w:pPr>
        <w:pStyle w:val="Extracto"/>
      </w:pPr>
    </w:p>
    <w:p w14:paraId="4CDFAD10"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40FC6E3" w14:textId="73A2F00A" w:rsidR="00A8138F" w:rsidRDefault="00A8138F" w:rsidP="00A8138F">
      <w:pPr>
        <w:pStyle w:val="TextoNormal"/>
      </w:pPr>
    </w:p>
    <w:p w14:paraId="1583D43F" w14:textId="77777777" w:rsidR="00A8138F" w:rsidRDefault="00A8138F" w:rsidP="00A8138F">
      <w:pPr>
        <w:pStyle w:val="TextoNormalCentrado"/>
        <w:keepNext/>
      </w:pPr>
      <w:r>
        <w:t>EN NOMBRE DEL REY</w:t>
      </w:r>
    </w:p>
    <w:p w14:paraId="69CB7629" w14:textId="3D80E952" w:rsidR="00A8138F" w:rsidRDefault="00A8138F" w:rsidP="00A8138F">
      <w:pPr>
        <w:pStyle w:val="TextoNormalCentrado"/>
        <w:keepNext/>
      </w:pPr>
    </w:p>
    <w:p w14:paraId="1F2D0D57" w14:textId="77777777" w:rsidR="00A8138F" w:rsidRDefault="00A8138F" w:rsidP="00A8138F">
      <w:pPr>
        <w:pStyle w:val="TextoNormalCentrado"/>
        <w:keepNext/>
      </w:pPr>
    </w:p>
    <w:p w14:paraId="266BEC58" w14:textId="77777777" w:rsidR="00A8138F" w:rsidRDefault="00A8138F" w:rsidP="00A8138F">
      <w:pPr>
        <w:pStyle w:val="TextoNormal"/>
      </w:pPr>
      <w:r>
        <w:t>la siguiente</w:t>
      </w:r>
    </w:p>
    <w:p w14:paraId="65E9C7E8" w14:textId="54A704B1" w:rsidR="00A8138F" w:rsidRDefault="00A8138F" w:rsidP="00A8138F">
      <w:pPr>
        <w:pStyle w:val="TextoNormal"/>
      </w:pPr>
    </w:p>
    <w:p w14:paraId="3A9A71A7" w14:textId="77777777" w:rsidR="00A8138F" w:rsidRDefault="00A8138F" w:rsidP="00A8138F">
      <w:pPr>
        <w:pStyle w:val="TextoNormalCentrado"/>
        <w:keepNext/>
      </w:pPr>
      <w:r>
        <w:t>SENTENCIA</w:t>
      </w:r>
    </w:p>
    <w:p w14:paraId="3426B846" w14:textId="4C78351D" w:rsidR="00A8138F" w:rsidRDefault="00A8138F" w:rsidP="00A8138F">
      <w:pPr>
        <w:pStyle w:val="TextoNormalCentrado"/>
        <w:keepNext/>
      </w:pPr>
    </w:p>
    <w:p w14:paraId="737165E4" w14:textId="77777777" w:rsidR="00A8138F" w:rsidRDefault="00A8138F" w:rsidP="00A8138F">
      <w:pPr>
        <w:pStyle w:val="TextoNormal"/>
      </w:pPr>
      <w:r>
        <w:t>En el recurso de amparo núm. 7107-2023, promovido por doña Silvia Cubero Rodríguez contra la desestimación presunta por parte del Instituto Nacional de la Seguridad Social de la petición de revisión y ampliación de la prestación por nacimiento y cuidado de hijo menor, como madre biológica de familia monoparental; la sentencia de 25 de mayo de 2022 del Juzgado de lo Social núm. 35 de Madrid (autos núm. 1174-2021); la sentencia de 15 de febrero de 2023 de la Sala de lo Social del Tribunal Superior de Justicia de Madrid (recurso de suplicación núm. 1145-2022) y el auto de 4 de octubre de 2023 de la Sala de lo Social del Tribunal Supremo (recurso de casación para la unificación de doctrina núm. 1495-2023). Han intervenido el letrado de la Administración de la Seguridad Social y el Ministerio Fiscal. Ha sido ponente el magistrado don Enrique Arnaldo Alcubilla.</w:t>
      </w:r>
    </w:p>
    <w:p w14:paraId="2064C6AA" w14:textId="307AD606" w:rsidR="00A8138F" w:rsidRDefault="00A8138F" w:rsidP="00A8138F">
      <w:pPr>
        <w:pStyle w:val="TextoNormal"/>
      </w:pPr>
    </w:p>
    <w:p w14:paraId="4CCBB500" w14:textId="77777777" w:rsidR="00A8138F" w:rsidRDefault="00A8138F" w:rsidP="00A8138F">
      <w:pPr>
        <w:pStyle w:val="TextoNormalNegritaCentrado"/>
        <w:keepNext/>
      </w:pPr>
      <w:r>
        <w:lastRenderedPageBreak/>
        <w:t>I. Antecedentes</w:t>
      </w:r>
    </w:p>
    <w:p w14:paraId="6E814EF6" w14:textId="71BF23C2" w:rsidR="00A8138F" w:rsidRDefault="00A8138F" w:rsidP="00A8138F">
      <w:pPr>
        <w:pStyle w:val="TextoNormalNegritaCentrado"/>
        <w:keepNext/>
      </w:pPr>
    </w:p>
    <w:p w14:paraId="0B7D161E" w14:textId="45043284" w:rsidR="00A8138F" w:rsidRDefault="00A8138F" w:rsidP="00A8138F">
      <w:pPr>
        <w:pStyle w:val="TextoNormal"/>
      </w:pPr>
      <w:r w:rsidRPr="00A8138F">
        <w:rPr>
          <w:rStyle w:val="NumeroAFNegritaCaracter"/>
        </w:rPr>
        <w:t>1</w:t>
      </w:r>
      <w:r>
        <w:t>. Mediante escrito registrado en este tribunal el 14 de noviembre de 2023, la procuradora de los tribunales doña María Isabel Torres Ruiz, en nombre y representación de doña Silvia Cubero Rodríguez, asistida de la abogada doña Susana Fuentes Gómez, interpuso recurso de amparo contra las resoluciones a las que se ha hecho referencia en el encabezamiento.</w:t>
      </w:r>
    </w:p>
    <w:p w14:paraId="62C55793" w14:textId="77777777" w:rsidR="00A8138F" w:rsidRDefault="00A8138F" w:rsidP="00A8138F">
      <w:pPr>
        <w:pStyle w:val="TextoNormal"/>
      </w:pPr>
    </w:p>
    <w:p w14:paraId="3082D196"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4F02B035" w14:textId="77777777" w:rsidR="00A8138F" w:rsidRDefault="00A8138F" w:rsidP="00A8138F">
      <w:pPr>
        <w:pStyle w:val="TextoNormal"/>
      </w:pPr>
    </w:p>
    <w:p w14:paraId="3FC57326" w14:textId="77777777" w:rsidR="00A8138F" w:rsidRDefault="00A8138F" w:rsidP="00A8138F">
      <w:pPr>
        <w:pStyle w:val="TextoNormal"/>
      </w:pPr>
      <w:r>
        <w:t>a) Doña Silvia Cubero es madre biológica de un niño, nacido el 2 de marzo de 2021, con quien forma una familia monoparental. Por resolución de 24 de marzo de 2021 del Instituto Nacional de la Seguridad Social (en adelante INSS) se le reconoció el derecho a la prestación por maternidad durante dieciséis semanas. El 11 de mayo de 2021 solicitó la revisión de la prestación ya obtenida, reclamando su ampliación en dieciséis semanas más, es decir, añadiendo al período ya reconocido uno idéntico al que hubiera correspondido al segundo progenitor en el supuesto de una familia biparental. La solicitud de revisión y ampliación de la prestación no fue resuelta por el INSS, lo que dio lugar a que la demandante formulase reclamación administrativa, que tampoco fue resuelta, por lo que la entendió denegada por silencio administrativo.</w:t>
      </w:r>
    </w:p>
    <w:p w14:paraId="53F9F210" w14:textId="77777777" w:rsidR="00A8138F" w:rsidRDefault="00A8138F" w:rsidP="00A8138F">
      <w:pPr>
        <w:pStyle w:val="TextoNormal"/>
      </w:pPr>
    </w:p>
    <w:p w14:paraId="71CE1539" w14:textId="77777777" w:rsidR="00A8138F" w:rsidRDefault="00A8138F" w:rsidP="00A8138F">
      <w:pPr>
        <w:pStyle w:val="TextoNormal"/>
      </w:pPr>
      <w:r>
        <w:t>b) Frente a la desestimación presunta de su reclamación de revisión de la prestación doña Silvia Cubero formuló demanda ante la jurisdicción social, que fue desestimada por sentencia de 25 de mayo de 2022 del Juzgado de lo Social núm. 35 de Madrid (autos núm. 1174-2021).</w:t>
      </w:r>
    </w:p>
    <w:p w14:paraId="4EAC0887" w14:textId="77777777" w:rsidR="00A8138F" w:rsidRDefault="00A8138F" w:rsidP="00A8138F">
      <w:pPr>
        <w:pStyle w:val="TextoNormal"/>
      </w:pPr>
    </w:p>
    <w:p w14:paraId="73C78F0E" w14:textId="77777777" w:rsidR="00A8138F" w:rsidRDefault="00A8138F" w:rsidP="00A8138F">
      <w:pPr>
        <w:pStyle w:val="TextoNormal"/>
      </w:pPr>
      <w:r>
        <w:t>c) La demandante interpuso contra dicha sentencia recurso de suplicación, que fue desestimado por sentencia de 15 de febrero de 2023 de la Sala de lo Social del Tribunal Superior de Justicia de Madrid (recurso de suplicación núm. 1145-2022, ECLI:ES:TSJM:2023:1355).</w:t>
      </w:r>
    </w:p>
    <w:p w14:paraId="18D7584A" w14:textId="77777777" w:rsidR="00A8138F" w:rsidRDefault="00A8138F" w:rsidP="00A8138F">
      <w:pPr>
        <w:pStyle w:val="TextoNormal"/>
      </w:pPr>
    </w:p>
    <w:p w14:paraId="4E7903FC" w14:textId="42CACB1A" w:rsidR="00A8138F" w:rsidRDefault="00A8138F" w:rsidP="00A8138F">
      <w:pPr>
        <w:pStyle w:val="TextoNormal"/>
      </w:pPr>
      <w:r>
        <w:t>d) Contra la sentencia de suplicación la demandante interpuso recurso de casación para la unificación de doctrina (núm. 1495-2023), que fue inadmitido mediante auto de 4 de octubre de 2023 de la Sala de lo Social del Tribunal Supremo (ECLI:ES:TS:2023:13509A). Se razona en este auto que la sentencia del Tribunal Superior de Justicia de Madrid se adecua a la sentencia del Pleno de lo Social del Tribunal Supremo de 2 de marzo de 2023, reiterada en otras posteriores, que sostiene que la función de jueces y tribunales es la aplicación e interpretación de la norma y no la creación del derecho, y que lo que se pretende por la recurrente le corresponde decidirlo al legislador, sin que la actuación de este pueda ser suplida por los órganos judiciales, no encontrándose entre las funciones de estos modificar el régimen prestacional de la Seguridad Social, ni las causas de suspensión del contrato de trabajo.</w:t>
      </w:r>
    </w:p>
    <w:p w14:paraId="0BEA1953" w14:textId="77777777" w:rsidR="00A8138F" w:rsidRDefault="00A8138F" w:rsidP="00A8138F">
      <w:pPr>
        <w:pStyle w:val="TextoNormal"/>
      </w:pPr>
    </w:p>
    <w:p w14:paraId="0FEED909" w14:textId="77777777" w:rsidR="00A8138F" w:rsidRDefault="00A8138F" w:rsidP="00A8138F">
      <w:pPr>
        <w:pStyle w:val="TextoNormal"/>
      </w:pPr>
      <w:r w:rsidRPr="00A8138F">
        <w:rPr>
          <w:rStyle w:val="NumeroAFNegritaCaracter"/>
        </w:rPr>
        <w:lastRenderedPageBreak/>
        <w:t>3</w:t>
      </w:r>
      <w:r>
        <w:t>. La demanda de amparo se interpone contra las resoluciones administrativas y judiciales referenciadas, por entender que han incurrido en vulneración del derecho garantizado en el art. 14 CE, por dos motivos.</w:t>
      </w:r>
    </w:p>
    <w:p w14:paraId="468C4044" w14:textId="77777777" w:rsidR="00A8138F" w:rsidRDefault="00A8138F" w:rsidP="00A8138F">
      <w:pPr>
        <w:pStyle w:val="TextoNormal"/>
      </w:pPr>
    </w:p>
    <w:p w14:paraId="549A5A38" w14:textId="77777777" w:rsidR="00A8138F" w:rsidRDefault="00A8138F" w:rsidP="00A8138F">
      <w:pPr>
        <w:pStyle w:val="TextoNormal"/>
      </w:pPr>
      <w:r>
        <w:t>En primer lugar, se afirma que, como consecuencia de la aplicación literal por las resoluciones impugnadas en amparo de lo dispuesto en el art. 48.4 del texto refundido de la Ley del estatuto de los rrabajadores (en adelante, LET), en relación con el art. 177 del texto refundido de la Ley general de la Seguridad Social (en adelante, LGSS), en la redacción dada por el Real Decreto-ley 6/2019, de 1 de marzo, se ha producido una discriminación indirecta por razón de sexo, debido a que, en la mayoría de las familias monoparentales, el progenitor único es una mujer, que resulta perjudicada en comparación con las familias biparentales, en cuanto a la duración de las prestaciones por nacimiento de un hijo. Las resoluciones impugnadas deberían haber realizado una interpretación integradora de los preceptos aplicables que salvase la omisión del legislador, para evitar que se produjera ese trato discriminatorio hacia la recurrente.</w:t>
      </w:r>
    </w:p>
    <w:p w14:paraId="2317906D" w14:textId="77777777" w:rsidR="00A8138F" w:rsidRDefault="00A8138F" w:rsidP="00A8138F">
      <w:pPr>
        <w:pStyle w:val="TextoNormal"/>
      </w:pPr>
    </w:p>
    <w:p w14:paraId="02A4A238" w14:textId="296B40ED" w:rsidR="00A8138F" w:rsidRDefault="00A8138F" w:rsidP="00A8138F">
      <w:pPr>
        <w:pStyle w:val="TextoNormal"/>
      </w:pPr>
      <w:r>
        <w:t>Asimismo, se aduce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14:paraId="1A511108" w14:textId="77777777" w:rsidR="00A8138F" w:rsidRDefault="00A8138F" w:rsidP="00A8138F">
      <w:pPr>
        <w:pStyle w:val="TextoNormal"/>
      </w:pPr>
    </w:p>
    <w:p w14:paraId="30CA506C" w14:textId="47124316" w:rsidR="00A8138F" w:rsidRDefault="00A8138F" w:rsidP="00A8138F">
      <w:pPr>
        <w:pStyle w:val="TextoNormal"/>
      </w:pPr>
      <w:r w:rsidRPr="00A8138F">
        <w:rPr>
          <w:rStyle w:val="NumeroAFNegritaCaracter"/>
        </w:rPr>
        <w:t>4</w:t>
      </w:r>
      <w:r>
        <w:t>. Mediante providencia de 9 de septiembre de 2024, la Sección Cuarta del Tribunal Constitucional acordó admitir a trámite el presente recurso de amparo, apreciando que concurre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FJ 2, letra c)]. Asimismo, constando ya en el Tribunal las actuaciones del procedimiento seguido ante el Juzgado de lo Social núm. 35 de Madrid (autos núm. 1174-2021), se acordó recabar de la Sala de lo Social del Tribunal Superior de Justicia de Madrid y de Sala de lo Social del Tribunal Supremo la remisión de testimonio de las actuaciones respectivas (recurso de suplicación núm. 1145-2022 y recurso de casación para la unificación de doctrina núm. 1495-2023), y se requirió al juzgado para que procediera a emplazar a quienes fueron parte en el procedimiento, para que, en el plazo de diez días, si lo desearan, pudieran comparecer en este proceso constitucional.</w:t>
      </w:r>
    </w:p>
    <w:p w14:paraId="1A0E17CC" w14:textId="77777777" w:rsidR="00A8138F" w:rsidRDefault="00A8138F" w:rsidP="00A8138F">
      <w:pPr>
        <w:pStyle w:val="TextoNormal"/>
      </w:pPr>
    </w:p>
    <w:p w14:paraId="6C7D5CA4" w14:textId="7ABE974E" w:rsidR="00A8138F" w:rsidRDefault="00A8138F" w:rsidP="00A8138F">
      <w:pPr>
        <w:pStyle w:val="TextoNormal"/>
      </w:pPr>
      <w:r w:rsidRPr="00A8138F">
        <w:rPr>
          <w:rStyle w:val="NumeroAFNegritaCaracter"/>
        </w:rPr>
        <w:t>5</w:t>
      </w:r>
      <w:r>
        <w:t>. Solicitado por el letrado de la Administración de la Seguridad Social su personación en nombre del INSS y de la Tesorería General de la Seguridad Social, mediante diligencia de ordenación del secretario de justicia de la Sala Segunda de este tribunal de 11 de noviembre de 2024 se acordó tenerle por personado y parte y dar vista de las actuaciones recibidas a las partes personadas y al Ministerio Fiscal, por plazo común de veinte días, a fin de presentar las alegaciones que estimen pertinentes, conforme determina el art. 52.1 LOTC.</w:t>
      </w:r>
    </w:p>
    <w:p w14:paraId="5BCBF9B5" w14:textId="77777777" w:rsidR="00A8138F" w:rsidRDefault="00A8138F" w:rsidP="00A8138F">
      <w:pPr>
        <w:pStyle w:val="TextoNormal"/>
      </w:pPr>
    </w:p>
    <w:p w14:paraId="57E2972B" w14:textId="40DD1798" w:rsidR="00A8138F" w:rsidRDefault="00A8138F" w:rsidP="00A8138F">
      <w:pPr>
        <w:pStyle w:val="TextoNormal"/>
      </w:pPr>
      <w:r w:rsidRPr="00A8138F">
        <w:rPr>
          <w:rStyle w:val="NumeroAFNegritaCaracter"/>
        </w:rPr>
        <w:t>6</w:t>
      </w:r>
      <w:r>
        <w:t>. El 28 de noviembre de 2024 el letrado de la Administración de la Seguridad Social presentó sus alegaciones, solicitando que, en el supuesto de estimación del recurso de amparo, se dicte sentencia conforme con lo señalado en la reciente STC 140/2024, de 6 de noviembre, dictada en la cuestión de inconstitucionalidad núm. 6694-2023.</w:t>
      </w:r>
    </w:p>
    <w:p w14:paraId="0EA43DB7" w14:textId="77777777" w:rsidR="00A8138F" w:rsidRDefault="00A8138F" w:rsidP="00A8138F">
      <w:pPr>
        <w:pStyle w:val="TextoNormal"/>
      </w:pPr>
    </w:p>
    <w:p w14:paraId="30B7AC8A" w14:textId="57055D86" w:rsidR="00A8138F" w:rsidRDefault="00A8138F" w:rsidP="00A8138F">
      <w:pPr>
        <w:pStyle w:val="TextoNormal"/>
      </w:pPr>
      <w:r w:rsidRPr="00A8138F">
        <w:rPr>
          <w:rStyle w:val="NumeroAFNegritaCaracter"/>
        </w:rPr>
        <w:lastRenderedPageBreak/>
        <w:t>7</w:t>
      </w:r>
      <w:r>
        <w:t>. El 10 de diciembre de 2024, la representación procesal de la demandante presentó su escrito de alegaciones, poniendo de manifiesto que debe proyectarse al presente asunto lo resuelto en la STC 140/2024, de 6 de noviembre, que estima la cuestión de inconstitucionalidad núm. 6694-2023 y precisa que, en tanto el legislador no se pronuncie al respecto, en las familias monoparentales el permiso a que hacen referencia los arts. 48.4 LET y 177 LGSS ha de ser interpretado en el sentido de adicionarse al permiso para la madre biológica (dieciseis semanas), el previsto para progenitor distinto (diez semanas, al excluirse las seis primeras, que necesariamente deben disfrutarse de forma ininterrumpida e inmediatamente posterior al parto).</w:t>
      </w:r>
    </w:p>
    <w:p w14:paraId="07E23D1E" w14:textId="77777777" w:rsidR="00A8138F" w:rsidRDefault="00A8138F" w:rsidP="00A8138F">
      <w:pPr>
        <w:pStyle w:val="TextoNormal"/>
      </w:pPr>
    </w:p>
    <w:p w14:paraId="3971180A" w14:textId="42B3FB85" w:rsidR="00A8138F" w:rsidRDefault="00A8138F" w:rsidP="00A8138F">
      <w:pPr>
        <w:pStyle w:val="TextoNormal"/>
      </w:pPr>
      <w:r w:rsidRPr="00A8138F">
        <w:rPr>
          <w:rStyle w:val="NumeroAFNegritaCaracter"/>
        </w:rPr>
        <w:t>8</w:t>
      </w:r>
      <w:r>
        <w:t>. El 11 de diciembre de 2024, el Ministerio Fiscal interesó la estimación del recurso de amparo, en aplicación de lo resuelto en la STC 140/2024, de 6 de noviembre.</w:t>
      </w:r>
    </w:p>
    <w:p w14:paraId="55CC67EA" w14:textId="77777777" w:rsidR="00A8138F" w:rsidRDefault="00A8138F" w:rsidP="00A8138F">
      <w:pPr>
        <w:pStyle w:val="TextoNormal"/>
      </w:pPr>
    </w:p>
    <w:p w14:paraId="35E7C25E" w14:textId="17186A71" w:rsidR="00A8138F" w:rsidRDefault="00A8138F" w:rsidP="00A8138F">
      <w:pPr>
        <w:pStyle w:val="TextoNormal"/>
      </w:pPr>
      <w:r w:rsidRPr="00A8138F">
        <w:rPr>
          <w:rStyle w:val="NumeroAFNegritaCaracter"/>
        </w:rPr>
        <w:t>9</w:t>
      </w:r>
      <w:r>
        <w:t>. Mediante providencia de 9 de enero de 2025 se señaló para deliberación y votación de la presente sentencia el día 13 del mismo mes y año.</w:t>
      </w:r>
    </w:p>
    <w:p w14:paraId="18A908DD" w14:textId="77777777" w:rsidR="00A8138F" w:rsidRDefault="00A8138F" w:rsidP="00A8138F">
      <w:pPr>
        <w:pStyle w:val="TextoNormal"/>
      </w:pPr>
    </w:p>
    <w:p w14:paraId="524072E1" w14:textId="77777777" w:rsidR="00A8138F" w:rsidRDefault="00A8138F" w:rsidP="00A8138F">
      <w:pPr>
        <w:pStyle w:val="TextoNormalNegritaCentrado"/>
        <w:keepNext/>
      </w:pPr>
      <w:r>
        <w:t>II. Fundamentos jurídicos</w:t>
      </w:r>
    </w:p>
    <w:p w14:paraId="6BCCAD76" w14:textId="262771AB" w:rsidR="00A8138F" w:rsidRDefault="00A8138F" w:rsidP="00A8138F">
      <w:pPr>
        <w:pStyle w:val="TextoNormalNegritaCentrado"/>
        <w:keepNext/>
      </w:pPr>
    </w:p>
    <w:p w14:paraId="6DDCECDF" w14:textId="77777777" w:rsidR="00A8138F" w:rsidRDefault="00A8138F" w:rsidP="00A8138F">
      <w:pPr>
        <w:pStyle w:val="TextoNormal"/>
      </w:pPr>
      <w:r w:rsidRPr="00A8138F">
        <w:rPr>
          <w:rStyle w:val="TextoNormalNegritaCaracter"/>
        </w:rPr>
        <w:t xml:space="preserve">Único. </w:t>
      </w:r>
      <w:r w:rsidRPr="00A8138F">
        <w:rPr>
          <w:i/>
        </w:rPr>
        <w:t>Aplicación de la doctrina sentada en la STC 140/2024, de 6 de noviembre</w:t>
      </w:r>
    </w:p>
    <w:p w14:paraId="4EC4A351" w14:textId="77777777" w:rsidR="00A8138F" w:rsidRDefault="00A8138F" w:rsidP="00A8138F">
      <w:pPr>
        <w:pStyle w:val="TextoNormal"/>
      </w:pPr>
    </w:p>
    <w:p w14:paraId="0B904246" w14:textId="77777777" w:rsidR="00A8138F" w:rsidRDefault="00A8138F" w:rsidP="00A8138F">
      <w:pPr>
        <w:pStyle w:val="TextoNormal"/>
      </w:pPr>
      <w:r>
        <w:t>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LET, en relación con el art. 177 LGSS, en la redacción dada a los mismos por el Real Decreto-ley 6/2019, de 1 de marzo, de medidas urgentes para garantía de la igualdad de trato y de oportunidades entre mujeres y hombres en el empleo y la ocupación, en relación el permiso y la correspondiente prestación económica por nacimiento y cuidado de menor previstos.</w:t>
      </w:r>
    </w:p>
    <w:p w14:paraId="3480B190" w14:textId="77777777" w:rsidR="00A8138F" w:rsidRDefault="00A8138F" w:rsidP="00A8138F">
      <w:pPr>
        <w:pStyle w:val="TextoNormal"/>
      </w:pPr>
    </w:p>
    <w:p w14:paraId="36821A52" w14:textId="77777777" w:rsidR="00A8138F" w:rsidRDefault="00A8138F" w:rsidP="00A8138F">
      <w:pPr>
        <w:pStyle w:val="TextoNormal"/>
      </w:pPr>
      <w:r>
        <w:t>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C52C45C" w14:textId="77777777" w:rsidR="00A8138F" w:rsidRDefault="00A8138F" w:rsidP="00A8138F">
      <w:pPr>
        <w:pStyle w:val="TextoNormal"/>
      </w:pPr>
    </w:p>
    <w:p w14:paraId="51DF9D54" w14:textId="77777777" w:rsidR="00A8138F" w:rsidRDefault="00A8138F" w:rsidP="00A8138F">
      <w:pPr>
        <w:pStyle w:val="TextoNormal"/>
      </w:pPr>
      <w:r>
        <w:t xml:space="preserve">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w:t>
      </w:r>
      <w:r>
        <w:lastRenderedPageBreak/>
        <w:t>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CB866A1" w14:textId="77777777" w:rsidR="00A8138F" w:rsidRDefault="00A8138F" w:rsidP="00A8138F">
      <w:pPr>
        <w:pStyle w:val="TextoNormal"/>
      </w:pPr>
    </w:p>
    <w:p w14:paraId="229CD5D7" w14:textId="77777777" w:rsidR="00A8138F" w:rsidRDefault="00A8138F" w:rsidP="00A8138F">
      <w:pPr>
        <w:pStyle w:val="TextoNormal"/>
      </w:pPr>
      <w:r>
        <w:t xml:space="preserve">Los arts. 48.4 LET y 177 LGSS, al no prever la posibilidad de que “las madres biológicas de familias monoparentales, trabajadoras por cuenta ajena, puedan ampliar su permiso por nacimiento y cuidado de hijo más allá de dieciseis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B9769CE" w14:textId="77777777" w:rsidR="00A8138F" w:rsidRDefault="00A8138F" w:rsidP="00A8138F">
      <w:pPr>
        <w:pStyle w:val="TextoNormal"/>
      </w:pPr>
    </w:p>
    <w:p w14:paraId="36AE00A5" w14:textId="66DDC1A3" w:rsidR="00A8138F" w:rsidRDefault="00A8138F" w:rsidP="00A8138F">
      <w:pPr>
        <w:pStyle w:val="TextoNormal"/>
      </w:pPr>
      <w:r>
        <w:t>En consecuencia, debe estimarse la demanda y otorgar el amparo solicitado, con nulidad de las resoluciones impugnadas. Asimismo, como concretamos en la referida STC 140/2024, FJ 7, en tanto el legislador no lleve a cabo la pertinente reforma normativa, en las familias monoparentales el permiso a que hace referencia el art. 48.4 LET (y en relación con él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7C162F3C" w14:textId="77777777" w:rsidR="00A8138F" w:rsidRDefault="00A8138F" w:rsidP="00A8138F">
      <w:pPr>
        <w:pStyle w:val="TextoNormal"/>
      </w:pPr>
    </w:p>
    <w:p w14:paraId="14418481" w14:textId="77777777" w:rsidR="00A8138F" w:rsidRDefault="00A8138F" w:rsidP="00A8138F">
      <w:pPr>
        <w:pStyle w:val="TextoNormalCentrado"/>
        <w:keepNext/>
      </w:pPr>
      <w:r>
        <w:t>FALLO</w:t>
      </w:r>
    </w:p>
    <w:p w14:paraId="156BB849" w14:textId="6089745A" w:rsidR="00A8138F" w:rsidRDefault="00A8138F" w:rsidP="00A8138F">
      <w:pPr>
        <w:pStyle w:val="TextoNormalCentrado"/>
        <w:keepNext/>
      </w:pPr>
    </w:p>
    <w:p w14:paraId="0F028E10"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Silvia Cubero Rodríguez y, en su virtud:</w:t>
      </w:r>
    </w:p>
    <w:p w14:paraId="4A21A710" w14:textId="77777777" w:rsidR="00A8138F" w:rsidRDefault="00A8138F" w:rsidP="00A8138F">
      <w:pPr>
        <w:pStyle w:val="TextoNormal"/>
      </w:pPr>
    </w:p>
    <w:p w14:paraId="7315BA29" w14:textId="77777777" w:rsidR="00A8138F" w:rsidRDefault="00A8138F" w:rsidP="00A8138F">
      <w:pPr>
        <w:pStyle w:val="TextoNormal"/>
      </w:pPr>
      <w:r>
        <w:t>1º Declarar vulnerado su derecho fundamental a la igualdad ante la ley, sin que pueda prevalecer discriminación alguna (art. 14 CE).</w:t>
      </w:r>
    </w:p>
    <w:p w14:paraId="71BC503E" w14:textId="77777777" w:rsidR="00A8138F" w:rsidRDefault="00A8138F" w:rsidP="00A8138F">
      <w:pPr>
        <w:pStyle w:val="TextoNormal"/>
      </w:pPr>
    </w:p>
    <w:p w14:paraId="051FE4F6" w14:textId="77777777" w:rsidR="00A8138F" w:rsidRDefault="00A8138F" w:rsidP="00A8138F">
      <w:pPr>
        <w:pStyle w:val="TextoNormal"/>
      </w:pPr>
      <w:r>
        <w:t>2º Restablecerla en su derecho y, en consecuencia, declarar la nulidad de la sentencia de 25 de mayo de 2022 dictada por el Juzgado de lo Social núm. 35 de Madrid en los autos núm. 1174-2021; de la sentencia de 15 de febrero de 2023 dictada por la Sala de lo Social del Tribunal Superior de Justicia de Madrid en el recurso de suplicación núm. 1145-2022; y del auto de 4 de octubre de 2023 de la Sala de lo Social del Tribunal Supremo, que inadmite el recurso de casación para la unificación de doctrina núm. 1495-2023, presentado contra la anterior sentencia.</w:t>
      </w:r>
    </w:p>
    <w:p w14:paraId="0745491E" w14:textId="77777777" w:rsidR="00A8138F" w:rsidRDefault="00A8138F" w:rsidP="00A8138F">
      <w:pPr>
        <w:pStyle w:val="TextoNormal"/>
      </w:pPr>
    </w:p>
    <w:p w14:paraId="61465BB2" w14:textId="17585F2A" w:rsidR="00A8138F" w:rsidRDefault="00A8138F" w:rsidP="00A8138F">
      <w:pPr>
        <w:pStyle w:val="TextoNormal"/>
      </w:pPr>
      <w:r>
        <w:t xml:space="preserve">3º Retrotraer las actuaciones al momento inmediatamente anterior a resolver la reclamación administrativa de revisión de la prestación reconocida a la demandante, a fin de que, </w:t>
      </w:r>
      <w:r>
        <w:lastRenderedPageBreak/>
        <w:t>por el Instituto Nacional de la Seguridad Social, en los términos expuestos en el último párrafo del fundamento jurídico único de la presente sentencia, se dicte una resolución expresa respetuosa con el derecho fundamental vulnerado.</w:t>
      </w:r>
    </w:p>
    <w:p w14:paraId="387C419F" w14:textId="77777777" w:rsidR="00A8138F" w:rsidRDefault="00A8138F" w:rsidP="00A8138F">
      <w:pPr>
        <w:pStyle w:val="TextoNormal"/>
      </w:pPr>
    </w:p>
    <w:p w14:paraId="1EE859CB" w14:textId="77777777" w:rsidR="00A8138F" w:rsidRDefault="00A8138F" w:rsidP="00A8138F">
      <w:pPr>
        <w:pStyle w:val="TextoNormal"/>
      </w:pPr>
      <w:r>
        <w:t>Publíquese esta sentencia en el “Boletín Oficial del Estado”.</w:t>
      </w:r>
    </w:p>
    <w:p w14:paraId="151DA4A6" w14:textId="77777777" w:rsidR="00A8138F" w:rsidRDefault="00A8138F" w:rsidP="00A8138F">
      <w:pPr>
        <w:pStyle w:val="TextoNormal"/>
      </w:pPr>
      <w:r>
        <w:t>Dada en Madrid, a trece de enero de dos mil veinticinco.</w:t>
      </w:r>
    </w:p>
    <w:p w14:paraId="610DB205" w14:textId="65735D0E" w:rsidR="00A8138F" w:rsidRDefault="00A8138F">
      <w:pPr>
        <w:spacing w:after="160" w:line="278" w:lineRule="auto"/>
        <w:rPr>
          <w:rFonts w:ascii="Times New Roman" w:eastAsia="Times New Roman" w:hAnsi="Times New Roman" w:cs="Times New Roman"/>
          <w:sz w:val="24"/>
          <w:szCs w:val="24"/>
          <w:lang w:eastAsia="es-ES"/>
        </w:rPr>
      </w:pPr>
      <w:r>
        <w:br w:type="page"/>
      </w:r>
    </w:p>
    <w:p w14:paraId="5FCF029E" w14:textId="77777777" w:rsidR="00A8138F" w:rsidRDefault="00A8138F" w:rsidP="00A8138F">
      <w:pPr>
        <w:pStyle w:val="TtuloResolucin"/>
      </w:pPr>
      <w:bookmarkStart w:id="8" w:name="SENTENCIA_2025_6"/>
      <w:r>
        <w:lastRenderedPageBreak/>
        <w:t>SENTENCIA 6/2025, de 13 de enero de 2025</w:t>
      </w:r>
    </w:p>
    <w:bookmarkEnd w:id="8"/>
    <w:p w14:paraId="60078F1E" w14:textId="77777777" w:rsidR="00A8138F" w:rsidRDefault="00A8138F" w:rsidP="00A8138F">
      <w:pPr>
        <w:pStyle w:val="TtuloResolucin"/>
      </w:pPr>
      <w:r>
        <w:t>Sala Primera</w:t>
      </w:r>
    </w:p>
    <w:p w14:paraId="7726012F" w14:textId="77777777" w:rsidR="00A8138F" w:rsidRDefault="00A8138F" w:rsidP="00A8138F">
      <w:pPr>
        <w:pStyle w:val="TtuloBOE"/>
      </w:pPr>
      <w:r>
        <w:t>(BOE núm. 41, de 17 de febrero de 2025)</w:t>
      </w:r>
    </w:p>
    <w:p w14:paraId="01931665" w14:textId="77777777" w:rsidR="00A8138F" w:rsidRDefault="00A8138F" w:rsidP="00A8138F">
      <w:pPr>
        <w:pStyle w:val="TextoNormalCentrado"/>
      </w:pPr>
      <w:r>
        <w:t>ECLI:ES:TC:2025:6</w:t>
      </w:r>
    </w:p>
    <w:p w14:paraId="433C78A5" w14:textId="01ED2437" w:rsidR="00A8138F" w:rsidRDefault="00A8138F" w:rsidP="00A8138F">
      <w:pPr>
        <w:pStyle w:val="TextoNormalCentrado"/>
      </w:pPr>
    </w:p>
    <w:p w14:paraId="5F7173D7" w14:textId="77777777" w:rsidR="00A8138F" w:rsidRDefault="00A8138F" w:rsidP="00A8138F">
      <w:pPr>
        <w:pStyle w:val="SntesisDescriptiva"/>
      </w:pPr>
      <w:r>
        <w:t>Recurso de amparo 644-2024. Promovido por doña Eva Ordax Cano en relación con las resoluciones administrativas y judiciales que desestimaron su petición de revisión y ampliación de la prestación por nacimiento y cuidado de hijo menor, como madre biológica de familia monoparental.</w:t>
      </w:r>
    </w:p>
    <w:p w14:paraId="017F964C" w14:textId="4C25C132" w:rsidR="00A8138F" w:rsidRDefault="00A8138F" w:rsidP="00A8138F">
      <w:pPr>
        <w:pStyle w:val="SntesisDescriptiva"/>
      </w:pPr>
    </w:p>
    <w:p w14:paraId="51DCBD2D" w14:textId="77777777" w:rsidR="00A8138F" w:rsidRDefault="00A8138F" w:rsidP="00A8138F">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2450932" w14:textId="2A88817F" w:rsidR="00A8138F" w:rsidRDefault="00A8138F" w:rsidP="00A8138F">
      <w:pPr>
        <w:pStyle w:val="SntesisAnaltica"/>
      </w:pPr>
    </w:p>
    <w:p w14:paraId="738E9DF1" w14:textId="414E14B2"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3].</w:t>
      </w:r>
    </w:p>
    <w:p w14:paraId="2D888781" w14:textId="77777777" w:rsidR="00A8138F" w:rsidRDefault="00A8138F" w:rsidP="00A8138F">
      <w:pPr>
        <w:pStyle w:val="Extracto"/>
      </w:pPr>
    </w:p>
    <w:p w14:paraId="7C8D397B" w14:textId="77777777" w:rsidR="00A8138F" w:rsidRDefault="00A8138F" w:rsidP="00A8138F">
      <w:pPr>
        <w:pStyle w:val="Extracto"/>
      </w:pPr>
    </w:p>
    <w:p w14:paraId="1498F687"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3312E22A" w14:textId="6EBAF013" w:rsidR="00A8138F" w:rsidRDefault="00A8138F" w:rsidP="00A8138F">
      <w:pPr>
        <w:pStyle w:val="TextoNormal"/>
      </w:pPr>
    </w:p>
    <w:p w14:paraId="3FC46260" w14:textId="77777777" w:rsidR="00A8138F" w:rsidRDefault="00A8138F" w:rsidP="00A8138F">
      <w:pPr>
        <w:pStyle w:val="TextoNormalCentrado"/>
        <w:keepNext/>
      </w:pPr>
      <w:r>
        <w:t>EN NOMBRE DEL REY</w:t>
      </w:r>
    </w:p>
    <w:p w14:paraId="544A4782" w14:textId="40A61D72" w:rsidR="00A8138F" w:rsidRDefault="00A8138F" w:rsidP="00A8138F">
      <w:pPr>
        <w:pStyle w:val="TextoNormalCentrado"/>
        <w:keepNext/>
      </w:pPr>
    </w:p>
    <w:p w14:paraId="290D2CD6" w14:textId="77777777" w:rsidR="00A8138F" w:rsidRDefault="00A8138F" w:rsidP="00A8138F">
      <w:pPr>
        <w:pStyle w:val="TextoNormalCentrado"/>
        <w:keepNext/>
      </w:pPr>
    </w:p>
    <w:p w14:paraId="6860CD48" w14:textId="77777777" w:rsidR="00A8138F" w:rsidRDefault="00A8138F" w:rsidP="00A8138F">
      <w:pPr>
        <w:pStyle w:val="TextoNormal"/>
      </w:pPr>
      <w:r>
        <w:t>la siguiente</w:t>
      </w:r>
    </w:p>
    <w:p w14:paraId="6D1DB9C4" w14:textId="286C936F" w:rsidR="00A8138F" w:rsidRDefault="00A8138F" w:rsidP="00A8138F">
      <w:pPr>
        <w:pStyle w:val="TextoNormal"/>
      </w:pPr>
    </w:p>
    <w:p w14:paraId="2F024140" w14:textId="77777777" w:rsidR="00A8138F" w:rsidRDefault="00A8138F" w:rsidP="00A8138F">
      <w:pPr>
        <w:pStyle w:val="TextoNormalCentrado"/>
        <w:keepNext/>
      </w:pPr>
      <w:r>
        <w:t>SENTENCIA</w:t>
      </w:r>
    </w:p>
    <w:p w14:paraId="2D9E023E" w14:textId="21C8CA36" w:rsidR="00A8138F" w:rsidRDefault="00A8138F" w:rsidP="00A8138F">
      <w:pPr>
        <w:pStyle w:val="TextoNormalCentrado"/>
        <w:keepNext/>
      </w:pPr>
    </w:p>
    <w:p w14:paraId="6130EE98" w14:textId="77777777" w:rsidR="00A8138F" w:rsidRDefault="00A8138F" w:rsidP="00A8138F">
      <w:pPr>
        <w:pStyle w:val="TextoNormal"/>
      </w:pPr>
      <w:r>
        <w:t xml:space="preserve">En el recurso de amparo núm. 644-2024, interpuesto por doña Eva Ordax Cano, representada por el procurador de los tribunales don David García Riquelme, bajo la dirección de la letrada doña Lourdes Ruiz Ezquerra, contra la sentencia núm. 1136/2023, de 12 de diciembre, dictada por la Sala de lo Social del Tribunal Supremo en el recurso de casación para la unificación de doctrina núm. 2814-2022, que estimó el recurso interpuesto por el Instituto Nacional de la Seguridad Social (INSS) contra la sentencia núm. 255/2022, de 8 de abril, de la Sala de lo Social del Tribunal Superior de Justicia de Cantabria, dictada en el recurso de suplicación núm. 234-2022, que desestimó los recursos formulados por la demandante de amparo y por el INSS y la Tesorería General de la Seguridad Social (TGSS), confirmatoria de la sentencia núm. 24/2022, de 31 de enero, dictada por el Juzgado de lo Social núm. 4 de Santander en el procedimiento de Seguridad Social núm. 875-2021, estimatoria de la demanda interpuesta por la recurrente en amparo frente al INSS y la TGSS, con motivo de la resolución dictada por Dirección Provincial de Cantabria del INSS de fecha 18 de octubre de 2021, que rechaza la reclamación administrativa previa formulada por la </w:t>
      </w:r>
      <w:r>
        <w:lastRenderedPageBreak/>
        <w:t>demandante de amparo contra la resolución del mismo organismo de 10 de septiembre de 2021, que le reconoció dieciséis semanas de prestación por nacimiento y cuidado del menor, y rechazó tácitamente su solicitud de que le fueran reconocidas las dieciséis semanas de prestación por nacimiento y cuidado de menor que hubieran correspondido al progenitor distinto de la madre biológica. La demandante impugna asimismo el auto de 23 de mayo de 2023, de la Sala de lo Social del Tribunal Supremo dictado en el citado recurso de casación para la unificación de doctrina, que inadmitió su recurso contra la reseñada sentencia dictada por la Sala de lo Social del Tribunal Superior de Justicia de Cantabria. Ha comparecido la letrada de la administración de la Seguridad Social en nombre y representación del INSS y la TGSS, y ha intervenido el Ministerio Fiscal. Ha sido ponente la magistrada doña Concepción Espejel Jorquera.</w:t>
      </w:r>
    </w:p>
    <w:p w14:paraId="4742158D" w14:textId="2E933A51" w:rsidR="00A8138F" w:rsidRDefault="00A8138F" w:rsidP="00A8138F">
      <w:pPr>
        <w:pStyle w:val="TextoNormal"/>
      </w:pPr>
    </w:p>
    <w:p w14:paraId="0501828C" w14:textId="77777777" w:rsidR="00A8138F" w:rsidRDefault="00A8138F" w:rsidP="00A8138F">
      <w:pPr>
        <w:pStyle w:val="TextoNormalNegritaCentrado"/>
        <w:keepNext/>
      </w:pPr>
      <w:r>
        <w:t>I. Antecedentes</w:t>
      </w:r>
    </w:p>
    <w:p w14:paraId="57175455" w14:textId="350B13C0" w:rsidR="00A8138F" w:rsidRDefault="00A8138F" w:rsidP="00A8138F">
      <w:pPr>
        <w:pStyle w:val="TextoNormalNegritaCentrado"/>
        <w:keepNext/>
      </w:pPr>
    </w:p>
    <w:p w14:paraId="342C8333" w14:textId="0CF6084E" w:rsidR="00A8138F" w:rsidRDefault="00A8138F" w:rsidP="00A8138F">
      <w:pPr>
        <w:pStyle w:val="TextoNormal"/>
      </w:pPr>
      <w:r w:rsidRPr="00A8138F">
        <w:rPr>
          <w:rStyle w:val="NumeroAFNegritaCaracter"/>
        </w:rPr>
        <w:t>1</w:t>
      </w:r>
      <w:r>
        <w:t>. Mediante escrito presentado en el registro general de este tribunal el 29 de enero de 2024, doña Eva Ordax Cano, representada por el procurador de los tribunales don David García Riquelme y asistida por la abogada doña Lourdes Ruiz Ezquerra, interpuso recurso de amparo contra las resoluciones judiciales y administrativas a las que se ha hecho mención en el encabezamiento de esta sentencia.</w:t>
      </w:r>
    </w:p>
    <w:p w14:paraId="5E04573F" w14:textId="77777777" w:rsidR="00A8138F" w:rsidRDefault="00A8138F" w:rsidP="00A8138F">
      <w:pPr>
        <w:pStyle w:val="TextoNormal"/>
      </w:pPr>
    </w:p>
    <w:p w14:paraId="3862A3CF" w14:textId="77777777" w:rsidR="00A8138F" w:rsidRDefault="00A8138F" w:rsidP="00A8138F">
      <w:pPr>
        <w:pStyle w:val="TextoNormal"/>
      </w:pPr>
      <w:r w:rsidRPr="00A8138F">
        <w:rPr>
          <w:rStyle w:val="NumeroAFNegritaCaracter"/>
        </w:rPr>
        <w:t>2</w:t>
      </w:r>
      <w:r>
        <w:t>. El recurso tiene su origen en los siguientes antecedentes:</w:t>
      </w:r>
    </w:p>
    <w:p w14:paraId="32BBC57A" w14:textId="77777777" w:rsidR="00A8138F" w:rsidRDefault="00A8138F" w:rsidP="00A8138F">
      <w:pPr>
        <w:pStyle w:val="TextoNormal"/>
      </w:pPr>
    </w:p>
    <w:p w14:paraId="30E742E8" w14:textId="77777777" w:rsidR="00A8138F" w:rsidRDefault="00A8138F" w:rsidP="00A8138F">
      <w:pPr>
        <w:pStyle w:val="TextoNormal"/>
      </w:pPr>
      <w:r>
        <w:t>a) El 10 de septiembre de 2021, la demandante de amparo solicitó al INSS “la ampliación del permiso [por nacimiento y cuidado de menor] desde las dieciséis semanas hasta las treinta y dos para el cuidado de mi hija en igualdad de condiciones que el resto de familias pues la estructura familiar no puede suponer ninguna discriminación para el/la menor”.</w:t>
      </w:r>
    </w:p>
    <w:p w14:paraId="6B135AF5" w14:textId="77777777" w:rsidR="00A8138F" w:rsidRDefault="00A8138F" w:rsidP="00A8138F">
      <w:pPr>
        <w:pStyle w:val="TextoNormal"/>
      </w:pPr>
    </w:p>
    <w:p w14:paraId="4454BBB1" w14:textId="77777777" w:rsidR="00A8138F" w:rsidRDefault="00A8138F" w:rsidP="00A8138F">
      <w:pPr>
        <w:pStyle w:val="TextoNormal"/>
      </w:pPr>
      <w:r>
        <w:t>b) El mismo día 10 de septiembre de 2021, la Dirección Provincial de Cantabria del INSS dictó resolución por la que se reconoce a doña Eva Ordax Cano el derecho a la prestación de nacimiento y cuidado del menor desde el 2 de septiembre de 2021 al 22 de septiembre de 2021, con una base reguladora de 101,58 €.</w:t>
      </w:r>
    </w:p>
    <w:p w14:paraId="07DA44EA" w14:textId="77777777" w:rsidR="00A8138F" w:rsidRDefault="00A8138F" w:rsidP="00A8138F">
      <w:pPr>
        <w:pStyle w:val="TextoNormal"/>
      </w:pPr>
    </w:p>
    <w:p w14:paraId="42EED7E2" w14:textId="77777777" w:rsidR="00A8138F" w:rsidRDefault="00A8138F" w:rsidP="00A8138F">
      <w:pPr>
        <w:pStyle w:val="TextoNormal"/>
      </w:pPr>
      <w:r>
        <w:t>Mediante escrito de fecha 23 de septiembre de 2021, la Sra. Ordax presentó reclamación previa ante aquel organismo, que la desestimó mediante resolución fechada el 18 de octubre de 2021.</w:t>
      </w:r>
    </w:p>
    <w:p w14:paraId="37DF9ED7" w14:textId="77777777" w:rsidR="00A8138F" w:rsidRDefault="00A8138F" w:rsidP="00A8138F">
      <w:pPr>
        <w:pStyle w:val="TextoNormal"/>
      </w:pPr>
    </w:p>
    <w:p w14:paraId="73471BB9" w14:textId="77777777" w:rsidR="00A8138F" w:rsidRDefault="00A8138F" w:rsidP="00A8138F">
      <w:pPr>
        <w:pStyle w:val="TextoNormal"/>
      </w:pPr>
      <w:r>
        <w:t>c) El 5 de noviembre de 2021 la Sra. Ordax interpuso demanda frente al INSS, luego ampliada al Colegio María Reina Inmaculada, que fue turnada al Juzgado de lo Social núm. 4 de Santander, que incoó el procedimiento de Seguridad Social núm. 875-2021, sobre prestación por nacimiento y cuidado de menor.</w:t>
      </w:r>
    </w:p>
    <w:p w14:paraId="2B859171" w14:textId="77777777" w:rsidR="00A8138F" w:rsidRDefault="00A8138F" w:rsidP="00A8138F">
      <w:pPr>
        <w:pStyle w:val="TextoNormal"/>
      </w:pPr>
    </w:p>
    <w:p w14:paraId="1AB52EAD" w14:textId="77777777" w:rsidR="00A8138F" w:rsidRDefault="00A8138F" w:rsidP="00A8138F">
      <w:pPr>
        <w:pStyle w:val="TextoNormal"/>
      </w:pPr>
      <w:r>
        <w:t>El 31 de enero de 2022 recayó la sentencia núm. 24/2022, que estimó la demanda y, en consecuencia: (i) reconoció a la demandante la ampliación de la prestación por nacimiento y cuidado de menor a diez semanas adicionales, con la correspondiente prestación económica; y (ii) condenó a las partes demandadas “a estar y por esta declaración y al INSS-TGSS al abono de la prestación económica correspondiente”.</w:t>
      </w:r>
    </w:p>
    <w:p w14:paraId="45CCE9A3" w14:textId="77777777" w:rsidR="00A8138F" w:rsidRDefault="00A8138F" w:rsidP="00A8138F">
      <w:pPr>
        <w:pStyle w:val="TextoNormal"/>
      </w:pPr>
    </w:p>
    <w:p w14:paraId="6CEC082E" w14:textId="77777777" w:rsidR="00A8138F" w:rsidRDefault="00A8138F" w:rsidP="00A8138F">
      <w:pPr>
        <w:pStyle w:val="TextoNormal"/>
      </w:pPr>
      <w:r>
        <w:lastRenderedPageBreak/>
        <w:t>Sintéticamente expuestos, estos son los fundamentos que conducen a la estimación de la demanda:</w:t>
      </w:r>
    </w:p>
    <w:p w14:paraId="1FB655CC" w14:textId="77777777" w:rsidR="00A8138F" w:rsidRDefault="00A8138F" w:rsidP="00A8138F">
      <w:pPr>
        <w:pStyle w:val="TextoNormal"/>
      </w:pPr>
    </w:p>
    <w:p w14:paraId="79F8AD18" w14:textId="77777777" w:rsidR="00A8138F" w:rsidRDefault="00A8138F" w:rsidP="00A8138F">
      <w:pPr>
        <w:pStyle w:val="TextoNormal"/>
      </w:pPr>
      <w:r>
        <w:t>(i) La regulación expuesta (arts. 48.4 LET y 177 LGSS) conlleva una situación discriminatoria de los hijos nacidos en familias monoparentales (que solo disfrutan de dieciséis semanas de permiso) respecto de las biparentales (que tienen treinta y dos, la mitad cada progenitor). Tal discriminación es contraria a la Convención sobre los derechos del niño, adoptada por la Asamblea General de las Naciones Unidas el 20 de noviembre de 1989, la cual establece una proscripción de trato discriminatorio del menor. La vulneración del citado convenio por parte de la normativa interna obliga a efectuar una aplicación conforme al texto convencional. Así lo dispone el art. 31 de la Ley 25/2014, de 27 de noviembre sobre tratados y acuerdos internacionales, según el cual “las normas jurídicas contenidas en los tratados internacionales válidamente celebrados y publicados oficialmente prevalecerán sobre cualquier otra norma del ordenamiento interno en caso de conflicto con ellas, salvo las normas de rango constitucional”, y se cita en tal sentido la STC 140/2018, de 20 de diciembre.</w:t>
      </w:r>
    </w:p>
    <w:p w14:paraId="5752AA60" w14:textId="77777777" w:rsidR="00A8138F" w:rsidRDefault="00A8138F" w:rsidP="00A8138F">
      <w:pPr>
        <w:pStyle w:val="TextoNormal"/>
      </w:pPr>
    </w:p>
    <w:p w14:paraId="5D6E5C3B" w14:textId="77777777" w:rsidR="00A8138F" w:rsidRDefault="00A8138F" w:rsidP="00A8138F">
      <w:pPr>
        <w:pStyle w:val="TextoNormal"/>
      </w:pPr>
      <w:r>
        <w:t>En tal sentido, la sentencia concluye que la normativa interna que regula los permisos de nacimiento solo puede aplicarse de manera que no contradiga la Convención sobre los derechos del niño, lo que, a su vez, solo puede hacerse equiparando el permiso de las familias monoparentales a las biparentales. En definitiva, se estima la pretensión de la demanda y se concede a la actora el derecho a la ampliación del permiso de nacimiento.</w:t>
      </w:r>
    </w:p>
    <w:p w14:paraId="25D640D3" w14:textId="77777777" w:rsidR="00A8138F" w:rsidRDefault="00A8138F" w:rsidP="00A8138F">
      <w:pPr>
        <w:pStyle w:val="TextoNormal"/>
      </w:pPr>
    </w:p>
    <w:p w14:paraId="273B2260" w14:textId="77777777" w:rsidR="00A8138F" w:rsidRDefault="00A8138F" w:rsidP="00A8138F">
      <w:pPr>
        <w:pStyle w:val="TextoNormal"/>
      </w:pPr>
      <w:r>
        <w:t>(ii) En apoyo de la anterior conclusión estimatoria, la sentencia se apoya en sentencias dictadas por salas de lo social de Tribunales Superiores de Justicia y, tras reproducir de forma extensa la dictada por la del País Vasco de 6 de octubre de 2020, declara que “la cuestión [litigiosa] se desliza, no tanto a la exégesis del art. 48.4 LET, sino a la cuestión de si la regulación contenida en dicho precepto es contraria a los convenios internacionales y cómo debe solventarse tal contradicción”.</w:t>
      </w:r>
    </w:p>
    <w:p w14:paraId="51464A1E" w14:textId="77777777" w:rsidR="00A8138F" w:rsidRDefault="00A8138F" w:rsidP="00A8138F">
      <w:pPr>
        <w:pStyle w:val="TextoNormal"/>
      </w:pPr>
    </w:p>
    <w:p w14:paraId="5C7D3F4E" w14:textId="77777777" w:rsidR="00A8138F" w:rsidRDefault="00A8138F" w:rsidP="00A8138F">
      <w:pPr>
        <w:pStyle w:val="TextoNormal"/>
      </w:pPr>
      <w:r>
        <w:t>(iii) Finalmente, en cuanto a si el permiso por nacimiento debe abarcar diez o dieciséis semanas, la sentencia comparte la pretensión subsidiaria del INSS (de diez semanas), teniendo en cuenta que la madre ha disfrutado de seis semanas ininterrumpidas inmediatamente seguidas al parto y que el permiso de paternidad que correspondería al otro progenitor, también exige que seis semanas se disfruten inmediatamente siguientes al parto, de manera que, en otro caso, se generaría una desigualdad respecto a la familia monoparental, que disfrutaría de treinta y dos semanas (dieciséis de la madre y dieciséis del otro progenitor, que acumula), frente a las veintiséis que disfrutaría la familia biparental en caso de alternancia entre los progenitores en lugar de disfrute conjunto.</w:t>
      </w:r>
    </w:p>
    <w:p w14:paraId="3030538D" w14:textId="77777777" w:rsidR="00A8138F" w:rsidRDefault="00A8138F" w:rsidP="00A8138F">
      <w:pPr>
        <w:pStyle w:val="TextoNormal"/>
      </w:pPr>
    </w:p>
    <w:p w14:paraId="6B9832B0" w14:textId="77777777" w:rsidR="00A8138F" w:rsidRDefault="00A8138F" w:rsidP="00A8138F">
      <w:pPr>
        <w:pStyle w:val="TextoNormal"/>
      </w:pPr>
      <w:r>
        <w:t>d) Frente a la sentencia del juzgado de lo social, interpusieron ante la Sala de lo Social del Tribunal Superior de Justicia del Cantabria, respectivos recursos de suplicación la ahora demandante de amparo y el letrado de la Administración de la Seguridad Social, en representación del INSS y la TGSS.</w:t>
      </w:r>
    </w:p>
    <w:p w14:paraId="730CBB39" w14:textId="77777777" w:rsidR="00A8138F" w:rsidRDefault="00A8138F" w:rsidP="00A8138F">
      <w:pPr>
        <w:pStyle w:val="TextoNormal"/>
      </w:pPr>
    </w:p>
    <w:p w14:paraId="16731A24" w14:textId="77777777" w:rsidR="00A8138F" w:rsidRDefault="00A8138F" w:rsidP="00A8138F">
      <w:pPr>
        <w:pStyle w:val="TextoNormal"/>
      </w:pPr>
      <w:r>
        <w:t>La primera interesó que se le reconociera el derecho a disfrutar de la prestación ya concedida durante un total de dieciséis semanas adicionales, en lugar de las diez inicialmente reconocidas.</w:t>
      </w:r>
    </w:p>
    <w:p w14:paraId="233D5F96" w14:textId="77777777" w:rsidR="00A8138F" w:rsidRDefault="00A8138F" w:rsidP="00A8138F">
      <w:pPr>
        <w:pStyle w:val="TextoNormal"/>
      </w:pPr>
    </w:p>
    <w:p w14:paraId="30D69798" w14:textId="77777777" w:rsidR="00A8138F" w:rsidRDefault="00A8138F" w:rsidP="00A8138F">
      <w:pPr>
        <w:pStyle w:val="TextoNormal"/>
      </w:pPr>
      <w:r>
        <w:t>Por su parte, la representación procesal del INSS y la TGSS interesó el dictado de una nueva sentencia que revocase la impugnada y desestimase la demanda con absolución de esta parte.</w:t>
      </w:r>
    </w:p>
    <w:p w14:paraId="2E20912B" w14:textId="77777777" w:rsidR="00A8138F" w:rsidRDefault="00A8138F" w:rsidP="00A8138F">
      <w:pPr>
        <w:pStyle w:val="TextoNormal"/>
      </w:pPr>
    </w:p>
    <w:p w14:paraId="1BC339C1" w14:textId="77777777" w:rsidR="00A8138F" w:rsidRDefault="00A8138F" w:rsidP="00A8138F">
      <w:pPr>
        <w:pStyle w:val="TextoNormal"/>
      </w:pPr>
      <w:r>
        <w:t>e) En la sentencia núm. 255/2022, de 8 de abril, la Sala de lo Social del Tribunal Superior de Justicia de Cantabria desestimó los recursos de suplicación planteados y confirmó la resolución recurrida.</w:t>
      </w:r>
    </w:p>
    <w:p w14:paraId="1A97FDC6" w14:textId="77777777" w:rsidR="00A8138F" w:rsidRDefault="00A8138F" w:rsidP="00A8138F">
      <w:pPr>
        <w:pStyle w:val="TextoNormal"/>
      </w:pPr>
    </w:p>
    <w:p w14:paraId="4F4E0250" w14:textId="77777777" w:rsidR="00A8138F" w:rsidRDefault="00A8138F" w:rsidP="00A8138F">
      <w:pPr>
        <w:pStyle w:val="TextoNormal"/>
      </w:pPr>
      <w:r>
        <w:t>f) La ahora demandante de amparo y la letrada de la administración de la Seguridad Social, actuando en la representación que tiene atribuida, interpusieron ante la Sala de lo Social del Tribunal Supremo sendos recursos de casación para la unificación de doctrina frente a la sentencia dictada en suplicación.</w:t>
      </w:r>
    </w:p>
    <w:p w14:paraId="7B11F257" w14:textId="77777777" w:rsidR="00A8138F" w:rsidRDefault="00A8138F" w:rsidP="00A8138F">
      <w:pPr>
        <w:pStyle w:val="TextoNormal"/>
      </w:pPr>
    </w:p>
    <w:p w14:paraId="7451D99E" w14:textId="77777777" w:rsidR="00A8138F" w:rsidRDefault="00A8138F" w:rsidP="00A8138F">
      <w:pPr>
        <w:pStyle w:val="TextoNormal"/>
      </w:pPr>
      <w:r>
        <w:t>La Sala de lo Social del Tribunal Supremo, mediante auto de fecha 23 de mayo de 2023, acordó inadmisión del recurso interpuesto por doña Eva Ordax Cano, al apreciar falta de contenido casacional.</w:t>
      </w:r>
    </w:p>
    <w:p w14:paraId="0F5599E0" w14:textId="77777777" w:rsidR="00A8138F" w:rsidRDefault="00A8138F" w:rsidP="00A8138F">
      <w:pPr>
        <w:pStyle w:val="TextoNormal"/>
      </w:pPr>
    </w:p>
    <w:p w14:paraId="7521E400" w14:textId="77777777" w:rsidR="00A8138F" w:rsidRDefault="00A8138F" w:rsidP="00A8138F">
      <w:pPr>
        <w:pStyle w:val="TextoNormal"/>
      </w:pPr>
      <w:r>
        <w:t>En cuanto al recurso formulado por la representación del INSS y la TGSS, la misma Sala dictó la sentencia núm. 1136/2023, de 12 de diciembre, por la que acordó su estimación, así como casar y anular la sentencia recurrida y, resolviendo el debate planteado en suplicación, estimó el recurso de suplicación de la parte demandada, manteniendo la desestimación del recurso de la misma clase planteado por la demandante y, con revocación parcial de la sentencia dictada por el Juzgado de lo Social núm. 4 de Santander, desestimó la demanda y absolvió a los codemandados (INSS, TGSS y el Colegio María Reina Inmaculada) de todos los pedimentos deducidos contra ellos.</w:t>
      </w:r>
    </w:p>
    <w:p w14:paraId="718A9101" w14:textId="77777777" w:rsidR="00A8138F" w:rsidRDefault="00A8138F" w:rsidP="00A8138F">
      <w:pPr>
        <w:pStyle w:val="TextoNormal"/>
      </w:pPr>
    </w:p>
    <w:p w14:paraId="11A8256D" w14:textId="77777777" w:rsidR="00A8138F" w:rsidRDefault="00A8138F" w:rsidP="00A8138F">
      <w:pPr>
        <w:pStyle w:val="TextoNormal"/>
      </w:pPr>
      <w:r>
        <w:t>Con apoyo en sus sentencias núm. 169/2023, de 2 de marzo, y 434/2023, de 14 de junio, la Sala fundamenta su decisión en los siguientes argumentos:</w:t>
      </w:r>
    </w:p>
    <w:p w14:paraId="62C5FFDB" w14:textId="77777777" w:rsidR="00A8138F" w:rsidRDefault="00A8138F" w:rsidP="00A8138F">
      <w:pPr>
        <w:pStyle w:val="TextoNormal"/>
      </w:pPr>
    </w:p>
    <w:p w14:paraId="5E2BBD1E" w14:textId="77777777" w:rsidR="00A8138F" w:rsidRDefault="00A8138F" w:rsidP="00A8138F">
      <w:pPr>
        <w:pStyle w:val="TextoNormal"/>
      </w:pPr>
      <w:r>
        <w:t>(i) La prestación por “nacimiento y cuidado del menor” (art. 177 LGSS) es de naturaleza contributiva, de la que son beneficiarias las personas incluidas en el Régimen General de la Seguridad Social, cualquiera que sea su sexo, que disfruten de los descansos previstos en el artículo 48 LET, siempre que además del alta o situación legalmente asimilada, reúnan el período de carencia que se determina en el propio precepto; además, la cuantía de la prestación depende de las bases de cotización del interesado (art. 179 LGSS) y su subsistencia durante el período de disfrute se condiciona a la no realización de otro trabajo por cuenta propia o ajena (art. 180 LGSS). De ello se deduce, por un lado, que es frecuente que en las familias biparentales solo uno de los progenitores pueda disfrutar de la prestación; y, por otro, que en algunas ocasiones el disfrute de la suspensión contractual del artículo 48.4 LET no lleve aparejado necesariamente el acceso a esta prestación.</w:t>
      </w:r>
    </w:p>
    <w:p w14:paraId="4326ED28" w14:textId="77777777" w:rsidR="00A8138F" w:rsidRDefault="00A8138F" w:rsidP="00A8138F">
      <w:pPr>
        <w:pStyle w:val="TextoNormal"/>
      </w:pPr>
    </w:p>
    <w:p w14:paraId="6478A1D2" w14:textId="77777777" w:rsidR="00A8138F" w:rsidRDefault="00A8138F" w:rsidP="00A8138F">
      <w:pPr>
        <w:pStyle w:val="TextoNormal"/>
      </w:pPr>
      <w:r>
        <w:t xml:space="preserve">(ii) El art. 48.4 LET equipara la duración de la suspensión contractual entre ambos progenitores, así como la obligatoriedad de disfrute conjunto de las seis semanas posteriores al parto y la prohibición de transferencia del derecho entre progenitores, que se justificó por responder a la existencia de una clara voluntad y demanda social que los poderes públicos no pueden desatender al ser una exigencia derivada de los arts. 9.2 y 14 CE, los arts. 2 y 3.2 del Tratado de la Unión Europea y 21 y 23 de la Carta de los derechos fundamentales de la </w:t>
      </w:r>
      <w:r>
        <w:lastRenderedPageBreak/>
        <w:t>Unión Europea (CDFUE). De esta forma se da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Por ello, desestimar el recurso y confirmar la sentencia recurrida supondría crear una prestación contributiva nueva en favor de los progenitores de familias monoparentales que, además, quedaría estrictamente limitada a la duplicación de la duración de la misma, sin modificar los condicionantes específicos en materia de período de cotización previa o del régimen jurídico de su propia concesión o subsistencia, alterando la configuración diseñada por el legislador. La Sala entiende que, necesariamente, su decisión modificaría el régimen jurídico de la suspensión contractual por causa de nacimiento y cuidado de hijo establecido el art. 48.4 LET, lo cual afectaría al otro sujeto de la relación contractual, que se vería obligado a soportar una duración mayor de la suspensión contractual prevista expresamente en la ley, con afectación en sus previsiones de sustitución o reorganización de la empresa, y que no le eximiría del cumplimiento de las obligaciones de cotización en materia de seguridad social.</w:t>
      </w:r>
    </w:p>
    <w:p w14:paraId="22632EB3" w14:textId="77777777" w:rsidR="00A8138F" w:rsidRDefault="00A8138F" w:rsidP="00A8138F">
      <w:pPr>
        <w:pStyle w:val="TextoNormal"/>
      </w:pPr>
    </w:p>
    <w:p w14:paraId="18EE59A3" w14:textId="77777777" w:rsidR="00A8138F" w:rsidRDefault="00A8138F" w:rsidP="00A8138F">
      <w:pPr>
        <w:pStyle w:val="TextoNormal"/>
      </w:pPr>
      <w:r>
        <w:t>(iii) Una intervención de tal calibre dista mucho de lo que la organización constitucional del Estado encomienda a los jueces y tribunales. Su función es la aplicación e interpretación de la norma, pero no la creación del Derecho. La intervención en el ordenamiento jurídico solo le corresponde al legislador, sin que la misma pueda ser suplida a través de resoluciones judiciales que vayan más allá de sus propias funciones jurisdiccionales, entre las que no se encuentran, desde luego, la modificación del régimen prestacional de la Seguridad Social, ni la modificación de la organización de la suspensión del contrato de trabajo por causas previstas en la ley, a través de la aplicación de criterios interpretativos concretos previstos legalmente que no se circunscriben a la aplicación de la norma en supuestos fácticos que, razonablemente, no parecen claramente delimitados en el ámbito de afectación de la norma interpretada.</w:t>
      </w:r>
    </w:p>
    <w:p w14:paraId="6D2E4E1B" w14:textId="77777777" w:rsidR="00A8138F" w:rsidRDefault="00A8138F" w:rsidP="00A8138F">
      <w:pPr>
        <w:pStyle w:val="TextoNormal"/>
      </w:pPr>
    </w:p>
    <w:p w14:paraId="2BA38A68" w14:textId="77777777" w:rsidR="00A8138F" w:rsidRDefault="00A8138F" w:rsidP="00A8138F">
      <w:pPr>
        <w:pStyle w:val="TextoNormal"/>
      </w:pPr>
      <w:r>
        <w:t>(iv) La normativa en cuestión no resulta contraria a la letra o al espíritu de la Constitución Española, ni se sitúa al margen de la normativa internacional, especialmente del derecho de la Unión Europea, ni resulta contraria a los acuerdos, pactos o convenios internacionales suscritos por España. Antes al contrario, es expresión de una voluntad normativa tendente al cumplimiento estricto y completo de los preceptos y principios constitucionales, adelantándose, incluso, a las previsiones contenidas en el Directiva de la UE 2019/1158 y es perfectamente compatible con las exigencias que derivan del resto de la normativa internacional. Aunque es cierto que dichas normas y los principios que contienen aconsejan dedicar especial atención a colectivos que, objetivamente, puedan ser socialmente vulnerables, tales requerimientos están dirigidos al legislador, que es quien tiene la capacidad y la responsabilidad de organizar el sistema de protección social con el alcance y la concreción de medidas que elija en atención a la delimitación de las necesidades que en cada momento considere más acuciantes y relevantes.</w:t>
      </w:r>
    </w:p>
    <w:p w14:paraId="22FD1548" w14:textId="77777777" w:rsidR="00A8138F" w:rsidRDefault="00A8138F" w:rsidP="00A8138F">
      <w:pPr>
        <w:pStyle w:val="TextoNormal"/>
      </w:pPr>
    </w:p>
    <w:p w14:paraId="1620CD40" w14:textId="77777777" w:rsidR="00A8138F" w:rsidRDefault="00A8138F" w:rsidP="00A8138F">
      <w:pPr>
        <w:pStyle w:val="TextoNormal"/>
      </w:pPr>
      <w:r>
        <w:t>(v) Respecto al interés por la protección del menor, está presente en toda la regulación de la prestación por nacimiento de hijo y cuidado del menor, además de no ser el único al que debe atenderse. El legislador también ha prestado especial atención al principio de igualdad entre hombres y mujeres al confeccionar una normativa que tiene como finalidad lograr la corresponsabilidad entre ambos progenitores en el cuidado del menor. Las fórmu</w:t>
      </w:r>
      <w:r>
        <w:lastRenderedPageBreak/>
        <w:t>las establecidas tratan de cohonestar todos los intereses confluyentes en la regulación de esta materia y, en este ejercicio de ponderación, se ha tratado de evitar que el disfrute de los derechos de conciliación y la protección dispensada en estos casos perpetúe roles de género que no se corresponden con la situación social actual, ni con el principio de igualdad que sustenta todo el ordenamiento jurídico.</w:t>
      </w:r>
    </w:p>
    <w:p w14:paraId="4A7D1212" w14:textId="77777777" w:rsidR="00A8138F" w:rsidRDefault="00A8138F" w:rsidP="00A8138F">
      <w:pPr>
        <w:pStyle w:val="TextoNormal"/>
      </w:pPr>
    </w:p>
    <w:p w14:paraId="26B3E363" w14:textId="77777777" w:rsidR="00A8138F" w:rsidRDefault="00A8138F" w:rsidP="00A8138F">
      <w:pPr>
        <w:pStyle w:val="TextoNormal"/>
      </w:pPr>
      <w:r>
        <w:t>(vi)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en caso contrario, no se le concede, de modo que el interés del menor, cuya importancia no se desconoce y se considera de especial relevancia por la Sala, no puede ser el único factor decisivo y determinante en la cuestión a resolver.</w:t>
      </w:r>
    </w:p>
    <w:p w14:paraId="1D0BB567" w14:textId="77777777" w:rsidR="00A8138F" w:rsidRDefault="00A8138F" w:rsidP="00A8138F">
      <w:pPr>
        <w:pStyle w:val="TextoNormal"/>
      </w:pPr>
    </w:p>
    <w:p w14:paraId="3167D0A8" w14:textId="6769E746" w:rsidR="00A8138F" w:rsidRDefault="00A8138F" w:rsidP="00A8138F">
      <w:pPr>
        <w:pStyle w:val="TextoNormal"/>
      </w:pPr>
      <w:r>
        <w:t>(vii) Los datos estadísticos proporcionados por el Instituto Nacional de Estadística revelan que las familias monoparentales, como la del caso, son únicamente el 15,8 por 100 de las que el Instituto califica como tales. Por ello, tampoco la interpretación de la norma con perspectiva de género resulta determinante para la resolución del caso, ya que lo que se pide va más allá de lo que significa “interpretar y aplicar el derecho” y se sitúa en el ámbito de su creación. La perspectiva de género no es aplicable cuando el legislador, como es el caso, es consciente de la situación que regula y de las consecuencias de la misma y establece una normativa que tiende corresponsabilizar al varón en la educación y crianza de los hijos.</w:t>
      </w:r>
    </w:p>
    <w:p w14:paraId="27495EEB" w14:textId="77777777" w:rsidR="00A8138F" w:rsidRDefault="00A8138F" w:rsidP="00A8138F">
      <w:pPr>
        <w:pStyle w:val="TextoNormal"/>
      </w:pPr>
    </w:p>
    <w:p w14:paraId="72487BC4" w14:textId="77777777" w:rsidR="00A8138F" w:rsidRDefault="00A8138F" w:rsidP="00A8138F">
      <w:pPr>
        <w:pStyle w:val="TextoNormal"/>
      </w:pPr>
      <w:r w:rsidRPr="00A8138F">
        <w:rPr>
          <w:rStyle w:val="NumeroAFNegritaCaracter"/>
        </w:rPr>
        <w:t>3</w:t>
      </w:r>
      <w:r>
        <w:t>. La representación procesal de doña Eva Ordax Cano interpuso en fecha 4 de julio de 2023 recurso de amparo frente al auto de 23 de mayo de 2023, por el que la Sala de lo Social del Tribunal Supremo inadmitió el recurso de casación para la unificación de doctrina que aquella planteó contra la citada sentencia dictada en suplicación por la Sala de lo Social del Tribunal Superior de Justicia de Cantabria.</w:t>
      </w:r>
    </w:p>
    <w:p w14:paraId="44BA4FE4" w14:textId="77777777" w:rsidR="00A8138F" w:rsidRDefault="00A8138F" w:rsidP="00A8138F">
      <w:pPr>
        <w:pStyle w:val="TextoNormal"/>
      </w:pPr>
    </w:p>
    <w:p w14:paraId="3EA8371D" w14:textId="32D1C369" w:rsidR="00A8138F" w:rsidRDefault="00A8138F" w:rsidP="00A8138F">
      <w:pPr>
        <w:pStyle w:val="TextoNormal"/>
      </w:pPr>
      <w:r>
        <w:t>Este recurso de amparo, registrado con el número 4633-2023, fue inadmitido por la Sección Primera, Sala Primera, de este Tribunal mediante providencia de fecha 5 de marzo de 2024 con arreglo a lo previsto en el art. 50.1 a) de la Ley Orgánica del Tribunal Constitucional (LOTC), en relación con su art. 44.1 a), por no haber concluido el proceso abierto en la vía judicial, al estar pendiente de sentencia el recurso de casación para la unificación de doctrina interpuesto por el INSS y la TGSS contra la misma sentencia de la Sala de lo Social del Tribunal Superior de Justicia de Cantabria.</w:t>
      </w:r>
    </w:p>
    <w:p w14:paraId="72535D1D" w14:textId="77777777" w:rsidR="00A8138F" w:rsidRDefault="00A8138F" w:rsidP="00A8138F">
      <w:pPr>
        <w:pStyle w:val="TextoNormal"/>
      </w:pPr>
    </w:p>
    <w:p w14:paraId="79122724" w14:textId="77777777" w:rsidR="00A8138F" w:rsidRDefault="00A8138F" w:rsidP="00A8138F">
      <w:pPr>
        <w:pStyle w:val="TextoNormal"/>
      </w:pPr>
      <w:r w:rsidRPr="00A8138F">
        <w:rPr>
          <w:rStyle w:val="NumeroAFNegritaCaracter"/>
        </w:rPr>
        <w:t>4</w:t>
      </w:r>
      <w:r>
        <w:t>. El 25 de enero de 2024 la representación procesal de la demandante interpuso recurso de amparo contra las resoluciones administrativas y judiciales reseñadas en el encabezamiento de la presente sentencia. En el escrito presentado se presentan, en síntesis, las siguientes alegaciones:</w:t>
      </w:r>
    </w:p>
    <w:p w14:paraId="3AECAA9C" w14:textId="77777777" w:rsidR="00A8138F" w:rsidRDefault="00A8138F" w:rsidP="00A8138F">
      <w:pPr>
        <w:pStyle w:val="TextoNormal"/>
      </w:pPr>
    </w:p>
    <w:p w14:paraId="78CEE89B" w14:textId="77777777" w:rsidR="00A8138F" w:rsidRDefault="00A8138F" w:rsidP="00A8138F">
      <w:pPr>
        <w:pStyle w:val="TextoNormal"/>
      </w:pPr>
      <w:r>
        <w:t xml:space="preserve">(i) Vulneración del primer inciso del art. 14 CE, en relación con el art. 39 CE: “Desigualdad entre madres biológicas de familias monoparentales y madres biológicas de familias biparentales”. Para la demandante, las resoluciones administrativas y judiciales impugnadas provocan una diferencia de trato entre ella y las madres biológicas de familias biparentales en relación con el derecho al permiso por nacimiento y cuidado de hijos, que resulta contraria a las exigencias del derecho a la igualdad proclamado en el art. 14 CE. La razón por la </w:t>
      </w:r>
      <w:r>
        <w:lastRenderedPageBreak/>
        <w:t>que el art. 48.4 LET concede este derecho responde, además de a la necesidad de proteger la salud de la madre biológica, a la de hacer efectivo el deber constitucional de los padres y las madres de prestar asistencia de todo orden a los hijos menores (art. 39.3 CE) y de contribuir a la efectiva realización del principio rector de la política social (art. 39.1 CE) conforme al cual los poderes públicos aseguran la protección social, económica y jurídica de la familia, con independencia del tipo de familia de que se trate. Además, el art. 39.4 CE prevé que los niños gozarán de la protección prevista en los acuerdos internacionales que velan por sus derechos, lo que da entrada a la aplicación de la Convención de las Naciones Unidas sobre los derechos del niño, de 20 de noviembre de 1989, norma jurídica dotada además de valor interpretativo de las normas sobre derechos fundamentales (art. 10.2 CE).</w:t>
      </w:r>
    </w:p>
    <w:p w14:paraId="080416FC" w14:textId="77777777" w:rsidR="00A8138F" w:rsidRDefault="00A8138F" w:rsidP="00A8138F">
      <w:pPr>
        <w:pStyle w:val="TextoNormal"/>
      </w:pPr>
    </w:p>
    <w:p w14:paraId="46D3C836" w14:textId="77777777" w:rsidR="00A8138F" w:rsidRDefault="00A8138F" w:rsidP="00A8138F">
      <w:pPr>
        <w:pStyle w:val="TextoNormal"/>
      </w:pPr>
      <w:r>
        <w:t>Aduce que la denegación de la ampliación del permiso por nacimiento y cuidado de hijos e hijas menores de doce meses en caso de inexistencia del otro progenitor, viene apoyada en una interpretación formalista y restrictiva del art. 48.4.2 LET, carente de justificación objetiva y razonable desde la perspectiva del art. 14 CE y que contraviene también este artículo, porque esa interpretación, desconectada de los valores constitucionales, produce un resultado desproporcionado al provocar perjuicios incuestionables en el ámbito familiar, consistentes en la drástica reducción hasta su mitad de los cuidados de los menores de doce meses nacidos en familias monoparentales.</w:t>
      </w:r>
    </w:p>
    <w:p w14:paraId="3ABB02D5" w14:textId="77777777" w:rsidR="00A8138F" w:rsidRDefault="00A8138F" w:rsidP="00A8138F">
      <w:pPr>
        <w:pStyle w:val="TextoNormal"/>
      </w:pPr>
    </w:p>
    <w:p w14:paraId="189BFD32" w14:textId="77777777" w:rsidR="00A8138F" w:rsidRDefault="00A8138F" w:rsidP="00A8138F">
      <w:pPr>
        <w:pStyle w:val="TextoNormal"/>
      </w:pPr>
      <w:r>
        <w:t>La demandante añade que la citada Convención sobre los derechos del niño proclama el derecho de la infancia a cuidados especiales, convierte el interés superior del niño en la consideración primordial a que han de atender cualesquiera medidas que les afecten, adoptadas por las instituciones públicas o privadas de bienestar social, los tribunales, las autoridades administrativas o los órganos legislativos (art. 3.1), aludiendo en diversos preceptos al derecho del niño a los cuidados de sus padres, necesarios para su bienestar (arts. 3.2 y 7.1). Por su parte, la legislación española en materia de menores define el principio del interés superior del menor como rector e inspirador de todas las actuaciones de los poderes públicos relacionadas con el niño, tanto administrativas como judiciales.</w:t>
      </w:r>
    </w:p>
    <w:p w14:paraId="339E8DBD" w14:textId="77777777" w:rsidR="00A8138F" w:rsidRDefault="00A8138F" w:rsidP="00A8138F">
      <w:pPr>
        <w:pStyle w:val="TextoNormal"/>
      </w:pPr>
    </w:p>
    <w:p w14:paraId="0F23CD2E" w14:textId="77777777" w:rsidR="00A8138F" w:rsidRDefault="00A8138F" w:rsidP="00A8138F">
      <w:pPr>
        <w:pStyle w:val="TextoNormal"/>
      </w:pPr>
      <w:r>
        <w:t>(ii) Vulneración del segundo inciso del art. 14 CE, en relación con el art. 39 CE: “Discriminación directa de la recurrente en amparo por circunstancias personales y familiares”. A juicio de la recurrente, la discriminación padecida resulta de su decisión de formar una familia monoparental, tomada con fundamento en el libre desarrollo de la personalidad (art. 10.1 CE). La decisión de formar una familia monoparental se vincula a las convicciones y creencias más íntimas de la persona (art. 16 CE) y resulta amparada por el derecho a la vida familiar que reconocen el art. 8 del Convenio europeo de derechos humanos (CEDH) y el art. 8 CDFUE. Sin embargo, la interpretación del INSS y de los órganos judiciales de sus circunstancias personales y familiares, le ha causado un “resultado peyorativo” al no reconocerle la ampliación del permiso por nacimiento y cuidado de menor en las semanas que hubieran correspondido al progenitor distinto de la madre biológica en una familia biparental, efecto que ha alcanzado a su hija nacida en dicha familia monoparental.</w:t>
      </w:r>
    </w:p>
    <w:p w14:paraId="20AF93A9" w14:textId="77777777" w:rsidR="00A8138F" w:rsidRDefault="00A8138F" w:rsidP="00A8138F">
      <w:pPr>
        <w:pStyle w:val="TextoNormal"/>
      </w:pPr>
    </w:p>
    <w:p w14:paraId="436C3E44" w14:textId="77777777" w:rsidR="00A8138F" w:rsidRDefault="00A8138F" w:rsidP="00A8138F">
      <w:pPr>
        <w:pStyle w:val="TextoNormal"/>
      </w:pPr>
      <w:r>
        <w:t>Entiende la recurrente que su decisión de ser la “única progenitora” de su hija ha sido el criterio que ha servido al INSS y a los órganos judiciales para denegarle la ampliación en las semanas adicionales de la prestación por nacimiento y cuidado de menor de doce meses, por lo que la condición personal y familiar de la recurrente se ha erigido en criterio diferenciador absolutamente irrazonable. La diferencia de trato sufrida le ha causado un incuestio</w:t>
      </w:r>
      <w:r>
        <w:lastRenderedPageBreak/>
        <w:t>nable perjuicio, que extiende sus efectos a la “inobservancia” del interés superior de la menor.</w:t>
      </w:r>
    </w:p>
    <w:p w14:paraId="7843873C" w14:textId="77777777" w:rsidR="00A8138F" w:rsidRDefault="00A8138F" w:rsidP="00A8138F">
      <w:pPr>
        <w:pStyle w:val="TextoNormal"/>
      </w:pPr>
    </w:p>
    <w:p w14:paraId="53839B54" w14:textId="77777777" w:rsidR="00A8138F" w:rsidRDefault="00A8138F" w:rsidP="00A8138F">
      <w:pPr>
        <w:pStyle w:val="TextoNormal"/>
      </w:pPr>
      <w:r>
        <w:t>(iii) Vulneración del segundo inciso del art. 14 CE, en relación con el art. 9.2 CE: “Discriminación indirecta por razón de sexo de la demandante en amparo”. Afirma que la discriminación que denuncia trae causa de una interpretación restrictiva —administrativa y judicial— de una norma legal que, aunque en su redacción se refiera a la madre biológica, que presupone el sexo femenino es, en principio, neutra en sus efectos reductores por mitad del permiso por nacimiento y cuidado de hijos menores de doce meses para mujeres y hombres que, libremente, deciden formar una familia “monomarental” o monoparental. Ocurre, sin embargo, que esa libre decisión, según está estadísticamente probado por datos del Instituto Nacional de Estadística, es tomada mayoritariamente por mujeres, con la consecuencia de que el tratamiento peyorativo afecta en mayor medida a las mujeres en el ejercicio de su libre autodeterminación en formar esta clase de familias, lo que causa una discriminación indirecta por razón de sexo.</w:t>
      </w:r>
    </w:p>
    <w:p w14:paraId="19D8C1F3" w14:textId="77777777" w:rsidR="00A8138F" w:rsidRDefault="00A8138F" w:rsidP="00A8138F">
      <w:pPr>
        <w:pStyle w:val="TextoNormal"/>
      </w:pPr>
    </w:p>
    <w:p w14:paraId="34E569F2" w14:textId="3F4EDADA" w:rsidR="00A8138F" w:rsidRDefault="00A8138F" w:rsidP="00A8138F">
      <w:pPr>
        <w:pStyle w:val="TextoNormal"/>
      </w:pPr>
      <w:r>
        <w:t>En el suplico la demandante solicita el otorgamiento del amparo y que, en consecuencia, el Tribunal (i) reconozca la vulneración de los derechos fundamentales a la igualdad en la ley y a la no discriminación directa por circunstancia personal y familiar, e indirecta por razón de sexo (art. 14 CE en relación con los arts. 39 y 9.2 CE); (ii) restablezca a la demandante en la integridad de sus derechos y, a tal fin, declare nulas las resoluciones impugnadas, y (iii) retrotraiga las actuaciones al momento previo al dictado de la resolución del INSS de 10 de septiembre de 2021, para que dicte otra que respete los derechos fundamentales de la recurrente. Por otrosí interesa que el Tribunal eleve al Pleno cuestión de inconstitucionalidad del art. 48.4 LET, para el caso de entender que la estimación del presente recurso de amparo precise la declaración de inconstitucionalidad, por ser la ley la causante de la lesión de los derechos fundamentales de la demandante de amparo a la igualdad en la ley y a la no discriminación directa por condición personal y familiar, e indirecta por razón de sexo (art. 14 CE).</w:t>
      </w:r>
    </w:p>
    <w:p w14:paraId="4EC05F79" w14:textId="77777777" w:rsidR="00A8138F" w:rsidRDefault="00A8138F" w:rsidP="00A8138F">
      <w:pPr>
        <w:pStyle w:val="TextoNormal"/>
      </w:pPr>
    </w:p>
    <w:p w14:paraId="29D4BFD9" w14:textId="77777777" w:rsidR="00A8138F" w:rsidRDefault="00A8138F" w:rsidP="00A8138F">
      <w:pPr>
        <w:pStyle w:val="TextoNormal"/>
      </w:pPr>
      <w:r w:rsidRPr="00A8138F">
        <w:rPr>
          <w:rStyle w:val="NumeroAFNegritaCaracter"/>
        </w:rPr>
        <w:t>5</w:t>
      </w:r>
      <w:r>
        <w:t>. La Sección Primera, Sala Primera, de este tribunal acordó mediante providencia de 9 de septiembre de 2024, la admisión a trámite del recurso de amparo al apreciar que concurre en el mismo una especial trascendencia constitucional (art. 50.1 LOTC) como consecuencia de que la posible vulneración del derecho fundamental que se denuncia pudiera provenir de la ley o de otra disposición de carácter general [STC 155/2009, de 25 de junio, FJ 2 c)].</w:t>
      </w:r>
    </w:p>
    <w:p w14:paraId="20215AFA" w14:textId="77777777" w:rsidR="00A8138F" w:rsidRDefault="00A8138F" w:rsidP="00A8138F">
      <w:pPr>
        <w:pStyle w:val="TextoNormal"/>
      </w:pPr>
    </w:p>
    <w:p w14:paraId="4E6880EA" w14:textId="624DAAE8" w:rsidR="00A8138F" w:rsidRDefault="00A8138F" w:rsidP="00A8138F">
      <w:pPr>
        <w:pStyle w:val="TextoNormal"/>
      </w:pPr>
      <w:r>
        <w:t>En aplicación de lo dispuesto en el art. 51 LOTC, la Sección acordó dirigir comunicación a la Sala de lo Social del Tribunal Supremo y a la Sala de lo Social del Tribunal Superior de Justicia de Cantabria a fin de que, en un plazo que no exceda de diez días, remitan certificación o fotocopia adverada de las actuaciones correspondientes al recurso de casación para unificación de doctrina núm. 2814-2022 y al recurso de suplicación núm. 234-2022, respectivamente, así como dirigir comunicación al Juzgado de lo Social núm. 4 de Santander a fin de que, en el mismo plazo, remita certificación o fotocopia adverada de las actuaciones correspondientes al procedimiento de Seguridad Social núm. 875-2021, debiendo previamente emplazarse a quienes hubieran sido parte en el procedimiento, excepto a la parte recurrente en amparo, para que en el plazo de diez días puedan comparecer, si lo desean, en el presente recurso de amparo.</w:t>
      </w:r>
    </w:p>
    <w:p w14:paraId="6B1456FD" w14:textId="77777777" w:rsidR="00A8138F" w:rsidRDefault="00A8138F" w:rsidP="00A8138F">
      <w:pPr>
        <w:pStyle w:val="TextoNormal"/>
      </w:pPr>
    </w:p>
    <w:p w14:paraId="489FB64A" w14:textId="32210D26" w:rsidR="00A8138F" w:rsidRDefault="00A8138F" w:rsidP="00A8138F">
      <w:pPr>
        <w:pStyle w:val="TextoNormal"/>
      </w:pPr>
      <w:r w:rsidRPr="00A8138F">
        <w:rPr>
          <w:rStyle w:val="NumeroAFNegritaCaracter"/>
        </w:rPr>
        <w:lastRenderedPageBreak/>
        <w:t>6</w:t>
      </w:r>
      <w:r>
        <w:t>. Mediante escrito presentado el 10 de octubre de 2024 en el registro general de este tribunal, la letrada de la Seguridad Social solicitó que se la tuviera por personada en el presente recurso de amparo en nombre y representación del INSS y la TGSS.</w:t>
      </w:r>
    </w:p>
    <w:p w14:paraId="26E8016D" w14:textId="77777777" w:rsidR="00A8138F" w:rsidRDefault="00A8138F" w:rsidP="00A8138F">
      <w:pPr>
        <w:pStyle w:val="TextoNormal"/>
      </w:pPr>
    </w:p>
    <w:p w14:paraId="5AAC17FC" w14:textId="7F684A31" w:rsidR="00A8138F" w:rsidRDefault="00A8138F" w:rsidP="00A8138F">
      <w:pPr>
        <w:pStyle w:val="TextoNormal"/>
      </w:pPr>
      <w:r w:rsidRPr="00A8138F">
        <w:rPr>
          <w:rStyle w:val="NumeroAFNegritaCaracter"/>
        </w:rPr>
        <w:t>7</w:t>
      </w:r>
      <w:r>
        <w:t>. Por diligencia de ordenación fechada el 15 de octubre de 2024, se tienen por recibidos los testimonios de actuaciones solicitados y el escrito de la letrada de la administración de la Seguridad Social, a quien se tiene por personada y parte en nombre y representación del INSS y la TGSS, con quien se entenderán las diligencias a los solos efectos de evacuar el trámite de alegaciones del art. 52 LOTC, a cuyo tenor se acuerda dar vista de todas las actuaciones del presente recurso de amparo por un plazo común de veinte días al Ministerio Fiscal y a las partes personadas, para que en de dicho plazo puedan presentar las alegaciones que a su derecho convenga.</w:t>
      </w:r>
    </w:p>
    <w:p w14:paraId="35AB972D" w14:textId="77777777" w:rsidR="00A8138F" w:rsidRDefault="00A8138F" w:rsidP="00A8138F">
      <w:pPr>
        <w:pStyle w:val="TextoNormal"/>
      </w:pPr>
    </w:p>
    <w:p w14:paraId="52700735" w14:textId="2ED15C2A" w:rsidR="00A8138F" w:rsidRDefault="00A8138F" w:rsidP="00A8138F">
      <w:pPr>
        <w:pStyle w:val="TextoNormal"/>
      </w:pPr>
      <w:r w:rsidRPr="00A8138F">
        <w:rPr>
          <w:rStyle w:val="NumeroAFNegritaCaracter"/>
        </w:rPr>
        <w:t>8</w:t>
      </w:r>
      <w:r>
        <w:t>. La representación procesal de la demandante presentó escrito de alegaciones en fecha 14 de noviembre de 2024, en el que se manifestó en cuanto al fondo en los términos ya expresados en la demanda de amparo.</w:t>
      </w:r>
    </w:p>
    <w:p w14:paraId="3CF05EDD" w14:textId="77777777" w:rsidR="00A8138F" w:rsidRDefault="00A8138F" w:rsidP="00A8138F">
      <w:pPr>
        <w:pStyle w:val="TextoNormal"/>
      </w:pPr>
    </w:p>
    <w:p w14:paraId="6EA35C4B" w14:textId="77777777" w:rsidR="00A8138F" w:rsidRDefault="00A8138F" w:rsidP="00A8138F">
      <w:pPr>
        <w:pStyle w:val="TextoNormal"/>
      </w:pPr>
      <w:r w:rsidRPr="00A8138F">
        <w:rPr>
          <w:rStyle w:val="NumeroAFNegritaCaracter"/>
        </w:rPr>
        <w:t>9</w:t>
      </w:r>
      <w:r>
        <w:t>. La letrada de la administración de la Seguridad Social presentó sus alegaciones en fecha 12 de noviembre de 2024. Tras exponer el marco normativo y jurisprudencial en que se encuadra la controversia, se opone a la demanda de amparo con argumentos que pueden resumirse en estos términos:</w:t>
      </w:r>
    </w:p>
    <w:p w14:paraId="279424D6" w14:textId="77777777" w:rsidR="00A8138F" w:rsidRDefault="00A8138F" w:rsidP="00A8138F">
      <w:pPr>
        <w:pStyle w:val="TextoNormal"/>
      </w:pPr>
    </w:p>
    <w:p w14:paraId="454FFE59" w14:textId="77777777" w:rsidR="00A8138F" w:rsidRDefault="00A8138F" w:rsidP="00A8138F">
      <w:pPr>
        <w:pStyle w:val="TextoNormal"/>
      </w:pPr>
      <w:r>
        <w:t>(i) La demandante no ha justificado la especial trascendencia constitucional de su recurso. Tal y como fue planteado el procedimiento, para la alegante no existe ningún derecho fundamental que resulte vulnerado por el hecho de no reconocer un periodo superior a dieciséis semanas a una prestación de Seguridad Social, ni son discriminatorias las normas denunciadas. La estimación de las alegaciones de la recurrente resultaría discriminatoria para las madres biológicas en familias biparentales, por las razones que expone más adelante. La protección social, económica y jurídica de la familia y la protección integral de los hijos (art. 39 CE), así como el régimen público de Seguridad Social (art. 41 CE), preceptos señalados por la actora para justificar su recurso, no son derechos fundamentales protegidos por el recurso de amparo, sino principios rectores de la política social.</w:t>
      </w:r>
    </w:p>
    <w:p w14:paraId="51A9B790" w14:textId="77777777" w:rsidR="00A8138F" w:rsidRDefault="00A8138F" w:rsidP="00A8138F">
      <w:pPr>
        <w:pStyle w:val="TextoNormal"/>
      </w:pPr>
    </w:p>
    <w:p w14:paraId="2056ADAE" w14:textId="77777777" w:rsidR="00A8138F" w:rsidRDefault="00A8138F" w:rsidP="00A8138F">
      <w:pPr>
        <w:pStyle w:val="TextoNormal"/>
      </w:pPr>
      <w:r>
        <w:t>Lo que justifica una prestación económica de Seguridad Social, como la prestación por nacimiento y cuidado de menor de doce meses, obedece a la perdida retributiva derivada de la cesación de las obligaciones mutuas derivadas del contrato de trabajo —prestación de servicios y salario— que es el derecho principal; y solo después, si se cumplen el resto de los requisitos para ello, entra en juego el derecho accesorio a la prestación de Seguridad Social. El juicio de igualdad requiere como presupuesto obligado que, como consecuencia de la medida normativa cuestionada, se haya introducido directa o indirectamente una diferencia de trato entre grupos o categorías de personas y, por otra parte, que las situaciones subjetivas que quieran traerse a la comparación sean, efectivamente, homogéneas o equiparables. Solo una vez verificado uno y otro presupuesto, resulta procedente entrar a determinar la licitud constitucional o no de la diferencia de trato que se discute.</w:t>
      </w:r>
    </w:p>
    <w:p w14:paraId="2F1A2C98" w14:textId="77777777" w:rsidR="00A8138F" w:rsidRDefault="00A8138F" w:rsidP="00A8138F">
      <w:pPr>
        <w:pStyle w:val="TextoNormal"/>
      </w:pPr>
    </w:p>
    <w:p w14:paraId="03012A03" w14:textId="77777777" w:rsidR="00A8138F" w:rsidRDefault="00A8138F" w:rsidP="00A8138F">
      <w:pPr>
        <w:pStyle w:val="TextoNormal"/>
      </w:pPr>
      <w:r>
        <w:t xml:space="preserve">(ii) En relación con el primer motivo de amparo (desigualdad entre madres biológicas de familias monoparentales y madres biológicas de familias biparentales, con vulneración del </w:t>
      </w:r>
      <w:r>
        <w:lastRenderedPageBreak/>
        <w:t>primer inciso del art. 14 CE en relación con el art. 39 CE), la letrada de la administración de la Seguridad Social afirma que el Sistema de la Seguridad Social y sus prestaciones son de estricta configuración legal. En particular, en materia de prestaciones de la Seguridad Social, el legislador tiene un amplio margen de libertad para configurar el sistema en función de los recursos disponibles para atender las múltiples necesidades sociales, sin que este tribunal, según los precedentes que cita, pueda interferir con decisiones susceptibles de alterar el equilibrio económico financiero del conjunto del sistema, salvo que la diferencia de tratamiento esté desprovista de toda justificación objetiva o razonable.</w:t>
      </w:r>
    </w:p>
    <w:p w14:paraId="72CC5994" w14:textId="77777777" w:rsidR="00A8138F" w:rsidRDefault="00A8138F" w:rsidP="00A8138F">
      <w:pPr>
        <w:pStyle w:val="TextoNormal"/>
      </w:pPr>
    </w:p>
    <w:p w14:paraId="6001E1F4" w14:textId="77777777" w:rsidR="00A8138F" w:rsidRDefault="00A8138F" w:rsidP="00A8138F">
      <w:pPr>
        <w:pStyle w:val="TextoNormal"/>
      </w:pPr>
      <w:r>
        <w:t>En el caso de las familias biparentales, la prestación que corresponde al progenitor respecto a las dieciséis semanas de descanso por nacimiento y cuidado del menor precisa, como condiciones inexcusables, su encuadramiento en la Seguridad Social y cubrir un periodo mínimo de carencia, pues en caso contrario no se le concede, de modo que el interés del menor no puede ser el factor decisivo en esta cuestión, sin que pueda alegarse un trato desigual de ambos tipos de familias, desigualdad que se daría a favor de la recurrente monoparental en el supuesto de las familias biparentales, en que uno de los progenitores no pudiera beneficiarse de las dieciséis semanas adicionales. Sostiene que en nuestro ordenamiento jurídico se ha previsto la existencia de diferentes modelos familiares, contemplando las especiales necesidades que afrontan las familias monoparentales, tanto dentro como fuera del ámbito de la Seguridad Social, y dotándolas de ciertas ventajas respecto a las familias biparentales, de lo que la letrada de la administración de la Seguridad Social cita varios ejemplos. Una valoración de estas circunstancias significa que el trato otorgado a las familias monoparentales ha sido tenido en cuenta por los poderes públicos al objeto de proteger a la familia, de manera que el trato otorgado en el disfrute de los permisos de paternidad y maternidad, y la correlativa prestación por nacimiento y cuidado del menor, a los progenitores monoparentales y biparentales, ha sido debidamente valorado y justificado atendiendo precisamente a la aplicación del principio de igualdad.</w:t>
      </w:r>
    </w:p>
    <w:p w14:paraId="796D5CED" w14:textId="77777777" w:rsidR="00A8138F" w:rsidRDefault="00A8138F" w:rsidP="00A8138F">
      <w:pPr>
        <w:pStyle w:val="TextoNormal"/>
      </w:pPr>
    </w:p>
    <w:p w14:paraId="4D07B499" w14:textId="77777777" w:rsidR="00A8138F" w:rsidRDefault="00A8138F" w:rsidP="00A8138F">
      <w:pPr>
        <w:pStyle w:val="TextoNormal"/>
      </w:pPr>
      <w:r>
        <w:t>Por tales motivos, entiende que no puede tacharse de discriminatoria la norma que reconoce a las madres biológicas de familias monoparentales el derecho a suspender el contrato de trabajo por causa de nacimiento y cuidado del menor durante un periodo de dieciséis semanas y, en consecuencia, la percepción del subsidio de maternidad anejo a ese periodo, no estando justificado desde ningún punto de vista, ni siquiera el del interés superior del menor, incrementar ese periodo con el que le correspondería al otro progenitor, ausente en estos casos. Y concluye que, desde el punto de vista laboral, el ordenamiento jurídico prevé y debe prever otras soluciones coherentes con las políticas que intentan evitar las consecuencias negativas del estereotipo de género.</w:t>
      </w:r>
    </w:p>
    <w:p w14:paraId="3E237992" w14:textId="77777777" w:rsidR="00A8138F" w:rsidRDefault="00A8138F" w:rsidP="00A8138F">
      <w:pPr>
        <w:pStyle w:val="TextoNormal"/>
      </w:pPr>
    </w:p>
    <w:p w14:paraId="3EE23740" w14:textId="77777777" w:rsidR="00A8138F" w:rsidRDefault="00A8138F" w:rsidP="00A8138F">
      <w:pPr>
        <w:pStyle w:val="TextoNormal"/>
      </w:pPr>
      <w:r>
        <w:t>(iii) Respecto al segundo motivo de amparo (discriminación directa por circunstancias personales y familiares, con vulneración del segundo inciso del art. 14 CE en relación con el art. 39 CE), para la alegante la libre decisión de una persona que opta por formar una familia monoparental no resulta vulnerada por la circunstancia de que el legislador haya dotado a este tipo de familias de una protección distinta a la de las familias biparentales, tanto en el ámbito laboral, referido al periodo de suspensión del contrato de trabajo, con clara repercusión en la organización de las empresas, como en el ámbito prestacional de Seguridad Social, con afectación también del equilibrio económico financiero del sistema.</w:t>
      </w:r>
    </w:p>
    <w:p w14:paraId="346606CF" w14:textId="77777777" w:rsidR="00A8138F" w:rsidRDefault="00A8138F" w:rsidP="00A8138F">
      <w:pPr>
        <w:pStyle w:val="TextoNormal"/>
      </w:pPr>
    </w:p>
    <w:p w14:paraId="5A35645A" w14:textId="77777777" w:rsidR="00A8138F" w:rsidRDefault="00A8138F" w:rsidP="00A8138F">
      <w:pPr>
        <w:pStyle w:val="TextoNormal"/>
      </w:pPr>
      <w:r>
        <w:lastRenderedPageBreak/>
        <w:t>En relación con el ámbito laboral, no resulta igual para un empresario asumir que una trabajadora suspenda su relación laboral treinta y dos semanas en lugar de dieciséis. Además, de cara al empleo y la ocupación, el establecimiento de un permiso de mayor duración en favor de las progenitoras en las familias monoparentales, podría producir una clara desventaja en la contratación de estas mujeres que ahondaría en el estereotipo de género, de manera que se produciría un efecto contrario al pretendido por la norma, al incrementar el sobrecoste que puede suponer para un empleador contratar a una mujer en comparación con el hombre, socavando el fin pretendido de igualdad efectiva entre ambos sexos y los derechos de conciliación de la vida personal, familiar y laboral.</w:t>
      </w:r>
    </w:p>
    <w:p w14:paraId="380AD1DF" w14:textId="77777777" w:rsidR="00A8138F" w:rsidRDefault="00A8138F" w:rsidP="00A8138F">
      <w:pPr>
        <w:pStyle w:val="TextoNormal"/>
      </w:pPr>
    </w:p>
    <w:p w14:paraId="4D1E8B0E" w14:textId="77777777" w:rsidR="00A8138F" w:rsidRDefault="00A8138F" w:rsidP="00A8138F">
      <w:pPr>
        <w:pStyle w:val="TextoNormal"/>
      </w:pPr>
      <w:r>
        <w:t>Y en relación con el ámbito prestacional, la asunción por el Sistema público de Seguridad Social del pago de dieciséis semanas de prestación relacionadas con la correspondiente cotización, no es igual que la asunción del pago de prestación durante veintiocho semanas, por el mismo esfuerzo contributivo que por el que se abonan las dieciséis. Y ello al margen de que la base reguladora de la prestación en los casos de familias biparentales se calcula sobre las bases de cotización de cada uno de los progenitores, siendo así que, en la interpretación postulada por la recurrente, la base reguladora es calculada sobre las bases de cotización de la solicitante, siendo mayoritariamente máximas las bases de cotización del progenitor monoparental que reclama este aumento del periodo prestacional.</w:t>
      </w:r>
    </w:p>
    <w:p w14:paraId="758EE97E" w14:textId="77777777" w:rsidR="00A8138F" w:rsidRDefault="00A8138F" w:rsidP="00A8138F">
      <w:pPr>
        <w:pStyle w:val="TextoNormal"/>
      </w:pPr>
    </w:p>
    <w:p w14:paraId="4A460090" w14:textId="77777777" w:rsidR="00A8138F" w:rsidRDefault="00A8138F" w:rsidP="00A8138F">
      <w:pPr>
        <w:pStyle w:val="TextoNormal"/>
      </w:pPr>
      <w:r>
        <w:t>(iv) Y por lo que se refiere al tercer motivo de amparo (discriminación indirecta por razón de sexo, con vulneración del segundo inciso del art. 14 CE en relación con el art. 9.2 CE), arguye la letrada de la administración de la Seguridad Social que, si se reconociera un mayor número de semanas a una mujer de una familia monoparental, existiría una clara discriminación respecto a las mujeres en las familias biparentales, toda vez que estas últimas disfrutarían de menos semanas que las primeras. Y en el mismo sentido, si se reconociera este derecho a la mujer de familia monoparental habría que reconocer el mismo derecho al hombre de una familia monoparental, lo cual sería contrario a la finalidad de la norma, que prevé expresamente que, en caso de fallecimiento de la madre biológica, el otro progenitor tiene derecho solo a dieciséis semanas, sin poder incrementar más el periodo.</w:t>
      </w:r>
    </w:p>
    <w:p w14:paraId="0FCDB7A4" w14:textId="77777777" w:rsidR="00A8138F" w:rsidRDefault="00A8138F" w:rsidP="00A8138F">
      <w:pPr>
        <w:pStyle w:val="TextoNormal"/>
      </w:pPr>
    </w:p>
    <w:p w14:paraId="69CF7B91" w14:textId="77777777" w:rsidR="00A8138F" w:rsidRDefault="00A8138F" w:rsidP="00A8138F">
      <w:pPr>
        <w:pStyle w:val="TextoNormal"/>
      </w:pPr>
      <w:r>
        <w:t>En cuanto al interés de la menor, a su juicio no resulta tampoco afectado por el criterio adoptado en este caso. Si bien pudiera ser cierto que para un menor la atención y apego de los dos progenitores puede resultar más beneficioso, eso no supone que deba ser necesariamente protegido por el Sistema de Seguridad Social, salvo en circunstancias excepcionales, como en los supuestos en que no se encuentra protegido el progenitor que no está afiliado o en alta, sea el padre o la madre, o no se encuentra protegido al mismo nivel de duración y cuantía de la prestación el progenitor que no reúne el periodo de cotización exigido. Las familias, sean biparentales o monoparentales, no son las titulares de los derechos, siéndolo única y exclusivamente las personas, que con plena libertad pueden adoptar las decisiones vitales que consideren pertinentes con las consecuencias jurídicas que les sean de aplicación.</w:t>
      </w:r>
    </w:p>
    <w:p w14:paraId="201CA817" w14:textId="77777777" w:rsidR="00A8138F" w:rsidRDefault="00A8138F" w:rsidP="00A8138F">
      <w:pPr>
        <w:pStyle w:val="TextoNormal"/>
      </w:pPr>
    </w:p>
    <w:p w14:paraId="06B10FD2" w14:textId="77777777" w:rsidR="00A8138F" w:rsidRDefault="00A8138F" w:rsidP="00A8138F">
      <w:pPr>
        <w:pStyle w:val="TextoNormal"/>
      </w:pPr>
      <w:r>
        <w:t>Señala asimismo que el apego a los menores no se protege con estar las veinticuatro horas pendientes y sin separación de ellos después de las primeras dieciséis semanas de vida, sino cuando el progenitor responde a las necesidades físicas y emocionales del niño, y tiene la capacidad de entender sus necesidades en sí mismas.</w:t>
      </w:r>
    </w:p>
    <w:p w14:paraId="33C66A55" w14:textId="77777777" w:rsidR="00A8138F" w:rsidRDefault="00A8138F" w:rsidP="00A8138F">
      <w:pPr>
        <w:pStyle w:val="TextoNormal"/>
      </w:pPr>
    </w:p>
    <w:p w14:paraId="3AC3652E" w14:textId="5DEA0828" w:rsidR="00A8138F" w:rsidRDefault="00A8138F" w:rsidP="00A8138F">
      <w:pPr>
        <w:pStyle w:val="TextoNormal"/>
      </w:pPr>
      <w:r>
        <w:lastRenderedPageBreak/>
        <w:t>Por lo expuesto, la letrada de la administración de la Seguridad solicita la desestimación del amparo solicitado.</w:t>
      </w:r>
    </w:p>
    <w:p w14:paraId="3D606382" w14:textId="77777777" w:rsidR="00A8138F" w:rsidRDefault="00A8138F" w:rsidP="00A8138F">
      <w:pPr>
        <w:pStyle w:val="TextoNormal"/>
      </w:pPr>
    </w:p>
    <w:p w14:paraId="7BAB1750" w14:textId="77777777" w:rsidR="00A8138F" w:rsidRDefault="00A8138F" w:rsidP="00A8138F">
      <w:pPr>
        <w:pStyle w:val="TextoNormal"/>
      </w:pPr>
      <w:r w:rsidRPr="00A8138F">
        <w:rPr>
          <w:rStyle w:val="NumeroAFNegritaCaracter"/>
        </w:rPr>
        <w:t>10</w:t>
      </w:r>
      <w:r>
        <w:t>. El Ministerio Fiscal presentó escrito de alegaciones el 27 de noviembre de 2024 en el que, luego de resumir los antecedentes relevantes del caso y los términos del recurso de amparo, invoca la STC 140/2024, de 6 de noviembre, dictada en la cuestión de inconstitucionalidad núm. 6694-2023, que ha establecido una doctrina constitucional específica para la cuestión debatida en el presente recurso de amparo, al declarar inconstitucionales los arts. 48.4 LET y 177 LGSS, precisamente por la vulneración del derecho establecido en el art. 14 CE en relación con el art. 39 CE que se alega en el presente recurso, y ha establecido, mientras el legislador no reforme dichos artículos, una interpretación provisional acorde a la Constitución de la normativa sobre suspensión del contrato de trabajo y prestación de la Seguridad Social anudada a la misma, todo lo cual es directamente aplicable al presente recurso. La citada sentencia de este tribunal establece una interpretación provisional para que la aplicación de los preceptos declarados inconstitucionales, que no los declara nulos, no siga produciendo una vulneración del art. 14 CE.</w:t>
      </w:r>
    </w:p>
    <w:p w14:paraId="3BDAD0EF" w14:textId="77777777" w:rsidR="00A8138F" w:rsidRDefault="00A8138F" w:rsidP="00A8138F">
      <w:pPr>
        <w:pStyle w:val="TextoNormal"/>
      </w:pPr>
    </w:p>
    <w:p w14:paraId="0E4B632C" w14:textId="77777777" w:rsidR="00A8138F" w:rsidRDefault="00A8138F" w:rsidP="00A8138F">
      <w:pPr>
        <w:pStyle w:val="TextoNormal"/>
      </w:pPr>
      <w:r>
        <w:t>En aplicación de este criterio constitucional, el fiscal considera que procede la estimación del amparo, pues al aplicar los mencionados artículos, recientemente declarados inconstitucionales, la sentencia del Tribunal Supremo que se impugna ha producido la discriminación prohibida por el art. 14 CE, tanto de la demandante de amparo por constituir a una familia monoparental (por razón del modelo de familia), como del hijo por razón de nacimiento, por haber nacido en una familia monoparental. El motivo de la vulneración del art. 14 CE es el derecho a la no discriminación, porque la regulación cuestionada (art. 48.4 LET en relación con el 177 LGSS) provoca una desigualdad de trato perjudicial para los menores nacidos en familias monoparentales, frente a los nacidos en familias biparentales, en cuanto al menor tiempo del que disponen las familias monoparentales, al estar formadas por un único progenitor, para destinarlo al cuidado del hijo de hasta doce meses de edad, debida a la regulación de la suspensión del contrato de trabajo (art. 48.4 LET).</w:t>
      </w:r>
    </w:p>
    <w:p w14:paraId="0C0080C0" w14:textId="77777777" w:rsidR="00A8138F" w:rsidRDefault="00A8138F" w:rsidP="00A8138F">
      <w:pPr>
        <w:pStyle w:val="TextoNormal"/>
      </w:pPr>
    </w:p>
    <w:p w14:paraId="62103937" w14:textId="77777777" w:rsidR="00A8138F" w:rsidRDefault="00A8138F" w:rsidP="00A8138F">
      <w:pPr>
        <w:pStyle w:val="TextoNormal"/>
      </w:pPr>
      <w:r>
        <w:t>Como la duración de la prestación del art. 177 LGSS objeto la reclamación en el proceso laboral está vinculada a la suspensión del contrato de trabajo por el nacimiento y cuidado del hijo de hasta doce meses que establece el art. 48.4 LET, el fiscal afirma que al denegar la ampliación de la prestación confirmando las resoluciones del INSS en aplicación de los preceptos que han sido declarados inconstitucionales, la decisión resulta inconstitucional y por tanto nula.</w:t>
      </w:r>
    </w:p>
    <w:p w14:paraId="17E28E7C" w14:textId="77777777" w:rsidR="00A8138F" w:rsidRDefault="00A8138F" w:rsidP="00A8138F">
      <w:pPr>
        <w:pStyle w:val="TextoNormal"/>
      </w:pPr>
    </w:p>
    <w:p w14:paraId="768A985E" w14:textId="2260EA49" w:rsidR="00A8138F" w:rsidRDefault="00A8138F" w:rsidP="00A8138F">
      <w:pPr>
        <w:pStyle w:val="TextoNormal"/>
      </w:pPr>
      <w:r>
        <w:t>Por lo expuesto, el fiscal considera que procede estimar parcialmente el recurso por vulneración del derecho a no ser discriminado: el de la demandante por su pertenencia a una familia monoparental, y el de su hija por razón de nacimiento en la misma; y declarar la nulidad de la sentencia núm. 1136/2023 de la Sala de lo Social del Tribunal Supremo, dejando firme la sentencia núm. 255/2022, de 8 de abril, de la Sala de lo Social del Tribunal Superior de Justicia de Cantabria, al tener en cuenta que la argumentación de vulneración del art. 14 CE y la interpretación del art. 48.4 LET en relación con el art. 177 LGSS que realiza la sentencia del Tribunal Superior de Justicia de Cantabria, es coincidente con la de la STC 140/2024, por lo que el fiscal entiende que la sentencia dictada en suplicación no ha vulnerado el derecho a la no discriminación de la demandante de amparo y de su hijo.</w:t>
      </w:r>
    </w:p>
    <w:p w14:paraId="169590A6" w14:textId="77777777" w:rsidR="00A8138F" w:rsidRDefault="00A8138F" w:rsidP="00A8138F">
      <w:pPr>
        <w:pStyle w:val="TextoNormal"/>
      </w:pPr>
    </w:p>
    <w:p w14:paraId="21308F0A" w14:textId="5EEC347F" w:rsidR="00A8138F" w:rsidRDefault="00A8138F" w:rsidP="00A8138F">
      <w:pPr>
        <w:pStyle w:val="TextoNormal"/>
      </w:pPr>
      <w:r w:rsidRPr="00A8138F">
        <w:rPr>
          <w:rStyle w:val="NumeroAFNegritaCaracter"/>
        </w:rPr>
        <w:lastRenderedPageBreak/>
        <w:t>11</w:t>
      </w:r>
      <w:r>
        <w:t>. Por providencia de 9 de enero de 2025 se señaló para la deliberación y votación de la presente sentencia el día 13 del mismo mes y año.</w:t>
      </w:r>
    </w:p>
    <w:p w14:paraId="68870829" w14:textId="77777777" w:rsidR="00A8138F" w:rsidRDefault="00A8138F" w:rsidP="00A8138F">
      <w:pPr>
        <w:pStyle w:val="TextoNormal"/>
      </w:pPr>
    </w:p>
    <w:p w14:paraId="0E97DAEB" w14:textId="77777777" w:rsidR="00A8138F" w:rsidRDefault="00A8138F" w:rsidP="00A8138F">
      <w:pPr>
        <w:pStyle w:val="TextoNormalNegritaCentrado"/>
        <w:keepNext/>
      </w:pPr>
      <w:r>
        <w:t>II. Fundamentos jurídicos</w:t>
      </w:r>
    </w:p>
    <w:p w14:paraId="011A64A8" w14:textId="6C94413E" w:rsidR="00A8138F" w:rsidRDefault="00A8138F" w:rsidP="00A8138F">
      <w:pPr>
        <w:pStyle w:val="TextoNormalNegritaCentrado"/>
        <w:keepNext/>
      </w:pPr>
    </w:p>
    <w:p w14:paraId="7739AEA9"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C696106" w14:textId="77777777" w:rsidR="00A8138F" w:rsidRDefault="00A8138F" w:rsidP="00A8138F">
      <w:pPr>
        <w:pStyle w:val="TextoNormal"/>
      </w:pPr>
    </w:p>
    <w:p w14:paraId="7B4CB6AD" w14:textId="7FE72886" w:rsidR="00A8138F" w:rsidRDefault="00A8138F" w:rsidP="00A8138F">
      <w:pPr>
        <w:pStyle w:val="TextoNormal"/>
      </w:pPr>
      <w:r>
        <w:t>El objeto del presente proceso es dilucidar si las resoluciones impugnadas han ocasionado una discriminación por razón de nacimiento, contraria al art. 14 CE, en relación con el art. 39 CE, al aplicar el art. 48.4 LET, en relación con el art. 177 LGSS, en la redacción dada a los mismos por el Real-Decreto-ley 6/2019, de 1 de marzo, de medidas urgentes para garantía de la igualdad de trato y de oportunidades entre mujeres y hombres en el empleo y la ocupación.</w:t>
      </w:r>
    </w:p>
    <w:p w14:paraId="4D848C96" w14:textId="77777777" w:rsidR="00A8138F" w:rsidRDefault="00A8138F" w:rsidP="00A8138F">
      <w:pPr>
        <w:pStyle w:val="TextoNormal"/>
      </w:pPr>
    </w:p>
    <w:p w14:paraId="55C7B86E" w14:textId="77777777" w:rsidR="00A8138F" w:rsidRDefault="00A8138F" w:rsidP="00A8138F">
      <w:pPr>
        <w:pStyle w:val="TextoNormal"/>
      </w:pPr>
      <w:r w:rsidRPr="00A8138F">
        <w:rPr>
          <w:rStyle w:val="NumeroAFNegritaCaracter"/>
        </w:rPr>
        <w:t>2</w:t>
      </w:r>
      <w:r>
        <w:t xml:space="preserve">. </w:t>
      </w:r>
      <w:r w:rsidRPr="00A8138F">
        <w:rPr>
          <w:i/>
        </w:rPr>
        <w:t>Sobre la especial trascendencia de la cuestión planteada y su justificación en la demanda</w:t>
      </w:r>
    </w:p>
    <w:p w14:paraId="65D38F3A" w14:textId="77777777" w:rsidR="00A8138F" w:rsidRDefault="00A8138F" w:rsidP="00A8138F">
      <w:pPr>
        <w:pStyle w:val="TextoNormal"/>
      </w:pPr>
    </w:p>
    <w:p w14:paraId="2C6235D8" w14:textId="77777777" w:rsidR="00A8138F" w:rsidRDefault="00A8138F" w:rsidP="00A8138F">
      <w:pPr>
        <w:pStyle w:val="TextoNormal"/>
      </w:pPr>
      <w:r>
        <w:t>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letra c)], en tanto las decisiones administrativas y judiciales cuestionadas justificaban en cada caso la desestimación de la pretensión planteada en el tenor literal de la regulación jurídica aplicable y aplicada al caso.</w:t>
      </w:r>
    </w:p>
    <w:p w14:paraId="14B10D48" w14:textId="77777777" w:rsidR="00A8138F" w:rsidRDefault="00A8138F" w:rsidP="00A8138F">
      <w:pPr>
        <w:pStyle w:val="TextoNormal"/>
      </w:pPr>
    </w:p>
    <w:p w14:paraId="64AC3DD4" w14:textId="1579BDF7" w:rsidR="00A8138F" w:rsidRDefault="00A8138F" w:rsidP="00A8138F">
      <w:pPr>
        <w:pStyle w:val="TextoNormal"/>
      </w:pPr>
      <w:r>
        <w:t>La letrada de la administración de la Seguridad Social cuestiona en sus alegaciones que la demandante haya justificado de forma debida la especial trascendencia constitucional de la cuestión planteada en la demanda de amparo. Sin embargo, tal objeción no puede ser compartida como óbice procesal que conllevaría la inadmisión de la demanda pues, a través de dicha alegación, no se hace sino discrepar de la fundamentación que justifica la queja, anticipando el representante de la administración que no se ha producido vulneración alguna del derecho a la igualdad ante la ley sin que haya lugar a discriminación. Este argumento habrá de ser analizado al resolver la cuestión de fondo lo que, cabe anticipar, se hará en los mismos términos en que ha sido expresado por el Pleno del Tribunal Constitucional en la reciente STC 140/2024, de 6 de noviembre, a la que, por coincidir su objeto, habremos de remitirnos.</w:t>
      </w:r>
    </w:p>
    <w:p w14:paraId="1F440DB8" w14:textId="77777777" w:rsidR="00A8138F" w:rsidRDefault="00A8138F" w:rsidP="00A8138F">
      <w:pPr>
        <w:pStyle w:val="TextoNormal"/>
      </w:pPr>
    </w:p>
    <w:p w14:paraId="23826F36"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fijada en la STC 140/2024, de 6 de noviembre</w:t>
      </w:r>
    </w:p>
    <w:p w14:paraId="073323DA" w14:textId="77777777" w:rsidR="00A8138F" w:rsidRDefault="00A8138F" w:rsidP="00A8138F">
      <w:pPr>
        <w:pStyle w:val="TextoNormal"/>
      </w:pPr>
    </w:p>
    <w:p w14:paraId="26274793" w14:textId="77777777" w:rsidR="00A8138F" w:rsidRDefault="00A8138F" w:rsidP="00A8138F">
      <w:pPr>
        <w:pStyle w:val="TextoNormal"/>
      </w:pPr>
      <w: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w:t>
      </w:r>
      <w:r>
        <w:lastRenderedPageBreak/>
        <w:t>en el nacimiento en familia monoparental (FJ 6), al tiempo que precisamos el alcance de la declaración de inconstitucionalidad realizada (FJ 7).</w:t>
      </w:r>
    </w:p>
    <w:p w14:paraId="0D9E03E9" w14:textId="77777777" w:rsidR="00A8138F" w:rsidRDefault="00A8138F" w:rsidP="00A8138F">
      <w:pPr>
        <w:pStyle w:val="TextoNormal"/>
      </w:pPr>
    </w:p>
    <w:p w14:paraId="47C72E00"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0E88279" w14:textId="77777777" w:rsidR="00A8138F" w:rsidRDefault="00A8138F" w:rsidP="00A8138F">
      <w:pPr>
        <w:pStyle w:val="TextoNormal"/>
      </w:pPr>
    </w:p>
    <w:p w14:paraId="74C09D50"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2A9273D0" w14:textId="77777777" w:rsidR="00A8138F" w:rsidRDefault="00A8138F" w:rsidP="00A8138F">
      <w:pPr>
        <w:pStyle w:val="TextoNormal"/>
      </w:pPr>
    </w:p>
    <w:p w14:paraId="724DA5A1" w14:textId="5951BDC2"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313CDD24" w14:textId="77777777" w:rsidR="00A8138F" w:rsidRDefault="00A8138F" w:rsidP="00A8138F">
      <w:pPr>
        <w:pStyle w:val="TextoNormal"/>
      </w:pPr>
    </w:p>
    <w:p w14:paraId="65691DEF" w14:textId="77777777" w:rsidR="00A8138F" w:rsidRDefault="00A8138F" w:rsidP="00A8138F">
      <w:pPr>
        <w:pStyle w:val="TextoNormalCentrado"/>
        <w:keepNext/>
      </w:pPr>
      <w:r>
        <w:t>FALLO</w:t>
      </w:r>
    </w:p>
    <w:p w14:paraId="1CAFE552" w14:textId="22FD2B0C" w:rsidR="00A8138F" w:rsidRDefault="00A8138F" w:rsidP="00A8138F">
      <w:pPr>
        <w:pStyle w:val="TextoNormalCentrado"/>
        <w:keepNext/>
      </w:pPr>
    </w:p>
    <w:p w14:paraId="4459E94A"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Eva Ordax Cano y, en su virtud:</w:t>
      </w:r>
    </w:p>
    <w:p w14:paraId="6536F36F" w14:textId="77777777" w:rsidR="00A8138F" w:rsidRDefault="00A8138F" w:rsidP="00A8138F">
      <w:pPr>
        <w:pStyle w:val="TextoNormal"/>
      </w:pPr>
    </w:p>
    <w:p w14:paraId="3D71FA79" w14:textId="77777777" w:rsidR="00A8138F" w:rsidRDefault="00A8138F" w:rsidP="00A8138F">
      <w:pPr>
        <w:pStyle w:val="TextoNormal"/>
      </w:pPr>
      <w:r>
        <w:t>1º Declarar que ha sido vulnerado el derecho fundamental a la igualdad ante la ley sin discriminación por razón de nacimiento (art. 14 CE).</w:t>
      </w:r>
    </w:p>
    <w:p w14:paraId="7975D480" w14:textId="77777777" w:rsidR="00A8138F" w:rsidRDefault="00A8138F" w:rsidP="00A8138F">
      <w:pPr>
        <w:pStyle w:val="TextoNormal"/>
      </w:pPr>
    </w:p>
    <w:p w14:paraId="5E673B41" w14:textId="77777777" w:rsidR="00A8138F" w:rsidRDefault="00A8138F" w:rsidP="00A8138F">
      <w:pPr>
        <w:pStyle w:val="TextoNormal"/>
      </w:pPr>
      <w:r>
        <w:lastRenderedPageBreak/>
        <w:t>2º Restablecer a la demandante de amparo en su derecho y, a tal fin, declarar la nulidad de las resoluciones dictadas por la Dirección Provincial de Cantabria del INSS de fechas 10 de septiembre de 2021 y 18 de octubre de 2021, la sentencia núm. 24/2022, de 31 de enero, dictada por el Juzgado de lo Social núm. 4 de Santander en el procedimiento de Seguridad Social núm. 875-2021, la sentencia núm. 255/2022, de 8 de abril, de la Sala de lo Social del Tribunal Superior de Justicia de Cantabria, dictada en el recurso de suplicación núm. 234-2022; el auto de 23 de mayo de 2023, dictado por la Sala de lo Social del Tribunal Supremo en el recurso de casación para la unificación de doctrina núm. 2814-2022 y la sentencia núm. 1136/2023, de 12 de diciembre, dictada por la Sala de lo Social del Tribunal Supremo en el citado el recurso de casación para la unificación de doctrina.</w:t>
      </w:r>
    </w:p>
    <w:p w14:paraId="299E07B1" w14:textId="77777777" w:rsidR="00A8138F" w:rsidRDefault="00A8138F" w:rsidP="00A8138F">
      <w:pPr>
        <w:pStyle w:val="TextoNormal"/>
      </w:pPr>
    </w:p>
    <w:p w14:paraId="3CC47CFB" w14:textId="67052FF0" w:rsidR="00A8138F" w:rsidRDefault="00A8138F" w:rsidP="00A8138F">
      <w:pPr>
        <w:pStyle w:val="TextoNormal"/>
      </w:pPr>
      <w:r>
        <w:t>3º Retrotraer las actuaciones al momento previo al dictado de la resolución de la Dirección Provincial de Cantabria del INSS de fecha 10 de septiembre de 2021, a fin de que, en los términos expuestos en el último párrafo del fundamento jurídico 3, se dicte otra respetuosa con el derecho de la recurrente cuya vulneración ha sido declarada.</w:t>
      </w:r>
    </w:p>
    <w:p w14:paraId="036688C7" w14:textId="77777777" w:rsidR="00A8138F" w:rsidRDefault="00A8138F" w:rsidP="00A8138F">
      <w:pPr>
        <w:pStyle w:val="TextoNormal"/>
      </w:pPr>
    </w:p>
    <w:p w14:paraId="12AB47A9" w14:textId="77777777" w:rsidR="00A8138F" w:rsidRDefault="00A8138F" w:rsidP="00A8138F">
      <w:pPr>
        <w:pStyle w:val="TextoNormal"/>
      </w:pPr>
      <w:r>
        <w:t>Publíquese esta sentencia en el “Boletín Oficial del Estado”.</w:t>
      </w:r>
    </w:p>
    <w:p w14:paraId="30555A5E" w14:textId="77777777" w:rsidR="00A8138F" w:rsidRDefault="00A8138F" w:rsidP="00A8138F">
      <w:pPr>
        <w:pStyle w:val="TextoNormal"/>
      </w:pPr>
      <w:r>
        <w:t>Dada en Madrid, a trece de enero de dos mil veinticinco.</w:t>
      </w:r>
    </w:p>
    <w:p w14:paraId="0F0822CD" w14:textId="462BD828" w:rsidR="00A8138F" w:rsidRDefault="00A8138F">
      <w:pPr>
        <w:spacing w:after="160" w:line="278" w:lineRule="auto"/>
        <w:rPr>
          <w:rFonts w:ascii="Times New Roman" w:eastAsia="Times New Roman" w:hAnsi="Times New Roman" w:cs="Times New Roman"/>
          <w:sz w:val="24"/>
          <w:szCs w:val="24"/>
          <w:lang w:eastAsia="es-ES"/>
        </w:rPr>
      </w:pPr>
      <w:r>
        <w:br w:type="page"/>
      </w:r>
    </w:p>
    <w:p w14:paraId="1467129F" w14:textId="77777777" w:rsidR="00A8138F" w:rsidRDefault="00A8138F" w:rsidP="00A8138F">
      <w:pPr>
        <w:pStyle w:val="TtuloResolucin"/>
      </w:pPr>
      <w:bookmarkStart w:id="9" w:name="SENTENCIA_2025_7"/>
      <w:r>
        <w:lastRenderedPageBreak/>
        <w:t>SENTENCIA 7/2025, de 13 de enero de 2025</w:t>
      </w:r>
    </w:p>
    <w:bookmarkEnd w:id="9"/>
    <w:p w14:paraId="41FE8BA7" w14:textId="77777777" w:rsidR="00A8138F" w:rsidRDefault="00A8138F" w:rsidP="00A8138F">
      <w:pPr>
        <w:pStyle w:val="TtuloResolucin"/>
      </w:pPr>
      <w:r>
        <w:t>Sala Segunda</w:t>
      </w:r>
    </w:p>
    <w:p w14:paraId="42673891" w14:textId="77777777" w:rsidR="00A8138F" w:rsidRDefault="00A8138F" w:rsidP="00A8138F">
      <w:pPr>
        <w:pStyle w:val="TtuloBOE"/>
      </w:pPr>
      <w:r>
        <w:t>(BOE núm. 41, de 17 de febrero de 2025)</w:t>
      </w:r>
    </w:p>
    <w:p w14:paraId="632ED426" w14:textId="77777777" w:rsidR="00A8138F" w:rsidRDefault="00A8138F" w:rsidP="00A8138F">
      <w:pPr>
        <w:pStyle w:val="TextoNormalCentrado"/>
      </w:pPr>
      <w:r>
        <w:t>ECLI:ES:TC:2025:7</w:t>
      </w:r>
    </w:p>
    <w:p w14:paraId="3A5E5ADB" w14:textId="50D053E2" w:rsidR="00A8138F" w:rsidRDefault="00A8138F" w:rsidP="00A8138F">
      <w:pPr>
        <w:pStyle w:val="TextoNormalCentrado"/>
      </w:pPr>
    </w:p>
    <w:p w14:paraId="4C439140" w14:textId="77777777" w:rsidR="00A8138F" w:rsidRDefault="00A8138F" w:rsidP="00A8138F">
      <w:pPr>
        <w:pStyle w:val="SntesisDescriptiva"/>
      </w:pPr>
      <w:r>
        <w:t>Recurso de amparo 943-2024. Promovido por doña Ixone Fernández Bustillo en relación con las resoluciones administrativas y judiciales que desestimaron su petición de revisión y ampliación de la prestación por nacimiento y cuidado de hijo menor, como madre biológica de familia monoparental.</w:t>
      </w:r>
    </w:p>
    <w:p w14:paraId="29722351" w14:textId="1413878B" w:rsidR="00A8138F" w:rsidRDefault="00A8138F" w:rsidP="00A8138F">
      <w:pPr>
        <w:pStyle w:val="SntesisDescriptiva"/>
      </w:pPr>
    </w:p>
    <w:p w14:paraId="14ED899A"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ECE217F" w14:textId="3E566F03" w:rsidR="00A8138F" w:rsidRDefault="00A8138F" w:rsidP="00A8138F">
      <w:pPr>
        <w:pStyle w:val="SntesisAnaltica"/>
      </w:pPr>
    </w:p>
    <w:p w14:paraId="5F34CDE9" w14:textId="07CC541E"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212A4A37" w14:textId="77777777" w:rsidR="00A8138F" w:rsidRDefault="00A8138F" w:rsidP="00A8138F">
      <w:pPr>
        <w:pStyle w:val="Extracto"/>
      </w:pPr>
    </w:p>
    <w:p w14:paraId="0A0D765F" w14:textId="77777777" w:rsidR="00A8138F" w:rsidRDefault="00A8138F" w:rsidP="00A8138F">
      <w:pPr>
        <w:pStyle w:val="Extracto"/>
      </w:pPr>
    </w:p>
    <w:p w14:paraId="729A092A"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4A357DF" w14:textId="4E5D768E" w:rsidR="00A8138F" w:rsidRDefault="00A8138F" w:rsidP="00A8138F">
      <w:pPr>
        <w:pStyle w:val="TextoNormal"/>
      </w:pPr>
    </w:p>
    <w:p w14:paraId="0C901DF9" w14:textId="77777777" w:rsidR="00A8138F" w:rsidRDefault="00A8138F" w:rsidP="00A8138F">
      <w:pPr>
        <w:pStyle w:val="TextoNormalCentrado"/>
        <w:keepNext/>
      </w:pPr>
      <w:r>
        <w:t>EN NOMBRE DEL REY</w:t>
      </w:r>
    </w:p>
    <w:p w14:paraId="5FA00FA7" w14:textId="1A8572C1" w:rsidR="00A8138F" w:rsidRDefault="00A8138F" w:rsidP="00A8138F">
      <w:pPr>
        <w:pStyle w:val="TextoNormalCentrado"/>
        <w:keepNext/>
      </w:pPr>
    </w:p>
    <w:p w14:paraId="4F7A11B1" w14:textId="77777777" w:rsidR="00A8138F" w:rsidRDefault="00A8138F" w:rsidP="00A8138F">
      <w:pPr>
        <w:pStyle w:val="TextoNormalCentrado"/>
        <w:keepNext/>
      </w:pPr>
    </w:p>
    <w:p w14:paraId="5DEB5D66" w14:textId="77777777" w:rsidR="00A8138F" w:rsidRDefault="00A8138F" w:rsidP="00A8138F">
      <w:pPr>
        <w:pStyle w:val="TextoNormal"/>
      </w:pPr>
      <w:r>
        <w:t>la siguiente</w:t>
      </w:r>
    </w:p>
    <w:p w14:paraId="032DD202" w14:textId="0FDE4AE1" w:rsidR="00A8138F" w:rsidRDefault="00A8138F" w:rsidP="00A8138F">
      <w:pPr>
        <w:pStyle w:val="TextoNormal"/>
      </w:pPr>
    </w:p>
    <w:p w14:paraId="2441A055" w14:textId="77777777" w:rsidR="00A8138F" w:rsidRDefault="00A8138F" w:rsidP="00A8138F">
      <w:pPr>
        <w:pStyle w:val="TextoNormalCentrado"/>
        <w:keepNext/>
      </w:pPr>
      <w:r>
        <w:t>SENTENCIA</w:t>
      </w:r>
    </w:p>
    <w:p w14:paraId="70195F8D" w14:textId="18738F00" w:rsidR="00A8138F" w:rsidRDefault="00A8138F" w:rsidP="00A8138F">
      <w:pPr>
        <w:pStyle w:val="TextoNormalCentrado"/>
        <w:keepNext/>
      </w:pPr>
    </w:p>
    <w:p w14:paraId="00BED96D" w14:textId="77777777" w:rsidR="00A8138F" w:rsidRDefault="00A8138F" w:rsidP="00A8138F">
      <w:pPr>
        <w:pStyle w:val="TextoNormal"/>
      </w:pPr>
      <w:r>
        <w:t>En el recurso de amparo núm. 943-2024, promovido por doña Ixone Fernández Bustillo, representada por la procuradora de los tribunales doña María Isabel Torres Ruiz y asistida por el letrado don Aritz Tellitu Zabala, contra las resoluciones del Instituto Nacional de la Seguridad Social de 24 de febrero de 2021, de 7 de junio de 2021 y 12 de agosto de 2021, denegatorias de la solicitud de ampliación de la prestación por nacimiento y cuidado de hijo menor como madre biológica de familia monoparental; la sentencia núm. 517/2021, de 2 de diciembre, del Juzgado de lo Social núm. 3 de Bilbao, autos núm. 933-2021, que estimó parcialmente la demanda de la señora Fernández reconociéndole el derecho a complementar la prestación de maternidad con diez semanas adicionales; la sentencia núm. 2150/2022, de 25 de octubre, de la Sala de lo Social del Tribunal Superior de Justicia del País Vasco, que desestimó el recurso de suplicación núm. 836-2022 interpuesto por la representación del Instituto Nacional de la Seguridad Social y la Tesorería General de la Seguridad Social y estimó parcialmente el de la señora Fernández, reconociéndole el derecho a otras seis semanas adicionales de permiso de maternidad; y la sentencia núm. 1294/2023, de 21 de diciem</w:t>
      </w:r>
      <w:r>
        <w:lastRenderedPageBreak/>
        <w:t>bre, de la Sala de lo Social del Tribunal Supremo, recurso de casación para la unificación de doctrina núm. 5381-2022, que estimó el recurso presentado por la representación del Instituto Nacional de la Seguridad Social y la Tesorería General de la Seguridad Social, anulando las sentencias anteriores y absolviendo a las codemandadas de todos los pedimentos deducidos contra ellas. Han intervenido el letrado de la administración de la Seguridad Social, en nombre del Instituto Nacional de la Seguridad Social y la Tesorería General de la Seguridad Social, y el Ministerio Fiscal. Ha sido ponente el magistrado don Ramón Sáez Valcárcel.</w:t>
      </w:r>
    </w:p>
    <w:p w14:paraId="00A3520C" w14:textId="7BC647D6" w:rsidR="00A8138F" w:rsidRDefault="00A8138F" w:rsidP="00A8138F">
      <w:pPr>
        <w:pStyle w:val="TextoNormal"/>
      </w:pPr>
    </w:p>
    <w:p w14:paraId="15269BD0" w14:textId="77777777" w:rsidR="00A8138F" w:rsidRDefault="00A8138F" w:rsidP="00A8138F">
      <w:pPr>
        <w:pStyle w:val="TextoNormalNegritaCentrado"/>
        <w:keepNext/>
      </w:pPr>
      <w:r>
        <w:t>I. Antecedentes</w:t>
      </w:r>
    </w:p>
    <w:p w14:paraId="187DC014" w14:textId="2B3E6E9F" w:rsidR="00A8138F" w:rsidRDefault="00A8138F" w:rsidP="00A8138F">
      <w:pPr>
        <w:pStyle w:val="TextoNormalNegritaCentrado"/>
        <w:keepNext/>
      </w:pPr>
    </w:p>
    <w:p w14:paraId="6F9B570C" w14:textId="581A125F" w:rsidR="00A8138F" w:rsidRDefault="00A8138F" w:rsidP="00A8138F">
      <w:pPr>
        <w:pStyle w:val="TextoNormal"/>
      </w:pPr>
      <w:r w:rsidRPr="00A8138F">
        <w:rPr>
          <w:rStyle w:val="NumeroAFNegritaCaracter"/>
        </w:rPr>
        <w:t>1</w:t>
      </w:r>
      <w:r>
        <w:t>. Mediante escrito registrado en este tribunal el 12 de febrero de 2024, la representante procesal de doña Ixone Fernández Bustillo, bajo la dirección letrada de don Aritz Tellitu Zabala, interpuso recurso de amparo contra las resoluciones administrativas y judiciales a las que se ha hecho referencia en el encabezamiento de esta sentencia.</w:t>
      </w:r>
    </w:p>
    <w:p w14:paraId="52BB1115" w14:textId="77777777" w:rsidR="00A8138F" w:rsidRDefault="00A8138F" w:rsidP="00A8138F">
      <w:pPr>
        <w:pStyle w:val="TextoNormal"/>
      </w:pPr>
    </w:p>
    <w:p w14:paraId="1B1A537F"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4FC12E4F" w14:textId="77777777" w:rsidR="00A8138F" w:rsidRDefault="00A8138F" w:rsidP="00A8138F">
      <w:pPr>
        <w:pStyle w:val="TextoNormal"/>
      </w:pPr>
    </w:p>
    <w:p w14:paraId="669B2EBE" w14:textId="77777777" w:rsidR="00A8138F" w:rsidRDefault="00A8138F" w:rsidP="00A8138F">
      <w:pPr>
        <w:pStyle w:val="TextoNormal"/>
      </w:pPr>
      <w:r>
        <w:t>a) La señora Fernández Bustillo es madre biológica de un niño, nacido el 13 de febrero de 2021, siendo su única progenitora registral. Por resolución de 24 de febrero de 2021 le fue reconocido por el Instituto Nacional de la Seguridad Social (INSS) el derecho a la prestación de nacimiento y cuidado del menor por el período que va desde el 13 de febrero de 2021 al 4 de junio de 2021 (dieciséis semanas). El 12 de mayo de 2021 solicitó la ampliación de su permiso en doce semanas más, añadiendo al período ya reconocido el que consideraba hubiera correspondido al segundo progenitor en el supuesto de una familia biparental, petición que fue rechazada por el INSS mediante resolución de 7 de junio de 2021  y frente a la cual la demandante de amparo formuló reclamación previa el 13 de julio de 2021 que fue desestimada por resolución de 12 de agosto de 2021.</w:t>
      </w:r>
    </w:p>
    <w:p w14:paraId="128DC565" w14:textId="77777777" w:rsidR="00A8138F" w:rsidRDefault="00A8138F" w:rsidP="00A8138F">
      <w:pPr>
        <w:pStyle w:val="TextoNormal"/>
      </w:pPr>
    </w:p>
    <w:p w14:paraId="5BC32E78" w14:textId="77777777" w:rsidR="00A8138F" w:rsidRDefault="00A8138F" w:rsidP="00A8138F">
      <w:pPr>
        <w:pStyle w:val="TextoNormal"/>
      </w:pPr>
      <w:r>
        <w:t xml:space="preserve">b) La recurrente presentó demanda contra el INSS y la Tesorería General de la Seguridad Social (TGSS) por entender que se estaba discriminando al menor por razón de nacimiento y a ella por razón de sexo y pertenecer a una familia monoparental, solicitando que se le reconociera el derecho a ampliar la prestación en dieciséis semanas adicionales. Mediante sentencia de 2 de diciembre de 2021, dictada en los autos núm. 933-2021, el Juzgado de lo Social núm. 3 de Bilbao estimó parcialmente la demanda interpuesta y declaró el derecho de la actora a “complementar la prestación de maternidad con otras diez semanas, con arreglo a las condiciones económicas ya reconocidas”, quedando el INSS y la TGSS obligados a estar y pasar por esta declaración. La sentencia consideró que, a tenor de la extensión del permiso de paternidad acordada por el Real Decreto-ley 6/2019, de 1 de marzo, y la interpretación de las normas aplicables [art. 48 del estatuto de los trabajadores (en adelante, LET) y art. 177 de la Ley general de la Seguridad Social (en adelante LGSS)] realizada por la Sala de lo Social del Tribunal Superior de Justicia del País Vasco, a cuya doctrina se remitió literal y expresamente, la pretensión había de ser estimada en protección del interés superior del menor, si bien, dado que las primeras seis semanas posteriores al parto atienden a la </w:t>
      </w:r>
      <w:r>
        <w:lastRenderedPageBreak/>
        <w:t>corresponsabilidad del otro progenitor, lo que no cabe en las familias monoparentales, la ampliación debía ser solo de diez semanas.</w:t>
      </w:r>
    </w:p>
    <w:p w14:paraId="041AA559" w14:textId="77777777" w:rsidR="00A8138F" w:rsidRDefault="00A8138F" w:rsidP="00A8138F">
      <w:pPr>
        <w:pStyle w:val="TextoNormal"/>
      </w:pPr>
    </w:p>
    <w:p w14:paraId="2B02C693" w14:textId="77777777" w:rsidR="00A8138F" w:rsidRDefault="00A8138F" w:rsidP="00A8138F">
      <w:pPr>
        <w:pStyle w:val="TextoNormal"/>
      </w:pPr>
      <w:r>
        <w:t>c) La señora Fernández y la representación del INSS y la TGSS recurrieron en suplicación la sentencia de instancia. La entidad gestora para sostener que la actora no tiene derecho a la prestación reconocida, en tanto que la demandante interesó que se le reconociera la ampliación del permiso y consiguiente prestación durante seis semanas más, hasta un total de dieciséis.</w:t>
      </w:r>
    </w:p>
    <w:p w14:paraId="2FBCCC9C" w14:textId="77777777" w:rsidR="00A8138F" w:rsidRDefault="00A8138F" w:rsidP="00A8138F">
      <w:pPr>
        <w:pStyle w:val="TextoNormal"/>
      </w:pPr>
    </w:p>
    <w:p w14:paraId="1666A864" w14:textId="77777777" w:rsidR="00A8138F" w:rsidRDefault="00A8138F" w:rsidP="00A8138F">
      <w:pPr>
        <w:pStyle w:val="TextoNormal"/>
      </w:pPr>
      <w:r>
        <w:t>Mediante sentencia de 25 de octubre de 2022, dictada en el recurso de suplicación núm. 836-2022, fue estimado el recurso de la actora, con desestimación del formulado por la representación del INSS y la TGSS. Al justificar su decisión, la Sala de lo Social del Tribunal Superior de Justicia del País Vasco ratificó la doctrina jurisprudencial propia [sentencia de 6 de octubre de 2020 (ECLI:ES:TSJPV:2020:396)] que había sido fundamento de la sentencia de instancia para admitir la ampliación del permiso y prestación por nacimiento de menor. A lo expuesto añadió que debía también estimar el recurso de la madre, extendiendo de diez a dieciséis semanas la ampliación de su permiso y prestación por nacimiento para garantizar la equiparación plena con las familias biparentales.</w:t>
      </w:r>
    </w:p>
    <w:p w14:paraId="4CC15E5F" w14:textId="77777777" w:rsidR="00A8138F" w:rsidRDefault="00A8138F" w:rsidP="00A8138F">
      <w:pPr>
        <w:pStyle w:val="TextoNormal"/>
      </w:pPr>
    </w:p>
    <w:p w14:paraId="249328A4" w14:textId="77777777" w:rsidR="00A8138F" w:rsidRDefault="00A8138F" w:rsidP="00A8138F">
      <w:pPr>
        <w:pStyle w:val="TextoNormal"/>
      </w:pPr>
      <w:r>
        <w:t>d) El letrado de la administración de la Seguridad Social interpuso recurso de casación para la unificación de doctrina en el que invocó como sentencia contradictoria la sentencia núm. 3020/2021, de 19 de octubre, dictada por la Sala de lo Social del Tribunal Superior de Justicia de la Comunidad Valenciana (ECLI:ES:TSJCV:2021:4451), y argumentó la infracción de las normas reguladoras de la prestación por nacimiento y cuidado de menor.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14:paraId="35023494" w14:textId="77777777" w:rsidR="00A8138F" w:rsidRDefault="00A8138F" w:rsidP="00A8138F">
      <w:pPr>
        <w:pStyle w:val="TextoNormal"/>
      </w:pPr>
    </w:p>
    <w:p w14:paraId="109FF8F9" w14:textId="3AA3EBA8" w:rsidR="00A8138F" w:rsidRDefault="00A8138F" w:rsidP="00A8138F">
      <w:pPr>
        <w:pStyle w:val="TextoNormal"/>
      </w:pPr>
      <w:r>
        <w:t>e) El recurso de casación para la unificación de doctrina fue estimado por sentencia núm. 1294/2023, de 21 de diciembre, con apoyo en la doctrina fijada por la Sala de lo Social del Tribunal Supremo en la sentencia de 2 de marzo de 2023 (ECLI:ES:TS:2023:783), según la cual, la naturaleza y finalidad del permiso a los progenitores por nacimiento de un hijo, la taxativa regulación normativa de este en el ET y la LGSS,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las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14:paraId="7DF2F1C3" w14:textId="77777777" w:rsidR="00A8138F" w:rsidRDefault="00A8138F" w:rsidP="00A8138F">
      <w:pPr>
        <w:pStyle w:val="TextoNormal"/>
      </w:pPr>
    </w:p>
    <w:p w14:paraId="3432CA60" w14:textId="77777777" w:rsidR="00A8138F" w:rsidRDefault="00A8138F" w:rsidP="00A8138F">
      <w:pPr>
        <w:pStyle w:val="TextoNormal"/>
      </w:pPr>
      <w:r w:rsidRPr="00A8138F">
        <w:rPr>
          <w:rStyle w:val="NumeroAFNegritaCaracter"/>
        </w:rPr>
        <w:t>3</w:t>
      </w:r>
      <w:r>
        <w:t>. Tres son los motivos por los que la demandante solicita el amparo, todos por infracción del art. 14 CE en relación con los arts. 39 y 9.2 CE, tanto de forma directa por su estado civil, en tanto integra una familia monoparental, como indirectamente por su condición de mujer.</w:t>
      </w:r>
    </w:p>
    <w:p w14:paraId="3095BD0A" w14:textId="77777777" w:rsidR="00A8138F" w:rsidRDefault="00A8138F" w:rsidP="00A8138F">
      <w:pPr>
        <w:pStyle w:val="TextoNormal"/>
      </w:pPr>
    </w:p>
    <w:p w14:paraId="261FEA81" w14:textId="77777777" w:rsidR="00A8138F" w:rsidRDefault="00A8138F" w:rsidP="00A8138F">
      <w:pPr>
        <w:pStyle w:val="TextoNormal"/>
      </w:pPr>
      <w:r>
        <w:lastRenderedPageBreak/>
        <w:t>a) Desigualdad entre madres biológicas de familias monoparentales y biparentales (art. 14 CE, primer inciso, en relación con el art. 39 CE). Considera que las resoluciones administrativas y judiciales que le han denegado la ampliación de la prestación por nacimiento y cuidado de su hijo suponen una diferencia de trato injustificada y desproporcionada, que extiende sus efectos a su hijo recién nacido, circunstancias y efectos que no encuentran justificación suficiente en una interpretación literal y formalista de la normativa reguladora que ha sido aplicada. Indica que su pretensión de amparo debe estimarse declarando vulnerado el derecho a la igualdad ante la ley, dado que las decisiones impugnadas se han basado en una interpretación carente de justificación objetiva y razonable, siendo sus consecuencias jurídicas especialmente gravosas o desmedidas tanto para la recurrente como para su hijo recién nacido.</w:t>
      </w:r>
    </w:p>
    <w:p w14:paraId="4F5833C3" w14:textId="77777777" w:rsidR="00A8138F" w:rsidRDefault="00A8138F" w:rsidP="00A8138F">
      <w:pPr>
        <w:pStyle w:val="TextoNormal"/>
      </w:pPr>
    </w:p>
    <w:p w14:paraId="50C6AC52" w14:textId="77777777" w:rsidR="00A8138F" w:rsidRDefault="00A8138F" w:rsidP="00A8138F">
      <w:pPr>
        <w:pStyle w:val="TextoNormal"/>
      </w:pPr>
      <w:r>
        <w:t>La reducción del tiempo de cuidados personales que los nacidos sufren como consecuencia de quedar integrados en una familia monoparental no es acorde con el principio general de igualdad, que ha de ponerse en relación con los principios rectores que se enuncian en el artículo 39 CE. Entiende que la debida lectura de estos principios, en conjunción con las normas internacionales sobre protección de la familia y los menores de edad debiera haber llevado a una interpretación distinta de la acordada, que sea concorde con la protección del interés superior del menor y la pretensión que ha defendido en la vía judicial previa.</w:t>
      </w:r>
    </w:p>
    <w:p w14:paraId="1E79D23F" w14:textId="77777777" w:rsidR="00A8138F" w:rsidRDefault="00A8138F" w:rsidP="00A8138F">
      <w:pPr>
        <w:pStyle w:val="TextoNormal"/>
      </w:pPr>
    </w:p>
    <w:p w14:paraId="4C2218AC" w14:textId="77777777" w:rsidR="00A8138F" w:rsidRDefault="00A8138F" w:rsidP="00A8138F">
      <w:pPr>
        <w:pStyle w:val="TextoNormal"/>
      </w:pPr>
      <w:r>
        <w:t>b) Discriminación directa por circunstancias personales y familiares (art. 14, segundo inciso, CE en relación con el art. 39 CE). Señala que la diferencia de trato legislativo, administrativo y judicial por su condición de integrante de una familia monoparental debe ser apreciada como una de las causas de discriminación incluidas en el segundo inciso del art. 14 CE, conforme al cual lo es “cualquier otra condición o circunstancia personal o social” a las citadas por la Constitución. Entiende afectado su derecho al libre desarrollo de la personalidad en cuanto su decisión de formar una familia monoparental está vinculada con las convicciones y creencias más íntimas de la persona (arts. 10.1 y 16 CE) y resulta amparada por el derecho a la vida familiar que reconoce el art. 8 del Convenio europeo de derechos humanos.</w:t>
      </w:r>
    </w:p>
    <w:p w14:paraId="0DFF5E18" w14:textId="77777777" w:rsidR="00A8138F" w:rsidRDefault="00A8138F" w:rsidP="00A8138F">
      <w:pPr>
        <w:pStyle w:val="TextoNormal"/>
      </w:pPr>
    </w:p>
    <w:p w14:paraId="44C0BEC1" w14:textId="77777777" w:rsidR="00A8138F" w:rsidRDefault="00A8138F" w:rsidP="00A8138F">
      <w:pPr>
        <w:pStyle w:val="TextoNormal"/>
      </w:pPr>
      <w:r>
        <w:t>Sostiene que tanto la actuación administrativa como la judicial que cuestiona se apoyan en la decisión de la recurrente en amparo de ser la única progenitora de su hijo, pues este ha sido el criterio rector que ha llevado a denegar la petición de extensión de la duración de las prestaciones por nacimiento de un hijo, lo que constituye un criterio diferenciador manifiestamente irrazonable, de una inadmisibilidad constitucional análoga a las causas de discriminación contempladas en el art. 14 CE y contrario al art. 39 CE. En apoyo de su petición de amparo apela a la introducción como causa de discriminación, en el art. 4.2 c) LET, del trato desfavorable dispensado a mujeres y hombres por el ejercicio de los derechos de conciliación de la vida familiar y laboral. Advierte por último que el perjuicio derivado de la diferencia de trato inconstitucional extiende sus efectos a la inobservancia del interés superior del menor de forma contraria a la jurisprudencia constitucional y a las normas internacionales.</w:t>
      </w:r>
    </w:p>
    <w:p w14:paraId="336B6184" w14:textId="77777777" w:rsidR="00A8138F" w:rsidRDefault="00A8138F" w:rsidP="00A8138F">
      <w:pPr>
        <w:pStyle w:val="TextoNormal"/>
      </w:pPr>
    </w:p>
    <w:p w14:paraId="4C4B0889" w14:textId="4BFAE231" w:rsidR="00A8138F" w:rsidRDefault="00A8138F" w:rsidP="00A8138F">
      <w:pPr>
        <w:pStyle w:val="TextoNormal"/>
      </w:pPr>
      <w:r>
        <w:t xml:space="preserve">c) Discriminación indirecta por razón de sexo (art. 14 CE, segundo inciso, en relación con el art. 9.2 CE). En el último motivo de queja afirma la recurrente que, como consecuencia de la razón de exclusión que justifica las resoluciones impugnadas en amparo, se habría producido adicionalmente una discriminación por razón de sexo debido a que, como viene </w:t>
      </w:r>
      <w:r>
        <w:lastRenderedPageBreak/>
        <w:t>acreditado estadísticamente con los datos a los que se refiere en su demanda, en la mayoría de las familias monoparentales el progenitor único es una mujer (81 por 100 en 2020). Concluye que a esta situación debe aplicarse el concepto de discriminación indirecta por razón de sexo, acogido por la doctrina constitucional (STC 11/2023, de 23 de febrero, que se remite a lo expuesto en la STC 71/2020, de 29 de junio), pues no se justifica por una medida de política social que cumpla los requisitos exigidos por la jurisprudencia constitucional y europea.</w:t>
      </w:r>
    </w:p>
    <w:p w14:paraId="6FBC0291" w14:textId="77777777" w:rsidR="00A8138F" w:rsidRDefault="00A8138F" w:rsidP="00A8138F">
      <w:pPr>
        <w:pStyle w:val="TextoNormal"/>
      </w:pPr>
    </w:p>
    <w:p w14:paraId="2229C863" w14:textId="0C34E023" w:rsidR="00A8138F" w:rsidRDefault="00A8138F" w:rsidP="00A8138F">
      <w:pPr>
        <w:pStyle w:val="TextoNormal"/>
      </w:pPr>
      <w:r w:rsidRPr="00A8138F">
        <w:rPr>
          <w:rStyle w:val="NumeroAFNegritaCaracter"/>
        </w:rPr>
        <w:t>4</w:t>
      </w:r>
      <w:r>
        <w:t>. Mediante providencia de 9 de septiembre de 2024, la Sección Cuarta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Tribunal Superior de Justicia y Tribunal Supremo) para que, en el plazo de diez días, si lo desearan, pudieran comparecer en este proceso constitucional.</w:t>
      </w:r>
    </w:p>
    <w:p w14:paraId="5C3A7303" w14:textId="77777777" w:rsidR="00A8138F" w:rsidRDefault="00A8138F" w:rsidP="00A8138F">
      <w:pPr>
        <w:pStyle w:val="TextoNormal"/>
      </w:pPr>
    </w:p>
    <w:p w14:paraId="463DC174" w14:textId="439F45CD" w:rsidR="00A8138F" w:rsidRDefault="00A8138F" w:rsidP="00A8138F">
      <w:pPr>
        <w:pStyle w:val="TextoNormal"/>
      </w:pPr>
      <w:r w:rsidRPr="00A8138F">
        <w:rPr>
          <w:rStyle w:val="NumeroAFNegritaCaracter"/>
        </w:rPr>
        <w:t>5</w:t>
      </w:r>
      <w:r>
        <w:t>. Una vez la letrada de la Administración de la Seguridad Social solicitó su personación en nombre del INSS y la TGSS, mediante diligencia de ordenación de 8 de noviembre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14:paraId="189D1C80" w14:textId="77777777" w:rsidR="00A8138F" w:rsidRDefault="00A8138F" w:rsidP="00A8138F">
      <w:pPr>
        <w:pStyle w:val="TextoNormal"/>
      </w:pPr>
    </w:p>
    <w:p w14:paraId="6269FF10" w14:textId="77777777" w:rsidR="00A8138F" w:rsidRDefault="00A8138F" w:rsidP="00A8138F">
      <w:pPr>
        <w:pStyle w:val="TextoNormal"/>
      </w:pPr>
      <w:r w:rsidRPr="00A8138F">
        <w:rPr>
          <w:rStyle w:val="NumeroAFNegritaCaracter"/>
        </w:rPr>
        <w:t>6</w:t>
      </w:r>
      <w:r>
        <w:t>. La letrada de la administración de la Seguridad Social presentó sus alegaciones el 18 de noviembre de 2024. En ellas identifica y describe el contenido de las normas legales aplicables para la resolución de su pretensión (LGSS y LET)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7FC17612" w14:textId="77777777" w:rsidR="00A8138F" w:rsidRDefault="00A8138F" w:rsidP="00A8138F">
      <w:pPr>
        <w:pStyle w:val="TextoNormal"/>
      </w:pPr>
    </w:p>
    <w:p w14:paraId="3145B27A" w14:textId="77777777" w:rsidR="00A8138F" w:rsidRDefault="00A8138F" w:rsidP="00A8138F">
      <w:pPr>
        <w:pStyle w:val="TextoNormal"/>
      </w:pPr>
      <w:r>
        <w:t xml:space="preserve">Consigna a continuación la decisión del Pleno del Tribunal Constitucional en la STC 140/2024, de 6 de noviembre, de declarar inconstitucionales los arts. 48.4 ET y 177 LGSS, con el alcance señalado en el fundamento jurídico 7 de la citada resolución. En él se precisa que, en tanto el legislador no se pronuncie al respecto, en las familias monoparentales el permiso a que hacen referencia los arts. 48.4 ET y 177 LGSS ha de ser interpretado en el sentido de adicionarse al permiso para la madre biológica (dieciséis semanas), el previsto </w:t>
      </w:r>
      <w:r>
        <w:lastRenderedPageBreak/>
        <w:t>para progenitor distinto (diez semanas, al excluirse las seis primeras, que necesariamente deben disfrutarse de forma ininterrumpida e inmediatamente posterior al parto).</w:t>
      </w:r>
    </w:p>
    <w:p w14:paraId="04A8688E" w14:textId="77777777" w:rsidR="00A8138F" w:rsidRDefault="00A8138F" w:rsidP="00A8138F">
      <w:pPr>
        <w:pStyle w:val="TextoNormal"/>
      </w:pPr>
    </w:p>
    <w:p w14:paraId="6598C879" w14:textId="4DA8A4DE" w:rsidR="00A8138F" w:rsidRDefault="00A8138F" w:rsidP="00A8138F">
      <w:pPr>
        <w:pStyle w:val="TextoNormal"/>
      </w:pPr>
      <w:r>
        <w:t>La letrada, a la vista de lo anterior, “para evitar reiteraciones innecesarias, se ratifica en las alegaciones realizadas a lo largo de todo el procedimiento” al tiempo que sostiene que el reconocimiento de las diez semanas adicionales “quedará supeditado al cumplimiento del resto de los requisitos legalmente establecidos para el percibo de la prestación, en los que se incluye el haber hecho efectivo el descanso, sin prestación [de] servicios por cuenta ajena ni percibir las correspondientes retribuciones”.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14:paraId="2924BED8" w14:textId="77777777" w:rsidR="00A8138F" w:rsidRDefault="00A8138F" w:rsidP="00A8138F">
      <w:pPr>
        <w:pStyle w:val="TextoNormal"/>
      </w:pPr>
    </w:p>
    <w:p w14:paraId="5311757B" w14:textId="77777777" w:rsidR="00A8138F" w:rsidRDefault="00A8138F" w:rsidP="00A8138F">
      <w:pPr>
        <w:pStyle w:val="TextoNormal"/>
      </w:pPr>
      <w:r w:rsidRPr="00A8138F">
        <w:rPr>
          <w:rStyle w:val="NumeroAFNegritaCaracter"/>
        </w:rPr>
        <w:t>7</w:t>
      </w:r>
      <w:r>
        <w:t>. El 11 de diciembre de 2024, el Ministerio Fiscal interesó la estimación del recurso de amparo por considerar vulnerado el derecho fundamental de la recurrente y su hijo a la no discriminación (art. 14 CE), con apoyo en la STC 140/2024, de 6 de noviembre, de la que reproduce amplios extractos.</w:t>
      </w:r>
    </w:p>
    <w:p w14:paraId="03B0CF6C" w14:textId="77777777" w:rsidR="00A8138F" w:rsidRDefault="00A8138F" w:rsidP="00A8138F">
      <w:pPr>
        <w:pStyle w:val="TextoNormal"/>
      </w:pPr>
    </w:p>
    <w:p w14:paraId="5DB393E0" w14:textId="6EB561D9" w:rsidR="00A8138F" w:rsidRDefault="00A8138F" w:rsidP="00A8138F">
      <w:pPr>
        <w:pStyle w:val="TextoNormal"/>
      </w:pPr>
      <w:r>
        <w:t>El fiscal rechaza que los efectos de la estimación sean los pretendidos por la demandante, esto es, la retroacción a la primera resolución dictada por el INSS, ya que la sentencia del Tribunal Superior de Justicia del País Vasco, de 25 de octubre de 2022, no vulneró el derecho de la demandante y su hijo. No obstante, recuerda que esa sentencia concedió a la demandante una ampliación de la prestación hasta dieciséis semanas, lo que supondría un exceso de seis semanas respecto de lo establecido en la STC 140/2024, que no estarían amparadas por el derecho fundamental de la recurrente. Considera por ello procedente mantener el derecho del INSS a que se resuelva su recurso de casación por el Tribunal Supremo, que deberá respetar el derecho fundamental de la demandante según la doctrina constitucional al dictar nueva sentencia.</w:t>
      </w:r>
    </w:p>
    <w:p w14:paraId="6ECEF6DC" w14:textId="77777777" w:rsidR="00A8138F" w:rsidRDefault="00A8138F" w:rsidP="00A8138F">
      <w:pPr>
        <w:pStyle w:val="TextoNormal"/>
      </w:pPr>
    </w:p>
    <w:p w14:paraId="23A93BB0" w14:textId="3C57F99E" w:rsidR="00A8138F" w:rsidRDefault="00A8138F" w:rsidP="00A8138F">
      <w:pPr>
        <w:pStyle w:val="TextoNormal"/>
      </w:pPr>
      <w:r w:rsidRPr="00A8138F">
        <w:rPr>
          <w:rStyle w:val="NumeroAFNegritaCaracter"/>
        </w:rPr>
        <w:t>8</w:t>
      </w:r>
      <w:r>
        <w:t>. La Secretaría de Justicia de la Sección Cuarta del Tribunal Constitucional dictó diligencia el 16 de diciembre de 2024 para hacer constar que, transcurrido el plazo para alegaciones, se han recibido los escritos de alegaciones del Ministerio Fiscal y de la Seguridad Social, sin que conste recibido escrito de la parte recurrente.</w:t>
      </w:r>
    </w:p>
    <w:p w14:paraId="7DC567E8" w14:textId="77777777" w:rsidR="00A8138F" w:rsidRDefault="00A8138F" w:rsidP="00A8138F">
      <w:pPr>
        <w:pStyle w:val="TextoNormal"/>
      </w:pPr>
    </w:p>
    <w:p w14:paraId="68D11769" w14:textId="387BFCE6" w:rsidR="00A8138F" w:rsidRDefault="00A8138F" w:rsidP="00A8138F">
      <w:pPr>
        <w:pStyle w:val="TextoNormal"/>
      </w:pPr>
      <w:r w:rsidRPr="00A8138F">
        <w:rPr>
          <w:rStyle w:val="NumeroAFNegritaCaracter"/>
        </w:rPr>
        <w:t>9</w:t>
      </w:r>
      <w:r>
        <w:t>. Mediante providencia de 9 de enero de 2025, se señaló para deliberación y votación de la presente sentencia el día 13 del mismo mes y año.</w:t>
      </w:r>
    </w:p>
    <w:p w14:paraId="65CE9359" w14:textId="77777777" w:rsidR="00A8138F" w:rsidRDefault="00A8138F" w:rsidP="00A8138F">
      <w:pPr>
        <w:pStyle w:val="TextoNormal"/>
      </w:pPr>
    </w:p>
    <w:p w14:paraId="5889A97D" w14:textId="77777777" w:rsidR="00A8138F" w:rsidRDefault="00A8138F" w:rsidP="00A8138F">
      <w:pPr>
        <w:pStyle w:val="TextoNormalNegritaCentrado"/>
        <w:keepNext/>
      </w:pPr>
      <w:r>
        <w:t>II. Fundamentos jurídicos</w:t>
      </w:r>
    </w:p>
    <w:p w14:paraId="76DF3419" w14:textId="6BDEAC6C" w:rsidR="00A8138F" w:rsidRDefault="00A8138F" w:rsidP="00A8138F">
      <w:pPr>
        <w:pStyle w:val="TextoNormalNegritaCentrado"/>
        <w:keepNext/>
      </w:pPr>
    </w:p>
    <w:p w14:paraId="460A8513"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40D66C0B" w14:textId="77777777" w:rsidR="00A8138F" w:rsidRDefault="00A8138F" w:rsidP="00A8138F">
      <w:pPr>
        <w:pStyle w:val="TextoNormal"/>
      </w:pPr>
    </w:p>
    <w:p w14:paraId="096E0B64" w14:textId="77777777" w:rsidR="00A8138F" w:rsidRDefault="00A8138F" w:rsidP="00A8138F">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 De</w:t>
      </w:r>
      <w:r>
        <w:lastRenderedPageBreak/>
        <w:t>creto-ley 6/2019, de 1 de marzo, de medidas urgentes para garantía de la igualdad de trato y de oportunidades entre mujeres y hombres en el empleo y la ocupación.</w:t>
      </w:r>
    </w:p>
    <w:p w14:paraId="6C57D3E2" w14:textId="77777777" w:rsidR="00A8138F" w:rsidRDefault="00A8138F" w:rsidP="00A8138F">
      <w:pPr>
        <w:pStyle w:val="TextoNormal"/>
      </w:pPr>
    </w:p>
    <w:p w14:paraId="4AF0C7FA"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78F30B5" w14:textId="77777777" w:rsidR="00A8138F" w:rsidRDefault="00A8138F" w:rsidP="00A8138F">
      <w:pPr>
        <w:pStyle w:val="TextoNormal"/>
      </w:pPr>
    </w:p>
    <w:p w14:paraId="52A79874"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A87984F" w14:textId="77777777" w:rsidR="00A8138F" w:rsidRDefault="00A8138F" w:rsidP="00A8138F">
      <w:pPr>
        <w:pStyle w:val="TextoNormal"/>
      </w:pPr>
    </w:p>
    <w:p w14:paraId="3B6D6E1C"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7A3400C5" w14:textId="77777777" w:rsidR="00A8138F" w:rsidRDefault="00A8138F" w:rsidP="00A8138F">
      <w:pPr>
        <w:pStyle w:val="TextoNormal"/>
      </w:pPr>
    </w:p>
    <w:p w14:paraId="49A9C5BE" w14:textId="23172FDD"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0856697E" w14:textId="77777777" w:rsidR="00A8138F" w:rsidRDefault="00A8138F" w:rsidP="00A8138F">
      <w:pPr>
        <w:pStyle w:val="TextoNormal"/>
      </w:pPr>
    </w:p>
    <w:p w14:paraId="649CD8EA" w14:textId="77777777" w:rsidR="00A8138F" w:rsidRDefault="00A8138F" w:rsidP="00A8138F">
      <w:pPr>
        <w:pStyle w:val="TextoNormalCentrado"/>
        <w:keepNext/>
      </w:pPr>
      <w:r>
        <w:t>FALLO</w:t>
      </w:r>
    </w:p>
    <w:p w14:paraId="53BA7E8B" w14:textId="34957456" w:rsidR="00A8138F" w:rsidRDefault="00A8138F" w:rsidP="00A8138F">
      <w:pPr>
        <w:pStyle w:val="TextoNormalCentrado"/>
        <w:keepNext/>
      </w:pPr>
    </w:p>
    <w:p w14:paraId="3A1F0234"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Ixone Fernández Bustillo y, en su virtud:</w:t>
      </w:r>
    </w:p>
    <w:p w14:paraId="04F5D314" w14:textId="77777777" w:rsidR="00A8138F" w:rsidRDefault="00A8138F" w:rsidP="00A8138F">
      <w:pPr>
        <w:pStyle w:val="TextoNormal"/>
      </w:pPr>
    </w:p>
    <w:p w14:paraId="2B373B1D" w14:textId="77777777" w:rsidR="00A8138F" w:rsidRDefault="00A8138F" w:rsidP="00A8138F">
      <w:pPr>
        <w:pStyle w:val="TextoNormal"/>
      </w:pPr>
      <w:r>
        <w:t>1º Declarar vulnerado el derecho fundamental a la igualdad ante la ley, sin que pueda prevalecer discriminación alguna (art. 14 CE).</w:t>
      </w:r>
    </w:p>
    <w:p w14:paraId="368A9EDE" w14:textId="77777777" w:rsidR="00A8138F" w:rsidRDefault="00A8138F" w:rsidP="00A8138F">
      <w:pPr>
        <w:pStyle w:val="TextoNormal"/>
      </w:pPr>
    </w:p>
    <w:p w14:paraId="5BDB3D84" w14:textId="77777777" w:rsidR="00A8138F" w:rsidRDefault="00A8138F" w:rsidP="00A8138F">
      <w:pPr>
        <w:pStyle w:val="TextoNormal"/>
      </w:pPr>
      <w:r>
        <w:t>2º Restablecerla en su derecho y, a tal fin, declarar la nulidad de las resoluciones del Instituto Nacional de la Seguridad Social de 7 de junio de 2021 y de 12 de agosto de 2021; la sentencia núm. 517/2021, de 2 de diciembre, dictada por el Juzgado de lo Social núm. 3 de Bilbao en los autos núm. 933-2021; la sentencia 2150/2022, de 25 de octubre, dictada por la Sala de lo Social del Tribunal Superior de Justicia del País Vasco en el recurso de suplicación núm. 836-2022; y la sentencia núm. 1294/2023, de 21 de diciembre, dictada por la Sala de lo Social del Tribunal Supremo en el recurso de casación para la unificación de doctrina núm. 5381-2022.</w:t>
      </w:r>
    </w:p>
    <w:p w14:paraId="4CBB780C" w14:textId="77777777" w:rsidR="00A8138F" w:rsidRDefault="00A8138F" w:rsidP="00A8138F">
      <w:pPr>
        <w:pStyle w:val="TextoNormal"/>
      </w:pPr>
    </w:p>
    <w:p w14:paraId="359BD09F" w14:textId="4A0DA51F" w:rsidR="00A8138F" w:rsidRDefault="00A8138F" w:rsidP="00A8138F">
      <w:pPr>
        <w:pStyle w:val="TextoNormal"/>
      </w:pPr>
      <w:r>
        <w:t>3º Retrotraer las actuaciones al momento previo al dictado de la resolución de 7 de junio de 2021 a fin de que, en los términos expuestos en el último párrafo del fundamento jurídico único de la presente sentencia, se dicte otra respetuosa con el derecho de la recurrente cuya vulneración ha sido declarada.</w:t>
      </w:r>
    </w:p>
    <w:p w14:paraId="5E1AAC9B" w14:textId="77777777" w:rsidR="00A8138F" w:rsidRDefault="00A8138F" w:rsidP="00A8138F">
      <w:pPr>
        <w:pStyle w:val="TextoNormal"/>
      </w:pPr>
    </w:p>
    <w:p w14:paraId="47DA68E5" w14:textId="77777777" w:rsidR="00A8138F" w:rsidRDefault="00A8138F" w:rsidP="00A8138F">
      <w:pPr>
        <w:pStyle w:val="TextoNormal"/>
      </w:pPr>
      <w:r>
        <w:t>Publíquese esta sentencia en el “Boletín Oficial del Estado”.</w:t>
      </w:r>
    </w:p>
    <w:p w14:paraId="3DF2DEC6" w14:textId="77777777" w:rsidR="00A8138F" w:rsidRDefault="00A8138F" w:rsidP="00A8138F">
      <w:pPr>
        <w:pStyle w:val="TextoNormal"/>
      </w:pPr>
      <w:r>
        <w:t>Dada en Madrid, a trece de enero de dos mil veinticinco.</w:t>
      </w:r>
    </w:p>
    <w:p w14:paraId="5EF93ED4" w14:textId="1AEC39C3" w:rsidR="00A8138F" w:rsidRDefault="00A8138F">
      <w:pPr>
        <w:spacing w:after="160" w:line="278" w:lineRule="auto"/>
        <w:rPr>
          <w:rFonts w:ascii="Times New Roman" w:eastAsia="Times New Roman" w:hAnsi="Times New Roman" w:cs="Times New Roman"/>
          <w:sz w:val="24"/>
          <w:szCs w:val="24"/>
          <w:lang w:eastAsia="es-ES"/>
        </w:rPr>
      </w:pPr>
      <w:r>
        <w:br w:type="page"/>
      </w:r>
    </w:p>
    <w:p w14:paraId="16417474" w14:textId="77777777" w:rsidR="00A8138F" w:rsidRDefault="00A8138F" w:rsidP="00A8138F">
      <w:pPr>
        <w:pStyle w:val="TtuloResolucin"/>
      </w:pPr>
      <w:bookmarkStart w:id="10" w:name="SENTENCIA_2025_8"/>
      <w:r>
        <w:lastRenderedPageBreak/>
        <w:t>SENTENCIA 8/2025, de 13 de enero de 2025</w:t>
      </w:r>
    </w:p>
    <w:bookmarkEnd w:id="10"/>
    <w:p w14:paraId="3D443DEB" w14:textId="77777777" w:rsidR="00A8138F" w:rsidRDefault="00A8138F" w:rsidP="00A8138F">
      <w:pPr>
        <w:pStyle w:val="TtuloResolucin"/>
      </w:pPr>
      <w:r>
        <w:t>Sala Segunda</w:t>
      </w:r>
    </w:p>
    <w:p w14:paraId="431C2777" w14:textId="77777777" w:rsidR="00A8138F" w:rsidRDefault="00A8138F" w:rsidP="00A8138F">
      <w:pPr>
        <w:pStyle w:val="TtuloBOE"/>
      </w:pPr>
      <w:r>
        <w:t>(BOE núm. 41, de 17 de febrero de 2025)</w:t>
      </w:r>
    </w:p>
    <w:p w14:paraId="409E726A" w14:textId="77777777" w:rsidR="00A8138F" w:rsidRDefault="00A8138F" w:rsidP="00A8138F">
      <w:pPr>
        <w:pStyle w:val="TextoNormalCentrado"/>
      </w:pPr>
      <w:r>
        <w:t>ECLI:ES:TC:2025:8</w:t>
      </w:r>
    </w:p>
    <w:p w14:paraId="1653F35E" w14:textId="2DAC289A" w:rsidR="00A8138F" w:rsidRDefault="00A8138F" w:rsidP="00A8138F">
      <w:pPr>
        <w:pStyle w:val="TextoNormalCentrado"/>
      </w:pPr>
    </w:p>
    <w:p w14:paraId="7459885F" w14:textId="77777777" w:rsidR="00A8138F" w:rsidRDefault="00A8138F" w:rsidP="00A8138F">
      <w:pPr>
        <w:pStyle w:val="SntesisDescriptiva"/>
      </w:pPr>
      <w:r>
        <w:t>Recurso de amparo 1969-2024. Promovido por doña María Ángeles Rojo Setién en relación con las resoluciones administrativas y judiciales que desestimaron su petición de revisión y ampliación de la prestación por nacimiento y cuidado de hijo menor, como madre biológica de familia monoparental.</w:t>
      </w:r>
    </w:p>
    <w:p w14:paraId="6E707B43" w14:textId="640D7BF6" w:rsidR="00A8138F" w:rsidRDefault="00A8138F" w:rsidP="00A8138F">
      <w:pPr>
        <w:pStyle w:val="SntesisDescriptiva"/>
      </w:pPr>
    </w:p>
    <w:p w14:paraId="58087580" w14:textId="77777777" w:rsidR="00A8138F" w:rsidRDefault="00A8138F" w:rsidP="00A8138F">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99C8703" w14:textId="4B5A0897" w:rsidR="00A8138F" w:rsidRDefault="00A8138F" w:rsidP="00A8138F">
      <w:pPr>
        <w:pStyle w:val="SntesisAnaltica"/>
      </w:pPr>
    </w:p>
    <w:p w14:paraId="3DD5A9A3" w14:textId="48D9A54F"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3].</w:t>
      </w:r>
    </w:p>
    <w:p w14:paraId="1C73BFB5" w14:textId="77777777" w:rsidR="00A8138F" w:rsidRDefault="00A8138F" w:rsidP="00A8138F">
      <w:pPr>
        <w:pStyle w:val="Extracto"/>
      </w:pPr>
    </w:p>
    <w:p w14:paraId="3277B0EB" w14:textId="77777777" w:rsidR="00A8138F" w:rsidRDefault="00A8138F" w:rsidP="00A8138F">
      <w:pPr>
        <w:pStyle w:val="Extracto"/>
      </w:pPr>
    </w:p>
    <w:p w14:paraId="70698477"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ADAA7B6" w14:textId="5A50FF93" w:rsidR="00A8138F" w:rsidRDefault="00A8138F" w:rsidP="00A8138F">
      <w:pPr>
        <w:pStyle w:val="TextoNormal"/>
      </w:pPr>
    </w:p>
    <w:p w14:paraId="75A86A21" w14:textId="77777777" w:rsidR="00A8138F" w:rsidRDefault="00A8138F" w:rsidP="00A8138F">
      <w:pPr>
        <w:pStyle w:val="TextoNormalCentrado"/>
        <w:keepNext/>
      </w:pPr>
      <w:r>
        <w:t>EN NOMBRE DEL REY</w:t>
      </w:r>
    </w:p>
    <w:p w14:paraId="53972750" w14:textId="68CC0353" w:rsidR="00A8138F" w:rsidRDefault="00A8138F" w:rsidP="00A8138F">
      <w:pPr>
        <w:pStyle w:val="TextoNormalCentrado"/>
        <w:keepNext/>
      </w:pPr>
    </w:p>
    <w:p w14:paraId="67B4B0F6" w14:textId="77777777" w:rsidR="00A8138F" w:rsidRDefault="00A8138F" w:rsidP="00A8138F">
      <w:pPr>
        <w:pStyle w:val="TextoNormalCentrado"/>
        <w:keepNext/>
      </w:pPr>
    </w:p>
    <w:p w14:paraId="155997A8" w14:textId="77777777" w:rsidR="00A8138F" w:rsidRDefault="00A8138F" w:rsidP="00A8138F">
      <w:pPr>
        <w:pStyle w:val="TextoNormal"/>
      </w:pPr>
      <w:r>
        <w:t>la siguiente</w:t>
      </w:r>
    </w:p>
    <w:p w14:paraId="6BEC73E4" w14:textId="6926ECDC" w:rsidR="00A8138F" w:rsidRDefault="00A8138F" w:rsidP="00A8138F">
      <w:pPr>
        <w:pStyle w:val="TextoNormal"/>
      </w:pPr>
    </w:p>
    <w:p w14:paraId="05C264AE" w14:textId="77777777" w:rsidR="00A8138F" w:rsidRDefault="00A8138F" w:rsidP="00A8138F">
      <w:pPr>
        <w:pStyle w:val="TextoNormalCentrado"/>
        <w:keepNext/>
      </w:pPr>
      <w:r>
        <w:t>SENTENCIA</w:t>
      </w:r>
    </w:p>
    <w:p w14:paraId="63498C9A" w14:textId="17A3E62F" w:rsidR="00A8138F" w:rsidRDefault="00A8138F" w:rsidP="00A8138F">
      <w:pPr>
        <w:pStyle w:val="TextoNormalCentrado"/>
        <w:keepNext/>
      </w:pPr>
    </w:p>
    <w:p w14:paraId="354C7BA6" w14:textId="77777777" w:rsidR="00A8138F" w:rsidRDefault="00A8138F" w:rsidP="00A8138F">
      <w:pPr>
        <w:pStyle w:val="TextoNormal"/>
      </w:pPr>
      <w:r>
        <w:t>En el recurso de amparo núm. 1969-2024, promovido por doña María Ángeles Rojo Setién, representada por la procuradora de los tribunales doña Alicia Suau Casado y asistida por la letrada doña Aida Casanova Pérez, contra las resoluciones administrativas presuntas del Instituto Nacional de la Seguridad Social (INSS) denegatorias de la solicitud de ampliación de la prestación por nacimiento y cuidado de hijo menor a la madre biológica de familia monoparental, confirmadas por sentencia de 22 de septiembre de 2022 recaída en el procedimiento núm. 364-2022, del Juzgado de lo Social núm. 9 de Madrid, por la Sala de lo Social del Tribunal Superior de Justicia de Madrid en sentencia desestimatoria de la apelación de 12 de mayo de 2023 (procedimiento recurso de suplicación núm. 1328-2022); y por auto de 13 de febrero de 2024 de la Sala de lo Social del Tribunal Supremo, de inadmisión del recurso de casación en unificación de doctrina núm. 3523-2023. Han intervenido la letrada de la administración de la Seguridad Social y el Ministerio Fiscal. Ha sido ponente la magistrada doña Maria Luisa Balaguer Callejón.</w:t>
      </w:r>
    </w:p>
    <w:p w14:paraId="67306DA0" w14:textId="0EB79E9C" w:rsidR="00A8138F" w:rsidRDefault="00A8138F" w:rsidP="00A8138F">
      <w:pPr>
        <w:pStyle w:val="TextoNormal"/>
      </w:pPr>
    </w:p>
    <w:p w14:paraId="5EE6D90B" w14:textId="77777777" w:rsidR="00A8138F" w:rsidRDefault="00A8138F" w:rsidP="00A8138F">
      <w:pPr>
        <w:pStyle w:val="TextoNormalNegritaCentrado"/>
        <w:keepNext/>
      </w:pPr>
      <w:r>
        <w:lastRenderedPageBreak/>
        <w:t>I. Antecedentes</w:t>
      </w:r>
    </w:p>
    <w:p w14:paraId="553A251A" w14:textId="32AE2C50" w:rsidR="00A8138F" w:rsidRDefault="00A8138F" w:rsidP="00A8138F">
      <w:pPr>
        <w:pStyle w:val="TextoNormalNegritaCentrado"/>
        <w:keepNext/>
      </w:pPr>
    </w:p>
    <w:p w14:paraId="11866AB3" w14:textId="6AEEB140" w:rsidR="00A8138F" w:rsidRDefault="00A8138F" w:rsidP="00A8138F">
      <w:pPr>
        <w:pStyle w:val="TextoNormal"/>
      </w:pPr>
      <w:r w:rsidRPr="00A8138F">
        <w:rPr>
          <w:rStyle w:val="NumeroAFNegritaCaracter"/>
        </w:rPr>
        <w:t>1</w:t>
      </w:r>
      <w:r>
        <w:t>. Mediante escrito registrado en este tribunal el 20 de marzo de 2024, la representante procesal de doña María Ángeles Rojo Setién, bajo la dirección letrada de doña Aida Casanova Pérez, interpuso recurso de amparo contra la decisión administrativa presunta y resoluciones judiciales a las que se ha hecho referencia en el encabezamiento de esta sentencia.</w:t>
      </w:r>
    </w:p>
    <w:p w14:paraId="057D79D0" w14:textId="77777777" w:rsidR="00A8138F" w:rsidRDefault="00A8138F" w:rsidP="00A8138F">
      <w:pPr>
        <w:pStyle w:val="TextoNormal"/>
      </w:pPr>
    </w:p>
    <w:p w14:paraId="1FE699E1"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55719AA1" w14:textId="77777777" w:rsidR="00A8138F" w:rsidRDefault="00A8138F" w:rsidP="00A8138F">
      <w:pPr>
        <w:pStyle w:val="TextoNormal"/>
      </w:pPr>
    </w:p>
    <w:p w14:paraId="5F0FCA91" w14:textId="77777777" w:rsidR="00A8138F" w:rsidRDefault="00A8138F" w:rsidP="00A8138F">
      <w:pPr>
        <w:pStyle w:val="TextoNormal"/>
      </w:pPr>
      <w:r>
        <w:t>A) La señora Rojo Setién es madre biológica de un niño, nacido el 22 de febrero de 2021, constituyendo ambos una familia monoparental. Por resolución de 22 de marzo de 2021, le fue reconocido por el Instituto Nacional de la Seguridad Social (INSS) el derecho a la prestación de nacimiento y cuidado del menor por el período que comprendido entre el 22 de febrero de 2021 y el 13 de junio de 2021, correspondiendo una base reguladora de 125,22 €/día. Esta resolución es firme.</w:t>
      </w:r>
    </w:p>
    <w:p w14:paraId="19FF19D3" w14:textId="77777777" w:rsidR="00A8138F" w:rsidRDefault="00A8138F" w:rsidP="00A8138F">
      <w:pPr>
        <w:pStyle w:val="TextoNormal"/>
      </w:pPr>
    </w:p>
    <w:p w14:paraId="1A54FC14" w14:textId="77777777" w:rsidR="00A8138F" w:rsidRDefault="00A8138F" w:rsidP="00A8138F">
      <w:pPr>
        <w:pStyle w:val="TextoNormal"/>
      </w:pPr>
      <w:r>
        <w:t>El 24 de noviembre de 2021, quien ahora es recurrente en amparo, pidió una revisión de prestaciones al objeto de interesar el disfrute del permiso y la acumulación de otras dieciséis semanas más, un total de treinta y dos semanas. Ante el silencio del INSS, interpuso reclamación previa el 21 de enero de 2022, requiriendo el reconocimiento de la duración de la prestación por nacimiento y cuidado en treinta y dos semanas, y la subsiguiente suspensión del contrato de trabajo durante las dieciséis semanas adicionales solicitadas. Esta solicitud tampoco fue contestada.</w:t>
      </w:r>
    </w:p>
    <w:p w14:paraId="359B5357" w14:textId="77777777" w:rsidR="00A8138F" w:rsidRDefault="00A8138F" w:rsidP="00A8138F">
      <w:pPr>
        <w:pStyle w:val="TextoNormal"/>
      </w:pPr>
    </w:p>
    <w:p w14:paraId="5C74AB9B" w14:textId="77777777" w:rsidR="00A8138F" w:rsidRDefault="00A8138F" w:rsidP="00A8138F">
      <w:pPr>
        <w:pStyle w:val="TextoNormal"/>
      </w:pPr>
      <w:r>
        <w:t>B) El 16 de abril de 2022 se planteó demanda frente a las resoluciones presuntamente denegatorias del INSS y de la Tesorería General de la Seguridad Social (TGSS). Se conformaron así los autos núm. 364-2022, de los que conoció el Juzgado de lo Social núm. 9 de Madrid, que resolvió, en sentido desestimatorio, mediante la sentencia núm. 374/2022, de 22 de septiembre (dimanante del recurso núm. 364-2022). El juzgado hace suya la argumentación de la sentencia de 20 de septiembre de 2021 (autos núm. 744-2021) del Juzgado de lo Social núm. 31, y afirma que:</w:t>
      </w:r>
    </w:p>
    <w:p w14:paraId="21554699" w14:textId="77777777" w:rsidR="00A8138F" w:rsidRDefault="00A8138F" w:rsidP="00A8138F">
      <w:pPr>
        <w:pStyle w:val="TextoNormal"/>
      </w:pPr>
    </w:p>
    <w:p w14:paraId="38240AD0" w14:textId="77777777" w:rsidR="00A8138F" w:rsidRDefault="00A8138F" w:rsidP="00A8138F">
      <w:pPr>
        <w:pStyle w:val="TextoNormal"/>
      </w:pPr>
      <w:r>
        <w:t>a) La finalidad del art. 48.4 del texto refundido de la Ley del estatuto de los trabajadores, aprobado por el Real Decreto Legislativo 2/2015, de 23 de octubre (en adelante LET), que es la norma cuya aplicación pretende la parte recurrente, es la equiparación de derechos entre hombres y mujeres y conseguir una igualdad efectiva en los permisos de maternidad, sin que se tengan en cuenta cualesquiera otras finalidades como la protección de la familia o el interés del menor, tal como se recoge claramente en la exposición de motivos.</w:t>
      </w:r>
    </w:p>
    <w:p w14:paraId="267DA380" w14:textId="77777777" w:rsidR="00A8138F" w:rsidRDefault="00A8138F" w:rsidP="00A8138F">
      <w:pPr>
        <w:pStyle w:val="TextoNormal"/>
      </w:pPr>
    </w:p>
    <w:p w14:paraId="1ACE2501" w14:textId="77777777" w:rsidR="00A8138F" w:rsidRDefault="00A8138F" w:rsidP="00A8138F">
      <w:pPr>
        <w:pStyle w:val="TextoNormal"/>
      </w:pPr>
      <w:r>
        <w:t>b) En la redacción de la norma se establece expresamente que el permiso es un derecho individual de cada progenitor y que es intransferible, por lo que no se puede trasmitir el derecho de uno a otro.</w:t>
      </w:r>
    </w:p>
    <w:p w14:paraId="2E653559" w14:textId="77777777" w:rsidR="00A8138F" w:rsidRDefault="00A8138F" w:rsidP="00A8138F">
      <w:pPr>
        <w:pStyle w:val="TextoNormal"/>
      </w:pPr>
    </w:p>
    <w:p w14:paraId="1F5DA812" w14:textId="77777777" w:rsidR="00A8138F" w:rsidRDefault="00A8138F" w:rsidP="00A8138F">
      <w:pPr>
        <w:pStyle w:val="TextoNormal"/>
      </w:pPr>
      <w:r>
        <w:t>c) Durante el debate en el Congreso para convalidar dicha norma, todos los grupos parlamentarios admitían sin ninguna duda que no se incluía en la protección a las familias mo</w:t>
      </w:r>
      <w:r>
        <w:lastRenderedPageBreak/>
        <w:t>noparentales, criticando precisamente dicha exclusión por entender que no se prevé que la madre pueda disfrutar de la parte del periodo del progenitor ausente.</w:t>
      </w:r>
    </w:p>
    <w:p w14:paraId="5AA74F98" w14:textId="77777777" w:rsidR="00A8138F" w:rsidRDefault="00A8138F" w:rsidP="00A8138F">
      <w:pPr>
        <w:pStyle w:val="TextoNormal"/>
      </w:pPr>
    </w:p>
    <w:p w14:paraId="7828F249" w14:textId="77777777" w:rsidR="00A8138F" w:rsidRDefault="00A8138F" w:rsidP="00A8138F">
      <w:pPr>
        <w:pStyle w:val="TextoNormal"/>
      </w:pPr>
      <w:r>
        <w:t>d) En caso de fallecimiento del hijo, no se reduce el periodo de suspensión del contrato, por lo que la finalidad de la norma no es la atención al menor, sino la efectiva igualdad de derechos entre ambos progenitores.</w:t>
      </w:r>
    </w:p>
    <w:p w14:paraId="20DD81DF" w14:textId="77777777" w:rsidR="00A8138F" w:rsidRDefault="00A8138F" w:rsidP="00A8138F">
      <w:pPr>
        <w:pStyle w:val="TextoNormal"/>
      </w:pPr>
    </w:p>
    <w:p w14:paraId="7F66A6FC" w14:textId="77777777" w:rsidR="00A8138F" w:rsidRDefault="00A8138F" w:rsidP="00A8138F">
      <w:pPr>
        <w:pStyle w:val="TextoNormal"/>
      </w:pPr>
      <w:r>
        <w:t>e) En la disposición transitoria se prevé claramente que en caso de fallecimiento de la madre biológica o en el caso de que no se pueda disfrutar el permiso, el otro progenitor tendría derecho a las dieciséis semanas, pero no se amplía este plazo con el tiempo que se le reconoce individualmente.</w:t>
      </w:r>
    </w:p>
    <w:p w14:paraId="307EDB64" w14:textId="77777777" w:rsidR="00A8138F" w:rsidRDefault="00A8138F" w:rsidP="00A8138F">
      <w:pPr>
        <w:pStyle w:val="TextoNormal"/>
      </w:pPr>
    </w:p>
    <w:p w14:paraId="1EAC680E" w14:textId="77777777" w:rsidR="00A8138F" w:rsidRDefault="00A8138F" w:rsidP="00A8138F">
      <w:pPr>
        <w:pStyle w:val="TextoNormal"/>
      </w:pPr>
      <w:r>
        <w:t>f) La única norma que sí regula el derecho de las familias monoparentales es el art. 182.3 b) del texto refundido de la Ley general de la Seguridad Social aprobado por el Real Decreto Legislativo 8/2015, de 30 de octubre (en adelante LGSS), en el que expresamente se prevé incrementar la prestación económica en catorce días; por lo que cuando el legislador ha querido protegerlas, lo ha dicho de forma expresa.</w:t>
      </w:r>
    </w:p>
    <w:p w14:paraId="19C794C7" w14:textId="77777777" w:rsidR="00A8138F" w:rsidRDefault="00A8138F" w:rsidP="00A8138F">
      <w:pPr>
        <w:pStyle w:val="TextoNormal"/>
      </w:pPr>
    </w:p>
    <w:p w14:paraId="76BD80C6" w14:textId="77777777" w:rsidR="00A8138F" w:rsidRDefault="00A8138F" w:rsidP="00A8138F">
      <w:pPr>
        <w:pStyle w:val="TextoNormal"/>
      </w:pPr>
      <w:r>
        <w:t>g) Si se reconociera un mayor número de semanas a una mujer de una familia monoparental, existiría una clara discriminación respecto a las mujeres en las familias biparentales, toda vez que estas disfrutarían de menos semanas que las primeras.</w:t>
      </w:r>
    </w:p>
    <w:p w14:paraId="6ED1A3C9" w14:textId="77777777" w:rsidR="00A8138F" w:rsidRDefault="00A8138F" w:rsidP="00A8138F">
      <w:pPr>
        <w:pStyle w:val="TextoNormal"/>
      </w:pPr>
    </w:p>
    <w:p w14:paraId="323B514C" w14:textId="77777777" w:rsidR="00A8138F" w:rsidRDefault="00A8138F" w:rsidP="00A8138F">
      <w:pPr>
        <w:pStyle w:val="TextoNormal"/>
      </w:pPr>
      <w:r>
        <w:t>h) En el mismo sentido, si se reconociera este derecho a la mujer de familia monoparental, habría que reconocer el mismo derecho al hombre de una familia monoparental; lo cual es contrario a la norma, ya que esta prevé expresamente que en caso de fallecimiento de la madre biológica el otro progenitor tiene derecho solo a dieciséis semanas, sin poder incrementar más el periodo. En este caso, existiría una desigualdad entre hombres y mujeres, que es precisamente lo que la ley pretende combatir.</w:t>
      </w:r>
    </w:p>
    <w:p w14:paraId="3573D9CC" w14:textId="77777777" w:rsidR="00A8138F" w:rsidRDefault="00A8138F" w:rsidP="00A8138F">
      <w:pPr>
        <w:pStyle w:val="TextoNormal"/>
      </w:pPr>
    </w:p>
    <w:p w14:paraId="0A3E1120" w14:textId="77777777" w:rsidR="00A8138F" w:rsidRDefault="00A8138F" w:rsidP="00A8138F">
      <w:pPr>
        <w:pStyle w:val="TextoNormal"/>
      </w:pPr>
      <w:r>
        <w:t>Al argumento de la protección del interés superior del menor, argüido por la parte y contenido en la sentencia de la Sala de lo Social del Tribunal Superior de Justicia del País Vasco, de 6 de octubre de 2020 [recurso 941-2020 (ECLI:ES:TSJPV:2020:396)], opone el juzgado que, en la interpretación de las normas sobre conciliación de la vida familiar, dicho interés no puede dejar sin efecto lo dispuesto por una ley imperativa, cuya finalidad última no es salvaguardar dicho interés del menor, sino la igualdad efectiva de mujeres y hombres en el derecho al permiso de maternidad.</w:t>
      </w:r>
    </w:p>
    <w:p w14:paraId="13242EED" w14:textId="77777777" w:rsidR="00A8138F" w:rsidRDefault="00A8138F" w:rsidP="00A8138F">
      <w:pPr>
        <w:pStyle w:val="TextoNormal"/>
      </w:pPr>
    </w:p>
    <w:p w14:paraId="30DD65AB" w14:textId="77777777" w:rsidR="00A8138F" w:rsidRDefault="00A8138F" w:rsidP="00A8138F">
      <w:pPr>
        <w:pStyle w:val="TextoNormal"/>
      </w:pPr>
      <w:r>
        <w:t>C) La señora Rojo Setién recurrió en suplicación la sentencia de instancia, conociendo del recurso la Sección Tercera de lo Social del Tribunal Superior de Justicia de Madrid, que desestimó el recurso por sentencia núm. 395/2023, de 12 de mayo.</w:t>
      </w:r>
    </w:p>
    <w:p w14:paraId="567EFF77" w14:textId="77777777" w:rsidR="00A8138F" w:rsidRDefault="00A8138F" w:rsidP="00A8138F">
      <w:pPr>
        <w:pStyle w:val="TextoNormal"/>
      </w:pPr>
    </w:p>
    <w:p w14:paraId="37341E31" w14:textId="77777777" w:rsidR="00A8138F" w:rsidRDefault="00A8138F" w:rsidP="00A8138F">
      <w:pPr>
        <w:pStyle w:val="TextoNormal"/>
      </w:pPr>
      <w:r>
        <w:t xml:space="preserve">El recurso de suplicación alegaba, además de la infracción de diversos preceptos legales (art. 177 LGSS; arts. 1, 3, 8, 10, 14 y 44 de la Ley Orgánica 3/2007, de 22 de marzo, para la igualdad efectiva de mujeres y hombres; arts. 2, 3, 12 y 18 del Real Decreto-ley 6/2019, de 1 de marzo, de medidas urgentes para garantía de la igualdad de trato y de oportunidades entre mujeres y hombres en el empleo y la ocupación; art. 3 del Real Decreto 295/2009, de 6 de marzo, por el que se regulan las prestaciones económicas del sistema de la Seguridad Social por maternidad, paternidad, riesgo durante el embarazo y riesgo durante la lactancia </w:t>
      </w:r>
      <w:r>
        <w:lastRenderedPageBreak/>
        <w:t>natural; arts. 2, 3 y 26 de la Convención de derechos del niño; art. 4.2 c) LET, y arts. 3 y 4 del Código civil, entre otros), la vulneración de los arts. 10, 14 y 39 CE y la infracción de la jurisprudencia contenida en la STC 26/2011, de 14 de marzo y en las SSTS de 25 de octubre de 2016 [recurso núm. 3818-2015 (ECLI:ES:TS:2016:5375)]; de 16 de noviembre de 2016 [recurso núm. 3146-2014 (ECLI:ES:TS:2016:528)], y de 14 de diciembre de 2017 [recurso núm. 2859-2016 (ECLI:ES:TS:2017:4770)].</w:t>
      </w:r>
    </w:p>
    <w:p w14:paraId="24D5A01F" w14:textId="77777777" w:rsidR="00A8138F" w:rsidRDefault="00A8138F" w:rsidP="00A8138F">
      <w:pPr>
        <w:pStyle w:val="TextoNormal"/>
      </w:pPr>
    </w:p>
    <w:p w14:paraId="4AF2576A" w14:textId="77777777" w:rsidR="00A8138F" w:rsidRDefault="00A8138F" w:rsidP="00A8138F">
      <w:pPr>
        <w:pStyle w:val="TextoNormal"/>
      </w:pPr>
      <w:r>
        <w:t>La sentencia del Tribunal Superior de Justicia de Madrid de Madrid apela a lo resuelto por el Tribunal Supremo en la sentencia de 2 de marzo de 2023 [STS 169/2023 (ECLI:ES:TS:2023:783)], cuyos fundamentos jurídicos tercero, cuarto y quinto reproduce literalmente, para concluir que, teniendo en cuenta la fundamentación contenida en la sentencia citada dictada por el Tribunal Supremo en Pleno el recurso debe ser desestimado. La sentencia del Tribunal Supremo alude a la ausencia de previsión legal que dé cobertura a la pretensión de extensión del permiso y rechaza que los jueces y tribunales deban formular una interpretación de la norma que lleve a consecuencias que solo corresponde prever al legislador.</w:t>
      </w:r>
    </w:p>
    <w:p w14:paraId="6643E85C" w14:textId="77777777" w:rsidR="00A8138F" w:rsidRDefault="00A8138F" w:rsidP="00A8138F">
      <w:pPr>
        <w:pStyle w:val="TextoNormal"/>
      </w:pPr>
    </w:p>
    <w:p w14:paraId="33DDBB5F" w14:textId="77777777" w:rsidR="00A8138F" w:rsidRDefault="00A8138F" w:rsidP="00A8138F">
      <w:pPr>
        <w:pStyle w:val="TextoNormal"/>
      </w:pPr>
      <w:r>
        <w:t>D) Recurrida en casación la sentencia del Tribunal Superior de Justicia de Madrid, mediante escrito presentado el 10 de julio de 2023 (recurso núm. 3523-2023), por providencia de 11 de enero de 2024 la Sala de lo Social del Tribunal Supremo acuerda abrir el trámite de inadmisión del recurso por falta de contenido casacional.</w:t>
      </w:r>
    </w:p>
    <w:p w14:paraId="6A565FA0" w14:textId="77777777" w:rsidR="00A8138F" w:rsidRDefault="00A8138F" w:rsidP="00A8138F">
      <w:pPr>
        <w:pStyle w:val="TextoNormal"/>
      </w:pPr>
    </w:p>
    <w:p w14:paraId="1C3D38BE" w14:textId="77777777" w:rsidR="00A8138F" w:rsidRDefault="00A8138F" w:rsidP="00A8138F">
      <w:pPr>
        <w:pStyle w:val="TextoNormal"/>
      </w:pPr>
      <w:r>
        <w:t xml:space="preserve">Mediante auto de 13 de febrero de 2024 se inadmite a trámite el recurso de casación para la unificación de doctrina, con sustento en el argumento de que la Sala de Madrid sigue la doctrina ya unificada por la STS de 2 de marzo de 2023 (recurso núm. 3972-2020), reiterada posteriormente por la STS de 14 de junio de 2023 [recurso núm. 1642-2022 (ECLI:ES:TS:2023:3053)]. El Tribunal Supremo recuerda que, en ambas sentencias, la Sala de lo Social “se refiere al art. 177 LGSS en la redacción dada por el art. 4.3 del Real Decreto-ley 6/2019 y al preámbulo de la citada ley (arts. 4 y 7), destacando que la cuantía de la prestación depende de las bases de cotización del interesado (art. 179 LGSS) y su permanencia durante el periodo de disfrute está condicionada a la no realización de otro trabajo (art. 180 LGSS). Por otra parte la Sala analiza el art. 48.4 LET también en su redacción derivada del Real Decreto-ley 6/2019 del que destaca la equiparación de la duración de la suspensión contractual entre ambos progenitores y la obligación de disfrute conjunto de las seis semanas posteriores al parto, así como la prohibición de transferencia del derecho, para concluir afirmando que la situación prevista es de suspensión del contrato de trabajo </w:t>
      </w:r>
      <w:r w:rsidRPr="00A8138F">
        <w:rPr>
          <w:i/>
        </w:rPr>
        <w:t>ope legis</w:t>
      </w:r>
      <w:r>
        <w:t xml:space="preserve"> y justifica el cese de las obligaciones mutuas del contrato de trabajo. Seguidamente la sentencia examina las consecuencias que se derivarían del reconocimiento del derecho: (1) Crear una prestación contributiva nueva en favor de las familias monoparentales sin modificar las exigencias en materia de cotización previa o del régimen jurídico de concesión y subsistencia; y (2) modificar el régimen jurídico de suspensión contractual regulado exhaustivamente en el art. 48.4 LET, afectando a la otra parte del contrato que debería soportar una mayor duración de la suspensión contractual prevista legalmente”.</w:t>
      </w:r>
    </w:p>
    <w:p w14:paraId="3C0E93C9" w14:textId="77777777" w:rsidR="00A8138F" w:rsidRDefault="00A8138F" w:rsidP="00A8138F">
      <w:pPr>
        <w:pStyle w:val="TextoNormal"/>
      </w:pPr>
    </w:p>
    <w:p w14:paraId="33D7CD7D" w14:textId="02A83FA0" w:rsidR="00A8138F" w:rsidRDefault="00A8138F" w:rsidP="00A8138F">
      <w:pPr>
        <w:pStyle w:val="TextoNormal"/>
      </w:pPr>
      <w:r>
        <w:t xml:space="preserve">Seguidamente las sentencias de referencia analizan la inexistencia de base legal para reconocer el derecho solicitado por las actuantes en los distintos procesos, afirmando adicionalmente que “el interés por la protección del menor no es el único al que debe atenderse; de ahí que el legislador haya atendido especialmente al principio de igualdad para regular </w:t>
      </w:r>
      <w:r>
        <w:lastRenderedPageBreak/>
        <w:t>una prestación que tiene como finalidad lograr la corresponsabilidad entre ambos progenitores en el cuidado del menor. En este sentido el legislador ha ponderado todos los intereses a tener en cuenta considerando ‘que el disfrute de los derechos de conciliación y la protección dispensada en estos casos eviten que el ejercicio de aquellos perpetúe roles de género que no se corresponden con la situación social actual ni mucho menos con el principio de igualdad […]’. En definitiva, no puede tenerse en cuenta solo el interés del menor porque no es el único en juego y porque se niega una supuesta vulneración de un teórico derecho del menor de familias monoparentales a ser cuidado en condiciones de igualdad que los menores de familias biparentales”.</w:t>
      </w:r>
    </w:p>
    <w:p w14:paraId="3839C4AE" w14:textId="77777777" w:rsidR="00A8138F" w:rsidRDefault="00A8138F" w:rsidP="00A8138F">
      <w:pPr>
        <w:pStyle w:val="TextoNormal"/>
      </w:pPr>
    </w:p>
    <w:p w14:paraId="482528CE" w14:textId="77777777" w:rsidR="00A8138F" w:rsidRDefault="00A8138F" w:rsidP="00A8138F">
      <w:pPr>
        <w:pStyle w:val="TextoNormal"/>
      </w:pPr>
      <w:r w:rsidRPr="00A8138F">
        <w:rPr>
          <w:rStyle w:val="NumeroAFNegritaCaracter"/>
        </w:rPr>
        <w:t>3</w:t>
      </w:r>
      <w:r>
        <w:t>. Tres son los motivos por los que la demandante solicita el amparo de este tribunal por infracción del art. 14 CE, lesión que se habría producido tanto de forma directa por su estado civil, en tanto integra una familia monoparental, como indirectamente por su condición de mujer.</w:t>
      </w:r>
    </w:p>
    <w:p w14:paraId="6091BB19" w14:textId="77777777" w:rsidR="00A8138F" w:rsidRDefault="00A8138F" w:rsidP="00A8138F">
      <w:pPr>
        <w:pStyle w:val="TextoNormal"/>
      </w:pPr>
    </w:p>
    <w:p w14:paraId="16E41ED8" w14:textId="77777777" w:rsidR="00A8138F" w:rsidRDefault="00A8138F" w:rsidP="00A8138F">
      <w:pPr>
        <w:pStyle w:val="TextoNormal"/>
      </w:pPr>
      <w:r>
        <w:t>a) En primer término se considera que las resoluciones impugnadas vulneran el art. 14 CE (primer inciso) en relación con el art. 39 CE, al provocar una diferencia de trato entre la demandante de amparo y las progenitoras de familias biparentales en relación con el derecho al permiso por nacimiento y cuidado de hijos, alcanzando los efectos perjudiciales de esa discriminación al cuidado y protección del menor que resulta contraria a las exigencias del derecho a la igualdad proclamado en el art. 14 primer inciso CE.</w:t>
      </w:r>
    </w:p>
    <w:p w14:paraId="72999697" w14:textId="77777777" w:rsidR="00A8138F" w:rsidRDefault="00A8138F" w:rsidP="00A8138F">
      <w:pPr>
        <w:pStyle w:val="TextoNormal"/>
      </w:pPr>
    </w:p>
    <w:p w14:paraId="3298D6CC" w14:textId="77777777" w:rsidR="00A8138F" w:rsidRDefault="00A8138F" w:rsidP="00A8138F">
      <w:pPr>
        <w:pStyle w:val="TextoNormal"/>
      </w:pPr>
      <w:r>
        <w:t>Las resoluciones impugnadas no pueden ignorar la dimensión constitucional de la cuestión suscitada ni limitarse a efectuar una interpretación de la ley que no tiene en cuenta si la diferencia de trato en relación con el disfrute del derecho al permiso por nacimiento y cuidado de hijos entre familias monoparentales y biparentales tiene una justificación objetiva y razonable y produce un resultado no desproporcionado, atendiendo a las circunstancias concurrentes y, sobre todo, a la transcendencia constitucional del permiso legal de acuerdo con los intereses y valores constitucionales a que el mismo responde. Entiende la recurrente que debe tenerse presente que el reconocimiento del derecho al permiso por nacimiento y cuidado de hijos o hijas menores de doce meses (art. 48.4 LET, modificado por el Real Decreto-ley 6/2019), responde, además de a la necesidad de proteger la salud de la madre biológica, a la de hacer efectivo el deber constitucional de los progenitores de prestar asistencia de todo orden a los hijos menores (art. 39.3 CE) y de contribuir a la efectiva realización del principio rector de la política social que establece que los poderes públicos aseguran la protección social, económica y jurídica de la familia, con independencia del tipo de familia de que se trate (art. 39.1 CE).</w:t>
      </w:r>
    </w:p>
    <w:p w14:paraId="249AFAAE" w14:textId="77777777" w:rsidR="00A8138F" w:rsidRDefault="00A8138F" w:rsidP="00A8138F">
      <w:pPr>
        <w:pStyle w:val="TextoNormal"/>
      </w:pPr>
    </w:p>
    <w:p w14:paraId="7AA95006" w14:textId="77777777" w:rsidR="00A8138F" w:rsidRDefault="00A8138F" w:rsidP="00A8138F">
      <w:pPr>
        <w:pStyle w:val="TextoNormal"/>
      </w:pPr>
      <w:r>
        <w:t>En este sentido, la denegación de la ampliación del citado permiso por la inexistencia del otro progenitor, apoyada en una interpretación formalista y restrictiva del art. 48.4.2 LET, estaría falta, según la jurisprudencia constitucional, de justificación objetiva y razonable desde la perspectiva del art. 14 CE y abocaría a una diferenciación que no supera el juicio de proporcionalidad. Apelando a normativa y jurisprudencia internacionales, así como a la jurisprudencia constitucional, la demanda alude a la necesidad de reconocer el interés superior del menor como principio rector de la actuación de los poderes públicos, y en consecuencia, de las autoridades administrativas y judiciales en la interpretación y aplicación de las normas. Así, la seguridad jurídica y la igualdad recogida en los arts. 9.2 y 14 CE se propugnan no solo en el ámbito de la igualdad formal, sino también en lo material, de ma</w:t>
      </w:r>
      <w:r>
        <w:lastRenderedPageBreak/>
        <w:t>nera que, ante situaciones iguales se otorgue el mismo trato y en situaciones desiguales, se favorezca un trato distinto a un colectivo concreto que elimine esa desigualdad, máxime cuando se trata de un menor especialmente vulnerable por razón de su edad. Tal es el caso de las familias monoparentales, cuyos integrantes disfrutan de menos protección y prestaciones en un momento especialmente importante como son los primeros meses tras el nacimiento. De todo lo anterior se deduce que las decisiones administrativas y las resoluciones judiciales impugnadas en el presente amparo han vulnerado el derecho fundamental a la igualdad de nuestra representada (art. 14, primer inciso, CE) al provocar una desigualdad entre progenitoras de familias biparentales y familias monoparentales y en consecuencia entre los hijos que las integran, contraria a los principios y valores constitucionales contenidos en el art. 39 CE, al no reconocer el permiso por nacimiento y cuidado de su hijo en las semanas correspondientes al otro progenitor.</w:t>
      </w:r>
    </w:p>
    <w:p w14:paraId="7E547F08" w14:textId="77777777" w:rsidR="00A8138F" w:rsidRDefault="00A8138F" w:rsidP="00A8138F">
      <w:pPr>
        <w:pStyle w:val="TextoNormal"/>
      </w:pPr>
    </w:p>
    <w:p w14:paraId="5B9EC8F5" w14:textId="77777777" w:rsidR="00A8138F" w:rsidRDefault="00A8138F" w:rsidP="00A8138F">
      <w:pPr>
        <w:pStyle w:val="TextoNormal"/>
      </w:pPr>
      <w:r>
        <w:t>b) Discriminación directa por circunstancias personales y familiares (art. 14.2 en relación con el art. 39 CE)</w:t>
      </w:r>
    </w:p>
    <w:p w14:paraId="3C7F1E80" w14:textId="77777777" w:rsidR="00A8138F" w:rsidRDefault="00A8138F" w:rsidP="00A8138F">
      <w:pPr>
        <w:pStyle w:val="TextoNormal"/>
      </w:pPr>
    </w:p>
    <w:p w14:paraId="29F97ABA" w14:textId="77777777" w:rsidR="00A8138F" w:rsidRDefault="00A8138F" w:rsidP="00A8138F">
      <w:pPr>
        <w:pStyle w:val="TextoNormal"/>
      </w:pPr>
      <w:r>
        <w:t>Señala que la diferencia de trato legislativo, administrativo y judicial por su condición de integrante de una familia monoparental debe ser apreciada como una de las causas de discriminación incluidas en el inciso del art. 14 CE, conforme al cual, lo es “cualquier otra condición o circunstancia personal o social” a las citadas por la Constitución. Entiende afectado su derecho al libre desarrollo de la personalidad en cuanto su decisión de formar una familia monoparental está vinculada con las convicciones y creencias más íntimas de la persona (art. 16 CE), y resulta amparada por el derecho a la vida familiar que reconoce el art. 8 del Convenio Europeo de Derechos Humanos.</w:t>
      </w:r>
    </w:p>
    <w:p w14:paraId="2E33CE1C" w14:textId="77777777" w:rsidR="00A8138F" w:rsidRDefault="00A8138F" w:rsidP="00A8138F">
      <w:pPr>
        <w:pStyle w:val="TextoNormal"/>
      </w:pPr>
    </w:p>
    <w:p w14:paraId="084CF3F5" w14:textId="77777777" w:rsidR="00A8138F" w:rsidRDefault="00A8138F" w:rsidP="00A8138F">
      <w:pPr>
        <w:pStyle w:val="TextoNormal"/>
      </w:pPr>
      <w:r>
        <w:t>Sostiene que tanto la actuación administrativa como la judicial que cuestiona, se apoyan en la decisión de la recurrente en amparo de ser la única progenitora de su hijo, pues este ha sido el criterio rector que ha llevado a denegar la petición de extensión de la duración de las prestaciones por nacimiento de un hijo, lo que constituye un criterio diferenciador manifiestamente irrazonable, contrario al art. 39 CE, y a la propia doctrina del Tribunal Constitucional recogida en la STC 62/2008, de 26 de mayo. En apoyo de su petición de amparo recoge y desarrolla la doctrina constitucional precedente sobre la utilización como criterio de resolución del interés superior del menor que, de forma directa, disfrutaría en este caso de un tiempo menor de cuidados personales como consecuencia del trato discriminatorio que denuncia.</w:t>
      </w:r>
    </w:p>
    <w:p w14:paraId="753B6F59" w14:textId="77777777" w:rsidR="00A8138F" w:rsidRDefault="00A8138F" w:rsidP="00A8138F">
      <w:pPr>
        <w:pStyle w:val="TextoNormal"/>
      </w:pPr>
    </w:p>
    <w:p w14:paraId="0DCEA410" w14:textId="77777777" w:rsidR="00A8138F" w:rsidRDefault="00A8138F" w:rsidP="00A8138F">
      <w:pPr>
        <w:pStyle w:val="TextoNormal"/>
      </w:pPr>
      <w:r>
        <w:t>c) En el último motivo de queja, afirma la recurrente que, como consecuencia de la razón de exclusión que justifica las resoluciones impugnadas en amparo, se habría producido adicionalmente una discriminación indirecta por razón de sexo debido a que, como viene acreditado estadísticamente con los datos a los que se refiere en su demanda, en la mayoría de las familias monoparentales, el progenitor único es una mujer (81 por 100 en 2020); situación esta a la que se debe aplicar el concepto de discriminación indirecta por razón de sexo que ha sido acogido por la doctrina constitucional (STC 11/2023, de 23 de febrero, que se remite a lo expuesto en la STC 71/2020, de 29 de junio).</w:t>
      </w:r>
    </w:p>
    <w:p w14:paraId="729C3F06" w14:textId="77777777" w:rsidR="00A8138F" w:rsidRDefault="00A8138F" w:rsidP="00A8138F">
      <w:pPr>
        <w:pStyle w:val="TextoNormal"/>
      </w:pPr>
    </w:p>
    <w:p w14:paraId="13FBA4F7" w14:textId="77777777" w:rsidR="00A8138F" w:rsidRDefault="00A8138F" w:rsidP="00A8138F">
      <w:pPr>
        <w:pStyle w:val="TextoNormal"/>
      </w:pPr>
      <w:r>
        <w:t xml:space="preserve">d) Para la demandante, la posible vulneración del derecho fundamental que se denuncia pudiera provenir de la ley [art. 48.4 LET; STC 155/2009, de 25 de junio, FJ 2 c)]; el recurso plantea un problema o se refiere a una faceta de un derecho fundamental susceptible de </w:t>
      </w:r>
      <w:r>
        <w:lastRenderedPageBreak/>
        <w:t>amparo sobre el que no hay doctrina del Tribunal Constitucional o podría dar ocasión al Tribunal para aclarar o modificar su doctrina mediante un proceso de reflexión interna, y como consecuencia de cambios normativos relevantes para la configuración del contenido del derecho fundamental [STC 155/2009, FJ 2 a) y b)]; y, adicionalmente, trascendería del caso concreto al plantear una cuestión jurídica relevante, que genera repercusión social o económica [STC 155/2009, FJ 2 g)]; poniendo de manifiesto que estas circunstancias le llevan a defender que el recurso de amparo presenta especial trascendencia constitucional.</w:t>
      </w:r>
    </w:p>
    <w:p w14:paraId="362071F2" w14:textId="77777777" w:rsidR="00A8138F" w:rsidRDefault="00A8138F" w:rsidP="00A8138F">
      <w:pPr>
        <w:pStyle w:val="TextoNormal"/>
      </w:pPr>
    </w:p>
    <w:p w14:paraId="43A68575" w14:textId="33674E3A" w:rsidR="00A8138F" w:rsidRDefault="00A8138F" w:rsidP="00A8138F">
      <w:pPr>
        <w:pStyle w:val="TextoNormal"/>
      </w:pPr>
      <w:r>
        <w:t xml:space="preserve">e) En el </w:t>
      </w:r>
      <w:r w:rsidRPr="00A8138F">
        <w:rPr>
          <w:i/>
        </w:rPr>
        <w:t>petitum</w:t>
      </w:r>
      <w:r>
        <w:t xml:space="preserve"> de la demanda la recurrente en amparo solicita que se declaren nulas todas las resoluciones expresas o presuntas, judiciales y administrativas objeto del recurso de amparo, y que se retrotraigan las actuaciones al momento previo al dictado de la resolución del INSS (</w:t>
      </w:r>
      <w:r w:rsidRPr="00A8138F">
        <w:rPr>
          <w:i/>
        </w:rPr>
        <w:t>sic</w:t>
      </w:r>
      <w:r>
        <w:t>), para que dicte otra que respete los derechos fundamentales de la recurrente, cuya violación se expone en la presente demanda de amparo. Mediante otrosí primero la demanda alega que, para el caso de que el Tribunal entendiera que la estimación del presente recurso de amparo precisara de la declaración de inconstitucionalidad del art. 48.4 LET, porque es la ley la causante de la lesión de los derechos fundamentales a la igualdad en la ley y a la no discriminación directa por condición personal y familiar, e indirecta por sexo de la demandante de amparo (art. 14 CE), y no su interpretación y aplicación por el INSS y por los órganos judiciales en las resoluciones impugnadas, esta parte interesa al Tribunal que eleve al Pleno cuestión de inconstitucionalidad en relación con el citado precepto legal, de acuerdo con el art. 55.2 de la Ley Orgánica del Tribunal Constitucional (LOTC).</w:t>
      </w:r>
    </w:p>
    <w:p w14:paraId="749ED9EE" w14:textId="77777777" w:rsidR="00A8138F" w:rsidRDefault="00A8138F" w:rsidP="00A8138F">
      <w:pPr>
        <w:pStyle w:val="TextoNormal"/>
      </w:pPr>
    </w:p>
    <w:p w14:paraId="709EE9B7" w14:textId="5161ABE9" w:rsidR="00A8138F" w:rsidRDefault="00A8138F" w:rsidP="00A8138F">
      <w:pPr>
        <w:pStyle w:val="TextoNormal"/>
      </w:pPr>
      <w:r w:rsidRPr="00A8138F">
        <w:rPr>
          <w:rStyle w:val="NumeroAFNegritaCaracter"/>
        </w:rPr>
        <w:t>4</w:t>
      </w:r>
      <w:r>
        <w:t>. Mediante providencia de 9 de septiembre de 2024, la Sección Cuarta de este tribunal acordó admitir a trámite el presente recurso apreciando que concurría en él la especial trascendencia constitucional que exige el art. 50.1 LOTC, como consecuencia de que la posible vulneración del derecho fundamental que se denuncia pudiera provenir de la ley o de otra disposición de carácter general [STC 155/2009, FJ 2 c)]. Asimismo, se acordó en la misma providencia recabar de los órganos judiciales copia adverada de las actuaciones, ordenando se procediera a emplazar a quienes fueron parte en las distintas instancias (Juzgado de lo Social, Sala del Tribunal Superior de Justicia y del Tribunal Supremo) para que, en el plazo de diez días, si lo desearan, pudieran comparecer en este proceso constitucional.</w:t>
      </w:r>
    </w:p>
    <w:p w14:paraId="27ED4451" w14:textId="77777777" w:rsidR="00A8138F" w:rsidRDefault="00A8138F" w:rsidP="00A8138F">
      <w:pPr>
        <w:pStyle w:val="TextoNormal"/>
      </w:pPr>
    </w:p>
    <w:p w14:paraId="662692AE" w14:textId="5333B78D" w:rsidR="00A8138F" w:rsidRDefault="00A8138F" w:rsidP="00A8138F">
      <w:pPr>
        <w:pStyle w:val="TextoNormal"/>
      </w:pPr>
      <w:r w:rsidRPr="00A8138F">
        <w:rPr>
          <w:rStyle w:val="NumeroAFNegritaCaracter"/>
        </w:rPr>
        <w:t>5</w:t>
      </w:r>
      <w:r>
        <w:t>. Una vez la letrada de la administración de la Seguridad Social solicitó su personación en nombre del INSS y la TGSS, mediante diligencia de ordenación de 17 de octubre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artículo 52.1 de la Ley Orgánica de este Tribunal Constitucional.</w:t>
      </w:r>
    </w:p>
    <w:p w14:paraId="0EF7179D" w14:textId="77777777" w:rsidR="00A8138F" w:rsidRDefault="00A8138F" w:rsidP="00A8138F">
      <w:pPr>
        <w:pStyle w:val="TextoNormal"/>
      </w:pPr>
    </w:p>
    <w:p w14:paraId="6F855DA3" w14:textId="77777777" w:rsidR="00A8138F" w:rsidRDefault="00A8138F" w:rsidP="00A8138F">
      <w:pPr>
        <w:pStyle w:val="TextoNormal"/>
      </w:pPr>
      <w:r w:rsidRPr="00A8138F">
        <w:rPr>
          <w:rStyle w:val="NumeroAFNegritaCaracter"/>
        </w:rPr>
        <w:t>6</w:t>
      </w:r>
      <w:r>
        <w:t>. El día 12 de noviembre de 2024, la letrada de la administración de la Seguridad Social presentó sus alegaciones postulando la desestimación de la demanda de amparo. Su pretensión se apoya en los siguientes argumentos, sintéticamente expuestos:</w:t>
      </w:r>
    </w:p>
    <w:p w14:paraId="6B291C4F" w14:textId="77777777" w:rsidR="00A8138F" w:rsidRDefault="00A8138F" w:rsidP="00A8138F">
      <w:pPr>
        <w:pStyle w:val="TextoNormal"/>
      </w:pPr>
    </w:p>
    <w:p w14:paraId="3ECBD380" w14:textId="77777777" w:rsidR="00A8138F" w:rsidRDefault="00A8138F" w:rsidP="00A8138F">
      <w:pPr>
        <w:pStyle w:val="TextoNormal"/>
      </w:pPr>
      <w:r>
        <w:t xml:space="preserve">a) Bajo el epígrafe de “No justificación de la trascendencia constitucional”, el escrito de alegaciones rechaza la lesión del art. 14 CE, al considerar que no existe ningún derecho </w:t>
      </w:r>
      <w:r>
        <w:lastRenderedPageBreak/>
        <w:t>fundamental que resulte vulnerado por el hecho de no reconocer una ampliación de dieciséis semanas de una prestación de la Seguridad Social. Según esta parte la naturaleza y fundamento de la suspensión temporal del contrato de trabajo y de la prestación económica prevista en la ley impiden apreciar las supuestas vulneraciones denunciadas, negando el carácter discriminatorio de las normas reguladoras aplicadas. Entiende esta parte que la cita por la recurrente de la vulneración del derecho de igualdad entre madres y menores integrantes de familias monoparentales y los integrantes de familias biparentales y la alegación de haber sido discriminada por sus circunstancias personales y familiares, carece de fundamento, al no atentar una norma como la del art. 48.4 LET contra ninguno de esos dos derechos, pues la igualdad ante la ley solo es posible predicarla en situaciones iguales y es obvio que la situación de la actora no es parangonable con la de las familias biparentales.</w:t>
      </w:r>
    </w:p>
    <w:p w14:paraId="6A2FEBA2" w14:textId="77777777" w:rsidR="00A8138F" w:rsidRDefault="00A8138F" w:rsidP="00A8138F">
      <w:pPr>
        <w:pStyle w:val="TextoNormal"/>
      </w:pPr>
    </w:p>
    <w:p w14:paraId="54F51326" w14:textId="77777777" w:rsidR="00A8138F" w:rsidRDefault="00A8138F" w:rsidP="00A8138F">
      <w:pPr>
        <w:pStyle w:val="TextoNormal"/>
      </w:pPr>
      <w:r>
        <w:t>b) A continuación, identifica y describe el contenido de las normas legales aplicables para la resolución de su pretensión (Ley general de la Seguridad Social, Estatuto de los trabajadores y Estatuto básico del empleado público) para señalar cúal es el sentido y alcance del permiso y la prestación por nacimiento y cuidado del menor tras su nacimiento, poniendo especial atención en su finalidad,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14:paraId="013EFDE5" w14:textId="77777777" w:rsidR="00A8138F" w:rsidRDefault="00A8138F" w:rsidP="00A8138F">
      <w:pPr>
        <w:pStyle w:val="TextoNormal"/>
      </w:pPr>
    </w:p>
    <w:p w14:paraId="38B35947" w14:textId="77777777" w:rsidR="00A8138F" w:rsidRDefault="00A8138F" w:rsidP="00A8138F">
      <w:pPr>
        <w:pStyle w:val="TextoNormal"/>
      </w:pPr>
      <w:r>
        <w:t>c) Añade que esta es la interpretación jurisprudencial constante y unificada de la Sala de lo Social del Tribunal Supremo, que tuvo oportunidad de pronunciarse expresamente en la STS 169/2023, de 2 de marzo, con una doctrina que contradice el fundamento de fondo de la pretensión de amparo. También entiende que su alegación en favor de la desestimación del amparo pretendido es acorde con la doctrina del Tribunal Constitucional fijada en las SSTC 75/2011, de 19 de mayo, y 111/2018, de 17 de octubre, que, resolviendo casos distintos, bajo condiciones normativas distintas, desestimó las pretensiones de amparo entonces planteadas a partir del diferente régimen y finalidad de las prestaciones por paternidad y maternidad, y del hecho de no venir asociadas legalmente dichas prestaciones al requisito único del nacimiento de un hijo o hija común, sino al cumplimiento de los requisitos de afiliación y contribución que las caracterizan. Señala, en fin, que la interpretación administrativa y judicial del precepto aplicado para denegar a la demandante su petición de extensión de la suspensión del contrato de trabajo con la correspondiente prestación económica (específicamente el art. 48.4 LET), es acorde con la normativa vinculante del Derecho de la Unión Europea y la interpretación que de la misma ha hecho su Tribunal de Justicia, que reconoce también distinto fundamento y finalidad a los permisos de paternidad y maternidad, lo que permite atribuirles un carácter personal y no transferible, aún en los supuestos en que estos no pudieran disfrutarse o ser reconocidos a uno de los progenitores. En sus alegaciones se analizan también los tratados y acuerdos internacionales citados por la demandante, y otros, para concluir que de ellos no deriva la pretensión de extensión y reconocimiento que solicita.</w:t>
      </w:r>
    </w:p>
    <w:p w14:paraId="44767A60" w14:textId="77777777" w:rsidR="00A8138F" w:rsidRDefault="00A8138F" w:rsidP="00A8138F">
      <w:pPr>
        <w:pStyle w:val="TextoNormal"/>
      </w:pPr>
    </w:p>
    <w:p w14:paraId="3A487334" w14:textId="77777777" w:rsidR="00A8138F" w:rsidRDefault="00A8138F" w:rsidP="00A8138F">
      <w:pPr>
        <w:pStyle w:val="TextoNormal"/>
      </w:pPr>
      <w:r>
        <w:lastRenderedPageBreak/>
        <w:t>d) En conclusión, la letrada sostiene que ni el principio general de igualdad, ni la alegada discriminación directa por razón de estado civil, condición de familia monoparental o afectación del interés del menor, o indirecta por razón de sexo se han producido en este caso; ni derivan de la ley rectamente aplicada, ni son consecuencia de una interpretación de esta que no esté atenta a los principios y derechos fundamentales que han sido alegados.</w:t>
      </w:r>
    </w:p>
    <w:p w14:paraId="0DA483CD" w14:textId="77777777" w:rsidR="00A8138F" w:rsidRDefault="00A8138F" w:rsidP="00A8138F">
      <w:pPr>
        <w:pStyle w:val="TextoNormal"/>
      </w:pPr>
    </w:p>
    <w:p w14:paraId="4DF04C42" w14:textId="77777777" w:rsidR="00A8138F" w:rsidRDefault="00A8138F" w:rsidP="00A8138F">
      <w:pPr>
        <w:pStyle w:val="TextoNormal"/>
      </w:pPr>
      <w:r>
        <w:t>Afirma esta parte que la premisa de que parte la recurrente no es cierta, porque no todos los menores nacidos en familias biparentales podrán ser atendidos en las mismas condiciones por ambos progenitores, ni es cierto que ambos progenitores deban percibir prestaciones de Seguridad Social derivadas del nacimiento del menor. Además, no procede considerar la existencia de una discriminación de los menores en familias biparentales y monoparentales, toda vez que son diferentes las situaciones que se traen a comparación, pues el permiso de paternidad no se contempla como un periodo añadido al permiso de maternidad con la finalidad del cuidado, pues al contrario las seis primeras semanas a reconocer al segundo progenitor deben coincidir con las de descanso obligatorio del progenitor biológico. De este modo, el permiso del otro progenitor se contempla como un descanso con finalidad de repartir las cargas familiares e indirectamente, evitar un distinto trato laboral entre hombres y mujeres evitando o aliviando las consecuencias del estereotipo de género. El titular del derecho discutido corresponde al segundo progenitor y no al hijo, lo que determina la inexistencia de la discriminación planteada por razón de sexo intentando justificarla con el interés del menor.</w:t>
      </w:r>
    </w:p>
    <w:p w14:paraId="2352556C" w14:textId="77777777" w:rsidR="00A8138F" w:rsidRDefault="00A8138F" w:rsidP="00A8138F">
      <w:pPr>
        <w:pStyle w:val="TextoNormal"/>
      </w:pPr>
    </w:p>
    <w:p w14:paraId="2DE17FC2" w14:textId="4DF8152C" w:rsidR="00A8138F" w:rsidRDefault="00A8138F" w:rsidP="00A8138F">
      <w:pPr>
        <w:pStyle w:val="TextoNormal"/>
      </w:pPr>
      <w:r>
        <w:t>e) Por último, la letrada de la Seguridad Social alega que, si se estima el recurso de amparo, no puede reconocerse la ampliación de dieciséis semanas más del permiso y de la correspondiente prestación de Seguridad Social por nacimiento y cuidado del menor, previstos en los arts. 48.4 LET y 177 LGSS, en la redacción dada por el Real Decreto-ley 6/2019, a la madre de familia monoparental, que reclama la recurrente. Y ello porque el art. 48.4 LET establece que el nacimiento, que comprende el parto y el cuidado del menor de doce meses, suspenderá el contrato de trabajo de la madre biológica durante dieciséis semanas, y también el contrato de trabajo del progenitor distinto a la madre biológica durante dieciséis semanas, de las cuales, en ambos casos, serán obligatorias las seis semanas ininterrumpidas inmediatamente posteriores al parto, que habrán de disfrutarse a jornada completa; en el caso de la madre para asegurar la protección de su salud y en el caso del otro progenitor para el cumplimiento de los deberes de cuidado previstos en el artículo 68 del Código civil. El resto del periodo de suspensión del contrato, que es un derecho individual y no puede transferirse al otro progenitor, puede ser distribuido a voluntad de la madre y del progenitor distinto de la madre, en periodos semanales a disfrutar de forma acumulada o interrumpida, pudiendo simultanear o alternar el periodo de permiso, hasta que el menor cumpla doce meses, de manera que el menor puede disfrutar de veintiséis semanas de cuidado y compañía de su progenitor. Conforme a lo expuesto, la ampliación del permiso y de la correspondiente prestación a la madre de familia monoparental, solo podría ampliarse en diez semanas y no en dieciséis como solicita la demandante porque el permiso durante las primeras seis semanas inmediatamente posteriores al parto, debe ser necesaria e ininterrumpidamente disfrutado por ambos progenitores. Por tanto, el tiempo de cuidado del menor no se ve mermado, con la suma de las diez semanas restantes, alcanzando así las veintiséis semanas.</w:t>
      </w:r>
    </w:p>
    <w:p w14:paraId="5C3B121E" w14:textId="77777777" w:rsidR="00A8138F" w:rsidRDefault="00A8138F" w:rsidP="00A8138F">
      <w:pPr>
        <w:pStyle w:val="TextoNormal"/>
      </w:pPr>
    </w:p>
    <w:p w14:paraId="7C86CC69" w14:textId="5ED8AD98" w:rsidR="00A8138F" w:rsidRDefault="00A8138F" w:rsidP="00A8138F">
      <w:pPr>
        <w:pStyle w:val="TextoNormal"/>
      </w:pPr>
      <w:r w:rsidRPr="00A8138F">
        <w:rPr>
          <w:rStyle w:val="NumeroAFNegritaCaracter"/>
        </w:rPr>
        <w:lastRenderedPageBreak/>
        <w:t>7</w:t>
      </w:r>
      <w:r>
        <w:t>. El 14 de noviembre de 2024, la representación procesal de la demandante presentó sus alegaciones en las que ratificó los fundamentos de su pretensión de amparo mediante remisión a la demanda de amparo. Adicionalmente la parte hace referencia a la sentencia de la Sala de lo Contencioso-Administrativo del Tribunal Supremo, STS 1612/2024, de 15 de octubre, recurso de casación núm. 5372-2022 (ECLI:ES:TS:2024:4948), y a la STC 140/2024, de 6 de noviembre, estimatoria de la cuestión de inconstitucionalidad promovida por el Tribunal Superior de Justicia de Cataluña en relación con el art. 48, apartados 4, 5, y 6, del texto refundido de la Ley del estatuto de los trabajadores, aprobado por Real Decreto Legislativo 2/2015, de 23 de octubre (LET), en conexión con el art. 177 del texto refundido de la Ley general de la Seguridad Social, aprobado por el Real Decreto Legislativo 8/2015, de 30 de octubre (LGSS). Respecto de esta última, la parte sostiene que, aunque el Tribunal mantiene la vigencia del precepto, mientras el legislador no corrija su omisión, considera necesario que la norma se interprete en el sentido de adicionar al permiso de la madre biológica (dieciséis semanas) el previsto para el progenitor distinto (diez semanas, al excluirse las seis primeras semanas, que necesariamente deben disfrutarse de forma ininterrumpida e inmediatamente posterior al parto). Ello vendría a reforzar los argumentos contenidos en la demanda de amparo, que se reiteran de nuevo en el escrito de alegaciones.</w:t>
      </w:r>
    </w:p>
    <w:p w14:paraId="47F569A0" w14:textId="77777777" w:rsidR="00A8138F" w:rsidRDefault="00A8138F" w:rsidP="00A8138F">
      <w:pPr>
        <w:pStyle w:val="TextoNormal"/>
      </w:pPr>
    </w:p>
    <w:p w14:paraId="2928B9C8" w14:textId="77777777" w:rsidR="00A8138F" w:rsidRDefault="00A8138F" w:rsidP="00A8138F">
      <w:pPr>
        <w:pStyle w:val="TextoNormal"/>
      </w:pPr>
      <w:r w:rsidRPr="00A8138F">
        <w:rPr>
          <w:rStyle w:val="NumeroAFNegritaCaracter"/>
        </w:rPr>
        <w:t>8</w:t>
      </w:r>
      <w:r>
        <w:t>. El 5 de diciembre de 2024, el Ministerio Fiscal interesó la estimación del recurso de amparo, aludiendo de forma extensa y expresa a la STC 140/2024, y apelando a la necesidad de acomodar su informe a la nueva doctrina emanada de la sentencia citada, lo que distingue su posición de la sostenida en los escritos de alegaciones relativos a los recursos de amparo núm. 2068-2024, 1880-2024 y 1845-2024.</w:t>
      </w:r>
    </w:p>
    <w:p w14:paraId="3B407DA4" w14:textId="77777777" w:rsidR="00A8138F" w:rsidRDefault="00A8138F" w:rsidP="00A8138F">
      <w:pPr>
        <w:pStyle w:val="TextoNormal"/>
      </w:pPr>
    </w:p>
    <w:p w14:paraId="337FFB8B" w14:textId="77777777" w:rsidR="00A8138F" w:rsidRDefault="00A8138F" w:rsidP="00A8138F">
      <w:pPr>
        <w:pStyle w:val="TextoNormal"/>
      </w:pPr>
      <w:r>
        <w:t>Así, la Fiscalía considera que no es necesario hacer referencia a la doctrina general sobre el derecho a la igualdad y a la no discriminación por razón de sexo, habida cuenta que, además de ser sobradamente conocida por este tribunal, en sentencia de 6 de noviembre de 2024, se ha establecido una doctrina constitucional específica para la cuestión, resolviendo sobre la planteada inconstitucionalidad del indicado art. 48.4 LET (así como del art. 177 LGSS).</w:t>
      </w:r>
    </w:p>
    <w:p w14:paraId="25DB4A97" w14:textId="77777777" w:rsidR="00A8138F" w:rsidRDefault="00A8138F" w:rsidP="00A8138F">
      <w:pPr>
        <w:pStyle w:val="TextoNormal"/>
      </w:pPr>
    </w:p>
    <w:p w14:paraId="4FC4ACFF" w14:textId="77777777" w:rsidR="00A8138F" w:rsidRDefault="00A8138F" w:rsidP="00A8138F">
      <w:pPr>
        <w:pStyle w:val="TextoNormal"/>
      </w:pPr>
      <w:r>
        <w:t xml:space="preserve">Tras la reproducción literal de varios pasajes de la STC 140/2024, el Ministerio Fiscal recuerda que la sentencia estima la cuestión de inconstitucionalidad y declara que: “los arts. 48.4 LET y 177 LGSS, al no prever la posibilidad de que, en circunstancias como las descritas en el caso del que trae causa la presente cuestión, la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w:t>
      </w:r>
    </w:p>
    <w:p w14:paraId="39E03114" w14:textId="77777777" w:rsidR="00A8138F" w:rsidRDefault="00A8138F" w:rsidP="00A8138F">
      <w:pPr>
        <w:pStyle w:val="TextoNormal"/>
      </w:pPr>
    </w:p>
    <w:p w14:paraId="69CA8864" w14:textId="77777777" w:rsidR="00A8138F" w:rsidRDefault="00A8138F" w:rsidP="00A8138F">
      <w:pPr>
        <w:pStyle w:val="TextoNormal"/>
      </w:pPr>
      <w:r>
        <w:t xml:space="preserve">Por lo que hace al alcance de la declaración de inconstitucionalidad la sentencia (fundamento jurídico 7) no declara nulos los preceptos declarados inconstitucionales, si bien precisa que “en tanto el legislador no se pronuncie al respecto, en las familias monoparentales el permiso a que hace referencia el art. 48.4 LET, y en relación con él el art. 177 LGSS, ha </w:t>
      </w:r>
      <w:r>
        <w:lastRenderedPageBreak/>
        <w:t>de ser interpretado en el sentido de adicionarse al permiso del primer párrafo para la madre biológica (dieciséis semanas), el previsto en el segundo para progenitor distinto (diez semanas, al excluirse las seis primeras)”.</w:t>
      </w:r>
    </w:p>
    <w:p w14:paraId="2A5A047E" w14:textId="77777777" w:rsidR="00A8138F" w:rsidRDefault="00A8138F" w:rsidP="00A8138F">
      <w:pPr>
        <w:pStyle w:val="TextoNormal"/>
      </w:pPr>
    </w:p>
    <w:p w14:paraId="636D210A" w14:textId="77777777" w:rsidR="00A8138F" w:rsidRDefault="00A8138F" w:rsidP="00A8138F">
      <w:pPr>
        <w:pStyle w:val="TextoNormal"/>
      </w:pPr>
      <w:r>
        <w:t>En aplicación de la doctrina constitucional de la STC 140/2024 al presente recurso, el Ministerio Fiscal propone la estimación del recurso, pues al aplicarse en la instancia los arts. 48.4 LET y 177 LGSS, recientemente declarados inconstitucionales, las resoluciones impugnadas han producido la discriminación prohibida por el art. 14.1 CE, tanto de la demandante de amparo por constituir una familia monoparental, (por razón del modelo de familia), como del hijo por razón de nacimiento.</w:t>
      </w:r>
    </w:p>
    <w:p w14:paraId="5282E706" w14:textId="77777777" w:rsidR="00A8138F" w:rsidRDefault="00A8138F" w:rsidP="00A8138F">
      <w:pPr>
        <w:pStyle w:val="TextoNormal"/>
      </w:pPr>
    </w:p>
    <w:p w14:paraId="030D7217" w14:textId="77777777" w:rsidR="00A8138F" w:rsidRDefault="00A8138F" w:rsidP="00A8138F">
      <w:pPr>
        <w:pStyle w:val="TextoNormal"/>
      </w:pPr>
      <w:r>
        <w:t>En el proceso laboral subyacente no se debatía esencialmente la duración de la suspensión del contrato de trabajo, sino la prestación de la seguridad social del art. 177 y ss. LGSS, que corresponderían al segundo progenitor caso de existir. El motivo de la vulneración del art. 14 CE de acuerdo con la STC 140/2024 es el derecho a la no discriminación, porque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 Sin embargo, la duración de la prestación del art. 177 LGSS que ha sido objeto de la reclamación en el proceso laboral está vinculada a la suspensión del contrato de trabajo por el nacimiento y cuidado del hijo de hasta doce meses de edad que establece el art. 48.4 LET. Por este motivo, al denegar la ampliación de la prestación las resoluciones impugnadas han resultado contrarias al art. 14 CE y por tanto nulas.</w:t>
      </w:r>
    </w:p>
    <w:p w14:paraId="332D137D" w14:textId="77777777" w:rsidR="00A8138F" w:rsidRDefault="00A8138F" w:rsidP="00A8138F">
      <w:pPr>
        <w:pStyle w:val="TextoNormal"/>
      </w:pPr>
    </w:p>
    <w:p w14:paraId="6FC1C001" w14:textId="77777777" w:rsidR="00A8138F" w:rsidRDefault="00A8138F" w:rsidP="00A8138F">
      <w:pPr>
        <w:pStyle w:val="TextoNormal"/>
      </w:pPr>
      <w:r>
        <w:t>Completa su argumentación la Fiscalía afirmando que no se trata de que la interpretación y aplicación de los mencionados preceptos se haya realizado de manera ilógica o arbitraria, pues cuando se aplicaron eran normas con rango de ley y no se había declarado su inconstitucionalidad; y el Tribunal Constitucional, en la sentencia mencionada, no mantiene que los preceptos sean constitucionales con una interpretación conforme a la Constitución, sino que los declara directamente contrarios al art. 14 CE por omisión, estableciendo una interpretación provisional para que su aplicación —ya que no los declara nulos— no siga produciendo una vulneración del art. 14 CE. Es la inconstitucionalidad de las normas la que produce la nulidad de la resolución.</w:t>
      </w:r>
    </w:p>
    <w:p w14:paraId="6AE62C02" w14:textId="77777777" w:rsidR="00A8138F" w:rsidRDefault="00A8138F" w:rsidP="00A8138F">
      <w:pPr>
        <w:pStyle w:val="TextoNormal"/>
      </w:pPr>
    </w:p>
    <w:p w14:paraId="76CACE5C" w14:textId="5EB711DB" w:rsidR="00A8138F" w:rsidRDefault="00A8138F" w:rsidP="00A8138F">
      <w:pPr>
        <w:pStyle w:val="TextoNormal"/>
      </w:pPr>
      <w:r>
        <w:t>Como consecuencia de lo alegado, el fiscal interesa el otorgamiento del amparo, la declaración de nulidad de las resoluciones administrativas desestimatorias por silencio administrativo del Instituto Nacional de la Seguridad Social, así como las resoluciones judiciales confirmatorias de la denegación, y la retroacción de las actuaciones para que el INSS dicte una nueva resolución conforme establece la doctrina constitucional establecida en la STC 140/2024, de 6 de noviembre.</w:t>
      </w:r>
    </w:p>
    <w:p w14:paraId="7938B1E0" w14:textId="77777777" w:rsidR="00A8138F" w:rsidRDefault="00A8138F" w:rsidP="00A8138F">
      <w:pPr>
        <w:pStyle w:val="TextoNormal"/>
      </w:pPr>
    </w:p>
    <w:p w14:paraId="7A0EB92B" w14:textId="21E29392" w:rsidR="00A8138F" w:rsidRDefault="00A8138F" w:rsidP="00A8138F">
      <w:pPr>
        <w:pStyle w:val="TextoNormal"/>
      </w:pPr>
      <w:r w:rsidRPr="00A8138F">
        <w:rPr>
          <w:rStyle w:val="NumeroAFNegritaCaracter"/>
        </w:rPr>
        <w:t>9</w:t>
      </w:r>
      <w:r>
        <w:t>. Mediante providencia de 9 de enero de 2025, se señaló para deliberación y votación de la presente sentencia el día 13 del mismo mes y año.</w:t>
      </w:r>
    </w:p>
    <w:p w14:paraId="27B5C162" w14:textId="77777777" w:rsidR="00A8138F" w:rsidRDefault="00A8138F" w:rsidP="00A8138F">
      <w:pPr>
        <w:pStyle w:val="TextoNormal"/>
      </w:pPr>
    </w:p>
    <w:p w14:paraId="731777F8" w14:textId="77777777" w:rsidR="00A8138F" w:rsidRDefault="00A8138F" w:rsidP="00A8138F">
      <w:pPr>
        <w:pStyle w:val="TextoNormalNegritaCentrado"/>
        <w:keepNext/>
      </w:pPr>
      <w:r>
        <w:lastRenderedPageBreak/>
        <w:t>II. Fundamentos jurídicos</w:t>
      </w:r>
    </w:p>
    <w:p w14:paraId="667DD088" w14:textId="03B5DE22" w:rsidR="00A8138F" w:rsidRDefault="00A8138F" w:rsidP="00A8138F">
      <w:pPr>
        <w:pStyle w:val="TextoNormalNegritaCentrado"/>
        <w:keepNext/>
      </w:pPr>
    </w:p>
    <w:p w14:paraId="7562F29C"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449D654" w14:textId="77777777" w:rsidR="00A8138F" w:rsidRDefault="00A8138F" w:rsidP="00A8138F">
      <w:pPr>
        <w:pStyle w:val="TextoNormal"/>
      </w:pPr>
    </w:p>
    <w:p w14:paraId="1935D390" w14:textId="77777777" w:rsidR="00A8138F" w:rsidRDefault="00A8138F" w:rsidP="00A8138F">
      <w:pPr>
        <w:pStyle w:val="TextoNormal"/>
      </w:pPr>
      <w:r>
        <w:t>El objeto del presente proceso es dilucidar si las resoluciones administrativas presuntas y judiciales impugnadas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14:paraId="05D5E328" w14:textId="77777777" w:rsidR="00A8138F" w:rsidRDefault="00A8138F" w:rsidP="00A8138F">
      <w:pPr>
        <w:pStyle w:val="TextoNormal"/>
      </w:pPr>
    </w:p>
    <w:p w14:paraId="29498509" w14:textId="12D8373F" w:rsidR="00A8138F" w:rsidRDefault="00A8138F" w:rsidP="00A8138F">
      <w:pPr>
        <w:pStyle w:val="TextoNormal"/>
      </w:pPr>
      <w:r>
        <w:t>La letrada de la Seguridad Social solicita la desestimación del recurso de amparo, mientras que el Ministerio Fiscal interesa la estimación en aplicación de la doctrina constitucional fijada en la STC 140/2024, de 6 de noviembre.</w:t>
      </w:r>
    </w:p>
    <w:p w14:paraId="303B0BB3" w14:textId="77777777" w:rsidR="00A8138F" w:rsidRDefault="00A8138F" w:rsidP="00A8138F">
      <w:pPr>
        <w:pStyle w:val="TextoNormal"/>
      </w:pPr>
    </w:p>
    <w:p w14:paraId="4834A757" w14:textId="77777777" w:rsidR="00A8138F" w:rsidRDefault="00A8138F" w:rsidP="00A8138F">
      <w:pPr>
        <w:pStyle w:val="TextoNormal"/>
      </w:pPr>
      <w:r w:rsidRPr="00A8138F">
        <w:rPr>
          <w:rStyle w:val="NumeroAFNegritaCaracter"/>
        </w:rPr>
        <w:t>2</w:t>
      </w:r>
      <w:r>
        <w:t xml:space="preserve">. </w:t>
      </w:r>
      <w:r w:rsidRPr="00A8138F">
        <w:rPr>
          <w:i/>
        </w:rPr>
        <w:t>Sobre la especial trascendencia de la cuestión planteada y su justificación en la demanda</w:t>
      </w:r>
    </w:p>
    <w:p w14:paraId="776E9F57" w14:textId="77777777" w:rsidR="00A8138F" w:rsidRDefault="00A8138F" w:rsidP="00A8138F">
      <w:pPr>
        <w:pStyle w:val="TextoNormal"/>
      </w:pPr>
    </w:p>
    <w:p w14:paraId="12D212EB" w14:textId="77777777" w:rsidR="00A8138F" w:rsidRDefault="00A8138F" w:rsidP="00A8138F">
      <w:pPr>
        <w:pStyle w:val="TextoNormal"/>
      </w:pPr>
      <w:r>
        <w:t>A tenor de la fundamentación de la demanda de amparo y del debate planteado y resuelto en la vía judicial previa sobre el alcance y contenido de los arts. 48.4 LET y 177 LGSS, el presente recurso de amparo fue admitido a trámite tras apreciar que la posible vulneración del derecho fundamental que se denuncia pudiera provenir de la ley [STC 155/2009, FJ 2 c)], en tanto las decisiones administrativas y judiciales cuestionadas justificaban la desestimación de la pretensión planteada, en cada caso, en el tenor literal de la regulación jurídica aplicable y aplicada al caso.</w:t>
      </w:r>
    </w:p>
    <w:p w14:paraId="66FE1E4F" w14:textId="77777777" w:rsidR="00A8138F" w:rsidRDefault="00A8138F" w:rsidP="00A8138F">
      <w:pPr>
        <w:pStyle w:val="TextoNormal"/>
      </w:pPr>
    </w:p>
    <w:p w14:paraId="5F8642FA" w14:textId="77777777" w:rsidR="00A8138F" w:rsidRDefault="00A8138F" w:rsidP="00A8138F">
      <w:pPr>
        <w:pStyle w:val="TextoNormal"/>
      </w:pPr>
      <w:r>
        <w:t>La letrada de la administración de la Seguridad Social cuestiona en sus alegaciones que la demandante haya justificado de forma debida la especial trascendencia constitucional de la cuestión planteada en la demanda de amparo. Sin embargo, tal objeción no puede ser compartida como óbice procesal que justificaría la inadmisión de la demanda pues, a través de dicha alegación, no se hace sino discrepar de la fundamentación que justifica la queja, anticipando la representante de la administración que no se ha producido vulneración alguna del derecho a la igualdad ante la ley sin que haya lugar a discriminación (art. 14 CE).</w:t>
      </w:r>
    </w:p>
    <w:p w14:paraId="55705906" w14:textId="77777777" w:rsidR="00A8138F" w:rsidRDefault="00A8138F" w:rsidP="00A8138F">
      <w:pPr>
        <w:pStyle w:val="TextoNormal"/>
      </w:pPr>
    </w:p>
    <w:p w14:paraId="069FF511" w14:textId="6BC14115" w:rsidR="00A8138F" w:rsidRDefault="00A8138F" w:rsidP="00A8138F">
      <w:pPr>
        <w:pStyle w:val="TextoNormal"/>
      </w:pPr>
      <w:r>
        <w:t>Este argumento habrá de ser analizado al resolver la cuestión de fondo lo que, cabe anticipar, se llevará a cabo en los mismos términos en que ha sido expresado en la reciente STC 140/2024, de 6 de noviembre (del Pleno), a la que, por coincidir su objeto, habremos de remitirnos.</w:t>
      </w:r>
    </w:p>
    <w:p w14:paraId="1BFC3A3B" w14:textId="77777777" w:rsidR="00A8138F" w:rsidRDefault="00A8138F" w:rsidP="00A8138F">
      <w:pPr>
        <w:pStyle w:val="TextoNormal"/>
      </w:pPr>
    </w:p>
    <w:p w14:paraId="22E3A204"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fijada en la STC 140/2024, de 6 de noviembre</w:t>
      </w:r>
    </w:p>
    <w:p w14:paraId="3BD4C7CA" w14:textId="77777777" w:rsidR="00A8138F" w:rsidRDefault="00A8138F" w:rsidP="00A8138F">
      <w:pPr>
        <w:pStyle w:val="TextoNormal"/>
      </w:pPr>
    </w:p>
    <w:p w14:paraId="56BCF9EE" w14:textId="77777777" w:rsidR="00A8138F" w:rsidRDefault="00A8138F" w:rsidP="00A8138F">
      <w:pPr>
        <w:pStyle w:val="TextoNormal"/>
      </w:pPr>
      <w: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w:t>
      </w:r>
      <w:r>
        <w:lastRenderedPageBreak/>
        <w:t>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13F2373E" w14:textId="77777777" w:rsidR="00A8138F" w:rsidRDefault="00A8138F" w:rsidP="00A8138F">
      <w:pPr>
        <w:pStyle w:val="TextoNormal"/>
      </w:pPr>
    </w:p>
    <w:p w14:paraId="6F8FBE29"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CD6E72E" w14:textId="77777777" w:rsidR="00A8138F" w:rsidRDefault="00A8138F" w:rsidP="00A8138F">
      <w:pPr>
        <w:pStyle w:val="TextoNormal"/>
      </w:pPr>
    </w:p>
    <w:p w14:paraId="1B9565DB"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FEA12A1" w14:textId="77777777" w:rsidR="00A8138F" w:rsidRDefault="00A8138F" w:rsidP="00A8138F">
      <w:pPr>
        <w:pStyle w:val="TextoNormal"/>
      </w:pPr>
    </w:p>
    <w:p w14:paraId="1EAA36A8" w14:textId="7DBD5C0A"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3F1E16EC" w14:textId="77777777" w:rsidR="00A8138F" w:rsidRDefault="00A8138F" w:rsidP="00A8138F">
      <w:pPr>
        <w:pStyle w:val="TextoNormal"/>
      </w:pPr>
    </w:p>
    <w:p w14:paraId="0EDF0CAA" w14:textId="77777777" w:rsidR="00A8138F" w:rsidRDefault="00A8138F" w:rsidP="00A8138F">
      <w:pPr>
        <w:pStyle w:val="TextoNormalCentrado"/>
        <w:keepNext/>
      </w:pPr>
      <w:r>
        <w:t>FALLO</w:t>
      </w:r>
    </w:p>
    <w:p w14:paraId="537FF0A2" w14:textId="6E3F564F" w:rsidR="00A8138F" w:rsidRDefault="00A8138F" w:rsidP="00A8138F">
      <w:pPr>
        <w:pStyle w:val="TextoNormalCentrado"/>
        <w:keepNext/>
      </w:pPr>
    </w:p>
    <w:p w14:paraId="245FBE7C" w14:textId="77777777" w:rsidR="00A8138F" w:rsidRDefault="00A8138F" w:rsidP="00A8138F">
      <w:pPr>
        <w:pStyle w:val="TextoNormal"/>
      </w:pPr>
      <w:r>
        <w:t>En atención a todo lo expuesto, el Tribunal Constitucional, por la autoridad que le confiere la Constitución de la Nación española, ha decidido:</w:t>
      </w:r>
    </w:p>
    <w:p w14:paraId="1C5AE870" w14:textId="77777777" w:rsidR="00A8138F" w:rsidRDefault="00A8138F" w:rsidP="00A8138F">
      <w:pPr>
        <w:pStyle w:val="TextoNormal"/>
      </w:pPr>
    </w:p>
    <w:p w14:paraId="5BB8E2EC" w14:textId="77777777" w:rsidR="00A8138F" w:rsidRDefault="00A8138F" w:rsidP="00A8138F">
      <w:pPr>
        <w:pStyle w:val="TextoNormal"/>
      </w:pPr>
      <w:r>
        <w:lastRenderedPageBreak/>
        <w:t>1º Estimar el recurso de amparo núm. 1969-2024 promovido por doña María Ángeles Rojo Setién, por vulneración del derecho fundamental a la igualdad ante la ley sin discriminación por razón de nacimiento (art. 14 CE), con reconocimiento de tal derecho.</w:t>
      </w:r>
    </w:p>
    <w:p w14:paraId="44642B1E" w14:textId="77777777" w:rsidR="00A8138F" w:rsidRDefault="00A8138F" w:rsidP="00A8138F">
      <w:pPr>
        <w:pStyle w:val="TextoNormal"/>
      </w:pPr>
    </w:p>
    <w:p w14:paraId="19D33CBF" w14:textId="77777777" w:rsidR="00A8138F" w:rsidRDefault="00A8138F" w:rsidP="00A8138F">
      <w:pPr>
        <w:pStyle w:val="TextoNormal"/>
      </w:pPr>
      <w:r>
        <w:t>2º Declarar la nulidad de las siguientes resoluciones: (i) la sentencia del Juzgado de lo Social núm. 9 de Madrid, 22 de septiembre de 2022 (procedimiento de seguridad social en materia prestacional núm. 364-2022); (ii) la sentencia de la Sala de lo Social del Tribunal Superior de Justicia de Madrid, de 12 de mayo de 2023 (procedimiento recurso de suplicación núm. 1328-2022); y (iii) el auto de inadmisión de 13 de febrero de 2024 de la Sala de lo Social del Tribunal Supremo (recurso de casación en unificación de doctrina núm. 3523-2023).</w:t>
      </w:r>
    </w:p>
    <w:p w14:paraId="1B1DE377" w14:textId="77777777" w:rsidR="00A8138F" w:rsidRDefault="00A8138F" w:rsidP="00A8138F">
      <w:pPr>
        <w:pStyle w:val="TextoNormal"/>
      </w:pPr>
    </w:p>
    <w:p w14:paraId="686D15F9" w14:textId="73FEB9E3" w:rsidR="00A8138F" w:rsidRDefault="00A8138F" w:rsidP="00A8138F">
      <w:pPr>
        <w:pStyle w:val="TextoNormal"/>
      </w:pPr>
      <w:r>
        <w:t>3º Retrotraer las actuaciones al momento posterior a la solicitud de 24 de noviembre de 2021, para que el Instituto Nacional de la Seguridad Social dicte resolución expresa que resulte ser respetuosa con el derecho fundamental reconocido a la recurrente, con el alcance fijado en el último párrafo del fundamento jurídico 3 de esta sentencia.</w:t>
      </w:r>
    </w:p>
    <w:p w14:paraId="1D6FF1FE" w14:textId="77777777" w:rsidR="00A8138F" w:rsidRDefault="00A8138F" w:rsidP="00A8138F">
      <w:pPr>
        <w:pStyle w:val="TextoNormal"/>
      </w:pPr>
    </w:p>
    <w:p w14:paraId="420149BB" w14:textId="77777777" w:rsidR="00A8138F" w:rsidRDefault="00A8138F" w:rsidP="00A8138F">
      <w:pPr>
        <w:pStyle w:val="TextoNormal"/>
      </w:pPr>
      <w:r>
        <w:t>Publíquese esta sentencia en el “Boletín Oficial del Estado”.</w:t>
      </w:r>
    </w:p>
    <w:p w14:paraId="43D75633" w14:textId="77777777" w:rsidR="00A8138F" w:rsidRDefault="00A8138F" w:rsidP="00A8138F">
      <w:pPr>
        <w:pStyle w:val="TextoNormal"/>
      </w:pPr>
      <w:r>
        <w:t>Dada en Madrid, a trece de enero de dos mil veinticinco.</w:t>
      </w:r>
    </w:p>
    <w:p w14:paraId="670D3A15" w14:textId="017A28ED" w:rsidR="00A8138F" w:rsidRDefault="00A8138F">
      <w:pPr>
        <w:spacing w:after="160" w:line="278" w:lineRule="auto"/>
        <w:rPr>
          <w:rFonts w:ascii="Times New Roman" w:eastAsia="Times New Roman" w:hAnsi="Times New Roman" w:cs="Times New Roman"/>
          <w:sz w:val="24"/>
          <w:szCs w:val="24"/>
          <w:lang w:eastAsia="es-ES"/>
        </w:rPr>
      </w:pPr>
      <w:r>
        <w:br w:type="page"/>
      </w:r>
    </w:p>
    <w:p w14:paraId="496B6DE0" w14:textId="77777777" w:rsidR="00A8138F" w:rsidRDefault="00A8138F" w:rsidP="00A8138F">
      <w:pPr>
        <w:pStyle w:val="TtuloResolucin"/>
      </w:pPr>
      <w:bookmarkStart w:id="11" w:name="SENTENCIA_2025_9"/>
      <w:r>
        <w:lastRenderedPageBreak/>
        <w:t>SENTENCIA 9/2025, de 13 de enero de 2025</w:t>
      </w:r>
    </w:p>
    <w:bookmarkEnd w:id="11"/>
    <w:p w14:paraId="54A2C8A3" w14:textId="77777777" w:rsidR="00A8138F" w:rsidRDefault="00A8138F" w:rsidP="00A8138F">
      <w:pPr>
        <w:pStyle w:val="TtuloResolucin"/>
      </w:pPr>
      <w:r>
        <w:t>Sala Primera</w:t>
      </w:r>
    </w:p>
    <w:p w14:paraId="342FC511" w14:textId="77777777" w:rsidR="00A8138F" w:rsidRDefault="00A8138F" w:rsidP="00A8138F">
      <w:pPr>
        <w:pStyle w:val="TtuloBOE"/>
      </w:pPr>
      <w:r>
        <w:t>(BOE núm. 41, de 17 de febrero de 2025)</w:t>
      </w:r>
    </w:p>
    <w:p w14:paraId="7B55643E" w14:textId="77777777" w:rsidR="00A8138F" w:rsidRDefault="00A8138F" w:rsidP="00A8138F">
      <w:pPr>
        <w:pStyle w:val="TextoNormalCentrado"/>
      </w:pPr>
      <w:r>
        <w:t>ECLI:ES:TC:2025:9</w:t>
      </w:r>
    </w:p>
    <w:p w14:paraId="72ECD86A" w14:textId="03374B6E" w:rsidR="00A8138F" w:rsidRDefault="00A8138F" w:rsidP="00A8138F">
      <w:pPr>
        <w:pStyle w:val="TextoNormalCentrado"/>
      </w:pPr>
    </w:p>
    <w:p w14:paraId="37BB6E3C" w14:textId="77777777" w:rsidR="00A8138F" w:rsidRDefault="00A8138F" w:rsidP="00A8138F">
      <w:pPr>
        <w:pStyle w:val="SntesisDescriptiva"/>
      </w:pPr>
      <w:r>
        <w:t>Recurso de amparo 2016-2024. Promovido por doña Marta Pérez Martín en relación con las resoluciones administrativas y judiciales que desestimaron su petición de revisión y ampliación de la prestación por nacimiento y cuidado de hijo menor, como madre biológica de familia monoparental.</w:t>
      </w:r>
    </w:p>
    <w:p w14:paraId="5DC78446" w14:textId="5792D9D4" w:rsidR="00A8138F" w:rsidRDefault="00A8138F" w:rsidP="00A8138F">
      <w:pPr>
        <w:pStyle w:val="SntesisDescriptiva"/>
      </w:pPr>
    </w:p>
    <w:p w14:paraId="47F99A23" w14:textId="77777777" w:rsidR="00A8138F" w:rsidRDefault="00A8138F" w:rsidP="00A8138F">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BBBE8D2" w14:textId="10F5FD0D" w:rsidR="00A8138F" w:rsidRDefault="00A8138F" w:rsidP="00A8138F">
      <w:pPr>
        <w:pStyle w:val="SntesisAnaltica"/>
      </w:pPr>
    </w:p>
    <w:p w14:paraId="5B4A9035" w14:textId="568B2390"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5B7CC0A8" w14:textId="77777777" w:rsidR="00A8138F" w:rsidRDefault="00A8138F" w:rsidP="00A8138F">
      <w:pPr>
        <w:pStyle w:val="Extracto"/>
      </w:pPr>
    </w:p>
    <w:p w14:paraId="504F543D" w14:textId="77777777" w:rsidR="00A8138F" w:rsidRDefault="00A8138F" w:rsidP="00A8138F">
      <w:pPr>
        <w:pStyle w:val="Extracto"/>
      </w:pPr>
    </w:p>
    <w:p w14:paraId="6795A50C"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7FAF3B51" w14:textId="5288DD11" w:rsidR="00A8138F" w:rsidRDefault="00A8138F" w:rsidP="00A8138F">
      <w:pPr>
        <w:pStyle w:val="TextoNormal"/>
      </w:pPr>
    </w:p>
    <w:p w14:paraId="5B5AD7FB" w14:textId="77777777" w:rsidR="00A8138F" w:rsidRDefault="00A8138F" w:rsidP="00A8138F">
      <w:pPr>
        <w:pStyle w:val="TextoNormalCentrado"/>
        <w:keepNext/>
      </w:pPr>
      <w:r>
        <w:t>EN NOMBRE DEL REY</w:t>
      </w:r>
    </w:p>
    <w:p w14:paraId="3481B7C8" w14:textId="6F744A7F" w:rsidR="00A8138F" w:rsidRDefault="00A8138F" w:rsidP="00A8138F">
      <w:pPr>
        <w:pStyle w:val="TextoNormalCentrado"/>
        <w:keepNext/>
      </w:pPr>
    </w:p>
    <w:p w14:paraId="2FC42EB6" w14:textId="77777777" w:rsidR="00A8138F" w:rsidRDefault="00A8138F" w:rsidP="00A8138F">
      <w:pPr>
        <w:pStyle w:val="TextoNormalCentrado"/>
        <w:keepNext/>
      </w:pPr>
    </w:p>
    <w:p w14:paraId="5E67FA84" w14:textId="77777777" w:rsidR="00A8138F" w:rsidRDefault="00A8138F" w:rsidP="00A8138F">
      <w:pPr>
        <w:pStyle w:val="TextoNormal"/>
      </w:pPr>
      <w:r>
        <w:t>la siguiente</w:t>
      </w:r>
    </w:p>
    <w:p w14:paraId="4F3E3AB6" w14:textId="215F41B1" w:rsidR="00A8138F" w:rsidRDefault="00A8138F" w:rsidP="00A8138F">
      <w:pPr>
        <w:pStyle w:val="TextoNormal"/>
      </w:pPr>
    </w:p>
    <w:p w14:paraId="4185BB5B" w14:textId="77777777" w:rsidR="00A8138F" w:rsidRDefault="00A8138F" w:rsidP="00A8138F">
      <w:pPr>
        <w:pStyle w:val="TextoNormalCentrado"/>
        <w:keepNext/>
      </w:pPr>
      <w:r>
        <w:t>SENTENCIA</w:t>
      </w:r>
    </w:p>
    <w:p w14:paraId="3896032D" w14:textId="6E04999B" w:rsidR="00A8138F" w:rsidRDefault="00A8138F" w:rsidP="00A8138F">
      <w:pPr>
        <w:pStyle w:val="TextoNormalCentrado"/>
        <w:keepNext/>
      </w:pPr>
    </w:p>
    <w:p w14:paraId="06519CDD" w14:textId="77777777" w:rsidR="00A8138F" w:rsidRDefault="00A8138F" w:rsidP="00A8138F">
      <w:pPr>
        <w:pStyle w:val="TextoNormal"/>
      </w:pPr>
      <w:r>
        <w:t>En el recurso de amparo núm. 2016-2024, promovido por doña Marta Pérez Martín, representada por la procuradora de los tribunales doña María Esperanza Azpeitia Calvin y asistida por la letrada doña Maider Katti Aguirre Lizarraga, contra las resoluciones de 22 de marzo de 2021 y de 3 de junio de 2021, del director provincial de Bizkaia del Instituto Nacional de la Seguridad Social, que desestimaron la petición y reclamación previa dirigidas a la revisión y ampliación de la prestación por nacimiento y cuidado de hijo menor, como madre biológica de familia monoparental; la sentencia núm. 530/2021, de 21 de octubre, del Juzgado de lo Social núm. 11 de Bilbao, dictada en los autos núm. 713-2021; la sentencia núm. 1461/2022, de 12 de julio, de la Sala de lo Social del Tribunal Superior de Justicia del País Vasco, dictada en el recurso de suplicación núm. 306-2022; y la sentencia núm. 248/2024, de 8 de febrero, de la Sala de lo Social del Tribunal Supremo, dictada en el recurso de casación para la unificación de doctrina núm. 4856-2022, que estimó el recurso presentado por la representación del Instituto Nacional de la Seguridad Social y la Tesorería General de la Seguridad Social. Han intervenido la letrada de la Administración de la Segu</w:t>
      </w:r>
      <w:r>
        <w:lastRenderedPageBreak/>
        <w:t>ridad Social, en nombre del Instituto Nacional de la Seguridad Social y la Tesorería General de la Seguridad Social, y el Ministerio Fiscal. Ha sido ponente el magistrado don Juan Carlos Campo Moreno.</w:t>
      </w:r>
    </w:p>
    <w:p w14:paraId="7E86BFCA" w14:textId="38AAAA3C" w:rsidR="00A8138F" w:rsidRDefault="00A8138F" w:rsidP="00A8138F">
      <w:pPr>
        <w:pStyle w:val="TextoNormal"/>
      </w:pPr>
    </w:p>
    <w:p w14:paraId="78CABFCD" w14:textId="77777777" w:rsidR="00A8138F" w:rsidRDefault="00A8138F" w:rsidP="00A8138F">
      <w:pPr>
        <w:pStyle w:val="TextoNormalNegritaCentrado"/>
        <w:keepNext/>
      </w:pPr>
      <w:r>
        <w:t>I. Antecedentes</w:t>
      </w:r>
    </w:p>
    <w:p w14:paraId="08A77EA4" w14:textId="1CB221E3" w:rsidR="00A8138F" w:rsidRDefault="00A8138F" w:rsidP="00A8138F">
      <w:pPr>
        <w:pStyle w:val="TextoNormalNegritaCentrado"/>
        <w:keepNext/>
      </w:pPr>
    </w:p>
    <w:p w14:paraId="2A9F6500" w14:textId="51C60554" w:rsidR="00A8138F" w:rsidRDefault="00A8138F" w:rsidP="00A8138F">
      <w:pPr>
        <w:pStyle w:val="TextoNormal"/>
      </w:pPr>
      <w:r w:rsidRPr="00A8138F">
        <w:rPr>
          <w:rStyle w:val="NumeroAFNegritaCaracter"/>
        </w:rPr>
        <w:t>1</w:t>
      </w:r>
      <w:r>
        <w:t>. Mediante escrito registrado en este tribunal el 21 de marzo de 2024, la representante procesal de doña Marta Pérez Martín, bajo la dirección letrada de doña Maider Katti Aguirre Lizarraga, interpuso recurso de amparo contra las decisiones administrativas y resoluciones judiciales a las que se ha hecho referencia en el encabezamiento de esta sentencia.</w:t>
      </w:r>
    </w:p>
    <w:p w14:paraId="59EF7F91" w14:textId="77777777" w:rsidR="00A8138F" w:rsidRDefault="00A8138F" w:rsidP="00A8138F">
      <w:pPr>
        <w:pStyle w:val="TextoNormal"/>
      </w:pPr>
    </w:p>
    <w:p w14:paraId="51EE5343"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0C6937F9" w14:textId="77777777" w:rsidR="00A8138F" w:rsidRDefault="00A8138F" w:rsidP="00A8138F">
      <w:pPr>
        <w:pStyle w:val="TextoNormal"/>
      </w:pPr>
    </w:p>
    <w:p w14:paraId="32EBC7B8" w14:textId="77777777" w:rsidR="00A8138F" w:rsidRDefault="00A8138F" w:rsidP="00A8138F">
      <w:pPr>
        <w:pStyle w:val="TextoNormal"/>
      </w:pPr>
      <w:r>
        <w:t>a) La señora Pérez Martín es madre biológica de un niño, nacido en el mes de marzo de 2021, con quien forma una familia monoparental. Por resolución del Instituto Nacional de la Seguridad Social (INSS) de 22 de marzo de 2021 (según el registro de salida) le fue reconocido el derecho a la prestación de nacimiento y cuidado del menor por el período que va desde el 8 de marzo de 2021 al 27 de junio de 2021 (dieciséis semanas). El 15 de abril de 2021 formuló reclamación previa instando la revisión de la prestación concedida, alegando haber constituido una familia monoparental y reclamando la ampliación de la prestación en doce semanas más, añadiendo al período ya reconocido el que consideraba le hubiera correspondido al segundo progenitor distinto de la madre biológica en el supuesto de que constituyeran una familia biparental. La solicitud de ampliación fue desestimada por el director provincial de Bizkaia del INSS mediante resolución de 3 de junio de 2021.</w:t>
      </w:r>
    </w:p>
    <w:p w14:paraId="7C9E20A0" w14:textId="77777777" w:rsidR="00A8138F" w:rsidRDefault="00A8138F" w:rsidP="00A8138F">
      <w:pPr>
        <w:pStyle w:val="TextoNormal"/>
      </w:pPr>
    </w:p>
    <w:p w14:paraId="57B29C2A" w14:textId="77777777" w:rsidR="00A8138F" w:rsidRDefault="00A8138F" w:rsidP="00A8138F">
      <w:pPr>
        <w:pStyle w:val="TextoNormal"/>
      </w:pPr>
      <w:r>
        <w:t>b) Sintiéndose discriminada por la respuesta recibida, el 6 de julio de 2021 la demandante cuestionó las decisiones administrativas ante el Juzgado de lo Social núm. 11 de los de Bilbao, autos núm. 713-2021, que mediante sentencia de 21 de octubre de 2021, estimó parcialmente la demanda interpuesta y declaró el derecho de la actora a disfrutar de la prestación de maternidad durante ocho semanas más de las ya reconocidas (cincuenta y seis días a partir de 27 de junio de 2021), con arreglo a las condiciones económicas ya reconocidas, quedando el INSS y la Tesorería General de la Seguridad Social (TGSS) obligados a estar y pasar por esta declaración. La sentencia consideró que, a tenor de la extensión del permiso de paternidad acordada por el Real Decreto-ley 6/2019, de 1 de marzo, (art. 2, apartado 18, que añade una nueva disposición transitoria decimotercera a la Ley del estatuto de los trabajadores) y la interpretación de las normas aplicables realizada por la Sala de lo Social del Tribunal Superior de Justicia del País Vasco (a cuya doctrina se remitió literal y expresamente) la pretensión había de ser parcialmente estimada en protección del interés superior del menor, lo que exigía únicamente restar, de las doce semanas de permiso y prestación económica reclamados, las cuatro primeras que, atendiendo a su finalidad, habrían de disfrutarse conjuntamente por ambos progenitores, lo que no era posible en estos supuestos. La sentencia estimatoria fue aclarada por auto de 3 de noviembre de 2021, que amplió a diez semanas adicionales la duración de la prestación ya reconocida.</w:t>
      </w:r>
    </w:p>
    <w:p w14:paraId="6860D5EB" w14:textId="77777777" w:rsidR="00A8138F" w:rsidRDefault="00A8138F" w:rsidP="00A8138F">
      <w:pPr>
        <w:pStyle w:val="TextoNormal"/>
      </w:pPr>
    </w:p>
    <w:p w14:paraId="6A2404D0" w14:textId="77777777" w:rsidR="00A8138F" w:rsidRDefault="00A8138F" w:rsidP="00A8138F">
      <w:pPr>
        <w:pStyle w:val="TextoNormal"/>
      </w:pPr>
      <w:r>
        <w:lastRenderedPageBreak/>
        <w:t>c) La actora y la representación del INSS y la TGSS recurrieron en suplicación la sentencia de instancia. La entidad gestora para sostener que la primera no tiene derecho a la ampliación de la prestación reconocida, en tanto que la demandante interesó que se le reconociera la ampliación del permiso y consiguiente prestación durante seis semanas más, hasta un total de dieciséis.</w:t>
      </w:r>
    </w:p>
    <w:p w14:paraId="6D580779" w14:textId="77777777" w:rsidR="00A8138F" w:rsidRDefault="00A8138F" w:rsidP="00A8138F">
      <w:pPr>
        <w:pStyle w:val="TextoNormal"/>
      </w:pPr>
    </w:p>
    <w:p w14:paraId="002F3DB2" w14:textId="77777777" w:rsidR="00A8138F" w:rsidRDefault="00A8138F" w:rsidP="00A8138F">
      <w:pPr>
        <w:pStyle w:val="TextoNormal"/>
      </w:pPr>
      <w:r>
        <w:t>Mediante sentencia de 12 de julio de 2022, dictada en el  recurso de suplicación núm. 306-2022, fue estimado el recurso de la actora, con desestimación del formulado por la representación del INSS y la TGSS. Al justificar su decisión, la Sala de lo Social del Tribunal Superior de Justicia del País Vasco ratificó la doctrina jurisprudencial propia [sentencias de 6 de octubre de 2020 (ECLI:ES:TSJPV:2020:396), de 5 de octubre de 2021 (ECLI:ES:TSJPV:2021:2919), de 8 de febrero de 2022 (ECLI:ES:TSJPV:2022:685 ) y de 24 y 29 de marzo de 2022 (ECLI:ES:TSJPV:2022:998 y ECLI:ES:TSJPV:2022:989)], que había sido fundamento de la sentencia de instancia, para admitir la ampliación del permiso y prestación por nacimiento de menor. A lo expuesto añadió que debía también estimar el recurso de la madre biológica extendiendo de diez a doce semanas la ampliación de su prestación por nacimiento y cuidado de su hijo; periodo de tiempo que, mediante auto de aclaración de 23 de septiembre de 2022, fue ampliado a un total de dieciséis semanas.</w:t>
      </w:r>
    </w:p>
    <w:p w14:paraId="55CBFDC3" w14:textId="77777777" w:rsidR="00A8138F" w:rsidRDefault="00A8138F" w:rsidP="00A8138F">
      <w:pPr>
        <w:pStyle w:val="TextoNormal"/>
      </w:pPr>
    </w:p>
    <w:p w14:paraId="4DD96CE4" w14:textId="77777777" w:rsidR="00A8138F" w:rsidRDefault="00A8138F" w:rsidP="00A8138F">
      <w:pPr>
        <w:pStyle w:val="TextoNormal"/>
      </w:pPr>
      <w:r>
        <w:t>d) El letrado de la Administración de la Seguridad Social interpuso recurso de casación para la unificación de doctrina frente a la mencionada sentencia de suplicación que, en esencia, con cita de la STS de 2 de marzo de 2023, dictada en el recurso núm. 3972-2020 (ECLI:ES:TS:2023:783), vino fundado en los mismos argumentos que el recurso de suplicación previo, apegados al tenor literal de las normas reguladoras del permiso y prestación por nacimiento y cuidado de un hijo, la inexistencia de previsión legal que justificara la ampliación a la madre biológica del permiso que hubiera disfrutado el otro progenitor de haberse integrado en la unidad familiar. Se ofreció como sentencia de contraste otra dictada por la Sala de lo Social del Tribunal Superior de Justicia de la Comunidad Valenciana.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 El recurso fue apoyado por el Ministerio Fiscal.</w:t>
      </w:r>
    </w:p>
    <w:p w14:paraId="2FE29F2C" w14:textId="77777777" w:rsidR="00A8138F" w:rsidRDefault="00A8138F" w:rsidP="00A8138F">
      <w:pPr>
        <w:pStyle w:val="TextoNormal"/>
      </w:pPr>
    </w:p>
    <w:p w14:paraId="4A3C14AE" w14:textId="7D6A855B" w:rsidR="00A8138F" w:rsidRDefault="00A8138F" w:rsidP="00A8138F">
      <w:pPr>
        <w:pStyle w:val="TextoNormal"/>
      </w:pPr>
      <w:r>
        <w:t xml:space="preserve">e) El recurso de casación para la unificación de doctrina fue estimado íntegramente mediante la sentencia núm. 248/2024, de 8 de febrero. Tras rechazar fundadamente la petición de planteamiento de una cuestión prejudicial ante el Tribunal de Justicia de la Unión Europea, se argumenta en ella que sí existe la denunciada contradicción alegada entre la doctrina aplicada en la instancia y en el recurso de suplicación y la fijada por la Sala de lo Social del Tribunal Supremo en la sentencia de 2 de marzo de 2023, según la cual la naturaleza y finalidad del permiso a los progenitores por nacimiento de un hijo, la taxativa regulación normativa de este en la Ley del estatuto de los trabajadores (LET) y la Ley general de la Seguridad Social (LGSS),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w:t>
      </w:r>
      <w:r>
        <w:lastRenderedPageBreak/>
        <w:t>el permiso que hubiera correspondido al otro progenitor no integrado en una familia monoparental; sin que ello suponga desatender el interés en la protección del menor.</w:t>
      </w:r>
    </w:p>
    <w:p w14:paraId="40C674B5" w14:textId="77777777" w:rsidR="00A8138F" w:rsidRDefault="00A8138F" w:rsidP="00A8138F">
      <w:pPr>
        <w:pStyle w:val="TextoNormal"/>
      </w:pPr>
    </w:p>
    <w:p w14:paraId="72D37AA7" w14:textId="77777777" w:rsidR="00A8138F" w:rsidRDefault="00A8138F" w:rsidP="00A8138F">
      <w:pPr>
        <w:pStyle w:val="TextoNormal"/>
      </w:pPr>
      <w:r w:rsidRPr="00A8138F">
        <w:rPr>
          <w:rStyle w:val="NumeroAFNegritaCaracter"/>
        </w:rPr>
        <w:t>3</w:t>
      </w:r>
      <w:r>
        <w:t>. Tres son los motivos por los que la demandante solicita el amparo de este tribunal, todos por infracción del art. 14 CE, tanto de forma directa, por su estado civil, en tanto integra una familia monoparental, como indirectamente por su condición de mujer.</w:t>
      </w:r>
    </w:p>
    <w:p w14:paraId="6BE555FF" w14:textId="77777777" w:rsidR="00A8138F" w:rsidRDefault="00A8138F" w:rsidP="00A8138F">
      <w:pPr>
        <w:pStyle w:val="TextoNormal"/>
      </w:pPr>
    </w:p>
    <w:p w14:paraId="6FA34AD9" w14:textId="77777777" w:rsidR="00A8138F" w:rsidRDefault="00A8138F" w:rsidP="00A8138F">
      <w:pPr>
        <w:pStyle w:val="TextoNormal"/>
      </w:pPr>
      <w:r>
        <w:t>a) Considera, en primer lugar, que las resoluciones administrativa y judiciales que le han denegado la ampliación de la prestación por nacimiento y cuidado de su hijo se apoyan en una diferencia legislativa de trato injustificada y desproporcionada en relación con quienes forman familias biparentales; diferencia ilegítima de trato que extiende sus efectos a su hijo recién nacido, circunstancias y efectos que no encuentran justificación suficiente en una interpretación literal y formalista de la normativa reguladora que ha sido aplicada. Indica que su pretensión de amparo debe estimarse declarando vulnerado el derecho a la igualdad ante la ley (art. 14.1 CE), dado que las decisiones impugnadas se han basado en una interpretación carente de justificación objetiva y razonable, siendo sus consecuencias jurídicas especialmente gravosas o desmedidas tanto para la recurrente como para su hijo recién nacido.</w:t>
      </w:r>
    </w:p>
    <w:p w14:paraId="26A2A7C4" w14:textId="77777777" w:rsidR="00A8138F" w:rsidRDefault="00A8138F" w:rsidP="00A8138F">
      <w:pPr>
        <w:pStyle w:val="TextoNormal"/>
      </w:pPr>
    </w:p>
    <w:p w14:paraId="674AE348" w14:textId="77777777" w:rsidR="00A8138F" w:rsidRDefault="00A8138F" w:rsidP="00A8138F">
      <w:pPr>
        <w:pStyle w:val="TextoNormal"/>
      </w:pPr>
      <w:r>
        <w:t>La reducción del tiempo de cuidados personales que los nacidos sufren como consecuencia de quedar integrados en una familia monoparental no es acorde con el principio general de igualdad, que ha de ponerse en relación con los principios rectores que se enuncian en el artículo 39 CE. Entiende que la debida lectura de estos principios, en conjunción con las normas internacionales sobre protección de la familia y los menores de edad debiera haber llevado a una interpretación distinta de la acordada, que sea concorde con la protección del interés superior del menor y la pretensión de ampliación de la duración de la prestación que ha defendido en la vía judicial previa.</w:t>
      </w:r>
    </w:p>
    <w:p w14:paraId="39102FC3" w14:textId="77777777" w:rsidR="00A8138F" w:rsidRDefault="00A8138F" w:rsidP="00A8138F">
      <w:pPr>
        <w:pStyle w:val="TextoNormal"/>
      </w:pPr>
    </w:p>
    <w:p w14:paraId="30B8CDF7" w14:textId="77777777" w:rsidR="00A8138F" w:rsidRDefault="00A8138F" w:rsidP="00A8138F">
      <w:pPr>
        <w:pStyle w:val="TextoNormal"/>
      </w:pPr>
      <w:r>
        <w:t>b) Discriminación directa por circunstancias personales y familiares (art. 14, segundo inciso, CE en relación con el art. 39 CE). Señala que la diferencia de trato legislativo, administrativo y judicial por su condición de integrante de una familia monoparental debe ser apreciada como una de las causas de discriminación incluidas en el inciso del art. 14 CE, conforme al cual, lo es “cualquier otra condición o circunstancia personal o social” a las citadas por la Constitución. Entiende afectado su derecho al libre desarrollo de la personalidad en cuanto su decisión de formar una familia monoparental está vinculada con las convicciones y creencias más íntimas de la persona (art. 16 CE), y resulta amparada por el derecho a la vida familiar que reconoce el art. 8 del Convenio europeo de derechos humanos.</w:t>
      </w:r>
    </w:p>
    <w:p w14:paraId="05B0FA07" w14:textId="77777777" w:rsidR="00A8138F" w:rsidRDefault="00A8138F" w:rsidP="00A8138F">
      <w:pPr>
        <w:pStyle w:val="TextoNormal"/>
      </w:pPr>
    </w:p>
    <w:p w14:paraId="35281162" w14:textId="77777777" w:rsidR="00A8138F" w:rsidRDefault="00A8138F" w:rsidP="00A8138F">
      <w:pPr>
        <w:pStyle w:val="TextoNormal"/>
      </w:pPr>
      <w:r>
        <w:t>Sostiene que tanto la actuación administrativa como la judicial que cuestiona se apoyan en la decisión de la recurrente en amparo de ser la única responsable de su hijo, pues este ha sido el criterio rector que ha llevado a denegar la petición de extensión de la duración de las prestaciones por nacimiento de un hijo, lo que constituye un criterio diferenciador manifiestamente irrazonable, contrario al art. 39 CE y a la propia doctrina del Tribunal Constitucional recogida en las SSTC 62/2008, de 26 de mayo, FJ 5, y 26/2011, de 14 de marzo, FJ 5. En apoyo de su petición de amparo recoge y desarrolla la doctrina constitucional precedente sobre la utilización como criterio de resolución del interés superior del menor que, de forma directa, disfrutaría en este caso de un tiempo menor de cuidados personales como consecuencia del trato discriminatorio que denuncia.</w:t>
      </w:r>
    </w:p>
    <w:p w14:paraId="09EFC4CE" w14:textId="77777777" w:rsidR="00A8138F" w:rsidRDefault="00A8138F" w:rsidP="00A8138F">
      <w:pPr>
        <w:pStyle w:val="TextoNormal"/>
      </w:pPr>
    </w:p>
    <w:p w14:paraId="459D6205" w14:textId="77777777" w:rsidR="00A8138F" w:rsidRDefault="00A8138F" w:rsidP="00A8138F">
      <w:pPr>
        <w:pStyle w:val="TextoNormal"/>
      </w:pPr>
      <w:r>
        <w:t>c) En el último motivo de queja, afirma la recurrente que, como consecuencia de la razón de exclusión que justifica las resoluciones impugnadas en amparo, se habría producido adicionalmente una discriminación por razón de sexo debido a que, como viene acreditado estadísticamente con los datos a los que se refiere en su demanda, en la mayoría de las familias monoparentales el progenitor único es una mujer (81 por 100 en 2020); situación esta a la que se debe aplicar el concepto de discriminación indirecta por razón de sexo que ha sido acogido por la doctrina constitucional (STC 11/2023, de 23 de febrero, que se remite a lo expuesto en la STC 91/2019, de 3 de julio, FJ 4).</w:t>
      </w:r>
    </w:p>
    <w:p w14:paraId="6E36A8FE" w14:textId="77777777" w:rsidR="00A8138F" w:rsidRDefault="00A8138F" w:rsidP="00A8138F">
      <w:pPr>
        <w:pStyle w:val="TextoNormal"/>
      </w:pPr>
    </w:p>
    <w:p w14:paraId="51763483" w14:textId="4AED96A8" w:rsidR="00A8138F" w:rsidRDefault="00A8138F" w:rsidP="00A8138F">
      <w:pPr>
        <w:pStyle w:val="TextoNormal"/>
      </w:pPr>
      <w:r>
        <w:t>Para la demandante, la posible vulneración del derecho fundamental que se denuncia pudiera provenir de la ley [art. 48.4 LET; STC 155/2009, de 25 de junio, FJ 2 c)]; su recurso plantea un problema o se refiere una faceta de un derecho fundamental susceptible de amparo sobre el que no hay doctrina del Tribunal Constitucional; y puede dar ocasión al Tribunal para aclarar o modificar su doctrina mediante un proceso de reflexión interna, y como consecuencia de cambios normativos relevantes para la configuración del contenido del derecho fundamental [STC 155/2009, FJ 2 a) y b)]. Considera también que trasciende del caso concreto, porque plantea una cuestión jurídica relevante, que genera repercusión social o económica [STC 155/2009, FJ 2 g)], circunstancias que le llevan a defender que el recurso de amparo presenta especial trascendencia constitucional.</w:t>
      </w:r>
    </w:p>
    <w:p w14:paraId="435C0E7C" w14:textId="77777777" w:rsidR="00A8138F" w:rsidRDefault="00A8138F" w:rsidP="00A8138F">
      <w:pPr>
        <w:pStyle w:val="TextoNormal"/>
      </w:pPr>
    </w:p>
    <w:p w14:paraId="6C795F66" w14:textId="2EB36065" w:rsidR="00A8138F" w:rsidRDefault="00A8138F" w:rsidP="00A8138F">
      <w:pPr>
        <w:pStyle w:val="TextoNormal"/>
      </w:pPr>
      <w:r w:rsidRPr="00A8138F">
        <w:rPr>
          <w:rStyle w:val="NumeroAFNegritaCaracter"/>
        </w:rPr>
        <w:t>4</w:t>
      </w:r>
      <w:r>
        <w:t>. Mediante providencia de 9 de septiembre de 2024, la Sección Segunda de este tribunal acordó admitir a trámite el presente recurso apreciando que concurría en él la especial trascendencia constitucional que exige el art. 50.1 de la Ley Orgánica del Tribunal Constitucional, como consecuencia de que la posible vulneración del derecho fundamental que se denuncia pudiera provenir de la ley o de otra disposición de carácter general [STC 155/2009, FJ 2 c)]. Asimismo, se acordó en la misma providencia recabar de los órganos judiciales certificación o fotocopia adverada de las actuaciones, ordenando se procediera a emplazar a quienes fueron parte en las distintas instancias (Juzgado de lo Social, Tribunal Superior de Justicia y Tribunal Supremo) para que, en el plazo de diez días, si lo desearan, pudieran comparecer en este proceso constitucional.</w:t>
      </w:r>
    </w:p>
    <w:p w14:paraId="500631A5" w14:textId="77777777" w:rsidR="00A8138F" w:rsidRDefault="00A8138F" w:rsidP="00A8138F">
      <w:pPr>
        <w:pStyle w:val="TextoNormal"/>
      </w:pPr>
    </w:p>
    <w:p w14:paraId="019E4AFB" w14:textId="540AA0A2" w:rsidR="00A8138F" w:rsidRDefault="00A8138F" w:rsidP="00A8138F">
      <w:pPr>
        <w:pStyle w:val="TextoNormal"/>
      </w:pPr>
      <w:r w:rsidRPr="00A8138F">
        <w:rPr>
          <w:rStyle w:val="NumeroAFNegritaCaracter"/>
        </w:rPr>
        <w:t>5</w:t>
      </w:r>
      <w:r>
        <w:t>. Una vez la letrada de la Administración de la Seguridad Social solicitó su personación en nombre del INSS y la TGSS (escrito presentado el 10 de octubre de 2024), mediante diligencia de ordenación de 15 de octubre de 2024, la Sala Primera del Tribunal Constitucional acordó: (i) tenerle por personado y parte en el procedimiento y (ii)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14:paraId="32E94949" w14:textId="77777777" w:rsidR="00A8138F" w:rsidRDefault="00A8138F" w:rsidP="00A8138F">
      <w:pPr>
        <w:pStyle w:val="TextoNormal"/>
      </w:pPr>
    </w:p>
    <w:p w14:paraId="26FDE042" w14:textId="417A215D" w:rsidR="00A8138F" w:rsidRDefault="00A8138F" w:rsidP="00A8138F">
      <w:pPr>
        <w:pStyle w:val="TextoNormal"/>
      </w:pPr>
      <w:r w:rsidRPr="00A8138F">
        <w:rPr>
          <w:rStyle w:val="NumeroAFNegritaCaracter"/>
        </w:rPr>
        <w:t>6</w:t>
      </w:r>
      <w:r>
        <w:t xml:space="preserve">. En escrito fechado el 13 de noviembre de 2024 presentó sus alegaciones la representación procesal de la demandante. A través de ellas ratificó los fundamentos de su pretensión de amparo mediante remisión y expuso un extracto del contenido de la demanda de amparo, solicitando el reconocimiento de la vulneración de derechos fundamentales aducida, la declaración de nulidad de las resoluciones impugnadas y la retroacción de actuaciones al momento previo a pronunciarse la administración sobre su pretensión de extensión de la prestación económica reconocida en el art. 177 LGSS, en los términos ya acordados en la STC </w:t>
      </w:r>
      <w:r>
        <w:lastRenderedPageBreak/>
        <w:t>140/2024, de 6 de noviembre, de la que el propio Tribunal dio cuenta en una nota de prensa específica.</w:t>
      </w:r>
    </w:p>
    <w:p w14:paraId="21FC2285" w14:textId="77777777" w:rsidR="00A8138F" w:rsidRDefault="00A8138F" w:rsidP="00A8138F">
      <w:pPr>
        <w:pStyle w:val="TextoNormal"/>
      </w:pPr>
    </w:p>
    <w:p w14:paraId="789E6249" w14:textId="77777777" w:rsidR="00A8138F" w:rsidRDefault="00A8138F" w:rsidP="00A8138F">
      <w:pPr>
        <w:pStyle w:val="TextoNormal"/>
      </w:pPr>
      <w:r w:rsidRPr="00A8138F">
        <w:rPr>
          <w:rStyle w:val="NumeroAFNegritaCaracter"/>
        </w:rPr>
        <w:t>7</w:t>
      </w:r>
      <w:r>
        <w:t>. El 14 de noviembre de 2024, la letrada de la Administración de la Seguridad Social presentó sus alegaciones postulando la desestimación de la demanda de amparo. Su pretensión viene apoyada en los siguientes argumentos, sintéticamente expuestos:</w:t>
      </w:r>
    </w:p>
    <w:p w14:paraId="410D2E82" w14:textId="77777777" w:rsidR="00A8138F" w:rsidRDefault="00A8138F" w:rsidP="00A8138F">
      <w:pPr>
        <w:pStyle w:val="TextoNormal"/>
      </w:pPr>
    </w:p>
    <w:p w14:paraId="09D5C247" w14:textId="77777777" w:rsidR="00A8138F" w:rsidRDefault="00A8138F" w:rsidP="00A8138F">
      <w:pPr>
        <w:pStyle w:val="TextoNormal"/>
      </w:pPr>
      <w:r>
        <w:t>a) En primer lugar, identifica y describe el contenido de las normas legales aplicables para la resolución de su pretensión (Ley general de la Seguridad Social, Ley del estatuto de los trabajadores y Ley del estatuto básico del empleado público) para señalar cuál es la regulación, el sentido y el alcance del permiso y la prestación por nacimiento y cuidado posterior del menor, poniendo especial atención en su finalidad (voluntad del legislador),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14:paraId="33A751EB" w14:textId="77777777" w:rsidR="00A8138F" w:rsidRDefault="00A8138F" w:rsidP="00A8138F">
      <w:pPr>
        <w:pStyle w:val="TextoNormal"/>
      </w:pPr>
    </w:p>
    <w:p w14:paraId="4304F43E" w14:textId="77777777" w:rsidR="00A8138F" w:rsidRDefault="00A8138F" w:rsidP="00A8138F">
      <w:pPr>
        <w:pStyle w:val="TextoNormal"/>
      </w:pPr>
      <w:r>
        <w:t>b) Añade que esta es la interpretación jurisprudencial constante y unificada de la Sala de lo Social del Tribunal Supremo, que tuvo oportunidad de pronunciarse expresamente en la STS 169/2023, de 2 de marzo, con una doctrina que contradice el fundamento de fondo de la pretensión de amparo.</w:t>
      </w:r>
    </w:p>
    <w:p w14:paraId="0DB672C6" w14:textId="77777777" w:rsidR="00A8138F" w:rsidRDefault="00A8138F" w:rsidP="00A8138F">
      <w:pPr>
        <w:pStyle w:val="TextoNormal"/>
      </w:pPr>
    </w:p>
    <w:p w14:paraId="03BC813A" w14:textId="00BEEDD8" w:rsidR="00A8138F" w:rsidRDefault="00A8138F" w:rsidP="00A8138F">
      <w:pPr>
        <w:pStyle w:val="TextoNormal"/>
      </w:pPr>
      <w:r>
        <w:t>c) No obstante, la letrada se hace eco de la reciente STC 140/2024, de 6 de noviembre, estimatoria de la cuestión de inconstitucionalidad planteada sobre las normas reguladoras aplicables, deteniéndose en recoger el alcance y justificación del fallo estimatorio (FJ 7). En tal medida, pese a mantener su petición desestimatoria considera que, en caso de dictarse sentencia parcialmente estimatoria reconociendo diez semanas adicionales de prestación, habrá de quedar supeditada al cumplimiento en el caso concreto de los requisitos legalmente establecidos para su percibo.</w:t>
      </w:r>
    </w:p>
    <w:p w14:paraId="070EAD94" w14:textId="77777777" w:rsidR="00A8138F" w:rsidRDefault="00A8138F" w:rsidP="00A8138F">
      <w:pPr>
        <w:pStyle w:val="TextoNormal"/>
      </w:pPr>
    </w:p>
    <w:p w14:paraId="51ADF714" w14:textId="77777777" w:rsidR="00A8138F" w:rsidRDefault="00A8138F" w:rsidP="00A8138F">
      <w:pPr>
        <w:pStyle w:val="TextoNormal"/>
      </w:pPr>
      <w:r w:rsidRPr="00A8138F">
        <w:rPr>
          <w:rStyle w:val="NumeroAFNegritaCaracter"/>
        </w:rPr>
        <w:t>8</w:t>
      </w:r>
      <w:r>
        <w:t>. En sus alegaciones, de 3 de diciembre de 2024, el Ministerio Fiscal interesó la estimación del recurso de amparo tras apreciar que se han producido las vulneraciones denunciadas en el sentido expresado en la STC 140/2024, de 6 de noviembre (del Pleno). Justifica sus alegaciones con base en los siguientes argumentos que se exponen de forma sintética:</w:t>
      </w:r>
    </w:p>
    <w:p w14:paraId="2251349F" w14:textId="77777777" w:rsidR="00A8138F" w:rsidRDefault="00A8138F" w:rsidP="00A8138F">
      <w:pPr>
        <w:pStyle w:val="TextoNormal"/>
      </w:pPr>
    </w:p>
    <w:p w14:paraId="14CEAC13" w14:textId="446037D9" w:rsidR="00A8138F" w:rsidRDefault="00A8138F" w:rsidP="00A8138F">
      <w:pPr>
        <w:pStyle w:val="TextoNormal"/>
      </w:pPr>
      <w:r>
        <w:t xml:space="preserve">a) Tras identificar el art. 48.4 LET (en relación con el art. 177 LGSS) como preceptos aplicados y aplicables a la cuestión planteada en el recurso de amparo, el fiscal se detiene en resumir los razonamientos que, en la STC 140/2024 ya citada, FFJJ 4 a 6, justifican la declaración de inconstitucionalidad acordada. Considera que la </w:t>
      </w:r>
      <w:r w:rsidRPr="00A8138F">
        <w:rPr>
          <w:i/>
        </w:rPr>
        <w:t>ratio</w:t>
      </w:r>
      <w:r>
        <w:t xml:space="preserve"> de esta última sentencia es directamente aplicable al caso presente por lo que la pretensión de amparo que fundamenta el recurso debe ser estimada. En relación con los efectos de la estimación del recurso, considera que la nulidad con retroacción debe hacerse al Tribunal Supremo, a fin de </w:t>
      </w:r>
      <w:r>
        <w:lastRenderedPageBreak/>
        <w:t>que sea este quien, estimando el recurso de casación para unificación de doctrina presentado, repare las alegadas vulneraciones de derechos fundamentales.</w:t>
      </w:r>
    </w:p>
    <w:p w14:paraId="777CB000" w14:textId="77777777" w:rsidR="00A8138F" w:rsidRDefault="00A8138F" w:rsidP="00A8138F">
      <w:pPr>
        <w:pStyle w:val="TextoNormal"/>
      </w:pPr>
    </w:p>
    <w:p w14:paraId="07E97794" w14:textId="229D15E0" w:rsidR="00A8138F" w:rsidRDefault="00A8138F" w:rsidP="00A8138F">
      <w:pPr>
        <w:pStyle w:val="TextoNormal"/>
      </w:pPr>
      <w:r w:rsidRPr="00A8138F">
        <w:rPr>
          <w:rStyle w:val="NumeroAFNegritaCaracter"/>
        </w:rPr>
        <w:t>9</w:t>
      </w:r>
      <w:r>
        <w:t>. Mediante providencia de 9 de enero de 2025, se señaló para deliberación y votación de la presente sentencia el día 13 del mismo mes y año.</w:t>
      </w:r>
    </w:p>
    <w:p w14:paraId="2BEA56D9" w14:textId="77777777" w:rsidR="00A8138F" w:rsidRDefault="00A8138F" w:rsidP="00A8138F">
      <w:pPr>
        <w:pStyle w:val="TextoNormal"/>
      </w:pPr>
    </w:p>
    <w:p w14:paraId="6A6F5D2B" w14:textId="77777777" w:rsidR="00A8138F" w:rsidRDefault="00A8138F" w:rsidP="00A8138F">
      <w:pPr>
        <w:pStyle w:val="TextoNormalNegritaCentrado"/>
        <w:keepNext/>
      </w:pPr>
      <w:r>
        <w:t>II. Fundamentos jurídicos</w:t>
      </w:r>
    </w:p>
    <w:p w14:paraId="5C4DCCF3" w14:textId="2FBC6B5B" w:rsidR="00A8138F" w:rsidRDefault="00A8138F" w:rsidP="00A8138F">
      <w:pPr>
        <w:pStyle w:val="TextoNormalNegritaCentrado"/>
        <w:keepNext/>
      </w:pPr>
    </w:p>
    <w:p w14:paraId="2C830E39"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455FBA01" w14:textId="77777777" w:rsidR="00A8138F" w:rsidRDefault="00A8138F" w:rsidP="00A8138F">
      <w:pPr>
        <w:pStyle w:val="TextoNormal"/>
      </w:pPr>
    </w:p>
    <w:p w14:paraId="43A62CD2" w14:textId="2F5920E9" w:rsidR="00A8138F" w:rsidRDefault="00A8138F" w:rsidP="00A8138F">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 Decreto-ley 6/2019, de 1 de marzo, de medidas urgentes para garantía de la igualdad de trato y de oportunidades entre mujeres y hombres en el empleo y la ocupación.</w:t>
      </w:r>
    </w:p>
    <w:p w14:paraId="6B400552" w14:textId="77777777" w:rsidR="00A8138F" w:rsidRDefault="00A8138F" w:rsidP="00A8138F">
      <w:pPr>
        <w:pStyle w:val="TextoNormal"/>
      </w:pPr>
    </w:p>
    <w:p w14:paraId="0C61075E"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02262342" w14:textId="77777777" w:rsidR="00A8138F" w:rsidRDefault="00A8138F" w:rsidP="00A8138F">
      <w:pPr>
        <w:pStyle w:val="TextoNormal"/>
      </w:pPr>
    </w:p>
    <w:p w14:paraId="76F7A6CB"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3377845" w14:textId="77777777" w:rsidR="00A8138F" w:rsidRDefault="00A8138F" w:rsidP="00A8138F">
      <w:pPr>
        <w:pStyle w:val="TextoNormal"/>
      </w:pPr>
    </w:p>
    <w:p w14:paraId="5FFD1046"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02D8381" w14:textId="77777777" w:rsidR="00A8138F" w:rsidRDefault="00A8138F" w:rsidP="00A8138F">
      <w:pPr>
        <w:pStyle w:val="TextoNormal"/>
      </w:pPr>
    </w:p>
    <w:p w14:paraId="67C9E798" w14:textId="77777777" w:rsidR="00A8138F" w:rsidRDefault="00A8138F" w:rsidP="00A8138F">
      <w:pPr>
        <w:pStyle w:val="TextoNormal"/>
      </w:pPr>
      <w:r>
        <w:lastRenderedPageBreak/>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2AC38169" w14:textId="77777777" w:rsidR="00A8138F" w:rsidRDefault="00A8138F" w:rsidP="00A8138F">
      <w:pPr>
        <w:pStyle w:val="TextoNormal"/>
      </w:pPr>
    </w:p>
    <w:p w14:paraId="67026178" w14:textId="373CF945" w:rsidR="00A8138F" w:rsidRDefault="00A8138F" w:rsidP="00A8138F">
      <w:pPr>
        <w:pStyle w:val="TextoNormal"/>
      </w:pPr>
      <w:r>
        <w:t>En consecuencia, debe estimarse la demanda y otorgar el amparo solicitado, con nulidad de las resoluciones impugnadas y, como concretamos en la referida STC 140/2024, de 6 de noviembre, FJ 7, y hemos declarado en sentencias de amparo anteriores a esta (SSTC 147/2024, 149/2024, 150/2024 y 151/2024, de 2 de diciembre),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quedar excluidas las seis primeras, que necesariamente deben disfrutarse de forma ininterrumpida e inmediatamente posterior al parto).</w:t>
      </w:r>
    </w:p>
    <w:p w14:paraId="0BA49BA6" w14:textId="77777777" w:rsidR="00A8138F" w:rsidRDefault="00A8138F" w:rsidP="00A8138F">
      <w:pPr>
        <w:pStyle w:val="TextoNormal"/>
      </w:pPr>
    </w:p>
    <w:p w14:paraId="2BC91BC2" w14:textId="77777777" w:rsidR="00A8138F" w:rsidRDefault="00A8138F" w:rsidP="00A8138F">
      <w:pPr>
        <w:pStyle w:val="TextoNormalCentrado"/>
        <w:keepNext/>
      </w:pPr>
      <w:r>
        <w:t>FALLO</w:t>
      </w:r>
    </w:p>
    <w:p w14:paraId="5C5298B0" w14:textId="67B87E10" w:rsidR="00A8138F" w:rsidRDefault="00A8138F" w:rsidP="00A8138F">
      <w:pPr>
        <w:pStyle w:val="TextoNormalCentrado"/>
        <w:keepNext/>
      </w:pPr>
    </w:p>
    <w:p w14:paraId="1FB8B31F" w14:textId="77777777" w:rsidR="00A8138F" w:rsidRDefault="00A8138F" w:rsidP="00A8138F">
      <w:pPr>
        <w:pStyle w:val="TextoNormal"/>
      </w:pPr>
      <w:r>
        <w:t>En atención a todo lo expuesto, el Tribunal Constitucional, por la autoridad que le confiere la Constitución de la Nación española, ha decidido:</w:t>
      </w:r>
    </w:p>
    <w:p w14:paraId="575808CF" w14:textId="77777777" w:rsidR="00A8138F" w:rsidRDefault="00A8138F" w:rsidP="00A8138F">
      <w:pPr>
        <w:pStyle w:val="TextoNormal"/>
      </w:pPr>
    </w:p>
    <w:p w14:paraId="2A0A0E15" w14:textId="77777777" w:rsidR="00A8138F" w:rsidRDefault="00A8138F" w:rsidP="00A8138F">
      <w:pPr>
        <w:pStyle w:val="TextoNormal"/>
      </w:pPr>
      <w:r>
        <w:t>1º Estimar la demanda presentada por doña Marta Pérez Martín, por vulneración del derecho fundamental a la igualdad ante la ley sin discriminación por razón de nacimiento (art. 14 CE), con reconocimiento de tal derecho.</w:t>
      </w:r>
    </w:p>
    <w:p w14:paraId="2F541628" w14:textId="77777777" w:rsidR="00A8138F" w:rsidRDefault="00A8138F" w:rsidP="00A8138F">
      <w:pPr>
        <w:pStyle w:val="TextoNormal"/>
      </w:pPr>
    </w:p>
    <w:p w14:paraId="627FD78A" w14:textId="77777777" w:rsidR="00A8138F" w:rsidRDefault="00A8138F" w:rsidP="00A8138F">
      <w:pPr>
        <w:pStyle w:val="TextoNormal"/>
      </w:pPr>
      <w:r>
        <w:t>2º Declarar la nulidad de la resolución de 3 de junio de 2021, de la Dirección Provincial de Bizkaia del Instituto Nacional de la Seguridad Social (INSS), que desestimó la reclamación previa dirigida a la revisión y ampliación de la prestación por nacimiento y cuidado de hijo menor ya reconocida; la sentencia núm. 530/2021, de 21 de octubre, del Juzgado de lo Social núm. 11 de Bilbao, dictada en los autos núm. 713-2021; la sentencia núm. 1461/2022, de 12 de julio, de la Sala de lo Social del Tribunal Superior de Justicia del País Vasco, dictada en el recurso de suplicación núm. 306-2022; y la sentencia núm. 248/2024, de 8 de febrero, de la Sala de lo Social del Tribunal Supremo, dictada en el recurso de casación para la unificación de doctrina núm. 4856-2022.</w:t>
      </w:r>
    </w:p>
    <w:p w14:paraId="1675C33A" w14:textId="77777777" w:rsidR="00A8138F" w:rsidRDefault="00A8138F" w:rsidP="00A8138F">
      <w:pPr>
        <w:pStyle w:val="TextoNormal"/>
      </w:pPr>
    </w:p>
    <w:p w14:paraId="14704AE5" w14:textId="3353CBAF" w:rsidR="00A8138F" w:rsidRDefault="00A8138F" w:rsidP="00A8138F">
      <w:pPr>
        <w:pStyle w:val="TextoNormal"/>
      </w:pPr>
      <w:r>
        <w:t>3º Retrotraer las actuaciones al momento previo al dictado por el INSS de la resolución desestimatoria de 3 de junio de 2021 a fin de que, en los términos expuestos en el último párrafo del fundamento jurídico 2, se dicte otra respetuosa con el derecho de la recurrente cuya vulneración ha sido declarada.</w:t>
      </w:r>
    </w:p>
    <w:p w14:paraId="5F6EB05B" w14:textId="77777777" w:rsidR="00A8138F" w:rsidRDefault="00A8138F" w:rsidP="00A8138F">
      <w:pPr>
        <w:pStyle w:val="TextoNormal"/>
      </w:pPr>
    </w:p>
    <w:p w14:paraId="22F83171" w14:textId="77777777" w:rsidR="00A8138F" w:rsidRDefault="00A8138F" w:rsidP="00A8138F">
      <w:pPr>
        <w:pStyle w:val="TextoNormal"/>
      </w:pPr>
      <w:r>
        <w:t>Publíquese esta sentencia en el “Boletín Oficial del Estado”.</w:t>
      </w:r>
    </w:p>
    <w:p w14:paraId="1C5B0FF1" w14:textId="77777777" w:rsidR="00A8138F" w:rsidRDefault="00A8138F" w:rsidP="00A8138F">
      <w:pPr>
        <w:pStyle w:val="TextoNormal"/>
      </w:pPr>
      <w:r>
        <w:t>Dada en Madrid, a trece de enero de dos mil veinticinco.</w:t>
      </w:r>
    </w:p>
    <w:p w14:paraId="68B519F9" w14:textId="06B25015" w:rsidR="00A8138F" w:rsidRDefault="00A8138F">
      <w:pPr>
        <w:spacing w:after="160" w:line="278" w:lineRule="auto"/>
        <w:rPr>
          <w:rFonts w:ascii="Times New Roman" w:eastAsia="Times New Roman" w:hAnsi="Times New Roman" w:cs="Times New Roman"/>
          <w:sz w:val="24"/>
          <w:szCs w:val="24"/>
          <w:lang w:eastAsia="es-ES"/>
        </w:rPr>
      </w:pPr>
      <w:r>
        <w:lastRenderedPageBreak/>
        <w:br w:type="page"/>
      </w:r>
    </w:p>
    <w:p w14:paraId="57860581" w14:textId="77777777" w:rsidR="00A8138F" w:rsidRDefault="00A8138F" w:rsidP="00A8138F">
      <w:pPr>
        <w:pStyle w:val="TtuloResolucin"/>
      </w:pPr>
      <w:bookmarkStart w:id="12" w:name="SENTENCIA_2025_10"/>
      <w:r>
        <w:lastRenderedPageBreak/>
        <w:t>SENTENCIA 10/2025, de 13 de enero de 2025</w:t>
      </w:r>
    </w:p>
    <w:bookmarkEnd w:id="12"/>
    <w:p w14:paraId="5C534FAA" w14:textId="77777777" w:rsidR="00A8138F" w:rsidRDefault="00A8138F" w:rsidP="00A8138F">
      <w:pPr>
        <w:pStyle w:val="TtuloResolucin"/>
      </w:pPr>
      <w:r>
        <w:t>Sala Primera</w:t>
      </w:r>
    </w:p>
    <w:p w14:paraId="1E7F7ACD" w14:textId="77777777" w:rsidR="00A8138F" w:rsidRDefault="00A8138F" w:rsidP="00A8138F">
      <w:pPr>
        <w:pStyle w:val="TtuloBOE"/>
      </w:pPr>
      <w:r>
        <w:t>(BOE núm. 41, de 17 de febrero de 2025)</w:t>
      </w:r>
    </w:p>
    <w:p w14:paraId="77E7DE78" w14:textId="77777777" w:rsidR="00A8138F" w:rsidRDefault="00A8138F" w:rsidP="00A8138F">
      <w:pPr>
        <w:pStyle w:val="TextoNormalCentrado"/>
      </w:pPr>
      <w:r>
        <w:t>ECLI:ES:TC:2025:10</w:t>
      </w:r>
    </w:p>
    <w:p w14:paraId="03F30312" w14:textId="1CC97706" w:rsidR="00A8138F" w:rsidRDefault="00A8138F" w:rsidP="00A8138F">
      <w:pPr>
        <w:pStyle w:val="TextoNormalCentrado"/>
      </w:pPr>
    </w:p>
    <w:p w14:paraId="66713374" w14:textId="77777777" w:rsidR="00A8138F" w:rsidRDefault="00A8138F" w:rsidP="00A8138F">
      <w:pPr>
        <w:pStyle w:val="SntesisDescriptiva"/>
      </w:pPr>
      <w:r>
        <w:t>Recurso de amparo 2306-2024. Promovido por doña Neus Albert Ivars en relación con las resoluciones administrativas y judiciales que desestimaron su petición de revisión y ampliación de la prestación por nacimiento y cuidado de hijo menor, como madre biológica de familia monoparental.</w:t>
      </w:r>
    </w:p>
    <w:p w14:paraId="46BD2316" w14:textId="1F38F08E" w:rsidR="00A8138F" w:rsidRDefault="00A8138F" w:rsidP="00A8138F">
      <w:pPr>
        <w:pStyle w:val="SntesisDescriptiva"/>
      </w:pPr>
    </w:p>
    <w:p w14:paraId="61006A28" w14:textId="77777777" w:rsidR="00A8138F" w:rsidRDefault="00A8138F" w:rsidP="00A8138F">
      <w:pPr>
        <w:pStyle w:val="SntesisAnaltica"/>
      </w:pPr>
      <w:r>
        <w:t>Vulneración del derecho a no padecer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B6A2017" w14:textId="19FEDA10" w:rsidR="00A8138F" w:rsidRDefault="00A8138F" w:rsidP="00A8138F">
      <w:pPr>
        <w:pStyle w:val="SntesisAnaltica"/>
      </w:pPr>
    </w:p>
    <w:p w14:paraId="18F72824" w14:textId="5CCBADF7"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3].</w:t>
      </w:r>
    </w:p>
    <w:p w14:paraId="326C7CCC" w14:textId="77777777" w:rsidR="00A8138F" w:rsidRDefault="00A8138F" w:rsidP="00A8138F">
      <w:pPr>
        <w:pStyle w:val="Extracto"/>
      </w:pPr>
    </w:p>
    <w:p w14:paraId="1B621BAE" w14:textId="77777777" w:rsidR="00A8138F" w:rsidRDefault="00A8138F" w:rsidP="00A8138F">
      <w:pPr>
        <w:pStyle w:val="Extracto"/>
      </w:pPr>
    </w:p>
    <w:p w14:paraId="662A031C"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F7171C3" w14:textId="25E53B8B" w:rsidR="00A8138F" w:rsidRDefault="00A8138F" w:rsidP="00A8138F">
      <w:pPr>
        <w:pStyle w:val="TextoNormal"/>
      </w:pPr>
    </w:p>
    <w:p w14:paraId="4EAAA98C" w14:textId="77777777" w:rsidR="00A8138F" w:rsidRDefault="00A8138F" w:rsidP="00A8138F">
      <w:pPr>
        <w:pStyle w:val="TextoNormalCentrado"/>
        <w:keepNext/>
      </w:pPr>
      <w:r>
        <w:t>EN NOMBRE DEL REY</w:t>
      </w:r>
    </w:p>
    <w:p w14:paraId="506048B5" w14:textId="18D21635" w:rsidR="00A8138F" w:rsidRDefault="00A8138F" w:rsidP="00A8138F">
      <w:pPr>
        <w:pStyle w:val="TextoNormalCentrado"/>
        <w:keepNext/>
      </w:pPr>
    </w:p>
    <w:p w14:paraId="577F04BF" w14:textId="77777777" w:rsidR="00A8138F" w:rsidRDefault="00A8138F" w:rsidP="00A8138F">
      <w:pPr>
        <w:pStyle w:val="TextoNormalCentrado"/>
        <w:keepNext/>
      </w:pPr>
    </w:p>
    <w:p w14:paraId="41B193A2" w14:textId="77777777" w:rsidR="00A8138F" w:rsidRDefault="00A8138F" w:rsidP="00A8138F">
      <w:pPr>
        <w:pStyle w:val="TextoNormal"/>
      </w:pPr>
      <w:r>
        <w:t>la siguiente</w:t>
      </w:r>
    </w:p>
    <w:p w14:paraId="4E3C2A90" w14:textId="7539B3BF" w:rsidR="00A8138F" w:rsidRDefault="00A8138F" w:rsidP="00A8138F">
      <w:pPr>
        <w:pStyle w:val="TextoNormal"/>
      </w:pPr>
    </w:p>
    <w:p w14:paraId="3B449BCD" w14:textId="77777777" w:rsidR="00A8138F" w:rsidRDefault="00A8138F" w:rsidP="00A8138F">
      <w:pPr>
        <w:pStyle w:val="TextoNormalCentrado"/>
        <w:keepNext/>
      </w:pPr>
      <w:r>
        <w:t>SENTENCIA</w:t>
      </w:r>
    </w:p>
    <w:p w14:paraId="7C67D905" w14:textId="36FDA235" w:rsidR="00A8138F" w:rsidRDefault="00A8138F" w:rsidP="00A8138F">
      <w:pPr>
        <w:pStyle w:val="TextoNormalCentrado"/>
        <w:keepNext/>
      </w:pPr>
    </w:p>
    <w:p w14:paraId="09542538" w14:textId="77777777" w:rsidR="00A8138F" w:rsidRDefault="00A8138F" w:rsidP="00A8138F">
      <w:pPr>
        <w:pStyle w:val="TextoNormal"/>
      </w:pPr>
      <w:r>
        <w:t>En el recurso de amparo núm. 2306-2024, promovido por doña Neus Albert Ivars, representada por la procuradora de los tribunales doña Laura Lozano Montalvo y asistida por el letrado don José Caballero Savall, contra la resolución del Instituto Nacional de la Seguridad Social (INSS) de 28 de abril de 2021, que desestimó la solicitud de ampliación de la prestación por nacimiento y cuidado de hijo menor a la madre biológica de familia monoparental, confirmada por auto de la Sala de lo Social del Tribunal Supremo, de 14 de febrero de 2024 (recurso de casación para la unificación de doctrina núm. 158-2023) interpuesto por la demandante de amparo contra la sentencia 3047/2022, de 11 de octubre, de la Sala de lo Social del Tribunal Superior de Justicia de la Comunidad Valenciana, que desestimó su recurso de suplicación núm. 1325-2022 interpuesto frente a la sentencia 444/2021, del Juzgado de lo Social núm. 9 de Valencia, de 22 de noviembre de 2021, recaída en los autos núm. 523-2021 promovidos frente al Instituto Nacional de la Seguridad Social (INSS) y la Tesorería General de la Seguridad Social (TGSS). Han intervenido la letrada de la adminis</w:t>
      </w:r>
      <w:r>
        <w:lastRenderedPageBreak/>
        <w:t>tración de la Seguridad Social y el Ministerio Fiscal. Ha sido ponente el magistrado don Ricardo Enríquez Sancho.</w:t>
      </w:r>
    </w:p>
    <w:p w14:paraId="5AE36D89" w14:textId="443A3D72" w:rsidR="00A8138F" w:rsidRDefault="00A8138F" w:rsidP="00A8138F">
      <w:pPr>
        <w:pStyle w:val="TextoNormal"/>
      </w:pPr>
    </w:p>
    <w:p w14:paraId="02277177" w14:textId="77777777" w:rsidR="00A8138F" w:rsidRDefault="00A8138F" w:rsidP="00A8138F">
      <w:pPr>
        <w:pStyle w:val="TextoNormalNegritaCentrado"/>
        <w:keepNext/>
      </w:pPr>
      <w:r>
        <w:t>I. Antecedentes</w:t>
      </w:r>
    </w:p>
    <w:p w14:paraId="4F158D57" w14:textId="08DC2FEE" w:rsidR="00A8138F" w:rsidRDefault="00A8138F" w:rsidP="00A8138F">
      <w:pPr>
        <w:pStyle w:val="TextoNormalNegritaCentrado"/>
        <w:keepNext/>
      </w:pPr>
    </w:p>
    <w:p w14:paraId="08D06E85" w14:textId="2C357F04" w:rsidR="00A8138F" w:rsidRDefault="00A8138F" w:rsidP="00A8138F">
      <w:pPr>
        <w:pStyle w:val="TextoNormal"/>
      </w:pPr>
      <w:r w:rsidRPr="00A8138F">
        <w:rPr>
          <w:rStyle w:val="NumeroAFNegritaCaracter"/>
        </w:rPr>
        <w:t>1</w:t>
      </w:r>
      <w:r>
        <w:t>. Mediante escrito presentado en el registro general de este tribunal el día 3 de abril de 2024, la procuradora de los tribunales doña Laura Lozano Montalvo, actuando en nombre y representación de doña Neus Albert Ivars, con la asistencia letrada de don José Caballero Savall, interpuso recurso de amparo frente a las resoluciones administrativa y judiciales que la confirmaron, y que han sido señaladas anteriormente en el encabezamiento de esta sentencia.</w:t>
      </w:r>
    </w:p>
    <w:p w14:paraId="60BFD039" w14:textId="77777777" w:rsidR="00A8138F" w:rsidRDefault="00A8138F" w:rsidP="00A8138F">
      <w:pPr>
        <w:pStyle w:val="TextoNormal"/>
      </w:pPr>
    </w:p>
    <w:p w14:paraId="3FD0D2FB" w14:textId="77777777" w:rsidR="00A8138F" w:rsidRDefault="00A8138F" w:rsidP="00A8138F">
      <w:pPr>
        <w:pStyle w:val="TextoNormal"/>
      </w:pPr>
      <w:r w:rsidRPr="00A8138F">
        <w:rPr>
          <w:rStyle w:val="NumeroAFNegritaCaracter"/>
        </w:rPr>
        <w:t>2</w:t>
      </w:r>
      <w:r>
        <w:t>. El presente recurso de amparo trae causa de los siguientes antecedentes:</w:t>
      </w:r>
    </w:p>
    <w:p w14:paraId="6D343E8C" w14:textId="77777777" w:rsidR="00A8138F" w:rsidRDefault="00A8138F" w:rsidP="00A8138F">
      <w:pPr>
        <w:pStyle w:val="TextoNormal"/>
      </w:pPr>
    </w:p>
    <w:p w14:paraId="2D2C495C" w14:textId="77777777" w:rsidR="00A8138F" w:rsidRDefault="00A8138F" w:rsidP="00A8138F">
      <w:pPr>
        <w:pStyle w:val="TextoNormal"/>
      </w:pPr>
      <w:r>
        <w:t>a) La recurrente en amparo, madre biológica de una menor nacida el 25 de febrero de 2021 con la que forma una familia monoparental, solicitó la prestación por nacimiento y cuidado de menor, que le fue reconocida por resolución del INSS de fecha 10 de marzo de 2021. Posteriormente, reclamó ante la citada entidad gestora que se le ampliara la prestación en las semanas que hubieran correspondido al otro progenitor de haberse tratado de una familia biparental, siendo su petición rechazada por el INSS con fecha de 28 de abril de 2021 dado que legalmente se configuraba el derecho como individual de cada progenitor y no transferible.</w:t>
      </w:r>
    </w:p>
    <w:p w14:paraId="05FCE268" w14:textId="77777777" w:rsidR="00A8138F" w:rsidRDefault="00A8138F" w:rsidP="00A8138F">
      <w:pPr>
        <w:pStyle w:val="TextoNormal"/>
      </w:pPr>
    </w:p>
    <w:p w14:paraId="5B380404" w14:textId="77777777" w:rsidR="00A8138F" w:rsidRDefault="00A8138F" w:rsidP="00A8138F">
      <w:pPr>
        <w:pStyle w:val="TextoNormal"/>
      </w:pPr>
      <w:r>
        <w:t>b) Disconforme con la duración de la prestación que le fue reconocida, y considerando que la denegación de la ampliación solicitada vulneraba el art. 14 CE, interpuso demanda en la vía judicial reclamando su derecho a disfrutar de dieciséis semanas adicionales, lo que dio lugar a los autos núm. 523-2021 seguidos ante el Juzgado de lo Social núm. 9 de Valencia. Por la sentencia 444/2021, de 22 de noviembre (aclarada por auto de 3 diciembre de 2021) se desestimó la demanda, confirmándose lo decidido por la entidad gestora de la Seguridad Social.</w:t>
      </w:r>
    </w:p>
    <w:p w14:paraId="680F6AF8" w14:textId="77777777" w:rsidR="00A8138F" w:rsidRDefault="00A8138F" w:rsidP="00A8138F">
      <w:pPr>
        <w:pStyle w:val="TextoNormal"/>
      </w:pPr>
    </w:p>
    <w:p w14:paraId="4E0DBCDF" w14:textId="77777777" w:rsidR="00A8138F" w:rsidRDefault="00A8138F" w:rsidP="00A8138F">
      <w:pPr>
        <w:pStyle w:val="TextoNormal"/>
      </w:pPr>
      <w:r>
        <w:t xml:space="preserve">c) Frente a la sentencia del Juzgado de lo Social núm. 9 de Valencia se interpuso recurso de suplicación (rec. núm. 1325-2022) que mediante sentencia de la Sala de lo Social del Tribunal Superior de Justicia de la Comunidad Valenciana de 11 de octubre de 2022 fue desestimado por falta de amparo normativo de la pretensión de la recurrente. En tal sentido, se subrayó que la concesión del permiso a progenitor distinto de la madre requería el cumplimiento de los requisitos de afiliación y cotización señalados en la ley y que la inexistencia de un progenitor que cumpliera tales requisitos no podía ser suplida como una ficción por la propia madre integrante de la familia monoparental. Se negó, asimismo, que pudiera servir como sustento del recurso la protección del menor, pues no existía un teórico derecho del menor de las familias monoparentales a ser cuidado en condiciones de igualdad con respecto a las biparentales. Finalmente, se recordó que corresponde al legislador, en todo caso, determinar el nivel y condiciones de las prestaciones teniendo en cuenta las disponibilidades económicas del momento y las necesidades de los distintos grupos sociales, y que para acoger la pretensión de la parte recurrente y reconocer que el progenitor de una familia monoparental tuviera acceso a una prestación superior y distinta a la que se reconoce a cada </w:t>
      </w:r>
      <w:r>
        <w:lastRenderedPageBreak/>
        <w:t>uno de los que conforman la familia biparental sería preciso una regulación específica que así lo reconociera.</w:t>
      </w:r>
    </w:p>
    <w:p w14:paraId="095E103C" w14:textId="77777777" w:rsidR="00A8138F" w:rsidRDefault="00A8138F" w:rsidP="00A8138F">
      <w:pPr>
        <w:pStyle w:val="TextoNormal"/>
      </w:pPr>
    </w:p>
    <w:p w14:paraId="63B83BB5" w14:textId="434565BC" w:rsidR="00A8138F" w:rsidRDefault="00A8138F" w:rsidP="00A8138F">
      <w:pPr>
        <w:pStyle w:val="TextoNormal"/>
      </w:pPr>
      <w:r>
        <w:t>d) Frente a la anterior sentencia se formalizó por la parte actora recurso de casación para la unificación de doctrina (recurso núm. 158-2023), que fue inadmitido por medio de auto de 14 de febrero de 2024 por falta de idoneidad de la sentencia aportada de contraste al no ser firme al término del plazo para interponer el recurso, rechazándose, asimismo, la petición de suspensión del plazo para la interposición del recurso sustentada en el planteamiento de una cuestión de inconstitucionalidad ante el Tribunal Constitucional sobre los preceptos legales controvertidos y una cuestión prejudicial ante el Tribunal de Justicia de la Unión Europea.</w:t>
      </w:r>
    </w:p>
    <w:p w14:paraId="77215470" w14:textId="77777777" w:rsidR="00A8138F" w:rsidRDefault="00A8138F" w:rsidP="00A8138F">
      <w:pPr>
        <w:pStyle w:val="TextoNormal"/>
      </w:pPr>
    </w:p>
    <w:p w14:paraId="2E0B392B" w14:textId="30505063" w:rsidR="00A8138F" w:rsidRDefault="00A8138F" w:rsidP="00A8138F">
      <w:pPr>
        <w:pStyle w:val="TextoNormal"/>
      </w:pPr>
      <w:r w:rsidRPr="00A8138F">
        <w:rPr>
          <w:rStyle w:val="NumeroAFNegritaCaracter"/>
        </w:rPr>
        <w:t>3</w:t>
      </w:r>
      <w:r>
        <w:t>. En la demanda de amparo la recurrente [bajo la invocación no solo de la infracción del derecho a la igualdad y no discriminación (art. 14 CE), sino también del derecho a la tutela judicial efectiva y a un proceso con todas las garantías (art. 24 CE)] sostiene que la denegación de su pretensión de que se ampliara su permiso por nacimiento de hijo en la parte que correspondería al otro progenitor de haberse tratado de una familia biparental supone, de un lado, una discriminación indirecta por razón de sexo, ya que las familias monoparentales están configuradas mayoritariamente por mujeres; y de otro lado, una discriminación por razón de nacimiento, en tanto que se discrimina al menor nacido en familia monoparental, al contar con menor número de semanas de atención que el que nace en una familia biparental. Se apela al reconocimiento de la pretensión de la recurrente teniendo en cuenta el “interés superior del menor” que es el que ha de inspirar la interpretación de la ley. Finalmente, se sostiene que el recurso tiene especial trascendencia constitucional, alegando los motivos previstos en los apartados b), e) y g) del fundamento jurídico 2 de la STC 155/2009, de 25 de junio.</w:t>
      </w:r>
    </w:p>
    <w:p w14:paraId="77EECF0D" w14:textId="77777777" w:rsidR="00A8138F" w:rsidRDefault="00A8138F" w:rsidP="00A8138F">
      <w:pPr>
        <w:pStyle w:val="TextoNormal"/>
      </w:pPr>
    </w:p>
    <w:p w14:paraId="111D2F70" w14:textId="585F2B00" w:rsidR="00A8138F" w:rsidRDefault="00A8138F" w:rsidP="00A8138F">
      <w:pPr>
        <w:pStyle w:val="TextoNormal"/>
      </w:pPr>
      <w:r w:rsidRPr="00A8138F">
        <w:rPr>
          <w:rStyle w:val="NumeroAFNegritaCaracter"/>
        </w:rPr>
        <w:t>4</w:t>
      </w:r>
      <w:r>
        <w:t>. Por providencia de 9 de septiembre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FJ 2 c)]”. En aplicación de lo previsto en el art. 51 LOTC dispuso requerir a la Sala de lo Social del Tribunal Supremo y a la Sala de lo Social del Tribunal Superior de Justicia de la Comunidad Valenciana, a fin de que, en el plazo que no excediera de diez días, remitiesen certificación o fotocopia adverada de las actuaciones correspondientes, al recurso de casación para la unificación de doctrina núm. 158-2023 y al recurso de suplicación núm. 1325-2022. Asimismo, acordó dirigir atenta comunicación al Juzgado de lo Social núm. 9 de Valencia a fin de que, en plazo que no excediera de diez días, remitiese certificación o fotocopia adverada de las actuaciones correspondientes a los autos núm. 523-2021, emplazando a quienes hubieran sido parte en el procedimiento, excepto la parte recurrente en amparo, para que, si lo deseaban, pudieran comparecer en el presente recurso.</w:t>
      </w:r>
    </w:p>
    <w:p w14:paraId="10800D8D" w14:textId="77777777" w:rsidR="00A8138F" w:rsidRDefault="00A8138F" w:rsidP="00A8138F">
      <w:pPr>
        <w:pStyle w:val="TextoNormal"/>
      </w:pPr>
    </w:p>
    <w:p w14:paraId="2BB10D59" w14:textId="4259E8A6" w:rsidR="00A8138F" w:rsidRDefault="00A8138F" w:rsidP="00A8138F">
      <w:pPr>
        <w:pStyle w:val="TextoNormal"/>
      </w:pPr>
      <w:r w:rsidRPr="00A8138F">
        <w:rPr>
          <w:rStyle w:val="NumeroAFNegritaCaracter"/>
        </w:rPr>
        <w:t>5</w:t>
      </w:r>
      <w:r>
        <w:t>. El 7 de octubre de 2024, la letrada de la administración de la Seguridad Social, actuando en nombre y representación del INSS y de la TGSS, interesó su personación en el presente recurso de amparo.</w:t>
      </w:r>
    </w:p>
    <w:p w14:paraId="1F793730" w14:textId="77777777" w:rsidR="00A8138F" w:rsidRDefault="00A8138F" w:rsidP="00A8138F">
      <w:pPr>
        <w:pStyle w:val="TextoNormal"/>
      </w:pPr>
    </w:p>
    <w:p w14:paraId="25A67C0A" w14:textId="3F1B0041" w:rsidR="00A8138F" w:rsidRDefault="00A8138F" w:rsidP="00A8138F">
      <w:pPr>
        <w:pStyle w:val="TextoNormal"/>
      </w:pPr>
      <w:r w:rsidRPr="00A8138F">
        <w:rPr>
          <w:rStyle w:val="NumeroAFNegritaCaracter"/>
        </w:rPr>
        <w:lastRenderedPageBreak/>
        <w:t>6</w:t>
      </w:r>
      <w:r>
        <w:t>. Por diligencia de ordenación de la Secretaría de Justicia de la Sala Primera de este tribunal, de fecha 8 de octubre de 2024, se tuvieron por recibidos los testimonios de actuaciones remitidos por la Sala de lo Social del Tribunal Supremo, por la Sala de lo Social del Tribunal Superior de Justicia de la Comunidad Valenciana y por el Juzgado de lo Social núm. 9 de Valencia, y del escrito de personación de la letrada de la administración de la Seguridad Social, a quien se tuvo por personada y parte en nombre y representación del INSS y de la TGSS. Asimismo, a tenor de lo dispuesto en el art. 52 LOTC se acordó dar vista de todas las actuaciones del presente recurso de amparo en la sede electrónica de este tribunal a la parte recurrente, al Ministerio Fiscal y a la parte personada, por plazo común de veinte días, para que pudieran presentar las alegaciones que estimaran pertinentes.</w:t>
      </w:r>
    </w:p>
    <w:p w14:paraId="4629E33F" w14:textId="77777777" w:rsidR="00A8138F" w:rsidRDefault="00A8138F" w:rsidP="00A8138F">
      <w:pPr>
        <w:pStyle w:val="TextoNormal"/>
      </w:pPr>
    </w:p>
    <w:p w14:paraId="7DD5AC11" w14:textId="77777777" w:rsidR="00A8138F" w:rsidRDefault="00A8138F" w:rsidP="00A8138F">
      <w:pPr>
        <w:pStyle w:val="TextoNormal"/>
      </w:pPr>
      <w:r w:rsidRPr="00A8138F">
        <w:rPr>
          <w:rStyle w:val="NumeroAFNegritaCaracter"/>
        </w:rPr>
        <w:t>7</w:t>
      </w:r>
      <w:r>
        <w:t>. Por medio de escrito registrado en este tribunal el 31 de octubre 2024, presentó su escrito de alegaciones la letrada de la administración de la Seguridad Social. Se sostiene la falta de justificación de la especial trascendencia constitucional señalando que la no concesión de la ampliación de la pretensión no vulnera derecho alguno, y que lo único que subyace en el caso de autos es una cuestión de índole económica. Se señala que la estimación del recurso supondría hacer de mejor condición a las madres de las familias monoparentales que a las de las familias biparentales y que la protección de la familia y de los hijos y el régimen público de la Seguridad Social (arts. 39 y 41 CE) no son derechos fundamentales protegidos por el recurso de amparo.</w:t>
      </w:r>
    </w:p>
    <w:p w14:paraId="2079F547" w14:textId="77777777" w:rsidR="00A8138F" w:rsidRDefault="00A8138F" w:rsidP="00A8138F">
      <w:pPr>
        <w:pStyle w:val="TextoNormal"/>
      </w:pPr>
    </w:p>
    <w:p w14:paraId="217E50D5" w14:textId="6382B106" w:rsidR="00A8138F" w:rsidRDefault="00A8138F" w:rsidP="00A8138F">
      <w:pPr>
        <w:pStyle w:val="TextoNormal"/>
      </w:pPr>
      <w:r>
        <w:t>Se niega después que el art. 48.4 del texto refundido de la Ley del estatuto de los trabajadores, aprobado por el Real Decreto Legislativo 2/2015, de 23 de octubre (LET) atente contra el derecho a la igualdad de trato y no discriminación al no compararse situaciones que resulten parangonables, y al no cobijar una discriminación respecto de la madre (por razón de su estado civil y por razón de sexo), ni respecto del menor (por haber nacido en una familia monoparental). Para negar las infracciones constitucionales aducidas se hace un examen de la normativa aplicable (tanto nacional como internacional y de la Unión Europea): de la doctrina de la Sala de lo Social del Tribunal Supremo sobre la materia [STS 169/2023, de 2 de marzo (ECLI:ES:TS:2023:783), principalmente, y también de la STS 191/2024, de 29 de enero (ECLI:ES:TS:2024:1103)]; de la doctrina constitucional existente al tiempo de realizarse las alegaciones (esto es, la anterior al dictado de la STC 140/2024, de 6 de noviembre, que declaró la inconstitucionalidad de los preceptos que en este caso se cuestionaban); de la sentada por el Tribunal de Justicia de la Unión Europea, y de la finalidad de la concesión de los permisos por nacimiento y cuidado de hijos, lo que conduciría a concluir que las familias monoparentales reciben el mismo trato que las familias biparentales y que de reconocerse la ampliación del permiso y prestación a favor de las primeras se estaría discriminando a las segundas pues al segundo progenitor se le exige cumplir los requisitos legalmente previstos (alta y periodo de cotización) para poder disfrutarlos. En virtud de todo ello, se interesa la desestimación del recurso de amparo y que se declaren ajustadas a la Constitución Española las resoluciones administrativas impugnadas y las sentencias que las confirmaron.</w:t>
      </w:r>
    </w:p>
    <w:p w14:paraId="29C1A8DD" w14:textId="77777777" w:rsidR="00A8138F" w:rsidRDefault="00A8138F" w:rsidP="00A8138F">
      <w:pPr>
        <w:pStyle w:val="TextoNormal"/>
      </w:pPr>
    </w:p>
    <w:p w14:paraId="67FFD96A" w14:textId="3F4769D3" w:rsidR="00A8138F" w:rsidRDefault="00A8138F" w:rsidP="00A8138F">
      <w:pPr>
        <w:pStyle w:val="TextoNormal"/>
      </w:pPr>
      <w:r w:rsidRPr="00A8138F">
        <w:rPr>
          <w:rStyle w:val="NumeroAFNegritaCaracter"/>
        </w:rPr>
        <w:t>8</w:t>
      </w:r>
      <w:r>
        <w:t xml:space="preserve">. El 8 de noviembre de 2024, la representación procesal de la recurrente en amparo presentó escrito de alegaciones evacuando el trámite conferido, solicitando la estimación del recurso de amparo de conformidad con la reciente STC 140/2024, que ha declarado inconstitucional que las madres biológicas de familias monoparentales, trabajadoras por </w:t>
      </w:r>
      <w:r>
        <w:lastRenderedPageBreak/>
        <w:t>cuenta ajena, no puedan ampliar su permiso por nacimiento y cuidado de hijo más allá de dieciséis semanas. Se insiste, posteriormente, en las alegaciones vertidas en su demanda de amparo acerca de la discriminación indirecta por razón de sexo y discriminación por razón de nacimiento que provocaría la norma, y se hace mención del reconocimiento de la discriminación por parte de la Sala de lo Contencioso-Administrativo del Tribunal Supremo.</w:t>
      </w:r>
    </w:p>
    <w:p w14:paraId="50A853B9" w14:textId="77777777" w:rsidR="00A8138F" w:rsidRDefault="00A8138F" w:rsidP="00A8138F">
      <w:pPr>
        <w:pStyle w:val="TextoNormal"/>
      </w:pPr>
    </w:p>
    <w:p w14:paraId="06EB5A91" w14:textId="2CD01507" w:rsidR="00A8138F" w:rsidRDefault="00A8138F" w:rsidP="00A8138F">
      <w:pPr>
        <w:pStyle w:val="TextoNormal"/>
      </w:pPr>
      <w:r w:rsidRPr="00A8138F">
        <w:rPr>
          <w:rStyle w:val="NumeroAFNegritaCaracter"/>
        </w:rPr>
        <w:t>9</w:t>
      </w:r>
      <w:r>
        <w:t xml:space="preserve">. El 3 de diciembre de 2024, tuvo entrada en el registro de este tribunal el escrito de alegaciones del Ministerio Fiscal. Comienza precisando que, aunque la parte alega como vulnerados el derecho a la tutela judicial efectiva sin indefensión (art. 24.1 CE) y el derecho a un proceso con todas las garantías (art. 24.2 CE), el enjuiciamiento se ha de centrar en el examen de la infracción del derecho a la igualdad y no discriminación (art. 14 CE) que es en el que se centran todos sus argumentos, ya que, respecto a aquellos dos, nada se argumenta al respecto. Ciertamente, toda la demanda se concentra en poner de manifiesto los motivos por los que se habría vulnerado el derecho a la igualdad de la madre y de la menor, denunciando, respecto a la primera, una discriminación por razón de género (ya que la mayoría de las familias monoparentales están formadas por mujeres) y, respecto a la segunda, por razón de su nacimiento en el seno de una familia monoparental (disponiendo, por tal motivo, de menor tiempo de atención y cuidado que el disfrutado en una familia biparental). Centrado el objeto del enjuiciamiento, se interesa la estimación del recurso de amparo por aplicación de lo dispuesto en la STC 140/2024, que ha declarado inconstitucionales, de la Ley del estatuto de los trabajadores (art. 48.4), y de la Ley general de la Seguridad Social (art. 177), ambos aplicados en el caso de autos. Se subraya que en el proceso laboral subyacente no se debatía la duración de la suspensión del contrato de trabajo, sino la concesión de la prestación de la Seguridad Social de los arts. 177 y siguientes de la Ley general de la Seguridad Social (LGSS) que corresponderían al segundo progenitor, en caso de haber existido. Y que el motivo de la vulneración del art. 14 CE, en relación con el art. 39 CE (de acuerdo con la citada sentencia constitucional) es el derecho a la no discriminación porque la normativa cuestionada (arts. 48.4 LET y 177 LGSS) provoca una desigualdad de trato perjudicial para los menores nacidos en familias monoparentales frente a los nacidos en familias biparentales, en atención al inferior periodo de tiempo que las primeras, al estar formadas por un único progenitor, tienen para el cuidado del hijo, por la regulación de la suspensión del contrato de trabajo prevista en el art. 48.4 LET. Se destaca, no obstante, que la duración de la prestación del art. 177 LGSS que ha sido objeto de reclamación en el proceso laboral está vinculada a la suspensión del contrato de trabajo por nacimiento y cuidado del menor que estable el citado art. 48.4 LET, y que, por ese motivo, al denegar la ampliación de la prestación las resoluciones impugnadas han resultado contrarias al art. 14 CE en relación con el art. 39 CE. No se trata, en definitiva, prosigue diciendo, de que la interpretación y aplicación de los mencionados preceptos se haya realizado de manera ilógica o arbitraria, ya que cuando se aplicaron eran normas con rango de ley y no se había declarado su inconstitucionalidad. El Tribunal Constitucional, en la mencionada sentencia, no mantiene que los preceptos sean constitucionales con una interpretación conforme a la Constitución, sino que los declara directamente contrarios al art. 14 CE, en relación con el art. 39 CE, por omisión, estableciendo una interpretación provisional para que su aplicación no siga produciendo una vulneración del art. 14 CE, en relación con el art. 39 CE. Es la inconstitucionalidad de las normas, por consiguiente, la que produce la nulidad de las resoluciones recurridas. Finalmente, en cuanto al alcance de la estimación del recurso, el fiscal propone declarar la nulidad de la resolución administrativa y sentencias judiciales impugnadas, no así la del auto del Tribunal Supremo que inadmitió el recurso de casación para la </w:t>
      </w:r>
      <w:r>
        <w:lastRenderedPageBreak/>
        <w:t>unificación de doctrina, al que no podría reprochársele la infracción del derecho a la igualdad y no discriminación (art. 14 CE).</w:t>
      </w:r>
    </w:p>
    <w:p w14:paraId="75173B58" w14:textId="77777777" w:rsidR="00A8138F" w:rsidRDefault="00A8138F" w:rsidP="00A8138F">
      <w:pPr>
        <w:pStyle w:val="TextoNormal"/>
      </w:pPr>
    </w:p>
    <w:p w14:paraId="720766C8" w14:textId="20FEE944" w:rsidR="00A8138F" w:rsidRDefault="00A8138F" w:rsidP="00A8138F">
      <w:pPr>
        <w:pStyle w:val="TextoNormal"/>
      </w:pPr>
      <w:r w:rsidRPr="00A8138F">
        <w:rPr>
          <w:rStyle w:val="NumeroAFNegritaCaracter"/>
        </w:rPr>
        <w:t>10</w:t>
      </w:r>
      <w:r>
        <w:t>. Mediante providencia de 9 de enero de 2025, se señaló para deliberación y votación de la presente sentencia el día 13 del mismo mes y año.</w:t>
      </w:r>
    </w:p>
    <w:p w14:paraId="499FF8CC" w14:textId="77777777" w:rsidR="00A8138F" w:rsidRDefault="00A8138F" w:rsidP="00A8138F">
      <w:pPr>
        <w:pStyle w:val="TextoNormal"/>
      </w:pPr>
    </w:p>
    <w:p w14:paraId="182D9721" w14:textId="77777777" w:rsidR="00A8138F" w:rsidRDefault="00A8138F" w:rsidP="00A8138F">
      <w:pPr>
        <w:pStyle w:val="TextoNormalNegritaCentrado"/>
        <w:keepNext/>
      </w:pPr>
      <w:r>
        <w:t>II. Fundamentos jurídicos</w:t>
      </w:r>
    </w:p>
    <w:p w14:paraId="5BA4DD4B" w14:textId="5ECA766A" w:rsidR="00A8138F" w:rsidRDefault="00A8138F" w:rsidP="00A8138F">
      <w:pPr>
        <w:pStyle w:val="TextoNormalNegritaCentrado"/>
        <w:keepNext/>
      </w:pPr>
    </w:p>
    <w:p w14:paraId="0570244D"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754A5516" w14:textId="77777777" w:rsidR="00A8138F" w:rsidRDefault="00A8138F" w:rsidP="00A8138F">
      <w:pPr>
        <w:pStyle w:val="TextoNormal"/>
      </w:pPr>
    </w:p>
    <w:p w14:paraId="358EA471" w14:textId="77777777" w:rsidR="00A8138F" w:rsidRDefault="00A8138F" w:rsidP="00A8138F">
      <w:pPr>
        <w:pStyle w:val="TextoNormal"/>
      </w:pPr>
      <w:r>
        <w:t>El objeto del presente proceso es dilucidar si las resoluciones impugnadas han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19C61CDD" w14:textId="77777777" w:rsidR="00A8138F" w:rsidRDefault="00A8138F" w:rsidP="00A8138F">
      <w:pPr>
        <w:pStyle w:val="TextoNormal"/>
      </w:pPr>
    </w:p>
    <w:p w14:paraId="6944F37D" w14:textId="5002980C" w:rsidR="00A8138F" w:rsidRDefault="00A8138F" w:rsidP="00A8138F">
      <w:pPr>
        <w:pStyle w:val="TextoNormal"/>
      </w:pPr>
      <w:r>
        <w:t>Como ha señalado el fiscal, aunque la parte también alega la infracción del derecho a la tutela judicial efectiva y del derecho a un proceso con todas las garantías (art. 24.1 y 2 CE), lo hace tan solo formalmente y sin realizar ningún razonamiento al respecto, por lo que su examen ha de quedar fuera de nuestro enjuiciamiento.</w:t>
      </w:r>
    </w:p>
    <w:p w14:paraId="4203E86A" w14:textId="77777777" w:rsidR="00A8138F" w:rsidRDefault="00A8138F" w:rsidP="00A8138F">
      <w:pPr>
        <w:pStyle w:val="TextoNormal"/>
      </w:pPr>
    </w:p>
    <w:p w14:paraId="3E821AE8" w14:textId="77777777" w:rsidR="00A8138F" w:rsidRDefault="00A8138F" w:rsidP="00A8138F">
      <w:pPr>
        <w:pStyle w:val="TextoNormal"/>
      </w:pPr>
      <w:r w:rsidRPr="00A8138F">
        <w:rPr>
          <w:rStyle w:val="NumeroAFNegritaCaracter"/>
        </w:rPr>
        <w:t>2</w:t>
      </w:r>
      <w:r>
        <w:t xml:space="preserve">. </w:t>
      </w:r>
      <w:r w:rsidRPr="00A8138F">
        <w:rPr>
          <w:i/>
        </w:rPr>
        <w:t>Sobre la objeción de “no justificación de la especial trascendencia constitucional” del recurso</w:t>
      </w:r>
    </w:p>
    <w:p w14:paraId="122D7DD4" w14:textId="77777777" w:rsidR="00A8138F" w:rsidRDefault="00A8138F" w:rsidP="00A8138F">
      <w:pPr>
        <w:pStyle w:val="TextoNormal"/>
      </w:pPr>
    </w:p>
    <w:p w14:paraId="1BC54323" w14:textId="77777777" w:rsidR="00A8138F" w:rsidRDefault="00A8138F" w:rsidP="00A8138F">
      <w:pPr>
        <w:pStyle w:val="TextoNormal"/>
      </w:pPr>
      <w:r>
        <w:t>Antes de entrar a examinar las quejas de fondo de la demanda, la letrada del INSS advierte en su escrito de alegaciones del trámite del art. 52 LOTC, que la demanda había incurrido en el defecto de “no justificación de la [especial] trascendencia constitucional”, señalando más adelante que no existe trascendencia constitucional en el recurso, todo ello porque no se había producido la vulneración del derecho fundamental que denuncia la demandante de amparo, empleando al respecto argumentos que luego utiliza en el mismo escrito para pedir la desestimación del recurso.</w:t>
      </w:r>
    </w:p>
    <w:p w14:paraId="0A5BD1C4" w14:textId="77777777" w:rsidR="00A8138F" w:rsidRDefault="00A8138F" w:rsidP="00A8138F">
      <w:pPr>
        <w:pStyle w:val="TextoNormal"/>
      </w:pPr>
    </w:p>
    <w:p w14:paraId="053959A0" w14:textId="3D8A7857" w:rsidR="00A8138F" w:rsidRDefault="00A8138F" w:rsidP="00A8138F">
      <w:pPr>
        <w:pStyle w:val="TextoNormal"/>
      </w:pPr>
      <w:r>
        <w:t xml:space="preserve">Resulta así palmario que el escrito de alegaciones confunde como una misma cosa, tres conceptos distintos como son: la falta de justificación de la especial trascendencia constitucional (óbice formal </w:t>
      </w:r>
      <w:r w:rsidRPr="00A8138F">
        <w:rPr>
          <w:i/>
        </w:rPr>
        <w:t>ex</w:t>
      </w:r>
      <w:r>
        <w:t xml:space="preserve"> art. 49.1 </w:t>
      </w:r>
      <w:r w:rsidRPr="00A8138F">
        <w:rPr>
          <w:i/>
        </w:rPr>
        <w:t>in fine</w:t>
      </w:r>
      <w:r>
        <w:t xml:space="preserve"> LOTC); la falta material de este requisito [art. 50.1 b) LOTC, y nuestra STC 155/2009, FJ 2], y la inexistencia de la vulneración del derecho fundamental invocado como infringido, es decir, el propio tema de fondo planteado, lo que relevaría de más contestación. Lo cierto, en cualquier caso, es que el escrito de la representante del INSS no ofrece razón alguna para reconsiderar el juicio positivo sobre la especial trascendencia constitucional que quedó expresado en la providencia de admisión del presente recurso, mientras que en lo que concierne a la cuestión de fondo se resuelve en el próximo fundamento jurídico.</w:t>
      </w:r>
    </w:p>
    <w:p w14:paraId="5E6DE2C2" w14:textId="77777777" w:rsidR="00A8138F" w:rsidRDefault="00A8138F" w:rsidP="00A8138F">
      <w:pPr>
        <w:pStyle w:val="TextoNormal"/>
      </w:pPr>
    </w:p>
    <w:p w14:paraId="25B758B7"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fijada en la STC 140/2024</w:t>
      </w:r>
    </w:p>
    <w:p w14:paraId="1095494C" w14:textId="77777777" w:rsidR="00A8138F" w:rsidRDefault="00A8138F" w:rsidP="00A8138F">
      <w:pPr>
        <w:pStyle w:val="TextoNormal"/>
      </w:pPr>
    </w:p>
    <w:p w14:paraId="03B98EAF" w14:textId="77777777" w:rsidR="00A8138F" w:rsidRDefault="00A8138F" w:rsidP="00A8138F">
      <w:pPr>
        <w:pStyle w:val="TextoNormal"/>
      </w:pPr>
      <w:r>
        <w:lastRenderedPageBreak/>
        <w:t>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1D3A8C23" w14:textId="77777777" w:rsidR="00A8138F" w:rsidRDefault="00A8138F" w:rsidP="00A8138F">
      <w:pPr>
        <w:pStyle w:val="TextoNormal"/>
      </w:pPr>
    </w:p>
    <w:p w14:paraId="0ECAC634" w14:textId="77777777" w:rsidR="00A8138F" w:rsidRDefault="00A8138F" w:rsidP="00A8138F">
      <w:pPr>
        <w:pStyle w:val="TextoNormal"/>
      </w:pPr>
      <w:r>
        <w:t>La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5D83884" w14:textId="77777777" w:rsidR="00A8138F" w:rsidRDefault="00A8138F" w:rsidP="00A8138F">
      <w:pPr>
        <w:pStyle w:val="TextoNormal"/>
      </w:pPr>
    </w:p>
    <w:p w14:paraId="6319E4B6"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77BE9BE3" w14:textId="77777777" w:rsidR="00A8138F" w:rsidRDefault="00A8138F" w:rsidP="00A8138F">
      <w:pPr>
        <w:pStyle w:val="TextoNormal"/>
      </w:pPr>
    </w:p>
    <w:p w14:paraId="47F7719A" w14:textId="77777777" w:rsidR="00A8138F" w:rsidRDefault="00A8138F" w:rsidP="00A8138F">
      <w:pPr>
        <w:pStyle w:val="TextoNormal"/>
      </w:pPr>
      <w:r>
        <w:t>En consecuencia, debe estimarse la demanda y otorgar el amparo solicitado, con nulidad de las resoluciones impugnadas, incluido —en contra de lo manifestado por el fiscal— el auto dictado por el Tribunal Supremo, en la medida en que, aunque no se pronunció sobre el fondo del asunto, al inadmitir el recurso de casación para la unificación de doctrina declaró la firmeza de la sentencia de suplicación recurrida (por todas, SSTC 77/2003, de 28 de abril, FJ 8, y 140/2006, de 8 de mayo, FJ 3).</w:t>
      </w:r>
    </w:p>
    <w:p w14:paraId="48A54A7A" w14:textId="77777777" w:rsidR="00A8138F" w:rsidRDefault="00A8138F" w:rsidP="00A8138F">
      <w:pPr>
        <w:pStyle w:val="TextoNormal"/>
      </w:pPr>
    </w:p>
    <w:p w14:paraId="177300F5" w14:textId="25089D03" w:rsidR="00A8138F" w:rsidRDefault="00A8138F" w:rsidP="00A8138F">
      <w:pPr>
        <w:pStyle w:val="TextoNormal"/>
      </w:pPr>
      <w:r>
        <w:t>Finalmente, hay que precisar que como concretamos en la referida STC 140/2024, FJ 7, en tanto el legislador no lleve a cabo la consiguiente reforma normativa, en las familias monoparentales el permiso a que hace referencia el art. 48.4 LET, y en relación con el art. 177 LGSS, ha de ser interpretado en el sentido de adicionarse al permiso del primer párrafo para la madre biológica (dieciséis semanas), el previsto en el segundo para progenitor dis</w:t>
      </w:r>
      <w:r>
        <w:lastRenderedPageBreak/>
        <w:t>tinto (diez semanas, al excluirse las seis primeras, que necesariamente deben disfrutarse de forma ininterrumpida e inmediatamente posterior al parto).</w:t>
      </w:r>
    </w:p>
    <w:p w14:paraId="767E70BB" w14:textId="77777777" w:rsidR="00A8138F" w:rsidRDefault="00A8138F" w:rsidP="00A8138F">
      <w:pPr>
        <w:pStyle w:val="TextoNormal"/>
      </w:pPr>
    </w:p>
    <w:p w14:paraId="1883B654" w14:textId="77777777" w:rsidR="00A8138F" w:rsidRDefault="00A8138F" w:rsidP="00A8138F">
      <w:pPr>
        <w:pStyle w:val="TextoNormalCentrado"/>
        <w:keepNext/>
      </w:pPr>
      <w:r>
        <w:t>FALLO</w:t>
      </w:r>
    </w:p>
    <w:p w14:paraId="00F5D880" w14:textId="727F4B96" w:rsidR="00A8138F" w:rsidRDefault="00A8138F" w:rsidP="00A8138F">
      <w:pPr>
        <w:pStyle w:val="TextoNormalCentrado"/>
        <w:keepNext/>
      </w:pPr>
    </w:p>
    <w:p w14:paraId="422FAD29" w14:textId="77777777" w:rsidR="00A8138F" w:rsidRDefault="00A8138F" w:rsidP="00A8138F">
      <w:pPr>
        <w:pStyle w:val="TextoNormal"/>
      </w:pPr>
      <w:r>
        <w:t>En atención a todo lo expuesto, el Tribunal Constitucional, por la autoridad que le confiere la Constitución de la Nación española, ha decidido:</w:t>
      </w:r>
    </w:p>
    <w:p w14:paraId="003015DE" w14:textId="77777777" w:rsidR="00A8138F" w:rsidRDefault="00A8138F" w:rsidP="00A8138F">
      <w:pPr>
        <w:pStyle w:val="TextoNormal"/>
      </w:pPr>
    </w:p>
    <w:p w14:paraId="3317526D" w14:textId="77777777" w:rsidR="00A8138F" w:rsidRDefault="00A8138F" w:rsidP="00A8138F">
      <w:pPr>
        <w:pStyle w:val="TextoNormal"/>
      </w:pPr>
      <w:r>
        <w:t>1º Estimar la demanda presentada por doña Neus Albert Ivars por vulneración del derecho fundamental de igualdad ante la ley sin discriminación por razón de nacimiento (art. 14 CE) de una hija menor en una familia monoparental.</w:t>
      </w:r>
    </w:p>
    <w:p w14:paraId="4A604852" w14:textId="77777777" w:rsidR="00A8138F" w:rsidRDefault="00A8138F" w:rsidP="00A8138F">
      <w:pPr>
        <w:pStyle w:val="TextoNormal"/>
      </w:pPr>
    </w:p>
    <w:p w14:paraId="05FA8660" w14:textId="77777777" w:rsidR="00A8138F" w:rsidRDefault="00A8138F" w:rsidP="00A8138F">
      <w:pPr>
        <w:pStyle w:val="TextoNormal"/>
      </w:pPr>
      <w:r>
        <w:t>2º Declarar la nulidad de las siguientes resoluciones: (i) la resolución del Instituto Nacional de la Seguridad Social de 28 de abril de 2021; (ii) la sentencia núm. 444/2021, del Juzgado de lo Social núm. 9 de Valencia, de 22 de noviembre de 2021, recaída en los autos núm. 523-2021, y su auto de aclaración de 3 de diciembre de 2021; (iii) la sentencia núm. 3047/2022, de la Sala de lo Social del Tribunal Superior de Justicia de la Comunidad Valenciana, que desestimó el recurso de suplicación núm. 1325-2022; y (iv) el auto, de 14 de febrero de 2024, de la Sala de lo Social del Tribunal Supremo, en el recurso de casación para la unificación de doctrina núm. 158-2023.</w:t>
      </w:r>
    </w:p>
    <w:p w14:paraId="1C65E4E2" w14:textId="77777777" w:rsidR="00A8138F" w:rsidRDefault="00A8138F" w:rsidP="00A8138F">
      <w:pPr>
        <w:pStyle w:val="TextoNormal"/>
      </w:pPr>
    </w:p>
    <w:p w14:paraId="3477EAB7" w14:textId="08C78F55" w:rsidR="00A8138F" w:rsidRDefault="00A8138F" w:rsidP="00A8138F">
      <w:pPr>
        <w:pStyle w:val="TextoNormal"/>
      </w:pPr>
      <w:r>
        <w:t>3º Retrotraer las actuaciones al momento previo a la resolución administrativa mencionada en el apartado anterior, para que el Instituto Nacional de la Seguridad Social dicte resolución expresa que resulte ser respetuosa con el derecho fundamental reconocido a la recurrente, con el alcance fijado en el último párrafo del fundamento jurídico 3 de esta sentencia.</w:t>
      </w:r>
    </w:p>
    <w:p w14:paraId="27090B67" w14:textId="77777777" w:rsidR="00A8138F" w:rsidRDefault="00A8138F" w:rsidP="00A8138F">
      <w:pPr>
        <w:pStyle w:val="TextoNormal"/>
      </w:pPr>
    </w:p>
    <w:p w14:paraId="19D01ADD" w14:textId="77777777" w:rsidR="00A8138F" w:rsidRDefault="00A8138F" w:rsidP="00A8138F">
      <w:pPr>
        <w:pStyle w:val="TextoNormal"/>
      </w:pPr>
      <w:r>
        <w:t>Publíquese esta sentencia en el “Boletín Oficial del Estado”.</w:t>
      </w:r>
    </w:p>
    <w:p w14:paraId="17AA47A6" w14:textId="77777777" w:rsidR="00A8138F" w:rsidRDefault="00A8138F" w:rsidP="00A8138F">
      <w:pPr>
        <w:pStyle w:val="TextoNormal"/>
      </w:pPr>
      <w:r>
        <w:t>Dada en Madrid, a trece de enero de dos mil veinticinco.</w:t>
      </w:r>
    </w:p>
    <w:p w14:paraId="52A58EF6" w14:textId="346A57B2" w:rsidR="00A8138F" w:rsidRDefault="00A8138F">
      <w:pPr>
        <w:spacing w:after="160" w:line="278" w:lineRule="auto"/>
        <w:rPr>
          <w:rFonts w:ascii="Times New Roman" w:eastAsia="Times New Roman" w:hAnsi="Times New Roman" w:cs="Times New Roman"/>
          <w:sz w:val="24"/>
          <w:szCs w:val="24"/>
          <w:lang w:eastAsia="es-ES"/>
        </w:rPr>
      </w:pPr>
      <w:r>
        <w:br w:type="page"/>
      </w:r>
    </w:p>
    <w:p w14:paraId="54FD0219" w14:textId="77777777" w:rsidR="00A8138F" w:rsidRDefault="00A8138F" w:rsidP="00A8138F">
      <w:pPr>
        <w:pStyle w:val="TtuloResolucin"/>
      </w:pPr>
      <w:bookmarkStart w:id="13" w:name="SENTENCIA_2025_11"/>
      <w:r>
        <w:lastRenderedPageBreak/>
        <w:t>SENTENCIA 11/2025, de 13 de enero de 2025</w:t>
      </w:r>
    </w:p>
    <w:bookmarkEnd w:id="13"/>
    <w:p w14:paraId="1F2F465C" w14:textId="77777777" w:rsidR="00A8138F" w:rsidRDefault="00A8138F" w:rsidP="00A8138F">
      <w:pPr>
        <w:pStyle w:val="TtuloResolucin"/>
      </w:pPr>
      <w:r>
        <w:t>Sala Primera</w:t>
      </w:r>
    </w:p>
    <w:p w14:paraId="0024D91A" w14:textId="77777777" w:rsidR="00A8138F" w:rsidRDefault="00A8138F" w:rsidP="00A8138F">
      <w:pPr>
        <w:pStyle w:val="TtuloBOE"/>
      </w:pPr>
      <w:r>
        <w:t>(BOE núm. 41, de 17 de febrero de 2025)</w:t>
      </w:r>
    </w:p>
    <w:p w14:paraId="386DE388" w14:textId="77777777" w:rsidR="00A8138F" w:rsidRDefault="00A8138F" w:rsidP="00A8138F">
      <w:pPr>
        <w:pStyle w:val="TextoNormalCentrado"/>
      </w:pPr>
      <w:r>
        <w:t>ECLI:ES:TC:2025:11</w:t>
      </w:r>
    </w:p>
    <w:p w14:paraId="1F88E14C" w14:textId="6137E58B" w:rsidR="00A8138F" w:rsidRDefault="00A8138F" w:rsidP="00A8138F">
      <w:pPr>
        <w:pStyle w:val="TextoNormalCentrado"/>
      </w:pPr>
    </w:p>
    <w:p w14:paraId="3F529CE5" w14:textId="77777777" w:rsidR="00A8138F" w:rsidRDefault="00A8138F" w:rsidP="00A8138F">
      <w:pPr>
        <w:pStyle w:val="SntesisDescriptiva"/>
      </w:pPr>
      <w:r>
        <w:t>Recurso de amparo 3143-2024. Promovido por doña Vanessa Quesada Macías en relación con las resoluciones administrativas y judiciales que desestimaron su petición de revisión y ampliación de la prestación por nacimiento y cuidado de hijo menor, como madre biológica de familia monoparental.</w:t>
      </w:r>
    </w:p>
    <w:p w14:paraId="7FD25A92" w14:textId="703BC071" w:rsidR="00A8138F" w:rsidRDefault="00A8138F" w:rsidP="00A8138F">
      <w:pPr>
        <w:pStyle w:val="SntesisDescriptiva"/>
      </w:pPr>
    </w:p>
    <w:p w14:paraId="28009591" w14:textId="77777777" w:rsidR="00A8138F" w:rsidRDefault="00A8138F" w:rsidP="00A8138F">
      <w:pPr>
        <w:pStyle w:val="SntesisAnaltica"/>
      </w:pPr>
      <w:r>
        <w:t>Alegada vulneración del derecho a no padecer discriminación: inadmisión del recurso de amparo extemporáneamente interpuesto.</w:t>
      </w:r>
    </w:p>
    <w:p w14:paraId="66A30CC4" w14:textId="182D96D8" w:rsidR="00A8138F" w:rsidRDefault="00A8138F" w:rsidP="00A8138F">
      <w:pPr>
        <w:pStyle w:val="SntesisAnaltica"/>
      </w:pPr>
    </w:p>
    <w:p w14:paraId="1B1349F2" w14:textId="4E088A07" w:rsidR="00A8138F" w:rsidRDefault="00A8138F" w:rsidP="00A8138F">
      <w:pPr>
        <w:pStyle w:val="Extracto"/>
      </w:pPr>
      <w:r>
        <w:t>1.</w:t>
      </w:r>
      <w:r>
        <w:tab/>
        <w:t>El vencimiento del plazo de caducidad de veinte días establecido en el art. 43.2 LOTC para la interposición de la demanda constitucional de amparo supone un óbice procesal que impide entrar en el examen del fondo de la pretensión de amparo [FJ 2].</w:t>
      </w:r>
    </w:p>
    <w:p w14:paraId="0A71CBCA" w14:textId="77777777" w:rsidR="00A8138F" w:rsidRDefault="00A8138F" w:rsidP="00A8138F">
      <w:pPr>
        <w:pStyle w:val="Extracto"/>
      </w:pPr>
    </w:p>
    <w:p w14:paraId="08AB63C0" w14:textId="77777777" w:rsidR="00A8138F" w:rsidRDefault="00A8138F" w:rsidP="00A8138F">
      <w:pPr>
        <w:pStyle w:val="Extracto"/>
      </w:pPr>
    </w:p>
    <w:p w14:paraId="6F1563F6"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30F4666" w14:textId="5AF11DE9" w:rsidR="00A8138F" w:rsidRDefault="00A8138F" w:rsidP="00A8138F">
      <w:pPr>
        <w:pStyle w:val="TextoNormal"/>
      </w:pPr>
    </w:p>
    <w:p w14:paraId="2EDB366E" w14:textId="77777777" w:rsidR="00A8138F" w:rsidRDefault="00A8138F" w:rsidP="00A8138F">
      <w:pPr>
        <w:pStyle w:val="TextoNormalCentrado"/>
        <w:keepNext/>
      </w:pPr>
      <w:r>
        <w:t>EN NOMBRE DEL REY</w:t>
      </w:r>
    </w:p>
    <w:p w14:paraId="116EAB6A" w14:textId="5DB2C923" w:rsidR="00A8138F" w:rsidRDefault="00A8138F" w:rsidP="00A8138F">
      <w:pPr>
        <w:pStyle w:val="TextoNormalCentrado"/>
        <w:keepNext/>
      </w:pPr>
    </w:p>
    <w:p w14:paraId="3AF3EB11" w14:textId="77777777" w:rsidR="00A8138F" w:rsidRDefault="00A8138F" w:rsidP="00A8138F">
      <w:pPr>
        <w:pStyle w:val="TextoNormalCentrado"/>
        <w:keepNext/>
      </w:pPr>
    </w:p>
    <w:p w14:paraId="342D0364" w14:textId="77777777" w:rsidR="00A8138F" w:rsidRDefault="00A8138F" w:rsidP="00A8138F">
      <w:pPr>
        <w:pStyle w:val="TextoNormal"/>
      </w:pPr>
      <w:r>
        <w:t>la siguiente</w:t>
      </w:r>
    </w:p>
    <w:p w14:paraId="68EB7E8A" w14:textId="2D626E44" w:rsidR="00A8138F" w:rsidRDefault="00A8138F" w:rsidP="00A8138F">
      <w:pPr>
        <w:pStyle w:val="TextoNormal"/>
      </w:pPr>
    </w:p>
    <w:p w14:paraId="25F76B90" w14:textId="77777777" w:rsidR="00A8138F" w:rsidRDefault="00A8138F" w:rsidP="00A8138F">
      <w:pPr>
        <w:pStyle w:val="TextoNormalCentrado"/>
        <w:keepNext/>
      </w:pPr>
      <w:r>
        <w:t>SENTENCIA</w:t>
      </w:r>
    </w:p>
    <w:p w14:paraId="2F09A534" w14:textId="20137836" w:rsidR="00A8138F" w:rsidRDefault="00A8138F" w:rsidP="00A8138F">
      <w:pPr>
        <w:pStyle w:val="TextoNormalCentrado"/>
        <w:keepNext/>
      </w:pPr>
    </w:p>
    <w:p w14:paraId="4D219F4F" w14:textId="77777777" w:rsidR="00A8138F" w:rsidRDefault="00A8138F" w:rsidP="00A8138F">
      <w:pPr>
        <w:pStyle w:val="TextoNormal"/>
      </w:pPr>
      <w:r>
        <w:t xml:space="preserve">En el recurso de amparo núm. 3143-2024, promovido por doña Vanessa Quesada Macías representada por la procuradora doña Gloria Llorente de la Torre y asistida por la letrada doña María de los Ángeles Calzadilla Gamero, contra las resoluciones del Instituto Nacional de la Seguridad Social de 10 y de 31 de agosto de 2021 que desestimaron su petición de acumulación al permiso y prestación por nacimiento y cuidado de hijo que le fue reconocida, el tiempo que le hubiera correspondido al progenitor distinto de la madre biológica en el ámbito de una familia monoparental; la sentencia núm. 94/2023, de 15 de marzo, del Juzgado de lo Social núm. 2 de Badajoz, dictada en autos núm. 609-2021, que desestimó la demanda que interpuso contra el Instituto Nacional de la Seguridad Social; la sentencia núm. 618/2023, de 30 de noviembre, de la Sala de lo Social del Tribunal Superior de Justicia de Extremadura, dictada en autos núm. 470-2023, que desestimó el recurso de suplicación interpuesto contra aquella sentencia, y el auto de 22 de febrero de 2024 de la misma Sala, que tuvo por no interpuesto el recurso de casación para unificación de doctrina previamente anunciado. Ha comparecido y formulado alegaciones la letrada de la administración de la Seguridad Social en nombre del Instituto Nacional de la Seguridad Social (INSS) y de la Tesorería General de la Seguridad Social. También ha comparecido la letrada de la Junta de </w:t>
      </w:r>
      <w:r>
        <w:lastRenderedPageBreak/>
        <w:t>Extremadura. Ha intervenido el Ministerio Fiscal. Ha sido ponente el presidente, don Cándido Conde-Pumpido Tourón.</w:t>
      </w:r>
    </w:p>
    <w:p w14:paraId="4429EDFD" w14:textId="56E292AB" w:rsidR="00A8138F" w:rsidRDefault="00A8138F" w:rsidP="00A8138F">
      <w:pPr>
        <w:pStyle w:val="TextoNormal"/>
      </w:pPr>
    </w:p>
    <w:p w14:paraId="02B4C3A6" w14:textId="77777777" w:rsidR="00A8138F" w:rsidRDefault="00A8138F" w:rsidP="00A8138F">
      <w:pPr>
        <w:pStyle w:val="TextoNormalNegritaCentrado"/>
        <w:keepNext/>
      </w:pPr>
      <w:r>
        <w:t>I. Antecedentes</w:t>
      </w:r>
    </w:p>
    <w:p w14:paraId="11DC1638" w14:textId="434D2C99" w:rsidR="00A8138F" w:rsidRDefault="00A8138F" w:rsidP="00A8138F">
      <w:pPr>
        <w:pStyle w:val="TextoNormalNegritaCentrado"/>
        <w:keepNext/>
      </w:pPr>
    </w:p>
    <w:p w14:paraId="6B602C24" w14:textId="4E6C9CC8" w:rsidR="00A8138F" w:rsidRDefault="00A8138F" w:rsidP="00A8138F">
      <w:pPr>
        <w:pStyle w:val="TextoNormal"/>
      </w:pPr>
      <w:r w:rsidRPr="00A8138F">
        <w:rPr>
          <w:rStyle w:val="NumeroAFNegritaCaracter"/>
        </w:rPr>
        <w:t>1</w:t>
      </w:r>
      <w:r>
        <w:t>. Mediante escrito registrado en este tribunal el 30 de abril de 2024 la representante procesal de doña Vanessa Quesada Macías, bajo la dirección letrada de doña María de los Ángeles Calzadilla Gamero, interpuso recurso de amparo contra las resoluciones administrativas y judiciales referidas en el encabezamiento de esta sentencia.</w:t>
      </w:r>
    </w:p>
    <w:p w14:paraId="7D8E65D0" w14:textId="77777777" w:rsidR="00A8138F" w:rsidRDefault="00A8138F" w:rsidP="00A8138F">
      <w:pPr>
        <w:pStyle w:val="TextoNormal"/>
      </w:pPr>
    </w:p>
    <w:p w14:paraId="701AB08D" w14:textId="77777777" w:rsidR="00A8138F" w:rsidRDefault="00A8138F" w:rsidP="00A8138F">
      <w:pPr>
        <w:pStyle w:val="TextoNormal"/>
      </w:pPr>
      <w:r w:rsidRPr="00A8138F">
        <w:rPr>
          <w:rStyle w:val="NumeroAFNegritaCaracter"/>
        </w:rPr>
        <w:t>2</w:t>
      </w:r>
      <w:r>
        <w:t>. Son hechos relevantes para dirimir el presente recurso de amparo los que a continuación se exponen:</w:t>
      </w:r>
    </w:p>
    <w:p w14:paraId="1067331C" w14:textId="77777777" w:rsidR="00A8138F" w:rsidRDefault="00A8138F" w:rsidP="00A8138F">
      <w:pPr>
        <w:pStyle w:val="TextoNormal"/>
      </w:pPr>
    </w:p>
    <w:p w14:paraId="206352A8" w14:textId="77777777" w:rsidR="00A8138F" w:rsidRDefault="00A8138F" w:rsidP="00A8138F">
      <w:pPr>
        <w:pStyle w:val="TextoNormal"/>
      </w:pPr>
      <w:r>
        <w:t>a) La señora Quesada Macías, empleada del Servicio Extremeño de Salud (SES), madre biológica de una criatura nacida el 28 de julio de 2021, solicitó al Instituto Nacional de la Seguridad Social la prestación por nacimiento y cuidado de menor, lo que le fue reconocido por resolución de la dirección provincial del INSS, con efectos para el periodo comprendido entre el 28 de julio de 2021 y el 16 de noviembre de 2021. El 30 de agosto de 2021 solicitó que se le reconociesen también las dieciséis semanas que hubieran correspondido al progenitor distinto de la madre biológica, alegando que se trataba de una familia monoparental, petición que le fue denegada por resolución de la dirección provincial del INSS de 31 de agosto de 2021. Contra esta denegación planteó en escrito presentado el 6 de octubre de 2021 ante la dirección provincial del INSS reclamación previa a la vía judicial de la que no recibió contestación.</w:t>
      </w:r>
    </w:p>
    <w:p w14:paraId="0ACCBF2E" w14:textId="77777777" w:rsidR="00A8138F" w:rsidRDefault="00A8138F" w:rsidP="00A8138F">
      <w:pPr>
        <w:pStyle w:val="TextoNormal"/>
      </w:pPr>
    </w:p>
    <w:p w14:paraId="7A1CBD49" w14:textId="77777777" w:rsidR="00A8138F" w:rsidRDefault="00A8138F" w:rsidP="00A8138F">
      <w:pPr>
        <w:pStyle w:val="TextoNormal"/>
      </w:pPr>
      <w:r>
        <w:t>b) La actora, disconforme con las decisiones, expresa y por silencio administrativo, adoptadas por la administración de la Seguridad Social, presentó demanda contra el INSS, que hubo de ampliar por exigencias litisconsorciales al SES, en la que interesó se les condenara a que le reconocieran la prestación de nacimiento y cuidado de hijo correspondiente al otro progenitor, por tratarse de una familia monoparental. Invocó para ello la vulneración del principio de igualdad y el interés superior del menor, de los arts. 14 y 39.1 CE, así como normativa nacional e internacional sobre igualdad efectiva de mujeres y hombres, erradicación de toda forma de discriminación de la mujer, y relativa a protección de menores; también alegó la existencia de un vacío legal en el art. 48 del texto refundido de la Ley del estatuto de los trabajadores, aprobado por el Real Decreto Legislativo 2/2015, de 23 de octubre (en adelante LET) que provocaba una situación de desigualdad.</w:t>
      </w:r>
    </w:p>
    <w:p w14:paraId="1D490C4C" w14:textId="77777777" w:rsidR="00A8138F" w:rsidRDefault="00A8138F" w:rsidP="00A8138F">
      <w:pPr>
        <w:pStyle w:val="TextoNormal"/>
      </w:pPr>
    </w:p>
    <w:p w14:paraId="13FEA7F8" w14:textId="77777777" w:rsidR="00A8138F" w:rsidRDefault="00A8138F" w:rsidP="00A8138F">
      <w:pPr>
        <w:pStyle w:val="TextoNormal"/>
      </w:pPr>
      <w:r>
        <w:t>La demanda fue turnada al Juzgado de lo Social núm. 2 de Badajoz que, cumplimentado el trámite procesal oportuno en autos núm. 609-2021, la desestimó íntegramente en sentencia núm. 94/2023, de 15 de marzo. Funda el juzgado su decisión en que la cuestión planteada por la demandante había sido unificada en sentido adverso a su pretensión por la STS 169/2023, de 2 de marzo (recurso de casación para unificación de doctrina núm. 3972-2020; ECLI:ES:TS:2023:783) del Pleno de la Sala de lo Social del Tribunal Supremo, que estableció que no procedía el reconocimiento de una nueva prestación distinta a la ya reconocida y coincidente con la que hubiera correspondido al otro progenitor, de acuerdo con la normativa vigente, que cumple las exigencias derivadas del Derecho de la Unión Europea, de la Constitución y de los acuerdos y tratados internacionales ratificados por España, corres</w:t>
      </w:r>
      <w:r>
        <w:lastRenderedPageBreak/>
        <w:t>pondiendo al legislador determinar el alcance y contenido de la protección que debe dispensarse a este tipo de familias. En virtud de ello, absolvió a las partes demandadas de las pretensiones deducidas en su contra.</w:t>
      </w:r>
    </w:p>
    <w:p w14:paraId="32AB7F4C" w14:textId="77777777" w:rsidR="00A8138F" w:rsidRDefault="00A8138F" w:rsidP="00A8138F">
      <w:pPr>
        <w:pStyle w:val="TextoNormal"/>
      </w:pPr>
    </w:p>
    <w:p w14:paraId="1406E620" w14:textId="77777777" w:rsidR="00A8138F" w:rsidRDefault="00A8138F" w:rsidP="00A8138F">
      <w:pPr>
        <w:pStyle w:val="TextoNormal"/>
      </w:pPr>
      <w:r>
        <w:t>c) La demandante de amparo interpuso recurso de suplicación que fue desestimado en sentencia núm. 618/2023, de 30 de noviembre, dictada por la Sala de lo Social del Tribunal Superior de Justicia de Extremadura en los autos núm. 470-2023. La Sala funda su decisión, al igual que el juzgado, en la doctrina fijada en la sentencia del Tribunal Supremo de 2 de marzo de 2023, que fue ratificada posteriormente en sentencia de 14 de junio de 2023 (ECLI:ES:TS:2023:3053).</w:t>
      </w:r>
    </w:p>
    <w:p w14:paraId="732E1F3F" w14:textId="77777777" w:rsidR="00A8138F" w:rsidRDefault="00A8138F" w:rsidP="00A8138F">
      <w:pPr>
        <w:pStyle w:val="TextoNormal"/>
      </w:pPr>
    </w:p>
    <w:p w14:paraId="157DE4FD" w14:textId="3A619A06" w:rsidR="00A8138F" w:rsidRDefault="00A8138F" w:rsidP="00A8138F">
      <w:pPr>
        <w:pStyle w:val="TextoNormal"/>
      </w:pPr>
      <w:r>
        <w:t>La demandante presentó escrito anunciando su voluntad de interponer recurso de casación para unificación de doctrina, que se tuvo por preparado en diligencia de ordenación de 21 de diciembre de 2023, y en el plazo legalmente establecido presentó escrito de interposición del referido recurso que la Sala, por auto de 22 de febrero de 2024, tuvo por no interpuesto al haber alegado una sentencia de contraste que carecía de la necesaria firmeza (arts. 221.3 y 222.2 de la Ley 36/2011, de 10 de octubre, reguladora de la jurisdicción social). Este auto fue comunicado el día 23 de febrero de 2024 a través de la plataforma LexNet a la abogada de la actora, que ejercía su representación procesal, constando su recepción a las 14:07 horas.</w:t>
      </w:r>
    </w:p>
    <w:p w14:paraId="41D53E89" w14:textId="77777777" w:rsidR="00A8138F" w:rsidRDefault="00A8138F" w:rsidP="00A8138F">
      <w:pPr>
        <w:pStyle w:val="TextoNormal"/>
      </w:pPr>
    </w:p>
    <w:p w14:paraId="585810E0" w14:textId="77777777" w:rsidR="00A8138F" w:rsidRDefault="00A8138F" w:rsidP="00A8138F">
      <w:pPr>
        <w:pStyle w:val="TextoNormal"/>
      </w:pPr>
      <w:r w:rsidRPr="00A8138F">
        <w:rPr>
          <w:rStyle w:val="NumeroAFNegritaCaracter"/>
        </w:rPr>
        <w:t>3</w:t>
      </w:r>
      <w:r>
        <w:t>. La demanda de amparo denuncia la vulneración del derecho a la igualdad y a la no discriminación indirecta por razón de sexo, y a la no discriminación del menor por carecer de otro progenitor distinto de la madre biológica al ser familia monoparental, y por no respetarse el interés superior del menor (art. 39 CE).</w:t>
      </w:r>
    </w:p>
    <w:p w14:paraId="3132AE5C" w14:textId="77777777" w:rsidR="00A8138F" w:rsidRDefault="00A8138F" w:rsidP="00A8138F">
      <w:pPr>
        <w:pStyle w:val="TextoNormal"/>
      </w:pPr>
    </w:p>
    <w:p w14:paraId="14622786" w14:textId="77777777" w:rsidR="00A8138F" w:rsidRDefault="00A8138F" w:rsidP="00A8138F">
      <w:pPr>
        <w:pStyle w:val="TextoNormal"/>
      </w:pPr>
      <w:r>
        <w:t>En el punto VI del apartado dedicado a justificar el cumplimiento de los presupuestos procesales, afirma que “de acuerdo con lo establecido en el art. 43.2 LOTC [Ley Orgánica del Tribunal Constitucional], el presente recurso se interpone dentro del plazo de veinte días a contar desde la notificación del auto por el que se tiene por no interpuesto el recurso de casación para la unificación de doctrina, notificado en fecha 3 de marzo de 2024, dictado por la Sala de lo Social del Tribunal Superior de Justicia de Extremadura”.</w:t>
      </w:r>
    </w:p>
    <w:p w14:paraId="65BD893C" w14:textId="77777777" w:rsidR="00A8138F" w:rsidRDefault="00A8138F" w:rsidP="00A8138F">
      <w:pPr>
        <w:pStyle w:val="TextoNormal"/>
      </w:pPr>
    </w:p>
    <w:p w14:paraId="53B1128D" w14:textId="77777777" w:rsidR="00A8138F" w:rsidRDefault="00A8138F" w:rsidP="00A8138F">
      <w:pPr>
        <w:pStyle w:val="TextoNormal"/>
      </w:pPr>
      <w:r>
        <w:t xml:space="preserve">En relación con el fondo de la pretensión, alega que se ha infringido el principio de no discriminación, lo que conecta con las exigencias establecidas en legislación española y en distintos instrumentos internacionales en materia de protección de los niños, igualdad de mujeres y hombres, y erradicación de toda forma de discriminación de la mujer, considerando que la decisión de denegar la ampliación del permiso y prestación por nacimiento y cuidado de un menor habido en el seno de una familia monoparental representa el incumplimiento de los parámetros exigibles en virtud de dicho conjunto normativo. Sobre este particular alega que la atención, cuidado y desarrollo del menor afectado va a sufrir una clara merma respecto del que van a recibir aquellos otros que están encuadrados dentro de un modelo familiar biparental, y postula por ello una interpretación de los arts. 177 y concordantes del texto refundido de la Ley general de la Seguridad Social aprobado por el Real Decreto Legislativo 8/2015, de 30 de octubre (en adelante LGSS) y 48.4 LET que se acomode a la primacía del interés superior del menor reconocida en nuestra Constitución (art. 39) y en dichas normas nacionales e internacionales, esgrimiendo como argumento de refuerzo determinados pronunciamientos de la Sala de lo Social del Tribunal Supremo que </w:t>
      </w:r>
      <w:r>
        <w:lastRenderedPageBreak/>
        <w:t>realizaron interpretaciones integradoras de la normativa sobre suspensión contractual y prestación por maternidad basadas en el interés superior del menor en el contexto de la “gestación por sustitución”. También invoca precedentes en los que la misma Sala ha interpretado la legislación protectora de la Seguridad Social con perspectiva de género.</w:t>
      </w:r>
    </w:p>
    <w:p w14:paraId="60DABE65" w14:textId="77777777" w:rsidR="00A8138F" w:rsidRDefault="00A8138F" w:rsidP="00A8138F">
      <w:pPr>
        <w:pStyle w:val="TextoNormal"/>
      </w:pPr>
    </w:p>
    <w:p w14:paraId="4C70B6BF" w14:textId="223CFF8B" w:rsidR="00A8138F" w:rsidRDefault="00A8138F" w:rsidP="00A8138F">
      <w:pPr>
        <w:pStyle w:val="TextoNormal"/>
      </w:pPr>
      <w:r>
        <w:t>En atención a lo expuesto, la demanda de amparo solicita que se declare la nulidad de la sentencia núm. 618/2023, de 30 de noviembre, dictada por la Sala de lo Social del Tribunal Superior de Justicia de Extremadura y, en consecuencia, que se reconozca el derecho de la demandante a disfrutar de diez semanas adicionales a la prestación por nacimiento y cuidado de hijo en familia monoparental, con los efectos inherentes a dicho reconocimiento.</w:t>
      </w:r>
    </w:p>
    <w:p w14:paraId="1FDB72BB" w14:textId="77777777" w:rsidR="00A8138F" w:rsidRDefault="00A8138F" w:rsidP="00A8138F">
      <w:pPr>
        <w:pStyle w:val="TextoNormal"/>
      </w:pPr>
    </w:p>
    <w:p w14:paraId="188F47EC" w14:textId="343BC9F2" w:rsidR="00A8138F" w:rsidRDefault="00A8138F" w:rsidP="00A8138F">
      <w:pPr>
        <w:pStyle w:val="TextoNormal"/>
      </w:pPr>
      <w:r w:rsidRPr="00A8138F">
        <w:rPr>
          <w:rStyle w:val="NumeroAFNegritaCaracter"/>
        </w:rPr>
        <w:t>4</w:t>
      </w:r>
      <w:r>
        <w:t>. Mediante providencia de 9 de septiembre de 2024 la Sección Primera de este tribunal acordó admitir a trámite el presente recurso de amparo apreciando que concurría en él la especial trascendencia constitucional que exige el art. 50.1 LOTC como consecuencia de que la posible vulneración del derecho fundamental que se denuncia pudiera provenir de la ley o de otra disposición de carácter general [STC 155/2009, de 25 de junio, FJ 2 c)]. Asimismo, se acordó en la misma providencia recabar de la Sala de lo Social del Tribunal Superior de Justicia de Extremadura la remisión de certificación o fotocopia adverada de las actuaciones correspondientes al recurso de suplicación núm. 470-2023, y del Juzgado de lo Social núm. 2 de Badajoz la remisión de certificación o fotocopia adverada de las actuaciones correspondientes a los autos de Seguridad Social núm. 609-2021, debiendo previamente emplazarse, para que en el plazo de diez días pudieran comparecer, si lo desearan, en el recurso de amparo a quienes hubieran sido parte en el procedimiento, excepto la parte recurrente en amparo.</w:t>
      </w:r>
    </w:p>
    <w:p w14:paraId="5F49C9F6" w14:textId="77777777" w:rsidR="00A8138F" w:rsidRDefault="00A8138F" w:rsidP="00A8138F">
      <w:pPr>
        <w:pStyle w:val="TextoNormal"/>
      </w:pPr>
    </w:p>
    <w:p w14:paraId="227EE271" w14:textId="3B9E1663" w:rsidR="00A8138F" w:rsidRDefault="00A8138F" w:rsidP="00A8138F">
      <w:pPr>
        <w:pStyle w:val="TextoNormal"/>
      </w:pPr>
      <w:r w:rsidRPr="00A8138F">
        <w:rPr>
          <w:rStyle w:val="NumeroAFNegritaCaracter"/>
        </w:rPr>
        <w:t>5</w:t>
      </w:r>
      <w:r>
        <w:t>. Por diligencia de ordenación de 27 de septiembre de 2024 se tuvieron por recibidas las actuaciones correspondientes al recurso de suplicación núm. 470-2023 de la Sala de lo Social del Tribunal Superior de Justicia de Extremadura y los autos núm. 609-2021 del Juzgado de lo Social núm. 2 de Badajoz, los cuales se incorporaron al procedimiento.</w:t>
      </w:r>
    </w:p>
    <w:p w14:paraId="7FE205E2" w14:textId="77777777" w:rsidR="00A8138F" w:rsidRDefault="00A8138F" w:rsidP="00A8138F">
      <w:pPr>
        <w:pStyle w:val="TextoNormal"/>
      </w:pPr>
    </w:p>
    <w:p w14:paraId="711D5660" w14:textId="0D878415" w:rsidR="00A8138F" w:rsidRDefault="00A8138F" w:rsidP="00A8138F">
      <w:pPr>
        <w:pStyle w:val="TextoNormal"/>
      </w:pPr>
      <w:r w:rsidRPr="00A8138F">
        <w:rPr>
          <w:rStyle w:val="NumeroAFNegritaCaracter"/>
        </w:rPr>
        <w:t>6</w:t>
      </w:r>
      <w:r>
        <w:t>. El 4 de octubre de 2024 el letrado de la Junta de Extremadura presentó escrito manifestando su voluntad de personarse en el procedimiento de amparo en la representación que ostentaba.</w:t>
      </w:r>
    </w:p>
    <w:p w14:paraId="74B7B5E3" w14:textId="77777777" w:rsidR="00A8138F" w:rsidRDefault="00A8138F" w:rsidP="00A8138F">
      <w:pPr>
        <w:pStyle w:val="TextoNormal"/>
      </w:pPr>
    </w:p>
    <w:p w14:paraId="4538484D" w14:textId="1B3A7F9A" w:rsidR="00A8138F" w:rsidRDefault="00A8138F" w:rsidP="00A8138F">
      <w:pPr>
        <w:pStyle w:val="TextoNormal"/>
      </w:pPr>
      <w:r w:rsidRPr="00A8138F">
        <w:rPr>
          <w:rStyle w:val="NumeroAFNegritaCaracter"/>
        </w:rPr>
        <w:t>7</w:t>
      </w:r>
      <w:r>
        <w:t>. El 9 de octubre de 2024 la letrada de la administración de la Seguridad Social, en nombre y representación del INSS y de la Tesorería General de la Seguridad Social, presentó escrito manifestando su voluntad de personarse en el procedimiento de amparo.</w:t>
      </w:r>
    </w:p>
    <w:p w14:paraId="195F7703" w14:textId="77777777" w:rsidR="00A8138F" w:rsidRDefault="00A8138F" w:rsidP="00A8138F">
      <w:pPr>
        <w:pStyle w:val="TextoNormal"/>
      </w:pPr>
    </w:p>
    <w:p w14:paraId="12F8025E" w14:textId="6AFD5661" w:rsidR="00A8138F" w:rsidRDefault="00A8138F" w:rsidP="00A8138F">
      <w:pPr>
        <w:pStyle w:val="TextoNormal"/>
      </w:pPr>
      <w:r w:rsidRPr="00A8138F">
        <w:rPr>
          <w:rStyle w:val="NumeroAFNegritaCaracter"/>
        </w:rPr>
        <w:t>8</w:t>
      </w:r>
      <w:r>
        <w:t>. Por diligencia de ordenación de 21 de octubre de 2024 se tuvo por personados a los letrados del INSS y de la Junta de Extremadura en la representación que ostentaban, y se acordó, a tenor de lo dispuesto en el art. 52 LOTC, dar vista de las actuaciones y conceder un plazo de veinte días al Ministerio Fiscal y a las partes personadas para que presentaran las alegaciones que a su derecho conviniera.</w:t>
      </w:r>
    </w:p>
    <w:p w14:paraId="3BFDE144" w14:textId="77777777" w:rsidR="00A8138F" w:rsidRDefault="00A8138F" w:rsidP="00A8138F">
      <w:pPr>
        <w:pStyle w:val="TextoNormal"/>
      </w:pPr>
    </w:p>
    <w:p w14:paraId="4671D10A" w14:textId="176D41E7" w:rsidR="00A8138F" w:rsidRDefault="00A8138F" w:rsidP="00A8138F">
      <w:pPr>
        <w:pStyle w:val="TextoNormal"/>
      </w:pPr>
      <w:r w:rsidRPr="00A8138F">
        <w:rPr>
          <w:rStyle w:val="NumeroAFNegritaCaracter"/>
        </w:rPr>
        <w:t>9</w:t>
      </w:r>
      <w:r>
        <w:t>. El 22 de octubre de 2024 presentó escrito de alegaciones la representación procesal de la demandante en el que se ratificó íntegramente en el escrito de demanda.</w:t>
      </w:r>
    </w:p>
    <w:p w14:paraId="1227FB8D" w14:textId="77777777" w:rsidR="00A8138F" w:rsidRDefault="00A8138F" w:rsidP="00A8138F">
      <w:pPr>
        <w:pStyle w:val="TextoNormal"/>
      </w:pPr>
    </w:p>
    <w:p w14:paraId="396A1806" w14:textId="77777777" w:rsidR="00A8138F" w:rsidRDefault="00A8138F" w:rsidP="00A8138F">
      <w:pPr>
        <w:pStyle w:val="TextoNormal"/>
      </w:pPr>
      <w:r w:rsidRPr="00A8138F">
        <w:rPr>
          <w:rStyle w:val="NumeroAFNegritaCaracter"/>
        </w:rPr>
        <w:t>10</w:t>
      </w:r>
      <w:r>
        <w:t>. El 14 de noviembre de 2024 presentó escrito de alegaciones la letrada del INSS en el que solicitó la desestimación de la demanda y, subsidiariamente, para el caso de su estimación, que la misma sea parcial, con reconocimiento de un aumento de la duración del permiso laboral y correlativa prestación de la Seguridad Social, tras el agotamiento de las primeras dieciséis semanas, no superior a las diez semanas.</w:t>
      </w:r>
    </w:p>
    <w:p w14:paraId="47E7BCA1" w14:textId="77777777" w:rsidR="00A8138F" w:rsidRDefault="00A8138F" w:rsidP="00A8138F">
      <w:pPr>
        <w:pStyle w:val="TextoNormal"/>
      </w:pPr>
    </w:p>
    <w:p w14:paraId="05E4B9E1" w14:textId="77777777" w:rsidR="00A8138F" w:rsidRDefault="00A8138F" w:rsidP="00A8138F">
      <w:pPr>
        <w:pStyle w:val="TextoNormal"/>
      </w:pPr>
      <w:r>
        <w:t>Destaca en primer lugar que la regulación del permiso y de la prestación por nacimiento y cuidado de hijo recogida en los arts. 48.4 LET y 177 a 179 LGSS, emanada del Real Decreto-ley 6/2019, de 1 de marzo, de medidas urgentes para garantía de la igualdad de trato y de oportunidades entre mujeres y hombres en el empleo y la ocupación, para conseguir una igualdad real y efectiva entre hombres y mujeres, equipara la duración de los permisos de ambos progenitores, dieciséis semanas, con el fin de promover la conciliación de la vida personal y familiar y el principio de corresponsabilidad de ambos, configurándose este derecho como individual, personal e intransferible.</w:t>
      </w:r>
    </w:p>
    <w:p w14:paraId="61CA9D7D" w14:textId="77777777" w:rsidR="00A8138F" w:rsidRDefault="00A8138F" w:rsidP="00A8138F">
      <w:pPr>
        <w:pStyle w:val="TextoNormal"/>
      </w:pPr>
    </w:p>
    <w:p w14:paraId="073234FA" w14:textId="0E1E381F" w:rsidR="00A8138F" w:rsidRDefault="00A8138F" w:rsidP="00A8138F">
      <w:pPr>
        <w:pStyle w:val="TextoNormal"/>
      </w:pPr>
      <w:r>
        <w:t>Reconoce, no obstante, que la STC 140/2024, de 6 de noviembre, ha declarado inconstitucionales los arts. 48.4 LET y 177 LGSS, aunque sin declarar su nulidad, estableciendo que en tanto el legislador no se pronuncie al respecto, en las familias monoparentales el permiso del art. 48.4 LET y en relación con él, el art. 177 LGSS, ha de ser interpretado en el sentido de adicionarse al permiso para la madre biológica (dieciséis semanas) el previsto para el progenitor distinto (diez semanas, al excluirse las seis primeras).</w:t>
      </w:r>
    </w:p>
    <w:p w14:paraId="31390D17" w14:textId="77777777" w:rsidR="00A8138F" w:rsidRDefault="00A8138F" w:rsidP="00A8138F">
      <w:pPr>
        <w:pStyle w:val="TextoNormal"/>
      </w:pPr>
    </w:p>
    <w:p w14:paraId="071BE35B" w14:textId="77777777" w:rsidR="00A8138F" w:rsidRDefault="00A8138F" w:rsidP="00A8138F">
      <w:pPr>
        <w:pStyle w:val="TextoNormal"/>
      </w:pPr>
      <w:r w:rsidRPr="00A8138F">
        <w:rPr>
          <w:rStyle w:val="NumeroAFNegritaCaracter"/>
        </w:rPr>
        <w:t>11</w:t>
      </w:r>
      <w:r>
        <w:t>. El 11 de diciembre de 2024 presentó escrito de alegaciones la fiscal ante el Tribunal Constitucional que solicitó, con carácter principal, la inadmisión de la demanda de amparo por extemporánea, y de manera subsidiaria, su estimación por haberse vulnerado el derecho de la demandante y de su hijo a no ser discriminados.</w:t>
      </w:r>
    </w:p>
    <w:p w14:paraId="65DBA7F7" w14:textId="77777777" w:rsidR="00A8138F" w:rsidRDefault="00A8138F" w:rsidP="00A8138F">
      <w:pPr>
        <w:pStyle w:val="TextoNormal"/>
      </w:pPr>
    </w:p>
    <w:p w14:paraId="7AC93722" w14:textId="77777777" w:rsidR="00A8138F" w:rsidRDefault="00A8138F" w:rsidP="00A8138F">
      <w:pPr>
        <w:pStyle w:val="TextoNormal"/>
      </w:pPr>
      <w:r>
        <w:t>La fiscal nada objeta al agotamiento de la vía judicial previa por parte de la demandante de amparo, que considera correcto al considerar que la decisión de la actora de no interponer recurso de queja contra el auto de 22 de febrero de 2024, que le denegó la interposición de recurso de casación para unificación de doctrina, respondió a las escasas posibilidades de éxito que hubiera tenido dicho recurso, y porque tampoco era preciso promover incidente de nulidad de actuaciones habida cuenta de que la lesión no se imputaba directamente a la resolución judicial, tomando en consideración asimismo la flexibilidad de criterio que fue introducida por la STC 112/2019, de 3 de octubre, FJ 3 c), en la apreciación de este requisito procesal.</w:t>
      </w:r>
    </w:p>
    <w:p w14:paraId="1D0A5549" w14:textId="77777777" w:rsidR="00A8138F" w:rsidRDefault="00A8138F" w:rsidP="00A8138F">
      <w:pPr>
        <w:pStyle w:val="TextoNormal"/>
      </w:pPr>
    </w:p>
    <w:p w14:paraId="38E9D7FE" w14:textId="77777777" w:rsidR="00A8138F" w:rsidRDefault="00A8138F" w:rsidP="00A8138F">
      <w:pPr>
        <w:pStyle w:val="TextoNormal"/>
      </w:pPr>
      <w:r>
        <w:t>La fiscal considera, sin embargo, que la demanda es extemporánea, por no haber cumplido en su interposición el plazo de veinte días exigido en el art. 43.2 LOTC, pues el auto de 22 de febrero de 2024 le fue comunicado a la representación procesal de la actora mediante el sistema LexNet el día 23 de febrero de 2024, por lo que el plazo habría finalizado el 25 de marzo a las 15:00 horas, mientras que la demanda fue presentada en el registro electrónico del Tribunal el día 30 de abril.</w:t>
      </w:r>
    </w:p>
    <w:p w14:paraId="461CECAA" w14:textId="77777777" w:rsidR="00A8138F" w:rsidRDefault="00A8138F" w:rsidP="00A8138F">
      <w:pPr>
        <w:pStyle w:val="TextoNormal"/>
      </w:pPr>
    </w:p>
    <w:p w14:paraId="020704B1" w14:textId="77777777" w:rsidR="00A8138F" w:rsidRDefault="00A8138F" w:rsidP="00A8138F">
      <w:pPr>
        <w:pStyle w:val="TextoNormal"/>
      </w:pPr>
      <w:r>
        <w:t>En cuanto al fondo de la pretensión de amparo, para el caso de que no fuera apreciado el óbice, la fiscal interesa su estimación, porque la denegación de la ampliación del permiso y prestación por nacimiento y cuidado de hijo en el seno de una familia monoparental deter</w:t>
      </w:r>
      <w:r>
        <w:lastRenderedPageBreak/>
        <w:t>mina la producción de una discriminación del hijo por razón de su nacimiento. Interesa por ello que se declare la nulidad de las resoluciones administrativas y judiciales impugnadas y que por el INSS se dicte una nueva resolución que sea conforme con el derecho fundamental.</w:t>
      </w:r>
    </w:p>
    <w:p w14:paraId="09769E14" w14:textId="77777777" w:rsidR="00A8138F" w:rsidRDefault="00A8138F" w:rsidP="00A8138F">
      <w:pPr>
        <w:pStyle w:val="TextoNormal"/>
      </w:pPr>
    </w:p>
    <w:p w14:paraId="5283E2A5" w14:textId="60101C67" w:rsidR="00A8138F" w:rsidRDefault="00A8138F" w:rsidP="00A8138F">
      <w:pPr>
        <w:pStyle w:val="TextoNormal"/>
      </w:pPr>
      <w:r>
        <w:t>Funda su criterio en las razones desarrolladas en la STC 140/2024, de 6 de noviembre, dictada en la cuestión de inconstitucionalidad núm. 6694-2023, que llevaron a concluir que eran inconstitucionales los arts. 48.4 LET y 177 LGSS por generar una discriminación del hijo nacido en el seno de una familia monoparental al no reconocerse a la madre la posibilidad de acumular el periodo de permiso y prestación que hubiera correspondido al otro progenitor, lo que supone que los menores nacidos en el seno de una familia monoparental podrán disfrutar de un periodo de cuidado significativamente inferior a los nacidos en familias biparentales. Se proyecta así la doctrina constitucional sobre prohibición de situaciones discriminatorias derivadas de diferencias de trato entre hijos (matrimoniales y no matrimoniales, naturales y adoptivos, comunes de la pareja respecto de los no comunes) a las diferencias entre hijos por razón del modelo de familia —biparental y monoparental— en el que hayan nacido, en tanto que esa diferencia trae causa también del nacimiento, aunque en este caso sea por un determinado contexto familiar. A idéntica conclusión conduce una interpretación sistemática del art. 14 CE con la protección del interés superior del menor del art. 39.1 CE. Se atiene asimismo al criterio de interpretación provisional fijado en la sentencia de que mientras el legislador no reforme dichos artículos, deben interpretarse en el sentido de adicionarse al permiso de dieciséis semanas de la madre biológica, el previsto para el progenitor distinto, de diez semanas, al tener que excluirse las seis primeras semanas que son de disfrute conjunto. Sostiene por ello que el INSS debe dictar una nueva resolución que sea conforme con la doctrina establecida en la STC de 6 de noviembre de 2024.</w:t>
      </w:r>
    </w:p>
    <w:p w14:paraId="5C237B0B" w14:textId="77777777" w:rsidR="00A8138F" w:rsidRDefault="00A8138F" w:rsidP="00A8138F">
      <w:pPr>
        <w:pStyle w:val="TextoNormal"/>
      </w:pPr>
    </w:p>
    <w:p w14:paraId="68A46EFE" w14:textId="0742FD0A" w:rsidR="00A8138F" w:rsidRDefault="00A8138F" w:rsidP="00A8138F">
      <w:pPr>
        <w:pStyle w:val="TextoNormal"/>
      </w:pPr>
      <w:r w:rsidRPr="00A8138F">
        <w:rPr>
          <w:rStyle w:val="NumeroAFNegritaCaracter"/>
        </w:rPr>
        <w:t>12</w:t>
      </w:r>
      <w:r>
        <w:t>. Por diligencia de ordenación de 12 de diciembre de 2024 se tuvieron por recibidos los escritos de alegaciones de la letrada del INSS y de la fiscal, quedando pendiente el recurso para deliberación cuando por turno correspondiera.</w:t>
      </w:r>
    </w:p>
    <w:p w14:paraId="759A9670" w14:textId="77777777" w:rsidR="00A8138F" w:rsidRDefault="00A8138F" w:rsidP="00A8138F">
      <w:pPr>
        <w:pStyle w:val="TextoNormal"/>
      </w:pPr>
    </w:p>
    <w:p w14:paraId="3EBDADF5" w14:textId="0DC75D7C" w:rsidR="00A8138F" w:rsidRDefault="00A8138F" w:rsidP="00A8138F">
      <w:pPr>
        <w:pStyle w:val="TextoNormal"/>
      </w:pPr>
      <w:r w:rsidRPr="00A8138F">
        <w:rPr>
          <w:rStyle w:val="NumeroAFNegritaCaracter"/>
        </w:rPr>
        <w:t>13</w:t>
      </w:r>
      <w:r>
        <w:t>. Mediante providencia de 9 de enero de 2025 se señaló para deliberación y votación de la presente sentencia el día 13 del mismo mes y año.</w:t>
      </w:r>
    </w:p>
    <w:p w14:paraId="7D50DF81" w14:textId="77777777" w:rsidR="00A8138F" w:rsidRDefault="00A8138F" w:rsidP="00A8138F">
      <w:pPr>
        <w:pStyle w:val="TextoNormal"/>
      </w:pPr>
    </w:p>
    <w:p w14:paraId="416A6EBF" w14:textId="77777777" w:rsidR="00A8138F" w:rsidRDefault="00A8138F" w:rsidP="00A8138F">
      <w:pPr>
        <w:pStyle w:val="TextoNormalNegritaCentrado"/>
        <w:keepNext/>
      </w:pPr>
      <w:r>
        <w:t>II. Fundamentos jurídicos</w:t>
      </w:r>
    </w:p>
    <w:p w14:paraId="3D0CD03C" w14:textId="2F9D5248" w:rsidR="00A8138F" w:rsidRDefault="00A8138F" w:rsidP="00A8138F">
      <w:pPr>
        <w:pStyle w:val="TextoNormalNegritaCentrado"/>
        <w:keepNext/>
      </w:pPr>
    </w:p>
    <w:p w14:paraId="30E18328" w14:textId="77777777" w:rsidR="00A8138F" w:rsidRDefault="00A8138F" w:rsidP="00A8138F">
      <w:pPr>
        <w:pStyle w:val="TextoNormal"/>
      </w:pPr>
      <w:r w:rsidRPr="00A8138F">
        <w:rPr>
          <w:rStyle w:val="NumeroAFNegritaCaracter"/>
        </w:rPr>
        <w:t>1</w:t>
      </w:r>
      <w:r>
        <w:t xml:space="preserve">. </w:t>
      </w:r>
      <w:r w:rsidRPr="00A8138F">
        <w:rPr>
          <w:i/>
        </w:rPr>
        <w:t>Objeto del recurso de amparo y posiciones de las partes</w:t>
      </w:r>
    </w:p>
    <w:p w14:paraId="59265D0B" w14:textId="77777777" w:rsidR="00A8138F" w:rsidRDefault="00A8138F" w:rsidP="00A8138F">
      <w:pPr>
        <w:pStyle w:val="TextoNormal"/>
      </w:pPr>
    </w:p>
    <w:p w14:paraId="108430F7" w14:textId="77777777" w:rsidR="00A8138F" w:rsidRDefault="00A8138F" w:rsidP="00A8138F">
      <w:pPr>
        <w:pStyle w:val="TextoNormal"/>
      </w:pPr>
      <w:r>
        <w:t>La demandante de amparo impugna la resolución adoptada el 31 de agosto de 2021 por el INSS, que fue confirmada posteriormente por la jurisdicción social, que desestimó su petición de que se acumulase al permiso y prestación por nacimiento y cuidado de hijo que le correspondía como madre del menor nacido, el periodo que le hubiera correspondido al progenitor distinto de la madre, por tratarse de una familia monoparental. Sostiene que la desestimación de su solicitud conlleva la vulneración del principio de igualdad garantizado en el art. 14 CE porque han conducido a que ella sufra una discriminación indirecta por razón de sexo, y el menor nacido una discriminación por razón de nacimiento.</w:t>
      </w:r>
    </w:p>
    <w:p w14:paraId="3B123EBD" w14:textId="77777777" w:rsidR="00A8138F" w:rsidRDefault="00A8138F" w:rsidP="00A8138F">
      <w:pPr>
        <w:pStyle w:val="TextoNormal"/>
      </w:pPr>
    </w:p>
    <w:p w14:paraId="01B9EFC1" w14:textId="77777777" w:rsidR="00A8138F" w:rsidRDefault="00A8138F" w:rsidP="00A8138F">
      <w:pPr>
        <w:pStyle w:val="TextoNormal"/>
      </w:pPr>
      <w:r>
        <w:lastRenderedPageBreak/>
        <w:t xml:space="preserve">La fiscal ante el Tribunal Constitucional en su escrito de alegaciones interesa la inadmisión del recurso de amparo por haberse interpuesto cuando ya había vencido el plazo establecido en el art. 43.2 LOTC, atendiendo a la fecha en que le fue notificada a la actora la resolución que puso fin al procedimiento judicial, el auto de la Sala de lo Social del Tribunal Superior de Justicia de Extremadura de 22 de febrero de 2024. Subsidiariamente, para el caso de no apreciarse el citado óbice procesal, interesa que el recurso de amparo sea estimado en atención a la inconstitucionalidad </w:t>
      </w:r>
      <w:r w:rsidRPr="00A8138F">
        <w:rPr>
          <w:i/>
        </w:rPr>
        <w:t>ex silentio</w:t>
      </w:r>
      <w:r>
        <w:t xml:space="preserve"> de los arts. 48.4 LET y 177 LGSS declarada en la STC 140/2024, de 6 de noviembre, y la interpretación provisional auspiciada en dicho pronunciamiento en tanto no se produzca su reforma por el legislador.</w:t>
      </w:r>
    </w:p>
    <w:p w14:paraId="185D1BC2" w14:textId="77777777" w:rsidR="00A8138F" w:rsidRDefault="00A8138F" w:rsidP="00A8138F">
      <w:pPr>
        <w:pStyle w:val="TextoNormal"/>
      </w:pPr>
    </w:p>
    <w:p w14:paraId="44221E92" w14:textId="2F51CA10" w:rsidR="00A8138F" w:rsidRDefault="00A8138F" w:rsidP="00A8138F">
      <w:pPr>
        <w:pStyle w:val="TextoNormal"/>
      </w:pPr>
      <w:r>
        <w:t>La letrada del INSS interesa la desestimación del recurso de amparo argumentando el carácter personal e intransferible del derecho a la prestación y, subsidiariamente, a la luz de la STC 140/2024, una estimación parcial de la pretensión deducida que limite la ampliación del periodo de permiso y prestación a diez semanas.</w:t>
      </w:r>
    </w:p>
    <w:p w14:paraId="72FBAE7C" w14:textId="77777777" w:rsidR="00A8138F" w:rsidRDefault="00A8138F" w:rsidP="00A8138F">
      <w:pPr>
        <w:pStyle w:val="TextoNormal"/>
      </w:pPr>
    </w:p>
    <w:p w14:paraId="3B95D4BF" w14:textId="77777777" w:rsidR="00A8138F" w:rsidRDefault="00A8138F" w:rsidP="00A8138F">
      <w:pPr>
        <w:pStyle w:val="TextoNormal"/>
      </w:pPr>
      <w:r w:rsidRPr="00A8138F">
        <w:rPr>
          <w:rStyle w:val="NumeroAFNegritaCaracter"/>
        </w:rPr>
        <w:t>2</w:t>
      </w:r>
      <w:r>
        <w:t xml:space="preserve">. </w:t>
      </w:r>
      <w:r w:rsidRPr="00A8138F">
        <w:rPr>
          <w:i/>
        </w:rPr>
        <w:t>Examen de la causa de inadmisibilidad alegada</w:t>
      </w:r>
    </w:p>
    <w:p w14:paraId="317AE04E" w14:textId="77777777" w:rsidR="00A8138F" w:rsidRDefault="00A8138F" w:rsidP="00A8138F">
      <w:pPr>
        <w:pStyle w:val="TextoNormal"/>
      </w:pPr>
    </w:p>
    <w:p w14:paraId="6CF4E1B8" w14:textId="77777777" w:rsidR="00A8138F" w:rsidRDefault="00A8138F" w:rsidP="00A8138F">
      <w:pPr>
        <w:pStyle w:val="TextoNormal"/>
      </w:pPr>
      <w:r>
        <w:t>La solicitud deducida por la fiscal ante el Tribunal Constitucional en su escrito de alegaciones de inadmisión de la demanda de amparo por haber sido presentada fuera del plazo de veinte días establecido en el art. 43.2 LOTC exige un examen preferente, pues su estimación impediría a este tribunal entrar en el examen de su fondo. Conforme a constante doctrina constitucional, de la que es representativa la STC 33/2023, de 18 de abril, FJ 2,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w:t>
      </w:r>
    </w:p>
    <w:p w14:paraId="2FFD7C5A" w14:textId="77777777" w:rsidR="00A8138F" w:rsidRDefault="00A8138F" w:rsidP="00A8138F">
      <w:pPr>
        <w:pStyle w:val="TextoNormal"/>
      </w:pPr>
    </w:p>
    <w:p w14:paraId="2DE12817" w14:textId="77777777" w:rsidR="00A8138F" w:rsidRDefault="00A8138F" w:rsidP="00A8138F">
      <w:pPr>
        <w:pStyle w:val="TextoNormal"/>
      </w:pPr>
      <w:r>
        <w:t>Así ocurre en el presente caso, en el que la demandante impugna, con expresa invocación del art. 43 LOTC, la decisión del INSS de no reconocerle la ampliación de la prestación por nacimiento y cuidado de hijo por el hecho de tratarse de una familia monoparental, decisión que considera discriminatoria tanto para ella, por razón de sexo, como para el menor, por razón de nacimiento, ofreciendo un fundamento impugnatorio de las ulteriores resoluciones judiciales centrado exclusivamente en el hecho de que no habrían proporcionado el debido reconocimiento y reparación de la vulneración sufrida.</w:t>
      </w:r>
    </w:p>
    <w:p w14:paraId="728A1FFD" w14:textId="77777777" w:rsidR="00A8138F" w:rsidRDefault="00A8138F" w:rsidP="00A8138F">
      <w:pPr>
        <w:pStyle w:val="TextoNormal"/>
      </w:pPr>
    </w:p>
    <w:p w14:paraId="68035C1A" w14:textId="77777777" w:rsidR="00A8138F" w:rsidRDefault="00A8138F" w:rsidP="00A8138F">
      <w:pPr>
        <w:pStyle w:val="TextoNormal"/>
      </w:pPr>
      <w:r>
        <w:t>Examinado el testimonio de las actuaciones correspondientes al recurso de suplicación núm. 470-2023 remitido por la Sala de lo Social del Tribunal Superior de Justicia de Extremadura, es inevitable otorgar la razón a la representante del Ministerio Público, pues del mismo se desprende que la resolución judicial que puso fin al procedimiento, el auto de 22 de febrero de 2024, no fue notificada a la representación procesal de la demandante el día 3 de abril de 2024, como erróneamente se hace constar en el escrito iniciador, sino en una fecha anterior, existiendo constancia en actuaciones de que el auto fue comunicado a la abogada de la recurrente, que ostentaba su representación procesal, por el sistema LexNet el día 23 de febrero de 2024, a las 14:06 horas, siendo retirada la comunicación por su destinataria el mismo día a las 14:07 horas, por lo que el plazo de caducidad de veinte días establecido en el art. 43.2 LOTC para la interposición de la demanda constitucional de am</w:t>
      </w:r>
      <w:r>
        <w:lastRenderedPageBreak/>
        <w:t>paro venció el día 25 de marzo de 2024 a las 15:00 horas, con bastante antelación, por lo tanto, a la fecha de presentación de la demanda de amparo en el registro de este tribunal, el 30 de abril de 2024.</w:t>
      </w:r>
    </w:p>
    <w:p w14:paraId="3AA84C8E" w14:textId="77777777" w:rsidR="00A8138F" w:rsidRDefault="00A8138F" w:rsidP="00A8138F">
      <w:pPr>
        <w:pStyle w:val="TextoNormal"/>
      </w:pPr>
    </w:p>
    <w:p w14:paraId="0AB4568F" w14:textId="0B329E8E" w:rsidR="00A8138F" w:rsidRDefault="00A8138F" w:rsidP="00A8138F">
      <w:pPr>
        <w:pStyle w:val="TextoNormal"/>
      </w:pPr>
      <w:r>
        <w:t>La estimación del óbice procesal planteado por la fiscal ante el Tribunal Constitucional impide entrar en el examen del fondo de la pretensión de amparo.</w:t>
      </w:r>
    </w:p>
    <w:p w14:paraId="0E9D0283" w14:textId="77777777" w:rsidR="00A8138F" w:rsidRDefault="00A8138F" w:rsidP="00A8138F">
      <w:pPr>
        <w:pStyle w:val="TextoNormal"/>
      </w:pPr>
    </w:p>
    <w:p w14:paraId="42E8E4D0" w14:textId="77777777" w:rsidR="00A8138F" w:rsidRDefault="00A8138F" w:rsidP="00A8138F">
      <w:pPr>
        <w:pStyle w:val="TextoNormalCentrado"/>
        <w:keepNext/>
      </w:pPr>
      <w:r>
        <w:t>FALLO</w:t>
      </w:r>
    </w:p>
    <w:p w14:paraId="24802D19" w14:textId="644EED0C" w:rsidR="00A8138F" w:rsidRDefault="00A8138F" w:rsidP="00A8138F">
      <w:pPr>
        <w:pStyle w:val="TextoNormalCentrado"/>
        <w:keepNext/>
      </w:pPr>
    </w:p>
    <w:p w14:paraId="2C8F1F71" w14:textId="09B6084C" w:rsidR="00A8138F" w:rsidRDefault="00A8138F" w:rsidP="00A8138F">
      <w:pPr>
        <w:pStyle w:val="TextoNormal"/>
      </w:pPr>
      <w:r>
        <w:t>En atención a todo lo expuesto, el Tribunal Constitucional, por la autoridad que le confiere la Constitución de la Nación española, ha decidido inadmitir el recurso de amparo formulado por doña Vanessa Quesada Macías.</w:t>
      </w:r>
    </w:p>
    <w:p w14:paraId="02735C24" w14:textId="77777777" w:rsidR="00A8138F" w:rsidRDefault="00A8138F" w:rsidP="00A8138F">
      <w:pPr>
        <w:pStyle w:val="TextoNormal"/>
      </w:pPr>
    </w:p>
    <w:p w14:paraId="5545E265" w14:textId="77777777" w:rsidR="00A8138F" w:rsidRDefault="00A8138F" w:rsidP="00A8138F">
      <w:pPr>
        <w:pStyle w:val="TextoNormal"/>
      </w:pPr>
      <w:r>
        <w:t>Publíquese esta sentencia en el “Boletín Oficial del Estado”.</w:t>
      </w:r>
    </w:p>
    <w:p w14:paraId="44EDB6C5" w14:textId="77777777" w:rsidR="00A8138F" w:rsidRDefault="00A8138F" w:rsidP="00A8138F">
      <w:pPr>
        <w:pStyle w:val="TextoNormal"/>
      </w:pPr>
      <w:r>
        <w:t>Dada en Madrid, a trece de enero de dos mil veinticinco.</w:t>
      </w:r>
    </w:p>
    <w:p w14:paraId="29FEE314" w14:textId="325A3B6D" w:rsidR="00A8138F" w:rsidRDefault="00A8138F">
      <w:pPr>
        <w:spacing w:after="160" w:line="278" w:lineRule="auto"/>
        <w:rPr>
          <w:rFonts w:ascii="Times New Roman" w:eastAsia="Times New Roman" w:hAnsi="Times New Roman" w:cs="Times New Roman"/>
          <w:sz w:val="24"/>
          <w:szCs w:val="24"/>
          <w:lang w:eastAsia="es-ES"/>
        </w:rPr>
      </w:pPr>
      <w:r>
        <w:br w:type="page"/>
      </w:r>
    </w:p>
    <w:p w14:paraId="1C806C2B" w14:textId="77777777" w:rsidR="00A8138F" w:rsidRDefault="00A8138F" w:rsidP="00A8138F">
      <w:pPr>
        <w:pStyle w:val="TtuloResolucin"/>
      </w:pPr>
      <w:bookmarkStart w:id="14" w:name="SENTENCIA_2025_12"/>
      <w:r>
        <w:lastRenderedPageBreak/>
        <w:t>SENTENCIA 12/2025, de 15 de enero de 2025</w:t>
      </w:r>
    </w:p>
    <w:bookmarkEnd w:id="14"/>
    <w:p w14:paraId="4DAAA5D8" w14:textId="77777777" w:rsidR="00A8138F" w:rsidRDefault="00A8138F" w:rsidP="00A8138F">
      <w:pPr>
        <w:pStyle w:val="TtuloResolucin"/>
      </w:pPr>
      <w:r>
        <w:t>Pleno</w:t>
      </w:r>
    </w:p>
    <w:p w14:paraId="2B5E0CB0" w14:textId="77777777" w:rsidR="00A8138F" w:rsidRDefault="00A8138F" w:rsidP="00A8138F">
      <w:pPr>
        <w:pStyle w:val="TtuloBOE"/>
      </w:pPr>
      <w:r>
        <w:t>(BOE núm. 41, de 17 de febrero de 2025)</w:t>
      </w:r>
    </w:p>
    <w:p w14:paraId="473F11E3" w14:textId="77777777" w:rsidR="00A8138F" w:rsidRDefault="00A8138F" w:rsidP="00A8138F">
      <w:pPr>
        <w:pStyle w:val="TextoNormalCentrado"/>
      </w:pPr>
      <w:r>
        <w:t>ECLI:ES:TC:2025:12</w:t>
      </w:r>
    </w:p>
    <w:p w14:paraId="39C4CE47" w14:textId="4E2A48FE" w:rsidR="00A8138F" w:rsidRDefault="00A8138F" w:rsidP="00A8138F">
      <w:pPr>
        <w:pStyle w:val="TextoNormalCentrado"/>
      </w:pPr>
    </w:p>
    <w:p w14:paraId="7B049629" w14:textId="77777777" w:rsidR="00A8138F" w:rsidRDefault="00A8138F" w:rsidP="00A8138F">
      <w:pPr>
        <w:pStyle w:val="SntesisDescriptiva"/>
      </w:pPr>
      <w:r>
        <w:t>Cuestión interna de inconstitucionalidad 6596-2021. Planteada por la Sala Segunda del Tribunal Constitucional respecto de los artículos 555.1 y 556 de la Ley Orgánica 6/1985, de 1 de julio, del Poder Judicial, en la redacción dada por la Ley Orgánica 19/2003, de 23 de diciembre.</w:t>
      </w:r>
    </w:p>
    <w:p w14:paraId="21593D45" w14:textId="73861C9D" w:rsidR="00A8138F" w:rsidRDefault="00A8138F" w:rsidP="00A8138F">
      <w:pPr>
        <w:pStyle w:val="SntesisDescriptiva"/>
      </w:pPr>
    </w:p>
    <w:p w14:paraId="2B094C75" w14:textId="77777777" w:rsidR="00A8138F" w:rsidRDefault="00A8138F" w:rsidP="00A8138F">
      <w:pPr>
        <w:pStyle w:val="SntesisAnaltica"/>
      </w:pPr>
      <w:r>
        <w:t>Derecho a la tutela judicial efectiva y monopolio de jurisdicción: interpretación conforme de los preceptos legales que atribuyen a los letrados de la administración de justicia la potestad de corregir a abogados y procuradores, que exclusivamente puede ejercerse en las actuaciones que se celebren ante ellos en las dependencias de la oficina judicial. Votos particulares.</w:t>
      </w:r>
    </w:p>
    <w:p w14:paraId="17375D4C" w14:textId="0281077F" w:rsidR="00A8138F" w:rsidRDefault="00A8138F" w:rsidP="00A8138F">
      <w:pPr>
        <w:pStyle w:val="SntesisAnaltica"/>
      </w:pPr>
    </w:p>
    <w:p w14:paraId="1BE2BB17" w14:textId="651F93AC" w:rsidR="00A8138F" w:rsidRDefault="00A8138F" w:rsidP="00A8138F">
      <w:pPr>
        <w:pStyle w:val="Extracto"/>
      </w:pPr>
      <w:r>
        <w:t>1.</w:t>
      </w:r>
      <w:r>
        <w:tab/>
        <w:t>El legislador atribuye a los letrados de la administración de justicia funciones procesales no jurisdiccionales en el marco del modelo de oficina judicial, así como la obligación de mantener el orden y amparar los derechos de los presentes en todas aquellas actuaciones que se celebren únicamente ante él en las dependencias de la oficina judicial (art. 190 LOPJ). Y resulta congruente y compatible con los arts. 117.3 y 24.1 CE que el legislador les confiera asimismo facultad correctora como función aneja y al servicio de las mencionadas competencias [FJ 4].</w:t>
      </w:r>
    </w:p>
    <w:p w14:paraId="1AF595FE" w14:textId="77777777" w:rsidR="00A8138F" w:rsidRDefault="00A8138F" w:rsidP="00A8138F">
      <w:pPr>
        <w:pStyle w:val="Extracto"/>
      </w:pPr>
    </w:p>
    <w:p w14:paraId="2CE90E32" w14:textId="3929812D" w:rsidR="00A8138F" w:rsidRDefault="00A8138F" w:rsidP="00A8138F">
      <w:pPr>
        <w:pStyle w:val="Extracto"/>
      </w:pPr>
      <w:r>
        <w:t>2.</w:t>
      </w:r>
      <w:r>
        <w:tab/>
        <w:t>El ejercicio de la función correctora por parte de los letrados de la Administración de justicia sobre abogados y procuradores, prevista en los arts. 552 y ss. LOPJ, no tiene carácter jurisdiccional y, por ello, no invade la reserva jurisdiccional ni, por ende, vulnera el derecho fundamental a la tutela judicial efectiva, dado que su decisión no resuelve sobre el objeto ni el desarrollo del proceso [FJ 4].</w:t>
      </w:r>
    </w:p>
    <w:p w14:paraId="1DEECB9D" w14:textId="77777777" w:rsidR="00A8138F" w:rsidRDefault="00A8138F" w:rsidP="00A8138F">
      <w:pPr>
        <w:pStyle w:val="Extracto"/>
      </w:pPr>
    </w:p>
    <w:p w14:paraId="1A83D9C8" w14:textId="77777777" w:rsidR="00A8138F" w:rsidRDefault="00A8138F" w:rsidP="00A8138F">
      <w:pPr>
        <w:pStyle w:val="Extracto"/>
      </w:pPr>
    </w:p>
    <w:p w14:paraId="17879614"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E9B499C" w14:textId="3C800D36" w:rsidR="00A8138F" w:rsidRDefault="00A8138F" w:rsidP="00A8138F">
      <w:pPr>
        <w:pStyle w:val="TextoNormal"/>
      </w:pPr>
    </w:p>
    <w:p w14:paraId="374E93A9" w14:textId="77777777" w:rsidR="00A8138F" w:rsidRDefault="00A8138F" w:rsidP="00A8138F">
      <w:pPr>
        <w:pStyle w:val="TextoNormalCentrado"/>
        <w:keepNext/>
      </w:pPr>
      <w:r>
        <w:t>EN NOMBRE DEL REY</w:t>
      </w:r>
    </w:p>
    <w:p w14:paraId="61E6B6D9" w14:textId="6B0198C4" w:rsidR="00A8138F" w:rsidRDefault="00A8138F" w:rsidP="00A8138F">
      <w:pPr>
        <w:pStyle w:val="TextoNormalCentrado"/>
        <w:keepNext/>
      </w:pPr>
    </w:p>
    <w:p w14:paraId="3D2B66DE" w14:textId="77777777" w:rsidR="00A8138F" w:rsidRDefault="00A8138F" w:rsidP="00A8138F">
      <w:pPr>
        <w:pStyle w:val="TextoNormalCentrado"/>
        <w:keepNext/>
      </w:pPr>
    </w:p>
    <w:p w14:paraId="3893D1A0" w14:textId="77777777" w:rsidR="00A8138F" w:rsidRDefault="00A8138F" w:rsidP="00A8138F">
      <w:pPr>
        <w:pStyle w:val="TextoNormal"/>
      </w:pPr>
      <w:r>
        <w:t>la siguiente</w:t>
      </w:r>
    </w:p>
    <w:p w14:paraId="34E50CA9" w14:textId="52238AE2" w:rsidR="00A8138F" w:rsidRDefault="00A8138F" w:rsidP="00A8138F">
      <w:pPr>
        <w:pStyle w:val="TextoNormal"/>
      </w:pPr>
    </w:p>
    <w:p w14:paraId="3B8CCFA3" w14:textId="77777777" w:rsidR="00A8138F" w:rsidRDefault="00A8138F" w:rsidP="00A8138F">
      <w:pPr>
        <w:pStyle w:val="TextoNormalCentrado"/>
        <w:keepNext/>
      </w:pPr>
      <w:r>
        <w:t>SENTENCIA</w:t>
      </w:r>
    </w:p>
    <w:p w14:paraId="3C9BD17E" w14:textId="40C0B281" w:rsidR="00A8138F" w:rsidRDefault="00A8138F" w:rsidP="00A8138F">
      <w:pPr>
        <w:pStyle w:val="TextoNormalCentrado"/>
        <w:keepNext/>
      </w:pPr>
    </w:p>
    <w:p w14:paraId="66F4C479" w14:textId="77777777" w:rsidR="00A8138F" w:rsidRDefault="00A8138F" w:rsidP="00A8138F">
      <w:pPr>
        <w:pStyle w:val="TextoNormal"/>
      </w:pPr>
      <w:r>
        <w:t>En la cuestión interna de inconstitucionalidad núm. 6596-2021, planteada por la Sala Segunda del Tribunal Constitucional respecto de los artículos 555.1 y 556 de la Ley Orgá</w:t>
      </w:r>
      <w:r>
        <w:lastRenderedPageBreak/>
        <w:t>nica 6/1985, de 1 de julio, del Poder Judicial, en la redacción dada por la Ley Orgánica 19/2003, de 23 de diciembre. Han comparecido y formulado alegaciones el abogado del Estado y la fiscal general del Estado. Ha sido ponente el magistrado don Ramón Sáez Valcárcel.</w:t>
      </w:r>
    </w:p>
    <w:p w14:paraId="17FBDA01" w14:textId="455B9F22" w:rsidR="00A8138F" w:rsidRDefault="00A8138F" w:rsidP="00A8138F">
      <w:pPr>
        <w:pStyle w:val="TextoNormal"/>
      </w:pPr>
    </w:p>
    <w:p w14:paraId="4FEEA98A" w14:textId="77777777" w:rsidR="00A8138F" w:rsidRDefault="00A8138F" w:rsidP="00A8138F">
      <w:pPr>
        <w:pStyle w:val="TextoNormalNegritaCentrado"/>
        <w:keepNext/>
      </w:pPr>
      <w:r>
        <w:t>I. Antecedentes</w:t>
      </w:r>
    </w:p>
    <w:p w14:paraId="41CE91FA" w14:textId="2CC30049" w:rsidR="00A8138F" w:rsidRDefault="00A8138F" w:rsidP="00A8138F">
      <w:pPr>
        <w:pStyle w:val="TextoNormalNegritaCentrado"/>
        <w:keepNext/>
      </w:pPr>
    </w:p>
    <w:p w14:paraId="38020C56" w14:textId="37679B5C" w:rsidR="00A8138F" w:rsidRDefault="00A8138F" w:rsidP="00A8138F">
      <w:pPr>
        <w:pStyle w:val="TextoNormal"/>
      </w:pPr>
      <w:r w:rsidRPr="00A8138F">
        <w:rPr>
          <w:rStyle w:val="NumeroAFNegritaCaracter"/>
        </w:rPr>
        <w:t>1</w:t>
      </w:r>
      <w:r>
        <w:t>. Mediante providencia de 27 de enero de 2021, el Pleno de este tribunal admitió a trámite una cuestión interna de inconstitucionalidad planteada por su Sala Segunda en el recurso de amparo núm. 4986-2016, en relación con los arts. 555.1 y 556 de la Ley Orgánica 6/1985, de 1 de julio, del Poder Judicial (en adelante, LOPJ), en la redacción dada por la Ley Orgánica 19/2003, de 23 de diciembre, por posible vulneración del art. 24.1 CE en relación con el art. 117.3 CE.</w:t>
      </w:r>
    </w:p>
    <w:p w14:paraId="0A422B94" w14:textId="77777777" w:rsidR="00A8138F" w:rsidRDefault="00A8138F" w:rsidP="00A8138F">
      <w:pPr>
        <w:pStyle w:val="TextoNormal"/>
      </w:pPr>
    </w:p>
    <w:p w14:paraId="7455340D" w14:textId="77777777" w:rsidR="00A8138F" w:rsidRDefault="00A8138F" w:rsidP="00A8138F">
      <w:pPr>
        <w:pStyle w:val="TextoNormal"/>
      </w:pPr>
      <w:r w:rsidRPr="00A8138F">
        <w:rPr>
          <w:rStyle w:val="NumeroAFNegritaCaracter"/>
        </w:rPr>
        <w:t>2</w:t>
      </w:r>
      <w:r>
        <w:t>. Los antecedentes de la presente cuestión interna de inconstitucionalidad son los que a continuación se resumen.</w:t>
      </w:r>
    </w:p>
    <w:p w14:paraId="324FAE5C" w14:textId="77777777" w:rsidR="00A8138F" w:rsidRDefault="00A8138F" w:rsidP="00A8138F">
      <w:pPr>
        <w:pStyle w:val="TextoNormal"/>
      </w:pPr>
    </w:p>
    <w:p w14:paraId="7FAFE620" w14:textId="77777777" w:rsidR="00A8138F" w:rsidRDefault="00A8138F" w:rsidP="00A8138F">
      <w:pPr>
        <w:pStyle w:val="TextoNormal"/>
      </w:pPr>
      <w:r>
        <w:t>a) Mediante escrito registrado en este tribunal el 21 de septiembre de 2016, don José Miguel Morcillo Gómez, representado por el procurador de los tribunales don Santos Gómez Rodríguez y bajo su propia dirección letrada, interpuso demanda de amparo contra el acuerdo de la Sala de Gobierno del Tribunal Superior de Justicia de Extremadura de 27 de junio de 2016, por el que se desestima el recurso de alzada núm. 1-2016 interpuesto contra el acuerdo de la letrada de la administración de justicia del Juzgado de Primera Instancia núm. 2 de Badajoz de 20 de mayo de 2016, en el expediente de responsabilidad disciplinaria núm. 1-2016.</w:t>
      </w:r>
    </w:p>
    <w:p w14:paraId="4DE27E00" w14:textId="77777777" w:rsidR="00A8138F" w:rsidRDefault="00A8138F" w:rsidP="00A8138F">
      <w:pPr>
        <w:pStyle w:val="TextoNormal"/>
      </w:pPr>
    </w:p>
    <w:p w14:paraId="29F095AA" w14:textId="77777777" w:rsidR="00A8138F" w:rsidRDefault="00A8138F" w:rsidP="00A8138F">
      <w:pPr>
        <w:pStyle w:val="TextoNormal"/>
      </w:pPr>
      <w:r>
        <w:t>Los hechos de los que trae causa el recurso de amparo (tramitado con el núm. 4986-2016) son, en síntesis, los siguientes:</w:t>
      </w:r>
    </w:p>
    <w:p w14:paraId="5F30E449" w14:textId="77777777" w:rsidR="00A8138F" w:rsidRDefault="00A8138F" w:rsidP="00A8138F">
      <w:pPr>
        <w:pStyle w:val="TextoNormal"/>
      </w:pPr>
    </w:p>
    <w:p w14:paraId="07962B7A" w14:textId="77777777" w:rsidR="00A8138F" w:rsidRDefault="00A8138F" w:rsidP="00A8138F">
      <w:pPr>
        <w:pStyle w:val="TextoNormal"/>
      </w:pPr>
      <w:r>
        <w:t>(i) La letrada de administración de justicia del Juzgado de Primera Instancia núm. 2 de Badajoz, por diligencia de ordenación de 10 de mayo de 2016, pronunciada en el procedimiento de ejecución de títulos judiciales núm. 699-2015, acordó incoar el expediente disciplinario núm. 1-2016 contra el recurrente “por las posibles ofensas graves y reiteradas efectuadas a lo largo del procedimiento hacia la letrada de la administración de justicia”.</w:t>
      </w:r>
    </w:p>
    <w:p w14:paraId="762FF776" w14:textId="77777777" w:rsidR="00A8138F" w:rsidRDefault="00A8138F" w:rsidP="00A8138F">
      <w:pPr>
        <w:pStyle w:val="TextoNormal"/>
      </w:pPr>
    </w:p>
    <w:p w14:paraId="2EABBFCB" w14:textId="77777777" w:rsidR="00A8138F" w:rsidRDefault="00A8138F" w:rsidP="00A8138F">
      <w:pPr>
        <w:pStyle w:val="TextoNormal"/>
      </w:pPr>
      <w:r>
        <w:t xml:space="preserve">(ii) Tras diversas vicisitudes, la letrada de la administración de justicia, mediante resolución de 20 de mayo de 2016, impuso al recurrente una multa de 2000 € en atención a diversas expresiones contenidas en distintos escritos forenses, argumentando que sobrepasan los límites del derecho a la libertad de expresión en el ejercicio del derecho de defensa. También se destaca que el letrado de la administración de justicia tiene competencia para imponer sanciones por una infracción del art. 553.1 LOPJ —referida a la actuación forense en que se falta por escrito al respeto debido a los secretarios judiciales— con fundamento en que, según el art. 440 LOPJ, “[l]os letrados de administración de justicia son funcionarios públicos […] que ejercen sus funciones con carácter de autoridad” y el art. 555.1 LOPJ declara que “[l]a corrección se impondrá por la autoridad ante la que se sigan las actuaciones”. El acuerdo incluye un último párrafo en el que se indica que contra el mismo cabe interponer </w:t>
      </w:r>
      <w:r>
        <w:lastRenderedPageBreak/>
        <w:t>recurso de audiencia en justicia ante el letrado de la administración de justicia o recurso directo de alzada ante la Sala de Gobierno del Tribunal Superior de Justicia de Extremadura.</w:t>
      </w:r>
    </w:p>
    <w:p w14:paraId="5651A70B" w14:textId="77777777" w:rsidR="00A8138F" w:rsidRDefault="00A8138F" w:rsidP="00A8138F">
      <w:pPr>
        <w:pStyle w:val="TextoNormal"/>
      </w:pPr>
    </w:p>
    <w:p w14:paraId="381D0788" w14:textId="77777777" w:rsidR="00A8138F" w:rsidRDefault="00A8138F" w:rsidP="00A8138F">
      <w:pPr>
        <w:pStyle w:val="TextoNormal"/>
      </w:pPr>
      <w:r>
        <w:t>(iii) El recurrente interpuso directamente recurso de alzada ante la Sala de Gobierno del Tribunal Superior de Justicia de Extremadura, que fue tramitado con el núm. 1-2016, en el que solicitó la nulidad del acuerdo sancionador, alegando, entre otros extremos, que, de acuerdo con la dicción del art. 555.2 LOPJ, el órgano sancionador debe ser únicamente el juez o tribunal.</w:t>
      </w:r>
    </w:p>
    <w:p w14:paraId="1B30ACF1" w14:textId="77777777" w:rsidR="00A8138F" w:rsidRDefault="00A8138F" w:rsidP="00A8138F">
      <w:pPr>
        <w:pStyle w:val="TextoNormal"/>
      </w:pPr>
    </w:p>
    <w:p w14:paraId="452912B6" w14:textId="77777777" w:rsidR="00A8138F" w:rsidRDefault="00A8138F" w:rsidP="00A8138F">
      <w:pPr>
        <w:pStyle w:val="TextoNormal"/>
      </w:pPr>
      <w:r>
        <w:t>(iv) La Sala de Gobierno del Tribunal Superior de Justicia de Extremadura, por acuerdo de 27 de junio de 2016, desestimó el recurso con fundamento, entre otras razones, en que la jurisprudencia constitucional ha establecido que el ejercicio disciplinario impuesto a un abogado en el marco de un procedimiento no se configura mediante actos materialmente administrativos, sino mediante resoluciones jurisdiccionales dictadas en un proceso con todas las garantías (STC 197/2004, de 15 de noviembre).</w:t>
      </w:r>
    </w:p>
    <w:p w14:paraId="7852CB6B" w14:textId="77777777" w:rsidR="00A8138F" w:rsidRDefault="00A8138F" w:rsidP="00A8138F">
      <w:pPr>
        <w:pStyle w:val="TextoNormal"/>
      </w:pPr>
    </w:p>
    <w:p w14:paraId="757FD41D" w14:textId="77777777" w:rsidR="00A8138F" w:rsidRDefault="00A8138F" w:rsidP="00A8138F">
      <w:pPr>
        <w:pStyle w:val="TextoNormal"/>
      </w:pPr>
      <w:r>
        <w:t>b) El demandante aduce en su recurso de amparo que la sanción impuesta por la letrada de la administración de justicia vulnera los siguientes derechos: (i) El derecho al juez predeterminado por la ley (art. 24.2 CE), con el argumento de que el art. 555.2 LOPJ determina que la potestad sancionadora en el contexto de la policía de estrados la tiene atribuida el titular del órgano judicial y no la letrada de la administración de justicia. (ii) El derecho a un juez imparcial (art. 24.2 CE), ya que la sanción se ha impuesto por la propia letrada de la administración de justicia, que era la supuesta agraviada por los escritos. (iii) El derecho de defensa (art. 24.2 CE), porque en el inicio del procedimiento sancionador no se indican cuáles son las expresiones que se consideran injuriosas. (iv) La libertad de expresión en relación con el ejercicio del derecho de defensa [arts. 20.1 a) y 24 CE], en tanto que las manifestaciones vertidas en los diferentes escritos se limitaban a poner de manifiesto las irregularidades en que había incurrido la letrada de la administración de justicia al negarse a la ejecución de la sentencia en sus propios términos. (v) La garantía de proporcionalidad y motivación de las sanciones al imponerse la multa y no el apercibimiento, también previsto en el art. 554.1 LOPJ como posible sanción, sin un trámite de audiencia previa y sin exponer la motivación para esa selección ni la cuantificación de la multa. Además, se argumenta que el art. 554.1 LOPJ establece que la cuantía máxima de la sanción será la prevista para las faltas en el Código penal, que ya no existen, no pudiéndose cubrir por analogía ese vacío legal.</w:t>
      </w:r>
    </w:p>
    <w:p w14:paraId="4CD57988" w14:textId="77777777" w:rsidR="00A8138F" w:rsidRDefault="00A8138F" w:rsidP="00A8138F">
      <w:pPr>
        <w:pStyle w:val="TextoNormal"/>
      </w:pPr>
    </w:p>
    <w:p w14:paraId="68D9D8DC" w14:textId="77777777" w:rsidR="00A8138F" w:rsidRDefault="00A8138F" w:rsidP="00A8138F">
      <w:pPr>
        <w:pStyle w:val="TextoNormal"/>
      </w:pPr>
      <w:r>
        <w:t>c) Por providencia de 3 de octubre de 2017, la Sección Tercera de este tribunal acordó la admisión a trámite del recurso de amparo, cuya tramitación continuó conforme al cauce legalmente previsto.</w:t>
      </w:r>
    </w:p>
    <w:p w14:paraId="1957387F" w14:textId="77777777" w:rsidR="00A8138F" w:rsidRDefault="00A8138F" w:rsidP="00A8138F">
      <w:pPr>
        <w:pStyle w:val="TextoNormal"/>
      </w:pPr>
    </w:p>
    <w:p w14:paraId="5D14A3B6" w14:textId="77777777" w:rsidR="00A8138F" w:rsidRDefault="00A8138F" w:rsidP="00A8138F">
      <w:pPr>
        <w:pStyle w:val="TextoNormal"/>
      </w:pPr>
      <w:r>
        <w:t>d) La Sala Segunda de este tribunal acordó por providencia de 2 de junio de 2021, de conformidad con lo dispuesto en los arts. 55.2 y 35.2 de la Ley Orgánica del Tribunal Constitucional (en adelnte, LOTC) y con suspensión del plazo para dictar sentencia, oír a las partes personadas y al Ministerio Fiscal para que en el plazo común e improrrogable de diez días pudieran alegar lo que estimasen oportuno sobre la pertinencia de plantear cuestión de inconstitucionalidad o sobre el fondo de esta, respecto del art. 555.1 de la Ley Orgánica 6/1985, de 1 de julio, del Poder Judicial, en la redacción dada por la Ley Orgánica 19/2003, de 23 de diciembre, y del art. 556 de la Ley Orgánica 6/1985, de 1 de julio, del Poder Judi</w:t>
      </w:r>
      <w:r>
        <w:lastRenderedPageBreak/>
        <w:t>cial, en la redacción dada por la Ley Orgánica 19/2003, de 23 de diciembre, con la modificación operada por la Ley Orgánica 7/2015, de 21 de julio, en cuanto a que la referencia a los secretarios judiciales se entenderá hecha a los letrados de la administración de justicia.</w:t>
      </w:r>
    </w:p>
    <w:p w14:paraId="60E04D83" w14:textId="77777777" w:rsidR="00A8138F" w:rsidRDefault="00A8138F" w:rsidP="00A8138F">
      <w:pPr>
        <w:pStyle w:val="TextoNormal"/>
      </w:pPr>
    </w:p>
    <w:p w14:paraId="652A7A97" w14:textId="77777777" w:rsidR="00A8138F" w:rsidRDefault="00A8138F" w:rsidP="00A8138F">
      <w:pPr>
        <w:pStyle w:val="TextoNormal"/>
      </w:pPr>
      <w:r>
        <w:t>En la providencia se expone que “la inclusión en ambos preceptos del letrado de la administración de justicia como autoridad que, junto con el juez o sala, ostenta la potestad disciplinaria de la llamada ‘policía de estrados’ como una función de carácter jurisdiccional, en los términos que ha sido establecido por la jurisprudencia constitucional (así, SSTC 205/1994, de 11 de julio, FJ 3; 157/1996, de 15 de octubre, FJ 2; 148/1997, de 29 de septiembre, FJ 2; 79/2002, de 8 de abril, FJ 2, o STC 197/2004, de 15 de noviembre, FJ 2), podría vulnerar el art. 24.1, en relación con el art. 117.3 CE, al corresponder constitucionalmente el ejercicio de la potestad jurisdiccional exclusivamente a los juzgados y tribunales, condición de la que carecen los letrados de la administración de justicia (así, por ejemplo, SSTC 58/2016, de 17 de marzo; 72/2018, de 21 de junio; 34/2019, de 14 de marzo, o 15/2020, de 28 de enero)”.</w:t>
      </w:r>
    </w:p>
    <w:p w14:paraId="0BEBB655" w14:textId="77777777" w:rsidR="00A8138F" w:rsidRDefault="00A8138F" w:rsidP="00A8138F">
      <w:pPr>
        <w:pStyle w:val="TextoNormal"/>
      </w:pPr>
    </w:p>
    <w:p w14:paraId="1E98D631" w14:textId="6371015C" w:rsidR="00A8138F" w:rsidRDefault="00A8138F" w:rsidP="00A8138F">
      <w:pPr>
        <w:pStyle w:val="TextoNormal"/>
      </w:pPr>
      <w:r>
        <w:t>e) El demandante de amparo, en escrito registrado el 14 de junio de 2021, y el Ministerio Fiscal, mediante escrito registrado en el tribunal el 8 de julio de 2021, formularon alegaciones concluyendo que procede el planteamiento de la cuestión interna de inconstitucionalidad.</w:t>
      </w:r>
    </w:p>
    <w:p w14:paraId="2CF627C4" w14:textId="77777777" w:rsidR="00A8138F" w:rsidRDefault="00A8138F" w:rsidP="00A8138F">
      <w:pPr>
        <w:pStyle w:val="TextoNormal"/>
      </w:pPr>
    </w:p>
    <w:p w14:paraId="00685A5D" w14:textId="77777777" w:rsidR="00A8138F" w:rsidRDefault="00A8138F" w:rsidP="00A8138F">
      <w:pPr>
        <w:pStyle w:val="TextoNormal"/>
      </w:pPr>
      <w:r w:rsidRPr="00A8138F">
        <w:rPr>
          <w:rStyle w:val="NumeroAFNegritaCaracter"/>
        </w:rPr>
        <w:t>3</w:t>
      </w:r>
      <w:r>
        <w:t>. Por ATC 76/2021, de 13 de septiembre, la Sala Segunda del tribunal acordó elevar al Pleno del tribunal cuestión interna de inconstitucionalidad “respecto del artículo 555.1 de la Ley Orgánica 6/1985, de 1 de julio, del Poder Judicial, en la redacción dada por la Ley Orgánica 19/2003, de 23 de diciembre, en la medida en que pueda interpretarse la referencia a ‘la autoridad ante la que se sigan las actuaciones’ como inclusiva del letrado de la administración de justicia; y del artículo 556 de la Ley Orgánica 6/1985, de 1 de julio, del Poder Judicial, en la redacción dada por la Ley Orgánica 19/2003, de 23 de diciembre, con la modificación operada por la Ley Orgánica 7/2015, de 21 de julio, en cuanto a la referencia a los letrados de la administración de justicia, por posible contradicción con el artículo 24.1, en relación con el artículo 117.3 de la Constitución, con suspensión del plazo para dictar sentencia en el presente recurso de amparo núm. 4986-2016”.</w:t>
      </w:r>
    </w:p>
    <w:p w14:paraId="69B00483" w14:textId="77777777" w:rsidR="00A8138F" w:rsidRDefault="00A8138F" w:rsidP="00A8138F">
      <w:pPr>
        <w:pStyle w:val="TextoNormal"/>
      </w:pPr>
    </w:p>
    <w:p w14:paraId="26D61664" w14:textId="77777777" w:rsidR="00A8138F" w:rsidRDefault="00A8138F" w:rsidP="00A8138F">
      <w:pPr>
        <w:pStyle w:val="TextoNormal"/>
      </w:pPr>
      <w:r>
        <w:t>El auto argumenta la aplicabilidad y relevancia de los preceptos cuestionados y se ratifica en la decisión de plantear la cuestión interna de inconstitucionalidad al persistir las dudas sobre la compatibilidad de los arts. 555.1 y 556 LOPJ con el derecho a la tutela judicial efectiva (art. 24.1 CE) en relación con la exclusividad de la potestad jurisdiccional de los juzgados y tribunales del art. 117.3 CE.</w:t>
      </w:r>
    </w:p>
    <w:p w14:paraId="0AB6D967" w14:textId="77777777" w:rsidR="00A8138F" w:rsidRDefault="00A8138F" w:rsidP="00A8138F">
      <w:pPr>
        <w:pStyle w:val="TextoNormal"/>
      </w:pPr>
    </w:p>
    <w:p w14:paraId="0E38B434" w14:textId="77777777" w:rsidR="00A8138F" w:rsidRDefault="00A8138F" w:rsidP="00A8138F">
      <w:pPr>
        <w:pStyle w:val="TextoNormal"/>
      </w:pPr>
      <w:r>
        <w:t xml:space="preserve">La Sala observa, de un lado, que la jurisprudencia constitucional ha sido constante en considerar que el ejercicio de la potestad disciplinaria de la llamada “policía de estrados” es de carácter netamente jurisdiccional en tanto que ejercida por los titulares de los órganos judiciales. Destaca que ha establecido que tanto las resoluciones sancionadoras como las resolutorias del recurso de alzada “no son actos materialmente administrativos, sino resoluciones jurisdiccionales dictadas en un proceso con todas las garantías” (así, SSTC 205/1994, de 11 de julio, FJ 3; 157/1996, de 15 de octubre, FJ 2; 148/1997, de 29 de septiembre, FJ 2; 79/2002, de 8 de abril, FJ 2, o STC 197/2004, de 15 de noviembre, FJ 2). Con cita de la STC 190/1991, de 14 de octubre, FJ 5, recuerda en concreto que, cuando la sala de gobierno </w:t>
      </w:r>
      <w:r>
        <w:lastRenderedPageBreak/>
        <w:t>de los órganos judiciales “conoce de las correcciones disciplinarias impuestas por los juzgados y tribunales a los abogados y procuradores por las actuaciones realizadas en el curso de un proceso actúa como un órgano imparcial, compuesto por jueces y magistrados (art. 149.2 LOPJ), que lejos de ejercer funciones de gobierno y administración sobre los tribunales (previstas en el art. 152 LOPJ) enjuicia y revisa la legalidad de la sanción impuesta por un órgano judicial en el curso del proceso. Dicha función se estructura en la vigente Ley Orgánica del Poder Judicial no como el ejercicio de funciones gubernativas, sino como un mecanismo de revisión y tutela que permite al sancionado rebatir la procedencia en derecho de la corrección disciplinaria impuesta”.</w:t>
      </w:r>
    </w:p>
    <w:p w14:paraId="51422F75" w14:textId="77777777" w:rsidR="00A8138F" w:rsidRDefault="00A8138F" w:rsidP="00A8138F">
      <w:pPr>
        <w:pStyle w:val="TextoNormal"/>
      </w:pPr>
    </w:p>
    <w:p w14:paraId="5297ED24" w14:textId="77777777" w:rsidR="00A8138F" w:rsidRDefault="00A8138F" w:rsidP="00A8138F">
      <w:pPr>
        <w:pStyle w:val="TextoNormal"/>
      </w:pPr>
      <w:r>
        <w:t>De otro lado, se trae la jurisprudencia constitucional vertida sobre la naturaleza de las resoluciones de los letrados de la administración de justicia en el contexto de la nueva regulación de la oficina judicial y sobre su impugnabilidad. En ella se distingue entre las decisiones procesales que pueden afectar a la función o potestad estrictamente jurisdiccional, reservada en exclusiva a los jueces y magistrados, y las funciones de dirección de la oficina judicial que corresponden a los letrados de la administración de justicia, que no tienen carácter jurisdiccional y que, en todo caso, están sometidas al control del juez o tribunal como exigencia ineludible del derecho a la tutela judicial efectiva garantizado por el art. 24.1 CE, tal y como resume la STC 15/2020, 28 de enero, FJ 2.</w:t>
      </w:r>
    </w:p>
    <w:p w14:paraId="7A949791" w14:textId="77777777" w:rsidR="00A8138F" w:rsidRDefault="00A8138F" w:rsidP="00A8138F">
      <w:pPr>
        <w:pStyle w:val="TextoNormal"/>
      </w:pPr>
    </w:p>
    <w:p w14:paraId="19F24525" w14:textId="77777777" w:rsidR="00A8138F" w:rsidRDefault="00A8138F" w:rsidP="00A8138F">
      <w:pPr>
        <w:pStyle w:val="TextoNormal"/>
      </w:pPr>
      <w:r>
        <w:t>El auto colige de la anterior jurisprudencia que “el ejercicio de la potestad sancionadora propia de la ‘policía de estrados’, cuando es ejercido por los titulares de los órganos judiciales, es una actividad materialmente jurisdiccional, en atención, entre otros aspectos, a que es ejercida por quienes constitucionalmente tiene reservada la potestad jurisdiccional de acuerdo con lo establecido en el art. 117.3 CE y, en fase de alzada, es también ejercida por un órgano exclusivamente compuesto por los titulares constitucionales de esa potestad jurisdiccional en revisión de la legalidad de una sanción impuesta ‘por un órgano judicial’ en el curso de un proceso”. Desde tal consideración, cuando los preceptos cuestionados disponen que la función correctora sea ejercida por los letrados de la administración de justicia, surge la duda de constitucionalidad fundada en si se trata de una actividad jurisdiccional, ya que “(i) se trataría de una potestad sancionadora que en primera instancia se ejerce por quienes subjetivamente carecen de potestad jurisdiccional y (ii) la posibilidad prevista en uno de los preceptos cuestionados (art. 556 LOPJ) de la intervención, mediante el recurso de alzada, de la sala de gobierno del órgano judicial correspondiente, si bien cumple la exigencia de que subjetivamente, en atención a su composición, la jurisprudencia constitucional la ha considerado de carácter jurisdiccional, no se cumple la exigencia funcional, también señalada por la jurisprudencia constitucional, de que lo sea cuando ‘enjuicia y revisa la legalidad de la sanción impuesta por un órgano judicial en el curso del proceso’ (STC 190/1991, de 14 de octubre, FJ 5)”.</w:t>
      </w:r>
    </w:p>
    <w:p w14:paraId="5F4A23BA" w14:textId="77777777" w:rsidR="00A8138F" w:rsidRDefault="00A8138F" w:rsidP="00A8138F">
      <w:pPr>
        <w:pStyle w:val="TextoNormal"/>
      </w:pPr>
    </w:p>
    <w:p w14:paraId="5C8F3254" w14:textId="2D994862" w:rsidR="00A8138F" w:rsidRDefault="00A8138F" w:rsidP="00A8138F">
      <w:pPr>
        <w:pStyle w:val="TextoNormal"/>
      </w:pPr>
      <w:r>
        <w:t>La Sala concluye que existen dudas sobre la constitucionalidad de los preceptos cuestionados (art. 555.1 y 556 LOPJ), desde la perspectiva del art. 24.1 en relación con el art. 117.3 CE, “por haber equiparado la potestad sancionadora de la llamada ‘policía de estrados’ ejercida con carácter jurisdiccional por los jueces y tribunales, a quienes constitucionalmente corresponde en exclusiva la potestad jurisdiccional, a la que puedan ejercer los letrados de la administración de justicia en el contexto de los procedimientos que se sigan ante estas autoridades en su condición de directores de la oficina judicial, quienes carecen constitucionalmente de potestad jurisdiccional”.</w:t>
      </w:r>
    </w:p>
    <w:p w14:paraId="353EC40A" w14:textId="77777777" w:rsidR="00A8138F" w:rsidRDefault="00A8138F" w:rsidP="00A8138F">
      <w:pPr>
        <w:pStyle w:val="TextoNormal"/>
      </w:pPr>
    </w:p>
    <w:p w14:paraId="72282562" w14:textId="479DD6AD" w:rsidR="00A8138F" w:rsidRDefault="00A8138F" w:rsidP="00A8138F">
      <w:pPr>
        <w:pStyle w:val="TextoNormal"/>
      </w:pPr>
      <w:r w:rsidRPr="00A8138F">
        <w:rPr>
          <w:rStyle w:val="NumeroAFNegritaCaracter"/>
        </w:rPr>
        <w:t>4</w:t>
      </w:r>
      <w:r>
        <w:t>. Por providencia de 27 de enero de 2022, el Pleno del Tribunal Constitucional acordó admitir a trámite la presente cuestión de inconstitucionalidad; dar traslado del auto, conforme establece el art. 37.3 LOTC, al Congreso de los Diputados y al Senado, por conducto de sus presidentes, al Gobierno, por conducto de la ministra de Justicia, y a la fiscal general del Estado, al objeto de que, en el plazo de quince días, pudieran personarse en el proceso y formular las alegaciones que estimen convenientes; comunicar la resolución a la Sala Segunda del Tribunal Constitucional a fin de que, de conformidad con lo dispuesto en el art. 35.3 LOTC, permaneciera suspendido el proceso hasta que el Pleno resuelva definitivamente la presente cuestión; y publicar la incoación de la cuestión en el “Boletín Oficial del Estado”.</w:t>
      </w:r>
    </w:p>
    <w:p w14:paraId="2521CA65" w14:textId="77777777" w:rsidR="00A8138F" w:rsidRDefault="00A8138F" w:rsidP="00A8138F">
      <w:pPr>
        <w:pStyle w:val="TextoNormal"/>
      </w:pPr>
    </w:p>
    <w:p w14:paraId="6B26BB88" w14:textId="294D608E" w:rsidR="00A8138F" w:rsidRDefault="00A8138F" w:rsidP="00A8138F">
      <w:pPr>
        <w:pStyle w:val="TextoNormal"/>
      </w:pPr>
      <w:r w:rsidRPr="00A8138F">
        <w:rPr>
          <w:rStyle w:val="NumeroAFNegritaCaracter"/>
        </w:rPr>
        <w:t>5</w:t>
      </w:r>
      <w:r>
        <w:t>. La presidenta del Congreso de los Diputados y el presidente del Senado, mediante sendos escritos registrados en este tribunal el 10 de febrero y el 17 de febrero, ambos del año 2022, comunicaron la personación de las respectivas cámaras en el proceso, ofreciendo su colaboración a los efectos del art. 88.1 LOTC.</w:t>
      </w:r>
    </w:p>
    <w:p w14:paraId="338B3579" w14:textId="77777777" w:rsidR="00A8138F" w:rsidRDefault="00A8138F" w:rsidP="00A8138F">
      <w:pPr>
        <w:pStyle w:val="TextoNormal"/>
      </w:pPr>
    </w:p>
    <w:p w14:paraId="53F1BFC3" w14:textId="6E642784" w:rsidR="00A8138F" w:rsidRDefault="00A8138F" w:rsidP="00A8138F">
      <w:pPr>
        <w:pStyle w:val="TextoNormal"/>
      </w:pPr>
      <w:r w:rsidRPr="00A8138F">
        <w:rPr>
          <w:rStyle w:val="NumeroAFNegritaCaracter"/>
        </w:rPr>
        <w:t>6</w:t>
      </w:r>
      <w:r>
        <w:t>. El Gobierno de la Nación, representado por el abogado del Estado, mediante escrito registrado en este tribunal el 21 de febrero de 2022 comunicó su personación y formuló alegaciones en defensa de la desestimación de la cuestión de inconstitucionalidad en tanto considera posible una interpretación conforme con la Constitución. Sostiene que, a diferencia de los precedentes enunciados en el auto de planteamiento respecto de la irrecurribilidad de los decretos dictados por los letrados de la administración de justicia, frente a la sanción disciplinaria prevista en el art. 553.1 LOPJ para abogados y procuradores impuesta por dichos letrados siempre cabe recurso ante la sala de gobierno. Dado que el Tribunal Constitucional considera que esa sala actúa con carácter jurisdiccional, entiende que no hay infracción ni del art. 24.1 CE ni del art. 117.3 CE, ya que la decisión del letrado es objeto de revisión por un órgano judicial.</w:t>
      </w:r>
    </w:p>
    <w:p w14:paraId="08BA670F" w14:textId="77777777" w:rsidR="00A8138F" w:rsidRDefault="00A8138F" w:rsidP="00A8138F">
      <w:pPr>
        <w:pStyle w:val="TextoNormal"/>
      </w:pPr>
    </w:p>
    <w:p w14:paraId="567B410D" w14:textId="77777777" w:rsidR="00A8138F" w:rsidRDefault="00A8138F" w:rsidP="00A8138F">
      <w:pPr>
        <w:pStyle w:val="TextoNormal"/>
      </w:pPr>
      <w:r w:rsidRPr="00A8138F">
        <w:rPr>
          <w:rStyle w:val="NumeroAFNegritaCaracter"/>
        </w:rPr>
        <w:t>7</w:t>
      </w:r>
      <w:r>
        <w:t>. La fiscal general del Estado, mediante escrito registrado en este tribunal el 8 de marzo de 2022, formuló sus alegaciones, en las que interesa que se declaren inconstitucionales los preceptos cuestionados por vulnerar el derecho a la tutela judicial efectiva (art. 24.1 CE) en relación con el art. 117.3 CE.</w:t>
      </w:r>
    </w:p>
    <w:p w14:paraId="067F2BA3" w14:textId="77777777" w:rsidR="00A8138F" w:rsidRDefault="00A8138F" w:rsidP="00A8138F">
      <w:pPr>
        <w:pStyle w:val="TextoNormal"/>
      </w:pPr>
    </w:p>
    <w:p w14:paraId="266A386B" w14:textId="77777777" w:rsidR="00A8138F" w:rsidRDefault="00A8138F" w:rsidP="00A8138F">
      <w:pPr>
        <w:pStyle w:val="TextoNormal"/>
      </w:pPr>
      <w:r>
        <w:t>Tras exponer ampliamente los antecedentes y considerar satisfechos los requisitos procesales propios de las cuestiones de inconstitucionalidad, la fiscal refiere la doctrina constitucional que juzga aplicable:</w:t>
      </w:r>
    </w:p>
    <w:p w14:paraId="170D968A" w14:textId="77777777" w:rsidR="00A8138F" w:rsidRDefault="00A8138F" w:rsidP="00A8138F">
      <w:pPr>
        <w:pStyle w:val="TextoNormal"/>
      </w:pPr>
    </w:p>
    <w:p w14:paraId="76F92AFF" w14:textId="77777777" w:rsidR="00A8138F" w:rsidRDefault="00A8138F" w:rsidP="00A8138F">
      <w:pPr>
        <w:pStyle w:val="TextoNormal"/>
      </w:pPr>
      <w:r>
        <w:t>(i) Como doctrina general trae a colación la relativa al contenido del derecho a la tutela judicial efectiva, del que destaca la vertiente de derecho de acceso a la jurisdicción, así como su carácter prestacional y de configuración legal.</w:t>
      </w:r>
    </w:p>
    <w:p w14:paraId="46FA49AF" w14:textId="77777777" w:rsidR="00A8138F" w:rsidRDefault="00A8138F" w:rsidP="00A8138F">
      <w:pPr>
        <w:pStyle w:val="TextoNormal"/>
      </w:pPr>
    </w:p>
    <w:p w14:paraId="11EC23E2" w14:textId="77777777" w:rsidR="00A8138F" w:rsidRDefault="00A8138F" w:rsidP="00A8138F">
      <w:pPr>
        <w:pStyle w:val="TextoNormal"/>
      </w:pPr>
      <w:r>
        <w:t>(ii) Se detiene a continuación en la doctrina específica sobre la naturaleza jurisdiccional de la potestad sancionatoria de la “policía de estrados”, apreciada por el Tribunal Constitucional desde sus primeras resoluciones respecto de “las correcciones disciplinarias impuestas por los jueces y tribunales a los abogados en el curso de un procedimiento […], así como las resoluciones revisoras de las mismas” (STC 157/1996, de 15 de octubre, FJ 2). En par</w:t>
      </w:r>
      <w:r>
        <w:lastRenderedPageBreak/>
        <w:t>ticular, esto último supone que la participación en este tipo de procedimientos de la sala de gobierno de los órganos judiciales no se estructura “como el ejercicio de funciones gubernativas, sino como un mecanismo de revisión y tutela que permite al sancionado rebatir la procedencia en derecho de la corrección disciplinaria impuesta” (STC 190/1991, de 14 de octubre, FJ 5).</w:t>
      </w:r>
    </w:p>
    <w:p w14:paraId="6D27E106" w14:textId="77777777" w:rsidR="00A8138F" w:rsidRDefault="00A8138F" w:rsidP="00A8138F">
      <w:pPr>
        <w:pStyle w:val="TextoNormal"/>
      </w:pPr>
    </w:p>
    <w:p w14:paraId="55E45E72" w14:textId="77777777" w:rsidR="00A8138F" w:rsidRDefault="00A8138F" w:rsidP="00A8138F">
      <w:pPr>
        <w:pStyle w:val="TextoNormal"/>
      </w:pPr>
      <w:r>
        <w:t>(iii) Junto a esta primera línea jurisprudencial recoge la “surgida a raíz de la STC 58/2016, de 17 de marzo, que aborda la irrecurribilidad de los decretos dictados por los letrados de la administración de justicia y la naturaleza de dichas resoluciones”, refrendada por las SSTC 72/2018, de 21 de junio; 34/2019, de 14 de marzo, y 15/2020 de 28 de enero. Conforme a esas resoluciones, es posible distribuir las funciones entre jueces y magistrados, de un lado, y letrados de la administración de justicia, de otro. Pero esa distribución, como señala la STC 15/2020, FJ 2,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de la Ley Orgánica del Poder Judicial), ya que son los jueces y magistrados quienes ejercen en exclusiva la función de juzgar y de hacer ejecutar lo juzgado (art. 117.3 CE). De ese modo, en última instancia, debe quedar garantizado que toda resolución del letrado de la administración de justicia en el proceso pueda ser sometida al control del juez o tribunal. Esto constituye una exigencia ineludible del derecho a la tutela judicial efectiva garantizado por el art. 24.1 CE”, con el que no se compadece privar al justiciable de su derecho a que la decisión procesal del letrado de la administración de justicia sea examinada y revisada por quien está investido de jurisdicción.</w:t>
      </w:r>
    </w:p>
    <w:p w14:paraId="14FB6F92" w14:textId="77777777" w:rsidR="00A8138F" w:rsidRDefault="00A8138F" w:rsidP="00A8138F">
      <w:pPr>
        <w:pStyle w:val="TextoNormal"/>
      </w:pPr>
    </w:p>
    <w:p w14:paraId="6D995894" w14:textId="77777777" w:rsidR="00A8138F" w:rsidRDefault="00A8138F" w:rsidP="00A8138F">
      <w:pPr>
        <w:pStyle w:val="TextoNormal"/>
      </w:pPr>
      <w:r>
        <w:t>En aplicación de tal doctrina considera que, dado que la previsión legal del art. 555.1 LOPJ en relación con la del art. 556 LOPJ atribuye, “sin género de duda, a los letrados de la administración de justicia facultades de ‘policía de estrados’, y en particular, la más relevante, como es la facultad para imponer correcciones —término que no oculta su verdadera naturaleza sancionadora— a los abogados y procuradores que intervengan en los pleitos y causas”, vulneran la reserva de jurisdicción establecida en el art. 117.3 CE y, en consecuencia, el derecho a la tutela judicial efectiva del art. 24.1 CE. Esa potestad disciplinaria es de carácter netamente jurisdiccional y le corresponde a los jueces y magistrados, quienes ejercen en exclusiva la función de juzgar y de hacer ejecutar lo juzgado (art. 117. 3 CE), sin que las resoluciones que los letrados de la administración de justicia puedan dictar en ejercicio de sus funciones de dirección de la oficina judicial tenga carácter jurisdiccional.</w:t>
      </w:r>
    </w:p>
    <w:p w14:paraId="17F79005" w14:textId="77777777" w:rsidR="00A8138F" w:rsidRDefault="00A8138F" w:rsidP="00A8138F">
      <w:pPr>
        <w:pStyle w:val="TextoNormal"/>
      </w:pPr>
    </w:p>
    <w:p w14:paraId="7A856C88" w14:textId="76F8EC2E" w:rsidR="00A8138F" w:rsidRDefault="00A8138F" w:rsidP="00A8138F">
      <w:pPr>
        <w:pStyle w:val="TextoNormal"/>
      </w:pPr>
      <w:r>
        <w:t xml:space="preserve">En cuanto al alcance de la declaración de inconstitucionalidad, considera la fiscal que, dado que el art. 555. 1 LOPJ, </w:t>
      </w:r>
      <w:r w:rsidRPr="00A8138F">
        <w:rPr>
          <w:i/>
        </w:rPr>
        <w:t>per se</w:t>
      </w:r>
      <w:r>
        <w:t>, no plantea dudas de inconstitucionalidad, sino que es la interpretación conjunta de este artículo con el art. 556 LOPJ lo que suscita la objeción, el pronunciamiento de inconstitucionalidad debe realizar tal precisión (SSTC 22/1981, de 2 de julio, y 105/1988, de 8 de junio).</w:t>
      </w:r>
    </w:p>
    <w:p w14:paraId="26B2FC6B" w14:textId="77777777" w:rsidR="00A8138F" w:rsidRDefault="00A8138F" w:rsidP="00A8138F">
      <w:pPr>
        <w:pStyle w:val="TextoNormal"/>
      </w:pPr>
    </w:p>
    <w:p w14:paraId="451FD7D2" w14:textId="71A7694E" w:rsidR="00A8138F" w:rsidRDefault="00A8138F" w:rsidP="00A8138F">
      <w:pPr>
        <w:pStyle w:val="TextoNormal"/>
      </w:pPr>
      <w:r w:rsidRPr="00A8138F">
        <w:rPr>
          <w:rStyle w:val="NumeroAFNegritaCaracter"/>
        </w:rPr>
        <w:t>8</w:t>
      </w:r>
      <w:r>
        <w:t>. Por providencia de 14 de enero de 2025 se señaló para deliberación y votación de la presente sentencia el día 15 del mismo mes y año.</w:t>
      </w:r>
    </w:p>
    <w:p w14:paraId="4672806F" w14:textId="77777777" w:rsidR="00A8138F" w:rsidRDefault="00A8138F" w:rsidP="00A8138F">
      <w:pPr>
        <w:pStyle w:val="TextoNormal"/>
      </w:pPr>
    </w:p>
    <w:p w14:paraId="4D7B0FF6" w14:textId="77777777" w:rsidR="00A8138F" w:rsidRDefault="00A8138F" w:rsidP="00A8138F">
      <w:pPr>
        <w:pStyle w:val="TextoNormalNegritaCentrado"/>
        <w:keepNext/>
      </w:pPr>
      <w:r>
        <w:lastRenderedPageBreak/>
        <w:t>II. Fundamentos jurídicos</w:t>
      </w:r>
    </w:p>
    <w:p w14:paraId="2FC82FB6" w14:textId="2DDB3488" w:rsidR="00A8138F" w:rsidRDefault="00A8138F" w:rsidP="00A8138F">
      <w:pPr>
        <w:pStyle w:val="TextoNormalNegritaCentrado"/>
        <w:keepNext/>
      </w:pPr>
    </w:p>
    <w:p w14:paraId="216E25E4" w14:textId="77777777" w:rsidR="00A8138F" w:rsidRDefault="00A8138F" w:rsidP="00A8138F">
      <w:pPr>
        <w:pStyle w:val="TextoNormal"/>
      </w:pPr>
      <w:r w:rsidRPr="00A8138F">
        <w:rPr>
          <w:rStyle w:val="NumeroAFNegritaCaracter"/>
        </w:rPr>
        <w:t>1</w:t>
      </w:r>
      <w:r>
        <w:t xml:space="preserve">. </w:t>
      </w:r>
      <w:r w:rsidRPr="00A8138F">
        <w:rPr>
          <w:i/>
        </w:rPr>
        <w:t>Objeto de la cuestión, síntesis de posiciones y duda de constitucionalidad</w:t>
      </w:r>
    </w:p>
    <w:p w14:paraId="1EB6744A" w14:textId="77777777" w:rsidR="00A8138F" w:rsidRDefault="00A8138F" w:rsidP="00A8138F">
      <w:pPr>
        <w:pStyle w:val="TextoNormal"/>
      </w:pPr>
    </w:p>
    <w:p w14:paraId="31608639" w14:textId="77777777" w:rsidR="00A8138F" w:rsidRDefault="00A8138F" w:rsidP="00A8138F">
      <w:pPr>
        <w:pStyle w:val="TextoNormal"/>
      </w:pPr>
      <w:r>
        <w:t>La presente cuestión de inconstitucionalidad se plantea por la Sala Segunda del Tribunal Constitucional respecto de dos preceptos de la Ley Orgánica 6/1985, de 1 de julio, del Poder Judicial por posible contradicción con el art. 24.1 CE en relación con el art. 117.3 CE. Uno, el art. 555.1 en la redacción dada por la Ley Orgánica 19/2003, de 23 de diciembre, en la medida en que pueda interpretarse que la referencia a “la autoridad ante la que se sigan las actuaciones” como titular de la potestad de sancionar a quienes intervienen en los pleitos o causas incluye al letrado de la administración de justicia. Y, dos, el art. 556 en la redacción de la Ley Orgánica 19/2003, de 23 de diciembre, con la modificación operada por la Ley Orgánica 7/2015, de 21 de julio, en cuanto contempla a los letrados de la administración de justicia como autoridad que resuelve el recurso de audiencia y que informa en el recurso de alzada ante la Sala de Gobierno.</w:t>
      </w:r>
    </w:p>
    <w:p w14:paraId="1CB081FD" w14:textId="77777777" w:rsidR="00A8138F" w:rsidRDefault="00A8138F" w:rsidP="00A8138F">
      <w:pPr>
        <w:pStyle w:val="TextoNormal"/>
      </w:pPr>
    </w:p>
    <w:p w14:paraId="603E200C" w14:textId="77777777" w:rsidR="00A8138F" w:rsidRDefault="00A8138F" w:rsidP="00A8138F">
      <w:pPr>
        <w:pStyle w:val="TextoNormal"/>
      </w:pPr>
      <w:r>
        <w:t>Ambos preceptos se encuentran en el título V de la Ley Orgánica del Poder Judicial, que, bajo la rúbrica “De las sanciones que puedan imponerse a los que intervienen en los pleitos o causas”, prevé las “correcciones” de apercibimiento o multa (art. 554 LOPJ) aplicables a los profesionales que incurran en las conductas tipificadas en los arts. 552 y 553 LOPJ, alusivas al incumplimiento de las obligaciones que disponen las leyes procesales en el ejercicio de las funciones de defensa o representación. Los preceptos cuestionados determinan la autoridad competente para sancionar y el régimen de recursos con el siguiente tenor:</w:t>
      </w:r>
    </w:p>
    <w:p w14:paraId="6EE9F0BA" w14:textId="77777777" w:rsidR="00A8138F" w:rsidRDefault="00A8138F" w:rsidP="00A8138F">
      <w:pPr>
        <w:pStyle w:val="TextoNormal"/>
      </w:pPr>
    </w:p>
    <w:p w14:paraId="6194235F" w14:textId="77777777" w:rsidR="00A8138F" w:rsidRDefault="00A8138F" w:rsidP="00A8138F">
      <w:pPr>
        <w:pStyle w:val="TextoNormal"/>
      </w:pPr>
      <w:r>
        <w:t>Art. 555.1 LOPJ: “La corrección se impondrá por la autoridad ante la que se sigan las actuaciones”.</w:t>
      </w:r>
    </w:p>
    <w:p w14:paraId="12F6D4E0" w14:textId="77777777" w:rsidR="00A8138F" w:rsidRDefault="00A8138F" w:rsidP="00A8138F">
      <w:pPr>
        <w:pStyle w:val="TextoNormal"/>
      </w:pPr>
    </w:p>
    <w:p w14:paraId="20EE8C20" w14:textId="77777777" w:rsidR="00A8138F" w:rsidRDefault="00A8138F" w:rsidP="00A8138F">
      <w:pPr>
        <w:pStyle w:val="TextoNormal"/>
      </w:pPr>
      <w:r>
        <w:t>Art. 556 LOPJ: “Contra el acuerdo de imposición de la corrección podrá interponerse, en el plazo de cinco días, recurso de audiencia en justicia ante el letrado de la administración de justicia, el juez o la sala, que lo resolverán en el siguiente día. Contra este acuerdo o contra el de imposición de la sanción, en el caso de que no se hubiese utilizado el recurso de audiencia en justicia, cabrá recurso de alzada, en el plazo de cinco días, ante la Sala de Gobierno, que lo resolverá previo informe del letrado de la administración de justicia, del juez o de la sala que impuso la corrección, en la primera reunión que celebre”.</w:t>
      </w:r>
    </w:p>
    <w:p w14:paraId="773B371D" w14:textId="77777777" w:rsidR="00A8138F" w:rsidRDefault="00A8138F" w:rsidP="00A8138F">
      <w:pPr>
        <w:pStyle w:val="TextoNormal"/>
      </w:pPr>
    </w:p>
    <w:p w14:paraId="6F0A1EA4" w14:textId="77777777" w:rsidR="00A8138F" w:rsidRDefault="00A8138F" w:rsidP="00A8138F">
      <w:pPr>
        <w:pStyle w:val="TextoNormal"/>
      </w:pPr>
      <w:r>
        <w:t>El auto de planteamiento de la cuestión interna de inconstitucionalidad (ATC 76/2021, de 13 de septiembre) considera que la lectura conjunta de ambas previsiones suscita dudas fundadas sobre su constitucionalidad desde la perspectiva del art. 24.1 CE en relación con el art. 117.3 CE, por haber equiparado la potestad sancionadora de la llamada “policía de estrados” ejercida con carácter jurisdiccional por los jueces y tribunales, a quienes, conforme a la Constitución, corresponde en exclusiva la potestad jurisdiccional, con la que puedan ejercer los letrados de la administración de justicia, que carecen de dicha potestad, en el contexto de los procedimientos que se sigan ante ellos en su condición de directores de la oficina judicial.</w:t>
      </w:r>
    </w:p>
    <w:p w14:paraId="1195E39E" w14:textId="77777777" w:rsidR="00A8138F" w:rsidRDefault="00A8138F" w:rsidP="00A8138F">
      <w:pPr>
        <w:pStyle w:val="TextoNormal"/>
      </w:pPr>
    </w:p>
    <w:p w14:paraId="520D8CEE" w14:textId="77777777" w:rsidR="00A8138F" w:rsidRDefault="00A8138F" w:rsidP="00A8138F">
      <w:pPr>
        <w:pStyle w:val="TextoNormal"/>
      </w:pPr>
      <w:r>
        <w:t xml:space="preserve">El abogado del Estado solicita la desestimación de la cuestión en tanto cabría una interpretación conforme con la Constitución, ya que, frente a las sanciones disciplinarias que el letrado de la administración de justicia pueda imponer a los abogados y procuradores, cabe </w:t>
      </w:r>
      <w:r>
        <w:lastRenderedPageBreak/>
        <w:t>siempre recurso ante la Sala de Gobierno, que en esta materia el Tribunal Constitucional ha considerado que actúa con carácter jurisdiccional, de modo que está garantizada la revisión judicial.</w:t>
      </w:r>
    </w:p>
    <w:p w14:paraId="0FA2C368" w14:textId="77777777" w:rsidR="00A8138F" w:rsidRDefault="00A8138F" w:rsidP="00A8138F">
      <w:pPr>
        <w:pStyle w:val="TextoNormal"/>
      </w:pPr>
    </w:p>
    <w:p w14:paraId="2080425B" w14:textId="77777777" w:rsidR="00A8138F" w:rsidRDefault="00A8138F" w:rsidP="00A8138F">
      <w:pPr>
        <w:pStyle w:val="TextoNormal"/>
      </w:pPr>
      <w:r>
        <w:t>La fiscal general del Estado solicita que se estime la cuestión de inconstitucionalidad, por cuanto los preceptos cuestionados atribuyen a los letrados de la administración de justicia, que carecen de potestad jurisdiccional, la facultad de dictar resoluciones sancionatorias que la doctrina constitucional considera jurisdiccionales y que, por ello, corresponden en exclusiva a los jueces y tribunales.</w:t>
      </w:r>
    </w:p>
    <w:p w14:paraId="51517904" w14:textId="77777777" w:rsidR="00A8138F" w:rsidRDefault="00A8138F" w:rsidP="00A8138F">
      <w:pPr>
        <w:pStyle w:val="TextoNormal"/>
      </w:pPr>
    </w:p>
    <w:p w14:paraId="4C3ACE90" w14:textId="77777777" w:rsidR="00A8138F" w:rsidRDefault="00A8138F" w:rsidP="00A8138F">
      <w:pPr>
        <w:pStyle w:val="TextoNormal"/>
      </w:pPr>
      <w:r>
        <w:t>A tenor del auto de planteamiento, la duda de constitucionalidad que debe dilucidarse se asienta en la jurisprudencia de este tribunal acerca de la potestad correctora sobre abogados y procuradores en el ámbito procesal, que se entiende de naturaleza jurisdiccional, y sobre la reserva de jurisdicción como excluyente del desempeño de funciones jurisdiccionales por parte de los letrados de la administración de justicia. Porque los preceptos cuestionados (i) atribuyen a los letrados de la administración de justicia la competencia para imponer la sanción cuando las actuaciones se sigan ante ellos (como fue el caso de origen, en el que se seguía un procedimiento de ejecución de títulos judiciales) —art. 555.1 LOPJ en relación con el art. 556 LOPJ— y (ii) señalan como posibles recursos frente a sus acuerdos sancionadores el de audiencia ante el propio letrado sancionador y la alzada ante la Sala de Gobierno, de forma análoga a lo previsto para las correcciones impuestas por un juez —art. 556 LOPJ—, surge la incertidumbre de si se está atribuyendo un ejercicio indebido de funciones jurisdiccionales a estos letrados, de forma contraria a los arts. 24.1 y 117.3 CE, equiparando su potestad sancionadora a la ejercida con carácter jurisdiccional por jueces y tribunales, tanto en la instancia como en vía de recurso.</w:t>
      </w:r>
    </w:p>
    <w:p w14:paraId="0C4AE9CA" w14:textId="77777777" w:rsidR="00A8138F" w:rsidRDefault="00A8138F" w:rsidP="00A8138F">
      <w:pPr>
        <w:pStyle w:val="TextoNormal"/>
      </w:pPr>
    </w:p>
    <w:p w14:paraId="129F8ADC" w14:textId="265313E4" w:rsidR="00A8138F" w:rsidRDefault="00A8138F" w:rsidP="00A8138F">
      <w:pPr>
        <w:pStyle w:val="TextoNormal"/>
      </w:pPr>
      <w:r>
        <w:t>Para resolver esta cuestión ha de tenerse presente la doctrina de este tribunal acerca de la naturaleza de la potestad correctora procesal y de las funciones del letrado de la administración de justicia. Se comenzará con la exposición de esta última.</w:t>
      </w:r>
    </w:p>
    <w:p w14:paraId="09B00EDF" w14:textId="77777777" w:rsidR="00A8138F" w:rsidRDefault="00A8138F" w:rsidP="00A8138F">
      <w:pPr>
        <w:pStyle w:val="TextoNormal"/>
      </w:pPr>
    </w:p>
    <w:p w14:paraId="035A433A" w14:textId="77777777" w:rsidR="00A8138F" w:rsidRDefault="00A8138F" w:rsidP="00A8138F">
      <w:pPr>
        <w:pStyle w:val="TextoNormal"/>
      </w:pPr>
      <w:r w:rsidRPr="00A8138F">
        <w:rPr>
          <w:rStyle w:val="NumeroAFNegritaCaracter"/>
        </w:rPr>
        <w:t>2</w:t>
      </w:r>
      <w:r>
        <w:t xml:space="preserve">. </w:t>
      </w:r>
      <w:r w:rsidRPr="00A8138F">
        <w:rPr>
          <w:i/>
        </w:rPr>
        <w:t>Doctrina constitucional sobre la naturaleza no jurisdiccional de las funciones del letrado de la administración de justicia</w:t>
      </w:r>
    </w:p>
    <w:p w14:paraId="5F9F0C58" w14:textId="77777777" w:rsidR="00A8138F" w:rsidRDefault="00A8138F" w:rsidP="00A8138F">
      <w:pPr>
        <w:pStyle w:val="TextoNormal"/>
      </w:pPr>
    </w:p>
    <w:p w14:paraId="3CE568EB" w14:textId="77777777" w:rsidR="00A8138F" w:rsidRDefault="00A8138F" w:rsidP="00A8138F">
      <w:pPr>
        <w:pStyle w:val="TextoNormal"/>
      </w:pPr>
      <w:r>
        <w:t xml:space="preserve">Al hilo de la potenciación de la figura del secretario judicial, actual letrado de la administración de justicia, que efectuaron las reformas de la legislación procesal sobre la oficina judicial (Ley Orgánica 19/2003, de 23 de diciembre, de modificación de la Ley Orgánica 6/1985, de 1 de julio, del Poder Judicial; Ley 13/2009, de 3 de noviembre, de reforma de la legislación procesal para la implantación de la nueva oficina judicial, y Ley Orgánica 7/2015, de 21 de julio, por la que se modifica la Ley Orgánica del Poder Judicial), este tribunal ha recordado que la función jurisdiccional se reserva en exclusiva a jueces y magistrados, sin que pueda asumirse por los letrados de la administración de justicia (con carácter fundamental, STC 58/2016, de 17 de marzo; a la que siguen las SSTC 72/2018, de 21 de junio; 34/2019, de 14 de marzo; 15/2020, de 28 de enero, o 151/2020, de 22 de octubre). El tribunal consideró que la asunción de funciones adicionales por los letrados de la administración de justicia que conlleva el modelo legal de oficina judicial supone una distribución de las decisiones en el proceso entre jueces y magistrados y letrados de la administración de justicia a la que no podía oponerse tacha constitucional, porque “[s]e reserva a los primeros, como es obligado, las decisiones procesales que puedan afectar a la función o </w:t>
      </w:r>
      <w:r>
        <w:lastRenderedPageBreak/>
        <w:t>potestad estrictamente jurisdiccional, que les viene constitucionalmente reservada en exclusiva (art. 117.3 CE); y se atribuye a los segundos, que asumen la dirección de la oficina judicial, aquellas funciones que no tienen carácter jurisdiccional, lo que incluye el dictado de resoluciones procesales que no tengan este carácter” (STC 58/2016, de 17 de marzo, FJ 4).</w:t>
      </w:r>
    </w:p>
    <w:p w14:paraId="651FD0F7" w14:textId="77777777" w:rsidR="00A8138F" w:rsidRDefault="00A8138F" w:rsidP="00A8138F">
      <w:pPr>
        <w:pStyle w:val="TextoNormal"/>
      </w:pPr>
    </w:p>
    <w:p w14:paraId="29D72E2C" w14:textId="77777777" w:rsidR="00A8138F" w:rsidRDefault="00A8138F" w:rsidP="00A8138F">
      <w:pPr>
        <w:pStyle w:val="TextoNormal"/>
      </w:pPr>
      <w:r>
        <w:t>Se destacó entonces que el modelo legal pone de relieve el lugar preeminente que ocupa el juez o tribunal, como titular de la potestad jurisdiccional, con respecto al que corresponde al letrado de la administración de justicia, como director de la oficina judicial, que se configura como organización instrumental que sirve de soporte y apoyo a la actividad jurisdiccional (art. 435.1 LOPJ). Porque jueces y magistrados ejercen en exclusiva la función de juzgar y de hacer ejecutar lo juzgado (art. 117.3 CE) y el derecho fundamental garantizado por el art. 24.1 CE comporta que a ellos les corresponde dispensar la tutela de los derechos e intereses legítimos de los justiciables, toda resolución del letrado de la administración de justicia en el proceso debe poder ser sometida al control del juez o tribunal, sin que quepa admitir la existencia de un espacio de inmunidad jurisdiccional (STC 58/2016, FFJJ 4 y 7).</w:t>
      </w:r>
    </w:p>
    <w:p w14:paraId="594E04F7" w14:textId="77777777" w:rsidR="00A8138F" w:rsidRDefault="00A8138F" w:rsidP="00A8138F">
      <w:pPr>
        <w:pStyle w:val="TextoNormal"/>
      </w:pPr>
    </w:p>
    <w:p w14:paraId="67209F78" w14:textId="77777777" w:rsidR="00A8138F" w:rsidRDefault="00A8138F" w:rsidP="00A8138F">
      <w:pPr>
        <w:pStyle w:val="TextoNormal"/>
      </w:pPr>
      <w:r>
        <w:t>En suma, con el modelo de oficina judicial el letrado de la administración de justicia gana protagonismo en el desarrollo del proceso, y asume funciones que hasta ahora el legislador atribuía a los jueces y magistrados, dictando resoluciones motivadas de carácter procesal. El desarrollo de tales facultades no resulta constitucionalmente problemático en la medida en que se trate de actuaciones procesales no jurisdiccionales y sean judicialmente revisables.</w:t>
      </w:r>
    </w:p>
    <w:p w14:paraId="3A950D7A" w14:textId="77777777" w:rsidR="00A8138F" w:rsidRDefault="00A8138F" w:rsidP="00A8138F">
      <w:pPr>
        <w:pStyle w:val="TextoNormal"/>
      </w:pPr>
    </w:p>
    <w:p w14:paraId="373CB7D6" w14:textId="77777777" w:rsidR="00A8138F" w:rsidRDefault="00A8138F" w:rsidP="00A8138F">
      <w:pPr>
        <w:pStyle w:val="TextoNormal"/>
      </w:pPr>
      <w:r>
        <w:t>Entre las facultades que se reconocen al letrado de la administración de justicia se encuentra la de sancionar a los profesionales intervinientes en los pleitos o causas cuando las actuaciones en que se comete la infracción se sigan ante él (art. 555.1 en relación con el art. 556 LOPJ). Esta previsión, que se halla en sintonía con la ampliación de sus competencias en el desarrollo del proceso, se completa con lo dispuesto en el citado art. 556 LOPJ que, frente a los acuerdos que impongan correcciones, prevé un recurso potestativo de audiencia ante el propio letrado que acordó la sanción y un recurso de alzada ante la Sala de Gobierno.</w:t>
      </w:r>
    </w:p>
    <w:p w14:paraId="5D9950C5" w14:textId="77777777" w:rsidR="00A8138F" w:rsidRDefault="00A8138F" w:rsidP="00A8138F">
      <w:pPr>
        <w:pStyle w:val="TextoNormal"/>
      </w:pPr>
    </w:p>
    <w:p w14:paraId="2EE1ED6B" w14:textId="77777777" w:rsidR="00A8138F" w:rsidRDefault="00A8138F" w:rsidP="00A8138F">
      <w:pPr>
        <w:pStyle w:val="TextoNormal"/>
      </w:pPr>
      <w:r>
        <w:t>Las dudas de constitucionalidad que fundan la presente cuestión atañen a la conformidad con la reserva de jurisdicción (art. 117.3 CE) y el derecho a la tutela judicial efectiva de los ciudadanos (art. 24.1 CE) de la función sancionadora del letrado de la administración de justicia y la aplicación del régimen de impugnabilidad, equiparando de este modo su decisión a una jurisdiccional. Debe precisarse que, a diferencia de la cuestión interna de inconstitucionalidad resuelta en la inaugural STC 58/2016 (y las posteriores dilucidadas en las SSTC 72/2018, 34/2019, 15/2020 y 151/2020), la aquí planteada no se proyecta a la compatibilidad con el art. 24.1 CE, en relación con el art. 117.3 CE, del régimen de recursos establecido legalmente contra las decisiones de los letrados de la administración de justicia, sino solo a la cuestión previa de la atribución a los mismos de una facultad correctora que se considera jurisdiccional tanto en la instancia como en la revisión. En este sentido, la previsión del art. 556 LOPJ de un recurso de alzada ante la Sala de Gobierno, común para todos los acuerdos correctores, provengan de un juez o de un letrado de la administración de justicia, se cuestiona únicamente en tanto contempla la atribución a estos de tal función.</w:t>
      </w:r>
    </w:p>
    <w:p w14:paraId="2C240294" w14:textId="77777777" w:rsidR="00A8138F" w:rsidRDefault="00A8138F" w:rsidP="00A8138F">
      <w:pPr>
        <w:pStyle w:val="TextoNormal"/>
      </w:pPr>
    </w:p>
    <w:p w14:paraId="5E100C9C" w14:textId="0A5A1609" w:rsidR="00A8138F" w:rsidRDefault="00A8138F" w:rsidP="00A8138F">
      <w:pPr>
        <w:pStyle w:val="TextoNormal"/>
      </w:pPr>
      <w:r>
        <w:t xml:space="preserve">Como la duda de constitucionalidad afecta a la previsión legal que faculta a los letrados de la administración de justicia a imponer correcciones disciplinarias en el seno del proceso </w:t>
      </w:r>
      <w:r>
        <w:lastRenderedPageBreak/>
        <w:t>a abogados y procuradores deviene imprescindible examinar si esta facultad sancionadora tiene naturaleza jurisdiccional, para lo que habrá de partirse de la jurisprudencia constitucional sobre la potestad correctora ejercida en exclusiva por jueces y magistrados hasta la reforma de 2003.</w:t>
      </w:r>
    </w:p>
    <w:p w14:paraId="1041C75E" w14:textId="77777777" w:rsidR="00A8138F" w:rsidRDefault="00A8138F" w:rsidP="00A8138F">
      <w:pPr>
        <w:pStyle w:val="TextoNormal"/>
      </w:pPr>
    </w:p>
    <w:p w14:paraId="1F812385" w14:textId="77777777" w:rsidR="00A8138F" w:rsidRDefault="00A8138F" w:rsidP="00A8138F">
      <w:pPr>
        <w:pStyle w:val="TextoNormal"/>
      </w:pPr>
      <w:r w:rsidRPr="00A8138F">
        <w:rPr>
          <w:rStyle w:val="NumeroAFNegritaCaracter"/>
        </w:rPr>
        <w:t>3</w:t>
      </w:r>
      <w:r>
        <w:t xml:space="preserve">. </w:t>
      </w:r>
      <w:r w:rsidRPr="00A8138F">
        <w:rPr>
          <w:i/>
        </w:rPr>
        <w:t>Doctrina constitucional sobre la naturaleza jurisdiccional de la potestad de corrección ejercida por los jueces y tribunales sobre abogados y procuradores</w:t>
      </w:r>
    </w:p>
    <w:p w14:paraId="0120F327" w14:textId="77777777" w:rsidR="00A8138F" w:rsidRDefault="00A8138F" w:rsidP="00A8138F">
      <w:pPr>
        <w:pStyle w:val="TextoNormal"/>
      </w:pPr>
    </w:p>
    <w:p w14:paraId="77EBDE77" w14:textId="77777777" w:rsidR="00A8138F" w:rsidRDefault="00A8138F" w:rsidP="00A8138F">
      <w:pPr>
        <w:pStyle w:val="TextoNormal"/>
      </w:pPr>
      <w:r>
        <w:t>Como expuso el ATC 76/2021, FJ 3, “la jurisprudencia constitucional ha sido constante en considerar que el ejercicio de la potestad disciplinaria de la llamada ‘policía de estrados’ es de carácter netamente jurisdiccional”, y que “tanto las resoluciones sancionadoras como las resolutorias del recurso de alzada ‘no son actos materialmente administrativos, sino resoluciones jurisdiccionales dictadas en un proceso con todas las garantías’ (así, SSTC 205/1994, de 11 de julio, FJ 3; 157/1996, de 15 de octubre, FJ 2; 148/1997, de 29 de septiembre, FJ 2; 79/2002, de 8 de abril, FJ 2, o STC 197/2004, de 15 de noviembre, FJ 2)”. La jurisprudencia constitucional —y el auto de planteamiento de la cuestión cita en particular la STC 190/1991, de 14 de octubre, FJ 5— atribuye carácter jurisdiccional a la potestad disciplinaria ejercida sobre los profesionales “en tanto que, subjetivamente, era directamente ejercida por aquellos que constitucionalmente tienen reconocida la potestad jurisdiccional en el art. 117.3 CE —juzgados y tribunales— y, en fase de alzada, era también ejercida, subjetivamente, por un órgano [sala de gobierno] exclusivamente compuesto por los titulares constitucionales de esa potestad jurisdiccional —jueces y magistrados— y, funcionalmente, en revisión de la legalidad de una sanción impuesta ‘por un órgano judicial’ en el curso de un proceso”.</w:t>
      </w:r>
    </w:p>
    <w:p w14:paraId="721DD013" w14:textId="77777777" w:rsidR="00A8138F" w:rsidRDefault="00A8138F" w:rsidP="00A8138F">
      <w:pPr>
        <w:pStyle w:val="TextoNormal"/>
      </w:pPr>
    </w:p>
    <w:p w14:paraId="06AD565A" w14:textId="77777777" w:rsidR="00A8138F" w:rsidRDefault="00A8138F" w:rsidP="00A8138F">
      <w:pPr>
        <w:pStyle w:val="TextoNormal"/>
      </w:pPr>
      <w:r>
        <w:t>En efecto, el carácter jurisdiccional de la potestad correctora sobre abogados y procuradores que regulaba la Ley Orgánica del Poder Judicial de 1985, tanto de las sanciones como de las resoluciones revisoras, se afirmó por primera vez en la citada STC 205/1994. En su fundamento tercero se apoya tal aserto en el entendimiento de que era la doctrina establecida en la STC 190/1991, de 14 de octubre, y en la previa STC 110/1990, de 18 de junio, que se remitían a su vez a la STC 3/1982, de 8 de febrero. Algunas precisiones son necesarias acerca de este conjunto de resoluciones para definir la doctrina constitucional sobre la naturaleza de las correcciones disciplinarias.</w:t>
      </w:r>
    </w:p>
    <w:p w14:paraId="34CF3C5E" w14:textId="77777777" w:rsidR="00A8138F" w:rsidRDefault="00A8138F" w:rsidP="00A8138F">
      <w:pPr>
        <w:pStyle w:val="TextoNormal"/>
      </w:pPr>
    </w:p>
    <w:p w14:paraId="649AC6EC" w14:textId="77777777" w:rsidR="00A8138F" w:rsidRDefault="00A8138F" w:rsidP="00A8138F">
      <w:pPr>
        <w:pStyle w:val="TextoNormal"/>
      </w:pPr>
      <w:r>
        <w:t>Las dos primeras —SSTC 3/1982 y 110/1990— no se ocupan de la responsabilidad disciplinaria de abogados y procuradores, sino de la de los jueces y magistrados, pero abordan una queja análoga a la que se plantea en las SSTC 190/1991 y 205/1994: la lesión del derecho a la tutela judicial efectiva por la denegación del acceso a la jurisdicción contencioso-administrativa para impugnar la responsabilidad disciplinaria. En concreto, en la STC 190/1991 se discutía sobre la posible lesión del derecho fundamental por la inadmisión del recurso contencioso-administrativo contra el acuerdo confirmatorio de la Sala de Gobierno en cuanto impeditiva de la debida revisión jurisdiccional de la sanción. En buena lógica ha de entenderse que el argumento nuclear ofrecido en la sentencia para desvirtuar que dicha decisión fuera lesiva de derechos fundamentales era que la Sala de Gobierno ejerce funciones jurisdiccionales, sin que se hiciera pronunciamiento acerca del carácter jurisdiccional de los acuerdos sancionadores más allá de constatar que “[t]ales correcciones se imponen en el curso de un proceso judicial, por los jueces o tribunales que en el ejercicio de su fun</w:t>
      </w:r>
      <w:r>
        <w:lastRenderedPageBreak/>
        <w:t>ción conocen de la causa, como medio de asegurar el correcto desarrollo del proceso” (FJ 5).</w:t>
      </w:r>
    </w:p>
    <w:p w14:paraId="2255C99E" w14:textId="77777777" w:rsidR="00A8138F" w:rsidRDefault="00A8138F" w:rsidP="00A8138F">
      <w:pPr>
        <w:pStyle w:val="TextoNormal"/>
      </w:pPr>
    </w:p>
    <w:p w14:paraId="482870C8" w14:textId="77777777" w:rsidR="00A8138F" w:rsidRDefault="00A8138F" w:rsidP="00A8138F">
      <w:pPr>
        <w:pStyle w:val="TextoNormal"/>
      </w:pPr>
      <w:r>
        <w:t>La STC 190/1991 razona así que la Sala de Gobierno “es generalmente un órgano gubernativo con funciones de gobierno de sus respectivos tribunales, pero ello no impide que en determinados supuestos pueda ejercer funciones jurisdiccionales actuando como una instancia judicial capaz de satisfacer las exigencias previstas en el art. 24 CE. Tal configuración ya fue mantenida en la STC 3/1982 respecto de las sanciones impuestas a jueces y magistrados conforme a la Ley Orgánica del Poder Judicial de 15 de septiembre de 1870, y es posible seguir sustentándola, para el supuesto que nos ocupa, a la luz de las disposiciones contenidas en la vigente Ley Orgánica del Poder Judicial 6/1985, de 1 de julio […] como se dijo en la STC 110/1990” (FJ 5). Añade la STC 190/1991 que la Sala de Gobierno “cuando conoce de las correcciones disciplinarias impuestas por los juzgados y tribunales a los abogados y procuradores por las actuaciones realizadas en el curso de un proceso actúa como un órgano imparcial, compuesto por jueces y magistrados (art. 149.2 LOPJ), que lejos de ejercer funciones de gobierno y administración sobre los tribunales (previstas en el art. 152 LOPJ) enjuicia y revisa la legalidad de la sanción impuesta por un órgano judicial en el curso del proceso” (FJ 5). Y concluye que no se vulnera el derecho a obtener tutela judicial efectiva “pues el recurso ante la Sala de Gobierno y su posterior acuerdo revisor en el ejercicio de funciones jurisdiccionales satisface el derecho del recurrente al acceso judicial previsto en el art. 24 CE” (FJ 6).</w:t>
      </w:r>
    </w:p>
    <w:p w14:paraId="672A753B" w14:textId="77777777" w:rsidR="00A8138F" w:rsidRDefault="00A8138F" w:rsidP="00A8138F">
      <w:pPr>
        <w:pStyle w:val="TextoNormal"/>
      </w:pPr>
    </w:p>
    <w:p w14:paraId="012BAB76" w14:textId="77777777" w:rsidR="00A8138F" w:rsidRDefault="00A8138F" w:rsidP="00A8138F">
      <w:pPr>
        <w:pStyle w:val="TextoNormal"/>
      </w:pPr>
      <w:r>
        <w:t xml:space="preserve">Es de observar que en estos razonamientos se identifica el recurso ante la Sala de Gobierno como momento del debido control judicial y de revisión de la legalidad de la sanción, que “permite al sancionado rebatir la procedencia en derecho de la corrección disciplinaria impuesta”, de manera que “[e]l mecanismo de revisión legalmente previsto no limita las garantías del sancionado, pues a través de él podrá alegar y probar lo que a su derecho convenga” (FJ 5, </w:t>
      </w:r>
      <w:r w:rsidRPr="00A8138F">
        <w:rPr>
          <w:i/>
        </w:rPr>
        <w:t>in fine</w:t>
      </w:r>
      <w:r>
        <w:t>). Sin embargo, nada se dice sobre la naturaleza de la previa actuación sancionadora del órgano judicial, desde luego no se afirma que tuviera también carácter jurisdiccional. De esta manera nuestra jurisprudencia venía a introducir las garantías constitucionales en el sistema implantado por la Ley Orgánica del Poder Judicial de las sanciones que pueden imponerse a abogados y procuradores que intervienen en los pleitos y causas. Un marco legal que contemplaba toda actuación forense, y no solo la que los profesionales realizan en la sala de justicia propia de la “policía de estrados”, y que en contraste con esta no puede imponerse de plano (salvo el apercibimiento en las alegaciones orales), pues la multa “en todo caso se impondrá siempre con audiencia del interesado” (art. 450.2 LOPJ en su redacción originaria, art. 554.2 LOPJ actual). Por lo tanto, con la finalidad de introducir la revisión de legalidad de la sanción y garantizar el derecho de defensa del sancionado, nuestra doctrina vino a considerar el recurso de alzada ante la Sala de Gobierno como un acto jurisdiccional.</w:t>
      </w:r>
    </w:p>
    <w:p w14:paraId="36A4EE38" w14:textId="77777777" w:rsidR="00A8138F" w:rsidRDefault="00A8138F" w:rsidP="00A8138F">
      <w:pPr>
        <w:pStyle w:val="TextoNormal"/>
      </w:pPr>
    </w:p>
    <w:p w14:paraId="06760853" w14:textId="77777777" w:rsidR="00A8138F" w:rsidRDefault="00A8138F" w:rsidP="00A8138F">
      <w:pPr>
        <w:pStyle w:val="TextoNormal"/>
      </w:pPr>
      <w:r>
        <w:t xml:space="preserve">Fue en un segundo momento cuando se calificó del mismo modo a la sanción. La STC 205/1994, FJ 3, afirmó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Expresión que se reiteró en resoluciones ulteriores (SSTC 157/1996, de 15 de octubre, FJ 2; 148/1997, de 29 de septiembre, FJ 2; 79/2002, de 8 de abril, FJ 2, o 197/2004, </w:t>
      </w:r>
      <w:r>
        <w:lastRenderedPageBreak/>
        <w:t>de 15 de noviembre, FJ 2), sin más añadido en su fundamentación que la insistencia en que las resoluciones sancionadoras y las revisoras de estas “no son actos administrativos ni subjetivamente ni objetiva o materialmente, sino providencias jurisdiccionales cuya naturaleza intrínseca es claramente procesal” (STC 148/1997, de 29 de septiembre, FJ 2).</w:t>
      </w:r>
    </w:p>
    <w:p w14:paraId="5E7720DD" w14:textId="77777777" w:rsidR="00A8138F" w:rsidRDefault="00A8138F" w:rsidP="00A8138F">
      <w:pPr>
        <w:pStyle w:val="TextoNormal"/>
      </w:pPr>
    </w:p>
    <w:p w14:paraId="396E797F" w14:textId="153C8E6F" w:rsidR="00A8138F" w:rsidRDefault="00A8138F" w:rsidP="00A8138F">
      <w:pPr>
        <w:pStyle w:val="TextoNormal"/>
      </w:pPr>
      <w:r>
        <w:t>En este punto conviene matizar que la doctrina constitucional no ha ubicado las correcciones que se pueden imponer a los profesionales del derecho que intervienen en el proceso en el ámbito de la potestad sancionadora pública. Y ha negado reiteradamente su condición de actos materialmente administrativos, estableciendo su correspondencia con una función inherente al proceso judicial, una función auxiliar y doméstica, que ha denominado de “resoluciones jurisdiccionales”, “providencias jurisdiccionales cuya naturaleza intrínseca es claramente procesal”, “potestad de ordenación” o “peculiaridad perfectamente admisible de estos procedimientos diseñados para reaccionar rápida y eficazmente contra las conductas incorrectas en el proceso de los abogados y procuradores” (respectivamente, SSTC 205/1994, FJ 3; 148/1997, FJ 2, y 155/2006, de 22 de mayo, FJ 2).</w:t>
      </w:r>
    </w:p>
    <w:p w14:paraId="22FE0735" w14:textId="77777777" w:rsidR="00A8138F" w:rsidRDefault="00A8138F" w:rsidP="00A8138F">
      <w:pPr>
        <w:pStyle w:val="TextoNormal"/>
      </w:pPr>
    </w:p>
    <w:p w14:paraId="2B24B963" w14:textId="77777777" w:rsidR="00A8138F" w:rsidRDefault="00A8138F" w:rsidP="00A8138F">
      <w:pPr>
        <w:pStyle w:val="TextoNormal"/>
      </w:pPr>
      <w:r w:rsidRPr="00A8138F">
        <w:rPr>
          <w:rStyle w:val="NumeroAFNegritaCaracter"/>
        </w:rPr>
        <w:t>4</w:t>
      </w:r>
      <w:r>
        <w:t xml:space="preserve">. </w:t>
      </w:r>
      <w:r w:rsidRPr="00A8138F">
        <w:rPr>
          <w:i/>
        </w:rPr>
        <w:t>Naturaleza no jurisdiccional de la potestad correctora ejercida por el letrado de la administración de justicia</w:t>
      </w:r>
    </w:p>
    <w:p w14:paraId="1325C9F1" w14:textId="77777777" w:rsidR="00A8138F" w:rsidRDefault="00A8138F" w:rsidP="00A8138F">
      <w:pPr>
        <w:pStyle w:val="TextoNormal"/>
      </w:pPr>
    </w:p>
    <w:p w14:paraId="79F0C69E" w14:textId="77777777" w:rsidR="00A8138F" w:rsidRDefault="00A8138F" w:rsidP="00A8138F">
      <w:pPr>
        <w:pStyle w:val="TextoNormal"/>
      </w:pPr>
      <w:r>
        <w:t>A la luz de lo expuesto, en nuestra doctrina —a partir de la STC 205/1994— el carácter jurisdiccional de las correcciones disciplinarias se justifica en un criterio marcadamente subjetivo que se refuerza con la referencia al contexto procesal. De un lado, la función sancionadora se ejerce en el curso de un procedimiento por jueces y tribunales, quienes tienen atribuida la potestad jurisdiccional en el art. 117.3 CE. De otro lado, su ejercicio se revisa por un órgano, la Sala de Gobierno, del que también se predica aquí un excepcional carácter jurisdiccional frente a su habitual carácter gubernativo en atención a su composición, está integrado por jueces y magistrados, y al objeto de su actuación revisora, la legalidad de la sanción impuesta por un órgano judicial en el curso de un proceso. El problema que plantea la presente cuestión interna, la constitucionalidad del ejercicio por los letrados de la administración de justicia de la función correctora en relación con las actuaciones que se desenvuelvan ante ellos, hace necesario revisar la consistencia de los referidos criterios para fundamentar una naturaleza jurisdiccional irrestricta de dicha función correctora. Cabe anunciar que tales parámetros no permiten concluir que la actuación sancionadora atribuida por la ley a los letrados de la administración de justicia sea un ejercicio indebido de jurisdicción.</w:t>
      </w:r>
    </w:p>
    <w:p w14:paraId="21C8E701" w14:textId="77777777" w:rsidR="00A8138F" w:rsidRDefault="00A8138F" w:rsidP="00A8138F">
      <w:pPr>
        <w:pStyle w:val="TextoNormal"/>
      </w:pPr>
    </w:p>
    <w:p w14:paraId="24B04ECE" w14:textId="77777777" w:rsidR="00A8138F" w:rsidRDefault="00A8138F" w:rsidP="00A8138F">
      <w:pPr>
        <w:pStyle w:val="TextoNormal"/>
      </w:pPr>
      <w:r>
        <w:t>a) Criterio subjetivo: la insuficiencia de la naturaleza de los órganos sancionadores para definir el carácter materialmente jurisdiccional de la potestad correctora</w:t>
      </w:r>
    </w:p>
    <w:p w14:paraId="1CB00A52" w14:textId="77777777" w:rsidR="00A8138F" w:rsidRDefault="00A8138F" w:rsidP="00A8138F">
      <w:pPr>
        <w:pStyle w:val="TextoNormal"/>
      </w:pPr>
    </w:p>
    <w:p w14:paraId="6AF18B53" w14:textId="77777777" w:rsidR="00A8138F" w:rsidRDefault="00A8138F" w:rsidP="00A8138F">
      <w:pPr>
        <w:pStyle w:val="TextoNormal"/>
      </w:pPr>
      <w:r>
        <w:t xml:space="preserve">Debe disentirse con carácter principal de la suficiencia del mencionado criterio subjetivo para afirmar el carácter jurisdiccional absoluto de la facultad sancionadora. Ciertamente, si los jueces o magistrados solo pudieran ejercer la función jurisdiccional que les encomienda en exclusiva el art. 117.3 CE, no habría más posibilidades que afirmar el carácter jurisdiccional de la potestad correctora y excluir a cualquier otra autoridad, o, por el contrario, rechazar que esa facultad sea materialmente jurisdiccional y, en tal medida, pueda ejercerse únicamente por los titulares de la potestad jurisdiccional. Pero junto a la vertiente positiva de la exclusividad de la función jurisdiccional del art. 117.3 CE, el art. 117.4 CE contempla la vertiente negativa al prever que los juzgados y tribunales ejercerán también aquellas funciones no jurisdiccionales que disponga la ley en garantía de cualquier derecho. En el art. </w:t>
      </w:r>
      <w:r>
        <w:lastRenderedPageBreak/>
        <w:t>117.4 CE “la Constitución de 1978 ha matizado el alcance absoluto del principio de exclusividad jurisdiccional” (STC 70/2022, de 2 de junio, FJ 6). Es decir, solo los jueces y magistrados ejercen jurisdicción, pero no puede identificarse decisión judicial con decisión jurisdiccional.</w:t>
      </w:r>
    </w:p>
    <w:p w14:paraId="3A8AE464" w14:textId="77777777" w:rsidR="00A8138F" w:rsidRDefault="00A8138F" w:rsidP="00A8138F">
      <w:pPr>
        <w:pStyle w:val="TextoNormal"/>
      </w:pPr>
    </w:p>
    <w:p w14:paraId="737FF24E" w14:textId="77777777" w:rsidR="00A8138F" w:rsidRDefault="00A8138F" w:rsidP="00A8138F">
      <w:pPr>
        <w:pStyle w:val="TextoNormal"/>
      </w:pPr>
      <w:r>
        <w:t>El hecho de que tradicionalmente una función, aquí la corrección sobre abogados y procuradores, se haya ejercido por jueces y magistrados no define su carácter jurisdiccional desde una perspectiva material ni, por tanto, excluye su desempeño por otros profesionales no judiciales. Y ello, sin perjuicio de que la actuación judicial, también cuando ejerce la facultad sancionadora intraprocesal, esté caracterizada por las notas de independencia, imparcialidad y desinterés objetivo definitorias funcionalmente del ejercicio de jurisdicción. Fuera, pues, de la reserva jurisdiccional, la reserva judicial no es una exigencia constitucional, es una opción del legislador que debe actuarse en el marco de la Constitución (STC 72/2022, de 13 de junio, FJ 6). Y ello sin perjuicio de que el carácter instrumental y anejo de la función correctora determine su inescindibilidad de la función principal a la que sirve y explique la lógica atribución de la facultad sancionadora a quien la ejerce.</w:t>
      </w:r>
    </w:p>
    <w:p w14:paraId="4CBADB86" w14:textId="77777777" w:rsidR="00A8138F" w:rsidRDefault="00A8138F" w:rsidP="00A8138F">
      <w:pPr>
        <w:pStyle w:val="TextoNormal"/>
      </w:pPr>
    </w:p>
    <w:p w14:paraId="38028EED" w14:textId="77777777" w:rsidR="00A8138F" w:rsidRDefault="00A8138F" w:rsidP="00A8138F">
      <w:pPr>
        <w:pStyle w:val="TextoNormal"/>
      </w:pPr>
      <w:r>
        <w:t>Precisamente, la presente cuestión de inconstitucionalidad atiende a la atribución de la competencia sancionadora desde la Ley Orgámica 19/2003 a “la autoridad ante la que se sigan las actuaciones”, lo que incluye al secretario judicial (tras la Ley Orgánica 7/2015, letrado de la administración de justicia) junto al juez o la sala (arts. 555.1 y 556 LOPJ); todo ello en el contexto legislativo de configuración de la oficina judicial y de potenciación de las funciones de los letrados de la administración de justicia. El panorama legal actual y el diseño del proceso difiere de forma notable del que examinaba la jurisprudencia constitucional antes examinada, que se centraba en la atribución exclusiva a los titulares del poder judicial de la potestad sancionadora —presupuesto que condicionaba el debate y la argumentación— en el marco de procedimientos con un menor ámbito decisorio del secretario judicial. Es por lo que no podemos asumir que aquella doctrina definiera materialmente la reserva jurisdiccional con base en un criterio subjetivo, centrado en el juez como única autoridad sancionadora y en las notas que caracterizan su actuación.</w:t>
      </w:r>
    </w:p>
    <w:p w14:paraId="7600EB88" w14:textId="77777777" w:rsidR="00A8138F" w:rsidRDefault="00A8138F" w:rsidP="00A8138F">
      <w:pPr>
        <w:pStyle w:val="TextoNormal"/>
      </w:pPr>
    </w:p>
    <w:p w14:paraId="32D0DC8B" w14:textId="77777777" w:rsidR="00A8138F" w:rsidRDefault="00A8138F" w:rsidP="00A8138F">
      <w:pPr>
        <w:pStyle w:val="TextoNormal"/>
      </w:pPr>
      <w:r>
        <w:t>b) Criterio locativo: la insuficiencia del contexto procesal para definir el carácter materialmente jurisdiccional de la actuación</w:t>
      </w:r>
    </w:p>
    <w:p w14:paraId="2F8A89D5" w14:textId="77777777" w:rsidR="00A8138F" w:rsidRDefault="00A8138F" w:rsidP="00A8138F">
      <w:pPr>
        <w:pStyle w:val="TextoNormal"/>
      </w:pPr>
    </w:p>
    <w:p w14:paraId="7175D888" w14:textId="77777777" w:rsidR="00A8138F" w:rsidRDefault="00A8138F" w:rsidP="00A8138F">
      <w:pPr>
        <w:pStyle w:val="TextoNormal"/>
      </w:pPr>
      <w:r>
        <w:t>Se alude también como elemento definitorio del carácter jurisdiccional de esta función correctora disciplinaria al dato de que se adopta en el marco de un proceso judicial.</w:t>
      </w:r>
    </w:p>
    <w:p w14:paraId="25562DB3" w14:textId="77777777" w:rsidR="00A8138F" w:rsidRDefault="00A8138F" w:rsidP="00A8138F">
      <w:pPr>
        <w:pStyle w:val="TextoNormal"/>
      </w:pPr>
    </w:p>
    <w:p w14:paraId="3FB21AFE" w14:textId="77777777" w:rsidR="00A8138F" w:rsidRDefault="00A8138F" w:rsidP="00A8138F">
      <w:pPr>
        <w:pStyle w:val="TextoNormal"/>
      </w:pPr>
      <w:r>
        <w:t>Al respecto debe hacerse un doble recordatorio. En primer lugar, que la potestad jurisdiccional se identifica materialmente con la tarea de juzgar y hacer ejecutar lo juzgado (art. 117.3 CE). “[L]a consecución de los procesos en los distintos órdenes jurisdiccionales permite materializar a diario la función que nuestra Constitución encomienda con carácter exclusivo (art. 117.3 CE) a los órganos de un poder del Estado, definido así expresamente por la Constitución como es el Poder Judicial (título VI CE), mediante la resolución de los conflictos de intereses y el aseguramiento del Estado de Derecho (art. 1.1 CE) y la paz social de los ciudadanos, así como la protección de estos frente al poder de la autoridad (SSTC 175/2001, de 26 de julio, FJ 6; 56/2002, de 11 de marzo, FJ 3, y 155/2011, de 17 de octubre, FJ 2)” (SSTC 140/2016, de 21 de julio, FJ 7, y 85/2018, de 19 de julio, FJ 5). La potestad o función jurisdiccional “concebida en sentido estricto como aquella actividad estatal desti</w:t>
      </w:r>
      <w:r>
        <w:lastRenderedPageBreak/>
        <w:t>nada a pronunciar derecho de forma irrevocable y cuyo ejercicio corresponde únicamente a los órganos judiciales […] se define y ejerce siempre en atención a los fines que son propios a cada orden jurisdiccional” (STC 85/2018, FJ 5). En segundo lugar, que, como ya señaló la STC 58/2016, de 17 de marzo, FJ 4, y reiteran las SSTC 72/2018, 34/2019, 15/2020 y 151/2020, no todas las actuaciones en el marco de un proceso son estrictamente jurisdiccionales y, por eso, no merece reproche constitucional la opción del legislador de distribuir la toma de decisiones en el proceso entre jueces y magistrados, de un lado, y letrados de la administración de justicia, de otro. Cabe, pues, una actuación procesal no jurisdiccional, de modo que la vinculación al proceso tampoco constituye un criterio definitorio absoluto de lo jurisdiccional.</w:t>
      </w:r>
    </w:p>
    <w:p w14:paraId="6E88D668" w14:textId="77777777" w:rsidR="00A8138F" w:rsidRDefault="00A8138F" w:rsidP="00A8138F">
      <w:pPr>
        <w:pStyle w:val="TextoNormal"/>
      </w:pPr>
    </w:p>
    <w:p w14:paraId="57BFB27E" w14:textId="77777777" w:rsidR="00A8138F" w:rsidRDefault="00A8138F" w:rsidP="00A8138F">
      <w:pPr>
        <w:pStyle w:val="TextoNormal"/>
      </w:pPr>
      <w:r>
        <w:t>Más allá de constatar que nuestra doctrina ha apreciado que no puede identificarse actuación procesal con actuación jurisdiccional, debe advertirse que el ejercicio de la función sancionadora sobre abogados y procuradores está desligado de la función decisoria en el proceso, en tanto no comporta la resolución de una cuestión controvertida sobre el fondo o sobre la situación jurídico-procesal de las partes.</w:t>
      </w:r>
    </w:p>
    <w:p w14:paraId="6787B09E" w14:textId="77777777" w:rsidR="00A8138F" w:rsidRDefault="00A8138F" w:rsidP="00A8138F">
      <w:pPr>
        <w:pStyle w:val="TextoNormal"/>
      </w:pPr>
    </w:p>
    <w:p w14:paraId="469148F1" w14:textId="77777777" w:rsidR="00A8138F" w:rsidRDefault="00A8138F" w:rsidP="00A8138F">
      <w:pPr>
        <w:pStyle w:val="TextoNormal"/>
      </w:pPr>
      <w:r>
        <w:t>De entrada, cabe observar que la infracción por incumplimiento de las obligaciones que les imponen las leyes no siempre se producirá con ocasión de una actuación estrictamente procesal, ni siquiera que tenga lugar en la sala de vistas del órgano. La propia jurisprudencia constitucional ha venido a incluir en el ámbito material de las correcciones disciplinarias de la Ley Orgánica del Poder Judicial hechos vinculados con el proceso, pero no integrados propiamente en un acto procesal, siendo el criterio decisivo que se vea concernido el derecho a la libertad de defensa del art. 24.2 CE. Así, por ejemplo, la STC 92/1995, de 19 de junio, atiende a los insultos proferidos por un letrado en las dependencias de un juzgado reclamando unas diligencias en las que su patrocinado no era parte; la STC 113/2000, de 5 de mayo, se ocupa del escrito dirigido por un letrado al fiscal jefe respecto de la actuación del fiscal del caso; la STC 184/2001, de 17 de septiembre, analiza las manifestaciones efectuadas por un abogado en la secretaría judicial en una visita informal cuando el proceso ya había concluido; y la STC 22/2005, de 1 de febrero, califica como actuación forense a estos efectos los comentarios sobre la actitud del juez realizados por una letrada a una testigo una vez finalizada la práctica de la prueba.</w:t>
      </w:r>
    </w:p>
    <w:p w14:paraId="22A9726D" w14:textId="77777777" w:rsidR="00A8138F" w:rsidRDefault="00A8138F" w:rsidP="00A8138F">
      <w:pPr>
        <w:pStyle w:val="TextoNormal"/>
      </w:pPr>
    </w:p>
    <w:p w14:paraId="3A09028A" w14:textId="77777777" w:rsidR="00A8138F" w:rsidRDefault="00A8138F" w:rsidP="00A8138F">
      <w:pPr>
        <w:pStyle w:val="TextoNormal"/>
      </w:pPr>
      <w:r>
        <w:t>Tampoco en los supuestos en que se sancionan conductas distintas de la falta de respeto a los funcionarios o a los participantes en un litigio, sino actuaciones que inciden en el correcto desarrollo del proceso, el hecho de que la conducta infractora tenga lugar con ocasión de una actuación procesal en sentido estricto implica que la corrección en sí misma sea un acto de dirección procesal y que tenga efectos en el proceso. No obsta a tal constatación que el ejercicio de la función sancionadora se conciba “como un instrumento indispensable para asegurar la integridad y correcto desarrollo del proceso (art. 24.1 CE), obtener el cumplimiento de las obligaciones procesales de las partes de probidad y de buena fe (art. 118 CE), así como evitar las ‘dilaciones indebidas’ (art. 24.2 CE)” (STC 205/1994, de 11 de julio, FJ 5). Que la facultad correctora sobre abogados y procuradores sea un medio complementario e instrumental al servicio del buen desarrollo del proceso no implica que constituya materialmente ejercicio de jurisdicción, al margen de expresar las especiales relaciones que se configuran entre quienes tienen encomendada la dirección y ordenación del proceso y los profesionales del derecho que intervienen en los mismos como asesores de las partes.</w:t>
      </w:r>
    </w:p>
    <w:p w14:paraId="258F43C9" w14:textId="77777777" w:rsidR="00A8138F" w:rsidRDefault="00A8138F" w:rsidP="00A8138F">
      <w:pPr>
        <w:pStyle w:val="TextoNormal"/>
      </w:pPr>
    </w:p>
    <w:p w14:paraId="195BA225" w14:textId="77777777" w:rsidR="00A8138F" w:rsidRDefault="00A8138F" w:rsidP="00A8138F">
      <w:pPr>
        <w:pStyle w:val="TextoNormal"/>
      </w:pPr>
      <w:r>
        <w:lastRenderedPageBreak/>
        <w:t>La configuración del procedimiento es asimismo un dato indicativo de que las sanciones disciplinarias no constituyen un acto procesal de dirección o resolución. Solo el apercibimiento y la orden de expulsión de la sala pueden aplicarse de plano, la multa en todo caso requiere de audiencia del interesado. Tanto su incoación como la adopción del acuerdo corrector se produce con independencia de la voluntad de las partes, pues no es preciso ni determinante que sostengan pretensión alguna al respecto; tampoco son objeto de contradicción con ellas (art. 555 LOPJ). Lo que revela la ausencia de algunas de las notas que caracterizan lo jurisdiccional, como son la existencia de controversia entre partes —a cuyo servicio actúan los profesionales del derecho objeto de la facultad correctora— y el uso del método contradictorio para la decisión. Por otro lado, los acuerdos sancionadores no se someten al régimen ordinario de recursos de las decisiones de ordenación y resolución del proceso. La ley contempla en el actual art. 556 LOPJ, como ha previsto siempre (así el art. 452 LOPJ en su redacción original de 1985 respecto a una potestad correctora que se atribuía exclusivamente a los jueces y magistrados), un régimen de recursos completamente diverso al ordinario de las decisiones judiciales, sustantivas y procesales, y común para todos los acuerdos sancionadores, con independencia de la autoridad decisora.</w:t>
      </w:r>
    </w:p>
    <w:p w14:paraId="1722D7EC" w14:textId="77777777" w:rsidR="00A8138F" w:rsidRDefault="00A8138F" w:rsidP="00A8138F">
      <w:pPr>
        <w:pStyle w:val="TextoNormal"/>
      </w:pPr>
    </w:p>
    <w:p w14:paraId="1F238B3B" w14:textId="77777777" w:rsidR="00A8138F" w:rsidRDefault="00A8138F" w:rsidP="00A8138F">
      <w:pPr>
        <w:pStyle w:val="TextoNormal"/>
      </w:pPr>
      <w:r>
        <w:t>La función correctora sancionadora aquí concernida se orienta a la tutela del interés general, de la función de la administración de justicia. Cuando de las faltas de respeto se trata (art. 553.1 LOPJ), no se pone el acento en el interés personal, el honor o la dignidad de los profesionales o de los intervinientes en el procedimiento, sino en la dignidad del Poder Judicial y el respeto al resto de intervinientes en el procedimiento. La despersonalización del bien jurídico protegido hace que no resulte amparado por la libertad de expresión necesaria para el eficaz ejercicio del derecho de defensa “atentar a la imparcialidad del Tribunal o alterar el orden público en la celebración del juicio oral, o menoscabar el respeto que merecen los demás intervinientes en el proceso” (SSTC 235/2002, de 9 de diciembre, FJ 2; 65/2004, de 19 de abril, FJ 2; y 145/2007, de 18 de junio, FJ 3). Asimismo, la sanción del incumplimiento por los profesionales de las obligaciones procesales que la ley les impone se vincula con la protección del buen desenvolvimiento del proceso (arts. 552 y 553 LOPJ, SSTC 190/1991, FJ 5, y 205/1994, de 11 de julio, FJ 5).</w:t>
      </w:r>
    </w:p>
    <w:p w14:paraId="0F1F069B" w14:textId="77777777" w:rsidR="00A8138F" w:rsidRDefault="00A8138F" w:rsidP="00A8138F">
      <w:pPr>
        <w:pStyle w:val="TextoNormal"/>
      </w:pPr>
    </w:p>
    <w:p w14:paraId="626F2052" w14:textId="77777777" w:rsidR="00A8138F" w:rsidRDefault="00A8138F" w:rsidP="00A8138F">
      <w:pPr>
        <w:pStyle w:val="TextoNormal"/>
      </w:pPr>
      <w:r>
        <w:t>Pero ni la tutela de la integridad del proceso ni su carácter instrumental implica que se esté ejerciendo materialmente la potestad jurisdiccional de juzgar y hacer ejecutar lo juzgado. No se está dirimiendo la contienda entre los derechos subjetivos e intereses legítimos de los particulares que han accedido a la jurisdicción (art. 24.1 CE), tampoco se está dilucidando la imposición de una pena por la comisión de un delito (arts. 25 y 24.2 CE) ni controlándose la legalidad de la actividad de la administración, incluida la sancionadora (art. 106.1 CE). No hay, en puridad, incidencia sobre el objeto del proceso ni sobre aspectos definitorios del desarrollo procesal; no implica una decisión de fondo o una decisión procesal —con la incidencia que puede tener en el resultado del pleito— en relación con las partes. Más alejadas aún de la condición jurisdiccional se hallan las actuaciones correctoras que pueda adoptar el letrado de la administración de justicia, dado que las funciones procesales que la ley le atribuye y en cuyo desarrollo puede cometerse la infracción, según se viene insistiendo, en ningún caso pueden tener carácter jurisdiccional.</w:t>
      </w:r>
    </w:p>
    <w:p w14:paraId="670D3E6F" w14:textId="77777777" w:rsidR="00A8138F" w:rsidRDefault="00A8138F" w:rsidP="00A8138F">
      <w:pPr>
        <w:pStyle w:val="TextoNormal"/>
      </w:pPr>
    </w:p>
    <w:p w14:paraId="46D67976" w14:textId="77777777" w:rsidR="00A8138F" w:rsidRDefault="00A8138F" w:rsidP="00A8138F">
      <w:pPr>
        <w:pStyle w:val="TextoNormal"/>
      </w:pPr>
      <w:r>
        <w:t xml:space="preserve">Todo ello permite entender que se produce una desconexión entre la sanción y el proceso en que actúa el abogado o el procurador, en cuya resolución y sobre cuyas partes no puede tener efectos la corrección al profesional que las representa y defiende. Y, con un alcance </w:t>
      </w:r>
      <w:r>
        <w:lastRenderedPageBreak/>
        <w:t>limitado, nos habilita para separarnos de la doctrina que estableció la STC 205/1994 y considerar que el ejercicio de la función correctora intraprocesal sobre los abogados y procuradores no consiste en actos jurisdiccionales en sentido estricto ni, tampoco, constituye actos materialmente administrativos.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 En alguna medida, esta interpretación significa un retorno a la doctrina que introdujo la STC 190/1991 para constitucionalizar el ejercicio de esta función por quienes entonces eran sus exclusivos titulares, jueces y magistrados, por la vía de considerar el recurso de alzada ante la Sala de Gobierno como acto jurisdiccional de revisión de la legalidad de la sanción. Y, con relación al objeto de la presente cuestión interna de constitucionalidad, ha de tenerse en cuenta la limitada atribución que el legislador ha hecho a los letrados de la administración de justicia —en una interpretación sistemática de los preceptos cuestionados en el art. 190.3 LOPJ y 186 de la Ley de enjuiciamiento civil— de la facultad de corregir a abogados y procuradores, que exclusivamente puede ejercerse en las actuaciones que se celebren ante él en las dependencias de la oficina judicial.</w:t>
      </w:r>
    </w:p>
    <w:p w14:paraId="38FE67E0" w14:textId="77777777" w:rsidR="00A8138F" w:rsidRDefault="00A8138F" w:rsidP="00A8138F">
      <w:pPr>
        <w:pStyle w:val="TextoNormal"/>
      </w:pPr>
    </w:p>
    <w:p w14:paraId="4A89830C" w14:textId="77777777" w:rsidR="00A8138F" w:rsidRDefault="00A8138F" w:rsidP="00A8138F">
      <w:pPr>
        <w:pStyle w:val="TextoNormal"/>
      </w:pPr>
      <w:r>
        <w:t>c) Desestimación de la cuestión interna de inconstitucionalidad</w:t>
      </w:r>
    </w:p>
    <w:p w14:paraId="65C2134D" w14:textId="77777777" w:rsidR="00A8138F" w:rsidRDefault="00A8138F" w:rsidP="00A8138F">
      <w:pPr>
        <w:pStyle w:val="TextoNormal"/>
      </w:pPr>
    </w:p>
    <w:p w14:paraId="7BF6604E" w14:textId="77777777" w:rsidR="00A8138F" w:rsidRDefault="00A8138F" w:rsidP="00A8138F">
      <w:pPr>
        <w:pStyle w:val="TextoNormal"/>
      </w:pPr>
      <w:r>
        <w:t>A la luz de lo expuesto, no puede afirmarse la naturaleza jurisdiccional material de una actuación correctora sobre abogados y procuradores porque proceda de un órgano judicial ni por el hecho de que se adopta en el marco de un proceso. Si el legislador atribuye a los letrados de la administración de justicia funciones procesales no jurisdiccionales en el marco del modelo de oficina judicial, así como la obligación de mantener el orden y amparar los derechos de los presentes “en todas aquellas actuaciones que se celebren únicamente ante él en las dependencias de la oficina judicial” (art. 190 LOPJ), resulta congruente y compatible con los arts. 117.3 y 24.1 CE que le confiera facultad correctora como función aneja y al servicio de dicha competencia.</w:t>
      </w:r>
    </w:p>
    <w:p w14:paraId="73D32F2C" w14:textId="77777777" w:rsidR="00A8138F" w:rsidRDefault="00A8138F" w:rsidP="00A8138F">
      <w:pPr>
        <w:pStyle w:val="TextoNormal"/>
      </w:pPr>
    </w:p>
    <w:p w14:paraId="41C9B1A5" w14:textId="5BADB4C5" w:rsidR="00A8138F" w:rsidRDefault="00A8138F" w:rsidP="00A8138F">
      <w:pPr>
        <w:pStyle w:val="TextoNormal"/>
      </w:pPr>
      <w:r>
        <w:t>En consecuencia, debe descartarse la duda de inconstitucionalidad de los arts. 555.1 y 556 LOPJ asentada en la consideración de que se atribuye el ejercicio de funciones jurisdiccionales a los letrados de la administración de justicia de forma contraria al derecho a la tutela judicial efectiva (art. 24.1 CE) en relación con el art. 117.3 CE. El ejercicio de la función correctora sobre abogados y procuradores prevista en los arts. 552 y ss. LOPJ por parte de los letrados de la administración de justicia no tiene carácter jurisdiccional y, por ello, no invade la reserva jurisdiccional ni, por ende, vulnera el derecho fundamental a la tutela judicial efectiva, ya que su decisión no resuelve sobre el objeto ni el desarrollo del proceso.</w:t>
      </w:r>
    </w:p>
    <w:p w14:paraId="4DA6E77D" w14:textId="77777777" w:rsidR="00A8138F" w:rsidRDefault="00A8138F" w:rsidP="00A8138F">
      <w:pPr>
        <w:pStyle w:val="TextoNormal"/>
      </w:pPr>
    </w:p>
    <w:p w14:paraId="2E524F86" w14:textId="77777777" w:rsidR="00A8138F" w:rsidRDefault="00A8138F" w:rsidP="00A8138F">
      <w:pPr>
        <w:pStyle w:val="TextoNormalCentrado"/>
        <w:keepNext/>
      </w:pPr>
      <w:r>
        <w:t>FALLO</w:t>
      </w:r>
    </w:p>
    <w:p w14:paraId="312F72CF" w14:textId="04543A6E" w:rsidR="00A8138F" w:rsidRDefault="00A8138F" w:rsidP="00A8138F">
      <w:pPr>
        <w:pStyle w:val="TextoNormalCentrado"/>
        <w:keepNext/>
      </w:pPr>
    </w:p>
    <w:p w14:paraId="4DEDF482" w14:textId="29738939" w:rsidR="00A8138F" w:rsidRDefault="00A8138F" w:rsidP="00A8138F">
      <w:pPr>
        <w:pStyle w:val="TextoNormal"/>
      </w:pPr>
      <w:r>
        <w:t xml:space="preserve">En atención a todo lo expuesto, el Tribunal Constitucional, por la autoridad que le confiere la Constitución de la Nación española, ha decidido desestimar la cuestión interna de inconstitucionalidad núm. 6596-2021, planteada por la Sala Segunda del Tribunal Constitucional respecto de los artículos 555.1 y 556 de la Ley Orgánica 6/1985, de 1 de julio, del </w:t>
      </w:r>
      <w:r>
        <w:lastRenderedPageBreak/>
        <w:t xml:space="preserve">Poder Judicial, en la redacción dada por la Ley Orgánica 19/2003, de 23 de diciembre, siempre en los términos del fundamento jurídico 4 b) </w:t>
      </w:r>
      <w:r w:rsidRPr="00A8138F">
        <w:rPr>
          <w:i/>
        </w:rPr>
        <w:t>in fine</w:t>
      </w:r>
      <w:r>
        <w:t>.</w:t>
      </w:r>
    </w:p>
    <w:p w14:paraId="2B252DDB" w14:textId="77777777" w:rsidR="00A8138F" w:rsidRDefault="00A8138F" w:rsidP="00A8138F">
      <w:pPr>
        <w:pStyle w:val="TextoNormal"/>
      </w:pPr>
    </w:p>
    <w:p w14:paraId="3245FF1B" w14:textId="77777777" w:rsidR="00A8138F" w:rsidRDefault="00A8138F" w:rsidP="00A8138F">
      <w:pPr>
        <w:pStyle w:val="TextoNormal"/>
      </w:pPr>
      <w:r>
        <w:t>Publíquese esta sentencia en el “Boletín Oficial del Estado”.</w:t>
      </w:r>
    </w:p>
    <w:p w14:paraId="5693BB9A" w14:textId="77777777" w:rsidR="00A8138F" w:rsidRDefault="00A8138F" w:rsidP="00A8138F">
      <w:pPr>
        <w:pStyle w:val="TextoNormal"/>
      </w:pPr>
      <w:r>
        <w:t>Dada en Madrid, a quince de enero de dos mil veinticinco.</w:t>
      </w:r>
    </w:p>
    <w:p w14:paraId="24B2CEEE" w14:textId="4258752B" w:rsidR="00A8138F" w:rsidRDefault="00A8138F" w:rsidP="00A8138F">
      <w:pPr>
        <w:pStyle w:val="ParrafoNormal"/>
      </w:pPr>
    </w:p>
    <w:p w14:paraId="4A72FD04" w14:textId="77777777" w:rsidR="00A8138F" w:rsidRDefault="00A8138F" w:rsidP="00A8138F">
      <w:pPr>
        <w:pStyle w:val="TextoNormalNegritaCentrado"/>
        <w:keepNext/>
      </w:pPr>
      <w:r>
        <w:t>Voto particular que formula la magistrada doña Concepción Espejel Jorquera a la sentencia dictada por el Pleno en la cuestión interna de inconstitucionalidad núm. 6596-2021 planteada por la Sala Segunda del Tribunal Constitucional</w:t>
      </w:r>
    </w:p>
    <w:p w14:paraId="4CA46B02" w14:textId="5AAA184C" w:rsidR="00A8138F" w:rsidRDefault="00A8138F" w:rsidP="00A8138F">
      <w:pPr>
        <w:pStyle w:val="TextoNormalNegritaCentrado"/>
        <w:keepNext/>
      </w:pPr>
    </w:p>
    <w:p w14:paraId="0C583D39" w14:textId="77777777" w:rsidR="00A8138F" w:rsidRDefault="00A8138F" w:rsidP="00A8138F">
      <w:pPr>
        <w:pStyle w:val="TextoNormal"/>
      </w:pPr>
      <w:r>
        <w:t>En el ejercicio de la facultad conferida por el artículo 90.2 LOTC y con respeto a la opinión de mis compañeros, formulo el presente voto particular por discrepar del fallo y de la fundamentación de la sentencia, por cuanto, como expuse durante la deliberación en el Pleno, considero que la autocuestión de inconstitucionalidad planteada por la Sala Segunda de este tribunal debió de ser estimada y declarada la inconstitucionalidad de los arts. 555.1 y 556 de la Ley Orgánica 6/1985, de 1 de julio, del Poder Judicial en la redacción dada a los mismos en la Ley Orgánica 19/2003, de 23 de diciembre.</w:t>
      </w:r>
    </w:p>
    <w:p w14:paraId="73F114FE" w14:textId="77777777" w:rsidR="00A8138F" w:rsidRDefault="00A8138F" w:rsidP="00A8138F">
      <w:pPr>
        <w:pStyle w:val="TextoNormal"/>
      </w:pPr>
    </w:p>
    <w:p w14:paraId="3249CFD0" w14:textId="77777777" w:rsidR="00A8138F" w:rsidRDefault="00A8138F" w:rsidP="00A8138F">
      <w:pPr>
        <w:pStyle w:val="TextoNormal"/>
      </w:pPr>
      <w:r>
        <w:t>Comparto las consideraciones contenidas en el ATC 76/2021, de 13 de septiembre, en el que la Sala Segunda acordó elevar al Pleno la presente cuestión interna de inconstitucionalidad respecto del art. 555.1 LOPJ, en la medida en que pueda interpretarse la referencia a “la autoridad ante la que se sigan las actuaciones” como inclusiva del letrado de la administración de justicia; y del art. 556 LOPJ en cuanto a la referencia a los letrados de la administración de justicia. Considero, como seguidamente detallaré, que efectivamente dichos preceptos vulneran el artículo 24.1 en relación con el artículo 117.3 de la Constitución.</w:t>
      </w:r>
    </w:p>
    <w:p w14:paraId="69320C0B" w14:textId="77777777" w:rsidR="00A8138F" w:rsidRDefault="00A8138F" w:rsidP="00A8138F">
      <w:pPr>
        <w:pStyle w:val="TextoNormal"/>
      </w:pPr>
    </w:p>
    <w:p w14:paraId="4E9E5467" w14:textId="77777777" w:rsidR="00A8138F" w:rsidRDefault="00A8138F" w:rsidP="00A8138F">
      <w:pPr>
        <w:pStyle w:val="TextoNormal"/>
      </w:pPr>
      <w:r>
        <w:t xml:space="preserve">1. </w:t>
      </w:r>
      <w:r w:rsidRPr="00A8138F">
        <w:rPr>
          <w:i/>
        </w:rPr>
        <w:t>Consideración de la imposición de correcciones disciplinarias en el seno del proceso como una categoría distinta de los actos jurisdiccionales y los administrativos</w:t>
      </w:r>
    </w:p>
    <w:p w14:paraId="73057D72" w14:textId="77777777" w:rsidR="00A8138F" w:rsidRDefault="00A8138F" w:rsidP="00A8138F">
      <w:pPr>
        <w:pStyle w:val="TextoNormal"/>
      </w:pPr>
    </w:p>
    <w:p w14:paraId="34FF1366" w14:textId="77777777" w:rsidR="00A8138F" w:rsidRDefault="00A8138F" w:rsidP="00A8138F">
      <w:pPr>
        <w:pStyle w:val="TextoNormal"/>
      </w:pPr>
      <w:r>
        <w:t>Para desestimar la cuestión interna de inconstitucionalidad la sentencia se aparta de la doctrina de este tribunal, que ha venido reiterando que el ejercicio de la denominada “policía de estrados” por parte de jueces y tribunales tiene un indudable carácter jurisdiccional.</w:t>
      </w:r>
    </w:p>
    <w:p w14:paraId="3BAF28A4" w14:textId="77777777" w:rsidR="00A8138F" w:rsidRDefault="00A8138F" w:rsidP="00A8138F">
      <w:pPr>
        <w:pStyle w:val="TextoNormal"/>
      </w:pPr>
    </w:p>
    <w:p w14:paraId="15A1B893" w14:textId="77777777" w:rsidR="00A8138F" w:rsidRDefault="00A8138F" w:rsidP="00A8138F">
      <w:pPr>
        <w:pStyle w:val="TextoNormal"/>
      </w:pPr>
      <w:r>
        <w:t>A tal fin se articula en la sentencia lo que se denominan “decisiones de disciplina dentro del proceso judicial”; señalando que no constituyen actos jurisdiccionales en sentido estricto, ni tampoco actos materialmente administrativos. Se añade, seguidamente, que “[e]stamos ante decisiones de disciplina dentro del proceso judicial […] en el marco de la función correctora que el legislador aneja a la dirección de los pleitos y causas, con la finalidad de garantizar su integridad y adecuado desarrollo”.</w:t>
      </w:r>
    </w:p>
    <w:p w14:paraId="46989AA7" w14:textId="77777777" w:rsidR="00A8138F" w:rsidRDefault="00A8138F" w:rsidP="00A8138F">
      <w:pPr>
        <w:pStyle w:val="TextoNormal"/>
      </w:pPr>
    </w:p>
    <w:p w14:paraId="68B47681" w14:textId="77777777" w:rsidR="00A8138F" w:rsidRDefault="00A8138F" w:rsidP="00A8138F">
      <w:pPr>
        <w:pStyle w:val="TextoNormal"/>
      </w:pPr>
      <w:r>
        <w:t>Estimo que esa especie de tercera categoría, no jurisdiccional ni administrativa, carece de base alguna en nuestro ordenamiento y se aparta injustificadamente de nuestra doctrina, contenida no solo en la STC 205/1994, de la que reconoce separarse la sentencia, sino en otras muchas, algunas de las cuales se citan en la propia resolución de la que discrepo.</w:t>
      </w:r>
    </w:p>
    <w:p w14:paraId="3BB6D64F" w14:textId="77777777" w:rsidR="00A8138F" w:rsidRDefault="00A8138F" w:rsidP="00A8138F">
      <w:pPr>
        <w:pStyle w:val="TextoNormal"/>
      </w:pPr>
    </w:p>
    <w:p w14:paraId="58357F51" w14:textId="77777777" w:rsidR="00A8138F" w:rsidRDefault="00A8138F" w:rsidP="00A8138F">
      <w:pPr>
        <w:pStyle w:val="TextoNormal"/>
      </w:pPr>
      <w:r>
        <w:lastRenderedPageBreak/>
        <w:t>Mediante la creación de “las decisiones de disciplina” en los términos mencionados se viene a permitir la asunción por los letrados de la administración de justicia de funciones claramente jurisdiccionales y, al mismo tiempo, mantener la doctrina de este tribunal que les ha venido negando la consideración de decisiones administrativas, según la cual las mismas no quedan sujetas a los requisitos propios de los actos de imposición de sanciones ni al control de la jurisdicción contencioso administrativa.</w:t>
      </w:r>
    </w:p>
    <w:p w14:paraId="2C204F7F" w14:textId="77777777" w:rsidR="00A8138F" w:rsidRDefault="00A8138F" w:rsidP="00A8138F">
      <w:pPr>
        <w:pStyle w:val="TextoNormal"/>
      </w:pPr>
    </w:p>
    <w:p w14:paraId="04A6D63E" w14:textId="77777777" w:rsidR="00A8138F" w:rsidRDefault="00A8138F" w:rsidP="00A8138F">
      <w:pPr>
        <w:pStyle w:val="TextoNormal"/>
      </w:pPr>
      <w:r>
        <w:t xml:space="preserve">2. </w:t>
      </w:r>
      <w:r w:rsidRPr="00A8138F">
        <w:rPr>
          <w:i/>
        </w:rPr>
        <w:t>Carácter jurisdiccional de las correcciones disciplinarias impuestas en el ámbito del proceso</w:t>
      </w:r>
    </w:p>
    <w:p w14:paraId="3055D938" w14:textId="77777777" w:rsidR="00A8138F" w:rsidRDefault="00A8138F" w:rsidP="00A8138F">
      <w:pPr>
        <w:pStyle w:val="TextoNormal"/>
      </w:pPr>
    </w:p>
    <w:p w14:paraId="1A43991B" w14:textId="77777777" w:rsidR="00A8138F" w:rsidRDefault="00A8138F" w:rsidP="00A8138F">
      <w:pPr>
        <w:pStyle w:val="TextoNormal"/>
      </w:pPr>
      <w:r>
        <w:t>La sentencia de la que disiento, a través de la creación de la anteriormente mencionada categoría de “decisiones de disciplina” a las que niega el carácter de actos jurisdiccionales, no solo se separa de la STC 205/1994, de 11 de julio, sino de otras muchas citadas en el auto de planteamiento de la cuestión.</w:t>
      </w:r>
    </w:p>
    <w:p w14:paraId="1ACE8359" w14:textId="77777777" w:rsidR="00A8138F" w:rsidRDefault="00A8138F" w:rsidP="00A8138F">
      <w:pPr>
        <w:pStyle w:val="TextoNormal"/>
      </w:pPr>
    </w:p>
    <w:p w14:paraId="4B641B2F" w14:textId="77777777" w:rsidR="00A8138F" w:rsidRDefault="00A8138F" w:rsidP="00A8138F">
      <w:pPr>
        <w:pStyle w:val="TextoNormal"/>
      </w:pPr>
      <w:r>
        <w:t>Tal naturaleza jurisdiccional se infería de otras resoluciones anteriores. La propia STC 205/1994 citaba las SSTC 110/1990 y 190/1991 (a la que la sentencia de la que discrepo dice retornar) señalando que “[e]n estas sentencias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 Por consiguiente, la resolución judicial en la que se declara la inadmisibilidad del recurso contencioso-administrativo no atenta contra el derecho fundamental a obtener tutela judicial efectiva ‛ni desde la perspectiva a obtener una resolución razonada con base en la legalidad ordinaria, ni como medio necesario para acceder a la revisión judicial’ (STC 190/1991, FJ 6)”.</w:t>
      </w:r>
    </w:p>
    <w:p w14:paraId="22B0365B" w14:textId="77777777" w:rsidR="00A8138F" w:rsidRDefault="00A8138F" w:rsidP="00A8138F">
      <w:pPr>
        <w:pStyle w:val="TextoNormal"/>
      </w:pPr>
    </w:p>
    <w:p w14:paraId="0E7FBFE2" w14:textId="77777777" w:rsidR="00A8138F" w:rsidRDefault="00A8138F" w:rsidP="00A8138F">
      <w:pPr>
        <w:pStyle w:val="TextoNormal"/>
      </w:pPr>
      <w:r>
        <w:t>En otras muchas resoluciones posteriores se ha venido reiterando que las decisiones de imposición de sanciones disciplinarias a un abogado constituyen actos jurisdiccionales. Así las SSTC 157/1996, de 15 de octubre, y 148/1997, de 29 de septiembre, que cita las SSTC 110/1990, 190/1991 y 205/1994; 79/2002, de 8 de abril, y 197/2004, de 15 de noviembre.</w:t>
      </w:r>
    </w:p>
    <w:p w14:paraId="1B395D08" w14:textId="77777777" w:rsidR="00A8138F" w:rsidRDefault="00A8138F" w:rsidP="00A8138F">
      <w:pPr>
        <w:pStyle w:val="TextoNormal"/>
      </w:pPr>
    </w:p>
    <w:p w14:paraId="267C90DF" w14:textId="77777777" w:rsidR="00A8138F" w:rsidRDefault="00A8138F" w:rsidP="00A8138F">
      <w:pPr>
        <w:pStyle w:val="TextoNormal"/>
      </w:pPr>
      <w:r>
        <w:t>Igualmente, la STC 155/2006, de 22 de mayo, FJ 2, señala: “Al respecto debemos recordar que, conforme a reiterada doctrina de este tribunal, la misma razón de ser y la lógica de la ‛policía en estrados’ regulada en los arts. 448 y ss. de la Ley Orgánica del Poder Judicial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w:t>
      </w:r>
    </w:p>
    <w:p w14:paraId="74B03DB4" w14:textId="77777777" w:rsidR="00A8138F" w:rsidRDefault="00A8138F" w:rsidP="00A8138F">
      <w:pPr>
        <w:pStyle w:val="TextoNormal"/>
      </w:pPr>
    </w:p>
    <w:p w14:paraId="1C09AF22" w14:textId="77777777" w:rsidR="00A8138F" w:rsidRDefault="00A8138F" w:rsidP="00A8138F">
      <w:pPr>
        <w:pStyle w:val="TextoNormal"/>
      </w:pPr>
      <w:r>
        <w:t>De ello se infiere que la STC 205/1994, de la que la sentencia de la que discrepo dice separarse, no fue en modo alguno episódica, sino que se ha reiterado en otras muchas, incluso posteriores a la reforma de la Ley Orgánica del Poder Judicial de 2003.</w:t>
      </w:r>
    </w:p>
    <w:p w14:paraId="50B7EF7F" w14:textId="77777777" w:rsidR="00A8138F" w:rsidRDefault="00A8138F" w:rsidP="00A8138F">
      <w:pPr>
        <w:pStyle w:val="TextoNormal"/>
      </w:pPr>
    </w:p>
    <w:p w14:paraId="7B4A46F3" w14:textId="77777777" w:rsidR="00A8138F" w:rsidRDefault="00A8138F" w:rsidP="00A8138F">
      <w:pPr>
        <w:pStyle w:val="TextoNormal"/>
      </w:pPr>
      <w:r>
        <w:lastRenderedPageBreak/>
        <w:t>Por otro lado, no puedo compartir que la exclusión del carácter jurisdiccional de las correcciones disciplinarias, que se efectúa para apoyar la asunción de la mencionada “policía de estrados” por los letrados de la administración de justicia, constituya una interpretación que signifique “un retorno a la doctrina que introdujo la STC 190/1991”. La STC 205/1994 en nada contradijo la recogida en la STC 190/1991, sino que citando esta y la STC 110/1990, indicó que “[e]n estas sentencias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w:t>
      </w:r>
    </w:p>
    <w:p w14:paraId="2E9FBA80" w14:textId="77777777" w:rsidR="00A8138F" w:rsidRDefault="00A8138F" w:rsidP="00A8138F">
      <w:pPr>
        <w:pStyle w:val="TextoNormal"/>
      </w:pPr>
    </w:p>
    <w:p w14:paraId="0406D486" w14:textId="77777777" w:rsidR="00A8138F" w:rsidRDefault="00A8138F" w:rsidP="00A8138F">
      <w:pPr>
        <w:pStyle w:val="TextoNormal"/>
      </w:pPr>
      <w:r>
        <w:t xml:space="preserve">3. </w:t>
      </w:r>
      <w:r w:rsidRPr="00A8138F">
        <w:rPr>
          <w:i/>
        </w:rPr>
        <w:t>Reserva jurisdiccional de las correcciones a los abogados como garantía del derecho de defensa</w:t>
      </w:r>
    </w:p>
    <w:p w14:paraId="3391ABF2" w14:textId="77777777" w:rsidR="00A8138F" w:rsidRDefault="00A8138F" w:rsidP="00A8138F">
      <w:pPr>
        <w:pStyle w:val="TextoNormal"/>
      </w:pPr>
    </w:p>
    <w:p w14:paraId="32E3C23E" w14:textId="77777777" w:rsidR="00A8138F" w:rsidRDefault="00A8138F" w:rsidP="00A8138F">
      <w:pPr>
        <w:pStyle w:val="TextoNormal"/>
      </w:pPr>
      <w:r>
        <w:t>Para declarar que lo que se denominan “decisiones de disciplina” no constituyen actos jurisdiccionales en sentido estricto, se parte en la sentencia del entendimiento de que “se produce una desconexión entre la sanción y el proceso en el que actúa el abogado o el procurador, en cuya resolución y sobre cuyas partes no puede tener efectos la corrección al profesional que la representa y defiende”.</w:t>
      </w:r>
    </w:p>
    <w:p w14:paraId="1420CC3F" w14:textId="77777777" w:rsidR="00A8138F" w:rsidRDefault="00A8138F" w:rsidP="00A8138F">
      <w:pPr>
        <w:pStyle w:val="TextoNormal"/>
      </w:pPr>
    </w:p>
    <w:p w14:paraId="5E3CE2F8" w14:textId="77777777" w:rsidR="00A8138F" w:rsidRDefault="00A8138F" w:rsidP="00A8138F">
      <w:pPr>
        <w:pStyle w:val="TextoNormal"/>
      </w:pPr>
      <w:r>
        <w:t>No puedo compartir esta consideración.</w:t>
      </w:r>
    </w:p>
    <w:p w14:paraId="7A6C095A" w14:textId="77777777" w:rsidR="00A8138F" w:rsidRDefault="00A8138F" w:rsidP="00A8138F">
      <w:pPr>
        <w:pStyle w:val="TextoNormal"/>
      </w:pPr>
    </w:p>
    <w:p w14:paraId="3754E11B" w14:textId="77777777" w:rsidR="00A8138F" w:rsidRDefault="00A8138F" w:rsidP="00A8138F">
      <w:pPr>
        <w:pStyle w:val="TextoNormal"/>
      </w:pPr>
      <w:r>
        <w:t>En numerosas de las sentencias que afirman la naturaleza jurisdiccional de las resoluciones que imponen correcciones disciplinarias, algunas citadas en la sentencia de la que discrepo, este tribunal ha recordado la incidencia que las mismas pueden tener en el derecho de defensa.</w:t>
      </w:r>
    </w:p>
    <w:p w14:paraId="6B819D90" w14:textId="77777777" w:rsidR="00A8138F" w:rsidRDefault="00A8138F" w:rsidP="00A8138F">
      <w:pPr>
        <w:pStyle w:val="TextoNormal"/>
      </w:pPr>
    </w:p>
    <w:p w14:paraId="4C874F4C" w14:textId="77777777" w:rsidR="00A8138F" w:rsidRDefault="00A8138F" w:rsidP="00A8138F">
      <w:pPr>
        <w:pStyle w:val="TextoNormal"/>
      </w:pPr>
      <w:r>
        <w:t>Ya la STC 38/1988, de 9 de marzo, señaló que “[e]n todo procedimiento sancionador dirigido contra un abogado por una falta del respeto debido a los demás participantes en el proceso eventualmente cometida en su actuación forense, entrarán, pues, en juego y deberán ser tenidos en cuenta no solo el respeto debido a —en su caso— una u otra autoridad, sino también la dignidad de la función de defensa, en cuanto ejercitada al servicio de garantías establecidas en el art. 24 de la CE, así como la libertad de expresión de que es titular el Abogado en cuanto tal, como ha sido entendido por el legislador en el art. 437.1 de la LOPJ”.</w:t>
      </w:r>
    </w:p>
    <w:p w14:paraId="7BB7B8D9" w14:textId="77777777" w:rsidR="00A8138F" w:rsidRDefault="00A8138F" w:rsidP="00A8138F">
      <w:pPr>
        <w:pStyle w:val="TextoNormal"/>
      </w:pPr>
    </w:p>
    <w:p w14:paraId="261CB416" w14:textId="77777777" w:rsidR="00A8138F" w:rsidRDefault="00A8138F" w:rsidP="00A8138F">
      <w:pPr>
        <w:pStyle w:val="TextoNormal"/>
      </w:pPr>
      <w:r>
        <w:t>Asimismo, la STC 92/1995, de 19 de junio, respecto de una sanción impuesta a un abogado por su actuación en la secretaría de un juzgado, citando la mencionada STC 38/1988, recordó que la despenalizacion de conductas anteriormente tipificadas como falta y el establecimiento de la regulación de la responsabilidad disciplinaria de los abogados se contempló como una nueva vía para tutelar mejor un derecho constitucional del abogado en el ejercicio de su actuación forense.</w:t>
      </w:r>
    </w:p>
    <w:p w14:paraId="3E7FA75B" w14:textId="77777777" w:rsidR="00A8138F" w:rsidRDefault="00A8138F" w:rsidP="00A8138F">
      <w:pPr>
        <w:pStyle w:val="TextoNormal"/>
      </w:pPr>
    </w:p>
    <w:p w14:paraId="53DD64E7" w14:textId="77777777" w:rsidR="00A8138F" w:rsidRDefault="00A8138F" w:rsidP="00A8138F">
      <w:pPr>
        <w:pStyle w:val="TextoNormal"/>
      </w:pPr>
      <w:r>
        <w:t xml:space="preserve">En la misma línea, STC 157/1996, de 15 de octubre, tras declarar que “[l]a libertad de expresión del abogado en el ejercicio de su función de defensa resulta, así, una libertad de expresión reforzada por su inmediata conexión a la efectividad de otro derecho fundamental, el derecho a la defensa </w:t>
      </w:r>
      <w:r w:rsidRPr="00A8138F">
        <w:rPr>
          <w:i/>
        </w:rPr>
        <w:t>ex</w:t>
      </w:r>
      <w:r>
        <w:t xml:space="preserve"> art. 24.2 CE [...] de tal modo que ‛en todo procedimiento sancionador dirigido contra un abogado por una falta del respeto debido a los demás participantes </w:t>
      </w:r>
      <w:r>
        <w:lastRenderedPageBreak/>
        <w:t>en el proceso eventualmente cometida en su actuación forense, entrarán, pues, en juego y deberán ser tenidos en cuenta, no solo el respeto debido a —en su caso— una o otra autoridad, sino también la dignidad de la función de defensa, en cuanto ejercitada al servicio de garantías establecidas en el art. 24 de la CE, así como la libertad de expresión de que es titular el abogado en cuanto tal, como ha sido entendido por el legislador en el art. 437.1 de la LOPJ’ (STC 38/1988, fundamento jurídico 2) [...] ‛al servicio de bienes y valores constitucionales reconocidos por los arts. 20.1 a) y 24 de la CE’”.</w:t>
      </w:r>
    </w:p>
    <w:p w14:paraId="6E18AA63" w14:textId="77777777" w:rsidR="00A8138F" w:rsidRDefault="00A8138F" w:rsidP="00A8138F">
      <w:pPr>
        <w:pStyle w:val="TextoNormal"/>
      </w:pPr>
    </w:p>
    <w:p w14:paraId="0F4A4D12" w14:textId="77777777" w:rsidR="00A8138F" w:rsidRDefault="00A8138F" w:rsidP="00A8138F">
      <w:pPr>
        <w:pStyle w:val="TextoNormal"/>
      </w:pPr>
      <w:r>
        <w:t>También la STC 113/2000, de 5 de mayo, reiteró que la vía disciplinaria se ha establecido al servicio de los derechos fundamentales a la libertad de expresión y a la tutela judicial efectiva, garantizados respectivamente en los arts. 20.1 a) y 24 CE.</w:t>
      </w:r>
    </w:p>
    <w:p w14:paraId="0B96847C" w14:textId="77777777" w:rsidR="00A8138F" w:rsidRDefault="00A8138F" w:rsidP="00A8138F">
      <w:pPr>
        <w:pStyle w:val="TextoNormal"/>
      </w:pPr>
    </w:p>
    <w:p w14:paraId="26F5CF0A" w14:textId="77777777" w:rsidR="00A8138F" w:rsidRDefault="00A8138F" w:rsidP="00A8138F">
      <w:pPr>
        <w:pStyle w:val="TextoNormal"/>
      </w:pPr>
      <w:r>
        <w:t>En idéntico sentido, la STC 184/2001, de 17 de septiembre, reitera que “este tribunal tiene declarado que la libertad de expresión del abogado en el ejercicio de la actividad de defensa es una manifestación cualificada del derecho reconocido en el art. 20.1 a) CE, porque se encuentra vinculada con carácter inescindible a los derechos de defensa de la parte (art. 24 CE) y al adecuado funcionamiento de los órganos jurisdiccionales en el cumplimiento del propio y fundamental papel que la Constitución les atribuye (art. 117 CE), razón por la cual se trata de una manifestación de la libertad de expresión especialmente resistente, inmune a restricciones que es claro que en otro contexto habrían de operar (SSTC 38/1988, de 9 de marzo, FJ 2; 205/1994, de 11 de julio, FJ 5; 157/1996, de 15 de octubre, FJ 5, y 113/2000, de 5 de mayo, FFJJ 4, 5 y 6)”, para añadir que “los órganos judiciales en los supuestos de conflicto entre aquellas libertades y estos bienes e intereses constitucionalmente protegidos, dada la posición preferente de dichas libertades frente a sus límites y el carácter restrictivo de estos, deben ponderar, atendiendo a las circunstancias concurrentes, si el ejercicio de dichas libertades se ha llevado a cabo dentro del ámbito constitucionalmente protegido de las mismas o, por el contrario, ha transgredido el referido ámbito, de forma que, siendo inexistente, insuficiente o inadecuada la citada ponderación, este tribunal ha de declarar la nulidad de las resoluciones judiciales recaídas en el proceso (SSTC 104/1986, de 17 de julio, FJ 6; 105/1990, de 6 de junio, FJ 3; 171/1990, de 12 de noviembre, FJ 4; 227/1992, de 14 de diciembre, FJ 3; 286/1993, de 4 de octubre, FJ 5, y 11/2000, de 17 de enero, FJ 8, por todas)”.</w:t>
      </w:r>
    </w:p>
    <w:p w14:paraId="0D8F86FC" w14:textId="77777777" w:rsidR="00A8138F" w:rsidRDefault="00A8138F" w:rsidP="00A8138F">
      <w:pPr>
        <w:pStyle w:val="TextoNormal"/>
      </w:pPr>
    </w:p>
    <w:p w14:paraId="73579A8D" w14:textId="77777777" w:rsidR="00A8138F" w:rsidRDefault="00A8138F" w:rsidP="00A8138F">
      <w:pPr>
        <w:pStyle w:val="TextoNormal"/>
      </w:pPr>
      <w:r>
        <w:t>En los mismos términos, las SSTC 79/2002, de 6 de abril; 235/2002, de 9 de enero; 65/2004, de 19 de abril; 197/2004, de 15 de noviembre; 22/2005, de 1 de febrero; 155/2006, de 22 de mayo, y 145/2007, de 18 de junio.</w:t>
      </w:r>
    </w:p>
    <w:p w14:paraId="2722CE1B" w14:textId="77777777" w:rsidR="00A8138F" w:rsidRDefault="00A8138F" w:rsidP="00A8138F">
      <w:pPr>
        <w:pStyle w:val="TextoNormal"/>
      </w:pPr>
    </w:p>
    <w:p w14:paraId="6619A002" w14:textId="77777777" w:rsidR="00A8138F" w:rsidRDefault="00A8138F" w:rsidP="00A8138F">
      <w:pPr>
        <w:pStyle w:val="TextoNormal"/>
      </w:pPr>
      <w:r>
        <w:t>Por todo ello, discrepo de las afirmaciones efectuadas en la sentencia que niegan la naturaleza jurisdiccional a la imposición de la sanción disciplinaria, que sostienen la existencia una pretendida desconexión entre la sanción y el proceso en que actúa el abogado o el procurador y que suponen que la imposición de la corrección al profesional que las representa o defiende no puede tener repercusión en el proceso. Por el contrario, la injustificada limitación de la libertad de expresión del abogado redundará en la efectividad del derecho de defensa de la parte en el proceso.</w:t>
      </w:r>
    </w:p>
    <w:p w14:paraId="58A0B0C7" w14:textId="77777777" w:rsidR="00A8138F" w:rsidRDefault="00A8138F" w:rsidP="00A8138F">
      <w:pPr>
        <w:pStyle w:val="TextoNormal"/>
      </w:pPr>
    </w:p>
    <w:p w14:paraId="25488754" w14:textId="77777777" w:rsidR="00A8138F" w:rsidRDefault="00A8138F" w:rsidP="00A8138F">
      <w:pPr>
        <w:pStyle w:val="TextoNormal"/>
      </w:pPr>
      <w:r>
        <w:t xml:space="preserve">Siendo necesaria la ponderación de intereses constitucionales en conflicto, cuya tutela tiene una indudable naturaleza jurisdiccional y atendida la posible incidencia de la sanción sobre el derecho a la tutela judicial efectiva de la parte defendida, considero que no existe </w:t>
      </w:r>
      <w:r>
        <w:lastRenderedPageBreak/>
        <w:t>justificación alguna para apartarnos de nuestra reiterada doctrina que ha venido manteniendo el carácter jurisdiccional de la imposición de las correcciones disciplinarias, por lo que solo cabe atribuir la decisión última sobre dicha materia en el curso proceso al titular del órgano jurisdiccional.</w:t>
      </w:r>
    </w:p>
    <w:p w14:paraId="42B23975" w14:textId="77777777" w:rsidR="00A8138F" w:rsidRDefault="00A8138F" w:rsidP="00A8138F">
      <w:pPr>
        <w:pStyle w:val="TextoNormal"/>
      </w:pPr>
    </w:p>
    <w:p w14:paraId="70E71A4F" w14:textId="77777777" w:rsidR="00A8138F" w:rsidRDefault="00A8138F" w:rsidP="00A8138F">
      <w:pPr>
        <w:pStyle w:val="TextoNormal"/>
      </w:pPr>
      <w:r>
        <w:t xml:space="preserve">4. </w:t>
      </w:r>
      <w:r w:rsidRPr="00A8138F">
        <w:rPr>
          <w:i/>
        </w:rPr>
        <w:t>Necesaria intervención del titular del órgano jurisdiccional en la decisión final de imposición de la sanción en el propio proceso</w:t>
      </w:r>
    </w:p>
    <w:p w14:paraId="4CEF140B" w14:textId="77777777" w:rsidR="00A8138F" w:rsidRDefault="00A8138F" w:rsidP="00A8138F">
      <w:pPr>
        <w:pStyle w:val="TextoNormal"/>
      </w:pPr>
    </w:p>
    <w:p w14:paraId="072D6553" w14:textId="77777777" w:rsidR="00A8138F" w:rsidRDefault="00A8138F" w:rsidP="00A8138F">
      <w:pPr>
        <w:pStyle w:val="TextoNormal"/>
      </w:pPr>
      <w:r>
        <w:t>Entre otras resoluciones, la STC 235/2002, de 9 de enero, citando las SSTC 157/1996, de 15 de octubre, y 226/2001, de 26 de noviembre, declara que para comprobar si la libertad de expresión en el ejercicio del derecho de defensa franqueó el límite del mínimo respeto debido a la autoridad e imparcialidad del Poder Judicial, se ha de atender principalmente al significado de las concretas expresiones utilizadas, en cuanto puedan revelar una intención de menosprecio en la plasmación de las ideas y conceptos a cuya expresión sirven en una compresión global del escrito enjuiciado. Tal menosprecio hacia una de las funciones estatales, como es la función judicial, constituye para nuestra doctrina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w:t>
      </w:r>
    </w:p>
    <w:p w14:paraId="30EA27EF" w14:textId="77777777" w:rsidR="00A8138F" w:rsidRDefault="00A8138F" w:rsidP="00A8138F">
      <w:pPr>
        <w:pStyle w:val="TextoNormal"/>
      </w:pPr>
    </w:p>
    <w:p w14:paraId="08AE2CF6" w14:textId="77777777" w:rsidR="00A8138F" w:rsidRDefault="00A8138F" w:rsidP="00A8138F">
      <w:pPr>
        <w:pStyle w:val="TextoNormal"/>
      </w:pPr>
      <w:r>
        <w:t>Por otro lado, en muchas de las sentencias citadas se recuerda que el bien tutelado en el procedimiento de imposición de sanciones a abogados y procuradores en el proceso no es el honor o la dignidad de la persona titular de un órgano judicial, sino el respeto debido al Poder Judicial en tanto que institución y que, por ello “el límite de la libertad de expresión en el ejercicio del derecho de defensa lo constituye, en este caso, el mínimo respeto debido a la autoridad e imparcialidad del Poder Judicial” (SSTC 157/1996, de 15 de octubre; 226/2001, de 26 de noviembre ; 79/2002, de 8 de abril; 235/2002, de 9 de enero; 117/2003, de 16 de junio; 65/2004, de 19 de abril; 197/2004, de 15 de noviembre; 22/2005, de 1 de febrero, y 155/2006, de 22 de mayo.</w:t>
      </w:r>
    </w:p>
    <w:p w14:paraId="14F01371" w14:textId="77777777" w:rsidR="00A8138F" w:rsidRDefault="00A8138F" w:rsidP="00A8138F">
      <w:pPr>
        <w:pStyle w:val="TextoNormal"/>
      </w:pPr>
    </w:p>
    <w:p w14:paraId="57A1E285" w14:textId="77777777" w:rsidR="00A8138F" w:rsidRDefault="00A8138F" w:rsidP="00A8138F">
      <w:pPr>
        <w:pStyle w:val="TextoNormal"/>
      </w:pPr>
      <w:r>
        <w:t>Por tanto considero que la debida ponderación de los bienes constitucionales afectados y salvaguarda del debido respeto al Poder Judicial, tutelado por la norma, no permiten excluir en ningún caso al titular del propio órgano jurisdiccional afectado por la infracción disciplinaria de la decisión última sobre la procedencia de la sanción.</w:t>
      </w:r>
    </w:p>
    <w:p w14:paraId="43EAA6D7" w14:textId="77777777" w:rsidR="00A8138F" w:rsidRDefault="00A8138F" w:rsidP="00A8138F">
      <w:pPr>
        <w:pStyle w:val="TextoNormal"/>
      </w:pPr>
    </w:p>
    <w:p w14:paraId="1ACBE8F3" w14:textId="77777777" w:rsidR="00A8138F" w:rsidRDefault="00A8138F" w:rsidP="00A8138F">
      <w:pPr>
        <w:pStyle w:val="TextoNormal"/>
      </w:pPr>
      <w:r>
        <w:t xml:space="preserve">5. </w:t>
      </w:r>
      <w:r w:rsidRPr="00A8138F">
        <w:rPr>
          <w:i/>
        </w:rPr>
        <w:t>Inconstitucionalidad de la exclusión de recurso ante el juez o tribunal de la decisión del letrado de la administración de justicia que impone la corrección disciplinaria a los profesionales que representan o defienden a las partes en el proceso</w:t>
      </w:r>
    </w:p>
    <w:p w14:paraId="7690222A" w14:textId="77777777" w:rsidR="00A8138F" w:rsidRDefault="00A8138F" w:rsidP="00A8138F">
      <w:pPr>
        <w:pStyle w:val="TextoNormal"/>
      </w:pPr>
    </w:p>
    <w:p w14:paraId="16A2E330" w14:textId="77777777" w:rsidR="00A8138F" w:rsidRDefault="00A8138F" w:rsidP="00A8138F">
      <w:pPr>
        <w:pStyle w:val="TextoNormal"/>
      </w:pPr>
      <w:r>
        <w:t>A lo expuesto precedentemente se añade que el único recurso previsto en el ámbito del órgano jurisdiccional en el que el letrado de la administración de justicia impone la sanción es el de audiencia en justicia ante el propio letrado (art. 556 LOPJ), cuando para las resoluciones de naturaleza procesal —siendo la materia disciplinaria eminentemente sustantiva o de fondo— se contempla el recurso de revisión ante el juez o tribunal.</w:t>
      </w:r>
    </w:p>
    <w:p w14:paraId="4A07AE51" w14:textId="77777777" w:rsidR="00A8138F" w:rsidRDefault="00A8138F" w:rsidP="00A8138F">
      <w:pPr>
        <w:pStyle w:val="TextoNormal"/>
      </w:pPr>
    </w:p>
    <w:p w14:paraId="745DD45C" w14:textId="77777777" w:rsidR="00A8138F" w:rsidRDefault="00A8138F" w:rsidP="00A8138F">
      <w:pPr>
        <w:pStyle w:val="TextoNormal"/>
      </w:pPr>
      <w:r>
        <w:t>Este tribunal en las SSTC 58/2016, de 17 de marzo; 72/2018, de 21 de junio; 34/2019, de 14 de marzo; 15/2020, de 28 de enero, y 151/2020, de 22 de octubre, ha resuelto cuestiones internas de inconstitucionalidad planteadas sobre diversas normas que, en directa conexión con la articulación procesal del modelo de oficina judicial que diseñó la Ley Orgánica 19/2003 y desarrolló la Ley 13/2009, una de cuyas claves es potenciar la intervención de los letrados de la administración de justicia, atribuían a estos últimos determinadas competencias resolutorias sin previsión de recurso ante la autoridad judicial en procesos seguidos ante las jurisdicciones contencioso-administrativa, social, civil y penal.</w:t>
      </w:r>
    </w:p>
    <w:p w14:paraId="3B6F95AF" w14:textId="77777777" w:rsidR="00A8138F" w:rsidRDefault="00A8138F" w:rsidP="00A8138F">
      <w:pPr>
        <w:pStyle w:val="TextoNormal"/>
      </w:pPr>
    </w:p>
    <w:p w14:paraId="7C83EF41" w14:textId="77777777" w:rsidR="00A8138F" w:rsidRDefault="00A8138F" w:rsidP="00A8138F">
      <w:pPr>
        <w:pStyle w:val="TextoNormal"/>
      </w:pPr>
      <w:r>
        <w:t>La doctrina establecida en dichas sentencias puede extractase en varios puntos:</w:t>
      </w:r>
    </w:p>
    <w:p w14:paraId="4C16AFD0" w14:textId="77777777" w:rsidR="00A8138F" w:rsidRDefault="00A8138F" w:rsidP="00A8138F">
      <w:pPr>
        <w:pStyle w:val="TextoNormal"/>
      </w:pPr>
    </w:p>
    <w:p w14:paraId="4EC8BC87" w14:textId="77777777" w:rsidR="00A8138F" w:rsidRDefault="00A8138F" w:rsidP="00A8138F">
      <w:pPr>
        <w:pStyle w:val="TextoNormal"/>
      </w:pPr>
      <w:r>
        <w:t>(i) No merece reproche de inconstitucionalidad la opción tomada por el legislador, en el marco del modelo de oficina judicial que diseñó la Ley Orgánica 19/2003, de 23 de diciembre, desarrollada posteriormente en las diversas normas procesales de cada uno de los órdenes jurisdiccionales, de distribuir la toma de decisiones en el proceso entre jueces y magistrados, por un lado, y letrados de la administración de justicia, por otro. De modo tal que se reserva a los primeros, como es obligado, las decisiones procesales que puedan afectar a la función o potestad estrictamente jurisdiccional, que les viene constitucionalmente reservada en exclusiva (art. 117.3 CE); mientras que se atribuye a los segundos, además de la dirección de la oficina judicial, aquellas funciones que no tienen carácter jurisdiccional, lo que incluye el dictado de resoluciones procesales que no comportan el ejercicio de la potestad jurisdiccional.</w:t>
      </w:r>
    </w:p>
    <w:p w14:paraId="3161B1F9" w14:textId="77777777" w:rsidR="00A8138F" w:rsidRDefault="00A8138F" w:rsidP="00A8138F">
      <w:pPr>
        <w:pStyle w:val="TextoNormal"/>
      </w:pPr>
    </w:p>
    <w:p w14:paraId="0DCA0B29" w14:textId="77777777" w:rsidR="00A8138F" w:rsidRDefault="00A8138F" w:rsidP="00A8138F">
      <w:pPr>
        <w:pStyle w:val="TextoNormal"/>
      </w:pPr>
      <w:r>
        <w:t>(ii) Esta distribución de funciones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tribunales (art. 435.1 LOPJ), ya que son los jueces y magistrados quienes ejercen en exclusiva la función de juzgar y de hacer ejecutar lo juzgado (art. 117.3 CE). De ese modo, en última instancia, debe quedar garantizado que toda resolución del letrado de la administración de justicia en el proceso pueda ser sometida al control del juez o tribunal. Esto constituye una exigencia ineludible del derecho a la tutela judicial efectiva garantizado por el art. 24.1 CE, así como en los textos internacionales sobre derechos fundamentales y libertades ratificados por España (art. 10.2 CE). Por tanto, queda vedado que el legislador excluya de manera absoluta e incondicionada la posibilidad de recurso judicial contra los decretos de los letrados de la administración de justicia, ya que entenderlo de otro modo supondría admitir la existencia de un sector inmune a la potestad jurisdiccional, lo que no se compadece con el derecho a la tutela judicial efectiva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w:t>
      </w:r>
    </w:p>
    <w:p w14:paraId="731DC2A4" w14:textId="77777777" w:rsidR="00A8138F" w:rsidRDefault="00A8138F" w:rsidP="00A8138F">
      <w:pPr>
        <w:pStyle w:val="TextoNormal"/>
      </w:pPr>
    </w:p>
    <w:p w14:paraId="253521D6" w14:textId="77777777" w:rsidR="00A8138F" w:rsidRDefault="00A8138F" w:rsidP="00A8138F">
      <w:pPr>
        <w:pStyle w:val="TextoNormal"/>
      </w:pPr>
      <w:r>
        <w:t xml:space="preserve">(iii) En este contexto, la garantía de control judicial puede establecerse tanto de modo directo, a través del recurso de revisión contra los decretos del letrado de la administración de justicia que pongan fin al proceso o impidan su continuación, como, indirectamente —es el caso de los decretos del letrado de la administración de justicia resolutorios del recurso de reposición contra sus propias decisiones—, mediante la posibilidad de que su objeto, aun </w:t>
      </w:r>
      <w:r>
        <w:lastRenderedPageBreak/>
        <w:t>no siendo recurrible en revisión ante el juez o tribunal, puede ser sometido de una manera real y efectiva a la consideración de los titulares de la potestad jurisdiccional dentro del proceso a través de instrumentos o remedios alternativos al régimen de recursos. En este último caso, sin embargo, es preciso descartar la eventualidad de que existan supuestos en los que la decisión del letrado de la administración de justicia excluida por el legislador del recurso de revisión ante el juez o tribunal concierna a cuestiones relevantes en el marco del proceso, que atañen a la función jurisdiccional reservada en exclusiva a jueces y magistrados (art. 117.3 CE), a quienes compete dispensar la tutela judicial efectiva sin indefensión que a todos garantiza el art. 24.1 CE.</w:t>
      </w:r>
    </w:p>
    <w:p w14:paraId="2EC48EDA" w14:textId="77777777" w:rsidR="00A8138F" w:rsidRDefault="00A8138F" w:rsidP="00A8138F">
      <w:pPr>
        <w:pStyle w:val="TextoNormal"/>
      </w:pPr>
    </w:p>
    <w:p w14:paraId="66BD3970" w14:textId="77777777" w:rsidR="00A8138F" w:rsidRDefault="00A8138F" w:rsidP="00A8138F">
      <w:pPr>
        <w:pStyle w:val="TextoNormal"/>
      </w:pPr>
      <w:r>
        <w:t>En las sentencias mencionadas este tribunal centró el problema a analizar en si era descartable la eventual existencia de supuestos en los que la decisión del letrado de la administración de justicia, excluida por el legislador del recurso de revisión ante el juez o tribunal, concernía a cuestiones relevantes en el marco del proceso, que atañen a la función jurisdiccional reservada en exclusiva a jueces y magistrados y que no eran susceptibles de remedio alternativo por parte del titular del órgano dentro del propio proceso.</w:t>
      </w:r>
    </w:p>
    <w:p w14:paraId="432F7E55" w14:textId="77777777" w:rsidR="00A8138F" w:rsidRDefault="00A8138F" w:rsidP="00A8138F">
      <w:pPr>
        <w:pStyle w:val="TextoNormal"/>
      </w:pPr>
    </w:p>
    <w:p w14:paraId="5D86C30B" w14:textId="77777777" w:rsidR="00A8138F" w:rsidRDefault="00A8138F" w:rsidP="00A8138F">
      <w:pPr>
        <w:pStyle w:val="TextoNormal"/>
      </w:pPr>
      <w:r>
        <w:t>La totalidad de las cuestiones de inconstitucionalidad fueron estimadas al concluir que las previsiones legales no eran compatibles con el derecho a la tutela judicial efectiva sin indefensión que garantiza el art. 24.1 CE y con el principio de exclusividad de la potestad jurisdiccional, o principio de “reserva de jurisdicción”, consagrado por el art. 117.3 CE y derivado del principio de independencia judicial garantizado por el art. 117.1 CE.</w:t>
      </w:r>
    </w:p>
    <w:p w14:paraId="04B72BE1" w14:textId="77777777" w:rsidR="00A8138F" w:rsidRDefault="00A8138F" w:rsidP="00A8138F">
      <w:pPr>
        <w:pStyle w:val="TextoNormal"/>
      </w:pPr>
    </w:p>
    <w:p w14:paraId="516C982D" w14:textId="77777777" w:rsidR="00A8138F" w:rsidRDefault="00A8138F" w:rsidP="00A8138F">
      <w:pPr>
        <w:pStyle w:val="TextoNormal"/>
      </w:pPr>
      <w:r>
        <w:t>Considero que las razones que dieron lugar a la anulación de las normas cuestionadas son extrapolables al caso que nos ocupa, en el que es clara la posible afectación de derechos fundamentales.</w:t>
      </w:r>
    </w:p>
    <w:p w14:paraId="5B859B63" w14:textId="77777777" w:rsidR="00A8138F" w:rsidRDefault="00A8138F" w:rsidP="00A8138F">
      <w:pPr>
        <w:pStyle w:val="TextoNormal"/>
      </w:pPr>
    </w:p>
    <w:p w14:paraId="0481BE46" w14:textId="77777777" w:rsidR="00A8138F" w:rsidRDefault="00A8138F" w:rsidP="00A8138F">
      <w:pPr>
        <w:pStyle w:val="TextoNormal"/>
      </w:pPr>
      <w:r>
        <w:t xml:space="preserve">La STC 58/2016, de 17 de marzo, estimó la cuestión interna de inconstitucionalidad núm. 5344-2013, planteada por la Sala Segunda del Tribunal Constitucional en relación con el art. 102 </w:t>
      </w:r>
      <w:r w:rsidRPr="00A8138F">
        <w:rPr>
          <w:i/>
        </w:rPr>
        <w:t>bis</w:t>
      </w:r>
      <w:r>
        <w:t>, apartado 2, de la Ley 29/1998, de 13 de julio, reguladora de la jurisdicción contencioso-administrativa, añadido por la Ley 13/2009, de 3 de noviembre, de reforma de la legislación procesal para la implantación de la nueva oficina judicial.</w:t>
      </w:r>
    </w:p>
    <w:p w14:paraId="78F4530B" w14:textId="77777777" w:rsidR="00A8138F" w:rsidRDefault="00A8138F" w:rsidP="00A8138F">
      <w:pPr>
        <w:pStyle w:val="TextoNormal"/>
      </w:pPr>
    </w:p>
    <w:p w14:paraId="3FC4A002" w14:textId="77777777" w:rsidR="00A8138F" w:rsidRDefault="00A8138F" w:rsidP="00A8138F">
      <w:pPr>
        <w:pStyle w:val="TextoNormal"/>
      </w:pPr>
      <w:r>
        <w:t xml:space="preserve">El supuesto al que se refirió la Sala Segunda de este tribunal al plantear la cuestión interna de inconstitucionalidad en su ATC 163/2013, de 9 de septiembre, estimada en la STC 58/2016, de 17 de marzo, fue el del señalamiento por el letrado de la administración de justicia del día para la celebración de la vista en el procedimiento abreviado contencioso-administrativo (art. 78.3 LJCA). Esta decisión, una vez confirmada en reposición por el letrado, quedó excluida del recurso directo de revisión ante el juez o tribunal, conforme a lo dispuesto en el cuestionado párrafo primero del art. 102 </w:t>
      </w:r>
      <w:r w:rsidRPr="00A8138F">
        <w:rPr>
          <w:i/>
        </w:rPr>
        <w:t>bis</w:t>
      </w:r>
      <w:r>
        <w:t>.2 LJCA. Declaró este tribunal que con ello se privó al justiciable de la posibilidad de someter a la decisión última del titular del órgano judicial una cuestión que afecta a un derecho fundamental, que en el caso sería el derecho a un proceso sin dilaciones indebidas, garantizado por el art. 24.2 CE (por la demora, que el justiciable considera excesiva, en la fecha señalada para la vista); lo que a su vez podría suponer “una desatención del derecho a la tutela judicial efectiva del art. 24.1 CE” (ATC 163/2013, FJ 2).</w:t>
      </w:r>
    </w:p>
    <w:p w14:paraId="7F598B79" w14:textId="77777777" w:rsidR="00A8138F" w:rsidRDefault="00A8138F" w:rsidP="00A8138F">
      <w:pPr>
        <w:pStyle w:val="TextoNormal"/>
      </w:pPr>
    </w:p>
    <w:p w14:paraId="4B257EBB" w14:textId="77777777" w:rsidR="00A8138F" w:rsidRDefault="00A8138F" w:rsidP="00A8138F">
      <w:pPr>
        <w:pStyle w:val="TextoNormal"/>
      </w:pPr>
      <w:r>
        <w:lastRenderedPageBreak/>
        <w:t>Por su parte, la STC 72/2018, de 21 de junio, estimó una cuestión interna de inconstitucionalidad planteada por la Sala Segunda en el recurso de amparo núm. 1656-2017, en relación con el artículo 188, apartado primero, párrafo primero de la Ley 36/2011, de 10 de octubre, reguladora de la jurisdicción social, por posible vulneración del artículo 24.1 CE. El supuesto en el que se planteó se refería a la diligencia de ordenación dictada por el letrado de la administración de justicia por la que se tuvo por no formalizado el escrito de impugnación al recurso de casación para unificación de doctrina (art. 226 de la Ley reguladora de la jurisdicción social). Dicha decisión no trajo consigo la finalización del procedimiento, aunque sí la imposibilidad de la parte de presentar alegaciones en su defensa contra el recurso deducido en su contra, dado que las resoluciones dictadas por el letrado de la administración de justicia no pudieron ser objeto de control jurisdiccional por los magistrados de la Sección Segunda de la Sala Cuarta del Tribunal Supremo, al no permitirlo la ley.</w:t>
      </w:r>
    </w:p>
    <w:p w14:paraId="3DD2293A" w14:textId="77777777" w:rsidR="00A8138F" w:rsidRDefault="00A8138F" w:rsidP="00A8138F">
      <w:pPr>
        <w:pStyle w:val="TextoNormal"/>
      </w:pPr>
    </w:p>
    <w:p w14:paraId="709BC438" w14:textId="77777777" w:rsidR="00A8138F" w:rsidRDefault="00A8138F" w:rsidP="00A8138F">
      <w:pPr>
        <w:pStyle w:val="TextoNormal"/>
      </w:pPr>
      <w:r>
        <w:t>La STC 34/2019, de 14 de marzo, estimó la cuestión interna de inconstitucionalidad núm. 4820-2018 planteada por la Sala Segunda respecto del párrafo segundo del art. 35.2 de la Ley 1/2000, de 7 de enero, de enjuiciamiento civil, en relación con la regulación de los párrafos segundo y tercero del art. 34.2 a los que remite, en la redacción dada por la Ley 13/2009, de 3 de noviembre, de reforma de la legislación procesal para la implantación de la nueva oficina judicial, por posible vulneración del artículo 24.1 CE. En dicho supuesto la duda de constitucionalidad que se planteó afectaba al régimen de recursos contra los decretos de los letrados de la administración de justicia en las reclamaciones de honorarios de abogados reguladas en la Ley de enjuiciamiento civil, dado que el precepto establecía que decreto por el que se determinan los honorarios del abogado no era susceptible de recurso “pero no prejuzgará, ni siquiera parcialmente, la sentencia que pudiere recaer en juicio ordinario ulterior”.</w:t>
      </w:r>
    </w:p>
    <w:p w14:paraId="43C03031" w14:textId="77777777" w:rsidR="00A8138F" w:rsidRDefault="00A8138F" w:rsidP="00A8138F">
      <w:pPr>
        <w:pStyle w:val="TextoNormal"/>
      </w:pPr>
    </w:p>
    <w:p w14:paraId="143065FD" w14:textId="77777777" w:rsidR="00A8138F" w:rsidRDefault="00A8138F" w:rsidP="00A8138F">
      <w:pPr>
        <w:pStyle w:val="TextoNormal"/>
      </w:pPr>
      <w:r>
        <w:t>Teniendo en consideración que la regulación atribuía a los letrados de la administración de justicia facultades decisorias sobre cuestiones sustantivas como su propia competencia, el pago, la existencia de pactos relativos a los honorarios, la propia corrección de estos, su prescripción o, incluso, la caducidad del procedimiento principal del que trae causa, se declaró la inconstitucionalidad de la norma en la medida en que su aplicación pudiera eventualmente impedir que las decisiones de aquellos letrados fueran revisadas por los jueces y tribunales, titulares en exclusiva de la potestad jurisdiccional (art. 117.3 CE), impidiéndose que estos últimos dispensen la tutela judicial efectiva sin indefensión que garantiza el art. 24.1 CE.</w:t>
      </w:r>
    </w:p>
    <w:p w14:paraId="6E434A4F" w14:textId="77777777" w:rsidR="00A8138F" w:rsidRDefault="00A8138F" w:rsidP="00A8138F">
      <w:pPr>
        <w:pStyle w:val="TextoNormal"/>
      </w:pPr>
    </w:p>
    <w:p w14:paraId="4C71DC94" w14:textId="77777777" w:rsidR="00A8138F" w:rsidRDefault="00A8138F" w:rsidP="00A8138F">
      <w:pPr>
        <w:pStyle w:val="TextoNormal"/>
      </w:pPr>
      <w:r>
        <w:t xml:space="preserve">En la STC 15/2020, de 28 de enero, se estimó la cuestión interna de inconstitucionalidad núm. 2754-2019, planteada por su Sala Segunda en el recurso de amparo núm. 5661-2017, en relación con el artículo 454 </w:t>
      </w:r>
      <w:r w:rsidRPr="00A8138F">
        <w:rPr>
          <w:i/>
        </w:rPr>
        <w:t>bis</w:t>
      </w:r>
      <w:r>
        <w:t xml:space="preserve">.1, párrafo primero, de la Ley de enjuiciamiento civil, en la redacción dada por la Ley 37/2011, de 10 de octubre, de medidas de agilización procesal, por posible vulneración del artículo 24.1 CE. El supuesto al que se refirió esta cuestión fue el de denegación por el letrado de la administración una solicitud de ejecución forzosa de una condena de hacer por inexistencia de recurso ante el juez. Este tribunal declaró la inconstitucionalidad del precepto que establecía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 Se concluyó que esa redacción no permitía descartar </w:t>
      </w:r>
      <w:r>
        <w:lastRenderedPageBreak/>
        <w:t>la eventualidad de que existieran supuestos en que la decisión del letrado de la administración de justicia excluida por el legislador del control judicial —directo o indirecto— concerniera a cuestiones relevantes en el marco del proceso que atañen a la función jurisdiccional, reservada en exclusiva a jueces y magistrados y que, por tanto, deben quedar sometidas a la posibilidad de control de acuerdo con el derecho a la tutela judicial efectiva sin indefensión del art. 24.1 CE.</w:t>
      </w:r>
    </w:p>
    <w:p w14:paraId="654B955D" w14:textId="77777777" w:rsidR="00A8138F" w:rsidRDefault="00A8138F" w:rsidP="00A8138F">
      <w:pPr>
        <w:pStyle w:val="TextoNormal"/>
      </w:pPr>
    </w:p>
    <w:p w14:paraId="49E9C484" w14:textId="77777777" w:rsidR="00A8138F" w:rsidRDefault="00A8138F" w:rsidP="00A8138F">
      <w:pPr>
        <w:pStyle w:val="TextoNormal"/>
      </w:pPr>
      <w:r>
        <w:t xml:space="preserve">Finalmente, la STC 151/2020, de 22 de octubre, resolvió la cuestión interna de inconstitucionalidad núm. núm. 1231-2020, planteada por la Sala Primera en el recurso de amparo 1880-2018, respecto del último párrafo del art. 238 </w:t>
      </w:r>
      <w:r w:rsidRPr="00A8138F">
        <w:rPr>
          <w:i/>
        </w:rPr>
        <w:t>bis</w:t>
      </w:r>
      <w:r>
        <w:t xml:space="preserve"> de la Ley de enjuiciamiento criminal, en la redacción dada por la Ley 13/2009, de 3 de noviembre, de reforma de la legislación procesal para la implantación de la nueva oficina judicial, por posible vulneración del artículo 24.1 CE en conexión con el art. 117.3 CE. El caso en el que se planteó se refería la denegación por el letrado de la administración de justicia de la notificación personal de una sentencia penal, solicitada a efectos de computo del plazo para recurrir. Se declaró que la exclusión de recurso ante el juez establecida en el precepto cuestionado vulneraba el derecho a la tutela judicial efectiva (art. 24.1 CE), al crear un régimen de impugnación de las decisiones de los letrados de la administración de justicia generador de un espacio inmune al control jurisdiccional.</w:t>
      </w:r>
    </w:p>
    <w:p w14:paraId="263C34AA" w14:textId="77777777" w:rsidR="00A8138F" w:rsidRDefault="00A8138F" w:rsidP="00A8138F">
      <w:pPr>
        <w:pStyle w:val="TextoNormal"/>
      </w:pPr>
    </w:p>
    <w:p w14:paraId="4ABC0208" w14:textId="77777777" w:rsidR="00A8138F" w:rsidRDefault="00A8138F" w:rsidP="00A8138F">
      <w:pPr>
        <w:pStyle w:val="TextoNormal"/>
      </w:pPr>
      <w:r>
        <w:t>Considero que la aplicación de la anterior doctrina al supuesto que dio origen al planteamiento de la cuestión de inconstitucionalidad en el ATC 76/2021, de 13 de septiembre, debió dar lugar a la declaración de inconstitucionalidad de los preceptos cuestionados, al no permitir que la corrección disciplinaria impuesta por quien no ejerce funciones jurisdiccionales, sea susceptible, al menos, de recurso de audiencia en justicia ante el juez o la sala en cuyo ámbito de decisión aquella se adoptó.</w:t>
      </w:r>
    </w:p>
    <w:p w14:paraId="7CECED06" w14:textId="77777777" w:rsidR="00A8138F" w:rsidRDefault="00A8138F" w:rsidP="00A8138F">
      <w:pPr>
        <w:pStyle w:val="TextoNormal"/>
      </w:pPr>
    </w:p>
    <w:p w14:paraId="0EFB6DA7" w14:textId="77777777" w:rsidR="00A8138F" w:rsidRDefault="00A8138F" w:rsidP="00A8138F">
      <w:pPr>
        <w:pStyle w:val="TextoNormal"/>
      </w:pPr>
      <w:r>
        <w:t>Me resulta evidente que la resolución no tiene un contenido meramente procesal, sino sustantivo de naturaleza sancionadora y que, en el caso de los abogados, afecta a su derecho a la libertad de expresión y al de defensa de la parte.</w:t>
      </w:r>
    </w:p>
    <w:p w14:paraId="4A5DE06B" w14:textId="77777777" w:rsidR="00A8138F" w:rsidRDefault="00A8138F" w:rsidP="00A8138F">
      <w:pPr>
        <w:pStyle w:val="TextoNormal"/>
      </w:pPr>
    </w:p>
    <w:p w14:paraId="2E9B617E" w14:textId="77777777" w:rsidR="00A8138F" w:rsidRDefault="00A8138F" w:rsidP="00A8138F">
      <w:pPr>
        <w:pStyle w:val="TextoNormal"/>
      </w:pPr>
      <w:r>
        <w:t>Siendo así, llama poderosamente la atención que, mientras que en relación con la decisión de señalamiento de una vista, la determinación de honorarios de un letrado y con los demás supuestos a los que se refirieron las cuestiones internas de inconstitucionalidad precedentemente citadas, se declararon inconstitucionales los preceptos cuestionados por la imposibilidad legal de revisión judicial en el proceso, se mantenga la constitucionalidad de la imposición de sanciones disciplinarias no susceptibles de control por el titular de la potestad jurisdiccional, cuando se trata de resoluciones que no son de naturaleza procesal y que afectan al ejercicio de derechos fundamentales.</w:t>
      </w:r>
    </w:p>
    <w:p w14:paraId="545506E5" w14:textId="77777777" w:rsidR="00A8138F" w:rsidRDefault="00A8138F" w:rsidP="00A8138F">
      <w:pPr>
        <w:pStyle w:val="TextoNormal"/>
      </w:pPr>
    </w:p>
    <w:p w14:paraId="5AD6E88D" w14:textId="77777777" w:rsidR="00A8138F" w:rsidRDefault="00A8138F" w:rsidP="00A8138F">
      <w:pPr>
        <w:pStyle w:val="TextoNormal"/>
      </w:pPr>
      <w:r>
        <w:t>6. La sentencia de la que discrepo efectúa una interpretación conforme de los preceptos cuestionados, señalando que los mismos únicamente pueden considerarse constitucionales en una interpretación sistemática de los preceptos cuestionados con los artículos 190.3 LOPJ y 186 de la Ley de enjuiciamiento civil, en cuando la facultad de corregir a abogados y procuradores conferida a los letrados de la administración de justicia se limite exclusivamente a su ejercicio en las actuaciones que se celebren ante ellos en las dependencias de la oficina judicial.</w:t>
      </w:r>
    </w:p>
    <w:p w14:paraId="19D7FE82" w14:textId="77777777" w:rsidR="00A8138F" w:rsidRDefault="00A8138F" w:rsidP="00A8138F">
      <w:pPr>
        <w:pStyle w:val="TextoNormal"/>
      </w:pPr>
    </w:p>
    <w:p w14:paraId="153BD8CF" w14:textId="77777777" w:rsidR="00A8138F" w:rsidRDefault="00A8138F" w:rsidP="00A8138F">
      <w:pPr>
        <w:pStyle w:val="TextoNormal"/>
      </w:pPr>
      <w:r>
        <w:lastRenderedPageBreak/>
        <w:t>Considero que dicha limitación no basta para garantizar el derecho a la tutela judicial efectiva, el derecho de defensa, ni garantiza la reserva de jurisdicción consagrada en el art. 117.3 CE ni en primera instancia ni en vía de recurso.</w:t>
      </w:r>
    </w:p>
    <w:p w14:paraId="7BFF30BC" w14:textId="77777777" w:rsidR="00A8138F" w:rsidRDefault="00A8138F" w:rsidP="00A8138F">
      <w:pPr>
        <w:pStyle w:val="TextoNormal"/>
      </w:pPr>
    </w:p>
    <w:p w14:paraId="3F9136B3" w14:textId="77777777" w:rsidR="00A8138F" w:rsidRDefault="00A8138F" w:rsidP="00A8138F">
      <w:pPr>
        <w:pStyle w:val="TextoNormal"/>
      </w:pPr>
      <w:r>
        <w:t>La interpretación conforme aprobada por el Pleno no reconoce la naturaleza jurisdiccional de la materia disciplinaria judicial, reiteradamente declarada por este tribunal. Para ello, crea una tercera especie de decisiones, no jurisdiccionales ni administrativas, “decisiones de disciplina”. que carecen de apoyo en nuestro ordenamiento jurídico.</w:t>
      </w:r>
    </w:p>
    <w:p w14:paraId="4440357A" w14:textId="77777777" w:rsidR="00A8138F" w:rsidRDefault="00A8138F" w:rsidP="00A8138F">
      <w:pPr>
        <w:pStyle w:val="TextoNormal"/>
      </w:pPr>
    </w:p>
    <w:p w14:paraId="78CBCC35" w14:textId="77777777" w:rsidR="00A8138F" w:rsidRDefault="00A8138F" w:rsidP="00A8138F">
      <w:pPr>
        <w:pStyle w:val="TextoNormal"/>
      </w:pPr>
      <w:r>
        <w:t>La tutela de los derechos fundamentales concernidos en las sanciones disciplinarias judiciales, como los de libertad de expresión y defensa, fundamentalmente, pero también los invocados derechos al juez imparcial, a la legalidad sancionadora y a la presunción de inocencia, tiene indudable naturaleza jurisdiccional y debe garantizarse dentro del propio órgano en cuyo ámbito se impone la sanción, la cual no puede desconectarse de los derechos de las partes en el mismo.</w:t>
      </w:r>
    </w:p>
    <w:p w14:paraId="0F5E5069" w14:textId="77777777" w:rsidR="00A8138F" w:rsidRDefault="00A8138F" w:rsidP="00A8138F">
      <w:pPr>
        <w:pStyle w:val="TextoNormal"/>
      </w:pPr>
    </w:p>
    <w:p w14:paraId="464E308A" w14:textId="77777777" w:rsidR="00A8138F" w:rsidRDefault="00A8138F" w:rsidP="00A8138F">
      <w:pPr>
        <w:pStyle w:val="TextoNormal"/>
      </w:pPr>
      <w:r>
        <w:t>Atendido que el bien tutelado en los tipos disciplinarios judiciales es el Poder Judicial en tanto que institución, al margen del sujeto sobre el que se proyecte el acto ilícito, la decisión sancionadora debe ser adoptada por quien en el órgano afectado ejerza jurisdicción.</w:t>
      </w:r>
    </w:p>
    <w:p w14:paraId="2BB12EFA" w14:textId="77777777" w:rsidR="00A8138F" w:rsidRDefault="00A8138F" w:rsidP="00A8138F">
      <w:pPr>
        <w:pStyle w:val="TextoNormal"/>
      </w:pPr>
    </w:p>
    <w:p w14:paraId="26F7D710" w14:textId="77777777" w:rsidR="00A8138F" w:rsidRDefault="00A8138F" w:rsidP="00A8138F">
      <w:pPr>
        <w:pStyle w:val="TextoNormal"/>
      </w:pPr>
      <w:r>
        <w:t>Además, el régimen de impugnación de las decisiones de los letrados de la administración de justicia priva al sancionado de un grado jurisdiccional, pues la decisión sancionadora solo es revisable en alzada por la Sala de Gobierno.</w:t>
      </w:r>
    </w:p>
    <w:p w14:paraId="2CFAFA40" w14:textId="77777777" w:rsidR="00A8138F" w:rsidRDefault="00A8138F" w:rsidP="00A8138F">
      <w:pPr>
        <w:pStyle w:val="TextoNormal"/>
      </w:pPr>
    </w:p>
    <w:p w14:paraId="52D207A6" w14:textId="77777777" w:rsidR="00A8138F" w:rsidRDefault="00A8138F" w:rsidP="00A8138F">
      <w:pPr>
        <w:pStyle w:val="TextoNormal"/>
      </w:pPr>
      <w:r>
        <w:t>Nos hallamos ante el ejercicio de una potestad sancionadora ejercida en primera instancia por quienes subjetivamente carecen de potestad jurisdiccional en una materia que no es de contenido procesal, sino sustantivo o de fondo y que, además, afecta a derechos fundamentales de las partes, cuya tutela corresponde a quienes ostentan la potestad jurisdiccional.</w:t>
      </w:r>
    </w:p>
    <w:p w14:paraId="64803F8E" w14:textId="77777777" w:rsidR="00A8138F" w:rsidRDefault="00A8138F" w:rsidP="00A8138F">
      <w:pPr>
        <w:pStyle w:val="TextoNormal"/>
      </w:pPr>
    </w:p>
    <w:p w14:paraId="010370C3" w14:textId="77777777" w:rsidR="00A8138F" w:rsidRDefault="00A8138F" w:rsidP="00A8138F">
      <w:pPr>
        <w:pStyle w:val="TextoNormal"/>
      </w:pPr>
      <w:r>
        <w:t>La decisión del letrado de la administración de justicia, aun limitada a los supuestos a los que se refiere la interpretación conforme efectuada en la sentencia, no es susceptible de control judicial en el propio órgano judicial y no cabe olvidar que, como señaló el propio ATC 76/2021 en el que la Sala Segunda planteó la cuestión interna de inconstitucionalidad, “la posibilidad prevista en uno de los preceptos cuestionados (art. 556 LOPJ) de la intervención, mediante el recurso de alzada, de la sala de gobierno del órgano judicial correspondiente, si bien cumple la exigencia de que subjetivamente, en atención a su composición, la jurisprudencia constitucional la ha considerado de carácter jurisdiccional, no se cumple la exigencia funcional, también señalada por la jurisprudencia constitucional, de que lo sea cuando ‛enjuicia y revisa la legalidad de la sanción impuesta por un órgano judicial en el curso del proceso’ (STC 190/1991, de 14 de octubre, FJ 5)”.</w:t>
      </w:r>
    </w:p>
    <w:p w14:paraId="18489AE5" w14:textId="77777777" w:rsidR="00A8138F" w:rsidRDefault="00A8138F" w:rsidP="00A8138F">
      <w:pPr>
        <w:pStyle w:val="TextoNormal"/>
      </w:pPr>
    </w:p>
    <w:p w14:paraId="6A7FB265" w14:textId="77777777" w:rsidR="00A8138F" w:rsidRDefault="00A8138F" w:rsidP="00A8138F">
      <w:pPr>
        <w:pStyle w:val="TextoNormal"/>
      </w:pPr>
      <w:r>
        <w:t xml:space="preserve">Por todo ello, considero que la cuestión de inconstitucionalidad debió de ser estimada, declarando la inconstitucionalidad del artículo 555.1 de la Ley Orgánica 6/1985, de 1 de julio, del Poder Judicial, en la redacción dada por la Ley Orgánica 19/2003, de 23 de diciembre, en la medida en que pueda interpretarse la referencia a “la autoridad ante la que se sigan las actuaciones” como inclusiva del letrado de la administración de justicia; y del artículo 556 de la Ley Orgánica del Poder Judicial, en a redacción dada por la Ley Orgánica 19/2003, de 23 de diciembre, en cuanto a la referencia a los letrados de la administración de </w:t>
      </w:r>
      <w:r>
        <w:lastRenderedPageBreak/>
        <w:t>justicia, al vulnerar dichos preceptos el artículo 24.1 en relación con el artículo 117.3 de la Constitución.</w:t>
      </w:r>
    </w:p>
    <w:p w14:paraId="4F0A1973" w14:textId="77777777" w:rsidR="00A8138F" w:rsidRDefault="00A8138F" w:rsidP="00A8138F">
      <w:pPr>
        <w:pStyle w:val="TextoNormal"/>
      </w:pPr>
    </w:p>
    <w:p w14:paraId="14903839" w14:textId="77777777" w:rsidR="00A8138F" w:rsidRDefault="00A8138F" w:rsidP="00A8138F">
      <w:pPr>
        <w:pStyle w:val="TextoNormal"/>
      </w:pPr>
      <w:r>
        <w:t>En tal sentido emito el presente voto particular discrepante.</w:t>
      </w:r>
    </w:p>
    <w:p w14:paraId="00D26C65" w14:textId="77777777" w:rsidR="00A8138F" w:rsidRDefault="00A8138F" w:rsidP="00A8138F">
      <w:pPr>
        <w:pStyle w:val="TextoNormal"/>
      </w:pPr>
    </w:p>
    <w:p w14:paraId="7644EEDA" w14:textId="294888E6" w:rsidR="00A8138F" w:rsidRDefault="00A8138F" w:rsidP="00A8138F">
      <w:pPr>
        <w:pStyle w:val="TextoNormal"/>
      </w:pPr>
      <w:r>
        <w:t>Madrid, a quince de enero de dos mil veinticinco.</w:t>
      </w:r>
    </w:p>
    <w:p w14:paraId="6D95117B" w14:textId="77777777" w:rsidR="00A8138F" w:rsidRDefault="00A8138F" w:rsidP="00A8138F">
      <w:pPr>
        <w:pStyle w:val="TextoNormal"/>
      </w:pPr>
    </w:p>
    <w:p w14:paraId="3A92B123" w14:textId="77777777" w:rsidR="00A8138F" w:rsidRDefault="00A8138F" w:rsidP="00A8138F">
      <w:pPr>
        <w:pStyle w:val="TextoNormalNegritaCentrado"/>
        <w:keepNext/>
      </w:pPr>
      <w:r>
        <w:t>Voto particular discrepante que formula el magistrado don José María Macías Castaño a la sentencia dictada en la cuestión interna de inconstitucionalidad núm. 6596-2021, suscitada por la Sala Segunda del Tribunal Constitucional</w:t>
      </w:r>
    </w:p>
    <w:p w14:paraId="63C4E4F8" w14:textId="1390F1A3" w:rsidR="00A8138F" w:rsidRDefault="00A8138F" w:rsidP="00A8138F">
      <w:pPr>
        <w:pStyle w:val="TextoNormalNegritaCentrado"/>
        <w:keepNext/>
      </w:pPr>
    </w:p>
    <w:p w14:paraId="4653522E" w14:textId="77777777" w:rsidR="00A8138F" w:rsidRDefault="00A8138F" w:rsidP="00A8138F">
      <w:pPr>
        <w:pStyle w:val="TextoNormal"/>
      </w:pPr>
      <w:r>
        <w:t>De conformidad con lo dispuesto en el art. 90.2 LOTC, y sin perjuicio del respeto al criterio asumido por la mayoría del Pleno, expreso mi disconformidad con el sentido de la sentencia a que se refiere este voto particular, por las razones que seguidamente expongo, que debieron determinar que se estimase la cuestión interna de inconstitucionalidad planteada por la Sala Segunda de este tribunal y declarar inconstitucionales los incisos del art. 556 LOPJ que se refieren a los letrados de la administración de justicia.</w:t>
      </w:r>
    </w:p>
    <w:p w14:paraId="47270A07" w14:textId="77777777" w:rsidR="00A8138F" w:rsidRDefault="00A8138F" w:rsidP="00A8138F">
      <w:pPr>
        <w:pStyle w:val="TextoNormal"/>
      </w:pPr>
    </w:p>
    <w:p w14:paraId="536F577C" w14:textId="77777777" w:rsidR="00A8138F" w:rsidRDefault="00A8138F" w:rsidP="00A8138F">
      <w:pPr>
        <w:pStyle w:val="TextoNormal"/>
      </w:pPr>
      <w:r>
        <w:t>La controversia suscitada en el procedimiento puede enunciarse de una manera simple, y consiste en si los arts. 555.1 y 556 LOPJ son inconstitucionales en tanto que, a partir de la reforma operada por la Ley Orgánica 19/2003, de 23 de diciembre, atribuyen a los letrados de la administración de justicia, en los casos de actuaciones procesales dirigidas por estos profesionales, la competencia para corregir (esto es, imponer sanciones) a los abogados y otros intervinientes que tomen parte en ellas.</w:t>
      </w:r>
    </w:p>
    <w:p w14:paraId="414BBBD7" w14:textId="77777777" w:rsidR="00A8138F" w:rsidRDefault="00A8138F" w:rsidP="00A8138F">
      <w:pPr>
        <w:pStyle w:val="TextoNormal"/>
      </w:pPr>
    </w:p>
    <w:p w14:paraId="698514CA" w14:textId="77777777" w:rsidR="00A8138F" w:rsidRDefault="00A8138F" w:rsidP="00A8138F">
      <w:pPr>
        <w:pStyle w:val="TextoNormal"/>
      </w:pPr>
      <w:r>
        <w:t>Nuestra jurisprudencia había considerado hasta ahora que esas correcciones no eran sanciones materialmente administrativas, sino que consistían en una manifestación de la policía de estrados, de naturaleza procesal y propia del ejercicio de la potestad jurisdiccional. Por esa razón, la Sala Segunda de este tribunal, que conocía de un recurso de amparo frente a una corrección impuesta por un letrado de la administración de justicia, entendió que el ejercicio de facultades propias de la potestad jurisdiccional por quien no era juez o magistrado era contrario al art. 24.1 en relación con el art. 117.3 CE, que atribuye esa potestad de manera exclusiva a jueces y magistrados. Por esa misma razón, la Sala, de conformidad con los arts. 55.2 y 35.2 LOTC, elevó al Pleno la correspondiente cuestión interna de inconstitucionalidad.</w:t>
      </w:r>
    </w:p>
    <w:p w14:paraId="6A20BF42" w14:textId="77777777" w:rsidR="00A8138F" w:rsidRDefault="00A8138F" w:rsidP="00A8138F">
      <w:pPr>
        <w:pStyle w:val="TextoNormal"/>
      </w:pPr>
    </w:p>
    <w:p w14:paraId="2C2E0012" w14:textId="77777777" w:rsidR="00A8138F" w:rsidRDefault="00A8138F" w:rsidP="00A8138F">
      <w:pPr>
        <w:pStyle w:val="TextoNormal"/>
      </w:pPr>
      <w:r>
        <w:t xml:space="preserve">La respuesta del Pleno ha consistido en cambiar su doctrina y afirmar que las sanciones han dejado de ser parte del ejercicio de la potestad jurisdiccional, por lo que no hay problema en que las impongan los letrados de la administración de justicia. Para ello, la sentencia de la que discrepo ha construido una figura nueva a modo de </w:t>
      </w:r>
      <w:r w:rsidRPr="00A8138F">
        <w:rPr>
          <w:i/>
        </w:rPr>
        <w:t>tertium genus</w:t>
      </w:r>
      <w:r>
        <w:t xml:space="preserve"> que estimo que no tiene encaje en nuestro ordenamiento jurídico y que no es conforme ni con las exigencias del art. 24 CE ni del art. 6 CEDH.</w:t>
      </w:r>
    </w:p>
    <w:p w14:paraId="63DDFFF6" w14:textId="77777777" w:rsidR="00A8138F" w:rsidRDefault="00A8138F" w:rsidP="00A8138F">
      <w:pPr>
        <w:pStyle w:val="TextoNormal"/>
      </w:pPr>
    </w:p>
    <w:p w14:paraId="454DDB6E" w14:textId="77777777" w:rsidR="00A8138F" w:rsidRDefault="00A8138F" w:rsidP="00A8138F">
      <w:pPr>
        <w:pStyle w:val="TextoNormal"/>
      </w:pPr>
      <w:r>
        <w:t>La sentencia de la que discrepo señala correctamente que nuestra jurisprudencia en esta materia se inició con la STC 190/1991: Siendo las correcciones impuestas por jueces y magistrados susceptibles de recurso de alzada ante la correspondiente Sala de Gobierno, en</w:t>
      </w:r>
      <w:r>
        <w:lastRenderedPageBreak/>
        <w:t>tendimos que las resoluciones de esa alzada no podían ser recurridas, a su vez, ante la jurisdicción contencioso-administrativa porque las Salas de Gobierno estaban ejerciendo una potestad jurisdiccional, no administrativa.</w:t>
      </w:r>
    </w:p>
    <w:p w14:paraId="18F3C1A4" w14:textId="77777777" w:rsidR="00A8138F" w:rsidRDefault="00A8138F" w:rsidP="00A8138F">
      <w:pPr>
        <w:pStyle w:val="TextoNormal"/>
      </w:pPr>
    </w:p>
    <w:p w14:paraId="5B69F84C" w14:textId="77777777" w:rsidR="00A8138F" w:rsidRDefault="00A8138F" w:rsidP="00A8138F">
      <w:pPr>
        <w:pStyle w:val="TextoNormal"/>
      </w:pPr>
      <w:r>
        <w:t>Ciertamente, esa sentencia solo se refirió a la naturaleza jurisdiccional de los actos de las Salas de Gobierno que revisaban las correcciones o sanciones, pero no a la de las correcciones y sanciones en sí mimas impuestas por jueces y magistrados. En la posterior STC 205/1994 se aclaró que las propias correcciones también participaban de la misma naturaleza jurisdiccional. Es preciso tener muy presente que, de no haber sido así, los arts. 555.1 y 556 hubieran debido reputarse inconstitucionales: si las correcciones no eran una manifestación de la potestad jurisdiccional, sino sanciones materialmente administrativas, y por mucho que después fuesen “revisadas jurisdiccionalmente por las Salas de Gobierno”, se trataría de sanciones impuestas eludiendo la exigencia del procedimiento debido (que no se satisface con una simple audiencia, como prevé el art. 555.2 LOPJ); se eludiría también la exigencia de separación entre órgano instructor y sancionador, o incluso la propia imparcialidad del órgano sancionador teniendo en cuenta que puede sancionar administrativamente las ofensas a su propia persona, como ocurre en el caso en el que se ha suscitado la cuestión interna de inconstitucionalidad.</w:t>
      </w:r>
    </w:p>
    <w:p w14:paraId="189333F1" w14:textId="77777777" w:rsidR="00A8138F" w:rsidRDefault="00A8138F" w:rsidP="00A8138F">
      <w:pPr>
        <w:pStyle w:val="TextoNormal"/>
      </w:pPr>
    </w:p>
    <w:p w14:paraId="56B4B024" w14:textId="77777777" w:rsidR="00A8138F" w:rsidRDefault="00A8138F" w:rsidP="00A8138F">
      <w:pPr>
        <w:pStyle w:val="TextoNormal"/>
      </w:pPr>
      <w:r>
        <w:t>Ahora, se modifica nuestra doctrina y la sentencia de la que discrepo afirma que, aunque la revisión de las correcciones por las Salas de Gobierno sigue siendo jurisdiccional, la imposición de las correcciones en sí misma considerada no lo es, por lo que los letrados de la administración de justicia pueden imponerlas, pero, para eludir las consecuencias de la calificación administrativa alternativa como sanciones administrativas, se configura una tercera categoría que no se corresponde ni con las correcciones procesales ni con las sanciones administrativas, sino “decisiones de disciplina”.</w:t>
      </w:r>
    </w:p>
    <w:p w14:paraId="71F20699" w14:textId="77777777" w:rsidR="00A8138F" w:rsidRDefault="00A8138F" w:rsidP="00A8138F">
      <w:pPr>
        <w:pStyle w:val="TextoNormal"/>
      </w:pPr>
    </w:p>
    <w:p w14:paraId="5DE8F7D8" w14:textId="77777777" w:rsidR="00A8138F" w:rsidRDefault="00A8138F" w:rsidP="00A8138F">
      <w:pPr>
        <w:pStyle w:val="TextoNormal"/>
      </w:pPr>
      <w:r>
        <w:t>Esa nueva categoría de “decisión de disciplina” es, sencillamente, una creación novedosa de la sentencia de la que discrepo, de perfiles y contenido totalmente desconocidos que no se explican ni justifican en la sentencia; y que, así lo considero, se reduce a proporcionar un nombre novedoso a una realidad que sigue siendo la misma y que por eso no permite eludir las consecuencias de esa realidad: si las sanciones que imponen los letrados de la administración de justicia no son expresión de la potestad jurisdiccional y por eso no violan el art. 117.4 CE, es porque son sanciones administrativas que, en las condiciones en las que se imponen, violan el art. 24 CE por omitir las garantías debidas.</w:t>
      </w:r>
    </w:p>
    <w:p w14:paraId="3562A0A1" w14:textId="77777777" w:rsidR="00A8138F" w:rsidRDefault="00A8138F" w:rsidP="00A8138F">
      <w:pPr>
        <w:pStyle w:val="TextoNormal"/>
      </w:pPr>
    </w:p>
    <w:p w14:paraId="153F047B" w14:textId="77777777" w:rsidR="00A8138F" w:rsidRDefault="00A8138F" w:rsidP="00A8138F">
      <w:pPr>
        <w:pStyle w:val="TextoNormal"/>
      </w:pPr>
      <w:r>
        <w:t>De hecho, lo único que realmente consigue esa construcción es que si los jueces y magistrados (no solo los letrados de la administración de justicia) también adoptan “decisiones de disciplina” (esto es, sanciones administrativas con un nombre diferente y no correcciones procesales en ejercicio de la potestad jurisdiccional), también en ese caso se violenta el art. 24 CE.</w:t>
      </w:r>
    </w:p>
    <w:p w14:paraId="436C851F" w14:textId="77777777" w:rsidR="00A8138F" w:rsidRDefault="00A8138F" w:rsidP="00A8138F">
      <w:pPr>
        <w:pStyle w:val="TextoNormal"/>
      </w:pPr>
    </w:p>
    <w:p w14:paraId="1943BCAE" w14:textId="77777777" w:rsidR="00A8138F" w:rsidRDefault="00A8138F" w:rsidP="00A8138F">
      <w:pPr>
        <w:pStyle w:val="TextoNormal"/>
      </w:pPr>
      <w:r>
        <w:t xml:space="preserve">Y me permito dudar, por último, que el Tribunal Europeo de Derechos Humanos llegue a aceptar que esa aparente nueva categoría sea tolerable desde la perspectiva del art. 6 CEDH, cuyas garantías aplicables al concepto autónomo de “sanciones penales”, bajo determinadas circunstancias, son igualmente trasladables a las sanciones administrativas, sea cual sea la categoría o nombre novedoso que se le atribuya. Esta es la doctrina del Tribunal Europeo de Derechos Humanos desde su sentencia de 8 de junio de 1976, asunto </w:t>
      </w:r>
      <w:r w:rsidRPr="00A8138F">
        <w:rPr>
          <w:i/>
        </w:rPr>
        <w:t xml:space="preserve">Engel y </w:t>
      </w:r>
      <w:r w:rsidRPr="00A8138F">
        <w:rPr>
          <w:i/>
        </w:rPr>
        <w:lastRenderedPageBreak/>
        <w:t>otros c. Países Bajos</w:t>
      </w:r>
      <w:r>
        <w:t xml:space="preserve">, que después se ha reiterado en otros muchos asuntos, alguno implicando a España (sentencia de 30 de junio de 2020, asunto </w:t>
      </w:r>
      <w:r w:rsidRPr="00A8138F">
        <w:rPr>
          <w:i/>
        </w:rPr>
        <w:t>Saquetti Iglesias c. España</w:t>
      </w:r>
      <w:r>
        <w:t xml:space="preserve">). Y más dudas me suscita la posibilidad de esa tolerancia por el Tribunal Europeo de Derechos Humanos cuando ha habido ocasiones en las que ha expresado su prevención por el hecho de que los propios ofendidos (en caso de que la corrección se imponga en caso de comportamiento ofensivo) sean los que pueden corregir, personal y directamente, a los supuestos ofensores. Así lo afirma la STEDH de 26 de junio de 2016, asunto </w:t>
      </w:r>
      <w:r w:rsidRPr="00A8138F">
        <w:rPr>
          <w:i/>
        </w:rPr>
        <w:t>Radobuljac c. Croacia</w:t>
      </w:r>
      <w:r>
        <w:t xml:space="preserve">), en cuyo § 67 puede leerse lo siguiente: “Además, el Tribunal también reitera que la equidad en los procedimientos y las garantías procesales otorgadas son factores a tener en cuenta al evaluar la proporcionalidad de una interferencia con la libertad de expresión garantizada por el artículo 10 (véase, por ejemplo, </w:t>
      </w:r>
      <w:r w:rsidRPr="00A8138F">
        <w:rPr>
          <w:i/>
        </w:rPr>
        <w:t>Kyprianou</w:t>
      </w:r>
      <w:r>
        <w:t xml:space="preserve">, citado anteriormente § 171). En este sentido, el tribunal no puede ignorar completamente el hecho de que la decisión de multar al solicitante fue tomada por el mismo juez que se sintió personalmente ofendido por los cometarios del solicitante” [la traducción es mía; en el original: </w:t>
      </w:r>
      <w:r w:rsidRPr="00A8138F">
        <w:rPr>
          <w:i/>
        </w:rPr>
        <w:t>In addition, the Court also reiterates that the fairness of the proceedings and the procedural guarantees afforded are factors to be taken into account when assessing the proportionality of an interference with the freedom of expression guaranteed by Article 10 (see, for example, Kyprianou, cited above, § 171). In this connection, the Court cannot completely disregard the fact that the decision to fine the applicant was made by the same judge who felt personally offended by the applicant’s remarks</w:t>
      </w:r>
      <w:r>
        <w:t>].</w:t>
      </w:r>
    </w:p>
    <w:p w14:paraId="584ABCB3" w14:textId="77777777" w:rsidR="00A8138F" w:rsidRDefault="00A8138F" w:rsidP="00A8138F">
      <w:pPr>
        <w:pStyle w:val="TextoNormal"/>
      </w:pPr>
    </w:p>
    <w:p w14:paraId="4D7D0653" w14:textId="463604EE" w:rsidR="00A8138F" w:rsidRDefault="00A8138F" w:rsidP="00A8138F">
      <w:pPr>
        <w:pStyle w:val="TextoNormal"/>
      </w:pPr>
      <w:r>
        <w:t>Madrid, a quince de enero de dos mil veinticinco.</w:t>
      </w:r>
    </w:p>
    <w:p w14:paraId="2CDB7194" w14:textId="79A0F894" w:rsidR="00A8138F" w:rsidRDefault="00A8138F">
      <w:pPr>
        <w:spacing w:after="160" w:line="278" w:lineRule="auto"/>
        <w:rPr>
          <w:rFonts w:ascii="Times New Roman" w:eastAsia="Times New Roman" w:hAnsi="Times New Roman" w:cs="Times New Roman"/>
          <w:sz w:val="24"/>
          <w:szCs w:val="24"/>
          <w:lang w:eastAsia="es-ES"/>
        </w:rPr>
      </w:pPr>
      <w:r>
        <w:br w:type="page"/>
      </w:r>
    </w:p>
    <w:p w14:paraId="7CAF8ECA" w14:textId="77777777" w:rsidR="00A8138F" w:rsidRDefault="00A8138F" w:rsidP="00A8138F">
      <w:pPr>
        <w:pStyle w:val="TtuloResolucin"/>
      </w:pPr>
      <w:bookmarkStart w:id="15" w:name="SENTENCIA_2025_13"/>
      <w:r>
        <w:lastRenderedPageBreak/>
        <w:t>SENTENCIA 13/2025, de 27 de enero de 2025</w:t>
      </w:r>
    </w:p>
    <w:bookmarkEnd w:id="15"/>
    <w:p w14:paraId="6F655BA4" w14:textId="77777777" w:rsidR="00A8138F" w:rsidRDefault="00A8138F" w:rsidP="00A8138F">
      <w:pPr>
        <w:pStyle w:val="TtuloResolucin"/>
      </w:pPr>
      <w:r>
        <w:t>Sala Segunda</w:t>
      </w:r>
    </w:p>
    <w:p w14:paraId="12D5BF0D" w14:textId="77777777" w:rsidR="00A8138F" w:rsidRDefault="00A8138F" w:rsidP="00A8138F">
      <w:pPr>
        <w:pStyle w:val="TtuloBOE"/>
      </w:pPr>
      <w:r>
        <w:t>(BOE núm. 51, de 28 de febrero de 2025)</w:t>
      </w:r>
    </w:p>
    <w:p w14:paraId="50C1FFF4" w14:textId="77777777" w:rsidR="00A8138F" w:rsidRDefault="00A8138F" w:rsidP="00A8138F">
      <w:pPr>
        <w:pStyle w:val="TextoNormalCentrado"/>
      </w:pPr>
      <w:r>
        <w:t>ECLI:ES:TC:2025:13</w:t>
      </w:r>
    </w:p>
    <w:p w14:paraId="33E6A674" w14:textId="328C706E" w:rsidR="00A8138F" w:rsidRDefault="00A8138F" w:rsidP="00A8138F">
      <w:pPr>
        <w:pStyle w:val="TextoNormalCentrado"/>
      </w:pPr>
    </w:p>
    <w:p w14:paraId="365E3A39" w14:textId="77777777" w:rsidR="00A8138F" w:rsidRDefault="00A8138F" w:rsidP="00A8138F">
      <w:pPr>
        <w:pStyle w:val="SntesisDescriptiva"/>
      </w:pPr>
      <w:r>
        <w:t>Recurso de amparo 4986-2016. Promovido por don José Miguel Morcillo Gómez respecto del acuerdo de la Sala de Gobierno del Tribunal Superior de Justicia de Extremadura y la resolución de la letrada de la administración de justicia de un juzgado de primera instancia de Badajoz imponiéndole corrección disciplinaria.</w:t>
      </w:r>
    </w:p>
    <w:p w14:paraId="722EE747" w14:textId="12AA9D38" w:rsidR="00A8138F" w:rsidRDefault="00A8138F" w:rsidP="00A8138F">
      <w:pPr>
        <w:pStyle w:val="SntesisDescriptiva"/>
      </w:pPr>
    </w:p>
    <w:p w14:paraId="4C8BA990" w14:textId="77777777" w:rsidR="00A8138F" w:rsidRDefault="00A8138F" w:rsidP="00A8138F">
      <w:pPr>
        <w:pStyle w:val="SntesisAnaltica"/>
      </w:pPr>
      <w:r>
        <w:t>Vulneración del derecho al juez ordinario predeterminado por la ley: acuerdos correctores adoptados en un ámbito, como son las manifestaciones vertidas en escritos procesales, ajeno a la potestad disciplinaria de los letrados de la administración de justicia (STC 12/2025).</w:t>
      </w:r>
    </w:p>
    <w:p w14:paraId="5C9ECA3B" w14:textId="5743511D" w:rsidR="00A8138F" w:rsidRDefault="00A8138F" w:rsidP="00A8138F">
      <w:pPr>
        <w:pStyle w:val="SntesisAnaltica"/>
      </w:pPr>
    </w:p>
    <w:p w14:paraId="6CE37641" w14:textId="46D9ADC7" w:rsidR="00A8138F" w:rsidRDefault="00A8138F" w:rsidP="00A8138F">
      <w:pPr>
        <w:pStyle w:val="Extracto"/>
      </w:pPr>
      <w:r>
        <w:t>1.</w:t>
      </w:r>
      <w:r>
        <w:tab/>
        <w:t>El legislador atribuye a los letrados de la administración de justicia la facultad de corregir a abogados y procuradores; no obstante, únicamente puede ejercerse en las actuaciones que se celebren ante él en las dependencias de la oficina judicial (STC 12/2025) [FJ 4].</w:t>
      </w:r>
    </w:p>
    <w:p w14:paraId="369CC7F5" w14:textId="77777777" w:rsidR="00A8138F" w:rsidRDefault="00A8138F" w:rsidP="00A8138F">
      <w:pPr>
        <w:pStyle w:val="Extracto"/>
      </w:pPr>
    </w:p>
    <w:p w14:paraId="6F0510FC" w14:textId="5C420AE9" w:rsidR="00A8138F" w:rsidRDefault="00A8138F" w:rsidP="00A8138F">
      <w:pPr>
        <w:pStyle w:val="Extracto"/>
      </w:pPr>
      <w:r>
        <w:t>2.</w:t>
      </w:r>
      <w:r>
        <w:tab/>
        <w:t>Por quedar al margen de las actuaciones celebradas ante el letrado de la administración de justicia en las dependencias de la oficina judicial (arts. 190.3 LOPJ y 186 LEC), frente a las manifestaciones vertidas en “escritos procesales” el letrado de la administración de justicia carece de competencia para dictar acuerdos correctores; y, por ende, estos acuerdos vulneran el derecho fundamental al juez ordinario predeterminado por la ley ex art. 24.2 CE (STC 12/2025) [FJ 4].</w:t>
      </w:r>
    </w:p>
    <w:p w14:paraId="3C9374C7" w14:textId="77777777" w:rsidR="00A8138F" w:rsidRDefault="00A8138F" w:rsidP="00A8138F">
      <w:pPr>
        <w:pStyle w:val="Extracto"/>
      </w:pPr>
    </w:p>
    <w:p w14:paraId="44655DFA" w14:textId="77777777" w:rsidR="00A8138F" w:rsidRDefault="00A8138F" w:rsidP="00A8138F">
      <w:pPr>
        <w:pStyle w:val="Extracto"/>
      </w:pPr>
    </w:p>
    <w:p w14:paraId="316C2469"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FB1C3E5" w14:textId="5901B43B" w:rsidR="00A8138F" w:rsidRDefault="00A8138F" w:rsidP="00A8138F">
      <w:pPr>
        <w:pStyle w:val="TextoNormal"/>
      </w:pPr>
    </w:p>
    <w:p w14:paraId="44679B48" w14:textId="77777777" w:rsidR="00A8138F" w:rsidRDefault="00A8138F" w:rsidP="00A8138F">
      <w:pPr>
        <w:pStyle w:val="TextoNormalCentrado"/>
        <w:keepNext/>
      </w:pPr>
      <w:r>
        <w:t>EN NOMBRE DEL REY</w:t>
      </w:r>
    </w:p>
    <w:p w14:paraId="0CCAC763" w14:textId="5A4FD9E9" w:rsidR="00A8138F" w:rsidRDefault="00A8138F" w:rsidP="00A8138F">
      <w:pPr>
        <w:pStyle w:val="TextoNormalCentrado"/>
        <w:keepNext/>
      </w:pPr>
    </w:p>
    <w:p w14:paraId="4D9A889C" w14:textId="77777777" w:rsidR="00A8138F" w:rsidRDefault="00A8138F" w:rsidP="00A8138F">
      <w:pPr>
        <w:pStyle w:val="TextoNormalCentrado"/>
        <w:keepNext/>
      </w:pPr>
    </w:p>
    <w:p w14:paraId="0584768F" w14:textId="77777777" w:rsidR="00A8138F" w:rsidRDefault="00A8138F" w:rsidP="00A8138F">
      <w:pPr>
        <w:pStyle w:val="TextoNormal"/>
      </w:pPr>
      <w:r>
        <w:t>la siguiente</w:t>
      </w:r>
    </w:p>
    <w:p w14:paraId="1E03C910" w14:textId="12453EBC" w:rsidR="00A8138F" w:rsidRDefault="00A8138F" w:rsidP="00A8138F">
      <w:pPr>
        <w:pStyle w:val="TextoNormal"/>
      </w:pPr>
    </w:p>
    <w:p w14:paraId="227ADB0D" w14:textId="77777777" w:rsidR="00A8138F" w:rsidRDefault="00A8138F" w:rsidP="00A8138F">
      <w:pPr>
        <w:pStyle w:val="TextoNormalCentrado"/>
        <w:keepNext/>
      </w:pPr>
      <w:r>
        <w:t>SENTENCIA</w:t>
      </w:r>
    </w:p>
    <w:p w14:paraId="5EDA8200" w14:textId="7FBA206C" w:rsidR="00A8138F" w:rsidRDefault="00A8138F" w:rsidP="00A8138F">
      <w:pPr>
        <w:pStyle w:val="TextoNormalCentrado"/>
        <w:keepNext/>
      </w:pPr>
    </w:p>
    <w:p w14:paraId="409C3672" w14:textId="77777777" w:rsidR="00A8138F" w:rsidRDefault="00A8138F" w:rsidP="00A8138F">
      <w:pPr>
        <w:pStyle w:val="TextoNormal"/>
      </w:pPr>
      <w:r>
        <w:t>En el recurso de amparo núm. 4986-2016, promovido por don José Miguel Morcillo Gómez contra el acuerdo de la Sala de Gobierno del Tribunal Superior de Justicia de Extremadura de 27 de junio de 2016, por el que se desestima el recurso de alzada núm. 1-2016 interpuesto contra el acuerdo de la letrada de la administración de justicia del Juzgado de Primera Instancia núm. 2 de Badajoz de 20 de mayo de 2016, en el expediente de responsabilidad disciplinaria núm. 1-2016. Ha intervenido el Ministerio Fiscal. Ha sido ponente el magistrado don César Tolosa Tribiño.</w:t>
      </w:r>
    </w:p>
    <w:p w14:paraId="6008BFBC" w14:textId="24ADF4FC" w:rsidR="00A8138F" w:rsidRDefault="00A8138F" w:rsidP="00A8138F">
      <w:pPr>
        <w:pStyle w:val="TextoNormal"/>
      </w:pPr>
    </w:p>
    <w:p w14:paraId="1ACF445E" w14:textId="77777777" w:rsidR="00A8138F" w:rsidRDefault="00A8138F" w:rsidP="00A8138F">
      <w:pPr>
        <w:pStyle w:val="TextoNormalNegritaCentrado"/>
        <w:keepNext/>
      </w:pPr>
      <w:r>
        <w:t>I. Antecedentes</w:t>
      </w:r>
    </w:p>
    <w:p w14:paraId="1C59B1A7" w14:textId="38010951" w:rsidR="00A8138F" w:rsidRDefault="00A8138F" w:rsidP="00A8138F">
      <w:pPr>
        <w:pStyle w:val="TextoNormalNegritaCentrado"/>
        <w:keepNext/>
      </w:pPr>
    </w:p>
    <w:p w14:paraId="6B4A528B" w14:textId="4383A528" w:rsidR="00A8138F" w:rsidRDefault="00A8138F" w:rsidP="00A8138F">
      <w:pPr>
        <w:pStyle w:val="TextoNormal"/>
      </w:pPr>
      <w:r w:rsidRPr="00A8138F">
        <w:rPr>
          <w:rStyle w:val="NumeroAFNegritaCaracter"/>
        </w:rPr>
        <w:t>1</w:t>
      </w:r>
      <w:r>
        <w:t>. Don José Miguel Morcillo Gómez, representado por el procurador de los tribunales don Santos Gómez Rodríguez y bajo su propia dirección letrada, formuló demanda de amparo contra las resoluciones que se citan en el encabezamiento mediante escrito registrado en este tribunal el 21 de septiembre de 2016.</w:t>
      </w:r>
    </w:p>
    <w:p w14:paraId="0BACADA0" w14:textId="77777777" w:rsidR="00A8138F" w:rsidRDefault="00A8138F" w:rsidP="00A8138F">
      <w:pPr>
        <w:pStyle w:val="TextoNormal"/>
      </w:pPr>
    </w:p>
    <w:p w14:paraId="646142CD" w14:textId="77777777" w:rsidR="00A8138F" w:rsidRDefault="00A8138F" w:rsidP="00A8138F">
      <w:pPr>
        <w:pStyle w:val="TextoNormal"/>
      </w:pPr>
      <w:r w:rsidRPr="00A8138F">
        <w:rPr>
          <w:rStyle w:val="NumeroAFNegritaCaracter"/>
        </w:rPr>
        <w:t>2</w:t>
      </w:r>
      <w:r>
        <w:t>. El recurso tiene su origen en los siguientes antecedentes:</w:t>
      </w:r>
    </w:p>
    <w:p w14:paraId="4EB25F18" w14:textId="77777777" w:rsidR="00A8138F" w:rsidRDefault="00A8138F" w:rsidP="00A8138F">
      <w:pPr>
        <w:pStyle w:val="TextoNormal"/>
      </w:pPr>
    </w:p>
    <w:p w14:paraId="77E97154" w14:textId="77777777" w:rsidR="00A8138F" w:rsidRDefault="00A8138F" w:rsidP="00A8138F">
      <w:pPr>
        <w:pStyle w:val="TextoNormal"/>
      </w:pPr>
      <w:r>
        <w:t>a) La letrada de administración de justicia del Juzgado de Primera Instancia núm. 2 de Badajoz, por diligencia de ordenación de 10 de mayo de 2016, pronunciada en el procedimiento de ejecución de títulos judiciales núm. 699-2015, acordó incoar el expediente disciplinario núm. 1-2016 contra el recurrente “por las posibles ofensas graves y reiteradas efectuadas a lo largo del procedimiento hacia la letrada de la administración de justicia, concretamente en sus escritos de fecha 14 de octubre de 2015, 27 de noviembre de 2015, dos escritos de fecha 1 de diciembre de 2015, así como escrito de fecha 7 de abril de 2016 y todo ello de conformidad con lo establecido en el art. 553.1 de la LOPJ [Ley Orgánica del Poder Judicial]”. Dicha diligencia se ejecutó mediante acuerdo de la misma letrada de la administración de justicia de 11 de mayo de 2016 en el que, al amparo del art. 554.2 LOPJ, se dio trámite de audiencia al recurrente con traslado de dichos escritos por el término de tres días.</w:t>
      </w:r>
    </w:p>
    <w:p w14:paraId="096989E5" w14:textId="77777777" w:rsidR="00A8138F" w:rsidRDefault="00A8138F" w:rsidP="00A8138F">
      <w:pPr>
        <w:pStyle w:val="TextoNormal"/>
      </w:pPr>
    </w:p>
    <w:p w14:paraId="7D552204" w14:textId="77777777" w:rsidR="00A8138F" w:rsidRDefault="00A8138F" w:rsidP="00A8138F">
      <w:pPr>
        <w:pStyle w:val="TextoNormal"/>
      </w:pPr>
      <w:r>
        <w:t>b) El recurrente, mediante escrito de 17 de mayo de 2016, recusó a la letrada de la administración de justicia alegando como causas de perdida de la imparcialidad tanto el interés directo en la causa, por tratarse de presuntas ofensas contra su persona, como su pública y manifiesta enemistad con el recurrente.</w:t>
      </w:r>
    </w:p>
    <w:p w14:paraId="12CCD0A5" w14:textId="77777777" w:rsidR="00A8138F" w:rsidRDefault="00A8138F" w:rsidP="00A8138F">
      <w:pPr>
        <w:pStyle w:val="TextoNormal"/>
      </w:pPr>
    </w:p>
    <w:p w14:paraId="778F780F" w14:textId="77777777" w:rsidR="00A8138F" w:rsidRDefault="00A8138F" w:rsidP="00A8138F">
      <w:pPr>
        <w:pStyle w:val="TextoNormal"/>
      </w:pPr>
      <w:r>
        <w:t>La solicitud fue rechazada por acuerdo de la letrada de la administración de justicia de 18 de mayo de 2016, argumentando que el procedimiento de los arts. 553 y ss. LOPJ es de carácter sumario y específico y no contiene referencia alguna a la posibilidad de recusar a la autoridad promotora del expediente con suspensión del plazo de alegaciones.</w:t>
      </w:r>
    </w:p>
    <w:p w14:paraId="045889AA" w14:textId="77777777" w:rsidR="00A8138F" w:rsidRDefault="00A8138F" w:rsidP="00A8138F">
      <w:pPr>
        <w:pStyle w:val="TextoNormal"/>
      </w:pPr>
    </w:p>
    <w:p w14:paraId="050CEFF9" w14:textId="77777777" w:rsidR="00A8138F" w:rsidRDefault="00A8138F" w:rsidP="00A8138F">
      <w:pPr>
        <w:pStyle w:val="TextoNormal"/>
      </w:pPr>
      <w:r>
        <w:t>c) El recurrente, mediante escrito de 19 de mayo de 2016, interpuso recurso de reposición, alegando la infracción del derecho a la tutela judicial efectiva (art. 24.1 CE) y del derecho de defensa (art. 24.2 CE) con fundamento en que (i) solo tiene la cualidad de autoridad el juez o tribunal; (ii) en un proceso sancionador deben respetarse las garantías constitucionales incluyendo la imparcialidad judicial y (iii) la obligación de abstención y la correlativa posibilidad de recusar se contempla en la Ley Orgánica del Poder Judicial con carácter general para todo tipo de procesos.</w:t>
      </w:r>
    </w:p>
    <w:p w14:paraId="3D9EFE0A" w14:textId="77777777" w:rsidR="00A8138F" w:rsidRDefault="00A8138F" w:rsidP="00A8138F">
      <w:pPr>
        <w:pStyle w:val="TextoNormal"/>
      </w:pPr>
    </w:p>
    <w:p w14:paraId="6D8BECD4" w14:textId="77777777" w:rsidR="00A8138F" w:rsidRDefault="00A8138F" w:rsidP="00A8138F">
      <w:pPr>
        <w:pStyle w:val="TextoNormal"/>
      </w:pPr>
      <w:r>
        <w:t>El recurso fue inadmitido a trámite mediante acuerdo de la letrada de la administración de justicia de 20 de mayo de 2016, argumentando que los recursos de reposición solo caben contra decretos o diligencias de ordenación y no contra acuerdos (art. 451 y ss. LOPJ) y que la regulación del expediente disciplinario únicamente prevé el recurso de audiencia en justicia o el de alzada frente a la resolución definitiva del mismo (art. 556 LOPJ).</w:t>
      </w:r>
    </w:p>
    <w:p w14:paraId="006D7899" w14:textId="77777777" w:rsidR="00A8138F" w:rsidRDefault="00A8138F" w:rsidP="00A8138F">
      <w:pPr>
        <w:pStyle w:val="TextoNormal"/>
      </w:pPr>
    </w:p>
    <w:p w14:paraId="2D9FE79C" w14:textId="77777777" w:rsidR="00A8138F" w:rsidRDefault="00A8138F" w:rsidP="00A8138F">
      <w:pPr>
        <w:pStyle w:val="TextoNormal"/>
      </w:pPr>
      <w:r>
        <w:lastRenderedPageBreak/>
        <w:t>d) El recurrente, mediante escrito de 17 de mayo de 2016, presentó alegaciones, afirmando que, “en ejercicio de su legítimo derecho de defensa y libertad de expresión”, se ha limitado a poner de manifiesto la realidad de lo que sucede en el Juzgado y las circunstancias concurrentes a los efectos legales oportunos, sin que se haya vertido ninguna ofensa contra nadie; insistiendo en que se habrían infringido el derecho a un juez imparcial y el principio acusatorio por no concretarse cuáles eran las ofensas vertidas.</w:t>
      </w:r>
    </w:p>
    <w:p w14:paraId="0E2884DB" w14:textId="77777777" w:rsidR="00A8138F" w:rsidRDefault="00A8138F" w:rsidP="00A8138F">
      <w:pPr>
        <w:pStyle w:val="TextoNormal"/>
      </w:pPr>
    </w:p>
    <w:p w14:paraId="5124BC55" w14:textId="77777777" w:rsidR="00A8138F" w:rsidRDefault="00A8138F" w:rsidP="00A8138F">
      <w:pPr>
        <w:pStyle w:val="TextoNormal"/>
      </w:pPr>
      <w:r>
        <w:t>e) La letrada de la administración de justicia, por acuerdo de 20 de mayo de 2016, impuso al recurrente una multa de 2000 €. Los hechos determinantes de la sanción vienen constituidos por las siguientes expresiones contenidas en diversos escritos forenses: (i) “inaudita e inconcebible resolución que constituye una flagrante ilegalidad”, contenida en el escrito de 14 de octubre de 2015 referida a la diligencia de ordenación de 13 de octubre de 2015; (ii) “las resoluciones de la señora secretaria constituyen una flagrante ilegalidad”, contenida en el escrito de 27 de noviembre de 2015; (iii) “solicitud de testimonio a efectos de interposición de querella por prevaricación”, contenida en el escrito de recusación de 1 de diciembre de 2015, en que también se relata la situación de enemistad, afirmando que en un anterior procedimiento se modificó la diligencia de reparto para que correspondiera el asunto a ese juzgado siendo desestimadas las pretensiones de esa parte, que fueron revocadas en apelación, señalando que “desde entonces hasta la fecha se han soportado infinidad de resoluciones de muy dudosa legalidad e imparcialidad”; (iv) “la señora secretaria está prevaricando. Incurriendo en resoluciones injustas a sabiendas […] inaudita e inconcebible resolución”, contenida en el escrito del recurso de reposición de 1 de diciembre de 2015; y (v) “No lo ve porque no lo lee […] siendo esta la enésima vez que la señora secretaria vulnera de forma intencionada el derecho a la tutela judicial efectiva de esta parte inadmitiendo recursos mediante falacias, y considerando que tales inadmisiones son puramente intencionadas y constitutivas de posibles delitos de prevaricación […] Solicito a efectos de incorporarlo a la querella que contra la misma está ya preparada y se va a interponer en los próximo días”, contenida en un escrito de 7 de abril de 2016.</w:t>
      </w:r>
    </w:p>
    <w:p w14:paraId="5941742B" w14:textId="77777777" w:rsidR="00A8138F" w:rsidRDefault="00A8138F" w:rsidP="00A8138F">
      <w:pPr>
        <w:pStyle w:val="TextoNormal"/>
      </w:pPr>
    </w:p>
    <w:p w14:paraId="7916E1DC" w14:textId="77777777" w:rsidR="00A8138F" w:rsidRDefault="00A8138F" w:rsidP="00A8138F">
      <w:pPr>
        <w:pStyle w:val="TextoNormal"/>
      </w:pPr>
      <w:r>
        <w:t>En el acuerdo se argumenta que estas expresiones sobrepasan los límites del derecho a la libertad de expresión en el ejercicio del derecho de defensa; poniendo de manifiesto que el letrado de la administración de justicia tiene competencia para imponer sanciones por una infracción del art. 553.1 LOPJ —referida a la actuación forense en que se falta por escrito el respeto debido a los secretarios judiciales— con fundamento en que, según el art. 440 LOPJ, “[l]os letrados de administración de justicia son funcionarios públicos […] que ejercen sus funciones con carácter de autoridad”, y el art. 555.1 LOPJ declara que “[l]a corrección se impondrá por la autoridad ante la que se sigan las actuaciones”.</w:t>
      </w:r>
    </w:p>
    <w:p w14:paraId="2432582B" w14:textId="77777777" w:rsidR="00A8138F" w:rsidRDefault="00A8138F" w:rsidP="00A8138F">
      <w:pPr>
        <w:pStyle w:val="TextoNormal"/>
      </w:pPr>
    </w:p>
    <w:p w14:paraId="7B07D6B5" w14:textId="77777777" w:rsidR="00A8138F" w:rsidRDefault="00A8138F" w:rsidP="00A8138F">
      <w:pPr>
        <w:pStyle w:val="TextoNormal"/>
      </w:pPr>
      <w:r>
        <w:t>El acuerdo incluye un último párrafo en el que se indica que contra el mismo cabe interponer recurso de audiencia en justicia ante el letrado de la administración de justicia o recurso directo de alzada ante la Sala de Gobierno del Tribunal Superior de Justicia de Extremadura.</w:t>
      </w:r>
    </w:p>
    <w:p w14:paraId="78EE5879" w14:textId="77777777" w:rsidR="00A8138F" w:rsidRDefault="00A8138F" w:rsidP="00A8138F">
      <w:pPr>
        <w:pStyle w:val="TextoNormal"/>
      </w:pPr>
    </w:p>
    <w:p w14:paraId="1664F192" w14:textId="77777777" w:rsidR="00A8138F" w:rsidRDefault="00A8138F" w:rsidP="00A8138F">
      <w:pPr>
        <w:pStyle w:val="TextoNormal"/>
      </w:pPr>
      <w:r>
        <w:t>f) El recurrente interpuso directamente recurso de alzada ante la Sala de Gobierno del Tribunal Superior de Justicia de Extremadura, que fue tramitado con el núm. 1-2016, solicitando la nulidad del acuerdo sancionador, la apertura de un expediente disciplinario a la letrada de la administración de justicia que dictó el citado acuerdo y la deducción de testimonio de lo actuado por si pudiera ser constitutivo de un delito de prevaricación.</w:t>
      </w:r>
    </w:p>
    <w:p w14:paraId="060F9183" w14:textId="77777777" w:rsidR="00A8138F" w:rsidRDefault="00A8138F" w:rsidP="00A8138F">
      <w:pPr>
        <w:pStyle w:val="TextoNormal"/>
      </w:pPr>
    </w:p>
    <w:p w14:paraId="51C6F61C" w14:textId="77777777" w:rsidR="00A8138F" w:rsidRDefault="00A8138F" w:rsidP="00A8138F">
      <w:pPr>
        <w:pStyle w:val="TextoNormal"/>
      </w:pPr>
      <w:r>
        <w:t>La solicitud de nulidad del acuerdo se fundamenta en las infracciones del derecho a la tutela judicial efectiva del art. 24 CE y del derecho de defensa. Respecto de este último se afirma que todos los escritos presentados y su contenido se ajustan al derecho de defensa sin que haya expresión alguna que falte el respeto o falte a la verdad. Por lo que se refiere a las cuestiones procedimentales, se exponen las siguientes vulneraciones: (i) El principio acusatorio, ya que no se le informó de las concretas expresiones o afirmaciones que podían fundamentar el expediente, las infracciones que había podido cometer ni las sanciones a imponer. (ii) El derecho a conocer la identidad del órgano instructor y del sancionador, que no han sido identificados ni designados, habiéndose constituido en juez y parte la letrada de la administración de justicia, cuando de la dicción del art. 555.2 LOPJ se desprende que el órgano sancionador debe ser únicamente el juez o tribunal. (iii) El derecho a un juez imparcial al negarse a tramitar la recusación cuando los arts. 217 y ss. LOPJ regulan la obligación de recusación y abstención para todos los procedimientos sin excepción alguna. (iv) El principio de tipicidad, ya que, por un lado, se ha incurrido en arbitrariedad y falta de motivación en cuanto a la imposición de la sanción, pues el art. 554.1 LOPJ establece que la cuantía máxima de la sanción será la prevista para las faltas en el Código penal y ya no existen, no pudiéndose cubrir por analogía ese vacío legal, y, por otro, se infringe el principio de proporcionalidad, pues al imponer una sanción de 2000 € no se razonan qué criterios del art. 554.2 LOPJ han llevado a la fijación de tal cifra.</w:t>
      </w:r>
    </w:p>
    <w:p w14:paraId="1D76A8C3" w14:textId="77777777" w:rsidR="00A8138F" w:rsidRDefault="00A8138F" w:rsidP="00A8138F">
      <w:pPr>
        <w:pStyle w:val="TextoNormal"/>
      </w:pPr>
    </w:p>
    <w:p w14:paraId="076307F7" w14:textId="77777777" w:rsidR="00A8138F" w:rsidRDefault="00A8138F" w:rsidP="00A8138F">
      <w:pPr>
        <w:pStyle w:val="TextoNormal"/>
      </w:pPr>
      <w:r>
        <w:t>g) La Sala de Gobierno del Tribunal Superior de Justicia de Extremadura, por acuerdo de 27 de junio de 2016, desestimó el recurso con fundamento en las siguientes razones: (i) Las alegaciones de las vulneraciones de garantías procedimentales del procedimiento sancionador carecen de encuadre en el proceso previsto en la Ley Orgánica del Poder Judicial, ya que la jurisprudencia constitucional ha establecido que el ejercicio disciplinario impuesto a un abogado en el marco de un procedimiento no se configura mediante actos materialmente administrativos sino resoluciones jurisdiccionales dictadas en un proceso con todas las garantías (STC 197/2004, de 15 de noviembre). (ii) Con respecto a la falta de información de la acusación, se argumenta que el art. 553 LOPJ se refiere a un reducido ámbito de supuestos de corrección disciplinaria por lo que su derecho a la información se considera respetado con la indicación del supuesto concreto en el que se incardina su actuación. (iii) En relación con la libertad de expresión en el ejercicio del derecho de defensa, se expone que no se ha vulnerado a la vista de que las expresiones vertidas “son algo más que irrespetuosas, atribuyendo incluso la comisión de hechos penales a la señor letrada de la administración de justicia. Expresiones que carecen de soporte probatorio, sobrepasan la crítica para introducirse en lo que es a todas luces un exceso, una actuación irrespetuosa y un ataque grosero a un integrante de la Justicia”. (iv) Respecto de la imparcialidad judicial se destaca que la recusación formulada “no tuvo éxito procesal, por lo que nada más debe añadirse. No siendo este el procedimiento ni el trámite para saber si existe o no causa de recusación”. (v) No cabe apreciar desproporción en la sanción que se impuso en la cuantía inferior del delito leve (a los que se reconducen las faltas en el Código penal tras la reforma por Ley Orgánica 1/2015, de 30 de marzo, por la que se modifica la Ley Orgánica 10/1995, de 23 de noviembre, del Código penal) previsto en el art. 33.3.4 g) CP (cuya cuantía máxima es de 36 000 €), atendiendo a la capacidad económica del letrado.</w:t>
      </w:r>
    </w:p>
    <w:p w14:paraId="013965E9" w14:textId="77777777" w:rsidR="00A8138F" w:rsidRDefault="00A8138F" w:rsidP="00A8138F">
      <w:pPr>
        <w:pStyle w:val="TextoNormal"/>
      </w:pPr>
    </w:p>
    <w:p w14:paraId="2490DB2D" w14:textId="3CAFB2BB" w:rsidR="00A8138F" w:rsidRDefault="00A8138F" w:rsidP="00A8138F">
      <w:pPr>
        <w:pStyle w:val="TextoNormal"/>
      </w:pPr>
      <w:r>
        <w:t>El acuerdo y su notificación no incluyen ningún tipo de indicación respecto del eventual régimen de recursos o su firmeza.</w:t>
      </w:r>
    </w:p>
    <w:p w14:paraId="3222ED9B" w14:textId="77777777" w:rsidR="00A8138F" w:rsidRDefault="00A8138F" w:rsidP="00A8138F">
      <w:pPr>
        <w:pStyle w:val="TextoNormal"/>
      </w:pPr>
    </w:p>
    <w:p w14:paraId="2C5BCA0C" w14:textId="77777777" w:rsidR="00A8138F" w:rsidRDefault="00A8138F" w:rsidP="00A8138F">
      <w:pPr>
        <w:pStyle w:val="TextoNormal"/>
      </w:pPr>
      <w:r w:rsidRPr="00A8138F">
        <w:rPr>
          <w:rStyle w:val="NumeroAFNegritaCaracter"/>
        </w:rPr>
        <w:t>3</w:t>
      </w:r>
      <w:r>
        <w:t>. El recurrente solicita que se estime el recurso de amparo declarándose la nulidad de las resoluciones dictadas en el procedimiento gubernativo 1-2016, por la letrada de la administración de justicia del Juzgado de Primera Instancia núm. 2 de Badajoz, y la resolución dictada por el secretario de gobierno en funciones de la Sala de Gobierno del Tribunal Superior de Justicia de Extremadura de 27 de junio de 2016.</w:t>
      </w:r>
    </w:p>
    <w:p w14:paraId="65591695" w14:textId="77777777" w:rsidR="00A8138F" w:rsidRDefault="00A8138F" w:rsidP="00A8138F">
      <w:pPr>
        <w:pStyle w:val="TextoNormal"/>
      </w:pPr>
    </w:p>
    <w:p w14:paraId="7694A430" w14:textId="77777777" w:rsidR="00A8138F" w:rsidRDefault="00A8138F" w:rsidP="00A8138F">
      <w:pPr>
        <w:pStyle w:val="TextoNormal"/>
      </w:pPr>
      <w:r>
        <w:t>Alega el recurrente que la sanción vulnera los siguientes derechos:</w:t>
      </w:r>
    </w:p>
    <w:p w14:paraId="22900D17" w14:textId="77777777" w:rsidR="00A8138F" w:rsidRDefault="00A8138F" w:rsidP="00A8138F">
      <w:pPr>
        <w:pStyle w:val="TextoNormal"/>
      </w:pPr>
    </w:p>
    <w:p w14:paraId="7644BCFB" w14:textId="77777777" w:rsidR="00A8138F" w:rsidRDefault="00A8138F" w:rsidP="00A8138F">
      <w:pPr>
        <w:pStyle w:val="TextoNormal"/>
      </w:pPr>
      <w:r>
        <w:t>(i) El juez predeterminado por la ley (art. 24.2 CE), con el argumento de que el art. 555.2 LOPJ determina que la potestad sancionadora en el contexto de la policía de estrados la tiene atribuida el titular del órgano judicial y no la letrada de la administración de justicia. En el presente supuesto la sanción se impuso por una secretaria judicial (ahora letrada de la administración de justicia) y no por el juez titular del órgano que tiene atribuida la potestad legal al efecto, y el recurso de alzada fue resuelto por otro secretario judicial (ahora letrado de la administración de justicia).</w:t>
      </w:r>
    </w:p>
    <w:p w14:paraId="5CCFE0E3" w14:textId="77777777" w:rsidR="00A8138F" w:rsidRDefault="00A8138F" w:rsidP="00A8138F">
      <w:pPr>
        <w:pStyle w:val="TextoNormal"/>
      </w:pPr>
    </w:p>
    <w:p w14:paraId="10D4C02A" w14:textId="77777777" w:rsidR="00A8138F" w:rsidRDefault="00A8138F" w:rsidP="00A8138F">
      <w:pPr>
        <w:pStyle w:val="TextoNormal"/>
      </w:pPr>
      <w:r>
        <w:t>(ii) El derecho a un juez imparcial (art. 24.2 CE), con el argumento de que ha sido impuesta la sanción por la propia letrada de la administración de justicia que era la supuesta agraviada por los escritos y, por lo tanto, es parte interesada constituyéndose en juez y parte.</w:t>
      </w:r>
    </w:p>
    <w:p w14:paraId="4D7C6DB9" w14:textId="77777777" w:rsidR="00A8138F" w:rsidRDefault="00A8138F" w:rsidP="00A8138F">
      <w:pPr>
        <w:pStyle w:val="TextoNormal"/>
      </w:pPr>
    </w:p>
    <w:p w14:paraId="21F78353" w14:textId="77777777" w:rsidR="00A8138F" w:rsidRDefault="00A8138F" w:rsidP="00A8138F">
      <w:pPr>
        <w:pStyle w:val="TextoNormal"/>
      </w:pPr>
      <w:r>
        <w:t>(iii) El derecho de defensa en relación con el derecho a la libertad de expresión [arts. 20.1 a) y 24 CE], porque, por un lado, en el inicio del procedimiento sancionador no se indican cuáles son las expresiones que se consideran injuriosas, ni sus posibles sanciones ni su graduación. Y, por otro lado, porque las manifestaciones vertidas en los diferentes escritos se limitaban a poner de manifiesto las irregularidades en que había incurrido la letrada de la administración de justica al negarse a la ejecución de la sentencia en sus propios términos, sin que se hubiera injuriado o calumniado a nadie en los escritos, sino que se estaba ejerciendo el legítimo derecho de defensa.</w:t>
      </w:r>
    </w:p>
    <w:p w14:paraId="542091AA" w14:textId="77777777" w:rsidR="00A8138F" w:rsidRDefault="00A8138F" w:rsidP="00A8138F">
      <w:pPr>
        <w:pStyle w:val="TextoNormal"/>
      </w:pPr>
    </w:p>
    <w:p w14:paraId="6DF56337" w14:textId="77777777" w:rsidR="00A8138F" w:rsidRDefault="00A8138F" w:rsidP="00A8138F">
      <w:pPr>
        <w:pStyle w:val="TextoNormal"/>
      </w:pPr>
      <w:r>
        <w:t>(iv) La garantía de la proporcionalidad y motivación de las sanciones impuestas, con el argumento de que de las dos posibles sanciones a imponer como corrección disciplinaria de acuerdo con el art. 554.1 LOPJ, se impone la sanción de multa y no el apercibimiento, sin un trámite de audiencia previa para ello y sin exponer la motivación para esa selección ni la cuantificación de la multa. Además, se argumenta que el art. 554.1 LOPJ establece que la cuantía máxima de la sanción será la prevista para las faltas en el Código penal y ya no existen, no pudiéndose cubrir por analogía ese vacío legal.</w:t>
      </w:r>
    </w:p>
    <w:p w14:paraId="70CD76ED" w14:textId="77777777" w:rsidR="00A8138F" w:rsidRDefault="00A8138F" w:rsidP="00A8138F">
      <w:pPr>
        <w:pStyle w:val="TextoNormal"/>
      </w:pPr>
    </w:p>
    <w:p w14:paraId="48887F23" w14:textId="792D87D2" w:rsidR="00A8138F" w:rsidRDefault="00A8138F" w:rsidP="00A8138F">
      <w:pPr>
        <w:pStyle w:val="TextoNormal"/>
      </w:pPr>
      <w:r>
        <w:t>El recurrente afirma que la demanda de amparo tiene especial transcendencia constitucional, conforme a lo establecido en la STC 155/2009, de 25 de junio, ya que resulta necesario para determinar la existencia de una potestad sancionadora de los letrados de la administración de justicia en el contexto en que ha sido ejercida en el presente caso.</w:t>
      </w:r>
    </w:p>
    <w:p w14:paraId="0FB4DCC3" w14:textId="77777777" w:rsidR="00A8138F" w:rsidRDefault="00A8138F" w:rsidP="00A8138F">
      <w:pPr>
        <w:pStyle w:val="TextoNormal"/>
      </w:pPr>
    </w:p>
    <w:p w14:paraId="30F6968A" w14:textId="766515F6" w:rsidR="00A8138F" w:rsidRDefault="00A8138F" w:rsidP="00A8138F">
      <w:pPr>
        <w:pStyle w:val="TextoNormal"/>
      </w:pPr>
      <w:r w:rsidRPr="00A8138F">
        <w:rPr>
          <w:rStyle w:val="NumeroAFNegritaCaracter"/>
        </w:rPr>
        <w:t>4</w:t>
      </w:r>
      <w:r>
        <w:t xml:space="preserve">. La Sección Tercera del Tribunal, por providencia de 3 de octubre de 2017,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de la Ley Orgánica del Tribunal Constitucional, </w:t>
      </w:r>
      <w:r>
        <w:lastRenderedPageBreak/>
        <w:t>requerir atentamente de los órganos judiciales la remisión de las actuaciones y, además, el emplazamiento de quienes hubieran sido parte en el procedimiento, a excepción de la recurrente, para que pudiesen comparecer en el plazo de diez días en el citado proceso de amparo.</w:t>
      </w:r>
    </w:p>
    <w:p w14:paraId="241796EC" w14:textId="77777777" w:rsidR="00A8138F" w:rsidRDefault="00A8138F" w:rsidP="00A8138F">
      <w:pPr>
        <w:pStyle w:val="TextoNormal"/>
      </w:pPr>
    </w:p>
    <w:p w14:paraId="4C954B46" w14:textId="39A7F481" w:rsidR="00A8138F" w:rsidRDefault="00A8138F" w:rsidP="00A8138F">
      <w:pPr>
        <w:pStyle w:val="TextoNormal"/>
      </w:pPr>
      <w:r w:rsidRPr="00A8138F">
        <w:rPr>
          <w:rStyle w:val="NumeroAFNegritaCaracter"/>
        </w:rPr>
        <w:t>5</w:t>
      </w:r>
      <w:r>
        <w:t>. La Secretaría de Justicia de la Sala Segunda del Tribunal, por diligencia de ordenación de 27 de octubre de 2017, acordó dar vista de las actuaciones al Ministerio Fiscal y a la parte recurrente por un plazo común de veinte días para presentar las alegaciones que estimasen pertinentes.</w:t>
      </w:r>
    </w:p>
    <w:p w14:paraId="0BC63F8B" w14:textId="77777777" w:rsidR="00A8138F" w:rsidRDefault="00A8138F" w:rsidP="00A8138F">
      <w:pPr>
        <w:pStyle w:val="TextoNormal"/>
      </w:pPr>
    </w:p>
    <w:p w14:paraId="4F90E6AE" w14:textId="77777777" w:rsidR="00A8138F" w:rsidRDefault="00A8138F" w:rsidP="00A8138F">
      <w:pPr>
        <w:pStyle w:val="TextoNormal"/>
      </w:pPr>
      <w:r w:rsidRPr="00A8138F">
        <w:rPr>
          <w:rStyle w:val="NumeroAFNegritaCaracter"/>
        </w:rPr>
        <w:t>6</w:t>
      </w:r>
      <w:r>
        <w:t>. El Ministerio Fiscal, por escrito registrado el 11 de diciembre de 2017, formuló alegaciones interesando la inadmisión del recurso de amparo por falta de agotamiento de la vía judicial previa o, subsidiariamente, otorgar el amparo solicitado por vulneración del derecho fundamental a la libertad de expresión, con declaración de nulidad de los acuerdos impugnados.</w:t>
      </w:r>
    </w:p>
    <w:p w14:paraId="4ED63228" w14:textId="77777777" w:rsidR="00A8138F" w:rsidRDefault="00A8138F" w:rsidP="00A8138F">
      <w:pPr>
        <w:pStyle w:val="TextoNormal"/>
      </w:pPr>
    </w:p>
    <w:p w14:paraId="26C3D8E5" w14:textId="77777777" w:rsidR="00A8138F" w:rsidRDefault="00A8138F" w:rsidP="00A8138F">
      <w:pPr>
        <w:pStyle w:val="TextoNormal"/>
      </w:pPr>
      <w:r>
        <w:t>El Ministerio Fiscal analiza, en primer lugar, la invocación del derecho al juez ordinario predeterminado por la ley (art. 24.2 CE), argumentando que la posibilidad de que un letrado de la administración de justicia pueda ejercer la potestad sancionadora respecto de quienes intervienen en los pleitos o causas (arts. 552 a 557 LOPJ) en aquellas actuaciones que se celebren ante él es una cuestión de legalidad ordinaria que ha sido resuelta en los acuerdos impugnados sin incurrir en ningún defecto constitucional de motivación, ya que se ha fundamentado en el carácter de autoridad de estos funcionarios que le otorga el art. 440 LOPJ y en la regulación del art. 556 LOPJ sobre el régimen de recurso frente al ejercicio de esta potestad disciplinaria en que expresamente se prevén los recursos de audiencia en justicia y de alzada no solo contra los acuerdos de imposición de la corrección de un juez o sala sino también de un letrado de la administración de justicia. En relación con ello, el Ministerio Fiscal, además de negar que concurra esta vulneración, sostiene que, conforme a la jurisprudencia constitucional establecida en las SSTC 190/1991, de 14 de octubre, y 197/2004, de 15 de noviembre, las correcciones disciplinarias impuestas por jueces y tribunales en el ejercicio de la policía de estrados no son actos materialmente administrativos sino resoluciones jurisdiccionales en que, por esa naturaleza, no resulta necesario que sean impugnados en la vía judicial contencioso-administrativa, siendo suficiente su revisión en alzada por la Sala de Gobierno que corresponda, que a esos efectos de manera excepcional y por revisar una actuación típicamente jurisdiccional también actúan con funciones jurisdiccionales. No obstante, el Ministerio Fiscal también afirma que en este caso se trata del ejercicio de esa potestad por parte de un letrado de la administración de justicia, que según se establece en la STC 58/2016, de 17 de marzo, cumple funciones que quedan fuera de la potestad jurisdiccional atribuida con exclusividad a jueces y tribunales, lo que ha sido ratificado por la STJUE de 16 de febrero de 2017, asunto C-503/15. De eso concluye que la decisión sancionadora que adopten los letrados de la administración de justicia —y, en coherencia con ello, la naturaleza de la revisión efectuada por la Sala de Gobierno que corresponda— solo puede ser considerada de carácter administrativo y como tal sometida al control judicial en vía contencioso-administrativa, por lo que, en este caso concreto, al no haberse intentado esa impugnación judicial el recurso estaría incurso en la causa de inadmisión de la falta de agotamiento.</w:t>
      </w:r>
    </w:p>
    <w:p w14:paraId="2925A336" w14:textId="77777777" w:rsidR="00A8138F" w:rsidRDefault="00A8138F" w:rsidP="00A8138F">
      <w:pPr>
        <w:pStyle w:val="TextoNormal"/>
      </w:pPr>
    </w:p>
    <w:p w14:paraId="217D2AFE" w14:textId="77777777" w:rsidR="00A8138F" w:rsidRDefault="00A8138F" w:rsidP="00A8138F">
      <w:pPr>
        <w:pStyle w:val="TextoNormal"/>
      </w:pPr>
      <w:r>
        <w:lastRenderedPageBreak/>
        <w:t>El Ministerio Fiscal afirma que tampoco se ha vulnerado el derecho a la imparcialidad judicial, argumentando que (i) esta garantía está referida únicamente al ejercicio de funciones jurisdiccionales que, por lo anteriormente expuesto, no es el supuesto; y, en todo caso, (ii) ya la jurisprudencia constitucional ha establecido en relación con este tipo de procedimientos sancionadores que su finalidad permite la peculiaridad de la imposición de la sanción con carácter inmediato y sin que resulte afectada la imparcialidad, ya que lo que se tutela no es el honor o la dignidad del titular del órgano sino el respeto debido al Poder Judicial en cuanto institución (STC 197/2004, de 15 de noviembre, FJ 4).</w:t>
      </w:r>
    </w:p>
    <w:p w14:paraId="0F898047" w14:textId="77777777" w:rsidR="00A8138F" w:rsidRDefault="00A8138F" w:rsidP="00A8138F">
      <w:pPr>
        <w:pStyle w:val="TextoNormal"/>
      </w:pPr>
    </w:p>
    <w:p w14:paraId="23CBEF84" w14:textId="77777777" w:rsidR="00A8138F" w:rsidRDefault="00A8138F" w:rsidP="00A8138F">
      <w:pPr>
        <w:pStyle w:val="TextoNormal"/>
      </w:pPr>
      <w:r>
        <w:t>El Ministerio Fiscal, por el contrario, considera que se ha producido la vulneración del derecho a la libertad de expresión en el ejercicio del derecho de defensa de su representado. A esos efectos señala que, en aplicación de la jurisprudencia constitucional en la materia expuesta en la STC 157/1996, de 15 de octubre, las múltiples expresiones recogidas en el acuerdo sancionador extraídas de los escritos del recurrente —flagrante ilegalidad; resoluciones inauditas e inconcebibles; de dudosa legalidad e imparcialidad; injustas a sabiendas; la autoridad competente no es un simple secretario— “no pueden ser catalogadas de ofensas, ni a la persona de la letrada de la administración de justicia, ni mucho menos a la institución que ella representa”, sino que son expresiones cuestionando el apartamiento de la legalidad de decisiones impugnadas. En relación con la expresión en que se imputa dictar resoluciones injustas a sabiendas, el Ministerio Fiscal considera que si bien conllevan una valoración negativa por presuponer una intencionalidad no cabe obviar que se contiene en escritos de recusación en que lo cuestionado es la imparcialidad y objetividad de la letrada de la administración de justicia.</w:t>
      </w:r>
    </w:p>
    <w:p w14:paraId="44C337DD" w14:textId="77777777" w:rsidR="00A8138F" w:rsidRDefault="00A8138F" w:rsidP="00A8138F">
      <w:pPr>
        <w:pStyle w:val="TextoNormal"/>
      </w:pPr>
    </w:p>
    <w:p w14:paraId="0ACE7891" w14:textId="00BF2716" w:rsidR="00A8138F" w:rsidRDefault="00A8138F" w:rsidP="00A8138F">
      <w:pPr>
        <w:pStyle w:val="TextoNormal"/>
      </w:pPr>
      <w:r>
        <w:t>Por último, el Ministerio Fiscal afirma que no se ha incurrido en ninguna infracción procedimental, ya que con la incoación del procedimiento sancionador se dio traslado al recurrente de todos los documentos en los que se contenían las expresiones ofensivas para que hiciera las alegaciones pertinentes, ni tampoco en infracción del principio de legalidad ya que la sanción impuesta está dentro del marco sancionador legalmente establecido y la insuficiencia de motivación de la cuantificación de la multa fue subsanada en el acuerdo resolutorio de la alzada.</w:t>
      </w:r>
    </w:p>
    <w:p w14:paraId="1D501ECA" w14:textId="77777777" w:rsidR="00A8138F" w:rsidRDefault="00A8138F" w:rsidP="00A8138F">
      <w:pPr>
        <w:pStyle w:val="TextoNormal"/>
      </w:pPr>
    </w:p>
    <w:p w14:paraId="67AD03D3" w14:textId="737897A8" w:rsidR="00A8138F" w:rsidRDefault="00A8138F" w:rsidP="00A8138F">
      <w:pPr>
        <w:pStyle w:val="TextoNormal"/>
      </w:pPr>
      <w:r w:rsidRPr="00A8138F">
        <w:rPr>
          <w:rStyle w:val="NumeroAFNegritaCaracter"/>
        </w:rPr>
        <w:t>7</w:t>
      </w:r>
      <w:r>
        <w:t>. El demandante de amparo no ha formulado alegaciones.</w:t>
      </w:r>
    </w:p>
    <w:p w14:paraId="7A6A52F5" w14:textId="77777777" w:rsidR="00A8138F" w:rsidRDefault="00A8138F" w:rsidP="00A8138F">
      <w:pPr>
        <w:pStyle w:val="TextoNormal"/>
      </w:pPr>
    </w:p>
    <w:p w14:paraId="3C1BDFD7" w14:textId="77777777" w:rsidR="00A8138F" w:rsidRDefault="00A8138F" w:rsidP="00A8138F">
      <w:pPr>
        <w:pStyle w:val="TextoNormal"/>
      </w:pPr>
      <w:r w:rsidRPr="00A8138F">
        <w:rPr>
          <w:rStyle w:val="NumeroAFNegritaCaracter"/>
        </w:rPr>
        <w:t>8</w:t>
      </w:r>
      <w:r>
        <w:t>. Mediante auto de 13 de septiembre de 2021 la Sala Segunda del Tribunal Constitucional acordó elevar al Pleno del Tribunal cuestión interna de inconstitucionalidad respecto de los arts. 555.1 y 556 de la Ley Orgánica 6/1985, de 1 de julio, del Poder Judicial (LOPJ), en la redacción dada por la Ley Orgánica 19/2003, de 23 de diciembre, por posible vulneración del art. 24.1 CE en relación con el art. 117.3 CE, con suspensión del plazo para dictar sentencia en el presente recurso de amparo núm. 4986-2016.</w:t>
      </w:r>
    </w:p>
    <w:p w14:paraId="4F39F501" w14:textId="77777777" w:rsidR="00A8138F" w:rsidRDefault="00A8138F" w:rsidP="00A8138F">
      <w:pPr>
        <w:pStyle w:val="TextoNormal"/>
      </w:pPr>
    </w:p>
    <w:p w14:paraId="270223A0" w14:textId="7D78F80F" w:rsidR="00A8138F" w:rsidRDefault="00A8138F" w:rsidP="00A8138F">
      <w:pPr>
        <w:pStyle w:val="TextoNormal"/>
      </w:pPr>
      <w:r>
        <w:t>El Pleno mediante providencia de 27 de enero de 2021 admitió a trámite la citada cuestión interna de inconstitucionalidad (cuestión de inconstitucionalidad 6596-2021), que fue desestimada mediante STC 12/2025, de 15 de enero.</w:t>
      </w:r>
    </w:p>
    <w:p w14:paraId="0BF76C0B" w14:textId="77777777" w:rsidR="00A8138F" w:rsidRDefault="00A8138F" w:rsidP="00A8138F">
      <w:pPr>
        <w:pStyle w:val="TextoNormal"/>
      </w:pPr>
    </w:p>
    <w:p w14:paraId="37739322" w14:textId="67E05F8F" w:rsidR="00A8138F" w:rsidRDefault="00A8138F" w:rsidP="00A8138F">
      <w:pPr>
        <w:pStyle w:val="TextoNormal"/>
      </w:pPr>
      <w:r w:rsidRPr="00A8138F">
        <w:rPr>
          <w:rStyle w:val="NumeroAFNegritaCaracter"/>
        </w:rPr>
        <w:t>9</w:t>
      </w:r>
      <w:r>
        <w:t>. Por providencia de 23 de enero de 2025 se señaló para deliberación y votación de la presente sentencia el día 27 del mismo mes y año.</w:t>
      </w:r>
    </w:p>
    <w:p w14:paraId="24C3EA0E" w14:textId="77777777" w:rsidR="00A8138F" w:rsidRDefault="00A8138F" w:rsidP="00A8138F">
      <w:pPr>
        <w:pStyle w:val="TextoNormal"/>
      </w:pPr>
    </w:p>
    <w:p w14:paraId="598C5B29" w14:textId="77777777" w:rsidR="00A8138F" w:rsidRDefault="00A8138F" w:rsidP="00A8138F">
      <w:pPr>
        <w:pStyle w:val="TextoNormalNegritaCentrado"/>
        <w:keepNext/>
      </w:pPr>
      <w:r>
        <w:t>II. Fundamentos jurídicos</w:t>
      </w:r>
    </w:p>
    <w:p w14:paraId="3C675911" w14:textId="63D0BA6A" w:rsidR="00A8138F" w:rsidRDefault="00A8138F" w:rsidP="00A8138F">
      <w:pPr>
        <w:pStyle w:val="TextoNormalNegritaCentrado"/>
        <w:keepNext/>
      </w:pPr>
    </w:p>
    <w:p w14:paraId="4148596D" w14:textId="77777777" w:rsidR="00A8138F" w:rsidRDefault="00A8138F" w:rsidP="00A8138F">
      <w:pPr>
        <w:pStyle w:val="TextoNormal"/>
      </w:pPr>
      <w:r w:rsidRPr="00A8138F">
        <w:rPr>
          <w:rStyle w:val="NumeroAFNegritaCaracter"/>
        </w:rPr>
        <w:t>1</w:t>
      </w:r>
      <w:r>
        <w:t xml:space="preserve">. </w:t>
      </w:r>
      <w:r w:rsidRPr="00A8138F">
        <w:rPr>
          <w:i/>
        </w:rPr>
        <w:t>El objeto del recurso</w:t>
      </w:r>
    </w:p>
    <w:p w14:paraId="59A80BB7" w14:textId="77777777" w:rsidR="00A8138F" w:rsidRDefault="00A8138F" w:rsidP="00A8138F">
      <w:pPr>
        <w:pStyle w:val="TextoNormal"/>
      </w:pPr>
    </w:p>
    <w:p w14:paraId="7867941E" w14:textId="77777777" w:rsidR="00A8138F" w:rsidRDefault="00A8138F" w:rsidP="00A8138F">
      <w:pPr>
        <w:pStyle w:val="TextoNormal"/>
      </w:pPr>
      <w:r>
        <w:t>a) El demandante de amparo reprocha al expediente de responsabilidad disciplinaria núm. 1-2016 seguido contra el recurrente por parte de la letrada de la administración de justicia del Juzgado de Primera Instancia núm. 2 de Badajoz —y el consecuente acuerdo sancionador de 20 de mayo de 2016 por el que dicha letrada de la administración de justicia le impone una sanción de 2000 € como autor de una infracción del art. 553.1 LOPJ—, así como a la resolución dictada por el secretario de gobierno de 27 de junio de 2016, la vulneración del derecho al juez predeterminado por la ley (art. 24.2 CE), del derecho a un juez imparcial (art. 24.2 CE), del derecho de defensa en relación con el derecho a la libertad de expresión [arts. 20.1 a) y 24 CE], así como la garantía de la proporcionalidad y motivación de las sanciones impuestas.</w:t>
      </w:r>
    </w:p>
    <w:p w14:paraId="7727CAD4" w14:textId="77777777" w:rsidR="00A8138F" w:rsidRDefault="00A8138F" w:rsidP="00A8138F">
      <w:pPr>
        <w:pStyle w:val="TextoNormal"/>
      </w:pPr>
    </w:p>
    <w:p w14:paraId="72F2CF02" w14:textId="77777777" w:rsidR="00A8138F" w:rsidRDefault="00A8138F" w:rsidP="00A8138F">
      <w:pPr>
        <w:pStyle w:val="TextoNormal"/>
      </w:pPr>
      <w:r>
        <w:t>b) El Ministerio fiscal presentó escrito interesando la inadmisión del recurso de amparo por falta de agotamiento de la vía judicial previa o, subsidiariamente, otorgar el amparo solicitado por vulneración del derecho fundamental a la libertad de expresión, por considerar que las expresiones recogidas en el acuerdo sancionador no pueden ser catalogadas de ofensas, ni a la persona de la letrada de la administración de justicia, ni a la institución que ella representa. Por el contrario, niega que se hayan producido el resto de las vulneraciones que se denuncian en el recurso de amparo.</w:t>
      </w:r>
    </w:p>
    <w:p w14:paraId="5C4BE4A3" w14:textId="77777777" w:rsidR="00A8138F" w:rsidRDefault="00A8138F" w:rsidP="00A8138F">
      <w:pPr>
        <w:pStyle w:val="TextoNormal"/>
      </w:pPr>
    </w:p>
    <w:p w14:paraId="6C75F074" w14:textId="1EF8ECA0" w:rsidR="00A8138F" w:rsidRDefault="00A8138F" w:rsidP="00A8138F">
      <w:pPr>
        <w:pStyle w:val="TextoNormal"/>
      </w:pPr>
      <w:r>
        <w:t>c) Así formuladas las pretensiones, debe abordarse, en primer lugar, el óbice procesal suscitado por el Ministerio Fiscal, que sostienen la inadmisibilidad del recurso de amparo por falta de agotamiento.</w:t>
      </w:r>
    </w:p>
    <w:p w14:paraId="17AF09A4" w14:textId="77777777" w:rsidR="00A8138F" w:rsidRDefault="00A8138F" w:rsidP="00A8138F">
      <w:pPr>
        <w:pStyle w:val="TextoNormal"/>
      </w:pPr>
    </w:p>
    <w:p w14:paraId="066575B9" w14:textId="77777777" w:rsidR="00A8138F" w:rsidRDefault="00A8138F" w:rsidP="00A8138F">
      <w:pPr>
        <w:pStyle w:val="TextoNormal"/>
      </w:pPr>
      <w:r w:rsidRPr="00A8138F">
        <w:rPr>
          <w:rStyle w:val="NumeroAFNegritaCaracter"/>
        </w:rPr>
        <w:t>2</w:t>
      </w:r>
      <w:r>
        <w:t xml:space="preserve">. </w:t>
      </w:r>
      <w:r w:rsidRPr="00A8138F">
        <w:rPr>
          <w:i/>
        </w:rPr>
        <w:t>El análisis de la causa de inadmisión de falta de agotamiento alegada por el Ministerio Fiscal</w:t>
      </w:r>
    </w:p>
    <w:p w14:paraId="2ED17C4D" w14:textId="77777777" w:rsidR="00A8138F" w:rsidRDefault="00A8138F" w:rsidP="00A8138F">
      <w:pPr>
        <w:pStyle w:val="TextoNormal"/>
      </w:pPr>
    </w:p>
    <w:p w14:paraId="7E58DD1B" w14:textId="77777777" w:rsidR="00A8138F" w:rsidRDefault="00A8138F" w:rsidP="00A8138F">
      <w:pPr>
        <w:pStyle w:val="TextoNormal"/>
      </w:pPr>
      <w:r>
        <w:t>El Ministerio Fiscal, al analizar la invocación del derecho al juez natural, hace un estudio de la capacidad sancionadora del letrado de la administración de justicia y del carácter —gubernativo o jurisdiccional— con que eventualmente podría ejercerla; y tras tomar posición sobre la naturaleza gubernativa de esa función sancionadora, como también lo es la función revisora ejercida en este caso por la Sala de Gobierno del Tribunal Superior de Justicia, concluye que la demanda está incursa en la causa de inadmisión de falta de agotamiento, toda vez que hubiera sido preciso, para agotar de una manera correcta la vía judicial previa, impugnar la decisión dictada en alzada por la citada Sala de Gobierno ante la jurisdicción contencioso-administrativa.</w:t>
      </w:r>
    </w:p>
    <w:p w14:paraId="27BEDF64" w14:textId="77777777" w:rsidR="00A8138F" w:rsidRDefault="00A8138F" w:rsidP="00A8138F">
      <w:pPr>
        <w:pStyle w:val="TextoNormal"/>
      </w:pPr>
    </w:p>
    <w:p w14:paraId="0FCE0EF4" w14:textId="77777777" w:rsidR="00A8138F" w:rsidRDefault="00A8138F" w:rsidP="00A8138F">
      <w:pPr>
        <w:pStyle w:val="TextoNormal"/>
      </w:pPr>
      <w:r>
        <w:t xml:space="preserve">El Tribunal constata que, en este caso, la necesidad o no de haber acudido previamente a la jurisdicción contencioso-administrativa es una cuestión que depende directamente de la naturaleza que tenga el ejercicio de la potestad correctora por la letrada de la administración de justicia, estando por ende directamente relacionada con la cuestión de fondo planteada en el presente recurso de amparo al invocar el derecho al juez ordinario predeterminado por </w:t>
      </w:r>
      <w:r>
        <w:lastRenderedPageBreak/>
        <w:t>la ley (art. 24.2 CE), y que dio lugar a la cuestión interna de inconstitucional planteada por la Sala Segunda (cuestión de inconstitucionalidad 6596-2021).</w:t>
      </w:r>
    </w:p>
    <w:p w14:paraId="49FF821C" w14:textId="77777777" w:rsidR="00A8138F" w:rsidRDefault="00A8138F" w:rsidP="00A8138F">
      <w:pPr>
        <w:pStyle w:val="TextoNormal"/>
      </w:pPr>
    </w:p>
    <w:p w14:paraId="4E91A47B" w14:textId="77777777" w:rsidR="00A8138F" w:rsidRDefault="00A8138F" w:rsidP="00A8138F">
      <w:pPr>
        <w:pStyle w:val="TextoNormal"/>
      </w:pPr>
      <w:r>
        <w:t>A ello ha de unirse la doble circunstancia de que (i) la decisión resolutoria del recurso de alzada acordada por la Sala de Gobierno en este caso no incluía ningún tipo de pie de recurso en relación con su firmeza o con su impugnabilidad ante la jurisdicción contencioso-administrativa, y (ii) la jurisprudencia constitucional en supuestos previos de ejercicio de esta potestad por parte de los órganos judiciales había establecido que se configuraba como una función netamente jurisdiccional contra la que no cabía recurso contencioso-administrativo (así, por ejemplo, SSTC 190/1991, de 14 de octubre, FJ 5; 205/1994, de 11 de julio, FJ 3, o 148/1997, de 29 de septiembre, FJ 2) o bien no ha controvertido que no resulta preciso acudir a la vía judicial para agotar la vía judicial (así, por ejemplo, SSTC 79/2002, de 8 de abril; 197/2004, de 15 de noviembre; 155/2006, de 22 de mayo; 24/2007, de 12 de febrero, o 145/2007, de 18 de junio). Esta jurisprudencia constitucional, además, fue expresamente citada por el acuerdo resolutorio del recurso de alzada para desestimar algunas de las alegaciones del recurrente, lo que podría haber generado una confianza legítima en el recurrente de que se trataba del ejercicio de una potestad sancionadora de carácter jurisdiccional no susceptible de impugnación en la vía judicial.</w:t>
      </w:r>
    </w:p>
    <w:p w14:paraId="2F399438" w14:textId="77777777" w:rsidR="00A8138F" w:rsidRDefault="00A8138F" w:rsidP="00A8138F">
      <w:pPr>
        <w:pStyle w:val="TextoNormal"/>
      </w:pPr>
    </w:p>
    <w:p w14:paraId="5E346A42" w14:textId="77777777" w:rsidR="00A8138F" w:rsidRDefault="00A8138F" w:rsidP="00A8138F">
      <w:pPr>
        <w:pStyle w:val="TextoNormal"/>
      </w:pPr>
      <w:r>
        <w:t>En unas circunstancias tan singulares como las expuestas, el Tribunal no puede considerar que para acceder por la vía del recurso de amparo ante la jurisdicción constitucional el recurrente debiera haber intentado un remedio cuya procedencia no es incontrovertida ni evidente en estrictos términos de legalidad ordinaria (así, STC 112/2019, de 3 de octubre, FJ 3) y que incluso era negada por la propia resolución de alzada impugnada.</w:t>
      </w:r>
    </w:p>
    <w:p w14:paraId="1521E15B" w14:textId="77777777" w:rsidR="00A8138F" w:rsidRDefault="00A8138F" w:rsidP="00A8138F">
      <w:pPr>
        <w:pStyle w:val="TextoNormal"/>
      </w:pPr>
    </w:p>
    <w:p w14:paraId="0CA37F51" w14:textId="5434C999" w:rsidR="00A8138F" w:rsidRDefault="00A8138F" w:rsidP="00A8138F">
      <w:pPr>
        <w:pStyle w:val="TextoNormal"/>
      </w:pPr>
      <w:r>
        <w:t>Desestimado así el óbice procesal planteado por el Ministerio Fiscal, pasamos al análisis de las quejas de amparo, que debe estar precedido del examen de la STC 12/2025, pronunciamiento que condiciona necesariamente el examen de las vulneraciones denunciadas en la medida en que examina la constitucionalidad de los arts. 555.1 y 556 LOPJ desde la perspectiva del derecho fundamental a la tutela judicial efectiva (art. 24.1 CE), en relación con la exclusividad de la potestad jurisdiccional de los juzgados y tribunales (art. 117.3 CE).</w:t>
      </w:r>
    </w:p>
    <w:p w14:paraId="53354023" w14:textId="77777777" w:rsidR="00A8138F" w:rsidRDefault="00A8138F" w:rsidP="00A8138F">
      <w:pPr>
        <w:pStyle w:val="TextoNormal"/>
      </w:pPr>
    </w:p>
    <w:p w14:paraId="32D1FC54" w14:textId="77777777" w:rsidR="00A8138F" w:rsidRDefault="00A8138F" w:rsidP="00A8138F">
      <w:pPr>
        <w:pStyle w:val="TextoNormal"/>
      </w:pPr>
      <w:r w:rsidRPr="00A8138F">
        <w:rPr>
          <w:rStyle w:val="NumeroAFNegritaCaracter"/>
        </w:rPr>
        <w:t>3</w:t>
      </w:r>
      <w:r>
        <w:t xml:space="preserve">. </w:t>
      </w:r>
      <w:r w:rsidRPr="00A8138F">
        <w:rPr>
          <w:i/>
        </w:rPr>
        <w:t>La constitucionalidad del ejercicio de la potestad correctora por los letrados de la administración de justicia conforme a la STC 12/2025, de 15 de enero</w:t>
      </w:r>
    </w:p>
    <w:p w14:paraId="2BAC6330" w14:textId="77777777" w:rsidR="00A8138F" w:rsidRDefault="00A8138F" w:rsidP="00A8138F">
      <w:pPr>
        <w:pStyle w:val="TextoNormal"/>
      </w:pPr>
    </w:p>
    <w:p w14:paraId="3AF07207" w14:textId="77777777" w:rsidR="00A8138F" w:rsidRDefault="00A8138F" w:rsidP="00A8138F">
      <w:pPr>
        <w:pStyle w:val="TextoNormal"/>
      </w:pPr>
      <w:r>
        <w:t>La STC 12/2025 comienza examinando la doctrina constitucional sobre la naturaleza no jurisdiccional de las funciones del letrado de la administración de justicia, apreciando que la atribución de la potestad de sancionar a los profesionales que intervienen en pleitos o causas, cuando las actuaciones en que se comete la infracción se sigan ante él resulta acorde con la ampliación de sus competencias en el desarrollo del proceso.</w:t>
      </w:r>
    </w:p>
    <w:p w14:paraId="59B82055" w14:textId="77777777" w:rsidR="00A8138F" w:rsidRDefault="00A8138F" w:rsidP="00A8138F">
      <w:pPr>
        <w:pStyle w:val="TextoNormal"/>
      </w:pPr>
    </w:p>
    <w:p w14:paraId="68CDE18C" w14:textId="77777777" w:rsidR="00A8138F" w:rsidRDefault="00A8138F" w:rsidP="00A8138F">
      <w:pPr>
        <w:pStyle w:val="TextoNormal"/>
      </w:pPr>
      <w:r>
        <w:t xml:space="preserve">Igualmente reconoce que la jurisprudencia constitucional ha sido constante en considerar que el ejercicio de la potestad disciplinaria de la llamada policía de estrados es de carácter netamente jurisdiccional, conforme a la doctrina que estableció de forma particular en las SSTC 190/1991 y 205/1994, sin ubicar las correcciones que se pueden imponer a los profesionales del derecho que intervienen en el proceso en el ámbito de la potestad sancionadora pública. No obstante, admite que el problema que plantea la cuestión interna atinente a la constitucionalidad del ejercicio por los letrados de la administración de justicia de la función </w:t>
      </w:r>
      <w:r>
        <w:lastRenderedPageBreak/>
        <w:t>correctora hace necesario revisar la consistencia de los criterios contenidos en dichos pronunciamientos.</w:t>
      </w:r>
    </w:p>
    <w:p w14:paraId="27162A63" w14:textId="77777777" w:rsidR="00A8138F" w:rsidRDefault="00A8138F" w:rsidP="00A8138F">
      <w:pPr>
        <w:pStyle w:val="TextoNormal"/>
      </w:pPr>
    </w:p>
    <w:p w14:paraId="7210209A" w14:textId="77777777" w:rsidR="00A8138F" w:rsidRDefault="00A8138F" w:rsidP="00A8138F">
      <w:pPr>
        <w:pStyle w:val="TextoNormal"/>
      </w:pPr>
      <w:r>
        <w:t>Por un lado, tomando en consideración el criterio subjetivo, concluye que no cabe atender únicamente a la naturaleza del órgano sancionador porque, junto a la vertiente positiva de la exclusividad de la función jurisdiccional del art. 117.3 CE, el art. 117.4 CE contempla la vertiente negativa al prever que los jueces y tribunales ejercen también aquellas funciones no jurisdiccionales que disponga la ley en garantía de cualquier derecho. Por otro lado, atendiendo al criterio locativo, aprecia que no es suficiente el contexto procesal para definir el carácter materialmente jurisdiccional de la potestad correctora, porque no todas las actuaciones en el marco de un proceso son estrictamente jurisdiccionales; en concreto, el ejercicio de la función sancionadora sobre abogados y procuradores está desligado de la función decisoria en el proceso, en tanto no comporta la resolución de una cuestión controvertida sobre el fondo o sobre la situación jurídico-procesal de las partes.</w:t>
      </w:r>
    </w:p>
    <w:p w14:paraId="258668F9" w14:textId="77777777" w:rsidR="00A8138F" w:rsidRDefault="00A8138F" w:rsidP="00A8138F">
      <w:pPr>
        <w:pStyle w:val="TextoNormal"/>
      </w:pPr>
    </w:p>
    <w:p w14:paraId="75CC439E" w14:textId="77777777" w:rsidR="00A8138F" w:rsidRDefault="00A8138F" w:rsidP="00A8138F">
      <w:pPr>
        <w:pStyle w:val="TextoNormal"/>
      </w:pPr>
      <w:r>
        <w:t>Aprecia asimismo que la configuración del procedimiento sancionador es un dato indicativo de que las sanciones disciplinarias no constituyen un acto procesal de dirección o resolución; entre otros elementos toma en consideración que la incoación de dicho procedimiento no necesita de pretensión de parte, siendo independiente de su voluntad, no existiendo tampoco controversia entre las partes, y que los acuerdos sancionadores no se someten al régimen ordinario de recursos de las decisiones de ordenación y resolución del proceso.</w:t>
      </w:r>
    </w:p>
    <w:p w14:paraId="2DCBFE6C" w14:textId="77777777" w:rsidR="00A8138F" w:rsidRDefault="00A8138F" w:rsidP="00A8138F">
      <w:pPr>
        <w:pStyle w:val="TextoNormal"/>
      </w:pPr>
    </w:p>
    <w:p w14:paraId="020AED85" w14:textId="77777777" w:rsidR="00A8138F" w:rsidRDefault="00A8138F" w:rsidP="00A8138F">
      <w:pPr>
        <w:pStyle w:val="TextoNormal"/>
      </w:pPr>
      <w:r>
        <w:t>Concluye así que la potestad sancionadora concernida se orienta a la tutela del interés general, de la función de la Administración de Justicia, pero ni la tutela de la integridad del proceso, ni su carácter instrumental implica que se esté ejerciendo materialmente la potestad jurisdiccional de juzgar y hacer ejecutar lo juzgado. Y aprecia que más alejadas aún de la condición jurisdiccional se hallan las actuaciones correctoras que pueda adoptar el letrado de la administración de justicia, dado que las funciones procesales que la ley le atribuye y en cuyo desarrollo puede cometerse la infracción, en ningún caso pueden tener carácter jurisdiccional.</w:t>
      </w:r>
    </w:p>
    <w:p w14:paraId="4B33FE09" w14:textId="77777777" w:rsidR="00A8138F" w:rsidRDefault="00A8138F" w:rsidP="00A8138F">
      <w:pPr>
        <w:pStyle w:val="TextoNormal"/>
      </w:pPr>
    </w:p>
    <w:p w14:paraId="21E1D690" w14:textId="77777777" w:rsidR="00A8138F" w:rsidRDefault="00A8138F" w:rsidP="00A8138F">
      <w:pPr>
        <w:pStyle w:val="TextoNormal"/>
      </w:pPr>
      <w:r>
        <w:t>En atención a todo ello la sentencia, separándose expresamente de la doctrina que estableció la STC 205/1994, concluye que el ejercicio de la función correctora intraprocesal sobre los abogados y procuradores “no consiste en actos jurisdiccionales en sentido estricto ni, tampoco, constituyen actos materialmente administrativos”. Son “decisiones de disciplina dentro del proceso judicial —que goza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 En alguna medida, esta interpretación significa un retorno a la doctrina que introdujo la STC 190/1991 para constitucionalizar el ejercicio de esta función por quienes entonces eran sus exclusivos titulares, jueces y magistrados, por la vía de considerar el recurso de alzada ante la Sala de Gobierno como acto jurisdiccional de revisión de la legalidad de la sanción”.</w:t>
      </w:r>
    </w:p>
    <w:p w14:paraId="0CA0263F" w14:textId="77777777" w:rsidR="00A8138F" w:rsidRDefault="00A8138F" w:rsidP="00A8138F">
      <w:pPr>
        <w:pStyle w:val="TextoNormal"/>
      </w:pPr>
    </w:p>
    <w:p w14:paraId="687A15ED" w14:textId="77777777" w:rsidR="00A8138F" w:rsidRDefault="00A8138F" w:rsidP="00A8138F">
      <w:pPr>
        <w:pStyle w:val="TextoNormal"/>
      </w:pPr>
      <w:r>
        <w:t xml:space="preserve">A ello añade que también ha de tenerse en cuenta “la limitada atribución que el legislador ha hecho a los letrados de la administración de justicia —en una interpretación sistemática de los preceptos cuestionados en los arts. 190.3 LOPJ y 186 de la Ley de enjuiciamiento </w:t>
      </w:r>
      <w:r>
        <w:lastRenderedPageBreak/>
        <w:t>civil (LEC)— de la facultad de corregir a abogados y procuradores, que exclusivamente puede ejercerse en las actuaciones que se celebren ante él en las dependencias de la oficina judicial”.</w:t>
      </w:r>
    </w:p>
    <w:p w14:paraId="00B20EEC" w14:textId="77777777" w:rsidR="00A8138F" w:rsidRDefault="00A8138F" w:rsidP="00A8138F">
      <w:pPr>
        <w:pStyle w:val="TextoNormal"/>
      </w:pPr>
    </w:p>
    <w:p w14:paraId="0933C4A5" w14:textId="0A3DD83F" w:rsidR="00A8138F" w:rsidRDefault="00A8138F" w:rsidP="00A8138F">
      <w:pPr>
        <w:pStyle w:val="TextoNormal"/>
      </w:pPr>
      <w:r>
        <w:t>A la luz de todo lo expuesto la sentencia desestima la cuestión interna de inconstitucionalidad planteada por la Sala Segunda del Tribunal Constitucional respecto de los arts. 555.1 y 556 de la Ley Orgánica 6/1985, de 1 de julio, del Poder Judicial, en la redacción dada por la Ley Orgánica 19/2003, de 23 de diciembre, siempre que estos artículos se interpreten en dichos términos.</w:t>
      </w:r>
    </w:p>
    <w:p w14:paraId="15289D1C" w14:textId="77777777" w:rsidR="00A8138F" w:rsidRDefault="00A8138F" w:rsidP="00A8138F">
      <w:pPr>
        <w:pStyle w:val="TextoNormal"/>
      </w:pPr>
    </w:p>
    <w:p w14:paraId="66345193" w14:textId="77777777" w:rsidR="00A8138F" w:rsidRDefault="00A8138F" w:rsidP="00A8138F">
      <w:pPr>
        <w:pStyle w:val="TextoNormal"/>
      </w:pPr>
      <w:r w:rsidRPr="00A8138F">
        <w:rPr>
          <w:rStyle w:val="NumeroAFNegritaCaracter"/>
        </w:rPr>
        <w:t>4</w:t>
      </w:r>
      <w:r>
        <w:t xml:space="preserve">. </w:t>
      </w:r>
      <w:r w:rsidRPr="00A8138F">
        <w:rPr>
          <w:i/>
        </w:rPr>
        <w:t>Examen de las vulneraciones denunciadas</w:t>
      </w:r>
    </w:p>
    <w:p w14:paraId="734D4394" w14:textId="77777777" w:rsidR="00A8138F" w:rsidRDefault="00A8138F" w:rsidP="00A8138F">
      <w:pPr>
        <w:pStyle w:val="TextoNormal"/>
      </w:pPr>
    </w:p>
    <w:p w14:paraId="1666E5DB" w14:textId="77777777" w:rsidR="00A8138F" w:rsidRDefault="00A8138F" w:rsidP="00A8138F">
      <w:pPr>
        <w:pStyle w:val="TextoNormal"/>
      </w:pPr>
      <w:r>
        <w:t xml:space="preserve">A la luz de la doctrina sentada en la STC 12/2025, que acabamos de examinar, el recurso de amparo debe ser estimado. Si bien en dicho pronunciamiento se descarta la duda de inconstitucionalidad de los arts. 555.1 y 556 LOPJ en la medida en que el ejercicio de la función correctora sobre abogados y procuradores por parte de los letrados de la administración de justicia no tiene carácter jurisdiccional y, por ello, no invade la reserva jurisdiccional ni, por ende, vulnera el derecho fundamental a la tutela judicial efectiva, dicha constitucionalidad lo es “siempre en los términos del fundamento jurídico 4 b), </w:t>
      </w:r>
      <w:r w:rsidRPr="00A8138F">
        <w:rPr>
          <w:i/>
        </w:rPr>
        <w:t>in fine</w:t>
      </w:r>
      <w:r>
        <w:t>” donde se efectúa una interpretación sistemática de los arts. 190.3 LOPJ y 186 LEC estableciendo que “la limitada atribución que el legislador ha hecho a los letrados de la administración de justicia […] de la facultad de corregir a abogados y procuradores, […] exclusivamente puede ejercerse en las actuaciones que se celebren ante él en las dependencias de la oficina judicial”.</w:t>
      </w:r>
    </w:p>
    <w:p w14:paraId="2660FB3C" w14:textId="77777777" w:rsidR="00A8138F" w:rsidRDefault="00A8138F" w:rsidP="00A8138F">
      <w:pPr>
        <w:pStyle w:val="TextoNormal"/>
      </w:pPr>
    </w:p>
    <w:p w14:paraId="50ABB84F" w14:textId="77777777" w:rsidR="00A8138F" w:rsidRDefault="00A8138F" w:rsidP="00A8138F">
      <w:pPr>
        <w:pStyle w:val="TextoNormal"/>
      </w:pPr>
      <w:r>
        <w:t>En el presente caso, como se ha expuesto más ampliamente en los antecedentes, ha quedado acreditado que la sanción impuesta al recurrente tiene su origen en las palabras y expresiones utilizadas en distintos escritos presentados ante la letrada de la administración de justicia:</w:t>
      </w:r>
    </w:p>
    <w:p w14:paraId="03498348" w14:textId="77777777" w:rsidR="00A8138F" w:rsidRDefault="00A8138F" w:rsidP="00A8138F">
      <w:pPr>
        <w:pStyle w:val="TextoNormal"/>
      </w:pPr>
    </w:p>
    <w:p w14:paraId="36DAD648" w14:textId="77777777" w:rsidR="00A8138F" w:rsidRDefault="00A8138F" w:rsidP="00A8138F">
      <w:pPr>
        <w:pStyle w:val="TextoNormal"/>
      </w:pPr>
      <w:r>
        <w:t>(i) El recurrente, en el escrito de 14 de octubre de 2015, en que se recurría en reposición una diligencia de ordenación de la letrada de la administración de justicia, afirma que es una “inaudita e inconcebible resolución que constituye una flagrante ilegalidad”.</w:t>
      </w:r>
    </w:p>
    <w:p w14:paraId="3E83BF90" w14:textId="77777777" w:rsidR="00A8138F" w:rsidRDefault="00A8138F" w:rsidP="00A8138F">
      <w:pPr>
        <w:pStyle w:val="TextoNormal"/>
      </w:pPr>
    </w:p>
    <w:p w14:paraId="593220F9" w14:textId="77777777" w:rsidR="00A8138F" w:rsidRDefault="00A8138F" w:rsidP="00A8138F">
      <w:pPr>
        <w:pStyle w:val="TextoNormal"/>
      </w:pPr>
      <w:r>
        <w:t>(ii) El recurrente, en el escrito de 27 de noviembre de 2015, en que se controvierte la decisión de la letrada judicial sobre el debido cumplimiento de la ejecución de la sentencia judicial objeto del procedimiento de ejecución en curso, afirma que “las resoluciones de la señora secretaria constituyen una flagrante ilegalidad”.</w:t>
      </w:r>
    </w:p>
    <w:p w14:paraId="5C656ACB" w14:textId="77777777" w:rsidR="00A8138F" w:rsidRDefault="00A8138F" w:rsidP="00A8138F">
      <w:pPr>
        <w:pStyle w:val="TextoNormal"/>
      </w:pPr>
    </w:p>
    <w:p w14:paraId="59B36D8A" w14:textId="77777777" w:rsidR="00A8138F" w:rsidRDefault="00A8138F" w:rsidP="00A8138F">
      <w:pPr>
        <w:pStyle w:val="TextoNormal"/>
      </w:pPr>
      <w:r>
        <w:t>(iii) El recurrente, en el escrito de 1 de diciembre de 2015, en que se solicita testimonio de todo lo actuado en el procedimiento de ejecución a efectos de interponer una querella contra la letrada de la administración de justicia y su recusación en dicho procedimiento, afirma, además de la “solicitud de testimonio a efectos de interposición de querella por prevaricación”, una situación de enemistad, relatando que en un anterior procedimiento se modificó la diligencia de reparto para que correspondiera el asunto a ese juzgado siendo desestimadas las pretensiones de esa parte, que fueron revocadas en apelación, señalando que “desde entonces hasta la fecha se han soportado infinidad de resoluciones de muy dudosa legalidad e imparcialidad”.</w:t>
      </w:r>
    </w:p>
    <w:p w14:paraId="282B68FC" w14:textId="77777777" w:rsidR="00A8138F" w:rsidRDefault="00A8138F" w:rsidP="00A8138F">
      <w:pPr>
        <w:pStyle w:val="TextoNormal"/>
      </w:pPr>
    </w:p>
    <w:p w14:paraId="6E697D7B" w14:textId="77777777" w:rsidR="00A8138F" w:rsidRDefault="00A8138F" w:rsidP="00A8138F">
      <w:pPr>
        <w:pStyle w:val="TextoNormal"/>
      </w:pPr>
      <w:r>
        <w:t xml:space="preserve">(iv) El recurrente, en un nuevo escrito de 1 de diciembre de 2015, en que se recurría en reposición una diligencia de ordenación de la letrada de la administración de justicia, afirma “esta parte tiene el derecho a reproducir esta cuestión ante su señoría, máxime cuando la señora secretaria, por enemistad personal, está prevaricando y resolviendo contra el título ejecutivo. Se infringe abiertamente el artículo 454 </w:t>
      </w:r>
      <w:r w:rsidRPr="00A8138F">
        <w:rPr>
          <w:i/>
        </w:rPr>
        <w:t>bis</w:t>
      </w:r>
      <w:r>
        <w:t>.1 [LEC] y el derecho a la tutela judicial efectiva, incurriéndose en resolución injusta a sabiendas” y suplicando que “revoque la inaudita e inconcebible resolución impugnada”.</w:t>
      </w:r>
    </w:p>
    <w:p w14:paraId="72B6EBE8" w14:textId="77777777" w:rsidR="00A8138F" w:rsidRDefault="00A8138F" w:rsidP="00A8138F">
      <w:pPr>
        <w:pStyle w:val="TextoNormal"/>
      </w:pPr>
    </w:p>
    <w:p w14:paraId="6B4C1A40" w14:textId="77777777" w:rsidR="00A8138F" w:rsidRDefault="00A8138F" w:rsidP="00A8138F">
      <w:pPr>
        <w:pStyle w:val="TextoNormal"/>
      </w:pPr>
      <w:r>
        <w:t>(v) El recurrente, en un escrito de 7 de abril de 2016, solicitaba determinados testimonios para incorporarlos a una querella a presentar por prevaricación y relataba lo que consideraba tácticas dilatorias de la letrada de la administración de justicia porque, tras acordarse por diligencia de ordenación de 23 de febrero de 2016 pasar los autos al titular del juzgado para resolver, se incumplió su ejecución y hubo que reiterar la petición, lo que tuvo como consecuencia que se dictara nueva diligencia de ordenación en la que, en contra de su previa resolución firme, acuerda dar traslado a la otra parte para dilatar más el procedimiento, que finalizó con un decreto inadmitiendo el recurso. En ese contexto, en el escrito se vierten expresiones como que se infringe el principio de cosa juzgada porque “la señora secretaria dicta decreto de 6 de abril inadmitiendo el recurso porque, según ella (que seguramente no lo ve porque no lo lee) no se indica la infracción cometida. Siendo esta la enésima vez que la señora secretaria vulnera de forma intencionada el derecho a la tutela judicial efectiva de esta parte inadmitiendo recursos mediante falacias, y considerando que tales inadmisiones son puramente intencionadas y constitutivas de posibles delitos de prevaricación”, concluyéndose con la solicitud del testimonio de los escritos citados a efectos de incorporarlo a la querella que contra la misma está ya preparada y se va a interponer en los próximos días.</w:t>
      </w:r>
    </w:p>
    <w:p w14:paraId="1E25D61E" w14:textId="77777777" w:rsidR="00A8138F" w:rsidRDefault="00A8138F" w:rsidP="00A8138F">
      <w:pPr>
        <w:pStyle w:val="TextoNormal"/>
      </w:pPr>
    </w:p>
    <w:p w14:paraId="34B2D4A6" w14:textId="77777777" w:rsidR="00A8138F" w:rsidRDefault="00A8138F" w:rsidP="00A8138F">
      <w:pPr>
        <w:pStyle w:val="TextoNormal"/>
      </w:pPr>
      <w:r>
        <w:t>Pues bien, todas estas manifestaciones se han realizado en “escritos procesales”, y, por lo tanto, no se han vertido en actuaciones celebradas ante la letrada de la administración de justicia en las dependencias de la oficina judicial (arts. 190.3 LOPJ y 186 LEC). De este modo, y con arreglo a la interpretación sentada en la STC 12/2025, de 15 enero, la letrada de la administración de justicia carecía de competencia para dictar los citados acuerdos correctores, produciéndose la primera vulneración que se denuncia en el recurso de amparo referida al derecho al juez ordinario predeterminado por la ley (art. 24.2 CE).</w:t>
      </w:r>
    </w:p>
    <w:p w14:paraId="2349CEE2" w14:textId="77777777" w:rsidR="00A8138F" w:rsidRDefault="00A8138F" w:rsidP="00A8138F">
      <w:pPr>
        <w:pStyle w:val="TextoNormal"/>
      </w:pPr>
    </w:p>
    <w:p w14:paraId="2DFF1462" w14:textId="619284DF" w:rsidR="00A8138F" w:rsidRDefault="00A8138F" w:rsidP="00A8138F">
      <w:pPr>
        <w:pStyle w:val="TextoNormal"/>
      </w:pPr>
      <w:r>
        <w:t>La estimación de este primer motivo de recurso determina que, siendo innecesario continuar con el análisis del resto de invocaciones efectuadas, deban anularse las resoluciones sancionadoras impugnadas.</w:t>
      </w:r>
    </w:p>
    <w:p w14:paraId="2137DF54" w14:textId="77777777" w:rsidR="00A8138F" w:rsidRDefault="00A8138F" w:rsidP="00A8138F">
      <w:pPr>
        <w:pStyle w:val="TextoNormal"/>
      </w:pPr>
    </w:p>
    <w:p w14:paraId="63E2A1E8" w14:textId="77777777" w:rsidR="00A8138F" w:rsidRDefault="00A8138F" w:rsidP="00A8138F">
      <w:pPr>
        <w:pStyle w:val="TextoNormalCentrado"/>
        <w:keepNext/>
      </w:pPr>
      <w:r>
        <w:t>FALLO</w:t>
      </w:r>
    </w:p>
    <w:p w14:paraId="6CB05BCD" w14:textId="44BEB997" w:rsidR="00A8138F" w:rsidRDefault="00A8138F" w:rsidP="00A8138F">
      <w:pPr>
        <w:pStyle w:val="TextoNormalCentrado"/>
        <w:keepNext/>
      </w:pPr>
    </w:p>
    <w:p w14:paraId="4446B435" w14:textId="77777777" w:rsidR="00A8138F" w:rsidRDefault="00A8138F" w:rsidP="00A8138F">
      <w:pPr>
        <w:pStyle w:val="TextoNormal"/>
      </w:pPr>
      <w:r>
        <w:t>En atención a todo lo expuesto, el Tribunal Constitucional, por la autoridad que le confiere la Constitución de la Nación española, ha decidido otorgar el amparo a don José Miguel Morcillo Gómez y, en su virtud:</w:t>
      </w:r>
    </w:p>
    <w:p w14:paraId="23F64892" w14:textId="77777777" w:rsidR="00A8138F" w:rsidRDefault="00A8138F" w:rsidP="00A8138F">
      <w:pPr>
        <w:pStyle w:val="TextoNormal"/>
      </w:pPr>
    </w:p>
    <w:p w14:paraId="6DD0DBB3" w14:textId="77777777" w:rsidR="00A8138F" w:rsidRDefault="00A8138F" w:rsidP="00A8138F">
      <w:pPr>
        <w:pStyle w:val="TextoNormal"/>
      </w:pPr>
      <w:r>
        <w:t>1º Declarar que ha sido vulnerado el derecho del demandante de amparo al juez ordinario predeterminado por la ley (art. 24.2 CE).</w:t>
      </w:r>
    </w:p>
    <w:p w14:paraId="2CBBFA89" w14:textId="77777777" w:rsidR="00A8138F" w:rsidRDefault="00A8138F" w:rsidP="00A8138F">
      <w:pPr>
        <w:pStyle w:val="TextoNormal"/>
      </w:pPr>
    </w:p>
    <w:p w14:paraId="1CBB9120" w14:textId="3400B853" w:rsidR="00A8138F" w:rsidRDefault="00A8138F" w:rsidP="00A8138F">
      <w:pPr>
        <w:pStyle w:val="TextoNormal"/>
      </w:pPr>
      <w:r>
        <w:lastRenderedPageBreak/>
        <w:t>2º Restablecerle en su derecho y, en consecuencia, declarar la nulidad del acuerdo de la letrada de la administración de justicia del Juzgado de Primera Instancia núm. 2 de Badajoz de 20 de mayo de 2016, pronunciado en el expediente de responsabilidad disciplinaria núm. 1-2016, y el acuerdo de la Sala de Gobierno del Tribunal Superior de Justicia de Extremadura de 27 de junio de 2016, pronunciado en el recurso de alzada núm. 1-2016.</w:t>
      </w:r>
    </w:p>
    <w:p w14:paraId="58CEDCE0" w14:textId="77777777" w:rsidR="00A8138F" w:rsidRDefault="00A8138F" w:rsidP="00A8138F">
      <w:pPr>
        <w:pStyle w:val="TextoNormal"/>
      </w:pPr>
    </w:p>
    <w:p w14:paraId="16B623BC" w14:textId="77777777" w:rsidR="00A8138F" w:rsidRDefault="00A8138F" w:rsidP="00A8138F">
      <w:pPr>
        <w:pStyle w:val="TextoNormal"/>
      </w:pPr>
      <w:r>
        <w:t>Publíquese esta sentencia en el “Boletín Oficial del Estado”.</w:t>
      </w:r>
    </w:p>
    <w:p w14:paraId="74CD91E6" w14:textId="77777777" w:rsidR="00A8138F" w:rsidRDefault="00A8138F" w:rsidP="00A8138F">
      <w:pPr>
        <w:pStyle w:val="TextoNormal"/>
      </w:pPr>
      <w:r>
        <w:t>Dada en Madrid, a veintisiete de enero de dos mil veinticinco.</w:t>
      </w:r>
    </w:p>
    <w:p w14:paraId="2F215CAD" w14:textId="2DED2906" w:rsidR="00A8138F" w:rsidRDefault="00A8138F">
      <w:pPr>
        <w:spacing w:after="160" w:line="278" w:lineRule="auto"/>
        <w:rPr>
          <w:rFonts w:ascii="Times New Roman" w:eastAsia="Times New Roman" w:hAnsi="Times New Roman" w:cs="Times New Roman"/>
          <w:sz w:val="24"/>
          <w:szCs w:val="24"/>
          <w:lang w:eastAsia="es-ES"/>
        </w:rPr>
      </w:pPr>
      <w:r>
        <w:br w:type="page"/>
      </w:r>
    </w:p>
    <w:p w14:paraId="69044EE1" w14:textId="77777777" w:rsidR="00A8138F" w:rsidRDefault="00A8138F" w:rsidP="00A8138F">
      <w:pPr>
        <w:pStyle w:val="TtuloResolucin"/>
      </w:pPr>
      <w:bookmarkStart w:id="16" w:name="SENTENCIA_2025_14"/>
      <w:r>
        <w:lastRenderedPageBreak/>
        <w:t>SENTENCIA 14/2025, de 27 de enero de 2025</w:t>
      </w:r>
    </w:p>
    <w:bookmarkEnd w:id="16"/>
    <w:p w14:paraId="062382C4" w14:textId="77777777" w:rsidR="00A8138F" w:rsidRDefault="00A8138F" w:rsidP="00A8138F">
      <w:pPr>
        <w:pStyle w:val="TtuloResolucin"/>
      </w:pPr>
      <w:r>
        <w:t>Sala Segunda</w:t>
      </w:r>
    </w:p>
    <w:p w14:paraId="00614D11" w14:textId="77777777" w:rsidR="00A8138F" w:rsidRDefault="00A8138F" w:rsidP="00A8138F">
      <w:pPr>
        <w:pStyle w:val="TtuloBOE"/>
      </w:pPr>
      <w:r>
        <w:t>(BOE núm. 51, de 28 de febrero de 2025)</w:t>
      </w:r>
    </w:p>
    <w:p w14:paraId="0D9D8BEF" w14:textId="77777777" w:rsidR="00A8138F" w:rsidRDefault="00A8138F" w:rsidP="00A8138F">
      <w:pPr>
        <w:pStyle w:val="TextoNormalCentrado"/>
      </w:pPr>
      <w:r>
        <w:t>ECLI:ES:TC:2025:14</w:t>
      </w:r>
    </w:p>
    <w:p w14:paraId="497EA260" w14:textId="1A280D93" w:rsidR="00A8138F" w:rsidRDefault="00A8138F" w:rsidP="00A8138F">
      <w:pPr>
        <w:pStyle w:val="TextoNormalCentrado"/>
      </w:pPr>
    </w:p>
    <w:p w14:paraId="49DCBB47" w14:textId="77777777" w:rsidR="00A8138F" w:rsidRDefault="00A8138F" w:rsidP="00A8138F">
      <w:pPr>
        <w:pStyle w:val="SntesisDescriptiva"/>
      </w:pPr>
      <w:r>
        <w:t>Recurso de amparo 230-2022. Promovido por don Messod Maxo Benalal Bendrihem respecto de los acuerdos de la mesa del Parlamento de las Illes Balears que le inadmitieron o rechazaron diversas peticiones.</w:t>
      </w:r>
    </w:p>
    <w:p w14:paraId="6BD33D93" w14:textId="21EE310E" w:rsidR="00A8138F" w:rsidRDefault="00A8138F" w:rsidP="00A8138F">
      <w:pPr>
        <w:pStyle w:val="SntesisDescriptiva"/>
      </w:pPr>
    </w:p>
    <w:p w14:paraId="5DF9A098" w14:textId="77777777" w:rsidR="00A8138F" w:rsidRDefault="00A8138F" w:rsidP="00A8138F">
      <w:pPr>
        <w:pStyle w:val="SntesisAnaltica"/>
      </w:pPr>
      <w:r>
        <w:t>Supuesta vulneración del derecho al ejercicio del cargo representativo: resoluciones parlamentarias relativas a los derechos o facultades de un diputado no adscrito (STC 159/2019). Voto particular.</w:t>
      </w:r>
    </w:p>
    <w:p w14:paraId="4FF13175" w14:textId="73033AF4" w:rsidR="00A8138F" w:rsidRDefault="00A8138F" w:rsidP="00A8138F">
      <w:pPr>
        <w:pStyle w:val="SntesisAnaltica"/>
      </w:pPr>
    </w:p>
    <w:p w14:paraId="0D1A3C2E" w14:textId="43B32D9D" w:rsidR="00A8138F" w:rsidRDefault="00A8138F" w:rsidP="00A8138F">
      <w:pPr>
        <w:pStyle w:val="Extracto"/>
      </w:pPr>
      <w:r>
        <w:t>1.</w:t>
      </w:r>
      <w:r>
        <w:tab/>
        <w:t>Una previsión reglamentaria que reserva a los diputados no adscritos las facultades previstas para los diputados y diputadas individualmente considerados es plenamente constitucional porque neutraliza la desigualdad en el ejercicio de la función representativa que llevaría aparejada la sobrerrepresentación del diputado no adscrito (STC 159/2019) [FJ 4].</w:t>
      </w:r>
    </w:p>
    <w:p w14:paraId="5EB52D41" w14:textId="77777777" w:rsidR="00A8138F" w:rsidRDefault="00A8138F" w:rsidP="00A8138F">
      <w:pPr>
        <w:pStyle w:val="Extracto"/>
      </w:pPr>
    </w:p>
    <w:p w14:paraId="01B17BBA" w14:textId="34C12CCB" w:rsidR="00A8138F" w:rsidRDefault="00A8138F" w:rsidP="00A8138F">
      <w:pPr>
        <w:pStyle w:val="Extracto"/>
      </w:pPr>
      <w:r>
        <w:t>2.</w:t>
      </w:r>
      <w:r>
        <w:tab/>
        <w:t xml:space="preserve">La exigencia de representación proporcional en las estructuras de organización del trabajo parlamentario, lo que incluye las comisiones; la garantía de participación del diputado no adscrito en al menos una comisión permanente, de modo que se asegure su participación en la función legislativa que integra, sin lugar a dudas, el </w:t>
      </w:r>
      <w:r w:rsidRPr="00A8138F">
        <w:rPr>
          <w:i/>
        </w:rPr>
        <w:t>ius in officium</w:t>
      </w:r>
      <w:r>
        <w:t>; y la reserva a los grupos parlamentarios de las facultades de creación y participación en las comisiones no permanentes, suponen una participación limitada del diputado no adscrito en los trabajos en comisión que no pude considerarse una limitación de sus facultades contraria al art. 23.2 CE [FJ 5].</w:t>
      </w:r>
    </w:p>
    <w:p w14:paraId="42AB6FE4" w14:textId="77777777" w:rsidR="00A8138F" w:rsidRDefault="00A8138F" w:rsidP="00A8138F">
      <w:pPr>
        <w:pStyle w:val="Extracto"/>
      </w:pPr>
    </w:p>
    <w:p w14:paraId="2DF328BB" w14:textId="27FBF69A" w:rsidR="00A8138F" w:rsidRDefault="00A8138F" w:rsidP="00A8138F">
      <w:pPr>
        <w:pStyle w:val="Extracto"/>
      </w:pPr>
      <w:r>
        <w:t>3.</w:t>
      </w:r>
      <w:r>
        <w:tab/>
        <w:t>En materia de iniciativa para el ejercicio de la potestad legislativa, si el reglamento parlamentario determina que las proposiciones de ley del Parlamento podrán ser adoptadas a iniciativa de un grupo parlamentario, con la sola firma de su portavoz, o a iniciativa de un diputado o una diputada con la firma de otros cuatro miembros de la Cámara, la sola firma de un diputado a título individual no es suficiente para activar la legitimación tendente a presentar una proposición de ley, prevista en los términos descritos para asegurar la eficacia de los trabajos parlamentarios [FJ 5].</w:t>
      </w:r>
    </w:p>
    <w:p w14:paraId="3DDE4674" w14:textId="77777777" w:rsidR="00A8138F" w:rsidRDefault="00A8138F" w:rsidP="00A8138F">
      <w:pPr>
        <w:pStyle w:val="Extracto"/>
      </w:pPr>
    </w:p>
    <w:p w14:paraId="58879AD6" w14:textId="2F09BA8E" w:rsidR="00A8138F" w:rsidRDefault="00A8138F" w:rsidP="00A8138F">
      <w:pPr>
        <w:pStyle w:val="Extracto"/>
      </w:pPr>
      <w:r>
        <w:t>4.</w:t>
      </w:r>
      <w:r>
        <w:tab/>
        <w:t>La asignación de espacios en sede parlamentaria se incluye dentro de la noción general de la asignación de medios materiales, que no puede tenerse por conformadora del núcleo de la función representativa, si no impiden al parlamentario ejercer sus funciones legislativa y de control que conforman lo esencial del desempeño de su función representativa [FJ 5].</w:t>
      </w:r>
    </w:p>
    <w:p w14:paraId="6802896D" w14:textId="77777777" w:rsidR="00A8138F" w:rsidRDefault="00A8138F" w:rsidP="00A8138F">
      <w:pPr>
        <w:pStyle w:val="Extracto"/>
      </w:pPr>
    </w:p>
    <w:p w14:paraId="0CF91A27" w14:textId="77777777" w:rsidR="00A8138F" w:rsidRDefault="00A8138F" w:rsidP="00A8138F">
      <w:pPr>
        <w:pStyle w:val="Extracto"/>
      </w:pPr>
    </w:p>
    <w:p w14:paraId="5C96126E"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EC73A90" w14:textId="28BFAE7F" w:rsidR="00A8138F" w:rsidRDefault="00A8138F" w:rsidP="00A8138F">
      <w:pPr>
        <w:pStyle w:val="TextoNormal"/>
      </w:pPr>
    </w:p>
    <w:p w14:paraId="42DBD41A" w14:textId="77777777" w:rsidR="00A8138F" w:rsidRDefault="00A8138F" w:rsidP="00A8138F">
      <w:pPr>
        <w:pStyle w:val="TextoNormalCentrado"/>
        <w:keepNext/>
      </w:pPr>
      <w:r>
        <w:t>EN NOMBRE DEL REY</w:t>
      </w:r>
    </w:p>
    <w:p w14:paraId="1C45367F" w14:textId="26486873" w:rsidR="00A8138F" w:rsidRDefault="00A8138F" w:rsidP="00A8138F">
      <w:pPr>
        <w:pStyle w:val="TextoNormalCentrado"/>
        <w:keepNext/>
      </w:pPr>
    </w:p>
    <w:p w14:paraId="6106ABD0" w14:textId="77777777" w:rsidR="00A8138F" w:rsidRDefault="00A8138F" w:rsidP="00A8138F">
      <w:pPr>
        <w:pStyle w:val="TextoNormalCentrado"/>
        <w:keepNext/>
      </w:pPr>
    </w:p>
    <w:p w14:paraId="15267478" w14:textId="77777777" w:rsidR="00A8138F" w:rsidRDefault="00A8138F" w:rsidP="00A8138F">
      <w:pPr>
        <w:pStyle w:val="TextoNormal"/>
      </w:pPr>
      <w:r>
        <w:t>la siguiente</w:t>
      </w:r>
    </w:p>
    <w:p w14:paraId="5326B90F" w14:textId="0F965423" w:rsidR="00A8138F" w:rsidRDefault="00A8138F" w:rsidP="00A8138F">
      <w:pPr>
        <w:pStyle w:val="TextoNormal"/>
      </w:pPr>
    </w:p>
    <w:p w14:paraId="67CCBFE2" w14:textId="77777777" w:rsidR="00A8138F" w:rsidRDefault="00A8138F" w:rsidP="00A8138F">
      <w:pPr>
        <w:pStyle w:val="TextoNormalCentrado"/>
        <w:keepNext/>
      </w:pPr>
      <w:r>
        <w:t>SENTENCIA</w:t>
      </w:r>
    </w:p>
    <w:p w14:paraId="3C7AE9F5" w14:textId="526E2D4D" w:rsidR="00A8138F" w:rsidRDefault="00A8138F" w:rsidP="00A8138F">
      <w:pPr>
        <w:pStyle w:val="TextoNormalCentrado"/>
        <w:keepNext/>
      </w:pPr>
    </w:p>
    <w:p w14:paraId="3455C5BB" w14:textId="77777777" w:rsidR="00A8138F" w:rsidRDefault="00A8138F" w:rsidP="00A8138F">
      <w:pPr>
        <w:pStyle w:val="TextoNormal"/>
      </w:pPr>
      <w:r>
        <w:t>En el recurso de amparo núm. 230-2022, promovido por don Messod Maxo Benalal Bendrihem, representado por el procurador de los tribunales don Gonzalo Santos de Dios y defendido por él mismo, se solicita la anulación de los acuerdos de la mesa del Parlamento de las Illes Balears con registro general de salida núm. 5028-2021 y 5029-2021, de 14 de octubre de 2021; 5325-2021, 5326-2021, 5327-2021 y 5333-2021, de 27 de octubre de 2021; 5923-2021 y 6026-2021, de 24 de noviembre de 2021; 6166-2021 y 6167-2021, de 9 de diciembre de 2021, y 6237-2021, de 15 de diciembre de 2021, que deniegan o inadmiten las peticiones o reconsideraciones formuladas por el recurrente, en relación con sus derechos o facultades como diputado no adscrito. Ha sido parte el Parlamento de las Illes Balears. Ha intervenido el Ministerio Fiscal. Ha sido ponente la magistrada doña María Luisa Balaguer Callejón.</w:t>
      </w:r>
    </w:p>
    <w:p w14:paraId="5034A2A3" w14:textId="304DD0F3" w:rsidR="00A8138F" w:rsidRDefault="00A8138F" w:rsidP="00A8138F">
      <w:pPr>
        <w:pStyle w:val="TextoNormal"/>
      </w:pPr>
    </w:p>
    <w:p w14:paraId="50930185" w14:textId="77777777" w:rsidR="00A8138F" w:rsidRDefault="00A8138F" w:rsidP="00A8138F">
      <w:pPr>
        <w:pStyle w:val="TextoNormalNegritaCentrado"/>
        <w:keepNext/>
      </w:pPr>
      <w:r>
        <w:t>I. Antecedentes</w:t>
      </w:r>
    </w:p>
    <w:p w14:paraId="4CDD0658" w14:textId="56492EBE" w:rsidR="00A8138F" w:rsidRDefault="00A8138F" w:rsidP="00A8138F">
      <w:pPr>
        <w:pStyle w:val="TextoNormalNegritaCentrado"/>
        <w:keepNext/>
      </w:pPr>
    </w:p>
    <w:p w14:paraId="497D03F6" w14:textId="76F47B16" w:rsidR="00A8138F" w:rsidRDefault="00A8138F" w:rsidP="00A8138F">
      <w:pPr>
        <w:pStyle w:val="TextoNormal"/>
      </w:pPr>
      <w:r w:rsidRPr="00A8138F">
        <w:rPr>
          <w:rStyle w:val="NumeroAFNegritaCaracter"/>
        </w:rPr>
        <w:t>1</w:t>
      </w:r>
      <w:r>
        <w:t>. Mediante escrito presentado en este tribunal el día 12 de enero de 2022 por el procurador de los tribunales, don Gonzalo Santos de Dios, en nombre y representación de don Messod Maxo Benalal Bendrihem, diputado del Parlamento de las Illes Balears, que asume su propia defensa como colegiado del ICAM, se impugnan varios acuerdos de la mesa de la Cámara: (i) fechados el 14 de octubre de 2021 (registro general de salida 5028-2021 y 5029-2021), sobre participación en el Pleno y las comisiones del diputado no adscrito y ejercicio del derecho de los diputados a presentar y defender enmiendas parciales y textos legislativos; (ii) fechados el 27 de octubre de 2021 (registro general de salida 5325-2021, 5326-2021, 5327-2021 y 5333-2021), sobre medios materiales y económicos reconocidos al recurrente, entrega de copia de las carpetas de seguimiento de sesiones plenarias, permanencia en la comisión de estudio sobre planificación y gestión de recursos hídricos y sobre contenido de las sesiones plenarias; (iii) fechados el 24 de noviembre de 2021 (registro general de salida 5923-2021 y 6026-2021), sobre medios materiales reconocidos al recurrente y sobre la reconsideración de la inadmisión de una proposición no de ley acerca de la convergencia entre el sector digital y el medio ambiente; (iv) fechados el 9 de diciembre de 2021 (registro general de salida 6166-2021 y 6167-2021), sobre reconsideración de la inadmisión de la proposición de ley del Síndic de Greuges, presentada por el recurrente, y sobre la inadmisión de la proposición no de ley en comisión sobre convergencia del sector digital y el medio ambiente; y (v) el fechado el 15 de diciembre de 2021 (registro general de salida 6237-2021), sobre medios materiales y económicos reconocidos al recurrente.</w:t>
      </w:r>
    </w:p>
    <w:p w14:paraId="05EE94C6" w14:textId="77777777" w:rsidR="00A8138F" w:rsidRDefault="00A8138F" w:rsidP="00A8138F">
      <w:pPr>
        <w:pStyle w:val="TextoNormal"/>
      </w:pPr>
    </w:p>
    <w:p w14:paraId="6D038EA3" w14:textId="77777777" w:rsidR="00A8138F" w:rsidRDefault="00A8138F" w:rsidP="00A8138F">
      <w:pPr>
        <w:pStyle w:val="TextoNormal"/>
      </w:pPr>
      <w:r w:rsidRPr="00A8138F">
        <w:rPr>
          <w:rStyle w:val="NumeroAFNegritaCaracter"/>
        </w:rPr>
        <w:t>2</w:t>
      </w:r>
      <w:r>
        <w:t>. Los hechos relevantes para la resolución de los recursos de amparo son, sucintamente expuestos, los siguientes:</w:t>
      </w:r>
    </w:p>
    <w:p w14:paraId="2F55F3B0" w14:textId="77777777" w:rsidR="00A8138F" w:rsidRDefault="00A8138F" w:rsidP="00A8138F">
      <w:pPr>
        <w:pStyle w:val="TextoNormal"/>
      </w:pPr>
    </w:p>
    <w:p w14:paraId="540C5BEE" w14:textId="77777777" w:rsidR="00A8138F" w:rsidRDefault="00A8138F" w:rsidP="00A8138F">
      <w:pPr>
        <w:pStyle w:val="TextoNormal"/>
      </w:pPr>
      <w:r>
        <w:lastRenderedPageBreak/>
        <w:t>A) Don Messod Maxo Benalal Bendrihem vino ostentando ininterrumpidamente el cargo de diputado del Parlamento de las Illes Balears desde junio de 2019 (X Legislatura), hasta la fecha de interposición del recurso de amparo, tras haber concurrido a las elecciones en la candidatura del partido político Ciudadanos-Partido por la Ciudadanía. Tras la constitución de la Cámara autonómica, se integró en el Grupo Parlamentario Ciudadanos.</w:t>
      </w:r>
    </w:p>
    <w:p w14:paraId="306C6B92" w14:textId="77777777" w:rsidR="00A8138F" w:rsidRDefault="00A8138F" w:rsidP="00A8138F">
      <w:pPr>
        <w:pStyle w:val="TextoNormal"/>
      </w:pPr>
    </w:p>
    <w:p w14:paraId="29A626F4" w14:textId="77777777" w:rsidR="00A8138F" w:rsidRDefault="00A8138F" w:rsidP="00A8138F">
      <w:pPr>
        <w:pStyle w:val="TextoNormal"/>
      </w:pPr>
      <w:r>
        <w:t>B) El 25 de mayo de 2021 fue expulsado de ese partido político. En reunión extraordinaria celebrada el 10 de septiembre de 2021, y una vez firme la resolución de expulsión de la comisión de régimen disciplinario, el Grupo Parlamentario Ciudadanos acordó por mayoría absoluta de sus miembros expulsar al diputado señor Benalal Bendrihem del grupo parlamentario, en aplicación de lo previsto en el art. 27.1 b) del Reglamento del Parlamento de las Illes Balears (en adelante, RPIB). El mismo día, el portavoz del grupo puso en conocimiento de la mesa del Parlamento dicha expulsión para que la mesa tomara todas las medidas administrativas y organizativas oportunas.</w:t>
      </w:r>
    </w:p>
    <w:p w14:paraId="0403D567" w14:textId="77777777" w:rsidR="00A8138F" w:rsidRDefault="00A8138F" w:rsidP="00A8138F">
      <w:pPr>
        <w:pStyle w:val="TextoNormal"/>
      </w:pPr>
    </w:p>
    <w:p w14:paraId="788FD1F2" w14:textId="77777777" w:rsidR="00A8138F" w:rsidRDefault="00A8138F" w:rsidP="00A8138F">
      <w:pPr>
        <w:pStyle w:val="TextoNormal"/>
      </w:pPr>
      <w:r>
        <w:t>C) El 13 de septiembre de 2021 se remitió al recurrente el acuerdo de la mesa adoptado en la reunión de ese mismo día (registro general de salida 4273-2021), por el que se resuelve:</w:t>
      </w:r>
    </w:p>
    <w:p w14:paraId="122A3382" w14:textId="77777777" w:rsidR="00A8138F" w:rsidRDefault="00A8138F" w:rsidP="00A8138F">
      <w:pPr>
        <w:pStyle w:val="TextoNormal"/>
      </w:pPr>
    </w:p>
    <w:p w14:paraId="639090D2" w14:textId="77777777" w:rsidR="00A8138F" w:rsidRDefault="00A8138F" w:rsidP="00A8138F">
      <w:pPr>
        <w:pStyle w:val="TextoNormal"/>
      </w:pPr>
      <w:r>
        <w:t>(1) La separación del Grupo Parlamentario Ciudadanos del diputado don Messod Maxo Benalal Bendrihem y la adquisición de la condición de diputado no adscrito durante toda la legislatura [art. 27.1 b) RPIB].</w:t>
      </w:r>
    </w:p>
    <w:p w14:paraId="66567014" w14:textId="77777777" w:rsidR="00A8138F" w:rsidRDefault="00A8138F" w:rsidP="00A8138F">
      <w:pPr>
        <w:pStyle w:val="TextoNormal"/>
      </w:pPr>
    </w:p>
    <w:p w14:paraId="08AA138A" w14:textId="77777777" w:rsidR="00A8138F" w:rsidRDefault="00A8138F" w:rsidP="00A8138F">
      <w:pPr>
        <w:pStyle w:val="TextoNormal"/>
      </w:pPr>
      <w:r>
        <w:t>(2) Cesarle en el cargo de secretario segundo de la mesa de conformidad con el art. 39 c) RPIB.</w:t>
      </w:r>
    </w:p>
    <w:p w14:paraId="7531BABB" w14:textId="77777777" w:rsidR="00A8138F" w:rsidRDefault="00A8138F" w:rsidP="00A8138F">
      <w:pPr>
        <w:pStyle w:val="TextoNormal"/>
      </w:pPr>
    </w:p>
    <w:p w14:paraId="41EFC697" w14:textId="77777777" w:rsidR="00A8138F" w:rsidRDefault="00A8138F" w:rsidP="00A8138F">
      <w:pPr>
        <w:pStyle w:val="TextoNormal"/>
      </w:pPr>
      <w:r>
        <w:t>(3) Declarar que el señor Benalal deja de ser secretario segundo de la Diputación Permanente y de la Comisión de Participación Ciudadana y, asimismo, deja de ser miembro de las comisiones a las que pertenecía (Comisión permanente de estudio en materia de planificación y gestión de recursos hídricos, Comisión del Reglamento, Comisión del Estatuto de los Diputados, y Diputadas, Comisión de Medio Ambiente y Ordenación Territorial), así como también deja de ser miembro de la Comisión General de Consejos Insulares, de composición paritaria Parlamento-consejos insulares, todo lo anterior en aplicación de lo dispuesto en los arts. 65 y 199.4 RPIB, en relación con el art. 43.9 RPIB.</w:t>
      </w:r>
    </w:p>
    <w:p w14:paraId="3D586034" w14:textId="77777777" w:rsidR="00A8138F" w:rsidRDefault="00A8138F" w:rsidP="00A8138F">
      <w:pPr>
        <w:pStyle w:val="TextoNormal"/>
      </w:pPr>
    </w:p>
    <w:p w14:paraId="74A32438" w14:textId="77777777" w:rsidR="00A8138F" w:rsidRDefault="00A8138F" w:rsidP="00A8138F">
      <w:pPr>
        <w:pStyle w:val="TextoNormal"/>
      </w:pPr>
      <w:r>
        <w:t>(4) Declarar el cese del personal eventual que tenía adscrito, con efectos desde el día 13 de septiembre de 2021, en aplicación del art. 5.2 del Estatuto del personal del Parlamento de las Illes Balears.</w:t>
      </w:r>
    </w:p>
    <w:p w14:paraId="7E75DF18" w14:textId="77777777" w:rsidR="00A8138F" w:rsidRDefault="00A8138F" w:rsidP="00A8138F">
      <w:pPr>
        <w:pStyle w:val="TextoNormal"/>
      </w:pPr>
    </w:p>
    <w:p w14:paraId="16D9EB36" w14:textId="77777777" w:rsidR="00A8138F" w:rsidRDefault="00A8138F" w:rsidP="00A8138F">
      <w:pPr>
        <w:pStyle w:val="TextoNormal"/>
      </w:pPr>
      <w:r>
        <w:t>(5) Asignar al señor Benalal el escaño núm. 34 en la sala de plenos.</w:t>
      </w:r>
    </w:p>
    <w:p w14:paraId="33EDA323" w14:textId="77777777" w:rsidR="00A8138F" w:rsidRDefault="00A8138F" w:rsidP="00A8138F">
      <w:pPr>
        <w:pStyle w:val="TextoNormal"/>
      </w:pPr>
    </w:p>
    <w:p w14:paraId="7295BEC0" w14:textId="77777777" w:rsidR="00A8138F" w:rsidRDefault="00A8138F" w:rsidP="00A8138F">
      <w:pPr>
        <w:pStyle w:val="TextoNormal"/>
      </w:pPr>
      <w:r>
        <w:t>(6) Comunicar al señor Benalal que, en su cualidad de diputado no adscrito, le es de aplicación lo previsto en el art. 28 RPIB.</w:t>
      </w:r>
    </w:p>
    <w:p w14:paraId="6FB6EC86" w14:textId="77777777" w:rsidR="00A8138F" w:rsidRDefault="00A8138F" w:rsidP="00A8138F">
      <w:pPr>
        <w:pStyle w:val="TextoNormal"/>
      </w:pPr>
    </w:p>
    <w:p w14:paraId="3A66C131" w14:textId="77777777" w:rsidR="00A8138F" w:rsidRDefault="00A8138F" w:rsidP="00A8138F">
      <w:pPr>
        <w:pStyle w:val="TextoNormal"/>
      </w:pPr>
      <w:r>
        <w:t>(7) Y comunicar al señor Benalal que las percepciones económicas que percibirá, de acuerdo con el art. 28.4 RPIB, son las de los diputados y diputadas individualmente considerados, con efectos desde el día 13 de septiembre de 2021.</w:t>
      </w:r>
    </w:p>
    <w:p w14:paraId="2827ED07" w14:textId="77777777" w:rsidR="00A8138F" w:rsidRDefault="00A8138F" w:rsidP="00A8138F">
      <w:pPr>
        <w:pStyle w:val="TextoNormal"/>
      </w:pPr>
    </w:p>
    <w:p w14:paraId="27535754" w14:textId="77777777" w:rsidR="00A8138F" w:rsidRDefault="00A8138F" w:rsidP="00A8138F">
      <w:pPr>
        <w:pStyle w:val="TextoNormal"/>
      </w:pPr>
      <w:r>
        <w:lastRenderedPageBreak/>
        <w:t>D) Con posterioridad a la adopción del acuerdo de 13 de septiembre de 2021, el señor Benalal Bendrihem dirige a la mesa del Parlamento un escrito (registro general de entrada 7610-2021) solicitando que se le aclare el detalle de sus atribuciones y derechos como diputado no adscrito, al no deducirse los mismos de la resolución de 13 de septiembre. Mediante los escritos con registro general de salida núm. 5028-2021 y 5029-2021 y tras reunión celebrada por la mesa el 14 de octubre de 2021, se responde a las solicitudes del señor Benalal, reconociendo que, a consecuencia de la carencia de regulación sistematizada del ejercicio del derecho previsto en el artículo 28.3 c) RPIB y en cumplimiento de la previsión que expresamente se contiene, es la Presidencia, en uso de las atribuciones conferidas en el artículo 33.2 RPIB, la que, con el acuerdo de la mesa y la junta de portavoces, dicta resolución especificando las facultades de los diputados no adscritos en materia de participación en el Pleno y las comisiones y en lo relativo a la presentación de enmiendas.</w:t>
      </w:r>
    </w:p>
    <w:p w14:paraId="079776C8" w14:textId="77777777" w:rsidR="00A8138F" w:rsidRDefault="00A8138F" w:rsidP="00A8138F">
      <w:pPr>
        <w:pStyle w:val="TextoNormal"/>
      </w:pPr>
    </w:p>
    <w:p w14:paraId="21B6A56E" w14:textId="77777777" w:rsidR="00A8138F" w:rsidRDefault="00A8138F" w:rsidP="00A8138F">
      <w:pPr>
        <w:pStyle w:val="TextoNormal"/>
      </w:pPr>
      <w:r>
        <w:t>Concretamente, en esas resoluciones:</w:t>
      </w:r>
    </w:p>
    <w:p w14:paraId="37D8789B" w14:textId="77777777" w:rsidR="00A8138F" w:rsidRDefault="00A8138F" w:rsidP="00A8138F">
      <w:pPr>
        <w:pStyle w:val="TextoNormal"/>
      </w:pPr>
    </w:p>
    <w:p w14:paraId="036F0296" w14:textId="77777777" w:rsidR="00A8138F" w:rsidRDefault="00A8138F" w:rsidP="00A8138F">
      <w:pPr>
        <w:pStyle w:val="TextoNormal"/>
      </w:pPr>
      <w:r>
        <w:t>(1) Se acuerda que los diputados y diputadas no adscritos tienen derecho a defender enmiendas parciales en los textos legislativos del modo siguiente (registro general de salida 5029-2021):</w:t>
      </w:r>
    </w:p>
    <w:p w14:paraId="51CBC37A" w14:textId="77777777" w:rsidR="00A8138F" w:rsidRDefault="00A8138F" w:rsidP="00A8138F">
      <w:pPr>
        <w:pStyle w:val="TextoNormal"/>
      </w:pPr>
    </w:p>
    <w:p w14:paraId="3A4DB440" w14:textId="77777777" w:rsidR="00A8138F" w:rsidRDefault="00A8138F" w:rsidP="00A8138F">
      <w:pPr>
        <w:pStyle w:val="TextoNormal"/>
      </w:pPr>
      <w:r>
        <w:t>(i) Pueden presentar enmiendas parciales a los textos legislativos, pero no enmiendas a la totalidad (art. 125.3 RPIB).</w:t>
      </w:r>
    </w:p>
    <w:p w14:paraId="372E8D2D" w14:textId="77777777" w:rsidR="00A8138F" w:rsidRDefault="00A8138F" w:rsidP="00A8138F">
      <w:pPr>
        <w:pStyle w:val="TextoNormal"/>
      </w:pPr>
    </w:p>
    <w:p w14:paraId="5C11873A" w14:textId="77777777" w:rsidR="00A8138F" w:rsidRDefault="00A8138F" w:rsidP="00A8138F">
      <w:pPr>
        <w:pStyle w:val="TextoNormal"/>
      </w:pPr>
      <w:r>
        <w:t>(ii) Pueden formular solicitud de reconsideración en el supuesto que la mesa de la comisión acuerde no admitir alguna enmienda que hayan presentado (art. 125.6 RPIB).</w:t>
      </w:r>
    </w:p>
    <w:p w14:paraId="1AAA3DC3" w14:textId="77777777" w:rsidR="00A8138F" w:rsidRDefault="00A8138F" w:rsidP="00A8138F">
      <w:pPr>
        <w:pStyle w:val="TextoNormal"/>
      </w:pPr>
    </w:p>
    <w:p w14:paraId="5886A2A0" w14:textId="77777777" w:rsidR="00A8138F" w:rsidRDefault="00A8138F" w:rsidP="00A8138F">
      <w:pPr>
        <w:pStyle w:val="TextoNormal"/>
      </w:pPr>
      <w:r>
        <w:t>(iii) No formarán parte de la ponencia (art. 128.1 RPIB) pero podrán defender sus enmiendas.</w:t>
      </w:r>
    </w:p>
    <w:p w14:paraId="358C9EE2" w14:textId="77777777" w:rsidR="00A8138F" w:rsidRDefault="00A8138F" w:rsidP="00A8138F">
      <w:pPr>
        <w:pStyle w:val="TextoNormal"/>
      </w:pPr>
    </w:p>
    <w:p w14:paraId="480EAAA1" w14:textId="77777777" w:rsidR="00A8138F" w:rsidRDefault="00A8138F" w:rsidP="00A8138F">
      <w:pPr>
        <w:pStyle w:val="TextoNormal"/>
      </w:pPr>
      <w:r>
        <w:t>(iv) El coordinador de la ponencia (art. 128.6 y 7 RPIB), a petición de los diputados o las diputadas no adscritos, concretará un tiempo específico, proporcionado y suficiente para poder realizar dicha defensa.</w:t>
      </w:r>
    </w:p>
    <w:p w14:paraId="32BAC7E7" w14:textId="77777777" w:rsidR="00A8138F" w:rsidRDefault="00A8138F" w:rsidP="00A8138F">
      <w:pPr>
        <w:pStyle w:val="TextoNormal"/>
      </w:pPr>
    </w:p>
    <w:p w14:paraId="38672C60" w14:textId="77777777" w:rsidR="00A8138F" w:rsidRDefault="00A8138F" w:rsidP="00A8138F">
      <w:pPr>
        <w:pStyle w:val="TextoNormal"/>
      </w:pPr>
      <w:r>
        <w:t>(v) No pueden formular voto particular (art. 129 RPIB).</w:t>
      </w:r>
    </w:p>
    <w:p w14:paraId="46532316" w14:textId="77777777" w:rsidR="00A8138F" w:rsidRDefault="00A8138F" w:rsidP="00A8138F">
      <w:pPr>
        <w:pStyle w:val="TextoNormal"/>
      </w:pPr>
    </w:p>
    <w:p w14:paraId="1E5E1C34" w14:textId="77777777" w:rsidR="00A8138F" w:rsidRDefault="00A8138F" w:rsidP="00A8138F">
      <w:pPr>
        <w:pStyle w:val="TextoNormal"/>
      </w:pPr>
      <w:r>
        <w:t>(vi) Pueden hacer uso de la palabra en los debates en comisión (y no solo en aquella de la que formen parte) en relación con las enmiendas al articulado que hayan formulado (art. 130.1 RPIB).</w:t>
      </w:r>
    </w:p>
    <w:p w14:paraId="34D332AC" w14:textId="77777777" w:rsidR="00A8138F" w:rsidRDefault="00A8138F" w:rsidP="00A8138F">
      <w:pPr>
        <w:pStyle w:val="TextoNormal"/>
      </w:pPr>
    </w:p>
    <w:p w14:paraId="29CDCE7E" w14:textId="77777777" w:rsidR="00A8138F" w:rsidRDefault="00A8138F" w:rsidP="00A8138F">
      <w:pPr>
        <w:pStyle w:val="TextoNormal"/>
      </w:pPr>
      <w:r>
        <w:t>(vii) Pueden presentar, en aquella comisión de la que formen parte, enmiendas de aproximación y aquellas que tengan por finalidad enmendar errores o incorrecciones técnicas, terminológicas o gramaticales (art. 130.3 RPIB).</w:t>
      </w:r>
    </w:p>
    <w:p w14:paraId="1E346713" w14:textId="77777777" w:rsidR="00A8138F" w:rsidRDefault="00A8138F" w:rsidP="00A8138F">
      <w:pPr>
        <w:pStyle w:val="TextoNormal"/>
      </w:pPr>
    </w:p>
    <w:p w14:paraId="308F4DAD" w14:textId="77777777" w:rsidR="00A8138F" w:rsidRDefault="00A8138F" w:rsidP="00A8138F">
      <w:pPr>
        <w:pStyle w:val="TextoNormal"/>
      </w:pPr>
      <w:r>
        <w:t>(viii) Las enmiendas de los diputados o las diputadas no adscritos no incorporadas al dictamen de comisión se mantendrán para su debate en el Pleno, salvo que se manifieste la voluntad de no mantenerlas mediante escrito dirigido a la Presidencia de la Cámara en el plazo de las cuarenta y ocho horas siguientes a la fecha de finalización del dictamen (art. 133 RPIB).</w:t>
      </w:r>
    </w:p>
    <w:p w14:paraId="14773FBC" w14:textId="77777777" w:rsidR="00A8138F" w:rsidRDefault="00A8138F" w:rsidP="00A8138F">
      <w:pPr>
        <w:pStyle w:val="TextoNormal"/>
      </w:pPr>
    </w:p>
    <w:p w14:paraId="1F74C1EF" w14:textId="77777777" w:rsidR="00A8138F" w:rsidRDefault="00A8138F" w:rsidP="00A8138F">
      <w:pPr>
        <w:pStyle w:val="TextoNormal"/>
      </w:pPr>
      <w:r>
        <w:lastRenderedPageBreak/>
        <w:t>(ix) Pueden presentar en el Pleno enmiendas que tengan como finalidad enmendar errores o incorrecciones técnicas, terminológicas o gramaticales (art. 136.1 RPIB), así como transaccionales (art. 136.2 RPIB).</w:t>
      </w:r>
    </w:p>
    <w:p w14:paraId="12F77E78" w14:textId="77777777" w:rsidR="00A8138F" w:rsidRDefault="00A8138F" w:rsidP="00A8138F">
      <w:pPr>
        <w:pStyle w:val="TextoNormal"/>
      </w:pPr>
    </w:p>
    <w:p w14:paraId="20D81DF5" w14:textId="77777777" w:rsidR="00A8138F" w:rsidRDefault="00A8138F" w:rsidP="00A8138F">
      <w:pPr>
        <w:pStyle w:val="TextoNormal"/>
      </w:pPr>
      <w:r>
        <w:t>(2) Respecto de la participación del diputado no adscrito en el Pleno (registro general de salida 5028-2021) se acuerda que será la misma que corresponde a un diputado individualmente considerado y consistirá en:</w:t>
      </w:r>
    </w:p>
    <w:p w14:paraId="508C91D0" w14:textId="77777777" w:rsidR="00A8138F" w:rsidRDefault="00A8138F" w:rsidP="00A8138F">
      <w:pPr>
        <w:pStyle w:val="TextoNormal"/>
      </w:pPr>
    </w:p>
    <w:p w14:paraId="3A39C8F3" w14:textId="77777777" w:rsidR="00A8138F" w:rsidRDefault="00A8138F" w:rsidP="00A8138F">
      <w:pPr>
        <w:pStyle w:val="TextoNormal"/>
      </w:pPr>
      <w:r>
        <w:t>(i) Formular una pregunta oral por periodo de sesiones.</w:t>
      </w:r>
    </w:p>
    <w:p w14:paraId="61F2E524" w14:textId="77777777" w:rsidR="00A8138F" w:rsidRDefault="00A8138F" w:rsidP="00A8138F">
      <w:pPr>
        <w:pStyle w:val="TextoNormal"/>
      </w:pPr>
    </w:p>
    <w:p w14:paraId="3E15C1A9" w14:textId="77777777" w:rsidR="00A8138F" w:rsidRDefault="00A8138F" w:rsidP="00A8138F">
      <w:pPr>
        <w:pStyle w:val="TextoNormal"/>
      </w:pPr>
      <w:r>
        <w:t>(ii) Sustituir la pregunta oral que formulen en el Pleno (art. 175 RPIB).</w:t>
      </w:r>
    </w:p>
    <w:p w14:paraId="70A0EC8D" w14:textId="77777777" w:rsidR="00A8138F" w:rsidRDefault="00A8138F" w:rsidP="00A8138F">
      <w:pPr>
        <w:pStyle w:val="TextoNormal"/>
      </w:pPr>
    </w:p>
    <w:p w14:paraId="29F4E594" w14:textId="77777777" w:rsidR="00A8138F" w:rsidRDefault="00A8138F" w:rsidP="00A8138F">
      <w:pPr>
        <w:pStyle w:val="TextoNormal"/>
      </w:pPr>
      <w:r>
        <w:t>(iii) Asumir una pregunta de iniciativa ciudadana que computará como la pregunta oral que les corresponde presentar en el Pleno por periodo de sesiones.</w:t>
      </w:r>
    </w:p>
    <w:p w14:paraId="3E32DE2D" w14:textId="77777777" w:rsidR="00A8138F" w:rsidRDefault="00A8138F" w:rsidP="00A8138F">
      <w:pPr>
        <w:pStyle w:val="TextoNormal"/>
      </w:pPr>
    </w:p>
    <w:p w14:paraId="617B7362" w14:textId="77777777" w:rsidR="00A8138F" w:rsidRDefault="00A8138F" w:rsidP="00A8138F">
      <w:pPr>
        <w:pStyle w:val="TextoNormal"/>
      </w:pPr>
      <w:r>
        <w:t>(iv) Formular una interpelación cada dos periodos de sesiones.</w:t>
      </w:r>
    </w:p>
    <w:p w14:paraId="04F2949B" w14:textId="77777777" w:rsidR="00A8138F" w:rsidRDefault="00A8138F" w:rsidP="00A8138F">
      <w:pPr>
        <w:pStyle w:val="TextoNormal"/>
      </w:pPr>
    </w:p>
    <w:p w14:paraId="1FA034E2" w14:textId="77777777" w:rsidR="00A8138F" w:rsidRDefault="00A8138F" w:rsidP="00A8138F">
      <w:pPr>
        <w:pStyle w:val="TextoNormal"/>
      </w:pPr>
      <w:r>
        <w:t>(v) Presentar y defender enmiendas parciales a los textos legislativos de conformidad con la resolución de Presidencia reguladora del ejercicio de los diputados y las diputadas no adscritos a presentar y defender enmiendas parciales a los textos legislativos, previstaE en el artículo 28.3 c) RPIB.</w:t>
      </w:r>
    </w:p>
    <w:p w14:paraId="50132EA5" w14:textId="77777777" w:rsidR="00A8138F" w:rsidRDefault="00A8138F" w:rsidP="00A8138F">
      <w:pPr>
        <w:pStyle w:val="TextoNormal"/>
      </w:pPr>
    </w:p>
    <w:p w14:paraId="27CFBD97" w14:textId="77777777" w:rsidR="00A8138F" w:rsidRDefault="00A8138F" w:rsidP="00A8138F">
      <w:pPr>
        <w:pStyle w:val="TextoNormal"/>
      </w:pPr>
      <w:r>
        <w:t>(3) Por lo que hace a la participación del diputado no adscrito en las comisiones (registro general de salida 5028-2021), se acuerda que será la misma que corresponde a un diputado individualmente considerado y consistirá en:</w:t>
      </w:r>
    </w:p>
    <w:p w14:paraId="5DF0BF2A" w14:textId="77777777" w:rsidR="00A8138F" w:rsidRDefault="00A8138F" w:rsidP="00A8138F">
      <w:pPr>
        <w:pStyle w:val="TextoNormal"/>
      </w:pPr>
    </w:p>
    <w:p w14:paraId="496C2EAB" w14:textId="77777777" w:rsidR="00A8138F" w:rsidRDefault="00A8138F" w:rsidP="00A8138F">
      <w:pPr>
        <w:pStyle w:val="TextoNormal"/>
      </w:pPr>
      <w:r>
        <w:t>(i) Formular preguntas orales.</w:t>
      </w:r>
    </w:p>
    <w:p w14:paraId="01C8DBE9" w14:textId="77777777" w:rsidR="00A8138F" w:rsidRDefault="00A8138F" w:rsidP="00A8138F">
      <w:pPr>
        <w:pStyle w:val="TextoNormal"/>
      </w:pPr>
    </w:p>
    <w:p w14:paraId="10D645BE" w14:textId="77777777" w:rsidR="00A8138F" w:rsidRDefault="00A8138F" w:rsidP="00A8138F">
      <w:pPr>
        <w:pStyle w:val="TextoNormal"/>
      </w:pPr>
      <w:r>
        <w:t>(ii) Participar en las comparecencias que se sustancien ante la comisión a la que pertenezcan con igual tiempo de intervención que el resto de los diputados que pertenecen a los grupos parlamentarios (art. 192 RPIB).</w:t>
      </w:r>
    </w:p>
    <w:p w14:paraId="78C774CF" w14:textId="77777777" w:rsidR="00A8138F" w:rsidRDefault="00A8138F" w:rsidP="00A8138F">
      <w:pPr>
        <w:pStyle w:val="TextoNormal"/>
      </w:pPr>
    </w:p>
    <w:p w14:paraId="305A2CDC" w14:textId="77777777" w:rsidR="00A8138F" w:rsidRDefault="00A8138F" w:rsidP="00A8138F">
      <w:pPr>
        <w:pStyle w:val="TextoNormal"/>
      </w:pPr>
      <w:r>
        <w:t>(iii) Fijar posiciones respecto a las proposiciones no de ley que se sustancien ante la comisión a la que pertenezcan.</w:t>
      </w:r>
    </w:p>
    <w:p w14:paraId="245FCC0D" w14:textId="77777777" w:rsidR="00A8138F" w:rsidRDefault="00A8138F" w:rsidP="00A8138F">
      <w:pPr>
        <w:pStyle w:val="TextoNormal"/>
      </w:pPr>
    </w:p>
    <w:p w14:paraId="1950EB07" w14:textId="77777777" w:rsidR="00A8138F" w:rsidRDefault="00A8138F" w:rsidP="00A8138F">
      <w:pPr>
        <w:pStyle w:val="TextoNormal"/>
      </w:pPr>
      <w:r>
        <w:t>(iv) Votar en la toma de decisiones de la comisión a la que pertenezcan, como pueda ser el acuerdo de comparecencias (art. 46.2, 3 y 4 RPIB).</w:t>
      </w:r>
    </w:p>
    <w:p w14:paraId="708D66B4" w14:textId="77777777" w:rsidR="00A8138F" w:rsidRDefault="00A8138F" w:rsidP="00A8138F">
      <w:pPr>
        <w:pStyle w:val="TextoNormal"/>
      </w:pPr>
    </w:p>
    <w:p w14:paraId="7ADA5559" w14:textId="77777777" w:rsidR="00A8138F" w:rsidRDefault="00A8138F" w:rsidP="00A8138F">
      <w:pPr>
        <w:pStyle w:val="TextoNormal"/>
      </w:pPr>
      <w:r>
        <w:t>(v) Además, se acuerda que cada una de las comisiones legislativas solo pueda contar con la adscripción de un diputado no adscrito.</w:t>
      </w:r>
    </w:p>
    <w:p w14:paraId="6B3490A7" w14:textId="77777777" w:rsidR="00A8138F" w:rsidRDefault="00A8138F" w:rsidP="00A8138F">
      <w:pPr>
        <w:pStyle w:val="TextoNormal"/>
      </w:pPr>
    </w:p>
    <w:p w14:paraId="7EEAC6A8" w14:textId="77777777" w:rsidR="00A8138F" w:rsidRDefault="00A8138F" w:rsidP="00A8138F">
      <w:pPr>
        <w:pStyle w:val="TextoNormal"/>
      </w:pPr>
      <w:r>
        <w:t>Finalmente, y en relación con los medios materiales, se pospone la decisión a la siguiente sesión de la mesa, y se decide la designación de un espacio donde el señor Benalal pueda recoger la documentación y los escritos que se le dirijan, por lo que se acuerda habilitarlo en la sala de fotocopiadoras del edificio Ramon Llull, donde podrá recoger aquellos escritos y documentos que se le deban hacer llegar y que haya sido imposible entregar de manera presencial.</w:t>
      </w:r>
    </w:p>
    <w:p w14:paraId="54769D60" w14:textId="77777777" w:rsidR="00A8138F" w:rsidRDefault="00A8138F" w:rsidP="00A8138F">
      <w:pPr>
        <w:pStyle w:val="TextoNormal"/>
      </w:pPr>
    </w:p>
    <w:p w14:paraId="58CA9D7E" w14:textId="77777777" w:rsidR="00A8138F" w:rsidRDefault="00A8138F" w:rsidP="00A8138F">
      <w:pPr>
        <w:pStyle w:val="TextoNormal"/>
      </w:pPr>
      <w:r>
        <w:lastRenderedPageBreak/>
        <w:t>Las resoluciones con registro general de salida núm. 5028-2021 y 5029-2021, de 14 de octubre, adoptadas en respuesta a los escritos con registro general de entrada 7610-2021, 7692-2021, y 9637-2021, forman parte integrante del objeto del presente recurso de amparo.</w:t>
      </w:r>
    </w:p>
    <w:p w14:paraId="1B770C31" w14:textId="77777777" w:rsidR="00A8138F" w:rsidRDefault="00A8138F" w:rsidP="00A8138F">
      <w:pPr>
        <w:pStyle w:val="TextoNormal"/>
      </w:pPr>
    </w:p>
    <w:p w14:paraId="2FC82F22" w14:textId="77777777" w:rsidR="00A8138F" w:rsidRDefault="00A8138F" w:rsidP="00A8138F">
      <w:pPr>
        <w:pStyle w:val="TextoNormal"/>
      </w:pPr>
      <w:r>
        <w:t>E) A partir de ese momento el diputado don Messod Maxo Benalal Bendrihem formuló diversas solicitudes a la Cámara en relación con diferentes cuestiones relacionadas con el desempeño de su cargo parlamentario tras la adquisición de la condición de diputado no adscrito, así como las oportunas peticiones de reconsideración de los acuerdos de la mesa siempre que sus respuestas no le parecieron ajustadas a derecho por considerarlas lesivas de s</w:t>
      </w:r>
      <w:r w:rsidRPr="00A8138F">
        <w:rPr>
          <w:i/>
        </w:rPr>
        <w:t>u ius in offici</w:t>
      </w:r>
      <w:r>
        <w:t>um (art. 23 CE).</w:t>
      </w:r>
    </w:p>
    <w:p w14:paraId="77937AEE" w14:textId="77777777" w:rsidR="00A8138F" w:rsidRDefault="00A8138F" w:rsidP="00A8138F">
      <w:pPr>
        <w:pStyle w:val="TextoNormal"/>
      </w:pPr>
    </w:p>
    <w:p w14:paraId="1A36D8E7" w14:textId="77777777" w:rsidR="00A8138F" w:rsidRDefault="00A8138F" w:rsidP="00A8138F">
      <w:pPr>
        <w:pStyle w:val="TextoNormal"/>
      </w:pPr>
      <w:r>
        <w:t>Teniendo en cuenta todas las solicitudes realizadas y respuestas recibidas, se identifican como objeto del presente recurso de amparo, además de las que tienen registro general de salida núm. 5028-2021 y 5029-2021, las siguientes:</w:t>
      </w:r>
    </w:p>
    <w:p w14:paraId="3E46DD6E" w14:textId="77777777" w:rsidR="00A8138F" w:rsidRDefault="00A8138F" w:rsidP="00A8138F">
      <w:pPr>
        <w:pStyle w:val="TextoNormal"/>
      </w:pPr>
    </w:p>
    <w:p w14:paraId="2CBA074D" w14:textId="77777777" w:rsidR="00A8138F" w:rsidRDefault="00A8138F" w:rsidP="00A8138F">
      <w:pPr>
        <w:pStyle w:val="TextoNormal"/>
      </w:pPr>
      <w:r>
        <w:t>a) Mediante escrito de 21 de septiembre de 2021 (registro general de entrada 7692-2021) el demandante plantea la solicitud de medios materiales y económicos (despacho y medios informáticos, así como asignación económica para desplazamientos y gastos de asesor). El tema había quedado parcialmente sin resolver en la reunión de la mesa de 14 de octubre de 2021 de modo que, ante la ausencia de respuesta completa, la solicitud es reiterada en escrito presentado el 9 de noviembre de 2021 (registro general de entrada 12149-2021).</w:t>
      </w:r>
    </w:p>
    <w:p w14:paraId="3E67C515" w14:textId="77777777" w:rsidR="00A8138F" w:rsidRDefault="00A8138F" w:rsidP="00A8138F">
      <w:pPr>
        <w:pStyle w:val="TextoNormal"/>
      </w:pPr>
    </w:p>
    <w:p w14:paraId="25D2954A" w14:textId="77777777" w:rsidR="00A8138F" w:rsidRDefault="00A8138F" w:rsidP="00A8138F">
      <w:pPr>
        <w:pStyle w:val="TextoNormal"/>
      </w:pPr>
      <w:r>
        <w:t>El primer escrito es respondido por acuerdo de la mesa del Parlamento con registro general de salida núm. 5325-2021, de 27 de octubre, en el que se recuerda al solicitante el contenido del acuerdo de 13 de septiembre que le comunicaba que “las percepciones económicas que percibirá, de acuerdo con el art. 28.4 RPIB, son las de los diputados y diputadas individualmente considerados, con efectos desde el día 13 de septiembre”. Además, la mesa toma un nuevo acuerdo sobre los espacios de uso, habilitando un espacio de trabajo para el solicitante en la sala de descanso del tercer piso del edificio Ramon Llull. En el mismo escrito se le recuerda que no cabe reconsideración respecto de este (invocando los arts. 32.1.1 y 32.2 RPIB). El segundo escrito recibe respuesta mediante acuerdo con registro general de salida núm. 5923-2021, de 24 de noviembre, donde se reitera que los medios materiales previamente concedidos son suficientes para desarrollar la labor parlamentaria y no es posible, por falta de espacio, atribuirle un despacho propio, del que tampoco disponen individualmente otros integrantes de la Cámara.</w:t>
      </w:r>
    </w:p>
    <w:p w14:paraId="51B98715" w14:textId="77777777" w:rsidR="00A8138F" w:rsidRDefault="00A8138F" w:rsidP="00A8138F">
      <w:pPr>
        <w:pStyle w:val="TextoNormal"/>
      </w:pPr>
    </w:p>
    <w:p w14:paraId="327E2BA6" w14:textId="77777777" w:rsidR="00A8138F" w:rsidRDefault="00A8138F" w:rsidP="00A8138F">
      <w:pPr>
        <w:pStyle w:val="TextoNormal"/>
      </w:pPr>
      <w:r>
        <w:t xml:space="preserve">b) El escrito de 5 de octubre de 2021 (registro general de entrada 9637-2021), por el que el demandante solicita copia de las carpetas de seguimiento de las sesiones plenarias, es desestimado por resolución con registro general de salida núm. 5326-2021, de 27 de octubre, argumentando que “[e]l documento o la carpeta a que se refiere es el documento de seguimiento del plenario que se proporciona a los portavoces de los distintos grupos parlamentarios, por lo tanto es un documento que no le corresponde tener, dada su condición de diputado no adscrito a ninguno de estos grupos. Sin embargo, la Mesa le recuerda que con la convocatoria del plenario y con el calendario de la actividad parlamentaria puede acceder a todos los asuntos incluidos en la sesión plenaria correspondiente y que, en caso de que con posterioridad se tenga que incluir algún otro documento en el orden del día (por ejemplo, enmiendas a iniciativas, dictámenes, enmiendas a la totalidad, documentación para elecciones, designaciones...), se le envía del mismo modo que a los grupos parlamentarios para que </w:t>
      </w:r>
      <w:r>
        <w:lastRenderedPageBreak/>
        <w:t>se pueda pronunciar, con conocimiento de causa, en los diferentes asuntos de la sesión de que se trate”.</w:t>
      </w:r>
    </w:p>
    <w:p w14:paraId="71DB4A7B" w14:textId="77777777" w:rsidR="00A8138F" w:rsidRDefault="00A8138F" w:rsidP="00A8138F">
      <w:pPr>
        <w:pStyle w:val="TextoNormal"/>
      </w:pPr>
    </w:p>
    <w:p w14:paraId="2D3AA2C7" w14:textId="77777777" w:rsidR="00A8138F" w:rsidRDefault="00A8138F" w:rsidP="00A8138F">
      <w:pPr>
        <w:pStyle w:val="TextoNormal"/>
      </w:pPr>
      <w:r>
        <w:t>c) El acuerdo con registro general de salida núm. 5327-2021, de 27 de octubre, responde desestimatoriamente al escrito con registro general de entrada núm. 10518-2021, presentado el 13 de octubre, en que el diputado solicitaba continuar formando parte de la comisión no permanente de estudio sobre planificación y gestión de recursos hídricos. La mesa recuerda que la comisión no permanente referida (y regulada en los arts. 60 y 61 RPIB) está integrada por los diputados y diputadas propuestos por los diferentes grupos parlamentarios, no habiendo sido propuesto el diputado Benalal por ninguno de ellos. Además, se le recuerda que el acuerdo de la mesa de 13 de septiembre (registro general de salida 4273-2021) ya le había comunicado su cese como miembro de la comisión no permanente de estudio y que el acuerdo de 22 de septiembre (registro general de salida 4527-2021) le había comunicado que formaría parte de la Comisión de Medio Ambiente y Ordenación, atendiendo a su preferencia y teniendo en cuenta que el Reglamento de la Cámara no regula el derecho de los diputados no adscritos a elegir la comisión a la que quieren pertenecer, pero sí el derecho a formar parte de una comisión legislativa.</w:t>
      </w:r>
    </w:p>
    <w:p w14:paraId="75EC43FE" w14:textId="77777777" w:rsidR="00A8138F" w:rsidRDefault="00A8138F" w:rsidP="00A8138F">
      <w:pPr>
        <w:pStyle w:val="TextoNormal"/>
      </w:pPr>
    </w:p>
    <w:p w14:paraId="54F0B9A7" w14:textId="77777777" w:rsidR="00A8138F" w:rsidRDefault="00A8138F" w:rsidP="00A8138F">
      <w:pPr>
        <w:pStyle w:val="TextoNormal"/>
      </w:pPr>
      <w:r>
        <w:t>d) El mismo día 27 de octubre de 2021 se adopta el acuerdo con registro general de salida núm. 5333-2021 en respuesta al escrito, presentado el 13 de octubre de 2021 con registro general de entrada núm. 10041-2021, reiterativo de los escritos con registro general de entrada núm. 7610-2021, 7692-2021 y 9637-2021, en los que el recurrente solicitaba que se le reconocieran medios materiales y económicos, se le aclarara el detalle de sus atribuciones y derechos como diputado no adscrito y se le hiciera llegar copia de las carpetas de seguimiento de las sesiones plenarias. En el acuerdo la mesa se remite a lo dispuesto en los acuerdos con registro general de salida núm. 5025-2021, de 15 de octubre, y 5325-2021, de 27 de octubre, en relación con los medios materiales y económicos, y 5326-2021, de 27 de octubre, respecto de la solicitud de copia de las carpetas de seguimiento de las sesiones plenarias.</w:t>
      </w:r>
    </w:p>
    <w:p w14:paraId="0AACEBE4" w14:textId="77777777" w:rsidR="00A8138F" w:rsidRDefault="00A8138F" w:rsidP="00A8138F">
      <w:pPr>
        <w:pStyle w:val="TextoNormal"/>
      </w:pPr>
    </w:p>
    <w:p w14:paraId="4CEAC14F" w14:textId="77777777" w:rsidR="00A8138F" w:rsidRDefault="00A8138F" w:rsidP="00A8138F">
      <w:pPr>
        <w:pStyle w:val="TextoNormal"/>
      </w:pPr>
      <w:r>
        <w:t>e) El 17 de noviembre de 2021 la mesa admite a trámite el escrito presentado el 9 de noviembre de 2021 con registro general de entrada núm. 12149-2021, relativo a los medios materiales para el desarrollo de la actividad parlamentaria, dictando el 24 de noviembre el acuerdo con registro general de salida núm. 5923-2021 en respuesta a la anterior solicitud. La mesa reitera sus resoluciones anteriores respecto de la misma solicitud, insistiendo en que las alegaciones del diputado sobre la falta de espacio y enseres no se ajustaban a la realidad y detallando el material puesto a su disposición desde el 5 de noviembre de 2021 en la sala de descanso de la tercera planta del Parlamento (ordenador, teléfono, mesa, silla, cajonera con llave y estante). Se reitera en el escrito, en línea con lo establecido en disposiciones anteriores, que estos medios materiales se ajustan a las exigencias de la jurisprudencia constitucional, y que no es posible asignar a cada grupo parlamentario un espacio equivalente a tantos despachos como miembros del grupo haya.</w:t>
      </w:r>
    </w:p>
    <w:p w14:paraId="533B5F75" w14:textId="77777777" w:rsidR="00A8138F" w:rsidRDefault="00A8138F" w:rsidP="00A8138F">
      <w:pPr>
        <w:pStyle w:val="TextoNormal"/>
      </w:pPr>
    </w:p>
    <w:p w14:paraId="13ED04A8" w14:textId="77777777" w:rsidR="00A8138F" w:rsidRDefault="00A8138F" w:rsidP="00A8138F">
      <w:pPr>
        <w:pStyle w:val="TextoNormal"/>
      </w:pPr>
      <w:r>
        <w:t xml:space="preserve">f) El 2 de diciembre de 2021, se comunica al señor Benalal el acuerdo con registro general de salida núm. 6026-2021, adoptado por la mesa el 24 de noviembre de 2021, en relación con su escrito con registro general de entrada núm. 12867-2021, mediante el que solicitaba la reconsideración del acuerdo adoptado por la mesa en relación a la no admisión a trámite de la proposición no de ley relativa a convergencia entre el sector numérico y el medio </w:t>
      </w:r>
      <w:r>
        <w:lastRenderedPageBreak/>
        <w:t>ambiente a discutir en la comisión de medio ambiente y ordenación territorial; y en relación con su escrito con registro general de entrada núm. 12868-202121, mediante el que solicitaba la reconsideración del acuerdo adoptado por la mesa en relación a la no admisión a trámite de la proposición de ley relativa a la regulación del Síndic de Greuges. La mesa acuerda admitir a trámite las solicitudes de reconsideración y someterlas a la audiencia de la junta de portavoces, para adoptar posteriormente un acuerdo definitivo mediante resolución motivada. La junta de portavoces, en su sesión de 9 de diciembre de 2021, considera oportuno desestimar ambas solicitudes de reconsideración.</w:t>
      </w:r>
    </w:p>
    <w:p w14:paraId="37312E3D" w14:textId="77777777" w:rsidR="00A8138F" w:rsidRDefault="00A8138F" w:rsidP="00A8138F">
      <w:pPr>
        <w:pStyle w:val="TextoNormal"/>
      </w:pPr>
    </w:p>
    <w:p w14:paraId="288687CE" w14:textId="77777777" w:rsidR="00A8138F" w:rsidRDefault="00A8138F" w:rsidP="00A8138F">
      <w:pPr>
        <w:pStyle w:val="TextoNormal"/>
      </w:pPr>
      <w:r>
        <w:t>Mediante el acuerdo de 9 de diciembre de 2021, con registro general de salida núm. 6166-2021, se desestima por la mesa la solicitud de reconsideración de la inadmisión de la proposición de ley sobre el Síndic de Greuges. La junta de portavoces sostiene que la decisión de inadmisión de la mesa se basó en los arts. 28 y 139.1 RPIB, que exigen que la presentación de una proposición de ley se materialice por un grupo parlamentario o por la firma de cinco diputados, independientemente de su adscripción, sin reconocer la facultad individual al diputado no adscrito. La junta de portavoces, y posteriormente la mesa, vendrán a reiterar que, en este caso, se está ante la aplicación directa de un precepto reglamentario. Por lo que hace a la proposición no de ley, el acuerdo de la mesa de 9 de diciembre de 2021, con registro general de salida núm. 6167-2021, reitera la decisión de su inadmisión a trámite, apelando a los arts. 28 y 181 RPIB y afirmando que, ni del reglamento ni del acuerdo de la mesa de la Cámara de 14 de octubre de 2021, relativo a la participación de los diputados y diputadas no adscritos en el Pleno y en las Comisiones del Parlamento de las Illes Balears, se puede deducir que estos puedan presentar proposiciones no de ley, porque esa es una facultad reservada a los grupos parlamentarios. La junta de portavoces y la mesa argumentan que, dado “que ha dejado de formar parte de un grupo parlamentario, si el reglamento reconoce la iniciativa exclusivamente a los grupos parlamentarios, como es el caso que nos ocupa, el diputado no adscrito no puede presentar proposiciones no de ley, en cuanto que iniciativas que corresponden únicamente a los grupos parlamentarios y que cualquier diputado individualmente considerado (sea o no adscrito) no puede presentar”.</w:t>
      </w:r>
    </w:p>
    <w:p w14:paraId="50E07555" w14:textId="77777777" w:rsidR="00A8138F" w:rsidRDefault="00A8138F" w:rsidP="00A8138F">
      <w:pPr>
        <w:pStyle w:val="TextoNormal"/>
      </w:pPr>
    </w:p>
    <w:p w14:paraId="7A6AC760" w14:textId="3D93B52A" w:rsidR="00A8138F" w:rsidRDefault="00A8138F" w:rsidP="00A8138F">
      <w:pPr>
        <w:pStyle w:val="TextoNormal"/>
      </w:pPr>
      <w:r>
        <w:t>g) La resolución de 15 de diciembre de 2021, con registro general de salida 6237-2021, que responde a la petición de reconsideración de los acuerdos adoptados por la mesa en la resolución de 24 de noviembre de 2021, con registro general de salida 5923-2021, reitera las decisiones anteriores sobre medios materiales y económicos.</w:t>
      </w:r>
    </w:p>
    <w:p w14:paraId="37C70E25" w14:textId="77777777" w:rsidR="00A8138F" w:rsidRDefault="00A8138F" w:rsidP="00A8138F">
      <w:pPr>
        <w:pStyle w:val="TextoNormal"/>
      </w:pPr>
    </w:p>
    <w:p w14:paraId="7C267E4E" w14:textId="77777777" w:rsidR="00A8138F" w:rsidRDefault="00A8138F" w:rsidP="00A8138F">
      <w:pPr>
        <w:pStyle w:val="TextoNormal"/>
      </w:pPr>
      <w:r w:rsidRPr="00A8138F">
        <w:rPr>
          <w:rStyle w:val="NumeroAFNegritaCaracter"/>
        </w:rPr>
        <w:t>3</w:t>
      </w:r>
      <w:r>
        <w:t>. La demanda de amparo alega que las resoluciones de la mesa del Parlamento de las Illes Balears vulneran el derecho reconocido en el art. 23 CE al recurrente por cuanto afectan al ejercicio de su función parlamentaria, y los argumentos que sustentan esta queja se articulan en torno a cuatro denuncias concretas:</w:t>
      </w:r>
    </w:p>
    <w:p w14:paraId="01818007" w14:textId="77777777" w:rsidR="00A8138F" w:rsidRDefault="00A8138F" w:rsidP="00A8138F">
      <w:pPr>
        <w:pStyle w:val="TextoNormal"/>
      </w:pPr>
    </w:p>
    <w:p w14:paraId="5AFAFF3F" w14:textId="77777777" w:rsidR="00A8138F" w:rsidRDefault="00A8138F" w:rsidP="00A8138F">
      <w:pPr>
        <w:pStyle w:val="TextoNormal"/>
      </w:pPr>
      <w:r>
        <w:t>a) Vulneración de los derechos a la igualdad y no discriminación (art. 14 CE) y al ejercicio de cargo público en condiciones de igualdad (art. 23.2 CE) en lo referido a la condición de diputado no adscrito. El recurrente en amparo alega que el acuerdo de la mesa con registro general de salida núm. 4273-2021, de 13 de septiembre, adoptado en virtud de los arts. 27.1 b), 28, 39 c), 43.9 c), 51, 65.1, 65.3 y 199.4 RPIB supone un trato discriminatorio porque le atribuye la condición de diputado no adscrito en lugar de la de diputado del Grupo Mixto y porque establece un régimen jurídico del diputado no adscrito limitativo de sus derechos.</w:t>
      </w:r>
    </w:p>
    <w:p w14:paraId="40E31B1C" w14:textId="77777777" w:rsidR="00A8138F" w:rsidRDefault="00A8138F" w:rsidP="00A8138F">
      <w:pPr>
        <w:pStyle w:val="TextoNormal"/>
      </w:pPr>
    </w:p>
    <w:p w14:paraId="2C514C1F" w14:textId="77777777" w:rsidR="00A8138F" w:rsidRDefault="00A8138F" w:rsidP="00A8138F">
      <w:pPr>
        <w:pStyle w:val="TextoNormal"/>
      </w:pPr>
      <w:r>
        <w:t>Se argumenta en la demanda que el art. 27 RPIB prevé que, si un único diputado por voluntad propia deja de pertenecer o es expulsado de un grupo parlamentario, no puede pasar a formar parte de un grupo distinto, ni siquiera del Grupo Mixto, sino que adquiere la condición de no adscrito, opción que limita sus derechos y le coloca en un rango inferior o de segunda categoría respecto del resto de diputados, algo constitucionalmente vedado al no estar justificado este trato discriminatorio. Considera el recurrente que, si bien la figura del diputado no adscrito obedece al propósito de luchar contra la práctica del transfuguismo político, también es manifestación de la instrumentalización de las asambleas legislativas por los intereses de los grupos parlamentarios. Por eso, no puede ser idéntico el régimen del diputado no adscrito que pasa a esta situación por abandono del grupo parlamentario, y el de aquel que pasa a esta situación por expulsión. La Constitución española consagra el mandato representativo como uno de los elementos fundamentales del sistema democrático, y en función de ello se proclama que la titularidad del cargo público representativo es individual, de cada representante, presidido el desempeño de las funciones propias por el principio de libertad. Esta libertad se traduce en el derecho de acceso igualitario y de permanencia en el cargo (art. 23 CE).</w:t>
      </w:r>
    </w:p>
    <w:p w14:paraId="0B53C75C" w14:textId="77777777" w:rsidR="00A8138F" w:rsidRDefault="00A8138F" w:rsidP="00A8138F">
      <w:pPr>
        <w:pStyle w:val="TextoNormal"/>
      </w:pPr>
    </w:p>
    <w:p w14:paraId="5F9BAF17" w14:textId="77777777" w:rsidR="00A8138F" w:rsidRDefault="00A8138F" w:rsidP="00A8138F">
      <w:pPr>
        <w:pStyle w:val="TextoNormal"/>
      </w:pPr>
      <w:r>
        <w:t>b) Vulneración de los derechos a la igualdad y no discriminación (art. 14 CE) y al ejercicio de cargo público en condiciones de igualdad (art. 23.2 CE) en lo referente a la participación en las comisiones, intervención en distintas iniciativas parlamentarias y medios económicos puestos a su disposición.</w:t>
      </w:r>
    </w:p>
    <w:p w14:paraId="7199E616" w14:textId="77777777" w:rsidR="00A8138F" w:rsidRDefault="00A8138F" w:rsidP="00A8138F">
      <w:pPr>
        <w:pStyle w:val="TextoNormal"/>
      </w:pPr>
    </w:p>
    <w:p w14:paraId="022B7946" w14:textId="77777777" w:rsidR="00A8138F" w:rsidRDefault="00A8138F" w:rsidP="00A8138F">
      <w:pPr>
        <w:pStyle w:val="TextoNormal"/>
      </w:pPr>
      <w:r>
        <w:t>(i) En los acuerdos con registro general de salida núm. 4527-2021 y 4528-2021 se atribuye al recurrente la posibilidad de formar parte de una sola comisión legislativa, lo que infringe los arts. 14 y 23.2 CE, ya que según el art. 42.1 RPIB “todos los grupos parlamentarios tienen derecho a contar, como mínimo, con un representante en cada Comisión”. Las razones que da la mesa para no permitir la participación en otras comisiones son de “representatividad” en el seno de las mismas y esta no es una razón válida. De hecho, en el acuerdo de 22 de septiembre de 2021, con registro general de salida núm. 4532-2021, la propia mesa modifica la composición de la Comisión de Medio Ambiente y Ordenación Territorial para aceptar la entrada del recurrente en la misma, estableciendo que la mesa del Parlamento “para asegurar que las comisiones parlamentarias respeten el principio de proporcionalidad de los grupos parlamentarios de la Cámara según su importancia numérica prevista en el artículo 42.1 del reglamento de la Cámara”, se incrementa el número de integrantes de trece a quince diputados.</w:t>
      </w:r>
    </w:p>
    <w:p w14:paraId="78161CBC" w14:textId="77777777" w:rsidR="00A8138F" w:rsidRDefault="00A8138F" w:rsidP="00A8138F">
      <w:pPr>
        <w:pStyle w:val="TextoNormal"/>
      </w:pPr>
    </w:p>
    <w:p w14:paraId="5A91F7C2" w14:textId="77777777" w:rsidR="00A8138F" w:rsidRDefault="00A8138F" w:rsidP="00A8138F">
      <w:pPr>
        <w:pStyle w:val="TextoNormal"/>
      </w:pPr>
      <w:r>
        <w:t xml:space="preserve">(ii) Por lo que hace al acuerdo con registro general de salida núm. 5327-2021, la mesa rechaza la petición de mantenimiento del recurrente en la comisión no permanente de estudio en materia de planificación y gestión de recursos hídricos, de la que era vicepresidente. Según el recurrente, la mesa decide de forma injustificada y arbitraria no aplicar la regla del art. 14.4 RPIB, que establece el derecho individual de los diputados “a formar parte de, al menos, una comisión” para, en cambio, aplicar de forma errónea y sin justificación el art. 28.3 b), según el cual los no adscritos podrán “pertenecer a una comisión legislativa”, excluyendo la participación en comisiones de otro tipo cuando la propia mesa reconoce que la comisión no permanente de estudio en materia de planificación y gestión de recursos hídricos no es legislativa. Considera esta parte que la junta de portavoces no se pronunció contra la permanencia del recurrente en la comisión no permanente, por lo que la decisión de la </w:t>
      </w:r>
      <w:r>
        <w:lastRenderedPageBreak/>
        <w:t>mesa es arbitraria, teniendo en cuenta que para adoptarla no aporta justificación ni razonamiento alguno.</w:t>
      </w:r>
    </w:p>
    <w:p w14:paraId="5C9F1118" w14:textId="77777777" w:rsidR="00A8138F" w:rsidRDefault="00A8138F" w:rsidP="00A8138F">
      <w:pPr>
        <w:pStyle w:val="TextoNormal"/>
      </w:pPr>
    </w:p>
    <w:p w14:paraId="5E0DC65F" w14:textId="77777777" w:rsidR="00A8138F" w:rsidRDefault="00A8138F" w:rsidP="00A8138F">
      <w:pPr>
        <w:pStyle w:val="TextoNormal"/>
      </w:pPr>
      <w:r>
        <w:t>(iii) Por su parte, el acuerdo con registro general de salida núm. 5028-2021, de 14 de octubre, sobre la participación de los diputados no adscritos en el Pleno y las comisiones, cuando prevé en sus puntos segundo y tercero la participación de los diputados y diputadas no adscritos en el Pleno y las comisiones, cercena los derechos del diputado no adscrito en aspectos nucleares de la función parlamentaria. El acuerdo delimita la participación en el Pleno permitiendo únicamente a los diputados no adscritos formular una pregunta oral por periodo de sesiones; substituir la pregunta oral que formulen ante el Pleno; asumir una pregunta de iniciativa ciudadana que computará como la pregunta oral que les corresponda presentar en el Pleno por periodo de sesiones; formular una interpelación cada dos periodos de sesiones; presentar y defender enmiendas parciales a los textos legislativos de conformidad con la resolución de la Presidencia reguladora del ejercicio de los diputados y las diputadas no adscritos a presentar y defender enmiendas parciales a los textos legislativos, prevista en el artículo 28.3 c) del Reglamento del Parlamento de las Illes Balears. Por lo que hace a la actividad en comisiones, esta se limita a formular preguntas orales; participar en las comparecencias que se substancien ante la comisión a la cual pertenezcan con igual tiempo de intervención que el resto de los diputados que pertenecen a los grupos parlamentarios; fijar posiciones respecto a las proposiciones no de ley que se substancien ante la comisión a la que pertenezcan; y votar en la toma de decisiones de la comisión a la cual pertenezcan, como pueda ser el acuerdo de comparecencias.</w:t>
      </w:r>
    </w:p>
    <w:p w14:paraId="3BC2CDDD" w14:textId="77777777" w:rsidR="00A8138F" w:rsidRDefault="00A8138F" w:rsidP="00A8138F">
      <w:pPr>
        <w:pStyle w:val="TextoNormal"/>
      </w:pPr>
    </w:p>
    <w:p w14:paraId="528A339D" w14:textId="77777777" w:rsidR="00A8138F" w:rsidRDefault="00A8138F" w:rsidP="00A8138F">
      <w:pPr>
        <w:pStyle w:val="TextoNormal"/>
      </w:pPr>
      <w:r>
        <w:t>Esta delimitación funcional, según el recurrente, deja fuera el control al Gobierno, que ante el Pleno se reduce a una única pregunta oral por período de sesiones, esto es, dos iniciativas al año, ocho en la legislatura; y a una única interpelación cada dos sesiones, esto es una iniciativa al año, cuatro en la legislatura. A juicio del recurrente esta limitación de funciones deja clara la voluntad de restringir el control al Ejecutivo, incrementada con la limitación derivada del art. 178 RPIB, que restringe a los diputados integrantes de grupos parlamentarios la facultad de presentar preguntas dirigidas al presidente de la Comunidad Autónoma.</w:t>
      </w:r>
    </w:p>
    <w:p w14:paraId="43243326" w14:textId="77777777" w:rsidR="00A8138F" w:rsidRDefault="00A8138F" w:rsidP="00A8138F">
      <w:pPr>
        <w:pStyle w:val="TextoNormal"/>
      </w:pPr>
    </w:p>
    <w:p w14:paraId="18737BEC" w14:textId="77777777" w:rsidR="00A8138F" w:rsidRDefault="00A8138F" w:rsidP="00A8138F">
      <w:pPr>
        <w:pStyle w:val="TextoNormal"/>
      </w:pPr>
      <w:r>
        <w:t>(iv) En los acuerdos con registro general de salida núm. 6166-2021 y 6167-2021 se restringe también la participación mediante la exclusión de los derechos de iniciativa legislativa y de presentar iniciativas no legislativas. Además, y como consecuencia de la adjudicación de la condición de no adscrito, se impide al recurrente intervenir en los debates de totalidad (arts. 125 y ss. RPIB) y en los debates para convalidación de los decretos-ley, en ambos casos para explicar el voto, así como intervenir en los debates de iniciativas del capítulo II del título VI RPIB (“Del procedimiento legislativo común”).</w:t>
      </w:r>
    </w:p>
    <w:p w14:paraId="59859287" w14:textId="77777777" w:rsidR="00A8138F" w:rsidRDefault="00A8138F" w:rsidP="00A8138F">
      <w:pPr>
        <w:pStyle w:val="TextoNormal"/>
      </w:pPr>
    </w:p>
    <w:p w14:paraId="59607E4D" w14:textId="77777777" w:rsidR="00A8138F" w:rsidRDefault="00A8138F" w:rsidP="00A8138F">
      <w:pPr>
        <w:pStyle w:val="TextoNormal"/>
      </w:pPr>
      <w:r>
        <w:t>(v) Por último, en el acuerdo con registro general de salida núm. 6237-2021 la mesa se niega a estudiar la petición de reconsideración del acuerdo con registro general de salida núm. 5923-2021, adoptado en la sesión de 24 de noviembre de 2021, al entender que la resolución impugnada no se encuentra entre aquellas susceptibles de someterse a juicio de reconsideración según el art. 32.1.1 RPIB. En la solicitud de reconsideración el demandante reiteraba su solicitud de medios económicos para poder llevar a cabo sus funciones parlamentarias, oponiéndose a la decisión de la mesa que le había informado de que los medios económicos previstos por el reglamento se prevén para “grupos” y no para “diputados indi</w:t>
      </w:r>
      <w:r>
        <w:lastRenderedPageBreak/>
        <w:t>viduales”. Siendo así, en lo que se refiere a la no atribución de medios financieros a los diputados no adscritos, tanto la mesa como el reglamento del Parlamento vulnerarían los derechos que atribuye al recurrente el art. 23 CE.</w:t>
      </w:r>
    </w:p>
    <w:p w14:paraId="7EDBD2B6" w14:textId="77777777" w:rsidR="00A8138F" w:rsidRDefault="00A8138F" w:rsidP="00A8138F">
      <w:pPr>
        <w:pStyle w:val="TextoNormal"/>
      </w:pPr>
    </w:p>
    <w:p w14:paraId="6E0EA707" w14:textId="77777777" w:rsidR="00A8138F" w:rsidRDefault="00A8138F" w:rsidP="00A8138F">
      <w:pPr>
        <w:pStyle w:val="TextoNormal"/>
      </w:pPr>
      <w:r>
        <w:t>La resolución sobre retribuciones, indemnizaciones y asignaciones institucionales de 28 de abril de 2021 prevé una cantidad económica que se atribuye a cada grupo parlamentario por su condición de “grupo”, pero además prevé otra “por cada diputado”, que se entregará a los grupos a que pertenecen. Estos fondos son destinados a compensar los gastos en que pudiera incurrir cada diputado en el ejercicio de su función para el grupo, pero los gastos de material o de desplazamiento del recurrente deben ser asumidos por él, lo que genera una discriminación respecto de los otros diputados. Este trato deriva de aplicar de forma discriminatoria el art. 28.4 RPIB, cuando establece que “[l]os diputados o las diputadas no adscritos tendrán derecho exclusivamente a las percepciones económicas que el presente reglamento prevé para los diputados y las diputadas individualmente. La mesa del Parlamento asignará a cada diputado o diputada no adscrito los medios materiales que estime adecuados para el cumplimiento de sus funciones”. A este respecto, el recurrente sostiene que no sería aplicable el criterio sostenido en la STC 169/2009, de 9 de julio, referida a diputados provinciales y no a diputados autonómicos, que deben participar de la función legislativa y de control del Gobierno. Adicionalmente, la demanda sostiene que el art. 28.4 RPIB no tiene soporte estatutario, e incluso se opone al art. 44.1 del Estatuto de Autonomía de las Illes Balears que sostiene que los diputados del Parlamento de las Illes Balears no estarán vinculados por ningún mandato imperativo. También se opondría este precepto del reglamento al art. 23 CE, por limitar la posibilidad de ejercer al diputado su función representativa en toda la comunidad autónoma.</w:t>
      </w:r>
    </w:p>
    <w:p w14:paraId="58621182" w14:textId="77777777" w:rsidR="00A8138F" w:rsidRDefault="00A8138F" w:rsidP="00A8138F">
      <w:pPr>
        <w:pStyle w:val="TextoNormal"/>
      </w:pPr>
    </w:p>
    <w:p w14:paraId="06C296A4" w14:textId="77777777" w:rsidR="00A8138F" w:rsidRDefault="00A8138F" w:rsidP="00A8138F">
      <w:pPr>
        <w:pStyle w:val="TextoNormal"/>
      </w:pPr>
      <w:r>
        <w:t>c) Vulneración de los derechos a la igualdad y no discriminación (art. 14 CE) y al ejercicio de cargo público en condiciones de igualdad (art. 23.2 CE) en lo referente a la no adjudicación de un despacho. En relación con esta queja, el recurrente vuelve a manifestar su desacuerdo con que no sean susceptibles de reconsideración las decisiones de la mesa sobre las peticiones relacionadas con su condición de diputado no adscrito (acuerdo de la mesa con registro general de salida núm. 6237-2021). En lo relativo al acuerdo con registro general de salida núm. 5923-2021 (cuya reconsideración niega el acuerdo con registro general de salida núm. 6237-2021), este deniega la atribución de un despacho propio al diputado recurrente quien afirma que el espacio que la mesa le ha atribuido es un escritorio colocado en un espacio abierto en la sala de descanso del personal y de los diputados, que también tiene uso de fotocopiadora e impresión, y que ese uso perturba el descanso del resto de diputados. Alega asimismo que la localización del escritorio en un espacio abierto impide que pueda recibir a nadie en su “espacio” porque no puede mantener una conversación confidencial, ni mantener conversaciones telefónicas confidenciales. Además, sostiene, el escritorio es mobiliario estándar, con una llave idéntica a las del resto de mesas del edificio, lo que impide dejar documentos o elementos materiales con seguridad, cosa también imposible en el resto del mobiliario atribuido. Todo ello impide el correcto ejercicio del cargo, sin justificación alguna. Entiende el recurrente que cuando la mesa argumenta falta de espacio en los edificios de la Cámara para justificar su decisión, da prueba de mala fe pues falta a la realidad, al existir espacios disponibles en el edificio Ramon Llull y en el edificio noble del Parlamento al haberse reducido el número de diputados del Grupo Parlamentario Ciudadanos.</w:t>
      </w:r>
    </w:p>
    <w:p w14:paraId="61A97BC2" w14:textId="77777777" w:rsidR="00A8138F" w:rsidRDefault="00A8138F" w:rsidP="00A8138F">
      <w:pPr>
        <w:pStyle w:val="TextoNormal"/>
      </w:pPr>
    </w:p>
    <w:p w14:paraId="55FA555A" w14:textId="77777777" w:rsidR="00A8138F" w:rsidRDefault="00A8138F" w:rsidP="00A8138F">
      <w:pPr>
        <w:pStyle w:val="TextoNormal"/>
      </w:pPr>
      <w:r>
        <w:lastRenderedPageBreak/>
        <w:t xml:space="preserve">d) Como última línea argumental, la demanda cita la regulación de los diputados no adscritos en los Reglamentos del Congreso de los Diputados y del Senado (arts. 25 a 28 y 28 a 30, respectivamente). Este marco normativo, según la demanda, prevé que quienes, por cualquier causa, dejaren de pertenecer a un grupo parlamentario quedarán automáticamente incorporados al Grupo Mixto, por lo que su participación y derechos serán los mismos que los del resto de diputados y senadores, con las características propias del Grupo Mixto. Además, el recurrente cita la doctrina sentada en la STC 151/2017, de 21 de diciembre, que considera aplicable, </w:t>
      </w:r>
      <w:r w:rsidRPr="00A8138F">
        <w:rPr>
          <w:i/>
        </w:rPr>
        <w:t>mutatis mutandis</w:t>
      </w:r>
      <w:r>
        <w:t>, a los diputados regionales que, por las mismas razones dadas en la sentencia, no pueden de ningún modo ver restringidas sin justificación sus funciones esenciales como parlamentarios autonómicos.</w:t>
      </w:r>
    </w:p>
    <w:p w14:paraId="188DE269" w14:textId="77777777" w:rsidR="00A8138F" w:rsidRDefault="00A8138F" w:rsidP="00A8138F">
      <w:pPr>
        <w:pStyle w:val="TextoNormal"/>
      </w:pPr>
    </w:p>
    <w:p w14:paraId="472662AE" w14:textId="77777777" w:rsidR="00A8138F" w:rsidRDefault="00A8138F" w:rsidP="00A8138F">
      <w:pPr>
        <w:pStyle w:val="TextoNormal"/>
      </w:pPr>
      <w:r>
        <w:t>e) En el suplico de la demanda el recurrente identifica su petición como sigue: (i) Declarar nulos, por inconstitucionales los acuerdos con registro general de salida núm. 5028-2021, 5029-2021, 5325-2021, 5326-2021, 5327-2021, 5333-2021, 5923-2021, 6166-2021, 6167-2021 y 6237-2021; (ii) declarar vulnerados los derechos fundamentales reconocidos constitucionalmente en los artículos 14, 18 y 23; y (iii) restablecer al recurrente en la totalidad de los derechos que ostentaba con anterioridad a los aludidos acuerdos y, en su caso, transferirle de la condición de diputado “no adscrito” a la de miembro del Grupo Parlamentario Mixto.</w:t>
      </w:r>
    </w:p>
    <w:p w14:paraId="12EBD7BB" w14:textId="77777777" w:rsidR="00A8138F" w:rsidRDefault="00A8138F" w:rsidP="00A8138F">
      <w:pPr>
        <w:pStyle w:val="TextoNormal"/>
      </w:pPr>
    </w:p>
    <w:p w14:paraId="0F7B8EAD" w14:textId="77777777" w:rsidR="00A8138F" w:rsidRDefault="00A8138F" w:rsidP="00A8138F">
      <w:pPr>
        <w:pStyle w:val="TextoNormal"/>
      </w:pPr>
      <w:r>
        <w:t>f) Por lo que hace a la alegación de los motivos de especial trascendencia constitucional, la demanda, previa cita de las SSTC 155/2009, de 25 de junio, y 172/2016, de 17 de octubre, manifiesta que el recurso de amparo posee trascendencia social y además: (i) no existe doctrina constitucional sobre la expulsión de un diputado de un grupo parlamentario y la consabida merma de sus derechos fundamentales; (ii) los acuerdos de la mesa se fundamentan en la aplicación del Reglamento del Parlamento de las Illes Balears, que se considera a estos efectos semejante a una ley; y (iii) concurre la causa g) de la STC 155/2009, FJ 2, por la condición de diputado del recurrente, con las consecuencias políticas que podrían deducirse de la estimación del amparo, además de la jurisprudencia que se asentaría, que afectaría a otros supuestos semejantes en las asambleas autonómicas.</w:t>
      </w:r>
    </w:p>
    <w:p w14:paraId="0504C7FA" w14:textId="77777777" w:rsidR="00A8138F" w:rsidRDefault="00A8138F" w:rsidP="00A8138F">
      <w:pPr>
        <w:pStyle w:val="TextoNormal"/>
      </w:pPr>
    </w:p>
    <w:p w14:paraId="448BBCBD" w14:textId="77777777" w:rsidR="00A8138F" w:rsidRDefault="00A8138F" w:rsidP="00A8138F">
      <w:pPr>
        <w:pStyle w:val="TextoNormal"/>
      </w:pPr>
      <w:r>
        <w:t>g) Mediante primer otrosí se solicita la suspensión cautelar de la ejecución de los acuerdos impugnados de conformidad con lo establecido en el art. 56.3, 4 y 6 de la Ley Orgánica del Tribunal Constitucional (LOTC), en tanto dichos acuerdos afecten al ejercicio de las funciones del diputado recurrente.</w:t>
      </w:r>
    </w:p>
    <w:p w14:paraId="55BDB10F" w14:textId="77777777" w:rsidR="00A8138F" w:rsidRDefault="00A8138F" w:rsidP="00A8138F">
      <w:pPr>
        <w:pStyle w:val="TextoNormal"/>
      </w:pPr>
    </w:p>
    <w:p w14:paraId="5D13F9F5" w14:textId="07EE96A0" w:rsidR="00A8138F" w:rsidRDefault="00A8138F" w:rsidP="00A8138F">
      <w:pPr>
        <w:pStyle w:val="TextoNormal"/>
      </w:pPr>
      <w:r>
        <w:t>h) Mediante segundo otrosí se pide el planteamiento, conforme al art. 55.2 LOTC, de cuestión interna de inconstitucionalidad de varios preceptos del Reglamento del Parlamento de las Illes Balears, visto que los acuerdos de la mesa se dicen amparados por sus arts. 28 y 29. Sostiene el recurrente que, como la mesa no hace sino aplicar dos preceptos reglamentarios con rango de ley (art. 27 LOTC), es necesario declararlos inconstitucionales con carácter previo a la estimación del recurso de amparo. La inconstitucionalidad de los preceptos deriva, a juicio del recurrente, de la injustificada desigualdad de los diputados no adscritos frente al resto de diputados autonómicos, y ello contra lo previsto en el art. 23.2 CE y contra el derecho reconocido en el art. 29.1 RPIB, lo que atenta a la vez contra los arts. 40 y 41 del Estatuto de Autonomía de las Illes Balears. Ampara la petición un amplio cuerpo jurisprudencial del que son paradigmáticas la STC 141/2007, de 18 de junio, que anuló la aplicación inmediata de una reforma reglamentaria que elevaba el umbral para constituir grupo parla</w:t>
      </w:r>
      <w:r>
        <w:lastRenderedPageBreak/>
        <w:t>mentario y que había llevado a disolver un grupo ya constituido, y la STC 223/2006, de 6 de julio, que reconoció la superioridad jerárquica del estatuto de autonomía sobre el reglamento parlamentario, anulando dos preceptos reglamentarios por contrarios al art. 60 del Estatuto de Autonomía de las Illes Balears.</w:t>
      </w:r>
    </w:p>
    <w:p w14:paraId="33B4D36B" w14:textId="77777777" w:rsidR="00A8138F" w:rsidRDefault="00A8138F" w:rsidP="00A8138F">
      <w:pPr>
        <w:pStyle w:val="TextoNormal"/>
      </w:pPr>
    </w:p>
    <w:p w14:paraId="423B1093" w14:textId="31C72D22" w:rsidR="00A8138F" w:rsidRDefault="00A8138F" w:rsidP="00A8138F">
      <w:pPr>
        <w:pStyle w:val="TextoNormal"/>
      </w:pPr>
      <w:r w:rsidRPr="00A8138F">
        <w:rPr>
          <w:rStyle w:val="NumeroAFNegritaCaracter"/>
        </w:rPr>
        <w:t>4</w:t>
      </w:r>
      <w:r>
        <w:t>. Tras la renuncia del procurador de los tribunales don Gonzalo Santos de Dios, se atribuye nueva representación a la procuradora doña Begoña del Arco Herrero. Mediante diligencia de ordenación de 15 de marzo de 2022, se tiene por recibido el escrito de renuncia de representación y por personada a la procuradora nombrada en nombre y representación del recurrente en amparo.</w:t>
      </w:r>
    </w:p>
    <w:p w14:paraId="4D48FDAE" w14:textId="77777777" w:rsidR="00A8138F" w:rsidRDefault="00A8138F" w:rsidP="00A8138F">
      <w:pPr>
        <w:pStyle w:val="TextoNormal"/>
      </w:pPr>
    </w:p>
    <w:p w14:paraId="16F39A4E" w14:textId="78D6B009" w:rsidR="00A8138F" w:rsidRDefault="00A8138F" w:rsidP="00A8138F">
      <w:pPr>
        <w:pStyle w:val="TextoNormal"/>
      </w:pPr>
      <w:r w:rsidRPr="00A8138F">
        <w:rPr>
          <w:rStyle w:val="NumeroAFNegritaCaracter"/>
        </w:rPr>
        <w:t>5</w:t>
      </w:r>
      <w:r>
        <w:t>. En virtud de providencia de 4 de abril de 2022, la Sección Primera de la Sala Primera de este tribunal acordó la admisión a trámite del recurso, apreciando que concurre una especial trascendencia constitucional (art. 50.1 LOTC), por cuanto el asunto trasciende del caso concreto, toda vez que pudiera tener unas consecuencias políticas generales [STC 155/2009, FJ 2 g)]. En la misma resolución, se acordó dirigir atenta comunicación al Excmo. señor presidente del Parlamento de las Illes Balears, a fin de que, en plazo que no excediera de diez días, remitiera certificación o fotocopia adverada del expediente correspondiente a los acuerdos de la mesa del Parlamento a los que hace referencia la demanda de amparo, acompañando a la mencionada comunicación copia de la referida demanda para conocimiento de la Cámara y a efectos de su personación en el presente proceso constitucional.</w:t>
      </w:r>
    </w:p>
    <w:p w14:paraId="3D2325B6" w14:textId="77777777" w:rsidR="00A8138F" w:rsidRDefault="00A8138F" w:rsidP="00A8138F">
      <w:pPr>
        <w:pStyle w:val="TextoNormal"/>
      </w:pPr>
    </w:p>
    <w:p w14:paraId="78B5964A" w14:textId="62843A3F" w:rsidR="00A8138F" w:rsidRDefault="00A8138F" w:rsidP="00A8138F">
      <w:pPr>
        <w:pStyle w:val="TextoNormal"/>
      </w:pPr>
      <w:r w:rsidRPr="00A8138F">
        <w:rPr>
          <w:rStyle w:val="NumeroAFNegritaCaracter"/>
        </w:rPr>
        <w:t>6</w:t>
      </w:r>
      <w:r>
        <w:t>. Por diligencia de ordenación fechada el mismo día 4 de abril de 2022, se comunica el acuerdo de la Sección de formar pieza separada de suspensión y, de conformidad con lo prevenido en el art. 56 LOTC, conceder un plazo común de tres días, al Ministerio Fiscal y al solicitante del amparo, para que dentro de dicho término aleguen lo que estimen pertinente en relación con la petición de suspensión interesada. Tras la presentación de alegaciones del recurrente (registradas el 11 de abril de 2022), del Ministerio Fiscal (registradas el 21 de abril de 2022) y del Parlamento de las Illes Balears (registradas el 6 de mayo de 2022), mediante ATC 105/2022, de 27 de junio, la Sala Primera acordó denegar la suspensión cautelar de la ejecución de los acuerdos de la mesa del Parlamento de las Illes Balears impugnados en amparo.</w:t>
      </w:r>
    </w:p>
    <w:p w14:paraId="7FE4141D" w14:textId="77777777" w:rsidR="00A8138F" w:rsidRDefault="00A8138F" w:rsidP="00A8138F">
      <w:pPr>
        <w:pStyle w:val="TextoNormal"/>
      </w:pPr>
    </w:p>
    <w:p w14:paraId="3A52A7F2" w14:textId="2DE73827" w:rsidR="00A8138F" w:rsidRDefault="00A8138F" w:rsidP="00A8138F">
      <w:pPr>
        <w:pStyle w:val="TextoNormal"/>
      </w:pPr>
      <w:r w:rsidRPr="00A8138F">
        <w:rPr>
          <w:rStyle w:val="NumeroAFNegritaCaracter"/>
        </w:rPr>
        <w:t>7</w:t>
      </w:r>
      <w:r>
        <w:t>. El 27 de abril de 2022, mediante diligencia de ordenación, se tienen por recibidas las actuaciones remitidas por el Parlamento de las Illes Balears, a quien se tiene, además, por personado y parte. En esa misma diligencia, en aplicación del art. 52 LOTC, se da vista de todas las actuaciones del presente recurso, por un plazo común de veinte días, al Ministerio Fiscal y a las partes personadas para que, dentro de dicho término, puedan presentar las alegaciones que a su derecho convenga.</w:t>
      </w:r>
    </w:p>
    <w:p w14:paraId="39CB7294" w14:textId="77777777" w:rsidR="00A8138F" w:rsidRDefault="00A8138F" w:rsidP="00A8138F">
      <w:pPr>
        <w:pStyle w:val="TextoNormal"/>
      </w:pPr>
    </w:p>
    <w:p w14:paraId="0CD37BA1" w14:textId="77777777" w:rsidR="00A8138F" w:rsidRDefault="00A8138F" w:rsidP="00A8138F">
      <w:pPr>
        <w:pStyle w:val="TextoNormal"/>
      </w:pPr>
      <w:r w:rsidRPr="00A8138F">
        <w:rPr>
          <w:rStyle w:val="NumeroAFNegritaCaracter"/>
        </w:rPr>
        <w:t>8</w:t>
      </w:r>
      <w:r>
        <w:t xml:space="preserve">. Por escrito registrado el 30 de mayo de 2022, el Parlamento de las Illes Balears presenta sus alegaciones solicitando la inadmisión del recurso de amparo, por carecer de especial trascendencia constitucional, y subsidiariamente la desestimación total, a lo que se añade que concurriría mala fe o temeridad en la demanda porque existe jurisprudencia constitucional aplicable al caso, por lo que solicita que se le condene en costas tal y como prevé el art. 95.2 LOTC. Como observación previa, la letrada del Parlamento define el objeto del recurso de amparo, alegando que la identificación de los actos impugnados contiene errores, </w:t>
      </w:r>
      <w:r>
        <w:lastRenderedPageBreak/>
        <w:t>razón por la que realiza una síntesis, identificando seis acuerdos como objeto del recurso y descartando que pueda ser objeto del mismo la resolución de Presidencia reguladora del ejercicio del derecho de los diputados y las diputadas no adscritos a presentar y defender enmiendas parciales, prevista en el art. 28.3 c) RPIB, al tratarse de una resolución de la Presidencia que completa el reglamento y que tiene por tanto valor normativo.</w:t>
      </w:r>
    </w:p>
    <w:p w14:paraId="6A3A52D2" w14:textId="77777777" w:rsidR="00A8138F" w:rsidRDefault="00A8138F" w:rsidP="00A8138F">
      <w:pPr>
        <w:pStyle w:val="TextoNormal"/>
      </w:pPr>
    </w:p>
    <w:p w14:paraId="432F6480" w14:textId="77777777" w:rsidR="00A8138F" w:rsidRDefault="00A8138F" w:rsidP="00A8138F">
      <w:pPr>
        <w:pStyle w:val="TextoNormal"/>
      </w:pPr>
      <w:r>
        <w:t>A partir de esta identificación la letrada del Parlamento desarrolla un primer argumento solicitando la inadmisión del recurso de amparo por falta de especial trascendencia constitucional. Entiende esta parte que ya existe doctrina del propio Tribunal Constitucional para solventar el problema suscitado porque concurre identidad sustancial entre este y el que resuelve la STC 159/2019, de 12 de diciembre. Este pronunciamiento desestimó todas las pretensiones de amparo excepto la relativa a la privación al diputado no adscrito, por parte de la mesa de la Asamblea de Extremadura, de la facultad de formular preguntas en Pleno, instrumento no regulado en el reglamento del Parlamento balear. Seguidamente, el escrito de alegaciones formula oposición a las quejas planteadas en la demanda de amparo, destacándose los siguientes argumentos:</w:t>
      </w:r>
    </w:p>
    <w:p w14:paraId="1268EB16" w14:textId="77777777" w:rsidR="00A8138F" w:rsidRDefault="00A8138F" w:rsidP="00A8138F">
      <w:pPr>
        <w:pStyle w:val="TextoNormal"/>
      </w:pPr>
    </w:p>
    <w:p w14:paraId="247D192B" w14:textId="77777777" w:rsidR="00A8138F" w:rsidRDefault="00A8138F" w:rsidP="00A8138F">
      <w:pPr>
        <w:pStyle w:val="TextoNormal"/>
      </w:pPr>
      <w:r>
        <w:t>a) Las alegaciones relativas a la inconstitucionalidad de los preceptos del reglamento del Parlamento, no son propias del objeto del recurso de amparo parlamentario del art. 42 LOTC, que se refiere a las decisiones o actos sin valor de ley, lo que excluye los reglamentos parlamentarios por ser normas con fuerza de ley.</w:t>
      </w:r>
    </w:p>
    <w:p w14:paraId="74585E69" w14:textId="77777777" w:rsidR="00A8138F" w:rsidRDefault="00A8138F" w:rsidP="00A8138F">
      <w:pPr>
        <w:pStyle w:val="TextoNormal"/>
      </w:pPr>
    </w:p>
    <w:p w14:paraId="7F60CDF7" w14:textId="77777777" w:rsidR="00A8138F" w:rsidRDefault="00A8138F" w:rsidP="00A8138F">
      <w:pPr>
        <w:pStyle w:val="TextoNormal"/>
      </w:pPr>
      <w:r>
        <w:t xml:space="preserve">b) Respecto a la alegación genérica de trato discriminatorio formulada por el recurrente, la letrada del Parlamento argumenta que las normas jurídicas pueden establecer diferencias de trato ante supuestos de hecho diferentes, como es el del diputado individualmente considerado y el del diputado en cuanto miembro de un grupo parlamentario (con cita del fundamento jurídico 8 de la STC 159/2019). Se rechaza también el argumento relativo a que no debe recibir el mismo tratamiento el abandono y la expulsión del grupo parlamentario porque va contra la literalidad del art. 27.1 b) RPIB, que define como diputado “no adscrito” tanto al que abandona como al que es expulsado del grupo, tal y como sucede también en otros reglamentos parlamentarios. Concluye esta parte que la mesa no ha privado al recurrente del acceso igualitario y la permanencia en el escaño y que ha preservado el contenido esencial de su </w:t>
      </w:r>
      <w:r w:rsidRPr="00A8138F">
        <w:rPr>
          <w:i/>
        </w:rPr>
        <w:t>ius in officium</w:t>
      </w:r>
      <w:r>
        <w:t xml:space="preserve">, añadiendo que el recurrente no acredita en su demanda que la adquisición de la condición de diputado no adscrito haya incidido en el núcleo constitucionalmente protegido del </w:t>
      </w:r>
      <w:r w:rsidRPr="00A8138F">
        <w:rPr>
          <w:i/>
        </w:rPr>
        <w:t>ius in officium</w:t>
      </w:r>
      <w:r>
        <w:t xml:space="preserve"> que, como parlamentario, le corresponde.</w:t>
      </w:r>
    </w:p>
    <w:p w14:paraId="573022AC" w14:textId="77777777" w:rsidR="00A8138F" w:rsidRDefault="00A8138F" w:rsidP="00A8138F">
      <w:pPr>
        <w:pStyle w:val="TextoNormal"/>
      </w:pPr>
    </w:p>
    <w:p w14:paraId="3A682698" w14:textId="77777777" w:rsidR="00A8138F" w:rsidRDefault="00A8138F" w:rsidP="00A8138F">
      <w:pPr>
        <w:pStyle w:val="TextoNormal"/>
      </w:pPr>
      <w:r>
        <w:t>c) Respecto a la queja relativa a la pertenencia a una comisión, el escrito de alegaciones sostiene que, en aplicación del art. 14.4 RPIB y no del art. 42.1 RPIB que invoca el recurrente, la mesa ha respetado el derecho que asiste al diputado no adscrito de formar parte al menos de una comisión. Naturalmente ningún diputado tiene el derecho a elegir comisión y, por tanto, tampoco el diputado no adscrito (con cita del fundamento jurídico 13 de la STC 159/2019). Por otro lado, la mesa, como reconoce el propio recurrente, acordó aumentar de trece a quince el número de miembros de la comisión de medio ambiente y ordenación territorial para salvaguardar la correcta representación proporcional de los grupos parlamentarios, tal como exige el artículo 42 RPIB. Por lo que hace a la comisión no legislativa el escrito de alegaciones se remite a la decisión de la mesa.</w:t>
      </w:r>
    </w:p>
    <w:p w14:paraId="58F7186D" w14:textId="77777777" w:rsidR="00A8138F" w:rsidRDefault="00A8138F" w:rsidP="00A8138F">
      <w:pPr>
        <w:pStyle w:val="TextoNormal"/>
      </w:pPr>
    </w:p>
    <w:p w14:paraId="268FBCFE" w14:textId="77777777" w:rsidR="00A8138F" w:rsidRDefault="00A8138F" w:rsidP="00A8138F">
      <w:pPr>
        <w:pStyle w:val="TextoNormal"/>
      </w:pPr>
      <w:r>
        <w:lastRenderedPageBreak/>
        <w:t>d) En materia de participación en el Pleno y la comisión, la mesa, en aplicación del mandato derivado del art. 28.2 RPIB, adoptó por unanimidad, oída la junta de portavoces, un acuerdo relativo a tal participación que respeta el principio de proporcionalidad y evita la sobrerrepresentación de los diputados no adscritos, confiriéndoles los derechos y facultades de un diputado individualmente considerado. Esta parte contrasta la exigencia de proporcionalidad con el siguiente ejemplo: si al Grupo Parlamentario Popular, integrado por dieciséis diputados, se le asigna una cuota de seis interpelaciones por cada período de sesiones, es decir doce al año, parece razonable permitir a un diputado no adscrito una interpelación al año. Con ello considera el Parlamento que las exigencias de motivación y de proporcionalidad establecidas por la doctrina del Tribunal Constitucional deben tenerse por acreditadas (STC 151/2017, de 21 de diciembre, FJ 7).</w:t>
      </w:r>
    </w:p>
    <w:p w14:paraId="3382AD40" w14:textId="77777777" w:rsidR="00A8138F" w:rsidRDefault="00A8138F" w:rsidP="00A8138F">
      <w:pPr>
        <w:pStyle w:val="TextoNormal"/>
      </w:pPr>
    </w:p>
    <w:p w14:paraId="3A5A726C" w14:textId="77777777" w:rsidR="00A8138F" w:rsidRDefault="00A8138F" w:rsidP="00A8138F">
      <w:pPr>
        <w:pStyle w:val="TextoNormal"/>
      </w:pPr>
      <w:r>
        <w:t>e) Discrepa asimismo esta parte de la afirmación del recurrente acerca de que se le haya denegado el derecho a la iniciativa legislativa. Conforme al artículo 139.1 RPIB las proposiciones de ley pueden adoptarse a iniciativa de un diputado con la firma de otros cuatro o por un grupo parlamentario, es decir, no cabe en ningún caso la legitimación de un diputado individualmente considerado a la hora de iniciar la tramitación de una proposición de ley. Y lo mismo cabe afirmar en relación con las proposiciones no de ley, cuya iniciativa corresponde a los grupos parlamentarios (art. 181 RPIB), o en relación con los debates de totalidad (art. 84.2 RPIB), o con la convalidación de decretos-leyes (art. 157 RPIB).</w:t>
      </w:r>
    </w:p>
    <w:p w14:paraId="6A6A02B3" w14:textId="77777777" w:rsidR="00A8138F" w:rsidRDefault="00A8138F" w:rsidP="00A8138F">
      <w:pPr>
        <w:pStyle w:val="TextoNormal"/>
      </w:pPr>
    </w:p>
    <w:p w14:paraId="2F1970C1" w14:textId="77777777" w:rsidR="00A8138F" w:rsidRDefault="00A8138F" w:rsidP="00A8138F">
      <w:pPr>
        <w:pStyle w:val="TextoNormal"/>
      </w:pPr>
      <w:r>
        <w:t>f) En referencia a los límites de la reconsideración que se aplican a una parte de las respuestas que da la mesa al recurrente en amparo, y que también son objeto del recurso, la letrada del Parlamento recuerda que únicamente son objeto de reconsideración los acuerdos de la mesa previstos en los puntos 4 y 5 del artículo 32.1 RPIB, que hacen referencia a la calificación y a la tramitación de los escritos y documentos de índole parlamentaria. El recurrente pretende reconvertir el instrumento parlamentario de la reconsideración en una especie de reclamación previa a la interposición de un recurso de amparo, pero la mesa le informa que no cabe reconsideración, que cabe recurso de amparo y que tales actos son firmes en vía parlamentaria, quedando expedita la vía del amparo constitucional.</w:t>
      </w:r>
    </w:p>
    <w:p w14:paraId="7FC63D7D" w14:textId="77777777" w:rsidR="00A8138F" w:rsidRDefault="00A8138F" w:rsidP="00A8138F">
      <w:pPr>
        <w:pStyle w:val="TextoNormal"/>
      </w:pPr>
    </w:p>
    <w:p w14:paraId="5E756E31" w14:textId="77777777" w:rsidR="00A8138F" w:rsidRDefault="00A8138F" w:rsidP="00A8138F">
      <w:pPr>
        <w:pStyle w:val="TextoNormal"/>
      </w:pPr>
      <w:r>
        <w:t xml:space="preserve">g) Respecto de los medios económicos a su disposición, sostiene esta parte: (i) que el recurrente percibe las retribuciones que corresponden a cualquier diputado en régimen de dedicación exclusiva; (ii) que se le aplica la resolución de retribuciones, indemnizaciones y asignaciones institucionales como al resto de diputados, incluyendo para diputados de Eivissa, como es el caso del señor Benalal, dieta de manutención y pernocta, indemnización por kilometraje con vehículo propio, gastos de transporte (barco, avión) o gastos por estacionamientos de vehículo, y como el recurrente no acredita sus afirmaciones sobre esta cuestión, han de considerarse mera alegación de parte; (iii) el recurrente confunde los derechos económicos de los grupos y las asignaciones por parlamentarios con los derechos económicos y asignaciones a los diputados individualmente considerados; (iv) en relación al viaje a Bruselas del 29 al 30 de noviembre de 2021, que el recurrente cita en alguno de sus escritos, se trataba de un acto del parlamentario </w:t>
      </w:r>
      <w:r w:rsidRPr="00A8138F">
        <w:rPr>
          <w:i/>
        </w:rPr>
        <w:t>uti singuli</w:t>
      </w:r>
      <w:r>
        <w:t xml:space="preserve"> y no de un acto del Parlamento, que no estaba autorizado y no era indemnizable; (v) con independencia de lo anterior, el Tribunal Constitucional ha rechazado que las retribuciones de los parlamentarios autonómicos formen parte del núcleo esencial del derecho de acceso, permanencia y ejercicio de cargos públicos representativos (art. 23.2 CE), y así se establece en la STC 36/2014, de 27 de febrero, con cita de otras.</w:t>
      </w:r>
    </w:p>
    <w:p w14:paraId="62D3A617" w14:textId="77777777" w:rsidR="00A8138F" w:rsidRDefault="00A8138F" w:rsidP="00A8138F">
      <w:pPr>
        <w:pStyle w:val="TextoNormal"/>
      </w:pPr>
    </w:p>
    <w:p w14:paraId="269AEA08" w14:textId="77777777" w:rsidR="00A8138F" w:rsidRDefault="00A8138F" w:rsidP="00A8138F">
      <w:pPr>
        <w:pStyle w:val="TextoNormal"/>
      </w:pPr>
      <w:r>
        <w:t>h) En relación con la solicitud de un despacho propio, el escrito de alegaciones afirma que carece de apoyo reglamentario alguno la pretensión del diputado no adscrito de tener derecho a despacho, y la falta de un despacho propio no le impide recibir las convocatorias y la documentación.</w:t>
      </w:r>
    </w:p>
    <w:p w14:paraId="48E2AD65" w14:textId="77777777" w:rsidR="00A8138F" w:rsidRDefault="00A8138F" w:rsidP="00A8138F">
      <w:pPr>
        <w:pStyle w:val="TextoNormal"/>
      </w:pPr>
    </w:p>
    <w:p w14:paraId="05C6F88E" w14:textId="77777777" w:rsidR="00A8138F" w:rsidRDefault="00A8138F" w:rsidP="00A8138F">
      <w:pPr>
        <w:pStyle w:val="TextoNormal"/>
      </w:pPr>
      <w:r>
        <w:t>i) No concreta ni acredita el recurrente qué acuerdo o actuación parlamentaria haya afectado a su derecho al honor, intimidad personal y familiar y a la propia imagen contenido en el artículo 18 CE, mención que añade en el suplico pero que no desarrolla ni vincula su lesión a ningún acto concreto.</w:t>
      </w:r>
    </w:p>
    <w:p w14:paraId="77BAE154" w14:textId="77777777" w:rsidR="00A8138F" w:rsidRDefault="00A8138F" w:rsidP="00A8138F">
      <w:pPr>
        <w:pStyle w:val="TextoNormal"/>
      </w:pPr>
    </w:p>
    <w:p w14:paraId="49E56EF7" w14:textId="5299AC83" w:rsidR="00A8138F" w:rsidRDefault="00A8138F" w:rsidP="00A8138F">
      <w:pPr>
        <w:pStyle w:val="TextoNormal"/>
      </w:pPr>
      <w:r>
        <w:t>j) Por último, y en relación con la petición del segundo otrosí del recurrente, que solicita el planteamiento de una cuestión de inconstitucionalidad respecto de los arts. 28 y 29 RPIB, el Parlamento sostiene que la previsión reglamentaria de la condición de diputado no adscrito ha sido considerada plenamente constitucional en la STC 159/2019; que no se aprecia contradicción alguna entre el reglamento del Parlamento y el Estatuto de Autonomía; y que las aludidas SSTC 223/2006, de 6 de julio, y 141/2007, de 18 de junio, no guardan conexión con el recurso de amparo que nos ocupa.</w:t>
      </w:r>
    </w:p>
    <w:p w14:paraId="6CCFB19C" w14:textId="77777777" w:rsidR="00A8138F" w:rsidRDefault="00A8138F" w:rsidP="00A8138F">
      <w:pPr>
        <w:pStyle w:val="TextoNormal"/>
      </w:pPr>
    </w:p>
    <w:p w14:paraId="371DE793" w14:textId="77777777" w:rsidR="00A8138F" w:rsidRDefault="00A8138F" w:rsidP="00A8138F">
      <w:pPr>
        <w:pStyle w:val="TextoNormal"/>
      </w:pPr>
      <w:r w:rsidRPr="00A8138F">
        <w:rPr>
          <w:rStyle w:val="NumeroAFNegritaCaracter"/>
        </w:rPr>
        <w:t>9</w:t>
      </w:r>
      <w:r>
        <w:t>. Por escrito registrado el 13 de junio de 2022, la fiscal ante el Tribunal Constitucional formula sus alegaciones solicitando la inadmisión del recurso de amparo contra el acuerdo de 13 de septiembre de 2021 respecto de la atribución al recurrente de la condición de diputado no adscrito, al incurrir en extemporaneidad y falta de agotamiento de la vía judicial previa, y la desestimación del recurso en todo lo demás.</w:t>
      </w:r>
    </w:p>
    <w:p w14:paraId="57A312E4" w14:textId="77777777" w:rsidR="00A8138F" w:rsidRDefault="00A8138F" w:rsidP="00A8138F">
      <w:pPr>
        <w:pStyle w:val="TextoNormal"/>
      </w:pPr>
    </w:p>
    <w:p w14:paraId="1D8AA236" w14:textId="77777777" w:rsidR="00A8138F" w:rsidRDefault="00A8138F" w:rsidP="00A8138F">
      <w:pPr>
        <w:pStyle w:val="TextoNormal"/>
      </w:pPr>
      <w:r>
        <w:t>a) Por lo que hace al acuerdo de 13 de septiembre de 2021, si bien el Ministerio Fiscal reconoce que no se impugna directamente en la demanda de amparo ni se solicita su nulidad, en el primer motivo de impugnación se considera lesiva de los arts. 14 y 23.2 CE la atribución al recurrente de la condición de diputado no adscrito, que deviene de la aplicación del acuerdo citado (registro general de salida 4273-2021). El recurrente en amparo no impugnó en sede parlamentaria el acuerdo de 13 de septiembre, por lo que la pretensión que se ejerce de forma indirecta respecto del mismo estaría incursa, por un lado, en el óbice procesal de falta de agotamiento de los medios de impugnación, al haberse aquietado el demandante con el referido acuerdo y los pronunciamientos del mismo sin haber impugnado o solicitado su reconsideración ante la mesa, y, por otro lado, en el óbice de extemporaneidad, puesto que el recurso de amparo se interpuso el 12 de enero de 2022, cuando ya habían transcurrido más de tres meses desde que se adoptó el referido acuerdo de 13 de septiembre de 2021 (art. 42 LOTC).</w:t>
      </w:r>
    </w:p>
    <w:p w14:paraId="7515EEA4" w14:textId="77777777" w:rsidR="00A8138F" w:rsidRDefault="00A8138F" w:rsidP="00A8138F">
      <w:pPr>
        <w:pStyle w:val="TextoNormal"/>
      </w:pPr>
    </w:p>
    <w:p w14:paraId="4C96EBD2" w14:textId="77777777" w:rsidR="00A8138F" w:rsidRDefault="00A8138F" w:rsidP="00A8138F">
      <w:pPr>
        <w:pStyle w:val="TextoNormal"/>
      </w:pPr>
      <w:r>
        <w:t>En cualquier caso, si no se aprecia el óbice de extemporaneidad, cabría rechazar el argumento porque la atribución de la condición de diputado no adscrito no produce vulneración del derecho al ejercicio del cargo parlamentario en condiciones de igualdad del art. 23.2 CE. En relación con este motivo, la fiscal argumenta que el recurrente viene a cuestionar la regulación que establece el art. 27.1 b) RPIB, de modo que el primer motivo del recurso es una pretensión de inconstitucionalidad del reglamento que no puede constituir objeto de un recurso de amparo parlamentario, salvo que el Tribunal considerase que existe una posible vulneración del art. 23.2 CE atribuible directamente a la norma de rango legal y se planteara una cuestión interna de constitucionalidad. La Fiscalía entiende que el recurrente no ha jus</w:t>
      </w:r>
      <w:r>
        <w:lastRenderedPageBreak/>
        <w:t xml:space="preserve">tificado que lo dispuesto en el art. 27.1 b) RPIB constituya, en sí mismo, una vulneración del derecho al ejercicio del cargo parlamentario del art. 23.2 CE. Además, sostiene que la jurisprudencia constitucional, al examinar las restricciones legales del </w:t>
      </w:r>
      <w:r w:rsidRPr="00A8138F">
        <w:rPr>
          <w:i/>
        </w:rPr>
        <w:t>ius in offícium</w:t>
      </w:r>
      <w:r>
        <w:t xml:space="preserve"> que responden a la necesidad de dar respuesta al fenómeno del transfuguismo, ha partido de considerar que dichas restricciones responden a un fin constitucionalmente legítimo, debiendo ser en todo caso compatibles con el contenido esencial del derecho fundamental al cargo representativo reconocido por el art. 23.2 CE (con cita de las SSTC 151/2017, de 21 de diciembre, y 159/2019, de 12 diciembre). Teniendo en cuenta estos antecedentes, el art. 27.1 b) RPIB y la previsión del art. 28.1 RPIB, que establece que los diputados no adscritos tendrán los derechos que el reglamento reconoce a los diputados individualmente considerados, no pueden considerarse inconstitucionales por ser contrarios al contenido del art. 23.2 CE.</w:t>
      </w:r>
    </w:p>
    <w:p w14:paraId="71D94AB5" w14:textId="77777777" w:rsidR="00A8138F" w:rsidRDefault="00A8138F" w:rsidP="00A8138F">
      <w:pPr>
        <w:pStyle w:val="TextoNormal"/>
      </w:pPr>
    </w:p>
    <w:p w14:paraId="3863C47C" w14:textId="77777777" w:rsidR="00A8138F" w:rsidRDefault="00A8138F" w:rsidP="00A8138F">
      <w:pPr>
        <w:pStyle w:val="TextoNormal"/>
      </w:pPr>
      <w:r>
        <w:t>b) No se identifica vulneración alguna del derecho al ejercicio del cargo parlamentario en condiciones de igualdad (art. 23.2 CE) en relación con la pertenencia a comisiones, la presentación de iniciativas parlamentarias y las retribuciones económicas.</w:t>
      </w:r>
    </w:p>
    <w:p w14:paraId="48F9BB84" w14:textId="77777777" w:rsidR="00A8138F" w:rsidRDefault="00A8138F" w:rsidP="00A8138F">
      <w:pPr>
        <w:pStyle w:val="TextoNormal"/>
      </w:pPr>
    </w:p>
    <w:p w14:paraId="73091BBF" w14:textId="77777777" w:rsidR="00A8138F" w:rsidRDefault="00A8138F" w:rsidP="00A8138F">
      <w:pPr>
        <w:pStyle w:val="TextoNormal"/>
      </w:pPr>
      <w:r>
        <w:t>(i) Respecto de la pertenencia a comisiones, el Ministerio Fiscal sostiene que los acuerdos de 22 de septiembre de 2021, con registro general de salida núm. 4527-2021 y 4528-2021, no fueron impugnados en sede parlamentaria y su impugnación en sede constitucional sería extemporánea, al haber transcurrido más de tres meses desde su aprobación cuando se interpone la presenta demanda. Por lo que hace al acuerdo con registro general de salida núm. 5327-2021, de su lectura deduce la Fiscalía que la mesa del Parlamento rechaza la petición del recurrente de permanecer en la comisión no permanente de estudio en materia de planificación y gestión de recursos hídricos en base a lo siguiente: que esta comisión no es una comisión de carácter permanente asimilada a una subcomisión de medio ambiente y ordenación territorial, sino que es una comisión no permanente de estudio para un tema concreto (arts. 60 y 61 RPIB), siendo en este caso aplicable al recurrente, tras su paso a la condición de diputado no adscrito, lo dispuesto en los arts. 14.4 y 28.2 y 4 RPIB. La denegación de la participación del recurrente en una comisión no permanente de estudio no puede verse como una aplicación arbitraria de lo dispuesto en el reglamento y no supone una restricción del núcleo esencial de la función parlamentaria, cuestión esta última que tampoco ha justificado el recurrente en sus alegaciones. No nos encontramos ante un caso igual al que examinó el Tribunal Constitucional en la STC 246/2012, de 20 de diciembre, sobre la denegación por la Ley de la administración local de la Comunidad Madrid de la participación de los concejales no adscritos en las comisiones informativas de la corporación local porque, en aquel caso, la falta de intervención en comisiones informativas sí suponía una afectación al núcleo esencial del cargo representativo.</w:t>
      </w:r>
    </w:p>
    <w:p w14:paraId="54C6A1A3" w14:textId="77777777" w:rsidR="00A8138F" w:rsidRDefault="00A8138F" w:rsidP="00A8138F">
      <w:pPr>
        <w:pStyle w:val="TextoNormal"/>
      </w:pPr>
    </w:p>
    <w:p w14:paraId="5751A03F" w14:textId="77777777" w:rsidR="00A8138F" w:rsidRDefault="00A8138F" w:rsidP="00A8138F">
      <w:pPr>
        <w:pStyle w:val="TextoNormal"/>
      </w:pPr>
      <w:r>
        <w:t xml:space="preserve">(ii) En relación con la participación en el Pleno y las comisiones y la impugnación del acuerdo con registro general de salida núm. 5029-2021, la Fiscalía sostiene, previa transcripción del fundamento jurídico 12 de la STC 159/2019, que la falta de argumentación del recurrente para sustentar la vulneración del derecho al ejercicio del cargo parlamentario invocada, teniendo en cuenta que la mesa había dado razones específicas de por qué fijaba esa determinada cuota de preguntas e interpelaciones en cada periodo de sesiones, ha de conducir a la desestimación de la queja. Respecto del mecanismo de control que son las preguntas, el acuerdo de la mesa del Parlamento de las Illes Balears respeta el contenido mínimo que contempla el art. 28.3 RPIB, que dispone que los diputados no adscritos podrán </w:t>
      </w:r>
      <w:r>
        <w:lastRenderedPageBreak/>
        <w:t>formular una pregunta oral por periodo de sesiones. Si bien cabe pensar que una pregunta oral por periodo de sesiones del Pleno (dos al año), es insuficiente para un efectivo ejercicio de la función de control que corresponde al representante político, debemos tener en cuenta que el límite se refiere a las preguntas de contestación oral y puede verse compensado con las preguntas de contestación escrita que pueden formularse, cuya cantidad no limita el acuerdo de la mesa impugnado. En este sentido, de la regulación sobre estas iniciativas de control se desprende que la regla general lleva a que las preguntas se consideren de contestación escrita, salvo petición expresa (arts. 172.1, 173 y 174.1 y 2 RPIB).</w:t>
      </w:r>
    </w:p>
    <w:p w14:paraId="75D2B7F4" w14:textId="77777777" w:rsidR="00A8138F" w:rsidRDefault="00A8138F" w:rsidP="00A8138F">
      <w:pPr>
        <w:pStyle w:val="TextoNormal"/>
      </w:pPr>
    </w:p>
    <w:p w14:paraId="4E731C92" w14:textId="77777777" w:rsidR="00A8138F" w:rsidRDefault="00A8138F" w:rsidP="00A8138F">
      <w:pPr>
        <w:pStyle w:val="TextoNormal"/>
      </w:pPr>
      <w:r>
        <w:t>Por lo que se refiere al mecanismo de la interpelación (arts. 162 a 170 RPIB), como derecho de los diputados individuales y de los grupos parlamentarios, la fijación por la mesa de una interpelación por cada dos periodos de sesiones podría parecer exigua, pero esa limitación no puede considerarse de un modo aislado, sino teniendo en cuenta que la interpelación no es el único mecanismo de control al Gobierno que puede ser utilizado por el diputado no adscrito y que el límite establecido no resulta discriminatorio o desproporcionado en cuanto que el número de iniciativas de interpelaciones asignadas a los grupos parlamentarios con menor número de diputados (tres) es de una por periodo de sesiones, lo que supone dos por cada año, mientras que al diputado no adscrito individualmente considerado se le atribuye una al año.</w:t>
      </w:r>
    </w:p>
    <w:p w14:paraId="18B3FD8C" w14:textId="77777777" w:rsidR="00A8138F" w:rsidRDefault="00A8138F" w:rsidP="00A8138F">
      <w:pPr>
        <w:pStyle w:val="TextoNormal"/>
      </w:pPr>
    </w:p>
    <w:p w14:paraId="3C1E2E37" w14:textId="77777777" w:rsidR="00A8138F" w:rsidRDefault="00A8138F" w:rsidP="00A8138F">
      <w:pPr>
        <w:pStyle w:val="TextoNormal"/>
      </w:pPr>
      <w:r>
        <w:t>(iii) En lo que hace a las iniciativas parlamentarias, el recurrente impugna los acuerdos con registro general de salida núm. 6166-2021 y 6167-2021. De la lectura de este último se desprende que la inadmisión de la iniciativa se funda en el estatus parlamentario del diputado no adscrito, que resulta de manera específica de lo previsto en el art. 28 RPIB y, por lo que se refiere a las iniciativas de proposiciones no de ley, de lo establecido en el art. 181 RPIB, que determina que podrán ser presentadas por los grupos parlamentarios proposiciones no de ley a través de las cuales formulen propuestas de resolución a la Cámara. Por tanto, la legitimación de estas iniciativas es reconocida a los grupos y no a los diputados individualmente considerados. Si bien en la STC 159/2019 el Tribunal apreció una vulneración del derecho al ejercicio del cargo parlamentario al denegar la mesa del Parlamento de Extremadura que los diputados no adscritos pudieran presentar proposiciones no de ley, en cuanto que dicha iniciativa solo correspondía a los grupos parlamentarios, lo cierto es que el art. 217 del Reglamento del Parlamento de Extremadura reconoce en abstracto a los diputados individuales el derecho a presentar proposiciones no de ley, supuesto que no concurre en el caso que nos ocupa. Por tanto, el acuerdo de la mesa está correctamente fundado en la previsión del reglamento, que no es restrictiva del derecho invocado. En relación con el acuerdo con registro general de salida núm. 6166-2021, denegatorio de la presentación de una proposición de ley, su fundamentación se basa en la previsión del reglamento que atribuye a los diputados, individualmente considerados, el derecho a presentar proposiciones de ley siempre que la iniciativa se presente al menos con la firma de cinco diputados. La mesa se ha limitado, en el marco de sus competencias de calificación y admisión, a ejercer el control formal de la iniciativa y comprobar que no reúne los requisitos que exige el reglamento, por lo que debe considerarse que el acuerdo de inadmisión de la proposición de ley está correctamente fundado y motivado.</w:t>
      </w:r>
    </w:p>
    <w:p w14:paraId="5D754AAA" w14:textId="77777777" w:rsidR="00A8138F" w:rsidRDefault="00A8138F" w:rsidP="00A8138F">
      <w:pPr>
        <w:pStyle w:val="TextoNormal"/>
      </w:pPr>
    </w:p>
    <w:p w14:paraId="6B1F8C15" w14:textId="77777777" w:rsidR="00A8138F" w:rsidRDefault="00A8138F" w:rsidP="00A8138F">
      <w:pPr>
        <w:pStyle w:val="TextoNormal"/>
      </w:pPr>
      <w:r>
        <w:t xml:space="preserve">(iv) En materia de derechos de contenido económico o material, se impugna el acuerdo con registro general de salida num. 6237-2021 manifestándose una queja relativa a la improcedencia de reconsideración, que la Fiscalía descarta porque no se ha justificado en la </w:t>
      </w:r>
      <w:r>
        <w:lastRenderedPageBreak/>
        <w:t>demanda que la aplicación de los arts. 32.1.1 y 32.2 RPIB por la mesa sea errónea o arbitraria y porque el propio recurrente no mantiene una conducta uniforme a la hora de solicitar la reconsideración de los acuerdos que impugna en amparo.</w:t>
      </w:r>
    </w:p>
    <w:p w14:paraId="2F0261A1" w14:textId="77777777" w:rsidR="00A8138F" w:rsidRDefault="00A8138F" w:rsidP="00A8138F">
      <w:pPr>
        <w:pStyle w:val="TextoNormal"/>
      </w:pPr>
    </w:p>
    <w:p w14:paraId="30A0C4EB" w14:textId="5F4EE06F" w:rsidR="00A8138F" w:rsidRDefault="00A8138F" w:rsidP="00A8138F">
      <w:pPr>
        <w:pStyle w:val="TextoNormal"/>
      </w:pPr>
      <w:r>
        <w:t>En segundo término, la Fiscalía sostiene que no puede considerarse discriminatorio no aplicar al recurrente la norma reglamentaria relativa a los medios económicos y financieros que corresponden a los grupos parlamentarios en cuanto tales. Además, el recurrente no acredita haber solicitado en sus escritos a la mesa las dietas o indemnizaciones que contempla el presupuesto de la Cámara, de modo que no acredita que le hubieran sido denegadas de manera arbitraria. Y, en cualquier caso, la Fiscalía rechaza que las limitaciones contempladas en la norma reglamentaria sobre los derechos económicos del cargo representativo pudieran causar una vulneración del derecho al ejercicio del cargo parlamentario (con cita de las SSTC 246/2012, FJ 7, y 159/2019, FJ 6). Por último, en relación con la no adjudicación de despacho, el Ministerio Fiscal sostiene que la concreta asignación de medios materiales no integra el núcleo esencial de la función representativa por lo que una posible limitación o restricción de los medios materiales no puede ser considerada lesiva del derecho fundamental del art. 23.2 CE. Así, en relación con la no asignación de un despacho individual, no se ha acreditado que ello haya impedido al recurrente el desempeño de las facultades que integran el núcleo esencial de la función representativa conectada con las funciones legislativas o control de Gobierno, de acuerdo con la matización que hace el Tribunal Constitucional en las SSTC 69/2021, de 18 de marzo, y 137/2021, de 29 de junio, sobre la denegación de medios materiales a los diputados.</w:t>
      </w:r>
    </w:p>
    <w:p w14:paraId="08DD6223" w14:textId="77777777" w:rsidR="00A8138F" w:rsidRDefault="00A8138F" w:rsidP="00A8138F">
      <w:pPr>
        <w:pStyle w:val="TextoNormal"/>
      </w:pPr>
    </w:p>
    <w:p w14:paraId="1E5814FE" w14:textId="5085A839" w:rsidR="00A8138F" w:rsidRDefault="00A8138F" w:rsidP="00A8138F">
      <w:pPr>
        <w:pStyle w:val="TextoNormal"/>
      </w:pPr>
      <w:r w:rsidRPr="00A8138F">
        <w:rPr>
          <w:rStyle w:val="NumeroAFNegritaCaracter"/>
        </w:rPr>
        <w:t>10</w:t>
      </w:r>
      <w:r>
        <w:t>. Por diligencia de ordenación del secretario de justicia de la Sección Cuarta (Sala Segunda) de 18 de enero de 2023, en virtud del acuerdo adoptado por el Pleno del Tribunal Constitucional el día 17 de enero de 2023, publicado en el “BOE” de 19 de enero, se pone en conocimiento de las partes y del Ministerio Fiscal que el presente recurso de amparo ha sido turnado a la Sala Segunda de este tribunal.</w:t>
      </w:r>
    </w:p>
    <w:p w14:paraId="60725D98" w14:textId="77777777" w:rsidR="00A8138F" w:rsidRDefault="00A8138F" w:rsidP="00A8138F">
      <w:pPr>
        <w:pStyle w:val="TextoNormal"/>
      </w:pPr>
    </w:p>
    <w:p w14:paraId="4E37BDA7" w14:textId="4B738F80" w:rsidR="00A8138F" w:rsidRDefault="00A8138F" w:rsidP="00A8138F">
      <w:pPr>
        <w:pStyle w:val="TextoNormal"/>
      </w:pPr>
      <w:r w:rsidRPr="00A8138F">
        <w:rPr>
          <w:rStyle w:val="NumeroAFNegritaCaracter"/>
        </w:rPr>
        <w:t>11</w:t>
      </w:r>
      <w:r>
        <w:t>. Por providencia de 23 de enero de 2025, se señaló para deliberación y votación de la presente sentencia el día 27 del mismo mes y año.</w:t>
      </w:r>
    </w:p>
    <w:p w14:paraId="780F9532" w14:textId="77777777" w:rsidR="00A8138F" w:rsidRDefault="00A8138F" w:rsidP="00A8138F">
      <w:pPr>
        <w:pStyle w:val="TextoNormal"/>
      </w:pPr>
    </w:p>
    <w:p w14:paraId="68DB224C" w14:textId="77777777" w:rsidR="00A8138F" w:rsidRDefault="00A8138F" w:rsidP="00A8138F">
      <w:pPr>
        <w:pStyle w:val="TextoNormalNegritaCentrado"/>
        <w:keepNext/>
      </w:pPr>
      <w:r>
        <w:t>II. Fundamentos jurídicos</w:t>
      </w:r>
    </w:p>
    <w:p w14:paraId="697E2D59" w14:textId="289EA2E0" w:rsidR="00A8138F" w:rsidRDefault="00A8138F" w:rsidP="00A8138F">
      <w:pPr>
        <w:pStyle w:val="TextoNormalNegritaCentrado"/>
        <w:keepNext/>
      </w:pPr>
    </w:p>
    <w:p w14:paraId="4F46B2A4"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425C663A" w14:textId="77777777" w:rsidR="00A8138F" w:rsidRDefault="00A8138F" w:rsidP="00A8138F">
      <w:pPr>
        <w:pStyle w:val="TextoNormal"/>
      </w:pPr>
    </w:p>
    <w:p w14:paraId="37E6F387" w14:textId="77777777" w:rsidR="00A8138F" w:rsidRDefault="00A8138F" w:rsidP="00A8138F">
      <w:pPr>
        <w:pStyle w:val="TextoNormal"/>
      </w:pPr>
      <w:r>
        <w:t xml:space="preserve">De los antecedentes expuestos resulta que el recurrente identifica en el encabezado y en el </w:t>
      </w:r>
      <w:r w:rsidRPr="00A8138F">
        <w:rPr>
          <w:i/>
        </w:rPr>
        <w:t>petitum</w:t>
      </w:r>
      <w:r>
        <w:t xml:space="preserve"> de su demanda, como objeto del presente recurso de amparo parlamentario, varios acuerdos adoptados por la mesa del Parlamento de las Illes Balears, en relación con las siguientes cuestiones:</w:t>
      </w:r>
    </w:p>
    <w:p w14:paraId="1284D7AA" w14:textId="77777777" w:rsidR="00A8138F" w:rsidRDefault="00A8138F" w:rsidP="00A8138F">
      <w:pPr>
        <w:pStyle w:val="TextoNormal"/>
      </w:pPr>
    </w:p>
    <w:p w14:paraId="44CE8580" w14:textId="77777777" w:rsidR="00A8138F" w:rsidRDefault="00A8138F" w:rsidP="00A8138F">
      <w:pPr>
        <w:pStyle w:val="TextoNormal"/>
      </w:pPr>
      <w:r>
        <w:t>a) La participación del diputado no adscrito en el Pleno y las comisiones, cuestión a la que se refieren las resoluciones con número de registro general de salida 5028-2021, de 14 de octubre, y 5327-2021, de 27 de octubre.</w:t>
      </w:r>
    </w:p>
    <w:p w14:paraId="70D3E9CF" w14:textId="77777777" w:rsidR="00A8138F" w:rsidRDefault="00A8138F" w:rsidP="00A8138F">
      <w:pPr>
        <w:pStyle w:val="TextoNormal"/>
      </w:pPr>
    </w:p>
    <w:p w14:paraId="610B9C83" w14:textId="77777777" w:rsidR="00A8138F" w:rsidRDefault="00A8138F" w:rsidP="00A8138F">
      <w:pPr>
        <w:pStyle w:val="TextoNormal"/>
      </w:pPr>
      <w:r>
        <w:t>b) El planteamiento de enmiendas por parte del diputado no adscrito, cuestión tratada en la resolución con número de registro general de salida 5029-2021, de 14 de octubre.</w:t>
      </w:r>
    </w:p>
    <w:p w14:paraId="71C009C2" w14:textId="77777777" w:rsidR="00A8138F" w:rsidRDefault="00A8138F" w:rsidP="00A8138F">
      <w:pPr>
        <w:pStyle w:val="TextoNormal"/>
      </w:pPr>
    </w:p>
    <w:p w14:paraId="22AC2BF4" w14:textId="77777777" w:rsidR="00A8138F" w:rsidRDefault="00A8138F" w:rsidP="00A8138F">
      <w:pPr>
        <w:pStyle w:val="TextoNormal"/>
      </w:pPr>
      <w:r>
        <w:t>c) Las facultades del diputado no adscrito respecto de la presentación de proposiciones de ley, cuestión a la que se refiere la resolución con número de registro general de salida 6166-2021, de 9 de diciembre, o de proposiciones no de ley, cuestión a la que aluden las resoluciones con número de registro general de salida 6026-2021, de 24 de noviembre, y 6167-2021, de 9 de diciembre.</w:t>
      </w:r>
    </w:p>
    <w:p w14:paraId="39F559CA" w14:textId="77777777" w:rsidR="00A8138F" w:rsidRDefault="00A8138F" w:rsidP="00A8138F">
      <w:pPr>
        <w:pStyle w:val="TextoNormal"/>
      </w:pPr>
    </w:p>
    <w:p w14:paraId="76169CD0" w14:textId="77777777" w:rsidR="00A8138F" w:rsidRDefault="00A8138F" w:rsidP="00A8138F">
      <w:pPr>
        <w:pStyle w:val="TextoNormal"/>
      </w:pPr>
      <w:r>
        <w:t>d) La puesta a disposición del diputado no adscrito de medios materiales y económicos para el desempeño de su función, cuestión a la que aluden las resoluciones con número de registro general de salida 5325-2021 y 5333-2021, de 27 de octubre; 5923-2021, de 24 de noviembre; y 6237-2021, de 15 de diciembre.</w:t>
      </w:r>
    </w:p>
    <w:p w14:paraId="52AA2CCC" w14:textId="77777777" w:rsidR="00A8138F" w:rsidRDefault="00A8138F" w:rsidP="00A8138F">
      <w:pPr>
        <w:pStyle w:val="TextoNormal"/>
      </w:pPr>
    </w:p>
    <w:p w14:paraId="34B4F231" w14:textId="77777777" w:rsidR="00A8138F" w:rsidRDefault="00A8138F" w:rsidP="00A8138F">
      <w:pPr>
        <w:pStyle w:val="TextoNormal"/>
      </w:pPr>
      <w:r>
        <w:t>e) Y la definición del contenido de las sesiones plenarias, a la que alude la resolución con número de registro general de salida 5333-2021, de 27 de octubre, así como el acceso a las carpetas de seguimiento de sesiones plenarias, tratada en la resolución con número de registro general de salida 5326-2021, también de 27 de octubre.</w:t>
      </w:r>
    </w:p>
    <w:p w14:paraId="7754F60F" w14:textId="77777777" w:rsidR="00A8138F" w:rsidRDefault="00A8138F" w:rsidP="00A8138F">
      <w:pPr>
        <w:pStyle w:val="TextoNormal"/>
      </w:pPr>
    </w:p>
    <w:p w14:paraId="4DC8E7A6" w14:textId="43AB704F" w:rsidR="00A8138F" w:rsidRDefault="00A8138F" w:rsidP="00A8138F">
      <w:pPr>
        <w:pStyle w:val="TextoNormal"/>
      </w:pPr>
      <w:r>
        <w:t xml:space="preserve">En todos los casos el señor Benalal Bendrihem, que ostenta la condición de diputado no adscrito desde el momento en que fue expulsado de su grupo parlamentario, tal y como dispone el art. 27.1 b) del Reglamento del Parlamento de las Illes Balears, denuncia la vulneración del derecho al ejercicio de la función representativa </w:t>
      </w:r>
      <w:r w:rsidRPr="00A8138F">
        <w:rPr>
          <w:i/>
        </w:rPr>
        <w:t>ex</w:t>
      </w:r>
      <w:r>
        <w:t xml:space="preserve"> art. 23.2 CE en igualdad de condiciones con los diputados adscritos a un grupo parlamentario, planteando adicionalmente la incompatibilidad entre la figura misma de diputado no adscrito y los arts. 23.2 y 14 CE. El argumento relativo a dicha incompatibilidad se traslada a la solicitud de que el Tribunal plantee una cuestión interna de inconstitucionalidad en relación con los arts. 27.1 b) y 28.1 RPIB, considerados ambos contrarios al art. 23.2 CE. Por su parte, tanto la representación procesal del Parlamento de las Illes Balears como la Fiscalía interesan la desestimación total de las pretensiones de la demanda de amparo, formulando adicionalmente algunas consideraciones sobre la especial trascendencia constitucional y sobre la delimitación del objeto del recurso, a las que haremos inmediata referencia.</w:t>
      </w:r>
    </w:p>
    <w:p w14:paraId="5DEF3D8C" w14:textId="77777777" w:rsidR="00A8138F" w:rsidRDefault="00A8138F" w:rsidP="00A8138F">
      <w:pPr>
        <w:pStyle w:val="TextoNormal"/>
      </w:pPr>
    </w:p>
    <w:p w14:paraId="27869048" w14:textId="77777777" w:rsidR="00A8138F" w:rsidRDefault="00A8138F" w:rsidP="00A8138F">
      <w:pPr>
        <w:pStyle w:val="TextoNormal"/>
      </w:pPr>
      <w:r w:rsidRPr="00A8138F">
        <w:rPr>
          <w:rStyle w:val="NumeroAFNegritaCaracter"/>
        </w:rPr>
        <w:t>2</w:t>
      </w:r>
      <w:r>
        <w:t xml:space="preserve">. </w:t>
      </w:r>
      <w:r w:rsidRPr="00A8138F">
        <w:rPr>
          <w:i/>
        </w:rPr>
        <w:t>Delimitación del objeto del recurso de amparo</w:t>
      </w:r>
    </w:p>
    <w:p w14:paraId="45AD526A" w14:textId="77777777" w:rsidR="00A8138F" w:rsidRDefault="00A8138F" w:rsidP="00A8138F">
      <w:pPr>
        <w:pStyle w:val="TextoNormal"/>
      </w:pPr>
    </w:p>
    <w:p w14:paraId="35A5B72E" w14:textId="77777777" w:rsidR="00A8138F" w:rsidRDefault="00A8138F" w:rsidP="00A8138F">
      <w:pPr>
        <w:pStyle w:val="TextoNormal"/>
      </w:pPr>
      <w:r>
        <w:t>En numerosas ocasiones el Tribunal ha tenido oportunidad de declarar que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208/2001, de 22 de octubre, FJ 2, o 69/2003, de 9 de abril, FJ 2). En este caso, el análisis de la existencia de óbices procesales no pretende resolver sobre la inadmisión a trámite de la totalidad del recurso de amparo, pero sí busca centrar mejor su objeto, excluyendo del pronunciamiento de fondo del Tribunal aquellas denuncias o aquellas resoluciones parlamentarias impugnadas respecto de las que concurra alguna barrera de procedibilidad.</w:t>
      </w:r>
    </w:p>
    <w:p w14:paraId="5E9754F4" w14:textId="77777777" w:rsidR="00A8138F" w:rsidRDefault="00A8138F" w:rsidP="00A8138F">
      <w:pPr>
        <w:pStyle w:val="TextoNormal"/>
      </w:pPr>
    </w:p>
    <w:p w14:paraId="1E970D9F" w14:textId="77777777" w:rsidR="00A8138F" w:rsidRDefault="00A8138F" w:rsidP="00A8138F">
      <w:pPr>
        <w:pStyle w:val="TextoNormal"/>
      </w:pPr>
      <w:r>
        <w:t>Además, la delimitación del objeto de pronunciamiento en este recurso de amparo es fundamental para dar respuesta a las pretensiones del recurrente. Tal delimitación exige definir adecuadamente lo siguiente:</w:t>
      </w:r>
    </w:p>
    <w:p w14:paraId="1FFBDCCF" w14:textId="77777777" w:rsidR="00A8138F" w:rsidRDefault="00A8138F" w:rsidP="00A8138F">
      <w:pPr>
        <w:pStyle w:val="TextoNormal"/>
      </w:pPr>
    </w:p>
    <w:p w14:paraId="2D069A1B" w14:textId="77777777" w:rsidR="00A8138F" w:rsidRDefault="00A8138F" w:rsidP="00A8138F">
      <w:pPr>
        <w:pStyle w:val="TextoNormal"/>
      </w:pPr>
      <w:r>
        <w:lastRenderedPageBreak/>
        <w:t xml:space="preserve">a) </w:t>
      </w:r>
      <w:r w:rsidRPr="00A8138F">
        <w:rPr>
          <w:i/>
        </w:rPr>
        <w:t>Los acuerdos y resoluciones cuya impugnación procede, al estar en plazo el recurso de amparo</w:t>
      </w:r>
    </w:p>
    <w:p w14:paraId="11B08259" w14:textId="77777777" w:rsidR="00A8138F" w:rsidRDefault="00A8138F" w:rsidP="00A8138F">
      <w:pPr>
        <w:pStyle w:val="TextoNormal"/>
      </w:pPr>
    </w:p>
    <w:p w14:paraId="63D0DC3E" w14:textId="77777777" w:rsidR="00A8138F" w:rsidRDefault="00A8138F" w:rsidP="00A8138F">
      <w:pPr>
        <w:pStyle w:val="TextoNormal"/>
      </w:pPr>
      <w:r>
        <w:t>Aunque el Ministerio Fiscal reconoce que no se impugna por el recurrente en amparo el acuerdo de la mesa de 13 de septiembre de 2021, considera que incurre en el óbice de extemporaneidad.</w:t>
      </w:r>
    </w:p>
    <w:p w14:paraId="73732B1A" w14:textId="77777777" w:rsidR="00A8138F" w:rsidRDefault="00A8138F" w:rsidP="00A8138F">
      <w:pPr>
        <w:pStyle w:val="TextoNormal"/>
      </w:pPr>
    </w:p>
    <w:p w14:paraId="2FCF4FF4" w14:textId="77777777" w:rsidR="00A8138F" w:rsidRDefault="00A8138F" w:rsidP="00A8138F">
      <w:pPr>
        <w:pStyle w:val="TextoNormal"/>
      </w:pPr>
      <w:r>
        <w:t>Ciertamente en cuanto tal acuerdo, notificado el mismo día, devino firme, el óbice no puede ser tenido en consideración.</w:t>
      </w:r>
    </w:p>
    <w:p w14:paraId="59C16B09" w14:textId="77777777" w:rsidR="00A8138F" w:rsidRDefault="00A8138F" w:rsidP="00A8138F">
      <w:pPr>
        <w:pStyle w:val="TextoNormal"/>
      </w:pPr>
    </w:p>
    <w:p w14:paraId="2728ED65" w14:textId="77777777" w:rsidR="00A8138F" w:rsidRDefault="00A8138F" w:rsidP="00A8138F">
      <w:pPr>
        <w:pStyle w:val="TextoNormal"/>
      </w:pPr>
      <w:r>
        <w:t xml:space="preserve">b) </w:t>
      </w:r>
      <w:r w:rsidRPr="00A8138F">
        <w:rPr>
          <w:i/>
        </w:rPr>
        <w:t>Los acuerdos y resoluciones respecto de los que no se ha levantado la carga alegatoria, a pesar de estar contenidos en el encabezamiento y el</w:t>
      </w:r>
      <w:r>
        <w:t xml:space="preserve"> petitum </w:t>
      </w:r>
      <w:r w:rsidRPr="00A8138F">
        <w:rPr>
          <w:i/>
        </w:rPr>
        <w:t>de la demanda de amparo</w:t>
      </w:r>
    </w:p>
    <w:p w14:paraId="63AC8123" w14:textId="77777777" w:rsidR="00A8138F" w:rsidRDefault="00A8138F" w:rsidP="00A8138F">
      <w:pPr>
        <w:pStyle w:val="TextoNormal"/>
      </w:pPr>
    </w:p>
    <w:p w14:paraId="5E1E392D" w14:textId="77777777" w:rsidR="00A8138F" w:rsidRDefault="00A8138F" w:rsidP="00A8138F">
      <w:pPr>
        <w:pStyle w:val="TextoNormal"/>
      </w:pPr>
      <w:r>
        <w:t>La jurisprudencia de este tribunal es constante cuando exige a quien recurre en amparo colaborar con la jurisdicción constitucional, tanto en el desarrollo argumental de las causas de especial trascendencia constitucional, como en la exposición de las razones que sustentan las quejas relativas a la vulneración de los derechos fundamentales invocados en la demanda de amparo. La STC 66/2009, de 9 de marzo, por citar una de las muchas que se refieren a la cuestión, recuerda que es posible dejar fuera del enjuiciamiento de amparo, “las alegaciones que se formulan en la demanda de amparo carentes del adecuado desarrollo argumental para que puedan ser examinadas por este tribunal (la simple cita de los derechos…), en cuanto no corresponde a este tribunal la reconstrucción de oficio de las demandas de amparo” (STC 66/2009, FJ 2, y jurisprudencia allí citada). Esta exigencia se vincula al reconocimiento de que es “una carga de quien impetra el amparo constitucional, no solamente la de abrir la vía para que este tribunal pueda pronunciarse, sino también la de proporcionar la fundamentación fáctica y jurídica que razonablemente es de esperar y que se integra en el deber de colaborar con la justicia del Tribunal Constitucional” (STC 5/2006, de 16 de enero, FJ 4, y jurisprudencia allí citada).</w:t>
      </w:r>
    </w:p>
    <w:p w14:paraId="18F92070" w14:textId="77777777" w:rsidR="00A8138F" w:rsidRDefault="00A8138F" w:rsidP="00A8138F">
      <w:pPr>
        <w:pStyle w:val="TextoNormal"/>
      </w:pPr>
    </w:p>
    <w:p w14:paraId="57D9ABD9" w14:textId="77777777" w:rsidR="00A8138F" w:rsidRDefault="00A8138F" w:rsidP="00A8138F">
      <w:pPr>
        <w:pStyle w:val="TextoNormal"/>
      </w:pPr>
      <w:r>
        <w:t>Pues bien, teniendo presente la exigencia de levantar la carga alegatoria que se requiere del recurrente en amparo, este tribunal entiende que la misma no ha sido atendida en relación con los siguientes acuerdos:</w:t>
      </w:r>
    </w:p>
    <w:p w14:paraId="7CBE32FC" w14:textId="77777777" w:rsidR="00A8138F" w:rsidRDefault="00A8138F" w:rsidP="00A8138F">
      <w:pPr>
        <w:pStyle w:val="TextoNormal"/>
      </w:pPr>
    </w:p>
    <w:p w14:paraId="7AB1A596" w14:textId="77777777" w:rsidR="00A8138F" w:rsidRDefault="00A8138F" w:rsidP="00A8138F">
      <w:pPr>
        <w:pStyle w:val="TextoNormal"/>
      </w:pPr>
      <w:r>
        <w:t>(i) Registro general de salida núm. 5029-2021, de 14 de octubre, sobre la facultad para defender enmiendas parciales en los textos legislativos. Si bien en el escrito de demanda aparecen varios párrafos de alegaciones en relación, nominalmente, con este acuerdo, lo cierto es que los argumentos desarrollados en este apartado de la demanda se refieren a la participación de los diputados no adscritos en el Pleno y las comisiones, cuestión esta a la que se refiere el acuerdo con registro general de salida núm. 5028-2021, también de 14 de octubre. Entiende el Tribunal que el recurrente ha cometido un error de identificación del acuerdo y que levanta la carga alegatoria respecto del acuerdo con registro general de salida núm. 5028-2021 y no respecto del acuerdo con registro general de salida núm. 5029-2021.</w:t>
      </w:r>
    </w:p>
    <w:p w14:paraId="5169E94F" w14:textId="77777777" w:rsidR="00A8138F" w:rsidRDefault="00A8138F" w:rsidP="00A8138F">
      <w:pPr>
        <w:pStyle w:val="TextoNormal"/>
      </w:pPr>
    </w:p>
    <w:p w14:paraId="4D198C3C" w14:textId="77777777" w:rsidR="00A8138F" w:rsidRDefault="00A8138F" w:rsidP="00A8138F">
      <w:pPr>
        <w:pStyle w:val="TextoNormal"/>
      </w:pPr>
      <w:r>
        <w:t xml:space="preserve">(ii) Registro general de salida núm. 5325-2021, de 27 de octubre, sobre medios materiales y económicos reconocidos al recurrente en amparo, acuerdo en el que se decide que “las percepciones económicas que percibirá, de acuerdo con el art. 28.4 RPIB, son las de los diputados y diputadas individualmente considerados, con efectos desde el día 13 de septiembre” y, adicionalmente, en el que la mesa acuerda habilitar un espacio de trabajo para </w:t>
      </w:r>
      <w:r>
        <w:lastRenderedPageBreak/>
        <w:t>el solicitante en la sala de descanso del tercer piso del edificio Ramon Llull. Sobre la cuestión relativa al despacho se dictarán resoluciones sucesivas, pero respecto de la mera atribución de medios económicos o percepciones económicas, a que se refieren los acuerdos con registro general de salida núm. 5923-2021, de 24 de noviembre, y 6237-2021, de 15 de diciembre, no se levanta la carga alegatoria.</w:t>
      </w:r>
    </w:p>
    <w:p w14:paraId="0C4C04A7" w14:textId="77777777" w:rsidR="00A8138F" w:rsidRDefault="00A8138F" w:rsidP="00A8138F">
      <w:pPr>
        <w:pStyle w:val="TextoNormal"/>
      </w:pPr>
    </w:p>
    <w:p w14:paraId="563699E5" w14:textId="77777777" w:rsidR="00A8138F" w:rsidRDefault="00A8138F" w:rsidP="00A8138F">
      <w:pPr>
        <w:pStyle w:val="TextoNormal"/>
      </w:pPr>
      <w:r>
        <w:t>(iii) Registro general de salida núm. 5326-2021, de 27 de octubre, relativo a la entrega de las copias de las carpetas de seguimiento de las sesiones plenarias.</w:t>
      </w:r>
    </w:p>
    <w:p w14:paraId="22A221DD" w14:textId="77777777" w:rsidR="00A8138F" w:rsidRDefault="00A8138F" w:rsidP="00A8138F">
      <w:pPr>
        <w:pStyle w:val="TextoNormal"/>
      </w:pPr>
    </w:p>
    <w:p w14:paraId="633FF7FA" w14:textId="77777777" w:rsidR="00A8138F" w:rsidRDefault="00A8138F" w:rsidP="00A8138F">
      <w:pPr>
        <w:pStyle w:val="TextoNormal"/>
      </w:pPr>
      <w:r>
        <w:t>(iv) Registro general de salida núm. 5333/2021, de 27 de octubre, en parte referido a los medios materiales y económicos reconocidos al recurrente y en parte al contenido de las sesiones plenarias, cuestión respecto de la que no se formula ninguna alegación autónoma.</w:t>
      </w:r>
    </w:p>
    <w:p w14:paraId="65F20C45" w14:textId="77777777" w:rsidR="00A8138F" w:rsidRDefault="00A8138F" w:rsidP="00A8138F">
      <w:pPr>
        <w:pStyle w:val="TextoNormal"/>
      </w:pPr>
    </w:p>
    <w:p w14:paraId="55B29E91" w14:textId="77777777" w:rsidR="00A8138F" w:rsidRDefault="00A8138F" w:rsidP="00A8138F">
      <w:pPr>
        <w:pStyle w:val="TextoNormal"/>
      </w:pPr>
      <w:r>
        <w:t>(v) Registro general de salida núm. 6026-2021, de 24 de noviembre, sobre la solicitud de reconsideración de la inadmisión de la proposición no de ley acerca de la convergencia entre el sector digital y el medio ambiente.</w:t>
      </w:r>
    </w:p>
    <w:p w14:paraId="2175982C" w14:textId="77777777" w:rsidR="00A8138F" w:rsidRDefault="00A8138F" w:rsidP="00A8138F">
      <w:pPr>
        <w:pStyle w:val="TextoNormal"/>
      </w:pPr>
    </w:p>
    <w:p w14:paraId="7D3A7748" w14:textId="77777777" w:rsidR="00A8138F" w:rsidRDefault="00A8138F" w:rsidP="00A8138F">
      <w:pPr>
        <w:pStyle w:val="TextoNormal"/>
      </w:pPr>
      <w:r>
        <w:t>Adicionalmente se constata que, a pesar de denunciarse nominalmente la lesión del art. 18 CE en un pasaje del escrito de demanda, no se alega absolutamente nada en relación con la eventual lesión de este derecho constitucional. En síntesis, y por las razones expuestas relativas al inadecuado levantamiento de la carga alegatoria, quedarían excluidas del objeto del pronunciamiento de fondo la invocación del art. 18 CE y las impugnaciones de los acuerdos con registro general de salida núm. 5029-2021, 5325-2021, 5326-2021, 5333-2021 y 6026-2021.</w:t>
      </w:r>
    </w:p>
    <w:p w14:paraId="3D4FF0B2" w14:textId="77777777" w:rsidR="00A8138F" w:rsidRDefault="00A8138F" w:rsidP="00A8138F">
      <w:pPr>
        <w:pStyle w:val="TextoNormal"/>
      </w:pPr>
    </w:p>
    <w:p w14:paraId="57619D61" w14:textId="77777777" w:rsidR="00A8138F" w:rsidRDefault="00A8138F" w:rsidP="00A8138F">
      <w:pPr>
        <w:pStyle w:val="TextoNormal"/>
      </w:pPr>
      <w:r>
        <w:t xml:space="preserve">c) </w:t>
      </w:r>
      <w:r w:rsidRPr="00A8138F">
        <w:rPr>
          <w:i/>
        </w:rPr>
        <w:t>Las resoluciones a las que queda limitado el presente pronunciamiento</w:t>
      </w:r>
    </w:p>
    <w:p w14:paraId="57F0E284" w14:textId="77777777" w:rsidR="00A8138F" w:rsidRDefault="00A8138F" w:rsidP="00A8138F">
      <w:pPr>
        <w:pStyle w:val="TextoNormal"/>
      </w:pPr>
    </w:p>
    <w:p w14:paraId="63C8DFA8" w14:textId="786F08DC" w:rsidR="00A8138F" w:rsidRDefault="00A8138F" w:rsidP="00A8138F">
      <w:pPr>
        <w:pStyle w:val="TextoNormal"/>
      </w:pPr>
      <w:r>
        <w:t>Teniendo presentes las consideraciones previas, el objeto del pronunciamiento de amparo queda limitado a los acuerdos y cuestiones sustantivas siguientes: (i) en relación con la participación del diputado no adscrito en el Pleno y las comisiones, se atenderá a la impugnación de los acuerdos con registro general de salida núm. 5028-2021, de 14 de octubre, y 5327-2021, de 27 de octubre; (ii) respecto de las facultades del diputado no adscrito en relación con la presentación de proposiciones de ley, se responderá a la impugnación del acuerdo con registro general de salida núm. 6166-2021, de 9 de diciembre, y en relación con las proposiciones no de ley, se atenderá a las alegaciones referidas al acuerdo con registro general de salida núm. 6167-2021, de la misma fecha que el anterior; (iii) por último, y por lo que hace a la puesta a disposición del diputado no adscrito de medios materiales y económicos para el desempeño de su función, se responderá a las quejas relativas a las resoluciones con registro general de salida núm. 5923-2021, de 24 de noviembre, y 6237-2021, de 15 de diciembre.</w:t>
      </w:r>
    </w:p>
    <w:p w14:paraId="49B90AB1" w14:textId="77777777" w:rsidR="00A8138F" w:rsidRDefault="00A8138F" w:rsidP="00A8138F">
      <w:pPr>
        <w:pStyle w:val="TextoNormal"/>
      </w:pPr>
    </w:p>
    <w:p w14:paraId="6C043677" w14:textId="77777777" w:rsidR="00A8138F" w:rsidRDefault="00A8138F" w:rsidP="00A8138F">
      <w:pPr>
        <w:pStyle w:val="TextoNormal"/>
      </w:pPr>
      <w:r w:rsidRPr="00A8138F">
        <w:rPr>
          <w:rStyle w:val="NumeroAFNegritaCaracter"/>
        </w:rPr>
        <w:t>3</w:t>
      </w:r>
      <w:r>
        <w:t xml:space="preserve">. </w:t>
      </w:r>
      <w:r w:rsidRPr="00A8138F">
        <w:rPr>
          <w:i/>
        </w:rPr>
        <w:t>Sobre la especial trascendencia constitucional</w:t>
      </w:r>
    </w:p>
    <w:p w14:paraId="3E5D582C" w14:textId="77777777" w:rsidR="00A8138F" w:rsidRDefault="00A8138F" w:rsidP="00A8138F">
      <w:pPr>
        <w:pStyle w:val="TextoNormal"/>
      </w:pPr>
    </w:p>
    <w:p w14:paraId="55033308" w14:textId="77777777" w:rsidR="00A8138F" w:rsidRDefault="00A8138F" w:rsidP="00A8138F">
      <w:pPr>
        <w:pStyle w:val="TextoNormal"/>
      </w:pPr>
      <w:r>
        <w:t xml:space="preserve">Por providencia de 4 de abril de 2022, la Sala Primera del Tribunal Constitucional acordó la admisión a trámite del recurso, apreciando que concurre una especial trascendencia constitucional (art. 50.1 LOTC) por cuanto el asunto trasciende del caso concreto, toda vez que pudiera tener unas consecuencias políticas generales [STC 155/2009, FJ 2 g)]. La providencia de admisión no alude a la concurrencia de otras causas de especial trascendencia, como </w:t>
      </w:r>
      <w:r>
        <w:lastRenderedPageBreak/>
        <w:t>que el recurso “plantee un problema o una faceta de un derecho fundamental susceptible de amparo sobre el que no haya doctrina del Tribunal Constitucional” [STC 155/2009, FJ 2 a)], por lo tanto, la alegación de la letrada del Parlamento de las Illes Balears centrada en negar especial trascendencia al asunto sobre la base de la existencia de base jurisprudencial suficiente para su solución, invocando la STC 159/2019, no tiene razón de ser en relación con la causa de especial trascendencia efectivamente apreciada por el Tribunal.</w:t>
      </w:r>
    </w:p>
    <w:p w14:paraId="30B6DB38" w14:textId="77777777" w:rsidR="00A8138F" w:rsidRDefault="00A8138F" w:rsidP="00A8138F">
      <w:pPr>
        <w:pStyle w:val="TextoNormal"/>
      </w:pPr>
    </w:p>
    <w:p w14:paraId="4387A50E" w14:textId="417CDFB6" w:rsidR="00A8138F" w:rsidRDefault="00A8138F" w:rsidP="00A8138F">
      <w:pPr>
        <w:pStyle w:val="TextoNormal"/>
      </w:pPr>
      <w:r>
        <w:t>De acuerdo con la jurisprudencia del Tribunal (entre otras muchas las SSTC 10/2018, de 5 de febrero, FJ 2; 46/2018, de 26 de abril, FJ 3; 65/2022, de 31 de mayo, FJ 2; 94/2022, de 12 de julio, FJ 2, y 97/2022, de 12 de julio, FJ 2) “los recursos de amparo regulados en el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w:t>
      </w:r>
    </w:p>
    <w:p w14:paraId="69E1C49D" w14:textId="77777777" w:rsidR="00A8138F" w:rsidRDefault="00A8138F" w:rsidP="00A8138F">
      <w:pPr>
        <w:pStyle w:val="TextoNormal"/>
      </w:pPr>
    </w:p>
    <w:p w14:paraId="612FA280" w14:textId="77777777" w:rsidR="00A8138F" w:rsidRDefault="00A8138F" w:rsidP="00A8138F">
      <w:pPr>
        <w:pStyle w:val="TextoNormal"/>
      </w:pPr>
      <w:r w:rsidRPr="00A8138F">
        <w:rPr>
          <w:rStyle w:val="NumeroAFNegritaCaracter"/>
        </w:rPr>
        <w:t>4</w:t>
      </w:r>
      <w:r>
        <w:t xml:space="preserve">. </w:t>
      </w:r>
      <w:r w:rsidRPr="00A8138F">
        <w:rPr>
          <w:i/>
        </w:rPr>
        <w:t>Jurisprudencia constitucional sobre el alcance de las atribuciones del diputado autonómico no adscrito</w:t>
      </w:r>
    </w:p>
    <w:p w14:paraId="11093175" w14:textId="77777777" w:rsidR="00A8138F" w:rsidRDefault="00A8138F" w:rsidP="00A8138F">
      <w:pPr>
        <w:pStyle w:val="TextoNormal"/>
      </w:pPr>
    </w:p>
    <w:p w14:paraId="2BAD4757" w14:textId="77777777" w:rsidR="00A8138F" w:rsidRDefault="00A8138F" w:rsidP="00A8138F">
      <w:pPr>
        <w:pStyle w:val="TextoNormal"/>
      </w:pPr>
      <w:r>
        <w:t xml:space="preserve">a) </w:t>
      </w:r>
      <w:r w:rsidRPr="00A8138F">
        <w:rPr>
          <w:i/>
        </w:rPr>
        <w:t>Sobre la configuración del derecho de permanencia y desempeño del cargo representativo</w:t>
      </w:r>
    </w:p>
    <w:p w14:paraId="777F18D5" w14:textId="77777777" w:rsidR="00A8138F" w:rsidRDefault="00A8138F" w:rsidP="00A8138F">
      <w:pPr>
        <w:pStyle w:val="TextoNormal"/>
      </w:pPr>
    </w:p>
    <w:p w14:paraId="372CD7A9" w14:textId="77777777" w:rsidR="00A8138F" w:rsidRDefault="00A8138F" w:rsidP="00A8138F">
      <w:pPr>
        <w:pStyle w:val="TextoNormal"/>
      </w:pPr>
      <w:r>
        <w:t>En la STC 159/2019, de 12 de diciembre, el Tribunal Constitucional se pronuncia, por primera vez, sobre la condición de diputado o diputada no adscrito de las personas integrantes de una asamblea autonómica, y sobre las atribuciones de derechos que les corresponden en su condición de no adscritos a ningún grupo parlamentario.</w:t>
      </w:r>
    </w:p>
    <w:p w14:paraId="767B4F85" w14:textId="77777777" w:rsidR="00A8138F" w:rsidRDefault="00A8138F" w:rsidP="00A8138F">
      <w:pPr>
        <w:pStyle w:val="TextoNormal"/>
      </w:pPr>
    </w:p>
    <w:p w14:paraId="5E28F609" w14:textId="77777777" w:rsidR="00A8138F" w:rsidRDefault="00A8138F" w:rsidP="00A8138F">
      <w:pPr>
        <w:pStyle w:val="TextoNormal"/>
      </w:pPr>
      <w:r>
        <w:t xml:space="preserve">Como afirma la letrada del Parlamento en sus alegaciones, y se deriva también de las efectuadas por el Ministerio Fiscal, la proyección de la jurisprudencia contenida en aquel pronunciamiento al supuesto de hecho que ahora nos ocupa, nos permitirá dilucidar si se ha producido o no la vulneración de derechos fundamentales que el recurrente en amparo denuncia en su demanda. Y, a este respecto, la primera consideración pertinente se refiere a la adecuada identificación del derecho fundamental en presencia, que es el contenido en el art. 23.2 CE, y no el genérico derecho a la igualdad del art. 14 CE. En el fundamento jurídico 4 a) de la STC 159/2019 se recuerda, acudiendo a jurisprudencia previa consolidada que “‘el artículo 23.2 CE especifica el derecho a la igualdad en el acceso a las funciones y cargos públicos, siendo este,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 (SSTC 191/2007, de 10 de septiembre, FJ 3, y 39/2008, de 10 de marzo, FJ 4)”, de modo que la “invocación del derecho a la </w:t>
      </w:r>
      <w:r>
        <w:lastRenderedPageBreak/>
        <w:t>igualdad y a no sufrir discriminación (art. 14 CE) debe entenderse subsumida en el derecho garantizado por el art. 23.2 CE”.</w:t>
      </w:r>
    </w:p>
    <w:p w14:paraId="44B1A162" w14:textId="77777777" w:rsidR="00A8138F" w:rsidRDefault="00A8138F" w:rsidP="00A8138F">
      <w:pPr>
        <w:pStyle w:val="TextoNormal"/>
      </w:pPr>
    </w:p>
    <w:p w14:paraId="69FDAF6C" w14:textId="77777777" w:rsidR="00A8138F" w:rsidRDefault="00A8138F" w:rsidP="00A8138F">
      <w:pPr>
        <w:pStyle w:val="TextoNormal"/>
      </w:pPr>
      <w:r>
        <w:t>Identificado el art. 23.2 CE como precepto constitucional de referencia, la vertiente prevalente del mismo cuando se analiza la limitación de facultades, funciones o derechos de un cargo electo es, dentro de la referida al derecho de todos a acceder en condiciones de igualdad a los cargos públicos con los requisitos que señalen las leyes, la que alude a la permanencia en el ejercicio del cargo público y a desempeñarlo de acuerdo con la ley, sin constricciones o perturbaciones ilegítimas. Esta garantía, según recuerda el fundamento jurídico 5 de la STC 159/2019, “adquiere especial relevancia cuando se trata, como sucede aquí, de representantes parlamentarios en defensa del ejercicio de sus funciones, ya que ello comporta defender también el derecho mismo de los ciudadanos a participar a través de la institución de la representación en los asuntos públicos reconocido en el art. 23.1 CE”.</w:t>
      </w:r>
    </w:p>
    <w:p w14:paraId="5D0794E0" w14:textId="77777777" w:rsidR="00A8138F" w:rsidRDefault="00A8138F" w:rsidP="00A8138F">
      <w:pPr>
        <w:pStyle w:val="TextoNormal"/>
      </w:pPr>
    </w:p>
    <w:p w14:paraId="5F41AFEA" w14:textId="77777777" w:rsidR="00A8138F" w:rsidRDefault="00A8138F" w:rsidP="00A8138F">
      <w:pPr>
        <w:pStyle w:val="TextoNormal"/>
      </w:pPr>
      <w:r>
        <w:t xml:space="preserve">Junto a la conexión entre los dos apartados del art. 23 CE, el Tribunal recuerda que el “derecho al desempeño de cargos públicos representativos sin perturbaciones ilegítimas ha sido clasificado entre aquellos cuya configuración se defiere constitucionalmente a la Ley, a cuyos ‘requisitos’ ha de acomodarse su ejercicio” (STC 159/2019, FJ 5, y jurisprudencia allí citada). Siendo un derecho de configuración legal “compete a la Ley, comprensiva […] de los reglamentos parlamentarios, el ordenar los derechos y facultades que corresponden a los distintos cargos y funciones públicos” (STC 161/1988, de 20 de septiembre, FJ 7). Esos derechos y facultades legalmente previstos quedan entonces “integrados en el estatus propio de cada cargo, con la consecuencia de que sus titulares podrán defender, al amparo del artículo 23.2 CE, el </w:t>
      </w:r>
      <w:r w:rsidRPr="00A8138F">
        <w:rPr>
          <w:i/>
        </w:rPr>
        <w:t>ius in officium</w:t>
      </w:r>
      <w:r>
        <w:t xml:space="preserve"> que consideren ilegítimamente constreñido o ignorado por actos de los poderes públicos” (STC 159/2019, FJ 5, y jurisprudencia allí citada). Añade también nuestra doctrina que corresponde “a los órganos parlamentarios la formulación de una exégesis restrictiva de las normas que supongan una limitación de algunos derechos y la motivación de las razones de su aplicación (por todas, STC 115/2019, de 16 de octubre, FJ 4)” (STC 159/2019, FJ 5).</w:t>
      </w:r>
    </w:p>
    <w:p w14:paraId="71A0E4CE" w14:textId="77777777" w:rsidR="00A8138F" w:rsidRDefault="00A8138F" w:rsidP="00A8138F">
      <w:pPr>
        <w:pStyle w:val="TextoNormal"/>
      </w:pPr>
    </w:p>
    <w:p w14:paraId="51529D6C" w14:textId="77777777" w:rsidR="00A8138F" w:rsidRDefault="00A8138F" w:rsidP="00A8138F">
      <w:pPr>
        <w:pStyle w:val="TextoNormal"/>
      </w:pPr>
      <w:r>
        <w:t xml:space="preserve">Ahora bien, en el art. 23.2 CE se contiene el derecho fundamental al respeto de los derechos y facultades del estatuto del parlamentario que, legalmente configurados, pertenezcan al núcleo de la función representativa, como son “principalmente, los que tienen relación directa con el ejercicio de las potestades legislativas y de control de la acción del gobierno”, siendo vulnerado “el artículo 23.2 CE si los propios órganos de las asambleas impiden o coartan su práctica o adoptan decisiones que contraríen la naturaleza de la representación o la igualdad de representantes” (STC 159/2019, FJ 5, y jurisprudencia citada a este respecto). En último término, los acuerdos parlamentarios que lleven a cabo estas limitaciones o restricciones del </w:t>
      </w:r>
      <w:r w:rsidRPr="00A8138F">
        <w:rPr>
          <w:i/>
        </w:rPr>
        <w:t>ius in officium</w:t>
      </w:r>
      <w:r>
        <w:t xml:space="preserve">, no solo “deben formular una exégesis restrictiva de todas aquellas normas que puedan suponer una limitación al ejercicio de aquellos derechos o atribuciones que integran el estatuto constitucionalmente relevante del representante público” (STC 159/2019, FJ 5), sino que también deben motivar las razones de su aplicación, bajo pena, “no solo de vulnerar el derecho fundamental del representante de los ciudadanos a ejercer su cargo (art. 23.2 CE), sino también de infringir el de la ciudadanía a participar en los asuntos públicos </w:t>
      </w:r>
      <w:r w:rsidRPr="00A8138F">
        <w:rPr>
          <w:i/>
        </w:rPr>
        <w:t>ex</w:t>
      </w:r>
      <w:r>
        <w:t xml:space="preserve"> art. 23.1 CE” (STC 159/2019, FJ 5). Y ello porque la motivación “permitirá dirimir si la restricción de que se trate, en relación con las atribuciones del resto de diputados, resulta proporcionada por derivarse de su aplicación más beneficios o ventajas </w:t>
      </w:r>
      <w:r>
        <w:lastRenderedPageBreak/>
        <w:t>para el interés general que perjuicios sobre otros bienes o intereses en conflicto (STC 151/2017, de 21 de diciembre, FJ 7)” (STC 159/2019, FJ 5).</w:t>
      </w:r>
    </w:p>
    <w:p w14:paraId="4011250E" w14:textId="77777777" w:rsidR="00A8138F" w:rsidRDefault="00A8138F" w:rsidP="00A8138F">
      <w:pPr>
        <w:pStyle w:val="TextoNormal"/>
      </w:pPr>
    </w:p>
    <w:p w14:paraId="1FDB4EA3" w14:textId="77777777" w:rsidR="00A8138F" w:rsidRDefault="00A8138F" w:rsidP="00A8138F">
      <w:pPr>
        <w:pStyle w:val="TextoNormal"/>
      </w:pPr>
      <w:r>
        <w:t xml:space="preserve">Por último, el legislador puede introducir limitaciones o restricciones que afecten al núcleo esencial del </w:t>
      </w:r>
      <w:r w:rsidRPr="00A8138F">
        <w:rPr>
          <w:i/>
        </w:rPr>
        <w:t>ius in officium</w:t>
      </w:r>
      <w:r>
        <w:t>, respetando los imperativos del principio de igualdad y asegurando que las restricciones se “ordenen a un fin legítimo, en términos proporcionados a dicha válida finalidad” (STC 71/1994, de 3 de marzo, FJ 6). Así, “se quebranta dicho mandato con la imposición de condiciones o requisitos de ejercicio del derecho ‘si lo vacían de contenido, lo someten a limitaciones que lo hacen impracticable o dificultan su ejercicio más allá de lo razonable, lo desnaturalizan o resulta irreconocible como tal derecho’” (STC 159/2019, FJ 5, y jurisprudencia allí citada).</w:t>
      </w:r>
    </w:p>
    <w:p w14:paraId="1CAAE21E" w14:textId="77777777" w:rsidR="00A8138F" w:rsidRDefault="00A8138F" w:rsidP="00A8138F">
      <w:pPr>
        <w:pStyle w:val="TextoNormal"/>
      </w:pPr>
    </w:p>
    <w:p w14:paraId="464A765E" w14:textId="77777777" w:rsidR="00A8138F" w:rsidRDefault="00A8138F" w:rsidP="00A8138F">
      <w:pPr>
        <w:pStyle w:val="TextoNormal"/>
      </w:pPr>
      <w:r>
        <w:t xml:space="preserve">b) </w:t>
      </w:r>
      <w:r w:rsidRPr="00A8138F">
        <w:rPr>
          <w:i/>
        </w:rPr>
        <w:t>Sobre las limitaciones vinculadas al estatuto de diputado o diputada no adscrito</w:t>
      </w:r>
    </w:p>
    <w:p w14:paraId="2604A05A" w14:textId="77777777" w:rsidR="00A8138F" w:rsidRDefault="00A8138F" w:rsidP="00A8138F">
      <w:pPr>
        <w:pStyle w:val="TextoNormal"/>
      </w:pPr>
    </w:p>
    <w:p w14:paraId="074BABBF" w14:textId="77777777" w:rsidR="00A8138F" w:rsidRDefault="00A8138F" w:rsidP="00A8138F">
      <w:pPr>
        <w:pStyle w:val="TextoNormal"/>
      </w:pPr>
      <w:r>
        <w:t>A partir del marco general previamente descrito, la jurisprudencia constitucional ha ido definiendo qué facultades y derechos se pueden limitar o restringir en virtud del abandono o expulsión del grupo parlamentario por parte de quien ocupa un escaño en un parlamento autonómico, es decir debido a la asunción del estatuto de diputado o diputada no adscrito.</w:t>
      </w:r>
    </w:p>
    <w:p w14:paraId="4686AE28" w14:textId="77777777" w:rsidR="00A8138F" w:rsidRDefault="00A8138F" w:rsidP="00A8138F">
      <w:pPr>
        <w:pStyle w:val="TextoNormal"/>
      </w:pPr>
    </w:p>
    <w:p w14:paraId="38A0093D" w14:textId="77777777" w:rsidR="00A8138F" w:rsidRDefault="00A8138F" w:rsidP="00A8138F">
      <w:pPr>
        <w:pStyle w:val="TextoNormal"/>
      </w:pPr>
      <w:r>
        <w:t xml:space="preserve">Partiendo de la idea de que desincentivar el transfuguismo puede justificar las restricciones o limitaciones del </w:t>
      </w:r>
      <w:r w:rsidRPr="00A8138F">
        <w:rPr>
          <w:i/>
        </w:rPr>
        <w:t>ius in officium</w:t>
      </w:r>
      <w:r>
        <w:t xml:space="preserve"> impuestas legalmente al ampararse en un fin legítimo (STC 151/2017, de 21 de diciembre, FFJJ 6 y 7), el Tribunal sostiene que tales limitaciones “no pueden operar, en contra de la garantía de igualdad, sobre los derechos integrantes del </w:t>
      </w:r>
      <w:r w:rsidRPr="00A8138F">
        <w:rPr>
          <w:i/>
        </w:rPr>
        <w:t>ius in officium</w:t>
      </w:r>
      <w:r>
        <w:t>, núcleo de la función representativa” (STC 159/2019, FJ 7, con cita de la STC 151/2017). El examen de las restricciones a la luz del juicio de igualdad exige examinar “la proporcionalidad de la diferencia de trato, considerando: (i) si la medida es idónea o adecuada para alcanzar el fin constitucionalmente legítimo perseguido por ella, antes enunciado (juicio de idoneidad); (ii) si la medida idónea o adecuada es, además, necesaria, en el sentido de que no exista otra medida menos lesiva para la consecución de tal fin con igual eficacia (juicio de necesidad); y, (iii) si la medida idónea y menos lesiva resulta ponderada o equilibrada, por derivarse de su aplicación más beneficios o ventajas para el interés general que perjuicios sobre otros bienes o intereses en conflicto, el denominado juicio de proporcionalidad en sentido estricto” (STC 159/2019, FJ 7).</w:t>
      </w:r>
    </w:p>
    <w:p w14:paraId="07581C34" w14:textId="77777777" w:rsidR="00A8138F" w:rsidRDefault="00A8138F" w:rsidP="00A8138F">
      <w:pPr>
        <w:pStyle w:val="TextoNormal"/>
      </w:pPr>
    </w:p>
    <w:p w14:paraId="3DF51C1B" w14:textId="77777777" w:rsidR="00A8138F" w:rsidRDefault="00A8138F" w:rsidP="00A8138F">
      <w:pPr>
        <w:pStyle w:val="TextoNormal"/>
      </w:pPr>
      <w:r>
        <w:t>Lo dicho significa que la mera previsión legal de la figura o estatuto del diputado o diputada sin adscripción no es, en sí misma considerada, lesiva del art. 23.2 CE. Solo será contrario a la Constitución que alguna de las medidas legales limitativas de las facultades de quien ocupa el escaño entre “en conflicto con la naturaleza constitucional del cargo representativo, que implica, entre otros rasgos, el no sometimiento del mandato a ningún vínculo jurídico externo y la igualdad en el ejercicio del núcleo de la función representativa” (STC 159/2019, FJ 8), lo que puede suceder si el régimen jurídico que se apareja a la condición de no adscripción conllevase diferencias de trato que no se justifiquen de un modo proporcionado en algún fin constitucionalmente legítimo o que se relacionen con aspectos nucleares de la función representativa del diputado (STC 159/2019, FJ 8). Por tanto, las quejas formuladas en la demanda de amparo y referidas, con carácter genérico, a la mera existencia de la figura del diputado o diputada no adscrito y a la configuración de su estatuto jurídico en términos específicos y diversos de los que se atribuyen a los diputados y diputadas inte</w:t>
      </w:r>
      <w:r>
        <w:lastRenderedPageBreak/>
        <w:t>grados en un grupo parlamentario, pueden ser descartadas inmediatamente con este mismo razonamiento.</w:t>
      </w:r>
    </w:p>
    <w:p w14:paraId="73122BB4" w14:textId="77777777" w:rsidR="00A8138F" w:rsidRDefault="00A8138F" w:rsidP="00A8138F">
      <w:pPr>
        <w:pStyle w:val="TextoNormal"/>
      </w:pPr>
    </w:p>
    <w:p w14:paraId="080EA00C" w14:textId="77777777" w:rsidR="00A8138F" w:rsidRDefault="00A8138F" w:rsidP="00A8138F">
      <w:pPr>
        <w:pStyle w:val="TextoNormal"/>
      </w:pPr>
      <w:r>
        <w:t>Sobre la base de este marco general, la STC 159/2019 se pronuncia, en su fundamento jurídico 9, sobre las medidas limitativas concretas a que se referían los acuerdos impugnados e identificados como objeto del recurso de amparo parlamentario que venía a resolver aquel pronunciamiento. Esas medidas, adoptadas por la mesa en ejecución de una función atribuida por el propio reglamento de la asamblea (la de Extremadura en aquel supuesto) aludían, de un lado, a las facultades del diputado no adscrito en relación con las iniciativas parlamentarias que se puede promover y, de otro, al uso de la palabra en los debates plenarios. Ambas son reconocidas por el Tribunal como parte integrante del núcleo de la función representativa, “como instrumento de deliberación, expresión de las propias posturas y control del Gobierno” (STC 159/2019, FJ 9, con cita de la STC 141/2007, de 18 de junio, FJ 4).</w:t>
      </w:r>
    </w:p>
    <w:p w14:paraId="1500B0C3" w14:textId="77777777" w:rsidR="00A8138F" w:rsidRDefault="00A8138F" w:rsidP="00A8138F">
      <w:pPr>
        <w:pStyle w:val="TextoNormal"/>
      </w:pPr>
    </w:p>
    <w:p w14:paraId="74962D9B" w14:textId="77777777" w:rsidR="00A8138F" w:rsidRDefault="00A8138F" w:rsidP="00A8138F">
      <w:pPr>
        <w:pStyle w:val="TextoNormal"/>
      </w:pPr>
      <w:r>
        <w:t>Por lo que hace a la presentación de iniciativas parlamentarias, en aquel supuesto de hecho las limitaciones se referían a la presentación de interpelaciones y preguntas en Pleno y en comisión, así como a la presentación de propuestas de impulso y de pronunciamiento en Pleno. En materia de uso de la palabra, se excluía enteramente en los debates de totalidad, en los de convalidación de decretos-leyes y en aquellos a que dan lugar las propuestas de impulso y las de pronunciamiento en Pleno.</w:t>
      </w:r>
    </w:p>
    <w:p w14:paraId="4FE04A30" w14:textId="77777777" w:rsidR="00A8138F" w:rsidRDefault="00A8138F" w:rsidP="00A8138F">
      <w:pPr>
        <w:pStyle w:val="TextoNormal"/>
      </w:pPr>
    </w:p>
    <w:p w14:paraId="6D117F36" w14:textId="6DFA807A" w:rsidR="00A8138F" w:rsidRDefault="00A8138F" w:rsidP="00A8138F">
      <w:pPr>
        <w:pStyle w:val="TextoNormal"/>
      </w:pPr>
      <w:r>
        <w:t>En ambos casos, las limitaciones a las facultades de actuación e intervención fueron acordadas por la mesa teniendo presente que el art. 39.5 del Reglamento de la Asamblea de Extremadura preveía que “[l]os diputados no adscritos gozarán solo de los derechos reconocidos reglamentariamente a los diputados considerados de forma individual”. Esta restricción de facultades, que limita las de los diputados no adscritos respecto de las que se reconocen a los diputados individualmente considerados, excluyendo las reservadas a los grupos parlamentarios, es considerada por el Tribunal ajustada al art. 23.2 CE, en la medida en que se trata de una “cláusula reglamentaria [que] asegura al diputado no adscrito los derechos inherentes a la condición de cargo público que son ‘reconocidos reglamentariamente a los diputados considerados de forma individual’, pero al mismo tiempo le impide que, beneficiándose de su situación de diputado individual y no inserto en ningún grupo político, por haber abandonado el grupo parlamentario del que formaba parte, pase a gozar de una injustificada posición preponderante en perjuicio del resto de diputados que, por integrarse en grupos políticos, ven racionalizado el ejercicio de ciertas funciones inherentes al núcleo de la función representativa” (STC 159/2019, FJ 10). Dicho en otros términos, una previsión reglamentaria que reserva a los diputados no adscritos las facultades previstas para los diputados y diputadas individualmente considerados, es plenamente constitucional porque neutraliza la desigualdad en el ejercicio de la función representativa que llevaría aparejada la sobrerrepresentación del diputado no adscrito.</w:t>
      </w:r>
    </w:p>
    <w:p w14:paraId="5FC7C331" w14:textId="77777777" w:rsidR="00A8138F" w:rsidRDefault="00A8138F" w:rsidP="00A8138F">
      <w:pPr>
        <w:pStyle w:val="TextoNormal"/>
      </w:pPr>
    </w:p>
    <w:p w14:paraId="2CC5369A" w14:textId="77777777" w:rsidR="00A8138F" w:rsidRDefault="00A8138F" w:rsidP="00A8138F">
      <w:pPr>
        <w:pStyle w:val="TextoNormal"/>
      </w:pPr>
      <w:r w:rsidRPr="00A8138F">
        <w:rPr>
          <w:rStyle w:val="NumeroAFNegritaCaracter"/>
        </w:rPr>
        <w:t>5</w:t>
      </w:r>
      <w:r>
        <w:t xml:space="preserve">. </w:t>
      </w:r>
      <w:r w:rsidRPr="00A8138F">
        <w:rPr>
          <w:i/>
        </w:rPr>
        <w:t>Aplicación de la jurisprudencia constitucional de la STC 159/2019 a las quejas planteadas en el presente recurso de amparo</w:t>
      </w:r>
    </w:p>
    <w:p w14:paraId="548901CC" w14:textId="77777777" w:rsidR="00A8138F" w:rsidRDefault="00A8138F" w:rsidP="00A8138F">
      <w:pPr>
        <w:pStyle w:val="TextoNormal"/>
      </w:pPr>
    </w:p>
    <w:p w14:paraId="19126330" w14:textId="77777777" w:rsidR="00A8138F" w:rsidRDefault="00A8138F" w:rsidP="00A8138F">
      <w:pPr>
        <w:pStyle w:val="TextoNormal"/>
      </w:pPr>
      <w:r>
        <w:t>El art. 28.1 del Reglamento de las Illes Balears formula una previsión muy cercana a la del art. 39.6 del Reglamento de la Asamblea de Extremadura al que se refería la STC 159/2019. En ambos preceptos se prevé que los diputados y las diputadas no adscritos ten</w:t>
      </w:r>
      <w:r>
        <w:lastRenderedPageBreak/>
        <w:t>gan “los derechos que el reglamento reconozca a los diputados individualmente”, previsión que, en términos generales, no resulta lesiva del art. 23.2 CE, en los términos contenidos en el fundamento jurídico 10 de la STC 159/2019.</w:t>
      </w:r>
    </w:p>
    <w:p w14:paraId="06C81AAA" w14:textId="77777777" w:rsidR="00A8138F" w:rsidRDefault="00A8138F" w:rsidP="00A8138F">
      <w:pPr>
        <w:pStyle w:val="TextoNormal"/>
      </w:pPr>
    </w:p>
    <w:p w14:paraId="44674A9A" w14:textId="77777777" w:rsidR="00A8138F" w:rsidRDefault="00A8138F" w:rsidP="00A8138F">
      <w:pPr>
        <w:pStyle w:val="TextoNormal"/>
      </w:pPr>
      <w:r>
        <w:t>Sin perjuicio de esta previsión general, el art. 28.2 RPIB establece también que será la mesa del Parlamento, oída la junta de portavoces, quien decida el procedimiento para la intervención de los diputados no adscritos en el Pleno y en las comisiones, así como sobre su pertenencia a las mismas. Esa decisión se integra en la resolución de la mesa con registro general de salida núm. 5028-2021, que acuerda que la intervención en Pleno y en comisiones del diputado no adscrito será la misma que corresponde a un diputado individualmente considerado, detallando esa participación en un listado al que se hará posterior referencia. Por último, el art. 28.3 RPIB prevé que los diputados y las diputadas no adscritos podrán: a) formular una pregunta por periodo de sesiones y defender las enmiendas parciales que hubieran formulado durante la tramitación de los textos legislativos en el Pleno; b) pertenecer a una comisión legislativa en la cual podrán formular preguntas orales y participar en comparecencias y fijar posición en relación con las proposiciones no de ley que se debatan; y c) presentar y defender enmiendas parciales a los textos legislativos conforme a lo establecido en una resolución de Presidencia.</w:t>
      </w:r>
    </w:p>
    <w:p w14:paraId="798B7EE7" w14:textId="77777777" w:rsidR="00A8138F" w:rsidRDefault="00A8138F" w:rsidP="00A8138F">
      <w:pPr>
        <w:pStyle w:val="TextoNormal"/>
      </w:pPr>
    </w:p>
    <w:p w14:paraId="742652C1" w14:textId="77777777" w:rsidR="00A8138F" w:rsidRDefault="00A8138F" w:rsidP="00A8138F">
      <w:pPr>
        <w:pStyle w:val="TextoNormal"/>
      </w:pPr>
      <w:r>
        <w:t>Una vez admitida la limitación de facultades reglamentariamente prevista, y establecida la regla general de la asimilación de funciones de los diputados y diputadas no adscritos a las que se reconocen individualmente a quienes ocupan un escaño, que fue considerada ajustada a la Constitución por la STC 159/2019 porque neutraliza la desigualdad en el ejercicio de la función representativa que llevaría aparejada la sobrerrepresentación del diputado no adscrito, procede enjuiciar cómo ha ejercido la mesa la facultad que le atribuye el reglamento parlamentario, en los aspectos de los acuerdos impugnados de los que se queja el recurrente en su demanda, y ello con el propósito de que este tribunal pueda verificar si lo ha hecho de un modo conforme con la naturaleza del concepto de cargo público representativo que incorpora el art. 23.2 CE y, en su virtud, resolver si cabe otorgar el amparo solicitado por el demandante.</w:t>
      </w:r>
    </w:p>
    <w:p w14:paraId="5AABEDD0" w14:textId="77777777" w:rsidR="00A8138F" w:rsidRDefault="00A8138F" w:rsidP="00A8138F">
      <w:pPr>
        <w:pStyle w:val="TextoNormal"/>
      </w:pPr>
    </w:p>
    <w:p w14:paraId="7A1A29E7" w14:textId="77777777" w:rsidR="00A8138F" w:rsidRDefault="00A8138F" w:rsidP="00A8138F">
      <w:pPr>
        <w:pStyle w:val="TextoNormal"/>
      </w:pPr>
      <w:r>
        <w:t xml:space="preserve">a) </w:t>
      </w:r>
      <w:r w:rsidRPr="00A8138F">
        <w:rPr>
          <w:i/>
        </w:rPr>
        <w:t>En relación con la participación del diputado no adscrito en el Pleno y las comisiones</w:t>
      </w:r>
    </w:p>
    <w:p w14:paraId="53CC008F" w14:textId="77777777" w:rsidR="00A8138F" w:rsidRDefault="00A8138F" w:rsidP="00A8138F">
      <w:pPr>
        <w:pStyle w:val="TextoNormal"/>
      </w:pPr>
    </w:p>
    <w:p w14:paraId="6F23BA0D" w14:textId="77777777" w:rsidR="00A8138F" w:rsidRDefault="00A8138F" w:rsidP="00A8138F">
      <w:pPr>
        <w:pStyle w:val="TextoNormal"/>
      </w:pPr>
      <w:r>
        <w:t xml:space="preserve">(i) El recurrente en amparo impugna el acuerdo de la mesa del Parlamento de las Illes Balears con registro general de salida núm. 5028-2021, de 14 de octubre, relativo a la participación de los diputados no adscritos en el Pleno y las comisiones. El acuerdo delimita la participación en el Pleno permitiendo a los diputados no adscritos: formular una pregunta oral por periodo de sesiones, tal y como se prevé expresamente en el art. 28.3 a) RPIB; substituir la pregunta oral que formulen ante el Pleno; asumir una pregunta de iniciativa ciudadana que computará como la pregunta oral que les corresponda en el Pleno por periodo; formular una interpelación cada dos periodos de sesiones; presentar y defender enmiendas parciales a los textos legislativos de conformidad con la resolución de la Presidencia reguladora del ejercicio de los diputados y las diputadas no adscritos a presentar y defender enmiendas parciales a textos legislativos, prevista en el artículo 28.3 c) del Reglamento del Parlamento de las Illes Balears. Por lo que hace a la actividad en las comisiones, esta se centrará en: formular preguntas orales, lo que se prevé, para la comisión legislativa de pertenencia, en el art. 28.3 b) RPIB; participar en las comparecencias que se substancien ante la comisión a la cual pertenezcan (siguiendo lo previsto en el art. 28.3 b) RPIB) con </w:t>
      </w:r>
      <w:r>
        <w:lastRenderedPageBreak/>
        <w:t>igual tiempo de intervención que el resto de los diputados que pertenecen a los grupos parlamentarios; fijar posiciones respecto a las proposiciones no de ley que se substancien ante la comisión a la que pertenezcan; votar en la toma de decisiones de la comisión a la cual pertenezcan, como pueda ser el acuerdo de comparecencias.</w:t>
      </w:r>
    </w:p>
    <w:p w14:paraId="0E7985FD" w14:textId="77777777" w:rsidR="00A8138F" w:rsidRDefault="00A8138F" w:rsidP="00A8138F">
      <w:pPr>
        <w:pStyle w:val="TextoNormal"/>
      </w:pPr>
    </w:p>
    <w:p w14:paraId="675437AF" w14:textId="77777777" w:rsidR="00A8138F" w:rsidRDefault="00A8138F" w:rsidP="00A8138F">
      <w:pPr>
        <w:pStyle w:val="TextoNormal"/>
      </w:pPr>
      <w:r>
        <w:t>El recurrente se limita a referir en su demanda la restricción de la función parlamentaria de control al Gobierno aludiendo a la restricción en las preguntas orales e interpelaciones por período de sesiones, sin referirse específicamente al resto de facultades conferidas en Pleno o en comisión a los diputados no adscritos. Una impugnación casi idéntica se resuelve en el fundamento jurídico 12 a) de la STC 159/2019 y, como en aquel supuesto, aquí la mesa del Parlamento arguye en su acuerdo las razones de la reducción de facultades de control, mientras que el recurrente en amparo no elabora ningún argumento de refutación de estas razones.</w:t>
      </w:r>
    </w:p>
    <w:p w14:paraId="1F10E532" w14:textId="77777777" w:rsidR="00A8138F" w:rsidRDefault="00A8138F" w:rsidP="00A8138F">
      <w:pPr>
        <w:pStyle w:val="TextoNormal"/>
      </w:pPr>
    </w:p>
    <w:p w14:paraId="59364212" w14:textId="77777777" w:rsidR="00A8138F" w:rsidRDefault="00A8138F" w:rsidP="00A8138F">
      <w:pPr>
        <w:pStyle w:val="TextoNormal"/>
      </w:pPr>
      <w:r>
        <w:t>Así, la mesa del Parlamento sostiene que el acuerdo se formula “en sintonía con la doctrina del Tribunal Constitucional en materia de la configuración de los derechos y las facultades del diputado no adscrito, de forma que no haya una sobrerrepresentación de los diputados y las diputadas no adscritos en la vida parlamentaria y se respeten sus derechos como diputados individualmente considerados, conforme con el Reglamento del Parlamento” (acuerdo con registro general de salida núm. 5028-2021). En coherencia con esta previsión se afirma que, sobre la base de la previsión reglamentaria de que “[e]n las semanas en que haya sesión ordinaria del Pleno, se dedicarán, por norma general, dos horas, como tiempo mínimo, a preguntas e interpelaciones” (art. 179 RPIB), a principio de legislatura se acordó en la sesión de la mesa de 4 de julio de 2019, oída la junta de portavoces, que el número de preguntas a incluir en las sesiones ordinarias sería de dieciocho. Teniendo en cuenta las cuotas correspondientes a cada grupo parlamentario en cuanto a las iniciativas presentadas como proposiciones no de ley a debatir ante el Pleno y como interpelaciones, por cada periodo de sesiones [siete al Grupo Parlamentario Socialista (diecinueve diputados); seis al Grupo Parlamentario Popular (dieciséis diputados); dos al Grupo Parlamentario Unidas Podemos (seis diputados); dos al Grupo Parlamentario Ciudadanos (cuatro diputados); dos al Grupo Parlamentario Més per Mallorca (cuatro diputados); una al Grupo Parlamentario Vox-Actúa Baleares (tres diputados); una al Grupo Parlamentario El Pi-Proposta per les Illes (tres diputados); y una al Grupo Parlamentario Mixto (tres diputados)], se considera proporcional y justificado otorgar a cada diputado y diputada no adscrito la posibilidad de sustanciar una interpelación cada dos períodos de sesiones.</w:t>
      </w:r>
    </w:p>
    <w:p w14:paraId="15D1B4F1" w14:textId="77777777" w:rsidR="00A8138F" w:rsidRDefault="00A8138F" w:rsidP="00A8138F">
      <w:pPr>
        <w:pStyle w:val="TextoNormal"/>
      </w:pPr>
    </w:p>
    <w:p w14:paraId="678444A2" w14:textId="77777777" w:rsidR="00A8138F" w:rsidRDefault="00A8138F" w:rsidP="00A8138F">
      <w:pPr>
        <w:pStyle w:val="TextoNormal"/>
      </w:pPr>
      <w:r>
        <w:t>Teniendo en cuenta lo expuesto en el párrafo antecedente y el criterio utilizado en el fundamento jurídico 12 a) de la STC 159/2019, y sabiendo que el recurrente en amparo no aduce ningún motivo por el que el cupo de preguntas o interpelaciones que se le ha atribuido sea desproporcionado o sea de alguna manera inferior al que corresponde a los diputados individualmente considerados, el Tribunal considera aplicable la doctrina referida contenida en el ya citado fundamento jurídico 12 a) de la STC 159/2019, según la cual “no corresponde al Tribunal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Este criterio conduce en este estadio del proceso a la desestimación de esta primera queja porque no se pone de manifiesto ni la despro</w:t>
      </w:r>
      <w:r>
        <w:lastRenderedPageBreak/>
        <w:t>porción ni la discriminación de la medida impugnada, que debiera haber sido alegada expresamente por el recurrente.</w:t>
      </w:r>
    </w:p>
    <w:p w14:paraId="279EABDD" w14:textId="77777777" w:rsidR="00A8138F" w:rsidRDefault="00A8138F" w:rsidP="00A8138F">
      <w:pPr>
        <w:pStyle w:val="TextoNormal"/>
      </w:pPr>
    </w:p>
    <w:p w14:paraId="07CF1211" w14:textId="77777777" w:rsidR="00A8138F" w:rsidRDefault="00A8138F" w:rsidP="00A8138F">
      <w:pPr>
        <w:pStyle w:val="TextoNormal"/>
      </w:pPr>
      <w:r>
        <w:t>(ii) El acuerdo recurrido con registro general de salida núm. 5327-2021, niega al señor Benalal la permanencia en la comisión no permanente de estudio sobre planificación y gestión de recursos hídricos, alegando la mesa que las comisiones no permanentes están integradas por los diputados y diputadas propuestos por los diferentes grupos parlamentarios por lo que no puede formar parte de ellas el solicitante al no haber sido propuesto por un grupo, interpretación que cuestiona el recurrente en amparo considerándola lesiva del art. 23.2 CE. Pero esta queja no puede ser acogida.</w:t>
      </w:r>
    </w:p>
    <w:p w14:paraId="24E88652" w14:textId="77777777" w:rsidR="00A8138F" w:rsidRDefault="00A8138F" w:rsidP="00A8138F">
      <w:pPr>
        <w:pStyle w:val="TextoNormal"/>
      </w:pPr>
    </w:p>
    <w:p w14:paraId="60E50263" w14:textId="77777777" w:rsidR="00A8138F" w:rsidRDefault="00A8138F" w:rsidP="00A8138F">
      <w:pPr>
        <w:pStyle w:val="TextoNormal"/>
      </w:pPr>
      <w:r>
        <w:t>En primer término, nada impide al diputado no adscrito asistir a las sesiones de la comisión no permanente con voz, pero sin voto, tal y como prevé el art. 14.3 RPIB, que establece que “[l]os diputados y las diputadas tendrán derecho a asistir con voto a las sesiones del Pleno del Parlamento y a las de las comisiones de que formen parte. Podrán asistir, sin voto, a las sesiones de las comisiones de que no formen parte”, estableciendo asimismo que “[l]os diputados y las diputadas tendrán derecho a formar parte, al menos, de una comisión” (art. 14.4 RPIB), derecho que efectivamente le ha sido reconocido al recurrente en amparo en aplicación de lo previsto en el art. 28.3 b) RPIB. La pertenencia a comisiones no permanentes depende, en este caso, de las previsiones del reglamento respecto de la composición de las mismas, que ha de asegurar el principio de representación proporcional. Así, del art. 42.1 RPIB se deriva que todos los grupos parlamentarios tienen derecho a contar, como mínimo, con un representante en cada comisión y que el número concreto de integrantes de la comisión será el que indique la mesa del Parlamento, oída la junta de portavoces, y en proporción a la importancia numérica de cada grupo en la Cámara, previsión esta que no se proyecta al diputado no adscrito. La mesa decide, sin incurrir en arbitrariedad, falta de motivación, desproporción o discriminación, que ha de asegurar que las comisiones respeten la proporcionalidad de los grupos de la Cámara atendiendo al número de miembros; por eso acuerda modificar la atribución del número de miembros a cada grupo en la comisión de medio ambiente y ordenación territorial y aumentar su número de trece a quince diputados para permitir la participación del diputado recurrente en amparo, de modo que se respete su derecho de participación en una comisión permanente.</w:t>
      </w:r>
    </w:p>
    <w:p w14:paraId="3939DEEF" w14:textId="77777777" w:rsidR="00A8138F" w:rsidRDefault="00A8138F" w:rsidP="00A8138F">
      <w:pPr>
        <w:pStyle w:val="TextoNormal"/>
      </w:pPr>
    </w:p>
    <w:p w14:paraId="2D903232" w14:textId="77777777" w:rsidR="00A8138F" w:rsidRDefault="00A8138F" w:rsidP="00A8138F">
      <w:pPr>
        <w:pStyle w:val="TextoNormal"/>
      </w:pPr>
      <w:r>
        <w:t xml:space="preserve">La exigencia de representación proporcional en las estructuras de organización del trabajo parlamentario, lo que incluye las comisiones; la garantía de participación del diputado no adscrito en al menos una comisión permanente, de modo que se asegure su participación en la función legislativa que integra, sin lugar a dudas, el </w:t>
      </w:r>
      <w:r w:rsidRPr="00A8138F">
        <w:rPr>
          <w:i/>
        </w:rPr>
        <w:t>ius in officium</w:t>
      </w:r>
      <w:r>
        <w:t>; y la reserva a los grupos parlamentarios de las facultades de creación y participación en las comisiones no permanentes, suponen una participación limitada del diputado no adscrito en los trabajos en comisión que no pude considerarse una limitación de sus facultades contraria al art. 23.2 CE.</w:t>
      </w:r>
    </w:p>
    <w:p w14:paraId="001B039C" w14:textId="77777777" w:rsidR="00A8138F" w:rsidRDefault="00A8138F" w:rsidP="00A8138F">
      <w:pPr>
        <w:pStyle w:val="TextoNormal"/>
      </w:pPr>
    </w:p>
    <w:p w14:paraId="16F3B293" w14:textId="77777777" w:rsidR="00A8138F" w:rsidRDefault="00A8138F" w:rsidP="00A8138F">
      <w:pPr>
        <w:pStyle w:val="TextoNormal"/>
      </w:pPr>
      <w:r>
        <w:t xml:space="preserve">b) </w:t>
      </w:r>
      <w:r w:rsidRPr="00A8138F">
        <w:rPr>
          <w:i/>
        </w:rPr>
        <w:t>Facultades del diputado no adscrito en relación con la presentación de proposiciones de ley y no de ley</w:t>
      </w:r>
    </w:p>
    <w:p w14:paraId="5D063373" w14:textId="77777777" w:rsidR="00A8138F" w:rsidRDefault="00A8138F" w:rsidP="00A8138F">
      <w:pPr>
        <w:pStyle w:val="TextoNormal"/>
      </w:pPr>
    </w:p>
    <w:p w14:paraId="081C7E1D" w14:textId="77777777" w:rsidR="00A8138F" w:rsidRDefault="00A8138F" w:rsidP="00A8138F">
      <w:pPr>
        <w:pStyle w:val="TextoNormal"/>
      </w:pPr>
      <w:r>
        <w:t xml:space="preserve">(i) El acuerdo con registro general de salida núm. 6166-2021, de 9 de diciembre, desestimó la solicitud de reconsideración respecto de la inadmisión de la proposición de ley relativa al Síndic de Greuges presentada por el diputado señor Benalal. La junta de portavoces, </w:t>
      </w:r>
      <w:r>
        <w:lastRenderedPageBreak/>
        <w:t>que se pronuncia en el procedimiento de reconsideración, sostiene que la decisión de inadmisión de la mesa, (adoptada el 17 de noviembre en el acuerdo con registro general de salida núm. 5736-2021) se basó en los arts. 28 y 139.1 RPIB, que exigen la firma de cinco diputados, independientemente de su adscripción, para presentar una proposición de ley, condición que no se cumplía en este caso, y no en la condición de diputado no adscrito de quien ahora es recurrente en amparo.</w:t>
      </w:r>
    </w:p>
    <w:p w14:paraId="64682C5C" w14:textId="77777777" w:rsidR="00A8138F" w:rsidRDefault="00A8138F" w:rsidP="00A8138F">
      <w:pPr>
        <w:pStyle w:val="TextoNormal"/>
      </w:pPr>
    </w:p>
    <w:p w14:paraId="30566C17" w14:textId="77777777" w:rsidR="00A8138F" w:rsidRDefault="00A8138F" w:rsidP="00A8138F">
      <w:pPr>
        <w:pStyle w:val="TextoNormal"/>
      </w:pPr>
      <w:r>
        <w:t xml:space="preserve">El ejercicio de la iniciativa legislativa, tal y como ha venido sosteniendo la jurisprudencia del Tribunal Constitucional, forma parte del </w:t>
      </w:r>
      <w:r w:rsidRPr="00A8138F">
        <w:rPr>
          <w:i/>
        </w:rPr>
        <w:t>ius in officium</w:t>
      </w:r>
      <w:r>
        <w:t xml:space="preserve">, en tanto se configura como elemento esencial de la función legislativa. Así, el Tribunal ha declarado “que el ejercicio de la función legislativa por los representantes de los ciudadanos constituye ‘la máxima expresión del ejercicio de la soberanía popular en el Estado democrático’ y que la participación en el ejercicio de dicha función y el desempeño de los derechos y facultades que la acompañan, entre los que indudablemente se encuentra el derecho a la iniciativa legislativa, ‘constituyen una manifestación constitucionalmente relevante del </w:t>
      </w:r>
      <w:r w:rsidRPr="00A8138F">
        <w:rPr>
          <w:i/>
        </w:rPr>
        <w:t>ius in officium</w:t>
      </w:r>
      <w:r>
        <w:t xml:space="preserve"> del representante’, protegido por el artículo 23.2 CE (SSTC 224/2016, FJ 2, y 225/2016, FJ 2)” (STC 71/2017, de 5 de junio, FJ 4, posteriormente reiterada en la STC 128/2023, de 2 de octubre, FJ 3).</w:t>
      </w:r>
    </w:p>
    <w:p w14:paraId="2E40F5F8" w14:textId="77777777" w:rsidR="00A8138F" w:rsidRDefault="00A8138F" w:rsidP="00A8138F">
      <w:pPr>
        <w:pStyle w:val="TextoNormal"/>
      </w:pPr>
    </w:p>
    <w:p w14:paraId="1F1D8556" w14:textId="77777777" w:rsidR="00A8138F" w:rsidRDefault="00A8138F" w:rsidP="00A8138F">
      <w:pPr>
        <w:pStyle w:val="TextoNormal"/>
      </w:pPr>
      <w:r>
        <w:t>Por tanto, el análisis relativo a la queja planteada por el recurrente exige determinar si se ha producido una limitación de la iniciativa legislativa incompatible con el art. 23.2 CE o si la restricción en el ejercicio de la iniciativa resulta del reglamento y viene justificada por la regulación general de la iniciativa legislativa. En este sentido, el art. 123 RPIB establece que “[l]a iniciativa para el ejercicio de la potestad legislativa corresponde a los diputados y las diputadas, a los grupos parlamentarios y al Gobierno de las Illes Balears”, tratándose por tanto, de una facultad reconocida a los diputados y diputadas individualmente considerados y de la que, por esa misma razón, no pueden ser privados los diputados y diputadas no adscritos, tal y como prevé el art. 28.1 RPIB. Ahora bien, esa iniciativa debe ejercerse del modo concreto que prevé el art. 139.1 RPIB, que determina que las proposiciones de ley del Parlamento podrán ser adoptadas a iniciativa de un grupo parlamentario, con la sola firma de su portavoz, o a iniciativa de “[u]n diputado o una diputada con la firma de otros cuatro miembros de la Cámara”. Por tanto, la sola firma del diputado proponente a título individual no es suficiente para activar la legitimación tendente a presentar una proposición de ley, prevista en los términos descritos para asegurar la eficacia de los trabajos parlamentarios.</w:t>
      </w:r>
    </w:p>
    <w:p w14:paraId="351EC39E" w14:textId="77777777" w:rsidR="00A8138F" w:rsidRDefault="00A8138F" w:rsidP="00A8138F">
      <w:pPr>
        <w:pStyle w:val="TextoNormal"/>
      </w:pPr>
    </w:p>
    <w:p w14:paraId="3A5A3555" w14:textId="77777777" w:rsidR="00A8138F" w:rsidRDefault="00A8138F" w:rsidP="00A8138F">
      <w:pPr>
        <w:pStyle w:val="TextoNormal"/>
      </w:pPr>
      <w:r>
        <w:t>En suma, la negativa de la mesa, confirmada en reconsideración, de la tramitación de una proposición de ley se sustenta en una escrupulosa aplicación del art. 139 del Reglamento de la Cámara, que prevé el requisito de las cinco firmas para considerar adecuadamente ejercida la iniciativa legislativa individual por parte de cualquier diputado o diputada, independientemente de su condición de adscrito o no a un grupo parlamentario. Atribuir al recurrente la facultad individual de iniciativa legislativa sin exigirle el acuerdo de otros cuatro integrantes de la Cámara sería atribuirle una posición de ventaja respecto de los demás diputados o diputadas, individualmente considerados, que no encuentra justificación alguna. En este caso, la mesa no hace al recurrente de peor condición que al resto de quienes ocupan un escaño en la asamblea autonómica, sino que se limita a aplicarle el mismo régimen que se aplicaría a cualquier otra iniciativa legislativa que no procediera de un grupo parlamentario; y ello en el marco de sus competencias de calificación y admisión, ejerciendo el control formal de la iniciativa y comprobando que no reúne los requisitos que exige el regla</w:t>
      </w:r>
      <w:r>
        <w:lastRenderedPageBreak/>
        <w:t>mento. Por todo lo expuesto, debe considerarse que el acuerdo de inadmisión de la proposición de ley está correctamente fundado y motivado, y no puede calificarse como lesivo del art. 23.2 CE.</w:t>
      </w:r>
    </w:p>
    <w:p w14:paraId="34FA1C06" w14:textId="77777777" w:rsidR="00A8138F" w:rsidRDefault="00A8138F" w:rsidP="00A8138F">
      <w:pPr>
        <w:pStyle w:val="TextoNormal"/>
      </w:pPr>
    </w:p>
    <w:p w14:paraId="357E5DBE" w14:textId="77777777" w:rsidR="00A8138F" w:rsidRDefault="00A8138F" w:rsidP="00A8138F">
      <w:pPr>
        <w:pStyle w:val="TextoNormal"/>
      </w:pPr>
      <w:r>
        <w:t>(ii) Por su parte, el acuerdo de la mesa con registro general de salida núm. 6167-2021, de 13 de diciembre, desestima la solicitud de reconsideración relativa a la inadmisión de la proposición no de ley sobre la convergencia del sector digital y el medio ambiente. Tal inadmisión se basa en el estatuto de diputado no adscrito del proponente, que le permite ostentar las facultades propias de los diputados individualmente considerados pero no las reservadas a los grupos parlamentarios. Y este es, precisamente, el caso de las proposiciones no de ley, cuya iniciativa reserva el art. 181 RPIB a los grupos parlamentarios. Esta limitación, como ha sido expuesto en fundamentos anteriores, ha sido considerada ajustada al art. 23.2 CE por el Tribunal en la STC 159/2019, al tratarse de una cláusula reglamentaria, en este caso contenida en el art. 28 RPIB, que asegura al diputado no adscrito los derechos inherentes a la condición de cargo público que son reconocidos reglamentariamente a los diputados considerados de forma individual, evitando que el diputado no adscrito se beneficie de esa condición para gozar de facultades que los diputados y diputadas, individualmente considerados no poseen. Así pues, el acuerdo de la mesa tiene una cobertura reglamentaria que no tenía el acuerdo homólogo de la mesa de la Asamblea de Extremadura al que se refería la STC 159/2019, y que supuso la anulación del mismo por considerarse lesivo del art. 23.2 CE. En lo que se refiere al acuerdo con registro general de salida núm. 6167-2021, objeto del presente pronunciamiento, la mesa del Parlamento balear no ha hecho otra cosa que aplicar una previsión reglamentaria que no puede considerarse restrictiva del derecho invocado.</w:t>
      </w:r>
    </w:p>
    <w:p w14:paraId="49BE1923" w14:textId="77777777" w:rsidR="00A8138F" w:rsidRDefault="00A8138F" w:rsidP="00A8138F">
      <w:pPr>
        <w:pStyle w:val="TextoNormal"/>
      </w:pPr>
    </w:p>
    <w:p w14:paraId="2215D4BB" w14:textId="77777777" w:rsidR="00A8138F" w:rsidRDefault="00A8138F" w:rsidP="00A8138F">
      <w:pPr>
        <w:pStyle w:val="TextoNormal"/>
      </w:pPr>
      <w:r>
        <w:t xml:space="preserve">c) </w:t>
      </w:r>
      <w:r w:rsidRPr="00A8138F">
        <w:rPr>
          <w:i/>
        </w:rPr>
        <w:t>Sobre la atribución de medios materiales y económicos para el desempeño de su función</w:t>
      </w:r>
    </w:p>
    <w:p w14:paraId="13B717C8" w14:textId="77777777" w:rsidR="00A8138F" w:rsidRDefault="00A8138F" w:rsidP="00A8138F">
      <w:pPr>
        <w:pStyle w:val="TextoNormal"/>
      </w:pPr>
    </w:p>
    <w:p w14:paraId="3B0EAAAC" w14:textId="77777777" w:rsidR="00A8138F" w:rsidRDefault="00A8138F" w:rsidP="00A8138F">
      <w:pPr>
        <w:pStyle w:val="TextoNormal"/>
      </w:pPr>
      <w:r>
        <w:t xml:space="preserve">(i) En relación con las quejas relativas a los medios materiales puestos a disposición del recurrente en amparo, que se materializan en la impugnación de las resoluciones con registro general de salida núm. 5923-2021, de 24 de noviembre, y 6237-2021, de 15 de diciembre, cumple recordar que la jurisprudencia constitucional sostiene desde hace una década que las retribuciones de los parlamentarios autonómicos no forman parte del núcleo esencial del derecho de acceso, permanencia y ejercicio de cargos públicos representativos del art. 23.2 CE (STC 36/2014, de 27 de febrero, FJ 6). Ahora bien, el punto de discrepancia sobre el que se puede detener el pronunciamiento de fondo del presente recurso de amparo tiene poco que ver con las retribuciones y más con los espacios físicos y el mobiliario facilitados al recurrente en amparo en el edificio de la Cámara. Sobre las retribuciones se verifica que el recurrente no formula alegaciones concretas o quejas específicas, constando en las actuaciones que se le aplica, sin diferencia alguna con el resto de diputadas y diputados individualmente considerados, lo previsto en la resolución de retribuciones, indemnizaciones y asignaciones institucionales, incluyendo la aplicación del régimen previsto para los diputados de Eivissa, como es el caso del señor Benalal. Esa aplicación, por lo demás, no hace sino materializar la previsión del art. 28.4 RPIB que establece que “[l]os diputados o las diputadas no adscritos tendrán derecho exclusivamente a las percepciones económicas que el presente reglamento prevé para los diputados y las diputadas individualmente. La mesa del Parlamento asignará a cada diputado o diputada no adscrito los medios materiales que estime adecuados para el cumplimiento de sus funciones”. Sobre los medios económicos </w:t>
      </w:r>
      <w:r>
        <w:lastRenderedPageBreak/>
        <w:t>previstos para los grupos parlamentarios, resulta claro que no son acreedores de los mismos los diputados individualmente considerados y, por tanto, no lo es el diputado no adscrito recurrente en amparo.</w:t>
      </w:r>
    </w:p>
    <w:p w14:paraId="3A6B6CE5" w14:textId="77777777" w:rsidR="00A8138F" w:rsidRDefault="00A8138F" w:rsidP="00A8138F">
      <w:pPr>
        <w:pStyle w:val="TextoNormal"/>
      </w:pPr>
    </w:p>
    <w:p w14:paraId="5DA8B15D" w14:textId="77777777" w:rsidR="00A8138F" w:rsidRDefault="00A8138F" w:rsidP="00A8138F">
      <w:pPr>
        <w:pStyle w:val="TextoNormal"/>
      </w:pPr>
      <w:r>
        <w:t xml:space="preserve">Sobre los espacios, en cambio, estos son considerados inadecuados para el desempeño de su función por no ser privativos y no garantizar la intimidad y privacidad idóneas para el desempeño del cargo. Respecto de esta cuestión, la mesa de la Cámara, así como su representación procesal en el escrito de alegaciones, sostiene que no todos los diputados, individualmente considerados, tienen despachos propios, sino que comparten despacho al no disponerse de espacio suficiente. Ciertamente, no existe soporte alguno en el Reglamento de la Cámara o en la resolución de retribuciones, indemnizaciones y asignaciones institucionales que articule un derecho al despacho propio o prevea el reparto de los espacios. Todo lo que prevé el art. 29 RPIB sobre los locales o los espacios se refiere a los grupos parlamentarios, previéndose que el Parlamento ponga “a disposición de los grupos parlamentarios locales y medios materiales”. Siendo así, en este punto hay que valorar si la mesa, con sus decisiones, limita las facultades inherentes al </w:t>
      </w:r>
      <w:r w:rsidRPr="00A8138F">
        <w:rPr>
          <w:i/>
        </w:rPr>
        <w:t>ius in officium</w:t>
      </w:r>
      <w:r>
        <w:t xml:space="preserve"> y, en su caso, si lo hace de modo desproporcionado o discriminatorio.</w:t>
      </w:r>
    </w:p>
    <w:p w14:paraId="13093074" w14:textId="77777777" w:rsidR="00A8138F" w:rsidRDefault="00A8138F" w:rsidP="00A8138F">
      <w:pPr>
        <w:pStyle w:val="TextoNormal"/>
      </w:pPr>
    </w:p>
    <w:p w14:paraId="70E6C559" w14:textId="77777777" w:rsidR="00A8138F" w:rsidRDefault="00A8138F" w:rsidP="00A8138F">
      <w:pPr>
        <w:pStyle w:val="TextoNormal"/>
      </w:pPr>
      <w:r>
        <w:t>Si partimos de la consideración de que la concreta asignación de medios materiales no integra el núcleo esencial de la función representativa, debemos afirmar que la asignación de espacios se incluye dentro de esta noción general de la asignación de medios materiales y, por tanto, no puede tenerse por conformadora del núcleo de la función representativa; y la asignación de espacios atribuidos al recurrente en amparo tampoco parece que le impida ejercer esas funciones legislativa y de control que conforman lo esencial del desempeño de su función representativa. De hecho, ha podido desempeñar sus funciones hasta el punto de haber tenido la ocasión de impugnar las resoluciones de la Cámara que habrían podido afectar a ese ejercicio tanto en este proceso de amparo como en uno sucesivo (el recurso de amparo núm. 2970-2022). Además, no se le somete a un trato discriminatorio si se tiene en cuenta que ningún diputado o diputada tiene derecho a poseer un espacio privativo y reservado. Cosa distinta es que se pueda llegar a valorar como idóneo o no el lugar en que se ha ubicado al recurrente en amparo; pero, no existiendo alegación ni prueba alguna aportada por él de que la atribución del espacio de trabajo en una zona común le impida el ejercicio de sus funciones [en este sentido, STC 69/2021, de 18 de marzo, FJ 5 C)], no es posible considerar menoscabado, por esta razón, el art. 23.2 CE.</w:t>
      </w:r>
    </w:p>
    <w:p w14:paraId="5A29DAC2" w14:textId="77777777" w:rsidR="00A8138F" w:rsidRDefault="00A8138F" w:rsidP="00A8138F">
      <w:pPr>
        <w:pStyle w:val="TextoNormal"/>
      </w:pPr>
    </w:p>
    <w:p w14:paraId="1C8D6D62" w14:textId="288B4148" w:rsidR="00A8138F" w:rsidRDefault="00A8138F" w:rsidP="00A8138F">
      <w:pPr>
        <w:pStyle w:val="TextoNormal"/>
      </w:pPr>
      <w:r>
        <w:t xml:space="preserve">(ii) Por lo que hace a las quejas relativas a los límites de la reconsideración, que se aplican a una parte de las respuestas que da la mesa de la Cámara al recurrente en amparo, es preciso recordar que la facultad de solicitar una reconsideración viene limitada por el reglamento de la Cámara. Se prevé expresamente en el art. 32.2 RPIB que si un diputado o una diputada o un grupo parlamentario discrepara de la decisión adoptada por la mesa en el ejercicio de las funciones a que se refieren los puntos 4 y 5 del art. 32.1 RPIB, podrá solicitar su reconsideración en el plazo de diez días a contar desde la recepción de la notificación. Los apartados citados se refieren a la función de “[c]alificar, con arreglo al Reglamento los escritos y los documentos de índole parlamentaria, así como declarar la admisibilidad o inadmisibilidad de los mismos” (punto 4) y de “[d]ecidir la tramitación de todos los escritos y documentos de índole parlamentaria, de acuerdo con las normas establecidas en este reglamento” (punto 5). Ninguna de las resoluciones respecto de las que no se prevé la reconsideración, adoptadas por la mesa, se asocian a ninguna de estas dos funciones, de modo que no se ha </w:t>
      </w:r>
      <w:r>
        <w:lastRenderedPageBreak/>
        <w:t>limitado ninguna facultad del recurrente por el hecho de advertirle de que no cabe reconsideración frente a las resoluciones controvertidas, quedando en cambio expedita la vía directa del recurso de amparo constitucional previsto en el art. 42 LOTC. Ni el recurrente justifica que la decisión de la mesa sea errónea o arbitraria en punto a la aplicación del art. 32.2 RPIB, ni se puede afirmar que así sea.</w:t>
      </w:r>
    </w:p>
    <w:p w14:paraId="17F24C73" w14:textId="77777777" w:rsidR="00A8138F" w:rsidRDefault="00A8138F" w:rsidP="00A8138F">
      <w:pPr>
        <w:pStyle w:val="TextoNormal"/>
      </w:pPr>
    </w:p>
    <w:p w14:paraId="76D8165A" w14:textId="77777777" w:rsidR="00A8138F" w:rsidRDefault="00A8138F" w:rsidP="00A8138F">
      <w:pPr>
        <w:pStyle w:val="TextoNormalCentrado"/>
        <w:keepNext/>
      </w:pPr>
      <w:r>
        <w:t>FALLO</w:t>
      </w:r>
    </w:p>
    <w:p w14:paraId="4C3CBD98" w14:textId="5142482F" w:rsidR="00A8138F" w:rsidRDefault="00A8138F" w:rsidP="00A8138F">
      <w:pPr>
        <w:pStyle w:val="TextoNormalCentrado"/>
        <w:keepNext/>
      </w:pPr>
    </w:p>
    <w:p w14:paraId="5953003B" w14:textId="603CAFD9"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don Messod Maxo Benalal Bendrihem.</w:t>
      </w:r>
    </w:p>
    <w:p w14:paraId="265C8EEA" w14:textId="77777777" w:rsidR="00A8138F" w:rsidRDefault="00A8138F" w:rsidP="00A8138F">
      <w:pPr>
        <w:pStyle w:val="TextoNormal"/>
      </w:pPr>
    </w:p>
    <w:p w14:paraId="209CF539" w14:textId="77777777" w:rsidR="00A8138F" w:rsidRDefault="00A8138F" w:rsidP="00A8138F">
      <w:pPr>
        <w:pStyle w:val="TextoNormal"/>
      </w:pPr>
      <w:r>
        <w:t>Publíquese esta sentencia en el “Boletín Oficial del Estado”.</w:t>
      </w:r>
    </w:p>
    <w:p w14:paraId="64838D0C" w14:textId="77777777" w:rsidR="00A8138F" w:rsidRDefault="00A8138F" w:rsidP="00A8138F">
      <w:pPr>
        <w:pStyle w:val="TextoNormal"/>
      </w:pPr>
      <w:r>
        <w:t>Dada en Madrid, a veintisiete de enero de dos mil veinticinco.</w:t>
      </w:r>
    </w:p>
    <w:p w14:paraId="7B0436D5" w14:textId="40785C8E" w:rsidR="00A8138F" w:rsidRDefault="00A8138F" w:rsidP="00A8138F">
      <w:pPr>
        <w:pStyle w:val="ParrafoNormal"/>
      </w:pPr>
    </w:p>
    <w:p w14:paraId="4DCDA71E" w14:textId="77777777" w:rsidR="00A8138F" w:rsidRDefault="00A8138F" w:rsidP="00A8138F">
      <w:pPr>
        <w:pStyle w:val="TextoNormalNegritaCentrado"/>
        <w:keepNext/>
      </w:pPr>
      <w:r>
        <w:t>Voto particular que formula el magistrado don Enrique Arnaldo Alcubilla a la sentencia dictada por la Sala Segunda en el recurso de amparo núm. 230-2022</w:t>
      </w:r>
    </w:p>
    <w:p w14:paraId="189D6AD8" w14:textId="6A18A061" w:rsidR="00A8138F" w:rsidRDefault="00A8138F" w:rsidP="00A8138F">
      <w:pPr>
        <w:pStyle w:val="TextoNormalNegritaCentrado"/>
        <w:keepNext/>
      </w:pPr>
    </w:p>
    <w:p w14:paraId="0AC61F7F" w14:textId="77777777" w:rsidR="00A8138F" w:rsidRDefault="00A8138F" w:rsidP="00A8138F">
      <w:pPr>
        <w:pStyle w:val="TextoNormal"/>
      </w:pPr>
      <w:r>
        <w:t>En el ejercicio de la facultad conferida por el art. 90.2 LOTC y con respeto a la opinión de mis compañeros, formulo el presente voto particular, por las razones defendidas durante la deliberación y que expongo a continuación.</w:t>
      </w:r>
    </w:p>
    <w:p w14:paraId="0762D8C3" w14:textId="77777777" w:rsidR="00A8138F" w:rsidRDefault="00A8138F" w:rsidP="00A8138F">
      <w:pPr>
        <w:pStyle w:val="TextoNormal"/>
      </w:pPr>
    </w:p>
    <w:p w14:paraId="3EEE0AFF" w14:textId="77777777" w:rsidR="00A8138F" w:rsidRDefault="00A8138F" w:rsidP="00A8138F">
      <w:pPr>
        <w:pStyle w:val="TextoNormal"/>
      </w:pPr>
      <w:r>
        <w:t xml:space="preserve">1. </w:t>
      </w:r>
      <w:r w:rsidRPr="00A8138F">
        <w:rPr>
          <w:i/>
        </w:rPr>
        <w:t>La</w:t>
      </w:r>
      <w:r>
        <w:t xml:space="preserve"> ratio decidendi </w:t>
      </w:r>
      <w:r w:rsidRPr="00A8138F">
        <w:rPr>
          <w:i/>
        </w:rPr>
        <w:t>de la sentencia: aplicación de la doctrina sentada en la STC 159/2019 sobre los derechos y facultades del diputado “no adscrito”</w:t>
      </w:r>
    </w:p>
    <w:p w14:paraId="2F05D077" w14:textId="77777777" w:rsidR="00A8138F" w:rsidRDefault="00A8138F" w:rsidP="00A8138F">
      <w:pPr>
        <w:pStyle w:val="TextoNormal"/>
      </w:pPr>
    </w:p>
    <w:p w14:paraId="2C583ED3" w14:textId="77777777" w:rsidR="00A8138F" w:rsidRDefault="00A8138F" w:rsidP="00A8138F">
      <w:pPr>
        <w:pStyle w:val="TextoNormal"/>
      </w:pPr>
      <w:r>
        <w:t>La sentencia que nos ocupa se presenta como de mera aplicación de doctrina. En concreto, de la sentada en la STC 159/2019, de 12 de diciembre, en la que el Pleno del Tribunal se pronuncia, por primera vez (aunque con apoyo a su vez en la doctrina sentada en la STC 151/2017, de 21 de diciembre, sobre la figura del concejal no adscrito, y las sentencias que allí se citan), sobre la atribución de la condición de diputado no adscrito a un parlamentario de una asamblea autonómica y sobre las facultades y derechos que les corresponden a los diputados no adscritos a ningún grupo parlamentario.</w:t>
      </w:r>
    </w:p>
    <w:p w14:paraId="4A9976CD" w14:textId="77777777" w:rsidR="00A8138F" w:rsidRDefault="00A8138F" w:rsidP="00A8138F">
      <w:pPr>
        <w:pStyle w:val="TextoNormal"/>
      </w:pPr>
    </w:p>
    <w:p w14:paraId="14F9EA67" w14:textId="77777777" w:rsidR="00A8138F" w:rsidRDefault="00A8138F" w:rsidP="00A8138F">
      <w:pPr>
        <w:pStyle w:val="TextoNormal"/>
      </w:pPr>
      <w:r>
        <w:t>En aplicación de esa doctrina constitucional al concreto caso ahora enjuiciado, la sentencia desestima el recurso de amparo interpuesto por el diputado recurrente contra determinadas resoluciones de la mesa del Parlamento de las Illes Balears que deniegan o inadmiten las peticiones o reconsideraciones formuladas por aquel en relación con los derechos o facultades que la mesa le reconoce en su condición de diputado no adscrito. El recurrente, diputado en dicho Parlamento desde 2019, fue expulsado el 25 de mayo de 2021 de su partido (Ciudadanos-Partido por la Ciudadanía), en cuya lista de candidatos concurrió, y el 10 de septiembre siguiente fue expulsado del Grupo Parlamentario Ciudadanos, lo que ese mismo día fue comunicado por el portavoz de ese grupo a la mesa de la Cámara, que acordó tres días más tarde otorgarle la condición de diputado “no adscrito”.</w:t>
      </w:r>
    </w:p>
    <w:p w14:paraId="33D55B30" w14:textId="77777777" w:rsidR="00A8138F" w:rsidRDefault="00A8138F" w:rsidP="00A8138F">
      <w:pPr>
        <w:pStyle w:val="TextoNormal"/>
      </w:pPr>
    </w:p>
    <w:p w14:paraId="2EB236FD" w14:textId="77777777" w:rsidR="00A8138F" w:rsidRDefault="00A8138F" w:rsidP="00A8138F">
      <w:pPr>
        <w:pStyle w:val="TextoNormal"/>
      </w:pPr>
      <w:r>
        <w:t xml:space="preserve">Huelga decir que la aplicación de la citada doctrina constitucional al presente caso conduce a desestimar el recurso de amparo porque, conforme a dicha doctrina, los acuerdos </w:t>
      </w:r>
      <w:r>
        <w:lastRenderedPageBreak/>
        <w:t>parlamentarios impugnados, que limitan las facultades de los diputados no adscritos a las que se reconocen a los diputados individualmente considerados, excluyendo las reservadas a los grupos parlamentarios, no vulnerarían el derecho del recurrente que garantiza el art. 23.2 CE, según razona la sentencia.</w:t>
      </w:r>
    </w:p>
    <w:p w14:paraId="093A6CBD" w14:textId="77777777" w:rsidR="00A8138F" w:rsidRDefault="00A8138F" w:rsidP="00A8138F">
      <w:pPr>
        <w:pStyle w:val="TextoNormal"/>
      </w:pPr>
    </w:p>
    <w:p w14:paraId="359F76F5" w14:textId="77777777" w:rsidR="00A8138F" w:rsidRDefault="00A8138F" w:rsidP="00A8138F">
      <w:pPr>
        <w:pStyle w:val="TextoNormal"/>
      </w:pPr>
      <w:r>
        <w:t>Como expuse en la deliberación, mi discrepancia no reside tanto en la aplicación al caso que la sentencia hace de la doctrina sentada en la STC 159/2019 en relación con la figura del llamado diputado “no adscrito” que prevén algunos reglamentos de parlamentos autonómicos, como en la pertinencia o procedencia de seguir aplicando acrítica y mecánicamente esa doctrina a supuestos como el presente. Pues considero que esa doctrina incurre en algunos excesos e incorrecciones, lo que justificaría su revisión o matización; algo que, obviamente, solo puede llevar a cabo el Pleno del Tribunal (art. 13 LOTC). Por ello, estimo que el Tribunal, o más precisamente su Sala Segunda en este caso, al no someter la cuestión al Pleno, ha desaprovechado una excelente ocasión para reconsiderar o matizar la doctrina constitucional sobre las facultades del diputado no adscrito, en el marco del derecho fundamental de participación política garantizado por el art. 23.2 CE.</w:t>
      </w:r>
    </w:p>
    <w:p w14:paraId="36BD7C2F" w14:textId="77777777" w:rsidR="00A8138F" w:rsidRDefault="00A8138F" w:rsidP="00A8138F">
      <w:pPr>
        <w:pStyle w:val="TextoNormal"/>
      </w:pPr>
    </w:p>
    <w:p w14:paraId="7DBB7C73" w14:textId="77777777" w:rsidR="00A8138F" w:rsidRDefault="00A8138F" w:rsidP="00A8138F">
      <w:pPr>
        <w:pStyle w:val="TextoNormal"/>
      </w:pPr>
      <w:r>
        <w:t xml:space="preserve">2. </w:t>
      </w:r>
      <w:r w:rsidRPr="00A8138F">
        <w:rPr>
          <w:i/>
        </w:rPr>
        <w:t>El transfuguismo político y la creación de la figura del diputado “no adscrito”</w:t>
      </w:r>
    </w:p>
    <w:p w14:paraId="1A4E274F" w14:textId="77777777" w:rsidR="00A8138F" w:rsidRDefault="00A8138F" w:rsidP="00A8138F">
      <w:pPr>
        <w:pStyle w:val="TextoNormal"/>
      </w:pPr>
    </w:p>
    <w:p w14:paraId="74356645" w14:textId="77777777" w:rsidR="00A8138F" w:rsidRDefault="00A8138F" w:rsidP="00A8138F">
      <w:pPr>
        <w:pStyle w:val="TextoNormal"/>
      </w:pPr>
      <w:r>
        <w:t>No es infrecuente considerar la creación de la figura del diputado no adscrito, en algunos reglamentos de asambleas legislativas autonómicas, como una medida de reacción frente al fenómeno del transfuguismo político, que ha dado ya lugar a pronunciamientos de este tribunal en los que se viene a sentar una doctrina sobre la adecuación al art. 23.2 CE de las restricciones o limitaciones a los derechos y facultades del diputado no adscrito, impuestas con el fin de desincentivar la práctica del transfuguismo.</w:t>
      </w:r>
    </w:p>
    <w:p w14:paraId="2BDC8F3A" w14:textId="77777777" w:rsidR="00A8138F" w:rsidRDefault="00A8138F" w:rsidP="00A8138F">
      <w:pPr>
        <w:pStyle w:val="TextoNormal"/>
      </w:pPr>
    </w:p>
    <w:p w14:paraId="52D3C085" w14:textId="77777777" w:rsidR="00A8138F" w:rsidRDefault="00A8138F" w:rsidP="00A8138F">
      <w:pPr>
        <w:pStyle w:val="TextoNormal"/>
      </w:pPr>
      <w:r>
        <w:t xml:space="preserve">De acuerdo con esa doctrina constitucional (por todas, las citadas SSTC 151/2017, FFJJ 5 a 7, y 159/2019, FJ 7), poseyendo relevancia jurídica la adscripción política de los representantes, puede entenderse que las restricciones o limitaciones impuestas a los diputados no adscritos con el fin de intervenir frente al transfuguismo responden, en principio, a un fin constitucionalmente legítimo, si bien no pueden ser de tal calado e intensidad que den lugar a desnaturalizar, en contra de la garantía de igualdad contenida en el art. 23 CE, los derechos integrantes del </w:t>
      </w:r>
      <w:r w:rsidRPr="00A8138F">
        <w:rPr>
          <w:i/>
        </w:rPr>
        <w:t>ius in officium</w:t>
      </w:r>
      <w:r>
        <w:t xml:space="preserve"> del diputado, núcleo de la función representativa. Para determinar si las restricciones o limitaciones impuestas son conformes con la garantía de igualdad este tribunal aplica el juicio de proporcionalidad. La garantía de igualdad ha de armonizarse además, de manera insoslayable, con la libertad de mandato, opción política de nuestra Constitución en el marco del derecho de participación política que permite construir la representación política a través de una vinculación inmediata entre los representantes y los representados (como se viene diciendo desde la STC 10/1983, de 21 de febrero, FJ 2), ya que las funciones del núcleo de derechos y facultades de los representantes políticos se atribuyen a su titular y no al partido político o grupo en el que se integre o en cuyas listas hubiera concurrido a las elecciones. Dicho de otro modo, nuestra doctrina concede preferencia a la representatividad democrática de los parlamentarios frente a su condición de candidatos de un partido.</w:t>
      </w:r>
    </w:p>
    <w:p w14:paraId="71904DFC" w14:textId="77777777" w:rsidR="00A8138F" w:rsidRDefault="00A8138F" w:rsidP="00A8138F">
      <w:pPr>
        <w:pStyle w:val="TextoNormal"/>
      </w:pPr>
    </w:p>
    <w:p w14:paraId="04820FB0" w14:textId="77777777" w:rsidR="00A8138F" w:rsidRDefault="00A8138F" w:rsidP="00A8138F">
      <w:pPr>
        <w:pStyle w:val="TextoNormal"/>
      </w:pPr>
      <w:r>
        <w:t xml:space="preserve">Sea como fuere, conviene advertir que en el supuesto que nos ocupa ni siquiera consta que nos hallemos ante un supuesto de transfuguismo. Lo único que consta es que el diputado recurrente en amparo fue expulsado del partido político al que estaba afiliado y en cuya lista </w:t>
      </w:r>
      <w:r>
        <w:lastRenderedPageBreak/>
        <w:t>concurrió a las elecciones autonómicas y seguidamente fue expulsado del grupo parlamentario, lo que determinó que la mesa de la Cámara le atribuyera la condición de diputado no adscrito. En todo caso, lo cierto es que el art. 27.1 b) del Reglamento del Parlamento de las Illes Balears no efectúa distinción alguna y equipara, a efectos de la declaración como diputado no adscrito, a todos los diputados que hayan dejado de pertenecer al grupo parlamentario al que se adscribieron al inicio de su mandato cuando “abandonen su grupo o sean expulsados”. Así pues, al no establecer diferencia alguna en función de las circunstancias que pudieran haber desencadenado el cese de su vinculación con el grupo, la norma reglamentaria viene a presumir que cualquier disolución de ese nexo orgánico (único factor relevante y presupuesto único de la norma) es contraria en sí misma considerada a la estabilidad de la vida parlamentaria y por ello merecedora de la decisión de desplazar al diputado en cuestión a la condición de no adscrito, con la correspondiente e intensa limitación o restricción de sus derechos y facultades.</w:t>
      </w:r>
    </w:p>
    <w:p w14:paraId="05CCFC9F" w14:textId="77777777" w:rsidR="00A8138F" w:rsidRDefault="00A8138F" w:rsidP="00A8138F">
      <w:pPr>
        <w:pStyle w:val="TextoNormal"/>
      </w:pPr>
    </w:p>
    <w:p w14:paraId="4E448F3D" w14:textId="77777777" w:rsidR="00A8138F" w:rsidRDefault="00A8138F" w:rsidP="00A8138F">
      <w:pPr>
        <w:pStyle w:val="TextoNormal"/>
      </w:pPr>
      <w:r>
        <w:t>Esa regulación del reglamento de la Cámara autonómica me suscita serias dudas acerca de su conformidad con la garantía de igualdad del art. 23 CE, en cuanto al cumplimiento del juicio de proporcionalidad; dudas que, obviamente, solo podrían haberse despejado mediante el planteamiento de una cuestión interna de inconstitucionalidad (art. 55.2 LOTC) respecto de la previsión contenida en el art. 27.1 b) del Reglamento del Parlamento de las Illes Balears [art. 27.2 f) LOTC], en relación con el art. 28.1 de dicho reglamento (“Los diputados y las diputadas no adscritos tienen los derechos que el reglamento reconozca a los diputados individualmente sin perjuicio de las especificidades determinadas por este reglamento”), como por cierto solicitaba expresamente el demandante de amparo.</w:t>
      </w:r>
    </w:p>
    <w:p w14:paraId="78DD5664" w14:textId="77777777" w:rsidR="00A8138F" w:rsidRDefault="00A8138F" w:rsidP="00A8138F">
      <w:pPr>
        <w:pStyle w:val="TextoNormal"/>
      </w:pPr>
    </w:p>
    <w:p w14:paraId="7F2FC72E" w14:textId="77777777" w:rsidR="00A8138F" w:rsidRDefault="00A8138F" w:rsidP="00A8138F">
      <w:pPr>
        <w:pStyle w:val="TextoNormal"/>
      </w:pPr>
      <w:r>
        <w:t xml:space="preserve">3. </w:t>
      </w:r>
      <w:r w:rsidRPr="00A8138F">
        <w:rPr>
          <w:i/>
        </w:rPr>
        <w:t>El diputado no adscrito no puede verse despojado de las facultades que integran el núcleo de la función representativa</w:t>
      </w:r>
    </w:p>
    <w:p w14:paraId="0195EB6A" w14:textId="77777777" w:rsidR="00A8138F" w:rsidRDefault="00A8138F" w:rsidP="00A8138F">
      <w:pPr>
        <w:pStyle w:val="TextoNormal"/>
      </w:pPr>
    </w:p>
    <w:p w14:paraId="549C748D" w14:textId="77777777" w:rsidR="00A8138F" w:rsidRDefault="00A8138F" w:rsidP="00A8138F">
      <w:pPr>
        <w:pStyle w:val="TextoNormal"/>
      </w:pPr>
      <w:r>
        <w:t xml:space="preserve">La doctrina sentada en la STC 159/2019 permite que la imposición por la mesa de la asamblea legislativa de limitaciones o restricciones muy severas a las facultades que integran el núcleo esencial del </w:t>
      </w:r>
      <w:r w:rsidRPr="00A8138F">
        <w:rPr>
          <w:i/>
        </w:rPr>
        <w:t>ius in officium</w:t>
      </w:r>
      <w:r>
        <w:t xml:space="preserve"> del diputado no adscrito sean consideradas conformes a la garantía del art. 23 CE, en virtud de una aplicación muy laxa, a mi parecer, del juicio de proporcionalidad, que se transforma en realidad en un mero juicio de razonabilidad, mucho menos incisivo, como es obvio. Por ello entiendo que esa doctrina es merecedora de un proceso de reflexión interno, que permita su matización y corrección.</w:t>
      </w:r>
    </w:p>
    <w:p w14:paraId="7EA2F4CA" w14:textId="77777777" w:rsidR="00A8138F" w:rsidRDefault="00A8138F" w:rsidP="00A8138F">
      <w:pPr>
        <w:pStyle w:val="TextoNormal"/>
      </w:pPr>
    </w:p>
    <w:p w14:paraId="21CB39B5" w14:textId="77777777" w:rsidR="00A8138F" w:rsidRDefault="00A8138F" w:rsidP="00A8138F">
      <w:pPr>
        <w:pStyle w:val="TextoNormal"/>
      </w:pPr>
      <w:r>
        <w:t>Ciertamente, nada cabe objetar, en principio, a una previsión normativa, o a una interpretación del reglamento parlamentario de que se trate por la Presidencia o la mesa de la Cámara que tienda a evitar una eventual sobrerrepresentación del diputado no adscrito. Pero tampoco creo admisible que el diputado no inserto en ningún grupo político, por haber abandonado el grupo parlamentario del que formaba parte o por haber sido expulsado de este, sea colocado en una posición de infrarrepresentación, que no sería conforme con la garantía de igualdad del art. 23 CE, que además debe armonizarse inexcusablemente con la libertad de mandato, como ya hemos señalado. La realidad es que en los términos en que el Reglamento del Parlamento de las Illes Balears está redactado, y en los que ha sido interpretado por el órgano rector del mismo, la situación o, si se prefiere, el estatuto funcional del diputado no adscrito queda reducido tan a la mínima expresión que se produce la desnaturalización de la función representativa.</w:t>
      </w:r>
    </w:p>
    <w:p w14:paraId="7B9AF00F" w14:textId="77777777" w:rsidR="00A8138F" w:rsidRDefault="00A8138F" w:rsidP="00A8138F">
      <w:pPr>
        <w:pStyle w:val="TextoNormal"/>
      </w:pPr>
    </w:p>
    <w:p w14:paraId="24E935F8" w14:textId="77777777" w:rsidR="00A8138F" w:rsidRDefault="00A8138F" w:rsidP="00A8138F">
      <w:pPr>
        <w:pStyle w:val="TextoNormal"/>
      </w:pPr>
      <w:r>
        <w:lastRenderedPageBreak/>
        <w:t>A este respecto no se puede olvidar que, como ha señalado la doctrina constitucional, los grupos parlamentarios en las actuales asambleas legislativas son entes imprescindibles y principales en la organización y funcionamiento de las cámaras, así como en el desempeño de las funciones parlamentarias, y tienen un carácter vertebrador en el moderno parlamentarismo, tanto en la organización y funcionamiento de la Cámara, como en el desempeño de las funciones parlamentarias. Ello supone que el pase a la situación de diputado no adscrito comporta una rebaja en las posibilidades de actuación, tanto en lo relativo a las iniciativas legislativas y de control de Gobierno, como a la integración en los órganos de la asamblea legislativa (en este sentido, STC 93/2023, de 12 de septiembre, FFJJ 3 y 4). La conclusión para este tribunal ha sido, hasta el momento, que ello no incide en el núcleo de la función representativa, pero tal aserto es puramente nominalista y no se compadece con su real desdibujamiento. Por ello, entiendo que esta doctrina constitucional merece ser revisada, por cuanto no puede privarse en términos absolutos a los diputados no adscritos, en virtud de las decisiones que, en cada caso, alcance la mesa de la Cámara, del desempeño de alguna de las facultades que forman parte del núcleo de</w:t>
      </w:r>
      <w:r w:rsidRPr="00A8138F">
        <w:rPr>
          <w:i/>
        </w:rPr>
        <w:t>l ius in offici</w:t>
      </w:r>
      <w:r>
        <w:t>um.</w:t>
      </w:r>
    </w:p>
    <w:p w14:paraId="15FEB091" w14:textId="77777777" w:rsidR="00A8138F" w:rsidRDefault="00A8138F" w:rsidP="00A8138F">
      <w:pPr>
        <w:pStyle w:val="TextoNormal"/>
      </w:pPr>
    </w:p>
    <w:p w14:paraId="4479F146" w14:textId="77777777" w:rsidR="00A8138F" w:rsidRDefault="00A8138F" w:rsidP="00A8138F">
      <w:pPr>
        <w:pStyle w:val="TextoNormal"/>
      </w:pPr>
      <w:r>
        <w:t>Por lo demás, nuestra doctrina sobre las limitaciones y restricciones vinculadas al estatuto del diputado no adscrito debería reforzar la exigencia de aplicar el juicio de proporcionalidad en el control constitucional de las concretas medidas limitativas impuestas en cada caso. Así, en el supuesto que nos ocupa, no creo que puedan considerarse proporcionadas medidas tales como la drástica limitación de las preguntas orales que puede formular el diputado no adscrito (una por periodo de sesiones, esto es, dos por año) o de las interpelaciones (una cada dos periodos de sesiones), así como, por ejemplo, la exclusión absoluta de la facultad de elegir la comisión no permanente en la que puede participar.</w:t>
      </w:r>
    </w:p>
    <w:p w14:paraId="04A54B8B" w14:textId="77777777" w:rsidR="00A8138F" w:rsidRDefault="00A8138F" w:rsidP="00A8138F">
      <w:pPr>
        <w:pStyle w:val="TextoNormal"/>
      </w:pPr>
    </w:p>
    <w:p w14:paraId="4C033787" w14:textId="77777777" w:rsidR="00A8138F" w:rsidRDefault="00A8138F" w:rsidP="00A8138F">
      <w:pPr>
        <w:pStyle w:val="TextoNormal"/>
      </w:pPr>
      <w:r>
        <w:t>En definitiva, considero que la doctrina sentada en la STC 159/2019 sobre la adecuación a la garantía del art. 23 CE de las restricciones o limitaciones impuestas a los derechos y facultades del diputado no adscrito en los reglamentos de las asambleas legislativas proporciona un punto de partida desde el cual matizar y desarrollar esa doctrina, a fin de establecer un escrutinio más minucioso por parte de este tribunal de la legitimidad constitucional de tales medidas limitativas o restrictivas, cuando nuestro pronunciamiento al respecto nos sea demandado en un amparo parlamentario.</w:t>
      </w:r>
    </w:p>
    <w:p w14:paraId="753E05EE" w14:textId="77777777" w:rsidR="00A8138F" w:rsidRDefault="00A8138F" w:rsidP="00A8138F">
      <w:pPr>
        <w:pStyle w:val="TextoNormal"/>
      </w:pPr>
    </w:p>
    <w:p w14:paraId="158E0684" w14:textId="677675E4" w:rsidR="00A8138F" w:rsidRDefault="00A8138F" w:rsidP="00A8138F">
      <w:pPr>
        <w:pStyle w:val="TextoNormal"/>
      </w:pPr>
      <w:r>
        <w:t>Madrid, a veintisiete de enero de dos mil veinticinco.</w:t>
      </w:r>
    </w:p>
    <w:p w14:paraId="75D60D82" w14:textId="2FD12A17" w:rsidR="00A8138F" w:rsidRDefault="00A8138F">
      <w:pPr>
        <w:spacing w:after="160" w:line="278" w:lineRule="auto"/>
        <w:rPr>
          <w:rFonts w:ascii="Times New Roman" w:eastAsia="Times New Roman" w:hAnsi="Times New Roman" w:cs="Times New Roman"/>
          <w:sz w:val="24"/>
          <w:szCs w:val="24"/>
          <w:lang w:eastAsia="es-ES"/>
        </w:rPr>
      </w:pPr>
      <w:r>
        <w:br w:type="page"/>
      </w:r>
    </w:p>
    <w:p w14:paraId="3C065FA8" w14:textId="77777777" w:rsidR="00A8138F" w:rsidRDefault="00A8138F" w:rsidP="00A8138F">
      <w:pPr>
        <w:pStyle w:val="TtuloResolucin"/>
      </w:pPr>
      <w:bookmarkStart w:id="17" w:name="SENTENCIA_2025_15"/>
      <w:r>
        <w:lastRenderedPageBreak/>
        <w:t>SENTENCIA 15/2025, de 27 de enero de 2025</w:t>
      </w:r>
    </w:p>
    <w:bookmarkEnd w:id="17"/>
    <w:p w14:paraId="2EE8F532" w14:textId="77777777" w:rsidR="00A8138F" w:rsidRDefault="00A8138F" w:rsidP="00A8138F">
      <w:pPr>
        <w:pStyle w:val="TtuloResolucin"/>
      </w:pPr>
      <w:r>
        <w:t>Sala Segunda</w:t>
      </w:r>
    </w:p>
    <w:p w14:paraId="3C93B479" w14:textId="77777777" w:rsidR="00A8138F" w:rsidRDefault="00A8138F" w:rsidP="00A8138F">
      <w:pPr>
        <w:pStyle w:val="TtuloBOE"/>
      </w:pPr>
      <w:r>
        <w:t>(BOE núm. 51, de 28 de febrero de 2025)</w:t>
      </w:r>
    </w:p>
    <w:p w14:paraId="51A79F07" w14:textId="77777777" w:rsidR="00A8138F" w:rsidRDefault="00A8138F" w:rsidP="00A8138F">
      <w:pPr>
        <w:pStyle w:val="TextoNormalCentrado"/>
      </w:pPr>
      <w:r>
        <w:t>ECLI:ES:TC:2025:15</w:t>
      </w:r>
    </w:p>
    <w:p w14:paraId="75E70E26" w14:textId="3C16CC47" w:rsidR="00A8138F" w:rsidRDefault="00A8138F" w:rsidP="00A8138F">
      <w:pPr>
        <w:pStyle w:val="TextoNormalCentrado"/>
      </w:pPr>
    </w:p>
    <w:p w14:paraId="5904B430" w14:textId="77777777" w:rsidR="00A8138F" w:rsidRDefault="00A8138F" w:rsidP="00A8138F">
      <w:pPr>
        <w:pStyle w:val="SntesisDescriptiva"/>
      </w:pPr>
      <w:r>
        <w:t>Recurso de amparo 2970-2022. Promovido por don Messod Maxo Benalal Bendrihem respecto de los acuerdos de la mesa del Parlamento de las Illes Balears que le inadmitieron o rechazaron diversas peticiones.</w:t>
      </w:r>
    </w:p>
    <w:p w14:paraId="4B757C86" w14:textId="7536F93E" w:rsidR="00A8138F" w:rsidRDefault="00A8138F" w:rsidP="00A8138F">
      <w:pPr>
        <w:pStyle w:val="SntesisDescriptiva"/>
      </w:pPr>
    </w:p>
    <w:p w14:paraId="4AA34C46" w14:textId="77777777" w:rsidR="00A8138F" w:rsidRDefault="00A8138F" w:rsidP="00A8138F">
      <w:pPr>
        <w:pStyle w:val="SntesisAnaltica"/>
      </w:pPr>
      <w:r>
        <w:t>Supuesta vulneración del derecho al ejercicio del cargo representativo: resoluciones parlamentarias relativas a los derechos o facultades de un diputado no adscrito (STC 159/2019). Voto particular.</w:t>
      </w:r>
    </w:p>
    <w:p w14:paraId="01236CEE" w14:textId="4716A420" w:rsidR="00A8138F" w:rsidRDefault="00A8138F" w:rsidP="00A8138F">
      <w:pPr>
        <w:pStyle w:val="SntesisAnaltica"/>
      </w:pPr>
    </w:p>
    <w:p w14:paraId="4667125D" w14:textId="390A0886" w:rsidR="00A8138F" w:rsidRDefault="00A8138F" w:rsidP="00A8138F">
      <w:pPr>
        <w:pStyle w:val="Extracto"/>
      </w:pPr>
      <w:r>
        <w:t>1.</w:t>
      </w:r>
      <w:r>
        <w:tab/>
        <w:t>Una previsión reglamentaria que reserva a los diputados no adscritos las facultades previstas para los diputados y diputadas individualmente considerados es plenamente constitucional porque neutraliza la desigualdad en el ejercicio de la función representativa que llevaría aparejada la sobrerrepresentación del diputado no adscrito (STC 159/2019) [FJ 3].</w:t>
      </w:r>
    </w:p>
    <w:p w14:paraId="026CFB68" w14:textId="77777777" w:rsidR="00A8138F" w:rsidRDefault="00A8138F" w:rsidP="00A8138F">
      <w:pPr>
        <w:pStyle w:val="Extracto"/>
      </w:pPr>
    </w:p>
    <w:p w14:paraId="48279841" w14:textId="1952EC90" w:rsidR="00A8138F" w:rsidRDefault="00A8138F" w:rsidP="00A8138F">
      <w:pPr>
        <w:pStyle w:val="Extracto"/>
      </w:pPr>
      <w:r>
        <w:t>2.</w:t>
      </w:r>
      <w:r>
        <w:tab/>
        <w:t xml:space="preserve">Si no se impide el ejercicio de la facultad de enmienda, ni la intervención en el procedimiento legislativo, ni la participación adecuada en la votación de  enmiendas, la decisión parlamentaria de agrupar la votación de las enmiendas de un modo determinado sin previa consulta a un parlamentario no menoscaba su </w:t>
      </w:r>
      <w:r w:rsidRPr="00A8138F">
        <w:rPr>
          <w:i/>
        </w:rPr>
        <w:t xml:space="preserve">ius in officium </w:t>
      </w:r>
      <w:r>
        <w:t>[FJ 4].</w:t>
      </w:r>
    </w:p>
    <w:p w14:paraId="3C8B8207" w14:textId="77777777" w:rsidR="00A8138F" w:rsidRDefault="00A8138F" w:rsidP="00A8138F">
      <w:pPr>
        <w:pStyle w:val="Extracto"/>
      </w:pPr>
    </w:p>
    <w:p w14:paraId="05CC4168" w14:textId="001C1D51" w:rsidR="00A8138F" w:rsidRDefault="00A8138F" w:rsidP="00A8138F">
      <w:pPr>
        <w:pStyle w:val="Extracto"/>
      </w:pPr>
      <w:r>
        <w:t>3.</w:t>
      </w:r>
      <w:r>
        <w:tab/>
        <w:t xml:space="preserve">La privación genérica de la facultad de enmienda respecto de las proposiciones no de ley, que se proyecta a la totalidad de los diputados y diputadas individualmente tomados, al haberse reservado reglamentariamente a la actuación de los grupos parlamentarios, no puede considerase restrictiva del </w:t>
      </w:r>
      <w:r w:rsidRPr="00A8138F">
        <w:rPr>
          <w:i/>
        </w:rPr>
        <w:t>ius in officium</w:t>
      </w:r>
      <w:r>
        <w:t>, ni lesiva del art. 23.2 CE [FJ 4].</w:t>
      </w:r>
    </w:p>
    <w:p w14:paraId="1BDFA4D4" w14:textId="77777777" w:rsidR="00A8138F" w:rsidRDefault="00A8138F" w:rsidP="00A8138F">
      <w:pPr>
        <w:pStyle w:val="Extracto"/>
      </w:pPr>
    </w:p>
    <w:p w14:paraId="71B14DB0" w14:textId="059D10A3" w:rsidR="00A8138F" w:rsidRDefault="00A8138F" w:rsidP="00A8138F">
      <w:pPr>
        <w:pStyle w:val="Extracto"/>
      </w:pPr>
      <w:r>
        <w:t>4.</w:t>
      </w:r>
      <w:r>
        <w:tab/>
        <w:t>Ante la exigencia de representación proporcional en las estructuras de organización del trabajo parlamentario, y la constatación de la inexistencia de un derecho a elegir la comisión de pertenencia por parte de un diputado no adscrito, si éste está asociado a una comisión legislativa que le permite desarrollar su función parlamentaria en este ámbito, la decisión parlamentaria de impedir el cambio a otra comisión, por mera voluntad del diputado no adscrito, no resulta arbitraria, discriminatoria, falta de proporcionalidad, ni le limita su derecho a ejercer en condiciones de igualdad su cargo representativo (art. 23.2 CE) [FJ 4].</w:t>
      </w:r>
    </w:p>
    <w:p w14:paraId="4996702D" w14:textId="77777777" w:rsidR="00A8138F" w:rsidRDefault="00A8138F" w:rsidP="00A8138F">
      <w:pPr>
        <w:pStyle w:val="Extracto"/>
      </w:pPr>
    </w:p>
    <w:p w14:paraId="42DD9C1C" w14:textId="77777777" w:rsidR="00A8138F" w:rsidRDefault="00A8138F" w:rsidP="00A8138F">
      <w:pPr>
        <w:pStyle w:val="Extracto"/>
      </w:pPr>
    </w:p>
    <w:p w14:paraId="48A506CC" w14:textId="77777777" w:rsidR="00A8138F" w:rsidRDefault="00A8138F" w:rsidP="00A8138F">
      <w:pPr>
        <w:pStyle w:val="TextoNormal"/>
      </w:pPr>
      <w:r>
        <w:t>La Sala Segunda del Tribunal Constitucional, compuesta por la magistrada doña Inmaculada Montalbán Huertas, presidenta, y las magistradas y los magistrados doña María Luisa Balaguer Callejón, don Ramón Sáez Valcárcel, don Enrique Arnaldo Alcubilla, don César Tolosa Tribiño y doña Laura Díez Bueso, ha pronunciado</w:t>
      </w:r>
    </w:p>
    <w:p w14:paraId="757A7C0E" w14:textId="5BEA5AAA" w:rsidR="00A8138F" w:rsidRDefault="00A8138F" w:rsidP="00A8138F">
      <w:pPr>
        <w:pStyle w:val="TextoNormal"/>
      </w:pPr>
    </w:p>
    <w:p w14:paraId="619236DC" w14:textId="77777777" w:rsidR="00A8138F" w:rsidRDefault="00A8138F" w:rsidP="00A8138F">
      <w:pPr>
        <w:pStyle w:val="TextoNormalCentrado"/>
        <w:keepNext/>
      </w:pPr>
      <w:r>
        <w:lastRenderedPageBreak/>
        <w:t>EN NOMBRE DEL REY</w:t>
      </w:r>
    </w:p>
    <w:p w14:paraId="15FEC563" w14:textId="69E7180A" w:rsidR="00A8138F" w:rsidRDefault="00A8138F" w:rsidP="00A8138F">
      <w:pPr>
        <w:pStyle w:val="TextoNormalCentrado"/>
        <w:keepNext/>
      </w:pPr>
    </w:p>
    <w:p w14:paraId="21F20152" w14:textId="77777777" w:rsidR="00A8138F" w:rsidRDefault="00A8138F" w:rsidP="00A8138F">
      <w:pPr>
        <w:pStyle w:val="TextoNormalCentrado"/>
        <w:keepNext/>
      </w:pPr>
    </w:p>
    <w:p w14:paraId="40CAC6A4" w14:textId="77777777" w:rsidR="00A8138F" w:rsidRDefault="00A8138F" w:rsidP="00A8138F">
      <w:pPr>
        <w:pStyle w:val="TextoNormal"/>
      </w:pPr>
      <w:r>
        <w:t>la siguiente</w:t>
      </w:r>
    </w:p>
    <w:p w14:paraId="4A989A23" w14:textId="5B5E03F5" w:rsidR="00A8138F" w:rsidRDefault="00A8138F" w:rsidP="00A8138F">
      <w:pPr>
        <w:pStyle w:val="TextoNormal"/>
      </w:pPr>
    </w:p>
    <w:p w14:paraId="15856BD3" w14:textId="77777777" w:rsidR="00A8138F" w:rsidRDefault="00A8138F" w:rsidP="00A8138F">
      <w:pPr>
        <w:pStyle w:val="TextoNormalCentrado"/>
        <w:keepNext/>
      </w:pPr>
      <w:r>
        <w:t>SENTENCIA</w:t>
      </w:r>
    </w:p>
    <w:p w14:paraId="5A8902B3" w14:textId="55396285" w:rsidR="00A8138F" w:rsidRDefault="00A8138F" w:rsidP="00A8138F">
      <w:pPr>
        <w:pStyle w:val="TextoNormalCentrado"/>
        <w:keepNext/>
      </w:pPr>
    </w:p>
    <w:p w14:paraId="32010B89" w14:textId="77777777" w:rsidR="00A8138F" w:rsidRDefault="00A8138F" w:rsidP="00A8138F">
      <w:pPr>
        <w:pStyle w:val="TextoNormal"/>
      </w:pPr>
      <w:r>
        <w:t>En el recurso de amparo núm. 2970-2022, promovido por don Messod Maxo Benalal Bendrihem, representado por la procuradora de los tribunales doña Begoña del Arco Herrero y defendido por él mismo, se solicita la anulación de los acuerdos de la mesa del Parlamento de las Illes Balears con registro general de salida núm. 254-2022, de 26 de enero de 2022; 722-2022, de 16 de febrero de 2022; 1013-2022, de 7 de marzo de 2022; 1391-2022 y 1392-2022, ambos de 23 de marzo de 2022, que deniegan o inadmiten las peticiones o reconsideraciones formuladas por el recurrente, en relación con sus derechos o facultades como diputado no adscrito. Ha sido parte el Parlamento de las Illes Balears. Ha intervenido el Ministerio Fiscal. Ha sido ponente la magistrada doña María Luisa Balaguer Callejón.</w:t>
      </w:r>
    </w:p>
    <w:p w14:paraId="4CC40FF4" w14:textId="40770B80" w:rsidR="00A8138F" w:rsidRDefault="00A8138F" w:rsidP="00A8138F">
      <w:pPr>
        <w:pStyle w:val="TextoNormal"/>
      </w:pPr>
    </w:p>
    <w:p w14:paraId="77ECC897" w14:textId="77777777" w:rsidR="00A8138F" w:rsidRDefault="00A8138F" w:rsidP="00A8138F">
      <w:pPr>
        <w:pStyle w:val="TextoNormalNegritaCentrado"/>
        <w:keepNext/>
      </w:pPr>
      <w:r>
        <w:t>I. Antecedentes</w:t>
      </w:r>
    </w:p>
    <w:p w14:paraId="0EB14A43" w14:textId="427AB133" w:rsidR="00A8138F" w:rsidRDefault="00A8138F" w:rsidP="00A8138F">
      <w:pPr>
        <w:pStyle w:val="TextoNormalNegritaCentrado"/>
        <w:keepNext/>
      </w:pPr>
    </w:p>
    <w:p w14:paraId="324071AE" w14:textId="1198FACD" w:rsidR="00A8138F" w:rsidRDefault="00A8138F" w:rsidP="00A8138F">
      <w:pPr>
        <w:pStyle w:val="TextoNormal"/>
      </w:pPr>
      <w:r w:rsidRPr="00A8138F">
        <w:rPr>
          <w:rStyle w:val="NumeroAFNegritaCaracter"/>
        </w:rPr>
        <w:t>1</w:t>
      </w:r>
      <w:r>
        <w:t>. Mediante escrito presentado en este tribunal el día 27 de abril de 2022, la procuradora de los tribunales doña Begoña del Arco Herrero, en nombre y representación de don Messod Maxo Benalal Bendrihem, diputado del Parlamento de las Illes Balears, que asume su propia defensa como colegiado del Ilustre Colegio de la Abogacía de Madrid, impugna varios acuerdos de la mesa de la Cámara fechados: (i) el 26 de enero de 2022 con registro general de salida núm. 254-2022 y el 16 de febrero de 2022 con registro general de salida núm. 722-2022, ambos relativos a la tramitación y votación de las enmiendas al proyecto de ley de presupuestos generales de la comunidad autónoma para 2022; (ii) el 7 de marzo de 2022 con registro general de salida núm.1013-2022 y el 23 de marzo de 2022 con registro general de salida núm. 1391-2022, ambos sobre resoluciones referidas a la posibilidad de presentación de enmiendas a proposiciones no de ley; y (iii) el 23 de marzo de 2022 con registro general de salida núm. 1392-2022, en relación con la decisión relativa a la modificación de la comisión a la que se adscribe el diputado.</w:t>
      </w:r>
    </w:p>
    <w:p w14:paraId="34E8F50B" w14:textId="77777777" w:rsidR="00A8138F" w:rsidRDefault="00A8138F" w:rsidP="00A8138F">
      <w:pPr>
        <w:pStyle w:val="TextoNormal"/>
      </w:pPr>
    </w:p>
    <w:p w14:paraId="2831E877" w14:textId="77777777" w:rsidR="00A8138F" w:rsidRDefault="00A8138F" w:rsidP="00A8138F">
      <w:pPr>
        <w:pStyle w:val="TextoNormal"/>
      </w:pPr>
      <w:r w:rsidRPr="00A8138F">
        <w:rPr>
          <w:rStyle w:val="NumeroAFNegritaCaracter"/>
        </w:rPr>
        <w:t>2</w:t>
      </w:r>
      <w:r>
        <w:t>. Los hechos relevantes para la resolución del recurso de amparo son, sucintamente expuestos, los siguientes:</w:t>
      </w:r>
    </w:p>
    <w:p w14:paraId="7DFD54E1" w14:textId="77777777" w:rsidR="00A8138F" w:rsidRDefault="00A8138F" w:rsidP="00A8138F">
      <w:pPr>
        <w:pStyle w:val="TextoNormal"/>
      </w:pPr>
    </w:p>
    <w:p w14:paraId="11BA2627" w14:textId="77777777" w:rsidR="00A8138F" w:rsidRDefault="00A8138F" w:rsidP="00A8138F">
      <w:pPr>
        <w:pStyle w:val="TextoNormal"/>
      </w:pPr>
      <w:r>
        <w:t>A) Don Messod Maxo Benalal Bendrihem vino ostentando ininterrumpidamente el cargo de diputado del Parlamento de las Illes Balears desde junio del 2019 (X Legislatura), hasta la fecha de interposición del recurso de amparo, tras haber concurrido a las elecciones en la candidatura del partido político Ciudadanos-Partido de la Ciudadanía. Tras la constitución de la Cámara autonómica, se integró en el Grupo Parlamentario Ciudadanos-Partido de la Ciudadanía.</w:t>
      </w:r>
    </w:p>
    <w:p w14:paraId="63C2ABBC" w14:textId="77777777" w:rsidR="00A8138F" w:rsidRDefault="00A8138F" w:rsidP="00A8138F">
      <w:pPr>
        <w:pStyle w:val="TextoNormal"/>
      </w:pPr>
    </w:p>
    <w:p w14:paraId="77D84C13" w14:textId="77777777" w:rsidR="00A8138F" w:rsidRDefault="00A8138F" w:rsidP="00A8138F">
      <w:pPr>
        <w:pStyle w:val="TextoNormal"/>
      </w:pPr>
      <w:r>
        <w:t xml:space="preserve">B) El 25 de mayo de 2021 fue expulsado de este partido político. En reunión extraordinaria celebrada el 10 de septiembre de 2021, y una vez firme la resolución de expulsión de la Comisión de Régimen Disciplinario, el Grupo Parlamentario de Ciudadanos-Partido de </w:t>
      </w:r>
      <w:r>
        <w:lastRenderedPageBreak/>
        <w:t>la Ciudadanía acordó por mayoría absoluta de sus miembros expulsar al diputado señor Benalal Bendrihem del grupo parlamentario, en aplicación de lo previsto en el art. 27.1 b) del Reglamento del Parlamento de las Illes Balears (en adelante RPIB). El mismo día, el portavoz del grupo parlamentario puso en conocimiento de la mesa del Parlamento dicha expulsión, para que la mesa tomara todas las medidas administrativas y organizativas oportunas.</w:t>
      </w:r>
    </w:p>
    <w:p w14:paraId="43242ABB" w14:textId="77777777" w:rsidR="00A8138F" w:rsidRDefault="00A8138F" w:rsidP="00A8138F">
      <w:pPr>
        <w:pStyle w:val="TextoNormal"/>
      </w:pPr>
    </w:p>
    <w:p w14:paraId="4A6A9BC4" w14:textId="77777777" w:rsidR="00A8138F" w:rsidRDefault="00A8138F" w:rsidP="00A8138F">
      <w:pPr>
        <w:pStyle w:val="TextoNormal"/>
      </w:pPr>
      <w:r>
        <w:t>C) El 13 de septiembre de 2021 se remite al recurrente en amparo el acuerdo de la mesa adoptado en la reunión de ese mismo día, con registro general de salida núm. 4273-2021, por el que se resuelve:</w:t>
      </w:r>
    </w:p>
    <w:p w14:paraId="04BBC2A5" w14:textId="77777777" w:rsidR="00A8138F" w:rsidRDefault="00A8138F" w:rsidP="00A8138F">
      <w:pPr>
        <w:pStyle w:val="TextoNormal"/>
      </w:pPr>
    </w:p>
    <w:p w14:paraId="57F8DD15" w14:textId="77777777" w:rsidR="00A8138F" w:rsidRDefault="00A8138F" w:rsidP="00A8138F">
      <w:pPr>
        <w:pStyle w:val="TextoNormal"/>
      </w:pPr>
      <w:r>
        <w:t>(1) La separación del Grupo Parlamentario Ciudadanos-Partido de la Ciudadanía del diputado don Messod Maxo Benalal Bendrihem y la adquisición de la condición de diputado no adscrito durante toda la legislatura [art. 27.1 b) RPIB].</w:t>
      </w:r>
    </w:p>
    <w:p w14:paraId="0059D524" w14:textId="77777777" w:rsidR="00A8138F" w:rsidRDefault="00A8138F" w:rsidP="00A8138F">
      <w:pPr>
        <w:pStyle w:val="TextoNormal"/>
      </w:pPr>
    </w:p>
    <w:p w14:paraId="0537C012" w14:textId="77777777" w:rsidR="00A8138F" w:rsidRDefault="00A8138F" w:rsidP="00A8138F">
      <w:pPr>
        <w:pStyle w:val="TextoNormal"/>
      </w:pPr>
      <w:r>
        <w:t>(2) Cesarle en el cargo de secretario segundo de la mesa de conformidad con el art. 39 c) RPIB.</w:t>
      </w:r>
    </w:p>
    <w:p w14:paraId="3966639A" w14:textId="77777777" w:rsidR="00A8138F" w:rsidRDefault="00A8138F" w:rsidP="00A8138F">
      <w:pPr>
        <w:pStyle w:val="TextoNormal"/>
      </w:pPr>
    </w:p>
    <w:p w14:paraId="3A56EB49" w14:textId="77777777" w:rsidR="00A8138F" w:rsidRDefault="00A8138F" w:rsidP="00A8138F">
      <w:pPr>
        <w:pStyle w:val="TextoNormal"/>
      </w:pPr>
      <w:r>
        <w:t>(3) Declarar que el señor Benalal Bendrihem deja de ser secretario segundo de la Diputación Permanente y de la Comisión de Participación Ciudadana y, asimismo, deja de ser miembro de las comisiones a las que pertenecía: Comisión Permanente de Estudio en Materia de Planificación y Gestión de Recursos Hídricos; Comisión del Reglamento; Comisión del Estatuto de los Diputados y Diputadas; Comisión de Medio Ambiente y Ordenación Territorial, así como también deja de ser miembro de la Comisión General de Consejos Insulares, de composición paritaria Parlamento-consejos insulares; todo lo anterior en aplicación de lo dispuesto en los arts. 65 y 199.4 RPIB, en relación con el art. 43.9 RPIB.</w:t>
      </w:r>
    </w:p>
    <w:p w14:paraId="4AC8D0F6" w14:textId="77777777" w:rsidR="00A8138F" w:rsidRDefault="00A8138F" w:rsidP="00A8138F">
      <w:pPr>
        <w:pStyle w:val="TextoNormal"/>
      </w:pPr>
    </w:p>
    <w:p w14:paraId="033984FC" w14:textId="77777777" w:rsidR="00A8138F" w:rsidRDefault="00A8138F" w:rsidP="00A8138F">
      <w:pPr>
        <w:pStyle w:val="TextoNormal"/>
      </w:pPr>
      <w:r>
        <w:t>(4) Declarar el cese del personal eventual que tenía adscrito, con efectos del día 13 de septiembre de 2021, en aplicación del art. 5.2 del Estatuto del personal del Parlamento de las Illes Balears.</w:t>
      </w:r>
    </w:p>
    <w:p w14:paraId="737EA44D" w14:textId="77777777" w:rsidR="00A8138F" w:rsidRDefault="00A8138F" w:rsidP="00A8138F">
      <w:pPr>
        <w:pStyle w:val="TextoNormal"/>
      </w:pPr>
    </w:p>
    <w:p w14:paraId="1F9AE5EE" w14:textId="77777777" w:rsidR="00A8138F" w:rsidRDefault="00A8138F" w:rsidP="00A8138F">
      <w:pPr>
        <w:pStyle w:val="TextoNormal"/>
      </w:pPr>
      <w:r>
        <w:t>(5) Asignar al señor Benalal Bendrihem el escaño núm. 34 en la Sala de Plenos.</w:t>
      </w:r>
    </w:p>
    <w:p w14:paraId="3167718A" w14:textId="77777777" w:rsidR="00A8138F" w:rsidRDefault="00A8138F" w:rsidP="00A8138F">
      <w:pPr>
        <w:pStyle w:val="TextoNormal"/>
      </w:pPr>
    </w:p>
    <w:p w14:paraId="51E537A4" w14:textId="77777777" w:rsidR="00A8138F" w:rsidRDefault="00A8138F" w:rsidP="00A8138F">
      <w:pPr>
        <w:pStyle w:val="TextoNormal"/>
      </w:pPr>
      <w:r>
        <w:t>(6) Comunicar al señor Benalal Bendrihem que, en su cualidad de diputado no adscrito, le es de aplicación lo previsto en el art. 28 RPIB.</w:t>
      </w:r>
    </w:p>
    <w:p w14:paraId="17484D98" w14:textId="77777777" w:rsidR="00A8138F" w:rsidRDefault="00A8138F" w:rsidP="00A8138F">
      <w:pPr>
        <w:pStyle w:val="TextoNormal"/>
      </w:pPr>
    </w:p>
    <w:p w14:paraId="7D28E4D4" w14:textId="77777777" w:rsidR="00A8138F" w:rsidRDefault="00A8138F" w:rsidP="00A8138F">
      <w:pPr>
        <w:pStyle w:val="TextoNormal"/>
      </w:pPr>
      <w:r>
        <w:t>(7) Comunicar al señor Benalal Bendrihem que las percepciones económicas que percibirá, de acuerdo con el art. 28.4 RPIB, son las de los diputados y diputadas individualmente considerados, con efectos desde el día 13 de septiembre de 2021.</w:t>
      </w:r>
    </w:p>
    <w:p w14:paraId="2EE0C3B8" w14:textId="77777777" w:rsidR="00A8138F" w:rsidRDefault="00A8138F" w:rsidP="00A8138F">
      <w:pPr>
        <w:pStyle w:val="TextoNormal"/>
      </w:pPr>
    </w:p>
    <w:p w14:paraId="2DBAC4A1" w14:textId="77777777" w:rsidR="00A8138F" w:rsidRDefault="00A8138F" w:rsidP="00A8138F">
      <w:pPr>
        <w:pStyle w:val="TextoNormal"/>
      </w:pPr>
      <w:r>
        <w:t>D) Con posterioridad a la adopción del acuerdo de 13 de septiembre de 2021, el señor Benalal Bendrihem dirige a la mesa del Parlamento un escrito (registro general de entrada núm. 7610-2021) solicitando que se le aclare el detalle de sus atribuciones y derechos como diputado no adscrito, al no deducirse los mismos de la resolución de 13 de septiembre de 2021. Mediante los escritos con registro general de salida núm.5028-2021 y 5029-2021 y tras la reunión celebrada por la mesa el 14 de octubre de 2021, se responde a las solicitudes del señor Benalal Bendrihem, reconociendo que, a consecuencia de la carencia de regulación sistematizada del ejercicio del derecho previsto en el artículo 28.3 c) RPIB y en cum</w:t>
      </w:r>
      <w:r>
        <w:lastRenderedPageBreak/>
        <w:t>plimiento de la previsión que expresamente se contiene, es la Presidencia, en uso de las atribuciones conferidas en el artículo 33.2 RPIB la que, con el acuerdo de la mesa y la junta de portavoces, dicta resolución especificando las facultades de los diputados no adscritos en materia de participación en Pleno y comisiones (registro general de salida núm. 5028-2021), y en lo relativo a la presentación de enmiendas (registro general de salida núm. 5029-2021). Concretamente se acuerda que los diputados y diputadas no adscritos tienen derecho, respecto a la presentación de enmiendas, a defender enmiendas parciales en los textos legislativos del modo siguiente:</w:t>
      </w:r>
    </w:p>
    <w:p w14:paraId="77D182A7" w14:textId="77777777" w:rsidR="00A8138F" w:rsidRDefault="00A8138F" w:rsidP="00A8138F">
      <w:pPr>
        <w:pStyle w:val="TextoNormal"/>
      </w:pPr>
    </w:p>
    <w:p w14:paraId="67698F16" w14:textId="77777777" w:rsidR="00A8138F" w:rsidRDefault="00A8138F" w:rsidP="00A8138F">
      <w:pPr>
        <w:pStyle w:val="TextoNormal"/>
      </w:pPr>
      <w:r>
        <w:t>(i) Pueden presentar enmiendas parciales a los textos legislativos, pero no a la totalidad (art. 125.3 RPIB).</w:t>
      </w:r>
    </w:p>
    <w:p w14:paraId="2CB67319" w14:textId="77777777" w:rsidR="00A8138F" w:rsidRDefault="00A8138F" w:rsidP="00A8138F">
      <w:pPr>
        <w:pStyle w:val="TextoNormal"/>
      </w:pPr>
    </w:p>
    <w:p w14:paraId="7D59E72B" w14:textId="77777777" w:rsidR="00A8138F" w:rsidRDefault="00A8138F" w:rsidP="00A8138F">
      <w:pPr>
        <w:pStyle w:val="TextoNormal"/>
      </w:pPr>
      <w:r>
        <w:t>(ii) Pueden formular solicitud de reconsideración en el supuesto de que la mesa de la comisión acuerde no admitir alguna enmienda que hayan presentado (art. 125.6 RPIB).</w:t>
      </w:r>
    </w:p>
    <w:p w14:paraId="771B684B" w14:textId="77777777" w:rsidR="00A8138F" w:rsidRDefault="00A8138F" w:rsidP="00A8138F">
      <w:pPr>
        <w:pStyle w:val="TextoNormal"/>
      </w:pPr>
    </w:p>
    <w:p w14:paraId="1D87300E" w14:textId="77777777" w:rsidR="00A8138F" w:rsidRDefault="00A8138F" w:rsidP="00A8138F">
      <w:pPr>
        <w:pStyle w:val="TextoNormal"/>
      </w:pPr>
      <w:r>
        <w:t>(iii) No formarán parte de la ponencia (art. 128.1 RPIB), pero podrán defender sus enmiendas.</w:t>
      </w:r>
    </w:p>
    <w:p w14:paraId="6FA14F02" w14:textId="77777777" w:rsidR="00A8138F" w:rsidRDefault="00A8138F" w:rsidP="00A8138F">
      <w:pPr>
        <w:pStyle w:val="TextoNormal"/>
      </w:pPr>
    </w:p>
    <w:p w14:paraId="5B9209BF" w14:textId="77777777" w:rsidR="00A8138F" w:rsidRDefault="00A8138F" w:rsidP="00A8138F">
      <w:pPr>
        <w:pStyle w:val="TextoNormal"/>
      </w:pPr>
      <w:r>
        <w:t>(iv) El coordinador de la ponencia (art. 128.6 y 7 RPIB), a petición de los diputados o las diputadas no adscritos, concretará un tiempo específico, proporcionado y suficiente, para poder realizar dicha defensa.</w:t>
      </w:r>
    </w:p>
    <w:p w14:paraId="100E35DD" w14:textId="77777777" w:rsidR="00A8138F" w:rsidRDefault="00A8138F" w:rsidP="00A8138F">
      <w:pPr>
        <w:pStyle w:val="TextoNormal"/>
      </w:pPr>
    </w:p>
    <w:p w14:paraId="6CDE0056" w14:textId="77777777" w:rsidR="00A8138F" w:rsidRDefault="00A8138F" w:rsidP="00A8138F">
      <w:pPr>
        <w:pStyle w:val="TextoNormal"/>
      </w:pPr>
      <w:r>
        <w:t>(v) No pueden formular voto particular (art. 129 RPIB).</w:t>
      </w:r>
    </w:p>
    <w:p w14:paraId="2718D11E" w14:textId="77777777" w:rsidR="00A8138F" w:rsidRDefault="00A8138F" w:rsidP="00A8138F">
      <w:pPr>
        <w:pStyle w:val="TextoNormal"/>
      </w:pPr>
    </w:p>
    <w:p w14:paraId="2380B5AA" w14:textId="77777777" w:rsidR="00A8138F" w:rsidRDefault="00A8138F" w:rsidP="00A8138F">
      <w:pPr>
        <w:pStyle w:val="TextoNormal"/>
      </w:pPr>
      <w:r>
        <w:t>(vi) Pueden hacer uso de la palabra en los debates en comisión (y no solo en aquella de la que formen parte), en relación con las enmiendas al articulado que hayan formulado (art. 130.1 RPIB).</w:t>
      </w:r>
    </w:p>
    <w:p w14:paraId="1556AE31" w14:textId="77777777" w:rsidR="00A8138F" w:rsidRDefault="00A8138F" w:rsidP="00A8138F">
      <w:pPr>
        <w:pStyle w:val="TextoNormal"/>
      </w:pPr>
    </w:p>
    <w:p w14:paraId="00462746" w14:textId="77777777" w:rsidR="00A8138F" w:rsidRDefault="00A8138F" w:rsidP="00A8138F">
      <w:pPr>
        <w:pStyle w:val="TextoNormal"/>
      </w:pPr>
      <w:r>
        <w:t>(vii) Pueden presentar, en aquella comisión de la que formen parte, enmiendas de aproximación y aquellas que tengan por finalidad enmendar errores o incorrecciones técnicas, terminológicas o gramaticales (art. 130.3 RPIB).</w:t>
      </w:r>
    </w:p>
    <w:p w14:paraId="7F3C9DB5" w14:textId="77777777" w:rsidR="00A8138F" w:rsidRDefault="00A8138F" w:rsidP="00A8138F">
      <w:pPr>
        <w:pStyle w:val="TextoNormal"/>
      </w:pPr>
    </w:p>
    <w:p w14:paraId="26D99E5F" w14:textId="77777777" w:rsidR="00A8138F" w:rsidRDefault="00A8138F" w:rsidP="00A8138F">
      <w:pPr>
        <w:pStyle w:val="TextoNormal"/>
      </w:pPr>
      <w:r>
        <w:t>(viii) Las enmiendas de los diputados o las diputadas no adscritos no incorporadas al dictamen de la comisión se mantendrán para su debate en el Pleno, salvo que se manifieste la voluntad de no mantenerlas mediante escrito dirigido a la Presidencia de la Cámara en el plazo de las cuarenta y ocho horas siguientes a la fecha de finalización del dictamen (art. 133 RPIB).</w:t>
      </w:r>
    </w:p>
    <w:p w14:paraId="01B6288A" w14:textId="77777777" w:rsidR="00A8138F" w:rsidRDefault="00A8138F" w:rsidP="00A8138F">
      <w:pPr>
        <w:pStyle w:val="TextoNormal"/>
      </w:pPr>
    </w:p>
    <w:p w14:paraId="7CE2CA71" w14:textId="77777777" w:rsidR="00A8138F" w:rsidRDefault="00A8138F" w:rsidP="00A8138F">
      <w:pPr>
        <w:pStyle w:val="TextoNormal"/>
      </w:pPr>
      <w:r>
        <w:t>(ix) Pueden presentar en el Pleno enmiendas que tengan como finalidad enmendar errores o incorrecciones técnicas, terminológicas o gramaticales (art. 136.1 RPIB), así como transaccionales (art. 136.2 RPIB).</w:t>
      </w:r>
    </w:p>
    <w:p w14:paraId="1A805254" w14:textId="77777777" w:rsidR="00A8138F" w:rsidRDefault="00A8138F" w:rsidP="00A8138F">
      <w:pPr>
        <w:pStyle w:val="TextoNormal"/>
      </w:pPr>
    </w:p>
    <w:p w14:paraId="6455932D" w14:textId="77777777" w:rsidR="00A8138F" w:rsidRDefault="00A8138F" w:rsidP="00A8138F">
      <w:pPr>
        <w:pStyle w:val="TextoNormal"/>
      </w:pPr>
      <w:r>
        <w:t>La resolución núm. 5029-2021, de 14 de octubre, adoptada en respuesta a los escritos con registro general de entrada núm. 7610-2021, 7692-2021 y 9637-2021, forma parte esencial del objeto del recurso de amparo núm. 230/2022, admitido a trámite por este tribunal, pero resultan relevantes para la solución del presente procedimiento, razón por la que se detalla su contenido.</w:t>
      </w:r>
    </w:p>
    <w:p w14:paraId="7D17937C" w14:textId="77777777" w:rsidR="00A8138F" w:rsidRDefault="00A8138F" w:rsidP="00A8138F">
      <w:pPr>
        <w:pStyle w:val="TextoNormal"/>
      </w:pPr>
    </w:p>
    <w:p w14:paraId="4D7A80DC" w14:textId="77777777" w:rsidR="00A8138F" w:rsidRDefault="00A8138F" w:rsidP="00A8138F">
      <w:pPr>
        <w:pStyle w:val="TextoNormal"/>
      </w:pPr>
      <w:r>
        <w:lastRenderedPageBreak/>
        <w:t>E) A partir de ese momento, el diputado don Messod Maxo Benalal Bendrihem formuló diversas solicitudes a la Cámara en relación con diferentes cuestiones relacionadas con el desempeño de su cargo parlamentario tras la adquisición de la condición de diputado no adscrito. De todas las solicitudes realizadas y respuestas recibidas, se identifican como objeto del presente recurso de amparo las siguientes:</w:t>
      </w:r>
    </w:p>
    <w:p w14:paraId="0ECE08A4" w14:textId="77777777" w:rsidR="00A8138F" w:rsidRDefault="00A8138F" w:rsidP="00A8138F">
      <w:pPr>
        <w:pStyle w:val="TextoNormal"/>
      </w:pPr>
    </w:p>
    <w:p w14:paraId="5E35908F" w14:textId="77777777" w:rsidR="00A8138F" w:rsidRDefault="00A8138F" w:rsidP="00A8138F">
      <w:pPr>
        <w:pStyle w:val="TextoNormal"/>
      </w:pPr>
      <w:r>
        <w:t>a) Los acuerdos con registro general de salida núm. 254-2022, de 26 de enero de 2022 (en respuesta al escrito con registro general de entrada núm. 14574-2021) y con registro general de salida núm. 722-2022, de 16 de febrero 2022 (en respuesta al escrito con registro general de entrada núm. 555-2022), ambos relativos a la tramitación y votación de las enmiendas al proyecto de ley de presupuestos generales de la comunidad autónoma para 2022. Antes de someter a votación el proyecto de ley de presupuestos generales de la Comunidad Autónoma de las Illes Balears para el año 2022, la mesa procedió a pedir a todos los grupos parlamentarios que indicasen el sentido de su voto para todas y cada una de las enmiendas de manera que se pudieran agrupar las votaciones y, en un solo voto, decidir sobre varias enmiendas a la vez. En el escrito con registro general de entrada núm. 14574-2021, el recurrente en amparo protesta porque la administración del Parlamento no le solicitó el sentido de su voto, por lo que se procedió a agrupar la totalidad de las enmiendas únicamente en función de la voluntad expresada por los ocho grupos parlamentarios del Parlamento. Dicho en otros términos, la protesta a la que responde la mesa se refiere a que las enmiendas fueron agrupadas únicamente en función de la voluntad expresada por los ocho grupos parlamentarios existentes en el Parlamento de las Illes Balears, sin tener en cuenta la voluntad del diputado señor Benalal Bendrihem.</w:t>
      </w:r>
    </w:p>
    <w:p w14:paraId="03E26B64" w14:textId="77777777" w:rsidR="00A8138F" w:rsidRDefault="00A8138F" w:rsidP="00A8138F">
      <w:pPr>
        <w:pStyle w:val="TextoNormal"/>
      </w:pPr>
    </w:p>
    <w:p w14:paraId="488E1017" w14:textId="77777777" w:rsidR="00A8138F" w:rsidRDefault="00A8138F" w:rsidP="00A8138F">
      <w:pPr>
        <w:pStyle w:val="TextoNormal"/>
      </w:pPr>
      <w:r>
        <w:t xml:space="preserve">A esta queja, la mesa responde (registro general de salida núm. 254-2022) que, conforme a lo dispuesto en el art. 134 RPIB y en la resolución de la Presidencia reguladora del ejercicio por los diputados no adscritos sobre el derecho a presentar y defender enmiendas parciales a los textos legislativos [art. 28.3 c) RPIB y como diputado no adscrito, el señor Benalal Bendrihem tiene la misma documentación que los portavoces de los grupos parlamentarios para el debate y votación de la ley, que la agrupación de las votaciones se puede modificar durante la tramitación en el Pleno, como sucede a instancia de algunos diputados, para lo cual se ha de solicitar a la Presidencia de la Cámara y dicha solicitud no se produjo en este caso. En el escrito con registro general de salida núm. 722-2022, la mesa desestima la reconsideración sosteniendo que ya se ha dado respuesta a la queja del diputado y que el documento que se impugna no está sujeto estrictamente a la reconsideración </w:t>
      </w:r>
      <w:r w:rsidRPr="00A8138F">
        <w:rPr>
          <w:i/>
        </w:rPr>
        <w:t>ex</w:t>
      </w:r>
      <w:r>
        <w:t xml:space="preserve"> art. 32.2 RPIB sino a lo previsto en el art. 28.2 </w:t>
      </w:r>
      <w:r w:rsidRPr="00A8138F">
        <w:rPr>
          <w:i/>
        </w:rPr>
        <w:t>in fine</w:t>
      </w:r>
      <w:r>
        <w:t xml:space="preserve"> RPIB, relativo al régimen jurídico del diputado no adscrito. Y se insiste en que durante el debate de la ley de presupuestos en el Pleno se hubiera podido solicitar la aplicación del art. 82 RPIB antes de las votaciones, pero esa aplicación solo se plante</w:t>
      </w:r>
      <w:r w:rsidRPr="00A8138F">
        <w:rPr>
          <w:i/>
        </w:rPr>
        <w:t>ó a posterio</w:t>
      </w:r>
      <w:r>
        <w:t>ri.</w:t>
      </w:r>
    </w:p>
    <w:p w14:paraId="2374A96B" w14:textId="77777777" w:rsidR="00A8138F" w:rsidRDefault="00A8138F" w:rsidP="00A8138F">
      <w:pPr>
        <w:pStyle w:val="TextoNormal"/>
      </w:pPr>
    </w:p>
    <w:p w14:paraId="37BA7D7C" w14:textId="77777777" w:rsidR="00A8138F" w:rsidRDefault="00A8138F" w:rsidP="00A8138F">
      <w:pPr>
        <w:pStyle w:val="TextoNormal"/>
      </w:pPr>
      <w:r>
        <w:t xml:space="preserve">b) Los escritos con registro general de salida núm. 1013-2022, de 7 de marzo de 2022 (en respuesta al escrito con registro general de entrada núm. 2361-2022) y con registro general de salida núm. 1391-2022, de 23 de marzo. La primera de las resoluciones inadmite, con sustento en los arts. 181 y 182 RPIB, una enmienda del diputado señor Benalal Bendrihem a una proposición no de ley presentada por los grupos parlamentarios Unidas Podemos-Unides Podem, Partit Socialista de les Illes Balears y Més per Mallorca, relativa a la “participación activa del franquismo en el holocausto y exterminio nazi” solicitando que se añadiese a la proposición no de ley un nuevo punto noveno. Los preceptos del reglamento </w:t>
      </w:r>
      <w:r>
        <w:lastRenderedPageBreak/>
        <w:t>invocados en la decisión de la mesa limitan la posibilidad de presentar enmiendas a la proposición no de ley a los grupos parlamentarios. Por su parte, la resolución con registro general de salida núm. 1391-2022 desestima la petición de reconsideración sosteniendo que tanto el art. 181 como el 182 RPIB configuran las proposiciones no de ley como iniciativas de los grupos parlamentarios, y las enmiendas a las mismas solo se pueden presentar por los grupos hasta el día anterior a la sesión plenaria en la que deban ser debatidas, sin que el art. 28 RPIB, ni el acuerdo de la mesa relativo a la presentación de enmiendas de los diputados no adscritos, incluyan las iniciativas parlamentarias relativas a las proposiciones no de ley.</w:t>
      </w:r>
    </w:p>
    <w:p w14:paraId="51D3FA73" w14:textId="77777777" w:rsidR="00A8138F" w:rsidRDefault="00A8138F" w:rsidP="00A8138F">
      <w:pPr>
        <w:pStyle w:val="TextoNormal"/>
      </w:pPr>
    </w:p>
    <w:p w14:paraId="67C9D249" w14:textId="417070BE" w:rsidR="00A8138F" w:rsidRDefault="00A8138F" w:rsidP="00A8138F">
      <w:pPr>
        <w:pStyle w:val="TextoNormal"/>
      </w:pPr>
      <w:r>
        <w:t>c) Por último, el escrito con registro general de salida núm 1392-2022, de 23 de marzo de 2022, resuelve en sentido desestimatorio la petición del recurrente en amparo de cambiar de adscripción de la Comisión de Medio Ambiente y Ordenación Territorial a la de Asuntos Institucionales y Generales (registro general de entrada núm. 2425-2022). Solicitada la incorporación a esta primera comisión por parte del diputado mediante escrito con registro general de entrada núm. 7609-2021, la mesa la había acordado favorablemente el 22 de septiembre de 2021 y el diputado nuevamente solicitó el cambio de comisión con fecha 8 de marzo de 2022. En el acuerdo con registro general de salida núm. 1392-2022, la mesa responde que, de acuerdo con el art. 28.2 RPIB, es ella la que determina de qué comisión forman parte los diputados no adscritos, negando en ejercicio de esa facultad la solicitud, ya que atenderla supondría cambios cualitativos y cuantitativos en la composición de dos comisiones —la de Medio Ambiente y Ordenación Territorial y la de Asuntos Institucionales y Generales—; cambios de composición que se produjeron en su día para hacer efectivo el derecho de participación en una comisión permanente y que, de repetirse, afectarían de forma directa a otros diputados de la comisión de la que se trata.</w:t>
      </w:r>
    </w:p>
    <w:p w14:paraId="0F8B4781" w14:textId="77777777" w:rsidR="00A8138F" w:rsidRDefault="00A8138F" w:rsidP="00A8138F">
      <w:pPr>
        <w:pStyle w:val="TextoNormal"/>
      </w:pPr>
    </w:p>
    <w:p w14:paraId="309A8CA7" w14:textId="77777777" w:rsidR="00A8138F" w:rsidRDefault="00A8138F" w:rsidP="00A8138F">
      <w:pPr>
        <w:pStyle w:val="TextoNormal"/>
      </w:pPr>
      <w:r w:rsidRPr="00A8138F">
        <w:rPr>
          <w:rStyle w:val="NumeroAFNegritaCaracter"/>
        </w:rPr>
        <w:t>3</w:t>
      </w:r>
      <w:r>
        <w:t>. La demanda de amparo, tras exponer los argumentos tendentes a justificar la especial trascendencia constitucional del recurso de amparo, alega que las resoluciones de la mesa del Parlamento de las Illes Balears vulneraron el derecho reconocido en el art. 23 CE al recurrente, por cuanto afectaron al ejercicio de su función parlamentaria. Los argumentos que sustentan esta queja se articulan en torno a cuatro denuncias concretas:</w:t>
      </w:r>
    </w:p>
    <w:p w14:paraId="4EB3EEF1" w14:textId="77777777" w:rsidR="00A8138F" w:rsidRDefault="00A8138F" w:rsidP="00A8138F">
      <w:pPr>
        <w:pStyle w:val="TextoNormal"/>
      </w:pPr>
    </w:p>
    <w:p w14:paraId="1804209E" w14:textId="77777777" w:rsidR="00A8138F" w:rsidRDefault="00A8138F" w:rsidP="00A8138F">
      <w:pPr>
        <w:pStyle w:val="TextoNormal"/>
      </w:pPr>
      <w:r>
        <w:t>a) Vulneración de los derechos a la igualdad y no discriminación (art. 14 CE) y al ejercicio de cargo público en condiciones de igualdad (art. 23.2 CE) en lo referente a la participación en comisiones y en relación con el acuerdo de la mesa con registro general de salida núm. 1392-2022, calificado como firme. A juicio del recurrente, la decisión de la mesa y el art. 28.2 RPIB vulneraron los arts. 14 y 23.2 CE, al tratarse de decisiones potestativas, arbitrarias e ilegales que solo le permitieron formar parte de la comisión legislativa que previamente había sido determinada por la mesa. Sostiene la demanda que el art. 42.1 RPIB establece que todos los grupos parlamentarios tienen derecho a contar, como mínimo, con un representante en cada comisión, por lo que no es aceptable que la condición de no adscrito niegue al recurrente la posibilidad de formar parte de otro grupo parlamentario, ni siquiera del Grupo Mixto, y se vean limitados y vulnerados sus derechos respecto del resto de los diputados de los grupos parlamentarios y no puede alegarse en contra, los cambios cualitativos y cuantitativos en la composición de dos comisiones, puesto que los mismos son posibles tal y como demostró el acuerdo con registro general de salida núm. 4532-2021 que autorizó su incorporación a la Comisión de Medio Ambiente y Ordenación Territorial.</w:t>
      </w:r>
    </w:p>
    <w:p w14:paraId="26E3C7A2" w14:textId="77777777" w:rsidR="00A8138F" w:rsidRDefault="00A8138F" w:rsidP="00A8138F">
      <w:pPr>
        <w:pStyle w:val="TextoNormal"/>
      </w:pPr>
    </w:p>
    <w:p w14:paraId="4642306D" w14:textId="77777777" w:rsidR="00A8138F" w:rsidRDefault="00A8138F" w:rsidP="00A8138F">
      <w:pPr>
        <w:pStyle w:val="TextoNormal"/>
      </w:pPr>
      <w:r>
        <w:lastRenderedPageBreak/>
        <w:t>La demanda, con cita de las SSTC 38/1999, de 22 de marzo; 27/2000, de 31 de enero, y 64/2002, de 11 de marzo, se refiere al contenido del art. 23 CE y sostiene que el menoscabo del derecho individual del diputado también produce efectos en la participación por medio de representantes que ostentan todos los ciudadanos, para referirse inmediatamente después al contenido del art. 28.2 y 3 b) RPIB que permite discriminar entre dos categorías de diputados, privando al no adscrito de la libertad de elegir la comisión a la que desea pertenecer, facultad de la que disponen el resto de los diputados por el hecho de pertenecer a un grupo parlamentario. El recurrente cuestiona también el art. 28 RPIB afirmando que no posee una habilitación estatutaria expresa, y contradice lo previsto en los arts. 40.1 y 44.1 del Estatuto de Autonomía de las Illes Balears. Así, la atribución al recurrente de la condición de diputado no adscrito, sin darle ocasión de integrarse en un grupo parlamentario, ni siquiera en el Grupo Mixto, ha derivado en un trato discriminatorio respecto del resto de los diputados, viendo limitados y vulnerados sus derechos en el ejercicio de la función parlamentaria, en detrimento de la situación en la que se encontraba cuando formaba parte del Grupo Parlamentario Ciudadanos-Partido de la Ciudadanía.</w:t>
      </w:r>
    </w:p>
    <w:p w14:paraId="207E2458" w14:textId="77777777" w:rsidR="00A8138F" w:rsidRDefault="00A8138F" w:rsidP="00A8138F">
      <w:pPr>
        <w:pStyle w:val="TextoNormal"/>
      </w:pPr>
    </w:p>
    <w:p w14:paraId="274511D8" w14:textId="77777777" w:rsidR="00A8138F" w:rsidRDefault="00A8138F" w:rsidP="00A8138F">
      <w:pPr>
        <w:pStyle w:val="TextoNormal"/>
      </w:pPr>
      <w:r>
        <w:t>b) Vulneración de los derechos a la igualdad y no discriminación (art. 14 CE) y al ejercicio de cargo público en condiciones de igualdad (art. 23.2 CE) en lo referente a la libertad de voto, producida por las resoluciones con registro general de salida núm. 254-2022 y 722-2022. La demanda sostiene, contraargumentando las respuestas de la mesa, que las peticiones de votación separada a las que se refiere el art. 82 RPIB solo se realizaron por los portavoces de los grupos parlamentarios y no se comunicó que los diputados pudieran pedir votación separada. A la vulneración imputada a la resolución inicial, la demanda añade que el acuerdo de la mesa con registro general de salida núm. 722-2022, que se niega a estudiar la petición de reconsideración, incide en la lesión cuando alega haber dado respuesta a la reclamación en la deliberación y haber actuado de acuerdo con el reglamento y la resolución que regula la participación.</w:t>
      </w:r>
    </w:p>
    <w:p w14:paraId="309510C8" w14:textId="77777777" w:rsidR="00A8138F" w:rsidRDefault="00A8138F" w:rsidP="00A8138F">
      <w:pPr>
        <w:pStyle w:val="TextoNormal"/>
      </w:pPr>
    </w:p>
    <w:p w14:paraId="2886753A" w14:textId="77777777" w:rsidR="00A8138F" w:rsidRDefault="00A8138F" w:rsidP="00A8138F">
      <w:pPr>
        <w:pStyle w:val="TextoNormal"/>
      </w:pPr>
      <w:r>
        <w:t>c) Vulneración de los derechos a la igualdad y no discriminación (art. 14 CE) y al ejercicio de cargo público en condiciones de igualdad (art. 23.2 CE) en lo referente a la participación parlamentaria, respecto de los acuerdos de la mesa, con registro general de salida núm. 1013-2022 y 1391-2022, al entender el recurrente que la decisión adoptada es arbitraria y su único objetivo es recortar sus derechos constitucionales y estatutarios.</w:t>
      </w:r>
    </w:p>
    <w:p w14:paraId="03C56E97" w14:textId="77777777" w:rsidR="00A8138F" w:rsidRDefault="00A8138F" w:rsidP="00A8138F">
      <w:pPr>
        <w:pStyle w:val="TextoNormal"/>
      </w:pPr>
    </w:p>
    <w:p w14:paraId="56EC6ACD" w14:textId="77777777" w:rsidR="00A8138F" w:rsidRDefault="00A8138F" w:rsidP="00A8138F">
      <w:pPr>
        <w:pStyle w:val="TextoNormal"/>
      </w:pPr>
      <w:r>
        <w:t xml:space="preserve">d) Como última línea argumental, la demanda cita la regulación de los diputados no adscritos en los reglamentos del Congreso de los Diputados y del Senado (arts. 25 a 28 y 28 a 30, respectivamente), que prevén que quienes, por cualquier causa, dejaren de pertenecer a un grupo parlamentario quedarán automáticamente incorporados al Grupo Mixto, por lo que su participación y derechos serán los mismos que los del resto de diputados y senadores, con las características propias del Grupo Mixto. Además, el recurrente cita la doctrina sentada en la STC 151/2017, de 21 de diciembre, que considera aplicable </w:t>
      </w:r>
      <w:r w:rsidRPr="00A8138F">
        <w:rPr>
          <w:i/>
        </w:rPr>
        <w:t>mutatis mutandis</w:t>
      </w:r>
      <w:r>
        <w:t xml:space="preserve"> a los diputados regionales que, por las mismas razones dadas en la sentencia, no pueden de ningún modo ver restringidas sin justificación sus funciones esenciales como parlamentarios autonómicos.</w:t>
      </w:r>
    </w:p>
    <w:p w14:paraId="52B92461" w14:textId="77777777" w:rsidR="00A8138F" w:rsidRDefault="00A8138F" w:rsidP="00A8138F">
      <w:pPr>
        <w:pStyle w:val="TextoNormal"/>
      </w:pPr>
    </w:p>
    <w:p w14:paraId="08948270" w14:textId="77777777" w:rsidR="00A8138F" w:rsidRDefault="00A8138F" w:rsidP="00A8138F">
      <w:pPr>
        <w:pStyle w:val="TextoNormal"/>
      </w:pPr>
      <w:r>
        <w:t>e) Por lo que hace a la alegación de los motivos de especial trascendencia constitucional, la demanda, previa cita de las SSTC 155/2009, de 25 de junio, y 172/2016, de 17 de octubre,  manifiesta que el recurso de amparo posee trascendencia social y además: (i) no existe doc</w:t>
      </w:r>
      <w:r>
        <w:lastRenderedPageBreak/>
        <w:t>trina constitucional sobre la expulsión de un diputado de un grupo parlamentario y la consabida merma de sus derechos fundamentales; (ii) los acuerdos de la mesa se fundamentan en la aplicación del Reglamento del Parlamento de las Illes Balears, que se considera a estos efectos semejante a una ley; y (iii) concurre la causa g) del fundamento jurídico 2 de la STC 155/2009, por la condición de diputado del recurrente, con las consecuencias políticas que podrían deducirse de la estimación del amparo, y además de la jurisprudencia que se asentaría, que afectaría a otros supuestos semejantes en las asambleas autonómicas.</w:t>
      </w:r>
    </w:p>
    <w:p w14:paraId="329A4861" w14:textId="77777777" w:rsidR="00A8138F" w:rsidRDefault="00A8138F" w:rsidP="00A8138F">
      <w:pPr>
        <w:pStyle w:val="TextoNormal"/>
      </w:pPr>
    </w:p>
    <w:p w14:paraId="56386E9C" w14:textId="77777777" w:rsidR="00A8138F" w:rsidRDefault="00A8138F" w:rsidP="00A8138F">
      <w:pPr>
        <w:pStyle w:val="TextoNormal"/>
      </w:pPr>
      <w:r>
        <w:t>f) Mediante otrosí se solicita la suspensión cautelar de la ejecución de los acuerdos impugnados de conformidad con lo establecido en el art 56.3, 4 y 6 de la Ley Orgánica del Tribunal Constitucional (LOTC), en tanto dichos acuerdos afectan al ejercicio de las funciones del diputado recurrente.</w:t>
      </w:r>
    </w:p>
    <w:p w14:paraId="4846E249" w14:textId="77777777" w:rsidR="00A8138F" w:rsidRDefault="00A8138F" w:rsidP="00A8138F">
      <w:pPr>
        <w:pStyle w:val="TextoNormal"/>
      </w:pPr>
    </w:p>
    <w:p w14:paraId="3764E5C5" w14:textId="5F23B541" w:rsidR="00A8138F" w:rsidRDefault="00A8138F" w:rsidP="00A8138F">
      <w:pPr>
        <w:pStyle w:val="TextoNormal"/>
      </w:pPr>
      <w:r>
        <w:t>g) Por segundo otrosí se pide el planteamiento, conforme al art. 55.2 LOTC, de una cuestión interna de inconstitucionalidad de varios preceptos del Reglamento del Parlamento de las Illes Balears, visto que los acuerdos de la mesa se dicen amparados por los arts. 14.4, 27, 28, 32, 42.1, 181 y 182 RPIB. Sostiene el recurrente que, como la mesa no hace sino aplicar los preceptos reglamentarios con rango de ley (art. 27 LOTC), es necesario declararlos inconstitucionales con carácter previo a la estimación del recurso de amparo. La inconstitucionalidad de los preceptos deriva, a juicio del recurrente, de la injustificada desigualdad de los diputados no adscritos frente al resto de diputados autonómicos, y ello en contra de lo previsto en el art. 23.2 CE y con quiebra asimismo del derecho reconocido en el art. 29.1 RPIB, lo que atenta a la vez contra los arts. 40 y siguientes del Estatuto de Autonomía de las Illes Balears. Ampara la petición, tal y como se establece en la demanda, un amplio cuerpo jurisprudencial del que son paradigmáticas la STC 141/2007, de 18 de junio, que anuló la aplicación inmediata de una reforma reglamentaria que elevaba el umbral para constituir grupo parlamentario y que había llevado a disolver un grupo ya constituido, y la STC 223/2006, de 6 de julio, que reconoció la superioridad jerárquica del estatuto de autonomía sobre el reglamento parlamentario, anulando dos preceptos reglamentarios por ser contrarios al art. 60 del Estatuto de Autonomía de las Illes Balears.</w:t>
      </w:r>
    </w:p>
    <w:p w14:paraId="6C693221" w14:textId="77777777" w:rsidR="00A8138F" w:rsidRDefault="00A8138F" w:rsidP="00A8138F">
      <w:pPr>
        <w:pStyle w:val="TextoNormal"/>
      </w:pPr>
    </w:p>
    <w:p w14:paraId="317A5060" w14:textId="08A45600" w:rsidR="00A8138F" w:rsidRDefault="00A8138F" w:rsidP="00A8138F">
      <w:pPr>
        <w:pStyle w:val="TextoNormal"/>
      </w:pPr>
      <w:r w:rsidRPr="00A8138F">
        <w:rPr>
          <w:rStyle w:val="NumeroAFNegritaCaracter"/>
        </w:rPr>
        <w:t>4</w:t>
      </w:r>
      <w:r>
        <w:t>. En virtud de providencia de 6 de junio de 2022, la Sección Primera de la Sala Primera de este tribunal acordó la admisión a trámite del recurso, apreciando que concurre una especial trascendencia constitucional (art. 50.1 LOTC), por cuanto el asunto trasciende del caso concreto, toda vez que pudiera tener unas consecuencias políticas generales [STC 155/2009, FJ 2 g)]. En la misma resolución, se acordó dirigir atenta comunicación al Excmo. señor presidente del Parlamento de las Illes Balears, a fin de que, en plazo que no excediera de diez días, remitiera certificación o fotocopia adverada del expediente correspondiente a los acuerdos de la mesa a los que hace referencia la demanda de amparo, acompañando a la mencionada comunicación copia de la referida demanda para conocimiento de la Cámara y a efectos de su personación en el presente proceso constitucional.</w:t>
      </w:r>
    </w:p>
    <w:p w14:paraId="15866182" w14:textId="77777777" w:rsidR="00A8138F" w:rsidRDefault="00A8138F" w:rsidP="00A8138F">
      <w:pPr>
        <w:pStyle w:val="TextoNormal"/>
      </w:pPr>
    </w:p>
    <w:p w14:paraId="37DA096B" w14:textId="26BA292E" w:rsidR="00A8138F" w:rsidRDefault="00A8138F" w:rsidP="00A8138F">
      <w:pPr>
        <w:pStyle w:val="TextoNormal"/>
      </w:pPr>
      <w:r w:rsidRPr="00A8138F">
        <w:rPr>
          <w:rStyle w:val="NumeroAFNegritaCaracter"/>
        </w:rPr>
        <w:t>5</w:t>
      </w:r>
      <w:r>
        <w:t>. En la misma diligencia de ordenación de 6 de junio de 2022, en relación con la solicitud de suspensión formulada en la demanda de amparo, se ordenó formar la correspondiente pieza separada de suspensión. Así se hizo y mediante providencia del mismo día se concedió un plazo común de tres días al Ministerio Fiscal y a la parte recurrente para que alegaran lo que estimaran pertinente sobre la petición de suspensión. Tras la presentación de alegaciones del recurrente (registradas el 7 de junio de 2022), del Ministerio Fiscal (re</w:t>
      </w:r>
      <w:r>
        <w:lastRenderedPageBreak/>
        <w:t>gistradas el 27 de junio de 2022), y del Parlamento de las Illes Balears (registradas el 4 de julio de 2022), mediante ATC 122/2022, de 26 de septiembre, la Sala Primera acordó denegar la suspensión cautelar de la ejecución de los acuerdos de la mesa del Parlamento de las Illes Balears impugnados en amparo.</w:t>
      </w:r>
    </w:p>
    <w:p w14:paraId="4BA9CFA8" w14:textId="77777777" w:rsidR="00A8138F" w:rsidRDefault="00A8138F" w:rsidP="00A8138F">
      <w:pPr>
        <w:pStyle w:val="TextoNormal"/>
      </w:pPr>
    </w:p>
    <w:p w14:paraId="56141A25" w14:textId="014299DD" w:rsidR="00A8138F" w:rsidRDefault="00A8138F" w:rsidP="00A8138F">
      <w:pPr>
        <w:pStyle w:val="TextoNormal"/>
      </w:pPr>
      <w:r w:rsidRPr="00A8138F">
        <w:rPr>
          <w:rStyle w:val="NumeroAFNegritaCaracter"/>
        </w:rPr>
        <w:t>6</w:t>
      </w:r>
      <w:r>
        <w:t>. El 29 de junio de 2022, mediante diligencia de ordenación, se tienen por recibidas las actuaciones remitidas por el Parlamento de las Illes Balears, a quien se tiene, además, por personado y parte. En esa misma diligencia, en aplicación del art. 52 LOTC, se da vista de todas las actuaciones del presente recurso por un plazo común de veinte días, al Ministerio Fiscal y a las partes personadas, para que dentro de dicho término puedan presentar las alegaciones que a su derecho convenga.</w:t>
      </w:r>
    </w:p>
    <w:p w14:paraId="16A6DD6E" w14:textId="77777777" w:rsidR="00A8138F" w:rsidRDefault="00A8138F" w:rsidP="00A8138F">
      <w:pPr>
        <w:pStyle w:val="TextoNormal"/>
      </w:pPr>
    </w:p>
    <w:p w14:paraId="5103F60F" w14:textId="77777777" w:rsidR="00A8138F" w:rsidRDefault="00A8138F" w:rsidP="00A8138F">
      <w:pPr>
        <w:pStyle w:val="TextoNormal"/>
      </w:pPr>
      <w:r w:rsidRPr="00A8138F">
        <w:rPr>
          <w:rStyle w:val="NumeroAFNegritaCaracter"/>
        </w:rPr>
        <w:t>7</w:t>
      </w:r>
      <w:r>
        <w:t>. Por escrito registrado el 22 de julio de 2022, el Parlamento de las Illes Balears presenta sus alegaciones solicitando la inadmisión del recurso de amparo, por carecer de especial trascendencia constitucional o, en defecto de la apreciación de este óbice, su desestimación completa. Con carácter de observación previa, la representación procesal de la Cámara sostiene que el art. 32.2 RPIB circunscribe las solicitudes de reconsideración a los acuerdos de la mesa relativos a la calificación con arreglo al reglamento, de los escritos y documentos de índole parlamentaria, así como a la declaración sobre la admisibilidad o inadmisibilidad de los mismos (art. 32.1 apartado cuarto RPIB) y a la decisión sobre la tramitación de todos los escritos y documentos de índole parlamentaria (art. 32.1 apartado 5 RPIB). Por tanto, las quejas en relación con la tramitación y votación de las enmiendas presentadas al proyecto de ley de presupuestos generales no dan lugar a ningún acuerdo de la mesa objeto de posible reconsideración.</w:t>
      </w:r>
    </w:p>
    <w:p w14:paraId="3EF8CF95" w14:textId="77777777" w:rsidR="00A8138F" w:rsidRDefault="00A8138F" w:rsidP="00A8138F">
      <w:pPr>
        <w:pStyle w:val="TextoNormal"/>
      </w:pPr>
    </w:p>
    <w:p w14:paraId="1D516E37" w14:textId="77777777" w:rsidR="00A8138F" w:rsidRDefault="00A8138F" w:rsidP="00A8138F">
      <w:pPr>
        <w:pStyle w:val="TextoNormal"/>
      </w:pPr>
      <w:r>
        <w:t>A partir de ahí, la argumentación de esta parte se centra en negar la especial trascendencia constitucional del recurso de amparo porque ya existe doctrina constitucional resolutoria del problema planteado y contenida en la STC 159/2019, de 12 de diciembre. Sostiene esta parte que los acuerdos y las normas reglamentarias aplicadas en el caso resuelto mediante la citada sentencia son coincidentes con los del presente recurso de amparo. Acto seguido, el escrito de alegaciones formula oposición a las tres quejas elevadas en su demanda por el recurrente en amparo.</w:t>
      </w:r>
    </w:p>
    <w:p w14:paraId="4656FAA1" w14:textId="77777777" w:rsidR="00A8138F" w:rsidRDefault="00A8138F" w:rsidP="00A8138F">
      <w:pPr>
        <w:pStyle w:val="TextoNormal"/>
      </w:pPr>
    </w:p>
    <w:p w14:paraId="7214607D" w14:textId="77777777" w:rsidR="00A8138F" w:rsidRDefault="00A8138F" w:rsidP="00A8138F">
      <w:pPr>
        <w:pStyle w:val="TextoNormal"/>
      </w:pPr>
      <w:r>
        <w:t xml:space="preserve">a) Respecto de la tramitación y votación de las enmiendas presentadas al proyecto de ley de presupuestos generales de la Comunidad Autónoma de las Illes Balears para el año 2022, la representación procesal del Parlamento niega que, en este caso, exista un acuerdo impugnable, sino que lo que hay es una mera comunicación al diputado de la posibilidad de presentar propuestas de agrupación de voto, habiéndose producido el debate y votación de la ley de presupuestos conforme al reglamento. Esta parte sostiene que las afirmaciones del recurrente no se ajustan a la realidad, ya que se garantizó su derecho de participación en el procedimiento legislativo en los términos de la resolución de la Presidencia reguladora del ejercicio del derecho de los diputados y las diputadas no adscritos a presentar y defender enmiendas parciales a los textos legislativos. Su queja se presentó a la mesa el día siguiente a la finalización del debate, pero el recurrente en amparo no utilizó los mecanismos previstos en los arts. 33.2, 80.1, 80.2 y 82 RPIB para solicitar la votación separada o plantear su queja en el momento del debate y emitió su voto aceptando tácitamente las previas agrupaciones de voto. La Cámara niega que se prohibiese al diputado recurrente en amparo pedir </w:t>
      </w:r>
      <w:r>
        <w:lastRenderedPageBreak/>
        <w:t>la votación separada y sostiene que su conducta, con la presente alegación, no se ajusta a las exigencias de la buena fe.</w:t>
      </w:r>
    </w:p>
    <w:p w14:paraId="67F0ABEB" w14:textId="77777777" w:rsidR="00A8138F" w:rsidRDefault="00A8138F" w:rsidP="00A8138F">
      <w:pPr>
        <w:pStyle w:val="TextoNormal"/>
      </w:pPr>
    </w:p>
    <w:p w14:paraId="3C98950B" w14:textId="77777777" w:rsidR="00A8138F" w:rsidRDefault="00A8138F" w:rsidP="00A8138F">
      <w:pPr>
        <w:pStyle w:val="TextoNormal"/>
      </w:pPr>
      <w:r>
        <w:t>b) Por lo que hace a la inadmisión de la enmienda de adición a la proposición no de ley relativa a la participación activa del franquismo en el Holocausto y el exterminio nazi, la Cámara se remite a las previsiones contenidas en los arts. 181 y 182.2 RPIB. Estos preceptos establecen que los grupos parlamentarios podrán presentar proposiciones no de ley a través de las cuales formulen propuestas de resolución a la Cámara y, publicada la proposición no de ley, podrán presentarse enmiendas por parte de los grupos parlamentarios hasta el día anterior del comienzo de la sesión en que hayan de debatirse. Por tanto, la presentación de enmiendas a las proposiciones no de ley corresponde a los grupos parlamentarios y no a los diputados adscritos o no adscritos. La privación de los diputados de la posibilidad de presentar proposiciones no de ley o enmiendas a una proposición no de ley no supone, por sí misma, una vulneración del art. 23.2 CE. El diputado no adscrito no puede pretender alcanzar un derecho que no tienen el resto de los diputados individualmente considerados.</w:t>
      </w:r>
    </w:p>
    <w:p w14:paraId="7A416D1C" w14:textId="77777777" w:rsidR="00A8138F" w:rsidRDefault="00A8138F" w:rsidP="00A8138F">
      <w:pPr>
        <w:pStyle w:val="TextoNormal"/>
      </w:pPr>
    </w:p>
    <w:p w14:paraId="3B4017E1" w14:textId="77777777" w:rsidR="00A8138F" w:rsidRDefault="00A8138F" w:rsidP="00A8138F">
      <w:pPr>
        <w:pStyle w:val="TextoNormal"/>
      </w:pPr>
      <w:r>
        <w:t>c) Por último, y en lo relativo a la solicitud de dejar de formar parte de la Comisión de Medio Ambiente y Ordenación Territorial y formar parte de la Comisión de Asuntos Institucionales y Generales, la Cámara invoca el art. 42.1 RPIB relativo a la composición de las comisiones y el art. 28.2 RPIB que prevé la participación en comisiones de los diputados no adscritos, estableciendo que es la mesa del Parlamento, oída la junta de portavoces, la que decide el procedimiento para la intervención en las comisiones y para su pertenencia a estas. Considera la Cámara que es razonable que el diputado no adscrito no posea un derecho a elegir o cambiar libremente de comisión a su voluntad, y ello resulta razonado y justificado en el acuerdo de la mesa por el que se desestimó su petición. Esta parte considera, además, que no aceptar ese cambio de comisión, no supone para el demandante ninguna restricción del núcleo esencial de las funciones parlamentarias y que el señor Benalal Bedrihem ni explica ni justifica en qué habría consistido esa restricción. Recuerda el escrito de alegaciones que un supuesto idéntico ha sido resuelto en la STC 159/2019, FJ 13.</w:t>
      </w:r>
    </w:p>
    <w:p w14:paraId="6082623C" w14:textId="77777777" w:rsidR="00A8138F" w:rsidRDefault="00A8138F" w:rsidP="00A8138F">
      <w:pPr>
        <w:pStyle w:val="TextoNormal"/>
      </w:pPr>
    </w:p>
    <w:p w14:paraId="290059CA" w14:textId="38154217" w:rsidR="00A8138F" w:rsidRDefault="00A8138F" w:rsidP="00A8138F">
      <w:pPr>
        <w:pStyle w:val="TextoNormal"/>
      </w:pPr>
      <w:r>
        <w:t>d) El escrito de alegaciones concluye con dos cuestiones. Una relativa al suplico de la demanda, negando argumentación suficiente respecto de la mención del art. 18 CE y reconduciendo la queja respecto de los arts. 14 a 23 CE. Y otra, en relación con la solicitud de planteamiento de una cuestión interna de constitucionalidad relativa a los arts. 28, 32, 181, 182, 14.4, 42.1 y 27 RPIB. A este respecto, esta parte invoca lo ya resuelto en la STC 159/2019, FJ 8, en relación con la previsión reglamentaria de la condición de diputado no adscrito, la inexistencia de contradicción entre el reglamento del Parlamento y el Estatuto de Autonomía de las Illes Balears (con remisión a lo alegado en relación con el recurso de amparo núm. 230-2022) y la falta de alegación suficiente respecto de la inconstitucionalidad de los arts. 32, 181 y 182, 14.4 y 42.1 RPIB.</w:t>
      </w:r>
    </w:p>
    <w:p w14:paraId="51069C9D" w14:textId="77777777" w:rsidR="00A8138F" w:rsidRDefault="00A8138F" w:rsidP="00A8138F">
      <w:pPr>
        <w:pStyle w:val="TextoNormal"/>
      </w:pPr>
    </w:p>
    <w:p w14:paraId="44321A52" w14:textId="1A047590" w:rsidR="00A8138F" w:rsidRDefault="00A8138F" w:rsidP="00A8138F">
      <w:pPr>
        <w:pStyle w:val="TextoNormal"/>
      </w:pPr>
      <w:r w:rsidRPr="00A8138F">
        <w:rPr>
          <w:rStyle w:val="NumeroAFNegritaCaracter"/>
        </w:rPr>
        <w:t>8</w:t>
      </w:r>
      <w:r>
        <w:t>. La procuradora de los tribunales, doña Begoña del Arco Herrero, en nombre y representación del recurrente en amparo, presentó escrito de alegaciones, que se registró el 28 de julio de 2022, en ejercicio de la previsión del art. 52 LOTC. El escrito reitera en su totalidad el escrito de demanda.</w:t>
      </w:r>
    </w:p>
    <w:p w14:paraId="134599D0" w14:textId="77777777" w:rsidR="00A8138F" w:rsidRDefault="00A8138F" w:rsidP="00A8138F">
      <w:pPr>
        <w:pStyle w:val="TextoNormal"/>
      </w:pPr>
    </w:p>
    <w:p w14:paraId="23A77512" w14:textId="77777777" w:rsidR="00A8138F" w:rsidRDefault="00A8138F" w:rsidP="00A8138F">
      <w:pPr>
        <w:pStyle w:val="TextoNormal"/>
      </w:pPr>
      <w:r w:rsidRPr="00A8138F">
        <w:rPr>
          <w:rStyle w:val="NumeroAFNegritaCaracter"/>
        </w:rPr>
        <w:t>9</w:t>
      </w:r>
      <w:r>
        <w:t>. Por escrito registrado el 2 de septiembre de 2022, la fiscal ante el Tribunal Constitucional formuló sus alegaciones solicitando la desestimación del recurso.</w:t>
      </w:r>
    </w:p>
    <w:p w14:paraId="250F85D5" w14:textId="77777777" w:rsidR="00A8138F" w:rsidRDefault="00A8138F" w:rsidP="00A8138F">
      <w:pPr>
        <w:pStyle w:val="TextoNormal"/>
      </w:pPr>
    </w:p>
    <w:p w14:paraId="4502A640" w14:textId="77777777" w:rsidR="00A8138F" w:rsidRDefault="00A8138F" w:rsidP="00A8138F">
      <w:pPr>
        <w:pStyle w:val="TextoNormal"/>
      </w:pPr>
      <w:r>
        <w:t>Tras resaltar la conexión existente entre el presente recurso de amparo y el recurso de amparo núm. 230-2022, la Fiscalía recuerda que el demandante se aquietó, en su momento, con el acuerdo de la mesa del Parlamento de las Illes Balears de 13 de septiembre de 2021 por el que se produjo la adquisición de la condición de diputado no adscrito, y a pesar de lo cual utiliza la impugnación en amparo de los posteriores acuerdos de la mesa, que aplicaron el régimen del diputado no adscrito, para cuestionar la adquisición de tal estatus y su contenido mismo. Inmediatamente después, y con carácter previo y general, el Ministerio Fiscal sostiene que, pese a invocarse en los tres motivos del recurso la vulneración tanto del derecho de igualdad del art. 14 CE, como del derecho al ejercicio del cargo parlamentario en condiciones de igualdad del art. 23.2 CE, en cuanto que este último comprende el que el mismo se ejercite en condiciones de igualdad y en la demanda de amparo no se alega una lesión autónoma del art. 14 CE, la invocación de ambos derechos ha de entenderse reconducida a la vulneración del derecho al ejercicio del cargo parlamentario del art. 23.2 CE. Como consideración general también, el Ministerio Fiscal reproduce el fundamento jurídico 5 de la STC 159/2019, que recoge la jurisprudencia constitucional sobre la limitación o restricción de los derechos parlamentarios a los diputados no adscritos, reconociendo, en palabras de la Fiscalía, que si estas limitaciones o restricciones vienen impuestas por el propio reglamento de la Cámara con la finalidad legítima de prevenir el transfuguismo político, habrá que examinar si dicha restricción resulta respetuosa con el contenido constitucional del derecho al cargo representativo y la garantía de igualdad, realizando, en su caso, el adecuado juicio de proporcionalidad.</w:t>
      </w:r>
    </w:p>
    <w:p w14:paraId="46183616" w14:textId="77777777" w:rsidR="00A8138F" w:rsidRDefault="00A8138F" w:rsidP="00A8138F">
      <w:pPr>
        <w:pStyle w:val="TextoNormal"/>
      </w:pPr>
    </w:p>
    <w:p w14:paraId="2930C6D1" w14:textId="77777777" w:rsidR="00A8138F" w:rsidRDefault="00A8138F" w:rsidP="00A8138F">
      <w:pPr>
        <w:pStyle w:val="TextoNormal"/>
      </w:pPr>
      <w:r>
        <w:t>Por lo que hace a las quejas contenidas en la demanda de amparo, la Fiscalía argumenta lo siguiente:</w:t>
      </w:r>
    </w:p>
    <w:p w14:paraId="17E9B5BA" w14:textId="77777777" w:rsidR="00A8138F" w:rsidRDefault="00A8138F" w:rsidP="00A8138F">
      <w:pPr>
        <w:pStyle w:val="TextoNormal"/>
      </w:pPr>
    </w:p>
    <w:p w14:paraId="07FDC444" w14:textId="77777777" w:rsidR="00A8138F" w:rsidRDefault="00A8138F" w:rsidP="00A8138F">
      <w:pPr>
        <w:pStyle w:val="TextoNormal"/>
      </w:pPr>
      <w:r>
        <w:t>a) En relación con la tramitación y votación de las enmiendas presentadas al proyecto de ley de presupuestos generales de la Comunidad Autónoma de las Illes Balears para el año 2022: (i) la agrupación de las enmiendas según el sentido del voto responde a la tramitación establecida en el art. 134 RPIB; (ii) el recurrente no acredita que la Presidencia le haya privado en los debates de la ley de presupuestos y en la votación de enmiendas de la posibilidad de pedir votación separada de algunos de los grupos de enmiendas, haciendo uso de lo dispuesto en el art. 82 RPIB y ello con independencia de que la Presidencia tan solo mencionara a los grupos parlamentarios para indicar si se solicitaba la votación por separado de algunos de los grupos de enmiendas. Tampoco acredita haber presentado queja o petición alguna a la Presidencia de la Cámara cuando, al recibir la documentación para los debates en el Pleno, observó que solo se pedía el sentido del voto de las enmiendas para su agrupación a los grupos parlamentarios o que solo se contemplaba la posibilidad de que estos solicitaran la votación por separado; (iii) el demandante formula su reclamación a la mesa tras el debate sin haber hecho ninguna reclamación durante las sesiones del Pleno. Además, el recurrente en amparo no indica cuáles fueron las concretas enmiendas agrupadas cuya votación en el Pleno le fueron impuestas impidiéndole ejercer libremente su derecho al voto; (iv) el recurrente señala que en la siguiente votación del Pleno se cambió la fórmula hasta entonces usada por la nueva “[s]i ningún grupo parlamentario o diputado pide votación separada”. Teniendo en cuenta lo anterior, el Ministerio Fiscal considera que no cabe estimar la queja del recurrente en amparo.</w:t>
      </w:r>
    </w:p>
    <w:p w14:paraId="3706C4A8" w14:textId="77777777" w:rsidR="00A8138F" w:rsidRDefault="00A8138F" w:rsidP="00A8138F">
      <w:pPr>
        <w:pStyle w:val="TextoNormal"/>
      </w:pPr>
    </w:p>
    <w:p w14:paraId="01ED128E" w14:textId="77777777" w:rsidR="00A8138F" w:rsidRDefault="00A8138F" w:rsidP="00A8138F">
      <w:pPr>
        <w:pStyle w:val="TextoNormal"/>
      </w:pPr>
      <w:r>
        <w:lastRenderedPageBreak/>
        <w:t>b) Respecto de la inadmisión de la enmienda de adición a la proposición no de ley relativa a la participación activa del franquismo en el Holocausto y el exterminio nazi, la Fiscalía ante el Tribunal Constitucional señala que el acuerdo de la mesa es un acuerdo motivado que sustenta esta decisión en el propio reglamento de la Cámara (arts. 181 y 182 RPIB), en la medida en que, según lo establecido en el art. 28.1 RPIB los diputados no adscritos tendrán los derechos que les correspondan a los diputados individuales, la iniciativa parlamentaria de las proposiciones no de ley se atribuye en exclusiva a los grupos parlamentarios, y que el diputado no adscrito carece, como todos los demás individualmente considerados, de dicha legitimación, sin que pueda considerarse que existe trato desigual respecto del resto de los diputados individualmente considerados.</w:t>
      </w:r>
    </w:p>
    <w:p w14:paraId="76A6C48C" w14:textId="77777777" w:rsidR="00A8138F" w:rsidRDefault="00A8138F" w:rsidP="00A8138F">
      <w:pPr>
        <w:pStyle w:val="TextoNormal"/>
      </w:pPr>
    </w:p>
    <w:p w14:paraId="24C0DCC8" w14:textId="77777777" w:rsidR="00A8138F" w:rsidRDefault="00A8138F" w:rsidP="00A8138F">
      <w:pPr>
        <w:pStyle w:val="TextoNormal"/>
      </w:pPr>
      <w:r>
        <w:t>Reiterando lo expuesto en el escrito de alegaciones al recurso de amparo núm. 230-2022, el Ministerio Fiscal sostiene que el acuerdo de la mesa se funda en el estatus parlamentario del diputado no adscrito, que resulta de manera específica de lo previsto en el art 28 RPIB y, en particular, por lo que se refiere a las iniciativas de proposiciones no de ley, de lo establecido por los arts. 181y 182 RPIB. La legitimación de estas iniciativas es de los grupos parlamentarios y no de los diputados individualmente considerados. Si bien en la STC 159/2019, el Tribunal apreció una vulneración del derecho al ejercicio del cargo parlamentario, al denegar la mesa del Parlamento de Extremadura que los diputados no adscritos pudieran presentar proposiciones no de ley, en cuanto que solo correspondía a los grupos parlamentarios, lo cierto es que el art. 217 del Reglamento del Parlamento de Extremadura reconoce en abstracto a los diputados individuales el derecho a presentar las proposiciones no de ley, supuesto que no concurre en el caso que nos ocupa. Por tanto, el acuerdo de la mesa está correctamente fundado en la previsión del reglamento, que no es restrictiva del derecho invocado. Pretender reconocer a los diputados no adscritos la legitimación para estas iniciativas, supondría otorgarles un derecho o facultad que no se atribuye individualmente a los diputados, aunque estén integrados en un grupo parlamentario, y por tanto, un derecho de sobrerrepresentación no justificado.</w:t>
      </w:r>
    </w:p>
    <w:p w14:paraId="31B0D97D" w14:textId="77777777" w:rsidR="00A8138F" w:rsidRDefault="00A8138F" w:rsidP="00A8138F">
      <w:pPr>
        <w:pStyle w:val="TextoNormal"/>
      </w:pPr>
    </w:p>
    <w:p w14:paraId="5BB784BA" w14:textId="77777777" w:rsidR="00A8138F" w:rsidRDefault="00A8138F" w:rsidP="00A8138F">
      <w:pPr>
        <w:pStyle w:val="TextoNormal"/>
      </w:pPr>
      <w:r>
        <w:t>c) En lo relativo a la solicitud de dejar de formar parte de la Comisión de Medio Ambiente y Ordenación Territorial y formar parte de le Comisión de Asuntos Institucionales y Generales, y para valorar si los motivos expuestos en el acuerdo de la mesa pueden ser considerados como suficientes y razonables, el Ministerio Fiscal resalta lo siguiente: (i) las comisiones parlamentarias no se integran con los diputados individualmente considerados que deciden libremente formar parte de las mismas, sino que se componen de los miembros designados por los grupos parlamentarios en proporción a su importancia numérica en la Cámara (art. 42 RPIB); (ii) lo que garantiza el art. 14.4 RPIB es que cada uno de los diputados individualmente considerados pueda integrar al menos una comisión, pero dado que son los grupos parlamentarios los que designan entre sus miembros a los diputados de cada comisión, no cabe estimar que cada diputado ostente el derecho de decidir libremente en qué comisión quiere integrarse; (iii) en el presente caso se ha respetado el derecho del diputado recurrente y la mesa acordó que quedara integrado en la comisión a la que había venido perteneciendo, haciéndose eco de su comunicación de querer integrarse en la misma; (iv) el recurrente no ha expuesto ni en el escrito parlamentario en que solicitó el cambio, ni en el recurso de amparo, cuáles son los motivos por los que interesó el cambio de comisión parlamentaria, en orden a determinar si había razones por las que el cambio podía estar justificado para garantizar al recurrente el ejercicio de derechos inherentes al núcleo de su función parlamentaria.</w:t>
      </w:r>
    </w:p>
    <w:p w14:paraId="040D1719" w14:textId="77777777" w:rsidR="00A8138F" w:rsidRDefault="00A8138F" w:rsidP="00A8138F">
      <w:pPr>
        <w:pStyle w:val="TextoNormal"/>
      </w:pPr>
    </w:p>
    <w:p w14:paraId="27FD31F2" w14:textId="46610EA5" w:rsidR="00A8138F" w:rsidRDefault="00A8138F" w:rsidP="00A8138F">
      <w:pPr>
        <w:pStyle w:val="TextoNormal"/>
      </w:pPr>
      <w:r>
        <w:t>d) Por último, el Ministerio Fiscal resalta que el recurrente en amparo viene a sustentar el trato desigual en el ejercicio del cargo parlamentario sobre la base de un término de comparación no idéntico, que son los grupos parlamentarios, de modo que lo que subyace en las quejas es el cuestionamiento de la atribución de la condición de diputado no adscrito y el estatuto del mismo en el Reglamento del Parlamento de las Illes Balears, en concreto, pretendiendo por la vía de la impugnación que de las decisiones o acuerdos del órgano rector de la Cámara se pueda realizar una revisión o anulación de lo previsto en las disposiciones legales del reglamento, utilizando la vía del amparo parlamentario que solo puede tener como objeto actos o disposiciones sin valor de ley. Esta es la razón por la que el recurrente solicita el planteamiento de una cuestión interna de constitucionalidad. La Fiscalía ante el Tribunal Constitucional considera que esta petición debe ser rechazada por carecer de todo sustento, por las mismas razones que conducen a entender que no existe una vulneración del derecho al ejercicio del cargo parlamentario en condiciones de igualdad, causada por los acuerdos de la mesa del Parlamento de las Illes Balears que se impugnan en la demanda de amparo.</w:t>
      </w:r>
    </w:p>
    <w:p w14:paraId="66BFF43E" w14:textId="77777777" w:rsidR="00A8138F" w:rsidRDefault="00A8138F" w:rsidP="00A8138F">
      <w:pPr>
        <w:pStyle w:val="TextoNormal"/>
      </w:pPr>
    </w:p>
    <w:p w14:paraId="2BBFE4CE" w14:textId="134ED476" w:rsidR="00A8138F" w:rsidRDefault="00A8138F" w:rsidP="00A8138F">
      <w:pPr>
        <w:pStyle w:val="TextoNormal"/>
      </w:pPr>
      <w:r w:rsidRPr="00A8138F">
        <w:rPr>
          <w:rStyle w:val="NumeroAFNegritaCaracter"/>
        </w:rPr>
        <w:t>10</w:t>
      </w:r>
      <w:r>
        <w:t>. Por diligencia de ordenación del secretario de justicia de la Sala Segunda (Sección Cuarta), en virtud del acuerdo adoptado por el Pleno del Tribunal Constitucional el día 17 de enero de 2023, publicado en el “Boletín Oficial del Estado” de 19 de enero, se pone en conocimiento de las partes y del Ministerio Fiscal que el presente recurso de amparo ha sido turnado a la Sala Segunda de este tribunal.</w:t>
      </w:r>
    </w:p>
    <w:p w14:paraId="7FC487E1" w14:textId="77777777" w:rsidR="00A8138F" w:rsidRDefault="00A8138F" w:rsidP="00A8138F">
      <w:pPr>
        <w:pStyle w:val="TextoNormal"/>
      </w:pPr>
    </w:p>
    <w:p w14:paraId="09ABC790" w14:textId="1E139E8E" w:rsidR="00A8138F" w:rsidRDefault="00A8138F" w:rsidP="00A8138F">
      <w:pPr>
        <w:pStyle w:val="TextoNormal"/>
      </w:pPr>
      <w:r w:rsidRPr="00A8138F">
        <w:rPr>
          <w:rStyle w:val="NumeroAFNegritaCaracter"/>
        </w:rPr>
        <w:t>11</w:t>
      </w:r>
      <w:r>
        <w:t>. Por providencia de 23 de enero de 2025, se señaló para deliberación y votación de la presente sentencia el día 27 del mismo mes y año.</w:t>
      </w:r>
    </w:p>
    <w:p w14:paraId="7E76E04E" w14:textId="77777777" w:rsidR="00A8138F" w:rsidRDefault="00A8138F" w:rsidP="00A8138F">
      <w:pPr>
        <w:pStyle w:val="TextoNormal"/>
      </w:pPr>
    </w:p>
    <w:p w14:paraId="2E8B6085" w14:textId="77777777" w:rsidR="00A8138F" w:rsidRDefault="00A8138F" w:rsidP="00A8138F">
      <w:pPr>
        <w:pStyle w:val="TextoNormalNegritaCentrado"/>
        <w:keepNext/>
      </w:pPr>
      <w:r>
        <w:t>II. Fundamentos jurídicos</w:t>
      </w:r>
    </w:p>
    <w:p w14:paraId="4D48405C" w14:textId="67D9EDF9" w:rsidR="00A8138F" w:rsidRDefault="00A8138F" w:rsidP="00A8138F">
      <w:pPr>
        <w:pStyle w:val="TextoNormalNegritaCentrado"/>
        <w:keepNext/>
      </w:pPr>
    </w:p>
    <w:p w14:paraId="663316E7"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6B5A4C5F" w14:textId="77777777" w:rsidR="00A8138F" w:rsidRDefault="00A8138F" w:rsidP="00A8138F">
      <w:pPr>
        <w:pStyle w:val="TextoNormal"/>
      </w:pPr>
    </w:p>
    <w:p w14:paraId="67C8D312" w14:textId="77777777" w:rsidR="00A8138F" w:rsidRDefault="00A8138F" w:rsidP="00A8138F">
      <w:pPr>
        <w:pStyle w:val="TextoNormal"/>
      </w:pPr>
      <w:r>
        <w:t xml:space="preserve">De los antecedentes expuestos resulta que el recurrente identifica en el encabezado y en el </w:t>
      </w:r>
      <w:r w:rsidRPr="00A8138F">
        <w:rPr>
          <w:i/>
        </w:rPr>
        <w:t>petitum</w:t>
      </w:r>
      <w:r>
        <w:t xml:space="preserve"> de su demanda, como objeto del presente recurso de amparo parlamentario, varios acuerdos adoptados por la mesa del Parlamento de las Illes Balears, en relación con tres bloques de cuestiones:</w:t>
      </w:r>
    </w:p>
    <w:p w14:paraId="6E90244B" w14:textId="77777777" w:rsidR="00A8138F" w:rsidRDefault="00A8138F" w:rsidP="00A8138F">
      <w:pPr>
        <w:pStyle w:val="TextoNormal"/>
      </w:pPr>
    </w:p>
    <w:p w14:paraId="35E6AF22" w14:textId="77777777" w:rsidR="00A8138F" w:rsidRDefault="00A8138F" w:rsidP="00A8138F">
      <w:pPr>
        <w:pStyle w:val="TextoNormal"/>
      </w:pPr>
      <w:r>
        <w:t>a) El sistema de voto de las enmiendas en el proceso de aprobación de los presupuestos generales de la comunidad autónoma, cuestión tratada en las resoluciones con registro general de salida núm. 254-2022, de 26 de enero de 2022 y 722-2022, de 16 de febrero de 2022.</w:t>
      </w:r>
    </w:p>
    <w:p w14:paraId="498A607F" w14:textId="77777777" w:rsidR="00A8138F" w:rsidRDefault="00A8138F" w:rsidP="00A8138F">
      <w:pPr>
        <w:pStyle w:val="TextoNormal"/>
      </w:pPr>
    </w:p>
    <w:p w14:paraId="0D696C38" w14:textId="77777777" w:rsidR="00A8138F" w:rsidRDefault="00A8138F" w:rsidP="00A8138F">
      <w:pPr>
        <w:pStyle w:val="TextoNormal"/>
      </w:pPr>
      <w:r>
        <w:t>b) La posibilidad de presentación de enmiendas a proposiciones no de ley, tema al que hace referencia las resoluciones con registro general de salida núm. 1013-2022, de 7 de marzo de 2022, y 1391-2022, de 23 de marzo de 2022.</w:t>
      </w:r>
    </w:p>
    <w:p w14:paraId="06E92CA0" w14:textId="77777777" w:rsidR="00A8138F" w:rsidRDefault="00A8138F" w:rsidP="00A8138F">
      <w:pPr>
        <w:pStyle w:val="TextoNormal"/>
      </w:pPr>
    </w:p>
    <w:p w14:paraId="50D7A1D5" w14:textId="77777777" w:rsidR="00A8138F" w:rsidRDefault="00A8138F" w:rsidP="00A8138F">
      <w:pPr>
        <w:pStyle w:val="TextoNormal"/>
      </w:pPr>
      <w:r>
        <w:t>c) La facultad de escoger la comisión de pertenencia y cambiarse en el curso de la legislatura a petición propia, aspecto al que alude la resolución con registro general de salida núm. 1392-2022, de 23 de marzo de 2022.</w:t>
      </w:r>
    </w:p>
    <w:p w14:paraId="6817C327" w14:textId="77777777" w:rsidR="00A8138F" w:rsidRDefault="00A8138F" w:rsidP="00A8138F">
      <w:pPr>
        <w:pStyle w:val="TextoNormal"/>
      </w:pPr>
    </w:p>
    <w:p w14:paraId="70A1EDA6" w14:textId="131214EC" w:rsidR="00A8138F" w:rsidRDefault="00A8138F" w:rsidP="00A8138F">
      <w:pPr>
        <w:pStyle w:val="TextoNormal"/>
      </w:pPr>
      <w:r>
        <w:t xml:space="preserve">En relación con las cinco resoluciones de la mesa que se impugnan, el señor Benalal Bendrihem, que ostenta la condición de diputado no adscrito desde el momento en que fue expulsado de su grupo parlamentario, tal y como dispone el art. 27.1 b) RPIB, denuncia la vulneración del derecho al ejercicio de la función representativa </w:t>
      </w:r>
      <w:r w:rsidRPr="00A8138F">
        <w:rPr>
          <w:i/>
        </w:rPr>
        <w:t>ex</w:t>
      </w:r>
      <w:r>
        <w:t xml:space="preserve"> art. 23.2 CE en igualdad de condiciones con los diputados adscritos a un grupo parlamentario, planteando adicionalmente la incompatibilidad entre la figura misma del diputado no adscrito y los arts. 23.2 y 14 CE. El argumento relativo a dicha incompatibilidad se traslada a la solicitud de que el Tribunal se plantee una cuestión interna de constitucionalidad en relación con los arts. 27.1 b) RPIB y 28.1 RPIB, considerados ambos contrarios al art. 23.2 CE. Por su parte, tanto la representación procesal del Parlamento de las Illes Balears, como la Fiscalía interesan la desestimación total de las pretensiones de la demanda de amparo.</w:t>
      </w:r>
    </w:p>
    <w:p w14:paraId="5A8B5B5C" w14:textId="77777777" w:rsidR="00A8138F" w:rsidRDefault="00A8138F" w:rsidP="00A8138F">
      <w:pPr>
        <w:pStyle w:val="TextoNormal"/>
      </w:pPr>
    </w:p>
    <w:p w14:paraId="5A7D0058" w14:textId="77777777" w:rsidR="00A8138F" w:rsidRDefault="00A8138F" w:rsidP="00A8138F">
      <w:pPr>
        <w:pStyle w:val="TextoNormal"/>
      </w:pPr>
      <w:r w:rsidRPr="00A8138F">
        <w:rPr>
          <w:rStyle w:val="NumeroAFNegritaCaracter"/>
        </w:rPr>
        <w:t>2</w:t>
      </w:r>
      <w:r>
        <w:t xml:space="preserve">. </w:t>
      </w:r>
      <w:r w:rsidRPr="00A8138F">
        <w:rPr>
          <w:i/>
        </w:rPr>
        <w:t>Sobre la especial trascendencia constitucional</w:t>
      </w:r>
    </w:p>
    <w:p w14:paraId="2A5AAAFD" w14:textId="77777777" w:rsidR="00A8138F" w:rsidRDefault="00A8138F" w:rsidP="00A8138F">
      <w:pPr>
        <w:pStyle w:val="TextoNormal"/>
      </w:pPr>
    </w:p>
    <w:p w14:paraId="66F4D1B9" w14:textId="77777777" w:rsidR="00A8138F" w:rsidRDefault="00A8138F" w:rsidP="00A8138F">
      <w:pPr>
        <w:pStyle w:val="TextoNormal"/>
      </w:pPr>
      <w:r>
        <w:t>Por providencia de 6 de junio de 2022, la Sala Primera del Tribunal Constitucional acordó la admisión a trámite del recurso, apreciando que concurre una especial trascendencia constitucional (art. 50.1 LOTC), por cuanto que el asunto trasciende del caso concreto, toda vez que pudiera tener unas consecuencias políticas generales [STC 155/2009, FJ 2 g)]. La providencia de admisión no alude a la concurrencia de otras causas de especial trascendencia, como que el recurso “plantee un problema o una faceta de un derecho fundamental susceptible de amparo sobre el que no haya doctrina del Tribunal Constitucional” [STC 155/2009, FJ 2 a)], por lo tanto, la alegación de la letrada del Parlamento de las Illes Balears, centrada en negar especial trascendencia al asunto sobre la base de la existencia de doctrina jurisprudencial suficiente para su solución, invocando la STC 159/2019, no tiene razón de ser en relación con la causa de especial trascendencia efectivamente apreciada por el Tribunal.</w:t>
      </w:r>
    </w:p>
    <w:p w14:paraId="056A7846" w14:textId="77777777" w:rsidR="00A8138F" w:rsidRDefault="00A8138F" w:rsidP="00A8138F">
      <w:pPr>
        <w:pStyle w:val="TextoNormal"/>
      </w:pPr>
    </w:p>
    <w:p w14:paraId="4786BAE4" w14:textId="21BE7685" w:rsidR="00A8138F" w:rsidRDefault="00A8138F" w:rsidP="00A8138F">
      <w:pPr>
        <w:pStyle w:val="TextoNormal"/>
      </w:pPr>
      <w:r>
        <w:t>De acuerdo con la jurisprudencia del Tribunal (entre otras muchas las SSTC 10/2018, de 5 de febrero, FJ 2; 46/2018, de 26 de abril, FJ 3; 65/2022, de 31 de mayo, FJ 2; 94/2022, de 12 de julio, FJ 2, y 97/2022, de 12 de julio, FJ 2) “los recursos de amparo regulados en el artículo 42 LOTC ‘tienen una particularidad respecto del resto de los recursos de amparo, en cuanto al marco de garantías del que disponen los eventuales recurrentes para invocar sus derechos fundamentales, cual es la ausencia de una vía jurisdiccional previa al amparo constitucional en la que postular la reparación de los derechos vulnerados […] lo que sitúa a los amparos parlamentarios en una posición especial a la hora de determinar su dimensión objetiva y valorar la especial trascendencia constitucional por parte de este tribunal (STC 155/2009, FJ 2), dada la repercusión general que tiene el ejercicio de la función representativa y que excede del ámbito particular del parlamentario y del grupo en el que se integra (STC 200/2014, de 15 de diciembre, FJ 2, entre otras)’. En el mismo sentido, SSTC 42/2019, de 27 de marzo, FJ 2; 110/2019, de 2 de octubre, FJ 1, y 97/2020, de 21 de julio, FJ 2 B) a), entre otras resoluciones”.</w:t>
      </w:r>
    </w:p>
    <w:p w14:paraId="786868CE" w14:textId="77777777" w:rsidR="00A8138F" w:rsidRDefault="00A8138F" w:rsidP="00A8138F">
      <w:pPr>
        <w:pStyle w:val="TextoNormal"/>
      </w:pPr>
    </w:p>
    <w:p w14:paraId="57E12399" w14:textId="77777777" w:rsidR="00A8138F" w:rsidRDefault="00A8138F" w:rsidP="00A8138F">
      <w:pPr>
        <w:pStyle w:val="TextoNormal"/>
      </w:pPr>
      <w:r w:rsidRPr="00A8138F">
        <w:rPr>
          <w:rStyle w:val="NumeroAFNegritaCaracter"/>
        </w:rPr>
        <w:t>3</w:t>
      </w:r>
      <w:r>
        <w:t xml:space="preserve">. </w:t>
      </w:r>
      <w:r w:rsidRPr="00A8138F">
        <w:rPr>
          <w:i/>
        </w:rPr>
        <w:t>Jurisprudencia constitucional sobre el alcance de las atribuciones del diputado autonómico no adscrito</w:t>
      </w:r>
    </w:p>
    <w:p w14:paraId="1B58A800" w14:textId="77777777" w:rsidR="00A8138F" w:rsidRDefault="00A8138F" w:rsidP="00A8138F">
      <w:pPr>
        <w:pStyle w:val="TextoNormal"/>
      </w:pPr>
    </w:p>
    <w:p w14:paraId="198F9F5A" w14:textId="77777777" w:rsidR="00A8138F" w:rsidRDefault="00A8138F" w:rsidP="00A8138F">
      <w:pPr>
        <w:pStyle w:val="TextoNormal"/>
      </w:pPr>
      <w:r>
        <w:t xml:space="preserve">a) </w:t>
      </w:r>
      <w:r w:rsidRPr="00A8138F">
        <w:rPr>
          <w:i/>
        </w:rPr>
        <w:t>Sobre la configuración del derecho de permanencia y desempeño del cargo representativo</w:t>
      </w:r>
    </w:p>
    <w:p w14:paraId="14281647" w14:textId="77777777" w:rsidR="00A8138F" w:rsidRDefault="00A8138F" w:rsidP="00A8138F">
      <w:pPr>
        <w:pStyle w:val="TextoNormal"/>
      </w:pPr>
    </w:p>
    <w:p w14:paraId="027D28E6" w14:textId="77777777" w:rsidR="00A8138F" w:rsidRDefault="00A8138F" w:rsidP="00A8138F">
      <w:pPr>
        <w:pStyle w:val="TextoNormal"/>
      </w:pPr>
      <w:r>
        <w:t>En la STC 159/2019, el Tribunal Constitucional se pronuncia, por primera vez, sobre la condición de diputado no adscrito de las personas integrantes de una asamblea autonómica, y sobre las atribuciones de derechos que les corresponden en su condición de no adscritas a ningún grupo parlamentario.</w:t>
      </w:r>
    </w:p>
    <w:p w14:paraId="2EC3A70E" w14:textId="77777777" w:rsidR="00A8138F" w:rsidRDefault="00A8138F" w:rsidP="00A8138F">
      <w:pPr>
        <w:pStyle w:val="TextoNormal"/>
      </w:pPr>
    </w:p>
    <w:p w14:paraId="5A37935B" w14:textId="77777777" w:rsidR="00A8138F" w:rsidRDefault="00A8138F" w:rsidP="00A8138F">
      <w:pPr>
        <w:pStyle w:val="TextoNormal"/>
      </w:pPr>
      <w:r>
        <w:t>Como afirma la letrada del Parlamento de las Illes Balears en sus alegaciones, y se deriva también de las efectuadas por el Ministerio Fiscal, la proyección de la jurisprudencia contenida en aquel pronunciamiento al supuesto de hecho que ahora nos ocupa, nos permitirá dilucidar si se ha producido o no la vulneración de derechos fundamentales que el recurrente en amparo denuncia en su demanda. Y, a este respecto, la primera consideración pertinente se refiere a la adecuada identificación del derecho fundamental en presencia, que es el contenido en el art. 23.2 CE, y no el genérico derecho a la igualdad del art. 14 CE. En la STC 159/2019, FJ 4 a) se recuerda, acudiendo a jurisprudencia previa consolidada que “el artículo 23.2 CE especifica el derecho a la igualdad en el acceso a las funciones y cargos públicos, siendo este,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artículo 14 CE” (SSTC 191/2007, de 10 de septiembre, FJ 3, y 39/2008, de 10 de marzo, FJ 4). La invocación del derecho a la igualdad y a no sufrir discriminación (art. 14 CE) debe entenderse subsumida en el derecho garantizado por el art. 23.2 CE”.</w:t>
      </w:r>
    </w:p>
    <w:p w14:paraId="6C6B3FB5" w14:textId="77777777" w:rsidR="00A8138F" w:rsidRDefault="00A8138F" w:rsidP="00A8138F">
      <w:pPr>
        <w:pStyle w:val="TextoNormal"/>
      </w:pPr>
    </w:p>
    <w:p w14:paraId="7EED7A86" w14:textId="77777777" w:rsidR="00A8138F" w:rsidRDefault="00A8138F" w:rsidP="00A8138F">
      <w:pPr>
        <w:pStyle w:val="TextoNormal"/>
      </w:pPr>
      <w:r>
        <w:t>Identificado el art. 23.2 CE como precepto constitucional de referencia, la vertiente prevalente del mismo cuando se analiza la limitación de facultades, funciones o derechos de un cargo electo es, dentro de la referida al derecho de todos a acceder en condiciones de igualdad a los cargos públicos con los requisitos que señalen las leyes, la que alude a la permanencia en el ejercicio del cargo público y a desempeñarlo de acuerdo con la ley, sin constricciones o perturbaciones ilegítimas. Esta garantía, según recuerda la STC 159/2019, FJ 5 “adquiere especial relevancia cuando se trata, como sucede aquí, de representantes parlamentarios en defensa del ejercicio de sus funciones, ya que ello comporta defender también el derecho mismo de los ciudadanos a participar a través de la institución de la representación en los asuntos públicos reconocido en el art. 23.1 CE”.</w:t>
      </w:r>
    </w:p>
    <w:p w14:paraId="6050023E" w14:textId="77777777" w:rsidR="00A8138F" w:rsidRDefault="00A8138F" w:rsidP="00A8138F">
      <w:pPr>
        <w:pStyle w:val="TextoNormal"/>
      </w:pPr>
    </w:p>
    <w:p w14:paraId="4D886C2D" w14:textId="77777777" w:rsidR="00A8138F" w:rsidRDefault="00A8138F" w:rsidP="00A8138F">
      <w:pPr>
        <w:pStyle w:val="TextoNormal"/>
      </w:pPr>
      <w:r>
        <w:t xml:space="preserve">Junto a la conexión entre los dos apartados del art. 23 CE, el Tribunal recuerda que el “derecho al desempeño de cargos públicos representativos sin perturbaciones ilegítimas ha sido clasificado entre aquellos cuya configuración se defiere constitucionalmente a la ley, a cuyos ‘requisitos’ ha de acomodarse su ejercicio” (STC 159/2019, FJ 5, y jurisprudencia allí citada). Siendo un derecho de configuración legal “compete a la ley, comprensiva de los reglamentos parlamentarios, el ordenar los derechos y facultades que corresponden a los distintos cargos públicos” (STC 161/1988, de 20 de septiembre, FJ 7). Esos derechos y facultades legalmente previstos quedan entonces “integrados en el estatus propio de cada cargo, con la consecuencia de que sus titulares podrán defender, al amparo del artículo 23.2 CE, el </w:t>
      </w:r>
      <w:r w:rsidRPr="00A8138F">
        <w:rPr>
          <w:i/>
        </w:rPr>
        <w:t>ius in officium</w:t>
      </w:r>
      <w:r>
        <w:t xml:space="preserve"> que consideren ilegítimamente constreñido o ignorado por actos de los poderes públicos” (STC 159/2019, FJ 5, y jurisprudencia allí citada). Añade también nuestra doctrina que corresponde a “los órganos parlamentarios la formulación de una exégesis restrictiva de las normas que supongan una limitación de algunos derechos y la motivación de las razones de su aplicación” (por todas, STC 115/2019, de 16 de octubre, FJ 4).</w:t>
      </w:r>
    </w:p>
    <w:p w14:paraId="04DA6FC7" w14:textId="77777777" w:rsidR="00A8138F" w:rsidRDefault="00A8138F" w:rsidP="00A8138F">
      <w:pPr>
        <w:pStyle w:val="TextoNormal"/>
      </w:pPr>
    </w:p>
    <w:p w14:paraId="612D971C" w14:textId="77777777" w:rsidR="00A8138F" w:rsidRDefault="00A8138F" w:rsidP="00A8138F">
      <w:pPr>
        <w:pStyle w:val="TextoNormal"/>
      </w:pPr>
      <w:r>
        <w:t xml:space="preserve">Ahora bien, en el art. 23.2 CE se contiene el derecho fundamental al respeto de los derechos y facultades del estatuto del parlamentario que, legalmente configurados, pertenezcan al núcleo de la función representativa como son, “principalmente, los que tienen relación directa con el ejercicio de las potestades legislativas y de control de la acción del Gobierno”, siendo vulnerado “el artículo 23.2 CE si los propios órganos de las asambleas impiden o coartan su práctica o adoptan decisiones que contraríen la naturaleza de la representación o la igualdad de representantes” (STC 159/2019, FJ 5, y jurisprudencia citada a este respecto). En último término, los acuerdos parlamentarios que lleven a cabo estas limitaciones o restricciones del </w:t>
      </w:r>
      <w:r w:rsidRPr="00A8138F">
        <w:rPr>
          <w:i/>
        </w:rPr>
        <w:t>ius in officium</w:t>
      </w:r>
      <w:r>
        <w:t xml:space="preserve">, no solo “deben formular una exégesis restrictiva de todas aquellas normas que puedan suponer una limitación al ejercicio de aquellos derechos o atribuciones que integran el estatuto constitucionalmente relevante del representante público” (STC 159/2019, FJ 5), sino que también deben motivar las razones de su aplicación, bajo pena, “no solo de vulnerar el derecho fundamental del representante de los ciudadanos a ejercer su cargo (art. 23.2 CE), sino también de infringir el de la ciudadanía a participar en los asuntos públicos </w:t>
      </w:r>
      <w:r w:rsidRPr="00A8138F">
        <w:rPr>
          <w:i/>
        </w:rPr>
        <w:t>ex</w:t>
      </w:r>
      <w:r>
        <w:t xml:space="preserve"> art. 23.1 CE” (STC 159/2019, FJ 5). Y ello porque la motivación “permitirá dirimir si la restricción de que se trate, en relación con las atribuciones del resto de diputados, resulta proporcionada por derivarse de su aplicación más beneficios o ventajas para el interés general que perjuicios sobre otros bienes o intereses en conflicto (STC 151/2017, de 21 de diciembre, FJ 7)” (STC 159/2019, FJ 5).</w:t>
      </w:r>
    </w:p>
    <w:p w14:paraId="1AF8F9F7" w14:textId="77777777" w:rsidR="00A8138F" w:rsidRDefault="00A8138F" w:rsidP="00A8138F">
      <w:pPr>
        <w:pStyle w:val="TextoNormal"/>
      </w:pPr>
    </w:p>
    <w:p w14:paraId="57DD47CB" w14:textId="77777777" w:rsidR="00A8138F" w:rsidRDefault="00A8138F" w:rsidP="00A8138F">
      <w:pPr>
        <w:pStyle w:val="TextoNormal"/>
      </w:pPr>
      <w:r>
        <w:t xml:space="preserve">Por último, el legislador puede introducir limitaciones o restricciones que afecten al núcleo esencial del </w:t>
      </w:r>
      <w:r w:rsidRPr="00A8138F">
        <w:rPr>
          <w:i/>
        </w:rPr>
        <w:t>ius in officium</w:t>
      </w:r>
      <w:r>
        <w:t>, respetando a los imperativos del principio de igualdad, y asegurando que las restricciones se “ordenen a un fin legítimo, en términos proporcionados a dicha válida finalidad” (STC 71/1994, de 3 de marzo, FJ 6). Así, se “quebranta dicho mandato con la imposición de condiciones o requisitos de ejercicio del derecho ‘si lo vacían de contenido, lo someten a limitaciones que lo hacen impracticable o dificultan su ejercicio más allá de lo razonable, lo desnaturalizan o resulta irreconocible como tal derecho’” (STC 159/2019, FJ 5, y jurisprudencia allí citada).</w:t>
      </w:r>
    </w:p>
    <w:p w14:paraId="38D3E114" w14:textId="77777777" w:rsidR="00A8138F" w:rsidRDefault="00A8138F" w:rsidP="00A8138F">
      <w:pPr>
        <w:pStyle w:val="TextoNormal"/>
      </w:pPr>
    </w:p>
    <w:p w14:paraId="34E8D6D3" w14:textId="77777777" w:rsidR="00A8138F" w:rsidRDefault="00A8138F" w:rsidP="00A8138F">
      <w:pPr>
        <w:pStyle w:val="TextoNormal"/>
      </w:pPr>
      <w:r>
        <w:t xml:space="preserve">b) </w:t>
      </w:r>
      <w:r w:rsidRPr="00A8138F">
        <w:rPr>
          <w:i/>
        </w:rPr>
        <w:t>Sobre las limitaciones vinculadas al estatuto de diputado o diputada no adscrito</w:t>
      </w:r>
    </w:p>
    <w:p w14:paraId="2F97896E" w14:textId="77777777" w:rsidR="00A8138F" w:rsidRDefault="00A8138F" w:rsidP="00A8138F">
      <w:pPr>
        <w:pStyle w:val="TextoNormal"/>
      </w:pPr>
    </w:p>
    <w:p w14:paraId="5A87A671" w14:textId="77777777" w:rsidR="00A8138F" w:rsidRDefault="00A8138F" w:rsidP="00A8138F">
      <w:pPr>
        <w:pStyle w:val="TextoNormal"/>
      </w:pPr>
      <w:r>
        <w:t>A partir del marco general previamente descrito, la jurisprudencia constitucional ha ido definiendo qué facultades y derechos se pueden limitar o restringir en virtud del abandono o expulsión del grupo parlamentario por parte de quien ocupa un escaño en un parlamento autonómico, es decir debido a la asunción del estatuto de diputado o diputada no adscrito.</w:t>
      </w:r>
    </w:p>
    <w:p w14:paraId="76B14420" w14:textId="77777777" w:rsidR="00A8138F" w:rsidRDefault="00A8138F" w:rsidP="00A8138F">
      <w:pPr>
        <w:pStyle w:val="TextoNormal"/>
      </w:pPr>
    </w:p>
    <w:p w14:paraId="78EA5AA6" w14:textId="77777777" w:rsidR="00A8138F" w:rsidRDefault="00A8138F" w:rsidP="00A8138F">
      <w:pPr>
        <w:pStyle w:val="TextoNormal"/>
      </w:pPr>
      <w:r>
        <w:t xml:space="preserve">Partiendo de la idea de que desincentivar el transfuguismo puede justificar las restricciones o limitaciones del </w:t>
      </w:r>
      <w:r w:rsidRPr="00A8138F">
        <w:rPr>
          <w:i/>
        </w:rPr>
        <w:t>ius in officium</w:t>
      </w:r>
      <w:r>
        <w:t xml:space="preserve"> impuestas legalmente al ampararse en un fin legítimo (STC 151/2017, FFJJ 6 y 7), el Tribunal sostiene que tales limitaciones “no pueden operar, en contra de la garantía de igualdad, sobre los derechos integrantes del </w:t>
      </w:r>
      <w:r w:rsidRPr="00A8138F">
        <w:rPr>
          <w:i/>
        </w:rPr>
        <w:t>ius in officium</w:t>
      </w:r>
      <w:r>
        <w:t xml:space="preserve">, núcleo de la función representativa” (STC 159/2019, FJ 7, con cita de la STC 151/2017). El examen de las restricciones a la luz del juicio de igualdad exige examinar “la proporcionalidad de la diferencia de trato, considerando: (i) si la medida es idónea o adecuada para alcanzar el fin constitucionalmente legítimo perseguido por ella, antes enunciado (juicio de idoneidad); (ii) si la medida idónea o adecuada es, además, necesaria, en el sentido de que no exista otra medida menos lesiva para la consecución de tal fin con igual eficacia (juicio de necesidad); y, (iii) si la medida idónea y menos lesiva resulta ponderada o equilibrada, </w:t>
      </w:r>
      <w:r>
        <w:lastRenderedPageBreak/>
        <w:t>por derivarse de su aplicación más beneficios o ventajas para el interés general que perjuicios sobre otros bienes o intereses en conflicto, el denominado juicio de proporcionalidad en sentido estricto” (STC 159/2019, FJ 7).</w:t>
      </w:r>
    </w:p>
    <w:p w14:paraId="314A9A56" w14:textId="77777777" w:rsidR="00A8138F" w:rsidRDefault="00A8138F" w:rsidP="00A8138F">
      <w:pPr>
        <w:pStyle w:val="TextoNormal"/>
      </w:pPr>
    </w:p>
    <w:p w14:paraId="27938EC5" w14:textId="77777777" w:rsidR="00A8138F" w:rsidRDefault="00A8138F" w:rsidP="00A8138F">
      <w:pPr>
        <w:pStyle w:val="TextoNormal"/>
      </w:pPr>
      <w:r>
        <w:t>Lo dicho significa que la mera previsión legal de la figura o estatuto del diputado o diputada sin adscripción no es, en sí misma considerada, lesiva del art. 23.2 CE. Solo será contraria a la Constitución que alguna de las medidas legales limitativas de las facultades de quien ocupa el escaño entre “en conflicto con la naturaleza constitucional del cargo representativo, que implica, entre otros rasgos, el no sometimiento del mandato a ningún vínculo jurídico externo y la igualdad en el ejercicio del núcleo de la función representativa” (STC 159/2019, FJ 8), lo que puede suceder “si el régimen jurídico que se apareja [a la condición de no adscripción] conllevase diferencias de trato que no se justifiquen de un modo proporcionado en algún fin constitucionalmente legítimo o que se relacionen con aspectos nucleares de la función representativa del diputado” (STC 159/2019, FJ 8). Por tanto, las quejas formuladas en la demanda de amparo y referidas, con carácter genérico, a la mera existencia de la figura del diputado o diputada no adscritos, y a la configuración de su estatuto jurídico en términos específicos y diversos de los que se atribuyen a los diputados y diputadas integrados en un grupo parlamentario, pueden ser descartadas inmediatamente con este mismo razonamiento.</w:t>
      </w:r>
    </w:p>
    <w:p w14:paraId="34D61049" w14:textId="77777777" w:rsidR="00A8138F" w:rsidRDefault="00A8138F" w:rsidP="00A8138F">
      <w:pPr>
        <w:pStyle w:val="TextoNormal"/>
      </w:pPr>
    </w:p>
    <w:p w14:paraId="64E1C483" w14:textId="77777777" w:rsidR="00A8138F" w:rsidRDefault="00A8138F" w:rsidP="00A8138F">
      <w:pPr>
        <w:pStyle w:val="TextoNormal"/>
      </w:pPr>
      <w:r>
        <w:t>Sobre la base de este marco general, la STC 159/2019 se pronuncia, en su fundamento jurídico 9, sobre las medidas limitativas concretas a que se referían los acuerdos impugnados e identificados como objeto del recurso de amparo parlamentario que venía a resolver aquel pronunciamiento. Esas medidas, adoptadas por la mesa de la Asamblea en ejecución de una función atribuida por el propio reglamento de la Asamblea (de Extremadura en aquel supuesto) aludían, de un lado, a las facultades del diputado no adscrito en relación con las iniciativas parlamentarias que se puede promover y, de otro, al uso de la palabra en los debates plenarios. Ambas son reconocidas por el Tribunal como parte integrante del núcleo de la función representativa, “como instrumento de deliberación, expresión de las propias posturas y control del Gobierno” (con cita de la STC 141/2007, FJ 4).</w:t>
      </w:r>
    </w:p>
    <w:p w14:paraId="676ABD66" w14:textId="77777777" w:rsidR="00A8138F" w:rsidRDefault="00A8138F" w:rsidP="00A8138F">
      <w:pPr>
        <w:pStyle w:val="TextoNormal"/>
      </w:pPr>
    </w:p>
    <w:p w14:paraId="32AF09D5" w14:textId="01A6C401" w:rsidR="00A8138F" w:rsidRDefault="00A8138F" w:rsidP="00A8138F">
      <w:pPr>
        <w:pStyle w:val="TextoNormal"/>
      </w:pPr>
      <w:r>
        <w:t>Por lo que hace a la presentación de iniciativas parlamentarias, en aquel supuesto de hecho, las limitaciones se referían a la presentación de interpelaciones y preguntas en Pleno y en comisión, así como a la presentación de propuestas de impulso y de pronunciamiento en Pleno. En materia de uso de la palabra, esta se excluía enteramente en los debates de totalidad, en los de convalidación de decretos-leyes y en aquellos que dan lugar a las propuestas de impulso y las de pronunciamiento en Pleno. En ambos casos las limitaciones a las facultades de actuación e intervención fueron acordadas por la mesa teniendo presente que el art. 39.5 del Reglamento de la Asamblea de Extremadura preveía que “[l]os diputados no adscritos gozarán solo de los derechos reconocidos reglamentariamente a los diputados considerados de forma individual”. Esta restricción de facultades, que limita las de los diputados no adscritos a las que se reconocen a los diputados individualmente considerados, excluyendo las reservadas a los grupos parlamentarios, es considerada por el Tribunal ajustada al art. 23.2 CE, en la medida en que se trata de una “cláusula reglamentaria [que] asegura al diputado no adscrito los derechos inherentes a la condición de cargo público que son ‘reconocidos reglamentariamente a los diputados considerados de forma individual’, pero al mismo tiempo le impide que, beneficiándose de su situación de diputado individual y no inserto en ningún grupo político, por haber abandonado el grupo parlamentario del que for</w:t>
      </w:r>
      <w:r>
        <w:lastRenderedPageBreak/>
        <w:t>maba parte, pase a gozar de una injustificada posición preponderante en perjuicio del resto de diputados que, por integrarse en grupos políticos, ven racionalizado el ejercicio de ciertas funciones inherentes al núcleo de la función representativa” (STC 159/2019, FJ 10). Dicho en otros términos, una previsión reglamentaria que reserva a los diputados no adscritos las facultades previstas para los diputados y diputadas individualmente considerados, es plenamente constitucional porque neutraliza la desigualdad en el ejercicio de la función representativa que llevaría aparejada la sobrerrepresentación del diputado no adscrito.</w:t>
      </w:r>
    </w:p>
    <w:p w14:paraId="7AA10615" w14:textId="77777777" w:rsidR="00A8138F" w:rsidRDefault="00A8138F" w:rsidP="00A8138F">
      <w:pPr>
        <w:pStyle w:val="TextoNormal"/>
      </w:pPr>
    </w:p>
    <w:p w14:paraId="3454490F" w14:textId="77777777" w:rsidR="00A8138F" w:rsidRDefault="00A8138F" w:rsidP="00A8138F">
      <w:pPr>
        <w:pStyle w:val="TextoNormal"/>
      </w:pPr>
      <w:r w:rsidRPr="00A8138F">
        <w:rPr>
          <w:rStyle w:val="NumeroAFNegritaCaracter"/>
        </w:rPr>
        <w:t>4</w:t>
      </w:r>
      <w:r>
        <w:t xml:space="preserve">. </w:t>
      </w:r>
      <w:r w:rsidRPr="00A8138F">
        <w:rPr>
          <w:i/>
        </w:rPr>
        <w:t>Aplicación de la jurisprudencia constitucional de la STC 159/2019 a las quejas planteadas en el presente recurso de amparo</w:t>
      </w:r>
    </w:p>
    <w:p w14:paraId="74596EAE" w14:textId="77777777" w:rsidR="00A8138F" w:rsidRDefault="00A8138F" w:rsidP="00A8138F">
      <w:pPr>
        <w:pStyle w:val="TextoNormal"/>
      </w:pPr>
    </w:p>
    <w:p w14:paraId="3759949B" w14:textId="77777777" w:rsidR="00A8138F" w:rsidRDefault="00A8138F" w:rsidP="00A8138F">
      <w:pPr>
        <w:pStyle w:val="TextoNormal"/>
      </w:pPr>
      <w:r>
        <w:t>El art. 28.1 RPIB formula una previsión muy cercana a la del art. 39.6 del Reglamento de la Asamblea de Extremadura al que se refería la STC 159/2019. En ambos preceptos se prevé que los diputados y las diputadas no adscritos tengan “los derechos que el reglamento reconozca a los diputados individualmente”, previsión que, en términos generales, no resulta lesiva del art. 23.2 CE, en los términos contenidos en el fundamento jurídico 10 de la STC 159/2019.</w:t>
      </w:r>
    </w:p>
    <w:p w14:paraId="5688326C" w14:textId="77777777" w:rsidR="00A8138F" w:rsidRDefault="00A8138F" w:rsidP="00A8138F">
      <w:pPr>
        <w:pStyle w:val="TextoNormal"/>
      </w:pPr>
    </w:p>
    <w:p w14:paraId="1A9D9631" w14:textId="77777777" w:rsidR="00A8138F" w:rsidRDefault="00A8138F" w:rsidP="00A8138F">
      <w:pPr>
        <w:pStyle w:val="TextoNormal"/>
      </w:pPr>
      <w:r>
        <w:t>Sin perjuicio de esta previsión general, el art. 28.2 RPIB establece también que será la mesa del Parlamento, oída la junta de portavoces, quien decida el procedimiento para la intervención de los diputados no adscritos en el Pleno y en las comisiones, así como sobre su pertenencia a las mismas. Esa decisión se integra en el escrito con registro general de salida núm. 5028-2021, que acuerda que la intervención en Pleno y comisiones del diputado no adscrito será la misma que corresponde a un diputado individualmente considerado, detallando esa participación en un listado al que se hará posterior referencia. Por último, el art. 28.3 RPIB prevé que los diputados y las diputadas no adscritos podrán: (i) formular una pregunta por periodo de sesiones y defender las enmiendas parciales que hubieran formulado durante la tramitación de los textos legislativos en el Pleno; (ii) pertenecer a una comisión legislativa en la cual podrán formular preguntas orales y participar en comparecencias y fijar posición en relación con las proposiciones no de ley que se debatan; y (iii) presentar y defender enmiendas parciales a los textos legislativos conforme a lo establecido en una resolución de Presidencia.</w:t>
      </w:r>
    </w:p>
    <w:p w14:paraId="153D5AA7" w14:textId="77777777" w:rsidR="00A8138F" w:rsidRDefault="00A8138F" w:rsidP="00A8138F">
      <w:pPr>
        <w:pStyle w:val="TextoNormal"/>
      </w:pPr>
    </w:p>
    <w:p w14:paraId="7C8999F4" w14:textId="77777777" w:rsidR="00A8138F" w:rsidRDefault="00A8138F" w:rsidP="00A8138F">
      <w:pPr>
        <w:pStyle w:val="TextoNormal"/>
      </w:pPr>
      <w:r>
        <w:t>Una vez admitida la limitación de facultades reglamentariamente prevista, y establecida la regla general de la asimilación de funciones de los diputados y diputadas no adscritos a las que se reconocen individualmente a quienes ocupan un escaño, que fue considerada ajustada a la Constitución por la STC 159/2019, porque neutraliza la desigualdad en el ejercicio de la función representativa que llevaría aparejada la sobrerrepresentación del diputado no adscrito, procede enjuiciar cómo ha ejercido la mesa la facultad que le atribuye el reglamento parlamentario, en los aspectos de los acuerdos impugnados de los que se queja el recurrente en su demanda, y ello con el propósito de que este tribunal pueda verificar si lo ha hecho de un modo conforme con la naturaleza del concepto de cargo público representativo que incorpora el art. 23.2 CE y, en su virtud, resolver si cabe otorgar el amparo solicitado por el demandante.</w:t>
      </w:r>
    </w:p>
    <w:p w14:paraId="5C646306" w14:textId="77777777" w:rsidR="00A8138F" w:rsidRDefault="00A8138F" w:rsidP="00A8138F">
      <w:pPr>
        <w:pStyle w:val="TextoNormal"/>
      </w:pPr>
    </w:p>
    <w:p w14:paraId="0851A515" w14:textId="77777777" w:rsidR="00A8138F" w:rsidRDefault="00A8138F" w:rsidP="00A8138F">
      <w:pPr>
        <w:pStyle w:val="TextoNormal"/>
      </w:pPr>
      <w:r>
        <w:t xml:space="preserve">a) </w:t>
      </w:r>
      <w:r w:rsidRPr="00A8138F">
        <w:rPr>
          <w:i/>
        </w:rPr>
        <w:t>En relación con la votación de los presupuestos generales de la comunidad autónoma (documentos con registros generales de salida núm. 254-2022, de 26 de enero, y 722-2022, de 16 de febrero)</w:t>
      </w:r>
    </w:p>
    <w:p w14:paraId="34561214" w14:textId="77777777" w:rsidR="00A8138F" w:rsidRDefault="00A8138F" w:rsidP="00A8138F">
      <w:pPr>
        <w:pStyle w:val="TextoNormal"/>
      </w:pPr>
    </w:p>
    <w:p w14:paraId="39493824" w14:textId="77777777" w:rsidR="00A8138F" w:rsidRDefault="00A8138F" w:rsidP="00A8138F">
      <w:pPr>
        <w:pStyle w:val="TextoNormal"/>
      </w:pPr>
      <w:r>
        <w:t xml:space="preserve">La jurisprudencia constitucional es constante en la afirmación de que “el ejercicio de la función legislativa por los representantes de los ciudadanos constituye ‘la máxima expresión del ejercicio de la soberanía popular en el Estado democrático’ y que la participación en el ejercicio de dicha función y el desempeño de los derechos y facultades que la acompañan, entre los que indudablemente se encuentra el derecho a la iniciativa legislativa, ‘constituyen una manifestación constitucionalmente relevante del </w:t>
      </w:r>
      <w:r w:rsidRPr="00A8138F">
        <w:rPr>
          <w:i/>
        </w:rPr>
        <w:t>ius in officium</w:t>
      </w:r>
      <w:r>
        <w:t xml:space="preserve"> del representante’, protegido por el artículo 23.2 CE (SSTC 224/2016, FJ 2, y 225/2016, FJ 2, [de 19 de diciembre])” (STC 71/2017, de 5 de junio, FJ 4, posteriormente reiterada en la STC 128/2023, de 2 de octubre, FJ 3). La facultad de enmienda es inherente al ejercicio de la función legislativa, como lo es el derecho a la iniciativa legislativa, de modo que, cualquier limitación de la facultad de enmienda, podría considerarse restrictiva del </w:t>
      </w:r>
      <w:r w:rsidRPr="00A8138F">
        <w:rPr>
          <w:i/>
        </w:rPr>
        <w:t>ius in officium</w:t>
      </w:r>
      <w:r>
        <w:t>, en caso de que no respetase los imperativos del principio de igualdad, o no se ordenase a un fin legítimo, en términos proporcionados a dicha válida finalidad (STC 71/1994, FJ 6, previamente citado).</w:t>
      </w:r>
    </w:p>
    <w:p w14:paraId="776660B4" w14:textId="77777777" w:rsidR="00A8138F" w:rsidRDefault="00A8138F" w:rsidP="00A8138F">
      <w:pPr>
        <w:pStyle w:val="TextoNormal"/>
      </w:pPr>
    </w:p>
    <w:p w14:paraId="0F220A61" w14:textId="77777777" w:rsidR="00A8138F" w:rsidRDefault="00A8138F" w:rsidP="00A8138F">
      <w:pPr>
        <w:pStyle w:val="TextoNormal"/>
      </w:pPr>
      <w:r>
        <w:t>En relación con la queja que eleva el recurrente en amparo no se trata exactamente de la facultad de enmienda en sentido propio, porque esta facultad ha sido efectivamente ejercida por el diputado señor Benalal Bendrihem, sino de las modalidades concretas de voto en relación con las enmiendas previamente presentadas. Es decir, que la queja tiene que ver con el sistema de votación que se aplicó a la deliberación en el Pleno de las enmiendas al proyecto de ley de presupuestos.</w:t>
      </w:r>
    </w:p>
    <w:p w14:paraId="78AC1D2A" w14:textId="77777777" w:rsidR="00A8138F" w:rsidRDefault="00A8138F" w:rsidP="00A8138F">
      <w:pPr>
        <w:pStyle w:val="TextoNormal"/>
      </w:pPr>
    </w:p>
    <w:p w14:paraId="42E0E0C4" w14:textId="77777777" w:rsidR="00A8138F" w:rsidRDefault="00A8138F" w:rsidP="00A8138F">
      <w:pPr>
        <w:pStyle w:val="TextoNormal"/>
      </w:pPr>
      <w:r>
        <w:t xml:space="preserve">En este caso, la norma aplicable era el art. 134 RPIB, que establece que, la Presidencia de la Cámara, oídas la mesa y la junta de portavoces, podrá “[o]rdenar los debates y las votaciones por artículos, o bien por materias, grupos de artículos o de enmiendas cuando lo aconseje la complejidad del texto, la homogeneidad o la interconexión de las pretensiones de las enmiendas o la mayor claridad en la confrontación política de las posiciones”. En ejercicio de esa potestad, la mesa agrupó las enmiendas y el recurrente en amparo procedió a la votación de las enmiendas con la modalidad propuesta por la mesa, que se ajusta a lo previsto en el art. 134 RPIB. Durante la sesión del Pleno no se manifestó queja alguna, a pesar de que el art. 82 RPIB prevé que, en “cualquier estado del debate, un diputado o una diputada podrá pedir la observancia del reglamento”, de manera que, de percibir que se estaba produciendo una lesión de sus derechos, podría haberlo puesto de manifiesto. La ausencia de queja y el normal desarrollo de la votación indican con toda claridad que, a pesar de que el recurrente en amparo no participase en la consulta informal previa tendente a que la Presidencia de la Cámara, que es la que tiene la facultad, organizara la deliberación de las enmiendas en el Pleno, ello no impidió el ejercicio de la facultad de enmienda, ni la intervención en el procedimiento legislativo, ni la participación adecuada en la votación de las enmiendas al proyecto de ley, de modo que no parece que pueda identificarse en esta decisión de la Presidencia, de agrupar la votación de las enmiendas de un modo determinado sin previa consulta al recurrente, menoscabo alguno del </w:t>
      </w:r>
      <w:r w:rsidRPr="00A8138F">
        <w:rPr>
          <w:i/>
        </w:rPr>
        <w:t>ius in officium</w:t>
      </w:r>
      <w:r>
        <w:t xml:space="preserve"> del diputado señor Benalal Bendrihem.</w:t>
      </w:r>
    </w:p>
    <w:p w14:paraId="63E262A7" w14:textId="77777777" w:rsidR="00A8138F" w:rsidRDefault="00A8138F" w:rsidP="00A8138F">
      <w:pPr>
        <w:pStyle w:val="TextoNormal"/>
      </w:pPr>
    </w:p>
    <w:p w14:paraId="6180A919" w14:textId="77777777" w:rsidR="00A8138F" w:rsidRDefault="00A8138F" w:rsidP="00A8138F">
      <w:pPr>
        <w:pStyle w:val="TextoNormal"/>
      </w:pPr>
      <w:r>
        <w:t xml:space="preserve">b) </w:t>
      </w:r>
      <w:r w:rsidRPr="00A8138F">
        <w:rPr>
          <w:i/>
        </w:rPr>
        <w:t>Presentación de enmiendas a proposiciones no de ley (escritos con registros generales de salida núm. 1013-2022, de 7 de marzo, y 1391-2022, de 23 de marzo)</w:t>
      </w:r>
    </w:p>
    <w:p w14:paraId="0A5A23D9" w14:textId="77777777" w:rsidR="00A8138F" w:rsidRDefault="00A8138F" w:rsidP="00A8138F">
      <w:pPr>
        <w:pStyle w:val="TextoNormal"/>
      </w:pPr>
    </w:p>
    <w:p w14:paraId="2B44AC51" w14:textId="77777777" w:rsidR="00A8138F" w:rsidRDefault="00A8138F" w:rsidP="00A8138F">
      <w:pPr>
        <w:pStyle w:val="TextoNormal"/>
      </w:pPr>
      <w:r>
        <w:lastRenderedPageBreak/>
        <w:t>En este caso, la facultad de enmienda a la que acaba de hacerse referencia, no se refiere a las iniciativas legislativas, sino a las proposiciones no de ley pero ello no excluye su consideración como herramienta propia del ejercicio de la función representativa. Y las limitaciones a esta facultad, se derivan de las previsiones reglamentarias contenidas en los arts. 181 y 182.2 RPIB. El art. 181 RPIB establece que los “grupos parlamentarios podrán presentar proposiciones no de ley a través de las cuales formulen propuestas de resolución a la Cámara”, de modo que este tipo de iniciativas queda reservada a los grupos y no le es reconocida a los parlamentarios individualmente considerados; y el art. 182.2 RPIB establece que, “[p]ublicada la proposición no de ley, podrán presentarse enmiendas por parte de los grupos parlamentarios, hasta el día anterior del comienzo de la sesión en que hayan de debatirse. Dichas enmiendas se remitirán inmediatamente a los grupos parlamentarios”. En suma, tanto la facultad de iniciativa de las proposiciones no de ley, como la facultad de enmienda respecto a las proposiciones no de ley queda reservada a los grupos parlamentarios. Y, esta limitación de determinadas facultades a los grupos parlamentarios, excluyendo a los diputados y diputadas no adscritos como ha sido expuesto en fundamentos anteriores, ha sido considerada ajustada al art. 23.2 CE por el Tribunal en la STC 159/2019, al contenerse en una cláusula reglamentaria, en este caso el art. 28 RPIB, que asegura al diputado no adscrito los derechos inherentes a la condición de cargo público que son reconocidos reglamentariamente a los diputados considerados de forma individual, evitando que el diputado no adscrito se beneficie de esa condición para gozar de facultades que los diputados y diputadas, individualmente considerados no poseen.</w:t>
      </w:r>
    </w:p>
    <w:p w14:paraId="244D492B" w14:textId="77777777" w:rsidR="00A8138F" w:rsidRDefault="00A8138F" w:rsidP="00A8138F">
      <w:pPr>
        <w:pStyle w:val="TextoNormal"/>
      </w:pPr>
    </w:p>
    <w:p w14:paraId="355E89FB" w14:textId="77777777" w:rsidR="00A8138F" w:rsidRDefault="00A8138F" w:rsidP="00A8138F">
      <w:pPr>
        <w:pStyle w:val="TextoNormal"/>
      </w:pPr>
      <w:r>
        <w:t xml:space="preserve">Por tanto, la privación genérica de la facultad de enmienda respecto de las proposiciones no de ley, que se proyecta a la totalidad de los diputados y diputadas individualmente tomados, al haberse reservado a la actuación de los grupos parlamentarios, no puede considerase restrictiva del </w:t>
      </w:r>
      <w:r w:rsidRPr="00A8138F">
        <w:rPr>
          <w:i/>
        </w:rPr>
        <w:t>ius in officium</w:t>
      </w:r>
      <w:r>
        <w:t>, ni lesiva del art. 23.2 CE.</w:t>
      </w:r>
    </w:p>
    <w:p w14:paraId="5FE20C96" w14:textId="77777777" w:rsidR="00A8138F" w:rsidRDefault="00A8138F" w:rsidP="00A8138F">
      <w:pPr>
        <w:pStyle w:val="TextoNormal"/>
      </w:pPr>
    </w:p>
    <w:p w14:paraId="597E67D8" w14:textId="77777777" w:rsidR="00A8138F" w:rsidRDefault="00A8138F" w:rsidP="00A8138F">
      <w:pPr>
        <w:pStyle w:val="TextoNormal"/>
      </w:pPr>
      <w:r>
        <w:t xml:space="preserve">c) </w:t>
      </w:r>
      <w:r w:rsidRPr="00A8138F">
        <w:rPr>
          <w:i/>
        </w:rPr>
        <w:t>Facultad de escoger la comisión de pertenencia y cambiarse en el curso de la legislatura a petición propia (escrito con registro general de salida núm. 1392-2022, de 23 de marzo)</w:t>
      </w:r>
    </w:p>
    <w:p w14:paraId="234A7AE7" w14:textId="77777777" w:rsidR="00A8138F" w:rsidRDefault="00A8138F" w:rsidP="00A8138F">
      <w:pPr>
        <w:pStyle w:val="TextoNormal"/>
      </w:pPr>
    </w:p>
    <w:p w14:paraId="4BCA109B" w14:textId="77777777" w:rsidR="00A8138F" w:rsidRDefault="00A8138F" w:rsidP="00A8138F">
      <w:pPr>
        <w:pStyle w:val="TextoNormal"/>
      </w:pPr>
      <w:r>
        <w:t>La mesa de la Cámara, aplica en este caso la previsión reglamentaria del art. 14.4 RPIB que establece que “[l]os diputados y las diputadas tendrán derecho a formar parte, al menos, de una comisión”, derecho que, efectivamente, le fue reconocido al recurrente en amparo en aplicación de lo previsto en el art. 28.3 b) RPIB, que reconoce el derecho de los diputados no adscritos de “[p]ertenecer a una comisión legislativa en la cual podrán formular preguntas orales y participar en comparecencias y fijar posición en relación con las proposiciones no de ley que se debatan”. La mesa entiende que el derecho individualmente atribuido a los diputados y diputadas integrantes de la Cámara, y por tanto del que pueden ser titulares los diputados no adscritos es el derecho a pertenecer a una, y una sola, comisión legislativa (y no de otro tipo), habida cuenta de que es a través de este tipo de comisiones que se ejerce la función legislativa, elemento inherente y conformador, sin duda alguna, del núcleo básico de la función representativa y, por tanto, de</w:t>
      </w:r>
      <w:r w:rsidRPr="00A8138F">
        <w:rPr>
          <w:i/>
        </w:rPr>
        <w:t>l ius in offici</w:t>
      </w:r>
      <w:r>
        <w:t>um.</w:t>
      </w:r>
    </w:p>
    <w:p w14:paraId="73CFBE20" w14:textId="77777777" w:rsidR="00A8138F" w:rsidRDefault="00A8138F" w:rsidP="00A8138F">
      <w:pPr>
        <w:pStyle w:val="TextoNormal"/>
      </w:pPr>
    </w:p>
    <w:p w14:paraId="14E7ED7F" w14:textId="77777777" w:rsidR="00A8138F" w:rsidRDefault="00A8138F" w:rsidP="00A8138F">
      <w:pPr>
        <w:pStyle w:val="TextoNormal"/>
      </w:pPr>
      <w:r>
        <w:t xml:space="preserve">La pertenencia a la comisión legislativa se materializa, en el caso del recurrente en amparo, a través del acuerdo de 22 de septiembre de 2021 (registro general de salida núm. 4527-2021), nunca impugnado en vía interna, que le comunicó que formaría parte de la Comisión de Medio Ambiente y Ordenación Territorial, atendiendo a su preferencia y ello </w:t>
      </w:r>
      <w:r>
        <w:lastRenderedPageBreak/>
        <w:t>a pesar de que el Reglamento de la Cámara no prevé un derecho de los diputados y diputadas individualmente considerados, y por tanto tampoco de las personas no adscritas a un grupo parlamentario, a elegir la comisión de pertenencia. Bien al contrario, el art. 42 RPIB prevé que “[l]as comisiones, salvo precepto en contrario, estarán formadas por los miembros que designen los grupos parlamentarios, en el número que, respecto de cada uno, indique la mesa del Parlamento, oída la junta de portavoces, y en proporción a la importancia numérica de aquéllos en la Cámara. Todos los grupos parlamentarios tienen derecho a contar, como mínimo, con un o una representante en cada comisión”. Por tanto, es facultad del grupo parlamentario designar a la persona que le representa en cada comisión, y no se reconoce como derecho de quien ocupa el escaño optar por una comisión de su preferencia.</w:t>
      </w:r>
    </w:p>
    <w:p w14:paraId="258499EC" w14:textId="77777777" w:rsidR="00A8138F" w:rsidRDefault="00A8138F" w:rsidP="00A8138F">
      <w:pPr>
        <w:pStyle w:val="TextoNormal"/>
      </w:pPr>
    </w:p>
    <w:p w14:paraId="58E7440E" w14:textId="77777777" w:rsidR="00A8138F" w:rsidRDefault="00A8138F" w:rsidP="00A8138F">
      <w:pPr>
        <w:pStyle w:val="TextoNormal"/>
      </w:pPr>
      <w:r>
        <w:t>En este caso, ante la ausencia de grupo parlamentario que atribuya la pertenencia a una comisión, el propio Reglamento, en el art. 28.2, establece que será la mesa del Parlamento, oída la junta de portavoces, la que decida la pertenencia del diputado no adscrito a una u otra comisión, respetando el mandato contenido en el art. 14.4 RPIB (derecho a formar parte de, al menos, una comisión).</w:t>
      </w:r>
    </w:p>
    <w:p w14:paraId="6F8915CD" w14:textId="77777777" w:rsidR="00A8138F" w:rsidRDefault="00A8138F" w:rsidP="00A8138F">
      <w:pPr>
        <w:pStyle w:val="TextoNormal"/>
      </w:pPr>
    </w:p>
    <w:p w14:paraId="7DFD1D1C" w14:textId="77777777" w:rsidR="00A8138F" w:rsidRDefault="00A8138F" w:rsidP="00A8138F">
      <w:pPr>
        <w:pStyle w:val="TextoNormal"/>
      </w:pPr>
      <w:r>
        <w:t>En suma, la mesa decide, sin incurrir en arbitrariedad, falta de motivación, desproporción o discriminación, que ha de asegurar que las comisiones respeten la proporcionalidad de los grupos de la Cámara atendiendo al número de miembros, por eso acuerda modificar la atribución del número de miembros a cada grupo en la Comisión de Medio Ambiente y Ordenación Territorial y aumentar su número de trece a quince diputados para permitir la participación del diputado recurrente en amparo, de modo que se respete su derecho de participación en una comisión permanente. Pero, del mismo modo, siempre respetando escrupulosamente el reglamento, también decide no proceder a modificar la composición de otra comisión para permitir el traslado del recurrente en amparo de una comisión a otra por su mera voluntad, sin que haya constancia —ni se haya manifestado así ante la mesa, ni ante este tribunal— que la participación del recurrente en amparo en la Comisión de Medio Ambiente y Ordenación Territorial hace imposible un desempeño de sus funciones representativas que sí sería viable en la Comisión de Asuntos Institucionales y Generales.</w:t>
      </w:r>
    </w:p>
    <w:p w14:paraId="6C32D4E0" w14:textId="77777777" w:rsidR="00A8138F" w:rsidRDefault="00A8138F" w:rsidP="00A8138F">
      <w:pPr>
        <w:pStyle w:val="TextoNormal"/>
      </w:pPr>
    </w:p>
    <w:p w14:paraId="77307D78" w14:textId="668E298C" w:rsidR="00A8138F" w:rsidRDefault="00A8138F" w:rsidP="00A8138F">
      <w:pPr>
        <w:pStyle w:val="TextoNormal"/>
      </w:pPr>
      <w:r>
        <w:t>Por tanto, ante la exigencia de representación proporcional en las estructuras de organización del trabajo parlamentario, y la necesidad de mantener una cierta constancia y estabilidad en esas estructuras de cara a garantizar la eficacia del trabajo parlamentario, y la constatación de la inexistencia de un derecho a elegir la comisión de pertenencia por parte del diputado no adscrito, estando el recurrente asociado a una comisión legislativa que le permite desarrollar su función parlamentaria en este ámbito, debe rechazarse la alegación de la demanda de que la decisión de la mesa de la Cámara sea arbitraria, discriminatoria, falta de proporcionalidad o busque, sencillamente, limitar el derecho a ejercer en condiciones de igualdad su cargo representativo (art. 23.2 CE).</w:t>
      </w:r>
    </w:p>
    <w:p w14:paraId="0CEF5827" w14:textId="77777777" w:rsidR="00A8138F" w:rsidRDefault="00A8138F" w:rsidP="00A8138F">
      <w:pPr>
        <w:pStyle w:val="TextoNormal"/>
      </w:pPr>
    </w:p>
    <w:p w14:paraId="16211701" w14:textId="77777777" w:rsidR="00A8138F" w:rsidRDefault="00A8138F" w:rsidP="00A8138F">
      <w:pPr>
        <w:pStyle w:val="TextoNormalCentrado"/>
        <w:keepNext/>
      </w:pPr>
      <w:r>
        <w:t>FALLO</w:t>
      </w:r>
    </w:p>
    <w:p w14:paraId="33B33646" w14:textId="7D35DB0A" w:rsidR="00A8138F" w:rsidRDefault="00A8138F" w:rsidP="00A8138F">
      <w:pPr>
        <w:pStyle w:val="TextoNormalCentrado"/>
        <w:keepNext/>
      </w:pPr>
    </w:p>
    <w:p w14:paraId="268538A2" w14:textId="5FDA55EC"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don Messod Maxo Benalal Bendrihem.</w:t>
      </w:r>
    </w:p>
    <w:p w14:paraId="04E70F95" w14:textId="77777777" w:rsidR="00A8138F" w:rsidRDefault="00A8138F" w:rsidP="00A8138F">
      <w:pPr>
        <w:pStyle w:val="TextoNormal"/>
      </w:pPr>
    </w:p>
    <w:p w14:paraId="349159DD" w14:textId="77777777" w:rsidR="00A8138F" w:rsidRDefault="00A8138F" w:rsidP="00A8138F">
      <w:pPr>
        <w:pStyle w:val="TextoNormal"/>
      </w:pPr>
      <w:r>
        <w:t>Publíquese esta sentencia en el “Boletín Oficial del Estado”.</w:t>
      </w:r>
    </w:p>
    <w:p w14:paraId="486E818C" w14:textId="77777777" w:rsidR="00A8138F" w:rsidRDefault="00A8138F" w:rsidP="00A8138F">
      <w:pPr>
        <w:pStyle w:val="TextoNormal"/>
      </w:pPr>
      <w:r>
        <w:lastRenderedPageBreak/>
        <w:t>Dada en Madrid, a veintisiete de enero de dos mil veinticinco.</w:t>
      </w:r>
    </w:p>
    <w:p w14:paraId="4B59B2FD" w14:textId="4731469B" w:rsidR="00A8138F" w:rsidRDefault="00A8138F" w:rsidP="00A8138F">
      <w:pPr>
        <w:pStyle w:val="ParrafoNormal"/>
      </w:pPr>
    </w:p>
    <w:p w14:paraId="15749CE0" w14:textId="77777777" w:rsidR="00A8138F" w:rsidRDefault="00A8138F" w:rsidP="00A8138F">
      <w:pPr>
        <w:pStyle w:val="TextoNormalNegritaCentrado"/>
        <w:keepNext/>
      </w:pPr>
      <w:r>
        <w:t>Voto particular que formula el magistrado don Enrique Arnaldo Alcubilla a la sentencia dictada por la Sala Segunda en el recurso de amparo núm. 2970-2022</w:t>
      </w:r>
    </w:p>
    <w:p w14:paraId="6BA31EC4" w14:textId="6BE042EE" w:rsidR="00A8138F" w:rsidRDefault="00A8138F" w:rsidP="00A8138F">
      <w:pPr>
        <w:pStyle w:val="TextoNormalNegritaCentrado"/>
        <w:keepNext/>
      </w:pPr>
    </w:p>
    <w:p w14:paraId="11C2154A" w14:textId="77777777" w:rsidR="00A8138F" w:rsidRDefault="00A8138F" w:rsidP="00A8138F">
      <w:pPr>
        <w:pStyle w:val="TextoNormal"/>
      </w:pPr>
      <w:r>
        <w:t>En el ejercicio de la facultad conferida por el art. 90.2 LOTC y con respeto a la opinión de mis compañeros, formulo el presente voto particular, por las razones defendidas durante la deliberación y que son las mismas que han quedado expresadas en el voto particular que he formulado a la sentencia dictada por la Sala Segunda en el recurso de amparo núm. 230-2022, interpuesto por el demandante de amparo contra determinados acuerdos de la mesa del Parlamento de las Illes Balears que deniegan o inadmiten las peticiones o reconsideraciones formuladas por aquel, en relación con sus derechos o facultades como diputado no adscrito. Para evitar reiteraciones innecesarias, me remito íntegramente a lo expuesto en dicho voto particular.</w:t>
      </w:r>
    </w:p>
    <w:p w14:paraId="63B7D666" w14:textId="77777777" w:rsidR="00A8138F" w:rsidRDefault="00A8138F" w:rsidP="00A8138F">
      <w:pPr>
        <w:pStyle w:val="TextoNormal"/>
      </w:pPr>
    </w:p>
    <w:p w14:paraId="3F03F551" w14:textId="51BCAC5C" w:rsidR="00A8138F" w:rsidRDefault="00A8138F" w:rsidP="00A8138F">
      <w:pPr>
        <w:pStyle w:val="TextoNormal"/>
      </w:pPr>
      <w:r>
        <w:t>Madrid, a veintisiete de enero de dos mil veinticinco.</w:t>
      </w:r>
    </w:p>
    <w:p w14:paraId="35CA0B5B" w14:textId="23226EDD" w:rsidR="00A8138F" w:rsidRDefault="00A8138F">
      <w:pPr>
        <w:spacing w:after="160" w:line="278" w:lineRule="auto"/>
        <w:rPr>
          <w:rFonts w:ascii="Times New Roman" w:eastAsia="Times New Roman" w:hAnsi="Times New Roman" w:cs="Times New Roman"/>
          <w:sz w:val="24"/>
          <w:szCs w:val="24"/>
          <w:lang w:eastAsia="es-ES"/>
        </w:rPr>
      </w:pPr>
      <w:r>
        <w:br w:type="page"/>
      </w:r>
    </w:p>
    <w:p w14:paraId="1F58D3E3" w14:textId="77777777" w:rsidR="00A8138F" w:rsidRDefault="00A8138F" w:rsidP="00A8138F">
      <w:pPr>
        <w:pStyle w:val="TtuloResolucin"/>
      </w:pPr>
      <w:bookmarkStart w:id="18" w:name="SENTENCIA_2025_16"/>
      <w:r>
        <w:lastRenderedPageBreak/>
        <w:t>SENTENCIA 16/2025, de 27 de enero de 2025</w:t>
      </w:r>
    </w:p>
    <w:bookmarkEnd w:id="18"/>
    <w:p w14:paraId="2AF9A006" w14:textId="77777777" w:rsidR="00A8138F" w:rsidRDefault="00A8138F" w:rsidP="00A8138F">
      <w:pPr>
        <w:pStyle w:val="TtuloResolucin"/>
      </w:pPr>
      <w:r>
        <w:t>Sala Segunda</w:t>
      </w:r>
    </w:p>
    <w:p w14:paraId="3E9A8E30" w14:textId="77777777" w:rsidR="00A8138F" w:rsidRDefault="00A8138F" w:rsidP="00A8138F">
      <w:pPr>
        <w:pStyle w:val="TtuloBOE"/>
      </w:pPr>
      <w:r>
        <w:t>(BOE núm. 51, de 28 de febrero de 2025)</w:t>
      </w:r>
    </w:p>
    <w:p w14:paraId="277C220B" w14:textId="77777777" w:rsidR="00A8138F" w:rsidRDefault="00A8138F" w:rsidP="00A8138F">
      <w:pPr>
        <w:pStyle w:val="TextoNormalCentrado"/>
      </w:pPr>
      <w:r>
        <w:t>ECLI:ES:TC:2025:16</w:t>
      </w:r>
    </w:p>
    <w:p w14:paraId="1CFAABF2" w14:textId="57A31C28" w:rsidR="00A8138F" w:rsidRDefault="00A8138F" w:rsidP="00A8138F">
      <w:pPr>
        <w:pStyle w:val="TextoNormalCentrado"/>
      </w:pPr>
    </w:p>
    <w:p w14:paraId="27F0E2B1" w14:textId="77777777" w:rsidR="00A8138F" w:rsidRDefault="00A8138F" w:rsidP="00A8138F">
      <w:pPr>
        <w:pStyle w:val="SntesisDescriptiva"/>
      </w:pPr>
      <w:r>
        <w:t>Recurso de amparo 4594-2023. Promovido por don Francisco Javier Pulgarín Milara en relación con las resoluciones dictadas por la Audiencia Provincial de Barcelona en proceso ordinario sobre reclamación de cantidad.</w:t>
      </w:r>
    </w:p>
    <w:p w14:paraId="26833F61" w14:textId="142343E8" w:rsidR="00A8138F" w:rsidRDefault="00A8138F" w:rsidP="00A8138F">
      <w:pPr>
        <w:pStyle w:val="SntesisDescriptiva"/>
      </w:pPr>
    </w:p>
    <w:p w14:paraId="20AE8247" w14:textId="77777777" w:rsidR="00A8138F" w:rsidRDefault="00A8138F" w:rsidP="00A8138F">
      <w:pPr>
        <w:pStyle w:val="SntesisAnaltica"/>
      </w:pPr>
      <w:r>
        <w:t>Vulneración del derecho a la tutela judicial sin indefensión: inadmisión de un incidente de nulidad de actuaciones fundada en la procedencia del recurso de casación y extraordinario por infracción procesal (STC 143/2020).</w:t>
      </w:r>
    </w:p>
    <w:p w14:paraId="6B7CF13B" w14:textId="333F5BB8" w:rsidR="00A8138F" w:rsidRDefault="00A8138F" w:rsidP="00A8138F">
      <w:pPr>
        <w:pStyle w:val="SntesisAnaltica"/>
      </w:pPr>
    </w:p>
    <w:p w14:paraId="7F34BA09" w14:textId="26685A14" w:rsidR="00A8138F" w:rsidRDefault="00A8138F" w:rsidP="00A8138F">
      <w:pPr>
        <w:pStyle w:val="Extracto"/>
      </w:pPr>
      <w:r>
        <w:t>1.</w:t>
      </w:r>
      <w:r>
        <w:tab/>
        <w:t>La inadmisión del incidente de nulidad fundada en la necesidad de interponer los recursos de casación y también el extraordinario por infracción procesal contra la sentencia dictada en apelación, no tiene en cuenta las posibilidades reales de procedencia de tales recursos habida cuenta su regulación legal, lo que conlleva la vulneración del derecho a la tutela judicial efectiva (SSTC 91/2015 o 143/2020) [FJ 3].</w:t>
      </w:r>
    </w:p>
    <w:p w14:paraId="2175077A" w14:textId="77777777" w:rsidR="00A8138F" w:rsidRDefault="00A8138F" w:rsidP="00A8138F">
      <w:pPr>
        <w:pStyle w:val="Extracto"/>
      </w:pPr>
    </w:p>
    <w:p w14:paraId="736B69E4" w14:textId="3B2E5A1B" w:rsidR="00A8138F" w:rsidRDefault="00A8138F" w:rsidP="00A8138F">
      <w:pPr>
        <w:pStyle w:val="Extracto"/>
      </w:pPr>
      <w:r>
        <w:t>2.</w:t>
      </w:r>
      <w:r>
        <w:tab/>
        <w:t>Si la lesión del derecho a la tutela judicial efectiva (art. 24.1 CE) del apelado ha sido causada por la sentencia dictada en apelación, el incidente de nulidad de actuaciones (art. 241 LOPJ) se revela como remedio procesal procedente para denunciar esa pretendida lesión y para su reparación por el órgano judicial [FJ 3].</w:t>
      </w:r>
    </w:p>
    <w:p w14:paraId="44A834CF" w14:textId="77777777" w:rsidR="00A8138F" w:rsidRDefault="00A8138F" w:rsidP="00A8138F">
      <w:pPr>
        <w:pStyle w:val="Extracto"/>
      </w:pPr>
    </w:p>
    <w:p w14:paraId="60002321" w14:textId="77777777" w:rsidR="00A8138F" w:rsidRDefault="00A8138F" w:rsidP="00A8138F">
      <w:pPr>
        <w:pStyle w:val="Extracto"/>
      </w:pPr>
    </w:p>
    <w:p w14:paraId="17C42193"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FB162E8" w14:textId="12385FE9" w:rsidR="00A8138F" w:rsidRDefault="00A8138F" w:rsidP="00A8138F">
      <w:pPr>
        <w:pStyle w:val="TextoNormal"/>
      </w:pPr>
    </w:p>
    <w:p w14:paraId="247AF534" w14:textId="77777777" w:rsidR="00A8138F" w:rsidRDefault="00A8138F" w:rsidP="00A8138F">
      <w:pPr>
        <w:pStyle w:val="TextoNormalCentrado"/>
        <w:keepNext/>
      </w:pPr>
      <w:r>
        <w:t>EN NOMBRE DEL REY</w:t>
      </w:r>
    </w:p>
    <w:p w14:paraId="33EBDE39" w14:textId="7AB8F424" w:rsidR="00A8138F" w:rsidRDefault="00A8138F" w:rsidP="00A8138F">
      <w:pPr>
        <w:pStyle w:val="TextoNormalCentrado"/>
        <w:keepNext/>
      </w:pPr>
    </w:p>
    <w:p w14:paraId="334D0394" w14:textId="77777777" w:rsidR="00A8138F" w:rsidRDefault="00A8138F" w:rsidP="00A8138F">
      <w:pPr>
        <w:pStyle w:val="TextoNormalCentrado"/>
        <w:keepNext/>
      </w:pPr>
    </w:p>
    <w:p w14:paraId="6B1775CF" w14:textId="77777777" w:rsidR="00A8138F" w:rsidRDefault="00A8138F" w:rsidP="00A8138F">
      <w:pPr>
        <w:pStyle w:val="TextoNormal"/>
      </w:pPr>
      <w:r>
        <w:t>la siguiente</w:t>
      </w:r>
    </w:p>
    <w:p w14:paraId="547689CA" w14:textId="6290E113" w:rsidR="00A8138F" w:rsidRDefault="00A8138F" w:rsidP="00A8138F">
      <w:pPr>
        <w:pStyle w:val="TextoNormal"/>
      </w:pPr>
    </w:p>
    <w:p w14:paraId="1D1B45E3" w14:textId="77777777" w:rsidR="00A8138F" w:rsidRDefault="00A8138F" w:rsidP="00A8138F">
      <w:pPr>
        <w:pStyle w:val="TextoNormalCentrado"/>
        <w:keepNext/>
      </w:pPr>
      <w:r>
        <w:t>SENTENCIA</w:t>
      </w:r>
    </w:p>
    <w:p w14:paraId="2A596977" w14:textId="432FD56B" w:rsidR="00A8138F" w:rsidRDefault="00A8138F" w:rsidP="00A8138F">
      <w:pPr>
        <w:pStyle w:val="TextoNormalCentrado"/>
        <w:keepNext/>
      </w:pPr>
    </w:p>
    <w:p w14:paraId="28DB5BFA" w14:textId="77777777" w:rsidR="00A8138F" w:rsidRDefault="00A8138F" w:rsidP="00A8138F">
      <w:pPr>
        <w:pStyle w:val="TextoNormal"/>
      </w:pPr>
      <w:r>
        <w:t>En el recurso de amparo núm. 4594-2023, promovido por don Francisco Javier Pulgarín Milara contra las providencias dictadas el 16 y el 24 de mayo de 2023 por la Sección Undécima de la Audiencia Provincial de Barcelona en el recurso de apelación núm. 838-2021. Ha sido ponente el magistrado don Enrique Arnaldo Alcubilla.</w:t>
      </w:r>
    </w:p>
    <w:p w14:paraId="7DCD35FB" w14:textId="51684993" w:rsidR="00A8138F" w:rsidRDefault="00A8138F" w:rsidP="00A8138F">
      <w:pPr>
        <w:pStyle w:val="TextoNormal"/>
      </w:pPr>
    </w:p>
    <w:p w14:paraId="52E16B85" w14:textId="77777777" w:rsidR="00A8138F" w:rsidRDefault="00A8138F" w:rsidP="00A8138F">
      <w:pPr>
        <w:pStyle w:val="TextoNormalNegritaCentrado"/>
        <w:keepNext/>
      </w:pPr>
      <w:r>
        <w:lastRenderedPageBreak/>
        <w:t>I. Antecedentes</w:t>
      </w:r>
    </w:p>
    <w:p w14:paraId="6C428EC3" w14:textId="506BCE98" w:rsidR="00A8138F" w:rsidRDefault="00A8138F" w:rsidP="00A8138F">
      <w:pPr>
        <w:pStyle w:val="TextoNormalNegritaCentrado"/>
        <w:keepNext/>
      </w:pPr>
    </w:p>
    <w:p w14:paraId="55EBFC1E" w14:textId="38E620CC" w:rsidR="00A8138F" w:rsidRDefault="00A8138F" w:rsidP="00A8138F">
      <w:pPr>
        <w:pStyle w:val="TextoNormal"/>
      </w:pPr>
      <w:r w:rsidRPr="00A8138F">
        <w:rPr>
          <w:rStyle w:val="NumeroAFNegritaCaracter"/>
        </w:rPr>
        <w:t>1</w:t>
      </w:r>
      <w:r>
        <w:t>. Mediante escrito registrado en el Tribunal Constitucional el 3 de julio de 2023, don Francisco Javier Pulgarín Milara, representado por el procurador de los tribunales don Luis Fernando Álvarez Wiese y asistido por el abogado don Jesús María Reina Gómez, interpuso recurso de amparo contra las resoluciones referidas en el encabezamiento.</w:t>
      </w:r>
    </w:p>
    <w:p w14:paraId="5AEC6032" w14:textId="77777777" w:rsidR="00A8138F" w:rsidRDefault="00A8138F" w:rsidP="00A8138F">
      <w:pPr>
        <w:pStyle w:val="TextoNormal"/>
      </w:pPr>
    </w:p>
    <w:p w14:paraId="3605D465" w14:textId="77777777" w:rsidR="00A8138F" w:rsidRDefault="00A8138F" w:rsidP="00A8138F">
      <w:pPr>
        <w:pStyle w:val="TextoNormal"/>
      </w:pPr>
      <w:r w:rsidRPr="00A8138F">
        <w:rPr>
          <w:rStyle w:val="NumeroAFNegritaCaracter"/>
        </w:rPr>
        <w:t>2</w:t>
      </w:r>
      <w:r>
        <w:t>. Son hechos relevantes para resolver el presente recurso de amparo los que siguen:</w:t>
      </w:r>
    </w:p>
    <w:p w14:paraId="007A8B32" w14:textId="77777777" w:rsidR="00A8138F" w:rsidRDefault="00A8138F" w:rsidP="00A8138F">
      <w:pPr>
        <w:pStyle w:val="TextoNormal"/>
      </w:pPr>
    </w:p>
    <w:p w14:paraId="1915D03C" w14:textId="77777777" w:rsidR="00A8138F" w:rsidRDefault="00A8138F" w:rsidP="00A8138F">
      <w:pPr>
        <w:pStyle w:val="TextoNormal"/>
      </w:pPr>
      <w:r>
        <w:t>a) A instancias de la entidad TTI Finance, S.A.R.L., se siguió en el Juzgado de Primera Instancia e Instrucción núm. 5 de El Prat de Llobregat frente al señor Pulgarín Milara el procedimiento ordinario núm. 27-2018, sobre reclamación de cantidad derivada de un contrato de préstamo (8288,53 € más intereses legales). La demanda fue desestimada por sentencia de 27 de diciembre de 2019, que acogió las excepciones procesales planteadas por el demandado sobre falta de legitimación activa y pasiva.</w:t>
      </w:r>
    </w:p>
    <w:p w14:paraId="2AEB5E31" w14:textId="77777777" w:rsidR="00A8138F" w:rsidRDefault="00A8138F" w:rsidP="00A8138F">
      <w:pPr>
        <w:pStyle w:val="TextoNormal"/>
      </w:pPr>
    </w:p>
    <w:p w14:paraId="50B99648" w14:textId="77777777" w:rsidR="00A8138F" w:rsidRDefault="00A8138F" w:rsidP="00A8138F">
      <w:pPr>
        <w:pStyle w:val="TextoNormal"/>
      </w:pPr>
      <w:r>
        <w:t>b) La entidad actora presentó recurso de apelación contra la sentencia de primera instancia, y el señor Pulgarín Milara formuló oposición, alegando que el recurso debía ser inadmitido por falta de acreditación de la representación procesal de la apelante, al estar caducado el apoderamiento, defecto que es insubsanable. El recurso, con el número 838-2021, fue resuelto por la Sección Undécima de la Audiencia Provincial de Barcelona mediante la sentencia de 30 de marzo de 2023, en la que, tras rechazar el alegato sobre la falta de acreditación de la representación procesal de la recurrente, entró a conocer de los motivos de apelación y estimó parcialmente el recurso, condenando al señor Pulgarín Milara al pago de la cantidad fijada en dicha sentencia por el principal (6544,14 €) más los intereses legales.</w:t>
      </w:r>
    </w:p>
    <w:p w14:paraId="46A64BD5" w14:textId="77777777" w:rsidR="00A8138F" w:rsidRDefault="00A8138F" w:rsidP="00A8138F">
      <w:pPr>
        <w:pStyle w:val="TextoNormal"/>
      </w:pPr>
    </w:p>
    <w:p w14:paraId="6C8513B9" w14:textId="77777777" w:rsidR="00A8138F" w:rsidRDefault="00A8138F" w:rsidP="00A8138F">
      <w:pPr>
        <w:pStyle w:val="TextoNormal"/>
      </w:pPr>
      <w:r>
        <w:t>c) Contra esta sentencia interpuso el señor Pulgarín Milara un incidente de nulidad de actuaciones de conformidad con lo previsto en el art. 241 de la Ley Orgánica del Poder Judicial (LOPJ), denunciando la vulneración del derecho a la tutela judicial efectiva (art. 24.1 CE). Razonaba que la admisión a trámite del recurso de apelación, sin acoger la alegación efectuada por el apelado sobre la falta de acreditación de la representación procesal de la apelante, se basa en un pronunciamiento arbitrario, ilógico e irrazonable acerca de la validez de un poder general para pleitos que ya estaba caducado. Por ello interesaba que se declarase la nulidad de la sentencia, con retroacción de las actuaciones al momento anterior a su dictado.</w:t>
      </w:r>
    </w:p>
    <w:p w14:paraId="247092DD" w14:textId="77777777" w:rsidR="00A8138F" w:rsidRDefault="00A8138F" w:rsidP="00A8138F">
      <w:pPr>
        <w:pStyle w:val="TextoNormal"/>
      </w:pPr>
    </w:p>
    <w:p w14:paraId="209DBC7B" w14:textId="77777777" w:rsidR="00A8138F" w:rsidRDefault="00A8138F" w:rsidP="00A8138F">
      <w:pPr>
        <w:pStyle w:val="TextoNormal"/>
      </w:pPr>
      <w:r>
        <w:t>d) La Sección Undécima de la Audiencia Provincial de Barcelona, mediante providencia de 16 de mayo de 2023, inadmitió a trámite el incidente de nulidad de actuaciones. La inadmisión se fundamenta en que la pretendida infracción denunciada no procedería en ningún caso de la sentencia dictada en apelación, sino de un pretendido defecto alegado desde la contestación a la demanda, que se había hecho valer también en la apelación, esta vez sin éxito. Se añade que el incidente extraordinario de nulidad de actuaciones solo es posible frente a una sentencia cuando esta no pueda ser combatida mediante recurso ordinario ni extraordinario, no siendo este el caso, pues contra la sentencia dictada en apelación cabía el recurso extraordinario por infracción procesal y el recurso de casación por interés casacional.</w:t>
      </w:r>
    </w:p>
    <w:p w14:paraId="686D787E" w14:textId="77777777" w:rsidR="00A8138F" w:rsidRDefault="00A8138F" w:rsidP="00A8138F">
      <w:pPr>
        <w:pStyle w:val="TextoNormal"/>
      </w:pPr>
    </w:p>
    <w:p w14:paraId="033B8AC5" w14:textId="77777777" w:rsidR="00A8138F" w:rsidRDefault="00A8138F" w:rsidP="00A8138F">
      <w:pPr>
        <w:pStyle w:val="TextoNormal"/>
      </w:pPr>
      <w:r>
        <w:lastRenderedPageBreak/>
        <w:t>e) El señor Pulgarín Milara, al ser notificado de la anterior providencia, planteó contra la misma una solicitud de aclaración, al amparo de lo dispuesto en el art. 214. 1 y 2 de la Ley de enjuiciamiento civil (LEC), en relación con el art. 267 LOPJ, concretando las cuestiones sobre las que interesaba aclaración en las siguientes: (i) en relación con la afirmación de que la infracción no procedía de su sentencia, si la Audiencia Provincial había tenido en cuenta que en la propia resolución se admitía que la infracción alegada en el escrito de oposición se había producido después del dictado de la sentencia de 27 de diciembre de 2019 por el Juzgado de Primera Instancia núm. 5 de El Prat de Llobregat; y (ii) si se había tenido en cuenta la doctrina sentada por el Tribunal Constitucional en la STC 143/2020, de 19 de octubre, que anuló una providencia dictada por la misma Sección Undécima de la Audiencia Provincial de Barcelona que inadmitió un incidente de nulidad de actuaciones con el argumento de que cabía recurso extraordinario de infracción procesal y recurso de casación contra la sentencia recaída en apelación.</w:t>
      </w:r>
    </w:p>
    <w:p w14:paraId="2FD06573" w14:textId="77777777" w:rsidR="00A8138F" w:rsidRDefault="00A8138F" w:rsidP="00A8138F">
      <w:pPr>
        <w:pStyle w:val="TextoNormal"/>
      </w:pPr>
    </w:p>
    <w:p w14:paraId="7C90D4B0" w14:textId="1E334CB5" w:rsidR="00A8138F" w:rsidRDefault="00A8138F" w:rsidP="00A8138F">
      <w:pPr>
        <w:pStyle w:val="TextoNormal"/>
      </w:pPr>
      <w:r>
        <w:t>f) La solicitud de aclaración fue rechazada por providencia de 24 de mayo de 2023. En primer lugar, se razona que la solicitud de aclaración se basa en argumentos no expresados anteriormente en el escrito contestado en la providencia objeto de aclaración. En segundo lugar, se señala que los argumentos planteados en la solicitud de aclaración son de fondo, no relativos a ningún error material, omisión o uso de términos oscuros por parte del tribunal, por lo que quedan fuera del supuesto del art. 214 LEC. En fin, se reitera que no se han interpuesto por el solicitante el recurso extraordinario por infracción procesal y el recurso de casación, siendo cuanto menos prematuro sostener dicha inadmisibilidad, que en ningún caso corresponde determinar al tribunal de apelación, sino al órgano de admisión de dichos recursos.</w:t>
      </w:r>
    </w:p>
    <w:p w14:paraId="2D7282E3" w14:textId="77777777" w:rsidR="00A8138F" w:rsidRDefault="00A8138F" w:rsidP="00A8138F">
      <w:pPr>
        <w:pStyle w:val="TextoNormal"/>
      </w:pPr>
    </w:p>
    <w:p w14:paraId="7F75331F" w14:textId="77777777" w:rsidR="00A8138F" w:rsidRDefault="00A8138F" w:rsidP="00A8138F">
      <w:pPr>
        <w:pStyle w:val="TextoNormal"/>
      </w:pPr>
      <w:r w:rsidRPr="00A8138F">
        <w:rPr>
          <w:rStyle w:val="NumeroAFNegritaCaracter"/>
        </w:rPr>
        <w:t>3</w:t>
      </w:r>
      <w:r>
        <w:t>. El recurso de amparo se interpone frente a la providencia de la Sección Undécima de la Audiencia Provincial de Barcelona de16 de mayo de 2023, que inadmite el incidente de nulidad de actuaciones promovido contra la sentencia dictada en apelación, y frente a la providencia de 24 de mayo de 2023, que rechaza la aclaración de la anterior providencia.</w:t>
      </w:r>
    </w:p>
    <w:p w14:paraId="37C28B2F" w14:textId="77777777" w:rsidR="00A8138F" w:rsidRDefault="00A8138F" w:rsidP="00A8138F">
      <w:pPr>
        <w:pStyle w:val="TextoNormal"/>
      </w:pPr>
    </w:p>
    <w:p w14:paraId="4B1A7154" w14:textId="77777777" w:rsidR="00A8138F" w:rsidRDefault="00A8138F" w:rsidP="00A8138F">
      <w:pPr>
        <w:pStyle w:val="TextoNormal"/>
      </w:pPr>
      <w:r>
        <w:t>El demandante de amparo considera que dichas providencias han vulnerado su derecho a la tutela judicial efectiva sin indefensión (art. 24.1 CE), dada la absoluta falta de motivación para fundamentar la inadmisión acordada, solicitando que se acuerde la nulidad de ambas resoluciones y la retroacción de actuaciones al momento anterior al dictado de la primera de ellas, al objeto de que se dicte una nueva resolución respetuosa con el referido derecho fundamental.</w:t>
      </w:r>
    </w:p>
    <w:p w14:paraId="0408962D" w14:textId="77777777" w:rsidR="00A8138F" w:rsidRDefault="00A8138F" w:rsidP="00A8138F">
      <w:pPr>
        <w:pStyle w:val="TextoNormal"/>
      </w:pPr>
    </w:p>
    <w:p w14:paraId="539858F0" w14:textId="77777777" w:rsidR="00A8138F" w:rsidRDefault="00A8138F" w:rsidP="00A8138F">
      <w:pPr>
        <w:pStyle w:val="TextoNormal"/>
      </w:pPr>
      <w:r>
        <w:t>Aduce el demandante que la providencia de 16 de mayo de 2023 funda su decisión en un pronunciamiento arbitrario, ilógico e irrazonable, pues la Audiencia Provincial de Barcelona parte de una premisa objetivamente errónea que distorsiona la aplicación de la norma legal, al afirmar que la pretendida infracción no surge de la sentencia de apelación, cuando lo cierto es que la Audiencia admitió el recurso de apelación de la entidad TTI Finance, S.A.R.L., dando validez a un poder general para pleitos que estaba caducado al recibir la actora la sentencia de primera instancia, por lo que la infracción constitucional denunciada en el incidente de nulidad (motivación arbitraria) sí fue causada por la sentencia de apelación.</w:t>
      </w:r>
    </w:p>
    <w:p w14:paraId="01E5BADF" w14:textId="77777777" w:rsidR="00A8138F" w:rsidRDefault="00A8138F" w:rsidP="00A8138F">
      <w:pPr>
        <w:pStyle w:val="TextoNormal"/>
      </w:pPr>
    </w:p>
    <w:p w14:paraId="26453798" w14:textId="77777777" w:rsidR="00A8138F" w:rsidRDefault="00A8138F" w:rsidP="00A8138F">
      <w:pPr>
        <w:pStyle w:val="TextoNormal"/>
      </w:pPr>
      <w:r>
        <w:lastRenderedPageBreak/>
        <w:t>Además, la Audiencia Provincial no ha tenido en cuenta la inviabilidad del recurso de casación por interés casacional contra la sentencia de apelación, lo que a su vez conlleva la improcedencia del recurso extraordinario por infracción procesal, de suerte que el único remedio posible era el incidente de nulidad de actuaciones. La Audiencia no ha tenido en cuenta la doctrina sentada en la STC 143/2020, invocada en la solicitud de aclaración, incurriendo en negativa manifiesta del deber de acatamiento de la doctrina del Tribunal Constitucional, lo que dota al recurso de amparo de especial trascendencia constitucional.</w:t>
      </w:r>
    </w:p>
    <w:p w14:paraId="6CA3A21B" w14:textId="77777777" w:rsidR="00A8138F" w:rsidRDefault="00A8138F" w:rsidP="00A8138F">
      <w:pPr>
        <w:pStyle w:val="TextoNormal"/>
      </w:pPr>
    </w:p>
    <w:p w14:paraId="6C620448" w14:textId="77777777" w:rsidR="00A8138F" w:rsidRDefault="00A8138F" w:rsidP="00A8138F">
      <w:pPr>
        <w:pStyle w:val="TextoNormal"/>
      </w:pPr>
      <w:r>
        <w:t>Por todo ello, el demandante interesó que se le otorgase el amparo, declarando la nulidad de las providencias impugnadas y ordenando la retroacción de las actuaciones al momento anterior al dictado de la primera de ellas, para que la Audiencia Provincial dicte nueva resolución respetuosa con el derecho a la tutela judicial efectiva sin indefensión.</w:t>
      </w:r>
    </w:p>
    <w:p w14:paraId="67BED98D" w14:textId="77777777" w:rsidR="00A8138F" w:rsidRDefault="00A8138F" w:rsidP="00A8138F">
      <w:pPr>
        <w:pStyle w:val="TextoNormal"/>
      </w:pPr>
    </w:p>
    <w:p w14:paraId="2731974B" w14:textId="497F24E2" w:rsidR="00A8138F" w:rsidRDefault="00A8138F" w:rsidP="00A8138F">
      <w:pPr>
        <w:pStyle w:val="TextoNormal"/>
      </w:pPr>
      <w:r>
        <w:t>Mediante otrosí solicitó la suspensión de las providencias impugnadas en amparo.</w:t>
      </w:r>
    </w:p>
    <w:p w14:paraId="56CF2456" w14:textId="77777777" w:rsidR="00A8138F" w:rsidRDefault="00A8138F" w:rsidP="00A8138F">
      <w:pPr>
        <w:pStyle w:val="TextoNormal"/>
      </w:pPr>
    </w:p>
    <w:p w14:paraId="71B9685E" w14:textId="77777777" w:rsidR="00A8138F" w:rsidRDefault="00A8138F" w:rsidP="00A8138F">
      <w:pPr>
        <w:pStyle w:val="TextoNormal"/>
      </w:pPr>
      <w:r w:rsidRPr="00A8138F">
        <w:rPr>
          <w:rStyle w:val="NumeroAFNegritaCaracter"/>
        </w:rPr>
        <w:t>4</w:t>
      </w:r>
      <w:r>
        <w:t>. Mediante providencia de 8 de abril de 2024 la Sección Cuarta del Tribunal Constitucional acordó la admisión a trámite del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w:t>
      </w:r>
    </w:p>
    <w:p w14:paraId="39CFDFA3" w14:textId="77777777" w:rsidR="00A8138F" w:rsidRDefault="00A8138F" w:rsidP="00A8138F">
      <w:pPr>
        <w:pStyle w:val="TextoNormal"/>
      </w:pPr>
    </w:p>
    <w:p w14:paraId="6DA545DE" w14:textId="77777777" w:rsidR="00A8138F" w:rsidRDefault="00A8138F" w:rsidP="00A8138F">
      <w:pPr>
        <w:pStyle w:val="TextoNormal"/>
      </w:pPr>
      <w:r>
        <w:t>Por ello, en virtud del art. 51 LOTC, acordó dirigir atenta comunicación a la Sección Undécima de la Audiencia Provincial de Barcelona, y al Juzgado de Primera Instancia e Instrucción núm. 5 de El Prat de Llobregat, a fin de que, en plazo no superior a diez días, remitieran testimonio de sus respectivas actuaciones (recurso de apelación núm. 838-2021 y procedimiento ordinario núm. 27-2018), requiriendo asimismo al juzgado para que procediese al emplazamiento, por término de diez días, de quienes hubieran sido parte en el procedimiento, con excepción del recurrente, a los efectos de poder comparecer en el presente proceso de amparo.</w:t>
      </w:r>
    </w:p>
    <w:p w14:paraId="6EFEFB8F" w14:textId="77777777" w:rsidR="00A8138F" w:rsidRDefault="00A8138F" w:rsidP="00A8138F">
      <w:pPr>
        <w:pStyle w:val="TextoNormal"/>
      </w:pPr>
    </w:p>
    <w:p w14:paraId="39BCECA3" w14:textId="470582C7" w:rsidR="00A8138F" w:rsidRDefault="00A8138F" w:rsidP="00A8138F">
      <w:pPr>
        <w:pStyle w:val="TextoNormal"/>
      </w:pPr>
      <w:r>
        <w:t>Acordó también la formación de pieza separada para resolver sobre la suspensión interesada por el demandante de amparo.</w:t>
      </w:r>
    </w:p>
    <w:p w14:paraId="208D01DB" w14:textId="77777777" w:rsidR="00A8138F" w:rsidRDefault="00A8138F" w:rsidP="00A8138F">
      <w:pPr>
        <w:pStyle w:val="TextoNormal"/>
      </w:pPr>
    </w:p>
    <w:p w14:paraId="24A87ADB" w14:textId="6E7DEE69" w:rsidR="00A8138F" w:rsidRDefault="00A8138F" w:rsidP="00A8138F">
      <w:pPr>
        <w:pStyle w:val="TextoNormal"/>
      </w:pPr>
      <w:r w:rsidRPr="00A8138F">
        <w:rPr>
          <w:rStyle w:val="NumeroAFNegritaCaracter"/>
        </w:rPr>
        <w:t>5</w:t>
      </w:r>
      <w:r>
        <w:t>. Por ATC 54/2024, de 3 de junio, se acordó denegar la suspensión solicitada.</w:t>
      </w:r>
    </w:p>
    <w:p w14:paraId="00EC15FB" w14:textId="77777777" w:rsidR="00A8138F" w:rsidRDefault="00A8138F" w:rsidP="00A8138F">
      <w:pPr>
        <w:pStyle w:val="TextoNormal"/>
      </w:pPr>
    </w:p>
    <w:p w14:paraId="24CBAAD4" w14:textId="2C143357" w:rsidR="00A8138F" w:rsidRDefault="00A8138F" w:rsidP="00A8138F">
      <w:pPr>
        <w:pStyle w:val="TextoNormal"/>
      </w:pPr>
      <w:r w:rsidRPr="00A8138F">
        <w:rPr>
          <w:rStyle w:val="NumeroAFNegritaCaracter"/>
        </w:rPr>
        <w:t>6</w:t>
      </w:r>
      <w:r>
        <w:t>. Mediante diligencia de ordenación del secretario de justicia de la Sala Segunda de este tribunal de 3 de septiembre de 2024 se acordó dar vista de las actuaciones recibidas al recurrente en amparo y al Ministerio Fiscal, por plazo común de veinte días, para formular las alegaciones que estimaren pertinentes, conforme determina el art. 52.1 LOTC.</w:t>
      </w:r>
    </w:p>
    <w:p w14:paraId="5D6FAC72" w14:textId="77777777" w:rsidR="00A8138F" w:rsidRDefault="00A8138F" w:rsidP="00A8138F">
      <w:pPr>
        <w:pStyle w:val="TextoNormal"/>
      </w:pPr>
    </w:p>
    <w:p w14:paraId="0D983A8F" w14:textId="240B342D" w:rsidR="00A8138F" w:rsidRDefault="00A8138F" w:rsidP="00A8138F">
      <w:pPr>
        <w:pStyle w:val="TextoNormal"/>
      </w:pPr>
      <w:r w:rsidRPr="00A8138F">
        <w:rPr>
          <w:rStyle w:val="NumeroAFNegritaCaracter"/>
        </w:rPr>
        <w:t>7</w:t>
      </w:r>
      <w:r>
        <w:t>. La representación procesal del recurrente formuló alegaciones mediante escrito registrado en este tribunal el 30 de septiembre de 2024, reiterando lo expuesto en la demanda de amparo.</w:t>
      </w:r>
    </w:p>
    <w:p w14:paraId="35AA895D" w14:textId="77777777" w:rsidR="00A8138F" w:rsidRDefault="00A8138F" w:rsidP="00A8138F">
      <w:pPr>
        <w:pStyle w:val="TextoNormal"/>
      </w:pPr>
    </w:p>
    <w:p w14:paraId="2D241F70" w14:textId="77777777" w:rsidR="00A8138F" w:rsidRDefault="00A8138F" w:rsidP="00A8138F">
      <w:pPr>
        <w:pStyle w:val="TextoNormal"/>
      </w:pPr>
      <w:r w:rsidRPr="00A8138F">
        <w:rPr>
          <w:rStyle w:val="NumeroAFNegritaCaracter"/>
        </w:rPr>
        <w:t>8</w:t>
      </w:r>
      <w:r>
        <w:t>. El 23 de octubre de 2024 presentó sus alegaciones el Ministerio Fiscal.</w:t>
      </w:r>
    </w:p>
    <w:p w14:paraId="14000DF5" w14:textId="77777777" w:rsidR="00A8138F" w:rsidRDefault="00A8138F" w:rsidP="00A8138F">
      <w:pPr>
        <w:pStyle w:val="TextoNormal"/>
      </w:pPr>
    </w:p>
    <w:p w14:paraId="6A238222" w14:textId="77777777" w:rsidR="00A8138F" w:rsidRDefault="00A8138F" w:rsidP="00A8138F">
      <w:pPr>
        <w:pStyle w:val="TextoNormal"/>
      </w:pPr>
      <w:r>
        <w:lastRenderedPageBreak/>
        <w:t>Después de exponer los antecedentes del asunto y resumir las quejas que el recurrente dirige a las providencias impugnadas en amparo, el fiscal recuerda que sobre la motivación de las resoluciones judiciales y el error patente con relevancia constitucional existe una reiterada y consolidada doctrina de este tribunal (cita, por todas, la STC 70/2024, de 6 de mayo, FJ 3). Y más concretamente advierte que sobre la queja referida a la inadmisión del incidente de nulidad de actuaciones basada en que contra la sentencia dictada en apelación cabe interponer los recursos previstos legalmente (extraordinario de infracción procesal y de casación ante el Tribunal Supremo), el Tribunal Constitucional ha tenido ya oportunidad de pronunciarse en un supuesto semejante; se trata de la STC 143/2020 (invocada por el recurrente en su solicitud de aclaración), que estima un recurso de amparo en el que se alegaba la vulneración del derecho a la tutela judicial efectiva provocada por la inadmisión del incidente de nulidad de actuaciones formulado contra una sentencia dictada en apelación, supuesto en el que la decisión de inadmitir el incidente se basaba, como ahora en que, según el parecer de la misma sección de la Audiencia Provincial de Barcelona, la sentencia era susceptible de recurso extraordinario de infracción procesal y de casación ante el Tribunal Supremo y, en consecuencia, no concurría el requisito previsto en el art. 241 LOPJ de que no quepa recurso ordinario o extraordinario.</w:t>
      </w:r>
    </w:p>
    <w:p w14:paraId="2A9029BA" w14:textId="77777777" w:rsidR="00A8138F" w:rsidRDefault="00A8138F" w:rsidP="00A8138F">
      <w:pPr>
        <w:pStyle w:val="TextoNormal"/>
      </w:pPr>
    </w:p>
    <w:p w14:paraId="60D40932" w14:textId="77777777" w:rsidR="00A8138F" w:rsidRDefault="00A8138F" w:rsidP="00A8138F">
      <w:pPr>
        <w:pStyle w:val="TextoNormal"/>
      </w:pPr>
      <w:r>
        <w:t>Considera el fiscal que la aplicación de esa doctrina constitucional al presente supuesto ha de conducir a la estimación del recurso de amparo. Como hizo constar el recurrente en su petición de aclaración de la providencia de 16 de mayo de 2023, el incidente de nulidad de actuaciones se planteó tras considerar que, en este caso, la sentencia de apelación no era susceptible de recurso de casación por interés casacional ni de recurso extraordinario por infracción procesal. La Sección Undécima de la Audiencia Provincial de Barcelona se limita en su providencia de 24 de mayo, en respuesta a las alegaciones del recurrente sobre la carencia de viabilidad de los recursos indicados en el supuesto concreto, a objetar que “en ningún caso corresponde determinar a este tribunal sino al órgano de admisión”. Con ello se incumplen las exigencias de motivación suficiente que se determinan en la doctrina constitucional reseñada, que requiere la indicación de los recursos que proceden, “teniendo para ello en cuenta las posibilidades reales de procedencia de tal recurso en el caso concreto, habida cuenta su regulación legal”.</w:t>
      </w:r>
    </w:p>
    <w:p w14:paraId="3E9B414B" w14:textId="77777777" w:rsidR="00A8138F" w:rsidRDefault="00A8138F" w:rsidP="00A8138F">
      <w:pPr>
        <w:pStyle w:val="TextoNormal"/>
      </w:pPr>
    </w:p>
    <w:p w14:paraId="2D928F61" w14:textId="46D7AD09" w:rsidR="00A8138F" w:rsidRDefault="00A8138F" w:rsidP="00A8138F">
      <w:pPr>
        <w:pStyle w:val="TextoNormal"/>
      </w:pPr>
      <w:r>
        <w:t>En consecuencia, la respuesta de la Audiencia Provincial no colma las exigencias de motivación y vulnera el derecho al recurso, porque obligaría al recurrente a articular como motivo una infracción de norma sustantiva inexistente que haría inadmisible el recurso de casación por falta de un requisito formal previo al pronunciamiento del Tribunal Supremo sobre el interés casacional, lo que acarrearía una posible condena en costas y, eventualmente, la extemporaneidad del recurso de amparo, lo que ha de conducir a la estimación del recurso de amparo, con declaración de nulidad de las resoluciones recurridas y retroacción de actuaciones al momento inmediatamente anterior al dictado de la providencia de 16 de mayo de 2023, para que la Sección Undécima de la Audiencia Provincial de Barcelona dicte una nueva resolución que sea respetuosa con el derecho fundamental a la tutela judicial efectiva (art. 24.1 CE).</w:t>
      </w:r>
    </w:p>
    <w:p w14:paraId="76968E74" w14:textId="77777777" w:rsidR="00A8138F" w:rsidRDefault="00A8138F" w:rsidP="00A8138F">
      <w:pPr>
        <w:pStyle w:val="TextoNormal"/>
      </w:pPr>
    </w:p>
    <w:p w14:paraId="2D75F13C" w14:textId="20B464DD" w:rsidR="00A8138F" w:rsidRDefault="00A8138F" w:rsidP="00A8138F">
      <w:pPr>
        <w:pStyle w:val="TextoNormal"/>
      </w:pPr>
      <w:r w:rsidRPr="00A8138F">
        <w:rPr>
          <w:rStyle w:val="NumeroAFNegritaCaracter"/>
        </w:rPr>
        <w:t>9</w:t>
      </w:r>
      <w:r>
        <w:t>. Por providencia de 23 de enero de 2025 se señaló para deliberación y votación de la presente sentencia el día 27 del mismo mes y año.</w:t>
      </w:r>
    </w:p>
    <w:p w14:paraId="41342587" w14:textId="77777777" w:rsidR="00A8138F" w:rsidRDefault="00A8138F" w:rsidP="00A8138F">
      <w:pPr>
        <w:pStyle w:val="TextoNormal"/>
      </w:pPr>
    </w:p>
    <w:p w14:paraId="0D228CA1" w14:textId="77777777" w:rsidR="00A8138F" w:rsidRDefault="00A8138F" w:rsidP="00A8138F">
      <w:pPr>
        <w:pStyle w:val="TextoNormalNegritaCentrado"/>
        <w:keepNext/>
      </w:pPr>
      <w:r>
        <w:lastRenderedPageBreak/>
        <w:t>II. Fundamentos jurídicos</w:t>
      </w:r>
    </w:p>
    <w:p w14:paraId="29DA92E1" w14:textId="41419CA0" w:rsidR="00A8138F" w:rsidRDefault="00A8138F" w:rsidP="00A8138F">
      <w:pPr>
        <w:pStyle w:val="TextoNormalNegritaCentrado"/>
        <w:keepNext/>
      </w:pPr>
    </w:p>
    <w:p w14:paraId="74455ABD" w14:textId="77777777" w:rsidR="00A8138F" w:rsidRDefault="00A8138F" w:rsidP="00A8138F">
      <w:pPr>
        <w:pStyle w:val="TextoNormal"/>
      </w:pPr>
      <w:r w:rsidRPr="00A8138F">
        <w:rPr>
          <w:rStyle w:val="NumeroAFNegritaCaracter"/>
        </w:rPr>
        <w:t>1</w:t>
      </w:r>
      <w:r>
        <w:t xml:space="preserve">. </w:t>
      </w:r>
      <w:r w:rsidRPr="00A8138F">
        <w:rPr>
          <w:i/>
        </w:rPr>
        <w:t>Objeto del recurso de amparo</w:t>
      </w:r>
    </w:p>
    <w:p w14:paraId="3E091234" w14:textId="77777777" w:rsidR="00A8138F" w:rsidRDefault="00A8138F" w:rsidP="00A8138F">
      <w:pPr>
        <w:pStyle w:val="TextoNormal"/>
      </w:pPr>
    </w:p>
    <w:p w14:paraId="19BCF681" w14:textId="77777777" w:rsidR="00A8138F" w:rsidRDefault="00A8138F" w:rsidP="00A8138F">
      <w:pPr>
        <w:pStyle w:val="TextoNormal"/>
      </w:pPr>
      <w:r>
        <w:t>El presente recurso de amparo se dirige contra las providencias dictadas el 16 y el 24 de mayo de 2023 por la Sección Undécima de la Audiencia Provincial de Barcelona en el recurso de apelación núm. 838-2021. La primera de ellas inadmite a trámite el incidente de nulidad de actuaciones interpuesto por el demandante de amparo frente a la sentencia recaída en dicho recurso de apelación. La segunda rechaza la solicitud de aclaración presentada por el demandante contra la antedicha providencia. El demandante de amparo, invocando la doctrina sentada en la STC 143/2020, de 19 de octubre, alega que dichas providencias han vulnerado su derecho a la tutela judicial efectiva sin indefensión (art. 24.1 CE), dada la absoluta falta de motivación de la decisión de inadmisión del incidente de nulidad. Interesa por ello que se acuerde la nulidad de ambas resoluciones, así como la retroacción de actuaciones al momento anterior al dictado de la primera providencia, al objeto de que se dicte una nueva resolución respetuosa con el referido derecho fundamental.</w:t>
      </w:r>
    </w:p>
    <w:p w14:paraId="7C6E5528" w14:textId="77777777" w:rsidR="00A8138F" w:rsidRDefault="00A8138F" w:rsidP="00A8138F">
      <w:pPr>
        <w:pStyle w:val="TextoNormal"/>
      </w:pPr>
    </w:p>
    <w:p w14:paraId="3D89612D" w14:textId="5367808D" w:rsidR="00A8138F" w:rsidRDefault="00A8138F" w:rsidP="00A8138F">
      <w:pPr>
        <w:pStyle w:val="TextoNormal"/>
      </w:pPr>
      <w:r>
        <w:t>El Ministerio Fiscal apoya la pretensión del demandante e interesa que se le otorgue el amparo solicitado, declarando la nulidad de las providencias impugnadas y la retroacción de actuaciones en los mismos términos.</w:t>
      </w:r>
    </w:p>
    <w:p w14:paraId="6AF09E01" w14:textId="77777777" w:rsidR="00A8138F" w:rsidRDefault="00A8138F" w:rsidP="00A8138F">
      <w:pPr>
        <w:pStyle w:val="TextoNormal"/>
      </w:pPr>
    </w:p>
    <w:p w14:paraId="43C14451" w14:textId="77777777" w:rsidR="00A8138F" w:rsidRDefault="00A8138F" w:rsidP="00A8138F">
      <w:pPr>
        <w:pStyle w:val="TextoNormal"/>
      </w:pPr>
      <w:r w:rsidRPr="00A8138F">
        <w:rPr>
          <w:rStyle w:val="NumeroAFNegritaCaracter"/>
        </w:rPr>
        <w:t>2</w:t>
      </w:r>
      <w:r>
        <w:t xml:space="preserve">. </w:t>
      </w:r>
      <w:r w:rsidRPr="00A8138F">
        <w:rPr>
          <w:i/>
        </w:rPr>
        <w:t>Doctrina constitucional aplicable a la controversia suscitada</w:t>
      </w:r>
    </w:p>
    <w:p w14:paraId="43B75163" w14:textId="77777777" w:rsidR="00A8138F" w:rsidRDefault="00A8138F" w:rsidP="00A8138F">
      <w:pPr>
        <w:pStyle w:val="TextoNormal"/>
      </w:pPr>
    </w:p>
    <w:p w14:paraId="0768297F" w14:textId="77777777" w:rsidR="00A8138F" w:rsidRDefault="00A8138F" w:rsidP="00A8138F">
      <w:pPr>
        <w:pStyle w:val="TextoNormal"/>
      </w:pPr>
      <w:r>
        <w:t>Como han puesto de relieve tanto el demandante como el Ministerio Fiscal, el presente recurso de amparo guarda notoria similitud con el que fuera resuelto por este tribunal en la STC 143/2020, en la que se estimó el amparo interpuesto contra resoluciones dictadas por el mismo órgano judicial, Sección Undécima de la Audiencia Provincial de Barcelona, en las que, como en el presente caso, se acordaba la inadmisión del incidente de nulidad de actuaciones interpuesto contra la sentencia dictada en apelación por entender el órgano judicial que contra esa sentencia procedía la interposición del recurso extraordinario por infracción procesal junto con el de casación ante el Tribunal Supremo, y era improcedente en cambio la vía utilizada del incidente excepcional del art. 241 LOPJ. La STC 143/2020 otorga el amparo al apreciar que esa decisión de inadmisión del incidente de nulidad carece de motivación razonable y comporta, en consecuencia, la vulneración del derecho a la tutela judicial efectiva sin indefensión (art. 24.1 CE) de la parte recurrente.</w:t>
      </w:r>
    </w:p>
    <w:p w14:paraId="7A606E5C" w14:textId="77777777" w:rsidR="00A8138F" w:rsidRDefault="00A8138F" w:rsidP="00A8138F">
      <w:pPr>
        <w:pStyle w:val="TextoNormal"/>
      </w:pPr>
    </w:p>
    <w:p w14:paraId="5E8351E5" w14:textId="77777777" w:rsidR="00A8138F" w:rsidRDefault="00A8138F" w:rsidP="00A8138F">
      <w:pPr>
        <w:pStyle w:val="TextoNormal"/>
      </w:pPr>
      <w:r>
        <w:t xml:space="preserve">La STC 143/2020, FJ 4, recuerda que, conforme a la doctrina constitucional (por todas, SSTC 91/2015, de 11 de mayo, FJ 2, y 142/2015, de 22 de junio, FJ 4), cuando el planteamiento del incidente de nulidad de actuaciones resulte procedente su inadmisión supone una preterición del mecanismo de tutela pertinente ante la jurisdicción ordinaria; y que no puede considerarse el incidente como un mero trámite formal previo al amparo constitucional, sino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Asimismo, que la motivación que necesariamente ha de ofrecer el órgano judicial para inadmitir el incidente de nulidad, aunque sea sucinta, debe precisar el recurso extraordinario que a su parecer cabría </w:t>
      </w:r>
      <w:r>
        <w:lastRenderedPageBreak/>
        <w:t>interponer, teniendo para ello en cuenta las posibilidades reales de procedencia de tal recurso en el caso concreto, habida cuenta su regulación legal, pues no hacerlo así conlleva la vulneración del derecho a la tutela judicial efectiva del justiciable (art. 24.1 CE).</w:t>
      </w:r>
    </w:p>
    <w:p w14:paraId="1399AFA6" w14:textId="77777777" w:rsidR="00A8138F" w:rsidRDefault="00A8138F" w:rsidP="00A8138F">
      <w:pPr>
        <w:pStyle w:val="TextoNormal"/>
      </w:pPr>
    </w:p>
    <w:p w14:paraId="433E5789" w14:textId="77777777" w:rsidR="00A8138F" w:rsidRDefault="00A8138F" w:rsidP="00A8138F">
      <w:pPr>
        <w:pStyle w:val="TextoNormal"/>
      </w:pPr>
      <w:r>
        <w:t>Asimismo tiene declarado el Tribunal que en los supuestos en que no cabe interponer recurso de casación o extraordinario por infracción procesal, “con arreglo a los consolidados criterios interpretativos al respecto de la Sala de lo Civil del Tribunal Supremo […], no puede reprocharse al demandante de amparo que entendiese que la sentencia de apelación no era recurrible en casación (ni, por tanto, tampoco cabía recurso extraordinario por infracción procesal)”, antes bien, al no interponer tales recursos el recurrente no hizo sino “lo que le era razonablemente exigible” (STC 11/2009, de 12 de enero, FJ 3).</w:t>
      </w:r>
    </w:p>
    <w:p w14:paraId="26369A14" w14:textId="77777777" w:rsidR="00A8138F" w:rsidRDefault="00A8138F" w:rsidP="00A8138F">
      <w:pPr>
        <w:pStyle w:val="TextoNormal"/>
      </w:pPr>
    </w:p>
    <w:p w14:paraId="5C793287" w14:textId="32EF0157" w:rsidR="00A8138F" w:rsidRDefault="00A8138F" w:rsidP="00A8138F">
      <w:pPr>
        <w:pStyle w:val="TextoNormal"/>
      </w:pPr>
      <w:r>
        <w:t>Dicho de otro modo, como señala la STC 143/2020, FJ 4, de lo expuesto “se colige claramente que el recurso extraordinario por infracción procesal no procede siempre contra resoluciones de segunda instancia; que en determinados casos, concretamente cuando la vía de acceso es la del interés casacional, se exige legal y jurisprudencialmente su interposición conjunta con el de casación, y que en tales situaciones si no es posible fundar este último —el recurso de casación— en alguno de los motivos previstos en la Ley de enjuiciamiento civil, no cabe tampoco promover el extraordinario por infracción procesal, aunque aisladamente considerado se cumpliera con el objeto que le es propio (el control de las infracciones procesales recogidas en el art. 469 LEC)”.</w:t>
      </w:r>
    </w:p>
    <w:p w14:paraId="7A6E54A9" w14:textId="77777777" w:rsidR="00A8138F" w:rsidRDefault="00A8138F" w:rsidP="00A8138F">
      <w:pPr>
        <w:pStyle w:val="TextoNormal"/>
      </w:pPr>
    </w:p>
    <w:p w14:paraId="7E0FC53C" w14:textId="77777777" w:rsidR="00A8138F" w:rsidRDefault="00A8138F" w:rsidP="00A8138F">
      <w:pPr>
        <w:pStyle w:val="TextoNormal"/>
      </w:pPr>
      <w:r w:rsidRPr="00A8138F">
        <w:rPr>
          <w:rStyle w:val="NumeroAFNegritaCaracter"/>
        </w:rPr>
        <w:t>3</w:t>
      </w:r>
      <w:r>
        <w:t xml:space="preserve">. </w:t>
      </w:r>
      <w:r w:rsidRPr="00A8138F">
        <w:rPr>
          <w:i/>
        </w:rPr>
        <w:t>Aplicación de la doctrina de la STC 143/2020 al presente supuesto. Otorgamiento del amparo</w:t>
      </w:r>
    </w:p>
    <w:p w14:paraId="4F46081C" w14:textId="77777777" w:rsidR="00A8138F" w:rsidRDefault="00A8138F" w:rsidP="00A8138F">
      <w:pPr>
        <w:pStyle w:val="TextoNormal"/>
      </w:pPr>
    </w:p>
    <w:p w14:paraId="5CB67E4E" w14:textId="77777777" w:rsidR="00A8138F" w:rsidRDefault="00A8138F" w:rsidP="00A8138F">
      <w:pPr>
        <w:pStyle w:val="TextoNormal"/>
      </w:pPr>
      <w:r>
        <w:t>El examen de las circunstancias concurrentes en el presente supuesto, puestas en relación con la doctrina sentada en la STC 143/2020 y las que en ella se citan, conduce a la estimación del recurso de amparo.</w:t>
      </w:r>
    </w:p>
    <w:p w14:paraId="22B9BE23" w14:textId="77777777" w:rsidR="00A8138F" w:rsidRDefault="00A8138F" w:rsidP="00A8138F">
      <w:pPr>
        <w:pStyle w:val="TextoNormal"/>
      </w:pPr>
    </w:p>
    <w:p w14:paraId="5A379DF3" w14:textId="77777777" w:rsidR="00A8138F" w:rsidRDefault="00A8138F" w:rsidP="00A8138F">
      <w:pPr>
        <w:pStyle w:val="TextoNormal"/>
      </w:pPr>
      <w:r>
        <w:t>El recurrente ha razonado que, si bien la sentencia de apelación incluía un pie de recurso en el que se afirmaba que no era firme, por caber contra la misma recurso extraordinario de infracción procesal y de casación ante el Tribunal Supremo, en los términos de la Ley de enjuiciamiento civil, optó por no interponerlos (y acudir en cambio al incidente de nulidad de actuaciones) al entender que no eran procedentes, ya que el recurso extraordinario por infracción procesal debía presentarse juntamente con el de casación, sin que concurriesen ninguno de los motivos previstos en la Ley de enjuiciamiento civil para la procedencia de este último. Se apoya esta consideración, compartida por el Ministerio Fiscal, en el tenor de la disposición final decimosexta LEC, en relación con el art. 477 LEC, así como en el acuerdo de 27 de enero de 2017 de la Sala Primera del Tribunal Supremo “sobre criterios de admisión de los recursos de casación y extraordinario por infracción procesal”.</w:t>
      </w:r>
    </w:p>
    <w:p w14:paraId="553A7734" w14:textId="77777777" w:rsidR="00A8138F" w:rsidRDefault="00A8138F" w:rsidP="00A8138F">
      <w:pPr>
        <w:pStyle w:val="TextoNormal"/>
      </w:pPr>
    </w:p>
    <w:p w14:paraId="0723ADF4" w14:textId="77777777" w:rsidR="00A8138F" w:rsidRDefault="00A8138F" w:rsidP="00A8138F">
      <w:pPr>
        <w:pStyle w:val="TextoNormal"/>
      </w:pPr>
      <w:r>
        <w:t>Conforme a la normativa aplicable, el recurso extraordinario por infracción procesal debe interponerse de manera conjunta con el de casación (disposición final decimosexta, apartados 1.2 y 1.5 LEC), pero este solo sería procedente en un supuesto como el que nos ocupa, dada la cuantía del proceso, alegando la infracción de precepto legal del art. 477.1 LEC (infracción de normas sustantivas aplicables para resolver las cuestiones objeto del proceso) y siempre que el asunto presente “interés casacional” (art. 477.2.3 LEC). Ahora bien, como señala la STC 143/2020, FJ 5; “tratándose del acceso por interés casacional, el órgano judi</w:t>
      </w:r>
      <w:r>
        <w:lastRenderedPageBreak/>
        <w:t>cial no puede sustituir a la parte interesada, dando por hecho que la resolución por él dictada infringe jurisprudencia del Tribunal Supremo (lo que obligaría a precisar cuál sería esa), o que ha resuelto puntos o cuestiones donde existe efectivamente jurisprudencia contradictoria de las audiencias provinciales (tendría entonces que decir no solo cuál es esa doctrina, sino superar el requisito exigido jurisprudencialmente de identificar dos resoluciones de distintas secciones, que defiendan los criterios opuestos) o, en fin, que ha habido una infracción (y cuál) de una norma”.</w:t>
      </w:r>
    </w:p>
    <w:p w14:paraId="4E2FF793" w14:textId="77777777" w:rsidR="00A8138F" w:rsidRDefault="00A8138F" w:rsidP="00A8138F">
      <w:pPr>
        <w:pStyle w:val="TextoNormal"/>
      </w:pPr>
    </w:p>
    <w:p w14:paraId="260AA382" w14:textId="77777777" w:rsidR="00A8138F" w:rsidRDefault="00A8138F" w:rsidP="00A8138F">
      <w:pPr>
        <w:pStyle w:val="TextoNormal"/>
      </w:pPr>
      <w:r>
        <w:t>En consecuencia, la afirmación apodíctica de la Sección Undécima de la Audiencia Provincial de Barcelona en la providencia de 16 de mayo de 2023 (reiterada en la providencia de 24 de mayo de 2023) de que contra la sentencia de apelación procedían los recursos de casación y extraordinario por infracción procesal, para no entrar ella misma a ejercer el control de la vulneración del derecho fundamental que a esa sentencia imputaba el recurrente, resolviendo el incidente de nulidad planteado por este, constituye una decisión carente de motivación razonable y por ello lesiva del derecho fundamental a la tutela judicial efectiva (art. 24.1 CE). La inadmisión del incidente de nulidad promovido por el recurrente en amparo, fundada en la necesidad de interponer los recursos de casación y extraordinario por infracción procesal contra la sentencia dictada en apelación, no tiene en cuenta las posibilidades reales de procedencia de tales recursos en el caso concreto, habida cuenta su regulación legal, lo que conlleva la vulneración del derecho a la tutela judicial efectiva, conforme a la doctrina constitucional citada (SSTC 91/2015, FJ 2; 142/2015, FJ 4, y 143/2020, FJ 4).</w:t>
      </w:r>
    </w:p>
    <w:p w14:paraId="12B3B830" w14:textId="77777777" w:rsidR="00A8138F" w:rsidRDefault="00A8138F" w:rsidP="00A8138F">
      <w:pPr>
        <w:pStyle w:val="TextoNormal"/>
      </w:pPr>
    </w:p>
    <w:p w14:paraId="3479A20E" w14:textId="77777777" w:rsidR="00A8138F" w:rsidRDefault="00A8138F" w:rsidP="00A8138F">
      <w:pPr>
        <w:pStyle w:val="TextoNormal"/>
      </w:pPr>
      <w:r>
        <w:t>Tampoco satisface las exigencias de motivación razonable el otro argumento en el que el órgano judicial sustenta en su providencia de 16 de mayo de 2023 la inadmisión del incidente de nulidad, esto es, que la denunciada lesión del derecho a la tutela judicial efectiva (en relación con el rechazo de la falta de acreditación de la representación procesal de la entidad apelante, por caducidad del poder general para pleitos) no procedería en ningún caso de la sentencia dictada en apelación, por haberse alegado previamente en el proceso.</w:t>
      </w:r>
    </w:p>
    <w:p w14:paraId="067C0813" w14:textId="77777777" w:rsidR="00A8138F" w:rsidRDefault="00A8138F" w:rsidP="00A8138F">
      <w:pPr>
        <w:pStyle w:val="TextoNormal"/>
      </w:pPr>
    </w:p>
    <w:p w14:paraId="6CD6E6F9" w14:textId="77777777" w:rsidR="00A8138F" w:rsidRDefault="00A8138F" w:rsidP="00A8138F">
      <w:pPr>
        <w:pStyle w:val="TextoNormal"/>
      </w:pPr>
      <w:r>
        <w:t>Tal aserto supone obviar que es la sentencia de segunda instancia, que pone fin a la vía judicial, la que, descartando el alegato del ahora demandante de amparo sobre la falta de representación procesal de la entidad apelante, estima parcialmente el recurso de apelación de esta, revocando la sentencia de instancia, con estimación en parte de la demanda de la actora, lo que supone la condena a aquel al pago de la cantidad fijada en la sentencia de apelación. Dicho de otro modo, la eventual lesión del derecho a la tutela judicial efectiva (art. 24.1 CE) del apelado por el motivo indicado habría sido causada por la sentencia dictada en apelación, por lo que el incidente de nulidad de actuaciones (art. 241 LOPJ) se revela como remedio procesal procedente para denunciar esa pretendida lesión y para su reparación por el órgano judicial, en su caso.</w:t>
      </w:r>
    </w:p>
    <w:p w14:paraId="279A0751" w14:textId="77777777" w:rsidR="00A8138F" w:rsidRDefault="00A8138F" w:rsidP="00A8138F">
      <w:pPr>
        <w:pStyle w:val="TextoNormal"/>
      </w:pPr>
    </w:p>
    <w:p w14:paraId="6A8FA889" w14:textId="2F0A5EF0" w:rsidR="00A8138F" w:rsidRDefault="00A8138F" w:rsidP="00A8138F">
      <w:pPr>
        <w:pStyle w:val="TextoNormal"/>
      </w:pPr>
      <w:r>
        <w:t>Procede, en consecuencia, el otorgamiento del amparo, al apreciarse que las resoluciones judiciales impugnadas han vulnerado el derecho a la tutela judicial efectiva del recurrente.</w:t>
      </w:r>
    </w:p>
    <w:p w14:paraId="73BE34B0" w14:textId="77777777" w:rsidR="00A8138F" w:rsidRDefault="00A8138F" w:rsidP="00A8138F">
      <w:pPr>
        <w:pStyle w:val="TextoNormal"/>
      </w:pPr>
    </w:p>
    <w:p w14:paraId="7D2EF035" w14:textId="77777777" w:rsidR="00A8138F" w:rsidRDefault="00A8138F" w:rsidP="00A8138F">
      <w:pPr>
        <w:pStyle w:val="TextoNormalCentrado"/>
        <w:keepNext/>
      </w:pPr>
      <w:r>
        <w:lastRenderedPageBreak/>
        <w:t>FALLO</w:t>
      </w:r>
    </w:p>
    <w:p w14:paraId="64EB7DD5" w14:textId="39473E54" w:rsidR="00A8138F" w:rsidRDefault="00A8138F" w:rsidP="00A8138F">
      <w:pPr>
        <w:pStyle w:val="TextoNormalCentrado"/>
        <w:keepNext/>
      </w:pPr>
    </w:p>
    <w:p w14:paraId="22347A78"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Francisco Javier Pulgarín Milara y, en su virtud:</w:t>
      </w:r>
    </w:p>
    <w:p w14:paraId="2551E03C" w14:textId="77777777" w:rsidR="00A8138F" w:rsidRDefault="00A8138F" w:rsidP="00A8138F">
      <w:pPr>
        <w:pStyle w:val="TextoNormal"/>
      </w:pPr>
    </w:p>
    <w:p w14:paraId="7274F37C" w14:textId="77777777" w:rsidR="00A8138F" w:rsidRDefault="00A8138F" w:rsidP="00A8138F">
      <w:pPr>
        <w:pStyle w:val="TextoNormal"/>
      </w:pPr>
      <w:r>
        <w:t>1º Declarar que ha sido vulnerado su derecho fundamental a la tutela judicial efectiva (art. 24.1 CE).</w:t>
      </w:r>
    </w:p>
    <w:p w14:paraId="260A2A77" w14:textId="77777777" w:rsidR="00A8138F" w:rsidRDefault="00A8138F" w:rsidP="00A8138F">
      <w:pPr>
        <w:pStyle w:val="TextoNormal"/>
      </w:pPr>
    </w:p>
    <w:p w14:paraId="7BE387F8" w14:textId="77777777" w:rsidR="00A8138F" w:rsidRDefault="00A8138F" w:rsidP="00A8138F">
      <w:pPr>
        <w:pStyle w:val="TextoNormal"/>
      </w:pPr>
      <w:r>
        <w:t>2º Restablecerle en su derecho y, en consecuencia, anular las providencias dictadas el 16 y el 24 de mayo de 2023 por la Sección Undécima de la Audiencia Provincial de Barcelona en el recurso de apelación núm. 838-2021.</w:t>
      </w:r>
    </w:p>
    <w:p w14:paraId="67399DCD" w14:textId="77777777" w:rsidR="00A8138F" w:rsidRDefault="00A8138F" w:rsidP="00A8138F">
      <w:pPr>
        <w:pStyle w:val="TextoNormal"/>
      </w:pPr>
    </w:p>
    <w:p w14:paraId="1A250FBC" w14:textId="2C789E4F" w:rsidR="00A8138F" w:rsidRDefault="00A8138F" w:rsidP="00A8138F">
      <w:pPr>
        <w:pStyle w:val="TextoNormal"/>
      </w:pPr>
      <w:r>
        <w:t>3º Retrotraer el procedimiento al momento inmediatamente anterior al dictado de la providencia de 16 de mayo de 2023, para que la Sección Undécima de la Audiencia Provincial de Barcelona dicte nueva resolución que resulte respetuosa con el derecho fundamental vulnerado.</w:t>
      </w:r>
    </w:p>
    <w:p w14:paraId="75E9E56F" w14:textId="77777777" w:rsidR="00A8138F" w:rsidRDefault="00A8138F" w:rsidP="00A8138F">
      <w:pPr>
        <w:pStyle w:val="TextoNormal"/>
      </w:pPr>
    </w:p>
    <w:p w14:paraId="37CB9337" w14:textId="77777777" w:rsidR="00A8138F" w:rsidRDefault="00A8138F" w:rsidP="00A8138F">
      <w:pPr>
        <w:pStyle w:val="TextoNormal"/>
      </w:pPr>
      <w:r>
        <w:t>Publíquese esta sentencia en el “Boletín Oficial del Estado”.</w:t>
      </w:r>
    </w:p>
    <w:p w14:paraId="58CE44C8" w14:textId="77777777" w:rsidR="00A8138F" w:rsidRDefault="00A8138F" w:rsidP="00A8138F">
      <w:pPr>
        <w:pStyle w:val="TextoNormal"/>
      </w:pPr>
      <w:r>
        <w:t>Dada en Madrid, a veintisiete de enero de dos mil veinticinco.</w:t>
      </w:r>
    </w:p>
    <w:p w14:paraId="14A2550F" w14:textId="32A5E3D0" w:rsidR="00A8138F" w:rsidRDefault="00A8138F">
      <w:pPr>
        <w:spacing w:after="160" w:line="278" w:lineRule="auto"/>
        <w:rPr>
          <w:rFonts w:ascii="Times New Roman" w:eastAsia="Times New Roman" w:hAnsi="Times New Roman" w:cs="Times New Roman"/>
          <w:sz w:val="24"/>
          <w:szCs w:val="24"/>
          <w:lang w:eastAsia="es-ES"/>
        </w:rPr>
      </w:pPr>
      <w:r>
        <w:br w:type="page"/>
      </w:r>
    </w:p>
    <w:p w14:paraId="6484F237" w14:textId="77777777" w:rsidR="00A8138F" w:rsidRDefault="00A8138F" w:rsidP="00A8138F">
      <w:pPr>
        <w:pStyle w:val="TtuloResolucin"/>
      </w:pPr>
      <w:bookmarkStart w:id="19" w:name="SENTENCIA_2025_17"/>
      <w:r>
        <w:lastRenderedPageBreak/>
        <w:t>SENTENCIA 17/2025, de 27 de enero de 2025</w:t>
      </w:r>
    </w:p>
    <w:bookmarkEnd w:id="19"/>
    <w:p w14:paraId="426BE68C" w14:textId="77777777" w:rsidR="00A8138F" w:rsidRDefault="00A8138F" w:rsidP="00A8138F">
      <w:pPr>
        <w:pStyle w:val="TtuloResolucin"/>
      </w:pPr>
      <w:r>
        <w:t>Sala Segunda</w:t>
      </w:r>
    </w:p>
    <w:p w14:paraId="733492DD" w14:textId="77777777" w:rsidR="00A8138F" w:rsidRDefault="00A8138F" w:rsidP="00A8138F">
      <w:pPr>
        <w:pStyle w:val="TtuloBOE"/>
      </w:pPr>
      <w:r>
        <w:t>(BOE núm. 51, de 28 de febrero de 2025)</w:t>
      </w:r>
    </w:p>
    <w:p w14:paraId="6315EA83" w14:textId="77777777" w:rsidR="00A8138F" w:rsidRDefault="00A8138F" w:rsidP="00A8138F">
      <w:pPr>
        <w:pStyle w:val="TextoNormalCentrado"/>
      </w:pPr>
      <w:r>
        <w:t>ECLI:ES:TC:2025:17</w:t>
      </w:r>
    </w:p>
    <w:p w14:paraId="02E13221" w14:textId="144CD862" w:rsidR="00A8138F" w:rsidRDefault="00A8138F" w:rsidP="00A8138F">
      <w:pPr>
        <w:pStyle w:val="TextoNormalCentrado"/>
      </w:pPr>
    </w:p>
    <w:p w14:paraId="77D5E79F" w14:textId="77777777" w:rsidR="00A8138F" w:rsidRDefault="00A8138F" w:rsidP="00A8138F">
      <w:pPr>
        <w:pStyle w:val="SntesisDescriptiva"/>
      </w:pPr>
      <w:r>
        <w:t>Recurso de amparo 4828-2023. Promovido por doña Vanesa Alejandra Jiménez Serrano en relación con las resoluciones administrativas y judiciales que desestimaron su petición de revisión y ampliación de la prestación por nacimiento y cuidado de hijo menor, como madre biológica de familia monoparental.</w:t>
      </w:r>
    </w:p>
    <w:p w14:paraId="66C2B249" w14:textId="39AE894B" w:rsidR="00A8138F" w:rsidRDefault="00A8138F" w:rsidP="00A8138F">
      <w:pPr>
        <w:pStyle w:val="SntesisDescriptiva"/>
      </w:pPr>
    </w:p>
    <w:p w14:paraId="65D40B5E"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BFB657D" w14:textId="0C70FE2F" w:rsidR="00A8138F" w:rsidRDefault="00A8138F" w:rsidP="00A8138F">
      <w:pPr>
        <w:pStyle w:val="SntesisAnaltica"/>
      </w:pPr>
    </w:p>
    <w:p w14:paraId="7B8D4F63" w14:textId="772B802C"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085E3BB5" w14:textId="77777777" w:rsidR="00A8138F" w:rsidRDefault="00A8138F" w:rsidP="00A8138F">
      <w:pPr>
        <w:pStyle w:val="Extracto"/>
      </w:pPr>
    </w:p>
    <w:p w14:paraId="081D5D9F" w14:textId="77777777" w:rsidR="00A8138F" w:rsidRDefault="00A8138F" w:rsidP="00A8138F">
      <w:pPr>
        <w:pStyle w:val="Extracto"/>
      </w:pPr>
    </w:p>
    <w:p w14:paraId="244F9058"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32A652F" w14:textId="5BB405CE" w:rsidR="00A8138F" w:rsidRDefault="00A8138F" w:rsidP="00A8138F">
      <w:pPr>
        <w:pStyle w:val="TextoNormal"/>
      </w:pPr>
    </w:p>
    <w:p w14:paraId="0643A41B" w14:textId="77777777" w:rsidR="00A8138F" w:rsidRDefault="00A8138F" w:rsidP="00A8138F">
      <w:pPr>
        <w:pStyle w:val="TextoNormalCentrado"/>
        <w:keepNext/>
      </w:pPr>
      <w:r>
        <w:t>EN NOMBRE DEL REY</w:t>
      </w:r>
    </w:p>
    <w:p w14:paraId="57B32FC7" w14:textId="103CC44E" w:rsidR="00A8138F" w:rsidRDefault="00A8138F" w:rsidP="00A8138F">
      <w:pPr>
        <w:pStyle w:val="TextoNormalCentrado"/>
        <w:keepNext/>
      </w:pPr>
    </w:p>
    <w:p w14:paraId="21472542" w14:textId="77777777" w:rsidR="00A8138F" w:rsidRDefault="00A8138F" w:rsidP="00A8138F">
      <w:pPr>
        <w:pStyle w:val="TextoNormalCentrado"/>
        <w:keepNext/>
      </w:pPr>
    </w:p>
    <w:p w14:paraId="41DE37FD" w14:textId="77777777" w:rsidR="00A8138F" w:rsidRDefault="00A8138F" w:rsidP="00A8138F">
      <w:pPr>
        <w:pStyle w:val="TextoNormal"/>
      </w:pPr>
      <w:r>
        <w:t>la siguiente</w:t>
      </w:r>
    </w:p>
    <w:p w14:paraId="2F6D4518" w14:textId="0E00703B" w:rsidR="00A8138F" w:rsidRDefault="00A8138F" w:rsidP="00A8138F">
      <w:pPr>
        <w:pStyle w:val="TextoNormal"/>
      </w:pPr>
    </w:p>
    <w:p w14:paraId="3147D30D" w14:textId="77777777" w:rsidR="00A8138F" w:rsidRDefault="00A8138F" w:rsidP="00A8138F">
      <w:pPr>
        <w:pStyle w:val="TextoNormalCentrado"/>
        <w:keepNext/>
      </w:pPr>
      <w:r>
        <w:t>SENTENCIA</w:t>
      </w:r>
    </w:p>
    <w:p w14:paraId="77955687" w14:textId="3725695D" w:rsidR="00A8138F" w:rsidRDefault="00A8138F" w:rsidP="00A8138F">
      <w:pPr>
        <w:pStyle w:val="TextoNormalCentrado"/>
        <w:keepNext/>
      </w:pPr>
    </w:p>
    <w:p w14:paraId="21CC5C15" w14:textId="77777777" w:rsidR="00A8138F" w:rsidRDefault="00A8138F" w:rsidP="00A8138F">
      <w:pPr>
        <w:pStyle w:val="TextoNormal"/>
      </w:pPr>
      <w:r>
        <w:t>En el recurso de amparo núm. 4828-2023, promovido por doña Vanesa Alejandra Jiménez Serrano, representada por la procuradora de los tribunales doña María Isabel Torres Ruiz y asistida por la letrada doña Susana Fuentes Gómez, contra las resoluciones del Instituto Nacional de la Seguridad Social (INSS) de 29 de septiembre de 2020 y 3 de diciembre de 2020, denegatorias de la solicitud de ampliación de la prestación por nacimiento y cuidado de hijo menor como madre biológica de familia monoparental; la sentencia núm. 239/2021, de 7 de septiembre, del Juzgado de lo Social núm. 3 de Logroño (autos núm. 39-2021), que estimó parcialmente la demanda de la señora Jiménez Serrano, reconociéndole el derecho a complementar la prestación de maternidad con ocho semanas adicionales; la sentencia núm. 142/2022, de 13 de junio, de la Sala de lo Social del Tribunal Superior de Justicia de La Rioja (recurso de suplicación núm. 191-2021), que estimó el recurso de suplicación interpuesto por la representación del INSS y la Tesorería General de la Seguridad Social (TGSS); y el auto 7 de junio de 2023 de la Sala de lo Social del Tribunal Supremo (recurso de casación para la unificación de doctrina núm. 4279-2022), que inadmitió el re</w:t>
      </w:r>
      <w:r>
        <w:lastRenderedPageBreak/>
        <w:t>curso presentado por la señora Jiménez Serrano frente a la anterior sentencia. Han intervenido la letrada de la Administración de la Seguridad Social, en nombre del INSS y la TGSS, y el Ministerio Fiscal. Ha sido ponente el magistrado don Ramón Sáez Valcárcel.</w:t>
      </w:r>
    </w:p>
    <w:p w14:paraId="69DAE788" w14:textId="4682C500" w:rsidR="00A8138F" w:rsidRDefault="00A8138F" w:rsidP="00A8138F">
      <w:pPr>
        <w:pStyle w:val="TextoNormal"/>
      </w:pPr>
    </w:p>
    <w:p w14:paraId="2E5348D1" w14:textId="77777777" w:rsidR="00A8138F" w:rsidRDefault="00A8138F" w:rsidP="00A8138F">
      <w:pPr>
        <w:pStyle w:val="TextoNormalNegritaCentrado"/>
        <w:keepNext/>
      </w:pPr>
      <w:r>
        <w:t>I. Antecedentes</w:t>
      </w:r>
    </w:p>
    <w:p w14:paraId="4BCE4D88" w14:textId="4481457B" w:rsidR="00A8138F" w:rsidRDefault="00A8138F" w:rsidP="00A8138F">
      <w:pPr>
        <w:pStyle w:val="TextoNormalNegritaCentrado"/>
        <w:keepNext/>
      </w:pPr>
    </w:p>
    <w:p w14:paraId="3909B3D0" w14:textId="7E3E43E2" w:rsidR="00A8138F" w:rsidRDefault="00A8138F" w:rsidP="00A8138F">
      <w:pPr>
        <w:pStyle w:val="TextoNormal"/>
      </w:pPr>
      <w:r w:rsidRPr="00A8138F">
        <w:rPr>
          <w:rStyle w:val="NumeroAFNegritaCaracter"/>
        </w:rPr>
        <w:t>1</w:t>
      </w:r>
      <w:r>
        <w:t>. Mediante escrito registrado en este tribunal el 11 de julio de 2023, la representante procesal de doña Vanesa Alejandra Jiménez Serrano, bajo la dirección letrada de doña Susana Fuentes Gómez, interpuso recurso de amparo contra las resoluciones administrativas y judiciales a las que se ha hecho referencia en el encabezamiento de esta sentencia.</w:t>
      </w:r>
    </w:p>
    <w:p w14:paraId="04A8F4DC" w14:textId="77777777" w:rsidR="00A8138F" w:rsidRDefault="00A8138F" w:rsidP="00A8138F">
      <w:pPr>
        <w:pStyle w:val="TextoNormal"/>
      </w:pPr>
    </w:p>
    <w:p w14:paraId="361B2D4B"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24E68C5F" w14:textId="77777777" w:rsidR="00A8138F" w:rsidRDefault="00A8138F" w:rsidP="00A8138F">
      <w:pPr>
        <w:pStyle w:val="TextoNormal"/>
      </w:pPr>
    </w:p>
    <w:p w14:paraId="0C4A5BF1" w14:textId="77777777" w:rsidR="00A8138F" w:rsidRDefault="00A8138F" w:rsidP="00A8138F">
      <w:pPr>
        <w:pStyle w:val="TextoNormal"/>
      </w:pPr>
      <w:r>
        <w:t>a) La señora Jiménez Serrano es madre biológica de un niño, nacido el 13 de agosto de 2020, con quien forma una familia monoparental. Por resolución de 29 de septiembre de 2020 le fue reconocido por el INSS el derecho a la prestación de nacimiento y cuidado de menor por el período comprendido entre el 13 de agosto y el 2 de diciembre de 2020 (dieciséis semanas). El 2 de diciembre de 2020 presentó reclamación previa, en la que solicitó la ampliación de su permiso en diez-doce semanas más, añadiendo al período ya reconocido el que consideraba hubiera correspondido al segundo progenitor en el supuesto de una familia biparental, que fue desestimada por resolución fechada el 3 de diciembre de 2020.</w:t>
      </w:r>
    </w:p>
    <w:p w14:paraId="2CF2AC1C" w14:textId="77777777" w:rsidR="00A8138F" w:rsidRDefault="00A8138F" w:rsidP="00A8138F">
      <w:pPr>
        <w:pStyle w:val="TextoNormal"/>
      </w:pPr>
    </w:p>
    <w:p w14:paraId="3948CD13" w14:textId="77777777" w:rsidR="00A8138F" w:rsidRDefault="00A8138F" w:rsidP="00A8138F">
      <w:pPr>
        <w:pStyle w:val="TextoNormal"/>
      </w:pPr>
      <w:r>
        <w:t>b) Frente a la desestimación de la reclamación, la recurrente en amparo formuló demanda ante la jurisdicción social, que fue estimada por sentencia de 7 de septiembre de 2021 del Juzgado de lo Social núm. 3 de Logroño (autos núm. 39-2021), que extendió la prestación por nacimiento en ocho semanas.</w:t>
      </w:r>
    </w:p>
    <w:p w14:paraId="6D97AE8D" w14:textId="77777777" w:rsidR="00A8138F" w:rsidRDefault="00A8138F" w:rsidP="00A8138F">
      <w:pPr>
        <w:pStyle w:val="TextoNormal"/>
      </w:pPr>
    </w:p>
    <w:p w14:paraId="53225F70" w14:textId="77777777" w:rsidR="00A8138F" w:rsidRDefault="00A8138F" w:rsidP="00A8138F">
      <w:pPr>
        <w:pStyle w:val="TextoNormal"/>
      </w:pPr>
      <w:r>
        <w:t>c) La demandante y la representación del INSS y la TGSS presentaron recurso de suplicación contra dicha sentencia. Por sentencia de 13 de junio de 2022 de la Sala de lo Social del Tribunal Superior de Justicia de La Rioja (recurso de suplicación núm. 191-2021) se desestimó el recurso de la señora Jiménez Serrano y se estimó el del INSS y la TGSS, revocándose la sentencia de instancia.</w:t>
      </w:r>
    </w:p>
    <w:p w14:paraId="62FC331C" w14:textId="77777777" w:rsidR="00A8138F" w:rsidRDefault="00A8138F" w:rsidP="00A8138F">
      <w:pPr>
        <w:pStyle w:val="TextoNormal"/>
      </w:pPr>
    </w:p>
    <w:p w14:paraId="34E91652" w14:textId="18E72313" w:rsidR="00A8138F" w:rsidRDefault="00A8138F" w:rsidP="00A8138F">
      <w:pPr>
        <w:pStyle w:val="TextoNormal"/>
      </w:pPr>
      <w:r>
        <w:t>d) Contra la sentencia de suplicación la demandante interpuso recurso de casación para la unificación de doctrina (núm. 4279-2022), que fue inadmitido mediante auto de 7 de junio de 2023 de la Sala de lo Social del Tribunal Supremo. Se razona en este auto que el recurso carece de contenido casacional, al ser coincidente la decisión de la sentencia recurrida con la doctrina unificada por la STS 169/2023, de 2 de marzo, del Pleno de lo Social del Tribunal Supremo (ECLI:ES:TS:2023:783). En ella, según detalla el auto, se consideró que la normativa que no prevé la acumulación de prestaciones solicitada [art. 48.4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no vulnera el art. 14 CE, sin que haya precepto alguno en el Derecho de la Unión Europea u otros pactos internacionales que obligue a un específico nivel de protec</w:t>
      </w:r>
      <w:r>
        <w:lastRenderedPageBreak/>
        <w:t>ción social de las familias monoparentales, correspondiendo al legislador determinar el alcance y contenido de las prestaciones o su modificación.</w:t>
      </w:r>
    </w:p>
    <w:p w14:paraId="1113ACCC" w14:textId="77777777" w:rsidR="00A8138F" w:rsidRDefault="00A8138F" w:rsidP="00A8138F">
      <w:pPr>
        <w:pStyle w:val="TextoNormal"/>
      </w:pPr>
    </w:p>
    <w:p w14:paraId="78B9E427" w14:textId="77777777" w:rsidR="00A8138F" w:rsidRDefault="00A8138F" w:rsidP="00A8138F">
      <w:pPr>
        <w:pStyle w:val="TextoNormal"/>
      </w:pPr>
      <w:r w:rsidRPr="00A8138F">
        <w:rPr>
          <w:rStyle w:val="NumeroAFNegritaCaracter"/>
        </w:rPr>
        <w:t>3</w:t>
      </w:r>
      <w:r>
        <w:t>. La demanda de amparo se interpone contra las resoluciones administrativas y judiciales referenciadas, por entender que han incurrido en vulneración del derecho a no ser discriminado por razón de sexo y por razón de nacimiento (art. 14 CE).</w:t>
      </w:r>
    </w:p>
    <w:p w14:paraId="60E6C346" w14:textId="77777777" w:rsidR="00A8138F" w:rsidRDefault="00A8138F" w:rsidP="00A8138F">
      <w:pPr>
        <w:pStyle w:val="TextoNormal"/>
      </w:pPr>
    </w:p>
    <w:p w14:paraId="236CDC34" w14:textId="77777777" w:rsidR="00A8138F" w:rsidRDefault="00A8138F" w:rsidP="00A8138F">
      <w:pPr>
        <w:pStyle w:val="TextoNormal"/>
      </w:pPr>
      <w:r>
        <w:t>Se afirma en primer lugar que, como consecuencia de la aplicación literal por las resoluciones impugnadas en amparo de lo dispuesto en el art. 48.4 LET, en relación con el art. 177 LGSS, en la redacción dada por el Real-Decreto-ley 6/2019, de 1 de marzo, de medidas urgentes para garantía de la igualdad de trato y de oportunidades entre mujeres y hombres en el empleo y la ocupación, se ha producido una discriminación indirecta por razón de sexo, debido a que, en la mayoría de las familias monoparentales, el progenitor único es una mujer, que resulta perjudicada en comparación con las familias biparentales, en cuanto a la duración de las prestaciones por nacimiento de un hijo. Las resoluciones impugnadas deberían haber realizado una interpretación integradora de los preceptos aplicables, que salvase la omisión del legislador, para evitar que se produjera ese trato discriminatorio hacia la recurrente.</w:t>
      </w:r>
    </w:p>
    <w:p w14:paraId="5183EE88" w14:textId="77777777" w:rsidR="00A8138F" w:rsidRDefault="00A8138F" w:rsidP="00A8138F">
      <w:pPr>
        <w:pStyle w:val="TextoNormal"/>
      </w:pPr>
    </w:p>
    <w:p w14:paraId="29731E90" w14:textId="6010DA38" w:rsidR="00A8138F" w:rsidRDefault="00A8138F" w:rsidP="00A8138F">
      <w:pPr>
        <w:pStyle w:val="TextoNormal"/>
      </w:pPr>
      <w:r>
        <w:t>Asimismo, se aduce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14:paraId="1EB09B4A" w14:textId="77777777" w:rsidR="00A8138F" w:rsidRDefault="00A8138F" w:rsidP="00A8138F">
      <w:pPr>
        <w:pStyle w:val="TextoNormal"/>
      </w:pPr>
    </w:p>
    <w:p w14:paraId="1D9F7B65" w14:textId="7F8FAE52" w:rsidR="00A8138F" w:rsidRDefault="00A8138F" w:rsidP="00A8138F">
      <w:pPr>
        <w:pStyle w:val="TextoNormal"/>
      </w:pPr>
      <w:r w:rsidRPr="00A8138F">
        <w:rPr>
          <w:rStyle w:val="NumeroAFNegritaCaracter"/>
        </w:rPr>
        <w:t>4</w:t>
      </w:r>
      <w:r>
        <w:t>. Mediante providencia de 9 de septiembre de 2024, la Sección Cuarta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Sala del Tribunal Superior de Justicia y del Tribunal Supremo) para que, en el plazo de diez días, si lo desearan, pudieran comparecer en este proceso constitucional.</w:t>
      </w:r>
    </w:p>
    <w:p w14:paraId="42F973F3" w14:textId="77777777" w:rsidR="00A8138F" w:rsidRDefault="00A8138F" w:rsidP="00A8138F">
      <w:pPr>
        <w:pStyle w:val="TextoNormal"/>
      </w:pPr>
    </w:p>
    <w:p w14:paraId="58C2F037" w14:textId="313AA93D" w:rsidR="00A8138F" w:rsidRDefault="00A8138F" w:rsidP="00A8138F">
      <w:pPr>
        <w:pStyle w:val="TextoNormal"/>
      </w:pPr>
      <w:r w:rsidRPr="00A8138F">
        <w:rPr>
          <w:rStyle w:val="NumeroAFNegritaCaracter"/>
        </w:rPr>
        <w:t>5</w:t>
      </w:r>
      <w:r>
        <w:t>. Una vez la letrada de la administración de la Seguridad Social solicitó su personación en nombre del INSS y la TGSS, mediante diligencia de ordenación de 31 de octubre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14:paraId="3EBD94C6" w14:textId="77777777" w:rsidR="00A8138F" w:rsidRDefault="00A8138F" w:rsidP="00A8138F">
      <w:pPr>
        <w:pStyle w:val="TextoNormal"/>
      </w:pPr>
    </w:p>
    <w:p w14:paraId="619FFC4C" w14:textId="77777777" w:rsidR="00A8138F" w:rsidRDefault="00A8138F" w:rsidP="00A8138F">
      <w:pPr>
        <w:pStyle w:val="TextoNormal"/>
      </w:pPr>
      <w:r w:rsidRPr="00A8138F">
        <w:rPr>
          <w:rStyle w:val="NumeroAFNegritaCaracter"/>
        </w:rPr>
        <w:t>6</w:t>
      </w:r>
      <w:r>
        <w:t>. La letrada de la administración de la Seguridad Social presentó sus alegaciones el día 25 de noviembre de 2024. En ellas identifica y describe el contenido de las normas legales aplicables para la resolución de su pretensión (LGSS y LET) para señalar cuál es el sentido y alcance del permiso y la prestación por nacimiento y cuidado del menor tras su nacimiento. Subraya que su finalidad, tal y como la describe la exposición de motivos del Real Decreto-</w:t>
      </w:r>
      <w:r>
        <w:lastRenderedPageBreak/>
        <w:t>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56801178" w14:textId="77777777" w:rsidR="00A8138F" w:rsidRDefault="00A8138F" w:rsidP="00A8138F">
      <w:pPr>
        <w:pStyle w:val="TextoNormal"/>
      </w:pPr>
    </w:p>
    <w:p w14:paraId="0E6C8BF1" w14:textId="77777777" w:rsidR="00A8138F" w:rsidRDefault="00A8138F" w:rsidP="00A8138F">
      <w:pPr>
        <w:pStyle w:val="TextoNormal"/>
      </w:pPr>
      <w:r>
        <w:t>Consigna a continuación la decisión del Pleno del Tribunal Constitucional en la STC 140/2024, de 6 de noviembre,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65AACE15" w14:textId="77777777" w:rsidR="00A8138F" w:rsidRDefault="00A8138F" w:rsidP="00A8138F">
      <w:pPr>
        <w:pStyle w:val="TextoNormal"/>
      </w:pPr>
    </w:p>
    <w:p w14:paraId="6C475574" w14:textId="590CC2AB" w:rsidR="00A8138F" w:rsidRDefault="00A8138F" w:rsidP="00A8138F">
      <w:pPr>
        <w:pStyle w:val="TextoNormal"/>
      </w:pPr>
      <w:r>
        <w:t>La letrada, a la vista de lo anterior, “para evitar reiteraciones innecesarias, se ratifica en las alegaciones realizadas a lo largo de todo el procedimiento” al tiempo que sostiene que el reconocimiento de las ocho semanas adicionales “quedará supeditado al cumplimiento del resto de los requisitos legalmente establecidos para el percibo de la prestación, en los que se incluye el haber hecho efectivo el descanso, sin prestación [de] servicios por cuenta ajena ni percibir las correspondientes retribuciones”.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14:paraId="443A40B3" w14:textId="77777777" w:rsidR="00A8138F" w:rsidRDefault="00A8138F" w:rsidP="00A8138F">
      <w:pPr>
        <w:pStyle w:val="TextoNormal"/>
      </w:pPr>
    </w:p>
    <w:p w14:paraId="309FE0DD" w14:textId="0CC494C2" w:rsidR="00A8138F" w:rsidRDefault="00A8138F" w:rsidP="00A8138F">
      <w:pPr>
        <w:pStyle w:val="TextoNormal"/>
      </w:pPr>
      <w:r w:rsidRPr="00A8138F">
        <w:rPr>
          <w:rStyle w:val="NumeroAFNegritaCaracter"/>
        </w:rPr>
        <w:t>7</w:t>
      </w:r>
      <w:r>
        <w:t>. El 2 de diciembre de 2024, la representación procesal de la demandante presentó su escrito de alegaciones, poniendo de manifiesto que debe proyectarse al presente asunto lo resuelto en la STC 140/2024,  que estima la cuestión de inconstitucionalidad núm. 6694-2023 y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42AF1AED" w14:textId="77777777" w:rsidR="00A8138F" w:rsidRDefault="00A8138F" w:rsidP="00A8138F">
      <w:pPr>
        <w:pStyle w:val="TextoNormal"/>
      </w:pPr>
    </w:p>
    <w:p w14:paraId="4CE8EEA9" w14:textId="77777777" w:rsidR="00A8138F" w:rsidRDefault="00A8138F" w:rsidP="00A8138F">
      <w:pPr>
        <w:pStyle w:val="TextoNormal"/>
      </w:pPr>
      <w:r w:rsidRPr="00A8138F">
        <w:rPr>
          <w:rStyle w:val="NumeroAFNegritaCaracter"/>
        </w:rPr>
        <w:t>8</w:t>
      </w:r>
      <w:r>
        <w:t>. El día 8 de enero de 2025, el Ministerio Fiscal interesó la estimación del recurso de amparo, por considerar vulnerado el derecho fundamental de la recurrente y su hijo a la no discriminación (art. 14 CE) con apoyo en la STC 140/2024, de la que reproduce amplios extractos.</w:t>
      </w:r>
    </w:p>
    <w:p w14:paraId="1137CF95" w14:textId="77777777" w:rsidR="00A8138F" w:rsidRDefault="00A8138F" w:rsidP="00A8138F">
      <w:pPr>
        <w:pStyle w:val="TextoNormal"/>
      </w:pPr>
    </w:p>
    <w:p w14:paraId="30B9C1CF" w14:textId="7C8765FD" w:rsidR="00A8138F" w:rsidRDefault="00A8138F" w:rsidP="00A8138F">
      <w:pPr>
        <w:pStyle w:val="TextoNormal"/>
      </w:pPr>
      <w:r>
        <w:t xml:space="preserve">El fiscal rechaza que los efectos de la estimación sean los pretendidos por la demandante, esto es, la retroacción a la primera resolución dictada por el INSS, ya que la sentencia del Juzgado de lo Social núm. 3 de Logroño de 7 de septiembre de 2021, no vulneró el derecho de la demandante y su hijo. Considera que la nulidad debe acordarse respecto de la sentencia dictada por la Sala de lo Social del Tribunal Superior de Justicia de La Rioja de 13 de junio </w:t>
      </w:r>
      <w:r>
        <w:lastRenderedPageBreak/>
        <w:t>de 2022 y, por consiguiente, del posterior auto de 7 de junio de 2023 por el que el Tribunal Supremo inadmite el recurso de casación, con retroacción al momento anterior al dictado de la sentencia por el Tribunal Superior de Justicia de La Rioja resolutoria del recurso de suplicación.</w:t>
      </w:r>
    </w:p>
    <w:p w14:paraId="212BA4DE" w14:textId="77777777" w:rsidR="00A8138F" w:rsidRDefault="00A8138F" w:rsidP="00A8138F">
      <w:pPr>
        <w:pStyle w:val="TextoNormal"/>
      </w:pPr>
    </w:p>
    <w:p w14:paraId="722DBCC5" w14:textId="5FAFC6D4" w:rsidR="00A8138F" w:rsidRDefault="00A8138F" w:rsidP="00A8138F">
      <w:pPr>
        <w:pStyle w:val="TextoNormal"/>
      </w:pPr>
      <w:r w:rsidRPr="00A8138F">
        <w:rPr>
          <w:rStyle w:val="NumeroAFNegritaCaracter"/>
        </w:rPr>
        <w:t>9</w:t>
      </w:r>
      <w:r>
        <w:t>. Mediante providencia de 23 de enero de 2025, se señaló para deliberación y votación de la presente sentencia el día 27 del mismo mes y año.</w:t>
      </w:r>
    </w:p>
    <w:p w14:paraId="3B942D62" w14:textId="77777777" w:rsidR="00A8138F" w:rsidRDefault="00A8138F" w:rsidP="00A8138F">
      <w:pPr>
        <w:pStyle w:val="TextoNormal"/>
      </w:pPr>
    </w:p>
    <w:p w14:paraId="6C5840D6" w14:textId="77777777" w:rsidR="00A8138F" w:rsidRDefault="00A8138F" w:rsidP="00A8138F">
      <w:pPr>
        <w:pStyle w:val="TextoNormalNegritaCentrado"/>
        <w:keepNext/>
      </w:pPr>
      <w:r>
        <w:t>II. Fundamentos jurídicos</w:t>
      </w:r>
    </w:p>
    <w:p w14:paraId="4AF64FDC" w14:textId="66628369" w:rsidR="00A8138F" w:rsidRDefault="00A8138F" w:rsidP="00A8138F">
      <w:pPr>
        <w:pStyle w:val="TextoNormalNegritaCentrado"/>
        <w:keepNext/>
      </w:pPr>
    </w:p>
    <w:p w14:paraId="0303ED29"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52512F5C" w14:textId="77777777" w:rsidR="00A8138F" w:rsidRDefault="00A8138F" w:rsidP="00A8138F">
      <w:pPr>
        <w:pStyle w:val="TextoNormal"/>
      </w:pPr>
    </w:p>
    <w:p w14:paraId="676B96CC" w14:textId="77777777" w:rsidR="00A8138F" w:rsidRDefault="00A8138F" w:rsidP="00A8138F">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79462778" w14:textId="77777777" w:rsidR="00A8138F" w:rsidRDefault="00A8138F" w:rsidP="00A8138F">
      <w:pPr>
        <w:pStyle w:val="TextoNormal"/>
      </w:pPr>
    </w:p>
    <w:p w14:paraId="40B2CFCF"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3ECB4A3C" w14:textId="77777777" w:rsidR="00A8138F" w:rsidRDefault="00A8138F" w:rsidP="00A8138F">
      <w:pPr>
        <w:pStyle w:val="TextoNormal"/>
      </w:pPr>
    </w:p>
    <w:p w14:paraId="406A0A07"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109F39E" w14:textId="77777777" w:rsidR="00A8138F" w:rsidRDefault="00A8138F" w:rsidP="00A8138F">
      <w:pPr>
        <w:pStyle w:val="TextoNormal"/>
      </w:pPr>
    </w:p>
    <w:p w14:paraId="6F94ED75" w14:textId="77777777" w:rsidR="00A8138F" w:rsidRDefault="00A8138F" w:rsidP="00A8138F">
      <w:pPr>
        <w:pStyle w:val="TextoNormal"/>
      </w:pPr>
      <w:r>
        <w:lastRenderedPageBreak/>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5CEC6A3B" w14:textId="77777777" w:rsidR="00A8138F" w:rsidRDefault="00A8138F" w:rsidP="00A8138F">
      <w:pPr>
        <w:pStyle w:val="TextoNormal"/>
      </w:pPr>
    </w:p>
    <w:p w14:paraId="16AFC71C" w14:textId="7E47448E"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9E46211" w14:textId="77777777" w:rsidR="00A8138F" w:rsidRDefault="00A8138F" w:rsidP="00A8138F">
      <w:pPr>
        <w:pStyle w:val="TextoNormal"/>
      </w:pPr>
    </w:p>
    <w:p w14:paraId="3EAACA97" w14:textId="77777777" w:rsidR="00A8138F" w:rsidRDefault="00A8138F" w:rsidP="00A8138F">
      <w:pPr>
        <w:pStyle w:val="TextoNormalCentrado"/>
        <w:keepNext/>
      </w:pPr>
      <w:r>
        <w:t>FALLO</w:t>
      </w:r>
    </w:p>
    <w:p w14:paraId="33D9B4A4" w14:textId="41F3BD1D" w:rsidR="00A8138F" w:rsidRDefault="00A8138F" w:rsidP="00A8138F">
      <w:pPr>
        <w:pStyle w:val="TextoNormalCentrado"/>
        <w:keepNext/>
      </w:pPr>
    </w:p>
    <w:p w14:paraId="637B31E4"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Vanesa Alejandra Jiménez Serrano y, en su virtud:</w:t>
      </w:r>
    </w:p>
    <w:p w14:paraId="1700B908" w14:textId="77777777" w:rsidR="00A8138F" w:rsidRDefault="00A8138F" w:rsidP="00A8138F">
      <w:pPr>
        <w:pStyle w:val="TextoNormal"/>
      </w:pPr>
    </w:p>
    <w:p w14:paraId="1DF5F00D" w14:textId="77777777" w:rsidR="00A8138F" w:rsidRDefault="00A8138F" w:rsidP="00A8138F">
      <w:pPr>
        <w:pStyle w:val="TextoNormal"/>
      </w:pPr>
      <w:r>
        <w:t>1º Declarar vulnerado su derecho fundamental a la igualdad ante la ley, sin que pueda prevalecer discriminación alguna (art. 14 CE).</w:t>
      </w:r>
    </w:p>
    <w:p w14:paraId="48F19F0C" w14:textId="77777777" w:rsidR="00A8138F" w:rsidRDefault="00A8138F" w:rsidP="00A8138F">
      <w:pPr>
        <w:pStyle w:val="TextoNormal"/>
      </w:pPr>
    </w:p>
    <w:p w14:paraId="452170F8" w14:textId="77777777" w:rsidR="00A8138F" w:rsidRDefault="00A8138F" w:rsidP="00A8138F">
      <w:pPr>
        <w:pStyle w:val="TextoNormal"/>
      </w:pPr>
      <w:r>
        <w:t>2º Restablecerla en su derecho y, en consecuencia, declarar la nulidad de la resolución del Instituto Nacional de la Seguridad Social de 3 de diciembre de 2020, la sentencia de 7 de septiembre de 2021 dictada por el Juzgado de lo Social núm. 3 de Logroño en los autos núm. 39-2021, la sentencia de 13 de junio de 2022 dictada por la Sala de lo Social del Tribunal Superior de Justicia de La Rioja en el recurso de suplicación núm. 191-2021, y el auto de 7 de junio 2023 de la Sala de lo Social del Tribunal Supremo, que inadmite el recurso de casación para la unificación de doctrina núm. 4279-2022, presentado contra la anterior sentencia.</w:t>
      </w:r>
    </w:p>
    <w:p w14:paraId="70AA5EE4" w14:textId="77777777" w:rsidR="00A8138F" w:rsidRDefault="00A8138F" w:rsidP="00A8138F">
      <w:pPr>
        <w:pStyle w:val="TextoNormal"/>
      </w:pPr>
    </w:p>
    <w:p w14:paraId="5758956B" w14:textId="560527F8" w:rsidR="00A8138F" w:rsidRDefault="00A8138F" w:rsidP="00A8138F">
      <w:pPr>
        <w:pStyle w:val="TextoNormal"/>
      </w:pPr>
      <w:r>
        <w:t>3º Retrotraer las actuaciones al momento previo al dictado de la resolución de 3 de diciembre de 2020 a fin de que, en los términos expuestos en el último párrafo del fundamento jurídico único de la presente sentencia, se dicte otra respetuosa con el derecho fundamental vulnerado.</w:t>
      </w:r>
    </w:p>
    <w:p w14:paraId="5B4AE57C" w14:textId="77777777" w:rsidR="00A8138F" w:rsidRDefault="00A8138F" w:rsidP="00A8138F">
      <w:pPr>
        <w:pStyle w:val="TextoNormal"/>
      </w:pPr>
    </w:p>
    <w:p w14:paraId="0CE857AB" w14:textId="77777777" w:rsidR="00A8138F" w:rsidRDefault="00A8138F" w:rsidP="00A8138F">
      <w:pPr>
        <w:pStyle w:val="TextoNormal"/>
      </w:pPr>
      <w:r>
        <w:t>Publíquese esta sentencia en el “Boletín Oficial del Estado”.</w:t>
      </w:r>
    </w:p>
    <w:p w14:paraId="3A73E77D" w14:textId="77777777" w:rsidR="00A8138F" w:rsidRDefault="00A8138F" w:rsidP="00A8138F">
      <w:pPr>
        <w:pStyle w:val="TextoNormal"/>
      </w:pPr>
      <w:r>
        <w:t>Dada en Madrid, a veintisiete de enero de dos mil veinticinco.</w:t>
      </w:r>
    </w:p>
    <w:p w14:paraId="75FF3FFF" w14:textId="5C470994" w:rsidR="00A8138F" w:rsidRDefault="00A8138F">
      <w:pPr>
        <w:spacing w:after="160" w:line="278" w:lineRule="auto"/>
        <w:rPr>
          <w:rFonts w:ascii="Times New Roman" w:eastAsia="Times New Roman" w:hAnsi="Times New Roman" w:cs="Times New Roman"/>
          <w:sz w:val="24"/>
          <w:szCs w:val="24"/>
          <w:lang w:eastAsia="es-ES"/>
        </w:rPr>
      </w:pPr>
      <w:r>
        <w:br w:type="page"/>
      </w:r>
    </w:p>
    <w:p w14:paraId="20D28C95" w14:textId="77777777" w:rsidR="00A8138F" w:rsidRDefault="00A8138F" w:rsidP="00A8138F">
      <w:pPr>
        <w:pStyle w:val="TtuloResolucin"/>
      </w:pPr>
      <w:bookmarkStart w:id="20" w:name="SENTENCIA_2025_18"/>
      <w:r>
        <w:lastRenderedPageBreak/>
        <w:t>SENTENCIA 18/2025, de 27 de enero de 2025</w:t>
      </w:r>
    </w:p>
    <w:bookmarkEnd w:id="20"/>
    <w:p w14:paraId="0D1E910B" w14:textId="77777777" w:rsidR="00A8138F" w:rsidRDefault="00A8138F" w:rsidP="00A8138F">
      <w:pPr>
        <w:pStyle w:val="TtuloResolucin"/>
      </w:pPr>
      <w:r>
        <w:t>Sala Segunda</w:t>
      </w:r>
    </w:p>
    <w:p w14:paraId="666FE8CA" w14:textId="77777777" w:rsidR="00A8138F" w:rsidRDefault="00A8138F" w:rsidP="00A8138F">
      <w:pPr>
        <w:pStyle w:val="TtuloBOE"/>
      </w:pPr>
      <w:r>
        <w:t>(BOE núm. 51, de 28 de febrero de 2025)</w:t>
      </w:r>
    </w:p>
    <w:p w14:paraId="469688A3" w14:textId="77777777" w:rsidR="00A8138F" w:rsidRDefault="00A8138F" w:rsidP="00A8138F">
      <w:pPr>
        <w:pStyle w:val="TextoNormalCentrado"/>
      </w:pPr>
      <w:r>
        <w:t>ECLI:ES:TC:2025:18</w:t>
      </w:r>
    </w:p>
    <w:p w14:paraId="09DCC991" w14:textId="762D655D" w:rsidR="00A8138F" w:rsidRDefault="00A8138F" w:rsidP="00A8138F">
      <w:pPr>
        <w:pStyle w:val="TextoNormalCentrado"/>
      </w:pPr>
    </w:p>
    <w:p w14:paraId="4EBC6D76" w14:textId="77777777" w:rsidR="00A8138F" w:rsidRDefault="00A8138F" w:rsidP="00A8138F">
      <w:pPr>
        <w:pStyle w:val="SntesisDescriptiva"/>
      </w:pPr>
      <w:r>
        <w:t>Recurso de amparo 5743-2023. Promovido por doña Sandra Delgado Aguiar en relación con las resoluciones administrativas y judiciales que desestimaron su petición de revisión y ampliación de la prestación por nacimiento y cuidado de hijo menor, como madre biológica de familia monoparental.</w:t>
      </w:r>
    </w:p>
    <w:p w14:paraId="4E9ABDBB" w14:textId="023BE492" w:rsidR="00A8138F" w:rsidRDefault="00A8138F" w:rsidP="00A8138F">
      <w:pPr>
        <w:pStyle w:val="SntesisDescriptiva"/>
      </w:pPr>
    </w:p>
    <w:p w14:paraId="06524D71"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C9B4140" w14:textId="1BF44D9D" w:rsidR="00A8138F" w:rsidRDefault="00A8138F" w:rsidP="00A8138F">
      <w:pPr>
        <w:pStyle w:val="SntesisAnaltica"/>
      </w:pPr>
    </w:p>
    <w:p w14:paraId="4B6D2752" w14:textId="358A46E9"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6C438B8B" w14:textId="77777777" w:rsidR="00A8138F" w:rsidRDefault="00A8138F" w:rsidP="00A8138F">
      <w:pPr>
        <w:pStyle w:val="Extracto"/>
      </w:pPr>
    </w:p>
    <w:p w14:paraId="0DCAA036" w14:textId="77777777" w:rsidR="00A8138F" w:rsidRDefault="00A8138F" w:rsidP="00A8138F">
      <w:pPr>
        <w:pStyle w:val="Extracto"/>
      </w:pPr>
    </w:p>
    <w:p w14:paraId="0599269A"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4CC7FD2" w14:textId="5DE3C212" w:rsidR="00A8138F" w:rsidRDefault="00A8138F" w:rsidP="00A8138F">
      <w:pPr>
        <w:pStyle w:val="TextoNormal"/>
      </w:pPr>
    </w:p>
    <w:p w14:paraId="66333A22" w14:textId="77777777" w:rsidR="00A8138F" w:rsidRDefault="00A8138F" w:rsidP="00A8138F">
      <w:pPr>
        <w:pStyle w:val="TextoNormalCentrado"/>
        <w:keepNext/>
      </w:pPr>
      <w:r>
        <w:t>EN NOMBRE DEL REY</w:t>
      </w:r>
    </w:p>
    <w:p w14:paraId="7A9D4B8E" w14:textId="7F687A92" w:rsidR="00A8138F" w:rsidRDefault="00A8138F" w:rsidP="00A8138F">
      <w:pPr>
        <w:pStyle w:val="TextoNormalCentrado"/>
        <w:keepNext/>
      </w:pPr>
    </w:p>
    <w:p w14:paraId="736F7C5D" w14:textId="77777777" w:rsidR="00A8138F" w:rsidRDefault="00A8138F" w:rsidP="00A8138F">
      <w:pPr>
        <w:pStyle w:val="TextoNormalCentrado"/>
        <w:keepNext/>
      </w:pPr>
    </w:p>
    <w:p w14:paraId="4D1B681C" w14:textId="77777777" w:rsidR="00A8138F" w:rsidRDefault="00A8138F" w:rsidP="00A8138F">
      <w:pPr>
        <w:pStyle w:val="TextoNormal"/>
      </w:pPr>
      <w:r>
        <w:t>la siguiente</w:t>
      </w:r>
    </w:p>
    <w:p w14:paraId="39CD244F" w14:textId="0DF6B8C7" w:rsidR="00A8138F" w:rsidRDefault="00A8138F" w:rsidP="00A8138F">
      <w:pPr>
        <w:pStyle w:val="TextoNormal"/>
      </w:pPr>
    </w:p>
    <w:p w14:paraId="7C37D5CC" w14:textId="77777777" w:rsidR="00A8138F" w:rsidRDefault="00A8138F" w:rsidP="00A8138F">
      <w:pPr>
        <w:pStyle w:val="TextoNormalCentrado"/>
        <w:keepNext/>
      </w:pPr>
      <w:r>
        <w:t>SENTENCIA</w:t>
      </w:r>
    </w:p>
    <w:p w14:paraId="3C3A3874" w14:textId="20948179" w:rsidR="00A8138F" w:rsidRDefault="00A8138F" w:rsidP="00A8138F">
      <w:pPr>
        <w:pStyle w:val="TextoNormalCentrado"/>
        <w:keepNext/>
      </w:pPr>
    </w:p>
    <w:p w14:paraId="66087118" w14:textId="77777777" w:rsidR="00A8138F" w:rsidRDefault="00A8138F" w:rsidP="00A8138F">
      <w:pPr>
        <w:pStyle w:val="TextoNormal"/>
      </w:pPr>
      <w:r>
        <w:t xml:space="preserve">En el recurso de amparo núm. 5743-2023, promovido por doña Sandra Delgado Aguiar, representada por la procuradora de los tribunales doña María Isabel Torres Ruiz y asistida por la letrada doña Susana Fuentes Gómez, contra la resolución del Instituto Nacional de la Seguridad Social (INSS) de 6 de mayo de 2020 y las resoluciones presuntas denegatorias de la solicitud de ampliación de la prestación por nacimiento y cuidado de hijo menor como madre biológica de familia monoparental; la sentencia núm. 233/2021, de 26 de octubre, del Juzgado de lo Social núm. 45 de Madrid (autos núm. 612-2021), que estimó la demanda de la señora Delgado Aguiar reconociéndole el derecho a complementar la prestación de maternidad con catorce semanas adicionales; la sentencia núm. 552/2022, de 29 de septiembre, de la Sala de lo Social del Tribunal Superior de Justicia de Madrid (recurso de suplicación núm. 243-2022), que estimó el recurso de suplicación interpuesto por la representación del INSS y la Tesorería General de la Seguridad Social (TGSS); y el auto 5 de julio de 2023 de la Sala de lo Social del Tribunal Supremo (recurso de casación para la unificación de doctrina núm. 4942-2022), que inadmitió el recurso presentado por la señora Delgado Aguiar </w:t>
      </w:r>
      <w:r>
        <w:lastRenderedPageBreak/>
        <w:t>frente a la anterior sentencia. Han intervenido la letrada de la Administración de la Seguridad Social, en nombre del INSS y la TGSS, y el Ministerio Fiscal. Ha sido ponente el magistrado don Ramón Sáez Valcárcel.</w:t>
      </w:r>
    </w:p>
    <w:p w14:paraId="75118E43" w14:textId="7028BDDB" w:rsidR="00A8138F" w:rsidRDefault="00A8138F" w:rsidP="00A8138F">
      <w:pPr>
        <w:pStyle w:val="TextoNormal"/>
      </w:pPr>
    </w:p>
    <w:p w14:paraId="43AA8753" w14:textId="77777777" w:rsidR="00A8138F" w:rsidRDefault="00A8138F" w:rsidP="00A8138F">
      <w:pPr>
        <w:pStyle w:val="TextoNormalNegritaCentrado"/>
        <w:keepNext/>
      </w:pPr>
      <w:r>
        <w:t>I. Antecedentes</w:t>
      </w:r>
    </w:p>
    <w:p w14:paraId="0816D672" w14:textId="6F2D9B45" w:rsidR="00A8138F" w:rsidRDefault="00A8138F" w:rsidP="00A8138F">
      <w:pPr>
        <w:pStyle w:val="TextoNormalNegritaCentrado"/>
        <w:keepNext/>
      </w:pPr>
    </w:p>
    <w:p w14:paraId="3FC90AC1" w14:textId="21168D00" w:rsidR="00A8138F" w:rsidRDefault="00A8138F" w:rsidP="00A8138F">
      <w:pPr>
        <w:pStyle w:val="TextoNormal"/>
      </w:pPr>
      <w:r w:rsidRPr="00A8138F">
        <w:rPr>
          <w:rStyle w:val="NumeroAFNegritaCaracter"/>
        </w:rPr>
        <w:t>1</w:t>
      </w:r>
      <w:r>
        <w:t>. Mediante escrito registrado en este tribunal el 7 de septiembre de 2023, la representante procesal de doña Sandra Delgado Aguiar, bajo la dirección letrada de doña Susana Fuentes Gómez, interpuso recurso de amparo contra las resoluciones administrativas y judiciales a las que se ha hecho referencia en el encabezamiento de esta sentencia.</w:t>
      </w:r>
    </w:p>
    <w:p w14:paraId="26DF21B1" w14:textId="77777777" w:rsidR="00A8138F" w:rsidRDefault="00A8138F" w:rsidP="00A8138F">
      <w:pPr>
        <w:pStyle w:val="TextoNormal"/>
      </w:pPr>
    </w:p>
    <w:p w14:paraId="6B9ED276"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70878952" w14:textId="77777777" w:rsidR="00A8138F" w:rsidRDefault="00A8138F" w:rsidP="00A8138F">
      <w:pPr>
        <w:pStyle w:val="TextoNormal"/>
      </w:pPr>
    </w:p>
    <w:p w14:paraId="554BD64F" w14:textId="77777777" w:rsidR="00A8138F" w:rsidRDefault="00A8138F" w:rsidP="00A8138F">
      <w:pPr>
        <w:pStyle w:val="TextoNormal"/>
      </w:pPr>
      <w:r>
        <w:t>a) La señora Delgado Aguiar es madre biológica de dos niñas, nacidas el 20 de marzo de 2020, con quienes forma una familia monoparental. Por resolución de 6 de mayo de 2020 le fue reconocido por el INSS el derecho a la prestación de nacimiento y cuidado de menor por el período comprendido entre el 20 de marzo y el 30 de julio de 2020 (dieciocho semanas por parto múltiple). El 15 de diciembre de 2020 solicitó la ampliación de su permiso en doce semanas más, añadiendo al período ya reconocido el que consideraba hubiera correspondido al segundo progenitor en el supuesto de una familia biparental. La solicitud de revisión y ampliación de la prestación no fue resuelta por el INSS, lo que dio lugar a que la demandante formulase reclamación administrativa, que tampoco fue resuelta, por lo que la entendió denegada por silencio administrativo.</w:t>
      </w:r>
    </w:p>
    <w:p w14:paraId="3EDBFD9F" w14:textId="77777777" w:rsidR="00A8138F" w:rsidRDefault="00A8138F" w:rsidP="00A8138F">
      <w:pPr>
        <w:pStyle w:val="TextoNormal"/>
      </w:pPr>
    </w:p>
    <w:p w14:paraId="1FA3826B" w14:textId="77777777" w:rsidR="00A8138F" w:rsidRDefault="00A8138F" w:rsidP="00A8138F">
      <w:pPr>
        <w:pStyle w:val="TextoNormal"/>
      </w:pPr>
      <w:r>
        <w:t>b) Frente a la desestimación presunta de la reclamación de revisión de la prestación, doña Sandra Delgado Aguiar formuló demanda ante la jurisdicción social, que fue estimada por sentencia de 26 de octubre de 2021 del Juzgado de lo Social núm. 45 de Madrid (autos núm. 612-2021), que declaró “el derecho de sus hijos menores, y en consecuencia el suyo a percibir las prestaciones acumuladas por nacimiento y por cuidado durante treinta y dos semanas”, de las cuales ya han sido reconocidas dieciocho semanas de prestación, restándole catorce semanas.</w:t>
      </w:r>
    </w:p>
    <w:p w14:paraId="48B2F921" w14:textId="77777777" w:rsidR="00A8138F" w:rsidRDefault="00A8138F" w:rsidP="00A8138F">
      <w:pPr>
        <w:pStyle w:val="TextoNormal"/>
      </w:pPr>
    </w:p>
    <w:p w14:paraId="180D2967" w14:textId="77777777" w:rsidR="00A8138F" w:rsidRDefault="00A8138F" w:rsidP="00A8138F">
      <w:pPr>
        <w:pStyle w:val="TextoNormal"/>
      </w:pPr>
      <w:r>
        <w:t>c) La representación del INSS y la TGSS presentó recurso de suplicación contra dicha sentencia, que fue estimado por sentencia de 29 de septiembre de 2022 de la Sala de lo Social del Tribunal Superior de Justicia de Madrid (recurso de suplicación núm. 243-2022), que revocó la sentencia de instancia y desestimó la demanda.</w:t>
      </w:r>
    </w:p>
    <w:p w14:paraId="538EDC88" w14:textId="77777777" w:rsidR="00A8138F" w:rsidRDefault="00A8138F" w:rsidP="00A8138F">
      <w:pPr>
        <w:pStyle w:val="TextoNormal"/>
      </w:pPr>
    </w:p>
    <w:p w14:paraId="2B2639B1" w14:textId="279701E3" w:rsidR="00A8138F" w:rsidRDefault="00A8138F" w:rsidP="00A8138F">
      <w:pPr>
        <w:pStyle w:val="TextoNormal"/>
      </w:pPr>
      <w:r>
        <w:t xml:space="preserve">d) Contra la sentencia de suplicación la demandante interpuso recurso de casación para la unificación de doctrina (núm. 4942-2022), que fue inadmitido mediante auto de 5 de julio de 2023 de la Sala de lo Social del Tribunal Supremo. Se razona en este auto que el recurso carece de contenido casacional, ya que la STS 169/2023, de 2 de marzo, del Pleno de lo Social del Tribunal Supremo (ECLI:ES:TS:2023:783) “ha resuelto que las familias monoparentales no tienen derecho a la acumulación de prestaciones aquí solicitada, ya que ni se establece en la ley vigente [art. 48.4 del texto refundido de la Ley del estatuto de los trabajadores, aprobado por el Real Decreto Legislativo 2/2015, de 23 de octubre (en adelante </w:t>
      </w:r>
      <w:r>
        <w:lastRenderedPageBreak/>
        <w:t>LET)] y arts. 177 y ss. del texto refundido de la Ley general de la Seguridad Social aprobado por el Real Decreto Legislativo 8/2015, de 30 de octubre (en adelante LGSS)] que cumple las exigencias del Derecho de la Unión Europea, ni tampoco se deduce de la Constitución, ni de los acuerdos y tratados internacionales firmados por España, correspondiendo al legislador —y no a los tribunales— determinar el alcance y contenido de la protección que deba dispensarse a este tipo de familias”.</w:t>
      </w:r>
    </w:p>
    <w:p w14:paraId="40882F33" w14:textId="77777777" w:rsidR="00A8138F" w:rsidRDefault="00A8138F" w:rsidP="00A8138F">
      <w:pPr>
        <w:pStyle w:val="TextoNormal"/>
      </w:pPr>
    </w:p>
    <w:p w14:paraId="632BCCE7" w14:textId="77777777" w:rsidR="00A8138F" w:rsidRDefault="00A8138F" w:rsidP="00A8138F">
      <w:pPr>
        <w:pStyle w:val="TextoNormal"/>
      </w:pPr>
      <w:r w:rsidRPr="00A8138F">
        <w:rPr>
          <w:rStyle w:val="NumeroAFNegritaCaracter"/>
        </w:rPr>
        <w:t>3</w:t>
      </w:r>
      <w:r>
        <w:t>. La demanda de amparo se interpone contra las resoluciones administrativas y judiciales referenciadas, por entender que han incurrido en vulneración del derecho a no ser discriminado por razón de sexo y por razón de nacimiento (art. 14 CE).</w:t>
      </w:r>
    </w:p>
    <w:p w14:paraId="730D91BA" w14:textId="77777777" w:rsidR="00A8138F" w:rsidRDefault="00A8138F" w:rsidP="00A8138F">
      <w:pPr>
        <w:pStyle w:val="TextoNormal"/>
      </w:pPr>
    </w:p>
    <w:p w14:paraId="2245EB8D" w14:textId="77777777" w:rsidR="00A8138F" w:rsidRDefault="00A8138F" w:rsidP="00A8138F">
      <w:pPr>
        <w:pStyle w:val="TextoNormal"/>
      </w:pPr>
      <w:r>
        <w:t>Se afirma en primer lugar que, como consecuencia de la aplicación literal por las resoluciones impugnadas en amparo de lo dispuesto en el art. 48.4 LET, en relación con el art. 177 LGSS, en la redacción dada por el Real Decreto-ley 6/2019, de 1 de marzo, de medidas urgentes para garantía de la igualdad de trato y de oportunidades entre mujeres y hombres en el empleo y la ocupación, se ha producido una discriminación indirecta por razón de sexo, debido a que, en la mayoría de las familias monoparentales, el progenitor único es una mujer, que resulta perjudicada en comparación con las familias biparentales, en cuanto a la duración de las prestaciones por nacimiento de un hijo. Las resoluciones impugnadas deberían haber realizado una interpretación integradora de los preceptos aplicables, que salvase la omisión del legislador, para evitar que se produjera ese trato discriminatorio hacia la recurrente.</w:t>
      </w:r>
    </w:p>
    <w:p w14:paraId="58230DA3" w14:textId="77777777" w:rsidR="00A8138F" w:rsidRDefault="00A8138F" w:rsidP="00A8138F">
      <w:pPr>
        <w:pStyle w:val="TextoNormal"/>
      </w:pPr>
    </w:p>
    <w:p w14:paraId="3FE9B6F6" w14:textId="4AB742ED" w:rsidR="00A8138F" w:rsidRDefault="00A8138F" w:rsidP="00A8138F">
      <w:pPr>
        <w:pStyle w:val="TextoNormal"/>
      </w:pPr>
      <w:r>
        <w:t>Asimismo, se aduce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14:paraId="5C9DAA53" w14:textId="77777777" w:rsidR="00A8138F" w:rsidRDefault="00A8138F" w:rsidP="00A8138F">
      <w:pPr>
        <w:pStyle w:val="TextoNormal"/>
      </w:pPr>
    </w:p>
    <w:p w14:paraId="2A95C927" w14:textId="4FC5ADF0" w:rsidR="00A8138F" w:rsidRDefault="00A8138F" w:rsidP="00A8138F">
      <w:pPr>
        <w:pStyle w:val="TextoNormal"/>
      </w:pPr>
      <w:r w:rsidRPr="00A8138F">
        <w:rPr>
          <w:rStyle w:val="NumeroAFNegritaCaracter"/>
        </w:rPr>
        <w:t>4</w:t>
      </w:r>
      <w:r>
        <w:t>. Mediante providencia de 9 de septiembre de 2024, la Sección Cuarta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Sala del Tribunal Superior de Justicia y del Tribunal Supremo) para que, en el plazo de diez días, si lo desearan, pudieran comparecer en este proceso constitucional.</w:t>
      </w:r>
    </w:p>
    <w:p w14:paraId="61B4D517" w14:textId="77777777" w:rsidR="00A8138F" w:rsidRDefault="00A8138F" w:rsidP="00A8138F">
      <w:pPr>
        <w:pStyle w:val="TextoNormal"/>
      </w:pPr>
    </w:p>
    <w:p w14:paraId="02D3F72E" w14:textId="6B2FCAFF" w:rsidR="00A8138F" w:rsidRDefault="00A8138F" w:rsidP="00A8138F">
      <w:pPr>
        <w:pStyle w:val="TextoNormal"/>
      </w:pPr>
      <w:r w:rsidRPr="00A8138F">
        <w:rPr>
          <w:rStyle w:val="NumeroAFNegritaCaracter"/>
        </w:rPr>
        <w:t>5</w:t>
      </w:r>
      <w:r>
        <w:t>. Una vez la letrada de la administración de la Seguridad Social solicitó su personación en nombre del INSS y la TGSS, mediante diligencia de ordenación de 29 de octubre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14:paraId="38B078B0" w14:textId="77777777" w:rsidR="00A8138F" w:rsidRDefault="00A8138F" w:rsidP="00A8138F">
      <w:pPr>
        <w:pStyle w:val="TextoNormal"/>
      </w:pPr>
    </w:p>
    <w:p w14:paraId="1C65C3B8" w14:textId="3A5EA6A9" w:rsidR="00A8138F" w:rsidRDefault="00A8138F" w:rsidP="00A8138F">
      <w:pPr>
        <w:pStyle w:val="TextoNormal"/>
      </w:pPr>
      <w:r w:rsidRPr="00A8138F">
        <w:rPr>
          <w:rStyle w:val="NumeroAFNegritaCaracter"/>
        </w:rPr>
        <w:lastRenderedPageBreak/>
        <w:t>6</w:t>
      </w:r>
      <w:r>
        <w:t>. El 26 de noviembre de 2024, la representación procesal de la demandante presentó su escrito de alegaciones, poniendo de manifiesto que debe proyectarse al presente asunto lo resuelto en la STC 140/2024, de 6 de noviembre, que estima la cuestión de inconstitucionalidad núm. 6694-2023 y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2EBD5E49" w14:textId="77777777" w:rsidR="00A8138F" w:rsidRDefault="00A8138F" w:rsidP="00A8138F">
      <w:pPr>
        <w:pStyle w:val="TextoNormal"/>
      </w:pPr>
    </w:p>
    <w:p w14:paraId="385FA406" w14:textId="77777777" w:rsidR="00A8138F" w:rsidRDefault="00A8138F" w:rsidP="00A8138F">
      <w:pPr>
        <w:pStyle w:val="TextoNormal"/>
      </w:pPr>
      <w:r w:rsidRPr="00A8138F">
        <w:rPr>
          <w:rStyle w:val="NumeroAFNegritaCaracter"/>
        </w:rPr>
        <w:t>7</w:t>
      </w:r>
      <w:r>
        <w:t>. La letrada de la administración de la Seguridad Social presentó sus alegaciones el día 27 de noviembre de 2024. En ellas identifica y describe el contenido de las normas legales aplicables para la resolución de su pretensión (LGSS y LET)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3228B2FA" w14:textId="77777777" w:rsidR="00A8138F" w:rsidRDefault="00A8138F" w:rsidP="00A8138F">
      <w:pPr>
        <w:pStyle w:val="TextoNormal"/>
      </w:pPr>
    </w:p>
    <w:p w14:paraId="3FC12985" w14:textId="77777777" w:rsidR="00A8138F" w:rsidRDefault="00A8138F" w:rsidP="00A8138F">
      <w:pPr>
        <w:pStyle w:val="TextoNormal"/>
      </w:pPr>
      <w:r>
        <w:t>Consigna a continuación la decisión del Pleno del Tribunal Constitucional en la STC 140/2024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11C829AB" w14:textId="77777777" w:rsidR="00A8138F" w:rsidRDefault="00A8138F" w:rsidP="00A8138F">
      <w:pPr>
        <w:pStyle w:val="TextoNormal"/>
      </w:pPr>
    </w:p>
    <w:p w14:paraId="1A7171E5" w14:textId="401859CC" w:rsidR="00A8138F" w:rsidRDefault="00A8138F" w:rsidP="00A8138F">
      <w:pPr>
        <w:pStyle w:val="TextoNormal"/>
      </w:pPr>
      <w:r>
        <w:t>La letrada, a la vista de lo anterior, “para evitar reiteraciones innecesarias, se ratifica en las alegaciones realizadas a lo largo de todo el procedimiento” al tiempo que sostiene que el reconocimiento de las catorce semanas adicionales “quedará supeditado al cumplimiento del resto de los requisitos legalmente establecidos para el percibo de la prestación, en los que se incluye el haber hecho efectivo el descanso, sin prestación [de] servicios por cuenta ajena ni percibir las correspondientes retribuciones”.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14:paraId="1FC8BAA9" w14:textId="77777777" w:rsidR="00A8138F" w:rsidRDefault="00A8138F" w:rsidP="00A8138F">
      <w:pPr>
        <w:pStyle w:val="TextoNormal"/>
      </w:pPr>
    </w:p>
    <w:p w14:paraId="59B01D97" w14:textId="77777777" w:rsidR="00A8138F" w:rsidRDefault="00A8138F" w:rsidP="00A8138F">
      <w:pPr>
        <w:pStyle w:val="TextoNormal"/>
      </w:pPr>
      <w:r w:rsidRPr="00A8138F">
        <w:rPr>
          <w:rStyle w:val="NumeroAFNegritaCaracter"/>
        </w:rPr>
        <w:t>8</w:t>
      </w:r>
      <w:r>
        <w:t xml:space="preserve">. El día 17 de diciembre de 2024, el Ministerio Fiscal interesó la estimación del recurso de amparo, por considerar vulnerado el derecho fundamental de la recurrente y sus hijos a </w:t>
      </w:r>
      <w:r>
        <w:lastRenderedPageBreak/>
        <w:t>la no discriminación (art. 14 CE) con apoyo en la STC 140/2024, de la que reproduce amplios extractos.</w:t>
      </w:r>
    </w:p>
    <w:p w14:paraId="51A0E529" w14:textId="77777777" w:rsidR="00A8138F" w:rsidRDefault="00A8138F" w:rsidP="00A8138F">
      <w:pPr>
        <w:pStyle w:val="TextoNormal"/>
      </w:pPr>
    </w:p>
    <w:p w14:paraId="085005E1" w14:textId="51019F6F" w:rsidR="00A8138F" w:rsidRDefault="00A8138F" w:rsidP="00A8138F">
      <w:pPr>
        <w:pStyle w:val="TextoNormal"/>
      </w:pPr>
      <w:r>
        <w:t>El fiscal rechaza que los efectos de la estimación sean los pretendidos por la demandante, esto es, la retroacción a la primera resolución dictada por el INSS, ya que la sentencia del Juzgado de los Social núm. 45 de Madrid de 26 de octubre de 2021, no vulneró el derecho de la demandante y sus hijos. Considera que la nulidad debe acordarse respecto de la sentencia dictada por la Sala de los Social del Tribunal Superior de Justicia de Madrid de 29 de septiembre de 2022 y, por consiguiente, del posterior auto de 5 julio de 2023 por el que el Tribunal Supremo inadmite el recurso de casación, con retroacción al momento anterior al dictado de la sentencia por el Tribunal Superior de Justicia de Madrid resolutoria del recurso de suplicación.</w:t>
      </w:r>
    </w:p>
    <w:p w14:paraId="4463CE36" w14:textId="77777777" w:rsidR="00A8138F" w:rsidRDefault="00A8138F" w:rsidP="00A8138F">
      <w:pPr>
        <w:pStyle w:val="TextoNormal"/>
      </w:pPr>
    </w:p>
    <w:p w14:paraId="22823334" w14:textId="77F30789" w:rsidR="00A8138F" w:rsidRDefault="00A8138F" w:rsidP="00A8138F">
      <w:pPr>
        <w:pStyle w:val="TextoNormal"/>
      </w:pPr>
      <w:r w:rsidRPr="00A8138F">
        <w:rPr>
          <w:rStyle w:val="NumeroAFNegritaCaracter"/>
        </w:rPr>
        <w:t>9</w:t>
      </w:r>
      <w:r>
        <w:t>. Mediante providencia de 23 de enero de 2025, se señaló para deliberación y votación de la presente sentencia el día 27 del mismo mes y año.</w:t>
      </w:r>
    </w:p>
    <w:p w14:paraId="43B62895" w14:textId="77777777" w:rsidR="00A8138F" w:rsidRDefault="00A8138F" w:rsidP="00A8138F">
      <w:pPr>
        <w:pStyle w:val="TextoNormal"/>
      </w:pPr>
    </w:p>
    <w:p w14:paraId="00BB8A47" w14:textId="77777777" w:rsidR="00A8138F" w:rsidRDefault="00A8138F" w:rsidP="00A8138F">
      <w:pPr>
        <w:pStyle w:val="TextoNormalNegritaCentrado"/>
        <w:keepNext/>
      </w:pPr>
      <w:r>
        <w:t>II. Fundamentos jurídicos</w:t>
      </w:r>
    </w:p>
    <w:p w14:paraId="2E235208" w14:textId="1C0ED985" w:rsidR="00A8138F" w:rsidRDefault="00A8138F" w:rsidP="00A8138F">
      <w:pPr>
        <w:pStyle w:val="TextoNormalNegritaCentrado"/>
        <w:keepNext/>
      </w:pPr>
    </w:p>
    <w:p w14:paraId="03CCA942"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753BE1F4" w14:textId="77777777" w:rsidR="00A8138F" w:rsidRDefault="00A8138F" w:rsidP="00A8138F">
      <w:pPr>
        <w:pStyle w:val="TextoNormal"/>
      </w:pPr>
    </w:p>
    <w:p w14:paraId="277546FD" w14:textId="77777777" w:rsidR="00A8138F" w:rsidRDefault="00A8138F" w:rsidP="00A8138F">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4B4C3297" w14:textId="77777777" w:rsidR="00A8138F" w:rsidRDefault="00A8138F" w:rsidP="00A8138F">
      <w:pPr>
        <w:pStyle w:val="TextoNormal"/>
      </w:pPr>
    </w:p>
    <w:p w14:paraId="0EE2AC99"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20C138C2" w14:textId="77777777" w:rsidR="00A8138F" w:rsidRDefault="00A8138F" w:rsidP="00A8138F">
      <w:pPr>
        <w:pStyle w:val="TextoNormal"/>
      </w:pPr>
    </w:p>
    <w:p w14:paraId="2AFC4AB3"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w:t>
      </w:r>
      <w:r>
        <w:lastRenderedPageBreak/>
        <w:t>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2902694" w14:textId="77777777" w:rsidR="00A8138F" w:rsidRDefault="00A8138F" w:rsidP="00A8138F">
      <w:pPr>
        <w:pStyle w:val="TextoNormal"/>
      </w:pPr>
    </w:p>
    <w:p w14:paraId="0E90FC93"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C7DB516" w14:textId="77777777" w:rsidR="00A8138F" w:rsidRDefault="00A8138F" w:rsidP="00A8138F">
      <w:pPr>
        <w:pStyle w:val="TextoNormal"/>
      </w:pPr>
    </w:p>
    <w:p w14:paraId="2A1E7F95" w14:textId="5FC7839F"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5DD957B" w14:textId="77777777" w:rsidR="00A8138F" w:rsidRDefault="00A8138F" w:rsidP="00A8138F">
      <w:pPr>
        <w:pStyle w:val="TextoNormal"/>
      </w:pPr>
    </w:p>
    <w:p w14:paraId="172DEC95" w14:textId="77777777" w:rsidR="00A8138F" w:rsidRDefault="00A8138F" w:rsidP="00A8138F">
      <w:pPr>
        <w:pStyle w:val="TextoNormalCentrado"/>
        <w:keepNext/>
      </w:pPr>
      <w:r>
        <w:t>FALLO</w:t>
      </w:r>
    </w:p>
    <w:p w14:paraId="1493E919" w14:textId="0962323C" w:rsidR="00A8138F" w:rsidRDefault="00A8138F" w:rsidP="00A8138F">
      <w:pPr>
        <w:pStyle w:val="TextoNormalCentrado"/>
        <w:keepNext/>
      </w:pPr>
    </w:p>
    <w:p w14:paraId="748DB5C2"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Sandra Delgado Aguiar y, en su virtud:</w:t>
      </w:r>
    </w:p>
    <w:p w14:paraId="640E16D2" w14:textId="77777777" w:rsidR="00A8138F" w:rsidRDefault="00A8138F" w:rsidP="00A8138F">
      <w:pPr>
        <w:pStyle w:val="TextoNormal"/>
      </w:pPr>
    </w:p>
    <w:p w14:paraId="7ADA30D9" w14:textId="77777777" w:rsidR="00A8138F" w:rsidRDefault="00A8138F" w:rsidP="00A8138F">
      <w:pPr>
        <w:pStyle w:val="TextoNormal"/>
      </w:pPr>
      <w:r>
        <w:t>1º Declarar vulnerado su derecho fundamental a la igualdad ante la ley, sin que pueda prevalecer discriminación alguna (art. 14 CE).</w:t>
      </w:r>
    </w:p>
    <w:p w14:paraId="1538017D" w14:textId="77777777" w:rsidR="00A8138F" w:rsidRDefault="00A8138F" w:rsidP="00A8138F">
      <w:pPr>
        <w:pStyle w:val="TextoNormal"/>
      </w:pPr>
    </w:p>
    <w:p w14:paraId="73F0DF3C" w14:textId="77777777" w:rsidR="00A8138F" w:rsidRDefault="00A8138F" w:rsidP="00A8138F">
      <w:pPr>
        <w:pStyle w:val="TextoNormal"/>
      </w:pPr>
      <w:r>
        <w:t>2º Restablecerla en su derecho y, en consecuencia, declarar la nulidad de la sentencia de 26 de octubre de 2021 dictada por el Juzgado de lo Social núm. 45 de Madrid en los autos núm. 612-2021; de la sentencia de 29 de septiembre de 2022 dictada por la Sala de lo Social del Tribunal Superior de Justicia de Madrid en el recurso de suplicación núm. 243-2022, y del auto de 5 de julio de 2023 de la Sala de lo Social del Tribunal Supremo, que inadmite el recurso de casación para la unificación de doctrina núm. 4942-2022, presentado contra la anterior sentencia.</w:t>
      </w:r>
    </w:p>
    <w:p w14:paraId="70DF8D02" w14:textId="77777777" w:rsidR="00A8138F" w:rsidRDefault="00A8138F" w:rsidP="00A8138F">
      <w:pPr>
        <w:pStyle w:val="TextoNormal"/>
      </w:pPr>
    </w:p>
    <w:p w14:paraId="16DFD316" w14:textId="04CDDD52" w:rsidR="00A8138F" w:rsidRDefault="00A8138F" w:rsidP="00A8138F">
      <w:pPr>
        <w:pStyle w:val="TextoNormal"/>
      </w:pPr>
      <w:r>
        <w:t>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presente sentencia, se dicte una resolución expresa respetuosa con el derecho fundamental vulnerado.</w:t>
      </w:r>
    </w:p>
    <w:p w14:paraId="4E47E795" w14:textId="77777777" w:rsidR="00A8138F" w:rsidRDefault="00A8138F" w:rsidP="00A8138F">
      <w:pPr>
        <w:pStyle w:val="TextoNormal"/>
      </w:pPr>
    </w:p>
    <w:p w14:paraId="7D88B798" w14:textId="77777777" w:rsidR="00A8138F" w:rsidRDefault="00A8138F" w:rsidP="00A8138F">
      <w:pPr>
        <w:pStyle w:val="TextoNormal"/>
      </w:pPr>
      <w:r>
        <w:t>Publíquese esta sentencia en el “Boletín Oficial del Estado”.</w:t>
      </w:r>
    </w:p>
    <w:p w14:paraId="4C3EDBD4" w14:textId="77777777" w:rsidR="00A8138F" w:rsidRDefault="00A8138F" w:rsidP="00A8138F">
      <w:pPr>
        <w:pStyle w:val="TextoNormal"/>
      </w:pPr>
      <w:r>
        <w:t>Dada en Madrid, a veintisiete de enero de dos mil veinticinco.</w:t>
      </w:r>
    </w:p>
    <w:p w14:paraId="467DC990" w14:textId="62AA698F" w:rsidR="00A8138F" w:rsidRDefault="00A8138F">
      <w:pPr>
        <w:spacing w:after="160" w:line="278" w:lineRule="auto"/>
        <w:rPr>
          <w:rFonts w:ascii="Times New Roman" w:eastAsia="Times New Roman" w:hAnsi="Times New Roman" w:cs="Times New Roman"/>
          <w:sz w:val="24"/>
          <w:szCs w:val="24"/>
          <w:lang w:eastAsia="es-ES"/>
        </w:rPr>
      </w:pPr>
      <w:r>
        <w:br w:type="page"/>
      </w:r>
    </w:p>
    <w:p w14:paraId="0474D969" w14:textId="77777777" w:rsidR="00A8138F" w:rsidRDefault="00A8138F" w:rsidP="00A8138F">
      <w:pPr>
        <w:pStyle w:val="TtuloResolucin"/>
      </w:pPr>
      <w:bookmarkStart w:id="21" w:name="SENTENCIA_2025_19"/>
      <w:r>
        <w:lastRenderedPageBreak/>
        <w:t>SENTENCIA 19/2025, de 27 de enero de 2025</w:t>
      </w:r>
    </w:p>
    <w:bookmarkEnd w:id="21"/>
    <w:p w14:paraId="561E3272" w14:textId="77777777" w:rsidR="00A8138F" w:rsidRDefault="00A8138F" w:rsidP="00A8138F">
      <w:pPr>
        <w:pStyle w:val="TtuloResolucin"/>
      </w:pPr>
      <w:r>
        <w:t>Sala Segunda</w:t>
      </w:r>
    </w:p>
    <w:p w14:paraId="6DCC4460" w14:textId="77777777" w:rsidR="00A8138F" w:rsidRDefault="00A8138F" w:rsidP="00A8138F">
      <w:pPr>
        <w:pStyle w:val="TtuloBOE"/>
      </w:pPr>
      <w:r>
        <w:t>(BOE núm. 51, de 28 de febrero de 2025)</w:t>
      </w:r>
    </w:p>
    <w:p w14:paraId="79434767" w14:textId="77777777" w:rsidR="00A8138F" w:rsidRDefault="00A8138F" w:rsidP="00A8138F">
      <w:pPr>
        <w:pStyle w:val="TextoNormalCentrado"/>
      </w:pPr>
      <w:r>
        <w:t>ECLI:ES:TC:2025:19</w:t>
      </w:r>
    </w:p>
    <w:p w14:paraId="418CCB91" w14:textId="516A6220" w:rsidR="00A8138F" w:rsidRDefault="00A8138F" w:rsidP="00A8138F">
      <w:pPr>
        <w:pStyle w:val="TextoNormalCentrado"/>
      </w:pPr>
    </w:p>
    <w:p w14:paraId="5A4E1EE8" w14:textId="77777777" w:rsidR="00A8138F" w:rsidRDefault="00A8138F" w:rsidP="00A8138F">
      <w:pPr>
        <w:pStyle w:val="SntesisDescriptiva"/>
      </w:pPr>
      <w:r>
        <w:t>Recurso de amparo 5755-2023. Promovido por doña Laura Ramírez Rodrigo en relación con las resoluciones administrativas y judiciales que desestimaron su petición de revisión y ampliación de la prestación por nacimiento y cuidado de hijo menor, como madre biológica de familia monoparental.</w:t>
      </w:r>
    </w:p>
    <w:p w14:paraId="3FBD2CF7" w14:textId="6A625B1C" w:rsidR="00A8138F" w:rsidRDefault="00A8138F" w:rsidP="00A8138F">
      <w:pPr>
        <w:pStyle w:val="SntesisDescriptiva"/>
      </w:pPr>
    </w:p>
    <w:p w14:paraId="4A3F732E"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9826754" w14:textId="10D4AEB8" w:rsidR="00A8138F" w:rsidRDefault="00A8138F" w:rsidP="00A8138F">
      <w:pPr>
        <w:pStyle w:val="SntesisAnaltica"/>
      </w:pPr>
    </w:p>
    <w:p w14:paraId="03CA0880" w14:textId="78B4CC3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14AB1CE3" w14:textId="77777777" w:rsidR="00A8138F" w:rsidRDefault="00A8138F" w:rsidP="00A8138F">
      <w:pPr>
        <w:pStyle w:val="Extracto"/>
      </w:pPr>
    </w:p>
    <w:p w14:paraId="5C4A06DE" w14:textId="77777777" w:rsidR="00A8138F" w:rsidRDefault="00A8138F" w:rsidP="00A8138F">
      <w:pPr>
        <w:pStyle w:val="Extracto"/>
      </w:pPr>
    </w:p>
    <w:p w14:paraId="7D5719BF"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CE6664A" w14:textId="3AF5A8BC" w:rsidR="00A8138F" w:rsidRDefault="00A8138F" w:rsidP="00A8138F">
      <w:pPr>
        <w:pStyle w:val="TextoNormal"/>
      </w:pPr>
    </w:p>
    <w:p w14:paraId="6D3008F9" w14:textId="77777777" w:rsidR="00A8138F" w:rsidRDefault="00A8138F" w:rsidP="00A8138F">
      <w:pPr>
        <w:pStyle w:val="TextoNormalCentrado"/>
        <w:keepNext/>
      </w:pPr>
      <w:r>
        <w:t>EN NOMBRE DEL REY</w:t>
      </w:r>
    </w:p>
    <w:p w14:paraId="0A9FBE5C" w14:textId="2D56921C" w:rsidR="00A8138F" w:rsidRDefault="00A8138F" w:rsidP="00A8138F">
      <w:pPr>
        <w:pStyle w:val="TextoNormalCentrado"/>
        <w:keepNext/>
      </w:pPr>
    </w:p>
    <w:p w14:paraId="18371342" w14:textId="77777777" w:rsidR="00A8138F" w:rsidRDefault="00A8138F" w:rsidP="00A8138F">
      <w:pPr>
        <w:pStyle w:val="TextoNormalCentrado"/>
        <w:keepNext/>
      </w:pPr>
    </w:p>
    <w:p w14:paraId="20C1F37E" w14:textId="77777777" w:rsidR="00A8138F" w:rsidRDefault="00A8138F" w:rsidP="00A8138F">
      <w:pPr>
        <w:pStyle w:val="TextoNormal"/>
      </w:pPr>
      <w:r>
        <w:t>la siguiente</w:t>
      </w:r>
    </w:p>
    <w:p w14:paraId="12DC03AB" w14:textId="1D856009" w:rsidR="00A8138F" w:rsidRDefault="00A8138F" w:rsidP="00A8138F">
      <w:pPr>
        <w:pStyle w:val="TextoNormal"/>
      </w:pPr>
    </w:p>
    <w:p w14:paraId="67A4E4CC" w14:textId="77777777" w:rsidR="00A8138F" w:rsidRDefault="00A8138F" w:rsidP="00A8138F">
      <w:pPr>
        <w:pStyle w:val="TextoNormalCentrado"/>
        <w:keepNext/>
      </w:pPr>
      <w:r>
        <w:t>SENTENCIA</w:t>
      </w:r>
    </w:p>
    <w:p w14:paraId="18D326D8" w14:textId="7785EB68" w:rsidR="00A8138F" w:rsidRDefault="00A8138F" w:rsidP="00A8138F">
      <w:pPr>
        <w:pStyle w:val="TextoNormalCentrado"/>
        <w:keepNext/>
      </w:pPr>
    </w:p>
    <w:p w14:paraId="74A9EC65" w14:textId="77777777" w:rsidR="00A8138F" w:rsidRDefault="00A8138F" w:rsidP="00A8138F">
      <w:pPr>
        <w:pStyle w:val="TextoNormal"/>
      </w:pPr>
      <w:r>
        <w:t xml:space="preserve">En el recurso de amparo núm. 5755-2023, promovido por doña Laura Ramírez Rodrigo, representada por la procuradora de los tribunales doña María Isabel Torres Ruiz y asistida por la letrada doña Susana Fuentes Gómez, contra las resoluciones del Instituto Nacional de la Seguridad Social (INSS) de 12 de abril y 21 de mayo de 2021, denegatorias de la solicitud de ampliación de la prestación por nacimiento y cuidado de hijo menor como madre biológica de familia monoparental; la sentencia núm. 42/2022, de 28 de enero, del Juzgado de lo Social núm. 30 de Madrid (autos núm. 685-2021), que estimó la demanda de la señora Ramírez Rodrigo, reconociéndole el derecho a complementar la prestación de maternidad con doce semanas adicionales; la sentencia núm. 913/2022, de 19 de octubre, de la Sala de lo Social del Tribunal Superior de Justicia de Madrid (recurso de suplicación núm. 694-2022), que estimó el recurso de suplicación interpuesto por la representación del INSS y la Tesorería General de la Seguridad Social (TGSS); y el auto de 12 de julio de 2023 de la Sala de lo Social del Tribunal Supremo (recurso de casación para la unificación de doctrina núm. 5724-2022), que inadmitió el recurso presentado por la señora Ramírez Rodrigo frente a la </w:t>
      </w:r>
      <w:r>
        <w:lastRenderedPageBreak/>
        <w:t>anterior sentencia. Han intervenido el letrado de la administración de la Seguridad Social, en nombre del INSS y la TGSS, y el Ministerio Fiscal. Ha sido ponente el magistrado don Ramón Sáez Valcárcel.</w:t>
      </w:r>
    </w:p>
    <w:p w14:paraId="45A84CEF" w14:textId="1DFFAD59" w:rsidR="00A8138F" w:rsidRDefault="00A8138F" w:rsidP="00A8138F">
      <w:pPr>
        <w:pStyle w:val="TextoNormal"/>
      </w:pPr>
    </w:p>
    <w:p w14:paraId="79DF20F7" w14:textId="77777777" w:rsidR="00A8138F" w:rsidRDefault="00A8138F" w:rsidP="00A8138F">
      <w:pPr>
        <w:pStyle w:val="TextoNormalNegritaCentrado"/>
        <w:keepNext/>
      </w:pPr>
      <w:r>
        <w:t>I. Antecedentes</w:t>
      </w:r>
    </w:p>
    <w:p w14:paraId="0FA045B6" w14:textId="129F0713" w:rsidR="00A8138F" w:rsidRDefault="00A8138F" w:rsidP="00A8138F">
      <w:pPr>
        <w:pStyle w:val="TextoNormalNegritaCentrado"/>
        <w:keepNext/>
      </w:pPr>
    </w:p>
    <w:p w14:paraId="4376FCB0" w14:textId="2140DEFB" w:rsidR="00A8138F" w:rsidRDefault="00A8138F" w:rsidP="00A8138F">
      <w:pPr>
        <w:pStyle w:val="TextoNormal"/>
      </w:pPr>
      <w:r w:rsidRPr="00A8138F">
        <w:rPr>
          <w:rStyle w:val="NumeroAFNegritaCaracter"/>
        </w:rPr>
        <w:t>1</w:t>
      </w:r>
      <w:r>
        <w:t>. Mediante escrito registrado en este tribunal el 8 de septiembre de 2023, la representante procesal de doña Laura Ramírez Rodrigo, bajo la dirección letrada de doña Susana Fuentes Gómez, interpuso recurso de amparo contra las resoluciones administrativas y judiciales a las que se ha hecho referencia en el encabezamiento de esta sentencia.</w:t>
      </w:r>
    </w:p>
    <w:p w14:paraId="1A4ED2F6" w14:textId="77777777" w:rsidR="00A8138F" w:rsidRDefault="00A8138F" w:rsidP="00A8138F">
      <w:pPr>
        <w:pStyle w:val="TextoNormal"/>
      </w:pPr>
    </w:p>
    <w:p w14:paraId="3859A4A9"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6757D7A9" w14:textId="77777777" w:rsidR="00A8138F" w:rsidRDefault="00A8138F" w:rsidP="00A8138F">
      <w:pPr>
        <w:pStyle w:val="TextoNormal"/>
      </w:pPr>
    </w:p>
    <w:p w14:paraId="5B5DF384" w14:textId="77777777" w:rsidR="00A8138F" w:rsidRDefault="00A8138F" w:rsidP="00A8138F">
      <w:pPr>
        <w:pStyle w:val="TextoNormal"/>
      </w:pPr>
      <w:r>
        <w:t>a) La señora Ramírez Rodrigo es madre biológica de una niña, nacida el 21 de marzo de 2021, siendo la única filiación reconocida la materna. Por resolución 12 de abril de 2021 le fue reconocido por el INSS el derecho a la prestación de nacimiento y cuidado de menor por el período comprendido entre el 21 de marzo y el 10 de julio de 2021 (dieciséis semanas). El 3 de mayo de 2021 presentó reclamación previa, en la que solicitó la ampliación de su permiso en dieciséis semanas, añadiendo al período ya reconocido el que consideraba hubiera correspondido al segundo progenitor en el supuesto de una familia biparental, que fue desestimada por resolución fechada el 21 de mayo de 2021.</w:t>
      </w:r>
    </w:p>
    <w:p w14:paraId="35051AAF" w14:textId="77777777" w:rsidR="00A8138F" w:rsidRDefault="00A8138F" w:rsidP="00A8138F">
      <w:pPr>
        <w:pStyle w:val="TextoNormal"/>
      </w:pPr>
    </w:p>
    <w:p w14:paraId="7284DD0D" w14:textId="77777777" w:rsidR="00A8138F" w:rsidRDefault="00A8138F" w:rsidP="00A8138F">
      <w:pPr>
        <w:pStyle w:val="TextoNormal"/>
      </w:pPr>
      <w:r>
        <w:t>b) Frente a la desestimación de la reclamación, la recurrente en amparo formuló demanda ante la jurisdicción social, que fue estimada parcialmente por sentencia de 28 de enero de 2022 del Juzgado de lo Social núm. 30 de Madrid (autos núm. 685-2021), que extendió la prestación por nacimiento en doce semanas.</w:t>
      </w:r>
    </w:p>
    <w:p w14:paraId="0C5B00F8" w14:textId="77777777" w:rsidR="00A8138F" w:rsidRDefault="00A8138F" w:rsidP="00A8138F">
      <w:pPr>
        <w:pStyle w:val="TextoNormal"/>
      </w:pPr>
    </w:p>
    <w:p w14:paraId="28217A2E" w14:textId="77777777" w:rsidR="00A8138F" w:rsidRDefault="00A8138F" w:rsidP="00A8138F">
      <w:pPr>
        <w:pStyle w:val="TextoNormal"/>
      </w:pPr>
      <w:r>
        <w:t>c) La señora Ramírez Rodrigo y la representación del INSS y la TGSS presentaron recurso de suplicación contra dicha sentencia, siendo desestimado el primero y estimado el segundo por sentencia de 19 de octubre de 2022 de la Sala de lo Social del Tribunal Superior de Justicia de Madrid (recurso de suplicación núm. 694-2022), que revocó la sentencia de instancia y desestimó la demanda.</w:t>
      </w:r>
    </w:p>
    <w:p w14:paraId="1EF9819B" w14:textId="77777777" w:rsidR="00A8138F" w:rsidRDefault="00A8138F" w:rsidP="00A8138F">
      <w:pPr>
        <w:pStyle w:val="TextoNormal"/>
      </w:pPr>
    </w:p>
    <w:p w14:paraId="5EA3A054" w14:textId="5A76CD34" w:rsidR="00A8138F" w:rsidRDefault="00A8138F" w:rsidP="00A8138F">
      <w:pPr>
        <w:pStyle w:val="TextoNormal"/>
      </w:pPr>
      <w:r>
        <w:t xml:space="preserve">d) Contra la sentencia de suplicación la demandante interpuso recurso de casación para la unificación de doctrina (núm. 5724-2022), que fue inadmitido mediante auto de 12 de julio de 2023 de la Sala de lo Social del Tribunal Supremo. Se razona en este auto que el recurso carece de contenido casacional, al ser coincidente la decisión de la sentencia recurrida con la doctrina unificada por la STS 169/2023, de 2 de marzo,del Pleno de lo Social del Tribunal Supremo (ECLI:ES:TS:2023:783). En ella, según detalla el auto, se consideró que la normativa que no prevé la acumulación de prestaciones solicitada [art. 48.4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no vulnera el art. 14 CE, sin que haya precepto alguno en el Derecho de la Unión Europea u otros pactos internacionales que obligue a un específico </w:t>
      </w:r>
      <w:r>
        <w:lastRenderedPageBreak/>
        <w:t>nivel de protección social de las familias monoparentales, correspondiendo al legislador determinar el alcance y contenido de las prestaciones o su modificación.</w:t>
      </w:r>
    </w:p>
    <w:p w14:paraId="31D41E47" w14:textId="77777777" w:rsidR="00A8138F" w:rsidRDefault="00A8138F" w:rsidP="00A8138F">
      <w:pPr>
        <w:pStyle w:val="TextoNormal"/>
      </w:pPr>
    </w:p>
    <w:p w14:paraId="7EE68370" w14:textId="77777777" w:rsidR="00A8138F" w:rsidRDefault="00A8138F" w:rsidP="00A8138F">
      <w:pPr>
        <w:pStyle w:val="TextoNormal"/>
      </w:pPr>
      <w:r w:rsidRPr="00A8138F">
        <w:rPr>
          <w:rStyle w:val="NumeroAFNegritaCaracter"/>
        </w:rPr>
        <w:t>3</w:t>
      </w:r>
      <w:r>
        <w:t>. La demanda de amparo se interpone contra las resoluciones administrativas y judiciales referenciadas, por entender que han incurrido en vulneración del derecho a no ser discriminado por razón de sexo y por razón de nacimiento (art. 14 CE).</w:t>
      </w:r>
    </w:p>
    <w:p w14:paraId="6FC07B6F" w14:textId="77777777" w:rsidR="00A8138F" w:rsidRDefault="00A8138F" w:rsidP="00A8138F">
      <w:pPr>
        <w:pStyle w:val="TextoNormal"/>
      </w:pPr>
    </w:p>
    <w:p w14:paraId="1B7EB2DD" w14:textId="77777777" w:rsidR="00A8138F" w:rsidRDefault="00A8138F" w:rsidP="00A8138F">
      <w:pPr>
        <w:pStyle w:val="TextoNormal"/>
      </w:pPr>
      <w:r>
        <w:t>Se afirma en primer lugar que, como consecuencia de la aplicación literal por las resoluciones impugnadas en amparo de lo dispuesto en el art. 48.4 LET, en relación con el art. 177 LGSS, en la redacción dada por el Real Decreto-ley 6/2019, de 1 de marzo, de medidas urgentes para garantía de la igualdad de trato y de oportunidades entre mujeres y hombres en el empleo y la ocupación, se ha producido una discriminación indirecta por razón de sexo, debido a que, en la mayoría de las familias monoparentales, el progenitor único es una mujer, que resulta perjudicada en comparación con las familias biparentales, en cuanto a la duración de las prestaciones por nacimiento de un hijo. Las resoluciones impugnadas deberían haber realizado una interpretación integradora de los preceptos aplicables, que salvase la omisión del legislador, para evitar que se produjera ese trato discriminatorio hacia la recurrente.</w:t>
      </w:r>
    </w:p>
    <w:p w14:paraId="35DE17D5" w14:textId="77777777" w:rsidR="00A8138F" w:rsidRDefault="00A8138F" w:rsidP="00A8138F">
      <w:pPr>
        <w:pStyle w:val="TextoNormal"/>
      </w:pPr>
    </w:p>
    <w:p w14:paraId="0B3D8BE8" w14:textId="0899110C" w:rsidR="00A8138F" w:rsidRDefault="00A8138F" w:rsidP="00A8138F">
      <w:pPr>
        <w:pStyle w:val="TextoNormal"/>
      </w:pPr>
      <w:r>
        <w:t>Asimismo, se aduce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14:paraId="098D2252" w14:textId="77777777" w:rsidR="00A8138F" w:rsidRDefault="00A8138F" w:rsidP="00A8138F">
      <w:pPr>
        <w:pStyle w:val="TextoNormal"/>
      </w:pPr>
    </w:p>
    <w:p w14:paraId="379A2946" w14:textId="755CA3A3" w:rsidR="00A8138F" w:rsidRDefault="00A8138F" w:rsidP="00A8138F">
      <w:pPr>
        <w:pStyle w:val="TextoNormal"/>
      </w:pPr>
      <w:r w:rsidRPr="00A8138F">
        <w:rPr>
          <w:rStyle w:val="NumeroAFNegritaCaracter"/>
        </w:rPr>
        <w:t>4</w:t>
      </w:r>
      <w:r>
        <w:t>. Mediante providencia de 9 de septiembre de 2024, la Sección Cuarta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Sala del Tribunal Superior de Justicia y del Tribunal Supremo) para que, en el plazo de diez días, si lo desearan, pudieran comparecer en este proceso constitucional.</w:t>
      </w:r>
    </w:p>
    <w:p w14:paraId="2C3B971A" w14:textId="77777777" w:rsidR="00A8138F" w:rsidRDefault="00A8138F" w:rsidP="00A8138F">
      <w:pPr>
        <w:pStyle w:val="TextoNormal"/>
      </w:pPr>
    </w:p>
    <w:p w14:paraId="4AFA6029" w14:textId="660799D6" w:rsidR="00A8138F" w:rsidRDefault="00A8138F" w:rsidP="00A8138F">
      <w:pPr>
        <w:pStyle w:val="TextoNormal"/>
      </w:pPr>
      <w:r w:rsidRPr="00A8138F">
        <w:rPr>
          <w:rStyle w:val="NumeroAFNegritaCaracter"/>
        </w:rPr>
        <w:t>5</w:t>
      </w:r>
      <w:r>
        <w:t>. Una vez el letrado de la administración de la Seguridad Social solicitó su personación en nombre del INSS y la TGSS, mediante diligencia de ordenación de 27 de noviembre de 2024, la Sala Segunda del Tribunal Constitucional acordó (i) tenerlo por personado y parte en el procedimiento y (ii) dar vista de las actuaciones recibidas a las partes personadas y al Ministerio Fiscal por plazo común de veinte días, dentro de los cuales podrán presentar las alegaciones que estimen pertinentes, conforme determina el art. 52.1 LOTC.</w:t>
      </w:r>
    </w:p>
    <w:p w14:paraId="092DAD29" w14:textId="77777777" w:rsidR="00A8138F" w:rsidRDefault="00A8138F" w:rsidP="00A8138F">
      <w:pPr>
        <w:pStyle w:val="TextoNormal"/>
      </w:pPr>
    </w:p>
    <w:p w14:paraId="763DE3F7" w14:textId="77777777" w:rsidR="00A8138F" w:rsidRDefault="00A8138F" w:rsidP="00A8138F">
      <w:pPr>
        <w:pStyle w:val="TextoNormal"/>
      </w:pPr>
      <w:r w:rsidRPr="00A8138F">
        <w:rPr>
          <w:rStyle w:val="NumeroAFNegritaCaracter"/>
        </w:rPr>
        <w:t>6</w:t>
      </w:r>
      <w:r>
        <w:t>. El letrado de la administración de la Seguridad Social presentó sus alegaciones el día 10 de diciembre de 2024, solicitando la desestimación del recurso de amparo.</w:t>
      </w:r>
    </w:p>
    <w:p w14:paraId="4A839106" w14:textId="77777777" w:rsidR="00A8138F" w:rsidRDefault="00A8138F" w:rsidP="00A8138F">
      <w:pPr>
        <w:pStyle w:val="TextoNormal"/>
      </w:pPr>
    </w:p>
    <w:p w14:paraId="3BD12915" w14:textId="77777777" w:rsidR="00A8138F" w:rsidRDefault="00A8138F" w:rsidP="00A8138F">
      <w:pPr>
        <w:pStyle w:val="TextoNormal"/>
      </w:pPr>
      <w:r>
        <w:t xml:space="preserve">En ellas identifica y describe el contenido de las normas legales aplicables para la resolución de su pretensión (LGSS y LET) para señalar cuál es el sentido y alcance del permiso </w:t>
      </w:r>
      <w:r>
        <w:lastRenderedPageBreak/>
        <w:t>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4AB97095" w14:textId="77777777" w:rsidR="00A8138F" w:rsidRDefault="00A8138F" w:rsidP="00A8138F">
      <w:pPr>
        <w:pStyle w:val="TextoNormal"/>
      </w:pPr>
    </w:p>
    <w:p w14:paraId="2290ABE4" w14:textId="77777777" w:rsidR="00A8138F" w:rsidRDefault="00A8138F" w:rsidP="00A8138F">
      <w:pPr>
        <w:pStyle w:val="TextoNormal"/>
      </w:pPr>
      <w:r>
        <w:t>Consigna a continuación la decisión del Pleno del Tribunal Constitucional en la STC 140/2024, de 6 de noviembre,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7AA87FCF" w14:textId="77777777" w:rsidR="00A8138F" w:rsidRDefault="00A8138F" w:rsidP="00A8138F">
      <w:pPr>
        <w:pStyle w:val="TextoNormal"/>
      </w:pPr>
    </w:p>
    <w:p w14:paraId="3D3D5F53" w14:textId="0B275A7F" w:rsidR="00A8138F" w:rsidRDefault="00A8138F" w:rsidP="00A8138F">
      <w:pPr>
        <w:pStyle w:val="TextoNormal"/>
      </w:pPr>
      <w:r>
        <w:t>El letrado, a la vista de lo anterior, “para evitar reiteraciones innecesarias, se ratifica en las alegaciones realizadas a lo largo de todo el procedimiento” al tiempo que sostiene que, en todo caso, el reconocimiento de las diez semanas adicionales “quedará supeditado al cumplimiento del resto de los requisitos legalmente establecidos para el percibo de la prestación, en los que se incluye el haber hecho efectivo el descanso, sin prestar servicios por cuenta ajena ni percibir las correspondientes retribuciones”.</w:t>
      </w:r>
    </w:p>
    <w:p w14:paraId="2193E866" w14:textId="77777777" w:rsidR="00A8138F" w:rsidRDefault="00A8138F" w:rsidP="00A8138F">
      <w:pPr>
        <w:pStyle w:val="TextoNormal"/>
      </w:pPr>
    </w:p>
    <w:p w14:paraId="44985602" w14:textId="6905066F" w:rsidR="00A8138F" w:rsidRDefault="00A8138F" w:rsidP="00A8138F">
      <w:pPr>
        <w:pStyle w:val="TextoNormal"/>
      </w:pPr>
      <w:r w:rsidRPr="00A8138F">
        <w:rPr>
          <w:rStyle w:val="NumeroAFNegritaCaracter"/>
        </w:rPr>
        <w:t>7</w:t>
      </w:r>
      <w:r>
        <w:t>. El 7 de enero de 2025, la representación procesal de la demandante presentó su escrito de alegaciones, poniendo de manifiesto que debe proyectarse al presente asunto lo resuelto en la STC 140/2024,  que estima la cuestión de inconstitucionalidad núm. 6694-2023 y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7DD24DE9" w14:textId="77777777" w:rsidR="00A8138F" w:rsidRDefault="00A8138F" w:rsidP="00A8138F">
      <w:pPr>
        <w:pStyle w:val="TextoNormal"/>
      </w:pPr>
    </w:p>
    <w:p w14:paraId="1E4C8031" w14:textId="77777777" w:rsidR="00A8138F" w:rsidRDefault="00A8138F" w:rsidP="00A8138F">
      <w:pPr>
        <w:pStyle w:val="TextoNormal"/>
      </w:pPr>
      <w:r w:rsidRPr="00A8138F">
        <w:rPr>
          <w:rStyle w:val="NumeroAFNegritaCaracter"/>
        </w:rPr>
        <w:t>8</w:t>
      </w:r>
      <w:r>
        <w:t>. El día 8 de enero de 2025, el Ministerio Fiscal interesó la estimación del recurso de amparo, por considerar vulnerado el derecho fundamental de la recurrente y su hija a la no discriminación (art. 14 CE) con apoyo en STC 140/2024, de 6 de noviembre, de la que reproduce amplios extractos.</w:t>
      </w:r>
    </w:p>
    <w:p w14:paraId="2F4A17B3" w14:textId="77777777" w:rsidR="00A8138F" w:rsidRDefault="00A8138F" w:rsidP="00A8138F">
      <w:pPr>
        <w:pStyle w:val="TextoNormal"/>
      </w:pPr>
    </w:p>
    <w:p w14:paraId="19DE26CF" w14:textId="673CD146" w:rsidR="00A8138F" w:rsidRDefault="00A8138F" w:rsidP="00A8138F">
      <w:pPr>
        <w:pStyle w:val="TextoNormal"/>
      </w:pPr>
      <w:r>
        <w:t xml:space="preserve">El fiscal rechaza que los efectos de la estimación sean los pretendidos por la demandante, esto es, la retroacción a la primera resolución dictada por el INSS, ya que la sentencia del Juzgado de lo Social núm. 30 de Madrid de 28 de enero de 2022, no vulneró el derecho de la demandante y su hija, si bien concedió un número excesivo de semanas de ampliación. Considera que la nulidad debe acordarse respecto de la sentencia dictada por la Sala de los Social del Tribunal Superior de Justicia de Madrid de 19 de octubre de 2022, que resolvió </w:t>
      </w:r>
      <w:r>
        <w:lastRenderedPageBreak/>
        <w:t>los recursos de suplicación de la demandante y el INSS y, por consiguiente, del posterior auto de 12 de julio de 2023 por el que el Tribunal Supremo inadmite el recurso de casación, con retroacción al momento anterior al dictado de la sentencia por el Tribunal Superior de Justicia de Madrid.</w:t>
      </w:r>
    </w:p>
    <w:p w14:paraId="528AE30F" w14:textId="77777777" w:rsidR="00A8138F" w:rsidRDefault="00A8138F" w:rsidP="00A8138F">
      <w:pPr>
        <w:pStyle w:val="TextoNormal"/>
      </w:pPr>
    </w:p>
    <w:p w14:paraId="63603361" w14:textId="7CA00499" w:rsidR="00A8138F" w:rsidRDefault="00A8138F" w:rsidP="00A8138F">
      <w:pPr>
        <w:pStyle w:val="TextoNormal"/>
      </w:pPr>
      <w:r w:rsidRPr="00A8138F">
        <w:rPr>
          <w:rStyle w:val="NumeroAFNegritaCaracter"/>
        </w:rPr>
        <w:t>9</w:t>
      </w:r>
      <w:r>
        <w:t>. Mediante providencia de 23 de enero de 2025, se señaló para deliberación y votación de la presente sentencia el día 27 del mismo mes y año.</w:t>
      </w:r>
    </w:p>
    <w:p w14:paraId="457E87DF" w14:textId="77777777" w:rsidR="00A8138F" w:rsidRDefault="00A8138F" w:rsidP="00A8138F">
      <w:pPr>
        <w:pStyle w:val="TextoNormal"/>
      </w:pPr>
    </w:p>
    <w:p w14:paraId="04B6DAE1" w14:textId="77777777" w:rsidR="00A8138F" w:rsidRDefault="00A8138F" w:rsidP="00A8138F">
      <w:pPr>
        <w:pStyle w:val="TextoNormalNegritaCentrado"/>
        <w:keepNext/>
      </w:pPr>
      <w:r>
        <w:t>II. Fundamentos jurídicos</w:t>
      </w:r>
    </w:p>
    <w:p w14:paraId="0CFA45A7" w14:textId="784EDE66" w:rsidR="00A8138F" w:rsidRDefault="00A8138F" w:rsidP="00A8138F">
      <w:pPr>
        <w:pStyle w:val="TextoNormalNegritaCentrado"/>
        <w:keepNext/>
      </w:pPr>
    </w:p>
    <w:p w14:paraId="3252BEFE"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6410F6A8" w14:textId="77777777" w:rsidR="00A8138F" w:rsidRDefault="00A8138F" w:rsidP="00A8138F">
      <w:pPr>
        <w:pStyle w:val="TextoNormal"/>
      </w:pPr>
    </w:p>
    <w:p w14:paraId="0EB50C70" w14:textId="77777777" w:rsidR="00A8138F" w:rsidRDefault="00A8138F" w:rsidP="00A8138F">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01BD37B5" w14:textId="77777777" w:rsidR="00A8138F" w:rsidRDefault="00A8138F" w:rsidP="00A8138F">
      <w:pPr>
        <w:pStyle w:val="TextoNormal"/>
      </w:pPr>
    </w:p>
    <w:p w14:paraId="3AB8E3B0"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35F4B6E" w14:textId="77777777" w:rsidR="00A8138F" w:rsidRDefault="00A8138F" w:rsidP="00A8138F">
      <w:pPr>
        <w:pStyle w:val="TextoNormal"/>
      </w:pPr>
    </w:p>
    <w:p w14:paraId="05A7183D"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358A3DC" w14:textId="77777777" w:rsidR="00A8138F" w:rsidRDefault="00A8138F" w:rsidP="00A8138F">
      <w:pPr>
        <w:pStyle w:val="TextoNormal"/>
      </w:pPr>
    </w:p>
    <w:p w14:paraId="35520110" w14:textId="77777777" w:rsidR="00A8138F" w:rsidRDefault="00A8138F" w:rsidP="00A8138F">
      <w:pPr>
        <w:pStyle w:val="TextoNormal"/>
      </w:pPr>
      <w:r>
        <w:lastRenderedPageBreak/>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5AE17C10" w14:textId="77777777" w:rsidR="00A8138F" w:rsidRDefault="00A8138F" w:rsidP="00A8138F">
      <w:pPr>
        <w:pStyle w:val="TextoNormal"/>
      </w:pPr>
    </w:p>
    <w:p w14:paraId="459E6D28" w14:textId="3C1D599F"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FAACB2F" w14:textId="77777777" w:rsidR="00A8138F" w:rsidRDefault="00A8138F" w:rsidP="00A8138F">
      <w:pPr>
        <w:pStyle w:val="TextoNormal"/>
      </w:pPr>
    </w:p>
    <w:p w14:paraId="29C4C0CB" w14:textId="77777777" w:rsidR="00A8138F" w:rsidRDefault="00A8138F" w:rsidP="00A8138F">
      <w:pPr>
        <w:pStyle w:val="TextoNormalCentrado"/>
        <w:keepNext/>
      </w:pPr>
      <w:r>
        <w:t>FALLO</w:t>
      </w:r>
    </w:p>
    <w:p w14:paraId="5F5118A5" w14:textId="452B50BA" w:rsidR="00A8138F" w:rsidRDefault="00A8138F" w:rsidP="00A8138F">
      <w:pPr>
        <w:pStyle w:val="TextoNormalCentrado"/>
        <w:keepNext/>
      </w:pPr>
    </w:p>
    <w:p w14:paraId="2F835225"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Laura Ramírez Rodrigo y, en su virtud:</w:t>
      </w:r>
    </w:p>
    <w:p w14:paraId="18505286" w14:textId="77777777" w:rsidR="00A8138F" w:rsidRDefault="00A8138F" w:rsidP="00A8138F">
      <w:pPr>
        <w:pStyle w:val="TextoNormal"/>
      </w:pPr>
    </w:p>
    <w:p w14:paraId="317BAEA3" w14:textId="77777777" w:rsidR="00A8138F" w:rsidRDefault="00A8138F" w:rsidP="00A8138F">
      <w:pPr>
        <w:pStyle w:val="TextoNormal"/>
      </w:pPr>
      <w:r>
        <w:t>1º Declarar vulnerado su derecho fundamental a la igualdad ante la ley, sin que pueda prevalecer discriminación alguna (art. 14 CE).</w:t>
      </w:r>
    </w:p>
    <w:p w14:paraId="7B05FBA5" w14:textId="77777777" w:rsidR="00A8138F" w:rsidRDefault="00A8138F" w:rsidP="00A8138F">
      <w:pPr>
        <w:pStyle w:val="TextoNormal"/>
      </w:pPr>
    </w:p>
    <w:p w14:paraId="2239CBC5" w14:textId="77777777" w:rsidR="00A8138F" w:rsidRDefault="00A8138F" w:rsidP="00A8138F">
      <w:pPr>
        <w:pStyle w:val="TextoNormal"/>
      </w:pPr>
      <w:r>
        <w:t>2º Restablecerla en su derecho y, en consecuencia, declarar la nulidad de la resolución del Instituto Nacional de la Seguridad Social de 21 de mayo de 2021, la sentencia de 28 de enero de 2022 dictada por el Juzgado de lo Social núm. 30 de Madrid en los autos núm. 685-2021, la sentencia de 19 de octubre de 2022 dictada por la Sala de lo Social del Tribunal Superior de Justicia de Madrid en el recurso de suplicación núm. 694-2022 y el auto de 12 de julio de 2023 de la Sala de lo Social del Tribunal Supremo, que inadmite el recurso de casación para la unificación de doctrina núm. 5724-2022, presentado contra la anterior sentencia.</w:t>
      </w:r>
    </w:p>
    <w:p w14:paraId="3DCFA785" w14:textId="77777777" w:rsidR="00A8138F" w:rsidRDefault="00A8138F" w:rsidP="00A8138F">
      <w:pPr>
        <w:pStyle w:val="TextoNormal"/>
      </w:pPr>
    </w:p>
    <w:p w14:paraId="266AFCBB" w14:textId="35CA3CED" w:rsidR="00A8138F" w:rsidRDefault="00A8138F" w:rsidP="00A8138F">
      <w:pPr>
        <w:pStyle w:val="TextoNormal"/>
      </w:pPr>
      <w:r>
        <w:t>3º Retrotraer las actuaciones al momento previo al dictado de la resolución de 21 de mayo de 2021 a fin de que, en los términos expuestos en el último párrafo del fundamento jurídico único de la presente sentencia, se dicte otra respetuosa con el derecho fundamental vulnerado.</w:t>
      </w:r>
    </w:p>
    <w:p w14:paraId="76807B0C" w14:textId="77777777" w:rsidR="00A8138F" w:rsidRDefault="00A8138F" w:rsidP="00A8138F">
      <w:pPr>
        <w:pStyle w:val="TextoNormal"/>
      </w:pPr>
    </w:p>
    <w:p w14:paraId="2A46C9A1" w14:textId="77777777" w:rsidR="00A8138F" w:rsidRDefault="00A8138F" w:rsidP="00A8138F">
      <w:pPr>
        <w:pStyle w:val="TextoNormal"/>
      </w:pPr>
      <w:r>
        <w:t>Publíquese esta sentencia en el “Boletín Oficial del Estado”.</w:t>
      </w:r>
    </w:p>
    <w:p w14:paraId="5B197F2D" w14:textId="77777777" w:rsidR="00A8138F" w:rsidRDefault="00A8138F" w:rsidP="00A8138F">
      <w:pPr>
        <w:pStyle w:val="TextoNormal"/>
      </w:pPr>
      <w:r>
        <w:t>Dada en Madrid, a veintisiete de enero de dos mil veinticinco.</w:t>
      </w:r>
    </w:p>
    <w:p w14:paraId="7586E6BA" w14:textId="534E5C17" w:rsidR="00A8138F" w:rsidRDefault="00A8138F">
      <w:pPr>
        <w:spacing w:after="160" w:line="278" w:lineRule="auto"/>
        <w:rPr>
          <w:rFonts w:ascii="Times New Roman" w:eastAsia="Times New Roman" w:hAnsi="Times New Roman" w:cs="Times New Roman"/>
          <w:sz w:val="24"/>
          <w:szCs w:val="24"/>
          <w:lang w:eastAsia="es-ES"/>
        </w:rPr>
      </w:pPr>
      <w:r>
        <w:br w:type="page"/>
      </w:r>
    </w:p>
    <w:p w14:paraId="62968A81" w14:textId="77777777" w:rsidR="00A8138F" w:rsidRDefault="00A8138F" w:rsidP="00A8138F">
      <w:pPr>
        <w:pStyle w:val="TtuloResolucin"/>
      </w:pPr>
      <w:bookmarkStart w:id="22" w:name="SENTENCIA_2025_20"/>
      <w:r>
        <w:lastRenderedPageBreak/>
        <w:t>SENTENCIA 20/2025, de 27 de enero de 2025</w:t>
      </w:r>
    </w:p>
    <w:bookmarkEnd w:id="22"/>
    <w:p w14:paraId="3E1CC5E2" w14:textId="77777777" w:rsidR="00A8138F" w:rsidRDefault="00A8138F" w:rsidP="00A8138F">
      <w:pPr>
        <w:pStyle w:val="TtuloResolucin"/>
      </w:pPr>
      <w:r>
        <w:t>Sala Segunda</w:t>
      </w:r>
    </w:p>
    <w:p w14:paraId="037BF636" w14:textId="77777777" w:rsidR="00A8138F" w:rsidRDefault="00A8138F" w:rsidP="00A8138F">
      <w:pPr>
        <w:pStyle w:val="TtuloBOE"/>
      </w:pPr>
      <w:r>
        <w:t>(BOE núm. 51, de 28 de febrero de 2025)</w:t>
      </w:r>
    </w:p>
    <w:p w14:paraId="1366F590" w14:textId="77777777" w:rsidR="00A8138F" w:rsidRDefault="00A8138F" w:rsidP="00A8138F">
      <w:pPr>
        <w:pStyle w:val="TextoNormalCentrado"/>
      </w:pPr>
      <w:r>
        <w:t>ECLI:ES:TC:2025:20</w:t>
      </w:r>
    </w:p>
    <w:p w14:paraId="4FFABA2F" w14:textId="60C57D5B" w:rsidR="00A8138F" w:rsidRDefault="00A8138F" w:rsidP="00A8138F">
      <w:pPr>
        <w:pStyle w:val="TextoNormalCentrado"/>
      </w:pPr>
    </w:p>
    <w:p w14:paraId="5060DEF0" w14:textId="77777777" w:rsidR="00A8138F" w:rsidRDefault="00A8138F" w:rsidP="00A8138F">
      <w:pPr>
        <w:pStyle w:val="SntesisDescriptiva"/>
      </w:pPr>
      <w:r>
        <w:t>Recurso de amparo 612-2024. Promovido por doña María José Rubio Ávila en relación con las resoluciones administrativas y judiciales que desestimaron su petición de revisión y ampliación de la prestación por nacimiento y cuidado de hijo menor, como madre biológica de familia monoparental.</w:t>
      </w:r>
    </w:p>
    <w:p w14:paraId="06EB1D56" w14:textId="66B1DC64" w:rsidR="00A8138F" w:rsidRDefault="00A8138F" w:rsidP="00A8138F">
      <w:pPr>
        <w:pStyle w:val="SntesisDescriptiva"/>
      </w:pPr>
    </w:p>
    <w:p w14:paraId="4C1537C2"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1952E80" w14:textId="668309A0" w:rsidR="00A8138F" w:rsidRDefault="00A8138F" w:rsidP="00A8138F">
      <w:pPr>
        <w:pStyle w:val="SntesisAnaltica"/>
      </w:pPr>
    </w:p>
    <w:p w14:paraId="2132D602" w14:textId="3648E03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70A1211" w14:textId="77777777" w:rsidR="00A8138F" w:rsidRDefault="00A8138F" w:rsidP="00A8138F">
      <w:pPr>
        <w:pStyle w:val="Extracto"/>
      </w:pPr>
    </w:p>
    <w:p w14:paraId="37FC74AD" w14:textId="77777777" w:rsidR="00A8138F" w:rsidRDefault="00A8138F" w:rsidP="00A8138F">
      <w:pPr>
        <w:pStyle w:val="Extracto"/>
      </w:pPr>
    </w:p>
    <w:p w14:paraId="4DE11DCB"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B48A173" w14:textId="131CAB37" w:rsidR="00A8138F" w:rsidRDefault="00A8138F" w:rsidP="00A8138F">
      <w:pPr>
        <w:pStyle w:val="TextoNormal"/>
      </w:pPr>
    </w:p>
    <w:p w14:paraId="01634F2B" w14:textId="77777777" w:rsidR="00A8138F" w:rsidRDefault="00A8138F" w:rsidP="00A8138F">
      <w:pPr>
        <w:pStyle w:val="TextoNormalCentrado"/>
        <w:keepNext/>
      </w:pPr>
      <w:r>
        <w:t>EN NOMBRE DEL REY</w:t>
      </w:r>
    </w:p>
    <w:p w14:paraId="1FA790E7" w14:textId="7A6EA2AA" w:rsidR="00A8138F" w:rsidRDefault="00A8138F" w:rsidP="00A8138F">
      <w:pPr>
        <w:pStyle w:val="TextoNormalCentrado"/>
        <w:keepNext/>
      </w:pPr>
    </w:p>
    <w:p w14:paraId="22C07DE5" w14:textId="77777777" w:rsidR="00A8138F" w:rsidRDefault="00A8138F" w:rsidP="00A8138F">
      <w:pPr>
        <w:pStyle w:val="TextoNormalCentrado"/>
        <w:keepNext/>
      </w:pPr>
    </w:p>
    <w:p w14:paraId="0FD7388F" w14:textId="77777777" w:rsidR="00A8138F" w:rsidRDefault="00A8138F" w:rsidP="00A8138F">
      <w:pPr>
        <w:pStyle w:val="TextoNormal"/>
      </w:pPr>
      <w:r>
        <w:t>la siguiente</w:t>
      </w:r>
    </w:p>
    <w:p w14:paraId="255E4351" w14:textId="2C493732" w:rsidR="00A8138F" w:rsidRDefault="00A8138F" w:rsidP="00A8138F">
      <w:pPr>
        <w:pStyle w:val="TextoNormal"/>
      </w:pPr>
    </w:p>
    <w:p w14:paraId="5F32FCD1" w14:textId="77777777" w:rsidR="00A8138F" w:rsidRDefault="00A8138F" w:rsidP="00A8138F">
      <w:pPr>
        <w:pStyle w:val="TextoNormalCentrado"/>
        <w:keepNext/>
      </w:pPr>
      <w:r>
        <w:t>SENTENCIA</w:t>
      </w:r>
    </w:p>
    <w:p w14:paraId="065B8043" w14:textId="7F5446F4" w:rsidR="00A8138F" w:rsidRDefault="00A8138F" w:rsidP="00A8138F">
      <w:pPr>
        <w:pStyle w:val="TextoNormalCentrado"/>
        <w:keepNext/>
      </w:pPr>
    </w:p>
    <w:p w14:paraId="2029A640" w14:textId="77777777" w:rsidR="00A8138F" w:rsidRDefault="00A8138F" w:rsidP="00A8138F">
      <w:pPr>
        <w:pStyle w:val="TextoNormal"/>
      </w:pPr>
      <w:r>
        <w:t xml:space="preserve">En el recurso de amparo núm. 612-2024, promovido por doña María José Rubio Ávila, representada por la procuradora de los tribunales doña María del Carmen Palomares Quesada y asistida por el letrado don Agustín Aguiló Durán, contra la resolución del Instituto Nacional de la Seguridad Social (INSS) de 14 de mayo de 2021, denegatoria de la solicitud de ampliación de la prestación por nacimiento y cuidado de sus hijas menores como madre biológica de familia monoparental; y la sentencia núm. 1097/2023, de 30 de noviembre, de la Sala de lo Social del Tribunal Supremo (recurso de casación para la unificación de doctrina núm. 3373-2022), que estimó el recurso presentado por la representación del INSS, anulando las sentencias de 30 de agosto de 2021 dictada por el Juzgado de lo Social núm. 1 de Ibiza que estimaba la demanda entablada por la recurrente contra el INSS (autos núm. 445-2021), así como la sentencia de la Sala de lo Social del Tribunal Superior de Justicia de las Islas Baleares, de 13 de mayo de 2022 que desestimaba el recurso de suplicación núm. 583-2021, formalizado por el letrado del INSS contra aquella y absolviendo a la demandada de todos los pedimentos. Han intervenido la letrada de la administración de la Seguridad </w:t>
      </w:r>
      <w:r>
        <w:lastRenderedPageBreak/>
        <w:t>Social, en nombre del INSS y el Ministerio Fiscal. Ha sido ponente la magistrada doña Laura Díez Bueso.</w:t>
      </w:r>
    </w:p>
    <w:p w14:paraId="31888E28" w14:textId="615F4D69" w:rsidR="00A8138F" w:rsidRDefault="00A8138F" w:rsidP="00A8138F">
      <w:pPr>
        <w:pStyle w:val="TextoNormal"/>
      </w:pPr>
    </w:p>
    <w:p w14:paraId="54BEFD90" w14:textId="77777777" w:rsidR="00A8138F" w:rsidRDefault="00A8138F" w:rsidP="00A8138F">
      <w:pPr>
        <w:pStyle w:val="TextoNormalNegritaCentrado"/>
        <w:keepNext/>
      </w:pPr>
      <w:r>
        <w:t>I. Antecedentes</w:t>
      </w:r>
    </w:p>
    <w:p w14:paraId="60BB5E46" w14:textId="0F1C88F6" w:rsidR="00A8138F" w:rsidRDefault="00A8138F" w:rsidP="00A8138F">
      <w:pPr>
        <w:pStyle w:val="TextoNormalNegritaCentrado"/>
        <w:keepNext/>
      </w:pPr>
    </w:p>
    <w:p w14:paraId="0EF15F4B" w14:textId="4EFC1F12" w:rsidR="00A8138F" w:rsidRDefault="00A8138F" w:rsidP="00A8138F">
      <w:pPr>
        <w:pStyle w:val="TextoNormal"/>
      </w:pPr>
      <w:r w:rsidRPr="00A8138F">
        <w:rPr>
          <w:rStyle w:val="NumeroAFNegritaCaracter"/>
        </w:rPr>
        <w:t>1</w:t>
      </w:r>
      <w:r>
        <w:t>. Mediante escrito registrado en este tribunal el 29 de enero de 2024, la representante procesal de doña María José Rubio Ávila, bajo la dirección letrada de don Agustín Aguiló Durán, interpuso recurso de amparo contra la resolución administrativa y judicial a las que se ha hecho referencia en el encabezamiento de esta sentencia.</w:t>
      </w:r>
    </w:p>
    <w:p w14:paraId="06101189" w14:textId="77777777" w:rsidR="00A8138F" w:rsidRDefault="00A8138F" w:rsidP="00A8138F">
      <w:pPr>
        <w:pStyle w:val="TextoNormal"/>
      </w:pPr>
    </w:p>
    <w:p w14:paraId="2065DC6D"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100EF543" w14:textId="77777777" w:rsidR="00A8138F" w:rsidRDefault="00A8138F" w:rsidP="00A8138F">
      <w:pPr>
        <w:pStyle w:val="TextoNormal"/>
      </w:pPr>
    </w:p>
    <w:p w14:paraId="567356B6" w14:textId="77777777" w:rsidR="00A8138F" w:rsidRDefault="00A8138F" w:rsidP="00A8138F">
      <w:pPr>
        <w:pStyle w:val="TextoNormal"/>
      </w:pPr>
      <w:r>
        <w:t>a) La señora Rubio Ávila es madre biológica de dos mellizas, nacidas el 4 de agosto de 2020, siendo su única progenitora registral. Por resolución de 7 de octubre de 2020 le fue reconocido por el INSS el derecho a la prestación de nacimiento y cuidado de las menores por el período comprendido entre el 4 de agosto y el 7 de diciembre de 2020 (dieciocho semanas, al tratarse de parto múltiple). El 27 de abril de 2021 solicitó la ampliación de su permiso, añadiendo al período ya reconocido el que consideraba hubiera correspondido al segundo progenitor en el supuesto de una familia biparental.</w:t>
      </w:r>
    </w:p>
    <w:p w14:paraId="1E7F70C6" w14:textId="77777777" w:rsidR="00A8138F" w:rsidRDefault="00A8138F" w:rsidP="00A8138F">
      <w:pPr>
        <w:pStyle w:val="TextoNormal"/>
      </w:pPr>
    </w:p>
    <w:p w14:paraId="366EB12B" w14:textId="77777777" w:rsidR="00A8138F" w:rsidRDefault="00A8138F" w:rsidP="00A8138F">
      <w:pPr>
        <w:pStyle w:val="TextoNormal"/>
      </w:pPr>
      <w:r>
        <w:t>b) Tramitada la anterior solicitud en forma de reclamación previa, la pretensión fue rechazada por el INSS mediante resolución de 14 de mayo de 2021, por “[n]o encontrarse en ninguna de las situaciones protegidas, de acuerdo con lo previsto en los artículos 177 y 318 del texto refundido de la Ley general de la Seguridad Social […] [a]sí como en los artículos 45.1 d) y 48 del texto refundido de la Ley del estatuto de los trabajadores […] [y] en los artículos 2, 3, 22, y 23 del Real Decreto 295/2009, de 6 de marzo, por el que se regulan las prestaciones económicas del sistema de la Seguridad Social por maternidad, paternidad”.</w:t>
      </w:r>
    </w:p>
    <w:p w14:paraId="501E37F7" w14:textId="77777777" w:rsidR="00A8138F" w:rsidRDefault="00A8138F" w:rsidP="00A8138F">
      <w:pPr>
        <w:pStyle w:val="TextoNormal"/>
      </w:pPr>
    </w:p>
    <w:p w14:paraId="69FAD25E" w14:textId="77777777" w:rsidR="00A8138F" w:rsidRDefault="00A8138F" w:rsidP="00A8138F">
      <w:pPr>
        <w:pStyle w:val="TextoNormal"/>
      </w:pPr>
      <w:r>
        <w:t>c) La recurrente presentó demanda contra el INSS por entender que se estaba discriminando al menor por razón de nacimiento y pertenecer a una familia monoparental, solicitando que se le reconociera el derecho a “ampliar su permiso por nacimiento y cuidado de menor que la norma actual reconoce al otro progenitor”.</w:t>
      </w:r>
    </w:p>
    <w:p w14:paraId="0554663D" w14:textId="77777777" w:rsidR="00A8138F" w:rsidRDefault="00A8138F" w:rsidP="00A8138F">
      <w:pPr>
        <w:pStyle w:val="TextoNormal"/>
      </w:pPr>
    </w:p>
    <w:p w14:paraId="258ECBD4" w14:textId="77777777" w:rsidR="00A8138F" w:rsidRDefault="00A8138F" w:rsidP="00A8138F">
      <w:pPr>
        <w:pStyle w:val="TextoNormal"/>
      </w:pPr>
      <w:r>
        <w:t>En la demanda se invocaban expresamente, entre otras disposiciones, los arts. 10, 14 y 39 CE, así como la Convención sobre los derechos del niño, aparte de citar textualmente la sentencia del Tribunal Superior de Justicia del País Vasco 1217/2020, de 6 de octubre (ECLI:ES:TSJPV:2020:396), alegando en definitiva que “se pretende el reconocimiento del derecho al permiso por nacimiento y cuidado de menor —que, por norma, corresponde al progenitor distinto de la madre biológica— por la propia madre biológica y única progenitora de esta familia monoparental, no por entender que exista discriminación entre progenitores de distinto sexo, sino porque todos/as los/as niños/as merecen la misma atención y el mismo cuidado, tengan uno o dos progenitores, se encuentren en el tipo de familia que se encuentren”.</w:t>
      </w:r>
    </w:p>
    <w:p w14:paraId="7227CD8A" w14:textId="77777777" w:rsidR="00A8138F" w:rsidRDefault="00A8138F" w:rsidP="00A8138F">
      <w:pPr>
        <w:pStyle w:val="TextoNormal"/>
      </w:pPr>
    </w:p>
    <w:p w14:paraId="628A3D37" w14:textId="77777777" w:rsidR="00A8138F" w:rsidRDefault="00A8138F" w:rsidP="00A8138F">
      <w:pPr>
        <w:pStyle w:val="TextoNormal"/>
      </w:pPr>
      <w:r>
        <w:lastRenderedPageBreak/>
        <w:t>d) Mediante sentencia de 30 de agosto de 2021 (procedimiento de Seguridad Social núm. 445-2021), el Juzgado de lo Social núm. 1 de Ibiza estimó parcialmente la demanda interpuesta y declaró el derecho de la actora al “reconocimiento de la ampliación de permiso por nacimiento de hijo de ocho semanas adicionales, determinando ello el abono de la prestación correspondiente a los términos y la cuantía que reglamentariamente se determinen con una base reguladora de 84,95 € día”, quedando el INSS obligado a estar y pasar por esta declaración. La sentencia consideró que, de conformidad con la Convención sobre los derechos del niño, y con la extensión del permiso de paternidad acordada por el Real Decreto-ley 6/2019, la interpretación de las normas aplicables [art. 48 del texto refundido de la Ley del estatuto de los trabajadores, aprobado por el Real Decreto Legislativo 2/2015, de 23 de octubre (en adelante LET) y art. 177 del texto refundido de la Ley general de la Seguridad Social aprobado por el Real Decreto Legislativo 8/2015, de 30 de octubre (en adelante LGSS)] realizada por la Sala de lo Social del Tribunal Superior de Justicia del País Vasco, a cuya doctrina se remitió literal y expresamente, la pretensión había de ser estimada en protección del interés superior del menor. En tal sentido advierte que “puede existir una justificación del trato dispar a las formas de unidad de las parejas, pero de ella no puede inferirse un trato desigual a las familias que integran el hecho de la maternidad, acogimiento, adopción o guarda, pues la opción por el hogar monoparental no delimita un vínculo diferente de filiación determinante del cuidado y atención del menor, y sus propios derechos. Por tanto, es posible suscitar una quiebra del principio de igualdad del art. 14 CE”.</w:t>
      </w:r>
    </w:p>
    <w:p w14:paraId="056AB79A" w14:textId="77777777" w:rsidR="00A8138F" w:rsidRDefault="00A8138F" w:rsidP="00A8138F">
      <w:pPr>
        <w:pStyle w:val="TextoNormal"/>
      </w:pPr>
    </w:p>
    <w:p w14:paraId="2E602E8B" w14:textId="77777777" w:rsidR="00A8138F" w:rsidRDefault="00A8138F" w:rsidP="00A8138F">
      <w:pPr>
        <w:pStyle w:val="TextoNormal"/>
      </w:pPr>
      <w:r>
        <w:t>e) El INSS recurrió en suplicación la sentencia de instancia alegando la vulneración del art. 177 LGSS en relación con el art. 49 a) y c) del texto refundido de la Ley del estatuto básico del empleado público, aprobado por Real Decreto Legislativo 5/2015, de 30 de octubre (en adelante TRLEEP), pues “los permisos por nacimiento y cuidado de menor no se configuran como un derecho familiar, sino como un derecho individual e intransferible de cada progenitor”.</w:t>
      </w:r>
    </w:p>
    <w:p w14:paraId="300392B0" w14:textId="77777777" w:rsidR="00A8138F" w:rsidRDefault="00A8138F" w:rsidP="00A8138F">
      <w:pPr>
        <w:pStyle w:val="TextoNormal"/>
      </w:pPr>
    </w:p>
    <w:p w14:paraId="2949D9D7" w14:textId="77777777" w:rsidR="00A8138F" w:rsidRDefault="00A8138F" w:rsidP="00A8138F">
      <w:pPr>
        <w:pStyle w:val="TextoNormal"/>
      </w:pPr>
      <w:r>
        <w:t>f) Mediante sentencia de 13 de mayo de 2022 (recurso de suplicación núm. 583-2021) fue desestimado el recurso formulado por la representación del INSS. Al justificar su decisión, la Sala de lo Social del Tribunal Superior de Justicia de las Islas Baleares, tras precisar que es aplicable el art. 49 TRLEEP, subraya que el Real Decreto-ley 6/2019, de 1 de marzo, de medidas urgentes para garantía de la igualdad de trato y de oportunidades entre mujeres y hombres en el empleo y la ocupación, que reforma los permisos por maternidad y paternidad, impide una interpretación que lleve a reconocer a uno de los progenitores permisos de mayor duración que al otro para garantizar el principio de corresponsabilidad en el cuidado de los hijos y, en consecuencia, son intransferibles pues lo contrario supondría una quiebra del principio de corresponsabilidad al permitir volver a la situación en que uno de los progenitores, normalmente la madre, asumía el grueso del cuidado de los hijos. Pero, afirmado lo anterior, advierte que “lo que se ha reconocido en la sentencia recurrida no es una transferencia del permiso del padre a la madre porque nos encontramos ante una familia monoparental, en la que hay un solo progenitor, por lo que no es posible transferencia alguna de permisos ni, tampoco, existe posibilidad de corresponsabilidad de ambos progenitores”. Para el órgano judicial lo que existe en el presente caso es un permiso por nacimiento de hijo cuya finalidad es la promoción de la conciliación de la vida personal y familiar, en la que entra en juego el interés del menor. Así, sostiene que “[e]n los nuevos permisos de dieciséis semanas hay un período de seis semanas que deben disfrutarse necesariamente con carácter ininterrumpido y con posterioridad al parto. Pero transcurrido este periodo los pro</w:t>
      </w:r>
      <w:r>
        <w:lastRenderedPageBreak/>
        <w:t>genitores pueden disfrutar de las diez semanas restantes de permiso de manera interrumpida y hasta que el menor alcance la edad de doce meses, lo que permite que el menor pueda disfrutar de la compañía y cuidados de uno de los progenitores durante un total de veintiséis semanas si los padres optan por un disfrute no simultaneo sino alternativo de esas diez semanas”.</w:t>
      </w:r>
    </w:p>
    <w:p w14:paraId="7F47261D" w14:textId="77777777" w:rsidR="00A8138F" w:rsidRDefault="00A8138F" w:rsidP="00A8138F">
      <w:pPr>
        <w:pStyle w:val="TextoNormal"/>
      </w:pPr>
    </w:p>
    <w:p w14:paraId="71826D0B" w14:textId="77777777" w:rsidR="00A8138F" w:rsidRDefault="00A8138F" w:rsidP="00A8138F">
      <w:pPr>
        <w:pStyle w:val="TextoNormal"/>
      </w:pPr>
      <w:r>
        <w:t>Para la Sala es obvio que “[e]sta posibilidad tiene por objeto la promoción de la vida familiar y laboral y muy especialmente el interés del menor” y que “[s]i en las familias monoparentales el permiso por nacimiento de hijos se limitase en su duración al correspondiente solo a uno de los progenitores los hijos en este tipo de familias verían reducido el tiempo de cuidado o compañía del padre o madre durante los doce primeros meses de vida en comparación con los hijos de familias con dos progenitores y esta es una situación que no puede aceptarse atendiendo al principio general de interés superior del menor consagrado en el artículo 3.1 de la Convención de Naciones Unidas sobre los derechos del niño, ratificado mediante instrumento de 20 de noviembre de 1989 (“Boletín Oficial del Estado” núm. 313 de 31 de diciembre de 1990), al que añade el mandato del art. 39.4 CE.</w:t>
      </w:r>
    </w:p>
    <w:p w14:paraId="54790C7C" w14:textId="77777777" w:rsidR="00A8138F" w:rsidRDefault="00A8138F" w:rsidP="00A8138F">
      <w:pPr>
        <w:pStyle w:val="TextoNormal"/>
      </w:pPr>
    </w:p>
    <w:p w14:paraId="0EC43C12" w14:textId="77777777" w:rsidR="00A8138F" w:rsidRDefault="00A8138F" w:rsidP="00A8138F">
      <w:pPr>
        <w:pStyle w:val="TextoNormal"/>
      </w:pPr>
      <w:r>
        <w:t>g) La letrada de la administración de la Seguridad Social interpuso recurso de casación para la unificación de doctrina en el que invocó como sentencia contradictoria la sentencia núm. 3020/2021, de 19 de octubre, dictada por la Sala de lo Social del Tribunal Superior de Justicia de la Comunidad Valenciana (ECLI:ES:TSJCV:2021:4451) y argumentó la infracción de las normas reguladoras de la prestación por nacimiento y cuidado de menor.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14:paraId="74036250" w14:textId="77777777" w:rsidR="00A8138F" w:rsidRDefault="00A8138F" w:rsidP="00A8138F">
      <w:pPr>
        <w:pStyle w:val="TextoNormal"/>
      </w:pPr>
    </w:p>
    <w:p w14:paraId="330F4AD1" w14:textId="334BB65C" w:rsidR="00A8138F" w:rsidRDefault="00A8138F" w:rsidP="00A8138F">
      <w:pPr>
        <w:pStyle w:val="TextoNormal"/>
      </w:pPr>
      <w:r>
        <w:t>h) El recurso de casación para la unificación de doctrina fue estimado por sentencia núm. 1097/2023, de 30 de noviembre (recurso núm. 3373-2022), con apoyo en la doctrina fijada por la STS 169/2023, de 2 de marzo, del Pleno de lo Social del Tribunal Supremo (ECLI:ES:TS:2023:783), según la cual, la naturaleza y finalidad del permiso a los progenitores por nacimiento de un hijo, la taxativa regulación normativa de este en la Ley del estatuto de los trabajadores y la Ley general de la Seguridad Social,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 En virtud de todo ello, el fallo de la sentencia acordaba la nulidad de la sentencia dictada por la Sala de lo Social del Tribunal Superior de Justicia de las Islas Baleares, así como “resolver el debate en suplicación estimando el de tal clase entablado por la entidad gestora y, en consecuencia, revocar la sentencia dictada por el Juzgado de lo Social núm. 1 de Eivissa de fecha 30 de agosto de 2021 en autos 445-2021, para desestimar la demanda entablada por doña María José Rubio Ávila ratificando el contenido de la resolución del INSS de 14 de mayo de 2021”.</w:t>
      </w:r>
    </w:p>
    <w:p w14:paraId="5C75A824" w14:textId="77777777" w:rsidR="00A8138F" w:rsidRDefault="00A8138F" w:rsidP="00A8138F">
      <w:pPr>
        <w:pStyle w:val="TextoNormal"/>
      </w:pPr>
    </w:p>
    <w:p w14:paraId="07B0387E" w14:textId="77777777" w:rsidR="00A8138F" w:rsidRDefault="00A8138F" w:rsidP="00A8138F">
      <w:pPr>
        <w:pStyle w:val="TextoNormal"/>
      </w:pPr>
      <w:r w:rsidRPr="00A8138F">
        <w:rPr>
          <w:rStyle w:val="NumeroAFNegritaCaracter"/>
        </w:rPr>
        <w:lastRenderedPageBreak/>
        <w:t>3</w:t>
      </w:r>
      <w:r>
        <w:t>. Los motivos por los que la demandante solicita el amparo, todos por infracción del art. 14 CE en relación con los arts. 39 y 41 CE, se articulan esencialmente en torno al voto particular, emitido por cinco magistrados, a la sentencia dictada por la Sala de lo Social del Tribunal Supremo núm. 169/2023, de 2 de marzo a la que se remite la sentencia de casación impugnada en este recurso de amparo, alegando principalmente: (i) las mayores dificultades que encuentran las familias monoparentales para hacer efectiva la conciliación de la vida laboral y familiar;(ii) el dato sociológico de que la condición de progenitor único suele afectar en su mayoría a las mujeres, lo que determina una quiebra del principio de igualdad (art. 14 CE); y (iii) que los mayores y principales perjudicados son los menores, al ver injustamente reducido el tiempo de cuidado y compañía con su madres durante los doce primeros meses de vida en comparación con los hijos de familias con dos progenitores, invocando a tal efecto el principio general de interés superior del menor consagrado en el art 3. de la Convención de Naciones Unidas sobre los derechos del niño, al que implícitamente remite el art. 39.4 CE.</w:t>
      </w:r>
    </w:p>
    <w:p w14:paraId="115E768B" w14:textId="77777777" w:rsidR="00A8138F" w:rsidRDefault="00A8138F" w:rsidP="00A8138F">
      <w:pPr>
        <w:pStyle w:val="TextoNormal"/>
      </w:pPr>
    </w:p>
    <w:p w14:paraId="45909905" w14:textId="77777777" w:rsidR="00A8138F" w:rsidRDefault="00A8138F" w:rsidP="00A8138F">
      <w:pPr>
        <w:pStyle w:val="TextoNormal"/>
      </w:pPr>
      <w:r>
        <w:t>De todo ello resulta, a juicio de la recurrente, (i) la preterición del interés prevalente de los menores; (ii) la discriminación de estos por formar parte de un modelo de familia monoparental, en comparación con los hijos de familias de dos progenitores; y (iii) la discriminación por razón de la condición de mujer y madre de una familia monoparental en comparación con los modelos familiares con dos progenitores.</w:t>
      </w:r>
    </w:p>
    <w:p w14:paraId="7D0CD4E3" w14:textId="77777777" w:rsidR="00A8138F" w:rsidRDefault="00A8138F" w:rsidP="00A8138F">
      <w:pPr>
        <w:pStyle w:val="TextoNormal"/>
      </w:pPr>
    </w:p>
    <w:p w14:paraId="76A3920D" w14:textId="42F71B48" w:rsidR="00A8138F" w:rsidRDefault="00A8138F" w:rsidP="00A8138F">
      <w:pPr>
        <w:pStyle w:val="TextoNormal"/>
      </w:pPr>
      <w:r>
        <w:t>En virtud de todo ello interesa de este tribunal que, además del reconocimiento de la vulneración de los derechos fundamentales invocados, declare su derecho a la ampliación del permiso por nacimiento de hijo en ocho semanas adicionales, y la nulidad de la sentencia de la Sala de lo Social del Tribunal Supremo 1097/2023, de 30 de noviembre, y la consiguiente firmeza de la sentencia de la Sala de lo Social del Tribunal Superior de Justicia de las Islas Baleares de 13 de mayo de 2022 (recurso de suplicación núm. 583-2021), “y consecuentemente la nulidad de la resolución del Instituto Nacional de la Seguridad Social de 14 de mayo de 2021 que denegó la ampliación del permiso”.</w:t>
      </w:r>
    </w:p>
    <w:p w14:paraId="1D83EB96" w14:textId="77777777" w:rsidR="00A8138F" w:rsidRDefault="00A8138F" w:rsidP="00A8138F">
      <w:pPr>
        <w:pStyle w:val="TextoNormal"/>
      </w:pPr>
    </w:p>
    <w:p w14:paraId="1809FD21" w14:textId="1ADE6BFD" w:rsidR="00A8138F" w:rsidRDefault="00A8138F" w:rsidP="00A8138F">
      <w:pPr>
        <w:pStyle w:val="TextoNormal"/>
      </w:pPr>
      <w:r w:rsidRPr="00A8138F">
        <w:rPr>
          <w:rStyle w:val="NumeroAFNegritaCaracter"/>
        </w:rPr>
        <w:t>4</w:t>
      </w:r>
      <w:r>
        <w:t>. Mediante providencia de 21 de octubre de 2024, la Sección Tercera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 las Islas Baleares, a fin de que, en plazo que no excediera de diez días, remitiera testimonio de lo actuado en el recurso de casación para unificación de doctrina núm. 3373-2022 y en el recurso de suplicación núm. 583-2021, respectivamente, y al Juzgado de lo Social núm. 1 de Ibiza, a fin de que, en el mismo plazo, remitiera testimonio de las actuaciones correspondientes al procedimiento núm. 445-2021; debiendo previamente emplazarse, para que en el plazo de diez días pudieran comparecer, si lo deseaban, en el recurso de amparo a quienes hubieran sido parte en el procedimiento, excepto la parte recurrente.</w:t>
      </w:r>
    </w:p>
    <w:p w14:paraId="21905D99" w14:textId="77777777" w:rsidR="00A8138F" w:rsidRDefault="00A8138F" w:rsidP="00A8138F">
      <w:pPr>
        <w:pStyle w:val="TextoNormal"/>
      </w:pPr>
    </w:p>
    <w:p w14:paraId="1466E1EC" w14:textId="6E19D205" w:rsidR="00A8138F" w:rsidRDefault="00A8138F" w:rsidP="00A8138F">
      <w:pPr>
        <w:pStyle w:val="TextoNormal"/>
      </w:pPr>
      <w:r w:rsidRPr="00A8138F">
        <w:rPr>
          <w:rStyle w:val="NumeroAFNegritaCaracter"/>
        </w:rPr>
        <w:lastRenderedPageBreak/>
        <w:t>5</w:t>
      </w:r>
      <w:r>
        <w:t>. Una vez la letrada de la administración de la Seguridad Social solicitó su personación en nombre del INSS y la TGSS, mediante diligencia de ordenación de 26 de noviembre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14:paraId="25476855" w14:textId="77777777" w:rsidR="00A8138F" w:rsidRDefault="00A8138F" w:rsidP="00A8138F">
      <w:pPr>
        <w:pStyle w:val="TextoNormal"/>
      </w:pPr>
    </w:p>
    <w:p w14:paraId="06DAE1E0" w14:textId="77777777" w:rsidR="00A8138F" w:rsidRDefault="00A8138F" w:rsidP="00A8138F">
      <w:pPr>
        <w:pStyle w:val="TextoNormal"/>
      </w:pPr>
      <w:r w:rsidRPr="00A8138F">
        <w:rPr>
          <w:rStyle w:val="NumeroAFNegritaCaracter"/>
        </w:rPr>
        <w:t>6</w:t>
      </w:r>
      <w:r>
        <w:t>. La letrada de la administración de la Seguridad Social presentó sus alegaciones el día 17 de diciembre de 2024. En ellas identifica y describe el contenido de las normas legales aplicables para la resolución de su pretensión (LGSS, LET y TRLEEP)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316AE11C" w14:textId="77777777" w:rsidR="00A8138F" w:rsidRDefault="00A8138F" w:rsidP="00A8138F">
      <w:pPr>
        <w:pStyle w:val="TextoNormal"/>
      </w:pPr>
    </w:p>
    <w:p w14:paraId="17644E0A" w14:textId="77777777" w:rsidR="00A8138F" w:rsidRDefault="00A8138F" w:rsidP="00A8138F">
      <w:pPr>
        <w:pStyle w:val="TextoNormal"/>
      </w:pPr>
      <w:r>
        <w:t>Consigna a continuación la decisión del Pleno del Tribunal Constitucional en la STC 140/2024, de 6 de noviembre,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27B86DA1" w14:textId="77777777" w:rsidR="00A8138F" w:rsidRDefault="00A8138F" w:rsidP="00A8138F">
      <w:pPr>
        <w:pStyle w:val="TextoNormal"/>
      </w:pPr>
    </w:p>
    <w:p w14:paraId="4ED0CCBB" w14:textId="0AC21898" w:rsidR="00A8138F" w:rsidRDefault="00A8138F" w:rsidP="00A8138F">
      <w:pPr>
        <w:pStyle w:val="TextoNormal"/>
      </w:pPr>
      <w:r>
        <w:t>La letrada, a la vista de lo anterior, “para evitar reiteraciones innecesarias, se ratifica en las alegaciones realizadas a lo largo de todo el procedimiento” al tiempo que sostiene que el reconocimiento de las diez semanas adicionales “quedará supeditado al cumplimiento del resto de los requisitos legalmente establecidos para el percibo de la prestación, en los que se incluye el haber hecho efectivo el descanso, sin prestación [de] servicios por cuenta ajena ni percibir las correspondientes retribuciones”.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14:paraId="62E75574" w14:textId="77777777" w:rsidR="00A8138F" w:rsidRDefault="00A8138F" w:rsidP="00A8138F">
      <w:pPr>
        <w:pStyle w:val="TextoNormal"/>
      </w:pPr>
    </w:p>
    <w:p w14:paraId="359E322E" w14:textId="77777777" w:rsidR="00A8138F" w:rsidRDefault="00A8138F" w:rsidP="00A8138F">
      <w:pPr>
        <w:pStyle w:val="TextoNormal"/>
      </w:pPr>
      <w:r w:rsidRPr="00A8138F">
        <w:rPr>
          <w:rStyle w:val="NumeroAFNegritaCaracter"/>
        </w:rPr>
        <w:t>7</w:t>
      </w:r>
      <w:r>
        <w:t>. El día 23 de diciembre de 2024, el Ministerio Fiscal interesó la estimación del recurso de amparo, por considerar vulnerado el derecho fundamental de la recurrente y sus hijas a la no discriminación (art. 14 CE) con apoyo en la STC 140/2024, de 6 de noviembre, de la que reproduce amplios extractos.</w:t>
      </w:r>
    </w:p>
    <w:p w14:paraId="10C3E4DB" w14:textId="77777777" w:rsidR="00A8138F" w:rsidRDefault="00A8138F" w:rsidP="00A8138F">
      <w:pPr>
        <w:pStyle w:val="TextoNormal"/>
      </w:pPr>
    </w:p>
    <w:p w14:paraId="37B9ABBF" w14:textId="77777777" w:rsidR="00A8138F" w:rsidRDefault="00A8138F" w:rsidP="00A8138F">
      <w:pPr>
        <w:pStyle w:val="TextoNormal"/>
      </w:pPr>
      <w:r>
        <w:lastRenderedPageBreak/>
        <w:t>El fiscal rechaza que los efectos de la estimación sean los pretendidos por la demandante, esto es, la expresa declaración de nulidad de la inicial resolución dictada por el INSS, puesto que ya fue anulada por la sentencia del Tribunal Superior de Justicia de las Islas Baleares que, confirmando la del Juzgado de lo Social núm. 1 de Ibiza, dejó sin efecto dicha resolución administrativa y condenó a la entidad gestora de la Seguridad Social a reconocer el derecho de la demandante a una prestación adicional de ocho semanas por razón de nacimiento y cuidado de sus hijas, de acuerdo con la normativa aplicable en ese momento [disposición transitoria decimotercera.1 d) TRLEEP].</w:t>
      </w:r>
    </w:p>
    <w:p w14:paraId="06D2C0E6" w14:textId="77777777" w:rsidR="00A8138F" w:rsidRDefault="00A8138F" w:rsidP="00A8138F">
      <w:pPr>
        <w:pStyle w:val="TextoNormal"/>
      </w:pPr>
    </w:p>
    <w:p w14:paraId="501306AE" w14:textId="3855BE32" w:rsidR="00A8138F" w:rsidRDefault="00A8138F" w:rsidP="00A8138F">
      <w:pPr>
        <w:pStyle w:val="TextoNormal"/>
      </w:pPr>
      <w:r>
        <w:t>Habida cuenta de que dicho fallo se corresponde esencialmente, en su fundamentación y en sus consecuencias, con la doctrina establecida en la STC 140/2024 —en particular con su fundamento jurídico 7—, procede a juicio de la Fiscalía, de acuerdo con la pretensión asimismo deducida por la actora, anular y dejar sin efecto únicamente la sentencia de la Sala de lo Social del Tribunal Supremo que estimó el recurso de casación promovido por el INSS contra dicha sentencia de suplicación, y acordar la firmeza de esta última.</w:t>
      </w:r>
    </w:p>
    <w:p w14:paraId="41979858" w14:textId="77777777" w:rsidR="00A8138F" w:rsidRDefault="00A8138F" w:rsidP="00A8138F">
      <w:pPr>
        <w:pStyle w:val="TextoNormal"/>
      </w:pPr>
    </w:p>
    <w:p w14:paraId="25B6A28B" w14:textId="43D337D0" w:rsidR="00A8138F" w:rsidRDefault="00A8138F" w:rsidP="00A8138F">
      <w:pPr>
        <w:pStyle w:val="TextoNormal"/>
      </w:pPr>
      <w:r w:rsidRPr="00A8138F">
        <w:rPr>
          <w:rStyle w:val="NumeroAFNegritaCaracter"/>
        </w:rPr>
        <w:t>8</w:t>
      </w:r>
      <w:r>
        <w:t>. El 10 de enero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w:t>
      </w:r>
    </w:p>
    <w:p w14:paraId="3E31EB1B" w14:textId="77777777" w:rsidR="00A8138F" w:rsidRDefault="00A8138F" w:rsidP="00A8138F">
      <w:pPr>
        <w:pStyle w:val="TextoNormal"/>
      </w:pPr>
    </w:p>
    <w:p w14:paraId="7564F814" w14:textId="3D8E1884" w:rsidR="00A8138F" w:rsidRDefault="00A8138F" w:rsidP="00A8138F">
      <w:pPr>
        <w:pStyle w:val="TextoNormal"/>
      </w:pPr>
      <w:r w:rsidRPr="00A8138F">
        <w:rPr>
          <w:rStyle w:val="NumeroAFNegritaCaracter"/>
        </w:rPr>
        <w:t>9</w:t>
      </w:r>
      <w:r>
        <w:t>. Mediante providencia de 23 de enero de 2025, se señaló para deliberación y votación de la presente sentencia el día 27 del mismo mes y año.</w:t>
      </w:r>
    </w:p>
    <w:p w14:paraId="741D3C6E" w14:textId="77777777" w:rsidR="00A8138F" w:rsidRDefault="00A8138F" w:rsidP="00A8138F">
      <w:pPr>
        <w:pStyle w:val="TextoNormal"/>
      </w:pPr>
    </w:p>
    <w:p w14:paraId="64EC01EC" w14:textId="77777777" w:rsidR="00A8138F" w:rsidRDefault="00A8138F" w:rsidP="00A8138F">
      <w:pPr>
        <w:pStyle w:val="TextoNormalNegritaCentrado"/>
        <w:keepNext/>
      </w:pPr>
      <w:r>
        <w:t>II. Fundamentos jurídicos</w:t>
      </w:r>
    </w:p>
    <w:p w14:paraId="57DED71C" w14:textId="1AEF2F08" w:rsidR="00A8138F" w:rsidRDefault="00A8138F" w:rsidP="00A8138F">
      <w:pPr>
        <w:pStyle w:val="TextoNormalNegritaCentrado"/>
        <w:keepNext/>
      </w:pPr>
    </w:p>
    <w:p w14:paraId="38A5946D"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6B4DA002" w14:textId="77777777" w:rsidR="00A8138F" w:rsidRDefault="00A8138F" w:rsidP="00A8138F">
      <w:pPr>
        <w:pStyle w:val="TextoNormal"/>
      </w:pPr>
    </w:p>
    <w:p w14:paraId="0216A2DF" w14:textId="77777777" w:rsidR="00A8138F" w:rsidRDefault="00A8138F" w:rsidP="00A8138F">
      <w:pPr>
        <w:pStyle w:val="TextoNormal"/>
      </w:pPr>
      <w:r>
        <w:t>El objeto del presente proceso es dilucidar si la resolución administrativa del INSS de 14 de mayo de 2021 y la sentencia de la Sala de lo Social del Tribunal Supremo núm. 1097/2023, de 30 de noviembre,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08779ED3" w14:textId="77777777" w:rsidR="00A8138F" w:rsidRDefault="00A8138F" w:rsidP="00A8138F">
      <w:pPr>
        <w:pStyle w:val="TextoNormal"/>
      </w:pPr>
    </w:p>
    <w:p w14:paraId="2CA4C400"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12350B0" w14:textId="77777777" w:rsidR="00A8138F" w:rsidRDefault="00A8138F" w:rsidP="00A8138F">
      <w:pPr>
        <w:pStyle w:val="TextoNormal"/>
      </w:pPr>
    </w:p>
    <w:p w14:paraId="463164A9" w14:textId="77777777" w:rsidR="00A8138F" w:rsidRDefault="00A8138F" w:rsidP="00A8138F">
      <w:pPr>
        <w:pStyle w:val="TextoNormal"/>
      </w:pPr>
      <w:r>
        <w:t>La citada STC 140/2024 estima la cuestión de inconstitucionalidad planteada y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0E1DC1E" w14:textId="77777777" w:rsidR="00A8138F" w:rsidRDefault="00A8138F" w:rsidP="00A8138F">
      <w:pPr>
        <w:pStyle w:val="TextoNormal"/>
      </w:pPr>
    </w:p>
    <w:p w14:paraId="01356BCA"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1BDCDC8" w14:textId="77777777" w:rsidR="00A8138F" w:rsidRDefault="00A8138F" w:rsidP="00A8138F">
      <w:pPr>
        <w:pStyle w:val="TextoNormal"/>
      </w:pPr>
    </w:p>
    <w:p w14:paraId="77313DC5" w14:textId="43186F29" w:rsidR="00A8138F" w:rsidRDefault="00A8138F" w:rsidP="00A8138F">
      <w:pPr>
        <w:pStyle w:val="TextoNormal"/>
      </w:pPr>
      <w:r>
        <w:t>En consecuencia, debe estimarse la demanda y otorgar el amparo solicitado, y de conformidad con lo expuesto por el Ministerio Fiscal, anular y dejar sin efecto únicamente la sentencia de la Sala de lo Social del Tribunal Supremo núm. 1097/2023, de 30 de noviembre, que estimó el recurso de casación promovido por el INSS contra la sentencia de la Sala de lo Social del Tribunal Superior de Justicia de las Islas Baleares de 13 de mayo de 2022 (recurso de suplicación núm. 583-2021) , y acordar la firmeza de esta última.</w:t>
      </w:r>
    </w:p>
    <w:p w14:paraId="4D8BF7F5" w14:textId="77777777" w:rsidR="00A8138F" w:rsidRDefault="00A8138F" w:rsidP="00A8138F">
      <w:pPr>
        <w:pStyle w:val="TextoNormal"/>
      </w:pPr>
    </w:p>
    <w:p w14:paraId="66171B4C" w14:textId="77777777" w:rsidR="00A8138F" w:rsidRDefault="00A8138F" w:rsidP="00A8138F">
      <w:pPr>
        <w:pStyle w:val="TextoNormalCentrado"/>
        <w:keepNext/>
      </w:pPr>
      <w:r>
        <w:t>FALLO</w:t>
      </w:r>
    </w:p>
    <w:p w14:paraId="59F0C214" w14:textId="0452586E" w:rsidR="00A8138F" w:rsidRDefault="00A8138F" w:rsidP="00A8138F">
      <w:pPr>
        <w:pStyle w:val="TextoNormalCentrado"/>
        <w:keepNext/>
      </w:pPr>
    </w:p>
    <w:p w14:paraId="4E2F4929"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María José Rubio Ávila y, en su virtud:</w:t>
      </w:r>
    </w:p>
    <w:p w14:paraId="0707A69E" w14:textId="77777777" w:rsidR="00A8138F" w:rsidRDefault="00A8138F" w:rsidP="00A8138F">
      <w:pPr>
        <w:pStyle w:val="TextoNormal"/>
      </w:pPr>
    </w:p>
    <w:p w14:paraId="4DF3E124" w14:textId="77777777" w:rsidR="00A8138F" w:rsidRDefault="00A8138F" w:rsidP="00A8138F">
      <w:pPr>
        <w:pStyle w:val="TextoNormal"/>
      </w:pPr>
      <w:r>
        <w:t>1º Declarar vulnerado el derecho fundamental a la igualdad ante la ley, sin que pueda prevalecer discriminación alguna (art. 14 CE).</w:t>
      </w:r>
    </w:p>
    <w:p w14:paraId="46B9F6C0" w14:textId="77777777" w:rsidR="00A8138F" w:rsidRDefault="00A8138F" w:rsidP="00A8138F">
      <w:pPr>
        <w:pStyle w:val="TextoNormal"/>
      </w:pPr>
    </w:p>
    <w:p w14:paraId="60B5F03E" w14:textId="77777777" w:rsidR="00A8138F" w:rsidRDefault="00A8138F" w:rsidP="00A8138F">
      <w:pPr>
        <w:pStyle w:val="TextoNormal"/>
      </w:pPr>
      <w:r>
        <w:t>2º Restablecerla en su derecho y, a tal fin, declarar la nulidad de la sentencia de la Sala de lo Social del Tribunal Supremo núm. 1097/2023, de 30 de noviembre (recurso de casación para unificación de doctrina núm. 3373-2022).</w:t>
      </w:r>
    </w:p>
    <w:p w14:paraId="0E112ABF" w14:textId="77777777" w:rsidR="00A8138F" w:rsidRDefault="00A8138F" w:rsidP="00A8138F">
      <w:pPr>
        <w:pStyle w:val="TextoNormal"/>
      </w:pPr>
    </w:p>
    <w:p w14:paraId="3E51475C" w14:textId="290C71A1" w:rsidR="00A8138F" w:rsidRDefault="00A8138F" w:rsidP="00A8138F">
      <w:pPr>
        <w:pStyle w:val="TextoNormal"/>
      </w:pPr>
      <w:r>
        <w:lastRenderedPageBreak/>
        <w:t>3º Declarar la firmeza de la sentencia de la Sala de lo Social del Tribunal Superior de Justicia de las Islas Baleares de 13 de mayo de 2022 (recurso de suplicación núm. 583-2021).</w:t>
      </w:r>
    </w:p>
    <w:p w14:paraId="2E266F91" w14:textId="77777777" w:rsidR="00A8138F" w:rsidRDefault="00A8138F" w:rsidP="00A8138F">
      <w:pPr>
        <w:pStyle w:val="TextoNormal"/>
      </w:pPr>
    </w:p>
    <w:p w14:paraId="5DBBBF26" w14:textId="77777777" w:rsidR="00A8138F" w:rsidRDefault="00A8138F" w:rsidP="00A8138F">
      <w:pPr>
        <w:pStyle w:val="TextoNormal"/>
      </w:pPr>
      <w:r>
        <w:t>Publíquese esta sentencia en el “Boletín Oficial del Estado”.</w:t>
      </w:r>
    </w:p>
    <w:p w14:paraId="6A1A9D24" w14:textId="77777777" w:rsidR="00A8138F" w:rsidRDefault="00A8138F" w:rsidP="00A8138F">
      <w:pPr>
        <w:pStyle w:val="TextoNormal"/>
      </w:pPr>
      <w:r>
        <w:t>Dada en Madrid, a veintisiete de enero de dos mil veinticinco.</w:t>
      </w:r>
    </w:p>
    <w:p w14:paraId="41D22601" w14:textId="3608C476" w:rsidR="00A8138F" w:rsidRDefault="00A8138F">
      <w:pPr>
        <w:spacing w:after="160" w:line="278" w:lineRule="auto"/>
        <w:rPr>
          <w:rFonts w:ascii="Times New Roman" w:eastAsia="Times New Roman" w:hAnsi="Times New Roman" w:cs="Times New Roman"/>
          <w:sz w:val="24"/>
          <w:szCs w:val="24"/>
          <w:lang w:eastAsia="es-ES"/>
        </w:rPr>
      </w:pPr>
      <w:r>
        <w:br w:type="page"/>
      </w:r>
    </w:p>
    <w:p w14:paraId="7D8D2841" w14:textId="77777777" w:rsidR="00A8138F" w:rsidRDefault="00A8138F" w:rsidP="00A8138F">
      <w:pPr>
        <w:pStyle w:val="TtuloResolucin"/>
      </w:pPr>
      <w:bookmarkStart w:id="23" w:name="SENTENCIA_2025_21"/>
      <w:r>
        <w:lastRenderedPageBreak/>
        <w:t>SENTENCIA 21/2025, de 27 de enero de 2025</w:t>
      </w:r>
    </w:p>
    <w:bookmarkEnd w:id="23"/>
    <w:p w14:paraId="3E9BBD8F" w14:textId="77777777" w:rsidR="00A8138F" w:rsidRDefault="00A8138F" w:rsidP="00A8138F">
      <w:pPr>
        <w:pStyle w:val="TtuloResolucin"/>
      </w:pPr>
      <w:r>
        <w:t>Sala Primera</w:t>
      </w:r>
    </w:p>
    <w:p w14:paraId="53E711A5" w14:textId="77777777" w:rsidR="00A8138F" w:rsidRDefault="00A8138F" w:rsidP="00A8138F">
      <w:pPr>
        <w:pStyle w:val="TtuloBOE"/>
      </w:pPr>
      <w:r>
        <w:t>(BOE núm. 51, de 28 de febrero de 2025)</w:t>
      </w:r>
    </w:p>
    <w:p w14:paraId="6563F509" w14:textId="77777777" w:rsidR="00A8138F" w:rsidRDefault="00A8138F" w:rsidP="00A8138F">
      <w:pPr>
        <w:pStyle w:val="TextoNormalCentrado"/>
      </w:pPr>
      <w:r>
        <w:t>ECLI:ES:TC:2025:21</w:t>
      </w:r>
    </w:p>
    <w:p w14:paraId="35936830" w14:textId="7310C50A" w:rsidR="00A8138F" w:rsidRDefault="00A8138F" w:rsidP="00A8138F">
      <w:pPr>
        <w:pStyle w:val="TextoNormalCentrado"/>
      </w:pPr>
    </w:p>
    <w:p w14:paraId="759FFE7C" w14:textId="77777777" w:rsidR="00A8138F" w:rsidRDefault="00A8138F" w:rsidP="00A8138F">
      <w:pPr>
        <w:pStyle w:val="SntesisDescriptiva"/>
      </w:pPr>
      <w:r>
        <w:t>Recurso de amparo 874-2024. Promovido por doña Ana Laura Bernal Remón en relación con las resoluciones administrativas y judiciales que desestimaron su petición de revisión y ampliación de la prestación por nacimiento y cuidado de hijo menor, como madre biológica de familia monoparental.</w:t>
      </w:r>
    </w:p>
    <w:p w14:paraId="24740983" w14:textId="486213D7" w:rsidR="00A8138F" w:rsidRDefault="00A8138F" w:rsidP="00A8138F">
      <w:pPr>
        <w:pStyle w:val="SntesisDescriptiva"/>
      </w:pPr>
    </w:p>
    <w:p w14:paraId="4B6A4391"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36D62B93" w14:textId="6470834E" w:rsidR="00A8138F" w:rsidRDefault="00A8138F" w:rsidP="00A8138F">
      <w:pPr>
        <w:pStyle w:val="SntesisAnaltica"/>
      </w:pPr>
    </w:p>
    <w:p w14:paraId="3BD4A5CE" w14:textId="67E9ADB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A7CD4CE" w14:textId="77777777" w:rsidR="00A8138F" w:rsidRDefault="00A8138F" w:rsidP="00A8138F">
      <w:pPr>
        <w:pStyle w:val="Extracto"/>
      </w:pPr>
    </w:p>
    <w:p w14:paraId="2369DDDD" w14:textId="77777777" w:rsidR="00A8138F" w:rsidRDefault="00A8138F" w:rsidP="00A8138F">
      <w:pPr>
        <w:pStyle w:val="Extracto"/>
      </w:pPr>
    </w:p>
    <w:p w14:paraId="498107D2"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24C2B27C" w14:textId="02E5EB50" w:rsidR="00A8138F" w:rsidRDefault="00A8138F" w:rsidP="00A8138F">
      <w:pPr>
        <w:pStyle w:val="TextoNormal"/>
      </w:pPr>
    </w:p>
    <w:p w14:paraId="3194F34C" w14:textId="77777777" w:rsidR="00A8138F" w:rsidRDefault="00A8138F" w:rsidP="00A8138F">
      <w:pPr>
        <w:pStyle w:val="TextoNormalCentrado"/>
        <w:keepNext/>
      </w:pPr>
      <w:r>
        <w:t>EN NOMBRE DEL REY</w:t>
      </w:r>
    </w:p>
    <w:p w14:paraId="49EFB9A9" w14:textId="0CB25C8B" w:rsidR="00A8138F" w:rsidRDefault="00A8138F" w:rsidP="00A8138F">
      <w:pPr>
        <w:pStyle w:val="TextoNormalCentrado"/>
        <w:keepNext/>
      </w:pPr>
    </w:p>
    <w:p w14:paraId="3F34375D" w14:textId="77777777" w:rsidR="00A8138F" w:rsidRDefault="00A8138F" w:rsidP="00A8138F">
      <w:pPr>
        <w:pStyle w:val="TextoNormalCentrado"/>
        <w:keepNext/>
      </w:pPr>
    </w:p>
    <w:p w14:paraId="67DF37D7" w14:textId="77777777" w:rsidR="00A8138F" w:rsidRDefault="00A8138F" w:rsidP="00A8138F">
      <w:pPr>
        <w:pStyle w:val="TextoNormal"/>
      </w:pPr>
      <w:r>
        <w:t>la siguiente</w:t>
      </w:r>
    </w:p>
    <w:p w14:paraId="623B6A2C" w14:textId="1C64F387" w:rsidR="00A8138F" w:rsidRDefault="00A8138F" w:rsidP="00A8138F">
      <w:pPr>
        <w:pStyle w:val="TextoNormal"/>
      </w:pPr>
    </w:p>
    <w:p w14:paraId="5DBD56D6" w14:textId="77777777" w:rsidR="00A8138F" w:rsidRDefault="00A8138F" w:rsidP="00A8138F">
      <w:pPr>
        <w:pStyle w:val="TextoNormalCentrado"/>
        <w:keepNext/>
      </w:pPr>
      <w:r>
        <w:t>SENTENCIA</w:t>
      </w:r>
    </w:p>
    <w:p w14:paraId="74B197B7" w14:textId="5C164762" w:rsidR="00A8138F" w:rsidRDefault="00A8138F" w:rsidP="00A8138F">
      <w:pPr>
        <w:pStyle w:val="TextoNormalCentrado"/>
        <w:keepNext/>
      </w:pPr>
    </w:p>
    <w:p w14:paraId="1C1984EA" w14:textId="77777777" w:rsidR="00A8138F" w:rsidRDefault="00A8138F" w:rsidP="00A8138F">
      <w:pPr>
        <w:pStyle w:val="TextoNormal"/>
      </w:pPr>
      <w:r>
        <w:t xml:space="preserve">En el recurso de amparo núm. 874-2024, promovido por doña Ana Laura Bernal Remón, representada por la procuradora de los tribunales doña Alicia Suau Casado y asistida por la letrada doña Aida Casanova Pérez, contra las resoluciones administrativas del Instituto Nacional de la Seguridad Social (INSS) denegatorias a la madre biológica de familia monoparental de la solicitud de ampliación de la prestación por nacimiento y cuidado de su hija menor de edad, confirmadas por sentencia 1268/2023, de 21 de diciembre, de la Sala de lo Social del Tribunal Supremo recaída en el recurso de casación para la unificación de doctrina núm. 3491-2022, interpuesto por el INSS contra la sentencia 343/2022, de 18 de mayo, dictada por la Sala de lo Social del Tribunal Superior de Justicia de Castilla y León, con sede en Burgos, en el recurso de suplicación núm. 223-2022, interpuesto por la demandante contra la sentencia 361/2021, de 3 de diciembre, dictada en el procedimiento de Seguridad Social núm. 793-2021, del Juzgado de lo Social núm. 3 de Burgos, promovido por la recurrente en amparo contra el INSS y la Tesorería General de la Seguridad Social (TGSS). Han </w:t>
      </w:r>
      <w:r>
        <w:lastRenderedPageBreak/>
        <w:t>intervenido la letrada de la Administración de la Seguridad Social y el Ministerio Fiscal. Ha sido ponente la magistrada doña Concepción Espejel Jorquera.</w:t>
      </w:r>
    </w:p>
    <w:p w14:paraId="079AA1C3" w14:textId="56F55061" w:rsidR="00A8138F" w:rsidRDefault="00A8138F" w:rsidP="00A8138F">
      <w:pPr>
        <w:pStyle w:val="TextoNormal"/>
      </w:pPr>
    </w:p>
    <w:p w14:paraId="1B0AFDBE" w14:textId="77777777" w:rsidR="00A8138F" w:rsidRDefault="00A8138F" w:rsidP="00A8138F">
      <w:pPr>
        <w:pStyle w:val="TextoNormalNegritaCentrado"/>
        <w:keepNext/>
      </w:pPr>
      <w:r>
        <w:t>I. Antecedentes</w:t>
      </w:r>
    </w:p>
    <w:p w14:paraId="447087FF" w14:textId="2C1E21FF" w:rsidR="00A8138F" w:rsidRDefault="00A8138F" w:rsidP="00A8138F">
      <w:pPr>
        <w:pStyle w:val="TextoNormalNegritaCentrado"/>
        <w:keepNext/>
      </w:pPr>
    </w:p>
    <w:p w14:paraId="1315B9D0" w14:textId="2F251490" w:rsidR="00A8138F" w:rsidRDefault="00A8138F" w:rsidP="00A8138F">
      <w:pPr>
        <w:pStyle w:val="TextoNormal"/>
      </w:pPr>
      <w:r w:rsidRPr="00A8138F">
        <w:rPr>
          <w:rStyle w:val="NumeroAFNegritaCaracter"/>
        </w:rPr>
        <w:t>1</w:t>
      </w:r>
      <w:r>
        <w:t>. El 8 de febrero de 2024, la procuradora de los tribunales doña Alicia Suau Casado, bajo la dirección de la letrada doña Aida Casanova Pérez, interpuso recurso de amparo contra la sentencia 1268/2023, de 21 de diciembre, de la Sala de lo Social del Tribunal Supremo, estimatoria del recurso de casación para la unificación de doctrina interpuesto por el INSS, que confirmó las resoluciones administrativas denegatorias de la ampliación del permiso por nacimiento y cuidado de hija solicitado por la madre biológica, de familia monoparental.</w:t>
      </w:r>
    </w:p>
    <w:p w14:paraId="61F49D68" w14:textId="77777777" w:rsidR="00A8138F" w:rsidRDefault="00A8138F" w:rsidP="00A8138F">
      <w:pPr>
        <w:pStyle w:val="TextoNormal"/>
      </w:pPr>
    </w:p>
    <w:p w14:paraId="3BF23E6C" w14:textId="77777777" w:rsidR="00A8138F" w:rsidRDefault="00A8138F" w:rsidP="00A8138F">
      <w:pPr>
        <w:pStyle w:val="TextoNormal"/>
      </w:pPr>
      <w:r w:rsidRPr="00A8138F">
        <w:rPr>
          <w:rStyle w:val="NumeroAFNegritaCaracter"/>
        </w:rPr>
        <w:t>2</w:t>
      </w:r>
      <w:r>
        <w:t>. La demanda de amparo trae causa de los siguientes hechos relevantes que la sustentan, según se desprende de la misma, de la documentación que la acompaña y de las actuaciones recibidas:</w:t>
      </w:r>
    </w:p>
    <w:p w14:paraId="6BBA424D" w14:textId="77777777" w:rsidR="00A8138F" w:rsidRDefault="00A8138F" w:rsidP="00A8138F">
      <w:pPr>
        <w:pStyle w:val="TextoNormal"/>
      </w:pPr>
    </w:p>
    <w:p w14:paraId="0484C82D" w14:textId="77777777" w:rsidR="00A8138F" w:rsidRDefault="00A8138F" w:rsidP="00A8138F">
      <w:pPr>
        <w:pStyle w:val="TextoNormal"/>
      </w:pPr>
      <w:r>
        <w:t>a) La demandante es madre biológica de una menor nacida el 16 de febrero de 2021, con quien forma una familia monoparental. Mediante resolución de la Dirección Provincial del INSS de 16 de marzo de 2021, le fue concedido un permiso por nacimiento y cuidado de la menor, de dieciséis semanas de duración (por el periodo comprendido entre el 16 de febrero y el 7 de junio de 2021, con abono de la prestación correspondiente del 100 por 100 de la base reguladora diaria reconocida de 131,46 €). La recurrente, en su escrito inicial de solicitud a la entidad gestora, reclamaba la ampliación del permiso que le corresponde a la madre biológica de dieciséis semanas, a otras dieciséis semanas adicionales al sumar las que corresponderían al progenitor distinto de la madre biológica [art. 48.4 del texto refundido de la Ley del estatuto de los trabajadores, aprobado por el Real Decreto Legislativo 2/2015, de 23 de octubre (LET)], alegando que dicha ampliación tiene por finalidad el cuidado de la menor en igualdad de condiciones que las familias biparentales.</w:t>
      </w:r>
    </w:p>
    <w:p w14:paraId="20336218" w14:textId="77777777" w:rsidR="00A8138F" w:rsidRDefault="00A8138F" w:rsidP="00A8138F">
      <w:pPr>
        <w:pStyle w:val="TextoNormal"/>
      </w:pPr>
    </w:p>
    <w:p w14:paraId="772369F2" w14:textId="77777777" w:rsidR="00A8138F" w:rsidRDefault="00A8138F" w:rsidP="00A8138F">
      <w:pPr>
        <w:pStyle w:val="TextoNormal"/>
      </w:pPr>
      <w:r>
        <w:t>Su pretensión fue desestimada al reconocerse exclusivamente la prestación correspondiente a la madre biológica. Se interpuso entonces por la recurrente reclamación previa, que fue contestada por la administración competente en sentido desestimatorio mediante resolución de 7 de octubre de 2021.</w:t>
      </w:r>
    </w:p>
    <w:p w14:paraId="52F12F2E" w14:textId="77777777" w:rsidR="00A8138F" w:rsidRDefault="00A8138F" w:rsidP="00A8138F">
      <w:pPr>
        <w:pStyle w:val="TextoNormal"/>
      </w:pPr>
    </w:p>
    <w:p w14:paraId="41C13678" w14:textId="77777777" w:rsidR="00A8138F" w:rsidRDefault="00A8138F" w:rsidP="00A8138F">
      <w:pPr>
        <w:pStyle w:val="TextoNormal"/>
      </w:pPr>
      <w:r>
        <w:t>b) La ahora recurrente formuló demanda en fecha 21 de octubre de 2021, tramitada como procedimiento de Seguridad Social núm. 793-2021, del Juzgado de lo Social núm. 3 de Burgos. Alegó haber sufrido discriminación (art. 14 CE) al negarle el INSS la ampliación del permiso solicitado que pretendía ampliar en dieciséis semanas; invocó el interés superior de la menor y adujo que el régimen normativo actual es discriminatorio por indiferenciación, lo que supone un desvalor en el cuidado de los hijos de familias monoparentales respecto a los de las familias biparentales.</w:t>
      </w:r>
    </w:p>
    <w:p w14:paraId="1901AC2F" w14:textId="77777777" w:rsidR="00A8138F" w:rsidRDefault="00A8138F" w:rsidP="00A8138F">
      <w:pPr>
        <w:pStyle w:val="TextoNormal"/>
      </w:pPr>
    </w:p>
    <w:p w14:paraId="11554A54" w14:textId="77777777" w:rsidR="00A8138F" w:rsidRDefault="00A8138F" w:rsidP="00A8138F">
      <w:pPr>
        <w:pStyle w:val="TextoNormal"/>
      </w:pPr>
      <w:r>
        <w:t>La sentencia 361/2021, de 3 de diciembre, desestimó las pretensiones de la actora, absolvió al INSS y confirmó las resoluciones impugnadas.</w:t>
      </w:r>
    </w:p>
    <w:p w14:paraId="00B15FD8" w14:textId="77777777" w:rsidR="00A8138F" w:rsidRDefault="00A8138F" w:rsidP="00A8138F">
      <w:pPr>
        <w:pStyle w:val="TextoNormal"/>
      </w:pPr>
    </w:p>
    <w:p w14:paraId="282D59CF" w14:textId="77777777" w:rsidR="00A8138F" w:rsidRDefault="00A8138F" w:rsidP="00A8138F">
      <w:pPr>
        <w:pStyle w:val="TextoNormal"/>
      </w:pPr>
      <w:r>
        <w:t xml:space="preserve">c) La demandante interpuso recurso de suplicación que fue estimado parcialmente en la sentencia 343/2022, de 18 de mayo, por la Sala de lo Social del Tribunal Superior de Justicia </w:t>
      </w:r>
      <w:r>
        <w:lastRenderedPageBreak/>
        <w:t>de Castilla y León, que revocó en parte la sentencia de instancia, declaró el derecho de la demandante a disfrutar la prestación por nacimiento y cuidado de su hija por un total de veintiséis semanas en los mismos términos y condiciones de importes, porcentajes de base reguladora y cuota diaria acordados para la prestación por nacimiento y cuidado de menor y condenó a las entidades demandadas a estar y pasar por tal declaración.</w:t>
      </w:r>
    </w:p>
    <w:p w14:paraId="699AAE8D" w14:textId="77777777" w:rsidR="00A8138F" w:rsidRDefault="00A8138F" w:rsidP="00A8138F">
      <w:pPr>
        <w:pStyle w:val="TextoNormal"/>
      </w:pPr>
    </w:p>
    <w:p w14:paraId="62899F15" w14:textId="77777777" w:rsidR="00A8138F" w:rsidRDefault="00A8138F" w:rsidP="00A8138F">
      <w:pPr>
        <w:pStyle w:val="TextoNormal"/>
      </w:pPr>
      <w:r>
        <w:t>Declara la Sala que lo único trascendente en este caso es el interés superior del menor en disfrutar de los cuidados y atención de su progenitor o progenitores por un tiempo determinado, configurándose como principio general que sirve como canon interpretativo del ordenamiento jurídico nacional y, en lo que aquí interesa, de las normas en materia de protección de la maternidad y paternidad, que deben ser interpretadas a la luz del mismo conforme al art. 39.2 CE: “los poderes públicos aseguran, asimismo, la protección integral de los hijos”. La diferencia de protección entre el menor que nace en una familia biparental y el que nace en una familia monoparental constituye un trato diferenciado en perjuicio de quien nace en la familia monoparental, que, teniendo las mismas necesidades que el nacido en la biparental, recibe un cuidado subsidiado objetivamente inferior en cuanto a su duración y calidad, pues se le priva del estrecho contacto paterno/materno-filial que conlleva el plus de suspensión de la relación laboral que rige cuando hay dos progenitores. Añade que no hay una justificación objetiva para esa diferencia de trato. Reconoce, por tanto, el disfrute del permiso del otro progenitor y adiciona diez semanas a las del permiso de la madre como solución en la aplicación integradora del ordenamiento jurídico, que permite considerar, además de la norma ordinaria, las disposiciones de alcance constitucional y supranacional.</w:t>
      </w:r>
    </w:p>
    <w:p w14:paraId="69BD8150" w14:textId="77777777" w:rsidR="00A8138F" w:rsidRDefault="00A8138F" w:rsidP="00A8138F">
      <w:pPr>
        <w:pStyle w:val="TextoNormal"/>
      </w:pPr>
    </w:p>
    <w:p w14:paraId="545823CB" w14:textId="77777777" w:rsidR="00A8138F" w:rsidRDefault="00A8138F" w:rsidP="00A8138F">
      <w:pPr>
        <w:pStyle w:val="TextoNormal"/>
      </w:pPr>
      <w:r>
        <w:t>Reconoce, por tanto, el derecho de la madre de una familia monoparental a disfrutar del permiso por nacimiento y cuidado de su hija por un total de veintiséis semanas, en los mismos términos y condiciones de importes, porcentajes de base reguladora y cuota diaria que los acordados para la prestación por nacimiento y cuidado de menor, condenando a las entidades demandadas a estar y pasar por dicha declaración.</w:t>
      </w:r>
    </w:p>
    <w:p w14:paraId="509C3BB6" w14:textId="77777777" w:rsidR="00A8138F" w:rsidRDefault="00A8138F" w:rsidP="00A8138F">
      <w:pPr>
        <w:pStyle w:val="TextoNormal"/>
      </w:pPr>
    </w:p>
    <w:p w14:paraId="6D667349" w14:textId="77777777" w:rsidR="00A8138F" w:rsidRDefault="00A8138F" w:rsidP="00A8138F">
      <w:pPr>
        <w:pStyle w:val="TextoNormal"/>
      </w:pPr>
      <w:r>
        <w:t>d) El INSS y la TGSS formalizaron contra la anterior sentencia recurso de casación para la unificación de doctrina, que fue estimado por la Sala de lo Social del Tribunal Supremo en la sentencia 1268/2023, de 21 de diciembre, que casó y anuló la sentencia impugnada, resolvió el debate suscitado en suplicación con desestimación del recurso y confirmó la sentencia de primera instancia, absolviendo a las demandadas de la totalidad de las peticiones contenidas en la demanda.</w:t>
      </w:r>
    </w:p>
    <w:p w14:paraId="5564CADE" w14:textId="77777777" w:rsidR="00A8138F" w:rsidRDefault="00A8138F" w:rsidP="00A8138F">
      <w:pPr>
        <w:pStyle w:val="TextoNormal"/>
      </w:pPr>
    </w:p>
    <w:p w14:paraId="564EFF5B" w14:textId="4629407A" w:rsidR="00A8138F" w:rsidRDefault="00A8138F" w:rsidP="00A8138F">
      <w:pPr>
        <w:pStyle w:val="TextoNormal"/>
      </w:pPr>
      <w:r>
        <w:t xml:space="preserve">La sentencia de casación reitera la doctrina fijada por la STS 169/2023, de 2 de marzo (ECLI:ES:TS:2023:783), del Pleno de la misma sala que declaró que la función de jueces y tribunales es la interpretación y aplicación de la norma y no la creación del derecho; que lo pretendido por la actora en su demanda solo le corresponde al legislador y su función no puede ser suplida por resoluciones judiciales, ya que supondría modificar el régimen prestacional de la Seguridad Social y la regulación de la suspensión del contrato de trabajo por causas no previstas en la ley. Razona la Sala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biparentales exige tener en cuenta que en estas la prestación del otro progenitor (que en las monoparentales no existe) precisa estar </w:t>
      </w:r>
      <w:r>
        <w:lastRenderedPageBreak/>
        <w:t>de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w:t>
      </w:r>
    </w:p>
    <w:p w14:paraId="6189F41D" w14:textId="77777777" w:rsidR="00A8138F" w:rsidRDefault="00A8138F" w:rsidP="00A8138F">
      <w:pPr>
        <w:pStyle w:val="TextoNormal"/>
      </w:pPr>
    </w:p>
    <w:p w14:paraId="69997AEE" w14:textId="77777777" w:rsidR="00A8138F" w:rsidRDefault="00A8138F" w:rsidP="00A8138F">
      <w:pPr>
        <w:pStyle w:val="TextoNormal"/>
      </w:pPr>
      <w:r w:rsidRPr="00A8138F">
        <w:rPr>
          <w:rStyle w:val="NumeroAFNegritaCaracter"/>
        </w:rPr>
        <w:t>3</w:t>
      </w:r>
      <w:r>
        <w:t>. En la demanda de amparo la recurrente alega la vulneración del derecho de igualdad del art. 14 CE en relación con los arts. 39 y 9.2 CE, en distintas vertientes: (i) desigualdad entre madres biológicas de familias monoparentales y las de familias biparentales, sin justificación objetiva y razonable, a través de una interpretación de la legalidad restrictiva, desconectada de los valores constitucionales, que tiene como consecuencia la reducción a la mitad de los cuidados del menor, y con apelación al interés superior del menor como principio rector e inspirador de las actuaciones de los poderes públicos; (ii) discriminación directa debida a circunstancias personales y familiares por razón de nacimiento, pues se está discriminando al menor nacido en una familia monoparental al contar con menor número de semanas de prestación (se mantiene en dieciséis semanas), lo que genera un resultado desproporcionado al reducir hasta la mitad los cuidados de los menores de doce meses; y (iii) discriminación indirecta por razón de sexo, al constituir una familia monoparental que en su mayoría están formadas por mujeres, lo que las perjudica sin una justificación objetiva y razonable.</w:t>
      </w:r>
    </w:p>
    <w:p w14:paraId="71C5ACE5" w14:textId="77777777" w:rsidR="00A8138F" w:rsidRDefault="00A8138F" w:rsidP="00A8138F">
      <w:pPr>
        <w:pStyle w:val="TextoNormal"/>
      </w:pPr>
    </w:p>
    <w:p w14:paraId="7A461B02" w14:textId="1879F957" w:rsidR="00A8138F" w:rsidRDefault="00A8138F" w:rsidP="00A8138F">
      <w:pPr>
        <w:pStyle w:val="TextoNormal"/>
      </w:pPr>
      <w:r>
        <w:t>A juicio de la demandante, las resoluciones recurridas han ocasionado una desigualdad y provocado un daño desproporcionado en su deber constitucional de cuidado y en el derecho a la protección de la hija de la recurrente conforme a los acuerdos internacionales en la materia.</w:t>
      </w:r>
    </w:p>
    <w:p w14:paraId="515EBDCF" w14:textId="77777777" w:rsidR="00A8138F" w:rsidRDefault="00A8138F" w:rsidP="00A8138F">
      <w:pPr>
        <w:pStyle w:val="TextoNormal"/>
      </w:pPr>
    </w:p>
    <w:p w14:paraId="53E9408A" w14:textId="77777777" w:rsidR="00A8138F" w:rsidRDefault="00A8138F" w:rsidP="00A8138F">
      <w:pPr>
        <w:pStyle w:val="TextoNormal"/>
      </w:pPr>
      <w:r w:rsidRPr="00A8138F">
        <w:rPr>
          <w:rStyle w:val="NumeroAFNegritaCaracter"/>
        </w:rPr>
        <w:t>4</w:t>
      </w:r>
      <w:r>
        <w:t>. Por providencia de fecha 9 de septiembre de 2024, la Sala Primera, Sección Primera, de este tribunal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4A8AA210" w14:textId="77777777" w:rsidR="00A8138F" w:rsidRDefault="00A8138F" w:rsidP="00A8138F">
      <w:pPr>
        <w:pStyle w:val="TextoNormal"/>
      </w:pPr>
    </w:p>
    <w:p w14:paraId="5585137C" w14:textId="624BFA5E" w:rsidR="00A8138F" w:rsidRDefault="00A8138F" w:rsidP="00A8138F">
      <w:pPr>
        <w:pStyle w:val="TextoNormal"/>
      </w:pPr>
      <w:r>
        <w:t>En aplicación de lo previsto en el art. 51 LOTC se dispuso requerir a la Sala de lo Social del Tribunal Supremo y a la Sala de lo Social del Tribunal Superior de Justicia de Castilla y León a fin de que, en el plazo que no excediera de diez días, remitiesen certificación o fotocopia adverada de las actuaciones correspondientes al recurso de casación para la unificación de doctrina núm. 3491-2022 y al recurso de suplicación núm. 223-2022, respectivamente. Asimismo, acordó dirigir comunicación al Juzgado de lo Social núm. 3 de Burgos a fin de que, en el mismo plazo, remitiese certificación o fotocopia adverada de las actuaciones con emplazamiento a quienes hubieran sido parte en el procedimiento, excepto la parte recurrente en amparo, para que pudieran comparecer en el presente recurso.</w:t>
      </w:r>
    </w:p>
    <w:p w14:paraId="413B5B3A" w14:textId="77777777" w:rsidR="00A8138F" w:rsidRDefault="00A8138F" w:rsidP="00A8138F">
      <w:pPr>
        <w:pStyle w:val="TextoNormal"/>
      </w:pPr>
    </w:p>
    <w:p w14:paraId="1100CB93" w14:textId="668E7202" w:rsidR="00A8138F" w:rsidRDefault="00A8138F" w:rsidP="00A8138F">
      <w:pPr>
        <w:pStyle w:val="TextoNormal"/>
      </w:pPr>
      <w:r w:rsidRPr="00A8138F">
        <w:rPr>
          <w:rStyle w:val="NumeroAFNegritaCaracter"/>
        </w:rPr>
        <w:t>5</w:t>
      </w:r>
      <w:r>
        <w:t>. Mediante escrito presentado el día 30 de septiembre de 2024, la letrada de la administración de la Seguridad Social, actuando en nombre y representación del INSS y de la TGSS, solicitó que se la tuviera por personada en el presente recurso de amparo.</w:t>
      </w:r>
    </w:p>
    <w:p w14:paraId="24AAED04" w14:textId="77777777" w:rsidR="00A8138F" w:rsidRDefault="00A8138F" w:rsidP="00A8138F">
      <w:pPr>
        <w:pStyle w:val="TextoNormal"/>
      </w:pPr>
    </w:p>
    <w:p w14:paraId="3A5717A6" w14:textId="377C4870" w:rsidR="00A8138F" w:rsidRDefault="00A8138F" w:rsidP="00A8138F">
      <w:pPr>
        <w:pStyle w:val="TextoNormal"/>
      </w:pPr>
      <w:r w:rsidRPr="00A8138F">
        <w:rPr>
          <w:rStyle w:val="NumeroAFNegritaCaracter"/>
        </w:rPr>
        <w:lastRenderedPageBreak/>
        <w:t>6</w:t>
      </w:r>
      <w:r>
        <w:t>. Por diligencia de ordenación de 12 de noviembre 2024 se tuvieron por recibidos los testimonios de actuaciones remitidos por la Sala de lo Social del Tribunal Supremo, la Sala de lo Social del Tribunal Superior de Justicia de Castilla y León y el Juzgado de lo Social núm. 3 de Burgos, así como el escrito de personación de la letrada de la administración de la Seguridad Social, y se acordó: (i) tener por personada y parte en el presente procedimiento a la letrada de la administración de la Seguridad Social, en nombre y representación del INSS y de la TGSS; y (ii) dar vista de las actuaciones en la sede electrónica de este tribunal a la recurrente, al Ministerio Fiscal y a las partes personadas de conformidad con el art. 52.1 LOTC, por un plazo común de veinte días para que pudieran presentar las alegaciones que estimaran pertinentes.</w:t>
      </w:r>
    </w:p>
    <w:p w14:paraId="652EC8E5" w14:textId="77777777" w:rsidR="00A8138F" w:rsidRDefault="00A8138F" w:rsidP="00A8138F">
      <w:pPr>
        <w:pStyle w:val="TextoNormal"/>
      </w:pPr>
    </w:p>
    <w:p w14:paraId="2FD8C15D" w14:textId="297ED385" w:rsidR="00A8138F" w:rsidRDefault="00A8138F" w:rsidP="00A8138F">
      <w:pPr>
        <w:pStyle w:val="TextoNormal"/>
      </w:pPr>
      <w:r w:rsidRPr="00A8138F">
        <w:rPr>
          <w:rStyle w:val="NumeroAFNegritaCaracter"/>
        </w:rPr>
        <w:t>7</w:t>
      </w:r>
      <w:r>
        <w:t>. La recurrente presentó escrito el 25 de noviembre de 2024 en el que ratificó los términos de la demanda de amparo.</w:t>
      </w:r>
    </w:p>
    <w:p w14:paraId="73F84660" w14:textId="77777777" w:rsidR="00A8138F" w:rsidRDefault="00A8138F" w:rsidP="00A8138F">
      <w:pPr>
        <w:pStyle w:val="TextoNormal"/>
      </w:pPr>
    </w:p>
    <w:p w14:paraId="50B04389" w14:textId="77777777" w:rsidR="00A8138F" w:rsidRDefault="00A8138F" w:rsidP="00A8138F">
      <w:pPr>
        <w:pStyle w:val="TextoNormal"/>
      </w:pPr>
      <w:r w:rsidRPr="00A8138F">
        <w:rPr>
          <w:rStyle w:val="NumeroAFNegritaCaracter"/>
        </w:rPr>
        <w:t>8</w:t>
      </w:r>
      <w:r>
        <w:t>. A través del escrito de alegaciones presentado el 26 de noviembre de 2024, la letrada de la administración de Seguridad Social postuló la desestimación del recurso de amparo.</w:t>
      </w:r>
    </w:p>
    <w:p w14:paraId="65EA4ECC" w14:textId="77777777" w:rsidR="00A8138F" w:rsidRDefault="00A8138F" w:rsidP="00A8138F">
      <w:pPr>
        <w:pStyle w:val="TextoNormal"/>
      </w:pPr>
    </w:p>
    <w:p w14:paraId="62D6B061" w14:textId="77777777" w:rsidR="00A8138F" w:rsidRDefault="00A8138F" w:rsidP="00A8138F">
      <w:pPr>
        <w:pStyle w:val="TextoNormal"/>
      </w:pPr>
      <w:r>
        <w:t>Identifica la normativa nacional que regula el permiso y prestación por nacimiento y cuidado del menor: los arts. 177 y 178 del texto refundido de la Ley general de la Seguridad Social, aprobado por el Real Decreto Legislativo 8/2015 de 30 de octubre (LGSS); el art. 48.4 LET, así como el art. 49 a), b) y c) del texto refundido de la Ley del estatuto básico del empleado público, aprobado por el Real Decreto Legislativo 5/2015, de 30 de octubre, de idéntico contenido en el permiso vinculado a la suspensión del contrato por nacimiento y cuidado del menor, en su redacción dada por el Real Decreto-ley 6/2019, de 1 de marzo, de medidas urgentes para garantía de la igualdad de trato y de oportunidades entre mujeres y hombres en el empleo y la ocupación; y, también refiere doctrina constitucional.</w:t>
      </w:r>
    </w:p>
    <w:p w14:paraId="6FC4B178" w14:textId="77777777" w:rsidR="00A8138F" w:rsidRDefault="00A8138F" w:rsidP="00A8138F">
      <w:pPr>
        <w:pStyle w:val="TextoNormal"/>
      </w:pPr>
    </w:p>
    <w:p w14:paraId="287B1E59" w14:textId="77777777" w:rsidR="00A8138F" w:rsidRDefault="00A8138F" w:rsidP="00A8138F">
      <w:pPr>
        <w:pStyle w:val="TextoNormal"/>
      </w:pPr>
      <w:r>
        <w:t>A continuación, se centró en el examen de la cuestión de fondo para negar que las resoluciones administrativas recurridas denegatorias de la ampliación, hayan generado una situación de discriminación de la menor nacida en familia monoparental.</w:t>
      </w:r>
    </w:p>
    <w:p w14:paraId="64AA3D1F" w14:textId="77777777" w:rsidR="00A8138F" w:rsidRDefault="00A8138F" w:rsidP="00A8138F">
      <w:pPr>
        <w:pStyle w:val="TextoNormal"/>
      </w:pPr>
    </w:p>
    <w:p w14:paraId="19827BD8" w14:textId="39FF2903" w:rsidR="00A8138F" w:rsidRDefault="00A8138F" w:rsidP="00A8138F">
      <w:pPr>
        <w:pStyle w:val="TextoNormal"/>
      </w:pPr>
      <w:r>
        <w:t>No obstante, alega que teniendo en cuenta la STC 140/2024, de 6 de noviembre, estimatoria de la cuestión de inconstitucionalidad núm. 6694-2023, que declara inconstitucionales los arts. 48.4 LET y 177 LGSS, con el alcance que señala en su fundamento jurídico séptimo, se remite, para evitar reiteraciones, a las alegaciones que efectuó como parte demandada a lo largo de todo el procedimiento. Y añade que el disfrute del permiso ha de supeditarse al cumplimiento del resto de los requisitos legalmente establecidos para el percibo de la prestación, en los que se incluye haber hecho efectivo el descanso, sin prestación de servicios por cuenta ajena, ni percepción de las correspondientes retribuciones.</w:t>
      </w:r>
    </w:p>
    <w:p w14:paraId="69201DA6" w14:textId="77777777" w:rsidR="00A8138F" w:rsidRDefault="00A8138F" w:rsidP="00A8138F">
      <w:pPr>
        <w:pStyle w:val="TextoNormal"/>
      </w:pPr>
    </w:p>
    <w:p w14:paraId="5754627F" w14:textId="77777777" w:rsidR="00A8138F" w:rsidRDefault="00A8138F" w:rsidP="00A8138F">
      <w:pPr>
        <w:pStyle w:val="TextoNormal"/>
      </w:pPr>
      <w:r w:rsidRPr="00A8138F">
        <w:rPr>
          <w:rStyle w:val="NumeroAFNegritaCaracter"/>
        </w:rPr>
        <w:t>9</w:t>
      </w:r>
      <w:r>
        <w:t>. El fiscal ante el Tribunal Constitucional presentó escrito en fecha 11 de diciembre de 2024, en el que vierte sus alegaciones interesando la estimación parcial del recurso de amparo.</w:t>
      </w:r>
    </w:p>
    <w:p w14:paraId="2C801ABA" w14:textId="77777777" w:rsidR="00A8138F" w:rsidRDefault="00A8138F" w:rsidP="00A8138F">
      <w:pPr>
        <w:pStyle w:val="TextoNormal"/>
      </w:pPr>
    </w:p>
    <w:p w14:paraId="5396DC1C" w14:textId="77777777" w:rsidR="00A8138F" w:rsidRDefault="00A8138F" w:rsidP="00A8138F">
      <w:pPr>
        <w:pStyle w:val="TextoNormal"/>
      </w:pPr>
      <w:r>
        <w:t xml:space="preserve">En primer lugar, resume los antecedentes más relevantes del procedimiento laboral de los que trae causa el recurso de amparo, para luego centrarse en el objeto de la demanda de amparo. Considera el fiscal, en relación a la doctrina constitucional sobre el permiso por </w:t>
      </w:r>
      <w:r>
        <w:lastRenderedPageBreak/>
        <w:t>nacimiento y cuidado del menor en familia monoparental, que no es necesario hacer referencia a la doctrina general sobre el derecho a la igualdad y a la no discriminación por razón de sexo, habida cuenta de que en la citada STC 140/2024, se ha establecido una doctrina constitucional específica para la cuestión debatida en el presente recurso de amparo y que declara inconstitucional los arts. 48.4 LET y 177 LGSS, precisamente por la vulneración del derecho reconocido en el art. 14 CE en relación con el art. 39 CE, alegados en el presente recurso. Tal y como resulta de la remisión del fallo al fundamento jurídico 7 de la propia sentencia, este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w:t>
      </w:r>
    </w:p>
    <w:p w14:paraId="1FC8470A" w14:textId="77777777" w:rsidR="00A8138F" w:rsidRDefault="00A8138F" w:rsidP="00A8138F">
      <w:pPr>
        <w:pStyle w:val="TextoNormal"/>
      </w:pPr>
    </w:p>
    <w:p w14:paraId="6997AC10" w14:textId="77777777" w:rsidR="00A8138F" w:rsidRDefault="00A8138F" w:rsidP="00A8138F">
      <w:pPr>
        <w:pStyle w:val="TextoNormal"/>
      </w:pPr>
      <w:r>
        <w:t>Considera que, al aplicar los mencionados artículos recientemente declarados inconstitucionales, la sentencia del Tribunal Supremo que se impugna ha causado la discriminación prohibida por el art. 14 CE, tanto de la demandante de amparo por constituir una familia monoparental, como de la hija por razón de nacimiento, al haber nacido en una familia monoparental.</w:t>
      </w:r>
    </w:p>
    <w:p w14:paraId="6B5AAD79" w14:textId="77777777" w:rsidR="00A8138F" w:rsidRDefault="00A8138F" w:rsidP="00A8138F">
      <w:pPr>
        <w:pStyle w:val="TextoNormal"/>
      </w:pPr>
    </w:p>
    <w:p w14:paraId="60B5A87D" w14:textId="77777777" w:rsidR="00A8138F" w:rsidRDefault="00A8138F" w:rsidP="00A8138F">
      <w:pPr>
        <w:pStyle w:val="TextoNormal"/>
      </w:pPr>
      <w:r>
        <w:t>En consecuencia, estima que la reparación del derecho a la igualdad de la recurrente no incluye las cuatro primeras semanas por las razones expuestas en la propia sentencia de este tribunal, lo que lleva a la conclusión de que dicha reparación ha de concretarse en el disfrute de las diez semanas de prestación adicionales.</w:t>
      </w:r>
    </w:p>
    <w:p w14:paraId="0A142964" w14:textId="77777777" w:rsidR="00A8138F" w:rsidRDefault="00A8138F" w:rsidP="00A8138F">
      <w:pPr>
        <w:pStyle w:val="TextoNormal"/>
      </w:pPr>
    </w:p>
    <w:p w14:paraId="75BA8053" w14:textId="594EC927" w:rsidR="00A8138F" w:rsidRDefault="00A8138F" w:rsidP="00A8138F">
      <w:pPr>
        <w:pStyle w:val="TextoNormal"/>
      </w:pPr>
      <w:r>
        <w:t>Concluye el fiscal que procede la estimación parcial del recurso de amparo por entender vulnerado el derecho a no ser discriminada de la demandante por su pertenencia a una familia monoparental, y del de su hija por razón de nacimiento en dicho tipo de familia. Solicita que se proceda al íntegro restablecimiento en el ejercicio del derecho vulnerado, declarando la nulidad de la sentencia núm. 1268/2023, de 21 de diciembre, de la Sala de lo Social del Tribunal Supremo, así como la firmeza de la sentencia núm. 343/2022 de 18 de mayo, dictada por la Sala de lo Social del Tribunal Superior de Justicia de Castilla y León.</w:t>
      </w:r>
    </w:p>
    <w:p w14:paraId="7AE5D278" w14:textId="77777777" w:rsidR="00A8138F" w:rsidRDefault="00A8138F" w:rsidP="00A8138F">
      <w:pPr>
        <w:pStyle w:val="TextoNormal"/>
      </w:pPr>
    </w:p>
    <w:p w14:paraId="652DABD2" w14:textId="24257F24" w:rsidR="00A8138F" w:rsidRDefault="00A8138F" w:rsidP="00A8138F">
      <w:pPr>
        <w:pStyle w:val="TextoNormal"/>
      </w:pPr>
      <w:r w:rsidRPr="00A8138F">
        <w:rPr>
          <w:rStyle w:val="NumeroAFNegritaCaracter"/>
        </w:rPr>
        <w:t>10</w:t>
      </w:r>
      <w:r>
        <w:t>. Por providencia de 23 de enero de 2025, se señaló para deliberación y votación del presente recurso el día 27 del mismo mes y año.</w:t>
      </w:r>
    </w:p>
    <w:p w14:paraId="75CE1656" w14:textId="77777777" w:rsidR="00A8138F" w:rsidRDefault="00A8138F" w:rsidP="00A8138F">
      <w:pPr>
        <w:pStyle w:val="TextoNormal"/>
      </w:pPr>
    </w:p>
    <w:p w14:paraId="07FC8B1E" w14:textId="77777777" w:rsidR="00A8138F" w:rsidRDefault="00A8138F" w:rsidP="00A8138F">
      <w:pPr>
        <w:pStyle w:val="TextoNormalNegritaCentrado"/>
        <w:keepNext/>
      </w:pPr>
      <w:r>
        <w:t>II. Fundamentos jurídicos</w:t>
      </w:r>
    </w:p>
    <w:p w14:paraId="578743B7" w14:textId="7B3DAC01" w:rsidR="00A8138F" w:rsidRDefault="00A8138F" w:rsidP="00A8138F">
      <w:pPr>
        <w:pStyle w:val="TextoNormalNegritaCentrado"/>
        <w:keepNext/>
      </w:pPr>
    </w:p>
    <w:p w14:paraId="53F5AE05"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1475A2B4" w14:textId="77777777" w:rsidR="00A8138F" w:rsidRDefault="00A8138F" w:rsidP="00A8138F">
      <w:pPr>
        <w:pStyle w:val="TextoNormal"/>
      </w:pPr>
    </w:p>
    <w:p w14:paraId="69946BBA" w14:textId="635D05A8" w:rsidR="00A8138F" w:rsidRDefault="00A8138F" w:rsidP="00A8138F">
      <w:pPr>
        <w:pStyle w:val="TextoNormal"/>
      </w:pPr>
      <w:r>
        <w:t>El objeto del presente proceso es dilucidar si la sentencia del Tribunal Supremo que revocó la sentencia de la Sala de lo Social del Tribunal Superior de Justicia de Castilla y León, y desestimó la demanda con confirmación de las resoluciones administrativas del INSS y absolución de las partes demandadas,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0A87E193" w14:textId="77777777" w:rsidR="00A8138F" w:rsidRDefault="00A8138F" w:rsidP="00A8138F">
      <w:pPr>
        <w:pStyle w:val="TextoNormal"/>
      </w:pPr>
    </w:p>
    <w:p w14:paraId="254ACEA3"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w:t>
      </w:r>
    </w:p>
    <w:p w14:paraId="335A3ABE" w14:textId="77777777" w:rsidR="00A8138F" w:rsidRDefault="00A8138F" w:rsidP="00A8138F">
      <w:pPr>
        <w:pStyle w:val="TextoNormal"/>
      </w:pPr>
    </w:p>
    <w:p w14:paraId="5CCCB645" w14:textId="77777777" w:rsidR="00A8138F" w:rsidRDefault="00A8138F" w:rsidP="00A8138F">
      <w:pPr>
        <w:pStyle w:val="TextoNormal"/>
      </w:pPr>
      <w:r>
        <w:t>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308C6126" w14:textId="77777777" w:rsidR="00A8138F" w:rsidRDefault="00A8138F" w:rsidP="00A8138F">
      <w:pPr>
        <w:pStyle w:val="TextoNormal"/>
      </w:pPr>
    </w:p>
    <w:p w14:paraId="4FAE4369" w14:textId="77777777" w:rsidR="00A8138F" w:rsidRDefault="00A8138F" w:rsidP="00A8138F">
      <w:pPr>
        <w:pStyle w:val="TextoNormal"/>
      </w:pPr>
      <w:r>
        <w:t>La citada STC 140/2024, estimó la cuestión de inconstitucionalidad planteada y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96EF506" w14:textId="77777777" w:rsidR="00A8138F" w:rsidRDefault="00A8138F" w:rsidP="00A8138F">
      <w:pPr>
        <w:pStyle w:val="TextoNormal"/>
      </w:pPr>
    </w:p>
    <w:p w14:paraId="670D6E65"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5746F0B" w14:textId="77777777" w:rsidR="00A8138F" w:rsidRDefault="00A8138F" w:rsidP="00A8138F">
      <w:pPr>
        <w:pStyle w:val="TextoNormal"/>
      </w:pPr>
    </w:p>
    <w:p w14:paraId="110454A0" w14:textId="59AA8717" w:rsidR="00A8138F" w:rsidRDefault="00A8138F" w:rsidP="00A8138F">
      <w:pPr>
        <w:pStyle w:val="TextoNormal"/>
      </w:pPr>
      <w:r>
        <w:t>En consecuencia, debe estimarse la demanda y otorgar el amparo solicitado, y de conformidad con lo expuesto por el Ministerio Fiscal, anular y dejar sin efecto únicamente la sentencia de la Sala de lo Social del Tribunal Supremo 1268/2023, de 21 de diciembre, que estimó el recurso de casación para la unificación de doctrina núm. 3491-2022, promovido por el INSS contra la sentencia de la Sala de lo Social del Tribunal Superior de Castilla y León núm. 343/2022, de 18 de mayo, dictada en el recurso de suplicación núm. 223-2022, y acordar la firmeza de esta última.</w:t>
      </w:r>
    </w:p>
    <w:p w14:paraId="634C6E83" w14:textId="77777777" w:rsidR="00A8138F" w:rsidRDefault="00A8138F" w:rsidP="00A8138F">
      <w:pPr>
        <w:pStyle w:val="TextoNormal"/>
      </w:pPr>
    </w:p>
    <w:p w14:paraId="4481F302" w14:textId="77777777" w:rsidR="00A8138F" w:rsidRDefault="00A8138F" w:rsidP="00A8138F">
      <w:pPr>
        <w:pStyle w:val="TextoNormalCentrado"/>
        <w:keepNext/>
      </w:pPr>
      <w:r>
        <w:lastRenderedPageBreak/>
        <w:t>FALLO</w:t>
      </w:r>
    </w:p>
    <w:p w14:paraId="41107BDA" w14:textId="306C4438" w:rsidR="00A8138F" w:rsidRDefault="00A8138F" w:rsidP="00A8138F">
      <w:pPr>
        <w:pStyle w:val="TextoNormalCentrado"/>
        <w:keepNext/>
      </w:pPr>
    </w:p>
    <w:p w14:paraId="0199208A" w14:textId="77777777" w:rsidR="00A8138F" w:rsidRDefault="00A8138F" w:rsidP="00A8138F">
      <w:pPr>
        <w:pStyle w:val="TextoNormal"/>
      </w:pPr>
      <w:r>
        <w:t>En atención a todo lo expuesto, el Tribunal Constitucional, por la autoridad que le confiere la Constitución de la Nación española, ha decidido:</w:t>
      </w:r>
    </w:p>
    <w:p w14:paraId="17709BC3" w14:textId="77777777" w:rsidR="00A8138F" w:rsidRDefault="00A8138F" w:rsidP="00A8138F">
      <w:pPr>
        <w:pStyle w:val="TextoNormal"/>
      </w:pPr>
    </w:p>
    <w:p w14:paraId="7061E8E7" w14:textId="77777777" w:rsidR="00A8138F" w:rsidRDefault="00A8138F" w:rsidP="00A8138F">
      <w:pPr>
        <w:pStyle w:val="TextoNormal"/>
      </w:pPr>
      <w:r>
        <w:t>1º Estimar la demanda presentada por doña Ana Laura Bernal Remón por vulneración del derecho fundamental de igualdad ante la ley sin discriminación por razón de nacimiento (art. 14 CE) de una hija menor en una familia monoparental.</w:t>
      </w:r>
    </w:p>
    <w:p w14:paraId="2838992F" w14:textId="77777777" w:rsidR="00A8138F" w:rsidRDefault="00A8138F" w:rsidP="00A8138F">
      <w:pPr>
        <w:pStyle w:val="TextoNormal"/>
      </w:pPr>
    </w:p>
    <w:p w14:paraId="3EC62389" w14:textId="77777777" w:rsidR="00A8138F" w:rsidRDefault="00A8138F" w:rsidP="00A8138F">
      <w:pPr>
        <w:pStyle w:val="TextoNormal"/>
      </w:pPr>
      <w:r>
        <w:t>2º Restablecerle en su derecho y, a tal fin, declarar la nulidad de la sentencia de la Sala de lo Social del Tribunal Supremo núm. 1268/2023, de 21 de diciembre, dictada en el recurso de casación para la unificación de doctrina núm. 3491-2022.</w:t>
      </w:r>
    </w:p>
    <w:p w14:paraId="1B0FB375" w14:textId="77777777" w:rsidR="00A8138F" w:rsidRDefault="00A8138F" w:rsidP="00A8138F">
      <w:pPr>
        <w:pStyle w:val="TextoNormal"/>
      </w:pPr>
    </w:p>
    <w:p w14:paraId="65253120" w14:textId="55450A89" w:rsidR="00A8138F" w:rsidRDefault="00A8138F" w:rsidP="00A8138F">
      <w:pPr>
        <w:pStyle w:val="TextoNormal"/>
      </w:pPr>
      <w:r>
        <w:t>3º Declarar la firmeza de la sentencia de la Sala de lo Social del Tribunal Superior de Justicia de Castilla y León núm. 343/2022, de 18 de mayo, dictada en el recurso de suplicación núm. 223-2022.</w:t>
      </w:r>
    </w:p>
    <w:p w14:paraId="4E778FDE" w14:textId="77777777" w:rsidR="00A8138F" w:rsidRDefault="00A8138F" w:rsidP="00A8138F">
      <w:pPr>
        <w:pStyle w:val="TextoNormal"/>
      </w:pPr>
    </w:p>
    <w:p w14:paraId="478958FF" w14:textId="77777777" w:rsidR="00A8138F" w:rsidRDefault="00A8138F" w:rsidP="00A8138F">
      <w:pPr>
        <w:pStyle w:val="TextoNormal"/>
      </w:pPr>
      <w:r>
        <w:t>Publíquese esta sentencia en el “Boletín Oficial del Estado”.</w:t>
      </w:r>
    </w:p>
    <w:p w14:paraId="48B7AF0E" w14:textId="77777777" w:rsidR="00A8138F" w:rsidRDefault="00A8138F" w:rsidP="00A8138F">
      <w:pPr>
        <w:pStyle w:val="TextoNormal"/>
      </w:pPr>
      <w:r>
        <w:t>Dada en Madrid, a veintisiete de enero de dos mil veinticinco.</w:t>
      </w:r>
    </w:p>
    <w:p w14:paraId="6C09F15F" w14:textId="547DC1EC" w:rsidR="00A8138F" w:rsidRDefault="00A8138F">
      <w:pPr>
        <w:spacing w:after="160" w:line="278" w:lineRule="auto"/>
        <w:rPr>
          <w:rFonts w:ascii="Times New Roman" w:eastAsia="Times New Roman" w:hAnsi="Times New Roman" w:cs="Times New Roman"/>
          <w:sz w:val="24"/>
          <w:szCs w:val="24"/>
          <w:lang w:eastAsia="es-ES"/>
        </w:rPr>
      </w:pPr>
      <w:r>
        <w:br w:type="page"/>
      </w:r>
    </w:p>
    <w:p w14:paraId="2F53F921" w14:textId="77777777" w:rsidR="00A8138F" w:rsidRDefault="00A8138F" w:rsidP="00A8138F">
      <w:pPr>
        <w:pStyle w:val="TtuloResolucin"/>
      </w:pPr>
      <w:bookmarkStart w:id="24" w:name="SENTENCIA_2025_22"/>
      <w:r>
        <w:lastRenderedPageBreak/>
        <w:t>SENTENCIA 22/2025, de 27 de enero de 2025</w:t>
      </w:r>
    </w:p>
    <w:bookmarkEnd w:id="24"/>
    <w:p w14:paraId="4DF9614F" w14:textId="77777777" w:rsidR="00A8138F" w:rsidRDefault="00A8138F" w:rsidP="00A8138F">
      <w:pPr>
        <w:pStyle w:val="TtuloResolucin"/>
      </w:pPr>
      <w:r>
        <w:t>Sala Segunda</w:t>
      </w:r>
    </w:p>
    <w:p w14:paraId="7B4D1D95" w14:textId="77777777" w:rsidR="00A8138F" w:rsidRDefault="00A8138F" w:rsidP="00A8138F">
      <w:pPr>
        <w:pStyle w:val="TtuloBOE"/>
      </w:pPr>
      <w:r>
        <w:t>(BOE núm. 51, de 28 de febrero de 2025)</w:t>
      </w:r>
    </w:p>
    <w:p w14:paraId="50838A40" w14:textId="77777777" w:rsidR="00A8138F" w:rsidRDefault="00A8138F" w:rsidP="00A8138F">
      <w:pPr>
        <w:pStyle w:val="TextoNormalCentrado"/>
      </w:pPr>
      <w:r>
        <w:t>ECLI:ES:TC:2025:22</w:t>
      </w:r>
    </w:p>
    <w:p w14:paraId="15256599" w14:textId="56B7494A" w:rsidR="00A8138F" w:rsidRDefault="00A8138F" w:rsidP="00A8138F">
      <w:pPr>
        <w:pStyle w:val="TextoNormalCentrado"/>
      </w:pPr>
    </w:p>
    <w:p w14:paraId="5A540196" w14:textId="77777777" w:rsidR="00A8138F" w:rsidRDefault="00A8138F" w:rsidP="00A8138F">
      <w:pPr>
        <w:pStyle w:val="SntesisDescriptiva"/>
      </w:pPr>
      <w:r>
        <w:t>Recurso de amparo 1325-2024. Promovido por doña Naroa Egurrola Solano en relación con las resoluciones administrativas y judiciales que desestimaron su petición de revisión y ampliación de la prestación por nacimiento y cuidado de hijo menor, como madre biológica de familia monoparental.</w:t>
      </w:r>
    </w:p>
    <w:p w14:paraId="43CB5CD6" w14:textId="29A281A3" w:rsidR="00A8138F" w:rsidRDefault="00A8138F" w:rsidP="00A8138F">
      <w:pPr>
        <w:pStyle w:val="SntesisDescriptiva"/>
      </w:pPr>
    </w:p>
    <w:p w14:paraId="1ECCBBEE"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9446264" w14:textId="1552A691" w:rsidR="00A8138F" w:rsidRDefault="00A8138F" w:rsidP="00A8138F">
      <w:pPr>
        <w:pStyle w:val="SntesisAnaltica"/>
      </w:pPr>
    </w:p>
    <w:p w14:paraId="51AB156E" w14:textId="2B620064"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001C9ED7" w14:textId="77777777" w:rsidR="00A8138F" w:rsidRDefault="00A8138F" w:rsidP="00A8138F">
      <w:pPr>
        <w:pStyle w:val="Extracto"/>
      </w:pPr>
    </w:p>
    <w:p w14:paraId="3E26F64B" w14:textId="77777777" w:rsidR="00A8138F" w:rsidRDefault="00A8138F" w:rsidP="00A8138F">
      <w:pPr>
        <w:pStyle w:val="Extracto"/>
      </w:pPr>
    </w:p>
    <w:p w14:paraId="35DABC5D"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1F3AD35" w14:textId="26DAE047" w:rsidR="00A8138F" w:rsidRDefault="00A8138F" w:rsidP="00A8138F">
      <w:pPr>
        <w:pStyle w:val="TextoNormal"/>
      </w:pPr>
    </w:p>
    <w:p w14:paraId="0775E85D" w14:textId="77777777" w:rsidR="00A8138F" w:rsidRDefault="00A8138F" w:rsidP="00A8138F">
      <w:pPr>
        <w:pStyle w:val="TextoNormalCentrado"/>
        <w:keepNext/>
      </w:pPr>
      <w:r>
        <w:t>EN NOMBRE DEL REY</w:t>
      </w:r>
    </w:p>
    <w:p w14:paraId="5D79E61F" w14:textId="287E1199" w:rsidR="00A8138F" w:rsidRDefault="00A8138F" w:rsidP="00A8138F">
      <w:pPr>
        <w:pStyle w:val="TextoNormalCentrado"/>
        <w:keepNext/>
      </w:pPr>
    </w:p>
    <w:p w14:paraId="65309946" w14:textId="77777777" w:rsidR="00A8138F" w:rsidRDefault="00A8138F" w:rsidP="00A8138F">
      <w:pPr>
        <w:pStyle w:val="TextoNormalCentrado"/>
        <w:keepNext/>
      </w:pPr>
    </w:p>
    <w:p w14:paraId="609416E5" w14:textId="77777777" w:rsidR="00A8138F" w:rsidRDefault="00A8138F" w:rsidP="00A8138F">
      <w:pPr>
        <w:pStyle w:val="TextoNormal"/>
      </w:pPr>
      <w:r>
        <w:t>la siguiente</w:t>
      </w:r>
    </w:p>
    <w:p w14:paraId="60FECDEC" w14:textId="2A2ECDA6" w:rsidR="00A8138F" w:rsidRDefault="00A8138F" w:rsidP="00A8138F">
      <w:pPr>
        <w:pStyle w:val="TextoNormal"/>
      </w:pPr>
    </w:p>
    <w:p w14:paraId="50841CA1" w14:textId="77777777" w:rsidR="00A8138F" w:rsidRDefault="00A8138F" w:rsidP="00A8138F">
      <w:pPr>
        <w:pStyle w:val="TextoNormalCentrado"/>
        <w:keepNext/>
      </w:pPr>
      <w:r>
        <w:t>SENTENCIA</w:t>
      </w:r>
    </w:p>
    <w:p w14:paraId="4628C8CB" w14:textId="25ABF288" w:rsidR="00A8138F" w:rsidRDefault="00A8138F" w:rsidP="00A8138F">
      <w:pPr>
        <w:pStyle w:val="TextoNormalCentrado"/>
        <w:keepNext/>
      </w:pPr>
    </w:p>
    <w:p w14:paraId="28037691" w14:textId="77777777" w:rsidR="00A8138F" w:rsidRDefault="00A8138F" w:rsidP="00A8138F">
      <w:pPr>
        <w:pStyle w:val="TextoNormal"/>
      </w:pPr>
      <w:r>
        <w:t xml:space="preserve">En el recurso de amparo núm. 1325-2024, promovido por doña Naroa Egurrola Solano, representada por la procuradora de los tribunales doña María Esperanza Azpeitia Calvín y asistida por la letrada doña Helena Unanue Agirretxe, contra la resolución del Instituto Nacional de la Seguridad Social (INSS) de 14 de enero de 2021, denegatoria de la solicitud de ampliación de la prestación por nacimiento y cuidado de sus hijos gemelos menores como madre biológica de familia monoparental; y la sentencia núm. 216/2024, de 30 de enero, de la Sala de lo Social del Tribunal Supremo (recurso de casación para la unificación de doctrina núm. 142-2023), que estimó el recurso presentado por la representación del INSS, anulando las sentencias de 18 de enero de 2022 dictada por el Juzgado de lo Social núm. 3 de San Sebastián, que estimaba la demanda entablada por la recurrente contra el INSS (autos núm. 139-2021), así como la sentencia de la Sala de lo Social del Tribunal Superior de Justicia del País Vasco, de 4 de octubre de 2022 que desestimaba el recurso de suplicación núm. 903-2022, formalizado por el letrado del INSS contra aquella y absolviendo a las codemandadas de todos los pedimentos deducidos contra ellas. Han intervenido la letrada de </w:t>
      </w:r>
      <w:r>
        <w:lastRenderedPageBreak/>
        <w:t>la administración de la Seguridad Social, en nombre del INSS y el Ministerio Fiscal. Ha sido ponente la magistrada doña Laura Díez Bueso.</w:t>
      </w:r>
    </w:p>
    <w:p w14:paraId="3C581070" w14:textId="72A7BCD0" w:rsidR="00A8138F" w:rsidRDefault="00A8138F" w:rsidP="00A8138F">
      <w:pPr>
        <w:pStyle w:val="TextoNormal"/>
      </w:pPr>
    </w:p>
    <w:p w14:paraId="65673AD2" w14:textId="77777777" w:rsidR="00A8138F" w:rsidRDefault="00A8138F" w:rsidP="00A8138F">
      <w:pPr>
        <w:pStyle w:val="TextoNormalNegritaCentrado"/>
        <w:keepNext/>
      </w:pPr>
      <w:r>
        <w:t>I. Antecedentes</w:t>
      </w:r>
    </w:p>
    <w:p w14:paraId="0417CC04" w14:textId="1FFA6E53" w:rsidR="00A8138F" w:rsidRDefault="00A8138F" w:rsidP="00A8138F">
      <w:pPr>
        <w:pStyle w:val="TextoNormalNegritaCentrado"/>
        <w:keepNext/>
      </w:pPr>
    </w:p>
    <w:p w14:paraId="79C4B29A" w14:textId="7144DD77" w:rsidR="00A8138F" w:rsidRDefault="00A8138F" w:rsidP="00A8138F">
      <w:pPr>
        <w:pStyle w:val="TextoNormal"/>
      </w:pPr>
      <w:r w:rsidRPr="00A8138F">
        <w:rPr>
          <w:rStyle w:val="NumeroAFNegritaCaracter"/>
        </w:rPr>
        <w:t>1</w:t>
      </w:r>
      <w:r>
        <w:t>. Mediante escrito registrado en este tribunal el 26 de febrero de 2024, la representante procesal de doña Naroa Egurrola Solano, bajo la dirección letrada de doña Helena Unanue Agirretxe, interpuso recurso de amparo contra la resolución administrativa y judicial a las que se ha hecho referencia en el encabezamiento de esta sentencia.</w:t>
      </w:r>
    </w:p>
    <w:p w14:paraId="3082CD02" w14:textId="77777777" w:rsidR="00A8138F" w:rsidRDefault="00A8138F" w:rsidP="00A8138F">
      <w:pPr>
        <w:pStyle w:val="TextoNormal"/>
      </w:pPr>
    </w:p>
    <w:p w14:paraId="22F48ACD"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5E484E9C" w14:textId="77777777" w:rsidR="00A8138F" w:rsidRDefault="00A8138F" w:rsidP="00A8138F">
      <w:pPr>
        <w:pStyle w:val="TextoNormal"/>
      </w:pPr>
    </w:p>
    <w:p w14:paraId="37A31C8C" w14:textId="77777777" w:rsidR="00A8138F" w:rsidRDefault="00A8138F" w:rsidP="00A8138F">
      <w:pPr>
        <w:pStyle w:val="TextoNormal"/>
      </w:pPr>
      <w:r>
        <w:t>a) La señora Egurrola Solano es madre biológica de gemelos, nacidos el 8 de septiembre de 2020, siendo su única progenitora registral. Por resolución de 5 de octubre de 2020 le fue reconocido por el INSS el derecho a la prestación de nacimiento y cuidado de los menores por el período comprendido entre el 8 de septiembre de 2020 y el 11 de enero de 2021 (dieciocho semanas). Posteriormente, la actora solicitó la ampliación de su permiso, añadiendo al período ya reconocido el que consideraba hubiera correspondido al segundo progenitor en el supuesto de una familia biparental (doce semanas).</w:t>
      </w:r>
    </w:p>
    <w:p w14:paraId="77090E57" w14:textId="77777777" w:rsidR="00A8138F" w:rsidRDefault="00A8138F" w:rsidP="00A8138F">
      <w:pPr>
        <w:pStyle w:val="TextoNormal"/>
      </w:pPr>
    </w:p>
    <w:p w14:paraId="17ABE0E4" w14:textId="77777777" w:rsidR="00A8138F" w:rsidRDefault="00A8138F" w:rsidP="00A8138F">
      <w:pPr>
        <w:pStyle w:val="TextoNormal"/>
      </w:pPr>
      <w:r>
        <w:t>b) Tramitada la anterior solicitud en forma de reclamación previa, la pretensión fue rechazada por el INSS mediante resolución de 14 de enero de 2021, argumentando que “[s]u prestación de maternidad ha sido resuelta conforme a la legislación vigente, no estando prevista en la misma la prestación de paternidad al mismo progenitor en caso de familia monoparental, como es su caso”.</w:t>
      </w:r>
    </w:p>
    <w:p w14:paraId="0D292832" w14:textId="77777777" w:rsidR="00A8138F" w:rsidRDefault="00A8138F" w:rsidP="00A8138F">
      <w:pPr>
        <w:pStyle w:val="TextoNormal"/>
      </w:pPr>
    </w:p>
    <w:p w14:paraId="4217F5F1" w14:textId="77777777" w:rsidR="00A8138F" w:rsidRDefault="00A8138F" w:rsidP="00A8138F">
      <w:pPr>
        <w:pStyle w:val="TextoNormal"/>
      </w:pPr>
      <w:r>
        <w:t xml:space="preserve">c) La recurrente presentó demanda contra el INSS por entender que se estaba discriminando a los menores por razón de sexo y de nacimiento </w:t>
      </w:r>
      <w:r w:rsidRPr="00A8138F">
        <w:rPr>
          <w:i/>
        </w:rPr>
        <w:t>ex</w:t>
      </w:r>
      <w:r>
        <w:t xml:space="preserve"> art. 14 CE en relación con el art. 39 CE, solicitando que se le reconociera el derecho a ampliar su permiso por nacimiento y cuidado de menor al tiempo que le hubiera correspondido al otro progenitor de haberse tratado de una familia biparental.</w:t>
      </w:r>
    </w:p>
    <w:p w14:paraId="2023274C" w14:textId="77777777" w:rsidR="00A8138F" w:rsidRDefault="00A8138F" w:rsidP="00A8138F">
      <w:pPr>
        <w:pStyle w:val="TextoNormal"/>
      </w:pPr>
    </w:p>
    <w:p w14:paraId="73CF86A3" w14:textId="77777777" w:rsidR="00A8138F" w:rsidRDefault="00A8138F" w:rsidP="00A8138F">
      <w:pPr>
        <w:pStyle w:val="TextoNormal"/>
      </w:pPr>
      <w:r>
        <w:t xml:space="preserve">d) Mediante sentencia de 18 de enero de 2022 (autos núm. 139-2021), el Juzgado de lo Social núm. 3 de San Sebastián estimó la demanda interpuesta, reconociendo el derecho de la actora “a la prestación por maternidad de doce semanas, adicionales a las dieciséis ya reconocidas por el nacimiento de sus hijos, sin que proceda descontar las cuatro semanas que legalmente se establece que deberían de ser disfrutadas necesariamente a continuación de la fecha del parto, ya que en tal caso no se le estaría tratando en iguales condiciones que al resto de familias biparentales, al tratarse de un permiso retribuido de cuatro semanas que no disfrutaría la actora y declaró el derecho de la actora”. La sentencia consideró que, a tenor de la extensión del permiso de paternidad acordada por el Real Decreto-ley 6/2019, de 1 de marzo, de medidas urgentes para garantía de la igualdad de trato y de oportunidades entre mujeres y hombres en el empleo y la ocupación, y la interpretación de las normas aplicables [art. 48 del texto refundido de la Ley del estatuto de los trabajadores, aprobado por el Real Decreto Legislativo 2/2015, de 23 de octubre (en adelante LET) y art. 177 del </w:t>
      </w:r>
      <w:r>
        <w:lastRenderedPageBreak/>
        <w:t>texto refundido de la Ley general de la Seguridad Social aprobado por el Real Decreto Legislativo 8/2015, de 30 de octubre (en adelante LGSS)], realizada por la Sala de lo Social del Tribunal Superior de Justicia del País Vasco, a cuya doctrina se remitió literal y expresamente, la pretensión había de ser estimada en protección del interés superior del menor.</w:t>
      </w:r>
    </w:p>
    <w:p w14:paraId="1F57FC85" w14:textId="77777777" w:rsidR="00A8138F" w:rsidRDefault="00A8138F" w:rsidP="00A8138F">
      <w:pPr>
        <w:pStyle w:val="TextoNormal"/>
      </w:pPr>
    </w:p>
    <w:p w14:paraId="06EB062E" w14:textId="77777777" w:rsidR="00A8138F" w:rsidRDefault="00A8138F" w:rsidP="00A8138F">
      <w:pPr>
        <w:pStyle w:val="TextoNormal"/>
      </w:pPr>
      <w:r>
        <w:t>e) La representación del INSS recurrió en suplicación la sentencia de instancia. La entidad gestora para sostener que la actora no tiene derecho a la prestación reconocida, por cuanto carece de cobertura legal y no cabe realizar una interpretación extensiva de la norma, no pudiendo transferir un derecho que no existe, porque no se ha generado. Para el INSS, por lo demás, no existe ninguna discriminación, puesto que el resultado sería el mismo si el único progenitor fuera un varón que hubiera constituido una familia monoparental. A lo anterior, añadía que tampoco existe discriminación de los menores, puesto que los requisitos se exigen a todos los beneficiarios, ya sean familias biparentales o monoparentales y que, en cualquier caso, deben descontarse las cuatro semanas inmediatamente posteriores al parto reconocidas al otro progenitor durante el año 2020, pues son de disfrute compartido por ambos progenitores de manera inmediata.</w:t>
      </w:r>
    </w:p>
    <w:p w14:paraId="44987E0B" w14:textId="77777777" w:rsidR="00A8138F" w:rsidRDefault="00A8138F" w:rsidP="00A8138F">
      <w:pPr>
        <w:pStyle w:val="TextoNormal"/>
      </w:pPr>
    </w:p>
    <w:p w14:paraId="47626A7D" w14:textId="77777777" w:rsidR="00A8138F" w:rsidRDefault="00A8138F" w:rsidP="00A8138F">
      <w:pPr>
        <w:pStyle w:val="TextoNormal"/>
      </w:pPr>
      <w:r>
        <w:t>f) Mediante sentencia de 4 de octubre de 2022 (recurso de suplicación núm. 903-2022) la Sala de lo Social del Tribunal Superior de Justicia del País Vasco desestimó íntegramente el recurso formulado por la representación del INSS, remitiéndose como argumento a sus propios precedentes, concretamente a la sentencia 1217/2020, de 6 de octubre (ECLI:ES:TSJPV:2020:396), que había sido fundamento de la sentencia de instancia para admitir la ampliación del permiso y prestación por nacimiento de menor. A lo expuesto añadió que no procedía el descuento de las cuatro semanas que se impetraba por la entidad gestora, pues “se trata de garantizar una equiparación plena con las familias biparentales, lo que abarca a la totalidad del permiso y prestación legalmente previstos, esto es, durante doce semanas adicionales que corresponderías al otro progenitor”.</w:t>
      </w:r>
    </w:p>
    <w:p w14:paraId="71BE9234" w14:textId="77777777" w:rsidR="00A8138F" w:rsidRDefault="00A8138F" w:rsidP="00A8138F">
      <w:pPr>
        <w:pStyle w:val="TextoNormal"/>
      </w:pPr>
    </w:p>
    <w:p w14:paraId="23EE82CE" w14:textId="77777777" w:rsidR="00A8138F" w:rsidRDefault="00A8138F" w:rsidP="00A8138F">
      <w:pPr>
        <w:pStyle w:val="TextoNormal"/>
      </w:pPr>
      <w:r>
        <w:t>g) El letrado de la administración de la Seguridad Social interpuso recurso de casación para la unificación de doctrina en el que invocó como sentencia contradictoria la sentencia núm. 3020/2021, de 19 de octubre, dictada por la Sala de lo Social del Tribunal Superior de Justicia de la Comunidad Valenciana (ECLI:ES:TSJCV:2021:4451), y argumentó la infracción de las normas reguladoras de la prestación por nacimiento y cuidado de menor.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14:paraId="3F3543F0" w14:textId="77777777" w:rsidR="00A8138F" w:rsidRDefault="00A8138F" w:rsidP="00A8138F">
      <w:pPr>
        <w:pStyle w:val="TextoNormal"/>
      </w:pPr>
    </w:p>
    <w:p w14:paraId="7C575DD4" w14:textId="213AEDF5" w:rsidR="00A8138F" w:rsidRDefault="00A8138F" w:rsidP="00A8138F">
      <w:pPr>
        <w:pStyle w:val="TextoNormal"/>
      </w:pPr>
      <w:r>
        <w:t>h) El recurso de casación para la unificación de doctrina fue estimado por sentencia núm. 216/2024, de 30 de enero (recurso de casación para la unificación de doctrina núm. 142-2023), con apoyo en la doctrina fijada por el Pleno de la Sala de lo Social del Tribunal Supremo en la STS 169/2023, de 2 de marzo (ECLI:ES:TS:2023:783), según la cual, la naturaleza y finalidad del permiso a los progenitores por nacimiento de un hijo, la taxativa regulación normativa de este en la Ley del estatuto de los trabajadores y la Ley general de la Seguridad Social,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w:t>
      </w:r>
      <w:r>
        <w:lastRenderedPageBreak/>
        <w:t>ten sustentar la imposibilidad justificada de reconocer en favor de la madre biológica el permiso que hubiera correspondido al otro progenitor no integrado en una familia monoparental; sin que ello suponga desatender el interés en la protección del menor. En virtud de todo ello, el fallo de la sentencia acordaba la nulidad de la sentencia dictada por la Sala de lo Social del Tribunal Superior de Justicia del País Vasco de 4 de octubre de 2022, así como “resolver el debate en suplicación en el sentido de estimar el recurso de suplicación formulado por la representación del INSS y TSGG, revocar la sentencia dictada por el Juzgado de lo Social núm. 3 de San Sebastián de 18 de enero de 2022 (autos 139-2021 y desestimar la demanda entablada por doña Naroa Egurrola Solano”.</w:t>
      </w:r>
    </w:p>
    <w:p w14:paraId="415BA5B2" w14:textId="77777777" w:rsidR="00A8138F" w:rsidRDefault="00A8138F" w:rsidP="00A8138F">
      <w:pPr>
        <w:pStyle w:val="TextoNormal"/>
      </w:pPr>
    </w:p>
    <w:p w14:paraId="57C22606" w14:textId="77777777" w:rsidR="00A8138F" w:rsidRDefault="00A8138F" w:rsidP="00A8138F">
      <w:pPr>
        <w:pStyle w:val="TextoNormal"/>
      </w:pPr>
      <w:r w:rsidRPr="00A8138F">
        <w:rPr>
          <w:rStyle w:val="NumeroAFNegritaCaracter"/>
        </w:rPr>
        <w:t>3</w:t>
      </w:r>
      <w:r>
        <w:t>. Los motivos por los que la demandante solicita el amparo, se basan en la infracción del art. 14 CE en relación con los arts. 39 y 9.2 CE, primero por el derecho de la recurrente a no ser discriminada por razón de su sexo, dado que las resoluciones administrativa y judicial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es decir, de su condición familiar, tomada en ejercicio del libre desarrollo de la personalidad (art. 10.1 CE), alcanzando ese resultado peyorativo y discriminatorio a sus hijos, nacidos en dicha familia monoparental, sin que las resoluciones impugnadas hayan tenido en cuenta el interés superior de los menores a cuyo respeto estaban obligadas por el art. 39. 4 CE y por la Convención sobre los derechos del niño (art. 10.2 CE).</w:t>
      </w:r>
    </w:p>
    <w:p w14:paraId="14D89BA6" w14:textId="77777777" w:rsidR="00A8138F" w:rsidRDefault="00A8138F" w:rsidP="00A8138F">
      <w:pPr>
        <w:pStyle w:val="TextoNormal"/>
      </w:pPr>
    </w:p>
    <w:p w14:paraId="69A9F29B" w14:textId="279275DF" w:rsidR="00A8138F" w:rsidRDefault="00A8138F" w:rsidP="00A8138F">
      <w:pPr>
        <w:pStyle w:val="TextoNormal"/>
      </w:pPr>
      <w:r>
        <w:t>En virtud de todo ello interesa de este tribunal que, además del reconocimiento de la vulneración de los derechos fundamentales invocados, declare su derecho a la ampliación del permiso por nacimiento de hijo, y la nulidad de la sentencia de la Sala de lo Social del Tribunal Supremo 216/2024, de 30 de enero, y de la resolución del INSS de 14 de enero de 2021, retrotrayendo las actuaciones al momento previo al dictado de esta última, para que dicte otra que respete los derechos fundamentales de la recurrente.</w:t>
      </w:r>
    </w:p>
    <w:p w14:paraId="53EF2AD6" w14:textId="77777777" w:rsidR="00A8138F" w:rsidRDefault="00A8138F" w:rsidP="00A8138F">
      <w:pPr>
        <w:pStyle w:val="TextoNormal"/>
      </w:pPr>
    </w:p>
    <w:p w14:paraId="746B3B6F" w14:textId="4A7120C7" w:rsidR="00A8138F" w:rsidRDefault="00A8138F" w:rsidP="00A8138F">
      <w:pPr>
        <w:pStyle w:val="TextoNormal"/>
      </w:pPr>
      <w:r w:rsidRPr="00A8138F">
        <w:rPr>
          <w:rStyle w:val="NumeroAFNegritaCaracter"/>
        </w:rPr>
        <w:t>4</w:t>
      </w:r>
      <w:r>
        <w:t>. Mediante providencia de 21 de octubre de 2024, la Sección Tercera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del País Vasco, a fin de que, en plazo que no excediera de diez días, remitiera testimonio de lo actuado en el recurso de casación para unificación de doctrina núm. 142-2023; y en el recurso de suplicación núm. 903-2022, respectivamente y al Juzgado de lo Social núm. 3 de San Sebastián, a fin de que, en el mismo plazo, remitiera testimonio de las actuaciones correspondientes al procedimiento núm. 139-2021; debiendo previamente emplazarse, para que en el plazo de diez días pudieran comparecer, si lo deseaban, en el recurso de amparo a quienes hubieran sido parte en el procedimiento, excepto la parte recurrente en amparo.</w:t>
      </w:r>
    </w:p>
    <w:p w14:paraId="29B441AF" w14:textId="77777777" w:rsidR="00A8138F" w:rsidRDefault="00A8138F" w:rsidP="00A8138F">
      <w:pPr>
        <w:pStyle w:val="TextoNormal"/>
      </w:pPr>
    </w:p>
    <w:p w14:paraId="1585311D" w14:textId="45FA4066" w:rsidR="00A8138F" w:rsidRDefault="00A8138F" w:rsidP="00A8138F">
      <w:pPr>
        <w:pStyle w:val="TextoNormal"/>
      </w:pPr>
      <w:r w:rsidRPr="00A8138F">
        <w:rPr>
          <w:rStyle w:val="NumeroAFNegritaCaracter"/>
        </w:rPr>
        <w:lastRenderedPageBreak/>
        <w:t>5</w:t>
      </w:r>
      <w:r>
        <w:t>. El día 21 de noviembre de 2024, la Secretaría de Justicia de la Sala Segunda del Tribunal Constitucional dictó diligencia de ordenación en la que se acuerda, a tenor de lo dispuesto en el art. 52 LOTC, dar vista de las actuaciones recibidas a las partes personadas y al Ministerio Fiscal por un plazo común de veinte días, para que dentro de dicho término puedan presentar las alegaciones que estimen pertinentes.</w:t>
      </w:r>
    </w:p>
    <w:p w14:paraId="11BFF8EE" w14:textId="77777777" w:rsidR="00A8138F" w:rsidRDefault="00A8138F" w:rsidP="00A8138F">
      <w:pPr>
        <w:pStyle w:val="TextoNormal"/>
      </w:pPr>
    </w:p>
    <w:p w14:paraId="5D1A1612" w14:textId="6D95DF17" w:rsidR="00A8138F" w:rsidRDefault="00A8138F" w:rsidP="00A8138F">
      <w:pPr>
        <w:pStyle w:val="TextoNormal"/>
      </w:pPr>
      <w:r w:rsidRPr="00A8138F">
        <w:rPr>
          <w:rStyle w:val="NumeroAFNegritaCaracter"/>
        </w:rPr>
        <w:t>6</w:t>
      </w:r>
      <w:r>
        <w:t>. Una vez la letrada de la administración de la Seguridad Social solicitó su personación en nombre del INSS y la TGSS, mediante diligencia de ordenación de 26 de noviembre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14:paraId="6F3D6463" w14:textId="77777777" w:rsidR="00A8138F" w:rsidRDefault="00A8138F" w:rsidP="00A8138F">
      <w:pPr>
        <w:pStyle w:val="TextoNormal"/>
      </w:pPr>
    </w:p>
    <w:p w14:paraId="5AF03178" w14:textId="55FCF340" w:rsidR="00A8138F" w:rsidRDefault="00A8138F" w:rsidP="00A8138F">
      <w:pPr>
        <w:pStyle w:val="TextoNormal"/>
      </w:pPr>
      <w:r w:rsidRPr="00A8138F">
        <w:rPr>
          <w:rStyle w:val="NumeroAFNegritaCaracter"/>
        </w:rPr>
        <w:t>7</w:t>
      </w:r>
      <w:r>
        <w:t>. El 27 de noviembre de 2024,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no ser discriminada directamente por su condición de madre soltera y única progenitora, que supone discriminar al menor por nacimiento en una familia monoparental, e indirectamente por sexo femenino por la argumentación contenida en la demanda de amparo”.</w:t>
      </w:r>
    </w:p>
    <w:p w14:paraId="5A467643" w14:textId="77777777" w:rsidR="00A8138F" w:rsidRDefault="00A8138F" w:rsidP="00A8138F">
      <w:pPr>
        <w:pStyle w:val="TextoNormal"/>
      </w:pPr>
    </w:p>
    <w:p w14:paraId="15941ABB" w14:textId="77777777" w:rsidR="00A8138F" w:rsidRDefault="00A8138F" w:rsidP="00A8138F">
      <w:pPr>
        <w:pStyle w:val="TextoNormal"/>
      </w:pPr>
      <w:r w:rsidRPr="00A8138F">
        <w:rPr>
          <w:rStyle w:val="NumeroAFNegritaCaracter"/>
        </w:rPr>
        <w:t>8</w:t>
      </w:r>
      <w:r>
        <w:t>. La letrada de la administración de la Seguridad Social presentó sus alegaciones el día 16 de diciembre de 2024. En ellas identifica y describe el contenido de las normas legales aplicables para la resolución de su pretensión (LGSS y LET)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32317452" w14:textId="77777777" w:rsidR="00A8138F" w:rsidRDefault="00A8138F" w:rsidP="00A8138F">
      <w:pPr>
        <w:pStyle w:val="TextoNormal"/>
      </w:pPr>
    </w:p>
    <w:p w14:paraId="7F780C8A" w14:textId="77777777" w:rsidR="00A8138F" w:rsidRDefault="00A8138F" w:rsidP="00A8138F">
      <w:pPr>
        <w:pStyle w:val="TextoNormal"/>
      </w:pPr>
      <w:r>
        <w:t>Consigna a continuación la decisión del Pleno del Tribunal Constitucional en la STC 140/2024, de 6 de noviembre,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1D4D9956" w14:textId="77777777" w:rsidR="00A8138F" w:rsidRDefault="00A8138F" w:rsidP="00A8138F">
      <w:pPr>
        <w:pStyle w:val="TextoNormal"/>
      </w:pPr>
    </w:p>
    <w:p w14:paraId="4C3F4742" w14:textId="734F8786" w:rsidR="00A8138F" w:rsidRDefault="00A8138F" w:rsidP="00A8138F">
      <w:pPr>
        <w:pStyle w:val="TextoNormal"/>
      </w:pPr>
      <w:r>
        <w:lastRenderedPageBreak/>
        <w:t>La letrada, a la vista de lo anterior, “para evitar reiteraciones innecesarias, se ratifica en las alegaciones realizadas a lo largo de todo el procedimiento” al tiempo que sostiene que el reconocimiento de las diez semanas adicionales “quedará supeditado al cumplimiento del resto de los requisitos legalmente establecidos para el percibo de la prestación, en los que se incluye el haber hecho efectivo el descanso, sin prestar servicios por cuenta ajena ni percibir las correspondientes retribuciones, o haber obtenido una prestación de Seguridad Social incompatible con la que ahora se reclama”.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14:paraId="55EB4E01" w14:textId="77777777" w:rsidR="00A8138F" w:rsidRDefault="00A8138F" w:rsidP="00A8138F">
      <w:pPr>
        <w:pStyle w:val="TextoNormal"/>
      </w:pPr>
    </w:p>
    <w:p w14:paraId="75FF67C9" w14:textId="77777777" w:rsidR="00A8138F" w:rsidRDefault="00A8138F" w:rsidP="00A8138F">
      <w:pPr>
        <w:pStyle w:val="TextoNormal"/>
      </w:pPr>
      <w:r w:rsidRPr="00A8138F">
        <w:rPr>
          <w:rStyle w:val="NumeroAFNegritaCaracter"/>
        </w:rPr>
        <w:t>9</w:t>
      </w:r>
      <w:r>
        <w:t>. El día 17 de diciembre de 2024, el Ministerio Fiscal interesó la estimación del recurso de amparo, por considerar vulnerado el derecho a no ser discriminado, de la demandante por su pertenencia a una familia monoparental y de sus hijos por razón de nacimiento en la misma, según resulta de la doctrina constitucional establecida en la STC 140/2024 dictada en la cuestión de inconstitucionalidad núm. 6694-2023. de la que reproduce amplios extractos.</w:t>
      </w:r>
    </w:p>
    <w:p w14:paraId="69E1BB65" w14:textId="77777777" w:rsidR="00A8138F" w:rsidRDefault="00A8138F" w:rsidP="00A8138F">
      <w:pPr>
        <w:pStyle w:val="TextoNormal"/>
      </w:pPr>
    </w:p>
    <w:p w14:paraId="1D090FAD" w14:textId="77777777" w:rsidR="00A8138F" w:rsidRDefault="00A8138F" w:rsidP="00A8138F">
      <w:pPr>
        <w:pStyle w:val="TextoNormal"/>
      </w:pPr>
      <w:r>
        <w:t>El fiscal rechaza que los efectos de la estimación sean los pretendidos por la demandante, esto es, la expresa declaración de nulidad de la inicial resolución dictada por el INSS, puesto que ya fue anulada por la sentencia del Tribunal Superior de Justicia del País Vasco que, confirmando la del Juzgado de lo Social núm. 3 de San Sebastián, dejó sin efecto dicha resolución administrativa y condenó a la entidad gestora de la Seguridad Social a reconocer el derecho de la demandante a una prestación adicional.</w:t>
      </w:r>
    </w:p>
    <w:p w14:paraId="60C0AC72" w14:textId="77777777" w:rsidR="00A8138F" w:rsidRDefault="00A8138F" w:rsidP="00A8138F">
      <w:pPr>
        <w:pStyle w:val="TextoNormal"/>
      </w:pPr>
    </w:p>
    <w:p w14:paraId="5BCB6612" w14:textId="77777777" w:rsidR="00A8138F" w:rsidRDefault="00A8138F" w:rsidP="00A8138F">
      <w:pPr>
        <w:pStyle w:val="TextoNormal"/>
      </w:pPr>
      <w:r>
        <w:t>Ahora bien, el fiscal considera que en este recurso no procede acordar la firmeza de la sentencia dictada por el Tribunal Superior de Justicia del País Vasco, teniendo en cuenta lo siguiente: tanto este órgano judicial como antes el Juzgado de lo Social núm. 3 de San Sebastián han concedido a la demandante una ampliación de la prestación en doce semanas (el total de las que corresponderían al otro progenitor según el tenor literal del art. 177 LGSS en relación con el art. 48.4 LET, y la disposición transitoria decimotercera, apartado d) del Real Decreto Legislativo 2/2015 por el que se aprueba el texto refundido de la Ley del estatuto de los trabajadores ), lo que supone un exceso de cuatro semanas respecto de las que procede otorgar a las progenitoras de una familia monoparental con arreglo a lo establecido por la STC 140/2024, mientras por el legislador no se modifiquen los preceptos. Y, por consiguiente, las cuatro semanas más de las establecidas en la STC 140/2024 no están amparadas por el derecho fundamental de la demandante de amparo.</w:t>
      </w:r>
    </w:p>
    <w:p w14:paraId="1A195868" w14:textId="77777777" w:rsidR="00A8138F" w:rsidRDefault="00A8138F" w:rsidP="00A8138F">
      <w:pPr>
        <w:pStyle w:val="TextoNormal"/>
      </w:pPr>
    </w:p>
    <w:p w14:paraId="41540A53" w14:textId="2BDDAA6E" w:rsidR="00A8138F" w:rsidRDefault="00A8138F" w:rsidP="00A8138F">
      <w:pPr>
        <w:pStyle w:val="TextoNormal"/>
      </w:pPr>
      <w:r>
        <w:t>Así, explica su pretensión afirmando que “[e]l INSS recurrió la sentencia del Tribunal Superior de Justicia pidiendo que se casase y se dictase otra más ajustada a Derecho, por entender que la sentencia del Tribunal Superior de Justicia del País Vasco no había interpretado correctamente la normativa aplicable, fundamentalmente los arts. 48.4 LET y 177 LGSS y, como se ha dicho, precisamente estos preceptos son los que la STC de 6 de noviembre de 2024, para evitar la vulneración del art. 14 CE mientras no se modifique la regulación actual, establece que deben aplicarse otorgando a los progenitores de familias monoparentales ocho semanas adicionales a las que corresponden al primer progenitor en las familias biparentales; por lo tanto parece procedente mantener el derecho del INSS a que se resuelva su recurso, sin perjuicio de que la decisión que se adopte por el Tribunal Su</w:t>
      </w:r>
      <w:r>
        <w:lastRenderedPageBreak/>
        <w:t>premo deberá respetar el derecho fundamental de la demandante de amparo según la doctrina del Tribunal Constitucional”.</w:t>
      </w:r>
    </w:p>
    <w:p w14:paraId="3A322559" w14:textId="77777777" w:rsidR="00A8138F" w:rsidRDefault="00A8138F" w:rsidP="00A8138F">
      <w:pPr>
        <w:pStyle w:val="TextoNormal"/>
      </w:pPr>
    </w:p>
    <w:p w14:paraId="26E5B7FD" w14:textId="55D02712" w:rsidR="00A8138F" w:rsidRDefault="00A8138F" w:rsidP="00A8138F">
      <w:pPr>
        <w:pStyle w:val="TextoNormal"/>
      </w:pPr>
      <w:r w:rsidRPr="00A8138F">
        <w:rPr>
          <w:rStyle w:val="NumeroAFNegritaCaracter"/>
        </w:rPr>
        <w:t>10</w:t>
      </w:r>
      <w:r>
        <w:t>. Mediante providencia de 23 de enero de 2025, se señaló para deliberación y votación de la presente sentencia el día 27 del mismo mes y año.</w:t>
      </w:r>
    </w:p>
    <w:p w14:paraId="66FEDC2C" w14:textId="77777777" w:rsidR="00A8138F" w:rsidRDefault="00A8138F" w:rsidP="00A8138F">
      <w:pPr>
        <w:pStyle w:val="TextoNormal"/>
      </w:pPr>
    </w:p>
    <w:p w14:paraId="6C47F830" w14:textId="77777777" w:rsidR="00A8138F" w:rsidRDefault="00A8138F" w:rsidP="00A8138F">
      <w:pPr>
        <w:pStyle w:val="TextoNormalNegritaCentrado"/>
        <w:keepNext/>
      </w:pPr>
      <w:r>
        <w:t>II. Fundamentos jurídicos</w:t>
      </w:r>
    </w:p>
    <w:p w14:paraId="020CF0D9" w14:textId="45807652" w:rsidR="00A8138F" w:rsidRDefault="00A8138F" w:rsidP="00A8138F">
      <w:pPr>
        <w:pStyle w:val="TextoNormalNegritaCentrado"/>
        <w:keepNext/>
      </w:pPr>
    </w:p>
    <w:p w14:paraId="29DF8128"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59D4A7B3" w14:textId="77777777" w:rsidR="00A8138F" w:rsidRDefault="00A8138F" w:rsidP="00A8138F">
      <w:pPr>
        <w:pStyle w:val="TextoNormal"/>
      </w:pPr>
    </w:p>
    <w:p w14:paraId="15A5BC1F" w14:textId="77777777" w:rsidR="00A8138F" w:rsidRDefault="00A8138F" w:rsidP="00A8138F">
      <w:pPr>
        <w:pStyle w:val="TextoNormal"/>
      </w:pPr>
      <w:r>
        <w:t>El objeto del presente proceso es dilucidar si la resolución administrativa del INSS de 14 de enero de 2021 y la sentencia de la Sala de lo Social del Tribunal Supremo núm. 216/2024, de 30 de enero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2213DC9A" w14:textId="77777777" w:rsidR="00A8138F" w:rsidRDefault="00A8138F" w:rsidP="00A8138F">
      <w:pPr>
        <w:pStyle w:val="TextoNormal"/>
      </w:pPr>
    </w:p>
    <w:p w14:paraId="1B055380"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3BC0F54" w14:textId="77777777" w:rsidR="00A8138F" w:rsidRDefault="00A8138F" w:rsidP="00A8138F">
      <w:pPr>
        <w:pStyle w:val="TextoNormal"/>
      </w:pPr>
    </w:p>
    <w:p w14:paraId="40D26DD5"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133686F" w14:textId="77777777" w:rsidR="00A8138F" w:rsidRDefault="00A8138F" w:rsidP="00A8138F">
      <w:pPr>
        <w:pStyle w:val="TextoNormal"/>
      </w:pPr>
    </w:p>
    <w:p w14:paraId="772FA137" w14:textId="77777777" w:rsidR="00A8138F" w:rsidRDefault="00A8138F" w:rsidP="00A8138F">
      <w:pPr>
        <w:pStyle w:val="TextoNormal"/>
      </w:pPr>
      <w:r>
        <w:t>Los arts. 48.4 LET y 177 LGSS, al no prever la posibilidad de que, en circunstancias como las que concurren en el presente caso, “las madres biológicas de familias monoparen</w:t>
      </w:r>
      <w:r>
        <w:lastRenderedPageBreak/>
        <w:t xml:space="preserve">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750879FD" w14:textId="77777777" w:rsidR="00A8138F" w:rsidRDefault="00A8138F" w:rsidP="00A8138F">
      <w:pPr>
        <w:pStyle w:val="TextoNormal"/>
      </w:pPr>
    </w:p>
    <w:p w14:paraId="3C0601C9" w14:textId="6FCB4003"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2581C34" w14:textId="77777777" w:rsidR="00A8138F" w:rsidRDefault="00A8138F" w:rsidP="00A8138F">
      <w:pPr>
        <w:pStyle w:val="TextoNormal"/>
      </w:pPr>
    </w:p>
    <w:p w14:paraId="77346D94" w14:textId="77777777" w:rsidR="00A8138F" w:rsidRDefault="00A8138F" w:rsidP="00A8138F">
      <w:pPr>
        <w:pStyle w:val="TextoNormalCentrado"/>
        <w:keepNext/>
      </w:pPr>
      <w:r>
        <w:t>FALLO</w:t>
      </w:r>
    </w:p>
    <w:p w14:paraId="45FAB43A" w14:textId="3DE0E16A" w:rsidR="00A8138F" w:rsidRDefault="00A8138F" w:rsidP="00A8138F">
      <w:pPr>
        <w:pStyle w:val="TextoNormalCentrado"/>
        <w:keepNext/>
      </w:pPr>
    </w:p>
    <w:p w14:paraId="74AF310E"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Naroa Egurrola Solano y, en su virtud:</w:t>
      </w:r>
    </w:p>
    <w:p w14:paraId="2D7DDF3D" w14:textId="77777777" w:rsidR="00A8138F" w:rsidRDefault="00A8138F" w:rsidP="00A8138F">
      <w:pPr>
        <w:pStyle w:val="TextoNormal"/>
      </w:pPr>
    </w:p>
    <w:p w14:paraId="558BA757" w14:textId="77777777" w:rsidR="00A8138F" w:rsidRDefault="00A8138F" w:rsidP="00A8138F">
      <w:pPr>
        <w:pStyle w:val="TextoNormal"/>
      </w:pPr>
      <w:r>
        <w:t>1º Declarar vulnerado el derecho fundamental a la igualdad ante la ley, sin que pueda prevalecer discriminación alguna (art. 14 CE).</w:t>
      </w:r>
    </w:p>
    <w:p w14:paraId="2A5C0F40" w14:textId="77777777" w:rsidR="00A8138F" w:rsidRDefault="00A8138F" w:rsidP="00A8138F">
      <w:pPr>
        <w:pStyle w:val="TextoNormal"/>
      </w:pPr>
    </w:p>
    <w:p w14:paraId="58E88388" w14:textId="77777777" w:rsidR="00A8138F" w:rsidRDefault="00A8138F" w:rsidP="00A8138F">
      <w:pPr>
        <w:pStyle w:val="TextoNormal"/>
      </w:pPr>
      <w:r>
        <w:t>2º Restablecerla en su derecho y, a tal fin, declarar la nulidad de la resolución del Instituto Nacional de la Seguridad Social de 14 de enero de 2021; de la sentencia del Juzgado de lo Social núm. 3 de San Sebastián de 18 de enero de 2022 (autos núm.139-2021); de la sentencia del Tribunal Superior de Justicia del País Vasco de 4 de octubre de 2022 (recurso de suplicación núm. 903-2022) y de la sentencia de la Sala de lo Social del Tribunal Supremo núm. 216/2024, de 30 de enero (recurso de casación para unificación de doctrina núm. 142-2023).</w:t>
      </w:r>
    </w:p>
    <w:p w14:paraId="1B895188" w14:textId="77777777" w:rsidR="00A8138F" w:rsidRDefault="00A8138F" w:rsidP="00A8138F">
      <w:pPr>
        <w:pStyle w:val="TextoNormal"/>
      </w:pPr>
    </w:p>
    <w:p w14:paraId="1C408452" w14:textId="05B78B4C" w:rsidR="00A8138F" w:rsidRDefault="00A8138F" w:rsidP="00A8138F">
      <w:pPr>
        <w:pStyle w:val="TextoNormal"/>
      </w:pPr>
      <w:r>
        <w:t>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presente sentencia, se dicte una resolución expresa respetuosa con el derecho fundamental vulnerado.</w:t>
      </w:r>
    </w:p>
    <w:p w14:paraId="388E4BD5" w14:textId="77777777" w:rsidR="00A8138F" w:rsidRDefault="00A8138F" w:rsidP="00A8138F">
      <w:pPr>
        <w:pStyle w:val="TextoNormal"/>
      </w:pPr>
    </w:p>
    <w:p w14:paraId="7ACBB444" w14:textId="77777777" w:rsidR="00A8138F" w:rsidRDefault="00A8138F" w:rsidP="00A8138F">
      <w:pPr>
        <w:pStyle w:val="TextoNormal"/>
      </w:pPr>
      <w:r>
        <w:t>Publíquese esta sentencia en el “Boletín Oficial del Estado”.</w:t>
      </w:r>
    </w:p>
    <w:p w14:paraId="7D7F1ACD" w14:textId="77777777" w:rsidR="00A8138F" w:rsidRDefault="00A8138F" w:rsidP="00A8138F">
      <w:pPr>
        <w:pStyle w:val="TextoNormal"/>
      </w:pPr>
      <w:r>
        <w:t>Dada en Madrid, a veintisiete de enero de dos mil veinticinco.</w:t>
      </w:r>
    </w:p>
    <w:p w14:paraId="3B47CCC0" w14:textId="4C86C5DB" w:rsidR="00A8138F" w:rsidRDefault="00A8138F">
      <w:pPr>
        <w:spacing w:after="160" w:line="278" w:lineRule="auto"/>
        <w:rPr>
          <w:rFonts w:ascii="Times New Roman" w:eastAsia="Times New Roman" w:hAnsi="Times New Roman" w:cs="Times New Roman"/>
          <w:sz w:val="24"/>
          <w:szCs w:val="24"/>
          <w:lang w:eastAsia="es-ES"/>
        </w:rPr>
      </w:pPr>
      <w:r>
        <w:br w:type="page"/>
      </w:r>
    </w:p>
    <w:p w14:paraId="0CA8C955" w14:textId="77777777" w:rsidR="00A8138F" w:rsidRDefault="00A8138F" w:rsidP="00A8138F">
      <w:pPr>
        <w:pStyle w:val="TtuloResolucin"/>
      </w:pPr>
      <w:bookmarkStart w:id="25" w:name="SENTENCIA_2025_23"/>
      <w:r>
        <w:lastRenderedPageBreak/>
        <w:t>SENTENCIA 23/2025, de 27 de enero de 2025</w:t>
      </w:r>
    </w:p>
    <w:bookmarkEnd w:id="25"/>
    <w:p w14:paraId="5AC4B442" w14:textId="77777777" w:rsidR="00A8138F" w:rsidRDefault="00A8138F" w:rsidP="00A8138F">
      <w:pPr>
        <w:pStyle w:val="TtuloResolucin"/>
      </w:pPr>
      <w:r>
        <w:t>Sala Primera</w:t>
      </w:r>
    </w:p>
    <w:p w14:paraId="6EB779A3" w14:textId="77777777" w:rsidR="00A8138F" w:rsidRDefault="00A8138F" w:rsidP="00A8138F">
      <w:pPr>
        <w:pStyle w:val="TtuloBOE"/>
      </w:pPr>
      <w:r>
        <w:t>(BOE núm. 51, de 28 de febrero de 2025)</w:t>
      </w:r>
    </w:p>
    <w:p w14:paraId="261E0ACD" w14:textId="77777777" w:rsidR="00A8138F" w:rsidRDefault="00A8138F" w:rsidP="00A8138F">
      <w:pPr>
        <w:pStyle w:val="TextoNormalCentrado"/>
      </w:pPr>
      <w:r>
        <w:t>ECLI:ES:TC:2025:23</w:t>
      </w:r>
    </w:p>
    <w:p w14:paraId="2F57B3D8" w14:textId="529B2D19" w:rsidR="00A8138F" w:rsidRDefault="00A8138F" w:rsidP="00A8138F">
      <w:pPr>
        <w:pStyle w:val="TextoNormalCentrado"/>
      </w:pPr>
    </w:p>
    <w:p w14:paraId="52611C3C" w14:textId="77777777" w:rsidR="00A8138F" w:rsidRDefault="00A8138F" w:rsidP="00A8138F">
      <w:pPr>
        <w:pStyle w:val="SntesisDescriptiva"/>
      </w:pPr>
      <w:r>
        <w:t>Recurso de amparo 1640-2024. Promovido por doña Itziar Álvarez Rodríguez en relación con las resoluciones administrativas y judiciales que desestimaron su petición de revisión y ampliación de la prestación por nacimiento y cuidado de hijo menor, como madre biológica de familia monoparental.</w:t>
      </w:r>
    </w:p>
    <w:p w14:paraId="373412E1" w14:textId="17D49B93" w:rsidR="00A8138F" w:rsidRDefault="00A8138F" w:rsidP="00A8138F">
      <w:pPr>
        <w:pStyle w:val="SntesisDescriptiva"/>
      </w:pPr>
    </w:p>
    <w:p w14:paraId="6E00E8F6"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91AC39D" w14:textId="3CF3BF5B" w:rsidR="00A8138F" w:rsidRDefault="00A8138F" w:rsidP="00A8138F">
      <w:pPr>
        <w:pStyle w:val="SntesisAnaltica"/>
      </w:pPr>
    </w:p>
    <w:p w14:paraId="592CD902" w14:textId="288E14D1"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30E983E0" w14:textId="77777777" w:rsidR="00A8138F" w:rsidRDefault="00A8138F" w:rsidP="00A8138F">
      <w:pPr>
        <w:pStyle w:val="Extracto"/>
      </w:pPr>
    </w:p>
    <w:p w14:paraId="68D74A2B" w14:textId="77777777" w:rsidR="00A8138F" w:rsidRDefault="00A8138F" w:rsidP="00A8138F">
      <w:pPr>
        <w:pStyle w:val="Extracto"/>
      </w:pPr>
    </w:p>
    <w:p w14:paraId="384CEF00"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954FDDD" w14:textId="63185A4C" w:rsidR="00A8138F" w:rsidRDefault="00A8138F" w:rsidP="00A8138F">
      <w:pPr>
        <w:pStyle w:val="TextoNormal"/>
      </w:pPr>
    </w:p>
    <w:p w14:paraId="5972A9C0" w14:textId="77777777" w:rsidR="00A8138F" w:rsidRDefault="00A8138F" w:rsidP="00A8138F">
      <w:pPr>
        <w:pStyle w:val="TextoNormalCentrado"/>
        <w:keepNext/>
      </w:pPr>
      <w:r>
        <w:t>EN NOMBRE DEL REY</w:t>
      </w:r>
    </w:p>
    <w:p w14:paraId="5398E43E" w14:textId="2B78EEEC" w:rsidR="00A8138F" w:rsidRDefault="00A8138F" w:rsidP="00A8138F">
      <w:pPr>
        <w:pStyle w:val="TextoNormalCentrado"/>
        <w:keepNext/>
      </w:pPr>
    </w:p>
    <w:p w14:paraId="22AA43DF" w14:textId="77777777" w:rsidR="00A8138F" w:rsidRDefault="00A8138F" w:rsidP="00A8138F">
      <w:pPr>
        <w:pStyle w:val="TextoNormalCentrado"/>
        <w:keepNext/>
      </w:pPr>
    </w:p>
    <w:p w14:paraId="3C372E2F" w14:textId="77777777" w:rsidR="00A8138F" w:rsidRDefault="00A8138F" w:rsidP="00A8138F">
      <w:pPr>
        <w:pStyle w:val="TextoNormal"/>
      </w:pPr>
      <w:r>
        <w:t>la siguiente</w:t>
      </w:r>
    </w:p>
    <w:p w14:paraId="614A23B9" w14:textId="74495462" w:rsidR="00A8138F" w:rsidRDefault="00A8138F" w:rsidP="00A8138F">
      <w:pPr>
        <w:pStyle w:val="TextoNormal"/>
      </w:pPr>
    </w:p>
    <w:p w14:paraId="6A402BC7" w14:textId="77777777" w:rsidR="00A8138F" w:rsidRDefault="00A8138F" w:rsidP="00A8138F">
      <w:pPr>
        <w:pStyle w:val="TextoNormalCentrado"/>
        <w:keepNext/>
      </w:pPr>
      <w:r>
        <w:t>SENTENCIA</w:t>
      </w:r>
    </w:p>
    <w:p w14:paraId="3EDE6334" w14:textId="749098BB" w:rsidR="00A8138F" w:rsidRDefault="00A8138F" w:rsidP="00A8138F">
      <w:pPr>
        <w:pStyle w:val="TextoNormalCentrado"/>
        <w:keepNext/>
      </w:pPr>
    </w:p>
    <w:p w14:paraId="302ED6B1" w14:textId="77777777" w:rsidR="00A8138F" w:rsidRDefault="00A8138F" w:rsidP="00A8138F">
      <w:pPr>
        <w:pStyle w:val="TextoNormal"/>
      </w:pPr>
      <w:r>
        <w:t xml:space="preserve">En el recurso de amparo núm. 1640-2024, promovido por doña Itziar Álvarez Rodríguez, representada por la procuradora de los tribunales doña María Esperanza Azpeitia Calvín y asistida por el letrado don Mikel Arrieta Gómez, contra las resoluciones administrativas del Instituto Nacional de la Seguridad Social (INSS) denegatorias de la solicitud de ampliación de la prestación por nacimiento y cuidado de hijo menor a la madre biológica de familia monoparental, confirmadas por sentencia núm. 267/2024, de 9 de febrero, de la Sala de lo Social del Tribunal Supremo dictada en el recurso de casación para la unificación de doctrina núm. 931-2023, interpuesto por el INSS y la Tesorería General de la Seguridad Social (TGSS) contra la sentencia núm. 180/2023, de 24 de enero, de la Sala de lo Social del Tribunal Superior de Justicia del País Vasco dictada en el recurso de suplicación núm. 1936-2022, interpuesto por la demandante contra la sentencia núm. 230/2022, de 2 de junio, del Juzgado de lo Social núm. 1 de Bilbao dictada en los autos núm. 977-2021, desestimatoria de la demanda interpuesta por la recurrente de amparo contra las resoluciones del INSS de </w:t>
      </w:r>
      <w:r>
        <w:lastRenderedPageBreak/>
        <w:t>29 de julio y 12 de agosto de 2021. Han intervenido la letrada de la administración de la Seguridad Social, y el Ministerio Fiscal. Ha sido ponente la magistrada doña Concepción Espejel Jorquera.</w:t>
      </w:r>
    </w:p>
    <w:p w14:paraId="0451A147" w14:textId="19536AA4" w:rsidR="00A8138F" w:rsidRDefault="00A8138F" w:rsidP="00A8138F">
      <w:pPr>
        <w:pStyle w:val="TextoNormal"/>
      </w:pPr>
    </w:p>
    <w:p w14:paraId="00C6A6BA" w14:textId="77777777" w:rsidR="00A8138F" w:rsidRDefault="00A8138F" w:rsidP="00A8138F">
      <w:pPr>
        <w:pStyle w:val="TextoNormalNegritaCentrado"/>
        <w:keepNext/>
      </w:pPr>
      <w:r>
        <w:t>I. Antecedentes</w:t>
      </w:r>
    </w:p>
    <w:p w14:paraId="78843248" w14:textId="0289EFF1" w:rsidR="00A8138F" w:rsidRDefault="00A8138F" w:rsidP="00A8138F">
      <w:pPr>
        <w:pStyle w:val="TextoNormalNegritaCentrado"/>
        <w:keepNext/>
      </w:pPr>
    </w:p>
    <w:p w14:paraId="7F519252" w14:textId="5DECD361" w:rsidR="00A8138F" w:rsidRDefault="00A8138F" w:rsidP="00A8138F">
      <w:pPr>
        <w:pStyle w:val="TextoNormal"/>
      </w:pPr>
      <w:r w:rsidRPr="00A8138F">
        <w:rPr>
          <w:rStyle w:val="NumeroAFNegritaCaracter"/>
        </w:rPr>
        <w:t>1</w:t>
      </w:r>
      <w:r>
        <w:t>. El 6 de marzo de 2024, la procuradora de los tribunales doña María Esperanza Azpeitia Calvin, en nombre de la recurrente y bajo la dirección del letrado don Mikel Arrieta Gómez, interpuso recurso de amparo contra la sentencia núm. 267/2024, de 9 de febrero, de la Sala de lo Social del Tribunal Supremo, estimatoria del recurso de casación en unificación de doctrina interpuesto por el INSS, que casa y anula la sentencia núm. 180/2023, de 24 de enero, de la Sala de lo Social del Tribunal Superior de Justicia del País Vasco, y confirma la sentencia núm. 230/2022, de 2 de junio, del Juzgado de lo Social núm. 1 de Bilbao, que desestimó la demanda de la ahora recurrente frente a las resoluciones del INSS citadas en el encabezamiento, denegatorias de la ampliación del permiso por nacimiento y cuidado de hijo menor solicitada por la madre biológica en familia monoparental.</w:t>
      </w:r>
    </w:p>
    <w:p w14:paraId="082E35C9" w14:textId="77777777" w:rsidR="00A8138F" w:rsidRDefault="00A8138F" w:rsidP="00A8138F">
      <w:pPr>
        <w:pStyle w:val="TextoNormal"/>
      </w:pPr>
    </w:p>
    <w:p w14:paraId="7BDDF964" w14:textId="77777777" w:rsidR="00A8138F" w:rsidRDefault="00A8138F" w:rsidP="00A8138F">
      <w:pPr>
        <w:pStyle w:val="TextoNormal"/>
      </w:pPr>
      <w:r w:rsidRPr="00A8138F">
        <w:rPr>
          <w:rStyle w:val="NumeroAFNegritaCaracter"/>
        </w:rPr>
        <w:t>2</w:t>
      </w:r>
      <w:r>
        <w:t>. El presente recurso de amparo trae causa de los siguientes antecedentes:</w:t>
      </w:r>
    </w:p>
    <w:p w14:paraId="05415B30" w14:textId="77777777" w:rsidR="00A8138F" w:rsidRDefault="00A8138F" w:rsidP="00A8138F">
      <w:pPr>
        <w:pStyle w:val="TextoNormal"/>
      </w:pPr>
    </w:p>
    <w:p w14:paraId="69684DDF" w14:textId="77777777" w:rsidR="00A8138F" w:rsidRDefault="00A8138F" w:rsidP="00A8138F">
      <w:pPr>
        <w:pStyle w:val="TextoNormal"/>
      </w:pPr>
      <w:r>
        <w:t>a) La recurrente en amparo, madre biológica de un menor nacido el 19 de julio de 2021, soltera y que constituye una familia monoparental, le fue reconocido en resolución de la Dirección Provincial de Vizcaya del INSS de 29 de julio de 2021 un permiso por nacimiento y cuidado del menor de dieciséis semanas de duración (para el periodo comprendido del 19 de julio al 7 de noviembre de 2021, con la prestación correspondiente del 100 por 100 de la base reguladora diaria reconocida de 50,71 €). La recurrente dirigió escrito de reclamación previa al INSS en fecha 3 de agosto de 2021, en la que solicitó la ampliación del permiso reconocido, en el sentido de sumar a las semanas que le fueron reconocidas como madre biológica, las que corresponden al progenitor distinto de la madre del art. 48.4 del texto refundido de la Ley del estatuto de los trabajadores aprobado por el Real Decreto Legislativo 2/2015, de 23 de octubre (LET), con la finalidad de proporcionar al menor los cuidados en igualdad de condiciones que las familias biparentales, petición que fue desestimada por resolución de 12 de agosto de 2021.</w:t>
      </w:r>
    </w:p>
    <w:p w14:paraId="112D7639" w14:textId="77777777" w:rsidR="00A8138F" w:rsidRDefault="00A8138F" w:rsidP="00A8138F">
      <w:pPr>
        <w:pStyle w:val="TextoNormal"/>
      </w:pPr>
    </w:p>
    <w:p w14:paraId="6B02EF81" w14:textId="77777777" w:rsidR="00A8138F" w:rsidRDefault="00A8138F" w:rsidP="00A8138F">
      <w:pPr>
        <w:pStyle w:val="TextoNormal"/>
      </w:pPr>
      <w:r>
        <w:t>b) Interpuesta demanda por la ahora recurrente en fecha 16 de septiembre de 2021 contra el INSS y la TGSS, en ella alegó haber sufrido discriminación (art. 14 CE) al negarle el INSS la ampliación del permiso solicitado. El procedimiento fue tramitado en el Juzgado de lo Social núm. 1 de Bilbao, que dictó sentencia de fecha 1 de junio de 2022, cuya parte dispositiva desestimó las pretensiones de la actora y absolviendo a las entidades demandadas de los pedimentos formulados en su contra.</w:t>
      </w:r>
    </w:p>
    <w:p w14:paraId="3DF44222" w14:textId="77777777" w:rsidR="00A8138F" w:rsidRDefault="00A8138F" w:rsidP="00A8138F">
      <w:pPr>
        <w:pStyle w:val="TextoNormal"/>
      </w:pPr>
    </w:p>
    <w:p w14:paraId="674CAFFC" w14:textId="77777777" w:rsidR="00A8138F" w:rsidRDefault="00A8138F" w:rsidP="00A8138F">
      <w:pPr>
        <w:pStyle w:val="TextoNormal"/>
      </w:pPr>
      <w:r>
        <w:t>La sentencia se fundamenta en la evidente falta de amparo normativo de la extensión a las familias monoparentales del permiso de doce semanas adicionales dispensado para las familias biparentales, sin olvidar que la concesión de este permiso supone que el progenitor distinto de la madre esté afiliado a la Seguridad Social, en alta o en situación asimilada, y cubra un periodo mínimo de cotización, de ahí que la inexistencia de un progenitor que cumpla estos requisitos legales no pueda ser suplida con una ficción.</w:t>
      </w:r>
    </w:p>
    <w:p w14:paraId="4B881CDE" w14:textId="77777777" w:rsidR="00A8138F" w:rsidRDefault="00A8138F" w:rsidP="00A8138F">
      <w:pPr>
        <w:pStyle w:val="TextoNormal"/>
      </w:pPr>
    </w:p>
    <w:p w14:paraId="2D738E4B" w14:textId="77777777" w:rsidR="00A8138F" w:rsidRDefault="00A8138F" w:rsidP="00A8138F">
      <w:pPr>
        <w:pStyle w:val="TextoNormal"/>
      </w:pPr>
      <w:r>
        <w:lastRenderedPageBreak/>
        <w:t>c) La demandante interpuso recurso de suplicación contra la sentencia del juzgado de lo social, que fue estimado por la Sala de lo Social del Tribunal Superior de Justicia del País Vasco en sentencia de 24 de enero de 2023, con revocación de la sentencia de instancia y declaración del derecho de la demandante a disfrutar de dieciséis semanas adicionales de prestación por nacimiento y cuidado de hijo, condenando a las demandadas a estar y pasar por dicha declaración y al abono de la prestación conforme a la base reguladora reconocida.</w:t>
      </w:r>
    </w:p>
    <w:p w14:paraId="7570C1C1" w14:textId="77777777" w:rsidR="00A8138F" w:rsidRDefault="00A8138F" w:rsidP="00A8138F">
      <w:pPr>
        <w:pStyle w:val="TextoNormal"/>
      </w:pPr>
    </w:p>
    <w:p w14:paraId="1AF17305" w14:textId="77777777" w:rsidR="00A8138F" w:rsidRDefault="00A8138F" w:rsidP="00A8138F">
      <w:pPr>
        <w:pStyle w:val="TextoNormal"/>
      </w:pPr>
      <w:r>
        <w:t>La sentencia dictada en suplicación viene a reiterar doctrina de la Sala de lo Social del Tribunal Superior de Justicia del País Vasco, que entiende que procede efectuar una exegesis en sentido amplio de la normativa en consideración a la propia finalidad de garantizar los derechos de los hijos recién nacidos, que es el objetivo primordial de la misma, pues han de prestarles los cuidados necesarios por sus progenitores en esos primeros meses de vida, por lo que una interpretación restrictiva de esos derechos supone también seguir manteniendo una situación de discriminación. La Sala declara que realiza una exegesis más favorable a las posibilidades de conciliar la vidas familiar y laboral de la madre, que beneficia de forma más intensa el cuidado del propio menor.</w:t>
      </w:r>
    </w:p>
    <w:p w14:paraId="2616AEF2" w14:textId="77777777" w:rsidR="00A8138F" w:rsidRDefault="00A8138F" w:rsidP="00A8138F">
      <w:pPr>
        <w:pStyle w:val="TextoNormal"/>
      </w:pPr>
    </w:p>
    <w:p w14:paraId="7456FF09" w14:textId="77777777" w:rsidR="00A8138F" w:rsidRDefault="00A8138F" w:rsidP="00A8138F">
      <w:pPr>
        <w:pStyle w:val="TextoNormal"/>
      </w:pPr>
      <w:r>
        <w:t>d) El INSS y la TGSS interpusieron contra la anterior sentencia recurso de casación para la unificación de doctrina, que fue resuelto en sentido estimatorio por la Sala de lo Social del Tribunal Supremo en sentencia de 9 de febrero de 2024, que casó y anuló la sentencia impugnada, y resolvió el debate en suplicación en sentido desestimatorio del recurso de suplicación interpuesto por la parte actora, con confirmación de la sentencia del Juzgado de lo Social núm. 1 de Bilbao de 2 de junio de 2022, cuya firmeza se declara, absolviendo a las entidades demandadas y confirmando las resoluciones administrativas recurridas denegatorias de la ampliación del permiso.</w:t>
      </w:r>
    </w:p>
    <w:p w14:paraId="64787B90" w14:textId="77777777" w:rsidR="00A8138F" w:rsidRDefault="00A8138F" w:rsidP="00A8138F">
      <w:pPr>
        <w:pStyle w:val="TextoNormal"/>
      </w:pPr>
    </w:p>
    <w:p w14:paraId="6B482987" w14:textId="366EFF3B" w:rsidR="00A8138F" w:rsidRDefault="00A8138F" w:rsidP="00A8138F">
      <w:pPr>
        <w:pStyle w:val="TextoNormal"/>
      </w:pPr>
      <w:r>
        <w:t>La sentencia de casación aplica la doctrina fijada por la sentencia del Pleno de la propia Sala de 20 de marzo de 2023, dictada en el recurso de casación para la unificación de doctrina núm. 3972-2020, aclarada por auto de 22 de marzo de 2023, que declaró que la función de jueces y tribunales es la interpretación y aplicación de la norma y no la creación del derecho;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Razona la Sala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w:t>
      </w:r>
    </w:p>
    <w:p w14:paraId="1B9C281D" w14:textId="77777777" w:rsidR="00A8138F" w:rsidRDefault="00A8138F" w:rsidP="00A8138F">
      <w:pPr>
        <w:pStyle w:val="TextoNormal"/>
      </w:pPr>
    </w:p>
    <w:p w14:paraId="46583234" w14:textId="7107EF43" w:rsidR="00A8138F" w:rsidRDefault="00A8138F" w:rsidP="00A8138F">
      <w:pPr>
        <w:pStyle w:val="TextoNormal"/>
      </w:pPr>
      <w:r w:rsidRPr="00A8138F">
        <w:rPr>
          <w:rStyle w:val="NumeroAFNegritaCaracter"/>
        </w:rPr>
        <w:t>3</w:t>
      </w:r>
      <w:r>
        <w:t>. En la demanda de amparo la recurrente impugna las resoluciones administrativas dictadas por el INSS, que deniegan la ampliación del permiso por nacimiento y cuidado de menor reconocido a la recurrente de amparo, así como las resoluciones judiciales que no han reparado esa denegación. Alega la vulneración del derecho de igualdad (art. 14 CE en relación con el art. 39 CE) en una triple vertiente: (a) Desigualdad entre madres y menores integrantes de familias monoparentales y los integrantes de familias biparentales, sin justificación objetiva y razonable, producto de una interpretación restrictiva de la legalidad, des</w:t>
      </w:r>
      <w:r>
        <w:lastRenderedPageBreak/>
        <w:t>conectada con los valores constitucionales, que tiene como consecuencia la reducción a la mitad de los cuidados del menor. (b) Discriminación directa debida a circunstancias personales y familiares por razón de nacimiento, pues se está discriminando al menor nacido en una familia monoparental al contar con menor número de semanas de prestación (se mantiene en dieciséis semanas), lo que genera un resultado desproporcionado al reducir hasta la mitad los cuidados de los menores de doce meses. Apela la demandante al interés superior del menor como rector e inspirador de las actuaciones de los poderes públicos. Y (c) discriminación indirecta por razón de sexo, por haber constituido una familia monoparental que, en su mayoría, el progenitor es una mujer, lo cual les perjudica sin una justificación objetiva y razonable.</w:t>
      </w:r>
    </w:p>
    <w:p w14:paraId="494B1396" w14:textId="77777777" w:rsidR="00A8138F" w:rsidRDefault="00A8138F" w:rsidP="00A8138F">
      <w:pPr>
        <w:pStyle w:val="TextoNormal"/>
      </w:pPr>
    </w:p>
    <w:p w14:paraId="33625B89" w14:textId="77777777" w:rsidR="00A8138F" w:rsidRDefault="00A8138F" w:rsidP="00A8138F">
      <w:pPr>
        <w:pStyle w:val="TextoNormal"/>
      </w:pPr>
      <w:r w:rsidRPr="00A8138F">
        <w:rPr>
          <w:rStyle w:val="NumeroAFNegritaCaracter"/>
        </w:rPr>
        <w:t>4</w:t>
      </w:r>
      <w:r>
        <w:t>. Por providencia de fecha 9 de septiembre de 2024 la Sala Primera, Sección Primera, de este tribunal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45AE1B5C" w14:textId="77777777" w:rsidR="00A8138F" w:rsidRDefault="00A8138F" w:rsidP="00A8138F">
      <w:pPr>
        <w:pStyle w:val="TextoNormal"/>
      </w:pPr>
    </w:p>
    <w:p w14:paraId="5AC7A467" w14:textId="7EF74FD1" w:rsidR="00A8138F" w:rsidRDefault="00A8138F" w:rsidP="00A8138F">
      <w:pPr>
        <w:pStyle w:val="TextoNormal"/>
      </w:pPr>
      <w:r>
        <w:t>En aplicación de lo previsto en el art. 51 LOTC dispuso requerir a la Sala de lo Social del Tribunal Supremo y a la Sala de lo Social del Tribunal Superior de Justicia del País Vasco a fin de que, en el plazo que no excediera de diez días, remitiesen certificación o fotocopia adverada de las actuaciones correspondientes al recurso de casación para la unificación de doctrina núm. 931-2023 y al recurso de suplicación núm. 1936-2022, respectivamente. Asimismo, acordó dirigir comunicación al Juzgado de lo Social núm. 1 de Bilbao a fin de que, en el mismo plazo, remitiese certificación o fotocopia adverada de las actuaciones (autos 977-2021), con emplazamiento a quienes hubieran sido parte en el procedimiento, excepto la parte recurrente en amparo, para que puedan comparecer en el presente recurso.</w:t>
      </w:r>
    </w:p>
    <w:p w14:paraId="454A8F90" w14:textId="77777777" w:rsidR="00A8138F" w:rsidRDefault="00A8138F" w:rsidP="00A8138F">
      <w:pPr>
        <w:pStyle w:val="TextoNormal"/>
      </w:pPr>
    </w:p>
    <w:p w14:paraId="364DEF1E" w14:textId="66DB267E" w:rsidR="00A8138F" w:rsidRDefault="00A8138F" w:rsidP="00A8138F">
      <w:pPr>
        <w:pStyle w:val="TextoNormal"/>
      </w:pPr>
      <w:r w:rsidRPr="00A8138F">
        <w:rPr>
          <w:rStyle w:val="NumeroAFNegritaCaracter"/>
        </w:rPr>
        <w:t>5</w:t>
      </w:r>
      <w:r>
        <w:t>. Mediante escrito presentado el día 2 de octubre de 2024, la letrada de la administración de la Seguridad Social, actuando en nombre y representación del INSS y la TGSS, interesó su personación en el presente recurso de amparo.</w:t>
      </w:r>
    </w:p>
    <w:p w14:paraId="12F678ED" w14:textId="77777777" w:rsidR="00A8138F" w:rsidRDefault="00A8138F" w:rsidP="00A8138F">
      <w:pPr>
        <w:pStyle w:val="TextoNormal"/>
      </w:pPr>
    </w:p>
    <w:p w14:paraId="0601398A" w14:textId="6209E131" w:rsidR="00A8138F" w:rsidRDefault="00A8138F" w:rsidP="00A8138F">
      <w:pPr>
        <w:pStyle w:val="TextoNormal"/>
      </w:pPr>
      <w:r w:rsidRPr="00A8138F">
        <w:rPr>
          <w:rStyle w:val="NumeroAFNegritaCaracter"/>
        </w:rPr>
        <w:t>6</w:t>
      </w:r>
      <w:r>
        <w:t>. Por diligencia de ordenación de fecha 23 de octubre de 2024, se tuvieron por recibidos los testimonios de actuaciones remitidos por la Sala de lo Social del Tribunal Supremo, la Sala de lo Social del Tribunal Superior de Justicia del País Vasco y el Juzgado de lo Social núm. 1 de Bilbao, y se acordó (i) tener por personada y parte en el presente procedimiento a la letrada de la administración de la Seguridad Social; y (ii) de conformidad con el art. 52.1 LOTC, dar vista de las actuaciones en la sede electrónica de este tribunal a la recurrente, al Ministerio fiscal y a la parte personada, por plazo común de veinte días, para que pudieran presentar las alegaciones que estimaran pertinentes.</w:t>
      </w:r>
    </w:p>
    <w:p w14:paraId="150A3678" w14:textId="77777777" w:rsidR="00A8138F" w:rsidRDefault="00A8138F" w:rsidP="00A8138F">
      <w:pPr>
        <w:pStyle w:val="TextoNormal"/>
      </w:pPr>
    </w:p>
    <w:p w14:paraId="5C259C4E" w14:textId="1A88FE60" w:rsidR="00A8138F" w:rsidRDefault="00A8138F" w:rsidP="00A8138F">
      <w:pPr>
        <w:pStyle w:val="TextoNormal"/>
      </w:pPr>
      <w:r w:rsidRPr="00A8138F">
        <w:rPr>
          <w:rStyle w:val="NumeroAFNegritaCaracter"/>
        </w:rPr>
        <w:t>7</w:t>
      </w:r>
      <w:r>
        <w:t>. La recurrente presentó escrito el 18 de noviembre de 2024, en el que ratificó la pretensión formulada en la demanda de amparo y dio por reproducidas las argumentaciones vertidas en ella sobre los motivos del fondo del asunto, suplicando que se dicte sentencia que le otorgue el amparo solicitado.</w:t>
      </w:r>
    </w:p>
    <w:p w14:paraId="743C5B03" w14:textId="77777777" w:rsidR="00A8138F" w:rsidRDefault="00A8138F" w:rsidP="00A8138F">
      <w:pPr>
        <w:pStyle w:val="TextoNormal"/>
      </w:pPr>
    </w:p>
    <w:p w14:paraId="3C1D4C0A" w14:textId="77777777" w:rsidR="00A8138F" w:rsidRDefault="00A8138F" w:rsidP="00A8138F">
      <w:pPr>
        <w:pStyle w:val="TextoNormal"/>
      </w:pPr>
      <w:r w:rsidRPr="00A8138F">
        <w:rPr>
          <w:rStyle w:val="NumeroAFNegritaCaracter"/>
        </w:rPr>
        <w:lastRenderedPageBreak/>
        <w:t>8</w:t>
      </w:r>
      <w:r>
        <w:t>. A través de escrito presentado el 19 de noviembre de 2024, la letrada de la administración de Seguridad Social formuló alegaciones en las que interesó la desestimación del recurso de amparo. Tras identificar la normativa nacional que regula el permiso por nacimiento y cuidado del menor —art. 177 y 178 del Texto Refundido de la LGSS, aprobado por Real Decreto Legislativo 8/2015 de 30 de octubre, y art. 48.4 LET, así como el art. 49 a), b) y c) del estatuto básico del empleado público, en su redacción dada por el Real Decreto-ley 6/2019— y exponer la doctrina constitucional y de otros tribunales que considera aplicable, se centra en el examen de la cuestión de fondo para negar que exista en las resoluciones administrativas recurridas denegatorias de la ampliación, confirmadas judicialmente, una discriminación del menor nacido en familia monoparental.</w:t>
      </w:r>
    </w:p>
    <w:p w14:paraId="152CDCB9" w14:textId="77777777" w:rsidR="00A8138F" w:rsidRDefault="00A8138F" w:rsidP="00A8138F">
      <w:pPr>
        <w:pStyle w:val="TextoNormal"/>
      </w:pPr>
    </w:p>
    <w:p w14:paraId="7964CCC4" w14:textId="77777777" w:rsidR="00A8138F" w:rsidRDefault="00A8138F" w:rsidP="00A8138F">
      <w:pPr>
        <w:pStyle w:val="TextoNormal"/>
      </w:pPr>
      <w:r>
        <w:t>No obstante, aduce que teniendo en cuenta la STC 140/2024, de 6 de noviembre, que estima la cuestión de inconstitucionalidad núm. 6694-2023 y declara inconstitucional el art. 48.4 LET y el art. 177 LGSS, con el alcance que señala en su fundamento jurídico 7, el disfrute del permiso ha de supeditarse al cumplimiento del resto de los requisitos legalmente establecidos para el percibo de la prestación, entre los que se incluye haber hecho efectivo el descanso sin prestar servicios por cuenta ajena, ni haber percibido las correspondientes retribuciones.</w:t>
      </w:r>
    </w:p>
    <w:p w14:paraId="3163E1A7" w14:textId="77777777" w:rsidR="00A8138F" w:rsidRDefault="00A8138F" w:rsidP="00A8138F">
      <w:pPr>
        <w:pStyle w:val="TextoNormal"/>
      </w:pPr>
    </w:p>
    <w:p w14:paraId="22E4C859" w14:textId="77445D15" w:rsidR="00A8138F" w:rsidRDefault="00A8138F" w:rsidP="00A8138F">
      <w:pPr>
        <w:pStyle w:val="TextoNormal"/>
      </w:pPr>
      <w:r>
        <w:t>Finalmente, solicita la desestimación del recurso y que se declaren ajustadas a Derecho las resoluciones administrativas dictadas, así como la sentencia de 9 de febrero de 2024 de la Sala de lo Social del Tribunal Supremo, que confirmó las resoluciones administrativas.</w:t>
      </w:r>
    </w:p>
    <w:p w14:paraId="5334F1DA" w14:textId="77777777" w:rsidR="00A8138F" w:rsidRDefault="00A8138F" w:rsidP="00A8138F">
      <w:pPr>
        <w:pStyle w:val="TextoNormal"/>
      </w:pPr>
    </w:p>
    <w:p w14:paraId="138CE96A" w14:textId="77777777" w:rsidR="00A8138F" w:rsidRDefault="00A8138F" w:rsidP="00A8138F">
      <w:pPr>
        <w:pStyle w:val="TextoNormal"/>
      </w:pPr>
      <w:r w:rsidRPr="00A8138F">
        <w:rPr>
          <w:rStyle w:val="NumeroAFNegritaCaracter"/>
        </w:rPr>
        <w:t>9</w:t>
      </w:r>
      <w:r>
        <w:t>. La fiscal ante el Tribunal Constitucional presentó escrito en fecha 17 de diciembre de 2024, en el que vierte sus alegaciones interesando la desestimación del recurso de amparo. En su escrito resume los antecedentes más relevantes del procedimiento laboral de los que trae causa el presente recurso de amparo, para centrarse el objeto de la demanda de amparo: la vulneración de los derechos fundamentales a la igualdad ante la ley, a la no discriminación directa por circunstancia personal y familiar, y a la no discriminación indirecta por razón de sexo (art. 14 CE en relación con los arts. 39 y 9.2 CE).</w:t>
      </w:r>
    </w:p>
    <w:p w14:paraId="6DECE99A" w14:textId="77777777" w:rsidR="00A8138F" w:rsidRDefault="00A8138F" w:rsidP="00A8138F">
      <w:pPr>
        <w:pStyle w:val="TextoNormal"/>
      </w:pPr>
    </w:p>
    <w:p w14:paraId="7E050EA1" w14:textId="77777777" w:rsidR="00A8138F" w:rsidRDefault="00A8138F" w:rsidP="00A8138F">
      <w:pPr>
        <w:pStyle w:val="TextoNormal"/>
      </w:pPr>
      <w:r>
        <w:t>La fiscal considera que en la citada STC 140/2024, de 6 de noviembre, se ha establecido una doctrina constitucional específica para la cuestión debatida en el presente recurso de amparo, al declarar la inconstitucionalidad del art. 48.4 LET y el art. 177 LGSS, precisamente por la vulneración del derecho reconocido en el art. 14 CE en relación con el art. 39 CE, que se alega en el presente recurso. Tal y como resulta de la remisión del fallo al fundamento jurídico 7 de la propia sentencia, el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w:t>
      </w:r>
    </w:p>
    <w:p w14:paraId="18F43E96" w14:textId="77777777" w:rsidR="00A8138F" w:rsidRDefault="00A8138F" w:rsidP="00A8138F">
      <w:pPr>
        <w:pStyle w:val="TextoNormal"/>
      </w:pPr>
    </w:p>
    <w:p w14:paraId="66075248" w14:textId="77777777" w:rsidR="00A8138F" w:rsidRDefault="00A8138F" w:rsidP="00A8138F">
      <w:pPr>
        <w:pStyle w:val="TextoNormal"/>
      </w:pPr>
      <w:r>
        <w:t xml:space="preserve">La fiscal entiende que no procede la retroacción de las actuaciones hasta la primera resolución dictada por el INSS, en tanto que en lo relativo a la infracción del derecho fundamental del art. 14 CE, la sentencia dictada por la Sala de lo Social del Tribunal Superior de Justicia del País Vasco declara sobre la existencia de discriminación o diferencia de trato vulneradora del derecho a la igualdad conforme al tenor literal del art. 48.4 LET, en relación </w:t>
      </w:r>
      <w:r>
        <w:lastRenderedPageBreak/>
        <w:t>con el art. 177 LGSS, de modo coincidente, en lo esencial, con la STC 140/2024, por lo que aquella sentencia no ha vulnerado el derecho de la demandante y de su hijo.</w:t>
      </w:r>
    </w:p>
    <w:p w14:paraId="29977B08" w14:textId="77777777" w:rsidR="00A8138F" w:rsidRDefault="00A8138F" w:rsidP="00A8138F">
      <w:pPr>
        <w:pStyle w:val="TextoNormal"/>
      </w:pPr>
    </w:p>
    <w:p w14:paraId="5EC223DE" w14:textId="77777777" w:rsidR="00A8138F" w:rsidRDefault="00A8138F" w:rsidP="00A8138F">
      <w:pPr>
        <w:pStyle w:val="TextoNormal"/>
      </w:pPr>
      <w:r>
        <w:t>No obstante, aduce la fiscal que no procede acordar la firmeza de la sentencia dictada en suplicación por la Sala de lo Social del Tribunal Superior de Justicia del País Vasco, porque declara el derecho de la demandante a disfrutar de dieciséis semanas adicionales de prestación por nacimiento y cuidado de hijo, excediendo, por tanto, en seis semanas de las que procede otorgar a la progenitora de una familia monoparental con arreglo a lo establecido en la STC 140/2024, mientras el legislador no modifique los preceptos declarados inconstitucionales. Recurrida por el INSS la sentencia dictada en suplicación, procede mantener su derecho a que se resuelva su recurso, sin perjuicio de que la decisión que se adopte por el Tribunal Supremo deberá respetar el derecho fundamental de la recurrente en amparo conforme a la doctrina de este tribunal.</w:t>
      </w:r>
    </w:p>
    <w:p w14:paraId="2A9BCDF4" w14:textId="77777777" w:rsidR="00A8138F" w:rsidRDefault="00A8138F" w:rsidP="00A8138F">
      <w:pPr>
        <w:pStyle w:val="TextoNormal"/>
      </w:pPr>
    </w:p>
    <w:p w14:paraId="74BCE17C" w14:textId="416EBC1E" w:rsidR="00A8138F" w:rsidRDefault="00A8138F" w:rsidP="00A8138F">
      <w:pPr>
        <w:pStyle w:val="TextoNormal"/>
      </w:pPr>
      <w:r>
        <w:t>En consecuencia, la fiscal interesa la estimación del recurso de amparo, que se declare la vulneración del derecho de la recurrente y de su hijo a la igualdad y a la no discriminación por razón de nacimiento, y que se acuerde la nulidad de la sentencia de 9 de febrero de 2024, dictada por la Sala de lo Social del Tribunal Supremo en el recurso de casación para la unificación de doctrina núm. 931-2023, para que por la Sala de lo Social del Tribunal Supremo se dicte una sentencia conforme con el derecho fundamental vulnerado.</w:t>
      </w:r>
    </w:p>
    <w:p w14:paraId="68D9319B" w14:textId="77777777" w:rsidR="00A8138F" w:rsidRDefault="00A8138F" w:rsidP="00A8138F">
      <w:pPr>
        <w:pStyle w:val="TextoNormal"/>
      </w:pPr>
    </w:p>
    <w:p w14:paraId="0F2A65D7" w14:textId="6891972F" w:rsidR="00A8138F" w:rsidRDefault="00A8138F" w:rsidP="00A8138F">
      <w:pPr>
        <w:pStyle w:val="TextoNormal"/>
      </w:pPr>
      <w:r w:rsidRPr="00A8138F">
        <w:rPr>
          <w:rStyle w:val="NumeroAFNegritaCaracter"/>
        </w:rPr>
        <w:t>10</w:t>
      </w:r>
      <w:r>
        <w:t>. Por providencia de 23 de enero 2025, se señaló para deliberación y votación del presente recurso el día 27 del mismo mes y año.</w:t>
      </w:r>
    </w:p>
    <w:p w14:paraId="291FB6BC" w14:textId="77777777" w:rsidR="00A8138F" w:rsidRDefault="00A8138F" w:rsidP="00A8138F">
      <w:pPr>
        <w:pStyle w:val="TextoNormal"/>
      </w:pPr>
    </w:p>
    <w:p w14:paraId="28D757AD" w14:textId="77777777" w:rsidR="00A8138F" w:rsidRDefault="00A8138F" w:rsidP="00A8138F">
      <w:pPr>
        <w:pStyle w:val="TextoNormalNegritaCentrado"/>
        <w:keepNext/>
      </w:pPr>
      <w:r>
        <w:t>II. Fundamentos jurídicos</w:t>
      </w:r>
    </w:p>
    <w:p w14:paraId="0D1884C7" w14:textId="00AA85B0" w:rsidR="00A8138F" w:rsidRDefault="00A8138F" w:rsidP="00A8138F">
      <w:pPr>
        <w:pStyle w:val="TextoNormalNegritaCentrado"/>
        <w:keepNext/>
      </w:pPr>
    </w:p>
    <w:p w14:paraId="4CD68774"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5FD46AD2" w14:textId="77777777" w:rsidR="00A8138F" w:rsidRDefault="00A8138F" w:rsidP="00A8138F">
      <w:pPr>
        <w:pStyle w:val="TextoNormal"/>
      </w:pPr>
    </w:p>
    <w:p w14:paraId="0C3ED8AA" w14:textId="127EC57C" w:rsidR="00A8138F" w:rsidRDefault="00A8138F" w:rsidP="00A8138F">
      <w:pPr>
        <w:pStyle w:val="TextoNormal"/>
      </w:pPr>
      <w:r>
        <w:t>El objeto del presente proceso es dilucidar si la sentencia del Tribunal Supremo que al estimar el recurso de casación para la unificación de doctrina del INSS, revocó la resolución del Tribunal Superior de Justicia del País Vasco, desestimó el recurso de suplicación y confirmó la sentencia del Juzgado de lo Social núm. 1 de Bilbao, a su vez desestimatoria de la demanda interpuesta frente a las resoluciones del INSS,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31A3814D" w14:textId="77777777" w:rsidR="00A8138F" w:rsidRDefault="00A8138F" w:rsidP="00A8138F">
      <w:pPr>
        <w:pStyle w:val="TextoNormal"/>
      </w:pPr>
    </w:p>
    <w:p w14:paraId="68B9B870"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7A49B6D3" w14:textId="77777777" w:rsidR="00A8138F" w:rsidRDefault="00A8138F" w:rsidP="00A8138F">
      <w:pPr>
        <w:pStyle w:val="TextoNormal"/>
      </w:pPr>
    </w:p>
    <w:p w14:paraId="19BD8326"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w:t>
      </w:r>
      <w:r>
        <w:lastRenderedPageBreak/>
        <w:t>cado por nacer en familia monoparental (FJ 6), al tiempo que precisamos el alcance de la declaración de inconstitucionalidad realizada (FJ 7).</w:t>
      </w:r>
    </w:p>
    <w:p w14:paraId="0C3DDA2E" w14:textId="77777777" w:rsidR="00A8138F" w:rsidRDefault="00A8138F" w:rsidP="00A8138F">
      <w:pPr>
        <w:pStyle w:val="TextoNormal"/>
      </w:pPr>
    </w:p>
    <w:p w14:paraId="7888CC14"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3657805" w14:textId="77777777" w:rsidR="00A8138F" w:rsidRDefault="00A8138F" w:rsidP="00A8138F">
      <w:pPr>
        <w:pStyle w:val="TextoNormal"/>
      </w:pPr>
    </w:p>
    <w:p w14:paraId="2886D8D2"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0B2DF16" w14:textId="77777777" w:rsidR="00A8138F" w:rsidRDefault="00A8138F" w:rsidP="00A8138F">
      <w:pPr>
        <w:pStyle w:val="TextoNormal"/>
      </w:pPr>
    </w:p>
    <w:p w14:paraId="7FEFC1E3" w14:textId="70714718"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474EC712" w14:textId="77777777" w:rsidR="00A8138F" w:rsidRDefault="00A8138F" w:rsidP="00A8138F">
      <w:pPr>
        <w:pStyle w:val="TextoNormal"/>
      </w:pPr>
    </w:p>
    <w:p w14:paraId="2225C170" w14:textId="77777777" w:rsidR="00A8138F" w:rsidRDefault="00A8138F" w:rsidP="00A8138F">
      <w:pPr>
        <w:pStyle w:val="TextoNormalCentrado"/>
        <w:keepNext/>
      </w:pPr>
      <w:r>
        <w:t>FALLO</w:t>
      </w:r>
    </w:p>
    <w:p w14:paraId="5EB00600" w14:textId="21E32596" w:rsidR="00A8138F" w:rsidRDefault="00A8138F" w:rsidP="00A8138F">
      <w:pPr>
        <w:pStyle w:val="TextoNormalCentrado"/>
        <w:keepNext/>
      </w:pPr>
    </w:p>
    <w:p w14:paraId="72CD3562" w14:textId="77777777" w:rsidR="00A8138F" w:rsidRDefault="00A8138F" w:rsidP="00A8138F">
      <w:pPr>
        <w:pStyle w:val="TextoNormal"/>
      </w:pPr>
      <w:r>
        <w:t>En atención a todo lo expuesto, el Tribunal Constitucional, por la autoridad que le confiere la Constitución de la Nación española, ha decidido:</w:t>
      </w:r>
    </w:p>
    <w:p w14:paraId="3C4639AC" w14:textId="77777777" w:rsidR="00A8138F" w:rsidRDefault="00A8138F" w:rsidP="00A8138F">
      <w:pPr>
        <w:pStyle w:val="TextoNormal"/>
      </w:pPr>
    </w:p>
    <w:p w14:paraId="14B9E393" w14:textId="77777777" w:rsidR="00A8138F" w:rsidRDefault="00A8138F" w:rsidP="00A8138F">
      <w:pPr>
        <w:pStyle w:val="TextoNormal"/>
      </w:pPr>
      <w:r>
        <w:t>1º Estimar la demanda presentada por doña Itziar Álvarez Rodríguez por vulneración del derecho fundamental de igualdad ante la ley sin discriminación por razón de nacimiento (art. 14 CE) de un hijo menor en una familia monoparental.</w:t>
      </w:r>
    </w:p>
    <w:p w14:paraId="7D87FB31" w14:textId="77777777" w:rsidR="00A8138F" w:rsidRDefault="00A8138F" w:rsidP="00A8138F">
      <w:pPr>
        <w:pStyle w:val="TextoNormal"/>
      </w:pPr>
    </w:p>
    <w:p w14:paraId="333FF181" w14:textId="77777777" w:rsidR="00A8138F" w:rsidRDefault="00A8138F" w:rsidP="00A8138F">
      <w:pPr>
        <w:pStyle w:val="TextoNormal"/>
      </w:pPr>
      <w:r>
        <w:lastRenderedPageBreak/>
        <w:t>2º Declarar la nulidad de las siguientes resoluciones: (i) la sentencia núm. 267/2024, de 9 de febrero de la Sala de lo Social del Tribunal Supremo recaída en recuso de casación para la unificación de doctrina núm. 931-2023; (ii) la sentencia núm. 180/2023, de fecha 24 de enero, de la Sala de lo Social del Tribunal Superior de Justicia del País Vasco, dictada en el recurso de suplicación núm. 1936-2022; (iii) la sentencia núm. 230/2022, de 2 de junio, del Juzgado de lo Social núm. 1 de Bilbao dictada en los autos núm. 977-2021; y (iv) las resoluciones del Instituto Nacional de la Seguridad Social que denegaron la solicitud de la recurrente de fechas 29 de julio y 12 de agosto de 2021.</w:t>
      </w:r>
    </w:p>
    <w:p w14:paraId="7CE7C468" w14:textId="77777777" w:rsidR="00A8138F" w:rsidRDefault="00A8138F" w:rsidP="00A8138F">
      <w:pPr>
        <w:pStyle w:val="TextoNormal"/>
      </w:pPr>
    </w:p>
    <w:p w14:paraId="2803DCE8" w14:textId="19F875F9" w:rsidR="00A8138F" w:rsidRDefault="00A8138F" w:rsidP="00A8138F">
      <w:pPr>
        <w:pStyle w:val="TextoNormal"/>
      </w:pPr>
      <w:r>
        <w:t>3º Retrotraer las actuaciones al momento previo a las resoluciones administrativas mencionadas en el apartado anterior, para que el Instituto Nacional de la Seguridad Social dicte resolución expresa que resulte ser respetuosa con el derecho fundamental reconocido a la recurrente, con el alcance fijado en el último párrafo del fundamento jurídico 2 de esta sentencia.</w:t>
      </w:r>
    </w:p>
    <w:p w14:paraId="072B6C06" w14:textId="77777777" w:rsidR="00A8138F" w:rsidRDefault="00A8138F" w:rsidP="00A8138F">
      <w:pPr>
        <w:pStyle w:val="TextoNormal"/>
      </w:pPr>
    </w:p>
    <w:p w14:paraId="3DFA05E4" w14:textId="77777777" w:rsidR="00A8138F" w:rsidRDefault="00A8138F" w:rsidP="00A8138F">
      <w:pPr>
        <w:pStyle w:val="TextoNormal"/>
      </w:pPr>
      <w:r>
        <w:t>Publíquese esta sentencia en el “Boletín Oficial del Estado”.</w:t>
      </w:r>
    </w:p>
    <w:p w14:paraId="7016CFB0" w14:textId="77777777" w:rsidR="00A8138F" w:rsidRDefault="00A8138F" w:rsidP="00A8138F">
      <w:pPr>
        <w:pStyle w:val="TextoNormal"/>
      </w:pPr>
      <w:r>
        <w:t>Dada en Madrid, a veintisiete de enero de dos mil veinticinco.</w:t>
      </w:r>
    </w:p>
    <w:p w14:paraId="16F784E2" w14:textId="30B19D08" w:rsidR="00A8138F" w:rsidRDefault="00A8138F">
      <w:pPr>
        <w:spacing w:after="160" w:line="278" w:lineRule="auto"/>
        <w:rPr>
          <w:rFonts w:ascii="Times New Roman" w:eastAsia="Times New Roman" w:hAnsi="Times New Roman" w:cs="Times New Roman"/>
          <w:sz w:val="24"/>
          <w:szCs w:val="24"/>
          <w:lang w:eastAsia="es-ES"/>
        </w:rPr>
      </w:pPr>
      <w:r>
        <w:br w:type="page"/>
      </w:r>
    </w:p>
    <w:p w14:paraId="0B4A86F6" w14:textId="77777777" w:rsidR="00A8138F" w:rsidRDefault="00A8138F" w:rsidP="00A8138F">
      <w:pPr>
        <w:pStyle w:val="TtuloResolucin"/>
      </w:pPr>
      <w:bookmarkStart w:id="26" w:name="SENTENCIA_2025_24"/>
      <w:r>
        <w:lastRenderedPageBreak/>
        <w:t>SENTENCIA 24/2025, de 27 de enero de 2025</w:t>
      </w:r>
    </w:p>
    <w:bookmarkEnd w:id="26"/>
    <w:p w14:paraId="158A56BA" w14:textId="77777777" w:rsidR="00A8138F" w:rsidRDefault="00A8138F" w:rsidP="00A8138F">
      <w:pPr>
        <w:pStyle w:val="TtuloResolucin"/>
      </w:pPr>
      <w:r>
        <w:t>Sala Primera</w:t>
      </w:r>
    </w:p>
    <w:p w14:paraId="50E1C819" w14:textId="77777777" w:rsidR="00A8138F" w:rsidRDefault="00A8138F" w:rsidP="00A8138F">
      <w:pPr>
        <w:pStyle w:val="TtuloBOE"/>
      </w:pPr>
      <w:r>
        <w:t>(BOE núm. 51, de 28 de febrero de 2025)</w:t>
      </w:r>
    </w:p>
    <w:p w14:paraId="4A1BF3BF" w14:textId="77777777" w:rsidR="00A8138F" w:rsidRDefault="00A8138F" w:rsidP="00A8138F">
      <w:pPr>
        <w:pStyle w:val="TextoNormalCentrado"/>
      </w:pPr>
      <w:r>
        <w:t>ECLI:ES:TC:2025:24</w:t>
      </w:r>
    </w:p>
    <w:p w14:paraId="4F623EAB" w14:textId="070AF314" w:rsidR="00A8138F" w:rsidRDefault="00A8138F" w:rsidP="00A8138F">
      <w:pPr>
        <w:pStyle w:val="TextoNormalCentrado"/>
      </w:pPr>
    </w:p>
    <w:p w14:paraId="68674224" w14:textId="77777777" w:rsidR="00A8138F" w:rsidRDefault="00A8138F" w:rsidP="00A8138F">
      <w:pPr>
        <w:pStyle w:val="SntesisDescriptiva"/>
      </w:pPr>
      <w:r>
        <w:t>Recurso de amparo 2226-2024. Promovido por doña Irene Nieto Giraldo en relación con las resoluciones administrativas y judiciales que desestimaron su petición de revisión y ampliación de la prestación por nacimiento y cuidado de hijo menor, como madre biológica de familia monoparental.</w:t>
      </w:r>
    </w:p>
    <w:p w14:paraId="3723574C" w14:textId="54B2BF71" w:rsidR="00A8138F" w:rsidRDefault="00A8138F" w:rsidP="00A8138F">
      <w:pPr>
        <w:pStyle w:val="SntesisDescriptiva"/>
      </w:pPr>
    </w:p>
    <w:p w14:paraId="4C21C14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E51BC6E" w14:textId="7A167F62" w:rsidR="00A8138F" w:rsidRDefault="00A8138F" w:rsidP="00A8138F">
      <w:pPr>
        <w:pStyle w:val="SntesisAnaltica"/>
      </w:pPr>
    </w:p>
    <w:p w14:paraId="64B1FDF6" w14:textId="1B68A3CE"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5700523D" w14:textId="77777777" w:rsidR="00A8138F" w:rsidRDefault="00A8138F" w:rsidP="00A8138F">
      <w:pPr>
        <w:pStyle w:val="Extracto"/>
      </w:pPr>
    </w:p>
    <w:p w14:paraId="707CCEAD" w14:textId="77777777" w:rsidR="00A8138F" w:rsidRDefault="00A8138F" w:rsidP="00A8138F">
      <w:pPr>
        <w:pStyle w:val="Extracto"/>
      </w:pPr>
    </w:p>
    <w:p w14:paraId="347067AC"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66A2C4FC" w14:textId="7D6C07B3" w:rsidR="00A8138F" w:rsidRDefault="00A8138F" w:rsidP="00A8138F">
      <w:pPr>
        <w:pStyle w:val="TextoNormal"/>
      </w:pPr>
    </w:p>
    <w:p w14:paraId="6CA0025F" w14:textId="77777777" w:rsidR="00A8138F" w:rsidRDefault="00A8138F" w:rsidP="00A8138F">
      <w:pPr>
        <w:pStyle w:val="TextoNormalCentrado"/>
        <w:keepNext/>
      </w:pPr>
      <w:r>
        <w:t>EN NOMBRE DEL REY</w:t>
      </w:r>
    </w:p>
    <w:p w14:paraId="59514A90" w14:textId="1EA64B35" w:rsidR="00A8138F" w:rsidRDefault="00A8138F" w:rsidP="00A8138F">
      <w:pPr>
        <w:pStyle w:val="TextoNormalCentrado"/>
        <w:keepNext/>
      </w:pPr>
    </w:p>
    <w:p w14:paraId="6883970D" w14:textId="77777777" w:rsidR="00A8138F" w:rsidRDefault="00A8138F" w:rsidP="00A8138F">
      <w:pPr>
        <w:pStyle w:val="TextoNormalCentrado"/>
        <w:keepNext/>
      </w:pPr>
    </w:p>
    <w:p w14:paraId="5F41A87F" w14:textId="77777777" w:rsidR="00A8138F" w:rsidRDefault="00A8138F" w:rsidP="00A8138F">
      <w:pPr>
        <w:pStyle w:val="TextoNormal"/>
      </w:pPr>
      <w:r>
        <w:t>la siguiente</w:t>
      </w:r>
    </w:p>
    <w:p w14:paraId="2F670C0D" w14:textId="1F461934" w:rsidR="00A8138F" w:rsidRDefault="00A8138F" w:rsidP="00A8138F">
      <w:pPr>
        <w:pStyle w:val="TextoNormal"/>
      </w:pPr>
    </w:p>
    <w:p w14:paraId="50FA8800" w14:textId="77777777" w:rsidR="00A8138F" w:rsidRDefault="00A8138F" w:rsidP="00A8138F">
      <w:pPr>
        <w:pStyle w:val="TextoNormalCentrado"/>
        <w:keepNext/>
      </w:pPr>
      <w:r>
        <w:t>SENTENCIA</w:t>
      </w:r>
    </w:p>
    <w:p w14:paraId="7F188E5D" w14:textId="6C1A88AF" w:rsidR="00A8138F" w:rsidRDefault="00A8138F" w:rsidP="00A8138F">
      <w:pPr>
        <w:pStyle w:val="TextoNormalCentrado"/>
        <w:keepNext/>
      </w:pPr>
    </w:p>
    <w:p w14:paraId="0FD5E0E3" w14:textId="77777777" w:rsidR="00A8138F" w:rsidRDefault="00A8138F" w:rsidP="00A8138F">
      <w:pPr>
        <w:pStyle w:val="TextoNormal"/>
      </w:pPr>
      <w:r>
        <w:t>En el recurso de amparo núm. 2226-2024, promovido por doña Irene Nieto Giraldo, representada por la procuradora de los tribunales doña María del Carmen del Moral Jiménez, y asistida por la letrada doña Natalia Fernández Oliva, contra las resoluciones administrativas del Instituto Nacional de la Seguridad Social (INSS) denegatorias de la solicitud de ampliación de la prestación por nacimiento y cuidado de hijo menor a la madre biológica de familia monoparental, confirmadas por la sentencia núm. 249/2024, de 8 de febrero, de la Sala de lo Social del Tribunal Supremo dictada en el recurso de casación para la unificación de doctrina núm. 5609-2022, interpuesto por el INSS y la Tesorería General de la Seguridad Social (TGSS), contra la sentencia núm. 931/2022, de 28 de octubre, de la Sala de lo Social del Tribunal Superior de Justicia de Madrid que estimó parcialmente el recurso de suplicación núm. 477-2022 interpuesto por el INSS y la TGSS frente a la sentencia núm. 59/2022, de 10 de febrero, del Juzgado de lo Social núm. 36 de Madrid recaída en los autos núm. 1233-2021, que estimó la demanda interpuesta por la ahora recurrente en amparo con</w:t>
      </w:r>
      <w:r>
        <w:lastRenderedPageBreak/>
        <w:t>tra el INSS y la TGSS. Han intervenido la letrada de la administración de la Seguridad Social en representación y defensa del INSS y la TGSS, y el Ministerio Fiscal. Ha sido ponente la magistrada doña Concepción Espejel Jorquera.</w:t>
      </w:r>
    </w:p>
    <w:p w14:paraId="73945C6E" w14:textId="47A49430" w:rsidR="00A8138F" w:rsidRDefault="00A8138F" w:rsidP="00A8138F">
      <w:pPr>
        <w:pStyle w:val="TextoNormal"/>
      </w:pPr>
    </w:p>
    <w:p w14:paraId="300D5A7A" w14:textId="77777777" w:rsidR="00A8138F" w:rsidRDefault="00A8138F" w:rsidP="00A8138F">
      <w:pPr>
        <w:pStyle w:val="TextoNormalNegritaCentrado"/>
        <w:keepNext/>
      </w:pPr>
      <w:r>
        <w:t>I. Antecedentes</w:t>
      </w:r>
    </w:p>
    <w:p w14:paraId="5E4DCC60" w14:textId="69A668BF" w:rsidR="00A8138F" w:rsidRDefault="00A8138F" w:rsidP="00A8138F">
      <w:pPr>
        <w:pStyle w:val="TextoNormalNegritaCentrado"/>
        <w:keepNext/>
      </w:pPr>
    </w:p>
    <w:p w14:paraId="1E606867" w14:textId="18CA1067" w:rsidR="00A8138F" w:rsidRDefault="00A8138F" w:rsidP="00A8138F">
      <w:pPr>
        <w:pStyle w:val="TextoNormal"/>
      </w:pPr>
      <w:r w:rsidRPr="00A8138F">
        <w:rPr>
          <w:rStyle w:val="NumeroAFNegritaCaracter"/>
        </w:rPr>
        <w:t>1</w:t>
      </w:r>
      <w:r>
        <w:t>. El día 1 de abril de 2024, la procuradora de los tribunales doña María del Carmen del Moral Jiménez, bajo la dirección de la letrada de doña Natalia Fernández Oliva, interpuso recurso de amparo contra la sentencia núm. 249/2024, de 8 de febrero, de la Sala de lo Social del Tribunal Supremo dictada en el recurso de casación para la unificación de doctrina núm. 5609-2022, estimatoria del recurso interpuesto por el INSS y la TGSS, y que mantiene las resoluciones administrativas denegatorias de la ampliación del permiso por nacimiento y cuidado de hijo solicitado por la madre biológica en familia monoparental.</w:t>
      </w:r>
    </w:p>
    <w:p w14:paraId="37349DFE" w14:textId="77777777" w:rsidR="00A8138F" w:rsidRDefault="00A8138F" w:rsidP="00A8138F">
      <w:pPr>
        <w:pStyle w:val="TextoNormal"/>
      </w:pPr>
    </w:p>
    <w:p w14:paraId="6B5CED1E" w14:textId="77777777" w:rsidR="00A8138F" w:rsidRDefault="00A8138F" w:rsidP="00A8138F">
      <w:pPr>
        <w:pStyle w:val="TextoNormal"/>
      </w:pPr>
      <w:r w:rsidRPr="00A8138F">
        <w:rPr>
          <w:rStyle w:val="NumeroAFNegritaCaracter"/>
        </w:rPr>
        <w:t>2</w:t>
      </w:r>
      <w:r>
        <w:t>. El presente recurso de amparo trae causa de los siguientes antecedentes:</w:t>
      </w:r>
    </w:p>
    <w:p w14:paraId="416EC3A0" w14:textId="77777777" w:rsidR="00A8138F" w:rsidRDefault="00A8138F" w:rsidP="00A8138F">
      <w:pPr>
        <w:pStyle w:val="TextoNormal"/>
      </w:pPr>
    </w:p>
    <w:p w14:paraId="38B8693A" w14:textId="77777777" w:rsidR="00A8138F" w:rsidRDefault="00A8138F" w:rsidP="00A8138F">
      <w:pPr>
        <w:pStyle w:val="TextoNormal"/>
      </w:pPr>
      <w:r>
        <w:t>a) La recurrente en amparo es madre biológica de un menor nacido el día 10 de abril de 2021 y constituye una familia monoparental. Le fue reconocido por la dirección provincial de Madrid del INSS en Madrid mediante resolución de 15 de abril de 2021, un permiso por nacimiento y cuidado de menor de dieciséis semanas de duración (para el periodo comprendido entre el 10 de abril y el 30 de julio de 2021) y la prestación correspondiente del 100 por 100 de la base reguladora diaria reconocida de 115,43 €.</w:t>
      </w:r>
    </w:p>
    <w:p w14:paraId="2969B3D8" w14:textId="77777777" w:rsidR="00A8138F" w:rsidRDefault="00A8138F" w:rsidP="00A8138F">
      <w:pPr>
        <w:pStyle w:val="TextoNormal"/>
      </w:pPr>
    </w:p>
    <w:p w14:paraId="5C05C5FC" w14:textId="77777777" w:rsidR="00A8138F" w:rsidRDefault="00A8138F" w:rsidP="00A8138F">
      <w:pPr>
        <w:pStyle w:val="TextoNormal"/>
      </w:pPr>
      <w:r>
        <w:t>La recurrente dirigió al INSS escritos los días 17 y 20 de julio de 2021, en solicitud de ampliación del permiso concedido, en el sentido de sumar a las semanas que le fueron reconocidas como madre biológica las que corresponderían al progenitor distinto de la madre conforme al art. 48.4 del texto refundido de la Ley del estatuto de los trabajadores, aprobado por el Real Decreto Legislativo 2/2015, de 23 de octubre (en adelante LET). Su solicitud fue desestimada por silencio administrativo.</w:t>
      </w:r>
    </w:p>
    <w:p w14:paraId="0082BE16" w14:textId="77777777" w:rsidR="00A8138F" w:rsidRDefault="00A8138F" w:rsidP="00A8138F">
      <w:pPr>
        <w:pStyle w:val="TextoNormal"/>
      </w:pPr>
    </w:p>
    <w:p w14:paraId="7D2A540E" w14:textId="77777777" w:rsidR="00A8138F" w:rsidRDefault="00A8138F" w:rsidP="00A8138F">
      <w:pPr>
        <w:pStyle w:val="TextoNormal"/>
      </w:pPr>
      <w:r>
        <w:t>b) La recurrente en amparo formuló demanda contra el INSS y la TGSS, tramitada como autos núm. 1233-2021 del Juzgado de lo Social núm. 36 de Madrid, en la que invocó el art. 14 CE al haber sufrido discriminación por la negativa de la entidad gestora de Seguridad Social a concederle la ampliación del permiso solicitado.</w:t>
      </w:r>
    </w:p>
    <w:p w14:paraId="5F5BF3B2" w14:textId="77777777" w:rsidR="00A8138F" w:rsidRDefault="00A8138F" w:rsidP="00A8138F">
      <w:pPr>
        <w:pStyle w:val="TextoNormal"/>
      </w:pPr>
    </w:p>
    <w:p w14:paraId="3CD39361" w14:textId="77777777" w:rsidR="00A8138F" w:rsidRDefault="00A8138F" w:rsidP="00A8138F">
      <w:pPr>
        <w:pStyle w:val="TextoNormal"/>
      </w:pPr>
      <w:r>
        <w:t>El Juzgado dictó sentencia el día 10 de febrero de 2022, estimatoria de las pretensiones de la actora, en cuya parte dispositiva declaró el derecho de la madre biológica a la ampliación del permiso en dieciséis semanas adicionales que habrían correspondido al otro progenitor, condenando a las demandadas a estar y pasar por dicho pronunciamiento con todos los efectos inherentes al mismo.</w:t>
      </w:r>
    </w:p>
    <w:p w14:paraId="2693DBDD" w14:textId="77777777" w:rsidR="00A8138F" w:rsidRDefault="00A8138F" w:rsidP="00A8138F">
      <w:pPr>
        <w:pStyle w:val="TextoNormal"/>
      </w:pPr>
    </w:p>
    <w:p w14:paraId="1684398B" w14:textId="77777777" w:rsidR="00A8138F" w:rsidRDefault="00A8138F" w:rsidP="00A8138F">
      <w:pPr>
        <w:pStyle w:val="TextoNormal"/>
      </w:pPr>
      <w:r>
        <w:t xml:space="preserve">La sentencia se remite a la sentencia de fecha 13 de octubre de 2021, de la Sala de lo Social del Tribunal Superior de Justicia de Madrid (ECLI:ES:TSJM:2021:11048) que, a su vez, recoge los fundamentos jurídicos de la sentencia 1217/2020, de 6 de octubre (ECLI:ES:TSJPV:2020:396) dictada por la Sala de lo Social del Tribunal Superior de Justicia del País Vasco en supuesto idéntico al planteado. Tras analizar exhaustivamente la legislación sobre estos permisos —art. 177 LGSS en relación con el art. 48.4, 5 y 6 LET, </w:t>
      </w:r>
      <w:r>
        <w:lastRenderedPageBreak/>
        <w:t>tras la redacción dada por el Real Decreto-ley 6/2019, y del art. 49 a), b) y c) del texto refundido de la Ley del estatuto básico del empleado público, aprobado por Real Decreto Legislativo 5/2015, de 30 de octubre (en adelante TRLEEP)—, y referirse a la variación del sistema de familia operado desde los años setenta en España, concluye se han introducido nuevos modelos y, entre ellos, el de familia monoparental, integrado en su mayor parte por mujeres.</w:t>
      </w:r>
    </w:p>
    <w:p w14:paraId="465DCAF4" w14:textId="77777777" w:rsidR="00A8138F" w:rsidRDefault="00A8138F" w:rsidP="00A8138F">
      <w:pPr>
        <w:pStyle w:val="TextoNormal"/>
      </w:pPr>
    </w:p>
    <w:p w14:paraId="53331959" w14:textId="77777777" w:rsidR="00A8138F" w:rsidRDefault="00A8138F" w:rsidP="00A8138F">
      <w:pPr>
        <w:pStyle w:val="TextoNormal"/>
      </w:pPr>
      <w:r>
        <w:t>La sentencia estimó la demanda y reconoció a la actora el derecho a disfrutar de las dieciséis semanas que hubieran correspondido al otro progenitor para el nacimiento y cuidado del menor, condenando a las entidades codemandadas a estar y pasar por dicha declaración.</w:t>
      </w:r>
    </w:p>
    <w:p w14:paraId="0D6C7694" w14:textId="77777777" w:rsidR="00A8138F" w:rsidRDefault="00A8138F" w:rsidP="00A8138F">
      <w:pPr>
        <w:pStyle w:val="TextoNormal"/>
      </w:pPr>
    </w:p>
    <w:p w14:paraId="22A339A3" w14:textId="77777777" w:rsidR="00A8138F" w:rsidRDefault="00A8138F" w:rsidP="00A8138F">
      <w:pPr>
        <w:pStyle w:val="TextoNormal"/>
      </w:pPr>
      <w:r>
        <w:t>c) La sentencia del Juzgado de lo Social fue recurrida en suplicación por el INSS y la TGSS ante la Sala de lo Social del Tribunal Superior de Justicia de Madrid, lo que dio lugar al recurso de suplicación núm. 477-2022, en el que recayó sentencia de 28 de octubre de 2022, que estimó parcialmente el recurso y revocó en parte la sentencia de instancia, en el sentido de reconocer a la demandante el derecho a percibir las diez semanas adicionales a las ya disfrutadas y devengadas.</w:t>
      </w:r>
    </w:p>
    <w:p w14:paraId="3943E390" w14:textId="77777777" w:rsidR="00A8138F" w:rsidRDefault="00A8138F" w:rsidP="00A8138F">
      <w:pPr>
        <w:pStyle w:val="TextoNormal"/>
      </w:pPr>
    </w:p>
    <w:p w14:paraId="2E9A7878" w14:textId="77777777" w:rsidR="00A8138F" w:rsidRDefault="00A8138F" w:rsidP="00A8138F">
      <w:pPr>
        <w:pStyle w:val="TextoNormal"/>
      </w:pPr>
      <w:r>
        <w:t>Afirma al respecto la Sala que, si bien no está justificada la ampliación a treinta y dos semanas del periodo de suspensión en el caso de las familias monoparentales, lo que comportaría una diferencia de trato injustificada respecto de las familias biparentales, en el supuesto de alternancia en su disfrute por los progenitores, gozan de veintiséis semanas no coincidentes para la atención y cuidado del menor a jornada completa. Ante el trato peyorativo que resulta de la interpretación efectuada por la entidad gestora, la solución adoptada pretende evitar que los nacidos en familia monoparental sean discriminados sin justificación objetiva y razonable respecto de los nacidos en una familia biparental.</w:t>
      </w:r>
    </w:p>
    <w:p w14:paraId="2DE9C562" w14:textId="77777777" w:rsidR="00A8138F" w:rsidRDefault="00A8138F" w:rsidP="00A8138F">
      <w:pPr>
        <w:pStyle w:val="TextoNormal"/>
      </w:pPr>
    </w:p>
    <w:p w14:paraId="7E162742" w14:textId="77777777" w:rsidR="00A8138F" w:rsidRDefault="00A8138F" w:rsidP="00A8138F">
      <w:pPr>
        <w:pStyle w:val="TextoNormal"/>
      </w:pPr>
      <w:r>
        <w:t>d) Formalizado contra la anterior sentencia recurso de casación para la unificación de doctrina por el INSS y la TGSS, el mismo fue resuelto en sentido estimatorio por sentencia de 8 de febrero de 2024, dictada por la Sala de lo Social del Tribunal Supremo, que casó y anuló en parte la sentencia dictada por el Tribunal Superior de Justicia de Madrid el 28 de octubre de 2022 y, resolviendo el debate en suplicación, estimó íntegramente el recurso de tal clase formulado por el INSS y la TGSS, revocando íntegramente la sentencia dictada por el Juzgado de lo Social núm. 36 de Madrid el 10 de febrero de 2022, para desestimar la demanda y absolver a la parte demandada de los pedimentos deducidos contra ella.</w:t>
      </w:r>
    </w:p>
    <w:p w14:paraId="4AFEEE5F" w14:textId="77777777" w:rsidR="00A8138F" w:rsidRDefault="00A8138F" w:rsidP="00A8138F">
      <w:pPr>
        <w:pStyle w:val="TextoNormal"/>
      </w:pPr>
    </w:p>
    <w:p w14:paraId="5C6AE964" w14:textId="0033B0F7" w:rsidR="00A8138F" w:rsidRDefault="00A8138F" w:rsidP="00A8138F">
      <w:pPr>
        <w:pStyle w:val="TextoNormal"/>
      </w:pPr>
      <w:r>
        <w:t>La sentencia de casación aplica la doctrina sentada por la STS 169/2023, de 2 de marzo, del Pleno de la Sala de lo Social del Tribunal Supremo (ECLI:ES:TS:2023:783), que declara que la función de jueces y tribunales es la interpretación y aplicación de la norma, y no la creación del derecho; que lo pretendido por la actora en la instancia solo le corresponde al legislador, no pudiendo ser suplida su función por resoluciones judiciales, lo que supondría modificar el régimen prestacional de la Seguridad Social y la regulación de la suspensión del contrato de trabajo por causas no previstas en la ley. Razona la Sala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w:t>
      </w:r>
      <w:r>
        <w:lastRenderedPageBreak/>
        <w:t>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w:t>
      </w:r>
    </w:p>
    <w:p w14:paraId="7CD984AF" w14:textId="77777777" w:rsidR="00A8138F" w:rsidRDefault="00A8138F" w:rsidP="00A8138F">
      <w:pPr>
        <w:pStyle w:val="TextoNormal"/>
      </w:pPr>
    </w:p>
    <w:p w14:paraId="299B62B2" w14:textId="77777777" w:rsidR="00A8138F" w:rsidRDefault="00A8138F" w:rsidP="00A8138F">
      <w:pPr>
        <w:pStyle w:val="TextoNormal"/>
      </w:pPr>
      <w:r w:rsidRPr="00A8138F">
        <w:rPr>
          <w:rStyle w:val="NumeroAFNegritaCaracter"/>
        </w:rPr>
        <w:t>3</w:t>
      </w:r>
      <w:r>
        <w:t>. En la demanda de amparo la recurrente en un único motivo invoca la vulneración del derecho de igualdad del art 14 CE, en relación con el art. 39 CE, así como la jurisprudencia aplicable dictada por otros tribunales en igual materia, por haber padecido trato discriminatorio directo debido a circunstancias personales y familiares por razón de nacimiento, pues entiende que se está discriminando al menor nacido en una familia monoparental, al contar con menor número de semanas de prestación (se mantiene en dieciséis semanas), lo que produce un resultado desproporcionado al reducir hasta la mitad los cuidados de los menores de doce meses.</w:t>
      </w:r>
    </w:p>
    <w:p w14:paraId="53332F25" w14:textId="77777777" w:rsidR="00A8138F" w:rsidRDefault="00A8138F" w:rsidP="00A8138F">
      <w:pPr>
        <w:pStyle w:val="TextoNormal"/>
      </w:pPr>
    </w:p>
    <w:p w14:paraId="65A9AB31" w14:textId="5F132846" w:rsidR="00A8138F" w:rsidRDefault="00A8138F" w:rsidP="00A8138F">
      <w:pPr>
        <w:pStyle w:val="TextoNormal"/>
      </w:pPr>
      <w:r>
        <w:t>Las resoluciones administrativas recurridas y la sentencia recurrida son, a juicio de la recurrente, contrarias al principio de igualdad y no discriminación reconocido en la Constitución como derecho fundamental, al haber procedido a una interpretación restrictiva de la norma sin la aplicación preferente del principio del interés superior del menor, que no ha sido valorado como elemento imprescindible y vertebrador de la nueva concepción otorgada por el legislador al permiso para el nacimiento y cuidado de menores, de tal forma que, situado el menor en el centro del debate, resulta del todo imprescindible otorgar a los progenitores en situación de monoparentalidad el permiso ampliado y reconocido a los progenitores de las familias biparentales, pues, en caso contrario, el menor nacido en una familia monoparental vería limitados sus cuidados a las dieciséis semanas otorgadas en la normativa nacional vigente, en este caso concreto, a la madre, mientras que, en caso contrario, los menores nacidos en familias biparentales pueden disfrutar de sus progenitores conjunta o separadamente hasta agotar sus respectivas prestaciones.</w:t>
      </w:r>
    </w:p>
    <w:p w14:paraId="0E27B38F" w14:textId="77777777" w:rsidR="00A8138F" w:rsidRDefault="00A8138F" w:rsidP="00A8138F">
      <w:pPr>
        <w:pStyle w:val="TextoNormal"/>
      </w:pPr>
    </w:p>
    <w:p w14:paraId="3F8F289F" w14:textId="77777777" w:rsidR="00A8138F" w:rsidRDefault="00A8138F" w:rsidP="00A8138F">
      <w:pPr>
        <w:pStyle w:val="TextoNormal"/>
      </w:pPr>
      <w:r w:rsidRPr="00A8138F">
        <w:rPr>
          <w:rStyle w:val="NumeroAFNegritaCaracter"/>
        </w:rPr>
        <w:t>4</w:t>
      </w:r>
      <w:r>
        <w:t>. Por providencia de 9 de septiembre de 2024, la Sala Primera, Sección Primera, de este tribunal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5B354E0B" w14:textId="77777777" w:rsidR="00A8138F" w:rsidRDefault="00A8138F" w:rsidP="00A8138F">
      <w:pPr>
        <w:pStyle w:val="TextoNormal"/>
      </w:pPr>
    </w:p>
    <w:p w14:paraId="002BF5BD" w14:textId="45F401A2" w:rsidR="00A8138F" w:rsidRDefault="00A8138F" w:rsidP="00A8138F">
      <w:pPr>
        <w:pStyle w:val="TextoNormal"/>
      </w:pPr>
      <w:r>
        <w:t>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5609-2022, y al recurso de suplicación núm. 477-2022, respectivamente. Asimismo, acordó dirigir comunicación al Juzgado de lo Social núm. 36 de Madrid a fin de que, en el mismo plazo, remitiese certificación o fotocopia adverada de las actuaciones correspondientes a los autos núm. 1233-2021, emplazando a quienes hubieran sido parte en el procedimiento, excepto la parte recurrente en amparo, para que pudieran comparecer en el presente recurso.</w:t>
      </w:r>
    </w:p>
    <w:p w14:paraId="48B8F7DD" w14:textId="77777777" w:rsidR="00A8138F" w:rsidRDefault="00A8138F" w:rsidP="00A8138F">
      <w:pPr>
        <w:pStyle w:val="TextoNormal"/>
      </w:pPr>
    </w:p>
    <w:p w14:paraId="3E2C842B" w14:textId="4CD73AF7" w:rsidR="00A8138F" w:rsidRDefault="00A8138F" w:rsidP="00A8138F">
      <w:pPr>
        <w:pStyle w:val="TextoNormal"/>
      </w:pPr>
      <w:r w:rsidRPr="00A8138F">
        <w:rPr>
          <w:rStyle w:val="NumeroAFNegritaCaracter"/>
        </w:rPr>
        <w:lastRenderedPageBreak/>
        <w:t>5</w:t>
      </w:r>
      <w:r>
        <w:t>. Mediante escrito presentado el día 3 de octubre de 2024, la letrada de la administración de la Seguridad Social, actuando en nombre y representación del INSS y la TGSS, interesó su personación en el presente recurso de amparo.</w:t>
      </w:r>
    </w:p>
    <w:p w14:paraId="6338AD15" w14:textId="77777777" w:rsidR="00A8138F" w:rsidRDefault="00A8138F" w:rsidP="00A8138F">
      <w:pPr>
        <w:pStyle w:val="TextoNormal"/>
      </w:pPr>
    </w:p>
    <w:p w14:paraId="22A7FDC4" w14:textId="4B9BA4AC" w:rsidR="00A8138F" w:rsidRDefault="00A8138F" w:rsidP="00A8138F">
      <w:pPr>
        <w:pStyle w:val="TextoNormal"/>
      </w:pPr>
      <w:r w:rsidRPr="00A8138F">
        <w:rPr>
          <w:rStyle w:val="NumeroAFNegritaCaracter"/>
        </w:rPr>
        <w:t>6</w:t>
      </w:r>
      <w:r>
        <w:t>. Por diligencia de ordenación de 4 de noviembre de 2024, se tuvieron por recibidos los testimonios de actuaciones remitidos por la Sala de lo Social del Tribunal Supremo, la Sala de lo Social del Tribunal Superior de Justicia de Madrid y el Juzgado de lo Social núm. 36 de Madrid, y el escrito de la letrada de la administración de la Seguridad Social, acordando tenerla por personada y parte en el presente procedimiento en nombre y representación del INSS y la TGSS. Asimismo y de conformidad con lo establecido en el art. 52.1 LOTC, se dispuso dar vista de las actuaciones en la sede electrónica de este tribunal a la recurrente, al Ministerio Fiscal y a la parte personada, por plazo común de veinte días, para que pudieran presentar las alegaciones que estimaran pertinentes.</w:t>
      </w:r>
    </w:p>
    <w:p w14:paraId="554024CA" w14:textId="77777777" w:rsidR="00A8138F" w:rsidRDefault="00A8138F" w:rsidP="00A8138F">
      <w:pPr>
        <w:pStyle w:val="TextoNormal"/>
      </w:pPr>
    </w:p>
    <w:p w14:paraId="07079AD9" w14:textId="37EA7119" w:rsidR="00A8138F" w:rsidRDefault="00A8138F" w:rsidP="00A8138F">
      <w:pPr>
        <w:pStyle w:val="TextoNormal"/>
      </w:pPr>
      <w:r w:rsidRPr="00A8138F">
        <w:rPr>
          <w:rStyle w:val="NumeroAFNegritaCaracter"/>
        </w:rPr>
        <w:t>7</w:t>
      </w:r>
      <w:r>
        <w:t>. La recurrente presentó escrito el 3 de diciembre de 2024, en el que ratificó la demanda de amparo, dando por reproducidas las argumentaciones vertidas en ella sobre los motivos del fondo del asunto, con la súplica de que se dicte sentencia otorgando el amparo pretendido por la demandante.</w:t>
      </w:r>
    </w:p>
    <w:p w14:paraId="2FD47C9A" w14:textId="77777777" w:rsidR="00A8138F" w:rsidRDefault="00A8138F" w:rsidP="00A8138F">
      <w:pPr>
        <w:pStyle w:val="TextoNormal"/>
      </w:pPr>
    </w:p>
    <w:p w14:paraId="4AED5C9A" w14:textId="77777777" w:rsidR="00A8138F" w:rsidRDefault="00A8138F" w:rsidP="00A8138F">
      <w:pPr>
        <w:pStyle w:val="TextoNormal"/>
      </w:pPr>
      <w:r w:rsidRPr="00A8138F">
        <w:rPr>
          <w:rStyle w:val="NumeroAFNegritaCaracter"/>
        </w:rPr>
        <w:t>8</w:t>
      </w:r>
      <w:r>
        <w:t>. Mediante escrito presentado el 28 de noviembre de 2024, la letrada de la administración de la Seguridad Social formuló alegaciones en las que interesó la desestimación del recurso de amparo. Tras exponer los antecedentes del procedimiento judicial, identificó la normativa nacional que regula el permiso y prestación por nacimiento y cuidado del menor —arts. 177 y 178 LGSS, art. 48.4 LET y art. 49 a), b) y c) TRLEEP— y se refirió a la doctrina de este tribunal, para centrarse a continuación en el examen de la cuestión de fondo del recurso y negar que las resoluciones administrativas recurridas hayan generado una situación de discriminación del menor nacido en familia monoparental.</w:t>
      </w:r>
    </w:p>
    <w:p w14:paraId="04B1A309" w14:textId="77777777" w:rsidR="00A8138F" w:rsidRDefault="00A8138F" w:rsidP="00A8138F">
      <w:pPr>
        <w:pStyle w:val="TextoNormal"/>
      </w:pPr>
    </w:p>
    <w:p w14:paraId="778E2623" w14:textId="77777777" w:rsidR="00A8138F" w:rsidRDefault="00A8138F" w:rsidP="00A8138F">
      <w:pPr>
        <w:pStyle w:val="TextoNormal"/>
      </w:pPr>
      <w:r>
        <w:t>No obstante, alega que teniendo en cuenta la reciente STC 140/2024, de 6 de noviembre, que estimó la cuestión de inconstitucionalidad núm. 6694-2023 y que ha declarado inconstitucionales los arts. 48.4 LET y 177 LGSS, con el alcance que señala su fundamento jurídico séptimo, se limita para evitar reiteraciones a las alegaciones formuladas por la parte demandada a lo largo de todo el procedimiento judicial. Y añade que, para el disfrute del permiso, se supedite al cumplimiento del resto de los requisitos legalmente establecidos para el percibo de la prestación, entre los que se incluye haber hecho efectivo el descanso, sin haber prestado servicios por cuenta ajena ni haber percibir las correspondientes retribuciones.</w:t>
      </w:r>
    </w:p>
    <w:p w14:paraId="4F38B5EE" w14:textId="77777777" w:rsidR="00A8138F" w:rsidRDefault="00A8138F" w:rsidP="00A8138F">
      <w:pPr>
        <w:pStyle w:val="TextoNormal"/>
      </w:pPr>
    </w:p>
    <w:p w14:paraId="3A5D8D02" w14:textId="6EA35C18" w:rsidR="00A8138F" w:rsidRDefault="00A8138F" w:rsidP="00A8138F">
      <w:pPr>
        <w:pStyle w:val="TextoNormal"/>
      </w:pPr>
      <w:r>
        <w:t>Finalmente, solicita la desestimación del recurso y que se declaren ajustadas a Derecho las resoluciones administrativas dictadas, así como la sentencia de la Sala de lo Social del Tribunal Supremo que confirmó la actuación administrativa. Y para el caso de estimarse el recurso de amparo, que el aumento de la duración del permiso laboral y la correlativa prestación de Seguridad Social, tras el agotamiento de las primeras dieciséis semanas, sea como máximo de diez semanas adicionales al permiso disfrutado por la progenitora de la familia monoparental, quedando supeditado al cumplimiento del resto de los requisitos legalmente establecidos para el percibo de la prestación.</w:t>
      </w:r>
    </w:p>
    <w:p w14:paraId="7FF191C7" w14:textId="77777777" w:rsidR="00A8138F" w:rsidRDefault="00A8138F" w:rsidP="00A8138F">
      <w:pPr>
        <w:pStyle w:val="TextoNormal"/>
      </w:pPr>
    </w:p>
    <w:p w14:paraId="604FA6A6" w14:textId="77777777" w:rsidR="00A8138F" w:rsidRDefault="00A8138F" w:rsidP="00A8138F">
      <w:pPr>
        <w:pStyle w:val="TextoNormal"/>
      </w:pPr>
      <w:r w:rsidRPr="00A8138F">
        <w:rPr>
          <w:rStyle w:val="NumeroAFNegritaCaracter"/>
        </w:rPr>
        <w:lastRenderedPageBreak/>
        <w:t>9</w:t>
      </w:r>
      <w:r>
        <w:t>. El fiscal ante el Tribunal Constitucional presentó escrito de alegaciones el día 10 de diciembre de 2024, en el que interesa la estimación parcial del recurso de amparo. En primer lugar resume los antecedentes más relevantes del procedimiento laboral de los que trae causa el recurso de amparo. Más adelante centra el objeto de la demanda de amparo, que se articula en un único motivo por infracción del derecho a la igualdad y a la no discriminación (art. 14 CE en relación con el art. 39 CE), del derecho de tutela judicial efectiva del art. 24 CE y del interés superior del menor.</w:t>
      </w:r>
    </w:p>
    <w:p w14:paraId="5BE1126B" w14:textId="77777777" w:rsidR="00A8138F" w:rsidRDefault="00A8138F" w:rsidP="00A8138F">
      <w:pPr>
        <w:pStyle w:val="TextoNormal"/>
      </w:pPr>
    </w:p>
    <w:p w14:paraId="1D850047" w14:textId="77777777" w:rsidR="00A8138F" w:rsidRDefault="00A8138F" w:rsidP="00A8138F">
      <w:pPr>
        <w:pStyle w:val="TextoNormal"/>
      </w:pPr>
      <w:r>
        <w:t>El fiscal considera, en relación con esta materia, que la STC 140/2024, de 6 de noviembre, ha establecido una doctrina constitucional específica para la cuestión debatida en el presente recurso de amparo, que declara inconstitucionales los arts. 48.4 LET y 177 LGSS, precisamente por la vulneración del derecho reconocido en el art. 14 CE en relación con el art. 39 CE alegado en el presente recurso. Es notorio, aduce, que tal y como resulta de la remisión del fallo al fundamento jurídico séptimo de la propia sentencia, el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w:t>
      </w:r>
    </w:p>
    <w:p w14:paraId="4CB14CA5" w14:textId="77777777" w:rsidR="00A8138F" w:rsidRDefault="00A8138F" w:rsidP="00A8138F">
      <w:pPr>
        <w:pStyle w:val="TextoNormal"/>
      </w:pPr>
    </w:p>
    <w:p w14:paraId="581CC207" w14:textId="77777777" w:rsidR="00A8138F" w:rsidRDefault="00A8138F" w:rsidP="00A8138F">
      <w:pPr>
        <w:pStyle w:val="TextoNormal"/>
      </w:pPr>
      <w:r>
        <w:t>Al aplicar los mencionados artículos, recientemente declarados inconstitucionales, a juicio del fiscal la sentencia del Tribunal Supremo que se impugna ha producido la discriminación prohibida por el art. 14 CE, tanto de la demandante de amparo por constituir una familia monoparental, como del hijo por razón de nacimiento, por haber nacido en una familia monoparental.</w:t>
      </w:r>
    </w:p>
    <w:p w14:paraId="2703624F" w14:textId="77777777" w:rsidR="00A8138F" w:rsidRDefault="00A8138F" w:rsidP="00A8138F">
      <w:pPr>
        <w:pStyle w:val="TextoNormal"/>
      </w:pPr>
    </w:p>
    <w:p w14:paraId="53AFB1C1" w14:textId="77777777" w:rsidR="00A8138F" w:rsidRDefault="00A8138F" w:rsidP="00A8138F">
      <w:pPr>
        <w:pStyle w:val="TextoNormal"/>
      </w:pPr>
      <w:r>
        <w:t>En consecuencia, con arreglo al criterio adoptado en la citada STC 140/2024, la reparación del derecho a la igualdad de la recurrente ha de concretarse en el disfrute de diez semanas de prestación adicionales.</w:t>
      </w:r>
    </w:p>
    <w:p w14:paraId="25DC1095" w14:textId="77777777" w:rsidR="00A8138F" w:rsidRDefault="00A8138F" w:rsidP="00A8138F">
      <w:pPr>
        <w:pStyle w:val="TextoNormal"/>
      </w:pPr>
    </w:p>
    <w:p w14:paraId="4E6CF582" w14:textId="277B30BA" w:rsidR="00A8138F" w:rsidRDefault="00A8138F" w:rsidP="00A8138F">
      <w:pPr>
        <w:pStyle w:val="TextoNormal"/>
      </w:pPr>
      <w:r>
        <w:t>Concluye que procede estimar el recurso de amparo, declarar que ha sido vulnerado el derecho fundamental de la demandante y de su hijo a la no discriminación y, en tercer lugar, restablecer a la demandante en su derecho con declaración de nulidad de la sentencia núm. 249/2024, de 8 de febrero, dictada por la Sala de lo Social del Tribunal Supremo en el recurso de casación para la unificación de doctrina núm. 5609-2022, declarando la firmeza de la sentencia núm. 931/2022, de 28 de octubre, de la Sala de lo Social del Tribunal Superior de Justicia de Madrid dictada en el recurso de suplicación núm. 477-2022.</w:t>
      </w:r>
    </w:p>
    <w:p w14:paraId="42DD5CFA" w14:textId="77777777" w:rsidR="00A8138F" w:rsidRDefault="00A8138F" w:rsidP="00A8138F">
      <w:pPr>
        <w:pStyle w:val="TextoNormal"/>
      </w:pPr>
    </w:p>
    <w:p w14:paraId="0511F08E" w14:textId="1C461A21" w:rsidR="00A8138F" w:rsidRDefault="00A8138F" w:rsidP="00A8138F">
      <w:pPr>
        <w:pStyle w:val="TextoNormal"/>
      </w:pPr>
      <w:r w:rsidRPr="00A8138F">
        <w:rPr>
          <w:rStyle w:val="NumeroAFNegritaCaracter"/>
        </w:rPr>
        <w:t>10</w:t>
      </w:r>
      <w:r>
        <w:t>. Por providencia de 23 de enero 2025, se señaló para deliberación y votación de la presente sentencia el día 27 del mismo mes y año.</w:t>
      </w:r>
    </w:p>
    <w:p w14:paraId="6D7DB125" w14:textId="77777777" w:rsidR="00A8138F" w:rsidRDefault="00A8138F" w:rsidP="00A8138F">
      <w:pPr>
        <w:pStyle w:val="TextoNormal"/>
      </w:pPr>
    </w:p>
    <w:p w14:paraId="45356DAF" w14:textId="77777777" w:rsidR="00A8138F" w:rsidRDefault="00A8138F" w:rsidP="00A8138F">
      <w:pPr>
        <w:pStyle w:val="TextoNormalNegritaCentrado"/>
        <w:keepNext/>
      </w:pPr>
      <w:r>
        <w:t>II. Fundamentos jurídicos</w:t>
      </w:r>
    </w:p>
    <w:p w14:paraId="00F2C585" w14:textId="7C9041B3" w:rsidR="00A8138F" w:rsidRDefault="00A8138F" w:rsidP="00A8138F">
      <w:pPr>
        <w:pStyle w:val="TextoNormalNegritaCentrado"/>
        <w:keepNext/>
      </w:pPr>
    </w:p>
    <w:p w14:paraId="290AEB55"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5948B960" w14:textId="77777777" w:rsidR="00A8138F" w:rsidRDefault="00A8138F" w:rsidP="00A8138F">
      <w:pPr>
        <w:pStyle w:val="TextoNormal"/>
      </w:pPr>
    </w:p>
    <w:p w14:paraId="6BD4A0BF" w14:textId="5A9A96F3" w:rsidR="00A8138F" w:rsidRDefault="00A8138F" w:rsidP="00A8138F">
      <w:pPr>
        <w:pStyle w:val="TextoNormal"/>
      </w:pPr>
      <w:r>
        <w:t xml:space="preserve">El objeto del presente proceso constitucional es dilucidar si la sentencia de la Sala de lo Social del Tribunal Supremo, que revocó la sentencia del Tribunal Superior de Justicia de </w:t>
      </w:r>
      <w:r>
        <w:lastRenderedPageBreak/>
        <w:t>Madrid y desestimó la demanda, confirmando las resoluciones administrativas del INSS, ha ocasionado una discriminación por razón de nacimiento contraria al art. 14 CE en relación con el art. 39 CE, al aplicar el art. 48.4 LET en relación con el art. 177 LGSS, al denegar a la actora la ampliación del permiso por nacimiento y cuidado de hijo a las semanas que le corresponderían al progenitor distinto de la madre.</w:t>
      </w:r>
    </w:p>
    <w:p w14:paraId="7A498946" w14:textId="77777777" w:rsidR="00A8138F" w:rsidRDefault="00A8138F" w:rsidP="00A8138F">
      <w:pPr>
        <w:pStyle w:val="TextoNormal"/>
      </w:pPr>
    </w:p>
    <w:p w14:paraId="45A299AE"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1C98AE90" w14:textId="77777777" w:rsidR="00A8138F" w:rsidRDefault="00A8138F" w:rsidP="00A8138F">
      <w:pPr>
        <w:pStyle w:val="TextoNormal"/>
      </w:pPr>
    </w:p>
    <w:p w14:paraId="41677848"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3D34BBC3" w14:textId="77777777" w:rsidR="00A8138F" w:rsidRDefault="00A8138F" w:rsidP="00A8138F">
      <w:pPr>
        <w:pStyle w:val="TextoNormal"/>
      </w:pPr>
    </w:p>
    <w:p w14:paraId="1AFFDABC"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4A7E01BC" w14:textId="77777777" w:rsidR="00A8138F" w:rsidRDefault="00A8138F" w:rsidP="00A8138F">
      <w:pPr>
        <w:pStyle w:val="TextoNormal"/>
      </w:pPr>
    </w:p>
    <w:p w14:paraId="2B5FD564"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4E6DAA10" w14:textId="77777777" w:rsidR="00A8138F" w:rsidRDefault="00A8138F" w:rsidP="00A8138F">
      <w:pPr>
        <w:pStyle w:val="TextoNormal"/>
      </w:pPr>
    </w:p>
    <w:p w14:paraId="739E9849" w14:textId="4B111739" w:rsidR="00A8138F" w:rsidRDefault="00A8138F" w:rsidP="00A8138F">
      <w:pPr>
        <w:pStyle w:val="TextoNormal"/>
      </w:pPr>
      <w:r>
        <w:t xml:space="preserve">En consecuencia, debe estimarse la demanda y otorgar el amparo solicitado, y de conformidad con lo expuesto por el Ministerio Fiscal, anular y dejar sin efecto únicamente la sentencia de la Sala de lo Social del Tribunal Supremo núm. 249/2024, de 8 de febrero, que estimó el recurso de casación para la unificación de doctrina núm. 5609-2022, promovido </w:t>
      </w:r>
      <w:r>
        <w:lastRenderedPageBreak/>
        <w:t>por el INSS contra la sentencia de la Sala de lo Social del Tribunal Superior de Madrid núm. 931/2022, de 28 de octubre, dictada en el recurso de suplicación núm. 477-2022, y acordar la firmeza de esta última.</w:t>
      </w:r>
    </w:p>
    <w:p w14:paraId="591C0D63" w14:textId="77777777" w:rsidR="00A8138F" w:rsidRDefault="00A8138F" w:rsidP="00A8138F">
      <w:pPr>
        <w:pStyle w:val="TextoNormal"/>
      </w:pPr>
    </w:p>
    <w:p w14:paraId="5CF918FD" w14:textId="77777777" w:rsidR="00A8138F" w:rsidRDefault="00A8138F" w:rsidP="00A8138F">
      <w:pPr>
        <w:pStyle w:val="TextoNormalCentrado"/>
        <w:keepNext/>
      </w:pPr>
      <w:r>
        <w:t>FALLO</w:t>
      </w:r>
    </w:p>
    <w:p w14:paraId="73710EDD" w14:textId="53541D69" w:rsidR="00A8138F" w:rsidRDefault="00A8138F" w:rsidP="00A8138F">
      <w:pPr>
        <w:pStyle w:val="TextoNormalCentrado"/>
        <w:keepNext/>
      </w:pPr>
    </w:p>
    <w:p w14:paraId="1BC3C280" w14:textId="77777777" w:rsidR="00A8138F" w:rsidRDefault="00A8138F" w:rsidP="00A8138F">
      <w:pPr>
        <w:pStyle w:val="TextoNormal"/>
      </w:pPr>
      <w:r>
        <w:t>En atención a todo lo expuesto, el Tribunal Constitucional, por la autoridad que le confiere la Constitución de la Nación española, ha decidido:</w:t>
      </w:r>
    </w:p>
    <w:p w14:paraId="45701115" w14:textId="77777777" w:rsidR="00A8138F" w:rsidRDefault="00A8138F" w:rsidP="00A8138F">
      <w:pPr>
        <w:pStyle w:val="TextoNormal"/>
      </w:pPr>
    </w:p>
    <w:p w14:paraId="48D3D877" w14:textId="77777777" w:rsidR="00A8138F" w:rsidRDefault="00A8138F" w:rsidP="00A8138F">
      <w:pPr>
        <w:pStyle w:val="TextoNormal"/>
      </w:pPr>
      <w:r>
        <w:t>1º Estimar la demanda presentada por doña Irene Nieto Giraldo por vulneración del derecho fundamental de igualdad ante la ley sin discriminación por razón de nacimiento (art. 14 CE) de un hijo menor en una familia monoparental.</w:t>
      </w:r>
    </w:p>
    <w:p w14:paraId="41B37B6D" w14:textId="77777777" w:rsidR="00A8138F" w:rsidRDefault="00A8138F" w:rsidP="00A8138F">
      <w:pPr>
        <w:pStyle w:val="TextoNormal"/>
      </w:pPr>
    </w:p>
    <w:p w14:paraId="0063A227" w14:textId="77777777" w:rsidR="00A8138F" w:rsidRDefault="00A8138F" w:rsidP="00A8138F">
      <w:pPr>
        <w:pStyle w:val="TextoNormal"/>
      </w:pPr>
      <w:r>
        <w:t>2º Restablecerla en su derecho y, a tal fin, declarar la nulidad de la sentencia de la Sala de lo Social del Tribunal Supremo núm. 249/2024, de 8 de febrero, dictada en el recurso de casación para la unificación de doctrina núm. 5609-2022.</w:t>
      </w:r>
    </w:p>
    <w:p w14:paraId="695E7EE2" w14:textId="77777777" w:rsidR="00A8138F" w:rsidRDefault="00A8138F" w:rsidP="00A8138F">
      <w:pPr>
        <w:pStyle w:val="TextoNormal"/>
      </w:pPr>
    </w:p>
    <w:p w14:paraId="2E6AB0EA" w14:textId="6F4FA53F" w:rsidR="00A8138F" w:rsidRDefault="00A8138F" w:rsidP="00A8138F">
      <w:pPr>
        <w:pStyle w:val="TextoNormal"/>
      </w:pPr>
      <w:r>
        <w:t>3º Declarar la firmeza de la sentencia de la Sala de lo Social del Tribunal Superior de Justicia de Madrid núm. 931/2022, de 28 de octubre, dictada en el recurso de suplicación núm. 477-2022.</w:t>
      </w:r>
    </w:p>
    <w:p w14:paraId="10322DE7" w14:textId="77777777" w:rsidR="00A8138F" w:rsidRDefault="00A8138F" w:rsidP="00A8138F">
      <w:pPr>
        <w:pStyle w:val="TextoNormal"/>
      </w:pPr>
    </w:p>
    <w:p w14:paraId="2086C66F" w14:textId="77777777" w:rsidR="00A8138F" w:rsidRDefault="00A8138F" w:rsidP="00A8138F">
      <w:pPr>
        <w:pStyle w:val="TextoNormal"/>
      </w:pPr>
      <w:r>
        <w:t>Publíquese esta sentencia en el “Boletín Oficial del Estado”.</w:t>
      </w:r>
    </w:p>
    <w:p w14:paraId="1359E22F" w14:textId="77777777" w:rsidR="00A8138F" w:rsidRDefault="00A8138F" w:rsidP="00A8138F">
      <w:pPr>
        <w:pStyle w:val="TextoNormal"/>
      </w:pPr>
      <w:r>
        <w:t>Dada en Madrid, a veintisiete de enero de dos mil veinticinco.</w:t>
      </w:r>
    </w:p>
    <w:p w14:paraId="0A13F4BA" w14:textId="3AA03D0A" w:rsidR="00A8138F" w:rsidRDefault="00A8138F">
      <w:pPr>
        <w:spacing w:after="160" w:line="278" w:lineRule="auto"/>
        <w:rPr>
          <w:rFonts w:ascii="Times New Roman" w:eastAsia="Times New Roman" w:hAnsi="Times New Roman" w:cs="Times New Roman"/>
          <w:sz w:val="24"/>
          <w:szCs w:val="24"/>
          <w:lang w:eastAsia="es-ES"/>
        </w:rPr>
      </w:pPr>
      <w:r>
        <w:br w:type="page"/>
      </w:r>
    </w:p>
    <w:p w14:paraId="1D0CBF0F" w14:textId="77777777" w:rsidR="00A8138F" w:rsidRDefault="00A8138F" w:rsidP="00A8138F">
      <w:pPr>
        <w:pStyle w:val="TtuloResolucin"/>
      </w:pPr>
      <w:bookmarkStart w:id="27" w:name="SENTENCIA_2025_25"/>
      <w:r>
        <w:lastRenderedPageBreak/>
        <w:t>SENTENCIA 25/2025, de 29 de enero de 2025</w:t>
      </w:r>
    </w:p>
    <w:bookmarkEnd w:id="27"/>
    <w:p w14:paraId="00F76F3E" w14:textId="77777777" w:rsidR="00A8138F" w:rsidRDefault="00A8138F" w:rsidP="00A8138F">
      <w:pPr>
        <w:pStyle w:val="TtuloResolucin"/>
      </w:pPr>
      <w:r>
        <w:t>Pleno</w:t>
      </w:r>
    </w:p>
    <w:p w14:paraId="6E9691BA" w14:textId="77777777" w:rsidR="00A8138F" w:rsidRDefault="00A8138F" w:rsidP="00A8138F">
      <w:pPr>
        <w:pStyle w:val="TtuloBOE"/>
      </w:pPr>
      <w:r>
        <w:t>(BOE núm. 51, de 28 de febrero de 2025)</w:t>
      </w:r>
    </w:p>
    <w:p w14:paraId="42B223D9" w14:textId="77777777" w:rsidR="00A8138F" w:rsidRDefault="00A8138F" w:rsidP="00A8138F">
      <w:pPr>
        <w:pStyle w:val="TextoNormalCentrado"/>
      </w:pPr>
      <w:r>
        <w:t>ECLI:ES:TC:2025:25</w:t>
      </w:r>
    </w:p>
    <w:p w14:paraId="31DECDAB" w14:textId="4B84DA29" w:rsidR="00A8138F" w:rsidRDefault="00A8138F" w:rsidP="00A8138F">
      <w:pPr>
        <w:pStyle w:val="TextoNormalCentrado"/>
      </w:pPr>
    </w:p>
    <w:p w14:paraId="5B10020D" w14:textId="77777777" w:rsidR="00A8138F" w:rsidRDefault="00A8138F" w:rsidP="00A8138F">
      <w:pPr>
        <w:pStyle w:val="SntesisDescriptiva"/>
      </w:pPr>
      <w:r>
        <w:t>Recurso de inconstitucionalidad 4038-2022. Interpuesto por más de cincuenta diputados del Grupo Parlamentario Vox en el Congreso en relación con diversos preceptos de la Ley del Parlamento de Cataluña 1/2022, de 3 de marzo, de modificación de la Ley 18/2007, la Ley 24/2015 y la Ley 4/2016, para afrontar la emergencia en el ámbito de la vivienda.</w:t>
      </w:r>
    </w:p>
    <w:p w14:paraId="66D908B7" w14:textId="668D7009" w:rsidR="00A8138F" w:rsidRDefault="00A8138F" w:rsidP="00A8138F">
      <w:pPr>
        <w:pStyle w:val="SntesisDescriptiva"/>
      </w:pPr>
    </w:p>
    <w:p w14:paraId="47E3CAE8" w14:textId="77777777" w:rsidR="00A8138F" w:rsidRDefault="00A8138F" w:rsidP="00A8138F">
      <w:pPr>
        <w:pStyle w:val="SntesisAnaltica"/>
      </w:pPr>
      <w:r>
        <w:t>Competencias sobre vivienda, condiciones básicas de igualdad en el ejercicio de los derechos y cumplimiento de los deberes constitucionales, legislación procesal y civil y régimen de expropiación forzosa; derecho de propiedad: pérdida parcial de objeto del proceso en los preceptos legales declarados inconstitucionales y nulos por la STC 120/2024, de 8 de octubre; nulidad parcial del precepto legal autonómico que regula la expropiación forzosa de viviendas; interpretación conforme con la Constitución del precepto que tipifica como infracción grave el incumplimiento de los requisitos de la propuesta obligatoria de alquiler social. Votos particulares.</w:t>
      </w:r>
    </w:p>
    <w:p w14:paraId="1FA87008" w14:textId="5EE9BC25" w:rsidR="00A8138F" w:rsidRDefault="00A8138F" w:rsidP="00A8138F">
      <w:pPr>
        <w:pStyle w:val="SntesisAnaltica"/>
      </w:pPr>
    </w:p>
    <w:p w14:paraId="556BBAAD" w14:textId="7643F403" w:rsidR="00A8138F" w:rsidRDefault="00A8138F" w:rsidP="00A8138F">
      <w:pPr>
        <w:pStyle w:val="Extracto"/>
      </w:pPr>
      <w:r>
        <w:t>1.</w:t>
      </w:r>
      <w:r>
        <w:tab/>
        <w:t xml:space="preserve">En materia de vivienda, </w:t>
      </w:r>
      <w:r w:rsidRPr="00A8138F">
        <w:rPr>
          <w:i/>
        </w:rPr>
        <w:t>ex</w:t>
      </w:r>
      <w:r>
        <w:t xml:space="preserve"> art. 137 EAC, corresponde al legislador autonómico definir los supuestos en los que cabe hacer uso del instrumento expropiatorio mediante la declaración de la </w:t>
      </w:r>
      <w:r w:rsidRPr="00A8138F">
        <w:rPr>
          <w:i/>
        </w:rPr>
        <w:t xml:space="preserve">causa expropiandi </w:t>
      </w:r>
      <w:r>
        <w:t xml:space="preserve">(SSTC 37/1987 y 17/1990). Y ello no obsta para que, en el seno de la expropiación, se respeten las garantías procedimentales establecidas en la ley estatal y, muy singularmente, los criterios para la determinación del valor de los bienes y derechos expropiados que corresponde establecer, en exclusiva, al legislador estatal </w:t>
      </w:r>
      <w:r w:rsidRPr="00A8138F">
        <w:rPr>
          <w:i/>
        </w:rPr>
        <w:t>ex</w:t>
      </w:r>
      <w:r>
        <w:t xml:space="preserve"> art. 149.1.18 CE, a fin de asegurar que los bienes sean evaluados con los mismos criterios en todo el territorio nacional [FJ 4].</w:t>
      </w:r>
    </w:p>
    <w:p w14:paraId="7D49CF7E" w14:textId="77777777" w:rsidR="00A8138F" w:rsidRDefault="00A8138F" w:rsidP="00A8138F">
      <w:pPr>
        <w:pStyle w:val="Extracto"/>
      </w:pPr>
    </w:p>
    <w:p w14:paraId="00CDD728" w14:textId="6E8AE04C" w:rsidR="00A8138F" w:rsidRDefault="00A8138F" w:rsidP="00A8138F">
      <w:pPr>
        <w:pStyle w:val="Extracto"/>
      </w:pPr>
      <w:r>
        <w:t>2.</w:t>
      </w:r>
      <w:r>
        <w:tab/>
        <w:t>El precepto autonómico que extrapola una regla especial estatal -consistente en la reducción en un 50 por 100 del valor de los bienes expropiados-, a otro supuesto de hecho distinto de aquel para el que dicha regla fue concebida por el legislador estatal, incurre en una invasión de la competencia para el establecimiento de los criterios para la determinación del justiprecio, que es materia de aplicación uniforme en todo el territorio nacional y que tiene constitucionalmente atribuida en exclusiva el Estado al amparo del art. 149.1.18 CE [FJ 4].</w:t>
      </w:r>
    </w:p>
    <w:p w14:paraId="7F5E2B58" w14:textId="77777777" w:rsidR="00A8138F" w:rsidRDefault="00A8138F" w:rsidP="00A8138F">
      <w:pPr>
        <w:pStyle w:val="Extracto"/>
      </w:pPr>
    </w:p>
    <w:p w14:paraId="726E3C6A" w14:textId="6BDA0BDF" w:rsidR="00A8138F" w:rsidRDefault="00A8138F" w:rsidP="00A8138F">
      <w:pPr>
        <w:pStyle w:val="Extracto"/>
      </w:pPr>
      <w:r>
        <w:t>3.</w:t>
      </w:r>
      <w:r>
        <w:tab/>
        <w:t xml:space="preserve">La propuesta autonómica de alquiler social obligatorio, como requisito previo para el ejercicio de acciones judiciales y que permite la posibilidad de sancionar como infracción administrativa grave, constituye el incumplimiento de un requisito de procedibilidad para el ejercicio de acciones e invade la competencia estatal en materia de legislación procesal, </w:t>
      </w:r>
      <w:r w:rsidRPr="00A8138F">
        <w:rPr>
          <w:i/>
        </w:rPr>
        <w:t>ex</w:t>
      </w:r>
      <w:r>
        <w:t xml:space="preserve"> art. 149.1.6 CE (STC 120/2024). Ello no es inconstitucional si se interpreta en el sentido de que solo es sancionable el incumplimiento de los requisitos que debe cumplir la propuesta obligatoria de alquiler social, en aquellos casos en los que la misma no constituya una condición de acceso al proceso judicial [FJ 4].</w:t>
      </w:r>
    </w:p>
    <w:p w14:paraId="3A036A4D" w14:textId="77777777" w:rsidR="00A8138F" w:rsidRDefault="00A8138F" w:rsidP="00A8138F">
      <w:pPr>
        <w:pStyle w:val="Extracto"/>
      </w:pPr>
    </w:p>
    <w:p w14:paraId="37402A0A" w14:textId="2769DD12" w:rsidR="00A8138F" w:rsidRDefault="00A8138F" w:rsidP="00A8138F">
      <w:pPr>
        <w:pStyle w:val="Extracto"/>
      </w:pPr>
      <w:r>
        <w:lastRenderedPageBreak/>
        <w:t>4.</w:t>
      </w:r>
      <w:r>
        <w:tab/>
        <w:t>La subordinación de la propiedad privada a los intereses generales no puede llegar a anular la utilidad meramente individual del derecho, de manera que corresponde al Tribunal Constitucional -o, en su caso, a los órganos judiciales, en el ejercicio de sus respectivas competencias-, controlar que estas limitaciones y deberes que se impongan al propietario no vayan más allá de lo razonable (STC 37/1987) [FJ 4].</w:t>
      </w:r>
    </w:p>
    <w:p w14:paraId="383045AF" w14:textId="77777777" w:rsidR="00A8138F" w:rsidRDefault="00A8138F" w:rsidP="00A8138F">
      <w:pPr>
        <w:pStyle w:val="Extracto"/>
      </w:pPr>
    </w:p>
    <w:p w14:paraId="7F28FCFF" w14:textId="487F3CD4" w:rsidR="00A8138F" w:rsidRDefault="00A8138F" w:rsidP="00A8138F">
      <w:pPr>
        <w:pStyle w:val="Extracto"/>
      </w:pPr>
      <w:r>
        <w:t>5.</w:t>
      </w:r>
      <w:r>
        <w:tab/>
        <w:t>No infringe el contenido esencial del derecho de propiedad aquella regulación legal que, restringiendo las facultades de decisión del propietario con relación al uso, destino y aprovechamiento de los fundos rústicos, permite imponerle determinados deberes de explotación y, en su caso, de mejora, orientados a la obtención de una mejor utilización productiva de la tierra, desde el punto de vista de los intereses generales, siempre que quede salvaguardada la rentabilidad del propietario o de la empresa agraria (STC 37/1987) [FJ 4].</w:t>
      </w:r>
    </w:p>
    <w:p w14:paraId="39AFDDBB" w14:textId="77777777" w:rsidR="00A8138F" w:rsidRDefault="00A8138F" w:rsidP="00A8138F">
      <w:pPr>
        <w:pStyle w:val="Extracto"/>
      </w:pPr>
    </w:p>
    <w:p w14:paraId="0CF695A4" w14:textId="6685DE52" w:rsidR="00A8138F" w:rsidRDefault="00A8138F" w:rsidP="00A8138F">
      <w:pPr>
        <w:pStyle w:val="Extracto"/>
      </w:pPr>
      <w:r>
        <w:t>6.</w:t>
      </w:r>
      <w:r>
        <w:tab/>
        <w:t>No vulnera el contenido esencial del derecho de propiedad la expropiación temporal de las facultades de uso y disfrute de las fincas rústicas, como sanción al incumplimiento de la función social de la propiedad de la tierra, definida esta por el legislador autonómico (STC 37/1987) [FJ 4].</w:t>
      </w:r>
    </w:p>
    <w:p w14:paraId="2A50B3EA" w14:textId="77777777" w:rsidR="00A8138F" w:rsidRDefault="00A8138F" w:rsidP="00A8138F">
      <w:pPr>
        <w:pStyle w:val="Extracto"/>
      </w:pPr>
    </w:p>
    <w:p w14:paraId="6DD2DD2E" w14:textId="2F64C27B" w:rsidR="00A8138F" w:rsidRDefault="00A8138F" w:rsidP="00A8138F">
      <w:pPr>
        <w:pStyle w:val="Extracto"/>
      </w:pPr>
      <w:r>
        <w:t>7.</w:t>
      </w:r>
      <w:r>
        <w:tab/>
        <w:t xml:space="preserve">La jurisprudencia del Tribunal Europeo de Derechos Humanos, desde la STEDH de 23 de septiembre de 1982, asunto </w:t>
      </w:r>
      <w:r w:rsidRPr="00A8138F">
        <w:rPr>
          <w:i/>
        </w:rPr>
        <w:t>Sporrong y Lönnroth c. Suecia,</w:t>
      </w:r>
      <w:r>
        <w:t xml:space="preserve"> se formulan tres reglas distintas en materia de propiedad: la primera sienta el principio del respeto que se debe a la propiedad; la segunda se refiere a la privación de la propiedad y la somete a determinadas condiciones; y la tercera reconoce a los Estados la facultad de regular el uso de los bienes de acuerdo con el interés general [FJ 5].</w:t>
      </w:r>
    </w:p>
    <w:p w14:paraId="701D1084" w14:textId="77777777" w:rsidR="00A8138F" w:rsidRDefault="00A8138F" w:rsidP="00A8138F">
      <w:pPr>
        <w:pStyle w:val="Extracto"/>
      </w:pPr>
    </w:p>
    <w:p w14:paraId="3BF18EDF" w14:textId="146C1407" w:rsidR="00A8138F" w:rsidRDefault="00A8138F" w:rsidP="00A8138F">
      <w:pPr>
        <w:pStyle w:val="Extracto"/>
      </w:pPr>
      <w:r>
        <w:t>8.</w:t>
      </w:r>
      <w:r>
        <w:tab/>
        <w:t>El concepto de “utilidad pública” tiene un sentido amplio que puede abarcar incluso las medidas de expropiación que se tomen en el ámbito de una política de justicia social. Además, la jurisprudencia del Tribunal Europeo de Derechos Humanos otorga una gran flexibilidad a los legisladores nacionales para desarrollar su política económica y social, entendiendo que gozan de margen de apreciación para identificar las exigencias de la utilidad pública salvo cuando se ponga de manifiesto que su criterio carece de razonable fundamento (STEDH de 21 de febrero de 1986, asunto James y otros c. Reino Unido, § 37, 40, 42 y 46) [FJ 5].</w:t>
      </w:r>
    </w:p>
    <w:p w14:paraId="3A84F5F8" w14:textId="77777777" w:rsidR="00A8138F" w:rsidRDefault="00A8138F" w:rsidP="00A8138F">
      <w:pPr>
        <w:pStyle w:val="Extracto"/>
      </w:pPr>
    </w:p>
    <w:p w14:paraId="4FA2D007" w14:textId="738B8F44" w:rsidR="00A8138F" w:rsidRDefault="00A8138F" w:rsidP="00A8138F">
      <w:pPr>
        <w:pStyle w:val="Extracto"/>
      </w:pPr>
      <w:r>
        <w:t>9.</w:t>
      </w:r>
      <w:r>
        <w:tab/>
        <w:t>El derecho de propiedad que reconoce el art. 33 CE impide que pueda seguir concibiéndose -desde la perspectiva estrictamente subjetiva del art. 348 del Código civil-, como un mero haz de facultades individuales del propietario sobre las cosas. La referencia a la función social de la propiedad, entendida como un elemento integrante de la propia definición y delimitación del derecho de propiedad, permite que el legislador pueda imponerle un conjunto de deberes y obligaciones, restringiendo aquel conjunto de facultades, en orden a atender los intereses colectivos [FJ 5].</w:t>
      </w:r>
    </w:p>
    <w:p w14:paraId="54A61B41" w14:textId="77777777" w:rsidR="00A8138F" w:rsidRDefault="00A8138F" w:rsidP="00A8138F">
      <w:pPr>
        <w:pStyle w:val="Extracto"/>
      </w:pPr>
    </w:p>
    <w:p w14:paraId="0A0322B9" w14:textId="626ABBD1" w:rsidR="00A8138F" w:rsidRDefault="00A8138F" w:rsidP="00A8138F">
      <w:pPr>
        <w:pStyle w:val="Extracto"/>
      </w:pPr>
      <w:r>
        <w:t>10.</w:t>
      </w:r>
      <w:r>
        <w:tab/>
        <w:t xml:space="preserve">Ante el incumplimiento de un deber legalmente exigible al propietario de la vivienda, la Administración competente puede instarle a adoptar medidas oportunas para cesar en la situación incumplidora y concederle plazo para corregir tal </w:t>
      </w:r>
      <w:r>
        <w:lastRenderedPageBreak/>
        <w:t>situación, efectuándole advertencias y apercibimientos. Plazo que el interesado podrá utilizar para alegar las razones que, en su caso, justifiquen el incumplimiento que se le imputa y que la Administración habrá de valorar antes de emitir su declaración definitiva [FJ 5].</w:t>
      </w:r>
    </w:p>
    <w:p w14:paraId="21BE1F7F" w14:textId="77777777" w:rsidR="00A8138F" w:rsidRDefault="00A8138F" w:rsidP="00A8138F">
      <w:pPr>
        <w:pStyle w:val="Extracto"/>
      </w:pPr>
    </w:p>
    <w:p w14:paraId="2C67C73A" w14:textId="185843A8" w:rsidR="00A8138F" w:rsidRDefault="00A8138F" w:rsidP="00A8138F">
      <w:pPr>
        <w:pStyle w:val="Extracto"/>
      </w:pPr>
      <w:r>
        <w:t>11.</w:t>
      </w:r>
      <w:r>
        <w:tab/>
        <w:t xml:space="preserve">El incumplimiento de un requerimiento para la adopción de las medidas necesarias para cumplir con la función social de la propiedad puede ir seguido de las medidas de ejecución forzosa legalmente previstas; ello forma parte del desenvolvimiento de la potestad de autotutela ejecutiva que ostentan las administraciones públicas, </w:t>
      </w:r>
      <w:r w:rsidRPr="00A8138F">
        <w:rPr>
          <w:i/>
        </w:rPr>
        <w:t>ex</w:t>
      </w:r>
      <w:r>
        <w:t xml:space="preserve"> arts. 99 y concordantes de la Ley 39/2015, de procedimiento administrativo común de las administraciones públicas [FJ 5]. </w:t>
      </w:r>
    </w:p>
    <w:p w14:paraId="5C591737" w14:textId="77777777" w:rsidR="00A8138F" w:rsidRDefault="00A8138F" w:rsidP="00A8138F">
      <w:pPr>
        <w:pStyle w:val="Extracto"/>
      </w:pPr>
    </w:p>
    <w:p w14:paraId="04EE4B4D" w14:textId="15D8E7DE" w:rsidR="00A8138F" w:rsidRDefault="00A8138F" w:rsidP="00A8138F">
      <w:pPr>
        <w:pStyle w:val="Extracto"/>
      </w:pPr>
      <w:r>
        <w:t>12.</w:t>
      </w:r>
      <w:r>
        <w:tab/>
        <w:t>Es razonable la sanción por la comisión de infracción muy grave a quien, siendo consciente de que se encuentra incurso en una situación de incumplimiento de su deber legal de destinar la vivienda de su titularidad a la ocupación para fines habitacionales, por haber sido intimada con carácter previo para su cumplimiento por parte de la administración a través del preceptivo requerimiento, se mantiene, voluntariamente y sin que medie causa que lo justifique, en la situación de desobediencia al mandato legal [FJ 5].</w:t>
      </w:r>
    </w:p>
    <w:p w14:paraId="742D2919" w14:textId="77777777" w:rsidR="00A8138F" w:rsidRDefault="00A8138F" w:rsidP="00A8138F">
      <w:pPr>
        <w:pStyle w:val="Extracto"/>
      </w:pPr>
    </w:p>
    <w:p w14:paraId="12E24F07" w14:textId="67FD3A29" w:rsidR="00A8138F" w:rsidRDefault="00A8138F" w:rsidP="00A8138F">
      <w:pPr>
        <w:pStyle w:val="Extracto"/>
      </w:pPr>
      <w:r>
        <w:t>13.</w:t>
      </w:r>
      <w:r>
        <w:tab/>
        <w:t>La expropiación por incumplimiento de la función social de la propiedad, también denominada por la doctrina impropiamente como “expropiación-sanción”, no es una institución extraña ni anómala en nuestro Derecho Administrativo, sino que aparece contemplada con carácter general en los arts. 71 y ss. de la Ley de 16 de diciembre de 1954, sobre expropiación forzosa, además de tener su correspondiente proyección en leyes sectoriales, así como en algunas otras leyes autonómicas en materia de vivienda (Navarra y País Vasco) [FJ 5].</w:t>
      </w:r>
    </w:p>
    <w:p w14:paraId="2519AEEF" w14:textId="77777777" w:rsidR="00A8138F" w:rsidRDefault="00A8138F" w:rsidP="00A8138F">
      <w:pPr>
        <w:pStyle w:val="Extracto"/>
      </w:pPr>
    </w:p>
    <w:p w14:paraId="19265FAE" w14:textId="70315885" w:rsidR="00A8138F" w:rsidRDefault="00A8138F" w:rsidP="00A8138F">
      <w:pPr>
        <w:pStyle w:val="Extracto"/>
      </w:pPr>
      <w:r>
        <w:t>14.</w:t>
      </w:r>
      <w:r>
        <w:tab/>
        <w:t>La expropiación debe venir justificada por razones de interés social, que entroncan directamente con el aseguramiento del derecho a la vivienda, reconocido en el art. 47 CE [FJ 5].</w:t>
      </w:r>
    </w:p>
    <w:p w14:paraId="04B43E6B" w14:textId="77777777" w:rsidR="00A8138F" w:rsidRDefault="00A8138F" w:rsidP="00A8138F">
      <w:pPr>
        <w:pStyle w:val="Extracto"/>
      </w:pPr>
    </w:p>
    <w:p w14:paraId="3B9DDA72" w14:textId="66FED903" w:rsidR="00A8138F" w:rsidRDefault="00A8138F" w:rsidP="00A8138F">
      <w:pPr>
        <w:pStyle w:val="Extracto"/>
      </w:pPr>
      <w:r>
        <w:t>15.</w:t>
      </w:r>
      <w:r>
        <w:tab/>
        <w:t>La expropiación forzosa ha de ir precedida de la declaración de incumplimiento de la función social, que no puede dictarse sin, previamente, haber dirigido el oportuno requerimiento al propietario para que proceda al cumplimiento de sus deberes derivados de la función social de la propiedad de la vivienda; dándole posibilidad de cumplir voluntariamente con sus obligaciones antes de proceder a la expropiación [FJ 5].</w:t>
      </w:r>
    </w:p>
    <w:p w14:paraId="59405815" w14:textId="77777777" w:rsidR="00A8138F" w:rsidRDefault="00A8138F" w:rsidP="00A8138F">
      <w:pPr>
        <w:pStyle w:val="Extracto"/>
      </w:pPr>
    </w:p>
    <w:p w14:paraId="0C036B3E" w14:textId="020F9C49" w:rsidR="00A8138F" w:rsidRDefault="00A8138F" w:rsidP="00A8138F">
      <w:pPr>
        <w:pStyle w:val="Extracto"/>
      </w:pPr>
      <w:r>
        <w:t>16.</w:t>
      </w:r>
      <w:r>
        <w:tab/>
        <w:t>La expropiación forzosa no es una medida obligatoria o una potestad de imperativo ejercicio para la Administración, sino solamente una más de las distintas medidas coactivas legalmente previstas para asegurar el cumplimiento de la función social de la propiedad legalmente predeterminada; por lo que la Administración cuenta con un margen para valorar, en cada caso, la necesidad y la proporcionalidad de acudir o no al instituto expropiatorio [FJ 5].</w:t>
      </w:r>
    </w:p>
    <w:p w14:paraId="7BF30C1F" w14:textId="77777777" w:rsidR="00A8138F" w:rsidRDefault="00A8138F" w:rsidP="00A8138F">
      <w:pPr>
        <w:pStyle w:val="Extracto"/>
      </w:pPr>
    </w:p>
    <w:p w14:paraId="4223C1AB" w14:textId="70C99516" w:rsidR="00A8138F" w:rsidRDefault="00A8138F" w:rsidP="00A8138F">
      <w:pPr>
        <w:pStyle w:val="Extracto"/>
      </w:pPr>
      <w:r>
        <w:lastRenderedPageBreak/>
        <w:t>17.</w:t>
      </w:r>
      <w:r>
        <w:tab/>
        <w:t>En todo supuesto de expropiación resulta ineludible que medie la correspondiente indemnización o justiprecio, como contrapartida por la privación del dominio (art. 33.3 CE) [FJ 5].</w:t>
      </w:r>
    </w:p>
    <w:p w14:paraId="63395AD4" w14:textId="77777777" w:rsidR="00A8138F" w:rsidRDefault="00A8138F" w:rsidP="00A8138F">
      <w:pPr>
        <w:pStyle w:val="Extracto"/>
      </w:pPr>
    </w:p>
    <w:p w14:paraId="02F6F797" w14:textId="266224CA" w:rsidR="00A8138F" w:rsidRDefault="00A8138F" w:rsidP="00A8138F">
      <w:pPr>
        <w:pStyle w:val="Extracto"/>
      </w:pPr>
      <w:r>
        <w:t>18.</w:t>
      </w:r>
      <w:r>
        <w:tab/>
        <w:t>La potestad de cesión obligatoria de las viviendas vacías de personas jurídicas, con carácter temporal, no rompe con el “justo equilibrio” entre la finalidad de interés social y los medios adoptados para su consecución; ni puede ser calificada como una previsión absolutamente irrazonable o desprovista de fundamento. Tampoco cabe apreciar que anule totalmente la utilidad económica o individual de los titulares de las viviendas desocupadas [FJ 5].</w:t>
      </w:r>
    </w:p>
    <w:p w14:paraId="4FCE937D" w14:textId="77777777" w:rsidR="00A8138F" w:rsidRDefault="00A8138F" w:rsidP="00A8138F">
      <w:pPr>
        <w:pStyle w:val="Extracto"/>
      </w:pPr>
    </w:p>
    <w:p w14:paraId="7E1B3848" w14:textId="77777777" w:rsidR="00A8138F" w:rsidRDefault="00A8138F" w:rsidP="00A8138F">
      <w:pPr>
        <w:pStyle w:val="Extracto"/>
      </w:pPr>
    </w:p>
    <w:p w14:paraId="4232E093"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D3003A7" w14:textId="7236FA72" w:rsidR="00A8138F" w:rsidRDefault="00A8138F" w:rsidP="00A8138F">
      <w:pPr>
        <w:pStyle w:val="TextoNormal"/>
      </w:pPr>
    </w:p>
    <w:p w14:paraId="52DF7ACE" w14:textId="77777777" w:rsidR="00A8138F" w:rsidRDefault="00A8138F" w:rsidP="00A8138F">
      <w:pPr>
        <w:pStyle w:val="TextoNormalCentrado"/>
        <w:keepNext/>
      </w:pPr>
      <w:r>
        <w:t>EN NOMBRE DEL REY</w:t>
      </w:r>
    </w:p>
    <w:p w14:paraId="4E113435" w14:textId="050CB098" w:rsidR="00A8138F" w:rsidRDefault="00A8138F" w:rsidP="00A8138F">
      <w:pPr>
        <w:pStyle w:val="TextoNormalCentrado"/>
        <w:keepNext/>
      </w:pPr>
    </w:p>
    <w:p w14:paraId="0AF5AB21" w14:textId="77777777" w:rsidR="00A8138F" w:rsidRDefault="00A8138F" w:rsidP="00A8138F">
      <w:pPr>
        <w:pStyle w:val="TextoNormalCentrado"/>
        <w:keepNext/>
      </w:pPr>
    </w:p>
    <w:p w14:paraId="2A7A0CFB" w14:textId="77777777" w:rsidR="00A8138F" w:rsidRDefault="00A8138F" w:rsidP="00A8138F">
      <w:pPr>
        <w:pStyle w:val="TextoNormal"/>
      </w:pPr>
      <w:r>
        <w:t>la siguiente</w:t>
      </w:r>
    </w:p>
    <w:p w14:paraId="6F3C74D6" w14:textId="7D5B1679" w:rsidR="00A8138F" w:rsidRDefault="00A8138F" w:rsidP="00A8138F">
      <w:pPr>
        <w:pStyle w:val="TextoNormal"/>
      </w:pPr>
    </w:p>
    <w:p w14:paraId="20D4979E" w14:textId="77777777" w:rsidR="00A8138F" w:rsidRDefault="00A8138F" w:rsidP="00A8138F">
      <w:pPr>
        <w:pStyle w:val="TextoNormalCentrado"/>
        <w:keepNext/>
      </w:pPr>
      <w:r>
        <w:t>SENTENCIA</w:t>
      </w:r>
    </w:p>
    <w:p w14:paraId="450E00E9" w14:textId="4545C648" w:rsidR="00A8138F" w:rsidRDefault="00A8138F" w:rsidP="00A8138F">
      <w:pPr>
        <w:pStyle w:val="TextoNormalCentrado"/>
        <w:keepNext/>
      </w:pPr>
    </w:p>
    <w:p w14:paraId="34C810A2" w14:textId="77777777" w:rsidR="00A8138F" w:rsidRDefault="00A8138F" w:rsidP="00A8138F">
      <w:pPr>
        <w:pStyle w:val="TextoNormal"/>
      </w:pPr>
      <w:r>
        <w:t>En el recurso de inconstitucionalidad núm. 4038-2022, interpuesto por más de cincuenta diputados del Grupo Parlamentario Vox en el Congreso de los Diputados, contra los arts. 1, 2, 3, 4, 5, 6.2, 7, 10, 11, 12 y 15 y la disposición transitoria de la Ley del Parlamento de Cataluña 1/2022, de 3 de marzo, de modificación de la Ley 18/2007, la Ley 24/2015 y la Ley 4/2016, para afrontar la emergencia en el ámbito de la vivienda. Han comparecido el Congreso de los Diputados, el Senado y el Gobierno de la Nación. Han formulado alegaciones la Generalitat y el Parlamento de Cataluña. Ha sido ponente la magistrada doña Laura Díez Bueso.</w:t>
      </w:r>
    </w:p>
    <w:p w14:paraId="0D1C318F" w14:textId="7885818E" w:rsidR="00A8138F" w:rsidRDefault="00A8138F" w:rsidP="00A8138F">
      <w:pPr>
        <w:pStyle w:val="TextoNormal"/>
      </w:pPr>
    </w:p>
    <w:p w14:paraId="48CBFCA4" w14:textId="77777777" w:rsidR="00A8138F" w:rsidRDefault="00A8138F" w:rsidP="00A8138F">
      <w:pPr>
        <w:pStyle w:val="TextoNormalNegritaCentrado"/>
        <w:keepNext/>
      </w:pPr>
      <w:r>
        <w:t>I. Antecedentes</w:t>
      </w:r>
    </w:p>
    <w:p w14:paraId="3C63AF80" w14:textId="575090B3" w:rsidR="00A8138F" w:rsidRDefault="00A8138F" w:rsidP="00A8138F">
      <w:pPr>
        <w:pStyle w:val="TextoNormalNegritaCentrado"/>
        <w:keepNext/>
      </w:pPr>
    </w:p>
    <w:p w14:paraId="55CD2A63" w14:textId="77777777" w:rsidR="00A8138F" w:rsidRDefault="00A8138F" w:rsidP="00A8138F">
      <w:pPr>
        <w:pStyle w:val="TextoNormal"/>
      </w:pPr>
      <w:r w:rsidRPr="00A8138F">
        <w:rPr>
          <w:rStyle w:val="NumeroAFNegritaCaracter"/>
        </w:rPr>
        <w:t>1</w:t>
      </w:r>
      <w:r>
        <w:t>. Mediante escrito que tuvo entrada en el registro general de este tribunal el 7 de junio de 2022, el procurador de los tribunales don Antonio Ortega Fuentes, actuando en nombre de don Santiago Abascal Conde y de otros cincuenta y un diputados del Grupo Parlamentario Vox en el Congreso de los Diputados, interpuso, con la firma como comisionado de don Juan José Aizcorbe Torra, recurso de inconstitucionalidad contra los arts. 1, 2, 3, 4, 5, 6.2, 7 —en cuanto da nueva redacción al art. 7.1 c) de la Ley 24/2015—, 10, 11, 12 y 15 y la disposición transitoria de la Ley del Parlamento de Cataluña 1/2022, de 3 de marzo, de modificación de la Ley 18/2007, la Ley 24/2015 y la Ley 4/2016, para afrontar la emergencia en el ámbito de la vivienda.</w:t>
      </w:r>
    </w:p>
    <w:p w14:paraId="40235147" w14:textId="77777777" w:rsidR="00A8138F" w:rsidRDefault="00A8138F" w:rsidP="00A8138F">
      <w:pPr>
        <w:pStyle w:val="TextoNormal"/>
      </w:pPr>
    </w:p>
    <w:p w14:paraId="17125214" w14:textId="77777777" w:rsidR="00A8138F" w:rsidRDefault="00A8138F" w:rsidP="00A8138F">
      <w:pPr>
        <w:pStyle w:val="TextoNormal"/>
      </w:pPr>
      <w:r>
        <w:t>Después de exponer unas consideraciones previas sobre el objeto del recurso de inconstitucionalidad y transcribir los preceptos impugnados, la demanda expone los motivos de impugnación en los que se fundamenta y que, sintéticamente, son los siguientes.</w:t>
      </w:r>
    </w:p>
    <w:p w14:paraId="15E7BA31" w14:textId="77777777" w:rsidR="00A8138F" w:rsidRDefault="00A8138F" w:rsidP="00A8138F">
      <w:pPr>
        <w:pStyle w:val="TextoNormal"/>
      </w:pPr>
    </w:p>
    <w:p w14:paraId="55339C64" w14:textId="77777777" w:rsidR="00A8138F" w:rsidRDefault="00A8138F" w:rsidP="00A8138F">
      <w:pPr>
        <w:pStyle w:val="TextoNormal"/>
      </w:pPr>
      <w:r>
        <w:t>A) Flagrante desobediencia del legislador catalán a las SSTC 16/2021, de 28 de enero, y 28/2022, de 24 de febrero, que declaran inconstitucionales preceptos idénticos a los aquí impugnados. Señalan los demandantes que todos los poderes públicos, y también los órganos legislativos, están obligados a respetar y actuar conforme a la Constitución y a la doctrina del Tribunal Constitucional, sin que pueda consentirse que actúen en contraposición a ella, promulgando legislación que altere el orden constitucional y estatutario de competencias y provoque diferencias de trato entre los españoles lesionando derechos fundamentales de los ciudadanos.</w:t>
      </w:r>
    </w:p>
    <w:p w14:paraId="7A8B72F2" w14:textId="77777777" w:rsidR="00A8138F" w:rsidRDefault="00A8138F" w:rsidP="00A8138F">
      <w:pPr>
        <w:pStyle w:val="TextoNormal"/>
      </w:pPr>
    </w:p>
    <w:p w14:paraId="7D23CD5C" w14:textId="77777777" w:rsidR="00A8138F" w:rsidRDefault="00A8138F" w:rsidP="00A8138F">
      <w:pPr>
        <w:pStyle w:val="TextoNormal"/>
      </w:pPr>
      <w:r>
        <w:t>El recurso destaca que el propio preámbulo de la Ley del Parlamento de Cataluña 1/2022 (en adelante, Ley 1/2022) reconoce que se recuperan los preceptos del Decreto-ley del Gobierno de la Generalitat de Cataluña 17/2019 (en adelante, Decreto-ley 17/2019) declarados inconstitucionales por la STC 16/2021. Al decir de la demanda, si bien la declaración de inconstitucionalidad y nulidad de los preceptos del Decreto-ley /2019 que contiene la STC 16/2021, FJ 5, se basa en la afectación del derecho de propiedad (art. 33 CE) en forma contraria a los arts. 86.1 CE y 64.1 del Estatuto de Autonomía de Cataluña (en adelante, EAC), es decir, por infracción de los límites materiales que el decreto-ley ha de respetar, los argumentos que utilizó el tribunal en dicha sentencia evidenciaban la infracción constitucional en que incurren los preceptos aquí recurridos, en cuanto que trasgreden el contenido esencial del derecho de propiedad y quebrantan la distribución competencial y estatutariamente establecida.</w:t>
      </w:r>
    </w:p>
    <w:p w14:paraId="109800F6" w14:textId="77777777" w:rsidR="00A8138F" w:rsidRDefault="00A8138F" w:rsidP="00A8138F">
      <w:pPr>
        <w:pStyle w:val="TextoNormal"/>
      </w:pPr>
    </w:p>
    <w:p w14:paraId="61D7E8F1" w14:textId="77777777" w:rsidR="00A8138F" w:rsidRDefault="00A8138F" w:rsidP="00A8138F">
      <w:pPr>
        <w:pStyle w:val="TextoNormal"/>
      </w:pPr>
      <w:r>
        <w:t>Por su parte, alega que la STC 28/2022 declaró inconstitucionales y nulos los apartados 1, 2 y 3 del Decreto-ley del Gobierno de la Generalitat de Cataluña 37/2020, de 3 de noviembre, de refuerzo de la protección del derecho a la vivienda ante los efectos de la pandemia de la covid-19, por invadir la competencia del estado sobre legislación procesal (art. 149.1.16 CE), en un razonamiento que es extrapolable a la disposición adicional primera de la Ley del Parlamento de Cataluña 24/2015, de 29 de julio, de medidas urgentes para afrontar la emergencia en el ámbito de la vivienda y la pobreza energética (en adelante, Ley 24/2015), aquí impugnada.</w:t>
      </w:r>
    </w:p>
    <w:p w14:paraId="143F6FC4" w14:textId="77777777" w:rsidR="00A8138F" w:rsidRDefault="00A8138F" w:rsidP="00A8138F">
      <w:pPr>
        <w:pStyle w:val="TextoNormal"/>
      </w:pPr>
    </w:p>
    <w:p w14:paraId="3A953F8A" w14:textId="77777777" w:rsidR="00A8138F" w:rsidRDefault="00A8138F" w:rsidP="00A8138F">
      <w:pPr>
        <w:pStyle w:val="TextoNormal"/>
      </w:pPr>
      <w:r>
        <w:t>B) Vulneración de los límites de los límites en relación con el derecho de propiedad (art. 53.1 CE). La demanda señala que, conforme a la doctrina del Tribunal Europeo de Derechos Humanos y del Tribunal Constitucional, las injerencias en el derecho de propiedad deben cumplir tres requisitos: previsión legal (con los necesarios requisitos de calidad de la ley, es decir, accesibilidad, precisión y previsibilidad en su aplicación), finalidad legítima y existencia de un justo equilibrio.</w:t>
      </w:r>
    </w:p>
    <w:p w14:paraId="1E91E37C" w14:textId="77777777" w:rsidR="00A8138F" w:rsidRDefault="00A8138F" w:rsidP="00A8138F">
      <w:pPr>
        <w:pStyle w:val="TextoNormal"/>
      </w:pPr>
    </w:p>
    <w:p w14:paraId="6DE2287F" w14:textId="77777777" w:rsidR="00A8138F" w:rsidRDefault="00A8138F" w:rsidP="00A8138F">
      <w:pPr>
        <w:pStyle w:val="TextoNormal"/>
      </w:pPr>
      <w:r>
        <w:t xml:space="preserve">A juicio de los recurrentes, lo más grave de la regulación introducida por la Ley 1/2022 es que somete toda la propiedad privada sobre la vivienda en Cataluña “al régimen específico propio de una tipología de vivienda: la de protección pública u oficial”. Esto supone “publificar” por vía normativa la totalidad de la propiedad privada inmobiliaria, como si </w:t>
      </w:r>
      <w:r>
        <w:lastRenderedPageBreak/>
        <w:t>esta hubiera sido adquirida “en el marco de una política social” y no mediante el exclusivo esfuerzo patrimonial del particular afectado.</w:t>
      </w:r>
    </w:p>
    <w:p w14:paraId="4B87DCA1" w14:textId="77777777" w:rsidR="00A8138F" w:rsidRDefault="00A8138F" w:rsidP="00A8138F">
      <w:pPr>
        <w:pStyle w:val="TextoNormal"/>
      </w:pPr>
    </w:p>
    <w:p w14:paraId="5CA3873A" w14:textId="77777777" w:rsidR="00A8138F" w:rsidRDefault="00A8138F" w:rsidP="00A8138F">
      <w:pPr>
        <w:pStyle w:val="TextoNormal"/>
      </w:pPr>
      <w:r>
        <w:t>a) Si bien la ley cumple el requisito de perseguir una finalidad legítima, como es atender al principio rector del derecho a disfrutar de una vivienda digna y adecuada (art. 47 CE), los recurrentes estiman que no se cumplen los requisitos de previsibilidad y certeza de la ley, porque la regulación de los arts. 1.1 y 7 de la Ley 1/2022, que modifican los arts. 5.2 b) y 126.5 de la Ley del Parlamento de Cataluña 18/2007, de 28 de diciembre, del derecho a la vivienda (en adelante, Ley 18/2007), introduce un factor de inseguridad jurídica difícilmente aceptable. Estos preceptos prescriben que la transmisión de la titularidad de la vivienda a una persona jurídica no altera la situación de eventual incumplimiento de la función social de la propiedad con lo que “introduce un elemento de inseguridad jurídica, en un sector tan relevante como el de la propiedad inmobiliaria, difícilmente compatible con los requerimientos de calidad de la ley, exigibles de acuerdo con la jurisprudencia del Tribunal Europeo de Derechos Humanos”.</w:t>
      </w:r>
    </w:p>
    <w:p w14:paraId="5785BB2C" w14:textId="77777777" w:rsidR="00A8138F" w:rsidRDefault="00A8138F" w:rsidP="00A8138F">
      <w:pPr>
        <w:pStyle w:val="TextoNormal"/>
      </w:pPr>
    </w:p>
    <w:p w14:paraId="0BCBD904" w14:textId="77777777" w:rsidR="00A8138F" w:rsidRDefault="00A8138F" w:rsidP="00A8138F">
      <w:pPr>
        <w:pStyle w:val="TextoNormal"/>
      </w:pPr>
      <w:r>
        <w:t>Estas previsiones también vulneran la competencia exclusiva estatal de ordenación de los registros públicos (art. 149.1.18 CE). Y, en fin, recuerdan los demandantes que estos arts. reproducen la redacción de los arts. 2.2 y 2.10 del Decreto-ley 17/2019, declarados inconstitucionales por la STC 16/2021.</w:t>
      </w:r>
    </w:p>
    <w:p w14:paraId="11FCB439" w14:textId="77777777" w:rsidR="00A8138F" w:rsidRDefault="00A8138F" w:rsidP="00A8138F">
      <w:pPr>
        <w:pStyle w:val="TextoNormal"/>
      </w:pPr>
    </w:p>
    <w:p w14:paraId="285514C9" w14:textId="77777777" w:rsidR="00A8138F" w:rsidRDefault="00A8138F" w:rsidP="00A8138F">
      <w:pPr>
        <w:pStyle w:val="TextoNormal"/>
      </w:pPr>
      <w:r>
        <w:t>b) De acuerdo con el art. 33.2 CE, la función social del derecho a la propiedad y a la herencia delimitará su contenido, de acuerdo con las leyes. Ahora bien, a juicio de los recurrentes, el contenido esencial del derecho de propiedad es el límite que no pueden traspasar ni el legislador estatal ni el autonómico, ni siquiera invocando las exigencias de la función social. Y este contenido esencial garantiza un espacio de utilidad meramente individual que permita que aquello que denominamos como propiedad privada siga siendo reconocible como tal.</w:t>
      </w:r>
    </w:p>
    <w:p w14:paraId="41641302" w14:textId="77777777" w:rsidR="00A8138F" w:rsidRDefault="00A8138F" w:rsidP="00A8138F">
      <w:pPr>
        <w:pStyle w:val="TextoNormal"/>
      </w:pPr>
    </w:p>
    <w:p w14:paraId="0549BCD3" w14:textId="77777777" w:rsidR="00A8138F" w:rsidRDefault="00A8138F" w:rsidP="00A8138F">
      <w:pPr>
        <w:pStyle w:val="TextoNormal"/>
      </w:pPr>
      <w:r>
        <w:t>Pues bien, según la demanda, la Ley 1/2022 concibe el derecho de propiedad privada sobre la vivienda como un derecho total y absolutamente subordinado al principio rector consagrado en el art. 47 CE. La regulación impugnada hace desaparecer el haz de facultades individuales del propietario y la propiedad de la vivienda queda completamente subordinada a la obligación de su ocupación, olvidando que la vivienda es un instrumento esencial del ahorro personal y familiar. Esta dimensión de la propiedad queda completamente cercenada por la regulación recurrida. Las medidas impugnadas suponen ignorar el contenido esencial del derecho de propiedad, en cuando implica imponer una carga desproporcionada al propietario ya sea este persona física o jurídica.</w:t>
      </w:r>
    </w:p>
    <w:p w14:paraId="67339EBD" w14:textId="77777777" w:rsidR="00A8138F" w:rsidRDefault="00A8138F" w:rsidP="00A8138F">
      <w:pPr>
        <w:pStyle w:val="TextoNormal"/>
      </w:pPr>
    </w:p>
    <w:p w14:paraId="1A5EF763" w14:textId="77777777" w:rsidR="00A8138F" w:rsidRDefault="00A8138F" w:rsidP="00A8138F">
      <w:pPr>
        <w:pStyle w:val="TextoNormal"/>
      </w:pPr>
      <w:r>
        <w:t>Por esta razón resultan “palmariamente inconstitucionales” los siguientes preceptos de la Ley 1/2022, que además afirma que presentan idéntica redacción a los artículos del Decreto-ley 17/2019 declarados inconstitucionales por la STC 16/2021:</w:t>
      </w:r>
    </w:p>
    <w:p w14:paraId="2581C7AA" w14:textId="77777777" w:rsidR="00A8138F" w:rsidRDefault="00A8138F" w:rsidP="00A8138F">
      <w:pPr>
        <w:pStyle w:val="TextoNormal"/>
      </w:pPr>
    </w:p>
    <w:p w14:paraId="5F3E7E49" w14:textId="77777777" w:rsidR="00A8138F" w:rsidRDefault="00A8138F" w:rsidP="00A8138F">
      <w:pPr>
        <w:pStyle w:val="TextoNormal"/>
      </w:pPr>
      <w:r>
        <w:t>- 1.1 y 1.2, que coinciden con los arts. 2.2 y 2.3 del Decreto-ley 17/2019;</w:t>
      </w:r>
    </w:p>
    <w:p w14:paraId="69E89309" w14:textId="77777777" w:rsidR="00A8138F" w:rsidRDefault="00A8138F" w:rsidP="00A8138F">
      <w:pPr>
        <w:pStyle w:val="TextoNormal"/>
      </w:pPr>
    </w:p>
    <w:p w14:paraId="19B9331D" w14:textId="77777777" w:rsidR="00A8138F" w:rsidRDefault="00A8138F" w:rsidP="00A8138F">
      <w:pPr>
        <w:pStyle w:val="TextoNormal"/>
      </w:pPr>
      <w:r>
        <w:t>- 1.4 y 2 que presentan idéntica redacción a los apartados 4 y 7 del art. 2 del Decreto-ley 17/2019;</w:t>
      </w:r>
    </w:p>
    <w:p w14:paraId="754CC6C6" w14:textId="77777777" w:rsidR="00A8138F" w:rsidRDefault="00A8138F" w:rsidP="00A8138F">
      <w:pPr>
        <w:pStyle w:val="TextoNormal"/>
      </w:pPr>
    </w:p>
    <w:p w14:paraId="4290048D" w14:textId="77777777" w:rsidR="00A8138F" w:rsidRDefault="00A8138F" w:rsidP="00A8138F">
      <w:pPr>
        <w:pStyle w:val="TextoNormal"/>
      </w:pPr>
      <w:r>
        <w:lastRenderedPageBreak/>
        <w:t>- 1.3, que reproduce el art. 4.2 del Decreto-ley 17/2019;</w:t>
      </w:r>
    </w:p>
    <w:p w14:paraId="1337CFEB" w14:textId="77777777" w:rsidR="00A8138F" w:rsidRDefault="00A8138F" w:rsidP="00A8138F">
      <w:pPr>
        <w:pStyle w:val="TextoNormal"/>
      </w:pPr>
    </w:p>
    <w:p w14:paraId="56D5BE65" w14:textId="77777777" w:rsidR="00A8138F" w:rsidRDefault="00A8138F" w:rsidP="00A8138F">
      <w:pPr>
        <w:pStyle w:val="TextoNormal"/>
      </w:pPr>
      <w:r>
        <w:t>- 1.5, que reproduce la redacción del art. 2.5 del Decreto-ley 17/2019;</w:t>
      </w:r>
    </w:p>
    <w:p w14:paraId="5B9A8CBF" w14:textId="77777777" w:rsidR="00A8138F" w:rsidRDefault="00A8138F" w:rsidP="00A8138F">
      <w:pPr>
        <w:pStyle w:val="TextoNormal"/>
      </w:pPr>
    </w:p>
    <w:p w14:paraId="1B93DAF3" w14:textId="77777777" w:rsidR="00A8138F" w:rsidRDefault="00A8138F" w:rsidP="00A8138F">
      <w:pPr>
        <w:pStyle w:val="TextoNormal"/>
      </w:pPr>
      <w:r>
        <w:t>- 4, que recupera la redacción del art. 2.11 del Decreto-ley 17/2019;</w:t>
      </w:r>
    </w:p>
    <w:p w14:paraId="3F458385" w14:textId="77777777" w:rsidR="00A8138F" w:rsidRDefault="00A8138F" w:rsidP="00A8138F">
      <w:pPr>
        <w:pStyle w:val="TextoNormal"/>
      </w:pPr>
    </w:p>
    <w:p w14:paraId="12353957" w14:textId="77777777" w:rsidR="00A8138F" w:rsidRDefault="00A8138F" w:rsidP="00A8138F">
      <w:pPr>
        <w:pStyle w:val="TextoNormal"/>
      </w:pPr>
      <w:r>
        <w:t>- 5, cuyo contenido coincide con el art. 2.12 del Decreto-ley 17/2019;</w:t>
      </w:r>
    </w:p>
    <w:p w14:paraId="663BFFEF" w14:textId="77777777" w:rsidR="00A8138F" w:rsidRDefault="00A8138F" w:rsidP="00A8138F">
      <w:pPr>
        <w:pStyle w:val="TextoNormal"/>
      </w:pPr>
    </w:p>
    <w:p w14:paraId="1DC5F20C" w14:textId="77777777" w:rsidR="00A8138F" w:rsidRDefault="00A8138F" w:rsidP="00A8138F">
      <w:pPr>
        <w:pStyle w:val="TextoNormal"/>
      </w:pPr>
      <w:r>
        <w:t>- 6.2, idéntico al inconstitucional art. 4.5 del Decreto-ley 17/2019;</w:t>
      </w:r>
    </w:p>
    <w:p w14:paraId="28BEE426" w14:textId="77777777" w:rsidR="00A8138F" w:rsidRDefault="00A8138F" w:rsidP="00A8138F">
      <w:pPr>
        <w:pStyle w:val="TextoNormal"/>
      </w:pPr>
    </w:p>
    <w:p w14:paraId="3685D379" w14:textId="77777777" w:rsidR="00A8138F" w:rsidRDefault="00A8138F" w:rsidP="00A8138F">
      <w:pPr>
        <w:pStyle w:val="TextoNormal"/>
      </w:pPr>
      <w:r>
        <w:t>- 7, que rescata la redacción del art. 2.10 del Decreto-ley 17/2019;</w:t>
      </w:r>
    </w:p>
    <w:p w14:paraId="1540B80A" w14:textId="77777777" w:rsidR="00A8138F" w:rsidRDefault="00A8138F" w:rsidP="00A8138F">
      <w:pPr>
        <w:pStyle w:val="TextoNormal"/>
      </w:pPr>
    </w:p>
    <w:p w14:paraId="4946306C" w14:textId="77777777" w:rsidR="00A8138F" w:rsidRDefault="00A8138F" w:rsidP="00A8138F">
      <w:pPr>
        <w:pStyle w:val="TextoNormal"/>
      </w:pPr>
      <w:r>
        <w:t>- 10, que recupera la dicción del art. 5.5 del Decreto-ley 17/2019;</w:t>
      </w:r>
    </w:p>
    <w:p w14:paraId="6F0A4DBA" w14:textId="77777777" w:rsidR="00A8138F" w:rsidRDefault="00A8138F" w:rsidP="00A8138F">
      <w:pPr>
        <w:pStyle w:val="TextoNormal"/>
      </w:pPr>
    </w:p>
    <w:p w14:paraId="7980C513" w14:textId="77777777" w:rsidR="00A8138F" w:rsidRDefault="00A8138F" w:rsidP="00A8138F">
      <w:pPr>
        <w:pStyle w:val="TextoNormal"/>
      </w:pPr>
      <w:r>
        <w:t>- 11 y 12, que recuperan la redacción de los apartados 6 y 7 del art. 5 del Decreto-ley 17/2019;</w:t>
      </w:r>
    </w:p>
    <w:p w14:paraId="3A3B9AA9" w14:textId="77777777" w:rsidR="00A8138F" w:rsidRDefault="00A8138F" w:rsidP="00A8138F">
      <w:pPr>
        <w:pStyle w:val="TextoNormal"/>
      </w:pPr>
    </w:p>
    <w:p w14:paraId="40FDBF88" w14:textId="77777777" w:rsidR="00A8138F" w:rsidRDefault="00A8138F" w:rsidP="00A8138F">
      <w:pPr>
        <w:pStyle w:val="TextoNormal"/>
      </w:pPr>
      <w:r>
        <w:t>- 15.1, que reproduce la redacción del art. 6.3 del Decreto-ley 17/2019;</w:t>
      </w:r>
    </w:p>
    <w:p w14:paraId="423A134B" w14:textId="77777777" w:rsidR="00A8138F" w:rsidRDefault="00A8138F" w:rsidP="00A8138F">
      <w:pPr>
        <w:pStyle w:val="TextoNormal"/>
      </w:pPr>
    </w:p>
    <w:p w14:paraId="124D8A01" w14:textId="77777777" w:rsidR="00A8138F" w:rsidRDefault="00A8138F" w:rsidP="00A8138F">
      <w:pPr>
        <w:pStyle w:val="TextoNormal"/>
      </w:pPr>
      <w:r>
        <w:t>- y la disposición transitoria que recupera la redacción de la disposición transitoria primera del Decreto-ley 17/2019.</w:t>
      </w:r>
    </w:p>
    <w:p w14:paraId="6C440818" w14:textId="77777777" w:rsidR="00A8138F" w:rsidRDefault="00A8138F" w:rsidP="00A8138F">
      <w:pPr>
        <w:pStyle w:val="TextoNormal"/>
      </w:pPr>
    </w:p>
    <w:p w14:paraId="3BC5C493" w14:textId="77777777" w:rsidR="00A8138F" w:rsidRDefault="00A8138F" w:rsidP="00A8138F">
      <w:pPr>
        <w:pStyle w:val="TextoNormal"/>
      </w:pPr>
      <w:r>
        <w:t>En definitiva, agrupándolos en bloques, la demanda estima que estos artículos vulneran el contenido esencial del derecho de propiedad: (i) por equiparar la propiedad privada con el régimen de las de protección oficial, considerando como único uso admisible el de la ocupación permanente (arts. 1.1, 1.2, 1.4, 2 y 15.1); (ii) por trasladar al propietario la obligación de ofrecer al arrendatario una propuesta de alquiler social, antes del ejercicio de acciones judiciales (arts. 1.3, 6.2, 11, 12 y disposición transitoria); y (iii) por sancionar el incumplimiento del único uso que la Ley 1/2022 considera admisible con duras consecuencias (arts. 1.5, 4, 5, 6.2, 7 y 15.4).</w:t>
      </w:r>
    </w:p>
    <w:p w14:paraId="4D14E05F" w14:textId="77777777" w:rsidR="00A8138F" w:rsidRDefault="00A8138F" w:rsidP="00A8138F">
      <w:pPr>
        <w:pStyle w:val="TextoNormal"/>
      </w:pPr>
    </w:p>
    <w:p w14:paraId="264FC3F3" w14:textId="77777777" w:rsidR="00A8138F" w:rsidRDefault="00A8138F" w:rsidP="00A8138F">
      <w:pPr>
        <w:pStyle w:val="TextoNormal"/>
      </w:pPr>
      <w:r>
        <w:t>c) Acto seguido, expone las razones por las que estima que estas injerencias sobre el derecho de propiedad no respetan el principio de proporcionalidad:</w:t>
      </w:r>
    </w:p>
    <w:p w14:paraId="3F1C514A" w14:textId="77777777" w:rsidR="00A8138F" w:rsidRDefault="00A8138F" w:rsidP="00A8138F">
      <w:pPr>
        <w:pStyle w:val="TextoNormal"/>
      </w:pPr>
    </w:p>
    <w:p w14:paraId="11AD42A4" w14:textId="77777777" w:rsidR="00A8138F" w:rsidRDefault="00A8138F" w:rsidP="00A8138F">
      <w:pPr>
        <w:pStyle w:val="TextoNormal"/>
      </w:pPr>
      <w:r>
        <w:t>(i) Con cita de la STC 93/2015, de 14 de mayo, FJ 13, alegan que es dudoso que las injerencias en el derecho de propiedad inmobiliaria impuestas por la Ley 1/2022 sean adecuadas o idóneas para conseguir la finalidad de aumentar el parque de viviendas privadas en alquiler.</w:t>
      </w:r>
    </w:p>
    <w:p w14:paraId="0A2E3905" w14:textId="77777777" w:rsidR="00A8138F" w:rsidRDefault="00A8138F" w:rsidP="00A8138F">
      <w:pPr>
        <w:pStyle w:val="TextoNormal"/>
      </w:pPr>
    </w:p>
    <w:p w14:paraId="3FA6424D" w14:textId="77777777" w:rsidR="00A8138F" w:rsidRDefault="00A8138F" w:rsidP="00A8138F">
      <w:pPr>
        <w:pStyle w:val="TextoNormal"/>
      </w:pPr>
      <w:r>
        <w:t>(ii) Las medidas impugnadas no superan el juicio de necesidad porque existen otras medidas más moderadas en la intromisión en el derecho de propiedad, pero con una superior eficacia para conseguir la finalidad perseguida. Aquí hace referencia a las medidas aprobadas por Real Decreto-Ley 7/2019, de 9 de marzo, de medidas urgentes en materia de vivienda y alquiler, tales como la regulación de un recargo previsto para los inmuebles urbanos desocupados con carácter permanente, bonificaciones fiscales para inmuebles destinados al alquiler de vivienda con renta limitada y la mejora de la fiscalidad del arrendamiento de viviendas.</w:t>
      </w:r>
    </w:p>
    <w:p w14:paraId="068DD6CB" w14:textId="77777777" w:rsidR="00A8138F" w:rsidRDefault="00A8138F" w:rsidP="00A8138F">
      <w:pPr>
        <w:pStyle w:val="TextoNormal"/>
      </w:pPr>
    </w:p>
    <w:p w14:paraId="0B26B051" w14:textId="77777777" w:rsidR="00A8138F" w:rsidRDefault="00A8138F" w:rsidP="00A8138F">
      <w:pPr>
        <w:pStyle w:val="TextoNormal"/>
      </w:pPr>
      <w:r>
        <w:lastRenderedPageBreak/>
        <w:t xml:space="preserve">(iii) Finalmente, resulta absolutamente desproporcionado que la desocupación o “utilización anómala” de una vivienda de propiedad privada, en los términos de los nuevos arts. 5.2 b), d) y f), y 41.1 a) de la Ley 18/2007, pueda suponer para cualquier propietario privado el inicio de un expediente sancionador por infracción muy grave [art. 123.1 h) 18/2007] o grave [124.2 j) de la Ley 18/2007], la imposición de importantes multas coercitivas (art. 113.2 </w:t>
      </w:r>
      <w:r w:rsidRPr="00A8138F">
        <w:rPr>
          <w:i/>
        </w:rPr>
        <w:t>bis</w:t>
      </w:r>
      <w:r>
        <w:t xml:space="preserve"> de la Ley 18/2007) e incluso la expropiación de la propiedad privada, con la previsión absolutamente vulneradora del art. 33 CE de que “el contenido del derecho de propiedad se reduce en un 50 por 100 de su valor, cuya diferencia corresponde a la administración expropiante” (art. 15.4 de la Ley del Parlamento de Cataluña 4/2016, de 23 de diciembre, de medidas de protección del derecho a la vivienda de las personas en riesgo de exclusión residencial: en adelante, Ley 4/2016).</w:t>
      </w:r>
    </w:p>
    <w:p w14:paraId="469C62D2" w14:textId="77777777" w:rsidR="00A8138F" w:rsidRDefault="00A8138F" w:rsidP="00A8138F">
      <w:pPr>
        <w:pStyle w:val="TextoNormal"/>
      </w:pPr>
    </w:p>
    <w:p w14:paraId="3C9EAA62" w14:textId="77777777" w:rsidR="00A8138F" w:rsidRDefault="00A8138F" w:rsidP="00A8138F">
      <w:pPr>
        <w:pStyle w:val="TextoNormal"/>
      </w:pPr>
      <w:r>
        <w:t>De este modo, desde esta perspectiva de la proporcionalidad, son inconstitucionales las potestades de carácter coactivo que desencadena la declaración de incumplimiento de la función social de la vivienda que pueden ser de tres tipos: (i) requerimientos para que se ocupe legal y efectivamente la vivienda con el fin de que constituya la residencia de personas (arts. 1.5, 3 y 4 de la Ley 1/2022), cuyo incumplimiento es constitutivo de infracción muy grave (art. 5 de la Ley 1/2022); (ii) la ejecución forzosa del requerimiento mediante multa coercitiva por un importe de 1000 € por cada vivienda por lapsos de tiempo de un mes mientras permanezcan desocupados, con un importe máximo total del 50 por 100 del precio estimado de la vivienda (arts. 3 y 4 de la Ley 1/2022); y (iii) la expropiación de la vivienda (arts.1.4 y 5 de la Ley 1/2022) o la cesión obligatoria de uso por siete años (art. 10 de la Ley 1/2022).</w:t>
      </w:r>
    </w:p>
    <w:p w14:paraId="1AACD531" w14:textId="77777777" w:rsidR="00A8138F" w:rsidRDefault="00A8138F" w:rsidP="00A8138F">
      <w:pPr>
        <w:pStyle w:val="TextoNormal"/>
      </w:pPr>
    </w:p>
    <w:p w14:paraId="382BB5D9" w14:textId="77777777" w:rsidR="00A8138F" w:rsidRDefault="00A8138F" w:rsidP="00A8138F">
      <w:pPr>
        <w:pStyle w:val="TextoNormal"/>
      </w:pPr>
      <w:r>
        <w:t>C) Inconstitucionalidad de los preceptos impugnados por vulneración de los títulos competenciales que al Estado atribuyen los apartados 1, 6, 8 y 18 del art. 149.1 CE y por infracción de los derechos consagrados en los arts. 10, 14, 24, 33 y 139.1 CE.</w:t>
      </w:r>
    </w:p>
    <w:p w14:paraId="2176706D" w14:textId="77777777" w:rsidR="00A8138F" w:rsidRDefault="00A8138F" w:rsidP="00A8138F">
      <w:pPr>
        <w:pStyle w:val="TextoNormal"/>
      </w:pPr>
    </w:p>
    <w:p w14:paraId="619398AD" w14:textId="77777777" w:rsidR="00A8138F" w:rsidRDefault="00A8138F" w:rsidP="00A8138F">
      <w:pPr>
        <w:pStyle w:val="TextoNormal"/>
      </w:pPr>
      <w:r>
        <w:t xml:space="preserve">a) La demanda comienza examinando la vulneración del art. 149.1.1 CE, en relación con los arts. 14, 33 y 139.1 CE. A juicio de los recurrentes, la regulación del contenido básico del derecho de propiedad del que forman parte los deberes dimanantes de la función social corresponde al Estado de acuerdo con el art. 149.1.1 CE. Por lo tanto, la regulación </w:t>
      </w:r>
      <w:r w:rsidRPr="00A8138F">
        <w:rPr>
          <w:i/>
        </w:rPr>
        <w:t>ex novo</w:t>
      </w:r>
      <w:r>
        <w:t xml:space="preserve"> de los deberes dimanantes de la función social del derecho de propiedad y de las medidas aplicables en caso de incumplimiento de tales deberes solo corresponde al Estado. Sin embargo, la Ley 1/2022:</w:t>
      </w:r>
    </w:p>
    <w:p w14:paraId="36902E0A" w14:textId="77777777" w:rsidR="00A8138F" w:rsidRDefault="00A8138F" w:rsidP="00A8138F">
      <w:pPr>
        <w:pStyle w:val="TextoNormal"/>
      </w:pPr>
    </w:p>
    <w:p w14:paraId="2BEEE40B" w14:textId="77777777" w:rsidR="00A8138F" w:rsidRDefault="00A8138F" w:rsidP="00A8138F">
      <w:pPr>
        <w:pStyle w:val="TextoNormal"/>
      </w:pPr>
      <w:r>
        <w:t>(i) Introduce un deber fundamental para todo propietario de una vivienda sita en Cataluña, definiendo en paralelo las facultades que integran el derecho de propiedad.</w:t>
      </w:r>
    </w:p>
    <w:p w14:paraId="0E445506" w14:textId="77777777" w:rsidR="00A8138F" w:rsidRDefault="00A8138F" w:rsidP="00A8138F">
      <w:pPr>
        <w:pStyle w:val="TextoNormal"/>
      </w:pPr>
    </w:p>
    <w:p w14:paraId="766DDE4C" w14:textId="77777777" w:rsidR="00A8138F" w:rsidRDefault="00A8138F" w:rsidP="00A8138F">
      <w:pPr>
        <w:pStyle w:val="TextoNormal"/>
      </w:pPr>
      <w:r>
        <w:t>(ii) Implica la conversión en semipúblico de toda una categoría de bienes, a saber, las viviendas sitas en Cataluña que, a pesar de ser de propiedad privada, pasar a esta sometidas al estatuto de las viviendas de protección oficial.</w:t>
      </w:r>
    </w:p>
    <w:p w14:paraId="4D255F69" w14:textId="77777777" w:rsidR="00A8138F" w:rsidRDefault="00A8138F" w:rsidP="00A8138F">
      <w:pPr>
        <w:pStyle w:val="TextoNormal"/>
      </w:pPr>
    </w:p>
    <w:p w14:paraId="4075CC5B" w14:textId="77777777" w:rsidR="00A8138F" w:rsidRDefault="00A8138F" w:rsidP="00A8138F">
      <w:pPr>
        <w:pStyle w:val="TextoNormal"/>
      </w:pPr>
      <w:r>
        <w:t>(iii) Define la función social de la propiedad privada de la vivienda, delimitando el contenido esencial del derecho de propiedad en sentido negativo y con un contenido divergente en una parte del territorio nacional, obviando la importancia que esto tiene en un país como el nuestro en que el ahorro personal y familiar se encuentra mayoritariamente en la propiedad inmobiliaria.</w:t>
      </w:r>
    </w:p>
    <w:p w14:paraId="2B1E77EB" w14:textId="77777777" w:rsidR="00A8138F" w:rsidRDefault="00A8138F" w:rsidP="00A8138F">
      <w:pPr>
        <w:pStyle w:val="TextoNormal"/>
      </w:pPr>
    </w:p>
    <w:p w14:paraId="4081B756" w14:textId="77777777" w:rsidR="00A8138F" w:rsidRDefault="00A8138F" w:rsidP="00A8138F">
      <w:pPr>
        <w:pStyle w:val="TextoNormal"/>
      </w:pPr>
      <w:r>
        <w:t>Por lo tanto, la vulneración del art. 149.1.1 CE, en relación con los arts. 14, 33 y 139.1 CE, conduce a la declaración de inconstitucionalidad de los arts. 1.1, 1.2, 1.3, 1.4, 1.5, 2, 4, 5, 7, 11, 12 y 15 (en relación con la redacción que otorga a los arts. 15.1 y 15.4 de la Ley 4/2016) de la Ley 1/2022.</w:t>
      </w:r>
    </w:p>
    <w:p w14:paraId="385A1014" w14:textId="77777777" w:rsidR="00A8138F" w:rsidRDefault="00A8138F" w:rsidP="00A8138F">
      <w:pPr>
        <w:pStyle w:val="TextoNormal"/>
      </w:pPr>
    </w:p>
    <w:p w14:paraId="7F10C518" w14:textId="77777777" w:rsidR="00A8138F" w:rsidRDefault="00A8138F" w:rsidP="00A8138F">
      <w:pPr>
        <w:pStyle w:val="TextoNormal"/>
      </w:pPr>
      <w:r>
        <w:t>b) La vulneración del art. 149.1.18 en relación con el art. 149.1.1 y el art. 33.3 CE, se denuncia en relación con el art. 15.4 de la Ley 1/2022; en concreto, en relación con el inciso en virtud del cual “el contenido del derecho de propiedad se reduce en un 50 por 100 de su valor, cuya diferencia corresponde a la administración expropiante”. Con cita de las SSTC 14/2007, de 18 de enero, y 143/2017, de 14 de diciembre, la demanda sostiene que es competencia exclusiva del Estado el establecimiento de las garantías del expropiado y, en particular, las reglas de valoración del derecho objeto de expropiación, incluso en las llamadas expropiaciones urbanísticas.</w:t>
      </w:r>
    </w:p>
    <w:p w14:paraId="05B6C7D4" w14:textId="77777777" w:rsidR="00A8138F" w:rsidRDefault="00A8138F" w:rsidP="00A8138F">
      <w:pPr>
        <w:pStyle w:val="TextoNormal"/>
      </w:pPr>
    </w:p>
    <w:p w14:paraId="56318F17" w14:textId="77777777" w:rsidR="00A8138F" w:rsidRDefault="00A8138F" w:rsidP="00A8138F">
      <w:pPr>
        <w:pStyle w:val="TextoNormal"/>
      </w:pPr>
      <w:r>
        <w:t xml:space="preserve">c) Por su parte, el art. 149.1.6 CE (competencia exclusiva estatal sobre legislación procesal), en relación con los arts. 10, 24, 38 y 118 CE, se vulnera por los artículos siguientes: (i) el art. 11 de la Ley 1/2022, que recupera la redacción del art. 10 de la Ley 24/2015, declarada inconstitucional por la STC 16/2021; (ii) el art. 12, cuyo apartado 1 tiene el mismo tenor que el art. 5.7 del Decreto-ley 17/2019, declarado inconstitucional por la STC 16/2021, y cuyo apartado 2 reproduce el apartado 1 </w:t>
      </w:r>
      <w:r w:rsidRPr="00A8138F">
        <w:rPr>
          <w:i/>
        </w:rPr>
        <w:t>bis</w:t>
      </w:r>
      <w:r>
        <w:t xml:space="preserve"> de la disposición adicional primera de la Ley 24/2015, declarado inconstitucional por la STC 28/2022; y la disposición transitoria de la Ley 1/2022, que reproduce el contenido de la disposición transitoria primera del Decreto-ley 17/2019, declarada inconstitucional por la STC 16/2021.</w:t>
      </w:r>
    </w:p>
    <w:p w14:paraId="51C3DBD1" w14:textId="77777777" w:rsidR="00A8138F" w:rsidRDefault="00A8138F" w:rsidP="00A8138F">
      <w:pPr>
        <w:pStyle w:val="TextoNormal"/>
      </w:pPr>
    </w:p>
    <w:p w14:paraId="384A4BAB" w14:textId="77777777" w:rsidR="00A8138F" w:rsidRDefault="00A8138F" w:rsidP="00A8138F">
      <w:pPr>
        <w:pStyle w:val="TextoNormal"/>
      </w:pPr>
      <w:r>
        <w:t>Se trata de normas procesales, sin que exista especialidad material autonómica que permita justificar una incidencia tan intensa en el ejercicio del derecho de acceso a la jurisdicción.</w:t>
      </w:r>
    </w:p>
    <w:p w14:paraId="3084B3A4" w14:textId="77777777" w:rsidR="00A8138F" w:rsidRDefault="00A8138F" w:rsidP="00A8138F">
      <w:pPr>
        <w:pStyle w:val="TextoNormal"/>
      </w:pPr>
    </w:p>
    <w:p w14:paraId="006D6339" w14:textId="77777777" w:rsidR="00A8138F" w:rsidRDefault="00A8138F" w:rsidP="00A8138F">
      <w:pPr>
        <w:pStyle w:val="TextoNormal"/>
      </w:pPr>
      <w:r>
        <w:t>Además, establecer como requisito de procedibilidad de las demandas de recuperación posesoria el previo ofrecimiento de un alquiler social es irrazonable y desproporcionado y vulnera, por ello, el art. 24.1 CE, por suponer una restricción desproporcionada para acceder a la tutela de los tribunales de justicia. También afirma la demanda que “es contraria al principio de autonomía de la voluntad, y a su fundamento constitucional, el libre desarrollo de la personalidad (art. 10 CE), el derecho a la libertad de empresa (art. 38 CE) y sin duda vulneradora de principio de plenitud jurisdiccional (art. 118 CE)”.</w:t>
      </w:r>
    </w:p>
    <w:p w14:paraId="0E29FB8D" w14:textId="77777777" w:rsidR="00A8138F" w:rsidRDefault="00A8138F" w:rsidP="00A8138F">
      <w:pPr>
        <w:pStyle w:val="TextoNormal"/>
      </w:pPr>
    </w:p>
    <w:p w14:paraId="64C0B65A" w14:textId="77777777" w:rsidR="00A8138F" w:rsidRDefault="00A8138F" w:rsidP="00A8138F">
      <w:pPr>
        <w:pStyle w:val="TextoNormal"/>
      </w:pPr>
      <w:r>
        <w:t>d) Finalmente, se alega la infracción del art. 149.1.8 en relación con el art. 9.3 CE por parte de los arts. 1.1 y 7 de la Ley 1/2022, que dan nueva redacción a los arts. 5.2 b) y 126.5 de la Ley 18/2007. Según la demanda “la nueva carga que la Ley 1/2022 impone al propietario de la vivienda, cuando es una persona jurídica, de ocupación y utilización no anómalas se constituye en una verdadera carga real —y no una simple obligación personal del propietario— que pesa sobre el derecho de propiedad inmobiliaria y, por ello, se transmite con la finca en cuestión, debiendo soportar dicha carga real el nuevo adquirente”.</w:t>
      </w:r>
    </w:p>
    <w:p w14:paraId="0CA70975" w14:textId="77777777" w:rsidR="00A8138F" w:rsidRDefault="00A8138F" w:rsidP="00A8138F">
      <w:pPr>
        <w:pStyle w:val="TextoNormal"/>
      </w:pPr>
    </w:p>
    <w:p w14:paraId="68788BD5" w14:textId="2FE8C408" w:rsidR="00A8138F" w:rsidRDefault="00A8138F" w:rsidP="00A8138F">
      <w:pPr>
        <w:pStyle w:val="TextoNormal"/>
      </w:pPr>
      <w:r>
        <w:t xml:space="preserve">Esto supone, a juicio de la demanda, una grave distorsión del principio de legitimación registral (art. 38 de la Ley hipotecaria), vulnerando la competencia exclusiva del Estado </w:t>
      </w:r>
      <w:r w:rsidRPr="00A8138F">
        <w:rPr>
          <w:i/>
        </w:rPr>
        <w:t>ex</w:t>
      </w:r>
      <w:r>
        <w:t xml:space="preserve"> </w:t>
      </w:r>
      <w:r>
        <w:lastRenderedPageBreak/>
        <w:t>art. 149.1.8 CE, que se extiende sobre la “ordenación de los registros e instrumentos públicos”, entre los que se incluye el registro de la propiedad.</w:t>
      </w:r>
    </w:p>
    <w:p w14:paraId="37FD4B80" w14:textId="77777777" w:rsidR="00A8138F" w:rsidRDefault="00A8138F" w:rsidP="00A8138F">
      <w:pPr>
        <w:pStyle w:val="TextoNormal"/>
      </w:pPr>
    </w:p>
    <w:p w14:paraId="1E8B300D" w14:textId="24EB79C5" w:rsidR="00A8138F" w:rsidRDefault="00A8138F" w:rsidP="00A8138F">
      <w:pPr>
        <w:pStyle w:val="TextoNormal"/>
      </w:pPr>
      <w:r w:rsidRPr="00A8138F">
        <w:rPr>
          <w:rStyle w:val="NumeroAFNegritaCaracter"/>
        </w:rPr>
        <w:t>2</w:t>
      </w:r>
      <w:r>
        <w:t>. Por providencia de 13 de septiembre de 2022, el Pleno del Tribunal Constitucional acordó admitir a trámite el recurso de inconstitucionalidad y dar traslado de la demanda y documentos presentados, conforme establece el art. 34 de la Ley Orgánica 2/1979, de 3 de octubre, del Tribunal Constitucional (LOTC), al Congreso de los Diputados y al Senado, por conducto de sus presidentes, al Gobierno, a través de la ministra de Justicia, así como al Parlamento de Cataluña y al Gobierno de la Generalitat de Cataluña, a través de sus presidentes, al objeto de que en el plazo de quince días pudieran personarse en el procedimiento y formular alegaciones. Asimismo, se acordó publicar la incoación del recurso en el “Boletín Oficial del Estado” y en el “Diari Oficial de la Generalitat de Catalunya”.</w:t>
      </w:r>
    </w:p>
    <w:p w14:paraId="5C739240" w14:textId="77777777" w:rsidR="00A8138F" w:rsidRDefault="00A8138F" w:rsidP="00A8138F">
      <w:pPr>
        <w:pStyle w:val="TextoNormal"/>
      </w:pPr>
    </w:p>
    <w:p w14:paraId="1FC6E48C" w14:textId="5B67B1C2" w:rsidR="00A8138F" w:rsidRDefault="00A8138F" w:rsidP="00A8138F">
      <w:pPr>
        <w:pStyle w:val="TextoNormal"/>
      </w:pPr>
      <w:r w:rsidRPr="00A8138F">
        <w:rPr>
          <w:rStyle w:val="NumeroAFNegritaCaracter"/>
        </w:rPr>
        <w:t>3</w:t>
      </w:r>
      <w:r>
        <w:t>. Mediante escrito presentado en este tribunal el 22 de septiembre de 2022, la presidenta del Congreso de los Diputados comunicó el acuerdo de la mesa de la Cámara de personarse en el procedimiento, ofreciendo su colaboración a los efectos del art. 88.1 LOTC.</w:t>
      </w:r>
    </w:p>
    <w:p w14:paraId="157812D2" w14:textId="77777777" w:rsidR="00A8138F" w:rsidRDefault="00A8138F" w:rsidP="00A8138F">
      <w:pPr>
        <w:pStyle w:val="TextoNormal"/>
      </w:pPr>
    </w:p>
    <w:p w14:paraId="7AE806AD" w14:textId="32551F3F" w:rsidR="00A8138F" w:rsidRDefault="00A8138F" w:rsidP="00A8138F">
      <w:pPr>
        <w:pStyle w:val="TextoNormal"/>
      </w:pPr>
      <w:r w:rsidRPr="00A8138F">
        <w:rPr>
          <w:rStyle w:val="NumeroAFNegritaCaracter"/>
        </w:rPr>
        <w:t>4</w:t>
      </w:r>
      <w:r>
        <w:t>. Por escrito registrado el 29 de septiembre de 2022, el presidente del Senado comunicó el acuerdo de la mesa de la Cámara de personarse en el procedimiento, ofreciendo su colaboración a los efectos del art. 88.1 LOTC.</w:t>
      </w:r>
    </w:p>
    <w:p w14:paraId="3EBC6CD4" w14:textId="77777777" w:rsidR="00A8138F" w:rsidRDefault="00A8138F" w:rsidP="00A8138F">
      <w:pPr>
        <w:pStyle w:val="TextoNormal"/>
      </w:pPr>
    </w:p>
    <w:p w14:paraId="0C4D0C2E" w14:textId="02D9062C" w:rsidR="00A8138F" w:rsidRDefault="00A8138F" w:rsidP="00A8138F">
      <w:pPr>
        <w:pStyle w:val="TextoNormal"/>
      </w:pPr>
      <w:r w:rsidRPr="00A8138F">
        <w:rPr>
          <w:rStyle w:val="NumeroAFNegritaCaracter"/>
        </w:rPr>
        <w:t>5</w:t>
      </w:r>
      <w:r>
        <w:t>. Por escrito presentado el 5 de octubre de 2022, la abogada de la Generalitat de Cataluña, se personó, en representación y defensa del Gobierno de la Generalitat de Cataluña, y solicitó la prórroga del plazo para formular alegaciones.</w:t>
      </w:r>
    </w:p>
    <w:p w14:paraId="4046FC53" w14:textId="77777777" w:rsidR="00A8138F" w:rsidRDefault="00A8138F" w:rsidP="00A8138F">
      <w:pPr>
        <w:pStyle w:val="TextoNormal"/>
      </w:pPr>
    </w:p>
    <w:p w14:paraId="15EF5ABF" w14:textId="1A78FB93" w:rsidR="00A8138F" w:rsidRDefault="00A8138F" w:rsidP="00A8138F">
      <w:pPr>
        <w:pStyle w:val="TextoNormal"/>
      </w:pPr>
      <w:r w:rsidRPr="00A8138F">
        <w:rPr>
          <w:rStyle w:val="NumeroAFNegritaCaracter"/>
        </w:rPr>
        <w:t>6</w:t>
      </w:r>
      <w:r>
        <w:t>. Mediante escrito presentado el 5 de octubre de 2022, la letrada del Parlamento de Cataluña, en representación y defensa de este, se personó en el procedimiento y solicitó la prórroga del plazo para formular alegaciones.</w:t>
      </w:r>
    </w:p>
    <w:p w14:paraId="7F383CF3" w14:textId="77777777" w:rsidR="00A8138F" w:rsidRDefault="00A8138F" w:rsidP="00A8138F">
      <w:pPr>
        <w:pStyle w:val="TextoNormal"/>
      </w:pPr>
    </w:p>
    <w:p w14:paraId="7A4DE05D" w14:textId="1A5BFED4" w:rsidR="00A8138F" w:rsidRDefault="00A8138F" w:rsidP="00A8138F">
      <w:pPr>
        <w:pStyle w:val="TextoNormal"/>
      </w:pPr>
      <w:r w:rsidRPr="00A8138F">
        <w:rPr>
          <w:rStyle w:val="NumeroAFNegritaCaracter"/>
        </w:rPr>
        <w:t>7</w:t>
      </w:r>
      <w:r>
        <w:t>. Por escrito presentado el 6 de octubre de 2022, el abogado del Estado se personó en el procedimiento, en la representación que legalmente ostenta del Gobierno de la Nación, y manifestó su intención de no formular alegaciones, al haberse iniciado un procedimiento de solución de discrepancias al amparo del art. 33.2 LOTC.</w:t>
      </w:r>
    </w:p>
    <w:p w14:paraId="33A3D044" w14:textId="77777777" w:rsidR="00A8138F" w:rsidRDefault="00A8138F" w:rsidP="00A8138F">
      <w:pPr>
        <w:pStyle w:val="TextoNormal"/>
      </w:pPr>
    </w:p>
    <w:p w14:paraId="067EA276" w14:textId="6D606602" w:rsidR="00A8138F" w:rsidRDefault="00A8138F" w:rsidP="00A8138F">
      <w:pPr>
        <w:pStyle w:val="TextoNormal"/>
      </w:pPr>
      <w:r w:rsidRPr="00A8138F">
        <w:rPr>
          <w:rStyle w:val="NumeroAFNegritaCaracter"/>
        </w:rPr>
        <w:t>8</w:t>
      </w:r>
      <w:r>
        <w:t>. Por diligencia de ordenación de 7 de octubre de 2022 se tuvo por personadas a la abogada de la Generalitat de Cataluña y a la letrada del Parlamento de Cataluña, en nombre del Gobierno de la Generalitat y del Parlamento de Cataluña, respectivamente, y se acordó prorrogar en ocho días el plazo concedido para formular alegaciones.</w:t>
      </w:r>
    </w:p>
    <w:p w14:paraId="0C48A549" w14:textId="77777777" w:rsidR="00A8138F" w:rsidRDefault="00A8138F" w:rsidP="00A8138F">
      <w:pPr>
        <w:pStyle w:val="TextoNormal"/>
      </w:pPr>
    </w:p>
    <w:p w14:paraId="44B82316" w14:textId="77777777" w:rsidR="00A8138F" w:rsidRDefault="00A8138F" w:rsidP="00A8138F">
      <w:pPr>
        <w:pStyle w:val="TextoNormal"/>
      </w:pPr>
      <w:r w:rsidRPr="00A8138F">
        <w:rPr>
          <w:rStyle w:val="NumeroAFNegritaCaracter"/>
        </w:rPr>
        <w:t>9</w:t>
      </w:r>
      <w:r>
        <w:t>. El 28 de octubre de 2022, la abogada de la Generalitat de Cataluña presentó su escrito de alegaciones, en el que solicitaba la íntegra desestimación del recurso de inconstitucionalidad.</w:t>
      </w:r>
    </w:p>
    <w:p w14:paraId="5B7F2BB1" w14:textId="77777777" w:rsidR="00A8138F" w:rsidRDefault="00A8138F" w:rsidP="00A8138F">
      <w:pPr>
        <w:pStyle w:val="TextoNormal"/>
      </w:pPr>
    </w:p>
    <w:p w14:paraId="6C1B0C1B" w14:textId="77777777" w:rsidR="00A8138F" w:rsidRDefault="00A8138F" w:rsidP="00A8138F">
      <w:pPr>
        <w:pStyle w:val="TextoNormal"/>
      </w:pPr>
      <w:r>
        <w:t xml:space="preserve">A) La abogada de la Generalitat de Catalunya comienza sus alegaciones situando la Ley 1/2022 en un contexto caracterizado por un incremento del número de personas desempleadas que no perciben ningún subsidio ni prestación, lo que ha tenido el consiguiente impacto </w:t>
      </w:r>
      <w:r>
        <w:lastRenderedPageBreak/>
        <w:t>en el ámbito de la vivienda y, en especial, en los lanzamientos derivados de ejecuciones hipotecarias y los desahucios por impago de las rentas del alquiler. A ello se añade el protagonismo de los fondos de inversión o grandes tenedores en el proceso de pérdida de vivienda habitual, ya que habían adquirido un el patrimonio inmobiliario de las entidades financieras rescatadas. En este sentido, destaca el elevado porcentaje de pisos vacíos y por estrenar en la Comunidad Autónoma de Cataluña, solo superado por la Comunidad Valenciana.</w:t>
      </w:r>
    </w:p>
    <w:p w14:paraId="433C2290" w14:textId="77777777" w:rsidR="00A8138F" w:rsidRDefault="00A8138F" w:rsidP="00A8138F">
      <w:pPr>
        <w:pStyle w:val="TextoNormal"/>
      </w:pPr>
    </w:p>
    <w:p w14:paraId="08C537EE" w14:textId="77777777" w:rsidR="00A8138F" w:rsidRDefault="00A8138F" w:rsidP="00A8138F">
      <w:pPr>
        <w:pStyle w:val="TextoNormal"/>
      </w:pPr>
      <w:r>
        <w:t>En este contexto de emergencia habitacional, la Generalitat dictó el Decreto-ley 17/2019, que fue declarado inconstitucional por la STC 16/2021, de 28 de enero, por considerar inadecuada la figura del decreto-ley para establecer regulaciones que afectan a contenidos esenciales del derecho de propiedad. Es por ello que, ante la persistencia de la crisis habitacional, el Parlamento de Cataluña ha optado por recuperar los artículos anulados por la STC 16/2021, mediante la aprobación de una ley formal, y todo ello en el ejercicio de la competencia en materia de vivienda (art. 137 EAC). En definitiva, la Ley 1/2022 tiene por objeto contribuir al cumplimiento del mandato que el art. 47 CE impone a los poderes públicos de dar efectividad al derecho de los ciudadanos a disfrutar de una vivienda digna y adecuada.</w:t>
      </w:r>
    </w:p>
    <w:p w14:paraId="31FA9EB8" w14:textId="77777777" w:rsidR="00A8138F" w:rsidRDefault="00A8138F" w:rsidP="00A8138F">
      <w:pPr>
        <w:pStyle w:val="TextoNormal"/>
      </w:pPr>
    </w:p>
    <w:p w14:paraId="2972940D" w14:textId="77777777" w:rsidR="00A8138F" w:rsidRDefault="00A8138F" w:rsidP="00A8138F">
      <w:pPr>
        <w:pStyle w:val="TextoNormal"/>
      </w:pPr>
      <w:r>
        <w:t>B) Acto seguido, procede a exponer las razones por las que la Ley 1/2022 se ampara en la competencia de la Generalitat en materia de vivienda (art. 137 EAC), con la finalidad de garantizar el derecho de los ciudadanos de Cataluña a disfrutar de una vivienda digna (arts. 47 CE y 26 y 47 EAC) y con pleno respeto al art. 33 CE y a la doctrina constitucional que lo interpreta.</w:t>
      </w:r>
    </w:p>
    <w:p w14:paraId="2F1BE076" w14:textId="77777777" w:rsidR="00A8138F" w:rsidRDefault="00A8138F" w:rsidP="00A8138F">
      <w:pPr>
        <w:pStyle w:val="TextoNormal"/>
      </w:pPr>
    </w:p>
    <w:p w14:paraId="023E5EE6" w14:textId="77777777" w:rsidR="00A8138F" w:rsidRDefault="00A8138F" w:rsidP="00A8138F">
      <w:pPr>
        <w:pStyle w:val="TextoNormal"/>
      </w:pPr>
      <w:r>
        <w:t>a) Para ello comienza haciendo unas consideraciones generales acerca del art. 47 CE, indicando que si bien tiene la naturaleza de principio rector de la política social y económica (art. 53.3 CE), ello no lo convierte en una norma jurídica sin contenido, sino que constituye un mandato de actuación dirigido a todos los poderes públicos en el ejercicio de sus respectivas competencias (STC 152/1988, de 20 de julio, FJ 2).</w:t>
      </w:r>
    </w:p>
    <w:p w14:paraId="6D40C272" w14:textId="77777777" w:rsidR="00A8138F" w:rsidRDefault="00A8138F" w:rsidP="00A8138F">
      <w:pPr>
        <w:pStyle w:val="TextoNormal"/>
      </w:pPr>
    </w:p>
    <w:p w14:paraId="0656DAA9" w14:textId="77777777" w:rsidR="00A8138F" w:rsidRDefault="00A8138F" w:rsidP="00A8138F">
      <w:pPr>
        <w:pStyle w:val="TextoNormal"/>
      </w:pPr>
      <w:r>
        <w:t>En cuanto al art. 33 CE, y con cita de las SSTC 37/1987, de 26 de marzo, y 154/2016, de 22 de septiembre, explica que no resulta forzosamente contraria al derecho de propiedad una regulación que restrinja o limite los derechos de los propietarios en atención a los intereses de la comunidad, sin que, por otro lado, las restricciones o limitaciones comporten que el referido derecho de propiedad quede desprovisto de las garantías reconocidas en el art. 33 CE. Alega también que la función social de la propiedad no se puede entender como un límite externo para la delimitación del derecho de propiedad, sino que es también una parte integrante de este: la utilidad individual y la función social definen de manera conjunta el contenido esencial del derecho de propiedad sobre cada categoría de bien.</w:t>
      </w:r>
    </w:p>
    <w:p w14:paraId="5E139D04" w14:textId="77777777" w:rsidR="00A8138F" w:rsidRDefault="00A8138F" w:rsidP="00A8138F">
      <w:pPr>
        <w:pStyle w:val="TextoNormal"/>
      </w:pPr>
    </w:p>
    <w:p w14:paraId="69E3337B" w14:textId="77777777" w:rsidR="00A8138F" w:rsidRDefault="00A8138F" w:rsidP="00A8138F">
      <w:pPr>
        <w:pStyle w:val="TextoNormal"/>
      </w:pPr>
      <w:r>
        <w:t xml:space="preserve">b) Desde la perspectiva competencial, señala que, por su objeto y finalidad, la Ley 1/2022 se encuadra en materia de vivienda y ha sido aprobada por la Generalitat en el ejercicio de su competencia </w:t>
      </w:r>
      <w:r w:rsidRPr="00A8138F">
        <w:rPr>
          <w:i/>
        </w:rPr>
        <w:t>ex</w:t>
      </w:r>
      <w:r>
        <w:t xml:space="preserve"> art. 137 EAC. Estima que la norma es plenamente respetuosa con las competencias estatales </w:t>
      </w:r>
      <w:r w:rsidRPr="00A8138F">
        <w:rPr>
          <w:i/>
        </w:rPr>
        <w:t>ex</w:t>
      </w:r>
      <w:r>
        <w:t xml:space="preserve"> arts. 149.1.1, 6 y 8 y que, contrariamente a lo que afirma la parte recurrente, la regulación no vulnera los arts. 9.3, 10, 24, 33, 38 y 118 CE.</w:t>
      </w:r>
    </w:p>
    <w:p w14:paraId="09FE1969" w14:textId="77777777" w:rsidR="00A8138F" w:rsidRDefault="00A8138F" w:rsidP="00A8138F">
      <w:pPr>
        <w:pStyle w:val="TextoNormal"/>
      </w:pPr>
    </w:p>
    <w:p w14:paraId="0DF5E9D3" w14:textId="77777777" w:rsidR="00A8138F" w:rsidRDefault="00A8138F" w:rsidP="00A8138F">
      <w:pPr>
        <w:pStyle w:val="TextoNormal"/>
      </w:pPr>
      <w:r>
        <w:t>c) Acto seguido se refiere a la STC 16/2021, explicando que dicha declaración de inconstitucionalidad no significa que la configuración constitucional del derecho de propiedad im</w:t>
      </w:r>
      <w:r>
        <w:lastRenderedPageBreak/>
        <w:t>pida al legislador restringir la amplitud de facultades de uso y disposición del propietario de la vivienda, sino que estas restricciones sobre el derecho de propiedad se han de hacer por ley (SSTC 93/2015, de 14 de mayo, 32/2018, de 12 de abril, y 80/2018, de 5 de julio). Por lo tanto, una ley formal como la impugnada no puede incurrir en el vicio de inconstitucionalidad que afectó al Decreto-ley 17/2019, precedente.</w:t>
      </w:r>
    </w:p>
    <w:p w14:paraId="6939B59B" w14:textId="77777777" w:rsidR="00A8138F" w:rsidRDefault="00A8138F" w:rsidP="00A8138F">
      <w:pPr>
        <w:pStyle w:val="TextoNormal"/>
      </w:pPr>
    </w:p>
    <w:p w14:paraId="3680DE2D" w14:textId="77777777" w:rsidR="00A8138F" w:rsidRDefault="00A8138F" w:rsidP="00A8138F">
      <w:pPr>
        <w:pStyle w:val="TextoNormal"/>
      </w:pPr>
      <w:r>
        <w:t>d) Por otra parte, efectúa varias consideraciones que deben extenderse a todas las impugnaciones de base competencial: (i) que el legislador autonómico es competente para delimitar la función social de la propiedad de la vivienda, en la medida en que ejerce su competencia exclusiva en esta materia, siempre dentro del marco de la Constitución y teniendo en cuenta que puede incidir o limitar las competencias autonómicas la regulación aprobada por el Estado el ejercicio de sus títulos competenciales exclusivos (arts. 149.1.1, 6 y 8 CE); (ii) que la vulneración del art. 149.1.1 CE, que se imputa a los arts. 1.1, 1.3, 2, 4, 5, 7, 11, 12 y la disposición transitoria, se basa en afirmaciones apodícticas y huérfanas de argumentación que las sustente; y (iii) en tanto no se haya dictado una legislación estatal en materia de vivienda, será difícil atribuir a la legislación autonómica una invasión competencial, ya que el art. 149.1.1 CE, más que delimitar un ámbito material excluyente de toda intervención autonómica, lo que contiene es una habilitación al Estado para que condicione, mediante el establecimiento de unas “condiciones básicas uniformes” esas competencias autonómicas con el objeto de garantizar la igualdad de todos los españoles en el ejercicio de sus derechos y en el cumplimiento de sus deberes constitucionales.</w:t>
      </w:r>
    </w:p>
    <w:p w14:paraId="6B3B2495" w14:textId="77777777" w:rsidR="00A8138F" w:rsidRDefault="00A8138F" w:rsidP="00A8138F">
      <w:pPr>
        <w:pStyle w:val="TextoNormal"/>
      </w:pPr>
    </w:p>
    <w:p w14:paraId="35D3ED2B" w14:textId="77777777" w:rsidR="00A8138F" w:rsidRDefault="00A8138F" w:rsidP="00A8138F">
      <w:pPr>
        <w:pStyle w:val="TextoNormal"/>
      </w:pPr>
      <w:r>
        <w:t xml:space="preserve">e) Por lo que se refiere al art. 149.1.8 CE, destaca que según el criterio de la STC 37/1987, la regulación de la dimensión institucional del derecho de propiedad privada, dado que no puede desligarse de la regulación de los concretos intereses generales que la justifican, incumbe al titular de la competencia sectorial para tutelar tales intereses y no al que lo es en materia de legislación civil </w:t>
      </w:r>
      <w:r w:rsidRPr="00A8138F">
        <w:rPr>
          <w:i/>
        </w:rPr>
        <w:t>ex</w:t>
      </w:r>
      <w:r>
        <w:t xml:space="preserve"> art. 149.1.8 CE.</w:t>
      </w:r>
    </w:p>
    <w:p w14:paraId="5A02BBA7" w14:textId="77777777" w:rsidR="00A8138F" w:rsidRDefault="00A8138F" w:rsidP="00A8138F">
      <w:pPr>
        <w:pStyle w:val="TextoNormal"/>
      </w:pPr>
    </w:p>
    <w:p w14:paraId="4BBE26C1" w14:textId="77777777" w:rsidR="00A8138F" w:rsidRDefault="00A8138F" w:rsidP="00A8138F">
      <w:pPr>
        <w:pStyle w:val="TextoNormal"/>
      </w:pPr>
      <w:r>
        <w:t>C) Expuestas las consideraciones anteriores, procede a defender la constitucionalidad de los preceptos impugnados.</w:t>
      </w:r>
    </w:p>
    <w:p w14:paraId="5F213E64" w14:textId="77777777" w:rsidR="00A8138F" w:rsidRDefault="00A8138F" w:rsidP="00A8138F">
      <w:pPr>
        <w:pStyle w:val="TextoNormal"/>
      </w:pPr>
    </w:p>
    <w:p w14:paraId="119E61E6" w14:textId="77777777" w:rsidR="00A8138F" w:rsidRDefault="00A8138F" w:rsidP="00A8138F">
      <w:pPr>
        <w:pStyle w:val="TextoNormal"/>
      </w:pPr>
      <w:r>
        <w:t>a) En relación con el art. 1.1, defiende que esta definición no supone otra cosa que delimitar la función social del derecho de propiedad de la vivienda, incorporando la preservación de los intereses generales relacionados con la garantía de los ciudadanos para disfrutar de una vivienda digna, es decir, incorpora la vertiente institucional que el legislador autonómico tiene encomendada. Sobre la base de la doctrina de las SSTC 16/2018, FJ 8; 32/2018, FJ 8; 43/2018, de 26 de abril, FJ 5 a), y 97/2018, de 19 de septiembre, FJ 4, considera que no puede prosperar esta impugnación.</w:t>
      </w:r>
    </w:p>
    <w:p w14:paraId="216C5FD5" w14:textId="77777777" w:rsidR="00A8138F" w:rsidRDefault="00A8138F" w:rsidP="00A8138F">
      <w:pPr>
        <w:pStyle w:val="TextoNormal"/>
      </w:pPr>
    </w:p>
    <w:p w14:paraId="198E920B" w14:textId="77777777" w:rsidR="00A8138F" w:rsidRDefault="00A8138F" w:rsidP="00A8138F">
      <w:pPr>
        <w:pStyle w:val="TextoNormal"/>
      </w:pPr>
      <w:r>
        <w:t>b) En cuanto al art. 1.2, considera que le son trasladables las razones ya expuestas en relación con el art. 1.1, añadiendo —con referencia a la STC 154/2015, de 9 de julio, FJ 4— que esa previsión legal se ampara en razones poderosas que entroncan con el compromiso de los poderes públicos por la promoción de las condiciones que aseguren la efectividad de la integración en la vida social (art. 9.2 CE) y el acceso a una vivienda digna (art. 47 CE). Conecta también con el mandato constitucional de protección social y económica de la familia (art. 39 CE), la juventud (art. 48 CE), la tercera edad (art. 50 CE), las personas con discapacidad (art. 49 CE) y los emigrantes retornados (art. 42 CE).</w:t>
      </w:r>
    </w:p>
    <w:p w14:paraId="51B8E575" w14:textId="77777777" w:rsidR="00A8138F" w:rsidRDefault="00A8138F" w:rsidP="00A8138F">
      <w:pPr>
        <w:pStyle w:val="TextoNormal"/>
      </w:pPr>
    </w:p>
    <w:p w14:paraId="33C9F51D" w14:textId="77777777" w:rsidR="00A8138F" w:rsidRDefault="00A8138F" w:rsidP="00A8138F">
      <w:pPr>
        <w:pStyle w:val="TextoNormal"/>
      </w:pPr>
      <w:r>
        <w:lastRenderedPageBreak/>
        <w:t>c) Por lo que hace al art. 1.4, defiende que se trata de un precepto dictado al amparo de la competencia autonómica en materia de urbanismo y vivienda. Explica que no hay duda que mantener una vivienda desocupada durante dos años sin causa justificativa y no destinar a uso habitacional una vivienda de protección oficial constituyen incumplimientos de los deberes de los propietarios de dedicarlos a usos compatibles con la ordenación urbanística, atendiendo a que la legislación del suelo estatal propugna la ocupación de las viviendas vacías o en desuso.</w:t>
      </w:r>
    </w:p>
    <w:p w14:paraId="08C36362" w14:textId="77777777" w:rsidR="00A8138F" w:rsidRDefault="00A8138F" w:rsidP="00A8138F">
      <w:pPr>
        <w:pStyle w:val="TextoNormal"/>
      </w:pPr>
    </w:p>
    <w:p w14:paraId="6F03C26B" w14:textId="77777777" w:rsidR="00A8138F" w:rsidRDefault="00A8138F" w:rsidP="00A8138F">
      <w:pPr>
        <w:pStyle w:val="TextoNormal"/>
      </w:pPr>
      <w:r>
        <w:t>d) Sobre el art. 1.5, reitera que la doctrina de la STC 16/2018 permite al legislador autonómico, competente en materia de vivienda, definir el incumplimiento de la función social de la propiedad, así como las medidas asociadas a este incumplimiento.</w:t>
      </w:r>
    </w:p>
    <w:p w14:paraId="7283DD32" w14:textId="77777777" w:rsidR="00A8138F" w:rsidRDefault="00A8138F" w:rsidP="00A8138F">
      <w:pPr>
        <w:pStyle w:val="TextoNormal"/>
      </w:pPr>
    </w:p>
    <w:p w14:paraId="2761524B" w14:textId="77777777" w:rsidR="00A8138F" w:rsidRDefault="00A8138F" w:rsidP="00A8138F">
      <w:pPr>
        <w:pStyle w:val="TextoNormal"/>
      </w:pPr>
      <w:r>
        <w:t>e) En cuanto al art. 2, entiende que el recurso solo lo impugna porque al legislador autonómico le estaría vedado delimitar la función social de la propiedad. Frente a ello, la abogada de la Generalitat arguye que el Parlamento de Cataluña es competente para delimitar la función social de la propiedad en el ejercicio de sus competencias en materia de vivienda y urbanismo, a través de las cuales está incidiendo en la vertiente institucional del derecho de propiedad.</w:t>
      </w:r>
    </w:p>
    <w:p w14:paraId="76A437E3" w14:textId="77777777" w:rsidR="00A8138F" w:rsidRDefault="00A8138F" w:rsidP="00A8138F">
      <w:pPr>
        <w:pStyle w:val="TextoNormal"/>
      </w:pPr>
    </w:p>
    <w:p w14:paraId="08A190B1" w14:textId="77777777" w:rsidR="00A8138F" w:rsidRDefault="00A8138F" w:rsidP="00A8138F">
      <w:pPr>
        <w:pStyle w:val="TextoNormal"/>
      </w:pPr>
      <w:r>
        <w:t>f) Se refiere conjuntamente a los arts. 3, 4 y 5, respecto de los cuales afirma que son constitucionales, por remisión a la doctrina sentada en la STC 16/2018, puesto que el legislador autonómico, que ha asumido la competencia en materia de vivienda, puede definir el incumplimiento de la función social de la propiedad de vivienda, así como las medidas asociadas a dicho incumplimiento, como pueden ser la ejecución forzosa, las multas coercitivas, así como el establecimiento de un régimen sancionador (cita, en relación con esto último, la STC 34/2013, de 14 de febrero, FJ 20).</w:t>
      </w:r>
    </w:p>
    <w:p w14:paraId="4BEA47DB" w14:textId="77777777" w:rsidR="00A8138F" w:rsidRDefault="00A8138F" w:rsidP="00A8138F">
      <w:pPr>
        <w:pStyle w:val="TextoNormal"/>
      </w:pPr>
    </w:p>
    <w:p w14:paraId="6F6D545E" w14:textId="77777777" w:rsidR="00A8138F" w:rsidRDefault="00A8138F" w:rsidP="00A8138F">
      <w:pPr>
        <w:pStyle w:val="TextoNormal"/>
      </w:pPr>
      <w:r>
        <w:t>g) Acerca del art. 7, sostiene el precepto pretende evitar que mediante transmisiones de la propiedad entre personas jurídicas se burle o se eluda el objetivo de la ley de que se cumpla la función social de la vivienda y esta se destine a uso habitacional. Destaca que, en el procedimiento que se inicie, el nuevo adquirente podrá demostrar que efectivamente está dispuesto a destinar la vivienda a uso habitacional o exponer las causas que justifiquen su retraso en cumplir este objetivo y que la administración habrá de valorarlas. En todo caso, la resolución que se dicté será susceptible de recurso contencioso-administrativo. Por ello, considera que solo una incorrecta interpretación del artículo recurrido podría llevar al resultado, del que parte la demanda, de sancionar al adquirente por hechos que no ha cometido. De manera que, a juicio de la abogada de la Generalitat, se trata de una impugnación preventiva.</w:t>
      </w:r>
    </w:p>
    <w:p w14:paraId="577DD28C" w14:textId="77777777" w:rsidR="00A8138F" w:rsidRDefault="00A8138F" w:rsidP="00A8138F">
      <w:pPr>
        <w:pStyle w:val="TextoNormal"/>
      </w:pPr>
    </w:p>
    <w:p w14:paraId="2DA732CB" w14:textId="77777777" w:rsidR="00A8138F" w:rsidRDefault="00A8138F" w:rsidP="00A8138F">
      <w:pPr>
        <w:pStyle w:val="TextoNormal"/>
      </w:pPr>
      <w:r>
        <w:t>h) En relación con el art. 10, afirma que la Ley 1/2022 solo ha dado nueva redacción a la letra c) del art. 7.1 de la Ley 24/2015, sin que se hayan visto afectados los otros dos apartados. Por ello, aunque el recurrente cuestiona toda la regulación relativa a la cesión de viviendas, la impugnación debe entenderse limitada al contenido del apartado c) del art. 7.1 de la Ley 24/2015 (STC 83/2020, FJ 2).</w:t>
      </w:r>
    </w:p>
    <w:p w14:paraId="7B35AB93" w14:textId="77777777" w:rsidR="00A8138F" w:rsidRDefault="00A8138F" w:rsidP="00A8138F">
      <w:pPr>
        <w:pStyle w:val="TextoNormal"/>
      </w:pPr>
    </w:p>
    <w:p w14:paraId="374E0C60" w14:textId="77777777" w:rsidR="00A8138F" w:rsidRDefault="00A8138F" w:rsidP="00A8138F">
      <w:pPr>
        <w:pStyle w:val="TextoNormal"/>
      </w:pPr>
      <w:r>
        <w:t>En cuanto al fondo de la impugnación, considera que se trata de estimular a los propietarios a que destinen la vivienda vacía de su propiedad a uso habitacional y que las condiciones económicas a que se sujeta el alquiler obligatorio son necesarias, adecuadas y pro</w:t>
      </w:r>
      <w:r>
        <w:lastRenderedPageBreak/>
        <w:t>porcionales, atendiendo a la grave crisis de exclusión residencial en la que se halla una importante parte de la población, teniendo en cuenta que el titular de la vivienda, objeto de cesión, podrá beneficiarse de las bonificaciones de la cuota del impuesto sobre viviendas vacías y que se priorizará la aplicación de la cesión obligatoria a los sujetos pasivos que disfruten de menos bonificaciones fiscales. Se trata de una medida complementaria al citado impuesto. Y, por último, alega que es una medida análoga a las previstas en el art. 49 del texto refundido de la Ley del Suelo y Rehabilitación Urbana, aprobado por Real Decreto Legislativo 7/2015, de 30 de octubre: TRLSRU (ejecución subsidiaria, expropiación por incumplimiento de la función social, la venta o sustitución forzosas, o cualesquiera otras consecuencias derivadas de la legislación sobre ordenación territorial y urbanística).</w:t>
      </w:r>
    </w:p>
    <w:p w14:paraId="7D01A2B2" w14:textId="77777777" w:rsidR="00A8138F" w:rsidRDefault="00A8138F" w:rsidP="00A8138F">
      <w:pPr>
        <w:pStyle w:val="TextoNormal"/>
      </w:pPr>
    </w:p>
    <w:p w14:paraId="02B087C0" w14:textId="77777777" w:rsidR="00A8138F" w:rsidRDefault="00A8138F" w:rsidP="00A8138F">
      <w:pPr>
        <w:pStyle w:val="TextoNormal"/>
      </w:pPr>
      <w:r>
        <w:t>i) Seguidamente, se opone al recurso contra los arts. 1.3, 6.2, 11, 12 y la disposición transitoria primera. Defiende que, sobre la base de la doctrina constitucional fijada en las SSTC 80/2018, de 5 de julio, y 13/2019, de 31 de enero, es indudable que la propuesta de alquiler social obligatorio no constituye un contrato de arrendamiento sujeto a la Ley de arrendamientos urbanos, ni tampoco una prórroga de este, sino que se trata de un instrumento que deriva de una obligación que impone la normativa administrativa de la vivienda para determinados propietarios y cuyos beneficiarios son personas que se encuentran en situación de emergencia social. Por ello, estima que se trata de una regulación que no encaja en la materia de derecho civil ni en la materia de derechos procesal, sino que se trata de una normativa de ordenación de la vivienda (art. 137 EAC).</w:t>
      </w:r>
    </w:p>
    <w:p w14:paraId="4BFF641F" w14:textId="77777777" w:rsidR="00A8138F" w:rsidRDefault="00A8138F" w:rsidP="00A8138F">
      <w:pPr>
        <w:pStyle w:val="TextoNormal"/>
      </w:pPr>
    </w:p>
    <w:p w14:paraId="0CB1B99F" w14:textId="77777777" w:rsidR="00A8138F" w:rsidRDefault="00A8138F" w:rsidP="00A8138F">
      <w:pPr>
        <w:pStyle w:val="TextoNormal"/>
      </w:pPr>
      <w:r>
        <w:t>Por otro lado, también sostiene que no toda restricción de los derechos de los propietarios en atención a los intereses de la comunidad es inconstitucional, argumento que completa con la referencia a los efectos beneficiosos que el contrato de alquiler social ha producido para paliar la vulnerabilidad habitacional de un importante número de ciudadanos catalanes.</w:t>
      </w:r>
    </w:p>
    <w:p w14:paraId="19336E70" w14:textId="77777777" w:rsidR="00A8138F" w:rsidRDefault="00A8138F" w:rsidP="00A8138F">
      <w:pPr>
        <w:pStyle w:val="TextoNormal"/>
      </w:pPr>
    </w:p>
    <w:p w14:paraId="5FCA915F" w14:textId="77777777" w:rsidR="00A8138F" w:rsidRDefault="00A8138F" w:rsidP="00A8138F">
      <w:pPr>
        <w:pStyle w:val="TextoNormal"/>
      </w:pPr>
      <w:r>
        <w:t xml:space="preserve">También sostiene que esta regulación se adecúa a la doctrina de la STC 32/2019, de 28 de febrero, FJ 5, que estableció que “la orden judicial de desalojo de los ocupantes de la vivienda […] no excluye en modo alguno que los poderes públicos competentes deban atender, conforme a las disposiciones aplicables y los medios disponibles, a las situaciones de exclusión residencial que pudieran producirse, en particular, cuando afectaren a personas especialmente vulnerables”. En definitiva, justifica que se trata de medidas análogas a las adoptadas en el art. 1 </w:t>
      </w:r>
      <w:r w:rsidRPr="00A8138F">
        <w:rPr>
          <w:i/>
        </w:rPr>
        <w:t>bis</w:t>
      </w:r>
      <w:r>
        <w:t xml:space="preserve"> del Real Decreto-ley 11/2020, de 31 de marzo, por el que se adoptan medidas urgentes complementarias en el ámbito social y económico para hacer frente al covid-19.</w:t>
      </w:r>
    </w:p>
    <w:p w14:paraId="6B624476" w14:textId="77777777" w:rsidR="00A8138F" w:rsidRDefault="00A8138F" w:rsidP="00A8138F">
      <w:pPr>
        <w:pStyle w:val="TextoNormal"/>
      </w:pPr>
    </w:p>
    <w:p w14:paraId="6E3EA4AF" w14:textId="77777777" w:rsidR="00A8138F" w:rsidRDefault="00A8138F" w:rsidP="00A8138F">
      <w:pPr>
        <w:pStyle w:val="TextoNormal"/>
      </w:pPr>
      <w:r>
        <w:t xml:space="preserve">Por lo demás, niega que esto suponga una invasión de la competencia estatal sobre legislación procesal </w:t>
      </w:r>
      <w:r w:rsidRPr="00A8138F">
        <w:rPr>
          <w:i/>
        </w:rPr>
        <w:t>ex</w:t>
      </w:r>
      <w:r>
        <w:t xml:space="preserve"> art. 149.1 6 CE, porque la doctrina de las SSTC 28/2022 57/2022, de 7 de abril, debe completarse con lo dicho en la STC 21/2019, de 14 de febrero, FJ 6, en la que el tribunal admitió la suspensión de los lanzamientos en procesos judiciales o extrajudiciales de desahucio por impago, una vez que se haya pedido el informe sobre la situación de vulnerabilidad. En todo caso, sostiene que la obligación de formular una propuesta de alquiler social no supone un obstáculo o requisito para que el demandante acceda a los tribunales.</w:t>
      </w:r>
    </w:p>
    <w:p w14:paraId="753FDBBE" w14:textId="77777777" w:rsidR="00A8138F" w:rsidRDefault="00A8138F" w:rsidP="00A8138F">
      <w:pPr>
        <w:pStyle w:val="TextoNormal"/>
      </w:pPr>
    </w:p>
    <w:p w14:paraId="5814DDF4" w14:textId="3A7E245A" w:rsidR="00A8138F" w:rsidRDefault="00A8138F" w:rsidP="00A8138F">
      <w:pPr>
        <w:pStyle w:val="TextoNormal"/>
      </w:pPr>
      <w:r>
        <w:t xml:space="preserve">j) Finalmente, en relación con el art. 6.2, estima que la doctrina de la STC 80/2018 avala la constitucionalidad del precepto, que sanciona el incumplimiento de los requisitos que el </w:t>
      </w:r>
      <w:r>
        <w:lastRenderedPageBreak/>
        <w:t>vigente art. 5 establece para el alquiler social y, por tanto, no tiene tacha de inconstitucionalidad.</w:t>
      </w:r>
    </w:p>
    <w:p w14:paraId="44ECC8C3" w14:textId="77777777" w:rsidR="00A8138F" w:rsidRDefault="00A8138F" w:rsidP="00A8138F">
      <w:pPr>
        <w:pStyle w:val="TextoNormal"/>
      </w:pPr>
    </w:p>
    <w:p w14:paraId="2CD5467A" w14:textId="77777777" w:rsidR="00A8138F" w:rsidRDefault="00A8138F" w:rsidP="00A8138F">
      <w:pPr>
        <w:pStyle w:val="TextoNormal"/>
      </w:pPr>
      <w:r w:rsidRPr="00A8138F">
        <w:rPr>
          <w:rStyle w:val="NumeroAFNegritaCaracter"/>
        </w:rPr>
        <w:t>10</w:t>
      </w:r>
      <w:r>
        <w:t>. El 2 de noviembre de 2022, la letrada del Parlamento de Cataluña formuló sus alegaciones, interesando la desestimación del recurso de inconstitucionalidad y la declaración de que los artículos impugnados son conformes con la Constitución.</w:t>
      </w:r>
    </w:p>
    <w:p w14:paraId="71B39E90" w14:textId="77777777" w:rsidR="00A8138F" w:rsidRDefault="00A8138F" w:rsidP="00A8138F">
      <w:pPr>
        <w:pStyle w:val="TextoNormal"/>
      </w:pPr>
    </w:p>
    <w:p w14:paraId="09DF5C7A" w14:textId="77777777" w:rsidR="00A8138F" w:rsidRDefault="00A8138F" w:rsidP="00A8138F">
      <w:pPr>
        <w:pStyle w:val="TextoNormal"/>
      </w:pPr>
      <w:r>
        <w:t>a) En primer lugar, rechaza que la Ley 1/2022 pueda considerarse un acto de desobediencia. Aduce, a este respecto, que la STC 16/2021, de 28 de enero, declaró inconstitucionales varios preceptos del Decreto-ley 17/2019, de 23 de diciembre, por vulnerar los límites materiales de los decretos leyes, pero que ello no impide al legislador autonómico regular el derecho de propiedad, si lo hace de acuerdo con el bloque de constitucionalidad. Y esto último es lo que ha pretendido hacer la Ley 1/2022.</w:t>
      </w:r>
    </w:p>
    <w:p w14:paraId="5A390BEF" w14:textId="77777777" w:rsidR="00A8138F" w:rsidRDefault="00A8138F" w:rsidP="00A8138F">
      <w:pPr>
        <w:pStyle w:val="TextoNormal"/>
      </w:pPr>
    </w:p>
    <w:p w14:paraId="4FA08CF3" w14:textId="77777777" w:rsidR="00A8138F" w:rsidRDefault="00A8138F" w:rsidP="00A8138F">
      <w:pPr>
        <w:pStyle w:val="TextoNormal"/>
      </w:pPr>
      <w:r>
        <w:t xml:space="preserve">b) En siguiente lugar, se opone a la tesis del recurso de inconstitucionalidad de que los preceptos impugnados vulneren el contenido esencial del derecho de propiedad. Para ello, procede a completar las referencias al Derecho comparado efectuadas en la demanda con los ejemplos de las regulaciones de control de las rentas del alquiler existentes en Alemania, Francia, Suecia o Dinamarca. Y también cita aquellos pronunciamientos del Tribunal Europeo de Derechos Humanos que, a su juicio, legitiman las restricciones al derecho de propiedad (SSTEDH asunto </w:t>
      </w:r>
      <w:r w:rsidRPr="00A8138F">
        <w:rPr>
          <w:i/>
        </w:rPr>
        <w:t>James y otros c. Reino Unido</w:t>
      </w:r>
      <w:r>
        <w:t xml:space="preserve">; asunto </w:t>
      </w:r>
      <w:r w:rsidRPr="00A8138F">
        <w:rPr>
          <w:i/>
        </w:rPr>
        <w:t>Mellacher y otros c. Austria</w:t>
      </w:r>
      <w:r>
        <w:t xml:space="preserve">, y asunto </w:t>
      </w:r>
      <w:r w:rsidRPr="00A8138F">
        <w:rPr>
          <w:i/>
        </w:rPr>
        <w:t>Lindheim y otros c. Noruega</w:t>
      </w:r>
      <w:r>
        <w:t xml:space="preserve">) y que amparan situaciones propias del derecho a la vivienda (SSTEDH asunto </w:t>
      </w:r>
      <w:r w:rsidRPr="00A8138F">
        <w:rPr>
          <w:i/>
        </w:rPr>
        <w:t>Connors c. Reino Unido</w:t>
      </w:r>
      <w:r>
        <w:t xml:space="preserve">; asunto </w:t>
      </w:r>
      <w:r w:rsidRPr="00A8138F">
        <w:rPr>
          <w:i/>
        </w:rPr>
        <w:t>McCann c. Reino Unido</w:t>
      </w:r>
      <w:r>
        <w:t xml:space="preserve">, y asunto </w:t>
      </w:r>
      <w:r w:rsidRPr="00A8138F">
        <w:rPr>
          <w:i/>
        </w:rPr>
        <w:t>Cosic c. Croacia</w:t>
      </w:r>
      <w:r>
        <w:t>).</w:t>
      </w:r>
    </w:p>
    <w:p w14:paraId="4D9133FF" w14:textId="77777777" w:rsidR="00A8138F" w:rsidRDefault="00A8138F" w:rsidP="00A8138F">
      <w:pPr>
        <w:pStyle w:val="TextoNormal"/>
      </w:pPr>
    </w:p>
    <w:p w14:paraId="2D129FD8" w14:textId="77777777" w:rsidR="00A8138F" w:rsidRDefault="00A8138F" w:rsidP="00A8138F">
      <w:pPr>
        <w:pStyle w:val="TextoNormal"/>
      </w:pPr>
      <w:r>
        <w:t xml:space="preserve">c) Acto seguido, alega que la Ley 1/2022 no invade la competencia estatal </w:t>
      </w:r>
      <w:r w:rsidRPr="00A8138F">
        <w:rPr>
          <w:i/>
        </w:rPr>
        <w:t>ex</w:t>
      </w:r>
      <w:r>
        <w:t xml:space="preserve"> art. 149.1.1 CE. Para la letrada del Parlamento de Cataluña, los argumentos de la demanda son simplistas y genéricos y deben ser desestimados. El Tribunal Constitucional ha interpretado esta competencia estatal con un alcance limitado con el fin de conciliarla con el principio de autonomía (STC 61/1997, FJ 9). A su juicio, la parte actora rechaza que la norma autonómica pueda incidir sobre el derecho de propiedad, obviando que la competencia en materia de vivienda viene intrínsecamente vinculada a disciplinar dicho derecho de propiedad.</w:t>
      </w:r>
    </w:p>
    <w:p w14:paraId="701ACDF2" w14:textId="77777777" w:rsidR="00A8138F" w:rsidRDefault="00A8138F" w:rsidP="00A8138F">
      <w:pPr>
        <w:pStyle w:val="TextoNormal"/>
      </w:pPr>
    </w:p>
    <w:p w14:paraId="1637ED55" w14:textId="77777777" w:rsidR="00A8138F" w:rsidRDefault="00A8138F" w:rsidP="00A8138F">
      <w:pPr>
        <w:pStyle w:val="TextoNormal"/>
      </w:pPr>
      <w:r>
        <w:t>Expone que definir la función social de la propiedad de la vivienda mediante el establecimiento de la prohibición de tener determinados bienes indefinidamente desocupados o mediante su afectación a un alquiler social comporta una limitación del derecho de propiedad pero que no necesariamente vulnera el derecho reconocido en el art. 33 CE. De acuerdo con la jurisprudencia constitucional (cita expresamente las SSTC 37/1987 y 112/2021), el límite para el legislador en la función de delimitación de la función social de la propiedad es que la traducción institucional de las exigencias colectivas no puede llegar a anular la utilidad individual del derecho. De ahí deduce que la capacidad de modulación del derecho de propiedad en base a su función social no es ilimitada pero sí muy amplia y especialmente intensa cuando el interés colectivo concurrente es relevante por razones sociales y económicas, especialmente cuando esos mismos intereses están tutelados por la Constitución. Y, en este caso, la normativa persigue un objetivo constitucionalmente legítimo (art. 47 CE) y lo hace a través de medidas idóneas para paliar la escasez de la vivienda en determinadas zonas del territorio.</w:t>
      </w:r>
    </w:p>
    <w:p w14:paraId="4C890F50" w14:textId="77777777" w:rsidR="00A8138F" w:rsidRDefault="00A8138F" w:rsidP="00A8138F">
      <w:pPr>
        <w:pStyle w:val="TextoNormal"/>
      </w:pPr>
    </w:p>
    <w:p w14:paraId="21EA4BF9" w14:textId="77777777" w:rsidR="00A8138F" w:rsidRDefault="00A8138F" w:rsidP="00A8138F">
      <w:pPr>
        <w:pStyle w:val="TextoNormal"/>
      </w:pPr>
      <w:r>
        <w:lastRenderedPageBreak/>
        <w:t>Por otro lado, alega que en tanto que no se haya dictado legislación estatal en materia de vivienda, difícilmente se podrá atribuir a la legislación autonómica una invasión de la competencia estatal del art. 149.1.1 CE (STC 173/1998, de 23 de julio). Al decir de la parte, el recurso de inconstitucionalidad no tiene en cuenta que la invocación del art. 149.1.1 CE implica un análisis de constitucionalidad mediata que solo puede hacerse mediante la invocación de una ley estatal, cosa que el recurso no hace, y que, en estas circunstancias, como recuerda la STC 16/2019, de 11 de febrero, la competencia básica del art 149.1.1 CE no puede operar como límite a la norma autonómica.</w:t>
      </w:r>
    </w:p>
    <w:p w14:paraId="78389B75" w14:textId="77777777" w:rsidR="00A8138F" w:rsidRDefault="00A8138F" w:rsidP="00A8138F">
      <w:pPr>
        <w:pStyle w:val="TextoNormal"/>
      </w:pPr>
    </w:p>
    <w:p w14:paraId="7648F168" w14:textId="77777777" w:rsidR="00A8138F" w:rsidRDefault="00A8138F" w:rsidP="00A8138F">
      <w:pPr>
        <w:pStyle w:val="TextoNormal"/>
      </w:pPr>
      <w:r>
        <w:t>Finalmente, cita el informe del Consejo General del Poder Judicial sobre el anteproyecto de Ley por el derecho a la vivienda, en el que defiende que la competencia en materia de vivienda es exclusivamente autonómica y que el art. 149.1.1 CE no puede utilizarse para uniformizar de forma exhaustiva la legislación autonómica sobre vivienda.</w:t>
      </w:r>
    </w:p>
    <w:p w14:paraId="38838AB6" w14:textId="77777777" w:rsidR="00A8138F" w:rsidRDefault="00A8138F" w:rsidP="00A8138F">
      <w:pPr>
        <w:pStyle w:val="TextoNormal"/>
      </w:pPr>
    </w:p>
    <w:p w14:paraId="58F85504" w14:textId="77777777" w:rsidR="00A8138F" w:rsidRDefault="00A8138F" w:rsidP="00A8138F">
      <w:pPr>
        <w:pStyle w:val="TextoNormal"/>
      </w:pPr>
      <w:r>
        <w:t>d) También rebate el argumento de que la Ley 1/2022 invade la competencia estatal prevista en el art. 149.1.6 CE. Señala que el art. 12 no regula materia procesal, porque no se configura la obligación de ofrecer una propuesta de alquiler social no se configura como una excepción procesal ni como un requisito de procedibilidad de la demanda, sino que es una carga administrativa que recae sobre el propietario, determinando el momento en que ha de hacerse efectiva y cuyo incumplimiento se tipifica como infracción administrativa. Por lo tanto, no se trata de una norma procesal, sino que se establece en virtud de la competencia autonómica en materia de vivienda (art. 137 EAC). Continúa alegando que no se trata de un requisito de acceso al proceso, sino de asegurar que en el transcurso del proceso se realizará la oferta de alquiler social obligatorio y que se ha introducido por el legislador autonómico para evitar posibles disfunciones.</w:t>
      </w:r>
    </w:p>
    <w:p w14:paraId="0C0A8470" w14:textId="77777777" w:rsidR="00A8138F" w:rsidRDefault="00A8138F" w:rsidP="00A8138F">
      <w:pPr>
        <w:pStyle w:val="TextoNormal"/>
      </w:pPr>
    </w:p>
    <w:p w14:paraId="7C8257F5" w14:textId="77777777" w:rsidR="00A8138F" w:rsidRDefault="00A8138F" w:rsidP="00A8138F">
      <w:pPr>
        <w:pStyle w:val="TextoNormal"/>
      </w:pPr>
      <w:r>
        <w:t>Además, concluye citando el acuerdo de unificación de criterios adoptado durante la reunión de presidentes de secciones civiles de la Audiencia Provincial de Barcelona, de 21 de febrero de 2020, en la que acordaron no interpretar esta regulación como un requisito de procedibilidad o de admisibilidad de las demandas.</w:t>
      </w:r>
    </w:p>
    <w:p w14:paraId="40DFE405" w14:textId="77777777" w:rsidR="00A8138F" w:rsidRDefault="00A8138F" w:rsidP="00A8138F">
      <w:pPr>
        <w:pStyle w:val="TextoNormal"/>
      </w:pPr>
    </w:p>
    <w:p w14:paraId="79E44E17" w14:textId="77777777" w:rsidR="00A8138F" w:rsidRDefault="00A8138F" w:rsidP="00A8138F">
      <w:pPr>
        <w:pStyle w:val="TextoNormal"/>
      </w:pPr>
      <w:r>
        <w:t>Por lo tanto, los arts. 11 y 12 y la disposición transitoria se incorporan como una necesidad derivada de las particularidades del régimen especial de medidas urgentes para afrontar la emergencia en el ámbito de la vivienda, en el marco de lo que establece el art. 149.1.6 CE y al amparo de la competencia reconocida a la Generalitat por el art. 130 EAC para dictar normas procesales específicas que deriven de las particularidades de derecho sustantivo de Cataluña.</w:t>
      </w:r>
    </w:p>
    <w:p w14:paraId="549CCA98" w14:textId="77777777" w:rsidR="00A8138F" w:rsidRDefault="00A8138F" w:rsidP="00A8138F">
      <w:pPr>
        <w:pStyle w:val="TextoNormal"/>
      </w:pPr>
    </w:p>
    <w:p w14:paraId="456A3AF5" w14:textId="77777777" w:rsidR="00A8138F" w:rsidRDefault="00A8138F" w:rsidP="00A8138F">
      <w:pPr>
        <w:pStyle w:val="TextoNormal"/>
      </w:pPr>
      <w:r>
        <w:t xml:space="preserve">e) También rechaza que la Ley 1/2022 vulnere la competencia estatal </w:t>
      </w:r>
      <w:r w:rsidRPr="00A8138F">
        <w:rPr>
          <w:i/>
        </w:rPr>
        <w:t>ex</w:t>
      </w:r>
      <w:r>
        <w:t xml:space="preserve"> art. 149.1.8 CE. Considera que estamos ante normativa dictada en el ejercicio de las competencias autonómicas en materia de vivienda (art. 137 EAC) y que existen múltiples ejemplos de normas dictadas en materia de vivienda que inciden sobre las relaciones </w:t>
      </w:r>
      <w:r w:rsidRPr="00A8138F">
        <w:rPr>
          <w:i/>
        </w:rPr>
        <w:t>inter privatos</w:t>
      </w:r>
      <w:r>
        <w:t xml:space="preserve"> (SSTC 16/2018, FJ 8, y 112/2021, FJ 3).</w:t>
      </w:r>
    </w:p>
    <w:p w14:paraId="0ABC8AA9" w14:textId="77777777" w:rsidR="00A8138F" w:rsidRDefault="00A8138F" w:rsidP="00A8138F">
      <w:pPr>
        <w:pStyle w:val="TextoNormal"/>
      </w:pPr>
    </w:p>
    <w:p w14:paraId="52544B59" w14:textId="77777777" w:rsidR="00A8138F" w:rsidRDefault="00A8138F" w:rsidP="00A8138F">
      <w:pPr>
        <w:pStyle w:val="TextoNormal"/>
      </w:pPr>
      <w:r>
        <w:t xml:space="preserve">Argumenta que los preceptos impugnados no pretenden establecer un nuevo régimen en materia de ordenación de los registros sino completar el sistema de vivienda público para evitar situaciones de emergencia habitacional, para garantizar la función social de la propiedad de manera congruente con el art. 33 CE y hacer efectivo el derecho a la vivienda </w:t>
      </w:r>
      <w:r>
        <w:lastRenderedPageBreak/>
        <w:t>digna y adecuada (art. 47 CE), y todo ello en el ejercicio de las competencias estatutariamente reconocidas a la Generalitat de Cataluña.</w:t>
      </w:r>
    </w:p>
    <w:p w14:paraId="2B337D6F" w14:textId="77777777" w:rsidR="00A8138F" w:rsidRDefault="00A8138F" w:rsidP="00A8138F">
      <w:pPr>
        <w:pStyle w:val="TextoNormal"/>
      </w:pPr>
    </w:p>
    <w:p w14:paraId="65AE5F0A" w14:textId="77777777" w:rsidR="00A8138F" w:rsidRDefault="00A8138F" w:rsidP="00A8138F">
      <w:pPr>
        <w:pStyle w:val="TextoNormal"/>
      </w:pPr>
      <w:r>
        <w:t>f) Finalmente, descarta igualmente que el art. 15 entre en contradicción con la competencia estatal del art. 149.1.18 CE. A este respecto, señala que, si bien todos los poderes públicos deben respetar los criterios y el sistema de valoración del justiprecio en el procedimiento expropiatorio establecido en la legislación estatal, no puede excluirse el hecho de que el legislador autonómico, en el ejercicio de sus competencias, determine los supuestos en los que procederá aplicar la expropiación forzosa (SSTC 17/1990, de 7 de febrero, y 314/2006, de 8 de noviembre). Así lo recoge también el art. 159.4 EAC.</w:t>
      </w:r>
    </w:p>
    <w:p w14:paraId="077F32A1" w14:textId="77777777" w:rsidR="00A8138F" w:rsidRDefault="00A8138F" w:rsidP="00A8138F">
      <w:pPr>
        <w:pStyle w:val="TextoNormal"/>
      </w:pPr>
    </w:p>
    <w:p w14:paraId="5DFA1364" w14:textId="620E94AC" w:rsidR="00A8138F" w:rsidRDefault="00A8138F" w:rsidP="00A8138F">
      <w:pPr>
        <w:pStyle w:val="TextoNormal"/>
      </w:pPr>
      <w:r>
        <w:t>A la vista de estas consideraciones, defiende la constitucionalidad de la regla prevista en el art. 15.4, por cuanto que viene amparada por lo dispuesto en el art. 49.3 TRLSRU. De esta forma el legislador autonómico ha incluido expresamente en límite del 50 por 100, previsto en la legislación estatal para supuestos de expropiación.</w:t>
      </w:r>
    </w:p>
    <w:p w14:paraId="64DEC48D" w14:textId="77777777" w:rsidR="00A8138F" w:rsidRDefault="00A8138F" w:rsidP="00A8138F">
      <w:pPr>
        <w:pStyle w:val="TextoNormal"/>
      </w:pPr>
    </w:p>
    <w:p w14:paraId="679E6679" w14:textId="42CE230C" w:rsidR="00A8138F" w:rsidRDefault="00A8138F" w:rsidP="00A8138F">
      <w:pPr>
        <w:pStyle w:val="TextoNormal"/>
      </w:pPr>
      <w:r w:rsidRPr="00A8138F">
        <w:rPr>
          <w:rStyle w:val="NumeroAFNegritaCaracter"/>
        </w:rPr>
        <w:t>11</w:t>
      </w:r>
      <w:r>
        <w:t>. Por diligencia del secretario de justicia del Pleno de 3 de noviembre de 2022, se declaró el proceso concluso y pendiente para deliberación y votación de la sentencia, sin perjuicio de lo dispuesto en el art. 84 LOTC.</w:t>
      </w:r>
    </w:p>
    <w:p w14:paraId="5CBB3F33" w14:textId="77777777" w:rsidR="00A8138F" w:rsidRDefault="00A8138F" w:rsidP="00A8138F">
      <w:pPr>
        <w:pStyle w:val="TextoNormal"/>
      </w:pPr>
    </w:p>
    <w:p w14:paraId="09BCA557" w14:textId="4DCD51A0" w:rsidR="00A8138F" w:rsidRDefault="00A8138F" w:rsidP="00A8138F">
      <w:pPr>
        <w:pStyle w:val="TextoNormal"/>
      </w:pPr>
      <w:r w:rsidRPr="00A8138F">
        <w:rPr>
          <w:rStyle w:val="NumeroAFNegritaCaracter"/>
        </w:rPr>
        <w:t>12</w:t>
      </w:r>
      <w:r>
        <w:t>. La ponencia correspondió en primer lugar al magistrado señor Tolosa Tribiño, cuya propuesta fue deliberada y no aprobada en el Pleno del Tribunal Constitucional de 20 de noviembre de 2024. Al declinar el magistrado la ponencia, le fue encomendada a la magistrada señora Díez Bueso.</w:t>
      </w:r>
    </w:p>
    <w:p w14:paraId="08E61568" w14:textId="77777777" w:rsidR="00A8138F" w:rsidRDefault="00A8138F" w:rsidP="00A8138F">
      <w:pPr>
        <w:pStyle w:val="TextoNormal"/>
      </w:pPr>
    </w:p>
    <w:p w14:paraId="2C49786D" w14:textId="199DB95A" w:rsidR="00A8138F" w:rsidRDefault="00A8138F" w:rsidP="00A8138F">
      <w:pPr>
        <w:pStyle w:val="TextoNormal"/>
      </w:pPr>
      <w:r w:rsidRPr="00A8138F">
        <w:rPr>
          <w:rStyle w:val="NumeroAFNegritaCaracter"/>
        </w:rPr>
        <w:t>13</w:t>
      </w:r>
      <w:r>
        <w:t>. Mediante providencia de 28 de enero de 2025 se señaló para deliberación y votación de la presente sentencia el día 29 del mismo mes y año.</w:t>
      </w:r>
    </w:p>
    <w:p w14:paraId="6FCE105D" w14:textId="77777777" w:rsidR="00A8138F" w:rsidRDefault="00A8138F" w:rsidP="00A8138F">
      <w:pPr>
        <w:pStyle w:val="TextoNormal"/>
      </w:pPr>
    </w:p>
    <w:p w14:paraId="58396525" w14:textId="77777777" w:rsidR="00A8138F" w:rsidRDefault="00A8138F" w:rsidP="00A8138F">
      <w:pPr>
        <w:pStyle w:val="TextoNormalNegritaCentrado"/>
        <w:keepNext/>
      </w:pPr>
      <w:r>
        <w:t>II. Fundamentos jurídicos</w:t>
      </w:r>
    </w:p>
    <w:p w14:paraId="4D4407C3" w14:textId="45EAB548" w:rsidR="00A8138F" w:rsidRDefault="00A8138F" w:rsidP="00A8138F">
      <w:pPr>
        <w:pStyle w:val="TextoNormalNegritaCentrado"/>
        <w:keepNext/>
      </w:pPr>
    </w:p>
    <w:p w14:paraId="0E219576"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05BB3C65" w14:textId="77777777" w:rsidR="00A8138F" w:rsidRDefault="00A8138F" w:rsidP="00A8138F">
      <w:pPr>
        <w:pStyle w:val="TextoNormal"/>
      </w:pPr>
    </w:p>
    <w:p w14:paraId="78FE8BEA" w14:textId="77777777" w:rsidR="00A8138F" w:rsidRDefault="00A8138F" w:rsidP="00A8138F">
      <w:pPr>
        <w:pStyle w:val="TextoNormal"/>
      </w:pPr>
      <w:r>
        <w:t>El presente recurso de inconstitucionalidad núm. 4038-2022, interpuesto por más de cincuenta diputados del Grupo Parlamentario Vox en el Congreso de los Diputados, se dirige contra los arts. 1, 2, 3, 4, 5, 6.2, 7, 10, 11, 12, 15 y la disposición transitoria de la Ley del Parlamento de Cataluña 1/2022, de 3 de marzo, de modificación de la Ley 18/2007, la Ley 24/2015 y la Ley 4/2016, para afrontar la emergencia en el ámbito de la vivienda.</w:t>
      </w:r>
    </w:p>
    <w:p w14:paraId="3C130167" w14:textId="77777777" w:rsidR="00A8138F" w:rsidRDefault="00A8138F" w:rsidP="00A8138F">
      <w:pPr>
        <w:pStyle w:val="TextoNormal"/>
      </w:pPr>
    </w:p>
    <w:p w14:paraId="6D6E702B" w14:textId="77777777" w:rsidR="00A8138F" w:rsidRDefault="00A8138F" w:rsidP="00A8138F">
      <w:pPr>
        <w:pStyle w:val="TextoNormal"/>
      </w:pPr>
      <w:r>
        <w:t>Los motivos en los que se basa el recurso de inconstitucionalidad son, como se ha expuesto con detalle en los antecedentes, los siguientes:</w:t>
      </w:r>
    </w:p>
    <w:p w14:paraId="551593AE" w14:textId="77777777" w:rsidR="00A8138F" w:rsidRDefault="00A8138F" w:rsidP="00A8138F">
      <w:pPr>
        <w:pStyle w:val="TextoNormal"/>
      </w:pPr>
    </w:p>
    <w:p w14:paraId="5CB11BF0" w14:textId="77777777" w:rsidR="00A8138F" w:rsidRDefault="00A8138F" w:rsidP="00A8138F">
      <w:pPr>
        <w:pStyle w:val="TextoNormal"/>
      </w:pPr>
      <w:r>
        <w:t>a) La desobediencia del legislador catalán al Tribunal Constitucional al recuperar el contenido de preceptos declarados inconstitucionales por las SSTC 16/2021, de 28 de enero, y 28/2022, de 24 de febrero. Esta queja se predica respecto de los arts. 1.1, 1.2, 1.3, 1.4, 1.5, 2, 4, 5, 6.2, 7, 10, 11, 12, 15.1 y la disposición transitoria.</w:t>
      </w:r>
    </w:p>
    <w:p w14:paraId="6ADADB09" w14:textId="77777777" w:rsidR="00A8138F" w:rsidRDefault="00A8138F" w:rsidP="00A8138F">
      <w:pPr>
        <w:pStyle w:val="TextoNormal"/>
      </w:pPr>
    </w:p>
    <w:p w14:paraId="11F9BFEE" w14:textId="77777777" w:rsidR="00A8138F" w:rsidRDefault="00A8138F" w:rsidP="00A8138F">
      <w:pPr>
        <w:pStyle w:val="TextoNormal"/>
      </w:pPr>
      <w:r>
        <w:lastRenderedPageBreak/>
        <w:t>b) La vulneración del derecho de propiedad (art. 33 CE), en relación con el art. 53.1 CE, bien por no respetar los preceptos impugnados su contenido esencial, bien por infringir el principio de proporcionalidad, según los casos. Estas tachas de inconstitucionalidad se invocan en relación con los arts. 1.1, 1.2, 1.3, 1.4, 1.5, 2, 3, 4, 5, 6.2, 7, 10, 11, 12, 15.1, 15.4 y la disposición transitoria.</w:t>
      </w:r>
    </w:p>
    <w:p w14:paraId="2C65096F" w14:textId="77777777" w:rsidR="00A8138F" w:rsidRDefault="00A8138F" w:rsidP="00A8138F">
      <w:pPr>
        <w:pStyle w:val="TextoNormal"/>
      </w:pPr>
    </w:p>
    <w:p w14:paraId="7E80A18E" w14:textId="77777777" w:rsidR="00A8138F" w:rsidRDefault="00A8138F" w:rsidP="00A8138F">
      <w:pPr>
        <w:pStyle w:val="TextoNormal"/>
      </w:pPr>
      <w:r>
        <w:t>c) La invasión de las siguientes competencias exclusivas del Estado:</w:t>
      </w:r>
    </w:p>
    <w:p w14:paraId="77E4559B" w14:textId="77777777" w:rsidR="00A8138F" w:rsidRDefault="00A8138F" w:rsidP="00A8138F">
      <w:pPr>
        <w:pStyle w:val="TextoNormal"/>
      </w:pPr>
    </w:p>
    <w:p w14:paraId="6500A40E" w14:textId="77777777" w:rsidR="00A8138F" w:rsidRDefault="00A8138F" w:rsidP="00A8138F">
      <w:pPr>
        <w:pStyle w:val="TextoNormal"/>
      </w:pPr>
      <w:r>
        <w:t>(i) La competencia estatal sobre la regulación de las condiciones básicas que garanticen la igualdad de todos los españoles en el ejercicio de los derechos y en el cumplimiento de los deberes constitucionales (art. 149.1.1 CE), en relación con los arts. 14, 33 y 139 CE, que se estima vulnerada por los arts. 1.1, 1.2, 1.3, 1.4, 1.5, 2, 3, 4, 5, 7, 11, 12 y 15.1.</w:t>
      </w:r>
    </w:p>
    <w:p w14:paraId="4DD678F6" w14:textId="77777777" w:rsidR="00A8138F" w:rsidRDefault="00A8138F" w:rsidP="00A8138F">
      <w:pPr>
        <w:pStyle w:val="TextoNormal"/>
      </w:pPr>
    </w:p>
    <w:p w14:paraId="5BC5B958" w14:textId="77777777" w:rsidR="00A8138F" w:rsidRDefault="00A8138F" w:rsidP="00A8138F">
      <w:pPr>
        <w:pStyle w:val="TextoNormal"/>
      </w:pPr>
      <w:r>
        <w:t>(ii) La competencia estatal sobre legislación en materia de expropiación forzosa (art. 149.1.18 CE), que se reputa infringida por el art. 15.4.</w:t>
      </w:r>
    </w:p>
    <w:p w14:paraId="61376C72" w14:textId="77777777" w:rsidR="00A8138F" w:rsidRDefault="00A8138F" w:rsidP="00A8138F">
      <w:pPr>
        <w:pStyle w:val="TextoNormal"/>
      </w:pPr>
    </w:p>
    <w:p w14:paraId="71B74FC2" w14:textId="77777777" w:rsidR="00A8138F" w:rsidRDefault="00A8138F" w:rsidP="00A8138F">
      <w:pPr>
        <w:pStyle w:val="TextoNormal"/>
      </w:pPr>
      <w:r>
        <w:t>(iii) La competencia estatal sobre legislación procesal (art. 149.1.6 CE), que se invoca frente a los arts. 11, 12 y la disposición transitoria. De manera entremezclada con esta queja competencial, se denuncia también la infracción por parte de estos preceptos del derecho a la tutela judicial efectiva (art. 24 CE), la autonomía de la voluntad (art. 10 CE), el derecho a la libertad de empresa (art. 38 CE) y el principio de plenitud jurisdiccional (art. 118 CE).</w:t>
      </w:r>
    </w:p>
    <w:p w14:paraId="43D4DE91" w14:textId="77777777" w:rsidR="00A8138F" w:rsidRDefault="00A8138F" w:rsidP="00A8138F">
      <w:pPr>
        <w:pStyle w:val="TextoNormal"/>
      </w:pPr>
    </w:p>
    <w:p w14:paraId="30ADDA18" w14:textId="77777777" w:rsidR="00A8138F" w:rsidRDefault="00A8138F" w:rsidP="00A8138F">
      <w:pPr>
        <w:pStyle w:val="TextoNormal"/>
      </w:pPr>
      <w:r>
        <w:t>(iv) La competencia estatal sobre legislación civil, en particular en lo que atañe a la ordenación de los registros e instrumentos públicos (art. 149.1.8 CE), en cuya infracción incurriría el art. 1.1.</w:t>
      </w:r>
    </w:p>
    <w:p w14:paraId="14DF48A6" w14:textId="77777777" w:rsidR="00A8138F" w:rsidRDefault="00A8138F" w:rsidP="00A8138F">
      <w:pPr>
        <w:pStyle w:val="TextoNormal"/>
      </w:pPr>
    </w:p>
    <w:p w14:paraId="53740A9E" w14:textId="23AB4328" w:rsidR="00A8138F" w:rsidRDefault="00A8138F" w:rsidP="00A8138F">
      <w:pPr>
        <w:pStyle w:val="TextoNormal"/>
      </w:pPr>
      <w:r>
        <w:t>Tanto el Gobierno de la Generalitat de Cataluña como el Parlamento de Cataluña han solicitado la desestimación del recurso de inconstitucionalidad, afirmando la constitucionalidad de los preceptos impugnados, negando que la ley objeto de recurso haya incurrido en desobediencia a lo resuelto en las SSTC 16/2021 y 28/2022, así como oponiéndose a las vulneraciones competenciales y sustantivas denunciadas en el recurso de inconstitucionalidad, con base en los argumentos recogidos en el apartado de antecedentes de esta resolución.</w:t>
      </w:r>
    </w:p>
    <w:p w14:paraId="2B1D6AC1" w14:textId="77777777" w:rsidR="00A8138F" w:rsidRDefault="00A8138F" w:rsidP="00A8138F">
      <w:pPr>
        <w:pStyle w:val="TextoNormal"/>
      </w:pPr>
    </w:p>
    <w:p w14:paraId="77E03CE0" w14:textId="77777777" w:rsidR="00A8138F" w:rsidRDefault="00A8138F" w:rsidP="00A8138F">
      <w:pPr>
        <w:pStyle w:val="TextoNormal"/>
      </w:pPr>
      <w:r w:rsidRPr="00A8138F">
        <w:rPr>
          <w:rStyle w:val="NumeroAFNegritaCaracter"/>
        </w:rPr>
        <w:t>2</w:t>
      </w:r>
      <w:r>
        <w:t xml:space="preserve">. </w:t>
      </w:r>
      <w:r w:rsidRPr="00A8138F">
        <w:rPr>
          <w:i/>
        </w:rPr>
        <w:t>Consideraciones previas para la delimitación del objeto de enjuiciamiento</w:t>
      </w:r>
    </w:p>
    <w:p w14:paraId="517664F7" w14:textId="77777777" w:rsidR="00A8138F" w:rsidRDefault="00A8138F" w:rsidP="00A8138F">
      <w:pPr>
        <w:pStyle w:val="TextoNormal"/>
      </w:pPr>
    </w:p>
    <w:p w14:paraId="24AAEF2D" w14:textId="77777777" w:rsidR="00A8138F" w:rsidRDefault="00A8138F" w:rsidP="00A8138F">
      <w:pPr>
        <w:pStyle w:val="TextoNormal"/>
      </w:pPr>
      <w:r>
        <w:t>A) Con carácter previo a abordar el examen de los motivos en los que se basa el presente procedimiento, ha de indicarse que este tribunal ya ha resuelto los recursos de inconstitucionalidad núm. 3955-2022 y 8118-2022, interpuestos contra la Ley 1/2022, por más de cincuenta diputados del Grupo Parlamentario Popular en el Congreso de los Diputados y por el presidente del Gobierno, respectivamente, en sus recientes SSTC 120/2024, de 8 de octubre, y 130/2024, de 22 de octubre. Por lo tanto, de modo preliminar, ha de examinarse qué incidencia tienen dichos pronunciamientos sobre el objeto del presente recurso de inconstitucionalidad.</w:t>
      </w:r>
    </w:p>
    <w:p w14:paraId="2656EE87" w14:textId="77777777" w:rsidR="00A8138F" w:rsidRDefault="00A8138F" w:rsidP="00A8138F">
      <w:pPr>
        <w:pStyle w:val="TextoNormal"/>
      </w:pPr>
    </w:p>
    <w:p w14:paraId="6E6B596C" w14:textId="77777777" w:rsidR="00A8138F" w:rsidRDefault="00A8138F" w:rsidP="00A8138F">
      <w:pPr>
        <w:pStyle w:val="TextoNormal"/>
      </w:pPr>
      <w:r>
        <w:t xml:space="preserve">a) En particular, en lo que aquí interesa, la STC 120/2024 declaró inconstitucionales y nulos los arts. 1.3; 7; 11; 12, en los que se refiere a los apartados 1, 2 y el inciso “y, en cualquier caso, no inferior a cinco años si el titular de la vivienda es una persona física y no inferior a siete años si es una persona jurídica” del apartado 3 de la disposición adicional </w:t>
      </w:r>
      <w:r>
        <w:lastRenderedPageBreak/>
        <w:t>primera de la Ley 24/2015; y la disposición transitoria de la Ley 1/2022. Todos estos preceptos han sido objeto de impugnación en el presente recurso de inconstitucionalidad.</w:t>
      </w:r>
    </w:p>
    <w:p w14:paraId="20C9EFCD" w14:textId="77777777" w:rsidR="00A8138F" w:rsidRDefault="00A8138F" w:rsidP="00A8138F">
      <w:pPr>
        <w:pStyle w:val="TextoNormal"/>
      </w:pPr>
    </w:p>
    <w:p w14:paraId="486FFC21" w14:textId="77777777" w:rsidR="00A8138F" w:rsidRDefault="00A8138F" w:rsidP="00A8138F">
      <w:pPr>
        <w:pStyle w:val="TextoNormal"/>
      </w:pPr>
      <w:r>
        <w:t>De acuerdo con consolidada doctrina constitucional [STC 73/2024, de 7 de mayo, FJ 2, con cita de la STC 139/2011, de 14 de septiembre, FJ 3 b)], y como también acordamos en la STC 130/2024, FJ 2, respecto del apartado recurrido entonces, la expulsión del ordenamiento jurídico por la STC 120/2024 de parte de los preceptos aquí impugnados determina la pérdida sobrevenida de objeto del presente recurso de inconstitucionalidad respecto de los mismos. En consecuencia, no serán objeto de análisis en esta sentencia las quejas relativas a dichos preceptos.</w:t>
      </w:r>
    </w:p>
    <w:p w14:paraId="27AF7B51" w14:textId="77777777" w:rsidR="00A8138F" w:rsidRDefault="00A8138F" w:rsidP="00A8138F">
      <w:pPr>
        <w:pStyle w:val="TextoNormal"/>
      </w:pPr>
    </w:p>
    <w:p w14:paraId="36CBD99D" w14:textId="77777777" w:rsidR="00A8138F" w:rsidRDefault="00A8138F" w:rsidP="00A8138F">
      <w:pPr>
        <w:pStyle w:val="TextoNormal"/>
      </w:pPr>
      <w:r>
        <w:t>b) Por otro lado, en el presente recurso de inconstitucionalidad se impugnan otros preceptos que también fueron objeto de examen en la STC 120/2024, a través de quejas sustancialmente coincidentes con otras que fueron desestimadas en aquella.</w:t>
      </w:r>
    </w:p>
    <w:p w14:paraId="4849B6AB" w14:textId="77777777" w:rsidR="00A8138F" w:rsidRDefault="00A8138F" w:rsidP="00A8138F">
      <w:pPr>
        <w:pStyle w:val="TextoNormal"/>
      </w:pPr>
    </w:p>
    <w:p w14:paraId="299C4570" w14:textId="77777777" w:rsidR="00A8138F" w:rsidRDefault="00A8138F" w:rsidP="00A8138F">
      <w:pPr>
        <w:pStyle w:val="TextoNormal"/>
      </w:pPr>
      <w:r>
        <w:t>(i) Es el caso del art. 1.1 que, a juicio de los demandantes, vulnera las competencias estatales previstas en los arts. 149.1.1 y 149.1.8 CE. Estas tachas de naturaleza competencial fueron desestimadas ya en la STC 120/2024, FJ 4 a) y b), respectivamente. Por lo tanto, estas tachas de inconstitucionalidad invocadas en el recurso que nos ocupa han de ser desestimadas por remisión a la doctrina allí establecida.</w:t>
      </w:r>
    </w:p>
    <w:p w14:paraId="607A34E1" w14:textId="77777777" w:rsidR="00A8138F" w:rsidRDefault="00A8138F" w:rsidP="00A8138F">
      <w:pPr>
        <w:pStyle w:val="TextoNormal"/>
      </w:pPr>
    </w:p>
    <w:p w14:paraId="3FEB5669" w14:textId="77777777" w:rsidR="00A8138F" w:rsidRDefault="00A8138F" w:rsidP="00A8138F">
      <w:pPr>
        <w:pStyle w:val="TextoNormal"/>
      </w:pPr>
      <w:r>
        <w:t>(ii) Del mismo modo, en relación con el art. 12, en lo que atañe a la parte subsistente del apartado 3 de la disposición adicional primera de la Ley 24/2015, no afectada por la declaración de inconstitucionalidad, ha de señalarse que este tribunal consideró que “no ofrece ningún género de duda que el contenido del apartado 3 de la disposición adicional primera carece por completo de naturaleza procesal”, razón por la cual descartó que incurriera en infracción de la competencia exclusiva estatal sobre legislación procesal prevista en el art. 149.1.6 CE [STC 120/2024, FJ 5 B) c) (ii)]. Por lo tanto, en aplicación de dicha doctrina, ha de rechazarse la pretendida infracción del art. 149.1.6 CE, en lo hace al citado apartado.</w:t>
      </w:r>
    </w:p>
    <w:p w14:paraId="47D5404D" w14:textId="77777777" w:rsidR="00A8138F" w:rsidRDefault="00A8138F" w:rsidP="00A8138F">
      <w:pPr>
        <w:pStyle w:val="TextoNormal"/>
      </w:pPr>
    </w:p>
    <w:p w14:paraId="1B0CDF89" w14:textId="77777777" w:rsidR="00A8138F" w:rsidRDefault="00A8138F" w:rsidP="00A8138F">
      <w:pPr>
        <w:pStyle w:val="TextoNormal"/>
      </w:pPr>
      <w:r>
        <w:t xml:space="preserve">Por lo demás, al hilo de esta consideración, puede añadirse ya que este tribunal constata que el resto de quejas deducidas en relación con el art. 12 (bien por invasión de la competencia estatal </w:t>
      </w:r>
      <w:r w:rsidRPr="00A8138F">
        <w:rPr>
          <w:i/>
        </w:rPr>
        <w:t>ex</w:t>
      </w:r>
      <w:r>
        <w:t xml:space="preserve"> art. 149.1.1 CE, bien por vulnerar el contenido esencial del derecho de propiedad reconocido en el art. 33 CE), se refieren a la obligación de ofrecer una propuesta de alquiler social antes de interponer demanda judicial, es decir, a la obligación regulada en los apartados 1 y 2 de la disposición adicional primera de la Ley 24/2015, ya declarados inconstitucionales por la STC 120/2024. Nada se argumenta en la demanda específicamente respecto de la regulación contenida en el apartado 3, por lo que el mismo ha de quedar excluido de nuestro enjuiciamiento, por incumplimiento de la inexcusable carga argumental que incumbe a la parte actora en el recurso de inconstitucionalidad.</w:t>
      </w:r>
    </w:p>
    <w:p w14:paraId="0491A997" w14:textId="77777777" w:rsidR="00A8138F" w:rsidRDefault="00A8138F" w:rsidP="00A8138F">
      <w:pPr>
        <w:pStyle w:val="TextoNormal"/>
      </w:pPr>
    </w:p>
    <w:p w14:paraId="3E584FFE" w14:textId="77777777" w:rsidR="00A8138F" w:rsidRDefault="00A8138F" w:rsidP="00A8138F">
      <w:pPr>
        <w:pStyle w:val="TextoNormal"/>
      </w:pPr>
      <w:r>
        <w:t xml:space="preserve">(iii) Finalmente, en la STC 120/2024, FJ 3, se desestimó la impugnación general de la Ley 1/2022 por su pretendida invasión de la competencia estatal prevista en el art. 149.1.1 CE, en relación con los arts. 14, 33 y 139 CE. Concluimos entonces que “la competencia del art. 149.1.1 CE no implica que corresponda al legislador estatal en exclusiva la regulación de la función social o del contenido esencial del derecho de propiedad”, así como que “[t]ampoco es posible apreciar, en una valoración que necesariamente ha de ser, como la </w:t>
      </w:r>
      <w:r>
        <w:lastRenderedPageBreak/>
        <w:t>queja, global, que exista una contradicción entre los objetivos perseguidos por la legislación estatal en materia de vivienda y el modelo que configura, la Ley 1/2022”.</w:t>
      </w:r>
    </w:p>
    <w:p w14:paraId="22CCC982" w14:textId="77777777" w:rsidR="00A8138F" w:rsidRDefault="00A8138F" w:rsidP="00A8138F">
      <w:pPr>
        <w:pStyle w:val="TextoNormal"/>
      </w:pPr>
    </w:p>
    <w:p w14:paraId="2BA5AD05" w14:textId="77777777" w:rsidR="00A8138F" w:rsidRDefault="00A8138F" w:rsidP="00A8138F">
      <w:pPr>
        <w:pStyle w:val="TextoNormal"/>
      </w:pPr>
      <w:r>
        <w:t>En el recurso que nos ocupa la infracción del art. 149.1.1 CE, en relación con los arts. 14, 33 y 139 CE, no se alega como queja global dirigida contra el conjunto de la Ley 1/2022, sino que solo se impugnan con base en este motivo los arts. 1.1, 1.2, 1.4, 1.5, 2, 3, 4, 5, 15.1 y 15.4. Ahora bien, la fundamentación de la queja es común a todos estos preceptos y se basa en el argumento genérico en virtud del cual solo correspondería al Estado, al amparo de la competencia que le atribuye el art. 149.1.1 CE, la regulación del contenido del derecho de propiedad y los deberes dimanantes de la función social del dicho derecho; argumento que, como acaba de reseñarse, ya fue rechazado en la STC 120/2024, FJ 3. En consecuencia, por aplicación de la doctrina allí establecida, procede desestimar también esta tacha de inconstitucionalidad.</w:t>
      </w:r>
    </w:p>
    <w:p w14:paraId="19952B7F" w14:textId="77777777" w:rsidR="00A8138F" w:rsidRDefault="00A8138F" w:rsidP="00A8138F">
      <w:pPr>
        <w:pStyle w:val="TextoNormal"/>
      </w:pPr>
    </w:p>
    <w:p w14:paraId="2AAC3399" w14:textId="77777777" w:rsidR="00A8138F" w:rsidRDefault="00A8138F" w:rsidP="00A8138F">
      <w:pPr>
        <w:pStyle w:val="TextoNormal"/>
      </w:pPr>
      <w:r>
        <w:t>B) En otro orden de cosas, durante la pendencia de este proceso constitucional, la Ley 18/2007, la Ley 24/2015 y la Ley 4/2016, modificadas por la impugnada Ley 1/2022, han sido objeto de algunas modificaciones puntuales, que han de examinarse por si pudieran afectar a la pervivencia del objeto del recurso de inconstitucionalidad.</w:t>
      </w:r>
    </w:p>
    <w:p w14:paraId="717990D7" w14:textId="77777777" w:rsidR="00A8138F" w:rsidRDefault="00A8138F" w:rsidP="00A8138F">
      <w:pPr>
        <w:pStyle w:val="TextoNormal"/>
      </w:pPr>
    </w:p>
    <w:p w14:paraId="524E7BDF" w14:textId="77777777" w:rsidR="00A8138F" w:rsidRDefault="00A8138F" w:rsidP="00A8138F">
      <w:pPr>
        <w:pStyle w:val="TextoNormal"/>
      </w:pPr>
      <w:r>
        <w:t>a) En primer lugar, con posterioridad a la interposición del presente recurso, se aprobó la Ley del Parlamento de Cataluña 1/2023, de 15 de febrero, de modificación de la Ley 18/2007, del derecho a la vivienda, y del libro quinto del Código civil de Cataluña, relativo a los derechos reales, en relación con la adopción de medidas urgentes para afrontar la inactividad de los propietarios en los casos de ocupación ilegal de viviendas con alteración de la convivencia vecinal. Esta ley no afecta a ninguno de los preceptos y apartados que aquí se impugnan, por lo que tiene nula incidencia sobre la subsistencia del recurso de inconstitucionalidad en los términos en los que fue planteado.</w:t>
      </w:r>
    </w:p>
    <w:p w14:paraId="31D1BDB8" w14:textId="77777777" w:rsidR="00A8138F" w:rsidRDefault="00A8138F" w:rsidP="00A8138F">
      <w:pPr>
        <w:pStyle w:val="TextoNormal"/>
      </w:pPr>
    </w:p>
    <w:p w14:paraId="4CBE6C41" w14:textId="77777777" w:rsidR="00A8138F" w:rsidRDefault="00A8138F" w:rsidP="00A8138F">
      <w:pPr>
        <w:pStyle w:val="TextoNormal"/>
      </w:pPr>
      <w:r>
        <w:t>b) En segundo lugar, cabría hacer referencia a la Ley del Parlamento de Cataluña 3/2023, de 16 de marzo, de medidas fiscales, financieras, administrativas y del sector público para el 2023 (en adelante, Ley 3/2023). El art. 63 de la Ley 3/2023 modificó el apartado 3 del art. 15 de la Ley 4/2016, que previamente había sido modificado por el art. 15 de la Ley 1/2022 y que sí forma parte de los artículos recurridos en el presente proceso constitucional. Sin embargo, sucede que, aunque la demanda se refiere tanto en el encabezamiento como en el suplico de la demanda al art. 15 de la Ley 1/2022 en su totalidad, lo cierto es que, en su fundamentación jurídica, la argumentación únicamente desarrolla los motivos de impugnación que se dirigen frente a los apartados 1 y 4 del art. 15 de Ley 4/2016, sin contener referencia alguna al apartado 3. Por lo tanto, atendida la carga argumental del recurso de inconstitucionalidad, el objeto de nuestro enjuiciamiento ha de quedar constreñido a las previsiones de los citados apartados 1 y 4, no afectados por la Ley 3/2023. En consecuencia, cabe concluir que la Ley 3/2023 no afecta a la subsistencia del objeto de este proceso.</w:t>
      </w:r>
    </w:p>
    <w:p w14:paraId="3B3D754F" w14:textId="77777777" w:rsidR="00A8138F" w:rsidRDefault="00A8138F" w:rsidP="00A8138F">
      <w:pPr>
        <w:pStyle w:val="TextoNormal"/>
      </w:pPr>
    </w:p>
    <w:p w14:paraId="4387B243" w14:textId="77777777" w:rsidR="00A8138F" w:rsidRDefault="00A8138F" w:rsidP="00A8138F">
      <w:pPr>
        <w:pStyle w:val="TextoNormal"/>
      </w:pPr>
      <w:r>
        <w:t xml:space="preserve">c) En tercer lugar, se ha de mencionar que por Decreto-ley del Gobierno de la Generalitat de Cataluña 6/2024, de 24 de abril, de medidas urgentes en materia de vivienda, se modificaron diversos preceptos de la Ley 18/2007. Sin embargo, el citado Decreto-ley 6/2024 quedó derogado al no resultar convalidado por el Parlamento de Cataluña, conforme a lo exigido en el art. 64.2 EAC, según acuerdo de la Diputación Permanente de 23 de mayo de </w:t>
      </w:r>
      <w:r>
        <w:lastRenderedPageBreak/>
        <w:t>2024 (publicado en el “Diari Oficial de la Generalitat de Catalunya” núm. 9170, de 27 de mayo de 2024).</w:t>
      </w:r>
    </w:p>
    <w:p w14:paraId="5C2B359F" w14:textId="77777777" w:rsidR="00A8138F" w:rsidRDefault="00A8138F" w:rsidP="00A8138F">
      <w:pPr>
        <w:pStyle w:val="TextoNormal"/>
      </w:pPr>
    </w:p>
    <w:p w14:paraId="167EF533" w14:textId="77777777" w:rsidR="00A8138F" w:rsidRDefault="00A8138F" w:rsidP="00A8138F">
      <w:pPr>
        <w:pStyle w:val="TextoNormal"/>
      </w:pPr>
      <w:r>
        <w:t>Por todo ello, se concluye que los cambios normativos acaecidos durante la pendencia del recurso de inconstitucionalidad no determinan la desaparición, ni siquiera parcial, del objeto del mismo.</w:t>
      </w:r>
    </w:p>
    <w:p w14:paraId="28663223" w14:textId="77777777" w:rsidR="00A8138F" w:rsidRDefault="00A8138F" w:rsidP="00A8138F">
      <w:pPr>
        <w:pStyle w:val="TextoNormal"/>
      </w:pPr>
    </w:p>
    <w:p w14:paraId="7C1C5C43" w14:textId="77777777" w:rsidR="00A8138F" w:rsidRDefault="00A8138F" w:rsidP="00A8138F">
      <w:pPr>
        <w:pStyle w:val="TextoNormal"/>
      </w:pPr>
      <w:r>
        <w:t>C) Por otro lado, para terminar de delimitar el objeto del recurso de inconstitucionalidad, también resulta preciso efectuar algunas consideraciones acerca de la impugnación del art. 10 de la Ley 1/2022.</w:t>
      </w:r>
    </w:p>
    <w:p w14:paraId="63B6A99E" w14:textId="77777777" w:rsidR="00A8138F" w:rsidRDefault="00A8138F" w:rsidP="00A8138F">
      <w:pPr>
        <w:pStyle w:val="TextoNormal"/>
      </w:pPr>
    </w:p>
    <w:p w14:paraId="7F52B530" w14:textId="77777777" w:rsidR="00A8138F" w:rsidRDefault="00A8138F" w:rsidP="00A8138F">
      <w:pPr>
        <w:pStyle w:val="TextoNormal"/>
      </w:pPr>
      <w:r>
        <w:t xml:space="preserve">El recurso de inconstitucionalidad indica en su encabezamiento, en su fundamento jurídico-procesal segundo y en el suplico que se dirige contra el art. 10 de la Ley 1/2022, “en cuanto da nueva redacción al art. 7.1 c) de la Ley 24/2015”. Sin embargo, en el cuerpo de la fundamentación jurídica del recurso de inconstitucionalidad la argumentación de la queja formulada contra dicho precepto (basada en la vulneración del derecho de propiedad, </w:t>
      </w:r>
      <w:r w:rsidRPr="00A8138F">
        <w:rPr>
          <w:i/>
        </w:rPr>
        <w:t>ex</w:t>
      </w:r>
      <w:r>
        <w:t xml:space="preserve"> art. 33 CE) no se refiere específicamente al requisito previsto en la letra c) del art. 7.1 de la Ley 24/2015, sino que lo que se controvierte es la posibilidad legal de que la administración pueda resolver la cesión obligatoria de viviendas para incorporarlas al fondo de viviendas de alquiler para políticas sociales, que, según los diputados recurrentes, constituye una medida desproporcionada y, por ende, lesiva del derecho de propiedad.</w:t>
      </w:r>
    </w:p>
    <w:p w14:paraId="0218FD80" w14:textId="77777777" w:rsidR="00A8138F" w:rsidRDefault="00A8138F" w:rsidP="00A8138F">
      <w:pPr>
        <w:pStyle w:val="TextoNormal"/>
      </w:pPr>
    </w:p>
    <w:p w14:paraId="21A6BECD" w14:textId="77777777" w:rsidR="00A8138F" w:rsidRDefault="00A8138F" w:rsidP="00A8138F">
      <w:pPr>
        <w:pStyle w:val="TextoNormal"/>
      </w:pPr>
      <w:r>
        <w:t>Por lo tanto, a pesar de la aparentemente confusa delimitación del objeto del recurso de inconstitucionalidad realizada en la demanda, ha de entenderse que el mismo se dirige contra el art. 10 en relación con nueva redacción dada al art. 7.1 de la Ley 24/2015, y no solo en lo que atañe a la nueva letra c) del citado precepto. Así ha de ser, toda vez que este tribunal tiene dicho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(STC 236/2007, de 7 de noviembre, FJ 10)” [STC 83/2020, de 15 de julio, FJ 2 b)]. En este caso, la voluntad impugnatoria de los recurrentes es la que se ha indicado, tal y como se desprende sin dificultades del tenor de la demanda.</w:t>
      </w:r>
    </w:p>
    <w:p w14:paraId="370126CF" w14:textId="77777777" w:rsidR="00A8138F" w:rsidRDefault="00A8138F" w:rsidP="00A8138F">
      <w:pPr>
        <w:pStyle w:val="TextoNormal"/>
      </w:pPr>
    </w:p>
    <w:p w14:paraId="78BAC1C0" w14:textId="77777777" w:rsidR="00A8138F" w:rsidRDefault="00A8138F" w:rsidP="00A8138F">
      <w:pPr>
        <w:pStyle w:val="TextoNormal"/>
      </w:pPr>
      <w:r>
        <w:t>Frente a esta forma de acotar el objeto de nuestro enjuiciamiento, la letrada de la Generalitat de Cataluña opone que la Ley 1/2022 únicamente añade al art. 7.1 de la Ley 24/2015 una nueva letra c), de manera que el recurso debe quedar limitado a este subapartado, puesto que, con arreglo a la doctrina constitucional citada en la STC 83/2020, FJ 2, debe quedar al margen del proceso cualquier consideración sobre la ley que es objeto de modificación, en aquellos aspectos que no se han visto afectados por la ley que la modifica. Sin embargo, en este caso, esta tesis no puede ser acogida, porque la jurisprudencia constitucional invocada en su apoyo se refiere a un supuesto de hecho distinto del que aquí nos ocupa.</w:t>
      </w:r>
    </w:p>
    <w:p w14:paraId="54F170E0" w14:textId="77777777" w:rsidR="00A8138F" w:rsidRDefault="00A8138F" w:rsidP="00A8138F">
      <w:pPr>
        <w:pStyle w:val="TextoNormal"/>
      </w:pPr>
    </w:p>
    <w:p w14:paraId="0102B0A7" w14:textId="77777777" w:rsidR="00A8138F" w:rsidRDefault="00A8138F" w:rsidP="00A8138F">
      <w:pPr>
        <w:pStyle w:val="TextoNormal"/>
      </w:pPr>
      <w:r>
        <w:t xml:space="preserve">El art. 10 de la Ley 1/2022 ha modificado la redacción de todo el art. 7.1 de la Ley 24/2015, no solo de su letra c). Si bien es cierto que el nuevo tenor de las letras a) y b) del art. 7.1 reproduce el vigente con anterioridad, también puede señalarse que el primer párrafo del apartado 1 introduce una variación relevante respecto de la redacción precedente, en </w:t>
      </w:r>
      <w:r>
        <w:lastRenderedPageBreak/>
        <w:t>virtud de la cual se amplía el plazo de la cesión temporal de tres a siete años. En consecuencia, la conclusión ha de ser que la modificación, operada por la Ley 1/2022, ha afectado a todo el art. 7.1 de la Ley 24/2015 y no solo a su letra c). Por ello, resulta aquí de aplicación lo dicho en la STC 126/2023, de 27 de septiembre, FJ 2, acerca de que “el carácter preclusivo del plazo de interposición del recurso de inconstitucionalidad no impide impugnar, dentro de plazo, la norma legal que modifique otra anterior no impugnada en su día, incluso si la nueva norma reitera el contenido de la preexistente (SSTC 146/1994, de 12 de mayo, FJ 4, y 214/1994, de 14 de julio, FJ 4)”.</w:t>
      </w:r>
    </w:p>
    <w:p w14:paraId="27D1063B" w14:textId="77777777" w:rsidR="00A8138F" w:rsidRDefault="00A8138F" w:rsidP="00A8138F">
      <w:pPr>
        <w:pStyle w:val="TextoNormal"/>
      </w:pPr>
    </w:p>
    <w:p w14:paraId="4B6A1DE2" w14:textId="77777777" w:rsidR="00A8138F" w:rsidRDefault="00A8138F" w:rsidP="00A8138F">
      <w:pPr>
        <w:pStyle w:val="TextoNormal"/>
      </w:pPr>
      <w:r>
        <w:t>Por lo tanto, ha de entenderse que el objeto del recurso de inconstitucionalidad comprende todo el art. 10 de la Ley 1/2022, en cuanto que da una nueva redacción al art. 7.1 de la Ley 24/2015, y no solo a la letra c) de este último.</w:t>
      </w:r>
    </w:p>
    <w:p w14:paraId="192D24D3" w14:textId="77777777" w:rsidR="00A8138F" w:rsidRDefault="00A8138F" w:rsidP="00A8138F">
      <w:pPr>
        <w:pStyle w:val="TextoNormal"/>
      </w:pPr>
    </w:p>
    <w:p w14:paraId="78B94A9D" w14:textId="77777777" w:rsidR="00A8138F" w:rsidRDefault="00A8138F" w:rsidP="00A8138F">
      <w:pPr>
        <w:pStyle w:val="TextoNormal"/>
      </w:pPr>
      <w:r>
        <w:t>D) Llegados a este punto, procede determinar el orden de enjuiciamiento de los distintos motivos de impugnación enarbolados por los recurrentes frente a la Ley 1/2022. En este sentido, cabe recordar que corresponde a este tribunal, en función de las circunstancias concurrentes en el caso concreto, determinar el orden de examen de las quejas planteadas [SSTC 37/2022, de 10 de marzo, FJ 3 b), y 146/2023, de 26 de octubre, FJ 2].</w:t>
      </w:r>
    </w:p>
    <w:p w14:paraId="2BC1DAAB" w14:textId="77777777" w:rsidR="00A8138F" w:rsidRDefault="00A8138F" w:rsidP="00A8138F">
      <w:pPr>
        <w:pStyle w:val="TextoNormal"/>
      </w:pPr>
    </w:p>
    <w:p w14:paraId="7882B163" w14:textId="77777777" w:rsidR="00A8138F" w:rsidRDefault="00A8138F" w:rsidP="00A8138F">
      <w:pPr>
        <w:pStyle w:val="TextoNormal"/>
      </w:pPr>
      <w:r>
        <w:t>Así, se analizará, en primer lugar, la impugnación basada en la pretendida desobediencia a la doctrina constitucional fijada en las SSTC 16/2021 y 28/2022, que subsiste respecto de los arts. 1.1, 1.2, 1.4, 1.5, 2, 4, 5, 6.2, 10 y 15.1.</w:t>
      </w:r>
    </w:p>
    <w:p w14:paraId="4091568B" w14:textId="77777777" w:rsidR="00A8138F" w:rsidRDefault="00A8138F" w:rsidP="00A8138F">
      <w:pPr>
        <w:pStyle w:val="TextoNormal"/>
      </w:pPr>
    </w:p>
    <w:p w14:paraId="00CBAC1B" w14:textId="77777777" w:rsidR="00A8138F" w:rsidRDefault="00A8138F" w:rsidP="00A8138F">
      <w:pPr>
        <w:pStyle w:val="TextoNormal"/>
      </w:pPr>
      <w:r>
        <w:t>Acto seguido, alterando el orden de las tachas propuesto en la demanda, se examinarán primero las quejas de índole competencial de las cuales, por las razones que acaban de exponerse, solo pervive la que afecta al art. 15.4 de la Ley 4/2016, en redacción dada por el art. 15 de la Ley 1/2022, al que los recurrentes imputan la infracción de la competencia legislativa del Estado en materia de expropiación forzosa (art. 149.1.18 CE).</w:t>
      </w:r>
    </w:p>
    <w:p w14:paraId="3C22CB93" w14:textId="77777777" w:rsidR="00A8138F" w:rsidRDefault="00A8138F" w:rsidP="00A8138F">
      <w:pPr>
        <w:pStyle w:val="TextoNormal"/>
      </w:pPr>
    </w:p>
    <w:p w14:paraId="539A3173" w14:textId="0181BEDA" w:rsidR="00A8138F" w:rsidRDefault="00A8138F" w:rsidP="00A8138F">
      <w:pPr>
        <w:pStyle w:val="TextoNormal"/>
      </w:pPr>
      <w:r>
        <w:t>Finalmente, se examinará la vulneración de naturaleza sustantiva, por infracción del derecho de propiedad privada (art. 33 CE), en relación con el art. 53.1 CE, que se denuncia en relación con los arts. 1.1, 1.2, 1.4, 1.5, 2, 3, 4, 5, 6.2, 10, 15.1 y 15.4.</w:t>
      </w:r>
    </w:p>
    <w:p w14:paraId="70806EBE" w14:textId="77777777" w:rsidR="00A8138F" w:rsidRDefault="00A8138F" w:rsidP="00A8138F">
      <w:pPr>
        <w:pStyle w:val="TextoNormal"/>
      </w:pPr>
    </w:p>
    <w:p w14:paraId="500200EA" w14:textId="77777777" w:rsidR="00A8138F" w:rsidRDefault="00A8138F" w:rsidP="00A8138F">
      <w:pPr>
        <w:pStyle w:val="TextoNormal"/>
      </w:pPr>
      <w:r w:rsidRPr="00A8138F">
        <w:rPr>
          <w:rStyle w:val="NumeroAFNegritaCaracter"/>
        </w:rPr>
        <w:t>3</w:t>
      </w:r>
      <w:r>
        <w:t xml:space="preserve">. </w:t>
      </w:r>
      <w:r w:rsidRPr="00A8138F">
        <w:rPr>
          <w:i/>
        </w:rPr>
        <w:t>Sobre la desobediencia de la Ley 1/2022 a las SSTC 16/2021 y 28/2022: desestimación</w:t>
      </w:r>
    </w:p>
    <w:p w14:paraId="64EEAC7A" w14:textId="77777777" w:rsidR="00A8138F" w:rsidRDefault="00A8138F" w:rsidP="00A8138F">
      <w:pPr>
        <w:pStyle w:val="TextoNormal"/>
      </w:pPr>
    </w:p>
    <w:p w14:paraId="32525A67" w14:textId="77777777" w:rsidR="00A8138F" w:rsidRDefault="00A8138F" w:rsidP="00A8138F">
      <w:pPr>
        <w:pStyle w:val="TextoNormal"/>
      </w:pPr>
      <w:r>
        <w:t>En su primer motivo de impugnación, los recurrentes denuncian que la Ley 1/2022 incurre en lo que los recurrentes denominan como “flagrante desobediencia” a las SSTC 16/2021 y 28/2022, que declararon inconstitucionales preceptos “idénticos” a los que constituyen el objeto de este recurso de inconstitucionalidad. Este primer motivo ha de ser desestimado y, para ello, hemos de referirnos por separado a cada una de nuestras citadas sentencias.</w:t>
      </w:r>
    </w:p>
    <w:p w14:paraId="1A317CF7" w14:textId="77777777" w:rsidR="00A8138F" w:rsidRDefault="00A8138F" w:rsidP="00A8138F">
      <w:pPr>
        <w:pStyle w:val="TextoNormal"/>
      </w:pPr>
    </w:p>
    <w:p w14:paraId="3345E6C5" w14:textId="77777777" w:rsidR="00A8138F" w:rsidRDefault="00A8138F" w:rsidP="00A8138F">
      <w:pPr>
        <w:pStyle w:val="TextoNormal"/>
      </w:pPr>
      <w:r>
        <w:t xml:space="preserve">a) Comenzando por la STC 16/2021, efectivamente, como ponen de manifiesto los recurrentes, el propio preámbulo de la Ley 1/2022 reconoce abiertamente que “[l]a presente ley recupera los artículos anulados por la sentencia del Tribunal Constitucional 16/2021 e introduce algunas mejoras técnicas”. Ahora bien, este objetivo abiertamente declarado por el legislador autonómico dista mucho de poder ser calificado como la demostración de “una </w:t>
      </w:r>
      <w:r>
        <w:lastRenderedPageBreak/>
        <w:t>postura de patente rebeldía de la Generalitat de Cataluña” o de “una negativa manifiesta del deber de acatamiento de la doctrina constitucional”, como sostienen los recurrentes.</w:t>
      </w:r>
    </w:p>
    <w:p w14:paraId="3B5E740A" w14:textId="77777777" w:rsidR="00A8138F" w:rsidRDefault="00A8138F" w:rsidP="00A8138F">
      <w:pPr>
        <w:pStyle w:val="TextoNormal"/>
      </w:pPr>
    </w:p>
    <w:p w14:paraId="53633561" w14:textId="77777777" w:rsidR="00A8138F" w:rsidRDefault="00A8138F" w:rsidP="00A8138F">
      <w:pPr>
        <w:pStyle w:val="TextoNormal"/>
      </w:pPr>
      <w:r>
        <w:t>La STC 16/2021 declaró inconstitucionales diversos preceptos del Decreto-ley 17/2019, de 23 de diciembre, de medidas urgentes para mejorar el acceso a la vivienda, y lo hizo “por ‘afectar’ al derecho de propiedad (art. 33 CE) en forma contraria a los arts. 86.1 CE y 64.1 EAC”. Verificado lo anterior, consideró este tribunal que tal declaración de inconstitucionalidad y nulidad “determina que los demás motivos del recurso que se dirigen contra esos mismos preceptos, o que asumen su vigencia como premisa de la vulneración denunciada, pierdan objeto y no precisen ya de un pronunciamiento específico del tribunal” (FJ 6).</w:t>
      </w:r>
    </w:p>
    <w:p w14:paraId="47080172" w14:textId="77777777" w:rsidR="00A8138F" w:rsidRDefault="00A8138F" w:rsidP="00A8138F">
      <w:pPr>
        <w:pStyle w:val="TextoNormal"/>
      </w:pPr>
    </w:p>
    <w:p w14:paraId="2B86119F" w14:textId="77777777" w:rsidR="00A8138F" w:rsidRDefault="00A8138F" w:rsidP="00A8138F">
      <w:pPr>
        <w:pStyle w:val="TextoNormal"/>
      </w:pPr>
      <w:r>
        <w:t>Por lo tanto, en la STC 16/2021 lo único que afirmó este tribunal es que la regulación entonces enjuiciada no podía llevarse a cabo a través del instrumento normativo del decreto-ley, porque constituía un incumplimiento de los límites materiales a los que está sujeta la legislación de urgencia. Es decir, lo que censuramos fue el incumplimiento de la restricción constitucional que pesa sobre el contenido de los decretos leyes que, de conformidad con los arts. 86.1 CE y 64.1 EAC, no pueden “afectar” a los derechos, deberes y libertades de los ciudadanos regulados en el título I de la Constitución, de acuerdo con la interpretación estricta que de esta expresión ha venido haciendo la jurisprudencia constitucional [por todas, STC 134/2021, de 24 de junio, FJ 4 b)]. Sin embargo, esta limitación no resulta de aplicación cuando se trata de una regulación aprobada mediante una ley formal. En consecuencia, de nuestro pronunciamiento no se desprende ni puede desprenderse, en modo alguno, que los preceptos entonces impugnados, y que fueron declarados inconstitucionales y nulos, incurrieran en una infracción del derecho de propiedad. Esta cuestión es a la que, precisamente, habremos de dar respuesta en la presente sentencia.</w:t>
      </w:r>
    </w:p>
    <w:p w14:paraId="3B716019" w14:textId="77777777" w:rsidR="00A8138F" w:rsidRDefault="00A8138F" w:rsidP="00A8138F">
      <w:pPr>
        <w:pStyle w:val="TextoNormal"/>
      </w:pPr>
    </w:p>
    <w:p w14:paraId="7D5690F0" w14:textId="77777777" w:rsidR="00A8138F" w:rsidRDefault="00A8138F" w:rsidP="00A8138F">
      <w:pPr>
        <w:pStyle w:val="TextoNormal"/>
      </w:pPr>
      <w:r>
        <w:t>En definitiva, como afirmamos en la STC 120/2024, “el examen que se realizó en la STC 16/2021 se circunscribió a dilucidar la concurrencia de una limitación que recae en exclusiva sobre la legislación de urgencia, sin entrar a contestar las quejas de índole competencial o sustantivo que se formularon, que habían perdido objeto y no precisaban ya de un pronunciamiento específico del Tribunal (FJ 6). Y aquel vicio de inconstitucionalidad queda ahora excluido, ya que el instrumento normativo que se enjuicia es una ley aprobada legítimamente por el Parlamento de Cataluña, no constreñida, por tanto, por las previsiones de los arts. 86.1 CE y 64.1 EAC” [FJ 2 b)].</w:t>
      </w:r>
    </w:p>
    <w:p w14:paraId="7F1938A0" w14:textId="77777777" w:rsidR="00A8138F" w:rsidRDefault="00A8138F" w:rsidP="00A8138F">
      <w:pPr>
        <w:pStyle w:val="TextoNormal"/>
      </w:pPr>
    </w:p>
    <w:p w14:paraId="628648DF" w14:textId="77777777" w:rsidR="00A8138F" w:rsidRDefault="00A8138F" w:rsidP="00A8138F">
      <w:pPr>
        <w:pStyle w:val="TextoNormal"/>
      </w:pPr>
      <w:r>
        <w:t>En idéntico sentido, nos pronunciamos en la STC 32/2018, de 12 de abril, FJ 3, en relación con la Ley del Parlamento de Andalucía 4/2013, de 1 de octubre, de medidas para asegurar el cumplimiento de la función social de la vivienda, respecto de la cual afirmamos que, al tratarse de una ley formal, no podía incurrir en el vicio de inconstitucionalidad consistente en haber excedido los límites materiales de los decretos leyes, apreciado en la STC 93/2015, de 14 de mayo, respecto del Decreto-ley de la Junta de Andalucía 6/2013, de 9 de abril, de medidas para asegurar el cumplimiento de la función social de la vivienda.</w:t>
      </w:r>
    </w:p>
    <w:p w14:paraId="1367EDCE" w14:textId="77777777" w:rsidR="00A8138F" w:rsidRDefault="00A8138F" w:rsidP="00A8138F">
      <w:pPr>
        <w:pStyle w:val="TextoNormal"/>
      </w:pPr>
    </w:p>
    <w:p w14:paraId="55EA1B44" w14:textId="768FDAAB" w:rsidR="00A8138F" w:rsidRDefault="00A8138F" w:rsidP="00A8138F">
      <w:pPr>
        <w:pStyle w:val="TextoNormal"/>
      </w:pPr>
      <w:r>
        <w:t xml:space="preserve">b) Por lo que se refiere a la STC 28/2022, la queja de los recurrentes se circunscribe al art. 12 de la Ley 1/2022, que dio nueva redacción a la disposición adicional primera de la Ley 24/2015. La doctrina fijada en la STC 28/2022 al declarar inconstitucionales los apartados 1, 2 y 3 del Decreto-ley del Gobierno de la Generalitat de Cataluña 37/2020, de 3 de noviembre, de refuerzo de la protección del derecho a la vivienda ante los efectos de la </w:t>
      </w:r>
      <w:r>
        <w:lastRenderedPageBreak/>
        <w:t>pandemia de la covid-19, fue seguida por la STC 120/2024 [FJ 5 B) c) (ii)] para fundar la declaración de inconstitucionalidad y nulidad del art. 12 de la Ley 1/2022 —en los términos ya vistos [</w:t>
      </w:r>
      <w:r w:rsidRPr="00A8138F">
        <w:rPr>
          <w:i/>
        </w:rPr>
        <w:t>supra</w:t>
      </w:r>
      <w:r>
        <w:t xml:space="preserve"> FJ 2 A) b) (ii)]— por lo que, una vez expulsado este precepto del ordenamiento jurídico, este motivo de impugnación ha perdido su objeto.</w:t>
      </w:r>
    </w:p>
    <w:p w14:paraId="219250D6" w14:textId="77777777" w:rsidR="00A8138F" w:rsidRDefault="00A8138F" w:rsidP="00A8138F">
      <w:pPr>
        <w:pStyle w:val="TextoNormal"/>
      </w:pPr>
    </w:p>
    <w:p w14:paraId="13DAD240" w14:textId="77777777" w:rsidR="00A8138F" w:rsidRDefault="00A8138F" w:rsidP="00A8138F">
      <w:pPr>
        <w:pStyle w:val="TextoNormal"/>
      </w:pPr>
      <w:r w:rsidRPr="00A8138F">
        <w:rPr>
          <w:rStyle w:val="NumeroAFNegritaCaracter"/>
        </w:rPr>
        <w:t>4</w:t>
      </w:r>
      <w:r>
        <w:t xml:space="preserve">. </w:t>
      </w:r>
      <w:r w:rsidRPr="00A8138F">
        <w:rPr>
          <w:i/>
        </w:rPr>
        <w:t>Examen del art. 15 de la Ley 1/2022 por la vulneración de la competencia estatal</w:t>
      </w:r>
      <w:r>
        <w:t xml:space="preserve"> ex </w:t>
      </w:r>
      <w:r w:rsidRPr="00A8138F">
        <w:rPr>
          <w:i/>
        </w:rPr>
        <w:t>art. 149.1.18 CE: estimación</w:t>
      </w:r>
    </w:p>
    <w:p w14:paraId="14330871" w14:textId="77777777" w:rsidR="00A8138F" w:rsidRDefault="00A8138F" w:rsidP="00A8138F">
      <w:pPr>
        <w:pStyle w:val="TextoNormal"/>
      </w:pPr>
    </w:p>
    <w:p w14:paraId="39D7DA15" w14:textId="77777777" w:rsidR="00A8138F" w:rsidRDefault="00A8138F" w:rsidP="00A8138F">
      <w:pPr>
        <w:pStyle w:val="TextoNormal"/>
      </w:pPr>
      <w:r>
        <w:t xml:space="preserve">a) El art. 15 de la Ley 1/2022 modifica los apartados 1, 2, 3, 4, 5 y 6 del art. 15 de la Ley 4/2016, de 23 de diciembre, de medidas de protección del derecho a la vivienda de las personas en riesgo de exclusión residencial. De todos estos apartados, la demanda impugna, por considerar que invade la competencia estatal </w:t>
      </w:r>
      <w:r w:rsidRPr="00A8138F">
        <w:rPr>
          <w:i/>
        </w:rPr>
        <w:t>ex</w:t>
      </w:r>
      <w:r>
        <w:t xml:space="preserve"> art. 149.1.18 CE, el art. 15.4 de la Ley 4/2016 que establece:</w:t>
      </w:r>
    </w:p>
    <w:p w14:paraId="3920FDB4" w14:textId="77777777" w:rsidR="00A8138F" w:rsidRDefault="00A8138F" w:rsidP="00A8138F">
      <w:pPr>
        <w:pStyle w:val="TextoNormal"/>
      </w:pPr>
    </w:p>
    <w:p w14:paraId="7DC72C49" w14:textId="77777777" w:rsidR="00A8138F" w:rsidRDefault="00A8138F" w:rsidP="00A8138F">
      <w:pPr>
        <w:pStyle w:val="TextoNormal"/>
      </w:pPr>
      <w:r>
        <w:t>“Es requisito para iniciar el procedimiento de expropiación al que se refiere el apartado 2 requerir previamente al titular de la vivienda afectada para que cumpla la obligación de que sea ocupada legalmente para constituir la residencia de las personas, con la advertencia de que, si no acredita su ocupación en el plazo de un mes, puede declararse el incumplimiento de la función social de la vivienda a efectos de iniciar el procedimiento para la expropiación y de que, de conformidad con el artículo 49.3 del texto refundido de la Ley de suelo y de rehabilitación urbana, el contenido del derecho de propiedad se reduce en un 50 por 100 de su valor, cuya diferencia corresponde a la administración expropiante. La administración y la persona titular de la vivienda pueden convenir la adquisición de la vivienda o de su uso temporal libremente y por mutuo acuerdo para destinarla al alquiler social en el plazo de tres meses, en cuyo supuesto concluye el procedimiento de expropiación que se hubiera iniciado y la cesión se convierte en amistosa”.</w:t>
      </w:r>
    </w:p>
    <w:p w14:paraId="1FBD3960" w14:textId="77777777" w:rsidR="00A8138F" w:rsidRDefault="00A8138F" w:rsidP="00A8138F">
      <w:pPr>
        <w:pStyle w:val="TextoNormal"/>
      </w:pPr>
    </w:p>
    <w:p w14:paraId="1635B2F8" w14:textId="77777777" w:rsidR="00A8138F" w:rsidRDefault="00A8138F" w:rsidP="00A8138F">
      <w:pPr>
        <w:pStyle w:val="TextoNormal"/>
      </w:pPr>
      <w:r>
        <w:t>De esta redacción, el recurso únicamente cuestiona el inciso “y de que, de conformidad con el artículo 49.3 del texto refundido de la Ley del suelo y de rehabilitación urbana, el contenido del derecho de propiedad se reduce en un 50 por 100 de su valor, cuya diferencia corresponde a la administración expropiante”, por lo que nuestro enjuiciamiento habrá de ceñirse exclusivamente a este.</w:t>
      </w:r>
    </w:p>
    <w:p w14:paraId="48302039" w14:textId="77777777" w:rsidR="00A8138F" w:rsidRDefault="00A8138F" w:rsidP="00A8138F">
      <w:pPr>
        <w:pStyle w:val="TextoNormal"/>
      </w:pPr>
    </w:p>
    <w:p w14:paraId="4F6308DE" w14:textId="77777777" w:rsidR="00A8138F" w:rsidRDefault="00A8138F" w:rsidP="00A8138F">
      <w:pPr>
        <w:pStyle w:val="TextoNormal"/>
      </w:pPr>
      <w:r>
        <w:t xml:space="preserve">Al respecto, alegan los recurrentes que este inciso supone una intromisión autonómica en las garantías del expropiado establecidas en la ley estatal y, en particular, en la valoración del derecho objeto de expropiación, que es competencia exclusiva del Estado </w:t>
      </w:r>
      <w:r w:rsidRPr="00A8138F">
        <w:rPr>
          <w:i/>
        </w:rPr>
        <w:t>ex</w:t>
      </w:r>
      <w:r>
        <w:t xml:space="preserve"> art. 149.1.18 CE. Por el contrario, la letrada del Parlamento de Cataluña ha defendido la constitucionalidad del apartado impugnado considerando que el legislador autonómico, en el ejercicio de sus competencias, puede determinar los supuestos en los que procederá aplicar la expropiación forzosa y que, en este caso, el legislador autonómico se ha limitado a recoger en la legislación autonómica la regla de valoración prevista por el legislador estatal en el art. 49.3 TRLSRU.</w:t>
      </w:r>
    </w:p>
    <w:p w14:paraId="404DB4EE" w14:textId="77777777" w:rsidR="00A8138F" w:rsidRDefault="00A8138F" w:rsidP="00A8138F">
      <w:pPr>
        <w:pStyle w:val="TextoNormal"/>
      </w:pPr>
    </w:p>
    <w:p w14:paraId="7146139A" w14:textId="77777777" w:rsidR="00A8138F" w:rsidRDefault="00A8138F" w:rsidP="00A8138F">
      <w:pPr>
        <w:pStyle w:val="TextoNormal"/>
      </w:pPr>
      <w:r>
        <w:t>b) El precepto impugnado establece una regla especial de valoración aplicable en el procedimiento de expropiación forzosa por incumplimiento de la función social de la vivienda (o “expropiación-sanción” como se denomina por la doctrina a esta institución), en virtud de la cual, en estos casos, el valor de la propiedad se reduce en un 50 por 100.</w:t>
      </w:r>
    </w:p>
    <w:p w14:paraId="28B38F43" w14:textId="77777777" w:rsidR="00A8138F" w:rsidRDefault="00A8138F" w:rsidP="00A8138F">
      <w:pPr>
        <w:pStyle w:val="TextoNormal"/>
      </w:pPr>
    </w:p>
    <w:p w14:paraId="3AB72CB2" w14:textId="77777777" w:rsidR="00A8138F" w:rsidRDefault="00A8138F" w:rsidP="00A8138F">
      <w:pPr>
        <w:pStyle w:val="TextoNormal"/>
      </w:pPr>
      <w:r>
        <w:lastRenderedPageBreak/>
        <w:t>La jurisprudencia constitucional ya se ha pronunciado en otras ocasiones sobre la competencia para establecer el régimen de valoración de los bienes expropiados y ha venido afirmado que el título competencial del art. 149.1.18 CE, que atribuye al Estado la competencia exclusiva sobre la legislación de expropiación forzosa, comprende también la competencia estatal para la determinación del justiprecio en cualquier tipo de expropiación. Ya en la temprana STC 37/1987, de 26 de marzo, afirmamos que “es obvio que el constituyente ha pretendido que exista una regulación general de la institución expropiatoria —incluso en sus diversas variantes, pues tampoco es hoy la expropiación forzosa una institución unitaria— en todo el territorio del Estado. Y para ello ha reservado en exclusiva al Estado la competencia sobre la legislación de expropiación (artículo 149.1.18 de la Constitución) y no simplemente, como en otras materias, la competencia para establecer las bases o la legislación básica.</w:t>
      </w:r>
    </w:p>
    <w:p w14:paraId="7DEFD494" w14:textId="77777777" w:rsidR="00A8138F" w:rsidRDefault="00A8138F" w:rsidP="00A8138F">
      <w:pPr>
        <w:pStyle w:val="TextoNormal"/>
      </w:pPr>
    </w:p>
    <w:p w14:paraId="65F29B30" w14:textId="77777777" w:rsidR="00A8138F" w:rsidRDefault="00A8138F" w:rsidP="00A8138F">
      <w:pPr>
        <w:pStyle w:val="TextoNormal"/>
      </w:pPr>
      <w:r>
        <w:t>En tanto que institución de garantía de los intereses económicos privados, la expropiación forzosa implica la obligación de los poderes públicos de indemnizar a quien resulta privado de sus bienes o derechos por legítimas razones de interés general con un equivalente económico, que ha de establecerse conforme a los criterios objetivos de valoración prefijados por la ley, a través de un procedimiento en el que, previa declaración de la causa legitimadora de la concreta operación expropiatoria, se identifica el objeto a expropiar, se cuantifica el justiprecio y se procede a la toma de posesión de aquel y al pago de este. Sin duda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 149.1.18 impide que los bienes objeto de expropiación puedan ser evaluados con criterios diferentes en unas y otras partes del territorio nacional y que se prive a cualquier ciudadano de alguna de las garantías que comporta el procedimiento expropiatorio” (FJ 6).</w:t>
      </w:r>
    </w:p>
    <w:p w14:paraId="3CCBAF57" w14:textId="77777777" w:rsidR="00A8138F" w:rsidRDefault="00A8138F" w:rsidP="00A8138F">
      <w:pPr>
        <w:pStyle w:val="TextoNormal"/>
      </w:pPr>
    </w:p>
    <w:p w14:paraId="2F78D9F3" w14:textId="77777777" w:rsidR="00A8138F" w:rsidRDefault="00A8138F" w:rsidP="00A8138F">
      <w:pPr>
        <w:pStyle w:val="TextoNormal"/>
      </w:pPr>
      <w:r>
        <w:t>Con posterioridad, en la STC 61/1997, de 20 de marzo, vinimos a reiterar este criterio al afirmar que “es al Estado al que compete determinar, pues caen dentro del art. 149.1.18 CE, la fijación de los criterios de determinación del justiprecio para impedir que los bienes puedan ser evaluados con criterios diferentes en unas y otras partes del territorio nacional” (FJ 19). Y, más recientemente, y con cita de las anteriores, hemos insistido en esta interpretación del título competencial previsto en el art. 149.1.18 CE en la STC 14/2007, de 18 de enero, FJ 3.</w:t>
      </w:r>
    </w:p>
    <w:p w14:paraId="2D5DB128" w14:textId="77777777" w:rsidR="00A8138F" w:rsidRDefault="00A8138F" w:rsidP="00A8138F">
      <w:pPr>
        <w:pStyle w:val="TextoNormal"/>
      </w:pPr>
    </w:p>
    <w:p w14:paraId="7F365EE9" w14:textId="77777777" w:rsidR="00A8138F" w:rsidRDefault="00A8138F" w:rsidP="00A8138F">
      <w:pPr>
        <w:pStyle w:val="TextoNormal"/>
      </w:pPr>
      <w:r>
        <w:t>c) Expuesta la doctrina constitucional aplicable, estamos en disposición de enjuiciar el inciso impugnado y puede avanzarse ya que el recurso ha de ser estimado en este punto.</w:t>
      </w:r>
    </w:p>
    <w:p w14:paraId="3E67522A" w14:textId="77777777" w:rsidR="00A8138F" w:rsidRDefault="00A8138F" w:rsidP="00A8138F">
      <w:pPr>
        <w:pStyle w:val="TextoNormal"/>
      </w:pPr>
    </w:p>
    <w:p w14:paraId="2E1BB581" w14:textId="77777777" w:rsidR="00A8138F" w:rsidRDefault="00A8138F" w:rsidP="00A8138F">
      <w:pPr>
        <w:pStyle w:val="TextoNormal"/>
      </w:pPr>
      <w:r>
        <w:t xml:space="preserve">Efectivamente, como afirma la letrada del Parlamento de Cataluña, este tribunal ha reconocido que, en los ámbitos sectoriales de competencia de las comunidades autónomas (como es, en este caso, la materia de vivienda </w:t>
      </w:r>
      <w:r w:rsidRPr="00A8138F">
        <w:rPr>
          <w:i/>
        </w:rPr>
        <w:t>ex</w:t>
      </w:r>
      <w:r>
        <w:t xml:space="preserve"> art. 137 EAC), corresponde al legislador autonómico definir los supuestos en los que cabe hacer uso del instrumento expropiatorio mediante la declaración de la </w:t>
      </w:r>
      <w:r w:rsidRPr="00A8138F">
        <w:rPr>
          <w:i/>
        </w:rPr>
        <w:t>causa expropiandi</w:t>
      </w:r>
      <w:r>
        <w:t xml:space="preserve"> (STC 17/1990, de 7 de febrero, FJ 10, con cita de la STC 37/1987, FJ 6). Ahora bien, este reconocimiento no obsta para que, en el seno de la expropiación, hayan de respetarse las garantías procedimentales establecidas en la ley </w:t>
      </w:r>
      <w:r>
        <w:lastRenderedPageBreak/>
        <w:t>estatal y, muy singularmente, los criterios para la determinación del valor de los bienes y derechos expropiados, que corresponde establecer, en exclusiva, al legislador estatal en el ejercicio de la competencia que le atribuye el art. 149.1.18 CE, con la finalidad de asegurar que los bienes sean evaluados con los mismos criterios en todo el territorio nacional.</w:t>
      </w:r>
    </w:p>
    <w:p w14:paraId="6EF4EABC" w14:textId="77777777" w:rsidR="00A8138F" w:rsidRDefault="00A8138F" w:rsidP="00A8138F">
      <w:pPr>
        <w:pStyle w:val="TextoNormal"/>
      </w:pPr>
    </w:p>
    <w:p w14:paraId="109311FD" w14:textId="77777777" w:rsidR="00A8138F" w:rsidRDefault="00A8138F" w:rsidP="00A8138F">
      <w:pPr>
        <w:pStyle w:val="TextoNormal"/>
      </w:pPr>
      <w:r>
        <w:t>Por esta razón, no puede compartirse la tesis de que la legislación autonómica de vivienda se ha limitado a recoger la regla de valoración establecida en la legislación estatal. Y ello porque la reducción del 50 por 100 contemplada en el art. 49.3 TRLSRU, al que hace referencia el inciso controvertido, es una regla especial que no está prevista en la legislación estatal para cualquier supuesto de expropiación por incumplimiento de la función social de la propiedad o expropiación-sanción, sino solamente para un caso particular que es el incumplimiento de los deberes establecidos en el TRLSRU y, muy singularmente, el incumplimiento de los deberes urbanísticos vinculados a la ejecución del planeamiento. Pues bien, el inciso previsto en el art. 15.4 de la Ley 4/2016, que ahora nos ocupa, viene a extender esa regla especial de valoración consistente en la reducción en un 50 por 100 del valor de la propiedad a un supuesto distinto —el incumplimiento del deber de ocupación legal y efectiva de la vivienda para que constituya la residencia de las personas— y que poco tiene que ver con el supuesto expropiatorio al que hace referencia el art. 49 TRLSRU. En consecuencia, al extrapolar una regla especial de valoración de los bienes expropiados a otro supuesto de hecho distinto de aquel para el que dicha regla fue concebida por el legislador estatal, el precepto autonómico incurre en una invasión de la competencia para el establecimiento de los criterios para la determinación del justiprecio, de aplicación uniforme en todo el territorio nacional, que tiene constitucionalmente atribuida en exclusiva el Estado al amparo del art. 149.1.18 CE.</w:t>
      </w:r>
    </w:p>
    <w:p w14:paraId="4805704A" w14:textId="77777777" w:rsidR="00A8138F" w:rsidRDefault="00A8138F" w:rsidP="00A8138F">
      <w:pPr>
        <w:pStyle w:val="TextoNormal"/>
      </w:pPr>
    </w:p>
    <w:p w14:paraId="3926E0BA" w14:textId="77777777" w:rsidR="00A8138F" w:rsidRDefault="00A8138F" w:rsidP="00A8138F">
      <w:pPr>
        <w:pStyle w:val="TextoNormal"/>
      </w:pPr>
      <w:r>
        <w:t>En consecuencia, procede declarar inconstitucional y nulo, por infringir el orden constitucional de distribución de competencias, el inciso “y de que, de conformidad con el artículo 49.3 del texto refundido de la Ley del suelo y rehabilitación urbana, el contenido del derecho de propiedad se reduce en un 50 por 100 de su valor, cuya diferencia corresponde a la administración expropiante” del art. 15.4 de la Ley 4/2016, de 23 de diciembre, de medidas de protección del derecho a la vivienda de las personas en riesgo de exclusión residencial, en redacción dada por el art. 15 de la Ley 1/2022.</w:t>
      </w:r>
    </w:p>
    <w:p w14:paraId="34CB3F45" w14:textId="77777777" w:rsidR="00A8138F" w:rsidRDefault="00A8138F" w:rsidP="00A8138F">
      <w:pPr>
        <w:pStyle w:val="TextoNormal"/>
      </w:pPr>
    </w:p>
    <w:p w14:paraId="3056B937" w14:textId="6B8117CB" w:rsidR="00A8138F" w:rsidRDefault="00A8138F" w:rsidP="00A8138F">
      <w:pPr>
        <w:pStyle w:val="TextoNormal"/>
      </w:pPr>
      <w:r>
        <w:t>d) La declaración de inconstitucionalidad y nulidad del referido inciso del art. 15.4 de la Ley 4/2016 determina que resulte innecesario pronunciarse sobre la tacha de inconstitucionalidad dirigida contra este precepto con base en la pretendida vulneración del derecho de propiedad (art. 33 CE). Ello se debe a que, como ocurre con la impugnación competencial que acaba de analizarse y estimarse, aunque el recurso indica que se impugna el art. 15.4 en su conjunto, la argumentación de la queja va dirigida exclusiva y específicamente contra la citada regla de valoración, por lo que, una vez expulsado del ordenamiento jurídico el inciso cuestionado que la regulaba, pierde objeto el motivo de impugnación sustantivo invocado frente al mismo.</w:t>
      </w:r>
    </w:p>
    <w:p w14:paraId="47FECEC1" w14:textId="77777777" w:rsidR="00A8138F" w:rsidRDefault="00A8138F" w:rsidP="00A8138F">
      <w:pPr>
        <w:pStyle w:val="TextoNormal"/>
      </w:pPr>
    </w:p>
    <w:p w14:paraId="047935EA" w14:textId="77777777" w:rsidR="00A8138F" w:rsidRDefault="00A8138F" w:rsidP="00A8138F">
      <w:pPr>
        <w:pStyle w:val="TextoNormal"/>
      </w:pPr>
      <w:r w:rsidRPr="00A8138F">
        <w:rPr>
          <w:rStyle w:val="NumeroAFNegritaCaracter"/>
        </w:rPr>
        <w:t>5</w:t>
      </w:r>
      <w:r>
        <w:t xml:space="preserve">. </w:t>
      </w:r>
      <w:r w:rsidRPr="00A8138F">
        <w:rPr>
          <w:i/>
        </w:rPr>
        <w:t>Sobre la vulneración del derecho de propiedad (art. 33 CE), en relación con el art. 53.1 CE: desestimación</w:t>
      </w:r>
    </w:p>
    <w:p w14:paraId="1F0ADEA2" w14:textId="77777777" w:rsidR="00A8138F" w:rsidRDefault="00A8138F" w:rsidP="00A8138F">
      <w:pPr>
        <w:pStyle w:val="TextoNormal"/>
      </w:pPr>
    </w:p>
    <w:p w14:paraId="2AE6E2AB" w14:textId="77777777" w:rsidR="00A8138F" w:rsidRDefault="00A8138F" w:rsidP="00A8138F">
      <w:pPr>
        <w:pStyle w:val="TextoNormal"/>
      </w:pPr>
      <w:r>
        <w:t xml:space="preserve">El recurso de inconstitucionalidad denuncia que los arts. 1.1, 1.2, 1.4, 1.5, 2, 3, 4, 5, 6.2, 10, y 15.1 de la Ley 1/2022 vulneran el derecho a la propiedad privada (art. 33 CE), bien </w:t>
      </w:r>
      <w:r>
        <w:lastRenderedPageBreak/>
        <w:t>por vulnerar su contenido esencial (art. 53.1 CE), bien por no respetar las exigencias del principio de proporcionalidad, al no superar los juicios de idoneidad, necesidad y proporcionalidad en sentido estricto.</w:t>
      </w:r>
    </w:p>
    <w:p w14:paraId="6F23A2F8" w14:textId="77777777" w:rsidR="00A8138F" w:rsidRDefault="00A8138F" w:rsidP="00A8138F">
      <w:pPr>
        <w:pStyle w:val="TextoNormal"/>
      </w:pPr>
    </w:p>
    <w:p w14:paraId="3702A749" w14:textId="77777777" w:rsidR="00A8138F" w:rsidRDefault="00A8138F" w:rsidP="00A8138F">
      <w:pPr>
        <w:pStyle w:val="TextoNormal"/>
      </w:pPr>
      <w:r>
        <w:t>El art. 1.1 de la Ley 1/2022 modifica el art. 5.2 b) de la Ley 18/2007, en virtud del cual existe incumplimiento de la función social de la propiedad de una vivienda o un edificio de viviendas en el supuesto de que:</w:t>
      </w:r>
    </w:p>
    <w:p w14:paraId="3B9C4AC4" w14:textId="77777777" w:rsidR="00A8138F" w:rsidRDefault="00A8138F" w:rsidP="00A8138F">
      <w:pPr>
        <w:pStyle w:val="TextoNormal"/>
      </w:pPr>
    </w:p>
    <w:p w14:paraId="0104F063" w14:textId="77777777" w:rsidR="00A8138F" w:rsidRDefault="00A8138F" w:rsidP="00A8138F">
      <w:pPr>
        <w:pStyle w:val="TextoNormal"/>
      </w:pPr>
      <w:r>
        <w:t>“b) La vivienda o el edificio de viviendas estén desocupados de forma permanente e injustificada durante un período de más de dos años. Ni la ocupación de estas viviendas sin título habilitante ni la transmisión de su titularidad a favor de una persona jurídica alteran la situación de incumplimiento de la función social de la propiedad”.</w:t>
      </w:r>
    </w:p>
    <w:p w14:paraId="09B6560F" w14:textId="77777777" w:rsidR="00A8138F" w:rsidRDefault="00A8138F" w:rsidP="00A8138F">
      <w:pPr>
        <w:pStyle w:val="TextoNormal"/>
      </w:pPr>
    </w:p>
    <w:p w14:paraId="759121F9" w14:textId="77777777" w:rsidR="00A8138F" w:rsidRDefault="00A8138F" w:rsidP="00A8138F">
      <w:pPr>
        <w:pStyle w:val="TextoNormal"/>
      </w:pPr>
      <w:r>
        <w:t>El art. 1.2 de la Ley 1/2022 dio nueva redacción al art. 5.2 d) de la Ley 18/2007, estableciendo como supuesto de incumplimiento de la función social de la propiedad de una vivienda o un edificio de viviendas:</w:t>
      </w:r>
    </w:p>
    <w:p w14:paraId="04390534" w14:textId="77777777" w:rsidR="00A8138F" w:rsidRDefault="00A8138F" w:rsidP="00A8138F">
      <w:pPr>
        <w:pStyle w:val="TextoNormal"/>
      </w:pPr>
    </w:p>
    <w:p w14:paraId="1E7A948F" w14:textId="77777777" w:rsidR="00A8138F" w:rsidRDefault="00A8138F" w:rsidP="00A8138F">
      <w:pPr>
        <w:pStyle w:val="TextoNormal"/>
      </w:pPr>
      <w:r>
        <w:t>“d) No se destine a residencia habitual y permanente de personas, si es una vivienda de protección oficial o una vivienda reservada para el planeamiento urbanístico a este tipo de residencia”.</w:t>
      </w:r>
    </w:p>
    <w:p w14:paraId="6304E015" w14:textId="77777777" w:rsidR="00A8138F" w:rsidRDefault="00A8138F" w:rsidP="00A8138F">
      <w:pPr>
        <w:pStyle w:val="TextoNormal"/>
      </w:pPr>
    </w:p>
    <w:p w14:paraId="4A6CC9B0" w14:textId="77777777" w:rsidR="00A8138F" w:rsidRDefault="00A8138F" w:rsidP="00A8138F">
      <w:pPr>
        <w:pStyle w:val="TextoNormal"/>
      </w:pPr>
      <w:r>
        <w:t xml:space="preserve">El art. 1.4 de la Ley 1/2022 añade un apartado 2 </w:t>
      </w:r>
      <w:r w:rsidRPr="00A8138F">
        <w:rPr>
          <w:i/>
        </w:rPr>
        <w:t>bis</w:t>
      </w:r>
      <w:r>
        <w:t xml:space="preserve"> al art. 5 de la Ley 18/2007, que dispone:</w:t>
      </w:r>
    </w:p>
    <w:p w14:paraId="02D45CC7" w14:textId="77777777" w:rsidR="00A8138F" w:rsidRDefault="00A8138F" w:rsidP="00A8138F">
      <w:pPr>
        <w:pStyle w:val="TextoNormal"/>
      </w:pPr>
    </w:p>
    <w:p w14:paraId="646186CD" w14:textId="77777777" w:rsidR="00A8138F" w:rsidRDefault="00A8138F" w:rsidP="00A8138F">
      <w:pPr>
        <w:pStyle w:val="TextoNormal"/>
      </w:pPr>
      <w:r>
        <w:t xml:space="preserve">“2 </w:t>
      </w:r>
      <w:r w:rsidRPr="00A8138F">
        <w:rPr>
          <w:i/>
        </w:rPr>
        <w:t>bis</w:t>
      </w:r>
      <w:r>
        <w:t>. Los supuestos a los que se refieren las letras b y d del apartado 2 constituyen un incumplimiento del deber de los propietarios de las edificaciones de dedicarlas a usos compatibles con la ordenación territorial y urbanística”.</w:t>
      </w:r>
    </w:p>
    <w:p w14:paraId="3FA565DE" w14:textId="77777777" w:rsidR="00A8138F" w:rsidRDefault="00A8138F" w:rsidP="00A8138F">
      <w:pPr>
        <w:pStyle w:val="TextoNormal"/>
      </w:pPr>
    </w:p>
    <w:p w14:paraId="4300FD3D" w14:textId="77777777" w:rsidR="00A8138F" w:rsidRDefault="00A8138F" w:rsidP="00A8138F">
      <w:pPr>
        <w:pStyle w:val="TextoNormal"/>
      </w:pPr>
      <w:r>
        <w:t xml:space="preserve">El art. 1.5 de la Ley 1/2022 añade un nuevo apartado 3 </w:t>
      </w:r>
      <w:r w:rsidRPr="00A8138F">
        <w:rPr>
          <w:i/>
        </w:rPr>
        <w:t>bis</w:t>
      </w:r>
      <w:r>
        <w:t xml:space="preserve"> al art. 5 de la Ley 18/2007, que establece:</w:t>
      </w:r>
    </w:p>
    <w:p w14:paraId="4D25D580" w14:textId="77777777" w:rsidR="00A8138F" w:rsidRDefault="00A8138F" w:rsidP="00A8138F">
      <w:pPr>
        <w:pStyle w:val="TextoNormal"/>
      </w:pPr>
    </w:p>
    <w:p w14:paraId="22F07998" w14:textId="77777777" w:rsidR="00A8138F" w:rsidRDefault="00A8138F" w:rsidP="00A8138F">
      <w:pPr>
        <w:pStyle w:val="TextoNormal"/>
      </w:pPr>
      <w:r>
        <w:t xml:space="preserve">“3 </w:t>
      </w:r>
      <w:r w:rsidRPr="00A8138F">
        <w:rPr>
          <w:i/>
        </w:rPr>
        <w:t>bis</w:t>
      </w:r>
      <w:r>
        <w:t xml:space="preserve">. Las administraciones competentes en materia de vivienda pueden declarar el incumplimiento de la función social de la propiedad de las viviendas en caso de que los propietarios hayan sido requeridos para adoptar las medidas necesarias para cumplir la función social de la propiedad y hayan incumplido el requerimiento en el plazo establecido. La declaración del incumplimiento de la función social puede comportar la adopción de las medidas de ejecución forzosa que determina la legislación en materia de vivienda y, en los supuestos del apartado 2 </w:t>
      </w:r>
      <w:r w:rsidRPr="00A8138F">
        <w:rPr>
          <w:i/>
        </w:rPr>
        <w:t>bis</w:t>
      </w:r>
      <w:r>
        <w:t>, las establecidas por la legislación en materia de suelo, incluida la expropiación forzosa en los casos establecidos por ley”.</w:t>
      </w:r>
    </w:p>
    <w:p w14:paraId="7A36B23D" w14:textId="77777777" w:rsidR="00A8138F" w:rsidRDefault="00A8138F" w:rsidP="00A8138F">
      <w:pPr>
        <w:pStyle w:val="TextoNormal"/>
      </w:pPr>
    </w:p>
    <w:p w14:paraId="5E5E289A" w14:textId="77777777" w:rsidR="00A8138F" w:rsidRDefault="00A8138F" w:rsidP="00A8138F">
      <w:pPr>
        <w:pStyle w:val="TextoNormal"/>
      </w:pPr>
      <w:r>
        <w:t>El art. 2 de la Ley 1/2022 modifica el art. 41.1 a) de la Ley 18/2007, definiendo como utilización anómala de una vivienda o edificio de viviendas:</w:t>
      </w:r>
    </w:p>
    <w:p w14:paraId="41DDFA8B" w14:textId="77777777" w:rsidR="00A8138F" w:rsidRDefault="00A8138F" w:rsidP="00A8138F">
      <w:pPr>
        <w:pStyle w:val="TextoNormal"/>
      </w:pPr>
    </w:p>
    <w:p w14:paraId="27124436" w14:textId="77777777" w:rsidR="00A8138F" w:rsidRDefault="00A8138F" w:rsidP="00A8138F">
      <w:pPr>
        <w:pStyle w:val="TextoNormal"/>
      </w:pPr>
      <w:r>
        <w:t>“a) La desocupación permanente e injustificada a la que se refiere el artículo 5.2.b. Se asimila a esta utilización anómala la de los edificios inacabados que estén destinados a vivienda, con más del 80 por 100 de sus obras de construcción ejecutadas, después de que hayan transcurrido más de dos años desde la finalización del plazo para terminarlos”.</w:t>
      </w:r>
    </w:p>
    <w:p w14:paraId="71FD1754" w14:textId="77777777" w:rsidR="00A8138F" w:rsidRDefault="00A8138F" w:rsidP="00A8138F">
      <w:pPr>
        <w:pStyle w:val="TextoNormal"/>
      </w:pPr>
    </w:p>
    <w:p w14:paraId="42E882D4" w14:textId="77777777" w:rsidR="00A8138F" w:rsidRDefault="00A8138F" w:rsidP="00A8138F">
      <w:pPr>
        <w:pStyle w:val="TextoNormal"/>
      </w:pPr>
      <w:r>
        <w:lastRenderedPageBreak/>
        <w:t>El art. 3 de la Ley 1/2022 añade dos nuevos apartados 6 y 7 al art. 42 de la Ley 18/2007, con la siguiente redacción:</w:t>
      </w:r>
    </w:p>
    <w:p w14:paraId="4884798D" w14:textId="77777777" w:rsidR="00A8138F" w:rsidRDefault="00A8138F" w:rsidP="00A8138F">
      <w:pPr>
        <w:pStyle w:val="TextoNormal"/>
      </w:pPr>
    </w:p>
    <w:p w14:paraId="23E6BF03" w14:textId="77777777" w:rsidR="00A8138F" w:rsidRDefault="00A8138F" w:rsidP="00A8138F">
      <w:pPr>
        <w:pStyle w:val="TextoNormal"/>
      </w:pPr>
      <w:r>
        <w:t>“6. En el caso de viviendas de titularidad de personas jurídicas privadas, si la administración requiere a la persona responsable para que adopte las medidas necesarias para ocupar legal y efectivamente una o varias viviendas para que constituyan la residencia de personas, debe advertirle en la misma resolución de que, si la vivienda no se ocupa legal y efectivamente en el plazo que establezca, se podrá exigir la ejecución forzosa de las medidas requeridas mediante la imposición de una multa coercitiva. En la situación asimilada relativa a los edificios de viviendas inacabadas, el mencionado requerimiento debe incluir las medidas necesarias para terminar previamente las obras de edificación.</w:t>
      </w:r>
    </w:p>
    <w:p w14:paraId="70CA59AE" w14:textId="77777777" w:rsidR="00A8138F" w:rsidRDefault="00A8138F" w:rsidP="00A8138F">
      <w:pPr>
        <w:pStyle w:val="TextoNormal"/>
      </w:pPr>
    </w:p>
    <w:p w14:paraId="7311E99A" w14:textId="77777777" w:rsidR="00A8138F" w:rsidRDefault="00A8138F" w:rsidP="00A8138F">
      <w:pPr>
        <w:pStyle w:val="TextoNormal"/>
      </w:pPr>
      <w:r>
        <w:t>7. En los supuestos establecidos legalmente, la advertencia a la que se refiere el apartado 6 debe incluir la posibilidad de declarar el incumplimiento de la función social de la propiedad al efecto de iniciar el procedimiento para su expropiación forzosa”.</w:t>
      </w:r>
    </w:p>
    <w:p w14:paraId="377AA3BF" w14:textId="77777777" w:rsidR="00A8138F" w:rsidRDefault="00A8138F" w:rsidP="00A8138F">
      <w:pPr>
        <w:pStyle w:val="TextoNormal"/>
      </w:pPr>
    </w:p>
    <w:p w14:paraId="58054F82" w14:textId="77777777" w:rsidR="00A8138F" w:rsidRDefault="00A8138F" w:rsidP="00A8138F">
      <w:pPr>
        <w:pStyle w:val="TextoNormal"/>
      </w:pPr>
      <w:r>
        <w:t xml:space="preserve">El art. 4 de la Ley 1/2022 añade un apartado 2 </w:t>
      </w:r>
      <w:r w:rsidRPr="00A8138F">
        <w:rPr>
          <w:i/>
        </w:rPr>
        <w:t>bis</w:t>
      </w:r>
      <w:r>
        <w:t xml:space="preserve"> al art. 113 de la Ley 18/2007, que establece:</w:t>
      </w:r>
    </w:p>
    <w:p w14:paraId="3CAAB1AC" w14:textId="77777777" w:rsidR="00A8138F" w:rsidRDefault="00A8138F" w:rsidP="00A8138F">
      <w:pPr>
        <w:pStyle w:val="TextoNormal"/>
      </w:pPr>
    </w:p>
    <w:p w14:paraId="2984F924" w14:textId="77777777" w:rsidR="00A8138F" w:rsidRDefault="00A8138F" w:rsidP="00A8138F">
      <w:pPr>
        <w:pStyle w:val="TextoNormal"/>
      </w:pPr>
      <w:r>
        <w:t xml:space="preserve">“2 </w:t>
      </w:r>
      <w:r w:rsidRPr="00A8138F">
        <w:rPr>
          <w:i/>
        </w:rPr>
        <w:t>bis</w:t>
      </w:r>
      <w:r>
        <w:t>. La multa coercitiva a la que se refiere el artículo 42.6 tiene un importe de mil euros por cada vivienda por lapsos de tiempo de un mes mientras permanezcan desocupados, con un importe máximo total del 50 por 100 del precio estimado de la vivienda”.</w:t>
      </w:r>
    </w:p>
    <w:p w14:paraId="316699DF" w14:textId="77777777" w:rsidR="00A8138F" w:rsidRDefault="00A8138F" w:rsidP="00A8138F">
      <w:pPr>
        <w:pStyle w:val="TextoNormal"/>
      </w:pPr>
    </w:p>
    <w:p w14:paraId="262DA24B" w14:textId="77777777" w:rsidR="00A8138F" w:rsidRDefault="00A8138F" w:rsidP="00A8138F">
      <w:pPr>
        <w:pStyle w:val="TextoNormal"/>
      </w:pPr>
      <w:r>
        <w:t>El art. 5 de la Ley 1/2022 modifica la letra h) del art. 123.1 de la Ley 18/2007, que tipifica como infracción muy grave en materia de calidad del parque inmobiliario:</w:t>
      </w:r>
    </w:p>
    <w:p w14:paraId="0BA92D33" w14:textId="77777777" w:rsidR="00A8138F" w:rsidRDefault="00A8138F" w:rsidP="00A8138F">
      <w:pPr>
        <w:pStyle w:val="TextoNormal"/>
      </w:pPr>
    </w:p>
    <w:p w14:paraId="15A87AE5" w14:textId="77777777" w:rsidR="00A8138F" w:rsidRDefault="00A8138F" w:rsidP="00A8138F">
      <w:pPr>
        <w:pStyle w:val="TextoNormal"/>
      </w:pPr>
      <w:r>
        <w:t>“h) Incumplir un requerimiento para que se ocupe legal y efectivamente una vivienda para que constituya la residencia de personas”.</w:t>
      </w:r>
    </w:p>
    <w:p w14:paraId="60016639" w14:textId="77777777" w:rsidR="00A8138F" w:rsidRDefault="00A8138F" w:rsidP="00A8138F">
      <w:pPr>
        <w:pStyle w:val="TextoNormal"/>
      </w:pPr>
    </w:p>
    <w:p w14:paraId="4C871E9C" w14:textId="77777777" w:rsidR="00A8138F" w:rsidRDefault="00A8138F" w:rsidP="00A8138F">
      <w:pPr>
        <w:pStyle w:val="TextoNormal"/>
      </w:pPr>
      <w:r>
        <w:t>El art. 6.2 de la Ley 1/2022 modifica la letra j) del art. 124.2 de la Ley 18/2007, que prevé como infracción grave en materia de protección de los consumidores y usuarios de viviendas en el mercado inmobiliario:</w:t>
      </w:r>
    </w:p>
    <w:p w14:paraId="1083FA61" w14:textId="77777777" w:rsidR="00A8138F" w:rsidRDefault="00A8138F" w:rsidP="00A8138F">
      <w:pPr>
        <w:pStyle w:val="TextoNormal"/>
      </w:pPr>
    </w:p>
    <w:p w14:paraId="2F29B33F" w14:textId="77777777" w:rsidR="00A8138F" w:rsidRDefault="00A8138F" w:rsidP="00A8138F">
      <w:pPr>
        <w:pStyle w:val="TextoNormal"/>
      </w:pPr>
      <w:r>
        <w:t>“j) Incumplir, en la formulación de la propuesta obligatoria de alquiler social, los requisitos legales vigentes en el momento que corresponda formalizarla”.</w:t>
      </w:r>
    </w:p>
    <w:p w14:paraId="1A7C13C9" w14:textId="77777777" w:rsidR="00A8138F" w:rsidRDefault="00A8138F" w:rsidP="00A8138F">
      <w:pPr>
        <w:pStyle w:val="TextoNormal"/>
      </w:pPr>
    </w:p>
    <w:p w14:paraId="14CA92CA" w14:textId="77777777" w:rsidR="00A8138F" w:rsidRDefault="00A8138F" w:rsidP="00A8138F">
      <w:pPr>
        <w:pStyle w:val="TextoNormal"/>
      </w:pPr>
      <w:r>
        <w:t>El art. 10 de la Ley 1/2022 solo se impugna en cuanto a la redacción que da al apartado c) del art. 7.1 de la Ley 24/2015 que, establece como condición para que la administración pueda resolver la cesión obligatoria de viviendas:</w:t>
      </w:r>
    </w:p>
    <w:p w14:paraId="29736377" w14:textId="77777777" w:rsidR="00A8138F" w:rsidRDefault="00A8138F" w:rsidP="00A8138F">
      <w:pPr>
        <w:pStyle w:val="TextoNormal"/>
      </w:pPr>
    </w:p>
    <w:p w14:paraId="076BFFAE" w14:textId="77777777" w:rsidR="00A8138F" w:rsidRDefault="00A8138F" w:rsidP="00A8138F">
      <w:pPr>
        <w:pStyle w:val="TextoNormal"/>
      </w:pPr>
      <w:r>
        <w:t>“1. La administración puede resolver la cesión obligatoria de viviendas, por un período de siete años, para incorporarlas al fondo de viviendas de alquiler para políticas sociales, en el caso de viviendas vacías que sean propiedad de personas jurídicas y siempre que se cumplan las siguientes condiciones:</w:t>
      </w:r>
    </w:p>
    <w:p w14:paraId="0A44CFE3" w14:textId="77777777" w:rsidR="00A8138F" w:rsidRDefault="00A8138F" w:rsidP="00A8138F">
      <w:pPr>
        <w:pStyle w:val="TextoNormal"/>
      </w:pPr>
    </w:p>
    <w:p w14:paraId="6BD82692" w14:textId="77777777" w:rsidR="00A8138F" w:rsidRDefault="00A8138F" w:rsidP="00A8138F">
      <w:pPr>
        <w:pStyle w:val="TextoNormal"/>
      </w:pPr>
      <w:r>
        <w:t>a) Que el propietario de la vivienda sea sujeto pasivo, no exento, obligado al pago del impuesto sobre las viviendas vacías, de acuerdo con lo que establece la ley que regula este impuesto.</w:t>
      </w:r>
    </w:p>
    <w:p w14:paraId="3D3F629D" w14:textId="77777777" w:rsidR="00A8138F" w:rsidRDefault="00A8138F" w:rsidP="00A8138F">
      <w:pPr>
        <w:pStyle w:val="TextoNormal"/>
      </w:pPr>
    </w:p>
    <w:p w14:paraId="792C98BD" w14:textId="77777777" w:rsidR="00A8138F" w:rsidRDefault="00A8138F" w:rsidP="00A8138F">
      <w:pPr>
        <w:pStyle w:val="TextoNormal"/>
      </w:pPr>
      <w:r>
        <w:t>b) Que este sujeto pasivo disponga de viviendas vacías en un municipio en el que exista, como mínimo, una unidad familiar en una de las situaciones de riesgo de exclusión residencial definidas por esta ley sin solución en lo que respecta a la vivienda.</w:t>
      </w:r>
    </w:p>
    <w:p w14:paraId="10A1342D" w14:textId="77777777" w:rsidR="00A8138F" w:rsidRDefault="00A8138F" w:rsidP="00A8138F">
      <w:pPr>
        <w:pStyle w:val="TextoNormal"/>
      </w:pPr>
    </w:p>
    <w:p w14:paraId="30B4A7AC" w14:textId="77777777" w:rsidR="00A8138F" w:rsidRDefault="00A8138F" w:rsidP="00A8138F">
      <w:pPr>
        <w:pStyle w:val="TextoNormal"/>
      </w:pPr>
      <w:r>
        <w:t>c) Que el propietario haya incumplido el requerimiento relativo a la obligación de que la vivienda sea ocupada legalmente para constituir la residencia de las personas, el cual advierte de que, si el propietario no acredita la ocupación de la vivienda en el plazo de un mes, puede declararse el incumplimiento de la función social de la vivienda a efectos de iniciar el procedimiento para la cesión obligatoria en los términos establecidos por este artículo”.</w:t>
      </w:r>
    </w:p>
    <w:p w14:paraId="689C30FD" w14:textId="77777777" w:rsidR="00A8138F" w:rsidRDefault="00A8138F" w:rsidP="00A8138F">
      <w:pPr>
        <w:pStyle w:val="TextoNormal"/>
      </w:pPr>
    </w:p>
    <w:p w14:paraId="4A0262E0" w14:textId="77777777" w:rsidR="00A8138F" w:rsidRDefault="00A8138F" w:rsidP="00A8138F">
      <w:pPr>
        <w:pStyle w:val="TextoNormal"/>
      </w:pPr>
      <w:r>
        <w:t>Finalmente, el art. 15 de la Ley 1/2022 se impugna por la redacción que da al inciso final del art. 15.1 de la Ley 4/2016, en cuya virtud:</w:t>
      </w:r>
    </w:p>
    <w:p w14:paraId="5BAAF98A" w14:textId="77777777" w:rsidR="00A8138F" w:rsidRDefault="00A8138F" w:rsidP="00A8138F">
      <w:pPr>
        <w:pStyle w:val="TextoNormal"/>
      </w:pPr>
    </w:p>
    <w:p w14:paraId="7577F6E4" w14:textId="77777777" w:rsidR="00A8138F" w:rsidRDefault="00A8138F" w:rsidP="00A8138F">
      <w:pPr>
        <w:pStyle w:val="TextoNormal"/>
      </w:pPr>
      <w:r>
        <w:t>“Con este fin, es causa de interés social el incumplimiento de la función social de la propiedad, relativa a la ocupación legal y efectiva de la vivienda para que constituya la residencia de las personas”.</w:t>
      </w:r>
    </w:p>
    <w:p w14:paraId="51F642ED" w14:textId="77777777" w:rsidR="00A8138F" w:rsidRDefault="00A8138F" w:rsidP="00A8138F">
      <w:pPr>
        <w:pStyle w:val="TextoNormal"/>
      </w:pPr>
    </w:p>
    <w:p w14:paraId="13FFDD32" w14:textId="77777777" w:rsidR="00A8138F" w:rsidRDefault="00A8138F" w:rsidP="00A8138F">
      <w:pPr>
        <w:pStyle w:val="TextoNormal"/>
      </w:pPr>
      <w:r>
        <w:t xml:space="preserve">5.1. </w:t>
      </w:r>
      <w:r w:rsidRPr="00A8138F">
        <w:rPr>
          <w:i/>
        </w:rPr>
        <w:t>Sobre la vulneración del principio de seguridad jurídica atribuida al art. 1.1 de la Ley 1/2022</w:t>
      </w:r>
    </w:p>
    <w:p w14:paraId="6D10FFC8" w14:textId="77777777" w:rsidR="00A8138F" w:rsidRDefault="00A8138F" w:rsidP="00A8138F">
      <w:pPr>
        <w:pStyle w:val="TextoNormal"/>
      </w:pPr>
    </w:p>
    <w:p w14:paraId="117018E7" w14:textId="77777777" w:rsidR="00A8138F" w:rsidRDefault="00A8138F" w:rsidP="00A8138F">
      <w:pPr>
        <w:pStyle w:val="TextoNormal"/>
      </w:pPr>
      <w:r>
        <w:t>Respecto del art. 1.1 de la Ley 1/2022, en relación con la nueva redacción que da art. 5.2 b) de la Ley 18/2007, los recurrentes alegan que no satisface las exigencias de previsibilidad y certeza de la ley (art. 53.1 CE), introduciendo un factor de inseguridad jurídica en la regulación de la propiedad de la vivienda, al disponer que la transmisión de la titularidad de la vivienda a una persona jurídica no altera la situación de eventual incumplimiento de la función social.</w:t>
      </w:r>
    </w:p>
    <w:p w14:paraId="5BE21B4D" w14:textId="77777777" w:rsidR="00A8138F" w:rsidRDefault="00A8138F" w:rsidP="00A8138F">
      <w:pPr>
        <w:pStyle w:val="TextoNormal"/>
      </w:pPr>
    </w:p>
    <w:p w14:paraId="4884E7DC" w14:textId="77777777" w:rsidR="00A8138F" w:rsidRDefault="00A8138F" w:rsidP="00A8138F">
      <w:pPr>
        <w:pStyle w:val="TextoNormal"/>
      </w:pPr>
      <w:r>
        <w:t xml:space="preserve">Este tribunal ya tuvo ocasión de pronunciarse sobre este precepto en la STC 120/2024, FJ 7 a), en el que desestimamos que incurriera en una vulneración del principio de legalidad penal (art. 25.1 CE). En dicha sentencia, sostuvimos que el art. 5.2 b) de la Ley 18/2007 “persigue un fin constitucionalmente lícito, como es el de asegurar la observancia de las previsiones de la ley, evitando que puedan ser eludidas mediante el recurso a la transmisión o transmisiones sucesivas de la titularidad de la vivienda o del edificio, que podrían impedir que llegue a agotarse el plazo que daría lugar al incumplimiento de la función social de la propiedad de aquellos y que pudieran entrar en funcionamiento los mecanismos dirigidos a garantizar el cumplimiento de esa función social. En todo caso, la transmisión no conlleva automáticamente el traslado de la responsabilidad de un sujeto a otro, pues, según se desprende del art. 5.3 </w:t>
      </w:r>
      <w:r w:rsidRPr="00A8138F">
        <w:rPr>
          <w:i/>
        </w:rPr>
        <w:t>bis</w:t>
      </w:r>
      <w:r>
        <w:t xml:space="preserve"> (introducido por el art. 1.5 de la Ley 1/2022), para que tenga lugar ese incumplimiento, debe mediar un requerimiento previo de las administraciones competentes en materia de vivienda para la adopción de las medidas necesarias para el cumplimiento de la función social, que, si no es atendido en el plazo que se haya fijado al requerido, puede dar lugar a que se declare el incumplimiento de la función social de la propiedad de las viviendas, lo que, entre otras consecuencias, daría lugar —ahora sí— a la infracción tipificada como muy grave en el art. 123.1 h) de la Ley 18/2007”.</w:t>
      </w:r>
    </w:p>
    <w:p w14:paraId="322EDA31" w14:textId="77777777" w:rsidR="00A8138F" w:rsidRDefault="00A8138F" w:rsidP="00A8138F">
      <w:pPr>
        <w:pStyle w:val="TextoNormal"/>
      </w:pPr>
    </w:p>
    <w:p w14:paraId="4582260B" w14:textId="77777777" w:rsidR="00A8138F" w:rsidRDefault="00A8138F" w:rsidP="00A8138F">
      <w:pPr>
        <w:pStyle w:val="TextoNormal"/>
      </w:pPr>
      <w:r>
        <w:t>A partir de este entendimiento del precepto impugnado, ha de descartarse que el mismo carezca de las notas de previsibilidad y certeza, que definen el concepto de seguridad jurí</w:t>
      </w:r>
      <w:r>
        <w:lastRenderedPageBreak/>
        <w:t>dica [por todas, STC 106/2022, de 13 de septiembre, FJ 5 b)]. En este caso, de acuerdo con la interpretación del precepto que acabamos de reiterar, hemos de afirmar que el sentido y la finalidad de la norma son suficientemente claros y precisos, como igualmente previsibles resultan los efectos de su aplicación. En consecuencia, este motivo de impugnación ha de ser desestimado.</w:t>
      </w:r>
    </w:p>
    <w:p w14:paraId="18D3C490" w14:textId="77777777" w:rsidR="00A8138F" w:rsidRDefault="00A8138F" w:rsidP="00A8138F">
      <w:pPr>
        <w:pStyle w:val="TextoNormal"/>
      </w:pPr>
    </w:p>
    <w:p w14:paraId="2229F42A" w14:textId="77777777" w:rsidR="00A8138F" w:rsidRDefault="00A8138F" w:rsidP="00A8138F">
      <w:pPr>
        <w:pStyle w:val="TextoNormal"/>
      </w:pPr>
      <w:r>
        <w:t>5.2</w:t>
      </w:r>
      <w:r w:rsidRPr="00A8138F">
        <w:rPr>
          <w:i/>
        </w:rPr>
        <w:t>. Sobre la impugnación del art. 6.2 de la Ley 1/20</w:t>
      </w:r>
      <w:r>
        <w:t>22</w:t>
      </w:r>
    </w:p>
    <w:p w14:paraId="1D95386A" w14:textId="77777777" w:rsidR="00A8138F" w:rsidRDefault="00A8138F" w:rsidP="00A8138F">
      <w:pPr>
        <w:pStyle w:val="TextoNormal"/>
      </w:pPr>
    </w:p>
    <w:p w14:paraId="4E281438" w14:textId="77777777" w:rsidR="00A8138F" w:rsidRDefault="00A8138F" w:rsidP="00A8138F">
      <w:pPr>
        <w:pStyle w:val="TextoNormal"/>
      </w:pPr>
      <w:r>
        <w:t>En la demanda, el art. 6.2 de la Ley 1/2022, que modifica la redacción de la infracción administrativa grave tipificada en el art. 124.2 j) de la Ley 18/2007, se recurre desde dos perspectivas relacionadas con el derecho de propiedad (art. 33 CE).</w:t>
      </w:r>
    </w:p>
    <w:p w14:paraId="788E9E81" w14:textId="77777777" w:rsidR="00A8138F" w:rsidRDefault="00A8138F" w:rsidP="00A8138F">
      <w:pPr>
        <w:pStyle w:val="TextoNormal"/>
      </w:pPr>
    </w:p>
    <w:p w14:paraId="4FB45A6D" w14:textId="77777777" w:rsidR="00A8138F" w:rsidRDefault="00A8138F" w:rsidP="00A8138F">
      <w:pPr>
        <w:pStyle w:val="TextoNormal"/>
      </w:pPr>
      <w:r>
        <w:t>a) En primer lugar, el precepto controvertido se impugna junto con los arts. 1.3, 11, 12 y la disposición transitoria de la Ley 1/2022 porque, según la tesis del recurso de inconstitucionalidad, todos estos preceptos vulneran el contenido esencial del derecho de propiedad al trasladar al propietario la obligación, antes del ejercicio de acciones judiciales, de ofrecer al arrendatario una propuesta de alquiler social. Como se ha indicado [</w:t>
      </w:r>
      <w:r w:rsidRPr="00A8138F">
        <w:rPr>
          <w:i/>
        </w:rPr>
        <w:t>supra</w:t>
      </w:r>
      <w:r>
        <w:t xml:space="preserve"> FJ 2 A) a)], estos preceptos fueron ya declarados inconstitucionales en la STC 120/2024, de manera que el motivo de impugnación ya solo subsiste respecto de la infracción prevista en el art. 124.2 j) de la Ley 18/2007, en redacción dada por el art. 6.2 de la Ley 1/2022.</w:t>
      </w:r>
    </w:p>
    <w:p w14:paraId="2B34320F" w14:textId="77777777" w:rsidR="00A8138F" w:rsidRDefault="00A8138F" w:rsidP="00A8138F">
      <w:pPr>
        <w:pStyle w:val="TextoNormal"/>
      </w:pPr>
    </w:p>
    <w:p w14:paraId="1F0FE944" w14:textId="77777777" w:rsidR="00A8138F" w:rsidRDefault="00A8138F" w:rsidP="00A8138F">
      <w:pPr>
        <w:pStyle w:val="TextoNormal"/>
      </w:pPr>
      <w:r>
        <w:t>Este precepto sanciona como infracción grave la conducta consistente en “incumplir, en la formulación de la propuesta obligatoria de alquiler social, los requisitos legales vigentes en el momento que corresponda formalizarla”.</w:t>
      </w:r>
    </w:p>
    <w:p w14:paraId="554BD284" w14:textId="77777777" w:rsidR="00A8138F" w:rsidRDefault="00A8138F" w:rsidP="00A8138F">
      <w:pPr>
        <w:pStyle w:val="TextoNormal"/>
      </w:pPr>
    </w:p>
    <w:p w14:paraId="012FDE6C" w14:textId="77777777" w:rsidR="00A8138F" w:rsidRDefault="00A8138F" w:rsidP="00A8138F">
      <w:pPr>
        <w:pStyle w:val="TextoNormal"/>
      </w:pPr>
      <w:r>
        <w:t>La redacción del precepto impugnado no hace ninguna referencia al carácter de la propuesta de alquiler social obligatorio como requisito de procedibilidad para el ejercicio de acciones, que es el motivo por el que se impugna este precepto y, una vez declarados inconstitucionales y nulos por la STC 120/2024, FJ 5 B) c) y d), el art. 5.2 f) de la Ley 18/2007, en redacción dada por el art. 1.3 de la Ley 1/2022, y los apartados 1 y 2 de la disposición adicional primera de la Ley 24/2015, en la redacción dada por el art. 12 de la Ley 1/2022, un examen superficial del precepto habría de conducir a la desestimación del recurso de inconstitucionalidad en este punto.</w:t>
      </w:r>
    </w:p>
    <w:p w14:paraId="2409D2AC" w14:textId="77777777" w:rsidR="00A8138F" w:rsidRDefault="00A8138F" w:rsidP="00A8138F">
      <w:pPr>
        <w:pStyle w:val="TextoNormal"/>
      </w:pPr>
    </w:p>
    <w:p w14:paraId="6CDCF06A" w14:textId="77777777" w:rsidR="00A8138F" w:rsidRDefault="00A8138F" w:rsidP="00A8138F">
      <w:pPr>
        <w:pStyle w:val="TextoNormal"/>
      </w:pPr>
      <w:r>
        <w:t>Ahora bien, este tribunal constata que el incumplimiento al que se refiere el art. 124.2 j) de la Ley 18/2007, en la redacción recurrida, no va únicamente ligado a los supuestos de hecho previstos en los arts. 5.2 f) de la Ley 18/2007 y los apartados 1 y 2 de la disposición adicional primera de la Ley 24/2015, ya expulsados del ordenamiento jurídico. Al margen de este caso, el art. 5 de la Ley 24/2015 contempla otros dos supuestos más en los que resulta obligatorio ofrecer una propuesta de alquiler social obligatorio: (i) antes de adquirir una vivienda resultante de la consecución de acuerdos de compensación o dación en pago de préstamos o créditos hipotecarios sobre la vivienda habitual, o antes de la firma de la compraventa de una vivienda que tenga como causa de la venta la imposibilidad por parte del prestatario de devolver el préstamo hipotecario (art. 5.1); y (ii) antes de interponer cualquier demanda judicial de ejecución hipotecaria o de desahucio por impago de alquiler si el procedimiento afecta a personas o unidades familiares que no tengan una alternativa propia de vivienda y que estén dentro de los parámetros de riesgo de exclusión residencial definidos por la ley (art. 5.2).</w:t>
      </w:r>
    </w:p>
    <w:p w14:paraId="61488AFD" w14:textId="77777777" w:rsidR="00A8138F" w:rsidRDefault="00A8138F" w:rsidP="00A8138F">
      <w:pPr>
        <w:pStyle w:val="TextoNormal"/>
      </w:pPr>
    </w:p>
    <w:p w14:paraId="0272020A" w14:textId="77777777" w:rsidR="00A8138F" w:rsidRDefault="00A8138F" w:rsidP="00A8138F">
      <w:pPr>
        <w:pStyle w:val="TextoNormal"/>
      </w:pPr>
      <w:r>
        <w:t>El primero de los supuestos no resulta problemático ni desde el punto de vista de impugnación formulada por los recurrentes ni desde el punto de vista de la doctrina sentada en la STC 120/2024, FJ 5 B) c) y d), puesto que, en modo alguno, puede dar lugar a que el incumplimiento de un requisito de naturaleza procesal sea objeto de sanción administrativa.</w:t>
      </w:r>
    </w:p>
    <w:p w14:paraId="21DA050D" w14:textId="77777777" w:rsidR="00A8138F" w:rsidRDefault="00A8138F" w:rsidP="00A8138F">
      <w:pPr>
        <w:pStyle w:val="TextoNormal"/>
      </w:pPr>
    </w:p>
    <w:p w14:paraId="266BDD69" w14:textId="77777777" w:rsidR="00A8138F" w:rsidRDefault="00A8138F" w:rsidP="00A8138F">
      <w:pPr>
        <w:pStyle w:val="TextoNormal"/>
      </w:pPr>
      <w:r>
        <w:t>Sin embargo, no puede decirse lo mismo respecto del supuesto del art. 5.2 de la Ley 24/2015. En este caso, la propuesta de alquiler social obligatorio sí que se erige como requisito previo para el ejercicio de acciones judiciales. Por lo tanto, de acuerdo con la doctrina establecida en la STC 120/2024, FJ 5 B) c) y d), en la medida en que el art. 124.2 j) de la Ley 18/2007 pueda sancionar, como infracción administrativa grave, lo que constituye el incumplimiento de un requisito de procedibilidad para el ejercicio de acciones, estaría invadiendo la competencia estatal en materia de legislación procesal (art. 149.1.6 CE). En consecuencia, en orden a evitar que la aplicación del precepto impugnado pueda dar lugar a posibles interpretaciones del precepto contrarias al orden constitucional de distribución de competencias, y existiendo, al menos, una interpretación acorde con el texto constitucional, el art. 124.2 j) de la Ley 18/2007, en la redacción dada por el art. 6.2 de la Ley 1/2022, no es inconstitucional si se interpreta en el sentido de que solo es sancionable el incumplimiento de los requisitos que debe cumplir la propuesta obligatoria de alquiler social, en aquellos casos en los que la misma no constituya una condición de acceso al proceso judicial. Esta interpretación conforme se llevará al fallo.</w:t>
      </w:r>
    </w:p>
    <w:p w14:paraId="5DC9720D" w14:textId="77777777" w:rsidR="00A8138F" w:rsidRDefault="00A8138F" w:rsidP="00A8138F">
      <w:pPr>
        <w:pStyle w:val="TextoNormal"/>
      </w:pPr>
    </w:p>
    <w:p w14:paraId="2DF9A3F9" w14:textId="77777777" w:rsidR="00A8138F" w:rsidRDefault="00A8138F" w:rsidP="00A8138F">
      <w:pPr>
        <w:pStyle w:val="TextoNormal"/>
      </w:pPr>
      <w:r>
        <w:t>b) En segundo lugar, el art. 6.2 se impugna, también de manera agrupada con otros de los preceptos impugnados, bien por estimar que vulnera el contenido esencial del derecho de propiedad que se sancione el hecho de que la vivienda no se destine a la ocupación para servir de residencia a las personas, bien porque tal consecuencia sancionadora se reputa contraria a las exigencias del principio de proporcionalidad.</w:t>
      </w:r>
    </w:p>
    <w:p w14:paraId="6EE8D4AE" w14:textId="77777777" w:rsidR="00A8138F" w:rsidRDefault="00A8138F" w:rsidP="00A8138F">
      <w:pPr>
        <w:pStyle w:val="TextoNormal"/>
      </w:pPr>
    </w:p>
    <w:p w14:paraId="225D9D04" w14:textId="77777777" w:rsidR="00A8138F" w:rsidRDefault="00A8138F" w:rsidP="00A8138F">
      <w:pPr>
        <w:pStyle w:val="TextoNormal"/>
      </w:pPr>
      <w:r>
        <w:t>En relación con esta queja, baste señalar que el art. 124.2 j) de la Ley 18/2007, en redacción dada por el art. 6.2 de la Ley 1/2022, no sanciona la conducta consistente en mantener la vivienda desocupada de forma permanente, sino que se refiere, como acaba de verse en el apartado inmediatamente precedente, a una cuestión completamente distinta, relacionada con el régimen de alquiler social. En consecuencia, esta segunda queja debe ser desestimada de plano porque la argumentación en la que se sustenta aparece completamente desconectada y no guarda relación alguna con el mandato normativo del precepto recurrido.</w:t>
      </w:r>
    </w:p>
    <w:p w14:paraId="244616AB" w14:textId="77777777" w:rsidR="00A8138F" w:rsidRDefault="00A8138F" w:rsidP="00A8138F">
      <w:pPr>
        <w:pStyle w:val="TextoNormal"/>
      </w:pPr>
    </w:p>
    <w:p w14:paraId="06444875" w14:textId="77777777" w:rsidR="00A8138F" w:rsidRDefault="00A8138F" w:rsidP="00A8138F">
      <w:pPr>
        <w:pStyle w:val="TextoNormal"/>
      </w:pPr>
      <w:r>
        <w:t xml:space="preserve">5.3. </w:t>
      </w:r>
      <w:r w:rsidRPr="00A8138F">
        <w:rPr>
          <w:i/>
        </w:rPr>
        <w:t>Sobre la impugnación de los arts. 1.1; 1.2; 1.4; 1.5; 2; 3; 4; 5; 10 y 15.1 de la Ley 1/2022</w:t>
      </w:r>
    </w:p>
    <w:p w14:paraId="7D755435" w14:textId="77777777" w:rsidR="00A8138F" w:rsidRDefault="00A8138F" w:rsidP="00A8138F">
      <w:pPr>
        <w:pStyle w:val="TextoNormal"/>
      </w:pPr>
    </w:p>
    <w:p w14:paraId="4E550B18" w14:textId="77777777" w:rsidR="00A8138F" w:rsidRDefault="00A8138F" w:rsidP="00A8138F">
      <w:pPr>
        <w:pStyle w:val="TextoNormal"/>
      </w:pPr>
      <w:r>
        <w:t>Efectuadas las anteriores consideraciones, estamos ya en disposición de examinar la verdadera controversia constitucional que se plantea a través de este motivo de impugnación. En este punto, el recurso de inconstitucionalidad denuncia que todos estos preceptos vulneran el contenido esencial del derecho de propiedad. A decir de la demanda, la Ley 1/2022 concibe el derecho de propiedad privada sobre la vivienda como un derecho total y absolutamente subordinado al principio rector consagrado en el art. 47 CE, de manera que la regulación impugnada hace desaparecer el haz de facultades individuales del propietario y la propiedad de la vivienda queda completamente subordinada a la obligación de su ocupación.</w:t>
      </w:r>
    </w:p>
    <w:p w14:paraId="5ECFB96C" w14:textId="77777777" w:rsidR="00A8138F" w:rsidRDefault="00A8138F" w:rsidP="00A8138F">
      <w:pPr>
        <w:pStyle w:val="TextoNormal"/>
      </w:pPr>
    </w:p>
    <w:p w14:paraId="3AD543EA" w14:textId="77777777" w:rsidR="00A8138F" w:rsidRDefault="00A8138F" w:rsidP="00A8138F">
      <w:pPr>
        <w:pStyle w:val="TextoNormal"/>
      </w:pPr>
      <w:r>
        <w:lastRenderedPageBreak/>
        <w:t>Así, según la tesis del recurso, la vulneración del contenido esencial del derecho de propiedad se produciría porque (i) los preceptos impugnados consideran como único uso admisible de la vivienda el de destinarse a la ocupación permanente, queja que se predica respecto de los arts. 1.1, 1.2, 1.4, 2 y 15.1; y (ii) por sancionar el incumplimiento de ese único uso que la Ley 1/2022 considera admisible con duras consecuencias, reproche que se efectúa respecto de los arts. 1.5, 4 y 5.</w:t>
      </w:r>
    </w:p>
    <w:p w14:paraId="3825FFEC" w14:textId="77777777" w:rsidR="00A8138F" w:rsidRDefault="00A8138F" w:rsidP="00A8138F">
      <w:pPr>
        <w:pStyle w:val="TextoNormal"/>
      </w:pPr>
    </w:p>
    <w:p w14:paraId="39D9194E" w14:textId="77777777" w:rsidR="00A8138F" w:rsidRDefault="00A8138F" w:rsidP="00A8138F">
      <w:pPr>
        <w:pStyle w:val="TextoNormal"/>
      </w:pPr>
      <w:r>
        <w:t>Por otro lado, como ha quedado expuesto en detalle en los antecedentes, el recurso denuncia que estos preceptos no respetan el principio de proporcionalidad. Para los demandantes, las injerencias en el derecho de propiedad no son idóneas o adecuadas para conseguir la finalidad pretendida de aumentar el parque de viviendas privadas en alquiler. Afirman también que existen otras medidas distintas de las impugnadas que comportan una intromisión menos lesiva sobre el derecho de propiedad, por lo que los preceptos recurridos no superarían el juicio de necesidad. Y, por último, sostienen que resulta absolutamente desproporcionado que la desocupación o “utilización anómala” de una vivienda de propiedad privada, en los términos de los nuevos arts. 5.2 b) y d), y 41.1 a) de la Ley 18/2007, pueda suponer para cualquier propietario privado el inicio de un expediente sancionador por infracción muy grave [art. 123.1 h) de la Ley 18/2007], la imposición de multas coercitivas (art. 113.</w:t>
      </w:r>
      <w:r w:rsidRPr="00A8138F">
        <w:rPr>
          <w:i/>
        </w:rPr>
        <w:t>2 b</w:t>
      </w:r>
      <w:r>
        <w:t>is de la Ley 18/2007) e incluso la expropiación forzosa (art. 15.1 de la Ley 4/2016).</w:t>
      </w:r>
    </w:p>
    <w:p w14:paraId="7268E740" w14:textId="77777777" w:rsidR="00A8138F" w:rsidRDefault="00A8138F" w:rsidP="00A8138F">
      <w:pPr>
        <w:pStyle w:val="TextoNormal"/>
      </w:pPr>
    </w:p>
    <w:p w14:paraId="64C471B2" w14:textId="77777777" w:rsidR="00A8138F" w:rsidRDefault="00A8138F" w:rsidP="00A8138F">
      <w:pPr>
        <w:pStyle w:val="TextoNormal"/>
      </w:pPr>
      <w:r>
        <w:t>Por lo tanto, según los recurrentes, desde la perspectiva del principio de proporcionalidad, son inconstitucionales las potestades de carácter coactivo que desencadena la declaración de incumplimiento de la función social de la vivienda, que pueden ser de tres tipos: (i) requerimientos para que se ocupe legal y efectivamente la vivienda con el fin de que constituya la residencia de personas (arts. 1.5, 3 y 4 de la Ley 1/2022), cuyo incumplimiento es constitutivo de infracción muy grave (art. 5 de la Ley 1/2022); (ii) la ejecución forzosa del requerimiento mediante multa coercitiva por un importe de 1000 € por cada vivienda por lapsos de tiempo de un mes mientras permanezcan desocupados, con un importe máximo total del 50 por 100 del precio estimado de la vivienda (arts. 3 y 4 de la Ley 1/2022); y (iii) la expropiación de la vivienda (arts.1.4 y 5 de la Ley 1/2022) o la cesión obligatoria de uso por siete años (art. 10 de la Ley 1/2022).</w:t>
      </w:r>
    </w:p>
    <w:p w14:paraId="4B938754" w14:textId="77777777" w:rsidR="00A8138F" w:rsidRDefault="00A8138F" w:rsidP="00A8138F">
      <w:pPr>
        <w:pStyle w:val="TextoNormal"/>
      </w:pPr>
    </w:p>
    <w:p w14:paraId="745803B9" w14:textId="77777777" w:rsidR="00A8138F" w:rsidRDefault="00A8138F" w:rsidP="00A8138F">
      <w:pPr>
        <w:pStyle w:val="TextoNormal"/>
      </w:pPr>
      <w:r>
        <w:t xml:space="preserve">A) </w:t>
      </w:r>
      <w:r w:rsidRPr="00A8138F">
        <w:rPr>
          <w:i/>
        </w:rPr>
        <w:t>Doctrina del Tribunal Constitucional y del Tribunal Europeo de Derechos Humanos en relación con el control de las injerencias sobre el derecho de propiedad privada</w:t>
      </w:r>
    </w:p>
    <w:p w14:paraId="13DD4769" w14:textId="77777777" w:rsidR="00A8138F" w:rsidRDefault="00A8138F" w:rsidP="00A8138F">
      <w:pPr>
        <w:pStyle w:val="TextoNormal"/>
      </w:pPr>
    </w:p>
    <w:p w14:paraId="1BA74469" w14:textId="77777777" w:rsidR="00A8138F" w:rsidRDefault="00A8138F" w:rsidP="00A8138F">
      <w:pPr>
        <w:pStyle w:val="TextoNormal"/>
      </w:pPr>
      <w:r>
        <w:t>a) Este tribunal tuvo la oportunidad de pronunciarse en relación con el contenido esencial del derecho de propiedad ya en su temprana STC 37/1987, de 26 de marzo, con ocasión del recurso de inconstitucionalidad interpuesto contra la Ley 8/1984, de 3 de julio, de reforma agraria del Parlamento de Andalucía. En dicha sentencia, fijamos la doctrina constitucional sobre el derecho de propiedad que este tribunal ha mantenido desde entonces, no solo en relación con la propiedad rústica, sino con otros tipos de propiedad [a título de ejemplo, pueden citarse las SSTC 204/2004, de 18 de noviembre, FJ 5; 112/2006, de 5 de abril, FJ 10, y 7/2024, de 16 de enero, FJ 5 b)].</w:t>
      </w:r>
    </w:p>
    <w:p w14:paraId="1C13E118" w14:textId="77777777" w:rsidR="00A8138F" w:rsidRDefault="00A8138F" w:rsidP="00A8138F">
      <w:pPr>
        <w:pStyle w:val="TextoNormal"/>
      </w:pPr>
    </w:p>
    <w:p w14:paraId="49A6E19E" w14:textId="77777777" w:rsidR="00A8138F" w:rsidRDefault="00A8138F" w:rsidP="00A8138F">
      <w:pPr>
        <w:pStyle w:val="TextoNormal"/>
      </w:pPr>
      <w:r>
        <w:t xml:space="preserve">En aquella STC 37/1987, FJ 2, afirmó este tribunal que “la referencia a la ‘función social’ como elemento estructural de la definición misma del derecho a la propiedad privada o como factor determinante de la delimitación legal de su contenido pone de manifiesto que </w:t>
      </w:r>
      <w:r>
        <w:lastRenderedPageBreak/>
        <w:t>la Constitución no ha recogido una concepción abstracta de este derecho como mero ámbito subjetivo de libre disposición o señorío sobre el bien objeto del dominio reservado a su titular, sometido únicamente en su ejercicio a las limitaciones generales que las leyes impongan para salvaguardar los legítimos derechos o intereses de terceros o del interés general. Por el contrario,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Por ello,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w:t>
      </w:r>
    </w:p>
    <w:p w14:paraId="485B02EC" w14:textId="77777777" w:rsidR="00A8138F" w:rsidRDefault="00A8138F" w:rsidP="00A8138F">
      <w:pPr>
        <w:pStyle w:val="TextoNormal"/>
      </w:pPr>
    </w:p>
    <w:p w14:paraId="34158E54" w14:textId="77777777" w:rsidR="00A8138F" w:rsidRDefault="00A8138F" w:rsidP="00A8138F">
      <w:pPr>
        <w:pStyle w:val="TextoNormal"/>
      </w:pPr>
      <w:r>
        <w:t>Por esta razón, en aquella sentencia reconocimos la posibilidad de que el legislador estableciera limitaciones al ejercicio del derecho de propiedad en atención a los intereses generales o a necesidades colectivas, razonando que, para que el legislador pudiera imponer restricciones al derecho de propiedad, resultaba preciso que aquellas respondieran “a principios establecidos e intereses tutelados por la propia Constitución”. Afirmamos, en consecuencia, que “esa dimensión social de la propiedad privada, en cuanto institución llamada a satisfacer necesidades colectivas, es en todo conforme con la imagen que de aquel derecho se ha formado la sociedad contemporánea y, por ende, debe ser rechazada la idea de que la previsión legal de restricciones a las otrora tendencialmente ilimitadas facultades de uso, disfrute, consumo y disposición o la imposición de deberes positivos al propietario hagan irreconocible el derecho de propiedad como perteneciente al tipo constitucionalmente descrito”.</w:t>
      </w:r>
    </w:p>
    <w:p w14:paraId="7A13EA3A" w14:textId="77777777" w:rsidR="00A8138F" w:rsidRDefault="00A8138F" w:rsidP="00A8138F">
      <w:pPr>
        <w:pStyle w:val="TextoNormal"/>
      </w:pPr>
    </w:p>
    <w:p w14:paraId="01DBEC92" w14:textId="77777777" w:rsidR="00A8138F" w:rsidRDefault="00A8138F" w:rsidP="00A8138F">
      <w:pPr>
        <w:pStyle w:val="TextoNormal"/>
      </w:pPr>
      <w:r>
        <w:t>Ahora bien, esta subordinación de la propiedad privada a los intereses generales “no puede llegar a anular la utilidad meramente individual del derecho”, de manera que corresponde al Tribunal Constitucional o, en su caso, a los órganos judiciales, en el ejercicio de sus respectivas competencias, controlar que estas limitaciones y deberes que se impongan al propietario no vayan “más allá de lo razonable”.</w:t>
      </w:r>
    </w:p>
    <w:p w14:paraId="01A471B5" w14:textId="77777777" w:rsidR="00A8138F" w:rsidRDefault="00A8138F" w:rsidP="00A8138F">
      <w:pPr>
        <w:pStyle w:val="TextoNormal"/>
      </w:pPr>
    </w:p>
    <w:p w14:paraId="19863356" w14:textId="77777777" w:rsidR="00A8138F" w:rsidRDefault="00A8138F" w:rsidP="00A8138F">
      <w:pPr>
        <w:pStyle w:val="TextoNormal"/>
      </w:pPr>
      <w:r>
        <w:t>Con base en tales consideraciones, en la STC 37/1987, FJ 2, sostuvimos que no infringe el contenido esencial del derecho de propiedad “aquella regulación legal que, restringiendo las facultades de decisión del propietario con relación al uso, destino y aprovechamiento de los fundos rústicos, imponga a este o permite imponerle determinados deberes de explotación y, en su caso, de mejora, orientados a la obtención de una mejor utilización productiva de la tierra, desde el punto de vista de los intereses generales, siempre que quede salvaguardada la rentabilidad del propietario o de la empresa agraria”.</w:t>
      </w:r>
    </w:p>
    <w:p w14:paraId="6E66035A" w14:textId="77777777" w:rsidR="00A8138F" w:rsidRDefault="00A8138F" w:rsidP="00A8138F">
      <w:pPr>
        <w:pStyle w:val="TextoNormal"/>
      </w:pPr>
    </w:p>
    <w:p w14:paraId="4862BC14" w14:textId="77777777" w:rsidR="00A8138F" w:rsidRDefault="00A8138F" w:rsidP="00A8138F">
      <w:pPr>
        <w:pStyle w:val="TextoNormal"/>
      </w:pPr>
      <w:r>
        <w:t>Y, además, en aquella sentencia declaramos que no vulnera el contenido esencial del derecho de propiedad la expropiación temporal de las facultades de uso y disfrute de las fincas rústicas como sanción al incumplimiento de la función social de la propiedad de la tierra, definida esta por el legislador autonómico (STC 37/1987, FJ 4).</w:t>
      </w:r>
    </w:p>
    <w:p w14:paraId="4AD871C5" w14:textId="77777777" w:rsidR="00A8138F" w:rsidRDefault="00A8138F" w:rsidP="00A8138F">
      <w:pPr>
        <w:pStyle w:val="TextoNormal"/>
      </w:pPr>
    </w:p>
    <w:p w14:paraId="00750DF5" w14:textId="77777777" w:rsidR="00A8138F" w:rsidRDefault="00A8138F" w:rsidP="00A8138F">
      <w:pPr>
        <w:pStyle w:val="TextoNormal"/>
      </w:pPr>
      <w:r>
        <w:lastRenderedPageBreak/>
        <w:t>Por lo demás, a los efectos de la resolución de este recurso interesa destacar que el canon de control de las limitaciones legales del derecho de propiedad no es el juicio de proporcionalidad que propone la demanda, sino que este tribunal, en línea con la jurisprudencia del Tribunal Europeo de Derechos Humanos, ha venido sujetando estas restricciones a un control de razonabilidad. Como ya enunció la STC 37/1987, FJ 2, nuestra labor en el enjuiciamiento de estas medidas pasa por verificar que las mismas no van “más allá de lo razonable”. Así lo hemos confirmado, más recientemente, en la STC 112/2021, de 13 de mayo, FJ 6, con cita de la STC 16/2018, de 22 de febrero, FJ 17, en las que dejamos dicho:</w:t>
      </w:r>
    </w:p>
    <w:p w14:paraId="4B3AD843" w14:textId="77777777" w:rsidR="00A8138F" w:rsidRDefault="00A8138F" w:rsidP="00A8138F">
      <w:pPr>
        <w:pStyle w:val="TextoNormal"/>
      </w:pPr>
    </w:p>
    <w:p w14:paraId="52E8404B" w14:textId="77777777" w:rsidR="00A8138F" w:rsidRDefault="00A8138F" w:rsidP="00A8138F">
      <w:pPr>
        <w:pStyle w:val="TextoNormal"/>
      </w:pPr>
      <w:r>
        <w:t xml:space="preserve">“[E]ste tribunal aprecia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w:t>
      </w:r>
      <w:r w:rsidRPr="00A8138F">
        <w:rPr>
          <w:i/>
        </w:rPr>
        <w:t>James y otros c. Reino Unido</w:t>
      </w:r>
      <w:r>
        <w:t>, 21 de febrero de 1986, § 50), teniendo en cuenta que en las decisiones de índole social y económica se reconoce al legislador un amplio margen de apreciación sobre la necesidad, los fines y las consecuencias de sus disposiciones (</w:t>
      </w:r>
      <w:r w:rsidRPr="00A8138F">
        <w:rPr>
          <w:i/>
        </w:rPr>
        <w:t>inter alia</w:t>
      </w:r>
      <w:r>
        <w:t xml:space="preserve">, asuntos </w:t>
      </w:r>
      <w:r w:rsidRPr="00A8138F">
        <w:rPr>
          <w:i/>
        </w:rPr>
        <w:t>James y otros c. Reino Unido</w:t>
      </w:r>
      <w:r>
        <w:t xml:space="preserve">, 21 de febrero de 1986, § 46; </w:t>
      </w:r>
      <w:r w:rsidRPr="00A8138F">
        <w:rPr>
          <w:i/>
        </w:rPr>
        <w:t>ex Rey de Grecia y otros c. Grecia</w:t>
      </w:r>
      <w:r>
        <w:t>, 23 de noviembre de 2000, § 87</w:t>
      </w:r>
      <w:r w:rsidRPr="00A8138F">
        <w:rPr>
          <w:i/>
        </w:rPr>
        <w:t>, Broniowski c. Polon</w:t>
      </w:r>
      <w:r>
        <w:t>ia, 22 de junio de 2004, § 149)”.</w:t>
      </w:r>
    </w:p>
    <w:p w14:paraId="568410C6" w14:textId="77777777" w:rsidR="00A8138F" w:rsidRDefault="00A8138F" w:rsidP="00A8138F">
      <w:pPr>
        <w:pStyle w:val="TextoNormal"/>
      </w:pPr>
    </w:p>
    <w:p w14:paraId="371C32D1" w14:textId="77777777" w:rsidR="00A8138F" w:rsidRDefault="00A8138F" w:rsidP="00A8138F">
      <w:pPr>
        <w:pStyle w:val="TextoNormal"/>
      </w:pPr>
      <w:r>
        <w:t>b) Por su parte, el art. 1 del Protocolo Adicional al Convenio europeo de derechos humanos, en relación con la protección del derecho de propiedad, dispone que (i) “Toda persona física o moral tiene derecho al respeto de sus bienes”; (ii) “Nadie podrá ser privado de su propiedad más que por causa de utilidad pública y en las condiciones previstas por la ley y los principios generales del Derecho internacional”; y (iii) “Las disposiciones precedentes se entienden sin perjuicio del derecho que poseen los Estados de poner en vigor las leyes que juzguen necesarias para la reglamentación del uso de los bienes de acuerdo con el interés general o para garantizar el pago de los impuestos u otras contribuciones o de las multas”.</w:t>
      </w:r>
    </w:p>
    <w:p w14:paraId="6BDBDAED" w14:textId="77777777" w:rsidR="00A8138F" w:rsidRDefault="00A8138F" w:rsidP="00A8138F">
      <w:pPr>
        <w:pStyle w:val="TextoNormal"/>
      </w:pPr>
    </w:p>
    <w:p w14:paraId="5F5049C4" w14:textId="77777777" w:rsidR="00A8138F" w:rsidRDefault="00A8138F" w:rsidP="00A8138F">
      <w:pPr>
        <w:pStyle w:val="TextoNormal"/>
      </w:pPr>
      <w:r>
        <w:t xml:space="preserve">De acuerdo con la jurisprudencia del Tribunal Europeo de Derechos Humanos, desde la STEDH de 23 de septiembre de 1982, asunto </w:t>
      </w:r>
      <w:r w:rsidRPr="00A8138F">
        <w:rPr>
          <w:i/>
        </w:rPr>
        <w:t>Sporrong y Lönnroth c. Suecia</w:t>
      </w:r>
      <w:r>
        <w:t>, dentro del citado art. 1 se formulan tres reglas distintas: la primera, que sienta el principio del respeto que se debe a la propiedad; la segunda, que se refiere a la privación de la propiedad y la somete a determinadas condiciones; y la tercera, que reconoce a los Estados la facultad de regular el uso de los bienes de acuerdo con el interés general.</w:t>
      </w:r>
    </w:p>
    <w:p w14:paraId="54A09170" w14:textId="77777777" w:rsidR="00A8138F" w:rsidRDefault="00A8138F" w:rsidP="00A8138F">
      <w:pPr>
        <w:pStyle w:val="TextoNormal"/>
      </w:pPr>
    </w:p>
    <w:p w14:paraId="3B882D03" w14:textId="77777777" w:rsidR="00A8138F" w:rsidRDefault="00A8138F" w:rsidP="00A8138F">
      <w:pPr>
        <w:pStyle w:val="TextoNormal"/>
      </w:pPr>
      <w:r>
        <w:t>Entre otras limitaciones al derecho de propiedad, el Tribunal Europeo de Derechos Humanos ha admitido que “la transmisión forzosa de la propiedad de un individuo a otro puede, en determinadas circunstancias, constituir un medio legítimo de favorecer el interés general”, así como que el concepto de “utilidad pública” tiene un sentido amplio que puede abarcar incluso “las medidas de expropiación que se tomen en el ámbito de una política de justicia social”. Además, la jurisprudencia del Tribunal Europeo de Derechos Humanos otorga una gran flexibilidad a los legisladores nacionales para desarrollar su política económica y social, entendiendo que gozan de margen de apreciación para identificar las exigencias de la utilidad pública “salvo cuando se ponga de manifiesto que su criterio carece de razonable fundamento” (STEDH de 21 de febrero de 1986, asunt</w:t>
      </w:r>
      <w:r w:rsidRPr="00A8138F">
        <w:rPr>
          <w:i/>
        </w:rPr>
        <w:t>o James y otros c. Reino Uni</w:t>
      </w:r>
      <w:r>
        <w:t>do, § 37, 40, 42 y 46).</w:t>
      </w:r>
    </w:p>
    <w:p w14:paraId="3F2FD2A3" w14:textId="77777777" w:rsidR="00A8138F" w:rsidRDefault="00A8138F" w:rsidP="00A8138F">
      <w:pPr>
        <w:pStyle w:val="TextoNormal"/>
      </w:pPr>
    </w:p>
    <w:p w14:paraId="3D089DBC" w14:textId="77777777" w:rsidR="00A8138F" w:rsidRDefault="00A8138F" w:rsidP="00A8138F">
      <w:pPr>
        <w:pStyle w:val="TextoNormal"/>
      </w:pPr>
      <w:r>
        <w:t xml:space="preserve">Esta doctrina se ha reiterado, entre otras, en la STEDH de 13 de octubre de 2020, asunto </w:t>
      </w:r>
      <w:r w:rsidRPr="00A8138F">
        <w:rPr>
          <w:i/>
        </w:rPr>
        <w:t>Kothencz c. Hungría</w:t>
      </w:r>
      <w:r>
        <w:t xml:space="preserve">, en la que tras recordar que toda injerencia de una autoridad pública en el disfrute pacífico de las posesiones solo puede justificarse si sirve a un legítimo interés público o general (§ 39), añadió que tal injerencia debe alcanzar “un justo equilibrio” entre las demandas de interés general de la comunidad y las necesidades de protección de los derechos fundamentales del individuo, así como que los Estados disfrutan de un amplio margen de apreciación tanto en lo que respecta a la elección de los medios para su ejecución como para determinar si las consecuencias de su aplicación están justificadas por el interés general a efectos de alcanzar el objetivo de la ley en cuestión (§ 43). En esta misma línea, puede citarse la STEDH de 28 de junio de 2011, asunto </w:t>
      </w:r>
      <w:r w:rsidRPr="00A8138F">
        <w:rPr>
          <w:i/>
        </w:rPr>
        <w:t>Ruspoli Morenés c. España</w:t>
      </w:r>
      <w:r>
        <w:t xml:space="preserve"> (§ 34 y 36, con referencia a las SSTEDH de 23 de septiembre de 1982, asunto </w:t>
      </w:r>
      <w:r w:rsidRPr="00A8138F">
        <w:rPr>
          <w:i/>
        </w:rPr>
        <w:t>Sporrong y Lönnroth c. Suecia</w:t>
      </w:r>
      <w:r>
        <w:t xml:space="preserve">, § 69; de 20 de noviembre de 1995, asunto </w:t>
      </w:r>
      <w:r w:rsidRPr="00A8138F">
        <w:rPr>
          <w:i/>
        </w:rPr>
        <w:t>Pressos Compania Naviera S.A., y otros c. Bélgica</w:t>
      </w:r>
      <w:r>
        <w:t>, § 38, y de 29 de abril de 1999, asu</w:t>
      </w:r>
      <w:r w:rsidRPr="00A8138F">
        <w:rPr>
          <w:i/>
        </w:rPr>
        <w:t>nto Chassagnou y otros c. Fra</w:t>
      </w:r>
      <w:r>
        <w:t>ncia, § 75).</w:t>
      </w:r>
    </w:p>
    <w:p w14:paraId="79786FAB" w14:textId="77777777" w:rsidR="00A8138F" w:rsidRDefault="00A8138F" w:rsidP="00A8138F">
      <w:pPr>
        <w:pStyle w:val="TextoNormal"/>
      </w:pPr>
    </w:p>
    <w:p w14:paraId="4F801C2C" w14:textId="77777777" w:rsidR="00A8138F" w:rsidRDefault="00A8138F" w:rsidP="00A8138F">
      <w:pPr>
        <w:pStyle w:val="TextoNormal"/>
      </w:pPr>
      <w:r>
        <w:t>B</w:t>
      </w:r>
      <w:r w:rsidRPr="00A8138F">
        <w:rPr>
          <w:i/>
        </w:rPr>
        <w:t>) Aplicación de la doctrina sobre los preceptos impugnad</w:t>
      </w:r>
      <w:r>
        <w:t>os</w:t>
      </w:r>
    </w:p>
    <w:p w14:paraId="36A3AC14" w14:textId="77777777" w:rsidR="00A8138F" w:rsidRDefault="00A8138F" w:rsidP="00A8138F">
      <w:pPr>
        <w:pStyle w:val="TextoNormal"/>
      </w:pPr>
    </w:p>
    <w:p w14:paraId="67E795C6" w14:textId="77777777" w:rsidR="00A8138F" w:rsidRDefault="00A8138F" w:rsidP="00A8138F">
      <w:pPr>
        <w:pStyle w:val="TextoNormal"/>
      </w:pPr>
      <w:r>
        <w:t xml:space="preserve">a) Expuesta la doctrina aplicable al caso, estamos ya en disposición de pronunciarnos sobre el fondo de este motivo de impugnación. Para ello, este tribunal ha de comenzar, en primer lugar, por rechazar que se produzca un menoscabo del contenido esencial del derecho de propiedad: (i) cuando se considera que existe un incumplimiento de la función social de la propiedad de una vivienda o de un edificio de viviendas cuando están desocupados de forma permanente e injustificada durante un período de más de dos años [art. 1.1, que da nueva redacción al art. 5.2 b) de la Ley 18/2007] o cuando no se destinen a la residencia habitual y permanente de las personas, si se trata de una vivienda de protección oficial o una vivienda reservada por el planeamiento urbanístico para este tipo de residencia [art. 1.2, que modifica el art. 5.2 d) de la Ley 18/2007]; (ii) cuando los supuestos que acaban de mencionarse se califican además como un incumplimiento del deber de los propietarios de las edificaciones de destinarlas a usos compatibles con la ordenación territorial y urbanística (art. 1.4, que añade un nuevo apartado 2 </w:t>
      </w:r>
      <w:r w:rsidRPr="00A8138F">
        <w:rPr>
          <w:i/>
        </w:rPr>
        <w:t>bis</w:t>
      </w:r>
      <w:r>
        <w:t xml:space="preserve"> al art. 5 de la Ley 18/2007); o (iii) por el mero hecho de que se califique como utilización anómala de una vivienda o de un edificio de viviendas la situación de desocupación permanente e injustificada de aquellos durante más de dos años [art. 2, que modifica el art. 41.1 a) de la Ley 18/2007].</w:t>
      </w:r>
    </w:p>
    <w:p w14:paraId="059F3DAB" w14:textId="77777777" w:rsidR="00A8138F" w:rsidRDefault="00A8138F" w:rsidP="00A8138F">
      <w:pPr>
        <w:pStyle w:val="TextoNormal"/>
      </w:pPr>
    </w:p>
    <w:p w14:paraId="76CB10BF" w14:textId="77777777" w:rsidR="00A8138F" w:rsidRDefault="00A8138F" w:rsidP="00A8138F">
      <w:pPr>
        <w:pStyle w:val="TextoNormal"/>
      </w:pPr>
      <w:r>
        <w:t>Como ya se ha dicho, el derecho de propiedad que reconoce el art. 33 CE impide que pueda seguir concibiéndose desde la perspectiva estrictamente subjetiva del art. 348 del Código civil, como un mero haz de facultades individuales del propietario sobre las cosas, sino que la referencia a la función social de la propiedad, entendida como un elemento integrante de la propia definición y delimitación del derecho de propiedad, permite que el legislador pueda imponerle un conjunto de deberes y obligaciones, restringiendo aquel conjunto de facultades, en orden a atender los intereses públicos o de la colectividad.</w:t>
      </w:r>
    </w:p>
    <w:p w14:paraId="43BD6C66" w14:textId="77777777" w:rsidR="00A8138F" w:rsidRDefault="00A8138F" w:rsidP="00A8138F">
      <w:pPr>
        <w:pStyle w:val="TextoNormal"/>
      </w:pPr>
    </w:p>
    <w:p w14:paraId="56AEB28F" w14:textId="77777777" w:rsidR="00A8138F" w:rsidRDefault="00A8138F" w:rsidP="00A8138F">
      <w:pPr>
        <w:pStyle w:val="TextoNormal"/>
      </w:pPr>
      <w:r>
        <w:t>En este caso, el legislador catalán, como se declara en el preámbulo de la Ley 1/2022, persigue combatir la “exclusión residencial”, que califica como “un problema social de primer orden”, y favorecer “el acceso a una vivienda digna y adecuada por una parte significativa de la población” que sigue teniendo dificultades para ello, sobre todo después del impacto de la pandemia. Se trata en ambos casos de finalidades constitucionalmente legíti</w:t>
      </w:r>
      <w:r>
        <w:lastRenderedPageBreak/>
        <w:t>mas, que persiguen hacer efectivo el mandato o directriz constitucional que el art. 47 CE dirige a los poderes públicos para asegurar el derecho de todos los españoles a disfrutar de una vivienda digna y adecuada (STC 7/2010, de 27 de abril, FJ 7).</w:t>
      </w:r>
    </w:p>
    <w:p w14:paraId="673D7BB4" w14:textId="77777777" w:rsidR="00A8138F" w:rsidRDefault="00A8138F" w:rsidP="00A8138F">
      <w:pPr>
        <w:pStyle w:val="TextoNormal"/>
      </w:pPr>
    </w:p>
    <w:p w14:paraId="76FEF54F" w14:textId="77777777" w:rsidR="00A8138F" w:rsidRDefault="00A8138F" w:rsidP="00A8138F">
      <w:pPr>
        <w:pStyle w:val="TextoNormal"/>
      </w:pPr>
      <w:r>
        <w:t>En consecuencia, que la legislación catalana persiga el objetivo de indudable interés público de que la vivienda no esté desocupada y de que se destine efectivamente a la residencia de las personas, cuando se trate de viviendas de protección oficial, y califique los supuestos de desocupación bien como un incumplimiento de su función social o bien como una utilización anómala de la vivienda no impide que el derecho de propiedad sobre esta clase de bienes pueda continuar siendo reconocido como tal. Por lo tanto, ha de afirmarse que estas determinaciones acerca de lo que ha de considerarse como el uso de la propiedad de la vivienda de acuerdo con su función social son simples condicionamientos del ejercicio del derecho que no despojan al propietario de la utilidad individual o económica.</w:t>
      </w:r>
    </w:p>
    <w:p w14:paraId="17282952" w14:textId="77777777" w:rsidR="00A8138F" w:rsidRDefault="00A8138F" w:rsidP="00A8138F">
      <w:pPr>
        <w:pStyle w:val="TextoNormal"/>
      </w:pPr>
    </w:p>
    <w:p w14:paraId="735AFF34" w14:textId="77777777" w:rsidR="00A8138F" w:rsidRDefault="00A8138F" w:rsidP="00A8138F">
      <w:pPr>
        <w:pStyle w:val="TextoNormal"/>
      </w:pPr>
      <w:r>
        <w:t>Así las cosas, una vez que hemos descartado que estas prescripciones legislativas del uso de la vivienda con arreglo a su función social, previstos en los arts. 1.1, 1.2, 1.4 y 2, vulneren el contenido esencial del derecho de propiedad o lo hagan irreconocible, debemos también rechazar, en lógica consecuencia, que la reacción administrativa frente al incumplimiento de aquellas determinaciones legales constituya un vaciamiento del contenido esencial del derecho de propiedad. Conclusión esta que nos sitúa en la tesitura de analizar si, como sostiene la demanda, las medidas previstas por el legislador autonómico (en los arts. 1.5, 3, 4, 5, 10 y 15.1) para alcanzar las finalidades de interés público, antes apuntadas, son desproporcionadas o, más propiamente, irrazonables.</w:t>
      </w:r>
    </w:p>
    <w:p w14:paraId="08FF85D9" w14:textId="77777777" w:rsidR="00A8138F" w:rsidRDefault="00A8138F" w:rsidP="00A8138F">
      <w:pPr>
        <w:pStyle w:val="TextoNormal"/>
      </w:pPr>
    </w:p>
    <w:p w14:paraId="203F1D8A" w14:textId="77777777" w:rsidR="00A8138F" w:rsidRDefault="00A8138F" w:rsidP="00A8138F">
      <w:pPr>
        <w:pStyle w:val="TextoNormal"/>
      </w:pPr>
      <w:r>
        <w:t>b) Antes de adentrarnos en el examen de los preceptos impugnados, resulta preciso efectuar tres consideraciones preliminares:</w:t>
      </w:r>
    </w:p>
    <w:p w14:paraId="7A0578CB" w14:textId="77777777" w:rsidR="00A8138F" w:rsidRDefault="00A8138F" w:rsidP="00A8138F">
      <w:pPr>
        <w:pStyle w:val="TextoNormal"/>
      </w:pPr>
    </w:p>
    <w:p w14:paraId="056D32CA" w14:textId="77777777" w:rsidR="00A8138F" w:rsidRDefault="00A8138F" w:rsidP="00A8138F">
      <w:pPr>
        <w:pStyle w:val="TextoNormal"/>
      </w:pPr>
      <w:r>
        <w:t>(i) De un lado, como ya se ha dicho [</w:t>
      </w:r>
      <w:r w:rsidRPr="00A8138F">
        <w:rPr>
          <w:i/>
        </w:rPr>
        <w:t>supra</w:t>
      </w:r>
      <w:r>
        <w:t xml:space="preserve"> FJ 5.3 A) a)], cuando se trata del enjuiciamiento de las limitaciones del derecho de propiedad, el análisis que nos corresponde efectuar no es el propio del test de proporcionalidad, como sugieren los recurrentes, sino que nuestro control atiende a la razonabilidad de las injerencias en el derecho de propiedad, para verificar si con ellas se alcanza un “justo equilibrio” o una adecuada ponderación entre las necesidades de interés general que deben atenderse y los sacrificios que para ello se imponen sobre el derecho de propiedad. Y todo ello partiendo del amplio margen de apreciación que se ha de reconocer al legislador para definir la política económica.</w:t>
      </w:r>
    </w:p>
    <w:p w14:paraId="08C1A94A" w14:textId="77777777" w:rsidR="00A8138F" w:rsidRDefault="00A8138F" w:rsidP="00A8138F">
      <w:pPr>
        <w:pStyle w:val="TextoNormal"/>
      </w:pPr>
    </w:p>
    <w:p w14:paraId="545628EF" w14:textId="77777777" w:rsidR="00A8138F" w:rsidRDefault="00A8138F" w:rsidP="00A8138F">
      <w:pPr>
        <w:pStyle w:val="TextoNormal"/>
      </w:pPr>
      <w:r>
        <w:t>(ii) De otro lado, deben descartarse de antemano los argumentos de los recurrentes de que existen medidas más adecuadas o efectivas para lograr la finalidad pretendida por el legislador catalán en el ámbito del mercado de vivienda. Sobre esto último, baste señalar que el control de constitucionalidad que compete a este tribunal es un control jurídico, sin que deba enjuiciar el mayor o menor acierto, la bondad, la oportunidad o la eficacia de la ley, puesto que, de hacerlo, se estaría usurpando el espacio y el margen de apreciación que corresponden al legislador democrático para adaptarse a las circunstancias de cada momento histórico [SSTC 111/1983, de 2 de diciembre, FJ 7; 166/1986, de 19 de diciembre, FJ 15 A), y 112/2021, de 13 de mayo, FJ 8].</w:t>
      </w:r>
    </w:p>
    <w:p w14:paraId="6090D1AD" w14:textId="77777777" w:rsidR="00A8138F" w:rsidRDefault="00A8138F" w:rsidP="00A8138F">
      <w:pPr>
        <w:pStyle w:val="TextoNormal"/>
      </w:pPr>
    </w:p>
    <w:p w14:paraId="28CA48AD" w14:textId="77777777" w:rsidR="00A8138F" w:rsidRDefault="00A8138F" w:rsidP="00A8138F">
      <w:pPr>
        <w:pStyle w:val="TextoNormal"/>
      </w:pPr>
      <w:r>
        <w:t xml:space="preserve">(iii) Por último, dado que los recurrentes cuestionan, en este motivo de impugnación, todas las medidas impugnadas conjuntamente o en bloque, nuestra respuesta habrá de ser </w:t>
      </w:r>
      <w:r>
        <w:lastRenderedPageBreak/>
        <w:t>igualmente global o genérica, en coherencia con el contenido argumental o carga alegatoria del recurso de inconstitucionalidad, sin perjuicio de que, cuando resulte preciso, hayamos de detenernos en cada uno de los preceptos concretamente considerados.</w:t>
      </w:r>
    </w:p>
    <w:p w14:paraId="4D4E621F" w14:textId="77777777" w:rsidR="00A8138F" w:rsidRDefault="00A8138F" w:rsidP="00A8138F">
      <w:pPr>
        <w:pStyle w:val="TextoNormal"/>
      </w:pPr>
    </w:p>
    <w:p w14:paraId="39D15A60" w14:textId="77777777" w:rsidR="00A8138F" w:rsidRDefault="00A8138F" w:rsidP="00A8138F">
      <w:pPr>
        <w:pStyle w:val="TextoNormal"/>
      </w:pPr>
      <w:r>
        <w:t>c) Hechas estas aclaraciones, el examen de las potestades de carácter coactivo dirigidas a llevar a efecto el objetivo legalmente establecido de que las viviendas se destinen a la ocupación o habitación de las personas, debe partir necesariamente del dato de que este tribunal ya se ha pronunciado, desde la óptica del art. 33 CE, respecto de medidas similares a las aquí impugnadas, con ocasión de la resolución del recurso de inconstitucionalidad núm. 6036-2013, interpuesto contra la Ley Foral 24/2013, de 2 de julio, de medidas urgentes para garantizar el derecho a la vivienda en Navarra, que modificó la Ley Foral 10/2010, de 10 de mayo, del derecho a la vivienda de Navarra. En efecto, en la STC 16/2018, FJ 17, se examinaron las medidas consistentes en (i) considerar como causa justificativa de la expropiación por incumplimiento de la función social de la propiedad la conducta consistente en “[m]antener una vivienda deshabitada en los casos en que constituye infracción sancionable […] y no haber cumplido en el plazo concedido al efecto el requerimiento para poner fin a tal situación” [art. 52.2 a)]; (ii) en sancionar como infracción muy grave el no dar efectiva habitación a la vivienda durante dos años siempre que el titular fuese una persona jurídica (art. 66.1); y (iii) en la imposición de multas coercitivas en los casos de no dar efectiva habitación a la vivienda (art. 72.2). Tales disposiciones de la legislación foral navarra en materia de vivienda fueron declaradas conformes con el art. 33 CE, considerando entonces este tribunal que:</w:t>
      </w:r>
    </w:p>
    <w:p w14:paraId="177F2E69" w14:textId="77777777" w:rsidR="00A8138F" w:rsidRDefault="00A8138F" w:rsidP="00A8138F">
      <w:pPr>
        <w:pStyle w:val="TextoNormal"/>
      </w:pPr>
    </w:p>
    <w:p w14:paraId="49064A6A" w14:textId="77777777" w:rsidR="00A8138F" w:rsidRDefault="00A8138F" w:rsidP="00A8138F">
      <w:pPr>
        <w:pStyle w:val="TextoNormal"/>
      </w:pPr>
      <w:r>
        <w:t>“Los artículos 52.2 a), 66.1 y 72.2 de la Ley Foral 10/2010, añadidos respectivamente por los artículos 2, 5 y 6 de la Ley Foral 24/2013, aunque sí contienen relevantes restricciones para el titular del derecho de propiedad, el legislador dice adoptarlas en función de un fin de relevancia constitucional como es garantizar el derecho a disfrutar de una vivienda digna y adecuada (art. 47.1 CE), a lo que se une que un análisis de dichas medidas, respetuoso del amplio margen de apreciación que incumbe al legislador en este ámbito, conduce a este tribunal a concluir que con ellas no se desborda el justo equilibro entre los medios empleados y la finalidad pretendida”.</w:t>
      </w:r>
    </w:p>
    <w:p w14:paraId="6A94277D" w14:textId="77777777" w:rsidR="00A8138F" w:rsidRDefault="00A8138F" w:rsidP="00A8138F">
      <w:pPr>
        <w:pStyle w:val="TextoNormal"/>
      </w:pPr>
    </w:p>
    <w:p w14:paraId="01576577" w14:textId="77777777" w:rsidR="00A8138F" w:rsidRDefault="00A8138F" w:rsidP="00A8138F">
      <w:pPr>
        <w:pStyle w:val="TextoNormal"/>
      </w:pPr>
      <w:r>
        <w:t>En el presente caso, a la hora de efectuar el correspondiente juicio de razonabilidad, este tribunal no encuentra motivos que justifiquen apartarse de la conclusión alcanzada en la STC 16/2018, FJ 17. Ello habría de ser suficiente para desestimar este motivo de impugnación, puesto que tampoco los recurrentes ofrecen, como base de su impugnación, ningún argumento más allá de la genérica afirmación de que se trata de medidas absolutamente desproporcionadas. Como hemos señalado reiteradamente, la presunción de constitucionalidad de normas con rango de ley no puede desvirtuarse sin una argumentación suficiente, no siendo admisibles las impugnaciones globales carentes de un razonamiento desarrollado que las sustente (SSTC 43/1996, de 14 de marzo, FJ 5; 233/1999, de 16 de diciembre, FJ 2; 245/2004, de 16 de diciembre, FJ 3; 100/2005, de 19 de abril, FJ 3, y 7/2010, de 27 de abril, FJ 7), que es, precisamente, lo que sucede en el presente supuesto. No obstante, se efectuarán las siguientes consideraciones para disipar las dudas que pudiera haber acerca de la razonabilidad de los preceptos impugnados.</w:t>
      </w:r>
    </w:p>
    <w:p w14:paraId="6BE0C373" w14:textId="77777777" w:rsidR="00A8138F" w:rsidRDefault="00A8138F" w:rsidP="00A8138F">
      <w:pPr>
        <w:pStyle w:val="TextoNormal"/>
      </w:pPr>
    </w:p>
    <w:p w14:paraId="54399C7D" w14:textId="77777777" w:rsidR="00A8138F" w:rsidRDefault="00A8138F" w:rsidP="00A8138F">
      <w:pPr>
        <w:pStyle w:val="TextoNormal"/>
      </w:pPr>
      <w:r>
        <w:t xml:space="preserve">d) En primer lugar, la declaración de incumplimiento de la función social de la propiedad de la vivienda (art. 5.3 </w:t>
      </w:r>
      <w:r w:rsidRPr="00A8138F">
        <w:rPr>
          <w:i/>
        </w:rPr>
        <w:t>bis</w:t>
      </w:r>
      <w:r>
        <w:t xml:space="preserve">, primer inciso, de la Ley 18/2007) es, aisladamente considerada, </w:t>
      </w:r>
      <w:r>
        <w:lastRenderedPageBreak/>
        <w:t>una simple constatación por parte de la administración de que se ha producido una situación de incumplimiento de un deber legal en relación con el uso o explotación de la vivienda. Difícilmente puede considerarse que una medida meramente declarativa, que persigue instar o estimular al propietario al cumplimiento de las obligaciones que le incumben como titular del dominio, incurra en un desequilibrio irrazonable entre la finalidad perseguida y el medio empleado para alcanzarla.</w:t>
      </w:r>
    </w:p>
    <w:p w14:paraId="3459D74F" w14:textId="77777777" w:rsidR="00A8138F" w:rsidRDefault="00A8138F" w:rsidP="00A8138F">
      <w:pPr>
        <w:pStyle w:val="TextoNormal"/>
      </w:pPr>
    </w:p>
    <w:p w14:paraId="47F5DD20" w14:textId="77777777" w:rsidR="00A8138F" w:rsidRDefault="00A8138F" w:rsidP="00A8138F">
      <w:pPr>
        <w:pStyle w:val="TextoNormal"/>
      </w:pPr>
      <w:r>
        <w:t>Además, esta declaración debe ir precedida de un requerimiento al propietario para que adopte “las medidas necesarias para cumplir la función social de la propiedad” y exige que dicho requerimiento no haya sido atendido en el plazo establecido. En este punto, cabe señalar que los recurrentes también sostienen que este requerimiento para que se ocupe legal y efectivamente la vivienda, en sí mismo, lesiona el derecho de propiedad. Este tribunal no puede compartir semejante aseveración. En modo alguno puede calificarse como irrazonable que, ante una situación de incumplimiento de un deber legalmente exigible al propietario de la vivienda, la administración competente le dirija una comunicación por la que le inste a adoptar las medidas oportunas para cesar en la situación incumplidora y le conceda un plazo para corregir tal situación, efectuándole las advertencias y apercibimientos que correspondan; plazo que —va de suyo— el interesado podrá utilizar también para alegar las razones que, en su caso, justifiquen el incumplimiento que se le imputa y que la administración habrá de valorar antes de emitir finalmente, si procede, la declaración de incumplimiento. En consecuencia, este tribunal no advierte que este tipo de requerimientos por parte de la administración competente sea susceptible de quebrar el “justo equilibrio” entre la finalidad de interés público perseguida y los medios establecidos para su consecución.</w:t>
      </w:r>
    </w:p>
    <w:p w14:paraId="76C8D66F" w14:textId="77777777" w:rsidR="00A8138F" w:rsidRDefault="00A8138F" w:rsidP="00A8138F">
      <w:pPr>
        <w:pStyle w:val="TextoNormal"/>
      </w:pPr>
    </w:p>
    <w:p w14:paraId="07BB13B2" w14:textId="77777777" w:rsidR="00A8138F" w:rsidRDefault="00A8138F" w:rsidP="00A8138F">
      <w:pPr>
        <w:pStyle w:val="TextoNormal"/>
      </w:pPr>
      <w:r>
        <w:t xml:space="preserve">e) Tampoco puede merecer reproche constitucional que la ley contemple que el incumplimiento de un requerimiento para la adopción de las medidas necesarias para cumplir con la función social de la propiedad pueda ir seguido de las medidas de ejecución forzosa legalmente previstas (art. 5.3 </w:t>
      </w:r>
      <w:r w:rsidRPr="00A8138F">
        <w:rPr>
          <w:i/>
        </w:rPr>
        <w:t>bis</w:t>
      </w:r>
      <w:r>
        <w:t>, segundo inciso, de la Ley 18/2007). Por el contrario, acudir a los mecanismos de ejecución forzosa para llevar a efecto el cumplimiento no voluntario de las obligaciones impuestas por la legislación administrativa forma parte del normal desenvolvimiento de la potestad de autotutela ejecutiva que ostentan las administraciones públicas, como se prevé con carácter general en los arts. 99 y concordantes de la Ley 39/2015, de 1 de octubre, de procedimiento administrativo común de las administraciones públicas. Cuestión distinta será que, a la hora de seleccionar el mecanismo de ejecución a emplear, de entre los distintos disponibles, deba elegirse aquel que resulte menos gravoso para la libertad individual como preceptúa el art. 100.2 de la Ley 39/2015, pero no es esta la cuestión que aquí se ventila.</w:t>
      </w:r>
    </w:p>
    <w:p w14:paraId="2CF91CB5" w14:textId="77777777" w:rsidR="00A8138F" w:rsidRDefault="00A8138F" w:rsidP="00A8138F">
      <w:pPr>
        <w:pStyle w:val="TextoNormal"/>
      </w:pPr>
    </w:p>
    <w:p w14:paraId="7F21EAAC" w14:textId="77777777" w:rsidR="00A8138F" w:rsidRDefault="00A8138F" w:rsidP="00A8138F">
      <w:pPr>
        <w:pStyle w:val="TextoNormal"/>
      </w:pPr>
      <w:r>
        <w:t xml:space="preserve">f) Dentro de las medidas de ejecución forzosa a disposición de la administración competente, los preceptos impugnados hacen referencia a la posibilidad de imponer multas coercitivas. En efecto, el art. 42.6 de la Ley 18/2007 prevé que, en el caso de viviendas de propiedad de personas jurídicas, ante el incumplimiento de un requerimiento para que se ocupen legal y efectivamente una o varias viviendas para que constituyan la residencia de personas, pueda procederse a la imposición de multas coercitivas. Estas multas, según el también impugnado art. 113.2 </w:t>
      </w:r>
      <w:r w:rsidRPr="00A8138F">
        <w:rPr>
          <w:i/>
        </w:rPr>
        <w:t>bis</w:t>
      </w:r>
      <w:r>
        <w:t xml:space="preserve"> de la Ley 18/2007, ascienden a 1000 € por cada vivienda por lapsos de tiempo de un mes mientras permanezcan desocupadas, hasta un importe máximo del 50 por 100 del precio estimado de la vivienda.</w:t>
      </w:r>
    </w:p>
    <w:p w14:paraId="2AD8BB8D" w14:textId="77777777" w:rsidR="00A8138F" w:rsidRDefault="00A8138F" w:rsidP="00A8138F">
      <w:pPr>
        <w:pStyle w:val="TextoNormal"/>
      </w:pPr>
    </w:p>
    <w:p w14:paraId="73501B25" w14:textId="77777777" w:rsidR="00A8138F" w:rsidRDefault="00A8138F" w:rsidP="00A8138F">
      <w:pPr>
        <w:pStyle w:val="TextoNormal"/>
      </w:pPr>
      <w:r>
        <w:lastRenderedPageBreak/>
        <w:t>Pues bien, tampoco podemos considerar que el recurso a las multas coercitivas, previsto en el art. 42.6 de la Ley 18/2007, desborde ese “justo equilibrio” que venimos exigiendo entre la finalidad de interés público perseguida (que encuentra su raigambre en el art. 47 CE) y el medio empleado para su consecución. Nótese que la multa coercitiva no es sino un mecanismo más de ejecución forzosa previsto en nuestro ordenamiento jurídico-administrativo (arts. 100 y 103 de la Ley 39/2015) y al que, precisamente, la administración puede acudir para evitar tener que hacer uso de medidas más gravosas o invasivas (por ejemplo, la cesión temporal obligatoria de viviendas o la expropiación forzosa, a las que luego nos referiremos). La multa coercitiva es, como razonamos en la STC 215/2016, de 15 de diciembre, FJ 8, “una medida de constreñimiento económico adoptada previo el oportuno apercibimiento, reiterada en lapsos de tiempo y tendente a obtener la acomodación de un comportamiento obstativo del destinatario del acto a lo dispuesto en la decisión administrativa previa”, esto es, una medida de “coerción o estímulo para el cumplimiento de un deber jurídico o, lo que es lo mismo, como disuasión para su incumplimiento”.</w:t>
      </w:r>
    </w:p>
    <w:p w14:paraId="02B77085" w14:textId="77777777" w:rsidR="00A8138F" w:rsidRDefault="00A8138F" w:rsidP="00A8138F">
      <w:pPr>
        <w:pStyle w:val="TextoNormal"/>
      </w:pPr>
    </w:p>
    <w:p w14:paraId="24436D50" w14:textId="77777777" w:rsidR="00A8138F" w:rsidRDefault="00A8138F" w:rsidP="00A8138F">
      <w:pPr>
        <w:pStyle w:val="TextoNormal"/>
      </w:pPr>
      <w:r>
        <w:t>De otra parte, existen una serie de elementos en la normativa analizada que impiden considerar como irrazonable o excesivamente onerosa la concreta medida de ejecución forzosa que se examina, toda vez que:</w:t>
      </w:r>
    </w:p>
    <w:p w14:paraId="31387E15" w14:textId="77777777" w:rsidR="00A8138F" w:rsidRDefault="00A8138F" w:rsidP="00A8138F">
      <w:pPr>
        <w:pStyle w:val="TextoNormal"/>
      </w:pPr>
    </w:p>
    <w:p w14:paraId="28B9C5D7" w14:textId="77777777" w:rsidR="00A8138F" w:rsidRDefault="00A8138F" w:rsidP="00A8138F">
      <w:pPr>
        <w:pStyle w:val="TextoNormal"/>
      </w:pPr>
      <w:r>
        <w:t>(i) solo ha lugar a imponer la multa coercitiva a personas jurídicas, no a personas físicas;</w:t>
      </w:r>
    </w:p>
    <w:p w14:paraId="4593F8E6" w14:textId="77777777" w:rsidR="00A8138F" w:rsidRDefault="00A8138F" w:rsidP="00A8138F">
      <w:pPr>
        <w:pStyle w:val="TextoNormal"/>
      </w:pPr>
    </w:p>
    <w:p w14:paraId="5F8FF57B" w14:textId="77777777" w:rsidR="00A8138F" w:rsidRDefault="00A8138F" w:rsidP="00A8138F">
      <w:pPr>
        <w:pStyle w:val="TextoNormal"/>
      </w:pPr>
      <w:r>
        <w:t>(ii) la imposición de la multa coercitiva ha de ir precedida de un requerimiento previo, por lo que, antes de acordarla, al propietario siempre se le ofrece la posibilidad de cumplimiento voluntario;</w:t>
      </w:r>
    </w:p>
    <w:p w14:paraId="36FC357F" w14:textId="77777777" w:rsidR="00A8138F" w:rsidRDefault="00A8138F" w:rsidP="00A8138F">
      <w:pPr>
        <w:pStyle w:val="TextoNormal"/>
      </w:pPr>
    </w:p>
    <w:p w14:paraId="24499940" w14:textId="77777777" w:rsidR="00A8138F" w:rsidRDefault="00A8138F" w:rsidP="00A8138F">
      <w:pPr>
        <w:pStyle w:val="TextoNormal"/>
      </w:pPr>
      <w:r>
        <w:t>(iii) el plazo de un mes que separa una multa coercitiva de la imposición de la siguiente resulta lo suficientemente amplio como para permitir que, en dicho lapso temporal, la persona jurídica titular del dominio pueda dar cumplimiento a su obligación y poner fin a la situación de desocupación de la vivienda, pues, en principio y en situaciones ordinarias, un mes es tiempo suficiente para concertar un contrato de alquiler; y</w:t>
      </w:r>
    </w:p>
    <w:p w14:paraId="3E7CB767" w14:textId="77777777" w:rsidR="00A8138F" w:rsidRDefault="00A8138F" w:rsidP="00A8138F">
      <w:pPr>
        <w:pStyle w:val="TextoNormal"/>
      </w:pPr>
    </w:p>
    <w:p w14:paraId="5FAD63DA" w14:textId="77777777" w:rsidR="00A8138F" w:rsidRDefault="00A8138F" w:rsidP="00A8138F">
      <w:pPr>
        <w:pStyle w:val="TextoNormal"/>
      </w:pPr>
      <w:r>
        <w:t xml:space="preserve">(iv) la cuantía de 1000 € en que se fija cada multa coercitiva (art. 113.2 </w:t>
      </w:r>
      <w:r w:rsidRPr="00A8138F">
        <w:rPr>
          <w:i/>
        </w:rPr>
        <w:t>bis</w:t>
      </w:r>
      <w:r>
        <w:t xml:space="preserve"> de la Ley 18/2007) tampoco resulta irrazonable ni excesivamente gravosa, ni puede decirse que desborde el margen de configuración que hemos de reconocer al legislador, si se tienen en cuenta: por un lado, la relevancia del deber jurídico cuyo cumplimiento pretende garantizarse con esta medida, que encuentra acomodo constitucional en el mandato del art. 47 CE; por otro lado, que el valor de la vivienda será, con toda seguridad, notoriamente superior al importe de la multa coercitiva; y que, en todo caso, el propio precepto impugnado ha previsto un tope máximo que impide que el total de las multas a imponer pueda exceder de la mitad del precio de la vivienda que se mantiene desocupada injustificadamente, a fin de evitar que este concreto mecanismo de ejecución forzosa termine por resultar confiscatorio.</w:t>
      </w:r>
    </w:p>
    <w:p w14:paraId="3D7A9551" w14:textId="77777777" w:rsidR="00A8138F" w:rsidRDefault="00A8138F" w:rsidP="00A8138F">
      <w:pPr>
        <w:pStyle w:val="TextoNormal"/>
      </w:pPr>
    </w:p>
    <w:p w14:paraId="264D1B20" w14:textId="77777777" w:rsidR="00A8138F" w:rsidRDefault="00A8138F" w:rsidP="00A8138F">
      <w:pPr>
        <w:pStyle w:val="TextoNormal"/>
      </w:pPr>
      <w:r>
        <w:t xml:space="preserve">g) En cuanto a la tipificación como infracción muy grave del incumplimiento de un requerimiento para que se ocupe legal y efectivamente una vivienda para que constituya la residencia de las personas [art. 123.1 h) de la Ley 18/2007], dada la semejanza con el art. 66.1 de la Ley Foral 10/2010, en la redacción examinada por la STC 16/2018, FJ 17, bastaría con remitirnos a lo allí dicho para desestimar la impugnación. No obstante, puede añadirse que la relevancia constitucional de la función social de la propiedad de la vivienda (arts. </w:t>
      </w:r>
      <w:r>
        <w:lastRenderedPageBreak/>
        <w:t>33.2 y 47 CE) justifica que el legislador dote a la administración de las potestades o los instrumentos jurídicos necesarios para que aquella se encuentre en disposición de hacer cumplir las limitaciones legales establecidas en relación con el uso de la propiedad, así como, en su caso, sancionar los incumplimientos de quienes vinieren obligados por tales restricciones. En consecuencia, no excede del amplio margen de apreciación que hemos reconocido en este ámbito al legislador y, por lo tanto, dista de poder calificarse como manifiestamente irrazonable la sanción por la comisión de una infracción muy grave a quien, siendo consciente de que se encuentra incurso en una situación de incumplimiento de su deber legal de destinar la vivienda de su titularidad a la ocupación para fines habitacionales, por haber sido intimada con carácter previo para su cumplimiento por parte de la administración a través del preceptivo requerimiento, se mantiene, voluntariamente y sin que medie causa que lo justifique, en la situación de desobediencia al mandato legal.</w:t>
      </w:r>
    </w:p>
    <w:p w14:paraId="33288EC8" w14:textId="77777777" w:rsidR="00A8138F" w:rsidRDefault="00A8138F" w:rsidP="00A8138F">
      <w:pPr>
        <w:pStyle w:val="TextoNormal"/>
      </w:pPr>
    </w:p>
    <w:p w14:paraId="7E9353FA" w14:textId="77777777" w:rsidR="00A8138F" w:rsidRDefault="00A8138F" w:rsidP="00A8138F">
      <w:pPr>
        <w:pStyle w:val="TextoNormal"/>
      </w:pPr>
      <w:r>
        <w:t>Otra cosa será la conformidad de la cuantía de las sanciones a imponer por la comisión de una infracción muy grave (multa de 90 001 a 900 000 €, art. 118.1 de la Ley 18/2007) con el principio de proporcionalidad de las sanciones (art. 25.1 CE), pero esta cuestión excede del objeto del presente recurso de inconstitucionalidad y no puede ser objeto de pronunciamiento por parte de este tribunal, porque el art. 118.1 no ha sido modificado por la Ley 1/2022, ni ha sido impugnado, ni tampoco se ha invocado en la demanda, como vulnerada, esta vertiente del derecho fundamental a la legalidad sancionadora prevista en el art. 25.1 CE.</w:t>
      </w:r>
    </w:p>
    <w:p w14:paraId="0B62308E" w14:textId="77777777" w:rsidR="00A8138F" w:rsidRDefault="00A8138F" w:rsidP="00A8138F">
      <w:pPr>
        <w:pStyle w:val="TextoNormal"/>
      </w:pPr>
    </w:p>
    <w:p w14:paraId="5EA15ADD" w14:textId="77777777" w:rsidR="00A8138F" w:rsidRDefault="00A8138F" w:rsidP="00A8138F">
      <w:pPr>
        <w:pStyle w:val="TextoNormal"/>
      </w:pPr>
      <w:r>
        <w:t xml:space="preserve">h) Por otro lado, se recurren también la posibilidad de que el incumplimiento de la función social de la propiedad de la vivienda pueda dar lugar a la incoación de un expediente de expropiación forzosa, como prevén el inciso final del art. 5.3 </w:t>
      </w:r>
      <w:r w:rsidRPr="00A8138F">
        <w:rPr>
          <w:i/>
        </w:rPr>
        <w:t>bis</w:t>
      </w:r>
      <w:r>
        <w:t xml:space="preserve"> y el art. 42.7 de la Ley 18/2007 (este último relativo, únicamente, al supuesto de las viviendas permanentemente desocupadas de titularidad de personas jurídicas), y la previsión legal de que, a efectos de la expropiación, “es causa de interés social el incumplimiento de la función social de la propiedad, relativa a la ocupación legal y efectiva de la vivienda para que constituya la residencia de las personas”, contenida en el art. 15.1 de la Ley 4/2016.</w:t>
      </w:r>
    </w:p>
    <w:p w14:paraId="62656063" w14:textId="77777777" w:rsidR="00A8138F" w:rsidRDefault="00A8138F" w:rsidP="00A8138F">
      <w:pPr>
        <w:pStyle w:val="TextoNormal"/>
      </w:pPr>
    </w:p>
    <w:p w14:paraId="0C770C63" w14:textId="77777777" w:rsidR="00A8138F" w:rsidRDefault="00A8138F" w:rsidP="00A8138F">
      <w:pPr>
        <w:pStyle w:val="TextoNormal"/>
      </w:pPr>
      <w:r>
        <w:t>Sobre la viabilidad constitucional de la expropiación de viviendas por incumplimiento de su función social, para desestimar la impugnación este tribunal ha de remitirse, de nuevo, a la doctrina fijada en la STC 16/2018, FJ 17. También, cabría recordar que este tribunal declaró la compatibilidad con el art. 33 CE de una medida expropiatoria análoga a la aquí enjuiciada, pero respecto de la propiedad rústica, en la STC 37/1987, FJ 4. Además, habría de añadirse que la expropiación por incumplimiento de la función social de la propiedad, también denominada por la doctrina impropiamente como “expropiación-sanción”, no es una institución extraña ni anómala en nuestro Derecho Administrativo, sino que aparece contemplada con carácter general en los arts. 71 y ss. de la Ley de 16 de diciembre de 1954, sobre expropiación forzosa, además de tener su correspondiente proyección en leyes sectoriales, como en el ya mencionado art. 49 TRLSRU, así como en algunas otras leyes autonómicas en materia de vivienda [v. gr., art. 52.2 de la Ley 10/2010, de 10 de mayo, del derecho a la vivienda en Navarra y art. 72.3 c) de la Ley de la Comunidad Autónoma del País Vasco 3/2015, de 18 de junio, de vivienda].</w:t>
      </w:r>
    </w:p>
    <w:p w14:paraId="2EB1703B" w14:textId="77777777" w:rsidR="00A8138F" w:rsidRDefault="00A8138F" w:rsidP="00A8138F">
      <w:pPr>
        <w:pStyle w:val="TextoNormal"/>
      </w:pPr>
    </w:p>
    <w:p w14:paraId="6E6133DA" w14:textId="77777777" w:rsidR="00A8138F" w:rsidRDefault="00A8138F" w:rsidP="00A8138F">
      <w:pPr>
        <w:pStyle w:val="TextoNormal"/>
      </w:pPr>
      <w:r>
        <w:t>Por lo demás, el recurso de inconstitucionalidad se limita a calificar esta medida como desproporcionada, sin adentrarse mínimamente en las razones que conducirían a tal conclu</w:t>
      </w:r>
      <w:r>
        <w:lastRenderedPageBreak/>
        <w:t>sión. Este apodíctico alegato ha de ser desestimado, tomando en consideración: (i) que la expropiación viene, en estos supuestos, justificada por razones de interés social, que entroncan directamente con el aseguramiento del derecho a la vivienda, reconocido en el art. 47 CE; (ii) que la expropiación forzosa ha de ir precedida de la declaración de incumplimiento de la función social que, a su vez, no puede dictarse sin, previamente, haber dirigido el oportuno requerimiento al propietario para que proceda al cumplimiento de sus deberes derivados de la función social de la propiedad de la vivienda, dándole, por lo tanto, posibilidad de cumplir voluntariamente con sus obligaciones antes de proceder a la expropiación; (iii) que esta expropiación forzosa no es una medida obligatoria o una potestad de imperativo ejercicio para la administración, sino solamente una más de las distintas medidas coactivas legalmente previstas para asegurar el cumplimiento de la función social de la propiedad legalmente predeterminada, por lo que la administración cuenta con un margen para valorar, en cada caso concreto, la necesidad y la proporcionalidad de acudir o no al instituto expropiatorio (como prevé, en particular, el apartado 7 del art. 15 de la Ley 4/2016, que no ha sido objeto de impugnación); y (iv) por último, que, aunque esto no haya resultado controvertido, como en todo supuesto de expropiación resulta ineludible que medie “la correspondiente indemnización”, o justiprecio, como contrapartida por la privación del dominio (art. 33.3 CE).</w:t>
      </w:r>
    </w:p>
    <w:p w14:paraId="393EA522" w14:textId="77777777" w:rsidR="00A8138F" w:rsidRDefault="00A8138F" w:rsidP="00A8138F">
      <w:pPr>
        <w:pStyle w:val="TextoNormal"/>
      </w:pPr>
    </w:p>
    <w:p w14:paraId="08880632" w14:textId="77777777" w:rsidR="00A8138F" w:rsidRDefault="00A8138F" w:rsidP="00A8138F">
      <w:pPr>
        <w:pStyle w:val="TextoNormal"/>
      </w:pPr>
      <w:r>
        <w:t>i) Finalmente, se recurre la potestad reconocida a la administración para resolver la cesión obligatoria de viviendas, por un período de siete años, para incorporarlas al fondo de viviendas de alquiler para políticas sociales (art. 7.1 de la Ley 24/2015, en redacción dada por el art. 10 de la Ley 1/2022). Los recurrentes, como en el resto de las prerrogativas examinadas hasta ahora, se limitan a tildarla de desproporcionada y, por ende, lesiva del art. 33 CE, sin profundizar en las razones que justifican tal aserto.</w:t>
      </w:r>
    </w:p>
    <w:p w14:paraId="0C82AB28" w14:textId="77777777" w:rsidR="00A8138F" w:rsidRDefault="00A8138F" w:rsidP="00A8138F">
      <w:pPr>
        <w:pStyle w:val="TextoNormal"/>
      </w:pPr>
    </w:p>
    <w:p w14:paraId="0D948218" w14:textId="77777777" w:rsidR="00A8138F" w:rsidRDefault="00A8138F" w:rsidP="00A8138F">
      <w:pPr>
        <w:pStyle w:val="TextoNormal"/>
      </w:pPr>
      <w:r>
        <w:t>El examen de la regulación de esta figura de cesión obligatoria de viviendas pone de relieve que, a pesar de su denominación, es una institución que se asemeja a la expropiación temporal del uso de la vivienda, para atender una necesidad de interés social, y ello a cambio de una compensación económica que se ha de determinar con arreglo a lo dispuesto en la disposición adicional segunda de la Ley 24/2015, que no constituye objeto del presente recurso de inconstitucionalidad. En este sentido, no puede dejar de señalarse que este tribunal declaró la constitucionalidad de otro supuesto de expropiación temporal de las facultades de uso y disfrute de la propiedad en la tantas veces citada STC 37/1987, FJ 4, cuyas consideraciones resultan trasladables al caso que nos ocupa.</w:t>
      </w:r>
    </w:p>
    <w:p w14:paraId="258BACF8" w14:textId="77777777" w:rsidR="00A8138F" w:rsidRDefault="00A8138F" w:rsidP="00A8138F">
      <w:pPr>
        <w:pStyle w:val="TextoNormal"/>
      </w:pPr>
    </w:p>
    <w:p w14:paraId="0CFC8D6D" w14:textId="77777777" w:rsidR="00A8138F" w:rsidRDefault="00A8138F" w:rsidP="00A8138F">
      <w:pPr>
        <w:pStyle w:val="TextoNormal"/>
      </w:pPr>
      <w:r>
        <w:t>Además, por lo que hace al precepto impugnado, es preciso tomar en consideración:</w:t>
      </w:r>
    </w:p>
    <w:p w14:paraId="1B645AF3" w14:textId="77777777" w:rsidR="00A8138F" w:rsidRDefault="00A8138F" w:rsidP="00A8138F">
      <w:pPr>
        <w:pStyle w:val="TextoNormal"/>
      </w:pPr>
    </w:p>
    <w:p w14:paraId="07D62AE5" w14:textId="77777777" w:rsidR="00A8138F" w:rsidRDefault="00A8138F" w:rsidP="00A8138F">
      <w:pPr>
        <w:pStyle w:val="TextoNormal"/>
      </w:pPr>
      <w:r>
        <w:t>(i) que se trata de una privación de las facultades de uso y disfrute de carácter temporal, limitada a un plazo de siete años;</w:t>
      </w:r>
    </w:p>
    <w:p w14:paraId="12F2BDA7" w14:textId="77777777" w:rsidR="00A8138F" w:rsidRDefault="00A8138F" w:rsidP="00A8138F">
      <w:pPr>
        <w:pStyle w:val="TextoNormal"/>
      </w:pPr>
    </w:p>
    <w:p w14:paraId="1972E6B9" w14:textId="77777777" w:rsidR="00A8138F" w:rsidRDefault="00A8138F" w:rsidP="00A8138F">
      <w:pPr>
        <w:pStyle w:val="TextoNormal"/>
      </w:pPr>
      <w:r>
        <w:t>(ii) que solo se puede acordar respecto de viviendas que sean propiedad de personas jurídicas y no físicas;</w:t>
      </w:r>
    </w:p>
    <w:p w14:paraId="60FA07B8" w14:textId="77777777" w:rsidR="00A8138F" w:rsidRDefault="00A8138F" w:rsidP="00A8138F">
      <w:pPr>
        <w:pStyle w:val="TextoNormal"/>
      </w:pPr>
    </w:p>
    <w:p w14:paraId="10D23BC2" w14:textId="77777777" w:rsidR="00A8138F" w:rsidRDefault="00A8138F" w:rsidP="00A8138F">
      <w:pPr>
        <w:pStyle w:val="TextoNormal"/>
      </w:pPr>
      <w:r>
        <w:t>(iii) que solo afecta a viviendas vacías que pertenezcan a sujetos pasivos del impuesto sobre viviendas vacías, es decir, que se trata de viviendas desocupadas durante más de dos años sin causa justificada (art. 9.1 de la Ley 14/2015, de 21 de julio, del impuesto sobre las viviendas vacías, y de modificación de normas tributarias y de la Ley 3/2012);</w:t>
      </w:r>
    </w:p>
    <w:p w14:paraId="1E1E3097" w14:textId="77777777" w:rsidR="00A8138F" w:rsidRDefault="00A8138F" w:rsidP="00A8138F">
      <w:pPr>
        <w:pStyle w:val="TextoNormal"/>
      </w:pPr>
    </w:p>
    <w:p w14:paraId="7AA2DFAC" w14:textId="77777777" w:rsidR="00A8138F" w:rsidRDefault="00A8138F" w:rsidP="00A8138F">
      <w:pPr>
        <w:pStyle w:val="TextoNormal"/>
      </w:pPr>
      <w:r>
        <w:t>(iv) que esta suerte de arrendamiento forzoso está supeditada a que en el municipio en que se ubique la vivienda exista, al menos, una unidad familiar en situación de riesgo de exclusión residencial, por lo que solo se justifica su aplicación para atender un interés social directamente ligado con la directriz recogida en el art. 47 CE;</w:t>
      </w:r>
    </w:p>
    <w:p w14:paraId="1FD81CB5" w14:textId="77777777" w:rsidR="00A8138F" w:rsidRDefault="00A8138F" w:rsidP="00A8138F">
      <w:pPr>
        <w:pStyle w:val="TextoNormal"/>
      </w:pPr>
    </w:p>
    <w:p w14:paraId="4112EDD1" w14:textId="77777777" w:rsidR="00A8138F" w:rsidRDefault="00A8138F" w:rsidP="00A8138F">
      <w:pPr>
        <w:pStyle w:val="TextoNormal"/>
      </w:pPr>
      <w:r>
        <w:t>(v) que, como ya hemos advertido al referirnos a la expropiación, se trata de una habilitación para la intervención administrativa, de carácter potestativo, sin que resulte imperativo el ejercicio de esta potestad en todos los casos, sino que simplemente se trata de una medida de coerción más dentro del amplio elenco de medidas que la ley pone a disposición de la administración para asegurar el cumplimiento de la función social de la propiedad de la vivienda; y</w:t>
      </w:r>
    </w:p>
    <w:p w14:paraId="6E19319A" w14:textId="77777777" w:rsidR="00A8138F" w:rsidRDefault="00A8138F" w:rsidP="00A8138F">
      <w:pPr>
        <w:pStyle w:val="TextoNormal"/>
      </w:pPr>
    </w:p>
    <w:p w14:paraId="7AE9368B" w14:textId="77777777" w:rsidR="00A8138F" w:rsidRDefault="00A8138F" w:rsidP="00A8138F">
      <w:pPr>
        <w:pStyle w:val="TextoNormal"/>
      </w:pPr>
      <w:r>
        <w:t xml:space="preserve">(vi) que, para que pueda resolverse la cesión obligatoria, es preciso que la administración declare el incumplimiento de la función social de la vivienda, lo que solo puede hacerse en caso de que se incumpla por parte del propietario el previo requerimiento que la administración debe dirigirle para que, en el plazo de un mes, proceda a cumplir su obligación de que la vivienda sea ocupada legalmente para constituir la residencia de las personas, de donde se desprende que, durante todo este </w:t>
      </w:r>
      <w:r w:rsidRPr="00A8138F">
        <w:rPr>
          <w:i/>
        </w:rPr>
        <w:t>iter</w:t>
      </w:r>
      <w:r>
        <w:t xml:space="preserve"> procedimental previo, el propietario dispone de un plazo suficiente para alquilar su vivienda voluntariamente, con arreglo al régimen ordinario previsto en la legislación de arrendamientos urbanos, y eludir con ello la sujeción de su vivienda al régimen de cesión obligatoria.</w:t>
      </w:r>
    </w:p>
    <w:p w14:paraId="745049DB" w14:textId="77777777" w:rsidR="00A8138F" w:rsidRDefault="00A8138F" w:rsidP="00A8138F">
      <w:pPr>
        <w:pStyle w:val="TextoNormal"/>
      </w:pPr>
    </w:p>
    <w:p w14:paraId="29005E89" w14:textId="77777777" w:rsidR="00A8138F" w:rsidRDefault="00A8138F" w:rsidP="00A8138F">
      <w:pPr>
        <w:pStyle w:val="TextoNormal"/>
      </w:pPr>
      <w:r>
        <w:t>Así, el enjuiciamiento abstracto de las circunstancias antedichas conduce a la conclusión de que la potestad de cesión obligatoria de las viviendas vacías de personas jurídicas, con carácter temporal, no rompe con el “justo equilibrio” entre la finalidad de interés social que se persigue y los medios adoptados para su consecución ni puede ser calificada como una previsión absolutamente irrazonable o desprovista de fundamento, ni tampoco cabe apreciar que anule totalmente la utilidad económica o individual de los titulares de las viviendas desocupadas.</w:t>
      </w:r>
    </w:p>
    <w:p w14:paraId="007D3E53" w14:textId="77777777" w:rsidR="00A8138F" w:rsidRDefault="00A8138F" w:rsidP="00A8138F">
      <w:pPr>
        <w:pStyle w:val="TextoNormal"/>
      </w:pPr>
    </w:p>
    <w:p w14:paraId="01E766A8" w14:textId="4BC4DDF1" w:rsidR="00A8138F" w:rsidRDefault="00A8138F" w:rsidP="00A8138F">
      <w:pPr>
        <w:pStyle w:val="TextoNormal"/>
      </w:pPr>
      <w:r>
        <w:t>Por todo ello, procede desestimar este motivo de impugnación.</w:t>
      </w:r>
    </w:p>
    <w:p w14:paraId="7A3E377E" w14:textId="77777777" w:rsidR="00A8138F" w:rsidRDefault="00A8138F" w:rsidP="00A8138F">
      <w:pPr>
        <w:pStyle w:val="TextoNormal"/>
      </w:pPr>
    </w:p>
    <w:p w14:paraId="57E7E531" w14:textId="77777777" w:rsidR="00A8138F" w:rsidRDefault="00A8138F" w:rsidP="00A8138F">
      <w:pPr>
        <w:pStyle w:val="TextoNormalCentrado"/>
        <w:keepNext/>
      </w:pPr>
      <w:r>
        <w:t>FALLO</w:t>
      </w:r>
    </w:p>
    <w:p w14:paraId="255620E9" w14:textId="74395E69" w:rsidR="00A8138F" w:rsidRDefault="00A8138F" w:rsidP="00A8138F">
      <w:pPr>
        <w:pStyle w:val="TextoNormalCentrado"/>
        <w:keepNext/>
      </w:pPr>
    </w:p>
    <w:p w14:paraId="3B183BCA" w14:textId="77777777" w:rsidR="00A8138F" w:rsidRDefault="00A8138F" w:rsidP="00A8138F">
      <w:pPr>
        <w:pStyle w:val="TextoNormal"/>
      </w:pPr>
      <w:r>
        <w:t>En atención a todo lo expuesto, el Tribunal Constitucional, por la autoridad que le confiere la Constitución de la Nación española, ha decidido estimar en parte el presente recurso de inconstitucionalidad y, en consecuencia:</w:t>
      </w:r>
    </w:p>
    <w:p w14:paraId="2CEC6988" w14:textId="77777777" w:rsidR="00A8138F" w:rsidRDefault="00A8138F" w:rsidP="00A8138F">
      <w:pPr>
        <w:pStyle w:val="TextoNormal"/>
      </w:pPr>
    </w:p>
    <w:p w14:paraId="5DC0B385" w14:textId="77777777" w:rsidR="00A8138F" w:rsidRDefault="00A8138F" w:rsidP="00A8138F">
      <w:pPr>
        <w:pStyle w:val="TextoNormal"/>
      </w:pPr>
      <w:r>
        <w:t>1º Declarar la pérdida sobrevenida de objeto del presente recurso de inconstitucionalidad respecto de la impugnación de los arts. 1.3; 7; 11; 12, en lo que se refiere a los apartados 1 y 2 y el inciso “y, en cualquier caso, no inferior a cinco años si el titular de la vivienda es una persona física y no inferior a siete años si es una persona jurídica”, del apartado 3 de la disposición adicional primera; y la disposición transitoria de la Ley 1/2022.</w:t>
      </w:r>
    </w:p>
    <w:p w14:paraId="43AE65B8" w14:textId="77777777" w:rsidR="00A8138F" w:rsidRDefault="00A8138F" w:rsidP="00A8138F">
      <w:pPr>
        <w:pStyle w:val="TextoNormal"/>
      </w:pPr>
    </w:p>
    <w:p w14:paraId="17F5E65F" w14:textId="77777777" w:rsidR="00A8138F" w:rsidRDefault="00A8138F" w:rsidP="00A8138F">
      <w:pPr>
        <w:pStyle w:val="TextoNormal"/>
      </w:pPr>
      <w:r>
        <w:t>2º Declarar inconstitucional y nulo el inciso “y de que, de conformidad con el artículo 49.3 del texto refundido de la Ley del suelo y rehabilitación urbana, el contenido del derecho de propiedad se reduce en un 50 por 100 de su valor, cuya diferencia corresponde a la ad</w:t>
      </w:r>
      <w:r>
        <w:lastRenderedPageBreak/>
        <w:t>ministración expropiante” del art. 15.4 de la Ley 4/2016, de 23 de diciembre, de medidas de protección del derecho a la vivienda de las personas en riesgo de exclusión residencial, en redacción dada por el art. 15 de la Ley 1/2022, de 3 de marzo, de modificación de la Ley 18/2007, la Ley 24/2015 y la Ley 4/2016, para afrontar la emergencia en el ámbito de la vivienda.</w:t>
      </w:r>
    </w:p>
    <w:p w14:paraId="6991565B" w14:textId="77777777" w:rsidR="00A8138F" w:rsidRDefault="00A8138F" w:rsidP="00A8138F">
      <w:pPr>
        <w:pStyle w:val="TextoNormal"/>
      </w:pPr>
    </w:p>
    <w:p w14:paraId="3EAB7FD7" w14:textId="77777777" w:rsidR="00A8138F" w:rsidRDefault="00A8138F" w:rsidP="00A8138F">
      <w:pPr>
        <w:pStyle w:val="TextoNormal"/>
      </w:pPr>
      <w:r>
        <w:t>3º Declarar que el art. 124.2 j) de la Ley 18/2007, en la redacción dada por el art. 6.2 de la Ley 1/2022, no es inconstitucional si se interpreta conforme a lo señalado en el fundamento jurídico 5.2 a) de esta sentencia.</w:t>
      </w:r>
    </w:p>
    <w:p w14:paraId="3AF376F2" w14:textId="77777777" w:rsidR="00A8138F" w:rsidRDefault="00A8138F" w:rsidP="00A8138F">
      <w:pPr>
        <w:pStyle w:val="TextoNormal"/>
      </w:pPr>
    </w:p>
    <w:p w14:paraId="7F823094" w14:textId="2926E3B4" w:rsidR="00A8138F" w:rsidRDefault="00A8138F" w:rsidP="00A8138F">
      <w:pPr>
        <w:pStyle w:val="TextoNormal"/>
      </w:pPr>
      <w:r>
        <w:t>4º Desestimar el recurso en todo lo demás.</w:t>
      </w:r>
    </w:p>
    <w:p w14:paraId="4101ED82" w14:textId="77777777" w:rsidR="00A8138F" w:rsidRDefault="00A8138F" w:rsidP="00A8138F">
      <w:pPr>
        <w:pStyle w:val="TextoNormal"/>
      </w:pPr>
    </w:p>
    <w:p w14:paraId="1F6E9382" w14:textId="77777777" w:rsidR="00A8138F" w:rsidRDefault="00A8138F" w:rsidP="00A8138F">
      <w:pPr>
        <w:pStyle w:val="TextoNormal"/>
      </w:pPr>
      <w:r>
        <w:t>Publíquese esta sentencia en el “Boletín Oficial del Estado”.</w:t>
      </w:r>
    </w:p>
    <w:p w14:paraId="3D40C6D1" w14:textId="77777777" w:rsidR="00A8138F" w:rsidRDefault="00A8138F" w:rsidP="00A8138F">
      <w:pPr>
        <w:pStyle w:val="TextoNormal"/>
      </w:pPr>
      <w:r>
        <w:t>Dada en Madrid, a veintinueve de enero de dos mil veinticinco.</w:t>
      </w:r>
    </w:p>
    <w:p w14:paraId="096470D2" w14:textId="701DAB47" w:rsidR="00A8138F" w:rsidRDefault="00A8138F" w:rsidP="00A8138F">
      <w:pPr>
        <w:pStyle w:val="ParrafoNormal"/>
      </w:pPr>
    </w:p>
    <w:p w14:paraId="6497B13E" w14:textId="77777777" w:rsidR="00A8138F" w:rsidRDefault="00A8138F" w:rsidP="00A8138F">
      <w:pPr>
        <w:pStyle w:val="TextoNormalNegritaCentrado"/>
        <w:keepNext/>
      </w:pPr>
      <w:r>
        <w:t>Voto particular que formula el magistrado don Ricardo Enríquez Sancho a la sentencia dictada en el recurso de inconstitucionalidad núm. 4038-2022</w:t>
      </w:r>
    </w:p>
    <w:p w14:paraId="50B161D9" w14:textId="400395D4" w:rsidR="00A8138F" w:rsidRDefault="00A8138F" w:rsidP="00A8138F">
      <w:pPr>
        <w:pStyle w:val="TextoNormalNegritaCentrado"/>
        <w:keepNext/>
      </w:pPr>
    </w:p>
    <w:p w14:paraId="4226C75E" w14:textId="77777777" w:rsidR="00A8138F" w:rsidRDefault="00A8138F" w:rsidP="00A8138F">
      <w:pPr>
        <w:pStyle w:val="TextoNormal"/>
      </w:pPr>
      <w:r>
        <w:t>En el ejercicio de la facultad que me confiere el artículo 90.2 de la Ley Orgánica del Tribunal Constitucional, y con el máximo respeto a la opinión de la mayoría, formulo el presente voto particular para exponer las razones de mi discrepancia con parte de la fundamentación jurídica y fallo de la sentencia aprobada.</w:t>
      </w:r>
    </w:p>
    <w:p w14:paraId="7B5D49E7" w14:textId="77777777" w:rsidR="00A8138F" w:rsidRDefault="00A8138F" w:rsidP="00A8138F">
      <w:pPr>
        <w:pStyle w:val="TextoNormal"/>
      </w:pPr>
    </w:p>
    <w:p w14:paraId="3C296E49" w14:textId="77777777" w:rsidR="00A8138F" w:rsidRDefault="00A8138F" w:rsidP="00A8138F">
      <w:pPr>
        <w:pStyle w:val="TextoNormal"/>
      </w:pPr>
      <w:r>
        <w:t xml:space="preserve">1. </w:t>
      </w:r>
      <w:r w:rsidRPr="00A8138F">
        <w:rPr>
          <w:i/>
        </w:rPr>
        <w:t>Objeto de la discrepancia: artículos 3, 4, 5 y 10 de la Ley 1/2022</w:t>
      </w:r>
    </w:p>
    <w:p w14:paraId="600AF47F" w14:textId="77777777" w:rsidR="00A8138F" w:rsidRDefault="00A8138F" w:rsidP="00A8138F">
      <w:pPr>
        <w:pStyle w:val="TextoNormal"/>
      </w:pPr>
    </w:p>
    <w:p w14:paraId="6D50EE67" w14:textId="77777777" w:rsidR="00A8138F" w:rsidRDefault="00A8138F" w:rsidP="00A8138F">
      <w:pPr>
        <w:pStyle w:val="TextoNormal"/>
      </w:pPr>
      <w:r>
        <w:t xml:space="preserve">Comparto la declaración de inconstitucionalidad del inciso del art. 15.4 anulado en la sentencia y también la interpretación conforme del art. 124.2 j) efectuada en el fallo. Mi discrepancia se refiere exclusivamente a la desestimación del motivo de vulneración del contenido esencial del derecho de propiedad por los artículos 3, 4, 5 y 10 de la Ley 1/2022 [es decir, el art. 42, apartados 6 y 7, el art. 113.2 </w:t>
      </w:r>
      <w:r w:rsidRPr="00A8138F">
        <w:rPr>
          <w:i/>
        </w:rPr>
        <w:t>bis</w:t>
      </w:r>
      <w:r>
        <w:t xml:space="preserve"> y el art. 123 h) de la Ley 18/2007, y el art. 7 de la Ley 24/2015, a los que aquellos dan nueva redacción]. A nuestro juicio, esos preceptos debieron ser también anulados.</w:t>
      </w:r>
    </w:p>
    <w:p w14:paraId="5153CC08" w14:textId="77777777" w:rsidR="00A8138F" w:rsidRDefault="00A8138F" w:rsidP="00A8138F">
      <w:pPr>
        <w:pStyle w:val="TextoNormal"/>
      </w:pPr>
    </w:p>
    <w:p w14:paraId="729C3FE2" w14:textId="77777777" w:rsidR="00A8138F" w:rsidRDefault="00A8138F" w:rsidP="00A8138F">
      <w:pPr>
        <w:pStyle w:val="TextoNormal"/>
      </w:pPr>
      <w:r>
        <w:t xml:space="preserve">2. </w:t>
      </w:r>
      <w:r w:rsidRPr="00A8138F">
        <w:rPr>
          <w:i/>
        </w:rPr>
        <w:t>El formalismo de la respuesta de la mayoría elude la necesaria perspectiva de conjunto</w:t>
      </w:r>
    </w:p>
    <w:p w14:paraId="44724B0E" w14:textId="77777777" w:rsidR="00A8138F" w:rsidRDefault="00A8138F" w:rsidP="00A8138F">
      <w:pPr>
        <w:pStyle w:val="TextoNormal"/>
      </w:pPr>
    </w:p>
    <w:p w14:paraId="1B993D57" w14:textId="77777777" w:rsidR="00A8138F" w:rsidRDefault="00A8138F" w:rsidP="00A8138F">
      <w:pPr>
        <w:pStyle w:val="TextoNormal"/>
      </w:pPr>
      <w:r>
        <w:t>La mayoría descompone artificialmente este motivo de vulneración del contenido esencial del derecho de propiedad por los artículos citados y examina con un formalismo impropio lo que ella misma llama “verdadera controversia constitucional” que suscita el recurso (FJ 5.3, primer párrafo). Ello a pesar de que la propia sentencia reconoce que esos preceptos se impugnaban “conjuntamente o en bloque” en el recurso, y que por tanto la respuesta del tribunal debía ser igualmente “global o genérica” [FJ 5.3 B) b) (iii)].</w:t>
      </w:r>
    </w:p>
    <w:p w14:paraId="1A10146B" w14:textId="77777777" w:rsidR="00A8138F" w:rsidRDefault="00A8138F" w:rsidP="00A8138F">
      <w:pPr>
        <w:pStyle w:val="TextoNormal"/>
      </w:pPr>
    </w:p>
    <w:p w14:paraId="11C1E783" w14:textId="77777777" w:rsidR="00A8138F" w:rsidRDefault="00A8138F" w:rsidP="00A8138F">
      <w:pPr>
        <w:pStyle w:val="TextoNormal"/>
      </w:pPr>
      <w:r>
        <w:t xml:space="preserve">Efectivamente, según el resumen de la impugnación que efectúa la sentencia, los recurrentes denunciaban la desproporción que representa que la desocupación de una vivienda “pueda suponer para cualquier propietario privado el inicio de un expediente sancionador por infracción muy grave [art. 123.1 h) de la Ley 18/2007], la imposición de multas coercitivas (art. 113.2 </w:t>
      </w:r>
      <w:r w:rsidRPr="00A8138F">
        <w:rPr>
          <w:i/>
        </w:rPr>
        <w:t>bis</w:t>
      </w:r>
      <w:r>
        <w:t xml:space="preserve"> de la Ley 18/2007) e incluso la expropiación forzosa (art. 15.1 de la Ley </w:t>
      </w:r>
      <w:r>
        <w:lastRenderedPageBreak/>
        <w:t>4/2016)” (FJ 5.3, tercer párrafo). La sentencia transforma este enfoque de los recurrentes sobre el exceso del legislador en un examen individualizado de cada precepto aislado, como si de compartimentos estancos se tratara, y concluye que cada uno de ellos, individualmente considerado, respeta el canon de “razonabilidad” o “justo equilibrio” que debe emplearse para el control del respeto por las regulaciones económicas del derecho de propiedad [STC 112/2021, entre otras, citadas en el FJ 5.3 A) de la sentencia]. Apoya, además, la desestimación del motivo en el (supuesto) “dato de que este tribunal ya se ha pronunciado, desde la óptica del art. 33 CE, respecto de medidas similares” en la STC 16/2018 [FJ 5.3 B) c)].</w:t>
      </w:r>
    </w:p>
    <w:p w14:paraId="33E24199" w14:textId="77777777" w:rsidR="00A8138F" w:rsidRDefault="00A8138F" w:rsidP="00A8138F">
      <w:pPr>
        <w:pStyle w:val="TextoNormal"/>
      </w:pPr>
    </w:p>
    <w:p w14:paraId="636B1707" w14:textId="77777777" w:rsidR="00A8138F" w:rsidRDefault="00A8138F" w:rsidP="00A8138F">
      <w:pPr>
        <w:pStyle w:val="TextoNormal"/>
      </w:pPr>
      <w:r>
        <w:t>Considero, por el contrario: (i) que la STC 16/2018 aludida por nuestros compañeros no impone la solución que estos quieren hacer pasar por aplicación de doctrina, pues existen importantes diferencias entre la ley foral allí examinada y la ley catalana que es objeto de este recurso; (ii) que el examen individualizado y no de conjunto que lleva a cabo la sentencia no da respuesta a la verdadera queja de los recurrentes: con este modo de proceder, a la mayoría los árboles no le dejen ver el bosque; (iii) y, finalmente, que el canon de la razonabilidad de las regulaciones que afectan al derecho de propiedad que la mayoría aplica ciegamente no es el único aplicable en este caso: la previsibilidad y certeza de las leyes que regulan derechos fundamentales (art. 53.1, en relación con el art. 33 CE) y la proporcionalidad de las medidas de ejecución administrativa (art. 106.1 CE) son igualmente relevantes a la hora de resolver.</w:t>
      </w:r>
    </w:p>
    <w:p w14:paraId="4BCB8B30" w14:textId="77777777" w:rsidR="00A8138F" w:rsidRDefault="00A8138F" w:rsidP="00A8138F">
      <w:pPr>
        <w:pStyle w:val="TextoNormal"/>
      </w:pPr>
    </w:p>
    <w:p w14:paraId="6BA3D29B" w14:textId="77777777" w:rsidR="00A8138F" w:rsidRDefault="00A8138F" w:rsidP="00A8138F">
      <w:pPr>
        <w:pStyle w:val="TextoNormal"/>
      </w:pPr>
      <w:r>
        <w:t xml:space="preserve">3. </w:t>
      </w:r>
      <w:r w:rsidRPr="00A8138F">
        <w:rPr>
          <w:i/>
        </w:rPr>
        <w:t>La STC 16/2018 y las medidas de la Ley Foral 24/2013</w:t>
      </w:r>
    </w:p>
    <w:p w14:paraId="77F4B0EC" w14:textId="77777777" w:rsidR="00A8138F" w:rsidRDefault="00A8138F" w:rsidP="00A8138F">
      <w:pPr>
        <w:pStyle w:val="TextoNormal"/>
      </w:pPr>
    </w:p>
    <w:p w14:paraId="1E24855A" w14:textId="77777777" w:rsidR="00A8138F" w:rsidRDefault="00A8138F" w:rsidP="00A8138F">
      <w:pPr>
        <w:pStyle w:val="TextoNormal"/>
      </w:pPr>
      <w:r>
        <w:t>Como la mayoría parte del “dato” de que la STC 16/2018 proporciona la respuesta a este caso y que “no encuentra razón para apartarse de la conclusión alcanzada” en aquella ocasión, resulta prioritario deshacer esta falsa premisa antes de abordar la respuesta que debe darse a la verdadera cuestión planteada en el recurso.</w:t>
      </w:r>
    </w:p>
    <w:p w14:paraId="324C69E4" w14:textId="77777777" w:rsidR="00A8138F" w:rsidRDefault="00A8138F" w:rsidP="00A8138F">
      <w:pPr>
        <w:pStyle w:val="TextoNormal"/>
      </w:pPr>
    </w:p>
    <w:p w14:paraId="6DA3D948" w14:textId="77777777" w:rsidR="00A8138F" w:rsidRDefault="00A8138F" w:rsidP="00A8138F">
      <w:pPr>
        <w:pStyle w:val="TextoNormal"/>
      </w:pPr>
      <w:r>
        <w:t>Entre la Ley Foral 24/2013 enjuiciada en la STC 16/2018 y la Ley catalana 1/2022 objeto de este recurso existen importantes y significativas diferencias:</w:t>
      </w:r>
    </w:p>
    <w:p w14:paraId="6F057933" w14:textId="77777777" w:rsidR="00A8138F" w:rsidRDefault="00A8138F" w:rsidP="00A8138F">
      <w:pPr>
        <w:pStyle w:val="TextoNormal"/>
      </w:pPr>
    </w:p>
    <w:p w14:paraId="7D588436" w14:textId="77777777" w:rsidR="00A8138F" w:rsidRDefault="00A8138F" w:rsidP="00A8138F">
      <w:pPr>
        <w:pStyle w:val="TextoNormal"/>
      </w:pPr>
      <w:r>
        <w:t>a) En primer lugar, en la Ley Foral 24/2013 solo se preveían dos consecuencias ante la desocupación de viviendas, la imposición de multas coercitivas y la expropiación-sanción. En cambio, la Ley 1/2022 regula tres consecuencias, ya que a las dos anteriores agrega la imposición de una sanción económica en sentido propio. Efectivamente, el art. 5 de esta Ley 1/2022, que modifica el art. 123.1 h) de la Ley 18/2007, tipifica como “infracción muy grave” el incumplimiento del requerimiento de ocupación legal y efectiva de la vivienda. Y esta infracción puede ser sancionada con “una multa de 90 001 a 900 000 €” según el art. 118.1 de la Ley 18/2007. Un artículo así no fue examinado en la STC 16/2018 (puede verse la transcripción de los preceptos recurridos en el fundamento jurídico 5 de esta última sentencia).</w:t>
      </w:r>
    </w:p>
    <w:p w14:paraId="513F1F8A" w14:textId="77777777" w:rsidR="00A8138F" w:rsidRDefault="00A8138F" w:rsidP="00A8138F">
      <w:pPr>
        <w:pStyle w:val="TextoNormal"/>
      </w:pPr>
    </w:p>
    <w:p w14:paraId="123E6138" w14:textId="77777777" w:rsidR="00A8138F" w:rsidRDefault="00A8138F" w:rsidP="00A8138F">
      <w:pPr>
        <w:pStyle w:val="TextoNormal"/>
      </w:pPr>
      <w:r>
        <w:t>b) En segundo lugar, la Ley Foral 24/2013 delimitaban con cierta precisión la reacción de la administración en caso de incumplimiento de un requerimiento de ocupación, en particular en el art. 72.2, transcrito en la STC 16/2018, FJ 6:</w:t>
      </w:r>
    </w:p>
    <w:p w14:paraId="53EAC18B" w14:textId="77777777" w:rsidR="00A8138F" w:rsidRDefault="00A8138F" w:rsidP="00A8138F">
      <w:pPr>
        <w:pStyle w:val="TextoNormal"/>
      </w:pPr>
    </w:p>
    <w:p w14:paraId="78FC2A95" w14:textId="77777777" w:rsidR="00A8138F" w:rsidRDefault="00A8138F" w:rsidP="00A8138F">
      <w:pPr>
        <w:pStyle w:val="TextoNormal"/>
      </w:pPr>
      <w:r>
        <w:t xml:space="preserve">“Cuando la infracción muy grave relativa a no dar efectiva habitación a la vivienda en los términos establecidos en esta Ley Foral no haya sido sancionada con expropiación, en </w:t>
      </w:r>
      <w:r>
        <w:lastRenderedPageBreak/>
        <w:t>todo caso se requerirá a la entidad titular para que ponga fin a tal situación en plazo máximo de seis meses, con apercibimiento de que en caso contrario se impondrán multas coercitivas o de que podrá iniciarse un procedimiento expropiatorio del uso de la vivienda”.</w:t>
      </w:r>
    </w:p>
    <w:p w14:paraId="315DEF8B" w14:textId="77777777" w:rsidR="00A8138F" w:rsidRDefault="00A8138F" w:rsidP="00A8138F">
      <w:pPr>
        <w:pStyle w:val="TextoNormal"/>
      </w:pPr>
    </w:p>
    <w:p w14:paraId="08982488" w14:textId="77777777" w:rsidR="00A8138F" w:rsidRDefault="00A8138F" w:rsidP="00A8138F">
      <w:pPr>
        <w:pStyle w:val="TextoNormal"/>
      </w:pPr>
      <w:r>
        <w:t>De este modo, la actuación de la administración quedaba legalmente condicionada: la administración debía prioritariamente expropiar la vivienda, y solo subsidiariamente, motivando por tanto por qué no acudía directamente al primer remedio, podía imponer multas coercitivas o, nuevamente, advertir de la posibilidad de expropiación. En suma, la reacción de la administración no era libre ni discrecional, como sucede en la Ley catalana 1/2022.</w:t>
      </w:r>
    </w:p>
    <w:p w14:paraId="4F555F33" w14:textId="77777777" w:rsidR="00A8138F" w:rsidRDefault="00A8138F" w:rsidP="00A8138F">
      <w:pPr>
        <w:pStyle w:val="TextoNormal"/>
      </w:pPr>
    </w:p>
    <w:p w14:paraId="3DEF6E75" w14:textId="77777777" w:rsidR="00A8138F" w:rsidRDefault="00A8138F" w:rsidP="00A8138F">
      <w:pPr>
        <w:pStyle w:val="TextoNormal"/>
      </w:pPr>
      <w:r>
        <w:t>c) Y, finalmente, en tercer lugar, la expropiación prevista en la Ley Foral 24/2013 como reacción ante la falta de ocupación de la vivienda era la expropiación del “uso” de la misma por un plazo máximo de cinco años (véase el art. 72.2 recién transcrito, y también el art. 7 de la misma Ley Foral 24/2013). En cambio, la Ley catalana 1/2022 permite la expropiación del entero derecho de propiedad sobre la vivienda, y no solo de su uso (art. 42.7, redactado por el art. 3 de la Ley 1/2022, y también art. 15.1 de la Ley 4/2016 aludido por los recurrentes y por la mayoría en el pasaje antes transcrito).</w:t>
      </w:r>
    </w:p>
    <w:p w14:paraId="6BC99D55" w14:textId="77777777" w:rsidR="00A8138F" w:rsidRDefault="00A8138F" w:rsidP="00A8138F">
      <w:pPr>
        <w:pStyle w:val="TextoNormal"/>
      </w:pPr>
    </w:p>
    <w:p w14:paraId="7EBF8491" w14:textId="77777777" w:rsidR="00A8138F" w:rsidRDefault="00A8138F" w:rsidP="00A8138F">
      <w:pPr>
        <w:pStyle w:val="TextoNormal"/>
      </w:pPr>
      <w:r>
        <w:t>Nos parecen tres diferencias lo suficientemente relevantes como para no dejarse cegar por la doctrina de la STC 16/2018.</w:t>
      </w:r>
    </w:p>
    <w:p w14:paraId="01ED4E7E" w14:textId="77777777" w:rsidR="00A8138F" w:rsidRDefault="00A8138F" w:rsidP="00A8138F">
      <w:pPr>
        <w:pStyle w:val="TextoNormal"/>
      </w:pPr>
    </w:p>
    <w:p w14:paraId="0B76805F" w14:textId="77777777" w:rsidR="00A8138F" w:rsidRDefault="00A8138F" w:rsidP="00A8138F">
      <w:pPr>
        <w:pStyle w:val="TextoNormal"/>
      </w:pPr>
      <w:r>
        <w:t xml:space="preserve">4. </w:t>
      </w:r>
      <w:r w:rsidRPr="00A8138F">
        <w:rPr>
          <w:i/>
        </w:rPr>
        <w:t>La habilitación de potestades indiferenciada a la administración vulnera el contenido esencial del derecho de propiedad y la proporcionalidad de los medios de ejecución forzosa de actos administrativos</w:t>
      </w:r>
    </w:p>
    <w:p w14:paraId="6F5EB9D6" w14:textId="77777777" w:rsidR="00A8138F" w:rsidRDefault="00A8138F" w:rsidP="00A8138F">
      <w:pPr>
        <w:pStyle w:val="TextoNormal"/>
      </w:pPr>
    </w:p>
    <w:p w14:paraId="5C786F36" w14:textId="77777777" w:rsidR="00A8138F" w:rsidRDefault="00A8138F" w:rsidP="00A8138F">
      <w:pPr>
        <w:pStyle w:val="TextoNormal"/>
      </w:pPr>
      <w:r>
        <w:t>La clave de la “verdadera controversia constitucional” planteada en el recurso es, tal y como plantaban los recurrentes, es la habilitación indiferenciada de potestades de ejecución a la administración para reaccionar frente a un mismo y único hecho: la desocupación de una vivienda. De acuerdo con la Ley 1/2022, ante la desocupación de una misma vivienda, la administración puede emplear una o varias de las potestades que el legislador le atribuye: expropiación de la propiedad (art. 3), multa coercitiva (art. 4), multa propia (art. 5) o cesión obligatoria de la vivienda (art. 10), haciéndolo, además, de manera totalmente libre y discrecional. A nuestro juicio, esta habilitación en blanco es excesiva e innecesaria para el efecto pretendido (garantizar el uso residencial de viviendas) y desnaturaliza el derecho de propiedad constitucionalmente garantizado convirtiéndolo en una concesión administrativa libremente revocable.</w:t>
      </w:r>
    </w:p>
    <w:p w14:paraId="674EFCA4" w14:textId="77777777" w:rsidR="00A8138F" w:rsidRDefault="00A8138F" w:rsidP="00A8138F">
      <w:pPr>
        <w:pStyle w:val="TextoNormal"/>
      </w:pPr>
    </w:p>
    <w:p w14:paraId="74587B8A" w14:textId="77777777" w:rsidR="00A8138F" w:rsidRDefault="00A8138F" w:rsidP="00A8138F">
      <w:pPr>
        <w:pStyle w:val="TextoNormal"/>
      </w:pPr>
      <w:r>
        <w:t>a) El art. 53.1 CE, puesto en relación con el art. 33, dispone que derecho de propiedad “vincula a todos los poderes públicos” y también al legislador, pues “solo por ley, que en todo caso deberá respetar su contenido esencial, podrá regularse el ejercicio” de este derecho.</w:t>
      </w:r>
    </w:p>
    <w:p w14:paraId="670A02A5" w14:textId="77777777" w:rsidR="00A8138F" w:rsidRDefault="00A8138F" w:rsidP="00A8138F">
      <w:pPr>
        <w:pStyle w:val="TextoNormal"/>
      </w:pPr>
    </w:p>
    <w:p w14:paraId="15BF3204" w14:textId="77777777" w:rsidR="00A8138F" w:rsidRDefault="00A8138F" w:rsidP="00A8138F">
      <w:pPr>
        <w:pStyle w:val="TextoNormal"/>
      </w:pPr>
      <w:r>
        <w:t xml:space="preserve">Esta reserva de ley para la regulación de los derechos constitucionales, entre ellos el de propiedad, no es solo una garantía formal de intervención del legislador, sino también una garantía material o sustantiva que afecta al contenido de la ley. Es doctrina constitucional reiterada que la ley que regule el ejercicio de un derecho constitucional debe “garantizar las exigencias de seguridad jurídica” y que por tanto “ha de expresar todos y cada uno de los presupuestos y condiciones de la intervención” en el contenido del derecho [por todas, STC </w:t>
      </w:r>
      <w:r>
        <w:lastRenderedPageBreak/>
        <w:t>76/2019, de 22 de mayo, FJ 5 d), citando abundante doctrina anterior]. Esta segunda exigencia material o sustantiva, continúa la citada STC 76/2019, FJ 5 d):</w:t>
      </w:r>
    </w:p>
    <w:p w14:paraId="73944044" w14:textId="77777777" w:rsidR="00A8138F" w:rsidRDefault="00A8138F" w:rsidP="00A8138F">
      <w:pPr>
        <w:pStyle w:val="TextoNormal"/>
      </w:pPr>
    </w:p>
    <w:p w14:paraId="75D3329A" w14:textId="77777777" w:rsidR="00A8138F" w:rsidRDefault="00A8138F" w:rsidP="00A8138F">
      <w:pPr>
        <w:pStyle w:val="TextoNormal"/>
      </w:pPr>
      <w:r>
        <w:t xml:space="preserve">“[C]onstituye la dimensión cualitativa de la reserva de ley, y se concreta en las exigencias de previsibilidad y certeza de las medidas restrictivas en el ámbito de los derechos fundamentales. En la STC 292/2000, FJ 15, señalamos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 ‘al producirse este resultado, más allá de toda interpretación razonable, </w:t>
      </w:r>
      <w:r w:rsidRPr="00A8138F">
        <w:rPr>
          <w:i/>
        </w:rPr>
        <w:t>la ley ya no cumple su función de garantía del propio derecho fundamental que restringe, pues deja que en su lugar opere simplemente la voluntad de quien ha de aplicarla</w:t>
      </w:r>
      <w:r>
        <w:t xml:space="preserve">’. En la misma sentencia y fundamento jurídico precisamos también el tipo de vulneración que acarrea la falta de certeza y previsibilidad en los propios límites: ‘no solo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w:t>
      </w:r>
      <w:r w:rsidRPr="00A8138F">
        <w:rPr>
          <w:i/>
        </w:rPr>
        <w:t>lesionando el contenido esencial del derecho fundamental así restringido, dado que la forma en que se han fijado sus límites lo hacen irreconocible e imposibilitan, en la práctica, su ejercicio</w:t>
      </w:r>
      <w:r>
        <w:t xml:space="preserve"> (SSTC 11/1981, FJ 15; 142/1993, de 22 de abril, FJ 4, y 341/1993, de 18 de noviembre, FJ 7)’” (énfasis añadido).</w:t>
      </w:r>
    </w:p>
    <w:p w14:paraId="0E694EFD" w14:textId="77777777" w:rsidR="00A8138F" w:rsidRDefault="00A8138F" w:rsidP="00A8138F">
      <w:pPr>
        <w:pStyle w:val="TextoNormal"/>
      </w:pPr>
    </w:p>
    <w:p w14:paraId="0E7F235B" w14:textId="77777777" w:rsidR="00A8138F" w:rsidRDefault="00A8138F" w:rsidP="00A8138F">
      <w:pPr>
        <w:pStyle w:val="TextoNormal"/>
      </w:pPr>
      <w:r>
        <w:t xml:space="preserve">Por no cumplir estas exigencias sustantivas o de contenido, la STC 76/2019 declaró inconstitucional el art. 58 </w:t>
      </w:r>
      <w:r w:rsidRPr="00A8138F">
        <w:rPr>
          <w:i/>
        </w:rPr>
        <w:t>bis</w:t>
      </w:r>
      <w:r>
        <w:t xml:space="preserve"> de la Ley Orgánica 5/1985, de régimen electoral general, al no haber “delimitado los presupuestos ni las condiciones de [la] injerencia” en el derecho allí concernido (la protección de datos), ni haber “establecido las garantías adecuadas” para la debida protección de ese derecho, calificando estas omisiones del legislador como una “insuficiencia de la ley que solo el legislador puede remediar” y que representan “la infracción del mandato de preservación del contenido esencial del derecho fundamental que impone el art. 53.1 CE” (FJ 9).</w:t>
      </w:r>
    </w:p>
    <w:p w14:paraId="3AEEB21C" w14:textId="77777777" w:rsidR="00A8138F" w:rsidRDefault="00A8138F" w:rsidP="00A8138F">
      <w:pPr>
        <w:pStyle w:val="TextoNormal"/>
      </w:pPr>
    </w:p>
    <w:p w14:paraId="53ED2505" w14:textId="77777777" w:rsidR="00A8138F" w:rsidRDefault="00A8138F" w:rsidP="00A8138F">
      <w:pPr>
        <w:pStyle w:val="TextoNormal"/>
      </w:pPr>
      <w:r>
        <w:t>Esto mismo es lo que sucede con la Ley catalana 1/2022. La entrega libre e incondicionada a la administración para que escoja, a su libre arbitrio, la reacción que procede ante un único y simple hecho, la desocupación de una vivienda, sin expresión de los presupuestos, condiciones, límites o criterios que deben guiar esa reacción, supone la sustitución del legislador por “la voluntad de quien ha de aplicar” la ley, es decir, la administración. Y esta “falta de garantías adecuadas” del derecho de propiedad implica “la infracción del mandato de preservación del contenido esencial del derecho fundamental que impone el art. 53.1 CE”.</w:t>
      </w:r>
    </w:p>
    <w:p w14:paraId="0916062B" w14:textId="77777777" w:rsidR="00A8138F" w:rsidRDefault="00A8138F" w:rsidP="00A8138F">
      <w:pPr>
        <w:pStyle w:val="TextoNormal"/>
      </w:pPr>
    </w:p>
    <w:p w14:paraId="3A8ECD3F" w14:textId="77777777" w:rsidR="00A8138F" w:rsidRDefault="00A8138F" w:rsidP="00A8138F">
      <w:pPr>
        <w:pStyle w:val="TextoNormal"/>
      </w:pPr>
      <w:r>
        <w:t>Esta era, por tanto, la verdadera doctrina aplicable, y no la de la STC 16/2018. Y su aplicación hubiera debido conducir a la declaración de inconstitucionalidad de los arts. 3, 4 y 5, por las siguientes razones:</w:t>
      </w:r>
    </w:p>
    <w:p w14:paraId="1B708B59" w14:textId="77777777" w:rsidR="00A8138F" w:rsidRDefault="00A8138F" w:rsidP="00A8138F">
      <w:pPr>
        <w:pStyle w:val="TextoNormal"/>
      </w:pPr>
    </w:p>
    <w:p w14:paraId="4A377A72" w14:textId="77777777" w:rsidR="00A8138F" w:rsidRDefault="00A8138F" w:rsidP="00A8138F">
      <w:pPr>
        <w:pStyle w:val="TextoNormal"/>
      </w:pPr>
      <w:r>
        <w:t>(i) En primer lugar, a diferencia —otra vez— de la Ley Foral 24/2013 que señala el plazo en que el propietario debe cumplir el requerimiento de ocupación (“seis meses”: art. 72.2, arriba transcrito) la Ley catalana 1/2022 no establece el plazo alguno para el primer reque</w:t>
      </w:r>
      <w:r>
        <w:lastRenderedPageBreak/>
        <w:t>rimiento de cumplimiento voluntario al propietario. El art. 3 de la Ley 1/2022 (art. 42.6 de la Ley 18/2007) dice simplemente “en el plazo que se establezca” (por la administración, libremente). Esto representa una vulneración esencial ya que impide al titular del derecho saber a qué atenerse con la lectura de una ley que puede acarrear enérgicas consecuencias, entre otras, la privación definitiva de su propiedad.</w:t>
      </w:r>
    </w:p>
    <w:p w14:paraId="27226B83" w14:textId="77777777" w:rsidR="00A8138F" w:rsidRDefault="00A8138F" w:rsidP="00A8138F">
      <w:pPr>
        <w:pStyle w:val="TextoNormal"/>
      </w:pPr>
    </w:p>
    <w:p w14:paraId="31258C74" w14:textId="77777777" w:rsidR="00A8138F" w:rsidRDefault="00A8138F" w:rsidP="00A8138F">
      <w:pPr>
        <w:pStyle w:val="TextoNormal"/>
      </w:pPr>
      <w:r>
        <w:t xml:space="preserve">Incluso aunque se entendiera que ese plazo inicial debe ser el mismo que el de la reiteración de las multas coercitivas, es decir, “un mes” (art. 4 de la Ley 1/2022, que añade el art. 113.2 </w:t>
      </w:r>
      <w:r w:rsidRPr="00A8138F">
        <w:rPr>
          <w:i/>
        </w:rPr>
        <w:t>bis</w:t>
      </w:r>
      <w:r>
        <w:t xml:space="preserve"> de la Ley 18/2007), este plazo me parecería absolutamente irrazonable. La mayoría considera en una vana petición de principio que este plazo es “un tiempo suficiente para concertar un contrato de alquiler” [FJ 5.3 B) f) (iii)]. Aplicando simplemente las máximas de la experiencia, no puedo compartir esta apreciación. Y esta insuficiencia es un vicio de trascendencia constitucional, pues según nuestra doctrina la ejecución de actos administrativos, para ser respetuosa con la Constitución, exige que el obligado disponga de “tiempo suficiente para el cumplimiento voluntario” (STC 137/1985, de 17 de octubre, FJ 5):</w:t>
      </w:r>
    </w:p>
    <w:p w14:paraId="31DB6B7B" w14:textId="77777777" w:rsidR="00A8138F" w:rsidRDefault="00A8138F" w:rsidP="00A8138F">
      <w:pPr>
        <w:pStyle w:val="TextoNormal"/>
      </w:pPr>
    </w:p>
    <w:p w14:paraId="2E8E88B4" w14:textId="77777777" w:rsidR="00A8138F" w:rsidRDefault="00A8138F" w:rsidP="00A8138F">
      <w:pPr>
        <w:pStyle w:val="TextoNormal"/>
      </w:pPr>
      <w:r>
        <w:t>“La ausencia de cualquier atisbo represivo o de castigo, conlleva, en lógica coherencia con la finalidad de este instrumento, la necesidad de atribuir a quien pudiera estar incumpliendo la obligación impuesta, la facultad de restaurar la legalidad perturbada, concediéndole un plazo inicial suficiente a tal efecto, exigencia que deberá respetarse en el caso de reiteración de las multas” (AATC 126/2017, de 20 de septiembre, FJ 4, y 127/2017, de 21 de septiembre, FJ 3).</w:t>
      </w:r>
    </w:p>
    <w:p w14:paraId="1F44B9BC" w14:textId="77777777" w:rsidR="00A8138F" w:rsidRDefault="00A8138F" w:rsidP="00A8138F">
      <w:pPr>
        <w:pStyle w:val="TextoNormal"/>
      </w:pPr>
    </w:p>
    <w:p w14:paraId="592DAAED" w14:textId="77777777" w:rsidR="00A8138F" w:rsidRDefault="00A8138F" w:rsidP="00A8138F">
      <w:pPr>
        <w:pStyle w:val="TextoNormal"/>
      </w:pPr>
      <w:r>
        <w:t>A mi modo de ver, el plazo de un mes previsto en la Ley 1/2022 —caso que se considerase el plazo legal aplicable al requerimiento inicial— no otorga una oportunidad real y efectiva al obligado para cumplir con el requerimiento de ocupación.</w:t>
      </w:r>
    </w:p>
    <w:p w14:paraId="3C9398D9" w14:textId="77777777" w:rsidR="00A8138F" w:rsidRDefault="00A8138F" w:rsidP="00A8138F">
      <w:pPr>
        <w:pStyle w:val="TextoNormal"/>
      </w:pPr>
    </w:p>
    <w:p w14:paraId="0B8D3171" w14:textId="77777777" w:rsidR="00A8138F" w:rsidRDefault="00A8138F" w:rsidP="00A8138F">
      <w:pPr>
        <w:pStyle w:val="TextoNormal"/>
      </w:pPr>
      <w:r>
        <w:t>(ii) Adicionalmente a lo anterior, el carácter indiferenciado de las consecuencias que acarrea ese incumplimiento y la completa discrecionalidad de la administración para proceder, representa una absoluta indefensión para el propietario y una vulneración del contenido esencial del derecho de propiedad que lo hace impracticable.</w:t>
      </w:r>
    </w:p>
    <w:p w14:paraId="3B1007A9" w14:textId="77777777" w:rsidR="00A8138F" w:rsidRDefault="00A8138F" w:rsidP="00A8138F">
      <w:pPr>
        <w:pStyle w:val="TextoNormal"/>
      </w:pPr>
    </w:p>
    <w:p w14:paraId="383D0D17" w14:textId="77777777" w:rsidR="00A8138F" w:rsidRDefault="00A8138F" w:rsidP="00A8138F">
      <w:pPr>
        <w:pStyle w:val="TextoNormal"/>
      </w:pPr>
      <w:r>
        <w:t>Por incumplir el requerimiento —recordemos: en el plazo libremente establecido por la administración— al propietario se le pueden imponer, conjunta o sucesivamente, cuatro medidas diferentes, a cada cual más gravosa: multa en sentido propio (sanción), multa coercitiva (compatible con la anterior, de acuerdo con el art. 113.1 de la Ley 18/2007), la cesión obligatoria de la vivienda, y la expropiación-sanción por incumplimiento de la función social de la propiedad, una expropiación, además, que comprende la privación del íntegro contenido del dominio, y no solamente del derecho de uso. Esta ausencia de regulación representa un defecto de “calidad de la ley” que vicia a esta de inconstitucionalidad por vulneración del contenido esencial del derecho de propiedad, al hacer este este irreconocible y someterlo al arbitrio de la administración. Como declaró la STC 76/2019, ya citada más arriba, FJ 8:</w:t>
      </w:r>
    </w:p>
    <w:p w14:paraId="4815493E" w14:textId="77777777" w:rsidR="00A8138F" w:rsidRDefault="00A8138F" w:rsidP="00A8138F">
      <w:pPr>
        <w:pStyle w:val="TextoNormal"/>
      </w:pPr>
    </w:p>
    <w:p w14:paraId="1E53E0FC" w14:textId="77777777" w:rsidR="00A8138F" w:rsidRDefault="00A8138F" w:rsidP="00A8138F">
      <w:pPr>
        <w:pStyle w:val="TextoNormal"/>
      </w:pPr>
      <w:r>
        <w:t xml:space="preserve">“Según reiterada doctrina constitucional, la reserva de ley no se limita a exigir que una ley habilite la medida restrictiva de derechos fundamentales, sino que también es preciso, conforme tanto a exigencias denominadas —unas veces— de predeterminación normativa y —otras— de calidad de la ley como al respeto al contenido esencial del derecho, que en </w:t>
      </w:r>
      <w:r>
        <w:lastRenderedPageBreak/>
        <w:t>esa regulación el legislador, que viene obligado de forma primaria a ponderar los derechos o intereses en pugna, predetermine los supuestos, las condiciones y las garantías en que procede la adopción de medidas restrictivas de derechos fundamentales”.</w:t>
      </w:r>
    </w:p>
    <w:p w14:paraId="58F9B3D0" w14:textId="77777777" w:rsidR="00A8138F" w:rsidRDefault="00A8138F" w:rsidP="00A8138F">
      <w:pPr>
        <w:pStyle w:val="TextoNormal"/>
      </w:pPr>
    </w:p>
    <w:p w14:paraId="391B2D28" w14:textId="77777777" w:rsidR="00A8138F" w:rsidRDefault="00A8138F" w:rsidP="00A8138F">
      <w:pPr>
        <w:pStyle w:val="TextoNormal"/>
      </w:pPr>
      <w:r>
        <w:t>Al no hacerlo así, los arts. 3, 4, 5 y 10 de la Ley 1/2022, que identifican los medios de reacción frente al incumplimiento, sin “predetermin[ar] los supuestos, las condiciones y las garantías” aplicables a cada uno de ellos, vulneran el art. 53.1, en relación con el art. 33 CE.</w:t>
      </w:r>
    </w:p>
    <w:p w14:paraId="35090CE7" w14:textId="77777777" w:rsidR="00A8138F" w:rsidRDefault="00A8138F" w:rsidP="00A8138F">
      <w:pPr>
        <w:pStyle w:val="TextoNormal"/>
      </w:pPr>
    </w:p>
    <w:p w14:paraId="504694B4" w14:textId="77777777" w:rsidR="00A8138F" w:rsidRDefault="00A8138F" w:rsidP="00A8138F">
      <w:pPr>
        <w:pStyle w:val="TextoNormal"/>
      </w:pPr>
      <w:r>
        <w:t>b) La vulneración del contenido esencial del derecho de propiedad se produce por otro motivo adicional. Porque, tratándose de medidas de ejecución de actos administrativos (requerimientos de ocupación de una vivienda), su previsión en la ley tampoco respeta “principio de proporcionalidad” establecido en esta materia por nuestra doctrina.</w:t>
      </w:r>
    </w:p>
    <w:p w14:paraId="71D5355C" w14:textId="77777777" w:rsidR="00A8138F" w:rsidRDefault="00A8138F" w:rsidP="00A8138F">
      <w:pPr>
        <w:pStyle w:val="TextoNormal"/>
      </w:pPr>
    </w:p>
    <w:p w14:paraId="3FC1FEF1" w14:textId="77777777" w:rsidR="00A8138F" w:rsidRDefault="00A8138F" w:rsidP="00A8138F">
      <w:pPr>
        <w:pStyle w:val="TextoNormal"/>
      </w:pPr>
      <w:r>
        <w:t>Efectivamente, según los AATC 126/2017, FJ 4, y 127/2017, FJ 4, antes citados, en la ejecución de actos de autoridad:</w:t>
      </w:r>
    </w:p>
    <w:p w14:paraId="0C687FDB" w14:textId="77777777" w:rsidR="00A8138F" w:rsidRDefault="00A8138F" w:rsidP="00A8138F">
      <w:pPr>
        <w:pStyle w:val="TextoNormal"/>
      </w:pPr>
    </w:p>
    <w:p w14:paraId="772902D5" w14:textId="77777777" w:rsidR="00A8138F" w:rsidRDefault="00A8138F" w:rsidP="00A8138F">
      <w:pPr>
        <w:pStyle w:val="TextoNormal"/>
      </w:pPr>
      <w:r>
        <w:t xml:space="preserve">“El principio de adecuación reclama, por tanto, la existencia de una relación de congruencia objetiva entre el medio adoptado y el fin que con él se persigue, entendiendose que tal circunstancia se producirá si la medida puede contribuir positivamente a la realización del fin perseguido. Por el contrario, </w:t>
      </w:r>
      <w:r w:rsidRPr="00A8138F">
        <w:rPr>
          <w:i/>
        </w:rPr>
        <w:t>la medida habrá de reputarse inidónea o inadecuada, si entorpece, o incluso, si resulta indiferente en punto a la satisfacción de su finalidad</w:t>
      </w:r>
      <w:r>
        <w:t xml:space="preserve"> (STC 60/2010, de 7 de octubre, FJ 12). […]</w:t>
      </w:r>
    </w:p>
    <w:p w14:paraId="7892FBD7" w14:textId="77777777" w:rsidR="00A8138F" w:rsidRDefault="00A8138F" w:rsidP="00A8138F">
      <w:pPr>
        <w:pStyle w:val="TextoNormal"/>
      </w:pPr>
    </w:p>
    <w:p w14:paraId="6774ECF7" w14:textId="77777777" w:rsidR="00A8138F" w:rsidRDefault="00A8138F" w:rsidP="00A8138F">
      <w:pPr>
        <w:pStyle w:val="TextoNormal"/>
      </w:pPr>
      <w:r>
        <w:t xml:space="preserve">Ello implica realizar un </w:t>
      </w:r>
      <w:r w:rsidRPr="00A8138F">
        <w:rPr>
          <w:i/>
        </w:rPr>
        <w:t>juicio de proporcionalidad</w:t>
      </w:r>
      <w:r>
        <w:t xml:space="preserve"> que requiere la constatación de que la medida adoptada cumple los tres requisitos siguientes: que la medida sea susceptible de conseguir el objetivo propuesto (juicio de idoneidad); que sea además necesaria, en el sentido de que </w:t>
      </w:r>
      <w:r w:rsidRPr="00A8138F">
        <w:rPr>
          <w:i/>
        </w:rPr>
        <w:t>no exista otra medida más moderada para la consecución del tal propósito con igual eficacia</w:t>
      </w:r>
      <w:r>
        <w:t xml:space="preserve">, la medida no puede ir más allá de lo estrictamente necesario para lograr su objetivo (juicio de necesidad); y, finalmente, que la medida adoptada sea ponderada o equilibrada, por derivarse de ella más beneficios o ventajas para el interés general que perjuicios sobre otros bienes o valores en un juicio estricto de proporcionalidad (entre otras SSTC 281/2006, de 9 de octubre, FJ 2 —y las que allí se citan— STC 207/1996, de 16 de diciembre, FJ 4, y 159/2009, de 29 de junio, FJ 3). El </w:t>
      </w:r>
      <w:r w:rsidRPr="00A8138F">
        <w:rPr>
          <w:i/>
        </w:rPr>
        <w:t>principio de proporcionalidad</w:t>
      </w:r>
      <w:r>
        <w:t>, según reiterada jurisprudencia del Tribunal de Justicia, forma parte de los principios generales del derecho de la Unión Europea y supone que las medidas adoptadas ‘sean apropiadas y necesarias para el logro de los objetivos legítimamente perseguidos’, de modo que, ‘cuando se ofrezca una elección entre varias medidas adecuadas, debe recurrirse a la menos onerosa y que las desventajas ocasionadas no deben ser desproporcionadas con respecto a los objetivos perseguidos’ (STJCE, Sala Quinta, de 13 de noviembre de 1990, Fedesa y otros, C-331/1988)” (énfasis añadido).</w:t>
      </w:r>
    </w:p>
    <w:p w14:paraId="062B0FCA" w14:textId="77777777" w:rsidR="00A8138F" w:rsidRDefault="00A8138F" w:rsidP="00A8138F">
      <w:pPr>
        <w:pStyle w:val="TextoNormal"/>
      </w:pPr>
    </w:p>
    <w:p w14:paraId="663A1028" w14:textId="77777777" w:rsidR="00A8138F" w:rsidRDefault="00A8138F" w:rsidP="00A8138F">
      <w:pPr>
        <w:pStyle w:val="TextoNormal"/>
      </w:pPr>
      <w:r>
        <w:t>El art. 106.1 CE plasma este principio de proporcionalidad, al establecer no solo “la legalidad de la actuación administrativa”, sino también “el sometimiento de esta a los fines que la justifican”. Y, en el plano legislativo, hace lo propio el art. 100.2 de la Ley 39/2015, de 1 de octubre, de procedimiento administrativo común, que dice:</w:t>
      </w:r>
    </w:p>
    <w:p w14:paraId="4FFC8414" w14:textId="77777777" w:rsidR="00A8138F" w:rsidRDefault="00A8138F" w:rsidP="00A8138F">
      <w:pPr>
        <w:pStyle w:val="TextoNormal"/>
      </w:pPr>
    </w:p>
    <w:p w14:paraId="3A9BC4EB" w14:textId="77777777" w:rsidR="00A8138F" w:rsidRDefault="00A8138F" w:rsidP="00A8138F">
      <w:pPr>
        <w:pStyle w:val="TextoNormal"/>
      </w:pPr>
      <w:r>
        <w:t>“Si fueran varios los medios de ejecución admisibles, se elegirá el menos restrictivo de la libertad individual”.</w:t>
      </w:r>
    </w:p>
    <w:p w14:paraId="5ADECA9C" w14:textId="77777777" w:rsidR="00A8138F" w:rsidRDefault="00A8138F" w:rsidP="00A8138F">
      <w:pPr>
        <w:pStyle w:val="TextoNormal"/>
      </w:pPr>
    </w:p>
    <w:p w14:paraId="79D5BB55" w14:textId="77777777" w:rsidR="00A8138F" w:rsidRDefault="00A8138F" w:rsidP="00A8138F">
      <w:pPr>
        <w:pStyle w:val="TextoNormal"/>
      </w:pPr>
      <w:r>
        <w:t>Pues bien, los medios previstos en los arts. 3, 4 y 5 de la Ley 1/2022 tampoco respetan este principio de proporcionalidad, pues son clara y patentemente excesivos para el fin que se persigue. Si lo que el legislador catalán pretende es ofrecer una vivienda en alquiler cuando no lo hace el propietario, el medio menos restrictivo e igualmente eficaz para ese fin es la expropiación del uso de la vivienda. El resto de medios (la expropiación de la propiedad, la sanción económica por no cumplir el requerimiento de ocupación y la multa coercitiva para vencer la resistencia a ese mismo incumplimiento) son claramente innecesarios, excesivos y desproporcionados para el fin que se persigue, tal y como argumentaba el recurso.</w:t>
      </w:r>
    </w:p>
    <w:p w14:paraId="3B7F342C" w14:textId="77777777" w:rsidR="00A8138F" w:rsidRDefault="00A8138F" w:rsidP="00A8138F">
      <w:pPr>
        <w:pStyle w:val="TextoNormal"/>
      </w:pPr>
    </w:p>
    <w:p w14:paraId="3D91907E" w14:textId="77777777" w:rsidR="00A8138F" w:rsidRDefault="00A8138F" w:rsidP="00A8138F">
      <w:pPr>
        <w:pStyle w:val="TextoNormal"/>
      </w:pPr>
      <w:r>
        <w:t>Por estas razones, los arts. 3, 4 y 5 de la Ley 1/2022 debieron ser declarados inconstitucionales y nulos.</w:t>
      </w:r>
    </w:p>
    <w:p w14:paraId="69523FDA" w14:textId="77777777" w:rsidR="00A8138F" w:rsidRDefault="00A8138F" w:rsidP="00A8138F">
      <w:pPr>
        <w:pStyle w:val="TextoNormal"/>
      </w:pPr>
    </w:p>
    <w:p w14:paraId="2BC460E5" w14:textId="77777777" w:rsidR="00A8138F" w:rsidRDefault="00A8138F" w:rsidP="00A8138F">
      <w:pPr>
        <w:pStyle w:val="TextoNormal"/>
      </w:pPr>
      <w:r>
        <w:t>5</w:t>
      </w:r>
      <w:r w:rsidRPr="00A8138F">
        <w:rPr>
          <w:i/>
        </w:rPr>
        <w:t xml:space="preserve">. Inconstitucionalidad del art. </w:t>
      </w:r>
      <w:r>
        <w:t>10</w:t>
      </w:r>
    </w:p>
    <w:p w14:paraId="70468A3E" w14:textId="77777777" w:rsidR="00A8138F" w:rsidRDefault="00A8138F" w:rsidP="00A8138F">
      <w:pPr>
        <w:pStyle w:val="TextoNormal"/>
      </w:pPr>
    </w:p>
    <w:p w14:paraId="57AA8DFD" w14:textId="77777777" w:rsidR="00A8138F" w:rsidRDefault="00A8138F" w:rsidP="00A8138F">
      <w:pPr>
        <w:pStyle w:val="TextoNormal"/>
      </w:pPr>
      <w:r>
        <w:t>Además, el art. 10, que regula la cesión obligatoria de viviendas, también debió ser declarado inconstitucional. En principio, la privación singular del derecho de uso de la vivienda es la reacción natural y proporcionada ante la desocupación de esta, una vez declarado el incumplimiento de la función social de la propiedad y otorgado plazo suficiente al propietario para que se ajuste a este uso social. Sin embargo, este art. 10 es igualmente inconstitucional por el modo en que la normativa catalana regula esta cesión obligatoria de viviendas, tal como se expuso en los votos particulares a la STC 120/2024, donde ya se examinó esta cuestión.</w:t>
      </w:r>
    </w:p>
    <w:p w14:paraId="7B98F4DC" w14:textId="77777777" w:rsidR="00A8138F" w:rsidRDefault="00A8138F" w:rsidP="00A8138F">
      <w:pPr>
        <w:pStyle w:val="TextoNormal"/>
      </w:pPr>
    </w:p>
    <w:p w14:paraId="40E872F7" w14:textId="77777777" w:rsidR="00A8138F" w:rsidRDefault="00A8138F" w:rsidP="00A8138F">
      <w:pPr>
        <w:pStyle w:val="TextoNormal"/>
      </w:pPr>
      <w:r>
        <w:t>Este art. 10 de la Ley 1/2022 da nueva redacción al art. 7.1 de la Ley 24/2015, que atribuye a la administración la potestad de imponer al propietario la “cesión obligatoria de viviendas, por un período de siete años” si se cumplen determinadas condiciones, entre otras, la previa declaración administrativa del “incumplimiento de la función social de la vivienda” por su falta de ocupación. Como la mayoría reconoce, este art. 10 contiene “una previsión similar a la expropiación de las facultades de uso y disfrute que se examinó en el fundamento jurídico 4 de la STC 37/1987” por “incumplimiento de la función social” de la propiedad.</w:t>
      </w:r>
    </w:p>
    <w:p w14:paraId="02692CD9" w14:textId="77777777" w:rsidR="00A8138F" w:rsidRDefault="00A8138F" w:rsidP="00A8138F">
      <w:pPr>
        <w:pStyle w:val="TextoNormal"/>
      </w:pPr>
    </w:p>
    <w:p w14:paraId="58C6CFDD" w14:textId="77777777" w:rsidR="00A8138F" w:rsidRDefault="00A8138F" w:rsidP="00A8138F">
      <w:pPr>
        <w:pStyle w:val="TextoNormal"/>
      </w:pPr>
      <w:r>
        <w:t>Efectivamente, la cesión obligatoria de una vivienda impuesta coactivamente por la administración a su propietario mediante procedimiento contradictorio es una privación de un bien por causa de interés social prevista en el art. 33.3 CE, o una “expropiación” según la definición legal del instituto vigente en España desde 1954, que incluye expresamente las “ocupaciones temporales” (art. 1.1 de la Ley de expropiación forzosa). Y si existe “expropiación”, entonces el art. 33.3 CE impone una “indemnización” al propietario (o una “compensación adecuada”, en los términos del recurso).</w:t>
      </w:r>
    </w:p>
    <w:p w14:paraId="3CB9372E" w14:textId="77777777" w:rsidR="00A8138F" w:rsidRDefault="00A8138F" w:rsidP="00A8138F">
      <w:pPr>
        <w:pStyle w:val="TextoNormal"/>
      </w:pPr>
    </w:p>
    <w:p w14:paraId="258A73F7" w14:textId="77777777" w:rsidR="00A8138F" w:rsidRDefault="00A8138F" w:rsidP="00A8138F">
      <w:pPr>
        <w:pStyle w:val="TextoNormal"/>
      </w:pPr>
      <w:r>
        <w:t xml:space="preserve">La ley andaluza enjuiciada en la STC 37/1987, FJ 4, citada en la sentencia para desestimar la impugnación contra este art. 10, preveía esa indemnización. Esa ley se estructuraba de la manera tradicional en nuestro derecho desde, al menos, la Ley de reforma y desarrollo agrario de 1953, luego texto refundido de 1973, y finalmente Ley de fincas manifiestamente mejorables de 1979. Primero la administración, normalmente a través de una entidad pública como el IRYDA (Instituto Nacional de Reforma y Desarrollo Agrario) o el IARA (Instituto </w:t>
      </w:r>
      <w:r>
        <w:lastRenderedPageBreak/>
        <w:t>Andaluz de Reforma Agraria) en el caso andaluz, expropiaba el derecho de uso de una finca y pagaba el justiprecio al propietario que no la explotaba. Y luego esa entidad pública cedía ese derecho adquirido por expropiación a un tercero mediante arrendamiento o cualquier otra fórmula jurídica, conviniendo con ese usuario el precio y demás condiciones de la cesión (arts. 10 a 12 de la Ley de fincas manifiestamente mejorables de 1979).</w:t>
      </w:r>
    </w:p>
    <w:p w14:paraId="5BB59FBE" w14:textId="77777777" w:rsidR="00A8138F" w:rsidRDefault="00A8138F" w:rsidP="00A8138F">
      <w:pPr>
        <w:pStyle w:val="TextoNormal"/>
      </w:pPr>
    </w:p>
    <w:p w14:paraId="0345466F" w14:textId="77777777" w:rsidR="00A8138F" w:rsidRDefault="00A8138F" w:rsidP="00A8138F">
      <w:pPr>
        <w:pStyle w:val="TextoNormal"/>
      </w:pPr>
      <w:r>
        <w:t>La legislación vigente en Cataluña, a la que da respuesta la sentencia de la que discrepamos no sigue este esquema. La potestad de expropiación temporal que el precepto impugnado concede a la administración no lleva aparejada la “indemnización” para el propietario que exige el art 33.3 CE, sino que, tal como reconoce la sentencia, de acuerdo con lo establecido en los arts. 7.3 y 5 de la Ley 24/2015 (no impugnados, pero que conforman el “contexto” de la potestad atribuida a la administración en el precepto objeto de recurso), el propietario debe resarcirse con la renta (limitada) que está obligado a pagarle el beneficiario de la cesión.</w:t>
      </w:r>
    </w:p>
    <w:p w14:paraId="3D80D84C" w14:textId="77777777" w:rsidR="00A8138F" w:rsidRDefault="00A8138F" w:rsidP="00A8138F">
      <w:pPr>
        <w:pStyle w:val="TextoNormal"/>
      </w:pPr>
    </w:p>
    <w:p w14:paraId="7F710971" w14:textId="77777777" w:rsidR="00A8138F" w:rsidRDefault="00A8138F" w:rsidP="00A8138F">
      <w:pPr>
        <w:pStyle w:val="TextoNormal"/>
      </w:pPr>
      <w:r>
        <w:t>Esta renta limitada que debe pagar el cesionario de la vivienda no puede equipararse a la “indemnización” exigida por el art. 33.3 CE por dos razones:</w:t>
      </w:r>
    </w:p>
    <w:p w14:paraId="1F90A20D" w14:textId="77777777" w:rsidR="00A8138F" w:rsidRDefault="00A8138F" w:rsidP="00A8138F">
      <w:pPr>
        <w:pStyle w:val="TextoNormal"/>
      </w:pPr>
    </w:p>
    <w:p w14:paraId="2582AE7A" w14:textId="77777777" w:rsidR="00A8138F" w:rsidRDefault="00A8138F" w:rsidP="00A8138F">
      <w:pPr>
        <w:pStyle w:val="TextoNormal"/>
      </w:pPr>
      <w:r>
        <w:t>En primer lugar, porque la cuantía de esta renta no se calcula por el valor del derecho sacrificado, como impone el instituto de la expropiación, sino por el nivel de renta de los beneficiarios. De este modo, la “indemnización” depende de factores completamente ajenos al valor del bien y por una misma vivienda el propietario puede recibir una compensación u otra en función del inquilino que le haya tocado en suerte.</w:t>
      </w:r>
    </w:p>
    <w:p w14:paraId="4F99A6F4" w14:textId="77777777" w:rsidR="00A8138F" w:rsidRDefault="00A8138F" w:rsidP="00A8138F">
      <w:pPr>
        <w:pStyle w:val="TextoNormal"/>
      </w:pPr>
    </w:p>
    <w:p w14:paraId="661BBBC0" w14:textId="77777777" w:rsidR="00A8138F" w:rsidRDefault="00A8138F" w:rsidP="00A8138F">
      <w:pPr>
        <w:pStyle w:val="TextoNormal"/>
      </w:pPr>
      <w:r>
        <w:t>Y, en segundo lugar, porque la administración y la jurisdicción contencioso-administrativa ofrecen al propietario expropiado una garantía de pago que nunca pueden ofrecer un particular y la jurisdicción civil a este asociada, debido a la facilidad de localizar al demandado, que es la administración y no un particular, y a la seguridad en la ejecución de una eventual sentencia de condena, pues no hay riesgo de insolvencia cuando se trata de la administración.</w:t>
      </w:r>
    </w:p>
    <w:p w14:paraId="55D58D4C" w14:textId="77777777" w:rsidR="00A8138F" w:rsidRDefault="00A8138F" w:rsidP="00A8138F">
      <w:pPr>
        <w:pStyle w:val="TextoNormal"/>
      </w:pPr>
    </w:p>
    <w:p w14:paraId="47D8F3F5" w14:textId="77777777" w:rsidR="00A8138F" w:rsidRDefault="00A8138F" w:rsidP="00A8138F">
      <w:pPr>
        <w:pStyle w:val="TextoNormal"/>
      </w:pPr>
      <w:r>
        <w:t>En el sistema de la ley catalana, si el propietario no recibe el pago de la renta debe entablar un proceso civil contra el inquilino no escogido ni querido. Y lo mismo sucederá si el inquilino subarrienda la vivienda, causa daños en ella o no la abandona cuando debe, por citar algunas posibles incidencias del contrato impuesto por la administración. En cambio, en las estructuras triangulares del tipo de las leyes de reforma agraria esas eventuales complicaciones son problemas internos entre la administración, que ha seleccionado al ocupante o inquilino, y este último. El propietario permanece completamente ajeno a ellos. Simplemente recibe un justiprecio de la administración por la expropiación temporal de su derecho, justiprecio que es calculado por referencia al valor de su bien y espera pacientemente la devolución del bien expropiado cuando venza el plazo de la expropiación temporal, en las mismas condiciones en que lo entregó o con la indemnización de los perjuicios adicionales causados. La resolución de esos avatares está además garantizada por el privilegio de la ejecutividad que acompaña a la actuación administrativa, del que evidentemente carece el propietario. Este, en el sistema de la ley catalana, se ve forzado a gestionar privadamente un arrendamiento impuesto con un arrendatario seleccionado por la administración y es esta la que, después de ordenar coactivamente el arrendamiento, se desentiende completamente de las vicisitudes de la ejecución de ese contrato.</w:t>
      </w:r>
    </w:p>
    <w:p w14:paraId="39748955" w14:textId="77777777" w:rsidR="00A8138F" w:rsidRDefault="00A8138F" w:rsidP="00A8138F">
      <w:pPr>
        <w:pStyle w:val="TextoNormal"/>
      </w:pPr>
    </w:p>
    <w:p w14:paraId="0C7D1E81" w14:textId="77777777" w:rsidR="00A8138F" w:rsidRDefault="00A8138F" w:rsidP="00A8138F">
      <w:pPr>
        <w:pStyle w:val="TextoNormal"/>
      </w:pPr>
      <w:r>
        <w:t>En estas condiciones, considero que la potestad atribuida a la administración por el art. 10 objeto de recurso (la imposición al propietario de una cesión obligatoria de su vivienda a cambio de la renta limitada que debe pagarle el cesionario) incumple la garantía de indemnización ante la privación singular de bienes por causa de interés social prevista en el art. 33.3 CE. Que la compensación “no adecuada” que denuncia el recurso esté regulada en un precepto distinto y no impugnado no impedía como ha entendido la mayoría efectuar esta declaración pues de lo que se trata es de verificar si la potestad expropiatoria atribuida a la administración en el precepto impugnado respeta o no las condiciones del art. 33.3 CE, y no de anular la regulación de esa compensación.</w:t>
      </w:r>
    </w:p>
    <w:p w14:paraId="48D05470" w14:textId="77777777" w:rsidR="00A8138F" w:rsidRDefault="00A8138F" w:rsidP="00A8138F">
      <w:pPr>
        <w:pStyle w:val="TextoNormal"/>
      </w:pPr>
    </w:p>
    <w:p w14:paraId="232E8017" w14:textId="77777777" w:rsidR="00A8138F" w:rsidRDefault="00A8138F" w:rsidP="00A8138F">
      <w:pPr>
        <w:pStyle w:val="TextoNormal"/>
      </w:pPr>
      <w:r>
        <w:t>En definitiva, de todo lo anterior resulta que, a mi juicio, debieron declararse inconstitucionales los arts. 3, 4, 5 y 10 de la Ley 1/2022.</w:t>
      </w:r>
    </w:p>
    <w:p w14:paraId="49CCD694" w14:textId="77777777" w:rsidR="00A8138F" w:rsidRDefault="00A8138F" w:rsidP="00A8138F">
      <w:pPr>
        <w:pStyle w:val="TextoNormal"/>
      </w:pPr>
    </w:p>
    <w:p w14:paraId="7F270393" w14:textId="77777777" w:rsidR="00A8138F" w:rsidRDefault="00A8138F" w:rsidP="00A8138F">
      <w:pPr>
        <w:pStyle w:val="TextoNormal"/>
      </w:pPr>
      <w:r>
        <w:t>Y en este sentido emito este voto particular.</w:t>
      </w:r>
    </w:p>
    <w:p w14:paraId="06AF3571" w14:textId="77777777" w:rsidR="00A8138F" w:rsidRDefault="00A8138F" w:rsidP="00A8138F">
      <w:pPr>
        <w:pStyle w:val="TextoNormal"/>
      </w:pPr>
    </w:p>
    <w:p w14:paraId="32C5008A" w14:textId="0AA1D72B" w:rsidR="00A8138F" w:rsidRDefault="00A8138F" w:rsidP="00A8138F">
      <w:pPr>
        <w:pStyle w:val="TextoNormal"/>
      </w:pPr>
      <w:r>
        <w:t>Madrid, a treinta de enero de dos mil veinticinco.</w:t>
      </w:r>
    </w:p>
    <w:p w14:paraId="05419CEA" w14:textId="77777777" w:rsidR="00A8138F" w:rsidRDefault="00A8138F" w:rsidP="00A8138F">
      <w:pPr>
        <w:pStyle w:val="TextoNormal"/>
      </w:pPr>
    </w:p>
    <w:p w14:paraId="74E3A7AF" w14:textId="77777777" w:rsidR="00A8138F" w:rsidRDefault="00A8138F" w:rsidP="00A8138F">
      <w:pPr>
        <w:pStyle w:val="TextoNormalNegritaCentrado"/>
        <w:keepNext/>
      </w:pPr>
      <w:r>
        <w:t>Voto particular que formula el magistrado don César Tolosa Tribiño, don Enrique Arnaldo Alcubilla, doña Concepción Espejel Jorquera y don José María Macías Castaño a la sentencia dictada por el Pleno en el recurso de inconstitucionalidad núm. 4038-2022, interpuesto por más de cincuenta diputados del Grupo Parlamentario Vox en el Congreso de los Diputados contra la Ley del Parlamento de Cataluña 1/2022, de 3 de marzo, de modificación de la Ley 18/2007, la Ley 24/2015 y la Ley 4/2016, para afrontar la emergencia en el ámbito de la vivienda</w:t>
      </w:r>
    </w:p>
    <w:p w14:paraId="07BF9108" w14:textId="2FD40C2B" w:rsidR="00A8138F" w:rsidRDefault="00A8138F" w:rsidP="00A8138F">
      <w:pPr>
        <w:pStyle w:val="TextoNormalNegritaCentrado"/>
        <w:keepNext/>
      </w:pPr>
    </w:p>
    <w:p w14:paraId="7BDF9DC2" w14:textId="77777777" w:rsidR="00A8138F" w:rsidRDefault="00A8138F" w:rsidP="00A8138F">
      <w:pPr>
        <w:pStyle w:val="TextoNormal"/>
      </w:pPr>
      <w:r>
        <w:t>En el ejercicio de la facultad conferida por el artículo 90.2 LOTC y con respeto a la opinión del resto de magistrados que han mostrado su conformidad con la sentencia, formulamos el presente voto particular al considerar necesario exponer nuestra discrepancia con la parte de la argumentación de la sentencia y el fallo de esta que descarta la infracción de los arts. 149.1.1 CE y 33 CE.</w:t>
      </w:r>
    </w:p>
    <w:p w14:paraId="33EA3BB8" w14:textId="77777777" w:rsidR="00A8138F" w:rsidRDefault="00A8138F" w:rsidP="00A8138F">
      <w:pPr>
        <w:pStyle w:val="TextoNormal"/>
      </w:pPr>
    </w:p>
    <w:p w14:paraId="2C1F53BA" w14:textId="77777777" w:rsidR="00A8138F" w:rsidRDefault="00A8138F" w:rsidP="00A8138F">
      <w:pPr>
        <w:pStyle w:val="TextoNormal"/>
      </w:pPr>
      <w:r>
        <w:t xml:space="preserve">Primero. </w:t>
      </w:r>
      <w:r w:rsidRPr="00A8138F">
        <w:rPr>
          <w:i/>
        </w:rPr>
        <w:t>Acerca de la infracción del art. 149.1.1 CE</w:t>
      </w:r>
    </w:p>
    <w:p w14:paraId="315A8613" w14:textId="77777777" w:rsidR="00A8138F" w:rsidRDefault="00A8138F" w:rsidP="00A8138F">
      <w:pPr>
        <w:pStyle w:val="TextoNormal"/>
      </w:pPr>
    </w:p>
    <w:p w14:paraId="745501C7" w14:textId="77777777" w:rsidR="00A8138F" w:rsidRDefault="00A8138F" w:rsidP="00A8138F">
      <w:pPr>
        <w:pStyle w:val="TextoNormal"/>
      </w:pPr>
      <w:r>
        <w:t>La sentencia, en el fundamento jurídico 2 A) b) (iii), desestima la infracción del art. 149.1.1 CE, en relación con los arts. 14, 33 y 139 CE, que los recurrentes atribuían a los arts. 1.1, 1.2, 1.4, 1.5, 2, 4, 5, 15.1 y 15.4 de la Ley 1/2022. Para ello se remite a la STC 120/2024, FJ 3 que rechazó una impugnación semejante.</w:t>
      </w:r>
    </w:p>
    <w:p w14:paraId="2B6377C0" w14:textId="77777777" w:rsidR="00A8138F" w:rsidRDefault="00A8138F" w:rsidP="00A8138F">
      <w:pPr>
        <w:pStyle w:val="TextoNormal"/>
      </w:pPr>
    </w:p>
    <w:p w14:paraId="02646517" w14:textId="77777777" w:rsidR="00A8138F" w:rsidRDefault="00A8138F" w:rsidP="00A8138F">
      <w:pPr>
        <w:pStyle w:val="TextoNormal"/>
      </w:pPr>
      <w:r>
        <w:t>En este punto debemos acudir para expresar nuestro disentimiento a la razones expuestas en los votos que emitimos a la STC 120/2024 —en la que se fundamenta la presente— en que cuestionamos que dicha sentencia no realizaba un análisis suficiente sobre la compatibilidad entre los modelos de la Ley 1/2022 y la Ley estatal 12/2023, de 24 de mayo, por el derecho a la vivienda. En lugar de ello, se limita a afirmar que las normas pueden coexistir, sin profundizar en cómo las medidas catalanas alteran las bases del modelo estatal, déficit argumental que por la remisión efectuada aflora nuevamente en la presente sentencia.</w:t>
      </w:r>
    </w:p>
    <w:p w14:paraId="2DD2F33D" w14:textId="77777777" w:rsidR="00A8138F" w:rsidRDefault="00A8138F" w:rsidP="00A8138F">
      <w:pPr>
        <w:pStyle w:val="TextoNormal"/>
      </w:pPr>
    </w:p>
    <w:p w14:paraId="0AEDFC73" w14:textId="77777777" w:rsidR="00A8138F" w:rsidRDefault="00A8138F" w:rsidP="00A8138F">
      <w:pPr>
        <w:pStyle w:val="TextoNormal"/>
      </w:pPr>
      <w:r>
        <w:t>Tal y como de modo detallado se expuso entonces y debemos ahora recordar los modelos no son compatibles. La Ley estatal 12/2023 tiene como objetivo garantizar en condiciones de igualdad el derecho constitucional a una vivienda digna (art. 47 CE), respetando el derecho de propiedad (art. 33 CE) y promoviendo la actividad económica vinculada al sector de la vivienda. Este marco normativo estatal busca armonizar las condiciones básicas del acceso a la vivienda en todo el territorio nacional, estableciendo medidas como la ampliación del parque público y privado de viviendas, incentivos fiscales, subvenciones, y mecanismos de colaboración público-privada. La ley también regula aspectos esenciales del derecho de propiedad, delimitando la función social de la vivienda sin recurrir a sanciones o expropiaciones que puedan desincentivar la inversión.</w:t>
      </w:r>
    </w:p>
    <w:p w14:paraId="31320B7A" w14:textId="77777777" w:rsidR="00A8138F" w:rsidRDefault="00A8138F" w:rsidP="00A8138F">
      <w:pPr>
        <w:pStyle w:val="TextoNormal"/>
      </w:pPr>
    </w:p>
    <w:p w14:paraId="143323BA" w14:textId="77777777" w:rsidR="00A8138F" w:rsidRDefault="00A8138F" w:rsidP="00A8138F">
      <w:pPr>
        <w:pStyle w:val="TextoNormal"/>
      </w:pPr>
      <w:r>
        <w:t>Por el contrario, la Ley 1/2022 de Cataluña desplaza la responsabilidad de garantizar el acceso a la vivienda desde las administraciones públicas hacia los propietarios. Esta norma introduce medidas como la obligación de ocupar las viviendas bajo título habilitante, sanciones coercitivas en caso de incumplimiento y la posibilidad de expropiación forzosa. Además, transforma el principio de colaboración con los agentes privados en un régimen de imposición, como la cesión obligatoria de viviendas para políticas sociales.</w:t>
      </w:r>
    </w:p>
    <w:p w14:paraId="39C67295" w14:textId="77777777" w:rsidR="00A8138F" w:rsidRDefault="00A8138F" w:rsidP="00A8138F">
      <w:pPr>
        <w:pStyle w:val="TextoNormal"/>
      </w:pPr>
    </w:p>
    <w:p w14:paraId="6A0A8062" w14:textId="77777777" w:rsidR="00A8138F" w:rsidRDefault="00A8138F" w:rsidP="00A8138F">
      <w:pPr>
        <w:pStyle w:val="TextoNormal"/>
      </w:pPr>
      <w:r>
        <w:t>De modo que puede concluirse que estas disposiciones, no solo interfieren con las competencias estatales en materia de planificación y condiciones básicas de igualdad (art. 149.1.1 CE), sino que también afectan negativamente la inversión y la construcción de nuevas viviendas, impactando el sector económico, por lo que la impugnación debió ser estimada.</w:t>
      </w:r>
    </w:p>
    <w:p w14:paraId="0EB43465" w14:textId="77777777" w:rsidR="00A8138F" w:rsidRDefault="00A8138F" w:rsidP="00A8138F">
      <w:pPr>
        <w:pStyle w:val="TextoNormal"/>
      </w:pPr>
    </w:p>
    <w:p w14:paraId="7B3EADF9" w14:textId="77777777" w:rsidR="00A8138F" w:rsidRDefault="00A8138F" w:rsidP="00A8138F">
      <w:pPr>
        <w:pStyle w:val="TextoNormal"/>
      </w:pPr>
      <w:r>
        <w:t xml:space="preserve">Segundo. </w:t>
      </w:r>
      <w:r w:rsidRPr="00A8138F">
        <w:rPr>
          <w:i/>
        </w:rPr>
        <w:t>Acerca de la infracción del art. 33 CE</w:t>
      </w:r>
    </w:p>
    <w:p w14:paraId="1324B429" w14:textId="77777777" w:rsidR="00A8138F" w:rsidRDefault="00A8138F" w:rsidP="00A8138F">
      <w:pPr>
        <w:pStyle w:val="TextoNormal"/>
      </w:pPr>
    </w:p>
    <w:p w14:paraId="2B42FEEE" w14:textId="77777777" w:rsidR="00A8138F" w:rsidRDefault="00A8138F" w:rsidP="00A8138F">
      <w:pPr>
        <w:pStyle w:val="TextoNormal"/>
      </w:pPr>
      <w:r>
        <w:t xml:space="preserve">También discrepamos del fundamento jurídico 5.3 B) de la sentencia, en cuanto que debió estimar la infracción del art. 33 CE por el apartado 3 </w:t>
      </w:r>
      <w:r w:rsidRPr="00A8138F">
        <w:rPr>
          <w:i/>
        </w:rPr>
        <w:t>bis</w:t>
      </w:r>
      <w:r>
        <w:t xml:space="preserve"> del art. 5; los apartados 6 y 7 del art. 42; el apartado 2 </w:t>
      </w:r>
      <w:r w:rsidRPr="00A8138F">
        <w:rPr>
          <w:i/>
        </w:rPr>
        <w:t>bis</w:t>
      </w:r>
      <w:r>
        <w:t xml:space="preserve"> del art. 113; la letra h) del apartado 1 del art. 123, todos de la Ley 18/2007, introducidos por los arts. 1.5, 3, 4 y 5 de la Ley 1/2022 y del art. 10 de la Ley 1/2022 que modifica el apartado 1 del art. 7 de la Ley 24/2015, de 29 de julio, de medidas urgentes para afrontar la emergencia en el ámbito de la vivienda y la pobreza energética.</w:t>
      </w:r>
    </w:p>
    <w:p w14:paraId="1CC650CA" w14:textId="77777777" w:rsidR="00A8138F" w:rsidRDefault="00A8138F" w:rsidP="00A8138F">
      <w:pPr>
        <w:pStyle w:val="TextoNormal"/>
      </w:pPr>
    </w:p>
    <w:p w14:paraId="67F142E7" w14:textId="77777777" w:rsidR="00A8138F" w:rsidRDefault="00A8138F" w:rsidP="00A8138F">
      <w:pPr>
        <w:pStyle w:val="TextoNormal"/>
      </w:pPr>
      <w:r>
        <w:t xml:space="preserve">Esto es, entendemos que las referidas medidas limitativas y/o sancionadoras introducidas por los indicados preceptos de la Ley 1/2022: multas coercitivas de 1000 € mensuales, la calificación de infracción muy grave del incumplimiento del requerimiento para ocupar legal y efectivamente una vivienda para que constituya la residencia de personas, junto con la posibilidad de resolver la cesión obligatoria de la vivienda por un periodo siete años y la expropiación forzosa de la misma una vez declarado el incumplimiento de la función social, no respetan las exigencias de justo equilibrio entre el interés general y el derecho a la propiedad, o en términos utilizado por el Tribunal Europeo de Derechos Humanos con el “disfrute pacífico de sus posesiones” (STEDH de 13 de octubre de 2020, asunto </w:t>
      </w:r>
      <w:r w:rsidRPr="00A8138F">
        <w:rPr>
          <w:i/>
        </w:rPr>
        <w:t>Kothencz c. Hungría</w:t>
      </w:r>
      <w:r>
        <w:t>).</w:t>
      </w:r>
    </w:p>
    <w:p w14:paraId="03C51CC7" w14:textId="77777777" w:rsidR="00A8138F" w:rsidRDefault="00A8138F" w:rsidP="00A8138F">
      <w:pPr>
        <w:pStyle w:val="TextoNormal"/>
      </w:pPr>
    </w:p>
    <w:p w14:paraId="0C1396B8" w14:textId="77777777" w:rsidR="00A8138F" w:rsidRDefault="00A8138F" w:rsidP="00A8138F">
      <w:pPr>
        <w:pStyle w:val="TextoNormal"/>
      </w:pPr>
      <w:r>
        <w:t>Antes de exponer las razones por las que consideramos que no se cumple la exigencia de equilibrio razonable de las medidas impugnadas en relación con el derecho al respeto de la propiedad privada, es necesario contextualizar el marco en que se produce la reforma im</w:t>
      </w:r>
      <w:r>
        <w:lastRenderedPageBreak/>
        <w:t>pugnada, pues este aportará razones para valorar si se satisfacen los imperativos de razonabilidad del sacrificio impuesto.</w:t>
      </w:r>
    </w:p>
    <w:p w14:paraId="4E00F22D" w14:textId="77777777" w:rsidR="00A8138F" w:rsidRDefault="00A8138F" w:rsidP="00A8138F">
      <w:pPr>
        <w:pStyle w:val="TextoNormal"/>
      </w:pPr>
    </w:p>
    <w:p w14:paraId="5A918CF1" w14:textId="77777777" w:rsidR="00A8138F" w:rsidRDefault="00A8138F" w:rsidP="00A8138F">
      <w:pPr>
        <w:pStyle w:val="TextoNormal"/>
      </w:pPr>
      <w:r>
        <w:t>(i) Es necesario contextualizar la marco en que se produce la reforma impugnada.</w:t>
      </w:r>
    </w:p>
    <w:p w14:paraId="486B6FE2" w14:textId="77777777" w:rsidR="00A8138F" w:rsidRDefault="00A8138F" w:rsidP="00A8138F">
      <w:pPr>
        <w:pStyle w:val="TextoNormal"/>
      </w:pPr>
    </w:p>
    <w:p w14:paraId="09F21ABC" w14:textId="77777777" w:rsidR="00A8138F" w:rsidRDefault="00A8138F" w:rsidP="00A8138F">
      <w:pPr>
        <w:pStyle w:val="TextoNormal"/>
      </w:pPr>
      <w:r>
        <w:t>Debemos afirmar que las medidas adoptadas por el Parlamento de Cataluña responden a la encomiable y evidente finalidad social de hacer efectivo el derecho a una vivienda digna y adecuada que el legislador advierte como una de las preocupaciones más importantes para la ciudadanía catalana, inquietud que ya era apreciada en el año 2007 por la exposición de motivos de la ley que ahora se reforma.</w:t>
      </w:r>
    </w:p>
    <w:p w14:paraId="7D883D89" w14:textId="77777777" w:rsidR="00A8138F" w:rsidRDefault="00A8138F" w:rsidP="00A8138F">
      <w:pPr>
        <w:pStyle w:val="TextoNormal"/>
      </w:pPr>
    </w:p>
    <w:p w14:paraId="0EAC337F" w14:textId="77777777" w:rsidR="00A8138F" w:rsidRDefault="00A8138F" w:rsidP="00A8138F">
      <w:pPr>
        <w:pStyle w:val="TextoNormal"/>
      </w:pPr>
      <w:r>
        <w:t>En efecto, dicha necesidad de justicia social se exponía en el preámbulo de la Ley 18/2007. Se indicaba entonces que el aumento del precio de la vivienda por encima de los precios de los salarios, la manifiesta insuficiencia de la oferta de viviendas en alquiler con rentas elevadas, eran los problemas a los que en aquel entonces la legislación de vivienda pretendía dar solución mediante “la creación de un parque específico de viviendas a un precio al alcance de las rentas bajas y medias”, de modo que “la ley regula del modo más riguroso posible la vivienda de protección oficial en Cataluña, y no solo esta, sino también otras formas de vivienda asequible que permitan conseguir, a medio y largo plazo, el auténtico parque específico que la sociedad reclama. Es preciso resaltar el objetivo de que, en el plazo de veinte años, el 15 por 100 de las viviendas principales existentes sean viviendas destinadas a políticas sociales”. A tal fin, en su título V disponía “el establecimiento de un fondo de apoyo financiero del Gobierno para los municipios que presenten mayores dificultades para conseguir dicho objetivo y la implementación de figuras de concertación y colaboración con otros municipios y entidades supramunicipales”.</w:t>
      </w:r>
    </w:p>
    <w:p w14:paraId="62D4A9D7" w14:textId="77777777" w:rsidR="00A8138F" w:rsidRDefault="00A8138F" w:rsidP="00A8138F">
      <w:pPr>
        <w:pStyle w:val="TextoNormal"/>
      </w:pPr>
    </w:p>
    <w:p w14:paraId="62134996" w14:textId="77777777" w:rsidR="00A8138F" w:rsidRDefault="00A8138F" w:rsidP="00A8138F">
      <w:pPr>
        <w:pStyle w:val="TextoNormal"/>
      </w:pPr>
      <w:r>
        <w:t>La ley ahora impugnada, aprobada casi dos décadas después, si bien califica la Ley 18/2007, como “el eje vertebrador de las políticas públicas en materia de vivienda”, reconoce su escaso cumplimiento al indicar que “hay muy poca promoción de vivienda protegida existente desde el año 2007, tanto de promotores públicos como de promotores privados, y la poca promoción de vivienda protegida contrasta con una demanda muy elevada: el registro de solicitantes de vivienda de protección oficial (RSHPO), de la Generalitat y de Barcelona, recibe un incremento constante de solicitantes; así, en junio de 2021 el registro de solicitantes de vivienda de protección oficial de Cataluña aumentó hasta 59 854 inscritos”. En efecto, pese a que la Ley 18/2007 preveía que en veinte años el 15 por 100 de viviendas se destinaría a políticas sociales, la Ley 1/2022 afirma que “el parque de vivienda destinado a políticas sociales se ha incrementado ligeramente en los últimos años, el conjunto se sitúa en torno al 2 por 100 del parque de vivienda existente en Cataluña y, por tanto, lejos de la media de los principales países de la Unión Europea. El déficit acumulado de vivienda disponible con un precio asequible justifica la necesidad de adoptar sin demora medidas de choque inmediatas para afrontar la pérdida de la vivienda”.</w:t>
      </w:r>
    </w:p>
    <w:p w14:paraId="6B4519FA" w14:textId="77777777" w:rsidR="00A8138F" w:rsidRDefault="00A8138F" w:rsidP="00A8138F">
      <w:pPr>
        <w:pStyle w:val="TextoNormal"/>
      </w:pPr>
    </w:p>
    <w:p w14:paraId="5DCD55A9" w14:textId="77777777" w:rsidR="00A8138F" w:rsidRDefault="00A8138F" w:rsidP="00A8138F">
      <w:pPr>
        <w:pStyle w:val="TextoNormal"/>
      </w:pPr>
      <w:r>
        <w:t xml:space="preserve">De este modo tras advertir que los presupuestos públicos destinados a las políticas de vivienda han sido insuficientes en términos absolutos y comparativos con otros estados y que “el gasto público total en la Unión Europea tras la crisis de 2008 ha crecido de 98,4 € por habitante en 2008 a 115 € por habitante en 2018, mientras que en el Estado español se ha reducido de 45,3 a 27,3 € por habitante”, justifica la reforma —esto es, que las medidas de intervención y sancionadoras impugnadas desplacen a las medidas de fomento—, en que </w:t>
      </w:r>
      <w:r>
        <w:lastRenderedPageBreak/>
        <w:t>la necesidad de “invertir esta tendencia a medio y largo plazo, […] este objetivo requiere tiempo y no permite responder a la emergencia actual”.</w:t>
      </w:r>
    </w:p>
    <w:p w14:paraId="503E100E" w14:textId="77777777" w:rsidR="00A8138F" w:rsidRDefault="00A8138F" w:rsidP="00A8138F">
      <w:pPr>
        <w:pStyle w:val="TextoNormal"/>
      </w:pPr>
    </w:p>
    <w:p w14:paraId="77CE02DB" w14:textId="77777777" w:rsidR="00A8138F" w:rsidRDefault="00A8138F" w:rsidP="00A8138F">
      <w:pPr>
        <w:pStyle w:val="TextoNormal"/>
      </w:pPr>
      <w:r>
        <w:t>Sin embargo, debe constatarse que las medidas controvertidas que se basan en la “emergencia actual” no son sino reproducción de las aprobadas hace tres años en virtud del Decreto-ley del Gobierno de la Generalitat de Cataluña 17/2019, de 23 de diciembre, de medidas urgentes para mejorar el acceso a la vivienda, que estuvieron vigentes hasta que fueron declaradas inconstitucionales por la STC 16/2021 al haber excedido el decreto-ley del ámbito material reservado a dicha norma (arts. 86.2 CE y 64.2 EAC).</w:t>
      </w:r>
    </w:p>
    <w:p w14:paraId="6ABE8FA9" w14:textId="77777777" w:rsidR="00A8138F" w:rsidRDefault="00A8138F" w:rsidP="00A8138F">
      <w:pPr>
        <w:pStyle w:val="TextoNormal"/>
      </w:pPr>
    </w:p>
    <w:p w14:paraId="52566E4C" w14:textId="77777777" w:rsidR="00A8138F" w:rsidRDefault="00A8138F" w:rsidP="00A8138F">
      <w:pPr>
        <w:pStyle w:val="TextoNormal"/>
      </w:pPr>
      <w:r>
        <w:t>Llegados a este punto a los efectos de evaluar la concurrencia del justo equilibrio entre el interés general y el respeto del derecho a la propiedad es relevante hacer referencia a la Ley 12/2023, de 24 de mayo, por el derecho a la vivienda (en adelante, Ley 12/2023)que ha sido recientemente objeto de enjuiciamiento por la STC 79/2024, de 21 de mayo, al responder a análoga finalidad y recaer sobre una realidad social similar sobre la que se proyecta la ley impugnada. En efecto, la finalidad de la Ley estatal 12/2023 es coincidente con la de la ley ahora recurrida: lograr “[l]a efectividad de los derechos de acceso en condiciones asequibles a una vivienda digna y adecuada de acuerdo con la Constitución Española y las recomendaciones de los instrumentos internacionales ratificados por España” [art. 2 a) de la Ley 12/2023]. También es en buena parte coincidente el diagnóstico de las causas del problema: “existen importantes desequilibrios entre la nueva construcción y la actividad de rehabilitación y entre la tenencia de vivienda en propiedad y en alquiler, a lo que se suma el hecho de que los parques públicos de vivienda en alquiler sean del todo insuficientes para atender la necesidad de aquellas personas y hogares que tienen más dificultades para acceder al mercado por sus escasos medios económicos”.</w:t>
      </w:r>
    </w:p>
    <w:p w14:paraId="1293D9E2" w14:textId="77777777" w:rsidR="00A8138F" w:rsidRDefault="00A8138F" w:rsidP="00A8138F">
      <w:pPr>
        <w:pStyle w:val="TextoNormal"/>
      </w:pPr>
    </w:p>
    <w:p w14:paraId="40211066" w14:textId="77777777" w:rsidR="00A8138F" w:rsidRDefault="00A8138F" w:rsidP="00A8138F">
      <w:pPr>
        <w:pStyle w:val="TextoNormal"/>
      </w:pPr>
      <w:r>
        <w:t>Sin embargo, la ley estatal al abordar las medidas para el logro de dicha finalidad se decanta por las medidas de fomento y de incremento del parque público de vivienda mediante la dotación de las correspondientes partidas presupuestarias y elude las medidas administrativas de intervención y sancionadoras. Pretende de este modo compatibilizar las medidas tendentes a facilitar el derecho de acceso a la vivienda digna y adecuada, con la protección del derecho de los propietarios de las viviendas y de la actividad económica en general atendida la importancia que para la misma tiene el subsector de construcción de viviendas.</w:t>
      </w:r>
    </w:p>
    <w:p w14:paraId="54FC8411" w14:textId="77777777" w:rsidR="00A8138F" w:rsidRDefault="00A8138F" w:rsidP="00A8138F">
      <w:pPr>
        <w:pStyle w:val="TextoNormal"/>
      </w:pPr>
    </w:p>
    <w:p w14:paraId="2F1CC8B3" w14:textId="77777777" w:rsidR="00A8138F" w:rsidRDefault="00A8138F" w:rsidP="00A8138F">
      <w:pPr>
        <w:pStyle w:val="TextoNormal"/>
      </w:pPr>
      <w:r>
        <w:t xml:space="preserve">Ciertamente la Ley 12/2023, frente a la misma problemática habitacional orienta la financiación pública a la creación y ampliación del parque público de vivienda, a la construcción o rehabilitación de viviendas sometidas a algún régimen de protección pública, bien a través de la ejecución directa por la administración o a través de acuerdos con los propietarios (art. 4). Por otra parte, dispone el fomento de la iniciativa privada mediante convenios con los titulares de viviendas para su cesión a las administraciones publicas competentes u otras fórmulas para favorecer el incremento de la oferta de alquiler social. Identifica como medidas las “[a]cciones de fomento de la intermediación en el mercado del arrendamiento de viviendas para propiciar su efectiva ocupación” [art. 10.2 f)]. En la Ley 12/2023 destacan las medidas de planificación y programación estatal en materia de vivienda para asegurar la existencia de una oferta suficiente de vivienda en condiciones asequibles, promoviendo y apoyando actuaciones “que fomente[n] la ocupación racional del patrimonio residencial”, “la ampliación” de los parques públicos de vivienda, la construcción y rehabilitación de </w:t>
      </w:r>
      <w:r>
        <w:lastRenderedPageBreak/>
        <w:t>viviendas de protección pública y la promoción de nuevas modalidades de vivienda, mediante mecanismos de colaboración público-privada (arts. 23 a 25).</w:t>
      </w:r>
    </w:p>
    <w:p w14:paraId="4CDFEE2E" w14:textId="77777777" w:rsidR="00A8138F" w:rsidRDefault="00A8138F" w:rsidP="00A8138F">
      <w:pPr>
        <w:pStyle w:val="TextoNormal"/>
      </w:pPr>
    </w:p>
    <w:p w14:paraId="78664DA6" w14:textId="77777777" w:rsidR="00A8138F" w:rsidRDefault="00A8138F" w:rsidP="00A8138F">
      <w:pPr>
        <w:pStyle w:val="TextoNormal"/>
      </w:pPr>
      <w:r>
        <w:t>Merece la pena detenerse en las medidas de fomento que adopta desde el punto de vista fiscal en relación con el impuesto sobre la renta de las personas físicas, al mejorar la reducción del rendimiento neto del arrendamiento de bienes inmuebles destinados a vivienda, que puede llegar hasta un 90 por 100 y modular el recargo a los inmuebles de uso residencial desocupados con carácter permanente en el impuesto sobre bienes inmuebles (IBI), que podrá aplicarse a aquellas viviendas vacías durante más de dos años, con un mínimo de cuatro viviendas por propietario, salvo causas justificadas de desocupación temporal, tasadas por la ley. También establece el incremento del recargo actualmente situado en el 50 por 100 de la cuota líquida del IBI hasta un máximo del 150 por 100, en función de la duración de la desocupación y del número de viviendas también desocupadas que sean del mismo titular en el término municipal, con el objetivo de que tenga un mayor efecto en la optimización del uso del parque edificatorio residencial y refuerce el instrumento de los ayuntamientos para hacer frente a situaciones de vivienda desocupada a través de la fiscalidad.</w:t>
      </w:r>
    </w:p>
    <w:p w14:paraId="1A11992F" w14:textId="77777777" w:rsidR="00A8138F" w:rsidRDefault="00A8138F" w:rsidP="00A8138F">
      <w:pPr>
        <w:pStyle w:val="TextoNormal"/>
      </w:pPr>
    </w:p>
    <w:p w14:paraId="7B81C2D1" w14:textId="77777777" w:rsidR="00A8138F" w:rsidRDefault="00A8138F" w:rsidP="00A8138F">
      <w:pPr>
        <w:pStyle w:val="TextoNormal"/>
      </w:pPr>
      <w:r>
        <w:t>(ii) Equilibrio razonable de las medidas impugnadas en relación con el derecho al respeto de la propiedad privada. No se aprecia.</w:t>
      </w:r>
    </w:p>
    <w:p w14:paraId="0E00675E" w14:textId="77777777" w:rsidR="00A8138F" w:rsidRDefault="00A8138F" w:rsidP="00A8138F">
      <w:pPr>
        <w:pStyle w:val="TextoNormal"/>
      </w:pPr>
    </w:p>
    <w:p w14:paraId="5FA7580C" w14:textId="77777777" w:rsidR="00A8138F" w:rsidRDefault="00A8138F" w:rsidP="00A8138F">
      <w:pPr>
        <w:pStyle w:val="TextoNormal"/>
      </w:pPr>
      <w:r>
        <w:t>La exposición de motivos de la Ley 1/2022 considera a la Ley 18/2007 como el eje vertebrador de las políticas públicas en materia de vivienda. Esta última basaba su estrategia en que el 15 por 100 de las viviendas existentes fueran viviendas destinadas a políticas sociales, mediante la creación de un parque específico de viviendas de protección oficial a un precio al alcance de las rentas bajas y medias, mediante medidas de impulso y fomento que no parecen compatibles con las medidas de intervención y sancionadoras previstas en los artículos impugnados.</w:t>
      </w:r>
    </w:p>
    <w:p w14:paraId="6ED3693E" w14:textId="77777777" w:rsidR="00A8138F" w:rsidRDefault="00A8138F" w:rsidP="00A8138F">
      <w:pPr>
        <w:pStyle w:val="TextoNormal"/>
      </w:pPr>
    </w:p>
    <w:p w14:paraId="7824413F" w14:textId="77777777" w:rsidR="00A8138F" w:rsidRDefault="00A8138F" w:rsidP="00A8138F">
      <w:pPr>
        <w:pStyle w:val="TextoNormal"/>
      </w:pPr>
      <w:r>
        <w:t>En efecto, no tiene sentido, es contradictorio y no satisface el canon de justo equilibrio, razonabilidad o adecuación, que la Ley 1/2022 establezca con carácter indiferenciado —como reacción frente a los propietarios de viviendas o edificios que incumplan el deber de destinar tales viviendas y edificios a satisfacer una necesidad de vivienda— desde multas de 90 000 a 900 000 € y multas coercitivas de 1000 € mensuales, a la cesión obligatoria de las viviendas o a su expropiación forzosa y al propio tiempo la norma fundamente su estrategia en el incremento notable del parque público de vivienda para lo que es imprescindible incentivar y estimular la inversión privada en este sector.</w:t>
      </w:r>
    </w:p>
    <w:p w14:paraId="5B2CDFA9" w14:textId="77777777" w:rsidR="00A8138F" w:rsidRDefault="00A8138F" w:rsidP="00A8138F">
      <w:pPr>
        <w:pStyle w:val="TextoNormal"/>
      </w:pPr>
    </w:p>
    <w:p w14:paraId="444BAB8B" w14:textId="77777777" w:rsidR="00A8138F" w:rsidRDefault="00A8138F" w:rsidP="00A8138F">
      <w:pPr>
        <w:pStyle w:val="TextoNormal"/>
      </w:pPr>
      <w:r>
        <w:t>En tal sentido ya tuvimos ocasión de señalar que la imposición al propietario del deber de destinar su vivienda de forma efectiva al uso habitacional supone “establecer que el único uso posible de un determinado tipo de bienes debe realizarse de un modo efectivo, con la influencia consecutiva que esa imposición tiene también sobre el poder de disposición, dado que se reducirá notablemente el mercado de compradores y cambiarán las condiciones en que estos estarán dispuestos a adquirir el bien” (STC 93/2015, FJ 13), máxime, añadimos ahora, si dicho deber se pretende garantizar con medidas invasivas tan relevantes como las que la Ley 1/2022 establece.</w:t>
      </w:r>
    </w:p>
    <w:p w14:paraId="0A44D1B9" w14:textId="77777777" w:rsidR="00A8138F" w:rsidRDefault="00A8138F" w:rsidP="00A8138F">
      <w:pPr>
        <w:pStyle w:val="TextoNormal"/>
      </w:pPr>
    </w:p>
    <w:p w14:paraId="306E2F3A" w14:textId="77777777" w:rsidR="00A8138F" w:rsidRDefault="00A8138F" w:rsidP="00A8138F">
      <w:pPr>
        <w:pStyle w:val="TextoNormal"/>
      </w:pPr>
      <w:r>
        <w:t>Por otra parte, la evidente función social perseguida no justifica de modo razonable el tránsito de las medidas de fomento para el logro del objetivo de acceso a la vivienda —</w:t>
      </w:r>
      <w:r>
        <w:lastRenderedPageBreak/>
        <w:t>como las diseñadas por la Ley estatal 12/2023— a la intensa actividad administrativa de intervención y sancionadora que prevén las medidas impugnadas y que llega a la expropiación forzosa y a la cesión obligatoria del uso durante un periodo de siete años.</w:t>
      </w:r>
    </w:p>
    <w:p w14:paraId="13B7D0B3" w14:textId="77777777" w:rsidR="00A8138F" w:rsidRDefault="00A8138F" w:rsidP="00A8138F">
      <w:pPr>
        <w:pStyle w:val="TextoNormal"/>
      </w:pPr>
    </w:p>
    <w:p w14:paraId="1E7A41F3" w14:textId="77777777" w:rsidR="00A8138F" w:rsidRDefault="00A8138F" w:rsidP="00A8138F">
      <w:pPr>
        <w:pStyle w:val="TextoNormal"/>
      </w:pPr>
      <w:r>
        <w:t>Debe en este sentido tomarse en consideración que estas mismas medidas se implantaron mediante Decreto-ley del Gobierno de la Generalitat de Cataluña 17/2019, de 23 de diciembre, de medidas urgentes para mejorar el acceso a la vivienda, y que estuvieron vigentes hasta que fueron declaradas inconstitucionales por la STC 16/2021, sin que las mismas, como acredita la propia exposición de motivos de la Ley 1/2022, hayan logrado minorar la dificultad de acceso a una vivienda digna y adecuada.</w:t>
      </w:r>
    </w:p>
    <w:p w14:paraId="74A85706" w14:textId="77777777" w:rsidR="00A8138F" w:rsidRDefault="00A8138F" w:rsidP="00A8138F">
      <w:pPr>
        <w:pStyle w:val="TextoNormal"/>
      </w:pPr>
    </w:p>
    <w:p w14:paraId="00C4308D" w14:textId="77777777" w:rsidR="00A8138F" w:rsidRDefault="00A8138F" w:rsidP="00A8138F">
      <w:pPr>
        <w:pStyle w:val="TextoNormal"/>
      </w:pPr>
      <w:r>
        <w:t>Es más, la propia norma impugnada, como la reformada Ley del Parlamento de Cataluña 18/2007 y la referida —y reciente— Ley estatal 12/2023 reconocen que la solución del problema pasa por el necesario incremento del parque público de vivienda —eje vertebrador de la Ley del Parlamento de Cataluña 18/2007 y también de la reciente Ley de Estado 12/2023— poco compatible con las medidas impugnadas que afectan notablemente a la inversión en el subsector de la construcción de viviendas.</w:t>
      </w:r>
    </w:p>
    <w:p w14:paraId="3C2FC68A" w14:textId="77777777" w:rsidR="00A8138F" w:rsidRDefault="00A8138F" w:rsidP="00A8138F">
      <w:pPr>
        <w:pStyle w:val="TextoNormal"/>
      </w:pPr>
    </w:p>
    <w:p w14:paraId="04FD1185" w14:textId="77777777" w:rsidR="00A8138F" w:rsidRDefault="00A8138F" w:rsidP="00A8138F">
      <w:pPr>
        <w:pStyle w:val="TextoNormal"/>
      </w:pPr>
      <w:r>
        <w:t>En por ello que no puede apreciarse un equilibrio justo o relación razonable entre la intensidad de las medidas sobre el derecho a la propiedad privada y la finalidad que las mismas pretenden. En tal sentido, la norma aprobada por el Estado para garantizar la efectividad del derecho de acceso en condiciones asequibles a una vivienda digna y adecuada no incorpora medidas de intervención en el derecho a la propiedad privada similares a las impugnadas. A lo que debe añadirse que la implementación de tales medidas desde diciembre de 2019, momento en que entró en vigor el Decreto-ley del Gobierno de la Generalitat de Cataluña 17/2019, no ha disminuido la problemática habitacional. En tal sentido, la propia Ley 1/2022 reconoce que ha continuado el incremento del déficit de vivienda disponible con un precio asequible, sin que en su exposición de motivos advierta que las que denomina como “medidas de choque”, que han venido aplicándose desde finales del año 2019 hayan tenido impacto alguno en mejorar la problemática habitacional existente.</w:t>
      </w:r>
    </w:p>
    <w:p w14:paraId="3D956EA2" w14:textId="77777777" w:rsidR="00A8138F" w:rsidRDefault="00A8138F" w:rsidP="00A8138F">
      <w:pPr>
        <w:pStyle w:val="TextoNormal"/>
      </w:pPr>
    </w:p>
    <w:p w14:paraId="390454F0" w14:textId="77777777" w:rsidR="00A8138F" w:rsidRDefault="00A8138F" w:rsidP="00A8138F">
      <w:pPr>
        <w:pStyle w:val="TextoNormal"/>
      </w:pPr>
      <w:r>
        <w:t>En suma, por lo anteriormente argumentado procede declarar inconstitucionales y nulos, por vulnerar el art. 33 CE, los indicados preceptos.</w:t>
      </w:r>
    </w:p>
    <w:p w14:paraId="5DF776AE" w14:textId="77777777" w:rsidR="00A8138F" w:rsidRDefault="00A8138F" w:rsidP="00A8138F">
      <w:pPr>
        <w:pStyle w:val="TextoNormal"/>
      </w:pPr>
    </w:p>
    <w:p w14:paraId="42350A1F" w14:textId="77777777" w:rsidR="00A8138F" w:rsidRDefault="00A8138F" w:rsidP="00A8138F">
      <w:pPr>
        <w:pStyle w:val="TextoNormal"/>
      </w:pPr>
      <w:r>
        <w:t>Y en este sentido emitimos el presente voto particular.</w:t>
      </w:r>
    </w:p>
    <w:p w14:paraId="20DFD00E" w14:textId="77777777" w:rsidR="00A8138F" w:rsidRDefault="00A8138F" w:rsidP="00A8138F">
      <w:pPr>
        <w:pStyle w:val="TextoNormal"/>
      </w:pPr>
    </w:p>
    <w:p w14:paraId="62797008" w14:textId="5F2E854F" w:rsidR="00A8138F" w:rsidRDefault="00A8138F" w:rsidP="00A8138F">
      <w:pPr>
        <w:pStyle w:val="TextoNormal"/>
      </w:pPr>
      <w:r>
        <w:t>Madrid, a veintinueve de enero de dos mil veinticinco.</w:t>
      </w:r>
    </w:p>
    <w:p w14:paraId="6E973E48" w14:textId="3B3D426C" w:rsidR="00A8138F" w:rsidRDefault="00A8138F">
      <w:pPr>
        <w:spacing w:after="160" w:line="278" w:lineRule="auto"/>
        <w:rPr>
          <w:rFonts w:ascii="Times New Roman" w:eastAsia="Times New Roman" w:hAnsi="Times New Roman" w:cs="Times New Roman"/>
          <w:sz w:val="24"/>
          <w:szCs w:val="24"/>
          <w:lang w:eastAsia="es-ES"/>
        </w:rPr>
      </w:pPr>
      <w:r>
        <w:br w:type="page"/>
      </w:r>
    </w:p>
    <w:p w14:paraId="79CFD192" w14:textId="77777777" w:rsidR="00A8138F" w:rsidRDefault="00A8138F" w:rsidP="00A8138F">
      <w:pPr>
        <w:pStyle w:val="TtuloResolucin"/>
      </w:pPr>
      <w:bookmarkStart w:id="28" w:name="SENTENCIA_2025_26"/>
      <w:r>
        <w:lastRenderedPageBreak/>
        <w:t>SENTENCIA 26/2025, de 29 de enero de 2025</w:t>
      </w:r>
    </w:p>
    <w:bookmarkEnd w:id="28"/>
    <w:p w14:paraId="5A021931" w14:textId="77777777" w:rsidR="00A8138F" w:rsidRDefault="00A8138F" w:rsidP="00A8138F">
      <w:pPr>
        <w:pStyle w:val="TtuloResolucin"/>
      </w:pPr>
      <w:r>
        <w:t>Pleno</w:t>
      </w:r>
    </w:p>
    <w:p w14:paraId="73A1C8F3" w14:textId="77777777" w:rsidR="00A8138F" w:rsidRDefault="00A8138F" w:rsidP="00A8138F">
      <w:pPr>
        <w:pStyle w:val="TtuloBOE"/>
      </w:pPr>
      <w:r>
        <w:t>(BOE núm. 51, de 28 de febrero de 2025)</w:t>
      </w:r>
    </w:p>
    <w:p w14:paraId="6329BF51" w14:textId="77777777" w:rsidR="00A8138F" w:rsidRDefault="00A8138F" w:rsidP="00A8138F">
      <w:pPr>
        <w:pStyle w:val="TextoNormalCentrado"/>
      </w:pPr>
      <w:r>
        <w:t>ECLI:ES:TC:2025:26</w:t>
      </w:r>
    </w:p>
    <w:p w14:paraId="40E7D39C" w14:textId="18ADEB54" w:rsidR="00A8138F" w:rsidRDefault="00A8138F" w:rsidP="00A8138F">
      <w:pPr>
        <w:pStyle w:val="TextoNormalCentrado"/>
      </w:pPr>
    </w:p>
    <w:p w14:paraId="2E509714" w14:textId="77777777" w:rsidR="00A8138F" w:rsidRDefault="00A8138F" w:rsidP="00A8138F">
      <w:pPr>
        <w:pStyle w:val="SntesisDescriptiva"/>
      </w:pPr>
      <w:r>
        <w:t>Recurso de inconstitucionalidad 5514-2023. Interpuesto por más de cincuenta diputados del Grupo Parlamentario Popular en el Congreso en relación con diversos preceptos de la Ley 12/2023, de 24 de mayo, por el derecho a la vivienda.</w:t>
      </w:r>
    </w:p>
    <w:p w14:paraId="7E502C06" w14:textId="64B5D245" w:rsidR="00A8138F" w:rsidRDefault="00A8138F" w:rsidP="00A8138F">
      <w:pPr>
        <w:pStyle w:val="SntesisDescriptiva"/>
      </w:pPr>
    </w:p>
    <w:p w14:paraId="11755451" w14:textId="77777777" w:rsidR="00A8138F" w:rsidRDefault="00A8138F" w:rsidP="00A8138F">
      <w:pPr>
        <w:pStyle w:val="SntesisAnaltica"/>
      </w:pPr>
      <w:r>
        <w:t>Competencias sobre ordenación del territorio, urbanismo y vivienda, legislación civil y procedimiento administrativo común; principios de autonomía local y autonomía financiera de las comunidades autónomas; derechos a la propiedad y a la tutela judicial efectiva: pérdida parcial de objeto del proceso en los preceptos legales declarados inconstitucionales y nulos por la STC 79/2024, de 21 de mayo; nulidad parcial de los preceptos legales que regulan la inadmisión de las demandas que pretendan la recuperación de la posesión de una finca cuando el demandante tenga la condición de gran tenedor; extensión de los efectos de la declaración de nulidad al precepto que enumera los documentos que deben acompañar a las demandas ejecutivas. Votos particulares.</w:t>
      </w:r>
    </w:p>
    <w:p w14:paraId="1EB850D9" w14:textId="577DD586" w:rsidR="00A8138F" w:rsidRDefault="00A8138F" w:rsidP="00A8138F">
      <w:pPr>
        <w:pStyle w:val="SntesisAnaltica"/>
      </w:pPr>
    </w:p>
    <w:p w14:paraId="676E94E5" w14:textId="422FC5FD" w:rsidR="00A8138F" w:rsidRDefault="00A8138F" w:rsidP="00A8138F">
      <w:pPr>
        <w:pStyle w:val="Extracto"/>
      </w:pPr>
      <w:r>
        <w:t>1.</w:t>
      </w:r>
      <w:r>
        <w:tab/>
        <w:t>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 es una medida normativa con incidencia clara en la actividad económica; debiendo entenderse amparado en el art. 149.1.13 CE [FJ 3].</w:t>
      </w:r>
    </w:p>
    <w:p w14:paraId="3EACC255" w14:textId="77777777" w:rsidR="00A8138F" w:rsidRDefault="00A8138F" w:rsidP="00A8138F">
      <w:pPr>
        <w:pStyle w:val="Extracto"/>
      </w:pPr>
    </w:p>
    <w:p w14:paraId="3F70AAB0" w14:textId="1CD51E9B" w:rsidR="00A8138F" w:rsidRDefault="00A8138F" w:rsidP="00A8138F">
      <w:pPr>
        <w:pStyle w:val="Extracto"/>
      </w:pPr>
      <w:r>
        <w:t>2.</w:t>
      </w:r>
      <w:r>
        <w:tab/>
        <w:t>La Constitución reconoce un derecho a la propiedad privada que se configura y protege, ciertamente, como un haz de facultades individuales sobre las cosas; pero, al mismo tiempo, utilidad individual y función social forman parte inescindiblemente del contenido del derecho de propiedad sobre cada categoría o tipo de bienes (SSTC 204/2004 y 168/2023) [FJ 5].</w:t>
      </w:r>
    </w:p>
    <w:p w14:paraId="2CA66C3D" w14:textId="77777777" w:rsidR="00A8138F" w:rsidRDefault="00A8138F" w:rsidP="00A8138F">
      <w:pPr>
        <w:pStyle w:val="Extracto"/>
      </w:pPr>
    </w:p>
    <w:p w14:paraId="3589AAA8" w14:textId="1D4472A7" w:rsidR="00A8138F" w:rsidRDefault="00A8138F" w:rsidP="00A8138F">
      <w:pPr>
        <w:pStyle w:val="Extracto"/>
      </w:pPr>
      <w:r>
        <w:t>3.</w:t>
      </w:r>
      <w:r>
        <w:tab/>
        <w:t>Compete al Estado el establecimiento de medidas de promoción de accesibilidad de vivienda residencial, en lo que a las denominadas zonas de mercado residencial tensionado se refiere, con sus peculiaridades espaciales y temporales, con el objetivo de atender adecuadamente la demanda de vivienda habitacional en alquiler a un precio razonable [FJ 5].</w:t>
      </w:r>
    </w:p>
    <w:p w14:paraId="25B449CD" w14:textId="77777777" w:rsidR="00A8138F" w:rsidRDefault="00A8138F" w:rsidP="00A8138F">
      <w:pPr>
        <w:pStyle w:val="Extracto"/>
      </w:pPr>
    </w:p>
    <w:p w14:paraId="193415F7" w14:textId="49E10AD1" w:rsidR="00A8138F" w:rsidRDefault="00A8138F" w:rsidP="00A8138F">
      <w:pPr>
        <w:pStyle w:val="Extracto"/>
      </w:pPr>
      <w:r>
        <w:t>4.</w:t>
      </w:r>
      <w:r>
        <w:tab/>
        <w:t>Desde la perspectiva del respeto al contenido esencial del derecho de propiedad, la limitación de rentas supone, en principio, una afectación del derecho de propiedad, concretamente de la utilidad económica del bien -en este caso inmueble- que se arrienda. No obstante, la medida afecta de forma muy tangencial al derecho de propiedad sobre la vivienda cuando el límite de renta que se impone está apegado al valor de mercado [FJ 5].</w:t>
      </w:r>
    </w:p>
    <w:p w14:paraId="24D8A7CF" w14:textId="77777777" w:rsidR="00A8138F" w:rsidRDefault="00A8138F" w:rsidP="00A8138F">
      <w:pPr>
        <w:pStyle w:val="Extracto"/>
      </w:pPr>
    </w:p>
    <w:p w14:paraId="734B63AB" w14:textId="2E3B9D9E" w:rsidR="00A8138F" w:rsidRDefault="00A8138F" w:rsidP="00A8138F">
      <w:pPr>
        <w:pStyle w:val="Extracto"/>
      </w:pPr>
      <w:r>
        <w:t>5.</w:t>
      </w:r>
      <w:r>
        <w:tab/>
        <w:t>La especulación sobre la vivienda no está protegida por el art. 33 CE y además es contraria al art. 47 CE, existiendo un mandato constitucional dirigido a los poderes públicos para su evitación (STC 141/2014) [FJ 5].</w:t>
      </w:r>
    </w:p>
    <w:p w14:paraId="566142BA" w14:textId="77777777" w:rsidR="00A8138F" w:rsidRDefault="00A8138F" w:rsidP="00A8138F">
      <w:pPr>
        <w:pStyle w:val="Extracto"/>
      </w:pPr>
    </w:p>
    <w:p w14:paraId="64D039A8" w14:textId="07EC8F3C" w:rsidR="00A8138F" w:rsidRDefault="00A8138F" w:rsidP="00A8138F">
      <w:pPr>
        <w:pStyle w:val="Extracto"/>
      </w:pPr>
      <w:r>
        <w:t>6.</w:t>
      </w:r>
      <w:r>
        <w:tab/>
        <w:t>En la imposición de una modulación de la renta libremente pactada al inicio del contrato de arrendamiento de vivienda, cuando no se excede del límite máximo, que resulte de la aplicación de un sistema de índices de precios de referencia que atiende a la localización y características de la vivienda objeto de arrendamiento, lo que se ve afectado es una expectativa de beneficio económico que no conforma el contenido esencial del derecho de propiedad [FJ 5].</w:t>
      </w:r>
    </w:p>
    <w:p w14:paraId="3B990B91" w14:textId="77777777" w:rsidR="00A8138F" w:rsidRDefault="00A8138F" w:rsidP="00A8138F">
      <w:pPr>
        <w:pStyle w:val="Extracto"/>
      </w:pPr>
    </w:p>
    <w:p w14:paraId="12B525E0" w14:textId="6037C285" w:rsidR="00A8138F" w:rsidRDefault="00A8138F" w:rsidP="00A8138F">
      <w:pPr>
        <w:pStyle w:val="Extracto"/>
      </w:pPr>
      <w:r>
        <w:t>7.</w:t>
      </w:r>
      <w:r>
        <w:tab/>
        <w:t>El derecho de acceso al proceso se ve conculcado por requisitos para admitir la demanda que resulten desproporcionados e irrazonables al no ser necesarios para el cumplimiento del fin que se pretende alcanzar, vulnerando así el ejercicio del derecho a la tutela judicial efectiva que consagra el art. 24.1 CE [FJ 6].</w:t>
      </w:r>
    </w:p>
    <w:p w14:paraId="4C97D18F" w14:textId="77777777" w:rsidR="00A8138F" w:rsidRDefault="00A8138F" w:rsidP="00A8138F">
      <w:pPr>
        <w:pStyle w:val="Extracto"/>
      </w:pPr>
    </w:p>
    <w:p w14:paraId="344CFF32" w14:textId="5CED9595" w:rsidR="00A8138F" w:rsidRDefault="00A8138F" w:rsidP="00A8138F">
      <w:pPr>
        <w:pStyle w:val="Extracto"/>
      </w:pPr>
      <w:r>
        <w:t>8.</w:t>
      </w:r>
      <w:r>
        <w:tab/>
        <w:t>La exigencia a la parte procesal actora de acreditación de una situación de vulnerabilidad de la parte demandada se estima excesiva y desproporcionada, si se esgrime como finalidad pretendida la de encontrar una solución habitacional para las personas en situación de vulnerabilidad económica; en la medida en que este objetivo puede alcanzarse por otras vías, sin menoscabo del derecho de quien pretende accionar la justicia o proseguir el correspondiente proceso. Este mismo criterio se aplica, tanto en la fase de admisión de la demanda, como en la fase ejecutiva referida a la subasta de bienes inmuebles en el marco de la regulación del procedimiento de apremio de la ejecución dineraria [FJ 6].</w:t>
      </w:r>
    </w:p>
    <w:p w14:paraId="3D0EF9C5" w14:textId="77777777" w:rsidR="00A8138F" w:rsidRDefault="00A8138F" w:rsidP="00A8138F">
      <w:pPr>
        <w:pStyle w:val="Extracto"/>
      </w:pPr>
    </w:p>
    <w:p w14:paraId="062C2E3F" w14:textId="037A7216" w:rsidR="00A8138F" w:rsidRDefault="00A8138F" w:rsidP="00A8138F">
      <w:pPr>
        <w:pStyle w:val="Extracto"/>
      </w:pPr>
      <w:r>
        <w:t>9.</w:t>
      </w:r>
      <w:r>
        <w:tab/>
        <w:t>En fase de ejecución hipotecaria, supone una carga desproporcionada para el ejercicio de su derecho a la tutela judicial efectiva el requisito de admisibilidad de la demanda, impuesto a la parte actora, consistente en acreditar que se ha sometido al procedimiento de conciliación o intermediación que a tal efecto establezcan las administraciones públicas competentes [FJ 7].</w:t>
      </w:r>
    </w:p>
    <w:p w14:paraId="7D4FC6B2" w14:textId="77777777" w:rsidR="00A8138F" w:rsidRDefault="00A8138F" w:rsidP="00A8138F">
      <w:pPr>
        <w:pStyle w:val="Extracto"/>
      </w:pPr>
    </w:p>
    <w:p w14:paraId="5EB68AFB" w14:textId="77777777" w:rsidR="00A8138F" w:rsidRDefault="00A8138F" w:rsidP="00A8138F">
      <w:pPr>
        <w:pStyle w:val="Extracto"/>
      </w:pPr>
    </w:p>
    <w:p w14:paraId="5D8A9F1C"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1318B7A5" w14:textId="4E8849F8" w:rsidR="00A8138F" w:rsidRDefault="00A8138F" w:rsidP="00A8138F">
      <w:pPr>
        <w:pStyle w:val="TextoNormal"/>
      </w:pPr>
    </w:p>
    <w:p w14:paraId="45C5C54E" w14:textId="77777777" w:rsidR="00A8138F" w:rsidRDefault="00A8138F" w:rsidP="00A8138F">
      <w:pPr>
        <w:pStyle w:val="TextoNormalCentrado"/>
        <w:keepNext/>
      </w:pPr>
      <w:r>
        <w:t>EN NOMBRE DEL REY</w:t>
      </w:r>
    </w:p>
    <w:p w14:paraId="62DF480A" w14:textId="2ADB9A93" w:rsidR="00A8138F" w:rsidRDefault="00A8138F" w:rsidP="00A8138F">
      <w:pPr>
        <w:pStyle w:val="TextoNormalCentrado"/>
        <w:keepNext/>
      </w:pPr>
    </w:p>
    <w:p w14:paraId="5D353EE4" w14:textId="77777777" w:rsidR="00A8138F" w:rsidRDefault="00A8138F" w:rsidP="00A8138F">
      <w:pPr>
        <w:pStyle w:val="TextoNormalCentrado"/>
        <w:keepNext/>
      </w:pPr>
    </w:p>
    <w:p w14:paraId="78C2D7F6" w14:textId="77777777" w:rsidR="00A8138F" w:rsidRDefault="00A8138F" w:rsidP="00A8138F">
      <w:pPr>
        <w:pStyle w:val="TextoNormal"/>
      </w:pPr>
      <w:r>
        <w:t>la siguiente</w:t>
      </w:r>
    </w:p>
    <w:p w14:paraId="71E96C92" w14:textId="22F6FFDF" w:rsidR="00A8138F" w:rsidRDefault="00A8138F" w:rsidP="00A8138F">
      <w:pPr>
        <w:pStyle w:val="TextoNormal"/>
      </w:pPr>
    </w:p>
    <w:p w14:paraId="7C1E2E4E" w14:textId="77777777" w:rsidR="00A8138F" w:rsidRDefault="00A8138F" w:rsidP="00A8138F">
      <w:pPr>
        <w:pStyle w:val="TextoNormalCentrado"/>
        <w:keepNext/>
      </w:pPr>
      <w:r>
        <w:t>SENTENCIA</w:t>
      </w:r>
    </w:p>
    <w:p w14:paraId="5A56C761" w14:textId="4E2BA9CE" w:rsidR="00A8138F" w:rsidRDefault="00A8138F" w:rsidP="00A8138F">
      <w:pPr>
        <w:pStyle w:val="TextoNormalCentrado"/>
        <w:keepNext/>
      </w:pPr>
    </w:p>
    <w:p w14:paraId="4AB9AD58" w14:textId="77777777" w:rsidR="00A8138F" w:rsidRDefault="00A8138F" w:rsidP="00A8138F">
      <w:pPr>
        <w:pStyle w:val="TextoNormal"/>
      </w:pPr>
      <w:r>
        <w:t xml:space="preserve">En el recurso de inconstitucionalidad núm. 5514-2023, promovido por 136 diputados del Grupo Parlamentario Popular en el Congreso de los Diputados contra los arts. 15.1 b), c), d) y e); 16.1 d); 18.2, 18.3, 18.4; 27.1, 27.3; 28.1 b), c) y d); 29.2; 31.1 y 31.2; la disposición </w:t>
      </w:r>
      <w:r>
        <w:lastRenderedPageBreak/>
        <w:t>adicional tercera; la disposición final primera apartado 3, la disposición final cuarta, la disposición final quinta apartado 2 y la disposición final quinta apartado 6 de la Ley 12/2023, de 24 de mayo, por el derecho a la vivienda. Han comparecido el Congreso de los Diputados, el Senado y el Gobierno de la Nación, habiendo formulado alegaciones este último. Ha sido ponente la magistrada doña María Luisa Segoviano Astaburuaga.</w:t>
      </w:r>
    </w:p>
    <w:p w14:paraId="1675E7DB" w14:textId="76A8F486" w:rsidR="00A8138F" w:rsidRDefault="00A8138F" w:rsidP="00A8138F">
      <w:pPr>
        <w:pStyle w:val="TextoNormal"/>
      </w:pPr>
    </w:p>
    <w:p w14:paraId="41826170" w14:textId="77777777" w:rsidR="00A8138F" w:rsidRDefault="00A8138F" w:rsidP="00A8138F">
      <w:pPr>
        <w:pStyle w:val="TextoNormalNegritaCentrado"/>
        <w:keepNext/>
      </w:pPr>
      <w:r>
        <w:t>I. Antecedentes</w:t>
      </w:r>
    </w:p>
    <w:p w14:paraId="1F21EE96" w14:textId="73CAAE01" w:rsidR="00A8138F" w:rsidRDefault="00A8138F" w:rsidP="00A8138F">
      <w:pPr>
        <w:pStyle w:val="TextoNormalNegritaCentrado"/>
        <w:keepNext/>
      </w:pPr>
    </w:p>
    <w:p w14:paraId="3076E710" w14:textId="0C20AC7A" w:rsidR="00A8138F" w:rsidRDefault="00A8138F" w:rsidP="00A8138F">
      <w:pPr>
        <w:pStyle w:val="TextoNormal"/>
      </w:pPr>
      <w:r w:rsidRPr="00A8138F">
        <w:rPr>
          <w:rStyle w:val="NumeroAFNegritaCaracter"/>
        </w:rPr>
        <w:t>1</w:t>
      </w:r>
      <w:r>
        <w:t>. Mediante escrito presentado en el registro de este tribunal el día 23 de agosto de 2023, el procurador de los tribunales don Manuel Sánchez-Puelles y González-Carvajal, actuando en nombre y representación de 136 diputados del Grupo Parlamentario Popular del Congreso de los Diputados, interpuso, con la firma como comisionado de don Jaime Eduardo de Olano Vela, recurso de inconstitucionalidad contra los arts. 15.1 b), c), d) y e); 16.1 d); 18.2, 18.3, 18.4; 27.1, 27.3; 28.1 b), c) y d); 29.2; 31.1 y 31.2; la disposición adicional tercera; la disposición final primera apartado 3, la disposición final cuarta, la disposición final quinta apartado 2 y la disposición final quinta apartado 6 de la Ley 12/2023, de 24 de mayo, por el derecho a la vivienda (en adelante, Ley 12/2023). Esta ley fue publicada en el “Boletín Oficial del Estado” núm. 124, de 25 de mayo de 2023.</w:t>
      </w:r>
    </w:p>
    <w:p w14:paraId="0A1A7EB6" w14:textId="77777777" w:rsidR="00A8138F" w:rsidRDefault="00A8138F" w:rsidP="00A8138F">
      <w:pPr>
        <w:pStyle w:val="TextoNormal"/>
      </w:pPr>
    </w:p>
    <w:p w14:paraId="421D0930" w14:textId="77777777" w:rsidR="00A8138F" w:rsidRDefault="00A8138F" w:rsidP="00A8138F">
      <w:pPr>
        <w:pStyle w:val="TextoNormal"/>
      </w:pPr>
      <w:r w:rsidRPr="00A8138F">
        <w:rPr>
          <w:rStyle w:val="NumeroAFNegritaCaracter"/>
        </w:rPr>
        <w:t>2</w:t>
      </w:r>
      <w:r>
        <w:t>. El recurso de inconstitucionalidad centra mayoritariamente sus quejas en la vulneración de la distribución constitucional de competencias entre el Estado y las comunidades autónomas en materia de ordenación del territorio, urbanismo y vivienda (art. 148.1.3 CE en relación con el art. 149.1.1 y 13 CE). Dicha impugnación se dirige contra los preceptos siguientes: 15.1 b), c), d) y e); 16.1 d); 18.2, 18.3, 18.4; 27.1, 27.3; 28.1 b), c) y d); 29.2 y la disposición adicional tercera de la Ley 12/2023. Algunos de estos artículos son también recurridos por otros motivos de diversa naturaleza, así: por infracción del principio de autonomía local (arts. 137 y 140 CE) en el caso del art. 15.1 c) de la Ley 12/2023; por vulneración de la competencia exclusiva del Estado en materia de procedimiento administrativo común (art. 149.1.18 CE) en lo que se refiere al art. 18.2, 18.3, 18.4 y la disposición adicional tercera de la Ley 12/2023; y por infracción del principio de autonomía financiera de las comunidades autónomas (art. 156.1 CE) respecto del art. 27.3 de la Ley 12/2023.</w:t>
      </w:r>
    </w:p>
    <w:p w14:paraId="79A94E84" w14:textId="77777777" w:rsidR="00A8138F" w:rsidRDefault="00A8138F" w:rsidP="00A8138F">
      <w:pPr>
        <w:pStyle w:val="TextoNormal"/>
      </w:pPr>
    </w:p>
    <w:p w14:paraId="562065C7" w14:textId="77777777" w:rsidR="00A8138F" w:rsidRDefault="00A8138F" w:rsidP="00A8138F">
      <w:pPr>
        <w:pStyle w:val="TextoNormal"/>
      </w:pPr>
      <w:r>
        <w:t>De naturaleza competencial es también la impugnación dirigida contra el art. 31 de la Ley 12/2023, en este caso por entender infringido el art. 149.1.8 CE referido a la competencia exclusiva del Estado en materia de legislación civil y bases de las obligaciones contractuales.</w:t>
      </w:r>
    </w:p>
    <w:p w14:paraId="35E3BE76" w14:textId="77777777" w:rsidR="00A8138F" w:rsidRDefault="00A8138F" w:rsidP="00A8138F">
      <w:pPr>
        <w:pStyle w:val="TextoNormal"/>
      </w:pPr>
    </w:p>
    <w:p w14:paraId="6971A4DE" w14:textId="31FE6D81" w:rsidR="00A8138F" w:rsidRDefault="00A8138F" w:rsidP="00A8138F">
      <w:pPr>
        <w:pStyle w:val="TextoNormal"/>
      </w:pPr>
      <w:r>
        <w:t>Finalmente, a los anteriores motivos se añaden otros de índole sustantiva, como son los relativos a la vulneración del derecho de propiedad (art. 33 CE) que se atribuye a la disposición final primera apartado tercero de la Ley 12/2023, y la lesión del derecho a la tutela judicial efectiva (art. 24.1 CE) que se imputa a la disposición final quinta, apartados 2 y 6, de la Ley.</w:t>
      </w:r>
    </w:p>
    <w:p w14:paraId="2722937A" w14:textId="77777777" w:rsidR="00A8138F" w:rsidRDefault="00A8138F" w:rsidP="00A8138F">
      <w:pPr>
        <w:pStyle w:val="TextoNormal"/>
      </w:pPr>
    </w:p>
    <w:p w14:paraId="723140C6" w14:textId="77777777" w:rsidR="00A8138F" w:rsidRDefault="00A8138F" w:rsidP="00A8138F">
      <w:pPr>
        <w:pStyle w:val="TextoNormal"/>
      </w:pPr>
      <w:r w:rsidRPr="00A8138F">
        <w:rPr>
          <w:rStyle w:val="NumeroAFNegritaCaracter"/>
        </w:rPr>
        <w:t>3</w:t>
      </w:r>
      <w:r>
        <w:t>. Siguiendo, pues, en lo sustancial, el orden expositivo empleado por los recurrentes, pueden sintetizarse las tachas de inconstitucionalidad contempladas en la demanda de la siguiente manera:</w:t>
      </w:r>
    </w:p>
    <w:p w14:paraId="10EAABE4" w14:textId="77777777" w:rsidR="00A8138F" w:rsidRDefault="00A8138F" w:rsidP="00A8138F">
      <w:pPr>
        <w:pStyle w:val="TextoNormal"/>
      </w:pPr>
    </w:p>
    <w:p w14:paraId="57EAFB57" w14:textId="77777777" w:rsidR="00A8138F" w:rsidRDefault="00A8138F" w:rsidP="00A8138F">
      <w:pPr>
        <w:pStyle w:val="TextoNormal"/>
      </w:pPr>
      <w:r>
        <w:lastRenderedPageBreak/>
        <w:t>a) Comenzando por el art. 15.1 b), argumentan los recurrentes que el precepto insta la promoción de una determinada tipología edificatoria en la ordenación territorial y urbanística, que incide directamente en la competencia exclusiva de las comunidades autónomas en materia de urbanismo, al suponer una afectación directa a las políticas de ordenación de las ciudades y al modelo de ordenación del territorio que cada autonomía quiera diseñar en ejercicio de sus competencias.</w:t>
      </w:r>
    </w:p>
    <w:p w14:paraId="13F4065B" w14:textId="77777777" w:rsidR="00A8138F" w:rsidRDefault="00A8138F" w:rsidP="00A8138F">
      <w:pPr>
        <w:pStyle w:val="TextoNormal"/>
      </w:pPr>
    </w:p>
    <w:p w14:paraId="0ED4CF7F" w14:textId="77777777" w:rsidR="00A8138F" w:rsidRDefault="00A8138F" w:rsidP="00A8138F">
      <w:pPr>
        <w:pStyle w:val="TextoNormal"/>
      </w:pPr>
      <w:r>
        <w:t xml:space="preserve">Señalan, con cita de las SSTC 61/1997, de 20 de marzo, y 164/2001, de 11 de julio, que el precepto impugnado no es amparable en los títulos competenciales exclusivos del Estado </w:t>
      </w:r>
      <w:r w:rsidRPr="00A8138F">
        <w:rPr>
          <w:i/>
        </w:rPr>
        <w:t>ex</w:t>
      </w:r>
      <w:r>
        <w:t xml:space="preserve"> art. 149.1.1 y 13 CE. En cuanto al primero, por cuanto no se pretende la delimitación de las facultades del derecho de propiedad, ni el establecimiento de posiciones jurídicas esenciales sobre el contenido y ejercicio del derecho, sin que el Estado, en virtud del art. 149.1.1 CE pueda configurar el modelo de urbanismo que la comunidad autónoma en ejercicio de sus competencias pretenda diseñar, como tampoco definir o predeterminar las técnicas o instrumentos urbanísticos al servicio de esas estrategias territoriales; en cuanto al segundo, por cuanto la regulación contenida en el precepto impugnado no supone ni contiene líneas de actuación tendentes a alcanzar los objetivos de política económica global o sectorial fijados por la propia Constitución, al no implicar la aplicación de medidas de fomento y promoción de la construcción como sector económico relevante para la economía ni estar destinada a la promoción del empleo ni tener relevancia sobre él. En definitiva, sostienen, que lo que se pretende a través de este precepto es efectuar una orientación del diseño urbanístico de las ciudades.</w:t>
      </w:r>
    </w:p>
    <w:p w14:paraId="60C3B2C5" w14:textId="77777777" w:rsidR="00A8138F" w:rsidRDefault="00A8138F" w:rsidP="00A8138F">
      <w:pPr>
        <w:pStyle w:val="TextoNormal"/>
      </w:pPr>
    </w:p>
    <w:p w14:paraId="00A81AAE" w14:textId="77777777" w:rsidR="00A8138F" w:rsidRDefault="00A8138F" w:rsidP="00A8138F">
      <w:pPr>
        <w:pStyle w:val="TextoNormal"/>
      </w:pPr>
      <w:r>
        <w:t>b) En relación con el art. 15.1 c), se afirma en la demanda que la regulación establecida por este precepto elimina cualquier margen de actuación de las comunidades autónomas sobre las reservas de suelo ya efectuadas para vivienda sujeta a un régimen de protección pública, impidiéndoles modificar su calificación de tal, petrificando la norma autonómica correspondiente, lo que, a su juicio, constituye una injerencia directa y frontal sobre el sentido y contenido de la normativa autonómica en materia de urbanismo y ordenación del territorio, que no cabe entender encuadrado en el art. 149.1.1 CE dado que no establece un estatuto de la propiedad urbana, no delimita las facultades propias del derecho a la propiedad urbana, ni fija condiciones que guarden una estrecha relación directa e inmediata con los derechos reconocidos por la Constitución.</w:t>
      </w:r>
    </w:p>
    <w:p w14:paraId="3DBB9607" w14:textId="77777777" w:rsidR="00A8138F" w:rsidRDefault="00A8138F" w:rsidP="00A8138F">
      <w:pPr>
        <w:pStyle w:val="TextoNormal"/>
      </w:pPr>
    </w:p>
    <w:p w14:paraId="2F9887F3" w14:textId="77777777" w:rsidR="00A8138F" w:rsidRDefault="00A8138F" w:rsidP="00A8138F">
      <w:pPr>
        <w:pStyle w:val="TextoNormal"/>
      </w:pPr>
      <w:r>
        <w:t>El art. 15.1 c) es también combatido, como se ha dicho, por considerar que infringe el principio de autonomía local (arts. 137 y 140 CE). A criterio de los recurrentes, el precepto elimina cualquier margen de actuación no solo de las comunidades autónomas sino también de las entidades locales, al impedir la modificación de un suelo como de reserva para vivienda sujeta a un régimen de protección pública, salvo en casos excepcionales en que el instrumento de ordenación urbanística justifique la innecesariedad de este tipo de viviendas o la imposibilidad sobrevenida de dicho destino.</w:t>
      </w:r>
    </w:p>
    <w:p w14:paraId="7C5447E8" w14:textId="77777777" w:rsidR="00A8138F" w:rsidRDefault="00A8138F" w:rsidP="00A8138F">
      <w:pPr>
        <w:pStyle w:val="TextoNormal"/>
      </w:pPr>
    </w:p>
    <w:p w14:paraId="05F636C7" w14:textId="77777777" w:rsidR="00A8138F" w:rsidRDefault="00A8138F" w:rsidP="00A8138F">
      <w:pPr>
        <w:pStyle w:val="TextoNormal"/>
      </w:pPr>
      <w:r>
        <w:t xml:space="preserve">Con base en lo anterior, se razona que al delimitar el art. 137 CE el ámbito de autonomía de las distintas administraciones territoriales circunscribiéndolo a la gestión de sus respectivos intereses y siendo el urbanismo un ámbito de interés municipal preferente, de acuerdo con el art. 25.2 d) de la Ley 7/1985, de 2 de abril, reguladora de las bases del régimen local, la regulación cuestionada petrifica la norma autonómica que establece la reserva de suelo y también el instrumento de planeamiento que la contemple y aplique, anulando, por tanto, </w:t>
      </w:r>
      <w:r>
        <w:lastRenderedPageBreak/>
        <w:t>cualquier margen de la entidad local competente para la modificación de esta reserva en el instrumento de planeamiento correspondiente, sin que pueda invocarse la concurrencia de intereses supramunicipales cuya tutela o promoción corresponda al Estado, dado que mediante esta regulación se invade la competencia autonómica en materia de urbanismo.</w:t>
      </w:r>
    </w:p>
    <w:p w14:paraId="0697991B" w14:textId="77777777" w:rsidR="00A8138F" w:rsidRDefault="00A8138F" w:rsidP="00A8138F">
      <w:pPr>
        <w:pStyle w:val="TextoNormal"/>
      </w:pPr>
    </w:p>
    <w:p w14:paraId="64AF384E" w14:textId="77777777" w:rsidR="00A8138F" w:rsidRDefault="00A8138F" w:rsidP="00A8138F">
      <w:pPr>
        <w:pStyle w:val="TextoNormal"/>
      </w:pPr>
      <w:r>
        <w:t>c) En lo que hace al art. 15.1 d), argumentan los recurrentes que este precepto predetermina y condiciona sustancialmente la política de urbanismo de las comunidades autónomas al obligarlas a destinar un porcentaje significativo de suelo al régimen de protección pública de alquiler, agotando las opciones de desarrollo normativo por las comunidades autónomas e imponiendo un modelo concreto, específico y uniforme de protección pública de la vivienda. En tal sentido, se argumenta que el alquiler no es el único régimen de protección pública de la vivienda, por lo que no es el único modo de favorecer o promover el ejercicio del derecho a disfrutar de una vivienda digna y adecuada, de acuerdo con el art. 47 CE, pudiendo las comunidades autónomas, en ejercicio de sus competencias, optar por otros sistemas de promoción o modelos de otorgamiento del uso y disfrute de la vivienda distintos del arrendamiento, tales como créditos, ayudas o garantías.</w:t>
      </w:r>
    </w:p>
    <w:p w14:paraId="4C7286D8" w14:textId="77777777" w:rsidR="00A8138F" w:rsidRDefault="00A8138F" w:rsidP="00A8138F">
      <w:pPr>
        <w:pStyle w:val="TextoNormal"/>
      </w:pPr>
    </w:p>
    <w:p w14:paraId="5331592E" w14:textId="77777777" w:rsidR="00A8138F" w:rsidRDefault="00A8138F" w:rsidP="00A8138F">
      <w:pPr>
        <w:pStyle w:val="TextoNormal"/>
      </w:pPr>
      <w:r>
        <w:t>d) En cuanto al art. 15.1 e) se señala en la demanda que este precepto dispone que el suelo obtenido en cumplimiento del deber regulado en el art. 18.1 b) del texto refundido de la Ley de suelo y rehabilitación urbana, aprobado por el Real Decreto Legislativo 7/2015, de 30 de octubre (TRLSRU), deberá destinarse necesariamente a la construcción y gestión de viviendas sociales o dotacionales y no podrá sustituirse por ningún otro uso público o de interés social ni por otras formas de cumplimiento del deber, salvo que se acredite la necesidad de destinarlo a otros usos de interés social, entendiendo los recurrentes que esta norma no tiene por objeto una planificación general de la actividad económica, sino una regulación directa del destino de los bienes integrados en el patrimonio municipal del suelo, agotando por completo las posibilidades de intervención del Estado al amparo del art. 149.1.13 CE e inmiscuyéndose en las competencias de las comunidades autónomas en materia de urbanismo y vivienda.</w:t>
      </w:r>
    </w:p>
    <w:p w14:paraId="0962C96E" w14:textId="77777777" w:rsidR="00A8138F" w:rsidRDefault="00A8138F" w:rsidP="00A8138F">
      <w:pPr>
        <w:pStyle w:val="TextoNormal"/>
      </w:pPr>
    </w:p>
    <w:p w14:paraId="223174BC" w14:textId="77777777" w:rsidR="00A8138F" w:rsidRDefault="00A8138F" w:rsidP="00A8138F">
      <w:pPr>
        <w:pStyle w:val="TextoNormal"/>
      </w:pPr>
      <w:r>
        <w:t xml:space="preserve">e) Respecto de la impugnación del art. 16.1 d), el precepto en cuestión, señalan los recurrentes, establece una calificación permanente de las viviendas protegidas cuando se ubiquen sobre suelos destinados a algún régimen de protección pública, en tanto que, de no estar ubicadas en dichos suelos, la calificación permanente puede exceptuarse, de existir causa justificada y motivada. Al respecto, se argumenta en el recurso que la doctrina constitucional faculta al Estado a que, al amparo del art. 149.1.13 CE, pueda establecer un plan de ayudas para fomentar y promover el acceso a la vivienda y, en el marco de dicho plan, pueda establecer una calificación permanente o sujeta a plazos prolongados de duración, pero lo que no ampara dicho título competencial, a juicio de los recurrentes, es la imposición, como haría el precepto cuestionado, de una calificación permanente o sujeta a prolongados períodos de duración, salvo excepcionales y motivadas circunstancias, sobre todas las viviendas protegidas, y con independencia de cuál sea la administración pública que ejerza la acción de fomento del derecho a la vivienda. Así, reiteran, el precepto vulneraría la competencia de las comunidades autónomas en materia de vivienda al no encontrar acomodo en la competencia exclusiva del Estado en la fijación de las bases y coordinación de la planificación general de la actividad económica, pues el art. 149.1.13 CE ampara disposiciones estatales con incidencia directa y significativa sobre la actividad económica general, debiendo ser interpretado dicho título competencial de forma estricta cuando concurra con una </w:t>
      </w:r>
      <w:r>
        <w:lastRenderedPageBreak/>
        <w:t>materia o un título competencial más específico, citando, a tal efecto, la STC 21/1999, de 25 de febrero.</w:t>
      </w:r>
    </w:p>
    <w:p w14:paraId="753EAA70" w14:textId="77777777" w:rsidR="00A8138F" w:rsidRDefault="00A8138F" w:rsidP="00A8138F">
      <w:pPr>
        <w:pStyle w:val="TextoNormal"/>
      </w:pPr>
    </w:p>
    <w:p w14:paraId="55DC13A6" w14:textId="77777777" w:rsidR="00A8138F" w:rsidRDefault="00A8138F" w:rsidP="00A8138F">
      <w:pPr>
        <w:pStyle w:val="TextoNormal"/>
      </w:pPr>
      <w:r>
        <w:t>f) En lo atinente al art. 18 en sus apartados 2, 3 y 4 y a la disposición adicional tercera, se aduce en la demanda que el referido precepto, con objeto de regular la declaración de las denominadas “zonas de mercado residencial tensionado”, fija en los apartados cuestionados las reglas a las que ha de sujetarse tal declaración, en tanto que la disposición adicional tercera prevé la revisión cada tres años de los criterios establecidos en el art. 18.3 para la declaración de una zona como de mercado tensionado. Partiendo de lo anterior, consideran los recurrentes que esta declaración de una zona como de mercado tensionado no se regula en la ley impugnada con la finalidad de “orientar las actuaciones públicas en materia de vivienda”, en contra de lo establecido en el apartado 1 del artículo examinado, sino que conlleva la aplicación de consecuencias jurídicas recogidas en otros preceptos de la Ley —se citan los arts. 18.5, 19, 20, 24, 25.4 y 31, la disposición adicional segunda, la disposición final primera y la disposición final segunda—, que, ya se trate de medidas que afecten al derecho de propiedad (art. 33 CE), como de medidas de promoción del derecho a la vivienda, carecen de cobertura competencial dado que, en cuanto a las primeras, las condiciones básicas a las que se refiere el art. 149.1.1 CE hacen referencia al contenido primario del derecho, a las posiciones jurídicas fundamentales, debiendo tratarse de condiciones imprescindibles o necesarias para garantizar la igualdad, no pudiendo consistir en una igualdad formal absoluta; en tanto que, respecto de las segundas, invocando la STC 152/1988, de 20 de julio, el Estado no está legitimado para fomentar cualquier actividad en materia de vivienda, regulándola directamente, sino en tanto y en cuanto las medidas de fomento se justifiquen por razón de sus atribuciones sobre las bases de la planificación y la coordinación de la actividad económica, no siendo el caso de las medidas cuestionadas, al justificarse su pertinencia en el preámbulo de la Ley 12/2023 para “favorecer el equilibrio entre la oferta de vivienda y la necesidad de residencia habitual”.</w:t>
      </w:r>
    </w:p>
    <w:p w14:paraId="21CD5EC5" w14:textId="77777777" w:rsidR="00A8138F" w:rsidRDefault="00A8138F" w:rsidP="00A8138F">
      <w:pPr>
        <w:pStyle w:val="TextoNormal"/>
      </w:pPr>
    </w:p>
    <w:p w14:paraId="39878448" w14:textId="77777777" w:rsidR="00A8138F" w:rsidRDefault="00A8138F" w:rsidP="00A8138F">
      <w:pPr>
        <w:pStyle w:val="TextoNormal"/>
      </w:pPr>
      <w:r>
        <w:t xml:space="preserve">Sostienen igualmente los impugnantes que el referido artículo 18, en sus apartados 2, 3 y 4, establece una serie de reglas procedimentales con un grado de detalle máximo que excede asimismo la competencia del Estado en materia de procedimiento administrativo común, en virtud del art. 149.1.18 CE. Con tal fundamento, se alega que, de acuerdo con la doctrina constitucional que citan, las bases del procedimiento administrativo común no pueden alcanzar un grado tal de detalle que prácticamente impidan la adopción por parte de las comunidades autónomas de políticas propias en la materia mediante el ejercicio de sus competencias de desarrollo legislativo (STC 130/2013, de 4 de junio), siendo la competencia para establecer el régimen de los procedimientos administrativos especiales aplicable a las diversas formas de la actividad administrativa </w:t>
      </w:r>
      <w:r w:rsidRPr="00A8138F">
        <w:rPr>
          <w:i/>
        </w:rPr>
        <w:t>ratione materiae</w:t>
      </w:r>
      <w:r>
        <w:t>, conexa a las que, respectivamente, el Estado o las comunidades autónomas ostentan para la regulación del régimen sustantivo de cada actividad o servicio de la administración (STC 227/1988, de 29 de noviembre), por lo que cuando la competencia legislativa sobre una materia ha sido atribuida a una comunidad autónoma, a esta le corresponde también la aprobación de las normas de procedimiento administrativo destinadas a ejecutarla (STC 33/2018, de 12 de abril).</w:t>
      </w:r>
    </w:p>
    <w:p w14:paraId="284EC963" w14:textId="77777777" w:rsidR="00A8138F" w:rsidRDefault="00A8138F" w:rsidP="00A8138F">
      <w:pPr>
        <w:pStyle w:val="TextoNormal"/>
      </w:pPr>
    </w:p>
    <w:p w14:paraId="07B8875A" w14:textId="77777777" w:rsidR="00A8138F" w:rsidRDefault="00A8138F" w:rsidP="00A8138F">
      <w:pPr>
        <w:pStyle w:val="TextoNormal"/>
      </w:pPr>
      <w:r>
        <w:t xml:space="preserve">g) Dentro de esta categoría de impugnación de tipo competencial se sitúa también la afectante a los arts. 27.1, 27.3; 28.1 b), c), d) y 29.2. Al respecto, se aduce en la demanda que los citados preceptos contienen normas de carácter obligatorio para las comunidades </w:t>
      </w:r>
      <w:r>
        <w:lastRenderedPageBreak/>
        <w:t>autónomas referidas tanto a la composición como a la gestión de los parques públicos de vivienda.</w:t>
      </w:r>
    </w:p>
    <w:p w14:paraId="5A01E724" w14:textId="77777777" w:rsidR="00A8138F" w:rsidRDefault="00A8138F" w:rsidP="00A8138F">
      <w:pPr>
        <w:pStyle w:val="TextoNormal"/>
      </w:pPr>
    </w:p>
    <w:p w14:paraId="6A197E3E" w14:textId="77777777" w:rsidR="00A8138F" w:rsidRDefault="00A8138F" w:rsidP="00A8138F">
      <w:pPr>
        <w:pStyle w:val="TextoNormal"/>
      </w:pPr>
      <w:r>
        <w:t>En cuanto a los preceptos relativos a la aludida composición (art. 27.1 y 27.3), se alega que imponen normas que suponen una extralimitación de la competencia exclusiva del Estado para la determinación de las bases y coordinación de la planificación general de la actividad económica y vulneran la competencia de las comunidades autónomas en materia de urbanismo, remitiéndose a lo declarado en la STC 61/1997, en la que, según afirman, se determinó que la concreción con carácter básico de los bienes que integran el patrimonio público del suelo no responde de forma inmediata y directa a la planificación general de la actividad económica, sino que constituye una regulación detallada que ha de quedar a la libre configuración de las comunidades autónomas, sin que quepa apreciar la concurrencia de ningún otro título competencial a favor del Estado.</w:t>
      </w:r>
    </w:p>
    <w:p w14:paraId="5F1191BD" w14:textId="77777777" w:rsidR="00A8138F" w:rsidRDefault="00A8138F" w:rsidP="00A8138F">
      <w:pPr>
        <w:pStyle w:val="TextoNormal"/>
      </w:pPr>
    </w:p>
    <w:p w14:paraId="6D095B5E" w14:textId="77777777" w:rsidR="00A8138F" w:rsidRDefault="00A8138F" w:rsidP="00A8138F">
      <w:pPr>
        <w:pStyle w:val="TextoNormal"/>
      </w:pPr>
      <w:r>
        <w:t>En desarrollo de ello, se argumenta que el art. 27.1, al emplear el término “al menos” en la regulación de la composición de los parques públicos de viviendas, impone que cualquier parque público de viviendas de una comunidad autónoma deba estar compuesto necesariamente por los bienes fijados en él. En tanto que la extralimitación en que se incurre en el art. 27.3, que regula el destino de los ingresos procedentes de las sanciones impuestas por el incumplimiento de la función social de la propiedad como de los derivados de la gestión y, en su caso, enajenación de bienes patrimoniales de los parques públicos de viviendas, se aprecia en el preámbulo de la Ley, al expresarse que la finalidad de esta regulación es “evitar que vuelvan a repetirse indebidas enajenaciones del parque público de vivienda, y se establece un patrimonio separado en el que los ingresos obtenidos deberán destinarse siempre a la creación, ampliación, rehabilitación o mejora de los parques públicos de vivienda”, considerando los impugnantes que dicha aseveración pone de relieve el desacuerdo político del Estado con la gestión autonómica del parque público de viviendas, pretendiendo su corrección y condicionamiento mediante la regulación del Estado en una materia en la que carece de competencia.</w:t>
      </w:r>
    </w:p>
    <w:p w14:paraId="60781990" w14:textId="77777777" w:rsidR="00A8138F" w:rsidRDefault="00A8138F" w:rsidP="00A8138F">
      <w:pPr>
        <w:pStyle w:val="TextoNormal"/>
      </w:pPr>
    </w:p>
    <w:p w14:paraId="64BBB8AE" w14:textId="77777777" w:rsidR="00A8138F" w:rsidRDefault="00A8138F" w:rsidP="00A8138F">
      <w:pPr>
        <w:pStyle w:val="TextoNormal"/>
      </w:pPr>
      <w:r>
        <w:t>Los demandantes invocan igualmente la autonomía financiera de las comunidades autónomas (art. 156.1 CE) como principio infringido por el art. 27.3 de la Ley 12/2023, entendiendo que la reglamentación contenida en él resulta lesiva del aludido principio, al suponer una afectación obligatoria de recursos autonómicos, pues, con base en lo declarado en la STC 141/2014, de 11 de septiembre, no se limita a establecer que el producto de la enajenación de los bienes se destine a su conservación, administración y ampliación, sino que contiene un destino obligatorio del producto de la “gestión” y de los ingresos procedentes del ejercicio de la potestad sancionadora, regulando, pues, un destino obligatorio de los recursos de las comunidades autónomas a pesar de que la autonomía financiera de estas, en palabras de la STC 179/1987, de 12 de noviembre, supone la propia determinación y ordenación de los ingresos y gastos necesarios para el ejercicio de sus funciones.</w:t>
      </w:r>
    </w:p>
    <w:p w14:paraId="38F7CEBA" w14:textId="77777777" w:rsidR="00A8138F" w:rsidRDefault="00A8138F" w:rsidP="00A8138F">
      <w:pPr>
        <w:pStyle w:val="TextoNormal"/>
      </w:pPr>
    </w:p>
    <w:p w14:paraId="0D8D162D" w14:textId="77777777" w:rsidR="00A8138F" w:rsidRDefault="00A8138F" w:rsidP="00A8138F">
      <w:pPr>
        <w:pStyle w:val="TextoNormal"/>
      </w:pPr>
      <w:r>
        <w:t xml:space="preserve">Respecto de los artículos referidos a la gestión de los parques públicos de viviendas [arts. 28.1 b), c), d) y 29.2], se señala que los denominados “criterios orientadores de la gestión de los parques públicos de vivienda” que regula el art. 28.1 constituyen verdaderas obligaciones e imposiciones a las comunidades autónomas, carácter impositivo que se deduce también del art. 29.2 que, al regular el “destino de los parques públicos de vivienda”, impone una única forma de uso y disfrute de los bienes integrados en los parques públicos: alquiler, </w:t>
      </w:r>
      <w:r>
        <w:lastRenderedPageBreak/>
        <w:t>cesión de uso o tenencia temporal. Por ello, se sostiene en la demanda, los preceptos examinados no encuentran cabida, de nuevo, en los títulos competenciales 1 y 13 del art. 149.1 CE, al establecer un régimen jurídico cerrado y exhaustivo de los bienes integrados en los patrimonios públicos de vivienda, imponiendo a las comunidades autónomas reglas concretas sobre su administración, gestión y disposición. Así, se afirma que la controvertida regulación establecida en dichos preceptos, ni tiene incidencia directa e inmediata en la actividad económica o finalidad de coordinar la planificación económica general, ni se limita al establecimiento de una garantía básica del derecho a disfrutar de una vivienda digna, sino que absorbe y asume una regulación concreta de una determinada opción de la gestión y disposición de los bienes de los parques públicos de vivienda.</w:t>
      </w:r>
    </w:p>
    <w:p w14:paraId="0A012F19" w14:textId="77777777" w:rsidR="00A8138F" w:rsidRDefault="00A8138F" w:rsidP="00A8138F">
      <w:pPr>
        <w:pStyle w:val="TextoNormal"/>
      </w:pPr>
    </w:p>
    <w:p w14:paraId="1747419F" w14:textId="77777777" w:rsidR="00A8138F" w:rsidRDefault="00A8138F" w:rsidP="00A8138F">
      <w:pPr>
        <w:pStyle w:val="TextoNormal"/>
      </w:pPr>
      <w:r>
        <w:t xml:space="preserve">h) Los recurrentes consideran igualmente infringido el régimen de distribución de competencias entre el Estado y las comunidades autónomas en lo que hace a la competencia exclusiva del Estado en materia de legislación civil y bases de las obligaciones contractuales, de conformidad con el art. 149.1.8 CE. A tal efecto, arguyen que el art. 31, bajo la rúbrica “[i]nformación mínima en las operaciones de compra y arrendamiento de vivienda”, en sus apartados 1 y 2, impone al propietario de la vivienda que se encuentre en oferta determinadas obligaciones de información para la persona interesada en la compra de la vivienda que, al constituir obligaciones precontractuales, previas a la formalización del contrato de compraventa, se insertan en la determinación del régimen jurídico de este contrato, constituyendo materia de Derecho civil, sobre la que el Estado, </w:t>
      </w:r>
      <w:r w:rsidRPr="00A8138F">
        <w:rPr>
          <w:i/>
        </w:rPr>
        <w:t>ex</w:t>
      </w:r>
      <w:r>
        <w:t xml:space="preserve"> art. 149.1.8 CE, tiene competencia “sin perjuicio de la conservación, modificación y desarrollo por las comunidades autónomas de los derechos civiles, forales o especiales, allí donde existan”, como sobre las bases de las obligaciones contractuales.</w:t>
      </w:r>
    </w:p>
    <w:p w14:paraId="4631345D" w14:textId="77777777" w:rsidR="00A8138F" w:rsidRDefault="00A8138F" w:rsidP="00A8138F">
      <w:pPr>
        <w:pStyle w:val="TextoNormal"/>
      </w:pPr>
    </w:p>
    <w:p w14:paraId="7912D560" w14:textId="77777777" w:rsidR="00A8138F" w:rsidRDefault="00A8138F" w:rsidP="00A8138F">
      <w:pPr>
        <w:pStyle w:val="TextoNormal"/>
      </w:pPr>
      <w:r>
        <w:t>Dicho lo anterior, entienden los impugnantes que la regulación contenida en los preceptos ahora objeto de examen, no respeta las competencias de las comunidades autónomas en materia de conservación, modificación y desarrollo de su Derecho civil propio, trascendiendo de la competencia del Estado en materia de Derecho civil como de las bases de las obligaciones contractuales, por cuanto, en primer término a raíz de la STC 132/2019, de 13 de noviembre, se adoptó un esquema bases-desarrollo que toma en consideración las instituciones que ya aparecieran recogidas en el ordenamiento autonómico a la entrada en vigor del texto constitucional, en su ordenación posterior, o bien tengan conexión con ellas, siendo así que el Derecho foral, en ejercicio de las competencias de las comunidades autónomas en materia de conservación, modificación y desarrollo de su Derecho civil foral propio, ha regulado especialidades forales relativas al contrato de compraventa y, en particular, a las obligaciones de información que corresponden al vendedor, y que, en consecuencia vedarían la competencia del Estado, citando así los casos de la Ley 3/2017, de 15 de febrero, del libro sexto del Código civil de Cataluña, relativo a las obligaciones y los contratos, y de modificación de los libros primero, segundo, tercero, cuarto y quinto, como de la Ley 1/1973, de 1 de marzo, por la que se aprueba la compilación del Derecho civil foral de Navarra.</w:t>
      </w:r>
    </w:p>
    <w:p w14:paraId="670401E8" w14:textId="77777777" w:rsidR="00A8138F" w:rsidRDefault="00A8138F" w:rsidP="00A8138F">
      <w:pPr>
        <w:pStyle w:val="TextoNormal"/>
      </w:pPr>
    </w:p>
    <w:p w14:paraId="0C02B4D1" w14:textId="77777777" w:rsidR="00A8138F" w:rsidRDefault="00A8138F" w:rsidP="00A8138F">
      <w:pPr>
        <w:pStyle w:val="TextoNormal"/>
      </w:pPr>
      <w:r>
        <w:t xml:space="preserve">Por otro lado, respecto del exceso en que se incurriría en relación con las bases de las obligaciones contractuales, con fundamento en lo expresado por este tribunal en la ya citada STC 132/2019, aducen los demandantes que el art. 149.1.8 CE en este punto alude a la competencia exclusiva del Estado en lo que se refiere al núcleo esencial de la estructura de los contratos y a los principios que deben informar su regulación, pero no así para regular </w:t>
      </w:r>
      <w:r>
        <w:lastRenderedPageBreak/>
        <w:t>concreta y detalladamente un determinado tipo contractual. Por ello, considera que la regulación contenida en el art. 31.1 y 2 de la Ley 12/2023 incurre en el mencionado exceso por no referirse a los principios desarrollados en los títulos I y II del libro IV del Código civil (CC), ni resulta esencial para preservar una estructura de relaciones contractuales con idéntica lógica interna, sino que se trata de regular obligaciones precontractuales exclusivamente atinentes al contrato de compraventa.</w:t>
      </w:r>
    </w:p>
    <w:p w14:paraId="3B402D13" w14:textId="77777777" w:rsidR="00A8138F" w:rsidRDefault="00A8138F" w:rsidP="00A8138F">
      <w:pPr>
        <w:pStyle w:val="TextoNormal"/>
      </w:pPr>
    </w:p>
    <w:p w14:paraId="49081069" w14:textId="77777777" w:rsidR="00A8138F" w:rsidRDefault="00A8138F" w:rsidP="00A8138F">
      <w:pPr>
        <w:pStyle w:val="TextoNormal"/>
      </w:pPr>
      <w:r>
        <w:t>i) Es objeto también de reparo de constitucionalidad, en este caso por estimar lesionado el derecho de propiedad (art. 33 CE), la disposición final primera apartado 3, que, bajo la rúbrica “[m]edidas de contención de precios en la regulación de los contratos de arrendamiento de vivienda”, añade al artículo 17 de la Ley 29/1994, de 24 de noviembre, de arrendamientos urbanos (LAU), dos nuevos apartados, 6 y 7, dirigiendo los recurrentes su queja únicamente contra el apartado 7.</w:t>
      </w:r>
    </w:p>
    <w:p w14:paraId="70FC2201" w14:textId="77777777" w:rsidR="00A8138F" w:rsidRDefault="00A8138F" w:rsidP="00A8138F">
      <w:pPr>
        <w:pStyle w:val="TextoNormal"/>
      </w:pPr>
    </w:p>
    <w:p w14:paraId="7F2906FE" w14:textId="77777777" w:rsidR="00A8138F" w:rsidRDefault="00A8138F" w:rsidP="00A8138F">
      <w:pPr>
        <w:pStyle w:val="TextoNormal"/>
      </w:pPr>
      <w:r>
        <w:t>Se relata en el recurso que el precepto controvertido impone a los contratos de arrendamiento de vivienda un límite máximo de renta conforme al sistema de índices de precios de referencia, cuando el propietario sea gran tenedor y la vivienda se encuentre situada en una zona declarada como mercado tensionado, así como a todos los propietarios de viviendas incluidas en zonas de mercado tensionado, aun no siendo grandes tenedores, si la vivienda no ha sido arrendada en los últimos cinco años.</w:t>
      </w:r>
    </w:p>
    <w:p w14:paraId="2AE94911" w14:textId="77777777" w:rsidR="00A8138F" w:rsidRDefault="00A8138F" w:rsidP="00A8138F">
      <w:pPr>
        <w:pStyle w:val="TextoNormal"/>
      </w:pPr>
    </w:p>
    <w:p w14:paraId="203B0A25" w14:textId="77777777" w:rsidR="00A8138F" w:rsidRDefault="00A8138F" w:rsidP="00A8138F">
      <w:pPr>
        <w:pStyle w:val="TextoNormal"/>
      </w:pPr>
      <w:r>
        <w:t xml:space="preserve">A juicio de los recurrentes, tal regulación impone una limitación </w:t>
      </w:r>
      <w:r w:rsidRPr="00A8138F">
        <w:rPr>
          <w:i/>
        </w:rPr>
        <w:t>ab initio</w:t>
      </w:r>
      <w:r>
        <w:t xml:space="preserve"> sobre una de las facultades esenciales que integran el derecho de propiedad, la facultad de disfrute, que excede del ámbito de la posible limitación de su contenido en atención a la función social de este derecho, conforme dispone el art. 33.2 CE, siéndole, por otro lado, aplicable la garantía del art. 53.1 CE de que la ley que desarrolle el ejercicio de este derecho “deberá respetar su contenido esencial”.</w:t>
      </w:r>
    </w:p>
    <w:p w14:paraId="0502D808" w14:textId="77777777" w:rsidR="00A8138F" w:rsidRDefault="00A8138F" w:rsidP="00A8138F">
      <w:pPr>
        <w:pStyle w:val="TextoNormal"/>
      </w:pPr>
    </w:p>
    <w:p w14:paraId="2C7769BC" w14:textId="77777777" w:rsidR="00A8138F" w:rsidRDefault="00A8138F" w:rsidP="00A8138F">
      <w:pPr>
        <w:pStyle w:val="TextoNormal"/>
      </w:pPr>
      <w:r>
        <w:t>En tal sentido, exponen que, conforme a diversos pronunciamientos de este tribunal —se citan, entre otras, las SSTC 37/1987, de 26 de marzo; 170/1989, de 19 de octubre; 89/1994, de 17 de marzo, y 204/2004, de 18 de noviembre— la determinación del contenido esencial de un derecho viene determinada por el elenco de facultades o posibilidades de actuación necesarios para que el derecho sea recognoscible como perteneciente al tipo descrito, quedando rebasado cuando queda sometido a limitaciones que lo hacen impracticable, lo dificultan más allá de lo razonable, o lo despojan de la necesaria protección.</w:t>
      </w:r>
    </w:p>
    <w:p w14:paraId="7899B597" w14:textId="77777777" w:rsidR="00A8138F" w:rsidRDefault="00A8138F" w:rsidP="00A8138F">
      <w:pPr>
        <w:pStyle w:val="TextoNormal"/>
      </w:pPr>
    </w:p>
    <w:p w14:paraId="7D4E1757" w14:textId="77777777" w:rsidR="00A8138F" w:rsidRDefault="00A8138F" w:rsidP="00A8138F">
      <w:pPr>
        <w:pStyle w:val="TextoNormal"/>
      </w:pPr>
      <w:r>
        <w:t>En línea con lo expuesto, con remisión a la doctrina constitucional en que se apoyan, aducen que la delimitación del contenido esencial del derecho de propiedad no puede suponer una absoluta libertad del poder público que llegue a anular la utilidad meramente individual del derecho, de modo que el límite se encontrará en no sobrepasar las barreras más allá de las cuales el derecho dominical y las facultades de disponibilidad que supone resulte reconocible en cada momento histórico y en la posibilidad efectiva de realizar el derecho.</w:t>
      </w:r>
    </w:p>
    <w:p w14:paraId="036D4916" w14:textId="77777777" w:rsidR="00A8138F" w:rsidRDefault="00A8138F" w:rsidP="00A8138F">
      <w:pPr>
        <w:pStyle w:val="TextoNormal"/>
      </w:pPr>
    </w:p>
    <w:p w14:paraId="3AECE6FA" w14:textId="77777777" w:rsidR="00A8138F" w:rsidRDefault="00A8138F" w:rsidP="00A8138F">
      <w:pPr>
        <w:pStyle w:val="TextoNormal"/>
      </w:pPr>
      <w:r>
        <w:t xml:space="preserve">Con base en ello, consideran que la nueva redacción dada al art. 17 LAU, concretamente en su nuevo apartado 7, limita la facultad de disfrute del arrendador, ínsita y consustancial al concepto mismo de derecho real de dominio de fijar, mediante acuerdo con el arrendatario, la utilidad económica del bien arrendado mediante la fijación de la renta, estando ante una norma de fijación directa y automática de la “merced arrendaticia”, que desnaturaliza </w:t>
      </w:r>
      <w:r>
        <w:lastRenderedPageBreak/>
        <w:t>el derecho real de dominio al suponer una limitación esencial y determinante de una de sus facultades, sin precedentes en nuestro ordenamiento jurídico postconstitucional.</w:t>
      </w:r>
    </w:p>
    <w:p w14:paraId="3732F58B" w14:textId="77777777" w:rsidR="00A8138F" w:rsidRDefault="00A8138F" w:rsidP="00A8138F">
      <w:pPr>
        <w:pStyle w:val="TextoNormal"/>
      </w:pPr>
    </w:p>
    <w:p w14:paraId="49DEDFA8" w14:textId="77777777" w:rsidR="00A8138F" w:rsidRDefault="00A8138F" w:rsidP="00A8138F">
      <w:pPr>
        <w:pStyle w:val="TextoNormal"/>
      </w:pPr>
      <w:r>
        <w:t>Por otro lado, partiendo de lo declarado en la STC 16/2018, de 22 de febrero, afirman que la función social del derecho de propiedad pugna con las facultades del propietario en el marco de una relación de adecuación, razonabilidad y equilibrio con el fin perseguido, por ello, en el presente caso, han de tomarse en consideración el interés perseguido por la norma impugnada, consistente en la promoción del acceso a la vivienda y, por otro lado, la determinante y sustancial limitación del derecho de propiedad y la quiebra de la autonomía de la voluntad, base de las obligaciones contractuales y directamente vinculada al reconocimiento de la dignidad de la persona como fundamento del orden político y de la paz social (art. 10 CE). De ello, se concluye que las medidas impuestas, y cuya constitucionalidad se cuestiona, no resultan imprescindibles pues existen otras medidas (fiscales, procesales, laborales, sociales) no invasivas del derecho de propiedad y de la autonomía de la voluntad destinadas igualmente a promocionar el acceso a la vivienda, sin que la Ley 12/2023 explicite la necesidad de las medidas adoptadas ni la ineficacia de otro tipo de medidas que pudieran encaminarse al objetivo de promocionar el acceso a la vivienda. Así, culminan señalando que la aplicación de la limitación de renta a grandes tenedores, en la definición dada por la propia ley, o a propietarios que, en el legítimo ejercicio de su facultad de uso y disfrute de su inmueble no hayan arrendado su vivienda en los últimos cinco años, no encuentra una justificación objetiva y razonable en la norma ni apoyo en precepto constitucional alguno.</w:t>
      </w:r>
    </w:p>
    <w:p w14:paraId="07578F23" w14:textId="77777777" w:rsidR="00A8138F" w:rsidRDefault="00A8138F" w:rsidP="00A8138F">
      <w:pPr>
        <w:pStyle w:val="TextoNormal"/>
      </w:pPr>
    </w:p>
    <w:p w14:paraId="7496AE2E" w14:textId="77777777" w:rsidR="00A8138F" w:rsidRDefault="00A8138F" w:rsidP="00A8138F">
      <w:pPr>
        <w:pStyle w:val="TextoNormal"/>
      </w:pPr>
      <w:r>
        <w:t xml:space="preserve">j) Por último, dirigen los recurrentes su censura de constitucionalidad contra la disposición final quinta, apartados 2 y 6, de la Ley 12/2023, que modifica la Ley 1/2000, de 7 de enero, de enjuiciamiento civil (LEC), en el sentido de introducir dos nuevos apartados —6 y 7— al art. 439 y añadir un nuevo art. 655 </w:t>
      </w:r>
      <w:r w:rsidRPr="00A8138F">
        <w:rPr>
          <w:i/>
        </w:rPr>
        <w:t>bis</w:t>
      </w:r>
      <w:r>
        <w:t>, respectivamente. En ambos casos se entiende lesionado el derecho a la tutela judicial efectiva (art. 24.1 CE), aunque en vertientes distintas; así, correlativamente, el derecho de acceso al proceso y el derecho a la ejecución de resoluciones judiciales firmes.</w:t>
      </w:r>
    </w:p>
    <w:p w14:paraId="00A18DC6" w14:textId="77777777" w:rsidR="00A8138F" w:rsidRDefault="00A8138F" w:rsidP="00A8138F">
      <w:pPr>
        <w:pStyle w:val="TextoNormal"/>
      </w:pPr>
    </w:p>
    <w:p w14:paraId="61C8C1A0" w14:textId="77777777" w:rsidR="00A8138F" w:rsidRDefault="00A8138F" w:rsidP="00A8138F">
      <w:pPr>
        <w:pStyle w:val="TextoNormal"/>
      </w:pPr>
      <w:r>
        <w:t xml:space="preserve">Respecto del apartado 2 de la disposición final quinta de la Ley 12/2023, exponen los demandantes que los nuevos apartados del art. 439 LEC, resultantes de la reforma efectuada por la Ley 12/2023 impugnada, regulan los requisitos para la admisión de la demanda interpuesta por un gran tenedor en los casos de los números 1, 2, 4 y 7 del apartado 1 del art. 250 LEC, referido al ámbito del juicio verbal, exigiéndose en el apartado 6 que se exprese si la parte demandada se encuentra o no en situación de vulnerabilidad económica, para cuya acreditación se establece el deber de aportar un documento que así lo pruebe, de vigencia no superior a tres meses, emitido, previo consentimiento de la persona ocupante de la vivienda, por los servicios autonómicos y locales competentes. Por dicha razón consideran los recurrentes que dicha norma hace depender la admisión de la demanda del cumplimiento de un requisito procesal ajeno a la voluntad y diligencia de las partes y que queda </w:t>
      </w:r>
      <w:r w:rsidRPr="00A8138F">
        <w:rPr>
          <w:i/>
        </w:rPr>
        <w:t>sine die</w:t>
      </w:r>
      <w:r>
        <w:t xml:space="preserve"> en manos de la administración —autonómica o local— competente, sin establecerse un procedimiento, ni sujeción a plazo alguno, ni determinarse las consecuencias jurídicas de su falta de emisión.</w:t>
      </w:r>
    </w:p>
    <w:p w14:paraId="6D1D6D16" w14:textId="77777777" w:rsidR="00A8138F" w:rsidRDefault="00A8138F" w:rsidP="00A8138F">
      <w:pPr>
        <w:pStyle w:val="TextoNormal"/>
      </w:pPr>
    </w:p>
    <w:p w14:paraId="09F9E8AA" w14:textId="77777777" w:rsidR="00A8138F" w:rsidRDefault="00A8138F" w:rsidP="00A8138F">
      <w:pPr>
        <w:pStyle w:val="TextoNormal"/>
      </w:pPr>
      <w:r>
        <w:t xml:space="preserve">Señalan que, aunque el precepto dispone que la acreditación de la vulnerabilidad económica del demandado también podrá realizarse, bien mediante declaración responsable de la parte actora de haber acudido a los servicios competentes en un plazo máximo de cinco </w:t>
      </w:r>
      <w:r>
        <w:lastRenderedPageBreak/>
        <w:t xml:space="preserve">meses de antelación a la presentación de la demanda, o bien mediante documento acreditativo de dichos servicios, con vigencia no superior a tres meses, en el que se indique que la persona ocupante no consiente expresamente el estudio de su situación económica, lo cierto es que, en cuanto a la primera alternativa, dicha declaración responsable, conforme al propio precepto, solo podrá formularse cuando la solicitud dirigida a los servicios competentes “no haya sido atendida” en el plazo de cinco meses, o “no hayan sido iniciados los trámites correspondientes” en el plazo de dos meses, no contemplándose, en cambio, el supuesto en que la administración ha iniciado los trámites correspondientes —cuya tramitación y plazo no se regula— pero no ha emitido el referido documento acreditativo, quedando, por tanto, aplazado </w:t>
      </w:r>
      <w:r w:rsidRPr="00A8138F">
        <w:rPr>
          <w:i/>
        </w:rPr>
        <w:t>sine die</w:t>
      </w:r>
      <w:r>
        <w:t xml:space="preserve"> el acceso a la jurisdicción hasta que la administración emita el documento en cuestión. Esta falta de regulación del procedimiento y los plazos también se da, con iguales efectos, en el caso de la acreditación documental cuando la persona ocupante no consienta expresamente el estudio de su situación económica.</w:t>
      </w:r>
    </w:p>
    <w:p w14:paraId="0E91C273" w14:textId="77777777" w:rsidR="00A8138F" w:rsidRDefault="00A8138F" w:rsidP="00A8138F">
      <w:pPr>
        <w:pStyle w:val="TextoNormal"/>
      </w:pPr>
    </w:p>
    <w:p w14:paraId="1E6F6B05" w14:textId="77777777" w:rsidR="00A8138F" w:rsidRDefault="00A8138F" w:rsidP="00A8138F">
      <w:pPr>
        <w:pStyle w:val="TextoNormal"/>
      </w:pPr>
      <w:r>
        <w:t>Por otro lado, conforme argumentan los recurrentes, el nuevo apartado 7 exige igualmente para la admisión de la demanda de un gran tenedor, en los mismos supuestos reseñados antes del ámbito del juicio verbal, y cuando la vivienda esté ocupada por una persona en situación de vulnerabilidad económica, que se acredite que la parte actora se ha sometido al procedimiento de conciliación o intermediación que, a tal efecto, establezcan las administraciones públicas competentes. Consideran los impugnantes que, aunque el precepto prevé que este requisito puede acreditarse mediante una declaración responsable, nuevamente esta posibilidad solo se prevé cuando la solicitud dirigida a los servicios autonómicos o locales competentes no ha sido atendida o no hayan sido iniciados los trámites correspondientes, en los respectivos plazos que se indican, por lo que no se contempla el caso en que sí se han iniciado dichos trámites.</w:t>
      </w:r>
    </w:p>
    <w:p w14:paraId="6B922CE3" w14:textId="77777777" w:rsidR="00A8138F" w:rsidRDefault="00A8138F" w:rsidP="00A8138F">
      <w:pPr>
        <w:pStyle w:val="TextoNormal"/>
      </w:pPr>
    </w:p>
    <w:p w14:paraId="71F95A84" w14:textId="77777777" w:rsidR="00A8138F" w:rsidRDefault="00A8138F" w:rsidP="00A8138F">
      <w:pPr>
        <w:pStyle w:val="TextoNormal"/>
      </w:pPr>
      <w:r>
        <w:t>Tales exigencias, consideran en síntesis los recurrentes, lesionan el derecho de acceso al proceso al haber entendido este tribunal (STC 114/1992, de 14 de septiembre) que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w:t>
      </w:r>
    </w:p>
    <w:p w14:paraId="0C6C9326" w14:textId="77777777" w:rsidR="00A8138F" w:rsidRDefault="00A8138F" w:rsidP="00A8138F">
      <w:pPr>
        <w:pStyle w:val="TextoNormal"/>
      </w:pPr>
    </w:p>
    <w:p w14:paraId="31082F4B" w14:textId="77777777" w:rsidR="00A8138F" w:rsidRDefault="00A8138F" w:rsidP="00A8138F">
      <w:pPr>
        <w:pStyle w:val="TextoNormal"/>
      </w:pPr>
      <w:r>
        <w:t>Por ello, sostienen los impugnantes que en el presente caso la emisión por la administración competente del documento acreditativo de la vulnerabilidad económica del demandado, como requisito para admitir la demanda, es desproporcionado e irrazonable pues no es en absoluto necesario para el cumplimiento del fin que pretende alcanzar, incrustándose en el proceso de desahucio una intervención necesaria de un órgano administrativo para acreditar una situación —la vulnerabilidad económica del demandado— que puede acreditarse a través de cualquier medio de prueba por el propio demandado en su contestación a la demanda, conforme al art. 438 LEC.</w:t>
      </w:r>
    </w:p>
    <w:p w14:paraId="20210DC3" w14:textId="77777777" w:rsidR="00A8138F" w:rsidRDefault="00A8138F" w:rsidP="00A8138F">
      <w:pPr>
        <w:pStyle w:val="TextoNormal"/>
      </w:pPr>
    </w:p>
    <w:p w14:paraId="322DAA8A" w14:textId="77777777" w:rsidR="00A8138F" w:rsidRDefault="00A8138F" w:rsidP="00A8138F">
      <w:pPr>
        <w:pStyle w:val="TextoNormal"/>
      </w:pPr>
      <w:r>
        <w:t>Por otro lado, mantienen los recurrentes que la exigencia de acreditación de una conciliación obligatoria resulta igualmente desproporcionada e irrazonable pues, a la vista del preámbulo de la Ley 12/2023, con ella no se persigue la evitación del proceso sino el ejercicio de competencias de carácter social y de protección de la vivienda por las administraciones competentes, tratándose pues de competencias ajenas al proceso y cuyo ejercicio no ha de interferir en su desarrollo, máxime cuando la Ley 12/2023 no determina plazos máxi</w:t>
      </w:r>
      <w:r>
        <w:lastRenderedPageBreak/>
        <w:t>mos ni regula procedimiento alguno al respecto, pudiendo llevarse a cabo dichas funciones por los servicios competentes, con la sola alegación por el demandando de su situación personal y social, sin necesidad de interferir en el acceso al proceso del demandante ni afectar a la duración del proceso de una forma tan indeterminada y sustancial.</w:t>
      </w:r>
    </w:p>
    <w:p w14:paraId="60FD9BB1" w14:textId="77777777" w:rsidR="00A8138F" w:rsidRDefault="00A8138F" w:rsidP="00A8138F">
      <w:pPr>
        <w:pStyle w:val="TextoNormal"/>
      </w:pPr>
    </w:p>
    <w:p w14:paraId="03421E64" w14:textId="77777777" w:rsidR="00A8138F" w:rsidRDefault="00A8138F" w:rsidP="00A8138F">
      <w:pPr>
        <w:pStyle w:val="TextoNormal"/>
      </w:pPr>
      <w:r>
        <w:t xml:space="preserve">Finalmente, en opinión de los demandantes, el derecho a la ejecución de las resoluciones judiciales firmes se vería conculcado por el nuevo art. 655 </w:t>
      </w:r>
      <w:r w:rsidRPr="00A8138F">
        <w:rPr>
          <w:i/>
        </w:rPr>
        <w:t>bis</w:t>
      </w:r>
      <w:r>
        <w:t xml:space="preserve"> LEC, relativo a la subasta de bienes inmuebles, introducido por el apartado 6 de la disposición final quinta de la Ley 12/2023 recurrida.</w:t>
      </w:r>
    </w:p>
    <w:p w14:paraId="5288A2E5" w14:textId="77777777" w:rsidR="00A8138F" w:rsidRDefault="00A8138F" w:rsidP="00A8138F">
      <w:pPr>
        <w:pStyle w:val="TextoNormal"/>
      </w:pPr>
    </w:p>
    <w:p w14:paraId="3BE899E5" w14:textId="77777777" w:rsidR="00A8138F" w:rsidRDefault="00A8138F" w:rsidP="00A8138F">
      <w:pPr>
        <w:pStyle w:val="TextoNormal"/>
      </w:pPr>
      <w:r>
        <w:t>En tal sentido, se aduce que el nuevo precepto resultante de la reforma prevé en su apartado 1 que, cuando el bien objeto de subasta sea un bien inmueble que sea la vivienda habitual del ejecutado y el acreedor sea una empresa de vivienda o un gran tenedor y no haya sido acreditado con anterioridad, deberá acreditarse por la parte actora antes del inicio de la vía de apremio, si el deudor se encuentra en situación de vulnerabilidad económica, previendo para ello análoga acreditación de dicho requisito que la prevista en el art. 439 LEC antes analizado, esto es, mediante documento acreditativo de dicho extremo emitido por los servicios competentes previo consentimiento de la parte ejecutada, documento acreditativo de los servicios competentes que indique que la parte ejecutada no consiente expresamente el estudio de su situación económica o declaración responsable de la parte actora de que ha acudido a dichos servicios sin que su solicitud haya sido atendida o se hubieran iniciado los trámites correspondientes.</w:t>
      </w:r>
    </w:p>
    <w:p w14:paraId="61C96B60" w14:textId="77777777" w:rsidR="00A8138F" w:rsidRDefault="00A8138F" w:rsidP="00A8138F">
      <w:pPr>
        <w:pStyle w:val="TextoNormal"/>
      </w:pPr>
    </w:p>
    <w:p w14:paraId="56871AD7" w14:textId="77777777" w:rsidR="00A8138F" w:rsidRDefault="00A8138F" w:rsidP="00A8138F">
      <w:pPr>
        <w:pStyle w:val="TextoNormal"/>
      </w:pPr>
      <w:r>
        <w:t xml:space="preserve">Por otro lado, paralelamente a lo que sucedía con el art. 439 LEC, el art. 655 </w:t>
      </w:r>
      <w:r w:rsidRPr="00A8138F">
        <w:rPr>
          <w:i/>
        </w:rPr>
        <w:t>bis</w:t>
      </w:r>
      <w:r>
        <w:t xml:space="preserve"> LEC dispone también que de tenerse constancia de que el deudor hipotecario se encuentra en situación de vulnerabilidad económica, la vía de apremio no se iniciará si no se acredita que la parte actora se ha sometido al procedimiento de conciliación o intermediación que a tal efecto establezcan las administraciones públicas; acreditación de dicho extremo que podrá efectuarse, en este caso, mediante una declaración responsable de la parte actora de que ha acudido a los servicios competentes sin que su solicitud hubiera sido atendida o se hubieran iniciado los trámites correspondientes, en los respectivos plazos que se indican, o bien un documento acreditativo de los servicios competentes que indique el resultado del procedimiento de conciliación o intermediación.</w:t>
      </w:r>
    </w:p>
    <w:p w14:paraId="3EE8B1C2" w14:textId="77777777" w:rsidR="00A8138F" w:rsidRDefault="00A8138F" w:rsidP="00A8138F">
      <w:pPr>
        <w:pStyle w:val="TextoNormal"/>
      </w:pPr>
    </w:p>
    <w:p w14:paraId="4EA1BE82" w14:textId="77777777" w:rsidR="00A8138F" w:rsidRDefault="00A8138F" w:rsidP="00A8138F">
      <w:pPr>
        <w:pStyle w:val="TextoNormal"/>
      </w:pPr>
      <w:r>
        <w:t>Tales previsiones son consideradas por los recurrentes contrarias a la tutela judicial efectiva, por cuanto el proceso de subasta queda sometido a un doble requisito procesal ajeno por completo a la voluntad y diligencia del ejecutante, y cuyo cumplimiento no tiene señalado plazo.</w:t>
      </w:r>
    </w:p>
    <w:p w14:paraId="2B686493" w14:textId="77777777" w:rsidR="00A8138F" w:rsidRDefault="00A8138F" w:rsidP="00A8138F">
      <w:pPr>
        <w:pStyle w:val="TextoNormal"/>
      </w:pPr>
    </w:p>
    <w:p w14:paraId="012F062D" w14:textId="7704C6CA" w:rsidR="00A8138F" w:rsidRDefault="00A8138F" w:rsidP="00A8138F">
      <w:pPr>
        <w:pStyle w:val="TextoNormal"/>
      </w:pPr>
      <w:r>
        <w:t xml:space="preserve">Concluyen, en definitiva, que las exigencias procesales, objeto de controversia, resultan desproporcionadas e irrazonables pues la vulnerabilidad de la parte ejecutada puede acreditarse en el trámite de justificación de la situación posesoria ya previsto en el art. 661 LEC, en tanto que el nuevo trámite de intermediación o conciliación es ajeno a cualquier intento de evitación del proceso y solo persigue facilitar el ejercicio de las competencias de protección social y vivienda que pueden ejercitarse con la misma celeridad y eficacia con la simple comunicación del ocupante de la vivienda una vez que se le informa del procedimiento de ejecución </w:t>
      </w:r>
      <w:r w:rsidRPr="00A8138F">
        <w:rPr>
          <w:i/>
        </w:rPr>
        <w:t>ex</w:t>
      </w:r>
      <w:r>
        <w:t xml:space="preserve"> art. 661 LEC, o una vez que el órgano jurisdiccional que tramita el procedi</w:t>
      </w:r>
      <w:r>
        <w:lastRenderedPageBreak/>
        <w:t>miento de ejecución tuviera conocimiento de la posible situación de vulnerabilidad, previa manifestación del ocupante.</w:t>
      </w:r>
    </w:p>
    <w:p w14:paraId="1612D52E" w14:textId="77777777" w:rsidR="00A8138F" w:rsidRDefault="00A8138F" w:rsidP="00A8138F">
      <w:pPr>
        <w:pStyle w:val="TextoNormal"/>
      </w:pPr>
    </w:p>
    <w:p w14:paraId="022E0835" w14:textId="62F80A2A" w:rsidR="00A8138F" w:rsidRDefault="00A8138F" w:rsidP="00A8138F">
      <w:pPr>
        <w:pStyle w:val="TextoNormal"/>
      </w:pPr>
      <w:r w:rsidRPr="00A8138F">
        <w:rPr>
          <w:rStyle w:val="NumeroAFNegritaCaracter"/>
        </w:rPr>
        <w:t>4</w:t>
      </w:r>
      <w:r>
        <w:t>. Por providencia de 26 de septiembre de 2023, el Pleno del Tribunal, a propuesta de la Sección Primera, acordó admitir a trámite el presente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convenientes. Por último, ordenó publicar la incoación del recurso en el “Boletín Oficial del Estado”.</w:t>
      </w:r>
    </w:p>
    <w:p w14:paraId="14A484BD" w14:textId="77777777" w:rsidR="00A8138F" w:rsidRDefault="00A8138F" w:rsidP="00A8138F">
      <w:pPr>
        <w:pStyle w:val="TextoNormal"/>
      </w:pPr>
    </w:p>
    <w:p w14:paraId="35B96B2F" w14:textId="48C5287F" w:rsidR="00A8138F" w:rsidRDefault="00A8138F" w:rsidP="00A8138F">
      <w:pPr>
        <w:pStyle w:val="TextoNormal"/>
      </w:pPr>
      <w:r w:rsidRPr="00A8138F">
        <w:rPr>
          <w:rStyle w:val="NumeroAFNegritaCaracter"/>
        </w:rPr>
        <w:t>5</w:t>
      </w:r>
      <w:r>
        <w:t>. Por escrito registrado en este tribunal el 5 de octubre de 2023, la presidenta del Congreso de los Diputados comunicó que la mesa de la Cámara había acordado personarse en este procedimiento y ofrecer su colaboración a los efectos del art. 88.1 LOTC. A su vez, el presidente del Senado interesó, por escrito registrado en igual fecha, que se tuviera por personada a dicha cámara en este procedimiento y por ofrecida su colaboración a los efectos del art. 88.1 LOTC.</w:t>
      </w:r>
    </w:p>
    <w:p w14:paraId="39C975C5" w14:textId="77777777" w:rsidR="00A8138F" w:rsidRDefault="00A8138F" w:rsidP="00A8138F">
      <w:pPr>
        <w:pStyle w:val="TextoNormal"/>
      </w:pPr>
    </w:p>
    <w:p w14:paraId="285F9082" w14:textId="6FEFFAF0" w:rsidR="00A8138F" w:rsidRDefault="00A8138F" w:rsidP="00A8138F">
      <w:pPr>
        <w:pStyle w:val="TextoNormal"/>
      </w:pPr>
      <w:r w:rsidRPr="00A8138F">
        <w:rPr>
          <w:rStyle w:val="NumeroAFNegritaCaracter"/>
        </w:rPr>
        <w:t>6</w:t>
      </w:r>
      <w:r>
        <w:t>. El abogado del Estado, por escrito registrado en el Tribunal el 24 de octubre de 2023, se personó en nombre del Gobierno y solicitó, habida cuenta del número de asuntos que pendían ante esa abogacía, se le concediera una prórroga del plazo para formular alegaciones por ocho días más.</w:t>
      </w:r>
    </w:p>
    <w:p w14:paraId="5256B810" w14:textId="77777777" w:rsidR="00A8138F" w:rsidRDefault="00A8138F" w:rsidP="00A8138F">
      <w:pPr>
        <w:pStyle w:val="TextoNormal"/>
      </w:pPr>
    </w:p>
    <w:p w14:paraId="265A1A74" w14:textId="69B5AA02" w:rsidR="00A8138F" w:rsidRDefault="00A8138F" w:rsidP="00A8138F">
      <w:pPr>
        <w:pStyle w:val="TextoNormal"/>
      </w:pPr>
      <w:r w:rsidRPr="00A8138F">
        <w:rPr>
          <w:rStyle w:val="NumeroAFNegritaCaracter"/>
        </w:rPr>
        <w:t>7</w:t>
      </w:r>
      <w:r>
        <w:t>. Por diligencia de ordenación del secretario de Justicia del Pleno de 24 de octubre de 2023 se tuvo por personado al abogado del Estado y se le prorrogó en ocho días más el plazo concedido para formular las alegaciones que estimare convenientes.</w:t>
      </w:r>
    </w:p>
    <w:p w14:paraId="579D89BE" w14:textId="77777777" w:rsidR="00A8138F" w:rsidRDefault="00A8138F" w:rsidP="00A8138F">
      <w:pPr>
        <w:pStyle w:val="TextoNormal"/>
      </w:pPr>
    </w:p>
    <w:p w14:paraId="08082DA6" w14:textId="77777777" w:rsidR="00A8138F" w:rsidRDefault="00A8138F" w:rsidP="00A8138F">
      <w:pPr>
        <w:pStyle w:val="TextoNormal"/>
      </w:pPr>
      <w:r w:rsidRPr="00A8138F">
        <w:rPr>
          <w:rStyle w:val="NumeroAFNegritaCaracter"/>
        </w:rPr>
        <w:t>8</w:t>
      </w:r>
      <w:r>
        <w:t>. Por escrito registrado en el Tribunal el 8 de noviembre de 2023 el abogado del Estado formuló alegaciones, solicitando la desestimación íntegra del recurso con base en las razones que seguidamente se exponen:</w:t>
      </w:r>
    </w:p>
    <w:p w14:paraId="7866CDE2" w14:textId="77777777" w:rsidR="00A8138F" w:rsidRDefault="00A8138F" w:rsidP="00A8138F">
      <w:pPr>
        <w:pStyle w:val="TextoNormal"/>
      </w:pPr>
    </w:p>
    <w:p w14:paraId="28938AF7" w14:textId="77777777" w:rsidR="00A8138F" w:rsidRDefault="00A8138F" w:rsidP="00A8138F">
      <w:pPr>
        <w:pStyle w:val="TextoNormal"/>
      </w:pPr>
      <w:r>
        <w:t>En primer término, tras exponer el objeto y finalidad perseguida por la Ley 12/2023, de 24 de mayo, por el derecho a la vivienda, y analizar los títulos competenciales considerados en conflicto, la Abogacía del Estado, tomando en consideración el carácter eminentemente competencial de la controversia, parte de la premisa, desarrollada después, de que la Ley 12/2023 impugnada no incurre en la invasión competencial que se le imputa al no impedir el ejercicio de las competencias en materia de política de vivienda de las comunidades autónomas, sino que su función es la de establecer las condiciones básicas del ejercicio de los derechos a la propiedad y a la vivienda, vinculado a la planificación de la actividad económica y a la vertiente social del derecho de propiedad, al no ser este absoluto sino subordinado a su función social (art. 33.2 CE).</w:t>
      </w:r>
    </w:p>
    <w:p w14:paraId="1DE1E297" w14:textId="77777777" w:rsidR="00A8138F" w:rsidRDefault="00A8138F" w:rsidP="00A8138F">
      <w:pPr>
        <w:pStyle w:val="TextoNormal"/>
      </w:pPr>
    </w:p>
    <w:p w14:paraId="495AC5ED" w14:textId="77777777" w:rsidR="00A8138F" w:rsidRDefault="00A8138F" w:rsidP="00A8138F">
      <w:pPr>
        <w:pStyle w:val="TextoNormal"/>
      </w:pPr>
      <w:r>
        <w:t xml:space="preserve">Como alegación general, refiere también la Abogacía del Estado, que en muchos de los preceptos impugnados se incumple por los recurrentes el esfuerzo de efectuar la mínima carga argumentativa para poder analizar la inconstitucionalidad de la Ley 12/2023, por lo </w:t>
      </w:r>
      <w:r>
        <w:lastRenderedPageBreak/>
        <w:t>que debe prevalecer su presunción de constitucionalidad, en aplicación de la doctrina de este tribunal (por todas, cita, entre otras, la STC 37/2022, de 10 de marzo).</w:t>
      </w:r>
    </w:p>
    <w:p w14:paraId="416891CC" w14:textId="77777777" w:rsidR="00A8138F" w:rsidRDefault="00A8138F" w:rsidP="00A8138F">
      <w:pPr>
        <w:pStyle w:val="TextoNormal"/>
      </w:pPr>
    </w:p>
    <w:p w14:paraId="13C5E8E8" w14:textId="77777777" w:rsidR="00A8138F" w:rsidRDefault="00A8138F" w:rsidP="00A8138F">
      <w:pPr>
        <w:pStyle w:val="TextoNormal"/>
      </w:pPr>
      <w:r>
        <w:t>Procediendo ya al análisis detallado de las concretas impugnaciones de preceptos efectuadas en el recurso de inconstitucionalidad, se alega, en síntesis, lo siguiente:</w:t>
      </w:r>
    </w:p>
    <w:p w14:paraId="43FC2D49" w14:textId="77777777" w:rsidR="00A8138F" w:rsidRDefault="00A8138F" w:rsidP="00A8138F">
      <w:pPr>
        <w:pStyle w:val="TextoNormal"/>
      </w:pPr>
    </w:p>
    <w:p w14:paraId="0E97813C" w14:textId="77777777" w:rsidR="00A8138F" w:rsidRDefault="00A8138F" w:rsidP="00A8138F">
      <w:pPr>
        <w:pStyle w:val="TextoNormal"/>
      </w:pPr>
      <w:r>
        <w:t>a) Comenzando por el art. 15.1 b), afirma el abogado del Estado que las previsiones en él contenidas establecen unas directrices básicas de la planificación en materia de vivienda que resulta común a todo el territorio pero dejando, por otro lado, un claro margen de actuación a las comunidades autónomas, incardinándose de forma natural en el ámbito del art. 149.1.1 y 13 CE a los efectos de orientar y coordinar, desde el punto de vista normativo, que en todo el territorio la planificación, en cuanto a fomento de la vivienda pública y social, y la adaptación a la realidad social del tipo de familia y de los núcleos de convivencia, tenga la misma orientación común y básica, de ahí el empleo de las fórmulas “podrán” y “promoverán”.</w:t>
      </w:r>
    </w:p>
    <w:p w14:paraId="3AE568C8" w14:textId="77777777" w:rsidR="00A8138F" w:rsidRDefault="00A8138F" w:rsidP="00A8138F">
      <w:pPr>
        <w:pStyle w:val="TextoNormal"/>
      </w:pPr>
    </w:p>
    <w:p w14:paraId="2EF8412E" w14:textId="77777777" w:rsidR="00A8138F" w:rsidRDefault="00A8138F" w:rsidP="00A8138F">
      <w:pPr>
        <w:pStyle w:val="TextoNormal"/>
      </w:pPr>
      <w:r>
        <w:t>b) En cuanto al art. 15.1 c), se sostiene que la imposibilidad de modificación de la calificación como de reserva para vivienda pública que se efectúa en dicho apartado, y que se deriva de las circunstancias existentes en el territorio español, como consecuencia de la escasez de vivienda pública, tal y como resulta del preámbulo de la Ley 12/2023, se integra dentro de la competencia estatal de planificación económica y establece una condición básica para todos los españoles, sin agotar el ámbito de desarrollo y/o modificación por las comunidades autónomas dado que la propia norma las faculta para poder modificar la reserva en cuestión si se justifica su innecesariedad o imposibilidad sobrevenida, lo que implica un amplio campo de actuación autonómica y local dentro de la directriz estatal de fomento de la vivienda pública en atención a las actuales circunstancias del mercado de la vivienda en España.</w:t>
      </w:r>
    </w:p>
    <w:p w14:paraId="0564992D" w14:textId="77777777" w:rsidR="00A8138F" w:rsidRDefault="00A8138F" w:rsidP="00A8138F">
      <w:pPr>
        <w:pStyle w:val="TextoNormal"/>
      </w:pPr>
    </w:p>
    <w:p w14:paraId="22AC4D16" w14:textId="77777777" w:rsidR="00A8138F" w:rsidRDefault="00A8138F" w:rsidP="00A8138F">
      <w:pPr>
        <w:pStyle w:val="TextoNormal"/>
      </w:pPr>
      <w:r>
        <w:t>c) En relación con la impugnación del apartado d) del mismo precepto, el abogado del Estado señala que la fijación por este precepto de un mínimo de 50 por 100 de vivienda pública necesariamente destinada al alquiler “es solamente criticado por la Comunidad Autónoma de Madrid no por su existencia sino porque lo considera muy elevado sin aportar dato alguno que determine por qué tal porcentaje limita las opciones de política legislativa de la Comunidad Autónoma de Madrid”, remitiéndose, para dar respuesta a ello, a lo declarado por este tribunal en la STC 141/2014, en el sentido de validarse la fijación de porcentajes en la legislación básica en el marco de la planificación general económica y corresponderse con las necesidades de la sociedad española, tal y como se describiría en el preámbulo de la Ley 12/2023.</w:t>
      </w:r>
    </w:p>
    <w:p w14:paraId="330C0CB2" w14:textId="77777777" w:rsidR="00A8138F" w:rsidRDefault="00A8138F" w:rsidP="00A8138F">
      <w:pPr>
        <w:pStyle w:val="TextoNormal"/>
      </w:pPr>
    </w:p>
    <w:p w14:paraId="14FA5801" w14:textId="77777777" w:rsidR="00A8138F" w:rsidRDefault="00A8138F" w:rsidP="00A8138F">
      <w:pPr>
        <w:pStyle w:val="TextoNormal"/>
      </w:pPr>
      <w:r>
        <w:t xml:space="preserve">d) Finalmente, en respuesta al cuestionamiento realizado por los recurrentes al art. 15.1 e), razona la Abogacía del Estado que, para entender la obligatoriedad que impone este precepto, de que en las zonas de mercado residencial tensionado todo el suelo reservado se destine a la construcción y gestión de viviendas sociales o dotacionales, se ha de estar al art. 18.2 de la propia Ley 12/2023 que regula la declaración de zona de mercado residencial tensionado, competencia de la administración autonómica y local en el marco de la definición de zona tensionada (art. 18.1 de la Ley 12/2023), de lo que concluye que dicha obligación de reserva no es una imposición sin margen de actuación de la administración autonómica ya que será esta la que, en su caso, defina las zonas tensionadas y solo podrá hacerlo </w:t>
      </w:r>
      <w:r>
        <w:lastRenderedPageBreak/>
        <w:t>si concurren las especiales circunstancias previstas en dicho precepto y por duración determinada (tres años); a lo que se añade que, cuando la propia administración haya declarado la zona tensionada, podrá sustituirse por otro uso público o de interés social y por otras formas de cumplimiento del deber si se acredita la necesidad de destinarlo a otros usos de interés social; por ello, se asevera que no existe una extralimitación competencial, sino que las previsiones legales examinadas se ubican en el ámbito del art. 149.1.1 y 13 CE.</w:t>
      </w:r>
    </w:p>
    <w:p w14:paraId="4A475A45" w14:textId="77777777" w:rsidR="00A8138F" w:rsidRDefault="00A8138F" w:rsidP="00A8138F">
      <w:pPr>
        <w:pStyle w:val="TextoNormal"/>
      </w:pPr>
    </w:p>
    <w:p w14:paraId="265CE81A" w14:textId="77777777" w:rsidR="00A8138F" w:rsidRDefault="00A8138F" w:rsidP="00A8138F">
      <w:pPr>
        <w:pStyle w:val="TextoNormal"/>
      </w:pPr>
      <w:r>
        <w:t xml:space="preserve">e) El abogado del Estado da respuesta, a continuación, a la censura dirigida contra el art. 16.1 d) de la Ley 12/2023. En su opinión, el sometimiento a un régimen de protección pública permanente, que dispone este precepto respecto de las viviendas protegidas que se promuevan sobre suelos cuyo destino sea el de viviendas sometidas a algún régimen de protección pública, excluyendo su descalificación, en tanto se mantenga la calificación de dicho suelo, fija unos principios de actuación en materia de vivienda protegida que no excluyen un amplio campo de decisión por parte de las comunidades autónomas. En este sentido, señala, son las comunidades autónomas las que, en el marco del art. 20.1 b) TRLSRU, deciden la promoción de viviendas protegidas en el suelo que ellas han decidido reservar a este tipo de viviendas, teniendo en cuenta que la prohibición de descalificación solo se mantiene mientras se mantenga la calificación del suelo que pueden descalificar las comunidades autónomas siempre que así se justifique [art. 15.1 c) de la Ley 12/2023]. Por todo ello, considera que la regulación contenida en el art. 16.1 d) claramente se ubica en el ámbito de la planificación económica de mínimos </w:t>
      </w:r>
      <w:r w:rsidRPr="00A8138F">
        <w:rPr>
          <w:i/>
        </w:rPr>
        <w:t>ex</w:t>
      </w:r>
      <w:r>
        <w:t xml:space="preserve"> art. 149.1.13 CE en atención a la finalidad de promover la vivienda protegida para atender la demanda social con un amplio margen de actuación de las comunidades autónomas.</w:t>
      </w:r>
    </w:p>
    <w:p w14:paraId="35240DDB" w14:textId="77777777" w:rsidR="00A8138F" w:rsidRDefault="00A8138F" w:rsidP="00A8138F">
      <w:pPr>
        <w:pStyle w:val="TextoNormal"/>
      </w:pPr>
    </w:p>
    <w:p w14:paraId="24678FD8" w14:textId="77777777" w:rsidR="00A8138F" w:rsidRDefault="00A8138F" w:rsidP="00A8138F">
      <w:pPr>
        <w:pStyle w:val="TextoNormal"/>
      </w:pPr>
      <w:r>
        <w:t>f) Las alegaciones de la Abogacía del Estado se refieren, a continuación, a la queja dirigida por los recurrentes contra el art. 18, apartados 2, 3 y 4, y la disposición adicional tercera de la Ley. A tal efecto, se razona, primeramente, que, en contra de lo sostenido por los 136 diputados demandantes, los apartados 2 a 4 del art. 18 no tienen como finalidad la de diseñar un completo procedimiento para la declaración de zonas de mercado residencial tensionado sino la de establecer reglas a los efectos de la aplicación de las medidas específicas contempladas en la propia ley, las cuales, a su juicio, no tienen carácter procedimental sino también sustantivo. Se trata, por tanto, de establecer unos requisitos procedimentales y sustantivos básicos para todo el territorio nacional, permitiendo el ulterior desarrollo autonómico.</w:t>
      </w:r>
    </w:p>
    <w:p w14:paraId="69C9DD9D" w14:textId="77777777" w:rsidR="00A8138F" w:rsidRDefault="00A8138F" w:rsidP="00A8138F">
      <w:pPr>
        <w:pStyle w:val="TextoNormal"/>
      </w:pPr>
    </w:p>
    <w:p w14:paraId="1A19BFBB" w14:textId="77777777" w:rsidR="00A8138F" w:rsidRDefault="00A8138F" w:rsidP="00A8138F">
      <w:pPr>
        <w:pStyle w:val="TextoNormal"/>
      </w:pPr>
      <w:r>
        <w:t>En este sentido, se señala la concurrencia, nuevamente, de los títulos competenciales reiteradamente citados —art. 149.1.1 y 13 CE— al tratarse de establecer un régimen común, en su vertiente procedimental, que condiciona el derecho de propiedad, el derecho a la vivienda, con una indudable repercusión económica; el establecimiento de estos trámites comunes concluye, es necesario para garantizar la igualdad en el ejercicio de estos derechos.</w:t>
      </w:r>
    </w:p>
    <w:p w14:paraId="07DF3F91" w14:textId="77777777" w:rsidR="00A8138F" w:rsidRDefault="00A8138F" w:rsidP="00A8138F">
      <w:pPr>
        <w:pStyle w:val="TextoNormal"/>
      </w:pPr>
    </w:p>
    <w:p w14:paraId="34616C38" w14:textId="77777777" w:rsidR="00A8138F" w:rsidRDefault="00A8138F" w:rsidP="00A8138F">
      <w:pPr>
        <w:pStyle w:val="TextoNormal"/>
      </w:pPr>
      <w:r>
        <w:t>Por su parte, señala el representante del Estado que el examen de constitucionalidad de la disposición adicional tercera de la Ley 12/2023, al tener por objeto la revisión de los criterios para la identificación de zonas de mercado residencial tensionado, debe ser analizado a la luz de lo dispuesto en los apartados 2 y 3 del art. 18 , esto es, a los efectos de la aplicación de las medidas específicas contempladas en la Ley, lo que permite reiterar la apreciación anterior de que la referida disposición se sitúa en un ámbito competencial propio del Estado.</w:t>
      </w:r>
    </w:p>
    <w:p w14:paraId="3AC60869" w14:textId="77777777" w:rsidR="00A8138F" w:rsidRDefault="00A8138F" w:rsidP="00A8138F">
      <w:pPr>
        <w:pStyle w:val="TextoNormal"/>
      </w:pPr>
    </w:p>
    <w:p w14:paraId="41220568" w14:textId="77777777" w:rsidR="00A8138F" w:rsidRDefault="00A8138F" w:rsidP="00A8138F">
      <w:pPr>
        <w:pStyle w:val="TextoNormal"/>
      </w:pPr>
      <w:r>
        <w:lastRenderedPageBreak/>
        <w:t>g) Se analiza, tras ello, el cuestionamiento efectuado a los arts. 27.1, 27.3, 28.1 b), c) y d) y 29.2 de la Ley 12/2023. Al respecto, siguiendo la sistemática empleada por los demandantes, se sostiene que los apartados impugnados del art. 27, referidos a la composición obligatoria de los parques públicos de vivienda, son expresión del art. 149.1.1 CE en cuanto constituye una condición básica para garantizar la igualdad en el ejercicio de los derechos invocados, como igualmente tienen incidencia en el sector económico tal y como se pone de relieve en el preámbulo de la Ley 12/2023, tratándose, por ello, de medidas también subsumibles en el art. 149.1.13 CE, de conformidad con la doctrina contenida en la STC 152/1988, en que se apoya.</w:t>
      </w:r>
    </w:p>
    <w:p w14:paraId="2A231C62" w14:textId="77777777" w:rsidR="00A8138F" w:rsidRDefault="00A8138F" w:rsidP="00A8138F">
      <w:pPr>
        <w:pStyle w:val="TextoNormal"/>
      </w:pPr>
    </w:p>
    <w:p w14:paraId="7B12D7BA" w14:textId="77777777" w:rsidR="00A8138F" w:rsidRDefault="00A8138F" w:rsidP="00A8138F">
      <w:pPr>
        <w:pStyle w:val="TextoNormal"/>
      </w:pPr>
      <w:r>
        <w:t>Respecto de la controversia concretamente suscitada por el término “al menos”, empleado por el art. 27.1 de la Ley 12/2023 para regular la composición de los parques públicos de viviendas, el abogado del Estado considera que el precepto en cuestión delimita el contenido mínimo imperativo que deben tener los parques públicos de vivienda de las administraciones competentes, tratándose de una norma uniformadora que, a pesar de emplear el término discutido, otorga un ámbito de actuación normativa a las comunidades autónomas.</w:t>
      </w:r>
    </w:p>
    <w:p w14:paraId="7C643DF4" w14:textId="77777777" w:rsidR="00A8138F" w:rsidRDefault="00A8138F" w:rsidP="00A8138F">
      <w:pPr>
        <w:pStyle w:val="TextoNormal"/>
      </w:pPr>
    </w:p>
    <w:p w14:paraId="23FDB4D8" w14:textId="77777777" w:rsidR="00A8138F" w:rsidRDefault="00A8138F" w:rsidP="00A8138F">
      <w:pPr>
        <w:pStyle w:val="TextoNormal"/>
      </w:pPr>
      <w:r>
        <w:t>En lo referido al art. 27.3 de la Ley 12/2023, se contesta a la queja de los recurrentes afirmando que dicho precepto, efectivamente, obliga a otorgar un destino finalista a los ingresos procedentes de las sanciones impuestas por el incumplimiento de la función social de la propiedad de la vivienda, y a los procedentes de la gestión y enajenación de los bienes patrimoniales que formen parte del parque público de vivienda, sin que, en cuanto a las sanciones económicas de carácter autonómico, la previsión legal cuestionada incida en su titularidad, por ser incontestable, sino en su finalidad, en el sentido de tener que destinarse a los parques públicos de vivienda a los efectos de garantizar su sostenibilidad.</w:t>
      </w:r>
    </w:p>
    <w:p w14:paraId="0AC46D35" w14:textId="77777777" w:rsidR="00A8138F" w:rsidRDefault="00A8138F" w:rsidP="00A8138F">
      <w:pPr>
        <w:pStyle w:val="TextoNormal"/>
      </w:pPr>
    </w:p>
    <w:p w14:paraId="089E9DDE" w14:textId="77777777" w:rsidR="00A8138F" w:rsidRDefault="00A8138F" w:rsidP="00A8138F">
      <w:pPr>
        <w:pStyle w:val="TextoNormal"/>
      </w:pPr>
      <w:r>
        <w:t>En cuanto a los preceptos relativos a la gestión de los parques públicos de vivienda —arts. 28.1 b), c), d) y 29.2 de la Ley 12/2023—, considera la Abogacía del Estado que, el primero de ellos establece los criterios orientadores de la gestión de los parques por parte de las administraciones competentes, tratándose de previsiones que guardan relación con el art. 27, antes analizado, por lo que merecen su mismo tratamiento competencial. Se aduce que, pese a que los recurrentes no han cumplido en cuanto a la impugnación de este precepto la mínima carga argumentativa exigible, estamos ante una opción legítima del legislador estatal amparada en el art. 149.1.13 CE, en la medida en que afecta de manera significativa y directa al sector de la vivienda, constituyendo líneas directrices o criterios globales de ordenación de dicho sector. En particular, se señala que la previsión contenida en el art. 28.1 d), esto es, que las administraciones competentes en materia de vivienda puedan, a los efectos de la gestión de los parques públicos de vivienda, enajenar los bienes patrimoniales integrantes de estos únicamente “a otras administraciones públicas, sus entes instrumentales o a personas jurídicas sin ánimo de lucro, dedicados a la gestión de vivienda con fines sociales”, constituye una condición básica para el ejercicio de los derechos vinculados con la vivienda, puesto que establece una previsión imperativa para asegurar la igualdad en su ejercicio, de ahí que la enajenación de los bienes patrimoniales integrados en los parques públicos de vivienda solo pueda realizarse a estas entidades para evitar que se desliguen de su finalidad y salgan del ámbito de estos parques a entidades de carácter privado.</w:t>
      </w:r>
    </w:p>
    <w:p w14:paraId="4CF61218" w14:textId="77777777" w:rsidR="00A8138F" w:rsidRDefault="00A8138F" w:rsidP="00A8138F">
      <w:pPr>
        <w:pStyle w:val="TextoNormal"/>
      </w:pPr>
    </w:p>
    <w:p w14:paraId="4C394DED" w14:textId="77777777" w:rsidR="00A8138F" w:rsidRDefault="00A8138F" w:rsidP="00A8138F">
      <w:pPr>
        <w:pStyle w:val="TextoNormal"/>
      </w:pPr>
      <w:r>
        <w:lastRenderedPageBreak/>
        <w:t>Finalmente, en lo que hace al art. 29.2 de la Ley 12/2023, se insiste en su consideración de condición básica y directriz económica de alcance general, negando el menoscabo competencial que los impugnantes le achacan.</w:t>
      </w:r>
    </w:p>
    <w:p w14:paraId="461607F3" w14:textId="77777777" w:rsidR="00A8138F" w:rsidRDefault="00A8138F" w:rsidP="00A8138F">
      <w:pPr>
        <w:pStyle w:val="TextoNormal"/>
      </w:pPr>
    </w:p>
    <w:p w14:paraId="0B88CFB8" w14:textId="77777777" w:rsidR="00A8138F" w:rsidRDefault="00A8138F" w:rsidP="00A8138F">
      <w:pPr>
        <w:pStyle w:val="TextoNormal"/>
      </w:pPr>
      <w:r>
        <w:t>h) Procediendo, seguidamente, al análisis del art. 31, relativo a la información mínima en las operaciones de compra y arrendamiento de vivienda, se niega por el abogado del Estado la tacha de inconstitucionalidad que le es atribuida por los recurrentes a sus dos primeros apartados por considerar infringido el reparto competencial resultante del art. 149.1.8 CE, arguyendo que la regulación aquí cuestionada establece obligaciones de información por la parte vendedora o arrendadora de una vivienda que debe facilitarse a la parte potencialmente adquirente o arrendataria que, refiriéndose a características del vendedor o arrendador como a condiciones económicas elementales de la operación, incide en el ámbito civil contractual de las obligaciones entre partes, cuya regulación se halla dentro de la competencia del Estado sobre las bases de las obligaciones contractuales al amparo del citado art. 149.1.8 CE.</w:t>
      </w:r>
    </w:p>
    <w:p w14:paraId="739E2D7C" w14:textId="77777777" w:rsidR="00A8138F" w:rsidRDefault="00A8138F" w:rsidP="00A8138F">
      <w:pPr>
        <w:pStyle w:val="TextoNormal"/>
      </w:pPr>
    </w:p>
    <w:p w14:paraId="320BF85D" w14:textId="77777777" w:rsidR="00A8138F" w:rsidRDefault="00A8138F" w:rsidP="00A8138F">
      <w:pPr>
        <w:pStyle w:val="TextoNormal"/>
      </w:pPr>
      <w:r>
        <w:t>i) El cuestionamiento constitucional de la disposición final primera apartado 3 de la Ley de vivienda, que se fundamenta por los demandantes en la infracción del derecho de propiedad (art. 33 CE), es rechazado también por el defensor del Estado. A su juicio, las medidas de contención de precios que introduce esta disposición en la regulación de los contratos de arrendamiento de vivienda, reformando a tal efecto el art. 17 LAU y, concretamente, la prevista en el nuevo apartado 7 que se añade a este precepto, responden a una finalidad y objetivo social candente y muy sensible como es el de paliar en lo posible la carestía de la vivienda que el legislador estatal trata de solventar a través de esta vía. En tal sentido, la función social de la propiedad, razona, se halla en la esencia misma de este derecho, como un elemento estructural del mismo, no existiendo fundamento para entender que la regulación o modulación de la renta por el precepto que se cuestiona llegue a desfigurar este derecho. Así, continúa, la norma no genera una irrecognoscibilidad del derecho de propiedad, sino que estamos más bien ante un exponente positivizado de la función social del mismo.</w:t>
      </w:r>
    </w:p>
    <w:p w14:paraId="17E8A0A7" w14:textId="77777777" w:rsidR="00A8138F" w:rsidRDefault="00A8138F" w:rsidP="00A8138F">
      <w:pPr>
        <w:pStyle w:val="TextoNormal"/>
      </w:pPr>
    </w:p>
    <w:p w14:paraId="5D1BE291" w14:textId="77777777" w:rsidR="00A8138F" w:rsidRDefault="00A8138F" w:rsidP="00A8138F">
      <w:pPr>
        <w:pStyle w:val="TextoNormal"/>
      </w:pPr>
      <w:r>
        <w:t>j) Para concluir, se da contestación a la impugnación afectante a la disposición final quinta, apartados 2 y 6, de la Ley 12/2023.</w:t>
      </w:r>
    </w:p>
    <w:p w14:paraId="6C071A57" w14:textId="77777777" w:rsidR="00A8138F" w:rsidRDefault="00A8138F" w:rsidP="00A8138F">
      <w:pPr>
        <w:pStyle w:val="TextoNormal"/>
      </w:pPr>
    </w:p>
    <w:p w14:paraId="20AF5E13" w14:textId="77777777" w:rsidR="00A8138F" w:rsidRDefault="00A8138F" w:rsidP="00A8138F">
      <w:pPr>
        <w:pStyle w:val="TextoNormal"/>
      </w:pPr>
      <w:r>
        <w:t xml:space="preserve">Con respecto al apartado 2, la Abogacía del Estado señala que nos hallamos, no ante obstáculos, sino ante el establecimiento de requisitos adecuados o en la línea de los objetivos perseguidos por el legislador dentro de su margen de libertad ordenadora de las realidades sociales que disciplina, tratándose en este caso de una reforma política en aras de una mayor protección de la parte arrendataria, lo cual es una finalidad de acuerdo con la configuración legal del derecho a una vivienda digna (art. 47 CE) o de la protección integral de la familia (art. 39 CE), para lo cual el disponer de una vivienda es un aspecto imprescindible en una situación social de gran dificultad para ello. En este sentido, incide, la declaración responsable prevista en la nueva redacción dada a los apartados 6 y 7 del art. 439 LEC “lo que trata es de evitar o hacer más sencillo el </w:t>
      </w:r>
      <w:r w:rsidRPr="00A8138F">
        <w:rPr>
          <w:i/>
        </w:rPr>
        <w:t>a priori</w:t>
      </w:r>
      <w:r>
        <w:t xml:space="preserve"> trámite de expedición de certificación con los posibles problemas de gestión a los que el grupo parlamentario recurrente apunta”.</w:t>
      </w:r>
    </w:p>
    <w:p w14:paraId="042F92F0" w14:textId="77777777" w:rsidR="00A8138F" w:rsidRDefault="00A8138F" w:rsidP="00A8138F">
      <w:pPr>
        <w:pStyle w:val="TextoNormal"/>
      </w:pPr>
    </w:p>
    <w:p w14:paraId="5A4A0380" w14:textId="77777777" w:rsidR="00A8138F" w:rsidRDefault="00A8138F" w:rsidP="00A8138F">
      <w:pPr>
        <w:pStyle w:val="TextoNormal"/>
      </w:pPr>
      <w:r>
        <w:t>Por otro lado, en cuanto al intento de conciliación previsto para los casos del art. 250.1 LEC, se argumenta que, con independencia de la necesidad de la regulación de su procedi</w:t>
      </w:r>
      <w:r>
        <w:lastRenderedPageBreak/>
        <w:t>miento y plazos, no se trata de un requisito en exceso o irrazonablemente obstaculizador de la acción judicial para la desposesión.</w:t>
      </w:r>
    </w:p>
    <w:p w14:paraId="7F580AAF" w14:textId="77777777" w:rsidR="00A8138F" w:rsidRDefault="00A8138F" w:rsidP="00A8138F">
      <w:pPr>
        <w:pStyle w:val="TextoNormal"/>
      </w:pPr>
    </w:p>
    <w:p w14:paraId="209692B8" w14:textId="77777777" w:rsidR="00A8138F" w:rsidRDefault="00A8138F" w:rsidP="00A8138F">
      <w:pPr>
        <w:pStyle w:val="TextoNormal"/>
      </w:pPr>
      <w:r>
        <w:t>En relación con el apartado 6 de la disposición final quinta de la Ley 12/2023, considera finalmente el abogado del Estado que los requisitos exigidos para llevar a cabo la ejecución pueden alternativamente acreditarse también mediante aportación de declaración responsable por el ejecutante, por lo que no se estaría ante la cumplimentación de trámites previos desproporcionadamente y no justificablemente obstaculizadores.</w:t>
      </w:r>
    </w:p>
    <w:p w14:paraId="258DB882" w14:textId="77777777" w:rsidR="00A8138F" w:rsidRDefault="00A8138F" w:rsidP="00A8138F">
      <w:pPr>
        <w:pStyle w:val="TextoNormal"/>
      </w:pPr>
    </w:p>
    <w:p w14:paraId="51E95707" w14:textId="77777777" w:rsidR="00A8138F" w:rsidRDefault="00A8138F" w:rsidP="00A8138F">
      <w:pPr>
        <w:pStyle w:val="TextoNormal"/>
      </w:pPr>
      <w:r>
        <w:t>Asimismo, en lo que hace a la exigencia de traer a la ejecución unas acreditaciones que el juez de la ejecución debe solicitar, sostiene que la norma, en este caso, se limita a otorgar al órgano judicial potestades para requerir a las administraciones competentes en orden a que le confirmen en plazo si el hogar afectado se halla en situación de vulnerabilidad económica.</w:t>
      </w:r>
    </w:p>
    <w:p w14:paraId="7DD63D1B" w14:textId="77777777" w:rsidR="00A8138F" w:rsidRDefault="00A8138F" w:rsidP="00A8138F">
      <w:pPr>
        <w:pStyle w:val="TextoNormal"/>
      </w:pPr>
    </w:p>
    <w:p w14:paraId="5DAAC922" w14:textId="77777777" w:rsidR="00A8138F" w:rsidRDefault="00A8138F" w:rsidP="00A8138F">
      <w:pPr>
        <w:pStyle w:val="TextoNormal"/>
      </w:pPr>
      <w:r>
        <w:t>Por su parte, el requisito de que las partes hayan previamente intentado un procedimiento de conciliación o intermediación, al margen de su posible acreditación mediante declaración responsable, no es, a juicio del abogado del Estado, un requisito irreconocible en el ámbito procesal, estando dirigido, en contra de lo mantenido por los recurrentes, al posible acuerdo entre las partes litigantes, esto es, a su finalización, dado que si se llegase a un acuerdo no se interpondría finalmente la demanda o no se seguiría ya la ejecución.</w:t>
      </w:r>
    </w:p>
    <w:p w14:paraId="3277EAAE" w14:textId="77777777" w:rsidR="00A8138F" w:rsidRDefault="00A8138F" w:rsidP="00A8138F">
      <w:pPr>
        <w:pStyle w:val="TextoNormal"/>
      </w:pPr>
    </w:p>
    <w:p w14:paraId="213A833A" w14:textId="77777777" w:rsidR="00A8138F" w:rsidRDefault="00A8138F" w:rsidP="00A8138F">
      <w:pPr>
        <w:pStyle w:val="TextoNormal"/>
      </w:pPr>
      <w:r>
        <w:t>Igualmente, se apunta que lo que regulan los preceptos aquí impugnados son las vicisitudes o requisitos legales exigibles desde la perspectiva de la seguridad jurídica y garantía de las partes en el seno de una clase especial de procedimiento de ejecución, sin que la nueva redacción dada al precepto de la Ley de enjuiciamiento civil impida la ejecución de sentencias o las convierta en meras declaraciones de intenciones sin posibilidad de llegar a hacerlas materialmente efectivas, sino que determina la clase de cauce o procedimiento para ello con mayores exigencias habida cuenta del tipo o clase de resoluciones que se ven afectadas a través de esos procesos de ejecución.</w:t>
      </w:r>
    </w:p>
    <w:p w14:paraId="297D4C75" w14:textId="77777777" w:rsidR="00A8138F" w:rsidRDefault="00A8138F" w:rsidP="00A8138F">
      <w:pPr>
        <w:pStyle w:val="TextoNormal"/>
      </w:pPr>
    </w:p>
    <w:p w14:paraId="6C3ABF0F" w14:textId="3F858F24" w:rsidR="00A8138F" w:rsidRDefault="00A8138F" w:rsidP="00A8138F">
      <w:pPr>
        <w:pStyle w:val="TextoNormal"/>
      </w:pPr>
      <w:r>
        <w:t>En definitiva, culmina señalando el representante del Estado, la regulación procesal contenida en la Ley 12/2023 impugnada introduce una serie de limitaciones necesarias o coherentes con la finalidad tuitiva que se persigue con ella, sin afectación negativa a las prescripciones del art. 24 CE.</w:t>
      </w:r>
    </w:p>
    <w:p w14:paraId="52B6C78F" w14:textId="77777777" w:rsidR="00A8138F" w:rsidRDefault="00A8138F" w:rsidP="00A8138F">
      <w:pPr>
        <w:pStyle w:val="TextoNormal"/>
      </w:pPr>
    </w:p>
    <w:p w14:paraId="6856FAE7" w14:textId="30980185" w:rsidR="00A8138F" w:rsidRDefault="00A8138F" w:rsidP="00A8138F">
      <w:pPr>
        <w:pStyle w:val="TextoNormal"/>
      </w:pPr>
      <w:r w:rsidRPr="00A8138F">
        <w:rPr>
          <w:rStyle w:val="NumeroAFNegritaCaracter"/>
        </w:rPr>
        <w:t>9</w:t>
      </w:r>
      <w:r>
        <w:t>. La ponencia correspondió en primer lugar a la magistrada doña Concepción Espejel Jorquera, cuya propuesta fue deliberada y no aprobada en el Pleno del Tribunal Constitucional de 22 de octubre de 2024. Al declinar la magistrada la ponencia, le fue encomendada a la magistrada doña María Luisa Segoviano Astaburuaga.</w:t>
      </w:r>
    </w:p>
    <w:p w14:paraId="70C19838" w14:textId="77777777" w:rsidR="00A8138F" w:rsidRDefault="00A8138F" w:rsidP="00A8138F">
      <w:pPr>
        <w:pStyle w:val="TextoNormal"/>
      </w:pPr>
    </w:p>
    <w:p w14:paraId="7C98715C" w14:textId="7F41DC8A" w:rsidR="00A8138F" w:rsidRDefault="00A8138F" w:rsidP="00A8138F">
      <w:pPr>
        <w:pStyle w:val="TextoNormal"/>
      </w:pPr>
      <w:r w:rsidRPr="00A8138F">
        <w:rPr>
          <w:rStyle w:val="NumeroAFNegritaCaracter"/>
        </w:rPr>
        <w:t>10</w:t>
      </w:r>
      <w:r>
        <w:t>. Mediante providencia de 28 de enero de 2025, se señaló para deliberación y votación de la presente sentencia el día 29 del mismo mes y año.</w:t>
      </w:r>
    </w:p>
    <w:p w14:paraId="251A9DAE" w14:textId="77777777" w:rsidR="00A8138F" w:rsidRDefault="00A8138F" w:rsidP="00A8138F">
      <w:pPr>
        <w:pStyle w:val="TextoNormal"/>
      </w:pPr>
    </w:p>
    <w:p w14:paraId="2B97A742" w14:textId="77777777" w:rsidR="00A8138F" w:rsidRDefault="00A8138F" w:rsidP="00A8138F">
      <w:pPr>
        <w:pStyle w:val="TextoNormalNegritaCentrado"/>
        <w:keepNext/>
      </w:pPr>
      <w:r>
        <w:t>II. Fundamentos jurídicos</w:t>
      </w:r>
    </w:p>
    <w:p w14:paraId="26F067C6" w14:textId="6FC9CBAD" w:rsidR="00A8138F" w:rsidRDefault="00A8138F" w:rsidP="00A8138F">
      <w:pPr>
        <w:pStyle w:val="TextoNormalNegritaCentrado"/>
        <w:keepNext/>
      </w:pPr>
    </w:p>
    <w:p w14:paraId="71FD3EF0"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79C0B059" w14:textId="77777777" w:rsidR="00A8138F" w:rsidRDefault="00A8138F" w:rsidP="00A8138F">
      <w:pPr>
        <w:pStyle w:val="TextoNormal"/>
      </w:pPr>
    </w:p>
    <w:p w14:paraId="3B679CBD" w14:textId="77777777" w:rsidR="00A8138F" w:rsidRDefault="00A8138F" w:rsidP="00A8138F">
      <w:pPr>
        <w:pStyle w:val="TextoNormal"/>
      </w:pPr>
      <w:r>
        <w:t>El presente recurso de inconstitucionalidad, promovido por 136 diputados del Grupo Parlamentario Popular en el Congreso de los Diputados, se interpone contra los arts. 15.1 b), c), d) y e); 16.1 d); 18.2, 18.3, 18.4; 27.1, 27.3; 28.1 b), c) y d); 29.2; 31.1 y 31.2; la disposición adicional tercera; la disposición final primera apartado 3, la disposición final cuarta, la disposición final quinta apartado 2 y la disposición final quinta apartado 6 de la Ley 12/2023, de 24 de mayo, por el derecho a la vivienda.</w:t>
      </w:r>
    </w:p>
    <w:p w14:paraId="1CB231B5" w14:textId="77777777" w:rsidR="00A8138F" w:rsidRDefault="00A8138F" w:rsidP="00A8138F">
      <w:pPr>
        <w:pStyle w:val="TextoNormal"/>
      </w:pPr>
    </w:p>
    <w:p w14:paraId="24BE8840" w14:textId="77777777" w:rsidR="00A8138F" w:rsidRDefault="00A8138F" w:rsidP="00A8138F">
      <w:pPr>
        <w:pStyle w:val="TextoNormal"/>
      </w:pPr>
      <w:r>
        <w:t>Como se ha dejado expuesto en los antecedentes de la presente resolución, los diputados recurrentes imputan a los preceptos impugnados de la Ley 12/2023 vulneraciones constitucionales de diversa naturaleza: bien por no respetar el régimen de distribución de competencias entre el Estado y las comunidades autónomas, principalmente en materia de ordenación del territorio, urbanismo y vivienda, pero también en relación con otros títulos competenciales —procedimiento administrativo común y legislación civil—, bien por infringir otros preceptos constitucionales —arts. 137 y 140 CE en cuanto al principio de autonomía local, 156.1 CE en relación con la autonomía financiera de las comunidades autónomas, el derecho de propiedad del art. 33 CE, como finalmente el derecho a la tutela judicial efectiva (art. 24.1 CE)—.</w:t>
      </w:r>
    </w:p>
    <w:p w14:paraId="42997D8E" w14:textId="77777777" w:rsidR="00A8138F" w:rsidRDefault="00A8138F" w:rsidP="00A8138F">
      <w:pPr>
        <w:pStyle w:val="TextoNormal"/>
      </w:pPr>
    </w:p>
    <w:p w14:paraId="589D38A3" w14:textId="64C279F3" w:rsidR="00A8138F" w:rsidRDefault="00A8138F" w:rsidP="00A8138F">
      <w:pPr>
        <w:pStyle w:val="TextoNormal"/>
      </w:pPr>
      <w:r>
        <w:t>La Abogacía del Estado interesa la desestimación íntegra del recurso de acuerdo con las alegaciones que han sido recogidas en los antecedentes de esta sentencia.</w:t>
      </w:r>
    </w:p>
    <w:p w14:paraId="47F1AD92" w14:textId="77777777" w:rsidR="00A8138F" w:rsidRDefault="00A8138F" w:rsidP="00A8138F">
      <w:pPr>
        <w:pStyle w:val="TextoNormal"/>
      </w:pPr>
    </w:p>
    <w:p w14:paraId="4DA70844" w14:textId="77777777" w:rsidR="00A8138F" w:rsidRDefault="00A8138F" w:rsidP="00A8138F">
      <w:pPr>
        <w:pStyle w:val="TextoNormal"/>
      </w:pPr>
      <w:r w:rsidRPr="00A8138F">
        <w:rPr>
          <w:rStyle w:val="NumeroAFNegritaCaracter"/>
        </w:rPr>
        <w:t>2</w:t>
      </w:r>
      <w:r>
        <w:t xml:space="preserve">. </w:t>
      </w:r>
      <w:r w:rsidRPr="00A8138F">
        <w:rPr>
          <w:i/>
        </w:rPr>
        <w:t>Consideraciones previas</w:t>
      </w:r>
    </w:p>
    <w:p w14:paraId="20E99A93" w14:textId="77777777" w:rsidR="00A8138F" w:rsidRDefault="00A8138F" w:rsidP="00A8138F">
      <w:pPr>
        <w:pStyle w:val="TextoNormal"/>
      </w:pPr>
    </w:p>
    <w:p w14:paraId="52CBE22D" w14:textId="77777777" w:rsidR="00A8138F" w:rsidRDefault="00A8138F" w:rsidP="00A8138F">
      <w:pPr>
        <w:pStyle w:val="TextoNormal"/>
      </w:pPr>
      <w:r>
        <w:t xml:space="preserve">A) </w:t>
      </w:r>
      <w:r w:rsidRPr="00A8138F">
        <w:rPr>
          <w:i/>
        </w:rPr>
        <w:t>Delimitación del objeto del recurso</w:t>
      </w:r>
    </w:p>
    <w:p w14:paraId="016E3911" w14:textId="77777777" w:rsidR="00A8138F" w:rsidRDefault="00A8138F" w:rsidP="00A8138F">
      <w:pPr>
        <w:pStyle w:val="TextoNormal"/>
      </w:pPr>
    </w:p>
    <w:p w14:paraId="29EFF383" w14:textId="77777777" w:rsidR="00A8138F" w:rsidRDefault="00A8138F" w:rsidP="00A8138F">
      <w:pPr>
        <w:pStyle w:val="TextoNormal"/>
      </w:pPr>
      <w:r>
        <w:t>La Ley 12/2023 ha sido ya objeto de examen por este tribunal en la STC 79/2024, de 21 de mayo, resolutoria del recurso de inconstitucionalidad núm. 5491-2023 interpuesto por el Consejo de Gobierno de la Junta de Andalucía. Al igual que hicimos constar entonces [FJ 2 A)], desde su aprobación, la Ley 12/2023 solo ha sufrido modificaciones en su disposición transitoria tercera, que en nada afectan tampoco al objeto de este recurso.</w:t>
      </w:r>
    </w:p>
    <w:p w14:paraId="25585168" w14:textId="77777777" w:rsidR="00A8138F" w:rsidRDefault="00A8138F" w:rsidP="00A8138F">
      <w:pPr>
        <w:pStyle w:val="TextoNormal"/>
      </w:pPr>
    </w:p>
    <w:p w14:paraId="1130FA36" w14:textId="77777777" w:rsidR="00A8138F" w:rsidRDefault="00A8138F" w:rsidP="00A8138F">
      <w:pPr>
        <w:pStyle w:val="TextoNormal"/>
      </w:pPr>
      <w:r>
        <w:t>En la medida en que gran parte de los preceptos impugnados en ambos recursos son coincidentes, hemos de determinar, con carácter preliminar, la incidencia que la citada STC 79/2024 tiene en el objeto del presente recurso de inconstitucionalidad:</w:t>
      </w:r>
    </w:p>
    <w:p w14:paraId="368CCA78" w14:textId="77777777" w:rsidR="00A8138F" w:rsidRDefault="00A8138F" w:rsidP="00A8138F">
      <w:pPr>
        <w:pStyle w:val="TextoNormal"/>
      </w:pPr>
    </w:p>
    <w:p w14:paraId="2CBA8C5E" w14:textId="77777777" w:rsidR="00A8138F" w:rsidRDefault="00A8138F" w:rsidP="00A8138F">
      <w:pPr>
        <w:pStyle w:val="TextoNormal"/>
      </w:pPr>
      <w:r>
        <w:t>a) El presente recurso impugna artículos y previsiones que ya han sido declarados inconstitucionales y nulos por la STC 79/2024. Así ocurre con los arts. 16; 27.1, tercer párrafo, y 27.3 de la Ley 12/2023. De acuerdo con la doctrina constitucional [por todas, STC 107/2017, de 21 de septiembre, FJ 2 a), y las allí citadas], la expulsión del ordenamiento jurídico de estos artículos y/o previsiones determina la pérdida sobrevenida de objeto de las impugnaciones correspondientes. En consecuencia, no serán en esta sentencia objeto de análisis las quejas atinentes a los arts. 16.1 d) al haberse declarado inconstitucional y nulo la totalidad del art. 16; 27.1 en la medida en que el cuestionamiento que efectúan aquí los recurrentes se centra exclusivamente en el párrafo tercero que fue declarado inconstitucional y nulo, y 27.3 de la Ley 12/2023, también anulado.</w:t>
      </w:r>
    </w:p>
    <w:p w14:paraId="3D0A9473" w14:textId="77777777" w:rsidR="00A8138F" w:rsidRDefault="00A8138F" w:rsidP="00A8138F">
      <w:pPr>
        <w:pStyle w:val="TextoNormal"/>
      </w:pPr>
    </w:p>
    <w:p w14:paraId="132E6510" w14:textId="77777777" w:rsidR="00A8138F" w:rsidRDefault="00A8138F" w:rsidP="00A8138F">
      <w:pPr>
        <w:pStyle w:val="TextoNormal"/>
      </w:pPr>
      <w:r>
        <w:lastRenderedPageBreak/>
        <w:t>b) Asimismo, se plantean también quejas coincidentes en relación con artículos o incisos de estos cuya declaración de inconstitucionalidad no fue acogida por este tribunal en la STC 79/2024, desestimándose la impugnación correspondiente relativa al exceso competencial en que, a juicio de la comunidad autónoma recurrente, incurría el Estado por indebido uso del art. 149.1.1 y 13 CE. Es el caso de los arts.: 15.1 e); 18 apartados 2 a 4; 28; 29, y la disposición adicional tercera de la Ley 12/2023. En estos casos, la doctrina allí establecida (FFJJ 3 a 9) es igualmente aplicable al presente recurso, por lo que de conformidad con la misma se han de entender desestimadas por remisión las tachas de inconstitucionalidad formuladas aquí contra los arts. 15.1 e); 18.2, 18.3, 18.4; 28.1 b), c) y d); 29.2 y la disposición adicional tercera de la Ley 12/2023.</w:t>
      </w:r>
    </w:p>
    <w:p w14:paraId="5C10FEF8" w14:textId="77777777" w:rsidR="00A8138F" w:rsidRDefault="00A8138F" w:rsidP="00A8138F">
      <w:pPr>
        <w:pStyle w:val="TextoNormal"/>
      </w:pPr>
    </w:p>
    <w:p w14:paraId="24698178" w14:textId="77777777" w:rsidR="00A8138F" w:rsidRDefault="00A8138F" w:rsidP="00A8138F">
      <w:pPr>
        <w:pStyle w:val="TextoNormal"/>
      </w:pPr>
      <w:r>
        <w:t>c) Consideración especial merece la disposición final cuarta de la Ley 12/2023, que la demanda dice también impugnar y cuya inconstitucionalidad por razones competenciales fue descartada en la STC 79/2024, FJ 7 B) c). Ello porque en realidad los recurrentes no han dirigido cuestionamiento singularizado contra la misma, ni de índole competencial ni material. En efecto, la demanda únicamente hace referencia a ella a la hora de argumentar la queja dirigida contra el art. 15.1 de la Ley 12/2023 en sus letras c) y d) por el hecho de que ambas aluden al art. 20.1 b) TRLSRU, modificado, a su vez, por la referida disposición final cuarta, pero nada se cuestiona sobre esta disposición sino solo sobre el mencionado art. 15.1 c) y d). Así las cosas, no existiendo una argumentación mínima que permita sustentar un razonamiento específico relativo a una aparente queja dirigida contra aquella, no entraremos en el examen de esta concreta impugnación, que realmente no es tal.</w:t>
      </w:r>
    </w:p>
    <w:p w14:paraId="427DE3F2" w14:textId="77777777" w:rsidR="00A8138F" w:rsidRDefault="00A8138F" w:rsidP="00A8138F">
      <w:pPr>
        <w:pStyle w:val="TextoNormal"/>
      </w:pPr>
    </w:p>
    <w:p w14:paraId="63CE9F74" w14:textId="77777777" w:rsidR="00A8138F" w:rsidRDefault="00A8138F" w:rsidP="00A8138F">
      <w:pPr>
        <w:pStyle w:val="TextoNormal"/>
      </w:pPr>
      <w:r>
        <w:t>Ciertamente, es doctrina de este tribunal que “‘cuando lo que está en juego es la depuración del ordenamiento jurídico, es carga de los recurrentes no solo la de abrir la vía para que el Tribunal pueda pronunciase,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o dicho de otro modo ‘que la presunción de constitucionalidad de normas con rango de ley no puede desvirtuarse sin un mínimo de argumentación y no caben impugnaciones globales y carentes de una razón suficientemente desarrollada’ (entre las más recientes, STC 82/2020, de 15 de julio, con cita de otras)” [STC 16/2021, de 28 de enero, FJ 5 b)].</w:t>
      </w:r>
    </w:p>
    <w:p w14:paraId="7CF23334" w14:textId="77777777" w:rsidR="00A8138F" w:rsidRDefault="00A8138F" w:rsidP="00A8138F">
      <w:pPr>
        <w:pStyle w:val="TextoNormal"/>
      </w:pPr>
    </w:p>
    <w:p w14:paraId="5FD09075" w14:textId="77777777" w:rsidR="00A8138F" w:rsidRDefault="00A8138F" w:rsidP="00A8138F">
      <w:pPr>
        <w:pStyle w:val="TextoNormal"/>
      </w:pPr>
      <w:r>
        <w:t>d) Finalmente, existen artículos de la Ley 12/2023 que, o bien no fueron objeto de impugnación en el recurso núm. 5491-2023 —como ocurre con los arts. 15.1 b), c) y d); 31.1, 31.2; la disposición final quinta apartado 2 y la disposición final quinta apartado 6—, o bien lo fueron pero en atención a una posible causa de inconstitucionalidad distinta a la ahora planteada, que es el caso de la disposición final primera apartado 3, que en la STC 79/2024, FJ 9, fue examinada desde una óptica competencial, en tanto que lo que se plantea en el presente recurso es su posible inconstitucionalidad desde una perspectiva sustantiva por vulnerar el derecho de propiedad reconocido en el art. 33 CE.</w:t>
      </w:r>
    </w:p>
    <w:p w14:paraId="1DE2FE95" w14:textId="77777777" w:rsidR="00A8138F" w:rsidRDefault="00A8138F" w:rsidP="00A8138F">
      <w:pPr>
        <w:pStyle w:val="TextoNormal"/>
      </w:pPr>
    </w:p>
    <w:p w14:paraId="39731BCD" w14:textId="77777777" w:rsidR="00A8138F" w:rsidRDefault="00A8138F" w:rsidP="00A8138F">
      <w:pPr>
        <w:pStyle w:val="TextoNormal"/>
      </w:pPr>
      <w:r>
        <w:t>B</w:t>
      </w:r>
      <w:r w:rsidRPr="00A8138F">
        <w:rPr>
          <w:i/>
        </w:rPr>
        <w:t>) Orden de exam</w:t>
      </w:r>
      <w:r>
        <w:t>en</w:t>
      </w:r>
    </w:p>
    <w:p w14:paraId="293C1607" w14:textId="77777777" w:rsidR="00A8138F" w:rsidRDefault="00A8138F" w:rsidP="00A8138F">
      <w:pPr>
        <w:pStyle w:val="TextoNormal"/>
      </w:pPr>
    </w:p>
    <w:p w14:paraId="038352BE" w14:textId="77777777" w:rsidR="00A8138F" w:rsidRDefault="00A8138F" w:rsidP="00A8138F">
      <w:pPr>
        <w:pStyle w:val="TextoNormal"/>
      </w:pPr>
      <w:r>
        <w:t xml:space="preserve">Correspondiendo a este tribunal fijar, en función de las circunstancias concurrentes en cada supuesto sometido a su consideración, el orden del examen de las quejas planteadas </w:t>
      </w:r>
      <w:r>
        <w:lastRenderedPageBreak/>
        <w:t>[STC 183/2021, de 27 de octubre, FJ 2 C)], de conformidad con las delimitaciones efectuadas en los apartados anteriores del presente fundamento jurídico, el enjuiciamiento de constitucionalidad a realizar en la presente sentencia se limitará a los preceptos de la Ley 12/2023 y motivos impugnatorios siguientes, y por el orden que pasamos a exponer:</w:t>
      </w:r>
    </w:p>
    <w:p w14:paraId="76B2FBA8" w14:textId="77777777" w:rsidR="00A8138F" w:rsidRDefault="00A8138F" w:rsidP="00A8138F">
      <w:pPr>
        <w:pStyle w:val="TextoNormal"/>
      </w:pPr>
    </w:p>
    <w:p w14:paraId="33671CF0" w14:textId="77777777" w:rsidR="00A8138F" w:rsidRDefault="00A8138F" w:rsidP="00A8138F">
      <w:pPr>
        <w:pStyle w:val="TextoNormal"/>
      </w:pPr>
      <w:r>
        <w:t>a) Art. 15.1 b), c) y d), por posible exceso en el ejercicio de las competencias estatales previstas en el art. 149.1.1 y 13 CE —competencia exclusiva del Estado sobre la regulación de las condiciones básicas que garanticen la igualdad de todos los españoles en el ejercicio de los derechos y en el cumplimiento de los deberes constitucionales, y sobre las bases y coordinación de la planificación de la actividad económica, respectivamente—.</w:t>
      </w:r>
    </w:p>
    <w:p w14:paraId="1A6547BC" w14:textId="77777777" w:rsidR="00A8138F" w:rsidRDefault="00A8138F" w:rsidP="00A8138F">
      <w:pPr>
        <w:pStyle w:val="TextoNormal"/>
      </w:pPr>
    </w:p>
    <w:p w14:paraId="002A54F1" w14:textId="77777777" w:rsidR="00A8138F" w:rsidRDefault="00A8138F" w:rsidP="00A8138F">
      <w:pPr>
        <w:pStyle w:val="TextoNormal"/>
      </w:pPr>
      <w:r>
        <w:t>Planteándose también la posible inconstitucionalidad del art. 15.1 c) por infracción del principio de autonomía local (arts. 137 y 140 CE), esta queja será examinada, en su caso, con carácter subsidiario, de modo que no será necesario su abordamiento si se estimase la queja principal.</w:t>
      </w:r>
    </w:p>
    <w:p w14:paraId="46D66D50" w14:textId="77777777" w:rsidR="00A8138F" w:rsidRDefault="00A8138F" w:rsidP="00A8138F">
      <w:pPr>
        <w:pStyle w:val="TextoNormal"/>
      </w:pPr>
    </w:p>
    <w:p w14:paraId="7230CAD0" w14:textId="77777777" w:rsidR="00A8138F" w:rsidRDefault="00A8138F" w:rsidP="00A8138F">
      <w:pPr>
        <w:pStyle w:val="TextoNormal"/>
      </w:pPr>
      <w:r>
        <w:t>b) Art. 31.1 y 31.2, por posible extralimitación en el uso del art. 149.1.8 CE —competencia exclusiva estatal sobre legislación civil, sin perjuicio de la conservación, modificación y desarrollo por las comunidades autónomas de los derechos civiles, forales o especiales, allí donde existan, y en todo caso, sobre las bases de las obligaciones contractuales—.</w:t>
      </w:r>
    </w:p>
    <w:p w14:paraId="6CDD2061" w14:textId="77777777" w:rsidR="00A8138F" w:rsidRDefault="00A8138F" w:rsidP="00A8138F">
      <w:pPr>
        <w:pStyle w:val="TextoNormal"/>
      </w:pPr>
    </w:p>
    <w:p w14:paraId="2037B953" w14:textId="77777777" w:rsidR="00A8138F" w:rsidRDefault="00A8138F" w:rsidP="00A8138F">
      <w:pPr>
        <w:pStyle w:val="TextoNormal"/>
      </w:pPr>
      <w:r>
        <w:t>c) Disposición final primera apartado 3, por la invocada lesión del derecho de propiedad (art. 33 CE).</w:t>
      </w:r>
    </w:p>
    <w:p w14:paraId="29B331C7" w14:textId="77777777" w:rsidR="00A8138F" w:rsidRDefault="00A8138F" w:rsidP="00A8138F">
      <w:pPr>
        <w:pStyle w:val="TextoNormal"/>
      </w:pPr>
    </w:p>
    <w:p w14:paraId="1D9C70FD" w14:textId="62195726" w:rsidR="00A8138F" w:rsidRDefault="00A8138F" w:rsidP="00A8138F">
      <w:pPr>
        <w:pStyle w:val="TextoNormal"/>
      </w:pPr>
      <w:r>
        <w:t>d) Disposición final quinta apartados 2 y 6, por la alegada vulneración del derecho a la tutela judicial efectiva (art. 24.1 CE) en sus vertientes de acceso al proceso y a la ejecución de resoluciones judiciales firmes.</w:t>
      </w:r>
    </w:p>
    <w:p w14:paraId="59253143" w14:textId="77777777" w:rsidR="00A8138F" w:rsidRDefault="00A8138F" w:rsidP="00A8138F">
      <w:pPr>
        <w:pStyle w:val="TextoNormal"/>
      </w:pPr>
    </w:p>
    <w:p w14:paraId="5E1AD2D7" w14:textId="77777777" w:rsidR="00A8138F" w:rsidRDefault="00A8138F" w:rsidP="00A8138F">
      <w:pPr>
        <w:pStyle w:val="TextoNormal"/>
      </w:pPr>
      <w:r w:rsidRPr="00A8138F">
        <w:rPr>
          <w:rStyle w:val="NumeroAFNegritaCaracter"/>
        </w:rPr>
        <w:t>3</w:t>
      </w:r>
      <w:r>
        <w:t xml:space="preserve">. . </w:t>
      </w:r>
      <w:r w:rsidRPr="00A8138F">
        <w:rPr>
          <w:i/>
        </w:rPr>
        <w:t>Sobre el alegado exceso en el ejercicio de las competencias estatales previstas en el art. 149.1.1 y 13 CE</w:t>
      </w:r>
    </w:p>
    <w:p w14:paraId="0D11B7D8" w14:textId="77777777" w:rsidR="00A8138F" w:rsidRDefault="00A8138F" w:rsidP="00A8138F">
      <w:pPr>
        <w:pStyle w:val="TextoNormal"/>
      </w:pPr>
    </w:p>
    <w:p w14:paraId="0A117D7D" w14:textId="77777777" w:rsidR="00A8138F" w:rsidRDefault="00A8138F" w:rsidP="00A8138F">
      <w:pPr>
        <w:pStyle w:val="TextoNormal"/>
      </w:pPr>
      <w:r>
        <w:t xml:space="preserve">A) </w:t>
      </w:r>
      <w:r w:rsidRPr="00A8138F">
        <w:rPr>
          <w:i/>
        </w:rPr>
        <w:t>Objeto y posiciones de las partes</w:t>
      </w:r>
    </w:p>
    <w:p w14:paraId="3339F96A" w14:textId="77777777" w:rsidR="00A8138F" w:rsidRDefault="00A8138F" w:rsidP="00A8138F">
      <w:pPr>
        <w:pStyle w:val="TextoNormal"/>
      </w:pPr>
    </w:p>
    <w:p w14:paraId="78420C67" w14:textId="77777777" w:rsidR="00A8138F" w:rsidRDefault="00A8138F" w:rsidP="00A8138F">
      <w:pPr>
        <w:pStyle w:val="TextoNormal"/>
      </w:pPr>
      <w:r>
        <w:t>a) La primera impugnación a analizar es la que afecta al art. 15.1 en sus letras b), c) y d). Este precepto, ubicado en el título II de la Ley 12/2023 “Acción de los poderes públicos en materia de vivienda” y en su capítulo I “Principios generales de la actuación pública en materia de vivienda”, tiene el contenido siguiente:</w:t>
      </w:r>
    </w:p>
    <w:p w14:paraId="4FBE83AD" w14:textId="77777777" w:rsidR="00A8138F" w:rsidRDefault="00A8138F" w:rsidP="00A8138F">
      <w:pPr>
        <w:pStyle w:val="TextoNormal"/>
      </w:pPr>
    </w:p>
    <w:p w14:paraId="11C80880" w14:textId="77777777" w:rsidR="00A8138F" w:rsidRDefault="00A8138F" w:rsidP="00A8138F">
      <w:pPr>
        <w:pStyle w:val="TextoNormal"/>
      </w:pPr>
      <w:r>
        <w:t>“Artículo 15. Derecho de acceso a la vivienda y ordenación territorial y urbanística</w:t>
      </w:r>
    </w:p>
    <w:p w14:paraId="4B62E1AB" w14:textId="77777777" w:rsidR="00A8138F" w:rsidRDefault="00A8138F" w:rsidP="00A8138F">
      <w:pPr>
        <w:pStyle w:val="TextoNormal"/>
      </w:pPr>
    </w:p>
    <w:p w14:paraId="07938C3D" w14:textId="77777777" w:rsidR="00A8138F" w:rsidRDefault="00A8138F" w:rsidP="00A8138F">
      <w:pPr>
        <w:pStyle w:val="TextoNormal"/>
      </w:pPr>
      <w:r>
        <w:t>1. 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w:t>
      </w:r>
    </w:p>
    <w:p w14:paraId="07A8C991" w14:textId="77777777" w:rsidR="00A8138F" w:rsidRDefault="00A8138F" w:rsidP="00A8138F">
      <w:pPr>
        <w:pStyle w:val="TextoNormal"/>
      </w:pPr>
    </w:p>
    <w:p w14:paraId="2C7CB231" w14:textId="77777777" w:rsidR="00A8138F" w:rsidRDefault="00A8138F" w:rsidP="00A8138F">
      <w:pPr>
        <w:pStyle w:val="TextoNormal"/>
      </w:pPr>
      <w:r>
        <w:t>[…]</w:t>
      </w:r>
    </w:p>
    <w:p w14:paraId="3961134A" w14:textId="77777777" w:rsidR="00A8138F" w:rsidRDefault="00A8138F" w:rsidP="00A8138F">
      <w:pPr>
        <w:pStyle w:val="TextoNormal"/>
      </w:pPr>
    </w:p>
    <w:p w14:paraId="71099630" w14:textId="77777777" w:rsidR="00A8138F" w:rsidRDefault="00A8138F" w:rsidP="00A8138F">
      <w:pPr>
        <w:pStyle w:val="TextoNormal"/>
      </w:pPr>
      <w:r>
        <w:lastRenderedPageBreak/>
        <w:t>b) Con la finalidad de adaptar la vivienda a la demanda y facilitar el acceso a una vivienda digna y adecuada, la ordenación territorial y urbanística promoverá la aplicación de tipologías edificatorias y de modalidades de viviendas y alojamientos que se adapten a las diferentes formas de convivencia, habitación y a las exigencias del ciclo de vida de los hogares, atendiendo, en su caso, a la casuística del medio rural. Estas actuaciones podrán ser tanto de transformación urbanística como edificatorias, de acuerdo con el artículo 7 del texto refundido de la Ley de suelo y rehabilitación urbana, aprobado por Real Decreto Legislativo 7/2015, de 30 de octubre.</w:t>
      </w:r>
    </w:p>
    <w:p w14:paraId="2F1FD716" w14:textId="77777777" w:rsidR="00A8138F" w:rsidRDefault="00A8138F" w:rsidP="00A8138F">
      <w:pPr>
        <w:pStyle w:val="TextoNormal"/>
      </w:pPr>
    </w:p>
    <w:p w14:paraId="30699A8B" w14:textId="77777777" w:rsidR="00A8138F" w:rsidRDefault="00A8138F" w:rsidP="00A8138F">
      <w:pPr>
        <w:pStyle w:val="TextoNormal"/>
      </w:pPr>
      <w:r>
        <w:t>c) La calificación de un suelo como de reserva para vivienda sujeta a un régimen de protección pública, a que se refiere la letra b) del apartado 1 del artículo 20, del texto refundido de la Ley de suelo y rehabilitación urbana, aprobado por Real Decreto Legislativo 7/2015, de 30 de octubre, no podrá modificarse, salvo en los casos excepcionales en los que el instrumento de ordenación urbanística justifique la innecesariedad de este tipo de viviendas o la imposibilidad sobrevenida de dicho destino, con independencia de que puedan modificarse las condiciones o características de la vivienda protegida para atender a la demanda y necesidades del ámbito territorial.</w:t>
      </w:r>
    </w:p>
    <w:p w14:paraId="544A65FC" w14:textId="77777777" w:rsidR="00A8138F" w:rsidRDefault="00A8138F" w:rsidP="00A8138F">
      <w:pPr>
        <w:pStyle w:val="TextoNormal"/>
      </w:pPr>
    </w:p>
    <w:p w14:paraId="40BB0D0C" w14:textId="77777777" w:rsidR="00A8138F" w:rsidRDefault="00A8138F" w:rsidP="00A8138F">
      <w:pPr>
        <w:pStyle w:val="TextoNormal"/>
      </w:pPr>
      <w:r>
        <w:t>d) La legislación sobre ordenación territorial o urbanística establecerá, para el suelo de reserva para vivienda sujeta a algún régimen de protección pública, recogido en la letra b) del apartado 1 del artículo 20, del texto refundido de la Ley de suelo y rehabilitación urbana, aprobado por Real Decreto Legislativo 7/2015, de 30 de octubre, el porcentaje que deberá ser destinado a vivienda sujeta a algún régimen de protección pública de alquiler. Este porcentaje no podrá ser inferior al 50 por 100, salvo en casos excepcionales en los que el instrumento de ordenación urbanística lo justifique, atendiendo a las características de las personas demandantes de vivienda u otras circunstancias de la realidad económica y social”.</w:t>
      </w:r>
    </w:p>
    <w:p w14:paraId="3A0DFE5F" w14:textId="77777777" w:rsidR="00A8138F" w:rsidRDefault="00A8138F" w:rsidP="00A8138F">
      <w:pPr>
        <w:pStyle w:val="TextoNormal"/>
      </w:pPr>
    </w:p>
    <w:p w14:paraId="741C310F" w14:textId="77777777" w:rsidR="00A8138F" w:rsidRDefault="00A8138F" w:rsidP="00A8138F">
      <w:pPr>
        <w:pStyle w:val="TextoNormal"/>
      </w:pPr>
      <w:r>
        <w:t>b) Los recurrentes fundan la impugnación de este precepto —en las letras indicadas— en la consideración de que la regulación contenida excede de las competencias exclusivas del Estado para la regulación de las condiciones básicas que garanticen la igualdad de todos los españoles en el ejercicio de los derechos y en el cumplimiento de los deberes constitucionales (art. 149.1.1 CE) y sobre las bases y coordinación de la planificación general de la actividad económica (art. 149.1.13 CE), invadiendo las competencias autonómicas en materia de ordenación del territorio, urbanismo y vivienda (art. 148.1.3 CE): al instar, en el caso de la letra b), la promoción de una determinada tipología edificatoria con afectación directa al modelo de ordenación territorial y urbanística que cada comunidad autónoma, en uso de sus competencias, quiera diseñar; al eliminar, en el caso de la letra c), cualquier margen de actuación de las comunidades autónomas sobre las reservas de suelo ya efectuadas para vivienda sujeta a un régimen de protección pública, impidiéndoles la modificación de dicha calificación; y al obligar, en el caso de la letra d), a las comunidades autónomas a destinar un porcentaje significativo de suelo al régimen de protección pública, concretamente, de alquiler, a pesar de no ser este el único régimen posible de protección pública de la vivienda, imponiendo, pues, un modelo concreto que agota las opciones de desarrollo normativo de las comunidades autónomas.</w:t>
      </w:r>
    </w:p>
    <w:p w14:paraId="3D676842" w14:textId="77777777" w:rsidR="00A8138F" w:rsidRDefault="00A8138F" w:rsidP="00A8138F">
      <w:pPr>
        <w:pStyle w:val="TextoNormal"/>
      </w:pPr>
    </w:p>
    <w:p w14:paraId="72EAABD3" w14:textId="77777777" w:rsidR="00A8138F" w:rsidRDefault="00A8138F" w:rsidP="00A8138F">
      <w:pPr>
        <w:pStyle w:val="TextoNormal"/>
      </w:pPr>
      <w:r>
        <w:t xml:space="preserve">c) El abogado del Estado rechaza los vicios de inconstitucionalidad alegados, defendiendo que la regulación cuestionada resulta amparada en el art. 149.1.1 y/o 13 CE. A tal efecto, señala que estamos ante directrices básicas que, en lo que hace a la letra b) tienen </w:t>
      </w:r>
      <w:r>
        <w:lastRenderedPageBreak/>
        <w:t>una finalidad meramente orientadora y de coordinación de la planificación en materia de vivienda en todo el territorio nacional. La previsión contenida en la letra c), por su parte, no agota el ámbito de actuación autonómico al permitir a las comunidades autónomas modificar la calificación de reserva que impone si se justifica su innecesariedad o imposibilidad sobrevenida. En relación con la letra d), invoca la STC 141/2014, argumentando que dicha sentencia valida la fijación de porcentajes en la legislación básica en el marco de la planificación general económica y que se corresponde con las necesidades de la sociedad española, tal como describe el preámbulo de la Ley 12/2023.</w:t>
      </w:r>
    </w:p>
    <w:p w14:paraId="299E2900" w14:textId="77777777" w:rsidR="00A8138F" w:rsidRDefault="00A8138F" w:rsidP="00A8138F">
      <w:pPr>
        <w:pStyle w:val="TextoNormal"/>
      </w:pPr>
    </w:p>
    <w:p w14:paraId="5B7EDDF2" w14:textId="77777777" w:rsidR="00A8138F" w:rsidRDefault="00A8138F" w:rsidP="00A8138F">
      <w:pPr>
        <w:pStyle w:val="TextoNormal"/>
      </w:pPr>
      <w:r>
        <w:t>B</w:t>
      </w:r>
      <w:r w:rsidRPr="00A8138F">
        <w:rPr>
          <w:i/>
        </w:rPr>
        <w:t>) Enjuiciamien</w:t>
      </w:r>
      <w:r>
        <w:t>to</w:t>
      </w:r>
    </w:p>
    <w:p w14:paraId="2B05156A" w14:textId="77777777" w:rsidR="00A8138F" w:rsidRDefault="00A8138F" w:rsidP="00A8138F">
      <w:pPr>
        <w:pStyle w:val="TextoNormal"/>
      </w:pPr>
    </w:p>
    <w:p w14:paraId="3FF825B5" w14:textId="77777777" w:rsidR="00A8138F" w:rsidRDefault="00A8138F" w:rsidP="00A8138F">
      <w:pPr>
        <w:pStyle w:val="TextoNormal"/>
      </w:pPr>
      <w:r>
        <w:t>a) El art. 15.1 b) de la Ley 12/2023 contiene una regla dirigida a las comunidades autónomas y a las entidades locales para que en el ejercicio de sus funciones promuevan “la aplicación de tipologías edificatorias y de modalidades de viviendas y alojamientos que se adapten a las diferentes formas de convivencia, habitación y a las exigencias del ciclo de vida de los hogares”, ello con la finalidad de “adaptar la vivienda a la demanda y facilitar el acceso a una vivienda digna y adecuada”, con atención “en su caso, a la casuística del medio rural”. Esto se corresponde con uno de los objetivos que persigue la Ley 12/2023, enunciado en su preámbulo, cual es el de “[f]avorecer el desarrollo de tipologías de vivienda adecuadas a las diferentes formas de convivencia y de habitación, favoreciendo la adaptación a las dinámicas y actuales exigencias de los hogares”.</w:t>
      </w:r>
    </w:p>
    <w:p w14:paraId="6CB45E32" w14:textId="77777777" w:rsidR="00A8138F" w:rsidRDefault="00A8138F" w:rsidP="00A8138F">
      <w:pPr>
        <w:pStyle w:val="TextoNormal"/>
      </w:pPr>
    </w:p>
    <w:p w14:paraId="72DE9341" w14:textId="77777777" w:rsidR="00A8138F" w:rsidRDefault="00A8138F" w:rsidP="00A8138F">
      <w:pPr>
        <w:pStyle w:val="TextoNormal"/>
      </w:pPr>
      <w:r>
        <w:t>La doctrina constitucional sobre la proyección que sobre la competencia exclusiva de las comunidades autónomas en materia de vivienda tienen los títulos competenciales del Estado, cuyo adecuado uso aquí se cuestiona, fue expuesta en el fundamento jurídico 3 B) de la STC 79/2024. Basta remitirse a lo allí sentado, en particular ahora respecto a la competencia exclusiva estatal para la regulación de las condiciones básicas que garanticen la igualdad de todos los españoles en el ejercicio de los derechos y en el cumplimiento de los deberes constitucionales [FJ 3 B) a)], para concluir que la norma cuestionada es una directriz o medida dirigida, teleológicamente, al condicionamiento del ejercicio de las competencias sobre ordenación del territorio y urbanismo, con la finalidad de garantizar la igualdad en el acceso a la vivienda, mediante, en este caso, el impulso o fomento de tipos o categorías de edificios, viviendas y alojamientos que garanticen una diversidad de oferta capaz de cubrir la diversidad de la demanda de vivienda en todo el territorio nacional. Además, en los términos amplios en que se describen, no permite concluir que impida —aunque sí condicione a los efectos pretendidos—, que cada comunidad autónoma pueda conformar un modelo urbanístico propio a la hora de ejercer su función de hacer ciudad, en atención a las concretas características de cada territorio.</w:t>
      </w:r>
    </w:p>
    <w:p w14:paraId="0215DFA4" w14:textId="77777777" w:rsidR="00A8138F" w:rsidRDefault="00A8138F" w:rsidP="00A8138F">
      <w:pPr>
        <w:pStyle w:val="TextoNormal"/>
      </w:pPr>
    </w:p>
    <w:p w14:paraId="472BDA3A" w14:textId="77777777" w:rsidR="00A8138F" w:rsidRDefault="00A8138F" w:rsidP="00A8138F">
      <w:pPr>
        <w:pStyle w:val="TextoNormal"/>
      </w:pPr>
      <w:r>
        <w:t>En consecuencia, la letra b) del art. 15.1 de la Ley 12/2023 encuentra acomodo en el art. 149.1.1 CE, por lo que no cabe acoger la tacha de inconstitucionalidad sostenida por los recurrentes.</w:t>
      </w:r>
    </w:p>
    <w:p w14:paraId="0BC5297C" w14:textId="77777777" w:rsidR="00A8138F" w:rsidRDefault="00A8138F" w:rsidP="00A8138F">
      <w:pPr>
        <w:pStyle w:val="TextoNormal"/>
      </w:pPr>
    </w:p>
    <w:p w14:paraId="07BE1F7E" w14:textId="77777777" w:rsidR="00A8138F" w:rsidRDefault="00A8138F" w:rsidP="00A8138F">
      <w:pPr>
        <w:pStyle w:val="TextoNormal"/>
      </w:pPr>
      <w:r>
        <w:t>b) El art. 15.1 c) de la Ley 12/2023 impone a las administraciones públicas competentes en materia de ordenación territorial y urbanística que, como regla general salvable en ciertos casos excepcionales, la reserva de suelo que hayan efectuado en virtud del art. 20.1 b) TRLSRU, como suelo destinado a vivienda sujeta a un régimen de protección pública, no pueda ser objeto de modificación.</w:t>
      </w:r>
    </w:p>
    <w:p w14:paraId="3A9FC0DA" w14:textId="77777777" w:rsidR="00A8138F" w:rsidRDefault="00A8138F" w:rsidP="00A8138F">
      <w:pPr>
        <w:pStyle w:val="TextoNormal"/>
      </w:pPr>
    </w:p>
    <w:p w14:paraId="5585F920" w14:textId="77777777" w:rsidR="00A8138F" w:rsidRDefault="00A8138F" w:rsidP="00A8138F">
      <w:pPr>
        <w:pStyle w:val="TextoNormal"/>
      </w:pPr>
      <w:r>
        <w:t>(i) Pronunciarse sobre la constitucionalidad del precepto requiere previamente definir su sentido, pues combina dos planos diferentes: un suelo concreto como espacio físico delimitado y con una determinada calificación —reserva para vivienda sujeta a protección pública—, y el ámbito territorial, obviamente más amplio, del instrumento de ordenación urbanística donde aquel se engloba. Solo en función de lo que este último disponga puede decaer la prohibición de recalificar el suelo concreto.</w:t>
      </w:r>
    </w:p>
    <w:p w14:paraId="67C59979" w14:textId="77777777" w:rsidR="00A8138F" w:rsidRDefault="00A8138F" w:rsidP="00A8138F">
      <w:pPr>
        <w:pStyle w:val="TextoNormal"/>
      </w:pPr>
    </w:p>
    <w:p w14:paraId="2256B37A" w14:textId="77777777" w:rsidR="00A8138F" w:rsidRDefault="00A8138F" w:rsidP="00A8138F">
      <w:pPr>
        <w:pStyle w:val="TextoNormal"/>
      </w:pPr>
      <w:r>
        <w:t xml:space="preserve">Es evidente que la variación de la calificación de un suelo para vivienda con protección solo puede cambiar a otra que no sea tal y, por lo tanto, la medida busca evitar una modificación </w:t>
      </w:r>
      <w:r w:rsidRPr="00A8138F">
        <w:rPr>
          <w:i/>
        </w:rPr>
        <w:t>in peius</w:t>
      </w:r>
      <w:r>
        <w:t xml:space="preserve"> de este tipo de reservas de suelo. También es claro que las excepciones a la regla general se mueven en aquel mismo doble plano, al hacerse depender bien de eventualidades fácticas relativas al suelo concreto (imposibilidad sobrevenida del destino), bien de las circunstancias existentes en el ámbito del instrumento de ordenación, que pudieran hacer devenir innecesarias reservas para este tipo de viviendas.</w:t>
      </w:r>
    </w:p>
    <w:p w14:paraId="16D65C08" w14:textId="77777777" w:rsidR="00A8138F" w:rsidRDefault="00A8138F" w:rsidP="00A8138F">
      <w:pPr>
        <w:pStyle w:val="TextoNormal"/>
      </w:pPr>
    </w:p>
    <w:p w14:paraId="4912E2A6" w14:textId="77777777" w:rsidR="00A8138F" w:rsidRDefault="00A8138F" w:rsidP="00A8138F">
      <w:pPr>
        <w:pStyle w:val="TextoNormal"/>
      </w:pPr>
      <w:r>
        <w:t xml:space="preserve">Vista esta configuración dual, la medida que aquí se discute produce como efecto la irreversibilidad de las reservas que de conformidad con el art. 20.1 b) TRLSRU haya fijado el instrumento de ordenación urbanística en todo su ámbito. Estamos, por tanto, ante una cláusula general de no regresión de las reservas de suelo para vivienda con protección pública, salvo que, atendiendo precisamente a lo que justifique el instrumento de ordenación urbanística, tales viviendas no sean ya necesarias. Una cláusula </w:t>
      </w:r>
      <w:r w:rsidRPr="00A8138F">
        <w:rPr>
          <w:i/>
        </w:rPr>
        <w:t>standstill</w:t>
      </w:r>
      <w:r>
        <w:t xml:space="preserve"> similar a la que, con distintas técnicas y denominaciones, opera de forma habitual en el sector del Derecho ambiental.</w:t>
      </w:r>
    </w:p>
    <w:p w14:paraId="7F1EEBF9" w14:textId="77777777" w:rsidR="00A8138F" w:rsidRDefault="00A8138F" w:rsidP="00A8138F">
      <w:pPr>
        <w:pStyle w:val="TextoNormal"/>
      </w:pPr>
    </w:p>
    <w:p w14:paraId="35EB9D91" w14:textId="77777777" w:rsidR="00A8138F" w:rsidRDefault="00A8138F" w:rsidP="00A8138F">
      <w:pPr>
        <w:pStyle w:val="TextoNormal"/>
      </w:pPr>
      <w:r>
        <w:t>En relación con ella, el debate se ha planteado de forma exclusivamente competencial, sosteniendo los recurrentes, en primer lugar, una injerencia ilegítima del Estado en la competencia exclusiva de las comunidades autónomas en materia de urbanismo, reconocida en todos los estatutos de autonomía a través de la previsión del art. 148.1.3 CE y, en segundo lugar y de forma subsidiaria, una vulneración de la autonomía local reconocida en los arts. 137 y 140 CE. Analizaremos estas quejas de forma separada.</w:t>
      </w:r>
    </w:p>
    <w:p w14:paraId="005F72DE" w14:textId="77777777" w:rsidR="00A8138F" w:rsidRDefault="00A8138F" w:rsidP="00A8138F">
      <w:pPr>
        <w:pStyle w:val="TextoNormal"/>
      </w:pPr>
    </w:p>
    <w:p w14:paraId="0BA607DA" w14:textId="77777777" w:rsidR="00A8138F" w:rsidRDefault="00A8138F" w:rsidP="00A8138F">
      <w:pPr>
        <w:pStyle w:val="TextoNormal"/>
      </w:pPr>
      <w:r>
        <w:t>(ii) El art. 15.1 c) de la Ley 12/2023 se dicta, tal y como indica su disposición final séptima, al amparo del art. 149.1.1 y 13 CE. Son los mismos títulos competenciales que en su momento avalaron la constitucionalidad de las medidas que hoy recoge el art. 20.1 b) TRLSRU, en la STC 141/2014, FJ 8 A) b), en relación con el entonces vigente art. 10 b) de la Ley 8/2007, de 28 de mayo, de suelo. Ya entonces dijimos que la determinación de una reserva mínima del suelo de uso residencial para vivienda en régimen de protección pública no excedía del alcance legítimo de las bases del art. 149.1.13 CE, encontrando en él cobertura, entre otras razones, por tener una incidencia clara en la actividad económica como “líneas directrices, criterios globales de ordenación y acciones y medidas singulares necesarias para alcanzar los fines propuestos dentro de la ordenación” de la vivienda como sector económico.</w:t>
      </w:r>
    </w:p>
    <w:p w14:paraId="27F6DED7" w14:textId="77777777" w:rsidR="00A8138F" w:rsidRDefault="00A8138F" w:rsidP="00A8138F">
      <w:pPr>
        <w:pStyle w:val="TextoNormal"/>
      </w:pPr>
    </w:p>
    <w:p w14:paraId="66E68F59" w14:textId="77777777" w:rsidR="00A8138F" w:rsidRDefault="00A8138F" w:rsidP="00A8138F">
      <w:pPr>
        <w:pStyle w:val="TextoNormal"/>
      </w:pPr>
      <w:r>
        <w:t xml:space="preserve">La norma complementaria, que el art. 15.1 c) de la Ley 12/2023 añade a dicho art. 20.1 b) TRLSRU, satisface igualmente el canon de constitucionalidad. Es evidente que la misma afecta a las competencias autonómicas en materia urbanística, pero lo hace el legislador estatal en genuino ejercicio de su competencia para establecer directrices y criterios globales </w:t>
      </w:r>
      <w:r>
        <w:lastRenderedPageBreak/>
        <w:t>de ordenación, en este caso la no reducción de la vivienda con protección pública en atención a las actuales circunstancias del mercado inmobiliario en España. Así lo señalamos también en la STC 79/2024, en concreto en el fundamento jurídico 5 B) c) en relación con otro de los incisos del art. 15.1 de la Ley 12/2023, también construido sobre la referencia al art. 20.1 b) TRLSRU.</w:t>
      </w:r>
    </w:p>
    <w:p w14:paraId="0C69A87A" w14:textId="77777777" w:rsidR="00A8138F" w:rsidRDefault="00A8138F" w:rsidP="00A8138F">
      <w:pPr>
        <w:pStyle w:val="TextoNormal"/>
      </w:pPr>
    </w:p>
    <w:p w14:paraId="2E94946D" w14:textId="77777777" w:rsidR="00A8138F" w:rsidRDefault="00A8138F" w:rsidP="00A8138F">
      <w:pPr>
        <w:pStyle w:val="TextoNormal"/>
      </w:pPr>
      <w:r>
        <w:t>Basta lo anterior para descartar la primera y principal tacha de inconstitucionalidad, que han planteado los recurrentes contra el art. 15.1 c) de la Ley 12/2023, máxime si se tiene en cuenta que la argumentación de la demanda no considera respecto de este precepto en ningún momento el art. 149.1.13 CE, pivotando la queja en exclusiva sobre el art. 149.1.1 CE y limitándose el recurso a afirmar que se deja vacío de contenido un futuro desarrollo por las comunidades autónomas. Nada más lejos de la realidad, toda vez que el precepto no efectúa una normación completa del ámbito al que se dirige, ni impide que el legislador autonómico —sometiéndose, eso sí, al condicionamiento que supone— disponga de un amplio margen para desarrollar un régimen urbanístico propio.</w:t>
      </w:r>
    </w:p>
    <w:p w14:paraId="79CBDF49" w14:textId="77777777" w:rsidR="00A8138F" w:rsidRDefault="00A8138F" w:rsidP="00A8138F">
      <w:pPr>
        <w:pStyle w:val="TextoNormal"/>
      </w:pPr>
    </w:p>
    <w:p w14:paraId="07BC801C" w14:textId="77777777" w:rsidR="00A8138F" w:rsidRDefault="00A8138F" w:rsidP="00A8138F">
      <w:pPr>
        <w:pStyle w:val="TextoNormal"/>
      </w:pPr>
      <w:r>
        <w:t>(iii) Resta por examinar la impugnación subsidiaria de los recurrentes basada en una eventual vulneración del principio de autonomía local (arts. 137 y 140 CE) por parte del mismo art. 15.1 c) de la Ley 12/2023.</w:t>
      </w:r>
    </w:p>
    <w:p w14:paraId="31C42C16" w14:textId="77777777" w:rsidR="00A8138F" w:rsidRDefault="00A8138F" w:rsidP="00A8138F">
      <w:pPr>
        <w:pStyle w:val="TextoNormal"/>
      </w:pPr>
    </w:p>
    <w:p w14:paraId="735D2382" w14:textId="77777777" w:rsidR="00A8138F" w:rsidRDefault="00A8138F" w:rsidP="00A8138F">
      <w:pPr>
        <w:pStyle w:val="TextoNormal"/>
      </w:pPr>
      <w:r>
        <w:t>Para valorarla, debemos partir de que la autonomía local se configura, según nuestra doctrina [por todas, STC 105/2019, de 19 de septiembre, FJ 4 a)], como un principio constitucional con un contenido mínimo que el legislador debe respetar. En relación con ello, como se señalaba recientemente en la STC 88/2024, de 5 de junio, FJ 6 b), “hemos tenido ocasión de indicar (STC 25/2024, de 13 de febrero, FJ 5) que la Constitución no asegura un contenido concreto o un ámbito competencial determinado a los entes locales, permitiendo la autonomía local configuraciones legales diversas (SSTC 32/1981, de 28 de julio, FJ 3, y 170/1989, de 19 de octubre, FJ 9)”. Tal y como estableció la STC 161/2019, de 12 de diciembre, FJ 5 a):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 La autonomía local permite configuraciones legales diversas, como recuerda la STC 41/2016, de 3 de marzo, FJ 11 b), cuando afirma que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de 9 de julio, FJ 6 a), citando las SSTC 32/1981, FJ 4; 170/1989, FJ 9; 51/2004, de 13 de abril, FJ 9; 95/2014, de 12 de junio, FJ 5; 57/2015, de 18 de marzo, FJ 6, y 92/2015, de 14 de mayo, FJ 4]”».</w:t>
      </w:r>
    </w:p>
    <w:p w14:paraId="3B1DE367" w14:textId="77777777" w:rsidR="00A8138F" w:rsidRDefault="00A8138F" w:rsidP="00A8138F">
      <w:pPr>
        <w:pStyle w:val="TextoNormal"/>
      </w:pPr>
    </w:p>
    <w:p w14:paraId="0B05A45C" w14:textId="77777777" w:rsidR="00A8138F" w:rsidRDefault="00A8138F" w:rsidP="00A8138F">
      <w:pPr>
        <w:pStyle w:val="TextoNormal"/>
      </w:pPr>
      <w:r>
        <w:t>Es innegable que en el urbanismo, ámbito en que se integra la delimitación de los diferentes usos de los que es susceptible el suelo, existe un interés municipal preferente. De ello se ha hecho eco este tribunal en múltiples ocasiones, afirmando que “no es necesario argumentar particularmente que, entre los asuntos de interés de los municipios y a los que por tanto se extienden sus competencias, está el urbanismo” [SSTC 40/1998, de 19 de febrero, FJ 39; 159/2001, de 5 de julio, FJ 4; 104/2013, de 25 de abril, FJ 6, y 154/2015, FJ 6 a)].</w:t>
      </w:r>
    </w:p>
    <w:p w14:paraId="0E3CAA4D" w14:textId="77777777" w:rsidR="00A8138F" w:rsidRDefault="00A8138F" w:rsidP="00A8138F">
      <w:pPr>
        <w:pStyle w:val="TextoNormal"/>
      </w:pPr>
    </w:p>
    <w:p w14:paraId="1A4AE63D" w14:textId="77777777" w:rsidR="00A8138F" w:rsidRDefault="00A8138F" w:rsidP="00A8138F">
      <w:pPr>
        <w:pStyle w:val="TextoNormal"/>
      </w:pPr>
      <w:r>
        <w:lastRenderedPageBreak/>
        <w:t>Es incuestionable que la disposición recurrida tiene clara incidencia en un ámbito propio del círculo de intereses de los municipios, al restringir su capacidad decisoria para ordenar con libertad los usos del suelo de su territorio, pero también ha quedado dicho en el apartado precedente de este fundamento jurídico que el Estado tiene competencia para incidir en esta materia desde el legítimo ejercicio de competencias transversales. Ello no es de extrañar, dado que “en el ámbito urbanístico municipal se proyecta una auténtica ‘imbricación de intereses diversos’ (STC 51/2004, de 13 de abril, FJ 12), que se articula tanto mediante la intervención de administraciones territoriales distintas del municipio, al que corresponde el protagonismo […] como a través del establecimiento de determinaciones básicas de carácter territorial vinculantes para ese mismo planificador urbanístico municipal” [STC 57/2015, FJ 17 a].</w:t>
      </w:r>
    </w:p>
    <w:p w14:paraId="3D5E1013" w14:textId="77777777" w:rsidR="00A8138F" w:rsidRDefault="00A8138F" w:rsidP="00A8138F">
      <w:pPr>
        <w:pStyle w:val="TextoNormal"/>
      </w:pPr>
    </w:p>
    <w:p w14:paraId="0F00FBF0" w14:textId="77777777" w:rsidR="00A8138F" w:rsidRDefault="00A8138F" w:rsidP="00A8138F">
      <w:pPr>
        <w:pStyle w:val="TextoNormal"/>
      </w:pPr>
      <w:r>
        <w:t>En esta ocasión, la afección a la autonomía local se produce al ejercer el Estado la competencia del art. 149.1.13 CE. Y, a partir del análisis del precepto impugnado y el traslado de la doctrina expuesta, es posible apreciar que se ponderan los intereses afectados de un modo que no puede considerarse contrario al principio constitucional de autonomía local. El interés supralocal, derivado en este caso de las circunstancias de escasez de vivienda protegida, justifica la directriz planificadora de que no se minore el suelo reservado para ella y restringe la autonomía local de una forma limitada y proporcionada. No en vano, no se afecta a la libertad de calificación del suelo con carácter general, solo al afectado a reservas de un determinado tipo y, dentro de ellas, sigue existiendo un amplio campo de actuación local para establecer las condiciones o características urbanísticas de la vivienda para cuya protección se establece la reserva en atención a las circunstancias del ámbito territorial. No existe, por tanto, el efecto que denuncia la demanda, cuando afirma que se elimina cualquier margen de actuación sobre las reservas ya efectuadas.</w:t>
      </w:r>
    </w:p>
    <w:p w14:paraId="7D99A41B" w14:textId="77777777" w:rsidR="00A8138F" w:rsidRDefault="00A8138F" w:rsidP="00A8138F">
      <w:pPr>
        <w:pStyle w:val="TextoNormal"/>
      </w:pPr>
    </w:p>
    <w:p w14:paraId="09CE8BE7" w14:textId="77777777" w:rsidR="00A8138F" w:rsidRDefault="00A8138F" w:rsidP="00A8138F">
      <w:pPr>
        <w:pStyle w:val="TextoNormal"/>
      </w:pPr>
      <w:r>
        <w:t>Además, con la salvaguarda de la imposibilidad fáctica sobrevenida de la efectiva realización destino de la reserva, el precepto anuda la afección de la autonomía urbanística local a la necesidad de vivienda sujeta a protección pública en el ámbito del instrumento urbanístico, de suerte que, desaparecida la segunda, cesa también la primera. Identificar la finalidad de la disposición controvertida no plantea mayores dificultades: instar la cobertura de las necesidades de vivienda protegida allí donde existan.</w:t>
      </w:r>
    </w:p>
    <w:p w14:paraId="65676C82" w14:textId="77777777" w:rsidR="00A8138F" w:rsidRDefault="00A8138F" w:rsidP="00A8138F">
      <w:pPr>
        <w:pStyle w:val="TextoNormal"/>
      </w:pPr>
    </w:p>
    <w:p w14:paraId="4D8B13E8" w14:textId="77777777" w:rsidR="00A8138F" w:rsidRDefault="00A8138F" w:rsidP="00A8138F">
      <w:pPr>
        <w:pStyle w:val="TextoNormal"/>
      </w:pPr>
      <w:r>
        <w:t>El art. 15.1 c) de la Ley 12/2023 no vulnera, en consecuencia, el principio constitucional de autonomía local.</w:t>
      </w:r>
    </w:p>
    <w:p w14:paraId="4BC82861" w14:textId="77777777" w:rsidR="00A8138F" w:rsidRDefault="00A8138F" w:rsidP="00A8138F">
      <w:pPr>
        <w:pStyle w:val="TextoNormal"/>
      </w:pPr>
    </w:p>
    <w:p w14:paraId="39C18FD3" w14:textId="77777777" w:rsidR="00A8138F" w:rsidRDefault="00A8138F" w:rsidP="00A8138F">
      <w:pPr>
        <w:pStyle w:val="TextoNormal"/>
      </w:pPr>
      <w:r>
        <w:t>c) Finalmente, procede analizar la impugnación del art. 15.1 d) de la Ley 12/2023, planteado en estricto debate competencial Estado-comunidades autónomas y sin que, respecto a él, los recurrentes hayan cuestionado su conformidad con el principio de autonomía local.</w:t>
      </w:r>
    </w:p>
    <w:p w14:paraId="025C0CB4" w14:textId="77777777" w:rsidR="00A8138F" w:rsidRDefault="00A8138F" w:rsidP="00A8138F">
      <w:pPr>
        <w:pStyle w:val="TextoNormal"/>
      </w:pPr>
    </w:p>
    <w:p w14:paraId="138584A2" w14:textId="77777777" w:rsidR="00A8138F" w:rsidRDefault="00A8138F" w:rsidP="00A8138F">
      <w:pPr>
        <w:pStyle w:val="TextoNormal"/>
      </w:pPr>
      <w:r>
        <w:t xml:space="preserve">El precepto contiene una regla general, una concreción de esta, y una excepción a esta última y canaliza la opción del legislador de promover una determinada modalidad de vivienda de protección pública, la del alquiler, cuya potenciación es ínsita en la Ley 12/2023 [art. 2 h)] a fin de revertir lo que el legislador ha identificado como desequilibrio entre la tenencia en propiedad y la vivienda en régimen de alquiler. Lo hace en la proyección competencial transversal propia del art. 149.1.1 CE al encaminarse a garantizar la igualdad en el acceso a la vivienda, teniendo en cuenta que la conveniencia o no de la opción legislativa, legítima en todo caso dadas las diferencias que un régimen de disfrute y otro de vivienda </w:t>
      </w:r>
      <w:r>
        <w:lastRenderedPageBreak/>
        <w:t>suponen desde el punto de vista de la disponibilidad financiera, queda fuera de todo juicio de constitucionalidad.</w:t>
      </w:r>
    </w:p>
    <w:p w14:paraId="571DBBFD" w14:textId="77777777" w:rsidR="00A8138F" w:rsidRDefault="00A8138F" w:rsidP="00A8138F">
      <w:pPr>
        <w:pStyle w:val="TextoNormal"/>
      </w:pPr>
    </w:p>
    <w:p w14:paraId="6599BA2E" w14:textId="77777777" w:rsidR="00A8138F" w:rsidRDefault="00A8138F" w:rsidP="00A8138F">
      <w:pPr>
        <w:pStyle w:val="TextoNormal"/>
      </w:pPr>
      <w:r>
        <w:t>Como regla general, el primer inciso impone al legislador autonómico en materia de ordenación del territorio y urbanismo que, dentro del porcentaje de reserva de suelo destinado a vivienda sujeta a algún régimen de protección pública, de conformidad con el antes analizado art. 20.1 b) TRLSRU, establezca el específico porcentaje de reserva que se destinará a algún régimen de protección pública de alquiler.</w:t>
      </w:r>
    </w:p>
    <w:p w14:paraId="699B21FD" w14:textId="77777777" w:rsidR="00A8138F" w:rsidRDefault="00A8138F" w:rsidP="00A8138F">
      <w:pPr>
        <w:pStyle w:val="TextoNormal"/>
      </w:pPr>
    </w:p>
    <w:p w14:paraId="0B8CB079" w14:textId="77777777" w:rsidR="00A8138F" w:rsidRDefault="00A8138F" w:rsidP="00A8138F">
      <w:pPr>
        <w:pStyle w:val="TextoNormal"/>
      </w:pPr>
      <w:r>
        <w:t>Ningún reproche de índole competencial cabe hacer al aludido inciso, que no impide que las comunidades autónomas, respetando la garantía en él contenido, puedan desarrollar la política urbanística y de vivienda, más concretamente de fomento y promoción de vivienda en régimen de protección pública, que estipulen más adecuada.</w:t>
      </w:r>
    </w:p>
    <w:p w14:paraId="48AE20FD" w14:textId="77777777" w:rsidR="00A8138F" w:rsidRDefault="00A8138F" w:rsidP="00A8138F">
      <w:pPr>
        <w:pStyle w:val="TextoNormal"/>
      </w:pPr>
    </w:p>
    <w:p w14:paraId="02365ADF" w14:textId="77777777" w:rsidR="00A8138F" w:rsidRDefault="00A8138F" w:rsidP="00A8138F">
      <w:pPr>
        <w:pStyle w:val="TextoNormal"/>
      </w:pPr>
      <w:r>
        <w:t>Estas conclusiones no quedan enervadas por el hecho de que, a continuación, el precepto vaya más allá al concretar, en un segundo inciso, que este porcentaje de reserva destinado a vivienda sujeta a algún régimen de protección pública de alquiler “no podrá ser inferior al 50 por 100, salvo en casos excepcionales en los que el instrumento de ordenación urbanística lo justifique, atendiendo a las características de las personas demandantes de vivienda u otras circunstancias de la realidad económica y social”.</w:t>
      </w:r>
    </w:p>
    <w:p w14:paraId="5828096D" w14:textId="77777777" w:rsidR="00A8138F" w:rsidRDefault="00A8138F" w:rsidP="00A8138F">
      <w:pPr>
        <w:pStyle w:val="TextoNormal"/>
      </w:pPr>
    </w:p>
    <w:p w14:paraId="725EFCF5" w14:textId="77777777" w:rsidR="00A8138F" w:rsidRDefault="00A8138F" w:rsidP="00A8138F">
      <w:pPr>
        <w:pStyle w:val="TextoNormal"/>
      </w:pPr>
      <w:r>
        <w:t>Ciertamente se trata de un porcentaje elevado, pero no puede decirse que impida la implementación de otros regímenes de protección pública a que puede estar sujeta la vivienda, como la tenencia en propiedad, alquiler con opción de compra, cesión de uso, concesión, así como otras alternativas o soluciones habitacionales, de muy variada naturaleza y características, como pudieran ser aquellas de carácter más transitorio y urgente encaminadas a satisfacer mínimamente la necesidad de vivienda de los más vulnerables de la sociedad.</w:t>
      </w:r>
    </w:p>
    <w:p w14:paraId="4A17063B" w14:textId="77777777" w:rsidR="00A8138F" w:rsidRDefault="00A8138F" w:rsidP="00A8138F">
      <w:pPr>
        <w:pStyle w:val="TextoNormal"/>
      </w:pPr>
    </w:p>
    <w:p w14:paraId="1D94A066" w14:textId="77777777" w:rsidR="00A8138F" w:rsidRDefault="00A8138F" w:rsidP="00A8138F">
      <w:pPr>
        <w:pStyle w:val="TextoNormal"/>
      </w:pPr>
      <w:r>
        <w:t>Cuál haya de ser, en cada caso, el régimen de protección pública de vivienda más idóneo será cuestión a valorar en atención a las particulares necesidades de la población y demás circunstancias concurrentes, y precisamente el precepto en cuestión permite excepcionar la regla general del 50 por 100 en aquellos casos, como hemos visto, en los que el instrumento de ordenación urbanística lo justifique, atendiendo a las características de las personas demandantes u otras circunstancias de la realidad económica y social, preservando, de nuevo, un ámbito identificable de capacidad decisoria.</w:t>
      </w:r>
    </w:p>
    <w:p w14:paraId="6EE74630" w14:textId="77777777" w:rsidR="00A8138F" w:rsidRDefault="00A8138F" w:rsidP="00A8138F">
      <w:pPr>
        <w:pStyle w:val="TextoNormal"/>
      </w:pPr>
    </w:p>
    <w:p w14:paraId="7557CC2C" w14:textId="77777777" w:rsidR="00A8138F" w:rsidRDefault="00A8138F" w:rsidP="00A8138F">
      <w:pPr>
        <w:pStyle w:val="TextoNormal"/>
      </w:pPr>
      <w:r>
        <w:t>En definitiva, el art. 15.1 d) da lugar a una afección de tipo condicional —ello explica la fijación de un determinado porcentaje— del ámbito material en que se proyecta, sin que no obstante efectúe una ordenación excesiva del sector de actividad en el que se ejerce el derecho cuyo ejercicio en igualdad de condiciones pretende garantizar. No configura, por ello, un modelo concreto de urbanismo.</w:t>
      </w:r>
    </w:p>
    <w:p w14:paraId="011F6942" w14:textId="77777777" w:rsidR="00A8138F" w:rsidRDefault="00A8138F" w:rsidP="00A8138F">
      <w:pPr>
        <w:pStyle w:val="TextoNormal"/>
      </w:pPr>
    </w:p>
    <w:p w14:paraId="4EA80E82" w14:textId="77777777" w:rsidR="00A8138F" w:rsidRDefault="00A8138F" w:rsidP="00A8138F">
      <w:pPr>
        <w:pStyle w:val="TextoNormal"/>
      </w:pPr>
      <w:r>
        <w:t xml:space="preserve">De nuevo, por otro lado, no cabe obviar la proyección económica del art. 15.1 d) y su consecuente encaje en el art. 149.1.13 CE. Como declaramos en la STC 79/2024, FJ 5 B) c), en referencia a la STC 141/2014, “[e]ste tribunal ya ha declarado la constitucionalidad de previsiones legales estatales que imponen a otras administraciones establecer ciertas reservas de suelo en pro de vivienda con algún tipo de intervención pública. Así, en relación a la actividad de planificación y a la regulación del art. 10 b) de la Ley 8/2007, de 28 de </w:t>
      </w:r>
      <w:r>
        <w:lastRenderedPageBreak/>
        <w:t>mayo, de suelo (luego sustituido por el art. 20.1 b) TRLSRU), se consideró que este tipo de medidas encuentran cobertura en el art. 149.1.13 CE, por tener una incidencia clara en la actividad económica como ‘líneas directrices, criterios globales de ordenación y acciones y medidas singulares necesarias para alcanzar los fines propuestos dentro de la ordenación’ de la vivienda como sector económico”; ello se basó en la idea recogida en la citada STC 141/2014, FJ 8 A) b), y posteriormente reiterada en la STC 75/2018, de 5 de julio, FJ 6 A), “de que las viviendas protegidas han de actuar como factor regulador del mercado de la vivienda, persiguiendo la consecución en este ámbito de ciertos objetivos, económicos y sociales; señaladamente, el 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 Se trata, por tanto, de una medida normativa que tiene una incidencia clara en la actividad económica”. Este mismo fundamento es el que late en el art. 15.1 d) que se cuestiona, de ahí que deba entenderse igualmente amparado en el art. 149.1.13 CE.</w:t>
      </w:r>
    </w:p>
    <w:p w14:paraId="0A618995" w14:textId="77777777" w:rsidR="00A8138F" w:rsidRDefault="00A8138F" w:rsidP="00A8138F">
      <w:pPr>
        <w:pStyle w:val="TextoNormal"/>
      </w:pPr>
    </w:p>
    <w:p w14:paraId="5D54AF8C" w14:textId="09874926" w:rsidR="00A8138F" w:rsidRDefault="00A8138F" w:rsidP="00A8138F">
      <w:pPr>
        <w:pStyle w:val="TextoNormal"/>
      </w:pPr>
      <w:r>
        <w:t>Consecuentemente, descartamos la tacha de inconstitucionalidad dirigida contra el art. 15.1 d) de la Ley 12/2023.</w:t>
      </w:r>
    </w:p>
    <w:p w14:paraId="7E9F80CD" w14:textId="77777777" w:rsidR="00A8138F" w:rsidRDefault="00A8138F" w:rsidP="00A8138F">
      <w:pPr>
        <w:pStyle w:val="TextoNormal"/>
      </w:pPr>
    </w:p>
    <w:p w14:paraId="30978A98" w14:textId="77777777" w:rsidR="00A8138F" w:rsidRDefault="00A8138F" w:rsidP="00A8138F">
      <w:pPr>
        <w:pStyle w:val="TextoNormal"/>
      </w:pPr>
      <w:r w:rsidRPr="00A8138F">
        <w:rPr>
          <w:rStyle w:val="NumeroAFNegritaCaracter"/>
        </w:rPr>
        <w:t>4</w:t>
      </w:r>
      <w:r>
        <w:t xml:space="preserve">. </w:t>
      </w:r>
      <w:r w:rsidRPr="00A8138F">
        <w:rPr>
          <w:i/>
        </w:rPr>
        <w:t>Sobre la alegada extralimitación en el uso del art. 149.1.8 CE</w:t>
      </w:r>
    </w:p>
    <w:p w14:paraId="3F39C2D2" w14:textId="77777777" w:rsidR="00A8138F" w:rsidRDefault="00A8138F" w:rsidP="00A8138F">
      <w:pPr>
        <w:pStyle w:val="TextoNormal"/>
      </w:pPr>
    </w:p>
    <w:p w14:paraId="12869B36" w14:textId="77777777" w:rsidR="00A8138F" w:rsidRDefault="00A8138F" w:rsidP="00A8138F">
      <w:pPr>
        <w:pStyle w:val="TextoNormal"/>
      </w:pPr>
      <w:r>
        <w:t xml:space="preserve">A) </w:t>
      </w:r>
      <w:r w:rsidRPr="00A8138F">
        <w:rPr>
          <w:i/>
        </w:rPr>
        <w:t>Objeto y posiciones de las partes</w:t>
      </w:r>
    </w:p>
    <w:p w14:paraId="181E450F" w14:textId="77777777" w:rsidR="00A8138F" w:rsidRDefault="00A8138F" w:rsidP="00A8138F">
      <w:pPr>
        <w:pStyle w:val="TextoNormal"/>
      </w:pPr>
    </w:p>
    <w:p w14:paraId="18633A7F" w14:textId="77777777" w:rsidR="00A8138F" w:rsidRDefault="00A8138F" w:rsidP="00A8138F">
      <w:pPr>
        <w:pStyle w:val="TextoNormal"/>
      </w:pPr>
      <w:r>
        <w:t>a) Procede examinar a continuación la impugnación que se dirige en este caso contra el art. 31 de la Ley 12/2023, en sus apartados 1 y 2. El precepto en cuestión, situado en el título IV de la Ley 12/2023, que lleva por epígrafe “Medidas de protección y transparencia en las operaciones de compra y arrendamiento de vivienda”, y en el capítulo I de aquel, referido al “régimen general de derechos, e información básica”, es del siguiente tenor:</w:t>
      </w:r>
    </w:p>
    <w:p w14:paraId="58A67787" w14:textId="77777777" w:rsidR="00A8138F" w:rsidRDefault="00A8138F" w:rsidP="00A8138F">
      <w:pPr>
        <w:pStyle w:val="TextoNormal"/>
      </w:pPr>
    </w:p>
    <w:p w14:paraId="27B3CE8B" w14:textId="77777777" w:rsidR="00A8138F" w:rsidRDefault="00A8138F" w:rsidP="00A8138F">
      <w:pPr>
        <w:pStyle w:val="TextoNormal"/>
      </w:pPr>
      <w:r>
        <w:t>“Artículo 31. Información mínima en las operaciones de compra y arrendamiento de vivienda</w:t>
      </w:r>
    </w:p>
    <w:p w14:paraId="1210D891" w14:textId="77777777" w:rsidR="00A8138F" w:rsidRDefault="00A8138F" w:rsidP="00A8138F">
      <w:pPr>
        <w:pStyle w:val="TextoNormal"/>
      </w:pPr>
    </w:p>
    <w:p w14:paraId="519F00F1" w14:textId="77777777" w:rsidR="00A8138F" w:rsidRDefault="00A8138F" w:rsidP="00A8138F">
      <w:pPr>
        <w:pStyle w:val="TextoNormal"/>
      </w:pPr>
      <w:r>
        <w:t>1. Sin perjuicio de los principios y requerimientos contenidos en la normativa autonómica de aplicación y con carácter mínimo, la persona interesada en la compra o arrendamiento de una vivienda que se encuentre en oferta podrá requerir, antes de la formalización de la operación y de la entrega de cualquier cantidad a cuenta, la siguiente información, en formato accesible y en soporte duradero, acerca de las condiciones de la operación y de las características de la referida vivienda y del edificio en que se encuentra:</w:t>
      </w:r>
    </w:p>
    <w:p w14:paraId="3AFBD6C4" w14:textId="77777777" w:rsidR="00A8138F" w:rsidRDefault="00A8138F" w:rsidP="00A8138F">
      <w:pPr>
        <w:pStyle w:val="TextoNormal"/>
      </w:pPr>
    </w:p>
    <w:p w14:paraId="0021225F" w14:textId="77777777" w:rsidR="00A8138F" w:rsidRDefault="00A8138F" w:rsidP="00A8138F">
      <w:pPr>
        <w:pStyle w:val="TextoNormal"/>
      </w:pPr>
      <w:r>
        <w:t>a) Identificación del vendedor o arrendador y, en su caso, de la persona física o jurídica que intervenga, en el marco de una actividad profesional o empresarial, para la intermediación en la operación.</w:t>
      </w:r>
    </w:p>
    <w:p w14:paraId="610946CA" w14:textId="77777777" w:rsidR="00A8138F" w:rsidRDefault="00A8138F" w:rsidP="00A8138F">
      <w:pPr>
        <w:pStyle w:val="TextoNormal"/>
      </w:pPr>
    </w:p>
    <w:p w14:paraId="38BBA80A" w14:textId="77777777" w:rsidR="00A8138F" w:rsidRDefault="00A8138F" w:rsidP="00A8138F">
      <w:pPr>
        <w:pStyle w:val="TextoNormal"/>
      </w:pPr>
      <w:r>
        <w:t>b) Condiciones económicas de la operación: precio total y conceptos en este incluidos, así como las condiciones de financiación o pago que, en su caso, pudieran establecerse.</w:t>
      </w:r>
    </w:p>
    <w:p w14:paraId="7F012F97" w14:textId="77777777" w:rsidR="00A8138F" w:rsidRDefault="00A8138F" w:rsidP="00A8138F">
      <w:pPr>
        <w:pStyle w:val="TextoNormal"/>
      </w:pPr>
    </w:p>
    <w:p w14:paraId="6A452CA9" w14:textId="77777777" w:rsidR="00A8138F" w:rsidRDefault="00A8138F" w:rsidP="00A8138F">
      <w:pPr>
        <w:pStyle w:val="TextoNormal"/>
      </w:pPr>
      <w:r>
        <w:t>c) Características esenciales de la vivienda y del edificio, entre ellas:</w:t>
      </w:r>
    </w:p>
    <w:p w14:paraId="78E66F09" w14:textId="77777777" w:rsidR="00A8138F" w:rsidRDefault="00A8138F" w:rsidP="00A8138F">
      <w:pPr>
        <w:pStyle w:val="TextoNormal"/>
      </w:pPr>
    </w:p>
    <w:p w14:paraId="6B69125C" w14:textId="77777777" w:rsidR="00A8138F" w:rsidRDefault="00A8138F" w:rsidP="00A8138F">
      <w:pPr>
        <w:pStyle w:val="TextoNormal"/>
      </w:pPr>
      <w:r>
        <w:lastRenderedPageBreak/>
        <w:t>1.º Certificado o cédula de habitabilidad.</w:t>
      </w:r>
    </w:p>
    <w:p w14:paraId="434295AA" w14:textId="77777777" w:rsidR="00A8138F" w:rsidRDefault="00A8138F" w:rsidP="00A8138F">
      <w:pPr>
        <w:pStyle w:val="TextoNormal"/>
      </w:pPr>
    </w:p>
    <w:p w14:paraId="5D36EA0E" w14:textId="77777777" w:rsidR="00A8138F" w:rsidRDefault="00A8138F" w:rsidP="00A8138F">
      <w:pPr>
        <w:pStyle w:val="TextoNormal"/>
      </w:pPr>
      <w:r>
        <w:t>2.º Acreditación de la superficie útil y construida de la vivienda, diferenciando en caso de división horizontal la superficie privativa de las comunes, y sin que pueda en ningún caso computarse a estos efectos las superficies de la vivienda con altura inferior a la exigida en la normativa reguladora.</w:t>
      </w:r>
    </w:p>
    <w:p w14:paraId="77EE5F54" w14:textId="77777777" w:rsidR="00A8138F" w:rsidRDefault="00A8138F" w:rsidP="00A8138F">
      <w:pPr>
        <w:pStyle w:val="TextoNormal"/>
      </w:pPr>
    </w:p>
    <w:p w14:paraId="5616320F" w14:textId="77777777" w:rsidR="00A8138F" w:rsidRDefault="00A8138F" w:rsidP="00A8138F">
      <w:pPr>
        <w:pStyle w:val="TextoNormal"/>
      </w:pPr>
      <w:r>
        <w:t>3.º Antigüedad del edificio y, en su caso, de las principales reformas o actuaciones realizadas sobre el mismo.</w:t>
      </w:r>
    </w:p>
    <w:p w14:paraId="789DDD27" w14:textId="77777777" w:rsidR="00A8138F" w:rsidRDefault="00A8138F" w:rsidP="00A8138F">
      <w:pPr>
        <w:pStyle w:val="TextoNormal"/>
      </w:pPr>
    </w:p>
    <w:p w14:paraId="5CC0B20E" w14:textId="77777777" w:rsidR="00A8138F" w:rsidRDefault="00A8138F" w:rsidP="00A8138F">
      <w:pPr>
        <w:pStyle w:val="TextoNormal"/>
      </w:pPr>
      <w:r>
        <w:t>4.º Servicios e instalaciones de que dispone la vivienda, tanto individuales como comunes.</w:t>
      </w:r>
    </w:p>
    <w:p w14:paraId="0E878785" w14:textId="77777777" w:rsidR="00A8138F" w:rsidRDefault="00A8138F" w:rsidP="00A8138F">
      <w:pPr>
        <w:pStyle w:val="TextoNormal"/>
      </w:pPr>
    </w:p>
    <w:p w14:paraId="7F0B0D63" w14:textId="77777777" w:rsidR="00A8138F" w:rsidRDefault="00A8138F" w:rsidP="00A8138F">
      <w:pPr>
        <w:pStyle w:val="TextoNormal"/>
      </w:pPr>
      <w:r>
        <w:t>5.º Certificado de eficiencia energética de la vivienda.</w:t>
      </w:r>
    </w:p>
    <w:p w14:paraId="313764CF" w14:textId="77777777" w:rsidR="00A8138F" w:rsidRDefault="00A8138F" w:rsidP="00A8138F">
      <w:pPr>
        <w:pStyle w:val="TextoNormal"/>
      </w:pPr>
    </w:p>
    <w:p w14:paraId="5B7BCD5D" w14:textId="77777777" w:rsidR="00A8138F" w:rsidRDefault="00A8138F" w:rsidP="00A8138F">
      <w:pPr>
        <w:pStyle w:val="TextoNormal"/>
      </w:pPr>
      <w:r>
        <w:t>6.º Condiciones de accesibilidad de la vivienda y del edificio.</w:t>
      </w:r>
    </w:p>
    <w:p w14:paraId="1E6D6154" w14:textId="77777777" w:rsidR="00A8138F" w:rsidRDefault="00A8138F" w:rsidP="00A8138F">
      <w:pPr>
        <w:pStyle w:val="TextoNormal"/>
      </w:pPr>
    </w:p>
    <w:p w14:paraId="3BB5E1E8" w14:textId="77777777" w:rsidR="00A8138F" w:rsidRDefault="00A8138F" w:rsidP="00A8138F">
      <w:pPr>
        <w:pStyle w:val="TextoNormal"/>
      </w:pPr>
      <w:r>
        <w:t>7.º Estado de ocupación o disponibilidad de la vivienda.</w:t>
      </w:r>
    </w:p>
    <w:p w14:paraId="1346D6C0" w14:textId="77777777" w:rsidR="00A8138F" w:rsidRDefault="00A8138F" w:rsidP="00A8138F">
      <w:pPr>
        <w:pStyle w:val="TextoNormal"/>
      </w:pPr>
    </w:p>
    <w:p w14:paraId="1F22CE0A" w14:textId="77777777" w:rsidR="00A8138F" w:rsidRDefault="00A8138F" w:rsidP="00A8138F">
      <w:pPr>
        <w:pStyle w:val="TextoNormal"/>
      </w:pPr>
      <w:r>
        <w:t>d) Información jurídica del inmueble: la identificación registral de la finca, con la referencia de las cargas, gravámenes y afecciones de cualquier naturaleza, y la cuota de participación fijada en el título de propiedad.</w:t>
      </w:r>
    </w:p>
    <w:p w14:paraId="63DE8A31" w14:textId="77777777" w:rsidR="00A8138F" w:rsidRDefault="00A8138F" w:rsidP="00A8138F">
      <w:pPr>
        <w:pStyle w:val="TextoNormal"/>
      </w:pPr>
    </w:p>
    <w:p w14:paraId="1F688934" w14:textId="77777777" w:rsidR="00A8138F" w:rsidRDefault="00A8138F" w:rsidP="00A8138F">
      <w:pPr>
        <w:pStyle w:val="TextoNormal"/>
      </w:pPr>
      <w:r>
        <w:t>e) En el caso de tratarse de vivienda protegida, indicación expresa de tal circunstancia y de la sujeción al régimen legal de protección que le sea aplicable.</w:t>
      </w:r>
    </w:p>
    <w:p w14:paraId="0E86C4A1" w14:textId="77777777" w:rsidR="00A8138F" w:rsidRDefault="00A8138F" w:rsidP="00A8138F">
      <w:pPr>
        <w:pStyle w:val="TextoNormal"/>
      </w:pPr>
    </w:p>
    <w:p w14:paraId="62C4B47C" w14:textId="77777777" w:rsidR="00A8138F" w:rsidRDefault="00A8138F" w:rsidP="00A8138F">
      <w:pPr>
        <w:pStyle w:val="TextoNormal"/>
      </w:pPr>
      <w:r>
        <w:t>f) En caso de edificios que cuenten oficialmente con protección arquitectónica por ser parte de un entorno declarado o en razón de su particular valor arquitectónico o histórico, se aportará información sobre el grado de protección y las condiciones y limitaciones para las intervenciones de reforma y rehabilitación.</w:t>
      </w:r>
    </w:p>
    <w:p w14:paraId="36A9C1EF" w14:textId="77777777" w:rsidR="00A8138F" w:rsidRDefault="00A8138F" w:rsidP="00A8138F">
      <w:pPr>
        <w:pStyle w:val="TextoNormal"/>
      </w:pPr>
    </w:p>
    <w:p w14:paraId="13C79B28" w14:textId="77777777" w:rsidR="00A8138F" w:rsidRDefault="00A8138F" w:rsidP="00A8138F">
      <w:pPr>
        <w:pStyle w:val="TextoNormal"/>
      </w:pPr>
      <w:r>
        <w:t>g) Cualquier otra información que pueda ser relevante para la persona interesada en la compra o arrendamiento de la vivienda, incluyendo los aspectos de carácter territorial, urbanístico, físico-técnico, de protección patrimonial, o administrativo relacionados con la misma.</w:t>
      </w:r>
    </w:p>
    <w:p w14:paraId="45456F0A" w14:textId="77777777" w:rsidR="00A8138F" w:rsidRDefault="00A8138F" w:rsidP="00A8138F">
      <w:pPr>
        <w:pStyle w:val="TextoNormal"/>
      </w:pPr>
    </w:p>
    <w:p w14:paraId="40DBE8C9" w14:textId="77777777" w:rsidR="00A8138F" w:rsidRDefault="00A8138F" w:rsidP="00A8138F">
      <w:pPr>
        <w:pStyle w:val="TextoNormal"/>
      </w:pPr>
      <w:r>
        <w:t>2. En los mismos términos de lo establecido en el apartado anterior, la persona interesada en la compra o arrendamiento de una vivienda podrá requerir información acerca de la detección de amianto u otras sustancias peligrosas o nocivas para la salud”.</w:t>
      </w:r>
    </w:p>
    <w:p w14:paraId="3BF50DCA" w14:textId="77777777" w:rsidR="00A8138F" w:rsidRDefault="00A8138F" w:rsidP="00A8138F">
      <w:pPr>
        <w:pStyle w:val="TextoNormal"/>
      </w:pPr>
    </w:p>
    <w:p w14:paraId="64937EF0" w14:textId="77777777" w:rsidR="00A8138F" w:rsidRDefault="00A8138F" w:rsidP="00A8138F">
      <w:pPr>
        <w:pStyle w:val="TextoNormal"/>
      </w:pPr>
      <w:r>
        <w:t>b) Los diputados impugnantes sostienen que el precepto transcrito infringe el régimen constitucional de distribución de competencias entre el Estado y las comunidades autónomas, concretamente la previsión contenida en el art. 149.1.8 CE referida a la competencia exclusiva del Estado en materia de legislación civil, sin perjuicio de la conservación, modificación y desarrollo por las comunidades autónomas de los derechos civiles, forales o especiales, allí donde existan, y en todo caso sobre las bases de las obligaciones contractuales. Esto porque consideran los recurrentes que el precepto impugnado no respeta la referida conservación, modificación y desarrollo por las comunidades autónomas de su Derecho ci</w:t>
      </w:r>
      <w:r>
        <w:lastRenderedPageBreak/>
        <w:t>vil propio, excediéndose de lo que son las bases de las obligaciones contractuales. Se apoyan para ello en lo declarado por este tribunal en la STC 132/2019, y en la legislación foral navarra y catalana respecto a las obligaciones del vendedor.</w:t>
      </w:r>
    </w:p>
    <w:p w14:paraId="19AC2D52" w14:textId="77777777" w:rsidR="00A8138F" w:rsidRDefault="00A8138F" w:rsidP="00A8138F">
      <w:pPr>
        <w:pStyle w:val="TextoNormal"/>
      </w:pPr>
    </w:p>
    <w:p w14:paraId="6057F5E1" w14:textId="77777777" w:rsidR="00A8138F" w:rsidRDefault="00A8138F" w:rsidP="00A8138F">
      <w:pPr>
        <w:pStyle w:val="TextoNormal"/>
      </w:pPr>
      <w:r>
        <w:t>c) El alegato de los recurrentes es rebatido por el representante del Estado, quien niega la tacha de inconstitucionalidad aducida, argumentando que el precepto impugnado incide en el ámbito civil contractual de las obligaciones entre partes cuya regulación se halla dentro de la competencia del Estado sobre las bases de las obligaciones contractuales al amparo del art. 149.1.8 CE.</w:t>
      </w:r>
    </w:p>
    <w:p w14:paraId="46195734" w14:textId="77777777" w:rsidR="00A8138F" w:rsidRDefault="00A8138F" w:rsidP="00A8138F">
      <w:pPr>
        <w:pStyle w:val="TextoNormal"/>
      </w:pPr>
    </w:p>
    <w:p w14:paraId="2937E515" w14:textId="77777777" w:rsidR="00A8138F" w:rsidRDefault="00A8138F" w:rsidP="00A8138F">
      <w:pPr>
        <w:pStyle w:val="TextoNormal"/>
      </w:pPr>
      <w:r>
        <w:t xml:space="preserve">B) </w:t>
      </w:r>
      <w:r w:rsidRPr="00A8138F">
        <w:rPr>
          <w:i/>
        </w:rPr>
        <w:t>Encuadramiento competencial y enjuiciamiento</w:t>
      </w:r>
    </w:p>
    <w:p w14:paraId="49F331D4" w14:textId="77777777" w:rsidR="00A8138F" w:rsidRDefault="00A8138F" w:rsidP="00A8138F">
      <w:pPr>
        <w:pStyle w:val="TextoNormal"/>
      </w:pPr>
    </w:p>
    <w:p w14:paraId="58A9EB68" w14:textId="77777777" w:rsidR="00A8138F" w:rsidRDefault="00A8138F" w:rsidP="00A8138F">
      <w:pPr>
        <w:pStyle w:val="TextoNormal"/>
      </w:pPr>
      <w:r>
        <w:t>La primera operación a realizar es determinar la materia objeto de la regulación contenida en las normas discutidas. Para ello, debemos atender al carácter, sentido y finalidad de las disposiciones traídas al conflicto, delimitando así la regla competencial aplicable al caso [por todas, STC 65/2020, de 18 de junio, FJ 6 e)]. En esta tarea, el Tribunal no se encuentra vinculado por las incardinaciones competenciales contenidas en las normas sometidas a su enjuiciamiento (STC 132/2019, FJ 4), siendo que en este caso la disposición final séptima de la Ley 12/2023 remite a los arts. 149.1.1 y 13 CE; ni tampoco por “el encuadramiento competencial que realicen las partes en el proceso” (por todas, STC 18/2016, de 4 de febrero, FJ 10), que aquí es el sintetizado en el apartado anterior.</w:t>
      </w:r>
    </w:p>
    <w:p w14:paraId="10EFC60B" w14:textId="77777777" w:rsidR="00A8138F" w:rsidRDefault="00A8138F" w:rsidP="00A8138F">
      <w:pPr>
        <w:pStyle w:val="TextoNormal"/>
      </w:pPr>
    </w:p>
    <w:p w14:paraId="42204300" w14:textId="77777777" w:rsidR="00A8138F" w:rsidRDefault="00A8138F" w:rsidP="00A8138F">
      <w:pPr>
        <w:pStyle w:val="TextoNormal"/>
      </w:pPr>
      <w:r>
        <w:t>El art. 31 de la Ley 12/2023 regula una información mínima que habrá de suministrarse a petición de quien esté interesado en la compra o arrendamiento de una vivienda. Tal información se refiere tanto a cuestiones propias del negocio jurídico (identificación de intervinientes y condiciones económicas) como de su objeto (características esenciales, condiciones de seguridad, salubridad y situación administrativa). Existen evidentes conexiones con el derecho a la vivienda (digna y adecuada), sobre todo en esta segunda parte, pero la regulación controvertida no puede encuadrarse con carácter principal en títulos relacionados con esta materia a efectos competenciales, toda vez que se trata de regular información precontractual necesaria para la formación de la voluntad negocial, garantizando la transparencia de la operación. La finalidad del precepto, claramente tuitiva del interesado en la compra o arrendamiento, por la asimetría de la disponibilidad de información sobre el inmueble, no impide, como no lo hizo por ejemplo en el caso examinado en la STC 37/2022, que estemos ante una materia claramente civil. Tienen razón las partes al enmarcar los preceptos recurridos en el art. 149.1.8 CE, correspondiendo la competencia exclusiva para legislar en la materia al Estado.</w:t>
      </w:r>
    </w:p>
    <w:p w14:paraId="0E86748D" w14:textId="77777777" w:rsidR="00A8138F" w:rsidRDefault="00A8138F" w:rsidP="00A8138F">
      <w:pPr>
        <w:pStyle w:val="TextoNormal"/>
      </w:pPr>
    </w:p>
    <w:p w14:paraId="1D511D46" w14:textId="77777777" w:rsidR="00A8138F" w:rsidRDefault="00A8138F" w:rsidP="00A8138F">
      <w:pPr>
        <w:pStyle w:val="TextoNormal"/>
      </w:pPr>
      <w:r>
        <w:t>Discrepan después en si debe entenderse como una mera cuestión civil el primer inciso del título competencial, que exige respetar las garantías autonómicas de conservación, modificación y desarrollo respecto a los derechos forales o especiales, lo que para los recurrentes no se estaría produciendo; o bien en el segundo, en concreto dentro de la submateria “bases de las obligaciones contractuales”, donde la competencia estatal es más amplia. Ciertamente, hemos dicho que “[e]l sentido de esta segunda reserva competencial en favor del legislador estatal no es otro, pues, que el de delimitar un ámbito dentro del cual nunca podrá estimarse subsistente ni susceptible, por tanto, de conservación, modificación o desarrollo, Derecho civil especial o foral alguno” [STC 156/1993, de 6 de mayo, FJ 1 a)].</w:t>
      </w:r>
    </w:p>
    <w:p w14:paraId="6D1CD33A" w14:textId="77777777" w:rsidR="00A8138F" w:rsidRDefault="00A8138F" w:rsidP="00A8138F">
      <w:pPr>
        <w:pStyle w:val="TextoNormal"/>
      </w:pPr>
    </w:p>
    <w:p w14:paraId="4B8C3F2D" w14:textId="77777777" w:rsidR="00A8138F" w:rsidRDefault="00A8138F" w:rsidP="00A8138F">
      <w:pPr>
        <w:pStyle w:val="TextoNormal"/>
      </w:pPr>
      <w:r>
        <w:lastRenderedPageBreak/>
        <w:t xml:space="preserve">La doctrina constitucional sobre la interpretación del alcance y contenido del art. 149.1.8 CE y en particular sobre las bases de las obligaciones contractuales puede ser determinada por remisión, entre otras, a las SSTC 132/2019, FJ 6, y 157/2021, de 16 de septiembre, FJ 9 c). No obstante, en este caso resulta ocioso entrar en la disquisición planteada, toda vez que la misma Ley 12/2023 dispone, en el apartado 4 de la misma disposición final séptima, no discutida por los recurrentes, que lo previsto en ella se aplicará sin perjuicio, entre otras cosas, de “[l]as previsiones de los regímenes civiles, forales o especiales en el ámbito reservado a las mismas por el artículo 149.1.8 de la Constitución, allí donde existan”. Una vez establecido por este tribunal que materialmente los preceptos impugnados suponen un legítimo ejercicio de las competencias estatales </w:t>
      </w:r>
      <w:r w:rsidRPr="00A8138F">
        <w:rPr>
          <w:i/>
        </w:rPr>
        <w:t>ex</w:t>
      </w:r>
      <w:r>
        <w:t xml:space="preserve"> art. 149.1.8 CE, las competencias autonómicas que la demanda defiende al articular este motivo de queja, lejos de vulnerarse, quedan salvaguardadas directa y expresamente por el legislador estatal.</w:t>
      </w:r>
    </w:p>
    <w:p w14:paraId="369C2F86" w14:textId="77777777" w:rsidR="00A8138F" w:rsidRDefault="00A8138F" w:rsidP="00A8138F">
      <w:pPr>
        <w:pStyle w:val="TextoNormal"/>
      </w:pPr>
    </w:p>
    <w:p w14:paraId="20F7DA7F" w14:textId="20D7FB60" w:rsidR="00A8138F" w:rsidRDefault="00A8138F" w:rsidP="00A8138F">
      <w:pPr>
        <w:pStyle w:val="TextoNormal"/>
      </w:pPr>
      <w:r>
        <w:t>En consecuencia, debe desestimarse la impugnación del art. 31.1 y 31.2 de la Ley 12/2023.</w:t>
      </w:r>
    </w:p>
    <w:p w14:paraId="013A0445" w14:textId="77777777" w:rsidR="00A8138F" w:rsidRDefault="00A8138F" w:rsidP="00A8138F">
      <w:pPr>
        <w:pStyle w:val="TextoNormal"/>
      </w:pPr>
    </w:p>
    <w:p w14:paraId="3D53EDB8" w14:textId="77777777" w:rsidR="00A8138F" w:rsidRDefault="00A8138F" w:rsidP="00A8138F">
      <w:pPr>
        <w:pStyle w:val="TextoNormal"/>
      </w:pPr>
      <w:r w:rsidRPr="00A8138F">
        <w:rPr>
          <w:rStyle w:val="NumeroAFNegritaCaracter"/>
        </w:rPr>
        <w:t>5</w:t>
      </w:r>
      <w:r>
        <w:t xml:space="preserve">. </w:t>
      </w:r>
      <w:r w:rsidRPr="00A8138F">
        <w:rPr>
          <w:i/>
        </w:rPr>
        <w:t>Sobre la invocada lesión del derecho de propiedad (art. 33 CE</w:t>
      </w:r>
      <w:r>
        <w:t>)</w:t>
      </w:r>
    </w:p>
    <w:p w14:paraId="65E983BC" w14:textId="77777777" w:rsidR="00A8138F" w:rsidRDefault="00A8138F" w:rsidP="00A8138F">
      <w:pPr>
        <w:pStyle w:val="TextoNormal"/>
      </w:pPr>
    </w:p>
    <w:p w14:paraId="3AD18C83" w14:textId="77777777" w:rsidR="00A8138F" w:rsidRDefault="00A8138F" w:rsidP="00A8138F">
      <w:pPr>
        <w:pStyle w:val="TextoNormal"/>
      </w:pPr>
      <w:r>
        <w:t xml:space="preserve">A) </w:t>
      </w:r>
      <w:r w:rsidRPr="00A8138F">
        <w:rPr>
          <w:i/>
        </w:rPr>
        <w:t>Objeto y posiciones de las partes</w:t>
      </w:r>
    </w:p>
    <w:p w14:paraId="1D685BA5" w14:textId="77777777" w:rsidR="00A8138F" w:rsidRDefault="00A8138F" w:rsidP="00A8138F">
      <w:pPr>
        <w:pStyle w:val="TextoNormal"/>
      </w:pPr>
    </w:p>
    <w:p w14:paraId="7CB54642" w14:textId="77777777" w:rsidR="00A8138F" w:rsidRDefault="00A8138F" w:rsidP="00A8138F">
      <w:pPr>
        <w:pStyle w:val="TextoNormal"/>
      </w:pPr>
      <w:r>
        <w:t xml:space="preserve">a) La Ley 12/2023 es también impugnada por los recurrentes en su disposición final primera, apartado 3, que modifica el art. 17 LAU, añadiendo dos nuevos apartados, 6 y 7. Concretamente, los recurrentes dirigen su tacha de inconstitucionalidad únicamente contra el nuevo apartado 7 del art. 17 LAU, en este caso, por estimar lesionado el derecho de propiedad </w:t>
      </w:r>
      <w:r w:rsidRPr="00A8138F">
        <w:rPr>
          <w:i/>
        </w:rPr>
        <w:t>ex</w:t>
      </w:r>
      <w:r>
        <w:t xml:space="preserve"> art. 33 CE.</w:t>
      </w:r>
    </w:p>
    <w:p w14:paraId="4EE89B5B" w14:textId="77777777" w:rsidR="00A8138F" w:rsidRDefault="00A8138F" w:rsidP="00A8138F">
      <w:pPr>
        <w:pStyle w:val="TextoNormal"/>
      </w:pPr>
    </w:p>
    <w:p w14:paraId="286A3BB5" w14:textId="77777777" w:rsidR="00A8138F" w:rsidRDefault="00A8138F" w:rsidP="00A8138F">
      <w:pPr>
        <w:pStyle w:val="TextoNormal"/>
      </w:pPr>
      <w:r>
        <w:t>En este sentido, la disposición final primera, bajo la rúbrica “Medidas de contención de precios en la regulación de los contratos de arrendamiento de vivienda” da la siguiente redacción al referido art. 17.7 LAU:</w:t>
      </w:r>
    </w:p>
    <w:p w14:paraId="115D9185" w14:textId="77777777" w:rsidR="00A8138F" w:rsidRDefault="00A8138F" w:rsidP="00A8138F">
      <w:pPr>
        <w:pStyle w:val="TextoNormal"/>
      </w:pPr>
    </w:p>
    <w:p w14:paraId="5ED46E87" w14:textId="77777777" w:rsidR="00A8138F" w:rsidRDefault="00A8138F" w:rsidP="00A8138F">
      <w:pPr>
        <w:pStyle w:val="TextoNormal"/>
      </w:pPr>
      <w:r>
        <w:t>“Sin perjuicio de lo dispuesto en el apartado anterior, en los contratos de arrendamiento de vivienda sujetos a la presente ley en los que el arrendador sea un gran tenedor de vivienda de acuerdo con la definición establecida en la Ley 12/2023, de 24 de mayo, por el derecho a la vivienda, y en los que el inmueble se ubique en una zona de mercado residencial tensionado dentro del periodo de vigencia de la declaración de la referida zona en los términos dispuestos en la referida Ley 12/2023, de 24 de mayo, por el derecho a la vivienda, la renta pactada al inicio del nuevo contrato no podrá exceder del límite máximo del precio aplicable conforme al sistema de índices de precios de referencia atendiendo a las condiciones y características de la vivienda arrendada y del edificio en que se ubique, pudiendo desarrollarse reglamentariamente las bases metodológicas de dicho sistema y los protocolos de colaboración e intercambio de datos con los sistemas de información estatales y autonómicos de aplicación.</w:t>
      </w:r>
    </w:p>
    <w:p w14:paraId="3DBAB44A" w14:textId="77777777" w:rsidR="00A8138F" w:rsidRDefault="00A8138F" w:rsidP="00A8138F">
      <w:pPr>
        <w:pStyle w:val="TextoNormal"/>
      </w:pPr>
    </w:p>
    <w:p w14:paraId="1849DB89" w14:textId="77777777" w:rsidR="00A8138F" w:rsidRDefault="00A8138F" w:rsidP="00A8138F">
      <w:pPr>
        <w:pStyle w:val="TextoNormal"/>
      </w:pPr>
      <w:r>
        <w:t xml:space="preserve">Esta misma limitación se aplicará a los contratos de arrendamiento de vivienda en los que el inmueble se ubique en una zona de mercado residencial tensionado dentro del periodo de vigencia de la declaración de la referida zona en los términos dispuestos en la referida Ley 12/2023, de 24 de mayo, por el derecho a la vivienda, y sobre el que no hubiese estado vigente ningún contrato de arrendamiento de vivienda vigente en los últimos cinco años, </w:t>
      </w:r>
      <w:r>
        <w:lastRenderedPageBreak/>
        <w:t>siempre que así se recoja en la resolución del Ministerio de Transportes, Movilidad y Agenda Urbana, al haberse justificado dicha aplicación en la declaración de la zona de mercado residencial tensionado”.</w:t>
      </w:r>
    </w:p>
    <w:p w14:paraId="63CFF676" w14:textId="77777777" w:rsidR="00A8138F" w:rsidRDefault="00A8138F" w:rsidP="00A8138F">
      <w:pPr>
        <w:pStyle w:val="TextoNormal"/>
      </w:pPr>
    </w:p>
    <w:p w14:paraId="7E69C94E" w14:textId="77777777" w:rsidR="00A8138F" w:rsidRDefault="00A8138F" w:rsidP="00A8138F">
      <w:pPr>
        <w:pStyle w:val="TextoNormal"/>
      </w:pPr>
      <w:r>
        <w:t>b) Como se ha reflejado en los antecedentes de hecho, los recurrentes estiman que la redacción dada al transcrito precepto fruto de la disposición final primera, apartado 3, de la Ley de vivienda es contraria al derecho de propiedad (art. 33 CE) al limitar la facultad esencial de disfrute que integra este derecho, excediéndose la Ley 12/2023 en este punto al no respetar el contenido esencial del derecho de propiedad, de conformidad con el art. 53.1 CE. Consideran, en tal sentido, que las medidas impuestas no resultan imprescindibles para la consecución del fin pretendido, cual es la promoción del acceso a la vivienda, al existir otras medidas de tipo fiscal, procesal, laboral o social menos invasivas del derecho de propiedad y de la autonomía de la voluntad de las partes, careciendo tanto de justificación objetiva y razonable como de apoyo en precepto constitucional alguno.</w:t>
      </w:r>
    </w:p>
    <w:p w14:paraId="6EC1600C" w14:textId="77777777" w:rsidR="00A8138F" w:rsidRDefault="00A8138F" w:rsidP="00A8138F">
      <w:pPr>
        <w:pStyle w:val="TextoNormal"/>
      </w:pPr>
    </w:p>
    <w:p w14:paraId="7F534E17" w14:textId="77777777" w:rsidR="00A8138F" w:rsidRDefault="00A8138F" w:rsidP="00A8138F">
      <w:pPr>
        <w:pStyle w:val="TextoNormal"/>
      </w:pPr>
      <w:r>
        <w:t>c) La Abogacía del Estado rechaza este argumento en el entendimiento de que la medida controvertida no desfigura el derecho de propiedad, sino que responde a la función social que forma parte de la esencia de este derecho, plasmada aquí en la finalidad de paliar la situación de carestía de vivienda.</w:t>
      </w:r>
    </w:p>
    <w:p w14:paraId="090F09D7" w14:textId="77777777" w:rsidR="00A8138F" w:rsidRDefault="00A8138F" w:rsidP="00A8138F">
      <w:pPr>
        <w:pStyle w:val="TextoNormal"/>
      </w:pPr>
    </w:p>
    <w:p w14:paraId="170ECB3C" w14:textId="77777777" w:rsidR="00A8138F" w:rsidRDefault="00A8138F" w:rsidP="00A8138F">
      <w:pPr>
        <w:pStyle w:val="TextoNormal"/>
      </w:pPr>
      <w:r>
        <w:t xml:space="preserve">B) </w:t>
      </w:r>
      <w:r w:rsidRPr="00A8138F">
        <w:rPr>
          <w:i/>
        </w:rPr>
        <w:t>Doctrina aplicable</w:t>
      </w:r>
    </w:p>
    <w:p w14:paraId="27B4E858" w14:textId="77777777" w:rsidR="00A8138F" w:rsidRDefault="00A8138F" w:rsidP="00A8138F">
      <w:pPr>
        <w:pStyle w:val="TextoNormal"/>
      </w:pPr>
    </w:p>
    <w:p w14:paraId="200240A8" w14:textId="77777777" w:rsidR="00A8138F" w:rsidRDefault="00A8138F" w:rsidP="00A8138F">
      <w:pPr>
        <w:pStyle w:val="TextoNormal"/>
      </w:pPr>
      <w:r>
        <w:t>Dados los términos en que se plantea el debate entre las partes, resulta preciso exponer la doctrina de este tribunal sobre el significado y extensión del derecho de propiedad.</w:t>
      </w:r>
    </w:p>
    <w:p w14:paraId="24E44D58" w14:textId="77777777" w:rsidR="00A8138F" w:rsidRDefault="00A8138F" w:rsidP="00A8138F">
      <w:pPr>
        <w:pStyle w:val="TextoNormal"/>
      </w:pPr>
    </w:p>
    <w:p w14:paraId="20584A88" w14:textId="77777777" w:rsidR="00A8138F" w:rsidRDefault="00A8138F" w:rsidP="00A8138F">
      <w:pPr>
        <w:pStyle w:val="TextoNormal"/>
      </w:pPr>
      <w:r>
        <w:t>El art. 33 CE reconoce en su apartado primero, el derecho a la propiedad privada y a la herencia, señalando en su apartado segundo, que la función social de estos derechos delimitará su contenido de acuerdo con las leyes y previendo específicamente, en su apartado tercero, como garantía, que nadie podrá ser privado de sus bienes y derechos sino por causa justificada de utilidad pública o interés social, mediante la correspondiente indemnización y de conformidad con lo dispuesto por las leyes.</w:t>
      </w:r>
    </w:p>
    <w:p w14:paraId="29AEC74F" w14:textId="77777777" w:rsidR="00A8138F" w:rsidRDefault="00A8138F" w:rsidP="00A8138F">
      <w:pPr>
        <w:pStyle w:val="TextoNormal"/>
      </w:pPr>
    </w:p>
    <w:p w14:paraId="764400CB" w14:textId="77777777" w:rsidR="00A8138F" w:rsidRDefault="00A8138F" w:rsidP="00A8138F">
      <w:pPr>
        <w:pStyle w:val="TextoNormal"/>
      </w:pPr>
      <w:r>
        <w:t xml:space="preserve">Por otro lado, este derecho fue incorporado al catálogo del Convenio europeo para la protección de los derechos humanos y de las libertades fundamentales (CEDH) a través del Protocolo adicional al Convenio, de 20 de marzo de 1952, cuyo art.1 reconoce en su párrafo primero el derecho de toda persona física o moral al respeto de sus bienes y prescribe que “[n]adie podrá ser privado de su propiedad más que por causa de utilidad pública y en las condiciones previstas por la ley y los principios generales del Derecho internacional”. Añadiendo en su párrafo segundo que “[l]as disposiciones precedentes se entienden sin perjuicio del derecho que poseen los Estados de poner en vigor las leyes que juzguen necesarias para la reglamentación del uso de los bienes de acuerdo con el interés general o para garantizar el pago de los impuestos u otras contribuciones o de las multas”. Como afirmamos en la STC 48/2005, de 3 de marzo, FJ 4, “[e]l Tribunal Europeo de Derechos Humanos ha precisado el objeto de este artículo señalando que ‘contiene tres normas distintas (STEDH de 21 de febrero de 1986, asunto </w:t>
      </w:r>
      <w:r w:rsidRPr="00A8138F">
        <w:rPr>
          <w:i/>
        </w:rPr>
        <w:t>James y otros c. Reino Unido</w:t>
      </w:r>
      <w:r>
        <w:t xml:space="preserve">, § 37): la primera, que se explica en la primera frase del primer párrafo y reviste un carácter general, enuncia el principio de respeto a la propiedad; la segunda, que figura en la segunda frase del mismo párrafo, se refiere a la privación de la propiedad y la somete a ciertas condiciones; en cuanto a la tercera, </w:t>
      </w:r>
      <w:r>
        <w:lastRenderedPageBreak/>
        <w:t>consignada en el segundo párrafo, reconoce a los Estados contratantes el poder, entre otros, de reglamentar el uso de bienes conforme al interés general’”.</w:t>
      </w:r>
    </w:p>
    <w:p w14:paraId="7CB889F3" w14:textId="77777777" w:rsidR="00A8138F" w:rsidRDefault="00A8138F" w:rsidP="00A8138F">
      <w:pPr>
        <w:pStyle w:val="TextoNormal"/>
      </w:pPr>
    </w:p>
    <w:p w14:paraId="5C7F9E15" w14:textId="77777777" w:rsidR="00A8138F" w:rsidRDefault="00A8138F" w:rsidP="00A8138F">
      <w:pPr>
        <w:pStyle w:val="TextoNormal"/>
      </w:pPr>
      <w:r>
        <w:t>La propiedad privada, tal como hemos venido declarando de forma reiterada, tiene una doble dimensión, como institución y como derecho individual, habiendo venido experimentando “‘una transformación tan profunda que impide concebirla hoy como una figura jurídica reconducible exclusivamente al tipo abstracto descrito en el art. 348 CC’ pues ‘la progresiva incorporación de finalidades sociales […] ha producido una diversificación de la institución dominical en una pluralidad de figuras o situaciones jurídicas reguladas con un significado y alcance diversos’ que se ha traducido ‘en diferentes tipos de propiedades dotadas de estatutos jurídicos diversos, de acuerdo con los bienes sobre los que cada derecho de propiedad recae’ (STC 37/1987, FJ 2)” (STC 7/2023, de 21 de febrero, FJ 4).</w:t>
      </w:r>
    </w:p>
    <w:p w14:paraId="08DB2731" w14:textId="77777777" w:rsidR="00A8138F" w:rsidRDefault="00A8138F" w:rsidP="00A8138F">
      <w:pPr>
        <w:pStyle w:val="TextoNormal"/>
      </w:pPr>
    </w:p>
    <w:p w14:paraId="69DBE356" w14:textId="77777777" w:rsidR="00A8138F" w:rsidRDefault="00A8138F" w:rsidP="00A8138F">
      <w:pPr>
        <w:pStyle w:val="TextoNormal"/>
      </w:pPr>
      <w:r>
        <w:t>Igualmente, hemos afirmado en la STC 204/2004, FJ 5, que “[a]l derecho a la propiedad privada le es aplicable la garantía del necesario respeto a su contenido esencial, en virtud de lo dispuesto en el art. 53.1 CE. A este propósito es oportuno recordar sucintamente que sobre el concepto del contenido esencial de los derechos, a que se refiere el mencionado art. 53.1 CE, este tribunal tiene declarado que la determinación del contenido esencial de cualquier tipo de derecho subjetivo —y, por tanto, también de los derechos fundamentales de la persona— viene marcada en cada caso por el elenco de ‘facultades o posibilidades de actuación necesarias para que el derecho sea recognoscible como perteneciente al tipo descrito y sin las cuales deja de pertenecer a este tipo y tiene que pasar a quedar comprendido en otro, desnaturalizándose, por decirlo así. Todo ello referido al momento histórico que en cada caso se trata y a las condiciones inherentes a las sociedades democráticas cuando se trate de derechos constitucionales’. Determinación que, desde otro ángulo metodológico, no contradictorio ni incompatible con aquel, ha sido expresada también por este tribunal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(SSTC 11/1981, de 8 de abril, FJ 10)’ (STC 37/1987, FJ 2)”.</w:t>
      </w:r>
    </w:p>
    <w:p w14:paraId="1B93632D" w14:textId="77777777" w:rsidR="00A8138F" w:rsidRDefault="00A8138F" w:rsidP="00A8138F">
      <w:pPr>
        <w:pStyle w:val="TextoNormal"/>
      </w:pPr>
    </w:p>
    <w:p w14:paraId="7EF0F8D1" w14:textId="77777777" w:rsidR="00A8138F" w:rsidRDefault="00A8138F" w:rsidP="00A8138F">
      <w:pPr>
        <w:pStyle w:val="TextoNormal"/>
      </w:pPr>
      <w:r>
        <w:t xml:space="preserve">A partir de esta doctrina general sobre el contenido esencial de los derechos constitucionales, proyectándola sobre el derecho a la propiedad privada, hemos afirmado que poniendo en estrecha conexión los tres apartados del art. 33 CE, que revelan la naturaleza del derecho en su formulación constitucional, “la Constitución reconoce un derecho a la propiedad privada que se configura y protege, ciertamente, como un haz de facultades individuales sobre las cosas, pero también y al mismo tiempo, como un conjunto de derechos y obligaciones establecidos, de acuerdo con las leyes, en atención a valores o intereses de la comunidad, es decir, a la finalidad o utilidad social que cada categoría de bienes objeto de dominio está llamada a cumplir. Por ello,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Utilidad individual y función social definen, por tanto, inescindiblemente el contenido del derecho de propiedad sobre cada categoría o tipo de </w:t>
      </w:r>
      <w:r>
        <w:lastRenderedPageBreak/>
        <w:t>bienes” (SSTC 204/2004, FJ 5; 112/2006, de 5 de abril, FJ 10, y 168/2023, de 22 de noviembre, FJ 4).</w:t>
      </w:r>
    </w:p>
    <w:p w14:paraId="2854A927" w14:textId="77777777" w:rsidR="00A8138F" w:rsidRDefault="00A8138F" w:rsidP="00A8138F">
      <w:pPr>
        <w:pStyle w:val="TextoNormal"/>
      </w:pPr>
    </w:p>
    <w:p w14:paraId="5270B23F" w14:textId="77777777" w:rsidR="00A8138F" w:rsidRDefault="00A8138F" w:rsidP="00A8138F">
      <w:pPr>
        <w:pStyle w:val="TextoNormal"/>
      </w:pPr>
      <w:r>
        <w:t>En cuanto a la función y límites del legislador en relación con el contenido esencial de los derechos constitucionales y, en particular, del derecho de propiedad, hemos mantenido que “[c]orresponde al legislador delimitar el contenido del derecho de propiedad en relación con cada tipo de bienes, respetando siempre el contenido esencial del derecho,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[SSTC 37/1987, de 26 de marzo, FJ 2; 170/1989, de 19 de octubre, FJ 8 b), y 89/1994, de 17 de marzo, FJ 4]. […]. Incumbe, pues, al legislador, con los límites señalados, la competencia para delimitar el contenido de los derechos dominicales, lo que no supone, claro está, una absoluta libertad en dicha delimitación que le permita ‘anular la utilidad meramente individual del derecho’ o, lo que es lo mismo, el límite lo encontrará, a efectos de la aplicación del art. 33.3 CE, en el contenido esencial, esto es, en no sobrepasar ‘las barreras más allá de las cuales el derecho dominical y las facultades de disponibilidad que supone que resulte recognoscible en cada momento histórico y en la posibilidad efectiva de realizar el derecho’ [STC 170/1989, FJ 8 b)]” (STC 204/2004, FJ 5).</w:t>
      </w:r>
    </w:p>
    <w:p w14:paraId="7BAAC62E" w14:textId="77777777" w:rsidR="00A8138F" w:rsidRDefault="00A8138F" w:rsidP="00A8138F">
      <w:pPr>
        <w:pStyle w:val="TextoNormal"/>
      </w:pPr>
    </w:p>
    <w:p w14:paraId="65BC2186" w14:textId="77777777" w:rsidR="00A8138F" w:rsidRDefault="00A8138F" w:rsidP="00A8138F">
      <w:pPr>
        <w:pStyle w:val="TextoNormal"/>
      </w:pPr>
      <w:r>
        <w:t xml:space="preserve">Finalmente, siguiendo esta senda, hemos recordado, asimismo, recientemente (SSTC 8/2023, de 22 de febrero, FJ 9, y 168/2023, FJ 4) que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8/2023, FJ 9).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SSTEDH de 21 de febrero de 1986, asunto </w:t>
      </w:r>
      <w:r w:rsidRPr="00A8138F">
        <w:rPr>
          <w:i/>
        </w:rPr>
        <w:t>James y otros c. Reino Unido</w:t>
      </w:r>
      <w:r>
        <w:t>, § 50), teniendo en cuenta que en las decisiones de índole social y económica se reconoce al legislador un amplio margen de apreciación sobre la necesidad, los fines y las consecuencias de sus disposiciones (</w:t>
      </w:r>
      <w:r w:rsidRPr="00A8138F">
        <w:rPr>
          <w:i/>
        </w:rPr>
        <w:t>inter alia</w:t>
      </w:r>
      <w:r>
        <w:t xml:space="preserve">, asuntos </w:t>
      </w:r>
      <w:r w:rsidRPr="00A8138F">
        <w:rPr>
          <w:i/>
        </w:rPr>
        <w:t>James y otros c. Reino Unido</w:t>
      </w:r>
      <w:r>
        <w:t xml:space="preserve">, § 46; </w:t>
      </w:r>
      <w:r w:rsidRPr="00A8138F">
        <w:rPr>
          <w:i/>
        </w:rPr>
        <w:t>ex Rey de Grecia y otros c. Grecia</w:t>
      </w:r>
      <w:r>
        <w:t xml:space="preserve">, de 23 de noviembre de 2000, § 87, </w:t>
      </w:r>
      <w:r w:rsidRPr="00A8138F">
        <w:rPr>
          <w:i/>
        </w:rPr>
        <w:t>Broniowski c. Polonia</w:t>
      </w:r>
      <w:r>
        <w:t>, de 22 de junio de 2004, §149)” (STC 16/2018, de 22 de febrero, FJ 7, […] 32/2018, de 12 de abril, 112/2021, de 13 de mayo, FJ 6)» (STC 168/2023, FJ 4).</w:t>
      </w:r>
    </w:p>
    <w:p w14:paraId="41A2CF44" w14:textId="77777777" w:rsidR="00A8138F" w:rsidRDefault="00A8138F" w:rsidP="00A8138F">
      <w:pPr>
        <w:pStyle w:val="TextoNormal"/>
      </w:pPr>
    </w:p>
    <w:p w14:paraId="1BA6B50B" w14:textId="77777777" w:rsidR="00A8138F" w:rsidRDefault="00A8138F" w:rsidP="00A8138F">
      <w:pPr>
        <w:pStyle w:val="TextoNormal"/>
      </w:pPr>
      <w:r>
        <w:t xml:space="preserve">Y en relación con el anterior argumento, también hemos declarado (STC 168/2023, FJ 5) que “para comprobar si se respeta la primera regla contenida en el art. 1 (protección de la propiedad) del Protocolo adicional al CEDH, [el Tribunal Europeo de Derechos Humanos] considera necesario comprobar si la injerencia en el derecho de propiedad ha respetado el justo equilibrio entre las exigencias del interés general de la comunidad y las de protección de los derechos fundamentales del individuo (STEDH, de 23 de septiembre de 1982, asunto </w:t>
      </w:r>
      <w:r w:rsidRPr="00A8138F">
        <w:rPr>
          <w:i/>
        </w:rPr>
        <w:t>Sporrong y Lönnroth c. Suecia</w:t>
      </w:r>
      <w:r>
        <w:t>, § 69). Dicho justo equilibrio se refleja en la estructura del art. 1 de la Convención en su conjunto y entraña la necesidad de una relación de propor</w:t>
      </w:r>
      <w:r>
        <w:lastRenderedPageBreak/>
        <w:t xml:space="preserve">cionalidad entre los medios empleados y el fin que se pretende alcanzar (STEDH de 5 de enero de 2000, asunto </w:t>
      </w:r>
      <w:r w:rsidRPr="00A8138F">
        <w:rPr>
          <w:i/>
        </w:rPr>
        <w:t>Beyeler c. Italia</w:t>
      </w:r>
      <w:r>
        <w:t xml:space="preserve">, §114). Para comprobar si existe una relación razonable de proporcionalidad entre los medios empleados y el fin que se pretende alcanzar con cualesquiera medidas aplicadas por el Estado, incluidas medidas que privan a una persona de sus posesiones, el Tribunal Europeo considera también esencial determinar si con la ‘acción o inacción’ de la administración, la persona en cuestión tuvo que soportar una carga desproporcionada y excesiva (STEDH de 29 de marzo de 2011, asunto </w:t>
      </w:r>
      <w:r w:rsidRPr="00A8138F">
        <w:rPr>
          <w:i/>
        </w:rPr>
        <w:t>Potomska y Potomski c. Polonia</w:t>
      </w:r>
      <w:r>
        <w:t>, § 65)”.</w:t>
      </w:r>
    </w:p>
    <w:p w14:paraId="68F2F8E1" w14:textId="77777777" w:rsidR="00A8138F" w:rsidRDefault="00A8138F" w:rsidP="00A8138F">
      <w:pPr>
        <w:pStyle w:val="TextoNormal"/>
      </w:pPr>
    </w:p>
    <w:p w14:paraId="3927AE1F" w14:textId="77777777" w:rsidR="00A8138F" w:rsidRDefault="00A8138F" w:rsidP="00A8138F">
      <w:pPr>
        <w:pStyle w:val="TextoNormal"/>
      </w:pPr>
      <w:r>
        <w:t>C</w:t>
      </w:r>
      <w:r w:rsidRPr="00A8138F">
        <w:rPr>
          <w:i/>
        </w:rPr>
        <w:t>) Enjuiciamien</w:t>
      </w:r>
      <w:r>
        <w:t>to</w:t>
      </w:r>
    </w:p>
    <w:p w14:paraId="0625C0A8" w14:textId="77777777" w:rsidR="00A8138F" w:rsidRDefault="00A8138F" w:rsidP="00A8138F">
      <w:pPr>
        <w:pStyle w:val="TextoNormal"/>
      </w:pPr>
    </w:p>
    <w:p w14:paraId="5876215F" w14:textId="77777777" w:rsidR="00A8138F" w:rsidRDefault="00A8138F" w:rsidP="00A8138F">
      <w:pPr>
        <w:pStyle w:val="TextoNormal"/>
      </w:pPr>
      <w:r>
        <w:t>a) Para mejor comprensión de este punto interesa tener presente que el nuevo art. 17.6 LAU, que como se ha dicho los recurrentes no combaten en realidad, introduce una limitación de precio para los nuevos alquileres de vivienda en zonas de mercado residencial tensionado, durante su vigencia, que toma como referencia la renta y las condiciones de los contratos de arrendamiento que hubiera habido sobre el inmueble en los cinco años anteriores (aplicando una cláusula de actualización y con ciertas causas para aumentar su cuantía). Por su parte, el sí discutido nuevo art. 17.7 LAU contiene dos tipos de previsiones en párrafos separados, que se refieren a dos situaciones diferentes entre sí y en los que no opera la regla anterior.</w:t>
      </w:r>
    </w:p>
    <w:p w14:paraId="445209DB" w14:textId="77777777" w:rsidR="00A8138F" w:rsidRDefault="00A8138F" w:rsidP="00A8138F">
      <w:pPr>
        <w:pStyle w:val="TextoNormal"/>
      </w:pPr>
    </w:p>
    <w:p w14:paraId="71333103" w14:textId="77777777" w:rsidR="00A8138F" w:rsidRDefault="00A8138F" w:rsidP="00A8138F">
      <w:pPr>
        <w:pStyle w:val="TextoNormal"/>
      </w:pPr>
      <w:r>
        <w:t>La primera es la del propietario gran tenedor de vivienda (siempre de acuerdo con la definición establecida en la Ley 12/2023) que alquila en esas zonas, al que se le aplica el sistema oficial de índices de precios de referencia. La segunda es la del propietario que no es gran tenedor pero que no ha tenido la vivienda alquilada en los últimos cinco años, al que también se le aplica este mismo sistema.</w:t>
      </w:r>
    </w:p>
    <w:p w14:paraId="2879D9DC" w14:textId="77777777" w:rsidR="00A8138F" w:rsidRDefault="00A8138F" w:rsidP="00A8138F">
      <w:pPr>
        <w:pStyle w:val="TextoNormal"/>
      </w:pPr>
    </w:p>
    <w:p w14:paraId="62B07580" w14:textId="77777777" w:rsidR="00A8138F" w:rsidRDefault="00A8138F" w:rsidP="00A8138F">
      <w:pPr>
        <w:pStyle w:val="TextoNormal"/>
      </w:pPr>
      <w:r>
        <w:t>Se trata de dos situaciones subjetivas diversas, que tienen sus peculiaridades y que, en otros puntos de la Ley 12/2023, reciben tratamiento radicalmente diferenciado. Así, el título I impone únicamente a los grandes tenedores de vivienda en estas zonas un deber de información, a requerimiento de la administración competente en materia de vivienda, con objeto de asegurar el cumplimiento de los deberes asociados al derecho de propiedad de la vivienda, especialmente en estos entornos en los que, como explica el preámbulo, “deben evitarse prácticas de retención y desocupación indebidas, que podrían tener efectos muy negativos en el mercado residencial a nivel local”. Esa es la lógica en que debe entenderse también la limitación de rentas que nos ocupa referenciada a un sistema oficial de índices de precios.</w:t>
      </w:r>
    </w:p>
    <w:p w14:paraId="4785C17F" w14:textId="77777777" w:rsidR="00A8138F" w:rsidRDefault="00A8138F" w:rsidP="00A8138F">
      <w:pPr>
        <w:pStyle w:val="TextoNormal"/>
      </w:pPr>
    </w:p>
    <w:p w14:paraId="0080AEA7" w14:textId="77777777" w:rsidR="00A8138F" w:rsidRDefault="00A8138F" w:rsidP="00A8138F">
      <w:pPr>
        <w:pStyle w:val="TextoNormal"/>
      </w:pPr>
      <w:r>
        <w:t>La misma limitación se extiende también a propietarios que no tienen esa condición de grandes tenedores, por la cabal razón de que no existen arrendamientos previos sobre los que pueda aplicarse la regla del art. 17.6 LAU que opera para este tipo de propietarios con carácter general. Ese es el motivo por el que el legislador extiende a este segundo tipo de sujetos la norma de los grandes tenedores, con la cautela, eso sí, de que la limitación de rentas se hubiera justificado en la declaración de la zona tensionada en cuestión y se recoja en la resolución ministerial correspondiente. Tal previsión no existe para los grandes tenedores, siendo evidente, por tanto, que el legislador no ignora la diferente situación de los propietarios a quienes se aplica cada párrafo del nuevo art. 17.7 LAU.</w:t>
      </w:r>
    </w:p>
    <w:p w14:paraId="4646AB1E" w14:textId="77777777" w:rsidR="00A8138F" w:rsidRDefault="00A8138F" w:rsidP="00A8138F">
      <w:pPr>
        <w:pStyle w:val="TextoNormal"/>
      </w:pPr>
    </w:p>
    <w:p w14:paraId="7374F17E" w14:textId="77777777" w:rsidR="00A8138F" w:rsidRDefault="00A8138F" w:rsidP="00A8138F">
      <w:pPr>
        <w:pStyle w:val="TextoNormal"/>
      </w:pPr>
      <w:r>
        <w:lastRenderedPageBreak/>
        <w:t>b) Aclarada la lógica subjetiva del precepto sometido a examen, conviene también hacer alusión a otros con los que guarda conexión objetiva, para entender cómo se fijan los índices de referencia del precio del alquiler.</w:t>
      </w:r>
    </w:p>
    <w:p w14:paraId="7A02BFFC" w14:textId="77777777" w:rsidR="00A8138F" w:rsidRDefault="00A8138F" w:rsidP="00A8138F">
      <w:pPr>
        <w:pStyle w:val="TextoNormal"/>
      </w:pPr>
    </w:p>
    <w:p w14:paraId="231259F9" w14:textId="77777777" w:rsidR="00A8138F" w:rsidRDefault="00A8138F" w:rsidP="00A8138F">
      <w:pPr>
        <w:pStyle w:val="TextoNormal"/>
      </w:pPr>
      <w:r>
        <w:t>Es el caso de la disposición final primera de la Ley 12/2023 en su apartado 6, que añade una disposición transitoria séptima a la Ley de arrendamientos urbanos, redactada de la siguiente forma:</w:t>
      </w:r>
    </w:p>
    <w:p w14:paraId="67FE370F" w14:textId="77777777" w:rsidR="00A8138F" w:rsidRDefault="00A8138F" w:rsidP="00A8138F">
      <w:pPr>
        <w:pStyle w:val="TextoNormal"/>
      </w:pPr>
    </w:p>
    <w:p w14:paraId="589D95EC" w14:textId="77777777" w:rsidR="00A8138F" w:rsidRDefault="00A8138F" w:rsidP="00A8138F">
      <w:pPr>
        <w:pStyle w:val="TextoNormal"/>
      </w:pPr>
      <w:r>
        <w:t>“Disposición transitoria séptima. Aplicación de las medidas en zonas tensionadas</w:t>
      </w:r>
    </w:p>
    <w:p w14:paraId="3C4091E8" w14:textId="77777777" w:rsidR="00A8138F" w:rsidRDefault="00A8138F" w:rsidP="00A8138F">
      <w:pPr>
        <w:pStyle w:val="TextoNormal"/>
      </w:pPr>
    </w:p>
    <w:p w14:paraId="4C71E58C" w14:textId="77777777" w:rsidR="00A8138F" w:rsidRDefault="00A8138F" w:rsidP="00A8138F">
      <w:pPr>
        <w:pStyle w:val="TextoNormal"/>
      </w:pPr>
      <w:r>
        <w:t>1. La regulación establecida en el apartado 7 del artículo 17 se aplicará a los contratos que se formalicen desde la entrada en vigor de la Ley 12/2023, de 24 de mayo, por el derecho a la vivienda, y una vez se encuentre aprobado el referido sistema de índices de precios de referencia, de acuerdo con lo previsto en la disposición adicional primera de la Ley 12/2023, de 24 de mayo, por el derecho a la vivienda y lo establecido en la disposición adicional segunda del Real Decreto-ley 7/2019, de 1 de marzo, de medidas urgentes en materia de vivienda y alquiler.</w:t>
      </w:r>
    </w:p>
    <w:p w14:paraId="721F98EE" w14:textId="77777777" w:rsidR="00A8138F" w:rsidRDefault="00A8138F" w:rsidP="00A8138F">
      <w:pPr>
        <w:pStyle w:val="TextoNormal"/>
      </w:pPr>
    </w:p>
    <w:p w14:paraId="054EF29D" w14:textId="77777777" w:rsidR="00A8138F" w:rsidRDefault="00A8138F" w:rsidP="00A8138F">
      <w:pPr>
        <w:pStyle w:val="TextoNormal"/>
      </w:pPr>
      <w:r>
        <w:t>2. La resolución del Departamento ministerial competente en materia de vivienda que apruebe el referido sistema de índices de precios de referencia se realizará por ámbitos territoriales, considerando las bases de datos, sistemas y metodologías desarrolladas por las distintas comunidades autónomas y asegurando en todo caso la coordinación técnica”.</w:t>
      </w:r>
    </w:p>
    <w:p w14:paraId="59ED42DD" w14:textId="77777777" w:rsidR="00A8138F" w:rsidRDefault="00A8138F" w:rsidP="00A8138F">
      <w:pPr>
        <w:pStyle w:val="TextoNormal"/>
      </w:pPr>
    </w:p>
    <w:p w14:paraId="21D898D8" w14:textId="77777777" w:rsidR="00A8138F" w:rsidRDefault="00A8138F" w:rsidP="00A8138F">
      <w:pPr>
        <w:pStyle w:val="TextoNormal"/>
      </w:pPr>
      <w:r>
        <w:t>Por su parte, la disposición adicional primera de la Ley 12/2023, a la que alude el apartado 1 de la nueva disposición transitoria séptima de la Ley de arrendamientos urbanos, tiene por objeto la regulación de la “[b]ase de datos de contratos de arrendamiento de vivienda y refuerzo de la coordinación en la información sobre contratos de arrendamiento”, con el siguiente contenido:</w:t>
      </w:r>
    </w:p>
    <w:p w14:paraId="1200F0B0" w14:textId="77777777" w:rsidR="00A8138F" w:rsidRDefault="00A8138F" w:rsidP="00A8138F">
      <w:pPr>
        <w:pStyle w:val="TextoNormal"/>
      </w:pPr>
    </w:p>
    <w:p w14:paraId="26D2CFBB" w14:textId="77777777" w:rsidR="00A8138F" w:rsidRDefault="00A8138F" w:rsidP="00A8138F">
      <w:pPr>
        <w:pStyle w:val="TextoNormal"/>
      </w:pPr>
      <w:r>
        <w:t>“1. Para el desarrollo de lo previsto en esta ley, se conformará una base de datos de contratos de arrendamiento de vivienda, a partir de la información contenida en los actuales registros autonómicos de fianzas de las comunidades autónomas, en el registro de la propiedad y otras fuentes de información de ámbito estatal, autonómico o local, con el objeto de incrementar la información disponible para el desarrollo del sistema de índices de referencia del precio del alquiler de vivienda establecido en la disposición adicional segunda del Real Decreto-ley 7/2019, de 1 de marzo, de medidas urgentes en materia de vivienda y alquiler.</w:t>
      </w:r>
    </w:p>
    <w:p w14:paraId="19808716" w14:textId="77777777" w:rsidR="00A8138F" w:rsidRDefault="00A8138F" w:rsidP="00A8138F">
      <w:pPr>
        <w:pStyle w:val="TextoNormal"/>
      </w:pPr>
    </w:p>
    <w:p w14:paraId="43B5B82A" w14:textId="77777777" w:rsidR="00A8138F" w:rsidRDefault="00A8138F" w:rsidP="00A8138F">
      <w:pPr>
        <w:pStyle w:val="TextoNormal"/>
      </w:pPr>
      <w:r>
        <w:t>2. Se promoverán los mecanismos de colaboración con las comunidades autónomas y otros organismos e instituciones, para disponer de la información veraz sobre los contratos de arrendamiento de vivienda vigentes, a través de los datos recogidos en los distintos registros autonómicos y estatales, con el objeto de realizar un adecuado seguimiento del conjunto de medidas incluidas en esta ley y determinar el progreso en el cumplimiento de los objetivos de incrementar la oferta de vivienda en alquiler a precios asequibles.</w:t>
      </w:r>
    </w:p>
    <w:p w14:paraId="60313A79" w14:textId="77777777" w:rsidR="00A8138F" w:rsidRDefault="00A8138F" w:rsidP="00A8138F">
      <w:pPr>
        <w:pStyle w:val="TextoNormal"/>
      </w:pPr>
    </w:p>
    <w:p w14:paraId="5A8081D2" w14:textId="77777777" w:rsidR="00A8138F" w:rsidRDefault="00A8138F" w:rsidP="00A8138F">
      <w:pPr>
        <w:pStyle w:val="TextoNormal"/>
      </w:pPr>
      <w:r>
        <w:t>3. A la entrada en vigor de la ley se iniciará un proceso específico de colaboración entre el Departamento ministerial competente en materia de vivienda y las comunidades autónomas que hayan desarrollado sistemas de referencia del precio del alquiler en sus respectivos ámbitos territoriales para asegurar la colaboración entre sistemas, la atención a las especifi</w:t>
      </w:r>
      <w:r>
        <w:lastRenderedPageBreak/>
        <w:t>cidades territoriales que deban tenerse en cuenta, así como el establecimiento de plazos para agilizar su aplicación efectiva”.</w:t>
      </w:r>
    </w:p>
    <w:p w14:paraId="3A7FC1EA" w14:textId="77777777" w:rsidR="00A8138F" w:rsidRDefault="00A8138F" w:rsidP="00A8138F">
      <w:pPr>
        <w:pStyle w:val="TextoNormal"/>
      </w:pPr>
    </w:p>
    <w:p w14:paraId="2638DE8A" w14:textId="77777777" w:rsidR="00A8138F" w:rsidRDefault="00A8138F" w:rsidP="00A8138F">
      <w:pPr>
        <w:pStyle w:val="TextoNormal"/>
      </w:pPr>
      <w:r>
        <w:t>En lo que hace a la disposición adicional segunda del Real Decreto-ley 7/2019, de 1 de marzo, de medidas urgentes en materia de vivienda y alquiler, dedicada a la regulación del sistema de índices de referencia del precio del alquiler de vivienda, tiene el contenido siguiente:</w:t>
      </w:r>
    </w:p>
    <w:p w14:paraId="0D532509" w14:textId="77777777" w:rsidR="00A8138F" w:rsidRDefault="00A8138F" w:rsidP="00A8138F">
      <w:pPr>
        <w:pStyle w:val="TextoNormal"/>
      </w:pPr>
    </w:p>
    <w:p w14:paraId="7779E781" w14:textId="77777777" w:rsidR="00A8138F" w:rsidRDefault="00A8138F" w:rsidP="00A8138F">
      <w:pPr>
        <w:pStyle w:val="TextoNormal"/>
      </w:pPr>
      <w:r>
        <w:t>“Disposición adicional segunda […]</w:t>
      </w:r>
    </w:p>
    <w:p w14:paraId="6A995351" w14:textId="77777777" w:rsidR="00A8138F" w:rsidRDefault="00A8138F" w:rsidP="00A8138F">
      <w:pPr>
        <w:pStyle w:val="TextoNormal"/>
      </w:pPr>
    </w:p>
    <w:p w14:paraId="4C4B0697" w14:textId="77777777" w:rsidR="00A8138F" w:rsidRDefault="00A8138F" w:rsidP="00A8138F">
      <w:pPr>
        <w:pStyle w:val="TextoNormal"/>
      </w:pPr>
      <w:r>
        <w:t>1. Para garantizar la transparencia y el conocimiento de la evolución del mercado del alquiler de viviendas, así como para aplicar políticas públicas que incrementen la oferta de vivienda asequible y para facilitar la aplicación de medidas de política fiscal, se crea el sistema estatal de índices de referencia del precio del alquiler de vivienda, que se ajustará a las siguientes reglas:</w:t>
      </w:r>
    </w:p>
    <w:p w14:paraId="7F90A56D" w14:textId="77777777" w:rsidR="00A8138F" w:rsidRDefault="00A8138F" w:rsidP="00A8138F">
      <w:pPr>
        <w:pStyle w:val="TextoNormal"/>
      </w:pPr>
    </w:p>
    <w:p w14:paraId="14E0481B" w14:textId="77777777" w:rsidR="00A8138F" w:rsidRDefault="00A8138F" w:rsidP="00A8138F">
      <w:pPr>
        <w:pStyle w:val="TextoNormal"/>
      </w:pPr>
      <w:r>
        <w:t>a) Se elaborará en el plazo de ocho meses por la Administración General del Estado, a través de un procedimiento sujeto a los principios de transparencia y publicidad. La resolución por la que se determine el sistema de índices de referencia se publicará en el ‘Boletín Oficial del Estado’. Contra la resolución por la que se apruebe el sistema de índices de referencia podrá interponerse recurso contencioso-administrativo.</w:t>
      </w:r>
    </w:p>
    <w:p w14:paraId="1FB616F3" w14:textId="77777777" w:rsidR="00A8138F" w:rsidRDefault="00A8138F" w:rsidP="00A8138F">
      <w:pPr>
        <w:pStyle w:val="TextoNormal"/>
      </w:pPr>
    </w:p>
    <w:p w14:paraId="1CA943E7" w14:textId="77777777" w:rsidR="00A8138F" w:rsidRDefault="00A8138F" w:rsidP="00A8138F">
      <w:pPr>
        <w:pStyle w:val="TextoNormal"/>
      </w:pPr>
      <w:r>
        <w:t>b) Para la determinación del índice estatal se utilizarán los datos procedentes de la información disponible en la Agencia Estatal de la Administración Tributaria, en el Catastro Inmobiliario, en el Registro de la Propiedad, en los registros administrativos de depósitos de fianza y en otras fuentes de información, que sean representativos del mercado del alquiler de vivienda. Anualmente se ofrecerá una relación de valores medios de la renta mensual en euros por metro cuadrado de superficie de la vivienda, agregados por secciones censales, barrios, distritos, municipios, provincias y comunidades autónomas.</w:t>
      </w:r>
    </w:p>
    <w:p w14:paraId="77F961FA" w14:textId="77777777" w:rsidR="00A8138F" w:rsidRDefault="00A8138F" w:rsidP="00A8138F">
      <w:pPr>
        <w:pStyle w:val="TextoNormal"/>
      </w:pPr>
    </w:p>
    <w:p w14:paraId="5AEAEB4D" w14:textId="77777777" w:rsidR="00A8138F" w:rsidRDefault="00A8138F" w:rsidP="00A8138F">
      <w:pPr>
        <w:pStyle w:val="TextoNormal"/>
      </w:pPr>
      <w:r>
        <w:t>2. En sus respectivos ámbitos territoriales, las comunidades autónomas podrán definir de manera específica y adaptada a su territorio, su propio índice de referencia, para el ejercicio de sus competencias y a los efectos de diseñar sus propias políticas y programas públicos de vivienda”.</w:t>
      </w:r>
    </w:p>
    <w:p w14:paraId="3871F9D2" w14:textId="77777777" w:rsidR="00A8138F" w:rsidRDefault="00A8138F" w:rsidP="00A8138F">
      <w:pPr>
        <w:pStyle w:val="TextoNormal"/>
      </w:pPr>
    </w:p>
    <w:p w14:paraId="6BE0D25D" w14:textId="77777777" w:rsidR="00A8138F" w:rsidRDefault="00A8138F" w:rsidP="00A8138F">
      <w:pPr>
        <w:pStyle w:val="TextoNormal"/>
      </w:pPr>
      <w:r>
        <w:t>Este sistema de índices de precios de referencia ya ha sido aprobado, como señalamos en la STC 79/2024, FJ 9 B) b), en virtud de la Resolución de 14 de marzo de 2024, de la Secretaría de Estado de Vivienda y Agenta Urbana, por la que se determina el sistema de índices de precios de referencia a los efectos de lo establecido en el artículo 17.7 de la Ley 29/1994, de 24 de noviembre, de arrendamientos urbanos, publicada en el “Boletín Oficial del Estado” de 15 de marzo de 2024, en cuya virtud se resuelve en su apartado segundo que “[l]a fijación del límite máximo de la renta de los nuevos contratos de arrendamiento de vivienda en los supuestos recogidos en el referido artículo 17.7 de la Ley 29/1994, de 24 de noviembre, se realizará de acuerdo con la aplicación en línea a la que se accede a través del portal de internet del Ministerio de Vivienda y Agenda Urbana, tomando el valor superior del rango de valores individualizados que resultan de la localización y las diferentes características de la vivienda objeto de arrendamiento”; y en su apartado tercero que “[l]a aprobación del sistema estatal de índices de precios de referencia se establece por ámbitos terri</w:t>
      </w:r>
      <w:r>
        <w:lastRenderedPageBreak/>
        <w:t>toriales, atendiendo a las secciones censales para las que se dispone de datos para la determinación del rango de valores individualizados de referencia, de acuerdo con la metodología que se encuentra publicada en el portal de internet del Ministerio de Vivienda y Agenda Urbana”.</w:t>
      </w:r>
    </w:p>
    <w:p w14:paraId="4BDC847F" w14:textId="77777777" w:rsidR="00A8138F" w:rsidRDefault="00A8138F" w:rsidP="00A8138F">
      <w:pPr>
        <w:pStyle w:val="TextoNormal"/>
      </w:pPr>
    </w:p>
    <w:p w14:paraId="48FFEB60" w14:textId="77777777" w:rsidR="00A8138F" w:rsidRDefault="00A8138F" w:rsidP="00A8138F">
      <w:pPr>
        <w:pStyle w:val="TextoNormal"/>
      </w:pPr>
      <w:r>
        <w:t>c) Debemos detenernos ahora en la finalidad que el legislador atribuye a esta medida. De acuerdo con el preámbulo de la Ley 12/2023 (apartado III, párrafo 48) “en la disposición final primera, se establece un mecanismo de carácter excepcional y acotado en el tiempo, que pueda intervenir en el mercado para amortiguar las situaciones de tensión y conceder a las administraciones competentes el tiempo necesario para poder compensar en su caso el déficit de oferta o corregir con otras políticas de vivienda las carencias de las zonas declaradas de mercado residencial tensionado”. Tras hacer referencia tanto a la medida introducida en el apartado 1 de la disposición final primera que modifica el art. 10 LAU mediante la regulación de una prórroga extraordinaria del contrato de alquiler de vivienda, como a la incorporada en el apartado 6 del art. 17 LAU antes analizado, se afirma respecto de la medida que a los efectos de este recurso interesa, lo siguiente (apartado III, párrafo 49): “Asimismo, en estas zonas de mercado residencial tensionado, cuando el propietario sea un gran tenedor, o en el caso de viviendas que no hubiesen estado arrendadas como vivienda habitual en los últimos cinco años cuando ello se justifique en la declaración de la zona, no podrá exceder del límite máximo del precio aplicable conforme al sistema de índices de precios de referencia, cuya aplicación se define a través de una nueva disposición transitoria que se introduce en la Ley 29/1994, de 24 de noviembre, de arrendamientos urbanos”.</w:t>
      </w:r>
    </w:p>
    <w:p w14:paraId="12E569DE" w14:textId="77777777" w:rsidR="00A8138F" w:rsidRDefault="00A8138F" w:rsidP="00A8138F">
      <w:pPr>
        <w:pStyle w:val="TextoNormal"/>
      </w:pPr>
    </w:p>
    <w:p w14:paraId="0FCB7C32" w14:textId="77777777" w:rsidR="00A8138F" w:rsidRDefault="00A8138F" w:rsidP="00A8138F">
      <w:pPr>
        <w:pStyle w:val="TextoNormal"/>
      </w:pPr>
      <w:r>
        <w:t>A la vista de lo anterior, la previsión contenida en el art. 17.7 LAU que se combate por los recurrentes se conceptúa, así, como una medida regulatoria de los contratos de arrendamiento de vivienda mediante el acotamiento desde el inicio del contrato del límite máximo de la renta a abonar por el arrendatario atendiendo a un indicador oficial de precios de referencia. Con ello, lo que se persigue es hacer frente a la carestía de vivienda en las denominadas zonas de mercado residencial tensionado, favoreciendo su accesibilidad a niveles asequibles.</w:t>
      </w:r>
    </w:p>
    <w:p w14:paraId="180B777E" w14:textId="77777777" w:rsidR="00A8138F" w:rsidRDefault="00A8138F" w:rsidP="00A8138F">
      <w:pPr>
        <w:pStyle w:val="TextoNormal"/>
      </w:pPr>
    </w:p>
    <w:p w14:paraId="2E94702F" w14:textId="77777777" w:rsidR="00A8138F" w:rsidRDefault="00A8138F" w:rsidP="00A8138F">
      <w:pPr>
        <w:pStyle w:val="TextoNormal"/>
      </w:pPr>
      <w:r>
        <w:t>La finalidad concreta de esta medida resulta conciliadora con los objetivos generales perseguidos por la Ley 12/2023 y que se enuncian en su preámbulo; en particular con el de “[f]acilitar el acceso a una vivienda digna y adecuada a las personas que tienen dificultades para acceder a una vivienda en condiciones de mercado, prestando especial atención a jóvenes y colectivos vulnerables y favoreciendo la existencia de una oferta a precios asequibles y adaptada a las realidades de los ámbitos urbanos y rurales” (apartado III, párrafo 2). Esto se refleja, a su vez, tanto en el art. 1 de la Ley 12/2023, referido a su objeto, disponiendo su apartado primero que la “Ley tiene por objeto regular, en el ámbito de [las] competencias del Estado, las condiciones básicas que garantizan la igualdad en el ejercicio […], en particular el derecho a acceder a una vivienda digna y adecuada y al disfrute de la misma en condiciones asequibles”, como en los denominados “fines de las políticas públicas de vivienda” a que dedica el art. 2 de la Ley 12/2023, contemplándose en concreto como tales fines: “a) La efectividad de los derechos de acceso en condiciones asequibles a una vivienda digna y adecuada de acuerdo con la Constitución Española y las recomendaciones de los instrumentos internacionales ratificados por España. […] h) Impulsar y fomentar la existencia de una oferta suficiente y adecuada de vivienda en alquiler a precios asequibles […] n) Adoptar medidas para identificar y prevenir la retención especulativa, la segregación resi</w:t>
      </w:r>
      <w:r>
        <w:lastRenderedPageBreak/>
        <w:t>dencial, los procesos de sobreocupación, la exclusión residencial grave como el chabolismo o el sinhogarismo y la degradación de las condiciones del parque de viviendas existente y de su entorno, para permitir el desarrollo de su función residencial y la mejora de la calidad de vida”.</w:t>
      </w:r>
    </w:p>
    <w:p w14:paraId="1DBD0F59" w14:textId="77777777" w:rsidR="00A8138F" w:rsidRDefault="00A8138F" w:rsidP="00A8138F">
      <w:pPr>
        <w:pStyle w:val="TextoNormal"/>
      </w:pPr>
    </w:p>
    <w:p w14:paraId="70AD06D9" w14:textId="77777777" w:rsidR="00A8138F" w:rsidRDefault="00A8138F" w:rsidP="00A8138F">
      <w:pPr>
        <w:pStyle w:val="TextoNormal"/>
      </w:pPr>
      <w:r>
        <w:t>d) Resulta pues evidente que aun cuando, como hemos visto, el art. 17.7 LAU prevé dos supuestos diferentes de aplicación de la limitación de rentas, ambos tienen en común el tratarse de viviendas situadas en las llamadas zonas de mercado residencial tensionado, sobre las que, como dijimos en la STC 79/2024 FJ 5 B), “[e]l legislador estatal construye […] gran parte de su opción legislativa para la protección del derecho a la vivienda que le compete”, siendo el art. 18.1 de la Ley 12/2023 “nuclear para entender el sentido y finalidad de las zonas de mercado residencial tensionado”.</w:t>
      </w:r>
    </w:p>
    <w:p w14:paraId="6B8912D8" w14:textId="77777777" w:rsidR="00A8138F" w:rsidRDefault="00A8138F" w:rsidP="00A8138F">
      <w:pPr>
        <w:pStyle w:val="TextoNormal"/>
      </w:pPr>
    </w:p>
    <w:p w14:paraId="651C3372" w14:textId="77777777" w:rsidR="00A8138F" w:rsidRDefault="00A8138F" w:rsidP="00A8138F">
      <w:pPr>
        <w:pStyle w:val="TextoNormal"/>
      </w:pPr>
      <w:r>
        <w:t>Para la declaración de dichas zonas, el precepto arbitra en sus apartados siguientes las reglas a seguir por las administraciones competentes en materia de vivienda, y de las que —resumidamente— puede concluirse que el fundamento legal de la declaración de una zona de mercado residencial tensionado se encuentra en la apreciación de un especial riesgo de abastecimiento insuficiente de vivienda para la población residente y en la necesidad de atender adecuadamente a un precio razonable la demanda de vivienda habitual, atendiendo, para ello, a la situación socioeconómica de la población residente y las dinámicas demográficas.</w:t>
      </w:r>
    </w:p>
    <w:p w14:paraId="2D5A3250" w14:textId="77777777" w:rsidR="00A8138F" w:rsidRDefault="00A8138F" w:rsidP="00A8138F">
      <w:pPr>
        <w:pStyle w:val="TextoNormal"/>
      </w:pPr>
    </w:p>
    <w:p w14:paraId="78ECAB06" w14:textId="77777777" w:rsidR="00A8138F" w:rsidRDefault="00A8138F" w:rsidP="00A8138F">
      <w:pPr>
        <w:pStyle w:val="TextoNormal"/>
      </w:pPr>
      <w:r>
        <w:t>Se trata, por tanto, de una figura cuyo ámbito de aplicación es excepcional y limitado, tanto territorial como temporalmente. Que por razones subjetivas (grandes tenedores de vivienda) o por la imposibilidad de aplicar otras formas de actualización de rentas (al no existir arrendamientos previos sobre la vivienda) a los nuevos contratos de alquiler de vivienda en esas zonas se asocie un sistema de contención de precios fijado de manera objetiva y que les asegura una rentabilidad acorde con la situación en la zona, como se ha visto, no puede decirse que produzca un perjuicio patrimonial relevante a los arrendadores. Estos no vienen obligados por la Ley 12/2023 a poner en el mercado de alquiler, las viviendas de su propiedad, ni tampoco se les obliga a fijar un precio antieconómico.</w:t>
      </w:r>
    </w:p>
    <w:p w14:paraId="3DDC4F1D" w14:textId="77777777" w:rsidR="00A8138F" w:rsidRDefault="00A8138F" w:rsidP="00A8138F">
      <w:pPr>
        <w:pStyle w:val="TextoNormal"/>
      </w:pPr>
    </w:p>
    <w:p w14:paraId="2163CC60" w14:textId="77777777" w:rsidR="00A8138F" w:rsidRDefault="00A8138F" w:rsidP="00A8138F">
      <w:pPr>
        <w:pStyle w:val="TextoNormal"/>
      </w:pPr>
      <w:r>
        <w:t>e) Pues bien, desde la perspectiva del respeto al contenido esencial del derecho de propiedad, la limitación de rentas que introduce la disposición final cuestionada, no cabe duda, supone una afectación del derecho de propiedad, concretamente de la utilidad económica del bien —en este caso inmueble— que se arrienda. Pero la medida afecta de forma muy tangencial al derecho de propiedad sobre la vivienda, teniendo en cuenta su ámbito de aplicación territorial y temporal, y que el límite de renta que se impone está apegado al valor de mercado. Estamos ante una limitación que en modo alguno cercena o hace irreconocible el derecho.</w:t>
      </w:r>
    </w:p>
    <w:p w14:paraId="136E69E3" w14:textId="77777777" w:rsidR="00A8138F" w:rsidRDefault="00A8138F" w:rsidP="00A8138F">
      <w:pPr>
        <w:pStyle w:val="TextoNormal"/>
      </w:pPr>
    </w:p>
    <w:p w14:paraId="0A9B2456" w14:textId="77777777" w:rsidR="00A8138F" w:rsidRDefault="00A8138F" w:rsidP="00A8138F">
      <w:pPr>
        <w:pStyle w:val="TextoNormal"/>
      </w:pPr>
      <w:r>
        <w:t xml:space="preserve">Cabe reseñar que, en lo que a la limitación de rentas de alquiler se refiere, el Tribunal Europeo de Derechos Humanos recuerda que el control a través de este tipo de medidas entra dentro de una esfera que permite un amplio margen de apreciación al Estado, y su aplicación, a menudo, puede ser causa de reducciones significativas en la cantidad de renta a cobrar, aunque no pueden producirse resultados manifiestamente irrazonables (SSTEDH de 15 de septiembre de 2009, asunto </w:t>
      </w:r>
      <w:r w:rsidRPr="00A8138F">
        <w:rPr>
          <w:i/>
        </w:rPr>
        <w:t>Amato Gauci c. Malta</w:t>
      </w:r>
      <w:r>
        <w:t xml:space="preserve">, § 62, y de 30 de julio de 2015, asunto </w:t>
      </w:r>
      <w:r w:rsidRPr="00A8138F">
        <w:rPr>
          <w:i/>
        </w:rPr>
        <w:t>Zammit y Attard Cassar c. Malta</w:t>
      </w:r>
      <w:r>
        <w:t>, § 62). Ese canon se respeta aquí, estando la regu</w:t>
      </w:r>
      <w:r>
        <w:lastRenderedPageBreak/>
        <w:t xml:space="preserve">lación española que se enjuicia, como ha quedado expuesto, muy lejos de la que resultó censurada en las SSTEDH de 19 de junio de 2006, asunto </w:t>
      </w:r>
      <w:r w:rsidRPr="00A8138F">
        <w:rPr>
          <w:i/>
        </w:rPr>
        <w:t>Hutten-Czapska c. Polonia</w:t>
      </w:r>
      <w:r>
        <w:t>, § 225, o de 28 de enero de 2014, asunt</w:t>
      </w:r>
      <w:r w:rsidRPr="00A8138F">
        <w:rPr>
          <w:i/>
        </w:rPr>
        <w:t>o Bittó y otros c. Eslovaqu</w:t>
      </w:r>
      <w:r>
        <w:t>ia, § 115.</w:t>
      </w:r>
    </w:p>
    <w:p w14:paraId="7BB8E861" w14:textId="77777777" w:rsidR="00A8138F" w:rsidRDefault="00A8138F" w:rsidP="00A8138F">
      <w:pPr>
        <w:pStyle w:val="TextoNormal"/>
      </w:pPr>
    </w:p>
    <w:p w14:paraId="08DAA084" w14:textId="77777777" w:rsidR="00A8138F" w:rsidRDefault="00A8138F" w:rsidP="00A8138F">
      <w:pPr>
        <w:pStyle w:val="TextoNormal"/>
      </w:pPr>
      <w:r>
        <w:t>Lo que se les impide a los propietarios afectados es exigir rentas por encima de ciertos límites, que se fijan en atención a la realidad de cada mercado de vivienda, debiendo tenerse en cuenta que la especulación sobre la misma no está protegida por el art. 33 CE y además es contraria al art. 47 CE, existiendo un mandato constitucional dirigido a los poderes públicos para su evitación (por todas, STC 141/2014).</w:t>
      </w:r>
    </w:p>
    <w:p w14:paraId="0615C411" w14:textId="77777777" w:rsidR="00A8138F" w:rsidRDefault="00A8138F" w:rsidP="00A8138F">
      <w:pPr>
        <w:pStyle w:val="TextoNormal"/>
      </w:pPr>
    </w:p>
    <w:p w14:paraId="03164A11" w14:textId="77777777" w:rsidR="00A8138F" w:rsidRDefault="00A8138F" w:rsidP="00A8138F">
      <w:pPr>
        <w:pStyle w:val="TextoNormal"/>
      </w:pPr>
      <w:r>
        <w:t>f) Consecuencia de todo ello es que debe descartarse la queja de inconstitucionalidad dirigida por los recurrentes contra el art. 17.7 LAU, introducido por la disposición final primera apartado 3 de la Ley 12/2023. Por la ubicación de la vivienda y durante un tiempo limitado, en atención bien a las condiciones del propietario y su capacidad de influencia en el mercado, o bien a la no existencia de alquileres recientes que tomar como referencia, se aplica una limitación de precios en la renta que no puede considerarse injustificada ni excesivamente gravosa y por lo tanto no vulnera el art. 33 CE.</w:t>
      </w:r>
    </w:p>
    <w:p w14:paraId="4CD236D2" w14:textId="77777777" w:rsidR="00A8138F" w:rsidRDefault="00A8138F" w:rsidP="00A8138F">
      <w:pPr>
        <w:pStyle w:val="TextoNormal"/>
      </w:pPr>
    </w:p>
    <w:p w14:paraId="24E51306" w14:textId="1367B34B" w:rsidR="00A8138F" w:rsidRDefault="00A8138F" w:rsidP="00A8138F">
      <w:pPr>
        <w:pStyle w:val="TextoNormal"/>
      </w:pPr>
      <w:r>
        <w:t>Es una medida que busca promover la accesibilidad de vivienda residencial, en lo que a las denominadas zonas de mercado residencial tensionado se refiere, con sus peculiaridades espaciales y temporales, con el objetivo de atender adecuadamente la demanda de vivienda habitacional en alquiler a un precio razonable. En cuanto al medio empleado, lo que la norma sometida a nuestro control de constitucionalidad impone es una modulación de la renta libremente pactada al inicio del contrato de arrendamiento de vivienda, no pudiendo aquella exceder del límite máximo que resulte de la aplicación de un sistema de índices de precios de referencia que atiende a la localización y características de la vivienda objeto de arrendamiento. Lo que se ve afectado es una expectativa de beneficio económico que no conforma el contenido esencial del derecho de propiedad y existe una relación razonable o equilibrio justo entre los medios empleados y la finalidad pretendida, sometiendo a los propietarios de viviendas previstos en los dos párrafos del art. 17.7 LAU a una carga que no puede ser considerada desproporcionada o excesiva.</w:t>
      </w:r>
    </w:p>
    <w:p w14:paraId="5B352D0C" w14:textId="77777777" w:rsidR="00A8138F" w:rsidRDefault="00A8138F" w:rsidP="00A8138F">
      <w:pPr>
        <w:pStyle w:val="TextoNormal"/>
      </w:pPr>
    </w:p>
    <w:p w14:paraId="104E5550" w14:textId="77777777" w:rsidR="00A8138F" w:rsidRDefault="00A8138F" w:rsidP="00A8138F">
      <w:pPr>
        <w:pStyle w:val="TextoNormal"/>
      </w:pPr>
      <w:r w:rsidRPr="00A8138F">
        <w:rPr>
          <w:rStyle w:val="NumeroAFNegritaCaracter"/>
        </w:rPr>
        <w:t>6</w:t>
      </w:r>
      <w:r>
        <w:t xml:space="preserve">. </w:t>
      </w:r>
      <w:r w:rsidRPr="00A8138F">
        <w:rPr>
          <w:i/>
        </w:rPr>
        <w:t>Sobre la alegada vulneración del derecho a la tutela judicial efectiva (art. 24.1 CE)</w:t>
      </w:r>
    </w:p>
    <w:p w14:paraId="2DB7078F" w14:textId="77777777" w:rsidR="00A8138F" w:rsidRDefault="00A8138F" w:rsidP="00A8138F">
      <w:pPr>
        <w:pStyle w:val="TextoNormal"/>
      </w:pPr>
    </w:p>
    <w:p w14:paraId="4B531DB1" w14:textId="77777777" w:rsidR="00A8138F" w:rsidRDefault="00A8138F" w:rsidP="00A8138F">
      <w:pPr>
        <w:pStyle w:val="TextoNormal"/>
      </w:pPr>
      <w:r>
        <w:t xml:space="preserve">A) </w:t>
      </w:r>
      <w:r w:rsidRPr="00A8138F">
        <w:rPr>
          <w:i/>
        </w:rPr>
        <w:t>Objeto y posiciones de las partes</w:t>
      </w:r>
    </w:p>
    <w:p w14:paraId="756A4ED0" w14:textId="77777777" w:rsidR="00A8138F" w:rsidRDefault="00A8138F" w:rsidP="00A8138F">
      <w:pPr>
        <w:pStyle w:val="TextoNormal"/>
      </w:pPr>
    </w:p>
    <w:p w14:paraId="2BBD21DC" w14:textId="77777777" w:rsidR="00A8138F" w:rsidRDefault="00A8138F" w:rsidP="00A8138F">
      <w:pPr>
        <w:pStyle w:val="TextoNormal"/>
      </w:pPr>
      <w:r>
        <w:t>a) Resta abordar el examen de la impugnación que los diputados recurrentes dirigen contra la disposición final quinta de la Ley 12/2023 por entender que resulta lesiva del derecho a la tutela judicial efectiva (art. 24.1 CE).</w:t>
      </w:r>
    </w:p>
    <w:p w14:paraId="5EA86C68" w14:textId="77777777" w:rsidR="00A8138F" w:rsidRDefault="00A8138F" w:rsidP="00A8138F">
      <w:pPr>
        <w:pStyle w:val="TextoNormal"/>
      </w:pPr>
    </w:p>
    <w:p w14:paraId="10882AF4" w14:textId="77777777" w:rsidR="00A8138F" w:rsidRDefault="00A8138F" w:rsidP="00A8138F">
      <w:pPr>
        <w:pStyle w:val="TextoNormal"/>
      </w:pPr>
      <w:r>
        <w:t>La referida disposición, que lleva por rúbrica “[m]odificación de la Ley 1/2000, de 7 de enero, de enjuiciamiento civil”, es concretamente impugnada en sus apartados 2 y 6.</w:t>
      </w:r>
    </w:p>
    <w:p w14:paraId="244A7AF3" w14:textId="77777777" w:rsidR="00A8138F" w:rsidRDefault="00A8138F" w:rsidP="00A8138F">
      <w:pPr>
        <w:pStyle w:val="TextoNormal"/>
      </w:pPr>
    </w:p>
    <w:p w14:paraId="4C7E0FDD" w14:textId="77777777" w:rsidR="00A8138F" w:rsidRDefault="00A8138F" w:rsidP="00A8138F">
      <w:pPr>
        <w:pStyle w:val="TextoNormal"/>
      </w:pPr>
      <w:r>
        <w:t>En virtud del apartado 2 se añaden nuevos apartados 6 y 7 al art. 439 LEC, que quedan redactados de la siguiente manera:</w:t>
      </w:r>
    </w:p>
    <w:p w14:paraId="1EFD7829" w14:textId="77777777" w:rsidR="00A8138F" w:rsidRDefault="00A8138F" w:rsidP="00A8138F">
      <w:pPr>
        <w:pStyle w:val="TextoNormal"/>
      </w:pPr>
    </w:p>
    <w:p w14:paraId="4D838FA1" w14:textId="77777777" w:rsidR="00A8138F" w:rsidRDefault="00A8138F" w:rsidP="00A8138F">
      <w:pPr>
        <w:pStyle w:val="TextoNormal"/>
      </w:pPr>
      <w:r>
        <w:lastRenderedPageBreak/>
        <w:t>“6. En los casos de los números 1, 2, 4 y 7 del apartado 1 del artículo 250, no se admitirán las demandas, que pretendan la recuperación de la posesión de una finca, en que no se especifique:</w:t>
      </w:r>
    </w:p>
    <w:p w14:paraId="251A8351" w14:textId="77777777" w:rsidR="00A8138F" w:rsidRDefault="00A8138F" w:rsidP="00A8138F">
      <w:pPr>
        <w:pStyle w:val="TextoNormal"/>
      </w:pPr>
    </w:p>
    <w:p w14:paraId="1580DD15" w14:textId="77777777" w:rsidR="00A8138F" w:rsidRDefault="00A8138F" w:rsidP="00A8138F">
      <w:pPr>
        <w:pStyle w:val="TextoNormal"/>
      </w:pPr>
      <w:r>
        <w:t>a) Si el inmueble objeto de las mismas constituye vivienda habitual de la persona ocupante.</w:t>
      </w:r>
    </w:p>
    <w:p w14:paraId="34D4BB29" w14:textId="77777777" w:rsidR="00A8138F" w:rsidRDefault="00A8138F" w:rsidP="00A8138F">
      <w:pPr>
        <w:pStyle w:val="TextoNormal"/>
      </w:pPr>
    </w:p>
    <w:p w14:paraId="3DAF418D" w14:textId="77777777" w:rsidR="00A8138F" w:rsidRDefault="00A8138F" w:rsidP="00A8138F">
      <w:pPr>
        <w:pStyle w:val="TextoNormal"/>
      </w:pPr>
      <w:r>
        <w:t>b) Si concurre en la parte demandante la condición de gran tenedora de vivienda, en los términos que establece el artículo 3 k) de la Ley 12/2023, de 24 de mayo, por el derecho a la vivienda.</w:t>
      </w:r>
    </w:p>
    <w:p w14:paraId="5251AEB5" w14:textId="77777777" w:rsidR="00A8138F" w:rsidRDefault="00A8138F" w:rsidP="00A8138F">
      <w:pPr>
        <w:pStyle w:val="TextoNormal"/>
      </w:pPr>
    </w:p>
    <w:p w14:paraId="01D5EFFA" w14:textId="77777777" w:rsidR="00A8138F" w:rsidRDefault="00A8138F" w:rsidP="00A8138F">
      <w:pPr>
        <w:pStyle w:val="TextoNormal"/>
      </w:pPr>
      <w:r>
        <w:t>En el caso de indicarse que no se tiene la condición de gran tenedor, a efectos de corroborar tal extremo, se deberá adjuntar a la demanda certificación del registro de la propiedad en el que consten la relación de propiedades a nombre de la parte actora.</w:t>
      </w:r>
    </w:p>
    <w:p w14:paraId="245D62BD" w14:textId="77777777" w:rsidR="00A8138F" w:rsidRDefault="00A8138F" w:rsidP="00A8138F">
      <w:pPr>
        <w:pStyle w:val="TextoNormal"/>
      </w:pPr>
    </w:p>
    <w:p w14:paraId="07DB6A87" w14:textId="77777777" w:rsidR="00A8138F" w:rsidRDefault="00A8138F" w:rsidP="00A8138F">
      <w:pPr>
        <w:pStyle w:val="TextoNormal"/>
      </w:pPr>
      <w:r>
        <w:t>c) En el caso de que la parte demandante tenga la condición de gran tenedor, si la parte demandada se encuentra o no en situación de vulnerabilidad económica.</w:t>
      </w:r>
    </w:p>
    <w:p w14:paraId="159C1AF5" w14:textId="77777777" w:rsidR="00A8138F" w:rsidRDefault="00A8138F" w:rsidP="00A8138F">
      <w:pPr>
        <w:pStyle w:val="TextoNormal"/>
      </w:pPr>
    </w:p>
    <w:p w14:paraId="32AC4E41" w14:textId="77777777" w:rsidR="00A8138F" w:rsidRDefault="00A8138F" w:rsidP="00A8138F">
      <w:pPr>
        <w:pStyle w:val="TextoNormal"/>
      </w:pPr>
      <w:r>
        <w:t>Para acreditar la concurrencia o no de vulnerabilidad económica se deberá aportar documento acreditativo, de vigencia no superior a tres meses, emitido, previo consentimiento de la persona ocupante de la vivienda, por los servicios de las administraciones autonómicas y locales competentes en materia de vivienda, asistencia social, evaluación e información de situaciones de necesidad social y atención inmediata a personas en situación o riesgo de exclusión social que hayan sido específicamente designados conforme la legislación y normativa autonómica en materia de vivienda.</w:t>
      </w:r>
    </w:p>
    <w:p w14:paraId="7C51BBAE" w14:textId="77777777" w:rsidR="00A8138F" w:rsidRDefault="00A8138F" w:rsidP="00A8138F">
      <w:pPr>
        <w:pStyle w:val="TextoNormal"/>
      </w:pPr>
    </w:p>
    <w:p w14:paraId="3F5277B3" w14:textId="77777777" w:rsidR="00A8138F" w:rsidRDefault="00A8138F" w:rsidP="00A8138F">
      <w:pPr>
        <w:pStyle w:val="TextoNormal"/>
      </w:pPr>
      <w:r>
        <w:t>El requisito exigido en esta letra c) también podrá cumplirse mediante:</w:t>
      </w:r>
    </w:p>
    <w:p w14:paraId="3C27BEF0" w14:textId="77777777" w:rsidR="00A8138F" w:rsidRDefault="00A8138F" w:rsidP="00A8138F">
      <w:pPr>
        <w:pStyle w:val="TextoNormal"/>
      </w:pPr>
    </w:p>
    <w:p w14:paraId="4031CBF4" w14:textId="77777777" w:rsidR="00A8138F" w:rsidRDefault="00A8138F" w:rsidP="00A8138F">
      <w:pPr>
        <w:pStyle w:val="TextoNormal"/>
      </w:pPr>
      <w:r>
        <w:t>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14:paraId="70C90539" w14:textId="77777777" w:rsidR="00A8138F" w:rsidRDefault="00A8138F" w:rsidP="00A8138F">
      <w:pPr>
        <w:pStyle w:val="TextoNormal"/>
      </w:pPr>
    </w:p>
    <w:p w14:paraId="4A37404D" w14:textId="77777777" w:rsidR="00A8138F" w:rsidRDefault="00A8138F" w:rsidP="00A8138F">
      <w:pPr>
        <w:pStyle w:val="TextoNormal"/>
      </w:pPr>
      <w:r>
        <w:t>2.º El documento acreditativo de los servicios competentes que indiquen que la persona ocupante no consiente expresamente el estudio de su situación económica en los términos previstos en la legislación y normativa autonómica en materia de vivienda. Este documento no podrá tener una vigencia superior a tres meses.</w:t>
      </w:r>
    </w:p>
    <w:p w14:paraId="61BFCFB5" w14:textId="77777777" w:rsidR="00A8138F" w:rsidRDefault="00A8138F" w:rsidP="00A8138F">
      <w:pPr>
        <w:pStyle w:val="TextoNormal"/>
      </w:pPr>
    </w:p>
    <w:p w14:paraId="347C4CF7" w14:textId="77777777" w:rsidR="00A8138F" w:rsidRDefault="00A8138F" w:rsidP="00A8138F">
      <w:pPr>
        <w:pStyle w:val="TextoNormal"/>
      </w:pPr>
      <w:r>
        <w:t xml:space="preserve">7. En los casos de los números 1, 2, 4 y 7 del apartado 1 del artículo 250, en el caso de que la parte actora tenga la condición de gran tenedora en los términos previstos por el apartado anterior, el inmueble objeto de demanda constituya vivienda habitual de la persona ocupante y la misma se encuentre en situación de vulnerabilidad económica conforme lo previsto igualmente en el apartado anterior, no se admitirán las demandas en las que no se acredite que la parte actora se ha sometido al procedimiento de conciliación o intermediación que a tal efecto establezcan las administraciones públicas competentes, en base al análisis de las circunstancias de ambas partes y de las posibles ayudas y subvenciones existentes </w:t>
      </w:r>
      <w:r>
        <w:lastRenderedPageBreak/>
        <w:t>en materia de vivienda conforme a lo dispuesto en la legislación y normativa autonómica en materia de vivienda.</w:t>
      </w:r>
    </w:p>
    <w:p w14:paraId="0F96B52A" w14:textId="77777777" w:rsidR="00A8138F" w:rsidRDefault="00A8138F" w:rsidP="00A8138F">
      <w:pPr>
        <w:pStyle w:val="TextoNormal"/>
      </w:pPr>
    </w:p>
    <w:p w14:paraId="64FACE84" w14:textId="77777777" w:rsidR="00A8138F" w:rsidRDefault="00A8138F" w:rsidP="00A8138F">
      <w:pPr>
        <w:pStyle w:val="TextoNormal"/>
      </w:pPr>
      <w:r>
        <w:t>El requisito anterior podrá acreditarse mediante alguna de las siguientes formas:</w:t>
      </w:r>
    </w:p>
    <w:p w14:paraId="75CA7770" w14:textId="77777777" w:rsidR="00A8138F" w:rsidRDefault="00A8138F" w:rsidP="00A8138F">
      <w:pPr>
        <w:pStyle w:val="TextoNormal"/>
      </w:pPr>
    </w:p>
    <w:p w14:paraId="57A04F99" w14:textId="77777777" w:rsidR="00A8138F" w:rsidRDefault="00A8138F" w:rsidP="00A8138F">
      <w:pPr>
        <w:pStyle w:val="TextoNormal"/>
      </w:pPr>
      <w:r>
        <w:t>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14:paraId="5E057C58" w14:textId="77777777" w:rsidR="00A8138F" w:rsidRDefault="00A8138F" w:rsidP="00A8138F">
      <w:pPr>
        <w:pStyle w:val="TextoNormal"/>
      </w:pPr>
    </w:p>
    <w:p w14:paraId="18D64AF0" w14:textId="77777777" w:rsidR="00A8138F" w:rsidRDefault="00A8138F" w:rsidP="00A8138F">
      <w:pPr>
        <w:pStyle w:val="TextoNormal"/>
      </w:pPr>
      <w:r>
        <w:t>2.º El documento acreditativo de los servicios competentes que indique el resultado del procedimiento de conciliación o intermediación, en el que se hará constar la identidad de las partes, el objeto de la controversia y si alguna de las partes ha rehusado participar en el procedimiento, en su caso. Este documento no podrá tener una vigencia superior a tres meses.</w:t>
      </w:r>
    </w:p>
    <w:p w14:paraId="1F11F185" w14:textId="77777777" w:rsidR="00A8138F" w:rsidRDefault="00A8138F" w:rsidP="00A8138F">
      <w:pPr>
        <w:pStyle w:val="TextoNormal"/>
      </w:pPr>
    </w:p>
    <w:p w14:paraId="5C2FA3AF" w14:textId="77777777" w:rsidR="00A8138F" w:rsidRDefault="00A8138F" w:rsidP="00A8138F">
      <w:pPr>
        <w:pStyle w:val="TextoNormal"/>
      </w:pPr>
      <w:r>
        <w:t>En el caso de que la empresa arrendadora sea una entidad pública de vivienda el requisito anterior se podrá sustituir, en su caso, por la previa concurrencia de la acción de los servicios específicos de intermediación de la propia entidad, que se acreditará en los mismos términos del apartado anterior”.</w:t>
      </w:r>
    </w:p>
    <w:p w14:paraId="71067D59" w14:textId="77777777" w:rsidR="00A8138F" w:rsidRDefault="00A8138F" w:rsidP="00A8138F">
      <w:pPr>
        <w:pStyle w:val="TextoNormal"/>
      </w:pPr>
    </w:p>
    <w:p w14:paraId="242EA6AE" w14:textId="77777777" w:rsidR="00A8138F" w:rsidRDefault="00A8138F" w:rsidP="00A8138F">
      <w:pPr>
        <w:pStyle w:val="TextoNormal"/>
      </w:pPr>
      <w:r>
        <w:t>Por su parte el apartado 6 de la disposición final quinta de la Ley de vivienda introduce un nuevo art. 65</w:t>
      </w:r>
      <w:r w:rsidRPr="00A8138F">
        <w:rPr>
          <w:i/>
        </w:rPr>
        <w:t>5 b</w:t>
      </w:r>
      <w:r>
        <w:t>is LEC, del siguiente tenor:</w:t>
      </w:r>
    </w:p>
    <w:p w14:paraId="6DE64910" w14:textId="77777777" w:rsidR="00A8138F" w:rsidRDefault="00A8138F" w:rsidP="00A8138F">
      <w:pPr>
        <w:pStyle w:val="TextoNormal"/>
      </w:pPr>
    </w:p>
    <w:p w14:paraId="7B0286DA" w14:textId="77777777" w:rsidR="00A8138F" w:rsidRDefault="00A8138F" w:rsidP="00A8138F">
      <w:pPr>
        <w:pStyle w:val="TextoNormal"/>
      </w:pPr>
      <w:r>
        <w:t>“Artículo 65</w:t>
      </w:r>
      <w:r w:rsidRPr="00A8138F">
        <w:rPr>
          <w:i/>
        </w:rPr>
        <w:t>5 b</w:t>
      </w:r>
      <w:r>
        <w:t>is. Subasta de bienes inmuebles</w:t>
      </w:r>
    </w:p>
    <w:p w14:paraId="2E8589CD" w14:textId="77777777" w:rsidR="00A8138F" w:rsidRDefault="00A8138F" w:rsidP="00A8138F">
      <w:pPr>
        <w:pStyle w:val="TextoNormal"/>
      </w:pPr>
    </w:p>
    <w:p w14:paraId="7BFD97C6" w14:textId="77777777" w:rsidR="00A8138F" w:rsidRDefault="00A8138F" w:rsidP="00A8138F">
      <w:pPr>
        <w:pStyle w:val="TextoNormal"/>
      </w:pPr>
      <w:r>
        <w:t>1. Cuando el bien objeto de la subasta sea un bien inmueble que sea la vivienda habitual del ejecutado y el acreedor sea una empresa de vivienda o un gran tenedor de vivienda en los términos previstos por la letra b) del apartado 6 del artículo 439 y no haya sido acreditado con anterioridad, deberá acreditarse por la parte actora, antes del inicio de la vía de apremio, si el deudor se encuentra en situación de vulnerabilidad económica.</w:t>
      </w:r>
    </w:p>
    <w:p w14:paraId="07471C6B" w14:textId="77777777" w:rsidR="00A8138F" w:rsidRDefault="00A8138F" w:rsidP="00A8138F">
      <w:pPr>
        <w:pStyle w:val="TextoNormal"/>
      </w:pPr>
    </w:p>
    <w:p w14:paraId="22076B4B" w14:textId="77777777" w:rsidR="00A8138F" w:rsidRDefault="00A8138F" w:rsidP="00A8138F">
      <w:pPr>
        <w:pStyle w:val="TextoNormal"/>
      </w:pPr>
      <w:r>
        <w:t>Para acreditar la concurrencia o no de vulnerabilidad económica de la parte ejecutada se deberá aportar documento acreditativo, de vigencia no superior a tres meses, emitido, previo consentimiento de este, por los servicios de las administraciones autonómicas y locales competentes en materia de vivienda, asistencia social, evaluación e información de situaciones de necesidad social y atención inmediata a personas en situación o riesgo de exclusión social que hayan sido específicamente designados conforme a la legislación y normativa autonómica en materia de vivienda.</w:t>
      </w:r>
    </w:p>
    <w:p w14:paraId="0BEA28BB" w14:textId="77777777" w:rsidR="00A8138F" w:rsidRDefault="00A8138F" w:rsidP="00A8138F">
      <w:pPr>
        <w:pStyle w:val="TextoNormal"/>
      </w:pPr>
    </w:p>
    <w:p w14:paraId="7E061863" w14:textId="77777777" w:rsidR="00A8138F" w:rsidRDefault="00A8138F" w:rsidP="00A8138F">
      <w:pPr>
        <w:pStyle w:val="TextoNormal"/>
      </w:pPr>
      <w:r>
        <w:t>Este requisito también podrá cumplirse mediante:</w:t>
      </w:r>
    </w:p>
    <w:p w14:paraId="6FCE20DE" w14:textId="77777777" w:rsidR="00A8138F" w:rsidRDefault="00A8138F" w:rsidP="00A8138F">
      <w:pPr>
        <w:pStyle w:val="TextoNormal"/>
      </w:pPr>
    </w:p>
    <w:p w14:paraId="157F9465" w14:textId="77777777" w:rsidR="00A8138F" w:rsidRDefault="00A8138F" w:rsidP="00A8138F">
      <w:pPr>
        <w:pStyle w:val="TextoNormal"/>
      </w:pPr>
      <w:r>
        <w:t xml:space="preserve">1.º La declaración responsable emitida por la parte actora de que ha acudido a los servicios indicados anteriormente, en un plazo máximo de cinco meses de antelación a la presentación de la solicitud de inicio de la vía de apremio, sin que hubiera sido atendida o se hubieran iniciado los trámites correspondientes en el plazo de dos meses desde que presentó su solicitud, junto con justificante acreditativo de la misma. En tal caso el juzgado se dirigirá </w:t>
      </w:r>
      <w:r>
        <w:lastRenderedPageBreak/>
        <w:t>a las administraciones competentes a fin de que confirmen, en el plazo máximo de diez días, si el hogar afectado se encuentra en situación de vulnerabilidad económica y, en su caso, social, así como las medidas previstas que se aplicarán de forma inmediata para que disponga de una vivienda.</w:t>
      </w:r>
    </w:p>
    <w:p w14:paraId="1671121F" w14:textId="77777777" w:rsidR="00A8138F" w:rsidRDefault="00A8138F" w:rsidP="00A8138F">
      <w:pPr>
        <w:pStyle w:val="TextoNormal"/>
      </w:pPr>
    </w:p>
    <w:p w14:paraId="12CA4D2C" w14:textId="77777777" w:rsidR="00A8138F" w:rsidRDefault="00A8138F" w:rsidP="00A8138F">
      <w:pPr>
        <w:pStyle w:val="TextoNormal"/>
      </w:pPr>
      <w:r>
        <w:t>2.º El documento acreditativo de los servicios competentes que indiquen que la parte ejecutada no consiente expresamente el estudio de su situación económica en los términos previstos por la legislación y normativa autonómica en materia de vivienda. Este documento no podrá tener una vigencia superior a tres meses.</w:t>
      </w:r>
    </w:p>
    <w:p w14:paraId="60143075" w14:textId="77777777" w:rsidR="00A8138F" w:rsidRDefault="00A8138F" w:rsidP="00A8138F">
      <w:pPr>
        <w:pStyle w:val="TextoNormal"/>
      </w:pPr>
    </w:p>
    <w:p w14:paraId="79E844D8" w14:textId="77777777" w:rsidR="00A8138F" w:rsidRDefault="00A8138F" w:rsidP="00A8138F">
      <w:pPr>
        <w:pStyle w:val="TextoNormal"/>
      </w:pPr>
      <w:r>
        <w:t>2. En el caso de que se tenga constancia de que el deudor hipotecario se encuentra en situación de vulnerabilidad económica conforme lo previsto en los apartados anteriores, no se iniciará la vía de apremio si no se acredita que la parte actora se ha sometido al procedimiento de conciliación o intermediación que a tal efecto establezcan las administraciones públicas, en base al análisis de las circunstancias de ambas partes y de las posibles ayudas y subvenciones existentes en materia de vivienda conforme a lo dispuesto en la legislación y normativa autonómica en materia de vivienda.</w:t>
      </w:r>
    </w:p>
    <w:p w14:paraId="24B56BDE" w14:textId="77777777" w:rsidR="00A8138F" w:rsidRDefault="00A8138F" w:rsidP="00A8138F">
      <w:pPr>
        <w:pStyle w:val="TextoNormal"/>
      </w:pPr>
    </w:p>
    <w:p w14:paraId="6A7119D5" w14:textId="77777777" w:rsidR="00A8138F" w:rsidRDefault="00A8138F" w:rsidP="00A8138F">
      <w:pPr>
        <w:pStyle w:val="TextoNormal"/>
      </w:pPr>
      <w:r>
        <w:t>El requisito anterior podrá acreditarse mediante alguna de las siguientes formas:</w:t>
      </w:r>
    </w:p>
    <w:p w14:paraId="5970C129" w14:textId="77777777" w:rsidR="00A8138F" w:rsidRDefault="00A8138F" w:rsidP="00A8138F">
      <w:pPr>
        <w:pStyle w:val="TextoNormal"/>
      </w:pPr>
    </w:p>
    <w:p w14:paraId="12F02914" w14:textId="77777777" w:rsidR="00A8138F" w:rsidRDefault="00A8138F" w:rsidP="00A8138F">
      <w:pPr>
        <w:pStyle w:val="TextoNormal"/>
      </w:pPr>
      <w:r>
        <w:t>1.º La declaración responsable emitida por la parte actora de que ha acudido a los servicios indicados anteriormente, en un plazo máximo de cinco meses de antelación a la presentación de la solicitud de inicio de la vía de apremio, sin que hubiera sido atendida o se hubieran iniciado los trámites correspondientes en el plazo de dos meses desde que presentó su solicitud, junto con justificante acreditativo de la misma. En tal caso, inmediatamente a la presentación de la solicitud, el juzgado se dirigirá a las administraciones competentes a fin de que confirmen, en el plazo máximo de diez días, si el hogar afectado se encuentra en situación de vulnerabilidad económica y, en su caso, social, así como las medidas previstas que se aplicarán de forma inmediata para que disponga de una vivienda.</w:t>
      </w:r>
    </w:p>
    <w:p w14:paraId="07A84B00" w14:textId="77777777" w:rsidR="00A8138F" w:rsidRDefault="00A8138F" w:rsidP="00A8138F">
      <w:pPr>
        <w:pStyle w:val="TextoNormal"/>
      </w:pPr>
    </w:p>
    <w:p w14:paraId="447F24B0" w14:textId="77777777" w:rsidR="00A8138F" w:rsidRDefault="00A8138F" w:rsidP="00A8138F">
      <w:pPr>
        <w:pStyle w:val="TextoNormal"/>
      </w:pPr>
      <w:r>
        <w:t>2.º El documento acreditativo de los servicios competentes que indique el resultado del procedimiento de conciliación o intermediación, en el que se hará constar la identidad de las partes, el objeto de la controversia y si alguna de las partes ha rehusado participar en el procedimiento, en su caso. Este documento no podrá tener una vigencia superior a tres meses.</w:t>
      </w:r>
    </w:p>
    <w:p w14:paraId="4A537378" w14:textId="77777777" w:rsidR="00A8138F" w:rsidRDefault="00A8138F" w:rsidP="00A8138F">
      <w:pPr>
        <w:pStyle w:val="TextoNormal"/>
      </w:pPr>
    </w:p>
    <w:p w14:paraId="16CB7D1C" w14:textId="77777777" w:rsidR="00A8138F" w:rsidRDefault="00A8138F" w:rsidP="00A8138F">
      <w:pPr>
        <w:pStyle w:val="TextoNormal"/>
      </w:pPr>
      <w:r>
        <w:t>En el caso de que la parte ejecutante sea una entidad pública de vivienda el requisito anterior se podrá sustituir, en su caso, por la previa concurrencia de la acción de los servicios específicos de intermediación de la propia entidad, que se acreditará en los términos del apartado anterior”.</w:t>
      </w:r>
    </w:p>
    <w:p w14:paraId="58F88995" w14:textId="77777777" w:rsidR="00A8138F" w:rsidRDefault="00A8138F" w:rsidP="00A8138F">
      <w:pPr>
        <w:pStyle w:val="TextoNormal"/>
      </w:pPr>
    </w:p>
    <w:p w14:paraId="07C917B4" w14:textId="77777777" w:rsidR="00A8138F" w:rsidRDefault="00A8138F" w:rsidP="00A8138F">
      <w:pPr>
        <w:pStyle w:val="TextoNormal"/>
      </w:pPr>
      <w:r>
        <w:t xml:space="preserve">b) Como ha quedado expuesto con mayor detalle en los antecedentes de la presente sentencia, se sostiene en la demanda que las previsiones contenidas en los nuevos apartados 6 y 7 del art. 439 LEC y el nuevo art. 655 </w:t>
      </w:r>
      <w:r w:rsidRPr="00A8138F">
        <w:rPr>
          <w:i/>
        </w:rPr>
        <w:t>bis</w:t>
      </w:r>
      <w:r>
        <w:t xml:space="preserve"> LEC, introducidos por la disposición final quinta, apartados 2 y 6, respectivamente, son contrarias al derecho a la tutela judicial efectiva (art. 24.1 CE) en las dos vertientes siguientes:</w:t>
      </w:r>
    </w:p>
    <w:p w14:paraId="160697F5" w14:textId="77777777" w:rsidR="00A8138F" w:rsidRDefault="00A8138F" w:rsidP="00A8138F">
      <w:pPr>
        <w:pStyle w:val="TextoNormal"/>
      </w:pPr>
    </w:p>
    <w:p w14:paraId="0FB21F14" w14:textId="77777777" w:rsidR="00A8138F" w:rsidRDefault="00A8138F" w:rsidP="00A8138F">
      <w:pPr>
        <w:pStyle w:val="TextoNormal"/>
      </w:pPr>
      <w:r>
        <w:lastRenderedPageBreak/>
        <w:t>El derecho de acceso al proceso se vería conculcado por los nuevos apartados 6 y 7 del art. 439 LEC por cuanto, resumidamente, los requisitos que en ellos se prevén para admitir la demanda de juicio verbal en los supuestos comprendidos en los números 1, 2, 4 y 7 del apartado 1 del artículo 250 LEC resultan desproporcionados e irrazonables al no ser necesarios para el cumplimiento del fin que se pretende alcanzar; haciéndose depender, concretamente en el apartado 6 c), la admisión de la demanda de un requisito —la acreditación de que la parte demandada se encuentre o no en situación de vulnerabilidad económica— ajeno a la voluntad y diligencia de las partes, quedando en manos de la administración sin sujeción a plazo; en tanto que la conciliación o intermediación obligatoria del apartado 7 no persigue la evitación del proceso sino el ejercicio de competencias de carácter social y de protección de la vivienda por las administraciones competentes que resultan ajenas al proceso y cuyo ejercicio no ha de interferir en su desarrollo.</w:t>
      </w:r>
    </w:p>
    <w:p w14:paraId="383A34E1" w14:textId="77777777" w:rsidR="00A8138F" w:rsidRDefault="00A8138F" w:rsidP="00A8138F">
      <w:pPr>
        <w:pStyle w:val="TextoNormal"/>
      </w:pPr>
    </w:p>
    <w:p w14:paraId="75846F8B" w14:textId="77777777" w:rsidR="00A8138F" w:rsidRDefault="00A8138F" w:rsidP="00A8138F">
      <w:pPr>
        <w:pStyle w:val="TextoNormal"/>
      </w:pPr>
      <w:r>
        <w:t xml:space="preserve">El derecho a la ejecución de resoluciones judiciales firmes resultaría vulnerado por el nuevo art. 655 </w:t>
      </w:r>
      <w:r w:rsidRPr="00A8138F">
        <w:rPr>
          <w:i/>
        </w:rPr>
        <w:t>bis</w:t>
      </w:r>
      <w:r>
        <w:t xml:space="preserve"> LEC al quedar el proceso de subasta de bienes inmuebles, en los supuestos que regula el precepto que se impugna, sometido a un doble requisito procesal ajeno a la voluntad y diligencia del ejecutante, y sin plazo señalado para su cumplimiento, no siendo, de nuevo, la finalidad de la conciliación o intermediación, que aquí también se contempla, la de evitar el proceso sino la de facilitar el ejercicio de competencias de protección social y de vivienda cuyo ejercicio no ha de interferir en la ejecución de la correspondiente sentencia judicial firme.</w:t>
      </w:r>
    </w:p>
    <w:p w14:paraId="5637029A" w14:textId="77777777" w:rsidR="00A8138F" w:rsidRDefault="00A8138F" w:rsidP="00A8138F">
      <w:pPr>
        <w:pStyle w:val="TextoNormal"/>
      </w:pPr>
    </w:p>
    <w:p w14:paraId="56BBDF83" w14:textId="77777777" w:rsidR="00A8138F" w:rsidRDefault="00A8138F" w:rsidP="00A8138F">
      <w:pPr>
        <w:pStyle w:val="TextoNormal"/>
      </w:pPr>
      <w:r>
        <w:t>c) Las anteriores alegaciones son rebatidas por la Abogacía del Estado bajo la argumentación de que los requisitos exigidos en el art. 439.6 y 7 LEC no son excesivos o irrazonablemente obstaculizadores para el ejercicio de la acción judicial de desposesión de la vivienda afectada, sino que responden a los objetivos que persigue el legislador encaminados a una mayor protección de la parte arrendataria de acuerdo con la configuración legal del derecho a una vivienda digna (art. 47 CE) o de la protección integral de la familia (art. 39 CE), para lo cual el disponer de una vivienda es un aspecto imprescindible en una situación social de gran dificultad para ello.</w:t>
      </w:r>
    </w:p>
    <w:p w14:paraId="762BB550" w14:textId="77777777" w:rsidR="00A8138F" w:rsidRDefault="00A8138F" w:rsidP="00A8138F">
      <w:pPr>
        <w:pStyle w:val="TextoNormal"/>
      </w:pPr>
    </w:p>
    <w:p w14:paraId="4D8384CA" w14:textId="77777777" w:rsidR="00A8138F" w:rsidRDefault="00A8138F" w:rsidP="00A8138F">
      <w:pPr>
        <w:pStyle w:val="TextoNormal"/>
      </w:pPr>
      <w:r>
        <w:t xml:space="preserve">Igual ocurre con las previsiones del nuevo art. 655 </w:t>
      </w:r>
      <w:r w:rsidRPr="00A8138F">
        <w:rPr>
          <w:i/>
        </w:rPr>
        <w:t>bis</w:t>
      </w:r>
      <w:r>
        <w:t xml:space="preserve"> LEC que no resultarían trámites desproporcionados o injustificablemente obstaculizadores, permitiendo el intento de conciliación o intermediación que las partes lleguen a un acuerdo, evitando, así, la prosecución de la fase ejecutiva.</w:t>
      </w:r>
    </w:p>
    <w:p w14:paraId="51833E35" w14:textId="77777777" w:rsidR="00A8138F" w:rsidRDefault="00A8138F" w:rsidP="00A8138F">
      <w:pPr>
        <w:pStyle w:val="TextoNormal"/>
      </w:pPr>
    </w:p>
    <w:p w14:paraId="2CCBABD3" w14:textId="77777777" w:rsidR="00A8138F" w:rsidRDefault="00A8138F" w:rsidP="00A8138F">
      <w:pPr>
        <w:pStyle w:val="TextoNormal"/>
      </w:pPr>
      <w:r>
        <w:t>B</w:t>
      </w:r>
      <w:r w:rsidRPr="00A8138F">
        <w:rPr>
          <w:i/>
        </w:rPr>
        <w:t>) Doctrina aplicab</w:t>
      </w:r>
      <w:r>
        <w:t>le</w:t>
      </w:r>
    </w:p>
    <w:p w14:paraId="32061108" w14:textId="77777777" w:rsidR="00A8138F" w:rsidRDefault="00A8138F" w:rsidP="00A8138F">
      <w:pPr>
        <w:pStyle w:val="TextoNormal"/>
      </w:pPr>
    </w:p>
    <w:p w14:paraId="5F651055" w14:textId="77777777" w:rsidR="00A8138F" w:rsidRDefault="00A8138F" w:rsidP="00A8138F">
      <w:pPr>
        <w:pStyle w:val="TextoNormal"/>
      </w:pPr>
      <w:r>
        <w:t>a) Habida cuenta que lo que se discute es la constitucionalidad de requisitos o condiciones impuestos por el legislador al ejercicio del derecho a la tutela judicial efectiva (art. 24.1 CE), resulta oportuno recordar que el derecho a la tutela judicial efectiva, como los demás derechos, no tiene carácter absoluto, sino que puede ser restringido por medio de la ley siempre que ello responda a un fin de interés general, y los requisitos y el alcance de la restricción estén suficientemente precisados en la ley y respeten el principio de proporcionalidad.</w:t>
      </w:r>
    </w:p>
    <w:p w14:paraId="327FB6EA" w14:textId="77777777" w:rsidR="00A8138F" w:rsidRDefault="00A8138F" w:rsidP="00A8138F">
      <w:pPr>
        <w:pStyle w:val="TextoNormal"/>
      </w:pPr>
    </w:p>
    <w:p w14:paraId="4FE4564D" w14:textId="77777777" w:rsidR="00A8138F" w:rsidRDefault="00A8138F" w:rsidP="00A8138F">
      <w:pPr>
        <w:pStyle w:val="TextoNormal"/>
      </w:pPr>
      <w:r>
        <w:t>En la STC 76/2019, de 22 de mayo, FJ 5 d), recordamos los dos requisitos que, a estos efectos, deben destacarse de dichos límites, en los siguientes términos:</w:t>
      </w:r>
    </w:p>
    <w:p w14:paraId="08154A88" w14:textId="77777777" w:rsidR="00A8138F" w:rsidRDefault="00A8138F" w:rsidP="00A8138F">
      <w:pPr>
        <w:pStyle w:val="TextoNormal"/>
      </w:pPr>
    </w:p>
    <w:p w14:paraId="2D308729" w14:textId="77777777" w:rsidR="00A8138F" w:rsidRDefault="00A8138F" w:rsidP="00A8138F">
      <w:pPr>
        <w:pStyle w:val="TextoNormal"/>
      </w:pPr>
      <w:r>
        <w:t>- “En primer lugar, toda injerencia estatal en el ámbito de los derechos fundamentales y las libertades públicas debe responder a un fin constitucionalmente legítimo o encaminarse a la protección o la salvaguarda de un bien constitucionalmente relevante, pues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(SSTC 104/2000, de 13 de abril, FJ 8, y las allí citadas) y, además, han de ser proporcionadas al fin perseguido con ellas’ (SSTC 11/1981, FJ 5, y 196/1987, FJ 6)’ (STC 292/2000, FJ 15).</w:t>
      </w:r>
    </w:p>
    <w:p w14:paraId="46553356" w14:textId="77777777" w:rsidR="00A8138F" w:rsidRDefault="00A8138F" w:rsidP="00A8138F">
      <w:pPr>
        <w:pStyle w:val="TextoNormal"/>
      </w:pPr>
    </w:p>
    <w:p w14:paraId="40EA412E" w14:textId="77777777" w:rsidR="00A8138F" w:rsidRDefault="00A8138F" w:rsidP="00A8138F">
      <w:pPr>
        <w:pStyle w:val="TextoNormal"/>
      </w:pPr>
      <w:r>
        <w:t>- En segundo lugar, por mandato expreso de la Constitución, toda injerencia estatal en el ámbito de los derechos fundamentales y las libertades públicas, ora incida directamente sobre su desarrollo (art. 81.1 CE), ora limite o condicione su ejercicio (art. 53.1 CE), precisa una habilitación legal”.</w:t>
      </w:r>
    </w:p>
    <w:p w14:paraId="45A8E1B5" w14:textId="77777777" w:rsidR="00A8138F" w:rsidRDefault="00A8138F" w:rsidP="00A8138F">
      <w:pPr>
        <w:pStyle w:val="TextoNormal"/>
      </w:pPr>
    </w:p>
    <w:p w14:paraId="6AB6B6F3" w14:textId="77777777" w:rsidR="00A8138F" w:rsidRDefault="00A8138F" w:rsidP="00A8138F">
      <w:pPr>
        <w:pStyle w:val="TextoNormal"/>
      </w:pPr>
      <w:r>
        <w:t>b) En relación con la primera de las vertientes del derecho que resultaría afectada por las disposiciones aquí impugnadas, este tribunal ha venido sosteniendo sistemáticamente que “‘el primer contenido del derecho a obtener la tutela de jueces y tribunales, en un orden cronológico y lógico, es el acceso a la jurisdicción, que se concreta en el derecho a ser parte en un proceso y poder promover la actividad jurisdiccional que desemboque en una decisión judicial sobre las pretensiones deducidas’ (SSTC 220/1993, FJ 2; 34/1994, FJ 2, y 140/2018, FJ 5, entre otras). ‘Esto es, al proclamar el indicado derecho, el art. 24.1 CE establece una garantía previa al proceso, que lo asegura, cuando se dan las circunstancias requeridas al efecto’ (SSTC 46/1982, de 12 de julio, FJ 2)” (STC 273/2005, de 27 de octubre, FJ 5).</w:t>
      </w:r>
    </w:p>
    <w:p w14:paraId="44C5005B" w14:textId="77777777" w:rsidR="00A8138F" w:rsidRDefault="00A8138F" w:rsidP="00A8138F">
      <w:pPr>
        <w:pStyle w:val="TextoNormal"/>
      </w:pPr>
    </w:p>
    <w:p w14:paraId="6AF4C896" w14:textId="77777777" w:rsidR="00A8138F" w:rsidRDefault="00A8138F" w:rsidP="00A8138F">
      <w:pPr>
        <w:pStyle w:val="TextoNormal"/>
      </w:pPr>
      <w:r>
        <w:t>Asimismo, hemos dicho que “la tutela judicial efectiva no es un derecho de libertad directamente ejercitable a partir de la Constitución, sino que se trata de un derecho prestacional y, por tanto, de configuración legal que sujeta su ejercicio a la concurrencia de los presupuestos y requisitos procesales que el legislador establezca (por todas SSTC 99/1985, de 30 de septiembre, FJ 4, y 182/2004, de 2 de noviembre, FJ 2)” (STC 140/2018, de 20 de diciembre, FJ 5).</w:t>
      </w:r>
    </w:p>
    <w:p w14:paraId="24B51BC6" w14:textId="77777777" w:rsidR="00A8138F" w:rsidRDefault="00A8138F" w:rsidP="00A8138F">
      <w:pPr>
        <w:pStyle w:val="TextoNormal"/>
      </w:pPr>
    </w:p>
    <w:p w14:paraId="6947160A" w14:textId="77777777" w:rsidR="00A8138F" w:rsidRDefault="00A8138F" w:rsidP="00A8138F">
      <w:pPr>
        <w:pStyle w:val="TextoNormal"/>
      </w:pPr>
      <w:r>
        <w:t xml:space="preserve">Lo anterior implica que “el legislador cuenta con un ámbito de libertad amplio en la definición o determinación de las condiciones y consecuencias del acceso a la justicia, pues le incumbe configurar la actividad judicial y, más concretamente, el proceso en cuyo seno se ejercita el derecho fundamental ordenado a la satisfacción de pretensiones dirigidas a la defensa de derechos e intereses legítimos (SSTC 206/1987, de 21 de diciembre, FJ 5, y 140/2018, FJ 5). En esta regulación, la ley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32/1991, de 14 de febrero, FJ 4; 133/2004, de 22 de julio, FJ 4; 20/2012, de 16 de febrero, FJ 7, y 140/2018, FJ 5). [En consecuencia], el derecho reconocido en el art. 24.1 CE podría verse conculcado por aquellas disposiciones legales que impongan requisitos impeditivos u obstaculizadores del acceso a la jurisdicción, si tales trabas resultaran innecesarias, excesivas o carecen de </w:t>
      </w:r>
      <w:r>
        <w:lastRenderedPageBreak/>
        <w:t>razonabilidad o proporcionalidad respecto de los fines que lícitamente puede perseguir el legislador (SSTC 60/1989, de 16 de marzo, FJ 4; 114/1992, de 14 de septiembre, FJ 3, y 273/2005, de 27 de octubre, FJ 5)” (STC 52/2014, de 10 de abril, FJ 2).</w:t>
      </w:r>
    </w:p>
    <w:p w14:paraId="23F4B0F1" w14:textId="77777777" w:rsidR="00A8138F" w:rsidRDefault="00A8138F" w:rsidP="00A8138F">
      <w:pPr>
        <w:pStyle w:val="TextoNormal"/>
      </w:pPr>
    </w:p>
    <w:p w14:paraId="4D6B34A8" w14:textId="77777777" w:rsidR="00A8138F" w:rsidRDefault="00A8138F" w:rsidP="00A8138F">
      <w:pPr>
        <w:pStyle w:val="TextoNormal"/>
      </w:pPr>
      <w:r>
        <w:t>c) Por su parte, también es doctrina constitucional consolidada el que “una de las proyecciones del derecho reconocido en el art. 24.1 CE es el derecho a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83/2001, de 26 de marzo, FJ 4, entre otras muchas). […]. [Pero,] ni siquiera el derecho a la ejecución de las resoluciones judiciales firmes —directamente derivado del art. 24.1 CE— se presenta como un derecho absoluto —como, por otra parte, no lo es ningún derecho fundamental (STC 105/1997, de 2 de junio, FJ 4)—, habiendo admitido al respecto este tribunal que el legislador puede establecer límites al pleno acceso a la ejecución de las sentencias, siempre que sean razonables y proporcionales respecto de fines constitucionalmente lícitos para el legislador (SSTC 4/1988, de 21 de enero, FJ 5; 113/1989, de 22 de junio, FJ 3; 292/1994, de 27 de octubre, FJ 3, y 176/2001, de 17 de septiembre, FJ 2)” (STC 312/2006, de 8 de noviembre, FJ 4).</w:t>
      </w:r>
    </w:p>
    <w:p w14:paraId="59FBE174" w14:textId="77777777" w:rsidR="00A8138F" w:rsidRDefault="00A8138F" w:rsidP="00A8138F">
      <w:pPr>
        <w:pStyle w:val="TextoNormal"/>
      </w:pPr>
    </w:p>
    <w:p w14:paraId="30CFD12F" w14:textId="77777777" w:rsidR="00A8138F" w:rsidRDefault="00A8138F" w:rsidP="00A8138F">
      <w:pPr>
        <w:pStyle w:val="TextoNormal"/>
      </w:pPr>
      <w:r>
        <w:t>En este mismo sentido, hemos afirmado que “esta potestad de mediación legislativa de los derechos que se integran en el de la tutela judicial no es absoluta, ni dependiente del arbitrio del legislador, pues, dentro del respeto debido al contenido esencial de los derechos fundamentales, resulta indiscutible que el art. 24.1 CE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 SSTC 113/1989, de 22 de junio, FJ 3”. (STC 73/2000, de 14 de marzo, FJ 10, entre otras).</w:t>
      </w:r>
    </w:p>
    <w:p w14:paraId="12FF2399" w14:textId="77777777" w:rsidR="00A8138F" w:rsidRDefault="00A8138F" w:rsidP="00A8138F">
      <w:pPr>
        <w:pStyle w:val="TextoNormal"/>
      </w:pPr>
    </w:p>
    <w:p w14:paraId="281DE5F2" w14:textId="77777777" w:rsidR="00A8138F" w:rsidRDefault="00A8138F" w:rsidP="00A8138F">
      <w:pPr>
        <w:pStyle w:val="TextoNormal"/>
      </w:pPr>
      <w:r>
        <w:t>C</w:t>
      </w:r>
      <w:r w:rsidRPr="00A8138F">
        <w:rPr>
          <w:i/>
        </w:rPr>
        <w:t>) Enjuiciamien</w:t>
      </w:r>
      <w:r>
        <w:t>to</w:t>
      </w:r>
    </w:p>
    <w:p w14:paraId="3185E30C" w14:textId="77777777" w:rsidR="00A8138F" w:rsidRDefault="00A8138F" w:rsidP="00A8138F">
      <w:pPr>
        <w:pStyle w:val="TextoNormal"/>
      </w:pPr>
    </w:p>
    <w:p w14:paraId="76BBFBDF" w14:textId="77777777" w:rsidR="00A8138F" w:rsidRDefault="00A8138F" w:rsidP="00A8138F">
      <w:pPr>
        <w:pStyle w:val="TextoNormal"/>
      </w:pPr>
      <w:r>
        <w:t xml:space="preserve">De acuerdo con lo expuesto, procede examinar si las condiciones impuestas en los arts. 439.6 c) y 7, y 655 </w:t>
      </w:r>
      <w:r w:rsidRPr="00A8138F">
        <w:rPr>
          <w:i/>
        </w:rPr>
        <w:t>bis</w:t>
      </w:r>
      <w:r>
        <w:t xml:space="preserve"> LEC persiguen un fin constitucionalmente legítimo y resultan razonables y proporcionales respecto de los fines perseguidos por el legislador.</w:t>
      </w:r>
    </w:p>
    <w:p w14:paraId="222BCACD" w14:textId="77777777" w:rsidR="00A8138F" w:rsidRDefault="00A8138F" w:rsidP="00A8138F">
      <w:pPr>
        <w:pStyle w:val="TextoNormal"/>
      </w:pPr>
    </w:p>
    <w:p w14:paraId="165FF352" w14:textId="77777777" w:rsidR="00A8138F" w:rsidRDefault="00A8138F" w:rsidP="00A8138F">
      <w:pPr>
        <w:pStyle w:val="TextoNormal"/>
      </w:pPr>
      <w:r>
        <w:t xml:space="preserve">a) El análisis de las previsiones impugnadas permite inferir que lo que se pretende es dotar de mayor protección a las personas y hogares afectados en los procedimientos de recuperación de la posesión (art. 439.6 y 7 LEC), y de subasta de bienes inmuebles —en el marco de la regulación del procedimiento de apremio de la ejecución dineraria— (art. 655 </w:t>
      </w:r>
      <w:r w:rsidRPr="00A8138F">
        <w:rPr>
          <w:i/>
        </w:rPr>
        <w:t>bis</w:t>
      </w:r>
      <w:r>
        <w:t xml:space="preserve"> LEC), cuando se esté ante una situación de especial vulnerabilidad económica de la parte </w:t>
      </w:r>
      <w:r>
        <w:lastRenderedPageBreak/>
        <w:t>demandada o ejecutada, persiguiéndose que las administraciones competentes puedan encontrar una solución habitacional para dichas personas.</w:t>
      </w:r>
    </w:p>
    <w:p w14:paraId="61162C9A" w14:textId="77777777" w:rsidR="00A8138F" w:rsidRDefault="00A8138F" w:rsidP="00A8138F">
      <w:pPr>
        <w:pStyle w:val="TextoNormal"/>
      </w:pPr>
    </w:p>
    <w:p w14:paraId="75D5D2F0" w14:textId="77777777" w:rsidR="00A8138F" w:rsidRDefault="00A8138F" w:rsidP="00A8138F">
      <w:pPr>
        <w:pStyle w:val="TextoNormal"/>
      </w:pPr>
      <w:r>
        <w:t>Ello cohonesta con la referencia en el preámbulo de la Ley 12/2023 (apartado III, párrafo 56) a que lo que se persigue con la regulación que se introduce a través de la disposición final quinta es facilitar a las administraciones competentes “dar adecuada atención a las personas y hogares afectados, ofreciendo respuesta a través de diferentes instrumentos de protección social y de los programas de política de vivienda”.</w:t>
      </w:r>
    </w:p>
    <w:p w14:paraId="4EB23421" w14:textId="77777777" w:rsidR="00A8138F" w:rsidRDefault="00A8138F" w:rsidP="00A8138F">
      <w:pPr>
        <w:pStyle w:val="TextoNormal"/>
      </w:pPr>
    </w:p>
    <w:p w14:paraId="11D459B7" w14:textId="77777777" w:rsidR="00A8138F" w:rsidRDefault="00A8138F" w:rsidP="00A8138F">
      <w:pPr>
        <w:pStyle w:val="TextoNormal"/>
      </w:pPr>
      <w:r>
        <w:t>Se evidencia así, de nuevo, la preocupación del legislador por atender al mandato de hacer efectivo el derecho a disfrutar de una vivienda digna y adecuada (art. 47 CE). Puede decirse, pues, que, de acuerdo con el canon anunciado, las previsiones cuestionadas persiguen un fin constitucionalmente legítimo.</w:t>
      </w:r>
    </w:p>
    <w:p w14:paraId="1AA2631C" w14:textId="77777777" w:rsidR="00A8138F" w:rsidRDefault="00A8138F" w:rsidP="00A8138F">
      <w:pPr>
        <w:pStyle w:val="TextoNormal"/>
      </w:pPr>
    </w:p>
    <w:p w14:paraId="571B7EE6" w14:textId="77777777" w:rsidR="00A8138F" w:rsidRDefault="00A8138F" w:rsidP="00A8138F">
      <w:pPr>
        <w:pStyle w:val="TextoNormal"/>
      </w:pPr>
      <w:r>
        <w:t xml:space="preserve">b) Para dilucidar en el presente caso si las previsiones introducidas en la disposición final quinta de la Ley 12/2023 que se impugna resultan proporcionadas, abordaremos un examen conjunto de los arts. 439.6 y 7 y 655 </w:t>
      </w:r>
      <w:r w:rsidRPr="00A8138F">
        <w:rPr>
          <w:i/>
        </w:rPr>
        <w:t>bis</w:t>
      </w:r>
      <w:r>
        <w:t xml:space="preserve"> LEC resultantes de la reforma efectuada por la Ley 12/2023 dado el evidente paralelismo que el legislador ha querido plasmar en la redacción de uno y otro precepto, aun refiriéndose a ámbitos y fases procedimentales distintos.</w:t>
      </w:r>
    </w:p>
    <w:p w14:paraId="32C35CD0" w14:textId="77777777" w:rsidR="00A8138F" w:rsidRDefault="00A8138F" w:rsidP="00A8138F">
      <w:pPr>
        <w:pStyle w:val="TextoNormal"/>
      </w:pPr>
    </w:p>
    <w:p w14:paraId="241A9B3E" w14:textId="77777777" w:rsidR="00A8138F" w:rsidRDefault="00A8138F" w:rsidP="00A8138F">
      <w:pPr>
        <w:pStyle w:val="TextoNormal"/>
      </w:pPr>
      <w:r>
        <w:t xml:space="preserve">Ello es así, en primer lugar, por cuanto el requisito de acreditar si la parte demandada se encuentra o no en situación de vulnerabilidad económica en la fase de admisión de las demandas de juicio verbal del art. 250.1 apartados 1, 2, 4 y 7 LEC, que es el precepto recogido en el art. 439.6 c) LEC, que los recurrentes cuestionan, se regula de forma análoga en el art. 655 </w:t>
      </w:r>
      <w:r w:rsidRPr="00A8138F">
        <w:rPr>
          <w:i/>
        </w:rPr>
        <w:t>bis</w:t>
      </w:r>
      <w:r>
        <w:t>.1 LEC respecto de la vulnerabilidad económica, en este caso del deudor, y que habrá de acreditar la parte actora antes del inicio de la vía de apremio en el ámbito de la ejecución dineraria, si no se hubiese acreditado con anterioridad.</w:t>
      </w:r>
    </w:p>
    <w:p w14:paraId="58B1C36E" w14:textId="77777777" w:rsidR="00A8138F" w:rsidRDefault="00A8138F" w:rsidP="00A8138F">
      <w:pPr>
        <w:pStyle w:val="TextoNormal"/>
      </w:pPr>
    </w:p>
    <w:p w14:paraId="3D27E0C4" w14:textId="77777777" w:rsidR="00A8138F" w:rsidRDefault="00A8138F" w:rsidP="00A8138F">
      <w:pPr>
        <w:pStyle w:val="TextoNormal"/>
      </w:pPr>
      <w:r>
        <w:t xml:space="preserve">Y, en segundo lugar, porque el apartado 7 del art. 439 LEC encuentra su reflejo en el apartado 2 del art. 655 </w:t>
      </w:r>
      <w:r w:rsidRPr="00A8138F">
        <w:rPr>
          <w:i/>
        </w:rPr>
        <w:t>bis</w:t>
      </w:r>
      <w:r>
        <w:t xml:space="preserve"> LEC, ambos dedicados al requisito de acreditación por la parte actora de haberse sometido a un procedimiento de conciliación o intermediación, cuando se verifique lo previsto en los apartados anteriores respectivos; en un caso como condición de admisibilidad de las citadas demandas de juicio verbal de recuperación posesoria y en el otro, como requisito para poder iniciarse la vía de apremio.</w:t>
      </w:r>
    </w:p>
    <w:p w14:paraId="52115219" w14:textId="77777777" w:rsidR="00A8138F" w:rsidRDefault="00A8138F" w:rsidP="00A8138F">
      <w:pPr>
        <w:pStyle w:val="TextoNormal"/>
      </w:pPr>
    </w:p>
    <w:p w14:paraId="09A75855" w14:textId="77777777" w:rsidR="00A8138F" w:rsidRDefault="00A8138F" w:rsidP="00A8138F">
      <w:pPr>
        <w:pStyle w:val="TextoNormal"/>
      </w:pPr>
      <w:r>
        <w:t xml:space="preserve">c) Pues bien, el requisito impuesto a la parte actora en el art. 439.6 c) LEC, y su correlativo art. 655 </w:t>
      </w:r>
      <w:r w:rsidRPr="00A8138F">
        <w:rPr>
          <w:i/>
        </w:rPr>
        <w:t>bis</w:t>
      </w:r>
      <w:r>
        <w:t>.1 LEC no cumple las exigencias constitucionales del derecho a la tutela judicial efectiva desde un canon de proporcionalidad.</w:t>
      </w:r>
    </w:p>
    <w:p w14:paraId="058D379E" w14:textId="77777777" w:rsidR="00A8138F" w:rsidRDefault="00A8138F" w:rsidP="00A8138F">
      <w:pPr>
        <w:pStyle w:val="TextoNormal"/>
      </w:pPr>
    </w:p>
    <w:p w14:paraId="78A9F1B4" w14:textId="77777777" w:rsidR="00A8138F" w:rsidRDefault="00A8138F" w:rsidP="00A8138F">
      <w:pPr>
        <w:pStyle w:val="TextoNormal"/>
      </w:pPr>
      <w:r>
        <w:t xml:space="preserve">Si conforme a nuestra doctrina son contrarios a este derecho los requisitos que condicionen tanto el acceso a la jurisdicción como la posibilidad de que lo resuelto por los órganos judiciales sea cumplido en sus propios términos, cuando dichos requisitos se erigen en trabas excesivas respecto del fin que lícitamente puede perseguir el legislador, en el presente caso la exigencia de acreditación de la situación de vulnerabilidad se presenta como excesiva, por no resultar comprensible a la luz de una ponderación proporcionada con la finalidad pretendida —encontrar una solución habitacional para las personas en situación de vulnerabilidad económica—, en la medida en que dicho objetivo puede alcanzarse por otras vías </w:t>
      </w:r>
      <w:r>
        <w:lastRenderedPageBreak/>
        <w:t>sin menoscabo del derecho de quien pretende accionar la justicia o proseguir el correspondiente proceso.</w:t>
      </w:r>
    </w:p>
    <w:p w14:paraId="6C0E3A8C" w14:textId="77777777" w:rsidR="00A8138F" w:rsidRDefault="00A8138F" w:rsidP="00A8138F">
      <w:pPr>
        <w:pStyle w:val="TextoNormal"/>
      </w:pPr>
    </w:p>
    <w:p w14:paraId="55DB0945" w14:textId="77777777" w:rsidR="00A8138F" w:rsidRDefault="00A8138F" w:rsidP="00A8138F">
      <w:pPr>
        <w:pStyle w:val="TextoNormal"/>
      </w:pPr>
      <w:r>
        <w:t>Es más, la previsión del art. 439.6 c) LEC puede considerarse incluso innecesaria para conseguir la finalidad pretendida a la luz de lo dispuesto en el apartado 4 de la disposición final quinta de la propia Ley 12/2023. La misma acomete una reforma del art. 441.5 LEC y prevé que por los poderes públicos se adopten las oportunas medidas para hacer frente a las eventuales situaciones de desprotección residencial que pudiesen tener lugar con ocasión de la vulnerabilidad económica en que pudieran encontrarse los ocupantes de las viviendas objeto de controversia en los casos de los números 1, 2, 4 y 7 del apartado 1 del art. 250 LEC (los mismos a que remite el art. 439.6 LEC), una vez admitida la respectiva demanda y, por tanto, de forma compatible y respetuosa con el derecho de acceso al proceso de quien postula la recuperación de la posesión de la vivienda en cuestión.</w:t>
      </w:r>
    </w:p>
    <w:p w14:paraId="3991B47F" w14:textId="77777777" w:rsidR="00A8138F" w:rsidRDefault="00A8138F" w:rsidP="00A8138F">
      <w:pPr>
        <w:pStyle w:val="TextoNormal"/>
      </w:pPr>
    </w:p>
    <w:p w14:paraId="0CBCB97E" w14:textId="77777777" w:rsidR="00A8138F" w:rsidRDefault="00A8138F" w:rsidP="00A8138F">
      <w:pPr>
        <w:pStyle w:val="TextoNormal"/>
      </w:pPr>
      <w:r>
        <w:t>A estos efectos, el referido art. 441.5 LEC prevé que en los aludidos casos del art. 250.1 LEC, siendo el inmueble vivienda habitual de la parte demandada, se informará a esta en el decreto de admisión a trámite de la demanda, de la posibilidad de acudir a las administraciones públicas competentes en materia de vivienda, asistencia social, evaluación e información de situaciones de necesidad social y atención inmediata a personas en situación o riesgo de exclusión social, a efectos de que puedan apreciar la posible situación de vulnerabilidad de la parte demandada. Asimismo, y sin perjuicio de lo anterior, se prevé que el juzgado de forma inmediata y de oficio comunicará a dichas administraciones públicas la existencia del procedimiento a fin de que puedan verificar dicha situación de vulnerabilidad y, de existir esta, “presentar al juzgado propuesta de alternativa de vivienda digna en alquiler social a proporcionar por la administración competente para ello y propuesta de medidas de atención inmediata a adoptar igualmente por la administración competente, así como de las posibles ayudas económicas y subvenciones de las que pueda ser beneficiaria la parte demandada”.</w:t>
      </w:r>
    </w:p>
    <w:p w14:paraId="02E57A1D" w14:textId="77777777" w:rsidR="00A8138F" w:rsidRDefault="00A8138F" w:rsidP="00A8138F">
      <w:pPr>
        <w:pStyle w:val="TextoNormal"/>
      </w:pPr>
    </w:p>
    <w:p w14:paraId="406AA1EC" w14:textId="77777777" w:rsidR="00A8138F" w:rsidRDefault="00A8138F" w:rsidP="00A8138F">
      <w:pPr>
        <w:pStyle w:val="TextoNormal"/>
      </w:pPr>
      <w:r>
        <w:t>La no exigencia del requisito de admisibilidad de la demanda consistente en que la parte actora acredite la referida situación de vulnerabilidad económica no daría lugar, pues, a que quedara desatendida la finalidad legítima perseguida por el legislador. Anticipar su protección condicionando la admisión de la acción resulta, por ello, desproporcionado.</w:t>
      </w:r>
    </w:p>
    <w:p w14:paraId="0CF95903" w14:textId="77777777" w:rsidR="00A8138F" w:rsidRDefault="00A8138F" w:rsidP="00A8138F">
      <w:pPr>
        <w:pStyle w:val="TextoNormal"/>
      </w:pPr>
    </w:p>
    <w:p w14:paraId="06AAA14F" w14:textId="77777777" w:rsidR="00A8138F" w:rsidRDefault="00A8138F" w:rsidP="00A8138F">
      <w:pPr>
        <w:pStyle w:val="TextoNormal"/>
      </w:pPr>
      <w:r>
        <w:t>Por su parte, el juicio de proporcionalidad tampoco se supera respecto a la fase ejecutiva referida a la subasta de bienes inmuebles en el marco de la regulación del procedimiento de apremio de la ejecución dineraria, por cuanto la situación de vulnerabilidad del deudor es susceptible también de conocerse por otros medios, como es a través de las administraciones públicas competentes, sin afectación al derecho del ejecutante de iniciar la vía de apremio.</w:t>
      </w:r>
    </w:p>
    <w:p w14:paraId="69387312" w14:textId="77777777" w:rsidR="00A8138F" w:rsidRDefault="00A8138F" w:rsidP="00A8138F">
      <w:pPr>
        <w:pStyle w:val="TextoNormal"/>
      </w:pPr>
    </w:p>
    <w:p w14:paraId="24500912" w14:textId="77777777" w:rsidR="00A8138F" w:rsidRDefault="00A8138F" w:rsidP="00A8138F">
      <w:pPr>
        <w:pStyle w:val="TextoNormal"/>
      </w:pPr>
      <w:r>
        <w:t xml:space="preserve">Por consiguiente, concluimos que las condiciones de admisibilidad o de procedibilidad previstas en los arts. 439.6 c) y 655 </w:t>
      </w:r>
      <w:r w:rsidRPr="00A8138F">
        <w:rPr>
          <w:i/>
        </w:rPr>
        <w:t>bis</w:t>
      </w:r>
      <w:r>
        <w:t>.1 LEC, al suponer trasladar a la parte actora una carga acreditativa desmesurada por ser la circunstancia a acreditar susceptible de conocerse también a través de medios igual o más asequibles, constituyen una barrera desproporcionada para el ejercicio del derecho a la tutela judicial efectiva, en las dos vertientes concernidas, resultando, por ello inconstitucionales y nulos por vulnerar el art. 24.1 CE.</w:t>
      </w:r>
    </w:p>
    <w:p w14:paraId="09DB0367" w14:textId="77777777" w:rsidR="00A8138F" w:rsidRDefault="00A8138F" w:rsidP="00A8138F">
      <w:pPr>
        <w:pStyle w:val="TextoNormal"/>
      </w:pPr>
    </w:p>
    <w:p w14:paraId="0926CED9" w14:textId="77777777" w:rsidR="00A8138F" w:rsidRDefault="00A8138F" w:rsidP="00A8138F">
      <w:pPr>
        <w:pStyle w:val="TextoNormal"/>
      </w:pPr>
      <w:r>
        <w:lastRenderedPageBreak/>
        <w:t xml:space="preserve">d) Sentando lo anterior, debe declararse también inconstitucional y nulo lo dispuesto en los arts. 439.7 y 655 </w:t>
      </w:r>
      <w:r w:rsidRPr="00A8138F">
        <w:rPr>
          <w:i/>
        </w:rPr>
        <w:t>bis</w:t>
      </w:r>
      <w:r>
        <w:t>.2 LEC, añadidos por la disposición final quinta de la Ley 12/2023. Ello porque lo previsto en estos apartados se vincula inescindiblemente, entre otras cosas, a la constatación de la situación de vulnerabilidad económica de la parte demandada o ejecutada conforme a lo previsto en los apartados que acaban de declararse inconstitucionales.</w:t>
      </w:r>
    </w:p>
    <w:p w14:paraId="36CB90BC" w14:textId="77777777" w:rsidR="00A8138F" w:rsidRDefault="00A8138F" w:rsidP="00A8138F">
      <w:pPr>
        <w:pStyle w:val="TextoNormal"/>
      </w:pPr>
    </w:p>
    <w:p w14:paraId="101AC126" w14:textId="6A444FCB" w:rsidR="00A8138F" w:rsidRDefault="00A8138F" w:rsidP="00A8138F">
      <w:pPr>
        <w:pStyle w:val="TextoNormal"/>
      </w:pPr>
      <w:r>
        <w:t>Estas remisiones a un sistema de acreditación de la concurrencia de vulnerabilidad económica de la contraparte que ya ha sido anulado hacen que lo dispuesto en los preceptos que seguían en examen carezca de sentido lógico, al tener como presupuesto de aplicación las reglas declaradas inconstitucionales. Existe una remisión entre preceptos que arrastra la nulidad (</w:t>
      </w:r>
      <w:r w:rsidRPr="00A8138F">
        <w:rPr>
          <w:i/>
        </w:rPr>
        <w:t>sensu contrario</w:t>
      </w:r>
      <w:r>
        <w:t>, STC 81/2003, de 30 de abril, FJ 7) y hace innecesario mayor análisis de los motivos de inconstitucionalidad alegados [STC 274/2000, de 15 de noviembre, FJ 9 d)].</w:t>
      </w:r>
    </w:p>
    <w:p w14:paraId="3A470807" w14:textId="77777777" w:rsidR="00A8138F" w:rsidRDefault="00A8138F" w:rsidP="00A8138F">
      <w:pPr>
        <w:pStyle w:val="TextoNormal"/>
      </w:pPr>
    </w:p>
    <w:p w14:paraId="1B14C75F" w14:textId="77777777" w:rsidR="00A8138F" w:rsidRDefault="00A8138F" w:rsidP="00A8138F">
      <w:pPr>
        <w:pStyle w:val="TextoNormal"/>
      </w:pPr>
      <w:r w:rsidRPr="00A8138F">
        <w:rPr>
          <w:rStyle w:val="NumeroAFNegritaCaracter"/>
        </w:rPr>
        <w:t>7</w:t>
      </w:r>
      <w:r>
        <w:t xml:space="preserve">. </w:t>
      </w:r>
      <w:r w:rsidRPr="00A8138F">
        <w:rPr>
          <w:i/>
        </w:rPr>
        <w:t>Extensión de la declaración de inconstitucionalidad y nulidad por conexión o consecuencia a preceptos no impugnados</w:t>
      </w:r>
    </w:p>
    <w:p w14:paraId="060CF4F5" w14:textId="77777777" w:rsidR="00A8138F" w:rsidRDefault="00A8138F" w:rsidP="00A8138F">
      <w:pPr>
        <w:pStyle w:val="TextoNormal"/>
      </w:pPr>
    </w:p>
    <w:p w14:paraId="6A914E37" w14:textId="77777777" w:rsidR="00A8138F" w:rsidRDefault="00A8138F" w:rsidP="00A8138F">
      <w:pPr>
        <w:pStyle w:val="TextoNormal"/>
      </w:pPr>
      <w:r>
        <w:t>El art. 39.1 LOTC que acaba de emplearse permite también llegar a declarar la nulidad de los preceptos no impugnados de la misma ley, disposición o acto con fuerza de ley a los que deba extenderse por conexión o consecuencia.</w:t>
      </w:r>
    </w:p>
    <w:p w14:paraId="39619226" w14:textId="77777777" w:rsidR="00A8138F" w:rsidRDefault="00A8138F" w:rsidP="00A8138F">
      <w:pPr>
        <w:pStyle w:val="TextoNormal"/>
      </w:pPr>
    </w:p>
    <w:p w14:paraId="0BDCD344" w14:textId="77777777" w:rsidR="00A8138F" w:rsidRDefault="00A8138F" w:rsidP="00A8138F">
      <w:pPr>
        <w:pStyle w:val="TextoNormal"/>
      </w:pPr>
      <w:r>
        <w:t xml:space="preserve">Pues bien, las razones que nos han llevado, en el fundamento previo a apreciar la inconstitucionalidad de los apartados 6 c) y 7 del art. 439 LEC y 1 y 2 del art. 655 </w:t>
      </w:r>
      <w:r w:rsidRPr="00A8138F">
        <w:rPr>
          <w:i/>
        </w:rPr>
        <w:t>bis</w:t>
      </w:r>
      <w:r>
        <w:t xml:space="preserve"> LEC, deben trasladarse también a lo dispuesto en la última parte del apartado 2 del art. 685 LEC en la redacción dada por el apartado 8 de la disposición final quinta de la Ley 12/2023. En concreto cuando dispone:</w:t>
      </w:r>
    </w:p>
    <w:p w14:paraId="1E6AC99E" w14:textId="77777777" w:rsidR="00A8138F" w:rsidRDefault="00A8138F" w:rsidP="00A8138F">
      <w:pPr>
        <w:pStyle w:val="TextoNormal"/>
      </w:pPr>
    </w:p>
    <w:p w14:paraId="4C22FFD5" w14:textId="77777777" w:rsidR="00A8138F" w:rsidRDefault="00A8138F" w:rsidP="00A8138F">
      <w:pPr>
        <w:pStyle w:val="TextoNormal"/>
      </w:pPr>
      <w:r>
        <w:t>“Disposición final quinta. Modificación de la Ley 1/2000, de 7 de enero, de enjuiciamiento civil</w:t>
      </w:r>
    </w:p>
    <w:p w14:paraId="0067C618" w14:textId="77777777" w:rsidR="00A8138F" w:rsidRDefault="00A8138F" w:rsidP="00A8138F">
      <w:pPr>
        <w:pStyle w:val="TextoNormal"/>
      </w:pPr>
    </w:p>
    <w:p w14:paraId="049CDA15" w14:textId="77777777" w:rsidR="00A8138F" w:rsidRDefault="00A8138F" w:rsidP="00A8138F">
      <w:pPr>
        <w:pStyle w:val="TextoNormal"/>
      </w:pPr>
      <w:r>
        <w:t>La Ley 1/2000, de 7 de enero, de enjuiciamiento civil, queda modificada como sigue:</w:t>
      </w:r>
    </w:p>
    <w:p w14:paraId="5BA921E9" w14:textId="77777777" w:rsidR="00A8138F" w:rsidRDefault="00A8138F" w:rsidP="00A8138F">
      <w:pPr>
        <w:pStyle w:val="TextoNormal"/>
      </w:pPr>
    </w:p>
    <w:p w14:paraId="0999629D" w14:textId="77777777" w:rsidR="00A8138F" w:rsidRDefault="00A8138F" w:rsidP="00A8138F">
      <w:pPr>
        <w:pStyle w:val="TextoNormal"/>
      </w:pPr>
      <w:r>
        <w:t>[…]</w:t>
      </w:r>
    </w:p>
    <w:p w14:paraId="3F7C2DED" w14:textId="77777777" w:rsidR="00A8138F" w:rsidRDefault="00A8138F" w:rsidP="00A8138F">
      <w:pPr>
        <w:pStyle w:val="TextoNormal"/>
      </w:pPr>
    </w:p>
    <w:p w14:paraId="3F662819" w14:textId="77777777" w:rsidR="00A8138F" w:rsidRDefault="00A8138F" w:rsidP="00A8138F">
      <w:pPr>
        <w:pStyle w:val="TextoNormal"/>
      </w:pPr>
      <w:r>
        <w:t>Ocho. Se modifica el apartado 2 del artículo 685 con el siguiente literal:</w:t>
      </w:r>
    </w:p>
    <w:p w14:paraId="6F31CA2D" w14:textId="77777777" w:rsidR="00A8138F" w:rsidRDefault="00A8138F" w:rsidP="00A8138F">
      <w:pPr>
        <w:pStyle w:val="TextoNormal"/>
      </w:pPr>
    </w:p>
    <w:p w14:paraId="21466664" w14:textId="77777777" w:rsidR="00A8138F" w:rsidRDefault="00A8138F" w:rsidP="00A8138F">
      <w:pPr>
        <w:pStyle w:val="TextoNormal"/>
      </w:pPr>
      <w:r>
        <w:t>[…]</w:t>
      </w:r>
    </w:p>
    <w:p w14:paraId="43C579A3" w14:textId="77777777" w:rsidR="00A8138F" w:rsidRDefault="00A8138F" w:rsidP="00A8138F">
      <w:pPr>
        <w:pStyle w:val="TextoNormal"/>
      </w:pPr>
    </w:p>
    <w:p w14:paraId="64DE4E82" w14:textId="77777777" w:rsidR="00A8138F" w:rsidRDefault="00A8138F" w:rsidP="00A8138F">
      <w:pPr>
        <w:pStyle w:val="TextoNormal"/>
      </w:pPr>
      <w:r>
        <w:t>Asimismo, deberá indicarse si el deudor se encuentra o no en situación de vulnerabilidad económica.</w:t>
      </w:r>
    </w:p>
    <w:p w14:paraId="47903135" w14:textId="77777777" w:rsidR="00A8138F" w:rsidRDefault="00A8138F" w:rsidP="00A8138F">
      <w:pPr>
        <w:pStyle w:val="TextoNormal"/>
      </w:pPr>
    </w:p>
    <w:p w14:paraId="4E5A6C53" w14:textId="77777777" w:rsidR="00A8138F" w:rsidRDefault="00A8138F" w:rsidP="00A8138F">
      <w:pPr>
        <w:pStyle w:val="TextoNormal"/>
      </w:pPr>
      <w:r>
        <w:t>Para acreditar la concurrencia o no de vulnerabilidad económica se deberá aportar documento acreditativo, de vigencia no superior a tres meses, emitido, previo consentimiento del deudor hipotecario de la vivienda, por los servicios de las administraciones autonómicas y locales competentes en materia de vivienda, asistencia social, evaluación e información de situaciones de necesidad social y atención inmediata a personas en situación o riesgo de exclusión social que hayan sido específicamente designados conforme la legislación y normativa autonómica en materia de vivienda.</w:t>
      </w:r>
    </w:p>
    <w:p w14:paraId="10EA3C51" w14:textId="77777777" w:rsidR="00A8138F" w:rsidRDefault="00A8138F" w:rsidP="00A8138F">
      <w:pPr>
        <w:pStyle w:val="TextoNormal"/>
      </w:pPr>
    </w:p>
    <w:p w14:paraId="1E47FCEB" w14:textId="77777777" w:rsidR="00A8138F" w:rsidRDefault="00A8138F" w:rsidP="00A8138F">
      <w:pPr>
        <w:pStyle w:val="TextoNormal"/>
      </w:pPr>
      <w:r>
        <w:t>Este requisito también podrá cumplirse mediante:</w:t>
      </w:r>
    </w:p>
    <w:p w14:paraId="0A8895FD" w14:textId="77777777" w:rsidR="00A8138F" w:rsidRDefault="00A8138F" w:rsidP="00A8138F">
      <w:pPr>
        <w:pStyle w:val="TextoNormal"/>
      </w:pPr>
    </w:p>
    <w:p w14:paraId="0DBB05D3" w14:textId="77777777" w:rsidR="00A8138F" w:rsidRDefault="00A8138F" w:rsidP="00A8138F">
      <w:pPr>
        <w:pStyle w:val="TextoNormal"/>
      </w:pPr>
      <w:r>
        <w:t>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14:paraId="22304E10" w14:textId="77777777" w:rsidR="00A8138F" w:rsidRDefault="00A8138F" w:rsidP="00A8138F">
      <w:pPr>
        <w:pStyle w:val="TextoNormal"/>
      </w:pPr>
    </w:p>
    <w:p w14:paraId="22C0124B" w14:textId="77777777" w:rsidR="00A8138F" w:rsidRDefault="00A8138F" w:rsidP="00A8138F">
      <w:pPr>
        <w:pStyle w:val="TextoNormal"/>
      </w:pPr>
      <w:r>
        <w:t>2.º El documento acreditativo de los servicios competentes que indiquen que el deudor hipotecario no consiente expresamente el estudio de su situación económica en los términos previstos por la legislación y normativa autonómica en materia de vivienda. Este documento no podrá tener una vigencia superior a tres meses.</w:t>
      </w:r>
    </w:p>
    <w:p w14:paraId="05C0AF4E" w14:textId="77777777" w:rsidR="00A8138F" w:rsidRDefault="00A8138F" w:rsidP="00A8138F">
      <w:pPr>
        <w:pStyle w:val="TextoNormal"/>
      </w:pPr>
    </w:p>
    <w:p w14:paraId="5BAF2487" w14:textId="77777777" w:rsidR="00A8138F" w:rsidRDefault="00A8138F" w:rsidP="00A8138F">
      <w:pPr>
        <w:pStyle w:val="TextoNormal"/>
      </w:pPr>
      <w:r>
        <w:t>En el caso de que el acreedor hipotecario sea un gran tenedor de vivienda, el inmueble objeto de demanda sea la vivienda habitual del deudor hipotecario y se tenga constancia, conforme a los apartados anteriores, que este se encuentra en situación de vulnerabilidad económica, no se admitirán las demandas de ejecución hipotecaria en las que no se acredite que la parte actora se ha sometido al procedimiento de conciliación o intermediación que a tal efecto establezcan las administraciones públicas competentes, en base al análisis de las circunstancias de ambas partes y de las posibles ayudas y subvenciones existentes conforme a la legislación y normativa autonómica en materia de vivienda.</w:t>
      </w:r>
    </w:p>
    <w:p w14:paraId="09194B8C" w14:textId="77777777" w:rsidR="00A8138F" w:rsidRDefault="00A8138F" w:rsidP="00A8138F">
      <w:pPr>
        <w:pStyle w:val="TextoNormal"/>
      </w:pPr>
    </w:p>
    <w:p w14:paraId="3DD4BD5C" w14:textId="77777777" w:rsidR="00A8138F" w:rsidRDefault="00A8138F" w:rsidP="00A8138F">
      <w:pPr>
        <w:pStyle w:val="TextoNormal"/>
      </w:pPr>
      <w:r>
        <w:t>El requisito anterior podrá acreditarse mediante alguna de las siguientes formas:</w:t>
      </w:r>
    </w:p>
    <w:p w14:paraId="07E6283D" w14:textId="77777777" w:rsidR="00A8138F" w:rsidRDefault="00A8138F" w:rsidP="00A8138F">
      <w:pPr>
        <w:pStyle w:val="TextoNormal"/>
      </w:pPr>
    </w:p>
    <w:p w14:paraId="1486A59F" w14:textId="77777777" w:rsidR="00A8138F" w:rsidRDefault="00A8138F" w:rsidP="00A8138F">
      <w:pPr>
        <w:pStyle w:val="TextoNormal"/>
      </w:pPr>
      <w:r>
        <w:t>1.º La declaración responsable emitida por la parte actora de que ha acudido a los servicios indicados anteriormente, en un plazo máximo de cinco meses de antelación a la presentación de la demanda, sin que hubiera sido atendida o se hubieran iniciado los trámites correspondientes en el plazo de dos meses desde que presentó su solicitud, junto con justificante acreditativo de la misma.</w:t>
      </w:r>
    </w:p>
    <w:p w14:paraId="04BC8486" w14:textId="77777777" w:rsidR="00A8138F" w:rsidRDefault="00A8138F" w:rsidP="00A8138F">
      <w:pPr>
        <w:pStyle w:val="TextoNormal"/>
      </w:pPr>
    </w:p>
    <w:p w14:paraId="1EBF9612" w14:textId="77777777" w:rsidR="00A8138F" w:rsidRDefault="00A8138F" w:rsidP="00A8138F">
      <w:pPr>
        <w:pStyle w:val="TextoNormal"/>
      </w:pPr>
      <w:r>
        <w:t>2.º El documento acreditativo de los servicios competentes que indique el resultado del procedimiento de conciliación o intermediación, en el que se hará constar la identidad de las partes, el objeto de la controversia y si alguna de las partes ha rehusado participar en el procedimiento, en su caso. Este documento no podrá tener una vigencia superior a tres meses.</w:t>
      </w:r>
    </w:p>
    <w:p w14:paraId="38C36153" w14:textId="77777777" w:rsidR="00A8138F" w:rsidRDefault="00A8138F" w:rsidP="00A8138F">
      <w:pPr>
        <w:pStyle w:val="TextoNormal"/>
      </w:pPr>
    </w:p>
    <w:p w14:paraId="3949C4B1" w14:textId="77777777" w:rsidR="00A8138F" w:rsidRDefault="00A8138F" w:rsidP="00A8138F">
      <w:pPr>
        <w:pStyle w:val="TextoNormal"/>
      </w:pPr>
      <w:r>
        <w:t>En el caso de que el acreedor hipotecario sea una entidad pública de vivienda el requisito anterior se podrá sustituir, en su caso, por la previa concurrencia de la acción de los servicios específicos de intermediación de la propia entidad, que se acreditará en los términos del apartado anterior”.</w:t>
      </w:r>
    </w:p>
    <w:p w14:paraId="7BEBCA02" w14:textId="77777777" w:rsidR="00A8138F" w:rsidRDefault="00A8138F" w:rsidP="00A8138F">
      <w:pPr>
        <w:pStyle w:val="TextoNormal"/>
      </w:pPr>
    </w:p>
    <w:p w14:paraId="527A1D6A" w14:textId="77777777" w:rsidR="00A8138F" w:rsidRDefault="00A8138F" w:rsidP="00A8138F">
      <w:pPr>
        <w:pStyle w:val="TextoNormal"/>
      </w:pPr>
      <w:r>
        <w:t xml:space="preserve">Se trata de pasajes que </w:t>
      </w:r>
      <w:r w:rsidRPr="00A8138F">
        <w:rPr>
          <w:i/>
        </w:rPr>
        <w:t>mutatis mutandis</w:t>
      </w:r>
      <w:r>
        <w:t xml:space="preserve"> reproducen la misma carga desproporcionada para el ejercicio del derecho a la tutela judicial efectiva de la parte actora que se juzgó inconstitucional en el fundamento jurídico 6 C) c), con remisiones que convierten aquella regla en presupuesto lógico de aplicación de forma que llevó a la declaración de inconstitucionalidad efectuada en el fundamento jurídico 6 C) d), aquí en relación con la demanda ejecutiva sobre bienes hipotecados o pignorados.</w:t>
      </w:r>
    </w:p>
    <w:p w14:paraId="43914674" w14:textId="77777777" w:rsidR="00A8138F" w:rsidRDefault="00A8138F" w:rsidP="00A8138F">
      <w:pPr>
        <w:pStyle w:val="TextoNormal"/>
      </w:pPr>
    </w:p>
    <w:p w14:paraId="2A2FF4D1" w14:textId="7A99893F" w:rsidR="00A8138F" w:rsidRDefault="00A8138F" w:rsidP="00A8138F">
      <w:pPr>
        <w:pStyle w:val="TextoNormal"/>
      </w:pPr>
      <w:r>
        <w:t>En consecuencia, procede reputar también inconstitucional y nulo el inciso transcrito.</w:t>
      </w:r>
    </w:p>
    <w:p w14:paraId="1BB75635" w14:textId="77777777" w:rsidR="00A8138F" w:rsidRDefault="00A8138F" w:rsidP="00A8138F">
      <w:pPr>
        <w:pStyle w:val="TextoNormal"/>
      </w:pPr>
    </w:p>
    <w:p w14:paraId="14CD1F44" w14:textId="77777777" w:rsidR="00A8138F" w:rsidRDefault="00A8138F" w:rsidP="00A8138F">
      <w:pPr>
        <w:pStyle w:val="TextoNormalCentrado"/>
        <w:keepNext/>
      </w:pPr>
      <w:r>
        <w:t>FALLO</w:t>
      </w:r>
    </w:p>
    <w:p w14:paraId="4B1A5E77" w14:textId="4DA6D884" w:rsidR="00A8138F" w:rsidRDefault="00A8138F" w:rsidP="00A8138F">
      <w:pPr>
        <w:pStyle w:val="TextoNormalCentrado"/>
        <w:keepNext/>
      </w:pPr>
    </w:p>
    <w:p w14:paraId="1C314859" w14:textId="77777777" w:rsidR="00A8138F" w:rsidRDefault="00A8138F" w:rsidP="00A8138F">
      <w:pPr>
        <w:pStyle w:val="TextoNormal"/>
      </w:pPr>
      <w:r>
        <w:t>En atención a todo lo expuesto, el Tribunal Constitucional, por la autoridad que le confiere la Constitución de la Nación española, ha decidido:</w:t>
      </w:r>
    </w:p>
    <w:p w14:paraId="0FE18C14" w14:textId="77777777" w:rsidR="00A8138F" w:rsidRDefault="00A8138F" w:rsidP="00A8138F">
      <w:pPr>
        <w:pStyle w:val="TextoNormal"/>
      </w:pPr>
    </w:p>
    <w:p w14:paraId="42030D97" w14:textId="77777777" w:rsidR="00A8138F" w:rsidRDefault="00A8138F" w:rsidP="00A8138F">
      <w:pPr>
        <w:pStyle w:val="TextoNormal"/>
      </w:pPr>
      <w:r>
        <w:t>1º Declarar la pérdida sobrevenida de objeto del presente recurso de inconstitucionalidad respecto de la impugnación de los artículos 16.1 d), 27.1 y 27.3 de la Ley 12/2023, de 24 de mayo, por el derecho a la vivienda.</w:t>
      </w:r>
    </w:p>
    <w:p w14:paraId="020E31E2" w14:textId="77777777" w:rsidR="00A8138F" w:rsidRDefault="00A8138F" w:rsidP="00A8138F">
      <w:pPr>
        <w:pStyle w:val="TextoNormal"/>
      </w:pPr>
    </w:p>
    <w:p w14:paraId="1B569D3B" w14:textId="77777777" w:rsidR="00A8138F" w:rsidRDefault="00A8138F" w:rsidP="00A8138F">
      <w:pPr>
        <w:pStyle w:val="TextoNormal"/>
      </w:pPr>
      <w:r>
        <w:t xml:space="preserve">2º Estimar parcialmente el recurso de inconstitucionalidad y, en consecuencia, declarar la inconstitucionalidad y nulidad de los apartados 6 c) y 7 del art. 439 y de los apartados 1 y 2 del art. 655 </w:t>
      </w:r>
      <w:r w:rsidRPr="00A8138F">
        <w:rPr>
          <w:i/>
        </w:rPr>
        <w:t>bis</w:t>
      </w:r>
      <w:r>
        <w:t xml:space="preserve"> de la Ley 1/2000, de 7 de enero, de enjuiciamiento civil, en la redacción dada por la disposición final quinta, apartados 2 y 6, de la Ley 12/2023, de 24 de mayo, por el derecho a la vivienda.</w:t>
      </w:r>
    </w:p>
    <w:p w14:paraId="334BE215" w14:textId="77777777" w:rsidR="00A8138F" w:rsidRDefault="00A8138F" w:rsidP="00A8138F">
      <w:pPr>
        <w:pStyle w:val="TextoNormal"/>
      </w:pPr>
    </w:p>
    <w:p w14:paraId="205D3622" w14:textId="77777777" w:rsidR="00A8138F" w:rsidRDefault="00A8138F" w:rsidP="00A8138F">
      <w:pPr>
        <w:pStyle w:val="TextoNormal"/>
      </w:pPr>
      <w:r>
        <w:t>3º Extender, por conexión o consecuencia, la declaración de inconstitucionalidad y nulidad al inciso del art. 685.2 de la Ley 1/2000, de 7 de enero, de enjuiciamiento civil, en la redacción dada por la disposición final quinta apartado 8 de la Ley 12/2023, de 24 de mayo, por el derecho a la vivienda, que se indica en el fundamento jurídico 7 de la presente sentencia.</w:t>
      </w:r>
    </w:p>
    <w:p w14:paraId="1BD51908" w14:textId="77777777" w:rsidR="00A8138F" w:rsidRDefault="00A8138F" w:rsidP="00A8138F">
      <w:pPr>
        <w:pStyle w:val="TextoNormal"/>
      </w:pPr>
    </w:p>
    <w:p w14:paraId="2BE4745E" w14:textId="592E0306" w:rsidR="00A8138F" w:rsidRDefault="00A8138F" w:rsidP="00A8138F">
      <w:pPr>
        <w:pStyle w:val="TextoNormal"/>
      </w:pPr>
      <w:r>
        <w:t>4º Desestimar el recurso en todo lo demás.</w:t>
      </w:r>
    </w:p>
    <w:p w14:paraId="35B277AB" w14:textId="77777777" w:rsidR="00A8138F" w:rsidRDefault="00A8138F" w:rsidP="00A8138F">
      <w:pPr>
        <w:pStyle w:val="TextoNormal"/>
      </w:pPr>
    </w:p>
    <w:p w14:paraId="79BEC491" w14:textId="77777777" w:rsidR="00A8138F" w:rsidRDefault="00A8138F" w:rsidP="00A8138F">
      <w:pPr>
        <w:pStyle w:val="TextoNormal"/>
      </w:pPr>
      <w:r>
        <w:t>Publíquese esta sentencia en el “Boletín Oficial del Estado”.</w:t>
      </w:r>
    </w:p>
    <w:p w14:paraId="48261C96" w14:textId="77777777" w:rsidR="00A8138F" w:rsidRDefault="00A8138F" w:rsidP="00A8138F">
      <w:pPr>
        <w:pStyle w:val="TextoNormal"/>
      </w:pPr>
      <w:r>
        <w:t>Dada en Madrid, a veintinueve de enero de dos mil veinticinco.</w:t>
      </w:r>
    </w:p>
    <w:p w14:paraId="6058C757" w14:textId="2687F09A" w:rsidR="00A8138F" w:rsidRDefault="00A8138F" w:rsidP="00A8138F">
      <w:pPr>
        <w:pStyle w:val="ParrafoNormal"/>
      </w:pPr>
    </w:p>
    <w:p w14:paraId="272C8E9C" w14:textId="77777777" w:rsidR="00A8138F" w:rsidRDefault="00A8138F" w:rsidP="00A8138F">
      <w:pPr>
        <w:pStyle w:val="TextoNormalNegritaCentrado"/>
        <w:keepNext/>
      </w:pPr>
      <w:r>
        <w:t>Voto particular que formula el magistrado don Ricardo Enríquez Sancho a la sentencia dictada en el recurso de inconstitucionalidad núm. 5514-2023</w:t>
      </w:r>
    </w:p>
    <w:p w14:paraId="6903E8C3" w14:textId="56055F79" w:rsidR="00A8138F" w:rsidRDefault="00A8138F" w:rsidP="00A8138F">
      <w:pPr>
        <w:pStyle w:val="TextoNormalNegritaCentrado"/>
        <w:keepNext/>
      </w:pPr>
    </w:p>
    <w:p w14:paraId="3EEF5F31" w14:textId="77777777" w:rsidR="00A8138F" w:rsidRDefault="00A8138F" w:rsidP="00A8138F">
      <w:pPr>
        <w:pStyle w:val="TextoNormal"/>
      </w:pPr>
      <w:r>
        <w:t>En el ejercicio de la facultad que me confiere el artículo 90.2 LOTC, y con el máximo respeto a la opinión de la mayoría, formulo el presente voto particular para exponer las razones de mi discrepancia con parte de la fundamentación jurídica y fallo de la sentencia aprobada.</w:t>
      </w:r>
    </w:p>
    <w:p w14:paraId="76BE7343" w14:textId="77777777" w:rsidR="00A8138F" w:rsidRDefault="00A8138F" w:rsidP="00A8138F">
      <w:pPr>
        <w:pStyle w:val="TextoNormal"/>
      </w:pPr>
    </w:p>
    <w:p w14:paraId="7FD933BB" w14:textId="77777777" w:rsidR="00A8138F" w:rsidRDefault="00A8138F" w:rsidP="00A8138F">
      <w:pPr>
        <w:pStyle w:val="TextoNormal"/>
      </w:pPr>
      <w:r>
        <w:t xml:space="preserve">1. </w:t>
      </w:r>
      <w:r w:rsidRPr="00A8138F">
        <w:rPr>
          <w:i/>
        </w:rPr>
        <w:t>Encuadramiento competencial: STC 79/2024</w:t>
      </w:r>
    </w:p>
    <w:p w14:paraId="5988E3F9" w14:textId="77777777" w:rsidR="00A8138F" w:rsidRDefault="00A8138F" w:rsidP="00A8138F">
      <w:pPr>
        <w:pStyle w:val="TextoNormal"/>
      </w:pPr>
    </w:p>
    <w:p w14:paraId="174F6A9F" w14:textId="77777777" w:rsidR="00A8138F" w:rsidRDefault="00A8138F" w:rsidP="00A8138F">
      <w:pPr>
        <w:pStyle w:val="TextoNormal"/>
      </w:pPr>
      <w:r>
        <w:t>La sentencia de la que discrepo parte de lo ya resuelto en la STC 79/2024, dictada en el recurso de inconstitucionalidad interpuesto por el Consejo de Gobierno de la Junta de Andalucía contra esta misma Ley 12/2023, de 24 de mayo, por el derecho a la vivienda, ahora recurrida por más de cincuenta diputados del Congreso.</w:t>
      </w:r>
    </w:p>
    <w:p w14:paraId="6B1D7702" w14:textId="77777777" w:rsidR="00A8138F" w:rsidRDefault="00A8138F" w:rsidP="00A8138F">
      <w:pPr>
        <w:pStyle w:val="TextoNormal"/>
      </w:pPr>
    </w:p>
    <w:p w14:paraId="15D0AF55" w14:textId="77777777" w:rsidR="00A8138F" w:rsidRDefault="00A8138F" w:rsidP="00A8138F">
      <w:pPr>
        <w:pStyle w:val="TextoNormal"/>
      </w:pPr>
      <w:r>
        <w:t xml:space="preserve">En esa STC 79/2024 ya se puso de manifiesto una discrepancia de principio entre los miembros de este tribunal sobre el encuadramiento competencial de la Ley 12/2023 que, lógicamente, se arrastra a esta nueva sentencia sobre la misma ley. Para la mayoría, la Ley </w:t>
      </w:r>
      <w:r>
        <w:lastRenderedPageBreak/>
        <w:t>12/2023 puede encontrar acomodo en la competencia del Estado para regular las condiciones básicas que garanticen la igualdad de todos los españoles en el ejercicio del derecho a la vivienda (art. 149.1.1 CE, en relación con el art. 47 CE). Por el contrario, los firmantes del voto particular a aquella STC 79/2024 sostuvimos que esta competencia del art. 149.1.1 CE permite al Estado regular derechos, facultades o posiciones jurídicas fundamentales de los ciudadanos (así, invariablemente desde la STC 61/1997, FJ 8), pero no regular el modo o manera en que las comunidades autónomas deben ejercer sus competencias en materia de vivienda, que es una competencia exclusiva de estas (art. 148.1.3 CE), como hacen la mayoría de los preceptos de la Ley 12/2023. En una palabra, las condiciones básicas sobre derechos del art. 149.1.1 CE no son las bases de las materias de competencia compartida (bases-desarrollo) que tiene atribuidas el Estado en otros sectores de acción pública, como la sanidad (art. 149.1.16 CE) o el medio ambiente (art. 149.1.23 CE). Para una explicación más detallada de toda esta controversia y de mis argumentos al respecto me remito al voto particular a la citada STC 79/2024.</w:t>
      </w:r>
    </w:p>
    <w:p w14:paraId="7EA838D8" w14:textId="77777777" w:rsidR="00A8138F" w:rsidRDefault="00A8138F" w:rsidP="00A8138F">
      <w:pPr>
        <w:pStyle w:val="TextoNormal"/>
      </w:pPr>
    </w:p>
    <w:p w14:paraId="6D10F529" w14:textId="77777777" w:rsidR="00A8138F" w:rsidRDefault="00A8138F" w:rsidP="00A8138F">
      <w:pPr>
        <w:pStyle w:val="TextoNormal"/>
      </w:pPr>
      <w:r>
        <w:t>Esta discrepancia de principio acarreaba, lógicamente, diferentes conclusiones en torno a la conformidad o no con la Constitución de los preceptos entonces recurridos, una diferencia que se reproduce ahora nuevamente con los arts. 15 y 31 de la Ley 12/2023 que esta nueva sentencia examina.</w:t>
      </w:r>
    </w:p>
    <w:p w14:paraId="36591102" w14:textId="77777777" w:rsidR="00A8138F" w:rsidRDefault="00A8138F" w:rsidP="00A8138F">
      <w:pPr>
        <w:pStyle w:val="TextoNormal"/>
      </w:pPr>
    </w:p>
    <w:p w14:paraId="60A75D24" w14:textId="77777777" w:rsidR="00A8138F" w:rsidRDefault="00A8138F" w:rsidP="00A8138F">
      <w:pPr>
        <w:pStyle w:val="TextoNormal"/>
      </w:pPr>
      <w:r>
        <w:t xml:space="preserve">2. </w:t>
      </w:r>
      <w:r w:rsidRPr="00A8138F">
        <w:rPr>
          <w:i/>
        </w:rPr>
        <w:t>El artículo 15 de la Ley 12/2023 establece “bases” de las políticas (autonómicas) de vivienda, no “condiciones básicas” para el ejercicio del “derecho” a la vivienda</w:t>
      </w:r>
    </w:p>
    <w:p w14:paraId="7BC517A9" w14:textId="77777777" w:rsidR="00A8138F" w:rsidRDefault="00A8138F" w:rsidP="00A8138F">
      <w:pPr>
        <w:pStyle w:val="TextoNormal"/>
      </w:pPr>
    </w:p>
    <w:p w14:paraId="01163597" w14:textId="77777777" w:rsidR="00A8138F" w:rsidRDefault="00A8138F" w:rsidP="00A8138F">
      <w:pPr>
        <w:pStyle w:val="TextoNormal"/>
      </w:pPr>
      <w:r>
        <w:t>Que el art. 15 establece unas bases o normas básicas de vivienda, y no unas condiciones básicas para el ejercicio por alguna persona de su derecho a la vivienda salta a la vista desde su primer párrafo, que dice así:</w:t>
      </w:r>
    </w:p>
    <w:p w14:paraId="022DF614" w14:textId="77777777" w:rsidR="00A8138F" w:rsidRDefault="00A8138F" w:rsidP="00A8138F">
      <w:pPr>
        <w:pStyle w:val="TextoNormal"/>
      </w:pPr>
    </w:p>
    <w:p w14:paraId="37C08496" w14:textId="77777777" w:rsidR="00A8138F" w:rsidRDefault="00A8138F" w:rsidP="00A8138F">
      <w:pPr>
        <w:pStyle w:val="TextoNormal"/>
      </w:pPr>
      <w:r>
        <w:t xml:space="preserve">“Para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w:t>
      </w:r>
      <w:r w:rsidRPr="00A8138F">
        <w:rPr>
          <w:i/>
        </w:rPr>
        <w:t>criterios básicos en el ámbito de la ordenación territorial y urbanística</w:t>
      </w:r>
      <w:r>
        <w:t>”.</w:t>
      </w:r>
    </w:p>
    <w:p w14:paraId="17BDE52B" w14:textId="77777777" w:rsidR="00A8138F" w:rsidRDefault="00A8138F" w:rsidP="00A8138F">
      <w:pPr>
        <w:pStyle w:val="TextoNormal"/>
      </w:pPr>
    </w:p>
    <w:p w14:paraId="63ABE849" w14:textId="77777777" w:rsidR="00A8138F" w:rsidRDefault="00A8138F" w:rsidP="00A8138F">
      <w:pPr>
        <w:pStyle w:val="TextoNormal"/>
      </w:pPr>
      <w:r>
        <w:t>Esta confesión del legislador sobre la verdadera naturaleza de las normas aprobadas se ve corroborada por el contenido de los apartados b), c) y d) concretamente impugnados.</w:t>
      </w:r>
    </w:p>
    <w:p w14:paraId="40F60E55" w14:textId="77777777" w:rsidR="00A8138F" w:rsidRDefault="00A8138F" w:rsidP="00A8138F">
      <w:pPr>
        <w:pStyle w:val="TextoNormal"/>
      </w:pPr>
    </w:p>
    <w:p w14:paraId="51F9F56B" w14:textId="77777777" w:rsidR="00A8138F" w:rsidRDefault="00A8138F" w:rsidP="00A8138F">
      <w:pPr>
        <w:pStyle w:val="TextoNormal"/>
      </w:pPr>
      <w:r>
        <w:t>a) La mayoría reconoce abiertamente que el art. 15.1 b) “contiene una regla dirigida a las comunidades autónomas y a las entidades locales” sobre cómo ejercer sus funciones [FJ 3 B) a)], es decir, una norma básica para sus políticas de vivienda. El precepto simplemente ordena la “ordenación territorial y urbanística” para promover varias tipologías de vivienda. Su contenido normativo, por tanto, es prácticamente inexistente, y resulta difícilmente imaginable un supuesto en que alguna persona o entidad pueda invocar derecho alguno al amparo de este artículo o solicitar su aplicación a un tribunal en algún supuesto litigioso. En definitiva, el art. 15.1 b) no regula ningún derecho, como exige el art. 149.1.1 CE, sino cómo deben ejercerse potestades administrativas ajenas (autonómicas y locales). Como el Estado carece de competencia legislativa en la materia a la que se refiere, la “ordenación territorial y urbanística” (art. 15.1, antes transcrito), el precepto debió declararse inconstitucional.</w:t>
      </w:r>
    </w:p>
    <w:p w14:paraId="71AD7F44" w14:textId="77777777" w:rsidR="00A8138F" w:rsidRDefault="00A8138F" w:rsidP="00A8138F">
      <w:pPr>
        <w:pStyle w:val="TextoNormal"/>
      </w:pPr>
    </w:p>
    <w:p w14:paraId="4192D3B7" w14:textId="77777777" w:rsidR="00A8138F" w:rsidRDefault="00A8138F" w:rsidP="00A8138F">
      <w:pPr>
        <w:pStyle w:val="TextoNormal"/>
      </w:pPr>
      <w:r>
        <w:lastRenderedPageBreak/>
        <w:t>b) El apartado c) del art. 15.1 contiene una cláusula de no regresión de las reservas de suelo similar a la que existe en el derecho ambiental [FJ 3 B) b)]. La mayoría entiende que esta limitación de las competencias autonómicas y municipales puede ampararse en el art. 149.1.13 CE (“bases y coordinación de la planificación general de la actividad económica”) citando el precedente de la STC 141/2014, FJ 8 A) b). Sin embargo, a mi juicio, ni el precepto ni la sentencia constitucional citada otorgan cobertura a esta cláusula de no regresión.</w:t>
      </w:r>
    </w:p>
    <w:p w14:paraId="43834512" w14:textId="77777777" w:rsidR="00A8138F" w:rsidRDefault="00A8138F" w:rsidP="00A8138F">
      <w:pPr>
        <w:pStyle w:val="TextoNormal"/>
      </w:pPr>
    </w:p>
    <w:p w14:paraId="2C54FBC9" w14:textId="77777777" w:rsidR="00A8138F" w:rsidRDefault="00A8138F" w:rsidP="00A8138F">
      <w:pPr>
        <w:pStyle w:val="TextoNormal"/>
      </w:pPr>
      <w:r>
        <w:t>La STC 141/2014, FJ 8 A) b) declaró constitucional el art. 10.1 b) del texto refundido de la Ley de suelo aprobado por el Real Decreto Legislativo 2/2008, de 20 de junio, actual art. 20.1 b) TRLSRU. Este precepto establece un porcentaje mínimo de reserva de suelo para vivienda pública que impide a comunidades autónomas y ayuntamientos rebajarlo, pero que deja plena libertad a ambos, y especialmente a los segundos, para moverse por encima de él.</w:t>
      </w:r>
    </w:p>
    <w:p w14:paraId="2B9954FC" w14:textId="77777777" w:rsidR="00A8138F" w:rsidRDefault="00A8138F" w:rsidP="00A8138F">
      <w:pPr>
        <w:pStyle w:val="TextoNormal"/>
      </w:pPr>
    </w:p>
    <w:p w14:paraId="0277A2F6" w14:textId="77777777" w:rsidR="00A8138F" w:rsidRDefault="00A8138F" w:rsidP="00A8138F">
      <w:pPr>
        <w:pStyle w:val="TextoNormal"/>
      </w:pPr>
      <w:r>
        <w:t>El art. 15.1 c) de la Ley 12/2023 sobrepasa esta técnica. No fija un porcentaje mínimo vinculante, como hacía el precepto examinado en la STC 141/2014, sino que petrifica la reserva concreta que pueda establecer una mayoría coyuntural impidiendo que mayorías futuras puedan modificarla. Quebranta con ello, y gravemente además, el principio de autogobierno democrático y la autonomía municipal para la gestión de los propios intereses (art. 140 CE), tal y como denunciaban los recurrentes.</w:t>
      </w:r>
    </w:p>
    <w:p w14:paraId="784D4FAF" w14:textId="77777777" w:rsidR="00A8138F" w:rsidRDefault="00A8138F" w:rsidP="00A8138F">
      <w:pPr>
        <w:pStyle w:val="TextoNormal"/>
      </w:pPr>
    </w:p>
    <w:p w14:paraId="3118D0C2" w14:textId="77777777" w:rsidR="00A8138F" w:rsidRDefault="00A8138F" w:rsidP="00A8138F">
      <w:pPr>
        <w:pStyle w:val="TextoNormal"/>
      </w:pPr>
      <w:r>
        <w:t>Hemos dicho con reiteración que “la reversibilidad de las decisiones normativas es inherente a la idea de democracia” (STC 31/2010, de 28 de junio, FJ 6, y otras muchas posteriores en el mismo sentido), y no hay razón para no aplicar este principio a las ordenanzas locales y al gobierno municipal. Al contrario, es doctrina constitucional que “el principio democrático es nada menos que ‘el fundamento de la autonomía local’” [STC 111/2016, de 9 de junio, FJ 8 b)], recogido de forma expresa en el art. 140 CE que exige la elección democrática de concejales y alcaldes. Y hemos dicho también que el “núcleo de la autonomía local […] ‘consiste fundamentalmente en la capacidad de decidir libremente, entre varias opciones legalmente posibles, de acuerdo con un criterio de naturaleza esencialmente política’” (STC 103/2013, de 25 de abril, FJ 6, citando las SSTC 4/1981, de 2 de febrero, FJ 3, y 193/1987, de 9 de diciembre, FJ 4).</w:t>
      </w:r>
    </w:p>
    <w:p w14:paraId="414CF6C0" w14:textId="77777777" w:rsidR="00A8138F" w:rsidRDefault="00A8138F" w:rsidP="00A8138F">
      <w:pPr>
        <w:pStyle w:val="TextoNormal"/>
      </w:pPr>
    </w:p>
    <w:p w14:paraId="5AB70883" w14:textId="77777777" w:rsidR="00A8138F" w:rsidRDefault="00A8138F" w:rsidP="00A8138F">
      <w:pPr>
        <w:pStyle w:val="TextoNormal"/>
      </w:pPr>
      <w:r>
        <w:t>Así pues, una mayoría de concejales tiene todo el derecho, “de acuerdo con un criterio de naturaleza esencialmente política”, a fijar la reserva de suelo para vivienda pública que tenga por conveniente al aprobar el correspondiente planeamiento urbanístico. Pero su carácter de mayoría coyuntural no le da derecho a impedir que una mayoría futura alternativa pueda rebajar esa reserva mediante la reforma o modificación de ese mismo plan. A su vez, el art. 149.1.13 CE permite al Estado fijar mínimos por debajo de los cuales los ayuntamientos no puedan descender (esto fue lo que dijo la STC 141/2014), pero no petrificar opciones políticas concretas en perjuicio de mayorías futuras. Es un principio elemental que las leyes se derogan por otras posteriores, como recuerda el art. 2.2 CC. Y también las ordenanzas municipales.</w:t>
      </w:r>
    </w:p>
    <w:p w14:paraId="1B9B1B32" w14:textId="77777777" w:rsidR="00A8138F" w:rsidRDefault="00A8138F" w:rsidP="00A8138F">
      <w:pPr>
        <w:pStyle w:val="TextoNormal"/>
      </w:pPr>
    </w:p>
    <w:p w14:paraId="075FDE04" w14:textId="77777777" w:rsidR="00A8138F" w:rsidRDefault="00A8138F" w:rsidP="00A8138F">
      <w:pPr>
        <w:pStyle w:val="TextoNormal"/>
      </w:pPr>
      <w:r>
        <w:t xml:space="preserve">En definitiva, me parece que el art. 15.1 c) vulnera el gobierno democrático y la autonomía de los ayuntamientos. No en vano, siempre nos hemos negado a otorgar rango constitucional a la cláusula de no regresión ambiental que cita la mayoría como norma equiparable a este art. 15.1 c), apelando precisamente a la idea antes aludida de que “la reversibilidad de </w:t>
      </w:r>
      <w:r>
        <w:lastRenderedPageBreak/>
        <w:t>las decisiones normativas es inherente a la idea de democracia” (así, entre otras, SSTC 233/2015, de 5 de noviembre, FJ 2; 112/2021, FJ 8, o 25/2024, FJ 11).</w:t>
      </w:r>
    </w:p>
    <w:p w14:paraId="1A0596D2" w14:textId="77777777" w:rsidR="00A8138F" w:rsidRDefault="00A8138F" w:rsidP="00A8138F">
      <w:pPr>
        <w:pStyle w:val="TextoNormal"/>
      </w:pPr>
    </w:p>
    <w:p w14:paraId="69370D4D" w14:textId="77777777" w:rsidR="00A8138F" w:rsidRDefault="00A8138F" w:rsidP="00A8138F">
      <w:pPr>
        <w:pStyle w:val="TextoNormal"/>
      </w:pPr>
      <w:r>
        <w:t>c) Razones análogas me llevan a considerar inconstitucional el art. 15.1 d). Este precepto impone porcentajes mínimos, no ya de “vivienda sujeta a algún régimen de protección pública”, cualquiera que sea este, como hacía el art. 10.1 b) de la Ley de suelo de 2008 declarado constitucional en la STC 141/2014 que cita aquí nuevamente la mayoría [FJ 3 B) c)], sino de una concreta modalidad de vivienda de protección, la de alquiler. A mi juicio, se trata de una imposición que sobrepasa la competencia estatal de ordenación económica del art. 149.1.13 CE en que se apoya la mayoría.</w:t>
      </w:r>
    </w:p>
    <w:p w14:paraId="0A773098" w14:textId="77777777" w:rsidR="00A8138F" w:rsidRDefault="00A8138F" w:rsidP="00A8138F">
      <w:pPr>
        <w:pStyle w:val="TextoNormal"/>
      </w:pPr>
    </w:p>
    <w:p w14:paraId="40CF9221" w14:textId="77777777" w:rsidR="00A8138F" w:rsidRDefault="00A8138F" w:rsidP="00A8138F">
      <w:pPr>
        <w:pStyle w:val="TextoNormal"/>
      </w:pPr>
      <w:r>
        <w:t>En primer lugar, la fijación de un porcentaje concreto de alquiler no guarda relación directa e inmediata con la actividad económica general, como exige la competencia del art. 149.1.13 CE:</w:t>
      </w:r>
    </w:p>
    <w:p w14:paraId="2624BD25" w14:textId="77777777" w:rsidR="00A8138F" w:rsidRDefault="00A8138F" w:rsidP="00A8138F">
      <w:pPr>
        <w:pStyle w:val="TextoNormal"/>
      </w:pPr>
    </w:p>
    <w:p w14:paraId="331354C7" w14:textId="77777777" w:rsidR="00A8138F" w:rsidRDefault="00A8138F" w:rsidP="00A8138F">
      <w:pPr>
        <w:pStyle w:val="TextoNormal"/>
      </w:pPr>
      <w:r>
        <w:t>“[La] incidencia sobre la actividad económica general […] ha de ser ‘directa y significativa’ para justificar las normas y medidas amparadas en el artículo 149.1.13 CE, según jurisprudencia constitucional consolidada” (STC 33/2018, FJ 3, negando el encuadramiento en este art. 149.1.13 CE de la “licencia deportiva única”, citando a su vez la STC 79/2017, de 22 de junio, FJ 5, sobre la Ley 20/2013, de 9 de diciembre, de garantía de la unidad de mercado).</w:t>
      </w:r>
    </w:p>
    <w:p w14:paraId="57C776FE" w14:textId="77777777" w:rsidR="00A8138F" w:rsidRDefault="00A8138F" w:rsidP="00A8138F">
      <w:pPr>
        <w:pStyle w:val="TextoNormal"/>
      </w:pPr>
    </w:p>
    <w:p w14:paraId="36DF4F7F" w14:textId="77777777" w:rsidR="00A8138F" w:rsidRDefault="00A8138F" w:rsidP="00A8138F">
      <w:pPr>
        <w:pStyle w:val="TextoNormal"/>
      </w:pPr>
      <w:r>
        <w:t>De acuerdo con esta idea, la tan repetidamente citada STC 141/2014, FJ 8 A) b), declaró amparada en el art. 149.1.13 CE la norma estatal que reservaba un porcentaje mínimo de suelo para viviendas sujetas a cualquier régimen de protección pública por considerar que esa reserva de suelo actuaba como “factor regulador del mercado” de la vivienda, en un pasaje transcrito por la mayoría. Sin embargo, de esta doctrina no se deriva que un concreto porcentaje de vivienda pública de alquiler pueda tener idéntico efecto y acomodo. Es la vivienda pública en general la que actúa como “factor regulador del mercado”, y no una concreta modalidad que se impone en detrimento de otras. La imposición de vivienda pública de alquiler supone automáticamente una reducción de vivienda pública en propiedad, y esto a su vez puede empujar al alza el precio de esta última y desplazar a potenciales compradores de vivienda pública al alquiler.</w:t>
      </w:r>
    </w:p>
    <w:p w14:paraId="12BE648D" w14:textId="77777777" w:rsidR="00A8138F" w:rsidRDefault="00A8138F" w:rsidP="00A8138F">
      <w:pPr>
        <w:pStyle w:val="TextoNormal"/>
      </w:pPr>
    </w:p>
    <w:p w14:paraId="0D1F6F42" w14:textId="77777777" w:rsidR="00A8138F" w:rsidRDefault="00A8138F" w:rsidP="00A8138F">
      <w:pPr>
        <w:pStyle w:val="TextoNormal"/>
      </w:pPr>
      <w:r>
        <w:t>Quiero decir con ello, en definitiva, que la opción entre vivienda pública de alquiler o de propiedad es una decisión de política de vivienda que corresponde a las titulares de esa competencia, que son las comunidades autónomas y los ayuntamientos. No corresponde al Estado “promover una determinada modalidad de vivienda pública, la de alquiler” al amparo del art. 149.1.1 CE, como sostiene la mayoría [FJ 3 B) c)]. Esto es una “base” de la política de vivienda, y no un “derecho” individual ejercitable que es lo que permite establecer el art. 149.1.1 CE. Cuando la sentencia dice que la conveniencia de una u otra modalidad de disfrute de la vivienda (alquiler o propiedad) “queda fuera de todo juicio de constitucionalidad” (íd.), dice una media verdad. Efectivamente, el Tribunal Constitucional no es quién para pronunciarse sobre esta cuestión política de oportunidad, pero tampoco lo es el Estado. Son las comunidades autónomas, titulares de la competencia exclusiva de “vivienda” (art. 148.1.3 CE), las que deben tomar esa decisión, y era su competencia y autonomía política la que el Tribunal debía tutelar. Despejando la cuestión política, la mayoría en realidad ha eludido la cuestión de fondo.</w:t>
      </w:r>
    </w:p>
    <w:p w14:paraId="218C083C" w14:textId="77777777" w:rsidR="00A8138F" w:rsidRDefault="00A8138F" w:rsidP="00A8138F">
      <w:pPr>
        <w:pStyle w:val="TextoNormal"/>
      </w:pPr>
    </w:p>
    <w:p w14:paraId="5F2C5528" w14:textId="77777777" w:rsidR="00A8138F" w:rsidRDefault="00A8138F" w:rsidP="00A8138F">
      <w:pPr>
        <w:pStyle w:val="TextoNormal"/>
      </w:pPr>
      <w:r>
        <w:t>En suma, los párrafos b), c) y d) del art. 15.1 debieron ser declarados inconstitucionales por falta de competencia del Estado para aprobarlos.</w:t>
      </w:r>
    </w:p>
    <w:p w14:paraId="1C8AA393" w14:textId="77777777" w:rsidR="00A8138F" w:rsidRDefault="00A8138F" w:rsidP="00A8138F">
      <w:pPr>
        <w:pStyle w:val="TextoNormal"/>
      </w:pPr>
    </w:p>
    <w:p w14:paraId="4FB95826" w14:textId="77777777" w:rsidR="00A8138F" w:rsidRDefault="00A8138F" w:rsidP="00A8138F">
      <w:pPr>
        <w:pStyle w:val="TextoNormal"/>
      </w:pPr>
      <w:r>
        <w:t xml:space="preserve">3. </w:t>
      </w:r>
      <w:r w:rsidRPr="00A8138F">
        <w:rPr>
          <w:i/>
        </w:rPr>
        <w:t>El artículo 31 de la Ley es constitucional, pero no como “legislación civil” (art. 149.1.8 CE), sino como condición básica para el ejercicio del derecho a la vivienda</w:t>
      </w:r>
    </w:p>
    <w:p w14:paraId="49722072" w14:textId="77777777" w:rsidR="00A8138F" w:rsidRDefault="00A8138F" w:rsidP="00A8138F">
      <w:pPr>
        <w:pStyle w:val="TextoNormal"/>
      </w:pPr>
    </w:p>
    <w:p w14:paraId="1F96FBA2" w14:textId="77777777" w:rsidR="00A8138F" w:rsidRDefault="00A8138F" w:rsidP="00A8138F">
      <w:pPr>
        <w:pStyle w:val="TextoNormal"/>
      </w:pPr>
      <w:r>
        <w:t>El segundo precepto examinado por la sentencia es el art. 31, que regula la “información mínima” que una “persona interesada en la compra o arrendamiento de una vivienda” puede “requerir” antes de formalizar el contrato o entregar cantidades a cuenta. Para la mayoría, este precepto se encuadra “claramente” en la competencia del Estado en materia de “legislación civil” del art. 149.1.8 CE [FJ 4 B)]. No me parece convincente su razonamiento, como tampoco al propio legislador, que aprobó ese art. 31 al amparo del art. 149.1.1 CE, no del 149.1.8 CE (disposición final 7.1 de la Ley 12/2023).</w:t>
      </w:r>
    </w:p>
    <w:p w14:paraId="004A3880" w14:textId="77777777" w:rsidR="00A8138F" w:rsidRDefault="00A8138F" w:rsidP="00A8138F">
      <w:pPr>
        <w:pStyle w:val="TextoNormal"/>
      </w:pPr>
    </w:p>
    <w:p w14:paraId="10DE4074" w14:textId="77777777" w:rsidR="00A8138F" w:rsidRDefault="00A8138F" w:rsidP="00A8138F">
      <w:pPr>
        <w:pStyle w:val="TextoNormal"/>
      </w:pPr>
      <w:r>
        <w:t>Sostiene la mayoría que la finalidad tuitiva del precepto, dirigido a garantizar la información precontractual ante la asimetría de las partes, no es obstáculo para encuadrar el art. 31 de la Ley 12/2023 en el citado art. 149.1.8 CE. Pero esto es razonar al revés, pues de lo que se trata es de saber si la norma es o no “legislación civil”, no de levantar los obstáculos al encuadramiento previamente asumido.</w:t>
      </w:r>
    </w:p>
    <w:p w14:paraId="020FA7A2" w14:textId="77777777" w:rsidR="00A8138F" w:rsidRDefault="00A8138F" w:rsidP="00A8138F">
      <w:pPr>
        <w:pStyle w:val="TextoNormal"/>
      </w:pPr>
    </w:p>
    <w:p w14:paraId="50201DE4" w14:textId="77777777" w:rsidR="00A8138F" w:rsidRDefault="00A8138F" w:rsidP="00A8138F">
      <w:pPr>
        <w:pStyle w:val="TextoNormal"/>
      </w:pPr>
      <w:r>
        <w:t>Prueba de la debilidad de los argumentos de la mayoría es que solamente pueden citar en apoyo de su tesis la STC 37/2022, (sin indicación de fundamento jurídico alguno, por cierto). Una cita que debemos entender referida al fundamento jurídico 6 de esa STC 37/2022, que es el único que alude al art. 149.1.8 CE. En ese fundamento, la sentencia se pronunció sobre el carácter “civil” y no de “vivienda” de la norma autonómica que limitaba la renta de los contratos de alquiler. Fue en este contexto en el que la STC 37/2022, FJ 4, se pronunció sobre el carácter tuitivo de la norma:</w:t>
      </w:r>
    </w:p>
    <w:p w14:paraId="39F68DD3" w14:textId="77777777" w:rsidR="00A8138F" w:rsidRDefault="00A8138F" w:rsidP="00A8138F">
      <w:pPr>
        <w:pStyle w:val="TextoNormal"/>
      </w:pPr>
    </w:p>
    <w:p w14:paraId="0250DBC4" w14:textId="77777777" w:rsidR="00A8138F" w:rsidRDefault="00A8138F" w:rsidP="00A8138F">
      <w:pPr>
        <w:pStyle w:val="TextoNormal"/>
      </w:pPr>
      <w:r>
        <w:t>“Cabe recordar al respecto que, como dijimos en la STC 89/1994, de 17 de marzo, FFJJ 5 y 8, la paridad contractual entre arrendadores y arrendatarios puede ser sometida a modulaciones fundadas en una finalidad tuitiva de intereses que se consideren necesitados de una especial protección —concretamente, los de los arrendatarios ante la situación del mercado inmobiliario—, como muestra la historia de la regulación de los arrendamientos urbanos en nuestro país”.</w:t>
      </w:r>
    </w:p>
    <w:p w14:paraId="1FEA6607" w14:textId="77777777" w:rsidR="00A8138F" w:rsidRDefault="00A8138F" w:rsidP="00A8138F">
      <w:pPr>
        <w:pStyle w:val="TextoNormal"/>
      </w:pPr>
    </w:p>
    <w:p w14:paraId="67288C89" w14:textId="77777777" w:rsidR="00A8138F" w:rsidRDefault="00A8138F" w:rsidP="00A8138F">
      <w:pPr>
        <w:pStyle w:val="TextoNormal"/>
      </w:pPr>
      <w:r>
        <w:t>Ahora bien, esto no significa que la regulación de la información precontractual, por tener carácter tuitivo, sea automáticamente “legislación civil”. Hasta ahora, la doctrina constitucional había tratado la regulación de la información precontractual en relaciones asimétricas o desiguales como uno de los contenidos típicos del derecho de consumo, hasta el punto de que había permitido a comunidades autónomas sin competencias en materia de Derecho civil, como Madrid, legislar sobre la materia, precisamente al amparo de la competencia citada (STC 119/2018, de 31 de octubre, FJ 4).</w:t>
      </w:r>
    </w:p>
    <w:p w14:paraId="4EE1C411" w14:textId="77777777" w:rsidR="00A8138F" w:rsidRDefault="00A8138F" w:rsidP="00A8138F">
      <w:pPr>
        <w:pStyle w:val="TextoNormal"/>
      </w:pPr>
    </w:p>
    <w:p w14:paraId="1B969997" w14:textId="77777777" w:rsidR="00A8138F" w:rsidRDefault="00A8138F" w:rsidP="00A8138F">
      <w:pPr>
        <w:pStyle w:val="TextoNormal"/>
      </w:pPr>
      <w:r>
        <w:t xml:space="preserve">En los albores del Estado autonómico, el legislador estatal reguló la información precontractual a compradores de vivienda en el art. 13.2 de la Ley 26/1984, de 19 de julio, general para la defensa de los consumidores y usuarios, y el Gobierno de la Generalitat de Cataluña denunció la invasión de sus competencias y el exceso en el ejercicio de la “legislación civil” </w:t>
      </w:r>
      <w:r>
        <w:lastRenderedPageBreak/>
        <w:t>por parte del Estado. Al resolver la impugnación, la STC 15/1989, de 26 de enero, FJ 5 a), rechazó expresamente esta calificación:</w:t>
      </w:r>
    </w:p>
    <w:p w14:paraId="3477B51B" w14:textId="77777777" w:rsidR="00A8138F" w:rsidRDefault="00A8138F" w:rsidP="00A8138F">
      <w:pPr>
        <w:pStyle w:val="TextoNormal"/>
      </w:pPr>
    </w:p>
    <w:p w14:paraId="5A04BB98" w14:textId="77777777" w:rsidR="00A8138F" w:rsidRDefault="00A8138F" w:rsidP="00A8138F">
      <w:pPr>
        <w:pStyle w:val="TextoNormal"/>
      </w:pPr>
      <w:r>
        <w:t>“Alega la Generalitat de Cataluña que el art. 13.2, último inciso, versa sobre una regulación sectorial sobre la que tiene competencia la Generalitat en virtud de lo dispuesto en el art. 9.9 del Estatuto de Autonomía de Cataluña, señalando que nada tiene que ver con la legislación civil.</w:t>
      </w:r>
    </w:p>
    <w:p w14:paraId="745B6236" w14:textId="77777777" w:rsidR="00A8138F" w:rsidRDefault="00A8138F" w:rsidP="00A8138F">
      <w:pPr>
        <w:pStyle w:val="TextoNormal"/>
      </w:pPr>
    </w:p>
    <w:p w14:paraId="0C83A55C" w14:textId="77777777" w:rsidR="00A8138F" w:rsidRDefault="00A8138F" w:rsidP="00A8138F">
      <w:pPr>
        <w:pStyle w:val="TextoNormal"/>
      </w:pPr>
      <w:r>
        <w:t>La obligación que se establece de suministrar al comprador de una vivienda una documentación suscrita por el vendedor en la que constarán una serie de datos sobre la misma, evidentemente no puede reconducirse a la materia ‘urbanismo y vivienda’, pero tampoco cabe caracterizarla, tal como pretende el abogado del Estado, como una condición general de contratación. El precepto, que significativamente no se enmarca en el capítulo tercero, relativo a la ‘[p]rotección de los intereses económicos y sociales’, sino en el capítulo cuarto sobre el ‘[d]erecho a la información’ es más bien resultado del ejercicio de la competencia legislativa sobre ‘defensa del consumidor y del usuario’, siendo este el título a considerar”.</w:t>
      </w:r>
    </w:p>
    <w:p w14:paraId="001C30F9" w14:textId="77777777" w:rsidR="00A8138F" w:rsidRDefault="00A8138F" w:rsidP="00A8138F">
      <w:pPr>
        <w:pStyle w:val="TextoNormal"/>
      </w:pPr>
    </w:p>
    <w:p w14:paraId="1FB859FB" w14:textId="77777777" w:rsidR="00A8138F" w:rsidRDefault="00A8138F" w:rsidP="00A8138F">
      <w:pPr>
        <w:pStyle w:val="TextoNormal"/>
      </w:pPr>
      <w:r>
        <w:t>Doctrina reiterada, entre otras, en la STC 54/2018, de 24 de mayo, FJ 4.</w:t>
      </w:r>
    </w:p>
    <w:p w14:paraId="5F77B6C5" w14:textId="77777777" w:rsidR="00A8138F" w:rsidRDefault="00A8138F" w:rsidP="00A8138F">
      <w:pPr>
        <w:pStyle w:val="TextoNormal"/>
      </w:pPr>
    </w:p>
    <w:p w14:paraId="654E62A8" w14:textId="77777777" w:rsidR="00A8138F" w:rsidRDefault="00A8138F" w:rsidP="00A8138F">
      <w:pPr>
        <w:pStyle w:val="TextoNormal"/>
      </w:pPr>
      <w:r>
        <w:t>El art. 31 de la Ley 12/2023 no puede encuadrarse en el derecho de consumo porque el comprador o arrendatario de una vivienda no tiene por qué ser necesariamente un consumidor, ni el vendedor o arrendador un empresario o profesional. Pero de la misma manera que el Estado puede emplear su competencia del art. 149.1.1 CE, en relación con el art. 51 CE, para regular las condiciones básicas del “derecho a la información” de los consumidores y usuarios previsto en este último (por todas, STC 15/1989, FJ 1), por identidad de razón se puede también poner el art. 149.1.1 CE en relación con el art. 47 CE para regular las condiciones básicas del “derecho” a la información de las “persona[s] interesada[s] en la compra o arrendamiento de una vivienda”, como hace el art. 31 de la Ley 12/2023.</w:t>
      </w:r>
    </w:p>
    <w:p w14:paraId="2975DB3F" w14:textId="77777777" w:rsidR="00A8138F" w:rsidRDefault="00A8138F" w:rsidP="00A8138F">
      <w:pPr>
        <w:pStyle w:val="TextoNormal"/>
      </w:pPr>
    </w:p>
    <w:p w14:paraId="4F95E61D" w14:textId="77777777" w:rsidR="00A8138F" w:rsidRDefault="00A8138F" w:rsidP="00A8138F">
      <w:pPr>
        <w:pStyle w:val="TextoNormal"/>
      </w:pPr>
      <w:r>
        <w:t>En definitiva, no comparto el encuadramiento del art. 31 de la Ley 12/2023 en el art. 149.1.8 CE, pero ello no significa que considere ese art. 31 inconstitucional. Al contrario, este art. 31 muestra, a mi modo de ver, el verdadero alcance de la competencia del art. 149.1.1 CE, que, como ya he dicho en el fundamento jurídico 1 anterior, no está enderezado a que el Estado establezca las bases de las políticas de vivienda de las comunidades autónomas, sino a que regule derechos cuyos titulares puedan invocar ante los tribunales, como hace este art. 31. Así se ha entendido la competencia del art. 149.1.1 CE desde la STC 61/1997.</w:t>
      </w:r>
    </w:p>
    <w:p w14:paraId="3EA4FBCA" w14:textId="77777777" w:rsidR="00A8138F" w:rsidRDefault="00A8138F" w:rsidP="00A8138F">
      <w:pPr>
        <w:pStyle w:val="TextoNormal"/>
      </w:pPr>
    </w:p>
    <w:p w14:paraId="520AC8F8" w14:textId="77777777" w:rsidR="00A8138F" w:rsidRDefault="00A8138F" w:rsidP="00A8138F">
      <w:pPr>
        <w:pStyle w:val="TextoNormal"/>
      </w:pPr>
      <w:r>
        <w:t>En la STC 79/2024, cabecera sobre la Ley 12/2023, la mayoría desnaturalizó esta competencia del art. 149.1.1 CE y la convirtió en una competencia legislativa para establecer unas bases sobre vivienda que las comunidades autónomas pudieran desarrollar, lo que le llevó a declarar inconstitucionales algunos artículos de la Ley 12/2023 por exceso de detalle en la fijación de esas bases, cuando no dejaban margen de desarrollo. Esta doctrina hubiera obligado a la mayoría, en caso de haber encuadrado el precepto en el art. 149.1.1 CE como debía haber hecho, a anular varios apartados e incisos de este art. 31, aplicando ese mismo canon del exceso de detalle, por ejemplo, al inciso “entre ellas” del art. 31.1 c) y sus siete subapartados.</w:t>
      </w:r>
    </w:p>
    <w:p w14:paraId="042B7C20" w14:textId="77777777" w:rsidR="00A8138F" w:rsidRDefault="00A8138F" w:rsidP="00A8138F">
      <w:pPr>
        <w:pStyle w:val="TextoNormal"/>
      </w:pPr>
    </w:p>
    <w:p w14:paraId="28FED09F" w14:textId="77777777" w:rsidR="00A8138F" w:rsidRDefault="00A8138F" w:rsidP="00A8138F">
      <w:pPr>
        <w:pStyle w:val="TextoNormal"/>
      </w:pPr>
      <w:r>
        <w:lastRenderedPageBreak/>
        <w:t>Sostuve en el voto particular emitido junto con otros compañeros a la STC 79/2024 que esta interpretación del art. 149.1.1 CE era una interpretación incorrecta y desviada de su entendimiento desde la STC 61/1997, y que el art. 149.1.1 CE permite al Estado regular derechos de forma tan uniforme y detallada como considere preciso, «pues de otro modo no hay garantía de igualdad entre españoles, y “no debe olvidarse que la ‘igualdad de todos los españoles’ representa el elemento teleológico o finalista del título competencial que aquí se considera, el único que justifica y ampara el ejercicio de la competencia estatal”» (fundamento jurídico 3 del voto particular a la STC 79/2024, citando la STC 61/1997).</w:t>
      </w:r>
    </w:p>
    <w:p w14:paraId="65DAB03D" w14:textId="77777777" w:rsidR="00A8138F" w:rsidRDefault="00A8138F" w:rsidP="00A8138F">
      <w:pPr>
        <w:pStyle w:val="TextoNormal"/>
      </w:pPr>
    </w:p>
    <w:p w14:paraId="067DE400" w14:textId="77777777" w:rsidR="00A8138F" w:rsidRDefault="00A8138F" w:rsidP="00A8138F">
      <w:pPr>
        <w:pStyle w:val="TextoNormal"/>
      </w:pPr>
      <w:r>
        <w:t>En consecuencia, en mi opinión, el art. 31 de la Ley 12/2023, con todo su detalle, es constitucional, pero no por ser “legislación civil” del art. 149.1.8 CE, como sostiene la mayoría, sino por representar una condición básica que garantiza la igualdad de todos los españoles en el ejercicio del derecho a la vivienda del art. 149.1.1 CE, en relación con el art. 47 CE, que el Estado puede establecer. Este título competencial del art. 149.1.1 CE, en relación con el art. 47 CE, no ampara las bases de la política de vivienda establecidas en otros preceptos de la Ley 12/2023, pero sí el derecho de los interesados en la compra o arrendamiento de una vivienda a “requerir, antes de la formalización de la operación y de la entrega de cualquier cantidad a cuenta”, la información citada en el art. 31.</w:t>
      </w:r>
    </w:p>
    <w:p w14:paraId="77FE5F0A" w14:textId="77777777" w:rsidR="00A8138F" w:rsidRDefault="00A8138F" w:rsidP="00A8138F">
      <w:pPr>
        <w:pStyle w:val="TextoNormal"/>
      </w:pPr>
    </w:p>
    <w:p w14:paraId="0D0E9239" w14:textId="77777777" w:rsidR="00A8138F" w:rsidRDefault="00A8138F" w:rsidP="00A8138F">
      <w:pPr>
        <w:pStyle w:val="TextoNormal"/>
      </w:pPr>
      <w:r>
        <w:t>En definitiva, comparto el fallo desestimatorio de la sentencia y la constitucionalidad de este art. 31, pero no el razonamiento empleado para alcanzar esa conclusión.</w:t>
      </w:r>
    </w:p>
    <w:p w14:paraId="0945843B" w14:textId="77777777" w:rsidR="00A8138F" w:rsidRDefault="00A8138F" w:rsidP="00A8138F">
      <w:pPr>
        <w:pStyle w:val="TextoNormal"/>
      </w:pPr>
    </w:p>
    <w:p w14:paraId="3DBDB453" w14:textId="77777777" w:rsidR="00A8138F" w:rsidRDefault="00A8138F" w:rsidP="00A8138F">
      <w:pPr>
        <w:pStyle w:val="TextoNormal"/>
      </w:pPr>
      <w:r>
        <w:t xml:space="preserve">4. </w:t>
      </w:r>
      <w:r w:rsidRPr="00A8138F">
        <w:rPr>
          <w:i/>
        </w:rPr>
        <w:t>Disposición final primera, apartado 3 de la Ley 12/2023 (art. 17.7 LAU): limitación de rentas en arrendamientos de vivienda</w:t>
      </w:r>
    </w:p>
    <w:p w14:paraId="05EF7364" w14:textId="77777777" w:rsidR="00A8138F" w:rsidRDefault="00A8138F" w:rsidP="00A8138F">
      <w:pPr>
        <w:pStyle w:val="TextoNormal"/>
      </w:pPr>
    </w:p>
    <w:p w14:paraId="678F8C53" w14:textId="77777777" w:rsidR="00A8138F" w:rsidRDefault="00A8138F" w:rsidP="00A8138F">
      <w:pPr>
        <w:pStyle w:val="TextoNormal"/>
      </w:pPr>
      <w:r>
        <w:t>En cuanto al nuevo artículo 17.7 LAU creo que es importante distinguir entre los arrendadores grandes tenedores y los que no lo son pero que no han alquilado la vivienda en los últimos cinco años.</w:t>
      </w:r>
    </w:p>
    <w:p w14:paraId="732988DB" w14:textId="77777777" w:rsidR="00A8138F" w:rsidRDefault="00A8138F" w:rsidP="00A8138F">
      <w:pPr>
        <w:pStyle w:val="TextoNormal"/>
      </w:pPr>
    </w:p>
    <w:p w14:paraId="733803B7" w14:textId="77777777" w:rsidR="00A8138F" w:rsidRDefault="00A8138F" w:rsidP="00A8138F">
      <w:pPr>
        <w:pStyle w:val="TextoNormal"/>
      </w:pPr>
      <w:r>
        <w:t>Puedo aceptar la constitucionalidad de su primer párrafo por cuanto, aunque el número de arrendadores en España que tengan la condición de grandes tenedores no sea muy numeroso, tienen una posibilidad de influir en el mercado de alquiler del que no disponen los demás.</w:t>
      </w:r>
    </w:p>
    <w:p w14:paraId="04F8FA61" w14:textId="77777777" w:rsidR="00A8138F" w:rsidRDefault="00A8138F" w:rsidP="00A8138F">
      <w:pPr>
        <w:pStyle w:val="TextoNormal"/>
      </w:pPr>
    </w:p>
    <w:p w14:paraId="3DC79CCA" w14:textId="77777777" w:rsidR="00A8138F" w:rsidRDefault="00A8138F" w:rsidP="00A8138F">
      <w:pPr>
        <w:pStyle w:val="TextoNormal"/>
      </w:pPr>
      <w:r>
        <w:t>Por el contrario, para el resto, el hecho de que en los últimos cinco años no hubieran concertado sobre la vivienda un contrato de arrendamiento puede responder a las más diversas circunstancias, ajenas por completo a cualquier afán especulativo, que ponen de manifiesto la falta de justificación de la limitación de renta en esos casos y que esa limitación no guarda ese exigible justo equilibrio entre beneficios y cargas que debe presidir la regulación, por lo que entiendo que incurre en inconstitucionalidad.</w:t>
      </w:r>
    </w:p>
    <w:p w14:paraId="21C0F817" w14:textId="77777777" w:rsidR="00A8138F" w:rsidRDefault="00A8138F" w:rsidP="00A8138F">
      <w:pPr>
        <w:pStyle w:val="TextoNormal"/>
      </w:pPr>
    </w:p>
    <w:p w14:paraId="59F12EB3" w14:textId="77777777" w:rsidR="00A8138F" w:rsidRDefault="00A8138F" w:rsidP="00A8138F">
      <w:pPr>
        <w:pStyle w:val="TextoNormal"/>
      </w:pPr>
      <w:r>
        <w:t>Y en este sentido emito mi voto particular.</w:t>
      </w:r>
    </w:p>
    <w:p w14:paraId="5B84068C" w14:textId="77777777" w:rsidR="00A8138F" w:rsidRDefault="00A8138F" w:rsidP="00A8138F">
      <w:pPr>
        <w:pStyle w:val="TextoNormal"/>
      </w:pPr>
    </w:p>
    <w:p w14:paraId="58BD6A2D" w14:textId="72FC06D1" w:rsidR="00A8138F" w:rsidRDefault="00A8138F" w:rsidP="00A8138F">
      <w:pPr>
        <w:pStyle w:val="TextoNormal"/>
      </w:pPr>
      <w:r>
        <w:t>Madrid, a treinta de enero de dos mil veinticinco.</w:t>
      </w:r>
    </w:p>
    <w:p w14:paraId="5F5E927A" w14:textId="77777777" w:rsidR="00A8138F" w:rsidRDefault="00A8138F" w:rsidP="00A8138F">
      <w:pPr>
        <w:pStyle w:val="TextoNormal"/>
      </w:pPr>
    </w:p>
    <w:p w14:paraId="2BB5DB97" w14:textId="77777777" w:rsidR="00A8138F" w:rsidRDefault="00A8138F" w:rsidP="00A8138F">
      <w:pPr>
        <w:pStyle w:val="TextoNormalNegritaCentrado"/>
        <w:keepNext/>
      </w:pPr>
      <w:r>
        <w:t xml:space="preserve">Voto particular que formulan los magistrados don Enrique Arnaldo Alcubilla, doña Concepción Espejel Jorquera, don César Tolosa Tribiño y don José </w:t>
      </w:r>
      <w:r>
        <w:lastRenderedPageBreak/>
        <w:t>María Macías Castaño a la sentencia dictada en el recurso de inconstitucionalidad núm. 5514-2023</w:t>
      </w:r>
    </w:p>
    <w:p w14:paraId="37DD3705" w14:textId="3C9498C7" w:rsidR="00A8138F" w:rsidRDefault="00A8138F" w:rsidP="00A8138F">
      <w:pPr>
        <w:pStyle w:val="TextoNormalNegritaCentrado"/>
        <w:keepNext/>
      </w:pPr>
    </w:p>
    <w:p w14:paraId="1AF8B2D2" w14:textId="77777777" w:rsidR="00A8138F" w:rsidRDefault="00A8138F" w:rsidP="00A8138F">
      <w:pPr>
        <w:pStyle w:val="TextoNormal"/>
      </w:pPr>
      <w:r>
        <w:t xml:space="preserve">1. De conformidad con lo dispuesto en el art. 90.2 LOTC, y con el máximo respeto a la opinión de los magistrados que han conformado la mayoría del Pleno, formulamos el presente voto particular para exponer las razones por las que consideramos que la sentencia debió haber efectuado una interpretación de conformidad a la Constitución, con consecuente traslación al fallo, a la hora de resolver la queja articulada contra el art. 15.1 c) de la Ley 12/2023, y debió haber estimado, en parte, las censuras dirigidas contra el art. 31, en sus apartados 1 y 2, y la disposición final primera apartado 3 de la Ley 12/2023. Por otro lado, aunque nos mostramos de acuerdo con la decisión de estimar el recurso en relación con los apartados 6 c) y 7 del art. 439 LEC, y de los apartados 1 y 2 del art. 655 </w:t>
      </w:r>
      <w:r w:rsidRPr="00A8138F">
        <w:rPr>
          <w:i/>
        </w:rPr>
        <w:t>bis</w:t>
      </w:r>
      <w:r>
        <w:t xml:space="preserve"> —en la redacción dada por la disposición final quinta apartado segundo de la Ley 12/2023—, no lo estamos con el modo en que la sentencia ha abordado el enjuiciamiento de los referidos preceptos, por los motivos que expondremos más adelante, y que hubiese derivado, además, en una extensión de la declaración de inconstitucionalidad </w:t>
      </w:r>
      <w:r w:rsidRPr="00A8138F">
        <w:rPr>
          <w:i/>
        </w:rPr>
        <w:t>ex</w:t>
      </w:r>
      <w:r>
        <w:t xml:space="preserve"> art. 39.1 LOTC distinta a la efectuada en la sentencia.</w:t>
      </w:r>
    </w:p>
    <w:p w14:paraId="2122BC69" w14:textId="77777777" w:rsidR="00A8138F" w:rsidRDefault="00A8138F" w:rsidP="00A8138F">
      <w:pPr>
        <w:pStyle w:val="TextoNormal"/>
      </w:pPr>
    </w:p>
    <w:p w14:paraId="17D52DEE" w14:textId="77777777" w:rsidR="00A8138F" w:rsidRDefault="00A8138F" w:rsidP="00A8138F">
      <w:pPr>
        <w:pStyle w:val="TextoNormal"/>
      </w:pPr>
      <w:r>
        <w:t>Previamente, estimamos poner de manifiesto que nos remitimos al voto particular que formulamos contra la STC 79/2024, que resolvió el recurso de inconstitucionalidad núm. 5491-2023, interpuesto también contra la Ley 12/2023, en relación con las quejas que aquí se desestiman por remisión a aquella STC 79/2024, concernientes a los arts. 15.1 e), 18, apartados 2 a 4, 28.1 b), c) y d), 29.2 y la disposición adicional tercera. Naturalmente, asumimos la doctrina resultante de aquella sentencia, sin perjuicio de reiterar el desacuerdo que expresamos en el aludido voto particular.</w:t>
      </w:r>
    </w:p>
    <w:p w14:paraId="56D353B8" w14:textId="77777777" w:rsidR="00A8138F" w:rsidRDefault="00A8138F" w:rsidP="00A8138F">
      <w:pPr>
        <w:pStyle w:val="TextoNormal"/>
      </w:pPr>
    </w:p>
    <w:p w14:paraId="06FFBB40" w14:textId="77777777" w:rsidR="00A8138F" w:rsidRDefault="00A8138F" w:rsidP="00A8138F">
      <w:pPr>
        <w:pStyle w:val="TextoNormal"/>
      </w:pPr>
      <w:r>
        <w:t xml:space="preserve">2. </w:t>
      </w:r>
      <w:r w:rsidRPr="00A8138F">
        <w:rPr>
          <w:i/>
        </w:rPr>
        <w:t>Sobre el posible exceso en el ejercicio de las competencias estatales previstas en el art. 149.1.1 y 13 CE y la vulneración de la autonomía local</w:t>
      </w:r>
    </w:p>
    <w:p w14:paraId="12EDFC8C" w14:textId="77777777" w:rsidR="00A8138F" w:rsidRDefault="00A8138F" w:rsidP="00A8138F">
      <w:pPr>
        <w:pStyle w:val="TextoNormal"/>
      </w:pPr>
    </w:p>
    <w:p w14:paraId="051D16FF" w14:textId="77777777" w:rsidR="00A8138F" w:rsidRDefault="00A8138F" w:rsidP="00A8138F">
      <w:pPr>
        <w:pStyle w:val="TextoNormal"/>
      </w:pPr>
      <w:r>
        <w:t xml:space="preserve">a) Nuestra actual discrepancia se centra, en primer lugar, en la impugnación del art. 15.1 c) de la Ley 12/2023, que la sentencia de la que discrepamos resuelve en sentido desestimatorio tanto en cuanto a la posible disconformidad del aludido precepto con el orden constitucional de distribución de competencias, concretamente por el exceso del Estado en el ejercicio de las competencias previstas en el art. 149.1.1 y 13 CE, como en cuanto a la posible vulneración de la autonomía local </w:t>
      </w:r>
      <w:r w:rsidRPr="00A8138F">
        <w:rPr>
          <w:i/>
        </w:rPr>
        <w:t>ex</w:t>
      </w:r>
      <w:r>
        <w:t xml:space="preserve"> arts. 137 y 140 CE; motivo este último que los recurrentes articulaban con carácter subsidiario respecto del anterior. En nuestro entender, el enjuiciamiento del citado art. 15.1 c) no se aborda debidamente en la sentencia de la que nos apartamos, por las razones que pasamos a exponer.</w:t>
      </w:r>
    </w:p>
    <w:p w14:paraId="74E4553C" w14:textId="77777777" w:rsidR="00A8138F" w:rsidRDefault="00A8138F" w:rsidP="00A8138F">
      <w:pPr>
        <w:pStyle w:val="TextoNormal"/>
      </w:pPr>
    </w:p>
    <w:p w14:paraId="3F8DB3EE" w14:textId="77777777" w:rsidR="00A8138F" w:rsidRDefault="00A8138F" w:rsidP="00A8138F">
      <w:pPr>
        <w:pStyle w:val="TextoNormal"/>
      </w:pPr>
      <w:r>
        <w:t>El precepto en cuestión, bajo la rúbrica “Derecho de acceso a la vivienda y ordenación territorial y urbanística” establece que “[p]ara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 […] c) La calificación de un suelo como de reserva para vivienda sujeta a un régimen de protección pública, a que se refiere la letra b) del apartado 1 del artículo 20, del texto refundido de la Ley de suelo y rehabilitación urbana, aprobado por Real Decreto Legislativo 7/2015, de 30 de oc</w:t>
      </w:r>
      <w:r>
        <w:lastRenderedPageBreak/>
        <w:t>tubre, no podrá modificarse, salvo en los casos excepcionales en los que el instrumento de ordenación urbanística justifique la innecesariedad de este tipo de viviendas o la imposibilidad sobrevenida de dicho destino, con independencia de que puedan modificarse las condiciones o características de la vivienda protegida para atender a la demanda y necesidades del ámbito territorial”.</w:t>
      </w:r>
    </w:p>
    <w:p w14:paraId="3F2C00FB" w14:textId="77777777" w:rsidR="00A8138F" w:rsidRDefault="00A8138F" w:rsidP="00A8138F">
      <w:pPr>
        <w:pStyle w:val="TextoNormal"/>
      </w:pPr>
    </w:p>
    <w:p w14:paraId="6D64447D" w14:textId="77777777" w:rsidR="00A8138F" w:rsidRDefault="00A8138F" w:rsidP="00A8138F">
      <w:pPr>
        <w:pStyle w:val="TextoNormal"/>
      </w:pPr>
      <w:r>
        <w:t>De acuerdo con su contenido, el art. 15.1 c) de la Ley 12/2023 establece una regla general y una excepción a esta última. Como regla general se impone la inmodificabilidad de la calificación de un suelo como de reserva para vivienda sujeta a un régimen de protección pública, a que se refiere el art. 20.1 b) TRLSRU. Es decir, se impone a las administraciones públicas competentes en materia de ordenación territorial y urbanística que la reserva de suelo que hayan efectuado en virtud del citado art. 20.1 b), como suelo destinado a vivienda sujeta a un régimen de protección pública, no pueda ser objeto de modificación. No obstante, el propio precepto admite exceptuar dicha regla general de prohibición de modificación en “los casos excepcionales en los que el instrumento de ordenación urbanística justifique la innecesariedad de este tipo de viviendas o la imposibilidad sobrevenida de dicho destino” y “con independencia de que puedan modificarse las condiciones o características de la vivienda protegida para atender a la demanda y necesidades del ámbito territorial”.</w:t>
      </w:r>
    </w:p>
    <w:p w14:paraId="4E60EE21" w14:textId="77777777" w:rsidR="00A8138F" w:rsidRDefault="00A8138F" w:rsidP="00A8138F">
      <w:pPr>
        <w:pStyle w:val="TextoNormal"/>
      </w:pPr>
    </w:p>
    <w:p w14:paraId="219A982D" w14:textId="77777777" w:rsidR="00A8138F" w:rsidRDefault="00A8138F" w:rsidP="00A8138F">
      <w:pPr>
        <w:pStyle w:val="TextoNormal"/>
      </w:pPr>
      <w:r>
        <w:t>Como se ha visto, el precepto cuestionado contempla una remisión al art. 20.1 b) TRLSRU que ha sido, a su vez, objeto de reforma por la disposición final cuarta de la Ley de vivienda, y cuya inconstitucionalidad fue descartada en la STC 79/2024, FJ 7 B) c). La reforma efectuada sobre el art. 20.1 b) TRLSRU, lo que ha supuesto ha sido una elevación de los porcentajes mínimos de reserva sobre suelo que, conforme al aludido precepto, las administraciones públicas competentes en materia de ordenación territorial y urbanística han de destinar a vivienda sujeta a un régimen de protección pública; concretamente: del 30 por 100, que preveía la anterior redacción, al 40 por 100 de la edificabilidad residencial prevista por la ordenación urbanística en el suelo rural que vaya a ser incluido en actuaciones de nueva urbanización, y del 10 por 100 —antes de la reforma— al 20 por 100 en el caso de suelo urbanizado que deba someterse a actuaciones de reforma o renovación de la urbanización.</w:t>
      </w:r>
    </w:p>
    <w:p w14:paraId="43C670DB" w14:textId="77777777" w:rsidR="00A8138F" w:rsidRDefault="00A8138F" w:rsidP="00A8138F">
      <w:pPr>
        <w:pStyle w:val="TextoNormal"/>
      </w:pPr>
    </w:p>
    <w:p w14:paraId="60E6B507" w14:textId="77777777" w:rsidR="00A8138F" w:rsidRDefault="00A8138F" w:rsidP="00A8138F">
      <w:pPr>
        <w:pStyle w:val="TextoNormal"/>
      </w:pPr>
      <w:r>
        <w:t>En la STC 79/2024, FJ 5 B) c), al analizar la posible inconstitucionalidad del art. 15.1 e) de la Ley de vivienda, y con remisión a la STC 141/2014, FJ 8 A) b), ciertamente, dijimos que “[e]ste tribunal ya ha declarado la constitucionalidad de previsiones legales estatales que imponen a otras administraciones establecer ciertas reservas de suelo en pro de vivienda con algún tipo de intervención pública. Así, en relación a la actividad de planificación y a la regulación del art. 10 b) de la Ley 8/2007, de 28 de mayo, de suelo (luego sustituido por el art. 20.1 b) TRLSRU), se consideró que este tipo de medidas encuentran cobertura en el art. 149.1.13 CE, por tener una incidencia clara en la actividad económica como ‘líneas directrices, criterios globales de ordenación y acciones y medidas singulares necesarias para alcanzar los fines propuestos dentro de la ordenación’ de la vivienda como sector económico”.</w:t>
      </w:r>
    </w:p>
    <w:p w14:paraId="76588682" w14:textId="77777777" w:rsidR="00A8138F" w:rsidRDefault="00A8138F" w:rsidP="00A8138F">
      <w:pPr>
        <w:pStyle w:val="TextoNormal"/>
      </w:pPr>
    </w:p>
    <w:p w14:paraId="6A7E3B5C" w14:textId="77777777" w:rsidR="00A8138F" w:rsidRDefault="00A8138F" w:rsidP="00A8138F">
      <w:pPr>
        <w:pStyle w:val="TextoNormal"/>
      </w:pPr>
      <w:r>
        <w:t>Sin embargo, lo que se planteaba en el presente recurso presentaba notas distintas que imponían una respuesta diferente, pues lo que se discutía no es la legitimidad, desde una perspectiva competencial, del Estado para fijar dichos porcentajes de necesaria reserva a efectuar por las administraciones competentes en materia de ordenación del territorio y ur</w:t>
      </w:r>
      <w:r>
        <w:lastRenderedPageBreak/>
        <w:t>banismo, sino su legitimidad competencial para imposibilitar como regla general la modificación de tales reservas. Sobre esta base, no cabe duda de que la norma cuestionada supone una afectación a la función ordenadora del territorio, concretamente a la determinación de los diferentes usos de que es susceptible el suelo, y de lo que se deduce que los efectos que la norma introduce operan de forma bien distinta en los diferentes niveles de intervención pública sobre la ordenación del territorio y el urbanismo. A nivel legislativo, de competencia autonómica, los efectos son directos, pero de escasa incidencia, en tanto que a nivel de ejecución y gestión —ámbito típicamente local—, la afectación opera de forma indirecta pero en mayor grado.</w:t>
      </w:r>
    </w:p>
    <w:p w14:paraId="3CA41A5F" w14:textId="77777777" w:rsidR="00A8138F" w:rsidRDefault="00A8138F" w:rsidP="00A8138F">
      <w:pPr>
        <w:pStyle w:val="TextoNormal"/>
      </w:pPr>
    </w:p>
    <w:p w14:paraId="1047C564" w14:textId="77777777" w:rsidR="00A8138F" w:rsidRDefault="00A8138F" w:rsidP="00A8138F">
      <w:pPr>
        <w:pStyle w:val="TextoNormal"/>
      </w:pPr>
      <w:r>
        <w:t>Quiere ello decir que, en lo que hace al ámbito autonómico, la norma cuestionada afecta a la regulación legal, en el sentido de que el legislador autonómico no podrá establecer previsiones que faculten a los ayuntamientos a modificar las reservas de suelo para vivienda protegida adoptadas con anterioridad, al margen de los supuestos excepcionales que prevé el art. 15.1 c). Se trata de una afectación, como decimos, limitada, por cuanto el precepto recurrido ni incurre en una precisión desmesurada que efectúe una normación completa del ámbito al que se dirige, ni impide que el legislador autonómico —sometiéndose, ello sí, al condicionamiento que supone— disponga de un amplio margen para desarrollar un régimen urbanístico propio. Por el contrario, la norma pretende influir en el ámbito urbanístico cumpliendo la finalidad propia de los títulos competenciales en que se ampara (art. 149.1.1 y 13 CE), de modo que no cabría acoger la tacha de inconstitucionalidad, que, con carácter principal, han planteado los recurrentes contra el art. 15.1 c) de la Ley 12/2023.</w:t>
      </w:r>
    </w:p>
    <w:p w14:paraId="500A6FFD" w14:textId="77777777" w:rsidR="00A8138F" w:rsidRDefault="00A8138F" w:rsidP="00A8138F">
      <w:pPr>
        <w:pStyle w:val="TextoNormal"/>
      </w:pPr>
    </w:p>
    <w:p w14:paraId="5E0B765A" w14:textId="77777777" w:rsidR="00A8138F" w:rsidRDefault="00A8138F" w:rsidP="00A8138F">
      <w:pPr>
        <w:pStyle w:val="TextoNormal"/>
      </w:pPr>
      <w:r>
        <w:t>b) Pero es en el ámbito local en el que los efectos del art. 15.1 c) de la Ley 12/2023 se proyectan con mayor intensidad, de ahí que cobrara sentido la impugnación —subsidiaria— de los recurrentes basada en una eventual vulneración del principio de autonomía local (arts. 137 y 140 CE).</w:t>
      </w:r>
    </w:p>
    <w:p w14:paraId="3665BCFB" w14:textId="77777777" w:rsidR="00A8138F" w:rsidRDefault="00A8138F" w:rsidP="00A8138F">
      <w:pPr>
        <w:pStyle w:val="TextoNormal"/>
      </w:pPr>
    </w:p>
    <w:p w14:paraId="20D79240" w14:textId="77777777" w:rsidR="00A8138F" w:rsidRDefault="00A8138F" w:rsidP="00A8138F">
      <w:pPr>
        <w:pStyle w:val="TextoNormal"/>
      </w:pPr>
      <w:r>
        <w:t>En este sentido, la delimitación de los diferentes usos de que es susceptible el suelo, materializada a través de los instrumentos de ordenación territorial y urbanística cuya aprobación inicial y provisional corresponde, por regla general, al municipio, se integra, pues, en el urbanismo, constituyendo, este, de forma innegable, un “ámbito de interés municipal preferente [art. 25.2 a) de la Ley reguladora de las bases del régimen local (LBRL)]” (STC 161/2019, FJ 5), de lo cual se ha hecho eco este tribunal en múltiples ocasiones —y así lo hace la propia sentencia de la que ahora disentimos—: “[N]o es necesario argumentar particularmente que, entre los asuntos de interés de los municipios y a los que por tanto se extienden sus competencias, está el urbanismo” [SSTC 40/1998, FJ 39; 159/2001, FJ 4; 104/2013, FJ 6, y 154/2015, FJ 6 a)].</w:t>
      </w:r>
    </w:p>
    <w:p w14:paraId="24457BD3" w14:textId="77777777" w:rsidR="00A8138F" w:rsidRDefault="00A8138F" w:rsidP="00A8138F">
      <w:pPr>
        <w:pStyle w:val="TextoNormal"/>
      </w:pPr>
    </w:p>
    <w:p w14:paraId="1B5507AA" w14:textId="77777777" w:rsidR="00A8138F" w:rsidRDefault="00A8138F" w:rsidP="00A8138F">
      <w:pPr>
        <w:pStyle w:val="TextoNormal"/>
      </w:pPr>
      <w:r>
        <w:t>Dicho lo anterior, es incuestionable que la disposición recurrida, al impedir las modificaciones de reservas de suelo efectuadas al amparo del art. 20.1 b) TRLSRU tiene una clara incidencia en la función ordenadora de los usos del suelo que, como hemos dicho, es típicamente local, y, por tanto, en un ámbito propio del círculo de intereses de los municipios. Es más, resulta evidente, que el art. 15.1 c) da lugar a una merma importante de la capacidad decisoria —y, en consecuencia, de autonomía— que en el ejercicio de esta función tienen los ayuntamientos, pues si antes podían realizar dichas modificaciones, ahora, con la entrada en vigor de esta disposición, ya no podrán hacerlo.</w:t>
      </w:r>
    </w:p>
    <w:p w14:paraId="16C67086" w14:textId="77777777" w:rsidR="00A8138F" w:rsidRDefault="00A8138F" w:rsidP="00A8138F">
      <w:pPr>
        <w:pStyle w:val="TextoNormal"/>
      </w:pPr>
    </w:p>
    <w:p w14:paraId="6D1F85B5" w14:textId="77777777" w:rsidR="00A8138F" w:rsidRDefault="00A8138F" w:rsidP="00A8138F">
      <w:pPr>
        <w:pStyle w:val="TextoNormal"/>
      </w:pPr>
      <w:r>
        <w:lastRenderedPageBreak/>
        <w:t xml:space="preserve">Una primera aproximación al art. 15.1 c) podría llevar a la conclusión incipiente e incompleta de que, aunque el precepto permite excepcionar la regla general de no alteración de las reservas efectuadas </w:t>
      </w:r>
      <w:r w:rsidRPr="00A8138F">
        <w:rPr>
          <w:i/>
        </w:rPr>
        <w:t>ex</w:t>
      </w:r>
      <w:r>
        <w:t xml:space="preserve"> art. 20.1 b) TRLSRU en los casos excepcionales citados en aquel, preservando así una autonomía decisoria al municipio, la regla general sería igualmente aplicable no solo a los supuestos en que se proceda a la rebaja del porcentaje mínimo de reserva previsto en dicho art. 20.1 b) sino también a aquellos en que, partiendo de un porcentaje superior al umbral mínimo, se reduzca la reserva a una tasa menor de la que se partía pero superior o igual al mínimo permitido o, incluso, a aquellos supuestos en que se decida incrementar dicha cuota de reserva para vivienda pública protegida y siempre por encima del mínimo legal permitido.</w:t>
      </w:r>
    </w:p>
    <w:p w14:paraId="1AA2C083" w14:textId="77777777" w:rsidR="00A8138F" w:rsidRDefault="00A8138F" w:rsidP="00A8138F">
      <w:pPr>
        <w:pStyle w:val="TextoNormal"/>
      </w:pPr>
    </w:p>
    <w:p w14:paraId="559EACBF" w14:textId="77777777" w:rsidR="00A8138F" w:rsidRDefault="00A8138F" w:rsidP="00A8138F">
      <w:pPr>
        <w:pStyle w:val="TextoNormal"/>
      </w:pPr>
      <w:r>
        <w:t>En este último supuesto, esto es, aquel en que la modificación lo es para incrementar la tasa de reserva, se produciría, además, la paradoja de que la prohibición de no alteración sería absoluta, es decir, sin posibilidad de excepción mediante justificación del correspondiente instrumento de ordenación urbanística, pues dicha excepción se prevé solo a efectos de justificar la innecesariedad de viviendas en régimen de protección pública o la imposibilidad sobrevenida de dicho destino, lo que indudablemente está pensado para supuestos en que la modificación lo es a la baja y no al alza.</w:t>
      </w:r>
    </w:p>
    <w:p w14:paraId="56092895" w14:textId="77777777" w:rsidR="00A8138F" w:rsidRDefault="00A8138F" w:rsidP="00A8138F">
      <w:pPr>
        <w:pStyle w:val="TextoNormal"/>
      </w:pPr>
    </w:p>
    <w:p w14:paraId="1F55760E" w14:textId="77777777" w:rsidR="00A8138F" w:rsidRDefault="00A8138F" w:rsidP="00A8138F">
      <w:pPr>
        <w:pStyle w:val="TextoNormal"/>
      </w:pPr>
      <w:r>
        <w:t>Desde esta perspectiva, los municipios se verían obligados a justificar cualesquiera variaciones en el régimen temporal o de distribución espacial de las reservas de vivienda pública protegida, aun siendo, desde un punto de vista cuantitativo, respetuosas con los límites mínimos que en el art. 20.1 b) se prevén, y no pudiendo, en cambio, realizar modificaciones con incidencia al alza en la proporción de vivienda protegida, por no estar prevista la excepción justificativa para estos casos.</w:t>
      </w:r>
    </w:p>
    <w:p w14:paraId="60860B04" w14:textId="77777777" w:rsidR="00A8138F" w:rsidRDefault="00A8138F" w:rsidP="00A8138F">
      <w:pPr>
        <w:pStyle w:val="TextoNormal"/>
      </w:pPr>
    </w:p>
    <w:p w14:paraId="49C95D4E" w14:textId="77777777" w:rsidR="00A8138F" w:rsidRDefault="00A8138F" w:rsidP="00A8138F">
      <w:pPr>
        <w:pStyle w:val="TextoNormal"/>
      </w:pPr>
      <w:r>
        <w:t>Estos efectos perturbadores, que son obviados por la sentencia de la que discrepamos, suponen que las entidades locales se verían sometidas a un control que, en la medida en que, en tales supuestos, aparece desconectado de la finalidad perseguida a través de él —cual es, la protección del interés supramunicipal, tangibilizado aquí en el aseguramiento de la efectividad de las condiciones básicas de igualdad en el ejercicio del derecho de acceso a la vivienda (art. 15.1 de la Ley 12/2023)—, pierde concreción para tornar en un control genérico incompatible con el principio de autonomía local por situar a las entidades locales en una posición de subordinación o dependencia cuasi jerárquica respecto de la administración estatal, lo que resulta contrario a nuestra doctrina, que ha venido reiterando que el principio de autonomía de las entidades locales es compatible con la existencia de un control de legalidad sobre el ejercicio de sus competencias realizado, en los casos y formas predeterminados por el legislador, por el Estado o por las comunidades autónomas, habida cuenta de la posición de superioridad de uno y otras sobre las entidades locales. Bien entendido que nunca podrá tratarse de controles genéricos e indeterminados que sitúen a las entidades locales en una posición de subordinación o dependencia cuasi jerárquica respecto de la administración estatal o autonómica, sino de controles de carácter concreto, que habrán de referirse normalmente a supuestos en que el ejercicio de las competencias de la entidad local incidan en intereses generales concurrentes con los de aquellas (SSTC 4/1981, FJ 3; 27/1987, de 27 de febrero, FJ 2; 187/1988, de 17 de octubre, FJ 8; 134/2011, de 20 de julio, FJ 10, y 57/2015, FJ 13, entre otras).</w:t>
      </w:r>
    </w:p>
    <w:p w14:paraId="127C1FB0" w14:textId="77777777" w:rsidR="00A8138F" w:rsidRDefault="00A8138F" w:rsidP="00A8138F">
      <w:pPr>
        <w:pStyle w:val="TextoNormal"/>
      </w:pPr>
    </w:p>
    <w:p w14:paraId="5CB3F3B6" w14:textId="77777777" w:rsidR="00A8138F" w:rsidRDefault="00A8138F" w:rsidP="00A8138F">
      <w:pPr>
        <w:pStyle w:val="TextoNormal"/>
      </w:pPr>
      <w:r>
        <w:lastRenderedPageBreak/>
        <w:t>Tales consideraciones llevarían a reputar inconstitucional, por contrariar la autonomía local, el art. 15.1 c) de la Ley 12/2023. Sin embargo, tal como se argumentó durante la deliberación del presente recurso de inconstitucionalidad, en el ejercicio de la deseable hermenéutica conforme a la Constitución, cabría otra interpretación, en este caso compatible con la autonomía local, del cuestionado precepto legal.</w:t>
      </w:r>
    </w:p>
    <w:p w14:paraId="61A76D4A" w14:textId="77777777" w:rsidR="00A8138F" w:rsidRDefault="00A8138F" w:rsidP="00A8138F">
      <w:pPr>
        <w:pStyle w:val="TextoNormal"/>
      </w:pPr>
    </w:p>
    <w:p w14:paraId="35C88831" w14:textId="77777777" w:rsidR="00A8138F" w:rsidRDefault="00A8138F" w:rsidP="00A8138F">
      <w:pPr>
        <w:pStyle w:val="TextoNormal"/>
      </w:pPr>
      <w:r>
        <w:t>Baste, para ello, partir de la consideración de que la autonomía a que alude el art. 137 CE lo es para la gestión de los “respectivos intereses”, y tal autonomía, con dicho fin, se ha de ejercer “en el marco del ordenamiento”, por lo que “[e]s la ley, en definitiva, la que concreta el principio de autonomía de cada tipo de entes, de acuerdo con la Constitución” (ambas referencias lo son a la STC 4/1981, FJ 3). Y en el presente caso tal marco jurídico no solo viene determinado por la remisión que hace a los arts. 15.1 c) y 20.1 b) TRLSRU, sino porque previamente el art. 15, en su apartado 1, antes de desglosar las sucesivas reglas en él recogidas, dispone que la finalidad perseguida a través de estas, es decir, la de asegurar la efectividad de las condiciones básicas de igualdad en el ejercicio de los pertinentes derechos establecidos en la ley, lo será “en el marco de lo dispuesto en el texto refundido de la Ley de suelo y rehabilitación urbana aprobado por Real Decreto Legislativo 7/2015, de 30 de octubre”.</w:t>
      </w:r>
    </w:p>
    <w:p w14:paraId="2D5FF3FD" w14:textId="77777777" w:rsidR="00A8138F" w:rsidRDefault="00A8138F" w:rsidP="00A8138F">
      <w:pPr>
        <w:pStyle w:val="TextoNormal"/>
      </w:pPr>
    </w:p>
    <w:p w14:paraId="0DFBC727" w14:textId="77777777" w:rsidR="00A8138F" w:rsidRDefault="00A8138F" w:rsidP="00A8138F">
      <w:pPr>
        <w:pStyle w:val="TextoNormal"/>
      </w:pPr>
      <w:r>
        <w:t>Consecuentemente, el entendimiento sistemático del art. 15.1 c), esto es, bajo el marco dado por el art. 20.1 b), conlleva a deducir que la proscripción que se impone en el primero lo es en tanto se transgredan los límites del segundo. Solo bajo esta perspectiva se evitan los efectos que hemos apreciado como incompatibles con el principio de autonomía local, y solo desde este planteamiento cobra sentido la excepción prevista en el art. 15.1 c); excepción que, en definitiva, al permitir excluir la inmodificabilidad de las reservas cuando “el instrumento de ordenación urbanística justifique la innecesariedad de este tipo de viviendas [de protección pública] o la imposibilidad sobrevenida de dicho destino”, es lo que conduce a concluir que el precepto en su conjunto, aun dando lugar a una merma de la autonomía local, no alcanza a vulnerarla pues garantiza a los municipios “su participación efectiva en los asuntos que les atañen y, por consiguiente, su existencia como reales instituciones de autogobierno” (SSTC 159/2001, de 5 de julio, FJ4; […] 51/2004,de 13 de abril, FJ 9; 252/2005, de 11 de octubre, FJ 4, y 240/2006, de 20 de julio, FJ 8), respetando, pues, el legislador estatal un “núcleo mínimo identificable de [sus] competencias” (STC 240/2006, FFJJ 10 y 12) que hace reconocibles a los municipios, en cuanto entes locales, como una instancia decisoria autónoma.</w:t>
      </w:r>
    </w:p>
    <w:p w14:paraId="055AFDEC" w14:textId="77777777" w:rsidR="00A8138F" w:rsidRDefault="00A8138F" w:rsidP="00A8138F">
      <w:pPr>
        <w:pStyle w:val="TextoNormal"/>
      </w:pPr>
    </w:p>
    <w:p w14:paraId="795ED978" w14:textId="77777777" w:rsidR="00A8138F" w:rsidRDefault="00A8138F" w:rsidP="00A8138F">
      <w:pPr>
        <w:pStyle w:val="TextoNormal"/>
      </w:pPr>
      <w:r>
        <w:t>En consecuencia, la sentencia debió haber apreciado —y en el fallo haber declarado— que el art. 15.1 c) de la Ley 12/2023 no vulnera el principio de autonomía local (arts. 137 y 140 CE) en tanto se interprete de conformidad con los razonamientos que acabamos de expresar.</w:t>
      </w:r>
    </w:p>
    <w:p w14:paraId="4728362F" w14:textId="77777777" w:rsidR="00A8138F" w:rsidRDefault="00A8138F" w:rsidP="00A8138F">
      <w:pPr>
        <w:pStyle w:val="TextoNormal"/>
      </w:pPr>
    </w:p>
    <w:p w14:paraId="3E4A75D3" w14:textId="77777777" w:rsidR="00A8138F" w:rsidRDefault="00A8138F" w:rsidP="00A8138F">
      <w:pPr>
        <w:pStyle w:val="TextoNormal"/>
      </w:pPr>
      <w:r>
        <w:t xml:space="preserve">3. </w:t>
      </w:r>
      <w:r w:rsidRPr="00A8138F">
        <w:rPr>
          <w:i/>
        </w:rPr>
        <w:t>El art. 31 de la Ley 12/2023 se ampara en el art. 149.1.1 CE</w:t>
      </w:r>
    </w:p>
    <w:p w14:paraId="41A314CA" w14:textId="77777777" w:rsidR="00A8138F" w:rsidRDefault="00A8138F" w:rsidP="00A8138F">
      <w:pPr>
        <w:pStyle w:val="TextoNormal"/>
      </w:pPr>
    </w:p>
    <w:p w14:paraId="213790A8" w14:textId="77777777" w:rsidR="00A8138F" w:rsidRDefault="00A8138F" w:rsidP="00A8138F">
      <w:pPr>
        <w:pStyle w:val="TextoNormal"/>
      </w:pPr>
      <w:r>
        <w:t>a) En segundo lugar, estimamos preciso exponer también nuestra disconformidad con el enjuiciamiento que en la sentencia se efectúa del art. 31 de la Ley 12/2023, que los recurrentes impugnaban en sus dos primeros apartados por entender que infringía, por exceso, la competencia estatal en materia de legislación civi</w:t>
      </w:r>
      <w:r w:rsidRPr="00A8138F">
        <w:rPr>
          <w:i/>
        </w:rPr>
        <w:t xml:space="preserve">l </w:t>
      </w:r>
      <w:r>
        <w:t>ex art. 149.1.8 CE.</w:t>
      </w:r>
    </w:p>
    <w:p w14:paraId="210FDD08" w14:textId="77777777" w:rsidR="00A8138F" w:rsidRDefault="00A8138F" w:rsidP="00A8138F">
      <w:pPr>
        <w:pStyle w:val="TextoNormal"/>
      </w:pPr>
    </w:p>
    <w:p w14:paraId="5EAAC95A" w14:textId="77777777" w:rsidR="00A8138F" w:rsidRDefault="00A8138F" w:rsidP="00A8138F">
      <w:pPr>
        <w:pStyle w:val="TextoNormal"/>
      </w:pPr>
      <w:r>
        <w:lastRenderedPageBreak/>
        <w:t>Nuestro discernimiento alcanza tanto el encuadramiento competencial que efectúa la sentencia, como el consecuente canon a emplear y el resultado de dicho canon sobre el precepto sometido a examen.</w:t>
      </w:r>
    </w:p>
    <w:p w14:paraId="3F047C28" w14:textId="77777777" w:rsidR="00A8138F" w:rsidRDefault="00A8138F" w:rsidP="00A8138F">
      <w:pPr>
        <w:pStyle w:val="TextoNormal"/>
      </w:pPr>
    </w:p>
    <w:p w14:paraId="335922F3" w14:textId="77777777" w:rsidR="00A8138F" w:rsidRDefault="00A8138F" w:rsidP="00A8138F">
      <w:pPr>
        <w:pStyle w:val="TextoNormal"/>
      </w:pPr>
      <w:r>
        <w:t>A tal efecto, la sentencia que motiva el presente voto, tras asumir la tesis de los recurrentes consistente en el carácter civil de la materia objeto de regulación por el art. 31 de la Ley 12/2023, llega a la conclusión ulterior de que el precepto en cuestión —en los apartados del mismo que se impugnan— suponen el legítimo ejercicio de las competencias estatales previstas en el título competencial del art. 149.1.8 CE.</w:t>
      </w:r>
    </w:p>
    <w:p w14:paraId="481F2257" w14:textId="77777777" w:rsidR="00A8138F" w:rsidRDefault="00A8138F" w:rsidP="00A8138F">
      <w:pPr>
        <w:pStyle w:val="TextoNormal"/>
      </w:pPr>
    </w:p>
    <w:p w14:paraId="364B52A7" w14:textId="77777777" w:rsidR="00A8138F" w:rsidRDefault="00A8138F" w:rsidP="00A8138F">
      <w:pPr>
        <w:pStyle w:val="TextoNormal"/>
      </w:pPr>
      <w:r>
        <w:t>Sin embargo, consideramos que la sentencia, que expresa el parecer mayoritario de nuestros compañeros, yerra a la hora de analizar el verdadero carácter, sentido y finalidad de la disposición traída al conflicto (por todas, STC 26/2016, de 18 de febrero, FJ 6), pues, a nuestro juicio, debió realizarse de la siguiente manera.</w:t>
      </w:r>
    </w:p>
    <w:p w14:paraId="012C3646" w14:textId="77777777" w:rsidR="00A8138F" w:rsidRDefault="00A8138F" w:rsidP="00A8138F">
      <w:pPr>
        <w:pStyle w:val="TextoNormal"/>
      </w:pPr>
    </w:p>
    <w:p w14:paraId="6C2C5C2B" w14:textId="77777777" w:rsidR="00A8138F" w:rsidRDefault="00A8138F" w:rsidP="00A8138F">
      <w:pPr>
        <w:pStyle w:val="TextoNormal"/>
      </w:pPr>
      <w:r>
        <w:t>El art. 31 de la Ley 12/2023 contiene la previsión de que la persona interesada en la compra o arrendamiento de una vivienda en oferta pueda requerir, con carácter previo a formalizarse la operación, una serie de información acerca de las condiciones de la operación y de las características de la vivienda en cuestión. Se cita, así, en el apartado 1, la información referida a la identificación del vendedor, arrendador o persona intermediaria, a las condiciones económicas de la operación (precio, condiciones de financiación), características esenciales de la vivienda y edificio (certificado o cédula de habitabilidad, superficie útil y construida, antigüedad, servicios e instalaciones, eficiencia energética, accesibilidad, estado de ocupación y disponibilidad), información jurídica del inmueble (identificación registral, cargas, gravámenes y cuotas de participación), indicación de ser, en su caso, vivienda protegida, grado y condiciones de protección arquitectónica, en su caso, y cualquier otra información que pueda ser relevante para la persona interesada; a esta información se añade en el apartado 2 la referida a la posible detección de amianto u otras sustancias peligrosas o nocivas para la salud.</w:t>
      </w:r>
    </w:p>
    <w:p w14:paraId="26D6D892" w14:textId="77777777" w:rsidR="00A8138F" w:rsidRDefault="00A8138F" w:rsidP="00A8138F">
      <w:pPr>
        <w:pStyle w:val="TextoNormal"/>
      </w:pPr>
    </w:p>
    <w:p w14:paraId="3FD4FC8D" w14:textId="77777777" w:rsidR="00A8138F" w:rsidRDefault="00A8138F" w:rsidP="00A8138F">
      <w:pPr>
        <w:pStyle w:val="TextoNormal"/>
      </w:pPr>
      <w:r>
        <w:t>La finalidad del precepto no sería otra que la de garantizar que la persona interesada en comprar o alquilar una vivienda disponga de la información mínima necesaria acerca de esta antes de la formalización de la operación correspondiente. Dicha información se configura como una medida de garantía o protección para el interesado y se integraría en el régimen general de derechos que le reconoce la ley en este punto. Así resultaría tanto del título y capítulo en que se ubica el precepto, “Medidas de protección y transparencia en las operaciones de compra y arrendamiento de vivienda” y “Régimen general de derechos e información básica”, respectivamente, como de su puesta en relación con el art. 30 que le precede —y ubicado en el mismo título y capítulo—, el cual, epigrafiado como “Principios básicos de los derechos, facultades y responsabilidades”, contempla, en su apartado 1, como lo que denomina “derecho” de las personas demandantes, adquirentes o arrendatarias de vivienda, o en cualquier otro régimen jurídico de tenencia y disfrute, entre otros, en su letra b) “[e]l de recibir información, incluida la suministrada por medios publicitarios, en formato accesible para las personas con discapacidad o dificultades de comprensión, que sea completa, objetiva, veraz, clara, comprensible y accesible, sobre las características de las viviendas, sus servicios e instalaciones y las condiciones jurídicas y económicas de su adquisición, arrendamiento, cesión o uso”, esto es, aquella que con mayor detalle recoge el art. 31.1 de la Ley 12/2023.</w:t>
      </w:r>
    </w:p>
    <w:p w14:paraId="6073D38E" w14:textId="77777777" w:rsidR="00A8138F" w:rsidRDefault="00A8138F" w:rsidP="00A8138F">
      <w:pPr>
        <w:pStyle w:val="TextoNormal"/>
      </w:pPr>
    </w:p>
    <w:p w14:paraId="69B107DE" w14:textId="77777777" w:rsidR="00A8138F" w:rsidRDefault="00A8138F" w:rsidP="00A8138F">
      <w:pPr>
        <w:pStyle w:val="TextoNormal"/>
      </w:pPr>
      <w:r>
        <w:t>Si antes hemos afirmado que el art. 31 se configura como una suerte de medida de protección o garantía para el posible comprador o arrendatario de vivienda a los efectos de disponer de la información mínima oportuna, esta idea se refuerza a la vista de los restantes apartados 2 y 3 del art. 30. Así, el apartado 2 es el reverso del derecho que contempla el apartado 1, en tanto impone a todos los agentes operadores del sector inmobiliario el cumplimiento del deber de suministrar, en el ejercicio de su actividad de transmisión, arrendamiento o cesión de viviendas en nombre propio o por cuenta ajena, “información completa, objetiva, veraz, clara, comprensible y accesible”; resultando, finalmente, del apartado 3 que dicha información no cumplirá tales requisitos cuando “omita datos esenciales o los contenga en términos capaces de inducir a error a los destinatarios o producir repercusiones económicas o jurídicas que no resulten admisibles, por perturbar el pacífico disfrute de la vivienda en las habituales condiciones de uso”.</w:t>
      </w:r>
    </w:p>
    <w:p w14:paraId="3CB158BC" w14:textId="77777777" w:rsidR="00A8138F" w:rsidRDefault="00A8138F" w:rsidP="00A8138F">
      <w:pPr>
        <w:pStyle w:val="TextoNormal"/>
      </w:pPr>
    </w:p>
    <w:p w14:paraId="5765DBE4" w14:textId="77777777" w:rsidR="00A8138F" w:rsidRDefault="00A8138F" w:rsidP="00A8138F">
      <w:pPr>
        <w:pStyle w:val="TextoNormal"/>
      </w:pPr>
      <w:r>
        <w:t xml:space="preserve">Sentado lo anterior, el adecuado análisis del contenido y finalidad de la regulación examinada hubiese permitido concluir que, a pesar de que los efectos del art. 31 se desplegarían en el ámbito de una relación </w:t>
      </w:r>
      <w:r w:rsidRPr="00A8138F">
        <w:rPr>
          <w:i/>
        </w:rPr>
        <w:t>inter privatos</w:t>
      </w:r>
      <w:r>
        <w:t>, como es la existente entre el posible comprador o arrendatario de una vivienda y el propietario de esta, ámbito regulatorio propio de la legislación civil (SSTC 37/2022, FJ 4, y 28/2012, de 1 de marzo, FJ 5) a que alude el art. 149.1.8 CE, el precepto examinado no se encamina, en cambio, a la determinación del contenido de los contratos concernidos —compraventa y arrendamiento— [SSTC 37/2022, FJ 4, y 54/2018, FJ 6 c)], sino que aparece revestido de una finalidad preponderantemente tuitiva orientada en la garantía de información mínima o básica de que debe disponer el interesado en la adquisición o arriendo de una vivienda a fin de que, formalizada la respectiva operación, el pacífico disfrute de aquella no resulte perturbado como consecuencia de omisiones, insuficiencias o deficiencias en la información que tenía derecho a disponer. Esta conclusión resultaría conciliadora igualmente con lo que el preámbulo de la Ley 12/2023 ha identificado como uno de sus objetivos, cual es en este caso, “[m]ejorar la protección en las operaciones de compra y arrendamiento de vivienda, introduciendo unos mínimos de información necesaria para dar seguridad y garantías en el proceso”.</w:t>
      </w:r>
    </w:p>
    <w:p w14:paraId="2DA00B9A" w14:textId="77777777" w:rsidR="00A8138F" w:rsidRDefault="00A8138F" w:rsidP="00A8138F">
      <w:pPr>
        <w:pStyle w:val="TextoNormal"/>
      </w:pPr>
    </w:p>
    <w:p w14:paraId="1131A697" w14:textId="77777777" w:rsidR="00A8138F" w:rsidRDefault="00A8138F" w:rsidP="00A8138F">
      <w:pPr>
        <w:pStyle w:val="TextoNormal"/>
      </w:pPr>
      <w:r>
        <w:t>En definitiva, un más acertado encuadramiento de la controversia hubiese llevado a la conclusión de que no estamos sino ante una norma más, de entre las que mayoritariamente recoge la ley de vivienda, dictada al amparo del art. 149.1.1 CE, en cuanto condición básica para garantizar la igualdad —en este caso de disposición informativa— en el ejercicio del derecho a disfrutar de una vivienda digna y adecuada (art. 47 CE). Cuestión distinta es el uso correcto o no que el legislador estatal haya hecho de dicho título competencial, lo que pasamos a exponer a continuación.</w:t>
      </w:r>
    </w:p>
    <w:p w14:paraId="37B0FFE3" w14:textId="77777777" w:rsidR="00A8138F" w:rsidRDefault="00A8138F" w:rsidP="00A8138F">
      <w:pPr>
        <w:pStyle w:val="TextoNormal"/>
      </w:pPr>
    </w:p>
    <w:p w14:paraId="04AF3CE6" w14:textId="77777777" w:rsidR="00A8138F" w:rsidRDefault="00A8138F" w:rsidP="00A8138F">
      <w:pPr>
        <w:pStyle w:val="TextoNormal"/>
      </w:pPr>
      <w:r>
        <w:t xml:space="preserve">b) Pues bien, para llevar a cabo el examen del art. 31 en el prefijado encuadramiento, resulta inevitable estar a la doctrina de la STC 79/2024, que resolvió el primero de los recursos de inconstitucionalidad interpuestos contra la Ley 12/2023 de vivienda, en cuyo fundamento jurídico 3 B) se expuso la doctrina constitucional relativa a la proyección que sobre la competencia exclusiva de las comunidades autónomas en materia de vivienda tienen los títulos competenciales del Estado previstos en el art. 149.1.1 y 13 CE, que prevén la competencia exclusiva del Estado para “[l]a regulación de las condiciones básicas que garanticen la igualdad de todos los españoles en el ejercicio de los derechos y en el cumplimiento </w:t>
      </w:r>
      <w:r>
        <w:lastRenderedPageBreak/>
        <w:t>de los deberes constitucionales”, y para las “[b]ases y coordinación de la planificación general de la actividad económica”, respectivamente.</w:t>
      </w:r>
    </w:p>
    <w:p w14:paraId="4D15B856" w14:textId="77777777" w:rsidR="00A8138F" w:rsidRDefault="00A8138F" w:rsidP="00A8138F">
      <w:pPr>
        <w:pStyle w:val="TextoNormal"/>
      </w:pPr>
    </w:p>
    <w:p w14:paraId="0358BCC3" w14:textId="77777777" w:rsidR="00A8138F" w:rsidRDefault="00A8138F" w:rsidP="00A8138F">
      <w:pPr>
        <w:pStyle w:val="TextoNormal"/>
      </w:pPr>
      <w:r>
        <w:t>Ya hemos expresado al inicio del presente voto la necesidad de reiterar nuestra discrepancia con la doctrina resultante de la citada STC 79/2024. Pero una cosa es que mostremos nuestro desacuerdo con ella, y otra que podamos obviarla. En definitiva, la aplicación de la doctrina reflejada en la STC 79/2024 dio como resultado la declaración de inconstitucionalidad y nulidad de, entre otros, los arts. 16, 19.3 y 27.1 de la Ley de vivienda al incurrir tales preceptos en lo que fue calificado como “concreción excesiva” [FJ 6 B) b)], “detalle excesivo” [FJ 8 B) a)] o “nivel de detalle impropio del ejercicio de títulos competenciales transversales como son los de los apartados 1 y 13 del art. 149.1 CE” [FJ 7 B) b)], suponiendo ello “una invasión de la competencia autonómica […] para legislar en materia de vivienda” [FJ 7 B) b) (i)].</w:t>
      </w:r>
    </w:p>
    <w:p w14:paraId="16F36E35" w14:textId="77777777" w:rsidR="00A8138F" w:rsidRDefault="00A8138F" w:rsidP="00A8138F">
      <w:pPr>
        <w:pStyle w:val="TextoNormal"/>
      </w:pPr>
    </w:p>
    <w:p w14:paraId="3D2E5525" w14:textId="77777777" w:rsidR="00A8138F" w:rsidRDefault="00A8138F" w:rsidP="00A8138F">
      <w:pPr>
        <w:pStyle w:val="TextoNormal"/>
      </w:pPr>
      <w:r>
        <w:t>Trasladando dicho singular canon al presente caso, ello exige examinar si el art. 31, apartados 1 y 2, favoreciendo desde un plano finalístico la igualdad en el acceso a la vivienda, incurre o no en un grado de minuciosidad desmesurado por proceder a una regulación completa, o tendente a la exhaustividad, de una materia, como la de vivienda, de competencia exclusiva de las comunidades autónomas.</w:t>
      </w:r>
    </w:p>
    <w:p w14:paraId="55CEDF5A" w14:textId="77777777" w:rsidR="00A8138F" w:rsidRDefault="00A8138F" w:rsidP="00A8138F">
      <w:pPr>
        <w:pStyle w:val="TextoNormal"/>
      </w:pPr>
    </w:p>
    <w:p w14:paraId="55FC1AFD" w14:textId="77777777" w:rsidR="00A8138F" w:rsidRDefault="00A8138F" w:rsidP="00A8138F">
      <w:pPr>
        <w:pStyle w:val="TextoNormal"/>
      </w:pPr>
      <w:r>
        <w:t>Pues bien, el art. 31, como se ha señalado, establece la información mínima en las operaciones de compra y arrendamiento de vivienda, si bien, al igual que concluimos en la STC 79/2024 respecto de los arts. 16, 19.3, 27.1 [FFJJ 7 B) b) (i), 6 B) b), y 8 B) a), respectivamente], la sentencia de la que ahora discrepamos debió haber apreciado que lo dispuesto en el art. 31 tiene un nivel de detalle impropio del ejercicio de títulos competenciales transversales, como es el del apartado 1 del art. 149.1 CE, en que se funda. En efecto, el art. 31 incurre en un grado de precisión desmedido, en este caso al desglosar en algunos de sus apartados y letras de forma excesivamente pormenorizada la información a que tiene derecho la persona interesada en la compra o arrendamiento de una vivienda antes de la formalización de la operación correspondiente. Ello supone un exceso pues de lo que se trata es de garantizar un mínimo, en cuanto garantía de igualdad informativa, a que tiene derecho a recibir el interesado. En suma, la regulación de la información mínima que puede requerirse por las personas interesadas en la compra o arrendamiento de vivienda que establece el art. 31 adolece de una concreción excesiva si lo que se pretende es garantizar dicha igualdad en el ejercicio del derecho a disfrutar de una vivienda digna y adecuada [en el mismo sentido, STC 79/2023, de 3 de julio, FJ 6 B) c)].</w:t>
      </w:r>
    </w:p>
    <w:p w14:paraId="0D69DB87" w14:textId="77777777" w:rsidR="00A8138F" w:rsidRDefault="00A8138F" w:rsidP="00A8138F">
      <w:pPr>
        <w:pStyle w:val="TextoNormal"/>
      </w:pPr>
    </w:p>
    <w:p w14:paraId="12C47214" w14:textId="77777777" w:rsidR="00A8138F" w:rsidRDefault="00A8138F" w:rsidP="00A8138F">
      <w:pPr>
        <w:pStyle w:val="TextoNormal"/>
      </w:pPr>
      <w:r>
        <w:t>Concretamente, así ocurre respecto de las previsiones siguientes, que por estas razones debían haber sido declaradas inconstitucionales y nulas: en el apartado 1, letra b), el inciso “precio total y conceptos en este incluidos, así como las condiciones de financiación o pago que, en su caso, pudieran establecerse”; en la letra c) desde “entre ellas” hasta el final de la letra, incluyendo la totalidad de los subapartados 1 a 7; en la letra d) el inciso “la identificación registral de la finca, con la referencia de las cargas, gravámenes y afecciones de cualquier naturaleza, y la cuota de participación fijada en el título de propiedad”; en las letras f) y g); y en el apartado 2.</w:t>
      </w:r>
    </w:p>
    <w:p w14:paraId="17CD09E5" w14:textId="77777777" w:rsidR="00A8138F" w:rsidRDefault="00A8138F" w:rsidP="00A8138F">
      <w:pPr>
        <w:pStyle w:val="TextoNormal"/>
      </w:pPr>
    </w:p>
    <w:p w14:paraId="3F988159" w14:textId="77777777" w:rsidR="00A8138F" w:rsidRDefault="00A8138F" w:rsidP="00A8138F">
      <w:pPr>
        <w:pStyle w:val="TextoNormal"/>
      </w:pPr>
      <w:r>
        <w:t>La sentencia debió haber reputado, por tanto, que tales previsiones constituyen una extralimitación del título competencial —art. 149.1.1 CE— en que se amparan.</w:t>
      </w:r>
    </w:p>
    <w:p w14:paraId="189D8618" w14:textId="77777777" w:rsidR="00A8138F" w:rsidRDefault="00A8138F" w:rsidP="00A8138F">
      <w:pPr>
        <w:pStyle w:val="TextoNormal"/>
      </w:pPr>
    </w:p>
    <w:p w14:paraId="775105E6" w14:textId="77777777" w:rsidR="00A8138F" w:rsidRDefault="00A8138F" w:rsidP="00A8138F">
      <w:pPr>
        <w:pStyle w:val="TextoNormal"/>
      </w:pPr>
      <w:r>
        <w:t xml:space="preserve">4. </w:t>
      </w:r>
      <w:r w:rsidRPr="00A8138F">
        <w:rPr>
          <w:i/>
        </w:rPr>
        <w:t>Vulneración del art. 33 CE por la limitación de rentas de los propietarios que no son grandes tenedores</w:t>
      </w:r>
    </w:p>
    <w:p w14:paraId="40299A31" w14:textId="77777777" w:rsidR="00A8138F" w:rsidRDefault="00A8138F" w:rsidP="00A8138F">
      <w:pPr>
        <w:pStyle w:val="TextoNormal"/>
      </w:pPr>
    </w:p>
    <w:p w14:paraId="1EDEB65C" w14:textId="77777777" w:rsidR="00A8138F" w:rsidRDefault="00A8138F" w:rsidP="00A8138F">
      <w:pPr>
        <w:pStyle w:val="TextoNormal"/>
      </w:pPr>
      <w:r>
        <w:t>a) No podemos tampoco estar de acuerdo ni con la fundamentación contenida en el fundamento jurídico 5 de la sentencia, en que se analiza la posible contravención con el derecho de propiedad, reconocido en el art. 33 CE, de la disposición final primera de la Ley 12/2023, que modifica el art. 17 LAU, añadiendo, entre otros, el nuevo apartado 7, sobre el que los recurrentes dirigían su censura; ni con la decisión —desestimatoria— que se refleja en el fallo.</w:t>
      </w:r>
    </w:p>
    <w:p w14:paraId="581D5C72" w14:textId="77777777" w:rsidR="00A8138F" w:rsidRDefault="00A8138F" w:rsidP="00A8138F">
      <w:pPr>
        <w:pStyle w:val="TextoNormal"/>
      </w:pPr>
    </w:p>
    <w:p w14:paraId="08538872" w14:textId="77777777" w:rsidR="00A8138F" w:rsidRDefault="00A8138F" w:rsidP="00A8138F">
      <w:pPr>
        <w:pStyle w:val="TextoNormal"/>
      </w:pPr>
      <w:r>
        <w:t>En cuanto a la fundamentación, nuestra discrepancia se ciñe a la aplicación que de la doctrina constitucional relativa al derecho de propiedad se realiza en la sentencia, mostrándonos de acuerdo con la sistematización que de dicha doctrina se realiza y con el canon a aplicar.</w:t>
      </w:r>
    </w:p>
    <w:p w14:paraId="0EA88140" w14:textId="77777777" w:rsidR="00A8138F" w:rsidRDefault="00A8138F" w:rsidP="00A8138F">
      <w:pPr>
        <w:pStyle w:val="TextoNormal"/>
      </w:pPr>
    </w:p>
    <w:p w14:paraId="37DA44E4" w14:textId="77777777" w:rsidR="00A8138F" w:rsidRDefault="00A8138F" w:rsidP="00A8138F">
      <w:pPr>
        <w:pStyle w:val="TextoNormal"/>
      </w:pPr>
      <w:r>
        <w:t>Sin embargo, a la hora de implementar dicho canon al precepto legal recurrido, entendemos que un examen más concienzudo de aquel debió llevar a estimar parcialmente el motivo por entender que el párrafo segundo del citado art. 17.7 LAU resultaba contrario al derecho de propiedad, de acuerdo con los razonamientos que pasamos a exponer tal y como defendimos en la deliberación del recurso.</w:t>
      </w:r>
    </w:p>
    <w:p w14:paraId="2D91EA62" w14:textId="77777777" w:rsidR="00A8138F" w:rsidRDefault="00A8138F" w:rsidP="00A8138F">
      <w:pPr>
        <w:pStyle w:val="TextoNormal"/>
      </w:pPr>
    </w:p>
    <w:p w14:paraId="0171A2E5" w14:textId="77777777" w:rsidR="00A8138F" w:rsidRDefault="00A8138F" w:rsidP="00A8138F">
      <w:pPr>
        <w:pStyle w:val="TextoNormal"/>
      </w:pPr>
      <w:r>
        <w:t>b) En este sentido, el apartado 7 en que se centra la crítica de los recurrentes, dejando a salvo lo dispuesto en el apartado 6, establece una modulación de la renta libremente pactada, “al inicio del nuevo contrato”, disponiendo que “no podrá exceder del límite máximo del precio aplicable conforme al sistema de índices de precios de referencia atendiendo a las condiciones y características de la vivienda arrendada y del edificio en que se ubique”. Esta limitación es aplicable a dos supuestos que el precepto separa en párrafos diferenciados.</w:t>
      </w:r>
    </w:p>
    <w:p w14:paraId="59F2DFD0" w14:textId="77777777" w:rsidR="00A8138F" w:rsidRDefault="00A8138F" w:rsidP="00A8138F">
      <w:pPr>
        <w:pStyle w:val="TextoNormal"/>
      </w:pPr>
    </w:p>
    <w:p w14:paraId="0C7A77ED" w14:textId="77777777" w:rsidR="00A8138F" w:rsidRDefault="00A8138F" w:rsidP="00A8138F">
      <w:pPr>
        <w:pStyle w:val="TextoNormal"/>
      </w:pPr>
      <w:r>
        <w:t xml:space="preserve">El primer párrafo contempla el supuesto referido a contratos de arrendamiento de vivienda sujetos a la Ley de arrendamientos urbanos en los que concurran dos elementos: (i) que el arrendador sea un gran tenedor de vivienda “de acuerdo con la definición establecida en la Ley 12/2023, de 24 de mayo, por el derecho a la vivienda”, esto es, conforme al art. 3 k) de la Ley de vivienda “la persona física o jurídica que sea titular de más de diez inmuebles urbanos de uso residencial o una superficie construida de más de 1500 m2 de uso residencial, excluyendo en todo caso garajes y trasteros” —sin perjuicio de que dicha definición, conforme al propio art. 3 k) “podrá ser particularizada en la declaración de entornos de mercado residencial tensionado hasta aquellos titulares de cinco o más inmuebles urbanos de uso residencial ubicados en dicho ámbito, cuando así sea motivado por la comunidad autónoma en la correspondiente memoria justificativa”—; y (ii) que el inmueble se ubique en una zona de mercado residencial tensionado dentro del período de vigencia de la declaración de la referida zona “en los términos dispuestos en la referida Ley 12/2023, de 24 de mayo, por el derecho a la vivienda”. Respecto de este segundo elemento, es concretamente el art. 18 de la Ley de vivienda el que faculta —dados sus términos potestativos— a “[l]as Administraciones competentes en materia de vivienda” a declarar estas zonas de mercado residencial tensionado “en aquellos ámbitos territoriales en los que exista un especial riesgo de oferta insuficiente de vivienda para la población, en condiciones que la hagan asequible para su acceso en el mercado”, arbitrando a continuación dicho precepto las reglas a seguir </w:t>
      </w:r>
      <w:r>
        <w:lastRenderedPageBreak/>
        <w:t>por dichas administraciones para la declaración de dichas zonas, y a las que haremos referencia posteriormente. En cuanto al período de vigencia es, en concreto, el apartado 2 d) de dicho art. 18 el que determina que será “de tres años”, sin perjuicio de su prórroga anual “cuando subsistan las circunstancias que motivaron tal declaración y previa justificación de las medidas y acciones públicas adoptadas para revertir o mejorar la situación desde la anterior declaración”.</w:t>
      </w:r>
    </w:p>
    <w:p w14:paraId="2465B0F8" w14:textId="77777777" w:rsidR="00A8138F" w:rsidRDefault="00A8138F" w:rsidP="00A8138F">
      <w:pPr>
        <w:pStyle w:val="TextoNormal"/>
      </w:pPr>
    </w:p>
    <w:p w14:paraId="242CBE3A" w14:textId="77777777" w:rsidR="00A8138F" w:rsidRDefault="00A8138F" w:rsidP="00A8138F">
      <w:pPr>
        <w:pStyle w:val="TextoNormal"/>
      </w:pPr>
      <w:r>
        <w:t xml:space="preserve">El párrafo segundo contempla el otro supuesto al que le es aplicable igual limitación que al primero, y se refiere en este caso a los contratos de arrendamiento de vivienda en que concurran dos circunstancias: (i) que —al igual que en el caso anterior— el inmueble se ubique en una zona de mercado residencial tensionado dentro del periodo de vigencia de la declaración de la referida zona; y (ii) que sobre el inmueble no hubiese estado vigente ningún contrato de arrendamiento de vivienda vigente en los últimos cinco años. No obstante, el precepto señala </w:t>
      </w:r>
      <w:r w:rsidRPr="00A8138F">
        <w:rPr>
          <w:i/>
        </w:rPr>
        <w:t>in fine</w:t>
      </w:r>
      <w:r>
        <w:t xml:space="preserve"> que la limitación de renta en este segundo supuesto solo se aplicará “siempre que así se recoja en la resolución del Ministerio de Transportes, Movilidad y Agenda Urbana, al haberse justificado dicha aplicación en la declaración de la zona de mercado residencial tensionado”.</w:t>
      </w:r>
    </w:p>
    <w:p w14:paraId="539E8692" w14:textId="77777777" w:rsidR="00A8138F" w:rsidRDefault="00A8138F" w:rsidP="00A8138F">
      <w:pPr>
        <w:pStyle w:val="TextoNormal"/>
      </w:pPr>
    </w:p>
    <w:p w14:paraId="55B11FA5" w14:textId="77777777" w:rsidR="00A8138F" w:rsidRDefault="00A8138F" w:rsidP="00A8138F">
      <w:pPr>
        <w:pStyle w:val="TextoNormal"/>
      </w:pPr>
      <w:r>
        <w:t>Expuesto lo anterior, la sentencia declara que “desde la perspectiva del respeto al contenido esencial del derecho de propiedad, la limitación de rentas que introduce la disposición final cuestionada, no cabe duda, supone una afectación del derecho de propiedad, concretamente de la utilidad económica del bien —en este caso inmueble— que se arrienda”, y con esa aseveración nos mostramos de acuerdo, pues la medida en cuestión constituye, ciertamente, una restricción o limitación de este derecho, y la misma quedaría, en principio, amparada por el amplio margen de apreciación de que goza el legislador a la hora de adoptar decisiones de índole social o económica, encaminadas en este caso a satisfacer la función social de la propiedad (art. 33.2 CE), y exteriorizada aquí en la intención de favorecer la accesibilidad al mercado residencial a niveles asequibles ante la situación de carestía de vivienda.</w:t>
      </w:r>
    </w:p>
    <w:p w14:paraId="38CB4600" w14:textId="77777777" w:rsidR="00A8138F" w:rsidRDefault="00A8138F" w:rsidP="00A8138F">
      <w:pPr>
        <w:pStyle w:val="TextoNormal"/>
      </w:pPr>
    </w:p>
    <w:p w14:paraId="4B49607A" w14:textId="77777777" w:rsidR="00A8138F" w:rsidRDefault="00A8138F" w:rsidP="00A8138F">
      <w:pPr>
        <w:pStyle w:val="TextoNormal"/>
      </w:pPr>
      <w:r>
        <w:t>Es decir, la medida, en cualquiera de los dos supuestos en que se aplica —viviendas de grandes tenedores en zonas residenciales tensionadas, y viviendas en zonas residenciales tensionadas en las que no ha estado vigente un contrato de arrendamiento en los últimos cinco años— se encontraría amparada, atendiendo al fin que persigue, en la proclamación del art. 47 CE que reconoce el derecho a disfrutar de una vivienda digna y adecuada, ordenando a los poderes públicos promover las condiciones necesarias para ello.</w:t>
      </w:r>
    </w:p>
    <w:p w14:paraId="7D46AC6D" w14:textId="77777777" w:rsidR="00A8138F" w:rsidRDefault="00A8138F" w:rsidP="00A8138F">
      <w:pPr>
        <w:pStyle w:val="TextoNormal"/>
      </w:pPr>
    </w:p>
    <w:p w14:paraId="5F4476AD" w14:textId="77777777" w:rsidR="00A8138F" w:rsidRDefault="00A8138F" w:rsidP="00A8138F">
      <w:pPr>
        <w:pStyle w:val="TextoNormal"/>
      </w:pPr>
      <w:r>
        <w:t xml:space="preserve">Sin embargo —y a partir de aquí comienza nuestro distanciamiento con la tesis de nuestros compañeros— la sentencia ignora que la libertad con la que cuenta el legislador para delimitar el contenido de los derechos dominicales, aun amplia, no es absoluta, por cuanto lo que no podrá es someterlo a limitaciones que lo dificulten más allá de lo razonable, no pudiendo el legislador a estos efectos sobrepasar la necesaria “relación razonable” o “equilibrio justo” entre los medios empleados y la finalidad pretendida, sometiendo al titular del derecho a una carga considerada desproporcionada o excesiva. Más concretamente, en lo que a la limitación de rentas de alquiler se refiere, el Tribunal Europeo de Derechos Humanos recuerda que el control a través de este tipo de medidas entra dentro de una esfera que permite un amplio margen de apreciación al Estado, y su aplicación, a menudo, puede ser causa de reducciones significativas en la cantidad de renta a cobrar, sin embargo, esto no </w:t>
      </w:r>
      <w:r>
        <w:lastRenderedPageBreak/>
        <w:t xml:space="preserve">podrá conducir a resultados que sean manifiestamente irrazonables [SSTEDH de 15 de septiembre de 2009, asunto </w:t>
      </w:r>
      <w:r w:rsidRPr="00A8138F">
        <w:rPr>
          <w:i/>
        </w:rPr>
        <w:t>Amato Gauci c. Malta</w:t>
      </w:r>
      <w:r>
        <w:t>, § 62, y de 30 de julio de 2015, asunt</w:t>
      </w:r>
      <w:r w:rsidRPr="00A8138F">
        <w:rPr>
          <w:i/>
        </w:rPr>
        <w:t>o Zammit y Attard Cassar c. Mal</w:t>
      </w:r>
      <w:r>
        <w:t>ta, § 62].</w:t>
      </w:r>
    </w:p>
    <w:p w14:paraId="1DE40A11" w14:textId="77777777" w:rsidR="00A8138F" w:rsidRDefault="00A8138F" w:rsidP="00A8138F">
      <w:pPr>
        <w:pStyle w:val="TextoNormal"/>
      </w:pPr>
    </w:p>
    <w:p w14:paraId="3B17E077" w14:textId="77777777" w:rsidR="00A8138F" w:rsidRDefault="00A8138F" w:rsidP="00A8138F">
      <w:pPr>
        <w:pStyle w:val="TextoNormal"/>
      </w:pPr>
      <w:r>
        <w:t>Pues bien, a efectos de analizar la relación entre finalidad y medios, como acertadamente indica la sentencia, el fin pretendido con la medida cuestionada es el de promover la accesibilidad y asequibilidad de vivienda residencial que, en lo que a las denominadas zonas de mercado residencial tensionado se refiere, se materializa en el objetivo de atender adecuadamente a un precio razonable la demanda de vivienda habitacional evitando “prácticas de retención y desocupación indebidas” (de acuerdo con el preámbulo de la Ley 12/2023). Y en cuanto al medio empleado, lo que impone la norma sometida a nuestro control de constitucionalidad es una modulación de la renta libremente pactada al inicio del contrato de arrendamiento de vivienda, no pudiendo aquella exceder del límite máximo que resulte de la aplicación del sistema de índices de precios de referencia que atenderá a la localización y características de la vivienda objeto de arrendamiento.</w:t>
      </w:r>
    </w:p>
    <w:p w14:paraId="288D5FE1" w14:textId="77777777" w:rsidR="00A8138F" w:rsidRDefault="00A8138F" w:rsidP="00A8138F">
      <w:pPr>
        <w:pStyle w:val="TextoNormal"/>
      </w:pPr>
    </w:p>
    <w:p w14:paraId="2A229DF0" w14:textId="77777777" w:rsidR="00A8138F" w:rsidRDefault="00A8138F" w:rsidP="00A8138F">
      <w:pPr>
        <w:pStyle w:val="TextoNormal"/>
      </w:pPr>
      <w:r>
        <w:t>La modulación de la renta es aplicada indistintamente tanto a grandes tenedores como a arrendadores que no tengan tal condición en cuya vivienda no haya estado vigente un contrato de arrendamiento de vivienda en los últimos cinco años, y en ambos casos respecto de viviendas situadas en una zona calificada de mercado residencial tensionado. La indistinción de la Ley 12/2023 en este punto es relevante pues las conclusiones acerca de la razonabilidad de la relación existente entre el medio descrito y la finalidad perseguida no serán las mismas en uno y otro supuesto.</w:t>
      </w:r>
    </w:p>
    <w:p w14:paraId="006795E9" w14:textId="77777777" w:rsidR="00A8138F" w:rsidRDefault="00A8138F" w:rsidP="00A8138F">
      <w:pPr>
        <w:pStyle w:val="TextoNormal"/>
      </w:pPr>
    </w:p>
    <w:p w14:paraId="5A98729A" w14:textId="77777777" w:rsidR="00A8138F" w:rsidRDefault="00A8138F" w:rsidP="00A8138F">
      <w:pPr>
        <w:pStyle w:val="TextoNormal"/>
      </w:pPr>
      <w:r>
        <w:t xml:space="preserve">Partiendo de la base de que los intereses legítimos de la colectividad exigen un reparto equitativo de la carga social y financiera, no pudiendo recaer esta en un grupo social concreto por muy importantes que sean los intereses de otro grupo o de la comunidad en su conjunto (SSTEDH asuntos </w:t>
      </w:r>
      <w:r w:rsidRPr="00A8138F">
        <w:rPr>
          <w:i/>
        </w:rPr>
        <w:t>Hutten-Czapska c. Polonia</w:t>
      </w:r>
      <w:r>
        <w:t xml:space="preserve">, § 225, y </w:t>
      </w:r>
      <w:r w:rsidRPr="00A8138F">
        <w:rPr>
          <w:i/>
        </w:rPr>
        <w:t>Bittó y otros c. Eslovaquia</w:t>
      </w:r>
      <w:r>
        <w:t>, § 115), la modulación de rentas al inicio del contrato de arrendamiento a un propietario que tenga la condición de gran tenedor y a un propietario que no tenga tal condición y que no ha alquilado su vivienda en los últimos cinco años, son supuestos sustancialmente distintos.</w:t>
      </w:r>
    </w:p>
    <w:p w14:paraId="0C691BD8" w14:textId="77777777" w:rsidR="00A8138F" w:rsidRDefault="00A8138F" w:rsidP="00A8138F">
      <w:pPr>
        <w:pStyle w:val="TextoNormal"/>
      </w:pPr>
    </w:p>
    <w:p w14:paraId="1B2C8979" w14:textId="77777777" w:rsidR="00A8138F" w:rsidRDefault="00A8138F" w:rsidP="00A8138F">
      <w:pPr>
        <w:pStyle w:val="TextoNormal"/>
      </w:pPr>
      <w:r>
        <w:t>En cualquier caso, es preciso aclarar, que no corresponde aquí analizar la oportunidad de la medida por la que ha optado el legislador o hacer consideraciones sobre si existen otro tipo de políticas más eficaces que la implementada, pues el canon a emplear es exclusivamente normativo y en este caso consistirá en valorar si entre el medio empleado y la finalidad perseguida existe una relación razonable o un equilibrio justo; canon, este, que es abordado de forma tímida —y, entendemos, desacertada— por la sentencia de la que, respetuosamente, discrepamos.</w:t>
      </w:r>
    </w:p>
    <w:p w14:paraId="787B5570" w14:textId="77777777" w:rsidR="00A8138F" w:rsidRDefault="00A8138F" w:rsidP="00A8138F">
      <w:pPr>
        <w:pStyle w:val="TextoNormal"/>
      </w:pPr>
    </w:p>
    <w:p w14:paraId="73A611CB" w14:textId="77777777" w:rsidR="00A8138F" w:rsidRDefault="00A8138F" w:rsidP="00A8138F">
      <w:pPr>
        <w:pStyle w:val="TextoNormal"/>
      </w:pPr>
      <w:r>
        <w:t>Para aplicar el referido canon, resulta preciso hacer un juicio separado para cada uno de los supuestos que recoge el nuevo art. 17.7 LAU.</w:t>
      </w:r>
    </w:p>
    <w:p w14:paraId="03284FAF" w14:textId="77777777" w:rsidR="00A8138F" w:rsidRDefault="00A8138F" w:rsidP="00A8138F">
      <w:pPr>
        <w:pStyle w:val="TextoNormal"/>
      </w:pPr>
    </w:p>
    <w:p w14:paraId="31869CF4" w14:textId="77777777" w:rsidR="00A8138F" w:rsidRDefault="00A8138F" w:rsidP="00A8138F">
      <w:pPr>
        <w:pStyle w:val="TextoNormal"/>
      </w:pPr>
      <w:r>
        <w:t xml:space="preserve">(i) Comenzando por el supuesto referido a los grandes tenedores, conforme resulta del art. 3 k) de la Ley 12/2023, estos se caracterizan por ser personas físicas o jurídicas titulares de una suma considerable de inmuebles urbanos de uso residencial —al menos diez con carácter general, o cinco, si todas las viviendas se ubican en un entorno de mercado tensionado y así lo motiva la comunidad autónoma correspondiente—. La cantidad destacada de </w:t>
      </w:r>
      <w:r>
        <w:lastRenderedPageBreak/>
        <w:t>viviendas de que son titulares dota, pues, a estos sujetos de una importante capacidad para interferir en el mercado inmobiliario —particularmente si este queda acotado a una zona concreta— y, en consecuencia, para alterar la oferta y demanda de vivienda mediante la variación de los precios de esta, dando lugar a las prácticas de desocupación y retención especulativas que el legislador precisamente llama a combatir en interés de la comunidad, es decir, a aquellas actuaciones tendentes a obtener beneficios económicos aprovechando las fluctuaciones del mercado inmobiliario, en lugar de destinar la pluralidad de inmuebles de que son titulares a satisfacer la demanda de vivienda en atención a los intereses de la comunidad.</w:t>
      </w:r>
    </w:p>
    <w:p w14:paraId="77EDB266" w14:textId="77777777" w:rsidR="00A8138F" w:rsidRDefault="00A8138F" w:rsidP="00A8138F">
      <w:pPr>
        <w:pStyle w:val="TextoNormal"/>
      </w:pPr>
    </w:p>
    <w:p w14:paraId="36724A08" w14:textId="77777777" w:rsidR="00A8138F" w:rsidRDefault="00A8138F" w:rsidP="00A8138F">
      <w:pPr>
        <w:pStyle w:val="TextoNormal"/>
      </w:pPr>
      <w:r>
        <w:t>Es claro, por tanto, que la titularidad en una sola persona de un número tan considerable de viviendas permita concluir de forma razonable que la propiedad inmobiliaria sea concebida desde esta perspectiva como un producto de inversión, de ahí que en este tipo de sujetos suelan existir intenciones comerciales y maniobras dirigidas a optimizar los beneficios derivados de la mercantilización de los inmuebles de su propiedad.</w:t>
      </w:r>
    </w:p>
    <w:p w14:paraId="58B25D5B" w14:textId="77777777" w:rsidR="00A8138F" w:rsidRDefault="00A8138F" w:rsidP="00A8138F">
      <w:pPr>
        <w:pStyle w:val="TextoNormal"/>
      </w:pPr>
    </w:p>
    <w:p w14:paraId="0FECA896" w14:textId="77777777" w:rsidR="00A8138F" w:rsidRDefault="00A8138F" w:rsidP="00A8138F">
      <w:pPr>
        <w:pStyle w:val="TextoNormal"/>
      </w:pPr>
      <w:r>
        <w:t>Por otro lado, la acumulación de muchas propiedades en manos de unos pocos permite entender que los grandes tenedores gozan de un estatus de dominio importante en el mercado inmobiliario que justifica su sometimiento a una fiscalización más rigurosa; de ahí se explica la legítima opción del legislador de que dicha posición ventajosa de los grandes tenedores deba traducirse en la asunción de un mayor compromiso social.</w:t>
      </w:r>
    </w:p>
    <w:p w14:paraId="43031FCC" w14:textId="77777777" w:rsidR="00A8138F" w:rsidRDefault="00A8138F" w:rsidP="00A8138F">
      <w:pPr>
        <w:pStyle w:val="TextoNormal"/>
      </w:pPr>
    </w:p>
    <w:p w14:paraId="015696B8" w14:textId="77777777" w:rsidR="00A8138F" w:rsidRDefault="00A8138F" w:rsidP="00A8138F">
      <w:pPr>
        <w:pStyle w:val="TextoNormal"/>
      </w:pPr>
      <w:r>
        <w:t>Tales consideraciones permiten, en definitiva, llegar a la conclusión de que, en este caso, existe una relación razonable o un equilibrio justo entre la modulación de rentas y la finalidad de facilitar el acceso a una vivienda asequible, sin que pueda concluirse que sobre los grandes tenedores recaiga una carga que pueda ser calificada de desproporcionada o excesiva.</w:t>
      </w:r>
    </w:p>
    <w:p w14:paraId="5898BB49" w14:textId="77777777" w:rsidR="00A8138F" w:rsidRDefault="00A8138F" w:rsidP="00A8138F">
      <w:pPr>
        <w:pStyle w:val="TextoNormal"/>
      </w:pPr>
    </w:p>
    <w:p w14:paraId="4B708485" w14:textId="77777777" w:rsidR="00A8138F" w:rsidRDefault="00A8138F" w:rsidP="00A8138F">
      <w:pPr>
        <w:pStyle w:val="TextoNormal"/>
      </w:pPr>
      <w:r>
        <w:t>En consecuencia, no sería apreciable tacha de inconstitucionalidad en el párrafo primero del art. 17.7 LAU introducido por la disposición final primera apartado 3 de la Ley de vivienda.</w:t>
      </w:r>
    </w:p>
    <w:p w14:paraId="1AD64EF5" w14:textId="77777777" w:rsidR="00A8138F" w:rsidRDefault="00A8138F" w:rsidP="00A8138F">
      <w:pPr>
        <w:pStyle w:val="TextoNormal"/>
      </w:pPr>
    </w:p>
    <w:p w14:paraId="3EA006DA" w14:textId="77777777" w:rsidR="00A8138F" w:rsidRDefault="00A8138F" w:rsidP="00A8138F">
      <w:pPr>
        <w:pStyle w:val="TextoNormal"/>
      </w:pPr>
      <w:r>
        <w:t>(ii) Distinto es, en cambio, el caso de los propietarios que no son grandes tenedores y a los que la Ley 12/2023 impone igual medida restrictiva sobre la libertad de estipulación del precio del alquiler por el hecho de que la vivienda, encontrándose en una zona de mercado residencial tensionado, no haya estado sujeta a alquiler de vivienda en los últimos cinco años.</w:t>
      </w:r>
    </w:p>
    <w:p w14:paraId="03A511C2" w14:textId="77777777" w:rsidR="00A8138F" w:rsidRDefault="00A8138F" w:rsidP="00A8138F">
      <w:pPr>
        <w:pStyle w:val="TextoNormal"/>
      </w:pPr>
    </w:p>
    <w:p w14:paraId="34A001E9" w14:textId="77777777" w:rsidR="00A8138F" w:rsidRDefault="00A8138F" w:rsidP="00A8138F">
      <w:pPr>
        <w:pStyle w:val="TextoNormal"/>
      </w:pPr>
      <w:r>
        <w:t>En este caso estamos ante propietarios de una única vivienda o de un número de viviendas inferior al exigido para tener, conforme a la Ley 12/2023, la consideración de gran tenedor. Se trata de sujetos que no tienen, pues, la misma aptitud que los grandes tenedores para incidir en el mercado de vivienda, de modo que la vacancia de su propiedad, en el sentido de no aportarse esta al mercado de viviendas en alquiler, no tiene sobre dicho mercado una repercusión tan relevante como la descrita para los grandes tenedores, por lo que su influencia sobre la oferta y la demanda puede llegar a ser mínima, de ahí que su compromiso o responsabilidad de tipo social y económico sea también menor al no tener sus decisiones —sobre si alquilar o no la vivienda y fijarle una determinada renta— un efecto considerable en la comunidad.</w:t>
      </w:r>
    </w:p>
    <w:p w14:paraId="42BBD18F" w14:textId="77777777" w:rsidR="00A8138F" w:rsidRDefault="00A8138F" w:rsidP="00A8138F">
      <w:pPr>
        <w:pStyle w:val="TextoNormal"/>
      </w:pPr>
    </w:p>
    <w:p w14:paraId="4DF19432" w14:textId="77777777" w:rsidR="00A8138F" w:rsidRDefault="00A8138F" w:rsidP="00A8138F">
      <w:pPr>
        <w:pStyle w:val="TextoNormal"/>
      </w:pPr>
      <w:r>
        <w:t>Por otro lado, el legislador, al imponer una regulación uniforme a ambos supuestos y equipararlos, parece atribuir una intención igualmente especulativa al hecho de que un propietario no gran tenedor no haya puesto su vivienda en alquiler en los últimos cinco años, sin considerar las distintas situaciones que han podido motivar este hecho, algunas de las cuales contribuirían igualmente a la solución habitacional en que se concreta aquí la función social de la propiedad. Así, es posible que en ese tiempo la vivienda hubiese podido estar destinada a su propio uso, al de un familiar o al de una tercera persona en cesión, o haber estado sujeta la vivienda o estancias de esta a derechos de uso o habitación.</w:t>
      </w:r>
    </w:p>
    <w:p w14:paraId="71F32731" w14:textId="77777777" w:rsidR="00A8138F" w:rsidRDefault="00A8138F" w:rsidP="00A8138F">
      <w:pPr>
        <w:pStyle w:val="TextoNormal"/>
      </w:pPr>
    </w:p>
    <w:p w14:paraId="33BC4A36" w14:textId="77777777" w:rsidR="00A8138F" w:rsidRDefault="00A8138F" w:rsidP="00A8138F">
      <w:pPr>
        <w:pStyle w:val="TextoNormal"/>
      </w:pPr>
      <w:r>
        <w:t>Igualmente, podrían existir justas motivaciones para no haber alquilado la vivienda en el período fijado por el precepto y que harían difícil entender razonablemente proporcional la afectación que para estos propietarios supone la limitación del precio del alquiler en que consiste la medida objeto de examen. En este sentido, sería planteable el caso de que la vivienda afectada pudiera necesitar de mejoras o reparaciones para ser alquilable pero el propietario no dispusiera de los recursos económicos suficientes para llevarlas a efecto y cumplir también su obligación de mantener la vivienda en condiciones aptas de habitabilidad. Asimismo, la vivienda en cuestión podría encontrarse sometida a controversias sobre su propiedad o destino fruto de situaciones de separación o divorcio de los cónyuges propietarios, o ser de titularidad de una comunidad de herederos, coyunturas, estas, a menudo caracterizadas por dificultades en la gestión del bien en común y que, en lo que aquí interesa, harían comprensible que la vivienda no se hubiese puesto en alquiler en dicho período.</w:t>
      </w:r>
    </w:p>
    <w:p w14:paraId="646E0762" w14:textId="77777777" w:rsidR="00A8138F" w:rsidRDefault="00A8138F" w:rsidP="00A8138F">
      <w:pPr>
        <w:pStyle w:val="TextoNormal"/>
      </w:pPr>
    </w:p>
    <w:p w14:paraId="483AB742" w14:textId="77777777" w:rsidR="00A8138F" w:rsidRDefault="00A8138F" w:rsidP="00A8138F">
      <w:pPr>
        <w:pStyle w:val="TextoNormal"/>
      </w:pPr>
      <w:r>
        <w:t>Por último —aunque los supuestos hipotéticos pueden llegar a ser infinitos—, no sería tampoco descartable el que, no habiéndose alquilado la vivienda en los últimos cinco años, esta hubiese cambiado de titular en dicho período, pongamos, a modo de ejemplo, en el último de esos cinco años, y a pesar de ello el nuevo propietario que decide poner en alquiler la vivienda deba soportar los efectos —negativos— que la modulación de rentas supone para él aun siendo imputable realmente al anterior propietario la decisión de no haberla alquilado en los cuatro años anteriores.</w:t>
      </w:r>
    </w:p>
    <w:p w14:paraId="6A1362B5" w14:textId="77777777" w:rsidR="00A8138F" w:rsidRDefault="00A8138F" w:rsidP="00A8138F">
      <w:pPr>
        <w:pStyle w:val="TextoNormal"/>
      </w:pPr>
    </w:p>
    <w:p w14:paraId="11158309" w14:textId="77777777" w:rsidR="00A8138F" w:rsidRDefault="00A8138F" w:rsidP="00A8138F">
      <w:pPr>
        <w:pStyle w:val="TextoNormal"/>
      </w:pPr>
      <w:r>
        <w:t>Se trata, ciertamente, de supuestos particulares, pero también ilustrativos de la falta de justo equilibrio que la Ley 12/2023 introduce aquí entre las exigencias del interés general de la comunidad y las de protección de los derechos del individuo concretamente afectado por la regulación cuestionada.</w:t>
      </w:r>
    </w:p>
    <w:p w14:paraId="0EAF1C2A" w14:textId="77777777" w:rsidR="00A8138F" w:rsidRDefault="00A8138F" w:rsidP="00A8138F">
      <w:pPr>
        <w:pStyle w:val="TextoNormal"/>
      </w:pPr>
    </w:p>
    <w:p w14:paraId="44D6700C" w14:textId="77777777" w:rsidR="00A8138F" w:rsidRDefault="00A8138F" w:rsidP="00A8138F">
      <w:pPr>
        <w:pStyle w:val="TextoNormal"/>
      </w:pPr>
      <w:r>
        <w:t>Tomando en consideración lo anterior, el modo de asociar uno y otro supuesto, sin considerar en el segundo de ellos las legítimas motivaciones por las que un propietario no gran tenedor no ha destinado a alquiler su vivienda durante el tiempo indicado, y el hecho de que este tipo de propietarios tienen una influencia bastante menor sobre la disponibilidad y asequibilidad de la vivienda por las razones antes expuestas, permitiría concluir que una medida como la cuestionada sobre este tipo de propietarios no responde a razón, y, por tanto, no es razonable su relación con la finalidad pretendida por el legislador, afectando, en definitiva, al equilibrio justo que ha de existir entre uno y otro elemento.</w:t>
      </w:r>
    </w:p>
    <w:p w14:paraId="0BA256FA" w14:textId="77777777" w:rsidR="00A8138F" w:rsidRDefault="00A8138F" w:rsidP="00A8138F">
      <w:pPr>
        <w:pStyle w:val="TextoNormal"/>
      </w:pPr>
    </w:p>
    <w:p w14:paraId="23E106D2" w14:textId="77777777" w:rsidR="00A8138F" w:rsidRDefault="00A8138F" w:rsidP="00A8138F">
      <w:pPr>
        <w:pStyle w:val="TextoNormal"/>
      </w:pPr>
      <w:r>
        <w:t xml:space="preserve">Esta conclusión no queda afectada por el hecho de que el párrafo segundo del art. 17.7 LAU disponga que la limitación de rentas en este segundo supuesto procederá “siempre que así se recoja en la resolución del Ministerio de Transportes, Movilidad y Agenda Urbana, al </w:t>
      </w:r>
      <w:r>
        <w:lastRenderedPageBreak/>
        <w:t>haberse justificado dicha aplicación en la declaración de la zona de mercado residencial tensionado”, pues la habilitación para que así se acuerde por el referido ministerio proviene de la Ley 12/2023 y es esta la que queda constitucionalmente invalidada por los motivos que se han ido desgranando.</w:t>
      </w:r>
    </w:p>
    <w:p w14:paraId="4FBF055B" w14:textId="77777777" w:rsidR="00A8138F" w:rsidRDefault="00A8138F" w:rsidP="00A8138F">
      <w:pPr>
        <w:pStyle w:val="TextoNormal"/>
      </w:pPr>
    </w:p>
    <w:p w14:paraId="75BDD130" w14:textId="77777777" w:rsidR="00A8138F" w:rsidRDefault="00A8138F" w:rsidP="00A8138F">
      <w:pPr>
        <w:pStyle w:val="TextoNormal"/>
      </w:pPr>
      <w:r>
        <w:t>Consecuencia de todo ello es que el párrafo segundo del art. 17.7 LAU introducido por la disposición final primera apartado 3 de la Ley de vivienda debió haberse declarado inconstitucional y nulo por vulnerar el derecho de propiedad (art. 33 CE).</w:t>
      </w:r>
    </w:p>
    <w:p w14:paraId="72290D27" w14:textId="77777777" w:rsidR="00A8138F" w:rsidRDefault="00A8138F" w:rsidP="00A8138F">
      <w:pPr>
        <w:pStyle w:val="TextoNormal"/>
      </w:pPr>
    </w:p>
    <w:p w14:paraId="5D5403D0" w14:textId="77777777" w:rsidR="00A8138F" w:rsidRDefault="00A8138F" w:rsidP="00A8138F">
      <w:pPr>
        <w:pStyle w:val="TextoNormal"/>
      </w:pPr>
      <w:r>
        <w:t>5</w:t>
      </w:r>
      <w:r w:rsidRPr="00A8138F">
        <w:rPr>
          <w:i/>
        </w:rPr>
        <w:t xml:space="preserve">. Sobre la vulneración del art. 24 </w:t>
      </w:r>
      <w:r>
        <w:t>CE</w:t>
      </w:r>
    </w:p>
    <w:p w14:paraId="0CE00EC6" w14:textId="77777777" w:rsidR="00A8138F" w:rsidRDefault="00A8138F" w:rsidP="00A8138F">
      <w:pPr>
        <w:pStyle w:val="TextoNormal"/>
      </w:pPr>
    </w:p>
    <w:p w14:paraId="556A93AA" w14:textId="77777777" w:rsidR="00A8138F" w:rsidRDefault="00A8138F" w:rsidP="00A8138F">
      <w:pPr>
        <w:pStyle w:val="TextoNormal"/>
      </w:pPr>
      <w:r>
        <w:t xml:space="preserve">a) Por último, tal y como se ha anticipado al comienzo del presente voto particular, aunque estamos conformes con la declaración de inconstitucionalidad de los apartados 6 c) y 7 del art. 439 LEC, y de los apartados 1 y 2 del art. 655 </w:t>
      </w:r>
      <w:r w:rsidRPr="00A8138F">
        <w:rPr>
          <w:i/>
        </w:rPr>
        <w:t>bis</w:t>
      </w:r>
      <w:r>
        <w:t xml:space="preserve"> LEC, en la redacción dada por la disposición final quinta apartado segundo de la Ley 12/2023, nos sentimos en la necesidad de poner de manifiesto los argumentos que, a nuestro juicio, debían haber sostenido tal decisión pues, en la medida en que los preceptos legales que aquí se cuestionaban suponían la fijación de condiciones para el acceso a la justicia como para la ejecución de sentencias, debía examinarse, previamente a su razonabilidad y proporcionalidad, si se fijaban en la norma legal expresando esta todos y cada uno de los presupuestos y elementos de la restricción a fin de reunir todas las características indispensables como garantía de seguridad jurídica.</w:t>
      </w:r>
    </w:p>
    <w:p w14:paraId="16457DDC" w14:textId="77777777" w:rsidR="00A8138F" w:rsidRDefault="00A8138F" w:rsidP="00A8138F">
      <w:pPr>
        <w:pStyle w:val="TextoNormal"/>
      </w:pPr>
    </w:p>
    <w:p w14:paraId="0002AF2F" w14:textId="77777777" w:rsidR="00A8138F" w:rsidRDefault="00A8138F" w:rsidP="00A8138F">
      <w:pPr>
        <w:pStyle w:val="TextoNormal"/>
      </w:pPr>
      <w:r>
        <w:t>Al respecto, en la STC 76/2019, en que, con atino, se apoya la sentencia para afirmar que “por mandato expreso de la Constitución, toda injerencia estatal en el ámbito de los derechos fundamentales y las libertades públicas, ora incida directamente sobre su desarrollo (art. 81.1 CE), ora limite o condicione su ejercicio (art. 53.1 CE), precisa una habilitación legal”, se dijo también en su fundamento jurídico 5 d), con remisión a la STC 49/1999, de 5 de abril, FJ 4, que dicha reserva de ley que, con carácter general, somete la Constitución española la regulación de los derechos fundamentales y libertades públicas reconocidos en su título I, desempeña una doble función, pues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de 30 de marzo; 34/1995, de 6 de febrero; 47/1995, de 6 de febrero, y 96/1996, de 30 de mayo)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FJ 10)”.</w:t>
      </w:r>
    </w:p>
    <w:p w14:paraId="6C8E6E61" w14:textId="77777777" w:rsidR="00A8138F" w:rsidRDefault="00A8138F" w:rsidP="00A8138F">
      <w:pPr>
        <w:pStyle w:val="TextoNormal"/>
      </w:pPr>
    </w:p>
    <w:p w14:paraId="0471D497" w14:textId="77777777" w:rsidR="00A8138F" w:rsidRDefault="00A8138F" w:rsidP="00A8138F">
      <w:pPr>
        <w:pStyle w:val="TextoNormal"/>
      </w:pPr>
      <w:r>
        <w:t xml:space="preserve">Asimismo, en la precitada STC 76/2019, FJ 5 d), se declaró que “[e]sta doble función de la reserva de ley se traduce en una doble exigencia: por un lado, la necesaria intervención de la ley para habilitar la injerencia; y, por otro lado, esa norma legal ‘ha de reunir todas aquellas características indispensables como garantía de la seguridad jurídica’, esto es, ‘ha de expresar todos y cada uno de los presupuestos y condiciones de la intervención’ (STC 49/1999, FJ 4). En otras palabras, ‘no solo excluye apoderamientos a favor de las normas </w:t>
      </w:r>
      <w:r>
        <w:lastRenderedPageBreak/>
        <w:t>reglamentarias […], sino que también implica otras exigencias respecto al contenido de la ley que establece tales límites’ (STC 292/2000, FJ 15)”.</w:t>
      </w:r>
    </w:p>
    <w:p w14:paraId="6AA62B64" w14:textId="77777777" w:rsidR="00A8138F" w:rsidRDefault="00A8138F" w:rsidP="00A8138F">
      <w:pPr>
        <w:pStyle w:val="TextoNormal"/>
      </w:pPr>
    </w:p>
    <w:p w14:paraId="66B437FD" w14:textId="77777777" w:rsidR="00A8138F" w:rsidRDefault="00A8138F" w:rsidP="00A8138F">
      <w:pPr>
        <w:pStyle w:val="TextoNormal"/>
      </w:pPr>
      <w:r>
        <w:t>Por último, se destacó en la mencionada STC 76/2019, que la segunda exigencia citada constituye la dimensión cualitativa de la reserva de ley, que se concreta en las exigencias de previsibilidad y certeza de las medidas restrictivas en el ámbito de los derechos fundamentales, y se recordó, con remisión a la STC 292/2000, FJ 15,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 ‘al producirse este resultado, más allá de toda interpretación razonable, la ley ya no cumple su función de garantía del propio derecho fundamental que restringe, pues deja que en su lugar opere simplemente la voluntad de quien ha de aplicarla’”. Y concluimos afirmando que esta falta de certeza y previsibilidad en los propios límites “no sólo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FJ 15; 142/1993, de 22 de abril, FJ 4, y 341/1993, de 18 de noviembre, FJ 7)”.</w:t>
      </w:r>
    </w:p>
    <w:p w14:paraId="4086A7D3" w14:textId="77777777" w:rsidR="00A8138F" w:rsidRDefault="00A8138F" w:rsidP="00A8138F">
      <w:pPr>
        <w:pStyle w:val="TextoNormal"/>
      </w:pPr>
    </w:p>
    <w:p w14:paraId="619B3221" w14:textId="77777777" w:rsidR="00A8138F" w:rsidRDefault="00A8138F" w:rsidP="00A8138F">
      <w:pPr>
        <w:pStyle w:val="TextoNormal"/>
      </w:pPr>
      <w:r>
        <w:t xml:space="preserve">b) Expuesta la doctrina que antecede, entendemos que la sentencia debió partir de sus postulados a la hora de enjuiciar la constitucionalidad de los arts. 439.6 y 7 y 655 </w:t>
      </w:r>
      <w:r w:rsidRPr="00A8138F">
        <w:rPr>
          <w:i/>
        </w:rPr>
        <w:t>bis</w:t>
      </w:r>
      <w:r>
        <w:t xml:space="preserve"> LEC pues, como de ella se deriva, las limitaciones de los derechos fundamentales establecidas en una ley, aun teniendo un fundamento constitucional, pueden vulnerar la Constitución si adolecen de falta de certeza y previsibilidad en los propios límites que imponen y su modo de aplicación.</w:t>
      </w:r>
    </w:p>
    <w:p w14:paraId="1B7AE151" w14:textId="77777777" w:rsidR="00A8138F" w:rsidRDefault="00A8138F" w:rsidP="00A8138F">
      <w:pPr>
        <w:pStyle w:val="TextoNormal"/>
      </w:pPr>
    </w:p>
    <w:p w14:paraId="64807115" w14:textId="77777777" w:rsidR="00A8138F" w:rsidRDefault="00A8138F" w:rsidP="00A8138F">
      <w:pPr>
        <w:pStyle w:val="TextoNormal"/>
      </w:pPr>
      <w:r>
        <w:t xml:space="preserve">Para dilucidar en el presente caso si las previsiones introducidas en la disposición final quinta de la Ley 12/2023 que se impugnaba cumplían las debidas exigencias de certeza que han de presidir cualquier injerencia de un derecho fundamental, resultaba aconsejable efectuar un examen conjunto de los arts. 439.6 y 7 y 655 </w:t>
      </w:r>
      <w:r w:rsidRPr="00A8138F">
        <w:rPr>
          <w:i/>
        </w:rPr>
        <w:t>bis</w:t>
      </w:r>
      <w:r>
        <w:t xml:space="preserve"> LEC “dado el evidente paralelismo que el legislador ha querido plasmar en la redacción de uno y otro precepto, aun refiriéndose a ámbitos y fases procedimentales distintos”, tal y como, en atención al principio de proporcionalidad, realiza la sentencia.</w:t>
      </w:r>
    </w:p>
    <w:p w14:paraId="5EB17F5D" w14:textId="77777777" w:rsidR="00A8138F" w:rsidRDefault="00A8138F" w:rsidP="00A8138F">
      <w:pPr>
        <w:pStyle w:val="TextoNormal"/>
      </w:pPr>
    </w:p>
    <w:p w14:paraId="11C1B265" w14:textId="77777777" w:rsidR="00A8138F" w:rsidRDefault="00A8138F" w:rsidP="00A8138F">
      <w:pPr>
        <w:pStyle w:val="TextoNormal"/>
      </w:pPr>
      <w:r>
        <w:t xml:space="preserve">c) El art. 439.6 c) LEC, y su correlativo art. 655 </w:t>
      </w:r>
      <w:r w:rsidRPr="00A8138F">
        <w:rPr>
          <w:i/>
        </w:rPr>
        <w:t>bis</w:t>
      </w:r>
      <w:r>
        <w:t>.1 LEC exigen, para la admisión de las demandas de recuperación de la posesión y para proseguir la vía de apremio de la ejecución dineraria —en los concretos supuestos que en ellos se prevén—, respectivamente, que se especifique si la parte demandada o ejecutada se encuentra o no en situación de vulnerabilidad económica, para cuya acreditación los respectivos preceptos arbitran iguales alternativas: la forma principal de probar dicho extremo lo será mediante la aportación de documento acreditativo, precisándose respecto de este que los órganos encargados de su emisión lo serán “los servicios de las administraciones autonómicas y locales competentes en materia de vivienda, asistencia social, evaluación e información de situaciones de necesidad so</w:t>
      </w:r>
      <w:r>
        <w:lastRenderedPageBreak/>
        <w:t>cial y atención inmediata a personas en situación o riesgo de exclusión social”, y determinando el aspecto temporal relativo al plazo de vigencia de dicho documento —no superior a tres meses—, estableciendo finalmente que aquel ha de emitirse previo consentimiento de la persona ocupante de la vivienda o de la persona ejecutada, según el caso.</w:t>
      </w:r>
    </w:p>
    <w:p w14:paraId="53D1F60B" w14:textId="77777777" w:rsidR="00A8138F" w:rsidRDefault="00A8138F" w:rsidP="00A8138F">
      <w:pPr>
        <w:pStyle w:val="TextoNormal"/>
      </w:pPr>
    </w:p>
    <w:p w14:paraId="4209424D" w14:textId="77777777" w:rsidR="00A8138F" w:rsidRDefault="00A8138F" w:rsidP="00A8138F">
      <w:pPr>
        <w:pStyle w:val="TextoNormal"/>
      </w:pPr>
      <w:r>
        <w:t>Para el caso de que esta última no consienta la realización de un estudio sobre su posible situación de vulnerabilidad económica, el precepto contempla la posibilidad de acreditar el extremo que aquí se interesa mediante documento acreditativo de los servicios competentes que indiquen que dicha persona no ha prestado su consentimiento, determinando, de nuevo, que este otro documento no podrá tener una vigencia superior a tres meses.</w:t>
      </w:r>
    </w:p>
    <w:p w14:paraId="7BFB65C9" w14:textId="77777777" w:rsidR="00A8138F" w:rsidRDefault="00A8138F" w:rsidP="00A8138F">
      <w:pPr>
        <w:pStyle w:val="TextoNormal"/>
      </w:pPr>
    </w:p>
    <w:p w14:paraId="2B08EB9E" w14:textId="77777777" w:rsidR="00A8138F" w:rsidRDefault="00A8138F" w:rsidP="00A8138F">
      <w:pPr>
        <w:pStyle w:val="TextoNormal"/>
      </w:pPr>
      <w:r>
        <w:t xml:space="preserve">Finalmente, aunque en un orden distinto, se prevé una última modalidad de acreditación de la situación de vulnerabilidad económica de la parte demandada-ejecutada, al establecerse que tal circunstancia podrá también acreditarse mediante declaración responsable de la parte actora de que ha acudido a los servicios indicados sin que su solicitud de emisión del referido documento acreditativo “hubiera sido atendida o se hubieran iniciado los trámites correspondientes”, junto con justificante acreditativo de dicha solicitud, y en atención a los plazos expresamente previstos en ambos preceptos: haber acudido a los servicios competentes para la emisión del documento acreditativo en un plazo máximo de cinco meses de antelación a la presentación de la demanda (art. 439.6 LEC) o a la presentación de la solicitud de inicio de la vía de apremio (art. 655 </w:t>
      </w:r>
      <w:r w:rsidRPr="00A8138F">
        <w:rPr>
          <w:i/>
        </w:rPr>
        <w:t>bis</w:t>
      </w:r>
      <w:r>
        <w:t>.1 LEC), y haber transcurrido dos meses desde que se solicitó el documento acreditativo sin que la solicitud fuera atendida o se iniciaran los oportunos trámites.</w:t>
      </w:r>
    </w:p>
    <w:p w14:paraId="15C81C26" w14:textId="77777777" w:rsidR="00A8138F" w:rsidRDefault="00A8138F" w:rsidP="00A8138F">
      <w:pPr>
        <w:pStyle w:val="TextoNormal"/>
      </w:pPr>
    </w:p>
    <w:p w14:paraId="6791A59B" w14:textId="77777777" w:rsidR="00A8138F" w:rsidRDefault="00A8138F" w:rsidP="00A8138F">
      <w:pPr>
        <w:pStyle w:val="TextoNormal"/>
      </w:pPr>
      <w:r>
        <w:t xml:space="preserve">d) Expuesto lo anterior, puede afirmarse que la regulación contenida en estos apartados, si bien es susceptible de alcanzar un mayor grado de exhaustividad en la fijación de los presupuestos y condiciones de la limitación que suponen al ejercicio de la tutela judicial efectiva, no puede decirse que genere incertidumbre en el ciudadano respecto de cuál vaya a ser la actuación del poder público en la aplicación de tales previsiones. Es decir, de las respectivas regulaciones contenidas en los arts. 439.6 c) y 655 </w:t>
      </w:r>
      <w:r w:rsidRPr="00A8138F">
        <w:rPr>
          <w:i/>
        </w:rPr>
        <w:t>bis</w:t>
      </w:r>
      <w:r>
        <w:t>.1 LEC es razonablemente previsible para la parte actora que la demanda, en el primer caso, no se admitirá, y el procedimiento de apremio, en el segundo, no se iniciará, si no se acredita el requisito de la situación de vulnerabilidad económica de la parte contraria, para lo cual el legislador prevé distintas alternativas, establece una definición de los órganos a que en su caso corresponde solicitar el respectivo documento y fija los plazos de vigencia de estos.</w:t>
      </w:r>
    </w:p>
    <w:p w14:paraId="48876F7D" w14:textId="77777777" w:rsidR="00A8138F" w:rsidRDefault="00A8138F" w:rsidP="00A8138F">
      <w:pPr>
        <w:pStyle w:val="TextoNormal"/>
      </w:pPr>
    </w:p>
    <w:p w14:paraId="54821521" w14:textId="77777777" w:rsidR="00A8138F" w:rsidRDefault="00A8138F" w:rsidP="00A8138F">
      <w:pPr>
        <w:pStyle w:val="TextoNormal"/>
      </w:pPr>
      <w:r>
        <w:t xml:space="preserve">e) En cambio, no puede decirse lo mismo respecto del apartado 7 del art.439 LEC y su correlativo apartado 2 del art. 655 </w:t>
      </w:r>
      <w:r w:rsidRPr="00A8138F">
        <w:rPr>
          <w:i/>
        </w:rPr>
        <w:t>bis</w:t>
      </w:r>
      <w:r>
        <w:t xml:space="preserve"> LEC. En estos apartados lo que se prevé es que no se admitirán las demandas en los supuestos de los números 1, 2, 4 y 7 del art. 250.1 LEC, o no se iniciará la vía de apremio, respectivamente, si la parte actora —que ha de reunir los requisitos que en cada caso se prevén— no acredita que “se ha sometido al procedimiento de conciliación o intermediación que a tal efecto establezcan las administraciones públicas competentes, en base al análisis de las circunstancias de ambas partes y de las posibles ayudas y subvenciones existentes en materia de vivienda conforme a lo dispuesto en la legislación y normativa autonómica en materia de vivienda”.</w:t>
      </w:r>
    </w:p>
    <w:p w14:paraId="26CFCB81" w14:textId="77777777" w:rsidR="00A8138F" w:rsidRDefault="00A8138F" w:rsidP="00A8138F">
      <w:pPr>
        <w:pStyle w:val="TextoNormal"/>
      </w:pPr>
    </w:p>
    <w:p w14:paraId="5C0657BF" w14:textId="77777777" w:rsidR="00A8138F" w:rsidRDefault="00A8138F" w:rsidP="00A8138F">
      <w:pPr>
        <w:pStyle w:val="TextoNormal"/>
      </w:pPr>
      <w:r>
        <w:t>Aun cuando para acreditar dicho extremo los respectivos preceptos prevén nuevamente diversas fórmulas —declaración responsable de la parte actora de haber acudido a los ser</w:t>
      </w:r>
      <w:r>
        <w:lastRenderedPageBreak/>
        <w:t>vicios competentes sin haber estos atendido su solicitud o iniciado la pertinente tramitación en los plazos que se precisan, o el documento acreditativo de tales servicios en que se indique el resultado del procedimiento de conciliación o intermediación, con constancia de la identidad de las partes, el objeto de la controversia y si alguna de ellas ha rehusado participar en aquel—, el déficit de certeza y concreción que se aprecia no lo es en los medios de acreditación sino en la circunstancia misma a acreditar.</w:t>
      </w:r>
    </w:p>
    <w:p w14:paraId="7DDB127E" w14:textId="77777777" w:rsidR="00A8138F" w:rsidRDefault="00A8138F" w:rsidP="00A8138F">
      <w:pPr>
        <w:pStyle w:val="TextoNormal"/>
      </w:pPr>
    </w:p>
    <w:p w14:paraId="23C2E733" w14:textId="77777777" w:rsidR="00A8138F" w:rsidRDefault="00A8138F" w:rsidP="00A8138F">
      <w:pPr>
        <w:pStyle w:val="TextoNormal"/>
      </w:pPr>
      <w:r>
        <w:t>Así, la exigencia a la parte actora, para que su demanda pueda ser admitida o para iniciarse la vía de apremio, de que acredite haberse “sometido al procedimiento de conciliación o intermediación que a tal efecto establezcan las administraciones públicas”, sin precisar la naturaleza, caracteres, plazo de duración o los efectos de dichos procedimientos de conciliación o intermediación, sino delegando en las administraciones públicas la concreción de tales elementos, adolece de una indeterminación incompatible con la debida garantía de seguridad jurídica que se ha de predicar de toda regulación legal limitativa del ejercicio de un derecho fundamental.</w:t>
      </w:r>
    </w:p>
    <w:p w14:paraId="4C51DE26" w14:textId="77777777" w:rsidR="00A8138F" w:rsidRDefault="00A8138F" w:rsidP="00A8138F">
      <w:pPr>
        <w:pStyle w:val="TextoNormal"/>
      </w:pPr>
    </w:p>
    <w:p w14:paraId="353D434F" w14:textId="77777777" w:rsidR="00A8138F" w:rsidRDefault="00A8138F" w:rsidP="00A8138F">
      <w:pPr>
        <w:pStyle w:val="TextoNormal"/>
      </w:pPr>
      <w:r>
        <w:t>Se trata de elementos indispensables cuya omisión impide al justiciable poder formar una expectativa razonablemente fundada sobre qué ocurrirá con la tutela judicial que persigue, al quedar esta condicionada al sometimiento a un procedimiento previo cuyos rasgos definitorios se desconocen como consecuencia de haber trasladado el legislador a la administración “el desempeño de una función que solo a él compete en materia de derechos fundamentales en virtud de la reserva de ley del art. 53.1 CE, esto es, establecer claramente el límite y su regulación” [SSTC 292/2000, FJ 16, y 76/2019, FJ 7 a)].</w:t>
      </w:r>
    </w:p>
    <w:p w14:paraId="1E7CF0D4" w14:textId="77777777" w:rsidR="00A8138F" w:rsidRDefault="00A8138F" w:rsidP="00A8138F">
      <w:pPr>
        <w:pStyle w:val="TextoNormal"/>
      </w:pPr>
    </w:p>
    <w:p w14:paraId="688209CD" w14:textId="77777777" w:rsidR="00A8138F" w:rsidRDefault="00A8138F" w:rsidP="00A8138F">
      <w:pPr>
        <w:pStyle w:val="TextoNormal"/>
      </w:pPr>
      <w:r>
        <w:t>Prueba de ello es que la previsión contenida en los preceptos legales examinados, en lo que al referido procedimiento de conciliación o intermediación se refiere, ha encontrado su desarrollo en el ámbito autonómico en disposiciones de rango infralegal que regulan los aspectos relativos a la iniciación, desarrollo y terminación de dichos procedimientos. Es el caso de Castilla-La Mancha y País Vasco. En el primer caso, se ha aprobado la Orden 95/2024, de 3 de junio, de la Consejería de Fomento, por la que se regula la competencia y el procedimiento de conciliación previa a los procesos judiciales de desahucio, recuperación de la posesión y ejecución hipotecaria de personas en situación de vulnerabilidad económica, previsto en la Ley 1/2000, de 7 de enero, de enjuiciamiento civil, en la redacción dada por la Ley 12/2023, de 24 de mayo, por el derecho a la vivienda (“Diario Oficial de Castilla-La Mancha” de 13 de junio de 2024). En el segundo, se trata de la Instrucción 1/2024, del viceconsejero de Vivienda, sobre el procedimiento de conciliación o intermediación previsto en la Ley 12/2023, de 24 de mayo, por el derecho a la vivienda, que deja sin efecto la previa Instrucción 2/2023, del viceconsejero de Vivienda, sobre el procedimiento de conciliación o intermediación previsto en la Ley 12/2023, de 24 de mayo, por el derecho a la vivienda.</w:t>
      </w:r>
    </w:p>
    <w:p w14:paraId="387EFC6A" w14:textId="77777777" w:rsidR="00A8138F" w:rsidRDefault="00A8138F" w:rsidP="00A8138F">
      <w:pPr>
        <w:pStyle w:val="TextoNormal"/>
      </w:pPr>
    </w:p>
    <w:p w14:paraId="7D51CB8B" w14:textId="77777777" w:rsidR="00A8138F" w:rsidRDefault="00A8138F" w:rsidP="00A8138F">
      <w:pPr>
        <w:pStyle w:val="TextoNormal"/>
      </w:pPr>
      <w:r>
        <w:t xml:space="preserve">f) A la vista de ello no podemos sino apreciar que el legislador se ha limitado a concretar que dicho procedimiento de conciliación o intermediación se establecerá por las administraciones públicas tomando en consideración las circunstancias de ambas partes y las posibles ayudas y subvenciones existentes en materia de vivienda de acuerdo con la legislación y normativa autonómica en esta materia, poniendo, así, el énfasis en aspectos que guardan relación con la finalidad que el legislador ha perseguido mediante la instauración de este tipo de procedimientos, esto es, facilitar que los servicios públicos competentes puedan dar </w:t>
      </w:r>
      <w:r>
        <w:lastRenderedPageBreak/>
        <w:t xml:space="preserve">la oportuna atención social a las personas ocupantes de las viviendas afectadas por la demanda de recuperación posesoria (art. 439.6 LEC) o por la subasta (art. 655 </w:t>
      </w:r>
      <w:r w:rsidRPr="00A8138F">
        <w:rPr>
          <w:i/>
        </w:rPr>
        <w:t>bis</w:t>
      </w:r>
      <w:r>
        <w:t>.2 LEC); pero al constituir dicho procedimiento de conciliación o intermediación un requisito para la iniciación o prosecución del correspondiente proceso judicial, le era exigible al legislador la determinación de aquellos aspectos de especial incidencia en la efectividad de la tutela judicial afectada, o dicho en otras palabras, del marco necesario de predictibilidad para que el destinatario de la norma, en este caso, quien pretende accionar la justicia, pueda formarse una previsión razonable sobre qué ocurrirá con la tutela judicial que persigue al estar esta condicionada a un procedimiento de conciliación o intermediación respecto del que, no solo se desconocen su duración y efectos, sino incluso si el procedimiento mismo va a ser establecido por las “administraciones públicas competentes” y, en su caso, cuándo; pues respecto de este último aspecto, es decir, el cuándo, el legislador ha delegado incluso en las administraciones públicas la determinación del momento en que vayan a implementarse los referidos procedimientos —pues no hay disposición alguna en la Ley de vivienda que así lo prevea—, mientras que, por el contrario, el requisito en sí de acreditar haberse sometido a dichos procedimientos es exigible desde el mismo momento de entrada en vigor de la Ley, esto es, el día siguiente al de su publicación, conforme establece la disposición final novena de esta.</w:t>
      </w:r>
    </w:p>
    <w:p w14:paraId="387CD1B9" w14:textId="77777777" w:rsidR="00A8138F" w:rsidRDefault="00A8138F" w:rsidP="00A8138F">
      <w:pPr>
        <w:pStyle w:val="TextoNormal"/>
      </w:pPr>
    </w:p>
    <w:p w14:paraId="05B8F78C" w14:textId="77777777" w:rsidR="00A8138F" w:rsidRDefault="00A8138F" w:rsidP="00A8138F">
      <w:pPr>
        <w:pStyle w:val="TextoNormal"/>
      </w:pPr>
      <w:r>
        <w:t>De todo lo anterior, es menester concluir que el legislador ha renunciado a expresar los presupuestos y condiciones de la limitación al ejercicio del derecho concernido, apoderando a la administración para hacerlo, dejando así al ciudadano en una situación de absoluta incertidumbre. Con tal modo de proceder, “la ley ya no cumple su función de garantía del propio derecho fundamental que restringe, pues deja que en su lugar opere simplemente la voluntad de quien ha de aplicarla” (SSTC 292/2000, FJ 15, y 76/2019 FJ 5).</w:t>
      </w:r>
    </w:p>
    <w:p w14:paraId="4A65E96F" w14:textId="77777777" w:rsidR="00A8138F" w:rsidRDefault="00A8138F" w:rsidP="00A8138F">
      <w:pPr>
        <w:pStyle w:val="TextoNormal"/>
      </w:pPr>
    </w:p>
    <w:p w14:paraId="46D644D9" w14:textId="77777777" w:rsidR="00A8138F" w:rsidRDefault="00A8138F" w:rsidP="00A8138F">
      <w:pPr>
        <w:pStyle w:val="TextoNormal"/>
      </w:pPr>
      <w:r>
        <w:t xml:space="preserve">Consecuencia de todo ello, es que la sentencia debía haber reputado primeramente, por estos motivos, contrarios al derecho a la tutela judicial efectiva (art. 24.1 CE) y al principio de seguridad jurídica (art. 9.3 CE), en conexión con el art. 53.1 CE, el primer párrafo de sendos arts. 439.7 y 655 </w:t>
      </w:r>
      <w:r w:rsidRPr="00A8138F">
        <w:rPr>
          <w:i/>
        </w:rPr>
        <w:t>bis</w:t>
      </w:r>
      <w:r>
        <w:t>.2 LEC, que prevén el requisito de acreditar haberse sometido al referido procedimiento de conciliación o intermediación. Dicha inconstitucionalidad sería extensible a los párrafos sucesivos de aquellos apartados en la medida en que regulan la forma de acreditar este requisito, quedando, por ello, desprovistos de toda utilidad práctica.</w:t>
      </w:r>
    </w:p>
    <w:p w14:paraId="42E24CB0" w14:textId="77777777" w:rsidR="00A8138F" w:rsidRDefault="00A8138F" w:rsidP="00A8138F">
      <w:pPr>
        <w:pStyle w:val="TextoNormal"/>
      </w:pPr>
    </w:p>
    <w:p w14:paraId="0A1A0878" w14:textId="77777777" w:rsidR="00A8138F" w:rsidRDefault="00A8138F" w:rsidP="00A8138F">
      <w:pPr>
        <w:pStyle w:val="TextoNormal"/>
      </w:pPr>
      <w:r>
        <w:t xml:space="preserve">g) Efectuado este primer análisis, procedía, ahora sí, determinar si la limitación al derecho a la tutela judicial efectiva resultaba razonable y proporcional en relación con el propósito del legislador; quedando este segundo examen acotado, como lógica consecuencia del resultado obtenido anteriormente, al análisis del apartado 6 c) del art. 439 LEC y del apartado 1 del art. 655 </w:t>
      </w:r>
      <w:r w:rsidRPr="00A8138F">
        <w:rPr>
          <w:i/>
        </w:rPr>
        <w:t>bis</w:t>
      </w:r>
      <w:r>
        <w:t xml:space="preserve"> LEC que se refieren al requisito de la acreditación de la situación de vulnerabilidad económica de la parte demandada o ejecutada, respectivamente, y que son los que en la sentencia de la que discrepamos se declaran inconstitucionales por no superar el canon de proporcionalidad de acuerdo con un razonamiento que compartimos.</w:t>
      </w:r>
    </w:p>
    <w:p w14:paraId="1FBE53C7" w14:textId="77777777" w:rsidR="00A8138F" w:rsidRDefault="00A8138F" w:rsidP="00A8138F">
      <w:pPr>
        <w:pStyle w:val="TextoNormal"/>
      </w:pPr>
    </w:p>
    <w:p w14:paraId="0885B531" w14:textId="77777777" w:rsidR="00A8138F" w:rsidRDefault="00A8138F" w:rsidP="00A8138F">
      <w:pPr>
        <w:pStyle w:val="TextoNormal"/>
      </w:pPr>
      <w:r>
        <w:t xml:space="preserve">h) Finalmente, consecuencia de lo expuesto es que la extensión de declaración de inconstitucionalidad y nulidad por conexión o consecuencia (art. 39.1 LOTC) a preceptos no cuestionados, que la sentencia limita en su fundamento jurídico 7 a “la última parte del apartado 2 del art. 685 LEC en la redacción dada por el apartado 8 de la disposición final quinta de la Ley 12/2023”, debió haber alcanzado, en realidad, también a otros preceptos de la Ley </w:t>
      </w:r>
      <w:r>
        <w:lastRenderedPageBreak/>
        <w:t xml:space="preserve">que establecen, al igual que los arts. 439.7 y 655 </w:t>
      </w:r>
      <w:r w:rsidRPr="00A8138F">
        <w:rPr>
          <w:i/>
        </w:rPr>
        <w:t>bis</w:t>
      </w:r>
      <w:r>
        <w:t>.2 LEC, un requisito para la iniciación o prosecución del correspondiente proceso judicial que, aun estando previsto en una norma de rango legal y gozar de un fin constitucionalmente legítimo, adolece de falta de certeza y previsibilidad en el propio límite que impone y su modo de aplicación; concretamente por imponer a la correspondiente parte actora que acredite someterse “al procedimiento de conciliación o intermediación que a tal efecto establezcan las administraciones públicas competentes, en base al análisis de las circunstancias de ambas partes y de las posibles ayudas y subvenciones existentes conforme a la legislación y normativa autonómica en materia de vivienda”.</w:t>
      </w:r>
    </w:p>
    <w:p w14:paraId="5C951D5D" w14:textId="77777777" w:rsidR="00A8138F" w:rsidRDefault="00A8138F" w:rsidP="00A8138F">
      <w:pPr>
        <w:pStyle w:val="TextoNormal"/>
      </w:pPr>
    </w:p>
    <w:p w14:paraId="39823FB7" w14:textId="77777777" w:rsidR="00A8138F" w:rsidRDefault="00A8138F" w:rsidP="00A8138F">
      <w:pPr>
        <w:pStyle w:val="TextoNormal"/>
      </w:pPr>
      <w:r>
        <w:t>Así ocurre, en particular, con la disposición transitoria tercera de la Ley 12/2023 y con el inciso del apartado 2 del art. 685 LEC —según redacción dada por la disposición final quinta, apartado octavo, de la Ley 12/2023— que prevén ese mismo requisito, y que por las razones que se han expuesto debían haber sido igualmente declarados inconstitucionales y nulos por conexión o consecuencia (art. 39.1 LOTC).</w:t>
      </w:r>
    </w:p>
    <w:p w14:paraId="44329CF8" w14:textId="77777777" w:rsidR="00A8138F" w:rsidRDefault="00A8138F" w:rsidP="00A8138F">
      <w:pPr>
        <w:pStyle w:val="TextoNormal"/>
      </w:pPr>
    </w:p>
    <w:p w14:paraId="4F03448A" w14:textId="77777777" w:rsidR="00A8138F" w:rsidRDefault="00A8138F" w:rsidP="00A8138F">
      <w:pPr>
        <w:pStyle w:val="TextoNormal"/>
      </w:pPr>
      <w:r>
        <w:t>En conclusión, consideramos que la sentencia debió haber apreciado —y en el fallo haber declarado— que el art. 15.1 c) de la Ley 12/2023 no vulnera el principio de autonomía local (arts. 137 y 140 CE) en tanto se interprete de conformidad con los razonamientos que acabamos de expresar; que son inconstitucionales y nulas las siguientes previsiones del art. 31: en el apartado 1, letra b), el inciso “precio total y conceptos en este incluidos, así como las condiciones de financiación o pago que, en su caso, pudieran establecerse”; en la letra c) desde “entre ellas” hasta el final de la letra, incluyendo la totalidad de los subapartados 1 a 7; en la letra d) el inciso “la identificación registral de la finca, con la referencia de las cargas, gravámenes y afecciones de cualquier naturaleza, y la cuota de participación fijada en el título de propiedad”; las letras f) y g), y el apartado 2; el párrafo segundo del art. 17.7 LAU; la disposición transitoria tercera de la Ley y el inciso del apartado 2 del art. 685 LEC —según redacción dada por la disposición final quinta apartado octavo de la Ley 12/2023—, al que se ha hecho referencia.</w:t>
      </w:r>
    </w:p>
    <w:p w14:paraId="1F037312" w14:textId="77777777" w:rsidR="00A8138F" w:rsidRDefault="00A8138F" w:rsidP="00A8138F">
      <w:pPr>
        <w:pStyle w:val="TextoNormal"/>
      </w:pPr>
    </w:p>
    <w:p w14:paraId="6ED83C6B" w14:textId="77777777" w:rsidR="00A8138F" w:rsidRDefault="00A8138F" w:rsidP="00A8138F">
      <w:pPr>
        <w:pStyle w:val="TextoNormal"/>
      </w:pPr>
      <w:r>
        <w:t>Y en este sentido emitimos nuestro voto.</w:t>
      </w:r>
    </w:p>
    <w:p w14:paraId="34136AEE" w14:textId="77777777" w:rsidR="00A8138F" w:rsidRDefault="00A8138F" w:rsidP="00A8138F">
      <w:pPr>
        <w:pStyle w:val="TextoNormal"/>
      </w:pPr>
    </w:p>
    <w:p w14:paraId="50403443" w14:textId="67F9F151" w:rsidR="00A8138F" w:rsidRDefault="00A8138F" w:rsidP="00A8138F">
      <w:pPr>
        <w:pStyle w:val="TextoNormal"/>
      </w:pPr>
      <w:r>
        <w:t>Madrid, a veintinueve de enero de dos mil veinticinco.</w:t>
      </w:r>
    </w:p>
    <w:p w14:paraId="273986F2" w14:textId="64FACA67" w:rsidR="00A8138F" w:rsidRDefault="00A8138F">
      <w:pPr>
        <w:spacing w:after="160" w:line="278" w:lineRule="auto"/>
        <w:rPr>
          <w:rFonts w:ascii="Times New Roman" w:eastAsia="Times New Roman" w:hAnsi="Times New Roman" w:cs="Times New Roman"/>
          <w:sz w:val="24"/>
          <w:szCs w:val="24"/>
          <w:lang w:eastAsia="es-ES"/>
        </w:rPr>
      </w:pPr>
      <w:r>
        <w:br w:type="page"/>
      </w:r>
    </w:p>
    <w:p w14:paraId="7EF75AB7" w14:textId="77777777" w:rsidR="00A8138F" w:rsidRDefault="00A8138F" w:rsidP="00A8138F">
      <w:pPr>
        <w:pStyle w:val="TtuloResolucin"/>
      </w:pPr>
      <w:bookmarkStart w:id="29" w:name="SENTENCIA_2025_27"/>
      <w:r>
        <w:lastRenderedPageBreak/>
        <w:t>SENTENCIA 27/2025, de 29 de enero de 2025</w:t>
      </w:r>
    </w:p>
    <w:bookmarkEnd w:id="29"/>
    <w:p w14:paraId="78129475" w14:textId="77777777" w:rsidR="00A8138F" w:rsidRDefault="00A8138F" w:rsidP="00A8138F">
      <w:pPr>
        <w:pStyle w:val="TtuloResolucin"/>
      </w:pPr>
      <w:r>
        <w:t>Pleno</w:t>
      </w:r>
    </w:p>
    <w:p w14:paraId="5CDA0BD5" w14:textId="77777777" w:rsidR="00A8138F" w:rsidRDefault="00A8138F" w:rsidP="00A8138F">
      <w:pPr>
        <w:pStyle w:val="TtuloBOE"/>
      </w:pPr>
      <w:r>
        <w:t>(BOE núm. 51, de 28 de febrero de 2025)</w:t>
      </w:r>
    </w:p>
    <w:p w14:paraId="59987E26" w14:textId="77777777" w:rsidR="00A8138F" w:rsidRDefault="00A8138F" w:rsidP="00A8138F">
      <w:pPr>
        <w:pStyle w:val="TextoNormalCentrado"/>
      </w:pPr>
      <w:r>
        <w:t>ECLI:ES:TC:2025:27</w:t>
      </w:r>
    </w:p>
    <w:p w14:paraId="3A32789D" w14:textId="3D49F714" w:rsidR="00A8138F" w:rsidRDefault="00A8138F" w:rsidP="00A8138F">
      <w:pPr>
        <w:pStyle w:val="TextoNormalCentrado"/>
      </w:pPr>
    </w:p>
    <w:p w14:paraId="40B7BE27" w14:textId="77777777" w:rsidR="00A8138F" w:rsidRDefault="00A8138F" w:rsidP="00A8138F">
      <w:pPr>
        <w:pStyle w:val="SntesisDescriptiva"/>
      </w:pPr>
      <w:r>
        <w:t>Cuestión de inconstitucionalidad 2796-2024. Planteada por la Sección Segunda de la Sala de lo Contencioso-Administrativo del Tribunal Superior de Justicia de Castilla-La Mancha en relación con las disposiciones adicionales sexta y octava de la Ley 20/2021, de 28 de diciembre, de medidas urgentes para la reducción de la temporalidad en el empleo público.</w:t>
      </w:r>
    </w:p>
    <w:p w14:paraId="2C4596A0" w14:textId="7B5681A0" w:rsidR="00A8138F" w:rsidRDefault="00A8138F" w:rsidP="00A8138F">
      <w:pPr>
        <w:pStyle w:val="SntesisDescriptiva"/>
      </w:pPr>
    </w:p>
    <w:p w14:paraId="56CFC859" w14:textId="77777777" w:rsidR="00A8138F" w:rsidRDefault="00A8138F" w:rsidP="00A8138F">
      <w:pPr>
        <w:pStyle w:val="SntesisAnaltica"/>
      </w:pPr>
      <w:r>
        <w:t>Derecho de acceso a las funciones públicas y competencias en materia de función pública: inadmisión de la cuestión de inconstitucionalidad por incorrecta formulación del juicio de aplicabilidad.</w:t>
      </w:r>
    </w:p>
    <w:p w14:paraId="32BF8A92" w14:textId="7933E471" w:rsidR="00A8138F" w:rsidRDefault="00A8138F" w:rsidP="00A8138F">
      <w:pPr>
        <w:pStyle w:val="SntesisAnaltica"/>
      </w:pPr>
    </w:p>
    <w:p w14:paraId="7E2D22CC" w14:textId="3208D77C" w:rsidR="00A8138F" w:rsidRDefault="00A8138F" w:rsidP="00A8138F">
      <w:pPr>
        <w:pStyle w:val="Extracto"/>
      </w:pPr>
      <w:r>
        <w:t>1.</w:t>
      </w:r>
      <w:r>
        <w:tab/>
        <w:t>Son condiciones procesales de la cuestión de inconstitucionalidad que los preceptos cuestionados resulten “aplicables al caso” (juicio de aplicabilidad) y que de su “validez dependa el fallo” (juicio de relevancia), tal y como exigen los arts. 163 CE y 35 LOTC (STC 126/2022) [FJ 2].</w:t>
      </w:r>
    </w:p>
    <w:p w14:paraId="56DC0F2E" w14:textId="77777777" w:rsidR="00A8138F" w:rsidRDefault="00A8138F" w:rsidP="00A8138F">
      <w:pPr>
        <w:pStyle w:val="Extracto"/>
      </w:pPr>
    </w:p>
    <w:p w14:paraId="3E08B59B" w14:textId="7ED0CDA8" w:rsidR="00A8138F" w:rsidRDefault="00A8138F" w:rsidP="00A8138F">
      <w:pPr>
        <w:pStyle w:val="Extracto"/>
      </w:pPr>
      <w:r>
        <w:t>2.</w:t>
      </w:r>
      <w:r>
        <w:tab/>
        <w:t xml:space="preserve">Ante el carácter dudoso y discutible de la aplicabilidad de la norma cuestionada en el proceso </w:t>
      </w:r>
      <w:r w:rsidRPr="00A8138F">
        <w:rPr>
          <w:i/>
        </w:rPr>
        <w:t>a quo</w:t>
      </w:r>
      <w:r>
        <w:t>, es exigible un pronunciamiento específico ante este Tribunal, por parte del órgano judicial que interpone la cuestión de inconstitucionalidad, justificativa de la mencionada aplicabilidad (SSTC 18/2014 o 50/2015) [FJ 2].</w:t>
      </w:r>
    </w:p>
    <w:p w14:paraId="4CB8B6E4" w14:textId="77777777" w:rsidR="00A8138F" w:rsidRDefault="00A8138F" w:rsidP="00A8138F">
      <w:pPr>
        <w:pStyle w:val="Extracto"/>
      </w:pPr>
    </w:p>
    <w:p w14:paraId="5C825CEB" w14:textId="77777777" w:rsidR="00A8138F" w:rsidRDefault="00A8138F" w:rsidP="00A8138F">
      <w:pPr>
        <w:pStyle w:val="Extracto"/>
      </w:pPr>
    </w:p>
    <w:p w14:paraId="4DAFACB5"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14:paraId="25FD8843" w14:textId="4C64AF8E" w:rsidR="00A8138F" w:rsidRDefault="00A8138F" w:rsidP="00A8138F">
      <w:pPr>
        <w:pStyle w:val="TextoNormal"/>
      </w:pPr>
    </w:p>
    <w:p w14:paraId="062250E0" w14:textId="77777777" w:rsidR="00A8138F" w:rsidRDefault="00A8138F" w:rsidP="00A8138F">
      <w:pPr>
        <w:pStyle w:val="TextoNormalCentrado"/>
        <w:keepNext/>
      </w:pPr>
      <w:r>
        <w:t>EN NOMBRE DEL REY</w:t>
      </w:r>
    </w:p>
    <w:p w14:paraId="0FC7CFC2" w14:textId="7F79FE6B" w:rsidR="00A8138F" w:rsidRDefault="00A8138F" w:rsidP="00A8138F">
      <w:pPr>
        <w:pStyle w:val="TextoNormalCentrado"/>
        <w:keepNext/>
      </w:pPr>
    </w:p>
    <w:p w14:paraId="2FEF770A" w14:textId="77777777" w:rsidR="00A8138F" w:rsidRDefault="00A8138F" w:rsidP="00A8138F">
      <w:pPr>
        <w:pStyle w:val="TextoNormalCentrado"/>
        <w:keepNext/>
      </w:pPr>
    </w:p>
    <w:p w14:paraId="2B834542" w14:textId="77777777" w:rsidR="00A8138F" w:rsidRDefault="00A8138F" w:rsidP="00A8138F">
      <w:pPr>
        <w:pStyle w:val="TextoNormal"/>
      </w:pPr>
      <w:r>
        <w:t>la siguiente</w:t>
      </w:r>
    </w:p>
    <w:p w14:paraId="373C181F" w14:textId="17762C04" w:rsidR="00A8138F" w:rsidRDefault="00A8138F" w:rsidP="00A8138F">
      <w:pPr>
        <w:pStyle w:val="TextoNormal"/>
      </w:pPr>
    </w:p>
    <w:p w14:paraId="1393BFEC" w14:textId="77777777" w:rsidR="00A8138F" w:rsidRDefault="00A8138F" w:rsidP="00A8138F">
      <w:pPr>
        <w:pStyle w:val="TextoNormalCentrado"/>
        <w:keepNext/>
      </w:pPr>
      <w:r>
        <w:t>SENTENCIA</w:t>
      </w:r>
    </w:p>
    <w:p w14:paraId="18D161ED" w14:textId="33A672ED" w:rsidR="00A8138F" w:rsidRDefault="00A8138F" w:rsidP="00A8138F">
      <w:pPr>
        <w:pStyle w:val="TextoNormalCentrado"/>
        <w:keepNext/>
      </w:pPr>
    </w:p>
    <w:p w14:paraId="5249F5FE" w14:textId="77777777" w:rsidR="00A8138F" w:rsidRDefault="00A8138F" w:rsidP="00A8138F">
      <w:pPr>
        <w:pStyle w:val="TextoNormal"/>
      </w:pPr>
      <w:r>
        <w:t>En la cuestión de inconstitucionalidad núm. 2796-2024 promovida por la Sección Segunda de la Sala de lo Contencioso-Administrativo del Tribunal Superior de Justicia de Castilla-La Mancha en relación con las disposiciones adicionales sexta y octava de la Ley 20/2021, de 28 de diciembre, de medidas urgentes para la reducción de la temporalidad en el empleo público. Han comparecido y formulado alegaciones el abogado del Estado, el Gobierno de la Junta de Comunidades de Castilla-La Mancha y el Ministerio Fiscal. Ha sido ponente el magistrado don Enrique Arnaldo Alcubilla.</w:t>
      </w:r>
    </w:p>
    <w:p w14:paraId="42321527" w14:textId="18355D53" w:rsidR="00A8138F" w:rsidRDefault="00A8138F" w:rsidP="00A8138F">
      <w:pPr>
        <w:pStyle w:val="TextoNormal"/>
      </w:pPr>
    </w:p>
    <w:p w14:paraId="20AD67AF" w14:textId="77777777" w:rsidR="00A8138F" w:rsidRDefault="00A8138F" w:rsidP="00A8138F">
      <w:pPr>
        <w:pStyle w:val="TextoNormalNegritaCentrado"/>
        <w:keepNext/>
      </w:pPr>
      <w:r>
        <w:lastRenderedPageBreak/>
        <w:t>I. Antecedentes</w:t>
      </w:r>
    </w:p>
    <w:p w14:paraId="46122E01" w14:textId="427BC124" w:rsidR="00A8138F" w:rsidRDefault="00A8138F" w:rsidP="00A8138F">
      <w:pPr>
        <w:pStyle w:val="TextoNormalNegritaCentrado"/>
        <w:keepNext/>
      </w:pPr>
    </w:p>
    <w:p w14:paraId="1B518938" w14:textId="77777777" w:rsidR="00A8138F" w:rsidRDefault="00A8138F" w:rsidP="00A8138F">
      <w:pPr>
        <w:pStyle w:val="TextoNormal"/>
      </w:pPr>
      <w:r w:rsidRPr="00A8138F">
        <w:rPr>
          <w:rStyle w:val="NumeroAFNegritaCaracter"/>
        </w:rPr>
        <w:t>1</w:t>
      </w:r>
      <w:r>
        <w:t>. El 22 de abril de 2024 tuvo entrada en el registro general de este Tribunal Constitucional oficio de la Sección Segunda de la Sala de lo Contencioso-Administrativo del Tribunal Superior de Justicia de Castilla-La Mancha por el que se remite, junto con el testimonio de las actuaciones, el auto de 2 de abril de 2024 por el que se acuerda plantear cuestión de inconstitucionalidad en relación con las disposiciones adicionales sexta y octava de la Ley 20/2021, de 28 de diciembre, de medidas urgentes para la reducción de la temporalidad en el empleo público, por su posible contradicción con los arts. 23.2 y 149.1.18 CE.</w:t>
      </w:r>
    </w:p>
    <w:p w14:paraId="739C4597" w14:textId="77777777" w:rsidR="00A8138F" w:rsidRDefault="00A8138F" w:rsidP="00A8138F">
      <w:pPr>
        <w:pStyle w:val="TextoNormal"/>
      </w:pPr>
    </w:p>
    <w:p w14:paraId="5F75C79C" w14:textId="77777777" w:rsidR="00A8138F" w:rsidRDefault="00A8138F" w:rsidP="00A8138F">
      <w:pPr>
        <w:pStyle w:val="TextoNormal"/>
      </w:pPr>
      <w:r>
        <w:t>La disposición adicional sexta de la Ley 20/2021 establece:</w:t>
      </w:r>
    </w:p>
    <w:p w14:paraId="3B0FC452" w14:textId="77777777" w:rsidR="00A8138F" w:rsidRDefault="00A8138F" w:rsidP="00A8138F">
      <w:pPr>
        <w:pStyle w:val="TextoNormal"/>
      </w:pPr>
    </w:p>
    <w:p w14:paraId="62C3512C" w14:textId="77777777" w:rsidR="00A8138F" w:rsidRDefault="00A8138F" w:rsidP="00A8138F">
      <w:pPr>
        <w:pStyle w:val="TextoNormal"/>
      </w:pPr>
      <w:r>
        <w:t xml:space="preserve">“Las administraciones públicas convocarán, con carácter excepcional y de acuerdo con lo previsto en el artículo 61.6 y 7 del TREBEP [texto refundido de la Ley del estatuto básico del empleado público], por el sistema de concurso, aquellas plazas que, reuniendo los requisitos establecidos en el artículo 2.1, hubieran estado ocupadas con carácter temporal de forma ininterrumpida con anterioridad al 1 de enero de 2016. </w:t>
      </w:r>
    </w:p>
    <w:p w14:paraId="0291662A" w14:textId="77777777" w:rsidR="00A8138F" w:rsidRDefault="00A8138F" w:rsidP="00A8138F">
      <w:pPr>
        <w:pStyle w:val="TextoNormal"/>
      </w:pPr>
    </w:p>
    <w:p w14:paraId="10FDC7FB" w14:textId="77777777" w:rsidR="00A8138F" w:rsidRDefault="00A8138F" w:rsidP="00A8138F">
      <w:pPr>
        <w:pStyle w:val="TextoNormal"/>
      </w:pPr>
      <w:r>
        <w:t>Estos procesos, que se realizarán por una sola vez, podrán ser objeto de negociación en cada uno de los ámbitos territoriales de la administración del Estado, comunidades autónomas y entidades locales y respetarán, en todo caso, los plazos establecidos en esta norma”.</w:t>
      </w:r>
    </w:p>
    <w:p w14:paraId="220BE1F7" w14:textId="77777777" w:rsidR="00A8138F" w:rsidRDefault="00A8138F" w:rsidP="00A8138F">
      <w:pPr>
        <w:pStyle w:val="TextoNormal"/>
      </w:pPr>
    </w:p>
    <w:p w14:paraId="3C79EA08" w14:textId="77777777" w:rsidR="00A8138F" w:rsidRDefault="00A8138F" w:rsidP="00A8138F">
      <w:pPr>
        <w:pStyle w:val="TextoNormal"/>
      </w:pPr>
      <w:r>
        <w:t>Por su parte, la disposición adicional octava prescribe:</w:t>
      </w:r>
    </w:p>
    <w:p w14:paraId="160863C6" w14:textId="77777777" w:rsidR="00A8138F" w:rsidRDefault="00A8138F" w:rsidP="00A8138F">
      <w:pPr>
        <w:pStyle w:val="TextoNormal"/>
      </w:pPr>
    </w:p>
    <w:p w14:paraId="195BFB7D" w14:textId="1D563052" w:rsidR="00A8138F" w:rsidRDefault="00A8138F" w:rsidP="00A8138F">
      <w:pPr>
        <w:pStyle w:val="TextoNormal"/>
      </w:pPr>
      <w:r>
        <w:t>“Adicionalmente, los procesos de estabilización contenidos en la disposición adicional sexta incluirán en sus convocatorias las plazas vacantes de naturaleza estructural ocupadas de forma temporal por personal con una relación de esta naturaleza anterior al 1 de enero de 2016”.</w:t>
      </w:r>
    </w:p>
    <w:p w14:paraId="22E5DA9A" w14:textId="77777777" w:rsidR="00A8138F" w:rsidRDefault="00A8138F" w:rsidP="00A8138F">
      <w:pPr>
        <w:pStyle w:val="TextoNormal"/>
      </w:pPr>
    </w:p>
    <w:p w14:paraId="3C849E66" w14:textId="77777777" w:rsidR="00A8138F" w:rsidRDefault="00A8138F" w:rsidP="00A8138F">
      <w:pPr>
        <w:pStyle w:val="TextoNormal"/>
      </w:pPr>
      <w:r w:rsidRPr="00A8138F">
        <w:rPr>
          <w:rStyle w:val="NumeroAFNegritaCaracter"/>
        </w:rPr>
        <w:t>2</w:t>
      </w:r>
      <w:r>
        <w:t>. Los antecedentes de hecho de la presente cuestión de inconstitucionalidad son, en síntesis, los siguientes:</w:t>
      </w:r>
    </w:p>
    <w:p w14:paraId="6D372D85" w14:textId="77777777" w:rsidR="00A8138F" w:rsidRDefault="00A8138F" w:rsidP="00A8138F">
      <w:pPr>
        <w:pStyle w:val="TextoNormal"/>
      </w:pPr>
    </w:p>
    <w:p w14:paraId="00AD0F33" w14:textId="77777777" w:rsidR="00A8138F" w:rsidRDefault="00A8138F" w:rsidP="00A8138F">
      <w:pPr>
        <w:pStyle w:val="TextoNormal"/>
      </w:pPr>
      <w:r>
        <w:t xml:space="preserve">a) La representación procesal de doña M.J.G. interpuso recurso contencioso-administrativo contra la resolución de la Consejería de Hacienda y Administraciones Públicas de la Junta de Comunidades de Castilla-La Mancha, de 8 de agosto de 2022, de personas aprobadas y relación de plazas ofertadas por el sistema general de acceso de personas con discapacidad y por el sistema general de acceso libre en el proceso selectivo para el ingreso en el Cuerpo Superior, especialidad jurídica, de la Junta de Comunidades de Castilla-La Mancha y, más tarde, contra la resolución de dicha Consejería de 13 de septiembre de 2022, por la que se nombra personal funcionario de carrera y se adjudican destinos definitivos a las personas aprobadas en el citado proceso selectivo. Este proceso selectivo fue convocado por resolución de la Consejería de Hacienda y Administraciones Públicas y de la Consejería de Educación, Cultura y Deportes de 22 de marzo de 2021, esto es, con anterioridad a la entrada en vigor de la Ley 20/2021. La demandante en el proceso </w:t>
      </w:r>
      <w:r w:rsidRPr="00A8138F">
        <w:rPr>
          <w:i/>
        </w:rPr>
        <w:t>a quo</w:t>
      </w:r>
      <w:r>
        <w:t xml:space="preserve"> alegó que la plaza que ocupa de forma interina desde el 2 de octubre de 2008 fue incluida en el acuerdo del Consejo de Gobierno de 24 de mayo de 2022, por el que se aprueba la oferta de empleo público para la estabilización de empleo temporal en la Administración de la Junta de Comunidades de </w:t>
      </w:r>
      <w:r>
        <w:lastRenderedPageBreak/>
        <w:t>Castilla-La Mancha en ejecución de la Ley 20/2021, acuerdo en cuyo anexo II, plazas a convocar por concurso (disposiciones adicionales sexta y octava de la Ley 20/2021, de 28 de diciembre), subgrupo Al, Cuerpo Superior, especialidad jurídica, figuran catorce plazas, entre las que debe entenderse incluida la que viene ocupando en régimen de interinidad.</w:t>
      </w:r>
    </w:p>
    <w:p w14:paraId="7160EEF5" w14:textId="77777777" w:rsidR="00A8138F" w:rsidRDefault="00A8138F" w:rsidP="00A8138F">
      <w:pPr>
        <w:pStyle w:val="TextoNormal"/>
      </w:pPr>
    </w:p>
    <w:p w14:paraId="09159350" w14:textId="77777777" w:rsidR="00A8138F" w:rsidRDefault="00A8138F" w:rsidP="00A8138F">
      <w:pPr>
        <w:pStyle w:val="TextoNormal"/>
      </w:pPr>
      <w:r>
        <w:t>b) Por auto de la Sección Segunda de la Sala de lo Contencioso-Administrativo del Tribunal Superior de Justicia de Castilla-La Mancha de 28 de octubre de 2022, se declaró haber lugar a la medida cautelar interesada por la actora, consistente en la suspensión cautelar de la inclusión de la plaza que venía siendo ocupada por ella dentro de la relación de las que se ofertan para la adjudicación de destinos a las personas aprobadas en el proceso selectivo convocado por la resolución de la Consejería de Hacienda y Administraciones Públicas de 22 de marzo de 2021, contenidas en el anexo II de la resolución recurrida de 8 de agosto de 2022.</w:t>
      </w:r>
    </w:p>
    <w:p w14:paraId="5A0FB689" w14:textId="77777777" w:rsidR="00A8138F" w:rsidRDefault="00A8138F" w:rsidP="00A8138F">
      <w:pPr>
        <w:pStyle w:val="TextoNormal"/>
      </w:pPr>
    </w:p>
    <w:p w14:paraId="7A6CCF89" w14:textId="77777777" w:rsidR="00A8138F" w:rsidRDefault="00A8138F" w:rsidP="00A8138F">
      <w:pPr>
        <w:pStyle w:val="TextoNormal"/>
      </w:pPr>
      <w:r>
        <w:t>Contra dicho auto se interpuso recurso de reposición por la Junta de Comunidades de Castilla-La Mancha, que se estima por auto de 29 de diciembre de 2022, en el que se argumenta:</w:t>
      </w:r>
    </w:p>
    <w:p w14:paraId="552D39E5" w14:textId="77777777" w:rsidR="00A8138F" w:rsidRDefault="00A8138F" w:rsidP="00A8138F">
      <w:pPr>
        <w:pStyle w:val="TextoNormal"/>
      </w:pPr>
    </w:p>
    <w:p w14:paraId="229F625F" w14:textId="77777777" w:rsidR="00A8138F" w:rsidRDefault="00A8138F" w:rsidP="00A8138F">
      <w:pPr>
        <w:pStyle w:val="TextoNormal"/>
      </w:pPr>
      <w:r>
        <w:t>“La decisión ha de quedar constreñida a la valoración de los intereses en conflicto conforme a los artículos 129 y 130 de la Ley de la jurisdicción contencioso administrativa, y en ese estado de cosas se ha de reconocer que en el auto recurrido se valoró la pérdida de la finalidad del recurso, pero se desconocía, por no haberlo puesto de manifiesto la JCCM, que existía un interés cualificadísimo que residía en la persona a la que se había adjudicado la plaza, que comparece ahora para poner de manifiesto ese interés y oponerse a la adopción de la medida cautelar. Esta circunstancia pone de manifiesto además que la suspensión debería interesarse de la propia resolución de 13 de septiembre, porque ya no nos encontramos ante una simple oferta de plazas susceptibles de ser solicitadas por los aspirantes aprobados, sino ante la adjudicación misma de dichas plazas. Dicha adjudicación trajo también como consecuencia el cese de la actora por resolución de 20 de septiembre de 2022”.</w:t>
      </w:r>
    </w:p>
    <w:p w14:paraId="6F603923" w14:textId="77777777" w:rsidR="00A8138F" w:rsidRDefault="00A8138F" w:rsidP="00A8138F">
      <w:pPr>
        <w:pStyle w:val="TextoNormal"/>
      </w:pPr>
    </w:p>
    <w:p w14:paraId="692D1888" w14:textId="77777777" w:rsidR="00A8138F" w:rsidRDefault="00A8138F" w:rsidP="00A8138F">
      <w:pPr>
        <w:pStyle w:val="TextoNormal"/>
      </w:pPr>
      <w:r>
        <w:t>c) El proceso continuó su tramitación y, más adelante, el órgano judicial dictó providencia el 9 de febrero de 2024 en la que, al amparo de lo previsto en el art. 33.2 de la Ley 29/1998, de 13 de julio, reguladora de la jurisdicción contencioso-administrativa (LJCA), concedió a las partes un plazo de diez días para que, entre otras cuestiones, se pronunciasen:</w:t>
      </w:r>
    </w:p>
    <w:p w14:paraId="2F85A178" w14:textId="77777777" w:rsidR="00A8138F" w:rsidRDefault="00A8138F" w:rsidP="00A8138F">
      <w:pPr>
        <w:pStyle w:val="TextoNormal"/>
      </w:pPr>
    </w:p>
    <w:p w14:paraId="182932CD" w14:textId="77777777" w:rsidR="00A8138F" w:rsidRDefault="00A8138F" w:rsidP="00A8138F">
      <w:pPr>
        <w:pStyle w:val="TextoNormal"/>
      </w:pPr>
      <w:r>
        <w:t xml:space="preserve">“Sobre la procedencia de plantear una cuestión de inconstitucionalidad, por posible vulneración del art. 23.2 CE, en relación con las disposiciones adicionales sexta y octava, en tanto que prevén un sistema de concurso para acceder a la función pública de carrera, orientado a la valoración mayoritaria de la experiencia en la propia administración. Ciertamente pudiera pensarse que la disposición adicional sexta no es inconstitucional en sí, dado que no indica qué méritos deben valorarse; sin embargo, hay múltiples elementos que permiten concluir que se pretende la valoración mayoritaria de la experiencia en la administración, como son: la interpretación sistemática de la disposición adicional sexta con el art. 2.4 de la Ley; el fin declarado en la exposición de motivos de estabilizar; la referencia a la doctrina del Tribunal de Justcia de la Unión Europea sobre el abuso de la temporalidad; la resolución de la Secretaría de Estado de la Función Pública sobre las orientaciones para la puesta en marcha de los procesos de estabilización derivados de la Ley 20/2021; la generalidad de los procesos de estabilización convocados al amparo de estas disposiciones adicional sexta y </w:t>
      </w:r>
      <w:r>
        <w:lastRenderedPageBreak/>
        <w:t>octava, y en concreto el de la resolución de 12 de diciembre de 2022 de la Dirección General de la Función. Pública de la Junta de Comunidades de Castilla-La Mancha (“Diario Oficial de Castilla -La Mancha” de 22 de diciembre de 2022) y el art, 217 del Real Decreto-ley 5/2023, que apunta a la voluntad de estabilizar personas. A la vista de todo ello, parece que las disposiciones adicionales sexta y octava pudieran ser contrarias a la doctrina constitucional derivada de sentencias del Tribunal Constitucional como, entre otras las número 67/1989, 27/1991, 60/1994, 151/1992, 281/1993, 137/1986, 185/1994, 228/1994, 229/1994, 238/1994, 251/1994 y, en particular, 130/2009 y 38/2021. El planteamiento de la cuestión puede ser relevante, pues si la norma se considerase inconstitucional, la parte demandante no podría basar en ella su pretensión”.</w:t>
      </w:r>
    </w:p>
    <w:p w14:paraId="1FFB1056" w14:textId="77777777" w:rsidR="00A8138F" w:rsidRDefault="00A8138F" w:rsidP="00A8138F">
      <w:pPr>
        <w:pStyle w:val="TextoNormal"/>
      </w:pPr>
    </w:p>
    <w:p w14:paraId="7EFA276D" w14:textId="77777777" w:rsidR="00A8138F" w:rsidRDefault="00A8138F" w:rsidP="00A8138F">
      <w:pPr>
        <w:pStyle w:val="TextoNormal"/>
      </w:pPr>
      <w:r>
        <w:t xml:space="preserve">El letrado de la Junta de Comunidades de Castilla-La Mancha manifestó su parecer favorable al planteamiento de la cuestión de inconstitucionalidad. La actora en el proceso </w:t>
      </w:r>
      <w:r w:rsidRPr="00A8138F">
        <w:rPr>
          <w:i/>
        </w:rPr>
        <w:t>a quo</w:t>
      </w:r>
      <w:r>
        <w:t xml:space="preserve"> se opuso al planteamiento de la cuestión. La codemandada, es decir, la persona que había sido adjudicataria de la plaza, no formuló alegaciones al respecto.</w:t>
      </w:r>
    </w:p>
    <w:p w14:paraId="47F8BD90" w14:textId="77777777" w:rsidR="00A8138F" w:rsidRDefault="00A8138F" w:rsidP="00A8138F">
      <w:pPr>
        <w:pStyle w:val="TextoNormal"/>
      </w:pPr>
    </w:p>
    <w:p w14:paraId="5822377C" w14:textId="77777777" w:rsidR="00A8138F" w:rsidRDefault="00A8138F" w:rsidP="00A8138F">
      <w:pPr>
        <w:pStyle w:val="TextoNormal"/>
      </w:pPr>
      <w:r>
        <w:t>d) El órgano judicial dictó una nueva providencia de 8 de marzo de 2024 con el tenor literal siguiente:</w:t>
      </w:r>
    </w:p>
    <w:p w14:paraId="212EDB11" w14:textId="77777777" w:rsidR="00A8138F" w:rsidRDefault="00A8138F" w:rsidP="00A8138F">
      <w:pPr>
        <w:pStyle w:val="TextoNormal"/>
      </w:pPr>
    </w:p>
    <w:p w14:paraId="065CB989" w14:textId="77777777" w:rsidR="00A8138F" w:rsidRDefault="00A8138F" w:rsidP="00A8138F">
      <w:pPr>
        <w:pStyle w:val="TextoNormal"/>
      </w:pPr>
      <w:r>
        <w:t>“Habiendo observado la Sala ciertas carencias en el traslado que se hizo mediante providencia de 9 de febrero de 2024, en lo relativo a la cuestión de posible inconstitucionalidad de las disposiciones adicionales sexta y octava de la Ley 20/2021, se acuerda:</w:t>
      </w:r>
    </w:p>
    <w:p w14:paraId="61CDF5B8" w14:textId="77777777" w:rsidR="00A8138F" w:rsidRDefault="00A8138F" w:rsidP="00A8138F">
      <w:pPr>
        <w:pStyle w:val="TextoNormal"/>
      </w:pPr>
    </w:p>
    <w:p w14:paraId="7B82756C" w14:textId="77777777" w:rsidR="00A8138F" w:rsidRDefault="00A8138F" w:rsidP="00A8138F">
      <w:pPr>
        <w:pStyle w:val="TextoNormal"/>
      </w:pPr>
      <w:r>
        <w:t>1º Dar traslado a las partes, por plazo de diez dias, a fin de que puedan también alegar acerca de la posible inconstitucionalidad de las disposiciones adicionales sexta y octava de la Ley 20/2021, en tanto que imponen a todas las administraciones públicas, obligatoriamente, un sistema de concurso, cosa que pudiera exceder del concepto de ‘bases’ del régimen estatutario de los funcionarios del art. 149.1.18 CE invocado en la disposición final primera de la ley; como pone de manifiesto el hecho de que el Estatuto básico del empleado público, que justamente tuvo por fin fijar las bases del régimen estatutario de los funcionarios (art. 1) establece, en cuanto ·a las formas de selección de aquellos, una mera previsión de los sistemas posibles (art. 61). Estando aquí ante una ley singular o de caso único que impone uno de los sistemas a las comunidades autónomas, pudiendo excederse de los límites de las bases. Debiéndose tener también en cuenta los siguientes artículos del Estatuto de Autonomía de Castilla-La Mancha 31.1.1, 31.2 y 39.3.</w:t>
      </w:r>
    </w:p>
    <w:p w14:paraId="5E94A99A" w14:textId="77777777" w:rsidR="00A8138F" w:rsidRDefault="00A8138F" w:rsidP="00A8138F">
      <w:pPr>
        <w:pStyle w:val="TextoNormal"/>
      </w:pPr>
    </w:p>
    <w:p w14:paraId="6A5632FC" w14:textId="77777777" w:rsidR="00A8138F" w:rsidRDefault="00A8138F" w:rsidP="00A8138F">
      <w:pPr>
        <w:pStyle w:val="TextoNormal"/>
      </w:pPr>
      <w:r>
        <w:t>2° Dese traslado al Ministerio Fiscal por diez días a fin de que informe sobre lo siguiente:</w:t>
      </w:r>
    </w:p>
    <w:p w14:paraId="74320FC6" w14:textId="77777777" w:rsidR="00A8138F" w:rsidRDefault="00A8138F" w:rsidP="00A8138F">
      <w:pPr>
        <w:pStyle w:val="TextoNormal"/>
      </w:pPr>
    </w:p>
    <w:p w14:paraId="0AC05531" w14:textId="77777777" w:rsidR="00A8138F" w:rsidRDefault="00A8138F" w:rsidP="00A8138F">
      <w:pPr>
        <w:pStyle w:val="TextoNormal"/>
      </w:pPr>
      <w:r>
        <w:t xml:space="preserve">A) Sobre la procedencia de plantear una cuestión de inconstitucionalidad, por posible vulneración del art. 23.2 CE, en relación con las disposiciones adicionales sexta y octava, en tanto que prevén un sistema de concurso para acceder a la función pública de carrera, orientado a la valoración mayoritaria de la experiencia en la propia administración. Ciertamente pudiera pensarse que la disposición adicional sexta no es inconstitucional en sí, dado que no indica qué méritos deben valorarse; sin embargo, hay múltiples elementos que permiten concluir que se pretende la valoración mayoritaria de la experiencia en la administración, como son: la interpretación sistemática de la disposición adicional sexta con el art. 2.4 de la Ley; el fin declarado en la exposición de motivos de estabilizar; la referencia a la doctrina del Tribunal de Justicia de la Unión Europea sobre el abuso de la temporalidad; la </w:t>
      </w:r>
      <w:r>
        <w:lastRenderedPageBreak/>
        <w:t>resolución de la Secretaría de Estado de la Función Pública sobre las orientaciones para la puesta en marcha de los procesos de estabilización derivados de la Ley 20/2021; la generalidad de los procesos de estabilización convocados al amparo de estas disposiciones adicional sexta y octava, y en concreto el de la resolución de 12 de diciembre de 2022 de la Dirección General de la Función Pública de la Junta de Comunidades de Castilla-La Mancha (“DOCM” de 22 de diciembre de 2022) y el art. 217 del Real Decreto-ley 5/23, que apunta a la voluntad de estabilizar personas. A la vista de todo ello, parece que las disposiciones adicionales sexta y octava pudieran ser contrarias a la doctrina constitucional derivada de sentencias del Tribunal Constitucional como, entre otras las número 67/1989, 27/1991, 60/1994, 151/1992, 281/1993, 137/1986, 185/1994, 228/1994, 229/1994, 238/1994, 251/1994 y, en particular, 130/2009 y 38/2021. El planteamiento de la cuestión puede ser relevante, pues si la norma se considerase inconstitucional, la parte demandante no podría basar en ella su pretensión.</w:t>
      </w:r>
    </w:p>
    <w:p w14:paraId="4826960C" w14:textId="77777777" w:rsidR="00A8138F" w:rsidRDefault="00A8138F" w:rsidP="00A8138F">
      <w:pPr>
        <w:pStyle w:val="TextoNormal"/>
      </w:pPr>
    </w:p>
    <w:p w14:paraId="053E6BAC" w14:textId="77777777" w:rsidR="00A8138F" w:rsidRDefault="00A8138F" w:rsidP="00A8138F">
      <w:pPr>
        <w:pStyle w:val="TextoNormal"/>
      </w:pPr>
      <w:r>
        <w:t>B) Sobre la posible inconstitucionalidad de las disposiciones adicionales sexta y octava de la Ley 20/2021, en tanto que imponen a todas las administraciones públicas, obligatoriamente, un sistema de concurso, cosa que pudiera exceder del concepto de ‘bases’ del régimen estatutario de los funcionarios del art. 149.1.18 CE invocado en la disposición final primera de la Ley; como pone de manifiesto el hecho de que el estatuo básico del empleado público, que justamente tuvo por fin fijar las bases del régimen estatutario de los funcionarios (art. 1) establece, en cuanto a las formas de selección de aquellos, una mera previsión de los sistemas posibles (art 61). Estando aquí ante una ley singular o de caso único que impone uno de los sistemas a las comunidades autónomas, pudiendo excederse de los límites de las bases. Debiéndose tener también en cuenta los siguientes artículos del Estatuto de Autonomía de Castilla-La Mancha 31.1.1, 31.2 y 39.3”.</w:t>
      </w:r>
    </w:p>
    <w:p w14:paraId="3816D08A" w14:textId="77777777" w:rsidR="00A8138F" w:rsidRDefault="00A8138F" w:rsidP="00A8138F">
      <w:pPr>
        <w:pStyle w:val="TextoNormal"/>
      </w:pPr>
    </w:p>
    <w:p w14:paraId="2349728B" w14:textId="77777777" w:rsidR="00A8138F" w:rsidRDefault="00A8138F" w:rsidP="00A8138F">
      <w:pPr>
        <w:pStyle w:val="TextoNormal"/>
      </w:pPr>
      <w:r>
        <w:t xml:space="preserve">El fiscal estimó cumplidos los requisitos procesales para el planteamiento de la cuestión de inconstitucionalidad y entendió que las disposiciones cuestionadas resultaban contrarias a los arts. 23.2 y 149.1.18 CE. La actora en el proceso </w:t>
      </w:r>
      <w:r w:rsidRPr="00A8138F">
        <w:rPr>
          <w:i/>
        </w:rPr>
        <w:t>a quo</w:t>
      </w:r>
      <w:r>
        <w:t xml:space="preserve"> reiteró su oposición al planteamiento de la cuestión de inconstitucionalidad. El letrado de la Junta de Comunidades de Castilla-La Mancha estimó procedente el planteamiento de la cuestión. La codemandada no formuló alegaciones.</w:t>
      </w:r>
    </w:p>
    <w:p w14:paraId="713535F7" w14:textId="77777777" w:rsidR="00A8138F" w:rsidRDefault="00A8138F" w:rsidP="00A8138F">
      <w:pPr>
        <w:pStyle w:val="TextoNormal"/>
      </w:pPr>
    </w:p>
    <w:p w14:paraId="070A5F26" w14:textId="1BE0F72A" w:rsidR="00A8138F" w:rsidRDefault="00A8138F" w:rsidP="00A8138F">
      <w:pPr>
        <w:pStyle w:val="TextoNormal"/>
      </w:pPr>
      <w:r>
        <w:t>e) El órgano judicial dictó el auto de 2 de abril de 2024 por el que se acuerda plantear cuestión de inconstitucionalidad en relación con las disposiciones adicionales sexta y octava de la Ley 20/2021, de 28 de diciembre, de medidas urgentes para la reducción de la temporalidad en el empleo público.</w:t>
      </w:r>
    </w:p>
    <w:p w14:paraId="0721C311" w14:textId="77777777" w:rsidR="00A8138F" w:rsidRDefault="00A8138F" w:rsidP="00A8138F">
      <w:pPr>
        <w:pStyle w:val="TextoNormal"/>
      </w:pPr>
    </w:p>
    <w:p w14:paraId="5E961D8B" w14:textId="77777777" w:rsidR="00A8138F" w:rsidRDefault="00A8138F" w:rsidP="00A8138F">
      <w:pPr>
        <w:pStyle w:val="TextoNormal"/>
      </w:pPr>
      <w:r w:rsidRPr="00A8138F">
        <w:rPr>
          <w:rStyle w:val="NumeroAFNegritaCaracter"/>
        </w:rPr>
        <w:t>3</w:t>
      </w:r>
      <w:r>
        <w:t>. Del contenido del auto de planteamiento interesa resaltar lo siguiente:</w:t>
      </w:r>
    </w:p>
    <w:p w14:paraId="3186835F" w14:textId="77777777" w:rsidR="00A8138F" w:rsidRDefault="00A8138F" w:rsidP="00A8138F">
      <w:pPr>
        <w:pStyle w:val="TextoNormal"/>
      </w:pPr>
    </w:p>
    <w:p w14:paraId="02911EA1" w14:textId="77777777" w:rsidR="00A8138F" w:rsidRDefault="00A8138F" w:rsidP="00A8138F">
      <w:pPr>
        <w:pStyle w:val="TextoNormal"/>
      </w:pPr>
      <w:r>
        <w:t xml:space="preserve">Expone, en primer lugar, el contenido de los preceptos sobre los que se plantea la cuestión de inconstitucionalidad y los preceptos constitucionales que entiende vulnerados, los arts. 23.2 y 149.1.18 CE. Alude al cumplimiento de los requisitos procesales para el planteamiento de la cuestión de inconstitucionalidad, el traslado a las partes para alegaciones, el momento en el que se plantea la cuestión y los juicios de aplicabilidad y relevancia que se vinculan a las concretas circunstancias del caso, en la medida en que la actora argumenta que la plaza que venía ocupando desde el 2 de octubre de 2008 no podía ser ofertada para ser cubierta a través de una convocatoria de plazas para su acceso libre, puesto que a esa </w:t>
      </w:r>
      <w:r>
        <w:lastRenderedPageBreak/>
        <w:t>plaza le era aplicable lo establecido en las disposiciones adicionales octava y sexta de la Ley 20/2021, a la que aquella se remite, en relación con el procedimiento de selección aplicable para cubrir dicha plaza.</w:t>
      </w:r>
    </w:p>
    <w:p w14:paraId="79EF33E6" w14:textId="77777777" w:rsidR="00A8138F" w:rsidRDefault="00A8138F" w:rsidP="00A8138F">
      <w:pPr>
        <w:pStyle w:val="TextoNormal"/>
      </w:pPr>
    </w:p>
    <w:p w14:paraId="51B662EE" w14:textId="77777777" w:rsidR="00A8138F" w:rsidRDefault="00A8138F" w:rsidP="00A8138F">
      <w:pPr>
        <w:pStyle w:val="TextoNormal"/>
      </w:pPr>
      <w:r>
        <w:t>El auto se refiere a continuación al sistema de acceso a la función pública diseñado por las disposiciones cuestionadas, basado en un sistema de concurso. El órgano judicial advierte que este sistema no es, por sí mismo, inconstitucional. De hecho, el art. 61.6 del texto refundido de la Ley del estatuto básico del empleado público (TRLEEP), aprobado por el Real Decreto Legislativo 5/2015, de 30 de octubre , afirma que en virtud de ley podrá aplicarse, con carácter excepcional, el sistema de concurso que consistirá únicamente en la valoración de méritos.</w:t>
      </w:r>
    </w:p>
    <w:p w14:paraId="1B6A46D2" w14:textId="77777777" w:rsidR="00A8138F" w:rsidRDefault="00A8138F" w:rsidP="00A8138F">
      <w:pPr>
        <w:pStyle w:val="TextoNormal"/>
      </w:pPr>
    </w:p>
    <w:p w14:paraId="18058797" w14:textId="77777777" w:rsidR="00A8138F" w:rsidRDefault="00A8138F" w:rsidP="00A8138F">
      <w:pPr>
        <w:pStyle w:val="TextoNormal"/>
      </w:pPr>
      <w:r>
        <w:t>Según el auto “[c]abe imaginar, pues, un sistema de concurso en el que se incluya una amplia valoración de méritos, aptos para acoger en su seno a personas con currículos variados, tanto públicos como privados, y que, por tanto, pudiera ser plenamente conforme con el art. 23.2 CE, aunque el hecho de optar solo por los méritos (y no por el mérito y la capacidad a los que alude el art. 103 CE) permita ya considerar este método como absolutamente excepcional”. El auto también reconoce que “el mero riesgo de que en el concurso se haga una valoración desproporcionada de la experiencia ganada en la propia administración pública convocante no provoca la inconstitucionalidad de la norma, la cual debería desplazarse a la impugnación y, en su caso, anulación de los concretos concursos convocados en los que se diera una valoración desproporcionada de los méritos ganados en la administración convocante”.</w:t>
      </w:r>
    </w:p>
    <w:p w14:paraId="60ADE2EF" w14:textId="77777777" w:rsidR="00A8138F" w:rsidRDefault="00A8138F" w:rsidP="00A8138F">
      <w:pPr>
        <w:pStyle w:val="TextoNormal"/>
      </w:pPr>
    </w:p>
    <w:p w14:paraId="6BFA2AEE" w14:textId="77777777" w:rsidR="00A8138F" w:rsidRDefault="00A8138F" w:rsidP="00A8138F">
      <w:pPr>
        <w:pStyle w:val="TextoNormal"/>
      </w:pPr>
      <w:r>
        <w:t xml:space="preserve">Sin embargo, en este caso, el órgano judicial entiende que no es posible encontrar una interpretación del precepto que eluda una valoración desproporcionada de los méritos obtenidos en la propia administración convocante. Señala al respecto que “aunque la disposición adicional sexta no detalla los méritos a valorar, no puede olvidarse que esta disposición se inserta en un sistema más general que se abre con las previsiones del art. 2. Este precepto, que autoriza una tasa adicional para la estabilización de empleo temporal, establece en su apartado cuarto que el sistema de selección será el de concurso-oposición, con una valoración en la fase de concurso de un cuarenta por ciento de la puntuación total, en la que se tendrá en cuenta mayoritariamente la experiencia en el cuerpo, escala, categoría o equivalente de que se trate. Es claro que con una previsión de esta clase para el concurso-oposición del art. 2, el concurso de la disposición adicional debe inevitablemente interpretarse en línea con la anterior (valoración mayoritaria de la experiencia en el cuerpo o escala), pues precisamente está pensado para dar solución a situaciones de mucha más antigüedad de la temporalidad y en las que se considera que es, mucho más imperioso, por ello, facilitar el acceso de los interinos mediante un sistema que ni siquiera incluye pruebas de capacidad, de modo que sería extraño que este supuesto especial dentro de la especialidad dificultase más el acceso estableciendo un sistema en el que el interino no viese mayoritariamente valorada su experiencia. Esa es la interpretación que se asume con naturalidad, porque es la única coherente sistemáticamente, por ejemplo, en la resolución de la Secretaría de Estado de Función Pública sobre las orientaciones para la puesta en marcha de los procesos de estabilización de 1 de abril de 2022, según la cual los méritos podrán consistir en la valoración de los profesionales en hasta un 60 por 100 del total de la puntuación máxima; y tales méritos profesionales, en la opinión de la resolución, se refieren en todo caso a los servicios como interino en la administración”. Indica también que, dadas las características del proceso de </w:t>
      </w:r>
      <w:r>
        <w:lastRenderedPageBreak/>
        <w:t>estabilización, se definen las plazas a convocar en atención a sus circunstancias de cobertura, careciendo de cualquier sentido todo el sistema si no estuviera orientado a favorecer con una intensidad especial y particular que sean los interinos quienes accedan a las plazas. Concluye que esta interpretación también se deriva de la exposición de motivos de la Ley 20/2021.</w:t>
      </w:r>
    </w:p>
    <w:p w14:paraId="02383633" w14:textId="77777777" w:rsidR="00A8138F" w:rsidRDefault="00A8138F" w:rsidP="00A8138F">
      <w:pPr>
        <w:pStyle w:val="TextoNormal"/>
      </w:pPr>
    </w:p>
    <w:p w14:paraId="32E446C2" w14:textId="77777777" w:rsidR="00A8138F" w:rsidRDefault="00A8138F" w:rsidP="00A8138F">
      <w:pPr>
        <w:pStyle w:val="TextoNormal"/>
      </w:pPr>
      <w:r>
        <w:t xml:space="preserve">En virtud de ello y, según el auto de planteamiento de la cuestión de inconstitucionalidad, las disposiciones cuestionadas obligan a convocar un proceso selectivo por el procedimiento de concurso en relación con plazas que vienen siendo ocupadas por interinos desde una fecha determinada. En dicho concurso hay que valorar mayoritariamente la experiencia en el cuerpo o escala de que se trate, que es único y diferente para cada administración, lo cual aboca, en principio, a la valoración mayoritaria de la experiencia en la propia administración convocante, dando primacía absoluta a la experiencia como funcionario interino. Cita, como ejemplo, varias resoluciones administrativas en las que se emplea este criterio, lo que le lleva a considerar que se trata de un proceso restringido. El auto destaca que “entendemos que la disposición adicional sexta y su complemento, la octava, abocan a un sistema de acceso con una valoración de la experiencia en la propia administración convocante como interino, o, como máximo, como interino en otras administraciones públicas, que puede resultar incompatible con las declaraciones que en casos parecidos ha venido haciendo el Tribunal Constitucional, y que, obsérvese, se referían a sistemas objetivamente y </w:t>
      </w:r>
      <w:r w:rsidRPr="00A8138F">
        <w:rPr>
          <w:i/>
        </w:rPr>
        <w:t>a priori</w:t>
      </w:r>
      <w:r>
        <w:t xml:space="preserve"> mucho más compatibles con el art. 23.2 CE como es el de concurso-oposición”.</w:t>
      </w:r>
    </w:p>
    <w:p w14:paraId="69F9BEF3" w14:textId="77777777" w:rsidR="00A8138F" w:rsidRDefault="00A8138F" w:rsidP="00A8138F">
      <w:pPr>
        <w:pStyle w:val="TextoNormal"/>
      </w:pPr>
    </w:p>
    <w:p w14:paraId="750E063E" w14:textId="77777777" w:rsidR="00A8138F" w:rsidRDefault="00A8138F" w:rsidP="00A8138F">
      <w:pPr>
        <w:pStyle w:val="TextoNormal"/>
      </w:pPr>
      <w:r>
        <w:t xml:space="preserve">El auto se refiere a continuación a lo que denomina “doctrina del Tribunal Constitucional sobre los procesos selectivos que incluyen facilidades de acceso para los interinos”. Señala que algunas sentencias se referían a la situación de emergencia de nuevas administraciones (SSTC 67/1989, de 18 de abril; 27/1991, de 14 de febrero; 151/1992, de 19 de octubre; 281/1993, de 27 de septiembre, y 60/1994, de 28 de febrero), otras a la implantación de un nuevo cuerpo (STC 137/1986, de 6 de noviembre) o a la reforma integral y definitiva de un determinado sector de la administración (SSTC 185/1994, de 20 de junio; 228/1994 y 229/1994, de 18 de julio; 238/1994, de 20 de julio, y 251/1994, de 19 de septiembre). Destaca también que de la doctrina constitucional deriva que este tipo de medidas debe respetar tres exigencias: (1) Que se trate de un medio excepcional y adecuado para resolver una situación también excepcional; (2) que se halle expresamente prevista en una norma con rango de ley y con el objeto de alcanzar una finalidad constitucionalmente legítima, entre las que se integra la propia eficacia de la administración pública y (3) que se acuda a este tipo de procedimiento una sola vez. Y también que la afectación al art. 23.2 CE puede ir desde el grado más alto (pruebas restringidas, por ejemplo STC 130/2009, de 1 de junio) o valoración excesiva de méritos, que en casos exagerados puede provocar una prueba restringida </w:t>
      </w:r>
      <w:r w:rsidRPr="00A8138F">
        <w:rPr>
          <w:i/>
        </w:rPr>
        <w:t>de facto</w:t>
      </w:r>
      <w:r>
        <w:t xml:space="preserve"> (STC 86/2016, de 28 de abril). Afirma que “[e]n nuestra doctrina constitucional, manteniendo el principio de pruebas libres, se ha entendido que es posible una configuración de los procesos selectivos en los que se tengan en cuenta los servicios prestados a la administración de una forma racional y proporcional (STC 86/2016). Se han admitido corno límites tolerables valoraciones de los méritos del interino que rondan el 30 % del total (SSTC 83/2000 y 107/2003). Más allá de tales límites siempre se ha exigido una justificación sobre la base de los criterios ya expuestos”.</w:t>
      </w:r>
    </w:p>
    <w:p w14:paraId="7A83ADC9" w14:textId="77777777" w:rsidR="00A8138F" w:rsidRDefault="00A8138F" w:rsidP="00A8138F">
      <w:pPr>
        <w:pStyle w:val="TextoNormal"/>
      </w:pPr>
    </w:p>
    <w:p w14:paraId="4E5AC6B2" w14:textId="77777777" w:rsidR="00A8138F" w:rsidRDefault="00A8138F" w:rsidP="00A8138F">
      <w:pPr>
        <w:pStyle w:val="TextoNormal"/>
      </w:pPr>
      <w:r>
        <w:lastRenderedPageBreak/>
        <w:t>A continuación el órgano judicial examina si, dado el carácter restringido de las pruebas, tal justificación existe, atendiendo a la propia doctrina constitucional (cita las SSTC 130/2009, 86/2016 y 38/2021, de 18 de febrero).</w:t>
      </w:r>
    </w:p>
    <w:p w14:paraId="19E489C3" w14:textId="77777777" w:rsidR="00A8138F" w:rsidRDefault="00A8138F" w:rsidP="00A8138F">
      <w:pPr>
        <w:pStyle w:val="TextoNormal"/>
      </w:pPr>
    </w:p>
    <w:p w14:paraId="2F2D1732" w14:textId="77777777" w:rsidR="00A8138F" w:rsidRDefault="00A8138F" w:rsidP="00A8138F">
      <w:pPr>
        <w:pStyle w:val="TextoNormal"/>
      </w:pPr>
      <w:r>
        <w:t>Concluye, por las razones siguientes, que tal justificación no existe: (1) La Ley 20/2021 incluye una habilitación universal, a todas las administraciones públicas españolas, para convocar estos procedimientos, sin aclarar que dicha habilitación no regirá para aquellas administraciones que ya hayan llevado a cabo procesos selectivos para la reducción de la interinidad que el Tribunal Constitucional hubiera admitido en su día por ser únicos y “por una sola vez”; (2) no se ha respetado la previsión legal de que estos procedimientos se realizarán “por una sola vez”, ya que, tras la entrada en vigor y aplicación de la Ley 20/2021, se ha vuelto a autorizar, en el art. 217 del Real Decreto-ley 5/2023, una “tasa adicional” para convocar procesos selectivos conforme a la disposición adicional octava de la Ley 20/2021; (3) la STC 130/2009 consideró que la situación excepcional que permitiría el uso de pruebas restringidas no puede ser consecuencia de las propias decisiones organizativas y de funcionamiento de la administración pública mantenidas en el tiempo; (4) existen medios alternativos para prevenir estas situaciones de los que no se ha hecho uso; (5) el legislador es consciente de que la situación creada no procede de imponderables o de factores extraordinarios, sino de aspectos cotidianos del funcionamiento de las administraciones públicas y prolongados largamente en el tiempo sin que se les pusiera remedio. Se trata de un reconocimiento expreso de que las administraciones no han seguido la mejor gestión del empleo, ni han adoptado políticas coherentes y racionales de dotación de efectivos de carácter permanente, y no han limitado la temporalidad a la atención de necesidades de carácter estrictamente coyuntural. Tampoco pueden servir de justificación las referencias de la exposición de motivos de la Ley 20/2021 a la consolidación del estado del bienestar, a razones presupuestarias, a la infradotación en materia de personal o a las deficiencias en la cobertura de plazas vacantes, pues todas ellas son, de un modo u otro, imputables a la administración; y (6) las apelaciones a las exigencias normativas y jurisprudenciales de la Unión Europea provienen igualmente de la defectuosa política de personal seguida por las administraciones públicas y del incumplimiento sistemático de las normas previstas para evitar el abuso de la contratación de interinos. Tal como resulta de la doctrina constitucional tales apelaciones no justifican el abuso en la contratación temporal sucesiva, para vulnerar las normas sobre acceso igualitario a los cargos públicos, pues dicha finalidad se debe lograr sin vulnerar la norma básica estatal que proscribe, salvo excepciones tasadas, las pruebas de acceso restringidas o específicas, cosa que no se logra justificar en el presente caso.</w:t>
      </w:r>
    </w:p>
    <w:p w14:paraId="741C7C72" w14:textId="77777777" w:rsidR="00A8138F" w:rsidRDefault="00A8138F" w:rsidP="00A8138F">
      <w:pPr>
        <w:pStyle w:val="TextoNormal"/>
      </w:pPr>
    </w:p>
    <w:p w14:paraId="53CE555F" w14:textId="77777777" w:rsidR="00A8138F" w:rsidRDefault="00A8138F" w:rsidP="00A8138F">
      <w:pPr>
        <w:pStyle w:val="TextoNormal"/>
      </w:pPr>
      <w:r>
        <w:t>El auto considera que las afirmaciones de la exposición de motivos de la Ley 20/2021, en las que se pretenden justificar las medidas de estabilización afirmando su compatibilidad con la doctrina constitucional, son puramente apodícticas, en cuanto se limitan a dar por sentado que la posibilidad de que las administraciones públicas puedan convocar el concurso extraordinario y excepcional para aquellas plazas ocupadas temporalmente durante cinco años o más, cumple con los requisitos de la doctrina constitucional y es razonable, proporcionada y no arbitraria.</w:t>
      </w:r>
    </w:p>
    <w:p w14:paraId="08EDE73B" w14:textId="77777777" w:rsidR="00A8138F" w:rsidRDefault="00A8138F" w:rsidP="00A8138F">
      <w:pPr>
        <w:pStyle w:val="TextoNormal"/>
      </w:pPr>
    </w:p>
    <w:p w14:paraId="0BB10AA1" w14:textId="77777777" w:rsidR="00A8138F" w:rsidRDefault="00A8138F" w:rsidP="00A8138F">
      <w:pPr>
        <w:pStyle w:val="TextoNormal"/>
      </w:pPr>
      <w:r>
        <w:t xml:space="preserve">La conclusión de lo anterior es que “la Sala tiene graves dudas acerca de que el sacrificio del principio de igualdad que supone este sistema de selección cumpla con los estándares que de manera reiteradísima ha venido estableciendo el Tribunal Constitucional. Pues cumpliendo el de la previsión legal, no se cumplen el de las circunstancias extraordinarias, no </w:t>
      </w:r>
      <w:r>
        <w:lastRenderedPageBreak/>
        <w:t>imputables a la administración, ni el de que sea por una sola vez ni hacia el pasado (pues hay administraciones a las que se está habilitando para hacerlo de nuevo) ni hacia el futuro (pues ya se ha utilizado una vez más en el del Real Decreto-ley 5/2023)”.</w:t>
      </w:r>
    </w:p>
    <w:p w14:paraId="47B4917D" w14:textId="77777777" w:rsidR="00A8138F" w:rsidRDefault="00A8138F" w:rsidP="00A8138F">
      <w:pPr>
        <w:pStyle w:val="TextoNormal"/>
      </w:pPr>
    </w:p>
    <w:p w14:paraId="15C3857D" w14:textId="77777777" w:rsidR="00A8138F" w:rsidRDefault="00A8138F" w:rsidP="00A8138F">
      <w:pPr>
        <w:pStyle w:val="TextoNormal"/>
      </w:pPr>
      <w:r>
        <w:t>Por otra parte, el órgano judicial considera que las disposiciones que cuestiona son contrarias al orden constitucional de distribución de competencias por exceder del carácter de bases del régimen estatutario de los funcionarios públicos del art. 149.1.18 CE, vulnerando las potestades de autoorganización autonómica. El auto defiende que las bases en materia de selección se encuentran en el art. 61 TRLEEP, que fija los distintos tipos de sistemas selectivos (oposición, concurso-oposición y concurso), estableciendo que la previsión de concurso debería ser por ley y fijando ciertos criterios generales aplicables en todo caso. Ahora, sin embargo, la Ley 20/2021 impone a todas las administraciones el sistema de concurso en las disposiciones cuestionadas y obliga a realizar procesos selectivos, sustituyendo a las administraciones públicas en la toma de esta decisión típicamente autoorganizativa, imponiendo unas fechas en las cuales hay que realizar tales concursos. Se trata de una ley singular o de caso único, que, como la propia Ley 20/2021 señala, ejecuta la previsión del art. 61.6 TRLEEP relativa al concurso, y que dice dictarse con el amparo, también, del art. 149.1.18 CE. Para el órgano judicial “no se trata solamente de tener dudas sobre si se han extendido las bases más allá de lo que realmente pueda tener carácter básico, sino que, al estar aquí ante una ley singular, nos encontramos, realmente, ante un supuesto de ‘ejecución’ o ‘aplicación’ de las leyes más que de legislación, por mucho que esa ejecución se contenga en una norma con rango de ley. Y dicha ejecución es indudablemente competencia de la comunidad autónoma”. Si ha de ser una ley la que prevea la aplicación de un sistema de concurso, la ejecución de esa previsión básica siempre tendrá rango legal y será una ejecución de las previsiones legales que ha de realizar la comunidad autónoma.</w:t>
      </w:r>
    </w:p>
    <w:p w14:paraId="4AD8D6AE" w14:textId="77777777" w:rsidR="00A8138F" w:rsidRDefault="00A8138F" w:rsidP="00A8138F">
      <w:pPr>
        <w:pStyle w:val="TextoNormal"/>
      </w:pPr>
    </w:p>
    <w:p w14:paraId="35384537" w14:textId="2019481C" w:rsidR="00A8138F" w:rsidRDefault="00A8138F" w:rsidP="00A8138F">
      <w:pPr>
        <w:pStyle w:val="TextoNormal"/>
      </w:pPr>
      <w:r>
        <w:t>El auto concluye esta parte de su argumentación afirmando que es “como mínimo llamativo que el Estado pueda ‘mandar’ a las comunidades autónomas que convoquen procesos selectivos, en qué fechas y con qué método de selección. Es por ello por lo que, a nuestro juicio, puede estarse invadiendo competencias autonómicas, lo cual es un segundo motivo de posible inconstitucionalidad”.</w:t>
      </w:r>
    </w:p>
    <w:p w14:paraId="0BD1E23E" w14:textId="77777777" w:rsidR="00A8138F" w:rsidRDefault="00A8138F" w:rsidP="00A8138F">
      <w:pPr>
        <w:pStyle w:val="TextoNormal"/>
      </w:pPr>
    </w:p>
    <w:p w14:paraId="103FDFB8" w14:textId="0421AE30" w:rsidR="00A8138F" w:rsidRDefault="00A8138F" w:rsidP="00A8138F">
      <w:pPr>
        <w:pStyle w:val="TextoNormal"/>
      </w:pPr>
      <w:r w:rsidRPr="00A8138F">
        <w:rPr>
          <w:rStyle w:val="NumeroAFNegritaCaracter"/>
        </w:rPr>
        <w:t>4</w:t>
      </w:r>
      <w:r>
        <w:t>. Mediante ATC 50/2024, de 21 de mayo, el Pleno aceptó la solicitud de abstención formulada por el magistrado don Juan Carlos Campo Moreno, al amparo de lo previsto en el art. 219.13 de la Ley Orgánica del Poder Judicial (LOPJ), por haber participado, en su anterior condición de ministro de Justicia, en el Consejo de Ministros de 6 de julio de 2021, por el que se aprobó el Real Decreto-ley 14/2021, de 6 de julio, de medidas urgentes para la reducción de la temporalidad en el empleo público, que dio lugar, tras su tramitación como proyecto de ley, a la Ley 20/2021, de 28 de diciembre, de igual denominación, que es objeto de la cuestión de inconstitucionalidad planteada.</w:t>
      </w:r>
    </w:p>
    <w:p w14:paraId="55D29607" w14:textId="77777777" w:rsidR="00A8138F" w:rsidRDefault="00A8138F" w:rsidP="00A8138F">
      <w:pPr>
        <w:pStyle w:val="TextoNormal"/>
      </w:pPr>
    </w:p>
    <w:p w14:paraId="476CD23A" w14:textId="02C4B59C" w:rsidR="00A8138F" w:rsidRDefault="00A8138F" w:rsidP="00A8138F">
      <w:pPr>
        <w:pStyle w:val="TextoNormal"/>
      </w:pPr>
      <w:r w:rsidRPr="00A8138F">
        <w:rPr>
          <w:rStyle w:val="NumeroAFNegritaCaracter"/>
        </w:rPr>
        <w:t>5</w:t>
      </w:r>
      <w:r>
        <w:t xml:space="preserve">. Por providencia de 21 de mayo de 2024, el Pleno, a propuesta de la Sección Cuarta, acordó admitir a trámite la presente cuestión de inconstitucionalidad en relación con las disposiciones adicionales sexta y octava de la Ley 20/2021, de 28 de diciembre, de medidas urgentes para la reducción de la temporalidad en el empleo público, por posible vulneración de los arts. 23.2 y 149.1.18 CE; de conformidad con lo dispuesto en el art. 10.1 c) de la Ley Orgánica del Tribunal Constitucional (LOTC), reservar para sí el conocimiento de la cuestión; dar traslado de las actuaciones recibidas, conforme establece el art. 37.3 LOTC, al </w:t>
      </w:r>
      <w:r>
        <w:lastRenderedPageBreak/>
        <w:t>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Segunda de la Sala de lo Contencioso-Administrativo del Tribunal Superior de Justicia de Castilla-La Mancha, con sede en Albacete, a fin de que, de conformidad con lo dispuesto en el art. 35.3 LOTC, permanezca suspendido el proceso hasta que el Tribunal Constitucional resuelva definitivamente la presente cuestión; y publicar la incoación de esta en el “Boletín Oficial del Estado”.</w:t>
      </w:r>
    </w:p>
    <w:p w14:paraId="43D6FD5E" w14:textId="77777777" w:rsidR="00A8138F" w:rsidRDefault="00A8138F" w:rsidP="00A8138F">
      <w:pPr>
        <w:pStyle w:val="TextoNormal"/>
      </w:pPr>
    </w:p>
    <w:p w14:paraId="3133C8CB" w14:textId="7824BF49" w:rsidR="00A8138F" w:rsidRDefault="00A8138F" w:rsidP="00A8138F">
      <w:pPr>
        <w:pStyle w:val="TextoNormal"/>
      </w:pPr>
      <w:r w:rsidRPr="00A8138F">
        <w:rPr>
          <w:rStyle w:val="NumeroAFNegritaCaracter"/>
        </w:rPr>
        <w:t>6</w:t>
      </w:r>
      <w:r>
        <w:t>. La presidenta del Congreso de los Diputados comunicó el día 30 de mayo de 2024 el acuerdo de la Cámara en el sentido de darla por personada y por ofrecida su colaboración a los efectos del art. 88.1 LOTC. Lo mismo hizo el presidente del Senado en escrito registrado el día 6 de junio de 2024.</w:t>
      </w:r>
    </w:p>
    <w:p w14:paraId="758BC6A5" w14:textId="77777777" w:rsidR="00A8138F" w:rsidRDefault="00A8138F" w:rsidP="00A8138F">
      <w:pPr>
        <w:pStyle w:val="TextoNormal"/>
      </w:pPr>
    </w:p>
    <w:p w14:paraId="13162D66" w14:textId="77777777" w:rsidR="00A8138F" w:rsidRDefault="00A8138F" w:rsidP="00A8138F">
      <w:pPr>
        <w:pStyle w:val="TextoNormal"/>
      </w:pPr>
      <w:r w:rsidRPr="00A8138F">
        <w:rPr>
          <w:rStyle w:val="NumeroAFNegritaCaracter"/>
        </w:rPr>
        <w:t>7</w:t>
      </w:r>
      <w:r>
        <w:t>. El abogado del Estado se personó en el proceso y formulo alegaciones mediante escrito registrado el día 12 de junio de 2024, interesando la desestimación de la cuestión de inconstitucionalidad.</w:t>
      </w:r>
    </w:p>
    <w:p w14:paraId="097E7DC8" w14:textId="77777777" w:rsidR="00A8138F" w:rsidRDefault="00A8138F" w:rsidP="00A8138F">
      <w:pPr>
        <w:pStyle w:val="TextoNormal"/>
      </w:pPr>
    </w:p>
    <w:p w14:paraId="3CED69EE" w14:textId="77777777" w:rsidR="00A8138F" w:rsidRDefault="00A8138F" w:rsidP="00A8138F">
      <w:pPr>
        <w:pStyle w:val="TextoNormal"/>
      </w:pPr>
      <w:r>
        <w:t>Alude, en primer lugar, a la duda de constitucionalidad vinculada a la infracción del art. 23.2 CE, señalando que el auto se fundamenta en que no existe un mero riesgo de que se realice una valoración desproporcionada de los méritos en el concurso, lo que no provocaría la inconstitucionalidad de la norma, sino que en el caso que nos ocupa no es posible encontrar una interpretación del precepto que eluda una valoración desproporcionada de los méritos obtenidos en la propia administración convocante.</w:t>
      </w:r>
    </w:p>
    <w:p w14:paraId="207C8055" w14:textId="77777777" w:rsidR="00A8138F" w:rsidRDefault="00A8138F" w:rsidP="00A8138F">
      <w:pPr>
        <w:pStyle w:val="TextoNormal"/>
      </w:pPr>
    </w:p>
    <w:p w14:paraId="126E720B" w14:textId="77777777" w:rsidR="00A8138F" w:rsidRDefault="00A8138F" w:rsidP="00A8138F">
      <w:pPr>
        <w:pStyle w:val="TextoNormal"/>
      </w:pPr>
      <w:r>
        <w:t>El abogado del Estado discrepa de esa apreciación y señala, a partir de lo previsto en el art. 2 de la Ley 20/2021, que la justificación de la tasa excepcional y adicional a la de reposición se fundamenta en la palmaria imposibilidad de atajar el problema acudiendo a la tasa ordinaria de reposición. Pero en todo momento es preciso tener en cuenta que lo que recoge la norma, igual que hacían las leyes de presupuestos de 2017 y 2018, es habilitar una tasa adicional, diferenciada de la tasa ordinaria de reposición, y su regulación se ciñe a esta, y no al régimen general de acceso al empleo público. Por su parte, los preceptos cuestionados se limitan a establecer que las convocatorias de estabilización se remiten al art. 2 únicamente en cuanto al objeto. Critica seguidamente las referencias del auto de planteamiento al documento “Orientaciones para la puesta en marcha de los procesos de estabilización derivados de la Ley 20/2021”, pues tales orientaciones no constituyen en modo alguno criterio interpretativo de la citada ley, ni mucho menos desarrollo normativo, no teniendo valor normativo de ningún tipo, sin que sus posibles incorrecciones afecten a la Ley 20/2021. En todo caso, el abogado del Estado señala que en dicho documento se prohíben las convocatorias restringidas y se establecen únicamente orientaciones en punto a la valoración de méritos redactadas de modo condicional y orientativo. Recuerda que la doctrina constitucional se ha pronunciado con respecto a las convocatorias que determinan una mayor puntuación por los servicios prestados en la administración convocante (cita la STC 12/1999, de 11 de febrero) y señala que la doctrina constitucional también ha admitido, de forma más genérica para los procesos selectivos abiertos con valoración de servicios prestados, que la valoración de estos tenga una dimensión cuantitativa que no rebase el “límite de lo tolerable” (SSTC 67/1987, de 21 de mayo y 185/1994, de 20 de febrero).</w:t>
      </w:r>
    </w:p>
    <w:p w14:paraId="220523C7" w14:textId="77777777" w:rsidR="00A8138F" w:rsidRDefault="00A8138F" w:rsidP="00A8138F">
      <w:pPr>
        <w:pStyle w:val="TextoNormal"/>
      </w:pPr>
    </w:p>
    <w:p w14:paraId="4F39D3D3" w14:textId="77777777" w:rsidR="00A8138F" w:rsidRDefault="00A8138F" w:rsidP="00A8138F">
      <w:pPr>
        <w:pStyle w:val="TextoNormal"/>
      </w:pPr>
      <w:r>
        <w:t>El abogado del Estado resalta la excepcionalidad de la situación y la necesidad de adoptar lo que denomina “medidas de choque”, que corrijan una situación altamente irregular que se mantiene en el tiempo, siendo esta contraria al Derecho de la Unión Europea, por lo que es preciso adoptar medidas respetuosas con los principios constitucionales de igualdad, mérito y capacidad. Destaca que se dan las tres circunstancias que, conforme a la doctrina constitucional, justifican la inclusión de facilidades para el personal interino: que se trate de un medio excepcional y adecuado para resolver una situación también excepcional; que se halle expresamente prevista en una norma con rango de ley y con el objeto de alcanzar una finalidad constitucionalmente legítima, entre las que se integra la propia eficacia de la administración pública; y que se acuda a este tipo de procedimientos una sola vez. Señala también que, en lo relativo a que la valoración de la experiencia sea superior al 50 por 100, las normas no efectúan tal remisión, ni pre-condicionan esa ponderación, ni siquiera hacen referencia a la experiencia en el cuerpo o escala por encima de otras. Por ello, en ningún caso se puede reprochar a la norma impugnada que haya establecido una ponderación que pueda calificarse de inconstitucional, independientemente de cómo haya podido ser aplicada, lo que debería conducir a la desestimación de esta cuestión y trasladar el objeto del proceso al enjuiciamiento del caso planteado de acuerdo con la aplicación ordinaria de las normas que concurren, lo que queda fuera del ámbito del procedimiento y pronunciamiento del Tribunal Constitucional.</w:t>
      </w:r>
    </w:p>
    <w:p w14:paraId="67CBE4DB" w14:textId="77777777" w:rsidR="00A8138F" w:rsidRDefault="00A8138F" w:rsidP="00A8138F">
      <w:pPr>
        <w:pStyle w:val="TextoNormal"/>
      </w:pPr>
    </w:p>
    <w:p w14:paraId="7A1482DF" w14:textId="77777777" w:rsidR="00A8138F" w:rsidRDefault="00A8138F" w:rsidP="00A8138F">
      <w:pPr>
        <w:pStyle w:val="TextoNormal"/>
      </w:pPr>
      <w:r>
        <w:t>Alega también que la doctrina constitucional citada en el auto tiene poco que ver con el asunto que ha llevado al planteamiento de la cuestión de inconstitucionalidad, ya que ninguna de ellas se refiere a supuestos en los que el Tribunal Constitucional hubiera autorizado “por una sola vez” el acceso al empleo público legalmente establecido por el procedimiento de concurso. En todo caso la referencia a “una sola vez” ha de ser entendida en relación con la finalidad perseguida, para impedir que pueda utilizarse con esa misma finalidad en el futuro. De este modo, con la entrada en vigor de la Ley 20/2021, y dado que la propia ley establece que ese mecanismo solo puede usarse por una vez, de producirse en el futuro nuevas situaciones de temporalidad desmedida, la posibilidad de volver a convocar procesos de estabilización por concurso quedaría vedada. Explica el abogado del Estado que la regulación del art. 217 del Real Decreto-ley 5/2023, citado en el auto de planteamiento, se enmarca en la previa Ley 20/2021 y tiene por finalidad garantizar la aplicación de lo previsto en las disposiciones adicionales sexta y octava de la Ley 20/2021 respecto a la utilización del sistema selectivo de concurso. Se trata de una medida para hacer frente a una situación excepcional, en la que la interinidad se centra en sectores como la educación, sanidad y justicia, servicios públicos esenciales, intensivos en recursos humanos y enormemente sensibles a fluctuaciones en la llegada de efectivos. Para el abogado del Estado se cumple el requisito de la excepcionalidad, en tanto que el contexto presupuestario restrictivo y la congelación de las tasas de reposición ordinarias en las leyes de presupuestos anuales generó un déficit de personal que exacerbó el riesgo de que se paralizasen servicios públicos, provocando una situación absolutamente critica en la que era preciso adoptar medidas de choque. En este sentido, el porcentaje de efectivos temporales en las administraciones públicas era absolutamente excepcional y la legitimidad de los procesos selectivos radica en el aseguramiento de la eficacia de la actuación de los servicios públicos.</w:t>
      </w:r>
    </w:p>
    <w:p w14:paraId="5CB6CBD4" w14:textId="77777777" w:rsidR="00A8138F" w:rsidRDefault="00A8138F" w:rsidP="00A8138F">
      <w:pPr>
        <w:pStyle w:val="TextoNormal"/>
      </w:pPr>
    </w:p>
    <w:p w14:paraId="69F573CE" w14:textId="77777777" w:rsidR="00A8138F" w:rsidRDefault="00A8138F" w:rsidP="00A8138F">
      <w:pPr>
        <w:pStyle w:val="TextoNormal"/>
      </w:pPr>
      <w:r>
        <w:t xml:space="preserve">Se refiere también a los procedimientos de infracción abiertos a España por la Unión Europea, en relación con la excesiva temporalidad del empleo público, a los que se pretende </w:t>
      </w:r>
      <w:r>
        <w:lastRenderedPageBreak/>
        <w:t>dar respuesta con este tipo de medidas de emergencia que, además, forman parte de un paquete de reformas en relación con el régimen de temporalidad para apostar por un empleo público profesional, estable y de calidad. Menciona tanto la Ley 20/2021 como el Real Decreto-ley 32/2021, de 28 de diciembre, de medidas urgentes para la reforma laboral, la garantía de la estabilidad en el empleo y la transformación del mercado de trabajo. También se refiere a la Ley 31/2022, de 23 de diciembre, de presupuestos generales del Estado para el año 2023. La finalidad de tales reformas es doble, afirma el abogado del Estado: por un lado, la planificación de las necesidades de la administración, que ha de poder seleccionar y distribuir sus recursos de forma adecuada a las mismas, promoviendo la profesionalización de su personal en garantía de la mejor calidad de los servicios públicos; y por otro, el veto a la precarización del empleo público. Todo ello, adecuándose al marco normativo europeo, por el cual la temporalidad en ningún caso puede ser el recurso con el que se cubran las necesidades estructurales de una organización, ya que la finalidad de esta clase de personal es, precisamente, cubrir necesidades coyunturales, en base a un régimen jurídico específico, que refleje estas particularidades frente al aplicable al personal estructural propio de las administraciones, como es el personal funcionario de carrera o el personal laboral fijo.</w:t>
      </w:r>
    </w:p>
    <w:p w14:paraId="3154E3B4" w14:textId="77777777" w:rsidR="00A8138F" w:rsidRDefault="00A8138F" w:rsidP="00A8138F">
      <w:pPr>
        <w:pStyle w:val="TextoNormal"/>
      </w:pPr>
    </w:p>
    <w:p w14:paraId="7CADEAD6" w14:textId="77777777" w:rsidR="00A8138F" w:rsidRDefault="00A8138F" w:rsidP="00A8138F">
      <w:pPr>
        <w:pStyle w:val="TextoNormal"/>
      </w:pPr>
      <w:r>
        <w:t>El abogado del Estado también descarta que las disposiciones cuestionadas sean contrarias al orden competencial. La opción por el sistema de concurso no agota el contenido de las bases, que no tienen por qué estar contenidas únicamente en el texto refundido de la Ley del estatuto básico del empleado público. Se trata, además, de un ámbito comprendido en cuestiones tales como la normación relativa a la adquisición y pérdida de la condición de funcionario o al modo de provisión de puestos de trabajo al servicio de las administraciones públicas. Encaja, pues, en las bases del régimen estatutario de los funcionarios públicos, que incluyen la norma estatal que prevé que la adquisición de tal condición se verificará mediante convocatorias abiertas, y asimismo, por implicar una modulación de dicha norma, las excepciones que eventualmente se puedan prever a tal regla general, incluidos requisitos específicos para determinadas convocatorias.</w:t>
      </w:r>
    </w:p>
    <w:p w14:paraId="0C8A2F79" w14:textId="77777777" w:rsidR="00A8138F" w:rsidRDefault="00A8138F" w:rsidP="00A8138F">
      <w:pPr>
        <w:pStyle w:val="TextoNormal"/>
      </w:pPr>
    </w:p>
    <w:p w14:paraId="439DAFD0" w14:textId="31D4151C" w:rsidR="00A8138F" w:rsidRDefault="00A8138F" w:rsidP="00A8138F">
      <w:pPr>
        <w:pStyle w:val="TextoNormal"/>
      </w:pPr>
      <w:r>
        <w:t>Por fin, el abogado del Estado niega que la Ley 20/2021 sea una ley singular. Lo que sucede es que la excepción al sistema general de acceso a la función pública legalmente establecido, ha de ser fijada, asimismo, por una norma con rango de ley que, como tal, tiene carácter de legislación básica. Por otra parte indica que, en la medida en que la Ley 20/2021 habilita una tasa específica de reposición, adicional a la tasa ordinaria que recoge la correspondiente ley de presupuestos generales del Estado, y establece unas reglas para su ejercicio, se apoya en las competencias del Estado en cuanto a la planificación económica.</w:t>
      </w:r>
    </w:p>
    <w:p w14:paraId="54B32D48" w14:textId="77777777" w:rsidR="00A8138F" w:rsidRDefault="00A8138F" w:rsidP="00A8138F">
      <w:pPr>
        <w:pStyle w:val="TextoNormal"/>
      </w:pPr>
    </w:p>
    <w:p w14:paraId="50305C53" w14:textId="374B3CE1" w:rsidR="00A8138F" w:rsidRDefault="00A8138F" w:rsidP="00A8138F">
      <w:pPr>
        <w:pStyle w:val="TextoNormal"/>
      </w:pPr>
      <w:r w:rsidRPr="00A8138F">
        <w:rPr>
          <w:rStyle w:val="NumeroAFNegritaCaracter"/>
        </w:rPr>
        <w:t>8</w:t>
      </w:r>
      <w:r>
        <w:t>. El letrado de la Junta de Comunidades de Castilla-La Mancha, en la representación que ostenta, se personó en el proceso por escrito registrado el día 14 de junio de 2024, manifestando su intención de formular alegaciones en los quince días siguientes, conforme al art. 37.2 LOTC. Por diligencia de ordenación del secretario de justicia del Pleno de 1 de julio de 2024 se acuerda unir a las actuaciones el escrito presentado por el letrado de la Junta de Comunidades de Castilla-La Mancha, en nombre y representación de esta, y tenerle por personado y parte en la presente cuestión de inconstitucionalidad, acordándose entender con él las sucesivas actuaciones, y, conforme establece el art. 37.2 LOTC, se le concede un plazo de quince días para que formule las alegaciones que estime convenientes.</w:t>
      </w:r>
    </w:p>
    <w:p w14:paraId="1ED7BE18" w14:textId="77777777" w:rsidR="00A8138F" w:rsidRDefault="00A8138F" w:rsidP="00A8138F">
      <w:pPr>
        <w:pStyle w:val="TextoNormal"/>
      </w:pPr>
    </w:p>
    <w:p w14:paraId="14072F8A" w14:textId="77777777" w:rsidR="00A8138F" w:rsidRDefault="00A8138F" w:rsidP="00A8138F">
      <w:pPr>
        <w:pStyle w:val="TextoNormal"/>
      </w:pPr>
      <w:r w:rsidRPr="00A8138F">
        <w:rPr>
          <w:rStyle w:val="NumeroAFNegritaCaracter"/>
        </w:rPr>
        <w:lastRenderedPageBreak/>
        <w:t>9</w:t>
      </w:r>
      <w:r>
        <w:t>. Las alegaciones del fiscal general del Estado, en las que interesa la desestimación de la cuestión de inconstitucionalidad, se registraron el día 1 de julio de 2024.</w:t>
      </w:r>
    </w:p>
    <w:p w14:paraId="03859066" w14:textId="77777777" w:rsidR="00A8138F" w:rsidRDefault="00A8138F" w:rsidP="00A8138F">
      <w:pPr>
        <w:pStyle w:val="TextoNormal"/>
      </w:pPr>
    </w:p>
    <w:p w14:paraId="71459274" w14:textId="77777777" w:rsidR="00A8138F" w:rsidRDefault="00A8138F" w:rsidP="00A8138F">
      <w:pPr>
        <w:pStyle w:val="TextoNormal"/>
      </w:pPr>
      <w:r>
        <w:t>Comienza refiriendo extensamente los antecedentes de la presente cuestión de inconstitucionalidad, para después reproducir las disposiciones cuestionadas, así como los razonamientos del auto de planteamiento de la cuestión. Estima a continuación que el trámite de audiencia a las partes y al Ministerio Fiscal se ha realizado correctamente, por cuanto se han identificado las normas legales cuestionadas y los preceptos constitucionales que se entienden infringidos permitiendo a las partes pronunciarse sobre las dudas de inconstitucionalidad planteadas. Igualmente se consideran adecuadamente formulados los juicios de aplicabilidad y relevancia.</w:t>
      </w:r>
    </w:p>
    <w:p w14:paraId="30085583" w14:textId="77777777" w:rsidR="00A8138F" w:rsidRDefault="00A8138F" w:rsidP="00A8138F">
      <w:pPr>
        <w:pStyle w:val="TextoNormal"/>
      </w:pPr>
    </w:p>
    <w:p w14:paraId="4DA94353" w14:textId="77777777" w:rsidR="00A8138F" w:rsidRDefault="00A8138F" w:rsidP="00A8138F">
      <w:pPr>
        <w:pStyle w:val="TextoNormal"/>
      </w:pPr>
      <w:r>
        <w:t>Menciona seguidamente el contenido de la Ley 20/2021 y destaca que las dos disposiciones cuestionadas prevén un nuevo proceso de estabilización para atajar la precarización de los empleados públicos consecuencia del abuso en la contratación temporal sucesiva. Se trata, por tanto, de un proceso de consolidación de empleo temporal por el procedimiento de concurso orientado a la integración de los seleccionados, funcionarios interinos, en alguno de los cuerpos de la administración de Castilla-La Mancha. Seguidamente recuerda la doctrina constitucional sobre el acceso a la función pública y su relación con el art. 23.2 CE, lo que implica que, como regla general, dicho acceso ha de realizarse en convocatorias abiertas.</w:t>
      </w:r>
    </w:p>
    <w:p w14:paraId="23ABA9E5" w14:textId="77777777" w:rsidR="00A8138F" w:rsidRDefault="00A8138F" w:rsidP="00A8138F">
      <w:pPr>
        <w:pStyle w:val="TextoNormal"/>
      </w:pPr>
    </w:p>
    <w:p w14:paraId="0A3767F1" w14:textId="77777777" w:rsidR="00A8138F" w:rsidRDefault="00A8138F" w:rsidP="00A8138F">
      <w:pPr>
        <w:pStyle w:val="TextoNormal"/>
      </w:pPr>
      <w:r>
        <w:t>A continuación el fiscal general del Estado se plantea si estamos ante un proceso de selección abierto o si se trata de pruebas restringidas. A juicio del Ministerio Público, pese a que la norma guarda silencio sobre los destinatarios de la misma, cabe entender que, por la finalidad y el objeto de la norma y las razones que alega la exposición de motivos, la Ley 20/2021, y en particular las disposiciones cuestionadas, están orientadas a aquellos que ocupan o han ocupado una plaza en las diferentes administraciones públicas con carácter temporal. Ello le lleva a afirmar que el sistema de concurso que prevé la disposición adicional sexta es un proceso de selección propio de las pruebas restringidas para el acceso a la función pública, lo que confirman las propias circunstancias del caso, en especial la resolución de 12 de diciembre de 2022 que convocó la oferta de empleo público conforme a las disposiciones ahora cuestionadas. Ello entra en conflicto, en principio, con las previsiones del texto refundido de la Ley del estatuto básico del empleado público que establecen el carácter abierto de los procesos selectivos y el derecho de los ciudadanos al acceso al empleo público en condiciones de igualdad.</w:t>
      </w:r>
    </w:p>
    <w:p w14:paraId="02885121" w14:textId="77777777" w:rsidR="00A8138F" w:rsidRDefault="00A8138F" w:rsidP="00A8138F">
      <w:pPr>
        <w:pStyle w:val="TextoNormal"/>
      </w:pPr>
    </w:p>
    <w:p w14:paraId="23DAD7A2" w14:textId="77777777" w:rsidR="00A8138F" w:rsidRDefault="00A8138F" w:rsidP="00A8138F">
      <w:pPr>
        <w:pStyle w:val="TextoNormal"/>
      </w:pPr>
      <w:r>
        <w:t>No obstante, el fiscal general del Estado recuerda que el respeto al principio de igualdad de los ciudadanos en el acceso a la función pública a través de un sistema de selección abierto y la excepción a estos principios a través de pruebas restringidas como un medio excepcional y adecuado para resolver una situación también excepcional aparece consagrado en la doctrina constitucional (cita las SSTC 60/1994, de 28 de febrero; 238/2015, de 19 de noviembre, y 154/2017, 21 de diciembre).</w:t>
      </w:r>
    </w:p>
    <w:p w14:paraId="191A5C2F" w14:textId="77777777" w:rsidR="00A8138F" w:rsidRDefault="00A8138F" w:rsidP="00A8138F">
      <w:pPr>
        <w:pStyle w:val="TextoNormal"/>
      </w:pPr>
    </w:p>
    <w:p w14:paraId="73826FE5" w14:textId="77777777" w:rsidR="00A8138F" w:rsidRDefault="00A8138F" w:rsidP="00A8138F">
      <w:pPr>
        <w:pStyle w:val="TextoNormal"/>
      </w:pPr>
      <w:r>
        <w:t xml:space="preserve">En todo caso, si la regla general es la convocatoria abierta para adquirir la condición de funcionario público, el sistema de concurso </w:t>
      </w:r>
      <w:r w:rsidRPr="00A8138F">
        <w:rPr>
          <w:i/>
        </w:rPr>
        <w:t>per se</w:t>
      </w:r>
      <w:r>
        <w:t xml:space="preserve"> supone una restricción a esta libre concurrencia, puesto que se valoran los méritos y, por ende, no podrán concurrir quienes no posean precisamente los méritos que se valorarán en el concurso. Igualmente queda com</w:t>
      </w:r>
      <w:r>
        <w:lastRenderedPageBreak/>
        <w:t>prometido el principio de mérito y capacidad, pues se prescinde de una serie de pruebas destinadas a determinar la aptitud e idoneidad de los aspirantes. Para el Ministerio Público, habida cuenta que el concurso es de méritos y que el mérito será la experiencia en la administración, ya que se trata de un proceso dirigido a la reducción de la temporalidad en el empleo público, se verán beneficiados los que hubieran desempeñado puestos en régimen de interinidad y no aquellos que no hubieren realizado esta tarea. A lo anterior no se opone que la disposición adicional sexta no señale los méritos ni los sujetos destinatarios que pueden participar en los concursos, ya que de la propia Ley 20/2021 se sigue que tales concursos están dirigidos a los interinos, que se valoran méritos y que se especifican las características de las plazas que se ofertan por el sistema de concurso.</w:t>
      </w:r>
    </w:p>
    <w:p w14:paraId="4D3EC494" w14:textId="77777777" w:rsidR="00A8138F" w:rsidRDefault="00A8138F" w:rsidP="00A8138F">
      <w:pPr>
        <w:pStyle w:val="TextoNormal"/>
      </w:pPr>
    </w:p>
    <w:p w14:paraId="5528D953" w14:textId="77777777" w:rsidR="00A8138F" w:rsidRDefault="00A8138F" w:rsidP="00A8138F">
      <w:pPr>
        <w:pStyle w:val="TextoNormal"/>
      </w:pPr>
      <w:r>
        <w:t>Se trata, por tanto, a juicio del fiscal general del Estado, de valorar si concurre la circunstancia excepcional que justifica el recurso a este tipo de pruebas. Aludiendo a la exposición de motivos de la Ley 20/2021, señala que las razones que respaldan la excepcionalidad de la situación son: (i) la tasa de temporalidad registrada en el empleo público es ya superior a la registrada en el sector privado, lo que se aleja del modelo constitucional de función pública y compromete la adecuada prestación de los servicios públicos, en la medida en que la temporalidad impide articular políticas de recursos humanos dirigidas a garantizar la calidad de los servicios públicos; (ii) la adopción de medidas que permitan controlar y reducir el exceso de temporalidad deviene perentoria para garantizar los principios de eficacia y eficiencia en el funcionamiento de las administraciones públicas; (iii) esta situación no ha pasado inadvertida a las instituciones de la Unión Europea, que reclaman medidas correctoras, tal como se recoge en el componente 11 del Plan de recuperación, transformación y sesiliencia, referido a la modernización de las administraciones públicas, de cuyo cumplimiento depende la liberación de fondos; (iv) la jurisprudencia del Tribunal de Justicia de la Unión Europea hace necesaria una intervención del legislador a fin de precisar el régimen jurídico aplicable; (v) las medidas de la Ley 20/2021pretenden garantizar que las administraciones públicas inicien una senda de reequilibrio que aporte credibilidad a la evolución futura de la temporalidad en el empleo público, a fin de situar la tasa de cobertura temporal por debajo del 8 por 100 de las plazas estructurales y (vi) hacia el pasado, la Ley 20/2021 establece plazos para garantizar el cumplimiento de todas las ofertas de empleo público antes de 31 de diciembre de 2024 y hacia el futuro, la reforma de la legislación básica pretende atajar la excesiva temporalidad.</w:t>
      </w:r>
    </w:p>
    <w:p w14:paraId="22A1EF60" w14:textId="77777777" w:rsidR="00A8138F" w:rsidRDefault="00A8138F" w:rsidP="00A8138F">
      <w:pPr>
        <w:pStyle w:val="TextoNormal"/>
      </w:pPr>
    </w:p>
    <w:p w14:paraId="2F4BB1CE" w14:textId="77777777" w:rsidR="00A8138F" w:rsidRDefault="00A8138F" w:rsidP="00A8138F">
      <w:pPr>
        <w:pStyle w:val="TextoNormal"/>
      </w:pPr>
      <w:r>
        <w:t>Con ello, el Ministerio Público destaca que se trata de un proceso que pretende reducir la temporalidad en la función pública creada por la propia actuación de las administraciones públicas, lo que en principio supone y no justifica una vulneración del derecho de acceso a la función pública y a los cargos públicos en condiciones de igualdad con arreglo a los requisitos que señalan las leyes. Proceso que es equiparable a otros procesos de funcionarización realizados con anterioridad con ocasión del desarrollo del Estado autonómico y dirigidos a completar las plantillas de personal de las administraciones públicas autonómicas. En sus propias palabras, el fiscal general del Estado señala que en el caso “existe una previsión legal de la medida que aparece como algo excepcional para alcanzar una finalidad legítima pues como excepcional debe tenerse la alta tasa de temporalidad en el empleo público y como legitimas finalidades reducir la precariedad y dicha tasa dadas las circunstancias y motivos que se describen en la exposición de motivos de la ley, el cumplimiento de los compromisos del Estado con la Unión Europea y la doctrina del Tribunal de Justicia de la Unión Europea sobre el abuso de la contratación temporal en el empleo público, elemen</w:t>
      </w:r>
      <w:r>
        <w:lastRenderedPageBreak/>
        <w:t xml:space="preserve">tos que hacen que la diferencia de trato que supone recurrir al sistema de valoración de méritos en exclusiva para acceder a la función pública sea respetuosa con el derecho reconocido en el art. 23.2 CE por considerarse la medida de utilizar el sistema de concurso como idónea, razonable, proporcionada y no arbitraria pues pretende dar solución a la excepcionalidad que supone una tasa de temporalidad en la administración pública de un 30 por 100, situación excepcional creada por el exceso de interinidad en la función pública derivada de políticas de personal en la administración de carácter presupuestario que en determinados periodos han supuesto una tasa de reposición cero, acudir para dar respuesta a las necesidades de personal de la administración pública a la contratación de interinos y con la medida dar solución a la situación de precariedad en perjuicio del personal”. Así pues considera que no es extravagante o ilógico que el Estado, conforme a la normativa funcionarial, utilice uno de los sistemas que esta prevé para solucionar el exceso de temporalidad en la administración pública y a ello no se opone que “hayan sido las propias administraciones públicas las que hayan dado lugar a esta situación pues la finalidad perseguida es evitar la temporalidad y con ello la precariedad en el trabajo en la función pública y destinado a la estabilidad en el empleo público”. Concluye este apartado señalando que no puede haber un </w:t>
      </w:r>
      <w:r w:rsidRPr="00A8138F">
        <w:rPr>
          <w:i/>
        </w:rPr>
        <w:t>numerus clausus</w:t>
      </w:r>
      <w:r>
        <w:t xml:space="preserve"> de causas excepcionales que justificarían la utilización de unas pruebas restringidas, sino que tales causas, como excepción a los principios de igualdad, mérito y capacidad, deben concretarse y apreciarse por la doctrina constitucional.</w:t>
      </w:r>
    </w:p>
    <w:p w14:paraId="0609F95A" w14:textId="77777777" w:rsidR="00A8138F" w:rsidRDefault="00A8138F" w:rsidP="00A8138F">
      <w:pPr>
        <w:pStyle w:val="TextoNormal"/>
      </w:pPr>
    </w:p>
    <w:p w14:paraId="21C80050" w14:textId="77777777" w:rsidR="00A8138F" w:rsidRDefault="00A8138F" w:rsidP="00A8138F">
      <w:pPr>
        <w:pStyle w:val="TextoNormal"/>
      </w:pPr>
      <w:r>
        <w:t>En cuanto a la segunda duda del órgano judicial, relativa al carácter de ley singular de las disposiciones cuestionadas y la vulneración del art. 149.1.18 CE, estima que se trata de una ley cuya ejecución ha de ser autonómica, pero en el marco diseñado por las normas básicas. Para el fiscal, la disposición adicional sexta tiene carácter formal y materialmente básico, por cuanto se proclama dictada al amparo del art. 149.1.18 CE y por cuanto impone el sistema de concurso en cumplimiento de un interés general, la reducción de la tasa de temporalidad en el empleo público, habilitando un proceso de selección para ello. Llega a la conclusión de que las dos disposiciones cuestionadas respetan el principio de autoorganización autonómico, pues para nada inciden en la organización de relaciones de puestos de trabajo u otros instrumentos organizativos similares, ni crean, modifican o suprimen los órganos, unidades administrativas o entidades que configuran la respectiva administración autonómica o dependen de ella.</w:t>
      </w:r>
    </w:p>
    <w:p w14:paraId="4E9CE923" w14:textId="77777777" w:rsidR="00A8138F" w:rsidRDefault="00A8138F" w:rsidP="00A8138F">
      <w:pPr>
        <w:pStyle w:val="TextoNormal"/>
      </w:pPr>
    </w:p>
    <w:p w14:paraId="1E36BFB7" w14:textId="3DD48703" w:rsidR="00A8138F" w:rsidRDefault="00A8138F" w:rsidP="00A8138F">
      <w:pPr>
        <w:pStyle w:val="TextoNormal"/>
      </w:pPr>
      <w:r>
        <w:t>Respecto al carácter de ley singular de las normas cuestionadas, el Ministerio Público resalta que, conforme a la doctrina constitucional (cita la STC 134/2019, de 13 de noviembre) no estamos ante una ley singular propiamente dicha. No es una norma autoaplicativa, ni puede calificarse de singular en atención a los destinatarios a los que va dirigida, y tampoco aparece como una norma dictada en atención a un supuesto de hecho concreto y singular que agote en él su contenido y eficacia. Señala, además, que ninguna de estas cuestiones tiene sentido cuando la forma de ley es una exigencia para la decisión de convocar el sistema de concurso, como sucede en este caso, en el que la disposición adicional sexta no es sino un ejercicio normal de la potestad legislativa que viene determinada por el texto refundido de la Ley del estatuto básico del empleado público, el cual exige que el proceso de selección por el sistema de concurso para el acceso a la función pública solo pueda aplicarse en virtud de una ley que impone con carácter general y en satisfacción de un interés general, para reducir la temporalidad en el empleo público.</w:t>
      </w:r>
    </w:p>
    <w:p w14:paraId="14D8F702" w14:textId="77777777" w:rsidR="00A8138F" w:rsidRDefault="00A8138F" w:rsidP="00A8138F">
      <w:pPr>
        <w:pStyle w:val="TextoNormal"/>
      </w:pPr>
    </w:p>
    <w:p w14:paraId="07C66740" w14:textId="77777777" w:rsidR="00A8138F" w:rsidRDefault="00A8138F" w:rsidP="00A8138F">
      <w:pPr>
        <w:pStyle w:val="TextoNormal"/>
      </w:pPr>
      <w:r w:rsidRPr="00A8138F">
        <w:rPr>
          <w:rStyle w:val="NumeroAFNegritaCaracter"/>
        </w:rPr>
        <w:lastRenderedPageBreak/>
        <w:t>10</w:t>
      </w:r>
      <w:r>
        <w:t>. Las alegaciones del letrado de la Junta de Comunidades de Castilla-La Mancha, en las que interesa la desestimación de la cuestión de inconstitucionalidad, se registraron en este tribunal el día 19 de julio de 2024.</w:t>
      </w:r>
    </w:p>
    <w:p w14:paraId="306582DB" w14:textId="77777777" w:rsidR="00A8138F" w:rsidRDefault="00A8138F" w:rsidP="00A8138F">
      <w:pPr>
        <w:pStyle w:val="TextoNormal"/>
      </w:pPr>
    </w:p>
    <w:p w14:paraId="56ED9E75" w14:textId="77777777" w:rsidR="00A8138F" w:rsidRDefault="00A8138F" w:rsidP="00A8138F">
      <w:pPr>
        <w:pStyle w:val="TextoNormal"/>
      </w:pPr>
      <w:r>
        <w:t>Aborda separadamente las posibles vulneraciones de los dos preceptos constitucionales: arts. 23.2 y 149.1.18 CE.</w:t>
      </w:r>
    </w:p>
    <w:p w14:paraId="0C0E39CB" w14:textId="77777777" w:rsidR="00A8138F" w:rsidRDefault="00A8138F" w:rsidP="00A8138F">
      <w:pPr>
        <w:pStyle w:val="TextoNormal"/>
      </w:pPr>
    </w:p>
    <w:p w14:paraId="12A7D1FE" w14:textId="77777777" w:rsidR="00A8138F" w:rsidRDefault="00A8138F" w:rsidP="00A8138F">
      <w:pPr>
        <w:pStyle w:val="TextoNormal"/>
      </w:pPr>
      <w:r>
        <w:t>Sobre la primera considera que no existe tal vulneración. La exposición de motivos de la Ley 20/2021 justifica la regulación y explicita los motivos que acreditan que no existe una vulneración del principio de igualdad, señalando que la reforma ha contado con el juicio favorable de la Comisión Europea y se ha elaborado respetando los principios constitucionales de igualdad, mérito y capacidad en el acceso al empleo público. Alude también a la sentencia del Tribunal Supremo 1071/2023, de 20 de julio (ECLI:ES:TS:2023:3369), que ha descartado la inconstitucionalidad de la Ley 20/2021, doctrina que se reitera en las posteriores sentencias del Tribunal Supremo 161/2024, de 1 de febrero (ECLI:ES:TS:2024:355), y 191/2024, de 5 de febrero (ECLI:ES:TS:2024:501).</w:t>
      </w:r>
    </w:p>
    <w:p w14:paraId="7FD324F6" w14:textId="77777777" w:rsidR="00A8138F" w:rsidRDefault="00A8138F" w:rsidP="00A8138F">
      <w:pPr>
        <w:pStyle w:val="TextoNormal"/>
      </w:pPr>
    </w:p>
    <w:p w14:paraId="40668E21" w14:textId="77777777" w:rsidR="00A8138F" w:rsidRDefault="00A8138F" w:rsidP="00A8138F">
      <w:pPr>
        <w:pStyle w:val="TextoNormal"/>
      </w:pPr>
      <w:r>
        <w:t>Cuestiona la interpretación del órgano judicial según la cual el art. 2.4 de la Ley 20/2021 impone que en los procesos selectivos que se convoquen de acuerdo con las disposiciones adicionales sexta y octava “hay que valorar mayoritariamente (esto es, como mínimo en un 51 por 100) la experiencia en el cuerpo o escala de que se trate”. El citado art. 2.4 de la Ley 20/2021 puede interpretarse en el sentido de que solo obliga a valorar la experiencia en el cuerpo o escala correspondiente con una mayor puntuación que el resto de los méritos, pero no necesariamente con un 51 por 100 de la puntuación total del proceso selectivo.</w:t>
      </w:r>
    </w:p>
    <w:p w14:paraId="4B1B967A" w14:textId="77777777" w:rsidR="00A8138F" w:rsidRDefault="00A8138F" w:rsidP="00A8138F">
      <w:pPr>
        <w:pStyle w:val="TextoNormal"/>
      </w:pPr>
    </w:p>
    <w:p w14:paraId="2304564B" w14:textId="77777777" w:rsidR="00A8138F" w:rsidRDefault="00A8138F" w:rsidP="00A8138F">
      <w:pPr>
        <w:pStyle w:val="TextoNormal"/>
      </w:pPr>
      <w:r>
        <w:t>La intención y finalidad de la Ley 20/2021 es reducir considerablemente la temporalidad del empleo público y, para ello, pone en marcha una convocatoria excepcional de estabilización de empleo temporal de larga duración en los términos previstos en las disposiciones adicionales sexta y octava. La finalidad del procedimiento de estabilización del empleo temporal de larga duración no es constitucionalmente ilegítima, al tratarse de una convocatoria excepcional, que se realizará por una sola vez y que afecta a las plazas ocupadas con carácter temporal de forma ininterrumpida con anterioridad al 1 de enero de 2016, es decir, que se refiere a personal temporal de larga duración de manera ininterrumpida.</w:t>
      </w:r>
    </w:p>
    <w:p w14:paraId="5E518A81" w14:textId="77777777" w:rsidR="00A8138F" w:rsidRDefault="00A8138F" w:rsidP="00A8138F">
      <w:pPr>
        <w:pStyle w:val="TextoNormal"/>
      </w:pPr>
    </w:p>
    <w:p w14:paraId="06F84E0F" w14:textId="77777777" w:rsidR="00A8138F" w:rsidRDefault="00A8138F" w:rsidP="00A8138F">
      <w:pPr>
        <w:pStyle w:val="TextoNormal"/>
      </w:pPr>
      <w:r>
        <w:t>El letrado de la Junta de Comunidades de Castilla-La Mancha estima también que las disposiciones cuestionadas no son contrarias al orden de distribución de competencias. La Ley 20/2021, antes de su promulgación, fue objeto de un intenso y sostenido diálogo entre la Administración General del Estado y las comunidades autónomas, de modo que la Ley 20/2021 se configura como una norma fruto del consenso entre el Estado y las comunidades autónomas, para tratar de clarificar las bases en esta materia en todo el territorio nacional y planificar y equiparar una respuesta común y equitativa a los posibles abusos de temporalidad.</w:t>
      </w:r>
    </w:p>
    <w:p w14:paraId="231E48E5" w14:textId="77777777" w:rsidR="00A8138F" w:rsidRDefault="00A8138F" w:rsidP="00A8138F">
      <w:pPr>
        <w:pStyle w:val="TextoNormal"/>
      </w:pPr>
    </w:p>
    <w:p w14:paraId="31D33374" w14:textId="5BDF355C" w:rsidR="00A8138F" w:rsidRDefault="00A8138F" w:rsidP="00A8138F">
      <w:pPr>
        <w:pStyle w:val="TextoNormal"/>
      </w:pPr>
      <w:r>
        <w:t>Finaliza su escrito señalando que, en el caso de que se declare en sentencia la inconstitucionalidad de las disposiciones cuestionadas, se limite sus efectos declarando la intangibilidad de las situaciones consolidadas.</w:t>
      </w:r>
    </w:p>
    <w:p w14:paraId="5E85D973" w14:textId="77777777" w:rsidR="00A8138F" w:rsidRDefault="00A8138F" w:rsidP="00A8138F">
      <w:pPr>
        <w:pStyle w:val="TextoNormal"/>
      </w:pPr>
    </w:p>
    <w:p w14:paraId="60422A1B" w14:textId="65563475" w:rsidR="00A8138F" w:rsidRDefault="00A8138F" w:rsidP="00A8138F">
      <w:pPr>
        <w:pStyle w:val="TextoNormal"/>
      </w:pPr>
      <w:r w:rsidRPr="00A8138F">
        <w:rPr>
          <w:rStyle w:val="NumeroAFNegritaCaracter"/>
        </w:rPr>
        <w:lastRenderedPageBreak/>
        <w:t>11</w:t>
      </w:r>
      <w:r>
        <w:t>. Por providencia de 28 de enero de 2025 se señaló para deliberación y fallo de esta sentencia el día 29 del mismo mes y año.</w:t>
      </w:r>
    </w:p>
    <w:p w14:paraId="7DA1F782" w14:textId="77777777" w:rsidR="00A8138F" w:rsidRDefault="00A8138F" w:rsidP="00A8138F">
      <w:pPr>
        <w:pStyle w:val="TextoNormal"/>
      </w:pPr>
    </w:p>
    <w:p w14:paraId="17D48BC3" w14:textId="77777777" w:rsidR="00A8138F" w:rsidRDefault="00A8138F" w:rsidP="00A8138F">
      <w:pPr>
        <w:pStyle w:val="TextoNormalNegritaCentrado"/>
        <w:keepNext/>
      </w:pPr>
      <w:r>
        <w:t>II. Fundamentos jurídicos</w:t>
      </w:r>
    </w:p>
    <w:p w14:paraId="4ACE5365" w14:textId="6862228E" w:rsidR="00A8138F" w:rsidRDefault="00A8138F" w:rsidP="00A8138F">
      <w:pPr>
        <w:pStyle w:val="TextoNormalNegritaCentrado"/>
        <w:keepNext/>
      </w:pPr>
    </w:p>
    <w:p w14:paraId="6F2B276E" w14:textId="77777777" w:rsidR="00A8138F" w:rsidRDefault="00A8138F" w:rsidP="00A8138F">
      <w:pPr>
        <w:pStyle w:val="TextoNormal"/>
      </w:pPr>
      <w:r w:rsidRPr="00A8138F">
        <w:rPr>
          <w:rStyle w:val="NumeroAFNegritaCaracter"/>
        </w:rPr>
        <w:t>1</w:t>
      </w:r>
      <w:r>
        <w:t xml:space="preserve">. </w:t>
      </w:r>
      <w:r w:rsidRPr="00A8138F">
        <w:rPr>
          <w:i/>
        </w:rPr>
        <w:t>Objeto del proceso y posiciones de las partes</w:t>
      </w:r>
    </w:p>
    <w:p w14:paraId="111D5C2F" w14:textId="77777777" w:rsidR="00A8138F" w:rsidRDefault="00A8138F" w:rsidP="00A8138F">
      <w:pPr>
        <w:pStyle w:val="TextoNormal"/>
      </w:pPr>
    </w:p>
    <w:p w14:paraId="417BC0A0" w14:textId="77777777" w:rsidR="00A8138F" w:rsidRDefault="00A8138F" w:rsidP="00A8138F">
      <w:pPr>
        <w:pStyle w:val="TextoNormal"/>
      </w:pPr>
      <w:r>
        <w:t>La Sección Segunda de la Sala de lo Contencioso-Administrativo del Tribunal Superior de Justicia de Castilla-La Mancha con sede en Albacete, plantea cuestión de inconstitucionalidad en relación con las disposiciones adicionales sexta y octava de la Ley 20/2021, de 28 de diciembre, de medidas urgentes para la reducción de la temporalidad en el empleo público, por ser contrarias a los arts. 23.2 y 149.1.18 CE.</w:t>
      </w:r>
    </w:p>
    <w:p w14:paraId="77BCA628" w14:textId="77777777" w:rsidR="00A8138F" w:rsidRDefault="00A8138F" w:rsidP="00A8138F">
      <w:pPr>
        <w:pStyle w:val="TextoNormal"/>
      </w:pPr>
    </w:p>
    <w:p w14:paraId="49DB8FCF" w14:textId="77777777" w:rsidR="00A8138F" w:rsidRDefault="00A8138F" w:rsidP="00A8138F">
      <w:pPr>
        <w:pStyle w:val="TextoNormal"/>
      </w:pPr>
      <w:r>
        <w:t>La Ley 20/2021 es el resultado de la tramitación parlamentaria del Real Decreto-ley 14/2021, de 6 de julio, de medidas urgentes para la reducción de la temporalidad en el empleo público. El mencionado Real Decreto-ley 14/2021 fue objeto de la STC 145/2023, de 25 de octubre, que desestimó el recurso de inconstitucionalidad interpuesto por más de cincuenta diputados del grupo parlamentario Vox en el Congreso de los Diputados por vulnerar los límites que derivan del art. 86.1 CE, si bien la referida sentencia no se pronunció sobre las disposiciones adicionales sexta y octava ahora cuestionadas, introducidas mediante enmiendas en el trámite parlamentario que dio lugar a la aprobación de la Ley 20/2021. Solo lo hizo en relación con la concurrencia del presupuesto habilitante de la extraordinaria y urgente necesidad justificativa de la aprobación del Real Decreto-ley 14/2021.</w:t>
      </w:r>
    </w:p>
    <w:p w14:paraId="46983E14" w14:textId="77777777" w:rsidR="00A8138F" w:rsidRDefault="00A8138F" w:rsidP="00A8138F">
      <w:pPr>
        <w:pStyle w:val="TextoNormal"/>
      </w:pPr>
    </w:p>
    <w:p w14:paraId="5DADF39F" w14:textId="77777777" w:rsidR="00A8138F" w:rsidRDefault="00A8138F" w:rsidP="00A8138F">
      <w:pPr>
        <w:pStyle w:val="TextoNormal"/>
      </w:pPr>
      <w:r>
        <w:t>La disposición adicional sexta de la Ley 20/2021 establece:</w:t>
      </w:r>
    </w:p>
    <w:p w14:paraId="2F78D11F" w14:textId="77777777" w:rsidR="00A8138F" w:rsidRDefault="00A8138F" w:rsidP="00A8138F">
      <w:pPr>
        <w:pStyle w:val="TextoNormal"/>
      </w:pPr>
    </w:p>
    <w:p w14:paraId="59BB5713" w14:textId="77777777" w:rsidR="00A8138F" w:rsidRDefault="00A8138F" w:rsidP="00A8138F">
      <w:pPr>
        <w:pStyle w:val="TextoNormal"/>
      </w:pPr>
      <w:r>
        <w:t>“Las Administraciones Públicas convocarán, con carácter excepcional y de acuerdo con lo previsto en el artículo 61.6 y 7 del TREBEP, por el sistema de concurso, aquellas plazas que, reuniendo los requisitos establecidos en el artículo 2.1, hubieran estado ocupadas con carácter temporal de forma ininterrumpida con anterioridad al 1 de enero de 2016. Estos procesos, que se realizarán por una sola vez, podrán ser objeto de negociación en cada uno de los ámbitos territoriales de la Administración del Estado, Comunidades Autónomas y Entidades Locales y respetarán, en todo caso, los plazos establecidos en esta norma”.</w:t>
      </w:r>
    </w:p>
    <w:p w14:paraId="73AC0063" w14:textId="77777777" w:rsidR="00A8138F" w:rsidRDefault="00A8138F" w:rsidP="00A8138F">
      <w:pPr>
        <w:pStyle w:val="TextoNormal"/>
      </w:pPr>
    </w:p>
    <w:p w14:paraId="6D1E3CB7" w14:textId="77777777" w:rsidR="00A8138F" w:rsidRDefault="00A8138F" w:rsidP="00A8138F">
      <w:pPr>
        <w:pStyle w:val="TextoNormal"/>
      </w:pPr>
      <w:r>
        <w:t>Por su parte, la disposición adicional octava prescribe:</w:t>
      </w:r>
    </w:p>
    <w:p w14:paraId="3B74687F" w14:textId="77777777" w:rsidR="00A8138F" w:rsidRDefault="00A8138F" w:rsidP="00A8138F">
      <w:pPr>
        <w:pStyle w:val="TextoNormal"/>
      </w:pPr>
    </w:p>
    <w:p w14:paraId="60A7A816" w14:textId="77777777" w:rsidR="00A8138F" w:rsidRDefault="00A8138F" w:rsidP="00A8138F">
      <w:pPr>
        <w:pStyle w:val="TextoNormal"/>
      </w:pPr>
      <w:r>
        <w:t>“Adicionalmente, los procesos de estabilización contenidos en la disposición adicional sexta incluirán en sus convocatorias las plazas vacantes de naturaleza estructural ocupadas de forma temporal por personal con una relación de esta naturaleza anterior al 1 de enero de 2016”.</w:t>
      </w:r>
    </w:p>
    <w:p w14:paraId="596C67F4" w14:textId="77777777" w:rsidR="00A8138F" w:rsidRDefault="00A8138F" w:rsidP="00A8138F">
      <w:pPr>
        <w:pStyle w:val="TextoNormal"/>
      </w:pPr>
    </w:p>
    <w:p w14:paraId="6A91AEDC" w14:textId="77777777" w:rsidR="00A8138F" w:rsidRDefault="00A8138F" w:rsidP="00A8138F">
      <w:pPr>
        <w:pStyle w:val="TextoNormal"/>
      </w:pPr>
      <w:r>
        <w:t>Tal como se ha expuesto en los antecedentes el órgano judicial formula dos dudas de inconstitucionalidad.</w:t>
      </w:r>
    </w:p>
    <w:p w14:paraId="57474BFF" w14:textId="77777777" w:rsidR="00A8138F" w:rsidRDefault="00A8138F" w:rsidP="00A8138F">
      <w:pPr>
        <w:pStyle w:val="TextoNormal"/>
      </w:pPr>
    </w:p>
    <w:p w14:paraId="7A55033C" w14:textId="77777777" w:rsidR="00A8138F" w:rsidRDefault="00A8138F" w:rsidP="00A8138F">
      <w:pPr>
        <w:pStyle w:val="TextoNormal"/>
      </w:pPr>
      <w:r>
        <w:t xml:space="preserve">La primera se refiere a la vulneración del art. 23.2 CE. Entiende el órgano judicial que la previsión del concurso como sistema de cobertura de las plazas ocupadas por personal temporal que reúna los requisitos previstos en ambas disposiciones no cumple las exigencias de </w:t>
      </w:r>
      <w:r>
        <w:lastRenderedPageBreak/>
        <w:t>excepcionalidad que justificarían la utilización de dicho sistema de acceso a la función pública. Para el órgano judicial, el diseño legal de estas pruebas evidencia que se trata de unas pruebas materialmente restringidas, que no superan el canon constitucional respecto a tales pruebas, con la consiguiente vulneración del derecho de acceso en condiciones de igualdad a las funciones y cargos públicos que protege el citado art. 23.2 CE.</w:t>
      </w:r>
    </w:p>
    <w:p w14:paraId="42A61378" w14:textId="77777777" w:rsidR="00A8138F" w:rsidRDefault="00A8138F" w:rsidP="00A8138F">
      <w:pPr>
        <w:pStyle w:val="TextoNormal"/>
      </w:pPr>
    </w:p>
    <w:p w14:paraId="7242A614" w14:textId="77777777" w:rsidR="00A8138F" w:rsidRDefault="00A8138F" w:rsidP="00A8138F">
      <w:pPr>
        <w:pStyle w:val="TextoNormal"/>
      </w:pPr>
      <w:r>
        <w:t xml:space="preserve">La segunda duda de constitucionalidad se vincula a la vulneración del orden constitucional de distribución de competencias, en la medida en que las disposiciones cuestionadas, al imponer el modo de selección y el tiempo en el que han de realizarse los procesos en ellas regulados, exceden de lo básico en materia de función pública </w:t>
      </w:r>
      <w:r w:rsidRPr="00A8138F">
        <w:rPr>
          <w:i/>
        </w:rPr>
        <w:t>ex</w:t>
      </w:r>
      <w:r>
        <w:t xml:space="preserve"> art. 149.1.18 CE, vulnerando las potestades autonómicas de autoorganización respecto de la selección de su propio personal.</w:t>
      </w:r>
    </w:p>
    <w:p w14:paraId="13465661" w14:textId="77777777" w:rsidR="00A8138F" w:rsidRDefault="00A8138F" w:rsidP="00A8138F">
      <w:pPr>
        <w:pStyle w:val="TextoNormal"/>
      </w:pPr>
    </w:p>
    <w:p w14:paraId="138D5421" w14:textId="3B7E26B2" w:rsidR="00A8138F" w:rsidRDefault="00A8138F" w:rsidP="00A8138F">
      <w:pPr>
        <w:pStyle w:val="TextoNormal"/>
      </w:pPr>
      <w:r>
        <w:t>Por su parte, el abogado del Estado, el fiscal general del Estado y el letrado del Gobierno de la Junta de Comunidades de Castilla-La Mancha han interesado la desestimación de la cuestión de inconstitucionalidad por entender que no concurren las vulneraciones constitucionales planteadas por el órgano judicial.</w:t>
      </w:r>
    </w:p>
    <w:p w14:paraId="07433882" w14:textId="77777777" w:rsidR="00A8138F" w:rsidRDefault="00A8138F" w:rsidP="00A8138F">
      <w:pPr>
        <w:pStyle w:val="TextoNormal"/>
      </w:pPr>
    </w:p>
    <w:p w14:paraId="3C0E52F1" w14:textId="77777777" w:rsidR="00A8138F" w:rsidRDefault="00A8138F" w:rsidP="00A8138F">
      <w:pPr>
        <w:pStyle w:val="TextoNormal"/>
      </w:pPr>
      <w:r w:rsidRPr="00A8138F">
        <w:rPr>
          <w:rStyle w:val="NumeroAFNegritaCaracter"/>
        </w:rPr>
        <w:t>2</w:t>
      </w:r>
      <w:r>
        <w:t xml:space="preserve">. </w:t>
      </w:r>
      <w:r w:rsidRPr="00A8138F">
        <w:rPr>
          <w:i/>
        </w:rPr>
        <w:t>Examen de los presupuestos procesales para el válido planteamiento de la cuestión de inconstitucionalidad</w:t>
      </w:r>
    </w:p>
    <w:p w14:paraId="26C57D1C" w14:textId="77777777" w:rsidR="00A8138F" w:rsidRDefault="00A8138F" w:rsidP="00A8138F">
      <w:pPr>
        <w:pStyle w:val="TextoNormal"/>
      </w:pPr>
    </w:p>
    <w:p w14:paraId="5E6FA157" w14:textId="77777777" w:rsidR="00A8138F" w:rsidRDefault="00A8138F" w:rsidP="00A8138F">
      <w:pPr>
        <w:pStyle w:val="TextoNormal"/>
      </w:pPr>
      <w:r>
        <w:t>Antes de entrar en el examen del fondo de esta cuestión, es necesario valorar previamente la concurrencia de los requisitos exigidos para el válido planteamiento de la cuestión de inconstitucionalidad. Dado que la tramitación específica establecida en el art. 37.1 LOTC no tiene carácter preclusivo cabe apreciar en sentencia la ausencia de los requisitos, tanto procesales como de fundamentación, requeridos para el válido planteamiento de la cuestión de inconstitucionalidad en la fase de resolución, además de hacerlo en el trámite de admisión previsto en el art. 37.1 LOTC (por todas STC 201/2015, de 24 de septiembre, FJ 2, y 234/2015, de 5 de noviembre, FJ 2). Este examen, en tanto que afecta a los presupuestos de admisión, es una cuestión de orden público procesal que puede efectuarse de oficio por el Tribunal (STC 98/2022, de 12 de julio, FJ 2, y las que allí se citan).</w:t>
      </w:r>
    </w:p>
    <w:p w14:paraId="7C6BA80B" w14:textId="77777777" w:rsidR="00A8138F" w:rsidRDefault="00A8138F" w:rsidP="00A8138F">
      <w:pPr>
        <w:pStyle w:val="TextoNormal"/>
      </w:pPr>
    </w:p>
    <w:p w14:paraId="6B2785FA" w14:textId="77777777" w:rsidR="00A8138F" w:rsidRDefault="00A8138F" w:rsidP="00A8138F">
      <w:pPr>
        <w:pStyle w:val="TextoNormal"/>
      </w:pPr>
      <w:r>
        <w:t>En este caso, dados los términos en los que se formula la presente cuestión de inconstitucionalidad, resulta necesario valorar la concurrencia de los requisitos exigidos para su válido planteamiento.</w:t>
      </w:r>
    </w:p>
    <w:p w14:paraId="023A3778" w14:textId="77777777" w:rsidR="00A8138F" w:rsidRDefault="00A8138F" w:rsidP="00A8138F">
      <w:pPr>
        <w:pStyle w:val="TextoNormal"/>
      </w:pPr>
    </w:p>
    <w:p w14:paraId="74F3140F" w14:textId="77777777" w:rsidR="00A8138F" w:rsidRDefault="00A8138F" w:rsidP="00A8138F">
      <w:pPr>
        <w:pStyle w:val="TextoNormal"/>
      </w:pPr>
      <w:r>
        <w:t>A) En particular,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todas, STC 126/2022, de 11 de octubre, FJ 2).</w:t>
      </w:r>
    </w:p>
    <w:p w14:paraId="67E7AC91" w14:textId="77777777" w:rsidR="00A8138F" w:rsidRDefault="00A8138F" w:rsidP="00A8138F">
      <w:pPr>
        <w:pStyle w:val="TextoNormal"/>
      </w:pPr>
    </w:p>
    <w:p w14:paraId="5BB83D79" w14:textId="77777777" w:rsidR="00A8138F" w:rsidRDefault="00A8138F" w:rsidP="00A8138F">
      <w:pPr>
        <w:pStyle w:val="TextoNormal"/>
      </w:pPr>
      <w:r>
        <w:t xml:space="preserve">Sobre ambos juicios, de aplicabilidad y relevancia, ejerce este tribunal un control “meramente externo” (ATC 159/2016, de 20 de septiembre, FJ 2), lo que significa que debe </w:t>
      </w:r>
      <w:r>
        <w:lastRenderedPageBreak/>
        <w:t xml:space="preserve">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Corresponde, pues,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Tampoco, aun tratándose de un supuesto diferente, podemos ignorar el criterio seguido en los casos en los que, ante el carácter dudoso y discutible de la aplicabilidad de la norma cuestionada en el proceso </w:t>
      </w:r>
      <w:r w:rsidRPr="00A8138F">
        <w:rPr>
          <w:i/>
        </w:rPr>
        <w:t>a quo</w:t>
      </w:r>
      <w:r>
        <w:t>, hemos exigido un pronunciamiento específico del órgano judicial sobre la aplicación de la norma al caso, a efectos de garantizar que la resolución del litigio depende realmente de la solución que este tribunal ofrezca sobre la constitucionalidad de la norma [SSTC 18/2014, de 30 de enero, FJ 4, y 50/2015, de 5 de marzo, FJ 2 c), y las allí citadas].</w:t>
      </w:r>
    </w:p>
    <w:p w14:paraId="1EBDA57A" w14:textId="77777777" w:rsidR="00A8138F" w:rsidRDefault="00A8138F" w:rsidP="00A8138F">
      <w:pPr>
        <w:pStyle w:val="TextoNormal"/>
      </w:pPr>
    </w:p>
    <w:p w14:paraId="3529C625" w14:textId="77777777" w:rsidR="00A8138F" w:rsidRDefault="00A8138F" w:rsidP="00A8138F">
      <w:pPr>
        <w:pStyle w:val="TextoNormal"/>
      </w:pPr>
      <w:r>
        <w:t>B) La cuestión trae causa de un procedimiento en el que una funcionaria interina impugnó la resolución de la Consejería de Hacienda y Administraciones Públicas de la Junta de Comunidades de Castilla-La Mancha por la que se nombra personal funcionario de carrera y se adjudican destinos definitivos en un proceso selectivo convocado por el sistema general de acceso libre con anterioridad a la entrada en vigor de la Ley 20/2021. En la demanda se alegaba que la plaza que la actora ocupaba interinamente desde octubre de 2008 se encontraba incluida en el acuerdo del Consejo de Gobierno de 24 de mayo de 2022, por el que se aprueba la oferta de empleo público para la estabilización de empleo temporal en la administración de la Junta de Comunidades de Castilla-La Mancha en ejecución de la Ley 20/2021.</w:t>
      </w:r>
    </w:p>
    <w:p w14:paraId="76DF0F71" w14:textId="77777777" w:rsidR="00A8138F" w:rsidRDefault="00A8138F" w:rsidP="00A8138F">
      <w:pPr>
        <w:pStyle w:val="TextoNormal"/>
      </w:pPr>
    </w:p>
    <w:p w14:paraId="22E1B4FE" w14:textId="77777777" w:rsidR="00A8138F" w:rsidRDefault="00A8138F" w:rsidP="00A8138F">
      <w:pPr>
        <w:pStyle w:val="TextoNormal"/>
      </w:pPr>
      <w:r>
        <w:t>El órgano judicial razona que las disposiciones adicionales sexta y octava de la Ley 20/2021 son aplicables al caso, pues la actora alega que a la plaza que venía ocupando le resultaban de aplicación aquellas, razón por la cual no podía haberse ofertado a los aprobados en un procedimiento selectivo ordinario, al estar reservada para ser cubierta por el procedimiento de estabilización de la disposición adicional octava la cual, a su vez, remite a la disposición adicional sexta. Por tanto, tal como argumenta el órgano judicial, si las dos disposiciones son inconstitucionales, no podrá oponerse a que la plaza se ofrezca a los aprobados en un proceso selectivo anterior ni entender que ha de reservarse para un procedimiento de estabilización por concurso.</w:t>
      </w:r>
    </w:p>
    <w:p w14:paraId="57DD3474" w14:textId="77777777" w:rsidR="00A8138F" w:rsidRDefault="00A8138F" w:rsidP="00A8138F">
      <w:pPr>
        <w:pStyle w:val="TextoNormal"/>
      </w:pPr>
    </w:p>
    <w:p w14:paraId="790AFBA6" w14:textId="77777777" w:rsidR="00A8138F" w:rsidRDefault="00A8138F" w:rsidP="00A8138F">
      <w:pPr>
        <w:pStyle w:val="TextoNormal"/>
      </w:pPr>
      <w:r>
        <w:t>C) Sin embargo, llegados a este punto, es preciso aclarar las diferencias existentes entre la disposición adicional sexta y la disposición adicional octava de la Ley 20/2021, pues dichas diferencias cobran también relevancia a la hora de valorar el cumplimiento de los presupuestos procesales necesarios para el válido planteamiento de la presente cuestión de inconstitucionalidad.</w:t>
      </w:r>
    </w:p>
    <w:p w14:paraId="7DF1A3EC" w14:textId="77777777" w:rsidR="00A8138F" w:rsidRDefault="00A8138F" w:rsidP="00A8138F">
      <w:pPr>
        <w:pStyle w:val="TextoNormal"/>
      </w:pPr>
    </w:p>
    <w:p w14:paraId="42FBBAC9" w14:textId="77777777" w:rsidR="00A8138F" w:rsidRDefault="00A8138F" w:rsidP="00A8138F">
      <w:pPr>
        <w:pStyle w:val="TextoNormal"/>
      </w:pPr>
      <w:r>
        <w:t xml:space="preserve">La disposición adicional sexta prevé una convocatoria excepcional, por el sistema de concurso, en relación con aquellas plazas que, reuniendo los requisitos establecidos en el art. 2.1 de la Ley 20/2021 (plazas de naturaleza estructural que, estén o no dentro de las relaciones de puestos de trabajo, plantillas u otra forma de organización de recursos humanos y estando dotadas presupuestariamente, hayan estado ocupadas de forma temporal e </w:t>
      </w:r>
      <w:r>
        <w:lastRenderedPageBreak/>
        <w:t>ininterrumpidamente en los tres años anteriores al 31 de diciembre de 2020), hubieran estado ocupadas con carácter temporal de forma ininterrumpida con anterioridad al 1 de enero de 2016. Hay otras plazas adicionales, a las que se referían la Ley 3/2017, de 27 de junio, de presupuestos generales del Estado para el año 2017, y después la Ley 6/2018, de 3 de julio, de presupuestos generales del Estado para el año 2018, que serán incluidas dentro de ese proceso de estabilización, siempre que no hubieran sido convocadas o hubieran quedado sin cubrir llegada la fecha de entrada en vigor de la Ley 20/2021, esto es, el 30 de diciembre de 2021. Esto es, los presupuestos que establece la disposición adicional sexta se refieren a la plaza (puesto de trabajo dotado presupuestariamente), al margen de las circunstancias personales de quienes las hayan ocupado; ocupación que ha de ser ininterrumpida (con anterioridad al 1 de enero de 2016) aunque no tiene que haberse llevado a cabo por una sola persona. En cambio, la disposición adicional octava se refiere a plazas vacantes de naturaleza estructural (aquellas en las que se desarrollan funciones recurrentes que se integran en la actividad ordinaria y del normal funcionamiento de la administración) ocupadas de forma temporal por personal con una relación de esta naturaleza en una fecha anterior al 1 de enero de 2016. Es decir, que aquí se tienen en cuenta las circunstancias de quien ocupa la plaza, pues debe ser una única persona, y que tenga una relación temporal con la administración anterior al 1 de enero de 2016, siempre que la última ocupación se refiera a una plaza vacante de naturaleza estructural, pero, frente a lo que ocurre en el supuesto de la disposición adicional sexta, no se exige que concurran en el solicitante los requisitos del art. 2.1 de la ley. El propio auto de planteamiento reconoce que el supuesto ante el que nos encontramos en el presente caso sería el de la disposición adicional octava.</w:t>
      </w:r>
    </w:p>
    <w:p w14:paraId="0ED07FC6" w14:textId="77777777" w:rsidR="00A8138F" w:rsidRDefault="00A8138F" w:rsidP="00A8138F">
      <w:pPr>
        <w:pStyle w:val="TextoNormal"/>
      </w:pPr>
    </w:p>
    <w:p w14:paraId="29D24D46" w14:textId="77777777" w:rsidR="00A8138F" w:rsidRDefault="00A8138F" w:rsidP="00A8138F">
      <w:pPr>
        <w:pStyle w:val="TextoNormal"/>
      </w:pPr>
      <w:r>
        <w:t>D) Cabe ahora, por tanto, teniendo presente lo anteriormente expuesto, examinar la formulación de los juicios de aplicabilidad y relevancia; esto es, que realmente deba aplicarse esa disposición adicional octava para resolver el litigio y que, consiguientemente, de su constitucionalidad o inconstitucionalidad dependa el fallo a dictar. Y debe avanzarse que su aplicabilidad y, por tanto, su relevancia es cuestionable desde un doble punto de vista.</w:t>
      </w:r>
    </w:p>
    <w:p w14:paraId="72F51572" w14:textId="77777777" w:rsidR="00A8138F" w:rsidRDefault="00A8138F" w:rsidP="00A8138F">
      <w:pPr>
        <w:pStyle w:val="TextoNormal"/>
      </w:pPr>
    </w:p>
    <w:p w14:paraId="688BF081" w14:textId="77777777" w:rsidR="00A8138F" w:rsidRDefault="00A8138F" w:rsidP="00A8138F">
      <w:pPr>
        <w:pStyle w:val="TextoNormal"/>
      </w:pPr>
      <w:r>
        <w:t xml:space="preserve">a) En primer lugar, la plaza en cuestión fue ofertada como consecuencia de un procedimiento selectivo para el ingreso por el sistema general de acceso libre en los cuerpos y escalas de personal funcionario de la Administración de la Junta de Comunidades de Castilla-La Mancha convocado el 22 de marzo de 2021, esto es, con anterioridad a la entrada en vigor de la Ley 20/2021 que se produjo el día 30 de diciembre de 2021 como ya se ha señalado. Una vez concluido ese procedimiento selectivo, ya vigente la Ley 20/2021, se ofrecieron a las personas aprobadas las correspondientes plazas a cubrir por dicho personal de nuevo ingreso que había superado el proceso selectivo. Son ese momento y el de su posterior cese causado por la toma de posesión de la persona que superó el proceso selectivo, los que dan lugar a la reacción de la actora en el procedimiento </w:t>
      </w:r>
      <w:r w:rsidRPr="00A8138F">
        <w:rPr>
          <w:i/>
        </w:rPr>
        <w:t>a quo</w:t>
      </w:r>
      <w:r>
        <w:t>, impugnando tanto la resolución que ofertó las plazas a cubrir como la que nombró personal funcionario de carrera y adjudicó destinos definitivos a las personas aprobadas en el citado proceso selectivo.</w:t>
      </w:r>
    </w:p>
    <w:p w14:paraId="35DDECFB" w14:textId="77777777" w:rsidR="00A8138F" w:rsidRDefault="00A8138F" w:rsidP="00A8138F">
      <w:pPr>
        <w:pStyle w:val="TextoNormal"/>
      </w:pPr>
    </w:p>
    <w:p w14:paraId="1195F2EC" w14:textId="77777777" w:rsidR="00A8138F" w:rsidRDefault="00A8138F" w:rsidP="00A8138F">
      <w:pPr>
        <w:pStyle w:val="TextoNormal"/>
      </w:pPr>
      <w:r>
        <w:t xml:space="preserve">Es preciso, por tanto, determinar las consecuencias que este hecho tiene a los efectos de la admisión de la cuestión de inconstitucionalidad desde la perspectiva del primero de los requisitos antes citados, el denominado juicio de aplicabilidad. Al respecto, cabe recordar también que el Tribunal —desde el respeto a la competencia judicial para la selección de la norma aplicable y sin desbordar el control externo— ha exigido un pronunciamiento más detallado y específico cuando el juicio de aplicabilidad tiene un carácter dudoso, discutible </w:t>
      </w:r>
      <w:r>
        <w:lastRenderedPageBreak/>
        <w:t>o incompleto, a efectos de garantizar que la resolución del litigio depende realmente de la solución que este tribunal ofrezca sobre la constitucionalidad de la norma (por todas, SSTC 234/2015, de 5 de noviembre, FJ 2, y 175/2016, de 17 de octubre, FJ 5).</w:t>
      </w:r>
    </w:p>
    <w:p w14:paraId="2D56A539" w14:textId="77777777" w:rsidR="00A8138F" w:rsidRDefault="00A8138F" w:rsidP="00A8138F">
      <w:pPr>
        <w:pStyle w:val="TextoNormal"/>
      </w:pPr>
    </w:p>
    <w:p w14:paraId="7D6E6112" w14:textId="77777777" w:rsidR="00A8138F" w:rsidRDefault="00A8138F" w:rsidP="00A8138F">
      <w:pPr>
        <w:pStyle w:val="TextoNormal"/>
      </w:pPr>
      <w:r>
        <w:t xml:space="preserve">Examinado desde esta perspectiva resulta que el órgano judicial no se pronuncia sobre el motivo por el cual entiende que debe aplicarse retroactivamente lo establecido en la disposición adicional octava de la Ley 20/2021 a un procedimiento selectivo iniciado antes de la vigencia de dicha Ley 20/2021 y en el que ya se había ofertado, entre otras plazas, la que ocupaba la recurrente en el procedimiento </w:t>
      </w:r>
      <w:r w:rsidRPr="00A8138F">
        <w:rPr>
          <w:i/>
        </w:rPr>
        <w:t>a quo</w:t>
      </w:r>
      <w:r>
        <w:t>. Era, en efecto, de esperar alguna reflexión del órgano promotor al objeto de despejar el riesgo de desconexión entre el juicio de constitucionalidad que reclama y el fallo judicial [STC 77/2018, de 5 de julio, FJ 2 b)].</w:t>
      </w:r>
    </w:p>
    <w:p w14:paraId="1B2E8D9B" w14:textId="77777777" w:rsidR="00A8138F" w:rsidRDefault="00A8138F" w:rsidP="00A8138F">
      <w:pPr>
        <w:pStyle w:val="TextoNormal"/>
      </w:pPr>
    </w:p>
    <w:p w14:paraId="5A9D462D" w14:textId="77777777" w:rsidR="00A8138F" w:rsidRDefault="00A8138F" w:rsidP="00A8138F">
      <w:pPr>
        <w:pStyle w:val="TextoNormal"/>
      </w:pPr>
      <w:r>
        <w:t xml:space="preserve">El auto de planteamiento identifica la plaza en discusión como una plaza de asesor jurídico con el código 13377, y hace referencia al acuerdo del Consejo de Gobierno de la Junta de Comunidades de Castilla-La Mancha de 24 de mayo de 2022, por el que se aprueba la oferta de empleo público para la estabilización de empleo temporal en dicha administración, acuerdo en cuyo anexo II, plazas a convocar por concurso (disposiciones adicionales sexta y octava de la Ley 20/2021, de 28 de diciembre), subgrupo A1, cuerpo superior, especialidad jurídica, figuran catorce plazas, que no son identificadas por código alguno, y entre las que el órgano judicial, sin mayor razonamiento y siguiendo las alegaciones de la demandante en el proceso contencioso-administrativo, considera que debe entenderse incluida la que le ocupa. Sin embargo, esa reflexión es insuficiente para explicar en qué medida y por qué razones dar respuesta a la pretensión planteada en el proceso contencioso-administrativo del que dimana la cuestión de inconstitucionalidad exige plantearse la conformidad con la Constitución de la disposición adicional octava de la Ley 20/2021 y también de la disposición adicional sexta, a la que aquella se remite en términos que habrá ocasión de concretar. El órgano judicial no ofrece explicación alguna que justifique que el juicio de aplicabilidad que formula no se haya visto alterado por el </w:t>
      </w:r>
      <w:r w:rsidRPr="00A8138F">
        <w:rPr>
          <w:i/>
        </w:rPr>
        <w:t>iter</w:t>
      </w:r>
      <w:r>
        <w:t xml:space="preserve"> del procedimiento selectivo previo en virtud del cual se adjudicó la plaza, en tanto en cuanto los procedimientos de estabilización tienen por objeto las plazas que están siendo ocupadas temporalmente y su finalidad es que sean ocupadas definitivamente.</w:t>
      </w:r>
    </w:p>
    <w:p w14:paraId="570024B1" w14:textId="77777777" w:rsidR="00A8138F" w:rsidRDefault="00A8138F" w:rsidP="00A8138F">
      <w:pPr>
        <w:pStyle w:val="TextoNormal"/>
      </w:pPr>
    </w:p>
    <w:p w14:paraId="2C9CB1C3" w14:textId="77777777" w:rsidR="00A8138F" w:rsidRDefault="00A8138F" w:rsidP="00A8138F">
      <w:pPr>
        <w:pStyle w:val="TextoNormal"/>
      </w:pPr>
      <w:r>
        <w:t>b) Por otra parte, en segundo lugar, el órgano judicial tampoco se plantea que la disposición adicional octava en su primer inciso señala que “[a]dicionalmente, los procesos de estabilización contenidos en la disposición adicional sexta incluirán en su convocatoria las plazas vacantes de naturaleza estructural ocupadas de forma temporal”. Es decir, que para aplicar lo previsto en la disposición adicional octava es necesario que exista una convocatoria de las previstas en la disposición adicional sexta, y que en ella se incluyan las plazas vacantes que se encuentren ocupadas de forma temporal en ese momento y que reúnan los requisitos previstos en la referida disposición adicional octava.</w:t>
      </w:r>
    </w:p>
    <w:p w14:paraId="7BA75533" w14:textId="77777777" w:rsidR="00A8138F" w:rsidRDefault="00A8138F" w:rsidP="00A8138F">
      <w:pPr>
        <w:pStyle w:val="TextoNormal"/>
      </w:pPr>
    </w:p>
    <w:p w14:paraId="03C7D17F" w14:textId="77777777" w:rsidR="00A8138F" w:rsidRDefault="00A8138F" w:rsidP="00A8138F">
      <w:pPr>
        <w:pStyle w:val="TextoNormal"/>
      </w:pPr>
      <w:r>
        <w:t xml:space="preserve">Sin embargo, como resulta de las actuaciones remitidas, esa convocatoria de plazas vacantes que se encontraban ocupadas de forma temporal no se produjo hasta el 12 de diciembre de 2022, y, en ese momento, la plaza en cuestión ya no se encontraba vacante, ni ocupada temporalmente por la misma persona que había tenido la relación temporal antes del 1 de enero de 2016, pues esta había cesado en dicha plaza el 20 de septiembre de 2022, como consecuencia de la culminación del proceso selectivo de concurso-oposición antes descrito. En suma, la regla de la disposición adicional octava, que es la directamente aplicable en el </w:t>
      </w:r>
      <w:r>
        <w:lastRenderedPageBreak/>
        <w:t xml:space="preserve">caso </w:t>
      </w:r>
      <w:r w:rsidRPr="00A8138F">
        <w:rPr>
          <w:i/>
        </w:rPr>
        <w:t>a quo</w:t>
      </w:r>
      <w:r>
        <w:t xml:space="preserve">, estaría vinculada a la existencia de una convocatoria producida al amparo de la disposición adicional sexta, en la que se incluyeran las plazas vacantes de las características recogidas en la tan mencionada disposición adicional octava, pero sin que el retraso en la realización de esa convocatoria pueda producir el efecto de bloquear </w:t>
      </w:r>
      <w:r w:rsidRPr="00A8138F">
        <w:rPr>
          <w:i/>
        </w:rPr>
        <w:t>sine die</w:t>
      </w:r>
      <w:r>
        <w:t xml:space="preserve"> la cobertura de una plaza, máxime cuando ha sido ofertada en un procedimiento selectivo de acceso libre llevado a cabo mediante concurso-oposición, esto es, de acuerdo con la regla general establecida en el texto refundido de la Ley del estatuto básico del empleado público, aprobado por Real Decreto Legislativo 5/2015, de 30 de octubre, y en la que la actora en el proceso </w:t>
      </w:r>
      <w:r w:rsidRPr="00A8138F">
        <w:rPr>
          <w:i/>
        </w:rPr>
        <w:t>a quo</w:t>
      </w:r>
      <w:r>
        <w:t xml:space="preserve"> hubiera podido participar.</w:t>
      </w:r>
    </w:p>
    <w:p w14:paraId="1524FD29" w14:textId="77777777" w:rsidR="00A8138F" w:rsidRDefault="00A8138F" w:rsidP="00A8138F">
      <w:pPr>
        <w:pStyle w:val="TextoNormal"/>
      </w:pPr>
    </w:p>
    <w:p w14:paraId="3EABDB03" w14:textId="77777777" w:rsidR="00A8138F" w:rsidRDefault="00A8138F" w:rsidP="00A8138F">
      <w:pPr>
        <w:pStyle w:val="TextoNormal"/>
      </w:pPr>
      <w:r>
        <w:t xml:space="preserve">Lo expuesto permite concluir que, de admitirse a trámite la presente cuestión de inconstitucionalidad, se correría el riesgo de que el juicio a la ley se desarrollara ante este tribunal sin necesidad ni pertinencia alguna, pues, realizado el enjuiciamiento y pronunciado el fallo que correspondiere, el proceso </w:t>
      </w:r>
      <w:r w:rsidRPr="00A8138F">
        <w:rPr>
          <w:i/>
        </w:rPr>
        <w:t>a quo</w:t>
      </w:r>
      <w:r>
        <w:t xml:space="preserve"> podría concluir sin aplicar el precepto cuestionado y en atención a razones jurídicas ajenas a su conformidad o no a la Constitución.</w:t>
      </w:r>
    </w:p>
    <w:p w14:paraId="60C04417" w14:textId="77777777" w:rsidR="00A8138F" w:rsidRDefault="00A8138F" w:rsidP="00A8138F">
      <w:pPr>
        <w:pStyle w:val="TextoNormal"/>
      </w:pPr>
    </w:p>
    <w:p w14:paraId="38D04BC5" w14:textId="77777777" w:rsidR="00A8138F" w:rsidRDefault="00A8138F" w:rsidP="00A8138F">
      <w:pPr>
        <w:pStyle w:val="TextoNormal"/>
      </w:pPr>
      <w:r>
        <w:t>E) En definitiva, en la cuestión planteada concurren unas concretas circunstancias que no han sido debidamente valoradas por el órgano judicial, por lo que el juicio de aplicabilidad ha sido incorrectamente formulado, en la medida en que, en los términos en los que la cuestión se formula, su planteamiento va más allá de la necesidad de resolver el proceso pendiente, pretendiendo, por el contrario, un control abstracto de constitucionalidad de los preceptos legales que se cuestionan, lo que ha sido reiteradamente rechazado por la doctrina constitucional (por todas, STC 126/2022, de 11 de octubre, FJ 2), ya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de 30 de abril, FJ 3).</w:t>
      </w:r>
    </w:p>
    <w:p w14:paraId="1CACE023" w14:textId="77777777" w:rsidR="00A8138F" w:rsidRDefault="00A8138F" w:rsidP="00A8138F">
      <w:pPr>
        <w:pStyle w:val="TextoNormal"/>
      </w:pPr>
    </w:p>
    <w:p w14:paraId="567593F6" w14:textId="5F30D884" w:rsidR="00A8138F" w:rsidRDefault="00A8138F" w:rsidP="00A8138F">
      <w:pPr>
        <w:pStyle w:val="TextoNormal"/>
      </w:pPr>
      <w:r>
        <w:t>Así pues, dada la conexión que debe existir entre el pronunciamiento de este tribunal y el proceso en que la cuestión se plantea, procede inadmitir a trámite la presente cuestión de inconstitucionalidad.</w:t>
      </w:r>
    </w:p>
    <w:p w14:paraId="43C2E6A6" w14:textId="77777777" w:rsidR="00A8138F" w:rsidRDefault="00A8138F" w:rsidP="00A8138F">
      <w:pPr>
        <w:pStyle w:val="TextoNormal"/>
      </w:pPr>
    </w:p>
    <w:p w14:paraId="674802A0" w14:textId="77777777" w:rsidR="00A8138F" w:rsidRDefault="00A8138F" w:rsidP="00A8138F">
      <w:pPr>
        <w:pStyle w:val="TextoNormalCentrado"/>
        <w:keepNext/>
      </w:pPr>
      <w:r>
        <w:t>FALLO</w:t>
      </w:r>
    </w:p>
    <w:p w14:paraId="4473B6E3" w14:textId="263C02E6" w:rsidR="00A8138F" w:rsidRDefault="00A8138F" w:rsidP="00A8138F">
      <w:pPr>
        <w:pStyle w:val="TextoNormalCentrado"/>
        <w:keepNext/>
      </w:pPr>
    </w:p>
    <w:p w14:paraId="7E58D0FB" w14:textId="30561975" w:rsidR="00A8138F" w:rsidRDefault="00A8138F" w:rsidP="00A8138F">
      <w:pPr>
        <w:pStyle w:val="TextoNormal"/>
      </w:pPr>
      <w:r>
        <w:t>En atención a todo lo expuesto, el Tribunal Constitucional, por la autoridad que le confiere la Constitución de la Nación española, ha decidido inadmitir la presente cuestión de inconstitucionalidad.</w:t>
      </w:r>
    </w:p>
    <w:p w14:paraId="1FB61F90" w14:textId="77777777" w:rsidR="00A8138F" w:rsidRDefault="00A8138F" w:rsidP="00A8138F">
      <w:pPr>
        <w:pStyle w:val="TextoNormal"/>
      </w:pPr>
    </w:p>
    <w:p w14:paraId="466380BC" w14:textId="77777777" w:rsidR="00A8138F" w:rsidRDefault="00A8138F" w:rsidP="00A8138F">
      <w:pPr>
        <w:pStyle w:val="TextoNormal"/>
      </w:pPr>
      <w:r>
        <w:t>Publíquese esta sentencia en el “Boletín Oficial del Estado”.</w:t>
      </w:r>
    </w:p>
    <w:p w14:paraId="497CBE63" w14:textId="77777777" w:rsidR="00A8138F" w:rsidRDefault="00A8138F" w:rsidP="00A8138F">
      <w:pPr>
        <w:pStyle w:val="TextoNormal"/>
      </w:pPr>
      <w:r>
        <w:t>Dada en Madrid, a veintinueve de enero de dos mil veinticinco.</w:t>
      </w:r>
    </w:p>
    <w:p w14:paraId="1D5FF207" w14:textId="04D4BA0F" w:rsidR="00A8138F" w:rsidRDefault="00A8138F">
      <w:pPr>
        <w:spacing w:after="160" w:line="278" w:lineRule="auto"/>
        <w:rPr>
          <w:rFonts w:ascii="Times New Roman" w:eastAsia="Times New Roman" w:hAnsi="Times New Roman" w:cs="Times New Roman"/>
          <w:sz w:val="24"/>
          <w:szCs w:val="24"/>
          <w:lang w:eastAsia="es-ES"/>
        </w:rPr>
      </w:pPr>
      <w:r>
        <w:br w:type="page"/>
      </w:r>
    </w:p>
    <w:p w14:paraId="3312812A" w14:textId="77777777" w:rsidR="00A8138F" w:rsidRDefault="00A8138F" w:rsidP="00A8138F">
      <w:pPr>
        <w:pStyle w:val="TtuloResolucin"/>
      </w:pPr>
      <w:bookmarkStart w:id="30" w:name="SENTENCIA_2025_28"/>
      <w:r>
        <w:lastRenderedPageBreak/>
        <w:t>SENTENCIA 28/2025, de 10 de febrero de 2025</w:t>
      </w:r>
    </w:p>
    <w:bookmarkEnd w:id="30"/>
    <w:p w14:paraId="75150FBA" w14:textId="77777777" w:rsidR="00A8138F" w:rsidRDefault="00A8138F" w:rsidP="00A8138F">
      <w:pPr>
        <w:pStyle w:val="TtuloResolucin"/>
      </w:pPr>
      <w:r>
        <w:t>Sala Primera</w:t>
      </w:r>
    </w:p>
    <w:p w14:paraId="7BD0A88B" w14:textId="77777777" w:rsidR="00A8138F" w:rsidRDefault="00A8138F" w:rsidP="00A8138F">
      <w:pPr>
        <w:pStyle w:val="TtuloBOE"/>
      </w:pPr>
      <w:r>
        <w:t>(BOE núm. 69, de 21 de marzo de 2025)</w:t>
      </w:r>
    </w:p>
    <w:p w14:paraId="4C534EE0" w14:textId="77777777" w:rsidR="00A8138F" w:rsidRDefault="00A8138F" w:rsidP="00A8138F">
      <w:pPr>
        <w:pStyle w:val="TextoNormalCentrado"/>
      </w:pPr>
      <w:r>
        <w:t>ECLI:ES:TC:2025:28</w:t>
      </w:r>
    </w:p>
    <w:p w14:paraId="184F5EFC" w14:textId="37FBA770" w:rsidR="00A8138F" w:rsidRDefault="00A8138F" w:rsidP="00A8138F">
      <w:pPr>
        <w:pStyle w:val="TextoNormalCentrado"/>
      </w:pPr>
    </w:p>
    <w:p w14:paraId="01E4FB81" w14:textId="77777777" w:rsidR="00A8138F" w:rsidRDefault="00A8138F" w:rsidP="00A8138F">
      <w:pPr>
        <w:pStyle w:val="SntesisDescriptiva"/>
      </w:pPr>
      <w:r>
        <w:t>Recurso de amparo 3672-2022. Promovido por don Antonio Rico Bellido respecto de las resoluciones dictadas por las salas de lo contencioso-administrativo del Tribunal Supremo y del Tribunal Superior de Justicia de la Comunidad Valenciana que desestimaron su reclamación de responsabilidad patrimonial por acoso laboral.</w:t>
      </w:r>
    </w:p>
    <w:p w14:paraId="08370FB5" w14:textId="2E18A0FE" w:rsidR="00A8138F" w:rsidRDefault="00A8138F" w:rsidP="00A8138F">
      <w:pPr>
        <w:pStyle w:val="SntesisDescriptiva"/>
      </w:pPr>
    </w:p>
    <w:p w14:paraId="1790ECF4" w14:textId="77777777" w:rsidR="00A8138F" w:rsidRDefault="00A8138F" w:rsidP="00A8138F">
      <w:pPr>
        <w:pStyle w:val="SntesisAnaltica"/>
      </w:pPr>
      <w:r>
        <w:t>Vulneración del derecho a la integridad física y moral en relación con el derecho a la tutela judicial efectiva: resoluciones judiciales que no ponderaron adecuadamente los indicios de hostigamiento padecido por quien formuló denuncia por irregularidades en el funcionamiento de la Policía Local de Torrevieja (Alicante).</w:t>
      </w:r>
    </w:p>
    <w:p w14:paraId="5471A6B7" w14:textId="04324515" w:rsidR="00A8138F" w:rsidRDefault="00A8138F" w:rsidP="00A8138F">
      <w:pPr>
        <w:pStyle w:val="SntesisAnaltica"/>
      </w:pPr>
    </w:p>
    <w:p w14:paraId="009443C4" w14:textId="204B5AC1" w:rsidR="00A8138F" w:rsidRDefault="00A8138F" w:rsidP="00A8138F">
      <w:pPr>
        <w:pStyle w:val="Extracto"/>
      </w:pPr>
      <w:r>
        <w:t>1.</w:t>
      </w:r>
      <w:r>
        <w:tab/>
        <w:t>Los objetivos del acoso laboral pueden ser de lo más variados: represaliar a un trabajador poco sumiso, marginarle para evitar que deje en evidencia a sus superiores, infundirle miedo para promover el incremento de su productividad, o satisfacer la personalidad manipulativa u hostigadora del acosador -el llamado acoso ‘perverso’-, entre otros (STC 56/2019) [FJ 3].</w:t>
      </w:r>
    </w:p>
    <w:p w14:paraId="4D99AFEF" w14:textId="77777777" w:rsidR="00A8138F" w:rsidRDefault="00A8138F" w:rsidP="00A8138F">
      <w:pPr>
        <w:pStyle w:val="Extracto"/>
      </w:pPr>
    </w:p>
    <w:p w14:paraId="2C8E162B" w14:textId="19358F5F" w:rsidR="00A8138F" w:rsidRDefault="00A8138F" w:rsidP="00A8138F">
      <w:pPr>
        <w:pStyle w:val="Extracto"/>
      </w:pPr>
      <w:r>
        <w:t>2.</w:t>
      </w:r>
      <w:r>
        <w:tab/>
        <w:t>El apartado tercero del Acuerdo marco europeo sobre el acoso y la violencia en el lugar de trabajo, de 26 de abril de 2007, afirma que existe acoso cuando, de uno o más trabajadores o directivos, repetida y deliberadamente, se abusa, se les amenaza y/o se les humilla en circunstancias relacionadas con el trabajo [FJ 3].</w:t>
      </w:r>
    </w:p>
    <w:p w14:paraId="7AF60B7E" w14:textId="77777777" w:rsidR="00A8138F" w:rsidRDefault="00A8138F" w:rsidP="00A8138F">
      <w:pPr>
        <w:pStyle w:val="Extracto"/>
      </w:pPr>
    </w:p>
    <w:p w14:paraId="153BC26F" w14:textId="5B59B1D2" w:rsidR="00A8138F" w:rsidRDefault="00A8138F" w:rsidP="00A8138F">
      <w:pPr>
        <w:pStyle w:val="Extracto"/>
      </w:pPr>
      <w:r>
        <w:t>3.</w:t>
      </w:r>
      <w:r>
        <w:tab/>
        <w:t>El apartado XI del preámbulo de la Ley Orgánica 5/2010, de 22 de junio, por la que se modifica la Ley Orgánica 10/1995, de 23 de noviembre, del Código penal (CP), define el acoso laboral como el hostigamiento psicológico u hostil en el marco de cualquier actividad laboral o funcionarial que humille a quien lo sufre, imponiendo situaciones de graves ofensas a la dignidad [FJ 3].</w:t>
      </w:r>
    </w:p>
    <w:p w14:paraId="0E736689" w14:textId="77777777" w:rsidR="00A8138F" w:rsidRDefault="00A8138F" w:rsidP="00A8138F">
      <w:pPr>
        <w:pStyle w:val="Extracto"/>
      </w:pPr>
    </w:p>
    <w:p w14:paraId="09246F73" w14:textId="1387673E" w:rsidR="00A8138F" w:rsidRDefault="00A8138F" w:rsidP="00A8138F">
      <w:pPr>
        <w:pStyle w:val="Extracto"/>
      </w:pPr>
      <w:r>
        <w:t>4.</w:t>
      </w:r>
      <w:r>
        <w:tab/>
        <w:t>El apartado 2.1 del epígrafe II de la Resolución de 5 de mayo de 2011, de la Secretaría de Estado para la Función Pública, por la que se aprueba y publica el Acuerdo de 6 de abril de 2011 de la mesa general de negociación de la Administración General del Estado sobre el Protocolo de actuación frente al acoso laboral en la Administración General del Estado (“Boletín Oficial del Estado” núm. 130, de 1 de junio de 2011), conceptúa el acoso laboral como la exposición a conductas de violencia psicológica intensa, dirigidas de forma reiterada y prolongada en el tiempo hacia una o más personas, por parte de otra/s que actúan frente a aquella/s desde una posición de poder, con el propósito o el efecto de crear un entorno hostil o humillante que perturbe la vida laboral de la víctima [FJ 3].</w:t>
      </w:r>
    </w:p>
    <w:p w14:paraId="5BBFAF2B" w14:textId="77777777" w:rsidR="00A8138F" w:rsidRDefault="00A8138F" w:rsidP="00A8138F">
      <w:pPr>
        <w:pStyle w:val="Extracto"/>
      </w:pPr>
    </w:p>
    <w:p w14:paraId="7151745C" w14:textId="6AF3B213" w:rsidR="00A8138F" w:rsidRDefault="00A8138F" w:rsidP="00A8138F">
      <w:pPr>
        <w:pStyle w:val="Extracto"/>
      </w:pPr>
      <w:r>
        <w:t>5.</w:t>
      </w:r>
      <w:r>
        <w:tab/>
        <w:t xml:space="preserve">El Convenio sobre la eliminación de la violencia y el acoso en el mundo del trabajo, hecho en Ginebra el 21 de junio de 2019, aprobado mediante Instrumento de adhesión publicado en el BOE de 16 de junio de 2022, establece que la expresión ‘violencia y acoso’ en el mundo del trabajo designa un conjunto de comportamientos y prácticas inaceptables, o de amenazas de tales comportamientos y prácticas, </w:t>
      </w:r>
      <w:r>
        <w:lastRenderedPageBreak/>
        <w:t>ya sea que se manifiesten una sola vez o de manera repetida, que tengan por objeto, que causen o sean susceptibles de causar, un daño físico, psicológico, sexual o económico; e incluye la violencia y el acoso por razón de género [FJ 3].</w:t>
      </w:r>
    </w:p>
    <w:p w14:paraId="76CD2DF9" w14:textId="77777777" w:rsidR="00A8138F" w:rsidRDefault="00A8138F" w:rsidP="00A8138F">
      <w:pPr>
        <w:pStyle w:val="Extracto"/>
      </w:pPr>
    </w:p>
    <w:p w14:paraId="47D83324" w14:textId="380FC9B1" w:rsidR="00A8138F" w:rsidRDefault="00A8138F" w:rsidP="00A8138F">
      <w:pPr>
        <w:pStyle w:val="Extracto"/>
      </w:pPr>
      <w:r>
        <w:t>6.</w:t>
      </w:r>
      <w:r>
        <w:tab/>
        <w:t>El concepto de acoso laboral puede comprender situaciones o conductas de diversa índole, puntuales o reiteradas en el tiempo, que tienen en común su carácter degradante de las condiciones de trabajo o la hostilidad que conllevan, y que tienen por finalidad o como resultado atentar o poner en peligro la integridad personal del empleado (STC 56/2019) [FJ 3].</w:t>
      </w:r>
    </w:p>
    <w:p w14:paraId="7355C8A7" w14:textId="77777777" w:rsidR="00A8138F" w:rsidRDefault="00A8138F" w:rsidP="00A8138F">
      <w:pPr>
        <w:pStyle w:val="Extracto"/>
      </w:pPr>
    </w:p>
    <w:p w14:paraId="36662409" w14:textId="14D68817" w:rsidR="00A8138F" w:rsidRDefault="00A8138F" w:rsidP="00A8138F">
      <w:pPr>
        <w:pStyle w:val="Extracto"/>
      </w:pPr>
      <w:r>
        <w:t>7.</w:t>
      </w:r>
      <w:r>
        <w:tab/>
        <w:t>El art. 13.1 Ley Orgánica 10/2022, de garantía integral de la libertad sexual, impone a las administraciones públicas, los organismos públicos y los órganos constitucionales, el deber de promover condiciones de trabajo que eviten las conductas que atenten contra la libertad sexual y la integridad moral en el trabajo, incidiendo especialmente en el acoso sexual y el acoso por razón de sexo, incluidos los cometidos en el ámbito digital. Asimismo, deberán arbitrar procedimientos o protocolos específicos para su prevención, detección temprana, denuncia y asesoramiento a quienes hayan sido víctimas de estas conductas [FJ 3].</w:t>
      </w:r>
    </w:p>
    <w:p w14:paraId="0BBFFD4C" w14:textId="77777777" w:rsidR="00A8138F" w:rsidRDefault="00A8138F" w:rsidP="00A8138F">
      <w:pPr>
        <w:pStyle w:val="Extracto"/>
      </w:pPr>
    </w:p>
    <w:p w14:paraId="40C6DD68" w14:textId="3BF20C70" w:rsidR="00A8138F" w:rsidRDefault="00A8138F" w:rsidP="00A8138F">
      <w:pPr>
        <w:pStyle w:val="Extracto"/>
      </w:pPr>
      <w:r>
        <w:t>8.</w:t>
      </w:r>
      <w:r>
        <w:tab/>
        <w:t>Las situaciones de acoso laboral, en la medida en que tienen por finalidad o como resultado atentar o poner en peligro la integridad del empleado, conciernen al reconocimiento constitucional de la dignidad de la persona, su derecho fundamental a la integridad física y moral y la prohibición de los tratos degradantes que proscriben los arts. 10.1 y 15 CE (STC 56/2019) [FJ 3].</w:t>
      </w:r>
    </w:p>
    <w:p w14:paraId="0FADB730" w14:textId="77777777" w:rsidR="00A8138F" w:rsidRDefault="00A8138F" w:rsidP="00A8138F">
      <w:pPr>
        <w:pStyle w:val="Extracto"/>
      </w:pPr>
    </w:p>
    <w:p w14:paraId="7F5F530E" w14:textId="79A60871" w:rsidR="00A8138F" w:rsidRDefault="00A8138F" w:rsidP="00A8138F">
      <w:pPr>
        <w:pStyle w:val="Extracto"/>
      </w:pPr>
      <w:r>
        <w:t>9.</w:t>
      </w:r>
      <w:r>
        <w:tab/>
        <w:t>Las situaciones de acoso laboral son tan multiformes que pueden involucrar también los derechos fundamentales al honor, a la intimidad personal y familiar y a la propia imagen (artículo 18 CE); y, aunque sin carácter de derecho fundamental invocable en amparo, el mandato a los poderes públicos de velar por la seguridad e higiene en el trabajo ex art. 40.2 CE (STC 56/2019) [FJ 3].</w:t>
      </w:r>
    </w:p>
    <w:p w14:paraId="7361A50E" w14:textId="77777777" w:rsidR="00A8138F" w:rsidRDefault="00A8138F" w:rsidP="00A8138F">
      <w:pPr>
        <w:pStyle w:val="Extracto"/>
      </w:pPr>
    </w:p>
    <w:p w14:paraId="72533DD7" w14:textId="782B6501" w:rsidR="00A8138F" w:rsidRDefault="00A8138F" w:rsidP="00A8138F">
      <w:pPr>
        <w:pStyle w:val="Extracto"/>
      </w:pPr>
      <w:r>
        <w:t>10.</w:t>
      </w:r>
      <w:r>
        <w:tab/>
        <w:t>El acoso laboral implica una conducta lesiva del derecho a la integridad física y moral ex art. 15 CE, íntimamente conectado con el derecho a la dignidad personal  ex art. 10.1 CE (SSTC 148/2023 o 92/2024); dignidad que constituye un derecho inviolable de todo ser humano, tal y como proclama, entre otros, el art. 1 de la Carta de los derechos fundamentales de la Unión Europea de 7 de diciembre de 2000 (CDFUE) y que, por consiguiente, también es predicable en el entorno laboral, al tener el trabajador como derecho el de “trabajar en condiciones que respeten su salud, su seguridad y su dignidad” (art. 31.1 CDFUE) [FJ 3].</w:t>
      </w:r>
    </w:p>
    <w:p w14:paraId="226439A9" w14:textId="77777777" w:rsidR="00A8138F" w:rsidRDefault="00A8138F" w:rsidP="00A8138F">
      <w:pPr>
        <w:pStyle w:val="Extracto"/>
      </w:pPr>
    </w:p>
    <w:p w14:paraId="279612E9" w14:textId="454025A3" w:rsidR="00A8138F" w:rsidRDefault="00A8138F" w:rsidP="00A8138F">
      <w:pPr>
        <w:pStyle w:val="Extracto"/>
      </w:pPr>
      <w:r>
        <w:t>11.</w:t>
      </w:r>
      <w:r>
        <w:tab/>
        <w:t>La existencia de una relación laboral no puede implicar la privación para el trabajador, de los derechos que la Constitución le reconoce, ya que las organizaciones empresariales -tanto privadas como públicas- no forman mundos separados y estancos del resto de la sociedad en los que los empleados deban soportar despojos transitorios o limitaciones injustificadas de sus derechos fundamentales y libertades públicas (STC 56/2008). Se hace necesario reconocer la importancia de una cultura del trabajo basado en el respeto mutuo y la dignidad del ser humano para prevenir la violencia y el acoso [FJ 3].</w:t>
      </w:r>
    </w:p>
    <w:p w14:paraId="54FFEC33" w14:textId="77777777" w:rsidR="00A8138F" w:rsidRDefault="00A8138F" w:rsidP="00A8138F">
      <w:pPr>
        <w:pStyle w:val="Extracto"/>
      </w:pPr>
    </w:p>
    <w:p w14:paraId="3D72E512" w14:textId="7D820060" w:rsidR="00A8138F" w:rsidRDefault="00A8138F" w:rsidP="00A8138F">
      <w:pPr>
        <w:pStyle w:val="Extracto"/>
      </w:pPr>
      <w:r>
        <w:t>12.</w:t>
      </w:r>
      <w:r>
        <w:tab/>
        <w:t>En línea de coherencia con la STEDH de 9 de noviembre de 2021, asunto Špadijer c. Montenegro, § 87, en relación con el § 69, en una demanda individual en relación con el acoso laboral sufrido por un funcionario, si bien se invocó el derecho a no sufrir malos tratos [art. 3 del Convenio europeo para la protección de los derechos humanos y de las libertades fundamentales (CEDH)], se consideró que el correcto encuadre iusfundamental de análisis era el derecho a la vida privada (art. 8 CEDH), en la medida en que el concepto de vida privada incluye la integridad física y psicológica de una persona (STC 56/2019) [FJ 3].</w:t>
      </w:r>
    </w:p>
    <w:p w14:paraId="0848794B" w14:textId="77777777" w:rsidR="00A8138F" w:rsidRDefault="00A8138F" w:rsidP="00A8138F">
      <w:pPr>
        <w:pStyle w:val="Extracto"/>
      </w:pPr>
    </w:p>
    <w:p w14:paraId="47A5D3AD" w14:textId="22EF667E" w:rsidR="00A8138F" w:rsidRDefault="00A8138F" w:rsidP="00A8138F">
      <w:pPr>
        <w:pStyle w:val="Extracto"/>
      </w:pPr>
      <w:r>
        <w:t>13.</w:t>
      </w:r>
      <w:r>
        <w:tab/>
        <w:t>Las conductas de acoso laboral resultan inaceptables y reprobables en nuestro sistema constitucional de relaciones laborales, en el que el respeto de los derechos fundamentales del trabajador constituye un elemento esencial que exige el ejercicio de todas las acciones preventivas y, en su caso, sancionadoras, dirigidas a eliminar del ámbito laboral las conductas que tan directamente atentan contra la dignidad del trabajador (art. 10.1 CE), su derecho a la integridad física y moral (art. 15 CE), en conexión con el derecho a la protección de la salud que se encomienda a los poderes públicos en el art. 40.2 CE, pudiendo llegar a afectar incluso a otros derechos fundamentales como el honor, la intimidad personal y familiar, y la propia imagen ex art. 18 CE (SSTC 56/2019, 74/2007, 106/2011 y 81/2018) [FJ 4].</w:t>
      </w:r>
    </w:p>
    <w:p w14:paraId="6D17D2BA" w14:textId="77777777" w:rsidR="00A8138F" w:rsidRDefault="00A8138F" w:rsidP="00A8138F">
      <w:pPr>
        <w:pStyle w:val="Extracto"/>
      </w:pPr>
    </w:p>
    <w:p w14:paraId="7609609B" w14:textId="51209932" w:rsidR="00A8138F" w:rsidRDefault="00A8138F" w:rsidP="00A8138F">
      <w:pPr>
        <w:pStyle w:val="Extracto"/>
      </w:pPr>
      <w:r>
        <w:t>14.</w:t>
      </w:r>
      <w:r>
        <w:tab/>
        <w:t>El acoso laboral tiene su más correcto encuadre constitucional en la vulneración del art. 15 CE, materializada en el acoso psicológico sufrido, en la medida en que reconoce el derecho a la integridad física y moral, sin que en ningún caso la persona pueda estar sometida a tratos degradantes, definidos como aquellos que provocan padecimientos físicos o psíquicos ilícitos e infligidos de modo vejatorio para quien los sufre y con esa propia intención de vejar y doblegar la voluntad del sujeto paciente (SSTC 120/1990, 57/1994 y 105/2024) [FJ 4].</w:t>
      </w:r>
    </w:p>
    <w:p w14:paraId="5F8CE25D" w14:textId="77777777" w:rsidR="00A8138F" w:rsidRDefault="00A8138F" w:rsidP="00A8138F">
      <w:pPr>
        <w:pStyle w:val="Extracto"/>
      </w:pPr>
    </w:p>
    <w:p w14:paraId="1660A974" w14:textId="71781577" w:rsidR="00A8138F" w:rsidRDefault="00A8138F" w:rsidP="00A8138F">
      <w:pPr>
        <w:pStyle w:val="Extracto"/>
      </w:pPr>
      <w:r>
        <w:t>15.</w:t>
      </w:r>
      <w:r>
        <w:tab/>
        <w:t>En el control judicial ante la invocación de haber sufrido acoso laboral, en relación con la lesión que ello implica del art. 15 CE, vulnera el derecho a la tutela judicial efectiva (art. 24.1 CE) la omisión de una motivación reforzada, dada la trascendencia de los valores y derechos fundamentales en liza (STC 56/2019) [FJ 4].</w:t>
      </w:r>
    </w:p>
    <w:p w14:paraId="70A769DD" w14:textId="77777777" w:rsidR="00A8138F" w:rsidRDefault="00A8138F" w:rsidP="00A8138F">
      <w:pPr>
        <w:pStyle w:val="Extracto"/>
      </w:pPr>
    </w:p>
    <w:p w14:paraId="35EC0880" w14:textId="6B548FFA" w:rsidR="00A8138F" w:rsidRDefault="00A8138F" w:rsidP="00A8138F">
      <w:pPr>
        <w:pStyle w:val="Extracto"/>
      </w:pPr>
      <w:r>
        <w:t>16.</w:t>
      </w:r>
      <w:r>
        <w:tab/>
        <w:t>En los litigios sobre acoso laboral, la prueba se articula en un doble elemento: la necesidad de aportación de indicios suficientes y la consiguiente inversión de la carga probatoria. Así, se exige al trabajador que acredite indicios razonables de que el acto de su empleador lesiona su derecho fundamental, debiendo deducir la posibilidad de que se pudo producir a través de ese panorama indiciario. Una vez cumplido ese primer e inexcusable deber, recaerá sobre el empleador la carga de acreditar que su actuación tuvo causas reales absolutamente extrañas a la pretendida vulneración, así como que tenían entidad suficiente para justificar la decisión adoptada (SSTC 104/2014, 51/2021, 67/2022) [FJ 4].</w:t>
      </w:r>
    </w:p>
    <w:p w14:paraId="594CF03E" w14:textId="77777777" w:rsidR="00A8138F" w:rsidRDefault="00A8138F" w:rsidP="00A8138F">
      <w:pPr>
        <w:pStyle w:val="Extracto"/>
      </w:pPr>
    </w:p>
    <w:p w14:paraId="37BCD272" w14:textId="3FE07718" w:rsidR="00A8138F" w:rsidRDefault="00A8138F" w:rsidP="00A8138F">
      <w:pPr>
        <w:pStyle w:val="Extracto"/>
      </w:pPr>
      <w:r>
        <w:t>17.</w:t>
      </w:r>
      <w:r>
        <w:tab/>
        <w:t xml:space="preserve">La garantía de indemnidad forma parte del derecho a la tutela judicial efectiva (art. 24.1 CE), en el sentido de que, del ejercicio de la acción judicial o de los actos preparatorios o previos al mismo no pueden seguirse consecuencias perjudiciales </w:t>
      </w:r>
      <w:r>
        <w:lastRenderedPageBreak/>
        <w:t>dentro del ámbito de las relaciones públicas o privadas para la persona que los protagoniza (SSTC 14/1993 o 183/2015) [FJ 4].</w:t>
      </w:r>
    </w:p>
    <w:p w14:paraId="094E168E" w14:textId="77777777" w:rsidR="00A8138F" w:rsidRDefault="00A8138F" w:rsidP="00A8138F">
      <w:pPr>
        <w:pStyle w:val="Extracto"/>
      </w:pPr>
    </w:p>
    <w:p w14:paraId="61C35AA3" w14:textId="1E78FF5A" w:rsidR="00A8138F" w:rsidRDefault="00A8138F" w:rsidP="00A8138F">
      <w:pPr>
        <w:pStyle w:val="Extracto"/>
      </w:pPr>
      <w:r>
        <w:t>18.</w:t>
      </w:r>
      <w:r>
        <w:tab/>
        <w:t>En el contexto de las relaciones de trabajo, la denuncia sobre una supuesta conducta ilícita por parte de un empleador requiere una protección especial en determinadas circunstancias, frente a las posibles represalias en forma de acoso [FJ 4].</w:t>
      </w:r>
    </w:p>
    <w:p w14:paraId="593C2DAE" w14:textId="77777777" w:rsidR="00A8138F" w:rsidRDefault="00A8138F" w:rsidP="00A8138F">
      <w:pPr>
        <w:pStyle w:val="Extracto"/>
      </w:pPr>
    </w:p>
    <w:p w14:paraId="52D2F01F" w14:textId="5F16A775" w:rsidR="00A8138F" w:rsidRDefault="00A8138F" w:rsidP="00A8138F">
      <w:pPr>
        <w:pStyle w:val="Extracto"/>
      </w:pPr>
      <w:r>
        <w:t>19.</w:t>
      </w:r>
      <w:r>
        <w:tab/>
        <w:t xml:space="preserve">El artículo 8 del Convenio Europeo de Derechos Humanos, atribuye a los Estados el deber positivo de hacer una aplicación efectiva en la práctica de las leyes contra el acoso grave, que adquieren una especial importancia en las circunstancias en las que puede haber sido provocado como consecuencia de la actividad de un </w:t>
      </w:r>
      <w:r w:rsidRPr="00A8138F">
        <w:rPr>
          <w:i/>
        </w:rPr>
        <w:t>whistleblower</w:t>
      </w:r>
      <w:r>
        <w:t xml:space="preserve"> [denunciante de irregularidades] (STEDH de 9 de noviembre de 2021, asunto </w:t>
      </w:r>
      <w:r w:rsidRPr="00A8138F">
        <w:rPr>
          <w:i/>
        </w:rPr>
        <w:t>Špadijer c. Montenegro</w:t>
      </w:r>
      <w:r>
        <w:t>, § 90) [FJ 4].</w:t>
      </w:r>
    </w:p>
    <w:p w14:paraId="73E8F8E9" w14:textId="77777777" w:rsidR="00A8138F" w:rsidRDefault="00A8138F" w:rsidP="00A8138F">
      <w:pPr>
        <w:pStyle w:val="Extracto"/>
      </w:pPr>
    </w:p>
    <w:p w14:paraId="204E935A" w14:textId="6802B5B5" w:rsidR="00A8138F" w:rsidRDefault="00A8138F" w:rsidP="00A8138F">
      <w:pPr>
        <w:pStyle w:val="Extracto"/>
      </w:pPr>
      <w:r>
        <w:t>20.</w:t>
      </w:r>
      <w:r>
        <w:tab/>
        <w:t>Lesiona el derecho fundamental a la integridad física y moral (art. 15 CE) y, en conexión con él, el derecho a la tutela judicial efectiva (art. 24.1 CE), en su dimensión de la garantía de indemnidad, desde la perspectiva del art. 44 LOTC, la sentencia que incumple su deber de control judicial de estos derechos, a partir de una correcta aplicación de la jurisprudencia constitucional sobre el desplazamiento de la carga probatoria en su protección [FJ 5].</w:t>
      </w:r>
    </w:p>
    <w:p w14:paraId="22175488" w14:textId="77777777" w:rsidR="00A8138F" w:rsidRDefault="00A8138F" w:rsidP="00A8138F">
      <w:pPr>
        <w:pStyle w:val="Extracto"/>
      </w:pPr>
    </w:p>
    <w:p w14:paraId="0915610D" w14:textId="67C6D24C" w:rsidR="00A8138F" w:rsidRDefault="00A8138F" w:rsidP="00A8138F">
      <w:pPr>
        <w:pStyle w:val="Extracto"/>
      </w:pPr>
      <w:r>
        <w:t>21.</w:t>
      </w:r>
      <w:r>
        <w:tab/>
        <w:t>La Administración debe neutralizar todo panorama indiciario de acoso en el entorno laboral; a cuyos efectos no basta con acreditar que la actuación cuestionada pueda encontrar respaldo en la ley -ya que las infracciones constitucionales pueden estar encubiertas bajo una aparente legalidad-, sino que es necesario, en todo caso, desvelar las razones verdaderas de los actos controvertidos [FJ 5].</w:t>
      </w:r>
    </w:p>
    <w:p w14:paraId="01D3ADC7" w14:textId="77777777" w:rsidR="00A8138F" w:rsidRDefault="00A8138F" w:rsidP="00A8138F">
      <w:pPr>
        <w:pStyle w:val="Extracto"/>
      </w:pPr>
    </w:p>
    <w:p w14:paraId="0FA01BC4" w14:textId="556685E4" w:rsidR="00A8138F" w:rsidRDefault="00A8138F" w:rsidP="00A8138F">
      <w:pPr>
        <w:pStyle w:val="Extracto"/>
      </w:pPr>
      <w:r>
        <w:t>22.</w:t>
      </w:r>
      <w:r>
        <w:tab/>
        <w:t>La Administración pública vulnera el derecho fundamental a la integridad física y moral (art. 15 CE), tanto con la conducta omisiva de incumplir la obligación positiva de prevenir, investigar y sancionar las actuaciones de acoso desarrolladas por sus empleados públicos contra otro/s de sus empleados públicos; como con la propia conducta activa de hostigamiento desarrollada institucionalmente en el ejercicio de sus competencias contra los intereses del empleado público acosado [FJ 6].</w:t>
      </w:r>
    </w:p>
    <w:p w14:paraId="7056DDB6" w14:textId="77777777" w:rsidR="00A8138F" w:rsidRDefault="00A8138F" w:rsidP="00A8138F">
      <w:pPr>
        <w:pStyle w:val="Extracto"/>
      </w:pPr>
    </w:p>
    <w:p w14:paraId="287B90FE" w14:textId="77777777" w:rsidR="00A8138F" w:rsidRDefault="00A8138F" w:rsidP="00A8138F">
      <w:pPr>
        <w:pStyle w:val="Extracto"/>
      </w:pPr>
    </w:p>
    <w:p w14:paraId="132D3E04"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7BBA720F" w14:textId="0D6913E7" w:rsidR="00A8138F" w:rsidRDefault="00A8138F" w:rsidP="00A8138F">
      <w:pPr>
        <w:pStyle w:val="TextoNormal"/>
      </w:pPr>
    </w:p>
    <w:p w14:paraId="209CE5B2" w14:textId="77777777" w:rsidR="00A8138F" w:rsidRDefault="00A8138F" w:rsidP="00A8138F">
      <w:pPr>
        <w:pStyle w:val="TextoNormalCentrado"/>
        <w:keepNext/>
      </w:pPr>
      <w:r>
        <w:t>EN NOMBRE DEL REY</w:t>
      </w:r>
    </w:p>
    <w:p w14:paraId="222F14D5" w14:textId="033EF07F" w:rsidR="00A8138F" w:rsidRDefault="00A8138F" w:rsidP="00A8138F">
      <w:pPr>
        <w:pStyle w:val="TextoNormalCentrado"/>
        <w:keepNext/>
      </w:pPr>
    </w:p>
    <w:p w14:paraId="1E64DDC9" w14:textId="77777777" w:rsidR="00A8138F" w:rsidRDefault="00A8138F" w:rsidP="00A8138F">
      <w:pPr>
        <w:pStyle w:val="TextoNormalCentrado"/>
        <w:keepNext/>
      </w:pPr>
    </w:p>
    <w:p w14:paraId="5953EF8D" w14:textId="77777777" w:rsidR="00A8138F" w:rsidRDefault="00A8138F" w:rsidP="00A8138F">
      <w:pPr>
        <w:pStyle w:val="TextoNormal"/>
      </w:pPr>
      <w:r>
        <w:t>la siguiente</w:t>
      </w:r>
    </w:p>
    <w:p w14:paraId="56A194A8" w14:textId="0FD0D3A4" w:rsidR="00A8138F" w:rsidRDefault="00A8138F" w:rsidP="00A8138F">
      <w:pPr>
        <w:pStyle w:val="TextoNormal"/>
      </w:pPr>
    </w:p>
    <w:p w14:paraId="0955AADB" w14:textId="77777777" w:rsidR="00A8138F" w:rsidRDefault="00A8138F" w:rsidP="00A8138F">
      <w:pPr>
        <w:pStyle w:val="TextoNormalCentrado"/>
        <w:keepNext/>
      </w:pPr>
      <w:r>
        <w:lastRenderedPageBreak/>
        <w:t>SENTENCIA</w:t>
      </w:r>
    </w:p>
    <w:p w14:paraId="6FF21D81" w14:textId="3662DA18" w:rsidR="00A8138F" w:rsidRDefault="00A8138F" w:rsidP="00A8138F">
      <w:pPr>
        <w:pStyle w:val="TextoNormalCentrado"/>
        <w:keepNext/>
      </w:pPr>
    </w:p>
    <w:p w14:paraId="46B8BB01" w14:textId="77777777" w:rsidR="00A8138F" w:rsidRDefault="00A8138F" w:rsidP="00A8138F">
      <w:pPr>
        <w:pStyle w:val="TextoNormal"/>
      </w:pPr>
      <w:r>
        <w:t>En el recurso de amparo núm. 3672-2022, promovido por don Antonio Rico Bellido, contra la providencia de 30 de marzo de 2022, de la Sección Primera de la Sala de lo Contencioso-Administrativo del Tribunal Supremo, por la que se inadmite el recurso de casación núm. 1704-2021, interpuesto contra la sentencia 14/2021, de 11 de enero, de la Sección Segunda de la Sala de lo Contencioso-Administrativo del Tribunal Superior de Justicia de la Comunidad Valenciana aclarada por auto de 3 de marzo de 2021, que estimó el recurso de apelación núm. 188-2019 interpuesto contra la sentencia 851/2018, de 31 de julio, del Juzgado de lo Contencioso-Administrativo núm. 1 de Elche pronunciada en el procedimiento abreviado núm. 351-2016, estimatoria del recurso contencioso administrativo interpuesto contra la desestimación presunta por el Ayuntamiento de Torrevieja (Alicante) de una reclamación de responsabilidad patrimonial por acoso laboral. Han comparecido el Ayuntamiento de Torrevieja, don Vicente Gutiérrez Sola y don Manuel Antonio López Vera. Ha intervenido el Ministerio Fiscal. Ha sido ponente la magistrada doña María Luisa Segoviano Astaburuaga.</w:t>
      </w:r>
    </w:p>
    <w:p w14:paraId="229BDB71" w14:textId="2F28AE70" w:rsidR="00A8138F" w:rsidRDefault="00A8138F" w:rsidP="00A8138F">
      <w:pPr>
        <w:pStyle w:val="TextoNormal"/>
      </w:pPr>
    </w:p>
    <w:p w14:paraId="68012092" w14:textId="77777777" w:rsidR="00A8138F" w:rsidRDefault="00A8138F" w:rsidP="00A8138F">
      <w:pPr>
        <w:pStyle w:val="TextoNormalNegritaCentrado"/>
        <w:keepNext/>
      </w:pPr>
      <w:r>
        <w:t>I. Antecedentes</w:t>
      </w:r>
    </w:p>
    <w:p w14:paraId="052FEE88" w14:textId="1ADE94DA" w:rsidR="00A8138F" w:rsidRDefault="00A8138F" w:rsidP="00A8138F">
      <w:pPr>
        <w:pStyle w:val="TextoNormalNegritaCentrado"/>
        <w:keepNext/>
      </w:pPr>
    </w:p>
    <w:p w14:paraId="101D42CB" w14:textId="5D3226B7" w:rsidR="00A8138F" w:rsidRDefault="00A8138F" w:rsidP="00A8138F">
      <w:pPr>
        <w:pStyle w:val="TextoNormal"/>
      </w:pPr>
      <w:r w:rsidRPr="00A8138F">
        <w:rPr>
          <w:rStyle w:val="NumeroAFNegritaCaracter"/>
        </w:rPr>
        <w:t>1</w:t>
      </w:r>
      <w:r>
        <w:t>. Don Antonio Rico Bellido, representado por la procuradora de los tribunales doña Inmaculada de Alba y Vega, bajo la dirección del letrado don Lorenzo Manuel Peñas Roldán, interpuso recurso de amparo contra las resoluciones judiciales y la desestimación administrativa presunta mencionadas en el encabezamiento de esta sentencia, mediante escrito registrado en este tribunal el 23 de mayo de 2022.</w:t>
      </w:r>
    </w:p>
    <w:p w14:paraId="03A59043" w14:textId="77777777" w:rsidR="00A8138F" w:rsidRDefault="00A8138F" w:rsidP="00A8138F">
      <w:pPr>
        <w:pStyle w:val="TextoNormal"/>
      </w:pPr>
    </w:p>
    <w:p w14:paraId="03986D3D" w14:textId="77777777" w:rsidR="00A8138F" w:rsidRDefault="00A8138F" w:rsidP="00A8138F">
      <w:pPr>
        <w:pStyle w:val="TextoNormal"/>
      </w:pPr>
      <w:r w:rsidRPr="00A8138F">
        <w:rPr>
          <w:rStyle w:val="NumeroAFNegritaCaracter"/>
        </w:rPr>
        <w:t>2</w:t>
      </w:r>
      <w:r>
        <w:t>. El recurso tiene su origen en los siguientes antecedentes:</w:t>
      </w:r>
    </w:p>
    <w:p w14:paraId="5CF9FC56" w14:textId="77777777" w:rsidR="00A8138F" w:rsidRDefault="00A8138F" w:rsidP="00A8138F">
      <w:pPr>
        <w:pStyle w:val="TextoNormal"/>
      </w:pPr>
    </w:p>
    <w:p w14:paraId="3D9D5A66" w14:textId="77777777" w:rsidR="00A8138F" w:rsidRDefault="00A8138F" w:rsidP="00A8138F">
      <w:pPr>
        <w:pStyle w:val="TextoNormal"/>
      </w:pPr>
      <w:r>
        <w:t>a) El demandante, funcionario de carrera de la policía local del Ayuntamiento de Torrevieja (Alicante), formuló ante el citado ayuntamiento, mediante escrito de 16 de febrero de 2016, una reclamación de responsabilidad patrimonial de esa administración local con fundamento en una reiterada conducta de acoso laboral que venía sufriendo. La reclamación fue desestimada por silencio administrativo.</w:t>
      </w:r>
    </w:p>
    <w:p w14:paraId="508E6819" w14:textId="77777777" w:rsidR="00A8138F" w:rsidRDefault="00A8138F" w:rsidP="00A8138F">
      <w:pPr>
        <w:pStyle w:val="TextoNormal"/>
      </w:pPr>
    </w:p>
    <w:p w14:paraId="6D83250E" w14:textId="77777777" w:rsidR="00A8138F" w:rsidRDefault="00A8138F" w:rsidP="00A8138F">
      <w:pPr>
        <w:pStyle w:val="TextoNormal"/>
      </w:pPr>
      <w:r>
        <w:t>b) El demandante formuló contra dicho acto presunto demanda contenciosa administrativa, que fue tramitada como procedimiento abreviado núm. 351-2016 por el Juzgado de lo Contencioso-Administrativo núm. 1 de Elche, en el que participaron, entre otros coadyuvantes, don Vicente Gutiérrez Sola y don Manuel Antonio López Vera, que han comparecido en este recurso de amparo.</w:t>
      </w:r>
    </w:p>
    <w:p w14:paraId="131DB277" w14:textId="77777777" w:rsidR="00A8138F" w:rsidRDefault="00A8138F" w:rsidP="00A8138F">
      <w:pPr>
        <w:pStyle w:val="TextoNormal"/>
      </w:pPr>
    </w:p>
    <w:p w14:paraId="462D26B2" w14:textId="77777777" w:rsidR="00A8138F" w:rsidRDefault="00A8138F" w:rsidP="00A8138F">
      <w:pPr>
        <w:pStyle w:val="TextoNormal"/>
      </w:pPr>
      <w:r>
        <w:t xml:space="preserve">El recurso fue estimado por sentencia 851/2018, de 31 de julio, en la que se declaró la nulidad de la desestimación de la reclamación por silencio administrativo y, “como situación jurídica individualizada, reconoció al recurrente la existencia de acoso laboral durante años, al haber sufrido y ser víctima de tal proceso de acoso laboral por la Jefatura de la Policía Local de Torrevieja y por sus superiores jerárquicos, imponiendo al Ayuntamiento de Torrevieja la obligación de indemnizar a la parte demandante con la suma de 95 816,22 €, en concepto de indemnización por los daños y perjuicios psicológicos y morales, derivados de una situación de acoso laboral persistente en el tiempo, más los intereses legales </w:t>
      </w:r>
      <w:r>
        <w:lastRenderedPageBreak/>
        <w:t>procedentes señalados en el artículo 106.2 de la Ley 29/1998, de 13 de julio, reguladora de la jurisdicción contencioso-administrativa”.</w:t>
      </w:r>
    </w:p>
    <w:p w14:paraId="20873787" w14:textId="77777777" w:rsidR="00A8138F" w:rsidRDefault="00A8138F" w:rsidP="00A8138F">
      <w:pPr>
        <w:pStyle w:val="TextoNormal"/>
      </w:pPr>
    </w:p>
    <w:p w14:paraId="1D66DE55" w14:textId="77777777" w:rsidR="00A8138F" w:rsidRDefault="00A8138F" w:rsidP="00A8138F">
      <w:pPr>
        <w:pStyle w:val="TextoNormal"/>
      </w:pPr>
      <w:r>
        <w:t>La sentencia consideró acreditados los siguientes presupuestos fácticos, que relata en su fundamento de Derecho quinto:</w:t>
      </w:r>
    </w:p>
    <w:p w14:paraId="689BD970" w14:textId="77777777" w:rsidR="00A8138F" w:rsidRDefault="00A8138F" w:rsidP="00A8138F">
      <w:pPr>
        <w:pStyle w:val="TextoNormal"/>
      </w:pPr>
    </w:p>
    <w:p w14:paraId="50371783" w14:textId="77777777" w:rsidR="00A8138F" w:rsidRDefault="00A8138F" w:rsidP="00A8138F">
      <w:pPr>
        <w:pStyle w:val="TextoNormal"/>
      </w:pPr>
      <w:r>
        <w:t>“El Sr. Rico Bellido comenzó a trabajar en julio de 2010 como agente de la Policía Local en el Ayuntamiento de Torrevieja a través de una permuta desde el municipio de Villanueva de Segura, solicitada por él. Según la demanda presentada y avalada por la extensa prueba documental aportada, desde el inicio de su trabajo en dicho ayuntamiento, advierte que se están produciendo sistemáticamente irregularidades administrativas, consistentes en falta de control del dinero en efectivo que se recauda de las multas, o en inspecciones sistemáticas de determinados locales de ocio mientras otros no lo eran nunca, a pesar de los informes desfavorables existentes. Al poner en conocimiento del jefe de la policía tales irregularidades, este sin interesarse por lo denunciado e investigarlo, se deshizo de él, conminándolo a denunciar ante el juzgado tales irregularidades, lo que hizo junto a otros dos compañeros en abril de 2013, resultando imputados un inspector del cuerpo y dos agentes del Departamento de Gestión. Desde este momento, comienza a sufrir una serie de irregularidades en torno a su persona y trabajo: le cambian turnos sin avisar, le deniegan vacaciones, le imponen turnos sin el descanso obligatorio, desaparece el arma del armero, desaparecen documentos de su taquilla, etc. Por todo ello, solicita que se le traslade a otro municipio mediante una permuta que le es denegada, a pesar de contar con numerosos informes médicos apoyando tal traslado por motivos de salud, hasta que un informe del Consejo Jurídico de la Generalitat Valenciana de septiembre de 2016, dictamina que se le dé el traslado. No acabando aquí sus padecimientos, puesto que en su nuevo destino, el Ayuntamiento de Alguazas, al encontrar un ambiente enrarecido hacia su persona, pregunta a un compañero y este le manifiesta que desde Torrevieja han enviado el dictamen completo del Consejo, que incluye su historial médico y han manifestando desde allí que era conflictivo. Posteriormente es trasladado a Lorca, donde se encuentra a gusto trabajando. De la demanda presentada por el Sr. Rico, se infieren las siguientes conductas de presunto hostigamiento:</w:t>
      </w:r>
    </w:p>
    <w:p w14:paraId="1859AC48" w14:textId="77777777" w:rsidR="00A8138F" w:rsidRDefault="00A8138F" w:rsidP="00A8138F">
      <w:pPr>
        <w:pStyle w:val="TextoNormal"/>
      </w:pPr>
    </w:p>
    <w:p w14:paraId="18A7AA9C" w14:textId="77777777" w:rsidR="00A8138F" w:rsidRDefault="00A8138F" w:rsidP="00A8138F">
      <w:pPr>
        <w:pStyle w:val="TextoNormal"/>
      </w:pPr>
      <w:r>
        <w:t>- Modificación de la jornada laboral sin notificación previa de los cambios (doc. 6 y 7 de la demanda).</w:t>
      </w:r>
    </w:p>
    <w:p w14:paraId="4C354283" w14:textId="77777777" w:rsidR="00A8138F" w:rsidRDefault="00A8138F" w:rsidP="00A8138F">
      <w:pPr>
        <w:pStyle w:val="TextoNormal"/>
      </w:pPr>
    </w:p>
    <w:p w14:paraId="1C3A868E" w14:textId="77777777" w:rsidR="00A8138F" w:rsidRDefault="00A8138F" w:rsidP="00A8138F">
      <w:pPr>
        <w:pStyle w:val="TextoNormal"/>
      </w:pPr>
      <w:r>
        <w:t>- Filtración a los agentes interinos del Ayuntamiento de Torrevieja del escrito remitido por el Sr. Rico al Sr. alcalde de Torrevieja, avisando del mantenimiento irregular de la situación de dichos interinos (doc. 13 de la demanda).</w:t>
      </w:r>
    </w:p>
    <w:p w14:paraId="5A487F75" w14:textId="77777777" w:rsidR="00A8138F" w:rsidRDefault="00A8138F" w:rsidP="00A8138F">
      <w:pPr>
        <w:pStyle w:val="TextoNormal"/>
      </w:pPr>
    </w:p>
    <w:p w14:paraId="75386B45" w14:textId="77777777" w:rsidR="00A8138F" w:rsidRDefault="00A8138F" w:rsidP="00A8138F">
      <w:pPr>
        <w:pStyle w:val="TextoNormal"/>
      </w:pPr>
      <w:r>
        <w:t>- En un panfleto publicado por el jefe de Gestión don Manuel Antonio López Vera, se le tilda de “cefalópodo, animal viscoso y asqueroso... pensando a quien va a denunciar cada día” (doc. 15 de la demanda).</w:t>
      </w:r>
    </w:p>
    <w:p w14:paraId="6EBB4754" w14:textId="77777777" w:rsidR="00A8138F" w:rsidRDefault="00A8138F" w:rsidP="00A8138F">
      <w:pPr>
        <w:pStyle w:val="TextoNormal"/>
      </w:pPr>
    </w:p>
    <w:p w14:paraId="3C3D1280" w14:textId="77777777" w:rsidR="00A8138F" w:rsidRDefault="00A8138F" w:rsidP="00A8138F">
      <w:pPr>
        <w:pStyle w:val="TextoNormal"/>
      </w:pPr>
      <w:r>
        <w:t>- Se le imponen turnos sin respetar sus periodos de descanso. Cuando el actor solicita certificado de su horario laboral, no se le da contestación (doc. 17 de la demanda).</w:t>
      </w:r>
    </w:p>
    <w:p w14:paraId="0433076C" w14:textId="77777777" w:rsidR="00A8138F" w:rsidRDefault="00A8138F" w:rsidP="00A8138F">
      <w:pPr>
        <w:pStyle w:val="TextoNormal"/>
      </w:pPr>
    </w:p>
    <w:p w14:paraId="73675452" w14:textId="77777777" w:rsidR="00A8138F" w:rsidRDefault="00A8138F" w:rsidP="00A8138F">
      <w:pPr>
        <w:pStyle w:val="TextoNormal"/>
      </w:pPr>
      <w:r>
        <w:t xml:space="preserve">- Se envía escrito por el jefe de Policía Local de Torrevieja, Sr. Gutiérrez Sola, a la Jefatura de Tráfico de Alicante, informando que es posible que haya podido perder las facultades para la conducción de vehículos que dio lugar a la apertura de un procedimiento por parte </w:t>
      </w:r>
      <w:r>
        <w:lastRenderedPageBreak/>
        <w:t>de esa jefatura de ‘pérdida de vigencia de permiso de conducir’. Una vez pasada la revisión médica, obtiene un dictamen favorable para mantener todos los permisos de conducción de los que es poseedor (doc. 18 de la demanda).</w:t>
      </w:r>
    </w:p>
    <w:p w14:paraId="42581DE2" w14:textId="77777777" w:rsidR="00A8138F" w:rsidRDefault="00A8138F" w:rsidP="00A8138F">
      <w:pPr>
        <w:pStyle w:val="TextoNormal"/>
      </w:pPr>
    </w:p>
    <w:p w14:paraId="33583ECD" w14:textId="77777777" w:rsidR="00A8138F" w:rsidRDefault="00A8138F" w:rsidP="00A8138F">
      <w:pPr>
        <w:pStyle w:val="TextoNormal"/>
      </w:pPr>
      <w:r>
        <w:t>- Se le retira el arma reglamentaria de su armero sin previo aviso (doc. 23 de la demanda).</w:t>
      </w:r>
    </w:p>
    <w:p w14:paraId="25E4920F" w14:textId="77777777" w:rsidR="00A8138F" w:rsidRDefault="00A8138F" w:rsidP="00A8138F">
      <w:pPr>
        <w:pStyle w:val="TextoNormal"/>
      </w:pPr>
    </w:p>
    <w:p w14:paraId="16848366" w14:textId="77777777" w:rsidR="00A8138F" w:rsidRDefault="00A8138F" w:rsidP="00A8138F">
      <w:pPr>
        <w:pStyle w:val="TextoNormal"/>
      </w:pPr>
      <w:r>
        <w:t>- Se publica en un tablón de anuncios que se encuentra a la vista de todo el personal un escrito del inspector Sr. López Vera desvelando datos pertenecientes al ámbito privado del Sr. Rico, además de insultarlo y acusarle de mentir ante la Justicia (doc. 25 de la demanda).</w:t>
      </w:r>
    </w:p>
    <w:p w14:paraId="5EBCF450" w14:textId="77777777" w:rsidR="00A8138F" w:rsidRDefault="00A8138F" w:rsidP="00A8138F">
      <w:pPr>
        <w:pStyle w:val="TextoNormal"/>
      </w:pPr>
    </w:p>
    <w:p w14:paraId="38ABF442" w14:textId="77777777" w:rsidR="00A8138F" w:rsidRDefault="00A8138F" w:rsidP="00A8138F">
      <w:pPr>
        <w:pStyle w:val="TextoNormal"/>
      </w:pPr>
      <w:r>
        <w:t>- Desaparecen documentos de su casillero personal (doc. 26 y 27 de la demanda).</w:t>
      </w:r>
    </w:p>
    <w:p w14:paraId="4F9DCC5E" w14:textId="77777777" w:rsidR="00A8138F" w:rsidRDefault="00A8138F" w:rsidP="00A8138F">
      <w:pPr>
        <w:pStyle w:val="TextoNormal"/>
      </w:pPr>
    </w:p>
    <w:p w14:paraId="289AEA3B" w14:textId="77777777" w:rsidR="00A8138F" w:rsidRDefault="00A8138F" w:rsidP="00A8138F">
      <w:pPr>
        <w:pStyle w:val="TextoNormal"/>
      </w:pPr>
      <w:r>
        <w:t>- No se le contesta a su petición de traslado en comisión de servicio, a pesar de haberlo aconsejado el médico especialista en salud mental (doc. 28 y 29 de la demanda).</w:t>
      </w:r>
    </w:p>
    <w:p w14:paraId="009116E2" w14:textId="77777777" w:rsidR="00A8138F" w:rsidRDefault="00A8138F" w:rsidP="00A8138F">
      <w:pPr>
        <w:pStyle w:val="TextoNormal"/>
      </w:pPr>
    </w:p>
    <w:p w14:paraId="129AD419" w14:textId="77777777" w:rsidR="00A8138F" w:rsidRDefault="00A8138F" w:rsidP="00A8138F">
      <w:pPr>
        <w:pStyle w:val="TextoNormal"/>
      </w:pPr>
      <w:r>
        <w:t>- Se le deniegan las vacaciones y los días de asuntos propios (doc. 30 y 31 de la demanda).</w:t>
      </w:r>
    </w:p>
    <w:p w14:paraId="7ADC326C" w14:textId="77777777" w:rsidR="00A8138F" w:rsidRDefault="00A8138F" w:rsidP="00A8138F">
      <w:pPr>
        <w:pStyle w:val="TextoNormal"/>
      </w:pPr>
    </w:p>
    <w:p w14:paraId="201FE832" w14:textId="77777777" w:rsidR="00A8138F" w:rsidRDefault="00A8138F" w:rsidP="00A8138F">
      <w:pPr>
        <w:pStyle w:val="TextoNormal"/>
      </w:pPr>
      <w:r>
        <w:t>- Se le deniega la solicitud de permuta, que solo le es concedida cuando así lo dictamina en un informe el Consejo Jurídico de la Generalitat Valenciana (doc. 34 y 35 de la demanda).</w:t>
      </w:r>
    </w:p>
    <w:p w14:paraId="50FC4FE7" w14:textId="77777777" w:rsidR="00A8138F" w:rsidRDefault="00A8138F" w:rsidP="00A8138F">
      <w:pPr>
        <w:pStyle w:val="TextoNormal"/>
      </w:pPr>
    </w:p>
    <w:p w14:paraId="33E95F7B" w14:textId="77777777" w:rsidR="00A8138F" w:rsidRDefault="00A8138F" w:rsidP="00A8138F">
      <w:pPr>
        <w:pStyle w:val="TextoNormal"/>
      </w:pPr>
      <w:r>
        <w:t>- Se le deniega la paga extraordinaria y otros emolumentos (doc. 41, 42 y 43 de la demanda).</w:t>
      </w:r>
    </w:p>
    <w:p w14:paraId="07D1CDC3" w14:textId="77777777" w:rsidR="00A8138F" w:rsidRDefault="00A8138F" w:rsidP="00A8138F">
      <w:pPr>
        <w:pStyle w:val="TextoNormal"/>
      </w:pPr>
    </w:p>
    <w:p w14:paraId="2D43880A" w14:textId="77777777" w:rsidR="00A8138F" w:rsidRDefault="00A8138F" w:rsidP="00A8138F">
      <w:pPr>
        <w:pStyle w:val="TextoNormal"/>
      </w:pPr>
      <w:r>
        <w:t>- Se le deniegan las ayudas escolares (doc. 49 y 50 de la demanda)”.</w:t>
      </w:r>
    </w:p>
    <w:p w14:paraId="6BABCB23" w14:textId="77777777" w:rsidR="00A8138F" w:rsidRDefault="00A8138F" w:rsidP="00A8138F">
      <w:pPr>
        <w:pStyle w:val="TextoNormal"/>
      </w:pPr>
    </w:p>
    <w:p w14:paraId="74CC5A5A" w14:textId="77777777" w:rsidR="00A8138F" w:rsidRDefault="00A8138F" w:rsidP="00A8138F">
      <w:pPr>
        <w:pStyle w:val="TextoNormal"/>
      </w:pPr>
      <w:r>
        <w:t>La sentencia, al hacer la valoración de las pruebas testificales, pone de manifiesto que dos de los codemandados, que son los que han comparecido en este proceso constitucional, en su calidad de jefe e inspector de la Policía Local de Torrevieja, “ya fueron considerados como inductores de acoso laboral en los procedimientos P.A. 410-2015 y P.A. 224-2016, sentencias dictadas por este mismo juzgado en fechas 25 de octubre de 2016 y 18 de septiembre de 2017 en las que el Ayuntamiento de Torrevieja tuvo que indemnizar a los recurrentes con 48 500 € y 23 450 € respectivamente” (fundamento de Derecho 5).</w:t>
      </w:r>
    </w:p>
    <w:p w14:paraId="1871BE08" w14:textId="77777777" w:rsidR="00A8138F" w:rsidRDefault="00A8138F" w:rsidP="00A8138F">
      <w:pPr>
        <w:pStyle w:val="TextoNormal"/>
      </w:pPr>
    </w:p>
    <w:p w14:paraId="5B4B644E" w14:textId="77777777" w:rsidR="00A8138F" w:rsidRDefault="00A8138F" w:rsidP="00A8138F">
      <w:pPr>
        <w:pStyle w:val="TextoNormal"/>
      </w:pPr>
      <w:r>
        <w:t xml:space="preserve">La sentencia, tras hacer una valoración de las pruebas personales —interrogatorio de los demandados, testifical y pericial— y documentales practicadas, afirma que “ha quedado acreditado a entender de este juzgador que el demandante Sr. Rico, ha sido objeto de un verdadero y cierto acoso laboral o </w:t>
      </w:r>
      <w:r w:rsidRPr="00A8138F">
        <w:rPr>
          <w:i/>
        </w:rPr>
        <w:t>mobbing</w:t>
      </w:r>
      <w:r>
        <w:t xml:space="preserve"> durante varios años, mientras trabajaba como agente de la Policía Local de Torrevieja, lo que le ha menoscabado su salud de manera importante y producido un trastorno adaptativo y unos daños morales derivados del acoso psicológico sufrido (lo estudiaremos detenidamente al analizar la prueba pericial), propiciado e instrumentado por quienes ocupan los cargos de mando de la policía local, fundamentalmente por el inspector Sr. López Vera y el jefe de la misma Sr. Gutiérrez Sola, siendo conocida, permitida y consentida esta situación por el Ayuntamiento de Torrevieja único demandado en este procedimiento por el actor, exactamente igual que en anteriores procedimientos muy similares a este, en el que de manera reiterada aparecen como instigadores de otros acosos a agentes de la Policía Local de Torrevieja, los señores antes citados, sin que por parte de sus superiores funcionariales y políticos, hasta la fecha, se les haya instruido expediente alguno. Y eso, que el Ayuntamiento de Torrevieja ha tenido que desembolsar en </w:t>
      </w:r>
      <w:r>
        <w:lastRenderedPageBreak/>
        <w:t>los últimos años, decenas de miles de euros en el pago de indemnizaciones a agentes de la Policía Local de Torrevieja, víctimas de acoso laboral; dinero que sale del bolsillo de todos los ciudadanos de Torrevieja, incluidos los agentes de la Policía Local de su ayuntamiento, cuya inmensa mayoría, son ajenos a esta situaciones creadas por unos y consentidas por otros, pero siempre dentro del ayuntamiento demandado” (fundamento de Derecho 6). A ello añade que, “[p]or su parte, el ayuntamiento demandado, no ha aportado pruebas suficientes para enervar la convicción de que se ha producido un acoso laboral en la persona del recurrente, porque la documentación que ha aportado, reviste de legalidad algunas de las actuaciones llevadas a cabo sobre el recurrente, pero es que no se está discutiendo si son legales o no determinadas decisiones adoptadas por sus funcionarios, sino si tales decisiones o normas en las que se sustentaban, se aplicaba a todos los funcionarios por igual o, en algunos casos como en el caso del recurrente, solo a él. Y a lo largo del procedimiento y fundamentalmente de la vista, se ha ido constatando que en los casos denunciados por él, la vara de medir era diferente que cuando esas peticiones eran solicitadas por otros agentes. Parecido es el caso de alguno de los archivos de causas penales promovidas por el recurrente (otras siguen vivas), que nada tienen que ver con que se le persiga por haber promovido tales causas cuando él consideraba que era lo justo y que era su obligación, independientemente [de] que en esta jurisdicción lo que se discute no es un ilícito penal, sino administrativo. En cuanto al resto de la prueba, el ayuntamiento ha estado huérfana de ella, no ha traído a un solo testigo (con la cantidad de enemigos que según dicen tenía el recurrente dentro de la plantilla), no ha aportado un solo informe pericial para contradecir los aportados por el demandante o la documentación médica de la sanidad pública aportada también por el actor. Por lo que llegamos al convencimiento de que el actor —como dice la sentencia antes reseñada— ha aportado no solamente indicios razonables, sino pruebas concluyentes de que se han vulnerado sus derechos fundamentales como su dignidad personal o su integridad moral a través de una situación de acoso laboral consentida por el ayuntamiento demandado; y, —siguiendo la reseñada sentencia— el demandado, no ha probado que las decisiones adoptadas no hayan sido realizadas para menoscabar de manera sistemática e intencionada la dignidad personal y profesional del demandante” (fundamento de Derecho 6).</w:t>
      </w:r>
    </w:p>
    <w:p w14:paraId="0C8A5E7C" w14:textId="77777777" w:rsidR="00A8138F" w:rsidRDefault="00A8138F" w:rsidP="00A8138F">
      <w:pPr>
        <w:pStyle w:val="TextoNormal"/>
      </w:pPr>
    </w:p>
    <w:p w14:paraId="43A9E998" w14:textId="77777777" w:rsidR="00A8138F" w:rsidRDefault="00A8138F" w:rsidP="00A8138F">
      <w:pPr>
        <w:pStyle w:val="TextoNormal"/>
      </w:pPr>
      <w:r>
        <w:t>c) El Ayuntamiento de Torrevieja se aquietó con la resolución, pero cuatro de los codemandados, entre ellos los dos que han comparecido en el presente procedimiento de amparo, formularon recurso de apelación, que fue tramitado con el núm. 188-2019 por la Sección Segunda de la Sala Contencioso-Administrativo del Tribunal Superior de Justicia de la Comunidad Valenciana</w:t>
      </w:r>
    </w:p>
    <w:p w14:paraId="28A9E6C1" w14:textId="77777777" w:rsidR="00A8138F" w:rsidRDefault="00A8138F" w:rsidP="00A8138F">
      <w:pPr>
        <w:pStyle w:val="TextoNormal"/>
      </w:pPr>
    </w:p>
    <w:p w14:paraId="1FE9931F" w14:textId="77777777" w:rsidR="00A8138F" w:rsidRDefault="00A8138F" w:rsidP="00A8138F">
      <w:pPr>
        <w:pStyle w:val="TextoNormal"/>
      </w:pPr>
      <w:r>
        <w:t>El recurso fue estimado por sentencia núm. 14/2021, de 11 de enero —aclarada por auto de 3 de marzo de 2021, en cuanto a la identificación de los profesionales participantes— descartando la existencia de acoso laboral, al considerar que ninguno de los indicios aportados por el demandante y asumidos por el Juzgado de lo Contencioso-Administrativo núm. 1 de Elche, tenían fuerza suasoria suficiente. Destaca que, aunque sobre la prueba testifical practicada en la instancia y “de existir como única prueba en el proceso, la valoración del juzgado sería adecuada”, sin embargo, tras analizar la prueba documental, “hemos comprobado que lejos de ratificar la impresión del juzgado respecto al acoso laboral lo contradice, ninguna de las pruebas documentales favorecen la interpretación que se hace en la sentencia apelada, tal como hemos señalado en el análisis de la presente sentencia” (fundamento de Derecho 14).</w:t>
      </w:r>
    </w:p>
    <w:p w14:paraId="32D00C0C" w14:textId="77777777" w:rsidR="00A8138F" w:rsidRDefault="00A8138F" w:rsidP="00A8138F">
      <w:pPr>
        <w:pStyle w:val="TextoNormal"/>
      </w:pPr>
    </w:p>
    <w:p w14:paraId="0A5ABD14" w14:textId="77777777" w:rsidR="00A8138F" w:rsidRDefault="00A8138F" w:rsidP="00A8138F">
      <w:pPr>
        <w:pStyle w:val="TextoNormal"/>
      </w:pPr>
      <w:r>
        <w:lastRenderedPageBreak/>
        <w:t>La sentencia de apelación argumenta, en relación con cada uno de los eventos que la sentencia de instancia consideró como indiciarios de la conducta de acoso, lo siguiente:</w:t>
      </w:r>
    </w:p>
    <w:p w14:paraId="6797481B" w14:textId="77777777" w:rsidR="00A8138F" w:rsidRDefault="00A8138F" w:rsidP="00A8138F">
      <w:pPr>
        <w:pStyle w:val="TextoNormal"/>
      </w:pPr>
    </w:p>
    <w:p w14:paraId="440F1100" w14:textId="77777777" w:rsidR="00A8138F" w:rsidRDefault="00A8138F" w:rsidP="00A8138F">
      <w:pPr>
        <w:pStyle w:val="TextoNormal"/>
      </w:pPr>
      <w:r>
        <w:t>(i) No puede tomarse como prueba de acoso laboral el hecho de que los codemandados apelantes fueran considerados como inductores de acoso laboral en otros dos procedimientos que concluyeron con dos sentencias condenatorias al Ayuntamiento de Torrevieja, que tuvo que indemnizar a los actores con 48 000 € y 23 450 €, porque en esos procesos no fueron emplazados los apelantes, ni condenados (fundamento de Derecho 6).</w:t>
      </w:r>
    </w:p>
    <w:p w14:paraId="131672CF" w14:textId="77777777" w:rsidR="00A8138F" w:rsidRDefault="00A8138F" w:rsidP="00A8138F">
      <w:pPr>
        <w:pStyle w:val="TextoNormal"/>
      </w:pPr>
    </w:p>
    <w:p w14:paraId="5247DDE5" w14:textId="77777777" w:rsidR="00A8138F" w:rsidRDefault="00A8138F" w:rsidP="00A8138F">
      <w:pPr>
        <w:pStyle w:val="TextoNormal"/>
      </w:pPr>
      <w:r>
        <w:t>(ii) La existencia de policías locales interinos en los diferentes municipios era una controversia constante, hasta tal punto que la jurisprudencia del Tribunal Supremo llegó a negar su posible existencia, reiterando así el criterio mantenido en su día por la STC 175/2011, de 8 de noviembre, excluyendo la STC 106/2019, de 19 de septiembre, que existiese una prohibición expresa para su nombramiento. En ese contexto, la denuncia judicial presentada por el demandante respecto de dos de los apelantes por el nombramiento de interinos en la policía local de Torrevieja no era acreditativa del pretendido acoso, al constar auto de sobreseimiento firme del Juzgado de Instrucción núm.1 de Torrevieja, en el procedimiento abreviado núm. 974-2014; como tampoco lo era la difusión de la carta dirigida por el recurrente a la concejal de Policía, al no poder considerarse como una “denuncia secreta” por haber sido presentada en el registro general del propio ayuntamiento, como así le respondió la Agencia Española de Protección de Datos al archivar su denuncia, negando que infringiera la normativa el que los funcionarios “interinos” accedieran al terminal SIGO —Sistema Integral de Gestión Operativa— (fundamento de Derecho 7).</w:t>
      </w:r>
    </w:p>
    <w:p w14:paraId="0685BFED" w14:textId="77777777" w:rsidR="00A8138F" w:rsidRDefault="00A8138F" w:rsidP="00A8138F">
      <w:pPr>
        <w:pStyle w:val="TextoNormal"/>
      </w:pPr>
    </w:p>
    <w:p w14:paraId="15C75849" w14:textId="77777777" w:rsidR="00A8138F" w:rsidRDefault="00A8138F" w:rsidP="00A8138F">
      <w:pPr>
        <w:pStyle w:val="TextoNormal"/>
      </w:pPr>
      <w:r>
        <w:t xml:space="preserve">(iii) Las solicitudes de permuta efectuadas por el recurrente fueron informadas desfavorablemente por el intendente principal jefe de la policía local, pero, posteriormente, informó favorablemente tanto la activación del protocolo de acoso laboral como la solicitud de permuta de puesto de trabajo; no siendo tampoco cierto que no se hubiera dado respuesta a su solicitud de “comisión de servicios”, pues fue denegada por acuerdo de la Junta de Gobierno Local de 6 de marzo de 2015, no recurrido por el demandante. Por otra parte, el Consejo Jurídico Consultivo de la Comunidad Valenciana emitió un informe favorable a la permuta solicitada por el recurrente, pero reconoció que conforme a la normativa aplicable no era posible, razón por la cual, si se accedió finalmente a la misma, lo fue aplicando la normativa de salud pública, lo que demuestra que la denegación de las solicitudes de permutas anteriores no se debió a ningún acoso laboral, sino a una “interpretación estricta de las normas sobre permuta” (fundamento de Derecho 8). </w:t>
      </w:r>
    </w:p>
    <w:p w14:paraId="61FBBCDE" w14:textId="77777777" w:rsidR="00A8138F" w:rsidRDefault="00A8138F" w:rsidP="00A8138F">
      <w:pPr>
        <w:pStyle w:val="TextoNormal"/>
      </w:pPr>
    </w:p>
    <w:p w14:paraId="2BCA671A" w14:textId="77777777" w:rsidR="00A8138F" w:rsidRDefault="00A8138F" w:rsidP="00A8138F">
      <w:pPr>
        <w:pStyle w:val="TextoNormal"/>
      </w:pPr>
      <w:r>
        <w:t xml:space="preserve">(iv) Los informes médicos sobre el estado de salud del recurrente no declaraban que existiese “acoso laboral” sino solo que existían “conductas de hostigamiento —en abstracto— que constituyen acoso”; afirmando el médico que valoró el daño corporal ante el juzgado que su dictamen no tenía como función determinar si había habido acoso, limitándose a valora las “vivencias” del recurrente y las “secuelas” que le dejaron las mismas (fundamento de Derecho 9). </w:t>
      </w:r>
    </w:p>
    <w:p w14:paraId="15F89EA2" w14:textId="77777777" w:rsidR="00A8138F" w:rsidRDefault="00A8138F" w:rsidP="00A8138F">
      <w:pPr>
        <w:pStyle w:val="TextoNormal"/>
      </w:pPr>
    </w:p>
    <w:p w14:paraId="2B98D370" w14:textId="77777777" w:rsidR="00A8138F" w:rsidRDefault="00A8138F" w:rsidP="00A8138F">
      <w:pPr>
        <w:pStyle w:val="TextoNormal"/>
      </w:pPr>
      <w:r>
        <w:t xml:space="preserve">(v) La retirada del arma del recurrente sin aviso previo encontraba su justificación en la normativa aplicable, por estar diagnosticado de trastorno adaptativo con síntoma mixto de ansiedad-depresión y la comunicación que se hizo a la Jefatura Provincial de Tráfico de Alicante para la posible retirada o suspensión temporal del permiso de conducir ante la </w:t>
      </w:r>
      <w:r>
        <w:lastRenderedPageBreak/>
        <w:t>eventual pérdida de la aptitud para conducir, se justificaba, igualmente, en el art. 63.3 de la Ley sobre tráfico, circulación de vehículos a motor y seguridad vial, aprobada por el Real Decreto Legislativo 6/2015, de 30 de octubre (fundamento de Derecho 10).</w:t>
      </w:r>
    </w:p>
    <w:p w14:paraId="51F8884A" w14:textId="77777777" w:rsidR="00A8138F" w:rsidRDefault="00A8138F" w:rsidP="00A8138F">
      <w:pPr>
        <w:pStyle w:val="TextoNormal"/>
      </w:pPr>
    </w:p>
    <w:p w14:paraId="0096A133" w14:textId="77777777" w:rsidR="00A8138F" w:rsidRDefault="00A8138F" w:rsidP="00A8138F">
      <w:pPr>
        <w:pStyle w:val="TextoNormal"/>
      </w:pPr>
      <w:r>
        <w:t>(vi) La denegación de las vacaciones solicitadas fue “por razones del servicio” y no solo al recurrente sino también a otros compañeros, lo que excluye que fuera motivo de discriminación (fundamento de Derecho 11).</w:t>
      </w:r>
    </w:p>
    <w:p w14:paraId="425A2540" w14:textId="77777777" w:rsidR="00A8138F" w:rsidRDefault="00A8138F" w:rsidP="00A8138F">
      <w:pPr>
        <w:pStyle w:val="TextoNormal"/>
      </w:pPr>
    </w:p>
    <w:p w14:paraId="30FF6141" w14:textId="77777777" w:rsidR="00A8138F" w:rsidRDefault="00A8138F" w:rsidP="00A8138F">
      <w:pPr>
        <w:pStyle w:val="TextoNormal"/>
      </w:pPr>
      <w:r>
        <w:t>(vii) Ninguna conclusión favorable al acoso podía extraerse del hecho de que el recurrente hubiera presentado una denuncia penal por las irregularidades que decía cometidas, pues las actuaciones judiciales derivadas de la misma no constan archivadas, lo que las convierte en irrelevantes (fundamento de Derecho 12).</w:t>
      </w:r>
    </w:p>
    <w:p w14:paraId="2C117804" w14:textId="77777777" w:rsidR="00A8138F" w:rsidRDefault="00A8138F" w:rsidP="00A8138F">
      <w:pPr>
        <w:pStyle w:val="TextoNormal"/>
      </w:pPr>
    </w:p>
    <w:p w14:paraId="406CF285" w14:textId="77777777" w:rsidR="00A8138F" w:rsidRDefault="00A8138F" w:rsidP="00A8138F">
      <w:pPr>
        <w:pStyle w:val="TextoNormal"/>
      </w:pPr>
      <w:r>
        <w:t>(viii) Las quejas del recurrente sobre sus horarios y turnos, no era un problema que le afectase solo a él, sino también a otros trabajadores, tratándose de un problema endémico dentro de la policía (fundamento de Derecho 13).</w:t>
      </w:r>
    </w:p>
    <w:p w14:paraId="6812E0DA" w14:textId="77777777" w:rsidR="00A8138F" w:rsidRDefault="00A8138F" w:rsidP="00A8138F">
      <w:pPr>
        <w:pStyle w:val="TextoNormal"/>
      </w:pPr>
    </w:p>
    <w:p w14:paraId="59860B36" w14:textId="38717DB3" w:rsidR="00A8138F" w:rsidRDefault="00A8138F" w:rsidP="00A8138F">
      <w:pPr>
        <w:pStyle w:val="TextoNormal"/>
      </w:pPr>
      <w:r>
        <w:t>d) El demandante interpuso recurso de casación ante la Sala de lo Contencioso-Administrativo del Tribunal Supremo, con invocación, entre otros, del derecho fundamental a la integridad física y moral (art. 15 CE), que fue tramitado con el núm. 1704-2021, siendo inadmitido por providencia de su sección primera de 30 de marzo de 2022, por no haberse justificado suficientemente que las infracciones imputadas a la sentencia hubiesen sido relevantes y determinantes de la decisión adoptada y al no haberse fundamentado la concurrencia de ninguno de los supuestos de interés casacional objetivos legalmente previstos.</w:t>
      </w:r>
    </w:p>
    <w:p w14:paraId="3819879E" w14:textId="77777777" w:rsidR="00A8138F" w:rsidRDefault="00A8138F" w:rsidP="00A8138F">
      <w:pPr>
        <w:pStyle w:val="TextoNormal"/>
      </w:pPr>
    </w:p>
    <w:p w14:paraId="592BD755" w14:textId="77777777" w:rsidR="00A8138F" w:rsidRDefault="00A8138F" w:rsidP="00A8138F">
      <w:pPr>
        <w:pStyle w:val="TextoNormal"/>
      </w:pPr>
      <w:r w:rsidRPr="00A8138F">
        <w:rPr>
          <w:rStyle w:val="NumeroAFNegritaCaracter"/>
        </w:rPr>
        <w:t>3</w:t>
      </w:r>
      <w:r>
        <w:t>. El demandante de amparo solicita que se estime el recurso de amparo declarando que se ha vulnerado su derecho a la integridad física y moral (art. 15 CE), en relación con los derechos a la dignidad personal (art. 10.1 CE) y a la tutela judicial efectiva (art. 24.1 CE), para cuyo restablecimiento considera necesario la nulidad de las resoluciones judiciales y de la actuación administrativa impugnada con la declaración de firmeza de la sentencia de instancia.</w:t>
      </w:r>
    </w:p>
    <w:p w14:paraId="0D3D0AB9" w14:textId="77777777" w:rsidR="00A8138F" w:rsidRDefault="00A8138F" w:rsidP="00A8138F">
      <w:pPr>
        <w:pStyle w:val="TextoNormal"/>
      </w:pPr>
    </w:p>
    <w:p w14:paraId="37AD046E" w14:textId="77777777" w:rsidR="00A8138F" w:rsidRDefault="00A8138F" w:rsidP="00A8138F">
      <w:pPr>
        <w:pStyle w:val="TextoNormal"/>
      </w:pPr>
      <w:r>
        <w:t xml:space="preserve">El demandante, tras hacer una exposición de la jurisprudencia constitucional que considera aplicable al caso, alega que la lesión del derecho a la integridad física y moral (art. 15 CE) es imputable al Ayuntamiento de Torrevieja, tanto por la acción de los acosadores, como por la conducta pasiva de sus responsables, permitiéndola y perpetuándola. A esos efectos, afirma que, por su parte, cumplió sobradamente la carga que le competía de acreditar, con la actividad probatoria desarrollada, la existencia de indicios del acoso laboral sufrido a partir de los cuales era preciso el desplazamiento de la carga probatoria a la administración local, que no fue capaz de acreditar que su conducta se produjera al margen de todo propósito de hostigamiento; destaca que la sentencia de apelación no negó los indicios, sino que se limitó a entender que no eran constitutivos de acoso laboral, al considerar que el juzgado de instancia había realizado una deficiente valoración de la prueba practicada. De ese modo, en la apelación no se aplicó la regla de la distribución de la carga de la prueba establecida por la doctrina constitucional, lo que permite concluir que se cumplen todos los requisitos para apreciar la vulneración alegada, por comportar los hechos probados una conducta deliberada y adecuada para producir un resultado lesivo de su derecho a la integridad física y moral. El demandante incide en que en la actualidad ostenta “el estatus de víctima </w:t>
      </w:r>
      <w:r>
        <w:lastRenderedPageBreak/>
        <w:t>protegida” por la Agencia Valenciana Antifraude por estos hechos concretos y que, teniendo en cuenta toda la prueba practicada y los hechos declarados probados, no cabe compartir las afirmaciones de la sentencia de apelación de que no ha existido acoso laboral y que el denunciante ha vivido la situación “desde un prisma subjetivo”. Esa afirmación hubiera precisado que la misma tuviera un apoyo en la prueba practicada —un apoyo médico pericial—, que no existió, pues el que consta llega a conclusiones diametralmente opuestas. Además, destaca que la administración no veló por su salud accediendo al traslado solicitado, cuando era necesario el cambio de puesto —recomendado, además, por facultativos médicos—, manteniendo una actitud pasiva ante sus quejas sin la puesta en marcha de un protocolo de acoso para investigar lo sucedido. También considera que no cabe justificar la actuación administrativa hacia su persona en “motivos organizativos”, utilizando, de ese modo, torticeramente, las prerrogativas que la administración tiene.</w:t>
      </w:r>
    </w:p>
    <w:p w14:paraId="3E06F19A" w14:textId="77777777" w:rsidR="00A8138F" w:rsidRDefault="00A8138F" w:rsidP="00A8138F">
      <w:pPr>
        <w:pStyle w:val="TextoNormal"/>
      </w:pPr>
    </w:p>
    <w:p w14:paraId="186B5C92" w14:textId="77777777" w:rsidR="00A8138F" w:rsidRDefault="00A8138F" w:rsidP="00A8138F">
      <w:pPr>
        <w:pStyle w:val="TextoNormal"/>
      </w:pPr>
      <w:r>
        <w:t>El demandante también invoca, de manera autónoma, el derecho a la tutela judicial efectiva (art. 24.1 CE), en su vertiente de derecho de acceso al recurso, al no haber sido admitido a trámite el recurso de casación, de una forma irrazonable y arbitraria, ya que se cumplían todos los requisitos de admisión y concurría un interés casacional objetivo.</w:t>
      </w:r>
    </w:p>
    <w:p w14:paraId="2D5828AF" w14:textId="77777777" w:rsidR="00A8138F" w:rsidRDefault="00A8138F" w:rsidP="00A8138F">
      <w:pPr>
        <w:pStyle w:val="TextoNormal"/>
      </w:pPr>
    </w:p>
    <w:p w14:paraId="4CB89BF3" w14:textId="77777777" w:rsidR="00A8138F" w:rsidRDefault="00A8138F" w:rsidP="00A8138F">
      <w:pPr>
        <w:pStyle w:val="TextoNormal"/>
      </w:pPr>
      <w:r>
        <w:t>El demandante alega que en el recurso concurre la necesaria trascendencia constitucional ya que, en los términos desarrollados en la STC 155/2009, de 25 de junio, plantea, respecto de la invocación del art. 15 CE, una cuestión novedosa en la jurisprudencia constitucional, como es el uso reiterado de potestades administrativas en una actividad de acoso institucional, además de apreciarse que existen resoluciones judiciales contradictorias sobre el derecho fundamental, como demuestra la diferente conclusión a la que se llega en las sentencias de instancia y apelación.</w:t>
      </w:r>
    </w:p>
    <w:p w14:paraId="7BC57128" w14:textId="77777777" w:rsidR="00A8138F" w:rsidRDefault="00A8138F" w:rsidP="00A8138F">
      <w:pPr>
        <w:pStyle w:val="TextoNormal"/>
      </w:pPr>
    </w:p>
    <w:p w14:paraId="7E5D9F62" w14:textId="2C101886" w:rsidR="00A8138F" w:rsidRDefault="00A8138F" w:rsidP="00A8138F">
      <w:pPr>
        <w:pStyle w:val="TextoNormal"/>
      </w:pPr>
      <w:r>
        <w:t>El demandante, mediante escrito de 2 de febrero de 2023, adjuntó la sentencia 313/2022, de 26 de diciembre, de la Sección Undécima de la Audiencia Provincial de Alicante  por la que se condenaba a don Manuel Antonio López Vera, parte comparecida en el presente recurso de amparo, que ejercía funciones como inspector en la Policía Local de Torrevieja, como autor criminalmente responsable de un delito de infidelidad en la custodia de documentos, como consecuencia de una denuncia presentada por el demandante, considerando que es una constatación objetiva de que había sido acosado por denunciar una irregularidad.</w:t>
      </w:r>
    </w:p>
    <w:p w14:paraId="3B365475" w14:textId="77777777" w:rsidR="00A8138F" w:rsidRDefault="00A8138F" w:rsidP="00A8138F">
      <w:pPr>
        <w:pStyle w:val="TextoNormal"/>
      </w:pPr>
    </w:p>
    <w:p w14:paraId="39ACC586" w14:textId="7E37C288" w:rsidR="00A8138F" w:rsidRDefault="00A8138F" w:rsidP="00A8138F">
      <w:pPr>
        <w:pStyle w:val="TextoNormal"/>
      </w:pPr>
      <w:r w:rsidRPr="00A8138F">
        <w:rPr>
          <w:rStyle w:val="NumeroAFNegritaCaracter"/>
        </w:rPr>
        <w:t>4</w:t>
      </w:r>
      <w:r>
        <w:t>. La Sección Primera del Tribunal, por providencia de 6 de mayo de 2024, acordó la admisión a trámite de la demanda de amparo, apreciando que concurre en la misma una especial trascendencia constitucional al plantear un problema o afectar a una faceta de un derecho fundamental sobre el que no había doctrina de este tribunal [STC 155/2009, FJ 2 a)], dirigir atenta comunicación a los órganos judiciales para remisión de las actuaciones correspondientes y el emplazamiento de quienes hubieran sido parte en el procedimiento para que puedan comparecer en el recurso de amparo.</w:t>
      </w:r>
    </w:p>
    <w:p w14:paraId="6B52D0EF" w14:textId="77777777" w:rsidR="00A8138F" w:rsidRDefault="00A8138F" w:rsidP="00A8138F">
      <w:pPr>
        <w:pStyle w:val="TextoNormal"/>
      </w:pPr>
    </w:p>
    <w:p w14:paraId="52BE375B" w14:textId="24260B42" w:rsidR="00A8138F" w:rsidRDefault="00A8138F" w:rsidP="00A8138F">
      <w:pPr>
        <w:pStyle w:val="TextoNormal"/>
      </w:pPr>
      <w:r w:rsidRPr="00A8138F">
        <w:rPr>
          <w:rStyle w:val="NumeroAFNegritaCaracter"/>
        </w:rPr>
        <w:t>5</w:t>
      </w:r>
      <w:r>
        <w:t xml:space="preserve">. La Secretaría de Justicia de la Sala Primera del Tribunal Constitucional, por sendas diligencias de ordenación de 14 y 26 de junio de 2024, acordó, en la primera, tener por personado al procurador de los tribunales don Constantino Manuel Gutiérrez Sarmiento, en nombre y representación del Ayuntamiento de Torrevieja, y, en la segunda, a la procuradora de los tribunales doña María Isabel Hurtado Martínez, en nombre y representación de don Vicente Gutiérrez Sola y de don Manuel Antonio López Vera, y dar vista de las actuaciones </w:t>
      </w:r>
      <w:r>
        <w:lastRenderedPageBreak/>
        <w:t>a las partes y al Ministerio Fiscal, por plazo común de veinte días, a fin de que, conforme con lo previsto en el art. 52 de la Ley Orgánica del Tribunal Constitucional (LOTC), pudieran presentar alegaciones.</w:t>
      </w:r>
    </w:p>
    <w:p w14:paraId="7E5AFC87" w14:textId="77777777" w:rsidR="00A8138F" w:rsidRDefault="00A8138F" w:rsidP="00A8138F">
      <w:pPr>
        <w:pStyle w:val="TextoNormal"/>
      </w:pPr>
    </w:p>
    <w:p w14:paraId="188F896A" w14:textId="77777777" w:rsidR="00A8138F" w:rsidRDefault="00A8138F" w:rsidP="00A8138F">
      <w:pPr>
        <w:pStyle w:val="TextoNormal"/>
      </w:pPr>
      <w:r w:rsidRPr="00A8138F">
        <w:rPr>
          <w:rStyle w:val="NumeroAFNegritaCaracter"/>
        </w:rPr>
        <w:t>6</w:t>
      </w:r>
      <w:r>
        <w:t>. El Ministerio Fiscal, mediante escrito registrado en este tribunal el 2 de agosto de 2024, presentó alegaciones interesando la estimación del amparo por vulneración del derecho a la integridad física y moral, en relación con el derecho a la tutela judicial efectiva (arts. 15 y 24.1 CE), para cuyo restablecimiento considera necesario declarar la nulidad de la sentencia de apelación y de la providencia de inadmisión del recurso de casación, y la firmeza de la sentencia de instancia.</w:t>
      </w:r>
    </w:p>
    <w:p w14:paraId="2E615AFE" w14:textId="77777777" w:rsidR="00A8138F" w:rsidRDefault="00A8138F" w:rsidP="00A8138F">
      <w:pPr>
        <w:pStyle w:val="TextoNormal"/>
      </w:pPr>
    </w:p>
    <w:p w14:paraId="042F3F8E" w14:textId="77777777" w:rsidR="00A8138F" w:rsidRDefault="00A8138F" w:rsidP="00A8138F">
      <w:pPr>
        <w:pStyle w:val="TextoNormal"/>
      </w:pPr>
      <w:r>
        <w:t>El Ministerio Fiscal, tras efectuar una pormenorizada síntesis de los antecedentes fácticos y de la fundamentación de las resoluciones recaídas en el procedimiento, examina los presupuestos procesales para la admisión a trámite, incidiendo en que no puede darse por agotada correctamente la vía previa con relación a la vulneración del derecho de acceso al recurso (art. 24.1 CE) imputada a la providencia del Tribunal Supremo por la que se inadmitió el recurso de casación, al no haberse promovido por el demandante de amparo el incidente de nulidad de actuaciones.</w:t>
      </w:r>
    </w:p>
    <w:p w14:paraId="2C02EBF8" w14:textId="77777777" w:rsidR="00A8138F" w:rsidRDefault="00A8138F" w:rsidP="00A8138F">
      <w:pPr>
        <w:pStyle w:val="TextoNormal"/>
      </w:pPr>
    </w:p>
    <w:p w14:paraId="5BD568A9" w14:textId="77777777" w:rsidR="00A8138F" w:rsidRDefault="00A8138F" w:rsidP="00A8138F">
      <w:pPr>
        <w:pStyle w:val="TextoNormal"/>
      </w:pPr>
      <w:r>
        <w:t>El Ministerio Fiscal, por lo que se refiere a la invocación del art. 15 CE en relación con el art. 24 CE, destaca, con cita del ATC 107/2003, de 7 de abril, FJ 2, que “cuando se enjuicia la presunta vulneración de un derecho sustantivo, el test de razonabilidad que este tribunal aplica a los derechos del art. 24 CE queda absorbido por el canon propio del aquel derecho (STC 14/2002, de 28 de enero, FJ 4)”. El Ministerio Fiscal expone la jurisprudencia constitucional en la materia desarrollada en la STC 56/2019, de 6 de mayo, incidiendo en que (i) al Tribunal no le corresponde elaborar un concepto de acoso laboral, sino solo interpretar en su proyección sobre las relaciones laborales o funcionariales, el concepto constitucional de “trato degradante” y el más amplio de lesión de la “integridad moral”; si bien cabe definirlo como situaciones o conductas muy diversas de estrés laboral que tendrían en común, por su reiteración en el tiempo, su carácter degradante de las condiciones de trabajo o la hostilidad que conllevan, teniendo por finalidad o como resultado atentar o poner en peligro la integridad personal del empleado; (ii) la determinación sobre si la administración ha vulnerado el art. 15 CE exige que concurran, atendiendo a las circunstancias del caso, tres elementos como son una “intención” —si la conducta es deliberada o, al menos, está adecuadamente conectada al resultado lesivo—; un “menoscabo” —si ha causado a la víctima un padecimiento físico, psíquico o moral (o encerraba la potencialidad de hacerlo)—; y una “vejación” —si respondió al fin de vejar, humillar o envilecer, o era objetivamente idónea para producir o produjo ese resultado—; (iii) la valoración de la prueba es una función judicial respecto de la que al Tribunal solo le compete un control externo de la razonabilidad del discurso que enlaza la actividad probatoria con el relato fáctico resultante; y (iv) corresponde al trabajador la aportación de indicios razonables de la lesión, lo que conlleva la inversión de la carga probatoria, siendo la parte demandada quien debe probar que su actuación tiene causas absolutamente ajenas a la vulneración alegada. El Ministerio Fiscal también expone la jurisprudencia constitucional relativa a la virtualidad del principio de inmediación en la valoración de las pruebas personales (STC 177/2014, de 3 de noviembre, FJ 4), y el alcance de la valoración de la prueba en segunda instancia (STS 202/2022, de 17 de febrero, FJ 7, ECLI:ES:TS:2022:597).</w:t>
      </w:r>
    </w:p>
    <w:p w14:paraId="649C7D96" w14:textId="77777777" w:rsidR="00A8138F" w:rsidRDefault="00A8138F" w:rsidP="00A8138F">
      <w:pPr>
        <w:pStyle w:val="TextoNormal"/>
      </w:pPr>
    </w:p>
    <w:p w14:paraId="5ABCD607" w14:textId="77777777" w:rsidR="00A8138F" w:rsidRDefault="00A8138F" w:rsidP="00A8138F">
      <w:pPr>
        <w:pStyle w:val="TextoNormal"/>
      </w:pPr>
      <w:r>
        <w:lastRenderedPageBreak/>
        <w:t>El Ministerio Fiscal, tras hacer una síntesis de los hechos y de la valoración de la prueba realizada, tanto en instancia, para concluir la existencia de la situación de acoso, como en apelación, para descartarla, subraya que el órgano judicial de apelación ha efectuado un examen individualizado de cada “conducta de hostigamiento”, refutándolas independientemente de las demás, para llegar a la conclusión de que respondían a una justificación razonable al contar con una cobertura legal y/o una aplicación no exclusiva al recurrente. No obstante, considera que esta forma de abordaje de la valoración de la prueba no se acomoda a la jurisprudencia constitucional por las siguiente razones: (i) Resultó “inidónea”, por el análisis individualizado y no de conjunto, tanto de las medidas adoptadas respecto al recurrente como de su resultado, pues, aun siendo cierto que muchas de las medidas, contempladas por separado, afectaron a otros policías, en ningún caso se acreditó que otros policías locales acumularan personalmente el mismo número de incidencias tan diversas como el recurrente; (ii) no contempla una visión de conjunto, omitiendo aludir a la “continuidad en el tiempo” de la situación, que se prolongó desde el año 2013, momento en que denunció las irregularidades que había observado, hasta el año 2016, cuando se aprobó la solicitud de permuta; y (iii) se podría apreciar un “exceso en la revisión probatoria” en sede de apelación, en cuanto que no se ajustaría a las condiciones de ponderación, irracionalidad, arbitrariedad patente o resultados inverosímiles, ya que, respecto de las pruebas personales —testificales y periciales—, a pesar de las exigencias de inmediación, se censura la valoración realizada en la instancia de la credibilidad de los testigos y de los juicios técnicos de los peritos, y respecto de la prueba pericial, sí que existió en la sentencia de instancia un amplio análisis.</w:t>
      </w:r>
    </w:p>
    <w:p w14:paraId="543D165D" w14:textId="77777777" w:rsidR="00A8138F" w:rsidRDefault="00A8138F" w:rsidP="00A8138F">
      <w:pPr>
        <w:pStyle w:val="TextoNormal"/>
      </w:pPr>
    </w:p>
    <w:p w14:paraId="48D9DF7B" w14:textId="26CF925F" w:rsidR="00A8138F" w:rsidRDefault="00A8138F" w:rsidP="00A8138F">
      <w:pPr>
        <w:pStyle w:val="TextoNormal"/>
      </w:pPr>
      <w:r>
        <w:t>A partir de ello, el Ministerio Fiscal concluye que la sentencia de apelación “afronta la valoración de la prueba sobre la denunciada existencia de acoso laboral del demandante con una óptica inidónea, en cuanto se efectúa una ponderación de los diferentes indicios existentes desconectados entre sí y mediante la justificación de los mismos a través de una aparente cobertura legal de forma individualizada e incomunicada, pero sin ofrecer una valoración global y de conjunto de todo ello, efectuando, adicionalmente, una revisión de la prueba —en especial la de carácter personal— que no se ajusta a la ponderación y limitaciones de la segunda instancia, sin principio de inmediación, y no acomodándose a la doctrina constitucional en cuanto a la carga de la prueba en supuestos como el presente, según la jurisprudencia ya citada”.</w:t>
      </w:r>
    </w:p>
    <w:p w14:paraId="1E215812" w14:textId="77777777" w:rsidR="00A8138F" w:rsidRDefault="00A8138F" w:rsidP="00A8138F">
      <w:pPr>
        <w:pStyle w:val="TextoNormal"/>
      </w:pPr>
    </w:p>
    <w:p w14:paraId="2731AE27" w14:textId="0B015CB7" w:rsidR="00A8138F" w:rsidRDefault="00A8138F" w:rsidP="00A8138F">
      <w:pPr>
        <w:pStyle w:val="TextoNormal"/>
      </w:pPr>
      <w:r w:rsidRPr="00A8138F">
        <w:rPr>
          <w:rStyle w:val="NumeroAFNegritaCaracter"/>
        </w:rPr>
        <w:t>7</w:t>
      </w:r>
      <w:r>
        <w:t>. Don Vicente Gutiérrez Sola y don Manuel Antonio López Vera, mediante escrito registrado en este tribunal el 25 de julio de 2024, presentaron alegaciones interesando la desestimación del recurso. Ponen de manifiesto, por un lado, que el recurso de amparo carece de especial trascendencia constitucional, en tanto que no concurriría ninguno de los motivos enumerados en el fundamento jurídico 2 de la STC 155/2009; y, por otro, que tampoco se habría dado cumplimiento a la carga de justificación de la referida trascendencia, al no disociarse la lesión de los derechos fundamentales invocados. Además, afirman que la pretensión del demandante es exponer una mera discrepancia con las resoluciones impugnadas, utilizando a este tribunal como una tercera instancia que sustituya la ponderación realizada en la vía judicial, sin que quepa apreciar ninguna de las vulneraciones constitucionales aducidas.</w:t>
      </w:r>
    </w:p>
    <w:p w14:paraId="397E0398" w14:textId="77777777" w:rsidR="00A8138F" w:rsidRDefault="00A8138F" w:rsidP="00A8138F">
      <w:pPr>
        <w:pStyle w:val="TextoNormal"/>
      </w:pPr>
    </w:p>
    <w:p w14:paraId="7F224209" w14:textId="77777777" w:rsidR="00A8138F" w:rsidRDefault="00A8138F" w:rsidP="00A8138F">
      <w:pPr>
        <w:pStyle w:val="TextoNormal"/>
      </w:pPr>
      <w:r w:rsidRPr="00A8138F">
        <w:rPr>
          <w:rStyle w:val="NumeroAFNegritaCaracter"/>
        </w:rPr>
        <w:t>8</w:t>
      </w:r>
      <w:r>
        <w:t xml:space="preserve">. El Ayuntamiento de Torrevieja, mediante escrito registrado en este tribunal el 25 de julio de 2024, presentó alegaciones instando la denegación del amparo con fundamento en la concurrencia de las siguientes causas de inadmisión: (i) El incumplimiento del art. 44.1 </w:t>
      </w:r>
      <w:r>
        <w:lastRenderedPageBreak/>
        <w:t>a) LOTC por la falta de agotamiento de la vía judicial precedente, en relación con la infracción del derecho de acceso al recurso (art. 24.1 CE), al no haberse promovido un incidente de nulidad de actuaciones frente a la providencia de 30 de marzo de 2022 recurrida, lo que hubiera permitido que el Tribunal Supremo se pronunciara sobre el particular; (ii) el incumplimiento del art. 44.1 b) LOTC, ya que la infracción del derecho a la tutela judicial efectiva y a un proceso con todas las garantías (art. 24.1 y 2 CE) solo son aplicables al procedimiento administrativo sancionador, lo que no es el caso, y tampoco se habría vulnerado el principio de indemnidad moral porque los hechos acreditados descartaban la existencia del acoso laboral denunciado; y (iii) el incumplimiento del art. 44.1 c) LOTC, dado que la pretensión principal del recurso de amparo debió ser la declaración de nulidad de la providencia de inadmisión del recurso de casación, pues ello supondría la retroacción de las actuaciones al momento de valorar la admisión por parte del Tribunal Supremo.</w:t>
      </w:r>
    </w:p>
    <w:p w14:paraId="6A17271E" w14:textId="77777777" w:rsidR="00A8138F" w:rsidRDefault="00A8138F" w:rsidP="00A8138F">
      <w:pPr>
        <w:pStyle w:val="TextoNormal"/>
      </w:pPr>
    </w:p>
    <w:p w14:paraId="2A27C7F5" w14:textId="7ED5B042" w:rsidR="00A8138F" w:rsidRDefault="00A8138F" w:rsidP="00A8138F">
      <w:pPr>
        <w:pStyle w:val="TextoNormal"/>
      </w:pPr>
      <w:r>
        <w:t>Dicha parte, como cuestión de fondo, alega la inexistencia de la vulneración del derecho a la integridad moral (art. 15 CE), porque la valoración de la prueba correcta sería la que se habría efectuado en apelación, de un modo razonable y motivado, pretendiéndose utilizar el recurso de amparo como una tercera instancia judicial, en la que el Tribunal Constitucional asume la función de la valoración de la prueba que solo corresponde a los órganos judiciales y que, de producirse, haría incurrir a este tribunal en un exceso de jurisdicción.</w:t>
      </w:r>
    </w:p>
    <w:p w14:paraId="0194CA26" w14:textId="77777777" w:rsidR="00A8138F" w:rsidRDefault="00A8138F" w:rsidP="00A8138F">
      <w:pPr>
        <w:pStyle w:val="TextoNormal"/>
      </w:pPr>
    </w:p>
    <w:p w14:paraId="7734D849" w14:textId="415A60A1" w:rsidR="00A8138F" w:rsidRDefault="00A8138F" w:rsidP="00A8138F">
      <w:pPr>
        <w:pStyle w:val="TextoNormal"/>
      </w:pPr>
      <w:r w:rsidRPr="00A8138F">
        <w:rPr>
          <w:rStyle w:val="NumeroAFNegritaCaracter"/>
        </w:rPr>
        <w:t>9</w:t>
      </w:r>
      <w:r>
        <w:t>. El demandante de amparo, mediante escrito registrado en este tribunal el 11 de julio de 2024, presentó sus alegaciones ratificándose en sus escritos.</w:t>
      </w:r>
    </w:p>
    <w:p w14:paraId="1E768ECF" w14:textId="77777777" w:rsidR="00A8138F" w:rsidRDefault="00A8138F" w:rsidP="00A8138F">
      <w:pPr>
        <w:pStyle w:val="TextoNormal"/>
      </w:pPr>
    </w:p>
    <w:p w14:paraId="5E57B115" w14:textId="653161BF" w:rsidR="00A8138F" w:rsidRDefault="00A8138F" w:rsidP="00A8138F">
      <w:pPr>
        <w:pStyle w:val="TextoNormal"/>
      </w:pPr>
      <w:r w:rsidRPr="00A8138F">
        <w:rPr>
          <w:rStyle w:val="NumeroAFNegritaCaracter"/>
        </w:rPr>
        <w:t>10</w:t>
      </w:r>
      <w:r>
        <w:t>. Por providencia de 6 de febrero de 2025 se fijó para deliberación y votación de la presente sentencia el día 10 del mismo mes y año.</w:t>
      </w:r>
    </w:p>
    <w:p w14:paraId="6AA3A80A" w14:textId="77777777" w:rsidR="00A8138F" w:rsidRDefault="00A8138F" w:rsidP="00A8138F">
      <w:pPr>
        <w:pStyle w:val="TextoNormal"/>
      </w:pPr>
    </w:p>
    <w:p w14:paraId="01222BFC" w14:textId="77777777" w:rsidR="00A8138F" w:rsidRDefault="00A8138F" w:rsidP="00A8138F">
      <w:pPr>
        <w:pStyle w:val="TextoNormalNegritaCentrado"/>
        <w:keepNext/>
      </w:pPr>
      <w:r>
        <w:t>II. Fundamentos jurídicos</w:t>
      </w:r>
    </w:p>
    <w:p w14:paraId="78C6F175" w14:textId="032A1988" w:rsidR="00A8138F" w:rsidRDefault="00A8138F" w:rsidP="00A8138F">
      <w:pPr>
        <w:pStyle w:val="TextoNormalNegritaCentrado"/>
        <w:keepNext/>
      </w:pPr>
    </w:p>
    <w:p w14:paraId="66DC44D2"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EA78D31" w14:textId="77777777" w:rsidR="00A8138F" w:rsidRDefault="00A8138F" w:rsidP="00A8138F">
      <w:pPr>
        <w:pStyle w:val="TextoNormal"/>
      </w:pPr>
    </w:p>
    <w:p w14:paraId="4B7F991B" w14:textId="77777777" w:rsidR="00A8138F" w:rsidRDefault="00A8138F" w:rsidP="00A8138F">
      <w:pPr>
        <w:pStyle w:val="TextoNormal"/>
      </w:pPr>
      <w:r>
        <w:t>El objeto del presente recurso es determinar si la sentencia 14/2021, de 11 de enero, de la Sección Segunda de la Sala de lo Contencioso-Administrativo del Tribunal Superior de Justicia de la Comunidad Valenciana, aclarada por auto de 3 de marzo de 2021, ha vulnerado el derecho del demandante a la integridad física y moral (art. 15 CE), en relación con el derecho a la tutela judicial efectiva (art. 24.1 CE), al anular la sentencia 851/2018, de 31 de julio, del Juzgado de lo Contencioso-Administrativo núm. 1 de Elche, que había estimado la demanda de responsabilidad patrimonial presentada por el demandante de amparo contra el Ayuntamiento de Torrevieja por haber apreciado la existencia de un acoso laboral contra su persona en la Jefatura de la Policía Local de Torrevieja. La invocación de estos derechos se fundamenta, por lo que se refiere al art. 15 CE, en el constante hostigamiento que el demandante habría venido padeciendo en su actividad laboral desde la denuncia de irregularidades en el funcionamiento del servicio de policía local del Ayuntamiento de Torrevieja ante la pasividad de la administración local; y, por lo que se refiere al art. 24 CE, en la circunstancia de que la sentencia de apelación ha descartado los indicios de acoso apreciados en la instancia sin invertir la carga probatoria, conformándose con la aparente legalidad de alguna de las medidas adoptadas.</w:t>
      </w:r>
    </w:p>
    <w:p w14:paraId="161FF052" w14:textId="77777777" w:rsidR="00A8138F" w:rsidRDefault="00A8138F" w:rsidP="00A8138F">
      <w:pPr>
        <w:pStyle w:val="TextoNormal"/>
      </w:pPr>
    </w:p>
    <w:p w14:paraId="18BD8438" w14:textId="00CEEE18" w:rsidR="00A8138F" w:rsidRDefault="00A8138F" w:rsidP="00A8138F">
      <w:pPr>
        <w:pStyle w:val="TextoNormal"/>
      </w:pPr>
      <w:r>
        <w:lastRenderedPageBreak/>
        <w:t>También debe ser objeto de pronunciamiento la invocación del derecho a la tutela judicial efectiva (art. 24.1 CE), en su vertiente de derecho de acceso al recurso, que el demandante imputa de manera autónoma a la providencia de la Sección Primera de la Sala Contencioso-Administrativo del Tribunal Supremo de 30 de marzo de 2022, por haber inadmitido el recurso de casación.</w:t>
      </w:r>
    </w:p>
    <w:p w14:paraId="5590A8AC" w14:textId="77777777" w:rsidR="00A8138F" w:rsidRDefault="00A8138F" w:rsidP="00A8138F">
      <w:pPr>
        <w:pStyle w:val="TextoNormal"/>
      </w:pPr>
    </w:p>
    <w:p w14:paraId="49AFB1A1" w14:textId="77777777" w:rsidR="00A8138F" w:rsidRDefault="00A8138F" w:rsidP="00A8138F">
      <w:pPr>
        <w:pStyle w:val="TextoNormal"/>
      </w:pPr>
      <w:r w:rsidRPr="00A8138F">
        <w:rPr>
          <w:rStyle w:val="NumeroAFNegritaCaracter"/>
        </w:rPr>
        <w:t>2</w:t>
      </w:r>
      <w:r>
        <w:t xml:space="preserve">. </w:t>
      </w:r>
      <w:r w:rsidRPr="00A8138F">
        <w:rPr>
          <w:i/>
        </w:rPr>
        <w:t>Análisis de las causas de inadmisión alegadas</w:t>
      </w:r>
    </w:p>
    <w:p w14:paraId="17511003" w14:textId="77777777" w:rsidR="00A8138F" w:rsidRDefault="00A8138F" w:rsidP="00A8138F">
      <w:pPr>
        <w:pStyle w:val="TextoNormal"/>
      </w:pPr>
    </w:p>
    <w:p w14:paraId="79BD64CD" w14:textId="77777777" w:rsidR="00A8138F" w:rsidRDefault="00A8138F" w:rsidP="00A8138F">
      <w:pPr>
        <w:pStyle w:val="TextoNormal"/>
      </w:pPr>
      <w:r>
        <w:t>a) El Ministerio Fiscal y el Ayuntamiento de Torrevieja alegan la concurrencia de la causa de inadmisión en la falta de agotamiento de la vía judicial previa [art. 44.1 a) LOTC] en la invocación del derecho a la tutela judicial efectiva (art. 24.1 CE), en su vertiente de acceso al recurso, que se imputa a la providencia de inadmisión del recurso de casación, con fundamento en que contra la misma no se promovió el incidente de nulidad de actuaciones previsto en el art. 241 de la Ley Orgánica 6/1985, de 1 de julio, del Poder Judicial, impidiendo con ello un pronunciamiento y eventual reparación temprana en la vía judicial previa de dicho derecho.</w:t>
      </w:r>
    </w:p>
    <w:p w14:paraId="78CC7E07" w14:textId="77777777" w:rsidR="00A8138F" w:rsidRDefault="00A8138F" w:rsidP="00A8138F">
      <w:pPr>
        <w:pStyle w:val="TextoNormal"/>
      </w:pPr>
    </w:p>
    <w:p w14:paraId="2B88954C" w14:textId="77777777" w:rsidR="00A8138F" w:rsidRDefault="00A8138F" w:rsidP="00A8138F">
      <w:pPr>
        <w:pStyle w:val="TextoNormal"/>
      </w:pPr>
      <w:r>
        <w:t>Este tribunal constata que la lesión alegada se imputa directamente a la providencia de inadmisión del recurso de casación por lo que, como se ha reiterado en supuestos similares, el principio de subsidiariedad del proceso de amparo determina que, para un correcto agotamiento de la vía judicial previa respecto de esta concreta invocación, hubiera sido preciso el planteamiento de un incidente de nulidad de actuaciones, al darse los requisitos legales exigidos para ello, como son que la infracción del derecho fundamental no hubiera podido denunciarse antes de recaer resolución que pusiera fin al proceso y que dicha resolución no fuere susceptible de recurso, ordinario o extraordinario, alguno [SSTC 147/2022, de 29 de noviembre, FJ 2 b); 87/2023, de 17 de julio, FJ 2 c), o 49/2024, de 8 de abril, FJ 2 a)].</w:t>
      </w:r>
    </w:p>
    <w:p w14:paraId="3B77709B" w14:textId="77777777" w:rsidR="00A8138F" w:rsidRDefault="00A8138F" w:rsidP="00A8138F">
      <w:pPr>
        <w:pStyle w:val="TextoNormal"/>
      </w:pPr>
    </w:p>
    <w:p w14:paraId="3C6208A8" w14:textId="77777777" w:rsidR="00A8138F" w:rsidRDefault="00A8138F" w:rsidP="00A8138F">
      <w:pPr>
        <w:pStyle w:val="TextoNormal"/>
      </w:pPr>
      <w:r>
        <w:t>La apreciación de esta causa de inadmisión, en todo caso, no alcanza a las demás vulneraciones alegadas en la demanda, resultando de aplicación la jurisprudencia constitucional relativa al no “efecto de arrastre” cuando se formalizan dos o más vulneraciones constitucionales en una demanda y una o varias de ellas, pero no todas, están afectadas de algún óbice procesal [STC 101/2018, de 1 de octubre, FJ 2, aplicada recientemente en supuestos similares al presente en las SSTC 171/2019, de 16 de diciembre, FJ 2, o 87/2023, FJ 2 c)].</w:t>
      </w:r>
    </w:p>
    <w:p w14:paraId="5C83A10A" w14:textId="77777777" w:rsidR="00A8138F" w:rsidRDefault="00A8138F" w:rsidP="00A8138F">
      <w:pPr>
        <w:pStyle w:val="TextoNormal"/>
      </w:pPr>
    </w:p>
    <w:p w14:paraId="547D4943" w14:textId="77777777" w:rsidR="00A8138F" w:rsidRDefault="00A8138F" w:rsidP="00A8138F">
      <w:pPr>
        <w:pStyle w:val="TextoNormal"/>
      </w:pPr>
      <w:r>
        <w:t>b) El Ayuntamiento de Torrevieja alega como causa de inadmisión, que hace residenciar en el art. 44.1 b) LOTC, la invocación del art. 24.1 CE respecto de una actuación administrativa que carece de carácter sancionatorio. El Tribunal constata que no se cumple el presupuesto fáctico en el que se fundamenta esta causa de inadmisión, toda vez que el demandante lo que imputa a la actuación administrativa es la vulneración de su derecho a la integridad física y moral (art. 15 CE), por el acoso sufrido y la inactividad municipal ante dicha situación, limitando la invocación del art. 24 CE a la sentencia de apelación por no haber reparado la anterior vulneración al anular la sentencia de instancia, que sí había reconocido la existencia del acoso laboral. Por tanto, esta causa de inadmisión debe ser rechazada sin más consideraciones.</w:t>
      </w:r>
    </w:p>
    <w:p w14:paraId="286DEE1F" w14:textId="77777777" w:rsidR="00A8138F" w:rsidRDefault="00A8138F" w:rsidP="00A8138F">
      <w:pPr>
        <w:pStyle w:val="TextoNormal"/>
      </w:pPr>
    </w:p>
    <w:p w14:paraId="7ABE95EB" w14:textId="77777777" w:rsidR="00A8138F" w:rsidRDefault="00A8138F" w:rsidP="00A8138F">
      <w:pPr>
        <w:pStyle w:val="TextoNormal"/>
      </w:pPr>
      <w:r>
        <w:t xml:space="preserve">c) El Ayuntamiento de Torrevieja también alega como causa de inadmisión, que esta vez hace residenciar en el art. 44.1 c) LOTC, un supuesto error de planteamiento en la demanda de amparo, considerando que la pretensión principal debió ser la declaración de nulidad de </w:t>
      </w:r>
      <w:r>
        <w:lastRenderedPageBreak/>
        <w:t xml:space="preserve">la providencia de inadmisión del recurso de casación y no la de la sentencia de apelación, pues ello supone que se estaría pretendiendo que por este tribunal se analizase </w:t>
      </w:r>
      <w:r w:rsidRPr="00A8138F">
        <w:rPr>
          <w:i/>
        </w:rPr>
        <w:t>per saltum</w:t>
      </w:r>
      <w:r>
        <w:t xml:space="preserve"> las vulneraciones imputadas a la sentencia de apelación.</w:t>
      </w:r>
    </w:p>
    <w:p w14:paraId="5F52D528" w14:textId="77777777" w:rsidR="00A8138F" w:rsidRDefault="00A8138F" w:rsidP="00A8138F">
      <w:pPr>
        <w:pStyle w:val="TextoNormal"/>
      </w:pPr>
    </w:p>
    <w:p w14:paraId="116F9BD4" w14:textId="77777777" w:rsidR="00A8138F" w:rsidRDefault="00A8138F" w:rsidP="00A8138F">
      <w:pPr>
        <w:pStyle w:val="TextoNormal"/>
      </w:pPr>
      <w:r>
        <w:t>El Tribunal no puede aceptar este planteamiento con la naturaleza de la causa de inadmisión alegada, habida cuenta de que la jurisprudencia constitucional ha reiterado la libertad de este tribunal sobre la ordenación del análisis de las quejas en cada supuesto concreto [así, SSTC 183/2021, de 27 de octubre, FJ 2, o 19/2023, de 22 de marzo, FJ 2 c)]. En cualquier caso, la aplicación de los principios de mayor retroacción y amplitud del alcance que podría tener una eventual estimación (SSTC 102/2020, de 21 de septiembre, FJ 2; 8/2024, de 16 de enero, FJ 1, o 145/2024, de 2 de diciembre, FJ 2) es lo que determina en este caso la prioridad del análisis de la invocación del derecho a la integridad física y moral (art. 15 CE), en relación con el derecho a la tutela judicial efectiva (art. 24.1 CE), frente a la del derecho de acceso al recurso, que se desenvuelve en la fase de agotamiento de la vía judicial previa frente a la anterior. Todo ello sin perjuicio de que, como se ha señalado, dicha invocación queda excluida de nuestro análisis por estar incursa en la causa de inadmisión de falta de agotamiento. Por tanto, también esta causa de inadmisión debe ser rechazada.</w:t>
      </w:r>
    </w:p>
    <w:p w14:paraId="5057B0BC" w14:textId="77777777" w:rsidR="00A8138F" w:rsidRDefault="00A8138F" w:rsidP="00A8138F">
      <w:pPr>
        <w:pStyle w:val="TextoNormal"/>
      </w:pPr>
    </w:p>
    <w:p w14:paraId="409FA22C" w14:textId="77777777" w:rsidR="00A8138F" w:rsidRDefault="00A8138F" w:rsidP="00A8138F">
      <w:pPr>
        <w:pStyle w:val="TextoNormal"/>
      </w:pPr>
      <w:r>
        <w:t>d) Los funcionarios del Ayuntamiento de Torrevieja comparecientes en este proceso de amparo alegan, como causas de inadmisión del recurso, tanto la insuficiente justificación de la especial trascendencia constitucional en la demanda, como la ausencia de dicha trascendencia, al entender, por un lado, que el demandante no habría disociado adecuadamente entre los argumentos dirigidos a poner de manifiesto la infracción constitucional y la especial trascendencia constitucional del recurso, y, por otro, que no concurriría ninguno de los motivos enumerados en el fundamento jurídico 2 de la STC 155/2009.</w:t>
      </w:r>
    </w:p>
    <w:p w14:paraId="4A1AED83" w14:textId="77777777" w:rsidR="00A8138F" w:rsidRDefault="00A8138F" w:rsidP="00A8138F">
      <w:pPr>
        <w:pStyle w:val="TextoNormal"/>
      </w:pPr>
    </w:p>
    <w:p w14:paraId="45DD1AA1" w14:textId="77777777" w:rsidR="00A8138F" w:rsidRDefault="00A8138F" w:rsidP="00A8138F">
      <w:pPr>
        <w:pStyle w:val="TextoNormal"/>
      </w:pPr>
      <w:r>
        <w:t>El Tribunal rechaza la concurrencia de ambas causas de inadmisión, ya que, por lo que se refiere a la exigencia de justificación suficiente de la especial trascendencia constitucional, este tribunal aprecia que en la demanda se ha realizado el necesario esfuerzo argumental destinado a cumplir la carga impuesta en el art. 49.1 LOTC, ya que hace mención expresa de la STC 155/2009, solicitando, al amparo del motivo previsto en el apartado a) de su fundamento jurídico 2, la necesidad de que el Tribunal clarifique determinados extremos sobre los que no habría doctrina constitucional y que servirían para perfilar adecuadamente las situaciones de acoso laboral. Además, con cita expresa del apartado e) del mismo fundamento jurídico, sostiene que los derechos fundamentales invocados estarían siendo interpretados de forma contradictoria a la doctrina constitucional, como lo evidencian las dos sentencias recaídas en el proceso judicial que ha dado lugar al presente recurso de amparo. Por tanto, el demandante pone en conexión las vulneraciones alegadas con los criterios establecidos en el art. 50.1 b) LOTC, de acuerdo con los motivos de especial trascendencia recogidos en la citada STC 155/2009, disociando entre los argumentos destinados a probar las lesiones de los derechos fundamentales de aquellos otros encaminados a justificar la especial trascendencia constitucional, en términos que coinciden con los criterios establecidos en la jurisprudencia constitucional (así, SSTC 89/2016, de 9 de mayo, FJ 2, o 5/2023, de 20 de febrero, FJ 2).</w:t>
      </w:r>
    </w:p>
    <w:p w14:paraId="738EEBBE" w14:textId="77777777" w:rsidR="00A8138F" w:rsidRDefault="00A8138F" w:rsidP="00A8138F">
      <w:pPr>
        <w:pStyle w:val="TextoNormal"/>
      </w:pPr>
    </w:p>
    <w:p w14:paraId="08562484" w14:textId="368B5A0C" w:rsidR="00A8138F" w:rsidRDefault="00A8138F" w:rsidP="00A8138F">
      <w:pPr>
        <w:pStyle w:val="TextoNormal"/>
      </w:pPr>
      <w:r>
        <w:t xml:space="preserve">Por su parte, en lo que se refiere a la carencia de la especial transcendencia constitucional, el Tribunal reitera que le corresponde en exclusiva apreciar si el contenido del recurso justifica una decisión sobre el fondo en razón de su especial trascendencia constitucional, que </w:t>
      </w:r>
      <w:r>
        <w:lastRenderedPageBreak/>
        <w:t>encuentra su momento procesal idóneo en el trámite de admisión contemplado en el art. 50.1 LOTC (SSTC 3/2020, de 15 de enero, FJ 4, y 61/2024, de 9 de abril, FJ 2). Eso es lo que sucedió en este caso, en el que la Sección Primera, mediante providencia de 6 de mayo de 2024, apreció que el recurso planteaba una cuestión novedosa, al no existir ningún pronunciamiento sobre la proyección del derecho a la integridad física y moral (art. 15 CE) en un caso como el planteado, de acoso moral en el ámbito de la función pública, motivado por la denuncia de irregularidades por parte de un funcionario en la prestación de un servicio público. Por tanto, ambas causas de inadmisión también deben ser rechazadas.</w:t>
      </w:r>
    </w:p>
    <w:p w14:paraId="767EF2DA" w14:textId="77777777" w:rsidR="00A8138F" w:rsidRDefault="00A8138F" w:rsidP="00A8138F">
      <w:pPr>
        <w:pStyle w:val="TextoNormal"/>
      </w:pPr>
    </w:p>
    <w:p w14:paraId="2446F15A" w14:textId="77777777" w:rsidR="00A8138F" w:rsidRDefault="00A8138F" w:rsidP="00A8138F">
      <w:pPr>
        <w:pStyle w:val="TextoNormal"/>
      </w:pPr>
      <w:r w:rsidRPr="00A8138F">
        <w:rPr>
          <w:rStyle w:val="NumeroAFNegritaCaracter"/>
        </w:rPr>
        <w:t>3</w:t>
      </w:r>
      <w:r>
        <w:t xml:space="preserve">. </w:t>
      </w:r>
      <w:r w:rsidRPr="00A8138F">
        <w:rPr>
          <w:i/>
        </w:rPr>
        <w:t>El acoso laboral: concepto, tratamiento normativo e incidencia en los derechos fundamentales</w:t>
      </w:r>
    </w:p>
    <w:p w14:paraId="0339FCEF" w14:textId="77777777" w:rsidR="00A8138F" w:rsidRDefault="00A8138F" w:rsidP="00A8138F">
      <w:pPr>
        <w:pStyle w:val="TextoNormal"/>
      </w:pPr>
    </w:p>
    <w:p w14:paraId="0A8CEF88" w14:textId="77777777" w:rsidR="00A8138F" w:rsidRDefault="00A8138F" w:rsidP="00A8138F">
      <w:pPr>
        <w:pStyle w:val="TextoNormal"/>
      </w:pPr>
      <w:r>
        <w:t xml:space="preserve">a) </w:t>
      </w:r>
      <w:r w:rsidRPr="00A8138F">
        <w:rPr>
          <w:i/>
        </w:rPr>
        <w:t>Aproximación a un concepto constitucional de acoso laboral</w:t>
      </w:r>
    </w:p>
    <w:p w14:paraId="042EC752" w14:textId="77777777" w:rsidR="00A8138F" w:rsidRDefault="00A8138F" w:rsidP="00A8138F">
      <w:pPr>
        <w:pStyle w:val="TextoNormal"/>
      </w:pPr>
    </w:p>
    <w:p w14:paraId="20223F75" w14:textId="77777777" w:rsidR="00A8138F" w:rsidRDefault="00A8138F" w:rsidP="00A8138F">
      <w:pPr>
        <w:pStyle w:val="TextoNormal"/>
      </w:pPr>
      <w:r>
        <w:t>El Tribunal, aunque en unas circunstancias de acoso laboral en el contexto de un ente público distintas de las que se plantean en el presente recurso de amparo, ya tuvo la ocasión de perfilar en la STC 56/2019, las notas fundamentales del análisis a desarrollar en la jurisdicción de amparo en los casos de acoso u hostigamiento moral en el desempeño de una actividad laboral.</w:t>
      </w:r>
    </w:p>
    <w:p w14:paraId="7AFF3F2F" w14:textId="77777777" w:rsidR="00A8138F" w:rsidRDefault="00A8138F" w:rsidP="00A8138F">
      <w:pPr>
        <w:pStyle w:val="TextoNormal"/>
      </w:pPr>
    </w:p>
    <w:p w14:paraId="251553DE" w14:textId="77777777" w:rsidR="00A8138F" w:rsidRDefault="00A8138F" w:rsidP="00A8138F">
      <w:pPr>
        <w:pStyle w:val="TextoNormal"/>
      </w:pPr>
      <w:r>
        <w:t xml:space="preserve">La STC 56/2019 contextualizó la relevancia que sobre el pleno disfrute de los derechos fundamentales adquieren las situaciones de acoso laboral —también denominado acoso moral, psicológico o, asumiendo la terminología inglesa, </w:t>
      </w:r>
      <w:r w:rsidRPr="00A8138F">
        <w:rPr>
          <w:i/>
        </w:rPr>
        <w:t>mobbing</w:t>
      </w:r>
      <w:r>
        <w:t>—. En esa resolución, el Tribunal recordaba que “[e]l concepto de acoso laboral surgió en la psicología para abordar conjuntamente desde el punto de vista terapéutico situaciones o conductas muy diversas de estrés laboral que tienen de común que, por su reiteración en el tiempo, su carácter degradante de las condiciones del trabajo o la hostilidad que conllevan, tienen por finalidad o como resultado atentar o poner en peligro la integridad personal del empleado. […]. Los objetivos del acoso laboral pueden ser de lo más variados: represaliar a un trabajador poco sumiso, marginarle para evitar que deje en evidencia a sus superiores, infundirle miedo para promover el incremento de su productividad o satisfacer la personalidad manipulativa u hostigadora del acosador (el llamado acoso ‘perverso’), entre otros” (FJ 4).</w:t>
      </w:r>
    </w:p>
    <w:p w14:paraId="18F2A545" w14:textId="77777777" w:rsidR="00A8138F" w:rsidRDefault="00A8138F" w:rsidP="00A8138F">
      <w:pPr>
        <w:pStyle w:val="TextoNormal"/>
      </w:pPr>
    </w:p>
    <w:p w14:paraId="2AFE1952" w14:textId="77777777" w:rsidR="00A8138F" w:rsidRDefault="00A8138F" w:rsidP="00A8138F">
      <w:pPr>
        <w:pStyle w:val="TextoNormal"/>
      </w:pPr>
      <w:r>
        <w:t xml:space="preserve">En relación con ese intento de delimitar conceptualmente el acoso laboral cabe añadir la existencia de diversos documentos sin carácter normativo o, en su caso sin rango legal, en los que se establece dicha definición, como son: el apartado tercero del Acuerdo marco europeo sobre el acoso y la violencia en el lugar de trabajo, de 26 de abril de 2007, al afirmar que “existe acoso cuando de uno o más trabajadores o directivos, repetida y deliberadamente, se abusa, se les amenaza y/o se les humilla en circunstancias relacionadas con el trabajo”; el apartado XI del preámbulo de la Ley Orgánica 5/2010, de 22 de junio, por la que se modifica la Ley Orgánica 10/1995, de 23 de noviembre, del Código penal (CP), que define el acoso laboral como el “hostigamiento psicológico u hostil en el marco de cualquier actividad laboral o funcionarial que humille [a quien] lo sufre, imponiendo situaciones de graves ofensas a la dignidad”; o el apartado 2.1 del epígrafe II de la resolución de 5 de mayo de 2011, de la Secretaría de Estado para la Función Pública, por la que se aprueba y publica el Acuerdo de 6 de abril de 2011 de la mesa general de negociación de la Administración General del Estado sobre el protocolo de actuación frente al acoso laboral en la Administración General del Estado (“Boletín Oficial del Estado” núm. 130, de 1 de junio de 2011), que </w:t>
      </w:r>
      <w:r>
        <w:lastRenderedPageBreak/>
        <w:t>lo conceptúa como “la exposición a conductas de violencia psicológica intensa, dirigidas de forma reiterada y prolongada en el tiempo hacia una o más personas, por parte de otra/s que actúan frente a aquella/s desde una posición de poder —no necesariamente jerárquica sino en términos psicológicos—, con el propósito o el efecto de crear un entorno hostil o humillante que perturbe la vida laboral de la víctima”.</w:t>
      </w:r>
    </w:p>
    <w:p w14:paraId="2F106E6E" w14:textId="77777777" w:rsidR="00A8138F" w:rsidRDefault="00A8138F" w:rsidP="00A8138F">
      <w:pPr>
        <w:pStyle w:val="TextoNormal"/>
      </w:pPr>
    </w:p>
    <w:p w14:paraId="2665521D" w14:textId="77777777" w:rsidR="00A8138F" w:rsidRDefault="00A8138F" w:rsidP="00A8138F">
      <w:pPr>
        <w:pStyle w:val="TextoNormal"/>
      </w:pPr>
      <w:r>
        <w:t>Es de destacar también que, con posterioridad a la STC 56/2019, ha entrado en vigor en España el 25 de mayo de 2023, el Convenio sobre la eliminación de la violencia y el acoso en el mundo del trabajo, hecho en Ginebra el 21 de junio de 2019, en el contexto de la Organización Internacional del Trabajo, aprobado mediante instrumento de adhesión publicado en el “BOE” núm. 143, de 16 de junio de 2022. En este convenio el art. 1.1 a) establece que, a sus efectos, “la expresión ‘violencia y acoso’ en el mundo del trabajo designa un conjunto de comportamientos y prácticas inaceptables, o de amenazas de tales comportamientos y prácticas, ya sea que se manifiesten una sola vez o de manera repetida, que tengan por objeto, que causen o sean susceptibles de causar, un daño físico, psicológico, sexual o económico, e incluye la violencia y el acoso por razón de género”.</w:t>
      </w:r>
    </w:p>
    <w:p w14:paraId="1B34AAB6" w14:textId="77777777" w:rsidR="00A8138F" w:rsidRDefault="00A8138F" w:rsidP="00A8138F">
      <w:pPr>
        <w:pStyle w:val="TextoNormal"/>
      </w:pPr>
    </w:p>
    <w:p w14:paraId="24D1E675" w14:textId="77777777" w:rsidR="00A8138F" w:rsidRDefault="00A8138F" w:rsidP="00A8138F">
      <w:pPr>
        <w:pStyle w:val="TextoNormal"/>
      </w:pPr>
      <w:r>
        <w:t>De ese modo, aunque el concepto de acoso laboral puede comprender situaciones o conductas de diversa índole, puntuales o reiteradas en el tiempo, todas ellas tienen en común, en lo que es relevante para esta jurisdicción de amparo, como ya se destacara en la citada STC 56/2019, su carácter degradante de las condiciones de trabajo o la hostilidad que conllevan, y que tienen por finalidad o como resultado atentar o poner en peligro la integridad personal del empleado (FJ 4).</w:t>
      </w:r>
    </w:p>
    <w:p w14:paraId="6E1DB63D" w14:textId="77777777" w:rsidR="00A8138F" w:rsidRDefault="00A8138F" w:rsidP="00A8138F">
      <w:pPr>
        <w:pStyle w:val="TextoNormal"/>
      </w:pPr>
    </w:p>
    <w:p w14:paraId="66AC0415" w14:textId="77777777" w:rsidR="00A8138F" w:rsidRDefault="00A8138F" w:rsidP="00A8138F">
      <w:pPr>
        <w:pStyle w:val="TextoNormal"/>
      </w:pPr>
      <w:r>
        <w:t xml:space="preserve">b) </w:t>
      </w:r>
      <w:r w:rsidRPr="00A8138F">
        <w:rPr>
          <w:i/>
        </w:rPr>
        <w:t>El tratamiento normativo del acoso laboral</w:t>
      </w:r>
    </w:p>
    <w:p w14:paraId="6D65F3BB" w14:textId="77777777" w:rsidR="00A8138F" w:rsidRDefault="00A8138F" w:rsidP="00A8138F">
      <w:pPr>
        <w:pStyle w:val="TextoNormal"/>
      </w:pPr>
    </w:p>
    <w:p w14:paraId="0C4B047F" w14:textId="77777777" w:rsidR="00A8138F" w:rsidRDefault="00A8138F" w:rsidP="00A8138F">
      <w:pPr>
        <w:pStyle w:val="TextoNormal"/>
      </w:pPr>
      <w:r>
        <w:t>La STC 56/2019, también incidía en que hasta tiempos recientes no se había adquirido una conciencia social e institucional sobre esta cuestión “pese a que el porcentaje estimado de trabajadores que han sufrido alguna forma de acoso laboral es importante, aún mayor en el ámbito de las administraciones públicas [</w:t>
      </w:r>
      <w:r w:rsidRPr="00A8138F">
        <w:rPr>
          <w:i/>
        </w:rPr>
        <w:t>cfr.</w:t>
      </w:r>
      <w:r>
        <w:t xml:space="preserve"> resolución del Parlamento Europeo sobre el acoso moral en el lugar de trabajo, núm. 2001/2339 (INI), y comunicación de la Comisión Europea sobre cómo adaptarse a los cambios en la sociedad y en el mundo del trabajo: una nueva estrategia comunitaria de la salud y la seguridad, COM (2002) 118 final]” (FJ 4).</w:t>
      </w:r>
    </w:p>
    <w:p w14:paraId="3395F59F" w14:textId="77777777" w:rsidR="00A8138F" w:rsidRDefault="00A8138F" w:rsidP="00A8138F">
      <w:pPr>
        <w:pStyle w:val="TextoNormal"/>
      </w:pPr>
    </w:p>
    <w:p w14:paraId="70D3535B" w14:textId="77777777" w:rsidR="00A8138F" w:rsidRDefault="00A8138F" w:rsidP="00A8138F">
      <w:pPr>
        <w:pStyle w:val="TextoNormal"/>
      </w:pPr>
      <w:r>
        <w:t xml:space="preserve">La STC 56/2019 continuaba exponiendo las diferentes reacciones normativas en el ámbito regional europeo y nacional, destacando que en la Carta social Europea (revisada), hecha en Estrasburgo el 3 de mayo de 1996, se establece que el acoso laboral atenta contra el “derecho a la dignidad en el trabajo”, debiendo las partes signatarias “adoptar todas las medidas apropiadas para proteger a los trabajadores” (art. 26). En la Unión Europea, las directivas 2000/43/CE, del Consejo, de 29 de junio de 2000, relativa a la aplicación del principio de igualdad de trato de las personas independientemente de su origen racial o étnico, y 2000/78/CE, del Consejo, de 27 de noviembre de 2000, relativa al establecimiento de un marco general para la igualdad de trato en el empleo y la ocupación, han obligado a los Estados miembros a adoptar medidas contra los supuestos de acoso relacionados con la discriminación, entre otras, “garantizar que corresponda a la parte demandada demostrar que no ha habido vulneración del principio de igualdad de trato” (arts. 8.1 y 10.1, respectivamente). A esas normas hay que añadir ahora que, con un alcance universal, el ya citado Convenio sobre la eliminación de la violencia y el acoso en el mundo del trabajo de 2019 </w:t>
      </w:r>
      <w:r>
        <w:lastRenderedPageBreak/>
        <w:t>establece como principio fundamental el deber de todo Estado signatario de “respetar, promover y asegurar el disfrute del derecho de toda persona a un mundo del trabajo libre de violencia y acoso” (art. 4.1) y de adoptar, entre otras, medidas relativas para prohibir legalmente la violencia y el acoso; velar por que las políticas pertinentes aborden esa cuestión; adoptar una estrategia integral a fin de aplicar medidas para su prevención y combate; establecer mecanismos de control de la aplicación y de seguimiento o fortalecer los mecanismos existentes; velar por que las víctimas tengan acceso a vías de recurso y reparación y a medidas de apoyo; prever sanciones; desarrollar herramientas, orientaciones y actividades de educación y de formación, y actividades de sensibilización, en forma accesible; y garantizar que existan medios de inspección e investigación efectivos de los casos de violencia y acoso, incluyendo a través de la inspección del trabajo o de otros organismos competentes (art. 4.2).</w:t>
      </w:r>
    </w:p>
    <w:p w14:paraId="6B2CCBEC" w14:textId="77777777" w:rsidR="00A8138F" w:rsidRDefault="00A8138F" w:rsidP="00A8138F">
      <w:pPr>
        <w:pStyle w:val="TextoNormal"/>
      </w:pPr>
    </w:p>
    <w:p w14:paraId="4F019FA4" w14:textId="77777777" w:rsidR="00A8138F" w:rsidRDefault="00A8138F" w:rsidP="00A8138F">
      <w:pPr>
        <w:pStyle w:val="TextoNormal"/>
      </w:pPr>
      <w:r>
        <w:t>Por su parte, en el ámbito nacional, la STC 56/2019 recordaba que el legislador español había empezado a tomar en consideración el problema bajo las ópticas de la prevención, la protección y la represión; citando, en cuanto a esta última perspectiva y con relación al empleo público, el art. 95.2 o) del texto refundido de la Ley del estatuto básico del empleado público, aprobado por el Real Decreto Legislativo 5/2015, de 30 de octubre (TRLEEP), que tipifica el acoso laboral como falta muy grave, y el art. 173.1 CP, introducido por la Ley Orgánica 5/2010, de 22 de junio, que tipifica como delito contra la integridad moral los actos hostiles o humillantes realizados de forma reiterada en el ámbito de cualquier relación laboral o funcionarial y prevaliéndose de su relación de superioridad, que supongan grave acoso contra la víctima (FJ 4). También a ese respecto, el Tribunal traía a colación el mencionado protocolo de actuación frente al acoso laboral en la administración general del Estado, que regula un “[p]rocedimiento de actuación” ante la denuncia de la “persona presuntamente acosada” destinado a investigar y remediar las situaciones de acoso laboral (epígrafe III). Tras establecer a sus efectos un concepto de “acoso laboral” (apartado 2.1), concreta, para “una mayor clarificación”, una serie de conductas “típicas” “que son, o no son, acoso laboral” (apartado 2.1, último párrafo, y anexo II). Lo hace en dos listados, uno con las “[c]onductas consideradas como acoso laboral” [anexo II, apartado A)], y otro con las “que no son acoso laboral (sin perjuicio de que puedan ser constitutivas de otras infracciones)” [anexo II, apartado B)] (FJ 4).</w:t>
      </w:r>
    </w:p>
    <w:p w14:paraId="652CC0C5" w14:textId="77777777" w:rsidR="00A8138F" w:rsidRDefault="00A8138F" w:rsidP="00A8138F">
      <w:pPr>
        <w:pStyle w:val="TextoNormal"/>
      </w:pPr>
    </w:p>
    <w:p w14:paraId="559A496A" w14:textId="77777777" w:rsidR="00A8138F" w:rsidRDefault="00A8138F" w:rsidP="00A8138F">
      <w:pPr>
        <w:pStyle w:val="TextoNormal"/>
      </w:pPr>
      <w:r>
        <w:t xml:space="preserve">Dentro de esa normativa sancionadora, es preciso también mencionar que el texto refundido de la Ley sobre infracciones y sanciones en el orden social, aprobado por el Real Decreto Legislativo 5/2000, de 4 de agosto, tipifica como infracción muy grave los actos del empresario que fueran contrarios a la “consideración debida a la dignidad de los trabajadores” (art. 8.11), como también el “trato desfavorable de los trabajadores como reacción ante una reclamación efectuada en la empresa” (art. 8.12). Además de ello, es de destacar que la normativa interna —laboral y funcionarial— reconoce entre los derechos básicos de todo trabajador la consideración debida a su dignidad, que debe ser respetada por el empleador en el ejercicio de sus facultades de dirección [arts. 4.2 e) y 20.3, del texto refundido de la Ley del estatuto de los trabajadores, aprobado por el Real Decreto Legislativo 2/2015, de 23 de octubre; el art. 4.3 c) de la Ley 20/2007, de 11 de julio, del estatuto del trabajo autónomo; y el art. 14 h), en conexión con el art. 54.1 TRLEEP]. Ese respeto a la dignidad del trabajador conlleva la obligación correlativa no solo de sancionar estas conductas, como ya se ha expuesto, sino de que el empleador proporcione al trabajador acosado la necesaria </w:t>
      </w:r>
      <w:r>
        <w:lastRenderedPageBreak/>
        <w:t>protección a través de medidas de prevención que garanticen la seguridad y salud en el trabajo (art. 14 de la Ley 31/1995, de 8 de noviembre, de prevención de riesgos laborales).</w:t>
      </w:r>
    </w:p>
    <w:p w14:paraId="5015A700" w14:textId="77777777" w:rsidR="00A8138F" w:rsidRDefault="00A8138F" w:rsidP="00A8138F">
      <w:pPr>
        <w:pStyle w:val="TextoNormal"/>
      </w:pPr>
    </w:p>
    <w:p w14:paraId="5ADA165D" w14:textId="77777777" w:rsidR="00A8138F" w:rsidRDefault="00A8138F" w:rsidP="00A8138F">
      <w:pPr>
        <w:pStyle w:val="TextoNormal"/>
      </w:pPr>
      <w:r>
        <w:t>Más recientemente, se han producido nuevos avances normativos que han incidido en cuestiones relacionadas con el acoso laboral. Entre ellos cabe citar la Ley Orgánica 10/2022, de 6 de septiembre, de garantía integral de la libertad sexual, que establece en su art. 12.1, dentro de las medidas de prevención y sensibilización en el ámbito laboral, la obligación de las empresas, por un lado, de “promover condiciones de trabajo que eviten la comisión de delitos y otras conductas contra la libertad sexual y la integridad moral en el trabajo” y, por otro, de “arbitrar procedimientos específicos para su prevención y para dar cauce a las denuncias o reclamaciones que puedan formular quienes hayan sido víctimas de estas conductas”. El art. 13.1 extiende esas obligaciones a las administraciones públicas, los organismos públicos y los órganos constitucionales, imponiendo el deber de “promover condiciones de trabajo que eviten las conductas que atenten contra la libertad sexual y la integridad moral en el trabajo, incidiendo especialmente en el acoso sexual y el acoso por razón de sexo, incluidos los cometidos en el ámbito digital. Asimismo, deberán arbitrar procedimientos o protocolos específicos para su prevención, detección temprana, denuncia y asesoramiento a quienes hayan sido víctimas de estas conductas”.</w:t>
      </w:r>
    </w:p>
    <w:p w14:paraId="30098CF8" w14:textId="77777777" w:rsidR="00A8138F" w:rsidRDefault="00A8138F" w:rsidP="00A8138F">
      <w:pPr>
        <w:pStyle w:val="TextoNormal"/>
      </w:pPr>
    </w:p>
    <w:p w14:paraId="172EB7BC" w14:textId="77777777" w:rsidR="00A8138F" w:rsidRDefault="00A8138F" w:rsidP="00A8138F">
      <w:pPr>
        <w:pStyle w:val="TextoNormal"/>
      </w:pPr>
      <w:r>
        <w:t xml:space="preserve">También resulta relevante, por lo que concierne al supuesto a analizar en el presente recurso de amparo, aunque no resulte aplicable </w:t>
      </w:r>
      <w:r w:rsidRPr="00A8138F">
        <w:rPr>
          <w:i/>
        </w:rPr>
        <w:t>ratione temporis</w:t>
      </w:r>
      <w:r>
        <w:t>, la Ley 2/2023, de 20 de febrero, reguladora de la protección de las personas que informen sobre infracciones normativas y de lucha contra la corrupción. Su art. 36.3 b), dentro de las prohibiciones de represalias contra las personas físicas que informen sobre acciones u omisiones que puedan ser constitutivas de infracción penal o administrativa grave o muy grave, cita, entro otros, los “[d]años, incluidos los de carácter reputacional, o pérdidas económicas, coacciones, intimidaciones, acoso u ostracismo”; añadiendo el art. 38.4 una regla sobre desplazamiento de la carga probatoria, al establecer que “[e]n los procedimientos ante un órgano jurisdiccional u otra autoridad relativos a los perjuicios sufridos por los informantes, una vez que el informante haya demostrado razonablemente que ha comunicado o ha hecho una revelación pública de conformidad con esta ley y que ha sufrido un perjuicio, se presumirá que el perjuicio se produjo como represalia por informar o por hacer una revelación pública. En tales casos, corresponderá a la persona que haya tomado la medida perjudicial probar que esa medida se basó en motivos debidamente justificados no vinculados a la comunicación o revelación pública”.</w:t>
      </w:r>
    </w:p>
    <w:p w14:paraId="44EEA3B4" w14:textId="77777777" w:rsidR="00A8138F" w:rsidRDefault="00A8138F" w:rsidP="00A8138F">
      <w:pPr>
        <w:pStyle w:val="TextoNormal"/>
      </w:pPr>
    </w:p>
    <w:p w14:paraId="38EE0D04" w14:textId="77777777" w:rsidR="00A8138F" w:rsidRDefault="00A8138F" w:rsidP="00A8138F">
      <w:pPr>
        <w:pStyle w:val="TextoNormal"/>
      </w:pPr>
      <w:r>
        <w:t xml:space="preserve">Por su parte, en lo que también concierne a este recurso, es preciso mencionar que en el ámbito de la administración local se han venido aprobando por diversos ayuntamientos los respectivos protocolos, para proteger a sus empleados públicos municipales frente a las conductas de acoso laboral. En concreto, el Ayuntamiento de Torrevieja aprobó el 24 de abril de 2009 el protocolo de </w:t>
      </w:r>
      <w:r w:rsidRPr="00A8138F">
        <w:rPr>
          <w:i/>
        </w:rPr>
        <w:t>mobbing</w:t>
      </w:r>
      <w:r>
        <w:t xml:space="preserve"> (“Boletín Oficial de la Provincia de Alicante” núm. 155, de 17 de agosto de 2009), aplicable en el momento de los hechos, que fue derogado por el protocolo de prevención contra el acoso laboral del Ayuntamiento de Torrevieja de 30 de noviembre de 2016. Aquel protocolo definía el acoso psicológico “como un proceso compuesto por conductas abusivas de ataque verbal o modal o de maltrato psicológico, sistemáticas y deliberadas, ejercidas por una persona o un grupo en el ámbito de las relaciones laborales a fin de perjudicar al trabajador, y que expresa un riesgo para su salud o su integridad física y/o psíquica, y que atenta contra su dignidad” y, como declaración de inten</w:t>
      </w:r>
      <w:r>
        <w:lastRenderedPageBreak/>
        <w:t>ciones, afirmaba que “el acoso psicológico en el trabajo, en cualquiera de sus modalidades es inadmisible” y que “todos sus trabajadores, sean funcionarios sean personal laboral, tienen derecho a ser tratados con dignidad, consideración y respeto, por lo tanto el acoso psicológico en el trabajo es una conducta inaceptable en esta institución”.</w:t>
      </w:r>
    </w:p>
    <w:p w14:paraId="11B98000" w14:textId="77777777" w:rsidR="00A8138F" w:rsidRDefault="00A8138F" w:rsidP="00A8138F">
      <w:pPr>
        <w:pStyle w:val="TextoNormal"/>
      </w:pPr>
    </w:p>
    <w:p w14:paraId="3250A004" w14:textId="77777777" w:rsidR="00A8138F" w:rsidRDefault="00A8138F" w:rsidP="00A8138F">
      <w:pPr>
        <w:pStyle w:val="TextoNormal"/>
      </w:pPr>
      <w:r>
        <w:t xml:space="preserve">c) </w:t>
      </w:r>
      <w:r w:rsidRPr="00A8138F">
        <w:rPr>
          <w:i/>
        </w:rPr>
        <w:t>La incidencia del acoso laboral en los derechos fundamentales</w:t>
      </w:r>
    </w:p>
    <w:p w14:paraId="532770B0" w14:textId="77777777" w:rsidR="00A8138F" w:rsidRDefault="00A8138F" w:rsidP="00A8138F">
      <w:pPr>
        <w:pStyle w:val="TextoNormal"/>
      </w:pPr>
    </w:p>
    <w:p w14:paraId="7B269479" w14:textId="77777777" w:rsidR="00A8138F" w:rsidRDefault="00A8138F" w:rsidP="00A8138F">
      <w:pPr>
        <w:pStyle w:val="TextoNormal"/>
      </w:pPr>
      <w:r>
        <w:t>La STC 56/2019, atendiendo a la aproximación conceptual al acoso laboral y el abordaje normativo desarrollado respecto de este fenómeno, también destacaba que, desde la óptica constitucional que corresponde proyectar en la jurisdicción de amparo, “cabe apreciar […] que las situaciones de acoso laboral, en la medida en que tienen por finalidad o como resultado atentar o poner en peligro la integridad del empleado conciernen al reconocimiento constitucional de la dignidad de la persona, su derecho fundamental a la integridad física y moral y la prohibición de los tratos degradantes (arts. 10.1 y 15 CE). Ahora bien, las situaciones de acoso laboral son tan multiformes que pueden involucrar también otros derechos fundamentales” (FJ 4); citando al efecto, el derecho al honor, a la intimidad personal y familiar y a la propia imagen (artículo 18 CE) y, aunque sin carácter de derecho fundamental invocable en amparo, el mandato a los poderes públicos de velar por la seguridad e higiene en el trabajo (art. 40.2 CE).</w:t>
      </w:r>
    </w:p>
    <w:p w14:paraId="2BD471E3" w14:textId="77777777" w:rsidR="00A8138F" w:rsidRDefault="00A8138F" w:rsidP="00A8138F">
      <w:pPr>
        <w:pStyle w:val="TextoNormal"/>
      </w:pPr>
    </w:p>
    <w:p w14:paraId="2C98B8C1" w14:textId="77777777" w:rsidR="00A8138F" w:rsidRDefault="00A8138F" w:rsidP="00A8138F">
      <w:pPr>
        <w:pStyle w:val="TextoNormal"/>
      </w:pPr>
      <w:r>
        <w:t>En los términos expuestos, el acoso laboral implica una conducta lesiva del derecho a la integridad física y moral (art. 15 CE), íntimamente conectado con el derecho a la dignidad personal (art. 10.1 CE), según jurisprudencia constitucional reiterada (así, SSTC 148/2023, de 6 de noviembre, FJ 4, o 92/2024, de 18 de junio, FJ 2); dignidad que constituye un derecho inviolable de todo ser humano, tal y como proclama, entre otros, el art. 1 de la Carta de los derechos fundamentales de la Unión Europea de 7 de diciembre de 2000 (CDFUE) y, por consiguiente, también es predicable en el entorno laboral, al tener el trabajador como derecho el de “trabajar en condiciones que respeten su salud, su seguridad y su dignidad” (art. 31.1 CDFUE). A esos efectos, el Tribunal debe reiterar, una vez más, que la existencia de una relación laboral no puede implicar, en modo alguno, la privación para una de las partes, el trabajador, de los derechos que la Constitución le reconoce, ya que las organizaciones empresariales —tanto privadas como públicas— no forman mundos separados y estancos del resto de la sociedad en los que los empleados deban soportar “despojos transitorios o limitaciones injustificadas de sus derechos fundamentales y libertades públicas” (STC 56/2008, de 14 de abril, FJ 6). Se impone, por tanto, utilizando la expresión usada en el preámbulo al ya citado Convenio sobre la eliminación de la violencia y el acoso en el mundo del trabajo, la necesidad de reconocer “la importancia de una cultura del trabajo basado en el respeto mutuo y la dignidad del ser humano para prevenir la violencia y el acoso”.</w:t>
      </w:r>
    </w:p>
    <w:p w14:paraId="348B1749" w14:textId="77777777" w:rsidR="00A8138F" w:rsidRDefault="00A8138F" w:rsidP="00A8138F">
      <w:pPr>
        <w:pStyle w:val="TextoNormal"/>
      </w:pPr>
    </w:p>
    <w:p w14:paraId="11968560" w14:textId="6A832F4B" w:rsidR="00A8138F" w:rsidRDefault="00A8138F" w:rsidP="00A8138F">
      <w:pPr>
        <w:pStyle w:val="TextoNormal"/>
      </w:pPr>
      <w:r>
        <w:t xml:space="preserve">La conclusión alcanzada por el Tribunal en la STC 56/2019, sobre el encuadre de las lesiones constitucionales de las conductas de acoso laboral, preferentemente, en el derecho a la integridad física y moral (art. 15 CE) está, por otra parte, en línea de coherencia con la jurisprudencia establecida por el Tribunal Europeo de Derechos Humanos en la materia. La STEDH de 9 de noviembre de 2021, asunto </w:t>
      </w:r>
      <w:r w:rsidRPr="00A8138F">
        <w:rPr>
          <w:i/>
        </w:rPr>
        <w:t>Špadijer c. Montenegro</w:t>
      </w:r>
      <w:r>
        <w:t>, § 87, en relación con el § 69, en una demanda individual en relación con el acoso laboral sufrido por un funcionario de prisiones con motivo de una denuncia interpuesta contra otros compañeros, si bien se invocó el derecho a no sufrir malos tratos [art. 3 del Convenio europeo para la protección de los derechos humanos y de las libertades fundamentales (CEDH)], consideró que el co</w:t>
      </w:r>
      <w:r>
        <w:lastRenderedPageBreak/>
        <w:t xml:space="preserve">rrecto encuadre </w:t>
      </w:r>
      <w:r w:rsidRPr="00A8138F">
        <w:rPr>
          <w:i/>
        </w:rPr>
        <w:t>iusfundamental</w:t>
      </w:r>
      <w:r>
        <w:t xml:space="preserve"> de análisis era el derecho a la vida privada (art. 8 CEDH), en la medida en que “el concepto de vida privada incluye la integridad física y psicológica de una persona”.</w:t>
      </w:r>
    </w:p>
    <w:p w14:paraId="16C447ED" w14:textId="77777777" w:rsidR="00A8138F" w:rsidRDefault="00A8138F" w:rsidP="00A8138F">
      <w:pPr>
        <w:pStyle w:val="TextoNormal"/>
      </w:pPr>
    </w:p>
    <w:p w14:paraId="36BBCF0D" w14:textId="77777777" w:rsidR="00A8138F" w:rsidRDefault="00A8138F" w:rsidP="00A8138F">
      <w:pPr>
        <w:pStyle w:val="TextoNormal"/>
      </w:pPr>
      <w:r w:rsidRPr="00A8138F">
        <w:rPr>
          <w:rStyle w:val="NumeroAFNegritaCaracter"/>
        </w:rPr>
        <w:t>4</w:t>
      </w:r>
      <w:r>
        <w:t xml:space="preserve">. </w:t>
      </w:r>
      <w:r w:rsidRPr="00A8138F">
        <w:rPr>
          <w:i/>
        </w:rPr>
        <w:t>La jurisprudencia constitucional concernida en los supuestos de acoso laboral</w:t>
      </w:r>
    </w:p>
    <w:p w14:paraId="34078981" w14:textId="77777777" w:rsidR="00A8138F" w:rsidRDefault="00A8138F" w:rsidP="00A8138F">
      <w:pPr>
        <w:pStyle w:val="TextoNormal"/>
      </w:pPr>
    </w:p>
    <w:p w14:paraId="7D2B66CB" w14:textId="77777777" w:rsidR="00A8138F" w:rsidRDefault="00A8138F" w:rsidP="00A8138F">
      <w:pPr>
        <w:pStyle w:val="TextoNormal"/>
      </w:pPr>
      <w:r>
        <w:t>El Tribunal declara, en línea con lo ya delineado en la STC 56/2019, FFJJ 4 y 5, con los precedentes de las SSTC 74/2007, de 16 de abril; 106/2011, de 20 de junio, y 81/2018, de 16 de julio, que las conductas de acoso laboral resultan inaceptables y reprobables en nuestro sistema constitucional de relaciones laborales, en el que el respeto de los derechos fundamentales del trabajador constituye un elemento esencial que exige el ejercicio de todas las acciones preventivas y, en su caso, sancionadoras, dirigidas a eliminar del ámbito laboral las conductas que tan directamente atentan contra la dignidad del trabajador (art. 10.1 CE), su derecho a la integridad física y moral (art. 15 CE), en conexión con el derecho a la protección de la salud que se encomienda a los poderes públicos en el art. 40.2 CE, pudiendo llegar a afectar incluso a otros derechos fundamentales como el honor, la intimidad personal y familiar, y la propia imagen (art. 18 CE). Además, por lo que afecta al presente recurso de amparo, el Tribunal también tiene que incidir en que si la conducta de acoso tuviese por causa una represalia frente al trabajador por haber denunciado irregularidades en el ámbito de la relación laboral, también se vería afectado el derecho a la tutela judicial efectiva (art. 24.1 CE), desde la perspectiva de la garantía de indemnidad.</w:t>
      </w:r>
    </w:p>
    <w:p w14:paraId="55266906" w14:textId="77777777" w:rsidR="00A8138F" w:rsidRDefault="00A8138F" w:rsidP="00A8138F">
      <w:pPr>
        <w:pStyle w:val="TextoNormal"/>
      </w:pPr>
    </w:p>
    <w:p w14:paraId="0884539F" w14:textId="77777777" w:rsidR="00A8138F" w:rsidRDefault="00A8138F" w:rsidP="00A8138F">
      <w:pPr>
        <w:pStyle w:val="TextoNormal"/>
      </w:pPr>
      <w:r>
        <w:t xml:space="preserve">a) </w:t>
      </w:r>
      <w:r w:rsidRPr="00A8138F">
        <w:rPr>
          <w:i/>
        </w:rPr>
        <w:t>El derecho a la integridad física y moral (art. 15 CE)</w:t>
      </w:r>
    </w:p>
    <w:p w14:paraId="2F77A404" w14:textId="77777777" w:rsidR="00A8138F" w:rsidRDefault="00A8138F" w:rsidP="00A8138F">
      <w:pPr>
        <w:pStyle w:val="TextoNormal"/>
      </w:pPr>
    </w:p>
    <w:p w14:paraId="7F463F51" w14:textId="77777777" w:rsidR="00A8138F" w:rsidRDefault="00A8138F" w:rsidP="00A8138F">
      <w:pPr>
        <w:pStyle w:val="TextoNormal"/>
      </w:pPr>
      <w:r>
        <w:t>En los términos ya expuestos, el acoso laboral tiene su más correcto encuadre constitucional en la vulneración del art. 15 CE, materializada en el acoso psicológico sufrido, en la medida en que reconoce el derecho a la integridad física y moral, sin que en ningún caso la persona pueda estar sometida, entre otros, a tratos degradantes, definidos como aquellos que provocan “padecimientos físicos o psíquicos ilícitos e infligidos de modo vejatorio para quien los sufre y con esa propia intención de vejar y doblegar la voluntad del sujeto paciente” (SSTC 120/1990, de 27 de junio, FJ 9; 57/1994, de 28 de febrero, FJ 4, y 105/2024, de 9 de septiembre, FJ 2).</w:t>
      </w:r>
    </w:p>
    <w:p w14:paraId="785CF4AA" w14:textId="77777777" w:rsidR="00A8138F" w:rsidRDefault="00A8138F" w:rsidP="00A8138F">
      <w:pPr>
        <w:pStyle w:val="TextoNormal"/>
      </w:pPr>
    </w:p>
    <w:p w14:paraId="308BBBD8" w14:textId="77777777" w:rsidR="00A8138F" w:rsidRDefault="00A8138F" w:rsidP="00A8138F">
      <w:pPr>
        <w:pStyle w:val="TextoNormal"/>
      </w:pPr>
      <w:r>
        <w:t xml:space="preserve">Esas agresiones a la integridad física o psíquica del trabajador, que suponen los actos de acoso laboral, afectan también a la dignidad personal de quien los sufre (art. 10 CE), “bien porque cosifican al individuo, rebajándolo a un nivel material o animal, bien porque lo mediatizan o instrumentalizan, olvidándose de que toda persona es un fin en sí mismo” (SSTC 181/2004, de 2 de noviembre, FJ 13; 56/2019, FJ 5, y 105/2024, FJ 2). La STC 56/2019, recordaba que para poder calificar el trato recibido como degradante debe “‘ocasionar también al interesado —ante los demás o ante sí mismo— una humillación o un envilecimiento que alcance un mínimo de gravedad’ (ATC 333/1997, de 13 de octubre, FJ 5, citando las SSTEDH de 25 de febrero de 1982, asunto </w:t>
      </w:r>
      <w:r w:rsidRPr="00A8138F">
        <w:rPr>
          <w:i/>
        </w:rPr>
        <w:t>Campbell et Cosans c. el Reino Unido</w:t>
      </w:r>
      <w:r>
        <w:t xml:space="preserve">, § 28, y de 25 de marzo de 1993, asunto </w:t>
      </w:r>
      <w:r w:rsidRPr="00A8138F">
        <w:rPr>
          <w:i/>
        </w:rPr>
        <w:t>Costello-Roberts c. el Reino Unido</w:t>
      </w:r>
      <w:r>
        <w:t xml:space="preserve">, § 30). Se trata de acciones que pueden provocar en la víctima ‘sentimientos de temor, angustia e inferioridad susceptibles de humillarla, envilecerla y, eventualmente, de quebrantar su resistencia física o moral’, superando ‘un umbral mínimo de severidad; mínimo cuya apreciación es, por naturaleza, relativo, por lo que depende en última instancia de las circunstancias concurrentes en el caso concreto’ (ATC 333/1997, FJ 5, citando las SSTEDH de 18 de enero de 1978, </w:t>
      </w:r>
      <w:r>
        <w:lastRenderedPageBreak/>
        <w:t xml:space="preserve">asunto </w:t>
      </w:r>
      <w:r w:rsidRPr="00A8138F">
        <w:rPr>
          <w:i/>
        </w:rPr>
        <w:t>Irlanda c. el Reino Unido</w:t>
      </w:r>
      <w:r>
        <w:t xml:space="preserve">, § 167; de 7 de julio de 1989, asunto </w:t>
      </w:r>
      <w:r w:rsidRPr="00A8138F">
        <w:rPr>
          <w:i/>
        </w:rPr>
        <w:t>Soering c. el Reino Unido</w:t>
      </w:r>
      <w:r>
        <w:t xml:space="preserve">, § 100, y de 27 de agosto de 1992, asunto </w:t>
      </w:r>
      <w:r w:rsidRPr="00A8138F">
        <w:rPr>
          <w:i/>
        </w:rPr>
        <w:t>Tomasi c. Francia</w:t>
      </w:r>
      <w:r>
        <w:t>, § 112)” (FJ 5).</w:t>
      </w:r>
    </w:p>
    <w:p w14:paraId="7B19A4B3" w14:textId="77777777" w:rsidR="00A8138F" w:rsidRDefault="00A8138F" w:rsidP="00A8138F">
      <w:pPr>
        <w:pStyle w:val="TextoNormal"/>
      </w:pPr>
    </w:p>
    <w:p w14:paraId="4D7D1F2E" w14:textId="77777777" w:rsidR="00A8138F" w:rsidRDefault="00A8138F" w:rsidP="00A8138F">
      <w:pPr>
        <w:pStyle w:val="TextoNormal"/>
      </w:pPr>
      <w:r>
        <w:t xml:space="preserve">Por su parte, la más reciente jurisprudencia del Tribunal Europeo de Derechos Humanos, por lo que se refiere específicamente a las situaciones de acoso laboral, ha destacado en la ya citada STEDH de 9 de noviembre de 2021, asunto </w:t>
      </w:r>
      <w:r w:rsidRPr="00A8138F">
        <w:rPr>
          <w:i/>
        </w:rPr>
        <w:t>Špadijer c. Montenegro</w:t>
      </w:r>
      <w:r>
        <w:t>, por un lado, que mientras los acosos en forma de ataques a la integridad física deben tener un mecanismo de protección efectivo a través del Derecho penal (§ 88), “en lo que respecta a actos menos graves entre particulares que puedan lesionar la integridad psicológica”, el marco legal de protección puede también consistir en otros instrumentos no penales (§ 89); y, por otro, que las denuncias de acoso deben tramitarse minuciosamente examinando caso por caso, a la luz de las particulares circunstancias de cada caso y teniendo en cuenta todo el contexto, ya que, a pesar de la mayor o menor continuidad o frecuencia en el tiempo, lo relevante es su incidencia en la integridad de quien lo sufre (§ 95). También incide en la necesidad de hacer un análisis global relativo a la frecuencia y periodo temporal en el que se desarrollan los incidentes y en su examen individual y conjunto con el resto de incidentes, tomando debidamente en cuenta su contexto y causas, destacando, en aquel caso, la particular importancia que adquiría en ese examen la circunstancia de la denuncia cursada contra determinadas actuaciones de compañeros de trabajo (§ 97).</w:t>
      </w:r>
    </w:p>
    <w:p w14:paraId="3862E73B" w14:textId="77777777" w:rsidR="00A8138F" w:rsidRDefault="00A8138F" w:rsidP="00A8138F">
      <w:pPr>
        <w:pStyle w:val="TextoNormal"/>
      </w:pPr>
    </w:p>
    <w:p w14:paraId="3D8D15B2" w14:textId="77777777" w:rsidR="00A8138F" w:rsidRDefault="00A8138F" w:rsidP="00A8138F">
      <w:pPr>
        <w:pStyle w:val="TextoNormal"/>
      </w:pPr>
      <w:r>
        <w:t>En relación con esta invocación, la STC 56/2019 concluía que “para valorar si la administración ha vulnerado el derecho fundamental a la integridad moral de un empleado público (art. 15 CE), hay que determinar, atendiendo a las circunstancias del caso, si la conducta enjuiciada es deliberada o, al menos, está adecuadamente conectada al resultado lesivo (elemento intención); si ha causado a la víctima un padecimiento físico, psíquico o moral o, al menos, encerraba la potencialidad de hacerlo (elemento menoscabo) y si respondió al fin de vejar, humillar o envilecer o era objetivamente idónea para producir o produjo efectivamente ese resultado (elemento vejación). Faltando este último elemento, no habrá trato ‘degradante’, pero solo podrá descartarse la vulneración del art. 15 CE si la conducta enjuiciada halla cobertura legal (legalidad), responde a un fin constitucionalmente legítimo (adecuación), constituye la alternativa menos restrictiva (necesidad) y produce más beneficios sobre otros bienes o valores que perjuicios en el derecho fundamental a la integridad moral (proporcionalidad en sentido estricto)” (FJ 5). No obstante, también la STC 56/2019 incidía en precisar que “[a] este tribunal no le corresponde elaborar un concepto de ‘acoso laboral’. Debe solo interpretar, en su proyección sobre las relaciones laborales o funcionariales, el concepto constitucional de ‘trato degradante’ y el más amplio de lesión de la ‘integridad moral’ (art. 15 CE). Ciertamente, desde la perspectiva de la protección debida al trabajador hostigado, tales conceptos constitucionales representan un mínimo insoslayable para el legislador que establece —y para el órgano judicial que interpreta y aplica— un concepto normativo de ‘acoso laboral’. Ahora bien, el concepto de ‘acoso laboral’ que establezca la legalidad ordinaria bien puede ser más amplio que los de ‘trato degradante’ y de lesión de la ‘integridad moral’ (p. ej., si el legislador quiere dispensar al trabajador más tutela de la resultante del art. 15 CE) o más estricto (p. ej., si el legislador penal quiere castigar más severamente determinados comportamientos hostigadores)” (FJ 5).</w:t>
      </w:r>
    </w:p>
    <w:p w14:paraId="7FC878F6" w14:textId="77777777" w:rsidR="00A8138F" w:rsidRDefault="00A8138F" w:rsidP="00A8138F">
      <w:pPr>
        <w:pStyle w:val="TextoNormal"/>
      </w:pPr>
    </w:p>
    <w:p w14:paraId="0FBDA165" w14:textId="77777777" w:rsidR="00A8138F" w:rsidRDefault="00A8138F" w:rsidP="00A8138F">
      <w:pPr>
        <w:pStyle w:val="TextoNormal"/>
      </w:pPr>
      <w:r>
        <w:t xml:space="preserve">También es preciso recordar, en relación con el control judicial a desarrollar bajo la invocación de haber sufrido acoso laboral, con la lesión que ello implica del art. 15 CE, que en tales casos, si bien puede quedar comprometido el derecho a la tutela judicial efectiva </w:t>
      </w:r>
      <w:r>
        <w:lastRenderedPageBreak/>
        <w:t>(art. 24.1 CE), en el sentido de que es preciso una motivación reforzada, dada la trascendencia de los valores y derechos fundamentales en liza en la que se exteriorice el nexo de coherencia entre la decisión adoptada, la norma que le sirve de fundamento y los fines perseguidos con la regulación del acoso laboral, esa eventual infracción del art. 24.1 CE quedaría subsumida en la del derecho sustantivo (STC 56/2019, FJ 3).</w:t>
      </w:r>
    </w:p>
    <w:p w14:paraId="13F0450D" w14:textId="77777777" w:rsidR="00A8138F" w:rsidRDefault="00A8138F" w:rsidP="00A8138F">
      <w:pPr>
        <w:pStyle w:val="TextoNormal"/>
      </w:pPr>
    </w:p>
    <w:p w14:paraId="21F26D95" w14:textId="77777777" w:rsidR="00A8138F" w:rsidRDefault="00A8138F" w:rsidP="00A8138F">
      <w:pPr>
        <w:pStyle w:val="TextoNormal"/>
      </w:pPr>
      <w:r>
        <w:t xml:space="preserve">b) </w:t>
      </w:r>
      <w:r w:rsidRPr="00A8138F">
        <w:rPr>
          <w:i/>
        </w:rPr>
        <w:t>La distribución de la carga probatoria en los procesos de protección de los derechos fundamentales</w:t>
      </w:r>
    </w:p>
    <w:p w14:paraId="1E9B6D47" w14:textId="77777777" w:rsidR="00A8138F" w:rsidRDefault="00A8138F" w:rsidP="00A8138F">
      <w:pPr>
        <w:pStyle w:val="TextoNormal"/>
      </w:pPr>
    </w:p>
    <w:p w14:paraId="5F7A6DE3" w14:textId="77777777" w:rsidR="00A8138F" w:rsidRDefault="00A8138F" w:rsidP="00A8138F">
      <w:pPr>
        <w:pStyle w:val="TextoNormal"/>
      </w:pPr>
      <w:r>
        <w:t>El Tribunal ha establecido una jurisprudencia constitucional en relación con las invocaciones por conductas discriminatorias (art. 14 CE), que es de aplicación a supuestos como el presente de alegaciones de conductas de acoso laboral lesivas del derecho a la integridad moral (art. 15 CE), ya que es necesario garantizar que los derechos fundamentales no sean desconocidos bajo la cobertura formal del ejercicio de derechos y facultades reconocidos por las normas, por lo que se ha subrayado “la especial dificultad que en no pocas ocasiones ofrece la operación de desvelar la lesión constitucional, encubierta tras la legalidad solo aparente del acto litigioso” (SSTC 104/2014, de 23 de junio, FJ 7; 51/2021, de 15 de marzo, FJ 3, y 67/2022, de 2 de junio, FJ 5). La constatación de esa dificultad ha determinado la elaboración de una jurisprudencia constitucional sobre la distribución de la carga probatoria como instrumento útil para desvelar “las razones latentes de actos que puedan enmascarar una lesión de derechos fundamentales” (SSTC 104/2014, FJ 7; 51/2021, FJ 3, y 67/2022, FJ 5).</w:t>
      </w:r>
    </w:p>
    <w:p w14:paraId="20F5CB9C" w14:textId="77777777" w:rsidR="00A8138F" w:rsidRDefault="00A8138F" w:rsidP="00A8138F">
      <w:pPr>
        <w:pStyle w:val="TextoNormal"/>
      </w:pPr>
    </w:p>
    <w:p w14:paraId="6652833F" w14:textId="77777777" w:rsidR="00A8138F" w:rsidRDefault="00A8138F" w:rsidP="00A8138F">
      <w:pPr>
        <w:pStyle w:val="TextoNormal"/>
      </w:pPr>
      <w:r>
        <w:t>A esos efectos, el Tribunal ha reiterado que en este tipo de supuestos la prueba se articula en un doble elemento: la necesidad de aportación de indicios suficientes y la consiguiente inversión de la carga probatoria. De ese modo, se exige al trabajador que acredite indicios razonables de que el acto de su empleador lesiona su derecho fundamental, principio de prueba dirigido a poner de manifiesto el motivo oculto que se denuncia, teniéndose presente que el indicio no consiste en la mera alegación de la vulneración constitucional, sino que debe permitir deducir la posibilidad de que se pudo producir a través de ese panorama indiciario. Una vez cumplido ese primer e inexcusable deber, recaerá sobre el empleador la carga de acreditar que su actuación tuvo causas reales absolutamente extrañas a la pretendida vulneración, así como que tenían entidad suficiente para justificar la decisión adoptada, pues, en otro caso, la ausencia de prueba sobre ese extremo trasciende el ámbito puramente procesal y determina, en última instancia, que los indicios aportados por el demandante desplieguen toda su operatividad para declarar la lesión del derecho fundamental del trabajador (SSTC 104/2014, FJ 7; 51/2021, FJ 3, y 67/2022, FJ 5).</w:t>
      </w:r>
    </w:p>
    <w:p w14:paraId="44CAF40C" w14:textId="77777777" w:rsidR="00A8138F" w:rsidRDefault="00A8138F" w:rsidP="00A8138F">
      <w:pPr>
        <w:pStyle w:val="TextoNormal"/>
      </w:pPr>
    </w:p>
    <w:p w14:paraId="7E1478F3" w14:textId="77777777" w:rsidR="00A8138F" w:rsidRDefault="00A8138F" w:rsidP="00A8138F">
      <w:pPr>
        <w:pStyle w:val="TextoNormal"/>
      </w:pPr>
      <w:r>
        <w:t xml:space="preserve">Esta jurisprudencia resulta de relevancia en el caso, habida cuenta de que en la vía judicial previa se aprecia una controversia entre la sentencia de instancia —que, en aplicación de la misma, considera acreditada la situación de acoso laboral lesiva del derecho a la integridad física y moral del demandante al entender que la administración no había aportado “pruebas suficientes para enervar la convicción de que se ha producido un acoso laboral en la persona del recurrente” (fundamento de Derecho 6)— y la sentencia de apelación —que, sin hacer referencia a la misma, rechaza considerar acreditada la situación de acoso a partir de un análisis individualizado de la eventual justificación de cada uno de los episodios alegados por el demandante como constitutivos del acoso (fundamentos de Derecho 7 a 13), </w:t>
      </w:r>
      <w:r>
        <w:lastRenderedPageBreak/>
        <w:t>con fundamento en que había existido una deficiente valoración de la prueba por el juzgador de instancia (fundamento de Derecho 14)—.</w:t>
      </w:r>
    </w:p>
    <w:p w14:paraId="710C41F2" w14:textId="77777777" w:rsidR="00A8138F" w:rsidRDefault="00A8138F" w:rsidP="00A8138F">
      <w:pPr>
        <w:pStyle w:val="TextoNormal"/>
      </w:pPr>
    </w:p>
    <w:p w14:paraId="1A5785E3" w14:textId="77777777" w:rsidR="00A8138F" w:rsidRDefault="00A8138F" w:rsidP="00A8138F">
      <w:pPr>
        <w:pStyle w:val="TextoNormal"/>
      </w:pPr>
      <w:r>
        <w:t xml:space="preserve">c) </w:t>
      </w:r>
      <w:r w:rsidRPr="00A8138F">
        <w:rPr>
          <w:i/>
        </w:rPr>
        <w:t>La garantía de indemnidad (art. 24.1 CE)</w:t>
      </w:r>
    </w:p>
    <w:p w14:paraId="7569271C" w14:textId="77777777" w:rsidR="00A8138F" w:rsidRDefault="00A8138F" w:rsidP="00A8138F">
      <w:pPr>
        <w:pStyle w:val="TextoNormal"/>
      </w:pPr>
    </w:p>
    <w:p w14:paraId="77FADB34" w14:textId="77777777" w:rsidR="00A8138F" w:rsidRDefault="00A8138F" w:rsidP="00A8138F">
      <w:pPr>
        <w:pStyle w:val="TextoNormal"/>
      </w:pPr>
      <w:r>
        <w:t>La jurisprudencia constitucional viene manteniendo desde la STC 14/1993, de 18 de enero, reiterada en muchas resoluciones posteriores (SSTC 196/2000, de 24 de julio; 16/2006, de 19 de enero, o 183/2015, de 10 de septiembre), que la garantía de indemnidad forma parte del derecho a la tutela judicial efectiva (art. 24.1 CE), en el sentido de que “del ejercicio de la acción judicial o de los actos preparatorios o previos al mismo no pueden seguirse consecuencias perjudiciales [dentro del] ámbito de las relaciones públicas o privadas para la persona que los protagoniza” (FJ 2).</w:t>
      </w:r>
    </w:p>
    <w:p w14:paraId="50B36717" w14:textId="77777777" w:rsidR="00A8138F" w:rsidRDefault="00A8138F" w:rsidP="00A8138F">
      <w:pPr>
        <w:pStyle w:val="TextoNormal"/>
      </w:pPr>
    </w:p>
    <w:p w14:paraId="6CB9F92F" w14:textId="77777777" w:rsidR="00A8138F" w:rsidRDefault="00A8138F" w:rsidP="00A8138F">
      <w:pPr>
        <w:pStyle w:val="TextoNormal"/>
      </w:pPr>
      <w:r>
        <w:t>La lesión del derecho a la tutela judicial efectiva, en suma, no solo puede producirse por irregularidades acaecidas dentro del proceso que priven al justiciable de las garantías que establece el art. 24 CE, sino que también puede resultar vulnerado dicho derecho cuando su ejercicio “produzca como consecuencia una sanción que responda a una conducta de represalia por parte del empresario” (STC 14/1993, FJ 3). Es importante subrayar, asimismo, que a los efectos de advertir la lesión de la garantía de indemnidad no es relevante el resultado que puedan haber tenido las acciones emprendidas por el trabajador, por cuanto lo realmente trascendente es si la decisión empresarial cuestionada pudo responder, indiciariamente, al previo ejercicio por el trabajador de su derecho fundamental a la tutela judicial efectiva (STC 120/2006, de 24 de abril, FJ 6).</w:t>
      </w:r>
    </w:p>
    <w:p w14:paraId="5A7C70C0" w14:textId="77777777" w:rsidR="00A8138F" w:rsidRDefault="00A8138F" w:rsidP="00A8138F">
      <w:pPr>
        <w:pStyle w:val="TextoNormal"/>
      </w:pPr>
    </w:p>
    <w:p w14:paraId="5519487B" w14:textId="77777777" w:rsidR="00A8138F" w:rsidRDefault="00A8138F" w:rsidP="00A8138F">
      <w:pPr>
        <w:pStyle w:val="TextoNormal"/>
      </w:pPr>
      <w:r>
        <w:t xml:space="preserve">La jurisprudencia del Tribunal Europeo de Derechos Humanos también ha reconocido, aunque lo haya hecho bajo la protección del derecho a la libertad de información y expresión (art. 10 CEDH), que en el contexto de las relaciones de trabajo, la denuncia sobre una supuesta conducta ilícita por parte de su empleador requiere una protección especial en determinadas circunstancias frente a las posibles represalias en forma de acoso (STEDH de 9 de noviembre de 2021, asunto </w:t>
      </w:r>
      <w:r w:rsidRPr="00A8138F">
        <w:rPr>
          <w:i/>
        </w:rPr>
        <w:t>Špadijer c. Montenegro</w:t>
      </w:r>
      <w:r>
        <w:t xml:space="preserve">, § 90). A esos efectos, afirma que “desde el punto de vista del Tribunal, el deber positivo de los Estados en virtud del artículo 8 de hacer una aplicación efectiva en la práctica de las leyes contra el acoso grave adquieren una especial importancia en las circunstancias en las que dicho acoso puede haber sido provocado como consecuencia de la actividad de un </w:t>
      </w:r>
      <w:r w:rsidRPr="00A8138F">
        <w:rPr>
          <w:i/>
        </w:rPr>
        <w:t>whistleblower</w:t>
      </w:r>
      <w:r>
        <w:t xml:space="preserve"> [denunciante de irregularidades]” (§ 97).</w:t>
      </w:r>
    </w:p>
    <w:p w14:paraId="4F014166" w14:textId="77777777" w:rsidR="00A8138F" w:rsidRDefault="00A8138F" w:rsidP="00A8138F">
      <w:pPr>
        <w:pStyle w:val="TextoNormal"/>
      </w:pPr>
    </w:p>
    <w:p w14:paraId="694E456C" w14:textId="565C9FA5" w:rsidR="00A8138F" w:rsidRDefault="00A8138F" w:rsidP="00A8138F">
      <w:pPr>
        <w:pStyle w:val="TextoNormal"/>
      </w:pPr>
      <w:r>
        <w:t>En el presente caso, esta perspectiva de análisis puede resultar de relevancia en la medida en que el demandante alega que el origen de la situación de acoso laboral sufrida trae causa de una denuncia penal que formuló contra determinados mandos de la policía local por diversas irregularidades en la gestión de las multas y las inspecciones de locales de ocio. Sin perjuicio de reiterar que, aunque no resulte aplicable a este caso por razones temporales, el art. 38.4 de la Ley 2/2023, de 20 de febrero, ya ha establecido legalmente una regla sobre desplazamiento de la carga probatoria en los supuestos en que se hayan producido situaciones de acoso tras haber informado sobre “acciones u omisiones que puedan ser constitutivas de infracción penal o administrativa grave o muy grave”.</w:t>
      </w:r>
    </w:p>
    <w:p w14:paraId="5C0CD058" w14:textId="77777777" w:rsidR="00A8138F" w:rsidRDefault="00A8138F" w:rsidP="00A8138F">
      <w:pPr>
        <w:pStyle w:val="TextoNormal"/>
      </w:pPr>
    </w:p>
    <w:p w14:paraId="1419B7B5" w14:textId="77777777" w:rsidR="00A8138F" w:rsidRDefault="00A8138F" w:rsidP="00A8138F">
      <w:pPr>
        <w:pStyle w:val="TextoNormal"/>
      </w:pPr>
      <w:r w:rsidRPr="00A8138F">
        <w:rPr>
          <w:rStyle w:val="NumeroAFNegritaCaracter"/>
        </w:rPr>
        <w:t>5</w:t>
      </w:r>
      <w:r>
        <w:t xml:space="preserve">. </w:t>
      </w:r>
      <w:r w:rsidRPr="00A8138F">
        <w:rPr>
          <w:i/>
        </w:rPr>
        <w:t>La aplicación de la jurisprudencia constitucional al caso</w:t>
      </w:r>
    </w:p>
    <w:p w14:paraId="2EDA82BA" w14:textId="77777777" w:rsidR="00A8138F" w:rsidRDefault="00A8138F" w:rsidP="00A8138F">
      <w:pPr>
        <w:pStyle w:val="TextoNormal"/>
      </w:pPr>
    </w:p>
    <w:p w14:paraId="0F4D97B0" w14:textId="77777777" w:rsidR="00A8138F" w:rsidRDefault="00A8138F" w:rsidP="00A8138F">
      <w:pPr>
        <w:pStyle w:val="TextoNormal"/>
      </w:pPr>
      <w:r>
        <w:lastRenderedPageBreak/>
        <w:t>El Tribunal —en los términos ya expuestos anteriormente de que para valorar si la administración ha producido una vulneración del derecho fundamental a la integridad moral de un empleado público hay que determinar los elementos de intención, menoscabo y vejación concurrentes en la conducta de acoso— toma en consideración que ni en la vía judicial previa ni en este proceso de amparo se ha controvertido la situación de menoscabo sufrida por el demandante de amparo en su integridad física y moral. La controversia, por tanto, radica en la eventual concurrencia de los elementos de intención y vejación, que es sobre cuya acreditación se ha de centrar el análisis a desarrollar en este amparo, a partir de la proyección de la jurisprudencia constitucional sobre la carga probatoria.</w:t>
      </w:r>
    </w:p>
    <w:p w14:paraId="38E09D31" w14:textId="77777777" w:rsidR="00A8138F" w:rsidRDefault="00A8138F" w:rsidP="00A8138F">
      <w:pPr>
        <w:pStyle w:val="TextoNormal"/>
      </w:pPr>
    </w:p>
    <w:p w14:paraId="0F0DBA7D" w14:textId="77777777" w:rsidR="00A8138F" w:rsidRDefault="00A8138F" w:rsidP="00A8138F">
      <w:pPr>
        <w:pStyle w:val="TextoNormal"/>
      </w:pPr>
      <w:r>
        <w:t>En ese sentido, el control a desarrollar por el Tribunal para analizar si las decisiones impugnadas han incurrido en la vulneración alegada por el demandante del derecho a la integridad física y moral (art. 15 CE), por haber sido víctima de un acoso laboral, debe tomar como presupuesto que la cuestión aquí planteada concierne, en primer lugar, al análisis del razonamiento jurídico de la sentencia de apelación impugnada en este recurso de amparo y no con la descripción de los hechos valorados en ese razonamiento. El Tribunal considera preciso subrayar tal distinción ya que, si bien el art. 44.1 b) LOTC impone la intangibilidad de los hechos, no impide, como ya se ha reiterado en otros pronunciamientos, que el Tribunal pueda alcanzar una interpretación propia del relato fáctico conforme a los derechos y valores constitucionales comprometidos (SSTC 188/2004, de 2 de noviembre, FJ 3; 41/2006, de 13 de febrero, FJ 4, y 81/2024, de 3 de junio, FJ 4). La sujeción a los hechos que impone el citado precepto “no puede conducir a que el Tribunal Constitucional abdique de su función de protección del derecho fundamental” (STC 17/2003, de 30 de enero, FJ 2), al ser función de la jurisdicción de amparo revisar, en casos como el planteado, si el razonamiento judicial que condujo a negar la existencia del acoso laboral —revocando la sentencia de instancia que lo había reconocido con fundamento en el mismo relato fáctico— resultó lesivo del derecho alegado. En este caso, para realizar el juicio de constitucionalidad, resulta imprescindible determinar con precisión si, en el supuesto enjuiciado, los hechos declarados como probados en la instancia —que sirvieron de base para la apreciación de la existencia del acoso laboral y que, no siendo impugnados en grado de apelación por la administración demandada, posteriormente, se estimaron insuficientes por el órgano judicial de apelación— revisten la necesaria entidad para ser considerados como indicios suficientes de la concurrencia de los elementos de intención y vejación necesarios para entender vulnerado el derecho a la integridad física y/o moral y, por consiguiente, debieron producir un desplazamiento de la carga probatoria para que ese panorama indiciario fuera desvirtuado por el ayuntamiento demandado.</w:t>
      </w:r>
    </w:p>
    <w:p w14:paraId="581B4C40" w14:textId="77777777" w:rsidR="00A8138F" w:rsidRDefault="00A8138F" w:rsidP="00A8138F">
      <w:pPr>
        <w:pStyle w:val="TextoNormal"/>
      </w:pPr>
    </w:p>
    <w:p w14:paraId="2655CB54" w14:textId="77777777" w:rsidR="00A8138F" w:rsidRDefault="00A8138F" w:rsidP="00A8138F">
      <w:pPr>
        <w:pStyle w:val="TextoNormal"/>
      </w:pPr>
      <w:r>
        <w:t xml:space="preserve">En atención a lo expuesto, desde el esquema de distribución de la carga probatoria establecido en la jurisprudencia constitucional, el Tribunal debe analizar, en primer lugar, si en la vía judicial se aportó por el demandante una prueba indiciaria verosímil de la infracción del derecho a la integridad física y moral (art. 15 CE) y de la garantía de indemnidad (art. 24.1 CE), por haber sido víctima, a raíz de las denuncias de irregularidades cometidas en su centro de trabajo, de un acoso laboral que menoscabó su integridad física y moral. Esto es, si acreditó la existencia de un panorama indiciario suficiente generador de una razonable sospecha, apariencia o presunción de tal infracción. De verificarse ese extremo, el Tribunal debe analizar, en segundo lugar, si, en atención al desplazamiento de la carga probatoria que ello implicaría, el ayuntamiento demandado cumplió con la carga probatoria de desvirtuar </w:t>
      </w:r>
      <w:r>
        <w:lastRenderedPageBreak/>
        <w:t>tales indicios, acreditando a tal fin que su actuación se presentaba ajena a cualquier intención vejatoria y de hostigamiento.</w:t>
      </w:r>
    </w:p>
    <w:p w14:paraId="1C39CA01" w14:textId="77777777" w:rsidR="00A8138F" w:rsidRDefault="00A8138F" w:rsidP="00A8138F">
      <w:pPr>
        <w:pStyle w:val="TextoNormal"/>
      </w:pPr>
    </w:p>
    <w:p w14:paraId="632D3AA4" w14:textId="77777777" w:rsidR="00A8138F" w:rsidRDefault="00A8138F" w:rsidP="00A8138F">
      <w:pPr>
        <w:pStyle w:val="TextoNormal"/>
      </w:pPr>
      <w:r>
        <w:t xml:space="preserve">A) </w:t>
      </w:r>
      <w:r w:rsidRPr="00A8138F">
        <w:rPr>
          <w:i/>
        </w:rPr>
        <w:t>El panorama indiciario</w:t>
      </w:r>
    </w:p>
    <w:p w14:paraId="13BE3DEB" w14:textId="77777777" w:rsidR="00A8138F" w:rsidRDefault="00A8138F" w:rsidP="00A8138F">
      <w:pPr>
        <w:pStyle w:val="TextoNormal"/>
      </w:pPr>
    </w:p>
    <w:p w14:paraId="7B75B5D6" w14:textId="77777777" w:rsidR="00A8138F" w:rsidRDefault="00A8138F" w:rsidP="00A8138F">
      <w:pPr>
        <w:pStyle w:val="TextoNormal"/>
      </w:pPr>
      <w:r>
        <w:t>La sentencia de instancia estableció unos presupuestos fácticos en relación con los incidentes desarrollados respecto del demandante en su desempeño laboral que se han mantenido incólumes en la decisión de apelación, no siendo controvertidos por ninguna de las partes personadas, que se han limitado a combatir su justificación. El Tribunal constata, por tanto, que el demandante de amparo desarrolló una actividad alegatoria y probatoria suficientemente precisa en relación con la posible infracción de su derecho fundamental, ya que aportó indicios razonables y suficientes de la existencia de una situación de conflictividad laboral de relevante entidad, compatible con la conducta de acoso laboral de la que se quejaba.</w:t>
      </w:r>
    </w:p>
    <w:p w14:paraId="08B5A72F" w14:textId="77777777" w:rsidR="00A8138F" w:rsidRDefault="00A8138F" w:rsidP="00A8138F">
      <w:pPr>
        <w:pStyle w:val="TextoNormal"/>
      </w:pPr>
    </w:p>
    <w:p w14:paraId="0442D203" w14:textId="77777777" w:rsidR="00A8138F" w:rsidRDefault="00A8138F" w:rsidP="00A8138F">
      <w:pPr>
        <w:pStyle w:val="TextoNormal"/>
      </w:pPr>
      <w:r>
        <w:t>El actor logró acreditar, como así consta en el fundamento de Derecho 5 de la sentencia de instancia, que desde que comenzó a trabajar en la Jefatura de la Policía Local del Ayuntamiento de Torrevieja en el mes de julio de 2010 advirtió que se estaban produciendo sistemáticamente irregularidades administrativas, consistentes en falta de control del dinero en efectivo recaudado de las multas e inspecciones selectivas a los locales de ocio, lo que puso en conocimiento de su superior jerárquico, el jefe de la Policía Local, quien, sin interesarse o investigarlo, le conminó a denunciarlo ante el juzgado, lo que hizo en el mes de abril de 2013, junto con otros dos compañeros, resultando imputados un inspector del cuerpo y dos agentes del Departamento de Gestión. A partir de ese momento y hasta septiembre de 2016, en que se le concede el traslado a otro municipio, sufre, al menos, las siguientes conductas de hostigamiento: (i) Modificación de la jornada laboral sin notificación previa de los cambios; (ii) filtración a los agentes interinos del Ayuntamiento de Torrevieja del escrito remitido al alcalde avisando del mantenimiento irregular de la situación de dichos interinos; (iii) publicación de un panfleto por el jefe de Gestión en que se le tilda de “cefalópodo, animal viscoso y asqueroso... pensando a quién va a denunciar cada día”; (iv) imposición de turnos sin respetar sus periodos de descanso y omisión de contestación a sus solicitudes de certificado de su horario laboral; (v) remisión de un escrito por el jefe de la Policía Local a la Jefatura Provincial de Tráfico de Alicante, informando de que era posible que hubiera podido perder las facultades para la conducción de vehículos, dando lugar a la apertura de un procedimiento por parte de esa jefatura de “pérdida de vigencia del permiso de conducir”, que, una vez pasada la revisión médica y obtenido un dictamen favorable, le permitió mantener todos los permisos de conducción; (vi) retirada del arma reglamentaria de su armero sin previo aviso; (vii) publicación en un tablón de anuncios, al acceso de todo el personal, de un escrito de un inspector desvelando datos pertenecientes al ámbito privado del demandante, además de insultarlo y acusarle de mentir ante la Justicia; (viii) desaparición de documentos de su casillero personal; (ix) omisión de contestación a su petición de traslado en comisión de servicio, a pesar de haberlo aconsejado un médico especialista en salud mental; (x) denegaciones de vacaciones y días de asuntos propios; (xi) denegación de una solicitud de permuta, que solo es concedida cuando así se dictamina en un informe del Consejo Jurídico Consultivo de la Comunidad Valenciana; (xii) denegación de la paga extraordinaria y otros emolumentos; y (xiii) denegación de las ayudas escolares.</w:t>
      </w:r>
    </w:p>
    <w:p w14:paraId="3DCC1F53" w14:textId="77777777" w:rsidR="00A8138F" w:rsidRDefault="00A8138F" w:rsidP="00A8138F">
      <w:pPr>
        <w:pStyle w:val="TextoNormal"/>
      </w:pPr>
    </w:p>
    <w:p w14:paraId="183B4258" w14:textId="77777777" w:rsidR="00A8138F" w:rsidRDefault="00A8138F" w:rsidP="00A8138F">
      <w:pPr>
        <w:pStyle w:val="TextoNormal"/>
      </w:pPr>
      <w:r>
        <w:lastRenderedPageBreak/>
        <w:t>El Tribunal considera que todas estas circunstancias, acreditadas judicialmente, constituyen un panorama claramente indiciario de la presunta infracción constitucional, al poner de manifiesto una razonable sospecha de que el trato recibido por el demandante supone una práctica de acoso laboral que perjudicó significativamente su integridad física y moral, por cuanto que de forma repetida y deliberada se le humilló con el propósito y efecto de violar su dignidad, creando para ello un ambiente hostil y de violencia psicológica que no solo le condujo a reclamar continuamente el cambio de lugar de trabajo, sino que se vio agravado con las reiteradas negativas del ayuntamiento a concedérselo hasta el punto de incidir significativamente en su estado de salud física y mental. También destaca la sentencia de instancia, al valorar la prueba testifical del jefe de la policía local y de uno de sus inspectores, la circunstancia de que “ya fueron considerados como inductores de acoso laboral en los procedimientos P.A. 410-2015 y P.A. 224-2016, sentencias dictadas por este mismo juzgado en fechas 25 de octubre de 2016 y 18 de septiembre de 2017 en las que el Ayuntamiento de Torrevieja tuvo que indemnizar a los recurrentes con 48 500 € y 23 450 € respectivamente” (fundamento de Derecho 5).</w:t>
      </w:r>
    </w:p>
    <w:p w14:paraId="508663EE" w14:textId="77777777" w:rsidR="00A8138F" w:rsidRDefault="00A8138F" w:rsidP="00A8138F">
      <w:pPr>
        <w:pStyle w:val="TextoNormal"/>
      </w:pPr>
    </w:p>
    <w:p w14:paraId="0164EA53" w14:textId="77777777" w:rsidR="00A8138F" w:rsidRDefault="00A8138F" w:rsidP="00A8138F">
      <w:pPr>
        <w:pStyle w:val="TextoNormal"/>
      </w:pPr>
      <w:r>
        <w:t>El Tribunal constata y, desea hacer una especial incidencia en ello, en que dentro de este panorama indiciario (i) el ayuntamiento demandado, no solo se mantuvo conscientemente ajeno a las conductas hostiles hacia el demandante de amparo, colocándose en una reiterada posición pasiva durante años, incumpliendo con ello su obligación positiva de tutelar la dignidad e integridad de sus empleados y de dar trámite, sin demora y con la exigida confidencialidad, a las denuncias de acoso laboral, a pesar de conocer el desarrollo de otros procedimientos sobre conductas de acoso dentro de la policía local, sino que protagonizó, activamente, de manera institucional y dentro de su ámbito de competencias, alguna de las actuaciones de hostigamiento que aparecen judicialmente acreditadas; y (ii) los actos de hostigamiento son consecuentes temporalmente a la denuncia penal cursada contra algunos de sus compañeros de trabajo por determinadas irregularidades en el funcionamiento de la Jefatura de la Policía Local del Ayuntamiento de Torrevieja en la que trabajaba, que desembocaron en un proceso penal en el que fueron imputados y que, incluso, dieron lugar a la condena de uno de ellos en primera instancia, cuya firmeza no consta, por sentencia 313/2022, de 26 de diciembre, de la Sección Undécima de la Audiencia Provincial de Alicante como autor criminalmente responsable de un delito de infidelidad en la custodia de documentos.</w:t>
      </w:r>
    </w:p>
    <w:p w14:paraId="5A6E4614" w14:textId="77777777" w:rsidR="00A8138F" w:rsidRDefault="00A8138F" w:rsidP="00A8138F">
      <w:pPr>
        <w:pStyle w:val="TextoNormal"/>
      </w:pPr>
    </w:p>
    <w:p w14:paraId="4ABFC276" w14:textId="77777777" w:rsidR="00A8138F" w:rsidRDefault="00A8138F" w:rsidP="00A8138F">
      <w:pPr>
        <w:pStyle w:val="TextoNormal"/>
      </w:pPr>
      <w:r>
        <w:t>Por tanto, el Tribunal concluye, en coincidencia con la valoración de la sentencia de instancia y el informe del Ministerio Fiscal en este proceso constitucional, que el demandante de amparo cumplió debidamente en la vía judicial con la carga procesal que le competía de establecer con claridad y concreción los elementos que pudieran abonar la presencia de una actuación sistemática e intencionada en aras al menoscabo de su dignidad profesional, determinando con ello que procedía el desplazamiento de la carga probatoria.</w:t>
      </w:r>
    </w:p>
    <w:p w14:paraId="7EC58516" w14:textId="77777777" w:rsidR="00A8138F" w:rsidRDefault="00A8138F" w:rsidP="00A8138F">
      <w:pPr>
        <w:pStyle w:val="TextoNormal"/>
      </w:pPr>
    </w:p>
    <w:p w14:paraId="70F90B38" w14:textId="77777777" w:rsidR="00A8138F" w:rsidRDefault="00A8138F" w:rsidP="00A8138F">
      <w:pPr>
        <w:pStyle w:val="TextoNormal"/>
      </w:pPr>
      <w:r>
        <w:t xml:space="preserve">B) </w:t>
      </w:r>
      <w:r w:rsidRPr="00A8138F">
        <w:rPr>
          <w:i/>
        </w:rPr>
        <w:t>El desplazamiento de la carga probatoria</w:t>
      </w:r>
    </w:p>
    <w:p w14:paraId="6187E4B6" w14:textId="77777777" w:rsidR="00A8138F" w:rsidRDefault="00A8138F" w:rsidP="00A8138F">
      <w:pPr>
        <w:pStyle w:val="TextoNormal"/>
      </w:pPr>
    </w:p>
    <w:p w14:paraId="41C8DCEF" w14:textId="77777777" w:rsidR="00A8138F" w:rsidRDefault="00A8138F" w:rsidP="00A8138F">
      <w:pPr>
        <w:pStyle w:val="TextoNormal"/>
      </w:pPr>
      <w:r>
        <w:t xml:space="preserve">El Tribunal debe analizar, una vez cumplida la carga probatoria del demandante, si, en atención al desplazamiento de la carga probatoria que ello implica, se ha dado debido cumplimiento por el ayuntamiento demandado a la carga que le incumbía de desvirtuar tales indicios, acreditando a tal fin que su actuación se presentaba ajena a cualquier intención </w:t>
      </w:r>
      <w:r>
        <w:lastRenderedPageBreak/>
        <w:t>vejatoria o de hostigamiento contrario a la efectividad de los derechos fundamentales invocados.</w:t>
      </w:r>
    </w:p>
    <w:p w14:paraId="4B085FBB" w14:textId="77777777" w:rsidR="00A8138F" w:rsidRDefault="00A8138F" w:rsidP="00A8138F">
      <w:pPr>
        <w:pStyle w:val="TextoNormal"/>
      </w:pPr>
    </w:p>
    <w:p w14:paraId="3A1B44C2" w14:textId="77777777" w:rsidR="00A8138F" w:rsidRDefault="00A8138F" w:rsidP="00A8138F">
      <w:pPr>
        <w:pStyle w:val="TextoNormal"/>
      </w:pPr>
      <w:r>
        <w:t>El Tribunal constata que, frente a la actividad probatoria desarrollada por el demandante, la sentencia del juzgado de instancia incidió en que el ayuntamiento demandado no había aportado pruebas suficientes para enervar la convicción de que se había producido un acoso laboral al demandante. La sentencia argumenta que la prueba documental aportada tenía la finalidad de revestir de legalidad alguna de las actuaciones, pero destacando que lo controvertido era si las decisiones o normas en las que se sustentaban, se aplicaban a todos los funcionarios por igual o solo al demandante, concluyendo que se había constatado que había sufrido un trato diferenciado. También destaca que el ayuntamiento no había propuesto la práctica de prueba testifical alguna, a pesar de la cantidad de enemigos que según dice tenía el demandante dentro de la plantilla, ni había aportado informe pericial para contradecir los aportados por el demandante o la documentación médica de la sanidad pública también aportada. El Tribunal también constata que el ayuntamiento demandado no controvirtió en la vía judicial los hechos declarados en la instancia, ni la condena por acoso laboral que se le impuso, ya que no interpuso recurso de apelación, que solo fue formulado por dos de los funcionarios codemandados.</w:t>
      </w:r>
    </w:p>
    <w:p w14:paraId="30A181F5" w14:textId="77777777" w:rsidR="00A8138F" w:rsidRDefault="00A8138F" w:rsidP="00A8138F">
      <w:pPr>
        <w:pStyle w:val="TextoNormal"/>
      </w:pPr>
    </w:p>
    <w:p w14:paraId="3BABCE22" w14:textId="77777777" w:rsidR="00A8138F" w:rsidRDefault="00A8138F" w:rsidP="00A8138F">
      <w:pPr>
        <w:pStyle w:val="TextoNormal"/>
      </w:pPr>
      <w:r>
        <w:t>Por su parte, el Tribunal también advierte que la sentencia de apelación estimó el recurso, anulando la sentencia de instancia, al considerar que, si bien la prueba testifical practicada en la instancia “de existir como única prueba en el proceso, la valoración del juzgado sería adecuada”, sin embargo, tras analizar la prueba documental, la sentencia afirma que “hemos comprobado que lejos de ratificar la impresión del juzgado respecto al acoso laboral lo contradice, ninguna de las pruebas documentales favorece la interpretación que se hace en la sentencia apelada” (fundamento de Derecho 14). A esos efectos, la sentencia de apelación había realizado un extenso análisis de la prueba documental respecto de cada uno de los eventos sufridos por el demandante en los fundamentos de Derecho 6 a 13 en los que, en los términos expuestos más ampliamente en los antecedentes, se consideraba justificado cada uno de ellos. El Tribunal considera necesario poner de relieve que, frente a la circunstancias de precedentes judiciales de condenas al ayuntamiento por acoso laboral en la policía local, la respuesta de la sentencia de apelación fue que no podía tomarse como prueba de acoso laboral el hecho de que los codemandados apelantes fueran considerados como inductores de acoso laboral en otros dos procedimientos que concluyeron con dos sentencias condenatorias al Ayuntamiento de Torrevieja, que tuvo que indemnizar a los actores con 48 000,00 € y 23 450,00 €, porque en esos procesos no fueron emplazados los apelantes, ni condenados (fundamento de Derecho 6). E, igualmente, que la circunstancia de que el demandante hubiera presentado una denuncia penal contra algunos de sus compañeros por supuestas irregularidades en su desempeño laboral fue abordada en la sentencia de apelación poniendo de relieve que, si bien la solicitud de sobreseimiento del procedimiento al que había dado lugar había sido denegado, “[e]n este momento, no podemos hacer ningún pronunciamiento sobre hechos referidos a unas actuaciones penales que siguen vivas —al menos a la Sala no consta su archivo—; no obstante, la denuncia por ‘quitar una multa’ no es relevante para este proceso, según el Sr. Rico fue el detonante del acoso laboral, acoso que de estar probado sería independiente del posible resultado de ese proceso penal” (fundamento de Derecho 12).</w:t>
      </w:r>
    </w:p>
    <w:p w14:paraId="7B076DEC" w14:textId="77777777" w:rsidR="00A8138F" w:rsidRDefault="00A8138F" w:rsidP="00A8138F">
      <w:pPr>
        <w:pStyle w:val="TextoNormal"/>
      </w:pPr>
    </w:p>
    <w:p w14:paraId="0BBF140A" w14:textId="77777777" w:rsidR="00A8138F" w:rsidRDefault="00A8138F" w:rsidP="00A8138F">
      <w:pPr>
        <w:pStyle w:val="TextoNormal"/>
      </w:pPr>
      <w:r>
        <w:lastRenderedPageBreak/>
        <w:t>El Tribunal, partiendo de los antecedentes expuestos, debe concluir que, en aplicación de la jurisprudencia constitucional en la materia, no se ha dado debido cumplimiento, a partir del desplazamiento de la carga probatoria, a la carga de acreditar que el panorama indiciario de la lesión constitucional denunciada quedaba desvirtuado respecto a que las conductas desarrolladas eran ajenas a cualquier intención vejatoria y de hostigamiento contrario a la efectividad de los derechos fundamentales invocados. En relación con ello, el Tribunal confirma que se ha producido la lesión del derecho fundamental del recurrente a la integridad física y moral (art. 15 CE) y, en conexión con él, del derecho a la tutela judicial efectiva (art. 24.1 CE), en su dimensión de la garantía de indemnidad, que resulta imputable, desde la perspectiva del art. 44 LOTC, a la sentencia de apelación por el incumplimiento de su deber de control judicial de estos derechos a partir de una correcta aplicación de la jurisprudencia constitucional sobre el desplazamiento de la carga probatoria en su protección; y, consecuente con lo anterior, desde la perspectiva del art. 43 LOTC, al Ayuntamiento de Torrevieja, tanto por la conducta activa desarrollada institucionalmente sobre el demandante en el ejercicio de sus competencias, como por la conducta omisiva de incumplir la obligación positiva de prevenir, investigar y sancionar las desarrolladas por sus empleados públicos contra el demandante de amparo. Las razones en las que el Tribunal sustenta esta conclusión son las siguientes:</w:t>
      </w:r>
    </w:p>
    <w:p w14:paraId="436DA9A2" w14:textId="77777777" w:rsidR="00A8138F" w:rsidRDefault="00A8138F" w:rsidP="00A8138F">
      <w:pPr>
        <w:pStyle w:val="TextoNormal"/>
      </w:pPr>
    </w:p>
    <w:p w14:paraId="40D0D428" w14:textId="77777777" w:rsidR="00A8138F" w:rsidRDefault="00A8138F" w:rsidP="00A8138F">
      <w:pPr>
        <w:pStyle w:val="TextoNormal"/>
      </w:pPr>
      <w:r>
        <w:t>a) El Tribunal asume que no es controvertido en la vía judicial ni en esta jurisdicción de amparo, como presupuestos fácticos relevantes en el análisis de los derechos invocados: (i) la existencia de una denuncia penal del recurrente respecto de determinadas irregularidades que consideraba cometidas por algunos de los mandos de la policía local en el desempeño de sus funciones, que habían sido previamente puestas en conocimiento del jefe del cuerpo, sin que hubieran generado ninguna actuación al respecto; (ii) el desarrollo, coincidente con esa decisión, de una serie de actuaciones, sostenidas y reiteradas en el tiempo, de hostigamiento hacia su persona e intereses laborales y personales, bien protagonizadas por sus compañeros o superiores, entre otros a los que había denunciado, bien por la propia administración local en el ejercicio de sus competencias; (iii) la relevante incidencia que esas actuaciones tuvieron en la salud física y mental del demandante de amparo; y (iv) el conocimiento efectivo que tenía el ayuntamiento de la reiteración de situaciones de acoso que venían produciéndose en la policía local del municipio, que incluso estaban judicializadas.</w:t>
      </w:r>
    </w:p>
    <w:p w14:paraId="78056B1F" w14:textId="77777777" w:rsidR="00A8138F" w:rsidRDefault="00A8138F" w:rsidP="00A8138F">
      <w:pPr>
        <w:pStyle w:val="TextoNormal"/>
      </w:pPr>
    </w:p>
    <w:p w14:paraId="69236AFE" w14:textId="77777777" w:rsidR="00A8138F" w:rsidRDefault="00A8138F" w:rsidP="00A8138F">
      <w:pPr>
        <w:pStyle w:val="TextoNormal"/>
      </w:pPr>
      <w:r>
        <w:t>b) El Tribunal reitera que, ante el panorama indiciario que suponen esos presupuestos fácticos, la jurisprudencia constitucional establecida en la materia determina que sea el ayuntamiento demandado quien deba neutralizar dicho panorama indiciario; a cuyos efectos no basta con acreditar que la actuación cuestionada pueda encontrar respaldo en la ley, ya que las infracciones constitucionales pueden estar encubiertas bajo una aparente legalidad, sino que es necesario, en todo caso, desvelar las razones verdaderas de los actos controvertidos.</w:t>
      </w:r>
    </w:p>
    <w:p w14:paraId="56A3C071" w14:textId="77777777" w:rsidR="00A8138F" w:rsidRDefault="00A8138F" w:rsidP="00A8138F">
      <w:pPr>
        <w:pStyle w:val="TextoNormal"/>
      </w:pPr>
    </w:p>
    <w:p w14:paraId="605D542D" w14:textId="77777777" w:rsidR="00A8138F" w:rsidRDefault="00A8138F" w:rsidP="00A8138F">
      <w:pPr>
        <w:pStyle w:val="TextoNormal"/>
      </w:pPr>
      <w:r>
        <w:t xml:space="preserve">En esos estrictos términos, el Tribunal no puede dejar de valorar que la sentencia de instancia siguió el parámetro constitucional de aplicación al caso para concluir que no se habían aportado elementos probatorios para acreditar que las actuaciones no se habían desarrollado para menoscabar de manera sistemática e intencionada la dignidad personal y profesional del demandante. Por el contrario, la sentencia de apelación, sin hacer mención alguna a la perspectiva de análisis constitucional exigida por el caso ante la invocación del derecho a la integridad física y moral (art. 15 CE), se limitó a valorar la aparente cobertura </w:t>
      </w:r>
      <w:r>
        <w:lastRenderedPageBreak/>
        <w:t>legal individualizada de cada una de las actuaciones controvertidas de manera independiente e inconexa y sin ponderar tampoco las eventuales causas que podían estar causalmente conectadas con la persistencia de esas conductas hostiles hacia los intereses personales y profesionales del demandante.</w:t>
      </w:r>
    </w:p>
    <w:p w14:paraId="1ADE57A2" w14:textId="77777777" w:rsidR="00A8138F" w:rsidRDefault="00A8138F" w:rsidP="00A8138F">
      <w:pPr>
        <w:pStyle w:val="TextoNormal"/>
      </w:pPr>
    </w:p>
    <w:p w14:paraId="2AEABC82" w14:textId="77777777" w:rsidR="00A8138F" w:rsidRDefault="00A8138F" w:rsidP="00A8138F">
      <w:pPr>
        <w:pStyle w:val="TextoNormal"/>
      </w:pPr>
      <w:r>
        <w:t>c) El Tribunal también toma en consideración que la sentencia de apelación, habiendo hecho expreso que podría compartir la conclusión de la sentencia de instancia sobre la existencia de la vulneración alegada en atención a la valoración de la prueba personal practicada —testifical y pericial—, afirmó que había sido la prueba documental desarrollada la que había determinado la conclusión de que cada uno de los diversos eventos que se habían desarrollado tenían una justificación en términos de legalidad ordinaria.</w:t>
      </w:r>
    </w:p>
    <w:p w14:paraId="05BF5844" w14:textId="77777777" w:rsidR="00A8138F" w:rsidRDefault="00A8138F" w:rsidP="00A8138F">
      <w:pPr>
        <w:pStyle w:val="TextoNormal"/>
      </w:pPr>
    </w:p>
    <w:p w14:paraId="14D6E502" w14:textId="77777777" w:rsidR="00A8138F" w:rsidRDefault="00A8138F" w:rsidP="00A8138F">
      <w:pPr>
        <w:pStyle w:val="TextoNormal"/>
      </w:pPr>
      <w:r>
        <w:t>A esos efectos, sin perjuicio de reiterar que la jurisprudencia constitucional desautoriza en estos casos una ponderación probatoria en términos de acreditar una mera apariencia de legalidad, no es irrelevante, en los términos también informados por el Ministerio Fiscal en este proceso de amparo, que la valoración probatoria del órgano judicial de apelación, que debía residenciarse en desvelar las razones subyacentes de los actos controvertidos, se hubiera realizado respecto de ese particular a espaldas de una valoración conjunta de toda la prueba practicada en la vista oral y, especialmente, de la prueba personal desarrollada conforme a la garantía de inmediación, a pesar de su transcendencia para evaluar la concurrencia de elementos subjetivos como son el intencional y el vejatorio.</w:t>
      </w:r>
    </w:p>
    <w:p w14:paraId="3B64ABE4" w14:textId="77777777" w:rsidR="00A8138F" w:rsidRDefault="00A8138F" w:rsidP="00A8138F">
      <w:pPr>
        <w:pStyle w:val="TextoNormal"/>
      </w:pPr>
    </w:p>
    <w:p w14:paraId="339B83F3" w14:textId="77777777" w:rsidR="00A8138F" w:rsidRDefault="00A8138F" w:rsidP="00A8138F">
      <w:pPr>
        <w:pStyle w:val="TextoNormal"/>
      </w:pPr>
      <w:r>
        <w:t>d) El Tribunal constata que frente a la incidencia que se hizo en la sentencia de instancia a la existencia de condenas previas al ayuntamiento por acoso laboral en el ámbito de la actuación de la policía local, por su carácter altamente indiciario de la concurrencia de los elementos intencional y vejatorio, la sentencia de apelación se limitó a razonar que esa circunstancia no podía tomarse como prueba de acoso laboral porque en esos procesos los codemandados apelantes no habían sido emplazados ni condenados (fundamento de Derecho 6). El Tribunal no considera adecuada, en términos de protección del derecho fundamental invocado, esa argumentación no solo porque el procedimiento desarrollado en la vía judicial lo era respecto de la actuación del ente local, por lo que había una plena coincidencia subjetiva entre aquellos procedimientos y el que trae causa al presente recurso de amparo, sino porque lo único que se pretendía era aportar un elemento indiciario más en relación, también, con el incumplimiento municipal de las obligaciones positivas de protección ante situaciones de acoso laboral.</w:t>
      </w:r>
    </w:p>
    <w:p w14:paraId="5981B1E0" w14:textId="77777777" w:rsidR="00A8138F" w:rsidRDefault="00A8138F" w:rsidP="00A8138F">
      <w:pPr>
        <w:pStyle w:val="TextoNormal"/>
      </w:pPr>
    </w:p>
    <w:p w14:paraId="5FDB8954" w14:textId="77777777" w:rsidR="00A8138F" w:rsidRDefault="00A8138F" w:rsidP="00A8138F">
      <w:pPr>
        <w:pStyle w:val="TextoNormal"/>
      </w:pPr>
      <w:r>
        <w:t>e) El Tribunal, por último, advierte, como un elemento relevante en la determinación de los elementos intención y vejatorio de las conductas desplegadas contra el demandante, la coincidencia de las mismas con la denuncia penal formulada por el demandante contra algunos mandos del cuerpo de la policía local de Torrevieja por supuestas irregularidades y que, en respuesta a esa circunstancia, la sentencia de apelación, a pesar de reconocer la existencia de una instrucción penal en la que aparecían investigados los denunciados, se limitó a afirmar que no era relevante en el proceso, ya que el “acoso […] de estar probado sería independiente del posible resultado de ese proceso penal” (fundamento de Derecho 12).</w:t>
      </w:r>
    </w:p>
    <w:p w14:paraId="4CDCC34B" w14:textId="77777777" w:rsidR="00A8138F" w:rsidRDefault="00A8138F" w:rsidP="00A8138F">
      <w:pPr>
        <w:pStyle w:val="TextoNormal"/>
      </w:pPr>
    </w:p>
    <w:p w14:paraId="4050C0EF" w14:textId="0C5EAB44" w:rsidR="00A8138F" w:rsidRDefault="00A8138F" w:rsidP="00A8138F">
      <w:pPr>
        <w:pStyle w:val="TextoNormal"/>
      </w:pPr>
      <w:r>
        <w:t xml:space="preserve">Ya se ha incidido anteriormente, en que la jurisprudencia constitucional ha subrayado, en relación con la garantía de indemnidad, la irrelevancia del resultado que pudieran haber </w:t>
      </w:r>
      <w:r>
        <w:lastRenderedPageBreak/>
        <w:t>tenido las acciones emprendidas, ya que lo realmente trascendente es si la conducta desarrollada pudo responder, indiciariamente, a la denuncia formulada; y que la jurisprudencia del Tribunal Europeo de Derechos Humanos ha puesto de manifiesto la especial importancia que en los casos de acoso adquiere la circunstancia de que pudieran haber sido provocados como consecuencia de la denuncia de irregularidades penales o administrativas. En este contexto jurisprudencial, el Tribunal no puede aceptar como una argumentación, en línea con la debida protección de los derechos fundamentales invocados, una afirmación tan apodíctica como la realizada en la sentencia de apelación impugnada. Ello implica una insuficiente ponderación de los fines de protección del derecho a la integridad física y moral en la medida en que, ante un determinado panorama indiciario de causalidad entre la existencia de la denuncia y el acoso que se estaba desarrollando, el órgano judicial de apelación no dio debido cumplimiento a su obligación, en tutela del art. 15 CE, de indagar sobre las razones o causas subyacentes a la situación de hostigamiento que estaba sufriendo el demandante. Por tanto, la resolución judicial impugnada, al avalar la conducta del ayuntamiento demandado, no solo no brindó la tutela de la dignidad e integridad, que en términos generales merece cualquier trabajador en su entorno laboral, sino que tampoco dispensó la tutela que específicamente requieren los denunciantes frente a represalias por informar de irregularidades conocidas con ocasión del desempeño de su actividad profesional y que, en este caso, tenían un indudable interés general al afectar a un servicio público tan esencial como el prestado por la policía local.</w:t>
      </w:r>
    </w:p>
    <w:p w14:paraId="06825C63" w14:textId="77777777" w:rsidR="00A8138F" w:rsidRDefault="00A8138F" w:rsidP="00A8138F">
      <w:pPr>
        <w:pStyle w:val="TextoNormal"/>
      </w:pPr>
    </w:p>
    <w:p w14:paraId="2F3B5D72" w14:textId="77777777" w:rsidR="00A8138F" w:rsidRDefault="00A8138F" w:rsidP="00A8138F">
      <w:pPr>
        <w:pStyle w:val="TextoNormal"/>
      </w:pPr>
      <w:r w:rsidRPr="00A8138F">
        <w:rPr>
          <w:rStyle w:val="NumeroAFNegritaCaracter"/>
        </w:rPr>
        <w:t>6</w:t>
      </w:r>
      <w:r>
        <w:t xml:space="preserve">. </w:t>
      </w:r>
      <w:r w:rsidRPr="00A8138F">
        <w:rPr>
          <w:i/>
        </w:rPr>
        <w:t>Conclusión: estimación del recurso de amparo y alcance del fallo</w:t>
      </w:r>
    </w:p>
    <w:p w14:paraId="2FF2471A" w14:textId="77777777" w:rsidR="00A8138F" w:rsidRDefault="00A8138F" w:rsidP="00A8138F">
      <w:pPr>
        <w:pStyle w:val="TextoNormal"/>
      </w:pPr>
    </w:p>
    <w:p w14:paraId="5F0FCF0F" w14:textId="77777777" w:rsidR="00A8138F" w:rsidRDefault="00A8138F" w:rsidP="00A8138F">
      <w:pPr>
        <w:pStyle w:val="TextoNormal"/>
      </w:pPr>
      <w:r>
        <w:t>Lo expuesto en los fundamentos precedentes determina que el Tribunal deba declarar que se ha vulnerado al demandante de amparo su derecho fundamental a la integridad física y moral (art. 15 CE) y, en conexión con él, el derecho a la tutela judicial efectiva (art. 24.1 CE), en su dimensión de la garantía de indemnidad, que resulta imputable, por un lado, al Ayuntamiento de Torrevieja, tanto por la conducta omisiva de incumplir la obligación positiva de prevenir, investigar y sancionar las actuaciones de acoso desarrolladas por sus empleados públicos contra el demandante de amparo, como por la propia conducta activa de hostigamiento desarrollada institucionalmente en el ejercicio de sus competencias contra los intereses del demandante; y, por otro lado, a la sentencia de apelación por el incumplimiento de su deber de control judicial de estos derechos a partir de una correcta aplicación de la jurisprudencia constitucional sobre el desplazamiento de la carga probatoria en su protección.</w:t>
      </w:r>
    </w:p>
    <w:p w14:paraId="6F8BED46" w14:textId="77777777" w:rsidR="00A8138F" w:rsidRDefault="00A8138F" w:rsidP="00A8138F">
      <w:pPr>
        <w:pStyle w:val="TextoNormal"/>
      </w:pPr>
    </w:p>
    <w:p w14:paraId="0B4FE3FB" w14:textId="789CB636" w:rsidR="00A8138F" w:rsidRDefault="00A8138F" w:rsidP="00A8138F">
      <w:pPr>
        <w:pStyle w:val="TextoNormal"/>
      </w:pPr>
      <w:r>
        <w:t>El Tribunal considera que el restablecimiento al demandante de amparo en sus derechos queda satisfecho, en los términos solicitados en su demanda, apoyados también por el Ministerio Fiscal, con la declaración de firmeza de la sentencia 851/18, de 31 de julio, del Juzgado de lo Contencioso-Administrativo núm. 1 de Elche que, estimando el recurso contencioso administrativo interpuesto por el recurrente, reconoció la existencia del acoso laboral y obligó al ayuntamiento demandado a indemnizarle por los daños y perjuicios psicológicos y morales causados. Se anulan, por tanto, la sentencia 14/2021, de 11 de enero, de la Sección Segunda de la Sala de lo Contencioso-Administrativo del Tribunal Superior de Justicia de la Comunidad Valenciana, aclarada por auto de 3 de marzo de 2021, y la providencia de la Sección Primera de la Sala de lo Contencioso-Administrativo del Tribunal Supremo de 30 de marzo de 2022; esta última en la medida en que supuso la firmeza de la anterior.</w:t>
      </w:r>
    </w:p>
    <w:p w14:paraId="431B85DD" w14:textId="77777777" w:rsidR="00A8138F" w:rsidRDefault="00A8138F" w:rsidP="00A8138F">
      <w:pPr>
        <w:pStyle w:val="TextoNormal"/>
      </w:pPr>
    </w:p>
    <w:p w14:paraId="6FE64C0B" w14:textId="77777777" w:rsidR="00A8138F" w:rsidRDefault="00A8138F" w:rsidP="00A8138F">
      <w:pPr>
        <w:pStyle w:val="TextoNormalCentrado"/>
        <w:keepNext/>
      </w:pPr>
      <w:r>
        <w:t>FALLO</w:t>
      </w:r>
    </w:p>
    <w:p w14:paraId="09A64AB5" w14:textId="4B8CB41B" w:rsidR="00A8138F" w:rsidRDefault="00A8138F" w:rsidP="00A8138F">
      <w:pPr>
        <w:pStyle w:val="TextoNormalCentrado"/>
        <w:keepNext/>
      </w:pPr>
    </w:p>
    <w:p w14:paraId="338B1D6A"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Antonio Rico Bellido y, en su virtud:</w:t>
      </w:r>
    </w:p>
    <w:p w14:paraId="092C0C77" w14:textId="77777777" w:rsidR="00A8138F" w:rsidRDefault="00A8138F" w:rsidP="00A8138F">
      <w:pPr>
        <w:pStyle w:val="TextoNormal"/>
      </w:pPr>
    </w:p>
    <w:p w14:paraId="6A7FC030" w14:textId="77777777" w:rsidR="00A8138F" w:rsidRDefault="00A8138F" w:rsidP="00A8138F">
      <w:pPr>
        <w:pStyle w:val="TextoNormal"/>
      </w:pPr>
      <w:r>
        <w:t>1º Declarar que se ha vulnerado el derecho fundamental del recurrente en amparo a la integridad física y moral (art. 15 CE), en relación con el derecho a la tutela judicial efectiva (art. 24.1 CE).</w:t>
      </w:r>
    </w:p>
    <w:p w14:paraId="1F4D9812" w14:textId="77777777" w:rsidR="00A8138F" w:rsidRDefault="00A8138F" w:rsidP="00A8138F">
      <w:pPr>
        <w:pStyle w:val="TextoNormal"/>
      </w:pPr>
    </w:p>
    <w:p w14:paraId="5D7D36EA" w14:textId="77777777" w:rsidR="00A8138F" w:rsidRDefault="00A8138F" w:rsidP="00A8138F">
      <w:pPr>
        <w:pStyle w:val="TextoNormal"/>
      </w:pPr>
      <w:r>
        <w:t>2º Restablecerle en su derecho y, a tal fin, declarar la nulidad de la sentencia de la Sección Segunda de la Sala de lo Contencioso-Administrativo del Tribunal Superior de Justicia de la Comunidad Valenciana núm. 14/2021, de 11 de enero, pronunciada en el recurso de apelación núm. 188-2019, aclarada por auto de 3 de marzo de 2021; y de la providencia de la Sección Primera de la Sala de lo Contencioso-Administrativo del Tribunal Supremo de 30 de marzo de 2022, pronunciada en el recurso de casación núm. 1704-2021.</w:t>
      </w:r>
    </w:p>
    <w:p w14:paraId="3D3EC559" w14:textId="77777777" w:rsidR="00A8138F" w:rsidRDefault="00A8138F" w:rsidP="00A8138F">
      <w:pPr>
        <w:pStyle w:val="TextoNormal"/>
      </w:pPr>
    </w:p>
    <w:p w14:paraId="6B62D8AE" w14:textId="4175EF61" w:rsidR="00A8138F" w:rsidRDefault="00A8138F" w:rsidP="00A8138F">
      <w:pPr>
        <w:pStyle w:val="TextoNormal"/>
      </w:pPr>
      <w:r>
        <w:t>3º Declarar la firmeza de la sentencia del Juzgado de lo Contencioso-Administrativo núm. 1 de Elche núm. 851/2018, de 31 de julio, pronunciada en el procedimiento abreviado núm. 351-2016.</w:t>
      </w:r>
    </w:p>
    <w:p w14:paraId="4AC0C5F5" w14:textId="77777777" w:rsidR="00A8138F" w:rsidRDefault="00A8138F" w:rsidP="00A8138F">
      <w:pPr>
        <w:pStyle w:val="TextoNormal"/>
      </w:pPr>
    </w:p>
    <w:p w14:paraId="08AB302D" w14:textId="77777777" w:rsidR="00A8138F" w:rsidRDefault="00A8138F" w:rsidP="00A8138F">
      <w:pPr>
        <w:pStyle w:val="TextoNormal"/>
      </w:pPr>
      <w:r>
        <w:t>Publíquese esta sentencia en el “Boletín Oficial del Estado”.</w:t>
      </w:r>
    </w:p>
    <w:p w14:paraId="57AF8CBC" w14:textId="77777777" w:rsidR="00A8138F" w:rsidRDefault="00A8138F" w:rsidP="00A8138F">
      <w:pPr>
        <w:pStyle w:val="TextoNormal"/>
      </w:pPr>
      <w:r>
        <w:t>Dada en Madrid, a diez de febrero de dos mil veinticinco.</w:t>
      </w:r>
    </w:p>
    <w:p w14:paraId="76956FD1" w14:textId="5DEF91F2" w:rsidR="00A8138F" w:rsidRDefault="00A8138F">
      <w:pPr>
        <w:spacing w:after="160" w:line="278" w:lineRule="auto"/>
        <w:rPr>
          <w:rFonts w:ascii="Times New Roman" w:eastAsia="Times New Roman" w:hAnsi="Times New Roman" w:cs="Times New Roman"/>
          <w:sz w:val="24"/>
          <w:szCs w:val="24"/>
          <w:lang w:eastAsia="es-ES"/>
        </w:rPr>
      </w:pPr>
      <w:r>
        <w:br w:type="page"/>
      </w:r>
    </w:p>
    <w:p w14:paraId="2D06733B" w14:textId="77777777" w:rsidR="00A8138F" w:rsidRDefault="00A8138F" w:rsidP="00A8138F">
      <w:pPr>
        <w:pStyle w:val="TtuloResolucin"/>
      </w:pPr>
      <w:bookmarkStart w:id="31" w:name="SENTENCIA_2025_29"/>
      <w:r>
        <w:lastRenderedPageBreak/>
        <w:t>SENTENCIA 29/2025, de 10 de febrero de 2025</w:t>
      </w:r>
    </w:p>
    <w:bookmarkEnd w:id="31"/>
    <w:p w14:paraId="47789BD3" w14:textId="77777777" w:rsidR="00A8138F" w:rsidRDefault="00A8138F" w:rsidP="00A8138F">
      <w:pPr>
        <w:pStyle w:val="TtuloResolucin"/>
      </w:pPr>
      <w:r>
        <w:t>Sala Segunda</w:t>
      </w:r>
    </w:p>
    <w:p w14:paraId="6B075ECF" w14:textId="77777777" w:rsidR="00A8138F" w:rsidRDefault="00A8138F" w:rsidP="00A8138F">
      <w:pPr>
        <w:pStyle w:val="TtuloBOE"/>
      </w:pPr>
      <w:r>
        <w:t>(BOE núm. 69, de 21 de marzo de 2025)</w:t>
      </w:r>
    </w:p>
    <w:p w14:paraId="64C2ABF5" w14:textId="77777777" w:rsidR="00A8138F" w:rsidRDefault="00A8138F" w:rsidP="00A8138F">
      <w:pPr>
        <w:pStyle w:val="TextoNormalCentrado"/>
      </w:pPr>
      <w:r>
        <w:t>ECLI:ES:TC:2025:29</w:t>
      </w:r>
    </w:p>
    <w:p w14:paraId="1D7166E4" w14:textId="2285094E" w:rsidR="00A8138F" w:rsidRDefault="00A8138F" w:rsidP="00A8138F">
      <w:pPr>
        <w:pStyle w:val="TextoNormalCentrado"/>
      </w:pPr>
    </w:p>
    <w:p w14:paraId="3892953D" w14:textId="77777777" w:rsidR="00A8138F" w:rsidRDefault="00A8138F" w:rsidP="00A8138F">
      <w:pPr>
        <w:pStyle w:val="SntesisDescriptiva"/>
      </w:pPr>
      <w:r>
        <w:t>Recurso de amparo 3182-2023. Promovido por doña Noelia Velarte Lahoz en relación con las resoluciones administrativas y judiciales que desestimaron su petición de revisión y ampliación de la prestación por nacimiento y cuidado de hijo menor, como madre biológica de familia monoparental.</w:t>
      </w:r>
    </w:p>
    <w:p w14:paraId="4D8F2602" w14:textId="51760B0B" w:rsidR="00A8138F" w:rsidRDefault="00A8138F" w:rsidP="00A8138F">
      <w:pPr>
        <w:pStyle w:val="SntesisDescriptiva"/>
      </w:pPr>
    </w:p>
    <w:p w14:paraId="0F6796F9"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49180BD" w14:textId="6799B953" w:rsidR="00A8138F" w:rsidRDefault="00A8138F" w:rsidP="00A8138F">
      <w:pPr>
        <w:pStyle w:val="SntesisAnaltica"/>
      </w:pPr>
    </w:p>
    <w:p w14:paraId="4FB86425" w14:textId="6FE6B036"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0E3621B7" w14:textId="77777777" w:rsidR="00A8138F" w:rsidRDefault="00A8138F" w:rsidP="00A8138F">
      <w:pPr>
        <w:pStyle w:val="Extracto"/>
      </w:pPr>
    </w:p>
    <w:p w14:paraId="297E368C" w14:textId="77777777" w:rsidR="00A8138F" w:rsidRDefault="00A8138F" w:rsidP="00A8138F">
      <w:pPr>
        <w:pStyle w:val="Extracto"/>
      </w:pPr>
    </w:p>
    <w:p w14:paraId="467060C9"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5DD85DA" w14:textId="18F33CCE" w:rsidR="00A8138F" w:rsidRDefault="00A8138F" w:rsidP="00A8138F">
      <w:pPr>
        <w:pStyle w:val="TextoNormal"/>
      </w:pPr>
    </w:p>
    <w:p w14:paraId="76AA0327" w14:textId="77777777" w:rsidR="00A8138F" w:rsidRDefault="00A8138F" w:rsidP="00A8138F">
      <w:pPr>
        <w:pStyle w:val="TextoNormalCentrado"/>
        <w:keepNext/>
      </w:pPr>
      <w:r>
        <w:t>EN NOMBRE DEL REY</w:t>
      </w:r>
    </w:p>
    <w:p w14:paraId="24BF4130" w14:textId="5834A4FB" w:rsidR="00A8138F" w:rsidRDefault="00A8138F" w:rsidP="00A8138F">
      <w:pPr>
        <w:pStyle w:val="TextoNormalCentrado"/>
        <w:keepNext/>
      </w:pPr>
    </w:p>
    <w:p w14:paraId="28133424" w14:textId="77777777" w:rsidR="00A8138F" w:rsidRDefault="00A8138F" w:rsidP="00A8138F">
      <w:pPr>
        <w:pStyle w:val="TextoNormalCentrado"/>
        <w:keepNext/>
      </w:pPr>
    </w:p>
    <w:p w14:paraId="5CBF858F" w14:textId="77777777" w:rsidR="00A8138F" w:rsidRDefault="00A8138F" w:rsidP="00A8138F">
      <w:pPr>
        <w:pStyle w:val="TextoNormal"/>
      </w:pPr>
      <w:r>
        <w:t>la siguiente</w:t>
      </w:r>
    </w:p>
    <w:p w14:paraId="7BEB532F" w14:textId="0DE31C40" w:rsidR="00A8138F" w:rsidRDefault="00A8138F" w:rsidP="00A8138F">
      <w:pPr>
        <w:pStyle w:val="TextoNormal"/>
      </w:pPr>
    </w:p>
    <w:p w14:paraId="63AB5EFE" w14:textId="77777777" w:rsidR="00A8138F" w:rsidRDefault="00A8138F" w:rsidP="00A8138F">
      <w:pPr>
        <w:pStyle w:val="TextoNormalCentrado"/>
        <w:keepNext/>
      </w:pPr>
      <w:r>
        <w:t>SENTENCIA</w:t>
      </w:r>
    </w:p>
    <w:p w14:paraId="260FA59D" w14:textId="415136AD" w:rsidR="00A8138F" w:rsidRDefault="00A8138F" w:rsidP="00A8138F">
      <w:pPr>
        <w:pStyle w:val="TextoNormalCentrado"/>
        <w:keepNext/>
      </w:pPr>
    </w:p>
    <w:p w14:paraId="40F81892" w14:textId="77777777" w:rsidR="00A8138F" w:rsidRDefault="00A8138F" w:rsidP="00A8138F">
      <w:pPr>
        <w:pStyle w:val="TextoNormal"/>
      </w:pPr>
      <w:r>
        <w:t>En el recurso de amparo núm. 3182-2023, promovido por doña Noelia Velarte Lahoz, representada por la procuradora de los tribunales doña Beatriz Martínez Martínez y bajo la dirección del letrado don Juan José Carrascón Concellón, contra la sentencia 223/2023, de 20 de marzo, dictada por la Sala de lo Social del Tribunal Superior de Justicia de Aragón, por la que se estima el recurso de suplicación núm. 17-2023, interpuesto por el Instituto Nacional de la Seguridad Social contra la sentencia núm. 280/2022, de 22 de noviembre, del Juzgado de lo Social núm. 3 de Zaragoza, en autos de la Seguridad Social en materia prestacional núm. 632-2022. Ha intervenido el Ministerio Fiscal. Ha sido ponente el magistrado don César Tolosa Tribiño.</w:t>
      </w:r>
    </w:p>
    <w:p w14:paraId="6B046257" w14:textId="18B3B374" w:rsidR="00A8138F" w:rsidRDefault="00A8138F" w:rsidP="00A8138F">
      <w:pPr>
        <w:pStyle w:val="TextoNormal"/>
      </w:pPr>
    </w:p>
    <w:p w14:paraId="6B03AB55" w14:textId="77777777" w:rsidR="00A8138F" w:rsidRDefault="00A8138F" w:rsidP="00A8138F">
      <w:pPr>
        <w:pStyle w:val="TextoNormalNegritaCentrado"/>
        <w:keepNext/>
      </w:pPr>
      <w:r>
        <w:lastRenderedPageBreak/>
        <w:t>I. Antecedentes</w:t>
      </w:r>
    </w:p>
    <w:p w14:paraId="4B39CFC4" w14:textId="03E45E56" w:rsidR="00A8138F" w:rsidRDefault="00A8138F" w:rsidP="00A8138F">
      <w:pPr>
        <w:pStyle w:val="TextoNormalNegritaCentrado"/>
        <w:keepNext/>
      </w:pPr>
    </w:p>
    <w:p w14:paraId="0D190F18" w14:textId="1564C976" w:rsidR="00A8138F" w:rsidRDefault="00A8138F" w:rsidP="00A8138F">
      <w:pPr>
        <w:pStyle w:val="TextoNormal"/>
      </w:pPr>
      <w:r w:rsidRPr="00A8138F">
        <w:rPr>
          <w:rStyle w:val="NumeroAFNegritaCaracter"/>
        </w:rPr>
        <w:t>1</w:t>
      </w:r>
      <w:r>
        <w:t>. El 12 de mayo de 2023, doña Noelia Velarte Lahoz, con la representación y defensa indicadas, interpuso recurso de amparo contra las resoluciones judiciales mencionadas en el encabezamiento de esta sentencia.</w:t>
      </w:r>
    </w:p>
    <w:p w14:paraId="27134028" w14:textId="77777777" w:rsidR="00A8138F" w:rsidRDefault="00A8138F" w:rsidP="00A8138F">
      <w:pPr>
        <w:pStyle w:val="TextoNormal"/>
      </w:pPr>
    </w:p>
    <w:p w14:paraId="2917294A"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73D22D2B" w14:textId="77777777" w:rsidR="00A8138F" w:rsidRDefault="00A8138F" w:rsidP="00A8138F">
      <w:pPr>
        <w:pStyle w:val="TextoNormal"/>
      </w:pPr>
    </w:p>
    <w:p w14:paraId="59E67A1A" w14:textId="77777777" w:rsidR="00A8138F" w:rsidRDefault="00A8138F" w:rsidP="00A8138F">
      <w:pPr>
        <w:pStyle w:val="TextoNormal"/>
      </w:pPr>
      <w:r>
        <w:t>a) La demandante de amparo, que en virtud de contrato a tiempo parcial presta servicios por cuenta ajena para el Ayuntamiento de Guadalaviar, Teruel, desde el 26 de mayo de 2021, con motivo del nacimiento de sus dos hijos el 7 de junio de 2021, solicitó prestación por nacimiento y cuidado del menor que le fue reconocida por resolución con efectos de 7 de junio de 2022, con duración hasta el 10 de octubre de 2022 (dieciocho semanas).</w:t>
      </w:r>
    </w:p>
    <w:p w14:paraId="324F5B05" w14:textId="77777777" w:rsidR="00A8138F" w:rsidRDefault="00A8138F" w:rsidP="00A8138F">
      <w:pPr>
        <w:pStyle w:val="TextoNormal"/>
      </w:pPr>
    </w:p>
    <w:p w14:paraId="567FF779" w14:textId="77777777" w:rsidR="00A8138F" w:rsidRDefault="00A8138F" w:rsidP="00A8138F">
      <w:pPr>
        <w:pStyle w:val="TextoNormal"/>
      </w:pPr>
      <w:r>
        <w:t>b) Tras ser desestimada la reclamación previa en vía administrativa, por la que reclamaba la ampliación en doce semanas del disfrute del permiso por ser familia monoparental, interpuso una demanda contra el Instituto Nacional de la Seguridad Social (INSS) y la Tesorería General de la Seguridad Social (TGSS), por la que solicitaba la ampliación del permiso por parto múltiple para la acumulación al periodo concedido de otras once semanas, en su condición de única progenitora de los menores nacidos. Alegaba que la desestimación de la acumulación solicitada constituye una discriminación de los derechos del niño en relación con la situación regulada para la familia biparental cuando el menor está a cargo y cuidado de sus dos progenitores.</w:t>
      </w:r>
    </w:p>
    <w:p w14:paraId="3A5A6F1A" w14:textId="77777777" w:rsidR="00A8138F" w:rsidRDefault="00A8138F" w:rsidP="00A8138F">
      <w:pPr>
        <w:pStyle w:val="TextoNormal"/>
      </w:pPr>
    </w:p>
    <w:p w14:paraId="47A71480" w14:textId="77777777" w:rsidR="00A8138F" w:rsidRDefault="00A8138F" w:rsidP="00A8138F">
      <w:pPr>
        <w:pStyle w:val="TextoNormal"/>
      </w:pPr>
      <w:r>
        <w:t>c) El Juzgado de lo Social núm. 3 de Zaragoza dictó sentencia el 22 de noviembre de 2022 en la que estimó la demanda y declaró el derecho de la actora a acumular a su prestación de maternidad ya reconocida otras once semanas adicionales de prestación por parto múltiple y cuidado de menores por su condición de familia monoparental.</w:t>
      </w:r>
    </w:p>
    <w:p w14:paraId="3FC29886" w14:textId="77777777" w:rsidR="00A8138F" w:rsidRDefault="00A8138F" w:rsidP="00A8138F">
      <w:pPr>
        <w:pStyle w:val="TextoNormal"/>
      </w:pPr>
    </w:p>
    <w:p w14:paraId="085EDBAF" w14:textId="77777777" w:rsidR="00A8138F" w:rsidRDefault="00A8138F" w:rsidP="00A8138F">
      <w:pPr>
        <w:pStyle w:val="TextoNormal"/>
      </w:pPr>
      <w:r>
        <w:t>d) Frente a dicha sentencia el INSS interpuso recurso de suplicación alegando como único motivo de revisión jurídica la infracción de normas sustantivas previsto en el art. 193 c) de la Ley 36/2011, de 10 de octubre, reguladora de la jurisdicción social (LRJS). La representación de la trabajadora impugnó el recurso de suplicación.</w:t>
      </w:r>
    </w:p>
    <w:p w14:paraId="3F98043D" w14:textId="77777777" w:rsidR="00A8138F" w:rsidRDefault="00A8138F" w:rsidP="00A8138F">
      <w:pPr>
        <w:pStyle w:val="TextoNormal"/>
      </w:pPr>
    </w:p>
    <w:p w14:paraId="064FE500" w14:textId="77777777" w:rsidR="00A8138F" w:rsidRDefault="00A8138F" w:rsidP="00A8138F">
      <w:pPr>
        <w:pStyle w:val="TextoNormal"/>
      </w:pPr>
      <w:r>
        <w:t>e) Por sentencia 223/2023, de 20 de marzo, dictada por la Sala de lo Social del Tribunal Superior de Justicia de Aragón se estimó el recurso de suplicación revocando la sentencia dictada por el Juzgado de lo Social núm. 3, desestimando la pretensión deducida por la actora con absolución del INSS, sin imposición de costas.</w:t>
      </w:r>
    </w:p>
    <w:p w14:paraId="1DF74409" w14:textId="77777777" w:rsidR="00A8138F" w:rsidRDefault="00A8138F" w:rsidP="00A8138F">
      <w:pPr>
        <w:pStyle w:val="TextoNormal"/>
      </w:pPr>
    </w:p>
    <w:p w14:paraId="5BD4C612" w14:textId="7A7731BE" w:rsidR="00A8138F" w:rsidRDefault="00A8138F" w:rsidP="00A8138F">
      <w:pPr>
        <w:pStyle w:val="TextoNormal"/>
      </w:pPr>
      <w:r>
        <w:t xml:space="preserve">La sentencia expone que la Sala, en las sentencias de 27 de diciembre de 2021 (ECLI:ES:TSJAR:2021:1255), 6 de abril de 2022 (ECLI:ES:TSJAR:2022:645) y 14 de febrero de 2022 (ECLI:ES:TSJAR:2022:224), había estimado la pretensión de la trabajadora de acumular a su prestación de maternidad, otras diez semanas adicionales de prestación por nacimiento y cuidado de menores por su condición de familia monoparental. Sin embargo, razona que debía cambiar de criterio atendida la reciente STS 169/2023, de 2 de marzo (ECLI:ES:TS:2023:783), que revoca la sentencia dictada por la Social del Tribunal Superior </w:t>
      </w:r>
      <w:r>
        <w:lastRenderedPageBreak/>
        <w:t>de Justicia del País Vasco el día 6 de octubre de 2020 (ECLI:ES:TSJPV:2020:396), cuya fundamentación reproduce.</w:t>
      </w:r>
    </w:p>
    <w:p w14:paraId="568B94A4" w14:textId="77777777" w:rsidR="00A8138F" w:rsidRDefault="00A8138F" w:rsidP="00A8138F">
      <w:pPr>
        <w:pStyle w:val="TextoNormal"/>
      </w:pPr>
    </w:p>
    <w:p w14:paraId="2BD9C53F" w14:textId="77777777" w:rsidR="00A8138F" w:rsidRDefault="00A8138F" w:rsidP="00A8138F">
      <w:pPr>
        <w:pStyle w:val="TextoNormal"/>
      </w:pPr>
      <w:r w:rsidRPr="00A8138F">
        <w:rPr>
          <w:rStyle w:val="NumeroAFNegritaCaracter"/>
        </w:rPr>
        <w:t>3</w:t>
      </w:r>
      <w:r>
        <w:t>. En la demanda de amparo se solicita que se declare vulnerado el derecho a la igualdad (art. 14 CE) y la nulidad de la sentencia dictada por la Sala de lo Social del Tribunal Superior de Justicia de Aragón y la firmeza de la sentencia del Juzgado de lo Social núm. 3 de Zaragoza.</w:t>
      </w:r>
    </w:p>
    <w:p w14:paraId="6C77309C" w14:textId="77777777" w:rsidR="00A8138F" w:rsidRDefault="00A8138F" w:rsidP="00A8138F">
      <w:pPr>
        <w:pStyle w:val="TextoNormal"/>
      </w:pPr>
    </w:p>
    <w:p w14:paraId="1627C36B" w14:textId="77777777" w:rsidR="00A8138F" w:rsidRDefault="00A8138F" w:rsidP="00A8138F">
      <w:pPr>
        <w:pStyle w:val="TextoNormal"/>
      </w:pPr>
      <w:r>
        <w:t>La demandante, tras referirse al contenido de las resoluciones recaídas en el procedimiento, sostiene que las familias biparentales que reúnan los requisitos para tener derecho a las prestaciones de maternidad y paternidad pueden atender el cuidado de hijo durante veintiséis semanas, si lo disfrutan de forma sucesiva y a tiempo completo y no concurre causa de ampliación.</w:t>
      </w:r>
    </w:p>
    <w:p w14:paraId="77FD33D8" w14:textId="77777777" w:rsidR="00A8138F" w:rsidRDefault="00A8138F" w:rsidP="00A8138F">
      <w:pPr>
        <w:pStyle w:val="TextoNormal"/>
      </w:pPr>
    </w:p>
    <w:p w14:paraId="484106A4" w14:textId="77777777" w:rsidR="00A8138F" w:rsidRDefault="00A8138F" w:rsidP="00A8138F">
      <w:pPr>
        <w:pStyle w:val="TextoNormal"/>
      </w:pPr>
      <w:r>
        <w:t>La recurrente señala que en las mismas circunstancias de ejercicio una familia monoparental únicamente puede disfrutar de dieciséis semanas para dedicarse plenamente al cuidado del hijo, lo que plantea una posible desigualdad de trato entre ambos modelos de familia en cuanto a que los hijos e hijas —o menores— puedan recibir los cuidados necesarios independientemente de que tengan uno o dos progenitores.</w:t>
      </w:r>
    </w:p>
    <w:p w14:paraId="3EF16BED" w14:textId="77777777" w:rsidR="00A8138F" w:rsidRDefault="00A8138F" w:rsidP="00A8138F">
      <w:pPr>
        <w:pStyle w:val="TextoNormal"/>
      </w:pPr>
    </w:p>
    <w:p w14:paraId="6BFBB1C4" w14:textId="77777777" w:rsidR="00A8138F" w:rsidRDefault="00A8138F" w:rsidP="00A8138F">
      <w:pPr>
        <w:pStyle w:val="TextoNormal"/>
      </w:pPr>
      <w:r>
        <w:t>Recuerda la normativa aplicable e indica que el derecho de paternidad es individual de la persona trabajadora sin que pueda transferirse su ejercicio al otro progenitor y que en el caso de las familias monoparentales existen criterios distintos en orden a la posibilidad de que se conceda la ampliación del permiso de maternidad.</w:t>
      </w:r>
    </w:p>
    <w:p w14:paraId="6853F816" w14:textId="77777777" w:rsidR="00A8138F" w:rsidRDefault="00A8138F" w:rsidP="00A8138F">
      <w:pPr>
        <w:pStyle w:val="TextoNormal"/>
      </w:pPr>
    </w:p>
    <w:p w14:paraId="7910496D" w14:textId="77777777" w:rsidR="00A8138F" w:rsidRDefault="00A8138F" w:rsidP="00A8138F">
      <w:pPr>
        <w:pStyle w:val="TextoNormal"/>
      </w:pPr>
      <w:r>
        <w:t>Sostiene que aun cuando no exista apoyo legislativo es de aplicación el Convenio sobre los derechos del niño al existir una quiebra del principio de igualdad correspondiente a dicha prestación. Se refiere a la observación general 14 del Comité de los Derechos del Niño de Naciones Unidas y al principio de primacía del interés superior del menor en todas las medidas o decisiones que le afecten, tanto desde su perspectiva como derecho sustantivo, como principio interpretativo fundamental y como norma de procedimiento. Destaca que dicho principio ha sido consagrado por la jurisprudencia, europea y nacional, como criterio preferente de interpretación de las normas.</w:t>
      </w:r>
    </w:p>
    <w:p w14:paraId="584571A2" w14:textId="77777777" w:rsidR="00A8138F" w:rsidRDefault="00A8138F" w:rsidP="00A8138F">
      <w:pPr>
        <w:pStyle w:val="TextoNormal"/>
      </w:pPr>
    </w:p>
    <w:p w14:paraId="2737A8FB" w14:textId="77777777" w:rsidR="00A8138F" w:rsidRDefault="00A8138F" w:rsidP="00A8138F">
      <w:pPr>
        <w:pStyle w:val="TextoNormal"/>
      </w:pPr>
      <w:r>
        <w:t>Cita la doctrina del Tribunal Constitucional elaborada en relación con el derecho de igualdad y refiere que si se parte de la rechazable discriminación del menor por su propia condición o por el estado civil o situación de su progenitor, cuando introducimos un período de cuidado y atención para el grupo de hijos o hijas monoparentales, estamos no solamente mermando la atención que en las familias biparentales se presta, sino que también introducimos un sesgo que quebranta el desarrollo del niño, al quedar atendido menos tiempo y con menor implicación personal de quien ha sido considerado progenitor.</w:t>
      </w:r>
    </w:p>
    <w:p w14:paraId="2FF0C715" w14:textId="77777777" w:rsidR="00A8138F" w:rsidRDefault="00A8138F" w:rsidP="00A8138F">
      <w:pPr>
        <w:pStyle w:val="TextoNormal"/>
      </w:pPr>
    </w:p>
    <w:p w14:paraId="1931B467" w14:textId="77777777" w:rsidR="00A8138F" w:rsidRDefault="00A8138F" w:rsidP="00A8138F">
      <w:pPr>
        <w:pStyle w:val="TextoNormal"/>
      </w:pPr>
      <w:r>
        <w:t>Por tanto, y siendo de directa aplicación, y en cuanto la normativa nacional quiebra esa igualdad, el Convenio sobre los derechos del niño, entiende que corresponde la prestación pedida.</w:t>
      </w:r>
    </w:p>
    <w:p w14:paraId="69439B01" w14:textId="77777777" w:rsidR="00A8138F" w:rsidRDefault="00A8138F" w:rsidP="00A8138F">
      <w:pPr>
        <w:pStyle w:val="TextoNormal"/>
      </w:pPr>
    </w:p>
    <w:p w14:paraId="244B2E33" w14:textId="77777777" w:rsidR="00A8138F" w:rsidRDefault="00A8138F" w:rsidP="00A8138F">
      <w:pPr>
        <w:pStyle w:val="TextoNormal"/>
      </w:pPr>
      <w:r>
        <w:t xml:space="preserve">De igual forma los derechos de conciliación y vida familiar reciben un trato dispar entre personas que partiendo del mismo supuesto, integración de la dinámica de la producción en </w:t>
      </w:r>
      <w:r>
        <w:lastRenderedPageBreak/>
        <w:t>la de reproducción, quedan protegidas en mayor forma que al integrarse en dinámicas de familia monoparental. Razona que la suspensión del contrato de trabajo tiene una repercusión dentro de la actividad empresarial, pero la integración en un solo progenitor de la acumulación de todo el período de suspensión aglutina toda la suspensión en un solo trabajador, pero no deja de ser el mismo disfrute que cuando nos encontramos ante una dualidad de progenitores.</w:t>
      </w:r>
    </w:p>
    <w:p w14:paraId="4AFF1132" w14:textId="77777777" w:rsidR="00A8138F" w:rsidRDefault="00A8138F" w:rsidP="00A8138F">
      <w:pPr>
        <w:pStyle w:val="TextoNormal"/>
      </w:pPr>
    </w:p>
    <w:p w14:paraId="746DA8A2" w14:textId="0C984046" w:rsidR="00A8138F" w:rsidRDefault="00A8138F" w:rsidP="00A8138F">
      <w:pPr>
        <w:pStyle w:val="TextoNormal"/>
      </w:pPr>
      <w:r>
        <w:t>La opción por el hogar monoparental no delimita un vínculo diferente de filiación determinante del cuidado y atención del menor y sus propios derechos. Por tanto, es posible afirmar una quiebra del principio de igualdad del art. 14 CE. No reconocer este derecho a una familia monoparental y a quienes forman parte de esta unidad familiar representa una discriminación por indiferenciación por parte de la actual redacción del art. 48 del texto refundido de la Ley del estatuto de los trabajadores, aprobado por el Real Decreto Legislativo 2/2015, de 23 de octubre (LET) y también una vulneración del derecho a la no discriminación por razón de sexo de las trabajadoras.</w:t>
      </w:r>
    </w:p>
    <w:p w14:paraId="6E69873E" w14:textId="77777777" w:rsidR="00A8138F" w:rsidRDefault="00A8138F" w:rsidP="00A8138F">
      <w:pPr>
        <w:pStyle w:val="TextoNormal"/>
      </w:pPr>
    </w:p>
    <w:p w14:paraId="141F8E2F" w14:textId="42A8CF42" w:rsidR="00A8138F" w:rsidRDefault="00A8138F" w:rsidP="00A8138F">
      <w:pPr>
        <w:pStyle w:val="TextoNormal"/>
      </w:pPr>
      <w:r w:rsidRPr="00A8138F">
        <w:rPr>
          <w:rStyle w:val="NumeroAFNegritaCaracter"/>
        </w:rPr>
        <w:t>4</w:t>
      </w:r>
      <w:r>
        <w:t>. La Sección Tercera de este tribunal, mediante providencia de 21 de octubre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igualmente dirigir atenta comunicación a la Sala de lo Social del Tribunal Superior de Justicia de Aragón y al Juzgado de lo Social núm. 3 de Zaragoza,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 si lo deseaban.</w:t>
      </w:r>
    </w:p>
    <w:p w14:paraId="3C2204DB" w14:textId="77777777" w:rsidR="00A8138F" w:rsidRDefault="00A8138F" w:rsidP="00A8138F">
      <w:pPr>
        <w:pStyle w:val="TextoNormal"/>
      </w:pPr>
    </w:p>
    <w:p w14:paraId="1042EECD" w14:textId="55F91D8F" w:rsidR="00A8138F" w:rsidRDefault="00A8138F" w:rsidP="00A8138F">
      <w:pPr>
        <w:pStyle w:val="TextoNormal"/>
      </w:pPr>
      <w:r w:rsidRPr="00A8138F">
        <w:rPr>
          <w:rStyle w:val="NumeroAFNegritaCaracter"/>
        </w:rPr>
        <w:t>5</w:t>
      </w:r>
      <w:r>
        <w:t>. El 11 de diciembre de 2024 la representación procesal de la demandante presentó sus alegaciones en las que hizo referencia a la reciente STC 140/2024, de 6 de diciembre, en la que estimó la cuestión de inconstitucionalidad promovida por la Sala de lo Social del Tribunal Superior de Justicia de Cataluña en relación con el art. 48, apartados 4, 5 y 6, del texto refundido de la Ley del estatuto de los trabajadores (LET), aprobado por Real Decreto Legislativo 2/2015, de 23 de octubre, en conexión con el art. 177 del texto refundido de la Ley general de la Seguridad Social (LGSS), aprobado por el Real Decreto Legislativo 8/2015, de 30 de octubre.</w:t>
      </w:r>
    </w:p>
    <w:p w14:paraId="1C1DFC11" w14:textId="77777777" w:rsidR="00A8138F" w:rsidRDefault="00A8138F" w:rsidP="00A8138F">
      <w:pPr>
        <w:pStyle w:val="TextoNormal"/>
      </w:pPr>
    </w:p>
    <w:p w14:paraId="3BB8591A" w14:textId="77777777" w:rsidR="00A8138F" w:rsidRDefault="00A8138F" w:rsidP="00A8138F">
      <w:pPr>
        <w:pStyle w:val="TextoNormal"/>
      </w:pPr>
      <w:r w:rsidRPr="00A8138F">
        <w:rPr>
          <w:rStyle w:val="NumeroAFNegritaCaracter"/>
        </w:rPr>
        <w:t>6</w:t>
      </w:r>
      <w:r>
        <w:t>. El día 17 de enero de 2025, el Ministerio Fiscal interesó la estimación del recurso de amparo y que se declare la nulidad de la sentencia de 20 de marzo de 2023 del Tribunal Superior de Justicia de Aragón y confirmar la sentencia del Juzgado de lo Social núm. 3 de Zaragoza de 22 de noviembre de 2022.</w:t>
      </w:r>
    </w:p>
    <w:p w14:paraId="5019D047" w14:textId="77777777" w:rsidR="00A8138F" w:rsidRDefault="00A8138F" w:rsidP="00A8138F">
      <w:pPr>
        <w:pStyle w:val="TextoNormal"/>
      </w:pPr>
    </w:p>
    <w:p w14:paraId="7F9B9E83" w14:textId="77777777" w:rsidR="00A8138F" w:rsidRDefault="00A8138F" w:rsidP="00A8138F">
      <w:pPr>
        <w:pStyle w:val="TextoNormal"/>
      </w:pPr>
      <w:r>
        <w:t xml:space="preserve">El Ministerio Fiscal considera aplicable la doctrina constitucional expuesta en la STC 150/2024, de 2 de diciembre, que resuelve el recurso de amparo núm. 1845-2024 en la que se aplica la doctrina constitucional fijada en la STC 140/2024, y consiguientemente estimar </w:t>
      </w:r>
      <w:r>
        <w:lastRenderedPageBreak/>
        <w:t>la vulneración del derecho a la igualdad ante la ley sin discriminación por razón de nacimiento (art. 14 CE).</w:t>
      </w:r>
    </w:p>
    <w:p w14:paraId="4211C754" w14:textId="77777777" w:rsidR="00A8138F" w:rsidRDefault="00A8138F" w:rsidP="00A8138F">
      <w:pPr>
        <w:pStyle w:val="TextoNormal"/>
      </w:pPr>
    </w:p>
    <w:p w14:paraId="5976C94C" w14:textId="77777777" w:rsidR="00A8138F" w:rsidRDefault="00A8138F" w:rsidP="00A8138F">
      <w:pPr>
        <w:pStyle w:val="TextoNormal"/>
      </w:pPr>
      <w:r>
        <w:t>Se detiene el fiscal en efectuar un examen del alcance del recurso de amparo a fin de justificar únicamente la nulidad de la sentencia del Tribunal Superior de Justicia de Aragón de 20 de marzo de 2023, que revocó la sentencia de 22 de noviembre de 2022 del Juzgado de lo Social que reconocía “el derecho de la actora a acumular a su prestación de maternidad ya reconocida, otras once semanas adicionales de prestación por nacimiento parto múltiple y cuidado de menores por su condición de familia monoparental”.</w:t>
      </w:r>
    </w:p>
    <w:p w14:paraId="7697056F" w14:textId="77777777" w:rsidR="00A8138F" w:rsidRDefault="00A8138F" w:rsidP="00A8138F">
      <w:pPr>
        <w:pStyle w:val="TextoNormal"/>
      </w:pPr>
    </w:p>
    <w:p w14:paraId="6CCEC0C7" w14:textId="56E5AB94" w:rsidR="00A8138F" w:rsidRDefault="00A8138F" w:rsidP="00A8138F">
      <w:pPr>
        <w:pStyle w:val="TextoNormal"/>
      </w:pPr>
      <w:r>
        <w:t>De este modo, examina la regulación relativa a la ampliación del permiso de once semanas en caso de parto múltiple prevista en el art. 48.6 LET antes y después de la modificación operada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e indica que la sentencia de instancia, en aplicación de la normativa vigente sobre la materia, otorgó una ampliación del permiso de once semanas, las que se distribuyen en diez semanas, que serían las que les correspondían al otro progenitor, tal como declaró la doctrina constitucional mencionada, y una semana adicional por nacimiento múltiple, conforme a la normativa vigente (Real Decreto-ley 6/2019, de 1 de marzo, de medidas urgentes para garantía de la igualdad de trato y de oportunidades entre mujeres y hombres en el empleo y la ocupación) en el momento del nacimiento de los menores que tuvo lugar el día 7 de junio de 2022.</w:t>
      </w:r>
    </w:p>
    <w:p w14:paraId="077725A0" w14:textId="77777777" w:rsidR="00A8138F" w:rsidRDefault="00A8138F" w:rsidP="00A8138F">
      <w:pPr>
        <w:pStyle w:val="TextoNormal"/>
      </w:pPr>
    </w:p>
    <w:p w14:paraId="5507E261" w14:textId="2A847909" w:rsidR="00A8138F" w:rsidRDefault="00A8138F" w:rsidP="00A8138F">
      <w:pPr>
        <w:pStyle w:val="TextoNormal"/>
      </w:pPr>
      <w:r w:rsidRPr="00A8138F">
        <w:rPr>
          <w:rStyle w:val="NumeroAFNegritaCaracter"/>
        </w:rPr>
        <w:t>7</w:t>
      </w:r>
      <w:r>
        <w:t>. Mediante diligencia del secretario de la Sección Tercera de 21 enero de 2025, se hizo constar haberse recibido los precedentes escritos de alegaciones quedando el presente recurso de amparo pendiente para deliberación cuando por turno corresponda.</w:t>
      </w:r>
    </w:p>
    <w:p w14:paraId="7CFBFBB1" w14:textId="77777777" w:rsidR="00A8138F" w:rsidRDefault="00A8138F" w:rsidP="00A8138F">
      <w:pPr>
        <w:pStyle w:val="TextoNormal"/>
      </w:pPr>
    </w:p>
    <w:p w14:paraId="43FFF933" w14:textId="4E07EAE6" w:rsidR="00A8138F" w:rsidRDefault="00A8138F" w:rsidP="00A8138F">
      <w:pPr>
        <w:pStyle w:val="TextoNormal"/>
      </w:pPr>
      <w:r w:rsidRPr="00A8138F">
        <w:rPr>
          <w:rStyle w:val="NumeroAFNegritaCaracter"/>
        </w:rPr>
        <w:t>8</w:t>
      </w:r>
      <w:r>
        <w:t>. Por providencia de 6 de febrero de 2025, se señaló para deliberación y votación de la presente sentencia el día 10 del mismo mes y año.</w:t>
      </w:r>
    </w:p>
    <w:p w14:paraId="34CC4A09" w14:textId="77777777" w:rsidR="00A8138F" w:rsidRDefault="00A8138F" w:rsidP="00A8138F">
      <w:pPr>
        <w:pStyle w:val="TextoNormal"/>
      </w:pPr>
    </w:p>
    <w:p w14:paraId="44035AF9" w14:textId="77777777" w:rsidR="00A8138F" w:rsidRDefault="00A8138F" w:rsidP="00A8138F">
      <w:pPr>
        <w:pStyle w:val="TextoNormalNegritaCentrado"/>
        <w:keepNext/>
      </w:pPr>
      <w:r>
        <w:t>II. Fundamentos jurídicos</w:t>
      </w:r>
    </w:p>
    <w:p w14:paraId="057DBFBF" w14:textId="4431C29A" w:rsidR="00A8138F" w:rsidRDefault="00A8138F" w:rsidP="00A8138F">
      <w:pPr>
        <w:pStyle w:val="TextoNormalNegritaCentrado"/>
        <w:keepNext/>
      </w:pPr>
    </w:p>
    <w:p w14:paraId="63528A5A"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4034F9C6" w14:textId="77777777" w:rsidR="00A8138F" w:rsidRDefault="00A8138F" w:rsidP="00A8138F">
      <w:pPr>
        <w:pStyle w:val="TextoNormal"/>
      </w:pPr>
    </w:p>
    <w:p w14:paraId="79B35142" w14:textId="77777777" w:rsidR="00A8138F" w:rsidRDefault="00A8138F" w:rsidP="00A8138F">
      <w:pPr>
        <w:pStyle w:val="TextoNormal"/>
      </w:pPr>
      <w:r>
        <w:t xml:space="preserve">El objeto del presente proceso es dilucidar si la sentencia 223/2023, de 20 de marzo, dictada por la Sala de lo Social del Tribunal Superior de Justicia de Aragón, por la que se estima el recurso de suplicación núm. 17-2023, revocando la sentencia dictada por el Juzgado de lo Social núm. 3 de Zaragoza y desestimando la pretensión deducida por la actora con absolución del INSS, ha ocasionado a la demandante una vulneración del derecho a la igualdad (art. 14 CE) al aplicar el art. 48.4 y 6 del texto refundido de la Ley del estatuto de los trabajadores (LET), en relación con el art. 177 del texto refundido de la Ley general de la Seguridad Social (LGSS), en la redacción dada a los mismos por el Real Decreto-ley </w:t>
      </w:r>
      <w:r>
        <w:lastRenderedPageBreak/>
        <w:t>6/2019, de 1 de marzo, de medidas urgentes para garantía de la igualdad de trato y de oportunidades entre mujeres y hombres en el empleo y la ocupación.</w:t>
      </w:r>
    </w:p>
    <w:p w14:paraId="33FA2FBE" w14:textId="77777777" w:rsidR="00A8138F" w:rsidRDefault="00A8138F" w:rsidP="00A8138F">
      <w:pPr>
        <w:pStyle w:val="TextoNormal"/>
      </w:pPr>
    </w:p>
    <w:p w14:paraId="0DE2B822"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24387DDB" w14:textId="77777777" w:rsidR="00A8138F" w:rsidRDefault="00A8138F" w:rsidP="00A8138F">
      <w:pPr>
        <w:pStyle w:val="TextoNormal"/>
      </w:pPr>
    </w:p>
    <w:p w14:paraId="68827806"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y 6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3244305" w14:textId="77777777" w:rsidR="00A8138F" w:rsidRDefault="00A8138F" w:rsidP="00A8138F">
      <w:pPr>
        <w:pStyle w:val="TextoNormal"/>
      </w:pPr>
    </w:p>
    <w:p w14:paraId="1C4A749C"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BD1A065" w14:textId="77777777" w:rsidR="00A8138F" w:rsidRDefault="00A8138F" w:rsidP="00A8138F">
      <w:pPr>
        <w:pStyle w:val="TextoNormal"/>
      </w:pPr>
    </w:p>
    <w:p w14:paraId="1AB9E9BE" w14:textId="77777777" w:rsidR="00A8138F" w:rsidRDefault="00A8138F" w:rsidP="00A8138F">
      <w:pPr>
        <w:pStyle w:val="TextoNormal"/>
      </w:pPr>
      <w:r>
        <w:t>En consecuencia, debe estimarse la demanda y otorgar el amparo solicitado, con nulidad de la sentencia dictada por la Sala de lo Social del Tribunal Superior de Justicia de Aragón, declarando la firmeza de la sentencia núm. 280/2022, de 22 de noviembre, del Juzgado de lo Social núm. 3 de Zaragoza, en autos de Seguridad Social en materia prestacional núm. 632-2022, al ser esta última acorde con el pronunciamiento de la STC 140/2024.</w:t>
      </w:r>
    </w:p>
    <w:p w14:paraId="2D361398" w14:textId="77777777" w:rsidR="00A8138F" w:rsidRDefault="00A8138F" w:rsidP="00A8138F">
      <w:pPr>
        <w:pStyle w:val="TextoNormal"/>
      </w:pPr>
    </w:p>
    <w:p w14:paraId="4E0E0CC6" w14:textId="6CED1C62" w:rsidR="00A8138F" w:rsidRDefault="00A8138F" w:rsidP="00A8138F">
      <w:pPr>
        <w:pStyle w:val="TextoNormal"/>
      </w:pPr>
      <w:r>
        <w:t xml:space="preserve">Como concretamos en la referida STC 140/2024, FJ 7, en tanto el legislador no lleve a cabo la consiguiente reforma normativa, en las familias monoparentales el permiso a que hace referencia el art. 48.4 LET (y en relación con él, la prestación regulada en el art. 177 </w:t>
      </w:r>
      <w:r>
        <w:lastRenderedPageBreak/>
        <w:t>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4E663CC" w14:textId="77777777" w:rsidR="00A8138F" w:rsidRDefault="00A8138F" w:rsidP="00A8138F">
      <w:pPr>
        <w:pStyle w:val="TextoNormal"/>
      </w:pPr>
    </w:p>
    <w:p w14:paraId="43CC6448" w14:textId="77777777" w:rsidR="00A8138F" w:rsidRDefault="00A8138F" w:rsidP="00A8138F">
      <w:pPr>
        <w:pStyle w:val="TextoNormalCentrado"/>
        <w:keepNext/>
      </w:pPr>
      <w:r>
        <w:t>FALLO</w:t>
      </w:r>
    </w:p>
    <w:p w14:paraId="348127BE" w14:textId="59DE64C3" w:rsidR="00A8138F" w:rsidRDefault="00A8138F" w:rsidP="00A8138F">
      <w:pPr>
        <w:pStyle w:val="TextoNormalCentrado"/>
        <w:keepNext/>
      </w:pPr>
    </w:p>
    <w:p w14:paraId="7C046A4B" w14:textId="77777777" w:rsidR="00A8138F" w:rsidRDefault="00A8138F" w:rsidP="00A8138F">
      <w:pPr>
        <w:pStyle w:val="TextoNormal"/>
      </w:pPr>
      <w:r>
        <w:t>En atención a todo lo expuesto, el Tribunal Constitucional, por la autoridad que le confiere la Constitución de la Nación española, ha decidido:</w:t>
      </w:r>
    </w:p>
    <w:p w14:paraId="411B6E53" w14:textId="77777777" w:rsidR="00A8138F" w:rsidRDefault="00A8138F" w:rsidP="00A8138F">
      <w:pPr>
        <w:pStyle w:val="TextoNormal"/>
      </w:pPr>
    </w:p>
    <w:p w14:paraId="4E838A59" w14:textId="77777777" w:rsidR="00A8138F" w:rsidRDefault="00A8138F" w:rsidP="00A8138F">
      <w:pPr>
        <w:pStyle w:val="TextoNormal"/>
      </w:pPr>
      <w:r>
        <w:t>1º Estimar la demanda presentada por doña Noelia Velarte Lahoz por vulneración del derecho fundamental a la igualdad ante la ley sin discriminación por razón de nacimiento (art. 14 CE), con reconocimiento de tal derecho.</w:t>
      </w:r>
    </w:p>
    <w:p w14:paraId="0D36C6CD" w14:textId="77777777" w:rsidR="00A8138F" w:rsidRDefault="00A8138F" w:rsidP="00A8138F">
      <w:pPr>
        <w:pStyle w:val="TextoNormal"/>
      </w:pPr>
    </w:p>
    <w:p w14:paraId="602938F1" w14:textId="7561D872" w:rsidR="00A8138F" w:rsidRDefault="00A8138F" w:rsidP="00A8138F">
      <w:pPr>
        <w:pStyle w:val="TextoNormal"/>
      </w:pPr>
      <w:r>
        <w:t>2º Declarar la nulidad de la sentencia núm. 223/2023, de 20 de marzo, dictada por la Sala de lo Social del Tribunal Superior de Justicia de Aragón, por la que se estima el recurso de suplicación núm. 17-2023, quedando firme la sentencia núm. 280/2022, de 22 de noviembre, del Juzgado de lo Social núm. 3 de Zaragoza, en autos de Seguridad Social en materia prestacional núm. 632-2022.</w:t>
      </w:r>
    </w:p>
    <w:p w14:paraId="7BBCA9A8" w14:textId="77777777" w:rsidR="00A8138F" w:rsidRDefault="00A8138F" w:rsidP="00A8138F">
      <w:pPr>
        <w:pStyle w:val="TextoNormal"/>
      </w:pPr>
    </w:p>
    <w:p w14:paraId="1D7308F4" w14:textId="77777777" w:rsidR="00A8138F" w:rsidRDefault="00A8138F" w:rsidP="00A8138F">
      <w:pPr>
        <w:pStyle w:val="TextoNormal"/>
      </w:pPr>
      <w:r>
        <w:t>Publíquese esta sentencia en el “Boletín Oficial del Estado”.</w:t>
      </w:r>
    </w:p>
    <w:p w14:paraId="51118384" w14:textId="77777777" w:rsidR="00A8138F" w:rsidRDefault="00A8138F" w:rsidP="00A8138F">
      <w:pPr>
        <w:pStyle w:val="TextoNormal"/>
      </w:pPr>
      <w:r>
        <w:t>Dada en Madrid, a diez de febrero de dos mil veinticinco.</w:t>
      </w:r>
    </w:p>
    <w:p w14:paraId="22147662" w14:textId="060E4906" w:rsidR="00A8138F" w:rsidRDefault="00A8138F">
      <w:pPr>
        <w:spacing w:after="160" w:line="278" w:lineRule="auto"/>
        <w:rPr>
          <w:rFonts w:ascii="Times New Roman" w:eastAsia="Times New Roman" w:hAnsi="Times New Roman" w:cs="Times New Roman"/>
          <w:sz w:val="24"/>
          <w:szCs w:val="24"/>
          <w:lang w:eastAsia="es-ES"/>
        </w:rPr>
      </w:pPr>
      <w:r>
        <w:br w:type="page"/>
      </w:r>
    </w:p>
    <w:p w14:paraId="08615690" w14:textId="77777777" w:rsidR="00A8138F" w:rsidRDefault="00A8138F" w:rsidP="00A8138F">
      <w:pPr>
        <w:pStyle w:val="TtuloResolucin"/>
      </w:pPr>
      <w:bookmarkStart w:id="32" w:name="SENTENCIA_2025_30"/>
      <w:r>
        <w:lastRenderedPageBreak/>
        <w:t>SENTENCIA 30/2025, de 10 de febrero de 2025</w:t>
      </w:r>
    </w:p>
    <w:bookmarkEnd w:id="32"/>
    <w:p w14:paraId="184F2144" w14:textId="77777777" w:rsidR="00A8138F" w:rsidRDefault="00A8138F" w:rsidP="00A8138F">
      <w:pPr>
        <w:pStyle w:val="TtuloResolucin"/>
      </w:pPr>
      <w:r>
        <w:t>Sala Primera</w:t>
      </w:r>
    </w:p>
    <w:p w14:paraId="4E5088AB" w14:textId="77777777" w:rsidR="00A8138F" w:rsidRDefault="00A8138F" w:rsidP="00A8138F">
      <w:pPr>
        <w:pStyle w:val="TtuloBOE"/>
      </w:pPr>
      <w:r>
        <w:t>(BOE núm. 69, de 21 de marzo de 2025)</w:t>
      </w:r>
    </w:p>
    <w:p w14:paraId="09550732" w14:textId="77777777" w:rsidR="00A8138F" w:rsidRDefault="00A8138F" w:rsidP="00A8138F">
      <w:pPr>
        <w:pStyle w:val="TextoNormalCentrado"/>
      </w:pPr>
      <w:r>
        <w:t>ECLI:ES:TC:2025:30</w:t>
      </w:r>
    </w:p>
    <w:p w14:paraId="1A22F0C1" w14:textId="497ADBF4" w:rsidR="00A8138F" w:rsidRDefault="00A8138F" w:rsidP="00A8138F">
      <w:pPr>
        <w:pStyle w:val="TextoNormalCentrado"/>
      </w:pPr>
    </w:p>
    <w:p w14:paraId="6F9A366C" w14:textId="77777777" w:rsidR="00A8138F" w:rsidRDefault="00A8138F" w:rsidP="00A8138F">
      <w:pPr>
        <w:pStyle w:val="SntesisDescriptiva"/>
      </w:pPr>
      <w:r>
        <w:t>Recurso de amparo 4166-2023. Promovido por doña Miriam Gómez Fernández en relación con las resoluciones administrativas y judiciales que desestimaron su petición de revisión y ampliación de la prestación por nacimiento y cuidado de hijo menor, como madre biológica de familia monoparental.</w:t>
      </w:r>
    </w:p>
    <w:p w14:paraId="20EE6DA5" w14:textId="3C8FB186" w:rsidR="00A8138F" w:rsidRDefault="00A8138F" w:rsidP="00A8138F">
      <w:pPr>
        <w:pStyle w:val="SntesisDescriptiva"/>
      </w:pPr>
    </w:p>
    <w:p w14:paraId="385E1B40" w14:textId="77777777" w:rsidR="00A8138F" w:rsidRDefault="00A8138F" w:rsidP="00A8138F">
      <w:pPr>
        <w:pStyle w:val="SntesisAnaltica"/>
      </w:pPr>
      <w:r>
        <w:t>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02507F9" w14:textId="26196C57" w:rsidR="00A8138F" w:rsidRDefault="00A8138F" w:rsidP="00A8138F">
      <w:pPr>
        <w:pStyle w:val="SntesisAnaltica"/>
      </w:pPr>
    </w:p>
    <w:p w14:paraId="67E3BC1A" w14:textId="26B426CA"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1861945D" w14:textId="77777777" w:rsidR="00A8138F" w:rsidRDefault="00A8138F" w:rsidP="00A8138F">
      <w:pPr>
        <w:pStyle w:val="Extracto"/>
      </w:pPr>
    </w:p>
    <w:p w14:paraId="0494D2F8" w14:textId="77777777" w:rsidR="00A8138F" w:rsidRDefault="00A8138F" w:rsidP="00A8138F">
      <w:pPr>
        <w:pStyle w:val="Extracto"/>
      </w:pPr>
    </w:p>
    <w:p w14:paraId="54C0BD19"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0AE50736" w14:textId="667294BB" w:rsidR="00A8138F" w:rsidRDefault="00A8138F" w:rsidP="00A8138F">
      <w:pPr>
        <w:pStyle w:val="TextoNormal"/>
      </w:pPr>
    </w:p>
    <w:p w14:paraId="3F0CE423" w14:textId="77777777" w:rsidR="00A8138F" w:rsidRDefault="00A8138F" w:rsidP="00A8138F">
      <w:pPr>
        <w:pStyle w:val="TextoNormalCentrado"/>
        <w:keepNext/>
      </w:pPr>
      <w:r>
        <w:t>EN NOMBRE DEL REY</w:t>
      </w:r>
    </w:p>
    <w:p w14:paraId="7F9B1387" w14:textId="7B491DE5" w:rsidR="00A8138F" w:rsidRDefault="00A8138F" w:rsidP="00A8138F">
      <w:pPr>
        <w:pStyle w:val="TextoNormalCentrado"/>
        <w:keepNext/>
      </w:pPr>
    </w:p>
    <w:p w14:paraId="3E483CD5" w14:textId="77777777" w:rsidR="00A8138F" w:rsidRDefault="00A8138F" w:rsidP="00A8138F">
      <w:pPr>
        <w:pStyle w:val="TextoNormalCentrado"/>
        <w:keepNext/>
      </w:pPr>
    </w:p>
    <w:p w14:paraId="465754FE" w14:textId="77777777" w:rsidR="00A8138F" w:rsidRDefault="00A8138F" w:rsidP="00A8138F">
      <w:pPr>
        <w:pStyle w:val="TextoNormal"/>
      </w:pPr>
      <w:r>
        <w:t>la siguiente</w:t>
      </w:r>
    </w:p>
    <w:p w14:paraId="00F502D7" w14:textId="527AA6A1" w:rsidR="00A8138F" w:rsidRDefault="00A8138F" w:rsidP="00A8138F">
      <w:pPr>
        <w:pStyle w:val="TextoNormal"/>
      </w:pPr>
    </w:p>
    <w:p w14:paraId="7E922F3C" w14:textId="77777777" w:rsidR="00A8138F" w:rsidRDefault="00A8138F" w:rsidP="00A8138F">
      <w:pPr>
        <w:pStyle w:val="TextoNormalCentrado"/>
        <w:keepNext/>
      </w:pPr>
      <w:r>
        <w:t>SENTENCIA</w:t>
      </w:r>
    </w:p>
    <w:p w14:paraId="18FA43AA" w14:textId="54027D6A" w:rsidR="00A8138F" w:rsidRDefault="00A8138F" w:rsidP="00A8138F">
      <w:pPr>
        <w:pStyle w:val="TextoNormalCentrado"/>
        <w:keepNext/>
      </w:pPr>
    </w:p>
    <w:p w14:paraId="3313C7BF" w14:textId="77777777" w:rsidR="00A8138F" w:rsidRDefault="00A8138F" w:rsidP="00A8138F">
      <w:pPr>
        <w:pStyle w:val="TextoNormal"/>
      </w:pPr>
      <w:r>
        <w:t xml:space="preserve">En el recurso de amparo núm. 4166-2023, promovido por doña Miriam Gómez Fernández, representada por la procuradora de los tribunales doña María Isabel Torres Ruiz, asistida por la letrada doña Susana Fuentes Gómez, contra la denegación de la solicitud de ampliación de la prestación por nacimiento y cuidado de hija menor, adoptada por silencio administrativo por el Instituto Nacional de la Seguridad Social; contra la sentencia núm. 26/2022, de 6 de mayo, del Juzgado de lo Social núm. 47 de Madrid (procedimiento de Seguridad Social núm.173-2022), que confirmó la decisión administrativa; contra la sentencia núm. 886/2022, de 5 de octubre, de la Sala de lo Social del Tribunal Superior de Justicia de Madrid, que desestimó el ulterior recurso de suplicación (núm. 750-2022), y contra el auto de 9 de mayo de 2023, de la Sala de lo Social del Tribunal Supremo, que inadmitió el recurso de casación en unificación de doctrina (núm. 4944-2022) poniendo fin a la vía judicial. Han intervenido en el procedimiento de amparo la letrada de la administración de la </w:t>
      </w:r>
      <w:r>
        <w:lastRenderedPageBreak/>
        <w:t>Seguridad Social y el Ministerio Fiscal. Ha sido ponente el presidente, don Cándido Conde-Pumpido Tourón.</w:t>
      </w:r>
    </w:p>
    <w:p w14:paraId="39C77BD9" w14:textId="43AF31BC" w:rsidR="00A8138F" w:rsidRDefault="00A8138F" w:rsidP="00A8138F">
      <w:pPr>
        <w:pStyle w:val="TextoNormal"/>
      </w:pPr>
    </w:p>
    <w:p w14:paraId="452BFF30" w14:textId="77777777" w:rsidR="00A8138F" w:rsidRDefault="00A8138F" w:rsidP="00A8138F">
      <w:pPr>
        <w:pStyle w:val="TextoNormalNegritaCentrado"/>
        <w:keepNext/>
      </w:pPr>
      <w:r>
        <w:t>I. Antecedentes</w:t>
      </w:r>
    </w:p>
    <w:p w14:paraId="1BD6E330" w14:textId="1DD666A1" w:rsidR="00A8138F" w:rsidRDefault="00A8138F" w:rsidP="00A8138F">
      <w:pPr>
        <w:pStyle w:val="TextoNormalNegritaCentrado"/>
        <w:keepNext/>
      </w:pPr>
    </w:p>
    <w:p w14:paraId="3C7A4469" w14:textId="62395994" w:rsidR="00A8138F" w:rsidRDefault="00A8138F" w:rsidP="00A8138F">
      <w:pPr>
        <w:pStyle w:val="TextoNormal"/>
      </w:pPr>
      <w:r w:rsidRPr="00A8138F">
        <w:rPr>
          <w:rStyle w:val="NumeroAFNegritaCaracter"/>
        </w:rPr>
        <w:t>1</w:t>
      </w:r>
      <w:r>
        <w:t>. El 19 de junio de 2024, la procuradora de los tribunales doña María Isabel Torres Ruiz, en nombre y representación de la recurrente, asistida por la letrada doña Susana Fuentes Gómez, interpuso recurso de amparo contra la sentencia de la Sala de lo Social del Tribunal Superior de Justicia de Madrid núm. 886/2022, de 5 de octubre, que desestimó el recurso de suplicación interpuesto contra la sentencia núm. 26/2022, de 6 de mayo, del Juzgado de lo Social núm. 47 de Madrid, desestimatoria de la demanda que la actora había interpuesto contra la denegación por parte del Instituto Nacional de la Seguridad Social (en adelante, INSS) de la ampliación del permiso y prestación por nacimiento y cuidado de hija con el tiempo que hubiera correspondido al progenitor distinto de la madre biológica, al tratarse de una familia monoparental. También se dirige el recurso de amparo contra el auto de 9 de mayo de 2023 de la Sala de lo Social del Tribunal Supremo que inadmitió el recurso de casación en unificación de doctrina.</w:t>
      </w:r>
    </w:p>
    <w:p w14:paraId="08278686" w14:textId="77777777" w:rsidR="00A8138F" w:rsidRDefault="00A8138F" w:rsidP="00A8138F">
      <w:pPr>
        <w:pStyle w:val="TextoNormal"/>
      </w:pPr>
    </w:p>
    <w:p w14:paraId="5793ACBD" w14:textId="77777777" w:rsidR="00A8138F" w:rsidRDefault="00A8138F" w:rsidP="00A8138F">
      <w:pPr>
        <w:pStyle w:val="TextoNormal"/>
      </w:pPr>
      <w:r w:rsidRPr="00A8138F">
        <w:rPr>
          <w:rStyle w:val="NumeroAFNegritaCaracter"/>
        </w:rPr>
        <w:t>2</w:t>
      </w:r>
      <w:r>
        <w:t>. El presente recurso de amparo trae causa de los siguientes antecedentes:</w:t>
      </w:r>
    </w:p>
    <w:p w14:paraId="36621BF1" w14:textId="77777777" w:rsidR="00A8138F" w:rsidRDefault="00A8138F" w:rsidP="00A8138F">
      <w:pPr>
        <w:pStyle w:val="TextoNormal"/>
      </w:pPr>
    </w:p>
    <w:p w14:paraId="6408ABB9" w14:textId="77777777" w:rsidR="00A8138F" w:rsidRDefault="00A8138F" w:rsidP="00A8138F">
      <w:pPr>
        <w:pStyle w:val="TextoNormal"/>
      </w:pPr>
      <w:r>
        <w:t>a) La recurrente en amparo es madre biológica de una niña, nacida el día 16 de agosto de 2021, con la que constituye una familia monoparental, al tratarse de la única progenitora y de estado civil soltera, siéndole reconocido en resolución de la dirección provincial del INSS de 26 de septiembre de 2021 permiso por nacimiento y cuidado de la menor de dieciséis semanas de duración, con efectos económicos para el periodo comprendido entre el 16 de agosto y el 5 de diciembre de 2021, con una prestación correspondiente al 100 por 100 de la base reguladora diaria. El 8 de octubre de 2021 presentó escrito ante la entidad gestora de la Seguridad Social solicitando la ampliación de este permiso hasta las veintiocho o treinta y dos semanas, como resultado de adicionar al permiso propio ya reconocido, las semanas que corresponderían, en virtud del art. 48.4 del texto refundido de la Ley del estatuto de los trabajadores, aprobado por el Real Decreto Legislativo 2/2015, de 23 de octubre (en adelante, LET), al progenitor distinto de la madre biológica, alegando que dicha ampliación era precisa para el cuidado de la menor en igualdad de condiciones al resto de las familias (biparentales) puesto que la estructura familiar no puede suponer discriminación alguna. No recibió respuesta a esta solicitud, por lo que considerándola desestimada por silencio administrativo, presentó el 24 de noviembre de 2021 nuevo escrito, en forma de reclamación previa a la vía jurisdiccional, solicitando una resolución expresa estimatoria de su pretensión, del que tampoco recibió contestación.</w:t>
      </w:r>
    </w:p>
    <w:p w14:paraId="097F506D" w14:textId="77777777" w:rsidR="00A8138F" w:rsidRDefault="00A8138F" w:rsidP="00A8138F">
      <w:pPr>
        <w:pStyle w:val="TextoNormal"/>
      </w:pPr>
    </w:p>
    <w:p w14:paraId="0EA3BBA1" w14:textId="77777777" w:rsidR="00A8138F" w:rsidRDefault="00A8138F" w:rsidP="00A8138F">
      <w:pPr>
        <w:pStyle w:val="TextoNormal"/>
      </w:pPr>
      <w:r>
        <w:t>b) La actora promovió demanda contra el INSS y la Tesorería General de la Seguridad Social (en adelante, TGSS) que se tramitó como procedimiento especial de Seguridad Social (autos núm. 173-2022), ante el Juzgado de lo Social núm. 47 de Madrid. En su demanda alegó discriminación (art. 14 CE) por habérsele denegado la ampliación del permiso, dictando el juzgado la sentencia núm. 26/2022, de 6 de mayo de 2022, que desestimó su pretensión, absolviendo a las demandadas.</w:t>
      </w:r>
    </w:p>
    <w:p w14:paraId="53535178" w14:textId="77777777" w:rsidR="00A8138F" w:rsidRDefault="00A8138F" w:rsidP="00A8138F">
      <w:pPr>
        <w:pStyle w:val="TextoNormal"/>
      </w:pPr>
    </w:p>
    <w:p w14:paraId="43A569F4" w14:textId="77777777" w:rsidR="00A8138F" w:rsidRDefault="00A8138F" w:rsidP="00A8138F">
      <w:pPr>
        <w:pStyle w:val="TextoNormal"/>
      </w:pPr>
      <w:r>
        <w:lastRenderedPageBreak/>
        <w:t>c) La actora interpuso seguidamente recurso de suplicación ante la Sala de lo Social del Tribunal Superior de Justicia de Madrid (recurso núm. 750-2022), que dictó la sentencia núm. 886/2022, de 5 de octubre por la que desestimó el recurso, confirmando la sentencia del juzgado de lo social. La sentencia acoge la doctrina fijada por la sentencia de Pleno de la Sala de lo Social del Tribunal Supremo, de 2 de marzo de 2023 (ECLI:ES:TS:2023:783), que sostuvo que la función de jueces y tribunales es la interpretación y aplicación de la norma y no la creación del derecho;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Considera,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w:t>
      </w:r>
    </w:p>
    <w:p w14:paraId="64727082" w14:textId="77777777" w:rsidR="00A8138F" w:rsidRDefault="00A8138F" w:rsidP="00A8138F">
      <w:pPr>
        <w:pStyle w:val="TextoNormal"/>
      </w:pPr>
    </w:p>
    <w:p w14:paraId="656D6E00" w14:textId="308E0577" w:rsidR="00A8138F" w:rsidRDefault="00A8138F" w:rsidP="00A8138F">
      <w:pPr>
        <w:pStyle w:val="TextoNormal"/>
      </w:pPr>
      <w:r>
        <w:t>d) Formalizado recurso de casación en unificación de doctrina por la recurrente contra la sentencia de suplicación (recurso núm. 4944-2022), fue inadmitido por falta de interés casacional en auto de fecha 9 de mayo de 2023 de la Sala de lo Social del Tribunal Supremo, declarando la firmeza de la sentencia impugnada.</w:t>
      </w:r>
    </w:p>
    <w:p w14:paraId="3528DDD2" w14:textId="77777777" w:rsidR="00A8138F" w:rsidRDefault="00A8138F" w:rsidP="00A8138F">
      <w:pPr>
        <w:pStyle w:val="TextoNormal"/>
      </w:pPr>
    </w:p>
    <w:p w14:paraId="7F1DED25" w14:textId="77777777" w:rsidR="00A8138F" w:rsidRDefault="00A8138F" w:rsidP="00A8138F">
      <w:pPr>
        <w:pStyle w:val="TextoNormal"/>
      </w:pPr>
      <w:r w:rsidRPr="00A8138F">
        <w:rPr>
          <w:rStyle w:val="NumeroAFNegritaCaracter"/>
        </w:rPr>
        <w:t>3</w:t>
      </w:r>
      <w:r>
        <w:t>. En la demanda de amparo la recurrente invoca la vulneración del derecho de igualdad del art. 14 CE, en relación con el art. 39 CE, en una triple vertiente: (i) discriminación indirecta por razón de sexo de la recurrente, ya que en su mayoría las familias monoparentales, estadísticamente están configuradas por mujeres, perjudicándolas sin justificación objetiva, afectándoles en el ejercicio de su libre autodeterminación de formar familias monoparentales (art. 14 CE, segundo inciso, en relación con el art. 9.2 CE). Pese a su aparente neutralidad, de forma mayoritaria son las mujeres en las que recae toda la responsabilidad del sustento y cuidados del menor, mermando su desarrollo profesional y realizando mayor gasto que una familia biparental, al contar con menor número de semanas de prestación; (ii) vulneración por discriminación directa del menor por razón de nacimiento, proscrito en el art. 14 CE, y (iii) se provoca una discriminación también directa, por circunstancias personales y familiares que resulta de la decisión de formar una familia monoparental, es decir, de su condición familiar afectando a las madres y menores integrantes de familias monoparentales con relación a los integrantes de familias biparentales.</w:t>
      </w:r>
    </w:p>
    <w:p w14:paraId="6816810D" w14:textId="77777777" w:rsidR="00A8138F" w:rsidRDefault="00A8138F" w:rsidP="00A8138F">
      <w:pPr>
        <w:pStyle w:val="TextoNormal"/>
      </w:pPr>
    </w:p>
    <w:p w14:paraId="5551C3CE" w14:textId="4647F744" w:rsidR="00A8138F" w:rsidRDefault="00A8138F" w:rsidP="00A8138F">
      <w:pPr>
        <w:pStyle w:val="TextoNormal"/>
      </w:pPr>
      <w:r>
        <w:t>En atención a ello, la demanda de amparo solicita se declare la nulidad de las resoluciones administrativas presuntas del INSS, desestimatorias por silencio administrativo tras la interposición de la reclamación previa. Así mismo, la nulidad de las resoluciones judiciales: la sentencia de 6 de mayo de 2022 del Juzgado de lo Social núm. 47 de Madrid (autos núm. 173-2022), la sentencia de 5 de octubre de 2022 de la Sala de lo Social del Tribunal Superior de Justicia de Madrid (recurso de suplicación núm. 750-2022) y el auto de 9 de mayo de 2023 de la Sala de lo Social del Tribunal Supremo de inadmisión del recurso de casación en unificación de doctrina (núm. 4944-2022) que declara la firmeza de la sentencia recurrida.</w:t>
      </w:r>
    </w:p>
    <w:p w14:paraId="772013EF" w14:textId="77777777" w:rsidR="00A8138F" w:rsidRDefault="00A8138F" w:rsidP="00A8138F">
      <w:pPr>
        <w:pStyle w:val="TextoNormal"/>
      </w:pPr>
    </w:p>
    <w:p w14:paraId="4C9AA716" w14:textId="77777777" w:rsidR="00A8138F" w:rsidRDefault="00A8138F" w:rsidP="00A8138F">
      <w:pPr>
        <w:pStyle w:val="TextoNormal"/>
      </w:pPr>
      <w:r w:rsidRPr="00A8138F">
        <w:rPr>
          <w:rStyle w:val="NumeroAFNegritaCaracter"/>
        </w:rPr>
        <w:t>4</w:t>
      </w:r>
      <w:r>
        <w:t>. Por providencia de fecha 9 de septiembre de 2024, la Sección Primera de este Tribunal Constitucional acordó admitir a trámite la demanda de amparo, al apreciar que concurre una especial trascendencia constitucional [art. 50.1 de la Ley Orgánica del Tribunal Constitucional (en adelante, LOTC)], toda vez que: “La posible vulneración del derecho fundamental que se denuncia pudiera provenir de la ley o de otra disposición de carácter general [STC 155/2009, de 25 de junio, FJ 2 c)]”.</w:t>
      </w:r>
    </w:p>
    <w:p w14:paraId="426B3F9A" w14:textId="77777777" w:rsidR="00A8138F" w:rsidRDefault="00A8138F" w:rsidP="00A8138F">
      <w:pPr>
        <w:pStyle w:val="TextoNormal"/>
      </w:pPr>
    </w:p>
    <w:p w14:paraId="1A038489" w14:textId="55738D1C" w:rsidR="00A8138F" w:rsidRDefault="00A8138F" w:rsidP="00A8138F">
      <w:pPr>
        <w:pStyle w:val="TextoNormal"/>
      </w:pPr>
      <w:r>
        <w:t>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4944-2022, y al recurso de suplicación núm. 750-2022 respectivamente. Asimismo, acordó dirigir atenta comunicación al Juzgado de lo Social núm. 47 de Madrid a fin de que, en plazo que no excediera de diez días, remitiese certificación o fotocopia adverada de las actuaciones correspondientes a los autos núm. 173-2022, emplazando a quienes hubieran sido parte en el procedimiento, excepto la parte recurrente en amparo, para que, si lo deseaban, pudieran comparecer en el presente recurso.</w:t>
      </w:r>
    </w:p>
    <w:p w14:paraId="12942D5C" w14:textId="77777777" w:rsidR="00A8138F" w:rsidRDefault="00A8138F" w:rsidP="00A8138F">
      <w:pPr>
        <w:pStyle w:val="TextoNormal"/>
      </w:pPr>
    </w:p>
    <w:p w14:paraId="70CF49D6" w14:textId="5B508A21" w:rsidR="00A8138F" w:rsidRDefault="00A8138F" w:rsidP="00A8138F">
      <w:pPr>
        <w:pStyle w:val="TextoNormal"/>
      </w:pPr>
      <w:r w:rsidRPr="00A8138F">
        <w:rPr>
          <w:rStyle w:val="NumeroAFNegritaCaracter"/>
        </w:rPr>
        <w:t>5</w:t>
      </w:r>
      <w:r>
        <w:t>. Mediante escrito presentado el día 28 de noviembre de 2024, la letrada de la administración de la Seguridad Social, actuando en nombre y representación del INSS y de la TGSS interesó su personación en el presente recurso de amparo.</w:t>
      </w:r>
    </w:p>
    <w:p w14:paraId="3710FF94" w14:textId="77777777" w:rsidR="00A8138F" w:rsidRDefault="00A8138F" w:rsidP="00A8138F">
      <w:pPr>
        <w:pStyle w:val="TextoNormal"/>
      </w:pPr>
    </w:p>
    <w:p w14:paraId="33AB0C2C" w14:textId="5D2A6330" w:rsidR="00A8138F" w:rsidRDefault="00A8138F" w:rsidP="00A8138F">
      <w:pPr>
        <w:pStyle w:val="TextoNormal"/>
      </w:pPr>
      <w:r w:rsidRPr="00A8138F">
        <w:rPr>
          <w:rStyle w:val="NumeroAFNegritaCaracter"/>
        </w:rPr>
        <w:t>6</w:t>
      </w:r>
      <w:r>
        <w:t>. Por diligencia de ordenación de la Secretaría de Justicia de la Sala Primera de este tribunal, de fecha 2 de diciembre de 2024, se tuvieron por recibidos los testimonios de actuaciones remitidos por la Sala de lo Social del Tribunal Supremo, por la Sala de lo Social del Tribunal Superior de Justicia de Madrid y por el Juzgado de lo Social núm. 47 de Madrid, y escrito de la letrada de la administración de la Seguridad Social y acordó: (i) tener por personada y parte en el presente procedimiento al letrado de la administración de la Seguridad Social, en nombre y representación del INSS y TGSS; (ii) asimismo, de conformidad con lo establecido en el art. 52.1 LOTC se dispuso a dar vista de las actuaciones en la sede electrónica de este tribunal a la recurrente, al Ministerio Fiscal y a la parte personada, por plazo común de veinte días, para que pudieran presentar las alegaciones que estimaran pertinentes.</w:t>
      </w:r>
    </w:p>
    <w:p w14:paraId="3E5C760B" w14:textId="77777777" w:rsidR="00A8138F" w:rsidRDefault="00A8138F" w:rsidP="00A8138F">
      <w:pPr>
        <w:pStyle w:val="TextoNormal"/>
      </w:pPr>
    </w:p>
    <w:p w14:paraId="5BB0D904" w14:textId="3B0FFDAF" w:rsidR="00A8138F" w:rsidRDefault="00A8138F" w:rsidP="00A8138F">
      <w:pPr>
        <w:pStyle w:val="TextoNormal"/>
      </w:pPr>
      <w:r w:rsidRPr="00A8138F">
        <w:rPr>
          <w:rStyle w:val="NumeroAFNegritaCaracter"/>
        </w:rPr>
        <w:t>7</w:t>
      </w:r>
      <w:r>
        <w:t xml:space="preserve">. A través de escrito presentado el 17 de diciembre 2024 la letrada de la administración de Seguridad Social formuló alegaciones en representación del INSS y TGSS, postulando la desestimación del recurso de amparo. Tras identificar la normativa nacional que regula el permiso y prestación por nacimiento y cuidado del menor, en los arts. 177 y 178 del texto refundido de la Ley general de la Seguridad Social, aprobado por el Real Decreto Legislativo 8/2015 de 30 de octubre (en adelante, LGSS), y 48.4 LET, así como el art. 49 a), b) y c) de la Ley del estatuto básico del empleado público, cita doctrina constitucional, para negar que en este caso las resoluciones administrativas denegatorias de la ampliación, confirmadas por la jurisdicción hayan incurrido en una discriminación de la menor nacida en familia monoparental. Reconoce, no obstante, que la STC 140/2024, de 6 de noviembre, que estima la cuestión de inconstitucionalidad núm. 6694-2023, ha declarado inconstitucionales los arts. 48.4 LET y 177 LGSS, con el alcance que señala en su fundamento jurídico </w:t>
      </w:r>
      <w:r>
        <w:lastRenderedPageBreak/>
        <w:t>séptimo. Añade que el disfrute del permiso requiere el cumplimiento del resto de los requisitos legalmente establecidos para el percibo de la prestación en los que se incluye haber hecho efectivo el descanso, sin prestar servicios por cuenta ajena ni percibir las correspondientes retribuciones. Solicita por ello la desestimación del recurso y que, en caso de estimarse, el aumento de la duración del permiso laboral y la correlativa prestación de seguridad social, tras el agotamiento de las primeras dieciséis semanas, no sea superior a diez semanas.</w:t>
      </w:r>
    </w:p>
    <w:p w14:paraId="36D5F067" w14:textId="77777777" w:rsidR="00A8138F" w:rsidRDefault="00A8138F" w:rsidP="00A8138F">
      <w:pPr>
        <w:pStyle w:val="TextoNormal"/>
      </w:pPr>
    </w:p>
    <w:p w14:paraId="36B03269" w14:textId="7437D77E" w:rsidR="00A8138F" w:rsidRDefault="00A8138F" w:rsidP="00A8138F">
      <w:pPr>
        <w:pStyle w:val="TextoNormal"/>
      </w:pPr>
      <w:r w:rsidRPr="00A8138F">
        <w:rPr>
          <w:rStyle w:val="NumeroAFNegritaCaracter"/>
        </w:rPr>
        <w:t>8</w:t>
      </w:r>
      <w:r>
        <w:t>. La fiscal ante el Tribunal Constitucional presentó escrito el 20 de diciembre de 2024, en el que vierte sus alegaciones interesando la estimación parcial del recurso de amparo. Tras resumir los antecedentes del procedimiento laboral y los fundamentos y alegaciones contenidos en el recurso de amparo, aprecia que no es necesario hacer referencia a la doctrina general sobre el derecho a la igualdad y a la no discriminación por razón de sexo, por ser sobradamente conocida, y porque la STC 140/2024, de 6 de noviembre, ha establecido una doctrina constitucional específica para la cuestión debatida en el presente recurso de amparo, declarando inconstitucional el art. 48.4 LET y el art. 177 LGSS, precisamente por la vulneración del derecho reconocido en el art. 14 CE en relación con el art. 39 CE, por lo que las resoluciones administrativas y judiciales impugnadas, al aplicar los mencionados artículos, han incurrido en la discriminación prohibida por el art. 14 CE, tanto de la demandante de amparo por constituir una familia monoparental, como de la hija menor por razón de nacimiento. Entiende que para el restablecimiento del derecho fundamental vulnerado procede declarar la nulidad de todas las resoluciones impugnadas y la retroacción de actuaciones al momento en el que la demandante presentó ante el INSS la solicitud para que le fuera reconocido el derecho a obtener la ampliación del permiso y prestación con las semanas que le hubieran correspondido al progenitor distinto de la madre biológica, para que se dicte una resolución expresa respetuosa con el derecho fundamental en los términos de la STC 140/2024, de 6 de noviembre.</w:t>
      </w:r>
    </w:p>
    <w:p w14:paraId="138C16E6" w14:textId="77777777" w:rsidR="00A8138F" w:rsidRDefault="00A8138F" w:rsidP="00A8138F">
      <w:pPr>
        <w:pStyle w:val="TextoNormal"/>
      </w:pPr>
    </w:p>
    <w:p w14:paraId="2B6642BA" w14:textId="5053F1E3" w:rsidR="00A8138F" w:rsidRDefault="00A8138F" w:rsidP="00A8138F">
      <w:pPr>
        <w:pStyle w:val="TextoNormal"/>
      </w:pPr>
      <w:r w:rsidRPr="00A8138F">
        <w:rPr>
          <w:rStyle w:val="NumeroAFNegritaCaracter"/>
        </w:rPr>
        <w:t>9</w:t>
      </w:r>
      <w:r>
        <w:t>. La recurrente presentó escrito el 7 de enero de 2025, ratificando la pretensión de la demanda de amparo, dando por reproducidas las argumentaciones vertidas en ella sobre los motivos del fondo del asunto, invocando la reciente STC 140/2024, suplicando se dicte sentencia otorgando el amparo pretendido por la demandante.</w:t>
      </w:r>
    </w:p>
    <w:p w14:paraId="4D9A1676" w14:textId="77777777" w:rsidR="00A8138F" w:rsidRDefault="00A8138F" w:rsidP="00A8138F">
      <w:pPr>
        <w:pStyle w:val="TextoNormal"/>
      </w:pPr>
    </w:p>
    <w:p w14:paraId="15A056D6" w14:textId="433013C7" w:rsidR="00A8138F" w:rsidRDefault="00A8138F" w:rsidP="00A8138F">
      <w:pPr>
        <w:pStyle w:val="TextoNormal"/>
      </w:pPr>
      <w:r w:rsidRPr="00A8138F">
        <w:rPr>
          <w:rStyle w:val="NumeroAFNegritaCaracter"/>
        </w:rPr>
        <w:t>10</w:t>
      </w:r>
      <w:r>
        <w:t>. Por providencia de 6 de febrero de 2025 se señaló para deliberación y votación del presente recurso el día 10 del mismo mes y año.</w:t>
      </w:r>
    </w:p>
    <w:p w14:paraId="3A78D5AE" w14:textId="77777777" w:rsidR="00A8138F" w:rsidRDefault="00A8138F" w:rsidP="00A8138F">
      <w:pPr>
        <w:pStyle w:val="TextoNormal"/>
      </w:pPr>
    </w:p>
    <w:p w14:paraId="4B22BAD9" w14:textId="77777777" w:rsidR="00A8138F" w:rsidRDefault="00A8138F" w:rsidP="00A8138F">
      <w:pPr>
        <w:pStyle w:val="TextoNormalNegritaCentrado"/>
        <w:keepNext/>
      </w:pPr>
      <w:r>
        <w:t>II. Fundamentos jurídicos</w:t>
      </w:r>
    </w:p>
    <w:p w14:paraId="47AC63F7" w14:textId="3B83D22C" w:rsidR="00A8138F" w:rsidRDefault="00A8138F" w:rsidP="00A8138F">
      <w:pPr>
        <w:pStyle w:val="TextoNormalNegritaCentrado"/>
        <w:keepNext/>
      </w:pPr>
    </w:p>
    <w:p w14:paraId="3369CD96" w14:textId="77777777" w:rsidR="00A8138F" w:rsidRDefault="00A8138F" w:rsidP="00A8138F">
      <w:pPr>
        <w:pStyle w:val="TextoNormal"/>
      </w:pPr>
      <w:r w:rsidRPr="00A8138F">
        <w:rPr>
          <w:rStyle w:val="NumeroAFNegritaCaracter"/>
        </w:rPr>
        <w:t>1</w:t>
      </w:r>
      <w:r>
        <w:t xml:space="preserve">. . </w:t>
      </w:r>
      <w:r w:rsidRPr="00A8138F">
        <w:rPr>
          <w:i/>
        </w:rPr>
        <w:t>Objeto del recurso</w:t>
      </w:r>
    </w:p>
    <w:p w14:paraId="209EA0E7" w14:textId="77777777" w:rsidR="00A8138F" w:rsidRDefault="00A8138F" w:rsidP="00A8138F">
      <w:pPr>
        <w:pStyle w:val="TextoNormal"/>
      </w:pPr>
    </w:p>
    <w:p w14:paraId="46F69B2A" w14:textId="6AF7EAF0" w:rsidR="00A8138F" w:rsidRDefault="00A8138F" w:rsidP="00A8138F">
      <w:pPr>
        <w:pStyle w:val="TextoNormal"/>
      </w:pPr>
      <w:r>
        <w:t>El objeto del presente proceso es dilucidar si la sentencia del juzgado de lo social, la sentencia de la Sala de lo Social del Tribunal Superior de Justicia de Madrid y el auto de la Sala de lo Social del Tribunal Supremo de inadmisión del recurso de casación en unificación de doctrina por falta de interés casacional, que declara firme la sentencia impugnada al ser coincidente con la doctrina jurisprudencial, iniciada y mantenida tras la sentencia del Pleno de la Sala Cuarta del Tribunal Supremo de 2 de marzo de 2023, y que resuelve la desestimación de la pretensión demandante, han ocasionado una discriminación por razón de na</w:t>
      </w:r>
      <w:r>
        <w:lastRenderedPageBreak/>
        <w:t>cimiento, contraria al art. 14 CE en relación con el art. 39 CE, al aplicar el art. 48.4 LET, en relación con el art. 177 LGSS, en la redacción dada a los mismos por el Real-Decreto-ley 6/2019, de 1 de marzo, de medidas urgentes para garantía de la igualdad de trato y de oportunidades entre mujeres y hombres en el empleo y la ocupación.</w:t>
      </w:r>
    </w:p>
    <w:p w14:paraId="59E2DF97" w14:textId="77777777" w:rsidR="00A8138F" w:rsidRDefault="00A8138F" w:rsidP="00A8138F">
      <w:pPr>
        <w:pStyle w:val="TextoNormal"/>
      </w:pPr>
    </w:p>
    <w:p w14:paraId="3B143109"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652EFFB4" w14:textId="77777777" w:rsidR="00A8138F" w:rsidRDefault="00A8138F" w:rsidP="00A8138F">
      <w:pPr>
        <w:pStyle w:val="TextoNormal"/>
      </w:pPr>
    </w:p>
    <w:p w14:paraId="2DA7CFED"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52652F90" w14:textId="77777777" w:rsidR="00A8138F" w:rsidRDefault="00A8138F" w:rsidP="00A8138F">
      <w:pPr>
        <w:pStyle w:val="TextoNormal"/>
      </w:pPr>
    </w:p>
    <w:p w14:paraId="6080B6E1"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BFA7BAC" w14:textId="77777777" w:rsidR="00A8138F" w:rsidRDefault="00A8138F" w:rsidP="00A8138F">
      <w:pPr>
        <w:pStyle w:val="TextoNormal"/>
      </w:pPr>
    </w:p>
    <w:p w14:paraId="7FD4D915"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3ECA4FE7" w14:textId="77777777" w:rsidR="00A8138F" w:rsidRDefault="00A8138F" w:rsidP="00A8138F">
      <w:pPr>
        <w:pStyle w:val="TextoNormal"/>
      </w:pPr>
    </w:p>
    <w:p w14:paraId="31859DD3" w14:textId="1034BE00" w:rsidR="00A8138F" w:rsidRDefault="00A8138F" w:rsidP="00A8138F">
      <w:pPr>
        <w:pStyle w:val="TextoNormal"/>
      </w:pPr>
      <w:r>
        <w:t xml:space="preserve">En consecuencia, debe estimarse la demanda y otorgar el amparo solicitado, con nulidad de las sentencias dictadas. Como concretamos en nuestra STC 140/2024, de 6 de noviembre, FJ 7, en tanto el legislador no lleve a cabo la consiguiente reforma normativa, en las familias monoparentales el permiso a que hace referencia el art. 48.4 LET, en relación con el art. 177 LGSS, ha de ser interpretado, para evitar la discriminación de los menores recién nacidos y </w:t>
      </w:r>
      <w:r>
        <w:lastRenderedPageBreak/>
        <w:t>teniendo en cuenta el interés superior de los mismos reconocido constitucionalmente,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14:paraId="3E677EB3" w14:textId="77777777" w:rsidR="00A8138F" w:rsidRDefault="00A8138F" w:rsidP="00A8138F">
      <w:pPr>
        <w:pStyle w:val="TextoNormal"/>
      </w:pPr>
    </w:p>
    <w:p w14:paraId="7AB33129" w14:textId="77777777" w:rsidR="00A8138F" w:rsidRDefault="00A8138F" w:rsidP="00A8138F">
      <w:pPr>
        <w:pStyle w:val="TextoNormalCentrado"/>
        <w:keepNext/>
      </w:pPr>
      <w:r>
        <w:t>FALLO</w:t>
      </w:r>
    </w:p>
    <w:p w14:paraId="4242A488" w14:textId="11AED1CC" w:rsidR="00A8138F" w:rsidRDefault="00A8138F" w:rsidP="00A8138F">
      <w:pPr>
        <w:pStyle w:val="TextoNormalCentrado"/>
        <w:keepNext/>
      </w:pPr>
    </w:p>
    <w:p w14:paraId="50FE411C"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Miriam Gómez Fernández y, en su virtud:</w:t>
      </w:r>
    </w:p>
    <w:p w14:paraId="4503857E" w14:textId="77777777" w:rsidR="00A8138F" w:rsidRDefault="00A8138F" w:rsidP="00A8138F">
      <w:pPr>
        <w:pStyle w:val="TextoNormal"/>
      </w:pPr>
    </w:p>
    <w:p w14:paraId="1ACE4254" w14:textId="77777777" w:rsidR="00A8138F" w:rsidRDefault="00A8138F" w:rsidP="00A8138F">
      <w:pPr>
        <w:pStyle w:val="TextoNormal"/>
      </w:pPr>
      <w:r>
        <w:t>1º Declarar vulnerado el derecho fundamental a la igualdad sin que pueda prevalecer discriminación por razón de nacimiento (art. 14 CE).</w:t>
      </w:r>
    </w:p>
    <w:p w14:paraId="4465BEA3" w14:textId="77777777" w:rsidR="00A8138F" w:rsidRDefault="00A8138F" w:rsidP="00A8138F">
      <w:pPr>
        <w:pStyle w:val="TextoNormal"/>
      </w:pPr>
    </w:p>
    <w:p w14:paraId="61898FAC" w14:textId="77777777" w:rsidR="00A8138F" w:rsidRDefault="00A8138F" w:rsidP="00A8138F">
      <w:pPr>
        <w:pStyle w:val="TextoNormal"/>
      </w:pPr>
      <w:r>
        <w:t>2º A los efectos de restablecer el derecho, declarar la nulidad de las siguientes resoluciones: (i) la sentencia núm. 26/2022, de 6 de mayo, del Juzgado de lo Social núm. 47 de Madrid (procedimiento de Seguridad Social núm. 173-2022); (ii) la sentencia núm. 886/2022, de 5 de octubre, de la Sala de lo Social del Tribunal Superior de Justicia de Madrid (recurso de suplicación núm. 750-2022), y (iii) el auto de 9 de mayo de 2023 de la Sala de lo Social del Tribunal Supremo de inadmisión del recurso de casación para unificación de doctrina (núm. 4944-2022).</w:t>
      </w:r>
    </w:p>
    <w:p w14:paraId="0D5AF071" w14:textId="77777777" w:rsidR="00A8138F" w:rsidRDefault="00A8138F" w:rsidP="00A8138F">
      <w:pPr>
        <w:pStyle w:val="TextoNormal"/>
      </w:pPr>
    </w:p>
    <w:p w14:paraId="04116331" w14:textId="7B179B45" w:rsidR="00A8138F" w:rsidRDefault="00A8138F" w:rsidP="00A8138F">
      <w:pPr>
        <w:pStyle w:val="TextoNormal"/>
      </w:pPr>
      <w:r>
        <w:t>3º Retrotraer las actuaciones al momento en que el Instituto Nacional de la Seguridad Social debió pronunciarse sobre la solicitud de ampliación de la prestación por nacimiento y cuidado de la hija presentada por la recurrente, a fin de que se dicte resolución expresa sobre dicha petición que sea respetuosa con el derecho fundamental reconocido, con el alcance fijado en el último párrafo del fundamento jurídico 2 de esta sentencia.</w:t>
      </w:r>
    </w:p>
    <w:p w14:paraId="208AA15E" w14:textId="77777777" w:rsidR="00A8138F" w:rsidRDefault="00A8138F" w:rsidP="00A8138F">
      <w:pPr>
        <w:pStyle w:val="TextoNormal"/>
      </w:pPr>
    </w:p>
    <w:p w14:paraId="4B191DBD" w14:textId="77777777" w:rsidR="00A8138F" w:rsidRDefault="00A8138F" w:rsidP="00A8138F">
      <w:pPr>
        <w:pStyle w:val="TextoNormal"/>
      </w:pPr>
      <w:r>
        <w:t>Publíquese esta sentencia en el “Boletín Oficial del Estado”.</w:t>
      </w:r>
    </w:p>
    <w:p w14:paraId="3A7898C4" w14:textId="77777777" w:rsidR="00A8138F" w:rsidRDefault="00A8138F" w:rsidP="00A8138F">
      <w:pPr>
        <w:pStyle w:val="TextoNormal"/>
      </w:pPr>
      <w:r>
        <w:t>Dada en Madrid, a diez de febrero de dos mil veinticinco.</w:t>
      </w:r>
    </w:p>
    <w:p w14:paraId="16CB2448" w14:textId="0A3BAB30" w:rsidR="00A8138F" w:rsidRDefault="00A8138F">
      <w:pPr>
        <w:spacing w:after="160" w:line="278" w:lineRule="auto"/>
        <w:rPr>
          <w:rFonts w:ascii="Times New Roman" w:eastAsia="Times New Roman" w:hAnsi="Times New Roman" w:cs="Times New Roman"/>
          <w:sz w:val="24"/>
          <w:szCs w:val="24"/>
          <w:lang w:eastAsia="es-ES"/>
        </w:rPr>
      </w:pPr>
      <w:r>
        <w:br w:type="page"/>
      </w:r>
    </w:p>
    <w:p w14:paraId="184A78E9" w14:textId="77777777" w:rsidR="00A8138F" w:rsidRDefault="00A8138F" w:rsidP="00A8138F">
      <w:pPr>
        <w:pStyle w:val="TtuloResolucin"/>
      </w:pPr>
      <w:bookmarkStart w:id="33" w:name="SENTENCIA_2025_31"/>
      <w:r>
        <w:lastRenderedPageBreak/>
        <w:t>SENTENCIA 31/2025, de 10 de febrero de 2025</w:t>
      </w:r>
    </w:p>
    <w:bookmarkEnd w:id="33"/>
    <w:p w14:paraId="51A85458" w14:textId="77777777" w:rsidR="00A8138F" w:rsidRDefault="00A8138F" w:rsidP="00A8138F">
      <w:pPr>
        <w:pStyle w:val="TtuloResolucin"/>
      </w:pPr>
      <w:r>
        <w:t>Sala Primera</w:t>
      </w:r>
    </w:p>
    <w:p w14:paraId="76F899DB" w14:textId="77777777" w:rsidR="00A8138F" w:rsidRDefault="00A8138F" w:rsidP="00A8138F">
      <w:pPr>
        <w:pStyle w:val="TtuloBOE"/>
      </w:pPr>
      <w:r>
        <w:t>(BOE núm. 69, de 21 de marzo de 2025)</w:t>
      </w:r>
    </w:p>
    <w:p w14:paraId="70FB27D0" w14:textId="77777777" w:rsidR="00A8138F" w:rsidRDefault="00A8138F" w:rsidP="00A8138F">
      <w:pPr>
        <w:pStyle w:val="TextoNormalCentrado"/>
      </w:pPr>
      <w:r>
        <w:t>ECLI:ES:TC:2025:31</w:t>
      </w:r>
    </w:p>
    <w:p w14:paraId="6172D327" w14:textId="0D1B7243" w:rsidR="00A8138F" w:rsidRDefault="00A8138F" w:rsidP="00A8138F">
      <w:pPr>
        <w:pStyle w:val="TextoNormalCentrado"/>
      </w:pPr>
    </w:p>
    <w:p w14:paraId="10D6BA9A" w14:textId="77777777" w:rsidR="00A8138F" w:rsidRDefault="00A8138F" w:rsidP="00A8138F">
      <w:pPr>
        <w:pStyle w:val="SntesisDescriptiva"/>
      </w:pPr>
      <w:r>
        <w:t>Recurso de amparo 5242-2023. Promovido por doña Wenzhou Zeng respecto de la sentencia dictada por la Audiencia Provincial de Barcelona que anuló su previa absolución de varios delitos contra la hacienda pública.</w:t>
      </w:r>
    </w:p>
    <w:p w14:paraId="41949AFB" w14:textId="7D0A57C9" w:rsidR="00A8138F" w:rsidRDefault="00A8138F" w:rsidP="00A8138F">
      <w:pPr>
        <w:pStyle w:val="SntesisDescriptiva"/>
      </w:pPr>
    </w:p>
    <w:p w14:paraId="33D36BB3" w14:textId="77777777" w:rsidR="00A8138F" w:rsidRDefault="00A8138F" w:rsidP="00A8138F">
      <w:pPr>
        <w:pStyle w:val="SntesisAnaltica"/>
      </w:pPr>
      <w:r>
        <w:t>Vulneración del derecho a la tutela judicial efectiva (motivación): resolución judicial que, sin ponderar adecuadamente el derecho a la inviolabilidad del domicilio, incorpora a la causa las pruebas de cargo obtenidas a partir de una diligencia de entrada y registro anulada en la instancia y cuya conformidad a Derecho no puede volver a ser enjuiciada.</w:t>
      </w:r>
    </w:p>
    <w:p w14:paraId="21537B15" w14:textId="5B1E4895" w:rsidR="00A8138F" w:rsidRDefault="00A8138F" w:rsidP="00A8138F">
      <w:pPr>
        <w:pStyle w:val="SntesisAnaltica"/>
      </w:pPr>
    </w:p>
    <w:p w14:paraId="74A83F53" w14:textId="05366E31" w:rsidR="00A8138F" w:rsidRDefault="00A8138F" w:rsidP="00A8138F">
      <w:pPr>
        <w:pStyle w:val="Extracto"/>
      </w:pPr>
      <w:r>
        <w:t>1.</w:t>
      </w:r>
      <w:r>
        <w:tab/>
        <w:t>La firmeza de las resoluciones dictadas en vía contencioso-administrativa no impide el despliegue del deber que corresponde, tanto al juez de lo penal como al órgano de apelación, de velar por la tutela y garantía de los derechos fundamentales en el examen de las pruebas de cargo que, obtenidas en un procedimiento sancionador contencioso-administrativo, pueda constituir el fundamento de un pronunciamiento condenatorio del acusado [FJ 5].</w:t>
      </w:r>
    </w:p>
    <w:p w14:paraId="44C2C927" w14:textId="77777777" w:rsidR="00A8138F" w:rsidRDefault="00A8138F" w:rsidP="00A8138F">
      <w:pPr>
        <w:pStyle w:val="Extracto"/>
      </w:pPr>
    </w:p>
    <w:p w14:paraId="7B0E4895" w14:textId="16E81914" w:rsidR="00A8138F" w:rsidRDefault="00A8138F" w:rsidP="00A8138F">
      <w:pPr>
        <w:pStyle w:val="Extracto"/>
      </w:pPr>
      <w:r>
        <w:t>2.</w:t>
      </w:r>
      <w:r>
        <w:tab/>
        <w:t>Resulta exigible un deber de motivación reforzada (art. 24.1 CE) a toda sentencia penal de condena, y dicha garantía debe satisfacerse también cuando se trate de sentencias en que el tribunal superior revoca una previa sentencia penal absolutoria, aunque a continuación no condene sino que acuerde la orden de retroacción de actuaciones ante el órgano judicial de origen [FJ 5].</w:t>
      </w:r>
    </w:p>
    <w:p w14:paraId="414D1D74" w14:textId="77777777" w:rsidR="00A8138F" w:rsidRDefault="00A8138F" w:rsidP="00A8138F">
      <w:pPr>
        <w:pStyle w:val="Extracto"/>
      </w:pPr>
    </w:p>
    <w:p w14:paraId="4B62C625" w14:textId="034EB985" w:rsidR="00A8138F" w:rsidRDefault="00A8138F" w:rsidP="00A8138F">
      <w:pPr>
        <w:pStyle w:val="Extracto"/>
      </w:pPr>
      <w:r>
        <w:t>3.</w:t>
      </w:r>
      <w:r>
        <w:tab/>
        <w:t>El tribunal de apelación tiene que satisfacer el derecho de motivación reforzada (art. 24.1 CE), dando respuesta a las quejas de vulneración de derechos fundamentales que le hayan sido puestas de manifiesto por la parte acusada en los trámites procesales previstos en las leyes y reconocidos por este Tribunal Constitucional como idóneos para la denuncia de tales vulneraciones [FJ 5].</w:t>
      </w:r>
    </w:p>
    <w:p w14:paraId="0DC5AA9C" w14:textId="77777777" w:rsidR="00A8138F" w:rsidRDefault="00A8138F" w:rsidP="00A8138F">
      <w:pPr>
        <w:pStyle w:val="Extracto"/>
      </w:pPr>
    </w:p>
    <w:p w14:paraId="6A721817" w14:textId="16211AF9" w:rsidR="00A8138F" w:rsidRDefault="00A8138F" w:rsidP="00A8138F">
      <w:pPr>
        <w:pStyle w:val="Extracto"/>
      </w:pPr>
      <w:r>
        <w:t>4.</w:t>
      </w:r>
      <w:r>
        <w:tab/>
        <w:t>Al órgano judicial penal, al incorporar al procedimiento y valorar pruebas de cargo obtenidas a partir de una diligencia de entrada y registro acordada por los tribunales del orden contencioso-administrativo, le corresponde razonar sobre la exigibilidad de un previo procedimiento inspector abierto y notificado al obligado tributario como garantía de la acusada en el procedimiento penal y de acuerdo con las normas que lo rigen [FJ 5].</w:t>
      </w:r>
    </w:p>
    <w:p w14:paraId="1F3C60A7" w14:textId="77777777" w:rsidR="00A8138F" w:rsidRDefault="00A8138F" w:rsidP="00A8138F">
      <w:pPr>
        <w:pStyle w:val="Extracto"/>
      </w:pPr>
    </w:p>
    <w:p w14:paraId="4E4225BA" w14:textId="77777777" w:rsidR="00A8138F" w:rsidRDefault="00A8138F" w:rsidP="00A8138F">
      <w:pPr>
        <w:pStyle w:val="Extracto"/>
      </w:pPr>
    </w:p>
    <w:p w14:paraId="367D5749"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6A246735" w14:textId="18DB7753" w:rsidR="00A8138F" w:rsidRDefault="00A8138F" w:rsidP="00A8138F">
      <w:pPr>
        <w:pStyle w:val="TextoNormal"/>
      </w:pPr>
    </w:p>
    <w:p w14:paraId="51E00503" w14:textId="77777777" w:rsidR="00A8138F" w:rsidRDefault="00A8138F" w:rsidP="00A8138F">
      <w:pPr>
        <w:pStyle w:val="TextoNormalCentrado"/>
        <w:keepNext/>
      </w:pPr>
      <w:r>
        <w:lastRenderedPageBreak/>
        <w:t>EN NOMBRE DEL REY</w:t>
      </w:r>
    </w:p>
    <w:p w14:paraId="40CEF07B" w14:textId="5DEC6B5F" w:rsidR="00A8138F" w:rsidRDefault="00A8138F" w:rsidP="00A8138F">
      <w:pPr>
        <w:pStyle w:val="TextoNormalCentrado"/>
        <w:keepNext/>
      </w:pPr>
    </w:p>
    <w:p w14:paraId="4E7215B0" w14:textId="77777777" w:rsidR="00A8138F" w:rsidRDefault="00A8138F" w:rsidP="00A8138F">
      <w:pPr>
        <w:pStyle w:val="TextoNormalCentrado"/>
        <w:keepNext/>
      </w:pPr>
    </w:p>
    <w:p w14:paraId="79099DC5" w14:textId="77777777" w:rsidR="00A8138F" w:rsidRDefault="00A8138F" w:rsidP="00A8138F">
      <w:pPr>
        <w:pStyle w:val="TextoNormal"/>
      </w:pPr>
      <w:r>
        <w:t>la siguiente</w:t>
      </w:r>
    </w:p>
    <w:p w14:paraId="4DBDFE51" w14:textId="0CD240B8" w:rsidR="00A8138F" w:rsidRDefault="00A8138F" w:rsidP="00A8138F">
      <w:pPr>
        <w:pStyle w:val="TextoNormal"/>
      </w:pPr>
    </w:p>
    <w:p w14:paraId="7DB77C1E" w14:textId="77777777" w:rsidR="00A8138F" w:rsidRDefault="00A8138F" w:rsidP="00A8138F">
      <w:pPr>
        <w:pStyle w:val="TextoNormalCentrado"/>
        <w:keepNext/>
      </w:pPr>
      <w:r>
        <w:t>SENTENCIA</w:t>
      </w:r>
    </w:p>
    <w:p w14:paraId="7253BD87" w14:textId="119AE107" w:rsidR="00A8138F" w:rsidRDefault="00A8138F" w:rsidP="00A8138F">
      <w:pPr>
        <w:pStyle w:val="TextoNormalCentrado"/>
        <w:keepNext/>
      </w:pPr>
    </w:p>
    <w:p w14:paraId="265A9DAA" w14:textId="77777777" w:rsidR="00A8138F" w:rsidRDefault="00A8138F" w:rsidP="00A8138F">
      <w:pPr>
        <w:pStyle w:val="TextoNormal"/>
      </w:pPr>
      <w:r>
        <w:t>En el recurso de amparo núm. 5242-2023, promovido por doña Wenzhou Zeng, contra la sentencia de apelación núm. 354/2022, de 1 de septiembre, y contra el auto de 1 de junio de 2023 que desestimó el incidente de nulidad promovido contra la anterior resolución, ambos dictados por la Sección Vigesimoprimera de la Audiencia Provincial de Barcelona. Ha actuado como parte la Agencia Estatal de Administración Tributaria, representada por el abogado del Estado. Ha intervenido el Ministerio Fiscal. Ha sido ponente el magistrado don Ricardo Enríquez Sancho.</w:t>
      </w:r>
    </w:p>
    <w:p w14:paraId="3E913523" w14:textId="19A692CE" w:rsidR="00A8138F" w:rsidRDefault="00A8138F" w:rsidP="00A8138F">
      <w:pPr>
        <w:pStyle w:val="TextoNormal"/>
      </w:pPr>
    </w:p>
    <w:p w14:paraId="29FF1F0B" w14:textId="77777777" w:rsidR="00A8138F" w:rsidRDefault="00A8138F" w:rsidP="00A8138F">
      <w:pPr>
        <w:pStyle w:val="TextoNormalNegritaCentrado"/>
        <w:keepNext/>
      </w:pPr>
      <w:r>
        <w:t>I. Antecedentes</w:t>
      </w:r>
    </w:p>
    <w:p w14:paraId="0E842087" w14:textId="7DE08945" w:rsidR="00A8138F" w:rsidRDefault="00A8138F" w:rsidP="00A8138F">
      <w:pPr>
        <w:pStyle w:val="TextoNormalNegritaCentrado"/>
        <w:keepNext/>
      </w:pPr>
    </w:p>
    <w:p w14:paraId="265946AF" w14:textId="028DA0B4" w:rsidR="00A8138F" w:rsidRDefault="00A8138F" w:rsidP="00A8138F">
      <w:pPr>
        <w:pStyle w:val="TextoNormal"/>
      </w:pPr>
      <w:r w:rsidRPr="00A8138F">
        <w:rPr>
          <w:rStyle w:val="NumeroAFNegritaCaracter"/>
        </w:rPr>
        <w:t>1</w:t>
      </w:r>
      <w:r>
        <w:t>. Mediante escrito presentado en el registro general de este tribunal de 25 de julio de 2023, el procurador de los tribunales don Luis Fernando Granados Bravo, actuando en nombre y representación de doña Wenzhou Zeng y asistida por el abogado don Diego Artacho Martín-Lagos, formuló demanda de amparo contra las resoluciones arriba mencionadas.</w:t>
      </w:r>
    </w:p>
    <w:p w14:paraId="4BBFFA57" w14:textId="77777777" w:rsidR="00A8138F" w:rsidRDefault="00A8138F" w:rsidP="00A8138F">
      <w:pPr>
        <w:pStyle w:val="TextoNormal"/>
      </w:pPr>
    </w:p>
    <w:p w14:paraId="5E82A094" w14:textId="77777777" w:rsidR="00A8138F" w:rsidRDefault="00A8138F" w:rsidP="00A8138F">
      <w:pPr>
        <w:pStyle w:val="TextoNormal"/>
      </w:pPr>
      <w:r w:rsidRPr="00A8138F">
        <w:rPr>
          <w:rStyle w:val="NumeroAFNegritaCaracter"/>
        </w:rPr>
        <w:t>2</w:t>
      </w:r>
      <w:r>
        <w:t>. Los hechos con relevancia para la resolución del presente recurso de amparo y a los que se refiere la demanda presentada, son los siguientes:</w:t>
      </w:r>
    </w:p>
    <w:p w14:paraId="2E71D8AA" w14:textId="77777777" w:rsidR="00A8138F" w:rsidRDefault="00A8138F" w:rsidP="00A8138F">
      <w:pPr>
        <w:pStyle w:val="TextoNormal"/>
      </w:pPr>
    </w:p>
    <w:p w14:paraId="0FFD1474" w14:textId="77777777" w:rsidR="00A8138F" w:rsidRDefault="00A8138F" w:rsidP="00A8138F">
      <w:pPr>
        <w:pStyle w:val="TextoNormal"/>
      </w:pPr>
      <w:r>
        <w:t>A) Por auto de 7 de octubre de 2011 dictado por el Juzgado de lo Contencioso-Administrativo núm. 1 de Barcelona y posteriormente ampliado por auto de 20 de octubre de 2011, se autorizó la entrada y registro en la empresa Da Hua Zeng, S.L., de la que era administradora doña Wenzhou Zeng. El referido auto fue confirmado en sentencia de 14 de mayo de 2012 dictada por la Sección Primera de la Sala de lo Contencioso-Administrativo del Tribunal Superior de Justicia de Cataluña. Concluido el procedimiento tributario y constatado que determinadas cuotas eran superiores a las previstas por el Código penal para los delitos contra la hacienda pública, se inició el correspondiente procedimiento penal mediante querella presentada por el Ministerio Fiscal el 8 de enero de 2013.</w:t>
      </w:r>
    </w:p>
    <w:p w14:paraId="3DB7336D" w14:textId="77777777" w:rsidR="00A8138F" w:rsidRDefault="00A8138F" w:rsidP="00A8138F">
      <w:pPr>
        <w:pStyle w:val="TextoNormal"/>
      </w:pPr>
    </w:p>
    <w:p w14:paraId="60BC9303" w14:textId="77777777" w:rsidR="00A8138F" w:rsidRDefault="00A8138F" w:rsidP="00A8138F">
      <w:pPr>
        <w:pStyle w:val="TextoNormal"/>
      </w:pPr>
      <w:r>
        <w:t>B) Finalizada la instrucción penal, el Ministerio Fiscal y la Agencia Estatal de Administración Tributaria (AEAT) formularon acusación contra doña Wenzhou Zeng por la comisión de cuatro delitos contra la hacienda pública, referidos al impuesto sobre el valor añadido (en adelante, IVA), correspondientes a los ejercicios 2007, 2008, 2009 y 2011 [art. 305.1 y 2 del Código penal (CP) en la redacción vigente en la fecha de los hechos].</w:t>
      </w:r>
    </w:p>
    <w:p w14:paraId="43D1F85A" w14:textId="77777777" w:rsidR="00A8138F" w:rsidRDefault="00A8138F" w:rsidP="00A8138F">
      <w:pPr>
        <w:pStyle w:val="TextoNormal"/>
      </w:pPr>
    </w:p>
    <w:p w14:paraId="5618987E" w14:textId="77777777" w:rsidR="00A8138F" w:rsidRDefault="00A8138F" w:rsidP="00A8138F">
      <w:pPr>
        <w:pStyle w:val="TextoNormal"/>
      </w:pPr>
      <w:r>
        <w:t>C) Los días 9 y 12 de noviembre y 10 de diciembre de 2021 se celebraron las sesiones del juicio oral (procedimiento abreviado núm. 41-2019) ante el Juzgado de lo Penal núm. 26 de Barcelona.</w:t>
      </w:r>
    </w:p>
    <w:p w14:paraId="562B11BD" w14:textId="77777777" w:rsidR="00A8138F" w:rsidRDefault="00A8138F" w:rsidP="00A8138F">
      <w:pPr>
        <w:pStyle w:val="TextoNormal"/>
      </w:pPr>
    </w:p>
    <w:p w14:paraId="73546453" w14:textId="77777777" w:rsidR="00A8138F" w:rsidRDefault="00A8138F" w:rsidP="00A8138F">
      <w:pPr>
        <w:pStyle w:val="TextoNormal"/>
      </w:pPr>
      <w:r>
        <w:lastRenderedPageBreak/>
        <w:t>Al inicio de la vista oral, en el trámite de cuestiones previas, la defensa de doña Wenzhou Zeng denunció la vulneración del derecho fundamental a la inviolabilidad del domicilio (art. 18.2 CE) provocada por la diligencia de entrada y registro en el domicilio de la mercantil Da Hua Zeng, S.L., de la que era administradora. La defensa de la acusada afirmó que el auto de 7 de octubre de 2011 y el ampliatorio de 20 de octubre de 2011 dictados por el Juzgado de lo Contencioso-Administrativo núm. 1 de Barcelona, acordando la referida diligencia, y la sentencia de la Sala de lo Contencioso–Administrativo del Tribunal Superior de Justicia de Cataluña de 12 de mayo de 2012, confirmando dichas resoluciones, contravenían la doctrina de la Sala de lo Contencioso-Administrativo del Tribunal Supremo que exigía, como requisito previo a la autorización de la entrada y registro en domicilio, la existencia de un procedimiento de inspección ya abierto y cuyo inicio se hubiera notificado previamente al obligado tributario [indicando a su favor las SSTS 1231/2020, de 1 de octubre, (ECLI:ES:TS:2020:3023) y 1163/2021, de 23 de septiembre, (ECLI:ES:TS:2021:3502)]. Pedía, por ello, que las referidas resoluciones y las pruebas obtenidas en la entrada y registro y utilizadas en el procedimiento penal fueran declaradas nulas.</w:t>
      </w:r>
    </w:p>
    <w:p w14:paraId="30F4CA0C" w14:textId="77777777" w:rsidR="00A8138F" w:rsidRDefault="00A8138F" w:rsidP="00A8138F">
      <w:pPr>
        <w:pStyle w:val="TextoNormal"/>
      </w:pPr>
    </w:p>
    <w:p w14:paraId="3EAF4813" w14:textId="77777777" w:rsidR="00A8138F" w:rsidRDefault="00A8138F" w:rsidP="00A8138F">
      <w:pPr>
        <w:pStyle w:val="TextoNormal"/>
      </w:pPr>
      <w:r>
        <w:t>D) Celebrado el juicio oral, el Juzgado de lo Penal núm. 26 de Barcelona dictó la sentencia núm. 532/2021, de 29 de diciembre, por la que absolvió a la demandante de amparo de los cuatro delitos contra la hacienda pública por los que había sido acusada (art. 305.1 y 2 CP en la redacción vigente en la fecha de los hechos). De conformidad con los hechos probados de la sentencia absolutoria:</w:t>
      </w:r>
    </w:p>
    <w:p w14:paraId="1DB9E98F" w14:textId="77777777" w:rsidR="00A8138F" w:rsidRDefault="00A8138F" w:rsidP="00A8138F">
      <w:pPr>
        <w:pStyle w:val="TextoNormal"/>
      </w:pPr>
    </w:p>
    <w:p w14:paraId="3061B6DF" w14:textId="77777777" w:rsidR="00A8138F" w:rsidRDefault="00A8138F" w:rsidP="00A8138F">
      <w:pPr>
        <w:pStyle w:val="TextoNormal"/>
      </w:pPr>
      <w:r>
        <w:t>“Segundo: La acusada, para poder conseguir un mayor beneficio económico de la actividad desarrollada a través de la sociedad que ella administraba, Da Hua Zeng, S.L., y con evidente ánimo defraudatorio para la hacienda pública, durante los ejercicios de 2007, 2009 y el de 2011 no contabilizó ni declaró gran parte de las ventas realizadas, declarando en la aduana valores de importación de las mercancías muy inferiores a las reales de modo que conseguía entrar en el país mercancías por un volumen e importe inferior al real vendiéndolas después de forma opaca. Asimismo, tampoco contabilizó ni declaró ventas realizadas en España que se llevaron a cabo sin emitir facturas y sin repercutir el IVA correspondiente, de manera que en el ámbito del impuesto sobre el valor añadido (en adelante IVA) la no declaración de dichas ventas dio lugar a un volumen de cuotas no repercutidas ni declaradas ni por ello ingresadas a Hacienda en el ámbito del referido impuesto, si bien no ha podido determinarse el importe de  las cuotas defraudadas en los diferentes ejercicios indicados y que dicha defraudación sea superior a los 120 000 € por cada ejercicio fiscal.</w:t>
      </w:r>
    </w:p>
    <w:p w14:paraId="421BE306" w14:textId="77777777" w:rsidR="00A8138F" w:rsidRDefault="00A8138F" w:rsidP="00A8138F">
      <w:pPr>
        <w:pStyle w:val="TextoNormal"/>
      </w:pPr>
    </w:p>
    <w:p w14:paraId="558706CC" w14:textId="77777777" w:rsidR="00A8138F" w:rsidRDefault="00A8138F" w:rsidP="00A8138F">
      <w:pPr>
        <w:pStyle w:val="TextoNormal"/>
      </w:pPr>
      <w:r>
        <w:t>[…]</w:t>
      </w:r>
    </w:p>
    <w:p w14:paraId="3DCBFF9F" w14:textId="77777777" w:rsidR="00A8138F" w:rsidRDefault="00A8138F" w:rsidP="00A8138F">
      <w:pPr>
        <w:pStyle w:val="TextoNormal"/>
      </w:pPr>
    </w:p>
    <w:p w14:paraId="767F4F08" w14:textId="77777777" w:rsidR="00A8138F" w:rsidRDefault="00A8138F" w:rsidP="00A8138F">
      <w:pPr>
        <w:pStyle w:val="TextoNormal"/>
      </w:pPr>
      <w:r>
        <w:t xml:space="preserve">Cuarto: En fecha 7 de octubre de 2011, tras haberse iniciado actuaciones de comprobación e investigación tributaria en relación al IVA de 2007, 2008, 2009 y 2011 por la AEAT de Girona relativo a la supervisión y control del cumplimiento de las obligaciones tributarias por parte de los comerciantes minoristas de dicha provincia que identificaban como proveedor de sus productos a la mercantil Da Hua Zeng, S.L., se personaron en las instalaciones de la referida mercantil miembros de la Inspección de tributos de la AEAT y funcionarios de la de la Inspección financiera y aduanas, en los locales de aquella, sito en la calle Industria núm. 602 de Badalona, y ello, mediante auto de fecha 7 de octubre de 2011 dictado por el Juzgado Contencioso- Administrativo núm. 1 de Barcelona; resolución que fue confirmada </w:t>
      </w:r>
      <w:r>
        <w:lastRenderedPageBreak/>
        <w:t>por la sentencia núm. 523 de 14 de mayo de 2012 dictada por la Sección Primera de la Sala de lo Contencioso-Administrativo del Tribunal Superior de Justicia de Catalunya”.</w:t>
      </w:r>
    </w:p>
    <w:p w14:paraId="03418FDA" w14:textId="77777777" w:rsidR="00A8138F" w:rsidRDefault="00A8138F" w:rsidP="00A8138F">
      <w:pPr>
        <w:pStyle w:val="TextoNormal"/>
      </w:pPr>
    </w:p>
    <w:p w14:paraId="6374A19A" w14:textId="77777777" w:rsidR="00A8138F" w:rsidRDefault="00A8138F" w:rsidP="00A8138F">
      <w:pPr>
        <w:pStyle w:val="TextoNormal"/>
      </w:pPr>
      <w:r>
        <w:t>E) En la fundamentación jurídica de la sentencia absolutoria se estimó la solicitud planteada en fase de cuestiones previas por la defensa de la acusada y se declaró la nulidad del auto de 7 de octubre de 2011 y del ampliatorio de 20 de octubre de 2011 dictados por el Juzgado de lo Contencioso-Administrativo núm. 1 de Barcelona, confirmados en sentencia dictada por la Sección Primera de la Sala de lo Contencioso-Administrativo del Tribunal Superior de Justicia de Cataluña de 14 de mayo de 2012. La juzgadora consideró que las resoluciones acordando la entrada y registro del domicilio de la persona jurídica Da Hua Zeng, S.L., administrada por la investigada, vulneraron su derecho fundamental a la inviolabilidad domiciliaria (art. 18.2 CE), si bien por un motivo distinto al alegado por la defensa.</w:t>
      </w:r>
    </w:p>
    <w:p w14:paraId="1F95B302" w14:textId="77777777" w:rsidR="00A8138F" w:rsidRDefault="00A8138F" w:rsidP="00A8138F">
      <w:pPr>
        <w:pStyle w:val="TextoNormal"/>
      </w:pPr>
    </w:p>
    <w:p w14:paraId="32187933" w14:textId="77777777" w:rsidR="00A8138F" w:rsidRDefault="00A8138F" w:rsidP="00A8138F">
      <w:pPr>
        <w:pStyle w:val="TextoNormal"/>
      </w:pPr>
      <w:r>
        <w:t>La sentencia fundamentó la nulidad de las resoluciones en su falta de motivación y de proporcionalidad y anudó como consecuencia de dicha nulidad, la inexistencia de prueba de cargo en el proceso penal por los delitos contra la hacienda pública por los que aquella venía siendo acusada. Señala en este punto la sentencia (fundamento de derecho segundo):</w:t>
      </w:r>
    </w:p>
    <w:p w14:paraId="2A11ABB8" w14:textId="77777777" w:rsidR="00A8138F" w:rsidRDefault="00A8138F" w:rsidP="00A8138F">
      <w:pPr>
        <w:pStyle w:val="TextoNormal"/>
      </w:pPr>
    </w:p>
    <w:p w14:paraId="3A0741EC" w14:textId="77777777" w:rsidR="00A8138F" w:rsidRDefault="00A8138F" w:rsidP="00A8138F">
      <w:pPr>
        <w:pStyle w:val="TextoNormal"/>
      </w:pPr>
      <w:r>
        <w:t>“El auto de fecha 7 de octubre de 2011 incorporado en el documento electrónico y en el cd de la AEAT en realidad es un auto genérico, no indica qué razones llevan a aconsejar en dicho momento la autorización judicial y la única referencia existente a la solicitud llevada a cabo por la AEAT se da en el antecedente de hecho segundo de la misma siendo que se trata de un ‘modelo’ al uso aplicable a cualquier otra sociedad que se quiera investigar si ofrecer datos concretos y específicos para la que debe ser objeto de la diligencia de entrada y registro que se solicita. Se dirá y es cierto porque así consta en las actuaciones, que el mencionado auto de 7 de octubre de 2011 así como el ampliatorio de 20 de octubre de 2011 (obra este a los folios 2390 a 2393 del tomo VI), fue íntegramente confirmado por la sentencia de 14 de mayo de 2012 (véanse los folios 2394 y ss., tomo VI de la causa), dictada por la Sección Primera de la Sala de lo Contencioso-Administrativo del Tribunal Superior de Justicia de Catalunya. Pese a lo anterior, ello no impide la obligación de esta juzgadora de examinar la petición de las defensas que la llevan a cabo en un procedimiento penal, que no contencioso, debiendo no solo tener en cuenta dicha petición de nulidad desde el punto de vista de la garantía constitucional a la inviolabilidad del domicilio aun siendo una persona jurídica, sino también debe tenerse en cuenta que en este procedimiento penal no se ha aportado más que lo que existe en la causa y es en dicho acervo probatorio en el que debe fundarse la solución a la cuestión planteada aquí, no conociendo si en el momento de resolverse el recurso planteado ante el Tribunal Superior de Justicia se aportó documentación adicional que fue condicionante de la resolución allí dictada y cuya existencia de ser así se ignora aquí y no se ha acompañado”.</w:t>
      </w:r>
    </w:p>
    <w:p w14:paraId="0B0D3945" w14:textId="77777777" w:rsidR="00A8138F" w:rsidRDefault="00A8138F" w:rsidP="00A8138F">
      <w:pPr>
        <w:pStyle w:val="TextoNormal"/>
      </w:pPr>
    </w:p>
    <w:p w14:paraId="52699945" w14:textId="77777777" w:rsidR="00A8138F" w:rsidRDefault="00A8138F" w:rsidP="00A8138F">
      <w:pPr>
        <w:pStyle w:val="TextoNormal"/>
      </w:pPr>
      <w:r>
        <w:t>A continuación, y con cita de la STS 1231/2020, de 1 de octubre, de la Sala de lo Contencioso-Administrativo, la juzgadora expone los presupuestos necesarios para considerar la documentación obtenida en una diligencia de entrada y registro autorizada por los tribunales contencioso-administrativos como prueba de cargo en un proceso penal:</w:t>
      </w:r>
    </w:p>
    <w:p w14:paraId="340A98EE" w14:textId="77777777" w:rsidR="00A8138F" w:rsidRDefault="00A8138F" w:rsidP="00A8138F">
      <w:pPr>
        <w:pStyle w:val="TextoNormal"/>
      </w:pPr>
    </w:p>
    <w:p w14:paraId="20BA48D1" w14:textId="77777777" w:rsidR="00A8138F" w:rsidRDefault="00A8138F" w:rsidP="00A8138F">
      <w:pPr>
        <w:pStyle w:val="TextoNormal"/>
      </w:pPr>
      <w:r>
        <w:t>“1 Suficiencia de la descripción de las actividades operativas, de no ser así los agentes fundamentarían su solicitud en base a meros intentos prospectivos o informaciones no concretadas o especificadas.</w:t>
      </w:r>
    </w:p>
    <w:p w14:paraId="75F7866E" w14:textId="77777777" w:rsidR="00A8138F" w:rsidRDefault="00A8138F" w:rsidP="00A8138F">
      <w:pPr>
        <w:pStyle w:val="TextoNormal"/>
      </w:pPr>
    </w:p>
    <w:p w14:paraId="06A890C0" w14:textId="77777777" w:rsidR="00A8138F" w:rsidRDefault="00A8138F" w:rsidP="00A8138F">
      <w:pPr>
        <w:pStyle w:val="TextoNormal"/>
      </w:pPr>
      <w:r>
        <w:t>2 Los indicios deben ser algo más que meras sospechas, pero algo menos que los datos que motivan un procesamiento que si bien no puede exigirse que un oficio contenga una auténtica prueba de cargo, sí debe contener un conjunto de indicios constatados de que la actividad del que va a ser sometido a investigación está entrono a la actividad delictiva.</w:t>
      </w:r>
    </w:p>
    <w:p w14:paraId="3D248EFC" w14:textId="77777777" w:rsidR="00A8138F" w:rsidRDefault="00A8138F" w:rsidP="00A8138F">
      <w:pPr>
        <w:pStyle w:val="TextoNormal"/>
      </w:pPr>
    </w:p>
    <w:p w14:paraId="11D4D064" w14:textId="77777777" w:rsidR="00A8138F" w:rsidRDefault="00A8138F" w:rsidP="00A8138F">
      <w:pPr>
        <w:pStyle w:val="TextoNormal"/>
      </w:pPr>
      <w:r>
        <w:t>3 No pueden exigirse actos de fe en la investigación que da lugar a un oficio policial. El oficio debe expresar las razones objetivas de la solicitud sometida a autorización judicial” (fundamento de Derecho tercero).</w:t>
      </w:r>
    </w:p>
    <w:p w14:paraId="5C3DA621" w14:textId="77777777" w:rsidR="00A8138F" w:rsidRDefault="00A8138F" w:rsidP="00A8138F">
      <w:pPr>
        <w:pStyle w:val="TextoNormal"/>
      </w:pPr>
    </w:p>
    <w:p w14:paraId="145FAC31" w14:textId="77777777" w:rsidR="00A8138F" w:rsidRDefault="00A8138F" w:rsidP="00A8138F">
      <w:pPr>
        <w:pStyle w:val="TextoNormal"/>
      </w:pPr>
      <w:r>
        <w:t>La juzgadora luego de recordar que los requisitos para acordar la diligencia de entrada y registro, tanto en el ámbito contencioso administrativo como en el penal son los mismos: proporcionalidad, idoneidad y necesidad; descarta que la medida adoptada por los tribunales contencioso-administrativos fuese idónea atendida la inconcreción de la solicitud y la falta de motivación del auto acordando la referida diligencia:</w:t>
      </w:r>
    </w:p>
    <w:p w14:paraId="60FBB660" w14:textId="77777777" w:rsidR="00A8138F" w:rsidRDefault="00A8138F" w:rsidP="00A8138F">
      <w:pPr>
        <w:pStyle w:val="TextoNormal"/>
      </w:pPr>
    </w:p>
    <w:p w14:paraId="0C7EEF73" w14:textId="77777777" w:rsidR="00A8138F" w:rsidRDefault="00A8138F" w:rsidP="00A8138F">
      <w:pPr>
        <w:pStyle w:val="TextoNormal"/>
      </w:pPr>
      <w:r>
        <w:t>“Pero aún si se solicita la diligencia ante el juzgado contencioso en aplicación de la legislación Tributaria como si se solicita en el ámbito penal en el que nos encontramos, los requisitos para dicha autorización son exactamente los mismo: debe ser proporcionada, idónea y necesaria [fundamento de Derecho segundo].</w:t>
      </w:r>
    </w:p>
    <w:p w14:paraId="3C147A3A" w14:textId="77777777" w:rsidR="00A8138F" w:rsidRDefault="00A8138F" w:rsidP="00A8138F">
      <w:pPr>
        <w:pStyle w:val="TextoNormal"/>
      </w:pPr>
    </w:p>
    <w:p w14:paraId="7500A42D" w14:textId="77777777" w:rsidR="00A8138F" w:rsidRDefault="00A8138F" w:rsidP="00A8138F">
      <w:pPr>
        <w:pStyle w:val="TextoNormal"/>
      </w:pPr>
      <w:r>
        <w:t>[…]</w:t>
      </w:r>
    </w:p>
    <w:p w14:paraId="0F875A76" w14:textId="77777777" w:rsidR="00A8138F" w:rsidRDefault="00A8138F" w:rsidP="00A8138F">
      <w:pPr>
        <w:pStyle w:val="TextoNormal"/>
      </w:pPr>
    </w:p>
    <w:p w14:paraId="2C68C7B5" w14:textId="77777777" w:rsidR="00A8138F" w:rsidRDefault="00A8138F" w:rsidP="00A8138F">
      <w:pPr>
        <w:pStyle w:val="TextoNormal"/>
      </w:pPr>
      <w:r>
        <w:t xml:space="preserve">Si bien la obligación de contribuir con los impuestos al sostenimiento de las arcas públicas y las finalidades inherentes a las mismas, indican que la entrada y registro pueda ser proporcionada a la gravedad asociada a una defraudación aún administrativa, el problema no estaría en la proporcionalidad pero sí en la idoneidad de la medida pues esta no puede ser examinada </w:t>
      </w:r>
      <w:r w:rsidRPr="00A8138F">
        <w:rPr>
          <w:i/>
        </w:rPr>
        <w:t>ex post</w:t>
      </w:r>
      <w:r>
        <w:t>, algo que es evidente que no lo era […], pues la información sobre la sociedad Da Hua Zeng, S.L., se obtiene finalmente del volcado de la información obtenida en la sede de la misma tanto en papel como en ordenadores, luego el juicio de idoneidad debe realizarse en el momento de la solicitud de manera que aparecerá directamente ligado a la necesidad o no de la diligencia.</w:t>
      </w:r>
    </w:p>
    <w:p w14:paraId="174A69DD" w14:textId="77777777" w:rsidR="00A8138F" w:rsidRDefault="00A8138F" w:rsidP="00A8138F">
      <w:pPr>
        <w:pStyle w:val="TextoNormal"/>
      </w:pPr>
    </w:p>
    <w:p w14:paraId="58112526" w14:textId="77777777" w:rsidR="00A8138F" w:rsidRDefault="00A8138F" w:rsidP="00A8138F">
      <w:pPr>
        <w:pStyle w:val="TextoNormal"/>
      </w:pPr>
      <w:r>
        <w:t>[…]</w:t>
      </w:r>
    </w:p>
    <w:p w14:paraId="1B6A8AAF" w14:textId="77777777" w:rsidR="00A8138F" w:rsidRDefault="00A8138F" w:rsidP="00A8138F">
      <w:pPr>
        <w:pStyle w:val="TextoNormal"/>
      </w:pPr>
    </w:p>
    <w:p w14:paraId="63E92867" w14:textId="77777777" w:rsidR="00A8138F" w:rsidRDefault="00A8138F" w:rsidP="00A8138F">
      <w:pPr>
        <w:pStyle w:val="TextoNormal"/>
      </w:pPr>
      <w:r>
        <w:t>Ahora bien, atendida la absoluta inconcreción y vaguedad de la solicitud, que no existe apoyo documental alguno de la misma, el propio contenido del auto que es genérico y lacónico y podría valer para cualquier otra sociedad, como sospecha esta juzgadora ha tenido lugar en otras sociedades que fueron objeto de la misma diligencia en la misma fecha que la mercantil investigada, es claro que la diligencia de entrada y registro debe considerarse nula [fundamento de Derecho tercero].</w:t>
      </w:r>
    </w:p>
    <w:p w14:paraId="142D5E41" w14:textId="77777777" w:rsidR="00A8138F" w:rsidRDefault="00A8138F" w:rsidP="00A8138F">
      <w:pPr>
        <w:pStyle w:val="TextoNormal"/>
      </w:pPr>
    </w:p>
    <w:p w14:paraId="40F09FC9" w14:textId="77777777" w:rsidR="00A8138F" w:rsidRDefault="00A8138F" w:rsidP="00A8138F">
      <w:pPr>
        <w:pStyle w:val="TextoNormal"/>
      </w:pPr>
      <w:r>
        <w:t>[…]</w:t>
      </w:r>
    </w:p>
    <w:p w14:paraId="1F7F065C" w14:textId="77777777" w:rsidR="00A8138F" w:rsidRDefault="00A8138F" w:rsidP="00A8138F">
      <w:pPr>
        <w:pStyle w:val="TextoNormal"/>
      </w:pPr>
    </w:p>
    <w:p w14:paraId="4E27D056" w14:textId="77777777" w:rsidR="00A8138F" w:rsidRDefault="00A8138F" w:rsidP="00A8138F">
      <w:pPr>
        <w:pStyle w:val="TextoNormal"/>
      </w:pPr>
      <w:r>
        <w:t xml:space="preserve">[E]llo supone que dicha nulidad de la referida diligencia, y conlleva e implica que no puede ser tenida en cuenta y su consecuencia es la inexistencia de prueba alguna contra los acusados en relación a que las cuotas defraudadas del IVA de 2007, 2008, 2009 y 2011 lo </w:t>
      </w:r>
      <w:r>
        <w:lastRenderedPageBreak/>
        <w:t>sean por importe superior a los 120 000 € cuantía que es condición objetiva de punibilidad a los efectos del artículo 305 del Código penal” (fundamento de Derecho cuarto).</w:t>
      </w:r>
    </w:p>
    <w:p w14:paraId="36BFF682" w14:textId="77777777" w:rsidR="00A8138F" w:rsidRDefault="00A8138F" w:rsidP="00A8138F">
      <w:pPr>
        <w:pStyle w:val="TextoNormal"/>
      </w:pPr>
    </w:p>
    <w:p w14:paraId="2C0831F1" w14:textId="77777777" w:rsidR="00A8138F" w:rsidRDefault="00A8138F" w:rsidP="00A8138F">
      <w:pPr>
        <w:pStyle w:val="TextoNormal"/>
      </w:pPr>
      <w:r>
        <w:t>El órgano enjuiciador, tras la declaración de nulidad de la diligencia de entrada y pese a ello, analiza el acervo probatorio y rechaza que las pruebas practicadas —declaración de los acusados, informes periciales y declaración de expertos en juicio— permitan acreditar la cuantía mínima defraudada a efectos penales.</w:t>
      </w:r>
    </w:p>
    <w:p w14:paraId="6AF4E6FC" w14:textId="77777777" w:rsidR="00A8138F" w:rsidRDefault="00A8138F" w:rsidP="00A8138F">
      <w:pPr>
        <w:pStyle w:val="TextoNormal"/>
      </w:pPr>
    </w:p>
    <w:p w14:paraId="7EFAE03A" w14:textId="77777777" w:rsidR="00A8138F" w:rsidRDefault="00A8138F" w:rsidP="00A8138F">
      <w:pPr>
        <w:pStyle w:val="TextoNormal"/>
      </w:pPr>
      <w:r>
        <w:t>La sentencia, que hace una remisión expresa a la STS 1231/2020, omite sin embargo, cualquier pronunciamiento acerca del fundamento de la nulidad interesada por la acusada: el incumplimiento de los concretos requisitos exigidos en la citada resolución por los tribunales del orden contencioso-administrativo para la práctica de estas diligencias (existencia de un procedimiento de inspección ya abierto y cuyo inicio se hubiera notificado previamente al obligado tributario).</w:t>
      </w:r>
    </w:p>
    <w:p w14:paraId="35E8CCF9" w14:textId="77777777" w:rsidR="00A8138F" w:rsidRDefault="00A8138F" w:rsidP="00A8138F">
      <w:pPr>
        <w:pStyle w:val="TextoNormal"/>
      </w:pPr>
    </w:p>
    <w:p w14:paraId="519EC990" w14:textId="77777777" w:rsidR="00A8138F" w:rsidRDefault="00A8138F" w:rsidP="00A8138F">
      <w:pPr>
        <w:pStyle w:val="TextoNormal"/>
      </w:pPr>
      <w:r>
        <w:t>F) Notificada esta sentencia, la Agencia Estatal de Administración Tributaria interpuso recurso de apelación, al que se adhirió el Ministerio Fiscal.</w:t>
      </w:r>
    </w:p>
    <w:p w14:paraId="58BD3F11" w14:textId="77777777" w:rsidR="00A8138F" w:rsidRDefault="00A8138F" w:rsidP="00A8138F">
      <w:pPr>
        <w:pStyle w:val="TextoNormal"/>
      </w:pPr>
    </w:p>
    <w:p w14:paraId="57893424" w14:textId="77777777" w:rsidR="00A8138F" w:rsidRDefault="00A8138F" w:rsidP="00A8138F">
      <w:pPr>
        <w:pStyle w:val="TextoNormal"/>
      </w:pPr>
      <w:r>
        <w:t xml:space="preserve">a) La abogada del Estado adujo, como motivo primero del recurso, el quebrantamiento de las normas y garantías procesales [art. 790.2 de la Ley de enjuiciamiento criminal (LECrim)] con infracción del derecho fundamental a la tutela judicial efectiva en su vertiente de derecho a utilizar los medios de prueba pertinentes de la parte acusadora (art. 24.2 CE), en concreto, por haber declarado el juzgado de lo penal </w:t>
      </w:r>
      <w:r w:rsidRPr="00A8138F">
        <w:rPr>
          <w:i/>
        </w:rPr>
        <w:t>a quo</w:t>
      </w:r>
      <w:r>
        <w:t xml:space="preserve"> la nulidad de la entrada domiciliaria acordada y devenida firme en el orden contencioso-administrativo.</w:t>
      </w:r>
    </w:p>
    <w:p w14:paraId="7B91FB77" w14:textId="77777777" w:rsidR="00A8138F" w:rsidRDefault="00A8138F" w:rsidP="00A8138F">
      <w:pPr>
        <w:pStyle w:val="TextoNormal"/>
      </w:pPr>
    </w:p>
    <w:p w14:paraId="51796354" w14:textId="77777777" w:rsidR="00A8138F" w:rsidRDefault="00A8138F" w:rsidP="00A8138F">
      <w:pPr>
        <w:pStyle w:val="TextoNormal"/>
      </w:pPr>
      <w:r>
        <w:t>Sostiene que el órgano judicial carece de jurisdicción y competencia para revisar una resolución firme dictada por órganos de otra jurisdicción y no recurrida en amparo. Con carácter subsidiario, la abogada del Estado defiende la validez de la diligencia de entrada y registro, por existir indicios suficientes para su práctica con sujeción a la legislación vigente [con cita de los arts. 113 y 142.2 de la Ley 58/2003, de 17 de diciembre, general tributaria. (LGT) y del Real Decreto 1065/2017, de 27 de julio, por el que se aprueba el reglamento general de las actuaciones y los procedimientos de gestión e inspección tributaria y de desarrollo de las normas comunes de los procedimientos de aplicación de los tributos]. Añade que, a diferencia de lo que ocurre en el presente supuesto, la sentencia invocada por la acusada, STS 1231/2020, tiene por objeto autos judiciales de entrada y registro no firmes, y, por tanto, los requisitos contemplados en aquella no son exigibles en el caso enjuiciado. A continuación, el escrito de apelación recuerda la doctrina constitucional sobre la validez de la entrada y registro en domicilio a instancia de la administración (ATC 129/1990, de 26 de marzo y STC 50/1995, de 23 de febrero), y, por último, subraya que, incluso de considerarse nula la entrada y registro autorizada, la prueba obtenida a partir de la misma debe reputarse válida [con cita de la STS 507/2020, de 14 de octubre, de la Sala de lo Penal (ECLI:ES:TS:2020:3191)].</w:t>
      </w:r>
    </w:p>
    <w:p w14:paraId="2F9CC5DE" w14:textId="77777777" w:rsidR="00A8138F" w:rsidRDefault="00A8138F" w:rsidP="00A8138F">
      <w:pPr>
        <w:pStyle w:val="TextoNormal"/>
      </w:pPr>
    </w:p>
    <w:p w14:paraId="2F74BD9D" w14:textId="77777777" w:rsidR="00A8138F" w:rsidRDefault="00A8138F" w:rsidP="00A8138F">
      <w:pPr>
        <w:pStyle w:val="TextoNormal"/>
      </w:pPr>
      <w:r>
        <w:t xml:space="preserve">b) Como segundo motivo del recurso, y también con fundamento en el quebrantamiento de las normas y garantías procesales, la abogada del Estado denuncia la incongruencia interna de la sentencia del juzgado de lo penal, que pese a haber anulado “la totalidad del acervo probatorio recabado por la AEAT en las entradas domiciliarias practicadas”, “incomprensiblemente valora la prueba hallada para igualmente alcanzar un pronunciamiento </w:t>
      </w:r>
      <w:r>
        <w:lastRenderedPageBreak/>
        <w:t>finalmente absolutorio declarando probada la mecánica defraudatoria pero no la cuantificación de las cuotas”.</w:t>
      </w:r>
    </w:p>
    <w:p w14:paraId="53973F62" w14:textId="77777777" w:rsidR="00A8138F" w:rsidRDefault="00A8138F" w:rsidP="00A8138F">
      <w:pPr>
        <w:pStyle w:val="TextoNormal"/>
      </w:pPr>
    </w:p>
    <w:p w14:paraId="0D2AFBFC" w14:textId="77777777" w:rsidR="00A8138F" w:rsidRDefault="00A8138F" w:rsidP="00A8138F">
      <w:pPr>
        <w:pStyle w:val="TextoNormal"/>
      </w:pPr>
      <w:r>
        <w:t xml:space="preserve">c) Finalmente, la Agencia Tributaria solicita la estimación del recurso, y con ella, la anulación de la sentencia recurrida, con retroacción de las actuaciones al momento previo a celebrarse el juicio oral, que ha de repetirse ante magistrado-juez distinto “toda vez que el juez </w:t>
      </w:r>
      <w:r w:rsidRPr="00A8138F">
        <w:rPr>
          <w:i/>
        </w:rPr>
        <w:t>a quo</w:t>
      </w:r>
      <w:r>
        <w:t xml:space="preserve"> ya ha realizado una valoración de la prueba por lo que no puede volver a dictar sentencia el mismo juez”.</w:t>
      </w:r>
    </w:p>
    <w:p w14:paraId="531AAED5" w14:textId="77777777" w:rsidR="00A8138F" w:rsidRDefault="00A8138F" w:rsidP="00A8138F">
      <w:pPr>
        <w:pStyle w:val="TextoNormal"/>
      </w:pPr>
    </w:p>
    <w:p w14:paraId="24E9E615" w14:textId="77777777" w:rsidR="00A8138F" w:rsidRDefault="00A8138F" w:rsidP="00A8138F">
      <w:pPr>
        <w:pStyle w:val="TextoNormal"/>
      </w:pPr>
      <w:r>
        <w:t xml:space="preserve">G) El recurso fue impugnado de contrario por la defensa de la recurrente de amparo, de acuerdo con los siguientes argumentos: (i) los órganos del orden jurisdiccional penal pueden examinar la validez de un auto limitativo de derechos fundamentales dictado por distinto orden jurisdiccional [con cita, entre otras de la STS 252/2018, de 24 de mayo (ECLI:ES:TS:2018:1892) de la Sala de lo Penal  y del acuerdo del Pleno de la Sala de lo Penal del Tribunal Supremo de 26 de mayo de 2009]; (ii) la inexistencia de un procedimiento inspector abierto y la falta de notificación al obligado tributario en el momento de la práctica de la diligencia, no constituye la </w:t>
      </w:r>
      <w:r w:rsidRPr="00A8138F">
        <w:rPr>
          <w:i/>
        </w:rPr>
        <w:t>ratio decidendi</w:t>
      </w:r>
      <w:r>
        <w:t xml:space="preserve"> del juicio de validez de la entrada y registro efectuado por el juzgado penal, si bien la jurisprudencia de la Sala de lo Contencioso-Administrativo del Tribunal Supremo, que exige dichos requisitos, sí debe ser de aplicación en el caso concreto; y (iii) las pruebas obtenidas por la entrada y registro deben de ser consideradas nulas en aplicación del art. 11.1 de la Ley Orgánica del Poder Judicial (LOPJ). La demandante de amparo rechaza la alegada incongruencia de la sentencia, así como los efectos pretendidos por la parte recurrente, y afirma, de manera subsidiaria que, de decretarse la validez de la diligencia, procedería valorar dicha prueba, pero en ningún caso acordar la repetición del juicio oral con una nueva composición del órgano de enjuiciamiento.</w:t>
      </w:r>
    </w:p>
    <w:p w14:paraId="14084899" w14:textId="77777777" w:rsidR="00A8138F" w:rsidRDefault="00A8138F" w:rsidP="00A8138F">
      <w:pPr>
        <w:pStyle w:val="TextoNormal"/>
      </w:pPr>
    </w:p>
    <w:p w14:paraId="3625A7A2" w14:textId="77777777" w:rsidR="00A8138F" w:rsidRDefault="00A8138F" w:rsidP="00A8138F">
      <w:pPr>
        <w:pStyle w:val="TextoNormal"/>
      </w:pPr>
      <w:r>
        <w:t>H) La Sección Vigesimoprimera de la Audiencia Provincial de Barcelona, en sentencia núm. 354/2022, de 1 de septiembre (rollo de apelación núm. 58-2022), estimó el recurso interpuesto por las acusaciones, al entender que el juez penal carece de competencia para valorar nuevamente los requisitos de validez de la diligencia de entrada y registro que ya han sido revisados en segunda instancia por la Sala de lo Contencioso-Administrativo del Tribunal Superior de Justicia de Cataluña y acordó “[e]stimar el recurso de apelación interpuesto […]) y declarar la nulidad del juicio y de la sentencia dictada, a fin de que se proceda a un nuevo señalamiento del juicio oral por un magistrado/a distinto, que deberá tener en cuenta lo resuelto en nuestra sentencia respecto a la validez de la entrada y registro efectuada”.</w:t>
      </w:r>
    </w:p>
    <w:p w14:paraId="649247B6" w14:textId="77777777" w:rsidR="00A8138F" w:rsidRDefault="00A8138F" w:rsidP="00A8138F">
      <w:pPr>
        <w:pStyle w:val="TextoNormal"/>
      </w:pPr>
    </w:p>
    <w:p w14:paraId="5D6F75FB" w14:textId="77777777" w:rsidR="00A8138F" w:rsidRDefault="00A8138F" w:rsidP="00A8138F">
      <w:pPr>
        <w:pStyle w:val="TextoNormal"/>
      </w:pPr>
      <w:r>
        <w:t>En el fundamento de Derecho segundo de la sentencia se dice:</w:t>
      </w:r>
    </w:p>
    <w:p w14:paraId="6F8B5AD3" w14:textId="77777777" w:rsidR="00A8138F" w:rsidRDefault="00A8138F" w:rsidP="00A8138F">
      <w:pPr>
        <w:pStyle w:val="TextoNormal"/>
      </w:pPr>
    </w:p>
    <w:p w14:paraId="60908C17" w14:textId="77777777" w:rsidR="00A8138F" w:rsidRDefault="00A8138F" w:rsidP="00A8138F">
      <w:pPr>
        <w:pStyle w:val="TextoNormal"/>
      </w:pPr>
      <w:r>
        <w:t>“La cuestión nuclear a resolver es si la jurisdicción penal puede declarar o no la nulidad de un auto de entrada y registro a favor de la Agencia Tributaria, dictada por un juzgado de lo contencioso-administrativo, que no fue recurrido en amparo y que devino firme en la jurisdicción contenciosa. Sobre esta cuestión contamos con dos precedentes en la Audiencia Provincial de Barcelona, como son las sentencias de la sección décima de fecha 30 de marzo de 2015 y 19 de abril de 2022, en sentido contrario a lo acordado en la sentencia ahora recurrida (fundamento de Derecho segundo.7).</w:t>
      </w:r>
    </w:p>
    <w:p w14:paraId="595B29BD" w14:textId="77777777" w:rsidR="00A8138F" w:rsidRDefault="00A8138F" w:rsidP="00A8138F">
      <w:pPr>
        <w:pStyle w:val="TextoNormal"/>
      </w:pPr>
    </w:p>
    <w:p w14:paraId="24103AAE" w14:textId="77777777" w:rsidR="00A8138F" w:rsidRDefault="00A8138F" w:rsidP="00A8138F">
      <w:pPr>
        <w:pStyle w:val="TextoNormal"/>
      </w:pPr>
      <w:r>
        <w:lastRenderedPageBreak/>
        <w:t>[…]</w:t>
      </w:r>
    </w:p>
    <w:p w14:paraId="4ECB6018" w14:textId="77777777" w:rsidR="00A8138F" w:rsidRDefault="00A8138F" w:rsidP="00A8138F">
      <w:pPr>
        <w:pStyle w:val="TextoNormal"/>
      </w:pPr>
    </w:p>
    <w:p w14:paraId="08018CE8" w14:textId="77777777" w:rsidR="00A8138F" w:rsidRDefault="00A8138F" w:rsidP="00A8138F">
      <w:pPr>
        <w:pStyle w:val="TextoNormal"/>
      </w:pPr>
      <w:r>
        <w:t>“[C]uando una resolución, como la que adoptó el juzgado contencioso-administrativo ha sido objeto de recurso […], como sucede en el presente caso, los criterios de proporcionalidad, idoneidad y necesidad han sido ya valorados en segunda instancia, así como la petición de nulidad del auto apelado. Y ello es así por la evidente conexión que existe entre los procedimientos sancionadores administrativo y penal. Dicha resolución solo puede ser revisada en recurso de amparo por el Tribunal Constitucional. De esta forma consideramos que el juez de lo penal carece de competencia para poder valorar nuevamente la petición de nulidad del auto del juzgado contencioso” (fundamento de Derecho segundo.8, con cita de la sentencia de la Audiencia Provincial de Barcelona, Sección Décima, de 19 de abril de 2022).</w:t>
      </w:r>
    </w:p>
    <w:p w14:paraId="6BBB8795" w14:textId="77777777" w:rsidR="00A8138F" w:rsidRDefault="00A8138F" w:rsidP="00A8138F">
      <w:pPr>
        <w:pStyle w:val="TextoNormal"/>
      </w:pPr>
    </w:p>
    <w:p w14:paraId="478A188E" w14:textId="77777777" w:rsidR="00A8138F" w:rsidRDefault="00A8138F" w:rsidP="00A8138F">
      <w:pPr>
        <w:pStyle w:val="TextoNormal"/>
      </w:pPr>
      <w:r>
        <w:t>A mayor abundamiento, la Audiencia Provincial expone dos argumentos que justificarían la validez de la entrada y registros practicada:</w:t>
      </w:r>
    </w:p>
    <w:p w14:paraId="0E320069" w14:textId="77777777" w:rsidR="00A8138F" w:rsidRDefault="00A8138F" w:rsidP="00A8138F">
      <w:pPr>
        <w:pStyle w:val="TextoNormal"/>
      </w:pPr>
    </w:p>
    <w:p w14:paraId="05ABC073" w14:textId="77777777" w:rsidR="00A8138F" w:rsidRDefault="00A8138F" w:rsidP="00A8138F">
      <w:pPr>
        <w:pStyle w:val="TextoNormal"/>
      </w:pPr>
      <w:r>
        <w:t>“En primer lugar, por motivos formarles, por cuanto sobre la base de la doctrina consolidada del Tribunal Supremo, las defensas deberían haber cuestionado la no incorporación de toda la documentación que se contenía en el expediente administrativo como sustento para autorizar la entrada y registro en los escritos de defensa, invocándose por primera vez en fase de cuestiones previas, sin posibilidad de que las acusaciones pudieran completar lo que estimaran conveniente en respuesta a la impugnación. No puede aducirla sorpresivamente, privando a la acusación de la posibilidad de justificar la base de esa intervención que antes no se había puesto en duda de manera concreta y específica. Admitir que la audiencia previa del art. 786.2 LECrim es el momento idóneo para ello, acarrea la necesidad de suspender el juicio oral en todos esos casos, en lo que, por otra parte, a la petición de prueba por parte del fiscal podía rechazarse fundadamente pues comportaría la suspensión del juicio oral (SSTS 60/2020, de 20 de febrero; 350/2018, de 11 de julio, y 4/2014, de 2 de enero, sobre la base del acuerdo del Pleno no jurisdiccional de fecha 26 de abril de 2009) [fundamento de Derecho segundo.10].</w:t>
      </w:r>
    </w:p>
    <w:p w14:paraId="65E7CF58" w14:textId="77777777" w:rsidR="00A8138F" w:rsidRDefault="00A8138F" w:rsidP="00A8138F">
      <w:pPr>
        <w:pStyle w:val="TextoNormal"/>
      </w:pPr>
    </w:p>
    <w:p w14:paraId="3333917F" w14:textId="77777777" w:rsidR="00A8138F" w:rsidRDefault="00A8138F" w:rsidP="00A8138F">
      <w:pPr>
        <w:pStyle w:val="TextoNormal"/>
      </w:pPr>
      <w:r>
        <w:t>En segundo lugar, entrando en el fondo de la resolución administrativa, esta Sala comparte los razonamientos profusos de la resolución de la Sala de lo Contencioso-Administrativo del Tribunal Superior de Justicia de Cataluña en la que se analizan los requisitos de proporcionalidad, necesidad e idoneidad” (fundamento de Derecho segundo.11).</w:t>
      </w:r>
    </w:p>
    <w:p w14:paraId="2515E5BD" w14:textId="77777777" w:rsidR="00A8138F" w:rsidRDefault="00A8138F" w:rsidP="00A8138F">
      <w:pPr>
        <w:pStyle w:val="TextoNormal"/>
      </w:pPr>
    </w:p>
    <w:p w14:paraId="3324CB21" w14:textId="77777777" w:rsidR="00A8138F" w:rsidRDefault="00A8138F" w:rsidP="00A8138F">
      <w:pPr>
        <w:pStyle w:val="TextoNormal"/>
      </w:pPr>
      <w:r>
        <w:t>La sentencia dictada por la Audiencia Provincial declara la nulidad de la sentencia y el alcance de dicha declaración:</w:t>
      </w:r>
    </w:p>
    <w:p w14:paraId="5A3A47B0" w14:textId="77777777" w:rsidR="00A8138F" w:rsidRDefault="00A8138F" w:rsidP="00A8138F">
      <w:pPr>
        <w:pStyle w:val="TextoNormal"/>
      </w:pPr>
    </w:p>
    <w:p w14:paraId="68CEDA1F" w14:textId="77777777" w:rsidR="00A8138F" w:rsidRDefault="00A8138F" w:rsidP="00A8138F">
      <w:pPr>
        <w:pStyle w:val="TextoNormal"/>
      </w:pPr>
      <w:r>
        <w:t>“Por consiguiente, de conformidad con el art. 792.3 Lecrim, procede acordar la nulidad de la sentencia por quebrantamiento de las normas relativas al derecho a la tutela efectiva (art. 24.2 CE) de todas las partes procesales en el proceso que comporta el derecho a utilizar todos los medios de prueba lícitos, retrotrayendo las actuaciones.</w:t>
      </w:r>
    </w:p>
    <w:p w14:paraId="33A36175" w14:textId="77777777" w:rsidR="00A8138F" w:rsidRDefault="00A8138F" w:rsidP="00A8138F">
      <w:pPr>
        <w:pStyle w:val="TextoNormal"/>
      </w:pPr>
    </w:p>
    <w:p w14:paraId="2FF9D1D1" w14:textId="77777777" w:rsidR="00A8138F" w:rsidRDefault="00A8138F" w:rsidP="00A8138F">
      <w:pPr>
        <w:pStyle w:val="TextoNormal"/>
      </w:pPr>
      <w:r>
        <w:t>La nulidad alcanza también a la celebración del juicio, a fin de que se señale nuevamente el juicio y se celebre otro en el que deberán tenerse en cuenta las pruebas declaradas lícitas” (fundamento de Derecho segundo.14).</w:t>
      </w:r>
    </w:p>
    <w:p w14:paraId="1046B42F" w14:textId="77777777" w:rsidR="00A8138F" w:rsidRDefault="00A8138F" w:rsidP="00A8138F">
      <w:pPr>
        <w:pStyle w:val="TextoNormal"/>
      </w:pPr>
    </w:p>
    <w:p w14:paraId="42FD106E" w14:textId="77777777" w:rsidR="00A8138F" w:rsidRDefault="00A8138F" w:rsidP="00A8138F">
      <w:pPr>
        <w:pStyle w:val="TextoNormal"/>
      </w:pPr>
      <w:r>
        <w:lastRenderedPageBreak/>
        <w:t>La sentencia cuenta con un voto particular formulado por uno de los magistrados integrantes de la sección que considera que el recurso debió ser estimado parcialmente en el sentido de que, si bien el juzgado de lo penal no podía declarar nulo el auto del juzgado de lo contencioso- administrativo, sí podía valorar la legalidad de todas las fuentes de prueba propuestas, entre ellas la documental obtenida gracias a la diligencia de entrada y registro. En todo caso, como efecto de la estimación del recurso, afirma que debió permitirse al mismo magistrado que dictó la recurrida el pronunciar una nueva sentencia, valorando libremente todas las fuentes de prueba, sin exclusión.</w:t>
      </w:r>
    </w:p>
    <w:p w14:paraId="2ACB13FA" w14:textId="77777777" w:rsidR="00A8138F" w:rsidRDefault="00A8138F" w:rsidP="00A8138F">
      <w:pPr>
        <w:pStyle w:val="TextoNormal"/>
      </w:pPr>
    </w:p>
    <w:p w14:paraId="61290DC9" w14:textId="77777777" w:rsidR="00A8138F" w:rsidRDefault="00A8138F" w:rsidP="00A8138F">
      <w:pPr>
        <w:pStyle w:val="TextoNormal"/>
      </w:pPr>
      <w:r>
        <w:t>I) Notificada esta sentencia, la demandante de amparo, mediante escrito de 27 de enero de 2023, planteó incidente de nulidad de actuaciones contra dicha resolución, alegando la vulneración del derecho fundamental a la tutela judicial efectiva, en su vertiente de derecho de defensa (art. 24.1 y 2 CE) en conexión con el derecho a la inviolabilidad domiciliaria (art. 18.2 CE). La actora interesó el dictado de una nueva sentencia confirmando la absolución inicialmente acordada por el Juzgado de lo Penal núm. 26 de Barcelona, y la nulidad de la entrada y registro practicada, así como la exclusión de la causa de todo el material probatorio obtenido en la práctica de dicha diligencia.</w:t>
      </w:r>
    </w:p>
    <w:p w14:paraId="2A8CDB9F" w14:textId="77777777" w:rsidR="00A8138F" w:rsidRDefault="00A8138F" w:rsidP="00A8138F">
      <w:pPr>
        <w:pStyle w:val="TextoNormal"/>
      </w:pPr>
    </w:p>
    <w:p w14:paraId="7E73A75B" w14:textId="77777777" w:rsidR="00A8138F" w:rsidRDefault="00A8138F" w:rsidP="00A8138F">
      <w:pPr>
        <w:pStyle w:val="TextoNormal"/>
      </w:pPr>
      <w:r>
        <w:t>La actora fundamenta su queja en que la decisión de la Audiencia le impide plantear, en todo caso, y como cuestión previa en el nuevo juicio oral, la invalidez de la diligencia de entrada y registro con motivo de la inaplicación de la doctrina del Tribunal Supremo (SSTS 1231/2020 y 1163/2021), a las que no hace referencia la sentencia de apelación. Rechaza también el criterio de esta última de impedir al juez “de fondo” penal el control de si la diligencia de entrada y registro ha vulnerado derechos fundamentales (en conceto, el derecho a la inviolabilidad del domicilio del art. 18.2 CE); control que ha reconocido la propia Sala de lo Contencioso-Administrativo del Tribunal Superior de Justicia de Cataluña en las resoluciones que cita el escrito de nulidad. Se refiere luego a la imposibilidad de acordar una diligencia de entrada y registro antes de iniciarse un procedimiento administrativo (tributario) y sin su notificación al obligado tributario, trayendo de nuevo a colación la STS 1231/2020, cuya doctrina, cuenta, dio lugar a la aprobación de la Ley 11/2021, de 9 de julio, de medidas de prevención y lucha contra el fraude fiscal, que modificó los arts. 113 LGT y 8.6 de la Ley 29/1998, de 13 de julio, reguladora de la jurisdicción contencioso-administrativa (LJCA); manteniendo en todo caso la Sala Tercera del Alto Tribunal el mismo criterio tras esa ley, como se lee en la STS 1163/2021, ya citada, donde además indica que la regulación del derecho a la inviolabilidad del domicilio solo puede hacerse por ley orgánica, no ordinaria. Sobre esta base, prosigue diciendo el escrito de nulidad, en el supuesto de autos la AEAT primero obtuvo la diligencia de entrada y registro, y solo después notificó a la aquí recurrente el inicio de actuaciones de inspección contra ella, lo que supuso la vulneración de aquel derecho fundamental del art. 18.2 CE, lo que debe conllevar la nulidad de la medida de registro domiciliario y la absolución de aquella.</w:t>
      </w:r>
    </w:p>
    <w:p w14:paraId="2D6DE24F" w14:textId="77777777" w:rsidR="00A8138F" w:rsidRDefault="00A8138F" w:rsidP="00A8138F">
      <w:pPr>
        <w:pStyle w:val="TextoNormal"/>
      </w:pPr>
    </w:p>
    <w:p w14:paraId="784C1BB0" w14:textId="77777777" w:rsidR="00A8138F" w:rsidRDefault="00A8138F" w:rsidP="00A8138F">
      <w:pPr>
        <w:pStyle w:val="TextoNormal"/>
      </w:pPr>
      <w:r>
        <w:t>J) Tanto la abogada del Estado, en representación de la Agencia Estatal de la Administración Tributaria, como el Ministerio Fiscal —en sendos escritos de 3 de mayo de 2023— se opusieron al incidente de nulidad planteado.</w:t>
      </w:r>
    </w:p>
    <w:p w14:paraId="1A785C95" w14:textId="77777777" w:rsidR="00A8138F" w:rsidRDefault="00A8138F" w:rsidP="00A8138F">
      <w:pPr>
        <w:pStyle w:val="TextoNormal"/>
      </w:pPr>
    </w:p>
    <w:p w14:paraId="67408E80" w14:textId="77777777" w:rsidR="00A8138F" w:rsidRDefault="00A8138F" w:rsidP="00A8138F">
      <w:pPr>
        <w:pStyle w:val="TextoNormal"/>
      </w:pPr>
      <w:r>
        <w:t xml:space="preserve">K) Por auto de 1 de junio de 2023, dictado por la Sección Vigesimoprimera de la Audiencia Provincial de Barcelona, se desestimó el incidente de nulidad planteado y se alzó la </w:t>
      </w:r>
      <w:r>
        <w:lastRenderedPageBreak/>
        <w:t>suspensión de la ejecución de la sentencia de 1 de septiembre de 2022 dictada por dicho tribunal.</w:t>
      </w:r>
    </w:p>
    <w:p w14:paraId="6435B87B" w14:textId="77777777" w:rsidR="00A8138F" w:rsidRDefault="00A8138F" w:rsidP="00A8138F">
      <w:pPr>
        <w:pStyle w:val="TextoNormal"/>
      </w:pPr>
    </w:p>
    <w:p w14:paraId="4CFAC9D1" w14:textId="77777777" w:rsidR="00A8138F" w:rsidRDefault="00A8138F" w:rsidP="00A8138F">
      <w:pPr>
        <w:pStyle w:val="TextoNormal"/>
      </w:pPr>
      <w:r>
        <w:t>En su auto, la Sección afirma, en primer lugar, que la cuestión relativa a la validez o no de la entrada y registro practicada en domicilio de la mercantil “ya fue objeto de detenido análisis en la sentencia” y por ello se acuerda dar “por reproducido íntegramente en aras a la economía procesal, el fundamento de Derecho segundo de la sentencia cuya nulidad se insta que aborda profusamente esta cuestión y que las partes ya conocen”.</w:t>
      </w:r>
    </w:p>
    <w:p w14:paraId="178E393F" w14:textId="77777777" w:rsidR="00A8138F" w:rsidRDefault="00A8138F" w:rsidP="00A8138F">
      <w:pPr>
        <w:pStyle w:val="TextoNormal"/>
      </w:pPr>
    </w:p>
    <w:p w14:paraId="5CFB75F0" w14:textId="77777777" w:rsidR="00A8138F" w:rsidRDefault="00A8138F" w:rsidP="00A8138F">
      <w:pPr>
        <w:pStyle w:val="TextoNormal"/>
      </w:pPr>
      <w:r>
        <w:t>A continuación, en el auto se descarta la alegada vulneración del derecho a la tutela judicial efectiva sin indefensión al considerar que “[l]o que pretende la parte solicitante es, en todo caso, una revisión por la vía del incidente de nulidad del criterio mantenido por la sala en la sentencia cuya nulidad se insta” y se afirma:</w:t>
      </w:r>
    </w:p>
    <w:p w14:paraId="2CFE83F3" w14:textId="77777777" w:rsidR="00A8138F" w:rsidRDefault="00A8138F" w:rsidP="00A8138F">
      <w:pPr>
        <w:pStyle w:val="TextoNormal"/>
      </w:pPr>
    </w:p>
    <w:p w14:paraId="41788007" w14:textId="77777777" w:rsidR="00A8138F" w:rsidRDefault="00A8138F" w:rsidP="00A8138F">
      <w:pPr>
        <w:pStyle w:val="TextoNormal"/>
      </w:pPr>
      <w:r>
        <w:t>“La parte solicitante de la nulidad introdujo, vía cuestiones previas en la primera instancia, la cuestión relativa a la validez de la entrada y registro domiciliaria y su tesis fue acogida en la primera instancia. La misma cuestión fue el objeto principal del recurso interpuesto por la abogada del Estado en representación de la Agencia Estatal de Administración Tributaria, al que se adhirió el Ministerio Fiscal, y que combatió la ahora solicitante de la nulidad al oponerse al recurso efectuando aquellas alegaciones que consideró pertinentes en defensa de sus intereses. La parte solicitante de la nulidad tuvo pues la posibilidad de ser oída sobre esta cuestión, exponer sus argumentos, conocer los argumentos contrarios de las partes acusadoras y rebatirlos, respetándose así los principios de igualdad de armas y contradicción, ejerciendo plenamente sus derechos procesales, sin que en modo alguno se hayan visto limitados sus medios de defensa”.</w:t>
      </w:r>
    </w:p>
    <w:p w14:paraId="5BC4E227" w14:textId="77777777" w:rsidR="00A8138F" w:rsidRDefault="00A8138F" w:rsidP="00A8138F">
      <w:pPr>
        <w:pStyle w:val="TextoNormal"/>
      </w:pPr>
    </w:p>
    <w:p w14:paraId="07F1B7AA" w14:textId="41900DE9" w:rsidR="00A8138F" w:rsidRDefault="00A8138F" w:rsidP="00A8138F">
      <w:pPr>
        <w:pStyle w:val="TextoNormal"/>
      </w:pPr>
      <w:r>
        <w:t>L) Notificado el citado auto, se promueve el presente recurso de amparo.</w:t>
      </w:r>
    </w:p>
    <w:p w14:paraId="19788D65" w14:textId="77777777" w:rsidR="00A8138F" w:rsidRDefault="00A8138F" w:rsidP="00A8138F">
      <w:pPr>
        <w:pStyle w:val="TextoNormal"/>
      </w:pPr>
    </w:p>
    <w:p w14:paraId="7F27E544" w14:textId="77777777" w:rsidR="00A8138F" w:rsidRDefault="00A8138F" w:rsidP="00A8138F">
      <w:pPr>
        <w:pStyle w:val="TextoNormal"/>
      </w:pPr>
      <w:r w:rsidRPr="00A8138F">
        <w:rPr>
          <w:rStyle w:val="NumeroAFNegritaCaracter"/>
        </w:rPr>
        <w:t>3</w:t>
      </w:r>
      <w:r>
        <w:t>. La demanda de amparo impugna la sentencia de 1 de septiembre de 2022, así como el auto de 1 de junio de 2023 desestimatorio del incidente de nulidad planteado frente a la primera, ambas resoluciones dictadas por la Sección Vigesimoprimera de la Audiencia Provincial de Barcelona, al considerar vulnerado el derecho fundamental de la recurrente a la tutela judicial efectiva, en su vertiente de derecho de defensa (art. 24.1 CE), en conexión con el derecho a la inviolabilidad domiciliaria (art. 18.2 CE). La demandante de amparo fundamenta su pretensión en los siguientes argumentos:</w:t>
      </w:r>
    </w:p>
    <w:p w14:paraId="079604D3" w14:textId="77777777" w:rsidR="00A8138F" w:rsidRDefault="00A8138F" w:rsidP="00A8138F">
      <w:pPr>
        <w:pStyle w:val="TextoNormal"/>
      </w:pPr>
    </w:p>
    <w:p w14:paraId="61FDC88D" w14:textId="77777777" w:rsidR="00A8138F" w:rsidRDefault="00A8138F" w:rsidP="00A8138F">
      <w:pPr>
        <w:pStyle w:val="TextoNormal"/>
      </w:pPr>
      <w:r>
        <w:t>a) La sentencia de la Audiencia Provincial de Barcelona, al declarar la nulidad de la sentencia absolutoria dictada por la instancia y ordenando la repetición del juicio oral vinculado a la declaración de validez de la entrada y registro practicada, impide cuestionar en el juicio oral que ha ordenado que se celebre de nuevo, la legalidad de la diligencia practicada. En concreto, veda la posibilidad de alegar en el nuevo juicio la inconstitucionalidad de la diligencia acordada en el orden contencioso-administrativo por contravenir la jurisprudencia del Tribunal Supremo (con cita de las SSTS 1231/2020 y 1163/2021), la cual configuró como requisito de validez de la diligencia de entrada y registro, la previa existencia de un procedimiento inspector abierto y notificado al obligado tributario.</w:t>
      </w:r>
    </w:p>
    <w:p w14:paraId="0B6776E1" w14:textId="77777777" w:rsidR="00A8138F" w:rsidRDefault="00A8138F" w:rsidP="00A8138F">
      <w:pPr>
        <w:pStyle w:val="TextoNormal"/>
      </w:pPr>
    </w:p>
    <w:p w14:paraId="6D1E0C96" w14:textId="77777777" w:rsidR="00A8138F" w:rsidRDefault="00A8138F" w:rsidP="00A8138F">
      <w:pPr>
        <w:pStyle w:val="TextoNormal"/>
      </w:pPr>
      <w:r>
        <w:t xml:space="preserve">b) Afirma asimismo la recurrente que el juez penal no está vinculado por el juicio de validez precedente realizado por el orden contencioso-administrativo, estando llamado </w:t>
      </w:r>
      <w:r>
        <w:lastRenderedPageBreak/>
        <w:t>aquel a realizar su propio juicio de validez respecto del auto de entrada y registro en domicilio, de forma independiente y conforme a los criterios o parámetros propios de la esfera penal (con cita de la STS 252/2018). Por lo tanto, la decisión de la Audiencia Provincial, negando al juez de primera instancia la competencia para examinar la validez de la diligencia acordada por un órgano de distinta jurisdicción, también vulnera los derechos fundamentales de la demandante.</w:t>
      </w:r>
    </w:p>
    <w:p w14:paraId="05E2F2BB" w14:textId="77777777" w:rsidR="00A8138F" w:rsidRDefault="00A8138F" w:rsidP="00A8138F">
      <w:pPr>
        <w:pStyle w:val="TextoNormal"/>
      </w:pPr>
    </w:p>
    <w:p w14:paraId="490432AC" w14:textId="6E86AE6C" w:rsidR="00A8138F" w:rsidRDefault="00A8138F" w:rsidP="00A8138F">
      <w:pPr>
        <w:pStyle w:val="TextoNormal"/>
      </w:pPr>
      <w:r>
        <w:t>Por medio de otrosí digo, la demandante de amparo interesó la suspensión urgente de la ejecución de la sentencia impugnada, de acuerdo con lo dispuesto en el art. 56.6 de la Ley Orgánica del Tribunal Constitucional (LOTC).</w:t>
      </w:r>
    </w:p>
    <w:p w14:paraId="4EF52D51" w14:textId="77777777" w:rsidR="00A8138F" w:rsidRDefault="00A8138F" w:rsidP="00A8138F">
      <w:pPr>
        <w:pStyle w:val="TextoNormal"/>
      </w:pPr>
    </w:p>
    <w:p w14:paraId="5F4F8A9F" w14:textId="77777777" w:rsidR="00A8138F" w:rsidRDefault="00A8138F" w:rsidP="00A8138F">
      <w:pPr>
        <w:pStyle w:val="TextoNormal"/>
      </w:pPr>
      <w:r w:rsidRPr="00A8138F">
        <w:rPr>
          <w:rStyle w:val="NumeroAFNegritaCaracter"/>
        </w:rPr>
        <w:t>4</w:t>
      </w:r>
      <w:r>
        <w:t>. Por providencia de 15 de enero de 2024, la Sección Segunda de la Sala Primera del Tribunal Constitucional, acordó admitir a trámite el recurso “apreciando que concurre en el mismo una especial trascendencia constitucional [art. 50.1 b) LOTC], porque el recurso plantea un problema o afecta a una faceta de un derecho fundamental sobre el que no hay doctrina de este tribunal [STC 155/2009, de 25 de junio, FJ 2 a)]”.</w:t>
      </w:r>
    </w:p>
    <w:p w14:paraId="6E6B8DC0" w14:textId="77777777" w:rsidR="00A8138F" w:rsidRDefault="00A8138F" w:rsidP="00A8138F">
      <w:pPr>
        <w:pStyle w:val="TextoNormal"/>
      </w:pPr>
    </w:p>
    <w:p w14:paraId="57329C9B" w14:textId="77777777" w:rsidR="00A8138F" w:rsidRDefault="00A8138F" w:rsidP="00A8138F">
      <w:pPr>
        <w:pStyle w:val="TextoNormal"/>
      </w:pPr>
      <w:r>
        <w:t>Además, se acordó dirigir atenta comunicación a la Sección Vigesimoprimera de la Audiencia Provincial de Barcelona y al Juzgado de lo Penal núm. 26 de Barcelona, a fin de que remitiesen certificación o fotocopia adverada de las actuaciones y a este último, para que además emplazase a quienes hubieran sido parte en el procedimiento, excepto la recurrente en amparo, con el fin de que pudiesen comparecer en el recurso en el plazo de diez días.</w:t>
      </w:r>
    </w:p>
    <w:p w14:paraId="0BC04FF4" w14:textId="77777777" w:rsidR="00A8138F" w:rsidRDefault="00A8138F" w:rsidP="00A8138F">
      <w:pPr>
        <w:pStyle w:val="TextoNormal"/>
      </w:pPr>
    </w:p>
    <w:p w14:paraId="3E410B8E" w14:textId="6BC7EE33" w:rsidR="00A8138F" w:rsidRDefault="00A8138F" w:rsidP="00A8138F">
      <w:pPr>
        <w:pStyle w:val="TextoNormal"/>
      </w:pPr>
      <w:r>
        <w:t>Y por último, en la misma resolución, de conformidad con la solicitud de la parte actora, se acordó formar pieza separada de suspensión.</w:t>
      </w:r>
    </w:p>
    <w:p w14:paraId="49ED8084" w14:textId="77777777" w:rsidR="00A8138F" w:rsidRDefault="00A8138F" w:rsidP="00A8138F">
      <w:pPr>
        <w:pStyle w:val="TextoNormal"/>
      </w:pPr>
    </w:p>
    <w:p w14:paraId="2F474D0B" w14:textId="49005F5E" w:rsidR="00A8138F" w:rsidRDefault="00A8138F" w:rsidP="00A8138F">
      <w:pPr>
        <w:pStyle w:val="TextoNormal"/>
      </w:pPr>
      <w:r w:rsidRPr="00A8138F">
        <w:rPr>
          <w:rStyle w:val="NumeroAFNegritaCaracter"/>
        </w:rPr>
        <w:t>5</w:t>
      </w:r>
      <w:r>
        <w:t>. En respuesta a la petición cautelar de la parte actora, mediante providencia de 15 de enero de 2024, dictada por la Sección Segunda de la Sala Primera de este Tribunal, se acordó formar la oportuna pieza para la tramitación de la suspensión solicitada y se dio trámite de alegaciones al Ministerio Fiscal y a la solicitante de amparo.</w:t>
      </w:r>
    </w:p>
    <w:p w14:paraId="6B08AF69" w14:textId="77777777" w:rsidR="00A8138F" w:rsidRDefault="00A8138F" w:rsidP="00A8138F">
      <w:pPr>
        <w:pStyle w:val="TextoNormal"/>
      </w:pPr>
    </w:p>
    <w:p w14:paraId="37975335" w14:textId="51A3C23A" w:rsidR="00A8138F" w:rsidRDefault="00A8138F" w:rsidP="00A8138F">
      <w:pPr>
        <w:pStyle w:val="TextoNormal"/>
      </w:pPr>
      <w:r w:rsidRPr="00A8138F">
        <w:rPr>
          <w:rStyle w:val="NumeroAFNegritaCaracter"/>
        </w:rPr>
        <w:t>6</w:t>
      </w:r>
      <w:r>
        <w:t>. La Abogacía del Estado, en representación de la Agencia Estatal de Administración Tributaria, se personó en el presente procedimiento mediante escrito presentado en el registro de este tribunal el 30 de enero de 2024. Mediante diligencia de ordenación de 7 de febrero de 2024 dictada por la Secretaría de Justicia de la Sección Segunda, se acordó darle trámite de alegaciones en relación con la petición de suspensión.</w:t>
      </w:r>
    </w:p>
    <w:p w14:paraId="6512305F" w14:textId="77777777" w:rsidR="00A8138F" w:rsidRDefault="00A8138F" w:rsidP="00A8138F">
      <w:pPr>
        <w:pStyle w:val="TextoNormal"/>
      </w:pPr>
    </w:p>
    <w:p w14:paraId="148ABE3D" w14:textId="252A3927" w:rsidR="00A8138F" w:rsidRDefault="00A8138F" w:rsidP="00A8138F">
      <w:pPr>
        <w:pStyle w:val="TextoNormal"/>
      </w:pPr>
      <w:r w:rsidRPr="00A8138F">
        <w:rPr>
          <w:rStyle w:val="NumeroAFNegritaCaracter"/>
        </w:rPr>
        <w:t>7</w:t>
      </w:r>
      <w:r>
        <w:t>. En la pieza separada de suspensión, la demandante de amparo se ratificó en su solicitud de suspensión y el Ministerio Fiscal interesó la estimación de dicha petición. Tras el trámite de alegaciones, la Sala Primera de este tribunal dictó ATC 27/2024, de 8 de abril, acordando “[l]a suspensión de la parte dispositiva de la sentencia de 1 de septiembre de 2022 dictada por la Sección Vigésima Primera de la Audiencia Provincial de Barcelona (rollo de apelación núm. 58-2022), en el particular en el que ordena ʻque se proceda a un nuevo señalamiento del juicio oral por un magistrado/a distinto, que deberá tener en cuenta lo resuelto en nuestra sentencia respecto de la validez de la entrada y registro efectuada’”.</w:t>
      </w:r>
    </w:p>
    <w:p w14:paraId="15943687" w14:textId="77777777" w:rsidR="00A8138F" w:rsidRDefault="00A8138F" w:rsidP="00A8138F">
      <w:pPr>
        <w:pStyle w:val="TextoNormal"/>
      </w:pPr>
    </w:p>
    <w:p w14:paraId="025F6835" w14:textId="6421B118" w:rsidR="00A8138F" w:rsidRDefault="00A8138F" w:rsidP="00A8138F">
      <w:pPr>
        <w:pStyle w:val="TextoNormal"/>
      </w:pPr>
      <w:r w:rsidRPr="00A8138F">
        <w:rPr>
          <w:rStyle w:val="NumeroAFNegritaCaracter"/>
        </w:rPr>
        <w:lastRenderedPageBreak/>
        <w:t>8</w:t>
      </w:r>
      <w:r>
        <w:t>. La Secretaría de Justicia de la Sala Primera de este tribunal, por diligencia de ordenación de 27 de mayo de 2024, acordó dar vista de las actuaciones al Ministerio Fiscal, a la recurrente en amparo y al abogado del Estado, por un plazo común de veinte días para presentar alegaciones, conforme a lo dispuesto en el art. 52.1 LOTC.</w:t>
      </w:r>
    </w:p>
    <w:p w14:paraId="6E9E7D51" w14:textId="77777777" w:rsidR="00A8138F" w:rsidRDefault="00A8138F" w:rsidP="00A8138F">
      <w:pPr>
        <w:pStyle w:val="TextoNormal"/>
      </w:pPr>
    </w:p>
    <w:p w14:paraId="4BD069A7" w14:textId="63A9B621" w:rsidR="00A8138F" w:rsidRDefault="00A8138F" w:rsidP="00A8138F">
      <w:pPr>
        <w:pStyle w:val="TextoNormal"/>
      </w:pPr>
      <w:r w:rsidRPr="00A8138F">
        <w:rPr>
          <w:rStyle w:val="NumeroAFNegritaCaracter"/>
        </w:rPr>
        <w:t>9</w:t>
      </w:r>
      <w:r>
        <w:t>. Mediante escrito registrado en este tribunal el 25 de junio de 2024, la representación procesal de la demandante formuló alegaciones, reiterando, en síntesis, los argumentos expuestos en la demanda. En el escrito de alegaciones reconoce que la Sala de lo Contencioso-Administrativo del Tribunal Supremo [con cita de las SSTS 773/2023, de 9 de junio (ECLI:ES:TS:2023:2742) y 775/2023, de 12 de junio (ECLI:ES:TS:2023:2730)] ha matizado su doctrina anterior relativa a los requisitos para acordar la entrada y registro (de las que eran exponentes las SSTS 1231/2020 y 1163/2021), si bien considera que el supuesto objeto del presente recurso es sustancialmente distinto al examinado en las recientes sentencias dictadas por aquella sala del Tribunal Supremo, por no haber actuado aquí la Administración Tributaria de buena fe. Insiste por ello en que la imposibilidad de reproducir en el nuevo juicio como cuestión previa la nulidad del acto de entrada y registro según resulta de las resoluciones impugnadas, supone la vulneración de su derecho a la tutela judicial efectiva sin indefensión (art. 24.1 CE).</w:t>
      </w:r>
    </w:p>
    <w:p w14:paraId="6F11E5C2" w14:textId="77777777" w:rsidR="00A8138F" w:rsidRDefault="00A8138F" w:rsidP="00A8138F">
      <w:pPr>
        <w:pStyle w:val="TextoNormal"/>
      </w:pPr>
    </w:p>
    <w:p w14:paraId="316ED757" w14:textId="77777777" w:rsidR="00A8138F" w:rsidRDefault="00A8138F" w:rsidP="00A8138F">
      <w:pPr>
        <w:pStyle w:val="TextoNormal"/>
      </w:pPr>
      <w:r w:rsidRPr="00A8138F">
        <w:rPr>
          <w:rStyle w:val="NumeroAFNegritaCaracter"/>
        </w:rPr>
        <w:t>10</w:t>
      </w:r>
      <w:r>
        <w:t>. El abogado del Estado presentó escrito de alegaciones registrado ante este tribunal el 26 de junio de 2024, en el que solicitó la desestimación de la demanda. En su escrito, sistematiza los principales hitos del procedimiento y transcribe el auto de 7 de octubre de 2011 dictado por el Juzgado de lo Contencioso-Administrativo núm. 1 de Barcelona. Expone a continuación la doctrina constitucional relativa a las entradas y registros adoptadas por los tribunales contencioso-administrativos y su control por los tribunales penales (con cita de las SSTC 160/1991, de 18 de julio; 199/1998, de 13 de octubre; 283/2000, de 27 de noviembre; 92/2002, de 22 de abril, y 67/2020, de 29 de junio), y la resume en los siguientes términos:</w:t>
      </w:r>
    </w:p>
    <w:p w14:paraId="5513B9F6" w14:textId="77777777" w:rsidR="00A8138F" w:rsidRDefault="00A8138F" w:rsidP="00A8138F">
      <w:pPr>
        <w:pStyle w:val="TextoNormal"/>
      </w:pPr>
    </w:p>
    <w:p w14:paraId="2B6A26B8" w14:textId="77777777" w:rsidR="00A8138F" w:rsidRDefault="00A8138F" w:rsidP="00A8138F">
      <w:pPr>
        <w:pStyle w:val="TextoNormal"/>
      </w:pPr>
      <w:r>
        <w:t>(i) La cuestión resuelta por una resolución judicial firme dictada por el órgano competente no puede ser revisada por un órgano de distinto orden jurisdiccional, pues iría en contra de las más elementales razones de seguridad jurídica; (ii) desde la entrada en vigor de la Ley 29/1998, de 13 de julio, reguladora de la jurisdicción contencioso- administrativa, la competencia para autorizar las entradas y registros derivada de actuaciones tributarias corresponde en exclusiva al orden jurisdiccional contencioso-administrativo, sin que tal actuación pueda ser revisada por un orden jurisdiccional distinto; y (iii) las pruebas obtenidas como consecuencia de la entrada y registro autorizada por el órgano jurisdiccional competente pueden ser utilizadas en otro orden jurisdiccional, sin que concurra lesión en la tutela judicial efectiva (art. 24 CE) aunque no haya sido autorizada por este último.</w:t>
      </w:r>
    </w:p>
    <w:p w14:paraId="467DC62B" w14:textId="77777777" w:rsidR="00A8138F" w:rsidRDefault="00A8138F" w:rsidP="00A8138F">
      <w:pPr>
        <w:pStyle w:val="TextoNormal"/>
      </w:pPr>
    </w:p>
    <w:p w14:paraId="79961CD5" w14:textId="3AD628AE" w:rsidR="00A8138F" w:rsidRDefault="00A8138F" w:rsidP="00A8138F">
      <w:pPr>
        <w:pStyle w:val="TextoNormal"/>
      </w:pPr>
      <w:r>
        <w:t xml:space="preserve">En aplicación de esta doctrina, el abogado del Estado considera que en el supuesto planteado no se aprecia vulneración del derecho a la inviolabilidad del domicilio (art. 18.2 CE) en relación con el derecho a la tutela judicial efectiva (art. 24.1 CE), ya que la autorización de entrada y registro fue realizada por el órgano judicial competente y confirmada en vía de recurso. A mayor abundamiento, la corrección de la decisión se planteó en sede de cuestiones previas ante el juzgado penal y posteriormente en apelación, sin que existiera, por lo tanto, indefensión. Añade que la decisión del juez penal, aplicando la jurisprudencia de la </w:t>
      </w:r>
      <w:r>
        <w:lastRenderedPageBreak/>
        <w:t>Sala de lo Contencioso-Administrativo del Tribunal Supremo, de anular la resolución de entrada y registro acordada por un órgano de la jurisdicción contencioso-administrativa siendo esta firme, con efectos de cosa juzgada y dictada ocho años antes, es contraria a la seguridad jurídica, a la tutela judicial efectiva y a las reglas constitucionales que establecen la distribución competencial entre órganos jurisdiccionales (art. 117 CE y Ley Orgánica del Poder Judicial).</w:t>
      </w:r>
    </w:p>
    <w:p w14:paraId="625C646E" w14:textId="77777777" w:rsidR="00A8138F" w:rsidRDefault="00A8138F" w:rsidP="00A8138F">
      <w:pPr>
        <w:pStyle w:val="TextoNormal"/>
      </w:pPr>
    </w:p>
    <w:p w14:paraId="6E85ACED" w14:textId="77777777" w:rsidR="00A8138F" w:rsidRDefault="00A8138F" w:rsidP="00A8138F">
      <w:pPr>
        <w:pStyle w:val="TextoNormal"/>
      </w:pPr>
      <w:r w:rsidRPr="00A8138F">
        <w:rPr>
          <w:rStyle w:val="NumeroAFNegritaCaracter"/>
        </w:rPr>
        <w:t>11</w:t>
      </w:r>
      <w:r>
        <w:t>. El fiscal ante este Tribunal Constitucional presentó escrito de alegaciones el 3 de julio de 2024, por el que solicitó el otorgamiento del amparo por entender vulnerado el derecho fundamental a la tutela judicial efectiva de la recurrente (art. 24.1 CE), en relación con su derecho fundamental a la inviolabilidad del domicilio (art. 18.2 CE). En consecuencia, interesó declarar la nulidad del auto de 1 de junio de 2023 y de la sentencia de 1 de septiembre de 2022, dictados por la Sección Vigesimoprimera de la Audiencia Provincial de Barcelona, y que se ordenara la retroacción de las actuaciones para que, por dicha sección, se dictase una nueva sentencia, respetuosa con el derecho fundamental vulnerado.</w:t>
      </w:r>
    </w:p>
    <w:p w14:paraId="76ED81FF" w14:textId="77777777" w:rsidR="00A8138F" w:rsidRDefault="00A8138F" w:rsidP="00A8138F">
      <w:pPr>
        <w:pStyle w:val="TextoNormal"/>
      </w:pPr>
    </w:p>
    <w:p w14:paraId="13831723" w14:textId="77777777" w:rsidR="00A8138F" w:rsidRDefault="00A8138F" w:rsidP="00A8138F">
      <w:pPr>
        <w:pStyle w:val="TextoNormal"/>
      </w:pPr>
      <w:r>
        <w:t xml:space="preserve">Luego de resumir los antecedentes del proceso </w:t>
      </w:r>
      <w:r w:rsidRPr="00A8138F">
        <w:rPr>
          <w:i/>
        </w:rPr>
        <w:t>a quo</w:t>
      </w:r>
      <w:r>
        <w:t xml:space="preserve"> y de la tramitación del presente recurso de amparo, el fiscal, para abordar lo que considera la cuestión nuclear de la demanda de amparo, el grado de vinculación de una resolución firme del orden jurisdiccional contencioso-administrativo a propósito del enjuiciamiento en sede penal de la posible existencia de un delito de naturaleza tributaria, expone la doctrina constitucional sobre la cosa juzgada (con cita, entre otras, de la STC 15/2002, de 28 de enero).</w:t>
      </w:r>
    </w:p>
    <w:p w14:paraId="5EA9543F" w14:textId="77777777" w:rsidR="00A8138F" w:rsidRDefault="00A8138F" w:rsidP="00A8138F">
      <w:pPr>
        <w:pStyle w:val="TextoNormal"/>
      </w:pPr>
    </w:p>
    <w:p w14:paraId="2E3BEEF8" w14:textId="77777777" w:rsidR="00A8138F" w:rsidRDefault="00A8138F" w:rsidP="00A8138F">
      <w:pPr>
        <w:pStyle w:val="TextoNormal"/>
      </w:pPr>
      <w:r>
        <w:t>El fiscal rechaza, por un lado, la concurrencia del efecto negativo o excluyente de la cosa juzgada material que impide cualquier nuevo pronunciamiento entre las mismas partes y sobre el mismo objeto. En este sentido, recuerda que el procedimiento especial de autorización de entrada, art. 8.6 LJCA, tiene un ámbito más restringido y una naturaleza diferente del proceso penal. En el orden contencioso-administrativo se decide exclusivamente dicha autorización judicial —sin necesidad de contradicción en el juzgado— para la ejecución de un acto administrativo, verificando para ello la concurrencia de los requisitos de necesidad, idoneidad y proporcionalidad de la actuación, para que, en ausencia del consentimiento del titular del domicilio, se pueda producir una intromisión constitucionalmente legítima en el mismo. Su objeto es más restringido que el del proceso penal, en el que, con conocimiento pleno, se trata de determinar la posible existencia de defraudaciones tributarias penalmente relevantes.</w:t>
      </w:r>
    </w:p>
    <w:p w14:paraId="0394F9E7" w14:textId="77777777" w:rsidR="00A8138F" w:rsidRDefault="00A8138F" w:rsidP="00A8138F">
      <w:pPr>
        <w:pStyle w:val="TextoNormal"/>
      </w:pPr>
    </w:p>
    <w:p w14:paraId="26F85878" w14:textId="77777777" w:rsidR="00A8138F" w:rsidRDefault="00A8138F" w:rsidP="00A8138F">
      <w:pPr>
        <w:pStyle w:val="TextoNormal"/>
      </w:pPr>
      <w:r>
        <w:t>El fiscal también descarta la concurrencia del efecto positivo o prejudicial de la cosa juzgada en el caso planteado. Considera que el auto de autorización de la entrada dictado por el juzgado contencioso-administrativo no constituye un antecedente lógico que pueda ser vinculante en el proceso penal posterior, ni hay disposición legal que instituya expresamente ese efecto vinculante. Afirma el fiscal que “[s]in duda, aspectos tales como los eventuales excesos en la ejecución de la entrada no quedarían condicionados por el resultado del procedimiento de autorización, pero tampoco existe base para informar, incondicionadamente, que no pueden examinarse los presupuestos objetivos para solicitar aquella autorización de entrada, que es lo que ocurre aquí, aunque tal examen se proyecte desde las conclusiones de una línea jurisprudencial nueva”.</w:t>
      </w:r>
    </w:p>
    <w:p w14:paraId="22F24C5A" w14:textId="77777777" w:rsidR="00A8138F" w:rsidRDefault="00A8138F" w:rsidP="00A8138F">
      <w:pPr>
        <w:pStyle w:val="TextoNormal"/>
      </w:pPr>
    </w:p>
    <w:p w14:paraId="72DA08DB" w14:textId="77777777" w:rsidR="00A8138F" w:rsidRDefault="00A8138F" w:rsidP="00A8138F">
      <w:pPr>
        <w:pStyle w:val="TextoNormal"/>
      </w:pPr>
      <w:r>
        <w:lastRenderedPageBreak/>
        <w:t>A lo anterior, el fiscal añade que la cosa juzgada material aparece exclusivamente ligada a las sentencias firmes que juzgan y resuelven sobre el fondo del asunto [art. 222 de la Ley de enjuiciamiento civil (LEC)]. Por ello, no es posible apreciar la autoridad de cosa juzgada en el presente supuesto, por haberse adoptado la decisión de autorización de entrada y registro por auto, siendo irrelevante que en la apelación se resuelva su revisión por sentencia, pues “la naturaleza incidental y sumaria del procedimiento de autorización y su finalidad de garantía del derecho fundamental a la inviolabilidad del domicilio pugna con atribuir a la autorización de entrada el efecto de cosa juzgada material positiva o prejudicial respecto al proceso que dilucida el asunto de fondo”.</w:t>
      </w:r>
    </w:p>
    <w:p w14:paraId="626F1C4C" w14:textId="77777777" w:rsidR="00A8138F" w:rsidRDefault="00A8138F" w:rsidP="00A8138F">
      <w:pPr>
        <w:pStyle w:val="TextoNormal"/>
      </w:pPr>
    </w:p>
    <w:p w14:paraId="478CF82F" w14:textId="77777777" w:rsidR="00A8138F" w:rsidRDefault="00A8138F" w:rsidP="00A8138F">
      <w:pPr>
        <w:pStyle w:val="TextoNormal"/>
      </w:pPr>
      <w:r>
        <w:t>En consecuencia, el fiscal considera que la Audiencia Provincial de Barcelona adoptó una decisión no prevista por las leyes y la resolución dictada se apartó de la regulación legal y de la doctrina constitucional sobre el efecto de cosa juzgada material.</w:t>
      </w:r>
    </w:p>
    <w:p w14:paraId="2CCC3CE8" w14:textId="77777777" w:rsidR="00A8138F" w:rsidRDefault="00A8138F" w:rsidP="00A8138F">
      <w:pPr>
        <w:pStyle w:val="TextoNormal"/>
      </w:pPr>
    </w:p>
    <w:p w14:paraId="5C824A1B" w14:textId="77777777" w:rsidR="00A8138F" w:rsidRDefault="00A8138F" w:rsidP="00A8138F">
      <w:pPr>
        <w:pStyle w:val="TextoNormal"/>
      </w:pPr>
      <w:r>
        <w:t>Por ello dice, en consonancia con la demandante de amparo, que la imposibilidad de revisión en el nuevo juicio oral, tanto de la solicitud de entrada efectuada por la inspección de los tributos como del ulterior auto dictado por el Juzgado de lo Contencioso-Administrativo núm. 1 de Barcelona “desde el punto de vista de su legitimidad constitucional y de su conformidad a la legalidad ordinaria —en la que ha de entenderse comprendida la interpretación de esta efectuada por la jurisprudencia del Tribunal Supremo— constituye de por sí una indebida restricción de la garantía constitucional material (art. 18.2 CE)”. Y por lo tanto “la lesión del derecho fundamental a la tutela judicial efectiva (art. 24.1 CE) que ha de declararse existente, lo habrá de ser en relación con la vulneración del derecho fundamental a la inviolabilidad del domicilio (art. 18.2 CE)”.</w:t>
      </w:r>
    </w:p>
    <w:p w14:paraId="7D3785D3" w14:textId="77777777" w:rsidR="00A8138F" w:rsidRDefault="00A8138F" w:rsidP="00A8138F">
      <w:pPr>
        <w:pStyle w:val="TextoNormal"/>
      </w:pPr>
    </w:p>
    <w:p w14:paraId="603C7C30" w14:textId="5EB2AE45" w:rsidR="00A8138F" w:rsidRDefault="00A8138F" w:rsidP="00A8138F">
      <w:pPr>
        <w:pStyle w:val="TextoNormal"/>
      </w:pPr>
      <w:r>
        <w:t>Finalmente, el fiscal afirma que las deficiencias de la demanda de amparo (que parece pretender únicamente una sentencia declarativa de la vulneración denunciada) no han de impedir, como consecuencia necesaria a dicha vulneración, la declaración de nulidad de las actuaciones, desde la sentencia de 1 de septiembre de 2022 dictada por la sección competente de la Audiencia Provincial de Barcelona para el dictado de una nueva sentencia respetuosa con los derechos vulnerados, puesto que lo contrario, carecería de toda eficacia reparadora.</w:t>
      </w:r>
    </w:p>
    <w:p w14:paraId="7D56C31A" w14:textId="77777777" w:rsidR="00A8138F" w:rsidRDefault="00A8138F" w:rsidP="00A8138F">
      <w:pPr>
        <w:pStyle w:val="TextoNormal"/>
      </w:pPr>
    </w:p>
    <w:p w14:paraId="64A811B5" w14:textId="1EBC39B4" w:rsidR="00A8138F" w:rsidRDefault="00A8138F" w:rsidP="00A8138F">
      <w:pPr>
        <w:pStyle w:val="TextoNormal"/>
      </w:pPr>
      <w:r w:rsidRPr="00A8138F">
        <w:rPr>
          <w:rStyle w:val="NumeroAFNegritaCaracter"/>
        </w:rPr>
        <w:t>12</w:t>
      </w:r>
      <w:r>
        <w:t>. Por providencia de 6 de febrero de 2025, se señaló para la deliberación y votación de la presente sentencia el día 10 del mismo mes y año.</w:t>
      </w:r>
    </w:p>
    <w:p w14:paraId="7B988C55" w14:textId="77777777" w:rsidR="00A8138F" w:rsidRDefault="00A8138F" w:rsidP="00A8138F">
      <w:pPr>
        <w:pStyle w:val="TextoNormal"/>
      </w:pPr>
    </w:p>
    <w:p w14:paraId="40781E5E" w14:textId="77777777" w:rsidR="00A8138F" w:rsidRDefault="00A8138F" w:rsidP="00A8138F">
      <w:pPr>
        <w:pStyle w:val="TextoNormalNegritaCentrado"/>
        <w:keepNext/>
      </w:pPr>
      <w:r>
        <w:t>II. Fundamentos jurídicos</w:t>
      </w:r>
    </w:p>
    <w:p w14:paraId="64AD7FF5" w14:textId="6F12D4BC" w:rsidR="00A8138F" w:rsidRDefault="00A8138F" w:rsidP="00A8138F">
      <w:pPr>
        <w:pStyle w:val="TextoNormalNegritaCentrado"/>
        <w:keepNext/>
      </w:pPr>
    </w:p>
    <w:p w14:paraId="40406246"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024BB6C7" w14:textId="77777777" w:rsidR="00A8138F" w:rsidRDefault="00A8138F" w:rsidP="00A8138F">
      <w:pPr>
        <w:pStyle w:val="TextoNormal"/>
      </w:pPr>
    </w:p>
    <w:p w14:paraId="38C29BA1" w14:textId="77777777" w:rsidR="00A8138F" w:rsidRDefault="00A8138F" w:rsidP="00A8138F">
      <w:pPr>
        <w:pStyle w:val="TextoNormal"/>
      </w:pPr>
      <w:r>
        <w:t xml:space="preserve">A) La presente demanda de amparo se dirige contra la sentencia de 1 de septiembre de 2022 dictada en apelación por la Sección Vigesimoprimera de la Audiencia Provincial de Barcelona y contra el auto de 1 de junio de 2023 desestimatorio del incidente de nulidad promovido frente a la anterior resolución. La sección competente de la Audiencia Provincial acordó declarar la nulidad de la sentencia absolutoria dictada por el Juzgado de lo Penal núm. 26 de Barcelona, considerando para ello válida la diligencia de entrada y registro en la sede de la empresa propiedad de la demandante de amparo, que había sido autorizada por </w:t>
      </w:r>
      <w:r>
        <w:lastRenderedPageBreak/>
        <w:t>los tribunales contencioso-administrativos en el año 2011 y que el Juzgado de lo Penal previamente declaró nula. De este modo, la Audiencia Provincial concluyó que debía considerarse lícita la prueba documental obtenida en la práctica de aquel registro, prueba que sirvió para acusar a la recurrente de la comisión de delitos contra la hacienda pública y acordó vincular al juez que debía celebrar nuevo juicio penal en este extremo.</w:t>
      </w:r>
    </w:p>
    <w:p w14:paraId="549A474F" w14:textId="77777777" w:rsidR="00A8138F" w:rsidRDefault="00A8138F" w:rsidP="00A8138F">
      <w:pPr>
        <w:pStyle w:val="TextoNormal"/>
      </w:pPr>
    </w:p>
    <w:p w14:paraId="13D007BE" w14:textId="77777777" w:rsidR="00A8138F" w:rsidRDefault="00A8138F" w:rsidP="00A8138F">
      <w:pPr>
        <w:pStyle w:val="TextoNormal"/>
      </w:pPr>
      <w:r>
        <w:t>Contra dicha sentencia la recurrente en amparo formuló incidente de nulidad de actuaciones en el que alegó que la decisión de la Audiencia le impedía volver a plantear como cuestión previa en el nuevo juicio, el motivo de invalidez de la entrada y registro acordada con motivo de la inaplicación de la doctrina del Tribunal Supremo que había invocado en ese mismo trámite ante el Juzgado de lo Penal.</w:t>
      </w:r>
    </w:p>
    <w:p w14:paraId="72E6B21E" w14:textId="77777777" w:rsidR="00A8138F" w:rsidRDefault="00A8138F" w:rsidP="00A8138F">
      <w:pPr>
        <w:pStyle w:val="TextoNormal"/>
      </w:pPr>
    </w:p>
    <w:p w14:paraId="50658BD8" w14:textId="77777777" w:rsidR="00A8138F" w:rsidRDefault="00A8138F" w:rsidP="00A8138F">
      <w:pPr>
        <w:pStyle w:val="TextoNormal"/>
      </w:pPr>
      <w:r>
        <w:t>La Audiencia Provincial de Barcelona desestimó este incidente argumentando que la cuestión de la validez o no de la entrada y registro “ya fue objeto de detenido análisis en la sentencia” y por ello acuerda dar “por reproducidos íntegramente en aras de la economía procesal el fundamento de Derecho segundo de la sentencia cuya nulidad se insta que aborda profusamente esta cuestión y que las partes ya conocen”.</w:t>
      </w:r>
    </w:p>
    <w:p w14:paraId="00B2DAE5" w14:textId="77777777" w:rsidR="00A8138F" w:rsidRDefault="00A8138F" w:rsidP="00A8138F">
      <w:pPr>
        <w:pStyle w:val="TextoNormal"/>
      </w:pPr>
    </w:p>
    <w:p w14:paraId="354B979C" w14:textId="77777777" w:rsidR="00A8138F" w:rsidRDefault="00A8138F" w:rsidP="00A8138F">
      <w:pPr>
        <w:pStyle w:val="TextoNormal"/>
      </w:pPr>
      <w:r>
        <w:t>B) Las posiciones de las partes, expuestas en los antecedentes de esta sentencia, pueden resumirse como sigue:</w:t>
      </w:r>
    </w:p>
    <w:p w14:paraId="28DF4712" w14:textId="77777777" w:rsidR="00A8138F" w:rsidRDefault="00A8138F" w:rsidP="00A8138F">
      <w:pPr>
        <w:pStyle w:val="TextoNormal"/>
      </w:pPr>
    </w:p>
    <w:p w14:paraId="10571623" w14:textId="77777777" w:rsidR="00A8138F" w:rsidRDefault="00A8138F" w:rsidP="00A8138F">
      <w:pPr>
        <w:pStyle w:val="TextoNormal"/>
      </w:pPr>
      <w:r>
        <w:t>a) La recurrente considera que la sentencia dictada por la Audiencia Provincial de Barcelona, revocatoria del previo pronunciamiento absolutorio en la instancia fundado en la nulidad de las resoluciones de autorización de aquella entrada y registro, vulneró su derecho a la tutela judicial efectiva (art. 24.1 CE) en relación con el derecho a la inviolabilidad domiciliaria (art. 18.2 CE). Afirma que: (i) el juez penal no queda vinculado por el juicio de validez precedente realizado por los tribunales contencioso-administrativos y (ii) la decisión revocatoria de apelación, imponiendo que el nuevo juez sentenciador quede vinculado a la validez de la diligencia de entrada y registro acordada en vía contencioso-administrativa y de la que derivan las pruebas del procedimiento penal, veda la revisión por parte de los tribunales penales de la resolución dictada en vía contencioso-administrativa; en concreto sobre la inconstitucionalidad —a su juicio— de la diligencia de entrada y registro (art. 18.2 CE), por ser esta contraria a la jurisprudencia de la Sala de lo Contencioso-Administrativo del Tribunal Supremo en cuanto a la exigencia de apertura y notificación de un procedimiento de inspección tributaria contra la persona, antes de solicitar la diligencia de entrada y registro en su domicilio.</w:t>
      </w:r>
    </w:p>
    <w:p w14:paraId="23B05EA6" w14:textId="77777777" w:rsidR="00A8138F" w:rsidRDefault="00A8138F" w:rsidP="00A8138F">
      <w:pPr>
        <w:pStyle w:val="TextoNormal"/>
      </w:pPr>
    </w:p>
    <w:p w14:paraId="453F4AB9" w14:textId="77777777" w:rsidR="00A8138F" w:rsidRDefault="00A8138F" w:rsidP="00A8138F">
      <w:pPr>
        <w:pStyle w:val="TextoNormal"/>
      </w:pPr>
      <w:r>
        <w:t>b) El abogado del Estado defiende la desestimación del recurso de amparo al no considerar vulnerados los derechos fundamentales invocados (arts. 24.1 y 18.2 CE). Sostiene que la diligencia de entrada y registro acordada por resolución firme dictada por el órgano competente no puede ser revisada por los tribunales de distinto orden jurisdiccional y que las pruebas obtenidas a raíz de esta pueden ser utilizadas en el procedimiento penal.</w:t>
      </w:r>
    </w:p>
    <w:p w14:paraId="4DC2F597" w14:textId="77777777" w:rsidR="00A8138F" w:rsidRDefault="00A8138F" w:rsidP="00A8138F">
      <w:pPr>
        <w:pStyle w:val="TextoNormal"/>
      </w:pPr>
    </w:p>
    <w:p w14:paraId="205DAAA6" w14:textId="77777777" w:rsidR="00A8138F" w:rsidRDefault="00A8138F" w:rsidP="00A8138F">
      <w:pPr>
        <w:pStyle w:val="TextoNormal"/>
      </w:pPr>
      <w:r>
        <w:t xml:space="preserve">c) El fiscal ante este tribunal interesa la estimación de la demanda de amparo interpuesta por la recurrente, por vulneración de los dos derechos fundamentales que esta alega lesionados. Sostiene que la sentencia dictada por la sección competente de la Audiencia Provincial de Barcelona es irrazonable y lesiva de su derecho fundamental a la tutela judicial efectiva (art. 24.1 CE), en la vertiente del derecho a la motivación de las resoluciones judiciales, </w:t>
      </w:r>
      <w:r>
        <w:lastRenderedPageBreak/>
        <w:t>por haber adoptado una decisión apartándose indebidamente de la regulación legal y de la doctrina constitucional sobre el efecto de la cosa juzgada material. Añade que la imposibilidad de revisar, en el acto del nuevo juicio oral que ha de celebrarse, la validez de la autorización de la entrada y registro acordada en la vía contencioso-administrativa, contemplada desde el punto de vista de su legitimidad constitucional y de su conformidad con la legalidad ordinaria, constituye también una indebida restricción del derecho a la inviolabilidad domiciliaria (art. 18.2 CE).</w:t>
      </w:r>
    </w:p>
    <w:p w14:paraId="75EE3A71" w14:textId="77777777" w:rsidR="00A8138F" w:rsidRDefault="00A8138F" w:rsidP="00A8138F">
      <w:pPr>
        <w:pStyle w:val="TextoNormal"/>
      </w:pPr>
    </w:p>
    <w:p w14:paraId="508DF35D" w14:textId="77777777" w:rsidR="00A8138F" w:rsidRDefault="00A8138F" w:rsidP="00A8138F">
      <w:pPr>
        <w:pStyle w:val="TextoNormal"/>
      </w:pPr>
      <w:r>
        <w:t>C) Con carácter previo al análisis de la cuestión de fondo, es preciso, además, delimitar el objeto del recurso. La demandante de amparo denuncia formalmente la vulneración de dos derechos fundamentales: el derecho fundamental a la tutela judicial efectiva sin padecer indefensión (art. 24.1 CE) en conexión con el derecho fundamental a la inviolabilidad domiciliaria (art. 18.2 CE); si bien, del contenido del recurso resulta que la queja se fundamenta en la falta de respuesta motivada y razonable por parte de los órganos judiciales penales, acerca de la posible vulneración del derecho sustantivo del art. 18.2 CE.</w:t>
      </w:r>
    </w:p>
    <w:p w14:paraId="482309B1" w14:textId="77777777" w:rsidR="00A8138F" w:rsidRDefault="00A8138F" w:rsidP="00A8138F">
      <w:pPr>
        <w:pStyle w:val="TextoNormal"/>
      </w:pPr>
    </w:p>
    <w:p w14:paraId="2D38201B" w14:textId="04B2DCC5" w:rsidR="00A8138F" w:rsidRDefault="00A8138F" w:rsidP="00A8138F">
      <w:pPr>
        <w:pStyle w:val="TextoNormal"/>
      </w:pPr>
      <w:r>
        <w:t>Así planteado, a este tribunal corresponde, por lo tanto, dirimir si se ha producido la referida lesión del derecho a la tutela judicial efectiva (art. 24.1 CE) en su faceta del derecho a obtener de los jueces y tribunales, una respuesta razonable y fundada en Derecho. Únicamente en el caso de estimarse esta vulneración, derivaría como consecuencia el deber de la jurisdicción de tutelar el derecho sustantivo fundamental (art. 18.2 CE).</w:t>
      </w:r>
    </w:p>
    <w:p w14:paraId="1F11888C" w14:textId="77777777" w:rsidR="00A8138F" w:rsidRDefault="00A8138F" w:rsidP="00A8138F">
      <w:pPr>
        <w:pStyle w:val="TextoNormal"/>
      </w:pPr>
    </w:p>
    <w:p w14:paraId="5E3052BA" w14:textId="77777777" w:rsidR="00A8138F" w:rsidRDefault="00A8138F" w:rsidP="00A8138F">
      <w:pPr>
        <w:pStyle w:val="TextoNormal"/>
      </w:pPr>
      <w:r w:rsidRPr="00A8138F">
        <w:rPr>
          <w:rStyle w:val="NumeroAFNegritaCaracter"/>
        </w:rPr>
        <w:t>2</w:t>
      </w:r>
      <w:r>
        <w:t xml:space="preserve">. </w:t>
      </w:r>
      <w:r w:rsidRPr="00A8138F">
        <w:rPr>
          <w:i/>
        </w:rPr>
        <w:t>Doctrina sobre el respeto a la cosa juzgada de las resoluciones judiciales firmes</w:t>
      </w:r>
    </w:p>
    <w:p w14:paraId="538A5CCC" w14:textId="77777777" w:rsidR="00A8138F" w:rsidRDefault="00A8138F" w:rsidP="00A8138F">
      <w:pPr>
        <w:pStyle w:val="TextoNormal"/>
      </w:pPr>
    </w:p>
    <w:p w14:paraId="4F4A4139" w14:textId="77777777" w:rsidR="00A8138F" w:rsidRDefault="00A8138F" w:rsidP="00A8138F">
      <w:pPr>
        <w:pStyle w:val="TextoNormal"/>
      </w:pPr>
      <w:r>
        <w:t>A) Intangibilidad de las resoluciones judiciales firmes</w:t>
      </w:r>
    </w:p>
    <w:p w14:paraId="30B8AD27" w14:textId="77777777" w:rsidR="00A8138F" w:rsidRDefault="00A8138F" w:rsidP="00A8138F">
      <w:pPr>
        <w:pStyle w:val="TextoNormal"/>
      </w:pPr>
    </w:p>
    <w:p w14:paraId="57591DEE" w14:textId="77777777" w:rsidR="00A8138F" w:rsidRDefault="00A8138F" w:rsidP="00A8138F">
      <w:pPr>
        <w:pStyle w:val="TextoNormal"/>
      </w:pPr>
      <w:r>
        <w:t>Este Tribunal Constitucional, en una consolidada doctrina, ha reiterado que una de las proyecciones del derecho fundamental a la tutela judicial efectiva reconocida en el art. 24.1 CE es el derecho a que las resoluciones judiciales alcancen la eficacia otorgada por el ordenamiento, lo que implica, entre otras cosas, el respeto a su firmeza y a la intangibilidad de las situaciones jurídicas en ellas declaradas. Tal derecho a la intangibilidad o invariabilidad de las resoluciones judiciales firmes responde a los principios de seguridad jurídica, legalidad procesal y eficacia del derecho fundamental a la ejecución de tales resoluciones, cuyo cumplimiento comporta una de las garantías esenciales para el funcionamiento y desarrollo del Estado de Derecho (arts. 9.3, 24.1 y 117.3 CE) (entre otras, SSTC 198/1994, de 4 de julio, FJ 3; 197/2000, de 24 de julio, FJ 4, y 107/2024, de 9 de septiembre, FJ 3).</w:t>
      </w:r>
    </w:p>
    <w:p w14:paraId="33CAA7ED" w14:textId="77777777" w:rsidR="00A8138F" w:rsidRDefault="00A8138F" w:rsidP="00A8138F">
      <w:pPr>
        <w:pStyle w:val="TextoNormal"/>
      </w:pPr>
    </w:p>
    <w:p w14:paraId="30517A7C" w14:textId="77777777" w:rsidR="00A8138F" w:rsidRDefault="00A8138F" w:rsidP="00A8138F">
      <w:pPr>
        <w:pStyle w:val="TextoNormal"/>
      </w:pPr>
      <w:r>
        <w:t>El principio de intangibilidad asegura a las partes procesales que las resoluciones judiciales solo puedan ser modificadas dentro de los cauces legales previstos y proscribe que los juzgados y tribunales puedan variar o revisar las resoluciones judiciales definitivas y firmes al margen de los casos taxativamente previstos por la ley; incluso en la hipótesis de que, con posterioridad, entendiesen que la decisión judicial no se ajusta a la legalidad. Si se permitiese reabrir lo ya resuelto por una decisión firme fuera de los supuestos legalmente permitidos, el derecho a la tutela judicial efectiva, aparte de vulnerado, resultaría carente de efectividad (entre otras, SSTC 119/1988, de 20 de junio, FJ 2; 3/2024, de 15 de enero, FJ 3, y 107/2024, de 9 de septiembre, FJ 3).</w:t>
      </w:r>
    </w:p>
    <w:p w14:paraId="3A2FB636" w14:textId="77777777" w:rsidR="00A8138F" w:rsidRDefault="00A8138F" w:rsidP="00A8138F">
      <w:pPr>
        <w:pStyle w:val="TextoNormal"/>
      </w:pPr>
    </w:p>
    <w:p w14:paraId="3A326A5C" w14:textId="77777777" w:rsidR="00A8138F" w:rsidRDefault="00A8138F" w:rsidP="00A8138F">
      <w:pPr>
        <w:pStyle w:val="TextoNormal"/>
      </w:pPr>
      <w:r>
        <w:lastRenderedPageBreak/>
        <w:t xml:space="preserve">La intangibilidad de lo decidido en una resolución judicial firme no afecta solo al contenido del fallo, sino que también se proyecta sobre aquellos pronunciamientos que constituyen </w:t>
      </w:r>
      <w:r w:rsidRPr="00A8138F">
        <w:rPr>
          <w:i/>
        </w:rPr>
        <w:t>ratio decidendi</w:t>
      </w:r>
      <w:r>
        <w:t xml:space="preserve"> de la resolución, aunque no se trasladen al fallo (STC 15/2006, de 16 de enero, FJ 6) o sobre los que, aun no constituyendo el objeto mismo del proceso, resultan determinantes para la decisión adoptada (SSTC 62/2010, de 18 de octubre, FJ 5, y 39/2012, de 29 de marzo, FJ 5).</w:t>
      </w:r>
    </w:p>
    <w:p w14:paraId="683A8818" w14:textId="77777777" w:rsidR="00A8138F" w:rsidRDefault="00A8138F" w:rsidP="00A8138F">
      <w:pPr>
        <w:pStyle w:val="TextoNormal"/>
      </w:pPr>
    </w:p>
    <w:p w14:paraId="6A9A359D" w14:textId="77777777" w:rsidR="00A8138F" w:rsidRDefault="00A8138F" w:rsidP="00A8138F">
      <w:pPr>
        <w:pStyle w:val="TextoNormal"/>
      </w:pPr>
      <w:r>
        <w:t>B) Efecto prejudicial o positivo de la cosa jurídica material cuando se trata de resoluciones judiciales firmes dictadas por órganos judiciales de distinto orden jurisdiccional</w:t>
      </w:r>
    </w:p>
    <w:p w14:paraId="75AE9679" w14:textId="77777777" w:rsidR="00A8138F" w:rsidRDefault="00A8138F" w:rsidP="00A8138F">
      <w:pPr>
        <w:pStyle w:val="TextoNormal"/>
      </w:pPr>
    </w:p>
    <w:p w14:paraId="0663125A" w14:textId="77777777" w:rsidR="00A8138F" w:rsidRDefault="00A8138F" w:rsidP="00A8138F">
      <w:pPr>
        <w:pStyle w:val="TextoNormal"/>
      </w:pPr>
      <w:r>
        <w:t>Este tribunal ha señalado en reiteradas ocasiones, que unos mismos hechos no pueden existir para unos órganos judiciales y dejar de existir para otros de distinto orden jurisdiccional. Si bien, ello no implica que los órganos de un orden jurisdiccional hayan de aceptar de manera automática los hechos declarados probados por otros, sino que el apartamiento en la apreciación de unos mismos hechos debe de ser siempre motivado y justificado, cuando el asunto en conflicto deba ser examinado desde otra perspectiva jurídica.</w:t>
      </w:r>
    </w:p>
    <w:p w14:paraId="6BAD6875" w14:textId="77777777" w:rsidR="00A8138F" w:rsidRDefault="00A8138F" w:rsidP="00A8138F">
      <w:pPr>
        <w:pStyle w:val="TextoNormal"/>
      </w:pPr>
    </w:p>
    <w:p w14:paraId="5C5976E7" w14:textId="77777777" w:rsidR="00A8138F" w:rsidRDefault="00A8138F" w:rsidP="00A8138F">
      <w:pPr>
        <w:pStyle w:val="TextoNormal"/>
      </w:pPr>
      <w:r>
        <w:t>a) En este sentido, en la STC 16/2008, de 31 de enero, FJ 2, afirmamos:</w:t>
      </w:r>
    </w:p>
    <w:p w14:paraId="23E8B18D" w14:textId="77777777" w:rsidR="00A8138F" w:rsidRDefault="00A8138F" w:rsidP="00A8138F">
      <w:pPr>
        <w:pStyle w:val="TextoNormal"/>
      </w:pPr>
    </w:p>
    <w:p w14:paraId="5693C303" w14:textId="77777777" w:rsidR="00A8138F" w:rsidRDefault="00A8138F" w:rsidP="00A8138F">
      <w:pPr>
        <w:pStyle w:val="TextoNormal"/>
      </w:pPr>
      <w:r>
        <w:t>“[L]a existencia de pronunciamientos contradictorios en las resoluciones judiciales de los que resulte que unos mismos hechos ocurrieron o no ocurrieron es incompatible con el principio de seguridad jurídica que, como una exigencia objetiva del Ordenamiento, se impone al funcionamiento de todos los órganos del Estado en el art. 9.3 CE —en cuanto dicho principio integra también la expectativa legítima de quienes son justiciables a obtener para una misma cuestión una respuesta inequívoca de los órganos encargados de impartir justicia—, y vulneraría, asimismo, el derecho a una tutela judicial efectiva que reconoce el art. 24.1 CE pues no resultan compatibles la efectividad de dicha tutela y la firmeza de los pronunciamientos judiciales contradictorios (SSTC 77/1983, de 3 de octubre, FJ 4; 62/1984, de 21 de mayo, FJ 5; 158/1985, de 26 de noviembre, FJ 4; 35/1990, de 1 de marzo, FJ 3; 30/1996, de 26 de febrero, FJ 5; 50/1996, de 26 de marzo, FJ 3; 190/1999, de 25 de octubre, FJ 4). Y ello porque, en la realidad jurídica, esto es, en la realidad histórica relevante para el Derecho, no puede admitirse que algo es y no es, que unos mismos hechos ocurrieron y no ocurrieron (STC 24/1984, de 23 de febrero, FJ 3), cuando la contradicción no deriva de haberse abordado unos mismos hechos desde perspectivas jurídicas diversas (SSTC 30/1996, de 26 de febrero, FJ 5; 50/1996, de 26 de marzo, FJ 3), y es claro que unos hechos idénticos no pueden existir y dejar de existir para los órganos del Estado, pues a ello se oponen principios elementales de lógica jurídica y extrajurídica (SSTC 77/1983, de 3 de octubre, FJ 4; 24/1984, de 23 de febrero, FJ 3; 158/1985, de 26 de noviembre, FJ 4; 151/2001, de 2 de julio, FJ 4, entre otras muchas).</w:t>
      </w:r>
    </w:p>
    <w:p w14:paraId="7A028832" w14:textId="77777777" w:rsidR="00A8138F" w:rsidRDefault="00A8138F" w:rsidP="00A8138F">
      <w:pPr>
        <w:pStyle w:val="TextoNormal"/>
      </w:pPr>
    </w:p>
    <w:p w14:paraId="66F977B9" w14:textId="77777777" w:rsidR="00A8138F" w:rsidRDefault="00A8138F" w:rsidP="00A8138F">
      <w:pPr>
        <w:pStyle w:val="TextoNormal"/>
      </w:pPr>
      <w:r>
        <w:t xml:space="preserve">No obstante, también se ha sostenido que esta doctrina no conlleva que en todo caso los órganos judiciales deban aceptar siempre de forma mecánica los hechos declarados por otra jurisdicción, sino que una distinta apreciación de los hechos debe ser motivada y por ello cuando un órgano judicial vaya a dictar una resolución que pueda ser contradictoria con lo declarado por otra resolución judicial debe exponer las razones por las cuales, a pesar de las apariencias, tal contradicción no existe a su juicio (STC 158/1985, de 26 de noviembre, FJ 6). Como ha señalado la STC 151/2001, de 2 de julio, FJ 4, ʻaunque es verdad que unas mismas pruebas pueden conducir a considerar como probados o no probados los mismos </w:t>
      </w:r>
      <w:r>
        <w:lastRenderedPageBreak/>
        <w:t>hechos por los tribunales de justicia, también lo es que, afirmada la existencia de los hechos por los propios tribunales de justicia no es posible separarse de ellos sin acreditar razones ni fundamentos que justifiquen tal apartamientoʼ. De ahí que, de acuerdo con la doctrina de este tribunal, unos mismos hechos, cuando la determinación de los mismos exija una previa calificación jurídica, puedan ser apreciados de forma distinta en diferentes resoluciones judiciales sin incurrir por ello en ninguna vulneración constitucional si el órgano judicial que se aparta de la apreciación de los hechos efectuada anteriormente en otra resolución judicial expone de modo razonado los motivos por los que se aparta de aquella primera calificación”.</w:t>
      </w:r>
    </w:p>
    <w:p w14:paraId="4FD5C2D5" w14:textId="77777777" w:rsidR="00A8138F" w:rsidRDefault="00A8138F" w:rsidP="00A8138F">
      <w:pPr>
        <w:pStyle w:val="TextoNormal"/>
      </w:pPr>
    </w:p>
    <w:p w14:paraId="03053E93" w14:textId="77777777" w:rsidR="00A8138F" w:rsidRDefault="00A8138F" w:rsidP="00A8138F">
      <w:pPr>
        <w:pStyle w:val="TextoNormal"/>
      </w:pPr>
      <w:r>
        <w:t>b) La posibilidad de apartarse de los hechos probados por los tribunales de otro orden jurisdiccional responde a las propias singularidades de cada orden jurisdiccional. En este sentido, este tribunal, en la STC 172/2016, de 17 de octubre, FJ 9, ya ha dicho:</w:t>
      </w:r>
    </w:p>
    <w:p w14:paraId="1F76BBF7" w14:textId="77777777" w:rsidR="00A8138F" w:rsidRDefault="00A8138F" w:rsidP="00A8138F">
      <w:pPr>
        <w:pStyle w:val="TextoNormal"/>
      </w:pPr>
    </w:p>
    <w:p w14:paraId="44745BEF" w14:textId="77777777" w:rsidR="00A8138F" w:rsidRDefault="00A8138F" w:rsidP="00A8138F">
      <w:pPr>
        <w:pStyle w:val="TextoNormal"/>
      </w:pPr>
      <w:r>
        <w:t>“[S]i bien la jurisdicción constitucional ha establecido que tiene un fundamento constitucional en el art. 24.1 CE que órganos jurisdiccionales diversos deban ajustarse a lo juzgado en un proceso anterior cuando hayan de decidir sobre una relación o situación respecto de la cual exista una estrecha conexión; no obstante, por las peculiaridad propias de cada orden jurisdicción resulta posible admitir eventuales contradicciones en aquellos casos en que el análisis jurídico se aborde desde perspectivas jurídicas diversas y siempre que, además, exista una motivación suficiente que exteriorice el fundamento de la decisión adoptada o que motive las razones del apartamiento de lo establecido en otro orden jurisdiccional”.</w:t>
      </w:r>
    </w:p>
    <w:p w14:paraId="3EDCF47A" w14:textId="77777777" w:rsidR="00A8138F" w:rsidRDefault="00A8138F" w:rsidP="00A8138F">
      <w:pPr>
        <w:pStyle w:val="TextoNormal"/>
      </w:pPr>
    </w:p>
    <w:p w14:paraId="2B23E24B" w14:textId="77777777" w:rsidR="00A8138F" w:rsidRDefault="00A8138F" w:rsidP="00A8138F">
      <w:pPr>
        <w:pStyle w:val="TextoNormal"/>
      </w:pPr>
      <w:r>
        <w:t>c) Esta doctrina constitucional tiene también reflejo en las relaciones entre los órganos penales y contencioso-administrativos, habida cuenta la especial conexión entre ambos órdenes jurisdiccionales. Al respecto, este tribunal, en su STC 2/2023, de 6 de febrero, FJ 4, con cita de otras anteriores, ha recordado:</w:t>
      </w:r>
    </w:p>
    <w:p w14:paraId="009FF1E9" w14:textId="77777777" w:rsidR="00A8138F" w:rsidRDefault="00A8138F" w:rsidP="00A8138F">
      <w:pPr>
        <w:pStyle w:val="TextoNormal"/>
      </w:pPr>
    </w:p>
    <w:p w14:paraId="484C6543" w14:textId="5E0D27DF" w:rsidR="00A8138F" w:rsidRDefault="00A8138F" w:rsidP="00A8138F">
      <w:pPr>
        <w:pStyle w:val="TextoNormal"/>
      </w:pPr>
      <w:r>
        <w:t>“ʻ[E]n los procedimientos de carácter sancionador, los hechos declarados probados por resoluciones judiciales penales firmes vincularán a las administraciones públicas respecto de los procedimientos sancionadores que substancienʼ. La razón es clara: ʻunos mismos hechos no pueden existir y dejar de existir para los órganos del Estadoʼ, sin perjuicio de que ʻcuando el ordenamiento permite una dualidad de procedimientos, y en cada uno de ellos ha de producirse un enjuiciamiento y una calificación de unos mismos hechos, el enjuiciamiento y la calificación que en el plano jurídico puedan producirse, se hagan con independencia, si resultan de la aplicación de normativas diferentesʼ (STC 77/1983, FJ 4)”.</w:t>
      </w:r>
    </w:p>
    <w:p w14:paraId="0188E07B" w14:textId="77777777" w:rsidR="00A8138F" w:rsidRDefault="00A8138F" w:rsidP="00A8138F">
      <w:pPr>
        <w:pStyle w:val="TextoNormal"/>
      </w:pPr>
    </w:p>
    <w:p w14:paraId="732D3FB8" w14:textId="77777777" w:rsidR="00A8138F" w:rsidRDefault="00A8138F" w:rsidP="00A8138F">
      <w:pPr>
        <w:pStyle w:val="TextoNormal"/>
      </w:pPr>
      <w:r w:rsidRPr="00A8138F">
        <w:rPr>
          <w:rStyle w:val="NumeroAFNegritaCaracter"/>
        </w:rPr>
        <w:t>3</w:t>
      </w:r>
      <w:r>
        <w:t xml:space="preserve">. </w:t>
      </w:r>
      <w:r w:rsidRPr="00A8138F">
        <w:rPr>
          <w:i/>
        </w:rPr>
        <w:t>Doctrina sobre el control constitucional de las sentencias de apelación que revocan sentencias absolutorias</w:t>
      </w:r>
    </w:p>
    <w:p w14:paraId="52ECFB75" w14:textId="77777777" w:rsidR="00A8138F" w:rsidRDefault="00A8138F" w:rsidP="00A8138F">
      <w:pPr>
        <w:pStyle w:val="TextoNormal"/>
      </w:pPr>
    </w:p>
    <w:p w14:paraId="53F3E9E2" w14:textId="77777777" w:rsidR="00A8138F" w:rsidRDefault="00A8138F" w:rsidP="00A8138F">
      <w:pPr>
        <w:pStyle w:val="TextoNormal"/>
      </w:pPr>
      <w:r>
        <w:t>Interesa también tener aquí en cuenta la doctrina constitucional en la que hemos reconocido a los órganos de apelación la posibilidad de anular las resoluciones judiciales materialmente absolutorias, entre otros supuestos, cuando se aprecie una vulneración de las garantías procesales de la parte acusadora y se hubiera producido la quiebra de una regla esencial del procedimiento, entendida bien como lesión del derecho fundamental a un proceso con todas las garantías, bien con referencia a la interdicción de la indefensión del art. 24.1 CE [entre otras, SSTC 4/2004, de 14 de enero, FJ 4; 23/2008, de 11 de febrero, FJ 3, y 9/2024, de 17 de enero, FJ 3 A) e) (i)].</w:t>
      </w:r>
    </w:p>
    <w:p w14:paraId="411F0119" w14:textId="77777777" w:rsidR="00A8138F" w:rsidRDefault="00A8138F" w:rsidP="00A8138F">
      <w:pPr>
        <w:pStyle w:val="TextoNormal"/>
      </w:pPr>
    </w:p>
    <w:p w14:paraId="2C859D44" w14:textId="77777777" w:rsidR="00A8138F" w:rsidRDefault="00A8138F" w:rsidP="00A8138F">
      <w:pPr>
        <w:pStyle w:val="TextoNormal"/>
      </w:pPr>
      <w:r>
        <w:lastRenderedPageBreak/>
        <w:t>a) La STC 72/2024, de 7 de mayo destaca:</w:t>
      </w:r>
    </w:p>
    <w:p w14:paraId="1B51C739" w14:textId="77777777" w:rsidR="00A8138F" w:rsidRDefault="00A8138F" w:rsidP="00A8138F">
      <w:pPr>
        <w:pStyle w:val="TextoNormal"/>
      </w:pPr>
    </w:p>
    <w:p w14:paraId="05E5BF46" w14:textId="77777777" w:rsidR="00A8138F" w:rsidRDefault="00A8138F" w:rsidP="00A8138F">
      <w:pPr>
        <w:pStyle w:val="TextoNormal"/>
      </w:pPr>
      <w:r>
        <w:t>“[E]l fundamento esencial de la jurisprudencia constitucional en la materia es que una adecuada ponderación del elenco de garantías constitucionales de las que están revestidas las partes acusadas y acusadoras, partiendo de la ya señalada posición asimétrica de ambas, determina que la revocación de sentencias absolutorias solo resulta constitucionalmente justificada cuando concurran vulneraciones de las garantías constitucionales de las acusaciones que impidan considerar que el proceso se ha desarrollado conforme a reglas esenciales mínimas del procedimiento debido respecto de ellas. Esas garantías constitucionales son las referidas no solo a las que se derivan del derecho a un proceso con todas las garantías (art. 24.2 CE) o de la interdicción de la indefensión (art. 24.1 CE) sino también, en los términos expuestos, a las que se derivan de manera más genérica del derecho a la tutela judicial efectiva (art. 24.1 CE), incluyendo las referidas al deber constitucional de motivación, que excluye aquella que puede ser calificada como arbitraria, manifiestamente irrazonable o incursa en un error patente [FJ 4 c)].</w:t>
      </w:r>
    </w:p>
    <w:p w14:paraId="262D256B" w14:textId="77777777" w:rsidR="00A8138F" w:rsidRDefault="00A8138F" w:rsidP="00A8138F">
      <w:pPr>
        <w:pStyle w:val="TextoNormal"/>
      </w:pPr>
    </w:p>
    <w:p w14:paraId="23B96409" w14:textId="77777777" w:rsidR="00A8138F" w:rsidRDefault="00A8138F" w:rsidP="00A8138F">
      <w:pPr>
        <w:pStyle w:val="TextoNormal"/>
      </w:pPr>
      <w:r>
        <w:t>[…]</w:t>
      </w:r>
    </w:p>
    <w:p w14:paraId="11C1D3C3" w14:textId="77777777" w:rsidR="00A8138F" w:rsidRDefault="00A8138F" w:rsidP="00A8138F">
      <w:pPr>
        <w:pStyle w:val="TextoNormal"/>
      </w:pPr>
    </w:p>
    <w:p w14:paraId="1645741D" w14:textId="77777777" w:rsidR="00A8138F" w:rsidRDefault="00A8138F" w:rsidP="00A8138F">
      <w:pPr>
        <w:pStyle w:val="TextoNormal"/>
      </w:pPr>
      <w:r>
        <w:t>“[R]esulta constitucionalmente admisible la anulación de una resolución judicial penal materialmente absolutoria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en la medida en que ha sido dictada en el seno de un proceso penal sustanciado sobre un proceder lesivo de las más elementales garantías procesales de las partes” [FJ 4 d) (ii)].</w:t>
      </w:r>
    </w:p>
    <w:p w14:paraId="48F057B8" w14:textId="77777777" w:rsidR="00A8138F" w:rsidRDefault="00A8138F" w:rsidP="00A8138F">
      <w:pPr>
        <w:pStyle w:val="TextoNormal"/>
      </w:pPr>
    </w:p>
    <w:p w14:paraId="6DEAADD5" w14:textId="77777777" w:rsidR="00A8138F" w:rsidRDefault="00A8138F" w:rsidP="00A8138F">
      <w:pPr>
        <w:pStyle w:val="TextoNormal"/>
      </w:pPr>
      <w:r>
        <w:t>En el supuesto que nos ocupa, la declaración de nulidad de la diligencia de entrada y registro por parte del juez sentenciador y, por lo tanto, de la declaración de ilicitud de las pruebas obtenidas en su práctica, impide la valoración de dichas pruebas de cargo, relevantes y decisivas para las partes acusadoras en el procedimiento. Ello podría suponer el quebrantamiento de una garantía esencial del procedimiento, siempre y cuando dicha decisión no fuera motivada ni razonable (en este sentido, STC 116/1997, de 23 de junio, FJ 5).</w:t>
      </w:r>
    </w:p>
    <w:p w14:paraId="4399E49C" w14:textId="77777777" w:rsidR="00A8138F" w:rsidRDefault="00A8138F" w:rsidP="00A8138F">
      <w:pPr>
        <w:pStyle w:val="TextoNormal"/>
      </w:pPr>
    </w:p>
    <w:p w14:paraId="35414835" w14:textId="77777777" w:rsidR="00A8138F" w:rsidRDefault="00A8138F" w:rsidP="00A8138F">
      <w:pPr>
        <w:pStyle w:val="TextoNormal"/>
      </w:pPr>
      <w:r>
        <w:t>b) Fijadas las condiciones que deben reunir las sentencias absolutorias dictadas en primera instancia para su revocación, debe ponerse el foco en los parámetros exigibles a las sentencias dictadas en apelación para anular dichos pronunciamientos absolutorios, en concreto en lo relativo al alcance del deber de motivación.</w:t>
      </w:r>
    </w:p>
    <w:p w14:paraId="42494FF8" w14:textId="77777777" w:rsidR="00A8138F" w:rsidRDefault="00A8138F" w:rsidP="00A8138F">
      <w:pPr>
        <w:pStyle w:val="TextoNormal"/>
      </w:pPr>
    </w:p>
    <w:p w14:paraId="35CBF488" w14:textId="77777777" w:rsidR="00A8138F" w:rsidRDefault="00A8138F" w:rsidP="00A8138F">
      <w:pPr>
        <w:pStyle w:val="TextoNormal"/>
      </w:pPr>
      <w:r>
        <w:t xml:space="preserve">En la citada sentencia 72/2024, FJ 4 b) (i), hemos recordado que la motivación de las sentencias penales resulta siempre exigible </w:t>
      </w:r>
      <w:r w:rsidRPr="00A8138F">
        <w:rPr>
          <w:i/>
        </w:rPr>
        <w:t>ex</w:t>
      </w:r>
      <w:r>
        <w:t xml:space="preserve"> art. 120.3 CE, esto es, con independencia de su signo, condenatorio o absolutorio (con cita de las SSTC 169/2004, de 6 de octubre y 246/2004, de 20 de diciembre). Si bien, ello no obsta para apreciar un canon de motivación más riguroso en las sentencias condenatorias respecto de los pronunciamientos absolutorios,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hemos reforzado el parámetro de control utilizable </w:t>
      </w:r>
      <w:r>
        <w:lastRenderedPageBreak/>
        <w:t>para enjuiciar su suficiencia (con cita, entre otras de las SSTC 62/1996, de 15 de abril, FJ 2; 147/1999, de 4 de agosto, FJ 3, y 109/2000, de 5 de mayo, FJ 2).</w:t>
      </w:r>
    </w:p>
    <w:p w14:paraId="3D7410A0" w14:textId="77777777" w:rsidR="00A8138F" w:rsidRDefault="00A8138F" w:rsidP="00A8138F">
      <w:pPr>
        <w:pStyle w:val="TextoNormal"/>
      </w:pPr>
    </w:p>
    <w:p w14:paraId="777402FC" w14:textId="4D765C2E" w:rsidR="00A8138F" w:rsidRDefault="00A8138F" w:rsidP="00A8138F">
      <w:pPr>
        <w:pStyle w:val="TextoNormal"/>
      </w:pPr>
      <w:r>
        <w:t>Sin embargo, no nos hemos pronunciado sobre el alcance del deber de motivación de aquellas sentencias revocatorias de pronunciamientos absolutorios, cuando al ordenar la repetición del juicio oral y vincular al nuevo juez sentenciador a la validez de las pruebas inicialmente anuladas, se abre la posibilidad de que la nueva sentencia que se dicte sea condenatoria.</w:t>
      </w:r>
    </w:p>
    <w:p w14:paraId="37E62EB0" w14:textId="77777777" w:rsidR="00A8138F" w:rsidRDefault="00A8138F" w:rsidP="00A8138F">
      <w:pPr>
        <w:pStyle w:val="TextoNormal"/>
      </w:pPr>
    </w:p>
    <w:p w14:paraId="59E4711F" w14:textId="77777777" w:rsidR="00A8138F" w:rsidRDefault="00A8138F" w:rsidP="00A8138F">
      <w:pPr>
        <w:pStyle w:val="TextoNormal"/>
      </w:pPr>
      <w:r w:rsidRPr="00A8138F">
        <w:rPr>
          <w:rStyle w:val="NumeroAFNegritaCaracter"/>
        </w:rPr>
        <w:t>4</w:t>
      </w:r>
      <w:r>
        <w:t xml:space="preserve">. </w:t>
      </w:r>
      <w:r w:rsidRPr="00A8138F">
        <w:rPr>
          <w:i/>
        </w:rPr>
        <w:t>Doctrina sobre la idoneidad del trámite de cuestiones previas para la denuncia de derechos fundamentales por la defensa</w:t>
      </w:r>
    </w:p>
    <w:p w14:paraId="1823042D" w14:textId="77777777" w:rsidR="00A8138F" w:rsidRDefault="00A8138F" w:rsidP="00A8138F">
      <w:pPr>
        <w:pStyle w:val="TextoNormal"/>
      </w:pPr>
    </w:p>
    <w:p w14:paraId="04B1A01E" w14:textId="77777777" w:rsidR="00A8138F" w:rsidRDefault="00A8138F" w:rsidP="00A8138F">
      <w:pPr>
        <w:pStyle w:val="TextoNormal"/>
      </w:pPr>
      <w:r>
        <w:t>A los efectos que luego se expondrán, conviene ya tener presente la doctrina constitucional en virtud de la cual el trámite de cuestiones previas (art. 786.2 LECrim en la dicción del precepto vigente a la fecha de los hechos), resulta idóneo para la denuncia de derechos fundamentales a la parte acusada, aunque tal denuncia no se hubiese puesto de manifiesto en la llamada “fase intermedia”, en los escritos de defensa.</w:t>
      </w:r>
    </w:p>
    <w:p w14:paraId="2FD5E4A0" w14:textId="77777777" w:rsidR="00A8138F" w:rsidRDefault="00A8138F" w:rsidP="00A8138F">
      <w:pPr>
        <w:pStyle w:val="TextoNormal"/>
      </w:pPr>
    </w:p>
    <w:p w14:paraId="035F1DF3" w14:textId="77777777" w:rsidR="00A8138F" w:rsidRDefault="00A8138F" w:rsidP="00A8138F">
      <w:pPr>
        <w:pStyle w:val="TextoNormal"/>
      </w:pPr>
      <w:r>
        <w:t>En este sentido, este Tribunal Constitucional ya ha dicho:</w:t>
      </w:r>
    </w:p>
    <w:p w14:paraId="47186F47" w14:textId="77777777" w:rsidR="00A8138F" w:rsidRDefault="00A8138F" w:rsidP="00A8138F">
      <w:pPr>
        <w:pStyle w:val="TextoNormal"/>
      </w:pPr>
    </w:p>
    <w:p w14:paraId="6F994216" w14:textId="30AFCC31" w:rsidR="00A8138F" w:rsidRDefault="00A8138F" w:rsidP="00A8138F">
      <w:pPr>
        <w:pStyle w:val="TextoNormal"/>
      </w:pPr>
      <w:r>
        <w:t>“[L]a invocación de las vulneraciones de derechos fundamentales cometidas en la práctica de la diligencia probatoria es posible al menos al comienzo del juicio oral, en el entendimiento habitual en estos casos, conforme al cual, si bien es posible la alegación en el escrito de defensa, no estando expresamente previsto un trámite al efecto en la legislación procesal hasta el comienzo del juicio oral, bastaría con haber alegado la vulneración del derecho fundamental en dicho trámite al inicio del juicio oral (anterior art. 793.2, actual art. 786.2 LECrim)” (STC 132/2006, de 27 de abril, FJ 5, y en los mismos términos, STC 98/2024, de 3 de julio, FJ 1.2).</w:t>
      </w:r>
    </w:p>
    <w:p w14:paraId="2941B44B" w14:textId="77777777" w:rsidR="00A8138F" w:rsidRDefault="00A8138F" w:rsidP="00A8138F">
      <w:pPr>
        <w:pStyle w:val="TextoNormal"/>
      </w:pPr>
    </w:p>
    <w:p w14:paraId="7EA765A0" w14:textId="77777777" w:rsidR="00A8138F" w:rsidRDefault="00A8138F" w:rsidP="00A8138F">
      <w:pPr>
        <w:pStyle w:val="TextoNormal"/>
      </w:pPr>
      <w:r w:rsidRPr="00A8138F">
        <w:rPr>
          <w:rStyle w:val="NumeroAFNegritaCaracter"/>
        </w:rPr>
        <w:t>5</w:t>
      </w:r>
      <w:r>
        <w:t xml:space="preserve">. </w:t>
      </w:r>
      <w:r w:rsidRPr="00A8138F">
        <w:rPr>
          <w:i/>
        </w:rPr>
        <w:t>Resolución del caso</w:t>
      </w:r>
    </w:p>
    <w:p w14:paraId="56502B16" w14:textId="77777777" w:rsidR="00A8138F" w:rsidRDefault="00A8138F" w:rsidP="00A8138F">
      <w:pPr>
        <w:pStyle w:val="TextoNormal"/>
      </w:pPr>
    </w:p>
    <w:p w14:paraId="55E6AC6C" w14:textId="77777777" w:rsidR="00A8138F" w:rsidRDefault="00A8138F" w:rsidP="00A8138F">
      <w:pPr>
        <w:pStyle w:val="TextoNormal"/>
      </w:pPr>
      <w:r>
        <w:t>Recapitulando brevemente, la demandante de amparo, a lo largo del procedimiento penal, fundamenta su pretensión de nulidad de la prueba de cargo de los delitos por los que es acusada, prueba obtenida por la AEAT como fruto de la autorización de la entrada y registro en la sede de la empresa propiedad de la acusada, en la exigencia de un procedimiento inspector previamente abierto y notificado al obligado tributario, como requisito para la práctica de dicha medida de acuerdo con la jurisprudencia de la Sala de lo Contencioso-Administrativo del Tribunal Supremo.</w:t>
      </w:r>
    </w:p>
    <w:p w14:paraId="5A8053BE" w14:textId="77777777" w:rsidR="00A8138F" w:rsidRDefault="00A8138F" w:rsidP="00A8138F">
      <w:pPr>
        <w:pStyle w:val="TextoNormal"/>
      </w:pPr>
    </w:p>
    <w:p w14:paraId="5FAD0147" w14:textId="77777777" w:rsidR="00A8138F" w:rsidRDefault="00A8138F" w:rsidP="00A8138F">
      <w:pPr>
        <w:pStyle w:val="TextoNormal"/>
      </w:pPr>
      <w:r>
        <w:t xml:space="preserve">En la sentencia de 1 de septiembre de 2022, la sección competente de la Audiencia Provincial anuló la sentencia absolutoria de instancia al considerar que el juez penal carecía, en todo caso, de competencia para analizar nuevamente los requisitos de validez de la diligencia de entrada y registro que ya habían sido revisados por la Sala de lo Contencioso-Administrativo del Tribunal Superior de Justicia y, a mayor abundamiento, afirmó compartir el examen de los presupuestos de idoneidad, necesidad y proporcionalidad realizado en vía contencioso-administrativa, reprochando a la acusada haber realizado la referida alegación en el trámite de cuestiones previas. Posteriormente, interpuesto incidente de nulidad en el que la recurrente se quejó al órgano de segunda instancia de no haber dado respuesta a la </w:t>
      </w:r>
      <w:r>
        <w:lastRenderedPageBreak/>
        <w:t>cuestión planteada, el auto que lo rechaza afirma que ha quedado suficientemente contestada, con remisión a un fundamento jurídico (FJ 2) que, sin embargo, no contiene pronunciamiento alguno acerca de los referidos requisitos para la autorización de la diligencia.</w:t>
      </w:r>
    </w:p>
    <w:p w14:paraId="0B129962" w14:textId="77777777" w:rsidR="00A8138F" w:rsidRDefault="00A8138F" w:rsidP="00A8138F">
      <w:pPr>
        <w:pStyle w:val="TextoNormal"/>
      </w:pPr>
    </w:p>
    <w:p w14:paraId="1DFAA56E" w14:textId="77777777" w:rsidR="00A8138F" w:rsidRDefault="00A8138F" w:rsidP="00A8138F">
      <w:pPr>
        <w:pStyle w:val="TextoNormal"/>
      </w:pPr>
      <w:r>
        <w:t>Corresponde, por lo tanto, a este tribunal dirimir, en atención a la doctrina expuesta, si la contestación ofrecida en las resoluciones impugnadas frente a la alegada vulneración de derechos fundamentales es motivada y razonable (art. 24.1 CE). La respuesta a la pretensión de la demandante de amparo ya adelantamos, debe ser estimatoria, al considerar que la contestación de la Audiencia Provincial no puede calificarse de fundamentada ni es razonable por los siguientes motivos:</w:t>
      </w:r>
    </w:p>
    <w:p w14:paraId="7E8CC978" w14:textId="77777777" w:rsidR="00A8138F" w:rsidRDefault="00A8138F" w:rsidP="00A8138F">
      <w:pPr>
        <w:pStyle w:val="TextoNormal"/>
      </w:pPr>
    </w:p>
    <w:p w14:paraId="36295117" w14:textId="77777777" w:rsidR="00A8138F" w:rsidRDefault="00A8138F" w:rsidP="00A8138F">
      <w:pPr>
        <w:pStyle w:val="TextoNormal"/>
      </w:pPr>
      <w:r>
        <w:t xml:space="preserve">a) La Audiencia Provincial es competente para revisar la licitud de la prueba de cargo de las partes acusadoras (Ministerio Fiscal, Abogacía del Estado) y en concreto, si en primera instancia estas fueron privadas del derecho a presentar los medios de prueba que consideraban pertinentes para sostener su acusación. Conforme a la doctrina expuesta (FJ 3), al órgano de apelación le corresponde el control de las sentencias absolutorias en determinados casos, como por ejemplo en los relativos a la inadmisión de pruebas, y esta potestad debe extenderse a aquellos supuestos en los que el órgano </w:t>
      </w:r>
      <w:r w:rsidRPr="00A8138F">
        <w:rPr>
          <w:i/>
        </w:rPr>
        <w:t>ad quo</w:t>
      </w:r>
      <w:r>
        <w:t xml:space="preserve"> tacha de ilícita una prueba que pueda ser lícita.</w:t>
      </w:r>
    </w:p>
    <w:p w14:paraId="4EE4E319" w14:textId="77777777" w:rsidR="00A8138F" w:rsidRDefault="00A8138F" w:rsidP="00A8138F">
      <w:pPr>
        <w:pStyle w:val="TextoNormal"/>
      </w:pPr>
    </w:p>
    <w:p w14:paraId="1141C22D" w14:textId="77777777" w:rsidR="00A8138F" w:rsidRDefault="00A8138F" w:rsidP="00A8138F">
      <w:pPr>
        <w:pStyle w:val="TextoNormal"/>
      </w:pPr>
      <w:r>
        <w:t>Por lo tanto, ninguna objeción cabe al control por parte de la Audiencia Provincial de la sentencia absolutoria dictada por el juez penal. Cuestión distinta es, como veremos, si lo ha realizado de manera adecuada.</w:t>
      </w:r>
    </w:p>
    <w:p w14:paraId="2CB819FD" w14:textId="77777777" w:rsidR="00A8138F" w:rsidRDefault="00A8138F" w:rsidP="00A8138F">
      <w:pPr>
        <w:pStyle w:val="TextoNormal"/>
      </w:pPr>
    </w:p>
    <w:p w14:paraId="704E1706" w14:textId="77777777" w:rsidR="00A8138F" w:rsidRDefault="00A8138F" w:rsidP="00A8138F">
      <w:pPr>
        <w:pStyle w:val="TextoNormal"/>
      </w:pPr>
      <w:r>
        <w:t>b) La autorización de entrada y registro (arts. 106.1 CE, 91.2 LOPJ y 8.6 LJCA) se acordó en un procedimiento de inspección tributaria, y tiene razón el fiscal ante este tribunal al afirmar que dicha medida persigue unos fines distintos a los del proceso penal y se adopta con arreglo a unos presupuestos cuya intensidad variaba en uno y otro ámbito, tratándose además de un procedimiento de naturaleza sumaria e incidental. Por lo tanto, en el enjuiciamiento de un delito de defraudación a la hacienda pública (art. 305.1 y 2 CP) que lleva aparejado la pena de privación de libertad, al introducir y valorar las pruebas obtenidas a partir de dicha diligencia, el juez penal puede examinar los presupuestos objetivos para la solicitud de dicha entrada y registro y, en su caso, apartarse del criterio de los órganos judiciales contencioso-administrativos, siempre y cuando dicho apartamiento sea motivado y justificado (FJ 4) con arreglo a los principios y garantías propias del derecho penal.</w:t>
      </w:r>
    </w:p>
    <w:p w14:paraId="7B4F6D17" w14:textId="77777777" w:rsidR="00A8138F" w:rsidRDefault="00A8138F" w:rsidP="00A8138F">
      <w:pPr>
        <w:pStyle w:val="TextoNormal"/>
      </w:pPr>
    </w:p>
    <w:p w14:paraId="2F003ADC" w14:textId="77777777" w:rsidR="00A8138F" w:rsidRDefault="00A8138F" w:rsidP="00A8138F">
      <w:pPr>
        <w:pStyle w:val="TextoNormal"/>
      </w:pPr>
      <w:r>
        <w:t>c) El juez penal no está investido de la potestad para declarar la nulidad formal del auto dictado por el juez de lo contencioso-administrativo y confirmado en sentencia por la sala competente del Tribunal Superior de Justicia, y por lo tanto y conforme a lo expuesto (FJ 3), no puede reprocharse a la Audiencia Provincial la anulación de la sentencia del juzgado penal por este motivo.</w:t>
      </w:r>
    </w:p>
    <w:p w14:paraId="1FD48184" w14:textId="77777777" w:rsidR="00A8138F" w:rsidRDefault="00A8138F" w:rsidP="00A8138F">
      <w:pPr>
        <w:pStyle w:val="TextoNormal"/>
      </w:pPr>
    </w:p>
    <w:p w14:paraId="58F4B64A" w14:textId="77777777" w:rsidR="00A8138F" w:rsidRDefault="00A8138F" w:rsidP="00A8138F">
      <w:pPr>
        <w:pStyle w:val="TextoNormal"/>
      </w:pPr>
      <w:r>
        <w:t xml:space="preserve">Ahora bien, la decisión de la Sección Vigesimoprimera de la Audiencia Provincial de Barcelona de revocar la sentencia absolutoria se asienta en la vinculación directa y automática del juez penal con la decisión firme dictada en vía contencioso-administrativa acordando la entrada y registro. No obstante, la firmeza de dichas resoluciones dictadas en vía contencioso-administrativa no impide el despliegue del deber que corresponde, tanto al juez de lo penal como al órgano de apelación de velar por la tutela y garantía de los derechos </w:t>
      </w:r>
      <w:r>
        <w:lastRenderedPageBreak/>
        <w:t>fundamentales en el examen de las pruebas de cargo, que, obtenidas en un procedimiento sancionador contencioso-administrativo, pueda constituir el fundamento de un pronunciamiento condenatorio del acusado.</w:t>
      </w:r>
    </w:p>
    <w:p w14:paraId="4C2F8A10" w14:textId="77777777" w:rsidR="00A8138F" w:rsidRDefault="00A8138F" w:rsidP="00A8138F">
      <w:pPr>
        <w:pStyle w:val="TextoNormal"/>
      </w:pPr>
    </w:p>
    <w:p w14:paraId="19F30789" w14:textId="77777777" w:rsidR="00A8138F" w:rsidRDefault="00A8138F" w:rsidP="00A8138F">
      <w:pPr>
        <w:pStyle w:val="TextoNormal"/>
      </w:pPr>
      <w:r>
        <w:t>En este sentido, nada puede objetarse al examen que, a mayor abundamiento, realiza el órgano de apelación acerca de los presupuestos para acordar la práctica de la diligencia (idoneidad, necesidad y proporcionalidad), señalando que consideraba correcta la fundamentación de las resoluciones dictadas por los órganos del orden jurisdiccional contencioso-administrativo, aspecto este que, en puridad, ni siquiera es cuestionado por la recurrente.</w:t>
      </w:r>
    </w:p>
    <w:p w14:paraId="6E587D58" w14:textId="77777777" w:rsidR="00A8138F" w:rsidRDefault="00A8138F" w:rsidP="00A8138F">
      <w:pPr>
        <w:pStyle w:val="TextoNormal"/>
      </w:pPr>
    </w:p>
    <w:p w14:paraId="3455AA2C" w14:textId="77777777" w:rsidR="00A8138F" w:rsidRDefault="00A8138F" w:rsidP="00A8138F">
      <w:pPr>
        <w:pStyle w:val="TextoNormal"/>
      </w:pPr>
      <w:r>
        <w:t>d) No ocurre lo mismo con la respuesta a la concreta queja planteada en tiempo y forma por la recurrente (tanto en el escrito impugnatorio del recurso de apelación como en el incidente de nulidad planteado) sobre si se produjo una vulneración del derecho fundamental a la inviolabilidad domiciliaria (art. 18.2 CE) por haberse autorizado dicha medida sin la constatación de la existencia de un procedimiento de inspección abierto y notificado al obligado tributario.</w:t>
      </w:r>
    </w:p>
    <w:p w14:paraId="7D12367D" w14:textId="77777777" w:rsidR="00A8138F" w:rsidRDefault="00A8138F" w:rsidP="00A8138F">
      <w:pPr>
        <w:pStyle w:val="TextoNormal"/>
      </w:pPr>
    </w:p>
    <w:p w14:paraId="68B6C03F" w14:textId="77777777" w:rsidR="00A8138F" w:rsidRDefault="00A8138F" w:rsidP="00A8138F">
      <w:pPr>
        <w:pStyle w:val="TextoNormal"/>
      </w:pPr>
      <w:r>
        <w:t>En sus escritos, la recurrente cita dos sentencias dictadas por la Sala de lo Contencioso-Administrativo del Tribunal Supremo expresivas de que una de las garantías de la medida de entrada y registro (arts. 113 LGT y 8.6 LJCA) es que exista un procedimiento inspector previo y notificado. Resulta evidente que dicha jurisprudencia solo surte efectos dentro del orden jurisdiccional contencioso-administrativo y únicamente a los efectos que dichas sentencias señalan. Pero, lo que en definitiva importa, y es lo que tenía que resolver la Audiencia Provincial es si, en un proceso penal cuya prueba pretende nutrirse del resultado de una diligencia autorizada por un órgano judicial contencioso-administrativo, existen razones, desde el punto de vista material, para exigir la previa apertura del procedimiento inspector y su notificación al obligado tributario.</w:t>
      </w:r>
    </w:p>
    <w:p w14:paraId="25186C22" w14:textId="77777777" w:rsidR="00A8138F" w:rsidRDefault="00A8138F" w:rsidP="00A8138F">
      <w:pPr>
        <w:pStyle w:val="TextoNormal"/>
      </w:pPr>
    </w:p>
    <w:p w14:paraId="6C962BD7" w14:textId="77777777" w:rsidR="00A8138F" w:rsidRDefault="00A8138F" w:rsidP="00A8138F">
      <w:pPr>
        <w:pStyle w:val="TextoNormal"/>
      </w:pPr>
      <w:r>
        <w:t>Lejos de responder a esta concreta cuestión planteada por la parte, la Audiencia Provincial afirma, sin que ello sea cierto, que la misma ya fue resuelta en primera instancia. Y cuestiona, en todo caso, que el planteamiento de dicha queja se hubiera realizado en el trámite de cuestiones previas, a pesar de ser, como ha declarado nuestra doctrina (FJ 4) un momento idóneo para ello.</w:t>
      </w:r>
    </w:p>
    <w:p w14:paraId="660C7CFA" w14:textId="77777777" w:rsidR="00A8138F" w:rsidRDefault="00A8138F" w:rsidP="00A8138F">
      <w:pPr>
        <w:pStyle w:val="TextoNormal"/>
      </w:pPr>
    </w:p>
    <w:p w14:paraId="6D669E10" w14:textId="77777777" w:rsidR="00A8138F" w:rsidRDefault="00A8138F" w:rsidP="00A8138F">
      <w:pPr>
        <w:pStyle w:val="TextoNormal"/>
      </w:pPr>
      <w:r>
        <w:t>De esta manera, extendiendo nuestra doctrina ya citada en el anterior fundamento jurídico 3, conforme a la cual resulta exigible un deber de motivación reforzada (art. 24.1 CE) a toda sentencia penal de condena, declaramos que dicha garantía debe satisfacerse también cuando se trate de sentencias, como la aquí impugnada, donde el tribunal superior revoca una previa sentencia penal absolutoria, aunque a continuación no condene sino que acuerde la orden de retroacción de actuaciones ante el órgano judicial de origen. En particular, tendrá en todo caso que satisfacer el tribunal de apelación ese derecho de motivación reforzada (art. 24.1 CE), dando respuesta a las quejas de vulneración de derechos fundamentales que le hayan sido puestas de manifiesto por la parte acusada en los trámites procesales previstos en las leyes y reconocidos por este Tribunal Constitucional como idóneos para la denuncia de tales vulneraciones.</w:t>
      </w:r>
    </w:p>
    <w:p w14:paraId="43468419" w14:textId="77777777" w:rsidR="00A8138F" w:rsidRDefault="00A8138F" w:rsidP="00A8138F">
      <w:pPr>
        <w:pStyle w:val="TextoNormal"/>
      </w:pPr>
    </w:p>
    <w:p w14:paraId="3713FF6B" w14:textId="09DCF8D7" w:rsidR="00A8138F" w:rsidRDefault="00A8138F" w:rsidP="00A8138F">
      <w:pPr>
        <w:pStyle w:val="TextoNormal"/>
      </w:pPr>
      <w:r>
        <w:t>En definitiva, las resoluciones dictadas por la Audiencia Provincial no son motivadas ni jurídicamente razonables, sin que el órgano judicial penal ofrezca una contestación ade</w:t>
      </w:r>
      <w:r>
        <w:lastRenderedPageBreak/>
        <w:t>cuada a la cuestión planteada por la recurrente en amparo. Al órgano judicial penal, al incorporar al procedimiento y valorar las pruebas de cargo obtenidas a partir de una diligencia de entrada y registro acordada por los tribunales del orden contencioso-administrativo, le corresponde razonar sobre la exigibilidad de un previo procedimiento inspector abierto y notificado al obligado tributario como garantía de la acusada en el procedimiento penal y de acuerdo con las normas que lo rigen, sin que corresponda a este tribunal sustituir al órgano judicial en el sentido de la respuesta que debe ofrecer.</w:t>
      </w:r>
    </w:p>
    <w:p w14:paraId="0C86187B" w14:textId="77777777" w:rsidR="00A8138F" w:rsidRDefault="00A8138F" w:rsidP="00A8138F">
      <w:pPr>
        <w:pStyle w:val="TextoNormal"/>
      </w:pPr>
    </w:p>
    <w:p w14:paraId="49D1C3F8" w14:textId="77777777" w:rsidR="00A8138F" w:rsidRDefault="00A8138F" w:rsidP="00A8138F">
      <w:pPr>
        <w:pStyle w:val="TextoNormal"/>
      </w:pPr>
      <w:r w:rsidRPr="00A8138F">
        <w:rPr>
          <w:rStyle w:val="NumeroAFNegritaCaracter"/>
        </w:rPr>
        <w:t>6</w:t>
      </w:r>
      <w:r>
        <w:t xml:space="preserve">. </w:t>
      </w:r>
      <w:r w:rsidRPr="00A8138F">
        <w:rPr>
          <w:i/>
        </w:rPr>
        <w:t>Estimación y efectos</w:t>
      </w:r>
    </w:p>
    <w:p w14:paraId="36EFE616" w14:textId="77777777" w:rsidR="00A8138F" w:rsidRDefault="00A8138F" w:rsidP="00A8138F">
      <w:pPr>
        <w:pStyle w:val="TextoNormal"/>
      </w:pPr>
    </w:p>
    <w:p w14:paraId="5C6E8494" w14:textId="77777777" w:rsidR="00A8138F" w:rsidRDefault="00A8138F" w:rsidP="00A8138F">
      <w:pPr>
        <w:pStyle w:val="TextoNormal"/>
      </w:pPr>
      <w:r>
        <w:t>Con arreglo a la doctrina expuesta y en atención a los términos en los que la Sección Vigesimoprimera de la Audiencia Provincial de Barcelona da respuesta a la queja planteada por la demandante de amparo, procede considerar que tanto la sentencia resolviendo dictada en apelación, como el auto desestimatorio del incidente de nulidad planteado frente a dicha resolución, carecen de la debida motivación y razonabilidad, resultando vulneradoras de su derecho a la tutela judicial efectiva (art. 24.1 CE) y sin que, por ello, proceda un pronunciamiento nuestro sobre la queja de vulneración del derecho fundamental sustantivo a la inviolabilidad domiciliaria (art. 18.2 CE), sobre el cual debe dar respuesta la sección competente de la Audiencia Provincial.</w:t>
      </w:r>
    </w:p>
    <w:p w14:paraId="51C2083A" w14:textId="77777777" w:rsidR="00A8138F" w:rsidRDefault="00A8138F" w:rsidP="00A8138F">
      <w:pPr>
        <w:pStyle w:val="TextoNormal"/>
      </w:pPr>
    </w:p>
    <w:p w14:paraId="5D3711BE" w14:textId="77777777" w:rsidR="00A8138F" w:rsidRDefault="00A8138F" w:rsidP="00A8138F">
      <w:pPr>
        <w:pStyle w:val="TextoNormal"/>
      </w:pPr>
      <w:r>
        <w:t>Por lo tanto, el recurso debe estimarse [art. 53 a) LOTC] y, conforme a lo dispuesto en el art. 55.1 LOTC, debe reconocerse la vulneración del derecho a la tutela judicial efectiva de la recurrente (art. 24.1 CE) declarando la nulidad de las resoluciones impugnadas.</w:t>
      </w:r>
    </w:p>
    <w:p w14:paraId="268160C8" w14:textId="77777777" w:rsidR="00A8138F" w:rsidRDefault="00A8138F" w:rsidP="00A8138F">
      <w:pPr>
        <w:pStyle w:val="TextoNormal"/>
      </w:pPr>
    </w:p>
    <w:p w14:paraId="45C5084B" w14:textId="77777777" w:rsidR="00A8138F" w:rsidRDefault="00A8138F" w:rsidP="00A8138F">
      <w:pPr>
        <w:pStyle w:val="TextoNormal"/>
      </w:pPr>
      <w:r>
        <w:t>Debemos acordar asimismo la retroacción de las actuaciones al momento inmediatamente anterior al de dictarse la sentencia de la Sección Vigesimoprimera de la Audiencia Provincial de Barcelona para que en su lugar esta última pronuncie otra resolución que resulte respetuosa con el derecho fundamental reconocido en los términos antedichos.</w:t>
      </w:r>
    </w:p>
    <w:p w14:paraId="3E3750C2" w14:textId="77777777" w:rsidR="00A8138F" w:rsidRDefault="00A8138F" w:rsidP="00A8138F">
      <w:pPr>
        <w:pStyle w:val="TextoNormal"/>
      </w:pPr>
    </w:p>
    <w:p w14:paraId="514CAA1E" w14:textId="5698E41E" w:rsidR="00A8138F" w:rsidRDefault="00A8138F" w:rsidP="00A8138F">
      <w:pPr>
        <w:pStyle w:val="TextoNormal"/>
      </w:pPr>
      <w:r>
        <w:t>El reconocimiento de la vulneración declarada y la retroacción acordada hace innecesario abordar la concreta pretensión de la recurrente de permitir la alegación, en el trámite de cuestiones previas de la vista oral, acerca de la nulidad de la entrada y registro practicada por resultar —a su juicio— vulneradora de la jurisprudencia de la Sala de lo Contencioso-Administrativo del Tribunal Supremo.</w:t>
      </w:r>
    </w:p>
    <w:p w14:paraId="023D8E49" w14:textId="77777777" w:rsidR="00A8138F" w:rsidRDefault="00A8138F" w:rsidP="00A8138F">
      <w:pPr>
        <w:pStyle w:val="TextoNormal"/>
      </w:pPr>
    </w:p>
    <w:p w14:paraId="0F43C912" w14:textId="77777777" w:rsidR="00A8138F" w:rsidRDefault="00A8138F" w:rsidP="00A8138F">
      <w:pPr>
        <w:pStyle w:val="TextoNormalCentrado"/>
        <w:keepNext/>
      </w:pPr>
      <w:r>
        <w:t>FALLO</w:t>
      </w:r>
    </w:p>
    <w:p w14:paraId="1D8A01C4" w14:textId="52728ACD" w:rsidR="00A8138F" w:rsidRDefault="00A8138F" w:rsidP="00A8138F">
      <w:pPr>
        <w:pStyle w:val="TextoNormalCentrado"/>
        <w:keepNext/>
      </w:pPr>
    </w:p>
    <w:p w14:paraId="46F48ED8" w14:textId="77777777" w:rsidR="00A8138F" w:rsidRDefault="00A8138F" w:rsidP="00A8138F">
      <w:pPr>
        <w:pStyle w:val="TextoNormal"/>
      </w:pPr>
      <w:r>
        <w:t>En atención a todo lo expuesto, el Tribunal Constitucional, por la autoridad que le confiere la Constitución de la Nación española, ha decidido otorgar el amparo a doña Wenzhou Zeng y, en su virtud:</w:t>
      </w:r>
    </w:p>
    <w:p w14:paraId="641D107A" w14:textId="77777777" w:rsidR="00A8138F" w:rsidRDefault="00A8138F" w:rsidP="00A8138F">
      <w:pPr>
        <w:pStyle w:val="TextoNormal"/>
      </w:pPr>
    </w:p>
    <w:p w14:paraId="4800BE89" w14:textId="77777777" w:rsidR="00A8138F" w:rsidRDefault="00A8138F" w:rsidP="00A8138F">
      <w:pPr>
        <w:pStyle w:val="TextoNormal"/>
      </w:pPr>
      <w:r>
        <w:t>1º Estimar la demanda presentada por doña Wenzhou Zeng por vulneración de su derecho fundamental a la tutela judicial efectiva (art. 24.1 CE).</w:t>
      </w:r>
    </w:p>
    <w:p w14:paraId="40914856" w14:textId="77777777" w:rsidR="00A8138F" w:rsidRDefault="00A8138F" w:rsidP="00A8138F">
      <w:pPr>
        <w:pStyle w:val="TextoNormal"/>
      </w:pPr>
    </w:p>
    <w:p w14:paraId="7B2B26B0" w14:textId="77777777" w:rsidR="00A8138F" w:rsidRDefault="00A8138F" w:rsidP="00A8138F">
      <w:pPr>
        <w:pStyle w:val="TextoNormal"/>
      </w:pPr>
      <w:r>
        <w:t xml:space="preserve">2º Restablecerle en su derecho fundamental y, en consecuencia, declarar la nulidad de la sentencia núm. 354/2022, de 1 de septiembre, dictada por la Sección Vigesimoprimera de la Audiencia Provincial de Barcelona en el recurso de apelación núm. 58-2022, así como la </w:t>
      </w:r>
      <w:r>
        <w:lastRenderedPageBreak/>
        <w:t>nulidad del auto de 1 de junio de 2023 de la Sección Vigesimoprimera de la Audiencia Provincial de Barcelona desestimatorio del incidente de nulidad.</w:t>
      </w:r>
    </w:p>
    <w:p w14:paraId="3C43D92B" w14:textId="77777777" w:rsidR="00A8138F" w:rsidRDefault="00A8138F" w:rsidP="00A8138F">
      <w:pPr>
        <w:pStyle w:val="TextoNormal"/>
      </w:pPr>
    </w:p>
    <w:p w14:paraId="322FBD39" w14:textId="1CD44B04" w:rsidR="00A8138F" w:rsidRDefault="00A8138F" w:rsidP="00A8138F">
      <w:pPr>
        <w:pStyle w:val="TextoNormal"/>
      </w:pPr>
      <w:r>
        <w:t>3º Retrotraer el procedimiento al momento inmediatamente anterior a la sentencia anulada, para que la Sección Vigesimoprimera de la Audiencia Provincial de Barcelona proceda en términos respetuosos con el derecho fundamental vulnerado.</w:t>
      </w:r>
    </w:p>
    <w:p w14:paraId="3F51AD7B" w14:textId="77777777" w:rsidR="00A8138F" w:rsidRDefault="00A8138F" w:rsidP="00A8138F">
      <w:pPr>
        <w:pStyle w:val="TextoNormal"/>
      </w:pPr>
    </w:p>
    <w:p w14:paraId="7E9C8A50" w14:textId="77777777" w:rsidR="00A8138F" w:rsidRDefault="00A8138F" w:rsidP="00A8138F">
      <w:pPr>
        <w:pStyle w:val="TextoNormal"/>
      </w:pPr>
      <w:r>
        <w:t>Publíquese esta sentencia en el “Boletín Oficial del Estado”.</w:t>
      </w:r>
    </w:p>
    <w:p w14:paraId="162D8BF0" w14:textId="77777777" w:rsidR="00A8138F" w:rsidRDefault="00A8138F" w:rsidP="00A8138F">
      <w:pPr>
        <w:pStyle w:val="TextoNormal"/>
      </w:pPr>
      <w:r>
        <w:t>Dada en Madrid, a diez de febrero de dos mil veinticinco.</w:t>
      </w:r>
    </w:p>
    <w:p w14:paraId="74E9BF7C" w14:textId="4663F51A" w:rsidR="00A8138F" w:rsidRDefault="00A8138F">
      <w:pPr>
        <w:spacing w:after="160" w:line="278" w:lineRule="auto"/>
        <w:rPr>
          <w:rFonts w:ascii="Times New Roman" w:eastAsia="Times New Roman" w:hAnsi="Times New Roman" w:cs="Times New Roman"/>
          <w:sz w:val="24"/>
          <w:szCs w:val="24"/>
          <w:lang w:eastAsia="es-ES"/>
        </w:rPr>
      </w:pPr>
      <w:r>
        <w:br w:type="page"/>
      </w:r>
    </w:p>
    <w:p w14:paraId="50945639" w14:textId="77777777" w:rsidR="00A8138F" w:rsidRDefault="00A8138F" w:rsidP="00A8138F">
      <w:pPr>
        <w:pStyle w:val="TtuloResolucin"/>
      </w:pPr>
      <w:bookmarkStart w:id="34" w:name="SENTENCIA_2025_32"/>
      <w:r>
        <w:lastRenderedPageBreak/>
        <w:t>SENTENCIA 32/2025, de 10 de febrero de 2025</w:t>
      </w:r>
    </w:p>
    <w:bookmarkEnd w:id="34"/>
    <w:p w14:paraId="0441AC0B" w14:textId="77777777" w:rsidR="00A8138F" w:rsidRDefault="00A8138F" w:rsidP="00A8138F">
      <w:pPr>
        <w:pStyle w:val="TtuloResolucin"/>
      </w:pPr>
      <w:r>
        <w:t>Sala Primera</w:t>
      </w:r>
    </w:p>
    <w:p w14:paraId="5F2FF648" w14:textId="77777777" w:rsidR="00A8138F" w:rsidRDefault="00A8138F" w:rsidP="00A8138F">
      <w:pPr>
        <w:pStyle w:val="TtuloBOE"/>
      </w:pPr>
      <w:r>
        <w:t>(BOE núm. 69, de 21 de marzo de 2025)</w:t>
      </w:r>
    </w:p>
    <w:p w14:paraId="3AFE05B1" w14:textId="77777777" w:rsidR="00A8138F" w:rsidRDefault="00A8138F" w:rsidP="00A8138F">
      <w:pPr>
        <w:pStyle w:val="TextoNormalCentrado"/>
      </w:pPr>
      <w:r>
        <w:t>ECLI:ES:TC:2025:32</w:t>
      </w:r>
    </w:p>
    <w:p w14:paraId="24B46023" w14:textId="36D8ECB7" w:rsidR="00A8138F" w:rsidRDefault="00A8138F" w:rsidP="00A8138F">
      <w:pPr>
        <w:pStyle w:val="TextoNormalCentrado"/>
      </w:pPr>
    </w:p>
    <w:p w14:paraId="103F11AD" w14:textId="77777777" w:rsidR="00A8138F" w:rsidRDefault="00A8138F" w:rsidP="00A8138F">
      <w:pPr>
        <w:pStyle w:val="SntesisDescriptiva"/>
      </w:pPr>
      <w:r>
        <w:t>Recurso de amparo 5740-2023. Promovido por doña Ruth de Frutos Ortega en relación con las resoluciones administrativas y judiciales que desestimaron su petición de revisión y ampliación de la prestación por nacimiento y cuidado de hijo menor, como madre biológica de familia monoparental.</w:t>
      </w:r>
    </w:p>
    <w:p w14:paraId="4A290D3F" w14:textId="7FC3A933" w:rsidR="00A8138F" w:rsidRDefault="00A8138F" w:rsidP="00A8138F">
      <w:pPr>
        <w:pStyle w:val="SntesisDescriptiva"/>
      </w:pPr>
    </w:p>
    <w:p w14:paraId="5FBBDC87" w14:textId="77777777" w:rsidR="00A8138F" w:rsidRDefault="00A8138F" w:rsidP="00A8138F">
      <w:pPr>
        <w:pStyle w:val="SntesisAnaltica"/>
      </w:pPr>
      <w:r>
        <w:t>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F7AFAAF" w14:textId="4B0D7E87" w:rsidR="00A8138F" w:rsidRDefault="00A8138F" w:rsidP="00A8138F">
      <w:pPr>
        <w:pStyle w:val="SntesisAnaltica"/>
      </w:pPr>
    </w:p>
    <w:p w14:paraId="6CD57152" w14:textId="5369502C"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433DBC41" w14:textId="77777777" w:rsidR="00A8138F" w:rsidRDefault="00A8138F" w:rsidP="00A8138F">
      <w:pPr>
        <w:pStyle w:val="Extracto"/>
      </w:pPr>
    </w:p>
    <w:p w14:paraId="6EE7F77C" w14:textId="77777777" w:rsidR="00A8138F" w:rsidRDefault="00A8138F" w:rsidP="00A8138F">
      <w:pPr>
        <w:pStyle w:val="Extracto"/>
      </w:pPr>
    </w:p>
    <w:p w14:paraId="41C93FA4"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1609912" w14:textId="0A3F8475" w:rsidR="00A8138F" w:rsidRDefault="00A8138F" w:rsidP="00A8138F">
      <w:pPr>
        <w:pStyle w:val="TextoNormal"/>
      </w:pPr>
    </w:p>
    <w:p w14:paraId="7CCC8809" w14:textId="77777777" w:rsidR="00A8138F" w:rsidRDefault="00A8138F" w:rsidP="00A8138F">
      <w:pPr>
        <w:pStyle w:val="TextoNormalCentrado"/>
        <w:keepNext/>
      </w:pPr>
      <w:r>
        <w:t>EN NOMBRE DEL REY</w:t>
      </w:r>
    </w:p>
    <w:p w14:paraId="36124BBD" w14:textId="76F053D2" w:rsidR="00A8138F" w:rsidRDefault="00A8138F" w:rsidP="00A8138F">
      <w:pPr>
        <w:pStyle w:val="TextoNormalCentrado"/>
        <w:keepNext/>
      </w:pPr>
    </w:p>
    <w:p w14:paraId="052E14D9" w14:textId="77777777" w:rsidR="00A8138F" w:rsidRDefault="00A8138F" w:rsidP="00A8138F">
      <w:pPr>
        <w:pStyle w:val="TextoNormalCentrado"/>
        <w:keepNext/>
      </w:pPr>
    </w:p>
    <w:p w14:paraId="0DBA861A" w14:textId="77777777" w:rsidR="00A8138F" w:rsidRDefault="00A8138F" w:rsidP="00A8138F">
      <w:pPr>
        <w:pStyle w:val="TextoNormal"/>
      </w:pPr>
      <w:r>
        <w:t>la siguiente</w:t>
      </w:r>
    </w:p>
    <w:p w14:paraId="7CE96862" w14:textId="21567B07" w:rsidR="00A8138F" w:rsidRDefault="00A8138F" w:rsidP="00A8138F">
      <w:pPr>
        <w:pStyle w:val="TextoNormal"/>
      </w:pPr>
    </w:p>
    <w:p w14:paraId="3BCEFF2E" w14:textId="77777777" w:rsidR="00A8138F" w:rsidRDefault="00A8138F" w:rsidP="00A8138F">
      <w:pPr>
        <w:pStyle w:val="TextoNormalCentrado"/>
        <w:keepNext/>
      </w:pPr>
      <w:r>
        <w:t>SENTENCIA</w:t>
      </w:r>
    </w:p>
    <w:p w14:paraId="2CD7126F" w14:textId="51EAE7E4" w:rsidR="00A8138F" w:rsidRDefault="00A8138F" w:rsidP="00A8138F">
      <w:pPr>
        <w:pStyle w:val="TextoNormalCentrado"/>
        <w:keepNext/>
      </w:pPr>
    </w:p>
    <w:p w14:paraId="7D564B22" w14:textId="77777777" w:rsidR="00A8138F" w:rsidRDefault="00A8138F" w:rsidP="00A8138F">
      <w:pPr>
        <w:pStyle w:val="TextoNormal"/>
      </w:pPr>
      <w:r>
        <w:t xml:space="preserve">En el recurso de amparo núm. 5740-2023, promovido por doña Ruth de Frutos Ortega, representada por la procuradora de los tribunales doña María Isabel Torres Ruiz y asistida por la letrada doña Susana Fuentes Gómez, contra el auto de 12 de julio de 2023 dictado por la Sala de lo Social del Tribunal Supremo, que inadmitió el recurso de casación para unificación de doctrina núm. 5619-2022 interpuesto contra la sentencia 675/2022, de 24 de octubre, de la Sala de lo Social del Tribunal Superior de Justicia de Madrid, que desestimó el recurso de suplicación núm. 452-2022 interpuesto por la demandante contra la sentencia 143/2022, de 10 de marzo, dictada por el Juzgado de lo Social núm. 41 de Madrid, en el procedimiento especial de Seguridad Social núm. 1047-2021, que desestimó la demanda que interpuso contra el Instituto Nacional de la Seguridad Social y la Tesorería General de la Seguridad Social por haberle denegado su solicitud de ampliación del permiso por nacimiento y cuidado de hijo. Han intervenido la letrada de la administración de la Seguridad </w:t>
      </w:r>
      <w:r>
        <w:lastRenderedPageBreak/>
        <w:t>Social y el Ministerio Fiscal. Ha sido ponente el presidente, don Cándido Conde-Pumpido Tourón.</w:t>
      </w:r>
    </w:p>
    <w:p w14:paraId="65A1EBAF" w14:textId="5ECD1973" w:rsidR="00A8138F" w:rsidRDefault="00A8138F" w:rsidP="00A8138F">
      <w:pPr>
        <w:pStyle w:val="TextoNormal"/>
      </w:pPr>
    </w:p>
    <w:p w14:paraId="246DA4EA" w14:textId="77777777" w:rsidR="00A8138F" w:rsidRDefault="00A8138F" w:rsidP="00A8138F">
      <w:pPr>
        <w:pStyle w:val="TextoNormalNegritaCentrado"/>
        <w:keepNext/>
      </w:pPr>
      <w:r>
        <w:t>I. Antecedentes</w:t>
      </w:r>
    </w:p>
    <w:p w14:paraId="4E42A9B4" w14:textId="6E754890" w:rsidR="00A8138F" w:rsidRDefault="00A8138F" w:rsidP="00A8138F">
      <w:pPr>
        <w:pStyle w:val="TextoNormalNegritaCentrado"/>
        <w:keepNext/>
      </w:pPr>
    </w:p>
    <w:p w14:paraId="0F5B514F" w14:textId="0007AA61" w:rsidR="00A8138F" w:rsidRDefault="00A8138F" w:rsidP="00A8138F">
      <w:pPr>
        <w:pStyle w:val="TextoNormal"/>
      </w:pPr>
      <w:r w:rsidRPr="00A8138F">
        <w:rPr>
          <w:rStyle w:val="NumeroAFNegritaCaracter"/>
        </w:rPr>
        <w:t>1</w:t>
      </w:r>
      <w:r>
        <w:t>. El 7 de septiembre de 2023, la procuradora de los tribunales doña María Isabel Torres Ruiz, en nombre y representación de la recurrente, asistida por la letrada doña Susana Fuentes Gómez, interpuso recurso de amparo contra las resoluciones citadas en el encabezamiento.</w:t>
      </w:r>
    </w:p>
    <w:p w14:paraId="0053C880" w14:textId="77777777" w:rsidR="00A8138F" w:rsidRDefault="00A8138F" w:rsidP="00A8138F">
      <w:pPr>
        <w:pStyle w:val="TextoNormal"/>
      </w:pPr>
    </w:p>
    <w:p w14:paraId="2094A3CA" w14:textId="77777777" w:rsidR="00A8138F" w:rsidRDefault="00A8138F" w:rsidP="00A8138F">
      <w:pPr>
        <w:pStyle w:val="TextoNormal"/>
      </w:pPr>
      <w:r w:rsidRPr="00A8138F">
        <w:rPr>
          <w:rStyle w:val="NumeroAFNegritaCaracter"/>
        </w:rPr>
        <w:t>2</w:t>
      </w:r>
      <w:r>
        <w:t>. El presente recurso de amparo trae causa de los siguientes antecedentes:</w:t>
      </w:r>
    </w:p>
    <w:p w14:paraId="4CD7EC3A" w14:textId="77777777" w:rsidR="00A8138F" w:rsidRDefault="00A8138F" w:rsidP="00A8138F">
      <w:pPr>
        <w:pStyle w:val="TextoNormal"/>
      </w:pPr>
    </w:p>
    <w:p w14:paraId="63DCDC1B" w14:textId="77777777" w:rsidR="00A8138F" w:rsidRDefault="00A8138F" w:rsidP="00A8138F">
      <w:pPr>
        <w:pStyle w:val="TextoNormal"/>
      </w:pPr>
      <w:r>
        <w:t>a) La recurrente en amparo es madre biológica de una niña, nacida el día 21 de octubre de 2020, con la que constituye una familia monoparental por ser su única progenitora y de estado civil soltera. La Dirección Provincial de Madrid del Instituto Nacional de la Seguridad Social (INSS) le reconoció un permiso por nacimiento y cuidado del menor de dieciséis semanas de duración, con efectos económicos para el periodo comprendido entre el 21 de octubre de 2020 y el 9 de febrero de 2021, y con la prestación correspondiente del 100 por 100 de la base reguladora diaria reconocida.</w:t>
      </w:r>
    </w:p>
    <w:p w14:paraId="0ED92AEF" w14:textId="77777777" w:rsidR="00A8138F" w:rsidRDefault="00A8138F" w:rsidP="00A8138F">
      <w:pPr>
        <w:pStyle w:val="TextoNormal"/>
      </w:pPr>
    </w:p>
    <w:p w14:paraId="00E0B967" w14:textId="77777777" w:rsidR="00A8138F" w:rsidRDefault="00A8138F" w:rsidP="00A8138F">
      <w:pPr>
        <w:pStyle w:val="TextoNormal"/>
      </w:pPr>
      <w:r>
        <w:t>El 6 de febrero de 2021, la actora presentó escrito ante la entidad gestora de la Seguridad Social solicitando la ampliación del permiso concedido hasta un total de veintiocho semanas, por acumulación a las dieciséis semanas que le fueron reconocidas, las doce semanas que hubieran correspondido, conforme al art. 48.4 del texto refundido de la Ley del estatuto de los trabajadores, aprobado por el Real Decreto Legislativo 2/2015, de 23 de octubre (LET), al progenitor distinto de la madre biológica, alegando que la ampliación tenía por fin el cuidado de la menor en igualdad de condiciones que las familias biparentales. Su solicitud no fue contestada, por lo que, entendiéndola denegada por silencio administrativo, interpuso reclamación previa a la vía judicial, de la que tampoco recibió contestación.</w:t>
      </w:r>
    </w:p>
    <w:p w14:paraId="3FDBD07D" w14:textId="77777777" w:rsidR="00A8138F" w:rsidRDefault="00A8138F" w:rsidP="00A8138F">
      <w:pPr>
        <w:pStyle w:val="TextoNormal"/>
      </w:pPr>
    </w:p>
    <w:p w14:paraId="6B891626" w14:textId="77777777" w:rsidR="00A8138F" w:rsidRDefault="00A8138F" w:rsidP="00A8138F">
      <w:pPr>
        <w:pStyle w:val="TextoNormal"/>
      </w:pPr>
      <w:r>
        <w:t>b) La actora interpuso demanda contra el INSS y la Tesorería General de la Seguridad Social (TGSS) que correspondió al Juzgado de lo Social núm. 41 de Madrid, dando lugar a la tramitación del procedimiento especial de Seguridad Social por prestaciones núm. 1047-2021. En la demanda alegaba sufrir discriminación, proscrita en el art. 14 CE, por la negativa presunta de la entidad gestora de la Seguridad Social de concederle la ampliación que había solicitado, recayendo sentencia 143/2022, de 10 de marzo, en la que el juzgado de lo social desestimó su pretensión y absolvió a las entidades demandadas de los pedimentos deducidos en su contra. La sentencia argumenta que la pretensión de ampliación no está amparada en la norma, que, para asegurar la igualdad entre hombres y mujeres y la corresponsabilidad en el cuidado de los hijos, confiere un derecho individual a cada progenitor de naturaleza personal e intransferible y por lo tanto no acumulable.</w:t>
      </w:r>
    </w:p>
    <w:p w14:paraId="4512CF40" w14:textId="77777777" w:rsidR="00A8138F" w:rsidRDefault="00A8138F" w:rsidP="00A8138F">
      <w:pPr>
        <w:pStyle w:val="TextoNormal"/>
      </w:pPr>
    </w:p>
    <w:p w14:paraId="6E3ED380" w14:textId="77777777" w:rsidR="00A8138F" w:rsidRDefault="00A8138F" w:rsidP="00A8138F">
      <w:pPr>
        <w:pStyle w:val="TextoNormal"/>
      </w:pPr>
      <w:r>
        <w:t xml:space="preserve">c) La actora interpuso recurso de suplicación ante la Sala de lo Social del Tribunal Superior de Justicia de Madrid, recurso núm. 452-2022, que en sentencia 675/2022, de 24 de octubre, desestimó el recurso y confirmó en su integridad la sentencia del juzgado de lo social, atendiendo a precedentes de la misma sala, como las sentencias 227/2022, de 4 de abril, dictada en el recurso núm. 892-2021 (ECLI:ES:TSJM:2022:4148), y 356/2022, de 6 </w:t>
      </w:r>
      <w:r>
        <w:lastRenderedPageBreak/>
        <w:t>de abril, dictada en el recurso núm. 172-2022, (ECLI:ES:TSJM:2022:4290), donde se vino a decir que conforme a la normativa aplicable, no siempre en las familias biparentales los dos progenitores van a tener derecho a dos prestaciones durante dieciséis semanas, pues ello va a depender del cumplimiento de los requisitos de alta y cotización; que no se ha incumplido la Convención sobre los derechos del niño, adoptada por la Asamblea General de las Naciones Unidas el 20 de noviembre de 1989, porque el legislador haya establecido las prestaciones de Seguridad Social separadas para cada progenitor; y que no se da discriminación alguna porque el trato no puede ser igual al no existir dos progenitores: el art. 48.4 LET establece que es un derecho individual de la persona trabajadora y no transferible al otro progenitor, como tampoco resulta posible el descanso obligatorio de seis semanas inmediatamente posteriores al parto por los dos progenitores cuando solo hay uno.</w:t>
      </w:r>
    </w:p>
    <w:p w14:paraId="1B2EA77C" w14:textId="77777777" w:rsidR="00A8138F" w:rsidRDefault="00A8138F" w:rsidP="00A8138F">
      <w:pPr>
        <w:pStyle w:val="TextoNormal"/>
      </w:pPr>
    </w:p>
    <w:p w14:paraId="02E84CAA" w14:textId="7DDA992C" w:rsidR="00A8138F" w:rsidRDefault="00A8138F" w:rsidP="00A8138F">
      <w:pPr>
        <w:pStyle w:val="TextoNormal"/>
      </w:pPr>
      <w:r>
        <w:t>d) La actora formalizó recurso de casación en unificación de doctrina contra la sentencia de suplicación, recurso núm. 5619-2022, que fue inadmitido por falta de interés casacional en el auto de 12 de julio de 2023 de la Sala de lo Social del Tribunal Supremo, declarando la firmeza de la sentencia impugnada.</w:t>
      </w:r>
    </w:p>
    <w:p w14:paraId="35AC8CED" w14:textId="77777777" w:rsidR="00A8138F" w:rsidRDefault="00A8138F" w:rsidP="00A8138F">
      <w:pPr>
        <w:pStyle w:val="TextoNormal"/>
      </w:pPr>
    </w:p>
    <w:p w14:paraId="7CAD0B02" w14:textId="77777777" w:rsidR="00A8138F" w:rsidRDefault="00A8138F" w:rsidP="00A8138F">
      <w:pPr>
        <w:pStyle w:val="TextoNormal"/>
      </w:pPr>
      <w:r w:rsidRPr="00A8138F">
        <w:rPr>
          <w:rStyle w:val="NumeroAFNegritaCaracter"/>
        </w:rPr>
        <w:t>3</w:t>
      </w:r>
      <w:r>
        <w:t>. En la demanda de amparo la recurrente invoca la vulneración del derecho de igualdad del art 14 CE, en relación con el art. 39 CE, en una doble vertiente: (i) discriminación indirecta por razón de sexo de la recurrente, ya que, en su mayoría, las familias monoparentales estadísticamente están integradas por mujeres, perjudicándolas sin justificación objetiva, afectándoles en el ejercicio de su libre autodeterminación de formar familias monoparentales (art 14 CE, segundo inciso, en relación con el art. 9.2 CE). Pese a su aparente neutralidad, de forma mayoritaria es en las mujeres en las que recae toda la responsabilidad del sustento y cuidados del menor, mermando su desarrollo profesional y realizando un mayor gasto que una familia biparental, al contar con menor número de semanas de prestación; (ii) vulneración por discriminación directa del menor por razón de nacimiento, proscrita en el art. 14 CE. Se esta discriminando al menor nacido en familia monoparental, que al contar con menor número de semanas de prestación se quebranta su desarrollo, quedando el menor atendido menos tiempo que el menor nacido en una familia biparental.</w:t>
      </w:r>
    </w:p>
    <w:p w14:paraId="3F1C3FBB" w14:textId="77777777" w:rsidR="00A8138F" w:rsidRDefault="00A8138F" w:rsidP="00A8138F">
      <w:pPr>
        <w:pStyle w:val="TextoNormal"/>
      </w:pPr>
    </w:p>
    <w:p w14:paraId="227DFF5B" w14:textId="58B911D1" w:rsidR="00A8138F" w:rsidRDefault="00A8138F" w:rsidP="00A8138F">
      <w:pPr>
        <w:pStyle w:val="TextoNormal"/>
      </w:pPr>
      <w:r>
        <w:t>En atención a ello, la demanda de amparo solicita que se declare la nulidad de las resoluciones administrativas presuntas del INSS, denegatorias de la ampliación del permiso y prestación por nacimiento y cuidado del menor por silencio administrativo. Así mismo, suplica que se declare la nulidad de las resoluciones judiciales dictadas en los procedimientos: sentencia 143/2022, de 10 de marzo, del Juzgado de lo Social núm. 41 de Madrid (autos núm. 1047-2021); sentencia 675/2022, de 24 de octubre, de la Sala de lo Social del Tribunal Superior de Justicia de Madrid en recurso de suplicación núm. 452-22, y el auto de 12 de julio de 2023, de la Sala de lo Social del Tribunal Supremo de inadmisión del recurso de casación en unificación de doctrina (recurso núm. 5619-2022), que declaró la firmeza de la sentencia recurrida.</w:t>
      </w:r>
    </w:p>
    <w:p w14:paraId="048CB0B2" w14:textId="77777777" w:rsidR="00A8138F" w:rsidRDefault="00A8138F" w:rsidP="00A8138F">
      <w:pPr>
        <w:pStyle w:val="TextoNormal"/>
      </w:pPr>
    </w:p>
    <w:p w14:paraId="6F1C5044" w14:textId="77777777" w:rsidR="00A8138F" w:rsidRDefault="00A8138F" w:rsidP="00A8138F">
      <w:pPr>
        <w:pStyle w:val="TextoNormal"/>
      </w:pPr>
      <w:r w:rsidRPr="00A8138F">
        <w:rPr>
          <w:rStyle w:val="NumeroAFNegritaCaracter"/>
        </w:rPr>
        <w:t>4</w:t>
      </w:r>
      <w:r>
        <w:t>. Por providencia de 9 de septiembre de 2024, la Sección Primera de este Tribunal Constitucional acordó admitir a trámite la demanda de amparo, al apreciar que concurría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3834D3F6" w14:textId="77777777" w:rsidR="00A8138F" w:rsidRDefault="00A8138F" w:rsidP="00A8138F">
      <w:pPr>
        <w:pStyle w:val="TextoNormal"/>
      </w:pPr>
    </w:p>
    <w:p w14:paraId="1073AD59" w14:textId="45102448" w:rsidR="00A8138F" w:rsidRDefault="00A8138F" w:rsidP="00A8138F">
      <w:pPr>
        <w:pStyle w:val="TextoNormal"/>
      </w:pPr>
      <w:r>
        <w:t>En aplicación de lo previsto en el art. 51 LOTC se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5619-2022 y al recurso de suplicación núm. 452-2022, respectivamente. Asimismo, se acordó dirigir atenta comunicación al Juzgado de lo Social núm. 41 de Madrid a fin de que, en plazo que no excediera de diez días, remitiese certificación o fotocopia adverada de las actuaciones correspondientes a los autos núm. 1047-2021, emplazando a quienes hubieran sido parte en el procedimiento, excepto a la parte recurrente en amparo, para que, si lo deseaban, pudieran comparecer en el presente recurso.</w:t>
      </w:r>
    </w:p>
    <w:p w14:paraId="72BD6004" w14:textId="77777777" w:rsidR="00A8138F" w:rsidRDefault="00A8138F" w:rsidP="00A8138F">
      <w:pPr>
        <w:pStyle w:val="TextoNormal"/>
      </w:pPr>
    </w:p>
    <w:p w14:paraId="796B7EA3" w14:textId="2BE63AD6" w:rsidR="00A8138F" w:rsidRDefault="00A8138F" w:rsidP="00A8138F">
      <w:pPr>
        <w:pStyle w:val="TextoNormal"/>
      </w:pPr>
      <w:r w:rsidRPr="00A8138F">
        <w:rPr>
          <w:rStyle w:val="NumeroAFNegritaCaracter"/>
        </w:rPr>
        <w:t>5</w:t>
      </w:r>
      <w:r>
        <w:t>. Mediante escrito presentado el día 8 de octubre de 2024, la letrada de la administración de la Seguridad Social, actuando en nombre y representación del INSS y de la TGSS, interesó su personación en el presente recurso de amparo.</w:t>
      </w:r>
    </w:p>
    <w:p w14:paraId="5A9E9DCD" w14:textId="77777777" w:rsidR="00A8138F" w:rsidRDefault="00A8138F" w:rsidP="00A8138F">
      <w:pPr>
        <w:pStyle w:val="TextoNormal"/>
      </w:pPr>
    </w:p>
    <w:p w14:paraId="57A03FFD" w14:textId="1C729A8D" w:rsidR="00A8138F" w:rsidRDefault="00A8138F" w:rsidP="00A8138F">
      <w:pPr>
        <w:pStyle w:val="TextoNormal"/>
      </w:pPr>
      <w:r w:rsidRPr="00A8138F">
        <w:rPr>
          <w:rStyle w:val="NumeroAFNegritaCaracter"/>
        </w:rPr>
        <w:t>6</w:t>
      </w:r>
      <w:r>
        <w:t>. Por diligencia de ordenación de la Secretaría de Justicia de la Sala Primera de este tribunal, de 4 de noviembre de 2024, se tuvieron por recibidos los testimonios de actuaciones remitidos por la Sala de lo Social del Tribunal Supremo, por la Sala de lo Social del Tribunal Superior de Justicia de Madrid y por el Juzgado de lo Social núm. 41 de Madrid, y el escrito de la letrada de la administración de la Seguridad Social y se acordó: (i) tener por personada y parte en el presente procedimiento a la letrada de la administración de la Seguridad Social, en nombre y representación del INSS y de la TGSS; y (ii) asimismo, de conformidad con lo establecido en el art. 52.1 LOTC, se dispuso dar vista de las actuaciones en la sede electrónica de este tribunal a la recurrente, al Ministerio Fiscal y a la parte personada, por plazo común de veinte días, para que pudieran presentar las alegaciones que estimaran pertinentes.</w:t>
      </w:r>
    </w:p>
    <w:p w14:paraId="55F7F748" w14:textId="77777777" w:rsidR="00A8138F" w:rsidRDefault="00A8138F" w:rsidP="00A8138F">
      <w:pPr>
        <w:pStyle w:val="TextoNormal"/>
      </w:pPr>
    </w:p>
    <w:p w14:paraId="50491FD3" w14:textId="3E90946F" w:rsidR="00A8138F" w:rsidRDefault="00A8138F" w:rsidP="00A8138F">
      <w:pPr>
        <w:pStyle w:val="TextoNormal"/>
      </w:pPr>
      <w:r w:rsidRPr="00A8138F">
        <w:rPr>
          <w:rStyle w:val="NumeroAFNegritaCaracter"/>
        </w:rPr>
        <w:t>7</w:t>
      </w:r>
      <w:r>
        <w:t xml:space="preserve">. El 28 de noviembre 2024, la letrada de la administración de la Seguridad Social formuló alegaciones en representación del INSS y de la TGSS, postulando en primer término la desestimación del recurso de amparo y subsidiariamente una estimación parcial con efectos limitados. Tras una breve exposición de los antecedentes del procedimiento, identifica la normativa nacional que regula el permiso y la prestación por nacimiento y cuidado del menor: arts. 177 y 178 del texto refundido de la Ley general de la Seguridad Social, aprobado por el Real Decreto Legislativo 8/2015, de 30 de octubre (LGSS); art. 48.4 LET, así como el art. 49 a), b) y c) del texto refundido de la Ley del estatuto básico del empleado público, aprobado por el Real Decreto Legislativo 5/2015, de 30 de octubre; también refiere doctrina constitucional, y concluye que las resoluciones impugnadas no han incurrido en discriminación alguna. Reconoce, no obstante, que debe tenerse en cuenta la reciente STC 140/2024, de 6 de noviembre, que estima la cuestión de inconstitucionalidad núm. 6694-2023, que ha declarado inconstitucional los arts. 48.4 LET y 177 LGSS, con el alcance que señala en su fundamento jurídico séptimo. Solicita, en principio, la desestimación del recurso de amparo, declarando ajustadas a la Constitución Española las resoluciones impugnadas, sin perjuicio de señalar que, en el caso de estimarse el recurso de amparo, a la luz de la STC 140/2024, la estimación del incremento de la duración del permiso laboral y la correlativa prestación de la Seguridad Social, tras el agotamiento de las primeras dieciséis semanas, podría ser como máximo de diez semanas adicionales, quedando supeditado al </w:t>
      </w:r>
      <w:r>
        <w:lastRenderedPageBreak/>
        <w:t>cumplimiento del resto de los requisitos legalmente establecidos para su percepción, entre los que se incluye el haber hecho efectivo el descanso, sin prestación de servicios por cuenta ajena ni percibir las correspondientes retribuciones.</w:t>
      </w:r>
    </w:p>
    <w:p w14:paraId="1DD11EBE" w14:textId="77777777" w:rsidR="00A8138F" w:rsidRDefault="00A8138F" w:rsidP="00A8138F">
      <w:pPr>
        <w:pStyle w:val="TextoNormal"/>
      </w:pPr>
    </w:p>
    <w:p w14:paraId="46C7E995" w14:textId="5DC64ACA" w:rsidR="00A8138F" w:rsidRDefault="00A8138F" w:rsidP="00A8138F">
      <w:pPr>
        <w:pStyle w:val="TextoNormal"/>
      </w:pPr>
      <w:r w:rsidRPr="00A8138F">
        <w:rPr>
          <w:rStyle w:val="NumeroAFNegritaCaracter"/>
        </w:rPr>
        <w:t>8</w:t>
      </w:r>
      <w:r>
        <w:t>. El 21 de enero de 2025, el fiscal ante el Tribunal Constitucional presentó escrito de alegaciones en el que interesó la estimación del recurso de amparo. Tras resumir los antecedentes del procedimiento laboral y los fundamentos y alegaciones de la demanda de amparo, aduce que no es necesario hacer referencia a la doctrina general sobre el derecho a la igualdad y a la no discriminación por razón de sexo porque es sobradamente conocida y porque la STC 140/2024, ha establecido una doctrina específica para la cuestión debatida en el presente recurso de amparo, al declarar inconstitucional los arts. 48.4 LET y 177 LGSS, precisamente por la vulneración del derecho reconocido en el art. 14 CE, en relación con el art. 39 CE que se alega en el presente recurso. Señala que el Tribunal Constitucional no ha acordado la nulidad de estos preceptos, sino que, en tanto el legislador no proceda a su reforma, ha fijado una interpretación provisional acorde a la Constitución, que afecta tanto a la normativa sobre suspensión del contrato de trabajo como a la prestación de la Seguridad Social anudada a dicha suspensión. A la luz de esta doctrina, considera que, al aplicar los mencionados artículos declarados inconstitucionales, las sentencias del Juzgado de lo Social núm. 41 de Madrid y del Tribunal Superior de Justicia de Madrid, así como el auto de inadmisión del Tribunal Supremo, en tanto que confirman la denegación presunta por la entidad gestora de la Seguridad Social de la solicitud de acumulación, han incurrido en la discriminación prohibida por el art. 14 CE, tanto de la demandante de amparo, como de la hija por razón de nacimiento, por haber nacido en una familia monoparental. Concluye por ello que la estimación del recurso de amparo ha de conducir a declarar la nulidad de las resoluciones objeto del presente recurso, tanto las resoluciones judiciales como las del INSS por silencio administrativo, y como consecuencia de ello, acordar la retroacción de las actuaciones para que dicho organismo dicte una resolución en la que conteste a la petición de ampliación del permiso por nacimiento y cuidado de menor, respetando el derecho fundamental vulnerado conforme al criterio establecido en la STC 140/2024.</w:t>
      </w:r>
    </w:p>
    <w:p w14:paraId="1B471DE8" w14:textId="77777777" w:rsidR="00A8138F" w:rsidRDefault="00A8138F" w:rsidP="00A8138F">
      <w:pPr>
        <w:pStyle w:val="TextoNormal"/>
      </w:pPr>
    </w:p>
    <w:p w14:paraId="199DD29F" w14:textId="56A5CB51" w:rsidR="00A8138F" w:rsidRDefault="00A8138F" w:rsidP="00A8138F">
      <w:pPr>
        <w:pStyle w:val="TextoNormal"/>
      </w:pPr>
      <w:r w:rsidRPr="00A8138F">
        <w:rPr>
          <w:rStyle w:val="NumeroAFNegritaCaracter"/>
        </w:rPr>
        <w:t>9</w:t>
      </w:r>
      <w:r>
        <w:t>. El 2 de diciembre de 2024 la recurrente presentó escrito de alegaciones en el que ratificó su demanda de amparo, y dio por reproducidas las argumentaciones vertidas en la misma.</w:t>
      </w:r>
    </w:p>
    <w:p w14:paraId="0F483169" w14:textId="77777777" w:rsidR="00A8138F" w:rsidRDefault="00A8138F" w:rsidP="00A8138F">
      <w:pPr>
        <w:pStyle w:val="TextoNormal"/>
      </w:pPr>
    </w:p>
    <w:p w14:paraId="0761365A" w14:textId="376ED0DF" w:rsidR="00A8138F" w:rsidRDefault="00A8138F" w:rsidP="00A8138F">
      <w:pPr>
        <w:pStyle w:val="TextoNormal"/>
      </w:pPr>
      <w:r w:rsidRPr="00A8138F">
        <w:rPr>
          <w:rStyle w:val="NumeroAFNegritaCaracter"/>
        </w:rPr>
        <w:t>10</w:t>
      </w:r>
      <w:r>
        <w:t>. Por providencia de 6 de febrero de 2025 se señaló para deliberación y votación del presente recurso el día 10 del mismo mes y año.</w:t>
      </w:r>
    </w:p>
    <w:p w14:paraId="5AC5CD7C" w14:textId="77777777" w:rsidR="00A8138F" w:rsidRDefault="00A8138F" w:rsidP="00A8138F">
      <w:pPr>
        <w:pStyle w:val="TextoNormal"/>
      </w:pPr>
    </w:p>
    <w:p w14:paraId="18F2CFFA" w14:textId="77777777" w:rsidR="00A8138F" w:rsidRDefault="00A8138F" w:rsidP="00A8138F">
      <w:pPr>
        <w:pStyle w:val="TextoNormalNegritaCentrado"/>
        <w:keepNext/>
      </w:pPr>
      <w:r>
        <w:t>II. Fundamentos jurídicos</w:t>
      </w:r>
    </w:p>
    <w:p w14:paraId="60DC9DE7" w14:textId="0AA28C73" w:rsidR="00A8138F" w:rsidRDefault="00A8138F" w:rsidP="00A8138F">
      <w:pPr>
        <w:pStyle w:val="TextoNormalNegritaCentrado"/>
        <w:keepNext/>
      </w:pPr>
    </w:p>
    <w:p w14:paraId="0F8DFB67"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6FF76774" w14:textId="77777777" w:rsidR="00A8138F" w:rsidRDefault="00A8138F" w:rsidP="00A8138F">
      <w:pPr>
        <w:pStyle w:val="TextoNormal"/>
      </w:pPr>
    </w:p>
    <w:p w14:paraId="70886602" w14:textId="02FFCE2D" w:rsidR="00A8138F" w:rsidRDefault="00A8138F" w:rsidP="00A8138F">
      <w:pPr>
        <w:pStyle w:val="TextoNormal"/>
      </w:pPr>
      <w:r>
        <w:t xml:space="preserve">El objeto del presente proceso es dilucidar si la sentencia del Juzgado de lo Social núm. 41 de Madrid, que desestimó la demanda interpuesta por la actora contra la denegación por silencio administrativo de su solicitud de ampliación del permiso y prestación por nacimiento de su hija, si la sentencia de la Sala de lo Social del Tribunal Superior de Justicia de Madrid, que desestimó su recurso de suplicación, y si el auto de la Sala de lo Social del </w:t>
      </w:r>
      <w:r>
        <w:lastRenderedPageBreak/>
        <w:t>Tribunal Supremo, que inadmitió su recurso de casación en unificación de doctrina por falta de interés casacional, han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3CE87034" w14:textId="77777777" w:rsidR="00A8138F" w:rsidRDefault="00A8138F" w:rsidP="00A8138F">
      <w:pPr>
        <w:pStyle w:val="TextoNormal"/>
      </w:pPr>
    </w:p>
    <w:p w14:paraId="15970F8D"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2978BE87" w14:textId="77777777" w:rsidR="00A8138F" w:rsidRDefault="00A8138F" w:rsidP="00A8138F">
      <w:pPr>
        <w:pStyle w:val="TextoNormal"/>
      </w:pPr>
    </w:p>
    <w:p w14:paraId="2C916C08" w14:textId="77777777" w:rsidR="00A8138F" w:rsidRDefault="00A8138F" w:rsidP="00A8138F">
      <w:pPr>
        <w:pStyle w:val="TextoNormal"/>
      </w:pPr>
      <w:r>
        <w:t>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704C8337" w14:textId="77777777" w:rsidR="00A8138F" w:rsidRDefault="00A8138F" w:rsidP="00A8138F">
      <w:pPr>
        <w:pStyle w:val="TextoNormal"/>
      </w:pPr>
    </w:p>
    <w:p w14:paraId="63DCEDC3"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3A948EA" w14:textId="77777777" w:rsidR="00A8138F" w:rsidRDefault="00A8138F" w:rsidP="00A8138F">
      <w:pPr>
        <w:pStyle w:val="TextoNormal"/>
      </w:pPr>
    </w:p>
    <w:p w14:paraId="79BAF2AB"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57D260AA" w14:textId="77777777" w:rsidR="00A8138F" w:rsidRDefault="00A8138F" w:rsidP="00A8138F">
      <w:pPr>
        <w:pStyle w:val="TextoNormal"/>
      </w:pPr>
    </w:p>
    <w:p w14:paraId="0132E476" w14:textId="5A12AFB5" w:rsidR="00A8138F" w:rsidRDefault="00A8138F" w:rsidP="00A8138F">
      <w:pPr>
        <w:pStyle w:val="TextoNormal"/>
      </w:pPr>
      <w:r>
        <w:t xml:space="preserve">En consecuencia, debe estimarse la demanda y otorgar el amparo solicitado, con nulidad de las sentencias dictadas. Como concretamos en nuestra STC 140/2024, FJ 7, en tanto el legislador no lleve a cabo la consiguiente reforma normativa, en las familias monoparentales </w:t>
      </w:r>
      <w:r>
        <w:lastRenderedPageBreak/>
        <w:t>el permiso a que hace referencia el art. 48.4 LET,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14:paraId="7E2F985D" w14:textId="77777777" w:rsidR="00A8138F" w:rsidRDefault="00A8138F" w:rsidP="00A8138F">
      <w:pPr>
        <w:pStyle w:val="TextoNormal"/>
      </w:pPr>
    </w:p>
    <w:p w14:paraId="1476FBC6" w14:textId="77777777" w:rsidR="00A8138F" w:rsidRDefault="00A8138F" w:rsidP="00A8138F">
      <w:pPr>
        <w:pStyle w:val="TextoNormalCentrado"/>
        <w:keepNext/>
      </w:pPr>
      <w:r>
        <w:t>FALLO</w:t>
      </w:r>
    </w:p>
    <w:p w14:paraId="0F5A05B3" w14:textId="0B9955A3" w:rsidR="00A8138F" w:rsidRDefault="00A8138F" w:rsidP="00A8138F">
      <w:pPr>
        <w:pStyle w:val="TextoNormalCentrado"/>
        <w:keepNext/>
      </w:pPr>
    </w:p>
    <w:p w14:paraId="3CA62038"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Ruth de Frutos Ortega y, en su virtud:</w:t>
      </w:r>
    </w:p>
    <w:p w14:paraId="3DD1F9F4" w14:textId="77777777" w:rsidR="00A8138F" w:rsidRDefault="00A8138F" w:rsidP="00A8138F">
      <w:pPr>
        <w:pStyle w:val="TextoNormal"/>
      </w:pPr>
    </w:p>
    <w:p w14:paraId="3615D129" w14:textId="77777777" w:rsidR="00A8138F" w:rsidRDefault="00A8138F" w:rsidP="00A8138F">
      <w:pPr>
        <w:pStyle w:val="TextoNormal"/>
      </w:pPr>
      <w:r>
        <w:t>1º Declarar vulnerado el derecho fundamental a la igualdad sin que pueda prevalecer discriminación por razón de nacimiento (art. 14 CE).</w:t>
      </w:r>
    </w:p>
    <w:p w14:paraId="44DAF557" w14:textId="77777777" w:rsidR="00A8138F" w:rsidRDefault="00A8138F" w:rsidP="00A8138F">
      <w:pPr>
        <w:pStyle w:val="TextoNormal"/>
      </w:pPr>
    </w:p>
    <w:p w14:paraId="0A9AFDBD" w14:textId="77777777" w:rsidR="00A8138F" w:rsidRDefault="00A8138F" w:rsidP="00A8138F">
      <w:pPr>
        <w:pStyle w:val="TextoNormal"/>
      </w:pPr>
      <w:r>
        <w:t>2º A los efectos de restablecer el derecho, declarar la nulidad de las siguientes resoluciones: (i) la sentencia núm. 143/2022, de 10 de marzo, dictada por el Juzgado de lo Social núm. 41 de Madrid, en procedimiento especial de Seguridad Social núm. 1047-2021; (ii) la sentencia núm. 675/2022, de 24 de octubre, de la Sala de lo Social del Tribunal Superior de Justicia de Madrid, que desestimó el recurso de suplicación núm. 452-2022, y (iii) el auto de 12 de julio de 2023 dictado por la Sala de lo Social del Tribunal Supremo, que inadmitió el recurso de casación para unificación de doctrina núm. 5619-2022.</w:t>
      </w:r>
    </w:p>
    <w:p w14:paraId="132EA533" w14:textId="77777777" w:rsidR="00A8138F" w:rsidRDefault="00A8138F" w:rsidP="00A8138F">
      <w:pPr>
        <w:pStyle w:val="TextoNormal"/>
      </w:pPr>
    </w:p>
    <w:p w14:paraId="52287120" w14:textId="28A6D842" w:rsidR="00A8138F" w:rsidRDefault="00A8138F" w:rsidP="00A8138F">
      <w:pPr>
        <w:pStyle w:val="TextoNormal"/>
      </w:pPr>
      <w:r>
        <w:t>3º Retrotraer las actuaciones al momento en que el Instituto Nacional de la Seguridad Social debió pronunciarse sobre la solicitud de ampliación de la prestación por nacimiento y cuidado de la hija presentada por la recurrente, a fin de que se dicte resolución expresa sobre dicha petición que sea respetuosa con el derecho fundamental reconocido, con el alcance fijado en el último párrafo del fundamento jurídico 2 de esta sentencia.</w:t>
      </w:r>
    </w:p>
    <w:p w14:paraId="10342449" w14:textId="77777777" w:rsidR="00A8138F" w:rsidRDefault="00A8138F" w:rsidP="00A8138F">
      <w:pPr>
        <w:pStyle w:val="TextoNormal"/>
      </w:pPr>
    </w:p>
    <w:p w14:paraId="2FCA3B6B" w14:textId="77777777" w:rsidR="00A8138F" w:rsidRDefault="00A8138F" w:rsidP="00A8138F">
      <w:pPr>
        <w:pStyle w:val="TextoNormal"/>
      </w:pPr>
      <w:r>
        <w:t>Publíquese esta sentencia en el “Boletín Oficial del Estado”.</w:t>
      </w:r>
    </w:p>
    <w:p w14:paraId="120E9865" w14:textId="77777777" w:rsidR="00A8138F" w:rsidRDefault="00A8138F" w:rsidP="00A8138F">
      <w:pPr>
        <w:pStyle w:val="TextoNormal"/>
      </w:pPr>
      <w:r>
        <w:t>Dada en Madrid, a diez de febrero de dos mil veinticinco.</w:t>
      </w:r>
    </w:p>
    <w:p w14:paraId="70C6E31E" w14:textId="1903FBF3" w:rsidR="00A8138F" w:rsidRDefault="00A8138F">
      <w:pPr>
        <w:spacing w:after="160" w:line="278" w:lineRule="auto"/>
        <w:rPr>
          <w:rFonts w:ascii="Times New Roman" w:eastAsia="Times New Roman" w:hAnsi="Times New Roman" w:cs="Times New Roman"/>
          <w:sz w:val="24"/>
          <w:szCs w:val="24"/>
          <w:lang w:eastAsia="es-ES"/>
        </w:rPr>
      </w:pPr>
      <w:r>
        <w:br w:type="page"/>
      </w:r>
    </w:p>
    <w:p w14:paraId="6A7A33D0" w14:textId="77777777" w:rsidR="00A8138F" w:rsidRDefault="00A8138F" w:rsidP="00A8138F">
      <w:pPr>
        <w:pStyle w:val="TtuloResolucin"/>
      </w:pPr>
      <w:bookmarkStart w:id="35" w:name="SENTENCIA_2025_33"/>
      <w:r>
        <w:lastRenderedPageBreak/>
        <w:t>SENTENCIA 33/2025, de 10 de febrero de 2025</w:t>
      </w:r>
    </w:p>
    <w:bookmarkEnd w:id="35"/>
    <w:p w14:paraId="3113B391" w14:textId="77777777" w:rsidR="00A8138F" w:rsidRDefault="00A8138F" w:rsidP="00A8138F">
      <w:pPr>
        <w:pStyle w:val="TtuloResolucin"/>
      </w:pPr>
      <w:r>
        <w:t>Sala Primera</w:t>
      </w:r>
    </w:p>
    <w:p w14:paraId="5E1F95C4" w14:textId="77777777" w:rsidR="00A8138F" w:rsidRDefault="00A8138F" w:rsidP="00A8138F">
      <w:pPr>
        <w:pStyle w:val="TtuloBOE"/>
      </w:pPr>
      <w:r>
        <w:t>(BOE núm. 69, de 21 de marzo de 2025)</w:t>
      </w:r>
    </w:p>
    <w:p w14:paraId="146514D3" w14:textId="77777777" w:rsidR="00A8138F" w:rsidRDefault="00A8138F" w:rsidP="00A8138F">
      <w:pPr>
        <w:pStyle w:val="TextoNormalCentrado"/>
      </w:pPr>
      <w:r>
        <w:t>ECLI:ES:TC:2025:33</w:t>
      </w:r>
    </w:p>
    <w:p w14:paraId="24290152" w14:textId="54246C8C" w:rsidR="00A8138F" w:rsidRDefault="00A8138F" w:rsidP="00A8138F">
      <w:pPr>
        <w:pStyle w:val="TextoNormalCentrado"/>
      </w:pPr>
    </w:p>
    <w:p w14:paraId="5B3FEFDC" w14:textId="77777777" w:rsidR="00A8138F" w:rsidRDefault="00A8138F" w:rsidP="00A8138F">
      <w:pPr>
        <w:pStyle w:val="SntesisDescriptiva"/>
      </w:pPr>
      <w:r>
        <w:t>Recurso de amparo 5744-2023. Promovido por doña Carmen María Alonso Rodríguez en relación con las resoluciones administrativas y judiciales que desestimaron su petición de revisión y ampliación de la prestación por nacimiento y cuidado de hijo menor, como madre biológica de familia monoparental.</w:t>
      </w:r>
    </w:p>
    <w:p w14:paraId="14FD3B22" w14:textId="09B7623A" w:rsidR="00A8138F" w:rsidRDefault="00A8138F" w:rsidP="00A8138F">
      <w:pPr>
        <w:pStyle w:val="SntesisDescriptiva"/>
      </w:pPr>
    </w:p>
    <w:p w14:paraId="3E034801"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3588EAD" w14:textId="26C06584" w:rsidR="00A8138F" w:rsidRDefault="00A8138F" w:rsidP="00A8138F">
      <w:pPr>
        <w:pStyle w:val="SntesisAnaltica"/>
      </w:pPr>
    </w:p>
    <w:p w14:paraId="23C16E4C" w14:textId="4EB10C69"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6715822" w14:textId="77777777" w:rsidR="00A8138F" w:rsidRDefault="00A8138F" w:rsidP="00A8138F">
      <w:pPr>
        <w:pStyle w:val="Extracto"/>
      </w:pPr>
    </w:p>
    <w:p w14:paraId="1D3C4557" w14:textId="77777777" w:rsidR="00A8138F" w:rsidRDefault="00A8138F" w:rsidP="00A8138F">
      <w:pPr>
        <w:pStyle w:val="Extracto"/>
      </w:pPr>
    </w:p>
    <w:p w14:paraId="3E0E9824"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36726E01" w14:textId="29D07B15" w:rsidR="00A8138F" w:rsidRDefault="00A8138F" w:rsidP="00A8138F">
      <w:pPr>
        <w:pStyle w:val="TextoNormal"/>
      </w:pPr>
    </w:p>
    <w:p w14:paraId="2733E3F0" w14:textId="77777777" w:rsidR="00A8138F" w:rsidRDefault="00A8138F" w:rsidP="00A8138F">
      <w:pPr>
        <w:pStyle w:val="TextoNormalCentrado"/>
        <w:keepNext/>
      </w:pPr>
      <w:r>
        <w:t>EN NOMBRE DEL REY</w:t>
      </w:r>
    </w:p>
    <w:p w14:paraId="464852B5" w14:textId="5F99B7FA" w:rsidR="00A8138F" w:rsidRDefault="00A8138F" w:rsidP="00A8138F">
      <w:pPr>
        <w:pStyle w:val="TextoNormalCentrado"/>
        <w:keepNext/>
      </w:pPr>
    </w:p>
    <w:p w14:paraId="2C103E24" w14:textId="77777777" w:rsidR="00A8138F" w:rsidRDefault="00A8138F" w:rsidP="00A8138F">
      <w:pPr>
        <w:pStyle w:val="TextoNormalCentrado"/>
        <w:keepNext/>
      </w:pPr>
    </w:p>
    <w:p w14:paraId="40551BFD" w14:textId="77777777" w:rsidR="00A8138F" w:rsidRDefault="00A8138F" w:rsidP="00A8138F">
      <w:pPr>
        <w:pStyle w:val="TextoNormal"/>
      </w:pPr>
      <w:r>
        <w:t>la siguiente</w:t>
      </w:r>
    </w:p>
    <w:p w14:paraId="566B6DF1" w14:textId="7265A418" w:rsidR="00A8138F" w:rsidRDefault="00A8138F" w:rsidP="00A8138F">
      <w:pPr>
        <w:pStyle w:val="TextoNormal"/>
      </w:pPr>
    </w:p>
    <w:p w14:paraId="310C9782" w14:textId="77777777" w:rsidR="00A8138F" w:rsidRDefault="00A8138F" w:rsidP="00A8138F">
      <w:pPr>
        <w:pStyle w:val="TextoNormalCentrado"/>
        <w:keepNext/>
      </w:pPr>
      <w:r>
        <w:t>SENTENCIA</w:t>
      </w:r>
    </w:p>
    <w:p w14:paraId="47BF1E2E" w14:textId="09F5AD78" w:rsidR="00A8138F" w:rsidRDefault="00A8138F" w:rsidP="00A8138F">
      <w:pPr>
        <w:pStyle w:val="TextoNormalCentrado"/>
        <w:keepNext/>
      </w:pPr>
    </w:p>
    <w:p w14:paraId="13F1CF7D" w14:textId="77777777" w:rsidR="00A8138F" w:rsidRDefault="00A8138F" w:rsidP="00A8138F">
      <w:pPr>
        <w:pStyle w:val="TextoNormal"/>
      </w:pPr>
      <w:r>
        <w:t>En el recurso de amparo núm. 5744-2023, promovido por doña Carmen María Alonso Rodríguez, representada por la procuradora de los Tribunales doña María Isabel Torres Ruiz y asistida por la letrada doña Susana Fuentes Gómez, contra el auto de 18 de julio de 2023, de la Sala de lo Social del Tribunal Supremo recaído en el recurso de casación para la unificación de doctrina núm. 5094-2022, que inadmite el recurso interpuesto por la demandante de amparo frente a la sentencia núm. 628/2022, de 4 de octubre, de la Sala de lo Social del Tribunal Superior de Justicia de Madrid dictada en el recurso de suplicación núm. 402-2022, que desestimó el recurso interpuesto por la recurrente contra la sentencia núm. 61/2022, de 23 de febrero, del Juzgado de lo Social núm. 31 de Madrid, recaída en autos de procedimiento laboral núm. 19-2022, promovido por la demandante de amparo contra el Instituto Nacional de la Seguridad Social (INSS) y la Tesorería General de la Seguridad Social (TGSS). Han intervenido el letrado de la administración de la Seguridad Social, y el Ministerio Fiscal. Ha sido ponente la magistrada doña Concepción Espejel Jorquera.</w:t>
      </w:r>
    </w:p>
    <w:p w14:paraId="46FBF168" w14:textId="552BFF66" w:rsidR="00A8138F" w:rsidRDefault="00A8138F" w:rsidP="00A8138F">
      <w:pPr>
        <w:pStyle w:val="TextoNormal"/>
      </w:pPr>
    </w:p>
    <w:p w14:paraId="65927F61" w14:textId="77777777" w:rsidR="00A8138F" w:rsidRDefault="00A8138F" w:rsidP="00A8138F">
      <w:pPr>
        <w:pStyle w:val="TextoNormalNegritaCentrado"/>
        <w:keepNext/>
      </w:pPr>
      <w:r>
        <w:t>I. Antecedentes</w:t>
      </w:r>
    </w:p>
    <w:p w14:paraId="26E1B0E3" w14:textId="3B4BCA09" w:rsidR="00A8138F" w:rsidRDefault="00A8138F" w:rsidP="00A8138F">
      <w:pPr>
        <w:pStyle w:val="TextoNormalNegritaCentrado"/>
        <w:keepNext/>
      </w:pPr>
    </w:p>
    <w:p w14:paraId="564A558C" w14:textId="0A54AB31" w:rsidR="00A8138F" w:rsidRDefault="00A8138F" w:rsidP="00A8138F">
      <w:pPr>
        <w:pStyle w:val="TextoNormal"/>
      </w:pPr>
      <w:r w:rsidRPr="00A8138F">
        <w:rPr>
          <w:rStyle w:val="NumeroAFNegritaCaracter"/>
        </w:rPr>
        <w:t>1</w:t>
      </w:r>
      <w:r>
        <w:t>. El 7 de septiembre de 2023, la procuradora de los tribunales doña María Isabel Torres Ruiz, bajo la dirección de la letrada doña Susana Fuentes Gómez, interpuso recurso de amparo contra las resoluciones reseñadas en el preámbulo de la presente resolución, denegatorias de la ampliación del permiso por nacimiento y cuidado de hija solicitado por la madre biológica, de familia monoparental.</w:t>
      </w:r>
    </w:p>
    <w:p w14:paraId="1E8CB989" w14:textId="77777777" w:rsidR="00A8138F" w:rsidRDefault="00A8138F" w:rsidP="00A8138F">
      <w:pPr>
        <w:pStyle w:val="TextoNormal"/>
      </w:pPr>
    </w:p>
    <w:p w14:paraId="7CDDAEA2" w14:textId="77777777" w:rsidR="00A8138F" w:rsidRDefault="00A8138F" w:rsidP="00A8138F">
      <w:pPr>
        <w:pStyle w:val="TextoNormal"/>
      </w:pPr>
      <w:r w:rsidRPr="00A8138F">
        <w:rPr>
          <w:rStyle w:val="NumeroAFNegritaCaracter"/>
        </w:rPr>
        <w:t>2</w:t>
      </w:r>
      <w:r>
        <w:t>. El presente recurso de amparo trae causa de los siguientes antecedentes:</w:t>
      </w:r>
    </w:p>
    <w:p w14:paraId="06E9455A" w14:textId="77777777" w:rsidR="00A8138F" w:rsidRDefault="00A8138F" w:rsidP="00A8138F">
      <w:pPr>
        <w:pStyle w:val="TextoNormal"/>
      </w:pPr>
    </w:p>
    <w:p w14:paraId="76D3F2D1" w14:textId="77777777" w:rsidR="00A8138F" w:rsidRDefault="00A8138F" w:rsidP="00A8138F">
      <w:pPr>
        <w:pStyle w:val="TextoNormal"/>
      </w:pPr>
      <w:r>
        <w:t>a) La recurrente constituye una familia monoparental y es madre biológica de un menor nacido el día 30 de mayo de 2021. El día 9 de septiembre de 2021 solicitó al INSS la prestación por nacimiento y cuidado del menor de las dieciséis semanas para el cuidado de su hijo recién nacido, conforme al art. 48.4 del texto refundido de la Ley del estatuto de los trabajadores aprobado por el Real Decreto Legislativo 2/2015, de 23 de octubre (LET). Por resolución de la Dirección Provincial de Madrid del INSS de la misma fecha, le fue reconocido un permiso por nacimiento y cuidado de menor, de dieciséis semanas de duración (para el periodo comprendido desde el 9 de junio al 18 de septiembre de 2021, y una prestación correspondiente del 100 por 100 de la base reguladora diaria de 87,77 €).</w:t>
      </w:r>
    </w:p>
    <w:p w14:paraId="5F907095" w14:textId="77777777" w:rsidR="00A8138F" w:rsidRDefault="00A8138F" w:rsidP="00A8138F">
      <w:pPr>
        <w:pStyle w:val="TextoNormal"/>
      </w:pPr>
    </w:p>
    <w:p w14:paraId="24D44D1E" w14:textId="77777777" w:rsidR="00A8138F" w:rsidRDefault="00A8138F" w:rsidP="00A8138F">
      <w:pPr>
        <w:pStyle w:val="TextoNormal"/>
      </w:pPr>
      <w:r>
        <w:t>El 15 de junio de 2021 presentó solicitud de revisión ante el INSS para la ampliación de la prestación a treinta y dos semanas por ser un único progenitor (familia monoparental), solicitud que fue desestimada por silencio administrativo.</w:t>
      </w:r>
    </w:p>
    <w:p w14:paraId="1DED12E3" w14:textId="77777777" w:rsidR="00A8138F" w:rsidRDefault="00A8138F" w:rsidP="00A8138F">
      <w:pPr>
        <w:pStyle w:val="TextoNormal"/>
      </w:pPr>
    </w:p>
    <w:p w14:paraId="5F5E7999" w14:textId="77777777" w:rsidR="00A8138F" w:rsidRDefault="00A8138F" w:rsidP="00A8138F">
      <w:pPr>
        <w:pStyle w:val="TextoNormal"/>
      </w:pPr>
      <w:r>
        <w:t>El 21 de septiembre de 2021 la recurrente presentó reclamación previa ante el INSS, que fue desestimada por silencio administrativo.</w:t>
      </w:r>
    </w:p>
    <w:p w14:paraId="3124EA82" w14:textId="77777777" w:rsidR="00A8138F" w:rsidRDefault="00A8138F" w:rsidP="00A8138F">
      <w:pPr>
        <w:pStyle w:val="TextoNormal"/>
      </w:pPr>
    </w:p>
    <w:p w14:paraId="3DB85F2C" w14:textId="77777777" w:rsidR="00A8138F" w:rsidRDefault="00A8138F" w:rsidP="00A8138F">
      <w:pPr>
        <w:pStyle w:val="TextoNormal"/>
      </w:pPr>
      <w:r>
        <w:t>La demandante ha estado en situación de excedencia voluntaria durante el periodo comprendido entre el 18 de septiembre de 2021 al 1 de febrero de 2022.</w:t>
      </w:r>
    </w:p>
    <w:p w14:paraId="49A8ABA9" w14:textId="77777777" w:rsidR="00A8138F" w:rsidRDefault="00A8138F" w:rsidP="00A8138F">
      <w:pPr>
        <w:pStyle w:val="TextoNormal"/>
      </w:pPr>
    </w:p>
    <w:p w14:paraId="516C71AE" w14:textId="77777777" w:rsidR="00A8138F" w:rsidRDefault="00A8138F" w:rsidP="00A8138F">
      <w:pPr>
        <w:pStyle w:val="TextoNormal"/>
      </w:pPr>
      <w:r>
        <w:t>b) La recurrente recurrente en amparo interpuso el 11 de enero de 2022 demanda contra el INSS y la TGSS, que dio lugar a los autos de procedimiento laboral núm. 19-2022, del Juzgado de lo Social núm. 31 de Madrid, en el que alegó haber sufrido la discriminación proscrita por el art. 14 CE, al negarle la entidad gestora de Seguridad Social la ampliación del permiso solicitado.</w:t>
      </w:r>
    </w:p>
    <w:p w14:paraId="0FB2AB34" w14:textId="77777777" w:rsidR="00A8138F" w:rsidRDefault="00A8138F" w:rsidP="00A8138F">
      <w:pPr>
        <w:pStyle w:val="TextoNormal"/>
      </w:pPr>
    </w:p>
    <w:p w14:paraId="3C2349CB" w14:textId="77777777" w:rsidR="00A8138F" w:rsidRDefault="00A8138F" w:rsidP="00A8138F">
      <w:pPr>
        <w:pStyle w:val="TextoNormal"/>
      </w:pPr>
      <w:r>
        <w:t>La sentencia núm. 61/2022, de 23 de febrero, desestimó la demanda y absolvió a las partes demandadas. El fallo se funda, en esencia, en que no es posible la ampliación del permiso solicitada en aplicación de el art. 177 del texto refundido de la LGSS, aprobado por el Real Decreto Legislativo 8/2015 de 30 de octubre, en relación con el art. 48.4, 5 y 6 LET, y art. 49. a) b) y c) del Estatuto básico del empleado público, en su redacción operada por el Real Decreto-ley 6/2019, para llegar a las siguientes conclusiones:</w:t>
      </w:r>
    </w:p>
    <w:p w14:paraId="1EC74FCB" w14:textId="77777777" w:rsidR="00A8138F" w:rsidRDefault="00A8138F" w:rsidP="00A8138F">
      <w:pPr>
        <w:pStyle w:val="TextoNormal"/>
      </w:pPr>
    </w:p>
    <w:p w14:paraId="3E535138" w14:textId="77777777" w:rsidR="00A8138F" w:rsidRDefault="00A8138F" w:rsidP="00A8138F">
      <w:pPr>
        <w:pStyle w:val="TextoNormal"/>
      </w:pPr>
      <w:r>
        <w:t xml:space="preserve">(i) La finalidad de la norma es la equiparación de derechos entre hombres y mujeres y conseguir una igualdad efectiva en los permisos de maternidad, sin que se tenga en cuenta cualquieras otras finalidades como la protección de la familia o el interés del menor, tal </w:t>
      </w:r>
      <w:r>
        <w:lastRenderedPageBreak/>
        <w:t>como se recoge claramente en la exposición de motivos del Real Decreto-ley 6/2019, de 1 de marzo, de medidas urgentes para garantía de la igualdad de trato entre mujeres y hombres en el empleo y la ocupación.</w:t>
      </w:r>
    </w:p>
    <w:p w14:paraId="7BDD88BB" w14:textId="77777777" w:rsidR="00A8138F" w:rsidRDefault="00A8138F" w:rsidP="00A8138F">
      <w:pPr>
        <w:pStyle w:val="TextoNormal"/>
      </w:pPr>
    </w:p>
    <w:p w14:paraId="4D0AA463" w14:textId="77777777" w:rsidR="00A8138F" w:rsidRDefault="00A8138F" w:rsidP="00A8138F">
      <w:pPr>
        <w:pStyle w:val="TextoNormal"/>
      </w:pPr>
      <w:r>
        <w:t>(ii) En la redacción de la norma se establece expresamente que el permiso es un derecho individual de cada progenitor y que es intransferible, por lo que no se puede trasmitir el derecho de uno a otro.</w:t>
      </w:r>
    </w:p>
    <w:p w14:paraId="43DCB06E" w14:textId="77777777" w:rsidR="00A8138F" w:rsidRDefault="00A8138F" w:rsidP="00A8138F">
      <w:pPr>
        <w:pStyle w:val="TextoNormal"/>
      </w:pPr>
    </w:p>
    <w:p w14:paraId="72D6FA2B" w14:textId="77777777" w:rsidR="00A8138F" w:rsidRDefault="00A8138F" w:rsidP="00A8138F">
      <w:pPr>
        <w:pStyle w:val="TextoNormal"/>
      </w:pPr>
      <w:r>
        <w:t>(iii) Durante el debate en el Congreso de los Diputados para convalidar dicha norma, todos los grupos parlamentarios admitían sin ninguna duda que no se incluía en la protección a las familias monoparentales, criticando precisamente dicha exclusión por entender que no se prevé que la madre pueda disfrutar de la parte del periodo del progenitor ausente.</w:t>
      </w:r>
    </w:p>
    <w:p w14:paraId="3A4DB39C" w14:textId="77777777" w:rsidR="00A8138F" w:rsidRDefault="00A8138F" w:rsidP="00A8138F">
      <w:pPr>
        <w:pStyle w:val="TextoNormal"/>
      </w:pPr>
    </w:p>
    <w:p w14:paraId="0A2AA376" w14:textId="77777777" w:rsidR="00A8138F" w:rsidRDefault="00A8138F" w:rsidP="00A8138F">
      <w:pPr>
        <w:pStyle w:val="TextoNormal"/>
      </w:pPr>
      <w:r>
        <w:t>(iv) En caso de fallecimiento del hijo, no se reduce el periodo de suspensión del contrato, por lo que la finalidad de la norma no es la atención al menor, sino la efectiva igualdad de derechos entre ambos progenitores.</w:t>
      </w:r>
    </w:p>
    <w:p w14:paraId="0C88DF3C" w14:textId="77777777" w:rsidR="00A8138F" w:rsidRDefault="00A8138F" w:rsidP="00A8138F">
      <w:pPr>
        <w:pStyle w:val="TextoNormal"/>
      </w:pPr>
    </w:p>
    <w:p w14:paraId="7A6FB97B" w14:textId="77777777" w:rsidR="00A8138F" w:rsidRDefault="00A8138F" w:rsidP="00A8138F">
      <w:pPr>
        <w:pStyle w:val="TextoNormal"/>
      </w:pPr>
      <w:r>
        <w:t>(v) En la disposición transitoria (decimotercera del Real Decreto-ley 6/2019) se prevé claramente que en caso de fallecimiento de la madre biológica o en el caso de que no se pueda disfrutar el permiso, el otro progenitor tendría derecho a las dieciséis semanas, pero no se amplía este plazo con el tiempo que se le reconoce individualmente.</w:t>
      </w:r>
    </w:p>
    <w:p w14:paraId="44C7E6CD" w14:textId="77777777" w:rsidR="00A8138F" w:rsidRDefault="00A8138F" w:rsidP="00A8138F">
      <w:pPr>
        <w:pStyle w:val="TextoNormal"/>
      </w:pPr>
    </w:p>
    <w:p w14:paraId="688EA91A" w14:textId="77777777" w:rsidR="00A8138F" w:rsidRDefault="00A8138F" w:rsidP="00A8138F">
      <w:pPr>
        <w:pStyle w:val="TextoNormal"/>
      </w:pPr>
      <w:r>
        <w:t>(vi) La única norma que sí regula el derecho de las familias monoparentales es el art. 182.3 b) LGSS, en la que expresamente se prevé incrementar la prestación económica a catorce días; por lo que cuando el legislador ha querido protegerlas, lo ha dicho de forma expresa.</w:t>
      </w:r>
    </w:p>
    <w:p w14:paraId="702640FB" w14:textId="77777777" w:rsidR="00A8138F" w:rsidRDefault="00A8138F" w:rsidP="00A8138F">
      <w:pPr>
        <w:pStyle w:val="TextoNormal"/>
      </w:pPr>
    </w:p>
    <w:p w14:paraId="08D225AF" w14:textId="77777777" w:rsidR="00A8138F" w:rsidRDefault="00A8138F" w:rsidP="00A8138F">
      <w:pPr>
        <w:pStyle w:val="TextoNormal"/>
      </w:pPr>
      <w:r>
        <w:t>(vii) Si se reconociera un mayor número de semanas a una mujer de una familia monoparental, existiría una clara discriminación respecto a las mujeres en las familias biparentales, toda vez que estas disfrutarían de menos semanas que las primeras.</w:t>
      </w:r>
    </w:p>
    <w:p w14:paraId="6F404CE8" w14:textId="77777777" w:rsidR="00A8138F" w:rsidRDefault="00A8138F" w:rsidP="00A8138F">
      <w:pPr>
        <w:pStyle w:val="TextoNormal"/>
      </w:pPr>
    </w:p>
    <w:p w14:paraId="159C46C4" w14:textId="77777777" w:rsidR="00A8138F" w:rsidRDefault="00A8138F" w:rsidP="00A8138F">
      <w:pPr>
        <w:pStyle w:val="TextoNormal"/>
      </w:pPr>
      <w:r>
        <w:t>(viii) En el mismo sentido, si se reconociera este derecho a la mujer de familia monoparental, habría que reconocer el mismo derecho al hombre de una familia monoparental; lo cual es contrario a la norma, ya que esta prevé expresamente que en caso de fallecimiento de la madre biológica el otro progenitor tiene derecho solo a dieciséis semanas, sin poder incrementar más el periodo. En este caso, existiría una desigualdad entre hombres y mujeres, que es precisamente lo que la ley pretende combatir.</w:t>
      </w:r>
    </w:p>
    <w:p w14:paraId="48825022" w14:textId="77777777" w:rsidR="00A8138F" w:rsidRDefault="00A8138F" w:rsidP="00A8138F">
      <w:pPr>
        <w:pStyle w:val="TextoNormal"/>
      </w:pPr>
    </w:p>
    <w:p w14:paraId="21AD213B" w14:textId="77777777" w:rsidR="00A8138F" w:rsidRDefault="00A8138F" w:rsidP="00A8138F">
      <w:pPr>
        <w:pStyle w:val="TextoNormal"/>
      </w:pPr>
      <w:r>
        <w:t>c) Frente a la anterior sentencia la demandante interpuso recurso de suplicación el 27 de abril de 2022, que dio lugar al recurso de suplicación núm. 402-2022, que fue desestimado por la sentencia núm. 628/2022, de 4 de octubre, de la Sala de lo Social del Tribunal Superior de Justicia de Madrid, confirmando la sentencia impugnada. El tribunal reitera lo declarado en sentencias de la misma sala fechadas los días 9 de febrero, 4, 6 y 21 de abril, y 14 de julio de 2022.</w:t>
      </w:r>
    </w:p>
    <w:p w14:paraId="0B2BA95F" w14:textId="77777777" w:rsidR="00A8138F" w:rsidRDefault="00A8138F" w:rsidP="00A8138F">
      <w:pPr>
        <w:pStyle w:val="TextoNormal"/>
      </w:pPr>
    </w:p>
    <w:p w14:paraId="5113437C" w14:textId="66BE13E5" w:rsidR="00A8138F" w:rsidRDefault="00A8138F" w:rsidP="00A8138F">
      <w:pPr>
        <w:pStyle w:val="TextoNormal"/>
      </w:pPr>
      <w:r>
        <w:t xml:space="preserve">d) Formalizado por la demandante recurso de casación para la unificación de doctrina contra la sentencia dictada en el recurso de suplicación, dio lugar al recurso núm. 5094-2022 que fue inadmitido por auto de 18 de julio de 2023, dictado por la Sala de lo Social </w:t>
      </w:r>
      <w:r>
        <w:lastRenderedPageBreak/>
        <w:t>del Tribunal Supremo, por falta de interés casacional, “porque esta Sala, en su sentencia de pleno de 02/03/2023, recurso 3972-2020, ha resuelto que las familias monoparentales no tienen derecho a la acumulación de prestaciones aquí solicitada, ya que ni se establece en la ley vigente (arts. 48.4 LET y 177 y siguientes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este tipo de familias”. El auto declara, asimismo, la firmeza de la sentencia recurrida.</w:t>
      </w:r>
    </w:p>
    <w:p w14:paraId="2B20C8B0" w14:textId="77777777" w:rsidR="00A8138F" w:rsidRDefault="00A8138F" w:rsidP="00A8138F">
      <w:pPr>
        <w:pStyle w:val="TextoNormal"/>
      </w:pPr>
    </w:p>
    <w:p w14:paraId="3A35DE38" w14:textId="77777777" w:rsidR="00A8138F" w:rsidRDefault="00A8138F" w:rsidP="00A8138F">
      <w:pPr>
        <w:pStyle w:val="TextoNormal"/>
      </w:pPr>
      <w:r w:rsidRPr="00A8138F">
        <w:rPr>
          <w:rStyle w:val="NumeroAFNegritaCaracter"/>
        </w:rPr>
        <w:t>3</w:t>
      </w:r>
      <w:r>
        <w:t>. En la demanda de amparo la recurrente alega la vulneración del derecho de igualdad y a no padecer trato discriminatorio (art. 14 CE, en relación con el art. 39 CE), en una doble vertiente: (i) discriminación directa por razón de nacimiento, pues debido a circunstancias personales y familiares se está discriminando al menor nacido en una familia monoparental, al contar con menor número de semanas de prestación en relación con las familias biparentales, lo que produce un resultado desproporcionado al reducir hasta la mitad los cuidados de los menores de doce meses; y (ii) discriminación indirecta por razón de sexo, al formar parte la actora del grupo de familias monoparentales que, en su mayoría, están compuestas por mujeres, lo que les perjudica sin justificación objetiva.</w:t>
      </w:r>
    </w:p>
    <w:p w14:paraId="350B26EB" w14:textId="77777777" w:rsidR="00A8138F" w:rsidRDefault="00A8138F" w:rsidP="00A8138F">
      <w:pPr>
        <w:pStyle w:val="TextoNormal"/>
      </w:pPr>
    </w:p>
    <w:p w14:paraId="1079A12C" w14:textId="5CB7721C" w:rsidR="00A8138F" w:rsidRDefault="00A8138F" w:rsidP="00A8138F">
      <w:pPr>
        <w:pStyle w:val="TextoNormal"/>
      </w:pPr>
      <w:r>
        <w:t>Apoya la recurrente sus alegaciones en normas internacionales ratificadas por España, en particular, la Convención de la Asamblea General de las Naciones Unidas de 20 de noviembre de 1989, sobre derechos del niño. Igualmente, afirma que ha sido infringido el art. 3.1 del Código civil, que impone que las normas sean interpretadas en relación con la realidad social del tiempo en el que han de ser aplicadas, y señala que la actual realidad social lleva a reflexionar sobre el evidente aumento de pluralidad de modalidades de familias y, en concreto, el incremento de los nacimientos de menores en familias monoparentales, todo lo cual exige una interpretación integradora con perspectiva de género y a la luz del interés superior del menor.</w:t>
      </w:r>
    </w:p>
    <w:p w14:paraId="45ED8C93" w14:textId="77777777" w:rsidR="00A8138F" w:rsidRDefault="00A8138F" w:rsidP="00A8138F">
      <w:pPr>
        <w:pStyle w:val="TextoNormal"/>
      </w:pPr>
    </w:p>
    <w:p w14:paraId="75FF7F41" w14:textId="77777777" w:rsidR="00A8138F" w:rsidRDefault="00A8138F" w:rsidP="00A8138F">
      <w:pPr>
        <w:pStyle w:val="TextoNormal"/>
      </w:pPr>
      <w:r w:rsidRPr="00A8138F">
        <w:rPr>
          <w:rStyle w:val="NumeroAFNegritaCaracter"/>
        </w:rPr>
        <w:t>4</w:t>
      </w:r>
      <w:r>
        <w:t>. Mediante providencia de 9 de septiembre 2024, la Sala Primera, Sección Primera, de este tribunal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573FA1AD" w14:textId="77777777" w:rsidR="00A8138F" w:rsidRDefault="00A8138F" w:rsidP="00A8138F">
      <w:pPr>
        <w:pStyle w:val="TextoNormal"/>
      </w:pPr>
    </w:p>
    <w:p w14:paraId="5FE7269E" w14:textId="3898EBBB" w:rsidR="00A8138F" w:rsidRDefault="00A8138F" w:rsidP="00A8138F">
      <w:pPr>
        <w:pStyle w:val="TextoNormal"/>
      </w:pPr>
      <w:r>
        <w:t>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5094-2022 y al recurso de suplicación núm. 402-2022, respectivamente. Asimismo, acordó dirigir comunicación al Juzgado de lo Social núm. 31 de Madrid a fin de que, en el mismo plazo, remitiese certificación o fotocopia adverada de las actuaciones correspondientes a los autos núm. 19-2022, con emplazamiento a quienes hubieran sido parte en el procedimiento, excepto la parte recurrente en amparo, para que pudieran comparecer en el presente recurso.</w:t>
      </w:r>
    </w:p>
    <w:p w14:paraId="3131EBB2" w14:textId="77777777" w:rsidR="00A8138F" w:rsidRDefault="00A8138F" w:rsidP="00A8138F">
      <w:pPr>
        <w:pStyle w:val="TextoNormal"/>
      </w:pPr>
    </w:p>
    <w:p w14:paraId="21FA069D" w14:textId="0FDC6BF6" w:rsidR="00A8138F" w:rsidRDefault="00A8138F" w:rsidP="00A8138F">
      <w:pPr>
        <w:pStyle w:val="TextoNormal"/>
      </w:pPr>
      <w:r w:rsidRPr="00A8138F">
        <w:rPr>
          <w:rStyle w:val="NumeroAFNegritaCaracter"/>
        </w:rPr>
        <w:lastRenderedPageBreak/>
        <w:t>5</w:t>
      </w:r>
      <w:r>
        <w:t>. El letrado de la administración de la Seguridad Social presentó escrito el día 10 de octubre de 2024, interesó su personación en el presente recurso de amparo en nombre y representación del INSS y la TGSS.</w:t>
      </w:r>
    </w:p>
    <w:p w14:paraId="5C6F59B3" w14:textId="77777777" w:rsidR="00A8138F" w:rsidRDefault="00A8138F" w:rsidP="00A8138F">
      <w:pPr>
        <w:pStyle w:val="TextoNormal"/>
      </w:pPr>
    </w:p>
    <w:p w14:paraId="0C1909A0" w14:textId="73135182" w:rsidR="00A8138F" w:rsidRDefault="00A8138F" w:rsidP="00A8138F">
      <w:pPr>
        <w:pStyle w:val="TextoNormal"/>
      </w:pPr>
      <w:r w:rsidRPr="00A8138F">
        <w:rPr>
          <w:rStyle w:val="NumeroAFNegritaCaracter"/>
        </w:rPr>
        <w:t>6</w:t>
      </w:r>
      <w:r>
        <w:t>. Por diligencia de ordenación de 29 de octubre 2024, se tuvieron por recibidos los testimonios de actuaciones remitidos por la Sala de lo Social del Tribunal Supremo, la Sala de lo Social del Tribunal Superior de Justicia de Madrid y el Juzgado de lo Social núm. 31 de Madrid, así como el escrito del letrado de la administración de la Seguridad Social, y se acordó: (i) tener por personada y parte en el presente procedimiento al letrado de la administración de la Seguridad Social, en nombre y representación del INSS y la TGSS; y (ii) dar vista de las actuaciones a la recurrente, al Ministerio Fiscal y a la parte personada, por plazo común de veinte días, para que pudieran presentar las alegaciones que estimaran pertinentes, de conformidad con lo establecido en el art. 52.1 LOTC.</w:t>
      </w:r>
    </w:p>
    <w:p w14:paraId="53407FD9" w14:textId="77777777" w:rsidR="00A8138F" w:rsidRDefault="00A8138F" w:rsidP="00A8138F">
      <w:pPr>
        <w:pStyle w:val="TextoNormal"/>
      </w:pPr>
    </w:p>
    <w:p w14:paraId="75B6F5BA" w14:textId="53FE252D" w:rsidR="00A8138F" w:rsidRDefault="00A8138F" w:rsidP="00A8138F">
      <w:pPr>
        <w:pStyle w:val="TextoNormal"/>
      </w:pPr>
      <w:r w:rsidRPr="00A8138F">
        <w:rPr>
          <w:rStyle w:val="NumeroAFNegritaCaracter"/>
        </w:rPr>
        <w:t>7</w:t>
      </w:r>
      <w:r>
        <w:t>. La recurrente presentó escrito el 21 de noviembre 2024, reiterado el 26 de noviembre, en el que ratificó la pretensión formulada en la demanda de amparo, cuyas alegaciones dio por reproducidas, y suplicó que se dicte sentencia otorgando el amparo en consideración a la STC 140/2024 de 6 de noviembre, que estimó la cuestión de inconstitucionalidad núm. 6694-2023.</w:t>
      </w:r>
    </w:p>
    <w:p w14:paraId="0AEB8D9A" w14:textId="77777777" w:rsidR="00A8138F" w:rsidRDefault="00A8138F" w:rsidP="00A8138F">
      <w:pPr>
        <w:pStyle w:val="TextoNormal"/>
      </w:pPr>
    </w:p>
    <w:p w14:paraId="7380231A" w14:textId="57A84A43" w:rsidR="00A8138F" w:rsidRDefault="00A8138F" w:rsidP="00A8138F">
      <w:pPr>
        <w:pStyle w:val="TextoNormal"/>
      </w:pPr>
      <w:r w:rsidRPr="00A8138F">
        <w:rPr>
          <w:rStyle w:val="NumeroAFNegritaCaracter"/>
        </w:rPr>
        <w:t>8</w:t>
      </w:r>
      <w:r>
        <w:t>. A través de escrito presentado el 26 de noviembre de 2024, el letrado de la administración de Seguridad Social solicitó que “en el supuesto de estimación del recurso se dicte sentencia con los limites señalados en la sentencia, de 6 de noviembre de 2024, dictada en la Cuestión de Inconstitucionalidad núm. 6694-2023”.</w:t>
      </w:r>
    </w:p>
    <w:p w14:paraId="211D3795" w14:textId="77777777" w:rsidR="00A8138F" w:rsidRDefault="00A8138F" w:rsidP="00A8138F">
      <w:pPr>
        <w:pStyle w:val="TextoNormal"/>
      </w:pPr>
    </w:p>
    <w:p w14:paraId="46CA6588" w14:textId="77777777" w:rsidR="00A8138F" w:rsidRDefault="00A8138F" w:rsidP="00A8138F">
      <w:pPr>
        <w:pStyle w:val="TextoNormal"/>
      </w:pPr>
      <w:r w:rsidRPr="00A8138F">
        <w:rPr>
          <w:rStyle w:val="NumeroAFNegritaCaracter"/>
        </w:rPr>
        <w:t>9</w:t>
      </w:r>
      <w:r>
        <w:t>. La fiscal ante este Tribunal Constitucional presentó escrito el 18 de diciembre de 2024, en el que interesó que “se dicte sentencia estimando el recurso de amparo interpuesto por la demandante doña Carmen María Alonso Rodríguez y, en consecuencia:</w:t>
      </w:r>
    </w:p>
    <w:p w14:paraId="40F7C379" w14:textId="77777777" w:rsidR="00A8138F" w:rsidRDefault="00A8138F" w:rsidP="00A8138F">
      <w:pPr>
        <w:pStyle w:val="TextoNormal"/>
      </w:pPr>
    </w:p>
    <w:p w14:paraId="6A578F42" w14:textId="77777777" w:rsidR="00A8138F" w:rsidRDefault="00A8138F" w:rsidP="00A8138F">
      <w:pPr>
        <w:pStyle w:val="TextoNormal"/>
      </w:pPr>
      <w:r>
        <w:t>- Se declare que las resoluciones administrativas y judiciales impugnadas han vulnerado el derecho fundamental de la recurrente y del hijo menor a la igualdad ante la ley, sin discriminación por razón de nacimiento en familia monoparental del art. 14 CE.</w:t>
      </w:r>
    </w:p>
    <w:p w14:paraId="2930782F" w14:textId="77777777" w:rsidR="00A8138F" w:rsidRDefault="00A8138F" w:rsidP="00A8138F">
      <w:pPr>
        <w:pStyle w:val="TextoNormal"/>
      </w:pPr>
    </w:p>
    <w:p w14:paraId="467DEE71" w14:textId="00498AAA" w:rsidR="00A8138F" w:rsidRDefault="00A8138F" w:rsidP="00A8138F">
      <w:pPr>
        <w:pStyle w:val="TextoNormal"/>
      </w:pPr>
      <w:r>
        <w:t>- Para el restablecimiento del derecho fundamental vulnerado se declare la nulidad de las resoluciones administrativas y de las sentencias dictadas en el proceso de origen y se acuerde la retroacción de actuaciones al momento en el que la demandante presentó ante el INSS la solicitud para que le fuera reconocido el derecho a obtener la acumulación de las otras dieciséis semanas de prestación correspondientes al segundo progenitor distinto a la madre biológica, para que dicte una resolución sobre dicha petición respetuosa con el derecho fundamental a la no discriminación del art. 14 CE y, en los términos que se establece por la STC 140/2024, 6 noviembre”.</w:t>
      </w:r>
    </w:p>
    <w:p w14:paraId="1A956141" w14:textId="77777777" w:rsidR="00A8138F" w:rsidRDefault="00A8138F" w:rsidP="00A8138F">
      <w:pPr>
        <w:pStyle w:val="TextoNormal"/>
      </w:pPr>
    </w:p>
    <w:p w14:paraId="4D7BFEAF" w14:textId="28E65405" w:rsidR="00A8138F" w:rsidRDefault="00A8138F" w:rsidP="00A8138F">
      <w:pPr>
        <w:pStyle w:val="TextoNormal"/>
      </w:pPr>
      <w:r w:rsidRPr="00A8138F">
        <w:rPr>
          <w:rStyle w:val="NumeroAFNegritaCaracter"/>
        </w:rPr>
        <w:t>10</w:t>
      </w:r>
      <w:r>
        <w:t>. Por providencia de 6 de febrero de 2025, se señaló para deliberación y votación del presente recurso el día 10 del mismo mes y año.</w:t>
      </w:r>
    </w:p>
    <w:p w14:paraId="46FC3AF9" w14:textId="77777777" w:rsidR="00A8138F" w:rsidRDefault="00A8138F" w:rsidP="00A8138F">
      <w:pPr>
        <w:pStyle w:val="TextoNormal"/>
      </w:pPr>
    </w:p>
    <w:p w14:paraId="2133D87A" w14:textId="77777777" w:rsidR="00A8138F" w:rsidRDefault="00A8138F" w:rsidP="00A8138F">
      <w:pPr>
        <w:pStyle w:val="TextoNormalNegritaCentrado"/>
        <w:keepNext/>
      </w:pPr>
      <w:r>
        <w:lastRenderedPageBreak/>
        <w:t>II. Fundamentos jurídicos</w:t>
      </w:r>
    </w:p>
    <w:p w14:paraId="276061AC" w14:textId="378FC2E0" w:rsidR="00A8138F" w:rsidRDefault="00A8138F" w:rsidP="00A8138F">
      <w:pPr>
        <w:pStyle w:val="TextoNormalNegritaCentrado"/>
        <w:keepNext/>
      </w:pPr>
    </w:p>
    <w:p w14:paraId="41EC805C"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4482BA62" w14:textId="77777777" w:rsidR="00A8138F" w:rsidRDefault="00A8138F" w:rsidP="00A8138F">
      <w:pPr>
        <w:pStyle w:val="TextoNormal"/>
      </w:pPr>
    </w:p>
    <w:p w14:paraId="207C8CE0" w14:textId="78C7E85D" w:rsidR="00A8138F" w:rsidRDefault="00A8138F" w:rsidP="00A8138F">
      <w:pPr>
        <w:pStyle w:val="TextoNormal"/>
      </w:pPr>
      <w:r>
        <w:t>El objeto del presente proceso es dilucidar si las resoluciones impugnadas —la sentencia de la Sala de lo Social del Tribunal Superior de Justicia de Madrid, devenida firme tras la inadmisión por auto de la Sala de lo Social del Tribunal Supremo del recurso de casación en unificación de doctrina interpuesto por la ahora demandante de amparo, la cual desestimó el recurso de suplicación interpuesto por aquella contra la sentencia del Juzgado de lo Social núm. 31 de Madrid, que a su vez desestimó la demanda de la actora y confirmó las resoluciones desestimatorias por silencio administrativo del INSS— han ocasionado una discriminación por razón de nacimiento contraria al art. 14 CE en relación con el art. 39 CE, al aplicar el art. 48.4 LET en relación con el art. 177 LGSS.</w:t>
      </w:r>
    </w:p>
    <w:p w14:paraId="73403E48" w14:textId="77777777" w:rsidR="00A8138F" w:rsidRDefault="00A8138F" w:rsidP="00A8138F">
      <w:pPr>
        <w:pStyle w:val="TextoNormal"/>
      </w:pPr>
    </w:p>
    <w:p w14:paraId="627044BC"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781423EF" w14:textId="77777777" w:rsidR="00A8138F" w:rsidRDefault="00A8138F" w:rsidP="00A8138F">
      <w:pPr>
        <w:pStyle w:val="TextoNormal"/>
      </w:pPr>
    </w:p>
    <w:p w14:paraId="3284F404"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486CD9C5" w14:textId="77777777" w:rsidR="00A8138F" w:rsidRDefault="00A8138F" w:rsidP="00A8138F">
      <w:pPr>
        <w:pStyle w:val="TextoNormal"/>
      </w:pPr>
    </w:p>
    <w:p w14:paraId="56619165"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6FC6554" w14:textId="77777777" w:rsidR="00A8138F" w:rsidRDefault="00A8138F" w:rsidP="00A8138F">
      <w:pPr>
        <w:pStyle w:val="TextoNormal"/>
      </w:pPr>
    </w:p>
    <w:p w14:paraId="1086C44C"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w:t>
      </w:r>
      <w:r>
        <w:lastRenderedPageBreak/>
        <w:t xml:space="preserve">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396E0BCC" w14:textId="77777777" w:rsidR="00A8138F" w:rsidRDefault="00A8138F" w:rsidP="00A8138F">
      <w:pPr>
        <w:pStyle w:val="TextoNormal"/>
      </w:pPr>
    </w:p>
    <w:p w14:paraId="27C0CD72" w14:textId="1B712B11" w:rsidR="00A8138F" w:rsidRDefault="00A8138F" w:rsidP="00A8138F">
      <w:pPr>
        <w:pStyle w:val="TextoNormal"/>
      </w:pPr>
      <w:r>
        <w:t>En consecuencia, debe estimarse la demanda y otorgar el amparo solicitado, con nulidad de las dos sentencias dictadas, y del auto de inadmisión del recurso de casación en unificación de doctrina, así como, la nulidad de las resoluciones de la administración competente.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14:paraId="62A32751" w14:textId="77777777" w:rsidR="00A8138F" w:rsidRDefault="00A8138F" w:rsidP="00A8138F">
      <w:pPr>
        <w:pStyle w:val="TextoNormal"/>
      </w:pPr>
    </w:p>
    <w:p w14:paraId="16D23EF6" w14:textId="77777777" w:rsidR="00A8138F" w:rsidRDefault="00A8138F" w:rsidP="00A8138F">
      <w:pPr>
        <w:pStyle w:val="TextoNormalCentrado"/>
        <w:keepNext/>
      </w:pPr>
      <w:r>
        <w:t>FALLO</w:t>
      </w:r>
    </w:p>
    <w:p w14:paraId="2C99D0F5" w14:textId="23F205B9" w:rsidR="00A8138F" w:rsidRDefault="00A8138F" w:rsidP="00A8138F">
      <w:pPr>
        <w:pStyle w:val="TextoNormalCentrado"/>
        <w:keepNext/>
      </w:pPr>
    </w:p>
    <w:p w14:paraId="64C500F6"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Carmen María Alonso Rodríguez y, en su virtud:</w:t>
      </w:r>
    </w:p>
    <w:p w14:paraId="6D517A0B" w14:textId="77777777" w:rsidR="00A8138F" w:rsidRDefault="00A8138F" w:rsidP="00A8138F">
      <w:pPr>
        <w:pStyle w:val="TextoNormal"/>
      </w:pPr>
    </w:p>
    <w:p w14:paraId="0AFE50E9" w14:textId="77777777" w:rsidR="00A8138F" w:rsidRDefault="00A8138F" w:rsidP="00A8138F">
      <w:pPr>
        <w:pStyle w:val="TextoNormal"/>
      </w:pPr>
      <w:r>
        <w:t>1º Declarar que ha sido vulnerado el derecho fundamental a la igualdad ante la ley sin discriminación por razón de nacimiento (art. 14 CE).</w:t>
      </w:r>
    </w:p>
    <w:p w14:paraId="21F5D143" w14:textId="77777777" w:rsidR="00A8138F" w:rsidRDefault="00A8138F" w:rsidP="00A8138F">
      <w:pPr>
        <w:pStyle w:val="TextoNormal"/>
      </w:pPr>
    </w:p>
    <w:p w14:paraId="21F9996D" w14:textId="77777777" w:rsidR="00A8138F" w:rsidRDefault="00A8138F" w:rsidP="00A8138F">
      <w:pPr>
        <w:pStyle w:val="TextoNormal"/>
      </w:pPr>
      <w:r>
        <w:t>2º Declarar la nulidad de la sentencia núm. 61/2022, de 23 de febrero, del Juzgado de lo Social núm. 31 de Madrid, recaída en autos de procedimiento laboral núm. 19-2022; de la sentencia núm. 628/2022, de 4 de octubre, de la Sala de lo Social del Tribunal Superior de Justicia de Madrid, dictada en el recurso de suplicación núm. 402-2022; y del auto de la Sala de lo Social del Tribunal Supremo de 18 de julio de 2023, dictado en el recurso de casación para la unificación de doctrina núm. 5094-2022.</w:t>
      </w:r>
    </w:p>
    <w:p w14:paraId="604734E6" w14:textId="77777777" w:rsidR="00A8138F" w:rsidRDefault="00A8138F" w:rsidP="00A8138F">
      <w:pPr>
        <w:pStyle w:val="TextoNormal"/>
      </w:pPr>
    </w:p>
    <w:p w14:paraId="3ED860D8" w14:textId="2E720A2D" w:rsidR="00A8138F" w:rsidRDefault="00A8138F" w:rsidP="00A8138F">
      <w:pPr>
        <w:pStyle w:val="TextoNormal"/>
      </w:pPr>
      <w:r>
        <w:t>3º Retrotraer las actuaciones al momento inmediatamente anterior a resolver la reclamación administrativa de revisión de la prestación reconocida a la demandante, a fin de que por el Instituto Nacional de la Seguridad Social se dicte resolución expresa respetuosa con el derecho fundamental vulnerado, en los términos expuestos en el último párrafo del fundamento jurídico 2 de la presente sentencia.</w:t>
      </w:r>
    </w:p>
    <w:p w14:paraId="76F36906" w14:textId="77777777" w:rsidR="00A8138F" w:rsidRDefault="00A8138F" w:rsidP="00A8138F">
      <w:pPr>
        <w:pStyle w:val="TextoNormal"/>
      </w:pPr>
    </w:p>
    <w:p w14:paraId="36EB1DB0" w14:textId="77777777" w:rsidR="00A8138F" w:rsidRDefault="00A8138F" w:rsidP="00A8138F">
      <w:pPr>
        <w:pStyle w:val="TextoNormal"/>
      </w:pPr>
      <w:r>
        <w:t>Publíquese esta sentencia en el “Boletín Oficial del Estado”.</w:t>
      </w:r>
    </w:p>
    <w:p w14:paraId="1F704EA6" w14:textId="77777777" w:rsidR="00A8138F" w:rsidRDefault="00A8138F" w:rsidP="00A8138F">
      <w:pPr>
        <w:pStyle w:val="TextoNormal"/>
      </w:pPr>
      <w:r>
        <w:t>Dada en Madrid, a diez de febrero de dos mil veinticinco.</w:t>
      </w:r>
    </w:p>
    <w:p w14:paraId="5B45F733" w14:textId="26294774" w:rsidR="00A8138F" w:rsidRDefault="00A8138F">
      <w:pPr>
        <w:spacing w:after="160" w:line="278" w:lineRule="auto"/>
        <w:rPr>
          <w:rFonts w:ascii="Times New Roman" w:eastAsia="Times New Roman" w:hAnsi="Times New Roman" w:cs="Times New Roman"/>
          <w:sz w:val="24"/>
          <w:szCs w:val="24"/>
          <w:lang w:eastAsia="es-ES"/>
        </w:rPr>
      </w:pPr>
      <w:r>
        <w:br w:type="page"/>
      </w:r>
    </w:p>
    <w:p w14:paraId="6651B08E" w14:textId="77777777" w:rsidR="00A8138F" w:rsidRDefault="00A8138F" w:rsidP="00A8138F">
      <w:pPr>
        <w:pStyle w:val="TtuloResolucin"/>
      </w:pPr>
      <w:bookmarkStart w:id="36" w:name="SENTENCIA_2025_34"/>
      <w:r>
        <w:lastRenderedPageBreak/>
        <w:t>SENTENCIA 34/2025, de 10 de febrero de 2025</w:t>
      </w:r>
    </w:p>
    <w:bookmarkEnd w:id="36"/>
    <w:p w14:paraId="1088E1BD" w14:textId="77777777" w:rsidR="00A8138F" w:rsidRDefault="00A8138F" w:rsidP="00A8138F">
      <w:pPr>
        <w:pStyle w:val="TtuloResolucin"/>
      </w:pPr>
      <w:r>
        <w:t>Sala Segunda</w:t>
      </w:r>
    </w:p>
    <w:p w14:paraId="131C173C" w14:textId="77777777" w:rsidR="00A8138F" w:rsidRDefault="00A8138F" w:rsidP="00A8138F">
      <w:pPr>
        <w:pStyle w:val="TtuloBOE"/>
      </w:pPr>
      <w:r>
        <w:t>(BOE núm. 69, de 21 de marzo de 2025)</w:t>
      </w:r>
    </w:p>
    <w:p w14:paraId="4941061C" w14:textId="77777777" w:rsidR="00A8138F" w:rsidRDefault="00A8138F" w:rsidP="00A8138F">
      <w:pPr>
        <w:pStyle w:val="TextoNormalCentrado"/>
      </w:pPr>
      <w:r>
        <w:t>ECLI:ES:TC:2025:34</w:t>
      </w:r>
    </w:p>
    <w:p w14:paraId="103C5722" w14:textId="75E76600" w:rsidR="00A8138F" w:rsidRDefault="00A8138F" w:rsidP="00A8138F">
      <w:pPr>
        <w:pStyle w:val="TextoNormalCentrado"/>
      </w:pPr>
    </w:p>
    <w:p w14:paraId="316C8056" w14:textId="77777777" w:rsidR="00A8138F" w:rsidRDefault="00A8138F" w:rsidP="00A8138F">
      <w:pPr>
        <w:pStyle w:val="SntesisDescriptiva"/>
      </w:pPr>
      <w:r>
        <w:t>Recurso de amparo 474-2024. Promovido por doña Sandra Sagredo Ruiz en relación con las resoluciones administrativas y judiciales que desestimaron su petición de revisión y ampliación de la prestación por nacimiento y cuidado de hijo menor, como madre biológica de familia monoparental.</w:t>
      </w:r>
    </w:p>
    <w:p w14:paraId="13194795" w14:textId="49A74770" w:rsidR="00A8138F" w:rsidRDefault="00A8138F" w:rsidP="00A8138F">
      <w:pPr>
        <w:pStyle w:val="SntesisDescriptiva"/>
      </w:pPr>
    </w:p>
    <w:p w14:paraId="58805E2E"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35FE3488" w14:textId="40E2D133" w:rsidR="00A8138F" w:rsidRDefault="00A8138F" w:rsidP="00A8138F">
      <w:pPr>
        <w:pStyle w:val="SntesisAnaltica"/>
      </w:pPr>
    </w:p>
    <w:p w14:paraId="688AB77F" w14:textId="2CAE637F"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5FD41BA6" w14:textId="77777777" w:rsidR="00A8138F" w:rsidRDefault="00A8138F" w:rsidP="00A8138F">
      <w:pPr>
        <w:pStyle w:val="Extracto"/>
      </w:pPr>
    </w:p>
    <w:p w14:paraId="0EFFFDE8" w14:textId="77777777" w:rsidR="00A8138F" w:rsidRDefault="00A8138F" w:rsidP="00A8138F">
      <w:pPr>
        <w:pStyle w:val="Extracto"/>
      </w:pPr>
    </w:p>
    <w:p w14:paraId="1A66A81C"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E548A1A" w14:textId="06A24611" w:rsidR="00A8138F" w:rsidRDefault="00A8138F" w:rsidP="00A8138F">
      <w:pPr>
        <w:pStyle w:val="TextoNormal"/>
      </w:pPr>
    </w:p>
    <w:p w14:paraId="68017253" w14:textId="77777777" w:rsidR="00A8138F" w:rsidRDefault="00A8138F" w:rsidP="00A8138F">
      <w:pPr>
        <w:pStyle w:val="TextoNormalCentrado"/>
        <w:keepNext/>
      </w:pPr>
      <w:r>
        <w:t>EN NOMBRE DEL REY</w:t>
      </w:r>
    </w:p>
    <w:p w14:paraId="43EAE39A" w14:textId="252A6F6D" w:rsidR="00A8138F" w:rsidRDefault="00A8138F" w:rsidP="00A8138F">
      <w:pPr>
        <w:pStyle w:val="TextoNormalCentrado"/>
        <w:keepNext/>
      </w:pPr>
    </w:p>
    <w:p w14:paraId="00BDB853" w14:textId="77777777" w:rsidR="00A8138F" w:rsidRDefault="00A8138F" w:rsidP="00A8138F">
      <w:pPr>
        <w:pStyle w:val="TextoNormalCentrado"/>
        <w:keepNext/>
      </w:pPr>
    </w:p>
    <w:p w14:paraId="4A39657E" w14:textId="77777777" w:rsidR="00A8138F" w:rsidRDefault="00A8138F" w:rsidP="00A8138F">
      <w:pPr>
        <w:pStyle w:val="TextoNormal"/>
      </w:pPr>
      <w:r>
        <w:t>la siguiente</w:t>
      </w:r>
    </w:p>
    <w:p w14:paraId="356FA020" w14:textId="165EB459" w:rsidR="00A8138F" w:rsidRDefault="00A8138F" w:rsidP="00A8138F">
      <w:pPr>
        <w:pStyle w:val="TextoNormal"/>
      </w:pPr>
    </w:p>
    <w:p w14:paraId="3732A064" w14:textId="77777777" w:rsidR="00A8138F" w:rsidRDefault="00A8138F" w:rsidP="00A8138F">
      <w:pPr>
        <w:pStyle w:val="TextoNormalCentrado"/>
        <w:keepNext/>
      </w:pPr>
      <w:r>
        <w:t>SENTENCIA</w:t>
      </w:r>
    </w:p>
    <w:p w14:paraId="7E07DBBB" w14:textId="0E859F08" w:rsidR="00A8138F" w:rsidRDefault="00A8138F" w:rsidP="00A8138F">
      <w:pPr>
        <w:pStyle w:val="TextoNormalCentrado"/>
        <w:keepNext/>
      </w:pPr>
    </w:p>
    <w:p w14:paraId="5751114B" w14:textId="77777777" w:rsidR="00A8138F" w:rsidRDefault="00A8138F" w:rsidP="00A8138F">
      <w:pPr>
        <w:pStyle w:val="TextoNormal"/>
      </w:pPr>
      <w:r>
        <w:t xml:space="preserve">En el recurso de amparo núm. 474-2024, promovido por doña Sandra Sagredo Ruiz, representada por el procurador de los tribunales don Fernando Rodríguez-Jurado Saro y bajo la dirección del letrado don Eusebio Ángel Navazo Velaures, contra la sentencia núm. 1282/2023 , de 21 de diciembre de 2023, dictada por la Sala de lo Social del Tribunal Supremo, que estimó el recurso de casación para unificación de doctrina núm. 4499-2022, interpuesto contra la sentencia núm. 541/2022, de 21 de julio, dictada por la Sala de lo Social del Tribunal Superior de Justicia de Castilla y León, que estimó el recurso de suplicación núm. 446-2022 y revocó la sentencia núm. 88/2022, de 21 de febrero, dictada por el Juzgado de lo Social núm. 2 de Burgos, en autos de Seguridad Social en materia prestacional núm. 58-2022, que a su vez había desestimado la demanda interpuesta contra el Instituto Nacional de la Seguridad Social y la Tesorería General de la Seguridad Social. Ha intervenido el Ministerio Fiscal. Se han personado y formulado alegaciones el Instituto Nacional de la </w:t>
      </w:r>
      <w:r>
        <w:lastRenderedPageBreak/>
        <w:t>Seguridad Social y la Tesorería General de la Seguridad Social. Ha sido ponente el magistrado don César Tolosa Tribiño.</w:t>
      </w:r>
    </w:p>
    <w:p w14:paraId="04B2116E" w14:textId="0A1B607B" w:rsidR="00A8138F" w:rsidRDefault="00A8138F" w:rsidP="00A8138F">
      <w:pPr>
        <w:pStyle w:val="TextoNormal"/>
      </w:pPr>
    </w:p>
    <w:p w14:paraId="6E2A2D73" w14:textId="77777777" w:rsidR="00A8138F" w:rsidRDefault="00A8138F" w:rsidP="00A8138F">
      <w:pPr>
        <w:pStyle w:val="TextoNormalNegritaCentrado"/>
        <w:keepNext/>
      </w:pPr>
      <w:r>
        <w:t>I. Antecedentes</w:t>
      </w:r>
    </w:p>
    <w:p w14:paraId="6DDF81B5" w14:textId="327FDC10" w:rsidR="00A8138F" w:rsidRDefault="00A8138F" w:rsidP="00A8138F">
      <w:pPr>
        <w:pStyle w:val="TextoNormalNegritaCentrado"/>
        <w:keepNext/>
      </w:pPr>
    </w:p>
    <w:p w14:paraId="745327AC" w14:textId="3525E8C5" w:rsidR="00A8138F" w:rsidRDefault="00A8138F" w:rsidP="00A8138F">
      <w:pPr>
        <w:pStyle w:val="TextoNormal"/>
      </w:pPr>
      <w:r w:rsidRPr="00A8138F">
        <w:rPr>
          <w:rStyle w:val="NumeroAFNegritaCaracter"/>
        </w:rPr>
        <w:t>1</w:t>
      </w:r>
      <w:r>
        <w:t>. El 24 de enero de 2024, doña Sandra Sagredo Ruiz, con la representación y defensa indicadas, interpuso recurso de amparo contra la sentencia 1282/2023 dictada el 21 de diciembre de 2023 por la Sala de lo Social del Tribunal Supremo.</w:t>
      </w:r>
    </w:p>
    <w:p w14:paraId="13A30713" w14:textId="77777777" w:rsidR="00A8138F" w:rsidRDefault="00A8138F" w:rsidP="00A8138F">
      <w:pPr>
        <w:pStyle w:val="TextoNormal"/>
      </w:pPr>
    </w:p>
    <w:p w14:paraId="4AB1500D"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61D5722B" w14:textId="77777777" w:rsidR="00A8138F" w:rsidRDefault="00A8138F" w:rsidP="00A8138F">
      <w:pPr>
        <w:pStyle w:val="TextoNormal"/>
      </w:pPr>
    </w:p>
    <w:p w14:paraId="212D4509" w14:textId="77777777" w:rsidR="00A8138F" w:rsidRDefault="00A8138F" w:rsidP="00A8138F">
      <w:pPr>
        <w:pStyle w:val="TextoNormal"/>
      </w:pPr>
      <w:r>
        <w:t>A) La demandante de amparo, con motivo del nacimiento de su hija el 16 de septiembre de 2021 en el seno de una familia monoparental, solicitó la prestación por nacimiento y cuidado de la menor que le fue reconocida por resolución del Instituto Nacional de la Seguridad Social (INSS) con efectos de 16 de septiembre de 2021 y con una duración hasta el 5 de enero de 2022 (dieciséis semanas).</w:t>
      </w:r>
    </w:p>
    <w:p w14:paraId="7B76384D" w14:textId="77777777" w:rsidR="00A8138F" w:rsidRDefault="00A8138F" w:rsidP="00A8138F">
      <w:pPr>
        <w:pStyle w:val="TextoNormal"/>
      </w:pPr>
    </w:p>
    <w:p w14:paraId="5AE3C3AE" w14:textId="77777777" w:rsidR="00A8138F" w:rsidRDefault="00A8138F" w:rsidP="00A8138F">
      <w:pPr>
        <w:pStyle w:val="TextoNormal"/>
      </w:pPr>
      <w:r>
        <w:t>B) Tras ser desestimada la solicitud de ampliación del permiso en otras dieciséis semanas por ser familia monoparental y la posterior reclamación previa en vía administrativa, interpuso una demanda contra el INSS y la TGSS.</w:t>
      </w:r>
    </w:p>
    <w:p w14:paraId="4343E4CE" w14:textId="77777777" w:rsidR="00A8138F" w:rsidRDefault="00A8138F" w:rsidP="00A8138F">
      <w:pPr>
        <w:pStyle w:val="TextoNormal"/>
      </w:pPr>
    </w:p>
    <w:p w14:paraId="306D043F" w14:textId="77777777" w:rsidR="00A8138F" w:rsidRDefault="00A8138F" w:rsidP="00A8138F">
      <w:pPr>
        <w:pStyle w:val="TextoNormal"/>
      </w:pPr>
      <w:r>
        <w:t>C) El Juzgado de lo Social núm. 2 de Burgos dictó sentencia el 21 de febrero de 2022 en la que desestimó la demanda y absolvió al INSS y a la TGSS de las pretensiones ejercitas en la misma. En su argumentación la sentencia se refiere al contenido de los artículos que regulan la prestación solicitada [arts. 177 y 178 del texto refundido de la Ley general de la Seguridad Social (LGSS), aprobado por el Real Decreto Legislativo 8/2015, de 30 de octubre, y art. 48.4 del texto refundido de la Ley del estatuto de los trabajadores (LET), aprobado por el Real Decreto Legislativo 2/2015, de 23 de octubre, en la redacción dada por el Real Decreto-ley 6/2019, de 1 de marzo, de medidas urgentes para garantía de la igualdad de trato y de oportunidades entre mujeres y hombres en el empleo y la ocupación]. Destaca que la finalidad de la reforma del art. 48.4 LET es garantizar la igualdad de trato y de oportunidades entre mujeres y hombres en el empleo y la ocupación, así como el principio de corresponsabilidad entre ambos progenitores. En el caso de familia biparental para que el otro progenitor distinto de la madre tenga derecho a la prestación, es preciso que reúna los requisitos de cotización del art. 178 LGSS, de modo que al progenitor de una familia biparental que no los reúna no se le concederá el permiso de paternidad, sin que por ello se aprecie discriminación del menor.</w:t>
      </w:r>
    </w:p>
    <w:p w14:paraId="3B403FFB" w14:textId="77777777" w:rsidR="00A8138F" w:rsidRDefault="00A8138F" w:rsidP="00A8138F">
      <w:pPr>
        <w:pStyle w:val="TextoNormal"/>
      </w:pPr>
    </w:p>
    <w:p w14:paraId="4DCBD951" w14:textId="77777777" w:rsidR="00A8138F" w:rsidRDefault="00A8138F" w:rsidP="00A8138F">
      <w:pPr>
        <w:pStyle w:val="TextoNormal"/>
      </w:pPr>
      <w:r>
        <w:t>D) Frente a dicha sentencia la demandante interpuso recurso de suplicación alegando como único motivo de revisión jurídica la infracción de normas sustantivas previsto en el art. 193 c) de la Ley 36/2011, de 10 de octubre, reguladora de la jurisdicción social. La parte contraria impugnó el recurso de suplicación.</w:t>
      </w:r>
    </w:p>
    <w:p w14:paraId="22FE57C2" w14:textId="77777777" w:rsidR="00A8138F" w:rsidRDefault="00A8138F" w:rsidP="00A8138F">
      <w:pPr>
        <w:pStyle w:val="TextoNormal"/>
      </w:pPr>
    </w:p>
    <w:p w14:paraId="48C58E31" w14:textId="77777777" w:rsidR="00A8138F" w:rsidRDefault="00A8138F" w:rsidP="00A8138F">
      <w:pPr>
        <w:pStyle w:val="TextoNormal"/>
      </w:pPr>
      <w:r>
        <w:t xml:space="preserve">E) Por sentencia núm. 541/2022, de 21 de julio, dictada por la Sala de lo Social del Tribunal Superior de Justicia de Castilla y León, se estimó el recurso de suplicación revocando la sentencia dictada por el Juzgado de lo Social núm. 2 de Burgos y declarando el derecho </w:t>
      </w:r>
      <w:r>
        <w:lastRenderedPageBreak/>
        <w:t>de la demandante a disfrutar de un total de veintiséis semanas, añadiendo de este modo diez semanas a las inicialmente concedidas.</w:t>
      </w:r>
    </w:p>
    <w:p w14:paraId="5F0CF7C0" w14:textId="77777777" w:rsidR="00A8138F" w:rsidRDefault="00A8138F" w:rsidP="00A8138F">
      <w:pPr>
        <w:pStyle w:val="TextoNormal"/>
      </w:pPr>
    </w:p>
    <w:p w14:paraId="227A0F43" w14:textId="77777777" w:rsidR="00A8138F" w:rsidRDefault="00A8138F" w:rsidP="00A8138F">
      <w:pPr>
        <w:pStyle w:val="TextoNormal"/>
      </w:pPr>
      <w:r>
        <w:t>La sentencia considera que debe efectuarse una interpretación del art. 48 LET conforme a lo acuerdos y tratados internacionales ratificados por España, y en concreto a lo dispuesto en el art. 3.1 de la Convención sobre los derechos del niño y el art. 24.2 de la Carta de derechos fundamentales de la Unión Europea. Alude a la necesidad de proteger el interés del menor debiendo ser interpretadas las normas en materia de protección de la maternidad y paternidad conforme al principio de protección integral de los hijos (art. 39.4 CE).</w:t>
      </w:r>
    </w:p>
    <w:p w14:paraId="346AFC52" w14:textId="77777777" w:rsidR="00A8138F" w:rsidRDefault="00A8138F" w:rsidP="00A8138F">
      <w:pPr>
        <w:pStyle w:val="TextoNormal"/>
      </w:pPr>
    </w:p>
    <w:p w14:paraId="76DFADA6" w14:textId="77777777" w:rsidR="00A8138F" w:rsidRDefault="00A8138F" w:rsidP="00A8138F">
      <w:pPr>
        <w:pStyle w:val="TextoNormal"/>
      </w:pPr>
      <w:r>
        <w:t>Alude a la doctrina constitucional relativa a la prohibición de discriminación y apunta a que el especial cuidado de la persona recién nacida que supone la suspensión del contrato de trabajo puede alcanzar las veintiuna semanas si no nace en una familia monoparental. Pues, en este caso la protección para su cuidado solo alcanza las dieciséis semanas. Lo cual supone un trato diferencial a quien nace en una familia monoparental, sin que exista justificación objetiva de esta diferencia de trato. Para evitar esa desigualdad es preciso la atribución de otras diez semanas a sumar a las ya reconocidas.</w:t>
      </w:r>
    </w:p>
    <w:p w14:paraId="225243C9" w14:textId="77777777" w:rsidR="00A8138F" w:rsidRDefault="00A8138F" w:rsidP="00A8138F">
      <w:pPr>
        <w:pStyle w:val="TextoNormal"/>
      </w:pPr>
    </w:p>
    <w:p w14:paraId="03BB02C3" w14:textId="77777777" w:rsidR="00A8138F" w:rsidRDefault="00A8138F" w:rsidP="00A8138F">
      <w:pPr>
        <w:pStyle w:val="TextoNormal"/>
      </w:pPr>
      <w:r>
        <w:t>F) Contra dicha sentencia se interpuso por el INSS y la TGSS recurso de casación para la unificación de doctrina, que fue estimado por sentencia de la Sala de lo Social del Tribunal Supremo de 21 de diciembre de 2023.</w:t>
      </w:r>
    </w:p>
    <w:p w14:paraId="2F1A5E0E" w14:textId="77777777" w:rsidR="00A8138F" w:rsidRDefault="00A8138F" w:rsidP="00A8138F">
      <w:pPr>
        <w:pStyle w:val="TextoNormal"/>
      </w:pPr>
    </w:p>
    <w:p w14:paraId="1E5C7D38" w14:textId="77777777" w:rsidR="00A8138F" w:rsidRDefault="00A8138F" w:rsidP="00A8138F">
      <w:pPr>
        <w:pStyle w:val="TextoNormal"/>
      </w:pPr>
      <w:r>
        <w:t>Indica que sobre dicha cuestión el Pleno de la Sala de lo Social ya ha tenido ocasión de pronunciarse en la STS 169/2023, de 2 de marzo. Recuerda las razones expuestas en dicha sentencia:</w:t>
      </w:r>
    </w:p>
    <w:p w14:paraId="79205C2D" w14:textId="77777777" w:rsidR="00A8138F" w:rsidRDefault="00A8138F" w:rsidP="00A8138F">
      <w:pPr>
        <w:pStyle w:val="TextoNormal"/>
      </w:pPr>
    </w:p>
    <w:p w14:paraId="743AA8A3" w14:textId="77777777" w:rsidR="00A8138F" w:rsidRDefault="00A8138F" w:rsidP="00A8138F">
      <w:pPr>
        <w:pStyle w:val="TextoNormal"/>
      </w:pPr>
      <w:r>
        <w:t>a)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 48.4 LET.</w:t>
      </w:r>
    </w:p>
    <w:p w14:paraId="6A7E4F3F" w14:textId="77777777" w:rsidR="00A8138F" w:rsidRDefault="00A8138F" w:rsidP="00A8138F">
      <w:pPr>
        <w:pStyle w:val="TextoNormal"/>
      </w:pPr>
    </w:p>
    <w:p w14:paraId="456A4250" w14:textId="77777777" w:rsidR="00A8138F" w:rsidRDefault="00A8138F" w:rsidP="00A8138F">
      <w:pPr>
        <w:pStyle w:val="TextoNormal"/>
      </w:pPr>
      <w:r>
        <w:t>b) Esta realidad era conocida por el legislador. En tal sentido,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artículo 48.4 LET en el siguiente sentido: “en el supuesto de familias monoparentales, la persona trabajadora podrá acumular el tiempo de permiso que correspondería a la otra persona trabajadora si la hubiera” (“Diario Oficial del Senado” de 8 de febrero de 2023).</w:t>
      </w:r>
    </w:p>
    <w:p w14:paraId="527D5278" w14:textId="77777777" w:rsidR="00A8138F" w:rsidRDefault="00A8138F" w:rsidP="00A8138F">
      <w:pPr>
        <w:pStyle w:val="TextoNormal"/>
      </w:pPr>
    </w:p>
    <w:p w14:paraId="05DCD686" w14:textId="77777777" w:rsidR="00A8138F" w:rsidRDefault="00A8138F" w:rsidP="00A8138F">
      <w:pPr>
        <w:pStyle w:val="TextoNormal"/>
      </w:pPr>
      <w:r>
        <w:t xml:space="preserve">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w:t>
      </w:r>
      <w:r>
        <w:lastRenderedPageBreak/>
        <w:t>especial relevancia por la Sala, no puede ser el único factor decisivo y determinante en la cuestión que se debe resolver.</w:t>
      </w:r>
    </w:p>
    <w:p w14:paraId="225DFA96" w14:textId="77777777" w:rsidR="00A8138F" w:rsidRDefault="00A8138F" w:rsidP="00A8138F">
      <w:pPr>
        <w:pStyle w:val="TextoNormal"/>
      </w:pPr>
    </w:p>
    <w:p w14:paraId="41C8527A" w14:textId="17D17BB0" w:rsidR="00A8138F" w:rsidRDefault="00A8138F" w:rsidP="00A8138F">
      <w:pPr>
        <w:pStyle w:val="TextoNormal"/>
      </w:pPr>
      <w:r>
        <w:t>d)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14:paraId="68DBA679" w14:textId="77777777" w:rsidR="00A8138F" w:rsidRDefault="00A8138F" w:rsidP="00A8138F">
      <w:pPr>
        <w:pStyle w:val="TextoNormal"/>
      </w:pPr>
    </w:p>
    <w:p w14:paraId="538853C2" w14:textId="77777777" w:rsidR="00A8138F" w:rsidRDefault="00A8138F" w:rsidP="00A8138F">
      <w:pPr>
        <w:pStyle w:val="TextoNormal"/>
      </w:pPr>
      <w:r w:rsidRPr="00A8138F">
        <w:rPr>
          <w:rStyle w:val="NumeroAFNegritaCaracter"/>
        </w:rPr>
        <w:t>3</w:t>
      </w:r>
      <w:r>
        <w:t>. En la demanda de amparo se solicita que se declare vulnerado el derecho a la igualdad y a prohibición de discriminación (art. 14 CE), así como la nulidad de la sentencia dictada por la Sala de lo Social del Tribunal Supremo y se restablezca a la recurrente en sus derechos.</w:t>
      </w:r>
    </w:p>
    <w:p w14:paraId="592AAD6D" w14:textId="77777777" w:rsidR="00A8138F" w:rsidRDefault="00A8138F" w:rsidP="00A8138F">
      <w:pPr>
        <w:pStyle w:val="TextoNormal"/>
      </w:pPr>
    </w:p>
    <w:p w14:paraId="631FE902" w14:textId="77777777" w:rsidR="00A8138F" w:rsidRDefault="00A8138F" w:rsidP="00A8138F">
      <w:pPr>
        <w:pStyle w:val="TextoNormal"/>
      </w:pPr>
      <w:r>
        <w:t>La demandante, tras referirse al contenido de las resoluciones recaídas en el procedimiento, sostiene que la decisión denegatoria de la ampliación de permiso a la familia monoparental ocasiona tres tipos de discriminación:</w:t>
      </w:r>
    </w:p>
    <w:p w14:paraId="21FE4D88" w14:textId="77777777" w:rsidR="00A8138F" w:rsidRDefault="00A8138F" w:rsidP="00A8138F">
      <w:pPr>
        <w:pStyle w:val="TextoNormal"/>
      </w:pPr>
    </w:p>
    <w:p w14:paraId="6FC7D385" w14:textId="77777777" w:rsidR="00A8138F" w:rsidRDefault="00A8138F" w:rsidP="00A8138F">
      <w:pPr>
        <w:pStyle w:val="TextoNormal"/>
      </w:pPr>
      <w:r>
        <w:t>a) Discriminación indirecta respecto de la mujer: afirma que la falta de igualdad efectiva de la mujer está íntima, aunque no exclusivamente, relacionada con el nacimiento del hijo. En las familias monoparentales lideradas por mujeres en un 81,40 por 100 en el año 2020, la situación es más dramática, por lo que la norma incurre en discriminación indirecta.</w:t>
      </w:r>
    </w:p>
    <w:p w14:paraId="0E59809F" w14:textId="77777777" w:rsidR="00A8138F" w:rsidRDefault="00A8138F" w:rsidP="00A8138F">
      <w:pPr>
        <w:pStyle w:val="TextoNormal"/>
      </w:pPr>
    </w:p>
    <w:p w14:paraId="7E966B61" w14:textId="77777777" w:rsidR="00A8138F" w:rsidRDefault="00A8138F" w:rsidP="00A8138F">
      <w:pPr>
        <w:pStyle w:val="TextoNormal"/>
      </w:pPr>
      <w:r>
        <w:t>b) Discriminación en relación con los fundamentos de conciliación de la vida familiar y laboral. Las responsabilidades de cuidado son una de las causas principales de vulnerabilidad en las familias monoparentales y exige la adopción de políticas diseñadas para promover la conciliación de trabajo-familia. La Constitución protege igualmente a las estructuras familiares integradas por un progenitor solo y su progenie, independientemente de cuál sea la causa originaria de la monoparentalidad. En el ámbito laboral no se otorga un tratamiento específico a las familias monoparentales. La discriminación surge de imponer a las familias monoparentales un tratamiento distinto para necesidades que son básicamente las mismas que en las familias no monoparentales. No existe motivo alguno que la justifique, ni siquiera la libertad que cada cual tiene para elegir formar una familia en pareja o estando solo o las dificultades presupuestarias del sistema.</w:t>
      </w:r>
    </w:p>
    <w:p w14:paraId="50F22458" w14:textId="77777777" w:rsidR="00A8138F" w:rsidRDefault="00A8138F" w:rsidP="00A8138F">
      <w:pPr>
        <w:pStyle w:val="TextoNormal"/>
      </w:pPr>
    </w:p>
    <w:p w14:paraId="6C8005EB" w14:textId="0313388F" w:rsidR="00A8138F" w:rsidRDefault="00A8138F" w:rsidP="00A8138F">
      <w:pPr>
        <w:pStyle w:val="TextoNormal"/>
      </w:pPr>
      <w:r>
        <w:t>c) Discriminación en relación con la protección de los niños. La denegación de la acumulación de los dos períodos de suspensión maternal en una unidad monoparental perjudica, sin duda alguna, el derecho del recién nacido a ser cuidado y atendido en igualdad de tiempo que aquellos otros que han nacido en una unidad biparental.</w:t>
      </w:r>
    </w:p>
    <w:p w14:paraId="6BC68607" w14:textId="77777777" w:rsidR="00A8138F" w:rsidRDefault="00A8138F" w:rsidP="00A8138F">
      <w:pPr>
        <w:pStyle w:val="TextoNormal"/>
      </w:pPr>
    </w:p>
    <w:p w14:paraId="29BD1DE7" w14:textId="6689EE9E" w:rsidR="00A8138F" w:rsidRDefault="00A8138F" w:rsidP="00A8138F">
      <w:pPr>
        <w:pStyle w:val="TextoNormal"/>
      </w:pPr>
      <w:r w:rsidRPr="00A8138F">
        <w:rPr>
          <w:rStyle w:val="NumeroAFNegritaCaracter"/>
        </w:rPr>
        <w:t>4</w:t>
      </w:r>
      <w:r>
        <w:t xml:space="preserve">. La Sección Tercera de este tribunal, mediante providencia de 21 de octubre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igualmente dirigir atenta comunicación a la Sala de lo Social del Tribunal Supremo y del Tribunal </w:t>
      </w:r>
      <w:r>
        <w:lastRenderedPageBreak/>
        <w:t>Superior de Justicia de Castilla y León y al Juzgado de lo Social núm. 2 de Burgos,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 si lo deseaban.</w:t>
      </w:r>
    </w:p>
    <w:p w14:paraId="506BF088" w14:textId="77777777" w:rsidR="00A8138F" w:rsidRDefault="00A8138F" w:rsidP="00A8138F">
      <w:pPr>
        <w:pStyle w:val="TextoNormal"/>
      </w:pPr>
    </w:p>
    <w:p w14:paraId="77BE0A7F" w14:textId="77777777" w:rsidR="00A8138F" w:rsidRDefault="00A8138F" w:rsidP="00A8138F">
      <w:pPr>
        <w:pStyle w:val="TextoNormal"/>
      </w:pPr>
      <w:r w:rsidRPr="00A8138F">
        <w:rPr>
          <w:rStyle w:val="NumeroAFNegritaCaracter"/>
        </w:rPr>
        <w:t>5</w:t>
      </w:r>
      <w:r>
        <w:t>. El 2 de diciembre de 2024, una vez tenida por personada y parte a la letrada de la administración de la Seguridad Social en nombre y representación del INSS y de la TGSS, esta presentó sus alegaciones en las que solicitaba que, en el supuesto de estimación del recurso, se dicte sentencia de acuerdo con lo establecido en la STC 140/2024, de 6 de noviembre, dictada en la cuestión de inconstitucionalidad núm. 6694-2023.</w:t>
      </w:r>
    </w:p>
    <w:p w14:paraId="7BE6DB8F" w14:textId="77777777" w:rsidR="00A8138F" w:rsidRDefault="00A8138F" w:rsidP="00A8138F">
      <w:pPr>
        <w:pStyle w:val="TextoNormal"/>
      </w:pPr>
    </w:p>
    <w:p w14:paraId="12B028DF" w14:textId="77777777" w:rsidR="00A8138F" w:rsidRDefault="00A8138F" w:rsidP="00A8138F">
      <w:pPr>
        <w:pStyle w:val="TextoNormal"/>
      </w:pPr>
      <w:r>
        <w:t>La letrada de la administración de la Seguridad Social se refiere a los antecedentes del proceso de los que trae causa el recurso de amparo, a la concreta solicitud efectuada por la recurrente y a la regulación de la prestación de nacimiento y cuidado de menor en la Ley general de la Seguridad Social y en la Ley del estatuto de los trabajadores tras la reforma efectuada por el Real Decreto-ley 6/2019.</w:t>
      </w:r>
    </w:p>
    <w:p w14:paraId="63BECB81" w14:textId="77777777" w:rsidR="00A8138F" w:rsidRDefault="00A8138F" w:rsidP="00A8138F">
      <w:pPr>
        <w:pStyle w:val="TextoNormal"/>
      </w:pPr>
    </w:p>
    <w:p w14:paraId="148A86D7" w14:textId="77777777" w:rsidR="00A8138F" w:rsidRDefault="00A8138F" w:rsidP="00A8138F">
      <w:pPr>
        <w:pStyle w:val="TextoNormal"/>
      </w:pPr>
      <w:r>
        <w:t>Considera que atendida la interpretación auténtica de la voluntad del legislador, la regulación del Real Decreto-ley 6/2019 no atenta en modo alguno contra el principio de igualdad, pues favorece a las mujeres de familias monoparentales frente a los varones en el mismo tipo de familias, pero sin que ello suponga una discriminación, por cuanto la diferencia está basada en circunstancias puramente naturales: la maternidad biológica, cuya protección por motivos exclusivamente de protección de la salud de la madre difiere notablemente de la protección dispensada tanto a los varones en familias monoparentales como a los de familias biparentales, en los que la finalidad del permiso es la corresponsabilidad en “las responsabilidades domésticas y en el cuidado y atención de los ascendientes y descendientes y otras personas a cargo”, como reza el art. 68 del Código civil.</w:t>
      </w:r>
    </w:p>
    <w:p w14:paraId="05E7F0B8" w14:textId="77777777" w:rsidR="00A8138F" w:rsidRDefault="00A8138F" w:rsidP="00A8138F">
      <w:pPr>
        <w:pStyle w:val="TextoNormal"/>
      </w:pPr>
    </w:p>
    <w:p w14:paraId="32C8F2A6" w14:textId="77777777" w:rsidR="00A8138F" w:rsidRDefault="00A8138F" w:rsidP="00A8138F">
      <w:pPr>
        <w:pStyle w:val="TextoNormal"/>
      </w:pPr>
      <w:r>
        <w:t>A su juicio, configurado de este modo el derecho, la corresponsabilidad puede ser asumida por el otro progenitor si es que existe, o por un tercero, en el caso de que no lo haya, pero lo que no existe es un derecho absoluto ni a la suspensión de la relación laboral durante más tiempo del establecido legalmente, ni mucho menos a la prestación de Seguridad Social si no se cumplen los requisitos para ello.</w:t>
      </w:r>
    </w:p>
    <w:p w14:paraId="59C771A1" w14:textId="77777777" w:rsidR="00A8138F" w:rsidRDefault="00A8138F" w:rsidP="00A8138F">
      <w:pPr>
        <w:pStyle w:val="TextoNormal"/>
      </w:pPr>
    </w:p>
    <w:p w14:paraId="4CE7FE62" w14:textId="70C90BA2" w:rsidR="00A8138F" w:rsidRDefault="00A8138F" w:rsidP="00A8138F">
      <w:pPr>
        <w:pStyle w:val="TextoNormal"/>
      </w:pPr>
      <w:r>
        <w:t>Sostiene que a la vista de lo resuelto por el Tribunal Constitucional en la STC 140/2024 por la que ha decidido estimar la cuestión de inconstitucionalidad núm. 6694-2023 y, en consecuencia, ha declarado inconstitucionales los arts. 48.4 LET y 177 LGSS, se ratifica en las alegaciones realizadas a lo largo de todo el procedimiento y en todo caso, habrá que tener en cuenta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prestar servicios por cuenta ajena ni percibir las correspondientes retribuciones.</w:t>
      </w:r>
    </w:p>
    <w:p w14:paraId="2DBDD40C" w14:textId="77777777" w:rsidR="00A8138F" w:rsidRDefault="00A8138F" w:rsidP="00A8138F">
      <w:pPr>
        <w:pStyle w:val="TextoNormal"/>
      </w:pPr>
    </w:p>
    <w:p w14:paraId="271F11B1" w14:textId="77777777" w:rsidR="00A8138F" w:rsidRDefault="00A8138F" w:rsidP="00A8138F">
      <w:pPr>
        <w:pStyle w:val="TextoNormal"/>
      </w:pPr>
      <w:r w:rsidRPr="00A8138F">
        <w:rPr>
          <w:rStyle w:val="NumeroAFNegritaCaracter"/>
        </w:rPr>
        <w:t>6</w:t>
      </w:r>
      <w:r>
        <w:t>. El día 16 de enero de 2024, el Ministerio Fiscal interesó la estimación del recurso de amparo por vulneración del derecho fundamental a la igualdad ante la ley por razón de nacimiento (art. 14 CE) y que se declare la nulidad de la sentencia 1282/2023 de 21 de diciem</w:t>
      </w:r>
      <w:r>
        <w:lastRenderedPageBreak/>
        <w:t>bre de la Sala de lo Social del Tribunal Supremo dictada en el recurso de casación para la unificación de doctrina núm. 4499-2022 y declarar la firmeza de la sentencia 541/2022, de 21 de julio, del Tribunal Superior de Justicia de Castilla y León.</w:t>
      </w:r>
    </w:p>
    <w:p w14:paraId="22D9FA8F" w14:textId="77777777" w:rsidR="00A8138F" w:rsidRDefault="00A8138F" w:rsidP="00A8138F">
      <w:pPr>
        <w:pStyle w:val="TextoNormal"/>
      </w:pPr>
    </w:p>
    <w:p w14:paraId="0C36F7D8" w14:textId="77777777" w:rsidR="00A8138F" w:rsidRDefault="00A8138F" w:rsidP="00A8138F">
      <w:pPr>
        <w:pStyle w:val="TextoNormal"/>
      </w:pPr>
      <w:r>
        <w:t>El fiscal considera que procede la estimación del recurso, pues al aplicar los arts. 48.4 LET y 177 LGSS, recientemente declarados inconstitucionales (STC 140/2024, de 6 de noviembre) las resoluciones impugnadas han producido la discriminación prohibida por el art. 14 CE, tanto de la demandante de amparo por constituir a una familia monoparental, (por razón del modelo de familia), como del hijo por razón de nacimiento.</w:t>
      </w:r>
    </w:p>
    <w:p w14:paraId="22147502" w14:textId="77777777" w:rsidR="00A8138F" w:rsidRDefault="00A8138F" w:rsidP="00A8138F">
      <w:pPr>
        <w:pStyle w:val="TextoNormal"/>
      </w:pPr>
    </w:p>
    <w:p w14:paraId="542D8E03" w14:textId="77777777" w:rsidR="00A8138F" w:rsidRDefault="00A8138F" w:rsidP="00A8138F">
      <w:pPr>
        <w:pStyle w:val="TextoNormal"/>
      </w:pPr>
      <w:r>
        <w:t>El escrito se detiene a examinar el alcance del pronunciamiento e indica que pese a lo solicitado en la demanda de amparo,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LGSS que realiza la sentencia 541/2022 de 21 de julio del Tribunal Superior de Justicia de Castilla y León, es coincidente en lo esencial con la ya citada STC 140/2024.</w:t>
      </w:r>
    </w:p>
    <w:p w14:paraId="165FF9AF" w14:textId="77777777" w:rsidR="00A8138F" w:rsidRDefault="00A8138F" w:rsidP="00A8138F">
      <w:pPr>
        <w:pStyle w:val="TextoNormal"/>
      </w:pPr>
    </w:p>
    <w:p w14:paraId="6A1E3E1C" w14:textId="77777777" w:rsidR="00A8138F" w:rsidRDefault="00A8138F" w:rsidP="00A8138F">
      <w:pPr>
        <w:pStyle w:val="TextoNormal"/>
      </w:pPr>
      <w:r>
        <w:t>Añade que dicha sentencia 541/2022 acuerda el reconocimiento de diez semanas adicionales a las dieciséis iniciales —hasta un total de veintiséis semanas— y en la propia demanda de la recurrente se solicita el reconocimiento de un total de veintiséis semanas, coincidente con dicha sentencia del Tribunal Superior de Justicia de Castilla y León.</w:t>
      </w:r>
    </w:p>
    <w:p w14:paraId="647C15DB" w14:textId="77777777" w:rsidR="00A8138F" w:rsidRDefault="00A8138F" w:rsidP="00A8138F">
      <w:pPr>
        <w:pStyle w:val="TextoNormal"/>
      </w:pPr>
    </w:p>
    <w:p w14:paraId="55A04EF6" w14:textId="722A46E0" w:rsidR="00A8138F" w:rsidRDefault="00A8138F" w:rsidP="00A8138F">
      <w:pPr>
        <w:pStyle w:val="TextoNormal"/>
      </w:pPr>
      <w:r>
        <w:t>Por otra parte, el INSS solicitaba en el recurso de casación que se dictara una sentencia que declare que la sentencia recurrida quebranta la unidad de doctrina, casándola, anulándola y sustituyéndola por otra más ajustada a derecho.</w:t>
      </w:r>
    </w:p>
    <w:p w14:paraId="731754B0" w14:textId="77777777" w:rsidR="00A8138F" w:rsidRDefault="00A8138F" w:rsidP="00A8138F">
      <w:pPr>
        <w:pStyle w:val="TextoNormal"/>
      </w:pPr>
    </w:p>
    <w:p w14:paraId="1217B4DC" w14:textId="3282274D" w:rsidR="00A8138F" w:rsidRDefault="00A8138F" w:rsidP="00A8138F">
      <w:pPr>
        <w:pStyle w:val="TextoNormal"/>
      </w:pPr>
      <w:r w:rsidRPr="00A8138F">
        <w:rPr>
          <w:rStyle w:val="NumeroAFNegritaCaracter"/>
        </w:rPr>
        <w:t>7</w:t>
      </w:r>
      <w:r>
        <w:t>. Mediante diligencia del secretario de la Sección Tercera de 21 enero de 2025, se hizo constar haberse recibido los precedentes escritos de alegaciones quedando el presente recurso de amparo pendiente para deliberación cuando por turno corresponda.</w:t>
      </w:r>
    </w:p>
    <w:p w14:paraId="6828E514" w14:textId="77777777" w:rsidR="00A8138F" w:rsidRDefault="00A8138F" w:rsidP="00A8138F">
      <w:pPr>
        <w:pStyle w:val="TextoNormal"/>
      </w:pPr>
    </w:p>
    <w:p w14:paraId="22E149AF" w14:textId="37D47D97" w:rsidR="00A8138F" w:rsidRDefault="00A8138F" w:rsidP="00A8138F">
      <w:pPr>
        <w:pStyle w:val="TextoNormal"/>
      </w:pPr>
      <w:r w:rsidRPr="00A8138F">
        <w:rPr>
          <w:rStyle w:val="NumeroAFNegritaCaracter"/>
        </w:rPr>
        <w:t>8</w:t>
      </w:r>
      <w:r>
        <w:t>. Por providencia de 6 de febrero de 2025, se señaló para deliberación y votación de la presente sentencia el día 10 del mismo mes y año.</w:t>
      </w:r>
    </w:p>
    <w:p w14:paraId="32E4653E" w14:textId="77777777" w:rsidR="00A8138F" w:rsidRDefault="00A8138F" w:rsidP="00A8138F">
      <w:pPr>
        <w:pStyle w:val="TextoNormal"/>
      </w:pPr>
    </w:p>
    <w:p w14:paraId="66CB633E" w14:textId="77777777" w:rsidR="00A8138F" w:rsidRDefault="00A8138F" w:rsidP="00A8138F">
      <w:pPr>
        <w:pStyle w:val="TextoNormalNegritaCentrado"/>
        <w:keepNext/>
      </w:pPr>
      <w:r>
        <w:t>II. Fundamentos jurídicos</w:t>
      </w:r>
    </w:p>
    <w:p w14:paraId="2B8D1502" w14:textId="5E6BC0AC" w:rsidR="00A8138F" w:rsidRDefault="00A8138F" w:rsidP="00A8138F">
      <w:pPr>
        <w:pStyle w:val="TextoNormalNegritaCentrado"/>
        <w:keepNext/>
      </w:pPr>
    </w:p>
    <w:p w14:paraId="51819044"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73DE19FA" w14:textId="77777777" w:rsidR="00A8138F" w:rsidRDefault="00A8138F" w:rsidP="00A8138F">
      <w:pPr>
        <w:pStyle w:val="TextoNormal"/>
      </w:pPr>
    </w:p>
    <w:p w14:paraId="563E9CE3" w14:textId="77777777" w:rsidR="00A8138F" w:rsidRDefault="00A8138F" w:rsidP="00A8138F">
      <w:pPr>
        <w:pStyle w:val="TextoNormal"/>
      </w:pPr>
      <w:r>
        <w:t>El objeto del presente proceso es dilucidar si la sentencia núm. 1282/2023, de 21 de diciembre, dictada por la Sala de lo Social del Tribunal Supremo, que estimó el recurso de casación para unificación de doctrina núm. 4499-2022, interpuesto contra la sentencia núm. 541/2022, de 21 de julio, dictada por la Sala de lo Social del Tribunal Superior de Justicia de Castilla y León, ha ocasionado a la demandante una vulneración del derecho a la igualdad (art. 14 CE) al aplicar el art. 48.4 LET, en relación con el art. 177 LGSS, en la redacción dada a los mismos por el Real-Decreto-ley 6/2019.</w:t>
      </w:r>
    </w:p>
    <w:p w14:paraId="4755E241" w14:textId="77777777" w:rsidR="00A8138F" w:rsidRDefault="00A8138F" w:rsidP="00A8138F">
      <w:pPr>
        <w:pStyle w:val="TextoNormal"/>
      </w:pPr>
    </w:p>
    <w:p w14:paraId="6FFAD22C"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211CE454" w14:textId="77777777" w:rsidR="00A8138F" w:rsidRDefault="00A8138F" w:rsidP="00A8138F">
      <w:pPr>
        <w:pStyle w:val="TextoNormal"/>
      </w:pPr>
    </w:p>
    <w:p w14:paraId="0C139431"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4756E072" w14:textId="77777777" w:rsidR="00A8138F" w:rsidRDefault="00A8138F" w:rsidP="00A8138F">
      <w:pPr>
        <w:pStyle w:val="TextoNormal"/>
      </w:pPr>
    </w:p>
    <w:p w14:paraId="3DAF538A"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39095E48" w14:textId="77777777" w:rsidR="00A8138F" w:rsidRDefault="00A8138F" w:rsidP="00A8138F">
      <w:pPr>
        <w:pStyle w:val="TextoNormal"/>
      </w:pPr>
    </w:p>
    <w:p w14:paraId="6A37B41F" w14:textId="77777777" w:rsidR="00A8138F" w:rsidRDefault="00A8138F" w:rsidP="00A8138F">
      <w:pPr>
        <w:pStyle w:val="TextoNormal"/>
      </w:pPr>
      <w:r>
        <w:t>En consecuencia, debe estimarse la demanda y otorgar el amparo solicitado, con nulidad de la sentencia núm. 1282/2023, de 21 de diciembre, dictada por la Sala de lo Social del Tribunal Supremo, que estimó el recurso de casación para unificación de doctrina núm. 4499-2022 y —como indica el fiscal en sus alegaciones— declarar la firmeza de la sentencia núm. 541/2022, dictada el 21 de julio por la Sala de lo Social del Tribunal Superior de Justicia de Castilla y León al ser esta última acorde con el pronunciamiento de la STC 140/2024.</w:t>
      </w:r>
    </w:p>
    <w:p w14:paraId="5F611A84" w14:textId="77777777" w:rsidR="00A8138F" w:rsidRDefault="00A8138F" w:rsidP="00A8138F">
      <w:pPr>
        <w:pStyle w:val="TextoNormal"/>
      </w:pPr>
    </w:p>
    <w:p w14:paraId="5E8026EC" w14:textId="43F0E3F3" w:rsidR="00A8138F" w:rsidRDefault="00A8138F" w:rsidP="00A8138F">
      <w:pPr>
        <w:pStyle w:val="TextoNormal"/>
      </w:pPr>
      <w:r>
        <w:t xml:space="preserve">Como concretamos en la referida STC 140/2024, FJ 7, en tanto el legislador no lleve a cabo la consiguiente reforma normativa, en las familias monoparentales el permiso a que hace referencia el art. 48.4 LET (y en relación con él, la prestación regulada en el art. 177 </w:t>
      </w:r>
      <w:r>
        <w:lastRenderedPageBreak/>
        <w:t>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565B5B81" w14:textId="77777777" w:rsidR="00A8138F" w:rsidRDefault="00A8138F" w:rsidP="00A8138F">
      <w:pPr>
        <w:pStyle w:val="TextoNormal"/>
      </w:pPr>
    </w:p>
    <w:p w14:paraId="560FC3FC" w14:textId="77777777" w:rsidR="00A8138F" w:rsidRDefault="00A8138F" w:rsidP="00A8138F">
      <w:pPr>
        <w:pStyle w:val="TextoNormalCentrado"/>
        <w:keepNext/>
      </w:pPr>
      <w:r>
        <w:t>FALLO</w:t>
      </w:r>
    </w:p>
    <w:p w14:paraId="62AFA763" w14:textId="07B56C7E" w:rsidR="00A8138F" w:rsidRDefault="00A8138F" w:rsidP="00A8138F">
      <w:pPr>
        <w:pStyle w:val="TextoNormalCentrado"/>
        <w:keepNext/>
      </w:pPr>
    </w:p>
    <w:p w14:paraId="0A499C3C" w14:textId="77777777" w:rsidR="00A8138F" w:rsidRDefault="00A8138F" w:rsidP="00A8138F">
      <w:pPr>
        <w:pStyle w:val="TextoNormal"/>
      </w:pPr>
      <w:r>
        <w:t>En atención a todo lo expuesto, el Tribunal Constitucional, por la autoridad que le confiere la Constitución de la Nación española, ha decidido:</w:t>
      </w:r>
    </w:p>
    <w:p w14:paraId="7BD6E559" w14:textId="77777777" w:rsidR="00A8138F" w:rsidRDefault="00A8138F" w:rsidP="00A8138F">
      <w:pPr>
        <w:pStyle w:val="TextoNormal"/>
      </w:pPr>
    </w:p>
    <w:p w14:paraId="30F25B2B" w14:textId="77777777" w:rsidR="00A8138F" w:rsidRDefault="00A8138F" w:rsidP="00A8138F">
      <w:pPr>
        <w:pStyle w:val="TextoNormal"/>
      </w:pPr>
      <w:r>
        <w:t>1º Estimar la demanda presentada por doña Sandra Sagredo Ruiz por vulneración del derecho fundamental a la igualdad ante la ley sin discriminación por razón de nacimiento (art. 14 CE), con reconocimiento de tal derecho.</w:t>
      </w:r>
    </w:p>
    <w:p w14:paraId="0D25E4C7" w14:textId="77777777" w:rsidR="00A8138F" w:rsidRDefault="00A8138F" w:rsidP="00A8138F">
      <w:pPr>
        <w:pStyle w:val="TextoNormal"/>
      </w:pPr>
    </w:p>
    <w:p w14:paraId="7339FBA2" w14:textId="36CD0402" w:rsidR="00A8138F" w:rsidRDefault="00A8138F" w:rsidP="00A8138F">
      <w:pPr>
        <w:pStyle w:val="TextoNormal"/>
      </w:pPr>
      <w:r>
        <w:t>2º Declarar la nulidad de la sentencia núm. 1282/2023, dictada el 21 de diciembre por la Sala de lo Social del Tribunal Supremo, que estimó el recurso de casación para unificación de doctrina núm. 4499-2022, declarando la firmeza de la sentencia núm. 541/2022, dictada el 21 de julio por la Sala de lo Social del Tribunal Superior de Justicia de Castilla y León, que estimó el recurso de suplicación núm. 446-2022.</w:t>
      </w:r>
    </w:p>
    <w:p w14:paraId="414E604A" w14:textId="77777777" w:rsidR="00A8138F" w:rsidRDefault="00A8138F" w:rsidP="00A8138F">
      <w:pPr>
        <w:pStyle w:val="TextoNormal"/>
      </w:pPr>
    </w:p>
    <w:p w14:paraId="5F02AD97" w14:textId="77777777" w:rsidR="00A8138F" w:rsidRDefault="00A8138F" w:rsidP="00A8138F">
      <w:pPr>
        <w:pStyle w:val="TextoNormal"/>
      </w:pPr>
      <w:r>
        <w:t>Publíquese esta sentencia en el “Boletín Oficial del Estado”.</w:t>
      </w:r>
    </w:p>
    <w:p w14:paraId="61CE5BC4" w14:textId="77777777" w:rsidR="00A8138F" w:rsidRDefault="00A8138F" w:rsidP="00A8138F">
      <w:pPr>
        <w:pStyle w:val="TextoNormal"/>
      </w:pPr>
      <w:r>
        <w:t>Dada en Madrid, a diez de febrero de dos mil veinticinco.</w:t>
      </w:r>
    </w:p>
    <w:p w14:paraId="47491D15" w14:textId="5AED8253" w:rsidR="00A8138F" w:rsidRDefault="00A8138F">
      <w:pPr>
        <w:spacing w:after="160" w:line="278" w:lineRule="auto"/>
        <w:rPr>
          <w:rFonts w:ascii="Times New Roman" w:eastAsia="Times New Roman" w:hAnsi="Times New Roman" w:cs="Times New Roman"/>
          <w:sz w:val="24"/>
          <w:szCs w:val="24"/>
          <w:lang w:eastAsia="es-ES"/>
        </w:rPr>
      </w:pPr>
      <w:r>
        <w:br w:type="page"/>
      </w:r>
    </w:p>
    <w:p w14:paraId="3BE4F551" w14:textId="77777777" w:rsidR="00A8138F" w:rsidRDefault="00A8138F" w:rsidP="00A8138F">
      <w:pPr>
        <w:pStyle w:val="TtuloResolucin"/>
      </w:pPr>
      <w:bookmarkStart w:id="37" w:name="SENTENCIA_2025_35"/>
      <w:r>
        <w:lastRenderedPageBreak/>
        <w:t>SENTENCIA 35/2025, de 10 de febrero de 2025</w:t>
      </w:r>
    </w:p>
    <w:bookmarkEnd w:id="37"/>
    <w:p w14:paraId="0C1CA3F7" w14:textId="77777777" w:rsidR="00A8138F" w:rsidRDefault="00A8138F" w:rsidP="00A8138F">
      <w:pPr>
        <w:pStyle w:val="TtuloResolucin"/>
      </w:pPr>
      <w:r>
        <w:t>Sala Primera</w:t>
      </w:r>
    </w:p>
    <w:p w14:paraId="27A6DDC6" w14:textId="77777777" w:rsidR="00A8138F" w:rsidRDefault="00A8138F" w:rsidP="00A8138F">
      <w:pPr>
        <w:pStyle w:val="TtuloBOE"/>
      </w:pPr>
      <w:r>
        <w:t>(BOE núm. 69, de 21 de marzo de 2025)</w:t>
      </w:r>
    </w:p>
    <w:p w14:paraId="0B7E8C24" w14:textId="77777777" w:rsidR="00A8138F" w:rsidRDefault="00A8138F" w:rsidP="00A8138F">
      <w:pPr>
        <w:pStyle w:val="TextoNormalCentrado"/>
      </w:pPr>
      <w:r>
        <w:t>ECLI:ES:TC:2025:35</w:t>
      </w:r>
    </w:p>
    <w:p w14:paraId="7B068118" w14:textId="43937865" w:rsidR="00A8138F" w:rsidRDefault="00A8138F" w:rsidP="00A8138F">
      <w:pPr>
        <w:pStyle w:val="TextoNormalCentrado"/>
      </w:pPr>
    </w:p>
    <w:p w14:paraId="104CAD2E" w14:textId="77777777" w:rsidR="00A8138F" w:rsidRDefault="00A8138F" w:rsidP="00A8138F">
      <w:pPr>
        <w:pStyle w:val="SntesisDescriptiva"/>
      </w:pPr>
      <w:r>
        <w:t>Recurso de amparo 693-2024. Promovido por doña Leyre Garaikoetxea Izaguirre en relación con las resoluciones administrativas y judiciales que desestimaron su petición de revisión y ampliación de la prestación por nacimiento y cuidado de hijo menor, como madre biológica de familia monoparental.</w:t>
      </w:r>
    </w:p>
    <w:p w14:paraId="1F101067" w14:textId="5571F83A" w:rsidR="00A8138F" w:rsidRDefault="00A8138F" w:rsidP="00A8138F">
      <w:pPr>
        <w:pStyle w:val="SntesisDescriptiva"/>
      </w:pPr>
    </w:p>
    <w:p w14:paraId="4765DBDB"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7A244F78" w14:textId="34D4163C" w:rsidR="00A8138F" w:rsidRDefault="00A8138F" w:rsidP="00A8138F">
      <w:pPr>
        <w:pStyle w:val="SntesisAnaltica"/>
      </w:pPr>
    </w:p>
    <w:p w14:paraId="57722166" w14:textId="50782224"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64CD1165" w14:textId="77777777" w:rsidR="00A8138F" w:rsidRDefault="00A8138F" w:rsidP="00A8138F">
      <w:pPr>
        <w:pStyle w:val="Extracto"/>
      </w:pPr>
    </w:p>
    <w:p w14:paraId="5534B8B9" w14:textId="77777777" w:rsidR="00A8138F" w:rsidRDefault="00A8138F" w:rsidP="00A8138F">
      <w:pPr>
        <w:pStyle w:val="Extracto"/>
      </w:pPr>
    </w:p>
    <w:p w14:paraId="470ED5D4"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BDFBA3F" w14:textId="10FFF962" w:rsidR="00A8138F" w:rsidRDefault="00A8138F" w:rsidP="00A8138F">
      <w:pPr>
        <w:pStyle w:val="TextoNormal"/>
      </w:pPr>
    </w:p>
    <w:p w14:paraId="71CEBD6F" w14:textId="77777777" w:rsidR="00A8138F" w:rsidRDefault="00A8138F" w:rsidP="00A8138F">
      <w:pPr>
        <w:pStyle w:val="TextoNormalCentrado"/>
        <w:keepNext/>
      </w:pPr>
      <w:r>
        <w:t>EN NOMBRE DEL REY</w:t>
      </w:r>
    </w:p>
    <w:p w14:paraId="420985F5" w14:textId="0264D868" w:rsidR="00A8138F" w:rsidRDefault="00A8138F" w:rsidP="00A8138F">
      <w:pPr>
        <w:pStyle w:val="TextoNormalCentrado"/>
        <w:keepNext/>
      </w:pPr>
    </w:p>
    <w:p w14:paraId="580F0246" w14:textId="77777777" w:rsidR="00A8138F" w:rsidRDefault="00A8138F" w:rsidP="00A8138F">
      <w:pPr>
        <w:pStyle w:val="TextoNormalCentrado"/>
        <w:keepNext/>
      </w:pPr>
    </w:p>
    <w:p w14:paraId="6174A6A9" w14:textId="77777777" w:rsidR="00A8138F" w:rsidRDefault="00A8138F" w:rsidP="00A8138F">
      <w:pPr>
        <w:pStyle w:val="TextoNormal"/>
      </w:pPr>
      <w:r>
        <w:t>la siguiente</w:t>
      </w:r>
    </w:p>
    <w:p w14:paraId="33138619" w14:textId="0F0C2F06" w:rsidR="00A8138F" w:rsidRDefault="00A8138F" w:rsidP="00A8138F">
      <w:pPr>
        <w:pStyle w:val="TextoNormal"/>
      </w:pPr>
    </w:p>
    <w:p w14:paraId="194C584C" w14:textId="77777777" w:rsidR="00A8138F" w:rsidRDefault="00A8138F" w:rsidP="00A8138F">
      <w:pPr>
        <w:pStyle w:val="TextoNormalCentrado"/>
        <w:keepNext/>
      </w:pPr>
      <w:r>
        <w:t>SENTENCIA</w:t>
      </w:r>
    </w:p>
    <w:p w14:paraId="38C98E56" w14:textId="27664406" w:rsidR="00A8138F" w:rsidRDefault="00A8138F" w:rsidP="00A8138F">
      <w:pPr>
        <w:pStyle w:val="TextoNormalCentrado"/>
        <w:keepNext/>
      </w:pPr>
    </w:p>
    <w:p w14:paraId="2F0066A8" w14:textId="77777777" w:rsidR="00A8138F" w:rsidRDefault="00A8138F" w:rsidP="00A8138F">
      <w:pPr>
        <w:pStyle w:val="TextoNormal"/>
      </w:pPr>
      <w:r>
        <w:t xml:space="preserve">En el recurso de amparo núm. 693-2024, promovido por doña Leyre Garaikoetxea Izaguirre, representada por la procuradora de los tribunales doña María Esperanza Azpeitia Calvín y asistida por la letrada doña Lourdes Ruiz Ezquerra, contra las resoluciones administrativas del Instituto Nacional de la Seguridad Social (INSS) denegatorias de la solicitud de ampliación de la prestación por nacimiento y cuidado de hijo menor a la madre biológica de familia monoparental, confirmadas por la sentencia núm. 1101/2023, de 30 de noviembre, de la Sala de lo Social del Tribunal Supremo dictada en el recurso de casación para la unificación de doctrina núm. 4325-2022, interpuesto por el INSS y la Tesorería General de la Seguridad Social (TGSS) contra la sentencia núm. 1477/2022, de 12 de julio, de la Sala de lo Social del Tribunal Superior de Justicia del País Vasco dictada en el recurso de suplicación, núm. 378-2022, interpuesto a su vez por la misma entidad contra la sentencia núm. 196/2021, de 21 de mayo, recaída en procedimiento de seguridad social núm. 120-2021 del Juzgado de lo Social núm. 4 de San Sebastián, que estimó la demanda presentada por la </w:t>
      </w:r>
      <w:r>
        <w:lastRenderedPageBreak/>
        <w:t>ahora recurrente en amparo contra el INSS y la TGSS. Han intervenido el letrado de la administración de la Seguridad Social y el Ministerio Fiscal. Ha sido ponente la magistrada doña Concepción Espejel Jorquera.</w:t>
      </w:r>
    </w:p>
    <w:p w14:paraId="7115C366" w14:textId="11DEE4E9" w:rsidR="00A8138F" w:rsidRDefault="00A8138F" w:rsidP="00A8138F">
      <w:pPr>
        <w:pStyle w:val="TextoNormal"/>
      </w:pPr>
    </w:p>
    <w:p w14:paraId="0E4B85B8" w14:textId="77777777" w:rsidR="00A8138F" w:rsidRDefault="00A8138F" w:rsidP="00A8138F">
      <w:pPr>
        <w:pStyle w:val="TextoNormalNegritaCentrado"/>
        <w:keepNext/>
      </w:pPr>
      <w:r>
        <w:t>I. Antecedentes</w:t>
      </w:r>
    </w:p>
    <w:p w14:paraId="72DB3B8C" w14:textId="5F886304" w:rsidR="00A8138F" w:rsidRDefault="00A8138F" w:rsidP="00A8138F">
      <w:pPr>
        <w:pStyle w:val="TextoNormalNegritaCentrado"/>
        <w:keepNext/>
      </w:pPr>
    </w:p>
    <w:p w14:paraId="147E42FD" w14:textId="395A72AA" w:rsidR="00A8138F" w:rsidRDefault="00A8138F" w:rsidP="00A8138F">
      <w:pPr>
        <w:pStyle w:val="TextoNormal"/>
      </w:pPr>
      <w:r w:rsidRPr="00A8138F">
        <w:rPr>
          <w:rStyle w:val="NumeroAFNegritaCaracter"/>
        </w:rPr>
        <w:t>1</w:t>
      </w:r>
      <w:r>
        <w:t>. El 31 de enero de 2024, la procuradora de los Tribunales doña María Esperanza Azpeitia Calvín, bajo la dirección de la letrada de doña Lourdes Ruiz Ezquerra, interpuso recurso de amparo contra la sentencia de la Sala de lo Social del Tribunal Supremo de 30 de noviembre de 2023, estimatoria del recurso de casación para la unificación de doctrina interpuesto por el INSS frente a la sentencia de la Sala de lo Social del Tribunal Superior de Justicia del País Vasco de fecha 12 de julio de 2022, que confirma las resoluciones administrativas denegatorias de la ampliación del permiso por nacimiento y cuidado de hijo solicitado por la demandante en familia monoparental.</w:t>
      </w:r>
    </w:p>
    <w:p w14:paraId="03675594" w14:textId="77777777" w:rsidR="00A8138F" w:rsidRDefault="00A8138F" w:rsidP="00A8138F">
      <w:pPr>
        <w:pStyle w:val="TextoNormal"/>
      </w:pPr>
    </w:p>
    <w:p w14:paraId="7F89EC48" w14:textId="77777777" w:rsidR="00A8138F" w:rsidRDefault="00A8138F" w:rsidP="00A8138F">
      <w:pPr>
        <w:pStyle w:val="TextoNormal"/>
      </w:pPr>
      <w:r w:rsidRPr="00A8138F">
        <w:rPr>
          <w:rStyle w:val="NumeroAFNegritaCaracter"/>
        </w:rPr>
        <w:t>2</w:t>
      </w:r>
      <w:r>
        <w:t>. El presente recurso de amparo trae causa de los siguientes antecedentes:</w:t>
      </w:r>
    </w:p>
    <w:p w14:paraId="06245F08" w14:textId="77777777" w:rsidR="00A8138F" w:rsidRDefault="00A8138F" w:rsidP="00A8138F">
      <w:pPr>
        <w:pStyle w:val="TextoNormal"/>
      </w:pPr>
    </w:p>
    <w:p w14:paraId="7E5DCB14" w14:textId="77777777" w:rsidR="00A8138F" w:rsidRDefault="00A8138F" w:rsidP="00A8138F">
      <w:pPr>
        <w:pStyle w:val="TextoNormal"/>
      </w:pPr>
      <w:r>
        <w:t>a) A la recurrente en amparo, madre biológica de un menor nacido el 6 de marzo de 2020, de estado civil soltera y que constituye una familia monoparental al ser la única progenitora en el registro civil, le fue reconocido en resolución de la Dirección Provincial del INSS de Guipúzcoa una prestación por nacimiento y cuidado del menor de dieciséis semanas de duración para el periodo comprendido del 13 de marzo a 25 de junio 2020, con la prestación correspondiente del 100 por 100 de la base reguladora diaria reconocida. La recurrente dirigió escrito a la entidad gestora de la Seguridad Social el 13 de diciembre 2020, con solicitud de ampliación del permiso, en el sentido de sumar a las semanas que le fueron reconocidas como madre biológica, las que corresponderían al progenitor distinto de la madre, con invocación del art. 48.4 del texto refundido de la Ley del estatuto de los trabajadores aprobado por el Real Decreto Legislativo 2/2015, de 23 de octubre (LET), alegando que dicha ampliación que solicita de doce semanas más tiene como finalidad el cuidado del menor en igualdad de condiciones que las familias biparentales. Su pretensión fue denegada por resolución administrativa tácita e interpuesta reclamación previa, fue desestimada en resolución del INSS de 14 de enero de 2021, fundamentada en que la prestación por maternidad ha sido resuelta conforme a la legislación vigente, no estando prevista en la misma la prestación de paternidad al mismo progenitor en caso de familias monoparentales, como es su caso. La recurrente disfrutó de un permiso de excedencia por cuidado del menor de ocho semanas de duración en el periodo comprendido desde el 10 de diciembre 2020 al 4 de febrero de 2021.</w:t>
      </w:r>
    </w:p>
    <w:p w14:paraId="3B03F6A6" w14:textId="77777777" w:rsidR="00A8138F" w:rsidRDefault="00A8138F" w:rsidP="00A8138F">
      <w:pPr>
        <w:pStyle w:val="TextoNormal"/>
      </w:pPr>
    </w:p>
    <w:p w14:paraId="5E569286" w14:textId="77777777" w:rsidR="00A8138F" w:rsidRDefault="00A8138F" w:rsidP="00A8138F">
      <w:pPr>
        <w:pStyle w:val="TextoNormal"/>
      </w:pPr>
      <w:r>
        <w:t>b) La recurrente en amparo interpuso demanda ante los juzgados de lo social de San Sebastián, en la que alegó haber sufrido discriminación frente a la ley, proscrita en el art. 14 CE, al negarle el INSS la ampliación del permiso solicitado.</w:t>
      </w:r>
    </w:p>
    <w:p w14:paraId="4801E061" w14:textId="77777777" w:rsidR="00A8138F" w:rsidRDefault="00A8138F" w:rsidP="00A8138F">
      <w:pPr>
        <w:pStyle w:val="TextoNormal"/>
      </w:pPr>
    </w:p>
    <w:p w14:paraId="104115E8" w14:textId="77777777" w:rsidR="00A8138F" w:rsidRDefault="00A8138F" w:rsidP="00A8138F">
      <w:pPr>
        <w:pStyle w:val="TextoNormal"/>
      </w:pPr>
      <w:r>
        <w:t xml:space="preserve">Tramitado el procedimiento especial de seguridad social núm. 120-2021 en el Juzgado de lo Social núm. 4 de San Sebastián, recayó sentencia de fecha 21 de mayo de 2021, estimatoria de la demanda con declaración del derecho de la madre biológica a la ampliación del permiso en ocho semanas adicionales, que habrían correspondido al otro progenitor, que </w:t>
      </w:r>
      <w:r>
        <w:lastRenderedPageBreak/>
        <w:t>se sumarían a las dieciséis semanas ya reconocidas a la madre y, con ello, la condena al INSS y a la TGSS al abono de la prestación correspondiente.</w:t>
      </w:r>
    </w:p>
    <w:p w14:paraId="02B51041" w14:textId="77777777" w:rsidR="00A8138F" w:rsidRDefault="00A8138F" w:rsidP="00A8138F">
      <w:pPr>
        <w:pStyle w:val="TextoNormal"/>
      </w:pPr>
    </w:p>
    <w:p w14:paraId="74BCBC2A" w14:textId="77777777" w:rsidR="00A8138F" w:rsidRDefault="00A8138F" w:rsidP="00A8138F">
      <w:pPr>
        <w:pStyle w:val="TextoNormal"/>
      </w:pPr>
      <w:r>
        <w:t>c) La sentencia del juzgado de lo social fue recurrida en suplicación por ambas partes, demandante y entidad gestora de la seguridad social, recayendo sentencia de la Sala de lo Social del Tribunal Superior de Justicia del País Vasco de fecha 12 de julio de 2022, la cual desestimó íntegramente el recurso del INSS y estimó el de la demandante, concediéndole cuatro semanas más (un total de doce semanas adicionales al permiso ya reconocido a la madre).</w:t>
      </w:r>
    </w:p>
    <w:p w14:paraId="0EE87684" w14:textId="77777777" w:rsidR="00A8138F" w:rsidRDefault="00A8138F" w:rsidP="00A8138F">
      <w:pPr>
        <w:pStyle w:val="TextoNormal"/>
      </w:pPr>
    </w:p>
    <w:p w14:paraId="4D98C37C" w14:textId="77777777" w:rsidR="00A8138F" w:rsidRDefault="00A8138F" w:rsidP="00A8138F">
      <w:pPr>
        <w:pStyle w:val="TextoNormal"/>
      </w:pPr>
      <w:r>
        <w:t>La Sala reitera el criterio seguido por la propia Sala, entre otras, en sentencia de 8 de febrero de 2022, que declaró el derecho de la demandante de disfrutar de doce semanas adicionales para el cuidado del menor.</w:t>
      </w:r>
    </w:p>
    <w:p w14:paraId="535CD58C" w14:textId="77777777" w:rsidR="00A8138F" w:rsidRDefault="00A8138F" w:rsidP="00A8138F">
      <w:pPr>
        <w:pStyle w:val="TextoNormal"/>
      </w:pPr>
    </w:p>
    <w:p w14:paraId="0E7587D8" w14:textId="77777777" w:rsidR="00A8138F" w:rsidRDefault="00A8138F" w:rsidP="00A8138F">
      <w:pPr>
        <w:pStyle w:val="TextoNormal"/>
      </w:pPr>
      <w:r>
        <w:t>d) Formalizado contra la anterior sentencia recurso de casación en unificación de doctrina por el INSS y la TGSS, fue estimado en la sentencia núm. 1101/2023, de 30 de noviembre, de la Sala de lo Social del Tribunal Supremo, que casó y anuló la sentencia recurrida y, resolviendo el debate formulado en suplicación, estimó el recurso de tal clase con revocación de la sentencia dictada en la instancia, desestimación de la demanda y absolución de la parte demandada.</w:t>
      </w:r>
    </w:p>
    <w:p w14:paraId="00F75963" w14:textId="77777777" w:rsidR="00A8138F" w:rsidRDefault="00A8138F" w:rsidP="00A8138F">
      <w:pPr>
        <w:pStyle w:val="TextoNormal"/>
      </w:pPr>
    </w:p>
    <w:p w14:paraId="055832B5" w14:textId="34864910" w:rsidR="00A8138F" w:rsidRDefault="00A8138F" w:rsidP="00A8138F">
      <w:pPr>
        <w:pStyle w:val="TextoNormal"/>
      </w:pPr>
      <w:r>
        <w:t>La sentencia de casación aplica la doctrina sentada en la sentencia del Pleno de la misma Sala de 2 de marzo de 2023, que declaró que la función de jueces y tribunales es la interpretación y aplicación de la norma y no la creación del derecho; que lo pretendido por la actora en la instancia solo le corresponde al legislador, no poder ser suplida su función por resoluciones judiciales, ya que supondría modificar el régimen prestacional de la Seguridad Social y la regulación de la suspensión del contrato de trabajo por causas no previstas en la ley. Razona la Sala del Alto Tribunal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Por último, considera la Sala que la perspectiva de género resulta determinante porque lo que se pide se sitúa en el ámbito de la creación del derecho, y en el caso se estaría ante un eventual déficit de protección querido y consentido por el legislador. Resuelve, en definitiva, aplicando la misma doctrina que en casos anteriormente resueltos y sustancialmente iguales.</w:t>
      </w:r>
    </w:p>
    <w:p w14:paraId="09A64021" w14:textId="77777777" w:rsidR="00A8138F" w:rsidRDefault="00A8138F" w:rsidP="00A8138F">
      <w:pPr>
        <w:pStyle w:val="TextoNormal"/>
      </w:pPr>
    </w:p>
    <w:p w14:paraId="5ECA0262" w14:textId="77777777" w:rsidR="00A8138F" w:rsidRDefault="00A8138F" w:rsidP="00A8138F">
      <w:pPr>
        <w:pStyle w:val="TextoNormal"/>
      </w:pPr>
      <w:r w:rsidRPr="00A8138F">
        <w:rPr>
          <w:rStyle w:val="NumeroAFNegritaCaracter"/>
        </w:rPr>
        <w:t>3</w:t>
      </w:r>
      <w:r>
        <w:t xml:space="preserve">. En la demanda de amparo la recurrente invoca la vulneración del derecho de igualdad del art. 14 CE en distintas vertientes: (a) por trato discriminatorio directo entre madres biológicas de familias monoparentales y de familias biparentales, con lesión del art. 14 CE en relación con el art. 39 CE; (b) discriminación directa de la recurrente en amparo por circunstancias personales y familiares por razón de nacimiento, pues se está discriminando al menor nacido en una familia monoparental, al contar con menor número de semanas de prestación (se mantiene en dieciséis semanas), produciendo un resultado desproporcionado al reducir hasta la mitad los cuidados de los menores de doce meses; y (c) por discriminación </w:t>
      </w:r>
      <w:r>
        <w:lastRenderedPageBreak/>
        <w:t>indirecta por razón de sexo, por constituir una familia monoparental que en su mayoría el progenitor es una mujer, lo que les perjudica una justificación objetiva y razonable.</w:t>
      </w:r>
    </w:p>
    <w:p w14:paraId="1A0B4665" w14:textId="77777777" w:rsidR="00A8138F" w:rsidRDefault="00A8138F" w:rsidP="00A8138F">
      <w:pPr>
        <w:pStyle w:val="TextoNormal"/>
      </w:pPr>
    </w:p>
    <w:p w14:paraId="223D9BD7" w14:textId="43689066" w:rsidR="00A8138F" w:rsidRDefault="00A8138F" w:rsidP="00A8138F">
      <w:pPr>
        <w:pStyle w:val="TextoNormal"/>
      </w:pPr>
      <w:r>
        <w:t>Afirma la demandante que las resoluciones recurridas del INSS denegatorias de la ampliación, así como las sentencias del Juzgado de lo Social núm. 4 de San Sebastián, de la Sala de lo Social del Tribunal Superior de Justicia del País Vasco y Sala de lo Social del Tribunal Supremo, le han dado un trato peyorativo al no reconocerle la ampliación, provocando un daño desproporcionado en su deber constitucional de cuidado y en el derecho a la protección de su hijo recién nacido. Con amparo en los acuerdos internacionales en la materia, afirma que ha sido vulnerado el art. 14 CE, en relación con el art. 39, apartados 1, 3 y 4 CE.</w:t>
      </w:r>
    </w:p>
    <w:p w14:paraId="2EF102FB" w14:textId="77777777" w:rsidR="00A8138F" w:rsidRDefault="00A8138F" w:rsidP="00A8138F">
      <w:pPr>
        <w:pStyle w:val="TextoNormal"/>
      </w:pPr>
    </w:p>
    <w:p w14:paraId="4E536016" w14:textId="77777777" w:rsidR="00A8138F" w:rsidRDefault="00A8138F" w:rsidP="00A8138F">
      <w:pPr>
        <w:pStyle w:val="TextoNormal"/>
      </w:pPr>
      <w:r w:rsidRPr="00A8138F">
        <w:rPr>
          <w:rStyle w:val="NumeroAFNegritaCaracter"/>
        </w:rPr>
        <w:t>4</w:t>
      </w:r>
      <w:r>
        <w:t>. Por providencia de 9 de septiembre de 2024, la Sala Primera, Sección Primera, de este Tribunal Constitucional acordó admitir a trámite la demanda de amparo, al apreciar que concurre en el mismo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04EF7642" w14:textId="77777777" w:rsidR="00A8138F" w:rsidRDefault="00A8138F" w:rsidP="00A8138F">
      <w:pPr>
        <w:pStyle w:val="TextoNormal"/>
      </w:pPr>
    </w:p>
    <w:p w14:paraId="3E0FCF66" w14:textId="5AFC6010" w:rsidR="00A8138F" w:rsidRDefault="00A8138F" w:rsidP="00A8138F">
      <w:pPr>
        <w:pStyle w:val="TextoNormal"/>
      </w:pPr>
      <w:r>
        <w:t>En aplicación de lo previsto en el art. 51 LOTC, dispuso requerir a la Sala de lo Social del Tribunal Supremo y a la Sala de lo Social del Tribunal Superior de Justicia del País Vasco, a fin de que en el plazo que no exceda de diez días, remitan certificación o fotocopia adverada de las actuaciones correspondientes, del recurso de casación para la unificación de doctrina núm. 4325-2022 y del recurso de suplicación núm. 378-2022, respectivamente. Asimismo, acordó dirigir comunicación al Juzgado de lo Social núm. 4 de San Sebastián a fin de que en el mismo plazo remita certificación o fotocopia adverada de las actuaciones correspondientes a los autos núm. 120-2021, emplazando a quienes hubieran sido parte en el procedimiento, excepto la parte recurrente en amparo, para que, si lo desean, puedan comparecer en el presente recurso.</w:t>
      </w:r>
    </w:p>
    <w:p w14:paraId="17C8E78E" w14:textId="77777777" w:rsidR="00A8138F" w:rsidRDefault="00A8138F" w:rsidP="00A8138F">
      <w:pPr>
        <w:pStyle w:val="TextoNormal"/>
      </w:pPr>
    </w:p>
    <w:p w14:paraId="5D1F40E2" w14:textId="13090E7F" w:rsidR="00A8138F" w:rsidRDefault="00A8138F" w:rsidP="00A8138F">
      <w:pPr>
        <w:pStyle w:val="TextoNormal"/>
      </w:pPr>
      <w:r w:rsidRPr="00A8138F">
        <w:rPr>
          <w:rStyle w:val="NumeroAFNegritaCaracter"/>
        </w:rPr>
        <w:t>5</w:t>
      </w:r>
      <w:r>
        <w:t>. Mediante escrito presentado el día 3 de octubre de 2024, el letrado de la administración de la Seguridad Social, actuando en nombre y representación del INSS y la TGSS, interesó su personación en el presente recurso de amparo.</w:t>
      </w:r>
    </w:p>
    <w:p w14:paraId="4185A730" w14:textId="77777777" w:rsidR="00A8138F" w:rsidRDefault="00A8138F" w:rsidP="00A8138F">
      <w:pPr>
        <w:pStyle w:val="TextoNormal"/>
      </w:pPr>
    </w:p>
    <w:p w14:paraId="2025EB86" w14:textId="011E3509" w:rsidR="00A8138F" w:rsidRDefault="00A8138F" w:rsidP="00A8138F">
      <w:pPr>
        <w:pStyle w:val="TextoNormal"/>
      </w:pPr>
      <w:r w:rsidRPr="00A8138F">
        <w:rPr>
          <w:rStyle w:val="NumeroAFNegritaCaracter"/>
        </w:rPr>
        <w:t>6</w:t>
      </w:r>
      <w:r>
        <w:t>. Por diligencia de ordenación de 21 de octubre de 2024, se tuvieron por recibidos los testimonios de actuaciones remitidos por los órganos judiciales y el escrito de personación del letrado de la administración de seguridad social, y se acordó: (i) tener por personada y parte en el presente procedimiento al letrado de la administración de la Seguridad Social, en nombre y representación del INSS y la TGSS; y (ii) de conformidad con lo establecido en el art. 52.1 LOTC, dar vista de las actuaciones en la sede electrónica de este tribunal a la recurrente, al Ministerio Fiscal y a las partes personadas, por plazo común de veinte días, para que pudieran presentar las alegaciones que estimaran pertinentes.</w:t>
      </w:r>
    </w:p>
    <w:p w14:paraId="3B40E874" w14:textId="77777777" w:rsidR="00A8138F" w:rsidRDefault="00A8138F" w:rsidP="00A8138F">
      <w:pPr>
        <w:pStyle w:val="TextoNormal"/>
      </w:pPr>
    </w:p>
    <w:p w14:paraId="7881E4A2" w14:textId="1CE45752" w:rsidR="00A8138F" w:rsidRDefault="00A8138F" w:rsidP="00A8138F">
      <w:pPr>
        <w:pStyle w:val="TextoNormal"/>
      </w:pPr>
      <w:r w:rsidRPr="00A8138F">
        <w:rPr>
          <w:rStyle w:val="NumeroAFNegritaCaracter"/>
        </w:rPr>
        <w:t>7</w:t>
      </w:r>
      <w:r>
        <w:t>. La recurrente presentó escrito el 20 de noviembre de 2024, en el que ratificó la pretensión formulada en la demanda de amparo y dio por reproducidos los argumentos vertidos en ella sobre el fondo del asunto, suplicando se dicte sentencia otorgando el amparo solicitado.</w:t>
      </w:r>
    </w:p>
    <w:p w14:paraId="590AAE88" w14:textId="77777777" w:rsidR="00A8138F" w:rsidRDefault="00A8138F" w:rsidP="00A8138F">
      <w:pPr>
        <w:pStyle w:val="TextoNormal"/>
      </w:pPr>
    </w:p>
    <w:p w14:paraId="3C0E729E" w14:textId="77777777" w:rsidR="00A8138F" w:rsidRDefault="00A8138F" w:rsidP="00A8138F">
      <w:pPr>
        <w:pStyle w:val="TextoNormal"/>
      </w:pPr>
      <w:r w:rsidRPr="00A8138F">
        <w:rPr>
          <w:rStyle w:val="NumeroAFNegritaCaracter"/>
        </w:rPr>
        <w:t>8</w:t>
      </w:r>
      <w:r>
        <w:t>. A través de escrito presentado el 15 de noviembre de 2024, el letrado de la administración de la Seguridad Social formuló alegaciones en representación del INSS y la TGSS, en el que postuló la desestimación del recurso de amparo sobre la base de los siguientes argumentos sintéticamente expuestos:</w:t>
      </w:r>
    </w:p>
    <w:p w14:paraId="4156F4CF" w14:textId="77777777" w:rsidR="00A8138F" w:rsidRDefault="00A8138F" w:rsidP="00A8138F">
      <w:pPr>
        <w:pStyle w:val="TextoNormal"/>
      </w:pPr>
    </w:p>
    <w:p w14:paraId="6D0FD1BB" w14:textId="77777777" w:rsidR="00A8138F" w:rsidRDefault="00A8138F" w:rsidP="00A8138F">
      <w:pPr>
        <w:pStyle w:val="TextoNormal"/>
      </w:pPr>
      <w:r>
        <w:t>a) Tras identificar la normativa nacional que regula el permiso por nacimiento y cuidado del menor: arts. 177 y 178 del Texto Refundido de la Ley General de Seguridad Social (LGSS), aprobada por Real Decreto Legislativo 8/2015 de 30 de octubre, y art. 48.4 del Real Decreto legislativo 2/2015 de 23 de octubre, por el que se aprueba el texto refundido de la Ley del estatuto de los trabajadores (LET), así como el art. 49 a) b) y c) del Estatuto básico del empleado público, de idéntico contenido respecto al permiso vinculado a la suspensión del contrato por nacimiento y cuidado del menor, en su redacción dada por el Real Decreto-ley 6/2019, añade la doctrina constitucional y de otros tribunales, para centrarse en el examen de la cuestión de fondo de este recurso y negar la existencia en las resoluciones impugnadas denegatorias de la ampliación, una discriminación del menor nacido en familia monoparental.</w:t>
      </w:r>
    </w:p>
    <w:p w14:paraId="4BA12DF7" w14:textId="77777777" w:rsidR="00A8138F" w:rsidRDefault="00A8138F" w:rsidP="00A8138F">
      <w:pPr>
        <w:pStyle w:val="TextoNormal"/>
      </w:pPr>
    </w:p>
    <w:p w14:paraId="31CEAAE9" w14:textId="77777777" w:rsidR="00A8138F" w:rsidRDefault="00A8138F" w:rsidP="00A8138F">
      <w:pPr>
        <w:pStyle w:val="TextoNormal"/>
      </w:pPr>
      <w:r>
        <w:t>b) No obstante, teniendo en cuenta la reciente STC 140/2024, de 6 de noviembre, que estimó la cuestión de inconstitucionalidad núm. 6694-2023, que ha declarado inconstitucional el art. 48.4 LET y el art. 177 LGSS, con el alcance que señala en su fundamento jurídico 7, se limita a fin de evitar reiteraciones, a las alegaciones que ha realizado como parte demandada a lo largo de todo el procedimiento. Añade que, para el disfrute del permiso, se supeditara al cumplimiento del resto de los requisitos legalmente establecidos para el percibo de la prestación, entre los que se incluye haber hecho efectivo el descanso sin prestar servicios por cuenta ajena, ni percibir las correspondientes retribuciones.</w:t>
      </w:r>
    </w:p>
    <w:p w14:paraId="1388A090" w14:textId="77777777" w:rsidR="00A8138F" w:rsidRDefault="00A8138F" w:rsidP="00A8138F">
      <w:pPr>
        <w:pStyle w:val="TextoNormal"/>
      </w:pPr>
    </w:p>
    <w:p w14:paraId="0610698A" w14:textId="5F0ECC63" w:rsidR="00A8138F" w:rsidRDefault="00A8138F" w:rsidP="00A8138F">
      <w:pPr>
        <w:pStyle w:val="TextoNormal"/>
      </w:pPr>
      <w:r>
        <w:t>c) Solicita la desestimación del recurso de amparo al entender ajustadas a Derecho las resoluciones administrativas dictadas, así como la sentencia dictada en casación. No obstante, en caso de estimarse el recurso de amparo, interesa que la estimación sea parcial y que la sentencia fije que el aumento de la duración del permiso laboral y la correlativa prestación de seguridad social, tras el agotamiento de las primeras dieciséis semanas, sea como máximo de ocho semanas y no de doce como se pide en la demanda, haciéndolo coincidir con el periodo de excedencia disfrutado por la recurrente entre el 10 de diciembre de 2020 y el 4 de febrero de 2021.</w:t>
      </w:r>
    </w:p>
    <w:p w14:paraId="5670CCD9" w14:textId="77777777" w:rsidR="00A8138F" w:rsidRDefault="00A8138F" w:rsidP="00A8138F">
      <w:pPr>
        <w:pStyle w:val="TextoNormal"/>
      </w:pPr>
    </w:p>
    <w:p w14:paraId="2C5CF5A5" w14:textId="77777777" w:rsidR="00A8138F" w:rsidRDefault="00A8138F" w:rsidP="00A8138F">
      <w:pPr>
        <w:pStyle w:val="TextoNormal"/>
      </w:pPr>
      <w:r w:rsidRPr="00A8138F">
        <w:rPr>
          <w:rStyle w:val="NumeroAFNegritaCaracter"/>
        </w:rPr>
        <w:t>9</w:t>
      </w:r>
      <w:r>
        <w:t>. El fiscal ante el Tribunal Constitucional presentó escrito el 11 de diciembre de 2024, en el que expone las alegaciones por las que interesa la estimación parcial del recurso de amparo.</w:t>
      </w:r>
    </w:p>
    <w:p w14:paraId="484D7EB2" w14:textId="77777777" w:rsidR="00A8138F" w:rsidRDefault="00A8138F" w:rsidP="00A8138F">
      <w:pPr>
        <w:pStyle w:val="TextoNormal"/>
      </w:pPr>
    </w:p>
    <w:p w14:paraId="71E77892" w14:textId="77777777" w:rsidR="00A8138F" w:rsidRDefault="00A8138F" w:rsidP="00A8138F">
      <w:pPr>
        <w:pStyle w:val="TextoNormal"/>
      </w:pPr>
      <w:r>
        <w:t xml:space="preserve">Tras el resumen de los antecedentes más relevantes del procedimiento laboral, centra el objeto de la demanda de amparo en la vulneración del art. 14 CE en relación con los arts. 39 y 9.2 CE. Advierte que la cuestión planteada ha sido resuelta en la STC 140/2024, de 6 de noviembre, dictada en la cuestión de inconstitucionalidad núm. 6694-2023. Considera el fiscal que no es necesario hacer referencia a la doctrina general sobre el derecho a la igualdad y a la no discriminación por razón de sexo, habida cuenta que en la citada STC 140/2024, de 6 de noviembre, se ha establecido una doctrina constitucional específica para la cuestión debatida en el presente recurso de amparo, declarando inconstitucionales los arts. </w:t>
      </w:r>
      <w:r>
        <w:lastRenderedPageBreak/>
        <w:t>48.4 LET y 177 LGSS, precisamente por la vulneración del derecho reconocido en el art. 14 CE en relación con el art. 39 CE, que se alega en el presente recurso.</w:t>
      </w:r>
    </w:p>
    <w:p w14:paraId="7A61009A" w14:textId="77777777" w:rsidR="00A8138F" w:rsidRDefault="00A8138F" w:rsidP="00A8138F">
      <w:pPr>
        <w:pStyle w:val="TextoNormal"/>
      </w:pPr>
    </w:p>
    <w:p w14:paraId="7DBECAE2" w14:textId="77777777" w:rsidR="00A8138F" w:rsidRDefault="00A8138F" w:rsidP="00A8138F">
      <w:pPr>
        <w:pStyle w:val="TextoNormal"/>
      </w:pPr>
      <w:r>
        <w:t>A su juicio es notorio que, tal y como resulta de la remisión del fallo al fundamento jurídico 7 de la propia sentencia, el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 En su virtud, adapta su posición de conformidad con la interpretación constitucional de dicha sentencia.</w:t>
      </w:r>
    </w:p>
    <w:p w14:paraId="3D8E703C" w14:textId="77777777" w:rsidR="00A8138F" w:rsidRDefault="00A8138F" w:rsidP="00A8138F">
      <w:pPr>
        <w:pStyle w:val="TextoNormal"/>
      </w:pPr>
    </w:p>
    <w:p w14:paraId="2587ADAD" w14:textId="77777777" w:rsidR="00A8138F" w:rsidRDefault="00A8138F" w:rsidP="00A8138F">
      <w:pPr>
        <w:pStyle w:val="TextoNormal"/>
      </w:pPr>
      <w:r>
        <w:t>En aplicación de la doctrina fijada en la STC 140/2024, sostiene el fiscal que procede la estimación del recurso, pues al aplicar los mencionados artículos, recientemente declarados inconstitucionales, la sentencia del Tribunal Supremo impugnada ha causado la discriminación prohibida por el art. 14 CE, tanto de la demandante de amparo por constituir a una familia monoparental (por razón del modelo de familia) como del hijo por razón de nacimiento, al haber nacido en una familia monoparental.</w:t>
      </w:r>
    </w:p>
    <w:p w14:paraId="6B577D58" w14:textId="77777777" w:rsidR="00A8138F" w:rsidRDefault="00A8138F" w:rsidP="00A8138F">
      <w:pPr>
        <w:pStyle w:val="TextoNormal"/>
      </w:pPr>
    </w:p>
    <w:p w14:paraId="44538B58" w14:textId="77777777" w:rsidR="00A8138F" w:rsidRDefault="00A8138F" w:rsidP="00A8138F">
      <w:pPr>
        <w:pStyle w:val="TextoNormal"/>
      </w:pPr>
      <w:r>
        <w:t>Considera 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14:paraId="5A3F5295" w14:textId="77777777" w:rsidR="00A8138F" w:rsidRDefault="00A8138F" w:rsidP="00A8138F">
      <w:pPr>
        <w:pStyle w:val="TextoNormal"/>
      </w:pPr>
    </w:p>
    <w:p w14:paraId="1559A2E1" w14:textId="77777777" w:rsidR="00A8138F" w:rsidRDefault="00A8138F" w:rsidP="00A8138F">
      <w:pPr>
        <w:pStyle w:val="TextoNormal"/>
      </w:pPr>
      <w:r>
        <w:t>Señala que al ser la fecha del hecho causante de la prestación el 6 de marzo de 2020, los plazos reseñados en la STC 140/2024 deben ajustarse al régimen jurídico aplicable en dicho momento. De acuerdo con la disposición transitoria decimotercera del Estatuto de los Trabajadores, modificada por Real Decreto-ley 6/2019, de 1 de marzo, la prestación prevista para el otro progenitor es de “doce semanas, de las cuales las cuatro primeras deberá disfrutarlas de forma ininterrumpida inmediatamente tras el parto”, tal y como efectivamente venía planteándose tanto por la propia parte actora como por los sucesivos órganos judiciales intervinientes en el pleito del que trae causa el presente recurso de amparo.</w:t>
      </w:r>
    </w:p>
    <w:p w14:paraId="2D131D8D" w14:textId="77777777" w:rsidR="00A8138F" w:rsidRDefault="00A8138F" w:rsidP="00A8138F">
      <w:pPr>
        <w:pStyle w:val="TextoNormal"/>
      </w:pPr>
    </w:p>
    <w:p w14:paraId="7AC42274" w14:textId="77777777" w:rsidR="00A8138F" w:rsidRDefault="00A8138F" w:rsidP="00A8138F">
      <w:pPr>
        <w:pStyle w:val="TextoNormal"/>
      </w:pPr>
      <w:r>
        <w:t>En consecuencia, nuevamente con arreglo al criterio adoptado en la citada STC 140/2024, la reparación del derecho a la igualdad de la recurrente no incluye las cuatro primeras semanas, por las razones que la propia sentencia expone, lo que en definitiva conduce a la conclusión de que dicha reparación ha de concretarse en el disfrute de ocho semanas de prestación adicionales.</w:t>
      </w:r>
    </w:p>
    <w:p w14:paraId="05557E7A" w14:textId="77777777" w:rsidR="00A8138F" w:rsidRDefault="00A8138F" w:rsidP="00A8138F">
      <w:pPr>
        <w:pStyle w:val="TextoNormal"/>
      </w:pPr>
    </w:p>
    <w:p w14:paraId="5FD04DE9" w14:textId="77777777" w:rsidR="00A8138F" w:rsidRDefault="00A8138F" w:rsidP="00A8138F">
      <w:pPr>
        <w:pStyle w:val="TextoNormal"/>
      </w:pPr>
      <w:r>
        <w:t>Por último, considera que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LGSS, que articulaba la fundamentación jurídica de las sentencias del juzgado de lo social y del Tribunal Superior de Justicia del País Vasco, es coincidente en lo esencial con la STC 140/2024, de 6 de noviembre, por lo que ninguna de aquellas resoluciones judiciales ha vulnerado, en los términos definidos y delimitados por esta úl</w:t>
      </w:r>
      <w:r>
        <w:lastRenderedPageBreak/>
        <w:t>tima, el derecho fundamental a la igualdad y la no discriminación de la demandante de amparo y su hijo. Aduce que ambas sentencias son respetuosas con el contenido del derecho fundamental como lo ha concretado este tribunal, por lo que procede anular la resolución denegatoria del INSS. No obstante, tratándose las cuestiones planteadas cuestiones de legalidad ordinaria y al reconocer la sentencia del Tribunal Superior de Justicia del País Vasco una prestación en tiempo de disfrute superior al que, como se ha señalado resulta de la aplicación de la doctrina fijada por la STC 140/2024, FJ 7, que serían ocho y no doce semanas adicionales, entiende que no debe declararse su firmeza.</w:t>
      </w:r>
    </w:p>
    <w:p w14:paraId="0C0D8C28" w14:textId="77777777" w:rsidR="00A8138F" w:rsidRDefault="00A8138F" w:rsidP="00A8138F">
      <w:pPr>
        <w:pStyle w:val="TextoNormal"/>
      </w:pPr>
    </w:p>
    <w:p w14:paraId="10E71CF8" w14:textId="05EC2FF2" w:rsidR="00A8138F" w:rsidRDefault="00A8138F" w:rsidP="00A8138F">
      <w:pPr>
        <w:pStyle w:val="TextoNormal"/>
      </w:pPr>
      <w:r>
        <w:t>El Ministerio Fiscal considera que procede estimar parcialmente el recurso, declarando vulnerado el derecho de la recurrente y de su hijo a la igualdad y a la no discriminación por razón de nacimiento en relación con la protección integral de los hijos, con independencia de su filiación y conforme a lo previsto en los convenios internacionales que velan por sus derechos (art. 14 CE en relación con el art. 39 CE). Asimismo, interesa el íntegro restablecimiento en el ejercicio del derecho vulnerado y, a tal fin, que se acuerde la nulidad de la sentencia núm. 1101/2023, de 30 de noviembre, de la Sala de lo Social del Tribunal Supremo, dictada en el recurso de casación para la unificación de doctrina núm. 4325-2022, y la retroacción de las actuaciones para que por dicha Sala se dicte una nueva resolución respetando el derecho fundamental vulnerado.</w:t>
      </w:r>
    </w:p>
    <w:p w14:paraId="59990EA2" w14:textId="77777777" w:rsidR="00A8138F" w:rsidRDefault="00A8138F" w:rsidP="00A8138F">
      <w:pPr>
        <w:pStyle w:val="TextoNormal"/>
      </w:pPr>
    </w:p>
    <w:p w14:paraId="467863DE" w14:textId="139C138B" w:rsidR="00A8138F" w:rsidRDefault="00A8138F" w:rsidP="00A8138F">
      <w:pPr>
        <w:pStyle w:val="TextoNormal"/>
      </w:pPr>
      <w:r w:rsidRPr="00A8138F">
        <w:rPr>
          <w:rStyle w:val="NumeroAFNegritaCaracter"/>
        </w:rPr>
        <w:t>10</w:t>
      </w:r>
      <w:r>
        <w:t>. Por providencia de 6 de febrero de 2025, se señaló para deliberación y votación del presente recurso el día 10 del mismo mes y año.</w:t>
      </w:r>
    </w:p>
    <w:p w14:paraId="3D5AF3DD" w14:textId="77777777" w:rsidR="00A8138F" w:rsidRDefault="00A8138F" w:rsidP="00A8138F">
      <w:pPr>
        <w:pStyle w:val="TextoNormal"/>
      </w:pPr>
    </w:p>
    <w:p w14:paraId="2D5C2D70" w14:textId="77777777" w:rsidR="00A8138F" w:rsidRDefault="00A8138F" w:rsidP="00A8138F">
      <w:pPr>
        <w:pStyle w:val="TextoNormalNegritaCentrado"/>
        <w:keepNext/>
      </w:pPr>
      <w:r>
        <w:t>II. Fundamentos jurídicos</w:t>
      </w:r>
    </w:p>
    <w:p w14:paraId="69314527" w14:textId="2236DA29" w:rsidR="00A8138F" w:rsidRDefault="00A8138F" w:rsidP="00A8138F">
      <w:pPr>
        <w:pStyle w:val="TextoNormalNegritaCentrado"/>
        <w:keepNext/>
      </w:pPr>
    </w:p>
    <w:p w14:paraId="7B8783CE"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438B6B80" w14:textId="77777777" w:rsidR="00A8138F" w:rsidRDefault="00A8138F" w:rsidP="00A8138F">
      <w:pPr>
        <w:pStyle w:val="TextoNormal"/>
      </w:pPr>
    </w:p>
    <w:p w14:paraId="320EB7F3" w14:textId="00F04024" w:rsidR="00A8138F" w:rsidRDefault="00A8138F" w:rsidP="00A8138F">
      <w:pPr>
        <w:pStyle w:val="TextoNormal"/>
      </w:pPr>
      <w:r>
        <w:t>El objeto del presente proceso es dilucidar si la sentencia del Tribunal Supremo que casa y anula la sentencia dictada por la Sala de lo Social del Tribunal Superior de Justicia del País Vasco, y desestimó la demanda confirmando las resoluciones administrativas del INSS recurridas con absolución de las entidades demandadas,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78E58DC2" w14:textId="77777777" w:rsidR="00A8138F" w:rsidRDefault="00A8138F" w:rsidP="00A8138F">
      <w:pPr>
        <w:pStyle w:val="TextoNormal"/>
      </w:pPr>
    </w:p>
    <w:p w14:paraId="7248DF17"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47947B48" w14:textId="77777777" w:rsidR="00A8138F" w:rsidRDefault="00A8138F" w:rsidP="00A8138F">
      <w:pPr>
        <w:pStyle w:val="TextoNormal"/>
      </w:pPr>
    </w:p>
    <w:p w14:paraId="0A6830BB"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6E9250AC" w14:textId="77777777" w:rsidR="00A8138F" w:rsidRDefault="00A8138F" w:rsidP="00A8138F">
      <w:pPr>
        <w:pStyle w:val="TextoNormal"/>
      </w:pPr>
    </w:p>
    <w:p w14:paraId="7BCC7C5C"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A65289B" w14:textId="77777777" w:rsidR="00A8138F" w:rsidRDefault="00A8138F" w:rsidP="00A8138F">
      <w:pPr>
        <w:pStyle w:val="TextoNormal"/>
      </w:pPr>
    </w:p>
    <w:p w14:paraId="3FA05B08"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422ADFAC" w14:textId="77777777" w:rsidR="00A8138F" w:rsidRDefault="00A8138F" w:rsidP="00A8138F">
      <w:pPr>
        <w:pStyle w:val="TextoNormal"/>
      </w:pPr>
    </w:p>
    <w:p w14:paraId="4D04DB60" w14:textId="0457C88E"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1C76846" w14:textId="77777777" w:rsidR="00A8138F" w:rsidRDefault="00A8138F" w:rsidP="00A8138F">
      <w:pPr>
        <w:pStyle w:val="TextoNormal"/>
      </w:pPr>
    </w:p>
    <w:p w14:paraId="4D96A037" w14:textId="77777777" w:rsidR="00A8138F" w:rsidRDefault="00A8138F" w:rsidP="00A8138F">
      <w:pPr>
        <w:pStyle w:val="TextoNormalCentrado"/>
        <w:keepNext/>
      </w:pPr>
      <w:r>
        <w:t>FALLO</w:t>
      </w:r>
    </w:p>
    <w:p w14:paraId="139CF4B9" w14:textId="07652059" w:rsidR="00A8138F" w:rsidRDefault="00A8138F" w:rsidP="00A8138F">
      <w:pPr>
        <w:pStyle w:val="TextoNormalCentrado"/>
        <w:keepNext/>
      </w:pPr>
    </w:p>
    <w:p w14:paraId="4BACB9B1" w14:textId="77777777" w:rsidR="00A8138F" w:rsidRDefault="00A8138F" w:rsidP="00A8138F">
      <w:pPr>
        <w:pStyle w:val="TextoNormal"/>
      </w:pPr>
      <w:r>
        <w:t>En atención a todo lo expuesto, el Tribunal Constitucional, por la autoridad que le confiere la Constitución de la Nación española, ha decidido:</w:t>
      </w:r>
    </w:p>
    <w:p w14:paraId="4496517C" w14:textId="77777777" w:rsidR="00A8138F" w:rsidRDefault="00A8138F" w:rsidP="00A8138F">
      <w:pPr>
        <w:pStyle w:val="TextoNormal"/>
      </w:pPr>
    </w:p>
    <w:p w14:paraId="176422A9" w14:textId="77777777" w:rsidR="00A8138F" w:rsidRDefault="00A8138F" w:rsidP="00A8138F">
      <w:pPr>
        <w:pStyle w:val="TextoNormal"/>
      </w:pPr>
      <w:r>
        <w:t>1º Estimar la demanda presentada por doña Leyre Garaikoetxea Izaguirre por vulneración del derecho fundamental de igualdad ante la ley sin discriminación por razón de nacimiento (art. 14 CE) de hijo menor en familia monoparental.</w:t>
      </w:r>
    </w:p>
    <w:p w14:paraId="489D7A06" w14:textId="77777777" w:rsidR="00A8138F" w:rsidRDefault="00A8138F" w:rsidP="00A8138F">
      <w:pPr>
        <w:pStyle w:val="TextoNormal"/>
      </w:pPr>
    </w:p>
    <w:p w14:paraId="36A98628" w14:textId="77777777" w:rsidR="00A8138F" w:rsidRDefault="00A8138F" w:rsidP="00A8138F">
      <w:pPr>
        <w:pStyle w:val="TextoNormal"/>
      </w:pPr>
      <w:r>
        <w:t xml:space="preserve">2º Declarar la nulidad de las siguientes resoluciones: (i) la sentencia núm. 1101/2023, de 30 de noviembre de la Sala de lo Social del Tribunal Supremo, recaída en recurso de casación para la unificación de doctrina núm. 4325-2022; (ii) la sentencia núm. 1477/2022, de </w:t>
      </w:r>
      <w:r>
        <w:lastRenderedPageBreak/>
        <w:t>12 de julio, de la Sala de lo Social del Tribunal Superior de Justicia del País Vasco, dictada en el recurso suplicación núm. 378-2022; (iii) la sentencia núm. 196/2021, de 21 de mayo, del Juzgado de lo Social núm. 4 de San Sebastián, dictada en el procedimiento de seguridad social núm. 120-2021; y (iv) las resoluciones de la Dirección Provincial de Guipúzcoa del INSS que denegaron la solicitud de la recurrente de forma presunta y de forma expresa al resolver la reclamación previa en resolución administrativa de 14 de enero de 2021.</w:t>
      </w:r>
    </w:p>
    <w:p w14:paraId="48C6EACC" w14:textId="77777777" w:rsidR="00A8138F" w:rsidRDefault="00A8138F" w:rsidP="00A8138F">
      <w:pPr>
        <w:pStyle w:val="TextoNormal"/>
      </w:pPr>
    </w:p>
    <w:p w14:paraId="4F9B8A76" w14:textId="0183AC8C" w:rsidR="00A8138F" w:rsidRDefault="00A8138F" w:rsidP="00A8138F">
      <w:pPr>
        <w:pStyle w:val="TextoNormal"/>
      </w:pPr>
      <w:r>
        <w:t>3º Retrotraer las actuaciones al momento previo a las resoluciones administrativas mencionadas en el apartado anterior, para que el Instituto Nacional de la Seguridad Social dicte resolución expresa respetuosa con el derecho fundamental reconocido y con el alcance fijado en el último párrafo del fundamento jurídico 2 de esta sentencia.</w:t>
      </w:r>
    </w:p>
    <w:p w14:paraId="30909687" w14:textId="77777777" w:rsidR="00A8138F" w:rsidRDefault="00A8138F" w:rsidP="00A8138F">
      <w:pPr>
        <w:pStyle w:val="TextoNormal"/>
      </w:pPr>
    </w:p>
    <w:p w14:paraId="1D179E67" w14:textId="77777777" w:rsidR="00A8138F" w:rsidRDefault="00A8138F" w:rsidP="00A8138F">
      <w:pPr>
        <w:pStyle w:val="TextoNormal"/>
      </w:pPr>
      <w:r>
        <w:t>Publíquese esta sentencia en el “Boletín Oficial del Estado”.</w:t>
      </w:r>
    </w:p>
    <w:p w14:paraId="4E957D78" w14:textId="77777777" w:rsidR="00A8138F" w:rsidRDefault="00A8138F" w:rsidP="00A8138F">
      <w:pPr>
        <w:pStyle w:val="TextoNormal"/>
      </w:pPr>
      <w:r>
        <w:t>Dada en Madrid, a diez de febrero de dos mil veinticinco.</w:t>
      </w:r>
    </w:p>
    <w:p w14:paraId="5E37C73E" w14:textId="1CE37F2D" w:rsidR="00A8138F" w:rsidRDefault="00A8138F">
      <w:pPr>
        <w:spacing w:after="160" w:line="278" w:lineRule="auto"/>
        <w:rPr>
          <w:rFonts w:ascii="Times New Roman" w:eastAsia="Times New Roman" w:hAnsi="Times New Roman" w:cs="Times New Roman"/>
          <w:sz w:val="24"/>
          <w:szCs w:val="24"/>
          <w:lang w:eastAsia="es-ES"/>
        </w:rPr>
      </w:pPr>
      <w:r>
        <w:br w:type="page"/>
      </w:r>
    </w:p>
    <w:p w14:paraId="732C2B33" w14:textId="77777777" w:rsidR="00A8138F" w:rsidRDefault="00A8138F" w:rsidP="00A8138F">
      <w:pPr>
        <w:pStyle w:val="TtuloResolucin"/>
      </w:pPr>
      <w:bookmarkStart w:id="38" w:name="SENTENCIA_2025_36"/>
      <w:r>
        <w:lastRenderedPageBreak/>
        <w:t>SENTENCIA 36/2025, de 10 de febrero de 2025</w:t>
      </w:r>
    </w:p>
    <w:bookmarkEnd w:id="38"/>
    <w:p w14:paraId="35EE6918" w14:textId="77777777" w:rsidR="00A8138F" w:rsidRDefault="00A8138F" w:rsidP="00A8138F">
      <w:pPr>
        <w:pStyle w:val="TtuloResolucin"/>
      </w:pPr>
      <w:r>
        <w:t>Sala Segunda</w:t>
      </w:r>
    </w:p>
    <w:p w14:paraId="1668373E" w14:textId="77777777" w:rsidR="00A8138F" w:rsidRDefault="00A8138F" w:rsidP="00A8138F">
      <w:pPr>
        <w:pStyle w:val="TtuloBOE"/>
      </w:pPr>
      <w:r>
        <w:t>(BOE núm. 69, de 21 de marzo de 2025)</w:t>
      </w:r>
    </w:p>
    <w:p w14:paraId="1D64E9AC" w14:textId="77777777" w:rsidR="00A8138F" w:rsidRDefault="00A8138F" w:rsidP="00A8138F">
      <w:pPr>
        <w:pStyle w:val="TextoNormalCentrado"/>
      </w:pPr>
      <w:r>
        <w:t>ECLI:ES:TC:2025:36</w:t>
      </w:r>
    </w:p>
    <w:p w14:paraId="49E3E760" w14:textId="4730276A" w:rsidR="00A8138F" w:rsidRDefault="00A8138F" w:rsidP="00A8138F">
      <w:pPr>
        <w:pStyle w:val="TextoNormalCentrado"/>
      </w:pPr>
    </w:p>
    <w:p w14:paraId="479142FA" w14:textId="77777777" w:rsidR="00A8138F" w:rsidRDefault="00A8138F" w:rsidP="00A8138F">
      <w:pPr>
        <w:pStyle w:val="SntesisDescriptiva"/>
      </w:pPr>
      <w:r>
        <w:t>Recurso de amparo 841-2024. Promovido por doña Macarena Araujo Zarza en relación con las resoluciones administrativas y judiciales que desestimaron su petición de revisión y ampliación de la prestación por nacimiento y cuidado de hijo menor, como madre biológica de familia monoparental.</w:t>
      </w:r>
    </w:p>
    <w:p w14:paraId="75E411CB" w14:textId="0B6BF48C" w:rsidR="00A8138F" w:rsidRDefault="00A8138F" w:rsidP="00A8138F">
      <w:pPr>
        <w:pStyle w:val="SntesisDescriptiva"/>
      </w:pPr>
    </w:p>
    <w:p w14:paraId="66B6FF39" w14:textId="77777777" w:rsidR="00A8138F" w:rsidRDefault="00A8138F" w:rsidP="00A8138F">
      <w:pPr>
        <w:pStyle w:val="SntesisAnaltica"/>
      </w:pPr>
      <w:r>
        <w:t>Vulneración del derecho a la igualdad y a no padecer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3D0CAA44" w14:textId="7AFA12FA" w:rsidR="00A8138F" w:rsidRDefault="00A8138F" w:rsidP="00A8138F">
      <w:pPr>
        <w:pStyle w:val="SntesisAnaltica"/>
      </w:pPr>
    </w:p>
    <w:p w14:paraId="351DADF2" w14:textId="4EA6E12C"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2AE0A6E6" w14:textId="77777777" w:rsidR="00A8138F" w:rsidRDefault="00A8138F" w:rsidP="00A8138F">
      <w:pPr>
        <w:pStyle w:val="Extracto"/>
      </w:pPr>
    </w:p>
    <w:p w14:paraId="5F9BFEDD" w14:textId="77777777" w:rsidR="00A8138F" w:rsidRDefault="00A8138F" w:rsidP="00A8138F">
      <w:pPr>
        <w:pStyle w:val="Extracto"/>
      </w:pPr>
    </w:p>
    <w:p w14:paraId="5C8DF3EE"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CD714D1" w14:textId="4D4148AD" w:rsidR="00A8138F" w:rsidRDefault="00A8138F" w:rsidP="00A8138F">
      <w:pPr>
        <w:pStyle w:val="TextoNormal"/>
      </w:pPr>
    </w:p>
    <w:p w14:paraId="4D47B607" w14:textId="77777777" w:rsidR="00A8138F" w:rsidRDefault="00A8138F" w:rsidP="00A8138F">
      <w:pPr>
        <w:pStyle w:val="TextoNormalCentrado"/>
        <w:keepNext/>
      </w:pPr>
      <w:r>
        <w:t>EN NOMBRE DEL REY</w:t>
      </w:r>
    </w:p>
    <w:p w14:paraId="4937E05D" w14:textId="7FA73921" w:rsidR="00A8138F" w:rsidRDefault="00A8138F" w:rsidP="00A8138F">
      <w:pPr>
        <w:pStyle w:val="TextoNormalCentrado"/>
        <w:keepNext/>
      </w:pPr>
    </w:p>
    <w:p w14:paraId="668DC591" w14:textId="77777777" w:rsidR="00A8138F" w:rsidRDefault="00A8138F" w:rsidP="00A8138F">
      <w:pPr>
        <w:pStyle w:val="TextoNormalCentrado"/>
        <w:keepNext/>
      </w:pPr>
    </w:p>
    <w:p w14:paraId="2F1EAB23" w14:textId="77777777" w:rsidR="00A8138F" w:rsidRDefault="00A8138F" w:rsidP="00A8138F">
      <w:pPr>
        <w:pStyle w:val="TextoNormal"/>
      </w:pPr>
      <w:r>
        <w:t>la siguiente</w:t>
      </w:r>
    </w:p>
    <w:p w14:paraId="52920D85" w14:textId="481D825B" w:rsidR="00A8138F" w:rsidRDefault="00A8138F" w:rsidP="00A8138F">
      <w:pPr>
        <w:pStyle w:val="TextoNormal"/>
      </w:pPr>
    </w:p>
    <w:p w14:paraId="0C31EC76" w14:textId="77777777" w:rsidR="00A8138F" w:rsidRDefault="00A8138F" w:rsidP="00A8138F">
      <w:pPr>
        <w:pStyle w:val="TextoNormalCentrado"/>
        <w:keepNext/>
      </w:pPr>
      <w:r>
        <w:t>SENTENCIA</w:t>
      </w:r>
    </w:p>
    <w:p w14:paraId="431A158A" w14:textId="5AB9279F" w:rsidR="00A8138F" w:rsidRDefault="00A8138F" w:rsidP="00A8138F">
      <w:pPr>
        <w:pStyle w:val="TextoNormalCentrado"/>
        <w:keepNext/>
      </w:pPr>
    </w:p>
    <w:p w14:paraId="579FC238" w14:textId="77777777" w:rsidR="00A8138F" w:rsidRDefault="00A8138F" w:rsidP="00A8138F">
      <w:pPr>
        <w:pStyle w:val="TextoNormal"/>
      </w:pPr>
      <w:r>
        <w:t xml:space="preserve">En el recurso de amparo núm. 841-2024, promovido por doña Macarena Araujo Zarza, representada por la procuradora de los tribunales doña María Esperanza Azpeitia Calvín y asistida por la letrada doña Helena Unanue Agirretxe, contra la resolución del Instituto Nacional de la Seguridad Social (INSS) y la Tesorería General de la seguridad Social (TGSS) de 17 de diciembre de 2020, denegatoria de la solicitud de ampliación de la prestación por nacimiento y cuidado de su hijo menor como madre biológica de familia monoparental; la resolución del INSS y TSGG de 11 de marzo de 2021, que rechaza la reclamación previa, formulada por la demandante frente a la anterior resolución; y la sentencia núm. 1273/2023, de 21 de diciembre, de la Sala de lo Social del Tribunal Supremo, dictada en recurso de casación para la unificación de doctrina núm. 3636-2022, que estimó el recurso presentado por la representación del INSS y TGSS, anulando las sentencias de 14 de octubre de 2022, dictada por el Juzgado de lo Social núm. 2 de San Sebastián, que estimaba la demanda entablada por la recurrente contra el INSS, autos 232-2021, así como la sentencia de la Sala de lo Social del Tribunal Superior de Justicia del País Vasco, de 7 de junio de 2022 que </w:t>
      </w:r>
      <w:r>
        <w:lastRenderedPageBreak/>
        <w:t>desestimaba el recurso de suplicación núm. 303-2022, formalizado por el letrado del INSS y TGSS contra aquella y absolviendo a las codemandadas de todos los pedimentos deducidos contra ellas. Han intervenido la letrada de la administración de la Seguridad Social, en nombre del INSS y de la TGSS y el Ministerio Fiscal. Ha sido ponente la magistrada doña Laura Díez Bueso.</w:t>
      </w:r>
    </w:p>
    <w:p w14:paraId="4FF0CB06" w14:textId="5ABB1EF7" w:rsidR="00A8138F" w:rsidRDefault="00A8138F" w:rsidP="00A8138F">
      <w:pPr>
        <w:pStyle w:val="TextoNormal"/>
      </w:pPr>
    </w:p>
    <w:p w14:paraId="54B83EB9" w14:textId="77777777" w:rsidR="00A8138F" w:rsidRDefault="00A8138F" w:rsidP="00A8138F">
      <w:pPr>
        <w:pStyle w:val="TextoNormalNegritaCentrado"/>
        <w:keepNext/>
      </w:pPr>
      <w:r>
        <w:t>I. Antecedentes</w:t>
      </w:r>
    </w:p>
    <w:p w14:paraId="65639240" w14:textId="37EE86DB" w:rsidR="00A8138F" w:rsidRDefault="00A8138F" w:rsidP="00A8138F">
      <w:pPr>
        <w:pStyle w:val="TextoNormalNegritaCentrado"/>
        <w:keepNext/>
      </w:pPr>
    </w:p>
    <w:p w14:paraId="2EE1D59C" w14:textId="4B996C38" w:rsidR="00A8138F" w:rsidRDefault="00A8138F" w:rsidP="00A8138F">
      <w:pPr>
        <w:pStyle w:val="TextoNormal"/>
      </w:pPr>
      <w:r w:rsidRPr="00A8138F">
        <w:rPr>
          <w:rStyle w:val="NumeroAFNegritaCaracter"/>
        </w:rPr>
        <w:t>1</w:t>
      </w:r>
      <w:r>
        <w:t>. Mediante escrito registrado en este tribunal el 7 de febrero de 2024, la representante procesal de doña Macarena Araujo Zarza, bajo la dirección letrada de doña Helena Unanue Agirretxe, interpuso recurso de amparo contra la resolución administrativa y judicial a las que se ha hecho referencia en el encabezamiento de esta sentencia.</w:t>
      </w:r>
    </w:p>
    <w:p w14:paraId="4EAF7D8C" w14:textId="77777777" w:rsidR="00A8138F" w:rsidRDefault="00A8138F" w:rsidP="00A8138F">
      <w:pPr>
        <w:pStyle w:val="TextoNormal"/>
      </w:pPr>
    </w:p>
    <w:p w14:paraId="7F7F5912"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49208B2F" w14:textId="77777777" w:rsidR="00A8138F" w:rsidRDefault="00A8138F" w:rsidP="00A8138F">
      <w:pPr>
        <w:pStyle w:val="TextoNormal"/>
      </w:pPr>
    </w:p>
    <w:p w14:paraId="565B1250" w14:textId="77777777" w:rsidR="00A8138F" w:rsidRDefault="00A8138F" w:rsidP="00A8138F">
      <w:pPr>
        <w:pStyle w:val="TextoNormal"/>
      </w:pPr>
      <w:r>
        <w:t>a) La señora Araujo Zarza es madre biológica de un niño, nacido el 7 de agosto de 2020, siendo su única progenitora registral. Por resolución de 11 de septiembre de 2020 le fue reconocido por el INSS el derecho a la prestación de nacimiento y cuidado del menor por el período que va desde el 7 de agosto de 2020 al 26 de noviembre de 2020 (dieciséis semanas). Posteriormente, la actora solicitó la ampliación de su permiso, añadiendo al período ya reconocido el que consideraba hubiera correspondido al segundo progenitor en el supuesto de una familia biparental (doce semanas).</w:t>
      </w:r>
    </w:p>
    <w:p w14:paraId="1C737C32" w14:textId="77777777" w:rsidR="00A8138F" w:rsidRDefault="00A8138F" w:rsidP="00A8138F">
      <w:pPr>
        <w:pStyle w:val="TextoNormal"/>
      </w:pPr>
    </w:p>
    <w:p w14:paraId="0D419688" w14:textId="77777777" w:rsidR="00A8138F" w:rsidRDefault="00A8138F" w:rsidP="00A8138F">
      <w:pPr>
        <w:pStyle w:val="TextoNormal"/>
      </w:pPr>
      <w:r>
        <w:t>b) Tramitada la anterior solicitud en forma de reclamación previa, la pretensión fue rechazada por el INSS mediante resolución de 17 de diciembre de 2020, “por no encontrarse en ninguna de las situaciones protegidas”.</w:t>
      </w:r>
    </w:p>
    <w:p w14:paraId="1C9E82D4" w14:textId="77777777" w:rsidR="00A8138F" w:rsidRDefault="00A8138F" w:rsidP="00A8138F">
      <w:pPr>
        <w:pStyle w:val="TextoNormal"/>
      </w:pPr>
    </w:p>
    <w:p w14:paraId="113F9CC9" w14:textId="77777777" w:rsidR="00A8138F" w:rsidRDefault="00A8138F" w:rsidP="00A8138F">
      <w:pPr>
        <w:pStyle w:val="TextoNormal"/>
      </w:pPr>
      <w:r>
        <w:t>c) Por escrito de 3 de marzo de 2021 presentó reclamación previa para que se le reconociera el derecho y disfrute de la prestación de doce semanas adicionales por nacimiento de hijo en las fechas que determinase la reclamante, siendo denegada tal solicitud por Resolución del INSS de 11 de marzo 2020, por no estar prevista esta situación respecto de familia monoparental en la legislación vigente.</w:t>
      </w:r>
    </w:p>
    <w:p w14:paraId="389EAF54" w14:textId="77777777" w:rsidR="00A8138F" w:rsidRDefault="00A8138F" w:rsidP="00A8138F">
      <w:pPr>
        <w:pStyle w:val="TextoNormal"/>
      </w:pPr>
    </w:p>
    <w:p w14:paraId="41EEF7CE" w14:textId="77777777" w:rsidR="00A8138F" w:rsidRDefault="00A8138F" w:rsidP="00A8138F">
      <w:pPr>
        <w:pStyle w:val="TextoNormal"/>
      </w:pPr>
      <w:r>
        <w:t xml:space="preserve">d) La recurrente presentó demanda contra el INSS por entender que se estaba discriminando por razón de sexo y a su hijo menor por razón de nacimiento </w:t>
      </w:r>
      <w:r w:rsidRPr="00A8138F">
        <w:rPr>
          <w:i/>
        </w:rPr>
        <w:t>ex</w:t>
      </w:r>
      <w:r>
        <w:t xml:space="preserve"> art. 14 CE en relación con el art. 39 CE, solicitando que se le reconociera el derecho a ampliar su permiso por nacimiento y cuidado de menor al tiempo que le hubiera correspondido al otro progenitor de haberse tratado de una familia biparental.</w:t>
      </w:r>
    </w:p>
    <w:p w14:paraId="7330B00C" w14:textId="77777777" w:rsidR="00A8138F" w:rsidRDefault="00A8138F" w:rsidP="00A8138F">
      <w:pPr>
        <w:pStyle w:val="TextoNormal"/>
      </w:pPr>
    </w:p>
    <w:p w14:paraId="5FA6E486" w14:textId="77777777" w:rsidR="00A8138F" w:rsidRDefault="00A8138F" w:rsidP="00A8138F">
      <w:pPr>
        <w:pStyle w:val="TextoNormal"/>
      </w:pPr>
      <w:r>
        <w:t>e) Mediante sentencia de 31 de marzo de 2021 (autos núm. 232-2021) —aclarada por auto de 28 de octubre de 2021, sobre la cuantía de la prestación—, el Juzgado de lo Social núm. 2 de San Sebastián estimó la demanda interpuesta, reconociendo el derecho de la actora a la prestación por maternidad de doce semanas, adicionales a las dieciséis ya reconocidas, “que debe disfrutar la demandante en el periodo de un año desde la presente resolución ya que no ha podido disfrutarse en el periodo que marca el artículo 48.4 LET”.</w:t>
      </w:r>
    </w:p>
    <w:p w14:paraId="47800634" w14:textId="77777777" w:rsidR="00A8138F" w:rsidRDefault="00A8138F" w:rsidP="00A8138F">
      <w:pPr>
        <w:pStyle w:val="TextoNormal"/>
      </w:pPr>
    </w:p>
    <w:p w14:paraId="6362EEDD" w14:textId="77777777" w:rsidR="00A8138F" w:rsidRDefault="00A8138F" w:rsidP="00A8138F">
      <w:pPr>
        <w:pStyle w:val="TextoNormal"/>
      </w:pPr>
      <w:r>
        <w:t>En cuanto a la limitación de la acumulación del periodo de doce semanas a únicamente ocho que podría corresponder al otro progenitor, el órgano judicial subraya su discrepancia con el criterio de la entidad gestora “ya que si bien las primeras cuatro semanas serían posteriores al parto también tiene su justificación en el cuidado del recién nacido, beneficiándose el recién nacido del periodo de la prestación en atención a su cuidado, interpretación más favorable con la conciliación de la vida familiar y laboral en beneficio también del menor, sin que el lapso temporal coincidente en caso de familia con ambos progenitores (cuatro semanas) agote estas semanas coincidentes, que deben poderse disfrutar a y distribuirse a voluntad de la progenitora, en períodos semanales a disfrutar de forma acumulada o interrumpida y ejercitarse desde la finalización de la suspensión obligatoria posterior al parto hasta que el hijo o la hija cumpla doce meses”.</w:t>
      </w:r>
    </w:p>
    <w:p w14:paraId="75A0A922" w14:textId="77777777" w:rsidR="00A8138F" w:rsidRDefault="00A8138F" w:rsidP="00A8138F">
      <w:pPr>
        <w:pStyle w:val="TextoNormal"/>
      </w:pPr>
    </w:p>
    <w:p w14:paraId="40BC3D70" w14:textId="77777777" w:rsidR="00A8138F" w:rsidRDefault="00A8138F" w:rsidP="00A8138F">
      <w:pPr>
        <w:pStyle w:val="TextoNormal"/>
      </w:pPr>
      <w:r>
        <w:t>f) El INSS y la TGSS formularon recurso de suplicación frente a la anterior resolución, que fue desestimado por sentencia núm. 1170/2022, de 7 de junio, de la Sala de lo Social del Tribunal Superior de Justicia del País Vasco en el recurso suplicación 303-2022, remitiéndose como argumento a sus propios precedentes, concretamente a la sentencia 396/2020, de 6 de octubre, que había sido fundamento de la sentencia de instancia para admitir la ampliación del permiso y prestación por nacimiento de menor. A lo expuesto añadió que no procedía el descuento de las cuatro semanas que se impetraba por la entidad gestora, pues “[l]o cierto es que en aquel nuestro precedente de 6 de octubre de 2020 ya se reconocieron las dos semanas de más en caso de nacimiento del año 2019 y que también debían compartir simultáneamente el padre y la madre por ese nacimiento y cuidado. Eran las referidas en el artículo 2, punto 18 de aquel Real Decreto-ley 6/2019 [punto 1, letra b) de la disposición transitoria decimotercera]. Son cuatro semanas a partir del 1 de enero de 2020 [punto 1, letra d) de la misma disposición] y la misma razón argumentativa entonces efectuada opera ahora (artículo 4 del Código civil), debiendo destacarse que esas mismas cuatro semanas y tratándose ya de niños nacidos en el año 2020 y esas cuatro semanas, tenemos el precedente que suponen nuestras sentencias de 29 de marzo y 8 de febrero de 2022 (recursos 2420-2021 y 1851-2021)”.</w:t>
      </w:r>
    </w:p>
    <w:p w14:paraId="2D131134" w14:textId="77777777" w:rsidR="00A8138F" w:rsidRDefault="00A8138F" w:rsidP="00A8138F">
      <w:pPr>
        <w:pStyle w:val="TextoNormal"/>
      </w:pPr>
    </w:p>
    <w:p w14:paraId="5FCA7817" w14:textId="77777777" w:rsidR="00A8138F" w:rsidRDefault="00A8138F" w:rsidP="00A8138F">
      <w:pPr>
        <w:pStyle w:val="TextoNormal"/>
      </w:pPr>
      <w:r>
        <w:t>g) La letrada de la administración de la Seguridad Social interpuso recurso de casación para la unificación de doctrina en el que invocó como sentencia contradictoria la sentencia núm. 3020/2021, de 19 de octubre, dictada por la Sala de lo Social del Tribunal Superior de Justicia de Valencia, y argumentó la infracción de las normas reguladoras de la prestación por nacimiento y cuidado de menor.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14:paraId="1844B0E2" w14:textId="77777777" w:rsidR="00A8138F" w:rsidRDefault="00A8138F" w:rsidP="00A8138F">
      <w:pPr>
        <w:pStyle w:val="TextoNormal"/>
      </w:pPr>
    </w:p>
    <w:p w14:paraId="1444017D" w14:textId="128BC810" w:rsidR="00A8138F" w:rsidRDefault="00A8138F" w:rsidP="00A8138F">
      <w:pPr>
        <w:pStyle w:val="TextoNormal"/>
      </w:pPr>
      <w:r>
        <w:t>h) El recurso de casación para la unificación de doctrina, núm. 3636-2022, fue estimado por sentencia núm. 3636/2023, de 21 de diciembre, con apoyo en la doctrina fijada por el Pleno de la Sala de lo Social del Tribunal Supremo en la sentencia núm. 169/2023, de 2 de marzo, según la cual, la naturaleza y finalidad del permiso a los progenitores por nacimiento de un hijo, la taxativa regulación normativa de este en la LET y la LGSS, su carácter personal e intransferible, las consecuencias que la extensión pretendida tiene sobre el empleador, su concordancia con las exigencias de igualdad y no discriminación que derivan de la Cons</w:t>
      </w:r>
      <w:r>
        <w:lastRenderedPageBreak/>
        <w:t>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 En virtud de todo ello, el fallo de la sentencia acordaba la nulidad de la sentencia dictada por la Sala de lo Social del Tribunal Superior de Justicia del País Vasco, de 7 de junio de 2022, así como resolver el debate en suplicación en el sentido de estimar el recurso de suplicación formulado por la representación del INSS y TGSS, revocando la sentencia dictada por el Juzgado de lo Social núm. 2 de San Sebastián, de 14 de octubre de 2021 en los autos 232-2021 y desestimar la demanda entablada por doña Macarena Araujo Zarza, sin obligar a la beneficiaria a reintegrar las cantidades percibidas durante el período de cumplimiento provisional.</w:t>
      </w:r>
    </w:p>
    <w:p w14:paraId="27C624A7" w14:textId="77777777" w:rsidR="00A8138F" w:rsidRDefault="00A8138F" w:rsidP="00A8138F">
      <w:pPr>
        <w:pStyle w:val="TextoNormal"/>
      </w:pPr>
    </w:p>
    <w:p w14:paraId="3AB2A79E" w14:textId="77777777" w:rsidR="00A8138F" w:rsidRDefault="00A8138F" w:rsidP="00A8138F">
      <w:pPr>
        <w:pStyle w:val="TextoNormal"/>
      </w:pPr>
      <w:r w:rsidRPr="00A8138F">
        <w:rPr>
          <w:rStyle w:val="NumeroAFNegritaCaracter"/>
        </w:rPr>
        <w:t>3</w:t>
      </w:r>
      <w:r>
        <w:t>. Los motivos por los que la demandante solicita el amparo se basan en la infracción del art. 14 CE en relación con los arts. 39 y 9.2 CE, primero por el derecho de la recurrente a no ser discriminada por razón de sexo, dado que las resoluciones administrativa y judicial impugnada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es decir, de su condición familiar, tomada en ejercicio del libre desarrollo de la personalidad (art. 10.1 CE), alcanzando ese resultado peyorativo y discriminatorio a su hijo, nacido en dicha familia monoparental, sin que las resoluciones impugnadas hayan tenido en cuenta el interés superior del menor a cuyo respeto estaban obligadas por el art. 39.4 CE y por la Convención sobre los derechos de los niños (art. 10.2 CE).</w:t>
      </w:r>
    </w:p>
    <w:p w14:paraId="74464A3F" w14:textId="77777777" w:rsidR="00A8138F" w:rsidRDefault="00A8138F" w:rsidP="00A8138F">
      <w:pPr>
        <w:pStyle w:val="TextoNormal"/>
      </w:pPr>
    </w:p>
    <w:p w14:paraId="71E50376" w14:textId="11EF9477" w:rsidR="00A8138F" w:rsidRDefault="00A8138F" w:rsidP="00A8138F">
      <w:pPr>
        <w:pStyle w:val="TextoNormal"/>
      </w:pPr>
      <w:r>
        <w:t>En virtud de todo ello interesa de este tribunal que, además del reconocimiento de la vulneración de los derechos fundamentales invocados, declare su derecho a la ampliación del permiso por nacimiento de hijo, y la nulidad de (i) la resolución del INSS de 17 de diciembre 2020; (ii) la resolución del INSS de 11 de marzo de 2021, que rechaza la reclamación previa formulada frente a la anterior resolución; (iii) la sentencia núm. 1273/2023 de la Sala de lo Social del Tribunal Supremo, de 21 de diciembre de 2023 (recurso. núm. 3636-2022), retrotrayendo las actuaciones al momento previo al dictado de la primera de las resoluciones indicadas, para que se dicte otra que respete los derechos fundamentales de la recurrente.</w:t>
      </w:r>
    </w:p>
    <w:p w14:paraId="5EC5EDD0" w14:textId="77777777" w:rsidR="00A8138F" w:rsidRDefault="00A8138F" w:rsidP="00A8138F">
      <w:pPr>
        <w:pStyle w:val="TextoNormal"/>
      </w:pPr>
    </w:p>
    <w:p w14:paraId="61013286" w14:textId="567E4C7C" w:rsidR="00A8138F" w:rsidRDefault="00A8138F" w:rsidP="00A8138F">
      <w:pPr>
        <w:pStyle w:val="TextoNormal"/>
      </w:pPr>
      <w:r w:rsidRPr="00A8138F">
        <w:rPr>
          <w:rStyle w:val="NumeroAFNegritaCaracter"/>
        </w:rPr>
        <w:t>4</w:t>
      </w:r>
      <w:r>
        <w:t>. El 12 de febrero de 2024, el secretario de justicia de la Sala Segunda de este tribunal dictó diligencia de ordenación en la que, teniendo por recibido el precedente escrito de demanda de amparo y documentos adjuntos, de conformidad con el art. 49.4 de la Ley Orgánica del Tribunal Constitucional (LOTC), se concedía a la demandante un plazo de diez días hábiles, para que aportara debidamente cumplimentado el formulario de extracto de la demanda regulado en el acuerdo del Pleno del Tribunal Constitucional de 15 de marzo de 2023 (“Boletín Oficial del Estado” de 23 de marzo de 2023), y el escrito de demanda ajustado a la extensión y forma establecidas en la regla cuarta del mismo acuerdo, advirtiéndose de que, de no subsanar el defecto en el plazo indicado, la Sección podría inadmitir el recurso, conforme al art. 50.4 LOTC.</w:t>
      </w:r>
    </w:p>
    <w:p w14:paraId="7AE5DBA0" w14:textId="77777777" w:rsidR="00A8138F" w:rsidRDefault="00A8138F" w:rsidP="00A8138F">
      <w:pPr>
        <w:pStyle w:val="TextoNormal"/>
      </w:pPr>
    </w:p>
    <w:p w14:paraId="0A2854B6" w14:textId="48468FCD" w:rsidR="00A8138F" w:rsidRDefault="00A8138F" w:rsidP="00A8138F">
      <w:pPr>
        <w:pStyle w:val="TextoNormal"/>
      </w:pPr>
      <w:r w:rsidRPr="00A8138F">
        <w:rPr>
          <w:rStyle w:val="NumeroAFNegritaCaracter"/>
        </w:rPr>
        <w:lastRenderedPageBreak/>
        <w:t>5</w:t>
      </w:r>
      <w:r>
        <w:t>. El 19 de febrero de 2024, la demandante de amparo presentó en el registro de este tribunal nuevo escrito de demanda de amparo, así como el formulario requerido.</w:t>
      </w:r>
    </w:p>
    <w:p w14:paraId="7924E4A5" w14:textId="77777777" w:rsidR="00A8138F" w:rsidRDefault="00A8138F" w:rsidP="00A8138F">
      <w:pPr>
        <w:pStyle w:val="TextoNormal"/>
      </w:pPr>
    </w:p>
    <w:p w14:paraId="08156E89" w14:textId="14AD4267" w:rsidR="00A8138F" w:rsidRDefault="00A8138F" w:rsidP="00A8138F">
      <w:pPr>
        <w:pStyle w:val="TextoNormal"/>
      </w:pPr>
      <w:r w:rsidRPr="00A8138F">
        <w:rPr>
          <w:rStyle w:val="NumeroAFNegritaCaracter"/>
        </w:rPr>
        <w:t>6</w:t>
      </w:r>
      <w:r>
        <w:t>. Mediante providencia de 21 de octubre de 2024, la Sección Tercera de este tribunal acordó admitir a trámite el presente recurso apreciando que concurría en él la especial trascendencia constitucional que exige el 50.1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del País Vasco, a fin de que, en plazo que no excediera de diez días, remitiera testimonio de lo actuado en el recurso de casación para unificación de doctrina núm. 3636-2022; y en el recurso de suplicación núm. 303-2022, respectivamente y al Juzgado de lo Social núm. 2 de San Sebastián, a fin de que, en el mismo plazo, remitiera testimonio de las actuaciones correspondientes al procedimiento núm. 232-2021; debiendo previamente emplazarse, para que en el plazo de diez días pudieran comparecer, si lo deseaban, en el recurso de amparo a quienes hubieran sido parte en el procedimiento, excepto la parte recurrente en amparo.</w:t>
      </w:r>
    </w:p>
    <w:p w14:paraId="087AC93C" w14:textId="77777777" w:rsidR="00A8138F" w:rsidRDefault="00A8138F" w:rsidP="00A8138F">
      <w:pPr>
        <w:pStyle w:val="TextoNormal"/>
      </w:pPr>
    </w:p>
    <w:p w14:paraId="6E7BDF13" w14:textId="5D16174C" w:rsidR="00A8138F" w:rsidRDefault="00A8138F" w:rsidP="00A8138F">
      <w:pPr>
        <w:pStyle w:val="TextoNormal"/>
      </w:pPr>
      <w:r w:rsidRPr="00A8138F">
        <w:rPr>
          <w:rStyle w:val="NumeroAFNegritaCaracter"/>
        </w:rPr>
        <w:t>7</w:t>
      </w:r>
      <w:r>
        <w:t>. El 18 de noviembre de 2024, la Secretaría de Justicia de la Sala Segunda de este tribunal dirigió escrito al letrado de la administración de justicia del Juzgado de lo Social núm. 2 de San Sebastián a fin de que procediera a emplazar, a la mayor brevedad posible, a quienes hubieran sido parte en el procedimiento, excepto a la parte recurrente en amparo, para que en el plazo de diez días pudieran comparecer en el recurso de amparo, haciéndoles entrega al emplazarlos, de copia de la demanda de amparo presentada.</w:t>
      </w:r>
    </w:p>
    <w:p w14:paraId="1AC60005" w14:textId="77777777" w:rsidR="00A8138F" w:rsidRDefault="00A8138F" w:rsidP="00A8138F">
      <w:pPr>
        <w:pStyle w:val="TextoNormal"/>
      </w:pPr>
    </w:p>
    <w:p w14:paraId="2440365D" w14:textId="392DE1F7" w:rsidR="00A8138F" w:rsidRDefault="00A8138F" w:rsidP="00A8138F">
      <w:pPr>
        <w:pStyle w:val="TextoNormal"/>
      </w:pPr>
      <w:r w:rsidRPr="00A8138F">
        <w:rPr>
          <w:rStyle w:val="NumeroAFNegritaCaracter"/>
        </w:rPr>
        <w:t>8</w:t>
      </w:r>
      <w:r>
        <w:t>. El 2 de diciembre de 2024, la Secretaría de Justicia de la Sala Segunda del Tribunal Constitucional dictó diligencia de ordenación en la que se acordaba tener por personada y parte en el procedimiento a la letrada de la administración de la Seguridad Social en nombre y representación del INSS y de la TGSS, acordándose entender con ella esta y las sucesivas actuaciones y, a tenor de lo dispuesto en el art. 52.1 LOTC, dar vista de actuaciones recibidas a las partes personadas y al Ministerio Fiscal por un plazo común de veinte días, para que dentro de dicho término pudieran presentar las alegaciones que estimasen pertinentes.</w:t>
      </w:r>
    </w:p>
    <w:p w14:paraId="03CC6043" w14:textId="77777777" w:rsidR="00A8138F" w:rsidRDefault="00A8138F" w:rsidP="00A8138F">
      <w:pPr>
        <w:pStyle w:val="TextoNormal"/>
      </w:pPr>
    </w:p>
    <w:p w14:paraId="50139543" w14:textId="3D80DF9B" w:rsidR="00A8138F" w:rsidRDefault="00A8138F" w:rsidP="00A8138F">
      <w:pPr>
        <w:pStyle w:val="TextoNormal"/>
      </w:pPr>
      <w:r w:rsidRPr="00A8138F">
        <w:rPr>
          <w:rStyle w:val="NumeroAFNegritaCaracter"/>
        </w:rPr>
        <w:t>9</w:t>
      </w:r>
      <w:r>
        <w:t>. El 4 de diciembre de 2024,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hijo menor.</w:t>
      </w:r>
    </w:p>
    <w:p w14:paraId="1FCFF74F" w14:textId="77777777" w:rsidR="00A8138F" w:rsidRDefault="00A8138F" w:rsidP="00A8138F">
      <w:pPr>
        <w:pStyle w:val="TextoNormal"/>
      </w:pPr>
    </w:p>
    <w:p w14:paraId="5B83D6F3" w14:textId="77777777" w:rsidR="00A8138F" w:rsidRDefault="00A8138F" w:rsidP="00A8138F">
      <w:pPr>
        <w:pStyle w:val="TextoNormal"/>
      </w:pPr>
      <w:r w:rsidRPr="00A8138F">
        <w:rPr>
          <w:rStyle w:val="NumeroAFNegritaCaracter"/>
        </w:rPr>
        <w:t>10</w:t>
      </w:r>
      <w:r>
        <w:t xml:space="preserve">. La letrada de la administración de la Seguridad Social presentó sus alegaciones el 10 de enero de 2025. En ellas identifica y describe el contenido de las normas legales aplicables para la resolución de su pretensión (LGSS y LET) para señalar cuál es el sentido y alcance del permiso y la prestación por nacimiento y cuidado del menor tras su nacimiento. </w:t>
      </w:r>
      <w:r>
        <w:lastRenderedPageBreak/>
        <w:t>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292DA0EE" w14:textId="77777777" w:rsidR="00A8138F" w:rsidRDefault="00A8138F" w:rsidP="00A8138F">
      <w:pPr>
        <w:pStyle w:val="TextoNormal"/>
      </w:pPr>
    </w:p>
    <w:p w14:paraId="27854EEA" w14:textId="77777777" w:rsidR="00A8138F" w:rsidRDefault="00A8138F" w:rsidP="00A8138F">
      <w:pPr>
        <w:pStyle w:val="TextoNormal"/>
      </w:pPr>
      <w:r>
        <w:t>Consigna a continuación la decisión del Pleno del Tribunal Constitucional en la sentencia de 6 de noviembre de 2024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14:paraId="37395410" w14:textId="77777777" w:rsidR="00A8138F" w:rsidRDefault="00A8138F" w:rsidP="00A8138F">
      <w:pPr>
        <w:pStyle w:val="TextoNormal"/>
      </w:pPr>
    </w:p>
    <w:p w14:paraId="67A43869" w14:textId="6D57EECF" w:rsidR="00A8138F" w:rsidRDefault="00A8138F" w:rsidP="00A8138F">
      <w:pPr>
        <w:pStyle w:val="TextoNormal"/>
      </w:pPr>
      <w:r>
        <w:t>La letrada, a la vista de lo anterior, “para evitar reiteraciones innecesarias, se ratifica en las alegaciones realizadas a lo largo de todo el procedimiento” al tiempo que sostiene que “la aplicación de la doctrina establecida en la sentencia del Pleno de este Tribunal Constitucional 140/2024, de 6 de noviembre de 2024, conduce a que se amplie la duración del permiso y de la prestación de nacimiento y cuidado del menor de la madre monoparental, no a la totalidad del período reconocido al otro progenitor distinto a la madre, doce semanas adicionales, sino a ocho semanas adicionales, al excluirse las cuatro primeras, que han de disfrutarse de forma ininterrumpida inmediatamente tras el parto, que se superponen necesariamente con el periodo de seis semanas inmediatamente posteriores al parto que la madre biológica debe disfrutar obligatoriamente de forma ininterrumpida”. Por lo expuesto, suplica que el Tribunal “se sirva tener por contestado el recurso de amparo presentado” y, en el supuesto de estimación del recurso “se retrotraigan las actuaciones para que el INSS dicte nueva resolución administrativa, que resulte respetuosa con el derecho de la recurrente y con la normativa aplicable, limitando la ampliación del permiso y de la correspondiente prestación por nacimiento y cuidado del menor a ocho semanas”.</w:t>
      </w:r>
    </w:p>
    <w:p w14:paraId="550EA469" w14:textId="77777777" w:rsidR="00A8138F" w:rsidRDefault="00A8138F" w:rsidP="00A8138F">
      <w:pPr>
        <w:pStyle w:val="TextoNormal"/>
      </w:pPr>
    </w:p>
    <w:p w14:paraId="2055C9D0" w14:textId="77777777" w:rsidR="00A8138F" w:rsidRDefault="00A8138F" w:rsidP="00A8138F">
      <w:pPr>
        <w:pStyle w:val="TextoNormal"/>
      </w:pPr>
      <w:r w:rsidRPr="00A8138F">
        <w:rPr>
          <w:rStyle w:val="NumeroAFNegritaCaracter"/>
        </w:rPr>
        <w:t>11</w:t>
      </w:r>
      <w:r>
        <w:t>. El 16 de enero de 2025, el Ministerio Fiscal interesó la estimación del recurso de amparo, por considerar vulnerado el derecho fundamental a no ser discriminados, de la demandante por su pertenencia a una familia monoparental y de su hijo por razón de nacimiento en la misma, según resulta de la doctrina constitucional establecida en la STC 140/2024, 6 de noviembre, dictada en la cuestión de inconstitucionalidad núm. 6694-2023. de la que reproduce amplios extractos.</w:t>
      </w:r>
    </w:p>
    <w:p w14:paraId="2ECC4ECE" w14:textId="77777777" w:rsidR="00A8138F" w:rsidRDefault="00A8138F" w:rsidP="00A8138F">
      <w:pPr>
        <w:pStyle w:val="TextoNormal"/>
      </w:pPr>
    </w:p>
    <w:p w14:paraId="753DDBE0" w14:textId="77777777" w:rsidR="00A8138F" w:rsidRDefault="00A8138F" w:rsidP="00A8138F">
      <w:pPr>
        <w:pStyle w:val="TextoNormal"/>
      </w:pPr>
      <w:r>
        <w:t>El fiscal rechaza que los efectos de la estimación del recurso de amparo sean los pretendidos por la demandante, esto es, la expresa declaración de nulidad de la inicial resolución dictada por el INSS, puesto que tanto el juzgado de lo social, como el Tribunal Superior de Justicia del País Vasco, le han concedido una ampliación de la prestación en doce semanas, lo que supone un exceso de dos semanas respecto de las que procede otorgar a las progeni</w:t>
      </w:r>
      <w:r>
        <w:lastRenderedPageBreak/>
        <w:t>toras de una familia monoparental, siempre con arreglo a lo establecido por la STC 140/2024, de 6 de noviembre, mientras por el legislador no se modifiquen los preceptos. Estas dos semanas más de las establecidas en la STC 140/2024 no estarían amparadas por el derecho fundamental de la demandante de amparo.</w:t>
      </w:r>
    </w:p>
    <w:p w14:paraId="01ED7E47" w14:textId="77777777" w:rsidR="00A8138F" w:rsidRDefault="00A8138F" w:rsidP="00A8138F">
      <w:pPr>
        <w:pStyle w:val="TextoNormal"/>
      </w:pPr>
    </w:p>
    <w:p w14:paraId="197487D9" w14:textId="77777777" w:rsidR="00A8138F" w:rsidRDefault="00A8138F" w:rsidP="00A8138F">
      <w:pPr>
        <w:pStyle w:val="TextoNormal"/>
      </w:pPr>
      <w:r>
        <w:t>A ello añade que el INSS recurrió la sentencia del Tribunal Superior de Justicia solicitando que se casase y se dictase otra más ajustada a Derecho, por entender que la impugnada no había interpretado correctamente la normativa aplicable, fundamentalmente los arts. 48.4 LET y 177 LGSS. Precisamente estos preceptos son los que la STC 140/2024 para evitar la vulneración del art. 14 CE mientras no se modifique la regulación actual, establece que deben aplicarse otorgando a los progenitores de familias monoparentales diez semanas adicionales a las que corresponden al primer progenitor en las familias biparentales. Por ello, el fiscal considera que es procedente mantener el derecho del INSS a que se resuelva su recurso de casación, sin perjuicio de que la decisión que se adopte deberá respetar el derecho fundamental de la demandante de amparo según la doctrina del Tribunal Constitucional.</w:t>
      </w:r>
    </w:p>
    <w:p w14:paraId="6FDC40E7" w14:textId="77777777" w:rsidR="00A8138F" w:rsidRDefault="00A8138F" w:rsidP="00A8138F">
      <w:pPr>
        <w:pStyle w:val="TextoNormal"/>
      </w:pPr>
    </w:p>
    <w:p w14:paraId="2989F496" w14:textId="4221A083" w:rsidR="00A8138F" w:rsidRDefault="00A8138F" w:rsidP="00A8138F">
      <w:pPr>
        <w:pStyle w:val="TextoNormal"/>
      </w:pPr>
      <w:r>
        <w:t>Por lo expuesto, solicita que se estime parcialmente el recurso, entendiendo vulnerado el art. 14 CE de la demandante y de su hijo, y declarando la nulidad de la sentencia 1273/2023, de 21 de diciembre de la Sala de lo Social del Tribunal Supremo, se retrotraigan las actuaciones para que dicha Sala dicte una nueva resolución respetando el derecho fundamental vulnerado según resulta de la doctrina constitucional establecida en la STC 140/2024, de 6 de noviembre.</w:t>
      </w:r>
    </w:p>
    <w:p w14:paraId="6936AB2C" w14:textId="77777777" w:rsidR="00A8138F" w:rsidRDefault="00A8138F" w:rsidP="00A8138F">
      <w:pPr>
        <w:pStyle w:val="TextoNormal"/>
      </w:pPr>
    </w:p>
    <w:p w14:paraId="63F9801F" w14:textId="75B50864" w:rsidR="00A8138F" w:rsidRDefault="00A8138F" w:rsidP="00A8138F">
      <w:pPr>
        <w:pStyle w:val="TextoNormal"/>
      </w:pPr>
      <w:r w:rsidRPr="00A8138F">
        <w:rPr>
          <w:rStyle w:val="NumeroAFNegritaCaracter"/>
        </w:rPr>
        <w:t>12</w:t>
      </w:r>
      <w:r>
        <w:t>. Mediante providencia de 6 de febrero de 2025, se señaló para deliberación y votación de la presente sentencia el día 10 del mismo mes y año.</w:t>
      </w:r>
    </w:p>
    <w:p w14:paraId="21C854E2" w14:textId="77777777" w:rsidR="00A8138F" w:rsidRDefault="00A8138F" w:rsidP="00A8138F">
      <w:pPr>
        <w:pStyle w:val="TextoNormal"/>
      </w:pPr>
    </w:p>
    <w:p w14:paraId="2595D3AD" w14:textId="77777777" w:rsidR="00A8138F" w:rsidRDefault="00A8138F" w:rsidP="00A8138F">
      <w:pPr>
        <w:pStyle w:val="TextoNormalNegritaCentrado"/>
        <w:keepNext/>
      </w:pPr>
      <w:r>
        <w:t>II. Fundamentos jurídicos</w:t>
      </w:r>
    </w:p>
    <w:p w14:paraId="7E712E75" w14:textId="571040E1" w:rsidR="00A8138F" w:rsidRDefault="00A8138F" w:rsidP="00A8138F">
      <w:pPr>
        <w:pStyle w:val="TextoNormalNegritaCentrado"/>
        <w:keepNext/>
      </w:pPr>
    </w:p>
    <w:p w14:paraId="5D32143A"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351BD7C0" w14:textId="77777777" w:rsidR="00A8138F" w:rsidRDefault="00A8138F" w:rsidP="00A8138F">
      <w:pPr>
        <w:pStyle w:val="TextoNormal"/>
      </w:pPr>
    </w:p>
    <w:p w14:paraId="10B80684" w14:textId="77777777" w:rsidR="00A8138F" w:rsidRDefault="00A8138F" w:rsidP="00A8138F">
      <w:pPr>
        <w:pStyle w:val="TextoNormal"/>
      </w:pPr>
      <w:r>
        <w:t>El objeto del presente proceso es dilucidar si las resoluciones administrativas del INSS de 17 de diciembre 2020 y de 11 de marzo de 2021, así como la sentencia núm. 1273/2023 de 21 de diciembre, de la Sala de lo Social del Tribunal Supremo (ECLI:ES:TS:2023:5827),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14:paraId="3FE2C973" w14:textId="77777777" w:rsidR="00A8138F" w:rsidRDefault="00A8138F" w:rsidP="00A8138F">
      <w:pPr>
        <w:pStyle w:val="TextoNormal"/>
      </w:pPr>
    </w:p>
    <w:p w14:paraId="50C5F631" w14:textId="77777777" w:rsidR="00A8138F" w:rsidRDefault="00A8138F" w:rsidP="00A8138F">
      <w:pPr>
        <w:pStyle w:val="TextoNormal"/>
      </w:pPr>
      <w: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w:t>
      </w:r>
      <w:r>
        <w:lastRenderedPageBreak/>
        <w:t>familia monoparental (FJ 5) y la legitimidad constitucional de la diferencia de trato basada en el nacimiento en familia monoparental (FJ 6), al tiempo que precisamos el alcance de la declaración de inconstitucionalidad realizada (FJ 7).</w:t>
      </w:r>
    </w:p>
    <w:p w14:paraId="106AEE9C" w14:textId="77777777" w:rsidR="00A8138F" w:rsidRDefault="00A8138F" w:rsidP="00A8138F">
      <w:pPr>
        <w:pStyle w:val="TextoNormal"/>
      </w:pPr>
    </w:p>
    <w:p w14:paraId="390507FC"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4EA0421" w14:textId="77777777" w:rsidR="00A8138F" w:rsidRDefault="00A8138F" w:rsidP="00A8138F">
      <w:pPr>
        <w:pStyle w:val="TextoNormal"/>
      </w:pPr>
    </w:p>
    <w:p w14:paraId="20DD37AA"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4AFE96B1" w14:textId="77777777" w:rsidR="00A8138F" w:rsidRDefault="00A8138F" w:rsidP="00A8138F">
      <w:pPr>
        <w:pStyle w:val="TextoNormal"/>
      </w:pPr>
    </w:p>
    <w:p w14:paraId="2D1162BB" w14:textId="3B63D5FE" w:rsidR="00A8138F" w:rsidRDefault="00A8138F" w:rsidP="00A8138F">
      <w:pPr>
        <w:pStyle w:val="TextoNormal"/>
      </w:pPr>
      <w:r>
        <w:t>En consecuencia, debe estimarse la demanda y otorgar el amparo solicitado. Ahora bien, dado que la sentencia de casación impugnada no ha obligado a la recurrente a reintegrar las cantidades percibidas durante el cumplimiento provisional de las sentencias de instancia y, en consecuencia, no ha sufrido lesión material en su derecho a la prestación reclamada, se anula y deja sin efecto únicamente la sentencia de la Sala de lo Social del Tribunal Supremo núm. 1273/2023, de 21 de diciembre, que estimó el recurso de casación promovido por el INSS contra la sentencia de la Sala de lo Social del Tribunal Superior de Justicia del País Vasco de 19 de julio de 2022 (recurso de suplicación núm. 303-2022) , acordándose la firmeza de esta última.</w:t>
      </w:r>
    </w:p>
    <w:p w14:paraId="48ED0BDE" w14:textId="77777777" w:rsidR="00A8138F" w:rsidRDefault="00A8138F" w:rsidP="00A8138F">
      <w:pPr>
        <w:pStyle w:val="TextoNormal"/>
      </w:pPr>
    </w:p>
    <w:p w14:paraId="19F30808" w14:textId="77777777" w:rsidR="00A8138F" w:rsidRDefault="00A8138F" w:rsidP="00A8138F">
      <w:pPr>
        <w:pStyle w:val="TextoNormalCentrado"/>
        <w:keepNext/>
      </w:pPr>
      <w:r>
        <w:t>FALLO</w:t>
      </w:r>
    </w:p>
    <w:p w14:paraId="4A497276" w14:textId="7EB8FDF1" w:rsidR="00A8138F" w:rsidRDefault="00A8138F" w:rsidP="00A8138F">
      <w:pPr>
        <w:pStyle w:val="TextoNormalCentrado"/>
        <w:keepNext/>
      </w:pPr>
    </w:p>
    <w:p w14:paraId="24B143B9"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Macarena Araujo Zarza y, en su virtud:</w:t>
      </w:r>
    </w:p>
    <w:p w14:paraId="23D91E5E" w14:textId="77777777" w:rsidR="00A8138F" w:rsidRDefault="00A8138F" w:rsidP="00A8138F">
      <w:pPr>
        <w:pStyle w:val="TextoNormal"/>
      </w:pPr>
    </w:p>
    <w:p w14:paraId="5B97B6A3" w14:textId="77777777" w:rsidR="00A8138F" w:rsidRDefault="00A8138F" w:rsidP="00A8138F">
      <w:pPr>
        <w:pStyle w:val="TextoNormal"/>
      </w:pPr>
      <w:r>
        <w:t>1º Declarar vulnerado el derecho fundamental a la igualdad ante la ley, sin que pueda prevalecer discriminación alguna (art. 14 CE).</w:t>
      </w:r>
    </w:p>
    <w:p w14:paraId="38A4D8F8" w14:textId="77777777" w:rsidR="00A8138F" w:rsidRDefault="00A8138F" w:rsidP="00A8138F">
      <w:pPr>
        <w:pStyle w:val="TextoNormal"/>
      </w:pPr>
    </w:p>
    <w:p w14:paraId="6237BF63" w14:textId="77777777" w:rsidR="00A8138F" w:rsidRDefault="00A8138F" w:rsidP="00A8138F">
      <w:pPr>
        <w:pStyle w:val="TextoNormal"/>
      </w:pPr>
      <w:r>
        <w:t>2º Restablecerla en su derecho y, a tal fin, declarar la nulidad de la sentencia de la Sala de lo Social del Tribunal Supremo núm. 1273/2023, de 21 de diciembre, dictada en el recurso de casación para unificación de doctrina núm. 3636-2022.</w:t>
      </w:r>
    </w:p>
    <w:p w14:paraId="57E23029" w14:textId="77777777" w:rsidR="00A8138F" w:rsidRDefault="00A8138F" w:rsidP="00A8138F">
      <w:pPr>
        <w:pStyle w:val="TextoNormal"/>
      </w:pPr>
    </w:p>
    <w:p w14:paraId="58C2C689" w14:textId="130F99D9" w:rsidR="00A8138F" w:rsidRDefault="00A8138F" w:rsidP="00A8138F">
      <w:pPr>
        <w:pStyle w:val="TextoNormal"/>
      </w:pPr>
      <w:r>
        <w:t>3º Declarar la firmeza de la sentencia de la Sala de lo Social del Tribunal Superior de Justicia del País Vasco, de 19 de julio de 2022, dictada en el recurso de suplicación núm. 303-2022.</w:t>
      </w:r>
    </w:p>
    <w:p w14:paraId="54B38E3B" w14:textId="77777777" w:rsidR="00A8138F" w:rsidRDefault="00A8138F" w:rsidP="00A8138F">
      <w:pPr>
        <w:pStyle w:val="TextoNormal"/>
      </w:pPr>
    </w:p>
    <w:p w14:paraId="7139B94B" w14:textId="77777777" w:rsidR="00A8138F" w:rsidRDefault="00A8138F" w:rsidP="00A8138F">
      <w:pPr>
        <w:pStyle w:val="TextoNormal"/>
      </w:pPr>
      <w:r>
        <w:t>Publíquese esta sentencia en el “Boletín Oficial del Estado”.</w:t>
      </w:r>
    </w:p>
    <w:p w14:paraId="137D5E95" w14:textId="77777777" w:rsidR="00A8138F" w:rsidRDefault="00A8138F" w:rsidP="00A8138F">
      <w:pPr>
        <w:pStyle w:val="TextoNormal"/>
      </w:pPr>
      <w:r>
        <w:t>Dada en Madrid, a diez de febrero de dos mil veinticinco.</w:t>
      </w:r>
    </w:p>
    <w:p w14:paraId="2B401C81" w14:textId="5592425A" w:rsidR="00A8138F" w:rsidRDefault="00A8138F">
      <w:pPr>
        <w:spacing w:after="160" w:line="278" w:lineRule="auto"/>
        <w:rPr>
          <w:rFonts w:ascii="Times New Roman" w:eastAsia="Times New Roman" w:hAnsi="Times New Roman" w:cs="Times New Roman"/>
          <w:sz w:val="24"/>
          <w:szCs w:val="24"/>
          <w:lang w:eastAsia="es-ES"/>
        </w:rPr>
      </w:pPr>
      <w:r>
        <w:br w:type="page"/>
      </w:r>
    </w:p>
    <w:p w14:paraId="5B5FCF37" w14:textId="77777777" w:rsidR="00A8138F" w:rsidRDefault="00A8138F" w:rsidP="00A8138F">
      <w:pPr>
        <w:pStyle w:val="TtuloResolucin"/>
      </w:pPr>
      <w:bookmarkStart w:id="39" w:name="SENTENCIA_2025_37"/>
      <w:r>
        <w:lastRenderedPageBreak/>
        <w:t>SENTENCIA 37/2025, de 10 de febrero de 2025</w:t>
      </w:r>
    </w:p>
    <w:bookmarkEnd w:id="39"/>
    <w:p w14:paraId="6C08A229" w14:textId="77777777" w:rsidR="00A8138F" w:rsidRDefault="00A8138F" w:rsidP="00A8138F">
      <w:pPr>
        <w:pStyle w:val="TtuloResolucin"/>
      </w:pPr>
      <w:r>
        <w:t>Sala Segunda</w:t>
      </w:r>
    </w:p>
    <w:p w14:paraId="5F72E82B" w14:textId="77777777" w:rsidR="00A8138F" w:rsidRDefault="00A8138F" w:rsidP="00A8138F">
      <w:pPr>
        <w:pStyle w:val="TtuloBOE"/>
      </w:pPr>
      <w:r>
        <w:t>(BOE núm. 69, de 21 de marzo de 2025)</w:t>
      </w:r>
    </w:p>
    <w:p w14:paraId="6368DDEB" w14:textId="77777777" w:rsidR="00A8138F" w:rsidRDefault="00A8138F" w:rsidP="00A8138F">
      <w:pPr>
        <w:pStyle w:val="TextoNormalCentrado"/>
      </w:pPr>
      <w:r>
        <w:t>ECLI:ES:TC:2025:37</w:t>
      </w:r>
    </w:p>
    <w:p w14:paraId="2CD146E5" w14:textId="739983F9" w:rsidR="00A8138F" w:rsidRDefault="00A8138F" w:rsidP="00A8138F">
      <w:pPr>
        <w:pStyle w:val="TextoNormalCentrado"/>
      </w:pPr>
    </w:p>
    <w:p w14:paraId="5A3B1077" w14:textId="77777777" w:rsidR="00A8138F" w:rsidRDefault="00A8138F" w:rsidP="00A8138F">
      <w:pPr>
        <w:pStyle w:val="SntesisDescriptiva"/>
      </w:pPr>
      <w:r>
        <w:t>Recurso de amparo 2126-2024. Promovido por don José Miguel Morales Lambán respecto de las resoluciones dictadas por la Audiencia Provincial de Zaragoza en ejecución de sentencia penal.</w:t>
      </w:r>
    </w:p>
    <w:p w14:paraId="456D60FB" w14:textId="102E45DE" w:rsidR="00A8138F" w:rsidRDefault="00A8138F" w:rsidP="00A8138F">
      <w:pPr>
        <w:pStyle w:val="SntesisDescriptiva"/>
      </w:pPr>
    </w:p>
    <w:p w14:paraId="6650CBB5" w14:textId="77777777" w:rsidR="00A8138F" w:rsidRDefault="00A8138F" w:rsidP="00A8138F">
      <w:pPr>
        <w:pStyle w:val="SntesisAnaltica"/>
      </w:pPr>
      <w:r>
        <w:t>Vulneración del derecho a la tutela judicial efectiva en relación con el derecho a la libertad personal: resoluciones judiciales que no satisfacen el canon de motivación reforzada al revocar la suspensión de la pena privativa de libertad fundándose en un riesgo no argumentado de reiteración delictiva (STC 32/2022).</w:t>
      </w:r>
    </w:p>
    <w:p w14:paraId="48C513FC" w14:textId="4E9286F9" w:rsidR="00A8138F" w:rsidRDefault="00A8138F" w:rsidP="00A8138F">
      <w:pPr>
        <w:pStyle w:val="SntesisAnaltica"/>
      </w:pPr>
    </w:p>
    <w:p w14:paraId="254E22C1" w14:textId="0353CDB9" w:rsidR="00A8138F" w:rsidRDefault="00A8138F" w:rsidP="00A8138F">
      <w:pPr>
        <w:pStyle w:val="Extracto"/>
      </w:pPr>
      <w:r>
        <w:t>1.</w:t>
      </w:r>
      <w:r>
        <w:tab/>
        <w:t>Las resoluciones judiciales de revocación de la suspensión de la pena vulneran el derecho a la tutela judicial efectiva en relación con el derecho a la libertad personal, si no cumplen con las exigencias de motivación específica o reforzada y de análisis de la capacidad económica del penado en el momento de acordar la revocación (STC 32/2022) [FJ 3].</w:t>
      </w:r>
    </w:p>
    <w:p w14:paraId="66D81E30" w14:textId="77777777" w:rsidR="00A8138F" w:rsidRDefault="00A8138F" w:rsidP="00A8138F">
      <w:pPr>
        <w:pStyle w:val="Extracto"/>
      </w:pPr>
    </w:p>
    <w:p w14:paraId="1BFC3547" w14:textId="77777777" w:rsidR="00A8138F" w:rsidRDefault="00A8138F" w:rsidP="00A8138F">
      <w:pPr>
        <w:pStyle w:val="Extracto"/>
      </w:pPr>
    </w:p>
    <w:p w14:paraId="3515D7EF"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0D05EAC" w14:textId="6AAE2031" w:rsidR="00A8138F" w:rsidRDefault="00A8138F" w:rsidP="00A8138F">
      <w:pPr>
        <w:pStyle w:val="TextoNormal"/>
      </w:pPr>
    </w:p>
    <w:p w14:paraId="124FAE1C" w14:textId="77777777" w:rsidR="00A8138F" w:rsidRDefault="00A8138F" w:rsidP="00A8138F">
      <w:pPr>
        <w:pStyle w:val="TextoNormalCentrado"/>
        <w:keepNext/>
      </w:pPr>
      <w:r>
        <w:t>EN NOMBRE DEL REY</w:t>
      </w:r>
    </w:p>
    <w:p w14:paraId="51C41C95" w14:textId="6B896E0C" w:rsidR="00A8138F" w:rsidRDefault="00A8138F" w:rsidP="00A8138F">
      <w:pPr>
        <w:pStyle w:val="TextoNormalCentrado"/>
        <w:keepNext/>
      </w:pPr>
    </w:p>
    <w:p w14:paraId="79777386" w14:textId="77777777" w:rsidR="00A8138F" w:rsidRDefault="00A8138F" w:rsidP="00A8138F">
      <w:pPr>
        <w:pStyle w:val="TextoNormalCentrado"/>
        <w:keepNext/>
      </w:pPr>
    </w:p>
    <w:p w14:paraId="77691398" w14:textId="77777777" w:rsidR="00A8138F" w:rsidRDefault="00A8138F" w:rsidP="00A8138F">
      <w:pPr>
        <w:pStyle w:val="TextoNormal"/>
      </w:pPr>
      <w:r>
        <w:t>la siguiente</w:t>
      </w:r>
    </w:p>
    <w:p w14:paraId="5676EDB7" w14:textId="2B8A659D" w:rsidR="00A8138F" w:rsidRDefault="00A8138F" w:rsidP="00A8138F">
      <w:pPr>
        <w:pStyle w:val="TextoNormal"/>
      </w:pPr>
    </w:p>
    <w:p w14:paraId="1279E20C" w14:textId="77777777" w:rsidR="00A8138F" w:rsidRDefault="00A8138F" w:rsidP="00A8138F">
      <w:pPr>
        <w:pStyle w:val="TextoNormalCentrado"/>
        <w:keepNext/>
      </w:pPr>
      <w:r>
        <w:t>SENTENCIA</w:t>
      </w:r>
    </w:p>
    <w:p w14:paraId="1606C9F4" w14:textId="1D7E546F" w:rsidR="00A8138F" w:rsidRDefault="00A8138F" w:rsidP="00A8138F">
      <w:pPr>
        <w:pStyle w:val="TextoNormalCentrado"/>
        <w:keepNext/>
      </w:pPr>
    </w:p>
    <w:p w14:paraId="1E2A8FDF" w14:textId="77777777" w:rsidR="00A8138F" w:rsidRDefault="00A8138F" w:rsidP="00A8138F">
      <w:pPr>
        <w:pStyle w:val="TextoNormal"/>
      </w:pPr>
      <w:r>
        <w:t>En el recurso de amparo núm. 2126-2024, promovido por don José Miguel Morales Lambán, representado por el procurador de los tribunales don José Andrés Peralta de la Torre, bajo la dirección letrada de don Pedro Luis Martínez Ruiz, contra (i) el auto de 26 de febrero de 2024 dictado por la Sección Sexta de la Audiencia Provincial de Zaragoza en la ejecutoria penal núm. 49-2021, por el que se revocó el beneficio de la suspensión de la ejecución de las penas de prisión impuestas al demandante en sentencia núm. 459/2021, de 10 de diciembre, dictada en el marco del procedimiento abreviado núm. 771-2021 y acordó el cumplimiento de las penas de tres años y de seis meses de prisión impuestas en dicha sentencia al actor; (ii) el auto de 14 de marzo de 2024 dictado por la Sección Sexta de la Audiencia Provincial de Zaragoza en el mismo procedimiento de ejecución por el que desestimó el recurso de súplica interpuesto contra el auto de 26 de febrero de 2024, antes referido, y (iii) la diligencia de ordenación de 14 de marzo de 2024, por la que se acuerda su ingreso en prisión. Ha intervenido el Ministerio Fiscal. Ha sido ponente la magistrada doña María Luisa Balaguer Callejón.</w:t>
      </w:r>
    </w:p>
    <w:p w14:paraId="6DAD24A6" w14:textId="59DD69A4" w:rsidR="00A8138F" w:rsidRDefault="00A8138F" w:rsidP="00A8138F">
      <w:pPr>
        <w:pStyle w:val="TextoNormal"/>
      </w:pPr>
    </w:p>
    <w:p w14:paraId="31CA9F51" w14:textId="77777777" w:rsidR="00A8138F" w:rsidRDefault="00A8138F" w:rsidP="00A8138F">
      <w:pPr>
        <w:pStyle w:val="TextoNormalNegritaCentrado"/>
        <w:keepNext/>
      </w:pPr>
      <w:r>
        <w:t>I. Antecedentes</w:t>
      </w:r>
    </w:p>
    <w:p w14:paraId="0B824A83" w14:textId="20713352" w:rsidR="00A8138F" w:rsidRDefault="00A8138F" w:rsidP="00A8138F">
      <w:pPr>
        <w:pStyle w:val="TextoNormalNegritaCentrado"/>
        <w:keepNext/>
      </w:pPr>
    </w:p>
    <w:p w14:paraId="25315A7F" w14:textId="79EE9488" w:rsidR="00A8138F" w:rsidRDefault="00A8138F" w:rsidP="00A8138F">
      <w:pPr>
        <w:pStyle w:val="TextoNormal"/>
      </w:pPr>
      <w:r w:rsidRPr="00A8138F">
        <w:rPr>
          <w:rStyle w:val="NumeroAFNegritaCaracter"/>
        </w:rPr>
        <w:t>1</w:t>
      </w:r>
      <w:r>
        <w:t>. Mediante escrito que tuvo entrada en el registro de este tribunal el día 26 de marzo de 2024, el procurador de los tribunales don José Andrés Peralta de la Torre, en nombre y representación de don José Miguel Morales Lambán, bajo la dirección letrada de don Pedro Luis Martínez Ruiz, interpuso recurso de amparo contra las resoluciones judiciales citadas en el encabezamiento.</w:t>
      </w:r>
    </w:p>
    <w:p w14:paraId="37491786" w14:textId="77777777" w:rsidR="00A8138F" w:rsidRDefault="00A8138F" w:rsidP="00A8138F">
      <w:pPr>
        <w:pStyle w:val="TextoNormal"/>
      </w:pPr>
    </w:p>
    <w:p w14:paraId="22E73931" w14:textId="77777777" w:rsidR="00A8138F" w:rsidRDefault="00A8138F" w:rsidP="00A8138F">
      <w:pPr>
        <w:pStyle w:val="TextoNormal"/>
      </w:pPr>
      <w:r w:rsidRPr="00A8138F">
        <w:rPr>
          <w:rStyle w:val="NumeroAFNegritaCaracter"/>
        </w:rPr>
        <w:t>2</w:t>
      </w:r>
      <w:r>
        <w:t>. Los antecedentes procesales relevantes, relacionados de forma cronológica, son los siguientes:</w:t>
      </w:r>
    </w:p>
    <w:p w14:paraId="0F6E4C49" w14:textId="77777777" w:rsidR="00A8138F" w:rsidRDefault="00A8138F" w:rsidP="00A8138F">
      <w:pPr>
        <w:pStyle w:val="TextoNormal"/>
      </w:pPr>
    </w:p>
    <w:p w14:paraId="6424CA25" w14:textId="77777777" w:rsidR="00A8138F" w:rsidRDefault="00A8138F" w:rsidP="00A8138F">
      <w:pPr>
        <w:pStyle w:val="TextoNormal"/>
      </w:pPr>
      <w:r>
        <w:t>a) Por sentencia firme núm. 459/2021, de 10 de diciembre, dictada por la Sección Sexta de la Audiencia Provincial de Zaragoza, el demandante fue condenado, junto con otros dos acusados, como autor de un delito contra la salud pública en el que concurrió la circunstancia atenuante simple de toxicomanía, a la pena de tres años de prisión con la accesoria de inhabilitación especial para el derecho de sufragio pasivo durante el tiempo de la condena y multa de 65 000 € con la responsabilidad personal subsidiaria de dos meses para el caso de impago; y como autor de un delito de pertenencia a grupo criminal en el que, asimismo, concurrió la circunstancia atenuante simple de toxicomanía, a la pena de seis meses de prisión, con la accesoria de inhabilitación especial para el derecho de sufragio pasivo durante el tiempo de la condena.</w:t>
      </w:r>
    </w:p>
    <w:p w14:paraId="2D5B54B9" w14:textId="77777777" w:rsidR="00A8138F" w:rsidRDefault="00A8138F" w:rsidP="00A8138F">
      <w:pPr>
        <w:pStyle w:val="TextoNormal"/>
      </w:pPr>
    </w:p>
    <w:p w14:paraId="48A5D55C" w14:textId="77777777" w:rsidR="00A8138F" w:rsidRDefault="00A8138F" w:rsidP="00A8138F">
      <w:pPr>
        <w:pStyle w:val="TextoNormal"/>
      </w:pPr>
      <w:r>
        <w:t>b) Incoado el correspondiente procedimiento de ejecución (ejecutoria penal núm. 49-2021) por la Sección Sexta de la Audiencia Provincial de Zaragoza, el demandante, mediante escrito de 18 de enero de 2022, ampliado el 31 de enero del mismo año, solicitó que acordase la suspensión de la ejecución de las penas de prisión que le fueron impuestas al amparo del art. 80.5 del Código penal (CP) dado que, en síntesis, (i) ninguna de las penas de prisión impuestas excedía de cinco años de duración, (ii) en las conductas por las que se le condenó se apreció la concurrencia de la circunstancia atenuante simple de drogadicción y (iii) acreditó que había iniciado tratamiento de deshabituación de tóxicos al tiempo de la solicitud, en concreto el 30 de diciembre de 2021, y que había acudido a todos los controles semanales pautados estando pendiente de primera consulta con el médico psiquiatra.</w:t>
      </w:r>
    </w:p>
    <w:p w14:paraId="4B7C8F3C" w14:textId="77777777" w:rsidR="00A8138F" w:rsidRDefault="00A8138F" w:rsidP="00A8138F">
      <w:pPr>
        <w:pStyle w:val="TextoNormal"/>
      </w:pPr>
    </w:p>
    <w:p w14:paraId="301BAC79" w14:textId="77777777" w:rsidR="00A8138F" w:rsidRDefault="00A8138F" w:rsidP="00A8138F">
      <w:pPr>
        <w:pStyle w:val="TextoNormal"/>
      </w:pPr>
      <w:r>
        <w:t>c) En respuesta a dicha solicitud, el 24 de febrero de 2022 el tribunal de ejecución dictó auto por el que, de acuerdo con lo prevenido en el art. 80.5 CP, acordó conceder al demandante la “suspensión por drogadicción interesada de las penas de tres años de prisión por un delito contra la salud pública y de seis meses de prisión por un delito de grupo criminal que le fueron respectivamente impuestas en sentencia de fecha 10 de diciembre de 2021 […] por plazo de cinco años, apercibiéndose al condenado de que de abandonar en tratamiento durante dicho plazo o de cometer un nuevo delito le será revocada la suspensión”.</w:t>
      </w:r>
    </w:p>
    <w:p w14:paraId="13624172" w14:textId="77777777" w:rsidR="00A8138F" w:rsidRDefault="00A8138F" w:rsidP="00A8138F">
      <w:pPr>
        <w:pStyle w:val="TextoNormal"/>
      </w:pPr>
    </w:p>
    <w:p w14:paraId="020B51C7" w14:textId="77777777" w:rsidR="00A8138F" w:rsidRDefault="00A8138F" w:rsidP="00A8138F">
      <w:pPr>
        <w:pStyle w:val="TextoNormal"/>
      </w:pPr>
      <w:r>
        <w:t xml:space="preserve">En el fundamento jurídico segundo de dicha resolución justificó la concesión del beneficio suspensivo del siguiente modo: “En el presente caso concurren todas y cada una de las indicadas circunstancias al haberse acreditado que el condenado se encuentra cumpliendo tratamiento de deshabituación en la unidad de atención y seguimiento de las adicciones de las Cinco Villas, lo que le hace acreedor de la concesión del beneficio, que en atención a la </w:t>
      </w:r>
      <w:r>
        <w:lastRenderedPageBreak/>
        <w:t>naturaleza de los delitos cometidos la Sala estima procedente por tiempo de cinco años con expreso apercibimiento de que de abandonar en tratamiento durante dicho plazo o de cometer un nuevo delito le será revocada la suspensión”.</w:t>
      </w:r>
    </w:p>
    <w:p w14:paraId="2D49A9E8" w14:textId="77777777" w:rsidR="00A8138F" w:rsidRDefault="00A8138F" w:rsidP="00A8138F">
      <w:pPr>
        <w:pStyle w:val="TextoNormal"/>
      </w:pPr>
    </w:p>
    <w:p w14:paraId="67EB9FEB" w14:textId="77777777" w:rsidR="00A8138F" w:rsidRDefault="00A8138F" w:rsidP="00A8138F">
      <w:pPr>
        <w:pStyle w:val="TextoNormal"/>
      </w:pPr>
      <w:r>
        <w:t>d) Por diligencia de ordenación de 25 de marzo de 2022, el letrado de la administración de justicia acordó, entre otros extremos, que se oficiase al centro de deshabituación en el que estaba siendo atendido el actor, la unidad de atención y seguimiento de las adicciones de las Cinco Villas, para que informase con una periodicidad trimestral a ese tribunal sobre la evolución en el tratamiento de desintoxicación de don José Miguel Morales Lambán y si lo cumple debidamente, y de forma inmediata si fuera abandonado.</w:t>
      </w:r>
    </w:p>
    <w:p w14:paraId="4BECA7DB" w14:textId="77777777" w:rsidR="00A8138F" w:rsidRDefault="00A8138F" w:rsidP="00A8138F">
      <w:pPr>
        <w:pStyle w:val="TextoNormal"/>
      </w:pPr>
    </w:p>
    <w:p w14:paraId="485B2802" w14:textId="77777777" w:rsidR="00A8138F" w:rsidRDefault="00A8138F" w:rsidP="00A8138F">
      <w:pPr>
        <w:pStyle w:val="TextoNormal"/>
      </w:pPr>
      <w:r>
        <w:t>En cumplimiento de dicho mandato se ofició a la unidad de atención y seguimiento de las adicciones de las Cinco Villas en los términos expuestos. Este centro informó al tribunal de ejecución el 4 de mayo de 2022, el 20 de septiembre de 2022, el 9 de enero de 2023, el 15 de marzo de 2023, el 4 de julio de 2023 y el 11 de octubre de 2023. En este último informe se especifica que “[a]l paciente se le realizan controles analíticos de orina todas las semanas para descartar el consumo de drogas. […] El paciente no ha abandonado el tratamiento. De abril a julio hubo un aumento del consumo de cocaína y se habló con el paciente la posibilidad de ver a la psiquiatra para ayuda farmacológica que el paciente rechazó, pero ha continuado acudiendo a las citas programadas con la trabajadora social y a los controles analíticos. Los últimos controles son negativos”.</w:t>
      </w:r>
    </w:p>
    <w:p w14:paraId="54437DE5" w14:textId="77777777" w:rsidR="00A8138F" w:rsidRDefault="00A8138F" w:rsidP="00A8138F">
      <w:pPr>
        <w:pStyle w:val="TextoNormal"/>
      </w:pPr>
    </w:p>
    <w:p w14:paraId="43F5DAE0" w14:textId="77777777" w:rsidR="00A8138F" w:rsidRDefault="00A8138F" w:rsidP="00A8138F">
      <w:pPr>
        <w:pStyle w:val="TextoNormal"/>
      </w:pPr>
      <w:r>
        <w:t>e) Por auto de 9 de julio de 2021, dictado por el Juzgado de Instrucción núm. 10 de Zaragoza, se declaró insolvente al demandante en el marco de la investigación judicial de los hechos por los que fue condenado. Tras dicha declaración, el actor, por escritos de 10 de mayo y 13 de julio de 2022, interesó que le fuese sustituida la pena de multa de 65 000 € por la de prisión de dos meses, al amparo del art. 53 CP y, a continuación, que le fuese suspendida de conformidad con lo dispuesto en el artículo 80.1 y 2 CP (suspensión ordinaria) o alternativamente al amparo del apartado 5 de dicho precepto (suspensión extraordinaria en supuestos de drogadicción).</w:t>
      </w:r>
    </w:p>
    <w:p w14:paraId="634F72D5" w14:textId="77777777" w:rsidR="00A8138F" w:rsidRDefault="00A8138F" w:rsidP="00A8138F">
      <w:pPr>
        <w:pStyle w:val="TextoNormal"/>
      </w:pPr>
    </w:p>
    <w:p w14:paraId="54928795" w14:textId="77777777" w:rsidR="00A8138F" w:rsidRDefault="00A8138F" w:rsidP="00A8138F">
      <w:pPr>
        <w:pStyle w:val="TextoNormal"/>
      </w:pPr>
      <w:r>
        <w:t xml:space="preserve">f) El 29 de septiembre de 2022, la Sección Sexta de la Audiencia Provincial de Zaragoza dictó auto por el que acordó conceder “la suspensión interesada […] por plazo de dos años apercibiéndose al condenado de que de cometer un nuevo delito durante dicho plazo le será revocada la suspensión”. En su fundamentación jurídica el tribunal de ejecución justificó su decisión en el hecho de que “[e]fectivamente concurren en el presente caso los requisitos previstos </w:t>
      </w:r>
      <w:r w:rsidRPr="00A8138F">
        <w:rPr>
          <w:i/>
        </w:rPr>
        <w:t>ex</w:t>
      </w:r>
      <w:r>
        <w:t xml:space="preserve"> art. 80.1 y 2 [del Código] penal ya que el penado […] es delincuente primario y no hay responsabilidad civil que satisfacer”.</w:t>
      </w:r>
    </w:p>
    <w:p w14:paraId="7EF0C1A8" w14:textId="77777777" w:rsidR="00A8138F" w:rsidRDefault="00A8138F" w:rsidP="00A8138F">
      <w:pPr>
        <w:pStyle w:val="TextoNormal"/>
      </w:pPr>
    </w:p>
    <w:p w14:paraId="520DE82E" w14:textId="77777777" w:rsidR="00A8138F" w:rsidRDefault="00A8138F" w:rsidP="00A8138F">
      <w:pPr>
        <w:pStyle w:val="TextoNormal"/>
      </w:pPr>
      <w:r>
        <w:t>g) Posteriormente, y durante los plazos de suspensión concedidos, por sentencia firme núm. 296/2022, de 5 de diciembre, dictada por el Juzgado de lo Penal núm. 6 de Zaragoza, el demandante fue condenado como autor de un delito contra la seguridad vial en su modalidad de conducción bajo los efectos del alcohol del art. 379 CP a las penas de multa de ocho meses con una cuota diaria de seis euros y responsabilidad personal subsidiaria del artículo 53 CP en caso de impago o insolvencia, y privación del derecho a conducir vehículos a motor y ciclomotores durante un año y tres meses. Dicha sentencia devino firme el 17 de enero de 2024.</w:t>
      </w:r>
    </w:p>
    <w:p w14:paraId="2BB4B55E" w14:textId="77777777" w:rsidR="00A8138F" w:rsidRDefault="00A8138F" w:rsidP="00A8138F">
      <w:pPr>
        <w:pStyle w:val="TextoNormal"/>
      </w:pPr>
    </w:p>
    <w:p w14:paraId="38C23095" w14:textId="77777777" w:rsidR="00A8138F" w:rsidRDefault="00A8138F" w:rsidP="00A8138F">
      <w:pPr>
        <w:pStyle w:val="TextoNormal"/>
      </w:pPr>
      <w:r>
        <w:lastRenderedPageBreak/>
        <w:t>h) Remitido testimonio de dicha sentencia al tribunal de la ejecución, este dio traslado a las partes para que alegasen cuanto estimasen procedente en orden a la posible revocación de la suspensión de la ejecución de las penas de prisión antes referidas.</w:t>
      </w:r>
    </w:p>
    <w:p w14:paraId="6DD6E188" w14:textId="77777777" w:rsidR="00A8138F" w:rsidRDefault="00A8138F" w:rsidP="00A8138F">
      <w:pPr>
        <w:pStyle w:val="TextoNormal"/>
      </w:pPr>
    </w:p>
    <w:p w14:paraId="277BE6AA" w14:textId="77777777" w:rsidR="00A8138F" w:rsidRDefault="00A8138F" w:rsidP="00A8138F">
      <w:pPr>
        <w:pStyle w:val="TextoNormal"/>
      </w:pPr>
      <w:r>
        <w:t>A tal efecto, el Ministerio Fiscal interesó la revocación de la suspensión de aquellas penas dado el incumplimiento de las condiciones impuestas al actor para su mantenimiento.</w:t>
      </w:r>
    </w:p>
    <w:p w14:paraId="39BFB00B" w14:textId="77777777" w:rsidR="00A8138F" w:rsidRDefault="00A8138F" w:rsidP="00A8138F">
      <w:pPr>
        <w:pStyle w:val="TextoNormal"/>
      </w:pPr>
    </w:p>
    <w:p w14:paraId="7B911FA4" w14:textId="77777777" w:rsidR="00A8138F" w:rsidRDefault="00A8138F" w:rsidP="00A8138F">
      <w:pPr>
        <w:pStyle w:val="TextoNormal"/>
      </w:pPr>
      <w:r>
        <w:t>Por su parte, el ahora demandante se opuso a la referida revocación por escrito de 13 de enero de 2024, en el que justificó su oposición (i) en la distinta naturaleza de los delitos cometidos (los primeros vinculados con el tráfico de drogas, y el último con la seguridad vial); (ii) en el hecho de que, a su juicio, había cumplido las reglas de conducta fijadas “habiéndose acreditado en el presente procedimiento la continuidad del tratamiento de deshabituación del penado, que está siguiendo el tratamiento de forma adecuada”; y (iii) en sus circunstancias personales, al hallarse al tiempo de la presentación de dicho escrito sometido a tratamiento médico por lesiones graves padecidas en un ojo. Por todo ello concluyó que “no procede revocar el beneficio de la suspensión de la ejecución de la pena, al estimarse que el incumplimiento de su obligación de no delinquir durante el plazo de garantía no tiene carácter grave o reiterado”. En su caso, sería de aplicación el artículo 86.2 CP, que establece que, si el incumplimiento de las prohibiciones, deberes o condiciones no hubiera tenido carácter grave o reiterado, el juez o tribunal podrá: a) imponer al penado nuevas prohibiciones, deberes o condiciones, o modificar las ya impuestas; b) prorrogar el plazo de suspensión, sin que en ningún caso pueda exceder de la mitad de la duración del que hubiera sido inicialmente fijado”.</w:t>
      </w:r>
    </w:p>
    <w:p w14:paraId="56325FEC" w14:textId="77777777" w:rsidR="00A8138F" w:rsidRDefault="00A8138F" w:rsidP="00A8138F">
      <w:pPr>
        <w:pStyle w:val="TextoNormal"/>
      </w:pPr>
    </w:p>
    <w:p w14:paraId="3E6BCEF7" w14:textId="77777777" w:rsidR="00A8138F" w:rsidRDefault="00A8138F" w:rsidP="00A8138F">
      <w:pPr>
        <w:pStyle w:val="TextoNormal"/>
      </w:pPr>
      <w:r>
        <w:t>i) Por auto de 26 de febrero de 2024 la Sección Sexta de la Audiencia Provincial de Zaragoza dictó auto de revocación de la suspensión de la ejecución de las penas impuestas en sentencia de 10 de diciembre de 2021. En su fundamentación jurídica justificó su decisión revocatoria del siguiente modo:</w:t>
      </w:r>
    </w:p>
    <w:p w14:paraId="2D364BD1" w14:textId="77777777" w:rsidR="00A8138F" w:rsidRDefault="00A8138F" w:rsidP="00A8138F">
      <w:pPr>
        <w:pStyle w:val="TextoNormal"/>
      </w:pPr>
    </w:p>
    <w:p w14:paraId="5545176B" w14:textId="77777777" w:rsidR="00A8138F" w:rsidRDefault="00A8138F" w:rsidP="00A8138F">
      <w:pPr>
        <w:pStyle w:val="TextoNormal"/>
      </w:pPr>
      <w:r>
        <w:t xml:space="preserve">«Único.- El art. 86[.1 a)] del Código penal en su nueva redacción otorgada por las Leyes Orgánicas 1/2015 y 2/2015, de 30 de marzo, es taxativo al disponer que “el juez o tribunal ‘revocará’ la suspensión […] cuando el penado […] sea condenado por un delito cometido durante el periodo de suspensión y ello ponga de manifiesto que la expectativa en la que se fundaba la decisión de suspensión adoptada ya no puede ser mantenida”, no tratándose, pues, de una facultad discrecional del juez que el legislador hubiera descrito con el término “podrá”, sino de un mandato expreso, si bien la nueva redacción añade como requisito que la comisión del nuevo delito ha de poner “de manifiesto que la expectativa en la que se fundaba la decisión de suspensión adoptada ya no puede ser mantenida”. La [parte] recurrente parece desconocer que la revocación del beneficio de la suspensión, tanto en la legislación derogada como conforme a la actual redacción del CP otorgada por la Ley Orgánica 1/2015, de 30 de marzo, es de carácter imperativo, bastando con la simple concurrencia de alguno de los supuestos enunciados </w:t>
      </w:r>
      <w:r w:rsidRPr="00A8138F">
        <w:rPr>
          <w:i/>
        </w:rPr>
        <w:t>ex</w:t>
      </w:r>
      <w:r>
        <w:t xml:space="preserve"> art. 86.1 del Código penal, tal y como queda claramente puesto de manifiesto por la utilización de la oración “[e]l juez o tribunal revocará la suspensión y ordenará la ejecución de la pena cuando el penado”, lo que conlleva en sí mismo la revocación del beneficio».</w:t>
      </w:r>
    </w:p>
    <w:p w14:paraId="5E4F2B10" w14:textId="77777777" w:rsidR="00A8138F" w:rsidRDefault="00A8138F" w:rsidP="00A8138F">
      <w:pPr>
        <w:pStyle w:val="TextoNormal"/>
      </w:pPr>
    </w:p>
    <w:p w14:paraId="181FF1EC" w14:textId="77777777" w:rsidR="00A8138F" w:rsidRDefault="00A8138F" w:rsidP="00A8138F">
      <w:pPr>
        <w:pStyle w:val="TextoNormal"/>
      </w:pPr>
      <w:r>
        <w:t xml:space="preserve">j) Contra dicho auto el actor interpuso recurso de súplica el 6 de marzo de 2024. En su fundamentación jurídica denunció la errónea motivación del auto recurrido al contrariar la </w:t>
      </w:r>
      <w:r>
        <w:lastRenderedPageBreak/>
        <w:t>doctrina del Tribunal Constitucional sintetizada, entre otras, en las SSTC 32/2022, de 7 de marzo, y 184/2023, de 11 de diciembre. En concreto, afirmó que “aunque en el auto recurrido se indica expresamente: ‘la comisión del nuevo delito ha de poner de manifiesto que la expectativa en la que se fundaba la decisión de suspensión adoptada ya no puede ser mantenida’, nada se indica en torno a la concurrencia o no de tal requisito, ni existe motivación sobre las razones por las que pudiera haberse puesto de manifiesto que la expectativa no puede ser mantenida, ni se justifica la revocación tras una ponderación de la gravedad y naturaleza del nuevo delito cometido, ni las circunstancias personales del penado y los valores comprometidos en la decisión, conforme exige la doctrina constitucional; falta de motivación que vulnera el derecho a la tutela judicial efectiva […] en su vertiente del deber de motivación reforzada, en relación con [el] derecho a la libertad personal (artículo 17.1 CE) como efectos de la decisión de la Sala de revocar la suspensión de la ejecución de la pena (artículo 24.1 CE)”.</w:t>
      </w:r>
    </w:p>
    <w:p w14:paraId="76B2C584" w14:textId="77777777" w:rsidR="00A8138F" w:rsidRDefault="00A8138F" w:rsidP="00A8138F">
      <w:pPr>
        <w:pStyle w:val="TextoNormal"/>
      </w:pPr>
    </w:p>
    <w:p w14:paraId="7BC08D39" w14:textId="77777777" w:rsidR="00A8138F" w:rsidRDefault="00A8138F" w:rsidP="00A8138F">
      <w:pPr>
        <w:pStyle w:val="TextoNormal"/>
      </w:pPr>
      <w:r>
        <w:t>A continuación, tras reproducir el contenido sustancial de los fundamentos jurídicos 2 y 3 de la STC 184/2023, de 11 de diciembre, concluyó haber “cumplido de forma suficiente las reglas de conducta fijadas por el juzgado, habiéndose acreditado en el presente procedimiento la continuidad del tratamiento de deshabituación del penado, que está siguiendo de forma adecuada” y que “peligraría la continuidad en su trabajo, del que probablemente sería despedido de ingresar en prisión”; e interesa que, en su caso, sea aplicado el art. 86.2 CP en el que se establece, bien la posibilidad de aplicar nuevas medidas o condiciones o modificar las ya impuestas, bien la prórroga del plazo de suspensión fijado.</w:t>
      </w:r>
    </w:p>
    <w:p w14:paraId="2756CF88" w14:textId="77777777" w:rsidR="00A8138F" w:rsidRDefault="00A8138F" w:rsidP="00A8138F">
      <w:pPr>
        <w:pStyle w:val="TextoNormal"/>
      </w:pPr>
    </w:p>
    <w:p w14:paraId="5CB01431" w14:textId="775C1E4B" w:rsidR="00A8138F" w:rsidRDefault="00A8138F" w:rsidP="00A8138F">
      <w:pPr>
        <w:pStyle w:val="TextoNormal"/>
      </w:pPr>
      <w:r>
        <w:t xml:space="preserve">k) El recurso fue desestimado por el tribunal de la ejecución por auto de 14 de marzo de 2024, previa audiencia del Ministerio Fiscal. En su fundamentación jurídica se limitó a afirmar que: “Son los mismos fundamentos expuestos en el auto recurrido los que auspician su ratificación. Frente a la argumentación del recurrente, la comisión de este nuevo delito ha puesto de manifiesto que la expectativa en que se fundaba la decisión de la suspensión ya no puede ser mantenida ya que como manifiesta el Ministerio Fiscal en su informe de fecha 8 de marzo de 2024 aunque el delito de conducción bajo la influencia de bebidas alcohólicas es de distinta naturaleza, ha seguido consumiendo sustancias estupefacientes. Tal y como se dice en la resolución impugnada la revocación del beneficio de suspensión es de carácter imperativo bastando con la simple concurrencia de alguno de los supuestos enunciados </w:t>
      </w:r>
      <w:r w:rsidRPr="00A8138F">
        <w:rPr>
          <w:i/>
        </w:rPr>
        <w:t>ex</w:t>
      </w:r>
      <w:r>
        <w:t xml:space="preserve"> art. 86.1 del Código penal”.</w:t>
      </w:r>
    </w:p>
    <w:p w14:paraId="24EA21C1" w14:textId="77777777" w:rsidR="00A8138F" w:rsidRDefault="00A8138F" w:rsidP="00A8138F">
      <w:pPr>
        <w:pStyle w:val="TextoNormal"/>
      </w:pPr>
    </w:p>
    <w:p w14:paraId="6BC28E79" w14:textId="77777777" w:rsidR="00A8138F" w:rsidRDefault="00A8138F" w:rsidP="00A8138F">
      <w:pPr>
        <w:pStyle w:val="TextoNormal"/>
      </w:pPr>
      <w:r w:rsidRPr="00A8138F">
        <w:rPr>
          <w:rStyle w:val="NumeroAFNegritaCaracter"/>
        </w:rPr>
        <w:t>3</w:t>
      </w:r>
      <w:r>
        <w:t>. El demandante, a través de su representación procesal, interpuso recurso de amparo el 26 de marzo de 2024, en el que denuncia como único motivo de impugnación la vulneración del derecho a la libertad (art. 17.1 CE) en relación con el derecho a la tutela judicial efectiva (art. 24.1 CE) en su vertiente de exigencia de motivación reforzada.</w:t>
      </w:r>
    </w:p>
    <w:p w14:paraId="42F4E670" w14:textId="77777777" w:rsidR="00A8138F" w:rsidRDefault="00A8138F" w:rsidP="00A8138F">
      <w:pPr>
        <w:pStyle w:val="TextoNormal"/>
      </w:pPr>
    </w:p>
    <w:p w14:paraId="53A34F8B" w14:textId="77777777" w:rsidR="00A8138F" w:rsidRDefault="00A8138F" w:rsidP="00A8138F">
      <w:pPr>
        <w:pStyle w:val="TextoNormal"/>
      </w:pPr>
      <w:r>
        <w:t>El actor, con fundamento en distinta doctrina del Tribunal Constitucional relativa al deber de motivación en supuestos de revocación del beneficio de la suspensión de la ejecución de la pena de prisión y del derecho a la libertad personal (art. 17 CE), en particular la expuesta en la STC 32/2022, de 7 de marzo, denuncia la vulneración del derecho a la libertad (art. 17.1 CE) en relación con el derecho a la tutela judicial efectiva (art. 24.1 CE) en su vertiente de exigencia de motivación reforzada, que pone en relación con la justificación motivacional de las resoluciones impugnadas en amparo.</w:t>
      </w:r>
    </w:p>
    <w:p w14:paraId="27846613" w14:textId="77777777" w:rsidR="00A8138F" w:rsidRDefault="00A8138F" w:rsidP="00A8138F">
      <w:pPr>
        <w:pStyle w:val="TextoNormal"/>
      </w:pPr>
    </w:p>
    <w:p w14:paraId="08B1DE02" w14:textId="77777777" w:rsidR="00A8138F" w:rsidRDefault="00A8138F" w:rsidP="00A8138F">
      <w:pPr>
        <w:pStyle w:val="TextoNormal"/>
      </w:pPr>
      <w:r>
        <w:lastRenderedPageBreak/>
        <w:t xml:space="preserve">A tal efecto, afirma que, “el auto de 26 de febrero de 2024 por el que se acuerda la revocación de la suspensión de la ejecución de la pena de prisión omite toda referencia a las circunstancias del caso: la diferente naturaleza y pena del nuevo delito cometido, y su menor gravedad. Y, en segundo término, justifica la decisión revocatoria de forma estereotipada, mediante la genérica referencia a la normativa aplicable. Todo ello evidencia que el tribunal </w:t>
      </w:r>
      <w:r w:rsidRPr="00A8138F">
        <w:rPr>
          <w:i/>
        </w:rPr>
        <w:t>a quo</w:t>
      </w:r>
      <w:r>
        <w:t xml:space="preserve"> fundamentó su resolución en la mera comisión de un nuevo delito, sin ponderar, por tanto, las circunstancias concurrentes ni los valores y bienes constitucionales en juego, en contravención con la doctrina del Tribunal Constitucional”.</w:t>
      </w:r>
    </w:p>
    <w:p w14:paraId="24E1D8FA" w14:textId="77777777" w:rsidR="00A8138F" w:rsidRDefault="00A8138F" w:rsidP="00A8138F">
      <w:pPr>
        <w:pStyle w:val="TextoNormal"/>
      </w:pPr>
    </w:p>
    <w:p w14:paraId="1C91B94A" w14:textId="77777777" w:rsidR="00A8138F" w:rsidRDefault="00A8138F" w:rsidP="00A8138F">
      <w:pPr>
        <w:pStyle w:val="TextoNormal"/>
      </w:pPr>
      <w:r>
        <w:t>Continúa afirmando la demanda que la infracción del “deber de motivación no radica solo en la falta absoluta de valoración de las circunstancias concurrentes con infracción del deber de ponderación, sino también en la inconsistente calificación del nuevo delito: ‘la comisión de este nuevo delito ha puesto de manifiesto que la expectativa en que se fundaba la decisión de la suspensión ya no puede ser mantenida ya que como manifiesta el Ministerio Fiscal en su informe de fecha 8 de marzo de 2024 aunque el delito de conducción bajo la influencia de bebidas alcohólicas es de distinta naturaleza, ha seguido consumiendo sustancias estupefacientes’, pues no puede reputarse como tal la comisión de un delito de distinta naturaleza y pena por el hecho de que el penado pudiera haber sufrido recaídas durante el tratamiento de deshabituación, lo que en todo caso no evidencia el abandono del tratamiento”.</w:t>
      </w:r>
    </w:p>
    <w:p w14:paraId="0A8B669E" w14:textId="77777777" w:rsidR="00A8138F" w:rsidRDefault="00A8138F" w:rsidP="00A8138F">
      <w:pPr>
        <w:pStyle w:val="TextoNormal"/>
      </w:pPr>
    </w:p>
    <w:p w14:paraId="3AF8B61B" w14:textId="77777777" w:rsidR="00A8138F" w:rsidRDefault="00A8138F" w:rsidP="00A8138F">
      <w:pPr>
        <w:pStyle w:val="TextoNormal"/>
      </w:pPr>
      <w:r>
        <w:t>A fin de acreditar su aserto aporta un documento de la unidad de atención y seguimiento de las adicciones de las Cinco Villas, de 19 de marzo de 2024, en el que se afirma que “el paciente ha acudido regularmente a todas las citas que tenía previstas y según se objetiva en los resultados de los controles ha habido una disminución del consumo de drogas”.</w:t>
      </w:r>
    </w:p>
    <w:p w14:paraId="292DBA7E" w14:textId="77777777" w:rsidR="00A8138F" w:rsidRDefault="00A8138F" w:rsidP="00A8138F">
      <w:pPr>
        <w:pStyle w:val="TextoNormal"/>
      </w:pPr>
    </w:p>
    <w:p w14:paraId="1F35037F" w14:textId="77777777" w:rsidR="00A8138F" w:rsidRDefault="00A8138F" w:rsidP="00A8138F">
      <w:pPr>
        <w:pStyle w:val="TextoNormal"/>
      </w:pPr>
      <w:r>
        <w:t>Concluye, en definitiva, que “la resolución impugnada no puede anclar la revocación de la suspensión en la comisión de un nuevo delito, de distinta naturaleza, por haber consumido sustancias estupefacientes, que no evidencian un abandono definitivo del tratamiento de deshabituación, como consecuencia automática de dicha circunstancia, pues con ello no se argumentan las razones por las cuales el órgano judicial de ejecución califica que la comisión del nuevo delito pone de manifiesto que la expectativa de la suspensión no puede mantenerse, y no solo se vulnera nuevamente la tutela judicial, sino que se obvia ponderar las circunstancias individuales del penado como exige la orientación de la suspensión a hacer efectivo el principio de reeducación y reinserción social”.</w:t>
      </w:r>
    </w:p>
    <w:p w14:paraId="0E74297E" w14:textId="77777777" w:rsidR="00A8138F" w:rsidRDefault="00A8138F" w:rsidP="00A8138F">
      <w:pPr>
        <w:pStyle w:val="TextoNormal"/>
      </w:pPr>
    </w:p>
    <w:p w14:paraId="6CA478D3" w14:textId="77777777" w:rsidR="00A8138F" w:rsidRDefault="00A8138F" w:rsidP="00A8138F">
      <w:pPr>
        <w:pStyle w:val="TextoNormal"/>
      </w:pPr>
      <w:r>
        <w:t>Dicha argumentación la extiende, asimismo, al auto resolutorio del recurso de súplica dado que reitera, en definitiva, que “la común motivación ofrecida por las resoluciones impugnadas no colma las exigencias reforzadas que impone el artículo 24.1 CE en relación con el artículo 17 CE, que en estos supuestos exige una motivación reforzada”.</w:t>
      </w:r>
    </w:p>
    <w:p w14:paraId="5B0187C5" w14:textId="77777777" w:rsidR="00A8138F" w:rsidRDefault="00A8138F" w:rsidP="00A8138F">
      <w:pPr>
        <w:pStyle w:val="TextoNormal"/>
      </w:pPr>
    </w:p>
    <w:p w14:paraId="49D49757" w14:textId="77777777" w:rsidR="00A8138F" w:rsidRDefault="00A8138F" w:rsidP="00A8138F">
      <w:pPr>
        <w:pStyle w:val="TextoNormal"/>
      </w:pPr>
      <w:r>
        <w:t xml:space="preserve">Finalmente, en el suplico de la demanda solicita que (i) se declare que ha sido vulnerado su derecho a la tutela judicial efectiva (art. 24.1 CE) en relación con el derecho a la libertad (art. 17.1 CE) y que (ii) se le restablezca en la integridad de sus derechos y, en consecuencia, proceda a “declarar la nulidad y revocación de las resoluciones dictadas por la Sección Sexta de la Audiencia Provincial de Zaragoza en la ejecutoria penal núm. 49-2021 —pieza individual condenado 02— (dimanante del procedimiento abreviado núm. 771-2021 de la misma Sala); del auto de 14 de marzo de 2024, mediante el que se desestima el recurso de </w:t>
      </w:r>
      <w:r>
        <w:lastRenderedPageBreak/>
        <w:t>súplica interpuesto por esta defensa; del auto de 26 de febrero de 2024 dictado en el mismo procedimiento, que decreta la revocación del beneficio de la suspensión de la ejecución de las penas de prisión impuestas al señor Morales y su ingreso en prisión; y de la diligencia de ordenación de 14 de marzo de 2024, dejando sin efecto la revocación de la condena y el ingreso en prisión, con el mantenimiento de la suspensión de la ejecución de las penas de prisión en su día acordada”.</w:t>
      </w:r>
    </w:p>
    <w:p w14:paraId="6120FBA0" w14:textId="77777777" w:rsidR="00A8138F" w:rsidRDefault="00A8138F" w:rsidP="00A8138F">
      <w:pPr>
        <w:pStyle w:val="TextoNormal"/>
      </w:pPr>
    </w:p>
    <w:p w14:paraId="1E9F60EA" w14:textId="52E72F12" w:rsidR="00A8138F" w:rsidRDefault="00A8138F" w:rsidP="00A8138F">
      <w:pPr>
        <w:pStyle w:val="TextoNormal"/>
      </w:pPr>
      <w:r>
        <w:t>El recurrente solicitó por medio de otrosí en el escrito de demanda la suspensión de la ejecución de las resoluciones recurridas, respecto a los pronunciamientos en ellas contenidos relativos a la ejecución de las penas de prisión impuestas, al amparo del art. 56.6 de la Ley Orgánica del Tribunal Constitucional (LOTC).</w:t>
      </w:r>
    </w:p>
    <w:p w14:paraId="1583951E" w14:textId="77777777" w:rsidR="00A8138F" w:rsidRDefault="00A8138F" w:rsidP="00A8138F">
      <w:pPr>
        <w:pStyle w:val="TextoNormal"/>
      </w:pPr>
    </w:p>
    <w:p w14:paraId="1A76C28E" w14:textId="77777777" w:rsidR="00A8138F" w:rsidRDefault="00A8138F" w:rsidP="00A8138F">
      <w:pPr>
        <w:pStyle w:val="TextoNormal"/>
      </w:pPr>
      <w:r w:rsidRPr="00A8138F">
        <w:rPr>
          <w:rStyle w:val="NumeroAFNegritaCaracter"/>
        </w:rPr>
        <w:t>4</w:t>
      </w:r>
      <w:r>
        <w:t>. La Sección Cuarta de este tribunal dictó providencia el 1 de abril de 2024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de 25 de junio, FJ 2 f)]”; (ii) dirigir atenta comunicación a la Sección Sexta de la Audiencia Provincial de Zaragoza a fin de que, en el plazo que no exceda de diez días, remita copia adverada de lo actuado en la ejecutoria penal núm. 49-2021; y (iii) dirigir, asimismo, atenta comunicación al Juzgado de lo Penal núm. 5 de Zaragoza a fin de que, en el plazo que no exceda de diez días, remita copia adverada de las actuaciones correspondiente al juicio rápido núm. 306-2022.</w:t>
      </w:r>
    </w:p>
    <w:p w14:paraId="3835298A" w14:textId="77777777" w:rsidR="00A8138F" w:rsidRDefault="00A8138F" w:rsidP="00A8138F">
      <w:pPr>
        <w:pStyle w:val="TextoNormal"/>
      </w:pPr>
    </w:p>
    <w:p w14:paraId="5590B3B4" w14:textId="77777777" w:rsidR="00A8138F" w:rsidRDefault="00A8138F" w:rsidP="00A8138F">
      <w:pPr>
        <w:pStyle w:val="TextoNormal"/>
      </w:pPr>
      <w:r>
        <w:t>En la misma resolución se dispuso que previamente debía “emplazarse, para que en el plazo de diez días puedan comparecer, si lo desean, en el recurso de amparo a quienes hubieran sido parte en el procedimiento, en su caso, excepto [a] la parte recurrente en amparo”.</w:t>
      </w:r>
    </w:p>
    <w:p w14:paraId="7579EEE0" w14:textId="77777777" w:rsidR="00A8138F" w:rsidRDefault="00A8138F" w:rsidP="00A8138F">
      <w:pPr>
        <w:pStyle w:val="TextoNormal"/>
      </w:pPr>
    </w:p>
    <w:p w14:paraId="36056E49" w14:textId="5FE91D84" w:rsidR="00A8138F" w:rsidRDefault="00A8138F" w:rsidP="00A8138F">
      <w:pPr>
        <w:pStyle w:val="TextoNormal"/>
      </w:pPr>
      <w:r>
        <w:t>Siempre en la misma providencia de admisión del recurso de amparo, la Sección Cuarta de este tribunal, en respuesta a la petición cautelar dispuso que “[h]abiéndose solicitado por el procurador don José Andrés Peralta de la Torre, en nombre y representación del recurrente, la suspensión de la ejecución de las penas de prisión impuestas a su representado, apreciando la Sección la urgencia excepcional a que se refiere el art. 56.6 de la Ley Orgánica del Tribunal Constitucional, toda vez que dicha ejecución produciría un perjuicio de imposible o muy difícil reparación que haría perder su finalidad al recurso de amparo, [la Sección] acuerda la suspensión cautelar de la ejecución de las penas de prisión impuestas”, y acordó la formación de pieza separada para la sustanciación del incidente de suspensión.</w:t>
      </w:r>
    </w:p>
    <w:p w14:paraId="5E7E2451" w14:textId="77777777" w:rsidR="00A8138F" w:rsidRDefault="00A8138F" w:rsidP="00A8138F">
      <w:pPr>
        <w:pStyle w:val="TextoNormal"/>
      </w:pPr>
    </w:p>
    <w:p w14:paraId="55BED63A" w14:textId="093E172F" w:rsidR="00A8138F" w:rsidRDefault="00A8138F" w:rsidP="00A8138F">
      <w:pPr>
        <w:pStyle w:val="TextoNormal"/>
      </w:pPr>
      <w:r w:rsidRPr="00A8138F">
        <w:rPr>
          <w:rStyle w:val="NumeroAFNegritaCaracter"/>
        </w:rPr>
        <w:t>5</w:t>
      </w:r>
      <w:r>
        <w:t>. El 10 de abril de 2024 el letrado de la administración de justicia de la Sección Sexta de la Audiencia Provincial de Zaragoza acordó la remisión a este tribunal de testimonio de la ejecutoria penal, expediente de ejecución 49-2021, que tuvo entrada en el registro del Tribunal Constitucional el 17 de abril de 2024, siendo incorporado a las actuaciones.</w:t>
      </w:r>
    </w:p>
    <w:p w14:paraId="241A06EB" w14:textId="77777777" w:rsidR="00A8138F" w:rsidRDefault="00A8138F" w:rsidP="00A8138F">
      <w:pPr>
        <w:pStyle w:val="TextoNormal"/>
      </w:pPr>
    </w:p>
    <w:p w14:paraId="249AC710" w14:textId="2A05CDAF" w:rsidR="00A8138F" w:rsidRDefault="00A8138F" w:rsidP="00A8138F">
      <w:pPr>
        <w:pStyle w:val="TextoNormal"/>
      </w:pPr>
      <w:r w:rsidRPr="00A8138F">
        <w:rPr>
          <w:rStyle w:val="NumeroAFNegritaCaracter"/>
        </w:rPr>
        <w:t>6</w:t>
      </w:r>
      <w:r>
        <w:t>. Por diligencia de ordenación de 27 de junio de 2024 se acordó dar vista de las actuaciones a la parte recurrente y al Ministerio Fiscal, por plazo común de veinte días, a fin de que pudieran presentar las alegaciones que estimasen pertinentes conforme con lo previsto en el art. 52.1 LOTC.</w:t>
      </w:r>
    </w:p>
    <w:p w14:paraId="7CEE085C" w14:textId="77777777" w:rsidR="00A8138F" w:rsidRDefault="00A8138F" w:rsidP="00A8138F">
      <w:pPr>
        <w:pStyle w:val="TextoNormal"/>
      </w:pPr>
    </w:p>
    <w:p w14:paraId="38F233E7" w14:textId="7BA9221E" w:rsidR="00A8138F" w:rsidRDefault="00A8138F" w:rsidP="00A8138F">
      <w:pPr>
        <w:pStyle w:val="TextoNormal"/>
      </w:pPr>
      <w:r w:rsidRPr="00A8138F">
        <w:rPr>
          <w:rStyle w:val="NumeroAFNegritaCaracter"/>
        </w:rPr>
        <w:lastRenderedPageBreak/>
        <w:t>7</w:t>
      </w:r>
      <w:r>
        <w:t>. La representación procesal del recurrente presentó escrito de alegaciones el 26 de julio de 2024. A lo largo de tres apartados justifica su denuncia de vulneración del derecho fundamental a la tutela judicial efectiva del recurrente (art. 24.1 CE), en relación con el derecho a la libertad (art. 17 CE), al carecer las resoluciones impugnadas de la motivación reforzada exigible en materia de concesión de la suspensión de la ejecución de las penas privativas de libertad o de su revocación. El escrito de alegaciones reproduce en lo esencial los argumentos esgrimidos en la demanda.</w:t>
      </w:r>
    </w:p>
    <w:p w14:paraId="5A572CC8" w14:textId="77777777" w:rsidR="00A8138F" w:rsidRDefault="00A8138F" w:rsidP="00A8138F">
      <w:pPr>
        <w:pStyle w:val="TextoNormal"/>
      </w:pPr>
    </w:p>
    <w:p w14:paraId="135069F2" w14:textId="77777777" w:rsidR="00A8138F" w:rsidRDefault="00A8138F" w:rsidP="00A8138F">
      <w:pPr>
        <w:pStyle w:val="TextoNormal"/>
      </w:pPr>
      <w:r w:rsidRPr="00A8138F">
        <w:rPr>
          <w:rStyle w:val="NumeroAFNegritaCaracter"/>
        </w:rPr>
        <w:t>8</w:t>
      </w:r>
      <w:r>
        <w:t>. La fiscal ante el Tribunal Constitucional presentó escrito de alegaciones el 10 de septiembre de 2024 interesando: (i) la estimación del recurso y el otorgamiento de amparo al demandante, (ii) la declaración de vulneración del derecho a la tutela judicial efectiva sin indefensión (art. 24.1 CE) en relación con el derecho a la libertad individual (art. 17 CE) y (iii) el restablecimiento del demandante en su derecho mediante la declaración de nulidad de las resoluciones judiciales impugnadas “con retroacción de las actuaciones al momento anterior al dictado del primero de ellos, a los efectos del dictado de una resolución respetuosa con los derechos fundamentales afectados”.</w:t>
      </w:r>
    </w:p>
    <w:p w14:paraId="1FAFB492" w14:textId="77777777" w:rsidR="00A8138F" w:rsidRDefault="00A8138F" w:rsidP="00A8138F">
      <w:pPr>
        <w:pStyle w:val="TextoNormal"/>
      </w:pPr>
    </w:p>
    <w:p w14:paraId="19FF1DFC" w14:textId="77777777" w:rsidR="00A8138F" w:rsidRDefault="00A8138F" w:rsidP="00A8138F">
      <w:pPr>
        <w:pStyle w:val="TextoNormal"/>
      </w:pPr>
      <w:r>
        <w:t>En el análisis de fondo del recurso, la fiscal recuerda que este tribunal ha establecido una doctrina consolidada sobre el canon reforzado de motivación de las resoluciones judiciales relativas a la concesión del beneficio de suspensión condicional y, consecuentemente, de las que acuerdan su revocación, siendo de especial referencia la doctrina establecida en relación con la revocación por incumplimiento de la satisfacción de la responsabilidad civil impuesta como condición para el otorgamiento de la suspensión (con cita de las SSTC 32/2022, de 7 de marzo; 104/2022, de 12 de septiembre; 132/2022, de 24 de octubre; 123/2023, de 25 de septiembre; 184/2023, de 11 de diciembre; 39/2024, de 11 de marzo; 70/2024, de 6 de mayo, y 78/2024, de 20 de mayo). En particular, la fiscal cita la STC 184/2023, de 11 de diciembre, en la que se resume la doctrina del Tribunal Constitucional relativa a la exigencia de una motivación reforzada, conforme al artículo 24.1 CE, en las resoluciones que afectan al derecho fundamental a la libertad, artículo 17 CE, en supuestos de suspensión de la ejecución de las penas privativas de libertad y su revocación.</w:t>
      </w:r>
    </w:p>
    <w:p w14:paraId="5F61D0BD" w14:textId="77777777" w:rsidR="00A8138F" w:rsidRDefault="00A8138F" w:rsidP="00A8138F">
      <w:pPr>
        <w:pStyle w:val="TextoNormal"/>
      </w:pPr>
    </w:p>
    <w:p w14:paraId="11796CC9" w14:textId="77777777" w:rsidR="00A8138F" w:rsidRDefault="00A8138F" w:rsidP="00A8138F">
      <w:pPr>
        <w:pStyle w:val="TextoNormal"/>
      </w:pPr>
      <w:r>
        <w:t>A continuación, la fiscal examina la denuncia de vulneración del derecho a la tutela judicial efectiva del artículo 24.1 CE, en su vertiente del deber de motivación en relación con el derecho a la libertad del artículo 17.1 CE en el caso concreto. Así, tras extractar las alegaciones del demandante y los antecedentes de hecho, procede a analizar la eventual falta de aplicación de la doctrina constitucional en el caso concreto.</w:t>
      </w:r>
    </w:p>
    <w:p w14:paraId="468A08B2" w14:textId="77777777" w:rsidR="00A8138F" w:rsidRDefault="00A8138F" w:rsidP="00A8138F">
      <w:pPr>
        <w:pStyle w:val="TextoNormal"/>
      </w:pPr>
    </w:p>
    <w:p w14:paraId="302F2955" w14:textId="77777777" w:rsidR="00A8138F" w:rsidRDefault="00A8138F" w:rsidP="00A8138F">
      <w:pPr>
        <w:pStyle w:val="TextoNormal"/>
      </w:pPr>
      <w:r>
        <w:t xml:space="preserve">(i) En relación con el auto de 26 de febrero de 2024, que acordó la revocación de la suspensión de la ejecución de las penas de prisión impuestas al demandante, la fiscal afirma que en dicha resolución la revocación de la suspensión condicional se hace depender exclusivamente de la circunstancia de la comisión de un nuevo delito, considerando que la simple concurrencia de alguno de los supuestos enunciados </w:t>
      </w:r>
      <w:r w:rsidRPr="00A8138F">
        <w:rPr>
          <w:i/>
        </w:rPr>
        <w:t>ex</w:t>
      </w:r>
      <w:r>
        <w:t xml:space="preserve"> art. 86.1 CP determina de manera imperativa la aplicación de la norma, sin ofrecer ningún razonamiento sobre la pérdida o frustración de la expectativa en que se fundaba la decisión por la que se concedió la suspensión. En concreto, la fiscal abunda en la falta de valoración de circunstancias tales como la naturaleza de los diferentes delitos, las penas que les corresponden o la relación entre ambos delitos. A ello añade que en dicha resolución se omite todo juicio de ponderación que tenga en cuenta las circunstancias personales del penado, ni se relaciona mínimamente con la fi</w:t>
      </w:r>
      <w:r>
        <w:lastRenderedPageBreak/>
        <w:t>nalidad de la institución de la suspensión condicional para evitar los efectos del ingreso en prisión en los supuestos de penas de corta duración.</w:t>
      </w:r>
    </w:p>
    <w:p w14:paraId="7A9FCF0F" w14:textId="77777777" w:rsidR="00A8138F" w:rsidRDefault="00A8138F" w:rsidP="00A8138F">
      <w:pPr>
        <w:pStyle w:val="TextoNormal"/>
      </w:pPr>
    </w:p>
    <w:p w14:paraId="16CE2653" w14:textId="77777777" w:rsidR="00A8138F" w:rsidRDefault="00A8138F" w:rsidP="00A8138F">
      <w:pPr>
        <w:pStyle w:val="TextoNormal"/>
      </w:pPr>
      <w:r>
        <w:t>(ii) A continuación, la fiscal examina la fundamentación del auto de 14 de marzo de 2024, resolutorio del recurso de súplica interpuesto por el demandante contra el auto de 26 de febrero de 2024.</w:t>
      </w:r>
    </w:p>
    <w:p w14:paraId="22A1BC51" w14:textId="77777777" w:rsidR="00A8138F" w:rsidRDefault="00A8138F" w:rsidP="00A8138F">
      <w:pPr>
        <w:pStyle w:val="TextoNormal"/>
      </w:pPr>
    </w:p>
    <w:p w14:paraId="1DBA7AC0" w14:textId="77777777" w:rsidR="00A8138F" w:rsidRDefault="00A8138F" w:rsidP="00A8138F">
      <w:pPr>
        <w:pStyle w:val="TextoNormal"/>
      </w:pPr>
      <w:r>
        <w:t>Destaca que, pese a la correcta cita por parte del demandante de la doctrina del Tribunal Constitucional aplicable en el caso concreto y su denuncia de inobservancia, el tribunal de ejecución no reparó la carencia motivacional denunciada, pues “como única justificación de la concurrencia del requisito legalmente previsto se hace referencia a la circunstancia de que el penado ha seguido consumiendo sustancias estupefacientes, si bien la condena se refiere al consumo de alcohol. Se considera que esta escueta referencia, carente de apoyo en los antecedentes de hecho de las resoluciones impugnadas, tampoco cumple con el canon reforzado de motivación que requieren los pronunciamientos sobre la suspensión de la ejecución de las penas privativas de libertad. En primer lugar, se trata de una mera referencia al cumplimiento de los requisitos legales, afirmando, de modo apodíctico, que se ha frustrado la expectativa tenida en cuenta, sin un mínimo apoyo fáctico, como podría ser solicitar al centro de deshabituación al que acude un informe sobre el pronóstico que las eventuales recaídas puedan tener en el tratamiento a que se está sometiendo. No se solventa tampoco la falta de ponderación de las circunstancias del penado, puestas en conocimiento del tribunal tanto en el momento de efectuar sus alegaciones sobre la procedencia de la revocación solicitada por el Ministerio Fiscal, como en el propio recurso de súplica. Tampoco se argumenta nada sobre la frustración de las finalidades perseguidas en el momento de acordar la suspensión, defecto que ya se había observado en el auto que acuerda la revocación”.</w:t>
      </w:r>
    </w:p>
    <w:p w14:paraId="2D8F1F9A" w14:textId="77777777" w:rsidR="00A8138F" w:rsidRDefault="00A8138F" w:rsidP="00A8138F">
      <w:pPr>
        <w:pStyle w:val="TextoNormal"/>
      </w:pPr>
    </w:p>
    <w:p w14:paraId="46DD7E87" w14:textId="77777777" w:rsidR="00A8138F" w:rsidRDefault="00A8138F" w:rsidP="00A8138F">
      <w:pPr>
        <w:pStyle w:val="TextoNormal"/>
      </w:pPr>
      <w:r>
        <w:t xml:space="preserve">Afirma que la doctrina de este tribunal relativa a la toma en consideración del requisito de la capacidad económica del reo en las resoluciones que revocan la suspensión condicional por incumplimiento del abono de la responsabilidad civil (STC 32/2022, de 7 de marzo, entre otras), circunstancia también comprendida en el art. 86.1, apartado d), CP, en lo relativo a la exigencia de una motivación reforzada, es aplicable al caso concreto </w:t>
      </w:r>
      <w:r w:rsidRPr="00A8138F">
        <w:rPr>
          <w:i/>
        </w:rPr>
        <w:t>mutatis mutandis</w:t>
      </w:r>
      <w:r>
        <w:t>, por lo que debe concluirse que el deber de motivación reforzada que impone la doctrina constitucional a los supuestos de concesión o denegación de la suspensión de la ejecución de penas privativas de libertad o de su revocación no puede quedar cumplimentado por la mera concurrencia del incumplimiento de la condición legal impuesta (art. 86.1 CP), sea impago de las cantidades debidas, sea la comisión de un nuevo delito, o el incumplimiento grave y reiterado de las condiciones impuestas, sino que requiere analizar las circunstancias efectivamente concurrentes en el penado y el nuevo delito cometido y las finalidades perseguidas mediante la concesión del beneficio para poder ponderar suficientemente las consecuencias de acordar el ingreso en prisión para el cumplimiento de la pena privativa de libertad.</w:t>
      </w:r>
    </w:p>
    <w:p w14:paraId="0B7D7D40" w14:textId="77777777" w:rsidR="00A8138F" w:rsidRDefault="00A8138F" w:rsidP="00A8138F">
      <w:pPr>
        <w:pStyle w:val="TextoNormal"/>
      </w:pPr>
    </w:p>
    <w:p w14:paraId="74293FE6" w14:textId="17EAB5F6" w:rsidR="00A8138F" w:rsidRDefault="00A8138F" w:rsidP="00A8138F">
      <w:pPr>
        <w:pStyle w:val="TextoNormal"/>
      </w:pPr>
      <w:r>
        <w:t xml:space="preserve">En el apartado dedicado a la extensión y alcance del amparo, la fiscal, a diferencia de lo interesado por el demandante, entiende que procede que se declare la nulidad de las resoluciones por falta de motivación y, con ello, que se acuerde la retroacción para el dictado de una resolución que sea respetuosa con el derecho fundamental, debidamente motivada y con una adecuada ponderación de las circunstancias concurrentes en atención a la finalidad perseguida mediante la concesión del beneficio, ya que, de un lado, el periodo de cinco años </w:t>
      </w:r>
      <w:r>
        <w:lastRenderedPageBreak/>
        <w:t>de suspensión de ejecución de las penas de prisión, concedido en auto de 24 de febrero de 2022, no ha concluido sino que está vigente y, de otro lado, además de la condición de no delinquir, el demandante se encuentra sometido a tratamiento de deshabituación como condición para el mantenimiento del beneficio.</w:t>
      </w:r>
    </w:p>
    <w:p w14:paraId="70D98440" w14:textId="77777777" w:rsidR="00A8138F" w:rsidRDefault="00A8138F" w:rsidP="00A8138F">
      <w:pPr>
        <w:pStyle w:val="TextoNormal"/>
      </w:pPr>
    </w:p>
    <w:p w14:paraId="796159D0" w14:textId="26BF827D" w:rsidR="00A8138F" w:rsidRDefault="00A8138F" w:rsidP="00A8138F">
      <w:pPr>
        <w:pStyle w:val="TextoNormal"/>
      </w:pPr>
      <w:r w:rsidRPr="00A8138F">
        <w:rPr>
          <w:rStyle w:val="NumeroAFNegritaCaracter"/>
        </w:rPr>
        <w:t>9</w:t>
      </w:r>
      <w:r>
        <w:t>. Mediante providencia de 6 de febrero de 2025, se señaló para deliberación y votación de la presente sentencia el día 10 del mismo mes y año.</w:t>
      </w:r>
    </w:p>
    <w:p w14:paraId="72D69DFD" w14:textId="77777777" w:rsidR="00A8138F" w:rsidRDefault="00A8138F" w:rsidP="00A8138F">
      <w:pPr>
        <w:pStyle w:val="TextoNormal"/>
      </w:pPr>
    </w:p>
    <w:p w14:paraId="30EA0EA5" w14:textId="77777777" w:rsidR="00A8138F" w:rsidRDefault="00A8138F" w:rsidP="00A8138F">
      <w:pPr>
        <w:pStyle w:val="TextoNormalNegritaCentrado"/>
        <w:keepNext/>
      </w:pPr>
      <w:r>
        <w:t>II. Fundamentos jurídicos</w:t>
      </w:r>
    </w:p>
    <w:p w14:paraId="490744AE" w14:textId="36E2ABEA" w:rsidR="00A8138F" w:rsidRDefault="00A8138F" w:rsidP="00A8138F">
      <w:pPr>
        <w:pStyle w:val="TextoNormalNegritaCentrado"/>
        <w:keepNext/>
      </w:pPr>
    </w:p>
    <w:p w14:paraId="699B5852" w14:textId="77777777" w:rsidR="00A8138F" w:rsidRDefault="00A8138F" w:rsidP="00A8138F">
      <w:pPr>
        <w:pStyle w:val="TextoNormal"/>
      </w:pPr>
      <w:r w:rsidRPr="00A8138F">
        <w:rPr>
          <w:rStyle w:val="NumeroAFNegritaCaracter"/>
        </w:rPr>
        <w:t>1</w:t>
      </w:r>
      <w:r>
        <w:t xml:space="preserve">. </w:t>
      </w:r>
      <w:r w:rsidRPr="00A8138F">
        <w:rPr>
          <w:i/>
        </w:rPr>
        <w:t>Objeto del recurso de amparo</w:t>
      </w:r>
    </w:p>
    <w:p w14:paraId="743480F5" w14:textId="77777777" w:rsidR="00A8138F" w:rsidRDefault="00A8138F" w:rsidP="00A8138F">
      <w:pPr>
        <w:pStyle w:val="TextoNormal"/>
      </w:pPr>
    </w:p>
    <w:p w14:paraId="648D11D5" w14:textId="77777777" w:rsidR="00A8138F" w:rsidRDefault="00A8138F" w:rsidP="00A8138F">
      <w:pPr>
        <w:pStyle w:val="TextoNormal"/>
      </w:pPr>
      <w:r>
        <w:t>El presente recurso de amparo se dirige contra (i) el auto de 26 de febrero de 2024 dictado por la Sección Sexta de la Audiencia Provincial de Zaragoza en la ejecutoria penal núm. 49-2021, por el que se revocó el beneficio de la suspensión de la ejecución de las penas de prisión impuestas al demandante en sentencia núm. 459/2021, de 10 de diciembre, dictada en el marco del procedimiento abreviado núm. 771-2021, y acordó el cumplimiento de las penas de tres años y de seis meses de prisión impuestas en dicha sentencia al actor; (ii) el auto de 14 de marzo de 2024 dictado por la Sección Sexta de la Audiencia Provincial de Zaragoza en el mismo procedimiento de ejecución por el que desestimó el recurso de súplica interpuesto contra el auto de 26 de febrero de 2024, antes referido, y (iii) la diligencia de ordenación de 14 de marzo de 2024, por la que se acuerda su ingreso en prisión.</w:t>
      </w:r>
    </w:p>
    <w:p w14:paraId="69250626" w14:textId="77777777" w:rsidR="00A8138F" w:rsidRDefault="00A8138F" w:rsidP="00A8138F">
      <w:pPr>
        <w:pStyle w:val="TextoNormal"/>
      </w:pPr>
    </w:p>
    <w:p w14:paraId="61327F79" w14:textId="40F7D837" w:rsidR="00A8138F" w:rsidRDefault="00A8138F" w:rsidP="00A8138F">
      <w:pPr>
        <w:pStyle w:val="TextoNormal"/>
      </w:pPr>
      <w:r>
        <w:t>El demandante de amparo denuncia la vulneración del derecho a la libertad (art. 17.1 CE) en relación con el derecho a la tutela judicial efectiva (art. 24.1 CE) en su vertiente de exigencia de motivación reforzada. Por su parte, la fiscal ante el Tribunal Constitucional interesó la estimación del recurso de amparo en los términos expuestos en los antecedentes de esta sentencia.</w:t>
      </w:r>
    </w:p>
    <w:p w14:paraId="398F4E9B" w14:textId="77777777" w:rsidR="00A8138F" w:rsidRDefault="00A8138F" w:rsidP="00A8138F">
      <w:pPr>
        <w:pStyle w:val="TextoNormal"/>
      </w:pPr>
    </w:p>
    <w:p w14:paraId="4774A53D" w14:textId="77777777" w:rsidR="00A8138F" w:rsidRDefault="00A8138F" w:rsidP="00A8138F">
      <w:pPr>
        <w:pStyle w:val="TextoNormal"/>
      </w:pPr>
      <w:r w:rsidRPr="00A8138F">
        <w:rPr>
          <w:rStyle w:val="NumeroAFNegritaCaracter"/>
        </w:rPr>
        <w:t>2</w:t>
      </w:r>
      <w:r>
        <w:t xml:space="preserve">. </w:t>
      </w:r>
      <w:r w:rsidRPr="00A8138F">
        <w:rPr>
          <w:i/>
        </w:rPr>
        <w:t>Doctrina constitucional sobre motivación de las decisiones de revocación de la suspensión de la ejecución de penas privativas de libertad</w:t>
      </w:r>
    </w:p>
    <w:p w14:paraId="09C87D4E" w14:textId="77777777" w:rsidR="00A8138F" w:rsidRDefault="00A8138F" w:rsidP="00A8138F">
      <w:pPr>
        <w:pStyle w:val="TextoNormal"/>
      </w:pPr>
    </w:p>
    <w:p w14:paraId="436C1545" w14:textId="77777777" w:rsidR="00A8138F" w:rsidRDefault="00A8138F" w:rsidP="00A8138F">
      <w:pPr>
        <w:pStyle w:val="TextoNormal"/>
      </w:pPr>
      <w:r>
        <w:t>La principal doctrina constitucional relativa al canon reforzado de motivación en materia de suspensión de la ejecución de la pena de prisión y su revocación se sintetiza en la STC 32/2022, de 7 de marzo, cuyo FJ 4 sostiene que resulta exigible un “canon reforzado de motivación cuando el derecho a la tutela judicial efectiva incide de alguna manera en la libertad como valor superior del ordenamiento jurídico, como entiende que ocurre con las resoluciones judiciales que deciden sobre medidas alternativas a la prisión o sobre beneficios penitenciarios, como la libertad condicional, sobre los permisos de salida o sobre la suspensión de la ejecución de la pena. En concreto, por lo que atañe a las resoluciones que conceden o deniegan la suspensión de la ejecución de una pena privativa de libertad regulada en los artículos 80 y siguientes del Código penal, se considera que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modalizan la forma en que la ejecución de la restricción de la libertad se llevará a cabo’ (STC 320/2006, de 15 de noviembre, FJ 4, con numerosas referencias ulteriores).</w:t>
      </w:r>
    </w:p>
    <w:p w14:paraId="4A10E357" w14:textId="77777777" w:rsidR="00A8138F" w:rsidRDefault="00A8138F" w:rsidP="00A8138F">
      <w:pPr>
        <w:pStyle w:val="TextoNormal"/>
      </w:pPr>
    </w:p>
    <w:p w14:paraId="6275C770" w14:textId="77777777" w:rsidR="00A8138F" w:rsidRDefault="00A8138F" w:rsidP="00A8138F">
      <w:pPr>
        <w:pStyle w:val="TextoNormal"/>
      </w:pPr>
      <w:r>
        <w:t>Tal afectación al valor libertad determina que una resolución fundada en Derecho relativa a la suspensión requiere que el fundamento de la decisión no solo constituya una aplicación no arbitraria de las normas adecuadas al caso, sino también que su adopción esté presidida, más allá de por la mera exteriorización de la concurrencia o no de los requisitos legales, por la expresión de la ponderación, de conformidad con los fines de la institución y los constitucionalmente fijados a las penas privativas de libertad, de los bienes y derechos en conflicto” (STC 32/2022, FJ 4, y jurisprudencia allí citada).</w:t>
      </w:r>
    </w:p>
    <w:p w14:paraId="17B3D5F1" w14:textId="77777777" w:rsidR="00A8138F" w:rsidRDefault="00A8138F" w:rsidP="00A8138F">
      <w:pPr>
        <w:pStyle w:val="TextoNormal"/>
      </w:pPr>
    </w:p>
    <w:p w14:paraId="7DDE7D45" w14:textId="77777777" w:rsidR="00A8138F" w:rsidRDefault="00A8138F" w:rsidP="00A8138F">
      <w:pPr>
        <w:pStyle w:val="TextoNormal"/>
      </w:pPr>
      <w:r>
        <w:t>El deber reforzado de motivación se venía traduciendo, en materia de suspensión de condena, en dos pautas: “(i) ‘en sentido negativo, se ha rechazado reiteradamente que la simple referencia al carácter discrecional de la decisión del órgano judicial constituya motivación suficiente del ejercicio de dicha facultad’; (ii)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320/2006, FJ 4)” (STC 32/2022, de 7 de marzo, FJ 4).</w:t>
      </w:r>
    </w:p>
    <w:p w14:paraId="41AE91D0" w14:textId="77777777" w:rsidR="00A8138F" w:rsidRDefault="00A8138F" w:rsidP="00A8138F">
      <w:pPr>
        <w:pStyle w:val="TextoNormal"/>
      </w:pPr>
    </w:p>
    <w:p w14:paraId="7AE39A23" w14:textId="77777777" w:rsidR="00A8138F" w:rsidRDefault="00A8138F" w:rsidP="00A8138F">
      <w:pPr>
        <w:pStyle w:val="TextoNormal"/>
      </w:pPr>
      <w:r>
        <w:t>Se añade al canon de enjuiciamiento lo siguiente: “Ciertamente la doctrina anterior sobre motivación reforzada no alude de forma expresa a la revocación de la suspensión prevista en el actual art. 86 CP, pero sin duda es extrapolable a ella, en tanto esa institución se integra en el diseño legal de la institución (sección primera ‘De la suspensión de la ejecución de las penas privativas de libertad’ del capítulo III ‘De las formas sustitutivas de la ejecución de las penas privativas de libertad y de la libertad condicional’) como elemento estructural de esa forma sustitutiva y la decisión al respecto afecta a la libertad personal del sujeto, pues determina el modo de cumplimiento hasta el punto de determinar el ingreso en prisión”.</w:t>
      </w:r>
    </w:p>
    <w:p w14:paraId="0F4E116F" w14:textId="77777777" w:rsidR="00A8138F" w:rsidRDefault="00A8138F" w:rsidP="00A8138F">
      <w:pPr>
        <w:pStyle w:val="TextoNormal"/>
      </w:pPr>
    </w:p>
    <w:p w14:paraId="04FF784C" w14:textId="77777777" w:rsidR="00A8138F" w:rsidRDefault="00A8138F" w:rsidP="00A8138F">
      <w:pPr>
        <w:pStyle w:val="TextoNormal"/>
      </w:pPr>
      <w:r>
        <w:t>En aquel caso, atinente a una revocación por impago de la responsabilidad civil, el Tribunal señaló que debe tenerse presente que “las decisiones sobre revocación asentadas en la falta de pago de la responsabilidad civil que aquí interesan deben tener presente la doctrina constitucional relativa al papel que la capacidad económica del sujeto desempeña en este marco”. Así, “ni la suspensión ni la revocación pueden condicionarse al pago de la responsabilidad civil cuando es imposible ese pago. En especial, la motivación de las decisiones judiciales que revocan una suspensión deben tener presente esta regla en su examen de la concurrencia de los presupuestos legales de tal consecuencia, que a su vez la reflejan [art. 86.1 d) CP: ‘salvo que careciera de capacidad económica para ello’], junto con la ponderación de los bienes y derechos en conflicto de conformidad con los fines constitucionalmente fijados de las penas privativas de libertad y la orientación a la reeducación y reinserción social inherente a la figura de la suspensión como alternativa a los efectos contrarios de las penas privativas de libertad cortas” (STC 32/2022, FJ 4).</w:t>
      </w:r>
    </w:p>
    <w:p w14:paraId="18367BD8" w14:textId="77777777" w:rsidR="00A8138F" w:rsidRDefault="00A8138F" w:rsidP="00A8138F">
      <w:pPr>
        <w:pStyle w:val="TextoNormal"/>
      </w:pPr>
    </w:p>
    <w:p w14:paraId="02A1C115" w14:textId="1AFC25D0" w:rsidR="00A8138F" w:rsidRDefault="00A8138F" w:rsidP="00A8138F">
      <w:pPr>
        <w:pStyle w:val="TextoNormal"/>
      </w:pPr>
      <w:r>
        <w:t xml:space="preserve">Por otro lado, el Tribunal ha tenido ocasión de examinar también el supuesto específico de suspensión vinculado a la drogodependencia (SSTC 110/2003, de 16 de junio, y 222/2007, de 8 de octubre). Esta modalidad, regulada hoy en el art. 80.5 CP y, antes de la reforma introducida por la Ley Orgánica 1/2015, en el art. 87 CP, se presenta “como una excepción al régimen común de suspensión de la ejecución de las penas privativas de libertad […] para la suspensión de la ejecución de las penas inferiores a dos años, cuya existencia </w:t>
      </w:r>
      <w:r>
        <w:lastRenderedPageBreak/>
        <w:t>está justificada por las especiales características personales de los autores de ciertos tipos de delitos. A la finalidad genérica de rehabilitación que persigue la institución del beneficio de suspensión de la ejecución de las penas, destinado a evitar el cumplimiento en prisión de determinadas penas privativas de libertad en quienes concurran los requisitos previstos legalmente, se une, en el caso especial del art. 87.1 CP [ahora, art. 80.5 CP], la de propiciar que quienes han cometido un delito no grave por motivo de su adicción a las drogas —caso habitual del llamado traficante/consumidor— reciban un tratamiento que les permita emanciparse de dicha adicción con carácter preferente a un ingreso en prisión que, lejos de favorecer su rehabilitación, pudiera resultar contraproducente para ella” (SSTC 110/2003, FJ 4, y 222/2007, FJ 4). Por ello, “una resolución fundada en Derecho y motivada de conformidad con las exigencias anteriormente expuestas sería aquella que, por una parte, exteriorizase las razones por las cuales entiende que concurre o no concurre el presupuesto habilitante de esta suspensión específica (que se trate de hechos cometidos a causa de la dependencia de las sustancias señaladas en el art. 20.1 CP y que el condenado acredite suficientemente que se encuentra deshabituado o sometido a tratamiento dirigido a tal efecto) y, por otra, justificara, cuando así fuera, que, aun concurriendo tal presupuesto, resultaría improcedente la suspensión en atención a las circunstancias individuales del penado y del caso en virtud de una ponderación de los bienes e intereses en conflicto que tuviese presente tanto los fines de la institución (reeducación y reinserción social y, específicamente la rehabilitación del drogodependiente y la evitación del efecto desocializador del ingreso en prisión cuando este fuese presumible) como las finalidades que legitiman la imposición de penas privativas de libertad” (STC 222/2007, FJ 4).</w:t>
      </w:r>
    </w:p>
    <w:p w14:paraId="721CE1E0" w14:textId="77777777" w:rsidR="00A8138F" w:rsidRDefault="00A8138F" w:rsidP="00A8138F">
      <w:pPr>
        <w:pStyle w:val="TextoNormal"/>
      </w:pPr>
    </w:p>
    <w:p w14:paraId="5251E887" w14:textId="77777777" w:rsidR="00A8138F" w:rsidRDefault="00A8138F" w:rsidP="00A8138F">
      <w:pPr>
        <w:pStyle w:val="TextoNormal"/>
      </w:pPr>
      <w:r w:rsidRPr="00A8138F">
        <w:rPr>
          <w:rStyle w:val="NumeroAFNegritaCaracter"/>
        </w:rPr>
        <w:t>3</w:t>
      </w:r>
      <w:r>
        <w:t xml:space="preserve">. </w:t>
      </w:r>
      <w:r w:rsidRPr="00A8138F">
        <w:rPr>
          <w:i/>
        </w:rPr>
        <w:t>Análisis de la queja de incumplimiento de las exigencias constitucionales de motivación de la decisión de revocar la suspensión de la ejecución de la pena privativa de libertad</w:t>
      </w:r>
    </w:p>
    <w:p w14:paraId="1209F88B" w14:textId="77777777" w:rsidR="00A8138F" w:rsidRDefault="00A8138F" w:rsidP="00A8138F">
      <w:pPr>
        <w:pStyle w:val="TextoNormal"/>
      </w:pPr>
    </w:p>
    <w:p w14:paraId="4BEF4D74" w14:textId="77777777" w:rsidR="00A8138F" w:rsidRDefault="00A8138F" w:rsidP="00A8138F">
      <w:pPr>
        <w:pStyle w:val="TextoNormal"/>
      </w:pPr>
      <w:r>
        <w:t>La cuestión que ahora debemos plantearnos es doble y debe responder, en primer término, a si la jurisprudencia previa resulta extensible al levantamiento de suspensión basado en la mera reiteración delictiva, sin que el órgano judicial haya ponderado las circunstancias individuales del penado, los valores y bienes jurídicos comprometidos en la decisión teniendo en cuenta la finalidad principal de la institución, que es la reeducación y la reinserción social, las finalidades, de prevención general, que legitiman la pena privativa de libertad, o la falta de identidad de los tipos penales que dan lugar a la condena suspendida y aquellos que provocan el levantamiento de la suspensión. En segundo término, y en el caso de considerar extensible la doctrina relativa a la motivación reforzada, el Tribunal debe plantearse si, en el supuesto de autos, esa motivación concurre en las resoluciones impugnadas o no lo hace.</w:t>
      </w:r>
    </w:p>
    <w:p w14:paraId="2F3C37E7" w14:textId="77777777" w:rsidR="00A8138F" w:rsidRDefault="00A8138F" w:rsidP="00A8138F">
      <w:pPr>
        <w:pStyle w:val="TextoNormal"/>
      </w:pPr>
    </w:p>
    <w:p w14:paraId="1881A326" w14:textId="77777777" w:rsidR="00A8138F" w:rsidRDefault="00A8138F" w:rsidP="00A8138F">
      <w:pPr>
        <w:pStyle w:val="TextoNormal"/>
      </w:pPr>
      <w:r>
        <w:t xml:space="preserve">a) El art. 86.1 del Código penal establece: “El juez o tribunal revocará la suspensión y ordenará la ejecución de la pena cuando el penado: a) Sea condenado por un delito cometido durante el período de suspensión y ello ponga de manifiesto que la expectativa en la que se fundaba la decisión de suspensión adoptada ya no puede ser mantenida. b) Incumpla de forma grave o reiterada las prohibiciones y deberes que le hubieran sido impuestos conforme al artículo 83, o se sustraiga al control de los servicios de gestión de penas y medidas alternativas de la administración penitenciaria. c) Incumpla de forma grave o reiterada las condiciones que, para la suspensión, hubieran sido impuestas conforme al artículo 84. d) Facilite información inexacta o insuficiente sobre el paradero de bienes u objetos cuyo decomiso hubiera sido acordado; no dé cumplimiento al compromiso de pago de las responsabilidades </w:t>
      </w:r>
      <w:r>
        <w:lastRenderedPageBreak/>
        <w:t>civiles a que hubiera sido condenado, salvo que careciera de capacidad económica para ello; o facilite información inexacta o insuficiente sobre su patrimonio, incumpliendo la obligación impuesta en el artículo 589 de la Ley de enjuiciamiento civil”.</w:t>
      </w:r>
    </w:p>
    <w:p w14:paraId="3BD5E87A" w14:textId="77777777" w:rsidR="00A8138F" w:rsidRDefault="00A8138F" w:rsidP="00A8138F">
      <w:pPr>
        <w:pStyle w:val="TextoNormal"/>
      </w:pPr>
    </w:p>
    <w:p w14:paraId="1F5D50B8" w14:textId="77777777" w:rsidR="00A8138F" w:rsidRDefault="00A8138F" w:rsidP="00A8138F">
      <w:pPr>
        <w:pStyle w:val="TextoNormal"/>
      </w:pPr>
      <w:r>
        <w:t>En las SSTC 32/2022, 184/2023, 39/2024, 70/2024, 78/2024 y 122/2024, el Tribunal se vio llamado a pronunciarse sobre la revocación de la suspensión de la pena de prisión al no haberse satisfecho la responsabilidad civil, esto es, a uno de los contenidos del apartado d) del art. 86.1 CP previamente expuestos. En el caso que ahora nos ocupa el apartado del precepto aplicado por el órgano judicial para justificar el levantamiento de la suspensión es el identificado en la letra a) del mismo art. 86.1 CP, esto es, el relativo a la reiteración delictiva que se formula legislativamente desde la previsión de que el juez o tribunal revocará la suspensión cuando el penado “[s]ea condenado por un delito cometido durante el período de suspensión y ello ponga de manifiesto que la expectativa en la que se fundaba la decisión de suspensión adoptada ya no puede ser mantenida”. Como se deduce claramente de la lectura del precepto, a la nuda reiteración delictiva se une un criterio sujeto a la apreciación del órgano judicial en la medida en que se prevé que esa reiteración delictiva “ponga de manifiesto que la expectativa en la que se fundaba la decisión de suspensión adoptada ya no puede ser mantenida”.</w:t>
      </w:r>
    </w:p>
    <w:p w14:paraId="29B6FF57" w14:textId="77777777" w:rsidR="00A8138F" w:rsidRDefault="00A8138F" w:rsidP="00A8138F">
      <w:pPr>
        <w:pStyle w:val="TextoNormal"/>
      </w:pPr>
    </w:p>
    <w:p w14:paraId="45C2893C" w14:textId="77777777" w:rsidR="00A8138F" w:rsidRDefault="00A8138F" w:rsidP="00A8138F">
      <w:pPr>
        <w:pStyle w:val="TextoNormal"/>
      </w:pPr>
      <w:r>
        <w:t>En la medida en que el precepto no define un automatismo en sentido propio, sino que incluso habiendo reiteración delictiva se prevé que la condena por un nuevo delito debe poner de manifiesto la imposibilidad de mantener la expectativa en que se fundaba la decisión de suspensión, es necesario proyectar aquí la jurisprudencia sentada en la STC 32/2022, porque el órgano judicial llamado a decidir sobre el mantenimiento o levantamiento de la suspensión de cumplimiento de la pena debe exponer las razones por las cuales considera rota la expectativa en que se fundó su decisión primera de suspender, y ello sobre la base de la manifestación expresa de cuál era tal expectativa.</w:t>
      </w:r>
    </w:p>
    <w:p w14:paraId="4CD53FE5" w14:textId="77777777" w:rsidR="00A8138F" w:rsidRDefault="00A8138F" w:rsidP="00A8138F">
      <w:pPr>
        <w:pStyle w:val="TextoNormal"/>
      </w:pPr>
    </w:p>
    <w:p w14:paraId="4CEABE3E" w14:textId="77777777" w:rsidR="00A8138F" w:rsidRDefault="00A8138F" w:rsidP="00A8138F">
      <w:pPr>
        <w:pStyle w:val="TextoNormal"/>
      </w:pPr>
      <w:r>
        <w:t>Se proyecta sin ninguna duda la exigencia de un canon reforzado de motivación porque en este caso, como en el que resuelve la STC 32/2022 y todas las subsiguientes que aplican la doctrina allí fijada, el derecho a la tutela judicial efectiva incide en la libertad como valor superior del ordenamiento jurídico, al estar en juego la aplicación de un beneficio penitenciario, como es la suspensión de la ejecución de la pena. Citando de nuevo la STC 320/2006, FJ 4, las decisiones sobre la suspensión de la ejecución de una pena “si bien no constituyen decisiones sobre la restricción de la libertad en sentido estricto, ya que tienen como presupuesto la existencia de una sentencia firme condenatoria que constituye el título legítimo de la restricción de la libertad del condenado, sin embargo afectan al valor libertad”, en cuanto modulan “la forma en que la ejecución de la restricción de la libertad se llevará a cabo” (STC 320/2006, de 15 de noviembre, FJ 4).</w:t>
      </w:r>
    </w:p>
    <w:p w14:paraId="2DE27CAD" w14:textId="77777777" w:rsidR="00A8138F" w:rsidRDefault="00A8138F" w:rsidP="00A8138F">
      <w:pPr>
        <w:pStyle w:val="TextoNormal"/>
      </w:pPr>
    </w:p>
    <w:p w14:paraId="2D7F25C9" w14:textId="77777777" w:rsidR="00A8138F" w:rsidRDefault="00A8138F" w:rsidP="00A8138F">
      <w:pPr>
        <w:pStyle w:val="TextoNormal"/>
      </w:pPr>
      <w:r>
        <w:t>En la medida en que se afecta al valor libertad, y tal y como se estableció con carácter general en la STC 32/2022, antes de referirse a ninguno de los supuestos del art. 86.1 CP, el fundamento de la decisión de suspensión debe constituir “una aplicación no arbitraria de las normas adecuadas al caso”, estando presidida su adopción no solo por la exteriorización de la concurrencia o no de los requisitos legales, sino por la “expresión de la ponderación, de conformidad con los fines de la institución y los constitucionalmente fijados a las penas privativas de libertad, de los bienes y derechos en conflicto” (STC 32/2022, FJ 4). El mismo pronunciamiento, tras recordar las pautas en que se traduce ese deber reforzado de motiva</w:t>
      </w:r>
      <w:r>
        <w:lastRenderedPageBreak/>
        <w:t>ción —ya se ha hecho referencia a ello en el fundamento jurídico precedente—, asume que la doctrina sobre motivación reforzada no aludía de forma expresa “a la revocación de la suspensión prevista en el actual art. 86 CP, pero sin duda es extrapolable a ella, en tanto esa institución se integra en el diseño legal de la institución […] como elemento estructural de esa forma sustitutiva y la decisión al respecto afecta a la libertad personal del sujeto, pues determina el modo de cumplimiento hasta el punto de determinar el ingreso en prisión” (STC 32/2022, FJ 4). Por tanto, debe entenderse que la STC 32/2022, al extender la exigencia de motivación reforzada a la revocación de la suspensión prevista en el art. 86 CE, se refiere a la totalidad de las condiciones previstas en el precepto, y no exclusivamente a la revocación asentada en la falta de pago de la responsabilidad civil, cuestión que era la que se planteaba en el supuesto de hecho que da lugar a aquel pronunciamiento de amparo y a todos los que le han sucedido desde entonces.</w:t>
      </w:r>
    </w:p>
    <w:p w14:paraId="0A3B0B91" w14:textId="77777777" w:rsidR="00A8138F" w:rsidRDefault="00A8138F" w:rsidP="00A8138F">
      <w:pPr>
        <w:pStyle w:val="TextoNormal"/>
      </w:pPr>
    </w:p>
    <w:p w14:paraId="1CA0E8FA" w14:textId="77777777" w:rsidR="00A8138F" w:rsidRDefault="00A8138F" w:rsidP="00A8138F">
      <w:pPr>
        <w:pStyle w:val="TextoNormal"/>
      </w:pPr>
      <w:r>
        <w:t>Siendo esto así, a la luz de la doctrina referida, este tribunal debe evaluar si la motivación ofrecida por las resoluciones impugnadas colma o no las exigencias reforzadas que impone el art. 24.1 CE en relación con el art. 17 CE cuando de la revocación de la suspensión de la ejecución de la pena privativa de libertad se trata.</w:t>
      </w:r>
    </w:p>
    <w:p w14:paraId="4F19DD87" w14:textId="77777777" w:rsidR="00A8138F" w:rsidRDefault="00A8138F" w:rsidP="00A8138F">
      <w:pPr>
        <w:pStyle w:val="TextoNormal"/>
      </w:pPr>
    </w:p>
    <w:p w14:paraId="1C85D9FC" w14:textId="77777777" w:rsidR="00A8138F" w:rsidRDefault="00A8138F" w:rsidP="00A8138F">
      <w:pPr>
        <w:pStyle w:val="TextoNormal"/>
      </w:pPr>
      <w:r>
        <w:t xml:space="preserve">b) En el caso que nos ocupa, tal y como ha quedado consignado con mayor detalle en los antecedentes de esta sentencia, nos encontramos con que, en primer término, el tribunal de ejecución, en el inicial auto de 26 de febrero de 2024 revocatorio de la suspensión, se limitó a fundar su decisión en el hecho de que durante el tiempo de suspensión el demandante cometió un nuevo delito, de modo que “parece desconocer que la revocación del beneficio de la suspensión, tanto en la legislación derogada como conforme a la actual redacción del CP otorgada por la Ley Orgánica 1/2015, de 30 de marzo, es de carácter imperativo, bastando con la simple concurrencia de alguno de los supuestos enunciados </w:t>
      </w:r>
      <w:r w:rsidRPr="00A8138F">
        <w:rPr>
          <w:i/>
        </w:rPr>
        <w:t>ex</w:t>
      </w:r>
      <w:r>
        <w:t xml:space="preserve"> art. 86.1 del Código penal”.</w:t>
      </w:r>
    </w:p>
    <w:p w14:paraId="17BB0F75" w14:textId="77777777" w:rsidR="00A8138F" w:rsidRDefault="00A8138F" w:rsidP="00A8138F">
      <w:pPr>
        <w:pStyle w:val="TextoNormal"/>
      </w:pPr>
    </w:p>
    <w:p w14:paraId="4CD3ADDD" w14:textId="77777777" w:rsidR="00A8138F" w:rsidRDefault="00A8138F" w:rsidP="00A8138F">
      <w:pPr>
        <w:pStyle w:val="TextoNormal"/>
      </w:pPr>
      <w:r>
        <w:t>Como puede advertirse, en dicho auto el tribunal de ejecución no solo fundó su decisión en un proscrito automatismo (la nueva comisión de un hecho delictivo), sino que omitió toda referencia a las circunstancias del caso concreto y, en particular, a las aducidas por el demandante en su escrito de alegaciones de 13 de enero de 2024, previo al dictado del referido auto, fundadas (i) en la distinta naturaleza de los delitos cometidos (los primeros vinculados con el tráfico de drogas, y el último con la seguridad vial); (ii) en el hecho de que, a su juicio, había cumplido las reglas de conducta fijadas “habiéndose acreditado en el presente procedimiento la continuidad del tratamiento de deshabituación del penado, que está siguiendo el tratamiento de forma adecuada”; y (iii) en sus circunstancias personales, al hallarse al tiempo de la presentación de dicho escrito sometido a tratamiento médico por lesiones graves padecidas en un ojo.</w:t>
      </w:r>
    </w:p>
    <w:p w14:paraId="7B15D80F" w14:textId="77777777" w:rsidR="00A8138F" w:rsidRDefault="00A8138F" w:rsidP="00A8138F">
      <w:pPr>
        <w:pStyle w:val="TextoNormal"/>
      </w:pPr>
    </w:p>
    <w:p w14:paraId="0227DE1C" w14:textId="77777777" w:rsidR="00A8138F" w:rsidRDefault="00A8138F" w:rsidP="00A8138F">
      <w:pPr>
        <w:pStyle w:val="TextoNormal"/>
      </w:pPr>
      <w:r>
        <w:t xml:space="preserve">Y, segundo lugar, nos encontramos con que, interpuesto recurso de súplica contra aquella decisión por el ahora demandante, en el que alegó la doctrina de este tribunal relativa al deber de motivación de las resoluciones decisorias sobre la revocación del beneficio suspensivo (en particular, la STC 184/2023, de 11 de diciembre), el tribunal de ejecución, al resolverlo por auto de 14 de marzo de 2024, se limitó a afirmar que “(s)on los mismos fundamentos expuestos en el auto recurrido los que auspician su ratificación. Frente a la argumentación del recurrente, la comisión de este nuevo delito ha puesto de manifiesto que la expectativa en que se fundaba la decisión de la suspensión ya no puede ser mantenida ya </w:t>
      </w:r>
      <w:r>
        <w:lastRenderedPageBreak/>
        <w:t xml:space="preserve">que como manifiesta el Ministerio Fiscal en su informe de fecha 8 de marzo de 2024 aunque el delito de conducción bajo la influencia de bebidas alcohólicas es de distinta naturaleza, ha seguido consumiendo sustancias estupefacientes. Tal y como se dice en la resolución impugnada la revocación del beneficio de suspensión es de carácter imperativo bastando con la simple concurrencia de alguno de los supuestos enunciados </w:t>
      </w:r>
      <w:r w:rsidRPr="00A8138F">
        <w:rPr>
          <w:i/>
        </w:rPr>
        <w:t>ex</w:t>
      </w:r>
      <w:r>
        <w:t xml:space="preserve"> art. 86.1 del Código penal”.</w:t>
      </w:r>
    </w:p>
    <w:p w14:paraId="3258098D" w14:textId="77777777" w:rsidR="00A8138F" w:rsidRDefault="00A8138F" w:rsidP="00A8138F">
      <w:pPr>
        <w:pStyle w:val="TextoNormal"/>
      </w:pPr>
    </w:p>
    <w:p w14:paraId="24D79E49" w14:textId="77777777" w:rsidR="00A8138F" w:rsidRDefault="00A8138F" w:rsidP="00A8138F">
      <w:pPr>
        <w:pStyle w:val="TextoNormal"/>
      </w:pPr>
      <w:r>
        <w:t>También en este caso puede advertirse la posición del órgano jurisdiccional tendente a aplicar de forma automática una consecuencia no querida por el legislador (la revocación del beneficio suspensivo por la mera concurrencia de uno de los supuestos a los que se refiere el art. 86.1 CP) y a no valorar las concretas alegaciones formuladas por el actor y, en particular y dada la modalidad suspensiva acordada (art. 80.5 CP), la relativa al cumplimiento de la obligación de someterse a un tratamiento de deshabituación que, de conformidad con los informes médicos aportados al procedimiento, no había sido abandonado. En este punto debe recordarse que el art. 80.5 CP dispone que “[n]o se entenderán abandono las recaídas en el tratamiento si estas no evidencian un abandono definitivo del tratamiento de deshabituación”.</w:t>
      </w:r>
    </w:p>
    <w:p w14:paraId="74FD6105" w14:textId="77777777" w:rsidR="00A8138F" w:rsidRDefault="00A8138F" w:rsidP="00A8138F">
      <w:pPr>
        <w:pStyle w:val="TextoNormal"/>
      </w:pPr>
    </w:p>
    <w:p w14:paraId="33EEA865" w14:textId="77777777" w:rsidR="00A8138F" w:rsidRDefault="00A8138F" w:rsidP="00A8138F">
      <w:pPr>
        <w:pStyle w:val="TextoNormal"/>
      </w:pPr>
      <w:r>
        <w:t>De conformidad con lo expuesto y a la luz de la doctrina de este tribunal, reproducida en el fundamento jurídico anterior, ha de concluirse que la común motivación ofrecida por las resoluciones impugnadas no colma las exigencias reforzadas que impone el artículo 24.1 CE en relación con el artículo 17 CE dado que, como se ha recalcado, en estos supuestos se exige del tribunal de ejecución la ponderación de las circunstancias individuales del penado y de los valores y bienes jurídicos comprometidos en la decisión, máxime cuando “las causas de revocación del art. 86.1 CP dibujan un espacio flexible para el juez o tribunal lejos de antiguos automatismos que impidan valorar la pervivencia de las razones de prevención especial que motivaron la suspensión inicial” (STC 32/2022, de 7 de marzo, FJ 3).</w:t>
      </w:r>
    </w:p>
    <w:p w14:paraId="69FB7FA6" w14:textId="77777777" w:rsidR="00A8138F" w:rsidRDefault="00A8138F" w:rsidP="00A8138F">
      <w:pPr>
        <w:pStyle w:val="TextoNormal"/>
      </w:pPr>
    </w:p>
    <w:p w14:paraId="01F7CD95" w14:textId="77777777" w:rsidR="00A8138F" w:rsidRDefault="00A8138F" w:rsidP="00A8138F">
      <w:pPr>
        <w:pStyle w:val="TextoNormal"/>
      </w:pPr>
      <w:r>
        <w:t>En efecto, se constata que en el caso concreto aquel tribunal, a fin de acordar o no la revocación de forma respetuosa con el derecho fundamental concernido, debió, al menos, examinar las concretas circunstancia personales del condenado y dar respuesta a las distintas alegaciones formuladas por aquel relativas a la naturaleza diversa de los delitos cometidos, su gravedad y las pena impuestas; a la evolución del tratamiento de deshabituación al que se encontraba sometido; y, en definitiva, a la cuestión de si la nueva comisión del delito por el que fue condenado durante el periodo de suspensión, a la vista de sus concretas circunstancias personales, conllevó la frustración de la expectativa de no comisión de nuevos delitos (art. 80.1 CP), lo que debió incidir, a su vez, en la necesaria valoración de los efectos que el cumplimiento de la pena de prisión inicialmente impuesta podría provocar en los fines a los que se dirigen las penas privativas de libertad de reeducación y resocialización en el caso concreto.</w:t>
      </w:r>
    </w:p>
    <w:p w14:paraId="1A970E92" w14:textId="77777777" w:rsidR="00A8138F" w:rsidRDefault="00A8138F" w:rsidP="00A8138F">
      <w:pPr>
        <w:pStyle w:val="TextoNormal"/>
      </w:pPr>
    </w:p>
    <w:p w14:paraId="1203CCC6" w14:textId="77777777" w:rsidR="00A8138F" w:rsidRDefault="00A8138F" w:rsidP="00A8138F">
      <w:pPr>
        <w:pStyle w:val="TextoNormal"/>
      </w:pPr>
      <w:r>
        <w:t>De acuerdo con todo lo expuesto procede declarar la vulneración del derecho fundamental a la tutela judicial efectiva del recurrente (art. 24.1 CE), en relación con el derecho a la libertad (art. 17 CE), al carecer las resoluciones de la motivación reforzada exigible en materia de concesión de la suspensión de la ejecución de las penas privativas de libertad o de su revocación.</w:t>
      </w:r>
    </w:p>
    <w:p w14:paraId="6C6E1CB7" w14:textId="77777777" w:rsidR="00A8138F" w:rsidRDefault="00A8138F" w:rsidP="00A8138F">
      <w:pPr>
        <w:pStyle w:val="TextoNormal"/>
      </w:pPr>
    </w:p>
    <w:p w14:paraId="2DB3BD12" w14:textId="47C23CFB" w:rsidR="00A8138F" w:rsidRDefault="00A8138F" w:rsidP="00A8138F">
      <w:pPr>
        <w:pStyle w:val="TextoNormal"/>
      </w:pPr>
      <w:r>
        <w:lastRenderedPageBreak/>
        <w:t>La resolución sobre el fondo de este recurso supone, en todo caso, que no resulte procedente resolver sobre la medida cautelar de suspensión solicitada por la demandante, lo que determina que deba acordarse el archivo de la pieza separada de suspensión.</w:t>
      </w:r>
    </w:p>
    <w:p w14:paraId="7DF396AA" w14:textId="77777777" w:rsidR="00A8138F" w:rsidRDefault="00A8138F" w:rsidP="00A8138F">
      <w:pPr>
        <w:pStyle w:val="TextoNormal"/>
      </w:pPr>
    </w:p>
    <w:p w14:paraId="3E56FC3A" w14:textId="77777777" w:rsidR="00A8138F" w:rsidRDefault="00A8138F" w:rsidP="00A8138F">
      <w:pPr>
        <w:pStyle w:val="TextoNormalCentrado"/>
        <w:keepNext/>
      </w:pPr>
      <w:r>
        <w:t>FALLO</w:t>
      </w:r>
    </w:p>
    <w:p w14:paraId="518DDC2C" w14:textId="4A446EAF" w:rsidR="00A8138F" w:rsidRDefault="00A8138F" w:rsidP="00A8138F">
      <w:pPr>
        <w:pStyle w:val="TextoNormalCentrado"/>
        <w:keepNext/>
      </w:pPr>
    </w:p>
    <w:p w14:paraId="37C70F6B" w14:textId="77777777" w:rsidR="00A8138F" w:rsidRDefault="00A8138F" w:rsidP="00A8138F">
      <w:pPr>
        <w:pStyle w:val="TextoNormal"/>
      </w:pPr>
      <w:r>
        <w:t>En atención a todo lo expuesto, el Tribunal Constitucional, por la autoridad que le confiere la Constitución de la Nación española, ha decidido otorgar el amparo a don José Miguel Morales Lambán y, en consecuencia:</w:t>
      </w:r>
    </w:p>
    <w:p w14:paraId="2D26201B" w14:textId="77777777" w:rsidR="00A8138F" w:rsidRDefault="00A8138F" w:rsidP="00A8138F">
      <w:pPr>
        <w:pStyle w:val="TextoNormal"/>
      </w:pPr>
    </w:p>
    <w:p w14:paraId="492DC21C" w14:textId="77777777" w:rsidR="00A8138F" w:rsidRDefault="00A8138F" w:rsidP="00A8138F">
      <w:pPr>
        <w:pStyle w:val="TextoNormal"/>
      </w:pPr>
      <w:r>
        <w:t>1º Declarar que ha sido vulnerado el derecho a la tutela judicial efectiva (art. 24.1 CE) en relación con el derecho a la libertad personal (art. 17 CE).</w:t>
      </w:r>
    </w:p>
    <w:p w14:paraId="72B81810" w14:textId="77777777" w:rsidR="00A8138F" w:rsidRDefault="00A8138F" w:rsidP="00A8138F">
      <w:pPr>
        <w:pStyle w:val="TextoNormal"/>
      </w:pPr>
    </w:p>
    <w:p w14:paraId="544A3CB6" w14:textId="77777777" w:rsidR="00A8138F" w:rsidRDefault="00A8138F" w:rsidP="00A8138F">
      <w:pPr>
        <w:pStyle w:val="TextoNormal"/>
      </w:pPr>
      <w:r>
        <w:t>2º Restablecerle en su derecho y, en consecuencia, declarar la nulidad (i) del auto de 26 de febrero de 2024 dictado por la Sección Sexta de la Audiencia Provincial de Zaragoza en la ejecutoria penal núm. 49-2021, por el que se revocó el beneficio de la suspensión de las penas de prisión impuestas al demandante en sentencia núm. 459/2021, de 10 de diciembre; y (ii) del auto de 14 de marzo de 2024, dictado por el mismo tribunal en el mismo procedimiento de ejecución, por el que desestimó el recurso de súplica interpuesto contra el auto de 26 de febrero de 2024.</w:t>
      </w:r>
    </w:p>
    <w:p w14:paraId="2E8960F4" w14:textId="77777777" w:rsidR="00A8138F" w:rsidRDefault="00A8138F" w:rsidP="00A8138F">
      <w:pPr>
        <w:pStyle w:val="TextoNormal"/>
      </w:pPr>
    </w:p>
    <w:p w14:paraId="4DD8934B" w14:textId="641B89ED" w:rsidR="00A8138F" w:rsidRDefault="00A8138F" w:rsidP="00A8138F">
      <w:pPr>
        <w:pStyle w:val="TextoNormal"/>
      </w:pPr>
      <w:r>
        <w:t>3º Retrotraer el procedimiento al momento inmediatamente anterior al de dictarse la primera de las resoluciones anuladas, para que el órgano judicial pronuncie una nueva respetuosa con el derecho fundamental reconocido.</w:t>
      </w:r>
    </w:p>
    <w:p w14:paraId="5344E9F5" w14:textId="77777777" w:rsidR="00A8138F" w:rsidRDefault="00A8138F" w:rsidP="00A8138F">
      <w:pPr>
        <w:pStyle w:val="TextoNormal"/>
      </w:pPr>
    </w:p>
    <w:p w14:paraId="1A028C1B" w14:textId="77777777" w:rsidR="00A8138F" w:rsidRDefault="00A8138F" w:rsidP="00A8138F">
      <w:pPr>
        <w:pStyle w:val="TextoNormal"/>
      </w:pPr>
      <w:r>
        <w:t>Publíquese esta sentencia en el “Boletín Oficial del Estado”.</w:t>
      </w:r>
    </w:p>
    <w:p w14:paraId="2D05BB27" w14:textId="77777777" w:rsidR="00A8138F" w:rsidRDefault="00A8138F" w:rsidP="00A8138F">
      <w:pPr>
        <w:pStyle w:val="TextoNormal"/>
      </w:pPr>
      <w:r>
        <w:t>Dada en Madrid, a diez de febrero de dos mil veinticinco.</w:t>
      </w:r>
    </w:p>
    <w:p w14:paraId="4C940C48" w14:textId="66A816C5" w:rsidR="00A8138F" w:rsidRDefault="00A8138F">
      <w:pPr>
        <w:spacing w:after="160" w:line="278" w:lineRule="auto"/>
        <w:rPr>
          <w:rFonts w:ascii="Times New Roman" w:eastAsia="Times New Roman" w:hAnsi="Times New Roman" w:cs="Times New Roman"/>
          <w:sz w:val="24"/>
          <w:szCs w:val="24"/>
          <w:lang w:eastAsia="es-ES"/>
        </w:rPr>
      </w:pPr>
      <w:r>
        <w:br w:type="page"/>
      </w:r>
    </w:p>
    <w:p w14:paraId="7540B138" w14:textId="77777777" w:rsidR="00A8138F" w:rsidRDefault="00A8138F" w:rsidP="00A8138F">
      <w:pPr>
        <w:pStyle w:val="TtuloResolucin"/>
      </w:pPr>
      <w:bookmarkStart w:id="40" w:name="SENTENCIA_2025_38"/>
      <w:r>
        <w:lastRenderedPageBreak/>
        <w:t>SENTENCIA 38/2025, de 10 de febrero de 2025</w:t>
      </w:r>
    </w:p>
    <w:bookmarkEnd w:id="40"/>
    <w:p w14:paraId="051BA0FE" w14:textId="77777777" w:rsidR="00A8138F" w:rsidRDefault="00A8138F" w:rsidP="00A8138F">
      <w:pPr>
        <w:pStyle w:val="TtuloResolucin"/>
      </w:pPr>
      <w:r>
        <w:t>Sala Primera</w:t>
      </w:r>
    </w:p>
    <w:p w14:paraId="3683CF8D" w14:textId="77777777" w:rsidR="00A8138F" w:rsidRDefault="00A8138F" w:rsidP="00A8138F">
      <w:pPr>
        <w:pStyle w:val="TtuloBOE"/>
      </w:pPr>
      <w:r>
        <w:t>(BOE núm. 69, de 21 de marzo de 2025)</w:t>
      </w:r>
    </w:p>
    <w:p w14:paraId="1D6CACA4" w14:textId="77777777" w:rsidR="00A8138F" w:rsidRDefault="00A8138F" w:rsidP="00A8138F">
      <w:pPr>
        <w:pStyle w:val="TextoNormalCentrado"/>
      </w:pPr>
      <w:r>
        <w:t>ECLI:ES:TC:2025:38</w:t>
      </w:r>
    </w:p>
    <w:p w14:paraId="0C25B997" w14:textId="1E4D7ACC" w:rsidR="00A8138F" w:rsidRDefault="00A8138F" w:rsidP="00A8138F">
      <w:pPr>
        <w:pStyle w:val="TextoNormalCentrado"/>
      </w:pPr>
    </w:p>
    <w:p w14:paraId="091944B7" w14:textId="77777777" w:rsidR="00A8138F" w:rsidRDefault="00A8138F" w:rsidP="00A8138F">
      <w:pPr>
        <w:pStyle w:val="SntesisDescriptiva"/>
      </w:pPr>
      <w:r>
        <w:t>Recurso de amparo 2149-2024. Promovido por doña Itsaso González Ibirriaga en relación con las resoluciones administrativas y judiciales que desestimaron su petición de revisión y ampliación de la prestación por nacimiento y cuidado de hijo menor, como madre biológica de familia monoparental.</w:t>
      </w:r>
    </w:p>
    <w:p w14:paraId="6B4B9096" w14:textId="2FE541C7" w:rsidR="00A8138F" w:rsidRDefault="00A8138F" w:rsidP="00A8138F">
      <w:pPr>
        <w:pStyle w:val="SntesisDescriptiva"/>
      </w:pPr>
    </w:p>
    <w:p w14:paraId="204420F0" w14:textId="77777777" w:rsidR="00A8138F" w:rsidRDefault="00A8138F" w:rsidP="00A8138F">
      <w:pPr>
        <w:pStyle w:val="SntesisAnaltica"/>
      </w:pPr>
      <w:r>
        <w:t>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8940EC3" w14:textId="41DEED58" w:rsidR="00A8138F" w:rsidRDefault="00A8138F" w:rsidP="00A8138F">
      <w:pPr>
        <w:pStyle w:val="SntesisAnaltica"/>
      </w:pPr>
    </w:p>
    <w:p w14:paraId="5A280896" w14:textId="4CDE5A2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6432C564" w14:textId="77777777" w:rsidR="00A8138F" w:rsidRDefault="00A8138F" w:rsidP="00A8138F">
      <w:pPr>
        <w:pStyle w:val="Extracto"/>
      </w:pPr>
    </w:p>
    <w:p w14:paraId="3BBCC634" w14:textId="77777777" w:rsidR="00A8138F" w:rsidRDefault="00A8138F" w:rsidP="00A8138F">
      <w:pPr>
        <w:pStyle w:val="Extracto"/>
      </w:pPr>
    </w:p>
    <w:p w14:paraId="65FD9B32"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7F99F64B" w14:textId="717D10E2" w:rsidR="00A8138F" w:rsidRDefault="00A8138F" w:rsidP="00A8138F">
      <w:pPr>
        <w:pStyle w:val="TextoNormal"/>
      </w:pPr>
    </w:p>
    <w:p w14:paraId="4A59705E" w14:textId="77777777" w:rsidR="00A8138F" w:rsidRDefault="00A8138F" w:rsidP="00A8138F">
      <w:pPr>
        <w:pStyle w:val="TextoNormalCentrado"/>
        <w:keepNext/>
      </w:pPr>
      <w:r>
        <w:t>EN NOMBRE DEL REY</w:t>
      </w:r>
    </w:p>
    <w:p w14:paraId="1C1A775C" w14:textId="3E61D5F2" w:rsidR="00A8138F" w:rsidRDefault="00A8138F" w:rsidP="00A8138F">
      <w:pPr>
        <w:pStyle w:val="TextoNormalCentrado"/>
        <w:keepNext/>
      </w:pPr>
    </w:p>
    <w:p w14:paraId="6ADD2466" w14:textId="77777777" w:rsidR="00A8138F" w:rsidRDefault="00A8138F" w:rsidP="00A8138F">
      <w:pPr>
        <w:pStyle w:val="TextoNormalCentrado"/>
        <w:keepNext/>
      </w:pPr>
    </w:p>
    <w:p w14:paraId="5DB2FA9E" w14:textId="77777777" w:rsidR="00A8138F" w:rsidRDefault="00A8138F" w:rsidP="00A8138F">
      <w:pPr>
        <w:pStyle w:val="TextoNormal"/>
      </w:pPr>
      <w:r>
        <w:t>la siguiente</w:t>
      </w:r>
    </w:p>
    <w:p w14:paraId="7C421B6F" w14:textId="0F237101" w:rsidR="00A8138F" w:rsidRDefault="00A8138F" w:rsidP="00A8138F">
      <w:pPr>
        <w:pStyle w:val="TextoNormal"/>
      </w:pPr>
    </w:p>
    <w:p w14:paraId="5CF36C04" w14:textId="77777777" w:rsidR="00A8138F" w:rsidRDefault="00A8138F" w:rsidP="00A8138F">
      <w:pPr>
        <w:pStyle w:val="TextoNormalCentrado"/>
        <w:keepNext/>
      </w:pPr>
      <w:r>
        <w:t>SENTENCIA</w:t>
      </w:r>
    </w:p>
    <w:p w14:paraId="5E815EA3" w14:textId="24188D5A" w:rsidR="00A8138F" w:rsidRDefault="00A8138F" w:rsidP="00A8138F">
      <w:pPr>
        <w:pStyle w:val="TextoNormalCentrado"/>
        <w:keepNext/>
      </w:pPr>
    </w:p>
    <w:p w14:paraId="16BE7601" w14:textId="77777777" w:rsidR="00A8138F" w:rsidRDefault="00A8138F" w:rsidP="00A8138F">
      <w:pPr>
        <w:pStyle w:val="TextoNormal"/>
      </w:pPr>
      <w:r>
        <w:t>En el recurso de amparo núm. 2149-2024, promovido por doña Itsaso González Ibirriaga, representada por la procuradora de los tribunales doña María Esperanza Azpeitia Calvín, y asistida por la letrada doña Helena Unanue Agirretxe, contra las resoluciones administrativas del Instituto Nacional de la Seguridad Social denegatorias de la solicitud de ampliación de la prestación por nacimiento y cuidado de hija menor a la madre biológica de familia monoparental, confirmadas por sentencia núm. 321/2024, de 21 de febrero, de la Sala de lo Social del Tribunal Supremo, estimatoria del recurso de casación para la unificación de doctrina núm. 576-2023 formalizado por la entidad gestora de la Seguridad Social contra la sentencia núm. 2547/2022, de 12 de diciembre, de la Sala de lo Social del Tribunal Superior de Justicia del País Vasco, estimatoria del recurso de suplicación núm. 2057-2022 interpuesto por la demandante contra la sentencia núm. 146/2022, de 11 de abril, del Juzgado de lo Social núm. 4 de Donostia-San Sebastián desestimatoria de la demanda, recaída en procedimiento especial de Seguridad Social, autos núm. 168-2022, promovido por la deman</w:t>
      </w:r>
      <w:r>
        <w:lastRenderedPageBreak/>
        <w:t>dante de amparo contra el Instituto Nacional de la Seguridad Social y la Tesorería General de la Seguridad Social. Han intervenido la letrada de la Administración de la Seguridad Social, y el Ministerio Fiscal. Ha sido ponente el presidente, don Cándido Conde-Pumpido Tourón.</w:t>
      </w:r>
    </w:p>
    <w:p w14:paraId="49BDE31B" w14:textId="50743FC0" w:rsidR="00A8138F" w:rsidRDefault="00A8138F" w:rsidP="00A8138F">
      <w:pPr>
        <w:pStyle w:val="TextoNormal"/>
      </w:pPr>
    </w:p>
    <w:p w14:paraId="155D5F0C" w14:textId="77777777" w:rsidR="00A8138F" w:rsidRDefault="00A8138F" w:rsidP="00A8138F">
      <w:pPr>
        <w:pStyle w:val="TextoNormalNegritaCentrado"/>
        <w:keepNext/>
      </w:pPr>
      <w:r>
        <w:t>I. Antecedentes</w:t>
      </w:r>
    </w:p>
    <w:p w14:paraId="453A56FC" w14:textId="6A27D683" w:rsidR="00A8138F" w:rsidRDefault="00A8138F" w:rsidP="00A8138F">
      <w:pPr>
        <w:pStyle w:val="TextoNormalNegritaCentrado"/>
        <w:keepNext/>
      </w:pPr>
    </w:p>
    <w:p w14:paraId="47B1C6BD" w14:textId="650BECD3" w:rsidR="00A8138F" w:rsidRDefault="00A8138F" w:rsidP="00A8138F">
      <w:pPr>
        <w:pStyle w:val="TextoNormal"/>
      </w:pPr>
      <w:r w:rsidRPr="00A8138F">
        <w:rPr>
          <w:rStyle w:val="NumeroAFNegritaCaracter"/>
        </w:rPr>
        <w:t>1</w:t>
      </w:r>
      <w:r>
        <w:t>. El 26 de marzo de 2024, la procuradora de los tribunales doña María Esperanza Azpeitia Calvín, bajo la dirección de la letrada de doña Helena Unanue Agirretxe, interpuso recurso de amparo en nombre de la recurrente, contra la sentencia de la Sala de lo Social del Tribunal Supremo de 21 de febrero de 2024, estimatoria del recurso de casación para la unificación de doctrina interpuesto por el Instituto Nacional de la Seguridad Social (INSS), que desestima la pretensión de la demandante y confirma las resoluciones administrativas denegatorias de la ampliación del permiso por nacimiento y cuidado de hija solicitado por la madre biológica, de familia monoparental.</w:t>
      </w:r>
    </w:p>
    <w:p w14:paraId="4FF9A60B" w14:textId="77777777" w:rsidR="00A8138F" w:rsidRDefault="00A8138F" w:rsidP="00A8138F">
      <w:pPr>
        <w:pStyle w:val="TextoNormal"/>
      </w:pPr>
    </w:p>
    <w:p w14:paraId="4429EBEA" w14:textId="77777777" w:rsidR="00A8138F" w:rsidRDefault="00A8138F" w:rsidP="00A8138F">
      <w:pPr>
        <w:pStyle w:val="TextoNormal"/>
      </w:pPr>
      <w:r w:rsidRPr="00A8138F">
        <w:rPr>
          <w:rStyle w:val="NumeroAFNegritaCaracter"/>
        </w:rPr>
        <w:t>2</w:t>
      </w:r>
      <w:r>
        <w:t>. El presente recurso de amparo trae causa de los siguientes antecedentes:</w:t>
      </w:r>
    </w:p>
    <w:p w14:paraId="63C8665E" w14:textId="77777777" w:rsidR="00A8138F" w:rsidRDefault="00A8138F" w:rsidP="00A8138F">
      <w:pPr>
        <w:pStyle w:val="TextoNormal"/>
      </w:pPr>
    </w:p>
    <w:p w14:paraId="7E27BAC1" w14:textId="77777777" w:rsidR="00A8138F" w:rsidRDefault="00A8138F" w:rsidP="00A8138F">
      <w:pPr>
        <w:pStyle w:val="TextoNormal"/>
      </w:pPr>
      <w:r>
        <w:t>a) La recurrente en amparo es madre biológica de una menor, Maren, nacida el 22 de diciembre de 2021, con la que constituye una familia monoparental, al ser soltera y única progenitora, según consta en el registro civil. La Dirección Provincial del INSS de Guipúzcoa dictó resolución el día 22 de diciembre de 2021, por la que le reconoció el derecho a disfrutar de un permiso por nacimiento y cuidado de su hija de una duración de dieciséis semanas, con efectos económicos para el periodo comprendido entre el 22 de diciembre de 2021 y el 12 de abril de 2022 y con la prestación correspondiente del 100 por 100 de la base reguladora diaria reconocida.</w:t>
      </w:r>
    </w:p>
    <w:p w14:paraId="5A5775BD" w14:textId="77777777" w:rsidR="00A8138F" w:rsidRDefault="00A8138F" w:rsidP="00A8138F">
      <w:pPr>
        <w:pStyle w:val="TextoNormal"/>
      </w:pPr>
    </w:p>
    <w:p w14:paraId="4A77F7A0" w14:textId="77777777" w:rsidR="00A8138F" w:rsidRDefault="00A8138F" w:rsidP="00A8138F">
      <w:pPr>
        <w:pStyle w:val="TextoNormal"/>
      </w:pPr>
      <w:r>
        <w:t>El 30 de diciembre de 2021 la recurrente presentó ante la entidad gestora un escrito en el que solicitaba la ampliación del permiso y prestación por otras dieciséis semanas, alegando que era para el cuidado de la menor en igualdad de condiciones que el resto de las familias, pues la estructura familiar no puede suponer discriminación alguna. Su petición fue denegada por resolución del INSS de 17 de enero de 2022. La actora interpuso reclamación previa, que fue igualmente desestimada en resolución del INSS de 25 de enero de 2022, que se fundaba en que la legislación vigente no preveía la ampliación en las semanas que corresponderían al otro progenitor en caso de familia monoparental.</w:t>
      </w:r>
    </w:p>
    <w:p w14:paraId="405F57B0" w14:textId="77777777" w:rsidR="00A8138F" w:rsidRDefault="00A8138F" w:rsidP="00A8138F">
      <w:pPr>
        <w:pStyle w:val="TextoNormal"/>
      </w:pPr>
    </w:p>
    <w:p w14:paraId="564E37E1" w14:textId="77777777" w:rsidR="00A8138F" w:rsidRDefault="00A8138F" w:rsidP="00A8138F">
      <w:pPr>
        <w:pStyle w:val="TextoNormal"/>
      </w:pPr>
      <w:r>
        <w:t xml:space="preserve">b) La actora interpuso demanda contra el INSS y la Tesorería General de la Seguridad Social (TGSS) ante los juzgados de lo social de Donostia-San Sebastián, en la que invocó la vulneración del derecho de igualdad por discriminación (art. 14 CE) al negar el INSS la ampliación del permiso solicitado, tramitándose el procedimiento especial de Seguridad Social núm. 168-2022 ante el Juzgado de lo Social núm. 4 de Donostia-San Sebastián, que dictó la sentencia núm. 146/2022, de 11 de abril, en la que desestimó íntegramente la demanda, negando el derecho de la madre biológica a la ampliación del permiso en las dieciséis semanas adicionales que habrían correspondido al otro progenitor por considerar que el permiso regulado en el art. 48.4 del texto refundido de la Ley del estatuto de los trabajadores (LET) es un derecho al descanso individual e intransferible de cada progenitor; argumenta </w:t>
      </w:r>
      <w:r>
        <w:lastRenderedPageBreak/>
        <w:t>asimismo que su denegación no implica forma alguna de discriminación pues se trata de comparar situaciones que son diferentes.</w:t>
      </w:r>
    </w:p>
    <w:p w14:paraId="6FF9970A" w14:textId="77777777" w:rsidR="00A8138F" w:rsidRDefault="00A8138F" w:rsidP="00A8138F">
      <w:pPr>
        <w:pStyle w:val="TextoNormal"/>
      </w:pPr>
    </w:p>
    <w:p w14:paraId="5A2816E1" w14:textId="77777777" w:rsidR="00A8138F" w:rsidRDefault="00A8138F" w:rsidP="00A8138F">
      <w:pPr>
        <w:pStyle w:val="TextoNormal"/>
      </w:pPr>
      <w:r>
        <w:t>c) Disconforme con la decisión del juzgado de lo social, la actora interpuso recurso de suplicación ante la Sala de lo Social del Tribunal Superior de Justicia del País Vasco, que en autos núm. 2057-2022 dictó la sentencia núm. 2547/2022, de 12 de diciembre, en la que, estimando íntegramente el recurso y, con ello, la pretensión de la recurrente, revocó la sentencia de instancia y reconoció su derecho a una ampliación por otras dieciséis semanas de la prestación por nacimiento y cuidado de su hija.</w:t>
      </w:r>
    </w:p>
    <w:p w14:paraId="318A0415" w14:textId="77777777" w:rsidR="00A8138F" w:rsidRDefault="00A8138F" w:rsidP="00A8138F">
      <w:pPr>
        <w:pStyle w:val="TextoNormal"/>
      </w:pPr>
    </w:p>
    <w:p w14:paraId="731A93A2" w14:textId="77777777" w:rsidR="00A8138F" w:rsidRDefault="00A8138F" w:rsidP="00A8138F">
      <w:pPr>
        <w:pStyle w:val="TextoNormal"/>
      </w:pPr>
      <w:r>
        <w:t>Considera la Sala que la ampliación del permiso es exigible desde la perspectiva de la protección del menor y de la igualdad de la mujer en el seno de una familia monoparental, al tiempo que reitera su doctrina de que en caso de familia monoparental no procede compensar las seis semanas que en las familias biparentales son de disfrute simultáneo por ambos progenitores, remitiéndose al criterio fijado en su “plenillo” de 13 de septiembre de 2022.</w:t>
      </w:r>
    </w:p>
    <w:p w14:paraId="29409B03" w14:textId="77777777" w:rsidR="00A8138F" w:rsidRDefault="00A8138F" w:rsidP="00A8138F">
      <w:pPr>
        <w:pStyle w:val="TextoNormal"/>
      </w:pPr>
    </w:p>
    <w:p w14:paraId="038251F6" w14:textId="77777777" w:rsidR="00A8138F" w:rsidRDefault="00A8138F" w:rsidP="00A8138F">
      <w:pPr>
        <w:pStyle w:val="TextoNormal"/>
      </w:pPr>
      <w:r>
        <w:t>d) Contra esta sentencia el INSS formalizó recurso de casación para la unificación de doctrina que fue admitido a trámite y resuelto por sentencia núm. 321/2024, de 21 de febrero, de la Sala de lo Social del Tribunal Supremo, recurso núm. 576-2023, que lo estimó. En consecuencia, el Tribunal Supremo casó y anuló la sentencia dictada en suplicación y, asumiendo la instancia, desestimó el recurso de suplicación, confirmando y declarando la firmeza de la sentencia de 11 de abril de 2022 dictada por el Juzgado de lo Social núm. 4 de Donostia-San Sebastián que, a su vez, había confirmado las resoluciones administrativas que habían denegado la ampliación del permiso.</w:t>
      </w:r>
    </w:p>
    <w:p w14:paraId="3F3CA72A" w14:textId="77777777" w:rsidR="00A8138F" w:rsidRDefault="00A8138F" w:rsidP="00A8138F">
      <w:pPr>
        <w:pStyle w:val="TextoNormal"/>
      </w:pPr>
    </w:p>
    <w:p w14:paraId="0A975F85" w14:textId="78AF15AC" w:rsidR="00A8138F" w:rsidRDefault="00A8138F" w:rsidP="00A8138F">
      <w:pPr>
        <w:pStyle w:val="TextoNormal"/>
      </w:pPr>
      <w:r>
        <w:t xml:space="preserve">La sentencia de casación se atiene, por razones de seguridad jurídica, a la doctrina fijada por la sentencia de Pleno de la Sala de lo Social del Tribunal Supremo, núm. 169/2023, de 2 de marzo, recaída en el recurso para la unificación de doctrina núm. 3972-2020 (ECLI:ES:TS:2023:783), y las que la siguen, y declara que la función de jueces y tribunales es la interpretación y aplicación de la norma y no la creación del Derecho; que lo pretendido por la actora en la instancia solo le corresponde al legislador, no pudiendo ser suplida su función por resoluciones judiciales, ya que eso supondría modificar el régimen prestacional de la Seguridad Social y la regulación de la suspensión del contrato de trabajo por causas no previstas en la ley. Razona la Sala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de igualdad con respecto a los de las biparentales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 Resuelve en definitiva este caso con la misma doctrina aplicada en supuestos anteriormente resueltos, y sustancialmente iguales, añadiendo que desestimar el recurso del INSS y confirmar lo resuelto interferiría sensiblemente en el orden normativo expuesto ya que, en primer lugar, supondría crear una prestación contributiva nueva en favor de los progenitores de familias monoparentales. </w:t>
      </w:r>
      <w:r>
        <w:lastRenderedPageBreak/>
        <w:t>Afirma que se debe modificar el régimen jurídico de la suspensión por nacimiento y cuidado de hijo prevista en el art. 48.4 LET, lo que sin duda afectará al otro sujeto de la relación contractual, afectando en sus previsiones de sustitución o reorganización de la empresa y que, a salvo de una intervención normativa, no le exime del cumplimiento de las obligaciones de cotización en materia de Seguridad Social.</w:t>
      </w:r>
    </w:p>
    <w:p w14:paraId="6615B9A7" w14:textId="77777777" w:rsidR="00A8138F" w:rsidRDefault="00A8138F" w:rsidP="00A8138F">
      <w:pPr>
        <w:pStyle w:val="TextoNormal"/>
      </w:pPr>
    </w:p>
    <w:p w14:paraId="1E7BB2ED" w14:textId="77777777" w:rsidR="00A8138F" w:rsidRDefault="00A8138F" w:rsidP="00A8138F">
      <w:pPr>
        <w:pStyle w:val="TextoNormal"/>
      </w:pPr>
      <w:r w:rsidRPr="00A8138F">
        <w:rPr>
          <w:rStyle w:val="NumeroAFNegritaCaracter"/>
        </w:rPr>
        <w:t>3</w:t>
      </w:r>
      <w:r>
        <w:t>. En la demanda de amparo la recurrente invoca la vulneración del derecho de igualdad del art 14 CE, en una triple vertiente: (a) En primer lugar, por trato discriminatorio directo debido a circunstancias personales y familiares por razón de nacimiento, puesto que se está discriminando al menor nacido en una familia monoparental, al contar con menor número de semanas de prestación (se mantiene en dieciséis semanas), produciendo un resultado desproporcionado al reducir hasta su mitad los cuidados de los menores de doce meses. (b) En segundo lugar, por trato discriminatorio, directo también, debido a circunstancias personales y familiares causadas a la recurrente con claro efecto peyorativo, resultante de su decisión personal de formar una familia monoparental, es decir, de su condición familiar tomada en el ejercicio del libre desarrollo de la personalidad (art. 10.1 CE), alcanzando ese resultado discriminatorio a su hija menor. Dicho criterio diferenciador resulta absolutamente irrazonable y carente de causa objetiva que lo justifique. (c) Por último, por vulneración además del derecho fundamental de la demandante a no padecer discriminación indirecta por razón de sexo, del art. 14 CE, segundo inciso, en relación con el art. 9.2 CE, por constituir una familia monoparental donde en su mayoría, estadísticamente, el progenitor es una mujer, perjudicando sin una justificación objetiva y razonable.</w:t>
      </w:r>
    </w:p>
    <w:p w14:paraId="32D83BE5" w14:textId="77777777" w:rsidR="00A8138F" w:rsidRDefault="00A8138F" w:rsidP="00A8138F">
      <w:pPr>
        <w:pStyle w:val="TextoNormal"/>
      </w:pPr>
    </w:p>
    <w:p w14:paraId="501EDE61" w14:textId="1DE3C11B" w:rsidR="00A8138F" w:rsidRDefault="00A8138F" w:rsidP="00A8138F">
      <w:pPr>
        <w:pStyle w:val="TextoNormal"/>
      </w:pPr>
      <w:r>
        <w:t>Las resoluciones administrativas y judiciales recurridas, sigue diciendo la demanda, han ocasionado una desigualdad provocando un daño desproporcionado en su deber constitucional de cuidado y en el derecho a la protección de la hija recién nacida de la recurrente, de conformidad con los acuerdos internacionales en la materia (lesión del art. 14 CE en relación con el art. 39, apartados 1, 3 y 4 CE).</w:t>
      </w:r>
    </w:p>
    <w:p w14:paraId="0D7CB8A7" w14:textId="77777777" w:rsidR="00A8138F" w:rsidRDefault="00A8138F" w:rsidP="00A8138F">
      <w:pPr>
        <w:pStyle w:val="TextoNormal"/>
      </w:pPr>
    </w:p>
    <w:p w14:paraId="409A9B52" w14:textId="77777777" w:rsidR="00A8138F" w:rsidRDefault="00A8138F" w:rsidP="00A8138F">
      <w:pPr>
        <w:pStyle w:val="TextoNormal"/>
      </w:pPr>
      <w:r w:rsidRPr="00A8138F">
        <w:rPr>
          <w:rStyle w:val="NumeroAFNegritaCaracter"/>
        </w:rPr>
        <w:t>4</w:t>
      </w:r>
      <w:r>
        <w:t>. Por providencia de 9 de septiembre de 2024, la Sección Primera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306286A3" w14:textId="77777777" w:rsidR="00A8138F" w:rsidRDefault="00A8138F" w:rsidP="00A8138F">
      <w:pPr>
        <w:pStyle w:val="TextoNormal"/>
      </w:pPr>
    </w:p>
    <w:p w14:paraId="071E44FA" w14:textId="1DD23D76" w:rsidR="00A8138F" w:rsidRDefault="00A8138F" w:rsidP="00A8138F">
      <w:pPr>
        <w:pStyle w:val="TextoNormal"/>
      </w:pPr>
      <w:r>
        <w:t>En aplicación de lo previsto en el art. 51 LOTC, dispuso requerir a la Sala de lo Social del Tribunal Supremo y a la Sala de lo Social del Tribunal Superior de Justicia del País Vasco, a fin de que, en el plazo que no excediera de diez días, remitiesen certificación o fotocopia adverada de las actuaciones correspondientes al recurso de casación para la unificación de doctrina núm. 576-2023 y al recurso de suplicación núm. 2057-2022, respectivamente. Asimismo, acordó dirigir atenta comunicación al Juzgado de lo Social núm. 4 de Donostia-San Sebastián a fin de que, en plazo que no excediera de diez días, remitiese certificación o fotocopia adverada de las actuaciones correspondientes a los autos núm. 168-2022, procedimiento especial de Seguridad Social sobre prestación por nacimiento, emplazando a quienes hubieran sido parte en el procedimiento, excepto la parte recurrente en amparo, para que, si lo deseaban, pudieran comparecer en el presente recurso.</w:t>
      </w:r>
    </w:p>
    <w:p w14:paraId="1C03FE0E" w14:textId="77777777" w:rsidR="00A8138F" w:rsidRDefault="00A8138F" w:rsidP="00A8138F">
      <w:pPr>
        <w:pStyle w:val="TextoNormal"/>
      </w:pPr>
    </w:p>
    <w:p w14:paraId="1A46F860" w14:textId="2FB34CEC" w:rsidR="00A8138F" w:rsidRDefault="00A8138F" w:rsidP="00A8138F">
      <w:pPr>
        <w:pStyle w:val="TextoNormal"/>
      </w:pPr>
      <w:r w:rsidRPr="00A8138F">
        <w:rPr>
          <w:rStyle w:val="NumeroAFNegritaCaracter"/>
        </w:rPr>
        <w:lastRenderedPageBreak/>
        <w:t>5</w:t>
      </w:r>
      <w:r>
        <w:t>. Mediante escrito presentado el día 15 de octubre de 2024, la letrada de la administración de la Seguridad Social, actuando en nombre y representación del INSS y la TGSS, interesó su personación en el presente recurso de amparo.</w:t>
      </w:r>
    </w:p>
    <w:p w14:paraId="2A1B26EE" w14:textId="77777777" w:rsidR="00A8138F" w:rsidRDefault="00A8138F" w:rsidP="00A8138F">
      <w:pPr>
        <w:pStyle w:val="TextoNormal"/>
      </w:pPr>
    </w:p>
    <w:p w14:paraId="21DA9ABA" w14:textId="777B68BD" w:rsidR="00A8138F" w:rsidRDefault="00A8138F" w:rsidP="00A8138F">
      <w:pPr>
        <w:pStyle w:val="TextoNormal"/>
      </w:pPr>
      <w:r w:rsidRPr="00A8138F">
        <w:rPr>
          <w:rStyle w:val="NumeroAFNegritaCaracter"/>
        </w:rPr>
        <w:t>6</w:t>
      </w:r>
      <w:r>
        <w:t>. Por diligencia de ordenación de la Secretaría de Justicia de la Sala Primera de este tribunal, de 21 de octubre de 2024, se tuvieron por recibidos los testimonios de actuaciones remitidos por la Sala de lo Social del Tribunal Supremo, por la Sala de lo Social del Tribunal Superior de Justicia del País Vasco y por el Juzgado de lo Social núm. 4 de Donostia-San Sebastián y se acordó: (i) Tener por personada y parte en el presente procedimiento a la letrada de la administración de la Seguridad Social, en nombre y representación del INSS. (ii) Asimismo, de conformidad con lo establecido en el art. 52.1 LOTC, dar vista de las actuaciones en la sede electrónica de este tribunal a la recurrente, al Ministerio fiscal y a la parte personada, por plazo común de veinte días, para que pudieran presentar las alegaciones que estimaran pertinentes.</w:t>
      </w:r>
    </w:p>
    <w:p w14:paraId="1FCCD93D" w14:textId="77777777" w:rsidR="00A8138F" w:rsidRDefault="00A8138F" w:rsidP="00A8138F">
      <w:pPr>
        <w:pStyle w:val="TextoNormal"/>
      </w:pPr>
    </w:p>
    <w:p w14:paraId="50032198" w14:textId="6B49FF20" w:rsidR="00A8138F" w:rsidRDefault="00A8138F" w:rsidP="00A8138F">
      <w:pPr>
        <w:pStyle w:val="TextoNormal"/>
      </w:pPr>
      <w:r w:rsidRPr="00A8138F">
        <w:rPr>
          <w:rStyle w:val="NumeroAFNegritaCaracter"/>
        </w:rPr>
        <w:t>7</w:t>
      </w:r>
      <w:r>
        <w:t>. El 18 de noviembre de 2024, la letrada de la Administración de Seguridad Social, en representación del INSS y la TGSS, presentó alegaciones en las que postuló la desestimación del recurso de amparo o, en su caso, una estimación parcial con efectos limitados y bajo determinadas condiciones. Tras resumir los antecedentes del procedimiento de origen, examina la normativa nacional que regula el permiso y prestación por nacimiento y cuidado del menor, arts. 177 y 178 del texto refundido de la Ley general de la Seguridad Social (LGSS) y art. 48.4 LET, así como el art. 49 a), b) y c) del texto refundido de la Ley del estatuto básico del empleado público (TRLEEP), para concluir que las resoluciones administrativas y judiciales que deniegan la ampliación de dicho permiso no representan una discriminación del menor cuando se trata de un menor nacido en el seno de una familia monoparental. No obstante, reconoce que la STC 140/2024, de 6 de noviembre, dictada en la cuestión de inconstitucionalidad núm. 6694-2023, declaró inconstitucionales los arts. 48.4 LET y 177 LGSS, con el alcance que se señala en su fundamento jurídico 7, por lo que admite que cabría el reconocimiento de la ampliación del permiso, limitado a diez semanas adicionales, tras el agotamiento de las dieciséis primeras semanas, si se supeditara al cumplimiento del resto de los requisitos legalmente establecidos para el percibo de la prestación, entre los que se incluye haber hecho efectivo el descanso, sin prestar servicios por cuenta ajena ni percibir las correspondientes retribuciones.</w:t>
      </w:r>
    </w:p>
    <w:p w14:paraId="309535A1" w14:textId="77777777" w:rsidR="00A8138F" w:rsidRDefault="00A8138F" w:rsidP="00A8138F">
      <w:pPr>
        <w:pStyle w:val="TextoNormal"/>
      </w:pPr>
    </w:p>
    <w:p w14:paraId="4D956F8F" w14:textId="78E58D5F" w:rsidR="00A8138F" w:rsidRDefault="00A8138F" w:rsidP="00A8138F">
      <w:pPr>
        <w:pStyle w:val="TextoNormal"/>
      </w:pPr>
      <w:r w:rsidRPr="00A8138F">
        <w:rPr>
          <w:rStyle w:val="NumeroAFNegritaCaracter"/>
        </w:rPr>
        <w:t>8</w:t>
      </w:r>
      <w:r>
        <w:t>. El 19 de noviembre de 2024, la actora presentó escrito de alegaciones en el que solicitaba el otorgamiento del amparo, ratificando su demanda y dando por reproducidas las argumentaciones vertidas en ella.</w:t>
      </w:r>
    </w:p>
    <w:p w14:paraId="18DC2D20" w14:textId="77777777" w:rsidR="00A8138F" w:rsidRDefault="00A8138F" w:rsidP="00A8138F">
      <w:pPr>
        <w:pStyle w:val="TextoNormal"/>
      </w:pPr>
    </w:p>
    <w:p w14:paraId="6213C1B1" w14:textId="77777777" w:rsidR="00A8138F" w:rsidRDefault="00A8138F" w:rsidP="00A8138F">
      <w:pPr>
        <w:pStyle w:val="TextoNormal"/>
      </w:pPr>
      <w:r w:rsidRPr="00A8138F">
        <w:rPr>
          <w:rStyle w:val="NumeroAFNegritaCaracter"/>
        </w:rPr>
        <w:t>9</w:t>
      </w:r>
      <w:r>
        <w:t>. El fiscal ante el Tribunal Constitucional presentó escrito de alegaciones el 20 de diciembre de 2024, en el que interesó la estimación del recurso de amparo.</w:t>
      </w:r>
    </w:p>
    <w:p w14:paraId="69659FCE" w14:textId="77777777" w:rsidR="00A8138F" w:rsidRDefault="00A8138F" w:rsidP="00A8138F">
      <w:pPr>
        <w:pStyle w:val="TextoNormal"/>
      </w:pPr>
    </w:p>
    <w:p w14:paraId="2F1EC674" w14:textId="6418278B" w:rsidR="00A8138F" w:rsidRDefault="00A8138F" w:rsidP="00A8138F">
      <w:pPr>
        <w:pStyle w:val="TextoNormal"/>
      </w:pPr>
      <w:r>
        <w:t xml:space="preserve">Tras hacer un detallado resumen del procedimiento laboral y de las alegaciones y fundamentos de la demanda de amparo, examina el fondo de la pretensión a la luz de la STC 140/2024, de 6 de noviembre, que establece una doctrina constitucional específica para esta cuestión, declarando inconstitucional el art. 48.4 LET y el art. 177 LGSS, precisamente por la vulneración del derecho reconocido en el art. 14 CE en relación con el art. 39 CE alegada en el presente recurso. Señala que, tal y como resulta de la remisión del fallo al fundamento </w:t>
      </w:r>
      <w:r>
        <w:lastRenderedPageBreak/>
        <w:t>jurídico 7 de la propia sentencia, el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 Considera por ello el fiscal que se ha vulnerado el derecho fundamental de la recurrente y de su hija a la no discriminación por razón de nacimiento aunque matiza, en lo que se refiere al alcance que habría de darse a la estimación del recurso de amparo, que no procede acceder a la retroacción de las actuaciones hasta la primera resolución dictada por el INSS, en tanto que la sentencia dictada por la Sala de lo Social del Tribunal Superior de Justicia del País Vasco, en sus argumentaciones sobre la existencia de discriminación o diferencia de trato vulneradora del derecho a la igualdad en el tenor literal del art. 48.4 LET, en relación con el art. 177 LGSS, es coincidente, en lo esencial, con la de la STC 140/2024, de 6 de noviembre, y no ha vulnerado el derecho de la demandante y de su hija. No obstante, repara en que dicha sentencia concede seis semanas más de las establecidas en la STC 140/2024, que no están amparadas por el derecho fundamental de la recurrente, por lo que solicita que la estimación sea parcial, declarando la nulidad de la sentencia dictada por la Sala de lo Social del Tribunal Supremo y la retroacción de las actuaciones para que por dicha Sala se dicte una nueva resolución respetando el derecho fundamental vulnerado, según resulta de la doctrina constitucional emanada de la sentencia citada.</w:t>
      </w:r>
    </w:p>
    <w:p w14:paraId="7EFEFAF7" w14:textId="77777777" w:rsidR="00A8138F" w:rsidRDefault="00A8138F" w:rsidP="00A8138F">
      <w:pPr>
        <w:pStyle w:val="TextoNormal"/>
      </w:pPr>
    </w:p>
    <w:p w14:paraId="638963E2" w14:textId="28C9BADB" w:rsidR="00A8138F" w:rsidRDefault="00A8138F" w:rsidP="00A8138F">
      <w:pPr>
        <w:pStyle w:val="TextoNormal"/>
      </w:pPr>
      <w:r w:rsidRPr="00A8138F">
        <w:rPr>
          <w:rStyle w:val="NumeroAFNegritaCaracter"/>
        </w:rPr>
        <w:t>10</w:t>
      </w:r>
      <w:r>
        <w:t>. Por providencia de 6 de febrero de 2025 se señaló para deliberación y votación del presente recurso el día 10 del mismo mes y año.</w:t>
      </w:r>
    </w:p>
    <w:p w14:paraId="7AE199B5" w14:textId="77777777" w:rsidR="00A8138F" w:rsidRDefault="00A8138F" w:rsidP="00A8138F">
      <w:pPr>
        <w:pStyle w:val="TextoNormal"/>
      </w:pPr>
    </w:p>
    <w:p w14:paraId="5507B03B" w14:textId="77777777" w:rsidR="00A8138F" w:rsidRDefault="00A8138F" w:rsidP="00A8138F">
      <w:pPr>
        <w:pStyle w:val="TextoNormalNegritaCentrado"/>
        <w:keepNext/>
      </w:pPr>
      <w:r>
        <w:t>II. Fundamentos jurídicos</w:t>
      </w:r>
    </w:p>
    <w:p w14:paraId="1EE4DC33" w14:textId="4CE0541D" w:rsidR="00A8138F" w:rsidRDefault="00A8138F" w:rsidP="00A8138F">
      <w:pPr>
        <w:pStyle w:val="TextoNormalNegritaCentrado"/>
        <w:keepNext/>
      </w:pPr>
    </w:p>
    <w:p w14:paraId="10FC4AF6"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6D653AD" w14:textId="77777777" w:rsidR="00A8138F" w:rsidRDefault="00A8138F" w:rsidP="00A8138F">
      <w:pPr>
        <w:pStyle w:val="TextoNormal"/>
      </w:pPr>
    </w:p>
    <w:p w14:paraId="027BD6D2" w14:textId="7629F84B" w:rsidR="00A8138F" w:rsidRDefault="00A8138F" w:rsidP="00A8138F">
      <w:pPr>
        <w:pStyle w:val="TextoNormal"/>
      </w:pPr>
      <w:r>
        <w:t>El objeto del presente proceso es dilucidar si la sentencia de la Sala de lo Social del Tribunal Supremo que, revocando la resolución del Tribunal Superior de Justicia del País Vasco, desestimó la demanda y confirmó las resoluciones administrativas del INSS con absolución de las demandadas, denegando la ampliación del permiso por nacimiento de hija menor en familia monoparental,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54DE075B" w14:textId="77777777" w:rsidR="00A8138F" w:rsidRDefault="00A8138F" w:rsidP="00A8138F">
      <w:pPr>
        <w:pStyle w:val="TextoNormal"/>
      </w:pPr>
    </w:p>
    <w:p w14:paraId="6C9F2DCD"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535BC74C" w14:textId="77777777" w:rsidR="00A8138F" w:rsidRDefault="00A8138F" w:rsidP="00A8138F">
      <w:pPr>
        <w:pStyle w:val="TextoNormal"/>
      </w:pPr>
    </w:p>
    <w:p w14:paraId="6AB2106A"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w:t>
      </w:r>
      <w:r>
        <w:lastRenderedPageBreak/>
        <w:t>cada por nacer en familia monoparental (FJ 6), al tiempo que precisamos el alcance de la declaración de inconstitucionalidad realizada (FJ 7).</w:t>
      </w:r>
    </w:p>
    <w:p w14:paraId="67893C0A" w14:textId="77777777" w:rsidR="00A8138F" w:rsidRDefault="00A8138F" w:rsidP="00A8138F">
      <w:pPr>
        <w:pStyle w:val="TextoNormal"/>
      </w:pPr>
    </w:p>
    <w:p w14:paraId="66923FAA"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F8C65A5" w14:textId="77777777" w:rsidR="00A8138F" w:rsidRDefault="00A8138F" w:rsidP="00A8138F">
      <w:pPr>
        <w:pStyle w:val="TextoNormal"/>
      </w:pPr>
    </w:p>
    <w:p w14:paraId="19456F9B"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ABD0F96" w14:textId="77777777" w:rsidR="00A8138F" w:rsidRDefault="00A8138F" w:rsidP="00A8138F">
      <w:pPr>
        <w:pStyle w:val="TextoNormal"/>
      </w:pPr>
    </w:p>
    <w:p w14:paraId="278701CF" w14:textId="7B178A23" w:rsidR="00A8138F" w:rsidRDefault="00A8138F" w:rsidP="00A8138F">
      <w:pPr>
        <w:pStyle w:val="TextoNormal"/>
      </w:pPr>
      <w:r>
        <w:t>En consecuencia, debe estimarse la demanda y otorgar el amparo solicitado, con nulidad de las resoluciones administrativas y judiciales dictadas. Como concretamos en nuestra STC 140/2024, de 6 de noviembre, FJ 7, en tanto el legislador no lleve a cabo la consiguiente reforma normativa, en las familias monoparentales el permiso a que hace referencia el art. 48.4 LET,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14:paraId="1F346DA5" w14:textId="77777777" w:rsidR="00A8138F" w:rsidRDefault="00A8138F" w:rsidP="00A8138F">
      <w:pPr>
        <w:pStyle w:val="TextoNormal"/>
      </w:pPr>
    </w:p>
    <w:p w14:paraId="108F4C0B" w14:textId="77777777" w:rsidR="00A8138F" w:rsidRDefault="00A8138F" w:rsidP="00A8138F">
      <w:pPr>
        <w:pStyle w:val="TextoNormalCentrado"/>
        <w:keepNext/>
      </w:pPr>
      <w:r>
        <w:t>FALLO</w:t>
      </w:r>
    </w:p>
    <w:p w14:paraId="0FC20ECF" w14:textId="22BEE621" w:rsidR="00A8138F" w:rsidRDefault="00A8138F" w:rsidP="00A8138F">
      <w:pPr>
        <w:pStyle w:val="TextoNormalCentrado"/>
        <w:keepNext/>
      </w:pPr>
    </w:p>
    <w:p w14:paraId="6708F187"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Itsaso González Ibirriaga y, en su virtud:</w:t>
      </w:r>
    </w:p>
    <w:p w14:paraId="2FEBF7F4" w14:textId="77777777" w:rsidR="00A8138F" w:rsidRDefault="00A8138F" w:rsidP="00A8138F">
      <w:pPr>
        <w:pStyle w:val="TextoNormal"/>
      </w:pPr>
    </w:p>
    <w:p w14:paraId="4067D89D" w14:textId="77777777" w:rsidR="00A8138F" w:rsidRDefault="00A8138F" w:rsidP="00A8138F">
      <w:pPr>
        <w:pStyle w:val="TextoNormal"/>
      </w:pPr>
      <w:r>
        <w:t>1º Declarar vulnerado el derecho fundamental a la igualdad sin que pueda prevalecer discriminación por razón de nacimiento (art. 14 CE).</w:t>
      </w:r>
    </w:p>
    <w:p w14:paraId="4297502F" w14:textId="77777777" w:rsidR="00A8138F" w:rsidRDefault="00A8138F" w:rsidP="00A8138F">
      <w:pPr>
        <w:pStyle w:val="TextoNormal"/>
      </w:pPr>
    </w:p>
    <w:p w14:paraId="79B3F1D4" w14:textId="77777777" w:rsidR="00A8138F" w:rsidRDefault="00A8138F" w:rsidP="00A8138F">
      <w:pPr>
        <w:pStyle w:val="TextoNormal"/>
      </w:pPr>
      <w:r>
        <w:t>2º A los efectos de restablecer el derecho, declarar la nulidad de las siguientes resoluciones: (i) las resoluciones del INSS de 17 y de 25 de enero de 2024, que denegaron la solicitud de la recurrente de la ampliación de su permiso; (ii) la sentencia núm. 146/2022, de 11 de abril, del Juzgado de lo Social núm. 4 de Donostia-San Sebastián, recaída en los autos de seguridad social núm. 168-2022; (iii) la sentencia núm. 2547/2022, de 12 de diciembre, de la Sala de lo Social del Tribunal Superior de Justicia del País Vasco, dictada en el recurso de suplicación núm. 2057-2022; y (iv) la sentencia núm. 321/2024, de 21 de febrero, de la Sala de lo Social del Tribunal Supremo, estimatoria del recurso de casación para la unificación de doctrina núm. 576-2023.</w:t>
      </w:r>
    </w:p>
    <w:p w14:paraId="572210C6" w14:textId="77777777" w:rsidR="00A8138F" w:rsidRDefault="00A8138F" w:rsidP="00A8138F">
      <w:pPr>
        <w:pStyle w:val="TextoNormal"/>
      </w:pPr>
    </w:p>
    <w:p w14:paraId="136624E2" w14:textId="4C2DB29B" w:rsidR="00A8138F" w:rsidRDefault="00A8138F" w:rsidP="00A8138F">
      <w:pPr>
        <w:pStyle w:val="TextoNormal"/>
      </w:pPr>
      <w:r>
        <w:t>3º Retrotraer las actuaciones al momento previo al dictado de las resoluciones administrativas mencionadas en el apartado anterior, para que el Instituto Nacional de la Seguridad Social dicte resolución expresa que resulte ser respetuosa con el derecho fundamental reconocido a la recurrente, con el alcance fijado en el último párrafo del fundamento jurídico 2 de esta sentencia.</w:t>
      </w:r>
    </w:p>
    <w:p w14:paraId="2AE0FB74" w14:textId="77777777" w:rsidR="00A8138F" w:rsidRDefault="00A8138F" w:rsidP="00A8138F">
      <w:pPr>
        <w:pStyle w:val="TextoNormal"/>
      </w:pPr>
    </w:p>
    <w:p w14:paraId="0FF29231" w14:textId="77777777" w:rsidR="00A8138F" w:rsidRDefault="00A8138F" w:rsidP="00A8138F">
      <w:pPr>
        <w:pStyle w:val="TextoNormal"/>
      </w:pPr>
      <w:r>
        <w:t>Publíquese esta sentencia en el “Boletín Oficial del Estado”.</w:t>
      </w:r>
    </w:p>
    <w:p w14:paraId="768A7C14" w14:textId="77777777" w:rsidR="00A8138F" w:rsidRDefault="00A8138F" w:rsidP="00A8138F">
      <w:pPr>
        <w:pStyle w:val="TextoNormal"/>
      </w:pPr>
      <w:r>
        <w:t>Dada en Madrid, a diez de febrero de dos mil veinticinco.</w:t>
      </w:r>
    </w:p>
    <w:p w14:paraId="247D076E" w14:textId="6B92BDCE" w:rsidR="00A8138F" w:rsidRDefault="00A8138F">
      <w:pPr>
        <w:spacing w:after="160" w:line="278" w:lineRule="auto"/>
        <w:rPr>
          <w:rFonts w:ascii="Times New Roman" w:eastAsia="Times New Roman" w:hAnsi="Times New Roman" w:cs="Times New Roman"/>
          <w:sz w:val="24"/>
          <w:szCs w:val="24"/>
          <w:lang w:eastAsia="es-ES"/>
        </w:rPr>
      </w:pPr>
      <w:r>
        <w:br w:type="page"/>
      </w:r>
    </w:p>
    <w:p w14:paraId="106F58DC" w14:textId="77777777" w:rsidR="00A8138F" w:rsidRDefault="00A8138F" w:rsidP="00A8138F">
      <w:pPr>
        <w:pStyle w:val="TtuloResolucin"/>
      </w:pPr>
      <w:bookmarkStart w:id="41" w:name="SENTENCIA_2025_39"/>
      <w:r>
        <w:lastRenderedPageBreak/>
        <w:t>SENTENCIA 39/2025, de 10 de febrero de 2025</w:t>
      </w:r>
    </w:p>
    <w:bookmarkEnd w:id="41"/>
    <w:p w14:paraId="1D4A8869" w14:textId="77777777" w:rsidR="00A8138F" w:rsidRDefault="00A8138F" w:rsidP="00A8138F">
      <w:pPr>
        <w:pStyle w:val="TtuloResolucin"/>
      </w:pPr>
      <w:r>
        <w:t>Sala Primera</w:t>
      </w:r>
    </w:p>
    <w:p w14:paraId="14EA5317" w14:textId="77777777" w:rsidR="00A8138F" w:rsidRDefault="00A8138F" w:rsidP="00A8138F">
      <w:pPr>
        <w:pStyle w:val="TtuloBOE"/>
      </w:pPr>
      <w:r>
        <w:t>(BOE núm. 69, de 21 de marzo de 2025)</w:t>
      </w:r>
    </w:p>
    <w:p w14:paraId="312DF78F" w14:textId="77777777" w:rsidR="00A8138F" w:rsidRDefault="00A8138F" w:rsidP="00A8138F">
      <w:pPr>
        <w:pStyle w:val="TextoNormalCentrado"/>
      </w:pPr>
      <w:r>
        <w:t>ECLI:ES:TC:2025:39</w:t>
      </w:r>
    </w:p>
    <w:p w14:paraId="318D4DBA" w14:textId="14EBB290" w:rsidR="00A8138F" w:rsidRDefault="00A8138F" w:rsidP="00A8138F">
      <w:pPr>
        <w:pStyle w:val="TextoNormalCentrado"/>
      </w:pPr>
    </w:p>
    <w:p w14:paraId="63095C0E" w14:textId="77777777" w:rsidR="00A8138F" w:rsidRDefault="00A8138F" w:rsidP="00A8138F">
      <w:pPr>
        <w:pStyle w:val="SntesisDescriptiva"/>
      </w:pPr>
      <w:r>
        <w:t>Recurso de amparo 3366-2024. Promovido por doña Elena Rocío San Martín Téllez en relación con las resoluciones administrativas y judiciales que desestimaron su petición de revisión y ampliación de la prestación por nacimiento y cuidado de hijo menor, como madre biológica de familia monoparental.</w:t>
      </w:r>
    </w:p>
    <w:p w14:paraId="4FBFC206" w14:textId="68F390DD" w:rsidR="00A8138F" w:rsidRDefault="00A8138F" w:rsidP="00A8138F">
      <w:pPr>
        <w:pStyle w:val="SntesisDescriptiva"/>
      </w:pPr>
    </w:p>
    <w:p w14:paraId="0F2BCD27" w14:textId="77777777" w:rsidR="00A8138F" w:rsidRDefault="00A8138F" w:rsidP="00A8138F">
      <w:pPr>
        <w:pStyle w:val="SntesisAnaltica"/>
      </w:pPr>
      <w:r>
        <w:t>Vulneración del derecho a la igualdad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E0FB8EC" w14:textId="3017768D" w:rsidR="00A8138F" w:rsidRDefault="00A8138F" w:rsidP="00A8138F">
      <w:pPr>
        <w:pStyle w:val="SntesisAnaltica"/>
      </w:pPr>
    </w:p>
    <w:p w14:paraId="33903117" w14:textId="3DB81AB2"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19C884F3" w14:textId="77777777" w:rsidR="00A8138F" w:rsidRDefault="00A8138F" w:rsidP="00A8138F">
      <w:pPr>
        <w:pStyle w:val="Extracto"/>
      </w:pPr>
    </w:p>
    <w:p w14:paraId="0994D1E7" w14:textId="77777777" w:rsidR="00A8138F" w:rsidRDefault="00A8138F" w:rsidP="00A8138F">
      <w:pPr>
        <w:pStyle w:val="Extracto"/>
      </w:pPr>
    </w:p>
    <w:p w14:paraId="09CA4B9A"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3DF2137" w14:textId="4BB8C0D3" w:rsidR="00A8138F" w:rsidRDefault="00A8138F" w:rsidP="00A8138F">
      <w:pPr>
        <w:pStyle w:val="TextoNormal"/>
      </w:pPr>
    </w:p>
    <w:p w14:paraId="499A53F0" w14:textId="77777777" w:rsidR="00A8138F" w:rsidRDefault="00A8138F" w:rsidP="00A8138F">
      <w:pPr>
        <w:pStyle w:val="TextoNormalCentrado"/>
        <w:keepNext/>
      </w:pPr>
      <w:r>
        <w:t>EN NOMBRE DEL REY</w:t>
      </w:r>
    </w:p>
    <w:p w14:paraId="341DA6A9" w14:textId="708F6ECB" w:rsidR="00A8138F" w:rsidRDefault="00A8138F" w:rsidP="00A8138F">
      <w:pPr>
        <w:pStyle w:val="TextoNormalCentrado"/>
        <w:keepNext/>
      </w:pPr>
    </w:p>
    <w:p w14:paraId="6039821C" w14:textId="77777777" w:rsidR="00A8138F" w:rsidRDefault="00A8138F" w:rsidP="00A8138F">
      <w:pPr>
        <w:pStyle w:val="TextoNormalCentrado"/>
        <w:keepNext/>
      </w:pPr>
    </w:p>
    <w:p w14:paraId="17ACF3F3" w14:textId="77777777" w:rsidR="00A8138F" w:rsidRDefault="00A8138F" w:rsidP="00A8138F">
      <w:pPr>
        <w:pStyle w:val="TextoNormal"/>
      </w:pPr>
      <w:r>
        <w:t>la siguiente</w:t>
      </w:r>
    </w:p>
    <w:p w14:paraId="6A92AC2A" w14:textId="17E3C298" w:rsidR="00A8138F" w:rsidRDefault="00A8138F" w:rsidP="00A8138F">
      <w:pPr>
        <w:pStyle w:val="TextoNormal"/>
      </w:pPr>
    </w:p>
    <w:p w14:paraId="2C320C16" w14:textId="77777777" w:rsidR="00A8138F" w:rsidRDefault="00A8138F" w:rsidP="00A8138F">
      <w:pPr>
        <w:pStyle w:val="TextoNormalCentrado"/>
        <w:keepNext/>
      </w:pPr>
      <w:r>
        <w:t>SENTENCIA</w:t>
      </w:r>
    </w:p>
    <w:p w14:paraId="67F34853" w14:textId="7B2A98BA" w:rsidR="00A8138F" w:rsidRDefault="00A8138F" w:rsidP="00A8138F">
      <w:pPr>
        <w:pStyle w:val="TextoNormalCentrado"/>
        <w:keepNext/>
      </w:pPr>
    </w:p>
    <w:p w14:paraId="6CF64CB8" w14:textId="77777777" w:rsidR="00A8138F" w:rsidRDefault="00A8138F" w:rsidP="00A8138F">
      <w:pPr>
        <w:pStyle w:val="TextoNormal"/>
      </w:pPr>
      <w:r>
        <w:t>En el recurso de amparo núm. 3366-2024, promovido por doña Elena Rocío San Martín Téllez, representada por la procuradora de los tribunales doña Alicia Suau Casado y asistida por la letrada doña Aida Casanova Pérez, contra el auto de la Sala de lo Social del Tribunal Supremo de 2 de abril de 2024, que inadmitió el recurso de casación para unificación de doctrina núm. 3626-2023 que interpuso contra la sentencia de la Sala de lo Social del Tribunal Superior de Justicia de Madrid núm. 591/2023, de 16 de junio, dictada en el recurso de suplicación núm. 131-2023, que revocó la ampliación de diez semanas del permiso por nacimiento y cuidado de su hija que le fue reconocida en sentencia núm. 358/2022, de 21 de diciembre, del Juzgado de lo Social núm. 22 de Madrid, dictada en los autos de Seguridad Social núm. 1004-2022, al revisar la resolución del Instituto Nacional de la Seguridad Social de 7 de octubre de 2022 que le había denegado dicha ampliación. Han intervenido en el procedimiento de amparo la letrada de la Administración de la Seguridad Social y el Ministerio Fiscal. Ha sido ponente el presidente, don Cándido Conde-Pumpido Tourón.</w:t>
      </w:r>
    </w:p>
    <w:p w14:paraId="41D37410" w14:textId="77860EE5" w:rsidR="00A8138F" w:rsidRDefault="00A8138F" w:rsidP="00A8138F">
      <w:pPr>
        <w:pStyle w:val="TextoNormal"/>
      </w:pPr>
    </w:p>
    <w:p w14:paraId="5D8A1465" w14:textId="77777777" w:rsidR="00A8138F" w:rsidRDefault="00A8138F" w:rsidP="00A8138F">
      <w:pPr>
        <w:pStyle w:val="TextoNormalNegritaCentrado"/>
        <w:keepNext/>
      </w:pPr>
      <w:r>
        <w:t>I. Antecedentes</w:t>
      </w:r>
    </w:p>
    <w:p w14:paraId="0A1F95E4" w14:textId="78C5F662" w:rsidR="00A8138F" w:rsidRDefault="00A8138F" w:rsidP="00A8138F">
      <w:pPr>
        <w:pStyle w:val="TextoNormalNegritaCentrado"/>
        <w:keepNext/>
      </w:pPr>
    </w:p>
    <w:p w14:paraId="44EDCEA0" w14:textId="2DC3A55A" w:rsidR="00A8138F" w:rsidRDefault="00A8138F" w:rsidP="00A8138F">
      <w:pPr>
        <w:pStyle w:val="TextoNormal"/>
      </w:pPr>
      <w:r w:rsidRPr="00A8138F">
        <w:rPr>
          <w:rStyle w:val="NumeroAFNegritaCaracter"/>
        </w:rPr>
        <w:t>1</w:t>
      </w:r>
      <w:r>
        <w:t>. El 9 de mayo de 2024, la procuradora de los tribunales doña Alicia Suau Casado, en nombre de la recurrente y bajo la dirección de la letrada doña Aida Casanova Pérez, interpuso recurso de amparo contra la sentencia de la Sala de lo Social del Tribunal Superior de Justicia de Madrid núm. 591/2023, de 16 de junio, que estimando el recurso de suplicación interpuesto por el Instituto Nacional de la Seguridad Social (INSS) confirmó las resoluciones administrativas que denegaron a la actora la ampliación del permiso por nacimiento y cuidado de hija que había solicitado por constituir una familia monoparental. Esta sentencia devino firme tras la inadmisión del recurso de casación para la unificación de doctrina por auto de 2 de abril de 2024 de la Sala de lo Social del Tribunal Supremo.</w:t>
      </w:r>
    </w:p>
    <w:p w14:paraId="5590F3B3" w14:textId="77777777" w:rsidR="00A8138F" w:rsidRDefault="00A8138F" w:rsidP="00A8138F">
      <w:pPr>
        <w:pStyle w:val="TextoNormal"/>
      </w:pPr>
    </w:p>
    <w:p w14:paraId="2E70F3E1" w14:textId="77777777" w:rsidR="00A8138F" w:rsidRDefault="00A8138F" w:rsidP="00A8138F">
      <w:pPr>
        <w:pStyle w:val="TextoNormal"/>
      </w:pPr>
      <w:r w:rsidRPr="00A8138F">
        <w:rPr>
          <w:rStyle w:val="NumeroAFNegritaCaracter"/>
        </w:rPr>
        <w:t>2</w:t>
      </w:r>
      <w:r>
        <w:t>. El presente recurso de amparo trae causa de los siguientes antecedentes:</w:t>
      </w:r>
    </w:p>
    <w:p w14:paraId="08569DB9" w14:textId="77777777" w:rsidR="00A8138F" w:rsidRDefault="00A8138F" w:rsidP="00A8138F">
      <w:pPr>
        <w:pStyle w:val="TextoNormal"/>
      </w:pPr>
    </w:p>
    <w:p w14:paraId="1833C9B7" w14:textId="77777777" w:rsidR="00A8138F" w:rsidRDefault="00A8138F" w:rsidP="00A8138F">
      <w:pPr>
        <w:pStyle w:val="TextoNormal"/>
      </w:pPr>
      <w:r>
        <w:t>a) A la recurrente en amparo, madre biológica de una niña nacida el 15 de septiembre de 2022, que constituye una familia monoparental al ser única progenitora de la menor y de estado civil soltera, la Dirección Provincial del INSS, en resolución dictada el 24 de septiembre de 2022, le reconoció una prestación por nacimiento y cuidado de hijo de una duración de dieciséis semanas, cuyos efectos económicos se extenderían en el periodo comprendido entre el 15 de septiembre de 2022 y el 4 de enero de 2023.</w:t>
      </w:r>
    </w:p>
    <w:p w14:paraId="249FAC4F" w14:textId="77777777" w:rsidR="00A8138F" w:rsidRDefault="00A8138F" w:rsidP="00A8138F">
      <w:pPr>
        <w:pStyle w:val="TextoNormal"/>
      </w:pPr>
    </w:p>
    <w:p w14:paraId="0A956DF1" w14:textId="77777777" w:rsidR="00A8138F" w:rsidRDefault="00A8138F" w:rsidP="00A8138F">
      <w:pPr>
        <w:pStyle w:val="TextoNormal"/>
      </w:pPr>
      <w:r>
        <w:t>El 25 de septiembre de 2022 la actora presentó escrito a la entidad gestora de la Seguridad Social solicitando la ampliación de la prestación en las dieciséis semanas que hubieran correspondido, conforme al art. 48.4 del texto refundido de la Ley del estatuto de los trabajadores (LET), al progenitor distinto de la madre biológica, alegando que dicha ampliación tenía por fin el cuidado de la menor en igualdad de condiciones que las familias biparentales. El INSS desestimó esta solicitud por resolución de 7 de octubre de 2022, aduciendo que el objeto de la reclamación no estaba contemplado en la normativa reguladora de la prestación. El 8 de noviembre de 2022 la actora presentó reclamación previa en la que manifestó su disconformidad con la anterior decisión y reprodujo los términos de su petición de ampliación. Esta reclamación no le fue contestada.</w:t>
      </w:r>
    </w:p>
    <w:p w14:paraId="2FC372E5" w14:textId="77777777" w:rsidR="00A8138F" w:rsidRDefault="00A8138F" w:rsidP="00A8138F">
      <w:pPr>
        <w:pStyle w:val="TextoNormal"/>
      </w:pPr>
    </w:p>
    <w:p w14:paraId="1894CCBB" w14:textId="77777777" w:rsidR="00A8138F" w:rsidRDefault="00A8138F" w:rsidP="00A8138F">
      <w:pPr>
        <w:pStyle w:val="TextoNormal"/>
      </w:pPr>
      <w:r>
        <w:t>b) La actora interpuso demanda contra el INSS y la Tesorería General de la Seguridad Social (TGSS) que fue turnada al Juzgado de lo Social núm. 22 de Madrid, autos núm. 1004-2022. Alegaba, en esencia, que la decisión de denegarle la ampliación de la prestación redundaba en discriminación, proscrita en el art. 14 CE, tanto para su hija como para las familias monoparentales, partiendo del dato de que en su mayoría estaban encabezadas por mujeres. El juzgado de lo social dictó sentencia el 21 de diciembre de 2022 en la que, estimando parcialmente su pretensión, le reconoció el derecho a una ampliación del permiso en diez semanas, condenando a las entidades demandadas a estar y pasar por dicho pronunciamiento, con todos los efectos inherentes al mismo.</w:t>
      </w:r>
    </w:p>
    <w:p w14:paraId="633D873E" w14:textId="77777777" w:rsidR="00A8138F" w:rsidRDefault="00A8138F" w:rsidP="00A8138F">
      <w:pPr>
        <w:pStyle w:val="TextoNormal"/>
      </w:pPr>
    </w:p>
    <w:p w14:paraId="486E218A" w14:textId="77777777" w:rsidR="00A8138F" w:rsidRDefault="00A8138F" w:rsidP="00A8138F">
      <w:pPr>
        <w:pStyle w:val="TextoNormal"/>
      </w:pPr>
      <w:r>
        <w:t xml:space="preserve">La sentencia, después de citar la normativa nacional e internacional aplicable, se remite, con reproducción parcial de algunos de sus fundamentos jurídicos, a las sentencias núm. 939/2022, de 28 de octubre (ECLI:ES:TSJM:2022:12412), y 666/2022, de 8 de julio (ECLI:ES:TSJM:2022:8946), de la Sala de lo Social del Tribunal Superior de Justicia de </w:t>
      </w:r>
      <w:r>
        <w:lastRenderedPageBreak/>
        <w:t>Madrid que, a su vez, recoge los fundamentos jurídicos de la sentencia de 6 de octubre de 2020 de la Sala de lo Social del Tribunal Superior de Justicia del País Vasco (ECLI:ES:TSJPV:2020:396) en supuesto idéntico al planteado. La juzgadora, tras analizar exhaustivamente la legislación sobre estos permisos, art. 177 del texto refundido de la Ley general de la Seguridad Social (LGSS) en relación con el art. 48.4, 5 y 6 LET y art. 49 a), b) y c) del texto refundido de la Ley del estatuto básico del empleado público (TRLEEP), tras la redacción dada por el Real Decreto-ley 6/2019, de 1 de marzo, hace suyos los razonamientos de las sentencias citadas concluyendo que procede acoger, si bien parcialmente, la pretensión de la demandante, reconociéndole el derecho a la ampliación de la prestación y permiso por nacimiento y cuidado de su hija de diez semanas adicionales a las ya reconocidas por la administración.</w:t>
      </w:r>
    </w:p>
    <w:p w14:paraId="3E869BE0" w14:textId="77777777" w:rsidR="00A8138F" w:rsidRDefault="00A8138F" w:rsidP="00A8138F">
      <w:pPr>
        <w:pStyle w:val="TextoNormal"/>
      </w:pPr>
    </w:p>
    <w:p w14:paraId="671F4A19" w14:textId="77777777" w:rsidR="00A8138F" w:rsidRDefault="00A8138F" w:rsidP="00A8138F">
      <w:pPr>
        <w:pStyle w:val="TextoNormal"/>
      </w:pPr>
      <w:r>
        <w:t>c) Las entidades demandadas, el INSS y la TGSS, interpusieron contra esta sentencia recurso de suplicación ante la Sala de lo Social del Tribunal Superior de Justicia de Madrid, recurso núm. 131-2023, que dictó la sentencia núm. 591/2023, de 16 de junio, que estimando el recurso revocó la sentencia del juzgado de lo social y desestimó íntegramente la demanda de la actora, absolviendo a las demandadas. La sentencia se atiene a la doctrina fijada por la sentencia de Pleno de la Sala de lo Social del Tribunal Supremo de 2 de marzo de 2023 (ECLI:ES:TS:2023:783) en la que se declara que la función de jueces y tribunales es la interpretación y aplicación de la norma y no la creación del Derecho y que lo pretendido por la actora en la instancia solo le corresponde al legislador, no pudiendo ser suplida su función por resoluciones judiciales, ya que eso supondría modificar el régimen prestacional de la Seguridad Social y la regulación de la suspensión del contrato de trabajo por causas no previstas en la ley. Concluye que la norma impugnada no es contraria a la Constitución, sino expresión de la voluntad legislativa tendente al cumplimiento estricto y completo de los principios que rigen esta materia. No solo es el interés del menor el que está en juego, también el derecho de los hijos de las familias monoparentales a ser cuidados en condiciones de igualdad con respecto a los de las biparentales, lo que exige tener en cuenta que, en estas, la prestación del otro progenitor (que en las monoparentales no existe), precisa del alta en la Seguridad Social y cubrir un periodo mínimo de carencia. Considera la sentencia que la perspectiva de género resulta determinante porque lo que se pide se sitúa en el ámbito de la creación del Derecho, y en el caso se estaría ante un eventual déficit de protección querido y consentido por el legislador.</w:t>
      </w:r>
    </w:p>
    <w:p w14:paraId="316FD993" w14:textId="77777777" w:rsidR="00A8138F" w:rsidRDefault="00A8138F" w:rsidP="00A8138F">
      <w:pPr>
        <w:pStyle w:val="TextoNormal"/>
      </w:pPr>
    </w:p>
    <w:p w14:paraId="5F26B159" w14:textId="51BABB05" w:rsidR="00A8138F" w:rsidRDefault="00A8138F" w:rsidP="00A8138F">
      <w:pPr>
        <w:pStyle w:val="TextoNormal"/>
      </w:pPr>
      <w:r>
        <w:t>d) Formalizado por la actora recurso de casación para unificación de doctrina, núm. 3626-2023, contra la sentencia de suplicación, la Sala de lo Social del Tribunal Supremo dictó auto el 2 de abril de 2024 que lo inadmitió por falta de interés casacional, declarando la firmeza de la sentencia impugnada.</w:t>
      </w:r>
    </w:p>
    <w:p w14:paraId="01AED8BD" w14:textId="77777777" w:rsidR="00A8138F" w:rsidRDefault="00A8138F" w:rsidP="00A8138F">
      <w:pPr>
        <w:pStyle w:val="TextoNormal"/>
      </w:pPr>
    </w:p>
    <w:p w14:paraId="78EEAE86" w14:textId="77777777" w:rsidR="00A8138F" w:rsidRDefault="00A8138F" w:rsidP="00A8138F">
      <w:pPr>
        <w:pStyle w:val="TextoNormal"/>
      </w:pPr>
      <w:r w:rsidRPr="00A8138F">
        <w:rPr>
          <w:rStyle w:val="NumeroAFNegritaCaracter"/>
        </w:rPr>
        <w:t>3</w:t>
      </w:r>
      <w:r>
        <w:t>. En la demanda de amparo la recurrente invoca la vulneración del derecho de igualdad del art 14 CE, en relación con el art. 39 CE, en una triple vertiente: (a) por discriminación directa por desigualdad entre madres y menores integrantes de familias monoparentales y los de familias biparentales; (b) por discriminación directa por circunstancias personales y familiares que resulta de su decisión de formar una familia monoparental, es decir, de su condición familiar; y (c) porque con dicha negativa se ha provocado una discriminación indirecta por razón de sexo de la recurrente, ya que en su mayoría las familias monoparentales estadísticamente están configuradas por mujeres, perjudicándolas sin justificación ob</w:t>
      </w:r>
      <w:r>
        <w:lastRenderedPageBreak/>
        <w:t>jetiva, afectándoles en el ejercicio de su libre autodeterminación de formar familias monoparentales (art. 14 CE, segundo inciso, en relación con el art. 9.2 CE).</w:t>
      </w:r>
    </w:p>
    <w:p w14:paraId="5B8BCBE6" w14:textId="77777777" w:rsidR="00A8138F" w:rsidRDefault="00A8138F" w:rsidP="00A8138F">
      <w:pPr>
        <w:pStyle w:val="TextoNormal"/>
      </w:pPr>
    </w:p>
    <w:p w14:paraId="21D5FCC9" w14:textId="08EA6D81" w:rsidR="00A8138F" w:rsidRDefault="00A8138F" w:rsidP="00A8138F">
      <w:pPr>
        <w:pStyle w:val="TextoNormal"/>
      </w:pPr>
      <w:r>
        <w:t>En atención a ello, la demanda de amparo solicita que se declare la nulidad de las resoluciones administrativas del INSS, de 7 de octubre de 2022, denegatoria de la ampliación del permiso y prestación por nacimiento y cuidado de la menor, y la desestimatoria presunta por silencio administrativo tras la interposición de la reclamación previa. Asímismo, suplica se declare la nulidad de las resoluciones judiciales dictadas en el procedimiento: sentencia núm. 591/2023, de 16 de junio, de la Sala de lo Social del Tribunal Superior de Justicia de Madrid dictada en el recurso de suplicación núm. 131-2023, y auto de 2 de abril de 2024 de la Sala de lo Social del Tribunal Supremo de inadmisión del recurso de casación para unificación de doctrina núm. 3626-2023.</w:t>
      </w:r>
    </w:p>
    <w:p w14:paraId="1B55E536" w14:textId="77777777" w:rsidR="00A8138F" w:rsidRDefault="00A8138F" w:rsidP="00A8138F">
      <w:pPr>
        <w:pStyle w:val="TextoNormal"/>
      </w:pPr>
    </w:p>
    <w:p w14:paraId="00B06A73" w14:textId="77777777" w:rsidR="00A8138F" w:rsidRDefault="00A8138F" w:rsidP="00A8138F">
      <w:pPr>
        <w:pStyle w:val="TextoNormal"/>
      </w:pPr>
      <w:r w:rsidRPr="00A8138F">
        <w:rPr>
          <w:rStyle w:val="NumeroAFNegritaCaracter"/>
        </w:rPr>
        <w:t>4</w:t>
      </w:r>
      <w:r>
        <w:t>. Por providencia de 21 de octubre de 2024, la Sección Primera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45ED9402" w14:textId="77777777" w:rsidR="00A8138F" w:rsidRDefault="00A8138F" w:rsidP="00A8138F">
      <w:pPr>
        <w:pStyle w:val="TextoNormal"/>
      </w:pPr>
    </w:p>
    <w:p w14:paraId="47750606" w14:textId="3C5F3CDF" w:rsidR="00A8138F" w:rsidRDefault="00A8138F" w:rsidP="00A8138F">
      <w:pPr>
        <w:pStyle w:val="TextoNormal"/>
      </w:pPr>
      <w:r>
        <w:t>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3626-2023, y al recurso de suplicación núm. 131-2023 respectivamente. Asimismo, acordó dirigir atenta comunicación al Juzgado de lo Social núm. 22 de Madrid a fin de que, en plazo que no excediera de diez días, remitiese certificación o fotocopia adverada de las actuaciones correspondientes a los autos núm. 1004-2022, emplazando a quienes hubieran sido parte en el procedimiento, excepto la parte recurrente en amparo, para que, si lo deseaban, pudieran comparecer en el presente recurso.</w:t>
      </w:r>
    </w:p>
    <w:p w14:paraId="5254764F" w14:textId="77777777" w:rsidR="00A8138F" w:rsidRDefault="00A8138F" w:rsidP="00A8138F">
      <w:pPr>
        <w:pStyle w:val="TextoNormal"/>
      </w:pPr>
    </w:p>
    <w:p w14:paraId="25AE010F" w14:textId="1F6B5CBD" w:rsidR="00A8138F" w:rsidRDefault="00A8138F" w:rsidP="00A8138F">
      <w:pPr>
        <w:pStyle w:val="TextoNormal"/>
      </w:pPr>
      <w:r w:rsidRPr="00A8138F">
        <w:rPr>
          <w:rStyle w:val="NumeroAFNegritaCaracter"/>
        </w:rPr>
        <w:t>5</w:t>
      </w:r>
      <w:r>
        <w:t>. Mediante escrito presentado el día 12 de noviembre de 2024, el letrado de la administración de la Seguridad Social, actuando en nombre y representación del INSS y la TGSS, interesó su personación en el presente recurso de amparo.</w:t>
      </w:r>
    </w:p>
    <w:p w14:paraId="26F40243" w14:textId="77777777" w:rsidR="00A8138F" w:rsidRDefault="00A8138F" w:rsidP="00A8138F">
      <w:pPr>
        <w:pStyle w:val="TextoNormal"/>
      </w:pPr>
    </w:p>
    <w:p w14:paraId="0DA8C64A" w14:textId="05032050" w:rsidR="00A8138F" w:rsidRDefault="00A8138F" w:rsidP="00A8138F">
      <w:pPr>
        <w:pStyle w:val="TextoNormal"/>
      </w:pPr>
      <w:r w:rsidRPr="00A8138F">
        <w:rPr>
          <w:rStyle w:val="NumeroAFNegritaCaracter"/>
        </w:rPr>
        <w:t>6</w:t>
      </w:r>
      <w:r>
        <w:t>. Por diligencia de ordenación de la Secretaría de Justicia de la Sala Primera de este Tribunal, de 28 de noviembre de 2024, se tuvieron por recibidos los testimonios de actuaciones remitidos por la Sala de lo Social del Tribunal Supremo, por la Sala de lo Social del Tribunal Superior de Justicia de Madrid y por el Juzgado de lo Social núm. 22 de Madrid y el escrito del letrado de la administración de la Seguridad Social y: (i) acordó tener por personado y parte en el presente procedimiento al letrado de la administración de la Seguridad Social, en nombre y representación del INSS y la TGSS; (ii) asimismo, de conformidad con lo establecido en el art. 52.1 LOTC, se dispuso a dar vista de las actuaciones en la sede electrónica de este tribunal a la recurrente, al Ministerio Fiscal y a la parte personada, por plazo común de veinte días, para que pudieran presentar las alegaciones que estimaran pertinentes.</w:t>
      </w:r>
    </w:p>
    <w:p w14:paraId="3C5603E8" w14:textId="77777777" w:rsidR="00A8138F" w:rsidRDefault="00A8138F" w:rsidP="00A8138F">
      <w:pPr>
        <w:pStyle w:val="TextoNormal"/>
      </w:pPr>
    </w:p>
    <w:p w14:paraId="2A2C70F4" w14:textId="7A912DDF" w:rsidR="00A8138F" w:rsidRDefault="00A8138F" w:rsidP="00A8138F">
      <w:pPr>
        <w:pStyle w:val="TextoNormal"/>
      </w:pPr>
      <w:r w:rsidRPr="00A8138F">
        <w:rPr>
          <w:rStyle w:val="NumeroAFNegritaCaracter"/>
        </w:rPr>
        <w:lastRenderedPageBreak/>
        <w:t>7</w:t>
      </w:r>
      <w:r>
        <w:t>. A través de escrito presentado el 10 de diciembre 2024, el letrado de la administración de Seguridad Social formuló alegaciones en representación del INSS y la TGSS, postulando en principio la desestimación del recurso de amparo aunque subsidiariamente, para el caso de estimación, postula una limitación del número de semanas adicionales de permiso que cabría reconocer. Tras identificar la normativa nacional que regula el permiso y prestación por nacimiento y cuidado del menor, arts. 177 y 178 LGSS y 48.4 LET, así como el art. 49 a), b) y c) TRLEEP, el escrito de alegaciones hace cita de doctrina constitucional para concluir que, en este caso, las resoluciones administrativas denegatorias de la ampliación, confirmadas finalmente por la jurisdicción, no supusieron realmente una discriminación de la menor nacida en una familia monoparental. Reconoce, no obstante, que la reciente STC 140/2024, de 6 de noviembre, estimatoria de la cuestión de inconstitucionalidad núm. 6694-2023, ha declarado inconstitucional el art. 48.4 LET y el art. 177 LGSS, con el alcance que señala en su fundamento jurídico 7, aunque matiza que para el disfrute del permiso es preciso el cumplimiento del resto de los requisitos legalmente establecidos, entre los que se incluye haber hecho efectivo el descanso, sin prestar servicios por cuenta ajena ni percibir las correspondientes retribuciones. Solicita por ello la desestimación del recurso de amparo y que, en caso de estimarse, el incremento de la duración del permiso y la prestación, tras el agotamiento de las primeras dieciséis semanas, no exceda de diez semanas adicionales.</w:t>
      </w:r>
    </w:p>
    <w:p w14:paraId="5A431829" w14:textId="77777777" w:rsidR="00A8138F" w:rsidRDefault="00A8138F" w:rsidP="00A8138F">
      <w:pPr>
        <w:pStyle w:val="TextoNormal"/>
      </w:pPr>
    </w:p>
    <w:p w14:paraId="12FAF288" w14:textId="37B27D2E" w:rsidR="00A8138F" w:rsidRDefault="00A8138F" w:rsidP="00A8138F">
      <w:pPr>
        <w:pStyle w:val="TextoNormal"/>
      </w:pPr>
      <w:r w:rsidRPr="00A8138F">
        <w:rPr>
          <w:rStyle w:val="NumeroAFNegritaCaracter"/>
        </w:rPr>
        <w:t>8</w:t>
      </w:r>
      <w:r>
        <w:t>. La fiscal ante el Tribunal Constitucional presentó escrito el 18 de diciembre de 2024, en el que vierte sus alegaciones interesando la estimación parcial del recurso de amparo. Tras resumir los antecedentes más relevantes del procedimiento laboral y los fundamentos y alegaciones del recurso de amparo, aduce que no es necesario hacer referencia a la doctrina general sobre el derecho a la igualdad y a la no discriminación por razón de sexo, por ser sobradamente conocida y porque la STC 140/2024, de 6 de noviembre, ha establecido una doctrina constitucional específica para esta cuestión, al declarar inconstitucional el art. 48.4 LET y el art. 177 LGSS por vulneración del derecho reconocido en el art. 14 CE en relación con el art. 39 CE. Considera que la sentencia del Tribunal Superior de Justicia de Madrid y el auto de inadmisión del Tribunal Supremo, al aplicar dichos preceptos, han incurrido en la discriminación prohibida por el art. 14.1 CE, tanto de la demandante de amparo, por constituir una familia monoparental, como de su hija, por razón de nacimiento. Con arreglo al criterio adoptado en la citada STC 140/2024, descontadas las seis semanas de disfrute conjunto por los progenitores, la reparación del derecho ha de concretarse en el disfrute de diez semanas de prestación adicionales. Considera asimismo que en este caso no procede la retroacción de las actuaciones hasta la primera resolución dictada por el INSS, bastando con declarar la nulidad de la sentencia de la Sala de lo Social del Tribunal Superior de Justicia de Madrid, de 16 de junio, y del auto de inadmisión del recurso de casación para unificación de doctrina de la Sala de lo Social del Tribunal Supremo, de 2 de abril de 2024, declarando la firmeza de la sentencia del Juzgado de lo Social núm. 22 de Madrid, que ha resuelto la pretensión de la demandante de amparo de forma coincidente, en lo esencial, con la STC 140/2024, de 6 de noviembre.</w:t>
      </w:r>
    </w:p>
    <w:p w14:paraId="20E9E0AF" w14:textId="77777777" w:rsidR="00A8138F" w:rsidRDefault="00A8138F" w:rsidP="00A8138F">
      <w:pPr>
        <w:pStyle w:val="TextoNormal"/>
      </w:pPr>
    </w:p>
    <w:p w14:paraId="6677E2CF" w14:textId="12F2D0B6" w:rsidR="00A8138F" w:rsidRDefault="00A8138F" w:rsidP="00A8138F">
      <w:pPr>
        <w:pStyle w:val="TextoNormal"/>
      </w:pPr>
      <w:r w:rsidRPr="00A8138F">
        <w:rPr>
          <w:rStyle w:val="NumeroAFNegritaCaracter"/>
        </w:rPr>
        <w:t>9</w:t>
      </w:r>
      <w:r>
        <w:t>. La recurrente presentó escrito el 7 de enero de 2025 ratificando la pretensión de la demanda de amparo, dando por reproducidas las argumentaciones vertidas en ella sobre los motivos de fondo del asunto, suplicando se dicte sentencia otorgando el amparo pretendido por la demandante.</w:t>
      </w:r>
    </w:p>
    <w:p w14:paraId="3C1C3AA8" w14:textId="77777777" w:rsidR="00A8138F" w:rsidRDefault="00A8138F" w:rsidP="00A8138F">
      <w:pPr>
        <w:pStyle w:val="TextoNormal"/>
      </w:pPr>
    </w:p>
    <w:p w14:paraId="6D9B80A3" w14:textId="01A2D405" w:rsidR="00A8138F" w:rsidRDefault="00A8138F" w:rsidP="00A8138F">
      <w:pPr>
        <w:pStyle w:val="TextoNormal"/>
      </w:pPr>
      <w:r w:rsidRPr="00A8138F">
        <w:rPr>
          <w:rStyle w:val="NumeroAFNegritaCaracter"/>
        </w:rPr>
        <w:lastRenderedPageBreak/>
        <w:t>10</w:t>
      </w:r>
      <w:r>
        <w:t>. Por providencia de 6 de febrero de 2025 se señaló para deliberación y votación del presente recurso el día 10 del mismo mes y año.</w:t>
      </w:r>
    </w:p>
    <w:p w14:paraId="1A9FBBF4" w14:textId="77777777" w:rsidR="00A8138F" w:rsidRDefault="00A8138F" w:rsidP="00A8138F">
      <w:pPr>
        <w:pStyle w:val="TextoNormal"/>
      </w:pPr>
    </w:p>
    <w:p w14:paraId="4E5E823A" w14:textId="77777777" w:rsidR="00A8138F" w:rsidRDefault="00A8138F" w:rsidP="00A8138F">
      <w:pPr>
        <w:pStyle w:val="TextoNormalNegritaCentrado"/>
        <w:keepNext/>
      </w:pPr>
      <w:r>
        <w:t>II. Fundamentos jurídicos</w:t>
      </w:r>
    </w:p>
    <w:p w14:paraId="2978CA2E" w14:textId="19F10521" w:rsidR="00A8138F" w:rsidRDefault="00A8138F" w:rsidP="00A8138F">
      <w:pPr>
        <w:pStyle w:val="TextoNormalNegritaCentrado"/>
        <w:keepNext/>
      </w:pPr>
    </w:p>
    <w:p w14:paraId="5D208C01"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7B6352C2" w14:textId="77777777" w:rsidR="00A8138F" w:rsidRDefault="00A8138F" w:rsidP="00A8138F">
      <w:pPr>
        <w:pStyle w:val="TextoNormal"/>
      </w:pPr>
    </w:p>
    <w:p w14:paraId="6020FBDB" w14:textId="2644241E" w:rsidR="00A8138F" w:rsidRDefault="00A8138F" w:rsidP="00A8138F">
      <w:pPr>
        <w:pStyle w:val="TextoNormal"/>
      </w:pPr>
      <w:r>
        <w:t>El objeto del presente proceso es dilucidar si la sentencia de la Sala de lo Social del Tribunal Superior de Justicia de Madrid, al revocar la sentencia del juzgado de lo social en la que, como consecuencia de la estimación parcial de la demanda interpuesta por la ahora recurrente en amparo contra las decisiones, expresa y presunta, de la entidad gestora, declaró su derecho a que se le ampliase en diez semanas adicionales el permiso por nacimiento y cuidado de su hija, así como el auto de inadmisión del recurso de casación para la unificación de doctrina, que determinó la firmeza de aquella, han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36C600EC" w14:textId="77777777" w:rsidR="00A8138F" w:rsidRDefault="00A8138F" w:rsidP="00A8138F">
      <w:pPr>
        <w:pStyle w:val="TextoNormal"/>
      </w:pPr>
    </w:p>
    <w:p w14:paraId="00498F8F"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400B334A" w14:textId="77777777" w:rsidR="00A8138F" w:rsidRDefault="00A8138F" w:rsidP="00A8138F">
      <w:pPr>
        <w:pStyle w:val="TextoNormal"/>
      </w:pPr>
    </w:p>
    <w:p w14:paraId="29B6942A"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provocada por nacer en familia monoparental (FJ 6), al tiempo que precisamos el alcance de la declaración de inconstitucionalidad realizada (FJ 7).</w:t>
      </w:r>
    </w:p>
    <w:p w14:paraId="3B80EB09" w14:textId="77777777" w:rsidR="00A8138F" w:rsidRDefault="00A8138F" w:rsidP="00A8138F">
      <w:pPr>
        <w:pStyle w:val="TextoNormal"/>
      </w:pPr>
    </w:p>
    <w:p w14:paraId="7597A070"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60B4282" w14:textId="77777777" w:rsidR="00A8138F" w:rsidRDefault="00A8138F" w:rsidP="00A8138F">
      <w:pPr>
        <w:pStyle w:val="TextoNormal"/>
      </w:pPr>
    </w:p>
    <w:p w14:paraId="6B31B5C7" w14:textId="77777777" w:rsidR="00A8138F" w:rsidRDefault="00A8138F" w:rsidP="00A8138F">
      <w:pPr>
        <w:pStyle w:val="TextoNormal"/>
      </w:pPr>
      <w:r>
        <w:lastRenderedPageBreak/>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A127D06" w14:textId="77777777" w:rsidR="00A8138F" w:rsidRDefault="00A8138F" w:rsidP="00A8138F">
      <w:pPr>
        <w:pStyle w:val="TextoNormal"/>
      </w:pPr>
    </w:p>
    <w:p w14:paraId="6F58CEF6" w14:textId="77777777" w:rsidR="00A8138F" w:rsidRDefault="00A8138F" w:rsidP="00A8138F">
      <w:pPr>
        <w:pStyle w:val="TextoNormal"/>
      </w:pPr>
      <w:r>
        <w:t>En consecuencia, procede la estimación de la demanda y el otorgamiento del amparo solicitado, con los efectos que se indicarán más adelante,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117BFE30" w14:textId="77777777" w:rsidR="00A8138F" w:rsidRDefault="00A8138F" w:rsidP="00A8138F">
      <w:pPr>
        <w:pStyle w:val="TextoNormal"/>
      </w:pPr>
    </w:p>
    <w:p w14:paraId="539D1032" w14:textId="01DE5C8E" w:rsidR="00A8138F" w:rsidRDefault="00A8138F" w:rsidP="00A8138F">
      <w:pPr>
        <w:pStyle w:val="TextoNormal"/>
      </w:pPr>
      <w:r>
        <w:t>La estimación de la demanda, de conformidad con lo expuesto por el Ministerio Fiscal, ha de conllevar la declaración de nulidad del auto de 2 de abril de 2024 de la Sala de lo Social del Tribunal Supremo y de la sentencia de 16 de junio de 2023 de la Sala de lo Social del Tribunal Superior de Justicia de Madrid, así como la declaración de firmeza de la sentencia de 21 de diciembre de 2022 del Juzgado de lo Social núm. 22 de Madrid.</w:t>
      </w:r>
    </w:p>
    <w:p w14:paraId="4611EF29" w14:textId="77777777" w:rsidR="00A8138F" w:rsidRDefault="00A8138F" w:rsidP="00A8138F">
      <w:pPr>
        <w:pStyle w:val="TextoNormal"/>
      </w:pPr>
    </w:p>
    <w:p w14:paraId="07E6B03D" w14:textId="77777777" w:rsidR="00A8138F" w:rsidRDefault="00A8138F" w:rsidP="00A8138F">
      <w:pPr>
        <w:pStyle w:val="TextoNormalCentrado"/>
        <w:keepNext/>
      </w:pPr>
      <w:r>
        <w:t>FALLO</w:t>
      </w:r>
    </w:p>
    <w:p w14:paraId="55F48356" w14:textId="205F6D09" w:rsidR="00A8138F" w:rsidRDefault="00A8138F" w:rsidP="00A8138F">
      <w:pPr>
        <w:pStyle w:val="TextoNormalCentrado"/>
        <w:keepNext/>
      </w:pPr>
    </w:p>
    <w:p w14:paraId="77987DAB" w14:textId="77777777" w:rsidR="00A8138F" w:rsidRDefault="00A8138F" w:rsidP="00A8138F">
      <w:pPr>
        <w:pStyle w:val="TextoNormal"/>
      </w:pPr>
      <w:r>
        <w:t>En atención a todo lo expuesto, el Tribunal Constitucional, por la autoridad que le confiere la Constitución de la Nación española, ha decidido estimar la demanda de amparo presentada por doña Elena Rocío San Martín Téllez y, a tal fin:</w:t>
      </w:r>
    </w:p>
    <w:p w14:paraId="71B3A92B" w14:textId="77777777" w:rsidR="00A8138F" w:rsidRDefault="00A8138F" w:rsidP="00A8138F">
      <w:pPr>
        <w:pStyle w:val="TextoNormal"/>
      </w:pPr>
    </w:p>
    <w:p w14:paraId="11266356" w14:textId="77777777" w:rsidR="00A8138F" w:rsidRDefault="00A8138F" w:rsidP="00A8138F">
      <w:pPr>
        <w:pStyle w:val="TextoNormal"/>
      </w:pPr>
      <w:r>
        <w:t>1º Declarar que se ha vulnerado el derecho fundamental a la igualdad sin que proceda discriminación por razón de nacimiento (art. 14 CE).</w:t>
      </w:r>
    </w:p>
    <w:p w14:paraId="6D14C4F1" w14:textId="77777777" w:rsidR="00A8138F" w:rsidRDefault="00A8138F" w:rsidP="00A8138F">
      <w:pPr>
        <w:pStyle w:val="TextoNormal"/>
      </w:pPr>
    </w:p>
    <w:p w14:paraId="5E275A9C" w14:textId="77777777" w:rsidR="00A8138F" w:rsidRDefault="00A8138F" w:rsidP="00A8138F">
      <w:pPr>
        <w:pStyle w:val="TextoNormal"/>
      </w:pPr>
      <w:r>
        <w:t>2º Restablecer en amparo dicho derecho y, a tal fin, declarar la nulidad de la sentencia núm. 591/2023, de 16 de junio, de la Sala de lo Social del Tribunal Superior de Justicia de Madrid, dictada en el recurso de suplicación núm. 131-2023, y del auto de la Sala de lo Social del Tribunal Supremo de 2 de abril de 2024, que inadmitió el recurso de casación para unificación de doctrina núm. 3626-2023.</w:t>
      </w:r>
    </w:p>
    <w:p w14:paraId="7D089809" w14:textId="77777777" w:rsidR="00A8138F" w:rsidRDefault="00A8138F" w:rsidP="00A8138F">
      <w:pPr>
        <w:pStyle w:val="TextoNormal"/>
      </w:pPr>
    </w:p>
    <w:p w14:paraId="7FA7404A" w14:textId="4DBD960B" w:rsidR="00A8138F" w:rsidRDefault="00A8138F" w:rsidP="00A8138F">
      <w:pPr>
        <w:pStyle w:val="TextoNormal"/>
      </w:pPr>
      <w:r>
        <w:t>3º Declarar la firmeza de la sentencia núm. 358/2022, de 21 de diciembre del Juzgado de lo Social núm. 22 de Madrid, dictada en los autos de seguridad social núm. 1004-2022.</w:t>
      </w:r>
    </w:p>
    <w:p w14:paraId="01205536" w14:textId="77777777" w:rsidR="00A8138F" w:rsidRDefault="00A8138F" w:rsidP="00A8138F">
      <w:pPr>
        <w:pStyle w:val="TextoNormal"/>
      </w:pPr>
    </w:p>
    <w:p w14:paraId="25A7C31B" w14:textId="77777777" w:rsidR="00A8138F" w:rsidRDefault="00A8138F" w:rsidP="00A8138F">
      <w:pPr>
        <w:pStyle w:val="TextoNormal"/>
      </w:pPr>
      <w:r>
        <w:t>Publíquese esta sentencia en el “Boletín Oficial del Estado”.</w:t>
      </w:r>
    </w:p>
    <w:p w14:paraId="569D9006" w14:textId="77777777" w:rsidR="00A8138F" w:rsidRDefault="00A8138F" w:rsidP="00A8138F">
      <w:pPr>
        <w:pStyle w:val="TextoNormal"/>
      </w:pPr>
      <w:r>
        <w:t>Dada en Madrid, a diez de febrero de dos mil veinticinco.</w:t>
      </w:r>
    </w:p>
    <w:p w14:paraId="41CB5C5F" w14:textId="31A3887F" w:rsidR="00A8138F" w:rsidRDefault="00A8138F">
      <w:pPr>
        <w:spacing w:after="160" w:line="278" w:lineRule="auto"/>
        <w:rPr>
          <w:rFonts w:ascii="Times New Roman" w:eastAsia="Times New Roman" w:hAnsi="Times New Roman" w:cs="Times New Roman"/>
          <w:sz w:val="24"/>
          <w:szCs w:val="24"/>
          <w:lang w:eastAsia="es-ES"/>
        </w:rPr>
      </w:pPr>
      <w:r>
        <w:br w:type="page"/>
      </w:r>
    </w:p>
    <w:p w14:paraId="42D4C7FC" w14:textId="77777777" w:rsidR="00A8138F" w:rsidRDefault="00A8138F" w:rsidP="00A8138F">
      <w:pPr>
        <w:pStyle w:val="TtuloResolucin"/>
      </w:pPr>
      <w:bookmarkStart w:id="42" w:name="SENTENCIA_2025_40"/>
      <w:r>
        <w:lastRenderedPageBreak/>
        <w:t>SENTENCIA 40/2025, de 11 de febrero de 2025</w:t>
      </w:r>
    </w:p>
    <w:bookmarkEnd w:id="42"/>
    <w:p w14:paraId="0399087D" w14:textId="77777777" w:rsidR="00A8138F" w:rsidRDefault="00A8138F" w:rsidP="00A8138F">
      <w:pPr>
        <w:pStyle w:val="TtuloResolucin"/>
      </w:pPr>
      <w:r>
        <w:t>Pleno</w:t>
      </w:r>
    </w:p>
    <w:p w14:paraId="54304460" w14:textId="77777777" w:rsidR="00A8138F" w:rsidRDefault="00A8138F" w:rsidP="00A8138F">
      <w:pPr>
        <w:pStyle w:val="TtuloBOE"/>
      </w:pPr>
      <w:r>
        <w:t>(BOE núm. 69, de 21 de marzo de 2025)</w:t>
      </w:r>
    </w:p>
    <w:p w14:paraId="111039DF" w14:textId="77777777" w:rsidR="00A8138F" w:rsidRDefault="00A8138F" w:rsidP="00A8138F">
      <w:pPr>
        <w:pStyle w:val="TextoNormalCentrado"/>
      </w:pPr>
      <w:r>
        <w:t>ECLI:ES:TC:2025:40</w:t>
      </w:r>
    </w:p>
    <w:p w14:paraId="7650B6AF" w14:textId="117D5AC7" w:rsidR="00A8138F" w:rsidRDefault="00A8138F" w:rsidP="00A8138F">
      <w:pPr>
        <w:pStyle w:val="TextoNormalCentrado"/>
      </w:pPr>
    </w:p>
    <w:p w14:paraId="66B17569" w14:textId="77777777" w:rsidR="00A8138F" w:rsidRDefault="00A8138F" w:rsidP="00A8138F">
      <w:pPr>
        <w:pStyle w:val="SntesisDescriptiva"/>
      </w:pPr>
      <w:r>
        <w:t>Recurso de inconstitucionalidad 3887-2020. Interpuesto por más de cincuenta senadores del Grupo Parlamentario Socialista respecto del Decreto-ley 2/2020, de 9 de marzo, de mejora y simplificación de la regulación para el fomento de la actividad productiva de Andalucía.</w:t>
      </w:r>
    </w:p>
    <w:p w14:paraId="21B9A7DD" w14:textId="6F568ECE" w:rsidR="00A8138F" w:rsidRDefault="00A8138F" w:rsidP="00A8138F">
      <w:pPr>
        <w:pStyle w:val="SntesisDescriptiva"/>
      </w:pPr>
    </w:p>
    <w:p w14:paraId="1EB04CB4" w14:textId="77777777" w:rsidR="00A8138F" w:rsidRDefault="00A8138F" w:rsidP="00A8138F">
      <w:pPr>
        <w:pStyle w:val="SntesisAnaltica"/>
      </w:pPr>
      <w:r>
        <w:t>Límites materiales de los decretos leyes: pérdida parcial de objeto del proceso; convalidación de la norma de urgencia por la diputación permanente, convocada al efecto en el contexto de la crisis sanitaria provocada por la pandemia de la covid-19; nulidad de los preceptos legales que reforman la Ley de creación del Consejo Audiovisual de Andalucía, los reglamentos sobre suelos contaminados y vertidos al dominio público hidráulico y marítimo terrestre, y el decreto de municipio turístico de Andalucía. Votos particulares.</w:t>
      </w:r>
    </w:p>
    <w:p w14:paraId="14B016B6" w14:textId="1FEB3DD8" w:rsidR="00A8138F" w:rsidRDefault="00A8138F" w:rsidP="00A8138F">
      <w:pPr>
        <w:pStyle w:val="SntesisAnaltica"/>
      </w:pPr>
    </w:p>
    <w:p w14:paraId="4018EE76" w14:textId="065A76C6" w:rsidR="00A8138F" w:rsidRDefault="00A8138F" w:rsidP="00A8138F">
      <w:pPr>
        <w:pStyle w:val="Extracto"/>
      </w:pPr>
      <w:r>
        <w:t>1.</w:t>
      </w:r>
      <w:r>
        <w:tab/>
        <w:t>Dada la necesidad de convalidación expresa de los decretos-leyes dictados, en el plazo de treinta días subsiguientes a su promulgación, en un contexto extraordinario como el derivado de la emergencia sanitaria provocada por la pandemia del covid-19 que condujo a la declaración de estado de alarma,  la convocatoria de la Diputación Permanente parlamentaria permite válidamente garantizar la continuidad de la actividad parlamentaria, así como controlar la legislación de urgencia que pudiera llevarse a cabo [FJ 3].</w:t>
      </w:r>
    </w:p>
    <w:p w14:paraId="15B699D3" w14:textId="77777777" w:rsidR="00A8138F" w:rsidRDefault="00A8138F" w:rsidP="00A8138F">
      <w:pPr>
        <w:pStyle w:val="Extracto"/>
      </w:pPr>
    </w:p>
    <w:p w14:paraId="11C1821E" w14:textId="4487E26F" w:rsidR="00A8138F" w:rsidRDefault="00A8138F" w:rsidP="00A8138F">
      <w:pPr>
        <w:pStyle w:val="Extracto"/>
      </w:pPr>
      <w:r>
        <w:t>2.</w:t>
      </w:r>
      <w:r>
        <w:tab/>
        <w:t>La “extraordinaria y urgente necesidad” constituye un límite jurídico a la actuación mediante decretos-leyes. La apreciación de su concurrencia constituye un juicio político que corresponde efectuar al Gobierno, titular constitucional de la potestad legislativa de urgencia, quien debe definir tal situación de extraordinaria y urgente necesidad de manera explícita y razonada; y al Congreso, titular de la potestad de convalidar, derogar o tramitar el texto como proyecto de ley (SSTC 34/2017 o 40/2021) [FJ 4].</w:t>
      </w:r>
    </w:p>
    <w:p w14:paraId="11153974" w14:textId="77777777" w:rsidR="00A8138F" w:rsidRDefault="00A8138F" w:rsidP="00A8138F">
      <w:pPr>
        <w:pStyle w:val="Extracto"/>
      </w:pPr>
    </w:p>
    <w:p w14:paraId="09E30A92" w14:textId="572AADE5" w:rsidR="00A8138F" w:rsidRDefault="00A8138F" w:rsidP="00A8138F">
      <w:pPr>
        <w:pStyle w:val="Extracto"/>
      </w:pPr>
      <w:r>
        <w:t>3.</w:t>
      </w:r>
      <w:r>
        <w:tab/>
        <w:t>La Constitución no impide que el legislador estatutario atribuya al Gobierno autonómico la potestad normativa excepcional de aprobar decretos-leyes. Ahora bien, por virtud del principio democrático (art. 1.1 CE), los límites formales y materiales que afectan al decreto-ley autonómico son como mínimo los que la Constitución impone al decreto-ley estatal (art. 86.1 CE); y el Estatuto autonómico puede solo añadir cautelas y exclusiones adicionales con el fin de preservar más intensamente la posición del Parlamento autonómico (SSTC 93/2015 o 126/2023) [FJ 4].</w:t>
      </w:r>
    </w:p>
    <w:p w14:paraId="01DBAC6D" w14:textId="77777777" w:rsidR="00A8138F" w:rsidRDefault="00A8138F" w:rsidP="00A8138F">
      <w:pPr>
        <w:pStyle w:val="Extracto"/>
      </w:pPr>
    </w:p>
    <w:p w14:paraId="3AC702D2" w14:textId="1CCA99EA" w:rsidR="00A8138F" w:rsidRDefault="00A8138F" w:rsidP="00A8138F">
      <w:pPr>
        <w:pStyle w:val="Extracto"/>
      </w:pPr>
      <w:r>
        <w:t>4.</w:t>
      </w:r>
      <w:r>
        <w:tab/>
        <w:t>La utilización del decreto-ley para ordenar una materia regulada hasta el momento mediante reglamento solo será constitucionalmente legítima si la potestad reglamentaria no permite dar la respuesta urgente requerida por la situación extraordinaria, razón por la cual en estos casos el Gobierno debe justificar específicamente por qué ha aprobado legislación de urgencia en lugar de poner en marcha los procedimientos ordinarios de modificación reglamentaria (SSTC 93/2015 o 126/2023) [FFJJ 4 y 5].</w:t>
      </w:r>
    </w:p>
    <w:p w14:paraId="6C2D86F4" w14:textId="77777777" w:rsidR="00A8138F" w:rsidRDefault="00A8138F" w:rsidP="00A8138F">
      <w:pPr>
        <w:pStyle w:val="Extracto"/>
      </w:pPr>
    </w:p>
    <w:p w14:paraId="5866ADD3" w14:textId="5F81E885" w:rsidR="00A8138F" w:rsidRDefault="00A8138F" w:rsidP="00A8138F">
      <w:pPr>
        <w:pStyle w:val="Extracto"/>
      </w:pPr>
      <w:r>
        <w:t>5.</w:t>
      </w:r>
      <w:r>
        <w:tab/>
        <w:t>A los efectos de controlar el cumplimiento del presupuesto habilitante de la extraordinaria y urgente necesidad, lo relevante no es la fuerza o rango de la normativa adoptada, sino el motivo por el que el Gobierno utiliza la legislación de urgencia para establecerla, pese a que, en principio, el ejercicio de su potestad reglamentaria habría bastado [FJ 5].</w:t>
      </w:r>
    </w:p>
    <w:p w14:paraId="519F1871" w14:textId="77777777" w:rsidR="00A8138F" w:rsidRDefault="00A8138F" w:rsidP="00A8138F">
      <w:pPr>
        <w:pStyle w:val="Extracto"/>
      </w:pPr>
    </w:p>
    <w:p w14:paraId="5671988C" w14:textId="2109F86D" w:rsidR="00A8138F" w:rsidRDefault="00A8138F" w:rsidP="00A8138F">
      <w:pPr>
        <w:pStyle w:val="Extracto"/>
      </w:pPr>
      <w:r>
        <w:t>6.</w:t>
      </w:r>
      <w:r>
        <w:tab/>
        <w:t>Dado que la causa justificativa del decreto-ley ha de ser explicitada por el propio Gobierno (STC 125/2016), su carencia determina que no podamos apreciar la concurrencia de un presupuesto habilitante que el Gobierno no acredita y este tribunal no puede presumir (SSTC 61/2018 o 15/2023) [FJ 5].</w:t>
      </w:r>
    </w:p>
    <w:p w14:paraId="19846013" w14:textId="77777777" w:rsidR="00A8138F" w:rsidRDefault="00A8138F" w:rsidP="00A8138F">
      <w:pPr>
        <w:pStyle w:val="Extracto"/>
      </w:pPr>
    </w:p>
    <w:p w14:paraId="26B3E4BC" w14:textId="5A75B02B" w:rsidR="00A8138F" w:rsidRDefault="00A8138F" w:rsidP="00A8138F">
      <w:pPr>
        <w:pStyle w:val="Extracto"/>
      </w:pPr>
      <w:r>
        <w:t>7.</w:t>
      </w:r>
      <w:r>
        <w:tab/>
        <w:t>Cuando la Constitución o un estatuto de autonomía establece una reserva de ley, lo que hace es proscribir el reglamento o, al menos, reducir considerablemente su juego dentro de una materia. Ahora bien, el decreto-ley, en cuanto norma con rango de ley es un instrumento idóneo para cumplir aquella reserva legal (STC 60/1986) [FJ 6].</w:t>
      </w:r>
    </w:p>
    <w:p w14:paraId="07B0EE82" w14:textId="77777777" w:rsidR="00A8138F" w:rsidRDefault="00A8138F" w:rsidP="00A8138F">
      <w:pPr>
        <w:pStyle w:val="Extracto"/>
      </w:pPr>
    </w:p>
    <w:p w14:paraId="7910D644" w14:textId="5D35469D" w:rsidR="00A8138F" w:rsidRDefault="00A8138F" w:rsidP="00A8138F">
      <w:pPr>
        <w:pStyle w:val="Extracto"/>
      </w:pPr>
      <w:r>
        <w:t>8.</w:t>
      </w:r>
      <w:r>
        <w:tab/>
        <w:t>Dentro de ciertos límites, la regulación reglamentaria puede llegar a ser compatible con la reserva de ley, incluso en materia sancionadora (STC 145/2013); ahora bien, no es apropiado hablar de colaboración para describir la relación entre la ley que establece una regulación y el decreto-ley que, haciendo valer la identidad de rango, la modifica. De ahí que no pueda aceptarse que mediante decreto-ley el Gobierno regule, siquiera en grado mínimo, cuestiones que el Estatuto de Autonomía ha confiado a la ley parlamentaria [FJ 6].</w:t>
      </w:r>
    </w:p>
    <w:p w14:paraId="1B32B888" w14:textId="77777777" w:rsidR="00A8138F" w:rsidRDefault="00A8138F" w:rsidP="00A8138F">
      <w:pPr>
        <w:pStyle w:val="Extracto"/>
      </w:pPr>
    </w:p>
    <w:p w14:paraId="770B86C8" w14:textId="77777777" w:rsidR="00A8138F" w:rsidRDefault="00A8138F" w:rsidP="00A8138F">
      <w:pPr>
        <w:pStyle w:val="Extracto"/>
      </w:pPr>
    </w:p>
    <w:p w14:paraId="0ADBC6B2"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01B0614" w14:textId="1FE7635E" w:rsidR="00A8138F" w:rsidRDefault="00A8138F" w:rsidP="00A8138F">
      <w:pPr>
        <w:pStyle w:val="TextoNormal"/>
      </w:pPr>
    </w:p>
    <w:p w14:paraId="4C7BA462" w14:textId="77777777" w:rsidR="00A8138F" w:rsidRDefault="00A8138F" w:rsidP="00A8138F">
      <w:pPr>
        <w:pStyle w:val="TextoNormalCentrado"/>
        <w:keepNext/>
      </w:pPr>
      <w:r>
        <w:t>EN NOMBRE DEL REY</w:t>
      </w:r>
    </w:p>
    <w:p w14:paraId="65211636" w14:textId="415DF48D" w:rsidR="00A8138F" w:rsidRDefault="00A8138F" w:rsidP="00A8138F">
      <w:pPr>
        <w:pStyle w:val="TextoNormalCentrado"/>
        <w:keepNext/>
      </w:pPr>
    </w:p>
    <w:p w14:paraId="39CA9EAD" w14:textId="77777777" w:rsidR="00A8138F" w:rsidRDefault="00A8138F" w:rsidP="00A8138F">
      <w:pPr>
        <w:pStyle w:val="TextoNormalCentrado"/>
        <w:keepNext/>
      </w:pPr>
    </w:p>
    <w:p w14:paraId="54530922" w14:textId="77777777" w:rsidR="00A8138F" w:rsidRDefault="00A8138F" w:rsidP="00A8138F">
      <w:pPr>
        <w:pStyle w:val="TextoNormal"/>
      </w:pPr>
      <w:r>
        <w:t>la siguiente</w:t>
      </w:r>
    </w:p>
    <w:p w14:paraId="1B33DBC7" w14:textId="2F831F43" w:rsidR="00A8138F" w:rsidRDefault="00A8138F" w:rsidP="00A8138F">
      <w:pPr>
        <w:pStyle w:val="TextoNormal"/>
      </w:pPr>
    </w:p>
    <w:p w14:paraId="2F2C3DCD" w14:textId="77777777" w:rsidR="00A8138F" w:rsidRDefault="00A8138F" w:rsidP="00A8138F">
      <w:pPr>
        <w:pStyle w:val="TextoNormalCentrado"/>
        <w:keepNext/>
      </w:pPr>
      <w:r>
        <w:t>SENTENCIA</w:t>
      </w:r>
    </w:p>
    <w:p w14:paraId="57C97249" w14:textId="6632351B" w:rsidR="00A8138F" w:rsidRDefault="00A8138F" w:rsidP="00A8138F">
      <w:pPr>
        <w:pStyle w:val="TextoNormalCentrado"/>
        <w:keepNext/>
      </w:pPr>
    </w:p>
    <w:p w14:paraId="5B684C43" w14:textId="77777777" w:rsidR="00A8138F" w:rsidRDefault="00A8138F" w:rsidP="00A8138F">
      <w:pPr>
        <w:pStyle w:val="TextoNormal"/>
      </w:pPr>
      <w:r>
        <w:t>En el recurso de inconstitucionalidad núm. 3887-2020, promovido por más de cincuenta senadores del Grupo Parlamentario Socialista contra el Decreto-ley del Consejo de Gobierno de la Junta de Andalucía 2/2020, de 9 de marzo, de mejora y simplificación de la regulación para el fomento de la actividad productiva de Andalucía. Han comparecido y formulado alegaciones el Parlamento de Andalucía y la Junta de Andalucía. Ha sido ponente el magistrado don Enrique Arnaldo Alcubilla.</w:t>
      </w:r>
    </w:p>
    <w:p w14:paraId="1ED09B3E" w14:textId="12D39E30" w:rsidR="00A8138F" w:rsidRDefault="00A8138F" w:rsidP="00A8138F">
      <w:pPr>
        <w:pStyle w:val="TextoNormal"/>
      </w:pPr>
    </w:p>
    <w:p w14:paraId="60E7FBE0" w14:textId="77777777" w:rsidR="00A8138F" w:rsidRDefault="00A8138F" w:rsidP="00A8138F">
      <w:pPr>
        <w:pStyle w:val="TextoNormalNegritaCentrado"/>
        <w:keepNext/>
      </w:pPr>
      <w:r>
        <w:t>I. Antecedentes</w:t>
      </w:r>
    </w:p>
    <w:p w14:paraId="702CC260" w14:textId="0029DBF5" w:rsidR="00A8138F" w:rsidRDefault="00A8138F" w:rsidP="00A8138F">
      <w:pPr>
        <w:pStyle w:val="TextoNormalNegritaCentrado"/>
        <w:keepNext/>
      </w:pPr>
    </w:p>
    <w:p w14:paraId="0AE27838" w14:textId="77777777" w:rsidR="00A8138F" w:rsidRDefault="00A8138F" w:rsidP="00A8138F">
      <w:pPr>
        <w:pStyle w:val="TextoNormal"/>
      </w:pPr>
      <w:r w:rsidRPr="00A8138F">
        <w:rPr>
          <w:rStyle w:val="NumeroAFNegritaCaracter"/>
        </w:rPr>
        <w:t>1</w:t>
      </w:r>
      <w:r>
        <w:t>. Mediante escrito registrado en este tribunal el 4 de agosto de 2020, más de cincuenta senadores del Grupo Parlamentario Socialista promovieron recurso de inconstitucionalidad contra el Decreto-ley 2/2020, de 9 de marzo, de mejora y simplificación de la regulación para el fomento de la actividad productiva de Andalucía, aprobado por el Consejo de Gobierno de la Junta de Andalucía y convalidado por la Diputación Permanente del Parlamento de Andalucía el 2 de abril de 2020 (en adelante, Decreto-ley 2/2020).</w:t>
      </w:r>
    </w:p>
    <w:p w14:paraId="5A5A14F1" w14:textId="77777777" w:rsidR="00A8138F" w:rsidRDefault="00A8138F" w:rsidP="00A8138F">
      <w:pPr>
        <w:pStyle w:val="TextoNormal"/>
      </w:pPr>
    </w:p>
    <w:p w14:paraId="1FF02747" w14:textId="77777777" w:rsidR="00A8138F" w:rsidRDefault="00A8138F" w:rsidP="00A8138F">
      <w:pPr>
        <w:pStyle w:val="TextoNormal"/>
      </w:pPr>
      <w:r>
        <w:t>El recurso desarrolla varios motivos de inconstitucionalidad. Se distinguen cinco bloques.</w:t>
      </w:r>
    </w:p>
    <w:p w14:paraId="627F269E" w14:textId="77777777" w:rsidR="00A8138F" w:rsidRDefault="00A8138F" w:rsidP="00A8138F">
      <w:pPr>
        <w:pStyle w:val="TextoNormal"/>
      </w:pPr>
    </w:p>
    <w:p w14:paraId="0B68B7CE" w14:textId="77777777" w:rsidR="00A8138F" w:rsidRDefault="00A8138F" w:rsidP="00A8138F">
      <w:pPr>
        <w:pStyle w:val="TextoNormal"/>
      </w:pPr>
      <w:r>
        <w:t>a) La Diputación Permanente del Parlamento de Andalucía habría convalidado el Decreto-ley 2/2020 con vulneración de las exigencias resultantes del Reglamento de la Cámara y el Estatuto de Autonomía para Andalucía (EAAnd). La competencia de convalidación correspondería al Pleno de la Cámara, de acuerdo con la regulación aprobada por el propio Parlamento en ejercicio de su autonomía organizativa (resolución de la Presidencia del Parlamento de Andalucía de 5 de junio de 2008 sobre control por el Parlamento de los decretos-leyes). La suspensión de las sesiones parlamentarias programadas durante la vigencia del estado de alarma no se hallaría entre los supuestos en que se admite por excepción la convalidación por la Diputación Permanente. No cabría subsumirla en las “vacaciones parlamentarias”, como pretende la presidenta del Parlamento de Andalucía (resolución de la Presidencia del Parlamento de 18 de marzo de 2020 sobre habilitación de la convocatoria de la Diputación Permanente en una situación de declaración de estado de alarma). Durante la vigencia del estado de alarma el Parlamento no puede quedar disuelto ni mucho menos entrar en periodo de “vacaciones”, pues, de otro modo, se produciría el sacrificio total y desproporcionado de los derechos de los parlamentarios. Otras soluciones eran perfectamente posibles en una sociedad informatizada con un Parlamento dotado de recursos técnicos y presupuestarios para garantizar la participación de todos sus integrantes (reforma del Reglamento, voto delegado, voto telemático). La convocatoria de la diputación permanente no soportaría un mínimo test de proporcionalidad. La exclusión de un buen número de parlamentarios de la actividad de la Cámara y la consiguiente privación de intervenir en el acto de convalidación ha anulado de forma radical el núcleo de derechos fundamentales de los que son portadores. El art. 116.6 CE no haría sino confirmar este planteamiento. La argumentación de este motivo concluye: “Constatado el exceso competencial que se deriva de la resolución aludida [de la presidenta, de 18 de marzo de 2020], se vicia la validez del acuerdo de convalidación […] por todo lo cual, se solicita del Tribunal Constitucional que proceda a declarar la nulidad e inconstitucionalidad del acuerdo adoptado de convalidación, proclamando la consiguiente derogación del Decreto-ley 2/2020, al entender el mismo indebidamente convalidado y, por tanto, carente de eficacia normativa”. Ello no debiera impedir que el Tribunal examine las impugnaciones dirigidas al Decreto-ley, pues es constante la doctrina constitucional que rechaza la pérdida sobrevenida de objeto de los recursos de inconstitucionalidad planteados contra decretos-leyes derogados sobrevenidamente.</w:t>
      </w:r>
    </w:p>
    <w:p w14:paraId="3FEE3C18" w14:textId="77777777" w:rsidR="00A8138F" w:rsidRDefault="00A8138F" w:rsidP="00A8138F">
      <w:pPr>
        <w:pStyle w:val="TextoNormal"/>
      </w:pPr>
    </w:p>
    <w:p w14:paraId="75A61438" w14:textId="77777777" w:rsidR="00A8138F" w:rsidRDefault="00A8138F" w:rsidP="00A8138F">
      <w:pPr>
        <w:pStyle w:val="TextoNormal"/>
      </w:pPr>
      <w:r>
        <w:t>b) El Gobierno andaluz habría aprobado el Decreto-ley 2/2020 sin cumplir el presupuesto habilitante de la extraordinaria y urgente necesidad (arts. 110.1 EAAnd y 86.1 CE). El re</w:t>
      </w:r>
      <w:r>
        <w:lastRenderedPageBreak/>
        <w:t>curso predica la carencia de dicho presupuesto tanto del texto legal en su conjunto como de algunas de sus concretas previsiones.</w:t>
      </w:r>
    </w:p>
    <w:p w14:paraId="02E0E2F7" w14:textId="77777777" w:rsidR="00A8138F" w:rsidRDefault="00A8138F" w:rsidP="00A8138F">
      <w:pPr>
        <w:pStyle w:val="TextoNormal"/>
      </w:pPr>
    </w:p>
    <w:p w14:paraId="164DB839" w14:textId="77777777" w:rsidR="00A8138F" w:rsidRDefault="00A8138F" w:rsidP="00A8138F">
      <w:pPr>
        <w:pStyle w:val="TextoNormal"/>
      </w:pPr>
      <w:r>
        <w:t xml:space="preserve">(i) El Ejecutivo autonómico adoptó la regulación controvertida en la antesala de la pandemia. Sus medidas no se concibieron para afrontarla. De hecho, la exposición de motivos se refiere fundamentalmente al panorama económico desalentador que antes de ella habían dibujado la Organización para la Cooperación y el Desarrollo Económico (OCDE) y el Fondo Monetario Internacional (FMI), vinculado a la guerra comercial, la subida de aranceles y el </w:t>
      </w:r>
      <w:r w:rsidRPr="00A8138F">
        <w:rPr>
          <w:i/>
        </w:rPr>
        <w:t>Brexit</w:t>
      </w:r>
      <w:r>
        <w:t xml:space="preserve">. Ello es lo que habría obligado a “tomar decisiones de política económica para evitar una mayor desaceleración”. Al impacto económico de la pandemia se hizo referencia ampliamente solo después, durante el debate de convalidación, por lo que no podría justificar lógicamente el Decreto-ley 2/2020. Tampoco la apelación genérica a la crisis económica, que resultaría insuficiente para apreciar la concurrencia del presupuesto habilitante. Nada aportarían en términos de justificación constitucional los otros dos motivos aducidos: la pretendida falta de herramientas normativas de que adolecería el ordenamiento autonómico para la regulación económica y la inexistencia de una idónea estructura productiva e institucional. No se explica por qué el Gobierno andaluz lleva a cabo las reformas propuestas a través, precisamente, de su potestad normativa de urgencia, evitando el procedimiento legislativo en sede parlamentaria. Faltaría la conexión causal o nexo teleológico entre el empleo de esta concreta fuente del Derecho y la necesidad de apuntalar los fundamentos de nuestra economía. La situación fáctica pretendidamente urgente se mostraría despojada de la más mínima imprevisibilidad y carecería del grado de excepcionalidad que legitima el uso de la potestad legislativa de urgencia. No se ajustaría al más exigente canon de control que el Tribunal Constitucional aplica ante regulaciones de urgencia como la impugnada, de reforma estructural y contenido muy heterogéneo (se trataría de un decreto-ley </w:t>
      </w:r>
      <w:r w:rsidRPr="00A8138F">
        <w:rPr>
          <w:i/>
        </w:rPr>
        <w:t>omnibus</w:t>
      </w:r>
      <w:r>
        <w:t>).</w:t>
      </w:r>
    </w:p>
    <w:p w14:paraId="47861C18" w14:textId="77777777" w:rsidR="00A8138F" w:rsidRDefault="00A8138F" w:rsidP="00A8138F">
      <w:pPr>
        <w:pStyle w:val="TextoNormal"/>
      </w:pPr>
    </w:p>
    <w:p w14:paraId="299CAF88" w14:textId="77777777" w:rsidR="00A8138F" w:rsidRDefault="00A8138F" w:rsidP="00A8138F">
      <w:pPr>
        <w:pStyle w:val="TextoNormal"/>
      </w:pPr>
      <w:r>
        <w:t>(ii) La supresión del procedimiento relativo a la declaración de proyectos de campos de golf de interés turístico (art. 3) carecería por completo de conexión de sentido con la situación de crisis económica y riesgo de desaceleración. La simple alusión a la urgencia de aprobar normas de agilización y simplificación no podría justificar las previsiones relativas a la revisión de los procedimientos de intervención administrativa sobre actos de edificación y patrimonio histórico (arts. 6 y 13). Serían insuficientes, por excesivamente someras, las explicaciones sobre las razones que impulsan a adoptar las previsiones de índole social y asistencial (arts. 4 y 24). Estaría igualmente desprovista de justificación la regulación sobre pesca (art. 5). Para justificar una nutrida serie de reformas en materia agroalimentaria (arts. 8, 9, 12 y 16) se habrían ofrecido todo lo más alusiones retóricas aisladas sobre la urgencia de su aprobación. Sería patente la absoluta ausencia de motivación de una circunstancia de extraordinaria y urgente necesidad respecto de la reforma relativa al sector turístico (art. 17). No se habría justificado la necesidad de acudir al decreto-ley para regular las cuestiones sobre defensa de la competencia (art. 10), medio ambiente (art. 11), salud pública (art. 18), comercio interior (art. 19), aguas (art. 14) y los sectores energético (arts. 26 y 27) y audiovisual (arts. 7 y 28).</w:t>
      </w:r>
    </w:p>
    <w:p w14:paraId="4E514200" w14:textId="77777777" w:rsidR="00A8138F" w:rsidRDefault="00A8138F" w:rsidP="00A8138F">
      <w:pPr>
        <w:pStyle w:val="TextoNormal"/>
      </w:pPr>
    </w:p>
    <w:p w14:paraId="22927D19" w14:textId="77777777" w:rsidR="00A8138F" w:rsidRDefault="00A8138F" w:rsidP="00A8138F">
      <w:pPr>
        <w:pStyle w:val="TextoNormal"/>
      </w:pPr>
      <w:r>
        <w:t xml:space="preserve">(iii) Varios preceptos incumplirían la renovada aproximación del Tribunal Constitucional, decididamente más estricta, a la utilización de legislación de urgencia para modificar normas de rango reglamentario. De acuerdo con la STC 14/2020, de 28 de enero, FJ 5 c), el Ejecutivo debe justificar suficientemente el cambio de rango normativo que resulta de incorporar ese tipo de previsiones a un decreto-ley. En el presente caso, no se ajustarían a esta </w:t>
      </w:r>
      <w:r>
        <w:lastRenderedPageBreak/>
        <w:t>doctrina las relativas a los criterios y procedimiento para la declaración de zonas de gran afluencia turística (art. 20). Tampoco las de modificación de los reglamentos sobre los suelos contaminados (art. 22), los vertidos al dominio público hidráulico y al dominio público marítimo-terrestre (art. 23) y el municipio turístico (art. 25). Como consecuencia de la elevación del rango, el art. 23 vulneraría también el art. 24 CE habida cuenta de que los ciudadanos propietarios quedan despojados de la facultad de contestar ante la jurisdicción contencioso-administrativa las operaciones de regularización que les conciernen directamente.</w:t>
      </w:r>
    </w:p>
    <w:p w14:paraId="6F3DCFA7" w14:textId="77777777" w:rsidR="00A8138F" w:rsidRDefault="00A8138F" w:rsidP="00A8138F">
      <w:pPr>
        <w:pStyle w:val="TextoNormal"/>
      </w:pPr>
    </w:p>
    <w:p w14:paraId="4EDFC11F" w14:textId="77777777" w:rsidR="00A8138F" w:rsidRDefault="00A8138F" w:rsidP="00A8138F">
      <w:pPr>
        <w:pStyle w:val="TextoNormal"/>
      </w:pPr>
      <w:r>
        <w:t>c) Varias previsiones desbordarían reservas de ley parlamentaria o límites materiales a la legislación de urgencia. Al remodelar las funciones del Consejo Audiovisual (art. 7), el Decreto-ley 2/2020 habría vulnerado una reserva de ley parlamentaria estatutariamente establecida (art. 131.3 EAAnd). Habría afectado, además, a una de las “instituciones básicas de la Junta de Andalucía” (art. 108 EAAnd), rebasando así uno de los límites materiales de la legislación de urgencia (art. 110.1 EAAnd). Al permitir la gestión indirecta del servicio público de comunicación audiovisual (art. 28), habría desbordado otro de esos límites, por restringir uno de los derechos reconocidos en el Estatuto de Autonomía para Andalucía (arts. 34 y 211). Al eliminar la prohibición de difusión o contratación de publicidad con servicios de comunicación audiovisual sin título habilitante (art. 28), habría incumplido otra reserva de ley parlamentaria estatutariamente establecida (art. 209 EAAnd).</w:t>
      </w:r>
    </w:p>
    <w:p w14:paraId="2682CDDA" w14:textId="77777777" w:rsidR="00A8138F" w:rsidRDefault="00A8138F" w:rsidP="00A8138F">
      <w:pPr>
        <w:pStyle w:val="TextoNormal"/>
      </w:pPr>
    </w:p>
    <w:p w14:paraId="10E1CFF0" w14:textId="7102CC30" w:rsidR="00A8138F" w:rsidRDefault="00A8138F" w:rsidP="00A8138F">
      <w:pPr>
        <w:pStyle w:val="TextoNormal"/>
      </w:pPr>
      <w:r>
        <w:t>d) El art. 13 invadiría la competencia estatal en materia de defensa del patrimonio cultural, artístico y monumental español (art. 149.1.28 CE). La eliminación del trámite autorizador supondría una evidente reducción del estándar de protección de los bienes de interés cultural en Andalucía, lo que escapa a la potestad reguladora de las comunidades autónomas e invade correlativamente la del Estado (art. 149.1.28 CE).</w:t>
      </w:r>
    </w:p>
    <w:p w14:paraId="6F9269B4" w14:textId="77777777" w:rsidR="00A8138F" w:rsidRDefault="00A8138F" w:rsidP="00A8138F">
      <w:pPr>
        <w:pStyle w:val="TextoNormal"/>
      </w:pPr>
    </w:p>
    <w:p w14:paraId="6DEDB7FF" w14:textId="564BF973" w:rsidR="00A8138F" w:rsidRDefault="00A8138F" w:rsidP="00A8138F">
      <w:pPr>
        <w:pStyle w:val="TextoNormal"/>
      </w:pPr>
      <w:r w:rsidRPr="00A8138F">
        <w:rPr>
          <w:rStyle w:val="NumeroAFNegritaCaracter"/>
        </w:rPr>
        <w:t>2</w:t>
      </w:r>
      <w:r>
        <w:t>. Por providencia de 20 de octubre de 2020, el Pleno de este tribunal, a propuesta de la Sección Segunda, acordó admitir a trámite el recurso de inconstitucionalidad y dar traslado de la demanda y documentos presentados, conforme al art. 34 de la Ley Orgánica del Tribunal Constitucional (LOTC), al Congreso de los Diputados, al Senado, al Gobierno, al Parlamento de Andalucía y al Consejo de Gobierno de la Junta de Andalucía, al objeto de que, en el plazo de quince días, pudieran personarse en el proceso y formular alegaciones. La providencia acordó, asimismo, publicar la incoación del recurso en el “Boletín Oficial del Estado” (lo que tuvo lugar en el “BOE” núm. 285, de 28 de octubre de 2020) y en el “Boletín Oficial de la Junta de Andalucía” (“BOJA” núm. 208, de 27 de octubre 2020).</w:t>
      </w:r>
    </w:p>
    <w:p w14:paraId="0C103C8C" w14:textId="77777777" w:rsidR="00A8138F" w:rsidRDefault="00A8138F" w:rsidP="00A8138F">
      <w:pPr>
        <w:pStyle w:val="TextoNormal"/>
      </w:pPr>
    </w:p>
    <w:p w14:paraId="308557C9" w14:textId="4A307701" w:rsidR="00A8138F" w:rsidRDefault="00A8138F" w:rsidP="00A8138F">
      <w:pPr>
        <w:pStyle w:val="TextoNormal"/>
      </w:pPr>
      <w:r w:rsidRPr="00A8138F">
        <w:rPr>
          <w:rStyle w:val="NumeroAFNegritaCaracter"/>
        </w:rPr>
        <w:t>3</w:t>
      </w:r>
      <w:r>
        <w:t>. La presidenta del Congreso de los Diputados, mediante escrito registrado el 5 de noviembre de 2020, comunicó que la mesa de la Cámara había acordado la personación en este procedimiento al tiempo que daba por ofrecida su colaboración a los efectos del artículo 88.1 LOTC. Por escrito registrado el día 10 de noviembre de 2020, la presidenta del Senado se expresó en iguales términos.</w:t>
      </w:r>
    </w:p>
    <w:p w14:paraId="2D17F2AD" w14:textId="77777777" w:rsidR="00A8138F" w:rsidRDefault="00A8138F" w:rsidP="00A8138F">
      <w:pPr>
        <w:pStyle w:val="TextoNormal"/>
      </w:pPr>
    </w:p>
    <w:p w14:paraId="5C7FC876" w14:textId="3056944B" w:rsidR="00A8138F" w:rsidRDefault="00A8138F" w:rsidP="00A8138F">
      <w:pPr>
        <w:pStyle w:val="TextoNormal"/>
      </w:pPr>
      <w:r w:rsidRPr="00A8138F">
        <w:rPr>
          <w:rStyle w:val="NumeroAFNegritaCaracter"/>
        </w:rPr>
        <w:t>4</w:t>
      </w:r>
      <w:r>
        <w:t>. El 13 de noviembre de 2020 tuvo entrada en el registro de este tribunal un escrito del abogado del Estado mediante el que comunica que no va a formular alegaciones en el presente procedimiento, personándose a los efectos de que en su día se le notifiquen las resoluciones que en él se dicten.</w:t>
      </w:r>
    </w:p>
    <w:p w14:paraId="4E95EDE6" w14:textId="77777777" w:rsidR="00A8138F" w:rsidRDefault="00A8138F" w:rsidP="00A8138F">
      <w:pPr>
        <w:pStyle w:val="TextoNormal"/>
      </w:pPr>
    </w:p>
    <w:p w14:paraId="3B6F2EEB" w14:textId="309CC56B" w:rsidR="00A8138F" w:rsidRDefault="00A8138F" w:rsidP="00A8138F">
      <w:pPr>
        <w:pStyle w:val="TextoNormal"/>
      </w:pPr>
      <w:r w:rsidRPr="00A8138F">
        <w:rPr>
          <w:rStyle w:val="NumeroAFNegritaCaracter"/>
        </w:rPr>
        <w:lastRenderedPageBreak/>
        <w:t>5</w:t>
      </w:r>
      <w:r>
        <w:t>. Mediante escritos registrados los días 17 y 18 de noviembre de 2020, los letrados de la Junta y el Parlamento de Andalucía, respectivamente, se personaron en la representación que legalmente ostentan y solicitaron la ampliación de plazo de ocho días para formular alegaciones.</w:t>
      </w:r>
    </w:p>
    <w:p w14:paraId="1FA056FA" w14:textId="77777777" w:rsidR="00A8138F" w:rsidRDefault="00A8138F" w:rsidP="00A8138F">
      <w:pPr>
        <w:pStyle w:val="TextoNormal"/>
      </w:pPr>
    </w:p>
    <w:p w14:paraId="4D5F183D" w14:textId="5431AE48" w:rsidR="00A8138F" w:rsidRDefault="00A8138F" w:rsidP="00A8138F">
      <w:pPr>
        <w:pStyle w:val="TextoNormal"/>
      </w:pPr>
      <w:r w:rsidRPr="00A8138F">
        <w:rPr>
          <w:rStyle w:val="NumeroAFNegritaCaracter"/>
        </w:rPr>
        <w:t>6</w:t>
      </w:r>
      <w:r>
        <w:t>. Mediante diligencia de ordenación de 19 de noviembre de 2020, la secretaria de justicia del Pleno acordó tener por personados a los letrados de la Junta y el Parlamento de Andalucía, así como conceder la prórroga solicitada.</w:t>
      </w:r>
    </w:p>
    <w:p w14:paraId="0FE5D824" w14:textId="77777777" w:rsidR="00A8138F" w:rsidRDefault="00A8138F" w:rsidP="00A8138F">
      <w:pPr>
        <w:pStyle w:val="TextoNormal"/>
      </w:pPr>
    </w:p>
    <w:p w14:paraId="51347E69" w14:textId="77777777" w:rsidR="00A8138F" w:rsidRDefault="00A8138F" w:rsidP="00A8138F">
      <w:pPr>
        <w:pStyle w:val="TextoNormal"/>
      </w:pPr>
      <w:r w:rsidRPr="00A8138F">
        <w:rPr>
          <w:rStyle w:val="NumeroAFNegritaCaracter"/>
        </w:rPr>
        <w:t>7</w:t>
      </w:r>
      <w:r>
        <w:t>. Por escrito registrado el 15 de diciembre de 2020, el letrado del Parlamento de Andalucía formuló alegaciones oponiéndose íntegramente al recurso con apoyo en los siguientes argumentos:</w:t>
      </w:r>
    </w:p>
    <w:p w14:paraId="39C42F24" w14:textId="77777777" w:rsidR="00A8138F" w:rsidRDefault="00A8138F" w:rsidP="00A8138F">
      <w:pPr>
        <w:pStyle w:val="TextoNormal"/>
      </w:pPr>
    </w:p>
    <w:p w14:paraId="00C58EF6" w14:textId="77777777" w:rsidR="00A8138F" w:rsidRDefault="00A8138F" w:rsidP="00A8138F">
      <w:pPr>
        <w:pStyle w:val="TextoNormal"/>
      </w:pPr>
      <w:r>
        <w:t>a) Respecto del primer motivo de impugnación solicita su inadmisión y, subsidiariamente, que sea desestimado. La petición principal parte de la consideración de que la apreciación de un vicio en el procedimiento de convalidación exigiría la anulación previa de una serie de actos parlamentarios: acuerdo de la mesa del Parlamento de Andalucía de 16 de marzo de 2020 por el que se suspenden las sesiones y se convoca la Diputación Permanente y resoluciones de la Presidencia del Parlamento de 18 y 31 de marzo de 2020 de interpretación del Reglamento de la Cámara y convocatoria de la sesión en que se produjo la convalidación controvertida. Mediante el presente recurso los senadores que lo promueven estarían impugnando indirectamente esas resoluciones, pese a no estar incluidas dentro del ámbito propio del recurso de inconstitucionalidad. Tienen legitimación para impugnar esta serie de resoluciones quienes consideren concretamente afectados algunos de sus derechos fundamentales mediante el recurso de amparo. También el Gobierno a través del procedimiento regulado en los artículos 76 y 77 LOTC. Carecerían de ella, sin embargo, los senadores impugnantes mediante el recurso de inconstitucionalidad.</w:t>
      </w:r>
    </w:p>
    <w:p w14:paraId="3E8F5D7F" w14:textId="77777777" w:rsidR="00A8138F" w:rsidRDefault="00A8138F" w:rsidP="00A8138F">
      <w:pPr>
        <w:pStyle w:val="TextoNormal"/>
      </w:pPr>
    </w:p>
    <w:p w14:paraId="43016EE6" w14:textId="77777777" w:rsidR="00A8138F" w:rsidRDefault="00A8138F" w:rsidP="00A8138F">
      <w:pPr>
        <w:pStyle w:val="TextoNormal"/>
      </w:pPr>
      <w:r>
        <w:t xml:space="preserve">Entrando en el fondo del motivo de impugnación, el letrado del Parlamento autonómico subraya que la pandemia del covid-19 generó riesgos graves para la salud de los diputados y del personal al servicio del Parlamento. Las recomendaciones de las autoridades sanitarias y las medidas subsiguientes (Real Decreto 463/2020, de 14 de marzo) añadieron importantes trabas a su movilidad. Todo ello condujo durante la fase más aguda de la primera ola a la paralización total de la actividad parlamentaria, ordenada formalmente en Andalucía por acuerdo de la mesa del Parlamento de 16 de marzo de 2020. Se trataba de una situación nueva y sorpresiva por completo imprevista en el Reglamento del Parlamento, que no podía regularse mediante la correspondiente reforma ante la imposibilidad de convocar el Pleno con su ordinaria composición. Tramitar una reforma, por su complejidad y por las circunstancias dadas, era incompatible con la adopción rápida de medidas que garantizasen la continuidad de la institución parlamentaria sin peligro para la salud de quienes trabajan en ella. Las soluciones que ahora proponen los recurrentes planteaban entonces muchas dudas y dificultades, conduciendo de un modo u otro a dejar de lado o quebrantar previsiones reglamentarias. Ciertamente, el paso del tiempo y la repetición de determinadas prácticas han permitido orillar algunos problemas pero, más allá de que sigue pendiente de resolver la duda sobre el fundamento teórico y jurídico de algunas soluciones, no puede ignorarse el contexto de urgencia dentro del cual se tomaron decisiones destinadas a preservar tanto la salud de los diputados y del personal al servicio de la Cámara como la continuidad de la </w:t>
      </w:r>
      <w:r>
        <w:lastRenderedPageBreak/>
        <w:t>actividad parlamentaria. En particular, la interpretación extensiva del régimen de la delegación de voto por baja médica resultaba harto problemática y despertaba muchas dudas jurídicas. Los propios recurrentes admiten que exigía una interpretación extensiva. El voto telemático estaba previsto para circunstancias muy acotadas (art. 85.7 del Reglamento del Parlamento de Andalucía), sin que jamás se hubiera puesto en práctica. No existía procedimiento regulado alguno ni medios técnicos para articularlo en aquel concreto momento. La celebración de un pleno telemático resulta incompatible con la forma personal y presencial del ejercicio de las funciones representativas (STC 19/2019, de 12 de febrero, FJ 4). En aquellas primeras semanas de urgencia, esta solución suscitaba la incertidumbre de cómo podría repercutir sobre la validez de los acuerdos y el contraste con los requisitos de quórum de asistencia y votación previstos en el art. 84 del Reglamento.</w:t>
      </w:r>
    </w:p>
    <w:p w14:paraId="3D688235" w14:textId="77777777" w:rsidR="00A8138F" w:rsidRDefault="00A8138F" w:rsidP="00A8138F">
      <w:pPr>
        <w:pStyle w:val="TextoNormal"/>
      </w:pPr>
    </w:p>
    <w:p w14:paraId="149EB6A1" w14:textId="77777777" w:rsidR="00A8138F" w:rsidRDefault="00A8138F" w:rsidP="00A8138F">
      <w:pPr>
        <w:pStyle w:val="TextoNormal"/>
      </w:pPr>
      <w:r>
        <w:t>Suspendida la actividad parlamentaria para garantizar la salud de los diputados y del personal al servicio de la Cámara, situados dentro del indicado contexto de incertidumbre y urgencia, ante semejante laguna normativa, la mesa del Parlamento de Andalucía decidió por unanimidad (y, por tanto, con el apoyo de los representantes en la misma del Grupo Parlamentario Socialista) convocar la Diputación Permanente apoyándose en un principio general del Derecho (continuidad de la actividad parlamentaria) y la analogía (respecto de las situaciones de convocatoria de dicho órgano previstas en el art. 58 del Reglamento). La convocatoria de la Diputación Permanente estaba motivada en la situación de emergencia sanitaria y, en conexión con ella, en la voluntad de dar ejemplo a la sociedad en el cumplimiento de las recomendaciones de las autoridades sanitarias en cuanto al confinamiento domiciliario y la evitación de reuniones o cualquier tipo de contacto interpersonal. La causa de la medida no fue directamente la declaración de estado de alarma sino la situación sanitaria, sin perjuicio de que esta incidiera en la citada situación provocando restricciones de movilidad que dificultaban en grado extremo el desplazamiento de los diputados y del personal del Parlamento de Andalucía. De hecho, la adopción de medidas tanto para adaptar la actividad parlamentaria a la situación de emergencia sanitaria como para iniciar la llamada “desescalada” siguió en el Parlamento de Andalucía un ritmo diferente al del estado de alarma basado en una valoración autónoma del riesgo sanitario existente y de las dificultades vinculadas a la movilidad y a los medios personales y técnicos disponibles en cada momento. A partir del día 29 de abril de 2020, cuando todavía estaba vigente el estado de alarma, se fue recuperando paulatinamente la actividad parlamentaria en Andalucía.</w:t>
      </w:r>
    </w:p>
    <w:p w14:paraId="1993F7BA" w14:textId="77777777" w:rsidR="00A8138F" w:rsidRDefault="00A8138F" w:rsidP="00A8138F">
      <w:pPr>
        <w:pStyle w:val="TextoNormal"/>
      </w:pPr>
    </w:p>
    <w:p w14:paraId="2C3199CD" w14:textId="77777777" w:rsidR="00A8138F" w:rsidRDefault="00A8138F" w:rsidP="00A8138F">
      <w:pPr>
        <w:pStyle w:val="TextoNormal"/>
      </w:pPr>
      <w:r>
        <w:t>La convocatoria de la Diputación Permanente fue una respuesta equilibrada a la situación imprevista de emergencia sanitaria destinada a evitar las soluciones extremas: mantener intacta la actividad parlamentaria, aunque ello supusiera riesgos graves para la salud de los diputados y el personal al servicio del Parlamento; o suspender totalmente aquella actividad, como ocurrió en varias comunidades autónomas (Castilla-La Mancha, La Rioja, Madrid, Murcia) e, incluso, en el Congreso y el Senado (donde se llevaron a cabo solo las sesiones plenarias constitucionalmente impuestas en relación con las prórrogas del estado de alarma y la ratificación de un convenio internacional).</w:t>
      </w:r>
    </w:p>
    <w:p w14:paraId="6574284A" w14:textId="77777777" w:rsidR="00A8138F" w:rsidRDefault="00A8138F" w:rsidP="00A8138F">
      <w:pPr>
        <w:pStyle w:val="TextoNormal"/>
      </w:pPr>
    </w:p>
    <w:p w14:paraId="2A45D771" w14:textId="77777777" w:rsidR="00A8138F" w:rsidRDefault="00A8138F" w:rsidP="00A8138F">
      <w:pPr>
        <w:pStyle w:val="TextoNormal"/>
      </w:pPr>
      <w:r>
        <w:t xml:space="preserve">Esta solución era, a su vez, la que menos inconvenientes jurídicos planteaba: estaba prevista en el Reglamento, era compatible con el principio de continuidad de la institución parlamentaria, servía para ampliar las facultades de los diputados y solo requería aplicar por analogía el art. 58 de aquel texto ante la situación de cese de la actividad parlamentaria derivada de la necesidad de evitar los riesgos sanitarios y de las trabas a la movilidad de los </w:t>
      </w:r>
      <w:r>
        <w:lastRenderedPageBreak/>
        <w:t>diputados y del personal al servicio del Parlamento. La medida se motivó ampliamente a partir de las razones expuestas y respondió a un fin constitucionalmente legítimo (protección de la salud de los diputados y del personal del Parlamento de Andalucía), superando los juicios de adecuación, necesidad y proporcionalidad en sentido estricto, teniendo en cuenta la autonomía del Parlamento para organizarse y el contexto de urgencia y la situación de extraordinaria gravedad que caracterizó la toma de decisiones al comienzo de la pandemia. El recurso a la Diputación Permanente fue pues una solución de urgencia para una circunstancia de crisis sanitaria absolutamente excepcional que se mantuvo solo hasta que la mesa del Parlamento estimó que podía recuperarse la actividad normal del Pleno y las comisiones, lo que ocurrió gradualmente a través de varios acuerdos de 29 de abril, 13 y 28 de mayo y 10 de junio de 2020. Nótese que las comunidades autónomas que decidieron mantener un cierto grado de actividad parlamentaria adoptaron esta solución (Andalucía, Baleares, Canarias, Castilla y León, Comunidad Valenciana, Extremadura) u otras de efecto análogo (Aragón, Asturias, Navarra), en consonancia con el parecer mayoritario de la doctrina especializada. En Galicia y el País Vasco, estando disuelto el Parlamento y convocada la Diputación Permanente, este órgano asumió más funciones de las habituales.</w:t>
      </w:r>
    </w:p>
    <w:p w14:paraId="051CEEBC" w14:textId="77777777" w:rsidR="00A8138F" w:rsidRDefault="00A8138F" w:rsidP="00A8138F">
      <w:pPr>
        <w:pStyle w:val="TextoNormal"/>
      </w:pPr>
    </w:p>
    <w:p w14:paraId="54DC00A2" w14:textId="77777777" w:rsidR="00A8138F" w:rsidRDefault="00A8138F" w:rsidP="00A8138F">
      <w:pPr>
        <w:pStyle w:val="TextoNormal"/>
      </w:pPr>
      <w:r>
        <w:t>La convocatoria de la Diputación Permanente no fue contraria al art. 116.5 CE, que ordena que el “funcionamiento [de las Cámaras], así como el de los demás poderes constitucionales del Estado, no podrán interrumpirse durante la vigencia de [los] estados [de alarma, excepción y sitio]”, y ello por varias razones: (i) el precepto constitucional se aplica al Congreso de los Diputados, no a los parlamentos autonómicos; (ii) su razón de ser es asegurar el control parlamentario del Gobierno central, a la vista del protagonismo que este asume como consecuencia de la declaración de aquellos estados, situación muy diferente a la de las asambleas y gobiernos autonómicos; (iii) la referencia a los restantes poderes del Estado pretende en igual sentido asegurar el control de las actuaciones del Gobierno central por parte, entre otros, del Tribunal Constitucional, lo que impide también aplicar mecánicamente el precepto a las instituciones de las comunidades autónomas; (iv) al contrario, los parlamentos autonómicos deben respetar el principio general de continuidad de su actividad en las situaciones de cese, materializado en la Diputación Permanente; (v) aunque se afirmara en hipótesis la aplicabilidad del precepto constitucional a los parlamentos autonómicos, precisamente la convocatoria de la Diputación Permanente sería el vehículo para darle cumplimiento ante las extraordinarias dificultades causadas por la crisis sanitaria del covid-19 y (vi) el estado de alarma no fue la circunstancia causante de las medidas, sino la situación de emergencia sanitaria.</w:t>
      </w:r>
    </w:p>
    <w:p w14:paraId="0A3C3427" w14:textId="77777777" w:rsidR="00A8138F" w:rsidRDefault="00A8138F" w:rsidP="00A8138F">
      <w:pPr>
        <w:pStyle w:val="TextoNormal"/>
      </w:pPr>
    </w:p>
    <w:p w14:paraId="0C7351BE" w14:textId="77777777" w:rsidR="00A8138F" w:rsidRDefault="00A8138F" w:rsidP="00A8138F">
      <w:pPr>
        <w:pStyle w:val="TextoNormal"/>
      </w:pPr>
      <w:r>
        <w:t xml:space="preserve">Constituida así, válidamente, la Diputación Permanente, el órgano tenía sin duda competencia para convalidar el Decreto-ley controvertido. La resolución de 5 de junio de 2008 se la había reconocido en todos los supuestos en que procede su convocatoria y, por tanto, a diferencia de lo que ocurre en el nivel central (art. 78.2 CE) y en otras comunidades autónomas (Islas Baleares o Comunidad Valenciana), tanto “entre periodos de sesiones” como “cuando el Parlamento esté disuelto o haya expirado el mandato parlamentario”. La resolución de 18 de marzo de 2020 aportó una fundamentación reforzada a la vista de la situación de estado de alarma provocada por la pandemia. Las diputaciones permanentes de otras comunidades autónomas también convalidaron decretos-leyes durante la fase más aguda de la pandemia: Baleares (tres), Canarias (dos), Comunidad Valenciana (cuatro) o Extremadura (tres). En Andalucía convalidaron varios por unanimidad (Decreto-ley 7/2020) o sin votos en contra (Decretos-leyes 3/2020, 4/2020, 5/2020, 6/2020 y 9/2020), lo que es claramente </w:t>
      </w:r>
      <w:r>
        <w:lastRenderedPageBreak/>
        <w:t>indicativo de que los diputados del Grupo Parlamentario Socialista no consideraron que la convocatoria de la Diputación Permanente vulnerase sus derechos fundamentales. Al oponerse al Decreto-ley controvertido en el presente proceso tampoco manifestaron objeción alguna a la convalidación de decretos-leyes en la Diputación Permanente.</w:t>
      </w:r>
    </w:p>
    <w:p w14:paraId="6F590522" w14:textId="77777777" w:rsidR="00A8138F" w:rsidRDefault="00A8138F" w:rsidP="00A8138F">
      <w:pPr>
        <w:pStyle w:val="TextoNormal"/>
      </w:pPr>
    </w:p>
    <w:p w14:paraId="15CD9F81" w14:textId="77777777" w:rsidR="00A8138F" w:rsidRDefault="00A8138F" w:rsidP="00A8138F">
      <w:pPr>
        <w:pStyle w:val="TextoNormal"/>
      </w:pPr>
      <w:r>
        <w:t>La vulneración del art. 23.2 CE, formulada genéricamente, no se habría producido ni se habría argumentado suficientemente (se cita la STC 173/2020, de 19 de noviembre, FJ 4). El derecho a intervenir en el acto de convalidación de decretos-leyes no está concernido en absoluto pues, conforme al Reglamento de la Cámara, puede intervenir solo el diputado designado por el grupo parlamentario, sin que ello cambie por la entrada en juego de la Diputación Permanente. El derecho a votar en aquel acto tampoco habría sido restringido. Se trata de una facultad que los diputados pueden ejercer en los términos delimitados por aquel Reglamento. Las sucesivas convocatorias de la Diputación Permanente ni se hicieron con el ánimo de afectar derechos de concretos diputados por razón de su adscripción política ni provocaron una alteración de la relación entre la mayoría y la oposición. Ninguno de los diputados externos a la Diputación Permanente ha manifestado que hubiera tenido intención de discrepar con respecto a lo que votaron los representantes de su grupo ni solicitaron a la mesa la correspondiente reconsideración.</w:t>
      </w:r>
    </w:p>
    <w:p w14:paraId="48E92A6D" w14:textId="77777777" w:rsidR="00A8138F" w:rsidRDefault="00A8138F" w:rsidP="00A8138F">
      <w:pPr>
        <w:pStyle w:val="TextoNormal"/>
      </w:pPr>
    </w:p>
    <w:p w14:paraId="23DA4CE5" w14:textId="77777777" w:rsidR="00A8138F" w:rsidRDefault="00A8138F" w:rsidP="00A8138F">
      <w:pPr>
        <w:pStyle w:val="TextoNormal"/>
      </w:pPr>
      <w:r>
        <w:t>En fin, prueba de la escasa convicción que despiertan los argumentos de los senadores demandantes es que el suplico de su recurso solicita únicamente la declaración de inconstitucionalidad del Decreto-ley 2/2020 por “ausencia manifiesta del presupuesto habilitante de la extraordinaria y urgente necesidad”. Olvidan referirse a las alegaciones expresadas en torno a un pretendido vicio en el procedimiento para la convalidación. Aun así, afirma el letrado del Parlamento autonómico, la prudencia le obliga a adelantarse al supuesto de que, eventualmente, el Tribunal Constitucional declare nulo el acto de convalidación. En tal caso, no procedería declarar que el Decreto-ley ha quedado derogado por razones que, en sustancia, coinciden con las expuestas para defender la validez del acto de convalidación.</w:t>
      </w:r>
    </w:p>
    <w:p w14:paraId="7A8B2F55" w14:textId="77777777" w:rsidR="00A8138F" w:rsidRDefault="00A8138F" w:rsidP="00A8138F">
      <w:pPr>
        <w:pStyle w:val="TextoNormal"/>
      </w:pPr>
    </w:p>
    <w:p w14:paraId="56504350" w14:textId="77777777" w:rsidR="00A8138F" w:rsidRDefault="00A8138F" w:rsidP="00A8138F">
      <w:pPr>
        <w:pStyle w:val="TextoNormal"/>
      </w:pPr>
      <w:r>
        <w:t>b) El letrado del Parlamento autonómico argumenta ampliamente que el conjunto del Decreto-ley 2/2020 y las concretas disposiciones señaladas por los senadores impugnantes se ajustan a los límites formales de la legislación de urgencia.</w:t>
      </w:r>
    </w:p>
    <w:p w14:paraId="28F2EBE2" w14:textId="77777777" w:rsidR="00A8138F" w:rsidRDefault="00A8138F" w:rsidP="00A8138F">
      <w:pPr>
        <w:pStyle w:val="TextoNormal"/>
      </w:pPr>
    </w:p>
    <w:p w14:paraId="78253802" w14:textId="77777777" w:rsidR="00A8138F" w:rsidRDefault="00A8138F" w:rsidP="00A8138F">
      <w:pPr>
        <w:pStyle w:val="TextoNormal"/>
      </w:pPr>
      <w:r>
        <w:t xml:space="preserve">(i) La desaceleración económica que afectaba a la región antes de marzo de 2020, agravada por la pandemia, justifican el Decreto-ley 2/2020, tal como indica su exposición de motivos y como quedó registrado en la intervención del consejero de Economía, Conocimiento, Empresas y Universidad durante la sesión de la Diputación Permanente del Parlamento de Andalucía de 2 de abril de 2020, en la que se aprobó su convalidación. La apelación a la desaceleración económica no es genérica, no se apoya en fórmulas rituales ni está vacía de contenido (STC 27/2015, de 19 de febrero, FJ 5). Al contrario, se funda de modo preciso y detallado en una variedad de datos extraídos de organismos internacionales (OCDE, FMI, Banco Mundial) y nacionales (Banco de España), lo que es reconocido por la propia demanda. Tanto la exposición de motivos del Decreto-ley como la intervención de aquel consejero descendieron a su concreción sobre la realidad andaluza, señalando una coyuntura económica real que afectaba de modo particularmente grave a Andalucía en relación con el empleo y en sectores tan sensibles como el empleo, la agricultura, la ganadería, el comercio, el turismo, las pequeñas y medianas empresas y la industria. En cuanto a la pandemia del covid-19, en el momento en que se aprueba el Decreto-ley era claro que estaba </w:t>
      </w:r>
      <w:r>
        <w:lastRenderedPageBreak/>
        <w:t>llamada a agravar la situación apenas descrita de ralentización de la economía, lo que ha quedado igualmente registrado en la exposición de motivos. No se trata de una justificación sobrevenida desde el momento en que la pandemia aparece mencionada hasta en cinco ocasiones en los tres primeros párrafos de aquella exposición de motivos.</w:t>
      </w:r>
    </w:p>
    <w:p w14:paraId="7D2C2F3E" w14:textId="77777777" w:rsidR="00A8138F" w:rsidRDefault="00A8138F" w:rsidP="00A8138F">
      <w:pPr>
        <w:pStyle w:val="TextoNormal"/>
      </w:pPr>
    </w:p>
    <w:p w14:paraId="17F76539" w14:textId="77777777" w:rsidR="00A8138F" w:rsidRDefault="00A8138F" w:rsidP="00A8138F">
      <w:pPr>
        <w:pStyle w:val="TextoNormal"/>
      </w:pPr>
      <w:r>
        <w:t>Refiriéndose específicamente a la conexión de sentido, el letrado del Parlamento autonómico razona que la coyuntura económica de desaceleración agravada por la pandemia demandaba urgentemente medidas de reactivación económica como las adoptadas. El objetivo era atajar la desaceleración antes de que se convirtiese en crisis mediante instrumentos destinados a dinamizar la economía. El decreto-ley controvertido respondía así a un propósito preventivo avalado por una abundancia de datos y unas previsiones que han confirmado informes sucesivos. Se trataba de aprobar una variedad de modificaciones normativas enhebradas en el hilo común de reducir trámites administrativos y simplificar procedimientos. La simplificación es una herramienta para fomentar la actividad económica y paliar con ello los efectos de la desaceleración económica que puede adoptar el Gobierno de una comunidad autónoma, que carece de competencias de ordenación general de la economía. Se trata, ciertamente, de medidas de carácter estructural, pero son perfectamente admisibles desde el momento en que vienen justificadas por una situación de extraordinaria y urgente necesidad y se dan las notas de gravedad, imprevisibilidad y relevancia (SSTC 68/2007, de 28 de marzo; 31/2011, de 17 de marzo, y 27/2015, de 19 de febrero). Si se hubiera acudido al instrumento de la ley, la complejidad de la norma podría haber ocasionado un retraso en su tramitación, que habría impedido la aprobación con la urgencia que se requería para atajar la desaceleración económica agravada por la pandemia, máxime cuando la propia gravedad de la crisis sanitaria provocó la suspensión de la actividad parlamentaria (acuerdo de la mesa de 16 de marzo de 2020). El Gobierno venía trabajando en la identificación de barreras normativas que obstaculizan la actividad económica, pero de ello no puede deducirse la ausencia de urgencia. Las medidas adoptadas son solo un paquete básico considerado de carácter urgente.</w:t>
      </w:r>
    </w:p>
    <w:p w14:paraId="6BA3662C" w14:textId="77777777" w:rsidR="00A8138F" w:rsidRDefault="00A8138F" w:rsidP="00A8138F">
      <w:pPr>
        <w:pStyle w:val="TextoNormal"/>
      </w:pPr>
    </w:p>
    <w:p w14:paraId="2DA2420A" w14:textId="77777777" w:rsidR="00A8138F" w:rsidRDefault="00A8138F" w:rsidP="00A8138F">
      <w:pPr>
        <w:pStyle w:val="TextoNormal"/>
      </w:pPr>
      <w:r>
        <w:t xml:space="preserve">(ii) En cuanto a la impugnación de preceptos concretos por ausencia de extraordinaria y urgente necesidad, el letrado del Parlamento señala que el Decreto-ley controvertido no establece reformas independientes entre sí. Todas ellas tienen un hilo conductor, cual es la reducción de trámites administrativos y la simplificación de los procedimientos, con el objetivo común de dinamizar la economía. Compartiendo todas las previsiones la misma finalidad, la justificación ofrecida por la exposición de motivos y la intervención del consejero en el debate de convalidación sirven también para justificar cada una de las medidas concretamente fijadas. La doctrina constitucional que exige la motivación del presupuesto habilitante respecto de cada precepto o grupo de preceptos (STC 199/2015, de 24 de septiembre, FJ 5, y 61/2018, de 7 de junio) se refiere a legislación de urgencia justificada en motivaciones vagas o que incluye regulaciones heterogéneas. En cualquier caso, algunas concretas impugnaciones habrían perdido objeto como consecuencia de la disposición adicional segunda del Decreto-ley del Consejo de Gobierno de la Junta de Andalucía 26/2020, de 13 de octubre, aprobada en ejecución del acuerdo de la Comisión Bilateral de Cooperación Administración General del Estado-Comunidad Autónoma de Andalucía, por el que la primera se comprometía a retirar el recurso de inconstitucionalidad núm. 1998-2020 si la segunda realizaba determinadas modificaciones en el decreto-ley impugnado. Se trata de la impugnación de los arts. 13 (en relación con la no necesidad de licencia o comunicación previa para determinadas obras de patrimonio histórico), que ha recibido nueva redacción, </w:t>
      </w:r>
      <w:r>
        <w:lastRenderedPageBreak/>
        <w:t>y 28.6 (supresión de la prohibición de difusión de comunicaciones comerciales en medios que carezcan del correspondiente título habilitante), que ha quedado sin efecto, al igual que otras previsiones conexas (art. 28, apartados 11 a 15). Por lo demás, los recurrentes no habrían cumplido su obligación de argumentar debidamente la crítica a los artículos o bloques de artículos concretos. Se limitan a aducir que falta la conexión de sentido o la extraordinaria y urgente necesidad, sin especificar apartados concretos, reiterando en su caso argumentos expuestos respecto de la impugnación del conjunto del Decreto-ley 2/2020 e introduciendo ocasionalmente algún párrafo extraído de la jurisprudencia constitucional o motivaciones extremadamente sintéticas, a modo de fórmulas estereotipadas repetidas una y otra vez.</w:t>
      </w:r>
    </w:p>
    <w:p w14:paraId="6980AA9B" w14:textId="77777777" w:rsidR="00A8138F" w:rsidRDefault="00A8138F" w:rsidP="00A8138F">
      <w:pPr>
        <w:pStyle w:val="TextoNormal"/>
      </w:pPr>
    </w:p>
    <w:p w14:paraId="5E7E9DCC" w14:textId="77777777" w:rsidR="00A8138F" w:rsidRDefault="00A8138F" w:rsidP="00A8138F">
      <w:pPr>
        <w:pStyle w:val="TextoNormal"/>
      </w:pPr>
      <w:r>
        <w:t>Sin perjuicio de todo ello, el letrado del Parlamento autonómico se esfuerza en demostrar que el decreto-ley controvertido ha justificado específicamente la conexión de sentido de cada medida con la situación de extraordinaria y urgente necesidad, precisándola con argumentaciones adicionales. Razona, extractando al efecto párrafos de la exposición de motivos o de la intervención del consejero durante el debate de convalidación, que han quedado específicamente justificadas las previsiones relativas a la ordenación del territorio y urbanismo, arts. 3, 6 (al que la demanda dirige el reproche únicamente en sus apartados 1, 3 y 4) y 13; cuestiones de índole social y asistencial, arts. 4 (apartado 2, único al que se refiere específicamente la demanda) y 24; actividades de pesca, art. 5 (apartado 4, que es al que se refiere la demanda); actividades agroalimentarias, arts. 8, 9, 12 y 16; sector turístico, art. 17 (apartados 4, 5, 7 a 11, 15 y 16, únicos abordados en el recurso); defensa de la competencia, art. 10; medio ambiente, art. 11 (apartados 2 y 3, que son los concernidos por las alegaciones de la demanda); comercio interior, art. 19; aguas, art. 14; sector energético y cambio climático, arts. 26 y 27; salud pública, art. 18; y sector audiovisual, arts. 7 y 28.</w:t>
      </w:r>
    </w:p>
    <w:p w14:paraId="3D3C1CA5" w14:textId="77777777" w:rsidR="00A8138F" w:rsidRDefault="00A8138F" w:rsidP="00A8138F">
      <w:pPr>
        <w:pStyle w:val="TextoNormal"/>
      </w:pPr>
    </w:p>
    <w:p w14:paraId="07808B17" w14:textId="77777777" w:rsidR="00A8138F" w:rsidRDefault="00A8138F" w:rsidP="00A8138F">
      <w:pPr>
        <w:pStyle w:val="TextoNormal"/>
      </w:pPr>
      <w:r>
        <w:t>(iii) Los arts. 20, 21, 22, 23 y 25 modifican varios decretos autonómicos manteniendo su rango reglamentario, de acuerdo con lo establecido en la disposición final primera del Decreto-ley controvertido: “Las determinaciones incluidas en las normas reglamentarias que son objeto de modificación por este Decreto-ley podrán ser modificadas por normas de rango reglamentario”. Al no modificarse el rango reglamentario de los decretos afectados, habría perdido objeto la alegada vulneración del art. 24 CE por parte del art. 23 del Decreto-ley. Por la misma razón, no resultaría aplicable la doctrina constitucional que exige una justificación específica del recurso al decreto-ley para regular asuntos que podrían establecerse reglamentariamente [STC 14/2020, FJ 5 c)]. En cualquier caso, el Gobierno andaluz la habría cumplido convenientemente. Más allá de la justificación genérica de la que estas reformas serían expresión, la exposición de motivos del Decreto-ley y el debate de convalidación habrían subrayado el carácter accesorio de varias de estas reformas respecto de otras realizadas sobre normas de rango legal. En particular, la modificación del Decreto 2/2014, de 14 de enero, relativo a los criterios y el procedimiento de declaración de zonas de gran afluencia turística (art. 20 del Decreto-ley 2/2020) sería instrumental de la reforma del texto refundido de la Ley del Parlamento de Andalucía del comercio interior (art. 19 del Decreto-ley 2/2020); y la modificación del Decreto 169/2014, de 9 de diciembre, sobre el procedimiento de evaluación del impacto en la salud (art. 21 del Decreto-ley 2/2020) serviría para garantizar la efectividad de la reforma de la Ley del Parlamento de Andalucía 16/2011, de 23 de diciembre, de salud pública (art. 18 del Decreto-ley 2/2020). La regulación introducida en los arts. 22, 23 y 25 compartiría presupuesto de hecho habilitante, conexión de sentido, finalidad y justificación con el resto del Decreto-ley, a la vista de las razones de la exposición de motivos.</w:t>
      </w:r>
    </w:p>
    <w:p w14:paraId="5539AF5E" w14:textId="77777777" w:rsidR="00A8138F" w:rsidRDefault="00A8138F" w:rsidP="00A8138F">
      <w:pPr>
        <w:pStyle w:val="TextoNormal"/>
      </w:pPr>
    </w:p>
    <w:p w14:paraId="7D1B8363" w14:textId="77777777" w:rsidR="00A8138F" w:rsidRDefault="00A8138F" w:rsidP="00A8138F">
      <w:pPr>
        <w:pStyle w:val="TextoNormal"/>
      </w:pPr>
      <w:r>
        <w:t>c) El letrado del Parlamento de Andalucía descarta las concretas vulneraciones de límites materiales al decreto-ley denunciadas por los senadores recurrentes.</w:t>
      </w:r>
    </w:p>
    <w:p w14:paraId="5B4AF321" w14:textId="77777777" w:rsidR="00A8138F" w:rsidRDefault="00A8138F" w:rsidP="00A8138F">
      <w:pPr>
        <w:pStyle w:val="TextoNormal"/>
      </w:pPr>
    </w:p>
    <w:p w14:paraId="7FDA7CCB" w14:textId="77777777" w:rsidR="00A8138F" w:rsidRDefault="00A8138F" w:rsidP="00A8138F">
      <w:pPr>
        <w:pStyle w:val="TextoNormal"/>
      </w:pPr>
      <w:r>
        <w:t>En cuanto al art. 7 (supresión del informe del Consejo Audiovisual sobre pliegos de condiciones y limitación correlativa del dictamen a los procedimientos de otorgamiento, renovación, extinción, autorización de cambio de accionariado y negocios jurídicos de licencias para prestar servicios de comunicación audiovisual radiofónica y televisiva de ámbito autonómico), el letrado del Parlamento de Andalucía razona, en primer término, que el Consejo Audiovisual no es una institución autonómica cuya regulación esté vedada al decreto-ley (art. 110 EAAnd) o deba establecerse por mayoría absoluta (art. 108 EAAnd). Debe entenderse que la reserva a ley del Parlamento de la regulación de las competencias del Consejo Audiovisual (art. 131.3 EAAnd) admite la colaboración normativa del decreto-ley [se citan las SSTC 60/1986, de 20 de mayo, FJ 4; 107/2003, de 2 de junio, FJ 6; 237/2012, de 13 de diciembre, FJ 7 b), y 103/2017, de 6 de septiembre]. Se trata de una modificación muy concreta de una sola de las veintisiete competencias que se atribuyen al Consejo Audiovisual (art. 4 de la Ley del Parlamento de Andalucía 1/2004, de 17 de diciembre, de creación del Consejo Audiovisual). No entraña una supresión total de la competencia. Se trata de la eliminación de un trámite con poca o nula utilidad que dilataba innecesariamente los correspondientes procedimientos. El inciso eliminado (“a fin de garantizar el pluralismo y la libre competencia” y “prevenir situaciones de concentración de medios y abuso de posición dominante”) era accesorio en el sentido de que el Consejo habrá de informar teniendo en cuenta siempre los objetivos estatutarios (art. 131 EAAnd).</w:t>
      </w:r>
    </w:p>
    <w:p w14:paraId="20D66CAE" w14:textId="77777777" w:rsidR="00A8138F" w:rsidRDefault="00A8138F" w:rsidP="00A8138F">
      <w:pPr>
        <w:pStyle w:val="TextoNormal"/>
      </w:pPr>
    </w:p>
    <w:p w14:paraId="02B8559D" w14:textId="77777777" w:rsidR="00A8138F" w:rsidRDefault="00A8138F" w:rsidP="00A8138F">
      <w:pPr>
        <w:pStyle w:val="TextoNormal"/>
      </w:pPr>
      <w:r>
        <w:t>El art. 28.8 no afecta al derecho de acceso a las tecnologías de la información y de la comunicación reconocido estatutariamente (art. 34 EAAnd). No se ve cómo el hecho de que el servicio público de comunicación audiovisual de comunicación local pueda prestarse en régimen de gestión indirecta incida siquiera en ese derecho. La gestión indirecta, amparada por el art. 210.2 EAAnd, podría incluso favorecer la participación de entidades de carácter social. Por lo demás, el Estatuto se refiere a las nuevas tecnologías, dentro de las que se encuadran los servicios públicos de radio y televisión. En cualquier caso, se trataría de una incidencia absolutamente indirecta, muy lejos del régimen esencial del derecho cuya regulación queda vedada al decreto-ley.</w:t>
      </w:r>
    </w:p>
    <w:p w14:paraId="7A647927" w14:textId="77777777" w:rsidR="00A8138F" w:rsidRDefault="00A8138F" w:rsidP="00A8138F">
      <w:pPr>
        <w:pStyle w:val="TextoNormal"/>
      </w:pPr>
    </w:p>
    <w:p w14:paraId="03E5414B" w14:textId="77777777" w:rsidR="00A8138F" w:rsidRDefault="00A8138F" w:rsidP="00A8138F">
      <w:pPr>
        <w:pStyle w:val="TextoNormal"/>
      </w:pPr>
      <w:r>
        <w:t>El art. 28.6 y demás previsiones conexas han perdido vigencia como consecuencia de la ejecución del acuerdo firmado entre los gobiernos central y autonómico, razón por la cual la impugnación ha perdido objeto, según lo ya explicado. A modo de precaución, el letrado del Parlamento autonómico razona que en modo alguno se habría vulnerado la reserva a ley parlamentaria del régimen de la publicidad institucional (art. 209 EAAnd). El precepto impugnado se limita a no sancionar la inclusión de comunicaciones comerciales en emisiones de personas prestadoras de servicios de comunicación audiovisual que carezcan del preceptivo título habilitante. No existe precepto constitucional o estatutario que obligue al legislador a aprobar o mantener semejante norma. La alegación del art. 209 EAAnd, relativa a la publicidad institucional, es inadecuada para las comunicaciones comerciales (se citan las SSTC 104/2014, de 23 de junio, FJ 3; 130/2014, de 21 de julio, FJ 3, y 160/2014, de 6 de octubre, FJ 3). De aceptarse a título meramente teórico e hipotético que la norma impugnada ha afectado al art. 209 EAAnd, es claro que la incidencia habría sido completamente accesoria y secundaria.</w:t>
      </w:r>
    </w:p>
    <w:p w14:paraId="4F80637E" w14:textId="77777777" w:rsidR="00A8138F" w:rsidRDefault="00A8138F" w:rsidP="00A8138F">
      <w:pPr>
        <w:pStyle w:val="TextoNormal"/>
      </w:pPr>
    </w:p>
    <w:p w14:paraId="726D3DB0" w14:textId="6271CDFE" w:rsidR="00A8138F" w:rsidRDefault="00A8138F" w:rsidP="00A8138F">
      <w:pPr>
        <w:pStyle w:val="TextoNormal"/>
      </w:pPr>
      <w:r>
        <w:t>d) La controversia competencial suscitada por el art. 13 (modificación del art. 33 de la Ley del Parlamento de Andalucía 14/2007, de 26 de noviembre, de patrimonio histórico) ha perdido objeto después de que el Gobierno andaluz aprobara la reforma sustancial acordada con la Administración General del Estado a la que se ha hecho ya referencia. En todo caso, el letrado autonómico señala que la comunidad autónoma tiene competencia para la protección del patrimonio histórico y que la Ley de patrimonio histórico del Estado no opera como parámetro de contraste ni ha sido contradicha efectivamente, debiéndose tener en cuenta que la realización de obras de intervención mínima sin autorización es compatible con la doctrina constitucional (STC 122/2014, de 17 de julio).</w:t>
      </w:r>
    </w:p>
    <w:p w14:paraId="4FE4EB5A" w14:textId="77777777" w:rsidR="00A8138F" w:rsidRDefault="00A8138F" w:rsidP="00A8138F">
      <w:pPr>
        <w:pStyle w:val="TextoNormal"/>
      </w:pPr>
    </w:p>
    <w:p w14:paraId="4C512E0A" w14:textId="77777777" w:rsidR="00A8138F" w:rsidRDefault="00A8138F" w:rsidP="00A8138F">
      <w:pPr>
        <w:pStyle w:val="TextoNormal"/>
      </w:pPr>
      <w:r w:rsidRPr="00A8138F">
        <w:rPr>
          <w:rStyle w:val="NumeroAFNegritaCaracter"/>
        </w:rPr>
        <w:t>8</w:t>
      </w:r>
      <w:r>
        <w:t>. El 18 de diciembre de 2020, tuvo entrada en el registro de este tribunal el escrito de la letrada de la Junta de Andalucía, en la representación que ostenta, por el que se opone a la demanda.</w:t>
      </w:r>
    </w:p>
    <w:p w14:paraId="3FBF69CA" w14:textId="77777777" w:rsidR="00A8138F" w:rsidRDefault="00A8138F" w:rsidP="00A8138F">
      <w:pPr>
        <w:pStyle w:val="TextoNormal"/>
      </w:pPr>
    </w:p>
    <w:p w14:paraId="5CF96C29" w14:textId="77777777" w:rsidR="00A8138F" w:rsidRDefault="00A8138F" w:rsidP="00A8138F">
      <w:pPr>
        <w:pStyle w:val="TextoNormal"/>
      </w:pPr>
      <w:r>
        <w:t>La letrada autonómica realiza una serie de consideraciones previas sobre la singularidad y la excepcionalidad del contexto en que se aprobó la norma, circunstancias del todo extraordinarias que obligaron a los poderes públicos a “reinventarse” para seguir operativos y, en particular, para afrontar una ruptura sin precedentes del sistema económico mundial. El análisis constitucional del Decreto-ley controvertido no podría realizarse al margen del indicado contexto (art. 3.1 del Código civil).</w:t>
      </w:r>
    </w:p>
    <w:p w14:paraId="7BBF6B2E" w14:textId="77777777" w:rsidR="00A8138F" w:rsidRDefault="00A8138F" w:rsidP="00A8138F">
      <w:pPr>
        <w:pStyle w:val="TextoNormal"/>
      </w:pPr>
    </w:p>
    <w:p w14:paraId="4AE9FFFF" w14:textId="77777777" w:rsidR="00A8138F" w:rsidRDefault="00A8138F" w:rsidP="00A8138F">
      <w:pPr>
        <w:pStyle w:val="TextoNormal"/>
      </w:pPr>
      <w:r>
        <w:t>a) Al impugnar el acuerdo de convalidación de 2 de abril de 2020, los senadores recurrentes estarían cuestionando resoluciones parlamentarias previas que exceden del ámbito del presente recurso: acuerdo de la mesa del Parlamento de Andalucía de 16 de marzo de 2020 por el que se suspenden las sesiones y se convoca la Diputación Permanente y resoluciones de la Presidencia del Parlamento de 18 y 31 de marzo de 2020 de interpretación del Reglamento de la Cámara y convocatoria de la sesión en que se produjo la convalidación controvertida. Solo los diputados del Parlamento de Andalucía podrían impugnar aquellas decisiones a través del recurso de amparo. Los aquí recurrentes carecerían de legitimación para ello por no ser personas directamente afectadas ni formar parte del Parlamento de Andalucía. Por todo ello, se solicita la inadmisión de la pretensión de inconstitucionalidad dirigida al acuerdo de convalidación de 2 de abril de 2020 de la Diputación Permanente.</w:t>
      </w:r>
    </w:p>
    <w:p w14:paraId="68245D2B" w14:textId="77777777" w:rsidR="00A8138F" w:rsidRDefault="00A8138F" w:rsidP="00A8138F">
      <w:pPr>
        <w:pStyle w:val="TextoNormal"/>
      </w:pPr>
    </w:p>
    <w:p w14:paraId="20EB99F2" w14:textId="77777777" w:rsidR="00A8138F" w:rsidRDefault="00A8138F" w:rsidP="00A8138F">
      <w:pPr>
        <w:pStyle w:val="TextoNormal"/>
      </w:pPr>
      <w:r>
        <w:t>Entrando en el fondo de la queja, la letrada autonómica señala en primer término que ante la necesidad de extremar las cautelas y la imposibilidad en muchos casos de proseguir con la actividad ordinaria, los parlamentos territoriales, en ejercicio de su autonomía organizativa, optaron por la solución que consideraron más adecuada para afrontar tan excepcional situación: cese total de la actividad (Castilla-La Mancha, La Rioja, Madrid, Murcia), convocatoria de la diputación permanente (Andalucía, Canarias, Castilla y León, Comunidad Valenciana, Extremadura, Galicia, Islas Baleares, País Vasco), continuación de las sesiones plenarias con la composición de la diputación permanente (Aragón, Navarra), creación de un grupo de trabajo para tramitar comparecencias del Consejo de Gobierno (Asturias). La opción mayoritaria fue la segunda, que es la aquí controvertida.</w:t>
      </w:r>
    </w:p>
    <w:p w14:paraId="34ACF9E4" w14:textId="77777777" w:rsidR="00A8138F" w:rsidRDefault="00A8138F" w:rsidP="00A8138F">
      <w:pPr>
        <w:pStyle w:val="TextoNormal"/>
      </w:pPr>
    </w:p>
    <w:p w14:paraId="0E78625C" w14:textId="77777777" w:rsidR="00A8138F" w:rsidRDefault="00A8138F" w:rsidP="00A8138F">
      <w:pPr>
        <w:pStyle w:val="TextoNormal"/>
      </w:pPr>
      <w:r>
        <w:t xml:space="preserve">A la vista del Estatuto de Autonomía para Andalucía, el Reglamento del Parlamento de esta Comunidad Autónoma y la resolución interpretativa de 5 de junio de 2008 de la Presidencia de aquel, resultaría indiscutible la competencia de la Diputación Permanente para </w:t>
      </w:r>
      <w:r>
        <w:lastRenderedPageBreak/>
        <w:t>convalidar decretos-leyes. Su convocatoria sería plenamente válida, teniendo en cuenta que la resolución de 18 de marzo de 2020 de la presidenta del Parlamento de Andalucía es interpretativa y supletoria. Vino a colmar legítimamente una laguna existente en el Reglamento ante la situación originada por la crisis sanitaria. Se consideraba una opción legítima que permitía, de un lado, conciliar el principio de continuidad de la actividad parlamentaria con la protección de la salud de los diputados, ya que se podía mantener la distancia de seguridad y cumplir las medidas sanitarias impuestas, al tiempo que se velaba por los poderes del Parlamento en aquel momento, manteniendo el control parlamentario de las actuaciones del Consejo de Gobierno y de los decretos-leyes que iban aprobándose para afrontar la pandemia. Se trataba, además, de una medida necesaria, sin que en ese momento la mesa del Parlamento considerase que hubiera otra mejor. En fin, la solución era absolutamente proporcional a las circunstancias. Debe indicarse que todos los decretos-leyes convalidados por la Diputación Permanente en Andalucía, en esa fase de pandemia, tuvieron el voto unánime y favorable de los diputados socialistas.</w:t>
      </w:r>
    </w:p>
    <w:p w14:paraId="3EC473D4" w14:textId="77777777" w:rsidR="00A8138F" w:rsidRDefault="00A8138F" w:rsidP="00A8138F">
      <w:pPr>
        <w:pStyle w:val="TextoNormal"/>
      </w:pPr>
    </w:p>
    <w:p w14:paraId="549DBBD2" w14:textId="77777777" w:rsidR="00A8138F" w:rsidRDefault="00A8138F" w:rsidP="00A8138F">
      <w:pPr>
        <w:pStyle w:val="TextoNormal"/>
      </w:pPr>
      <w:r>
        <w:t>b) La letrada de la Junta de Andalucía razona también que el conjunto del Decreto-ley y las disposiciones concretas señaladas por los senadores impugnantes cumplen los límites formales de la legislación de urgencia.</w:t>
      </w:r>
    </w:p>
    <w:p w14:paraId="76A8BBDF" w14:textId="77777777" w:rsidR="00A8138F" w:rsidRDefault="00A8138F" w:rsidP="00A8138F">
      <w:pPr>
        <w:pStyle w:val="TextoNormal"/>
      </w:pPr>
    </w:p>
    <w:p w14:paraId="48E68B72" w14:textId="77777777" w:rsidR="00A8138F" w:rsidRDefault="00A8138F" w:rsidP="00A8138F">
      <w:pPr>
        <w:pStyle w:val="TextoNormal"/>
      </w:pPr>
      <w:r>
        <w:t>(i) La demanda en momento alguno niega que concurra una situación de crisis económica en Andalucía o la existencia de la crisis sanitaria. Resulta incuestionable que, al tiempo de aprobarse el Decreto-ley, existía un proceso de desaceleración económica perfectamente constatado con los datos que se citan, pero que, a esa fecha, con motivo de la crisis sanitaria, empeora y se agrava. Esto es lo que explicita y razona el Gobierno en la parte expositiva del Decreto-ley, según argumenta ampliamente la letrada autonómica. Lo que hace el Gobierno, en el ámbito del juicio político o de oportunidad que le corresponde, es recoger en el Decreto-ley un paquete de medidas que, consideradas y aplicadas en su conjunto, afectan de forma directa e inmediata a los sectores económicos y productivos, con la finalidad de que tengan el efecto deseado en la economía. El Gobierno habría justificado, de un lado, que de las pocas opciones que tiene para hacer frente a la crisis económica, y en ejercicio de su responsabilidad, estas medidas responderían al objetivo propuesto, y de otro, por qué resultan necesarias con carácter urgente para responder a la crisis económica. Explica que, mediante una mejora regulatoria, dirigida a aumentar la carga inversora y la actividad productiva de Andalucía en el menor plazo de tiempo posible, se conseguiría un mayor crecimiento. Todas las medidas tienen un eje común: la simplificación de trámites o mejoras regulatorias que permitan una mayor eficiencia, así como aumentar la carga inversora y la actividad productiva de Andalucía en el menor tiempo posible, para tratar de paliar los efectos de la situación económica adversa.</w:t>
      </w:r>
    </w:p>
    <w:p w14:paraId="0CCD8864" w14:textId="77777777" w:rsidR="00A8138F" w:rsidRDefault="00A8138F" w:rsidP="00A8138F">
      <w:pPr>
        <w:pStyle w:val="TextoNormal"/>
      </w:pPr>
    </w:p>
    <w:p w14:paraId="52C598E3" w14:textId="77777777" w:rsidR="00A8138F" w:rsidRDefault="00A8138F" w:rsidP="00A8138F">
      <w:pPr>
        <w:pStyle w:val="TextoNormal"/>
      </w:pPr>
      <w:r>
        <w:t xml:space="preserve">(ii) Respecto de la impugnación de preceptos concretos por ausencia de extraordinaria y urgente necesidad, la letrada de la Junta de Andalucía solicita su inadmisión por no cumplir con la argumentación y motivación exigida por la doctrina constitucional a estos efectos. En cualquier caso, el análisis de las justificaciones ofrecidas permitiría apreciar que ha quedado cumplidamente expresada en cada caso la situación de urgente necesidad y la conexión de sentido. Todas las medidas responden al mismo eje vertebrador para permitir el efecto deseado, común y homogeneizador perseguido por el Gobierno para afrontar la situación económica. Se razona, extractando al efecto párrafos de la exposición de motivos o de la </w:t>
      </w:r>
      <w:r>
        <w:lastRenderedPageBreak/>
        <w:t>intervención del consejero durante el debate de convalidación, que han quedado específicamente justificadas.</w:t>
      </w:r>
    </w:p>
    <w:p w14:paraId="35BD4807" w14:textId="77777777" w:rsidR="00A8138F" w:rsidRDefault="00A8138F" w:rsidP="00A8138F">
      <w:pPr>
        <w:pStyle w:val="TextoNormal"/>
      </w:pPr>
    </w:p>
    <w:p w14:paraId="5221F849" w14:textId="77777777" w:rsidR="00A8138F" w:rsidRDefault="00A8138F" w:rsidP="00A8138F">
      <w:pPr>
        <w:pStyle w:val="TextoNormal"/>
      </w:pPr>
      <w:r>
        <w:t>(iii) Los arts. 20, 21, 22, 23 y 25 reforman varios decretos autonómicos conservando su rango reglamentario, de acuerdo con lo establecido en la disposición final primera del Decreto-ley. No existe una reserva de procedimiento reglamentario que impida la entrada en juego de la legislación gubernamental de urgencia. Resultaba necesario realizar estas modificaciones reglamentarias de forma acorde a las reformas legales que se realizan mediante el Decreto-ley. La letrada autonómica se refiere ampliamente al carácter urgente y necesario de las medidas establecidas.</w:t>
      </w:r>
    </w:p>
    <w:p w14:paraId="173BEA08" w14:textId="77777777" w:rsidR="00A8138F" w:rsidRDefault="00A8138F" w:rsidP="00A8138F">
      <w:pPr>
        <w:pStyle w:val="TextoNormal"/>
      </w:pPr>
    </w:p>
    <w:p w14:paraId="03BCAFBA" w14:textId="77777777" w:rsidR="00A8138F" w:rsidRDefault="00A8138F" w:rsidP="00A8138F">
      <w:pPr>
        <w:pStyle w:val="TextoNormal"/>
      </w:pPr>
      <w:r>
        <w:t>c) La letrada de la Junta de Andalucía descarta las concretas vulneraciones de límites materiales al decreto-ley y reservas de ley parlamentaria denunciadas por los senadores recurrentes.</w:t>
      </w:r>
    </w:p>
    <w:p w14:paraId="4CD981D0" w14:textId="77777777" w:rsidR="00A8138F" w:rsidRDefault="00A8138F" w:rsidP="00A8138F">
      <w:pPr>
        <w:pStyle w:val="TextoNormal"/>
      </w:pPr>
    </w:p>
    <w:p w14:paraId="4A02A2FD" w14:textId="77777777" w:rsidR="00A8138F" w:rsidRDefault="00A8138F" w:rsidP="00A8138F">
      <w:pPr>
        <w:pStyle w:val="TextoNormal"/>
      </w:pPr>
      <w:r>
        <w:t>En cuanto al art. 7, la letrada autonómica razona que no rebasa los límites materiales impuestos, en cuanto que no incide sustancialmente sobre la configuración legal del Consejo Audiovisual, ni altera de manera esencial las características de su regulación. La modificación realizada es mínima y ajustada a lo que demandaba el propio Consejo. No afectaría a derecho o competencia efectiva alguna del indicado órgano, como institución, máxime cuando el informe suprimido, al operar en una fase previa, carecía de la virtualidad que ahora tiene al evacuarse en la fase de propuesta de resolución. Por lo demás, la previsión de informes preceptivos no impide la solicitud de otros con carácter facultativo.</w:t>
      </w:r>
    </w:p>
    <w:p w14:paraId="71967C27" w14:textId="77777777" w:rsidR="00A8138F" w:rsidRDefault="00A8138F" w:rsidP="00A8138F">
      <w:pPr>
        <w:pStyle w:val="TextoNormal"/>
      </w:pPr>
    </w:p>
    <w:p w14:paraId="0C0ED580" w14:textId="77777777" w:rsidR="00A8138F" w:rsidRDefault="00A8138F" w:rsidP="00A8138F">
      <w:pPr>
        <w:pStyle w:val="TextoNormal"/>
      </w:pPr>
      <w:r>
        <w:t>El art. 28.8 no afecta al derecho de acceso a las tecnologías de la información y de la comunicación reconocido estatutariamente (art. 34 EAAnd). Este precepto debe interpretarse a la luz de la normativa europea en materia de comunicación audiovisual, especialmente las Directivas 2007/65/CE, de 11 de diciembre de 2007, y 2010/13/UE, de 10 de marzo de 2010, que supusieron un importante cambio en la regulación de la comunicación audiovisual, liberalizándola al pasar del régimen de concesiones administrativas al de licencias y sustituir el carácter de servicio público por el de servicios culturales y económicos de interés general. No alcanza a comprenderse por qué la demanda considera que han quedado afectados los arts. 34 y 211.4 EAAnd. Se limita a afirmar que la forma de gestión indirecta del servicio público audiovisual en el ámbito local supone una incidencia negativa. No realiza esfuerzo argumental alguno para justificar la pretendida vulneración.</w:t>
      </w:r>
    </w:p>
    <w:p w14:paraId="0A211F52" w14:textId="77777777" w:rsidR="00A8138F" w:rsidRDefault="00A8138F" w:rsidP="00A8138F">
      <w:pPr>
        <w:pStyle w:val="TextoNormal"/>
      </w:pPr>
    </w:p>
    <w:p w14:paraId="45E9A500" w14:textId="77777777" w:rsidR="00A8138F" w:rsidRDefault="00A8138F" w:rsidP="00A8138F">
      <w:pPr>
        <w:pStyle w:val="TextoNormal"/>
      </w:pPr>
      <w:r>
        <w:t>El art. 28.6 y demás previsiones conexas habrían perdido vigencia como consecuencia de la ejecución del mencionado acuerdo de la Comisión Bilateral de Cooperación Administración General del Estado-Comunidad Autónoma de Andalucía, razón por la cual su impugnación habría perdido objeto.</w:t>
      </w:r>
    </w:p>
    <w:p w14:paraId="57FD8CFF" w14:textId="77777777" w:rsidR="00A8138F" w:rsidRDefault="00A8138F" w:rsidP="00A8138F">
      <w:pPr>
        <w:pStyle w:val="TextoNormal"/>
      </w:pPr>
    </w:p>
    <w:p w14:paraId="6CBDC56F" w14:textId="4DD9A30C" w:rsidR="00A8138F" w:rsidRDefault="00A8138F" w:rsidP="00A8138F">
      <w:pPr>
        <w:pStyle w:val="TextoNormal"/>
      </w:pPr>
      <w:r>
        <w:t xml:space="preserve">d) Resultaría, en fin, innecesario entrar a examinar la controversia competencial suscitada por el art. 13 (modificación del art. 33 de la Ley del Parlamento de Andalucía 14/2007, de 26 de noviembre, de patrimonio histórico) a la vista de que el Gobierno andaluz lo ha reformado según lo acordado con la administración general del Estado en la citada comisión bilateral. La modificación realizada no vulnera la competencia estatal básica ni la doctrina constitucional sobre cómo haya de interpretarse en lo que se refiere a los estándares mínimos </w:t>
      </w:r>
      <w:r>
        <w:lastRenderedPageBreak/>
        <w:t>de protección. La Ley de patrimonio histórico del Estado no operaría como parámetro de contraste.</w:t>
      </w:r>
    </w:p>
    <w:p w14:paraId="05262C02" w14:textId="77777777" w:rsidR="00A8138F" w:rsidRDefault="00A8138F" w:rsidP="00A8138F">
      <w:pPr>
        <w:pStyle w:val="TextoNormal"/>
      </w:pPr>
    </w:p>
    <w:p w14:paraId="68176185" w14:textId="640520CD" w:rsidR="00A8138F" w:rsidRDefault="00A8138F" w:rsidP="00A8138F">
      <w:pPr>
        <w:pStyle w:val="TextoNormal"/>
      </w:pPr>
      <w:r w:rsidRPr="00A8138F">
        <w:rPr>
          <w:rStyle w:val="NumeroAFNegritaCaracter"/>
        </w:rPr>
        <w:t>9</w:t>
      </w:r>
      <w:r>
        <w:t>. Por providencia de 11 de febrero de 2025 se señaló ese mismo día para la deliberación y fallo de esta sentencia.</w:t>
      </w:r>
    </w:p>
    <w:p w14:paraId="26EAC2F0" w14:textId="77777777" w:rsidR="00A8138F" w:rsidRDefault="00A8138F" w:rsidP="00A8138F">
      <w:pPr>
        <w:pStyle w:val="TextoNormal"/>
      </w:pPr>
    </w:p>
    <w:p w14:paraId="7B320225" w14:textId="77777777" w:rsidR="00A8138F" w:rsidRDefault="00A8138F" w:rsidP="00A8138F">
      <w:pPr>
        <w:pStyle w:val="TextoNormalNegritaCentrado"/>
        <w:keepNext/>
      </w:pPr>
      <w:r>
        <w:t>II. Fundamentos jurídicos</w:t>
      </w:r>
    </w:p>
    <w:p w14:paraId="54570B83" w14:textId="2A618B84" w:rsidR="00A8138F" w:rsidRDefault="00A8138F" w:rsidP="00A8138F">
      <w:pPr>
        <w:pStyle w:val="TextoNormalNegritaCentrado"/>
        <w:keepNext/>
      </w:pPr>
    </w:p>
    <w:p w14:paraId="1E4E0445" w14:textId="77777777" w:rsidR="00A8138F" w:rsidRDefault="00A8138F" w:rsidP="00A8138F">
      <w:pPr>
        <w:pStyle w:val="TextoNormal"/>
      </w:pPr>
      <w:r w:rsidRPr="00A8138F">
        <w:rPr>
          <w:rStyle w:val="NumeroAFNegritaCaracter"/>
        </w:rPr>
        <w:t>1</w:t>
      </w:r>
      <w:r>
        <w:t xml:space="preserve">. </w:t>
      </w:r>
      <w:r w:rsidRPr="00A8138F">
        <w:rPr>
          <w:i/>
        </w:rPr>
        <w:t>Objeto del recurso de inconstitucionalidad y posiciones de las partes</w:t>
      </w:r>
    </w:p>
    <w:p w14:paraId="3E7948EF" w14:textId="77777777" w:rsidR="00A8138F" w:rsidRDefault="00A8138F" w:rsidP="00A8138F">
      <w:pPr>
        <w:pStyle w:val="TextoNormal"/>
      </w:pPr>
    </w:p>
    <w:p w14:paraId="51C3B859" w14:textId="77777777" w:rsidR="00A8138F" w:rsidRDefault="00A8138F" w:rsidP="00A8138F">
      <w:pPr>
        <w:pStyle w:val="TextoNormal"/>
      </w:pPr>
      <w:r>
        <w:t>El presente recurso de inconstitucionalidad ha sido promovido por más de cincuenta senadores del Grupo Parlamentario Socialista contra el Decreto-ley 2/2020, de 9 de marzo, de mejora y simplificación de la regulación para el fomento de la actividad productiva de Andalucía, aprobado por el Consejo de Gobierno de la Junta de Andalucía. A tenor de sus fundamentos jurídicos, la demanda impugna también el acuerdo de convalidación de la Diputación Permanente del Parlamento de Andalucía de 2 de abril de 2020.</w:t>
      </w:r>
    </w:p>
    <w:p w14:paraId="528D56E3" w14:textId="77777777" w:rsidR="00A8138F" w:rsidRDefault="00A8138F" w:rsidP="00A8138F">
      <w:pPr>
        <w:pStyle w:val="TextoNormal"/>
      </w:pPr>
    </w:p>
    <w:p w14:paraId="050EC894" w14:textId="77777777" w:rsidR="00A8138F" w:rsidRDefault="00A8138F" w:rsidP="00A8138F">
      <w:pPr>
        <w:pStyle w:val="TextoNormal"/>
      </w:pPr>
      <w:r>
        <w:t>El recurso desarrolla varios motivos de inconstitucionalidad. El primero se dirige al mencionado acuerdo de convalidación. El suplico de la demanda no lo menciona pero, según hemos anticipado, en sus fundamentos jurídicos consta que lo impugnan expresamente. Razonan que solo el Pleno del Parlamento de Andalucía estaba facultado para convalidar legislación gubernamental de urgencia, a la vista de que no se daba ninguno de los supuestos normativamente previstos para la válida convocatoria de la Diputación Permanente. En consecuencia, el acuerdo controvertido estaría afectado de un vicio de incompetencia contrario al art. 23.2 CE. Solicitan por ello un pronunciamiento de inconstitucionalidad y, derivadamente, la declaración de que el Decreto-ley 2/2020 ha sido derogado (arts. 86.2 CE y 110.2 EAAnd). Los motivos restantes se dirigen a demostrar que el Decreto-ley 2/2020, globalmente considerado, habría incumplido el presupuesto de la extraordinaria y urgente necesidad (arts. 86.1 CE y 110.1 EAAnd). Lo habrían hecho también varios preceptos concretos, que se impugnan específicamente. Algunas previsiones habrían incumplido asimismo alguno de los límites materiales estatutariamente establecidos (arts. 34, 110.1, 131.3, 211 y 217 EAAnd). En fin, el art. 13, al suprimir la exigencia de autorización para determinadas intervenciones en el patrimonio histórico, habría desbordado el ámbito competencial autonómico invadiendo el que corresponde al Estado (art. 149.1.28 CE).</w:t>
      </w:r>
    </w:p>
    <w:p w14:paraId="3BDB7EAF" w14:textId="77777777" w:rsidR="00A8138F" w:rsidRDefault="00A8138F" w:rsidP="00A8138F">
      <w:pPr>
        <w:pStyle w:val="TextoNormal"/>
      </w:pPr>
    </w:p>
    <w:p w14:paraId="3DA11566" w14:textId="797D7C2E" w:rsidR="00A8138F" w:rsidRDefault="00A8138F" w:rsidP="00A8138F">
      <w:pPr>
        <w:pStyle w:val="TextoNormal"/>
      </w:pPr>
      <w:r>
        <w:t>Los letrados de la Junta y del Parlamento de Andalucía solicitan la inadmisión y, subsidiariamente, la desestimación de los motivos de impugnación dirigidos al acuerdo de convalidación. Se oponen igualmente a las quejas formuladas respecto del presupuesto habilitante y el contenido del Decreto-ley 2/2020. Algunas habrían perdido objeto o estarían insuficientemente argumentadas. Todas serían rechazables bajo la consideración de que el Decreto-ley se ajusta a los límites formales y materiales de la legislación de urgencia sin desbordar el marco competencial de la Comunidad Autónoma de Andalucía.</w:t>
      </w:r>
    </w:p>
    <w:p w14:paraId="71E6AC3B" w14:textId="77777777" w:rsidR="00A8138F" w:rsidRDefault="00A8138F" w:rsidP="00A8138F">
      <w:pPr>
        <w:pStyle w:val="TextoNormal"/>
      </w:pPr>
    </w:p>
    <w:p w14:paraId="201DAC63" w14:textId="77777777" w:rsidR="00A8138F" w:rsidRDefault="00A8138F" w:rsidP="00A8138F">
      <w:pPr>
        <w:pStyle w:val="TextoNormal"/>
      </w:pPr>
      <w:r w:rsidRPr="00A8138F">
        <w:rPr>
          <w:rStyle w:val="NumeroAFNegritaCaracter"/>
        </w:rPr>
        <w:t>2</w:t>
      </w:r>
      <w:r>
        <w:t xml:space="preserve">. </w:t>
      </w:r>
      <w:r w:rsidRPr="00A8138F">
        <w:rPr>
          <w:i/>
        </w:rPr>
        <w:t>Consideraciones previas sobre la delimitación del objeto del recurso</w:t>
      </w:r>
    </w:p>
    <w:p w14:paraId="014EA89A" w14:textId="77777777" w:rsidR="00A8138F" w:rsidRDefault="00A8138F" w:rsidP="00A8138F">
      <w:pPr>
        <w:pStyle w:val="TextoNormal"/>
      </w:pPr>
    </w:p>
    <w:p w14:paraId="7E4FC9C1" w14:textId="77777777" w:rsidR="00A8138F" w:rsidRDefault="00A8138F" w:rsidP="00A8138F">
      <w:pPr>
        <w:pStyle w:val="TextoNormal"/>
      </w:pPr>
      <w:r>
        <w:t xml:space="preserve">Con posterioridad a la interposición del presente recurso, el Consejo de Gobierno de la Junta de Andalucía ha aprobado dos decretos-leyes que inciden sobre varias previsiones </w:t>
      </w:r>
      <w:r>
        <w:lastRenderedPageBreak/>
        <w:t>controvertidas en este proceso. Debemos determinar entonces si el enjuiciamiento solicitado por los senadores recurrentes ha perdido objeto, en todo o en parte, como consecuencia de estas modificaciones.</w:t>
      </w:r>
    </w:p>
    <w:p w14:paraId="3B435ABF" w14:textId="77777777" w:rsidR="00A8138F" w:rsidRDefault="00A8138F" w:rsidP="00A8138F">
      <w:pPr>
        <w:pStyle w:val="TextoNormal"/>
      </w:pPr>
    </w:p>
    <w:p w14:paraId="20E164B3" w14:textId="77777777" w:rsidR="00A8138F" w:rsidRDefault="00A8138F" w:rsidP="00A8138F">
      <w:pPr>
        <w:pStyle w:val="TextoNormal"/>
      </w:pPr>
      <w:r>
        <w:t>Así, en primer lugar, el Decreto-ley 26/2020, de 13 de octubre, da nueva redacción al artículo 13 del Decreto-ley 2/2020 y “deja sin efecto el apartado 6 del artículo 28”, así como, “por conexión, los apartados 11, 12, 13, 14 y 15 del citado artículo 28” (disposición final segunda, apartados 1 y 2). Esta reforma trae causa del acuerdo de la Comisión Bilateral de Cooperación Administración General del Estado-Comunidad Autónoma de Andalucía, por el que la primera se comprometió a promover la retirada del recurso de inconstitucionalidad núm. 1998-2020 (interpuesto por el presidente del Gobierno también contra el Decreto-ley 2/2020) si la segunda realizaba determinadas modificaciones. Lo afirma así la exposición de motivos del propio Decreto-ley 26/2020, subrayando que en el seno de aquella comisión “se han cerrado históricamente compromisos de solución de discrepancias abiertas entre ambas administraciones, incluso después de la impugnación de la norma, con el correspondiente desistimiento posterior, en una dinámica de cooperación y lealtad institucional entre administraciones en busca de una política de cooperación y diálogo, libre de confrontación”. El 29 de abril de 2021, el presidente del Gobierno solicitó efectivamente que se le tuviera por desistido de su recurso de inconstitucionalidad, a lo que accedió este tribunal tras comprobar que a ello no se oponían la Junta y el Parlamento de Andalucía (ATC 68/2021, de 24 de junio).</w:t>
      </w:r>
    </w:p>
    <w:p w14:paraId="2BCF05A8" w14:textId="77777777" w:rsidR="00A8138F" w:rsidRDefault="00A8138F" w:rsidP="00A8138F">
      <w:pPr>
        <w:pStyle w:val="TextoNormal"/>
      </w:pPr>
    </w:p>
    <w:p w14:paraId="149DE530" w14:textId="77777777" w:rsidR="00A8138F" w:rsidRDefault="00A8138F" w:rsidP="00A8138F">
      <w:pPr>
        <w:pStyle w:val="TextoNormal"/>
      </w:pPr>
      <w:r>
        <w:t>Posteriormente, el Decreto-ley 26/2021, de 14 de diciembre, ha modificado los artículos 4.2; 17, apartados 4 y 5; 19.1; 25.1; 26 y 28.8, así como la disposición transitoria decimotercera del Decreto-ley 2/2020.</w:t>
      </w:r>
    </w:p>
    <w:p w14:paraId="03AFF3A6" w14:textId="77777777" w:rsidR="00A8138F" w:rsidRDefault="00A8138F" w:rsidP="00A8138F">
      <w:pPr>
        <w:pStyle w:val="TextoNormal"/>
      </w:pPr>
    </w:p>
    <w:p w14:paraId="4E52F211" w14:textId="77777777" w:rsidR="00A8138F" w:rsidRDefault="00A8138F" w:rsidP="00A8138F">
      <w:pPr>
        <w:pStyle w:val="TextoNormal"/>
      </w:pPr>
      <w:r>
        <w:t>Conviene también advertir que el Decreto-ley del Consejo de Gobierno de la Junta de Andalucía 3/2024, de 6 de febrero, por el que se adoptan medidas de simplificación y racionalización administrativa para la mejora de las relaciones de los ciudadanos con la administración de la Junta de Andalucía y el impulso de la actividad económica en Andalucía, modifica algunas de las disposiciones legales y reglamentarias que, en su momento, habían sido modificadas por el Decreto-ley 2/2020, aquí impugnado. Ahora bien, dada la técnica normativa utilizada por el mencionado Decreto-ley 3/2024, que, a diferencia de los dos anteriores citados, no modifica los preceptos del Decreto-ley 2/2020, que constituyen el objeto del presente recurso de inconstitucionalidad, sino directamente las disposiciones legales o reglamentarias a las que aquellas se refieren, tales modificaciones han de que quedar fuera de nuestro examen, pues no se da “la circunstancia de que una ley sea parcialmente modificada por otra ley posterior aprobada precisamente para su reforma” (STC 126/2023, de 27 de septiembre, FJ 2, con cita de la STC 83/2020, de 15 de julio, FJ 2).</w:t>
      </w:r>
    </w:p>
    <w:p w14:paraId="01E702E3" w14:textId="77777777" w:rsidR="00A8138F" w:rsidRDefault="00A8138F" w:rsidP="00A8138F">
      <w:pPr>
        <w:pStyle w:val="TextoNormal"/>
      </w:pPr>
    </w:p>
    <w:p w14:paraId="0C1681D6" w14:textId="77777777" w:rsidR="00A8138F" w:rsidRDefault="00A8138F" w:rsidP="00A8138F">
      <w:pPr>
        <w:pStyle w:val="TextoNormal"/>
      </w:pPr>
      <w:r>
        <w:t xml:space="preserve">Teniendo en cuenta lo expuesto procede recordar que, conforme a consolidada doctrina constitucional, la pérdida sobrevenida de vigencia del precepto impugnado en un recurso de inconstitucionalidad supone, como regla general, la pérdida de objeto del correspondiente proceso constitucional en ese punto [por todas, STC 140/2016, de 21 de julio, FJ 2 b)]. Ahora bien, de acuerdo con esa misma doctrina, la derogación o modificación de normas legislativas de urgencia durante la pendencia del recurso de inconstitucionalidad dirigido contra ellas no excluye el control de este tribunal sobre si al dictarlas se rebasó el marco constitucional (y, en su caso, estatutario) impuesto a esta facultad gubernamental (por todas, </w:t>
      </w:r>
      <w:r>
        <w:lastRenderedPageBreak/>
        <w:t>refiriéndose específicamente al decreto-ley autonómico: SSTC 93/2015, de 14 de mayo, FJ 2, y 103/2017, de 6 de septiembre, FJ 2). Es también doctrina consolidada que las impugnaciones de carácter competencial en un recurso de inconstitucionalidad no pierden objeto por la modificación de la norma legal impugnada si puede apreciarse que el conflicto sigue vivo o subsistente en términos sustancialmente iguales tras esa reforma (por todas, STC 67/2024, de 23 de abril, FJ 2).</w:t>
      </w:r>
    </w:p>
    <w:p w14:paraId="79E96B3A" w14:textId="77777777" w:rsidR="00A8138F" w:rsidRDefault="00A8138F" w:rsidP="00A8138F">
      <w:pPr>
        <w:pStyle w:val="TextoNormal"/>
      </w:pPr>
    </w:p>
    <w:p w14:paraId="09C7C5D7" w14:textId="77777777" w:rsidR="00A8138F" w:rsidRDefault="00A8138F" w:rsidP="00A8138F">
      <w:pPr>
        <w:pStyle w:val="TextoNormal"/>
      </w:pPr>
      <w:r>
        <w:t>En consecuencia, cabe concluir que, de acuerdo con la doctrina constitucional a la que se hace mención, la reforma del Decreto-ley 2/2020 por el Decreto-ley 26/2020 y por el Decreto-ley 26/2021 no implica la pérdida de objeto de las impugnaciones del presente recurso que discuten la concurrencia de los límites de legislación gubernamental de urgencia. En cambio, sí procede apreciar esa pérdida sobrevenida de objeto del recurso en cuanto a la controversia competencial trabada respecto del art. 13 del Decreto-ley 2/2020, al que los recurrentes reprochan el haber incurrido en invasión de la competencia del Estado en materia de defensa del patrimonio histórico (art. 149.1.28 CE).</w:t>
      </w:r>
    </w:p>
    <w:p w14:paraId="48E0C5FA" w14:textId="77777777" w:rsidR="00A8138F" w:rsidRDefault="00A8138F" w:rsidP="00A8138F">
      <w:pPr>
        <w:pStyle w:val="TextoNormal"/>
      </w:pPr>
    </w:p>
    <w:p w14:paraId="1FC7AD8B" w14:textId="77777777" w:rsidR="00A8138F" w:rsidRDefault="00A8138F" w:rsidP="00A8138F">
      <w:pPr>
        <w:pStyle w:val="TextoNormal"/>
      </w:pPr>
      <w:r>
        <w:t>El impugnado art. 13 del Decreto-ley 2/2020, en su redacción originaria, modificó el art. 33.3 de la Ley del Parlamento de Andalucía 14/2007, de 26 de noviembre, del patrimonio histórico de Andalucía, para establecer que no es necesario obtener una autorización o presentar una comunicación previa para realizar obras que impliquen una “intervención mínima” en este tipo de bienes. Según la demanda, ello supondría una evidente reducción del estándar de protección de los bienes de interés cultural que escapa a la potestad reguladora de las comunidades autónomas, invadiendo correlativamente la del Estado (art. 149.1.28 CE). Conforme a la redacción del art. 13 dada por el Decreto-ley 26/2020, las obras eximidas de aquellos trámites han de ser de “escasa entidad constructiva y sencillez técnica”, no deben requerir un “proyecto de acuerdo con la legislación vigente en materia de edificación” y pueden afectar solo a una serie tasada de inmuebles. Además, han de comunicarse a la consejería competente en materia de patrimonio histórico para que en el plazo de treinta días valore la intervención y formule, en su caso, las medidas correctoras vinculantes que estime imprescindibles para la protección del bien, así como cualesquiera otras recomendaciones técnicas.</w:t>
      </w:r>
    </w:p>
    <w:p w14:paraId="6456E631" w14:textId="77777777" w:rsidR="00A8138F" w:rsidRDefault="00A8138F" w:rsidP="00A8138F">
      <w:pPr>
        <w:pStyle w:val="TextoNormal"/>
      </w:pPr>
    </w:p>
    <w:p w14:paraId="29324A1D" w14:textId="77777777" w:rsidR="00A8138F" w:rsidRDefault="00A8138F" w:rsidP="00A8138F">
      <w:pPr>
        <w:pStyle w:val="TextoNormal"/>
      </w:pPr>
      <w:r>
        <w:t>Pues bien, a la vista de la nueva redacción del art. 13 del Decreto-ley 2/2020, dada por el Decreto-ley 26/2020, cabe apreciar, en consonancia con lo alegado por los letrados autonómicos, que la controversia competencial no subsiste en los términos en que fue planteada en el presente recurso de inconstitucionalidad, desde el momento en que ahora se delimitan más precisamente los ámbitos de intervención libre y se obliga en todo caso al interesado a comunicar las obras a la consejería competente en materia de patrimonio histórico, así como a cumplir las medidas correctoras para la protección del bien que esta le imponga. La circunstancia de que justo después de la modificación del art. 13 del Decreto-ley impugnado, coherentemente con lo acordado en la Comisión Bilateral de Cooperación Administración General del Estado-Comunidad Autónoma de Andalucía, el presidente del Gobierno desistiera de su recurso de inconstitucionalidad contra el Decreto-ley 2/2020 viene a corroborar que la controversia competencial no subsiste y, por ende, que en este punto el presente proceso constitucional ha perdido objeto.</w:t>
      </w:r>
    </w:p>
    <w:p w14:paraId="2BDEE451" w14:textId="77777777" w:rsidR="00A8138F" w:rsidRDefault="00A8138F" w:rsidP="00A8138F">
      <w:pPr>
        <w:pStyle w:val="TextoNormal"/>
      </w:pPr>
    </w:p>
    <w:p w14:paraId="3E5C8E71" w14:textId="43B21F06" w:rsidR="00A8138F" w:rsidRDefault="00A8138F" w:rsidP="00A8138F">
      <w:pPr>
        <w:pStyle w:val="TextoNormal"/>
      </w:pPr>
      <w:r>
        <w:t>Procede, en consecuencia, declarar la pérdida de objeto de la impugnación de carácter competencial dirigida frente al art. 13 del Decreto-ley 2/2020.</w:t>
      </w:r>
    </w:p>
    <w:p w14:paraId="42358965" w14:textId="77777777" w:rsidR="00A8138F" w:rsidRDefault="00A8138F" w:rsidP="00A8138F">
      <w:pPr>
        <w:pStyle w:val="TextoNormal"/>
      </w:pPr>
    </w:p>
    <w:p w14:paraId="4049984A" w14:textId="77777777" w:rsidR="00A8138F" w:rsidRDefault="00A8138F" w:rsidP="00A8138F">
      <w:pPr>
        <w:pStyle w:val="TextoNormal"/>
      </w:pPr>
      <w:r w:rsidRPr="00A8138F">
        <w:rPr>
          <w:rStyle w:val="NumeroAFNegritaCaracter"/>
        </w:rPr>
        <w:t>3</w:t>
      </w:r>
      <w:r>
        <w:t xml:space="preserve">. </w:t>
      </w:r>
      <w:r w:rsidRPr="00A8138F">
        <w:rPr>
          <w:i/>
        </w:rPr>
        <w:t>Enjuiciamiento del acuerdo de convalidación del Decreto-ley autonómico</w:t>
      </w:r>
    </w:p>
    <w:p w14:paraId="36923D5B" w14:textId="77777777" w:rsidR="00A8138F" w:rsidRDefault="00A8138F" w:rsidP="00A8138F">
      <w:pPr>
        <w:pStyle w:val="TextoNormal"/>
      </w:pPr>
    </w:p>
    <w:p w14:paraId="33482ECA" w14:textId="77777777" w:rsidR="00A8138F" w:rsidRDefault="00A8138F" w:rsidP="00A8138F">
      <w:pPr>
        <w:pStyle w:val="TextoNormal"/>
      </w:pPr>
      <w:r>
        <w:t>La demanda impugna en primer lugar el acuerdo de 2 de abril de 2020 de la Diputación Permanente del Parlamento andaluz, por el que se convalidó el Decreto-ley 2/2020.</w:t>
      </w:r>
    </w:p>
    <w:p w14:paraId="406058DA" w14:textId="77777777" w:rsidR="00A8138F" w:rsidRDefault="00A8138F" w:rsidP="00A8138F">
      <w:pPr>
        <w:pStyle w:val="TextoNormal"/>
      </w:pPr>
    </w:p>
    <w:p w14:paraId="57A92059" w14:textId="77777777" w:rsidR="00A8138F" w:rsidRDefault="00A8138F" w:rsidP="00A8138F">
      <w:pPr>
        <w:pStyle w:val="TextoNormal"/>
      </w:pPr>
      <w:r>
        <w:t>a) Los letrados autonómicos se oponen a la admisión de esta impugnación bajo la consideración de que la apreciación del vicio que los senadores recurrentes achacan al acuerdo de convalidación del Decreto-ley 2/2020 exigiría la anulación de una serie de decisiones previas que a todas luces escapan al objeto del presente proceso constitucional: el acuerdo de la mesa del Parlamento de Andalucía de 16 de marzo de 2020 por el que se suspendieron las sesiones y se convocó la Diputación Permanente y las resoluciones de la Presidencia del Parlamento de 18 y 31 de marzo de 2020, de interpretación del Reglamento de la Cámara y convocatoria de la sesión en que se produjo la convalidación controvertida, respectivamente. Las representaciones del Parlamento y del Gobierno andaluz insisten igualmente en que los derechos fundamentales afectados serían los de los diputados autonómicos ajenos a la Diputación Permanente, pero en ningún caso los de los senadores impugnantes, que carecerían por ello de legitimación para recurrir el acuerdo de convalidación del Decreto-ley 2/2020.</w:t>
      </w:r>
    </w:p>
    <w:p w14:paraId="6B28EB3A" w14:textId="77777777" w:rsidR="00A8138F" w:rsidRDefault="00A8138F" w:rsidP="00A8138F">
      <w:pPr>
        <w:pStyle w:val="TextoNormal"/>
      </w:pPr>
    </w:p>
    <w:p w14:paraId="2B3A9412" w14:textId="77777777" w:rsidR="00A8138F" w:rsidRDefault="00A8138F" w:rsidP="00A8138F">
      <w:pPr>
        <w:pStyle w:val="TextoNormal"/>
      </w:pPr>
      <w:r>
        <w:t>El acuerdo de convalidación de un decreto-ley es, por sus efectos (conversión en definitiva de una disposición legislativa hasta entonces provisional), un acto con fuerza de ley [art. 27.2 e) LOTC] susceptible, en cuanto tal, de ser objeto de un recurso de inconstitucionalidad [STC 16/2021, de 28 de enero, FJ 2 a)]. El presente recurso se dirige frente al acuerdo convalidatorio del Decreto-ley 2/2020 adoptado por la Diputación Permanente del Parlamento de Andalucía. Lo ha formulado tempestivamente un sujeto legitimado [arts. 161.1 a) CE y 32.1 LOTC], aunque no lo haga constar en el suplico, pero sí en la fundamentación jurídica de la demanda, por lo que debe tenerse por impugnado (por todas, SSTC 178/1989, de 2 de noviembre, FJ 9; 214/1994, de 14 de julio, FJ 3, y 233/2015, de 5 de noviembre, FJ 1), sin que suscite problema alguno que se impugne a la vez el decreto-ley mencionado.</w:t>
      </w:r>
    </w:p>
    <w:p w14:paraId="56957B68" w14:textId="77777777" w:rsidR="00A8138F" w:rsidRDefault="00A8138F" w:rsidP="00A8138F">
      <w:pPr>
        <w:pStyle w:val="TextoNormal"/>
      </w:pPr>
    </w:p>
    <w:p w14:paraId="21C907CD" w14:textId="77777777" w:rsidR="00A8138F" w:rsidRDefault="00A8138F" w:rsidP="00A8138F">
      <w:pPr>
        <w:pStyle w:val="TextoNormal"/>
      </w:pPr>
      <w:r>
        <w:t xml:space="preserve">Ciertamente, como señalan los letrados autonómicos, excede el estricto objeto del presente proceso el control de la constitucionalidad de las decisiones previas por las que aquella Diputación Permanente fue constituida y convocada, es decir las adoptadas por la Presidencia y por la mesa del Parlamento de Andalucía. Ahora bien, para determinar si el concreto acuerdo convalidatorio impugnado ha vulnerado el art. 23.2 CE debemos valorar si la Diputación Permanente estaba legítimamente llamada a ejercer aquella función autorizante. Si no lo hubiera estado, se habría producido un defecto formal de carácter competencial con evidente repercusión en la formación de la voluntad de la Cámara (por la exclusión ilegítima de la deliberación de todos los diputados no integrados en la Diputación Permanente) que conllevaría la inconstitucionalidad por vulneración del art. 23.2 CE del acuerdo convalidatorio adoptado (por todas, refiriéndose a la formación de la voluntad parlamentaria en procedimientos legislativos, STC 68/2013, de 14 de marzo, FJ 2). Si, en cambio, la convocatoria de la Diputación Permanente pudiera considerarse válida, no se habría producido una irregularidad formal que vicie de inconstitucionalidad el acuerdo de convalidación. Por tanto, nada se opone a que, a los solos efectos de enjuiciar el acuerdo impugnado, valoremos si, y hasta qué punto, a la vista de la regulación aplicable y ante las circunstancias de riesgo </w:t>
      </w:r>
      <w:r>
        <w:lastRenderedPageBreak/>
        <w:t>sanitario provocadas por la pandemia del covid-19, la convocatoria de la Diputación Permanente y la exclusión consecuente del debate de convalidación de los diputados no integrantes de la Diputación Permanente eran aceptables en términos jurídico-constitucionales.</w:t>
      </w:r>
    </w:p>
    <w:p w14:paraId="15873DB4" w14:textId="77777777" w:rsidR="00A8138F" w:rsidRDefault="00A8138F" w:rsidP="00A8138F">
      <w:pPr>
        <w:pStyle w:val="TextoNormal"/>
      </w:pPr>
    </w:p>
    <w:p w14:paraId="303BDE98" w14:textId="77777777" w:rsidR="00A8138F" w:rsidRDefault="00A8138F" w:rsidP="00A8138F">
      <w:pPr>
        <w:pStyle w:val="TextoNormal"/>
      </w:pPr>
      <w:r>
        <w:t>El hecho de que no estén concernidos los derechos fundamentales de los senadores impugnantes es irrelevante en el contexto de un recurso de inconstitucionalidad, configurado como proceso objetivo destinado a controlar la conformidad de las leyes y los actos con fuerza de ley a las normas del bloque de constitucionalidad, incluidas las relativas al ejercicio de derechos fundamentales. Los sujetos investidos de legitimación para promover este tipo de proceso constitucional lo están, “no en atención a su interés, sino en virtud de la alta cualificación política que se infiere de su respectivo cometido institucional” (por todas, SSTC 5/1981, de 13 de febrero, FJ 3; 42/1985, de 15 de marzo, FJ 2, y 86/2019, de 20 de junio, FJ 2). Por lo mismo, la función del presente recurso de inconstitucionalidad no estriba en brindar tutela a los diputados andaluces que no formaban parte de la Diputación Permanente (cuestión esta suscitada en el recurso de amparo núm. 2049-2020 interpuesto por el Grupo Parlamentario Adelante Andalucía y varios de sus integrantes, así como en el recurso de amparo núm. 3018-2020, interpuesto por un diputado del Grupo Parlamentario Socialista, admitidos ambos a trámite y pendientes de sentencia). El objeto de este proceso constitucional es muy distinto: determinar si un acto con fuerza ley cual es el acuerdo convalidatorio impugnado está afectado de un defecto de tramitación (indebida convocatoria al efecto de la Diputación Permanente) que, por repercutir en la formación de la voluntad parlamentaria, podría vulnerar el art. 23.2 CE.</w:t>
      </w:r>
    </w:p>
    <w:p w14:paraId="710247D5" w14:textId="77777777" w:rsidR="00A8138F" w:rsidRDefault="00A8138F" w:rsidP="00A8138F">
      <w:pPr>
        <w:pStyle w:val="TextoNormal"/>
      </w:pPr>
    </w:p>
    <w:p w14:paraId="02898320" w14:textId="77777777" w:rsidR="00A8138F" w:rsidRDefault="00A8138F" w:rsidP="00A8138F">
      <w:pPr>
        <w:pStyle w:val="TextoNormal"/>
      </w:pPr>
      <w:r>
        <w:t>Por lo demás, frente a lo alegado por los letrados autonómicos, ninguna relevancia tiene para la resolución del presente recurso que los senadores impugnantes solo hayan recurrido uno de los ocho acuerdos de convalidación de decretos-leyes adoptados por aquella diputación permanente durante el mes y pocos días en que desplegó su actividad; ni que los diputados del Parlamento de Andalucía pertenecientes al mismo partido que los senadores recurrentes apoyaran tanto la inicial convocatoria de aquel órgano parlamentario (acuerdo de la mesa del Parlamento de Andalucía de 16 de marzo de 2020) como la convalidación de los decretos-leyes restantes. Excede de la jurisdicción constitucional el examen de la mayor o menor coherencia del comportamiento de los partidos y de los representantes políticos. Nuestro enjuiciamiento ha de ser estrictamente jurídico-constitucional, sin perjuicio de recordar que la voluntad impugnatoria de quienes están legitimados para promover el recurso de inconstitucionalidad, en virtud de la alta cualificación política que resulta de su cometido constitucional, “puede legítimamente responder a razones políticas o de oportunidad” (STC 31/2010, de 28 de junio, FJ 2).</w:t>
      </w:r>
    </w:p>
    <w:p w14:paraId="473754AD" w14:textId="77777777" w:rsidR="00A8138F" w:rsidRDefault="00A8138F" w:rsidP="00A8138F">
      <w:pPr>
        <w:pStyle w:val="TextoNormal"/>
      </w:pPr>
    </w:p>
    <w:p w14:paraId="27F0E0CD" w14:textId="77777777" w:rsidR="00A8138F" w:rsidRDefault="00A8138F" w:rsidP="00A8138F">
      <w:pPr>
        <w:pStyle w:val="TextoNormal"/>
      </w:pPr>
      <w:r>
        <w:t>Corresponde, en consecuencia, rechazar las objeciones de admisibilidad opuestas por los letrados de la Junta y del Parlamento de Andalucía.</w:t>
      </w:r>
    </w:p>
    <w:p w14:paraId="42C83C5B" w14:textId="77777777" w:rsidR="00A8138F" w:rsidRDefault="00A8138F" w:rsidP="00A8138F">
      <w:pPr>
        <w:pStyle w:val="TextoNormal"/>
      </w:pPr>
    </w:p>
    <w:p w14:paraId="2322ADBC" w14:textId="77777777" w:rsidR="00A8138F" w:rsidRDefault="00A8138F" w:rsidP="00A8138F">
      <w:pPr>
        <w:pStyle w:val="TextoNormal"/>
      </w:pPr>
      <w:r>
        <w:t xml:space="preserve">b) El Estatuto de Autonomía para Andalucía en su art. 103.4 se remite al Reglamento del Parlamento andaluz para la determinación de “la composición y funciones de la Diputación Permanente”, previendo </w:t>
      </w:r>
      <w:r w:rsidRPr="00A8138F">
        <w:rPr>
          <w:i/>
        </w:rPr>
        <w:t>in fine</w:t>
      </w:r>
      <w:r>
        <w:t xml:space="preserve"> que “[l]os grupos parlamentarios participarán en la Diputación Permanente y en todas las comisiones en proporción a sus miembros”. Es decir, que en el ejercicio de su potestad de autoorganización [art. 147.2 c) CE], el Estatuto de Autonomía no concretó, a diferencia de lo que hace el art. 78 CE, en sus apartados 2 y 3, las fun</w:t>
      </w:r>
      <w:r>
        <w:lastRenderedPageBreak/>
        <w:t>ciones de la Diputación Permanente, remitiendo su determinación al Reglamento del Parlamento andaluz.</w:t>
      </w:r>
    </w:p>
    <w:p w14:paraId="51298666" w14:textId="77777777" w:rsidR="00A8138F" w:rsidRDefault="00A8138F" w:rsidP="00A8138F">
      <w:pPr>
        <w:pStyle w:val="TextoNormal"/>
      </w:pPr>
    </w:p>
    <w:p w14:paraId="1ADCD12A" w14:textId="77777777" w:rsidR="00A8138F" w:rsidRDefault="00A8138F" w:rsidP="00A8138F">
      <w:pPr>
        <w:pStyle w:val="TextoNormal"/>
      </w:pPr>
      <w:r>
        <w:t>El art. 78 CE atribuye a la Diputación Permanente del Congreso de los Diputados la facultad de pronunciarse sobre la convalidación o derogación de los decretos-leyes aprobados por el Gobierno de la Nación en dos situaciones: a) cuando las cámaras hubieran sido disueltas; b) cuando hubiera expirado su mandato. Fuera de esas situaciones la diputación permanente carece de competencia al efecto, y de ahí que el art. 86.2 CE prevea que el Congreso de los Diputados “sea convocado al efecto si no estuviera reunido, en el plazo de los treinta días siguientes” a la promulgación del decreto-ley, es decir, cuando no se encuentra en periodo ordinario de sesiones.</w:t>
      </w:r>
    </w:p>
    <w:p w14:paraId="4F78FC95" w14:textId="77777777" w:rsidR="00A8138F" w:rsidRDefault="00A8138F" w:rsidP="00A8138F">
      <w:pPr>
        <w:pStyle w:val="TextoNormal"/>
      </w:pPr>
    </w:p>
    <w:p w14:paraId="3861EAA4" w14:textId="77777777" w:rsidR="00A8138F" w:rsidRDefault="00A8138F" w:rsidP="00A8138F">
      <w:pPr>
        <w:pStyle w:val="TextoNormal"/>
      </w:pPr>
      <w:r>
        <w:t>Por otra parte, el art. 110.2 EAAnd tiene una dicción distinta a la del art. 86.2 CE y se limita a disponer que “los decretos-leyes quedarán derogados si en el plazo improrrogable de treinta días subsiguientes a su promulgación no son convalidados expresamente por el Parlamento tras un debate y votación de totalidad”.</w:t>
      </w:r>
    </w:p>
    <w:p w14:paraId="2BCDDECD" w14:textId="77777777" w:rsidR="00A8138F" w:rsidRDefault="00A8138F" w:rsidP="00A8138F">
      <w:pPr>
        <w:pStyle w:val="TextoNormal"/>
      </w:pPr>
    </w:p>
    <w:p w14:paraId="418BC14F" w14:textId="77777777" w:rsidR="00A8138F" w:rsidRDefault="00A8138F" w:rsidP="00A8138F">
      <w:pPr>
        <w:pStyle w:val="TextoNormal"/>
      </w:pPr>
      <w:r>
        <w:t>c) Pues bien, para acotar el alcance de la controversia suscitada por los recurrentes, conviene precisar, en primer término, que la Diputación Permanente del Parlamento de Andalucía, al igual que la de otras asambleas autonómicas, tenía y tiene expresamente atribuida la facultad de convalidar decretos-leyes (resolución de la Presidencia del Parlamento de Andalucía de 5 de junio de 2008, sobre control por el Parlamento de los decretos-leyes dictados por el Consejo de Gobierno). La circunstancia en sí de que la Diputación Permanente haya ejercido esta función a través del acuerdo impugnado ningún problema suscita desde la perspectiva del art. 23.2 CE. La cuestión planteada es otra: si el acuerdo de convalidación de 2 de abril de 2020 está afectado de un vicio de incompetencia constitucionalmente relevante (art. 23.2 CE) al haber sido adoptado por un órgano cuya convocatoria durante el periodo ordinario de sesiones no estaba específicamente prevista en el Reglamento del Parlamento de Andalucía, pero que fue convocado al efecto para superar las graves interferencias en la actividad parlamentaria derivadas de la crisis sanitaria provocada por la pandemia del covid-19.</w:t>
      </w:r>
    </w:p>
    <w:p w14:paraId="3F01095C" w14:textId="77777777" w:rsidR="00A8138F" w:rsidRDefault="00A8138F" w:rsidP="00A8138F">
      <w:pPr>
        <w:pStyle w:val="TextoNormal"/>
      </w:pPr>
    </w:p>
    <w:p w14:paraId="7E0B6434" w14:textId="77777777" w:rsidR="00A8138F" w:rsidRDefault="00A8138F" w:rsidP="00A8138F">
      <w:pPr>
        <w:pStyle w:val="TextoNormal"/>
      </w:pPr>
      <w:r>
        <w:t xml:space="preserve">Hay que precisar, en segundo lugar, que los senadores recurrentes aceptan sin fisuras que la convocatoria de la Diputación Permanente era una solución idónea para adaptar la actividad parlamentaria a las circunstancias de riesgo sanitario que se presentaron en los primeros momentos de la fase más aguda de la pandemia del covid-19. La demanda admite incluso que, bajo la óptica del art. 23.2 CE, ningún problema habría suscitado una reforma del Reglamento parlamentario que hubiera previsto la convocatoria de la Diputación Permanente para situaciones semejantes de grave crisis sanitaria. Reconoce, en suma, que el acuerdo de convalidación no habría vulnerado derecho fundamental alguno si el Reglamento del Parlamento de Andalucía hubiera sido reformado para prever específicamente la constitución de la Diputación Permanente. El problema es, a su modo de ver, que fue convocada sin que se hubiera realizado aquella reforma y sin tomar en consideración soluciones alternativas. De modo que se habría vulnerado el art. 23.2 CE por razones esencialmente formales o procedimentales: el acuerdo de convalidación estaría afectado de un vicio de incompetencia contrario al art. 23.2 CE porque la convocatoria de la Diputación Permanente, aunque adecuada para preservar un mínimo de actividad parlamentaria en circunstancias tan excepcionales </w:t>
      </w:r>
      <w:r>
        <w:lastRenderedPageBreak/>
        <w:t>como las que se iniciaron en marzo de 2020, debió contar con una cobertura normativa expresa e inequívoca.</w:t>
      </w:r>
    </w:p>
    <w:p w14:paraId="021B7DC4" w14:textId="77777777" w:rsidR="00A8138F" w:rsidRDefault="00A8138F" w:rsidP="00A8138F">
      <w:pPr>
        <w:pStyle w:val="TextoNormal"/>
      </w:pPr>
    </w:p>
    <w:p w14:paraId="26C51D57" w14:textId="77777777" w:rsidR="00A8138F" w:rsidRDefault="00A8138F" w:rsidP="00A8138F">
      <w:pPr>
        <w:pStyle w:val="TextoNormal"/>
      </w:pPr>
      <w:r>
        <w:t xml:space="preserve">d) En marzo de 2020, las circunstancias excepcionales derivadas de la emergencia sanitaria del covid-19, cuando no condujeron </w:t>
      </w:r>
      <w:r w:rsidRPr="00A8138F">
        <w:rPr>
          <w:i/>
        </w:rPr>
        <w:t>de facto</w:t>
      </w:r>
      <w:r>
        <w:t xml:space="preserve"> o </w:t>
      </w:r>
      <w:r w:rsidRPr="00A8138F">
        <w:rPr>
          <w:i/>
        </w:rPr>
        <w:t>de iure</w:t>
      </w:r>
      <w:r>
        <w:t xml:space="preserve"> a una interrupción pura y simple de la actividad parlamentaria, provocaron tanto en España como en la mayor parte de los Estados democráticos de nuestro entorno que se arbitraran soluciones diversas, destinadas a hacer compatible la protección de la salud de los diputados y los empleados al servicio de las cámaras representativas (no pocos de ellos contagiados o en situación de riesgo) con el mantenimiento de una mínima actividad parlamentaria. Tal fue el caso de la Comunidad Autónoma de Andalucía.</w:t>
      </w:r>
    </w:p>
    <w:p w14:paraId="6347BB66" w14:textId="77777777" w:rsidR="00A8138F" w:rsidRDefault="00A8138F" w:rsidP="00A8138F">
      <w:pPr>
        <w:pStyle w:val="TextoNormal"/>
      </w:pPr>
    </w:p>
    <w:p w14:paraId="3A44E670" w14:textId="77777777" w:rsidR="00A8138F" w:rsidRDefault="00A8138F" w:rsidP="00A8138F">
      <w:pPr>
        <w:pStyle w:val="TextoNormal"/>
      </w:pPr>
      <w:r>
        <w:t>El acuerdo de 16 de marzo de 2020 de la mesa del Parlamento de Andalucía convocó la Diputación Permanente para “[a]daptar la actividad parlamentaria de la Cámara” y “continuar con la labor parlamentaria indispensable”, en tanto que el ejercicio de las funciones representativas ha de desarrollarse, como regla general, de forma personal y presencial (SSTC 19/2019, de 12 de febrero, y 45/2019, de 27 de marzo). La exposición de motivos de la resolución interpretativa aprobada dos días después por la presidenta de aquel Parlamento señaló, más precisamente, “teniendo en cuenta las excepcionales circunstancias que concurren” y a fin de “continuar con la labor parlamentaria indispensable”, que la convocatoria podría incardinarse en uno de los supuestos para los que estaba específicamente prevista: “cuando el Parlamento no esté reunido por vacaciones parlamentarias, cuando haya sido disuelto o haya expirado el mandato parlamentario” (art. 58 del Reglamento de la Cámara). La Diputación Permanente fue a la postre desconvocada por acuerdo de la mesa de 29 de abril de 2020, que estableció un régimen de recuperación gradual de la actividad parlamentaria de plenos y comisiones mediante una reducción de miembros en proporción a cada grupo y el uso del voto delegado y las sesiones telemáticas.</w:t>
      </w:r>
    </w:p>
    <w:p w14:paraId="11AF6A0A" w14:textId="77777777" w:rsidR="00A8138F" w:rsidRDefault="00A8138F" w:rsidP="00A8138F">
      <w:pPr>
        <w:pStyle w:val="TextoNormal"/>
      </w:pPr>
    </w:p>
    <w:p w14:paraId="34E6EB4C" w14:textId="77777777" w:rsidR="00A8138F" w:rsidRDefault="00A8138F" w:rsidP="00A8138F">
      <w:pPr>
        <w:pStyle w:val="TextoNormal"/>
      </w:pPr>
      <w:r>
        <w:t>Ante la evidencia de que el Reglamento del Parlamento de Andalucía (al igual que el resto de los reglamentos parlamentarios) no había regulado fórmulas para afrontar las interferencias derivadas de situaciones de emergencia sanitaria como la padecida en marzo de 2020, los letrados autonómicos defienden, en el presente proceso, la validez de la convocatoria de la Diputación Permanente y, derivadamente, su competencia para convalidar el Decreto-ley 2/2020 a partir de una interpretación extensiva, apoyada en el principio de continuidad de la actividad parlamentaria y en la facultad de la Presidencia del Parlamento de Andalucía para suplir las lagunas del Reglamento de la Cámara, al que se remite el Estatuto de Autonomía para concretar las funciones de la Diputación Permanente. Según razonan, esta medida, mayoritaria durante la fase inicial de la pandemia entre las comunidades autónomas (Andalucía, Canarias, Castilla y León, Comunidad Valenciana, Extremadura, Islas Baleares y, además, Galicia y País Vasco cuyos parlamentos estaban disueltos como consecuencia de las respectivas convocatorias electorales), fue la solución de equilibrio entre dos extremos: mantener intacta la actividad parlamentaria, aunque ello supusiera riesgos graves para la salud de los diputados y el personal al servicio del Parlamento, o reducir a mínimos o suspender totalmente aquella actividad, como ocurrió en algunas comunidades autónomas (Asturias, Castilla-La Mancha, La Rioja, Cantabria, Madrid o Murcia). En el Congreso de los Diputados se llevaron a cabo solo las sesiones plenarias constitucionalmente impuestas en relación con las prórrogas del estado de alarma, la convalidación de dos decretos-leyes y la ratificación de un convenio internacional.</w:t>
      </w:r>
    </w:p>
    <w:p w14:paraId="6207A4A4" w14:textId="77777777" w:rsidR="00A8138F" w:rsidRDefault="00A8138F" w:rsidP="00A8138F">
      <w:pPr>
        <w:pStyle w:val="TextoNormal"/>
      </w:pPr>
    </w:p>
    <w:p w14:paraId="184122E5" w14:textId="77777777" w:rsidR="00A8138F" w:rsidRDefault="00A8138F" w:rsidP="00A8138F">
      <w:pPr>
        <w:pStyle w:val="TextoNormal"/>
      </w:pPr>
      <w:r>
        <w:t>Pues bien, procede reconocer que la interpretación que habilitó la convocatoria de la Diputación Permanente del Parlamento de Andalucía, en ausencia de base normativa inequívoca, podría entenderse como un claro recorte del derecho fundamental de participación política de los diputados excluidos que, en lo que aquí interesa, comportaría que decisiones como la enjuiciada estarían incursas en un vicio de incompetencia incompatible con el art. 23.2 CE por repercutir sobre la formación de la voluntad parlamentaria, por el órgano funcional al que corresponde la competencia.</w:t>
      </w:r>
    </w:p>
    <w:p w14:paraId="74A35CB4" w14:textId="77777777" w:rsidR="00A8138F" w:rsidRDefault="00A8138F" w:rsidP="00A8138F">
      <w:pPr>
        <w:pStyle w:val="TextoNormal"/>
      </w:pPr>
    </w:p>
    <w:p w14:paraId="0922E6AB" w14:textId="77777777" w:rsidR="00A8138F" w:rsidRDefault="00A8138F" w:rsidP="00A8138F">
      <w:pPr>
        <w:pStyle w:val="TextoNormal"/>
      </w:pPr>
      <w:r>
        <w:t>Sucede, sin embargo, que en este caso la convocatoria de la Diputación Permanente, acordada unánimemente por la mesa del Parlamento de Andalucía con el apoyo de todos los grupos parlamentarios ante las circunstancias excepcionales concurrentes en los primeros momentos de la pandemia del covid-19 y vigente durante algo más de un mes, persiguió un efecto prácticamente inverso: conservar un mínimo de participación política y control parlamentario del Ejecutivo ante unas circunstancias del todo extraordinarias que impedían objetivamente mantener incólume la actividad de la Cámara. Tales circunstancias eran, en sustancia: (i) la necesidad de salvaguardar la salud de los diputados y del personal al servicio del Parlamento en un contexto de emergencia sanitaria caracterizado por la gravedad del riesgo para la salud y la propia vida y la incertidumbre en torno a las vías de contagio del covid-19; (ii) las dificultades de desplazamiento de los diputados y los empleados de la Cámara, derivadas de las restricciones a la circulación impuestas tras la declaración por el Gobierno del estado de alarma mediante el Real Decreto 463/2020, de 14 de marzo, con sus modificaciones y sucesivas prórrogas (cuya constitucionalidad fue examinada en la STC 148/2021, de 14 de julio); (iii) la necesidad de que los diputados y el propio Parlamento como institución dieran ejemplo a la ciudadanía, ante la multiplicación de los avisos de las autoridades para limitar al máximo la circulación y observar la denominada distancia social o interpersonal; y (iv) el aislamiento voluntario de todos los diputados de un grupo parlamentario del Parlamento de Andalucía, tras conocer el positivo en covid-19 de un dirigente de su partido con el que habían tenido contacto estrecho.</w:t>
      </w:r>
    </w:p>
    <w:p w14:paraId="30F88EE1" w14:textId="77777777" w:rsidR="00A8138F" w:rsidRDefault="00A8138F" w:rsidP="00A8138F">
      <w:pPr>
        <w:pStyle w:val="TextoNormal"/>
      </w:pPr>
    </w:p>
    <w:p w14:paraId="1A254A19" w14:textId="77777777" w:rsidR="00A8138F" w:rsidRDefault="00A8138F" w:rsidP="00A8138F">
      <w:pPr>
        <w:pStyle w:val="TextoNormal"/>
      </w:pPr>
      <w:r>
        <w:t>La cuestión que se plantea en el presente caso difiere, pues, de la suscitada en relación con el acuerdo de 19 de marzo de 2020 de la mesa del Congreso de los Diputados que adoptó la decisión de suspender, desde esa fecha, el cómputo de los plazos reglamentarios que afectaban a las iniciativas en tramitación en la citada Cámara (suspensión que se extendió hasta el 13 de abril de 2020), y sobre cuya disconformidad con el derecho de participación política (art. 23.2 CE) se pronunció este tribunal en la STC 168/2021, de 5 de octubre. En el asunto que nos ocupa está fuera de discusión que ninguno de los grupos de la Cámara andaluza se vio privado, como consecuencia de la convocatoria de la Diputación Permanente, del ejercicio de sus funciones parlamentarias.</w:t>
      </w:r>
    </w:p>
    <w:p w14:paraId="27C54E8B" w14:textId="77777777" w:rsidR="00A8138F" w:rsidRDefault="00A8138F" w:rsidP="00A8138F">
      <w:pPr>
        <w:pStyle w:val="TextoNormal"/>
      </w:pPr>
    </w:p>
    <w:p w14:paraId="41053879" w14:textId="77777777" w:rsidR="00A8138F" w:rsidRDefault="00A8138F" w:rsidP="00A8138F">
      <w:pPr>
        <w:pStyle w:val="TextoNormal"/>
      </w:pPr>
      <w:r>
        <w:t>Por el contrario, lo cierto es que, ante la tesitura antes descrita, la mesa del Parlamento de Andalucía, con la aquiescencia de todos los grupos, se decantó por una solución que permitía mantener la actividad parlamentaria y al propio tiempo evitar o minimizar el riesgo de contagio por covid-19 entre los diputados y el personal de la Cámara. Para ello, la convocatoria de la Diputación Permanente, formada en proporción a la composición del Pleno de la Cámara, fue la respuesta hallada, mediante una interpretación ciertamente extensiva del Reglamento del Parlamento, pero que cohonestaba debidamente el ejercicio de la función parlamentaria de convalidación del Decreto-ley dentro del plazo exigido con la parti</w:t>
      </w:r>
      <w:r>
        <w:lastRenderedPageBreak/>
        <w:t>cipación en el debate de los representantes de todos los grupos y con la plena salvaguarda de la relación mayoría-oposición en la votación subsiguiente. En efecto, la Diputación Permanente está formada, como dice el art. 57.1 del Reglamento del Parlamento de Andalucía, de forma que se asegure que la representación de los grupos parlamentarios sea proporcional a su importancia numérica, es decir, que se reproduce en su composición la del Pleno, manteniendo el equilibrio numérico en la representación.</w:t>
      </w:r>
    </w:p>
    <w:p w14:paraId="3E590832" w14:textId="77777777" w:rsidR="00A8138F" w:rsidRDefault="00A8138F" w:rsidP="00A8138F">
      <w:pPr>
        <w:pStyle w:val="TextoNormal"/>
      </w:pPr>
    </w:p>
    <w:p w14:paraId="53A7B9B7" w14:textId="77777777" w:rsidR="00A8138F" w:rsidRDefault="00A8138F" w:rsidP="00A8138F">
      <w:pPr>
        <w:pStyle w:val="TextoNormal"/>
      </w:pPr>
      <w:r>
        <w:t>Ciertamente, que una resolución de la Presidencia del Parlamento de Andalucía como la de 5 de junio de 2008 atribuya a la Diputación Permanente la competencia para la convalidación de decretos-leyes tanto entre periodos de sesiones como cuando el Parlamento está disuelto o extinguido su mandato, no es la respuesta más adecuada desde las exigencias derivadas de la teoría de las fuentes, en cuanto es una norma supletoria y no el propio Reglamento la que lo dispone. Sin embargo, en las extraordinarias circunstancias concurrentes del supuesto que nos ocupa, ni la interpretación analógica llevada a cabo ni el recurso a una norma supletoria que debería haberse incorporado al Reglamento de la Cámara, convierten en inconstitucional el acuerdo de convalidación del Decreto-ley impugnado, tanto más cuanto que la Diputación Permanente tiene en nuestro régimen parlamentario la misión institucional de garantizar la permanencia y continuidad del Parlamento. Tal función garantizadora de la intangibilidad del Parlamento es su razón de ser.</w:t>
      </w:r>
    </w:p>
    <w:p w14:paraId="7BA8F2DD" w14:textId="77777777" w:rsidR="00A8138F" w:rsidRDefault="00A8138F" w:rsidP="00A8138F">
      <w:pPr>
        <w:pStyle w:val="TextoNormal"/>
      </w:pPr>
    </w:p>
    <w:p w14:paraId="2F89B122" w14:textId="77777777" w:rsidR="00A8138F" w:rsidRDefault="00A8138F" w:rsidP="00A8138F">
      <w:pPr>
        <w:pStyle w:val="TextoNormal"/>
      </w:pPr>
      <w:r>
        <w:t>En efecto, en el caso que venimos examinando, el sentido y finalidad de la convocatoria de la Diputación Permanente del Parlamento de Andalucía fue garantizar en lo posible la continuidad de la actividad parlamentaria, en un contexto extraordinario derivado de la emergencia sanitaria provocada por la pandemia del covid-19 y teniendo presente lo dispuesto en el ya mencionado art. 110.2 EAAnd, en punto a la necesidad de convalidación expresa de los decretos-leyes dictados por el Consejo de Gobierno en el plazo improrrogable de los treinta días subsiguientes a su promulgación. Concretamente se permitió así que, en este caso, el control parlamentario sobre la legislación de urgencia pudiera llevarse a cabo en el plazo estatutariamente establecido y en los términos previstos en la resolución de la Presidencia del Parlamento de Andalucía antes citada, esto es, con la debida intervención de los portavoces de los grupos parlamentarios en el correspondiente debate de totalidad y la posterior votación una vez concluso dicho debate.</w:t>
      </w:r>
    </w:p>
    <w:p w14:paraId="212650D1" w14:textId="77777777" w:rsidR="00A8138F" w:rsidRDefault="00A8138F" w:rsidP="00A8138F">
      <w:pPr>
        <w:pStyle w:val="TextoNormal"/>
      </w:pPr>
    </w:p>
    <w:p w14:paraId="53630147" w14:textId="10F53604" w:rsidR="00A8138F" w:rsidRDefault="00A8138F" w:rsidP="00A8138F">
      <w:pPr>
        <w:pStyle w:val="TextoNormal"/>
      </w:pPr>
      <w:r>
        <w:t>Por todo ello, no puede apreciarse, en las concretas circunstancias concurrentes en el presente caso, que la convocatoria de la Diputación Permanente fuera contraria al art. 23.2 CE ni, derivadamente, que el debate de convalidación del Decreto-ley 2/2020 esté afectado de un defecto competencial que convierta el acuerdo resultante en inconstitucional. Procede pues desestimar la impugnación del acuerdo de convalidación del referido Decreto-ley, adoptado por la Diputación Permanente del Parlamento de Andalucía el 2 de abril de 2020.</w:t>
      </w:r>
    </w:p>
    <w:p w14:paraId="0EF418A2" w14:textId="77777777" w:rsidR="00A8138F" w:rsidRDefault="00A8138F" w:rsidP="00A8138F">
      <w:pPr>
        <w:pStyle w:val="TextoNormal"/>
      </w:pPr>
    </w:p>
    <w:p w14:paraId="5A990635" w14:textId="77777777" w:rsidR="00A8138F" w:rsidRDefault="00A8138F" w:rsidP="00A8138F">
      <w:pPr>
        <w:pStyle w:val="TextoNormal"/>
      </w:pPr>
      <w:r w:rsidRPr="00A8138F">
        <w:rPr>
          <w:rStyle w:val="NumeroAFNegritaCaracter"/>
        </w:rPr>
        <w:t>4</w:t>
      </w:r>
      <w:r>
        <w:t xml:space="preserve">. </w:t>
      </w:r>
      <w:r w:rsidRPr="00A8138F">
        <w:rPr>
          <w:i/>
        </w:rPr>
        <w:t>Enjuiciamiento de la impugnación dirigida contra el Decreto-ley 2/2020 en su conjunto</w:t>
      </w:r>
    </w:p>
    <w:p w14:paraId="1F4DC8A2" w14:textId="77777777" w:rsidR="00A8138F" w:rsidRDefault="00A8138F" w:rsidP="00A8138F">
      <w:pPr>
        <w:pStyle w:val="TextoNormal"/>
      </w:pPr>
    </w:p>
    <w:p w14:paraId="69312FC1" w14:textId="77777777" w:rsidR="00A8138F" w:rsidRDefault="00A8138F" w:rsidP="00A8138F">
      <w:pPr>
        <w:pStyle w:val="TextoNormal"/>
      </w:pPr>
      <w:r>
        <w:t>Los senadores recurrentes impugnan el Decreto-ley 2/2020 en su conjunto por incumplimiento del presupuesto de la extraordinaria y urgente necesidad (arts. 86.1 CE y 110.1 EAAnd) solicitando, subsidiariamente, por la misma razón, la declaración de inconstitucionalidad de algunos preceptos concretos. Razonan igualmente que varias previsiones incum</w:t>
      </w:r>
      <w:r>
        <w:lastRenderedPageBreak/>
        <w:t>plirían límites materiales derivados del Estatuto de Autonomía para Andalucía. Abordaremos ahora la impugnación que se dirige contra el Decreto-ley 2/2020 en su conjunto.</w:t>
      </w:r>
    </w:p>
    <w:p w14:paraId="2964E6D8" w14:textId="77777777" w:rsidR="00A8138F" w:rsidRDefault="00A8138F" w:rsidP="00A8138F">
      <w:pPr>
        <w:pStyle w:val="TextoNormal"/>
      </w:pPr>
    </w:p>
    <w:p w14:paraId="37691CD1" w14:textId="77777777" w:rsidR="00A8138F" w:rsidRDefault="00A8138F" w:rsidP="00A8138F">
      <w:pPr>
        <w:pStyle w:val="TextoNormal"/>
      </w:pPr>
      <w:r>
        <w:t>a) La Constitución no impide que el legislador estatutario atribuya al Gobierno autonómico correspondiente la potestad normativa excepcional de aprobar decretos-leyes. Ahora bien, por virtud del principio democrático (art. 1.1 CE), debe entenderse que los límites formales y materiales que afectan al decreto-ley autonómico son como mínimo los que la Constitución impone al decreto-ley estatal (art. 86.1 CE). El Estatuto puede solo añadir “cautelas y exclusiones adicionales” con el fin de “preservar más intensamente la posición del Parlamento autonómico” (STC 93/2015, de 14 de mayo, FFJJ 3 a 6; en el mismo sentido, por todas, STC 126/2023, de 27 de septiembre, FJ 3). Ello implica que, para resolver las impugnaciones planteadas frente al Decreto-ley 2/2020, debemos tomar en consideración tanto la doctrina constitucional relativa al art. 86.1 CE, como los límites que haya podido concretar o añadir el legislador estatutario para el decreto-ley autonómico (STC 107/2015, de 28 de mayo, FJ 3).</w:t>
      </w:r>
    </w:p>
    <w:p w14:paraId="080A0909" w14:textId="77777777" w:rsidR="00A8138F" w:rsidRDefault="00A8138F" w:rsidP="00A8138F">
      <w:pPr>
        <w:pStyle w:val="TextoNormal"/>
      </w:pPr>
    </w:p>
    <w:p w14:paraId="40BE377B" w14:textId="77777777" w:rsidR="00A8138F" w:rsidRDefault="00A8138F" w:rsidP="00A8138F">
      <w:pPr>
        <w:pStyle w:val="TextoNormal"/>
      </w:pPr>
      <w:r>
        <w:t>El primero de tales límites cuyo control solicitan los senadores recurrentes es la situación de extraordinaria y urgente necesidad que, en los términos del art. 86.1 CE, menciona el art. 110.1 EAAnd: “En caso de extraordinaria y urgente necesidad el Consejo de Gobierno podrá dictar medidas legislativas provisionales en forma de decretos-leyes […]”. Varias sentencias constitucionales han resumido la doctrina dictada a este respecto [SSTC 34/2017, de 1 de marzo, FJ 3; 14/2020, de 28 de enero, FFJJ 2 y 5 c), y 40/2021, de 18 de febrero, FJ 2], a las que nos remitimos para evitar reiteraciones innecesarias. Basta recordar ahora que: (i)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(ii) la apreciación de su concurrencia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decretos-leyes; (iii) ese control externo se concreta en la comprobación de que el Gobierno haya definido, de manera explícita y razonada, una situación de extraordinaria y urgente necesidad que precise de una respuesta normativa con rango de ley y de que, además, exista una conexión de sentido entre la situación definida y las medidas adoptadas para hacerle frente; (iv) la utilización del decreto-ley para ordenar una materia regulada hasta el momento mediante reglamento solo será constitucionalmente legítima si la potestad reglamentaria no permite dar la respuesta urgente requerida por la situación extraordinaria, razón por la cual en estos casos el Gobierno debe justificar específicamente por qué ha aprobado legislación de urgencia en lugar de poner en marcha los procedimientos ordinarios de modificación reglamentaria; y (v) un factor importante a tomar en cuenta es el menor tiempo que requiere tramitar un proyecto de ley en una cámara autonómica (dado su carácter unicameral, así como su más reducido tamaño y menor actividad parlamentaria, en comparación con la que se lleva a cabo en las Cortes Generales), pues puede hacer posible que las situaciones de necesidad sean atendidas tempestivamente mediante la aprobación de leyes, decayendo así la necesidad de intervención extraordinaria del Ejecutivo, con lo que dejaría de concurrir el presupuesto habilitante.</w:t>
      </w:r>
    </w:p>
    <w:p w14:paraId="693BC52A" w14:textId="77777777" w:rsidR="00A8138F" w:rsidRDefault="00A8138F" w:rsidP="00A8138F">
      <w:pPr>
        <w:pStyle w:val="TextoNormal"/>
      </w:pPr>
    </w:p>
    <w:p w14:paraId="48E327E4" w14:textId="77777777" w:rsidR="00A8138F" w:rsidRDefault="00A8138F" w:rsidP="00A8138F">
      <w:pPr>
        <w:pStyle w:val="TextoNormal"/>
      </w:pPr>
      <w:r>
        <w:lastRenderedPageBreak/>
        <w:t>b) La exposición de motivos del Decreto-ley 2/2020 identifica como situación de extraordinaria y urgente necesidad la evolución desfavorable de la economía, vinculada a nuevas amenazas (</w:t>
      </w:r>
      <w:r w:rsidRPr="00A8138F">
        <w:rPr>
          <w:i/>
        </w:rPr>
        <w:t>Brexit</w:t>
      </w:r>
      <w:r>
        <w:t>, tensiones proteccionistas, guerras comerciales) y al proceso global de desaceleración cuya agravación por la pandemia del covid-19 es, según afirma, perfectamente previsible. Hace referencia a los pronósticos de ralentización económica anteriores a la llegada del virus, difundidos por organismos internacionales (Fondo Monetario Internacional o Banco Mundial, entre otros), así como al drástico empeoramiento que propiciará la pandemia, conforme a estimaciones de la Organización para la Cooperación y el Desarrollo Económico y la Secretaría General de Economía de la Junta de Andalucía. A este último respecto, menciona específicamente “la más que probable caída del consumo de no residentes por una menor llegada de turistas por motivo de la alerta sanitaria”. La consecuencia más inmediata de todo ello sería una menor creación de empleo: “Una reducción del crecimiento de una magnitud asimilada a las predicciones anteriores supondría al menos treinta y cinco mil empleos menos creados en el escenario más probable, pudiéndose elevar esta cifra incluso a niveles de destrucción neta de ocupación” (apartado I de la exposición de motivos).</w:t>
      </w:r>
    </w:p>
    <w:p w14:paraId="7E8432F1" w14:textId="77777777" w:rsidR="00A8138F" w:rsidRDefault="00A8138F" w:rsidP="00A8138F">
      <w:pPr>
        <w:pStyle w:val="TextoNormal"/>
      </w:pPr>
    </w:p>
    <w:p w14:paraId="63E9D0BE" w14:textId="77777777" w:rsidR="00A8138F" w:rsidRDefault="00A8138F" w:rsidP="00A8138F">
      <w:pPr>
        <w:pStyle w:val="TextoNormal"/>
      </w:pPr>
      <w:r>
        <w:t xml:space="preserve">Andalucía se hallaría en “una situación especialmente vulnerable” ante el panorama de desaceleración apenas descrito dado “el continuo cierre de empresas que ha venido afectando profundamente a la industria andaluza a lo largo de los últimos años, con su irreparable secuela de pérdida de empleos” y, en general, por la ausencia de una estructura productiva e institucional que permita resistir mejor los evites de coyunturas económicas problemáticas: “diferencialmente, aquellos países o regiones que muestran mejores puntuaciones en indicadores de calidad institucional suelen mostrar un crecimiento potencial a largo plazo más elevado y sólido y una mayor resistencia durante las crisis económicas”. La calidad regulatoria e institucional representaría una de las debilidades de nuestra economía: “Andalucía no goza de una buena posición una vez es comparada a nivel nacional e internacional”, tal como ha señalado el Banco Mundial en su estudio </w:t>
      </w:r>
      <w:r w:rsidRPr="00A8138F">
        <w:rPr>
          <w:i/>
        </w:rPr>
        <w:t>Doing Business en España 2015</w:t>
      </w:r>
      <w:r>
        <w:t>. Ello sería particularmente grave porque “en un mundo interrelacionado y globalizado, las diferencias en costes regulatorios son penalizadas con menor inversión y menor empleo, afectando a las ventajas competitivas y por ello al bienestar de la ciudadanía”. De modo tal que “el debilitamiento observado amplificará sus efectos negativos” si no se apuntalan los fundamentos de la economía andaluza, entre ellos, “la calidad de la regulación y de sus instituciones públicas”. Este conjunto de circunstancias encajaría sin dificultad “con las denominadas por el Tribunal Constitucional ‘coyunturas económicas problemáticas’” (apartados I y IV de la exposición de motivos).</w:t>
      </w:r>
    </w:p>
    <w:p w14:paraId="5F04ECFD" w14:textId="77777777" w:rsidR="00A8138F" w:rsidRDefault="00A8138F" w:rsidP="00A8138F">
      <w:pPr>
        <w:pStyle w:val="TextoNormal"/>
      </w:pPr>
    </w:p>
    <w:p w14:paraId="50BDDBFF" w14:textId="77777777" w:rsidR="00A8138F" w:rsidRDefault="00A8138F" w:rsidP="00A8138F">
      <w:pPr>
        <w:pStyle w:val="TextoNormal"/>
      </w:pPr>
      <w:r>
        <w:t xml:space="preserve">La “mejora de la regulación económica”, entendida como “conjunto de actuaciones de los poderes públicos mediante las cuales se generan normas eficientes, trámites simplificados e instituciones eficaces”, constituiría “un factor central del buen funcionamiento de las actividades productivas y, por tanto, del crecimiento y del desarrollo económico”, capaz, en cuanto tal, de combatir aquel panorama de desaceleración agravado por la pandemia, permitiendo “en el plazo más corto posible, elevar la eficiencia y competitividad del tejido productivo andaluz”. Resultaría indudable, en particular, “que una mejor regulación y facilidad para hacer negocios en la industria mejorará el comportamiento de la región ante los envites de una supuesta crisis”. Por eso “se propone llevar a cabo una batería de reformas normativas” capaz de mejorar los fundamentos de la economía andaluza y de “contrarrestar la desaceleración económica que ya se experimenta”. En particular, se modifican normas </w:t>
      </w:r>
      <w:r>
        <w:lastRenderedPageBreak/>
        <w:t>“que dificultan el acceso a una actividad productiva a emprendedores y empresas, simplificando trámites y reduciendo los requisitos administrativos injustificados o desproporcionados”. La urgente necesidad de acometer estas reformas “lo más rápido posible” podría cifrarse “en el coste de oportunidad, en especial empleos, que puede suponer no hacerlo” (apartados I a III de la exposición de motivos).</w:t>
      </w:r>
    </w:p>
    <w:p w14:paraId="06EB5010" w14:textId="77777777" w:rsidR="00A8138F" w:rsidRDefault="00A8138F" w:rsidP="00A8138F">
      <w:pPr>
        <w:pStyle w:val="TextoNormal"/>
      </w:pPr>
    </w:p>
    <w:p w14:paraId="62D7CA9B" w14:textId="77777777" w:rsidR="00A8138F" w:rsidRDefault="00A8138F" w:rsidP="00A8138F">
      <w:pPr>
        <w:pStyle w:val="TextoNormal"/>
      </w:pPr>
      <w:r>
        <w:t>Esta justificación de la situación de extraordinaria y urgente necesidad y de las reformas acometidas para afrontarla reaparece concretada o precisada en los apartados de la exposición de motivos explicativos de las concretas reformas de liberalización, simplificación y reducción de trámites administrativos en materia de: ordenación del territorio y urbanismo (apartados V, VIII y XV); políticas sociales o asistenciales (apartados VI y XXIV); pesca (apartado VII); actividades agroalimentarias (apartados X, XI, XIV, XVII y XVIII); turismo (apartados XIX y XXV); defensa de la competencia (apartado XII); medio ambiente (apartados XIII, XXII y XXIII); comercio interior (apartado XXI); aguas (apartado XVI); sector energético (apartados XXVI y XXVII); salud pública (apartado XX); y sector audiovisual (apartados IX y XXVIII).</w:t>
      </w:r>
    </w:p>
    <w:p w14:paraId="7381A3CD" w14:textId="77777777" w:rsidR="00A8138F" w:rsidRDefault="00A8138F" w:rsidP="00A8138F">
      <w:pPr>
        <w:pStyle w:val="TextoNormal"/>
      </w:pPr>
    </w:p>
    <w:p w14:paraId="1CF98383" w14:textId="77777777" w:rsidR="00A8138F" w:rsidRDefault="00A8138F" w:rsidP="00A8138F">
      <w:pPr>
        <w:pStyle w:val="TextoNormal"/>
      </w:pPr>
      <w:r>
        <w:t>El Gobierno autonómico justificó también en estos términos el Decreto-ley con ocasión del debate sobre su convalidación. Destacó que las previsiones de agravamiento de la desaceleración económica como consecuencia de la pandemia, mencionadas en la exposición de motivos para justificar el Decreto-ley, se confirman rápidamente y con toda claridad, en cuanto que el covid-19 “está produciendo ya un enorme impacto en nuestra economía”, corroborado por los “datos de paro registrado de hoy”. Insistió en su intervención en que “vivimos y seguiremos viviendo a lo largo de la pandemia momentos de una considerable pérdida de empleo, que, junto al frenado en seco de la actividad en aquellos sectores que se están viendo más afectados, como el turismo y los servicios, llevan a vislumbrar un escenario, tanto nacional como internacional, de gran preocupación e incertidumbre”. Ciertamente, “no conocíamos entonces [en el momento de la aprobación del Decreto-ley 2/2020] la magnitud que esta crisis sanitaria llegaría a representar”, si bien “ya vislumbramos que esta norma podría ser un instrumento para la reactivación de la economía frente al covid-19”. Todo ello demostraría “la necesidad de contar con una mejor regulación económica como la que representa este Decreto-ley, por lo que puede suponer para los andaluces en términos económicos y de recuperación”.</w:t>
      </w:r>
    </w:p>
    <w:p w14:paraId="79F34154" w14:textId="77777777" w:rsidR="00A8138F" w:rsidRDefault="00A8138F" w:rsidP="00A8138F">
      <w:pPr>
        <w:pStyle w:val="TextoNormal"/>
      </w:pPr>
    </w:p>
    <w:p w14:paraId="1409B1EA" w14:textId="77777777" w:rsidR="00A8138F" w:rsidRDefault="00A8138F" w:rsidP="00A8138F">
      <w:pPr>
        <w:pStyle w:val="TextoNormal"/>
      </w:pPr>
      <w:r>
        <w:t xml:space="preserve">c) La argumentación así resumida de la exposición de motivos del Decreto-ley 2/2020 y de la defensa de su convalidación ante la Diputación Permanente del Parlamento de Andalucía evidencia que el Gobierno autonómico ha justificado de manera expresa, concreta, detallada y razonada la necesidad de emplear la potestad legislativa provisional y de urgencia que le reconoce el art. 110.1 EAAnd. Desde el limitado control que a este tribunal corresponde, que es jurídico y no político, no puede decirse que las explicaciones ofrecidas sean irracionales, arbitrarias, apodícticas, imprecisas, rituales, retóricas o estereotipadas, ni que sirvan a cualquier propósito o finalidad, como apreciamos, por ejemplo, en los casos de las SSTC 68/2007, de 28 de marzo, FJ 10, y 137/2011, de 14 de septiembre, FJ 7. Al contrario, describen un preocupante panorama de desaceleración económica agravado por el impacto de la pandemia del covid-19 y la especial vulnerabilidad de la comunidad autónoma, esta última asociada a malos índices de calidad regulatoria y a una tendencia histórica a la destrucción de empresas. Con ese punto de partida se justifican (desde la legítima perspectiva del Consejo de Gobierno de la Junta de Andalucía, único órgano al que el art. 119.2 </w:t>
      </w:r>
      <w:r>
        <w:lastRenderedPageBreak/>
        <w:t>EAAnd atribuye “la dirección política de la Comunidad Autónoma”) una serie de medidas dirigidas a la liberalización y simplificación administrativa con eliminación de trabas y regulaciones consideradas innecesarias y, derivadamente, a elevar la eficiencia y competitividad del tejido productivo andaluz. La exposición de motivos se refiere ampliamente a la estrecha vinculación entre la llamada calidad regulatoria y el crecimiento económico. Bajo la óptica del control externo que nos corresponde ha quedado razonablemente justificada, pues, la conexión de sentido entre la coyuntura problemática previamente definida y las medidas establecidas para afrontarla.</w:t>
      </w:r>
    </w:p>
    <w:p w14:paraId="06338434" w14:textId="77777777" w:rsidR="00A8138F" w:rsidRDefault="00A8138F" w:rsidP="00A8138F">
      <w:pPr>
        <w:pStyle w:val="TextoNormal"/>
      </w:pPr>
    </w:p>
    <w:p w14:paraId="4F119D0D" w14:textId="0C3B6D37" w:rsidR="00A8138F" w:rsidRDefault="00A8138F" w:rsidP="00A8138F">
      <w:pPr>
        <w:pStyle w:val="TextoNormal"/>
      </w:pPr>
      <w:r>
        <w:t>Procede, en consecuencia, desestimar la impugnación del Decreto-ley 2/2020 en su conjunto, así como las quejas dirigidas con carácter subsidiario a preceptos concretos por ausencia del presupuesto habilitante, pues cada uno de ellos recoge medidas de liberalización o simplificación cuya adopción mediante legislación de urgencia ha sido cumplidamente justificada, según lo visto, sin perjuicio de lo que seguidamente se dirá.</w:t>
      </w:r>
    </w:p>
    <w:p w14:paraId="5D6A5C1A" w14:textId="77777777" w:rsidR="00A8138F" w:rsidRDefault="00A8138F" w:rsidP="00A8138F">
      <w:pPr>
        <w:pStyle w:val="TextoNormal"/>
      </w:pPr>
    </w:p>
    <w:p w14:paraId="6205E031" w14:textId="77777777" w:rsidR="00A8138F" w:rsidRDefault="00A8138F" w:rsidP="00A8138F">
      <w:pPr>
        <w:pStyle w:val="TextoNormal"/>
      </w:pPr>
      <w:r w:rsidRPr="00A8138F">
        <w:rPr>
          <w:rStyle w:val="NumeroAFNegritaCaracter"/>
        </w:rPr>
        <w:t>5</w:t>
      </w:r>
      <w:r>
        <w:t xml:space="preserve">. </w:t>
      </w:r>
      <w:r w:rsidRPr="00A8138F">
        <w:rPr>
          <w:i/>
        </w:rPr>
        <w:t>Enjuiciamiento de la impugnación dirigida contra los arts. 20 a 23 y 25 del Decreto-ley 2/2020, en cuanto modifican normas reglamentarias</w:t>
      </w:r>
    </w:p>
    <w:p w14:paraId="607892D2" w14:textId="77777777" w:rsidR="00A8138F" w:rsidRDefault="00A8138F" w:rsidP="00A8138F">
      <w:pPr>
        <w:pStyle w:val="TextoNormal"/>
      </w:pPr>
    </w:p>
    <w:p w14:paraId="5CE6A041" w14:textId="77777777" w:rsidR="00A8138F" w:rsidRDefault="00A8138F" w:rsidP="00A8138F">
      <w:pPr>
        <w:pStyle w:val="TextoNormal"/>
      </w:pPr>
      <w:r>
        <w:t>Atendidos los específicos reproches que los recurrentes formulan en su demanda, debemos analizar separadamente si los impugnados arts. 20 a 23 y 25 cumplen el presupuesto de la extraordinaria y urgente necesidad.</w:t>
      </w:r>
    </w:p>
    <w:p w14:paraId="62A2E6CB" w14:textId="77777777" w:rsidR="00A8138F" w:rsidRDefault="00A8138F" w:rsidP="00A8138F">
      <w:pPr>
        <w:pStyle w:val="TextoNormal"/>
      </w:pPr>
    </w:p>
    <w:p w14:paraId="72C24DCA" w14:textId="77777777" w:rsidR="00A8138F" w:rsidRDefault="00A8138F" w:rsidP="00A8138F">
      <w:pPr>
        <w:pStyle w:val="TextoNormal"/>
      </w:pPr>
      <w:r>
        <w:t>“[D]esde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[por todas, SSTC 5/1981, de 13 de febrero, FJ 21 B); 73/2000, de 14 de marzo, FJ 15, y 104/2000, de 13 de abril, FJ 9]” (STC 332/2005, de 15 de diciembre, FJ 7). No obstante, la modificación de normas de rango reglamentario utilizando para ello la vía de la legislación de urgencia requiere, conforme a nuestra doctrina, una justificación adicional o específica [así, en la STC 20/2024, de 31 de enero, FJ 3 D)] pues, como recuerda la STC 14/2020, de 28 de enero, FJ 5 c), “la utilización del decreto-ley solamente será constitucionalmente legítima si la norma reglamentaria no permite dar la respuesta urgente que requiere la situación que según el Gobierno es preciso resolver. Es decir, si de lo que se trata es de utilizar un real decreto-ley para ordenar una materia que antes era regulada por normas reglamentarias, la justificación del empleo de ese producto normativo impone al Gobierno la necesidad de razonar por qué esa regulación requería precisamente la elevación de ese rango en el momento en que se aprobó el real decreto-ley en cuestión” (justificación que resulta igualmente exigible en el caso del decreto-ley autonómico).</w:t>
      </w:r>
    </w:p>
    <w:p w14:paraId="64E2E4DC" w14:textId="77777777" w:rsidR="00A8138F" w:rsidRDefault="00A8138F" w:rsidP="00A8138F">
      <w:pPr>
        <w:pStyle w:val="TextoNormal"/>
      </w:pPr>
    </w:p>
    <w:p w14:paraId="67B06524" w14:textId="77777777" w:rsidR="00A8138F" w:rsidRDefault="00A8138F" w:rsidP="00A8138F">
      <w:pPr>
        <w:pStyle w:val="TextoNormal"/>
      </w:pPr>
      <w:r>
        <w:t>a) El Decreto-ley 2/2020 ha modificado algunas normas reglamentarias con el esencial propósito de ajustarlas a la nueva redacción que el propio Decreto-ley ha dado a algunos preceptos legales y de garantizar la eficacia de esta reforma. Es el caso de los arts. 20 y 21, que modifican, respectivamente, el Decreto de la Consejería de Empleo, Empresa y Trabajo Autónomo 2/2014, de 14 de enero (sobre los criterios y el procedimiento para la declaración de zonas de gran afluencia turística, a efectos de horarios comerciales), y el Decreto de la Consejería de Igualdad, Salud y Políticas Sociales 169/2014, de 9 de diciembre (sobre el procedimiento de la evaluación del impacto en la salud). Se trata de reglamentos de desarrollo de leyes modificadas por el propio Decreto-ley impugnado en sus arts. 19 (texto re</w:t>
      </w:r>
      <w:r>
        <w:lastRenderedPageBreak/>
        <w:t>fundido de la Ley del comercio interior de Andalucía, aprobado por Decreto Legislativo 1/2012, de 20 de marzo) y 18 (Ley de 16/2011, de 23 de diciembre, de salud pública de Andalucía). En uno y otro caso se establecen medidas de simplificación y disminución de barreras a la actividad comercial.</w:t>
      </w:r>
    </w:p>
    <w:p w14:paraId="256B182A" w14:textId="77777777" w:rsidR="00A8138F" w:rsidRDefault="00A8138F" w:rsidP="00A8138F">
      <w:pPr>
        <w:pStyle w:val="TextoNormal"/>
      </w:pPr>
    </w:p>
    <w:p w14:paraId="4057A460" w14:textId="77777777" w:rsidR="00A8138F" w:rsidRDefault="00A8138F" w:rsidP="00A8138F">
      <w:pPr>
        <w:pStyle w:val="TextoNormal"/>
      </w:pPr>
      <w:r>
        <w:t>La exposición de motivos del Decreto-ley 2/2020 ha justificado el recurso a la legislación de urgencia para modificar aquellas normas reglamentarias en la estrecha vinculación de esta reforma con la modificación de las leyes desarrolladas. Respecto del art. 20, afirma: “[S]e trata de adaptar la regulación de los criterios y trámites del procedimiento para la declaración a la modificación del artículo 20 del texto refundido de la Ley de comercio interior de Andalucía, aprobado por Decreto Legislativo 1/2012, de 20 de marzo, contenida en el artículo 19 del presente Decreto-ley, aclarando criterios y fuentes oficiales a las que remitirse tanto en la solicitud presentada por parte de cualquier ayuntamiento como a tener en cuenta por el centro directivo competente en materia de comercio interior en su resolución de declaración”. Con ello se pretende “mejorar la redacción” y eliminar “trámites duplicados”. En cuanto al art. 21, se afirma en igual sentido: “Las modificaciones del Decreto 169/2014, de 9 de diciembre, que se incluyen, son las necesarias para alinearse con las modificaciones de la Ley 16/2011, de 23 de diciembre”.</w:t>
      </w:r>
    </w:p>
    <w:p w14:paraId="15BBB86E" w14:textId="77777777" w:rsidR="00A8138F" w:rsidRDefault="00A8138F" w:rsidP="00A8138F">
      <w:pPr>
        <w:pStyle w:val="TextoNormal"/>
      </w:pPr>
    </w:p>
    <w:p w14:paraId="7BD9B981" w14:textId="77777777" w:rsidR="00A8138F" w:rsidRDefault="00A8138F" w:rsidP="00A8138F">
      <w:pPr>
        <w:pStyle w:val="TextoNormal"/>
      </w:pPr>
      <w:r>
        <w:t>A la vista de ello, cabe apreciar que el Gobierno autonómico ha justificado específicamente el recurso a la legislación de urgencia para llevar a término modificaciones reglamentarias. Las normas reglamentarias tomadas en consideración son accesorias de otras con rango de ley, de modo tal que el Decreto-ley ha modificado las primeras para garantizar la eficacia de la reforma sustancial de las segundas, de suerte que puede afirmarse que ambos tipos de modificaciones, las legales y las reglamentarias, están estrechamente vinculadas entre sí hasta el punto de que responden a las mismas razones de extraordinaria y urgente necesidad. Esta justificación no es irrazonable bajo la óptica del control exclusivamente jurídico y externo que nos corresponde, pues este tribunal ya ha reconocido “la aptitud del decreto-ley para abordar una regulación que podría haberse incluido en una norma reglamentaria, siempre que la exigencia de sistematicidad en la regulación de la materia haga aconsejable su regulación conjunta a través del decreto-ley, pues lo que este tribunal ha declarado inconstitucional, por contrario al art. 86.1, son las remisiones reglamentarias exclusivamente deslegalizadoras carentes de cualquier tipo de plazo [SSTC 29/1982, de 31 de mayo, FJ 6;  29/1986, de 20 de febrero, FJ 2 C); 12/2015, de 5 de febrero, y 14/2020, de 28 de enero, FJ 2].</w:t>
      </w:r>
    </w:p>
    <w:p w14:paraId="44E240B3" w14:textId="77777777" w:rsidR="00A8138F" w:rsidRDefault="00A8138F" w:rsidP="00A8138F">
      <w:pPr>
        <w:pStyle w:val="TextoNormal"/>
      </w:pPr>
    </w:p>
    <w:p w14:paraId="39F2BE9B" w14:textId="77777777" w:rsidR="00A8138F" w:rsidRDefault="00A8138F" w:rsidP="00A8138F">
      <w:pPr>
        <w:pStyle w:val="TextoNormal"/>
      </w:pPr>
      <w:r>
        <w:t>Procede pues desestimar la impugnación de los arts. 20 y 21 del Decreto-ley 2/2020.</w:t>
      </w:r>
    </w:p>
    <w:p w14:paraId="4B1F88AC" w14:textId="77777777" w:rsidR="00A8138F" w:rsidRDefault="00A8138F" w:rsidP="00A8138F">
      <w:pPr>
        <w:pStyle w:val="TextoNormal"/>
      </w:pPr>
    </w:p>
    <w:p w14:paraId="12B3BFD8" w14:textId="77777777" w:rsidR="00A8138F" w:rsidRDefault="00A8138F" w:rsidP="00A8138F">
      <w:pPr>
        <w:pStyle w:val="TextoNormal"/>
      </w:pPr>
      <w:r>
        <w:t xml:space="preserve">b) Otra conclusión resulta del examen de los arts. 22, 23 y 25 del Decreto-ley 2/2020, que reforman, respectivamente, los decretos de la Consejería de Medio Ambiente y Ordenación del Territorio de la Junta de Andalucía 18/2015, de 27 de enero (Reglamento de régimen aplicable a los suelos contaminados) y 109/2015, de 17 de marzo (Reglamento de vertidos al dominio público hidráulico y al dominio público marítimo-terrestre), y de la Consejería de Turismo y Deporte 72/2017, de 13 de junio (sobre el municipio turístico). La exposición de motivos del Decreto-ley 2/2020 se refiere a los beneficios resultantes de las medidas de liberalización y simplificación adoptadas (apartados XXII, XXIII y XXV), pero nada dice sobre la necesidad de acudir al decreto-ley para establecer reformas que el Gobierno autonómico podría articular ágilmente mediante la aprobación o modificación de </w:t>
      </w:r>
      <w:r>
        <w:lastRenderedPageBreak/>
        <w:t>normas reglamentarias. El debate de convalidación tampoco ha arrojado justificación alguna al respecto.</w:t>
      </w:r>
    </w:p>
    <w:p w14:paraId="118D3ED2" w14:textId="77777777" w:rsidR="00A8138F" w:rsidRDefault="00A8138F" w:rsidP="00A8138F">
      <w:pPr>
        <w:pStyle w:val="TextoNormal"/>
      </w:pPr>
    </w:p>
    <w:p w14:paraId="4BD4B828" w14:textId="77777777" w:rsidR="00A8138F" w:rsidRDefault="00A8138F" w:rsidP="00A8138F">
      <w:pPr>
        <w:pStyle w:val="TextoNormal"/>
      </w:pPr>
      <w:r>
        <w:t>El letrado del Parlamento de Andalucía alega que el Decreto-ley controvertido ha conservado el rango reglamentario de las regulaciones modificadas y que ello eximiría al Gobierno de la carga de justificar específicamente las razones por las que ha optado por el instrumento excepcional de la legislación de urgencia. Lo cierto es, sin embargo, que, aprovechando precisamente su rango de ley, se ha limitado a disponer que “[l]as determinaciones incluidas en las normas reglamentarias que son objeto de modificación por este Decreto-ley podrán ser modificadas por normas de rango reglamentario” (disposición final primera). La regulación introducida en los arts. 22, 23 y 25 queda así desprovista de una nota característica de la fuerza legal (resistencia pasiva a la innovación frente a normas de rango reglamentario) pero conserva las restantes, entre ellas, señaladamente, la imposibilidad de impugnación ante la justicia ordinaria: como cualquier norma con rango de ley, solo puede recurrirse ante el Tribunal Constitucional por motivos de inconstitucionalidad exclusivamente y solo por una serie limitada de sujetos legitimados [arts. 161.1 a) y 162.1 a) CE], o en su caso cuestionarse por un órgano judicial (art. 163 CE). Tan es así que, si los arts. 22, 23 y 25 del Decreto-ley 2/2020 tuvieran verdaderamente rango reglamentario, habríamos inadmitido respecto de ellos el presente recurso de inconstitucionalidad, lo que, como es obvio, no es el caso.</w:t>
      </w:r>
    </w:p>
    <w:p w14:paraId="1AE5BDED" w14:textId="77777777" w:rsidR="00A8138F" w:rsidRDefault="00A8138F" w:rsidP="00A8138F">
      <w:pPr>
        <w:pStyle w:val="TextoNormal"/>
      </w:pPr>
    </w:p>
    <w:p w14:paraId="6DC3C5C3" w14:textId="77777777" w:rsidR="00A8138F" w:rsidRDefault="00A8138F" w:rsidP="00A8138F">
      <w:pPr>
        <w:pStyle w:val="TextoNormal"/>
      </w:pPr>
      <w:r>
        <w:t>Por lo demás, a los efectos de controlar el cumplimiento del presupuesto habilitante de la extraordinaria y urgente necesidad, lo relevante no es la fuerza o rango de la normativa adoptada, sino el motivo por el que el Gobierno ha utilizado la legislación de urgencia para establecerla, pese a que, en principio, el ejercicio de su potestad reglamentaria habría bastado. Y sobre dicho motivo no se ofrece justificación alguna. En tales casos hemos indicado que, dado que la causa justificativa del decreto-ley ha de ser explicitada por el propio Gobierno (STC 125/2016, de 7 de julio, FJ 2), “su carencia determina que no podamos apreciar la concurrencia del presupuesto habilitante que los diputados recurrentes niegan, el Gobierno no acredita y este tribunal no puede presumir” [SSTC 61/2018, de 7 de junio, FJ 6; 134/2021, de 24 de junio, FJ 3 c), y 15/2023, de 7 de marzo, FJ 3 c].</w:t>
      </w:r>
    </w:p>
    <w:p w14:paraId="6C22266F" w14:textId="77777777" w:rsidR="00A8138F" w:rsidRDefault="00A8138F" w:rsidP="00A8138F">
      <w:pPr>
        <w:pStyle w:val="TextoNormal"/>
      </w:pPr>
    </w:p>
    <w:p w14:paraId="70F50A2B" w14:textId="4E6D83CB" w:rsidR="00A8138F" w:rsidRDefault="00A8138F" w:rsidP="00A8138F">
      <w:pPr>
        <w:pStyle w:val="TextoNormal"/>
      </w:pPr>
      <w:r>
        <w:t>Consecuentemente, corresponde estimar la impugnación de los arts. 22, 23 y 25 del Decreto-ley 2/2020 y declarar su inconstitucionalidad y nulidad.</w:t>
      </w:r>
    </w:p>
    <w:p w14:paraId="0F004CDC" w14:textId="77777777" w:rsidR="00A8138F" w:rsidRDefault="00A8138F" w:rsidP="00A8138F">
      <w:pPr>
        <w:pStyle w:val="TextoNormal"/>
      </w:pPr>
    </w:p>
    <w:p w14:paraId="1FB182EB" w14:textId="77777777" w:rsidR="00A8138F" w:rsidRDefault="00A8138F" w:rsidP="00A8138F">
      <w:pPr>
        <w:pStyle w:val="TextoNormal"/>
      </w:pPr>
      <w:r w:rsidRPr="00A8138F">
        <w:rPr>
          <w:rStyle w:val="NumeroAFNegritaCaracter"/>
        </w:rPr>
        <w:t>6</w:t>
      </w:r>
      <w:r>
        <w:t xml:space="preserve">. </w:t>
      </w:r>
      <w:r w:rsidRPr="00A8138F">
        <w:rPr>
          <w:i/>
        </w:rPr>
        <w:t>Enjuiciamiento de la impugnación dirigida contra los arts. 7 y 28 del Decreto-ley 2/2020</w:t>
      </w:r>
    </w:p>
    <w:p w14:paraId="08D7E5E9" w14:textId="77777777" w:rsidR="00A8138F" w:rsidRDefault="00A8138F" w:rsidP="00A8138F">
      <w:pPr>
        <w:pStyle w:val="TextoNormal"/>
      </w:pPr>
    </w:p>
    <w:p w14:paraId="0A72322E" w14:textId="77777777" w:rsidR="00A8138F" w:rsidRDefault="00A8138F" w:rsidP="00A8138F">
      <w:pPr>
        <w:pStyle w:val="TextoNormal"/>
      </w:pPr>
      <w:r>
        <w:t>Los recurrentes impugnan varias previsiones del Decreto-ley 2/2020 por vulneración de la reserva de ley parlamentaria y de otros límites materiales a la legislación de urgencia, contenidas en los arts. 7 y 28. A ellas daremos seguidamente respuesta.</w:t>
      </w:r>
    </w:p>
    <w:p w14:paraId="284D3485" w14:textId="77777777" w:rsidR="00A8138F" w:rsidRDefault="00A8138F" w:rsidP="00A8138F">
      <w:pPr>
        <w:pStyle w:val="TextoNormal"/>
      </w:pPr>
    </w:p>
    <w:p w14:paraId="236B926A" w14:textId="77777777" w:rsidR="00A8138F" w:rsidRDefault="00A8138F" w:rsidP="00A8138F">
      <w:pPr>
        <w:pStyle w:val="TextoNormal"/>
      </w:pPr>
      <w:r>
        <w:t xml:space="preserve">a) El art. 7 reforma la Ley 1/2004, de 17 de diciembre, de creación del Consejo Audiovisual de Andalucía, dando nueva redacción a su art. 4, que lleva por título “Funciones del Consejo Audiovisual de Andalucía”. En su nueva redacción, el art. 4 reformula los objetivos de la entidad en términos similares, aunque no idénticos (apartado 1); suprime el informe preceptivo sobre “las propuestas de pliegos de condiciones relativas a los procedimientos de adjudicación de títulos habilitantes en materia audiovisual”, así como la referencia a que </w:t>
      </w:r>
      <w:r>
        <w:lastRenderedPageBreak/>
        <w:t>los informes restantes (sobre las propuestas de resolución) tengan por objeto “garantizar el pluralismo y la libre competencia en el sector” (apartado 4) y no incluye como función específica la relativa a “solicitar de los anunciantes y empresas audiovisuales, por iniciativa propia o a instancia de los interesados, el cese o la rectificación de la publicidad ilícita o prohibida; y, cuando proceda, disponerlo, de conformidad con la legislación aplicable y en los supuestos que la misma establezca” (apartado 15). Por otro lado, se regulan funciones nuevas: “[v]elar por la promoción de la alfabetización mediática en el ámbito audiovisual con la finalidad de fomentar la adquisición de la máxima competencia mediática por parte de la ciudadanía, en el ámbito de sus competencias” (apartado 9) o “[c]ontrolar y asegurar el cumplimiento de las obligaciones de financiación de las personas prestadoras de los servicios de comunicación audiovisual establecidas en la Ley 10/2018, de 9 de octubre, Audiovisual de Andalucía” (apartado 26). Finalmente, competencias ya previstas se presentan ahora de modo más detallado o concreto (apartados 6, 13, 14, 16 a 19 y 25).</w:t>
      </w:r>
    </w:p>
    <w:p w14:paraId="5E39B274" w14:textId="77777777" w:rsidR="00A8138F" w:rsidRDefault="00A8138F" w:rsidP="00A8138F">
      <w:pPr>
        <w:pStyle w:val="TextoNormal"/>
      </w:pPr>
    </w:p>
    <w:p w14:paraId="339E1264" w14:textId="77777777" w:rsidR="00A8138F" w:rsidRDefault="00A8138F" w:rsidP="00A8138F">
      <w:pPr>
        <w:pStyle w:val="TextoNormal"/>
      </w:pPr>
      <w:r>
        <w:t>Los senadores impugnantes denuncian que la reforma de las funciones del Consejo Audiovisual de Andalucía por el art. 7 del Decreto-ley 2/2020 contradice el art. 131.3 EAAnd, que reserva a ley parlamentaria el régimen jurídico de la entidad: “Una ley del Parlamento regulará su composición, competencia y funcionamiento”. Habría afectado, además, según sostienen, a una de las “instituciones básicas” de la Junta de Andalucía (art. 108 EAAnd), rebasando así otro de los límites materiales de la legislación de urgencia (art. 110.1 EAAnd).</w:t>
      </w:r>
    </w:p>
    <w:p w14:paraId="3A15D470" w14:textId="77777777" w:rsidR="00A8138F" w:rsidRDefault="00A8138F" w:rsidP="00A8138F">
      <w:pPr>
        <w:pStyle w:val="TextoNormal"/>
      </w:pPr>
    </w:p>
    <w:p w14:paraId="4C2D6C4B" w14:textId="77777777" w:rsidR="00A8138F" w:rsidRDefault="00A8138F" w:rsidP="00A8138F">
      <w:pPr>
        <w:pStyle w:val="TextoNormal"/>
      </w:pPr>
      <w:r>
        <w:t>Cuando la Constitución o un estatuto de autonomía establece una reserva de ley, lo que hace es proscribir el reglamento o, al menos, reducir considerablemente su juego dentro de una materia. Ahora bien, el decreto-ley, en cuanto norma con rango de ley, es un instrumento idóneo para cumplir aquella reserva legal (STC 60/1986, de 20 de mayo, FJ 2). Otra cosa es que la reserva establecida sea a favor de una “ley del Parlamento”, como ocurre en el caso del art. 131.3 EAAnd. El decreto-ley quedará entonces vedado. Así lo apreciamos en relación con regulaciones fiscales que la Generalitat de Cataluña, de acuerdo con su Estatuto (art. 203.5), debía hacer “mediante una ley del Parlamento”. Así se reconoce en la STC 107/2015, FJ 2: “el legislador estatutario preserva y refuerza la posición del Parlamento catalán frente a diversas potestades normativas del Gobierno autonómico, tanto la ordinaria de carácter reglamentario (art. 68.1 EAC), como la extraordinaria de rango legal (art. 64.1 EAC). No interesa ahora detenerse a precisar qué regulaciones tributarias de carácter reglamentario son compatibles con la reserva de ley. Importa solo concluir que el art. 203.5 EAC impone un inequívoco límite material al decreto-ley catalán, traducido en la imposibilidad de crear tributos propios mediante este instrumento normativo”.</w:t>
      </w:r>
    </w:p>
    <w:p w14:paraId="71B76F23" w14:textId="77777777" w:rsidR="00A8138F" w:rsidRDefault="00A8138F" w:rsidP="00A8138F">
      <w:pPr>
        <w:pStyle w:val="TextoNormal"/>
      </w:pPr>
    </w:p>
    <w:p w14:paraId="3CDA38E2" w14:textId="77777777" w:rsidR="00A8138F" w:rsidRDefault="00A8138F" w:rsidP="00A8138F">
      <w:pPr>
        <w:pStyle w:val="TextoNormal"/>
      </w:pPr>
      <w:r>
        <w:t>Los letrados autonómicos alegan que el art. 7 del Decreto-ley 2/2020 realiza una modificación de poco alcance expresiva de una colaboración estatutariamente aceptable entre la ley y la legislación de urgencia. Sin embargo, apreciamos que la nueva formulación de los objetivos y las tareas del Consejo Audiovisual de Andalucía, aunque hecha en similares términos, es en todo caso una decisión que, por afectar evidentemente a las competencias de aquella entidad, solo puede adoptar una “ley del Parlamento”, de acuerdo con el art. 131.3 EAAnd. Debe añadirse, en cualquier caso, que el precepto impugnado no realiza cambios meramente nominales o de escasa entidad o limitado alcance, pues se elimina alguna de las tareas hasta entonces legalmente atribuidas al Consejo Audiovisual y se le confieren otras que o son nuevas o desarrollan o concretan las establecidas más genéricamente en la redacción originaria.</w:t>
      </w:r>
    </w:p>
    <w:p w14:paraId="153ADFA4" w14:textId="77777777" w:rsidR="00A8138F" w:rsidRDefault="00A8138F" w:rsidP="00A8138F">
      <w:pPr>
        <w:pStyle w:val="TextoNormal"/>
      </w:pPr>
    </w:p>
    <w:p w14:paraId="4E31D5EF" w14:textId="77777777" w:rsidR="00A8138F" w:rsidRDefault="00A8138F" w:rsidP="00A8138F">
      <w:pPr>
        <w:pStyle w:val="TextoNormal"/>
      </w:pPr>
      <w:r>
        <w:t>En fin, podría hablarse de colaboración entre distintas fuentes del Derecho, entre la ley y el reglamento, ajustándose fielmente a las prescripciones de la ley, especificando aquel cuestiones técnicas o de detalle. Por eso, dentro de ciertos límites, la regulación reglamentaria puede llegar a ser compatible con la reserva de ley, incluso en materia sancionadora (por todas, STC 145/2013, de 11 de julio, FJ 4). Ahora bien, no es apropiado hablar de colaboración para describir la relación entre la ley que establece una regulación (en este caso, la Ley 1/2004 de creación del Consejo Audiovisual de Andalucía) y el decreto-ley que, haciendo valer la identidad de rango, la modifica (en este caso, el art. 7 del Decreto-ley 2/2020). De ahí que no pueda aceptarse que mediante decreto-ley el Gobierno regule, siquiera en grado mínimo, cuestiones que el Estatuto de Autonomía ha confiado a la ley parlamentaria (art. 131.3 EAAnd).</w:t>
      </w:r>
    </w:p>
    <w:p w14:paraId="50995D1C" w14:textId="77777777" w:rsidR="00A8138F" w:rsidRDefault="00A8138F" w:rsidP="00A8138F">
      <w:pPr>
        <w:pStyle w:val="TextoNormal"/>
      </w:pPr>
    </w:p>
    <w:p w14:paraId="6F3EE17E" w14:textId="77777777" w:rsidR="00A8138F" w:rsidRDefault="00A8138F" w:rsidP="00A8138F">
      <w:pPr>
        <w:pStyle w:val="TextoNormal"/>
      </w:pPr>
      <w:r>
        <w:t>Procede, en consecuencia, declarar la inconstitucionalidad y nulidad del art. 7 del Decreto-ley 2/2020.</w:t>
      </w:r>
    </w:p>
    <w:p w14:paraId="50BA9BD5" w14:textId="77777777" w:rsidR="00A8138F" w:rsidRDefault="00A8138F" w:rsidP="00A8138F">
      <w:pPr>
        <w:pStyle w:val="TextoNormal"/>
      </w:pPr>
    </w:p>
    <w:p w14:paraId="48062F55" w14:textId="77777777" w:rsidR="00A8138F" w:rsidRDefault="00A8138F" w:rsidP="00A8138F">
      <w:pPr>
        <w:pStyle w:val="TextoNormal"/>
      </w:pPr>
      <w:r>
        <w:t>b) El art. 28 del Decreto-ley 2/2020 reforma la Ley del Parlamento de Andalucía 10/2018, de 9 de octubre, audiovisual de Andalucía, para introducir “actuaciones de simplificación y reducción de trabas administrativas” y “favorecer el avance y consolidación del sector privado de la comunicación audiovisual en Andalucía” (apartado XXVIII de la exposición de motivos). La demanda se refiere primero a los apartados que permiten la gestión indirecta del servicio público audiovisual de ámbito local (apartados 7 y 8, que dan nueva redacción a los arts. 44 y 46.1 de la Ley 10/2018). Según la misma, incidirían sobre uno de los derechos reconocidos en el Estatuto de Autonomía, desbordando con ello un límite material impuesto a la legislación de urgencia (art. 110.1 EAAnd). Se trataría del “derecho a acceder y usar las nuevas tecnologías y a participar activamente en la sociedad del conocimiento, la información y la comunicación, mediante los medios y recursos que la ley establezca” (art. 34 EAAnd), un derecho que hallaría un reconocimiento estatutario adicional como “derecho de acceso a dichos medios de las asociaciones, organizaciones e instituciones representativas de la diversidad política, social y cultural de Andalucía, respetando el pluralismo de la sociedad” (art. 211.2 EAAnd).</w:t>
      </w:r>
    </w:p>
    <w:p w14:paraId="7108E9B3" w14:textId="77777777" w:rsidR="00A8138F" w:rsidRDefault="00A8138F" w:rsidP="00A8138F">
      <w:pPr>
        <w:pStyle w:val="TextoNormal"/>
      </w:pPr>
    </w:p>
    <w:p w14:paraId="127EADB0" w14:textId="77777777" w:rsidR="00A8138F" w:rsidRDefault="00A8138F" w:rsidP="00A8138F">
      <w:pPr>
        <w:pStyle w:val="TextoNormal"/>
      </w:pPr>
      <w:r>
        <w:t>Ciertamente, alguno de los contenidos de la Ley 10/2018 puede interpretarse como desarrollo del derecho consagrado en el art. 34 EAAnd, lo que, de acuerdo con el art. 110.1 EAAnd, impediría su reforma mediante legislación de urgencia. Es el caso del título I de dicha Ley, sobre “derechos de la ciudadanía”, que incluye la “garantía de accesibilidad universal a los servicios de comunicación audiovisual (art. 6), el “derecho a recibir una comunicación audiovisual plural” (art. 7), los “derechos de las personas menores” (art. 8), los “derechos de las personas con discapacidad” (art. 9), el “derecho a la alfabetización mediática e informacional con carácter pedagógico” (art. 10), el “derecho de participación y acceso de los grupos sociales” (art. 11) y el “derecho a la información de las personas usuarias de servicios de comunicación audiovisual” (art. 13). La propia exposición de motivos vincula este específico título con el art. 34 EAAnd: “El título I está dedicado a los derechos de la ciudadanía en relación con los servicios de comunicación audiovisual […] respetando los mínimos contenidos en la ley estatal básica, mejora esos mínimos, reforzando y avanzando en el desarrollo de los derechos fundamentales a la información y a la comunicación de la ciudadanía andaluza, consagrados en el artículo 34 del Estatuto de Autonomía para Andalucía”.</w:t>
      </w:r>
    </w:p>
    <w:p w14:paraId="646083E4" w14:textId="77777777" w:rsidR="00A8138F" w:rsidRDefault="00A8138F" w:rsidP="00A8138F">
      <w:pPr>
        <w:pStyle w:val="TextoNormal"/>
      </w:pPr>
    </w:p>
    <w:p w14:paraId="07E529E3" w14:textId="77777777" w:rsidR="00A8138F" w:rsidRDefault="00A8138F" w:rsidP="00A8138F">
      <w:pPr>
        <w:pStyle w:val="TextoNormal"/>
      </w:pPr>
      <w:r>
        <w:t>Ahora bien, como es obvio y según resulta de la propia exposición de motivos de la Ley 10/2018, no todo el régimen de la comunicación audiovisual es desarrollo de aquel derecho estatutario ni, por ende, todo él debe entenderse vedado al decreto-ley. No lo es, en lo que ahora importa, la regulación de las fórmulas de gestión del servicio público de comunicación audiovisual, que es lo aquí discutido, máxime si se tiene en cuenta que el estatuto jurídico del receptor o usuario es sustancialmente el mismo con independencia del carácter público o privado de la entidad prestadora. A este respecto, hay que tener en cuenta que “afectar” derechos, a los fines del art. 110.1 EAAnd, es una “noción restringida”, que debe ser entendida de modo tal que ni reduzca a la nada el decreto-ley ni permita que la legislación de urgencia regule el régimen general de aquellos derechos (por todas, STC 93/2015, FJ 15, ya citada, proyectando doctrina consolidada relativa al art. 86.1 CE sobre el art. 110.1 EAAnd). Procede, pues, descartar que las previsiones recurridas hayan desbordado uno de los límites materiales del decreto-ley (art. 110.1 EAAnd) por regular un derecho reconocido en el Estatuto de Autonomía para Andalucía (arts. 34 y 211.2 EAAnd).</w:t>
      </w:r>
    </w:p>
    <w:p w14:paraId="626BE7E5" w14:textId="77777777" w:rsidR="00A8138F" w:rsidRDefault="00A8138F" w:rsidP="00A8138F">
      <w:pPr>
        <w:pStyle w:val="TextoNormal"/>
      </w:pPr>
    </w:p>
    <w:p w14:paraId="47CCE070" w14:textId="77777777" w:rsidR="00A8138F" w:rsidRDefault="00A8138F" w:rsidP="00A8138F">
      <w:pPr>
        <w:pStyle w:val="TextoNormal"/>
      </w:pPr>
      <w:r>
        <w:t>Por tanto, debe desestimarse la impugnación del art. 28, apartados 7 y 8, del Decreto-ley 2/2020.</w:t>
      </w:r>
    </w:p>
    <w:p w14:paraId="1A0A9F4A" w14:textId="77777777" w:rsidR="00A8138F" w:rsidRDefault="00A8138F" w:rsidP="00A8138F">
      <w:pPr>
        <w:pStyle w:val="TextoNormal"/>
      </w:pPr>
    </w:p>
    <w:p w14:paraId="1704C7C4" w14:textId="77777777" w:rsidR="00A8138F" w:rsidRDefault="00A8138F" w:rsidP="00A8138F">
      <w:pPr>
        <w:pStyle w:val="TextoNormal"/>
      </w:pPr>
      <w:r>
        <w:t>c) La demanda impugna también la previsión del art. 28 del Decreto-ley 2/2020 que suprime la prohibición expresa de inclusión o difusión de comunicación comercial en emisiones de personas que prestan servicios audiovisuales sin título habilitante (apartado 6, que elimina el art. 40 de la Ley 10/2018), así como las modificaciones conexas (apartados 11 a 15). Desbordarían la reserva de ley parlamentaria establecida en el art. 209 EAAnd: “Una ley del Parlamento de Andalucía regulará la publicidad institucional en sus diversas formas”.</w:t>
      </w:r>
    </w:p>
    <w:p w14:paraId="4A3CB417" w14:textId="77777777" w:rsidR="00A8138F" w:rsidRDefault="00A8138F" w:rsidP="00A8138F">
      <w:pPr>
        <w:pStyle w:val="TextoNormal"/>
      </w:pPr>
    </w:p>
    <w:p w14:paraId="276B86D3" w14:textId="77777777" w:rsidR="00A8138F" w:rsidRDefault="00A8138F" w:rsidP="00A8138F">
      <w:pPr>
        <w:pStyle w:val="TextoNormal"/>
      </w:pPr>
      <w:r>
        <w:t>La invocación del art. 209 EAAnd es claramente inadecuada, tal como señala el letrado del Parlamento de Andalucía. El precepto impugnado aborda una cuestión muy específica de la comunicación comercial, sin establecer nada parecido a un régimen general de publicidad institucional, entendida como “comunicación pública que pone en relación a los poderes públicos con los ciudadanos a través de los medios de comunicación social” (STC 104/2014, de 23 de junio, FJ 3). Puesto que el precepto impugnado no se refiere en realidad a la publicidad institucional, el Gobierno andaluz no ha invadido, por tanto, la reserva de ley parlamentaria establecida en aquel precepto estatutario.</w:t>
      </w:r>
    </w:p>
    <w:p w14:paraId="62D3688E" w14:textId="77777777" w:rsidR="00A8138F" w:rsidRDefault="00A8138F" w:rsidP="00A8138F">
      <w:pPr>
        <w:pStyle w:val="TextoNormal"/>
      </w:pPr>
    </w:p>
    <w:p w14:paraId="766F9A16" w14:textId="635F0BD1" w:rsidR="00A8138F" w:rsidRDefault="00A8138F" w:rsidP="00A8138F">
      <w:pPr>
        <w:pStyle w:val="TextoNormal"/>
      </w:pPr>
      <w:r>
        <w:t>En consecuencia, procede desestimar la impugnación del art. 28, apartado 6 y conexos, del Decreto-ley 2/2020.</w:t>
      </w:r>
    </w:p>
    <w:p w14:paraId="6F422845" w14:textId="77777777" w:rsidR="00A8138F" w:rsidRDefault="00A8138F" w:rsidP="00A8138F">
      <w:pPr>
        <w:pStyle w:val="TextoNormal"/>
      </w:pPr>
    </w:p>
    <w:p w14:paraId="3BDC54D4" w14:textId="77777777" w:rsidR="00A8138F" w:rsidRDefault="00A8138F" w:rsidP="00A8138F">
      <w:pPr>
        <w:pStyle w:val="TextoNormalCentrado"/>
        <w:keepNext/>
      </w:pPr>
      <w:r>
        <w:t>FALLO</w:t>
      </w:r>
    </w:p>
    <w:p w14:paraId="6F3DE221" w14:textId="3418F0D8" w:rsidR="00A8138F" w:rsidRDefault="00A8138F" w:rsidP="00A8138F">
      <w:pPr>
        <w:pStyle w:val="TextoNormalCentrado"/>
        <w:keepNext/>
      </w:pPr>
    </w:p>
    <w:p w14:paraId="59C97CE1" w14:textId="77777777" w:rsidR="00A8138F" w:rsidRDefault="00A8138F" w:rsidP="00A8138F">
      <w:pPr>
        <w:pStyle w:val="TextoNormal"/>
      </w:pPr>
      <w:r>
        <w:t>En atención a todo lo expuesto, el Tribunal Constitucional, por la autoridad que le confiere la Constitución de la Nación española, ha decidido estimar parcialmente el recurso de inconstitucionalidad promovido por más de cincuenta senadores del Grupo Parlamentario Socialista contra el Decreto-ley del Consejo de Gobierno de la Junta de Andalucía 2/2020, de 9 de marzo, de mejora y simplificación de la regulación para el fomento de la actividad productiva de Andalucía y, en consecuencia:</w:t>
      </w:r>
    </w:p>
    <w:p w14:paraId="29157FA5" w14:textId="77777777" w:rsidR="00A8138F" w:rsidRDefault="00A8138F" w:rsidP="00A8138F">
      <w:pPr>
        <w:pStyle w:val="TextoNormal"/>
      </w:pPr>
    </w:p>
    <w:p w14:paraId="0BBCB59F" w14:textId="77777777" w:rsidR="00A8138F" w:rsidRDefault="00A8138F" w:rsidP="00A8138F">
      <w:pPr>
        <w:pStyle w:val="TextoNormal"/>
      </w:pPr>
      <w:r>
        <w:lastRenderedPageBreak/>
        <w:t>1º Declarar la pérdida de objeto de la impugnación de carácter competencial del art. 13 del Decreto-ley 2/2020, de 9 de marzo, de mejora y simplificación de la regulación para el fomento de la actividad productiva de Andalucía.</w:t>
      </w:r>
    </w:p>
    <w:p w14:paraId="77DC9612" w14:textId="77777777" w:rsidR="00A8138F" w:rsidRDefault="00A8138F" w:rsidP="00A8138F">
      <w:pPr>
        <w:pStyle w:val="TextoNormal"/>
      </w:pPr>
    </w:p>
    <w:p w14:paraId="40052D82" w14:textId="77777777" w:rsidR="00A8138F" w:rsidRDefault="00A8138F" w:rsidP="00A8138F">
      <w:pPr>
        <w:pStyle w:val="TextoNormal"/>
      </w:pPr>
      <w:r>
        <w:t>2º Declarar inconstitucionales y nulos los arts. 7, 22, 23 y 25 del Decreto-ley 2/2020, de 9 de marzo, de mejora y simplificación de la regulación para el fomento de la actividad productiva de Andalucía.</w:t>
      </w:r>
    </w:p>
    <w:p w14:paraId="6D75FFAC" w14:textId="77777777" w:rsidR="00A8138F" w:rsidRDefault="00A8138F" w:rsidP="00A8138F">
      <w:pPr>
        <w:pStyle w:val="TextoNormal"/>
      </w:pPr>
    </w:p>
    <w:p w14:paraId="0B428442" w14:textId="62DE4C2A" w:rsidR="00A8138F" w:rsidRDefault="00A8138F" w:rsidP="00A8138F">
      <w:pPr>
        <w:pStyle w:val="TextoNormal"/>
      </w:pPr>
      <w:r>
        <w:t>3º Desestimar el recurso de inconstitucionalidad en todo lo demás.</w:t>
      </w:r>
    </w:p>
    <w:p w14:paraId="3C705F03" w14:textId="77777777" w:rsidR="00A8138F" w:rsidRDefault="00A8138F" w:rsidP="00A8138F">
      <w:pPr>
        <w:pStyle w:val="TextoNormal"/>
      </w:pPr>
    </w:p>
    <w:p w14:paraId="0C50E07D" w14:textId="77777777" w:rsidR="00A8138F" w:rsidRDefault="00A8138F" w:rsidP="00A8138F">
      <w:pPr>
        <w:pStyle w:val="TextoNormal"/>
      </w:pPr>
      <w:r>
        <w:t>Publíquese esta sentencia en el “Boletín Oficial del Estado”.</w:t>
      </w:r>
    </w:p>
    <w:p w14:paraId="1F5DBCB1" w14:textId="77777777" w:rsidR="00A8138F" w:rsidRDefault="00A8138F" w:rsidP="00A8138F">
      <w:pPr>
        <w:pStyle w:val="TextoNormal"/>
      </w:pPr>
      <w:r>
        <w:t>Dada en Madrid, a once de febrero de dos mil veinticinco.</w:t>
      </w:r>
    </w:p>
    <w:p w14:paraId="322F4034" w14:textId="15C0C54C" w:rsidR="00A8138F" w:rsidRDefault="00A8138F" w:rsidP="00A8138F">
      <w:pPr>
        <w:pStyle w:val="ParrafoNormal"/>
      </w:pPr>
    </w:p>
    <w:p w14:paraId="6742BCDE" w14:textId="77777777" w:rsidR="00A8138F" w:rsidRDefault="00A8138F" w:rsidP="00A8138F">
      <w:pPr>
        <w:pStyle w:val="TextoNormalNegritaCentrado"/>
        <w:keepNext/>
      </w:pPr>
      <w:r>
        <w:t>Voto particular que formulan la magistrada doña María Luisa Balaguer Callejón y el magistrado don Ramón Sáez Valcárcel a la sentencia dictada en el recurso de inconstitucionalidad núm. 3887-2020</w:t>
      </w:r>
    </w:p>
    <w:p w14:paraId="26F2BD22" w14:textId="494E98A5" w:rsidR="00A8138F" w:rsidRDefault="00A8138F" w:rsidP="00A8138F">
      <w:pPr>
        <w:pStyle w:val="TextoNormalNegritaCentrado"/>
        <w:keepNext/>
      </w:pPr>
    </w:p>
    <w:p w14:paraId="056A8152" w14:textId="77777777" w:rsidR="00A8138F" w:rsidRDefault="00A8138F" w:rsidP="00A8138F">
      <w:pPr>
        <w:pStyle w:val="TextoNormal"/>
      </w:pPr>
      <w:r>
        <w:t>Con el mayor respeto al criterio reflejado en la sentencia a que se refiere el encabezamiento, formulamos este voto particular en ejercicio de la facultad prevista en el art. 90.2 LOTC, para dejar constancia de nuestra discrepancia con el fallo y con la argumentación de la decisión adoptada por la mayoría del Tribunal.</w:t>
      </w:r>
    </w:p>
    <w:p w14:paraId="4ADCE5A2" w14:textId="77777777" w:rsidR="00A8138F" w:rsidRDefault="00A8138F" w:rsidP="00A8138F">
      <w:pPr>
        <w:pStyle w:val="TextoNormal"/>
      </w:pPr>
    </w:p>
    <w:p w14:paraId="59F31237" w14:textId="77777777" w:rsidR="00A8138F" w:rsidRDefault="00A8138F" w:rsidP="00A8138F">
      <w:pPr>
        <w:pStyle w:val="TextoNormal"/>
      </w:pPr>
      <w:r>
        <w:t>El punto esencial de nuestra discrepancia radica en el juicio positivo de constitucionalidad que formula la sentencia respecto de la convalidación, por parte de la Diputación Permanente del Parlamento de Andalucía, del Decreto-ley del Consejo de Gobierno de la Junta de Andalucía 2/2020, de 9 de marzo, de mejora y simplificación de la regulación para el fomento de la actividad productiva de Andalucía. A nuestro parecer debió ser estimada la queja que imputaba un vicio de inconstitucionalidad derivado de la lesión del art. 23.2 CE al acuerdo de convalidación del decreto-ley, por haber sido adoptado por un órgano incompetente. De esta estimación debió derivarse, a su vez, un fallo declarando la inconstitucionalidad del acuerdo y de la totalidad del Decreto-ley y, en consecuencia, su expulsión del ordenamiento jurídico, en la medida que sigue desplegando efectos a fecha de hoy, habiendo pervivido como decreto-ley al decidir, la misma diputación permanente y en la misma fecha, no tramitarlo sucesivamente como ley.</w:t>
      </w:r>
    </w:p>
    <w:p w14:paraId="19A16D15" w14:textId="77777777" w:rsidR="00A8138F" w:rsidRDefault="00A8138F" w:rsidP="00A8138F">
      <w:pPr>
        <w:pStyle w:val="TextoNormal"/>
      </w:pPr>
    </w:p>
    <w:p w14:paraId="6B5B0D55" w14:textId="77777777" w:rsidR="00A8138F" w:rsidRDefault="00A8138F" w:rsidP="00A8138F">
      <w:pPr>
        <w:pStyle w:val="TextoNormal"/>
      </w:pPr>
      <w:r>
        <w:t>En relación con este motivo de inconstitucionalidad, que centrará la atención del presente voto, el eje argumental de la sentencia se sitúa en la definición de las competencias de la diputación permanente como órgano integrante de las asambleas parlamentarias y, muy concretamente, del sistema institucional andaluz, y en la conformidad a Derecho de la habilitación, por vía de resolución presidencial, para la convocatoria de la Diputación Permanente del Parlamento de Andalucía durante la vigencia del estado de alarma.</w:t>
      </w:r>
    </w:p>
    <w:p w14:paraId="7A1B0621" w14:textId="77777777" w:rsidR="00A8138F" w:rsidRDefault="00A8138F" w:rsidP="00A8138F">
      <w:pPr>
        <w:pStyle w:val="TextoNormal"/>
      </w:pPr>
    </w:p>
    <w:p w14:paraId="06F40278" w14:textId="77777777" w:rsidR="00A8138F" w:rsidRDefault="00A8138F" w:rsidP="00A8138F">
      <w:pPr>
        <w:pStyle w:val="TextoNormal"/>
      </w:pPr>
      <w:r>
        <w:t>Pero, a nuestro juicio, el problema constitucional que resuelve la sentencia debe ser explicado más allá de los límites del derecho de organización interna de las cámaras legislativas y de sus órganos de gestión y gobierno en el marco de una situación de crisis sanitaria.</w:t>
      </w:r>
    </w:p>
    <w:p w14:paraId="1A925C7C" w14:textId="77777777" w:rsidR="00A8138F" w:rsidRDefault="00A8138F" w:rsidP="00A8138F">
      <w:pPr>
        <w:pStyle w:val="TextoNormal"/>
      </w:pPr>
    </w:p>
    <w:p w14:paraId="363F7DE1" w14:textId="77777777" w:rsidR="00A8138F" w:rsidRDefault="00A8138F" w:rsidP="00A8138F">
      <w:pPr>
        <w:pStyle w:val="TextoNormal"/>
      </w:pPr>
      <w:r>
        <w:lastRenderedPageBreak/>
        <w:t>Estamos también ante un problema de comprensión del sistema de fuentes, por lo que la sentencia debería haberse planteado en términos de suficiencia de las decisiones de la Presidencia para modificar el Reglamento de la Cámara y en términos de interpretación restrictiva del decreto-ley autonómico, norma esta que, siendo una fuente normativa con rango legal, no está prevista por la Constitución, siendo las modificaciones de los estatutos de autonomía posteriores a 2006 las que han atribuido la facultad de legislación de urgencia a los respectivos consejos de gobierno (en este sentido se pronuncia la STC 93/2015, de 14 de mayo, relativa, precisamente, a los decretos-leyes autonómicos andaluces).</w:t>
      </w:r>
    </w:p>
    <w:p w14:paraId="2034203D" w14:textId="77777777" w:rsidR="00A8138F" w:rsidRDefault="00A8138F" w:rsidP="00A8138F">
      <w:pPr>
        <w:pStyle w:val="TextoNormal"/>
      </w:pPr>
    </w:p>
    <w:p w14:paraId="30DD6294" w14:textId="77777777" w:rsidR="00A8138F" w:rsidRDefault="00A8138F" w:rsidP="00A8138F">
      <w:pPr>
        <w:pStyle w:val="TextoNormal"/>
      </w:pPr>
      <w:r>
        <w:t>El estatuto de autonomía es la norma institucional básica de la comunidad autónoma, y a ella le correspondería la definición del sistema de fuentes autonómico, la organización institucional, las funciones del Parlamento y los órganos que lo integran y la definición de las relaciones entre Legislativo y Ejecutivo. Por tanto, sería propio al Estatuto de Autonomía para Andalucía definir las funciones de la Diputación Permanente del Parlamento y establecer el procedimiento de aprobación y control sucesivo de los decretos-leyes.</w:t>
      </w:r>
    </w:p>
    <w:p w14:paraId="15393E52" w14:textId="77777777" w:rsidR="00A8138F" w:rsidRDefault="00A8138F" w:rsidP="00A8138F">
      <w:pPr>
        <w:pStyle w:val="TextoNormal"/>
      </w:pPr>
    </w:p>
    <w:p w14:paraId="174E5666" w14:textId="77777777" w:rsidR="00A8138F" w:rsidRDefault="00A8138F" w:rsidP="00A8138F">
      <w:pPr>
        <w:pStyle w:val="TextoNormal"/>
      </w:pPr>
      <w:r>
        <w:t>La jurisprudencia constitucional reconoce un amplio margen al legislador estatutario a este respecto, pero aclara que tal regulación debe tener presente el “fundamento del principio democrático, que es la participación de los ciudadanos a través de sus representantes electos en la elaboración de las normas primarias”, principio que no exige que el decreto-ley se conciba como una excepción, pero que “sí sufriría, en cambio, si la intervención de los órganos de gobierno en la función legislativa no se sujetase a estrictos límites” (STC 93/2015, de 14 de mayo, FJ 5). Dentro de esos límites, la misma sentencia 93/2015 incluye la exigencia de que concurra el mismo presupuesto habilitante previsto en el art. 86.1 CE, la exclusión de las materias a las que se refiere el mismo precepto constitucional y, por lo que ahora nos interesa: “que se disponga un control parlamentario posterior a fin de que el órgano legislativo conserve una influencia decisiva sobre los contenidos normativos que se integran definitivamente en el ordenamiento jurídico. En este sentido, el ATC 104/2011, de 5 de julio, precisó que ‘el parámetro de control inmediato del decreto-ley andaluz ha de encontrarse en el art. 110 del EAAnd y no en el art. 86.1 CE, sin perjuicio de que el ejercicio de la competencia autonómica se encuentre también sometido a los límites materiales que impone dicho precepto constitucional, y, entre ellos, el de no poder afectar a los derechos, deberes y libertades de los ciudadanos regulados en el título I de la Constitución’” (STC 93/2015, de 14 de mayo, FJ 5). El voto particular del magistrado don Juan Carlos Campo Moreno se detiene en la cuestión específica del respeto al principio democrático por parte de los decretos-leyes autonómicos y en la proyección de esta exigencia, y a sus consideraciones nos remitimos en bloque.</w:t>
      </w:r>
    </w:p>
    <w:p w14:paraId="6BE094F7" w14:textId="77777777" w:rsidR="00A8138F" w:rsidRDefault="00A8138F" w:rsidP="00A8138F">
      <w:pPr>
        <w:pStyle w:val="TextoNormal"/>
      </w:pPr>
    </w:p>
    <w:p w14:paraId="20B94366" w14:textId="77777777" w:rsidR="00A8138F" w:rsidRDefault="00A8138F" w:rsidP="00A8138F">
      <w:pPr>
        <w:pStyle w:val="TextoNormal"/>
      </w:pPr>
      <w:r>
        <w:t xml:space="preserve">La cuestión es que el Estatuto de Autonomía para Andalucía no regula de forma exhaustiva ni las funciones de la Diputación Permanente, ni el procedimiento de convalidación parlamentaria del decreto-ley. El art. 110 EAAnd, tal y como resulta de la aprobación de la Ley Orgánica 2/2007, de 19 de marzo, establece en su apartado segundo que “[l]os decretos-leyes quedarán derogados si en el plazo improrrogable de treinta días subsiguientes a su promulgación no son convalidados expresamente por el Parlamento tras un debate y votación de totalidad. Durante el plazo establecido en este apartado el Parlamento podrá acordar la tramitación de los decretos-leyes como proyectos de ley por el procedimiento de urgencia”. Este precepto se refiere a la convalidación “por el Parlamento”, pero no define si reserva al Pleno de la Cámara tal competencia, aunque sí es cierto que no la prevé como </w:t>
      </w:r>
      <w:r>
        <w:lastRenderedPageBreak/>
        <w:t>función específica de la Diputación Permanente porque, en realidad, el art. 103 EAAnd no atribuye función alguna a la Diputación, derivándose la regulación de su composición y funciones al Reglamento del Parlamento. Estamos, por lo tanto, ante una materia explícitamente reservada por el Estatuto de Autonomía al Reglamento de la Asamblea.</w:t>
      </w:r>
    </w:p>
    <w:p w14:paraId="122D1F3D" w14:textId="77777777" w:rsidR="00A8138F" w:rsidRDefault="00A8138F" w:rsidP="00A8138F">
      <w:pPr>
        <w:pStyle w:val="TextoNormal"/>
      </w:pPr>
    </w:p>
    <w:p w14:paraId="4AF0E946" w14:textId="77777777" w:rsidR="00A8138F" w:rsidRDefault="00A8138F" w:rsidP="00A8138F">
      <w:pPr>
        <w:pStyle w:val="TextoNormal"/>
      </w:pPr>
      <w:r>
        <w:t xml:space="preserve">El nuevo Reglamento del Parlamento de Andalucía, que sería aprobado en sesión plenaria celebrada los días 21 y 22 de noviembre de 2007, establece en su art. 58 que la Diputación Permanente “velará por los poderes de la Cámara” cuando “el Parlamento no esté reunido por vacaciones parlamentarias, cuando haya sido disuelto o haya expirado el mandato parlamentario y hasta tanto se constituya el nuevo Parlamento”. Por tanto, resulta claro que del art. 58 del Reglamento del Parlamento únicamente se refiere a la función de la Diputación Permanente de “velar por los poderes de la Cámara” y que tal actuación únicamente se predica respecto de dos periodos temporales concretos: las vacaciones parlamentarias (meses de enero y agosto </w:t>
      </w:r>
      <w:r w:rsidRPr="00A8138F">
        <w:rPr>
          <w:i/>
        </w:rPr>
        <w:t>ex</w:t>
      </w:r>
      <w:r>
        <w:t xml:space="preserve"> art. 67.2 del propio Reglamento) y los periodos entre legislaturas, de modo que la Diputación Permanente no tiene facultades de actuación en el marco de los períodos ordinarios de sesiones y, además, cuando esos períodos se reactivan, la Diputación habrá de dar cuenta al Pleno de la Cámara, en la primera sesión ordinaria, de los asuntos que hubiera tratado y de las decisiones adoptadas (art. 59 del Reglamento).</w:t>
      </w:r>
    </w:p>
    <w:p w14:paraId="761A588B" w14:textId="77777777" w:rsidR="00A8138F" w:rsidRDefault="00A8138F" w:rsidP="00A8138F">
      <w:pPr>
        <w:pStyle w:val="TextoNormal"/>
      </w:pPr>
    </w:p>
    <w:p w14:paraId="1D297040" w14:textId="77777777" w:rsidR="00A8138F" w:rsidRDefault="00A8138F" w:rsidP="00A8138F">
      <w:pPr>
        <w:pStyle w:val="TextoNormal"/>
      </w:pPr>
      <w:r>
        <w:t>Ahora bien, a pesar de la delegación expresa del Estatuto de Autonomía, que debe ser entendida como una reserva de reglamento parlamentario, este no dice nada sobre las funciones de la Diputación Permanente en materia de convalidación de decretos-leyes, ni sobre el procedimiento específico de convalidación de estos.</w:t>
      </w:r>
    </w:p>
    <w:p w14:paraId="52AF529D" w14:textId="77777777" w:rsidR="00A8138F" w:rsidRDefault="00A8138F" w:rsidP="00A8138F">
      <w:pPr>
        <w:pStyle w:val="TextoNormal"/>
      </w:pPr>
    </w:p>
    <w:p w14:paraId="1B7FAD87" w14:textId="77777777" w:rsidR="00A8138F" w:rsidRDefault="00A8138F" w:rsidP="00A8138F">
      <w:pPr>
        <w:pStyle w:val="TextoNormal"/>
      </w:pPr>
      <w:r>
        <w:t>Este vacío normativo devino en la aprobación de la resolución de la Presidencia del Parlamento de Andalucía, de 5 de junio de 2008, sobre control por el Parlamento de los decretos-leyes dictados por el Consejo de Gobierno. Esta norma se adveró como particularmente necesaria, desde el punto de vista práctico, a partir del momento en que el 3 de junio de 2008 había sido aprobado el primer decreto-ley que desarrollaba las nuevas previsiones estatutarias (Decreto-ley 1/2008, de 3 de junio, de medidas tributarias y financieras de impulso a la actividad económica de Andalucía). Pero, sin embargo, alteró claramente el sistema de fuentes parlamentarias. Un desarrollo estatutario que debió ser afrontado por el Reglamento de la Cámara no lo fue, y, por esa razón, el régimen de la Diputación Permanente del Parlamento de Andalucía en relación con la convalidación de los decretos-leyes autonómicos viene determinado por la resolución de 2008 de la Presidencia del Parlamento de Andalucía, que a su vez resulta modificado por la resolución de 18 de marzo de 2020. Ello marca el origen del problema al que se enfrenta el Tribunal al tiempo de resolver el presente recurso de inconstitucionalidad y supone, a nuestro entender, una alteración constitucionalmente relevante del sistema de fuentes del Derecho parlamentario en tanto que, conforme a lo antes expuesto, la atribución de funciones a la Diputación Permanente es materia estatutariamente reservada (art. 103 EAAnd) al Reglamento de la Cámara. La resolución de la Presidencia de 5 de junio de 2008 no formaba ni podía formar parte del objeto de enjuiciamiento de este tribunal al hilo del presente recurso de inconstitucionalidad —como tampoco lo hacían el acuerdo de la mesa y la resolución de la Presidencia de marzo de 2020, a los que después se aludirá—, pero ello no es óbice para que la sentencia de la que discrepamos se pronunciase sobre la validez del acuerdo de convalidación impugnado, en tanto que los recurrentes habían denunciado su inconstitucionalidad precisamente por motivos de incompetencia del órgano convalidante.</w:t>
      </w:r>
    </w:p>
    <w:p w14:paraId="4ABE58CF" w14:textId="77777777" w:rsidR="00A8138F" w:rsidRDefault="00A8138F" w:rsidP="00A8138F">
      <w:pPr>
        <w:pStyle w:val="TextoNormal"/>
      </w:pPr>
    </w:p>
    <w:p w14:paraId="2B14F483" w14:textId="77777777" w:rsidR="00A8138F" w:rsidRDefault="00A8138F" w:rsidP="00A8138F">
      <w:pPr>
        <w:pStyle w:val="TextoNormal"/>
      </w:pPr>
      <w:r>
        <w:t>Dejando a un lado esta primera —y fundamental— cuestión, la sentencia de la que discrepamos se centra en la determinación de los supuestos en los que procede la actuación de la Diputación Permanente, partiendo del dato de que el art. 58 del Reglamento del Parlamento se refiere únicamente a las siguientes situaciones: “Cuando el Parlamento no esté reunido por vacaciones parlamentarias, cuando haya sido disuelto o haya expirado el mandato parlamentario y hasta tanto se constituya el nuevo Parlamento”. Lo que sostiene la sentencia es que el acuerdo de la mesa del Parlamento de Andalucía de 16 de marzo de 2020, sobre las medidas adoptadas durante la vigencia del estado de alarma ocasionado por el covid-19, adoptado en una reunión telemática en la que se invitó a los portavoces de los grupos parlamentarios, y la posterior resolución de la Presidencia del Parlamento de Andalucía de 18 de marzo de 2020, sobre habilitación de la convocatoria de la Diputación Permanente en una situación de declaración de estado de alarma, son fuentes habilitadas, teniendo en cuenta la situación sanitaria provocada por el covid-19 y la declaración del estado de alarma, para completar la referida previsión del Reglamento del Parlamento de Andalucía añadiendo un nuevo supuesto de funcionamiento de la Cámara a través de la Diputación Permanente. Y todo ello sin hacer mención expresa de esta alteración del sistema de fuentes parlamentarias, introduciendo una inseguridad jurídica notable y menoscabando los derechos asociados al ejercicio del cargo parlamentario de todos los diputados y diputadas no integrados en la Diputación Permanente. Sobre el valor individual del voto de todos los diputados y diputadas electos y su anclaje evidente en el principio democrático también reflexiona el voto particular del magistrado don Juan Carlos Campo Moreno al que, de nuevo, y en este punto concreto, hacemos remisión expresa.</w:t>
      </w:r>
    </w:p>
    <w:p w14:paraId="1E1FE384" w14:textId="77777777" w:rsidR="00A8138F" w:rsidRDefault="00A8138F" w:rsidP="00A8138F">
      <w:pPr>
        <w:pStyle w:val="TextoNormal"/>
      </w:pPr>
    </w:p>
    <w:p w14:paraId="0309D610" w14:textId="77777777" w:rsidR="00A8138F" w:rsidRDefault="00A8138F" w:rsidP="00A8138F">
      <w:pPr>
        <w:pStyle w:val="TextoNormal"/>
      </w:pPr>
      <w:r>
        <w:t>El acuerdo de la mesa del Parlamento de Andalucía de 16 de marzo de 2020 suspendió las sesiones previstas durante el tiempo que durase el estado de alarma y suspendió los plazos de tramitación de las leyes en curso y de toda iniciativa parlamentaria. Por otro lado, y a efectos de continuar con la labor parlamentaria indispensable, el acuerdo convoca a la Diputación Permanente, reiterándose dicha convocatoria en la resolución de la Presidencia de 18 de marzo de 2020, y ello de conformidad —según el acuerdo y la resolución— con lo dispuesto en el artículo 57.3 del Reglamento de la Cámara. Entiende la Presidencia que, siendo las vacaciones parlamentarias y la disolución de las Cámaras o agotamiento del mandato “las situaciones en que el Reglamento prevé la existencia de Diputación Permanente y teniendo en cuenta las excepcionales circunstancias que concurren actualmente, por la declaración del estado de alarma y por la crisis sanitaria generada por el covid-19, se considera necesario contemplar la excepcional situación de declaración del estado de alarma como una circunstancia incardinable en los supuestos del artículo 58 del Reglamento de la Cámara, con el objeto de poder convocar la Diputación Permanente para continuar con la labor parlamentaria indispensable”. Por tanto, resulta clara la intención de modificar el Reglamento de la Cámara para que la Diputación Permanente pueda “sustanciar asuntos de su estricta competencia, que no podrían tramitarse de otro modo tras la suspensión de las sesiones parlamentarias”, funciones entre las que habría que entender implícitamente incluida, porque en ningún caso se hace mención expresa de la misma, la facultad de convalidar decretos-leyes y de decidir sobre su subsiguiente tramitación como proyecto de ley.</w:t>
      </w:r>
    </w:p>
    <w:p w14:paraId="7AB3BE11" w14:textId="77777777" w:rsidR="00A8138F" w:rsidRDefault="00A8138F" w:rsidP="00A8138F">
      <w:pPr>
        <w:pStyle w:val="TextoNormal"/>
      </w:pPr>
    </w:p>
    <w:p w14:paraId="43A2B1A0" w14:textId="77777777" w:rsidR="00A8138F" w:rsidRDefault="00A8138F" w:rsidP="00A8138F">
      <w:pPr>
        <w:pStyle w:val="TextoNormal"/>
      </w:pPr>
      <w:r>
        <w:t>A nuestro juicio, esta interpretación —al igual que la propia atribución de la competencia para convalidar decretos-leyes mediante resolución presidencial— resulta constitucionalmente insostenible si tenemos en cuenta nuestra doctrina previa sobre el alcance de las re</w:t>
      </w:r>
      <w:r>
        <w:lastRenderedPageBreak/>
        <w:t>soluciones de las presidencias de las Cámaras. El art. 29.2. del Reglamento del Parlamento de Andalucía atribuye a quien ocupe la Presidencia del Parlamento la función de “[c]umplir y hacer cumplir el Reglamento, interpretándolo en los casos de duda y supliéndolo en los de omisión. Cuando en el ejercicio de esta función supletoria se propusiera dictar una resolución de carácter general, deberá mediar el parecer favorable de la mesa y de la junta de portavoces”. En este caso, la resolución de la Presidencia de 18 de marzo de 2020 no interpreta el Reglamento en caso de duda, ni suple una omisión. Sencillamente modifica los límites temporales reglamentariamente previstos para la actuación de la Diputación Permanente, lo que, aparte de vulnerar la reserva establecida en el art. 103 EAAnd, excede con mucho del alcance de esas resoluciones entendidas como fuentes del Derecho parlamentario.</w:t>
      </w:r>
    </w:p>
    <w:p w14:paraId="33ADA828" w14:textId="77777777" w:rsidR="00A8138F" w:rsidRDefault="00A8138F" w:rsidP="00A8138F">
      <w:pPr>
        <w:pStyle w:val="TextoNormal"/>
      </w:pPr>
    </w:p>
    <w:p w14:paraId="55104459" w14:textId="77777777" w:rsidR="00A8138F" w:rsidRDefault="00A8138F" w:rsidP="00A8138F">
      <w:pPr>
        <w:pStyle w:val="TextoNormal"/>
      </w:pPr>
      <w:r>
        <w:t xml:space="preserve">Nuestra jurisprudencia previa sobre el sistema de fuentes parlamentario tampoco deja mucho margen para la duda. Las normas intraparlamentarias “dictadas por los órganos competentes de la Cámara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(STC 44/1995, de 13 de febrero, FJ 3). Y continúa dicha sentencia: “cuando el art. 23.2 de la Constitución reconoce a los representantes políticos el derecho de acceder y permanecer en su cargo en condiciones de igualdad ‘con arreglo a lo dispuesto en las leyes’, ese derecho a un ejercicio igual de sus funciones dentro de la legalidad parlamentaria no puede desvincularse de la reserva constitucional o estatutaria de Reglamento”, por lo que “aquellas disposiciones parlamentarias que, dictadas </w:t>
      </w:r>
      <w:r w:rsidRPr="00A8138F">
        <w:rPr>
          <w:i/>
        </w:rPr>
        <w:t>ultra vires</w:t>
      </w:r>
      <w:r>
        <w:t>, lejos de suplir o interpretar el Reglamento, manifiestamente innoven o contradigan sus contenidos, implican no solo una quiebra de la apuntada reserva reglamentaria, sino también una vulneración del citado derecho fundamental”. Este, y no otro, es el argumento al que debiera haber atendido la mayoría del Pleno para considerar inconstitucional la convalidación del Decreto-ley por concurrencia de un vicio de forma invalidante en la formación de la voluntad del órgano que realizó la convalidación y que no tenía facultades para ello.</w:t>
      </w:r>
    </w:p>
    <w:p w14:paraId="5D5A2D0B" w14:textId="77777777" w:rsidR="00A8138F" w:rsidRDefault="00A8138F" w:rsidP="00A8138F">
      <w:pPr>
        <w:pStyle w:val="TextoNormal"/>
      </w:pPr>
    </w:p>
    <w:p w14:paraId="646BFEBB" w14:textId="77777777" w:rsidR="00A8138F" w:rsidRDefault="00A8138F" w:rsidP="00A8138F">
      <w:pPr>
        <w:pStyle w:val="TextoNormal"/>
      </w:pPr>
      <w:r>
        <w:t xml:space="preserve">La reforma del Reglamento era el mecanismo idóneo para realizar la previsión contenida en la resolución de la Presidencia, y no habiéndola acometido, al optarse por la suspensión de la actividad parlamentaria y de los plazos de tramitación (opción, por lo demás, declarada inconstitucional cuando la utilizó el Congreso de los Diputados por la STC 168/2021, de 5 de octubre), el Parlamento de Andalucía se vio abocado a una solución incompatible con su propio ordenamiento jurídico, en particular con su Reglamento parlamentario que completa, en lo que hace al funcionamiento de la asamblea, el Estatuto de Autonomía. Se produjo, por tanto, una reforma encubierta del Reglamento que derivó en una convalidación inconstitucional, por carecer de soporte normativo idóneo, del Decreto-ley 2/2020, de 9 de marzo, y de los otros siete que fueron convalidados del mismo modo durante el período de vigencia de la resolución de la Presidencia de 18 de marzo de 2020, que alcanzó hasta el 29 de abril de 2020, momento en que, por una nueva resolución, se deja sin efecto la anterior, recuperándose progresivamente la actividad parlamentaria. En la misma fecha, conviene recordarlo también, aún vigente la declaración del estado de alarma, se publicaría la proposición de reforma del Reglamento del Parlamento de Andalucía, con adición del artículo 90 </w:t>
      </w:r>
      <w:r w:rsidRPr="00A8138F">
        <w:rPr>
          <w:i/>
        </w:rPr>
        <w:t>bis</w:t>
      </w:r>
      <w:r>
        <w:t>, sobre el voto delegado de los parlamentarios autonómicos. Esta sucesión de acontecimien</w:t>
      </w:r>
      <w:r>
        <w:lastRenderedPageBreak/>
        <w:t>tos parece apuntar en el sentido de que cabían alternativas de gestión de la crisis sanitaria y del estado de alarma mucho menos lesivas del régimen de actividad parlamentaria y de los derechos de participación política de los diputados y diputadas del Parlamento de Andalucía.</w:t>
      </w:r>
    </w:p>
    <w:p w14:paraId="213CB9C8" w14:textId="77777777" w:rsidR="00A8138F" w:rsidRDefault="00A8138F" w:rsidP="00A8138F">
      <w:pPr>
        <w:pStyle w:val="TextoNormal"/>
      </w:pPr>
    </w:p>
    <w:p w14:paraId="7058693E" w14:textId="77777777" w:rsidR="00A8138F" w:rsidRDefault="00A8138F" w:rsidP="00A8138F">
      <w:pPr>
        <w:pStyle w:val="TextoNormal"/>
      </w:pPr>
      <w:r>
        <w:t>La sentencia del Pleno afirma que, a pesar de la ausencia de una base normativa inequívoca, la asunción de la facultad de convalidación de decretos-leyes por parte de la Diputación Permanente no supone una limitación del principio democrático al que se refería la ya citada STC 93/2015, de 14 de mayo, sino que lo refuerza, garantizando “un mínimo de participación política y control parlamentario del Ejecutivo ante unas circunstancias del todo extraordinarias que impedían objetivamente mantener incólume la actividad de la Cámara”.</w:t>
      </w:r>
    </w:p>
    <w:p w14:paraId="136F216C" w14:textId="77777777" w:rsidR="00A8138F" w:rsidRDefault="00A8138F" w:rsidP="00A8138F">
      <w:pPr>
        <w:pStyle w:val="TextoNormal"/>
      </w:pPr>
    </w:p>
    <w:p w14:paraId="17AADAC7" w14:textId="77777777" w:rsidR="00A8138F" w:rsidRDefault="00A8138F" w:rsidP="00A8138F">
      <w:pPr>
        <w:pStyle w:val="TextoNormal"/>
      </w:pPr>
      <w:r>
        <w:t>A nuestro juicio, no faltaba una base normativa inequívoca. El equívoco es introducido por la propia resolución de la Presidencia de 18 de marzo de 2020, que sin duda no fue ajena al hecho de que debiera ser convalidado el decreto-ley de simplificación normativa, que modificó o eliminó hasta cien trámites administrativos, afectando a veintiuna leyes y seis decretos-leyes. Pero, además, aunque hubiera existido esa elevada indeterminación de la base normativa, ello no hubiera justificado tampoco la atribución de una competencia a la Diputación Permanente que no refuerza en absoluto el principio democrático, sino que lo infringe.</w:t>
      </w:r>
    </w:p>
    <w:p w14:paraId="29C1F799" w14:textId="77777777" w:rsidR="00A8138F" w:rsidRDefault="00A8138F" w:rsidP="00A8138F">
      <w:pPr>
        <w:pStyle w:val="TextoNormal"/>
      </w:pPr>
    </w:p>
    <w:p w14:paraId="4E6591CD" w14:textId="77777777" w:rsidR="00A8138F" w:rsidRDefault="00A8138F" w:rsidP="00A8138F">
      <w:pPr>
        <w:pStyle w:val="TextoNormal"/>
      </w:pPr>
      <w:r>
        <w:t xml:space="preserve">El fundamento del principio democrático es la participación de los ciudadanos, a través de sus representantes electos, en la elaboración de las normas primarias, de modo que la aprobación de un decreto-ley es, en sí misma considerada, una alteración de ese principio que debe ser aplicada restrictivamente, en particular en lo que hace a su control parlamentario sucesivo. En el caso que nos ocupa, el control se vio debilitado por la imposibilidad de debate en el Pleno de la convalidación del Decreto-ley y de la posterior eventual tramitación como ley. Recordemos que la STC 168/2021, de 5 de octubre, declaró contraria al art. 23.2 CE la decisión de la mesa del Congreso de los Diputados de suspender el cómputo de los plazos reglamentarios. El fundamento jurídico 5 de aquel pronunciamiento sostenía que las funciones de control parlamentario de las Cámaras (en aquel caso del Congreso) no deben cesar durante la vigencia de cualquiera de los estados excepcionales. Por ello, una vez declarados estos, la limitación de la función de control que conforma el </w:t>
      </w:r>
      <w:r w:rsidRPr="00A8138F">
        <w:rPr>
          <w:i/>
        </w:rPr>
        <w:t>ius in officium</w:t>
      </w:r>
      <w:r>
        <w:t xml:space="preserve"> debe ser la mínima imprescindible, en caso de darse, para que se pueda seguir desarrollando la función parlamentaria de control y de exigencia de responsabilidad política. Obviamente, la convalidación de los decretos-leyes integra al tiempo la labor legislativa y la labor de control de la asunción por el Ejecutivo de una función legislativa que, por definición, corresponde al titular de, en este caso, la autonomía política. Y, por tanto, la proyección de la doctrina contenida en la STC 168/2021 debería haber conducido a un análisis mucho más restrictivo de la reducción de las facultades legislativas y de control del Pleno de la Cámara.</w:t>
      </w:r>
    </w:p>
    <w:p w14:paraId="2BD4A12F" w14:textId="77777777" w:rsidR="00A8138F" w:rsidRDefault="00A8138F" w:rsidP="00A8138F">
      <w:pPr>
        <w:pStyle w:val="TextoNormal"/>
      </w:pPr>
    </w:p>
    <w:p w14:paraId="43D2BAA0" w14:textId="64B0121D" w:rsidR="00A8138F" w:rsidRDefault="00A8138F" w:rsidP="00A8138F">
      <w:pPr>
        <w:pStyle w:val="TextoNormal"/>
      </w:pPr>
      <w:r>
        <w:t>Madrid, a diecinueve de febrero de dos mil veinticinco.</w:t>
      </w:r>
    </w:p>
    <w:p w14:paraId="7C61C617" w14:textId="77777777" w:rsidR="00A8138F" w:rsidRDefault="00A8138F" w:rsidP="00A8138F">
      <w:pPr>
        <w:pStyle w:val="TextoNormal"/>
      </w:pPr>
    </w:p>
    <w:p w14:paraId="2B2C657C" w14:textId="77777777" w:rsidR="00A8138F" w:rsidRDefault="00A8138F" w:rsidP="00A8138F">
      <w:pPr>
        <w:pStyle w:val="TextoNormalNegritaCentrado"/>
        <w:keepNext/>
      </w:pPr>
      <w:r>
        <w:lastRenderedPageBreak/>
        <w:t>Voto particular concurrente que formula el magistrado don Enrique Arnaldo Alcubilla respecto de la sentencia dictada por el Pleno en el recurso de inconstitucionalidad núm. 3887-2020</w:t>
      </w:r>
    </w:p>
    <w:p w14:paraId="6FB88533" w14:textId="14DADBBC" w:rsidR="00A8138F" w:rsidRDefault="00A8138F" w:rsidP="00A8138F">
      <w:pPr>
        <w:pStyle w:val="TextoNormalNegritaCentrado"/>
        <w:keepNext/>
      </w:pPr>
    </w:p>
    <w:p w14:paraId="424D0FE3" w14:textId="77777777" w:rsidR="00A8138F" w:rsidRDefault="00A8138F" w:rsidP="00A8138F">
      <w:pPr>
        <w:pStyle w:val="TextoNormal"/>
      </w:pPr>
      <w:r>
        <w:t>En ejercicio de la facultad que me confiere el art. 90.2 de la Ley Orgánica del Tribunal Constitucional, y con respeto a la opinión de mis compañeros, formulo el presente voto particular concurrente a la sentencia, de la que he sido ponente, que estima en parte el recurso de inconstitucionalidad interpuesto por más de cincuenta senadores del Grupo Parlamentario Socialista contra el Decreto-ley 2/2020, de 9 de marzo, de mejora y simplificación de la regulación para el fomento de la actividad productiva de Andalucía, aprobado por el Consejo de Gobierno de la Junta de Andalucía.</w:t>
      </w:r>
    </w:p>
    <w:p w14:paraId="14FFDF7E" w14:textId="77777777" w:rsidR="00A8138F" w:rsidRDefault="00A8138F" w:rsidP="00A8138F">
      <w:pPr>
        <w:pStyle w:val="TextoNormal"/>
      </w:pPr>
    </w:p>
    <w:p w14:paraId="3C206378" w14:textId="77777777" w:rsidR="00A8138F" w:rsidRDefault="00A8138F" w:rsidP="00A8138F">
      <w:pPr>
        <w:pStyle w:val="TextoNormal"/>
      </w:pPr>
      <w:r>
        <w:t>Mi discrepancia se limita al fundamento jurídico 5 de la sentencia, en el que se aborda la tacha de inconstitucionalidad que los recurrentes dirigen a los arts. 20 a 23 y 25 del Decreto-ley 2/2020 por incumplimiento del presupuesto habilitante de la extraordinaria y urgente necesidad, en cuanto modifican normas de rango reglamentario. En aplicación de la doctrina constitucional al respecto, la sentencia concluye declarando la inconstitucionalidad y nulidad de aquellos preceptos (arts. 22, 23 y 25) en los que se aprecia que el Gobierno andaluz no ha justificado específicamente, como exige esa doctrina, la necesidad de acudir a la legislación de urgencia para llevar a cabo modificaciones de normas reglamentarias, y desestima la impugnación referida a aquellos otros preceptos (arts. 20 y 21) en los que se aprecia que el Ejecutivo autonómico sí ha ofrecido esa justificación, basada en la estrecha vinculación de la reforma con la modificación de las leyes desarrolladas.</w:t>
      </w:r>
    </w:p>
    <w:p w14:paraId="025CE80E" w14:textId="77777777" w:rsidR="00A8138F" w:rsidRDefault="00A8138F" w:rsidP="00A8138F">
      <w:pPr>
        <w:pStyle w:val="TextoNormal"/>
      </w:pPr>
    </w:p>
    <w:p w14:paraId="65D69777" w14:textId="77777777" w:rsidR="00A8138F" w:rsidRDefault="00A8138F" w:rsidP="00A8138F">
      <w:pPr>
        <w:pStyle w:val="TextoNormal"/>
      </w:pPr>
      <w:r>
        <w:t>Discrepo, sin embargo, de esa doctrina constitucional en la que se apoya la sentencia y, por tanto, sostengo la pertinencia de rectificarla, por las razones que defendí en la deliberación y que ya he expresado en anteriores votos particulares formulados a sentencias del Tribunal que resolvían recursos de inconstitucionalidad contra decretos-leyes. En esos votos he advertido que la laxitud del control del decreto-ley ha conducido a este tribunal (en lo que ahora importa) a equiparar la función de esta norma excepcional no solo con la de la ley formal aprobada por el Parlamento, sino también con la del reglamento, como ha sucedido también en el caso de la presente sentencia.</w:t>
      </w:r>
    </w:p>
    <w:p w14:paraId="0FDBBE11" w14:textId="77777777" w:rsidR="00A8138F" w:rsidRDefault="00A8138F" w:rsidP="00A8138F">
      <w:pPr>
        <w:pStyle w:val="TextoNormal"/>
      </w:pPr>
    </w:p>
    <w:p w14:paraId="35D26E57" w14:textId="77777777" w:rsidR="00A8138F" w:rsidRDefault="00A8138F" w:rsidP="00A8138F">
      <w:pPr>
        <w:pStyle w:val="TextoNormal"/>
      </w:pPr>
      <w:r>
        <w:t xml:space="preserve">La potestad excepcional de dictar decretos-leyes que al Gobierno confiere el art. 86.1 CE (y a los ejecutivos autonómicos los respectivos estatutos de autonomía), y que se contrapone al modo ordinario de producción de normas con rango de ley mediante el procedimiento parlamentario, solo se justifica por la necesidad de dar respuesta inmediata, en situaciones de normalidad constitucional, a problemas cuya resolución no admite la inevitable demora que supondría la tramitación del procedimiento legislativo, ni siquiera acudiendo al procedimiento de urgencia. Ello excluye a su vez que el Gobierno pueda acudir al instrumento del decreto-ley para regular en una norma con valor o fuerza de ley materias que puedan serlo por reglamento, pues quien puede hacer tal cosa (en la medida en que en nuestro sistema constitucional no existe una reserva material de reglamento) es únicamente el legislador, es decir, el Parlamento (Cortes Generales o asamblea legislativa de que se trate) y no el Gobierno, convertido en productor de normas con fuerza de ley. El Gobierno no puede elegir, a su antojo, la fuente normativa y, amparándose en la supuesta urgencia, optar por el decreto-ley para regular materia reglamentaria por la mayor simplicidad del procedimiento </w:t>
      </w:r>
      <w:r>
        <w:lastRenderedPageBreak/>
        <w:t>de aprobación de aquel, en comparación con el procedimiento de aprobación de reglamentos.</w:t>
      </w:r>
    </w:p>
    <w:p w14:paraId="79248D6A" w14:textId="77777777" w:rsidR="00A8138F" w:rsidRDefault="00A8138F" w:rsidP="00A8138F">
      <w:pPr>
        <w:pStyle w:val="TextoNormal"/>
      </w:pPr>
    </w:p>
    <w:p w14:paraId="4D059FE2" w14:textId="77777777" w:rsidR="00A8138F" w:rsidRDefault="00A8138F" w:rsidP="00A8138F">
      <w:pPr>
        <w:pStyle w:val="TextoNormal"/>
      </w:pPr>
      <w:r>
        <w:t>No cabe, pues, recurrir al decreto-ley para regular materia que puede ser disciplinada por reglamento. No porque deba respetarse una inexistente reserva reglamentaria, ni porque el legislador no pueda regular cualquier materia sin más límite que el respeto a la Constitución, sino, sencillamente, porque quien puede hacer tal cosa es solo el verdadero legislador, es decir, el Parlamento, y no el Gobierno con ocasión del ejercicio, excepcional, de facultades legislativas. Si el Gobierno puede subvenir a la situación de urgencia con el ejercicio de facultades normativas propias (potestad reglamentaria), no es constitucionalmente lícito que se sirva de facultades de las que solo puede disponer cuando la intervención normativa necesaria lo es sobre un terreno reservado al legislador.</w:t>
      </w:r>
    </w:p>
    <w:p w14:paraId="2CB2AF1E" w14:textId="77777777" w:rsidR="00A8138F" w:rsidRDefault="00A8138F" w:rsidP="00A8138F">
      <w:pPr>
        <w:pStyle w:val="TextoNormal"/>
      </w:pPr>
    </w:p>
    <w:p w14:paraId="2418B93A" w14:textId="77777777" w:rsidR="00A8138F" w:rsidRDefault="00A8138F" w:rsidP="00A8138F">
      <w:pPr>
        <w:pStyle w:val="TextoNormal"/>
      </w:pPr>
      <w:r>
        <w:t xml:space="preserve">La necesidad de corregir la doctrina del Tribunal en esta materia y de dirigirla hacia cauces estrictamente adecuados al fundamento constitucional de la legislación de urgencia es, además, tanto más necesaria cuanto que dejar al arbitrio del Gobierno la decisión de regular con valor de ley una materia que admite la disciplina reglamentaria lleva aparejada la grave consecuencia de dejar asimismo a su arbitrio la decisión acerca del régimen de enjuiciamiento jurisdiccional posible de la norma adoptada, con los evidentes perjuicios que de ello pueden derivar para la defensa de los derechos de los particulares. Si al Gobierno se le permite la libertad de disposición sobre la fuente normativa, la consecuencia es que, al optar por la que está dotada de fuerza de ley, se constriñe la legitimación activa para interponer el correspondiente recurso, que solo puede serlo de inconstitucionalidad </w:t>
      </w:r>
      <w:r w:rsidRPr="00A8138F">
        <w:rPr>
          <w:i/>
        </w:rPr>
        <w:t>ex</w:t>
      </w:r>
      <w:r>
        <w:t xml:space="preserve"> art. 161.1 a) CE, a los órganos que señala el art. 162.1 a) CE, de forma que quedan excluidos quienes simplemente son titulares de derechos subjetivos o intereses legítimos.</w:t>
      </w:r>
    </w:p>
    <w:p w14:paraId="3DCEA0C1" w14:textId="77777777" w:rsidR="00A8138F" w:rsidRDefault="00A8138F" w:rsidP="00A8138F">
      <w:pPr>
        <w:pStyle w:val="TextoNormal"/>
      </w:pPr>
    </w:p>
    <w:p w14:paraId="75487D0D" w14:textId="77777777" w:rsidR="00A8138F" w:rsidRDefault="00A8138F" w:rsidP="00A8138F">
      <w:pPr>
        <w:pStyle w:val="TextoNormal"/>
      </w:pPr>
      <w:r>
        <w:t>En definitiva, por las razones expuestas, considero que nuestra sentencia debió corregir la referida doctrina constitucional que admite, a mi juicio incorrectamente, la licitud de regular mediante decreto-ley materias que pueden serlo mediante el ejercicio de la potestad reglamentaria. La rectificación de esa doctrina en el presente caso hubiera conducido, en consecuencia, a declarar también la inconstitucionalidad y nulidad de los arts. 20 y 21 del Decreto-ley 2/2020, de 9 de marzo.</w:t>
      </w:r>
    </w:p>
    <w:p w14:paraId="01BB0782" w14:textId="77777777" w:rsidR="00A8138F" w:rsidRDefault="00A8138F" w:rsidP="00A8138F">
      <w:pPr>
        <w:pStyle w:val="TextoNormal"/>
      </w:pPr>
    </w:p>
    <w:p w14:paraId="56041697" w14:textId="7F1BB833" w:rsidR="00A8138F" w:rsidRDefault="00A8138F" w:rsidP="00A8138F">
      <w:pPr>
        <w:pStyle w:val="TextoNormal"/>
      </w:pPr>
      <w:r>
        <w:t>Madrid, a once de febrero de dos mil veinticinco.</w:t>
      </w:r>
    </w:p>
    <w:p w14:paraId="0E7F1078" w14:textId="77777777" w:rsidR="00A8138F" w:rsidRDefault="00A8138F" w:rsidP="00A8138F">
      <w:pPr>
        <w:pStyle w:val="TextoNormal"/>
      </w:pPr>
    </w:p>
    <w:p w14:paraId="62D28562" w14:textId="77777777" w:rsidR="00A8138F" w:rsidRDefault="00A8138F" w:rsidP="00A8138F">
      <w:pPr>
        <w:pStyle w:val="TextoNormalNegritaCentrado"/>
        <w:keepNext/>
      </w:pPr>
      <w:r>
        <w:t>Voto particular que formula el magistrado don Juan Carlos Campo Moreno a la sentencia dictada en el recurso de inconstitucionalidad 3887-2020</w:t>
      </w:r>
    </w:p>
    <w:p w14:paraId="2654E999" w14:textId="229254F8" w:rsidR="00A8138F" w:rsidRDefault="00A8138F" w:rsidP="00A8138F">
      <w:pPr>
        <w:pStyle w:val="TextoNormalNegritaCentrado"/>
        <w:keepNext/>
      </w:pPr>
    </w:p>
    <w:p w14:paraId="33931DB4" w14:textId="77777777" w:rsidR="00A8138F" w:rsidRDefault="00A8138F" w:rsidP="00A8138F">
      <w:pPr>
        <w:pStyle w:val="TextoNormal"/>
      </w:pPr>
      <w:r>
        <w:t>En el ejercicio de la facultad que me confiere el artículo 90.2 de la Ley Orgánica del Tribunal Constitucional, y con el máximo respeto a la opinión de la mayoría, formulo el presente voto particular por discrepar de la fundamentación de la sentencia recaída en el recurso de inconstitucionalidad 3887-2020.</w:t>
      </w:r>
    </w:p>
    <w:p w14:paraId="1C3ADE1B" w14:textId="77777777" w:rsidR="00A8138F" w:rsidRDefault="00A8138F" w:rsidP="00A8138F">
      <w:pPr>
        <w:pStyle w:val="TextoNormal"/>
      </w:pPr>
    </w:p>
    <w:p w14:paraId="2EE1D07A" w14:textId="77777777" w:rsidR="00A8138F" w:rsidRDefault="00A8138F" w:rsidP="00A8138F">
      <w:pPr>
        <w:pStyle w:val="TextoNormal"/>
      </w:pPr>
      <w:r>
        <w:t>A) Planteamiento de la discrepancia: decretos-leyes autonómicos y principio democrático</w:t>
      </w:r>
    </w:p>
    <w:p w14:paraId="48C0D249" w14:textId="77777777" w:rsidR="00A8138F" w:rsidRDefault="00A8138F" w:rsidP="00A8138F">
      <w:pPr>
        <w:pStyle w:val="TextoNormal"/>
      </w:pPr>
    </w:p>
    <w:p w14:paraId="0CD7FF9F" w14:textId="77777777" w:rsidR="00A8138F" w:rsidRDefault="00A8138F" w:rsidP="00A8138F">
      <w:pPr>
        <w:pStyle w:val="TextoNormal"/>
      </w:pPr>
      <w:r>
        <w:t xml:space="preserve">El objeto de mi discrepancia se refiere a la argumentación relativa a las atribuciones de la Diputación Permanente del Parlamento de Andalucía para convalidar un decreto-ley fuera </w:t>
      </w:r>
      <w:r>
        <w:lastRenderedPageBreak/>
        <w:t>de los supuestos específicamente previstos en el art. 78.2 de la Constitución, argumentación que, a mi juicio, no se ajusta a la concepción constitucional del principio democrático.</w:t>
      </w:r>
    </w:p>
    <w:p w14:paraId="3286E917" w14:textId="77777777" w:rsidR="00A8138F" w:rsidRDefault="00A8138F" w:rsidP="00A8138F">
      <w:pPr>
        <w:pStyle w:val="TextoNormal"/>
      </w:pPr>
    </w:p>
    <w:p w14:paraId="32CB66A1" w14:textId="77777777" w:rsidR="00A8138F" w:rsidRDefault="00A8138F" w:rsidP="00A8138F">
      <w:pPr>
        <w:pStyle w:val="TextoNormal"/>
      </w:pPr>
      <w:r>
        <w:t>El principio democrático es una de las reglas fundamentales que informan el Estado diseñado por la Constitución y, por tanto, uno de los principios constitucionales aplicables a todos los poderes públicos que conforman el Estado en sentido amplio (STC 93/2015, de 14 de mayo, FJ 4). Dicho principio se sustancia, de acuerdo con la doctrina de este tribunal, en la participación de los ciudadanos, a través de sus representantes electos, “en la elaboración de las normas primarias” (STC 93/2015, FJ 5).</w:t>
      </w:r>
    </w:p>
    <w:p w14:paraId="190499F2" w14:textId="77777777" w:rsidR="00A8138F" w:rsidRDefault="00A8138F" w:rsidP="00A8138F">
      <w:pPr>
        <w:pStyle w:val="TextoNormal"/>
      </w:pPr>
    </w:p>
    <w:p w14:paraId="4738BBB1" w14:textId="77777777" w:rsidR="00A8138F" w:rsidRDefault="00A8138F" w:rsidP="00A8138F">
      <w:pPr>
        <w:pStyle w:val="TextoNormal"/>
      </w:pPr>
      <w:r>
        <w:t>La intervención del Gobierno, estatal o autonómico, en la función legislativa compromete la efectividad del referido principio, razón por la cual la propia Constitución sujeta esa intervención a estrictos límites. En lo que específicamente se refiere al decreto-ley autonómico, la doctrina de este tribunal prescribe [STC 93/2015, ya citada]:</w:t>
      </w:r>
    </w:p>
    <w:p w14:paraId="257E8FA1" w14:textId="77777777" w:rsidR="00A8138F" w:rsidRDefault="00A8138F" w:rsidP="00A8138F">
      <w:pPr>
        <w:pStyle w:val="TextoNormal"/>
      </w:pPr>
    </w:p>
    <w:p w14:paraId="076B57A1" w14:textId="77777777" w:rsidR="00A8138F" w:rsidRDefault="00A8138F" w:rsidP="00A8138F">
      <w:pPr>
        <w:pStyle w:val="TextoNormal"/>
      </w:pPr>
      <w:r>
        <w:t>a) Que un estatuto de autonomía puede atribuir a su respectivo Consejo de Gobierno la facultad de aprobar normas provisionales con rango de ley que adopten la forma de decreto-ley autonómico.</w:t>
      </w:r>
    </w:p>
    <w:p w14:paraId="6B38AD76" w14:textId="77777777" w:rsidR="00A8138F" w:rsidRDefault="00A8138F" w:rsidP="00A8138F">
      <w:pPr>
        <w:pStyle w:val="TextoNormal"/>
      </w:pPr>
    </w:p>
    <w:p w14:paraId="6699BD2C" w14:textId="77777777" w:rsidR="00A8138F" w:rsidRDefault="00A8138F" w:rsidP="00A8138F">
      <w:pPr>
        <w:pStyle w:val="TextoNormal"/>
      </w:pPr>
      <w:r>
        <w:t>b) Que tal facultad ha de entenderse, no obstante, sometida a las reglas constitucionales que, aun estando formalmente referidas a los decretos-leyes estales, derivan directamente del principio democrático. Los condicionantes establecidos en el estatuto de autonomía actúan, por ello, como requisitos adicionales.</w:t>
      </w:r>
    </w:p>
    <w:p w14:paraId="6809EDC2" w14:textId="77777777" w:rsidR="00A8138F" w:rsidRDefault="00A8138F" w:rsidP="00A8138F">
      <w:pPr>
        <w:pStyle w:val="TextoNormal"/>
      </w:pPr>
    </w:p>
    <w:p w14:paraId="70E5DDA1" w14:textId="77777777" w:rsidR="00A8138F" w:rsidRDefault="00A8138F" w:rsidP="00A8138F">
      <w:pPr>
        <w:pStyle w:val="TextoNormal"/>
      </w:pPr>
      <w:r>
        <w:t xml:space="preserve">c) Que el art. 86 CE contiene tres reglas que derivan del principio democrático y que son, por tal motivo, aplicables </w:t>
      </w:r>
      <w:r w:rsidRPr="00A8138F">
        <w:rPr>
          <w:i/>
        </w:rPr>
        <w:t>ex Constitutione</w:t>
      </w:r>
      <w:r>
        <w:t xml:space="preserve"> a los decretos-leyes autonómicos. Son las siguientes:</w:t>
      </w:r>
    </w:p>
    <w:p w14:paraId="31A66F7C" w14:textId="77777777" w:rsidR="00A8138F" w:rsidRDefault="00A8138F" w:rsidP="00A8138F">
      <w:pPr>
        <w:pStyle w:val="TextoNormal"/>
      </w:pPr>
    </w:p>
    <w:p w14:paraId="4CECCEDE" w14:textId="77777777" w:rsidR="00A8138F" w:rsidRDefault="00A8138F" w:rsidP="00A8138F">
      <w:pPr>
        <w:pStyle w:val="TextoNormal"/>
      </w:pPr>
      <w:r>
        <w:t>(i) Su uso ha de justificarse por un “caso de extraordinaria y urgente necesidad” (art. 86.1 CE) relativo a “los objetivos marcados para la gobernación del país” (por todas, STC 96/2014, de 12 de junio).</w:t>
      </w:r>
    </w:p>
    <w:p w14:paraId="41E4B3BA" w14:textId="77777777" w:rsidR="00A8138F" w:rsidRDefault="00A8138F" w:rsidP="00A8138F">
      <w:pPr>
        <w:pStyle w:val="TextoNormal"/>
      </w:pPr>
    </w:p>
    <w:p w14:paraId="7E984C5B" w14:textId="77777777" w:rsidR="00A8138F" w:rsidRDefault="00A8138F" w:rsidP="00A8138F">
      <w:pPr>
        <w:pStyle w:val="TextoNormal"/>
      </w:pPr>
      <w:r>
        <w:t>(ii) No ha de afectar a las materias más definidoras de nuestro sistema constitucional (ordenamiento de las instituciones básicas del Estado; derechos, deberes y libertades de los ciudadanos regulados en el título I; régimen de las comunidades autónomas; Derecho electoral general; y otras materias reservadas a una ley formal específica).</w:t>
      </w:r>
    </w:p>
    <w:p w14:paraId="7291747B" w14:textId="77777777" w:rsidR="00A8138F" w:rsidRDefault="00A8138F" w:rsidP="00A8138F">
      <w:pPr>
        <w:pStyle w:val="TextoNormal"/>
      </w:pPr>
    </w:p>
    <w:p w14:paraId="204335DC" w14:textId="77777777" w:rsidR="00A8138F" w:rsidRDefault="00A8138F" w:rsidP="00A8138F">
      <w:pPr>
        <w:pStyle w:val="TextoNormal"/>
      </w:pPr>
      <w:r>
        <w:t>(iii) Ha de disponer de un control parlamentario posterior a fin de que el órgano legislativo conserve una influencia decisiva sobre los contenidos normativos que se integran definitivamente en el ordenamiento jurídico.</w:t>
      </w:r>
    </w:p>
    <w:p w14:paraId="42E6351A" w14:textId="77777777" w:rsidR="00A8138F" w:rsidRDefault="00A8138F" w:rsidP="00A8138F">
      <w:pPr>
        <w:pStyle w:val="TextoNormal"/>
      </w:pPr>
    </w:p>
    <w:p w14:paraId="73BDFE4F" w14:textId="77777777" w:rsidR="00A8138F" w:rsidRDefault="00A8138F" w:rsidP="00A8138F">
      <w:pPr>
        <w:pStyle w:val="TextoNormal"/>
      </w:pPr>
      <w:r>
        <w:t>La regla del art. 86 CE que dispone el imperativo control parlamentario del decreto-ley tiene, a su vez, concreción y corolario en el artículo 78.2 CE, precepto que, en lo que ahora interesa, dispone lo siguiente:</w:t>
      </w:r>
    </w:p>
    <w:p w14:paraId="4852AB2F" w14:textId="77777777" w:rsidR="00A8138F" w:rsidRDefault="00A8138F" w:rsidP="00A8138F">
      <w:pPr>
        <w:pStyle w:val="TextoNormal"/>
      </w:pPr>
    </w:p>
    <w:p w14:paraId="21CDD575" w14:textId="77777777" w:rsidR="00A8138F" w:rsidRDefault="00A8138F" w:rsidP="00A8138F">
      <w:pPr>
        <w:pStyle w:val="TextoNormal"/>
      </w:pPr>
      <w:r>
        <w:t xml:space="preserve">“Las Diputaciones Permanentes […] tendrán como funciones la prevista en el artículo 73 [que les atribuye la capacidad de solicitar la convocatoria de sesiones extraordinarias de las Cámaras fuera de los periodos ordinarios de sesiones], la de asumir las facultades que </w:t>
      </w:r>
      <w:r>
        <w:lastRenderedPageBreak/>
        <w:t>correspondan a las Cámaras, de acuerdo con los artículos 86 y 116, en caso de que estas hubieren sido disueltas o hubiere expirado su mandato y la de velar por los poderes de las Cámaras cuando estas no estén reunidas” (énfasis añadido).</w:t>
      </w:r>
    </w:p>
    <w:p w14:paraId="6256669B" w14:textId="77777777" w:rsidR="00A8138F" w:rsidRDefault="00A8138F" w:rsidP="00A8138F">
      <w:pPr>
        <w:pStyle w:val="TextoNormal"/>
      </w:pPr>
    </w:p>
    <w:p w14:paraId="2723D40F" w14:textId="77777777" w:rsidR="00A8138F" w:rsidRDefault="00A8138F" w:rsidP="00A8138F">
      <w:pPr>
        <w:pStyle w:val="TextoNormal"/>
      </w:pPr>
      <w:r>
        <w:t>Como puede verse, el art. 78.2 CE únicamente atribuye a la Diputación Permanente del Congreso la facultad de convalidar decretos-leyes en un caso concreto: cuando el Congreso de los Diputados ha sido disuelto o ha expirado su mandato. Las atribuciones a la Diputación Permanente quedan, así, limitadas a lo dispuesto en el art. 78.2 CE.</w:t>
      </w:r>
    </w:p>
    <w:p w14:paraId="076B3782" w14:textId="77777777" w:rsidR="00A8138F" w:rsidRDefault="00A8138F" w:rsidP="00A8138F">
      <w:pPr>
        <w:pStyle w:val="TextoNormal"/>
      </w:pPr>
    </w:p>
    <w:p w14:paraId="7C094B22" w14:textId="77777777" w:rsidR="00A8138F" w:rsidRDefault="00A8138F" w:rsidP="00A8138F">
      <w:pPr>
        <w:pStyle w:val="TextoNormal"/>
      </w:pPr>
      <w:r>
        <w:t>La intervención de este órgano en relación con la convalidación de los decretos-leyes está, por tanto, claramente tasada, sin que la función de “velar por los poderes de la Cámara”, ciertamente general e indeterminada, pueda permitir, por el carácter alternativo que el precepto constitucional le atribuye, la ampliación de la capacidad de convalidación de decretos-leyes a supuestos distintos a los explícitamente previstos en la norma.</w:t>
      </w:r>
    </w:p>
    <w:p w14:paraId="56EC7D5E" w14:textId="77777777" w:rsidR="00A8138F" w:rsidRDefault="00A8138F" w:rsidP="00A8138F">
      <w:pPr>
        <w:pStyle w:val="TextoNormal"/>
      </w:pPr>
    </w:p>
    <w:p w14:paraId="25358DE8" w14:textId="77777777" w:rsidR="00A8138F" w:rsidRDefault="00A8138F" w:rsidP="00A8138F">
      <w:pPr>
        <w:pStyle w:val="TextoNormal"/>
      </w:pPr>
      <w:r>
        <w:t>En este punto, aunque este tribunal ha tenido ocasión de determinar los límites recogidos en el art. 86 CE que son manifestación del principio democrático y han de considerarse aplicables a los decretos-leyes autonómicos, no ha tenido la oportunidad de hacer lo propio con el límite del art. 78.2 CE al que acaba de aludirse.</w:t>
      </w:r>
    </w:p>
    <w:p w14:paraId="7EF6BD71" w14:textId="77777777" w:rsidR="00A8138F" w:rsidRDefault="00A8138F" w:rsidP="00A8138F">
      <w:pPr>
        <w:pStyle w:val="TextoNormal"/>
      </w:pPr>
    </w:p>
    <w:p w14:paraId="12DF9E09" w14:textId="77777777" w:rsidR="00A8138F" w:rsidRDefault="00A8138F" w:rsidP="00A8138F">
      <w:pPr>
        <w:pStyle w:val="TextoNormal"/>
      </w:pPr>
      <w:r>
        <w:t>Mi opinión es que la resolución del presente recurso exigía, antes que cualquier otra cosa, resolver esta cuestión fundamental, dilucidando si el condicionante recogido en el art. 78.2 CE es un requerimiento mínimo que asegura la intangibilidad del principio democrático (art. 1.1 CE). La sentencia aprobada por la mayoría obvia, sin embargo, esta cuestión y da por sentado, sin mayor argumento, que el art. 78.2 CE contiene una regla exclusivamente dirigida a la regulación de las funciones de las diputaciones permanentes de las Cámaras legislativas estatales.</w:t>
      </w:r>
    </w:p>
    <w:p w14:paraId="4F5645CB" w14:textId="77777777" w:rsidR="00A8138F" w:rsidRDefault="00A8138F" w:rsidP="00A8138F">
      <w:pPr>
        <w:pStyle w:val="TextoNormal"/>
      </w:pPr>
    </w:p>
    <w:p w14:paraId="5C39B080" w14:textId="77777777" w:rsidR="00A8138F" w:rsidRDefault="00A8138F" w:rsidP="00A8138F">
      <w:pPr>
        <w:pStyle w:val="TextoNormal"/>
      </w:pPr>
      <w:r>
        <w:t>No comparto esa conclusión —que, en todo caso, habría requerido algún razonamiento justificativo— por los motivos que seguidamente expongo.</w:t>
      </w:r>
    </w:p>
    <w:p w14:paraId="089AC299" w14:textId="77777777" w:rsidR="00A8138F" w:rsidRDefault="00A8138F" w:rsidP="00A8138F">
      <w:pPr>
        <w:pStyle w:val="TextoNormal"/>
      </w:pPr>
    </w:p>
    <w:p w14:paraId="3CEA9553" w14:textId="77777777" w:rsidR="00A8138F" w:rsidRDefault="00A8138F" w:rsidP="00A8138F">
      <w:pPr>
        <w:pStyle w:val="TextoNormal"/>
      </w:pPr>
      <w:r>
        <w:t>B) Imposibilidad constitucional de convertir a la Diputación Permanente en un sucedáneo del Pleno de una cámara legislativa fuera de los supuestos previstos en el art. 78.2 CE</w:t>
      </w:r>
    </w:p>
    <w:p w14:paraId="656DE3AB" w14:textId="77777777" w:rsidR="00A8138F" w:rsidRDefault="00A8138F" w:rsidP="00A8138F">
      <w:pPr>
        <w:pStyle w:val="TextoNormal"/>
      </w:pPr>
    </w:p>
    <w:p w14:paraId="1E81DB99" w14:textId="77777777" w:rsidR="00A8138F" w:rsidRDefault="00A8138F" w:rsidP="00A8138F">
      <w:pPr>
        <w:pStyle w:val="TextoNormal"/>
      </w:pPr>
      <w:r>
        <w:t>La sentencia de la que discrepo justifica la convalidación de un decreto-ley por la Diputación Permanente de un Parlamento autonómico fuera de los supuestos previstos en el art. 78.2 CE en la necesidad de “garantizar en lo posible la continuidad de la actividad parlamentaria, en un contexto extraordinario derivado de la emergencia sanitaria provocada por la pandemia del covid-19 y teniendo presente lo dispuesto en el ya mencionado art. 110.2 EAAnd”.</w:t>
      </w:r>
    </w:p>
    <w:p w14:paraId="79005BD1" w14:textId="77777777" w:rsidR="00A8138F" w:rsidRDefault="00A8138F" w:rsidP="00A8138F">
      <w:pPr>
        <w:pStyle w:val="TextoNormal"/>
      </w:pPr>
    </w:p>
    <w:p w14:paraId="3C62E826" w14:textId="77777777" w:rsidR="00A8138F" w:rsidRDefault="00A8138F" w:rsidP="00A8138F">
      <w:pPr>
        <w:pStyle w:val="TextoNormal"/>
      </w:pPr>
      <w:r>
        <w:t>Sin embargo, el hecho de que la Diputación Permanente sea un órgano que pretende preservar la continuidad de la institución parlamentaria no significa, en modo alguno, que pueda sustituir al Pleno en el ejercicio de funciones que el propio ordenamiento constitucional atribuye a este o, en su caso, a las comisiones, como ocurre con la función legislativa o la presupuestaria. Es un error considerar que la Diputación Permanente es un subrogado de estos órganos que puede ser activado discrecionalmente si las circunstancias así lo aconsejan.</w:t>
      </w:r>
    </w:p>
    <w:p w14:paraId="390C8BC2" w14:textId="77777777" w:rsidR="00A8138F" w:rsidRDefault="00A8138F" w:rsidP="00A8138F">
      <w:pPr>
        <w:pStyle w:val="TextoNormal"/>
      </w:pPr>
    </w:p>
    <w:p w14:paraId="2B4041DE" w14:textId="77777777" w:rsidR="00A8138F" w:rsidRDefault="00A8138F" w:rsidP="00A8138F">
      <w:pPr>
        <w:pStyle w:val="TextoNormal"/>
      </w:pPr>
      <w:r>
        <w:t>En el art. 78 CE, las funciones sustitutivas atribuidas a la Diputación Permanente respecto de las competencias propias del Pleno de una cámara parlamentaria —distintas, como ya se ha visto, de la genérica de velar por los poderes de esta cuando no está reunida— se contraen a los supuestos de convalidación de decretos-leyes del art. 86 CE y de declaración de estados excepcionales del art. 116 CE y solo por disolución o expiración del mandato de la cámara correspondiente. Esa regulación constitucional indica, con meridiana claridad, que la Diputación Peramente únicamente puede subrogarse en las funciones atribuidas a los órganos competentes de una cámara parlamentaria si se cumplen dos requisitos: (i) la concurrencia de una urgencia inaplazable —como ocurre en el decreto-ley y en las situaciones excepcionales del art. 116 CE—; y (ii) la existencia de una imposibilidad estrictamente jurídica de que la cámara misma pueda constituirse, cual es la circunstancia de hallarse disuelta o haber expirado su mandato.</w:t>
      </w:r>
    </w:p>
    <w:p w14:paraId="3537F971" w14:textId="77777777" w:rsidR="00A8138F" w:rsidRDefault="00A8138F" w:rsidP="00A8138F">
      <w:pPr>
        <w:pStyle w:val="TextoNormal"/>
      </w:pPr>
    </w:p>
    <w:p w14:paraId="07FBCC1E" w14:textId="77777777" w:rsidR="00A8138F" w:rsidRDefault="00A8138F" w:rsidP="00A8138F">
      <w:pPr>
        <w:pStyle w:val="TextoNormal"/>
      </w:pPr>
      <w:r>
        <w:t>De ello se deduce que, en nuestro modelo constitucional, la continuación de la actividad parlamentaria por parte de la Diputación Permanente se prevé, exclusivamente, ante la imposibilidad jurídica de que actúen los órganos competentes por haber cesado ya estos en el ejercicio de sus funciones. En cualquier otra circunstancia, en la que los órganos competentes para expresar la voluntad de la cámara se hallan en el ejercicio ordinario de sus atribuciones, una situación de extraordinaria dificultad para constituir presencialmente el correspondiente órgano, significativamente el Pleno de la cámara, no puede ser suplida, por tanto, con el recurso a la Diputación Permanente sin comprometer de forma indebida las reglas constitucionales sobre formación de la voluntad de la cámara y el correspondiente derecho de cada uno de los parlamentarios que la componen a ejercer s</w:t>
      </w:r>
      <w:r w:rsidRPr="00A8138F">
        <w:rPr>
          <w:i/>
        </w:rPr>
        <w:t>u ius in offici</w:t>
      </w:r>
      <w:r>
        <w:t>um.</w:t>
      </w:r>
    </w:p>
    <w:p w14:paraId="5F06A8A9" w14:textId="77777777" w:rsidR="00A8138F" w:rsidRDefault="00A8138F" w:rsidP="00A8138F">
      <w:pPr>
        <w:pStyle w:val="TextoNormal"/>
      </w:pPr>
    </w:p>
    <w:p w14:paraId="5F2B55C0" w14:textId="77777777" w:rsidR="00A8138F" w:rsidRDefault="00A8138F" w:rsidP="00A8138F">
      <w:pPr>
        <w:pStyle w:val="TextoNormal"/>
      </w:pPr>
      <w:r>
        <w:t>En efecto, nuestra Constitución establece, de forma inequívoca, un modelo de democracia parlamentaria basado en un mandato de carácter representativo. Los parlamentarios electos, aunque representan al pueblo en su conjunto, obtienen un mandato que es producto de la voluntad de quienes los eligieron por lo que el respeto de esta voluntad exige que las funciones representativas se ejerzan personalmente por quien ha sido elegido.</w:t>
      </w:r>
    </w:p>
    <w:p w14:paraId="48275817" w14:textId="77777777" w:rsidR="00A8138F" w:rsidRDefault="00A8138F" w:rsidP="00A8138F">
      <w:pPr>
        <w:pStyle w:val="TextoNormal"/>
      </w:pPr>
    </w:p>
    <w:p w14:paraId="63D7A7D2" w14:textId="77777777" w:rsidR="00A8138F" w:rsidRDefault="00A8138F" w:rsidP="00A8138F">
      <w:pPr>
        <w:pStyle w:val="TextoNormal"/>
      </w:pPr>
      <w:r>
        <w:t xml:space="preserve">La jurisprudencia constitucional considera, además, que el derecho de voto es parte integrante del derecho al ejercicio del cargo representativo en condiciones de igualdad y sin perturbaciones ilegítimas y que el </w:t>
      </w:r>
      <w:r w:rsidRPr="00A8138F">
        <w:rPr>
          <w:i/>
        </w:rPr>
        <w:t>ius in officium</w:t>
      </w:r>
      <w:r>
        <w:t xml:space="preserve"> de los parlamentarios puede verse afectado, por lo tanto, si se impide o dificulta la emisión del propio voto (recientemente en la STC 114/2024, de 11 de septiembre).</w:t>
      </w:r>
    </w:p>
    <w:p w14:paraId="42704719" w14:textId="77777777" w:rsidR="00A8138F" w:rsidRDefault="00A8138F" w:rsidP="00A8138F">
      <w:pPr>
        <w:pStyle w:val="TextoNormal"/>
      </w:pPr>
    </w:p>
    <w:p w14:paraId="290EC5AF" w14:textId="77777777" w:rsidR="00A8138F" w:rsidRDefault="00A8138F" w:rsidP="00A8138F">
      <w:pPr>
        <w:pStyle w:val="TextoNormal"/>
      </w:pPr>
      <w:r>
        <w:t>El derecho de voto está dotado de unas garantías que le son inescindibles, entre las que se encuentra su carácter personal e indelegable “por formar parte del núcleo esencial de las reglas de ordenación de la función parlamentaria” (STC 129/2006, de 24 de abril, FJ 6). Este carácter personal e indelegable viene expresamente reconocido, para los diputados y senadores, en el art. 79.3 CE (por todas, STC 65/2022, de 31 de mayo, FJ 5).</w:t>
      </w:r>
    </w:p>
    <w:p w14:paraId="6224DF75" w14:textId="77777777" w:rsidR="00A8138F" w:rsidRDefault="00A8138F" w:rsidP="00A8138F">
      <w:pPr>
        <w:pStyle w:val="TextoNormal"/>
      </w:pPr>
    </w:p>
    <w:p w14:paraId="4270F7FA" w14:textId="77777777" w:rsidR="00A8138F" w:rsidRDefault="00A8138F" w:rsidP="00A8138F">
      <w:pPr>
        <w:pStyle w:val="TextoNormal"/>
      </w:pPr>
      <w:r>
        <w:t xml:space="preserve">El principio de personalidad del voto, del que deriva su carácter indelegable, “es consecuencia de la prohibición de mandato imperativo, pues solo de este modo se garantiza que es el representante el que decide el sentido de su voto” [SSTC 65/2022, FJ 5, y 114/2024, FJ 3 a)], y es también una exigencia que deriva de la propia naturaleza de la representación </w:t>
      </w:r>
      <w:r>
        <w:lastRenderedPageBreak/>
        <w:t>política, pues el vínculo entre representante y representados exige que solo aquel, y no un tercero, pueda determinar el sentido de su voto [STC 19/2019, FJ 4 A) a)].</w:t>
      </w:r>
    </w:p>
    <w:p w14:paraId="509EC9F1" w14:textId="77777777" w:rsidR="00A8138F" w:rsidRDefault="00A8138F" w:rsidP="00A8138F">
      <w:pPr>
        <w:pStyle w:val="TextoNormal"/>
      </w:pPr>
    </w:p>
    <w:p w14:paraId="6CD13B94" w14:textId="77777777" w:rsidR="00A8138F" w:rsidRDefault="00A8138F" w:rsidP="00A8138F">
      <w:pPr>
        <w:pStyle w:val="TextoNormal"/>
      </w:pPr>
      <w:r>
        <w:t>En estrecha conexión con ello, la doctrina constitucional determina que el de voto es un derecho que, de ordinario, ha de ejercerse presencialmente en las sesiones de los distintos órganos deliberativos de las cámaras legislativas, en tanto que la presencia de los parlamentarios en las cámaras y en sus órganos internos es un requisito necesario para que puedan deliberar y adoptar acuerdos [STC 19/2019, FJ 4 A)].</w:t>
      </w:r>
    </w:p>
    <w:p w14:paraId="19BAB318" w14:textId="77777777" w:rsidR="00A8138F" w:rsidRDefault="00A8138F" w:rsidP="00A8138F">
      <w:pPr>
        <w:pStyle w:val="TextoNormal"/>
      </w:pPr>
    </w:p>
    <w:p w14:paraId="12CCD8F2" w14:textId="77777777" w:rsidR="00A8138F" w:rsidRDefault="00A8138F" w:rsidP="00A8138F">
      <w:pPr>
        <w:pStyle w:val="TextoNormal"/>
      </w:pPr>
      <w:r>
        <w:t>Esta exigencia no admite otra excepción que la que pueda venir establecida en los reglamentos parlamentarios respecto a la posibilidad de votar en ausencia cuando concurran circunstancias excepcionales o de fuerza mayor, y para ello será necesario que el voto realizado sin estar presente en la Cámara se emita de tal modo que se garantice que expresa la voluntad del parlamentario ausente y no la de un tercero que pueda actuar en su nombre [STC 19/2019, de 12 de febrero, FJ 4 A)].</w:t>
      </w:r>
    </w:p>
    <w:p w14:paraId="65DD4C82" w14:textId="77777777" w:rsidR="00A8138F" w:rsidRDefault="00A8138F" w:rsidP="00A8138F">
      <w:pPr>
        <w:pStyle w:val="TextoNormal"/>
      </w:pPr>
    </w:p>
    <w:p w14:paraId="5B4D21C7" w14:textId="77777777" w:rsidR="00A8138F" w:rsidRDefault="00A8138F" w:rsidP="00A8138F">
      <w:pPr>
        <w:pStyle w:val="TextoNormal"/>
      </w:pPr>
      <w:r>
        <w:t>De acuerdo con ello, la voluntad de una cámara parlamentaria se forma y expresa válidamente, en nuestro modelo constitucional, con la participación de los cargos representativos que la componen, con pleno respeto a su derecho de voto. Es por esa razón, por tanto, que el art. 78.2 CE solo prevé la competencia de la Diputación Permanente en la convalidación de decretos-leyes en los supuestos en los que concurre una imposibilidad jurídica de reunir el Pleno de la cámara, pues este ha cesado en el ejercicio de sus funciones.</w:t>
      </w:r>
    </w:p>
    <w:p w14:paraId="13395EA9" w14:textId="77777777" w:rsidR="00A8138F" w:rsidRDefault="00A8138F" w:rsidP="00A8138F">
      <w:pPr>
        <w:pStyle w:val="TextoNormal"/>
      </w:pPr>
    </w:p>
    <w:p w14:paraId="1DEB6B11" w14:textId="77777777" w:rsidR="00A8138F" w:rsidRDefault="00A8138F" w:rsidP="00A8138F">
      <w:pPr>
        <w:pStyle w:val="TextoNormal"/>
      </w:pPr>
      <w:r>
        <w:t>Si los diputados que conforman el Pleno ya no están en el ejercicio de su mandato y el único órgano parlamentario que se mantiene en funcionamiento hasta que se constituyan las “nuevas Cortes Generales” es la Diputación Permanente (art. 78.3 CE), la actuación de esta en la convalidación de decretos-leyes no implica la infracción de las reglas de formación de la voluntad de la cámara, ni atenta contra el derecho de voto que corresponde a todos los parlamentarios electos. La delimitación efectuada en el art. 78.2 CE al reservar la posibilidad de convalidar decretos-leyes por parte de la Diputación Permanente únicamente a los supuestos de disolución de la cámara o expiración de su mandato tiene, en definitiva, la clara finalidad de compatibilizar la continuidad de las funciones parlamentarias —admitiendo la competencia de la Diputación Permanente cuando el Pleno de la cámara ha cesado en sus funciones— con el respeto al principio democrático —excluyendo la competencia de la Diputación Permanente cuando el Pleno de la cámara sigue en el ejercicio de sus funciones con consiguiente vigencia del mandato representativo de todos sus componentes—.</w:t>
      </w:r>
    </w:p>
    <w:p w14:paraId="58914848" w14:textId="77777777" w:rsidR="00A8138F" w:rsidRDefault="00A8138F" w:rsidP="00A8138F">
      <w:pPr>
        <w:pStyle w:val="TextoNormal"/>
      </w:pPr>
    </w:p>
    <w:p w14:paraId="7D8CDDB8" w14:textId="77777777" w:rsidR="00A8138F" w:rsidRDefault="00A8138F" w:rsidP="00A8138F">
      <w:pPr>
        <w:pStyle w:val="TextoNormal"/>
      </w:pPr>
      <w:r>
        <w:t xml:space="preserve">De ahí que, ante una situación de imposibilidad estrictamente material de reunir presencialmente a los componentes de dichos órganos sea, en mi opinión, constitucionalmente obligado encontrar fórmulas alternativas de actuación de esos mismos órganos —los ordinarios—, significativamente del Pleno, sin que sea constitucionalmente lícito subrogar en su función constitucional o estatutaria a un órgano, como la Diputación Permanente, que solo está constitucionalmente llamado a suplir las funciones ordinarias de la cámara cuando esta se halla disuelta o cuando ha expirado su mandato, esto es, cuando el órgano verdaderamente competente ha cesado en el ejercicio de sus funciones y debe, por tal razón, ser reemplazado por otro puramente contingente o provisional. Si la Diputación Permanente puede, en definitiva, sustituir, en ciertas situaciones de urgencia, al Pleno de una cámara sin </w:t>
      </w:r>
      <w:r>
        <w:lastRenderedPageBreak/>
        <w:t>merma del principio democrático es por razón de la imposibilidad jurídica de este de expresar su voluntad por sí mismo.</w:t>
      </w:r>
    </w:p>
    <w:p w14:paraId="75B97A96" w14:textId="77777777" w:rsidR="00A8138F" w:rsidRDefault="00A8138F" w:rsidP="00A8138F">
      <w:pPr>
        <w:pStyle w:val="TextoNormal"/>
      </w:pPr>
    </w:p>
    <w:p w14:paraId="1AB4EA36" w14:textId="77777777" w:rsidR="00A8138F" w:rsidRDefault="00A8138F" w:rsidP="00A8138F">
      <w:pPr>
        <w:pStyle w:val="TextoNormal"/>
      </w:pPr>
      <w:r>
        <w:t>C) Alternativas de constitución del Pleno de la cámara para preservar el principio democrático</w:t>
      </w:r>
    </w:p>
    <w:p w14:paraId="267F840A" w14:textId="77777777" w:rsidR="00A8138F" w:rsidRDefault="00A8138F" w:rsidP="00A8138F">
      <w:pPr>
        <w:pStyle w:val="TextoNormal"/>
      </w:pPr>
    </w:p>
    <w:p w14:paraId="18DD25B2" w14:textId="77777777" w:rsidR="00A8138F" w:rsidRDefault="00A8138F" w:rsidP="00A8138F">
      <w:pPr>
        <w:pStyle w:val="TextoNormal"/>
      </w:pPr>
      <w:r>
        <w:t xml:space="preserve">De lo expuesto se infiere que, en una situación de imposibilidad material de constitución presencial de la cámara, debe arbitrarse un modo alternativo, ajustado a las circunstancias concurrentes, de constituir el órgano constitucionalmente competente, preservando en el mayor grado posible el </w:t>
      </w:r>
      <w:r w:rsidRPr="00A8138F">
        <w:rPr>
          <w:i/>
        </w:rPr>
        <w:t>ius in officium</w:t>
      </w:r>
      <w:r>
        <w:t xml:space="preserve"> de sus componentes y, con ello, el mandato representativo a ellos conferido por los ciudadanos, lo que parece perfectamente factible en pleno siglo XXI.</w:t>
      </w:r>
    </w:p>
    <w:p w14:paraId="353A07C3" w14:textId="77777777" w:rsidR="00A8138F" w:rsidRDefault="00A8138F" w:rsidP="00A8138F">
      <w:pPr>
        <w:pStyle w:val="TextoNormal"/>
      </w:pPr>
    </w:p>
    <w:p w14:paraId="4C5BDE8A" w14:textId="77777777" w:rsidR="00A8138F" w:rsidRDefault="00A8138F" w:rsidP="00A8138F">
      <w:pPr>
        <w:pStyle w:val="TextoNormal"/>
      </w:pPr>
      <w:r>
        <w:t>Resulta evidente, en este punto, que existían alternativas que se adecuaban al orden constitucional para poder someter a convalidación el decreto-ley impugnado en el plazo improrrogable de treinta días y el Parlamento de Andalucía las tenía a la vista como modelo.</w:t>
      </w:r>
    </w:p>
    <w:p w14:paraId="5B294757" w14:textId="77777777" w:rsidR="00A8138F" w:rsidRDefault="00A8138F" w:rsidP="00A8138F">
      <w:pPr>
        <w:pStyle w:val="TextoNormal"/>
      </w:pPr>
    </w:p>
    <w:p w14:paraId="54038490" w14:textId="77777777" w:rsidR="00A8138F" w:rsidRDefault="00A8138F" w:rsidP="00A8138F">
      <w:pPr>
        <w:pStyle w:val="TextoNormal"/>
      </w:pPr>
      <w:r>
        <w:t>Contrasta, en efecto, el proceder del Parlamento de Andalucía con lo que ocurría en esas mismas fechas con la convalidación de los decretos-leyes estatales en el Congreso de los Diputados. Así, el 25 de marzo de 2020, el Pleno del Congreso de los Diputados, acordó convalidar el Real Decreto-ley 8/2020, de 17 de marzo. Igualmente, el 9 de abril de 2020 el Pleno del Congreso de los Diputados, acordó convalidar el Real Decreto-ley 11/2020, de 31 de marzo. Mientras tanto, mediante simple acuerdo de 2 de abril de 2020 de la Diputación Permanente del Parlamento de Andalucía se convalidaba el Decreto-ley 2/2020 por parte de un órgano constitucional y estatutariamente incompetente.</w:t>
      </w:r>
    </w:p>
    <w:p w14:paraId="1EB4BD1E" w14:textId="77777777" w:rsidR="00A8138F" w:rsidRDefault="00A8138F" w:rsidP="00A8138F">
      <w:pPr>
        <w:pStyle w:val="TextoNormal"/>
      </w:pPr>
    </w:p>
    <w:p w14:paraId="0EFEE0BB" w14:textId="77777777" w:rsidR="00A8138F" w:rsidRDefault="00A8138F" w:rsidP="00A8138F">
      <w:pPr>
        <w:pStyle w:val="TextoNormal"/>
      </w:pPr>
      <w:r>
        <w:t>Tendría que haber sido el Pleno del Parlamento de Andalucía, previa adopción de aquellas medidas que pudieran haber sido necesarias en un supuesto de epidemia como la del covid-19 y que habían sido implementadas por el Congreso de los Diputados (voto telemático, etc.), el que debería haber convalidado, en su caso, el Decreto-ley 2/2020.</w:t>
      </w:r>
    </w:p>
    <w:p w14:paraId="142F5617" w14:textId="77777777" w:rsidR="00A8138F" w:rsidRDefault="00A8138F" w:rsidP="00A8138F">
      <w:pPr>
        <w:pStyle w:val="TextoNormal"/>
      </w:pPr>
    </w:p>
    <w:p w14:paraId="5BA4F284" w14:textId="77777777" w:rsidR="00A8138F" w:rsidRDefault="00A8138F" w:rsidP="00A8138F">
      <w:pPr>
        <w:pStyle w:val="TextoNormal"/>
      </w:pPr>
      <w:r>
        <w:t>Al no hacerse así, el Decreto-ley 2/2020 dejó de estar en vigor transcurrido el plazo de treinta días sin haber sido convalidado por el órgano constitucionalmente competente para ello, el Pleno del Parlamento.</w:t>
      </w:r>
    </w:p>
    <w:p w14:paraId="163A6661" w14:textId="77777777" w:rsidR="00A8138F" w:rsidRDefault="00A8138F" w:rsidP="00A8138F">
      <w:pPr>
        <w:pStyle w:val="TextoNormal"/>
      </w:pPr>
    </w:p>
    <w:p w14:paraId="0DE6D32E" w14:textId="77777777" w:rsidR="00A8138F" w:rsidRDefault="00A8138F" w:rsidP="00A8138F">
      <w:pPr>
        <w:pStyle w:val="TextoNormal"/>
      </w:pPr>
      <w:r>
        <w:t>En suma, como acreditan los arts. 78.2 y 116.5 CE, la función de la Diputación Permanente como órgano que garantiza la continuidad de la actividad parlamentaria en situaciones de urgencia se contrae a los supuestos de imposibilidad jurídica de reunir al órgano parlamentario competente por hallarse la cámara disuelta o haber expirado su mandato —esto es, por haber cesado en el ejercicio de sus funciones—. La subrogación de dicho órgano en el ejercicio de funciones propias de la cámara —singularmente en la convalidación de los decretos-leyes— mientras esta se halla en pleno ejercicio de su mandato representativo es contradictoria con la concepción constitucional del principio democrático, pues implica una merma injustificada del régimen de representación constitucionalmente establecido y del derecho fundamental de cada diputado al ejercicio del cargo previsto en el art. 23.2 CE.</w:t>
      </w:r>
    </w:p>
    <w:p w14:paraId="1BEFD8A9" w14:textId="77777777" w:rsidR="00A8138F" w:rsidRDefault="00A8138F" w:rsidP="00A8138F">
      <w:pPr>
        <w:pStyle w:val="TextoNormal"/>
      </w:pPr>
    </w:p>
    <w:p w14:paraId="4B624C5E" w14:textId="77777777" w:rsidR="00A8138F" w:rsidRDefault="00A8138F" w:rsidP="00A8138F">
      <w:pPr>
        <w:pStyle w:val="TextoNormal"/>
      </w:pPr>
      <w:r>
        <w:t>En tal sentido formulo mi voto discrepante.</w:t>
      </w:r>
    </w:p>
    <w:p w14:paraId="6901831E" w14:textId="77777777" w:rsidR="00A8138F" w:rsidRDefault="00A8138F" w:rsidP="00A8138F">
      <w:pPr>
        <w:pStyle w:val="TextoNormal"/>
      </w:pPr>
    </w:p>
    <w:p w14:paraId="7EE9D745" w14:textId="50DFF229" w:rsidR="00A8138F" w:rsidRDefault="00A8138F" w:rsidP="00A8138F">
      <w:pPr>
        <w:pStyle w:val="TextoNormal"/>
      </w:pPr>
      <w:r>
        <w:lastRenderedPageBreak/>
        <w:t>Madrid, a veinte de febrero de dos mil veinticinco.</w:t>
      </w:r>
    </w:p>
    <w:p w14:paraId="2481DA25" w14:textId="249A8D8B" w:rsidR="00A8138F" w:rsidRDefault="00A8138F">
      <w:pPr>
        <w:spacing w:after="160" w:line="278" w:lineRule="auto"/>
        <w:rPr>
          <w:rFonts w:ascii="Times New Roman" w:eastAsia="Times New Roman" w:hAnsi="Times New Roman" w:cs="Times New Roman"/>
          <w:sz w:val="24"/>
          <w:szCs w:val="24"/>
          <w:lang w:eastAsia="es-ES"/>
        </w:rPr>
      </w:pPr>
      <w:r>
        <w:br w:type="page"/>
      </w:r>
    </w:p>
    <w:p w14:paraId="36F9B5A6" w14:textId="77777777" w:rsidR="00A8138F" w:rsidRDefault="00A8138F" w:rsidP="00A8138F">
      <w:pPr>
        <w:pStyle w:val="TtuloResolucin"/>
      </w:pPr>
      <w:bookmarkStart w:id="43" w:name="SENTENCIA_2025_41"/>
      <w:r>
        <w:lastRenderedPageBreak/>
        <w:t>SENTENCIA 41/2025, de 11 de febrero de 2025</w:t>
      </w:r>
    </w:p>
    <w:bookmarkEnd w:id="43"/>
    <w:p w14:paraId="23F09EB7" w14:textId="77777777" w:rsidR="00A8138F" w:rsidRDefault="00A8138F" w:rsidP="00A8138F">
      <w:pPr>
        <w:pStyle w:val="TtuloResolucin"/>
      </w:pPr>
      <w:r>
        <w:t>Pleno</w:t>
      </w:r>
    </w:p>
    <w:p w14:paraId="6744175B" w14:textId="77777777" w:rsidR="00A8138F" w:rsidRDefault="00A8138F" w:rsidP="00A8138F">
      <w:pPr>
        <w:pStyle w:val="TtuloBOE"/>
      </w:pPr>
      <w:r>
        <w:t>(BOE núm. 69, de 21 de marzo de 2025)</w:t>
      </w:r>
    </w:p>
    <w:p w14:paraId="0D312CE7" w14:textId="77777777" w:rsidR="00A8138F" w:rsidRDefault="00A8138F" w:rsidP="00A8138F">
      <w:pPr>
        <w:pStyle w:val="TextoNormalCentrado"/>
      </w:pPr>
      <w:r>
        <w:t>ECLI:ES:TC:2025:41</w:t>
      </w:r>
    </w:p>
    <w:p w14:paraId="68BDB526" w14:textId="50DB6EA9" w:rsidR="00A8138F" w:rsidRDefault="00A8138F" w:rsidP="00A8138F">
      <w:pPr>
        <w:pStyle w:val="TextoNormalCentrado"/>
      </w:pPr>
    </w:p>
    <w:p w14:paraId="17507281" w14:textId="77777777" w:rsidR="00A8138F" w:rsidRDefault="00A8138F" w:rsidP="00A8138F">
      <w:pPr>
        <w:pStyle w:val="SntesisDescriptiva"/>
      </w:pPr>
      <w:r>
        <w:t>Recurso de amparo 5726-2021. Promovido por don Hamza Mouri respecto de las resoluciones dictadas por la Sala de lo Penal del Tribunal Supremo, la Audiencia Provincial de Alicante y un juzgado de lo penal de Orihuela que le condenaron por un delito de lesiones en el ámbito de la violencia sobre la mujer.</w:t>
      </w:r>
    </w:p>
    <w:p w14:paraId="272BBD5C" w14:textId="742A56CA" w:rsidR="00A8138F" w:rsidRDefault="00A8138F" w:rsidP="00A8138F">
      <w:pPr>
        <w:pStyle w:val="SntesisDescriptiva"/>
      </w:pPr>
    </w:p>
    <w:p w14:paraId="1191509A" w14:textId="77777777" w:rsidR="00A8138F" w:rsidRDefault="00A8138F" w:rsidP="00A8138F">
      <w:pPr>
        <w:pStyle w:val="SntesisAnaltica"/>
      </w:pPr>
      <w:r>
        <w:t>Supuesta vulneración de los derechos a un proceso con todas las garantías, al juez ordinario predeterminado por la ley y a la presunción de inocencia: valoración del testimonio de quien, siendo pareja del acusado, desplegó una concluyente actividad procesal reveladora de su voluntad de renunciar a la dispensa de la obligación de declarar; intervención del juez que presidió la vista oral tendente a depurar los hechos que no afecta a su imparcialidad. Voto particular.</w:t>
      </w:r>
    </w:p>
    <w:p w14:paraId="77CD964D" w14:textId="5AB94B79" w:rsidR="00A8138F" w:rsidRDefault="00A8138F" w:rsidP="00A8138F">
      <w:pPr>
        <w:pStyle w:val="SntesisAnaltica"/>
      </w:pPr>
    </w:p>
    <w:p w14:paraId="4EE2339F" w14:textId="6759F31D" w:rsidR="00A8138F" w:rsidRDefault="00A8138F" w:rsidP="00A8138F">
      <w:pPr>
        <w:pStyle w:val="Extracto"/>
      </w:pPr>
      <w:r>
        <w:t>1.</w:t>
      </w:r>
      <w:r>
        <w:tab/>
        <w:t>En relación con el derecho a la intimidad, corresponde a cada persona acotar el ámbito de intimidad personal que reserva al conocimiento ajeno (STC 7/2014). Y no constituye un límite de tal derecho difundir una faceta de la vida de una persona pública que ella misma ha revelado previamente al público de forma voluntaria prestando un consentimiento eficaz [FJ 2].</w:t>
      </w:r>
    </w:p>
    <w:p w14:paraId="5A8215E3" w14:textId="77777777" w:rsidR="00A8138F" w:rsidRDefault="00A8138F" w:rsidP="00A8138F">
      <w:pPr>
        <w:pStyle w:val="Extracto"/>
      </w:pPr>
    </w:p>
    <w:p w14:paraId="388244C3" w14:textId="7894B25F" w:rsidR="00A8138F" w:rsidRDefault="00A8138F" w:rsidP="00A8138F">
      <w:pPr>
        <w:pStyle w:val="Extracto"/>
      </w:pPr>
      <w:r>
        <w:t>2.</w:t>
      </w:r>
      <w:r>
        <w:tab/>
        <w:t>El ejercicio del derecho a ejercer la acusación, manifestación del derecho de acceso a la jurisdicción, conlleva que no pueda ejercerse simultáneamente su derecho a la dispensa [FJ 2].</w:t>
      </w:r>
    </w:p>
    <w:p w14:paraId="3E9AE932" w14:textId="77777777" w:rsidR="00A8138F" w:rsidRDefault="00A8138F" w:rsidP="00A8138F">
      <w:pPr>
        <w:pStyle w:val="Extracto"/>
      </w:pPr>
    </w:p>
    <w:p w14:paraId="547FD184" w14:textId="73238CF3" w:rsidR="00A8138F" w:rsidRDefault="00A8138F" w:rsidP="00A8138F">
      <w:pPr>
        <w:pStyle w:val="Extracto"/>
      </w:pPr>
      <w:r>
        <w:t>3.</w:t>
      </w:r>
      <w:r>
        <w:tab/>
        <w:t xml:space="preserve">Es la propia actuación de quien, en el ejercicio del derecho fundamental al </w:t>
      </w:r>
      <w:r w:rsidRPr="00A8138F">
        <w:rPr>
          <w:i/>
        </w:rPr>
        <w:t>ius ut procedatur</w:t>
      </w:r>
      <w:r>
        <w:t>, comparece como acusación particular en un proceso (derecho garantizado en el art. 24.1 CE), la que impide que pueda ejercer en ese mismo proceso su renuncia al derecho a no declarar como testigo. Cuando se da la circunstancia de que es el testigo-pariente el que promueve la acción penal se está renunciando al derecho a no declarar contra el pariente al que se le acusa del delito [FJ 2].</w:t>
      </w:r>
    </w:p>
    <w:p w14:paraId="68E047C7" w14:textId="77777777" w:rsidR="00A8138F" w:rsidRDefault="00A8138F" w:rsidP="00A8138F">
      <w:pPr>
        <w:pStyle w:val="Extracto"/>
      </w:pPr>
    </w:p>
    <w:p w14:paraId="35E7B627" w14:textId="63790674" w:rsidR="00A8138F" w:rsidRDefault="00A8138F" w:rsidP="00A8138F">
      <w:pPr>
        <w:pStyle w:val="Extracto"/>
      </w:pPr>
      <w:r>
        <w:t>4.</w:t>
      </w:r>
      <w:r>
        <w:tab/>
        <w:t>En el caso de un testigo, el Tribunal no puede tener incertidumbre alguna sobre lo que el testigo afirma. Por tanto, forma parte de la propia naturaleza de la inmediación judicial que el Tribunal pueda formular preguntas a un testigo sobre aquellos aspectos fácticos que no le hayan quedado claros como resultado del interrogatorio de las partes [FJ 3].</w:t>
      </w:r>
    </w:p>
    <w:p w14:paraId="5F3595EC" w14:textId="77777777" w:rsidR="00A8138F" w:rsidRDefault="00A8138F" w:rsidP="00A8138F">
      <w:pPr>
        <w:pStyle w:val="Extracto"/>
      </w:pPr>
    </w:p>
    <w:p w14:paraId="22F46243" w14:textId="60654F49" w:rsidR="00A8138F" w:rsidRDefault="00A8138F" w:rsidP="00A8138F">
      <w:pPr>
        <w:pStyle w:val="Extracto"/>
      </w:pPr>
      <w:r>
        <w:t>5.</w:t>
      </w:r>
      <w:r>
        <w:tab/>
        <w:t>El órgano de enjuiciamiento no puede introducir hechos que no hayan sido objeto de acusación y sobre los que, por tanto, el procesado no haya podido ejercer su derecho de defensa en condiciones de igualdad con el resto de las partes. El uso de esta prerrogativa no puede suponer que el tribunal se convierta en acusación, en juez y parte al mismo tiempo, con la consiguiente pérdida de su debida imparcialidad. Lo relevante son los hechos que vienen definidos por los escritos de acusación, y que constituyen el objeto del proceso penal y, por lo tanto, del acervo probatorio propuesto por las partes (STC 91/2021) [FJ 3].</w:t>
      </w:r>
    </w:p>
    <w:p w14:paraId="67C6D683" w14:textId="77777777" w:rsidR="00A8138F" w:rsidRDefault="00A8138F" w:rsidP="00A8138F">
      <w:pPr>
        <w:pStyle w:val="Extracto"/>
      </w:pPr>
    </w:p>
    <w:p w14:paraId="3D5B73B0" w14:textId="488C045A" w:rsidR="00A8138F" w:rsidRDefault="00A8138F" w:rsidP="00A8138F">
      <w:pPr>
        <w:pStyle w:val="Extracto"/>
      </w:pPr>
      <w:r>
        <w:t>6.</w:t>
      </w:r>
      <w:r>
        <w:tab/>
        <w:t>La actuación judicial consistente en la lectura de la declaración prestada al hacer preguntas a los testigos y sin introducir elementos fácticos o probatorios nuevos que pudieran contribuir a reforzar la posición de alguna de las partes, ante las contradicciones puestas de manifiesto, es ajustada a la doctrina constitucional [FJ 3].</w:t>
      </w:r>
    </w:p>
    <w:p w14:paraId="2F25A6C0" w14:textId="77777777" w:rsidR="00A8138F" w:rsidRDefault="00A8138F" w:rsidP="00A8138F">
      <w:pPr>
        <w:pStyle w:val="Extracto"/>
      </w:pPr>
    </w:p>
    <w:p w14:paraId="4FD458B8" w14:textId="77777777" w:rsidR="00A8138F" w:rsidRDefault="00A8138F" w:rsidP="00A8138F">
      <w:pPr>
        <w:pStyle w:val="Extracto"/>
      </w:pPr>
    </w:p>
    <w:p w14:paraId="540D5C3C"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133EE2DF" w14:textId="7A882556" w:rsidR="00A8138F" w:rsidRDefault="00A8138F" w:rsidP="00A8138F">
      <w:pPr>
        <w:pStyle w:val="TextoNormal"/>
      </w:pPr>
    </w:p>
    <w:p w14:paraId="35CB3A59" w14:textId="77777777" w:rsidR="00A8138F" w:rsidRDefault="00A8138F" w:rsidP="00A8138F">
      <w:pPr>
        <w:pStyle w:val="TextoNormalCentrado"/>
        <w:keepNext/>
      </w:pPr>
      <w:r>
        <w:t>EN NOMBRE DEL REY</w:t>
      </w:r>
    </w:p>
    <w:p w14:paraId="4813EC59" w14:textId="3F5EE02F" w:rsidR="00A8138F" w:rsidRDefault="00A8138F" w:rsidP="00A8138F">
      <w:pPr>
        <w:pStyle w:val="TextoNormalCentrado"/>
        <w:keepNext/>
      </w:pPr>
    </w:p>
    <w:p w14:paraId="641C1804" w14:textId="77777777" w:rsidR="00A8138F" w:rsidRDefault="00A8138F" w:rsidP="00A8138F">
      <w:pPr>
        <w:pStyle w:val="TextoNormalCentrado"/>
        <w:keepNext/>
      </w:pPr>
    </w:p>
    <w:p w14:paraId="2535FA19" w14:textId="77777777" w:rsidR="00A8138F" w:rsidRDefault="00A8138F" w:rsidP="00A8138F">
      <w:pPr>
        <w:pStyle w:val="TextoNormal"/>
      </w:pPr>
      <w:r>
        <w:t>la siguiente</w:t>
      </w:r>
    </w:p>
    <w:p w14:paraId="0FCF0D52" w14:textId="153ECC72" w:rsidR="00A8138F" w:rsidRDefault="00A8138F" w:rsidP="00A8138F">
      <w:pPr>
        <w:pStyle w:val="TextoNormal"/>
      </w:pPr>
    </w:p>
    <w:p w14:paraId="30BA7844" w14:textId="77777777" w:rsidR="00A8138F" w:rsidRDefault="00A8138F" w:rsidP="00A8138F">
      <w:pPr>
        <w:pStyle w:val="TextoNormalCentrado"/>
        <w:keepNext/>
      </w:pPr>
      <w:r>
        <w:t>SENTENCIA</w:t>
      </w:r>
    </w:p>
    <w:p w14:paraId="72B9FE56" w14:textId="645F2279" w:rsidR="00A8138F" w:rsidRDefault="00A8138F" w:rsidP="00A8138F">
      <w:pPr>
        <w:pStyle w:val="TextoNormalCentrado"/>
        <w:keepNext/>
      </w:pPr>
    </w:p>
    <w:p w14:paraId="576457E9" w14:textId="77777777" w:rsidR="00A8138F" w:rsidRDefault="00A8138F" w:rsidP="00A8138F">
      <w:pPr>
        <w:pStyle w:val="TextoNormal"/>
      </w:pPr>
      <w:r>
        <w:t>En el recurso de amparo núm. 5726-2021, interpuesto por don Hamza Mouri, representado por la procuradora de los tribunales doña María Dolores Moreno Gómez, bajo la dirección de la letrada doña Cristina Hernández Albertus, contra la providencia de la Sala de lo Penal del Tribunal Supremo de 24 de junio de 2021 dictada en el recurso de casación núm. 363-2021, por la que se inadmite el recurso de casación interpuesto contra la sentencia de la Sección Primera de la Audiencia Provincial de Alicante núm. 615/2020, de 10 de diciembre, dictada en la apelación de juicio rápido núm. 1151-2020, que confirma la sentencia núm. 194/2020, de 24 de septiembre, dictada por el Juzgado de lo Penal núm. 1 de Orihuela (Alicante) en el juicio rápido núm. 330-2020. Ha comparecido doña Nacera Semaou, representada por la procuradora doña María Luisa Martínez Parra, bajo la dirección del letrado don Carlos Tomás Cámara, y ha intervenido el Ministerio Fiscal. Ha sido ponente la magistrada doña Inmaculada Montalbán Huertas.</w:t>
      </w:r>
    </w:p>
    <w:p w14:paraId="097F4BDB" w14:textId="62E3C75E" w:rsidR="00A8138F" w:rsidRDefault="00A8138F" w:rsidP="00A8138F">
      <w:pPr>
        <w:pStyle w:val="TextoNormal"/>
      </w:pPr>
    </w:p>
    <w:p w14:paraId="7B451692" w14:textId="77777777" w:rsidR="00A8138F" w:rsidRDefault="00A8138F" w:rsidP="00A8138F">
      <w:pPr>
        <w:pStyle w:val="TextoNormalNegritaCentrado"/>
        <w:keepNext/>
      </w:pPr>
      <w:r>
        <w:t>I. Antecedentes</w:t>
      </w:r>
    </w:p>
    <w:p w14:paraId="6188FEAE" w14:textId="5F9F3F1D" w:rsidR="00A8138F" w:rsidRDefault="00A8138F" w:rsidP="00A8138F">
      <w:pPr>
        <w:pStyle w:val="TextoNormalNegritaCentrado"/>
        <w:keepNext/>
      </w:pPr>
    </w:p>
    <w:p w14:paraId="31EEABC2" w14:textId="305DCFD5" w:rsidR="00A8138F" w:rsidRDefault="00A8138F" w:rsidP="00A8138F">
      <w:pPr>
        <w:pStyle w:val="TextoNormal"/>
      </w:pPr>
      <w:r w:rsidRPr="00A8138F">
        <w:rPr>
          <w:rStyle w:val="NumeroAFNegritaCaracter"/>
        </w:rPr>
        <w:t>1</w:t>
      </w:r>
      <w:r>
        <w:t>. Mediante escrito presentado en el registro general de este tribunal el 12 de septiembre de 2021, don Hamza Mouri, representado por la procuradora de los tribunales doña María Dolores Moreno Gómez y asistido por la abogada doña Cristina Hernández Albertus, interpuso recurso de amparo contra las resoluciones judiciales a las que se ha hecho mención en el encabezamiento de esta sentencia.</w:t>
      </w:r>
    </w:p>
    <w:p w14:paraId="48DE12E0" w14:textId="77777777" w:rsidR="00A8138F" w:rsidRDefault="00A8138F" w:rsidP="00A8138F">
      <w:pPr>
        <w:pStyle w:val="TextoNormal"/>
      </w:pPr>
    </w:p>
    <w:p w14:paraId="0D3464AB" w14:textId="77777777" w:rsidR="00A8138F" w:rsidRDefault="00A8138F" w:rsidP="00A8138F">
      <w:pPr>
        <w:pStyle w:val="TextoNormal"/>
      </w:pPr>
      <w:r w:rsidRPr="00A8138F">
        <w:rPr>
          <w:rStyle w:val="NumeroAFNegritaCaracter"/>
        </w:rPr>
        <w:t>2</w:t>
      </w:r>
      <w:r>
        <w:t>. El recurso tiene su origen en los siguientes antecedentes:</w:t>
      </w:r>
    </w:p>
    <w:p w14:paraId="4E3922B2" w14:textId="77777777" w:rsidR="00A8138F" w:rsidRDefault="00A8138F" w:rsidP="00A8138F">
      <w:pPr>
        <w:pStyle w:val="TextoNormal"/>
      </w:pPr>
    </w:p>
    <w:p w14:paraId="2C181FCC" w14:textId="77777777" w:rsidR="00A8138F" w:rsidRDefault="00A8138F" w:rsidP="00A8138F">
      <w:pPr>
        <w:pStyle w:val="TextoNormal"/>
      </w:pPr>
      <w:r>
        <w:lastRenderedPageBreak/>
        <w:t>a) La Brigada Local de Policía Judicial de Orihuela (Alicante) instruyó el atestado núm. 4449-2020, incoado a las 5:53 horas del día 11 de agosto de 2020 con ocasión de la intervención de agentes del Cuerpo Nacional de Policía en una vía pública de la citada localidad, a requerimiento de doña Nacera Semaou, que les manifestó que acababa de ser agredida físicamente por su entonces pareja sentimental, el ahora demandante de amparo, y por un amigo de este último.</w:t>
      </w:r>
    </w:p>
    <w:p w14:paraId="7936C2C2" w14:textId="77777777" w:rsidR="00A8138F" w:rsidRDefault="00A8138F" w:rsidP="00A8138F">
      <w:pPr>
        <w:pStyle w:val="TextoNormal"/>
      </w:pPr>
    </w:p>
    <w:p w14:paraId="7452646F" w14:textId="77777777" w:rsidR="00A8138F" w:rsidRDefault="00A8138F" w:rsidP="00A8138F">
      <w:pPr>
        <w:pStyle w:val="TextoNormal"/>
      </w:pPr>
      <w:r>
        <w:t>En el atestado consta que a las 6:41 horas del día 11 de agosto de 2020, la señora Semaou compareció ante la comisaría del Cuerpo Nacional de Policía de Orihuela para formalizar su denuncia contra don Hamza Mouri por malos tratos físicos en el ámbito de la pareja. En esa comparecencia fue informada tanto de la obligación legal que, como testigo en causa criminal, tenía de decir la verdad [art. 433 de la Ley de enjuiciamiento criminal (LECrim)] con el apercibimiento de incurrir, en caso contrario, en los delitos tipificados en los arts. 456, 457 y 458 del Código penal (CP); así como, de la dispensa de dicha obligación, prevista en el art. 416.1 LECrim, dada la relación que mantenía en el momento de los hechos con el investigado. La señora Semaou rechazó expresamente acogerse a la dispensa. En su declaración manifestó, entre otros extremos, que mantenía una relación sentimental con el detenido, señor Mouri, desde hacía aproximadamente un año, que llevaban quince días conviviendo junto con el hijo de la señora Semaou, de dos años de edad, y un amigo del señor Mouri, y que, desde que se inició la convivencia, la relación de pareja se había ido deteriorando hasta que esa misma noche, tras una fuerte discusión con el amigo del señor Mouri, ambos terminaron agrediendo físicamente a la declarante. En concreto, atribuyó a su pareja, el señor Mouri, haberle propinado un cabezazo en la frente, arrojado jabón a los ojos y tirado del pelo.</w:t>
      </w:r>
    </w:p>
    <w:p w14:paraId="1F082FB5" w14:textId="77777777" w:rsidR="00A8138F" w:rsidRDefault="00A8138F" w:rsidP="00A8138F">
      <w:pPr>
        <w:pStyle w:val="TextoNormal"/>
      </w:pPr>
    </w:p>
    <w:p w14:paraId="1D6D3C19" w14:textId="77777777" w:rsidR="00A8138F" w:rsidRDefault="00A8138F" w:rsidP="00A8138F">
      <w:pPr>
        <w:pStyle w:val="TextoNormal"/>
      </w:pPr>
      <w:r>
        <w:t>b) El atestado fue remitido el 12 de agosto de 2020 al Juzgado de Violencia sobre la Mujer núm. 1 de Orihuela, que, en la misma fecha, dictó auto de incoación de las diligencias urgentes de juicio rápido núm. 672-2020, dirigidas contra el recurrente en amparo en calidad de investigado.</w:t>
      </w:r>
    </w:p>
    <w:p w14:paraId="64D88877" w14:textId="77777777" w:rsidR="00A8138F" w:rsidRDefault="00A8138F" w:rsidP="00A8138F">
      <w:pPr>
        <w:pStyle w:val="TextoNormal"/>
      </w:pPr>
    </w:p>
    <w:p w14:paraId="5BFFDA42" w14:textId="77777777" w:rsidR="00A8138F" w:rsidRDefault="00A8138F" w:rsidP="00A8138F">
      <w:pPr>
        <w:pStyle w:val="TextoNormal"/>
      </w:pPr>
      <w:r>
        <w:t>En esa misma fecha se efectuó ofrecimiento de acciones a la señora Semaou, quien solicitó la designación de letrado del turno de oficio. En su declaración judicial en calidad de testigo, asistida de su letrado y de un intérprete de idioma árabe, se le hicieron las prevenciones legales de los arts. 433 y 436 LECrim, en especial de la obligación de ser veraz, y se le informó nuevamente de que, al hallarse en el supuesto del art. 416.1 LECrim, “no tiene obligación de declarar en contra del procesado, [pudiendo] hacer las manifestaciones que considere oportunas”. La testigo manifestó quedar enterada y prestó declaración en sentido incriminatorio hacia el ahora demandante. Finalmente, se le hizo saber que conforme al art. 446 LECrim estaba obligada como testigo a comparecer para declarar de nuevo ante el tribunal competente cuando fuera citada para ello.</w:t>
      </w:r>
    </w:p>
    <w:p w14:paraId="1ADD793E" w14:textId="77777777" w:rsidR="00A8138F" w:rsidRDefault="00A8138F" w:rsidP="00A8138F">
      <w:pPr>
        <w:pStyle w:val="TextoNormal"/>
      </w:pPr>
    </w:p>
    <w:p w14:paraId="09E8F2CB" w14:textId="77777777" w:rsidR="00A8138F" w:rsidRDefault="00A8138F" w:rsidP="00A8138F">
      <w:pPr>
        <w:pStyle w:val="TextoNormal"/>
      </w:pPr>
      <w:r>
        <w:t xml:space="preserve">Celebrada el mismo día la audiencia prevista en el art. 798.2.1 LECrim, con asistencia del letrado de la señora Semaou como acusación particular, se dictaron de forma oral el auto por el que se acordó la continuación del procedimiento por el cauce establecido en el capítulo IV del título III del libro IV de la Ley de enjuiciamiento criminal, así como el auto de apertura de juicio oral frente al imputado, solicitado tanto por el Ministerio Fiscal como por la acusación particular ejercida por la señora Semaou, por un delito de lesiones en el ámbito de la violencia de género, previsto y penado en el art. 153.1 y 3 CP. En la misma audiencia </w:t>
      </w:r>
      <w:r>
        <w:lastRenderedPageBreak/>
        <w:t>se señaló el día 15 de septiembre de 2020 para la celebración del juicio oral en el Juzgado de lo Penal núm. 1 de Orihuela.</w:t>
      </w:r>
    </w:p>
    <w:p w14:paraId="2E883CCC" w14:textId="77777777" w:rsidR="00A8138F" w:rsidRDefault="00A8138F" w:rsidP="00A8138F">
      <w:pPr>
        <w:pStyle w:val="TextoNormal"/>
      </w:pPr>
    </w:p>
    <w:p w14:paraId="40E66B02" w14:textId="77777777" w:rsidR="00A8138F" w:rsidRDefault="00A8138F" w:rsidP="00A8138F">
      <w:pPr>
        <w:pStyle w:val="TextoNormal"/>
      </w:pPr>
      <w:r>
        <w:t>El 14 de agosto de 2023, el letrado de la señora Semaou presentó escrito de acusación contra don Hamza Mouri, adhiriéndose al escrito de acusación del Ministerio Fiscal así como a la petición de prueba formulada por este para el acto del juicio oral, que incluía la declaración como testigo de doña Nacera Semaou.</w:t>
      </w:r>
    </w:p>
    <w:p w14:paraId="469F1E11" w14:textId="77777777" w:rsidR="00A8138F" w:rsidRDefault="00A8138F" w:rsidP="00A8138F">
      <w:pPr>
        <w:pStyle w:val="TextoNormal"/>
      </w:pPr>
    </w:p>
    <w:p w14:paraId="2C2558B9" w14:textId="77777777" w:rsidR="00A8138F" w:rsidRDefault="00A8138F" w:rsidP="00A8138F">
      <w:pPr>
        <w:pStyle w:val="TextoNormal"/>
      </w:pPr>
      <w:r>
        <w:t>Mediante diligencia de ordenación de 18 de agosto de 2020, las actuaciones fueron remitidas al citado juzgado de lo penal.</w:t>
      </w:r>
    </w:p>
    <w:p w14:paraId="5F307C54" w14:textId="77777777" w:rsidR="00A8138F" w:rsidRDefault="00A8138F" w:rsidP="00A8138F">
      <w:pPr>
        <w:pStyle w:val="TextoNormal"/>
      </w:pPr>
    </w:p>
    <w:p w14:paraId="7E451032" w14:textId="77777777" w:rsidR="00A8138F" w:rsidRDefault="00A8138F" w:rsidP="00A8138F">
      <w:pPr>
        <w:pStyle w:val="TextoNormal"/>
      </w:pPr>
      <w:r>
        <w:t>c) Recibidas las actuaciones en el Juzgado de lo Penal núm. 1 de Orihuela y una vez evacuado el trámite de calificación provisional, se dictó el 3 de septiembre de 2020 auto de incoación de juicio rápido y de admisión de las pruebas propuestas en los escritos de la acusación y de la defensa, así como de una declaración testifical más.</w:t>
      </w:r>
    </w:p>
    <w:p w14:paraId="0B19B70B" w14:textId="77777777" w:rsidR="00A8138F" w:rsidRDefault="00A8138F" w:rsidP="00A8138F">
      <w:pPr>
        <w:pStyle w:val="TextoNormal"/>
      </w:pPr>
    </w:p>
    <w:p w14:paraId="4C781BE5" w14:textId="77777777" w:rsidR="00A8138F" w:rsidRDefault="00A8138F" w:rsidP="00A8138F">
      <w:pPr>
        <w:pStyle w:val="TextoNormal"/>
      </w:pPr>
      <w:r>
        <w:t>d) El acto del juicio oral fue celebrado el día 15 de septiembre de 2020.</w:t>
      </w:r>
    </w:p>
    <w:p w14:paraId="59E27324" w14:textId="77777777" w:rsidR="00A8138F" w:rsidRDefault="00A8138F" w:rsidP="00A8138F">
      <w:pPr>
        <w:pStyle w:val="TextoNormal"/>
      </w:pPr>
    </w:p>
    <w:p w14:paraId="172E3CFF" w14:textId="77777777" w:rsidR="00A8138F" w:rsidRDefault="00A8138F" w:rsidP="00A8138F">
      <w:pPr>
        <w:pStyle w:val="TextoNormal"/>
      </w:pPr>
      <w:r>
        <w:t>La prueba personal practicada en dicho acto, tras acogerse el acusado a su derecho a no declarar, consistió en la declaración testifical de doña Nacera Semaou, efectuada con asistencia de su letrado y de intérprete. Al inicio de la declaración, el juez informó a la señora Semaou de la obligación que tenía de declarar y de decir la verdad, bajo apercibimiento de incurrir en un delito de falso testimonio. El interrogatorio propiamente dicho comenzó con una serie de preguntas formuladas por la representante del Ministerio Fiscal acerca de la relación que tenía con el acusado en el momento de producirse los hechos, a lo que la testigo contestó que era su novio y que vivían juntos. Cuando fue preguntada por la fiscal “si ese 11 de agosto de 2020, alrededor de las tres de la madrugada, tuvo algún conflicto con su novio”, la testigo preguntó a través de la intérprete ‘¿obligada a declarar?’” (minuto 3:33 de la grabación del juicio oral) y entonces el juez se dirigió a ella en estos términos:</w:t>
      </w:r>
    </w:p>
    <w:p w14:paraId="2535C496" w14:textId="77777777" w:rsidR="00A8138F" w:rsidRDefault="00A8138F" w:rsidP="00A8138F">
      <w:pPr>
        <w:pStyle w:val="TextoNormal"/>
      </w:pPr>
    </w:p>
    <w:p w14:paraId="46AC35B5" w14:textId="77777777" w:rsidR="00A8138F" w:rsidRDefault="00A8138F" w:rsidP="00A8138F">
      <w:pPr>
        <w:pStyle w:val="TextoNormal"/>
      </w:pPr>
      <w:r>
        <w:t>“La señora tiene obligación de declarar, si no declara se le impondrá a tenor del artículo 220 [</w:t>
      </w:r>
      <w:r w:rsidRPr="00A8138F">
        <w:rPr>
          <w:i/>
        </w:rPr>
        <w:t>sic</w:t>
      </w:r>
      <w:r>
        <w:t>] de la Ley de enjuiciamiento criminal una multa de 200 a 5000 € y, si se resiste, si persiste en su negativa, se iniciaría o yo ordenaría iniciar un procedimiento contra ella por desobediencia grave a la autoridad que puede suponer multa o prisión”.</w:t>
      </w:r>
    </w:p>
    <w:p w14:paraId="10A86568" w14:textId="77777777" w:rsidR="00A8138F" w:rsidRDefault="00A8138F" w:rsidP="00A8138F">
      <w:pPr>
        <w:pStyle w:val="TextoNormal"/>
      </w:pPr>
    </w:p>
    <w:p w14:paraId="244E534F" w14:textId="77777777" w:rsidR="00A8138F" w:rsidRDefault="00A8138F" w:rsidP="00A8138F">
      <w:pPr>
        <w:pStyle w:val="TextoNormal"/>
      </w:pPr>
      <w:r>
        <w:t xml:space="preserve">Ninguno de los asistentes al juicio oral formuló oposición o protesta ante esta intervención judicial y a partir de aquí, la testigo contestó con total normalidad a las preguntas que le dirigieron tanto la fiscal como el letrado de la acusación particular, es decir, su propio abogado, y la abogada de la defensa. Al inicio del interrogatorio de la acusación particular, el juez advirtió al letrado de la señora Semaou de que su posición procesal como acusación particular resultaba contradictoria con el mantenimiento de una estrategia de defensa del acusado, y le instó a abandonar tal posición acusadora en el supuesto de que su intención fuese la de lograr su exculpación. El letrado de la acusación particular hizo constar expresamente que no era tal su intención, y procedió a realizar el interrogatorio de la testigo. Una vez terminado dicho interrogatorio, ante las contradicciones puestas de manifiesto por el Ministerio Fiscal y con el fin de despejar algunos puntos que, a su juicio, no habían quedado claros, el juez procedió a dar lectura a un pasaje de la declaración sumarial de la señora Semaou. Seguidamente pidió a esta que manifestase si lo que acababa de leer era cierto y si </w:t>
      </w:r>
      <w:r>
        <w:lastRenderedPageBreak/>
        <w:t>los hechos ocurrieron tal como habían quedado reflejados en dicho pasaje, respondiendo la testigo afirmativamente.</w:t>
      </w:r>
    </w:p>
    <w:p w14:paraId="5B4B057B" w14:textId="77777777" w:rsidR="00A8138F" w:rsidRDefault="00A8138F" w:rsidP="00A8138F">
      <w:pPr>
        <w:pStyle w:val="TextoNormal"/>
      </w:pPr>
    </w:p>
    <w:p w14:paraId="0DA881C1" w14:textId="77777777" w:rsidR="00A8138F" w:rsidRDefault="00A8138F" w:rsidP="00A8138F">
      <w:pPr>
        <w:pStyle w:val="TextoNormal"/>
      </w:pPr>
      <w:r>
        <w:t>En trámite de conclusiones definitivas, tanto el Ministerio Fiscal, como el letrado de la acusación particular solicitaron la condena del señor Mouri. En concreto, el letrado de la acusación particular solicitó su condena como autor responsable de un delito de lesiones en el ámbito de la violencia de género, previsto y penado en el art. 153.1 y 3 CP, a las penas de seis meses de prisión y prohibición de aproximarse o comunicarse con la señora Semaou a una distancia inferior a 500 metros durante un año, así como a indemnizar a la señora Semaou con 80 €. La fiscal solicitó la condena del señor Mouri, también como autor responsable de un delito del art. 153.1 y 3 CP, a la pena de un año de prisión y prohibición de aproximarse o comunicarse con la víctima durante un plazo de tres años.</w:t>
      </w:r>
    </w:p>
    <w:p w14:paraId="084688EF" w14:textId="77777777" w:rsidR="00A8138F" w:rsidRDefault="00A8138F" w:rsidP="00A8138F">
      <w:pPr>
        <w:pStyle w:val="TextoNormal"/>
      </w:pPr>
    </w:p>
    <w:p w14:paraId="578D4599" w14:textId="77777777" w:rsidR="00A8138F" w:rsidRDefault="00A8138F" w:rsidP="00A8138F">
      <w:pPr>
        <w:pStyle w:val="TextoNormal"/>
      </w:pPr>
      <w:r>
        <w:t>La defensa solicitó la absolución del señor Mouri alegando que la declaración de la señora Semaou no podía considerarse prueba de cargo válida y practicada con todas las garantías, tal como se había desarrollado el juicio.</w:t>
      </w:r>
    </w:p>
    <w:p w14:paraId="4B2C3CC9" w14:textId="77777777" w:rsidR="00A8138F" w:rsidRDefault="00A8138F" w:rsidP="00A8138F">
      <w:pPr>
        <w:pStyle w:val="TextoNormal"/>
      </w:pPr>
    </w:p>
    <w:p w14:paraId="467539F1" w14:textId="77777777" w:rsidR="00A8138F" w:rsidRDefault="00A8138F" w:rsidP="00A8138F">
      <w:pPr>
        <w:pStyle w:val="TextoNormal"/>
      </w:pPr>
      <w:r>
        <w:t>e) El Juzgado de lo Penal núm. 1 de Orihuela dictó la sentencia 194/2020, de 24 de septiembre, que condenó al acusado don Hamza Mouri como autor criminalmente responsable de un delito de lesiones en el ámbito de la violencia sobre la mujer (art. 153.1 CP), cometido en el domicilio de la víctima, sin la concurrencia de circunstancias modificativas de la responsabilidad criminal, a las penas de diez meses y quince días de prisión, privación del derecho a la tenencia y porte de armas durante dos años y un día, y la prohibición durante tres años de aproximarse a menos de 500 metros de doña Nacera Semaou, de su domicilio, lugar de trabajo o cualquier otro frecuentado por ella o en el que se encuentre, y de establecer con la misma contacto escrito, verbal o visual por cualquier medio de comunicación o medio telemático o informático. Asimismo, le impuso el pago de las costas procesales, incluidas las de la acusación particular.</w:t>
      </w:r>
    </w:p>
    <w:p w14:paraId="22AEA106" w14:textId="77777777" w:rsidR="00A8138F" w:rsidRDefault="00A8138F" w:rsidP="00A8138F">
      <w:pPr>
        <w:pStyle w:val="TextoNormal"/>
      </w:pPr>
    </w:p>
    <w:p w14:paraId="3F36F15F" w14:textId="77777777" w:rsidR="00A8138F" w:rsidRDefault="00A8138F" w:rsidP="00A8138F">
      <w:pPr>
        <w:pStyle w:val="TextoNormal"/>
      </w:pPr>
      <w:r>
        <w:t>f) El 1 de octubre de 2020, el demandante de amparo interpuso recurso de apelación frente a la sentencia condenatoria, en el que alegó la vulneración de los principios de legalidad y seguridad jurídica (art. 9 CE), del derecho fundamental a la presunción de inocencia (art. 24.2 CE, en relación con los arts. 53.1 CE y 416 y ss. LECrim), y del derecho a un proceso con todas las garantías (art. 24.2 CE). El apelante sostuvo, en síntesis, que doña Nacera Semaou, como persona unida a él por una relación de hecho análoga a la matrimonial, estaría comprendida entre los testigos que el art. 416.1 LECrim dispensa de la obligación de declarar. Sin embargo, el juez negó en el juicio oral tal opción a la testigo, colocándola ante la tesitura de incurrir en delitos de falso testimonio o de desobediencia, o de ser la “pieza” para que se condene a aquel con quien ha mantenido una relación análoga a la marital.</w:t>
      </w:r>
    </w:p>
    <w:p w14:paraId="7AD81EC5" w14:textId="77777777" w:rsidR="00A8138F" w:rsidRDefault="00A8138F" w:rsidP="00A8138F">
      <w:pPr>
        <w:pStyle w:val="TextoNormal"/>
      </w:pPr>
    </w:p>
    <w:p w14:paraId="72A737B6" w14:textId="77777777" w:rsidR="00A8138F" w:rsidRDefault="00A8138F" w:rsidP="00A8138F">
      <w:pPr>
        <w:pStyle w:val="TextoNormal"/>
      </w:pPr>
      <w:r>
        <w:t xml:space="preserve">Consideraba el recurrente que el “derecho a la dispensa” es un derecho constitucional que está sujeto a reserva de ley y ese límite debe ser respetado en tanto no se modifique la ley. Con cita de la previsión del párrafo segundo del art. 24.2 CE —“[l]a ley regulará los casos en que, por razón de parentesco o de secreto profesional, no se estará obligado a declarar sobre hechos presuntamente delictivos”—, afirmaba que los arts. 416 a 418 LECrim constituyen el desarrollo legal de este derecho de rango constitucional y, en el momento de celebrarse el juicio oral de autos, tales preceptos no recogían excepción alguna a la dispensa </w:t>
      </w:r>
      <w:r>
        <w:lastRenderedPageBreak/>
        <w:t xml:space="preserve">de la obligación de declarar de quien estuviera ligado al acusado por una relación </w:t>
      </w:r>
      <w:r w:rsidRPr="00A8138F">
        <w:rPr>
          <w:i/>
        </w:rPr>
        <w:t>mora uxorio</w:t>
      </w:r>
      <w:r>
        <w:t xml:space="preserve"> análoga a la matrimonial. La sentencia del Tribunal Supremo en que el Juzgado de lo Penal se basó para exigir a la testigo que declarase en el juicio —STS 389/2020, de 10 de julio, dictada por la Sala de lo Penal (ECLI:ES:TS:2020:2493)—, introducía, sin embargo, determinadas excepciones a la dispensa no recogidas en la ley, con infracción tanto del derecho proclamado por el art. 24.2, párrafo segundo, CE, como del principio de reserva de ley del art. 53.1 CE.</w:t>
      </w:r>
    </w:p>
    <w:p w14:paraId="75657423" w14:textId="77777777" w:rsidR="00A8138F" w:rsidRDefault="00A8138F" w:rsidP="00A8138F">
      <w:pPr>
        <w:pStyle w:val="TextoNormal"/>
      </w:pPr>
    </w:p>
    <w:p w14:paraId="793F601A" w14:textId="77777777" w:rsidR="00A8138F" w:rsidRDefault="00A8138F" w:rsidP="00A8138F">
      <w:pPr>
        <w:pStyle w:val="TextoNormal"/>
      </w:pPr>
      <w:r>
        <w:t>El recurrente denunciaba también la vulneración de su derecho a un proceso con todas las garantías, porque el juez de lo penal, una vez acabado el turno de preguntas, leyó a la citada testigo sus manifestaciones prestadas en fase de instrucción, “por las posibles contradicciones”. De este modo, el juez sustituyó a la acusación y comprometió su posición de neutralidad y el derecho de defensa. Para el apelante, “el juzgador, dado que la testigo no había contestado ‘convenientemente’ a las preguntas del Ministerio Fiscal, se posiciona acusando y sustituyendo la función acusatoria”.</w:t>
      </w:r>
    </w:p>
    <w:p w14:paraId="10AC8EAD" w14:textId="77777777" w:rsidR="00A8138F" w:rsidRDefault="00A8138F" w:rsidP="00A8138F">
      <w:pPr>
        <w:pStyle w:val="TextoNormal"/>
      </w:pPr>
    </w:p>
    <w:p w14:paraId="1EDB0DB5" w14:textId="77777777" w:rsidR="00A8138F" w:rsidRDefault="00A8138F" w:rsidP="00A8138F">
      <w:pPr>
        <w:pStyle w:val="TextoNormal"/>
      </w:pPr>
      <w:r>
        <w:t>Consideraba finalmente vulnerado su derecho a la presunción de inocencia, porque la sentencia de primera instancia declaró “especialmente relevante” la declaración de la perjudicada, pero esa declaración testifical no podía configurarse como prueba de cargo válida que permitiera fundar la culpabilidad del acusado por las razones expuestas. La “corroboración periférica de carácter objetivo” representada por el parte médico que refleja una irritación ocular, no podía servir tampoco como prueba suficiente de los hechos, ya que, sin tener en cuenta la testifical de la señora Semaou, no existía prueba directa de estos, y la irritación ocular reflejada en dicho parte podía deberse a diversas causas —“los llantos de la testigo al ser echada por el anterior morador de la vivienda ocupada en la que residía”—.</w:t>
      </w:r>
    </w:p>
    <w:p w14:paraId="0C101016" w14:textId="77777777" w:rsidR="00A8138F" w:rsidRDefault="00A8138F" w:rsidP="00A8138F">
      <w:pPr>
        <w:pStyle w:val="TextoNormal"/>
      </w:pPr>
    </w:p>
    <w:p w14:paraId="40A47527" w14:textId="77777777" w:rsidR="00A8138F" w:rsidRDefault="00A8138F" w:rsidP="00A8138F">
      <w:pPr>
        <w:pStyle w:val="TextoNormal"/>
      </w:pPr>
      <w:r>
        <w:t>Al recurso de apelación se opusieron tanto el Ministerio Fiscal como la señora Semaou, constituida en acusación particular, que solicitó la desestimación del recurso y la confirmación de la sentencia de condena.</w:t>
      </w:r>
    </w:p>
    <w:p w14:paraId="30346956" w14:textId="77777777" w:rsidR="00A8138F" w:rsidRDefault="00A8138F" w:rsidP="00A8138F">
      <w:pPr>
        <w:pStyle w:val="TextoNormal"/>
      </w:pPr>
    </w:p>
    <w:p w14:paraId="76213792" w14:textId="77777777" w:rsidR="00A8138F" w:rsidRDefault="00A8138F" w:rsidP="00A8138F">
      <w:pPr>
        <w:pStyle w:val="TextoNormal"/>
      </w:pPr>
      <w:r>
        <w:t>g) El recurso de apelación de juicio rápido núm. 1151-2020, fue desestimado por la sentencia 615/2020, de 10 de diciembre, dictada por la Sección Primera de la Audiencia Provincial de Alicante, con los siguientes argumentos:</w:t>
      </w:r>
    </w:p>
    <w:p w14:paraId="6FBDABF6" w14:textId="77777777" w:rsidR="00A8138F" w:rsidRDefault="00A8138F" w:rsidP="00A8138F">
      <w:pPr>
        <w:pStyle w:val="TextoNormal"/>
      </w:pPr>
    </w:p>
    <w:p w14:paraId="0BD78734" w14:textId="77777777" w:rsidR="00A8138F" w:rsidRDefault="00A8138F" w:rsidP="00A8138F">
      <w:pPr>
        <w:pStyle w:val="TextoNormal"/>
      </w:pPr>
      <w:r>
        <w:t>(i) Respecto a la alegada vulneración de los principios de legalidad y seguridad jurídica (art. 9 CE); del derecho del testigo-pariente a la dispensa de la obligación de declarar (art. 24.2, párrafo segundo, CE, en relación con los arts. 416 y ss. LECrim), y del derecho a un proceso con todas las garantías (art. 24.2, párrafo primero, CE): si bien es cierto que la sentencia recurrida cita la nueva doctrina jurisprudencial establecida en la STS 389/2020, esta última resuelve la cuestión relativa a si una persona que ha ostentado la acusación particular, después de abandonar tal posición en el proceso penal, puede recobrar su derecho a la dispensa. Sin embargo, declara la sala de apelación, tal doctrina no es aplicable en el presente caso, en que la víctima continúa ostentando la posición de acusación particular y no ha renunciado a ella en ningún momento; es más, ha formulado oposición a este recurso de apelación. En consecuencia, es aquí plenamente aplicable el acuerdo del Pleno no jurisdiccional de la Sala de lo Penal del Tribunal Supremo de 24 de abril de 2013, sobre la interpretación del art. 416 LECrim, conforme al cual la dispensa no es aplicable al testigo que está personado como acusación particular en el proceso.</w:t>
      </w:r>
    </w:p>
    <w:p w14:paraId="20EDE3C5" w14:textId="77777777" w:rsidR="00A8138F" w:rsidRDefault="00A8138F" w:rsidP="00A8138F">
      <w:pPr>
        <w:pStyle w:val="TextoNormal"/>
      </w:pPr>
    </w:p>
    <w:p w14:paraId="29595D3D" w14:textId="77777777" w:rsidR="00A8138F" w:rsidRDefault="00A8138F" w:rsidP="00A8138F">
      <w:pPr>
        <w:pStyle w:val="TextoNormal"/>
      </w:pPr>
      <w:r>
        <w:t>(ii) En relación con la alegada vulneración del derecho a un proceso con todas las garantías producida en el acto del juicio oral, al haber leído el juzgador a la testigo la declaración que prestó en fase de instrucción, la Sala lo rechaza al considerar que el juez hizo un uso legítimo de las facultades que le confiere la propia Ley de enjuiciamiento criminal, en concreto: la prevista en el párrafo segundo del art. 708 LECrim, que le permite dirigir a los testigos las preguntas que estime convenientes y conducentes a depurar los hechos sobre los que declaren; y la recogida en el art. 714 LECrim, que permite dar lectura de la declaración sumarial del testigo cuando no sea conforme en lo sustancial con la prestada en el juicio oral, a petición de cualquiera de las partes, en este caso el Ministerio Fiscal.</w:t>
      </w:r>
    </w:p>
    <w:p w14:paraId="080A2E44" w14:textId="77777777" w:rsidR="00A8138F" w:rsidRDefault="00A8138F" w:rsidP="00A8138F">
      <w:pPr>
        <w:pStyle w:val="TextoNormal"/>
      </w:pPr>
    </w:p>
    <w:p w14:paraId="3A5D4230" w14:textId="77777777" w:rsidR="00A8138F" w:rsidRDefault="00A8138F" w:rsidP="00A8138F">
      <w:pPr>
        <w:pStyle w:val="TextoNormal"/>
      </w:pPr>
      <w:r>
        <w:t>(iii) La queja por vulneración del derecho a la presunción de inocencia, es rechazada por la sala de apelación con fundamento en que, al haber sido la prueba esencialmente de carácter personal, es el juez de instancia quien aprovecha las ventajas de la inmediación para valorar en conciencia tales pruebas conforme al art. 741 LECrim, lo que le faculta para otorgar mayor credibilidad a una u otra versión. En la sentencia apelada, el juez efectuó una valoración de las pruebas personales conforme al principio de libre valoración de la prueba (art. 741 LECrim) y constató la existencia de pruebas de cargo suficientes para desvirtuar la presunción de inocencia y dictar una sentencia condenatoria (en concreto, la declaración de la víctima y los partes médicos). La Sala aplica a la declaración de la víctima el test de fiabilidad elaborado por la jurisprudencia penal, y concluye que en este caso se cumplen todos los requisitos.</w:t>
      </w:r>
    </w:p>
    <w:p w14:paraId="52429103" w14:textId="77777777" w:rsidR="00A8138F" w:rsidRDefault="00A8138F" w:rsidP="00A8138F">
      <w:pPr>
        <w:pStyle w:val="TextoNormal"/>
      </w:pPr>
    </w:p>
    <w:p w14:paraId="6A41E0D3" w14:textId="77777777" w:rsidR="00A8138F" w:rsidRDefault="00A8138F" w:rsidP="00A8138F">
      <w:pPr>
        <w:pStyle w:val="TextoNormal"/>
      </w:pPr>
      <w:r>
        <w:t>h) El recurrente en amparo interpuso recurso de casación contra la sentencia dictada en segunda instancia. Afirma una vez más el recurrente que se han vulnerado los principios de legalidad y seguridad jurídica, y el derecho a la dispensa de la obligación de declarar por razón de parentesco en relación con el derecho a un proceso con todas las garantías, porque la testigo señora Semaou estaba comprendida en las excepciones legalmente previstas a la obligación de declarar, y, por lo tanto, excluida expresamente de la aplicación del art. 420 LECrim; pese a ello, se le hicieron todas las advertencias de ese artículo. La citada testigo no fue informada por el juez de la dispensa de la obligación de declarar, sino que, por el contrario, fue instada a jurar o prometer decir verdad bajo apercibimiento de las consecuencias sancionatorias previstas en el art. 420 LECrim, que incluían la imposición de multas y la eventual incoación de un proceso penal por desobediencia grave a la autoridad. Se invoca también la vulneración de los derechos a un proceso con todas las garantías y a la defensa (art. 24.2 CE), en su vertiente de derecho a un juez imparcial, dado que el juez, una vez terminado el turno de preguntas de las partes en el juicio oral, leyó a la citada testigo su declaración prestada en la fase de instrucción y le preguntó si lo leído era cierto o no. Como tercer motivo se aduce la violación del derecho a la presunción de inocencia (art. 24.2 CE), ya que la principal prueba de cargo fue la declaración de la testigo señora Semaou, que no reúne las más mínimas garantías procesales como se ha expresado en los precedentes motivos de casación, por lo que no puede erigirse como prueba de cargo que permita acreditar la culpabilidad del recurrente.</w:t>
      </w:r>
    </w:p>
    <w:p w14:paraId="494650DC" w14:textId="77777777" w:rsidR="00A8138F" w:rsidRDefault="00A8138F" w:rsidP="00A8138F">
      <w:pPr>
        <w:pStyle w:val="TextoNormal"/>
      </w:pPr>
    </w:p>
    <w:p w14:paraId="78579E8C" w14:textId="77777777" w:rsidR="00A8138F" w:rsidRDefault="00A8138F" w:rsidP="00A8138F">
      <w:pPr>
        <w:pStyle w:val="TextoNormal"/>
      </w:pPr>
      <w:r>
        <w:t xml:space="preserve">i) El recurso de casación núm. 363-2021 fue inadmitido por la Sala de lo Penal del Tribunal Supremo mediante providencia de fecha 24 de junio de 2021. Tras precisar el ámbito de cognición limitada del recurso de casación conforme a la interpretación que ha dado la </w:t>
      </w:r>
      <w:r>
        <w:lastRenderedPageBreak/>
        <w:t>propia Sala a los arts. 847.1 b) y 889 LECrim, analiza conjuntamente los tres motivos en que se articula el recurso de casación y lo inadmite con los siguientes argumentos:</w:t>
      </w:r>
    </w:p>
    <w:p w14:paraId="0C9F5CA7" w14:textId="77777777" w:rsidR="00A8138F" w:rsidRDefault="00A8138F" w:rsidP="00A8138F">
      <w:pPr>
        <w:pStyle w:val="TextoNormal"/>
      </w:pPr>
    </w:p>
    <w:p w14:paraId="43A915E8" w14:textId="77777777" w:rsidR="00A8138F" w:rsidRDefault="00A8138F" w:rsidP="00A8138F">
      <w:pPr>
        <w:pStyle w:val="TextoNormal"/>
      </w:pPr>
      <w:r>
        <w:t xml:space="preserve">(i) El órgano de apelación declaró la suficiencia y valoración racional de la prueba practicada en la instancia con todas las garantías, para la condena. Se trata, en cualquier caso, de una cuestión de naturaleza probatoria al margen de las previsiones del art. 847.1 b) LECrim, además de contraria al </w:t>
      </w:r>
      <w:r w:rsidRPr="00A8138F">
        <w:rPr>
          <w:i/>
        </w:rPr>
        <w:t>factum</w:t>
      </w:r>
      <w:r>
        <w:t>. En cuanto al resto de las cuestiones planteadas, no se alega la vulneración de precepto penal de carácter sustantivo u otra norma jurídica del mismo carácter que deba ser observada en la aplicación de la ley penal, sin perjuicio de señalar que la Audiencia Provincial de Alicante dio contestación suficiente en Derecho a las alegaciones planteadas por el recurrente y no estimó las vulneraciones denunciadas, siendo así que las conclusiones a las que llegó respetan la jurisprudencia de esta sala y por ello carecen de interés casacional.</w:t>
      </w:r>
    </w:p>
    <w:p w14:paraId="2E3F20FA" w14:textId="77777777" w:rsidR="00A8138F" w:rsidRDefault="00A8138F" w:rsidP="00A8138F">
      <w:pPr>
        <w:pStyle w:val="TextoNormal"/>
      </w:pPr>
    </w:p>
    <w:p w14:paraId="74328AE7" w14:textId="3A362657" w:rsidR="00A8138F" w:rsidRDefault="00A8138F" w:rsidP="00A8138F">
      <w:pPr>
        <w:pStyle w:val="TextoNormal"/>
      </w:pPr>
      <w:r>
        <w:t>(ii) La parte no ha acreditado, en sus alegaciones sobre vulneración de derechos fundamentales, que su recurso reúna interés casacional.</w:t>
      </w:r>
    </w:p>
    <w:p w14:paraId="534D99A5" w14:textId="77777777" w:rsidR="00A8138F" w:rsidRDefault="00A8138F" w:rsidP="00A8138F">
      <w:pPr>
        <w:pStyle w:val="TextoNormal"/>
      </w:pPr>
    </w:p>
    <w:p w14:paraId="71BBDE10" w14:textId="77777777" w:rsidR="00A8138F" w:rsidRDefault="00A8138F" w:rsidP="00A8138F">
      <w:pPr>
        <w:pStyle w:val="TextoNormal"/>
      </w:pPr>
      <w:r w:rsidRPr="00A8138F">
        <w:rPr>
          <w:rStyle w:val="NumeroAFNegritaCaracter"/>
        </w:rPr>
        <w:t>3</w:t>
      </w:r>
      <w:r>
        <w:t>. El 12 de septiembre de 2021, la representación procesal del demandante interpuso recurso de amparo contra la providencia dictada en casación por la Sala de lo Penal del Tribunal Supremo el 24 de junio de 2021; frente a la sentencia 615/2020, de 10 de diciembre, dictada en segunda instancia por la Sección Primera de la Audiencia Provincial de Alicante; y, por último, contra la sentencia 194/2020, de 24 de septiembre, dictada en primera instancia por el Juzgado de lo Penal núm. 1 de Orihuela, en el que formuló las siguientes alegaciones:</w:t>
      </w:r>
    </w:p>
    <w:p w14:paraId="569050E5" w14:textId="77777777" w:rsidR="00A8138F" w:rsidRDefault="00A8138F" w:rsidP="00A8138F">
      <w:pPr>
        <w:pStyle w:val="TextoNormal"/>
      </w:pPr>
    </w:p>
    <w:p w14:paraId="744E6CA2" w14:textId="77777777" w:rsidR="00A8138F" w:rsidRDefault="00A8138F" w:rsidP="00A8138F">
      <w:pPr>
        <w:pStyle w:val="TextoNormal"/>
      </w:pPr>
      <w:r>
        <w:t>(i) Respecto a la vulneración del art. 24.2, párrafo segundo, CE, en relación con el art. 9.3 CE (principios de legalidad y seguridad jurídica), el art. 53.1 CE y el derecho a un proceso con todas las garantías (art. 24.2 CE), afirma el demandante de amparo, con apoyo en los votos particulares formulados a la STS 389/2020, dictada por el Pleno de la Sala de lo Penal del Tribunal Supremo, que la dispensa prevista en el art. 416.1 LECrim es un derecho constitucional sujeto a reserva de ley. El precepto ha sido modificado recientemente por la Ley Orgánica 8/2021, de 4 de junio, de protección integral a la infancia y la adolescencia frente a la violencia, a fin de incorporar una serie de excepciones a la dispensa de la obligación de declarar. Ahora bien, estas excepciones no estaban previstas legalmente antes de la reforma y, pese a ello, fueron aplicadas en las resoluciones impugnadas.</w:t>
      </w:r>
    </w:p>
    <w:p w14:paraId="4C2799C2" w14:textId="77777777" w:rsidR="00A8138F" w:rsidRDefault="00A8138F" w:rsidP="00A8138F">
      <w:pPr>
        <w:pStyle w:val="TextoNormal"/>
      </w:pPr>
    </w:p>
    <w:p w14:paraId="68C9A77E" w14:textId="77777777" w:rsidR="00A8138F" w:rsidRDefault="00A8138F" w:rsidP="00A8138F">
      <w:pPr>
        <w:pStyle w:val="TextoNormal"/>
      </w:pPr>
      <w:r>
        <w:t xml:space="preserve">Entiende que la STS 389/2020, corrige el contenido del apartado segundo del acuerdo del Pleno no jurisdiccional de la Sala de lo Penal del Tribunal Supremo de 23 de enero de 2018, que establece que “[n]o queda excluido de la posibilidad de acogerse a tal dispensa (416 LECrim) quien, habiendo estado constituido como acusación particular, ha cesado en esa condición” al declarar, según la demanda, que no recobra el derecho a la dispensa del artículo 416.1 LECrim quien ha sido víctima-denunciante y ha ostentado la posición de acusación particular, aunque después cese en la misma. Esta sentencia es el precedente que siguen las resoluciones recurridas en amparo, y viene a establecer excepciones al contenido del art. 416.1 LECrim, que este artículo no establecía hasta que se produjo su modificación por la citada Ley Orgánica 8/2021. Para el demandante, la Sala de lo Penal del Tribunal Supremo “no puede erigirse en legislador inventando excepciones donde la ley no las prevé </w:t>
      </w:r>
      <w:r>
        <w:lastRenderedPageBreak/>
        <w:t xml:space="preserve">y afectando así, sin previa </w:t>
      </w:r>
      <w:r w:rsidRPr="00A8138F">
        <w:rPr>
          <w:i/>
        </w:rPr>
        <w:t>interpositio legislatoris</w:t>
      </w:r>
      <w:r>
        <w:t xml:space="preserve"> a la generalidad con la que el derecho está consagrado constitucionalmente”.</w:t>
      </w:r>
    </w:p>
    <w:p w14:paraId="6C039B95" w14:textId="77777777" w:rsidR="00A8138F" w:rsidRDefault="00A8138F" w:rsidP="00A8138F">
      <w:pPr>
        <w:pStyle w:val="TextoNormal"/>
      </w:pPr>
    </w:p>
    <w:p w14:paraId="513AD62E" w14:textId="77777777" w:rsidR="00A8138F" w:rsidRDefault="00A8138F" w:rsidP="00A8138F">
      <w:pPr>
        <w:pStyle w:val="TextoNormal"/>
      </w:pPr>
      <w:r>
        <w:t>Los variables acuerdos del Pleno de la Sala de lo Penal del Tribunal Supremo con relación al art. 416 LECrim han provocado, además, una situación de inseguridad jurídica.</w:t>
      </w:r>
    </w:p>
    <w:p w14:paraId="403C2432" w14:textId="77777777" w:rsidR="00A8138F" w:rsidRDefault="00A8138F" w:rsidP="00A8138F">
      <w:pPr>
        <w:pStyle w:val="TextoNormal"/>
      </w:pPr>
    </w:p>
    <w:p w14:paraId="525EFBAE" w14:textId="77777777" w:rsidR="00A8138F" w:rsidRDefault="00A8138F" w:rsidP="00A8138F">
      <w:pPr>
        <w:pStyle w:val="TextoNormal"/>
      </w:pPr>
      <w:r>
        <w:t>En el juicio oral la testigo, señora Semaou, estaba comprendida en las excepciones legales al deber de declarar y por ello excluida de la aplicación del art. 420 LECrim; sin embargo, el juzgador no solo no informó a la misma de la dispensa regulada en el art. 416.1 LECrim, sino que, “muy al contrario, al minuto 3.37 de la grabación consta que el juez le indica […] que ‘tiene la obligación de declarar, si no declara, se le impondría, con arreglo al artículo 220 [</w:t>
      </w:r>
      <w:r w:rsidRPr="00A8138F">
        <w:rPr>
          <w:i/>
        </w:rPr>
        <w:t>sic</w:t>
      </w:r>
      <w:r>
        <w:t>] LECrim una multa de 200 a 5000 €, y si se resiste o persiste en su negativa ordenaría seguir un procedimiento por desobediencia grave a la autoridad que puede suponer multa o prisión’”. Su declaración se obtuvo, por lo tanto, con vulneración de derechos constitucionales lo cual determina que no puede servir como prueba de cargo.</w:t>
      </w:r>
    </w:p>
    <w:p w14:paraId="542B4363" w14:textId="77777777" w:rsidR="00A8138F" w:rsidRDefault="00A8138F" w:rsidP="00A8138F">
      <w:pPr>
        <w:pStyle w:val="TextoNormal"/>
      </w:pPr>
    </w:p>
    <w:p w14:paraId="0B8A6C7C" w14:textId="77777777" w:rsidR="00A8138F" w:rsidRDefault="00A8138F" w:rsidP="00A8138F">
      <w:pPr>
        <w:pStyle w:val="TextoNormal"/>
      </w:pPr>
      <w:r>
        <w:t>(ii) Respecto a la infracción del art. 24.1 y 24.2 CE, por vulneración del derecho a un juez imparcial y del derecho de defensa, afirma el demandante que el derecho a un proceso con todas las garantías (art. 24.2 CE) otorga al acusado en un proceso penal el derecho a exigir del juez la observancia inexcusable de una actitud neutra respecto de las posiciones de las partes. Más concretamente, la garantía de imparcialidad objetiva exige, en todo caso, que con su iniciativa, el juzgador no emprenda una actividad inquisitiva encubierta.</w:t>
      </w:r>
    </w:p>
    <w:p w14:paraId="70A14E73" w14:textId="77777777" w:rsidR="00A8138F" w:rsidRDefault="00A8138F" w:rsidP="00A8138F">
      <w:pPr>
        <w:pStyle w:val="TextoNormal"/>
      </w:pPr>
    </w:p>
    <w:p w14:paraId="6AF66236" w14:textId="77777777" w:rsidR="00A8138F" w:rsidRDefault="00A8138F" w:rsidP="00A8138F">
      <w:pPr>
        <w:pStyle w:val="TextoNormal"/>
      </w:pPr>
      <w:r>
        <w:t>En el caso de autos, una vez acabado el turno de preguntas, y ante ciertas contradicciones puestas de manifiesto por el Ministerio Fiscal, el juez dio lectura a las declaraciones prestadas por la testigo durante la fase de instrucción, y, seguidamente, preguntó a esta si la declaración leída era cierta y si los hechos habían sucedido tal como se narraban en la misma. Considera el demandante que, con tal acción, el juez comprometió su posición de neutralidad y el derecho de defensa del acusado.</w:t>
      </w:r>
    </w:p>
    <w:p w14:paraId="109FB2F9" w14:textId="77777777" w:rsidR="00A8138F" w:rsidRDefault="00A8138F" w:rsidP="00A8138F">
      <w:pPr>
        <w:pStyle w:val="TextoNormal"/>
      </w:pPr>
    </w:p>
    <w:p w14:paraId="68034A1B" w14:textId="69AF274B" w:rsidR="00A8138F" w:rsidRDefault="00A8138F" w:rsidP="00A8138F">
      <w:pPr>
        <w:pStyle w:val="TextoNormal"/>
      </w:pPr>
      <w:r>
        <w:t>(iii) Respecto a la violación del derecho a la presunción de inocencia, art. 24.2, párrafo primero, CE afirma el demandante que la sentencia determina como especialmente relevante la declaración de la perjudicada, pero tal declaración no puede configurarse, desde una perspectiva legal y constitucional, como prueba de cargo que permita la inferencia lógica necesaria para acreditar la culpabilidad del demandante por las razones expuestas en los anteriores apartados de la demanda. La corroboración periférica de carácter objetivo, representada por el parte médico, no puede servir como tal en cuanto que no existe prueba directa de los hechos, y la irritación ocular que se refleja en el mismo pudo ser perfectamente consecuencia de los llantos de la testigo, al ser obligada a salir de la vivienda.</w:t>
      </w:r>
    </w:p>
    <w:p w14:paraId="6F9B51D3" w14:textId="77777777" w:rsidR="00A8138F" w:rsidRDefault="00A8138F" w:rsidP="00A8138F">
      <w:pPr>
        <w:pStyle w:val="TextoNormal"/>
      </w:pPr>
    </w:p>
    <w:p w14:paraId="547FA357" w14:textId="3FAA1B92" w:rsidR="00A8138F" w:rsidRDefault="00A8138F" w:rsidP="00A8138F">
      <w:pPr>
        <w:pStyle w:val="TextoNormal"/>
      </w:pPr>
      <w:r w:rsidRPr="00A8138F">
        <w:rPr>
          <w:rStyle w:val="NumeroAFNegritaCaracter"/>
        </w:rPr>
        <w:t>4</w:t>
      </w:r>
      <w:r>
        <w:t>. Por diligencia de ordenación de la Sección Tercera, Sala Segunda, de este tribunal, fechada el 1 de octubre de 2021, se tuvieron por recibidos el escrito de interposición del recurso de amparo y los documentos adjuntos.</w:t>
      </w:r>
    </w:p>
    <w:p w14:paraId="5317AEBE" w14:textId="77777777" w:rsidR="00A8138F" w:rsidRDefault="00A8138F" w:rsidP="00A8138F">
      <w:pPr>
        <w:pStyle w:val="TextoNormal"/>
      </w:pPr>
    </w:p>
    <w:p w14:paraId="2584624E" w14:textId="645D7FB1" w:rsidR="00A8138F" w:rsidRDefault="00A8138F" w:rsidP="00A8138F">
      <w:pPr>
        <w:pStyle w:val="TextoNormal"/>
      </w:pPr>
      <w:r w:rsidRPr="00A8138F">
        <w:rPr>
          <w:rStyle w:val="NumeroAFNegritaCaracter"/>
        </w:rPr>
        <w:t>5</w:t>
      </w:r>
      <w:r>
        <w:t xml:space="preserve">. Mediante diligencia de ordenación de 16 de junio de 2022 se acordó dirigir comunicación al Juzgado de lo Penal núm. 1 de Orihuela, a la Sección Primera de la Audiencia Provincial de Alicante y a la Sala de lo Penal del Tribunal Supremo, a fin de que, a la mayor brevedad posible, remitieran testimonio de las actuaciones correspondientes al juicio rápido </w:t>
      </w:r>
      <w:r>
        <w:lastRenderedPageBreak/>
        <w:t>núm. 330-2020, al rollo de apelación núm. 1151-2020 y al recurso de casación núm. 363-2021, respectivamente.</w:t>
      </w:r>
    </w:p>
    <w:p w14:paraId="6B690D16" w14:textId="77777777" w:rsidR="00A8138F" w:rsidRDefault="00A8138F" w:rsidP="00A8138F">
      <w:pPr>
        <w:pStyle w:val="TextoNormal"/>
      </w:pPr>
    </w:p>
    <w:p w14:paraId="7E7422AB" w14:textId="77777777" w:rsidR="00A8138F" w:rsidRDefault="00A8138F" w:rsidP="00A8138F">
      <w:pPr>
        <w:pStyle w:val="TextoNormal"/>
      </w:pPr>
      <w:r w:rsidRPr="00A8138F">
        <w:rPr>
          <w:rStyle w:val="NumeroAFNegritaCaracter"/>
        </w:rPr>
        <w:t>6</w:t>
      </w:r>
      <w:r>
        <w:t>. La Sección Tercera de este tribunal acordó mediante providencia de 14 de noviembre de 2022, la admisión a trámite del recurso de amparo al apreciar que concurre en el mismo una especial trascendencia constitucional [art. 50.1 de la Ley Orgánica del Tribunal Constitucional (LOTC)], por dos motivos:</w:t>
      </w:r>
    </w:p>
    <w:p w14:paraId="1818D4AE" w14:textId="77777777" w:rsidR="00A8138F" w:rsidRDefault="00A8138F" w:rsidP="00A8138F">
      <w:pPr>
        <w:pStyle w:val="TextoNormal"/>
      </w:pPr>
    </w:p>
    <w:p w14:paraId="24927FE6" w14:textId="77777777" w:rsidR="00A8138F" w:rsidRDefault="00A8138F" w:rsidP="00A8138F">
      <w:pPr>
        <w:pStyle w:val="TextoNormal"/>
      </w:pPr>
      <w:r>
        <w:t>a) El recurso plantea un problema o afecta a una faceta de un derecho fundamental sobre el que no hay doctrina de este tribunal [STC 155/2009, de 25 de junio, FJ 2 a)].</w:t>
      </w:r>
    </w:p>
    <w:p w14:paraId="1C77EDC7" w14:textId="77777777" w:rsidR="00A8138F" w:rsidRDefault="00A8138F" w:rsidP="00A8138F">
      <w:pPr>
        <w:pStyle w:val="TextoNormal"/>
      </w:pPr>
    </w:p>
    <w:p w14:paraId="443D84C2" w14:textId="77777777" w:rsidR="00A8138F" w:rsidRDefault="00A8138F" w:rsidP="00A8138F">
      <w:pPr>
        <w:pStyle w:val="TextoNormal"/>
      </w:pPr>
      <w:r>
        <w:t>b) La posible vulneración del derecho fundamental que se denuncia pudiera traer causa de una reiterada interpretación jurisprudencial de la ley que este tribunal pudiera considerar lesiva del derecho fundamental [STC 155/2009, FJ 2 d)].</w:t>
      </w:r>
    </w:p>
    <w:p w14:paraId="2FC88D53" w14:textId="77777777" w:rsidR="00A8138F" w:rsidRDefault="00A8138F" w:rsidP="00A8138F">
      <w:pPr>
        <w:pStyle w:val="TextoNormal"/>
      </w:pPr>
    </w:p>
    <w:p w14:paraId="6E3A5080" w14:textId="26326FE6" w:rsidR="00A8138F" w:rsidRDefault="00A8138F" w:rsidP="00A8138F">
      <w:pPr>
        <w:pStyle w:val="TextoNormal"/>
      </w:pPr>
      <w:r>
        <w:t>Al obrar las actuaciones en la Secretaría de Justicia, se acordó dirigir comunicación al citado Juzgado de lo Penal a fin de que emplazase a quienes hubieran sido parte en el procedimiento, excepto a la parte recurrente en amparo, para que, en el plazo máximo de diez días, pudieran comparecer en este proceso.</w:t>
      </w:r>
    </w:p>
    <w:p w14:paraId="09B6A133" w14:textId="77777777" w:rsidR="00A8138F" w:rsidRDefault="00A8138F" w:rsidP="00A8138F">
      <w:pPr>
        <w:pStyle w:val="TextoNormal"/>
      </w:pPr>
    </w:p>
    <w:p w14:paraId="088EF263" w14:textId="7B22B730" w:rsidR="00A8138F" w:rsidRDefault="00A8138F" w:rsidP="00A8138F">
      <w:pPr>
        <w:pStyle w:val="TextoNormal"/>
      </w:pPr>
      <w:r w:rsidRPr="00A8138F">
        <w:rPr>
          <w:rStyle w:val="NumeroAFNegritaCaracter"/>
        </w:rPr>
        <w:t>7</w:t>
      </w:r>
      <w:r>
        <w:t>. Efectuado por el juzgado el emplazamiento de las partes, la procuradora de los tribunales doña Miriam Carmen Canelas Pérez, designada por el turno de oficio para la representación de doña Nacera Semaou, presentó escrito comunicando que, al no estar habilitada para actuar ante este tribunal y ser titular su representada del beneficio de justicia gratuita, esta carecía de procurador que la representase, por lo que solicitó que, con suspensión del plazo para personarse en el proceso, se librase oficio al Ilustre Colegio de Procuradores de Madrid a fin de que procediera a su designación.</w:t>
      </w:r>
    </w:p>
    <w:p w14:paraId="489C8738" w14:textId="77777777" w:rsidR="00A8138F" w:rsidRDefault="00A8138F" w:rsidP="00A8138F">
      <w:pPr>
        <w:pStyle w:val="TextoNormal"/>
      </w:pPr>
    </w:p>
    <w:p w14:paraId="4AF55089" w14:textId="77777777" w:rsidR="00A8138F" w:rsidRDefault="00A8138F" w:rsidP="00A8138F">
      <w:pPr>
        <w:pStyle w:val="TextoNormal"/>
      </w:pPr>
      <w:r w:rsidRPr="00A8138F">
        <w:rPr>
          <w:rStyle w:val="NumeroAFNegritaCaracter"/>
        </w:rPr>
        <w:t>8</w:t>
      </w:r>
      <w:r>
        <w:t>. Por diligencia de ordenación de 15 de diciembre de 2022 se tuvo por recibido el emplazamiento efectuado al Juzgado de lo Penal núm. 1 de Orihuela, así como el escrito solicitando que se nombrase procurador ante este tribunal para doña Nacera Semaou, y al constar en las actuaciones que la misma tenía designada, por el turno de oficio, a la procuradora doña María Luisa Martínez Parra para su representación ante el Tribunal Supremo, se acordó dar traslado del escrito a dicha procuradora a los efectos de su personación.</w:t>
      </w:r>
    </w:p>
    <w:p w14:paraId="109E47A0" w14:textId="77777777" w:rsidR="00A8138F" w:rsidRDefault="00A8138F" w:rsidP="00A8138F">
      <w:pPr>
        <w:pStyle w:val="TextoNormal"/>
      </w:pPr>
    </w:p>
    <w:p w14:paraId="65A45554" w14:textId="232E735C" w:rsidR="00A8138F" w:rsidRDefault="00A8138F" w:rsidP="00A8138F">
      <w:pPr>
        <w:pStyle w:val="TextoNormal"/>
      </w:pPr>
      <w:r>
        <w:t>Mediante escrito registrado el día 9 de enero de 2023, doña María Luisa Martínez Parra, procuradora de los tribunales y de doña Nacera Semaou, se personó en el presente recurso de amparo y designó como abogado a don Carlos Tomás Cámara.</w:t>
      </w:r>
    </w:p>
    <w:p w14:paraId="19FFFB72" w14:textId="77777777" w:rsidR="00A8138F" w:rsidRDefault="00A8138F" w:rsidP="00A8138F">
      <w:pPr>
        <w:pStyle w:val="TextoNormal"/>
      </w:pPr>
    </w:p>
    <w:p w14:paraId="0C0FD699" w14:textId="15AF647A" w:rsidR="00A8138F" w:rsidRDefault="00A8138F" w:rsidP="00A8138F">
      <w:pPr>
        <w:pStyle w:val="TextoNormal"/>
      </w:pPr>
      <w:r w:rsidRPr="00A8138F">
        <w:rPr>
          <w:rStyle w:val="NumeroAFNegritaCaracter"/>
        </w:rPr>
        <w:t>9</w:t>
      </w:r>
      <w:r>
        <w:t>. Por diligencia de ordenación fechada el día 9 de enero de 2023 se tuvo por personada y parte en el procedimiento a la procuradora señora Martínez Parra, y se acordó dar vista de las actuaciones recibidas a las partes personadas y al Ministerio Fiscal por un plazo común de veinte días, dentro de los cuales podrían presentar las alegaciones que estimasen pertinentes (art. 52.1 LOTC).</w:t>
      </w:r>
    </w:p>
    <w:p w14:paraId="2E29B76E" w14:textId="77777777" w:rsidR="00A8138F" w:rsidRDefault="00A8138F" w:rsidP="00A8138F">
      <w:pPr>
        <w:pStyle w:val="TextoNormal"/>
      </w:pPr>
    </w:p>
    <w:p w14:paraId="60929992" w14:textId="5F42D278" w:rsidR="00A8138F" w:rsidRDefault="00A8138F" w:rsidP="00A8138F">
      <w:pPr>
        <w:pStyle w:val="TextoNormal"/>
      </w:pPr>
      <w:r w:rsidRPr="00A8138F">
        <w:rPr>
          <w:rStyle w:val="NumeroAFNegritaCaracter"/>
        </w:rPr>
        <w:t>10</w:t>
      </w:r>
      <w:r>
        <w:t xml:space="preserve">. En diligencia de ordenación de 1 de febrero de 2023, de la Sección Primera, Sala Primera, de este Tribunal Constitucional, se dejó constancia de que en virtud del acuerdo de </w:t>
      </w:r>
      <w:r>
        <w:lastRenderedPageBreak/>
        <w:t>17 de enero de 2023, del Pleno del Tribunal Constitucional, por el que se dispone la composición de las salas y secciones del Tribunal Constitucional, publicado en el “Boletín Oficial del Estado” de 19 de enero de 2023, el presente recurso de amparo había sido turnado a la citada Sección Primera al pasar la ponente, la magistrada doña Concepción Espejel Jorquera, a formar parte de dicha sección, lo que se puso en conocimiento de las partes y del Ministerio Fiscal a los efectos oportunos.</w:t>
      </w:r>
    </w:p>
    <w:p w14:paraId="5961009F" w14:textId="77777777" w:rsidR="00A8138F" w:rsidRDefault="00A8138F" w:rsidP="00A8138F">
      <w:pPr>
        <w:pStyle w:val="TextoNormal"/>
      </w:pPr>
    </w:p>
    <w:p w14:paraId="35A0C3D9" w14:textId="40808EB3" w:rsidR="00A8138F" w:rsidRDefault="00A8138F" w:rsidP="00A8138F">
      <w:pPr>
        <w:pStyle w:val="TextoNormal"/>
      </w:pPr>
      <w:r w:rsidRPr="00A8138F">
        <w:rPr>
          <w:rStyle w:val="NumeroAFNegritaCaracter"/>
        </w:rPr>
        <w:t>11</w:t>
      </w:r>
      <w:r>
        <w:t>. La representación procesal del demandante presentó escrito de alegaciones el 16 de enero de 2023, en el que reiteró de forma extensa las quejas y peticiones ya presentadas en el recurso de amparo, insistiendo en que el Tribunal Supremo ha venido manteniendo criterios fluctuantes y antagónicos en la interpretación del art. 416.1 LECrim, vulnerando la reserva de ley establecida en el art. 24.2, párrafo 2, CE, y provocando una gran confusión tanto en los órganos jurisdiccionales como en los partícipes en la administración de Justicia.</w:t>
      </w:r>
    </w:p>
    <w:p w14:paraId="58D7337F" w14:textId="77777777" w:rsidR="00A8138F" w:rsidRDefault="00A8138F" w:rsidP="00A8138F">
      <w:pPr>
        <w:pStyle w:val="TextoNormal"/>
      </w:pPr>
    </w:p>
    <w:p w14:paraId="7B102687" w14:textId="77777777" w:rsidR="00A8138F" w:rsidRDefault="00A8138F" w:rsidP="00A8138F">
      <w:pPr>
        <w:pStyle w:val="TextoNormal"/>
      </w:pPr>
      <w:r w:rsidRPr="00A8138F">
        <w:rPr>
          <w:rStyle w:val="NumeroAFNegritaCaracter"/>
        </w:rPr>
        <w:t>12</w:t>
      </w:r>
      <w:r>
        <w:t>. La procuradora de doña Nacera Semaou presentó escrito de alegaciones el 9 de febrero de 2023, en el que se opuso al recurso de amparo, afirmando que “una adecuada protección de la víctima justifica la decisión del Juzgado de lo Penal núm. 1 de Orihuela, de la Sección Primera de la Audiencia Provincial de Alicante que resolvió el recurso de apelación y del Alto Tribunal que inadmitió el recurso de casación, en tanto que la dispensa tiene su fundamento en la resolución del conflicto por parte del testigo pariente” y que “[u]na vez que este testigo ha resuelto tal conflicto, primero denunciando y después constituyéndose en acusación particular, ha mostrado sobradamente su renuncia a la dispensa que le ofrece la ley”. La declaración testifical de la señora Semaou, como prueba de cargo suficiente para dictar una sentencia condenatoria, se obtuvo con todas las garantías legales y siguiendo escrupulosamente el procedimiento que a tal efecto viene recogido en la ley, declaración que estuvo respaldada por una importante corroboración periférica de carácter objetivo, representada por el parte médico emitido apenas unas horas después de haber sucedido los hechos, en el que se objetiva irritación ocular, lesión esta, característica y compatible con la agresión descrita, consistente en que el acusado le arrojó jabón a los ojos. Por su parte, el informe médico forense corroboró esta lesión de irritación ocular. En cuanto a la lectura en el juicio de su declaración prestada en fase de instrucción y la formulación de preguntas, no vulneró los derechos del demandante, pues así lo permiten los arts. 708 y 714 LECrim.</w:t>
      </w:r>
    </w:p>
    <w:p w14:paraId="4B6CDEA2" w14:textId="77777777" w:rsidR="00A8138F" w:rsidRDefault="00A8138F" w:rsidP="00A8138F">
      <w:pPr>
        <w:pStyle w:val="TextoNormal"/>
      </w:pPr>
    </w:p>
    <w:p w14:paraId="60FBC2C8" w14:textId="2AA5DCCC" w:rsidR="00A8138F" w:rsidRDefault="00A8138F" w:rsidP="00A8138F">
      <w:pPr>
        <w:pStyle w:val="TextoNormal"/>
      </w:pPr>
      <w:r>
        <w:t>En conclusión, solicita la desestimación en su integridad del recurso de amparo.</w:t>
      </w:r>
    </w:p>
    <w:p w14:paraId="7BE14097" w14:textId="77777777" w:rsidR="00A8138F" w:rsidRDefault="00A8138F" w:rsidP="00A8138F">
      <w:pPr>
        <w:pStyle w:val="TextoNormal"/>
      </w:pPr>
    </w:p>
    <w:p w14:paraId="0CF7C665" w14:textId="77777777" w:rsidR="00A8138F" w:rsidRDefault="00A8138F" w:rsidP="00A8138F">
      <w:pPr>
        <w:pStyle w:val="TextoNormal"/>
      </w:pPr>
      <w:r w:rsidRPr="00A8138F">
        <w:rPr>
          <w:rStyle w:val="NumeroAFNegritaCaracter"/>
        </w:rPr>
        <w:t>13</w:t>
      </w:r>
      <w:r>
        <w:t>. El fiscal ante este tribunal presentó escrito de alegaciones el 22 de febrero de 2023 en el que, tras resumir los hechos relevantes del caso y los términos del recurso de amparo, parte de la base de que lo primero que ha de determinarse es la dimensión constitucional del derecho a la dispensa que proclama el último párrafo del art. 24.2 CE cuando dispone que “[l]a ley regulará los casos en que, por razón de parentesco o de secreto profesional, no se estará obligado a declarar sobre hechos presuntamente delictivos”. De esta referencia constitucional a la dispensa de la obligación de declarar por razón de parentesco, el fiscal extrae dos conclusiones: (i) el último párrafo del art. 24.2 CE contempla esta exención del deber de declarar como un derecho por el que sus titulares (los parientes-testigos) ostentan la potestad de decidir si declaran o no contra su cónyuge o pariente, colocándoles en una posición privilegiada frente a los demás testigos; y (ii) se trata de un derecho de configuración legal, lo que implica que la determinación del contorno constitucionalmente protegido de la dis</w:t>
      </w:r>
      <w:r>
        <w:lastRenderedPageBreak/>
        <w:t>pensa debe hacerse conforme a las previsiones de la ley vigente en el momento en que declara el testigo, que en el presente caso eran las formuladas en el párrafo primero del art. 707 LECrim en relación con el art. 416.1 de la misma ley, según la redacción operada por la Ley 13/2009, de 3 de noviembre, de reforma de la legislación procesal para la implantación de la nueva oficina judicial. Este régimen legal dispensaba de la obligación de declarar, entre otros supuestos, a la “persona unida [al procesado] por relación de hecho análoga a la matrimonial”, sin ningunas otras consideraciones, limitaciones, restricciones o excepciones.</w:t>
      </w:r>
    </w:p>
    <w:p w14:paraId="6C02B369" w14:textId="77777777" w:rsidR="00A8138F" w:rsidRDefault="00A8138F" w:rsidP="00A8138F">
      <w:pPr>
        <w:pStyle w:val="TextoNormal"/>
      </w:pPr>
    </w:p>
    <w:p w14:paraId="1A643BF7" w14:textId="77777777" w:rsidR="00A8138F" w:rsidRDefault="00A8138F" w:rsidP="00A8138F">
      <w:pPr>
        <w:pStyle w:val="TextoNormal"/>
      </w:pPr>
      <w:r>
        <w:t>Alude a las interpretaciones que la Sala de lo Penal del Tribunal Supremo ha dado a este precepto legal, en concreto, a los acuerdos del Pleno no jurisdiccional de 24 de abril de 2013 y de 23 de enero de 2018, y a la STS 389/2020, del Pleno, y afirma que esta doctrina del Tribunal Supremo, aunque avanzada a su tiempo, no respetó los límites constitucionalmente establecidos a la dispensa de la obligación de declarar por razón de parentesco, habida cuenta de que de la configuración legal del referido derecho vigente en el momento que ahora interesa —15 de septiembre de 2020, fecha en la que prestó declaración testifical doña Nacera Semaou—, no podía deducirse en modo alguno “ni que la dispensa cobrara todo su fundamento respecto del testigo que no fuera víctima de los hechos (por lo que no gozaría de tal derecho si hubiera sido víctima del hecho delictivo, como era el caso), ni que la exención de la obligación de declarar prevista en el art. 416.1 LECrim no alcanzara a las personas que, unidas por alguno de los vínculos a que se refiere el precepto, se hubieran personado como acusación [particular] en el proceso penal”. El Tribunal Supremo al interpretar el art. 416.1 LECrim, estableció unos supuestos de excepción a la regla general que presidía el indicado precepto y que carecían por aquel entonces de respaldo legislativo alguno.</w:t>
      </w:r>
    </w:p>
    <w:p w14:paraId="1BA66462" w14:textId="77777777" w:rsidR="00A8138F" w:rsidRDefault="00A8138F" w:rsidP="00A8138F">
      <w:pPr>
        <w:pStyle w:val="TextoNormal"/>
      </w:pPr>
    </w:p>
    <w:p w14:paraId="26E53EE0" w14:textId="77777777" w:rsidR="00A8138F" w:rsidRDefault="00A8138F" w:rsidP="00A8138F">
      <w:pPr>
        <w:pStyle w:val="TextoNormal"/>
      </w:pPr>
      <w:r>
        <w:t>En el caso concreto sometido a examen, la señora Semaou, que era o había sido pareja del acusado y estaba personada como acusación particular, compareció en el acto del juicio oral en condición de testigo y pretendió no declarar en contra del demandante de amparo, al amparo de los arts. 707 y 416.1 LECrim. Sin embargo, el juez de lo penal, aplicando la mencionada doctrina del Tribunal Supremo, entendió que no procedía acceder a ello desde el momento en que se había constituido en acusación particular y formulado escrito de acusación, y dirigió a la testigo las advertencias del art. 420 LECrim para, a continuación, recibirle declaración testifical. El problema estriba en que la doctrina del Tribunal Supremo no se hallaba convenientemente ajustada a la regulación establecida en el art. 416.1 LECrim en su redacción vigente en el momento de celebrarse el juicio oral. Por lo tanto, dado que la testigo se encontraba en la hipótesis prevista en ese precepto, en cuanto persona unida al acusado por una relación de hecho análoga a la matrimonial, resultaba evidente que aquella estaba dispensada de la obligación de declarar contra el acusado, si esa era su voluntad. Y dado que el juez obligó a la testigo a declarar, tras efectuarle las advertencias del art. 420 LECrim, la declaración se produjo en el acto del juicio oral no solo con vulneración de los arts. 707 y 416.1 LECrim que se hallaban vigentes, sino también con infracción del segundo párrafo del art. 24.2 CE y, en definitiva, con vulneración del derecho de aquella de negarse a declarar.</w:t>
      </w:r>
    </w:p>
    <w:p w14:paraId="65984AB1" w14:textId="77777777" w:rsidR="00A8138F" w:rsidRDefault="00A8138F" w:rsidP="00A8138F">
      <w:pPr>
        <w:pStyle w:val="TextoNormal"/>
      </w:pPr>
    </w:p>
    <w:p w14:paraId="0B019E3C" w14:textId="77777777" w:rsidR="00A8138F" w:rsidRDefault="00A8138F" w:rsidP="00A8138F">
      <w:pPr>
        <w:pStyle w:val="TextoNormal"/>
      </w:pPr>
      <w:r>
        <w:t xml:space="preserve">La lesión del derecho reconocido en el segundo párrafo del art. 24.2 CE produjo, a juicio del fiscal, un efecto inmediato en la posición jurídica del acusado: la condena vino determinada, de modo casi exclusivo, por una declaración testifical que no tenía que haberse producido. Con ello, el problema se desplaza al análisis de la cuestión relativa a si tal afectación material de la posición jurídica del acusado vino precedida de una vulneración de derechos </w:t>
      </w:r>
      <w:r>
        <w:lastRenderedPageBreak/>
        <w:t>fundamentales, no ya de doña Nacera Semaou, sino también del propio acusado ahora demandante de amparo.</w:t>
      </w:r>
    </w:p>
    <w:p w14:paraId="610A3708" w14:textId="77777777" w:rsidR="00A8138F" w:rsidRDefault="00A8138F" w:rsidP="00A8138F">
      <w:pPr>
        <w:pStyle w:val="TextoNormal"/>
      </w:pPr>
    </w:p>
    <w:p w14:paraId="25211EA4" w14:textId="77777777" w:rsidR="00A8138F" w:rsidRDefault="00A8138F" w:rsidP="00A8138F">
      <w:pPr>
        <w:pStyle w:val="TextoNormal"/>
      </w:pPr>
      <w:r>
        <w:t>El fiscal plantea la existencia de un derecho propio del sujeto pasivo del procedimiento penal que, emanando también del último párrafo del art. 24.2 CE, pueda insertarse más específicamente en el derecho fundamental a un proceso con todas las garantías (art. 24.2 CE). Dado que el mencionado derecho reconocido constitucionalmente a los parientes-testigos no podrá ser ejercitado por sus beneficiarios fuera de los supuestos de reconocimiento legal, arguye el fiscal que esas mismas determinaciones de legalidad ordinaria habrán de operar también como garantías para el sujeto pasivo del proceso penal, que tendrá un correlativo derecho a que la dispensa de la obligación de declarar se reconozca a las personas que la ley disponga, en los casos que esta determine y con las circunstancias o excepciones que la norma contemple.</w:t>
      </w:r>
    </w:p>
    <w:p w14:paraId="7CA07FE0" w14:textId="77777777" w:rsidR="00A8138F" w:rsidRDefault="00A8138F" w:rsidP="00A8138F">
      <w:pPr>
        <w:pStyle w:val="TextoNormal"/>
      </w:pPr>
    </w:p>
    <w:p w14:paraId="5364817F" w14:textId="77777777" w:rsidR="00A8138F" w:rsidRDefault="00A8138F" w:rsidP="00A8138F">
      <w:pPr>
        <w:pStyle w:val="TextoNormal"/>
      </w:pPr>
      <w:r>
        <w:t>Podría decirse entonces que, junto al derecho del testigo-pariente a la dispensa de la obligación de declarar en las condiciones legalmente establecidas, podría hablarse de un derecho del sujeto pasivo del proceso penal a “la inviolabilidad de la configuración legal del derecho a la dispensa de la obligación de declarar”, por lo que cualquier acto interpretativo o aplicativo de la norma que infringiera la regulación legal tendría potencialidad bastante para originar una vulneración de aquel derecho del encausado. Esta conclusión aparecería avalada por otro argumento adicional: la unidad de todo el apartado 2 del art. 24 CE.</w:t>
      </w:r>
    </w:p>
    <w:p w14:paraId="1CCF1472" w14:textId="77777777" w:rsidR="00A8138F" w:rsidRDefault="00A8138F" w:rsidP="00A8138F">
      <w:pPr>
        <w:pStyle w:val="TextoNormal"/>
      </w:pPr>
    </w:p>
    <w:p w14:paraId="15C0478F" w14:textId="77777777" w:rsidR="00A8138F" w:rsidRDefault="00A8138F" w:rsidP="00A8138F">
      <w:pPr>
        <w:pStyle w:val="TextoNormal"/>
      </w:pPr>
      <w:r>
        <w:t>Partiendo de tales premisas, el fiscal considera que el rechazo del juez de lo penal a aplicar a la señora Semaou la dispensa prevista en el art. 416.1 LECrim provocó, no solo que la testigo fuera injustificadamente privada de un derecho que legítimamente le correspondía, sino también que se practicara en el acto del juicio oral, en contra del acusado, una prueba testifical que nunca debió llevarse a cabo ante la exteriorizada voluntad de la interesada de acogerse a su derecho a no declarar y la claridad de los términos del art. 416.1 LECrim entonces vigente. Esta consideración ha de conducir inexorablemente a apreciar la vulneración del derecho fundamental del acusado en el proceso penal, hoy demandante de amparo, a un proceso con todas las garantías (art. 24.2 CE).</w:t>
      </w:r>
    </w:p>
    <w:p w14:paraId="08A684F4" w14:textId="77777777" w:rsidR="00A8138F" w:rsidRDefault="00A8138F" w:rsidP="00A8138F">
      <w:pPr>
        <w:pStyle w:val="TextoNormal"/>
      </w:pPr>
    </w:p>
    <w:p w14:paraId="7C8EA478" w14:textId="77777777" w:rsidR="00A8138F" w:rsidRDefault="00A8138F" w:rsidP="00A8138F">
      <w:pPr>
        <w:pStyle w:val="TextoNormal"/>
      </w:pPr>
      <w:r>
        <w:t>A continuación, el fiscal analiza el tercer motivo de la demanda de amparo, en el que se denuncia la vulneración del derecho a la presunción de inocencia (art. 24.2 CE). Sostiene que la sentencia dictada en primera instancia fundó la condena, principalmente, en la declaración testifical de doña Nacera Semaou; esto es, en una declaración testifical que no tenía que haberse producido, con arreglo a lo ya razonado. En consecuencia, excluida la prueba testifical del silogismo judicial, el fiscal concluye que el mero parte de asistencia sanitaria a la testigo no permitiría, por sí mismo, sin el respaldo de aquella declaración, ni acreditar la forma en la que el resultado lesivo se había producido ni la participación en él del acusado, lo que equivale a decir que la condena se habría producido sin pruebas de cargo válidas, esto es, sin una mínima actividad probatoria de sentido incriminatorio, por lo que considera que resultó vulnerado el derecho fundamental del demandante a la presunción de inocencia (art. 24.2 CE) y, por ello, que procede la estimación de este motivo de amparo con la consiguiente declaración de nulidad de las resoluciones judiciales impugnadas, sin retroacción de actuaciones dada la absoluta ausencia de pruebas incriminatorias contra el acusado.</w:t>
      </w:r>
    </w:p>
    <w:p w14:paraId="076673E0" w14:textId="77777777" w:rsidR="00A8138F" w:rsidRDefault="00A8138F" w:rsidP="00A8138F">
      <w:pPr>
        <w:pStyle w:val="TextoNormal"/>
      </w:pPr>
    </w:p>
    <w:p w14:paraId="7A80B09A" w14:textId="77777777" w:rsidR="00A8138F" w:rsidRDefault="00A8138F" w:rsidP="00A8138F">
      <w:pPr>
        <w:pStyle w:val="TextoNormal"/>
      </w:pPr>
      <w:r>
        <w:lastRenderedPageBreak/>
        <w:t>En último lugar, aborda el Ministerio Fiscal el análisis del segundo motivo de la demanda de amparo, planteado por vulneración de los derechos fundamentales del recurrente al juez imparcial y de defensa (art. 24.2 CE). Afirma que la consideración de este motivo de amparo tendría como premisa que la declaración testifical prestada en el juicio oral por doña Nacera Semaou hubiera sido legítimamente practicada, pues solo en ese caso podría entrarse a valorar si el juez había incurrido en algún exceso en el ejercicio de su facultad de solicitud de aclaración y si, además, tal exceso habría sido susceptible de integrar la vulneración de los derechos fundamentales invocados. Sin embargo, entiende el fiscal que una vez concluido, por las razones ya expuestas, que la declaración de la testigo nunca debió de ser practicada, carece de sentido entrar a valorar si el juez había emprendido una actividad inquisitiva encubierta durante su interrogatorio.</w:t>
      </w:r>
    </w:p>
    <w:p w14:paraId="513FED13" w14:textId="77777777" w:rsidR="00A8138F" w:rsidRDefault="00A8138F" w:rsidP="00A8138F">
      <w:pPr>
        <w:pStyle w:val="TextoNormal"/>
      </w:pPr>
    </w:p>
    <w:p w14:paraId="0E94EA22" w14:textId="1408AE7C" w:rsidR="00A8138F" w:rsidRDefault="00A8138F" w:rsidP="00A8138F">
      <w:pPr>
        <w:pStyle w:val="TextoNormal"/>
      </w:pPr>
      <w:r>
        <w:t>En atención a las precedentes consideraciones, el fiscal interesa que se dicte sentencia que, estimando parcialmente el recurso de amparo, declare la vulneración de los derechos fundamentales del demandante a un proceso con todas las garantías y a la presunción de inocencia (art. 24.2 CE), y le restablezca en tales derechos mediante la anulación de los efectos de las resoluciones impugnadas, dictadas en primera y segunda instancia y en casación.</w:t>
      </w:r>
    </w:p>
    <w:p w14:paraId="0F3E0ED0" w14:textId="77777777" w:rsidR="00A8138F" w:rsidRDefault="00A8138F" w:rsidP="00A8138F">
      <w:pPr>
        <w:pStyle w:val="TextoNormal"/>
      </w:pPr>
    </w:p>
    <w:p w14:paraId="3752705E" w14:textId="70AD8815" w:rsidR="00A8138F" w:rsidRDefault="00A8138F" w:rsidP="00A8138F">
      <w:pPr>
        <w:pStyle w:val="TextoNormal"/>
      </w:pPr>
      <w:r w:rsidRPr="00A8138F">
        <w:rPr>
          <w:rStyle w:val="NumeroAFNegritaCaracter"/>
        </w:rPr>
        <w:t>14</w:t>
      </w:r>
      <w:r>
        <w:t>. El Pleno, a propuesta de la Sala Primera, acordó mediante providencia de 21 de mayo de 2024 recabar para sí el conocimiento del presente recurso de amparo [art. 10.1 n) LOTC].</w:t>
      </w:r>
    </w:p>
    <w:p w14:paraId="624A0078" w14:textId="77777777" w:rsidR="00A8138F" w:rsidRDefault="00A8138F" w:rsidP="00A8138F">
      <w:pPr>
        <w:pStyle w:val="TextoNormal"/>
      </w:pPr>
    </w:p>
    <w:p w14:paraId="5B6CC26E" w14:textId="766BCF46" w:rsidR="00A8138F" w:rsidRDefault="00A8138F" w:rsidP="00A8138F">
      <w:pPr>
        <w:pStyle w:val="TextoNormal"/>
      </w:pPr>
      <w:r w:rsidRPr="00A8138F">
        <w:rPr>
          <w:rStyle w:val="NumeroAFNegritaCaracter"/>
        </w:rPr>
        <w:t>15</w:t>
      </w:r>
      <w:r>
        <w:t>. Por acuerdo del presidente del Tribunal de 5 de junio de 2024, habiendo declinado la ponencia la magistrada doña Concepción Espejel Jorquera, se designó nueva ponente a la magistrada doña Inmaculada Montalbán Huertas.</w:t>
      </w:r>
    </w:p>
    <w:p w14:paraId="6FEB28AB" w14:textId="77777777" w:rsidR="00A8138F" w:rsidRDefault="00A8138F" w:rsidP="00A8138F">
      <w:pPr>
        <w:pStyle w:val="TextoNormal"/>
      </w:pPr>
    </w:p>
    <w:p w14:paraId="06F4F686" w14:textId="7EA21D63" w:rsidR="00A8138F" w:rsidRDefault="00A8138F" w:rsidP="00A8138F">
      <w:pPr>
        <w:pStyle w:val="TextoNormal"/>
      </w:pPr>
      <w:r w:rsidRPr="00A8138F">
        <w:rPr>
          <w:rStyle w:val="NumeroAFNegritaCaracter"/>
        </w:rPr>
        <w:t>16</w:t>
      </w:r>
      <w:r>
        <w:t>. Por providencia de 11 de febrero de 2025 se señaló ese mismo día para la deliberación y votación de la presente sentencia.</w:t>
      </w:r>
    </w:p>
    <w:p w14:paraId="52F9A526" w14:textId="77777777" w:rsidR="00A8138F" w:rsidRDefault="00A8138F" w:rsidP="00A8138F">
      <w:pPr>
        <w:pStyle w:val="TextoNormal"/>
      </w:pPr>
    </w:p>
    <w:p w14:paraId="41964773" w14:textId="77777777" w:rsidR="00A8138F" w:rsidRDefault="00A8138F" w:rsidP="00A8138F">
      <w:pPr>
        <w:pStyle w:val="TextoNormalNegritaCentrado"/>
        <w:keepNext/>
      </w:pPr>
      <w:r>
        <w:t>II. Fundamentos jurídicos</w:t>
      </w:r>
    </w:p>
    <w:p w14:paraId="3FD38913" w14:textId="313E6430" w:rsidR="00A8138F" w:rsidRDefault="00A8138F" w:rsidP="00A8138F">
      <w:pPr>
        <w:pStyle w:val="TextoNormalNegritaCentrado"/>
        <w:keepNext/>
      </w:pPr>
    </w:p>
    <w:p w14:paraId="7108550F" w14:textId="77777777" w:rsidR="00A8138F" w:rsidRDefault="00A8138F" w:rsidP="00A8138F">
      <w:pPr>
        <w:pStyle w:val="TextoNormal"/>
      </w:pPr>
      <w:r w:rsidRPr="00A8138F">
        <w:rPr>
          <w:rStyle w:val="NumeroAFNegritaCaracter"/>
        </w:rPr>
        <w:t>1</w:t>
      </w:r>
      <w:r>
        <w:t xml:space="preserve">. </w:t>
      </w:r>
      <w:r w:rsidRPr="00A8138F">
        <w:rPr>
          <w:i/>
        </w:rPr>
        <w:t>Objeto del recurso de amparo, pretensiones de las partes y orden de enjuiciamiento</w:t>
      </w:r>
    </w:p>
    <w:p w14:paraId="034A2485" w14:textId="77777777" w:rsidR="00A8138F" w:rsidRDefault="00A8138F" w:rsidP="00A8138F">
      <w:pPr>
        <w:pStyle w:val="TextoNormal"/>
      </w:pPr>
    </w:p>
    <w:p w14:paraId="7210A220" w14:textId="77777777" w:rsidR="00A8138F" w:rsidRDefault="00A8138F" w:rsidP="00A8138F">
      <w:pPr>
        <w:pStyle w:val="TextoNormal"/>
      </w:pPr>
      <w:r>
        <w:t>a) El recurso de amparo tiene por objeto las resoluciones judiciales, ya identificadas, mediante las que se condena al recurrente en amparo como autor de un delito de lesiones en el ámbito de la violencia sobre la mujer (art. 153.1 CP).</w:t>
      </w:r>
    </w:p>
    <w:p w14:paraId="4A6B7C62" w14:textId="77777777" w:rsidR="00A8138F" w:rsidRDefault="00A8138F" w:rsidP="00A8138F">
      <w:pPr>
        <w:pStyle w:val="TextoNormal"/>
      </w:pPr>
    </w:p>
    <w:p w14:paraId="40CCAB77" w14:textId="77777777" w:rsidR="00A8138F" w:rsidRDefault="00A8138F" w:rsidP="00A8138F">
      <w:pPr>
        <w:pStyle w:val="TextoNormal"/>
      </w:pPr>
      <w:r>
        <w:t xml:space="preserve">b) El recurrente en amparo solicita la nulidad de dichas resoluciones judiciales por los argumentos expuestos en el antecedente 3, que se pueden sintetizar en los siguientes: (i) vulneración del derecho a un proceso con todas la garantías de los arts. 24.2, párrafo segundo, y 53.1 CE —en relación con la interpretación y aplicación del art. 416 LECrim por los órganos judiciales— así como vulneración del art. 9 CE (principio de legalidad y seguridad jurídica) y del art. 6.1 del Convenio europeo para la protección de los derechos humanos y de las libertades fundamentales (CEDH); (ii) vulneración del derecho a un juez imparcial y del derecho de defensa del art. 24.1 y 2 CE, y de los arts. 6.1 y 6.3 CEDH, por </w:t>
      </w:r>
      <w:r>
        <w:lastRenderedPageBreak/>
        <w:t>haber sido interrogada la testigo por el juez sobre su declaración sumarial para despejar determinadas contradicciones; y (iii) violación del derecho a la presunción de inocencia del art. 24.2 CE por haber sido la mencionada prueba testifical la determinante en su condena.</w:t>
      </w:r>
    </w:p>
    <w:p w14:paraId="1456CC3F" w14:textId="77777777" w:rsidR="00A8138F" w:rsidRDefault="00A8138F" w:rsidP="00A8138F">
      <w:pPr>
        <w:pStyle w:val="TextoNormal"/>
      </w:pPr>
    </w:p>
    <w:p w14:paraId="12A22DA4" w14:textId="77777777" w:rsidR="00A8138F" w:rsidRDefault="00A8138F" w:rsidP="00A8138F">
      <w:pPr>
        <w:pStyle w:val="TextoNormal"/>
      </w:pPr>
      <w:r>
        <w:t>La representación procesal de doña Nacera Semaou —denunciante y perjudicada constituida en acusación particular en el proceso penal— solicita la desestimación del recurso de amparo, por las razones expuestas en el antecedente 12 de esta resolución, y que resumidamente son las siguientes: (i) su personación como acusación particular muestra sobradamente su renuncia al derecho que le dispensa de su deber de declarar —que le ofrece la ley por haber tenido relación asimilada a la matrimonial con el acusado— y (ii) su declaración testifical es prueba de cargo suficiente para dictar una sentencia condenatoria, al haberse obtenido con todas las garantías legales y estar corroborada por parte médico.</w:t>
      </w:r>
    </w:p>
    <w:p w14:paraId="735E0077" w14:textId="77777777" w:rsidR="00A8138F" w:rsidRDefault="00A8138F" w:rsidP="00A8138F">
      <w:pPr>
        <w:pStyle w:val="TextoNormal"/>
      </w:pPr>
    </w:p>
    <w:p w14:paraId="43AE652F" w14:textId="77777777" w:rsidR="00A8138F" w:rsidRDefault="00A8138F" w:rsidP="00A8138F">
      <w:pPr>
        <w:pStyle w:val="TextoNormal"/>
      </w:pPr>
      <w:r>
        <w:t>El fiscal interesa la estimación del recurso de amparo y la nulidad de las resoluciones judiciales, por vulneración del derecho del acusado a un proceso con todas las garantías y del derecho de presunción de inocencia (art. 24.2 CE), considerando innecesario entrar a examinar la queja relativa a la vulneración del derecho a un juez imparcial. Sus argumentos han quedado expuestos en el antecedente 13 de esta resolución. Sostiene, en síntesis, que la declaración de la testigo, que a su vez era víctima del delito enjuiciado, se practicó en el acto del juicio en contra de su voluntad, tras ser advertida de las consecuencias legales de la negativa a declarar, lo cual determinó una lesión de su derecho a la dispensa que tuvo un efecto inmediato en la posición jurídica del acusado —hoy recurrente de amparo— quien vio vulnerado su derecho a un proceso con todas las garantías (art. 24.2 CE) y, en concreto, su derecho a “la inviolabilidad de la configuración legal del derecho a la dispensa de la obligación de declarar”.</w:t>
      </w:r>
    </w:p>
    <w:p w14:paraId="25ABB914" w14:textId="77777777" w:rsidR="00A8138F" w:rsidRDefault="00A8138F" w:rsidP="00A8138F">
      <w:pPr>
        <w:pStyle w:val="TextoNormal"/>
      </w:pPr>
    </w:p>
    <w:p w14:paraId="25022153" w14:textId="0321134D" w:rsidR="00A8138F" w:rsidRDefault="00A8138F" w:rsidP="00A8138F">
      <w:pPr>
        <w:pStyle w:val="TextoNormal"/>
      </w:pPr>
      <w:r>
        <w:t>c) Examinaremos las quejas recogidas en la demanda siguiendo la lógica relación entre el derecho a un proceso con todas las garantías —en los casos en que su invocación se vincula con la invalidez de una determinada prueba de cargo— y el derecho a la presunción de inocencia (así por ejemplo, STC 53/2013, de 28 de febrero, entre muchas otras); por ello se analizará, en primer lugar, si desde la perspectiva de la invocación del art. 24.2 CE, los órganos judiciales han vulnerado el derecho a un proceso con todas las garantías del recurrente —en relación con la no obligatoriedad de declarar de la testigo vinculada por relación asimilable a la matrimonial— para así determinar la validez constitucional de tal declaración. Solo en caso de que esta se considerara inválida desde un punto de vista constitucional se entraría a examinar la queja por vulneración del principio de presunción de inocencia. Finalmente, como queja autónoma, se resolverá sobre la alegada vulneración del derecho a un juez imparcial (art. 24.2 CE) en relación con el derecho de defensa (art. 24.1 CE).</w:t>
      </w:r>
    </w:p>
    <w:p w14:paraId="171BF6EC" w14:textId="77777777" w:rsidR="00A8138F" w:rsidRDefault="00A8138F" w:rsidP="00A8138F">
      <w:pPr>
        <w:pStyle w:val="TextoNormal"/>
      </w:pPr>
    </w:p>
    <w:p w14:paraId="45F6F340" w14:textId="77777777" w:rsidR="00A8138F" w:rsidRDefault="00A8138F" w:rsidP="00A8138F">
      <w:pPr>
        <w:pStyle w:val="TextoNormal"/>
      </w:pPr>
      <w:r w:rsidRPr="00A8138F">
        <w:rPr>
          <w:rStyle w:val="NumeroAFNegritaCaracter"/>
        </w:rPr>
        <w:t>2</w:t>
      </w:r>
      <w:r>
        <w:t xml:space="preserve">. </w:t>
      </w:r>
      <w:r w:rsidRPr="00A8138F">
        <w:rPr>
          <w:i/>
        </w:rPr>
        <w:t xml:space="preserve">Vulneración del derecho del acusado a un proceso con todas las garantías (art. 24.2, párrafo primero, CE) </w:t>
      </w:r>
    </w:p>
    <w:p w14:paraId="53B0C2E1" w14:textId="77777777" w:rsidR="00A8138F" w:rsidRDefault="00A8138F" w:rsidP="00A8138F">
      <w:pPr>
        <w:pStyle w:val="TextoNormal"/>
      </w:pPr>
    </w:p>
    <w:p w14:paraId="5D336C41" w14:textId="77777777" w:rsidR="00A8138F" w:rsidRDefault="00A8138F" w:rsidP="00A8138F">
      <w:pPr>
        <w:pStyle w:val="TextoNormal"/>
      </w:pPr>
      <w:r>
        <w:t xml:space="preserve">Como ya se ha expuesto, tanto el demandante de amparo como el Ministerio Fiscal sostienen que la vulneración del derecho a un proceso con todas las garantías es tributaria de la vulneración del derecho del testigo-pariente a la dispensa de la obligación de declarar en el proceso penal (art. 24.2, párrafo segundo, CE). La representación procesal de la señora Semaou argumenta que su personación como acusación particular en el proceso </w:t>
      </w:r>
      <w:r w:rsidRPr="00A8138F">
        <w:rPr>
          <w:i/>
        </w:rPr>
        <w:t>a quo</w:t>
      </w:r>
      <w:r>
        <w:t xml:space="preserve"> muestra </w:t>
      </w:r>
      <w:r>
        <w:lastRenderedPageBreak/>
        <w:t>sobradamente su renuncia a la dispensa, siendo su declaración prueba de cargo suficiente para condenar.</w:t>
      </w:r>
    </w:p>
    <w:p w14:paraId="0845935F" w14:textId="77777777" w:rsidR="00A8138F" w:rsidRDefault="00A8138F" w:rsidP="00A8138F">
      <w:pPr>
        <w:pStyle w:val="TextoNormal"/>
      </w:pPr>
    </w:p>
    <w:p w14:paraId="453E1190" w14:textId="77777777" w:rsidR="00A8138F" w:rsidRDefault="00A8138F" w:rsidP="00A8138F">
      <w:pPr>
        <w:pStyle w:val="TextoNormal"/>
      </w:pPr>
      <w:r>
        <w:t>En el caso que se enjuicia el titular del derecho a un proceso con todas las garantías —que es el recurrente en amparo— no lo es del derecho a la dispensa de la obligación de declarar, que únicamente corresponde a la señora Semaou, que se opone a la estimación de este recurso de amparo. Resulta relevante subrayar que la señora Semaou ha alegado en los recursos de apelación y casación —y también en este recurso de amparo— que su personación como acusación particular constituye el ejercicio de un derecho fundamental y muestra sobradamente su renuncia a la dispensa. Alegaciones que se corresponden con el comportamiento procesal de la señora Semaou y que, como se explicará seguidamente, nos hacen concluir que las resoluciones judiciales impugnadas no son lesivas del derecho a un proceso con todas las garantías ni, por ende, del derecho a la presunción de inocencia.</w:t>
      </w:r>
    </w:p>
    <w:p w14:paraId="70902B97" w14:textId="77777777" w:rsidR="00A8138F" w:rsidRDefault="00A8138F" w:rsidP="00A8138F">
      <w:pPr>
        <w:pStyle w:val="TextoNormal"/>
      </w:pPr>
    </w:p>
    <w:p w14:paraId="24592DE9" w14:textId="77777777" w:rsidR="00A8138F" w:rsidRDefault="00A8138F" w:rsidP="00A8138F">
      <w:pPr>
        <w:pStyle w:val="TextoNormal"/>
      </w:pPr>
      <w:r>
        <w:t xml:space="preserve">a) </w:t>
      </w:r>
      <w:r w:rsidRPr="00A8138F">
        <w:rPr>
          <w:i/>
        </w:rPr>
        <w:t>Como se acaba de referir, la señora Semaou ha alegado que su renuncia a la dispensa se debe a que ha ejercido la acusación particular en el proceso</w:t>
      </w:r>
    </w:p>
    <w:p w14:paraId="002910C6" w14:textId="77777777" w:rsidR="00A8138F" w:rsidRDefault="00A8138F" w:rsidP="00A8138F">
      <w:pPr>
        <w:pStyle w:val="TextoNormal"/>
      </w:pPr>
    </w:p>
    <w:p w14:paraId="08735244" w14:textId="77777777" w:rsidR="00A8138F" w:rsidRDefault="00A8138F" w:rsidP="00A8138F">
      <w:pPr>
        <w:pStyle w:val="TextoNormal"/>
      </w:pPr>
      <w:r>
        <w:t xml:space="preserve">En una reiterada doctrina constitucional, que se inicia en la STC 108/1983, de 29 de noviembre, FJ 2, este tribunal ha declarado que “el art. 24.1 CE, en cuanto garantiza el derecho a la tutela judicial efectiva sin indefensión, en sus diversos contenidos, comprende en favor de los acusadores el derecho a la jurisdicción penal que, dentro del sistema plural instaurado en nuestro ordenamiento jurídico, en el que junto a la oficialidad de la acción encomendada al Ministerio Fiscal se establecen otras titularidades privadas, es caracterizado como un </w:t>
      </w:r>
      <w:r w:rsidRPr="00A8138F">
        <w:rPr>
          <w:i/>
        </w:rPr>
        <w:t>ius ut procedatur</w:t>
      </w:r>
      <w:r>
        <w:t>, esto es, un derecho incondicionado a la apertura y plena sustanciación del proceso penal en los casos y conforme a las previsiones de la propia Ley de enjuiciamiento criminal” (STC 72/2024, de 7 de mayo, FJ 4). Se trata, en definitiva, del “‘derecho a poner en marcha un proceso, substanciado de conformidad con las reglas del proceso justo, en el que pueda obtener una respuesta razonable y fundada en Derecho’ (por todas, STC 120/2000, de 10 de mayo, FJ 4), que ha sido configurado por este tribunal como una manifestación específica del derecho a la jurisdicción (por todas, SSTC 31/1996, de 27 de febrero, FFJJ 10 y 11, y 16/2001, de 29 de enero, FJ 4), y que no se agota en un mero impulso del proceso o una mera comparecencia en el mismo, sino que de él derivan con naturalidad y necesidad los derechos relativos a las reglas esenciales del desarrollo del proceso (SSTC 218/1997, de 4 de diciembre, FJ 2; 138/1999, de 22 de julio, FJ 5; 215/1999, de 29 de noviembre, FJ 1, y 16/2001, de 29 de enero, FJ 4, entre otras muchas)” (STC 145/2009, de 15 de junio, FJ 4).</w:t>
      </w:r>
    </w:p>
    <w:p w14:paraId="4D54A0BE" w14:textId="77777777" w:rsidR="00A8138F" w:rsidRDefault="00A8138F" w:rsidP="00A8138F">
      <w:pPr>
        <w:pStyle w:val="TextoNormal"/>
      </w:pPr>
    </w:p>
    <w:p w14:paraId="6F9CB041" w14:textId="77777777" w:rsidR="00A8138F" w:rsidRDefault="00A8138F" w:rsidP="00A8138F">
      <w:pPr>
        <w:pStyle w:val="TextoNormal"/>
      </w:pPr>
      <w:r>
        <w:t xml:space="preserve">Tanto los órganos judiciales ordinarios como este tribunal se han pronunciado acerca de las consecuencias que se derivan del ejercicio de este derecho fundamental a impulsar y a ser parte en el proceso penal con el derecho del testigo-pariente a la dispensa de la obligación de declarar en el proceso penal (art. 24.2, párrafo segundo, CE). La STC 94/2010, de 15 de noviembre, tal como se expone en su fundamento jurídico 3, declaró lesiva del </w:t>
      </w:r>
      <w:r w:rsidRPr="00A8138F">
        <w:rPr>
          <w:i/>
        </w:rPr>
        <w:t>ius ut procedatur</w:t>
      </w:r>
      <w:r>
        <w:t xml:space="preserve"> de la recurrente en amparo, la decisión judicial dictada en apelación de tener por no realizada su declaración testifical al no haberle informado el juez de lo penal de la dispensa de prestar declaración reconocida en el art. 416 LECrim. En dicha sentencia, acogiendo la doctrina elaborada por el Tribunal Supremo, se afirma que el fundamento de esta dispensa radica en “los vínculos de solidaridad que existen entre los que integran un mismo círculo familiar, siendo su finalidad la de resolver el conflicto que pueda surgir entre el </w:t>
      </w:r>
      <w:r>
        <w:lastRenderedPageBreak/>
        <w:t xml:space="preserve">deber de veracidad del testigo y el vínculo de familiaridad y solidaridad que le une al acusado”. Debido a que la recurrente había denunciado al acusado, había prestado declaración por los hechos denunciados ante la autoridad policial y el juzgado de instrucción y había ejercido la acusación particular, solicitando la imposición de graves penas contra él, este tribunal consideró que la decisión de la Audiencia Provincial de no tener por realizada su declaración testifical, al no haberle informado el juez de lo penal de la dispensa incurrió en desproporción por su formalismo, lesionando el derecho de la recurrente a ejercer el </w:t>
      </w:r>
      <w:r w:rsidRPr="00A8138F">
        <w:rPr>
          <w:i/>
        </w:rPr>
        <w:t>ius ut procedatur</w:t>
      </w:r>
      <w:r>
        <w:t>, “pues si su dilema moral le hubiera imposibilitado perjudicar con sus acciones a su marido no habría desplegado contra él la concluyente actividad procesal reveladora de una, al menos, implícita renuncia a la dispensa que le confería el art. 416 LECrim”.</w:t>
      </w:r>
    </w:p>
    <w:p w14:paraId="707633A3" w14:textId="77777777" w:rsidR="00A8138F" w:rsidRDefault="00A8138F" w:rsidP="00A8138F">
      <w:pPr>
        <w:pStyle w:val="TextoNormal"/>
      </w:pPr>
    </w:p>
    <w:p w14:paraId="76CA58AE" w14:textId="77777777" w:rsidR="00A8138F" w:rsidRDefault="00A8138F" w:rsidP="00A8138F">
      <w:pPr>
        <w:pStyle w:val="TextoNormal"/>
      </w:pPr>
      <w:r>
        <w:t>En coherencia con esta doctrina constitucional, también la jurisprudencia del Tribunal Supremo ha considerado que el derecho a la dispensa del testigo-pariente es incompatible con su personación como acusación en el proceso, en particular en los supuestos de violencia de género en los que “la mujer denuncia precisamente a su pareja como autor de graves afrentas físicas o psicológicas mediante las cuales ha sido agredida precisamente ella, o a veces sus hijos, por la acción de aquél.” Por ello, “[n]o tiene sentido conceder una dispensa a declarar, a quien precisamente declara para denunciar a su agresor” (STS 389/2020, de 10 de julio, FJ 8).</w:t>
      </w:r>
    </w:p>
    <w:p w14:paraId="151D1180" w14:textId="77777777" w:rsidR="00A8138F" w:rsidRDefault="00A8138F" w:rsidP="00A8138F">
      <w:pPr>
        <w:pStyle w:val="TextoNormal"/>
      </w:pPr>
    </w:p>
    <w:p w14:paraId="6CF3574E" w14:textId="77777777" w:rsidR="00A8138F" w:rsidRDefault="00A8138F" w:rsidP="00A8138F">
      <w:pPr>
        <w:pStyle w:val="TextoNormal"/>
      </w:pPr>
      <w:r>
        <w:t xml:space="preserve">b) </w:t>
      </w:r>
      <w:r w:rsidRPr="00A8138F">
        <w:rPr>
          <w:i/>
        </w:rPr>
        <w:t>Aplicación de la doctrina anterior a este supuesto</w:t>
      </w:r>
    </w:p>
    <w:p w14:paraId="354AC3EC" w14:textId="77777777" w:rsidR="00A8138F" w:rsidRDefault="00A8138F" w:rsidP="00A8138F">
      <w:pPr>
        <w:pStyle w:val="TextoNormal"/>
      </w:pPr>
    </w:p>
    <w:p w14:paraId="7F5018F1" w14:textId="77777777" w:rsidR="00A8138F" w:rsidRDefault="00A8138F" w:rsidP="00A8138F">
      <w:pPr>
        <w:pStyle w:val="TextoNormal"/>
      </w:pPr>
      <w:r>
        <w:t>Las alegaciones del Ministerio Fiscal y del recurrente ignoran que, como ya se ha expuesto, la señora Semaou, tras interponer la denuncia ante la policía, ejerció, como manifestación específica del derecho fundamental a la jurisdicción, el derecho del acusador a la jurisdicción penal; y ello como consecuencia del ofrecimiento de acciones que le hizo el Juzgado de Violencia sobre la Mujer núm. 1 de Orihuela, tras ratificarse en la denuncia presentada, renunciando expresamente en dicho acto a la dispensa de la obligación general de declarar establecida en el art. 410 LECrim; personándose con abogado y procurador nombrados de oficio en la causa y presentando escrito de acusación en el que solicitó la condena del acusado. Dicha conducta y la posterior —oponiéndose a los recursos de apelación y casación interpuestos por el hoy recurrente en amparo para solicitar la revisión de su condena— resulta contradictoria con el hecho de que en el acto del juicio oral la señora Semaou tratara de acogerse a tal dispensa, posibilidad esta que fue rechazada por el órgano judicial, habida cuenta de la condición de parte acusadora que ocupaba en el proceso.</w:t>
      </w:r>
    </w:p>
    <w:p w14:paraId="45F2BE8C" w14:textId="77777777" w:rsidR="00A8138F" w:rsidRDefault="00A8138F" w:rsidP="00A8138F">
      <w:pPr>
        <w:pStyle w:val="TextoNormal"/>
      </w:pPr>
    </w:p>
    <w:p w14:paraId="0DA96136" w14:textId="77777777" w:rsidR="00A8138F" w:rsidRDefault="00A8138F" w:rsidP="00A8138F">
      <w:pPr>
        <w:pStyle w:val="TextoNormal"/>
      </w:pPr>
      <w:r>
        <w:t>A diferencia de lo que alegan tanto el recurrente como el Ministerio Fiscal, este no es un supuesto en que los órganos judiciales, al considerar que no cabía en dicho acto acogerse a la dispensa, hayan limitado el ejercicio de dicho derecho sin la necesaria cobertura legal. Como sucede respecto de otros derechos fundamentales, entre otros el derecho a la intimidad (art. 18.1 CE), la actuación o conducta de la persona titular del derecho puede ser jurídicamente relevante a la hora de determinar las consecuencias jurídicas que estas acarrean. En efecto, este tribunal ha considerado en relación con el derecho a la intimidad que “corresponde a cada persona acotar el ámbito de intimidad personal que reserva al conocimiento ajeno” (</w:t>
      </w:r>
      <w:r w:rsidRPr="00A8138F">
        <w:rPr>
          <w:i/>
        </w:rPr>
        <w:t>vid</w:t>
      </w:r>
      <w:r>
        <w:t xml:space="preserve">. por todas, STC 7/2014, de 27 de enero, FJ 3). Por ello, no constituye un límite de tal derecho difundir una faceta de la vida de una persona pública que ella misma ha revelado previamente al público de forma voluntaria prestando un consentimiento eficaz. Tampoco supone un límite al derecho a la propia imagen rechazar que su publicación sea </w:t>
      </w:r>
      <w:r>
        <w:lastRenderedPageBreak/>
        <w:t xml:space="preserve">lesiva del derecho cuando se ha consentido previa y expresamente su difusión. Esta misma doctrina, </w:t>
      </w:r>
      <w:r w:rsidRPr="00A8138F">
        <w:rPr>
          <w:i/>
        </w:rPr>
        <w:t>mutatis mutandis</w:t>
      </w:r>
      <w:r>
        <w:t xml:space="preserve">, resulta aplicable a este caso pues, en este supuesto, el ejercicio del derecho a ejercer la acusación, manifestación del derecho de acceso a la jurisdicción, conlleva que no pueda ejercerse simultáneamente su derecho a la dispensa. Es la propia actuación de quien en el ejercicio del derecho fundamental al </w:t>
      </w:r>
      <w:r w:rsidRPr="00A8138F">
        <w:rPr>
          <w:i/>
        </w:rPr>
        <w:t>ius ut procedatur</w:t>
      </w:r>
      <w:r>
        <w:t xml:space="preserve"> comparece como acusación particular en un proceso (derecho garantizado en el art. 24.1 CE), la que impide que pueda ejercer en ese mismo proceso su renuncia al derecho a no declarar como testigo. Cuando se da esta circunstancia —que es el testigo-pariente el que promueve la acción penal— se está renunciando, mediante un hecho concluyente, al derecho a no declarar contra el pariente al que se le acusa del delito.</w:t>
      </w:r>
    </w:p>
    <w:p w14:paraId="30B00BFB" w14:textId="77777777" w:rsidR="00A8138F" w:rsidRDefault="00A8138F" w:rsidP="00A8138F">
      <w:pPr>
        <w:pStyle w:val="TextoNormal"/>
      </w:pPr>
    </w:p>
    <w:p w14:paraId="342B2DBD" w14:textId="77777777" w:rsidR="00A8138F" w:rsidRDefault="00A8138F" w:rsidP="00A8138F">
      <w:pPr>
        <w:pStyle w:val="TextoNormal"/>
      </w:pPr>
      <w:r>
        <w:t>No existe ninguna duda acerca de cuál ha sido en todo momento la voluntad de la señora Semaou en el proceso penal: cooperar con la administración de justicia para facilitar la sanción penal del recurrente por los hechos ocurridos el 11 de agosto de 2020, priorizando esta colaboración sobre el eventual vínculo de familiaridad o solidaridad que pudiera haber tenido en algún momento con el condenado; es más, no solo ha mostrado una constante voluntad de cooperar con la acción de la justicia, sino que la ha promovido activamente, haciendo uso de todas las posibilidades que le ofrecía el ordenamiento procesal penal para solicitar y hacer posible la sanción de los hechos delictivos de los que fue víctima y testigo. En palabras de la STC 94/2010, la señora Semaou ha desplegado en este proceso una “concluyente actividad procesal reveladora de una, al menos, implícita renuncia a la dispensa que le confería el art. 416 LECrim”. Así, ha sido su propia conducta la que ha llevado a los órganos judiciales a considerar que su voluntad ha sido ejercer el derecho fundamental al</w:t>
      </w:r>
      <w:r w:rsidRPr="00A8138F">
        <w:rPr>
          <w:i/>
        </w:rPr>
        <w:t xml:space="preserve"> ius ut procedatu</w:t>
      </w:r>
      <w:r>
        <w:t>r.</w:t>
      </w:r>
    </w:p>
    <w:p w14:paraId="7FDBC43C" w14:textId="77777777" w:rsidR="00A8138F" w:rsidRDefault="00A8138F" w:rsidP="00A8138F">
      <w:pPr>
        <w:pStyle w:val="TextoNormal"/>
      </w:pPr>
    </w:p>
    <w:p w14:paraId="740D407B" w14:textId="48C0B972" w:rsidR="00A8138F" w:rsidRDefault="00A8138F" w:rsidP="00A8138F">
      <w:pPr>
        <w:pStyle w:val="TextoNormal"/>
      </w:pPr>
      <w:r>
        <w:t>Por las razones expuestas anteriormente, se desestima el primer motivo de amparo y, como lógica consecuencia, igual suerte desestimatoria ha de seguir la queja del recurrente relativa a la vulneración del derecho a la presunción de inocencia (art. 24.2 CE). En efecto, una vez descartado que la declaración de la señora Semaou se haya efectuado infringiendo las debidas garantías constitucionales, no cabe apreciar que la referida declaración no sea apta para destruir la presunción de inocencia y por este motivo ha de decaer la queja por la que se aduce la vulneración de este derecho fundamental.</w:t>
      </w:r>
    </w:p>
    <w:p w14:paraId="54B88A66" w14:textId="77777777" w:rsidR="00A8138F" w:rsidRDefault="00A8138F" w:rsidP="00A8138F">
      <w:pPr>
        <w:pStyle w:val="TextoNormal"/>
      </w:pPr>
    </w:p>
    <w:p w14:paraId="531DE153" w14:textId="77777777" w:rsidR="00A8138F" w:rsidRDefault="00A8138F" w:rsidP="00A8138F">
      <w:pPr>
        <w:pStyle w:val="TextoNormal"/>
      </w:pPr>
      <w:r w:rsidRPr="00A8138F">
        <w:rPr>
          <w:rStyle w:val="NumeroAFNegritaCaracter"/>
        </w:rPr>
        <w:t>3</w:t>
      </w:r>
      <w:r>
        <w:t xml:space="preserve">. </w:t>
      </w:r>
      <w:r w:rsidRPr="00A8138F">
        <w:rPr>
          <w:i/>
        </w:rPr>
        <w:t>Vulneración del derecho a un juez imparcial en relación con el derecho a un proceso con todas las garantías (art. 24.2 CE)</w:t>
      </w:r>
    </w:p>
    <w:p w14:paraId="67A80EF7" w14:textId="77777777" w:rsidR="00A8138F" w:rsidRDefault="00A8138F" w:rsidP="00A8138F">
      <w:pPr>
        <w:pStyle w:val="TextoNormal"/>
      </w:pPr>
    </w:p>
    <w:p w14:paraId="36579B4C" w14:textId="77777777" w:rsidR="00A8138F" w:rsidRDefault="00A8138F" w:rsidP="00A8138F">
      <w:pPr>
        <w:pStyle w:val="TextoNormal"/>
      </w:pPr>
      <w:r>
        <w:t>En segundo lugar, el demandante de amparo invoca la vulneración del derecho a un juez imparcial en relación con su derecho de defensa (art. 24.2 CE). De acuerdo con la demanda, el juez de lo penal comprometió su posición de neutralidad, en perjuicio de la defensa, al leer a la testigo un pasaje de su declaración sumarial al término del interrogatorio de las partes, y preguntarle seguidamente si los hechos habían ocurrido tal como se narraban en dicho pasaje.</w:t>
      </w:r>
    </w:p>
    <w:p w14:paraId="071861A3" w14:textId="77777777" w:rsidR="00A8138F" w:rsidRDefault="00A8138F" w:rsidP="00A8138F">
      <w:pPr>
        <w:pStyle w:val="TextoNormal"/>
      </w:pPr>
    </w:p>
    <w:p w14:paraId="6B953BED" w14:textId="77777777" w:rsidR="00A8138F" w:rsidRDefault="00A8138F" w:rsidP="00A8138F">
      <w:pPr>
        <w:pStyle w:val="TextoNormal"/>
      </w:pPr>
      <w:r>
        <w:t xml:space="preserve">a) </w:t>
      </w:r>
      <w:r w:rsidRPr="00A8138F">
        <w:rPr>
          <w:i/>
        </w:rPr>
        <w:t>Doctrina constitucional</w:t>
      </w:r>
    </w:p>
    <w:p w14:paraId="57E28FF7" w14:textId="77777777" w:rsidR="00A8138F" w:rsidRDefault="00A8138F" w:rsidP="00A8138F">
      <w:pPr>
        <w:pStyle w:val="TextoNormal"/>
      </w:pPr>
    </w:p>
    <w:p w14:paraId="677F0A6A" w14:textId="77777777" w:rsidR="00A8138F" w:rsidRDefault="00A8138F" w:rsidP="00A8138F">
      <w:pPr>
        <w:pStyle w:val="TextoNormal"/>
      </w:pPr>
      <w:r>
        <w:t xml:space="preserve">La jurisprudencia constitucional ha señalado que el derecho a un proceso con todas las garantías, del que forma parte el derecho a un juez imparcial, otorga al acusado en un proceso penal el derecho a exigir del juez la observancia de una actitud neutra respecto de las </w:t>
      </w:r>
      <w:r>
        <w:lastRenderedPageBreak/>
        <w:t>posiciones de las partes en el proceso, siendo un tercero ajeno a los intereses en litigio y, por tanto, a sus titulares y a las funciones que desempeñan. Alejamiento que le permite decidir justamente la controversia, situándose por encima de las partes acusadoras e imputadas (STC 130/2002, de 3 de junio, FJ 3). Por esta razón le está vedado constitucionalmente asumir en el proceso funciones de parte (SSTC 53/1987, de 7 de mayo, FFJJ 1 y 2, y 18/1989, de 30 de enero, FJ 1), o realizar actos en relación con el proceso y sus partes que puedan poner de manifiesto que ha adoptado una previa posición a favor o en contra de una de ellas (STC 162/1999, de 27 de septiembre, FJ 5). También ha señalado la doctrina constitucional que el juez puede traspasar el límite que le impone el principio acusatorio cuando, perdiendo su apariencia de juez objetivamente imparcial, ha llevado a cabo una actividad inquisitiva encubierta, al respaldar una petición de una de ellas formulada en clara conculcación de lo dispuesto en la legalidad sustantiva o procesal y que puede deparar un perjuicio a la otra (STC 188/2000, de 10 de julio, FJ 2).</w:t>
      </w:r>
    </w:p>
    <w:p w14:paraId="3D0EBCEF" w14:textId="77777777" w:rsidR="00A8138F" w:rsidRDefault="00A8138F" w:rsidP="00A8138F">
      <w:pPr>
        <w:pStyle w:val="TextoNormal"/>
      </w:pPr>
    </w:p>
    <w:p w14:paraId="70D7AFB5" w14:textId="77777777" w:rsidR="00A8138F" w:rsidRDefault="00A8138F" w:rsidP="00A8138F">
      <w:pPr>
        <w:pStyle w:val="TextoNormal"/>
      </w:pPr>
      <w:r>
        <w:t>Ahora bien, el hecho de que el juez deba mantener una actitud de neutralidad respecto de las posiciones de las partes no significa que haya de exigirse al órgano judicial una actitud pasiva durante el acto del juicio (STC 229/2003, de 18 de diciembre, FJ 14). En efecto, si bien el principio acusatorio exige que el juzgador no emprenda, con iniciativas probatorias de oficio, una actividad inquisitiva encubierta, no supone que tenga constitucionalmente vedada toda actividad procesal de impulso probatorio respecto de los hechos objeto de los escritos de calificación, para contrastar o verificar la fiabilidad de las pruebas de los hechos propuestos por las partes, siempre que sirva al designio de comprobar la certeza de elementos de hecho que le permitan llegar a formar el criterio preciso para dictar sentencia (STC 334/2005, de 20 de diciembre, FJ 3). En todo caso, para determinar si en el ejercicio de esa facultad el juez ha comprometido su posición de neutralidad es preciso analizar las circunstancias particulares de cada caso concreto [SSTC 130/2002, FJ 8; 229/2003, FJ 14; 334/2005, FJ 3, y 143/2006, de 8 de mayo, FJ 4 b), por todas].</w:t>
      </w:r>
    </w:p>
    <w:p w14:paraId="53015D4D" w14:textId="77777777" w:rsidR="00A8138F" w:rsidRDefault="00A8138F" w:rsidP="00A8138F">
      <w:pPr>
        <w:pStyle w:val="TextoNormal"/>
      </w:pPr>
    </w:p>
    <w:p w14:paraId="3164903F" w14:textId="77777777" w:rsidR="00A8138F" w:rsidRDefault="00A8138F" w:rsidP="00A8138F">
      <w:pPr>
        <w:pStyle w:val="TextoNormal"/>
      </w:pPr>
      <w:r>
        <w:t>En tal sentido, y por lo que se refiere al supuesto de que por parte del juez —o el presidente del Tribunal— se proceda en la vista oral a formular una serie de preguntas al acusado, a la presunta víctima del delito o a los testigos, al amparo de diversas habilitaciones de la Ley de enjuiciamiento criminal, este tribunal ha destacado que no cabe apreciar vulneración del derecho al juez imparcial cuando las preguntas versen sobre los hechos objeto de acusación y pueda entenderse razonablemente que han sido llevadas a cabo para alcanzar un grado preciso de convicción del juzgador para la adopción de su decisión, en busca de la verdad material, sin ser manifestación de una actividad inquisitiva en la que se sustituya a la acusación, ni una toma de partido a favor de las tesis de esta, y de ellas no se derive ninguna indefensión para el acusado [SSTC 229/2003, FJ 14; 334/2005, FJ 3, y 143/2006, FJ 4 b)].</w:t>
      </w:r>
    </w:p>
    <w:p w14:paraId="341E8A4D" w14:textId="77777777" w:rsidR="00A8138F" w:rsidRDefault="00A8138F" w:rsidP="00A8138F">
      <w:pPr>
        <w:pStyle w:val="TextoNormal"/>
      </w:pPr>
    </w:p>
    <w:p w14:paraId="765D8FA5" w14:textId="77777777" w:rsidR="00A8138F" w:rsidRDefault="00A8138F" w:rsidP="00A8138F">
      <w:pPr>
        <w:pStyle w:val="TextoNormal"/>
      </w:pPr>
      <w:r>
        <w:t xml:space="preserve">La inmediación implica la práctica de la prueba a presencia del tribunal, a fin de que este pueda percibir y valorar por sí mismo todo el acervo probatorio propuesto por las partes. Eso requiere que los magistrados no alberguen duda alguna sobre el contenido de lo que se practica, sin perjuicio de su validez y suficiencia como fuente probatoria. En el caso de un testigo, el Tribunal no puede tener incertidumbre alguna sobre lo que el testigo dice, desde el punto de vista de un mero entendimiento lógico. Pero también es necesario tener clara la conexión o relación entre lo que el testigo dice y los aspectos esenciales de los hechos enjuiciados. Por tanto, forma parte de la propia naturaleza de la inmediación judicial que el Tribunal pueda formular preguntas a un testigo sobre aquellos aspectos fácticos que no le </w:t>
      </w:r>
      <w:r>
        <w:lastRenderedPageBreak/>
        <w:t>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14:paraId="436E4192" w14:textId="77777777" w:rsidR="00A8138F" w:rsidRDefault="00A8138F" w:rsidP="00A8138F">
      <w:pPr>
        <w:pStyle w:val="TextoNormal"/>
      </w:pPr>
    </w:p>
    <w:p w14:paraId="1C3BC146" w14:textId="77777777" w:rsidR="00A8138F" w:rsidRDefault="00A8138F" w:rsidP="00A8138F">
      <w:pPr>
        <w:pStyle w:val="TextoNormal"/>
      </w:pPr>
      <w:r>
        <w:t>En todo caso, la potestad del Tribunal recogida en el precepto citado encuentra como límite infranqueable la vigencia del principio acusatorio. El órgano de enjuiciamiento no puede introducir hechos que no hayan sido objeto de acusación y sobre los que, por lo tanto, el procesado no haya podido ejercer su derecho de defensa en condiciones de igualdad con el resto de las partes. El uso de esta prerrogativa no puede suponer, en modo alguno, que el Tribunal se convierta en acusación, en juez y parte al mismo tiempo, con la consiguiente pérdida de su debida imparcialidad. En consecuencia, lo relevante son los hechos, y estos vienen definidos por los escritos de acusación, que constituyen el objeto del proceso penal y, por lo tanto, del acervo probatorio propuesto por las partes [STC 91/2021, de 22 de abril, FJ 5.7.3 c), y todas las citadas en ella].</w:t>
      </w:r>
    </w:p>
    <w:p w14:paraId="2A51B865" w14:textId="77777777" w:rsidR="00A8138F" w:rsidRDefault="00A8138F" w:rsidP="00A8138F">
      <w:pPr>
        <w:pStyle w:val="TextoNormal"/>
      </w:pPr>
    </w:p>
    <w:p w14:paraId="3320D72B" w14:textId="77777777" w:rsidR="00A8138F" w:rsidRDefault="00A8138F" w:rsidP="00A8138F">
      <w:pPr>
        <w:pStyle w:val="TextoNormal"/>
      </w:pPr>
      <w:r>
        <w:t xml:space="preserve">b) </w:t>
      </w:r>
      <w:r w:rsidRPr="00A8138F">
        <w:rPr>
          <w:i/>
        </w:rPr>
        <w:t>Aplicación de la doctrina al caso</w:t>
      </w:r>
    </w:p>
    <w:p w14:paraId="19EC185F" w14:textId="77777777" w:rsidR="00A8138F" w:rsidRDefault="00A8138F" w:rsidP="00A8138F">
      <w:pPr>
        <w:pStyle w:val="TextoNormal"/>
      </w:pPr>
    </w:p>
    <w:p w14:paraId="0434DE09" w14:textId="77777777" w:rsidR="00A8138F" w:rsidRDefault="00A8138F" w:rsidP="00A8138F">
      <w:pPr>
        <w:pStyle w:val="TextoNormal"/>
      </w:pPr>
      <w:r>
        <w:t>En el caso de autos, encontramos que, una vez que la señora Semaou había terminado de responder a las preguntas formuladas por el Ministerio Fiscal, el letrado de la acusación particular y el letrado de la defensa, el juez le indicó: “Le voy a leer lo que usted declaró en instrucción, que no me ha quedado a mí muy claro a la vista de las respuestas que ha formulado usted al Ministerio Fiscal, y usted me dice si esto es correcto o no, por las posibles contradicciones”. A continuación, leyó un pasaje de la declaración que había prestado ante el Juzgado de Violencia sobre la Mujer núm. 1 de Orihuela, y preguntó a la testigo: “¿Esto que le he leído es cierto o no sucedió así?”, contestando la señora Semaou que era cierto, a la vez que asentía con la cabeza. Previamente, la representante del Ministerio Fiscal había puesto de manifiesto la existencia de contradicciones entre la declaración prestada en fase de instrucción y lo que la testigo estaba declarando en el juicio.</w:t>
      </w:r>
    </w:p>
    <w:p w14:paraId="7AFB8BFF" w14:textId="77777777" w:rsidR="00A8138F" w:rsidRDefault="00A8138F" w:rsidP="00A8138F">
      <w:pPr>
        <w:pStyle w:val="TextoNormal"/>
      </w:pPr>
    </w:p>
    <w:p w14:paraId="44EF803C" w14:textId="77777777" w:rsidR="00A8138F" w:rsidRDefault="00A8138F" w:rsidP="00A8138F">
      <w:pPr>
        <w:pStyle w:val="TextoNormal"/>
      </w:pPr>
      <w:r>
        <w:t>Esta actuación judicial, tal como pone de manifiesto la sentencia de apelación dictada por la Audiencia Provincial de Alicante, encuentra cobertura legal tanto en el art. 708 LECrim, que habilita al juez que presida la sesión para dirigir a los testigos las preguntas que estime conducentes para depurar los hechos sobre los que declaren, como en el art. 714 LECrim, que también autoriza al juez que presida la sesión para, a petición de cualquiera de las partes, dar lectura a la declaración prestada por el testigo en el sumario cuando no sea conforme en lo sustancial con la prestada en el juicio oral y a pedirle que explique la diferencia o contradicción.</w:t>
      </w:r>
    </w:p>
    <w:p w14:paraId="239AC218" w14:textId="77777777" w:rsidR="00A8138F" w:rsidRDefault="00A8138F" w:rsidP="00A8138F">
      <w:pPr>
        <w:pStyle w:val="TextoNormal"/>
      </w:pPr>
    </w:p>
    <w:p w14:paraId="59A17DB7" w14:textId="4B9DF8B2" w:rsidR="00A8138F" w:rsidRDefault="00A8138F" w:rsidP="00A8138F">
      <w:pPr>
        <w:pStyle w:val="TextoNormal"/>
      </w:pPr>
      <w:r>
        <w:t>En el caso examinado, la actuación del juez se mantuvo rigurosamente dentro de los límites marcados por la doctrina constitucional transcrita: ante las contradicciones puestas de manifiesto por la fiscal, el juez se limitó a leer la declaración prestada por la testigo en fase sumarial y preguntar a la misma si los hechos habían ocurrido de tal modo, ciñéndose en todo momento a los hechos que habían sido objeto del debate, sin introducir elementos fácticos o probatorios nuevos que pudieran contribuir a reforzar la posición de alguna de las partes, y sin acompañar dichas preguntas de expresiones o comentarios que pudieran indicar una toma de postura previa al dictado de la sentencia, o, como afirma el recurrente, una pérdida de la posición de neutralidad que venía obligado a mantener.</w:t>
      </w:r>
    </w:p>
    <w:p w14:paraId="5D1AF10F" w14:textId="77777777" w:rsidR="00A8138F" w:rsidRDefault="00A8138F" w:rsidP="00A8138F">
      <w:pPr>
        <w:pStyle w:val="TextoNormal"/>
      </w:pPr>
    </w:p>
    <w:p w14:paraId="625D28A6" w14:textId="77777777" w:rsidR="00A8138F" w:rsidRDefault="00A8138F" w:rsidP="00A8138F">
      <w:pPr>
        <w:pStyle w:val="TextoNormalCentrado"/>
        <w:keepNext/>
      </w:pPr>
      <w:r>
        <w:t>FALLO</w:t>
      </w:r>
    </w:p>
    <w:p w14:paraId="7EAB2505" w14:textId="06B82B2E" w:rsidR="00A8138F" w:rsidRDefault="00A8138F" w:rsidP="00A8138F">
      <w:pPr>
        <w:pStyle w:val="TextoNormalCentrado"/>
        <w:keepNext/>
      </w:pPr>
    </w:p>
    <w:p w14:paraId="67BF7773" w14:textId="37565856" w:rsidR="00A8138F" w:rsidRDefault="00A8138F" w:rsidP="00A8138F">
      <w:pPr>
        <w:pStyle w:val="TextoNormal"/>
      </w:pPr>
      <w:r>
        <w:t>En atención a todo lo expuesto, el Tribunal Constitucional, por la autoridad que le confiere la Constitución de la Nación española, ha decidido desestimar íntegramente el recurso de amparo interpuesto por don Hamza Mouri.</w:t>
      </w:r>
    </w:p>
    <w:p w14:paraId="1C5519AB" w14:textId="77777777" w:rsidR="00A8138F" w:rsidRDefault="00A8138F" w:rsidP="00A8138F">
      <w:pPr>
        <w:pStyle w:val="TextoNormal"/>
      </w:pPr>
    </w:p>
    <w:p w14:paraId="04309797" w14:textId="77777777" w:rsidR="00A8138F" w:rsidRDefault="00A8138F" w:rsidP="00A8138F">
      <w:pPr>
        <w:pStyle w:val="TextoNormal"/>
      </w:pPr>
      <w:r>
        <w:t>Publíquese esta sentencia en el “Boletín Oficial del Estado”.</w:t>
      </w:r>
    </w:p>
    <w:p w14:paraId="05A73CF9" w14:textId="77777777" w:rsidR="00A8138F" w:rsidRDefault="00A8138F" w:rsidP="00A8138F">
      <w:pPr>
        <w:pStyle w:val="TextoNormal"/>
      </w:pPr>
      <w:r>
        <w:t>Dada en Madrid, a once de febrero de dos mil veinticinco.</w:t>
      </w:r>
    </w:p>
    <w:p w14:paraId="65B258B2" w14:textId="57341F72" w:rsidR="00A8138F" w:rsidRDefault="00A8138F" w:rsidP="00A8138F">
      <w:pPr>
        <w:pStyle w:val="ParrafoNormal"/>
      </w:pPr>
    </w:p>
    <w:p w14:paraId="3A5816AE" w14:textId="77777777" w:rsidR="00A8138F" w:rsidRDefault="00A8138F" w:rsidP="00A8138F">
      <w:pPr>
        <w:pStyle w:val="TextoNormalNegritaCentrado"/>
        <w:keepNext/>
      </w:pPr>
      <w:r>
        <w:t>Voto particular que formulan los magistrados doña Concepción Espejel Jorquera y don José María Macías Castaño a la sentencia del Pleno del Tribunal de 11 de febrero de 2025, que desestima el recurso de amparo avocado núm. 5726-2021</w:t>
      </w:r>
    </w:p>
    <w:p w14:paraId="3784CA88" w14:textId="7C5A96CC" w:rsidR="00A8138F" w:rsidRDefault="00A8138F" w:rsidP="00A8138F">
      <w:pPr>
        <w:pStyle w:val="TextoNormalNegritaCentrado"/>
        <w:keepNext/>
      </w:pPr>
    </w:p>
    <w:p w14:paraId="72D79AF0" w14:textId="77777777" w:rsidR="00A8138F" w:rsidRDefault="00A8138F" w:rsidP="00A8138F">
      <w:pPr>
        <w:pStyle w:val="TextoNormal"/>
      </w:pPr>
      <w:r>
        <w:t>En el ejercicio de la facultad conferida por el artículo 90.2 LOTC y con respeto a la opinión de nuestros compañeros, formulamos el presente voto particular por discrepar del fallo y de la fundamentación de la sentencia aprobada en el día de hoy por el Pleno, por cuanto, como manifestamos durante la deliberación, consideramos que el recurso de amparo debió de ser estimado por las razones que pasamos a exponer.</w:t>
      </w:r>
    </w:p>
    <w:p w14:paraId="7D616051" w14:textId="77777777" w:rsidR="00A8138F" w:rsidRDefault="00A8138F" w:rsidP="00A8138F">
      <w:pPr>
        <w:pStyle w:val="TextoNormal"/>
      </w:pPr>
    </w:p>
    <w:p w14:paraId="2AEC5F01" w14:textId="77777777" w:rsidR="00A8138F" w:rsidRDefault="00A8138F" w:rsidP="00A8138F">
      <w:pPr>
        <w:pStyle w:val="TextoNormal"/>
      </w:pPr>
      <w:r>
        <w:t>Primera. La resolución del presente recurso de amparo debió tomar como punto de partida la doctrina constitucional sobre los derechos fundamentales a un proceso con todas las garantías y a la presunción de inocencia (art. 24.2 CE), en conexión con la excepción por razón de parentesco de la obligación de declarar sobre hechos presuntamente delictivos (segundo párrafo del art. 24.2 CE)</w:t>
      </w:r>
    </w:p>
    <w:p w14:paraId="6EC74A44" w14:textId="77777777" w:rsidR="00A8138F" w:rsidRDefault="00A8138F" w:rsidP="00A8138F">
      <w:pPr>
        <w:pStyle w:val="TextoNormal"/>
      </w:pPr>
    </w:p>
    <w:p w14:paraId="328CE5FF" w14:textId="77777777" w:rsidR="00A8138F" w:rsidRDefault="00A8138F" w:rsidP="00A8138F">
      <w:pPr>
        <w:pStyle w:val="TextoNormal"/>
      </w:pPr>
      <w:r>
        <w:t>Es doctrina de este tribunal:</w:t>
      </w:r>
    </w:p>
    <w:p w14:paraId="20BFC260" w14:textId="77777777" w:rsidR="00A8138F" w:rsidRDefault="00A8138F" w:rsidP="00A8138F">
      <w:pPr>
        <w:pStyle w:val="TextoNormal"/>
      </w:pPr>
    </w:p>
    <w:p w14:paraId="69AC9691" w14:textId="77777777" w:rsidR="00A8138F" w:rsidRDefault="00A8138F" w:rsidP="00A8138F">
      <w:pPr>
        <w:pStyle w:val="TextoNormal"/>
      </w:pPr>
      <w:r>
        <w:t xml:space="preserve">“[E]l ejercicio por el Estado del </w:t>
      </w:r>
      <w:r w:rsidRPr="00A8138F">
        <w:rPr>
          <w:i/>
        </w:rPr>
        <w:t>ius puniendi</w:t>
      </w:r>
      <w:r>
        <w:t xml:space="preserve"> ha de llevarse a cabo exclusivamente en un proceso con todas las garantías, y con rigurosa observancia de las normas que regulan dicho proceso (STC 16/1981, de 18 de mayo, FFJJ 5 y 6) ya que el proceso penal, a través del que el Estado ejerce de forma más intensa su derecho a castigar, no solo puede conducir a la imposición de la sanción más grave prevista en el ordenamiento jurídico (la sanción criminal), sino también puede comprometer el derecho a la libertad personal (art. 17.1 CE) del acusado y, en su caso, los derechos fundamentales de otros intervinientes en el juicio penal; aunque su posición y los términos en los que disfrutan los derechos fundamentales que extienden su hálito protector en el proceso penal no sea la misma (STC 70/1999, de 26 de abril, FJ 3).</w:t>
      </w:r>
    </w:p>
    <w:p w14:paraId="6BBEE060" w14:textId="77777777" w:rsidR="00A8138F" w:rsidRDefault="00A8138F" w:rsidP="00A8138F">
      <w:pPr>
        <w:pStyle w:val="TextoNormal"/>
      </w:pPr>
    </w:p>
    <w:p w14:paraId="3657B7A8" w14:textId="77777777" w:rsidR="00A8138F" w:rsidRDefault="00A8138F" w:rsidP="00A8138F">
      <w:pPr>
        <w:pStyle w:val="TextoNormal"/>
      </w:pPr>
      <w:r>
        <w:t xml:space="preserve">En correspondencia con este significado y alcance del proceso penal, la Constitución ha establecido para este proceso, y a favor del imputado o acusado, un sistema complejo de garantías vinculadas entre sí en su art. 24 (SSTC 205/1989, de 11 de diciembre; 161/1994, de 23 de mayo, y 277/1994, de 17 de octubre). De suerte que cada una de las fases del proceso penal [...] está sometida a exigencias constitucionales específicas, destinadas a garantizar, en cada estadio del desarrollo de la pretensión punitiva e incluso antes de que el mismo proceso penal comience (STC 109/1986, de 24 de septiembre, FJ 1), la presunción </w:t>
      </w:r>
      <w:r>
        <w:lastRenderedPageBreak/>
        <w:t>de inocencia y otros derechos fundamentales de la persona contra la que se dirige tal pretensión (por todas STC 19/2000, de 31 de enero, FJ 3) y, muy en particular, el derecho a un juicio justo, por emplear la expresión del Tribunal Europeo de Derechos Humanos.</w:t>
      </w:r>
    </w:p>
    <w:p w14:paraId="136BD338" w14:textId="77777777" w:rsidR="00A8138F" w:rsidRDefault="00A8138F" w:rsidP="00A8138F">
      <w:pPr>
        <w:pStyle w:val="TextoNormal"/>
      </w:pPr>
    </w:p>
    <w:p w14:paraId="31861F35" w14:textId="77777777" w:rsidR="00A8138F" w:rsidRDefault="00A8138F" w:rsidP="00A8138F">
      <w:pPr>
        <w:pStyle w:val="TextoNormal"/>
      </w:pPr>
      <w:r>
        <w:t>[...]</w:t>
      </w:r>
    </w:p>
    <w:p w14:paraId="0EB26EC0" w14:textId="77777777" w:rsidR="00A8138F" w:rsidRDefault="00A8138F" w:rsidP="00A8138F">
      <w:pPr>
        <w:pStyle w:val="TextoNormal"/>
      </w:pPr>
    </w:p>
    <w:p w14:paraId="7C406CB4" w14:textId="77777777" w:rsidR="00A8138F" w:rsidRDefault="00A8138F" w:rsidP="00A8138F">
      <w:pPr>
        <w:pStyle w:val="TextoNormal"/>
      </w:pPr>
      <w:r>
        <w:t>[L]a primera y más importante garantía debida del proceso penal, a los efectos de que este pueda tenerse por un juicio justo, es indudablemente aquella que impone al juez (hasta el punto de constituir parte de su estatuto constitucional, art. 117.1 CE), y en lo que ahora interesa, al juez penal, la inquebrantable obligación de someterse de forma exclusiva y sin desfallecimiento o excepciones al ordenamiento jurídico. Especialmente, a las normas procesales que establecen la forma en la que debe ejercer su función jurisdiccional en los procesos penales. Pues su estricta sujeción a la ley, en este caso, a la Ley procesal, garantiza la objetividad e imparcialidad del resultado de su enjuiciamiento del asunto que se someta a su examen.</w:t>
      </w:r>
    </w:p>
    <w:p w14:paraId="18B0C840" w14:textId="77777777" w:rsidR="00A8138F" w:rsidRDefault="00A8138F" w:rsidP="00A8138F">
      <w:pPr>
        <w:pStyle w:val="TextoNormal"/>
      </w:pPr>
    </w:p>
    <w:p w14:paraId="4BAD301C" w14:textId="77777777" w:rsidR="00A8138F" w:rsidRDefault="00A8138F" w:rsidP="00A8138F">
      <w:pPr>
        <w:pStyle w:val="TextoNormal"/>
      </w:pPr>
      <w:r>
        <w:t>La estricta sujeción del juez a la Ley penal sustantiva y procesal que rige sus actos y decisiones constituye la primera y más importante garantía del juicio justo en la medida en que dicha sujeción asegura a las partes en el proceso que el juez penal es un tercero ajeno a los intereses en litigio y, por tanto, a sus titulares y a las funciones que desempeñen en el proceso” (STC 130/2002, FJ 3).</w:t>
      </w:r>
    </w:p>
    <w:p w14:paraId="0E186049" w14:textId="77777777" w:rsidR="00A8138F" w:rsidRDefault="00A8138F" w:rsidP="00A8138F">
      <w:pPr>
        <w:pStyle w:val="TextoNormal"/>
      </w:pPr>
    </w:p>
    <w:p w14:paraId="41198201" w14:textId="77777777" w:rsidR="00A8138F" w:rsidRDefault="00A8138F" w:rsidP="00A8138F">
      <w:pPr>
        <w:pStyle w:val="TextoNormal"/>
      </w:pPr>
      <w:r>
        <w:t>En la misma sentencia de la que se extrae la cita, se declara en el fundamento jurídico 5 que “es indudable que el régimen procesal de la prueba en el proceso penal posee una indudable relevancia constitucional habida cuenta de su estrecha conexión con las garantías constitucionales del acusado, y muy en particular con los derechos fundamentales a utilizar los medios de prueba pertinentes (art. 24.2 CE) y a la presunción de inocencia (art. 24.2 CE). La estricta sujeción del juez penal al régimen procesal de la prueba en sus distintas fases, y muy en especial la relativa a su admisión y práctica, constituye una garantía más del proceso justo (art. 24.2 CE)”. Esta doctrina ha sido reiterada en las SSTC 91/2021, FFJJ 5 y 6 a) y b); 106/2021, de 11 de mayo, FJ 6.2 a) y c), y 121/2021, de 2 de junio, FJ 7.2.</w:t>
      </w:r>
    </w:p>
    <w:p w14:paraId="4C787271" w14:textId="77777777" w:rsidR="00A8138F" w:rsidRDefault="00A8138F" w:rsidP="00A8138F">
      <w:pPr>
        <w:pStyle w:val="TextoNormal"/>
      </w:pPr>
    </w:p>
    <w:p w14:paraId="06C28216" w14:textId="77777777" w:rsidR="00A8138F" w:rsidRDefault="00A8138F" w:rsidP="00A8138F">
      <w:pPr>
        <w:pStyle w:val="TextoNormal"/>
      </w:pPr>
      <w:r>
        <w:t>Segunda. La sentencia objeto de nuestra discrepancia debió tener presente que este tribunal, desde sus inicios, ha incluido entre las garantías del proceso penal la sujeción de la actuación judicial a lo que de forma exclusiva disponga la ley procesal.</w:t>
      </w:r>
    </w:p>
    <w:p w14:paraId="350D72B1" w14:textId="77777777" w:rsidR="00A8138F" w:rsidRDefault="00A8138F" w:rsidP="00A8138F">
      <w:pPr>
        <w:pStyle w:val="TextoNormal"/>
      </w:pPr>
    </w:p>
    <w:p w14:paraId="7FFFCFCF" w14:textId="77777777" w:rsidR="00A8138F" w:rsidRDefault="00A8138F" w:rsidP="00A8138F">
      <w:pPr>
        <w:pStyle w:val="TextoNormal"/>
      </w:pPr>
      <w:r>
        <w:t xml:space="preserve">Así, la temprana STC 16/1981, FJ 5, declaró que “[n]o hay duda de que el art. 24.2 de la Constitución reconoce el viejo principio que prohíbe imponer una pena sin un juicio previo con todas las garantías. Este principio, que se suele expresar con el aforismo </w:t>
      </w:r>
      <w:r w:rsidRPr="00A8138F">
        <w:rPr>
          <w:i/>
        </w:rPr>
        <w:t>nulla poena sine iudicio</w:t>
      </w:r>
      <w:r>
        <w:t xml:space="preserve"> o </w:t>
      </w:r>
      <w:r w:rsidRPr="00A8138F">
        <w:rPr>
          <w:i/>
        </w:rPr>
        <w:t>sine previo legali iudicio</w:t>
      </w:r>
      <w:r>
        <w:t xml:space="preserve">, junto con los bien conocidos que proclaman </w:t>
      </w:r>
      <w:r w:rsidRPr="00A8138F">
        <w:rPr>
          <w:i/>
        </w:rPr>
        <w:t>nullum crimen sine lege, nulla poena sine lege</w:t>
      </w:r>
      <w:r>
        <w:t xml:space="preserve">, constituyen el triple fundamento de la legalidad penal en todo Estado de Derecho. El principio ya estaba recogido en nuestra Ley de enjuiciamiento criminal y en la jurisprudencia. También lo consagran los pactos internacionales que por haber sido ratificados por España sirven de medio de interpretación de las normas relativas a los derechos fundamentales y libertades públicas proclamadas por la Constitución, según el art. 10.2 de la misma. Tales son en este caso el Pacto de Nueva York de 1966 (Pacto internacional de derechos civiles y políticos), en su art. 14, y el Convenio de Roma </w:t>
      </w:r>
      <w:r>
        <w:lastRenderedPageBreak/>
        <w:t>(Convenio para la protección de los derechos humanos y de las libertades fundamentales), en su art. 5”.</w:t>
      </w:r>
    </w:p>
    <w:p w14:paraId="4F98B855" w14:textId="77777777" w:rsidR="00A8138F" w:rsidRDefault="00A8138F" w:rsidP="00A8138F">
      <w:pPr>
        <w:pStyle w:val="TextoNormal"/>
      </w:pPr>
    </w:p>
    <w:p w14:paraId="32A469E5" w14:textId="77777777" w:rsidR="00A8138F" w:rsidRDefault="00A8138F" w:rsidP="00A8138F">
      <w:pPr>
        <w:pStyle w:val="TextoNormal"/>
      </w:pPr>
      <w:r>
        <w:t>La garantía jurisdiccional en el ámbito del proceso penal está recogida en nuestro derecho infraconstitucional en dos preceptos fundamentales. Por un lado, el art. 3.1 CP establece que “[n]o podrá ejecutarse pena ni medida de seguridad sino en virtud de sentencia firme dictada por el juez o tribunal competente, de acuerdo con las leyes procesales”; y, por otro, el art. 1 LECrim, según el cual “[n]o se impondrá pena alguna por consecuencia de actos punibles cuya represión incumba a la jurisdicción ordinaria, sino de conformidad con las disposiciones del presente código o de leyes especiales y en virtud de sentencia dictada por juez competente”. Estas dos previsiones son la plasmación de la sujeción del juez en su forma de proceder únicamente al imperio de la ley, en garantía de su estatuto de independencia (art. 117.3 CE). Esa reserva de ley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fundamento jurídico 10)” (STC 49/1999, de 5 de abril, FJ 4).</w:t>
      </w:r>
    </w:p>
    <w:p w14:paraId="73E3DA78" w14:textId="77777777" w:rsidR="00A8138F" w:rsidRDefault="00A8138F" w:rsidP="00A8138F">
      <w:pPr>
        <w:pStyle w:val="TextoNormal"/>
      </w:pPr>
    </w:p>
    <w:p w14:paraId="58615E1D" w14:textId="77777777" w:rsidR="00A8138F" w:rsidRDefault="00A8138F" w:rsidP="00A8138F">
      <w:pPr>
        <w:pStyle w:val="TextoNormal"/>
      </w:pPr>
      <w:r>
        <w:t>Tercera. Disentimos de la interpretación que en este caso se ha adoptado de la previsión del párrafo segundo del art. 24.2 CE según el cual “[l]a ley regulará los casos en que, por razón de parentesco o de secreto profesional, no se estará obligado a declarar sobre hechos presuntamente delictivos”.</w:t>
      </w:r>
    </w:p>
    <w:p w14:paraId="66B06BC5" w14:textId="77777777" w:rsidR="00A8138F" w:rsidRDefault="00A8138F" w:rsidP="00A8138F">
      <w:pPr>
        <w:pStyle w:val="TextoNormal"/>
      </w:pPr>
    </w:p>
    <w:p w14:paraId="56362ABA" w14:textId="77777777" w:rsidR="00A8138F" w:rsidRDefault="00A8138F" w:rsidP="00A8138F">
      <w:pPr>
        <w:pStyle w:val="TextoNormal"/>
      </w:pPr>
      <w:r>
        <w:t xml:space="preserve">En relación con el mandato constitucional dirigido al legislador en el citado precepto constitucional, este tribunal ha tenido la oportunidad de pronunciarse en la STC 94/2010, dictada en un caso que, contrariamente a lo que se desprende de la sentencia aprobada en el Pleno de hoy, presenta diferencias relevantes con el ahora enjuiciado, motivo por el cual, al no ser extrapolables en su integridad los argumentos en que se funda, se apreció en este recurso de amparo la concurrencia de especial trascendencia constitucional. En aquel asunto, la sentencia dictada en segunda instancia revocó la sentencia condenatoria dictada en primera instancia, porque en apelación se tuvieron por no emitidas las declaraciones testificales prestadas en el acto del juicio por la entonces demandante de amparo y por su hija, al no haberles informado el órgano judicial </w:t>
      </w:r>
      <w:r w:rsidRPr="00A8138F">
        <w:rPr>
          <w:i/>
        </w:rPr>
        <w:t>a quo</w:t>
      </w:r>
      <w:r>
        <w:t xml:space="preserve"> de la dispensa de la obligación de declarar del art. 416 LECrim, al ser cónyuge e hija, respectivamente, del acusado. La coincidencia principal entre ambos casos, el resuelto en la STC 94/2010, y el ahora analizado, es que en ambos la testigo con vínculo conyugal o asimilado a estos efectos ejerció la acusación particular, pero la diferencia fundamental entre ambos es que la testigo en el presente caso manifestó en el acto del juicio su voluntad de no declarar contra el acusado, mientras que en aquel otro ya resuelto por este tribunal la testigo no fue informada de la dispensa en el juicio oral y no hizo ninguna manifestación de voluntad a favor o en contra de declarar en el juicio oral.</w:t>
      </w:r>
    </w:p>
    <w:p w14:paraId="07EC7C90" w14:textId="77777777" w:rsidR="00A8138F" w:rsidRDefault="00A8138F" w:rsidP="00A8138F">
      <w:pPr>
        <w:pStyle w:val="TextoNormal"/>
      </w:pPr>
    </w:p>
    <w:p w14:paraId="190B7D29" w14:textId="77777777" w:rsidR="00A8138F" w:rsidRDefault="00A8138F" w:rsidP="00A8138F">
      <w:pPr>
        <w:pStyle w:val="TextoNormal"/>
      </w:pPr>
      <w:r>
        <w:t xml:space="preserve">La STC 94/2010, estimó la vulneración del derecho de la recurrente en amparo a la tutela judicial efectiva (art. 24.1 CE) en su vertiente de </w:t>
      </w:r>
      <w:r w:rsidRPr="00A8138F">
        <w:rPr>
          <w:i/>
        </w:rPr>
        <w:t>ius ut procedatur</w:t>
      </w:r>
      <w:r>
        <w:t xml:space="preserve">, en la medida en que la </w:t>
      </w:r>
      <w:r>
        <w:lastRenderedPageBreak/>
        <w:t>sentencia de segunda instancia tuvo por no practicada como prueba testifical su declaración en el acto del juicio y declaró, como doctrina general trasladable al presente caso:</w:t>
      </w:r>
    </w:p>
    <w:p w14:paraId="289065CF" w14:textId="77777777" w:rsidR="00A8138F" w:rsidRDefault="00A8138F" w:rsidP="00A8138F">
      <w:pPr>
        <w:pStyle w:val="TextoNormal"/>
      </w:pPr>
    </w:p>
    <w:p w14:paraId="49C38729" w14:textId="77777777" w:rsidR="00A8138F" w:rsidRDefault="00A8138F" w:rsidP="00A8138F">
      <w:pPr>
        <w:pStyle w:val="TextoNormal"/>
      </w:pPr>
      <w:r>
        <w:t>“El inciso final del art. 24.2 CE establece que ‘[l]a ley regulará los casos en que, por razón de parentesco o de secreto profesional, no se estará obligado a declarar sobre hechos presuntamente delictivos՚. Con este mandato constitucional entronca el art. 416 LECrim, que dispensa de la obligación de declarar como testigos, a los efectos que a este recurso de amparo interesan, a ‘1. Los parientes del procesado en línea directa ascendiente y descendiente, su cónyuge o persona unida por relación de hecho análoga a la matrimonial, sus hermanos consanguíneos o uterinos y los colaterales consanguíneos hasta el segundo grado civil, así como los parientes a los que se refiere el número 3 del artículo 261՚.</w:t>
      </w:r>
    </w:p>
    <w:p w14:paraId="422F74BE" w14:textId="77777777" w:rsidR="00A8138F" w:rsidRDefault="00A8138F" w:rsidP="00A8138F">
      <w:pPr>
        <w:pStyle w:val="TextoNormal"/>
      </w:pPr>
    </w:p>
    <w:p w14:paraId="2DF04C99" w14:textId="77777777" w:rsidR="00A8138F" w:rsidRDefault="00A8138F" w:rsidP="00A8138F">
      <w:pPr>
        <w:pStyle w:val="TextoNormal"/>
      </w:pPr>
      <w:r>
        <w:t>Es cierto, como se pone de manifiesto en la demanda y revela el propio tenor del precepto, que es al juez instructor, no al órgano juzgador, a quien el art. 416 LECrim le impone la obligación de advertir al testigo comprendido en alguno de los supuestos mencionados de la dispensa de la obligación de declarar, debiendo el secretario judicial consignar la contestación que diera a esta respuesta. No puede obviarse, sin embargo, que el art. 707 LECrim viene a dispensar de la obligación de declarar en el acto del juicio oral, al establecer que ‘[t]odos los testigos que no se hallen privados del uso de su razón están obligados a declarar lo que supieren sobre lo que les fuera preguntado, con excepción de las personas expresadas en los artículos 416, 417 y 418 en sus respectivos casos՚” (FJ 5).</w:t>
      </w:r>
    </w:p>
    <w:p w14:paraId="70D3416B" w14:textId="77777777" w:rsidR="00A8138F" w:rsidRDefault="00A8138F" w:rsidP="00A8138F">
      <w:pPr>
        <w:pStyle w:val="TextoNormal"/>
      </w:pPr>
    </w:p>
    <w:p w14:paraId="1ECE1DAD" w14:textId="77777777" w:rsidR="00A8138F" w:rsidRDefault="00A8138F" w:rsidP="00A8138F">
      <w:pPr>
        <w:pStyle w:val="TextoNormal"/>
      </w:pPr>
      <w:r>
        <w:t xml:space="preserve">Cuarta. Estimamos que la sentencia adolece de un grave error de concepto, del que no puede derivarse sino una incorrecta resolución del recurso de amparo. Así, concibe la dispensa de declarar como un “derecho” del testigo, lo que repite insistentemente en su fundamentación jurídica. Como es sabido, el testigo tiene el deber de declarar de todo cuanto sepa y se le pregunte. Sin embargo, la dispensa de la obligación de declarar por razón de parentesco a la que se remite el párrafo segundo del art. 24.2 CE, ha de ser entendida como dimensión externa de </w:t>
      </w:r>
      <w:r w:rsidRPr="00A8138F">
        <w:rPr>
          <w:i/>
        </w:rPr>
        <w:t>agere licere</w:t>
      </w:r>
      <w:r>
        <w:t>, en reconocimiento a determinados testigos de un ámbito de libertad para incumplir la obligación general de prestar declaración, que les garantiza que no van a sufrir por ello sanción o demérito ni padecer la compulsión o la injerencia de los poderes públicos.</w:t>
      </w:r>
    </w:p>
    <w:p w14:paraId="356F20AD" w14:textId="77777777" w:rsidR="00A8138F" w:rsidRDefault="00A8138F" w:rsidP="00A8138F">
      <w:pPr>
        <w:pStyle w:val="TextoNormal"/>
      </w:pPr>
    </w:p>
    <w:p w14:paraId="61CD5B3F" w14:textId="77777777" w:rsidR="00A8138F" w:rsidRDefault="00A8138F" w:rsidP="00A8138F">
      <w:pPr>
        <w:pStyle w:val="TextoNormal"/>
      </w:pPr>
      <w:r>
        <w:t>Determinada la naturaleza jurídica de la dispensa de declarar, es preciso descender del citado precepto constitucional a su concreción en el art. 416 LECrim, que establecía en la redacción vigente en el momento de la celebración del juicio oral, anterior por tanto a la entrada en vigor de la reforma del apartado primero operada por la Ley Orgánica 8/2021, lo siguiente:</w:t>
      </w:r>
    </w:p>
    <w:p w14:paraId="0EAE6EF8" w14:textId="77777777" w:rsidR="00A8138F" w:rsidRDefault="00A8138F" w:rsidP="00A8138F">
      <w:pPr>
        <w:pStyle w:val="TextoNormal"/>
      </w:pPr>
    </w:p>
    <w:p w14:paraId="4138B0BB" w14:textId="77777777" w:rsidR="00A8138F" w:rsidRDefault="00A8138F" w:rsidP="00A8138F">
      <w:pPr>
        <w:pStyle w:val="TextoNormal"/>
      </w:pPr>
      <w:r>
        <w:t>“Están dispensados de la obligación de declarar:</w:t>
      </w:r>
    </w:p>
    <w:p w14:paraId="6A30A95B" w14:textId="77777777" w:rsidR="00A8138F" w:rsidRDefault="00A8138F" w:rsidP="00A8138F">
      <w:pPr>
        <w:pStyle w:val="TextoNormal"/>
      </w:pPr>
    </w:p>
    <w:p w14:paraId="4065B603" w14:textId="77777777" w:rsidR="00A8138F" w:rsidRDefault="00A8138F" w:rsidP="00A8138F">
      <w:pPr>
        <w:pStyle w:val="TextoNormal"/>
      </w:pPr>
      <w:r>
        <w:t>1. Los parientes del procesado en líneas directa ascendente y descendente, su cónyuge o persona unida por relación de hecho análoga a la matrimonial, sus hermanos consanguíneos o uterinos y los colaterales consanguíneos hasta el segundo grado civil, así como los parientes a que se refiere el número 3 del artículo 261.</w:t>
      </w:r>
    </w:p>
    <w:p w14:paraId="57003B3B" w14:textId="77777777" w:rsidR="00A8138F" w:rsidRDefault="00A8138F" w:rsidP="00A8138F">
      <w:pPr>
        <w:pStyle w:val="TextoNormal"/>
      </w:pPr>
    </w:p>
    <w:p w14:paraId="255812FB" w14:textId="77777777" w:rsidR="00A8138F" w:rsidRDefault="00A8138F" w:rsidP="00A8138F">
      <w:pPr>
        <w:pStyle w:val="TextoNormal"/>
      </w:pPr>
      <w:r>
        <w:t>El juez instructor advertirá al testigo que se halle comprendido en el párrafo anterior que no tiene obligación de declarar en contra del procesado; pero que puede hacer las manifes</w:t>
      </w:r>
      <w:r>
        <w:lastRenderedPageBreak/>
        <w:t>taciones que considere oportunas, y el secretario judicial consignará la contestación que diere a esta advertencia”.</w:t>
      </w:r>
    </w:p>
    <w:p w14:paraId="3C8BF6BC" w14:textId="77777777" w:rsidR="00A8138F" w:rsidRDefault="00A8138F" w:rsidP="00A8138F">
      <w:pPr>
        <w:pStyle w:val="TextoNormal"/>
      </w:pPr>
    </w:p>
    <w:p w14:paraId="494F23EB" w14:textId="77777777" w:rsidR="00A8138F" w:rsidRDefault="00A8138F" w:rsidP="00A8138F">
      <w:pPr>
        <w:pStyle w:val="TextoNormal"/>
      </w:pPr>
      <w:r>
        <w:t>Esta previsión del art. 416.1 LECrim se complementa con lo dispuesto en el mismo sentido en el art. 418 LECrim:</w:t>
      </w:r>
    </w:p>
    <w:p w14:paraId="3921393C" w14:textId="77777777" w:rsidR="00A8138F" w:rsidRDefault="00A8138F" w:rsidP="00A8138F">
      <w:pPr>
        <w:pStyle w:val="TextoNormal"/>
      </w:pPr>
    </w:p>
    <w:p w14:paraId="1212F76C" w14:textId="77777777" w:rsidR="00A8138F" w:rsidRDefault="00A8138F" w:rsidP="00A8138F">
      <w:pPr>
        <w:pStyle w:val="TextoNormal"/>
      </w:pPr>
      <w:r>
        <w:t>“Ningún testigo podrá ser obligado a declarar acerca de una pregunta cuya contestación pueda perjudicar material o moralmente y de una manera directa e importante, ya a la persona, ya a la fortuna de alguno de los parientes [a] que se refiere el artículo 416.</w:t>
      </w:r>
    </w:p>
    <w:p w14:paraId="36ED1240" w14:textId="77777777" w:rsidR="00A8138F" w:rsidRDefault="00A8138F" w:rsidP="00A8138F">
      <w:pPr>
        <w:pStyle w:val="TextoNormal"/>
      </w:pPr>
    </w:p>
    <w:p w14:paraId="587F14A7" w14:textId="77777777" w:rsidR="00A8138F" w:rsidRDefault="00A8138F" w:rsidP="00A8138F">
      <w:pPr>
        <w:pStyle w:val="TextoNormal"/>
      </w:pPr>
      <w:r>
        <w:t>Se exceptúa el caso en que el delito revista suma gravedad por atentar a la seguridad del Estado, a la tranquilidad pública o a la sagrada persona del rey o de su sucesor”.</w:t>
      </w:r>
    </w:p>
    <w:p w14:paraId="5034A654" w14:textId="77777777" w:rsidR="00A8138F" w:rsidRDefault="00A8138F" w:rsidP="00A8138F">
      <w:pPr>
        <w:pStyle w:val="TextoNormal"/>
      </w:pPr>
    </w:p>
    <w:p w14:paraId="528A3F5C" w14:textId="77777777" w:rsidR="00A8138F" w:rsidRDefault="00A8138F" w:rsidP="00A8138F">
      <w:pPr>
        <w:pStyle w:val="TextoNormal"/>
      </w:pPr>
      <w:r>
        <w:t>Cierra el círculo el párrafo primero del art. 707 LECrim, ubicado en la sección dedicada al examen de los testigos en el juicio oral, en su redacción vigente en el momento de los hechos tras la entrada en vigor de la Ley 4/2015, de 27 de abril, del estatuto de la víctima del delito; párrafo que es del siguiente tenor:</w:t>
      </w:r>
    </w:p>
    <w:p w14:paraId="49D35531" w14:textId="77777777" w:rsidR="00A8138F" w:rsidRDefault="00A8138F" w:rsidP="00A8138F">
      <w:pPr>
        <w:pStyle w:val="TextoNormal"/>
      </w:pPr>
    </w:p>
    <w:p w14:paraId="56ACA38E" w14:textId="77777777" w:rsidR="00A8138F" w:rsidRDefault="00A8138F" w:rsidP="00A8138F">
      <w:pPr>
        <w:pStyle w:val="TextoNormal"/>
      </w:pPr>
      <w:r>
        <w:t>“Todos los testigos están obligados a declarar lo que supieren sobre lo que les fuere preguntado, con excepción de las personas expresadas en los artículos 416, 417 y 418, en sus respectivos casos”.</w:t>
      </w:r>
    </w:p>
    <w:p w14:paraId="257488F9" w14:textId="77777777" w:rsidR="00A8138F" w:rsidRDefault="00A8138F" w:rsidP="00A8138F">
      <w:pPr>
        <w:pStyle w:val="TextoNormal"/>
      </w:pPr>
    </w:p>
    <w:p w14:paraId="25ED5AF0" w14:textId="77777777" w:rsidR="00A8138F" w:rsidRDefault="00A8138F" w:rsidP="00A8138F">
      <w:pPr>
        <w:pStyle w:val="TextoNormal"/>
      </w:pPr>
      <w:r>
        <w:t>Esta remisión del art. 707 LECrim a los arts. 416 a 418 LECrim se traduce, en el presente caso, en la plena aplicación a doña Nacera Semaou de la dispensa de la obligación de declarar como testigo en el juicio oral, a causa de la convivencia mantenid</w:t>
      </w:r>
      <w:r w:rsidRPr="00A8138F">
        <w:rPr>
          <w:i/>
        </w:rPr>
        <w:t>a more uxor</w:t>
      </w:r>
      <w:r>
        <w:t>io con el acusado.</w:t>
      </w:r>
    </w:p>
    <w:p w14:paraId="5F87244A" w14:textId="77777777" w:rsidR="00A8138F" w:rsidRDefault="00A8138F" w:rsidP="00A8138F">
      <w:pPr>
        <w:pStyle w:val="TextoNormal"/>
      </w:pPr>
    </w:p>
    <w:p w14:paraId="75E3F5B5" w14:textId="77777777" w:rsidR="00A8138F" w:rsidRDefault="00A8138F" w:rsidP="00A8138F">
      <w:pPr>
        <w:pStyle w:val="TextoNormal"/>
      </w:pPr>
      <w:r>
        <w:t>Como señala el Ministerio Fiscal en su escrito de alegaciones, la infracción de lo preceptuado en el párrafo segundo del art. 24.2 CE surte efecto en la posición jurídica del acusado, en la medida en que accede al acervo probatorio de cargo una declaración testifical que no debe practicarse cuando el testigo que se encuentra en alguno de los supuestos del art. 707 LECrim, que se remite al precedente art. 416.1 LECrim, expresa su voluntad de no declarar en el acto del juicio oral y el juzgador le niega la facultad de acogerse a la dispensa. Cuando esta denegación se produce, desborda la esfera jurídica del testigo y trasciende a los derechos fundamentales del acusado a un proceso con todas las garantías y a la presunción de inocencia (art. 24.2 CE), ya que el art. 416.1 LECrim, en la versión vigente en el momento de la celebración del juicio oral, no preveía limitaciones, restricciones o excepciones a la facultad del testigo de acogerse a la dispensa, contrariamente al régimen jurídico vigente tras la entrada en vigor de la citada Ley Orgánica 8/2021, conforme al cual no será de aplicación la dispensa de la obligación de declarar por razón de parentesco o por relación de hecho análoga a la matrimonial, entre otros, en estos supuestos:</w:t>
      </w:r>
    </w:p>
    <w:p w14:paraId="15775A87" w14:textId="77777777" w:rsidR="00A8138F" w:rsidRDefault="00A8138F" w:rsidP="00A8138F">
      <w:pPr>
        <w:pStyle w:val="TextoNormal"/>
      </w:pPr>
    </w:p>
    <w:p w14:paraId="5070A482" w14:textId="77777777" w:rsidR="00A8138F" w:rsidRDefault="00A8138F" w:rsidP="00A8138F">
      <w:pPr>
        <w:pStyle w:val="TextoNormal"/>
      </w:pPr>
      <w:r>
        <w:t>“4.º Cuando el testigo esté o haya estado personado en el procedimiento como acusación particular.</w:t>
      </w:r>
    </w:p>
    <w:p w14:paraId="72A2E3CF" w14:textId="77777777" w:rsidR="00A8138F" w:rsidRDefault="00A8138F" w:rsidP="00A8138F">
      <w:pPr>
        <w:pStyle w:val="TextoNormal"/>
      </w:pPr>
    </w:p>
    <w:p w14:paraId="1EC441AC" w14:textId="77777777" w:rsidR="00A8138F" w:rsidRDefault="00A8138F" w:rsidP="00A8138F">
      <w:pPr>
        <w:pStyle w:val="TextoNormal"/>
      </w:pPr>
      <w:r>
        <w:t>5.º Cuando el testigo haya aceptado declarar durante el procedimiento después de haber sido debidamente informado de su derecho a no hacerlo”.</w:t>
      </w:r>
    </w:p>
    <w:p w14:paraId="3DB9390D" w14:textId="77777777" w:rsidR="00A8138F" w:rsidRDefault="00A8138F" w:rsidP="00A8138F">
      <w:pPr>
        <w:pStyle w:val="TextoNormal"/>
      </w:pPr>
    </w:p>
    <w:p w14:paraId="2FDC75DF" w14:textId="77777777" w:rsidR="00A8138F" w:rsidRDefault="00A8138F" w:rsidP="00A8138F">
      <w:pPr>
        <w:pStyle w:val="TextoNormal"/>
      </w:pPr>
      <w:r>
        <w:lastRenderedPageBreak/>
        <w:t xml:space="preserve">Quinta. La principal conclusión que alcanzamos de los precedentes argumentos es que, contrariamente a lo decidido en la sentencia objeto del presente voto particular, la testigo doña Nacera Semaou, conviviente </w:t>
      </w:r>
      <w:r w:rsidRPr="00A8138F">
        <w:rPr>
          <w:i/>
        </w:rPr>
        <w:t>more uxorio</w:t>
      </w:r>
      <w:r>
        <w:t xml:space="preserve"> con el acusado ahora demandante de amparo, fue informada en el marco de las diligencias urgentes tramitadas en el Juzgado de Violencia sobre la Mujer núm. 1 de Orihuela, de la posibilidad de acogerse a la dispensa de declarar previstas en el art. 416.1 LECrim y, en ese momento, la testigo optó por prestar declaración testifical. Por el contrario, aquella manifestó en el acto del juicio oral su voluntad de no prestar declaración en términos que incriminaran al acusado, amparada en el art. 707 LECrim en relación con el citado art. 416.1 LECrim, en su redacción vigente en aquel momento, concordante con el art. 418 de la misma ley, pretensión que le fue denegada por el juez de lo penal, quien le informó de la obligación de declarar con advertencia de las consecuencias de no hacerlo, como fueron que se le impondría la multa de 200 a 5000 € prevista en el art. 420 LECrim y que, de persistir en su negativa, se incoaría contra ella un proceso por “desobediencia grave a la autoridad que puede suponer multa o prisión”. Esta decisión del juez se explica en el fundamento de Derecho primero de su sentencia, al entender que “dicho derecho, a no declarar, lo perdió desde el momento en el que decidió constituirse como acusación particular, presentando el correspondiente escrito de acusación (folio 81). Las dudas acerca de si el derecho a no declarar (inicialmente perdido por la constitución en acusación particular) podía recuperarse después apartándose la perjudicada del ejercicio de la acusación han sido, por fin, despejadas por el Tribunal Supremo, que en su reciente sentencia del Pleno 389/2020, de 10 de julio, establece de modo rotundo y tajante que no. La víctima que se constituye en acusación particular pierde el derecho a no declarar, y no lo puede recuperar, por más que pretenda apartarse después de la acusación”. Es decir, una vez constituida la testigo como acusación particular en la causa, esta circunstancia se consideró incompatible con la negativa a prestar declaración testifical. Esta interpretación dada en la sentencia de primera instancia fue confirmada tanto en la sentencia de segunda instancia como en la providencia de inadmisión del recurso de casación.</w:t>
      </w:r>
    </w:p>
    <w:p w14:paraId="78D541A7" w14:textId="77777777" w:rsidR="00A8138F" w:rsidRDefault="00A8138F" w:rsidP="00A8138F">
      <w:pPr>
        <w:pStyle w:val="TextoNormal"/>
      </w:pPr>
    </w:p>
    <w:p w14:paraId="619DCB75" w14:textId="77777777" w:rsidR="00A8138F" w:rsidRDefault="00A8138F" w:rsidP="00A8138F">
      <w:pPr>
        <w:pStyle w:val="TextoNormal"/>
      </w:pPr>
      <w:r>
        <w:t xml:space="preserve">Esto significa que en el momento de seleccionar el derecho aplicable a la hora de decidir sobre la facultad de la testigo de acogerse a la dispensa de la obligación de declarar, el juez </w:t>
      </w:r>
      <w:r w:rsidRPr="00A8138F">
        <w:rPr>
          <w:i/>
        </w:rPr>
        <w:t>a quo</w:t>
      </w:r>
      <w:r>
        <w:t xml:space="preserve"> optó por seguir un autorizado precedente judicial, al provenir del Tribunal Supremo, pero carente de eficacia vinculante, en lugar de aplicar, sin traspasar por efecto de interpretaciones excluyentes de la dispensa de la obligación de declarar, el tenor literal del precepto aplicable sujeto a reserva de ley contenido en la Ley de enjuiciamiento criminal, que por aquel entonces de forma taxativa no preveía excepción ni condición alguna al ejercicio por la testigo de la facultad de acogerse a la dispensa de la obligación de declarar expresamente prevista en el art. 416.1 LECrim, conclusión que se reafirma a la vista de la decisión del legislador materializada en la Ley Orgánica 8/2021, de 4 de junio, en cuyo preámbulo, apartado II, se indica el objeto y finalidad de la modificación del citado artículo de la Ley de enjuiciamiento criminal, “de forma que se establecen una serie de excepciones a la dispensa de la obligación de declarar, con el fin de proteger en el proceso penal a las personas menores de edad o con discapacidad necesitadas de especial protección”.</w:t>
      </w:r>
    </w:p>
    <w:p w14:paraId="11F42D50" w14:textId="77777777" w:rsidR="00A8138F" w:rsidRDefault="00A8138F" w:rsidP="00A8138F">
      <w:pPr>
        <w:pStyle w:val="TextoNormal"/>
      </w:pPr>
    </w:p>
    <w:p w14:paraId="59DD5E89" w14:textId="77777777" w:rsidR="00A8138F" w:rsidRDefault="00A8138F" w:rsidP="00A8138F">
      <w:pPr>
        <w:pStyle w:val="TextoNormal"/>
      </w:pPr>
      <w:r>
        <w:t xml:space="preserve">La sentencia aprobada por el Pleno se basa en conceder un peso determinante de la exclusión de la dispensa de declarar de la testigo, al hecho de que estuviera personada en el proceso como acusación particular, de tal modo que llega a conjeturar que su condición de acusación particular “muestra sobradamente su renuncia a la dispensa”, despreciando un hecho fundamental y prevalente, como es que la testigo manifestó en el acto del juicio oral </w:t>
      </w:r>
      <w:r>
        <w:lastRenderedPageBreak/>
        <w:t>su voluntad inequívoca de no declarar, y solo fue tras ser advertida por el juez, sin soporte legal de las graves consecuencias disciplinarias y penales que podría acarrearle en caso de insistir en el ejercicio de la dispensa, que aquella prestó declaración.</w:t>
      </w:r>
    </w:p>
    <w:p w14:paraId="0BED45AE" w14:textId="77777777" w:rsidR="00A8138F" w:rsidRDefault="00A8138F" w:rsidP="00A8138F">
      <w:pPr>
        <w:pStyle w:val="TextoNormal"/>
      </w:pPr>
    </w:p>
    <w:p w14:paraId="2D11E44F" w14:textId="77777777" w:rsidR="00A8138F" w:rsidRDefault="00A8138F" w:rsidP="00A8138F">
      <w:pPr>
        <w:pStyle w:val="TextoNormal"/>
      </w:pPr>
      <w:r>
        <w:t>Además de lo anterior, a nuestro juicio no corresponde en esta sede constitucional especular acerca de los motivos por los que la testigo pretendió acogerse a la dispensa cuando a la vez ejercía la acusación particular, posición que ha mantenido con posterioridad al oponerse a los recursos interpuestos por el acusado e incluso a este recurso de amparo, pues la testigo actuó en su derecho tanto al personarse como acusación, como al acogerse a la dispensa de la obligación de declarar.</w:t>
      </w:r>
    </w:p>
    <w:p w14:paraId="4C890E21" w14:textId="77777777" w:rsidR="00A8138F" w:rsidRDefault="00A8138F" w:rsidP="00A8138F">
      <w:pPr>
        <w:pStyle w:val="TextoNormal"/>
      </w:pPr>
    </w:p>
    <w:p w14:paraId="1C689DF3" w14:textId="77777777" w:rsidR="00A8138F" w:rsidRDefault="00A8138F" w:rsidP="00A8138F">
      <w:pPr>
        <w:pStyle w:val="TextoNormal"/>
      </w:pPr>
      <w:r>
        <w:t>La sentencia parte en este punto de una valoración meramente formal y aparente del ejercicio de la acción penal por la testigo, que prescinde de hechos que deben tenerse en consideración en beneficio de la justicia material a la hora de amparar los derechos fundamentales del recurrente.</w:t>
      </w:r>
    </w:p>
    <w:p w14:paraId="72A3940F" w14:textId="77777777" w:rsidR="00A8138F" w:rsidRDefault="00A8138F" w:rsidP="00A8138F">
      <w:pPr>
        <w:pStyle w:val="TextoNormal"/>
      </w:pPr>
    </w:p>
    <w:p w14:paraId="64F97835" w14:textId="77777777" w:rsidR="00A8138F" w:rsidRDefault="00A8138F" w:rsidP="00A8138F">
      <w:pPr>
        <w:pStyle w:val="TextoNormal"/>
      </w:pPr>
      <w:r>
        <w:t>Los datos son los siguientes, según se desprenden de las actuaciones y documentos aportados a este proceso constitucional:</w:t>
      </w:r>
    </w:p>
    <w:p w14:paraId="07F1E1F8" w14:textId="77777777" w:rsidR="00A8138F" w:rsidRDefault="00A8138F" w:rsidP="00A8138F">
      <w:pPr>
        <w:pStyle w:val="TextoNormal"/>
      </w:pPr>
    </w:p>
    <w:p w14:paraId="116B0C58" w14:textId="77777777" w:rsidR="00A8138F" w:rsidRDefault="00A8138F" w:rsidP="00A8138F">
      <w:pPr>
        <w:pStyle w:val="TextoNormal"/>
      </w:pPr>
      <w:r>
        <w:t>(1) La testigo es una joven inmigrante de nacionalidad argelina.</w:t>
      </w:r>
    </w:p>
    <w:p w14:paraId="75FFD47C" w14:textId="77777777" w:rsidR="00A8138F" w:rsidRDefault="00A8138F" w:rsidP="00A8138F">
      <w:pPr>
        <w:pStyle w:val="TextoNormal"/>
      </w:pPr>
    </w:p>
    <w:p w14:paraId="3A107777" w14:textId="77777777" w:rsidR="00A8138F" w:rsidRDefault="00A8138F" w:rsidP="00A8138F">
      <w:pPr>
        <w:pStyle w:val="TextoNormal"/>
      </w:pPr>
      <w:r>
        <w:t>(2) La testigo convivía con el acusado en precario en la misma vivienda, junto a un tercer varón, todos ellos de la misma nacionalidad.</w:t>
      </w:r>
    </w:p>
    <w:p w14:paraId="0BAC9E11" w14:textId="77777777" w:rsidR="00A8138F" w:rsidRDefault="00A8138F" w:rsidP="00A8138F">
      <w:pPr>
        <w:pStyle w:val="TextoNormal"/>
      </w:pPr>
    </w:p>
    <w:p w14:paraId="317C9ABA" w14:textId="77777777" w:rsidR="00A8138F" w:rsidRDefault="00A8138F" w:rsidP="00A8138F">
      <w:pPr>
        <w:pStyle w:val="TextoNormal"/>
      </w:pPr>
      <w:r>
        <w:t>(3) La testigo no habla español y se comunica a través de un intérprete.</w:t>
      </w:r>
    </w:p>
    <w:p w14:paraId="420A36A5" w14:textId="77777777" w:rsidR="00A8138F" w:rsidRDefault="00A8138F" w:rsidP="00A8138F">
      <w:pPr>
        <w:pStyle w:val="TextoNormal"/>
      </w:pPr>
    </w:p>
    <w:p w14:paraId="6E7F8E60" w14:textId="77777777" w:rsidR="00A8138F" w:rsidRDefault="00A8138F" w:rsidP="00A8138F">
      <w:pPr>
        <w:pStyle w:val="TextoNormal"/>
      </w:pPr>
      <w:r>
        <w:t>(4) La testigo es ajena al proceso penal español, en especial, al significado que tiene el ejercicio de la acción penal por un particular; institución por otra parte desconocida en el Derecho del país del que procede.</w:t>
      </w:r>
    </w:p>
    <w:p w14:paraId="619509E9" w14:textId="77777777" w:rsidR="00A8138F" w:rsidRDefault="00A8138F" w:rsidP="00A8138F">
      <w:pPr>
        <w:pStyle w:val="TextoNormal"/>
      </w:pPr>
    </w:p>
    <w:p w14:paraId="69FB4B38" w14:textId="77777777" w:rsidR="00A8138F" w:rsidRDefault="00A8138F" w:rsidP="00A8138F">
      <w:pPr>
        <w:pStyle w:val="TextoNormal"/>
      </w:pPr>
      <w:r>
        <w:t>Ante estos datos, resulta inverosímil que la testigo desplegara por propia iniciativa la alta energía acusatoria mostrada al ejercer la acusación en el acto del juicio, oponerse a los recursos de apelación y casación planteados por el acusado y, finalmente, oponerse a la estimación del presente recurso de amparo.</w:t>
      </w:r>
    </w:p>
    <w:p w14:paraId="4C05363A" w14:textId="77777777" w:rsidR="00A8138F" w:rsidRDefault="00A8138F" w:rsidP="00A8138F">
      <w:pPr>
        <w:pStyle w:val="TextoNormal"/>
      </w:pPr>
    </w:p>
    <w:p w14:paraId="6648565E" w14:textId="77777777" w:rsidR="00A8138F" w:rsidRDefault="00A8138F" w:rsidP="00A8138F">
      <w:pPr>
        <w:pStyle w:val="TextoNormal"/>
      </w:pPr>
      <w:r>
        <w:t xml:space="preserve">Por el contrario, lo anterior es revelador de que la conducta procesal desplegada por la testigo a través de representantes resulta del complejo de medidas introducidas en la lucha contra la denominada “violencia de género”, fenómeno criminal inserto en el más amplio de la violencia intrafamiliar, que en presencia de la </w:t>
      </w:r>
      <w:r w:rsidRPr="00A8138F">
        <w:rPr>
          <w:i/>
        </w:rPr>
        <w:t>notitia criminis</w:t>
      </w:r>
      <w:r>
        <w:t xml:space="preserve"> abre una serie de vías de actuación procesal —amparadas, entre otras, en el art. 20 de la Ley Orgánica 1/2004, de 28 de diciembre, de medidas de protección integral contra la violencia de género, y en el art. 11 de la Ley 4/2015, de 27 de abril, del estatuto de la víctima del delito—– mediante el ejercicio de acusación por quien aparece como víctima, que una vez puesta en marcha continúa con sus propias inercias a lo largo de distintas fases procesales, en la que podrían interferir intereses profesionales y económicos ajenos a la voluntad de la parte de persistir en el ejercicio del </w:t>
      </w:r>
      <w:r w:rsidRPr="00A8138F">
        <w:rPr>
          <w:i/>
        </w:rPr>
        <w:t>ius ut procedatur</w:t>
      </w:r>
      <w:r>
        <w:t>. Por otro lado, no cabe olvidar que, en el momento de personarse como acusación particular, la perjudicada no fue advertida de la interpretación jurisprudencial, según la cual, el ejercicio de la acción penal comportaría la pérdida defini</w:t>
      </w:r>
      <w:r>
        <w:lastRenderedPageBreak/>
        <w:t>tiva de la facultad de acogerse a la dispensa de declarar, así como la consiguiente obligación de prestar declaración en el plenario y ser sometido su testimonio a contradicción en presencia del acusado, con el que mantenía una relación de noviazgo tal como reconoció en el juicio. Es con posterioridad, en virtud de la reforma operada en el art. 416.1 LECrim por la Ley Orgánica 8/2021, de 4 de junio, cuando se excepciona la facultad de acogerse a la dispensa de declarar en dos nuevos supuestos: en primer lugar, cuando el testigo esté o haya estado personado en el procedimiento como acusación particular y, en segundo término, cuando el testigo haya aceptado declarar durante el procedimiento después de haber sido debidamente informado de su derecho a no hacerlo.</w:t>
      </w:r>
    </w:p>
    <w:p w14:paraId="5856BFB0" w14:textId="77777777" w:rsidR="00A8138F" w:rsidRDefault="00A8138F" w:rsidP="00A8138F">
      <w:pPr>
        <w:pStyle w:val="TextoNormal"/>
      </w:pPr>
    </w:p>
    <w:p w14:paraId="69A0A3F7" w14:textId="77777777" w:rsidR="00A8138F" w:rsidRDefault="00A8138F" w:rsidP="00A8138F">
      <w:pPr>
        <w:pStyle w:val="TextoNormal"/>
      </w:pPr>
      <w:r>
        <w:t>Sexta. Es sobradamente conocida la constante doctrina constitucional que, con carácter general, declara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(por todas, STC 8/2024, de 16 de enero. FJ 4).</w:t>
      </w:r>
    </w:p>
    <w:p w14:paraId="0D6FD28F" w14:textId="77777777" w:rsidR="00A8138F" w:rsidRDefault="00A8138F" w:rsidP="00A8138F">
      <w:pPr>
        <w:pStyle w:val="TextoNormal"/>
      </w:pPr>
    </w:p>
    <w:p w14:paraId="631CF3DC" w14:textId="77777777" w:rsidR="00A8138F" w:rsidRDefault="00A8138F" w:rsidP="00A8138F">
      <w:pPr>
        <w:pStyle w:val="TextoNormal"/>
      </w:pPr>
      <w:r>
        <w:t>En consecuencia, la decisión del Pleno debió estimar que la condena se basó como única prueba de cargo en una declaración testifical viciada de nulidad, pues el parte médico consignó que la señora Semaou presentaba “irritación ocular”, a lo que el informe médico forense, no ratificado en el acto del juicio oral, añadió “dolor en pie izquierdo con hinchazón en empeine de dicho pie y dolor en región lumbar”, datos objetivos que en todo caso podrían operar como elementos corroboradores de una prueba directa, pero que resultan insuficientes para acreditar tanto la conducta objeto de acusación, como su autoría.</w:t>
      </w:r>
    </w:p>
    <w:p w14:paraId="4B3AE5DC" w14:textId="77777777" w:rsidR="00A8138F" w:rsidRDefault="00A8138F" w:rsidP="00A8138F">
      <w:pPr>
        <w:pStyle w:val="TextoNormal"/>
      </w:pPr>
    </w:p>
    <w:p w14:paraId="2CE1FE82" w14:textId="77777777" w:rsidR="00A8138F" w:rsidRDefault="00A8138F" w:rsidP="00A8138F">
      <w:pPr>
        <w:pStyle w:val="TextoNormal"/>
      </w:pPr>
      <w:r>
        <w:t>Ante la ausencia de prueba de cargo válida y suficiente para desvirtuar la presunción de inocencia del ahora recurrente en amparo, lo procedente era la estimación del amparo.</w:t>
      </w:r>
    </w:p>
    <w:p w14:paraId="57F8A8A7" w14:textId="77777777" w:rsidR="00A8138F" w:rsidRDefault="00A8138F" w:rsidP="00A8138F">
      <w:pPr>
        <w:pStyle w:val="TextoNormal"/>
      </w:pPr>
    </w:p>
    <w:p w14:paraId="7C8A1279" w14:textId="77777777" w:rsidR="00A8138F" w:rsidRDefault="00A8138F" w:rsidP="00A8138F">
      <w:pPr>
        <w:pStyle w:val="TextoNormal"/>
      </w:pPr>
      <w:r>
        <w:t>Séptima. Finalmente, en cuanto a la alegada vulneración del derecho al juez imparcial como manifestación del derecho a un proceso con todas las garantías (art. 24.2 CE), reconocemos que la ley faculta al juez a formular determinadas preguntas para depurar los hechos y contrastar la veracidad de lo declarado en el juicio (arts. 708 y 714 LECrim), sin que padezca el principio acusatorio. Pero, con independencia de lo anterior, la sentencia de la que discrepamos debió atender a las circunstancias del caso, que son ignoradas en absoluto, y que denotan la conducta con tintes inquisitivos del juez de lo penal, como fue el tono intimidante con el que se dirigió a la testigo al advertirle de las graves consecuencias que tendría su negativa a declarar ante la pregunta del Ministerio Fiscal —si en determinado momento y lugar “tuvo algún conflicto con su novio”—, de tal modo que produjo el efecto de vencer la voluntad expresamente manifestada de la testigo de no contestar a lo preguntado amparada en la dispensa. Con este proceder, el juez no se limitó a someter a contradicción lo declarado en el juicio con lo manifestado en sede sumarial, sino que, con carácter previo y determinante del resultado probatorio, asumió una posición activa en la obtención de la única prueba de cargo, en detrimento del deber de imparcialidad.</w:t>
      </w:r>
    </w:p>
    <w:p w14:paraId="37C7ADBF" w14:textId="77777777" w:rsidR="00A8138F" w:rsidRDefault="00A8138F" w:rsidP="00A8138F">
      <w:pPr>
        <w:pStyle w:val="TextoNormal"/>
      </w:pPr>
    </w:p>
    <w:p w14:paraId="1B039942" w14:textId="77777777" w:rsidR="00A8138F" w:rsidRDefault="00A8138F" w:rsidP="00A8138F">
      <w:pPr>
        <w:pStyle w:val="TextoNormal"/>
      </w:pPr>
      <w:r>
        <w:t xml:space="preserve">Asimismo, la sentencia omite cualquier referencia al hecho constatado de que el Ministerio Fiscal no solicitó expresamente la lectura de la declaración sumarial, tal y como exige el art. 714 LECrim. Simplemente aludió a la existencia de contradicciones, pero sin invocar el citado precepto ni interesar su aplicación. En tal sentido, parece confundir las facultades </w:t>
      </w:r>
      <w:r>
        <w:lastRenderedPageBreak/>
        <w:t>previstas en los arts. 708 y 714 LECrim cuando, en realidad, son instrumentos diferentes al servicio de funciones judiciales distintas.</w:t>
      </w:r>
    </w:p>
    <w:p w14:paraId="555C4395" w14:textId="77777777" w:rsidR="00A8138F" w:rsidRDefault="00A8138F" w:rsidP="00A8138F">
      <w:pPr>
        <w:pStyle w:val="TextoNormal"/>
      </w:pPr>
    </w:p>
    <w:p w14:paraId="57D3A29F" w14:textId="77777777" w:rsidR="00A8138F" w:rsidRDefault="00A8138F" w:rsidP="00A8138F">
      <w:pPr>
        <w:pStyle w:val="TextoNormal"/>
      </w:pPr>
      <w:r>
        <w:t>Como señala la STC 91/2021, FJ 5.7.3 c), el art. 708 LECrim confiere a cualquier tribunal la facultad de dirigir preguntas a los testigos como medio para lograr la adecuada inmediación en la práctica de la prueba. En palabras de esa sentencia, “el Tribunal no puede tener incertidumbre alguna sobre lo que el testigo dice, desde el punto de vista de un mero entendimiento lógico. […] Por tanto, forma parte de la propia naturaleza de la inmediación judicial que el Tribunal pueda formular preguntas a un testigo sobre aquellos aspectos fácticos que no le hayan quedado claros como resultado del interrogatorio de las partes. Ese es el sentido de la expresión ‘depurar los hechos’ contenida en el art. 708, párrafo segundo, LECrim. Se trata de desbrozar, limpiar o aclarar los hechos que, en definitiva, son el objeto del juicio oral, para su adecuado discernimiento”.</w:t>
      </w:r>
    </w:p>
    <w:p w14:paraId="7D6713E7" w14:textId="77777777" w:rsidR="00A8138F" w:rsidRDefault="00A8138F" w:rsidP="00A8138F">
      <w:pPr>
        <w:pStyle w:val="TextoNormal"/>
      </w:pPr>
    </w:p>
    <w:p w14:paraId="3962C2AB" w14:textId="77777777" w:rsidR="00A8138F" w:rsidRDefault="00A8138F" w:rsidP="00A8138F">
      <w:pPr>
        <w:pStyle w:val="TextoNormal"/>
      </w:pPr>
      <w:r>
        <w:t>Esta misma STC 91/2021 señala también que la inmediación judicial “se configura como un presupuesto del principio de libre valoración de la prueba, integrándose en el derecho a un proceso público con todas las garantías, reconocido en el art. 24.2 CE”. De esta forma, la facultad recogida en el art. 708 LECrim “no puede confundirse con la función estricta de valoración de la prueba. La valoración es una actividad jurisdiccional posterior, que presupone necesariamente que el Tribunal haya percibido con claridad lo ocurrido en el juicio oral. Nótese que el art. 708 LECrim, en su párrafo segundo, permite depurar ‘los hechos’, no el ‘testimonio’. El testimonio será luego objeto de valoración (o depuración, en cuanto a su validez, credibilidad y suficiencia para acreditar o no los hechos enjuiciados) conforme a lo dispuesto en el art. 741 LECrim”.</w:t>
      </w:r>
    </w:p>
    <w:p w14:paraId="633F3D8A" w14:textId="77777777" w:rsidR="00A8138F" w:rsidRDefault="00A8138F" w:rsidP="00A8138F">
      <w:pPr>
        <w:pStyle w:val="TextoNormal"/>
      </w:pPr>
    </w:p>
    <w:p w14:paraId="46BF324F" w14:textId="77777777" w:rsidR="00A8138F" w:rsidRDefault="00A8138F" w:rsidP="00A8138F">
      <w:pPr>
        <w:pStyle w:val="TextoNormal"/>
      </w:pPr>
      <w:r>
        <w:t>En el presente caso, el testimonio de la denunciante en el acto del juicio oral fue suficientemente claro. No había dudas sobre lo que había dicho. Otra cosa es que fuera distinto a lo que declaró en la fase sumarial, lo que podía afectar a la valoración sobre la credibilidad de su testimonio. Por lo tanto, la actuación del juez no podía estar amparada por el art. 708 LECrim, sino, en su caso, por el art. 714 LECrim, que exige, como ya se señaló, la petición expresa de las partes, sin duda para evitar que el juez adopte un impropio rol acusatorio o inquisitivo, contrario al derecho a un proceso con todas las garantías (STC 91/2021, FJ 10.3).</w:t>
      </w:r>
    </w:p>
    <w:p w14:paraId="2207B1DD" w14:textId="77777777" w:rsidR="00A8138F" w:rsidRDefault="00A8138F" w:rsidP="00A8138F">
      <w:pPr>
        <w:pStyle w:val="TextoNormal"/>
      </w:pPr>
    </w:p>
    <w:p w14:paraId="3F29B261" w14:textId="77777777" w:rsidR="00A8138F" w:rsidRDefault="00A8138F" w:rsidP="00A8138F">
      <w:pPr>
        <w:pStyle w:val="TextoNormal"/>
      </w:pPr>
      <w:r>
        <w:t>Concluimos, por tanto, que la sentencia de la que disentimos no ha resuelto adecuadamente, a nuestro juicio, la cuestión relativa a la eventual vulneración del derecho al juez imparcial.</w:t>
      </w:r>
    </w:p>
    <w:p w14:paraId="329F2CA8" w14:textId="77777777" w:rsidR="00A8138F" w:rsidRDefault="00A8138F" w:rsidP="00A8138F">
      <w:pPr>
        <w:pStyle w:val="TextoNormal"/>
      </w:pPr>
    </w:p>
    <w:p w14:paraId="1C2D5D48" w14:textId="77777777" w:rsidR="00A8138F" w:rsidRDefault="00A8138F" w:rsidP="00A8138F">
      <w:pPr>
        <w:pStyle w:val="TextoNormal"/>
      </w:pPr>
      <w:r>
        <w:t>Y en tal sentido emitimos este voto particular.</w:t>
      </w:r>
    </w:p>
    <w:p w14:paraId="6F09CBF4" w14:textId="77777777" w:rsidR="00A8138F" w:rsidRDefault="00A8138F" w:rsidP="00A8138F">
      <w:pPr>
        <w:pStyle w:val="TextoNormal"/>
      </w:pPr>
    </w:p>
    <w:p w14:paraId="16315261" w14:textId="65E23CA9" w:rsidR="00A8138F" w:rsidRDefault="00A8138F" w:rsidP="00A8138F">
      <w:pPr>
        <w:pStyle w:val="TextoNormal"/>
      </w:pPr>
      <w:r>
        <w:t>Madrid, a once de febrero de dos mil veinticinco.</w:t>
      </w:r>
    </w:p>
    <w:p w14:paraId="6D38B153" w14:textId="32F7C0CD" w:rsidR="00A8138F" w:rsidRDefault="00A8138F">
      <w:pPr>
        <w:spacing w:after="160" w:line="278" w:lineRule="auto"/>
        <w:rPr>
          <w:rFonts w:ascii="Times New Roman" w:eastAsia="Times New Roman" w:hAnsi="Times New Roman" w:cs="Times New Roman"/>
          <w:sz w:val="24"/>
          <w:szCs w:val="24"/>
          <w:lang w:eastAsia="es-ES"/>
        </w:rPr>
      </w:pPr>
      <w:r>
        <w:br w:type="page"/>
      </w:r>
    </w:p>
    <w:p w14:paraId="3CF0D999" w14:textId="77777777" w:rsidR="00A8138F" w:rsidRDefault="00A8138F" w:rsidP="00A8138F">
      <w:pPr>
        <w:pStyle w:val="TtuloResolucin"/>
      </w:pPr>
      <w:bookmarkStart w:id="44" w:name="SENTENCIA_2025_42"/>
      <w:r>
        <w:lastRenderedPageBreak/>
        <w:t>SENTENCIA 42/2025, de 12 de febrero de 2025</w:t>
      </w:r>
    </w:p>
    <w:bookmarkEnd w:id="44"/>
    <w:p w14:paraId="341A7D5C" w14:textId="77777777" w:rsidR="00A8138F" w:rsidRDefault="00A8138F" w:rsidP="00A8138F">
      <w:pPr>
        <w:pStyle w:val="TtuloResolucin"/>
      </w:pPr>
      <w:r>
        <w:t>Pleno</w:t>
      </w:r>
    </w:p>
    <w:p w14:paraId="4F36BAC0" w14:textId="77777777" w:rsidR="00A8138F" w:rsidRDefault="00A8138F" w:rsidP="00A8138F">
      <w:pPr>
        <w:pStyle w:val="TtuloBOE"/>
      </w:pPr>
      <w:r>
        <w:t>(BOE núm. 69, de 21 de marzo de 2025)</w:t>
      </w:r>
    </w:p>
    <w:p w14:paraId="21517986" w14:textId="77777777" w:rsidR="00A8138F" w:rsidRDefault="00A8138F" w:rsidP="00A8138F">
      <w:pPr>
        <w:pStyle w:val="TextoNormalCentrado"/>
      </w:pPr>
      <w:r>
        <w:t>ECLI:ES:TC:2025:42</w:t>
      </w:r>
    </w:p>
    <w:p w14:paraId="080EE98C" w14:textId="3F2248D9" w:rsidR="00A8138F" w:rsidRDefault="00A8138F" w:rsidP="00A8138F">
      <w:pPr>
        <w:pStyle w:val="TextoNormalCentrado"/>
      </w:pPr>
    </w:p>
    <w:p w14:paraId="33FE81D7" w14:textId="77777777" w:rsidR="00A8138F" w:rsidRDefault="00A8138F" w:rsidP="00A8138F">
      <w:pPr>
        <w:pStyle w:val="SntesisDescriptiva"/>
      </w:pPr>
      <w:r>
        <w:t>Cuestión de inconstitucionalidad 2795-2024. Planteada por la Sección Primera de la Sala de lo Contencioso-Administrativo del Tribunal Superior de Justicia de Murcia, en relación con la disposición transitoria quinta de la Ley 6/2019, de 4 de abril, de coordinación de las policías locales de la Comunidad Autónoma de la Región de Murcia.</w:t>
      </w:r>
    </w:p>
    <w:p w14:paraId="1FA8A7E9" w14:textId="0930E644" w:rsidR="00A8138F" w:rsidRDefault="00A8138F" w:rsidP="00A8138F">
      <w:pPr>
        <w:pStyle w:val="SntesisDescriptiva"/>
      </w:pPr>
    </w:p>
    <w:p w14:paraId="5FD7EA1B" w14:textId="77777777" w:rsidR="00A8138F" w:rsidRDefault="00A8138F" w:rsidP="00A8138F">
      <w:pPr>
        <w:pStyle w:val="SntesisAnaltica"/>
      </w:pPr>
      <w:r>
        <w:t>Competencias sobre función pública: STC 17/2022 (nulidad de la previsión legal autonómica que establece un sistema de promoción interna basado exclusivamente en la posesión de la titulación académica y prescinde de la superación de las correspondientes pruebas selectivas).</w:t>
      </w:r>
    </w:p>
    <w:p w14:paraId="090FDC60" w14:textId="72486F04" w:rsidR="00A8138F" w:rsidRDefault="00A8138F" w:rsidP="00A8138F">
      <w:pPr>
        <w:pStyle w:val="SntesisAnaltica"/>
      </w:pPr>
    </w:p>
    <w:p w14:paraId="0AC3D184" w14:textId="3B1E624F" w:rsidR="00A8138F" w:rsidRDefault="00A8138F" w:rsidP="00A8138F">
      <w:pPr>
        <w:pStyle w:val="Extracto"/>
      </w:pPr>
      <w:r>
        <w:t>1.</w:t>
      </w:r>
      <w:r>
        <w:tab/>
        <w:t>Un ascenso de quien es ya funcionario a un subgrupo superior, a causa de la modificación de las escalas y categorías de los cuerpos de la Administración Pública por obra de una nueva regulación legal, incide en el derecho a la promoción interna (SSTC 200/2015 o 17/2022) [FJ 4].</w:t>
      </w:r>
    </w:p>
    <w:p w14:paraId="11A581E1" w14:textId="77777777" w:rsidR="00A8138F" w:rsidRDefault="00A8138F" w:rsidP="00A8138F">
      <w:pPr>
        <w:pStyle w:val="Extracto"/>
      </w:pPr>
    </w:p>
    <w:p w14:paraId="2CA0CE03" w14:textId="0E00496C" w:rsidR="00A8138F" w:rsidRDefault="00A8138F" w:rsidP="00A8138F">
      <w:pPr>
        <w:pStyle w:val="Extracto"/>
      </w:pPr>
      <w:r>
        <w:t>2.</w:t>
      </w:r>
      <w:r>
        <w:tab/>
        <w:t>Los arts. 16.3 c) y 18.1 y 2 TRLEEP, que regulan la promoción interna vertical de los funcionarios públicos, fueron declarados formal y materialmente básicos por la STC 17/2022; y, de acuerdo con los arts. 2.2 TRLEEP y 92 de la Ley 7/1985, reguladora de las bases del régimen local, resultan de aplicación directa a los cuerpos de policía local. La normativa autonómica ha de ajustarse, por ello, a la exigencia del art. 18.2 TRLEEP de que la promoción interna se realice mediante procesos selectivos que garanticen el cumplimiento de los principios constitucionales de igualdad, mérito y capacidad [FJ 4].</w:t>
      </w:r>
    </w:p>
    <w:p w14:paraId="6787775A" w14:textId="77777777" w:rsidR="00A8138F" w:rsidRDefault="00A8138F" w:rsidP="00A8138F">
      <w:pPr>
        <w:pStyle w:val="Extracto"/>
      </w:pPr>
    </w:p>
    <w:p w14:paraId="7212A1EA" w14:textId="0A1F1260" w:rsidR="00A8138F" w:rsidRDefault="00A8138F" w:rsidP="00A8138F">
      <w:pPr>
        <w:pStyle w:val="Extracto"/>
      </w:pPr>
      <w:r>
        <w:t>3.</w:t>
      </w:r>
      <w:r>
        <w:tab/>
        <w:t>Tomando en consideración la exigencia de cumplimiento de los principios constitucionales de igualdad, mérito y capacidad en los procesos selectivos de  promoción interna, la posesión de la titulación académica es un requisito necesario, pero no suficiente puesto que, de conformidad con la normativa vigente, también se requiere superar pruebas selectivas (STC 17/2022) [FJ 4].</w:t>
      </w:r>
    </w:p>
    <w:p w14:paraId="4C4E7290" w14:textId="77777777" w:rsidR="00A8138F" w:rsidRDefault="00A8138F" w:rsidP="00A8138F">
      <w:pPr>
        <w:pStyle w:val="Extracto"/>
      </w:pPr>
    </w:p>
    <w:p w14:paraId="740C08F3" w14:textId="77777777" w:rsidR="00A8138F" w:rsidRDefault="00A8138F" w:rsidP="00A8138F">
      <w:pPr>
        <w:pStyle w:val="Extracto"/>
      </w:pPr>
    </w:p>
    <w:p w14:paraId="2A07B322"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48939128" w14:textId="58860F59" w:rsidR="00A8138F" w:rsidRDefault="00A8138F" w:rsidP="00A8138F">
      <w:pPr>
        <w:pStyle w:val="TextoNormal"/>
      </w:pPr>
    </w:p>
    <w:p w14:paraId="39459871" w14:textId="77777777" w:rsidR="00A8138F" w:rsidRDefault="00A8138F" w:rsidP="00A8138F">
      <w:pPr>
        <w:pStyle w:val="TextoNormalCentrado"/>
        <w:keepNext/>
      </w:pPr>
      <w:r>
        <w:t>EN NOMBRE DEL REY</w:t>
      </w:r>
    </w:p>
    <w:p w14:paraId="228A6B38" w14:textId="333FFFD0" w:rsidR="00A8138F" w:rsidRDefault="00A8138F" w:rsidP="00A8138F">
      <w:pPr>
        <w:pStyle w:val="TextoNormalCentrado"/>
        <w:keepNext/>
      </w:pPr>
    </w:p>
    <w:p w14:paraId="221CB609" w14:textId="77777777" w:rsidR="00A8138F" w:rsidRDefault="00A8138F" w:rsidP="00A8138F">
      <w:pPr>
        <w:pStyle w:val="TextoNormalCentrado"/>
        <w:keepNext/>
      </w:pPr>
    </w:p>
    <w:p w14:paraId="78746243" w14:textId="77777777" w:rsidR="00A8138F" w:rsidRDefault="00A8138F" w:rsidP="00A8138F">
      <w:pPr>
        <w:pStyle w:val="TextoNormal"/>
      </w:pPr>
      <w:r>
        <w:t>la siguiente</w:t>
      </w:r>
    </w:p>
    <w:p w14:paraId="05B34969" w14:textId="4A13E63C" w:rsidR="00A8138F" w:rsidRDefault="00A8138F" w:rsidP="00A8138F">
      <w:pPr>
        <w:pStyle w:val="TextoNormal"/>
      </w:pPr>
    </w:p>
    <w:p w14:paraId="17725575" w14:textId="77777777" w:rsidR="00A8138F" w:rsidRDefault="00A8138F" w:rsidP="00A8138F">
      <w:pPr>
        <w:pStyle w:val="TextoNormalCentrado"/>
        <w:keepNext/>
      </w:pPr>
      <w:r>
        <w:lastRenderedPageBreak/>
        <w:t>SENTENCIA</w:t>
      </w:r>
    </w:p>
    <w:p w14:paraId="5E206C0E" w14:textId="1CDE4E66" w:rsidR="00A8138F" w:rsidRDefault="00A8138F" w:rsidP="00A8138F">
      <w:pPr>
        <w:pStyle w:val="TextoNormalCentrado"/>
        <w:keepNext/>
      </w:pPr>
    </w:p>
    <w:p w14:paraId="40736A81" w14:textId="77777777" w:rsidR="00A8138F" w:rsidRDefault="00A8138F" w:rsidP="00A8138F">
      <w:pPr>
        <w:pStyle w:val="TextoNormal"/>
      </w:pPr>
      <w:r>
        <w:t>En la cuestión de inconstitucionalidad núm. 2795-2024, promovida por la Sección Primera de la Sala de lo Contencioso-Administrativo del Tribunal Superior de Justicia de Murcia, en relación con la disposición transitoria quinta de la Ley 6/2019, de 4 de abril, de coordinación de las policías locales de la Comunidad Autónoma de la Región de Murcia. Han comparecido y formulado alegaciones el abogado del Estado, el letrado de la Comunidad Autónoma de la Región de Murcia, el Ayuntamiento de Molina de Segura y el Ministerio Fiscal. Ha sido ponente la magistrada doña Concepción Espejel Jorquera.</w:t>
      </w:r>
    </w:p>
    <w:p w14:paraId="1B5F371F" w14:textId="0C9EBADD" w:rsidR="00A8138F" w:rsidRDefault="00A8138F" w:rsidP="00A8138F">
      <w:pPr>
        <w:pStyle w:val="TextoNormal"/>
      </w:pPr>
    </w:p>
    <w:p w14:paraId="35C0C431" w14:textId="77777777" w:rsidR="00A8138F" w:rsidRDefault="00A8138F" w:rsidP="00A8138F">
      <w:pPr>
        <w:pStyle w:val="TextoNormalNegritaCentrado"/>
        <w:keepNext/>
      </w:pPr>
      <w:r>
        <w:t>I. Antecedentes</w:t>
      </w:r>
    </w:p>
    <w:p w14:paraId="2217ED1C" w14:textId="0AF00A1D" w:rsidR="00A8138F" w:rsidRDefault="00A8138F" w:rsidP="00A8138F">
      <w:pPr>
        <w:pStyle w:val="TextoNormalNegritaCentrado"/>
        <w:keepNext/>
      </w:pPr>
    </w:p>
    <w:p w14:paraId="3C7E995F" w14:textId="7F1151E3" w:rsidR="00A8138F" w:rsidRDefault="00A8138F" w:rsidP="00A8138F">
      <w:pPr>
        <w:pStyle w:val="TextoNormal"/>
      </w:pPr>
      <w:r w:rsidRPr="00A8138F">
        <w:rPr>
          <w:rStyle w:val="NumeroAFNegritaCaracter"/>
        </w:rPr>
        <w:t>1</w:t>
      </w:r>
      <w:r>
        <w:t>. El día 22 de abril de 2024 tuvo entrada en el registro general del Tribunal Constitucional, oficio de 12 de abril de 2024 de la Sección Primera de la Sala de lo Contencioso-Administrativo del Tribunal Superior de Justicia de Murcia, por el que se remite, junto con el testimonio de las actuaciones, el auto de 6 de marzo de 2024 por el que plantea cuestión de inconstitucionalidad en relación con la disposición transitoria quinta de la Ley 6/2019, de 4 de abril, de coordinación de las policías locales de la Comunidad Autónoma de la Región de Murcia.</w:t>
      </w:r>
    </w:p>
    <w:p w14:paraId="720A80EF" w14:textId="77777777" w:rsidR="00A8138F" w:rsidRDefault="00A8138F" w:rsidP="00A8138F">
      <w:pPr>
        <w:pStyle w:val="TextoNormal"/>
      </w:pPr>
    </w:p>
    <w:p w14:paraId="12D540F7" w14:textId="77777777" w:rsidR="00A8138F" w:rsidRDefault="00A8138F" w:rsidP="00A8138F">
      <w:pPr>
        <w:pStyle w:val="TextoNormal"/>
      </w:pPr>
      <w:r w:rsidRPr="00A8138F">
        <w:rPr>
          <w:rStyle w:val="NumeroAFNegritaCaracter"/>
        </w:rPr>
        <w:t>2</w:t>
      </w:r>
      <w:r>
        <w:t>. Los hechos que pueden ser relevantes en este proceso constitucional son los siguientes:</w:t>
      </w:r>
    </w:p>
    <w:p w14:paraId="5653E58E" w14:textId="77777777" w:rsidR="00A8138F" w:rsidRDefault="00A8138F" w:rsidP="00A8138F">
      <w:pPr>
        <w:pStyle w:val="TextoNormal"/>
      </w:pPr>
    </w:p>
    <w:p w14:paraId="2A4A5C37" w14:textId="77777777" w:rsidR="00A8138F" w:rsidRDefault="00A8138F" w:rsidP="00A8138F">
      <w:pPr>
        <w:pStyle w:val="TextoNormal"/>
      </w:pPr>
      <w:r>
        <w:t>a) El día 22 de julio de 2020, don Alfonso Hernández Álvarez, policía local del Ayuntamiento de Molina de Segura, presentó ante dicha administración pública una reclamación de derechos y cantidad en la que solicitaba su integración “en el grupo B con las retribuciones económicas correspondientes a dicho grupo, y desde enero del año 2020 que entró en vigor el ejercicio presupuestario municipal”. Para justificar esta petición, el solicitante señala, sucintamente expuesto, lo siguiente: (i) conforme al art. 22 de la citada Ley 6/2019, de 4 de abril, la “categoría de subinspector se clasifica en el grupo B”; (ii) de acuerdo con su art. 27 corresponde a cada ayuntamiento aprobar la relación de puestos de trabajo (en adelante, RPT), en la que debe incluirse “el grupo de clasificación profesional” al que está adscrita la plaza, que debe adecuarse “a las categorías y escalas previstas en la ley”; (iii) la disposición transitoria quinta de la Ley 6/2019 establece, a su vez, que “[e]n el plazo de cuatro años a contar desde la entrada en vigor de esta ley” el personal funcionario perteneciente a la categoría de cabo que se encuentre en posesión de la “titulación exigida en la normativa básica sobre función pública para el ingreso en los cuerpos y escalas del grupo B” debe quedar integrado “a todos los efectos” en dicho grupo; (iv) el párrafo 10 del apartado III del preámbulo de la ley reconoce, asimismo, que la nueva categoría de “subinspector” se corresponde con la “actual cabo” y afirma que con la nueva clasificación profesional se pretende “reconocer […] la labor desempeñada por este personal funcionario que, en la mayoría de los municipios, asume la responsabilidad de la jefatura de los servicios, áreas, unidades”; (v) entiende, finalmente, el solicitante que el reconocimiento de la categoría de subinspector a los antiguos cabos “no debería verse afectada por una interpretación discrecional del plazo de cuatro años para la adaptación e integración del grupo B”.</w:t>
      </w:r>
    </w:p>
    <w:p w14:paraId="51EF9C90" w14:textId="77777777" w:rsidR="00A8138F" w:rsidRDefault="00A8138F" w:rsidP="00A8138F">
      <w:pPr>
        <w:pStyle w:val="TextoNormal"/>
      </w:pPr>
    </w:p>
    <w:p w14:paraId="60AC5980" w14:textId="77777777" w:rsidR="00A8138F" w:rsidRDefault="00A8138F" w:rsidP="00A8138F">
      <w:pPr>
        <w:pStyle w:val="TextoNormal"/>
      </w:pPr>
      <w:r>
        <w:lastRenderedPageBreak/>
        <w:t>b) El día 27 de febrero de 2021, don Alfonso Hernández Álvarez presentó recurso contencioso-administrativo frente a la desestimación presunta de la anterior reclamación de integración, a todos los efectos, en el grupo profesional B. En ella reitera la fundamentación jurídica de la previa reclamación en vía administrativa. Añade, como datos fácticos de relevancia, que presta sus servicios “como funcionario de carrera para el Ayuntamiento de Molina de Segura, con la categoría de subinspector de la Policía local, grupo B (antiguos cabos, grupo C1), con una antigüedad de 23 de julio de 1997, percibiendo las retribuciones correspondientes a la misma” y que el Ayuntamiento de Molina de Segura, en sesión extraordinaria celebrada el 31 de julio de 2020 aprobó la RPT de 2020 “en la que se incluye la categoría de subinspectores, con el grupo B/C1 a extinguir y con una titulación exigida de técnico superior, requisito que ostento al ser licenciado en Criminología por la Universidad de Murcia”. Este título universitario se aporta como documento adjunto.</w:t>
      </w:r>
    </w:p>
    <w:p w14:paraId="46633CB4" w14:textId="77777777" w:rsidR="00A8138F" w:rsidRDefault="00A8138F" w:rsidP="00A8138F">
      <w:pPr>
        <w:pStyle w:val="TextoNormal"/>
      </w:pPr>
    </w:p>
    <w:p w14:paraId="02A63BEC" w14:textId="77777777" w:rsidR="00A8138F" w:rsidRDefault="00A8138F" w:rsidP="00A8138F">
      <w:pPr>
        <w:pStyle w:val="TextoNormal"/>
      </w:pPr>
      <w:r>
        <w:t>c) La demanda fue turnada al Juzgado de lo Contencioso-Administrativo núm. 6 de Murcia y dio lugar al procedimiento abreviado 101-2021. En él se personó el Ayuntamiento de Molina de Segura que, en la vista celebrada el 14 de diciembre de 2021, se opuso a la pretensión del actor alegando que aún no había expirado el plazo de cuatro años establecido por la propia disposición transitoria quinta de la Ley 6/2019 para reconocer la integración en el grupo B.</w:t>
      </w:r>
    </w:p>
    <w:p w14:paraId="71DC7802" w14:textId="77777777" w:rsidR="00A8138F" w:rsidRDefault="00A8138F" w:rsidP="00A8138F">
      <w:pPr>
        <w:pStyle w:val="TextoNormal"/>
      </w:pPr>
    </w:p>
    <w:p w14:paraId="2FBB72ED" w14:textId="77777777" w:rsidR="00A8138F" w:rsidRDefault="00A8138F" w:rsidP="00A8138F">
      <w:pPr>
        <w:pStyle w:val="TextoNormal"/>
      </w:pPr>
      <w:r>
        <w:t>d) El día 21 de diciembre de 2021 el referido juzgado dictó la sentencia núm. 281/2021, estimatoria de la demanda. En cuanto al punto de oposición fundamental planteado por el ayuntamiento demandado, la sentencia considera que una interpretación sistemática de los arts. 22 y 27 y de la propia disposición transitoria quinta de la Ley 6/2019 permite inferir que “la integración puede solicitarse, no solo cuando transcurridos cuatro años desde la entrada en vigor de la ley no ha tenido lugar (como opone el ayuntamiento), sino también cuando habiéndose adaptado la estructura de puestos de trabajo de la Policía Local a lo que exige la ley no existe obstáculo para la integración, situación que es la que tiene lugar en el presente caso en que desde agosto de 2020 el ayuntamiento cuenta con una RPT que permite la integración prevista por la ley sin necesidad de esperar al transcurso del plazo de cuatro años”. Constata, en este punto, que la RPT para el ejercicio 2020 (publicada en el “BORM” núm. 128, de 27 de agosto de 2020) detalla “el número de puestos por cada puesto de trabajo, el tipo de relación de empleo, el grupo de pertenencia, la escala y subescala, el complemento específico y la forma de provisión”. En consecuencia, el juzgado declara en el fallo de la sentencia el derecho del actor “a ser incluido en el grupo profesional B, con las consecuencias económicas inherentes teniendo en cuenta, en todo caso, lo que dispone el apartado 2 [de la propia disposición transitoria quinta]”.</w:t>
      </w:r>
    </w:p>
    <w:p w14:paraId="15686E0B" w14:textId="77777777" w:rsidR="00A8138F" w:rsidRDefault="00A8138F" w:rsidP="00A8138F">
      <w:pPr>
        <w:pStyle w:val="TextoNormal"/>
      </w:pPr>
    </w:p>
    <w:p w14:paraId="1BD9B676" w14:textId="77777777" w:rsidR="00A8138F" w:rsidRDefault="00A8138F" w:rsidP="00A8138F">
      <w:pPr>
        <w:pStyle w:val="TextoNormal"/>
      </w:pPr>
      <w:r>
        <w:t xml:space="preserve">e) El día 13 de enero de 2021, el Ayuntamiento de Molina de Segura presentó recurso de apelación contra la sentencia. En su escrito de interposición considera que la disposición transitoria quinta concede “un plazo de cuatro años a contar desde la entrada en vigor de la ley para integrar en dicho grupo [B] al personal que se encuentre en posesión de la titulación exigida en la normativa”. Explica el letrado del ayuntamiento que lo que realmente se requiere para la integración es la conversión de las plazas de plantilla y no de los puestos de trabajo que figuran en la RPT, que solo determinaría a qué grupo hay que pertenecer para ocupar un determinado puesto, pero no otorga por sí misma “el grupo de clasificación profesional”. Por esta razón entiende que “la integración del personal que ocupaba las plazas de subinspector y que cumple los requisitos de titulación en el grupo B, se hará mediante la </w:t>
      </w:r>
      <w:r>
        <w:lastRenderedPageBreak/>
        <w:t>conversión al grupo B de la plaza que ocupan en plantilla”, modificación esta que “no se ha realizado aún, al tener plazo para ello hasta el día 6 de octubre de 2023” según la referida disposición transitoria. Es, pues, la plantilla de personal del consistorio, que se establece anualmente con ocasión de la aprobación del presupuesto, el instrumento que ha de dar lugar al cumplimiento de lo exigido en la disposición transitoria quinta de la Ley 6/2019. La RPT solo define el puesto de trabajo. El argumento del juzgado según el cual, una vez elaborada una RPT completamente adaptada a la nueva normativa el ayuntamiento ya está en situación de dar cumplimiento a la disposición aludida sería, por tanto, erróneo.</w:t>
      </w:r>
    </w:p>
    <w:p w14:paraId="5EAC5738" w14:textId="77777777" w:rsidR="00A8138F" w:rsidRDefault="00A8138F" w:rsidP="00A8138F">
      <w:pPr>
        <w:pStyle w:val="TextoNormal"/>
      </w:pPr>
    </w:p>
    <w:p w14:paraId="65AE1FC9" w14:textId="77777777" w:rsidR="00A8138F" w:rsidRDefault="00A8138F" w:rsidP="00A8138F">
      <w:pPr>
        <w:pStyle w:val="TextoNormal"/>
      </w:pPr>
      <w:r>
        <w:t>f) Hallándose el rollo de apelación núm. 195-2022 únicamente pendiente del dictado de sentencia, el Ayuntamiento de Molina de Segura presentó un escrito de fecha 27 de febrero de 2023, solicitando el planteamiento de la cuestión de inconstitucionalidad respecto al art. 22 y a la disposición transitoria quinta de la citada Ley 6/2019, de 4 de abril, por ser contrario a los arts. 149.1.18 y 103.3 CE, en relación con los arts. 18.1 y 16.3 c) del texto refundido de la Ley del estatuto básico del empleado público, aprobado por Real Decreto Legislativo 5/2015, de 30 de octubre (TRLEEP).</w:t>
      </w:r>
    </w:p>
    <w:p w14:paraId="5F586B67" w14:textId="77777777" w:rsidR="00A8138F" w:rsidRDefault="00A8138F" w:rsidP="00A8138F">
      <w:pPr>
        <w:pStyle w:val="TextoNormal"/>
      </w:pPr>
    </w:p>
    <w:p w14:paraId="40FA791C" w14:textId="77777777" w:rsidR="00A8138F" w:rsidRDefault="00A8138F" w:rsidP="00A8138F">
      <w:pPr>
        <w:pStyle w:val="TextoNormal"/>
      </w:pPr>
      <w:r>
        <w:t>g) El letrado de la administración de justicia dictó diligencia de ordenación de 28 de febrero de 2023 dando traslado de las alegaciones del Ayuntamiento de Molina de Segura a la parte apelada “para que en un plazo de diez días alegue lo que a su derecho convenga sobre lo interesado en el mencionado escrito”. Presentadas las alegaciones del recurrente y de la parte apelada, el letrado de la administración de justicia dictó diligencia de ordenación el 20 de marzo de 2023 en la que acuerda que se remitan “las actuaciones a la UPAD [unidad procesal de apoyo directo] de la Sala para que por la magistrada-ponente se dicte la resolución procedente”. Recibidas las actuaciones por la Sala, esta dictó providencia de 29 de marzo de 2023, con el siguiente contenido: “Dada cuenta; De conformidad con lo dispuesto en el art. 35.2 de la Ley Orgánica 2/1979 de 3 de octubre, del Tribunal Constitucional, óigase por el plazo de diez días al Ministerio Fiscal sobre la pertinencia de plantear la cuestión de inconstitucionalidad o sobre el fondo de esta, a cuyo efecto remítanse las actuaciones al SCOP [servicio común procesal]”.</w:t>
      </w:r>
    </w:p>
    <w:p w14:paraId="2CABDCCB" w14:textId="77777777" w:rsidR="00A8138F" w:rsidRDefault="00A8138F" w:rsidP="00A8138F">
      <w:pPr>
        <w:pStyle w:val="TextoNormal"/>
      </w:pPr>
    </w:p>
    <w:p w14:paraId="7A49797C" w14:textId="77777777" w:rsidR="00A8138F" w:rsidRDefault="00A8138F" w:rsidP="00A8138F">
      <w:pPr>
        <w:pStyle w:val="TextoNormal"/>
      </w:pPr>
      <w:r>
        <w:t>h) Recibidas las alegaciones del Ministerio Fiscal, el 8 de mayo de 2023, la Sala dictó auto de 15 de mayo de 2023, en el que acuerda: “[e]levar cuestión de inconstitucionalidad al Tribunal Constitucional respecto a la disposición transitoria quinta de la Ley 6/2019, de 4 de abril, de coordinación de las policías locales de la Comunidad Autónoma de la Región de Murcia”. Dicha cuestión de inconstitucionalidad núm. 5470-2023 se inadmitió a trámite por ATC 604/2023, de 21 de noviembre, por un patente incumplimiento de los requisitos procesales esenciales que rigen el trámite de audiencia del art. 35.2 de la Ley Orgánica del Tribunal Constitucional (LOTC).</w:t>
      </w:r>
    </w:p>
    <w:p w14:paraId="2AE9D6A8" w14:textId="77777777" w:rsidR="00A8138F" w:rsidRDefault="00A8138F" w:rsidP="00A8138F">
      <w:pPr>
        <w:pStyle w:val="TextoNormal"/>
      </w:pPr>
    </w:p>
    <w:p w14:paraId="1F20DDBA" w14:textId="77777777" w:rsidR="00A8138F" w:rsidRDefault="00A8138F" w:rsidP="00A8138F">
      <w:pPr>
        <w:pStyle w:val="TextoNormal"/>
      </w:pPr>
      <w:r>
        <w:t>i) Por providencia de 8 de febrero de 2024 se dio traslado a las partes y al Ministerio Fiscal, de conformidad con el art. 35.2 LOTC, para que en el plazo común e improrrogable de diez días puedan alegar lo que deseen sobre la pertinencia de plantear la cuestión de inconstitucionalidad, o sobre el fondo de esta, en relación con la disposición transitoria quinta de la Ley 6/2019, de 4 de abril, de coordinación de las policías locales de la Comunidad Autónoma de la Región de Murcia.</w:t>
      </w:r>
    </w:p>
    <w:p w14:paraId="18D064CA" w14:textId="77777777" w:rsidR="00A8138F" w:rsidRDefault="00A8138F" w:rsidP="00A8138F">
      <w:pPr>
        <w:pStyle w:val="TextoNormal"/>
      </w:pPr>
    </w:p>
    <w:p w14:paraId="45C912C4" w14:textId="77777777" w:rsidR="00A8138F" w:rsidRDefault="00A8138F" w:rsidP="00A8138F">
      <w:pPr>
        <w:pStyle w:val="TextoNormal"/>
      </w:pPr>
      <w:r>
        <w:lastRenderedPageBreak/>
        <w:t>La parte apelante mostró su conformidad al planteamiento de la cuestión de inconstitucionalidad. La parte apelada solicita la inadmisión de la cuestión de inconstitucionalidad. El Ministerio Fiscal no formuló alegaciones.</w:t>
      </w:r>
    </w:p>
    <w:p w14:paraId="68BC71E6" w14:textId="77777777" w:rsidR="00A8138F" w:rsidRDefault="00A8138F" w:rsidP="00A8138F">
      <w:pPr>
        <w:pStyle w:val="TextoNormal"/>
      </w:pPr>
    </w:p>
    <w:p w14:paraId="04EA72BD" w14:textId="2F93CDBF" w:rsidR="00A8138F" w:rsidRDefault="00A8138F" w:rsidP="00A8138F">
      <w:pPr>
        <w:pStyle w:val="TextoNormal"/>
      </w:pPr>
      <w:r>
        <w:t>j) La Sección Primera de la Sala de lo Contencioso-Administrativo de Murcia dictó auto de 6 de marzo de 2024 por el que plantea cuestión de inconstitucionalidad en relación con la disposición transitoria quinta de la Ley 6/2019, de 4 de abril, de coordinación de las policías locales de la Comunidad Autónoma de la Región de Murcia.</w:t>
      </w:r>
    </w:p>
    <w:p w14:paraId="0D171188" w14:textId="77777777" w:rsidR="00A8138F" w:rsidRDefault="00A8138F" w:rsidP="00A8138F">
      <w:pPr>
        <w:pStyle w:val="TextoNormal"/>
      </w:pPr>
    </w:p>
    <w:p w14:paraId="53D0E2C8" w14:textId="77777777" w:rsidR="00A8138F" w:rsidRDefault="00A8138F" w:rsidP="00A8138F">
      <w:pPr>
        <w:pStyle w:val="TextoNormal"/>
      </w:pPr>
      <w:r w:rsidRPr="00A8138F">
        <w:rPr>
          <w:rStyle w:val="NumeroAFNegritaCaracter"/>
        </w:rPr>
        <w:t>3</w:t>
      </w:r>
      <w:r>
        <w:t>. En el auto de planteamiento, el órgano judicial, tras exponer los antecedentes y reproducir ampliamente la fundamentación jurídica de la sentencia de instancia, justifica el cumplimiento de los presupuestos procesales poniendo de manifiesto que el procedimiento está concluso y pendiente únicamente de sentencia. Seguidamente, expone que en el auto del Tribunal Constitucional de 21 de noviembre de 2023 se argumenta que “ha existido un patente incumplimiento de los requisitos procesales esenciales que rigen el trámite de audiencia del art. 35.2 LOTC, lo que debe determinar la inadmisión de la cuestión de inconstitucionalidad” y que para subsanar el defecto procesal en que se incurrió por la Sala se dictó providencia de 8 de febrero de 2024. Exterioriza, después, el “juicio de relevancia”, a cuyo efecto reproduce la disposición transitoria quinta de la Ley 6/2019 y añade, acto seguido, un párrafo conclusivo donde afirma que “[d]e la constitucionalidad de esta norma depende el fallo, puesto que la sentencia apelada la ha aplicado para reconocer al demandante su derecho a la integración en el grupo B, verificando únicamente la aprobación por el Ayuntamiento de la nueva Relación de Puestos de Trabajo”. Expone, tras esto, el “fundamento de la inconstitucionalidad”, para lo que reproduce las disposiciones transitorias primera y tercera de la Ley 1/2018, de 22 de febrero, de coordinación de policías locales de la Comunidad de Madrid, así como un amplio extracto de la STC 17/2022, de 8 de febrero. Afirma, a continuación, que no cabe interpretación conforme de la norma cuestionada. Entiende que la disposición transitoria quinta de la Ley 6/2019 plantea un supuesto idéntico al resuelto en la citada STC 17/2022, ya que la norma cuestionada solo se diferencia de la anulada en dicha resolución en el plazo de cuatro años que se concede a las administraciones locales para que procedan a la integración del personal funcionario afectado, pero sin la exigencia de superar proceso selectivo alguno. Además, expone que no existe diferencia, a efectos de la imperatividad de la integración entre las expresiones “quedarán directamente integrados” y “deberá quedar, a todos los efectos, integrado”.</w:t>
      </w:r>
    </w:p>
    <w:p w14:paraId="7C646B63" w14:textId="77777777" w:rsidR="00A8138F" w:rsidRDefault="00A8138F" w:rsidP="00A8138F">
      <w:pPr>
        <w:pStyle w:val="TextoNormal"/>
      </w:pPr>
    </w:p>
    <w:p w14:paraId="5C9DAF3B" w14:textId="18CB4C49" w:rsidR="00A8138F" w:rsidRDefault="00A8138F" w:rsidP="00A8138F">
      <w:pPr>
        <w:pStyle w:val="TextoNormal"/>
      </w:pPr>
      <w:r>
        <w:t>Concluye que la disposición transitoria quinta de la Ley de coordinación de policías locales de la Región de Murcia contradice los arts. 16.3 c) y 18.1 y 2 TRLEEP, relativos a la promoción interna de los funcionarios de carrera. Teniendo dichas normas carácter básico, se considera que dicha disposición podría ser contraria al art. 149.1.18 CE. Por último, descarta la inconstitucionalidad del art. 22 de la Ley 6/2019.</w:t>
      </w:r>
    </w:p>
    <w:p w14:paraId="39C6D383" w14:textId="77777777" w:rsidR="00A8138F" w:rsidRDefault="00A8138F" w:rsidP="00A8138F">
      <w:pPr>
        <w:pStyle w:val="TextoNormal"/>
      </w:pPr>
    </w:p>
    <w:p w14:paraId="5D5658E3" w14:textId="66185698" w:rsidR="00A8138F" w:rsidRDefault="00A8138F" w:rsidP="00A8138F">
      <w:pPr>
        <w:pStyle w:val="TextoNormal"/>
      </w:pPr>
      <w:r w:rsidRPr="00A8138F">
        <w:rPr>
          <w:rStyle w:val="NumeroAFNegritaCaracter"/>
        </w:rPr>
        <w:t>4</w:t>
      </w:r>
      <w:r>
        <w:t xml:space="preserve">. Por providencia de 17 de junio de 2024, el Pleno, a propuesta de la Sección Primera, acordó admitir a trámite la cuestión en relación con la disposición transitoria quinta de la Ley 6/2019, de 4 de abril; de conformidad con lo dispuesto en el art. 10.1 c) LOTC, reservar para sí el conocimiento de la cuestión; dar traslado de las actuaciones recibidas, conforme establece el art. 37.3 LOTC, al Congreso de los Diputados y al Senado, por conducto de sus presidentes, al Gobierno, por conducto del ministro de Justicia, y al fiscal general del Estado, así como a la Asamblea Regional y al Consejo de Gobierno de la Región de Murcia, </w:t>
      </w:r>
      <w:r>
        <w:lastRenderedPageBreak/>
        <w:t>por conducto de sus presidentes, al objeto de que, en el improrrogable plazo de quince días, puedan personarse en el proceso y formular las alegaciones que estimen convenientes; comunicar la presente resolución a la Sección Primera de la Sala de lo Contencioso-Administrativo del Tribunal Superior de Justicia de Murcia a fin de que, de conformidad con lo dispuesto en el art. 35.3 LOTC, permanezca suspendido el proceso hasta que este tribunal resuelva definitivamente la presente cuestión; y publicar la incoación de la cuestión en el “Boletín Oficial del Estado” y en el “Boletín Oficial de la Región de Murcia”.</w:t>
      </w:r>
    </w:p>
    <w:p w14:paraId="0E96908F" w14:textId="77777777" w:rsidR="00A8138F" w:rsidRDefault="00A8138F" w:rsidP="00A8138F">
      <w:pPr>
        <w:pStyle w:val="TextoNormal"/>
      </w:pPr>
    </w:p>
    <w:p w14:paraId="168276A8" w14:textId="20EB592A" w:rsidR="00A8138F" w:rsidRDefault="00A8138F" w:rsidP="00A8138F">
      <w:pPr>
        <w:pStyle w:val="TextoNormal"/>
      </w:pPr>
      <w:r w:rsidRPr="00A8138F">
        <w:rPr>
          <w:rStyle w:val="NumeroAFNegritaCaracter"/>
        </w:rPr>
        <w:t>5</w:t>
      </w:r>
      <w:r>
        <w:t>. La presidenta del Congreso de los Diputados comunicó el día 1 de julio de 2024 el acuerdo de la Cámara en el sentido de darla por personada y por ofrecida su colaboración a los efectos del art. 88.1 LOTC. Lo mismo hizo el presidente del Senado en escrito registrado el día 8 de julio de 2024.</w:t>
      </w:r>
    </w:p>
    <w:p w14:paraId="46C4DC7D" w14:textId="77777777" w:rsidR="00A8138F" w:rsidRDefault="00A8138F" w:rsidP="00A8138F">
      <w:pPr>
        <w:pStyle w:val="TextoNormal"/>
      </w:pPr>
    </w:p>
    <w:p w14:paraId="32C6AD9C" w14:textId="0AFF0B92" w:rsidR="00A8138F" w:rsidRDefault="00A8138F" w:rsidP="00A8138F">
      <w:pPr>
        <w:pStyle w:val="TextoNormal"/>
      </w:pPr>
      <w:r w:rsidRPr="00A8138F">
        <w:rPr>
          <w:rStyle w:val="NumeroAFNegritaCaracter"/>
        </w:rPr>
        <w:t>6</w:t>
      </w:r>
      <w:r>
        <w:t>. Mediante escrito presentado el día 4 de julio, el letrado en representación del Ayuntamiento de Molina de Segura solicita se le tenga por personado y se le conceda un plazo para poder hacer alegaciones en relación con la disposición cuestionada.</w:t>
      </w:r>
    </w:p>
    <w:p w14:paraId="3E17BD52" w14:textId="77777777" w:rsidR="00A8138F" w:rsidRDefault="00A8138F" w:rsidP="00A8138F">
      <w:pPr>
        <w:pStyle w:val="TextoNormal"/>
      </w:pPr>
    </w:p>
    <w:p w14:paraId="76B6A467" w14:textId="57CDEF17" w:rsidR="00A8138F" w:rsidRDefault="00A8138F" w:rsidP="00A8138F">
      <w:pPr>
        <w:pStyle w:val="TextoNormal"/>
      </w:pPr>
      <w:r w:rsidRPr="00A8138F">
        <w:rPr>
          <w:rStyle w:val="NumeroAFNegritaCaracter"/>
        </w:rPr>
        <w:t>7</w:t>
      </w:r>
      <w:r>
        <w:t>. La letrada de la Asamblea Regional de Murcia, en la representación que ostenta, se personó en el proceso, por escrito presentado el 8 de julio.</w:t>
      </w:r>
    </w:p>
    <w:p w14:paraId="2688518B" w14:textId="77777777" w:rsidR="00A8138F" w:rsidRDefault="00A8138F" w:rsidP="00A8138F">
      <w:pPr>
        <w:pStyle w:val="TextoNormal"/>
      </w:pPr>
    </w:p>
    <w:p w14:paraId="4980099B" w14:textId="4FFD4E35" w:rsidR="00A8138F" w:rsidRDefault="00A8138F" w:rsidP="00A8138F">
      <w:pPr>
        <w:pStyle w:val="TextoNormal"/>
      </w:pPr>
      <w:r w:rsidRPr="00A8138F">
        <w:rPr>
          <w:rStyle w:val="NumeroAFNegritaCaracter"/>
        </w:rPr>
        <w:t>8</w:t>
      </w:r>
      <w:r>
        <w:t>. El procurador de los tribunales, y del recurrente, se personó en el procedimiento por escrito presentado el 9 de julio.</w:t>
      </w:r>
    </w:p>
    <w:p w14:paraId="0BC235AD" w14:textId="77777777" w:rsidR="00A8138F" w:rsidRDefault="00A8138F" w:rsidP="00A8138F">
      <w:pPr>
        <w:pStyle w:val="TextoNormal"/>
      </w:pPr>
    </w:p>
    <w:p w14:paraId="32D5B6B6" w14:textId="77777777" w:rsidR="00A8138F" w:rsidRDefault="00A8138F" w:rsidP="00A8138F">
      <w:pPr>
        <w:pStyle w:val="TextoNormal"/>
      </w:pPr>
      <w:r w:rsidRPr="00A8138F">
        <w:rPr>
          <w:rStyle w:val="NumeroAFNegritaCaracter"/>
        </w:rPr>
        <w:t>9</w:t>
      </w:r>
      <w:r>
        <w:t>. El abogado del Estado se personó en el proceso y formuló alegaciones mediante escrito registrado el día 10 de julio de 2024, interesando la estimación de la cuestión de inconstitucionalidad. En sus alegaciones parte de que la disposición cuestionada prevé un acceso directo de promoción interna para quien ostente el título académico correspondiente. Considera que se plantea en la cuestión de inconstitucionalidad si ese acceso por promoción interna solo sobre la base de ostentar la titulación sin otro requisito más —superación de pruebas selectivas—resulta ser o no ser acorde con la norma básica [arts. 16.3 c) y 18.1 y 2 TRLEEP]. A su entender es un supuesto idéntico al resuelto por la STC 17/2022 que transcribe parcialmente.</w:t>
      </w:r>
    </w:p>
    <w:p w14:paraId="67C53A78" w14:textId="77777777" w:rsidR="00A8138F" w:rsidRDefault="00A8138F" w:rsidP="00A8138F">
      <w:pPr>
        <w:pStyle w:val="TextoNormal"/>
      </w:pPr>
    </w:p>
    <w:p w14:paraId="5D0D8CD9" w14:textId="5414772F" w:rsidR="00A8138F" w:rsidRDefault="00A8138F" w:rsidP="00A8138F">
      <w:pPr>
        <w:pStyle w:val="TextoNormal"/>
      </w:pPr>
      <w:r>
        <w:t>Sostiene, en definitiva, que la disposición transitoria quinta de la ley reconoce un derecho a la promoción interna de los funcionarios con el solo título académico, lo que resulta insuficiente desde la perspectiva de la ley básica [arts. 16.3 c) y 18.1 y 2 TRLEEP]. En consecuencia, al prescindir de la necesidad de superar las pruebas correspondientes acarrea una inconstitucionalidad mediata, por vulneración de la competencia estatal reconocida en el art. 149.1.18 CE. Por lo tanto, la disposición cuestionada resulta inconstitucional por vulnerar la legislación básica en la materia.</w:t>
      </w:r>
    </w:p>
    <w:p w14:paraId="4D64EEBB" w14:textId="77777777" w:rsidR="00A8138F" w:rsidRDefault="00A8138F" w:rsidP="00A8138F">
      <w:pPr>
        <w:pStyle w:val="TextoNormal"/>
      </w:pPr>
    </w:p>
    <w:p w14:paraId="1993B066" w14:textId="77777777" w:rsidR="00A8138F" w:rsidRDefault="00A8138F" w:rsidP="00A8138F">
      <w:pPr>
        <w:pStyle w:val="TextoNormal"/>
      </w:pPr>
      <w:r w:rsidRPr="00A8138F">
        <w:rPr>
          <w:rStyle w:val="NumeroAFNegritaCaracter"/>
        </w:rPr>
        <w:t>10</w:t>
      </w:r>
      <w:r>
        <w:t xml:space="preserve">. El letrado de la Comunidad Autónoma de la Región de Murcia, en la representación que ostenta, se personó en el proceso por escrito registrado el día 15 de julio de 2024 y formuló alegaciones solicitando que se declare la constitucionalidad de la disposición cuestionada. Comienza destacando las diferencias entre el precepto cuestionado y la Ley 1/2018. Si bien en esta ley se establecía que “los miembros de los cuerpos de policía local […] </w:t>
      </w:r>
      <w:r>
        <w:lastRenderedPageBreak/>
        <w:t>quedarán directamente integrados”, en el precepto cuestionado se dispone que “el personal funcionario […] deberá quedar, a todos los efectos, integrado”. A su entender, en la medida en que este precepto no contiene la expresión “directamente” permite una interpretación conforme con la Constitución ya que su tenor literal no excluye la realización de un proceso selectivo, en concreto, el concurso-oposición, tal y como prevé expresamente el art. 23.4 de la Ley 6/2019. La necesidad de superar un proceso selectivo para la promoción interna está ya expresamente recogida en la legislación básica sobre función pública (art. 18.2 TRLEEP) y, por lo tanto, no resulta necesario reproducir esa exigencia en todas las normas que contemplen procesos de promoción interna.</w:t>
      </w:r>
    </w:p>
    <w:p w14:paraId="0C17125F" w14:textId="77777777" w:rsidR="00A8138F" w:rsidRDefault="00A8138F" w:rsidP="00A8138F">
      <w:pPr>
        <w:pStyle w:val="TextoNormal"/>
      </w:pPr>
    </w:p>
    <w:p w14:paraId="66FDBCFA" w14:textId="42BC21E6" w:rsidR="00A8138F" w:rsidRDefault="00A8138F" w:rsidP="00A8138F">
      <w:pPr>
        <w:pStyle w:val="TextoNormal"/>
      </w:pPr>
      <w:r>
        <w:t>Afirma que, en este caso, la contradicción entre la norma estatal y autonómica no puede considerarse insalvable por vía interpretativa (con cita de la STC 96/2020, de 21 de julio, FJ 3). A dichos efectos se reitera que, aunque la disposición cuestionada no aluda expresamente a la necesidad de articular un proceso selectivo para materializar la integración que regula, eso no significa que excluya su aplicación. Esto supone que la interpretación de que “deberán quedar, a todos los efectos, integrados en dichos grupos de clasificación” no puede hacerse al margen de los principios y normativa contenidos tanto en la propia ley controvertida como en la legislación básica. Se refiere tanto a la exposición de motivos de la Ley 6/2019, como a su art. 14. En consecuencia, la disposición transitoria quinta no regula una integración en abstracto, al margen de los principios de mérito y capacidad y de la legislación estatal, sino de forma integrada en la norma más amplia de la que forma parte, la cual señala claramente la sujeción de los funcionarios de policía local a la legislación básica sobre función pública.</w:t>
      </w:r>
    </w:p>
    <w:p w14:paraId="679C6A6F" w14:textId="77777777" w:rsidR="00A8138F" w:rsidRDefault="00A8138F" w:rsidP="00A8138F">
      <w:pPr>
        <w:pStyle w:val="TextoNormal"/>
      </w:pPr>
    </w:p>
    <w:p w14:paraId="42DFF949" w14:textId="569099CD" w:rsidR="00A8138F" w:rsidRDefault="00A8138F" w:rsidP="00A8138F">
      <w:pPr>
        <w:pStyle w:val="TextoNormal"/>
      </w:pPr>
      <w:r w:rsidRPr="00A8138F">
        <w:rPr>
          <w:rStyle w:val="NumeroAFNegritaCaracter"/>
        </w:rPr>
        <w:t>11</w:t>
      </w:r>
      <w:r>
        <w:t>. Por diligencia de ordenación del secretario de Justicia del Pleno de 16 de julio de 2024, se acuerda unir a las presentes actuaciones los escritos presentados por el letrado don Álvaro Rodríguez de Limia Ramírez, en nombre y representación del Ayuntamiento de Molina de Segura, y por el procurador don José Luis Martínez García, en nombre y representación de don Alfonso Hernández Álvarez, y tenerles por personados y parte en la presente cuestión de inconstitucionalidad, acordándose entender con ellos las sucesivas actuaciones; y, conforme establece el art. 37.2 LOTC, se les concede un plazo de quince días para que formulen las alegaciones que estimen convenientes.</w:t>
      </w:r>
    </w:p>
    <w:p w14:paraId="550CAC15" w14:textId="77777777" w:rsidR="00A8138F" w:rsidRDefault="00A8138F" w:rsidP="00A8138F">
      <w:pPr>
        <w:pStyle w:val="TextoNormal"/>
      </w:pPr>
    </w:p>
    <w:p w14:paraId="08F65C0B" w14:textId="77777777" w:rsidR="00A8138F" w:rsidRDefault="00A8138F" w:rsidP="00A8138F">
      <w:pPr>
        <w:pStyle w:val="TextoNormal"/>
      </w:pPr>
      <w:r w:rsidRPr="00A8138F">
        <w:rPr>
          <w:rStyle w:val="NumeroAFNegritaCaracter"/>
        </w:rPr>
        <w:t>12</w:t>
      </w:r>
      <w:r>
        <w:t>. El fiscal general del Estado, por escrito registrado el 22 de julio de 2024, formula alegaciones interesando se declare la inconstitucionalidad de la disposición transitoria quinta de la Ley 6/2019.</w:t>
      </w:r>
    </w:p>
    <w:p w14:paraId="224F88D3" w14:textId="77777777" w:rsidR="00A8138F" w:rsidRDefault="00A8138F" w:rsidP="00A8138F">
      <w:pPr>
        <w:pStyle w:val="TextoNormal"/>
      </w:pPr>
    </w:p>
    <w:p w14:paraId="0870D9CB" w14:textId="77777777" w:rsidR="00A8138F" w:rsidRDefault="00A8138F" w:rsidP="00A8138F">
      <w:pPr>
        <w:pStyle w:val="TextoNormal"/>
      </w:pPr>
      <w:r>
        <w:t>Tras exponer los antecedentes de la cuestión de inconstitucionalidad, se refiere a la doctrina constitucional en la materia (SSTC 114/2022, de 26 de septiembre, y 171/2020, de 16 de noviembre) y especialmente, a la STC 17/2022, de las que extrae, la siguiente doctrina general: la cuestión planteada es competencial por cuanto suscita un caso de posible inconstitucionalidad mediata o indirecta, y que los miembros de la policía local son “necesariamente funcionarios públicos de la administración municipal” y “agentes de la autoridad que desempeñan especiales funciones y ostentan específicas atribuciones al participar del ejercicio de la autoridad”.</w:t>
      </w:r>
    </w:p>
    <w:p w14:paraId="38319FFE" w14:textId="77777777" w:rsidR="00A8138F" w:rsidRDefault="00A8138F" w:rsidP="00A8138F">
      <w:pPr>
        <w:pStyle w:val="TextoNormal"/>
      </w:pPr>
    </w:p>
    <w:p w14:paraId="7D1F2983" w14:textId="77777777" w:rsidR="00A8138F" w:rsidRDefault="00A8138F" w:rsidP="00A8138F">
      <w:pPr>
        <w:pStyle w:val="TextoNormal"/>
      </w:pPr>
      <w:r>
        <w:t>Además, que se trata de un supuesto de promoción interna y que una integración como la prevista en la norma cuestionada incide en el derecho a la promoción interna. La promo</w:t>
      </w:r>
      <w:r>
        <w:lastRenderedPageBreak/>
        <w:t xml:space="preserve">ción interna de los policías locales como derecho individual de tales funcionarios, “según principios constitucionales de igualdad, mérito y capacidad” [art. 14.1 c) TRLEEP], se integra en la materia “régimen estatutario de los funcionarios públicos”, materia en la que corresponde al Estado fijar las bases </w:t>
      </w:r>
      <w:r w:rsidRPr="00A8138F">
        <w:rPr>
          <w:i/>
        </w:rPr>
        <w:t>ex</w:t>
      </w:r>
      <w:r>
        <w:t xml:space="preserve"> art. 149.1.18 CE y a la comunidad autónoma el desarrollo legislativo, la potestad reglamentaria y la ejecución “[e]n el marco de la legislación básica del Estado […] en los términos que la misma establezca”. Las competencias de la Comunidad Autónoma de la Región de Murcia son las previstas en los arts.10.21 y 52 de su Estatuto de Autonomía.</w:t>
      </w:r>
    </w:p>
    <w:p w14:paraId="22C1F5D7" w14:textId="77777777" w:rsidR="00A8138F" w:rsidRDefault="00A8138F" w:rsidP="00A8138F">
      <w:pPr>
        <w:pStyle w:val="TextoNormal"/>
      </w:pPr>
    </w:p>
    <w:p w14:paraId="3163C1CB" w14:textId="77777777" w:rsidR="00A8138F" w:rsidRDefault="00A8138F" w:rsidP="00A8138F">
      <w:pPr>
        <w:pStyle w:val="TextoNormal"/>
      </w:pPr>
      <w:r>
        <w:t>Alega que no ofrece duda alguna la competencia del Estado (art. 149.1.18 CE) para establecer los requisitos o criterios mínimos en materia de promoción interna, también en el caso de los policías locales, pues las condiciones de promoción de la carrera administrativa integran uno de los aspectos del régimen estatutario de los funcionarios públicos que, forzosamente, han de ser definidos por el Estado (STC 20/2017, de 2 de febrero, FJ 8).</w:t>
      </w:r>
    </w:p>
    <w:p w14:paraId="506A975D" w14:textId="77777777" w:rsidR="00A8138F" w:rsidRDefault="00A8138F" w:rsidP="00A8138F">
      <w:pPr>
        <w:pStyle w:val="TextoNormal"/>
      </w:pPr>
    </w:p>
    <w:p w14:paraId="70F56A96" w14:textId="77777777" w:rsidR="00A8138F" w:rsidRDefault="00A8138F" w:rsidP="00A8138F">
      <w:pPr>
        <w:pStyle w:val="TextoNormal"/>
      </w:pPr>
      <w:r>
        <w:t>Los arts. 16.3 c) y 18 TRLEEP son de aplicación directa a los cuerpos de policía local conforme a su art. 3.2 y al art. 92 de la Ley 7/1985, de 2 de abril, reguladora de las bases del régimen local y son material (STC 165/2013, de 26 de septiembre, FJ 13) y formalmente (disposición final primera del Real Decreto Legislativo 5/2015, de 30 de octubre) básicas. De lo anterior infiere que una vía de promoción interna establecida en una norma autonómica que prescindiera de la titulación o del proceso selectivo implicaría el desconocimiento de los principios de mérito y capacidad previstos para el acceso a la función pública en la normativa impugnada, que menoscaba la capacidad como requisito absoluto para el desempeño de cada puesto de trabajo concreto y niega el mérito como elemento relativo de comparación y preferencia para el acceso o nombramiento (STC 154/2017, de 21 de diciembre, FJ 8, que cita la STC 388/1993, de 23 de diciembre, FJ 2).</w:t>
      </w:r>
    </w:p>
    <w:p w14:paraId="30FC4BB5" w14:textId="77777777" w:rsidR="00A8138F" w:rsidRDefault="00A8138F" w:rsidP="00A8138F">
      <w:pPr>
        <w:pStyle w:val="TextoNormal"/>
      </w:pPr>
    </w:p>
    <w:p w14:paraId="5504D819" w14:textId="77777777" w:rsidR="00A8138F" w:rsidRDefault="00A8138F" w:rsidP="00A8138F">
      <w:pPr>
        <w:pStyle w:val="TextoNormal"/>
      </w:pPr>
      <w:r>
        <w:t>Sin embargo, la norma autonómica dispone que esa integración en los nuevos subgrupos de titulación, consecuencia de la nueva estructura introducida por la ley controvertida, es directa y queda únicamente condicionada a ostentar la titulación académica correspondiente, sin hacer mención de prueba selectiva alguna. Parte así del presupuesto contrario al de los arts. 16.3 c) y 18.1 y 2 TRLEEP, que son su parámetro de enjuiciamiento. A ello añade que la redacción literal de la norma cuestionada no permite una interpretación acorde con la Constitución.</w:t>
      </w:r>
    </w:p>
    <w:p w14:paraId="63F5D4EE" w14:textId="77777777" w:rsidR="00A8138F" w:rsidRDefault="00A8138F" w:rsidP="00A8138F">
      <w:pPr>
        <w:pStyle w:val="TextoNormal"/>
      </w:pPr>
    </w:p>
    <w:p w14:paraId="461C17BD" w14:textId="567E50A2" w:rsidR="00A8138F" w:rsidRDefault="00A8138F" w:rsidP="00A8138F">
      <w:pPr>
        <w:pStyle w:val="TextoNormal"/>
      </w:pPr>
      <w:r>
        <w:t>Concluye que la previsión en la norma cuestionada de la promoción a un grupo superior, basada exclusivamente en la titulación, sin exigir la superación de un proceso selectivo es inconstitucional, por ser contrario al art. 149.1.18 CE, en relación con los arts. 16.3 c) y 18.1 y 2, y la disposición final primera TRLEEP.</w:t>
      </w:r>
    </w:p>
    <w:p w14:paraId="55C31AE9" w14:textId="77777777" w:rsidR="00A8138F" w:rsidRDefault="00A8138F" w:rsidP="00A8138F">
      <w:pPr>
        <w:pStyle w:val="TextoNormal"/>
      </w:pPr>
    </w:p>
    <w:p w14:paraId="68566552" w14:textId="77777777" w:rsidR="00A8138F" w:rsidRDefault="00A8138F" w:rsidP="00A8138F">
      <w:pPr>
        <w:pStyle w:val="TextoNormal"/>
      </w:pPr>
      <w:r w:rsidRPr="00A8138F">
        <w:rPr>
          <w:rStyle w:val="NumeroAFNegritaCaracter"/>
        </w:rPr>
        <w:t>13</w:t>
      </w:r>
      <w:r>
        <w:t xml:space="preserve">. El 31 de julio de 2024, presentó sus alegaciones el letrado en representación del Ayuntamiento de Molina de Segura en el que interesa se declare la inconstitucionalidad de la disposición transitoria quinta de la Ley 6/2019. Entiende que esta disposición es coincidente con las disposiciones transitorias primera y tercera de la Ley 1/2018, de 22 de febrero, de coordinación de policías locales de la Comunidad de Madrid, que fueron declaradas inconstitucionales y nulas por la STC 17/2022, que reproduce parcialmente. Además, aduce que no cabe una interpretación conforme de la norma cuestionada dado que no establece la necesidad de superación de un proceso selectivo, es una norma imperativa y la integración </w:t>
      </w:r>
      <w:r>
        <w:lastRenderedPageBreak/>
        <w:t>opera sin sujeción a condición alguna. A su juicio, la única diferencia con la Ley 1/2018 de la Comunidad de Madrid es el plazo que la norma cuestionada establece para la integración.</w:t>
      </w:r>
    </w:p>
    <w:p w14:paraId="3F71640E" w14:textId="77777777" w:rsidR="00A8138F" w:rsidRDefault="00A8138F" w:rsidP="00A8138F">
      <w:pPr>
        <w:pStyle w:val="TextoNormal"/>
      </w:pPr>
    </w:p>
    <w:p w14:paraId="59BF1B89" w14:textId="4A1B0722" w:rsidR="00A8138F" w:rsidRDefault="00A8138F" w:rsidP="00A8138F">
      <w:pPr>
        <w:pStyle w:val="TextoNormal"/>
      </w:pPr>
      <w:r>
        <w:t xml:space="preserve">La disposición transitoria quinta de la Ley 6/2019, de 4 de abril, prescinde absolutamente de la exigencia de superar unas pruebas selectivas, y dispone que solo es preceptiva la titulación académica correspondiente lo que determina la vulneración de la competencia del Estado </w:t>
      </w:r>
      <w:r w:rsidRPr="00A8138F">
        <w:rPr>
          <w:i/>
        </w:rPr>
        <w:t>ex</w:t>
      </w:r>
      <w:r>
        <w:t xml:space="preserve"> art. 149.1.18 CE al contradecir lo dispuesto en los arts. 16.3 c) y 18.1 y 2 TRLEEP.</w:t>
      </w:r>
    </w:p>
    <w:p w14:paraId="75A6A0F4" w14:textId="77777777" w:rsidR="00A8138F" w:rsidRDefault="00A8138F" w:rsidP="00A8138F">
      <w:pPr>
        <w:pStyle w:val="TextoNormal"/>
      </w:pPr>
    </w:p>
    <w:p w14:paraId="1B9EDEED" w14:textId="38DAE13F" w:rsidR="00A8138F" w:rsidRDefault="00A8138F" w:rsidP="00A8138F">
      <w:pPr>
        <w:pStyle w:val="TextoNormal"/>
      </w:pPr>
      <w:r w:rsidRPr="00A8138F">
        <w:rPr>
          <w:rStyle w:val="NumeroAFNegritaCaracter"/>
        </w:rPr>
        <w:t>14</w:t>
      </w:r>
      <w:r>
        <w:t>. Por providencia de 11 de febrero de 2025 se señaló para deliberación y fallo de esta sentencia el día 12 del mismo mes y año.</w:t>
      </w:r>
    </w:p>
    <w:p w14:paraId="5A6950EF" w14:textId="77777777" w:rsidR="00A8138F" w:rsidRDefault="00A8138F" w:rsidP="00A8138F">
      <w:pPr>
        <w:pStyle w:val="TextoNormal"/>
      </w:pPr>
    </w:p>
    <w:p w14:paraId="5D91E32B" w14:textId="77777777" w:rsidR="00A8138F" w:rsidRDefault="00A8138F" w:rsidP="00A8138F">
      <w:pPr>
        <w:pStyle w:val="TextoNormalNegritaCentrado"/>
        <w:keepNext/>
      </w:pPr>
      <w:r>
        <w:t>II. Fundamentos jurídicos</w:t>
      </w:r>
    </w:p>
    <w:p w14:paraId="22D291CB" w14:textId="032FD884" w:rsidR="00A8138F" w:rsidRDefault="00A8138F" w:rsidP="00A8138F">
      <w:pPr>
        <w:pStyle w:val="TextoNormalNegritaCentrado"/>
        <w:keepNext/>
      </w:pPr>
    </w:p>
    <w:p w14:paraId="234E92C1" w14:textId="77777777" w:rsidR="00A8138F" w:rsidRDefault="00A8138F" w:rsidP="00A8138F">
      <w:pPr>
        <w:pStyle w:val="TextoNormal"/>
      </w:pPr>
      <w:r w:rsidRPr="00A8138F">
        <w:rPr>
          <w:rStyle w:val="NumeroAFNegritaCaracter"/>
        </w:rPr>
        <w:t>1</w:t>
      </w:r>
      <w:r>
        <w:t xml:space="preserve">. </w:t>
      </w:r>
      <w:r w:rsidRPr="00A8138F">
        <w:rPr>
          <w:i/>
        </w:rPr>
        <w:t>Objeto del proceso y posiciones de las partes</w:t>
      </w:r>
    </w:p>
    <w:p w14:paraId="529B51E5" w14:textId="77777777" w:rsidR="00A8138F" w:rsidRDefault="00A8138F" w:rsidP="00A8138F">
      <w:pPr>
        <w:pStyle w:val="TextoNormal"/>
      </w:pPr>
    </w:p>
    <w:p w14:paraId="1AAF545B" w14:textId="77777777" w:rsidR="00A8138F" w:rsidRDefault="00A8138F" w:rsidP="00A8138F">
      <w:pPr>
        <w:pStyle w:val="TextoNormal"/>
      </w:pPr>
      <w:r>
        <w:t>La Sección Primera de la Sala de lo Contencioso-Administrativo del Tribunal Superior de Justicia de Murcia plantea cuestión de inconstitucionalidad en relación con la disposición transitoria quinta de la Ley 6/2019, de 4 de abril, de coordinación de las policías locales de la Comunidad Autónoma de la Región de Murcia.</w:t>
      </w:r>
    </w:p>
    <w:p w14:paraId="6F1D74AD" w14:textId="77777777" w:rsidR="00A8138F" w:rsidRDefault="00A8138F" w:rsidP="00A8138F">
      <w:pPr>
        <w:pStyle w:val="TextoNormal"/>
      </w:pPr>
    </w:p>
    <w:p w14:paraId="489DAC0A" w14:textId="77777777" w:rsidR="00A8138F" w:rsidRDefault="00A8138F" w:rsidP="00A8138F">
      <w:pPr>
        <w:pStyle w:val="TextoNormal"/>
      </w:pPr>
      <w:r>
        <w:t>La disposición cuestionada establece lo que sigue:</w:t>
      </w:r>
    </w:p>
    <w:p w14:paraId="4E5C4B43" w14:textId="77777777" w:rsidR="00A8138F" w:rsidRDefault="00A8138F" w:rsidP="00A8138F">
      <w:pPr>
        <w:pStyle w:val="TextoNormal"/>
      </w:pPr>
    </w:p>
    <w:p w14:paraId="0DD5B567" w14:textId="77777777" w:rsidR="00A8138F" w:rsidRDefault="00A8138F" w:rsidP="00A8138F">
      <w:pPr>
        <w:pStyle w:val="TextoNormal"/>
      </w:pPr>
      <w:r>
        <w:t>“1. En el plazo de cuatro años, a contar desde la entrada en vigor de esta ley, el personal funcionario perteneciente a las extintas categorías de cabo y oficial, que se encuentre en posesión de la titulación exigida en la normativa básica sobre función pública para el ingreso en los cuerpos y escalas del grupo B y A1 respectivamente, deberá quedar, a todos los efectos, integrado en dichos grupos de clasificación, dentro de la escala básica los primeros y en la escala superior los segundos.</w:t>
      </w:r>
    </w:p>
    <w:p w14:paraId="4DCBD1CA" w14:textId="77777777" w:rsidR="00A8138F" w:rsidRDefault="00A8138F" w:rsidP="00A8138F">
      <w:pPr>
        <w:pStyle w:val="TextoNormal"/>
      </w:pPr>
    </w:p>
    <w:p w14:paraId="30B6C251" w14:textId="77777777" w:rsidR="00A8138F" w:rsidRDefault="00A8138F" w:rsidP="00A8138F">
      <w:pPr>
        <w:pStyle w:val="TextoNormal"/>
      </w:pPr>
      <w:r>
        <w:t>El personal funcionario que carezca de la citada titulación académica, permanecerá clasificado en los grupos C1 y A2 respectivamente, y en situación de ‘a extinguir’, no obstante, dispondrá de un plazo de tres años, a contar desde la finalización del plazo indicado en el apartado anterior, para acreditar la obtención de la citada titulación e integrarse en el grupo de clasificación superior. Transcurrido este plazo de tres años no se producirá la integración automática de ninguna otra persona funcionaria.</w:t>
      </w:r>
    </w:p>
    <w:p w14:paraId="144E936B" w14:textId="77777777" w:rsidR="00A8138F" w:rsidRDefault="00A8138F" w:rsidP="00A8138F">
      <w:pPr>
        <w:pStyle w:val="TextoNormal"/>
      </w:pPr>
    </w:p>
    <w:p w14:paraId="093BBEF6" w14:textId="77777777" w:rsidR="00A8138F" w:rsidRDefault="00A8138F" w:rsidP="00A8138F">
      <w:pPr>
        <w:pStyle w:val="TextoNormal"/>
      </w:pPr>
      <w:r>
        <w:t>2. En ningún caso la integración podrá suponer un incremento del gasto público, ni modificación de sus retribuciones totales anuales. A tal efecto, se pasará a percibir el sueldo base correspondiente al nuevo grupo de clasificación profesional, y el exceso sobre el anterior se deducirá de las retribuciones complementarias, de forma que se perciban idénticas remuneraciones globales que en la situación anterior.</w:t>
      </w:r>
    </w:p>
    <w:p w14:paraId="73E237F7" w14:textId="77777777" w:rsidR="00A8138F" w:rsidRDefault="00A8138F" w:rsidP="00A8138F">
      <w:pPr>
        <w:pStyle w:val="TextoNormal"/>
      </w:pPr>
    </w:p>
    <w:p w14:paraId="71E61E7B" w14:textId="77777777" w:rsidR="00A8138F" w:rsidRDefault="00A8138F" w:rsidP="00A8138F">
      <w:pPr>
        <w:pStyle w:val="TextoNormal"/>
      </w:pPr>
      <w:r>
        <w:t>Los trienios que se hubieren perfeccionado se valorarán conforme al grupo de clasificación profesional al que pertenecía el funcionario o funcionaria en el momento de su perfeccionamiento.</w:t>
      </w:r>
    </w:p>
    <w:p w14:paraId="528DC7F9" w14:textId="77777777" w:rsidR="00A8138F" w:rsidRDefault="00A8138F" w:rsidP="00A8138F">
      <w:pPr>
        <w:pStyle w:val="TextoNormal"/>
      </w:pPr>
    </w:p>
    <w:p w14:paraId="0F52EC8B" w14:textId="77777777" w:rsidR="00A8138F" w:rsidRDefault="00A8138F" w:rsidP="00A8138F">
      <w:pPr>
        <w:pStyle w:val="TextoNormal"/>
      </w:pPr>
      <w:r>
        <w:lastRenderedPageBreak/>
        <w:t>3. El Ayuntamiento, en todo caso, deberá verificar expresamente el cumplimiento, por parte del personal funcionario afectado, del requisito de titulación”.</w:t>
      </w:r>
    </w:p>
    <w:p w14:paraId="456271E3" w14:textId="77777777" w:rsidR="00A8138F" w:rsidRDefault="00A8138F" w:rsidP="00A8138F">
      <w:pPr>
        <w:pStyle w:val="TextoNormal"/>
      </w:pPr>
    </w:p>
    <w:p w14:paraId="4FEA86BB" w14:textId="77777777" w:rsidR="00A8138F" w:rsidRDefault="00A8138F" w:rsidP="00A8138F">
      <w:pPr>
        <w:pStyle w:val="TextoNormal"/>
      </w:pPr>
      <w:r>
        <w:t>El órgano judicial plantea la cuestión de inconstitucionalidad por posible vulneración mediata del art. 149.1.18 CE por incumplimiento de los arts. 16.3 c) y 18.1 y 2 del texto refundido de la Ley del estatuto básico del empleado público, aprobado por Real Decreto Legislativo 5/2015, de 30 de octubre, dado que la disposición cuestionada, no exige, en la promoción interna de los funcionarios, superar proceso selectivo alguno. Sustenta su duda de constitucionalidad en que la disposición cuestionada establece una regulación igual a la que fue declarada inconstitucional y nula por la STC 17/2022, de 8 de febrero.</w:t>
      </w:r>
    </w:p>
    <w:p w14:paraId="68C70FBF" w14:textId="77777777" w:rsidR="00A8138F" w:rsidRDefault="00A8138F" w:rsidP="00A8138F">
      <w:pPr>
        <w:pStyle w:val="TextoNormal"/>
      </w:pPr>
    </w:p>
    <w:p w14:paraId="5247BADD" w14:textId="0E2F2B17" w:rsidR="00A8138F" w:rsidRDefault="00A8138F" w:rsidP="00A8138F">
      <w:pPr>
        <w:pStyle w:val="TextoNormal"/>
      </w:pPr>
      <w:r>
        <w:t>A su vez, y en los términos en los que se ha dado cuenta pormenorizadamente en los antecedentes de esta sentencia, el abogado del Estado, el Ayuntamiento de Molina de Segura y el Ministerio Fiscal han interesado la estimación de la cuestión de inconstitucionalidad. Por su parte, el letrado de la Comunidad Autónoma de la Región de Murcia interesa su desestimación dado que, a su entender, cabe una interpretación conforme a la Constitución de la disposición cuestionada.</w:t>
      </w:r>
    </w:p>
    <w:p w14:paraId="5E5BC78D" w14:textId="77777777" w:rsidR="00A8138F" w:rsidRDefault="00A8138F" w:rsidP="00A8138F">
      <w:pPr>
        <w:pStyle w:val="TextoNormal"/>
      </w:pPr>
    </w:p>
    <w:p w14:paraId="69E7377A" w14:textId="77777777" w:rsidR="00A8138F" w:rsidRDefault="00A8138F" w:rsidP="00A8138F">
      <w:pPr>
        <w:pStyle w:val="TextoNormal"/>
      </w:pPr>
      <w:r w:rsidRPr="00A8138F">
        <w:rPr>
          <w:rStyle w:val="NumeroAFNegritaCaracter"/>
        </w:rPr>
        <w:t>2</w:t>
      </w:r>
      <w:r>
        <w:t xml:space="preserve">. </w:t>
      </w:r>
      <w:r w:rsidRPr="00A8138F">
        <w:rPr>
          <w:i/>
        </w:rPr>
        <w:t>Delimitación del objeto de la cuestión de inconstitucionalidad</w:t>
      </w:r>
    </w:p>
    <w:p w14:paraId="7A2B81B0" w14:textId="77777777" w:rsidR="00A8138F" w:rsidRDefault="00A8138F" w:rsidP="00A8138F">
      <w:pPr>
        <w:pStyle w:val="TextoNormal"/>
      </w:pPr>
    </w:p>
    <w:p w14:paraId="10DBFED3" w14:textId="77777777" w:rsidR="00A8138F" w:rsidRDefault="00A8138F" w:rsidP="00A8138F">
      <w:pPr>
        <w:pStyle w:val="TextoNormal"/>
      </w:pPr>
      <w:r>
        <w:t>El órgano judicial plantea cuestión de inconstitucionalidad en relación con la disposición transitoria quinta de la Ley 6/2019 en su integridad. Ello, no obstante, la argumentación que sostiene la duda de inconstitucionalidad se refiere a su apartado 1 y, de este apartado, solo cumpliría el juicio de aplicabilidad, su párrafo primero. La razón es que en el recurso contencioso administrativo se ha acreditado que el título de licenciado en Criminología del funcionario demandante se obtuvo en el año 2010. Al estar el funcionario en posesión de este título a la fecha de entrada en vigor de la Ley 6/2019, no le era aplicable el párrafo segundo del apartado 1 de dicha disposición que se refiere a los que no están en posesión de la titulación requerida al tiempo de la entrada en vigor de la ley, pero la obtienen dentro de los tres años siguientes.</w:t>
      </w:r>
    </w:p>
    <w:p w14:paraId="36B4E5E1" w14:textId="77777777" w:rsidR="00A8138F" w:rsidRDefault="00A8138F" w:rsidP="00A8138F">
      <w:pPr>
        <w:pStyle w:val="TextoNormal"/>
      </w:pPr>
    </w:p>
    <w:p w14:paraId="568BF87A" w14:textId="3DA73C3A" w:rsidR="00A8138F" w:rsidRDefault="00A8138F" w:rsidP="00A8138F">
      <w:pPr>
        <w:pStyle w:val="TextoNormal"/>
      </w:pPr>
      <w:r>
        <w:t>Consecuentemente, el objeto del presente proceso queda limitado, en este momento, a lo dispuesto en el primer párrafo del apartado 1 de la disposición transitoria quinta de la Ley 6/2019.</w:t>
      </w:r>
    </w:p>
    <w:p w14:paraId="476F61F2" w14:textId="77777777" w:rsidR="00A8138F" w:rsidRDefault="00A8138F" w:rsidP="00A8138F">
      <w:pPr>
        <w:pStyle w:val="TextoNormal"/>
      </w:pPr>
    </w:p>
    <w:p w14:paraId="38321B3C" w14:textId="77777777" w:rsidR="00A8138F" w:rsidRDefault="00A8138F" w:rsidP="00A8138F">
      <w:pPr>
        <w:pStyle w:val="TextoNormal"/>
      </w:pPr>
      <w:r w:rsidRPr="00A8138F">
        <w:rPr>
          <w:rStyle w:val="NumeroAFNegritaCaracter"/>
        </w:rPr>
        <w:t>3</w:t>
      </w:r>
      <w:r>
        <w:t xml:space="preserve">. </w:t>
      </w:r>
      <w:r w:rsidRPr="00A8138F">
        <w:rPr>
          <w:i/>
        </w:rPr>
        <w:t>La Ley 6/2019, de 4 de abril, de coordinación de las policías locales de la Comunidad Autónoma de la Región de Murcia</w:t>
      </w:r>
    </w:p>
    <w:p w14:paraId="6E425B0E" w14:textId="77777777" w:rsidR="00A8138F" w:rsidRDefault="00A8138F" w:rsidP="00A8138F">
      <w:pPr>
        <w:pStyle w:val="TextoNormal"/>
      </w:pPr>
    </w:p>
    <w:p w14:paraId="23867168" w14:textId="77777777" w:rsidR="00A8138F" w:rsidRDefault="00A8138F" w:rsidP="00A8138F">
      <w:pPr>
        <w:pStyle w:val="TextoNormal"/>
      </w:pPr>
      <w:r>
        <w:t>La Ley 6/2019, de 4 de abril, sustituye a la Ley 4/1998, de 22 de julio, de coordinación de las policías locales de la Comunidad Autónoma de la Región de Murcia e introduce importantes novedades en la estructura y organización de los cuerpos de policía local entre las que se encuentra la reestructuración de los grupos de clasificación profesional del personal funcionario para adaptarse a lo previsto en el art. 76 TRLEEP. Procede, asimismo, a modificar las escalas y categorías, incardinándolas en los nuevos grupos sin guardar una correlación o simetría completa con la regulación legal preexistente.</w:t>
      </w:r>
    </w:p>
    <w:p w14:paraId="1EB2D6AF" w14:textId="77777777" w:rsidR="00A8138F" w:rsidRDefault="00A8138F" w:rsidP="00A8138F">
      <w:pPr>
        <w:pStyle w:val="TextoNormal"/>
      </w:pPr>
    </w:p>
    <w:p w14:paraId="1AB5E608" w14:textId="77777777" w:rsidR="00A8138F" w:rsidRDefault="00A8138F" w:rsidP="00A8138F">
      <w:pPr>
        <w:pStyle w:val="TextoNormal"/>
      </w:pPr>
      <w:r>
        <w:t>El art. 22 de la Ley establece las nuevas escalas y categorías profesionales. No aparece en dicho precepto la categoría profesional de “cabo”, que se correspondía con la escala bá</w:t>
      </w:r>
      <w:r>
        <w:lastRenderedPageBreak/>
        <w:t>sica y con el grupo C, subgrupo C1 (grupo C1). Aparece, en cambio, la categoría de subinspector, dentro de la escala básica, inmediatamente antes que la de agente [art. 22.1 c)]. Esta categoría queda clasificada en el grupo B (art. 22.2). La disposición adicional primera establece la “equivalencia de categorías” y dispone, en particular, que la anterior categoría de cabo se equipara a la categoría de subinspector [letra e)]. A su vez, la disposición transitoria quinta dispone, después, que en el plazo de cuatro años los antiguos cabos que tengan la titulación necesaria deben ser integrados en el grupo B.</w:t>
      </w:r>
    </w:p>
    <w:p w14:paraId="5CC646F4" w14:textId="77777777" w:rsidR="00A8138F" w:rsidRDefault="00A8138F" w:rsidP="00A8138F">
      <w:pPr>
        <w:pStyle w:val="TextoNormal"/>
      </w:pPr>
    </w:p>
    <w:p w14:paraId="783F7A2F" w14:textId="4E7845F2" w:rsidR="00A8138F" w:rsidRDefault="00A8138F" w:rsidP="00A8138F">
      <w:pPr>
        <w:pStyle w:val="TextoNormal"/>
      </w:pPr>
      <w:r>
        <w:t>La Ley, en su art. 22 y en la disposición adicional primera ha establecido, en definitiva, una equivalencia entre dos categorías (cabo y subinspector) que corresponden a grupos profesionales distintos (C y B, respectivamente) y ha resuelto la situación transitoria de coexistencia de ambas categorías con una cláusula de integración de los anteriores cabos en el grupo B siempre que, a la entrada en vigor de la ley (disposición transitoria quinta, apartado 1, párrafo primero) tengan la titulación necesaria para ser funcionarios de este grupo o cuando obtengan esa titulación (disposición transitoria quinta, apartado 1, párrafo segundo) dentro de los tres años siguientes a la entrada en vigor de la ley.</w:t>
      </w:r>
    </w:p>
    <w:p w14:paraId="2BD62F72" w14:textId="77777777" w:rsidR="00A8138F" w:rsidRDefault="00A8138F" w:rsidP="00A8138F">
      <w:pPr>
        <w:pStyle w:val="TextoNormal"/>
      </w:pPr>
    </w:p>
    <w:p w14:paraId="0C36BA99" w14:textId="77777777" w:rsidR="00A8138F" w:rsidRDefault="00A8138F" w:rsidP="00A8138F">
      <w:pPr>
        <w:pStyle w:val="TextoNormal"/>
      </w:pPr>
      <w:r w:rsidRPr="00A8138F">
        <w:rPr>
          <w:rStyle w:val="NumeroAFNegritaCaracter"/>
        </w:rPr>
        <w:t>4</w:t>
      </w:r>
      <w:r>
        <w:t xml:space="preserve">. </w:t>
      </w:r>
      <w:r w:rsidRPr="00A8138F">
        <w:rPr>
          <w:i/>
        </w:rPr>
        <w:t>Aplicación de la STC 17/2022, de 8 de febrero</w:t>
      </w:r>
    </w:p>
    <w:p w14:paraId="078F1CD6" w14:textId="77777777" w:rsidR="00A8138F" w:rsidRDefault="00A8138F" w:rsidP="00A8138F">
      <w:pPr>
        <w:pStyle w:val="TextoNormal"/>
      </w:pPr>
    </w:p>
    <w:p w14:paraId="116B89CE" w14:textId="77777777" w:rsidR="00A8138F" w:rsidRDefault="00A8138F" w:rsidP="00A8138F">
      <w:pPr>
        <w:pStyle w:val="TextoNormal"/>
      </w:pPr>
      <w:r>
        <w:t>El órgano judicial plantea que la disposición transitoria quinta de la Ley de coordinación de policías locales de la Región de Murcia vulnera el art. 149.1.18 CE al contradecir los arts. 16.3 c) y 18.1 y 2 TRLEEP, relativos a la promoción interna de los funcionarios de carrera, que tienen carácter básico.</w:t>
      </w:r>
    </w:p>
    <w:p w14:paraId="3BF2954D" w14:textId="77777777" w:rsidR="00A8138F" w:rsidRDefault="00A8138F" w:rsidP="00A8138F">
      <w:pPr>
        <w:pStyle w:val="TextoNormal"/>
      </w:pPr>
    </w:p>
    <w:p w14:paraId="1733B350" w14:textId="77777777" w:rsidR="00A8138F" w:rsidRDefault="00A8138F" w:rsidP="00A8138F">
      <w:pPr>
        <w:pStyle w:val="TextoNormal"/>
      </w:pPr>
      <w:r>
        <w:t>Una cuestión similar, como se ha puesto de relieve tanto en el auto de planteamiento de la presente cuestión de inconstitucionalidad como en las alegaciones de las partes que han comparecido en este proceso, fue resuelta por la STC 17/2022. Por lo tanto, estaremos a lo afirmado en esta sentencia para la resolución de la presente cuestión de inconstitucionalidad.</w:t>
      </w:r>
    </w:p>
    <w:p w14:paraId="116D2777" w14:textId="77777777" w:rsidR="00A8138F" w:rsidRDefault="00A8138F" w:rsidP="00A8138F">
      <w:pPr>
        <w:pStyle w:val="TextoNormal"/>
      </w:pPr>
    </w:p>
    <w:p w14:paraId="5882A9DA" w14:textId="77777777" w:rsidR="00A8138F" w:rsidRDefault="00A8138F" w:rsidP="00A8138F">
      <w:pPr>
        <w:pStyle w:val="TextoNormal"/>
      </w:pPr>
      <w:r>
        <w:t>a) En primer lugar y, la vista del planteamiento de la duda de constitucionalidad se ha de partir de la precisión de que la cuestión planteada es competencial, y suscita un caso de posible inconstitucionalidad mediata o indirecta.</w:t>
      </w:r>
    </w:p>
    <w:p w14:paraId="4B07120B" w14:textId="77777777" w:rsidR="00A8138F" w:rsidRDefault="00A8138F" w:rsidP="00A8138F">
      <w:pPr>
        <w:pStyle w:val="TextoNormal"/>
      </w:pPr>
    </w:p>
    <w:p w14:paraId="4465FBCC" w14:textId="77777777" w:rsidR="00A8138F" w:rsidRDefault="00A8138F" w:rsidP="00A8138F">
      <w:pPr>
        <w:pStyle w:val="TextoNormal"/>
      </w:pPr>
      <w:r>
        <w:t>Por lo tanto, hemos de comenzar, en nuestro razonamiento, con el encuadramiento competencial de la norma cuestionada.</w:t>
      </w:r>
    </w:p>
    <w:p w14:paraId="2EC45341" w14:textId="77777777" w:rsidR="00A8138F" w:rsidRDefault="00A8138F" w:rsidP="00A8138F">
      <w:pPr>
        <w:pStyle w:val="TextoNormal"/>
      </w:pPr>
    </w:p>
    <w:p w14:paraId="481115F5" w14:textId="77777777" w:rsidR="00A8138F" w:rsidRDefault="00A8138F" w:rsidP="00A8138F">
      <w:pPr>
        <w:pStyle w:val="TextoNormal"/>
      </w:pPr>
      <w:r>
        <w:t>Como afirmamos en la citada STC 17/2022, FJ 3, con cita de sentencias anteriores, “[l]os miembros de la policía local son ‘necesariamente funcionarios públicos de la administración municipal’ y ‘agentes de la autoridad que desempeñan especiales funciones y ostentan específicas atribuciones al participar del ejercicio de la autoridad’”. El art. 14.3 de la Ley 6/2019 reconoce esa doble condición de funcionarios públicos y de agentes de la autoridad.</w:t>
      </w:r>
    </w:p>
    <w:p w14:paraId="3284D3A5" w14:textId="77777777" w:rsidR="00A8138F" w:rsidRDefault="00A8138F" w:rsidP="00A8138F">
      <w:pPr>
        <w:pStyle w:val="TextoNormal"/>
      </w:pPr>
    </w:p>
    <w:p w14:paraId="69826381" w14:textId="77777777" w:rsidR="00A8138F" w:rsidRDefault="00A8138F" w:rsidP="00A8138F">
      <w:pPr>
        <w:pStyle w:val="TextoNormal"/>
      </w:pPr>
      <w:r>
        <w:t xml:space="preserve">La disposición transitoria quinta, en su apartado primero, tal y como hemos expuesto en el fundamento jurídico 3, regula un supuesto de promoción interna, esto es, tal y como se afirma en la STC 17/2022, FJ 3, “un ascenso de quien es ya funcionario a un subgrupo superior, por mor de la modificación de las escalas y categorías de los cuerpos de policía local […] resultante de una nueva regulación legal”. De dicha sentencia se deriva también que “una integración como la prevista en la norma cuestionada incide en el derecho a la </w:t>
      </w:r>
      <w:r>
        <w:lastRenderedPageBreak/>
        <w:t>promoción interna (en un sentido similar, STC 200/2015, de 24 de septiembre, FJ 4)” pues “la consecuencia es que quien ya es funcionario queda directamente encuadrado en el subgrupo de titulación correspondiente a la nueva categoría que le corresponde […], lo que implica una promoción al subgrupo inmediatamente superior respecto a aquel en el que estaba encuadrado con la precedente ley”.</w:t>
      </w:r>
    </w:p>
    <w:p w14:paraId="3525FECF" w14:textId="77777777" w:rsidR="00A8138F" w:rsidRDefault="00A8138F" w:rsidP="00A8138F">
      <w:pPr>
        <w:pStyle w:val="TextoNormal"/>
      </w:pPr>
    </w:p>
    <w:p w14:paraId="2C98B9E8" w14:textId="77777777" w:rsidR="00A8138F" w:rsidRDefault="00A8138F" w:rsidP="00A8138F">
      <w:pPr>
        <w:pStyle w:val="TextoNormal"/>
      </w:pPr>
      <w:r>
        <w:t>Como también señalamos en la citada STC 17/2022, FJ 3, “[l]a promoción interna de los policías locales como derecho individual de tales funcionarios, ‘según principios constitucionales de igualdad, mérito y capacidad’ [art. 14.1 c) TRLEEP], se integra en la materia ‘régimen estatutario de los funcionarios públicos’”, materia en la que el Estado fija las bases y la comunidad autónoma puede tener competencia de desarrollo legislativo, potestad reglamentaria y ejecución, siempre en el marco de esa legislación básica estatal. El art. 52 del Estatuto de Autonomía para la Región de Murcia establece que “el régimen jurídico de la Administración Pública Regional y de sus funcionarios será regulado mediante ley de la Asamblea de conformidad con la legislación básica del Estado”. A su vez, la comunidad autónoma tiene competencia sobre la “[v]igilancia y protección de sus edificios e instalaciones, así como la coordinación y demás facultades en relación con las policías locales, sin perjuicio de su dependencia jerárquica de la autoridad municipal” (art. 10.21 de su Estatuto de Autonomía).</w:t>
      </w:r>
    </w:p>
    <w:p w14:paraId="58B1D989" w14:textId="77777777" w:rsidR="00A8138F" w:rsidRDefault="00A8138F" w:rsidP="00A8138F">
      <w:pPr>
        <w:pStyle w:val="TextoNormal"/>
      </w:pPr>
    </w:p>
    <w:p w14:paraId="006D5B87" w14:textId="77777777" w:rsidR="00A8138F" w:rsidRDefault="00A8138F" w:rsidP="00A8138F">
      <w:pPr>
        <w:pStyle w:val="TextoNormal"/>
      </w:pPr>
      <w:r>
        <w:t>b) Los arts. 16.3 c) y 18.1 y 2 TRLEEP regulan la “promoción interna vertical” de los funcionarios públicos. Son preceptos que la STC 17/2022, FJ 4 a), declara formal y materialmente básicos y que, de acuerdo con los arts. 2.2 TRLEEP y 92 de la Ley 7/1985, de 2 de abril, reguladora de las bases del régimen local, resultan de aplicación directa a los cuerpos de policía local. La normativa autonómica ha de ajustarse, por ello, a la exigencia del art. 18.2 TRLEEP de que la promoción interna se realice “mediante procesos selectivos que garanticen el cumplimiento de los principios constitucionales de igualdad, mérito y capacidad, así como los contemplados en el art. 55.2 de este estatuto”.</w:t>
      </w:r>
    </w:p>
    <w:p w14:paraId="51EF380C" w14:textId="77777777" w:rsidR="00A8138F" w:rsidRDefault="00A8138F" w:rsidP="00A8138F">
      <w:pPr>
        <w:pStyle w:val="TextoNormal"/>
      </w:pPr>
    </w:p>
    <w:p w14:paraId="383D03BE" w14:textId="77777777" w:rsidR="00A8138F" w:rsidRDefault="00A8138F" w:rsidP="00A8138F">
      <w:pPr>
        <w:pStyle w:val="TextoNormal"/>
      </w:pPr>
      <w:r>
        <w:t>c) Como en la citada STC 17/2022, FJ 4 b), “[l]a norma cuestionada, atendiendo solamente al requisito de la titulación, determina la integración directa y automática”, sin embargo, “en el sistema de promoción interna que regulan las bases, la posesión de la titulación académica es un requisito necesario, pero no suficiente, puesto que también se requiere superar unas pruebas selectivas. Frente a la taxativa exigencia de un proceso selectivo como requisito para la promoción interna, la norma autonómica dispone, por el contrario, que esa integración en los nuevos subgrupos de titulación, consecuencia de la nueva estructura introducida por la ley controvertida, es directa y queda únicamente condicionada a ostentar la titulación académica correspondiente, sin hacer mención a prueba selectiva alguna. Parte así del presupuesto contrario al de los arts. 16.3 c) y 18, apartados primero y segundo TRLEEP que son su parámetro de enjuiciamiento (en análogos términos, en cuanto al modo de contradecir la base, SSTC 235/2015, de 5 de noviembre, FJ 5; 260/2015, de 3 de diciembre, FJ 4, y 96/2020, FJ 5)”.</w:t>
      </w:r>
    </w:p>
    <w:p w14:paraId="097B6BFB" w14:textId="77777777" w:rsidR="00A8138F" w:rsidRDefault="00A8138F" w:rsidP="00A8138F">
      <w:pPr>
        <w:pStyle w:val="TextoNormal"/>
      </w:pPr>
    </w:p>
    <w:p w14:paraId="12F8BD42" w14:textId="77777777" w:rsidR="00A8138F" w:rsidRDefault="00A8138F" w:rsidP="00A8138F">
      <w:pPr>
        <w:pStyle w:val="TextoNormal"/>
      </w:pPr>
      <w:r>
        <w:t>La contradicción fundamental entre la norma autonómica y las bases estatales se encuentra en la previsión de un régimen de acceso directo al grupo profesional inmediatamente superior condicionado únicamente a la posesión del título académico exigido para pertenecer a dicho grupo. Esta contradicción, como a continuación se expondrá, no puede salvarse por vía interpretativa.</w:t>
      </w:r>
    </w:p>
    <w:p w14:paraId="5B66D339" w14:textId="77777777" w:rsidR="00A8138F" w:rsidRDefault="00A8138F" w:rsidP="00A8138F">
      <w:pPr>
        <w:pStyle w:val="TextoNormal"/>
      </w:pPr>
    </w:p>
    <w:p w14:paraId="7EA5E2BC" w14:textId="77777777" w:rsidR="00A8138F" w:rsidRDefault="00A8138F" w:rsidP="00A8138F">
      <w:pPr>
        <w:pStyle w:val="TextoNormal"/>
      </w:pPr>
      <w:r>
        <w:t>d) El letrado de la comunidad autónoma alega que cabe una interpretación conforme de la disposición cuestionada a la Constitución dado el diferente tenor de esta y la disposición transitoria, apartado primero, de la Ley 1/2018. Se alega, tal y como se ha dejado constancia en los antecedentes de esta sentencia que, al no contener la disposición ahora cuestionada la expresión “directamente” permite una interpretación conforme con la Constitución ya que su tenor literal no excluye la realización de un proceso selectivo, en concreto el concurso-oposición, según prevé expresamente el art. 23.4 de la Ley 6/2019. A su entender, la disposición transitoria quinta de la Ley 6/2019, aunque no se refiera a la necesidad de articular un proceso selectivo, no significa que excluya su aplicación, ya que dicha disposición ha de interpretarse en consonancia con lo dispuesto en el art. 14 de la ley que, entre los aspectos, determina que los miembros de los cuerpos de policía local están sometidos a la legislación básica sobre función pública. Considera que la necesidad de superar un proceso selectivo para la promoción interna está ya expresamente recogida en la legislación básica sobre función pública (art. 18.2 TRLEEP) y, por lo tanto, no resulta necesario reproducir esa exigencia en todas las normas que contemplen procesos de promoción interna.</w:t>
      </w:r>
    </w:p>
    <w:p w14:paraId="1CFA3F8F" w14:textId="77777777" w:rsidR="00A8138F" w:rsidRDefault="00A8138F" w:rsidP="00A8138F">
      <w:pPr>
        <w:pStyle w:val="TextoNormal"/>
      </w:pPr>
    </w:p>
    <w:p w14:paraId="031EC1F0" w14:textId="77777777" w:rsidR="00A8138F" w:rsidRDefault="00A8138F" w:rsidP="00A8138F">
      <w:pPr>
        <w:pStyle w:val="TextoNormal"/>
      </w:pPr>
      <w:r>
        <w:t>Tal y como señala el Ministerio Fiscal y de acuerdo con la doctrina de este tribunal sobre la interpretación conforme con la Constitución [por todas, STC 17/2022, FJ 4 c)], no resulta posible una interpretación de la disposición transitoria quinta de la Ley 6/2019 como la aquí propuesta, porque colisiona con su tenor literal.</w:t>
      </w:r>
    </w:p>
    <w:p w14:paraId="59FACA38" w14:textId="77777777" w:rsidR="00A8138F" w:rsidRDefault="00A8138F" w:rsidP="00A8138F">
      <w:pPr>
        <w:pStyle w:val="TextoNormal"/>
      </w:pPr>
    </w:p>
    <w:p w14:paraId="210BE765" w14:textId="77777777" w:rsidR="00A8138F" w:rsidRDefault="00A8138F" w:rsidP="00A8138F">
      <w:pPr>
        <w:pStyle w:val="TextoNormal"/>
      </w:pPr>
      <w:r>
        <w:t xml:space="preserve">La disposición ahora cuestionada, como el apartado 1 de la disposición transitoria primera de la Ley 1/2018, de 22 de febrero, determinan de forma taxativa el supuesto de hecho de la integración en el nuevo grupo: es suficiente la titulación académica sin que sea necesaria una prueba selectiva. Si bien la redacción, como apunta el letrado de la comunidad autónoma, es diferente, tal diferencia no es relevante en tanto que solo pone de relieve que las dos normas establecen un mecanismo temporal distinto para que opere esa integración. En la Ley 1/2018 la integración se producía </w:t>
      </w:r>
      <w:r w:rsidRPr="00A8138F">
        <w:rPr>
          <w:i/>
        </w:rPr>
        <w:t>ope legis</w:t>
      </w:r>
      <w:r>
        <w:t xml:space="preserve"> y, en la disposición cuestionada se establece un plazo de cuatro años dentro del cual cada ayuntamiento debe proceder a la reconversión. Consecuentemente, las diferencias entre ambas normas se circunscriben al momento temporal en que se produce la integración. Para esta interpretación de la norma cuestionada es relevante que establezca en el párrafo segundo de su apartado primero, que fuera de los supuestos concretamente previstos en ella no habrá ninguna otra “integración automática”.</w:t>
      </w:r>
    </w:p>
    <w:p w14:paraId="2F43ED57" w14:textId="77777777" w:rsidR="00A8138F" w:rsidRDefault="00A8138F" w:rsidP="00A8138F">
      <w:pPr>
        <w:pStyle w:val="TextoNormal"/>
      </w:pPr>
    </w:p>
    <w:p w14:paraId="022ED639" w14:textId="012534D1" w:rsidR="00A8138F" w:rsidRDefault="00A8138F" w:rsidP="00A8138F">
      <w:pPr>
        <w:pStyle w:val="TextoNormal"/>
      </w:pPr>
      <w:r>
        <w:t xml:space="preserve">En suma, el párrafo primero del apartado primero de la disposición transitoria quinta vulnera el art. 149.1.18 CE y, en consecuencia, es inconstitucional y nula. La declaración de inconstitucionalidad del primer párrafo del apartado 1 de la disposición transitoria quinta debe llevar aparejada, por conexión o consecuencia (art. 39.1 LOTC), la declaración de inconstitucionalidad y nulidad del segundo párrafo del apartado 1 de dicha disposición, que establece que “[e]l personal funcionario que carezca de la citada titulación académica, permanecerá clasificado en los grupos C1 y A2 respectivamente, y en situación de ‘a extinguir’, no obstante, dispondrá de un plazo de tres años, a contar desde la finalización del plazo indicado en el apartado anterior, para acreditar la obtención de la citada titulación e integrarse en el grupo de clasificación superior. Transcurrido este plazo de tres años no se producirá la integración automática de ninguna otra persona funcionaria”. A igual conclusión de inconstitucionalidad y nulidad se llega respecto de los apartados 2 y 3 de la disposición </w:t>
      </w:r>
      <w:r>
        <w:lastRenderedPageBreak/>
        <w:t>transitoria quinta. El apartado 2 prevé unos efectos retributivos que tienen como presupuesto la integración prevista en el apartado 1 y siendo inconstitucional y nula la previsión de integración directa también lo son sus efectos retributivos. Lo propio sucede con el apartado 3, en cuanto se refiere a la verificación del requisito a partir del cual opera la integración directa que ya hemos considerado contraria al orden competencial y, por tanto, inconstitucional y nula.</w:t>
      </w:r>
    </w:p>
    <w:p w14:paraId="2B5552E5" w14:textId="77777777" w:rsidR="00A8138F" w:rsidRDefault="00A8138F" w:rsidP="00A8138F">
      <w:pPr>
        <w:pStyle w:val="TextoNormal"/>
      </w:pPr>
    </w:p>
    <w:p w14:paraId="41AEE4BF" w14:textId="77777777" w:rsidR="00A8138F" w:rsidRDefault="00A8138F" w:rsidP="00A8138F">
      <w:pPr>
        <w:pStyle w:val="TextoNormalCentrado"/>
        <w:keepNext/>
      </w:pPr>
      <w:r>
        <w:t>FALLO</w:t>
      </w:r>
    </w:p>
    <w:p w14:paraId="2CA87AB0" w14:textId="56778179" w:rsidR="00A8138F" w:rsidRDefault="00A8138F" w:rsidP="00A8138F">
      <w:pPr>
        <w:pStyle w:val="TextoNormalCentrado"/>
        <w:keepNext/>
      </w:pPr>
    </w:p>
    <w:p w14:paraId="1BAC98A6" w14:textId="1D3E6839" w:rsidR="00A8138F" w:rsidRDefault="00A8138F" w:rsidP="00A8138F">
      <w:pPr>
        <w:pStyle w:val="TextoNormal"/>
      </w:pPr>
      <w:r>
        <w:t>En atención a todo lo expuesto, el Tribunal Constitucional, por la autoridad que le confiere la Constitución de la Nación española, ha decidido estimar la presente cuestión de inconstitucionalidad y, en su virtud, declarar que la disposición transitoria quinta de la Ley 6/2019, de 4 de abril, de coordinación de las policías locales de la Comunidad Autónoma de la Región de Murcia, es inconstitucional y nula.</w:t>
      </w:r>
    </w:p>
    <w:p w14:paraId="3C95AA6A" w14:textId="77777777" w:rsidR="00A8138F" w:rsidRDefault="00A8138F" w:rsidP="00A8138F">
      <w:pPr>
        <w:pStyle w:val="TextoNormal"/>
      </w:pPr>
    </w:p>
    <w:p w14:paraId="08188921" w14:textId="77777777" w:rsidR="00A8138F" w:rsidRDefault="00A8138F" w:rsidP="00A8138F">
      <w:pPr>
        <w:pStyle w:val="TextoNormal"/>
      </w:pPr>
      <w:r>
        <w:t>Publíquese esta sentencia en el “Boletín Oficial del Estado”.</w:t>
      </w:r>
    </w:p>
    <w:p w14:paraId="40AD0F0A" w14:textId="77777777" w:rsidR="00A8138F" w:rsidRDefault="00A8138F" w:rsidP="00A8138F">
      <w:pPr>
        <w:pStyle w:val="TextoNormal"/>
      </w:pPr>
      <w:r>
        <w:t>Dada en Madrid, a doce de febrero de dos mil veinticinco.</w:t>
      </w:r>
    </w:p>
    <w:p w14:paraId="4AA4F07A" w14:textId="34AA5CA6" w:rsidR="00A8138F" w:rsidRDefault="00A8138F">
      <w:pPr>
        <w:spacing w:after="160" w:line="278" w:lineRule="auto"/>
        <w:rPr>
          <w:rFonts w:ascii="Times New Roman" w:eastAsia="Times New Roman" w:hAnsi="Times New Roman" w:cs="Times New Roman"/>
          <w:sz w:val="24"/>
          <w:szCs w:val="24"/>
          <w:lang w:eastAsia="es-ES"/>
        </w:rPr>
      </w:pPr>
      <w:r>
        <w:br w:type="page"/>
      </w:r>
    </w:p>
    <w:p w14:paraId="5F37BAC9" w14:textId="77777777" w:rsidR="00A8138F" w:rsidRDefault="00A8138F" w:rsidP="00A8138F">
      <w:pPr>
        <w:pStyle w:val="TtuloResolucin"/>
      </w:pPr>
      <w:bookmarkStart w:id="45" w:name="SENTENCIA_2025_43"/>
      <w:r>
        <w:lastRenderedPageBreak/>
        <w:t>SENTENCIA 43/2025, de 12 de febrero de 2025</w:t>
      </w:r>
    </w:p>
    <w:bookmarkEnd w:id="45"/>
    <w:p w14:paraId="6D5BE2BE" w14:textId="77777777" w:rsidR="00A8138F" w:rsidRDefault="00A8138F" w:rsidP="00A8138F">
      <w:pPr>
        <w:pStyle w:val="TtuloResolucin"/>
      </w:pPr>
      <w:r>
        <w:t>Pleno</w:t>
      </w:r>
    </w:p>
    <w:p w14:paraId="59D27658" w14:textId="77777777" w:rsidR="00A8138F" w:rsidRDefault="00A8138F" w:rsidP="00A8138F">
      <w:pPr>
        <w:pStyle w:val="TtuloBOE"/>
      </w:pPr>
      <w:r>
        <w:t>(BOE núm. 69, de 21 de marzo de 2025)</w:t>
      </w:r>
    </w:p>
    <w:p w14:paraId="49E9DB4E" w14:textId="77777777" w:rsidR="00A8138F" w:rsidRDefault="00A8138F" w:rsidP="00A8138F">
      <w:pPr>
        <w:pStyle w:val="TextoNormalCentrado"/>
      </w:pPr>
      <w:r>
        <w:t>ECLI:ES:TC:2025:43</w:t>
      </w:r>
    </w:p>
    <w:p w14:paraId="417C2B92" w14:textId="53A05BAD" w:rsidR="00A8138F" w:rsidRDefault="00A8138F" w:rsidP="00A8138F">
      <w:pPr>
        <w:pStyle w:val="TextoNormalCentrado"/>
      </w:pPr>
    </w:p>
    <w:p w14:paraId="18A7AE14" w14:textId="77777777" w:rsidR="00A8138F" w:rsidRDefault="00A8138F" w:rsidP="00A8138F">
      <w:pPr>
        <w:pStyle w:val="SntesisDescriptiva"/>
      </w:pPr>
      <w:r>
        <w:t>Impugnación de disposiciones autonómicas 7118-2024. Formulada por el Gobierno de la Nación en relación con diversos apartados del acuerdo del Gobierno de Canarias en relación con los menores extranjeros no acompañados, y la resolución de la Dirección General de Protección a la Infancia y las Familias por la que se establece el protocolo territorial de recepción de menores extranjeros migrantes no acompañados en la Comunidad Autónoma de Canarias.</w:t>
      </w:r>
    </w:p>
    <w:p w14:paraId="0C54AC10" w14:textId="34CC3205" w:rsidR="00A8138F" w:rsidRDefault="00A8138F" w:rsidP="00A8138F">
      <w:pPr>
        <w:pStyle w:val="SntesisDescriptiva"/>
      </w:pPr>
    </w:p>
    <w:p w14:paraId="7569C75E" w14:textId="77777777" w:rsidR="00A8138F" w:rsidRDefault="00A8138F" w:rsidP="00A8138F">
      <w:pPr>
        <w:pStyle w:val="SntesisAnaltica"/>
      </w:pPr>
      <w:r>
        <w:t>Competencias sobre inmigración, extranjería y asistencia social: resolución administrativa y acuerdo gubernamental que excluyen de la función protectora a los menores migrantes no acompañados rescatados en el mar o interceptados a su llegada a la costa.</w:t>
      </w:r>
    </w:p>
    <w:p w14:paraId="55143874" w14:textId="03C69C60" w:rsidR="00A8138F" w:rsidRDefault="00A8138F" w:rsidP="00A8138F">
      <w:pPr>
        <w:pStyle w:val="SntesisAnaltica"/>
      </w:pPr>
    </w:p>
    <w:p w14:paraId="1B7FD7A9" w14:textId="29B840EA" w:rsidR="00A8138F" w:rsidRDefault="00A8138F" w:rsidP="00A8138F">
      <w:pPr>
        <w:pStyle w:val="Extracto"/>
      </w:pPr>
      <w:r>
        <w:t>1.</w:t>
      </w:r>
      <w:r>
        <w:tab/>
        <w:t>La competencia de ‘primera acogida’ es la denominación que adopta la competencia exclusiva sectorial de las comunidades autónomas en materia de asistencia social cuando incide sobre las primeras necesidades de integración social de la población extranjera. Esta materia de asistencia social, aludida en el art. 148.1.20 CE, es un mecanismo protector de situaciones de necesidad específicas, y que opera mediante técnicas distintas de las propias de la Seguridad Social. La protección de menores entra en relación con la competencia en materia de asistencia y servicios sociales (SSTC 87/2017 o 36/2022) [FJ 3].</w:t>
      </w:r>
    </w:p>
    <w:p w14:paraId="1E30B28E" w14:textId="77777777" w:rsidR="00A8138F" w:rsidRDefault="00A8138F" w:rsidP="00A8138F">
      <w:pPr>
        <w:pStyle w:val="Extracto"/>
      </w:pPr>
    </w:p>
    <w:p w14:paraId="7C45AF52" w14:textId="474D6E9C" w:rsidR="00A8138F" w:rsidRDefault="00A8138F" w:rsidP="00A8138F">
      <w:pPr>
        <w:pStyle w:val="Extracto"/>
      </w:pPr>
      <w:r>
        <w:t>2.</w:t>
      </w:r>
      <w:r>
        <w:tab/>
        <w:t xml:space="preserve">Doctrina sobre la situación de especial vulnerabilidad en que se encuentran los menores extranjeros no acompañados, la importancia de la protección de sus derechos y la aplicación del principio de presunción de minoría de edad como un elemento inherente a la protección del derecho al respeto de la vida privada de una persona extranjera no acompañada que declara ser menor de edad (SSTC 130/2022 y 40/2023; STEDH de 21 de julio de 2022, asunto </w:t>
      </w:r>
      <w:r w:rsidRPr="00A8138F">
        <w:rPr>
          <w:i/>
        </w:rPr>
        <w:t>Darboe y Camara c. Italia</w:t>
      </w:r>
      <w:r>
        <w:t>) [FJ 3].</w:t>
      </w:r>
    </w:p>
    <w:p w14:paraId="1148735C" w14:textId="77777777" w:rsidR="00A8138F" w:rsidRDefault="00A8138F" w:rsidP="00A8138F">
      <w:pPr>
        <w:pStyle w:val="Extracto"/>
      </w:pPr>
    </w:p>
    <w:p w14:paraId="3CB51A9A" w14:textId="277B2F3A" w:rsidR="00A8138F" w:rsidRDefault="00A8138F" w:rsidP="00A8138F">
      <w:pPr>
        <w:pStyle w:val="Extracto"/>
      </w:pPr>
      <w:r>
        <w:t>3.</w:t>
      </w:r>
      <w:r>
        <w:tab/>
        <w:t>La necesaria observancia del mandato dirigido a los poderes públicos en el art. 39.4 CE, según el cual los niños gozarán de la protección prevista en los acuerdos internacionales que velan por sus derechos, impone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adoptada por la Asamblea General de las Naciones Unidas el 20 de noviembre de 1989 y ratificada por España mediante instrumento de 30 de noviembre de 1990 (SSTC 141/2000 o 148/2023) [FJ 3].</w:t>
      </w:r>
    </w:p>
    <w:p w14:paraId="26292DFC" w14:textId="77777777" w:rsidR="00A8138F" w:rsidRDefault="00A8138F" w:rsidP="00A8138F">
      <w:pPr>
        <w:pStyle w:val="Extracto"/>
      </w:pPr>
    </w:p>
    <w:p w14:paraId="6AAB5B90" w14:textId="4AE49B33" w:rsidR="00A8138F" w:rsidRDefault="00A8138F" w:rsidP="00A8138F">
      <w:pPr>
        <w:pStyle w:val="Extracto"/>
      </w:pPr>
      <w:r>
        <w:t>4.</w:t>
      </w:r>
      <w:r>
        <w:tab/>
        <w:t>La recepción y acogimiento inicial de un extranjero menor de edad, o que pudiera, razonablemente, serlo, es competencia de la comunidad autónoma que tenga asumidas estatutariamente competencias en materia de protección de menores [FJ 3].</w:t>
      </w:r>
    </w:p>
    <w:p w14:paraId="330579A7" w14:textId="77777777" w:rsidR="00A8138F" w:rsidRDefault="00A8138F" w:rsidP="00A8138F">
      <w:pPr>
        <w:pStyle w:val="Extracto"/>
      </w:pPr>
    </w:p>
    <w:p w14:paraId="758A8781" w14:textId="0696EF12" w:rsidR="00A8138F" w:rsidRDefault="00A8138F" w:rsidP="00A8138F">
      <w:pPr>
        <w:pStyle w:val="Extracto"/>
      </w:pPr>
      <w:r>
        <w:lastRenderedPageBreak/>
        <w:t>5.</w:t>
      </w:r>
      <w:r>
        <w:tab/>
        <w:t>Doctrina en materia de la irrenunciabilidad e indisponibilidad de las competencias (SSTC 329/1993 o 157/2021), cuya distribución entre el Estado y las comunidades autónomas responde a la forma de organización territorial del Estado configurada por la Constitución (STC 26/1982). Las relaciones del Estado con las comunidades autónomas se sustentan en la fijación de esferas de competencia indisponibles e irrenunciables por imperativo constitucional (STC 247/2007) [FJ 3].</w:t>
      </w:r>
    </w:p>
    <w:p w14:paraId="24AFC0C6" w14:textId="77777777" w:rsidR="00A8138F" w:rsidRDefault="00A8138F" w:rsidP="00A8138F">
      <w:pPr>
        <w:pStyle w:val="Extracto"/>
      </w:pPr>
    </w:p>
    <w:p w14:paraId="155DE7AB" w14:textId="1C2E5F2E" w:rsidR="00A8138F" w:rsidRDefault="00A8138F" w:rsidP="00A8138F">
      <w:pPr>
        <w:pStyle w:val="Extracto"/>
      </w:pPr>
      <w:r>
        <w:t>6.</w:t>
      </w:r>
      <w:r>
        <w:tab/>
        <w:t>El adecuado funcionamiento del Estado autonómico se sustenta en los principios de cooperación y coordinación entre el Estado y las comunidades autónomas y de estas entre sí, además de en el establecimiento de un sistema de relaciones presididas por la lealtad constitucional, principios todos ellos que deben hacerse efectivos al margen, incluso, del régimen de distribución competencial (SSTC 18/1982 o 247/2007) [FJ 3].</w:t>
      </w:r>
    </w:p>
    <w:p w14:paraId="16F4B61F" w14:textId="77777777" w:rsidR="00A8138F" w:rsidRDefault="00A8138F" w:rsidP="00A8138F">
      <w:pPr>
        <w:pStyle w:val="Extracto"/>
      </w:pPr>
    </w:p>
    <w:p w14:paraId="7FDB8D40" w14:textId="77777777" w:rsidR="00A8138F" w:rsidRDefault="00A8138F" w:rsidP="00A8138F">
      <w:pPr>
        <w:pStyle w:val="Extracto"/>
      </w:pPr>
    </w:p>
    <w:p w14:paraId="6348499E"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77384657" w14:textId="2FEE47E1" w:rsidR="00A8138F" w:rsidRDefault="00A8138F" w:rsidP="00A8138F">
      <w:pPr>
        <w:pStyle w:val="TextoNormal"/>
      </w:pPr>
    </w:p>
    <w:p w14:paraId="0E7E6BB3" w14:textId="77777777" w:rsidR="00A8138F" w:rsidRDefault="00A8138F" w:rsidP="00A8138F">
      <w:pPr>
        <w:pStyle w:val="TextoNormalCentrado"/>
        <w:keepNext/>
      </w:pPr>
      <w:r>
        <w:t>EN NOMBRE DEL REY</w:t>
      </w:r>
    </w:p>
    <w:p w14:paraId="7B32972B" w14:textId="5EDE3AB0" w:rsidR="00A8138F" w:rsidRDefault="00A8138F" w:rsidP="00A8138F">
      <w:pPr>
        <w:pStyle w:val="TextoNormalCentrado"/>
        <w:keepNext/>
      </w:pPr>
    </w:p>
    <w:p w14:paraId="62952C8A" w14:textId="77777777" w:rsidR="00A8138F" w:rsidRDefault="00A8138F" w:rsidP="00A8138F">
      <w:pPr>
        <w:pStyle w:val="TextoNormalCentrado"/>
        <w:keepNext/>
      </w:pPr>
    </w:p>
    <w:p w14:paraId="172DBA9B" w14:textId="77777777" w:rsidR="00A8138F" w:rsidRDefault="00A8138F" w:rsidP="00A8138F">
      <w:pPr>
        <w:pStyle w:val="TextoNormal"/>
      </w:pPr>
      <w:r>
        <w:t>la siguiente</w:t>
      </w:r>
    </w:p>
    <w:p w14:paraId="76A4E07A" w14:textId="2E448EF9" w:rsidR="00A8138F" w:rsidRDefault="00A8138F" w:rsidP="00A8138F">
      <w:pPr>
        <w:pStyle w:val="TextoNormal"/>
      </w:pPr>
    </w:p>
    <w:p w14:paraId="08DB83EF" w14:textId="77777777" w:rsidR="00A8138F" w:rsidRDefault="00A8138F" w:rsidP="00A8138F">
      <w:pPr>
        <w:pStyle w:val="TextoNormalCentrado"/>
        <w:keepNext/>
      </w:pPr>
      <w:r>
        <w:t>SENTENCIA</w:t>
      </w:r>
    </w:p>
    <w:p w14:paraId="4CCCF0B3" w14:textId="6D3AEE79" w:rsidR="00A8138F" w:rsidRDefault="00A8138F" w:rsidP="00A8138F">
      <w:pPr>
        <w:pStyle w:val="TextoNormalCentrado"/>
        <w:keepNext/>
      </w:pPr>
    </w:p>
    <w:p w14:paraId="3C24790A" w14:textId="77777777" w:rsidR="00A8138F" w:rsidRDefault="00A8138F" w:rsidP="00A8138F">
      <w:pPr>
        <w:pStyle w:val="TextoNormal"/>
      </w:pPr>
      <w:r>
        <w:t>En la impugnación de disposiciones autonómicas (título V de la Ley Orgánica del Tribunal Constitucional) núm. 7118-2024, promovida por el Gobierno de la Nación, representado por el abogado del Estado, respecto de los apartados segundo, tercero y sexto del acuerdo del Gobierno de Canarias, de 2 de septiembre de 2024, “en relación con los menores extranjeros no acompañados”, y la resolución de la Dirección General de Protección a la Infancia y las Familias, de 10 de septiembre de 2024, “por la que se establece el protocolo territorial de recepción de menores extranjeros migrantes no acompañados en la Comunidad Autónoma de Canarias”. Ha comparecido y formulado alegaciones el Gobierno de Canarias, representado por el letrado de sus servicios jurídicos. Ha sido ponente el magistrado don Ricardo Enríquez Sancho.</w:t>
      </w:r>
    </w:p>
    <w:p w14:paraId="2D1D31D2" w14:textId="457F3516" w:rsidR="00A8138F" w:rsidRDefault="00A8138F" w:rsidP="00A8138F">
      <w:pPr>
        <w:pStyle w:val="TextoNormal"/>
      </w:pPr>
    </w:p>
    <w:p w14:paraId="0A8FF279" w14:textId="77777777" w:rsidR="00A8138F" w:rsidRDefault="00A8138F" w:rsidP="00A8138F">
      <w:pPr>
        <w:pStyle w:val="TextoNormalNegritaCentrado"/>
        <w:keepNext/>
      </w:pPr>
      <w:r>
        <w:t>I. Antecedentes</w:t>
      </w:r>
    </w:p>
    <w:p w14:paraId="67386455" w14:textId="796DF654" w:rsidR="00A8138F" w:rsidRDefault="00A8138F" w:rsidP="00A8138F">
      <w:pPr>
        <w:pStyle w:val="TextoNormalNegritaCentrado"/>
        <w:keepNext/>
      </w:pPr>
    </w:p>
    <w:p w14:paraId="3A39020E" w14:textId="77777777" w:rsidR="00A8138F" w:rsidRDefault="00A8138F" w:rsidP="00A8138F">
      <w:pPr>
        <w:pStyle w:val="TextoNormal"/>
      </w:pPr>
      <w:r w:rsidRPr="00A8138F">
        <w:rPr>
          <w:rStyle w:val="NumeroAFNegritaCaracter"/>
        </w:rPr>
        <w:t>1</w:t>
      </w:r>
      <w:r>
        <w:t xml:space="preserve">. Mediante escrito presentado en el registro general del Tribunal el día 26 de septiembre de 2024, el abogado del Estado, en representación del Gobierno de la Nación, impugnó, al amparo de los arts. 161.2 de la Constitución y 76 y 77 de la Ley Orgánica del Tribunal Constitucional (LOTC), los apartados segundo, tercero y sexto del acuerdo del Gobierno de </w:t>
      </w:r>
      <w:r>
        <w:lastRenderedPageBreak/>
        <w:t>Canarias, de 2 de septiembre de 2024, “en relación con los menores extranjeros no acompañados”, y la resolución de la Dirección General de Protección a la Infancia y las Familias, de 10 de septiembre de 2024, “por la que se establece el protocolo territorial de recepción de menores extranjeros migrantes no acompañados en la Comunidad Autónoma de Canarias”, publicada en el “Boletín Oficial de Canarias” (“BOC”) núm. 180, de 12 de septiembre de 2024.</w:t>
      </w:r>
    </w:p>
    <w:p w14:paraId="7353AB6E" w14:textId="77777777" w:rsidR="00A8138F" w:rsidRDefault="00A8138F" w:rsidP="00A8138F">
      <w:pPr>
        <w:pStyle w:val="TextoNormal"/>
      </w:pPr>
    </w:p>
    <w:p w14:paraId="1AC4340D" w14:textId="6BE49099" w:rsidR="00A8138F" w:rsidRDefault="00A8138F" w:rsidP="00A8138F">
      <w:pPr>
        <w:pStyle w:val="TextoNormal"/>
      </w:pPr>
      <w:r>
        <w:t>En el escrito se hizo expresa invocación del art. 161.2 CE y del segundo inciso del art. 77 LOTC, a los efectos de que se acordase la suspensión de las resoluciones impugnadas.</w:t>
      </w:r>
    </w:p>
    <w:p w14:paraId="2C73D016" w14:textId="77777777" w:rsidR="00A8138F" w:rsidRDefault="00A8138F" w:rsidP="00A8138F">
      <w:pPr>
        <w:pStyle w:val="TextoNormal"/>
      </w:pPr>
    </w:p>
    <w:p w14:paraId="3CFBB914" w14:textId="77777777" w:rsidR="00A8138F" w:rsidRDefault="00A8138F" w:rsidP="00A8138F">
      <w:pPr>
        <w:pStyle w:val="TextoNormal"/>
      </w:pPr>
      <w:r w:rsidRPr="00A8138F">
        <w:rPr>
          <w:rStyle w:val="NumeroAFNegritaCaracter"/>
        </w:rPr>
        <w:t>2</w:t>
      </w:r>
      <w:r>
        <w:t>. El acuerdo del Gobierno de Canarias, de 2 de septiembre de 2024, se inicia con una parte expositiva en que se pone de manifiesto el agravamiento de la situación de emergencia migratoria declarada por el propio Gobierno de Canarias el 1 de agosto de 2023 y el desbordamiento de la capacidad de gestión de los recursos autonómicos para atender las necesidades de los menores migrantes no acompañados. Ante esta situación, se indica la necesidad de replantear la actuación de la administración autonómica y la procedencia de suspender, por prudencia, la recepción de nuevos migrantes menores no acompañados en el entendimiento de que se encuentran mejor atendidos por la administración estatal en tanto permanezca la situación de sobresaturación de los medios de que dispone la comunidad autónoma. Se expone, asimismo, la soledad en que, a juicio del Gobierno de Canarias, se encuentran las instituciones canarias al descargarse en ellas la respuesta a un problema social y político que excede de sus competencias, señalando que el Estado ha contribuido al agravamiento de la emergencia migratoria existente como consecuencia del desconocimiento de sus obligaciones de solidaridad hacia una comunidad autónoma con un flujo migratorio de especial incidencia, denegando la prestación de locales disponibles sin uso actual, no adoptando medida alguna de política migratoria que dé respuesta a la crisis existente, así como, finalmente, apartándose de los trámites previstos para la correcta puesta a disposición de los menores a los servicios autonómicos de Canarias a fin de posibilitar su satisfactorio acogimiento.</w:t>
      </w:r>
    </w:p>
    <w:p w14:paraId="0A0E35D0" w14:textId="77777777" w:rsidR="00A8138F" w:rsidRDefault="00A8138F" w:rsidP="00A8138F">
      <w:pPr>
        <w:pStyle w:val="TextoNormal"/>
      </w:pPr>
    </w:p>
    <w:p w14:paraId="69EDF67A" w14:textId="77777777" w:rsidR="00A8138F" w:rsidRDefault="00A8138F" w:rsidP="00A8138F">
      <w:pPr>
        <w:pStyle w:val="TextoNormal"/>
      </w:pPr>
      <w:r>
        <w:t>Expuesto lo que antecede, el acuerdo culmina con una parte dispositiva del siguiente tenor:</w:t>
      </w:r>
    </w:p>
    <w:p w14:paraId="7A8623AE" w14:textId="77777777" w:rsidR="00A8138F" w:rsidRDefault="00A8138F" w:rsidP="00A8138F">
      <w:pPr>
        <w:pStyle w:val="TextoNormal"/>
      </w:pPr>
    </w:p>
    <w:p w14:paraId="4AD022EA" w14:textId="77777777" w:rsidR="00A8138F" w:rsidRDefault="00A8138F" w:rsidP="00A8138F">
      <w:pPr>
        <w:pStyle w:val="TextoNormal"/>
      </w:pPr>
      <w:r>
        <w:t>“El Gobierno, tras deliberar y a propuesta de la consejera de Bienestar Social, Igualdad, Juventud, Infancia y Familias, acuerda:</w:t>
      </w:r>
    </w:p>
    <w:p w14:paraId="5D7CC300" w14:textId="77777777" w:rsidR="00A8138F" w:rsidRDefault="00A8138F" w:rsidP="00A8138F">
      <w:pPr>
        <w:pStyle w:val="TextoNormal"/>
      </w:pPr>
    </w:p>
    <w:p w14:paraId="5B554799" w14:textId="77777777" w:rsidR="00A8138F" w:rsidRDefault="00A8138F" w:rsidP="00A8138F">
      <w:pPr>
        <w:pStyle w:val="TextoNormal"/>
      </w:pPr>
      <w:r>
        <w:t>Primero.- Reiterar la declaración de emergencia migratoria en nuestra comunidad autónoma en orden a viabilizar una respuesta adecuada a una situación claramente excepcional.</w:t>
      </w:r>
    </w:p>
    <w:p w14:paraId="6CCC3678" w14:textId="77777777" w:rsidR="00A8138F" w:rsidRDefault="00A8138F" w:rsidP="00A8138F">
      <w:pPr>
        <w:pStyle w:val="TextoNormal"/>
      </w:pPr>
    </w:p>
    <w:p w14:paraId="70C167F7" w14:textId="77777777" w:rsidR="00A8138F" w:rsidRDefault="00A8138F" w:rsidP="00A8138F">
      <w:pPr>
        <w:pStyle w:val="TextoNormal"/>
      </w:pPr>
      <w:r>
        <w:t>Segundo.- Comunicar a las entidades colaboradoras que no reciban nuevos migrantes con cargo a esta comunidad autónoma, salvo la previa comunicación de conformidad o la autorización expresa de las autoridades autonómicas competentes, en orden a proteger el interés de los menores no acompañados que ya están atendiendo.</w:t>
      </w:r>
    </w:p>
    <w:p w14:paraId="11932582" w14:textId="77777777" w:rsidR="00A8138F" w:rsidRDefault="00A8138F" w:rsidP="00A8138F">
      <w:pPr>
        <w:pStyle w:val="TextoNormal"/>
      </w:pPr>
    </w:p>
    <w:p w14:paraId="2A473820" w14:textId="77777777" w:rsidR="00A8138F" w:rsidRDefault="00A8138F" w:rsidP="00A8138F">
      <w:pPr>
        <w:pStyle w:val="TextoNormal"/>
      </w:pPr>
      <w:r>
        <w:t xml:space="preserve">Tercero.- Requerir al Estado para el cumplimiento de sus obligaciones sustanciales y de procedimiento en materia migratoria, en particular, las relacionadas con los menores extranjeros no acompañados, en especial el protocolo de actuación para la recogida y entrega de </w:t>
      </w:r>
      <w:r>
        <w:lastRenderedPageBreak/>
        <w:t>migrantes, recordándole el respeto a la debida relación directa con los servicios de la comunidad autónoma para la puesta a disposición de los menores.</w:t>
      </w:r>
    </w:p>
    <w:p w14:paraId="1904410D" w14:textId="77777777" w:rsidR="00A8138F" w:rsidRDefault="00A8138F" w:rsidP="00A8138F">
      <w:pPr>
        <w:pStyle w:val="TextoNormal"/>
      </w:pPr>
    </w:p>
    <w:p w14:paraId="2EC0AFBA" w14:textId="77777777" w:rsidR="00A8138F" w:rsidRDefault="00A8138F" w:rsidP="00A8138F">
      <w:pPr>
        <w:pStyle w:val="TextoNormal"/>
      </w:pPr>
      <w:r>
        <w:t>Cuarto.- Facultar a los servicios jurídicos del Gobierno de Canarias para iniciar los estudios y, en su caso, ejercitar las acciones interadministrativas y judiciales, incluidas en su caso las penales, en defensa de los derechos de los menores extranjeros no acompañados, así como de las competencias de nuestra comunidad autónoma.</w:t>
      </w:r>
    </w:p>
    <w:p w14:paraId="09B80264" w14:textId="77777777" w:rsidR="00A8138F" w:rsidRDefault="00A8138F" w:rsidP="00A8138F">
      <w:pPr>
        <w:pStyle w:val="TextoNormal"/>
      </w:pPr>
    </w:p>
    <w:p w14:paraId="38531776" w14:textId="77777777" w:rsidR="00A8138F" w:rsidRDefault="00A8138F" w:rsidP="00A8138F">
      <w:pPr>
        <w:pStyle w:val="TextoNormal"/>
      </w:pPr>
      <w:r>
        <w:t>Quinto.- Impulsar, con la máxima prioridad, las medidas aprobadas como plan de choque para hacer frente a la situación de emergencia migratoria, en especial las relativas a la concertación de nuevas plazas para atender a los menores y la ampliación de la plantilla de personal destinada a la Dirección General de Protección a la Infancia y las Familias.</w:t>
      </w:r>
    </w:p>
    <w:p w14:paraId="37F504EF" w14:textId="77777777" w:rsidR="00A8138F" w:rsidRDefault="00A8138F" w:rsidP="00A8138F">
      <w:pPr>
        <w:pStyle w:val="TextoNormal"/>
      </w:pPr>
    </w:p>
    <w:p w14:paraId="5DA1BE0B" w14:textId="77777777" w:rsidR="00A8138F" w:rsidRDefault="00A8138F" w:rsidP="00A8138F">
      <w:pPr>
        <w:pStyle w:val="TextoNormal"/>
      </w:pPr>
      <w:r>
        <w:t>Sexto.- Designar a la Consejería de Bienestar Social, Igualdad, Juventud, Infancia y Familias para el seguimiento y gestión de este acuerdo, así como, en su caso, dictar las resoluciones que estime precisas para preservar en nuestra comunidad autónoma el interés superior de las niñas y niños extranjeros no acompañados, y para garantizar el cumplimiento de los procedimientos que les son de aplicación”.</w:t>
      </w:r>
    </w:p>
    <w:p w14:paraId="4874D30C" w14:textId="77777777" w:rsidR="00A8138F" w:rsidRDefault="00A8138F" w:rsidP="00A8138F">
      <w:pPr>
        <w:pStyle w:val="TextoNormal"/>
      </w:pPr>
    </w:p>
    <w:p w14:paraId="2D19A1FF" w14:textId="77777777" w:rsidR="00A8138F" w:rsidRDefault="00A8138F" w:rsidP="00A8138F">
      <w:pPr>
        <w:pStyle w:val="TextoNormal"/>
      </w:pPr>
      <w:r>
        <w:t>Por su parte, la resolución de la Dirección General de Protección a la Infancia y las Familias, de 10 de septiembre de 2024, tras la exposición de los antecedentes y fundamentos jurídicos considerados de aplicación, resuelve en su punto primero aprobar el protocolo territorial de recepción de menores extranjeros migrantes no acompañados en la Comunidad Autónoma de Canarias, declarando en su punto segundo que dicho protocolo territorial es vinculante para los empleados autonómicos y empleados de las entidades colaboradoras contratadas por la Comunidad Autónoma de Canarias, debiendo incorporarse una adenda en los contratos administrativos al efecto; finalmente, el punto tercero resuelve aprobar el formulario básico de comprobación documental a aportar en la recepción de menores migrantes no acompañados.</w:t>
      </w:r>
    </w:p>
    <w:p w14:paraId="01D517DB" w14:textId="77777777" w:rsidR="00A8138F" w:rsidRDefault="00A8138F" w:rsidP="00A8138F">
      <w:pPr>
        <w:pStyle w:val="TextoNormal"/>
      </w:pPr>
    </w:p>
    <w:p w14:paraId="3CCC3824" w14:textId="77777777" w:rsidR="00A8138F" w:rsidRDefault="00A8138F" w:rsidP="00A8138F">
      <w:pPr>
        <w:pStyle w:val="TextoNormal"/>
      </w:pPr>
      <w:r>
        <w:t>El referido protocolo territorial, incorporado en el anexo I de la resolución impugnada, justifica su aprobación al amparo del art. 144.1 del Estatuto de Autonomía de Canarias (EACan) y consta de ocho apartados con el contenido siguiente:</w:t>
      </w:r>
    </w:p>
    <w:p w14:paraId="6CB50992" w14:textId="77777777" w:rsidR="00A8138F" w:rsidRDefault="00A8138F" w:rsidP="00A8138F">
      <w:pPr>
        <w:pStyle w:val="TextoNormal"/>
      </w:pPr>
    </w:p>
    <w:p w14:paraId="5B0B2B97" w14:textId="77777777" w:rsidR="00A8138F" w:rsidRDefault="00A8138F" w:rsidP="00A8138F">
      <w:pPr>
        <w:pStyle w:val="TextoNormal"/>
      </w:pPr>
      <w:r>
        <w:t>“1. Objeto del protocolo territorial</w:t>
      </w:r>
    </w:p>
    <w:p w14:paraId="0B570B94" w14:textId="77777777" w:rsidR="00A8138F" w:rsidRDefault="00A8138F" w:rsidP="00A8138F">
      <w:pPr>
        <w:pStyle w:val="TextoNormal"/>
      </w:pPr>
    </w:p>
    <w:p w14:paraId="32866129" w14:textId="77777777" w:rsidR="00A8138F" w:rsidRDefault="00A8138F" w:rsidP="00A8138F">
      <w:pPr>
        <w:pStyle w:val="TextoNormal"/>
      </w:pPr>
      <w:r>
        <w:t>El objeto del protocolo de recepción de menores migrantes no acompañados es la necesaria ordenación de la recepción de menores extranjeros migrantes no acompañados que se encuentren en situación de desamparo en Canarias.</w:t>
      </w:r>
    </w:p>
    <w:p w14:paraId="7F8133E4" w14:textId="77777777" w:rsidR="00A8138F" w:rsidRDefault="00A8138F" w:rsidP="00A8138F">
      <w:pPr>
        <w:pStyle w:val="TextoNormal"/>
      </w:pPr>
    </w:p>
    <w:p w14:paraId="237EA737" w14:textId="77777777" w:rsidR="00A8138F" w:rsidRDefault="00A8138F" w:rsidP="00A8138F">
      <w:pPr>
        <w:pStyle w:val="TextoNormal"/>
      </w:pPr>
      <w:r>
        <w:t>No es objeto de este protocolo territorial, al no proceder la entrega y recepción por los servicios de protección de menores de la Comunidad Autónoma de Canarias de los menores migrantes no acompañados que hayan sido rescatados por el Estado en el mar, o que sean interceptados por Guardia Civil y Policía Nacional a su llegada a la costa ejerciendo funciones de frontera, dado que no están desamparados porque cuentan con la atención inmediata del Estado, que asume responsabilidades internacionales de rescate en el mar y las competencias constitucionales de control de frontera y de flujo migratorio hasta su debida asignación o ubicación, según la situación jurídica en que se encuentren.</w:t>
      </w:r>
    </w:p>
    <w:p w14:paraId="0907C5FA" w14:textId="77777777" w:rsidR="00A8138F" w:rsidRDefault="00A8138F" w:rsidP="00A8138F">
      <w:pPr>
        <w:pStyle w:val="TextoNormal"/>
      </w:pPr>
    </w:p>
    <w:p w14:paraId="5E099819" w14:textId="77777777" w:rsidR="00A8138F" w:rsidRDefault="00A8138F" w:rsidP="00A8138F">
      <w:pPr>
        <w:pStyle w:val="TextoNormal"/>
      </w:pPr>
      <w:r>
        <w:t>2. Principios que inspiran las actuaciones del protocolo territorial</w:t>
      </w:r>
    </w:p>
    <w:p w14:paraId="38F24622" w14:textId="77777777" w:rsidR="00A8138F" w:rsidRDefault="00A8138F" w:rsidP="00A8138F">
      <w:pPr>
        <w:pStyle w:val="TextoNormal"/>
      </w:pPr>
    </w:p>
    <w:p w14:paraId="2BBE142F" w14:textId="77777777" w:rsidR="00A8138F" w:rsidRDefault="00A8138F" w:rsidP="00A8138F">
      <w:pPr>
        <w:pStyle w:val="TextoNormal"/>
      </w:pPr>
      <w:r>
        <w:t>Las actuaciones por parte del Estado de entrega de menores migrantes no acompañados y correlativas actuaciones de recepción por la Comunidad Autónoma de Canarias están presididas por el principio de interés superior del menor, el respeto a su personalidad y derechos, de manera que exige el respeto a su individualidad con su correcta identificación, el conocimiento de las circunstancias en que se halle.</w:t>
      </w:r>
    </w:p>
    <w:p w14:paraId="7BC82742" w14:textId="77777777" w:rsidR="00A8138F" w:rsidRDefault="00A8138F" w:rsidP="00A8138F">
      <w:pPr>
        <w:pStyle w:val="TextoNormal"/>
      </w:pPr>
    </w:p>
    <w:p w14:paraId="33BAEF31" w14:textId="77777777" w:rsidR="00A8138F" w:rsidRDefault="00A8138F" w:rsidP="00A8138F">
      <w:pPr>
        <w:pStyle w:val="TextoNormal"/>
      </w:pPr>
      <w:r>
        <w:t>Ello requiere que el menor no acompañado sea oído previamente sobre su ubicación o asignación y el derecho a una resolución administrativa individualizada de ubicación en la comunidad autónoma que corresponda, con intervención del Ministerio Fiscal en salvaguarda de sus derechos.</w:t>
      </w:r>
    </w:p>
    <w:p w14:paraId="5E2E44F6" w14:textId="77777777" w:rsidR="00A8138F" w:rsidRDefault="00A8138F" w:rsidP="00A8138F">
      <w:pPr>
        <w:pStyle w:val="TextoNormal"/>
      </w:pPr>
    </w:p>
    <w:p w14:paraId="1F80B9DF" w14:textId="77777777" w:rsidR="00A8138F" w:rsidRDefault="00A8138F" w:rsidP="00A8138F">
      <w:pPr>
        <w:pStyle w:val="TextoNormal"/>
      </w:pPr>
      <w:r>
        <w:t>3. Requisitos previos a la recepción</w:t>
      </w:r>
    </w:p>
    <w:p w14:paraId="2006080F" w14:textId="77777777" w:rsidR="00A8138F" w:rsidRDefault="00A8138F" w:rsidP="00A8138F">
      <w:pPr>
        <w:pStyle w:val="TextoNormal"/>
      </w:pPr>
    </w:p>
    <w:p w14:paraId="6F705A06" w14:textId="77777777" w:rsidR="00A8138F" w:rsidRDefault="00A8138F" w:rsidP="00A8138F">
      <w:pPr>
        <w:pStyle w:val="TextoNormal"/>
      </w:pPr>
      <w:r>
        <w:t>El acogimiento de un menor migrante extranjero no acompañado por parte de la Comunidad Autónoma de Canarias, a través de sus recursos requerirá su previa reseña de identificación, su inscripción en el RMENA [Registro de menores extranjeros no acompañados] si constase, y una resolución administrativa de asignación o ubicación individualizada del órgano correspondiente del Estado, previa audiencia al menor, en presencia de un intérprete de su lengua materna u otra que pueda entender, con conocimiento del fiscal, y un acto formal de entrega con documentación individualizada, una vez cumplidos los requisitos que le fueran exigidos a quien le estuviera prestando la atención inmediata.</w:t>
      </w:r>
    </w:p>
    <w:p w14:paraId="15624B75" w14:textId="77777777" w:rsidR="00A8138F" w:rsidRDefault="00A8138F" w:rsidP="00A8138F">
      <w:pPr>
        <w:pStyle w:val="TextoNormal"/>
      </w:pPr>
    </w:p>
    <w:p w14:paraId="3810AD53" w14:textId="77777777" w:rsidR="00A8138F" w:rsidRDefault="00A8138F" w:rsidP="00A8138F">
      <w:pPr>
        <w:pStyle w:val="TextoNormal"/>
      </w:pPr>
      <w:r>
        <w:t>4. Comunicación previa a efectos de disponibilidad de plazas de acogida</w:t>
      </w:r>
    </w:p>
    <w:p w14:paraId="1B9920FE" w14:textId="77777777" w:rsidR="00A8138F" w:rsidRDefault="00A8138F" w:rsidP="00A8138F">
      <w:pPr>
        <w:pStyle w:val="TextoNormal"/>
      </w:pPr>
    </w:p>
    <w:p w14:paraId="23C0AC91" w14:textId="77777777" w:rsidR="00A8138F" w:rsidRDefault="00A8138F" w:rsidP="00A8138F">
      <w:pPr>
        <w:pStyle w:val="TextoNormal"/>
      </w:pPr>
      <w:r>
        <w:t>Cumplimentadas las actuaciones previas reseñadas en el apartado anterior, el órgano competente de la Administración General del Estado comunicará a la Administración autonómica (Dirección General de Protección a la Infancia y las Familias) la existencia de un menor migrante no acompañado en condiciones de ser entregado, en orden a que los servicios autonómicos puedan verificar la disponibilidad de plazas en las condiciones de garantías legalmente exigidas para ser atendido.</w:t>
      </w:r>
    </w:p>
    <w:p w14:paraId="3B986465" w14:textId="77777777" w:rsidR="00A8138F" w:rsidRDefault="00A8138F" w:rsidP="00A8138F">
      <w:pPr>
        <w:pStyle w:val="TextoNormal"/>
      </w:pPr>
    </w:p>
    <w:p w14:paraId="0771C116" w14:textId="77777777" w:rsidR="00A8138F" w:rsidRDefault="00A8138F" w:rsidP="00A8138F">
      <w:pPr>
        <w:pStyle w:val="TextoNormal"/>
      </w:pPr>
      <w:r>
        <w:t>5. Lugar de la entrega y recepción e intervención de funcionarios públicos</w:t>
      </w:r>
    </w:p>
    <w:p w14:paraId="218D852A" w14:textId="77777777" w:rsidR="00A8138F" w:rsidRDefault="00A8138F" w:rsidP="00A8138F">
      <w:pPr>
        <w:pStyle w:val="TextoNormal"/>
      </w:pPr>
    </w:p>
    <w:p w14:paraId="4D6B6EB8" w14:textId="77777777" w:rsidR="00A8138F" w:rsidRDefault="00A8138F" w:rsidP="00A8138F">
      <w:pPr>
        <w:pStyle w:val="TextoNormal"/>
      </w:pPr>
      <w:r>
        <w:t>Confirmada la disponibilidad de plaza, la recepción del menor por la Comunidad Autónoma de Canarias que entreguen los funcionarios del Estado será hecha en las comisarías de la Policía Autonómica de Canarias o, donde no existan, en los lugares habilitados. Esta recepción del menor deberá ser ante policía autonómico o, por razones justificadas, ante funcionario público autonómico habilitado.</w:t>
      </w:r>
    </w:p>
    <w:p w14:paraId="24BB41C2" w14:textId="77777777" w:rsidR="00A8138F" w:rsidRDefault="00A8138F" w:rsidP="00A8138F">
      <w:pPr>
        <w:pStyle w:val="TextoNormal"/>
      </w:pPr>
    </w:p>
    <w:p w14:paraId="6DA2FF88" w14:textId="77777777" w:rsidR="00A8138F" w:rsidRDefault="00A8138F" w:rsidP="00A8138F">
      <w:pPr>
        <w:pStyle w:val="TextoNormal"/>
      </w:pPr>
      <w:r>
        <w:t>6. Documentación individualizada del menor en el momento de la recepción</w:t>
      </w:r>
    </w:p>
    <w:p w14:paraId="11F11F95" w14:textId="77777777" w:rsidR="00A8138F" w:rsidRDefault="00A8138F" w:rsidP="00A8138F">
      <w:pPr>
        <w:pStyle w:val="TextoNormal"/>
      </w:pPr>
    </w:p>
    <w:p w14:paraId="18261C27" w14:textId="77777777" w:rsidR="00A8138F" w:rsidRDefault="00A8138F" w:rsidP="00A8138F">
      <w:pPr>
        <w:pStyle w:val="TextoNormal"/>
      </w:pPr>
      <w:r>
        <w:t xml:space="preserve">Los funcionarios del Estado que entreguen al menor deberán aportar documentación individualizada de cada menor que garantice su correcta identidad y circunstancias individuales, entre ellas las circunstancias en que fue hallado y cuantos datos sean de interés para los derechos del menor así como para valorar su situación de riesgo o desamparo y, si así se </w:t>
      </w:r>
      <w:r>
        <w:lastRenderedPageBreak/>
        <w:t>hubiese acordado por el Ministerio Fiscal, el número de expediente de riesgo abierto en la Sección de Menores, junto a todos aquellos documentos que permitan garantizar su trazabilidad o que haya confusión de identidades entre menores.</w:t>
      </w:r>
    </w:p>
    <w:p w14:paraId="2E7DC238" w14:textId="77777777" w:rsidR="00A8138F" w:rsidRDefault="00A8138F" w:rsidP="00A8138F">
      <w:pPr>
        <w:pStyle w:val="TextoNormal"/>
      </w:pPr>
    </w:p>
    <w:p w14:paraId="2C2560B8" w14:textId="77777777" w:rsidR="00A8138F" w:rsidRDefault="00A8138F" w:rsidP="00A8138F">
      <w:pPr>
        <w:pStyle w:val="TextoNormal"/>
      </w:pPr>
      <w:r>
        <w:t>Además de la identificación y lo expuesto en el anterior párrafo, esta documentación individualizada también deberá contener:</w:t>
      </w:r>
    </w:p>
    <w:p w14:paraId="57480794" w14:textId="77777777" w:rsidR="00A8138F" w:rsidRDefault="00A8138F" w:rsidP="00A8138F">
      <w:pPr>
        <w:pStyle w:val="TextoNormal"/>
      </w:pPr>
    </w:p>
    <w:p w14:paraId="59542BE8" w14:textId="77777777" w:rsidR="00A8138F" w:rsidRDefault="00A8138F" w:rsidP="00A8138F">
      <w:pPr>
        <w:pStyle w:val="TextoNormal"/>
      </w:pPr>
      <w:r>
        <w:t>• en su caso, la documentación de la entrevista individualizada realizada al menor no acompañado, por si estuviese en situación de solicitud de protección internacional, y para comprobar si tuviese algún familiar en algún lugar de España o de la Unión Europea, que le pueda acoger;</w:t>
      </w:r>
    </w:p>
    <w:p w14:paraId="6AB78823" w14:textId="77777777" w:rsidR="00A8138F" w:rsidRDefault="00A8138F" w:rsidP="00A8138F">
      <w:pPr>
        <w:pStyle w:val="TextoNormal"/>
      </w:pPr>
    </w:p>
    <w:p w14:paraId="554A657D" w14:textId="77777777" w:rsidR="00A8138F" w:rsidRDefault="00A8138F" w:rsidP="00A8138F">
      <w:pPr>
        <w:pStyle w:val="TextoNormal"/>
      </w:pPr>
      <w:r>
        <w:t>• la resolución administrativa del órgano competente del Estado de ubicación o asignación por parte del Estado a Canarias; y, en caso de que se trate de una persona cuya minoría de edad no pueda ser establecida con seguridad, la decisión del Ministerio Fiscal con carácter cautelar y urgente, de si debe ser acogido en un centro de protección de menores de acuerdo con lo establecido en la legislación de protección jurídica del menor o por el contrario debe ser sometido al régimen ordinario de mayores de edad (capítulo V, apartado primero.2 del protocolo marco);</w:t>
      </w:r>
    </w:p>
    <w:p w14:paraId="659F0BCC" w14:textId="77777777" w:rsidR="00A8138F" w:rsidRDefault="00A8138F" w:rsidP="00A8138F">
      <w:pPr>
        <w:pStyle w:val="TextoNormal"/>
      </w:pPr>
    </w:p>
    <w:p w14:paraId="3A3DC2AF" w14:textId="77777777" w:rsidR="00A8138F" w:rsidRDefault="00A8138F" w:rsidP="00A8138F">
      <w:pPr>
        <w:pStyle w:val="TextoNormal"/>
      </w:pPr>
      <w:r>
        <w:t>• toda la documentación que refleje actuaciones que cuenten con la intervención del menor (comparecencias, información de los derechos de posibles víctimas de trata de seres humanos o protección internacional, situación legal en España o cualquier otra de la que deba quedar constancia escrita), deberá contar con la firma de intérprete que acredite que el menor ha comprendido la información que le ha sido transmitida.</w:t>
      </w:r>
    </w:p>
    <w:p w14:paraId="52AA71C7" w14:textId="77777777" w:rsidR="00A8138F" w:rsidRDefault="00A8138F" w:rsidP="00A8138F">
      <w:pPr>
        <w:pStyle w:val="TextoNormal"/>
      </w:pPr>
    </w:p>
    <w:p w14:paraId="5267BCDA" w14:textId="77777777" w:rsidR="00A8138F" w:rsidRDefault="00A8138F" w:rsidP="00A8138F">
      <w:pPr>
        <w:pStyle w:val="TextoNormal"/>
      </w:pPr>
      <w:r>
        <w:t>7. Comprobación de documentación e identidad del menor no acompañado para su recepción</w:t>
      </w:r>
    </w:p>
    <w:p w14:paraId="49A83709" w14:textId="77777777" w:rsidR="00A8138F" w:rsidRDefault="00A8138F" w:rsidP="00A8138F">
      <w:pPr>
        <w:pStyle w:val="TextoNormal"/>
      </w:pPr>
    </w:p>
    <w:p w14:paraId="284A3AE3" w14:textId="77777777" w:rsidR="00A8138F" w:rsidRDefault="00A8138F" w:rsidP="00A8138F">
      <w:pPr>
        <w:pStyle w:val="TextoNormal"/>
      </w:pPr>
      <w:r>
        <w:t>El policía autonómico, o en su caso de no disponibilidad el funcionario público autonómico que sea habilitado, una vez comprobada la documentación individualizada de cada menor y comprobado que el menor se corresponde la identidad con la que se entrega, promoverá su inmediato traslado al centro de protección de menores o de acogida donde haya plaza, comunicando cualquier incidencia que se haya producido a la Dirección General de Seguridad o la Dirección General del Gobierno de Canarias en materia de protección de menores, según proceda. La comprobación de la documentación se realizará mediante su verificación conforme al formulario básico incluido como anexo II.</w:t>
      </w:r>
    </w:p>
    <w:p w14:paraId="21F0D741" w14:textId="77777777" w:rsidR="00A8138F" w:rsidRDefault="00A8138F" w:rsidP="00A8138F">
      <w:pPr>
        <w:pStyle w:val="TextoNormal"/>
      </w:pPr>
    </w:p>
    <w:p w14:paraId="3426961C" w14:textId="77777777" w:rsidR="00A8138F" w:rsidRDefault="00A8138F" w:rsidP="00A8138F">
      <w:pPr>
        <w:pStyle w:val="TextoNormal"/>
      </w:pPr>
      <w:r>
        <w:t>Una vez recibido el menor se extenderá resguardo de entrega y recepción se firmará el acta de recepción individualizada por cada menor.</w:t>
      </w:r>
    </w:p>
    <w:p w14:paraId="4D30B361" w14:textId="77777777" w:rsidR="00A8138F" w:rsidRDefault="00A8138F" w:rsidP="00A8138F">
      <w:pPr>
        <w:pStyle w:val="TextoNormal"/>
      </w:pPr>
    </w:p>
    <w:p w14:paraId="21602FB5" w14:textId="77777777" w:rsidR="00A8138F" w:rsidRDefault="00A8138F" w:rsidP="00A8138F">
      <w:pPr>
        <w:pStyle w:val="TextoNormal"/>
      </w:pPr>
      <w:r>
        <w:t>8. Custodia y tratamiento de la documentación</w:t>
      </w:r>
    </w:p>
    <w:p w14:paraId="2BD4C310" w14:textId="77777777" w:rsidR="00A8138F" w:rsidRDefault="00A8138F" w:rsidP="00A8138F">
      <w:pPr>
        <w:pStyle w:val="TextoNormal"/>
      </w:pPr>
    </w:p>
    <w:p w14:paraId="6018E05B" w14:textId="77777777" w:rsidR="00A8138F" w:rsidRDefault="00A8138F" w:rsidP="00A8138F">
      <w:pPr>
        <w:pStyle w:val="TextoNormal"/>
      </w:pPr>
      <w:r>
        <w:t>La documentación debe ser puesta a disposición de la dirección competente de protección del menor y del recurso de acogida, siendo su tratamiento el estrictamente necesario para su protección, control y seguimiento del menor y trámites necesarios en su interés superior.</w:t>
      </w:r>
    </w:p>
    <w:p w14:paraId="5576FA32" w14:textId="77777777" w:rsidR="00A8138F" w:rsidRDefault="00A8138F" w:rsidP="00A8138F">
      <w:pPr>
        <w:pStyle w:val="TextoNormal"/>
      </w:pPr>
    </w:p>
    <w:p w14:paraId="68ED4D41" w14:textId="7093B678" w:rsidR="00A8138F" w:rsidRDefault="00A8138F" w:rsidP="00A8138F">
      <w:pPr>
        <w:pStyle w:val="TextoNormal"/>
      </w:pPr>
      <w:r>
        <w:lastRenderedPageBreak/>
        <w:t>La documentación iniciará el expediente correspondiente a cada menor recibido por la Comunidad Autónoma de Canarias en su sistema de protección de menores. Si no es entregada de forma digital, se digitalizará para dicha incorporación”.</w:t>
      </w:r>
    </w:p>
    <w:p w14:paraId="46D8FD61" w14:textId="77777777" w:rsidR="00A8138F" w:rsidRDefault="00A8138F" w:rsidP="00A8138F">
      <w:pPr>
        <w:pStyle w:val="TextoNormal"/>
      </w:pPr>
    </w:p>
    <w:p w14:paraId="352A008C" w14:textId="77777777" w:rsidR="00A8138F" w:rsidRDefault="00A8138F" w:rsidP="00A8138F">
      <w:pPr>
        <w:pStyle w:val="TextoNormal"/>
      </w:pPr>
      <w:r w:rsidRPr="00A8138F">
        <w:rPr>
          <w:rStyle w:val="NumeroAFNegritaCaracter"/>
        </w:rPr>
        <w:t>3</w:t>
      </w:r>
      <w:r>
        <w:t>. La impugnación del Gobierno de la Nación se basa en los motivos que, sucintamente, pasan a exponerse.</w:t>
      </w:r>
    </w:p>
    <w:p w14:paraId="37B658CF" w14:textId="77777777" w:rsidR="00A8138F" w:rsidRDefault="00A8138F" w:rsidP="00A8138F">
      <w:pPr>
        <w:pStyle w:val="TextoNormal"/>
      </w:pPr>
    </w:p>
    <w:p w14:paraId="09900492" w14:textId="77777777" w:rsidR="00A8138F" w:rsidRDefault="00A8138F" w:rsidP="00A8138F">
      <w:pPr>
        <w:pStyle w:val="TextoNormal"/>
      </w:pPr>
      <w:r>
        <w:t>a) En primer término, se identifican las resoluciones objeto de impugnación y se anticipan las infracciones constitucionales, sustantivas y competenciales, en que se considera que incurren.</w:t>
      </w:r>
    </w:p>
    <w:p w14:paraId="6C3C1B42" w14:textId="77777777" w:rsidR="00A8138F" w:rsidRDefault="00A8138F" w:rsidP="00A8138F">
      <w:pPr>
        <w:pStyle w:val="TextoNormal"/>
      </w:pPr>
    </w:p>
    <w:p w14:paraId="25D6B28D" w14:textId="77777777" w:rsidR="00A8138F" w:rsidRDefault="00A8138F" w:rsidP="00A8138F">
      <w:pPr>
        <w:pStyle w:val="TextoNormal"/>
      </w:pPr>
      <w:r>
        <w:t>b) A continuación, se sostiene el cumplimiento de los requisitos procedimentales para poder acudir al cauce previsto en el art. 161.2 CE, y desarrollado en los arts. 76 y 77 LOTC. A tal efecto, se invoca doctrina constitucional en cuya virtud se faculta a hacer valer a través de este procedimiento motivos de inconstitucionalidad tanto de índole competencial como sustantiva. Asimismo, se defiende el carácter impugnable de las aludidas resoluciones, destacando su naturaleza jurídica y ser manifestación de la voluntad institucional de la comunidad autónoma a través de órganos capaces de expresar dicha voluntad, conforme a pronunciamientos previos de este tribunal que se citan en su apoyo.</w:t>
      </w:r>
    </w:p>
    <w:p w14:paraId="063DAD25" w14:textId="77777777" w:rsidR="00A8138F" w:rsidRDefault="00A8138F" w:rsidP="00A8138F">
      <w:pPr>
        <w:pStyle w:val="TextoNormal"/>
      </w:pPr>
    </w:p>
    <w:p w14:paraId="13471C30" w14:textId="77777777" w:rsidR="00A8138F" w:rsidRDefault="00A8138F" w:rsidP="00A8138F">
      <w:pPr>
        <w:pStyle w:val="TextoNormal"/>
      </w:pPr>
      <w:r>
        <w:t>c) Previa transcripción de parte del contenido de las resoluciones objeto de impugnación, se afirma impugnar los apartados segundo, tercero y sexto del acuerdo del Gobierno de Canarias, de 2 de septiembre de 2024 y, en su totalidad, la resolución de 10 de septiembre de 2024 aprobatoria del denominado protocolo territorial de recepción de menores extranjeros no acompañados en la Comunidad Autónoma de Canarias, al apreciar entre ellas unidad de sentido.</w:t>
      </w:r>
    </w:p>
    <w:p w14:paraId="6E35567C" w14:textId="77777777" w:rsidR="00A8138F" w:rsidRDefault="00A8138F" w:rsidP="00A8138F">
      <w:pPr>
        <w:pStyle w:val="TextoNormal"/>
      </w:pPr>
    </w:p>
    <w:p w14:paraId="55FBD922" w14:textId="77777777" w:rsidR="00A8138F" w:rsidRDefault="00A8138F" w:rsidP="00A8138F">
      <w:pPr>
        <w:pStyle w:val="TextoNormal"/>
      </w:pPr>
      <w:r>
        <w:t>A tal efecto, se argumenta que el acuerdo de 2 de septiembre declara suspender la recepción en los centros de acogida autonómicos de los “menas”—acrónimo empleado para referirse a los menores extranjeros no acompañados— que hayan sido recogidos en alta mar o interceptados en el momento de llegada a tierra firme en el ejercicio de las funciones de salvamento marítimo y control de frontera que corresponde a las autoridades estatales, por considerar que, al estar bajo la guarda y custodia de tales autoridades, no se encuentran en situación de desamparo.</w:t>
      </w:r>
    </w:p>
    <w:p w14:paraId="728BBF13" w14:textId="77777777" w:rsidR="00A8138F" w:rsidRDefault="00A8138F" w:rsidP="00A8138F">
      <w:pPr>
        <w:pStyle w:val="TextoNormal"/>
      </w:pPr>
    </w:p>
    <w:p w14:paraId="299334CE" w14:textId="77777777" w:rsidR="00A8138F" w:rsidRDefault="00A8138F" w:rsidP="00A8138F">
      <w:pPr>
        <w:pStyle w:val="TextoNormal"/>
      </w:pPr>
      <w:r>
        <w:t>A ello se agrega que la resolución de 10 de septiembre de 2024, en ejecución del acuerdo anterior, aprobó el protocolo territorial de recepción de menas determinando que no es aplicable a aquellos que hubieran sido recogidos por las autoridades estatales en alta mar o interceptados en el momento de llegada a la costa, sino únicamente a los que fueran localizados en territorio autonómico canario.</w:t>
      </w:r>
    </w:p>
    <w:p w14:paraId="1009674E" w14:textId="77777777" w:rsidR="00A8138F" w:rsidRDefault="00A8138F" w:rsidP="00A8138F">
      <w:pPr>
        <w:pStyle w:val="TextoNormal"/>
      </w:pPr>
    </w:p>
    <w:p w14:paraId="54EC3736" w14:textId="77777777" w:rsidR="00A8138F" w:rsidRDefault="00A8138F" w:rsidP="00A8138F">
      <w:pPr>
        <w:pStyle w:val="TextoNormal"/>
      </w:pPr>
      <w:r>
        <w:t>Finalmente, se añade que el protocolo establece igualmente una serie de requisitos que las autoridades estatales deben cumplir antes de la entrega de los menas a las entidades autonómicas de protección en el territorio de la Comunidad Autónoma de Canarias, estableciendo, asimismo, una nueva definición de menor en situación de desamparo, delimitando cuándo asume su competencia sobre protección de menores.</w:t>
      </w:r>
    </w:p>
    <w:p w14:paraId="2AF65AA2" w14:textId="77777777" w:rsidR="00A8138F" w:rsidRDefault="00A8138F" w:rsidP="00A8138F">
      <w:pPr>
        <w:pStyle w:val="TextoNormal"/>
      </w:pPr>
    </w:p>
    <w:p w14:paraId="07999ED1" w14:textId="77777777" w:rsidR="00A8138F" w:rsidRDefault="00A8138F" w:rsidP="00A8138F">
      <w:pPr>
        <w:pStyle w:val="TextoNormal"/>
      </w:pPr>
      <w:r>
        <w:lastRenderedPageBreak/>
        <w:t>d) En lo que se refiere, propiamente, a los motivos de inconstitucionalidad, se comienza por aquellos de carácter sustantivo, estimando infringidos los arts. 10 y 15 CE en relación con la Convención sobre los derechos del niño de las Naciones Unidas de 1989.</w:t>
      </w:r>
    </w:p>
    <w:p w14:paraId="47741092" w14:textId="77777777" w:rsidR="00A8138F" w:rsidRDefault="00A8138F" w:rsidP="00A8138F">
      <w:pPr>
        <w:pStyle w:val="TextoNormal"/>
      </w:pPr>
    </w:p>
    <w:p w14:paraId="40666422" w14:textId="77777777" w:rsidR="00A8138F" w:rsidRDefault="00A8138F" w:rsidP="00A8138F">
      <w:pPr>
        <w:pStyle w:val="TextoNormal"/>
      </w:pPr>
      <w:r>
        <w:t>En tal sentido, se aduce que el derecho a la protección y asistencia a los menores de edad en situación de abandono previsto en la aludida convención se encuentra conectado con el derecho a la dignidad y el libre desarrollo de la personalidad reconocido en el art. 10.1 CE, y con el derecho a la vida y a la integridad física y moral contemplado en el art. 15 CE, siendo así que la protección y asistencia por parte del Estado, a través de las instituciones públicas de guarda y tutela, constituye un derecho necesario para garantizar la dignidad, el libre desarrollo de la personalidad y la integridad física y moral, cuando no la vida, de los menores de edad abandonados o privados de su medio familiar.</w:t>
      </w:r>
    </w:p>
    <w:p w14:paraId="5EFCD4A0" w14:textId="77777777" w:rsidR="00A8138F" w:rsidRDefault="00A8138F" w:rsidP="00A8138F">
      <w:pPr>
        <w:pStyle w:val="TextoNormal"/>
      </w:pPr>
    </w:p>
    <w:p w14:paraId="512CAC4F" w14:textId="77777777" w:rsidR="00A8138F" w:rsidRDefault="00A8138F" w:rsidP="00A8138F">
      <w:pPr>
        <w:pStyle w:val="TextoNormal"/>
      </w:pPr>
      <w:r>
        <w:t>En particular, se señala que en el caso de los menas que hayan entrado de forma irregular en España, existe una obligación de protección y asistencia por parte de las instituciones públicas del Estado y un correlativo derecho a recibirla durante el tiempo en que permanezcan en territorio español, sin que su condición de extranjeros, o el hecho de su irregularidad, permita llegar a una conclusión distinta a la vista de la legislación de extranjería.</w:t>
      </w:r>
    </w:p>
    <w:p w14:paraId="29C3EABC" w14:textId="77777777" w:rsidR="00A8138F" w:rsidRDefault="00A8138F" w:rsidP="00A8138F">
      <w:pPr>
        <w:pStyle w:val="TextoNormal"/>
      </w:pPr>
    </w:p>
    <w:p w14:paraId="0680086B" w14:textId="77777777" w:rsidR="00A8138F" w:rsidRDefault="00A8138F" w:rsidP="00A8138F">
      <w:pPr>
        <w:pStyle w:val="TextoNormal"/>
      </w:pPr>
      <w:r>
        <w:t>De acuerdo con lo anterior se concluye que, atendiendo al reparto competencial interno y en el marco de la competencia estatal sobre extranjería y lo dispuesto en el art. 35 de la Ley Orgánica 4/2000, de 11 de enero, sobre derechos y libertades de los extranjeros en España y su integración social (LOEx), la suspensión de la recepción de dichos menores en virtud de las resoluciones impugnadas constituye una infracción de los preceptos constitucionales invocados.</w:t>
      </w:r>
    </w:p>
    <w:p w14:paraId="4EBE9493" w14:textId="77777777" w:rsidR="00A8138F" w:rsidRDefault="00A8138F" w:rsidP="00A8138F">
      <w:pPr>
        <w:pStyle w:val="TextoNormal"/>
      </w:pPr>
    </w:p>
    <w:p w14:paraId="7139723F" w14:textId="77777777" w:rsidR="00A8138F" w:rsidRDefault="00A8138F" w:rsidP="00A8138F">
      <w:pPr>
        <w:pStyle w:val="TextoNormal"/>
      </w:pPr>
      <w:r>
        <w:t>e) Respecto de las censuras de inconstitucionalidad de tipo competencial, tras apuntar el carácter indisponible de las competencias asumidas por las comunidades autónomas de acuerdo con la doctrina de este tribunal (se citan, las SSTC 26/1982, de 24 de mayo; 25/1983, de 7 de abril, y 143/1985, de 24 de octubre), se distinguen tres infracciones distintas.</w:t>
      </w:r>
    </w:p>
    <w:p w14:paraId="249FF6E3" w14:textId="77777777" w:rsidR="00A8138F" w:rsidRDefault="00A8138F" w:rsidP="00A8138F">
      <w:pPr>
        <w:pStyle w:val="TextoNormal"/>
      </w:pPr>
    </w:p>
    <w:p w14:paraId="44115E98" w14:textId="77777777" w:rsidR="00A8138F" w:rsidRDefault="00A8138F" w:rsidP="00A8138F">
      <w:pPr>
        <w:pStyle w:val="TextoNormal"/>
      </w:pPr>
      <w:r>
        <w:t>(i) En primer lugar, se sostiene que la Comunidad Autónoma de Canarias ha dejado de ejercer su competencia exclusiva de protección de menores conforme al art. 147 EACan en conexión con las competencias en materia de inmigración recogidas en el art. 144 EACan. En desarrollo de ello y previa transcripción del primero de los preceptos, se argumenta que la competencia autonómica exclusiva en materia de protección de menores tiene carácter prevalente de acuerdo con lo declarado por este tribunal en la STC 36/2021, de 18 de febrero, FJ 4, y sin perjuicio de la coordinación que correspondería al Estado, complementándose a su vez con la competencia prevista en el art. 144.1 d) EACan en cuya virtud, y sin perjuicio de las competencias constitucionales atribuidas al Estado sobre la materia, corresponde a la Comunidad Autónoma de Canarias “[e]l establecimiento, de acuerdo con la normativa estatal, de un marco de referencia para la acogida e integración de las personas inmigrantes, incluidos los menores extranjeros no acompañados”; concluyendo, de ello, que la competencia prevalente autonómica no puede quedar condicionada a requisitos en la definición de un mena dado que tal cuestión cae de lleno en el ámbito competencial del Estado en materia de extranjería y de legislación civil, siendo además contraria al propio EACan.</w:t>
      </w:r>
    </w:p>
    <w:p w14:paraId="272E9947" w14:textId="77777777" w:rsidR="00A8138F" w:rsidRDefault="00A8138F" w:rsidP="00A8138F">
      <w:pPr>
        <w:pStyle w:val="TextoNormal"/>
      </w:pPr>
    </w:p>
    <w:p w14:paraId="704CC133" w14:textId="77777777" w:rsidR="00A8138F" w:rsidRDefault="00A8138F" w:rsidP="00A8138F">
      <w:pPr>
        <w:pStyle w:val="TextoNormal"/>
      </w:pPr>
      <w:r>
        <w:lastRenderedPageBreak/>
        <w:t>(ii) En segundo término, se considera que las resoluciones recurridas infringen la competencia exclusiva del Estado en materia de extranjería (art. 149.1.2 CE), en el sentido en que dicha competencia ha sido entendida por este tribunal (se invocan las SSTC  87/2017, de 4 de julio y 31/2010, de 28 de junio), y la LOEx, integrada esta en el bloque de constitucionalidad y de cuyo art. 35 se deriva, a juicio de la Abogacía del Estado, que las entidades públicas de protección de menores de la comunidad autónoma están obligadas a atender y acoger a los menores extranjeros no acompañados desde el mismo momento de su localización y entrega por las fuerzas y cuerpos de seguridad del Estado, de modo que las dificultades que pudieran existir en la identificación y determinación de la edad de los inmigrantes, así como la insuficiencia o saturación de los medios autonómicos disponibles para atenderlos, no son circunstancias que permitan justificar un eventual rechazo de la comunidad autónoma a la recepción de menores localizados en su territorio, ni demorar la atención inmediata que los mismos puedan requerir. Se señala, asimismo, que en dicho régimen legal entronca el denominado Protocolo marco del Estado sobre determinadas actuaciones en relación con los menores extranjeros no acompañados, de 22 de julio de 2014, que faculta a las comunidades autónomas a poder completarlo a través de protocolos territoriales, como el impugnado, pero no a introducir requisitos no previstos en la normativa estatal para la recepción de los menores extranjeros en el sentido de excluir de su competencia una categoría de menas.</w:t>
      </w:r>
    </w:p>
    <w:p w14:paraId="53BBE2FA" w14:textId="77777777" w:rsidR="00A8138F" w:rsidRDefault="00A8138F" w:rsidP="00A8138F">
      <w:pPr>
        <w:pStyle w:val="TextoNormal"/>
      </w:pPr>
    </w:p>
    <w:p w14:paraId="1D1B5313" w14:textId="3F126F1E" w:rsidR="00A8138F" w:rsidRDefault="00A8138F" w:rsidP="00A8138F">
      <w:pPr>
        <w:pStyle w:val="TextoNormal"/>
      </w:pPr>
      <w:r>
        <w:t xml:space="preserve">(iii) Por último, se estima igualmente vulnerada la competencia del Estado en materia de legislación civil, </w:t>
      </w:r>
      <w:r w:rsidRPr="00A8138F">
        <w:rPr>
          <w:i/>
        </w:rPr>
        <w:t>ex</w:t>
      </w:r>
      <w:r>
        <w:t xml:space="preserve"> art. 149.1.8 CE, al establecerse un nuevo concepto de menor en situación de “desamparo”. A este respecto, se sostiene que la Comunidad Autónoma de Canarias ha procedido a regular de forma novedosa cuándo se considera a un menor en desamparo, sometiéndolo a una serie de requisitos y formalidades no previstos ni en la legislación de extranjería ni en la legislación civil, creando las figuras novedosas del menor “acogido por el Estado” y el menor “desamparado” que, una vez cumplidos los requisitos y formalidades unilateralmente fijados por dicha comunidad autónoma, ya entrarían dentro de su ámbito competencial, dejando sin efecto las obligaciones en materia de tutela que, en cuanto a los menores en su territorio, le impone la legislación civil [art. 172 del Código civil (CC)], y sin que la Comunidad Autónoma Canaria goce de un régimen especial o foral en materia civil ni haya tampoco asumido estatutariamente competencias al efecto.</w:t>
      </w:r>
    </w:p>
    <w:p w14:paraId="773FB454" w14:textId="77777777" w:rsidR="00A8138F" w:rsidRDefault="00A8138F" w:rsidP="00A8138F">
      <w:pPr>
        <w:pStyle w:val="TextoNormal"/>
      </w:pPr>
    </w:p>
    <w:p w14:paraId="31E895E3" w14:textId="4446BFD3" w:rsidR="00A8138F" w:rsidRDefault="00A8138F" w:rsidP="00A8138F">
      <w:pPr>
        <w:pStyle w:val="TextoNormal"/>
      </w:pPr>
      <w:r w:rsidRPr="00A8138F">
        <w:rPr>
          <w:rStyle w:val="NumeroAFNegritaCaracter"/>
        </w:rPr>
        <w:t>4</w:t>
      </w:r>
      <w:r>
        <w:t>. El Pleno, por providencia de 8 de octubre de 2024, a propuesta de la Sección Segunda, acordó admitir a trámite la impugnación de disposiciones autonómicas; dar traslado de la demanda y documentos presentados al Gobierno de Canarias, por conducto de su presidente, al objeto de que en el plazo de veinte días aportase cuantos documentos y alegaciones considerase convenientes; tener por invocado por el Gobierno el art. 161.2 de la Constitución, lo que, a su tenor y conforme dispone el art. 77 LOTC, produce la suspensión de las disposiciones impugnadas desde el día 26 de septiembre de 2024, fecha de interposición de la impugnación, y publicar la incoación de la impugnación en el “Boletín Oficial del Estado” y en el “Boletín Oficial de Canarias”.</w:t>
      </w:r>
    </w:p>
    <w:p w14:paraId="68EEAD34" w14:textId="77777777" w:rsidR="00A8138F" w:rsidRDefault="00A8138F" w:rsidP="00A8138F">
      <w:pPr>
        <w:pStyle w:val="TextoNormal"/>
      </w:pPr>
    </w:p>
    <w:p w14:paraId="50C62EDC" w14:textId="77777777" w:rsidR="00A8138F" w:rsidRDefault="00A8138F" w:rsidP="00A8138F">
      <w:pPr>
        <w:pStyle w:val="TextoNormal"/>
      </w:pPr>
      <w:r w:rsidRPr="00A8138F">
        <w:rPr>
          <w:rStyle w:val="NumeroAFNegritaCaracter"/>
        </w:rPr>
        <w:t>5</w:t>
      </w:r>
      <w:r>
        <w:t>. Por escrito de 13 de noviembre de 2024, el letrado del servicio jurídico del Gobierno de Canarias, en su nombre y representación, formuló alegaciones interesando, en primer término, la inadmisión de la impugnación y, subsidiariamente, su desestimación.</w:t>
      </w:r>
    </w:p>
    <w:p w14:paraId="557094FE" w14:textId="77777777" w:rsidR="00A8138F" w:rsidRDefault="00A8138F" w:rsidP="00A8138F">
      <w:pPr>
        <w:pStyle w:val="TextoNormal"/>
      </w:pPr>
    </w:p>
    <w:p w14:paraId="51C5F75F" w14:textId="77777777" w:rsidR="00A8138F" w:rsidRDefault="00A8138F" w:rsidP="00A8138F">
      <w:pPr>
        <w:pStyle w:val="TextoNormal"/>
      </w:pPr>
      <w:r>
        <w:lastRenderedPageBreak/>
        <w:t>a) Con carácter previo a exponerse las alegaciones en que se fundamentan las pretensiones aducidas, el representante del Gobierno de Canarias entiende obligado poner de manifiesto la situación fáctica que rodea las resoluciones impugnadas, su finalidad y la razonabilidad en que descansan.</w:t>
      </w:r>
    </w:p>
    <w:p w14:paraId="20D0BAE9" w14:textId="77777777" w:rsidR="00A8138F" w:rsidRDefault="00A8138F" w:rsidP="00A8138F">
      <w:pPr>
        <w:pStyle w:val="TextoNormal"/>
      </w:pPr>
    </w:p>
    <w:p w14:paraId="070C98CC" w14:textId="77777777" w:rsidR="00A8138F" w:rsidRDefault="00A8138F" w:rsidP="00A8138F">
      <w:pPr>
        <w:pStyle w:val="TextoNormal"/>
      </w:pPr>
      <w:r>
        <w:t>En primer lugar, se señala la existencia de una crisis migratoria de carácter notorio que constituye el presupuesto fáctico que justifica el acuerdo de 2 de septiembre de 2024 y el protocolo posterior, y la consecuente situación de desbordamiento de los recursos de que dispone la Comunidad Autónoma de Canarias para atender a los menores inmigrantes, lo que ha dado lugar a una desordenada entrega de estos a la administración autonómica.</w:t>
      </w:r>
    </w:p>
    <w:p w14:paraId="25A4791A" w14:textId="77777777" w:rsidR="00A8138F" w:rsidRDefault="00A8138F" w:rsidP="00A8138F">
      <w:pPr>
        <w:pStyle w:val="TextoNormal"/>
      </w:pPr>
    </w:p>
    <w:p w14:paraId="760C0D7C" w14:textId="77777777" w:rsidR="00A8138F" w:rsidRDefault="00A8138F" w:rsidP="00A8138F">
      <w:pPr>
        <w:pStyle w:val="TextoNormal"/>
      </w:pPr>
      <w:r>
        <w:t>Respecto de la finalidad perseguida, se apunta que con el acuerdo impugnado de 2 de septiembre de 2024 se pretende corregir la situación descrita a fin de que la administración autonómica pueda disponer sobre la procedencia de ordenar la recepción de estos menores en lugares en que exista disponibilidad y con la observancia de las debidas garantías a cumplir en su puesta a disposición; finalidad también perseguida a través del denominado protocolo territorial al encaminarse este a ordenar y controlar la recepción en el sistema autonómico de acogida y protección de menores no acompañados en garantía de sus derechos y atendiendo al interés superior del menor.</w:t>
      </w:r>
    </w:p>
    <w:p w14:paraId="6A8C63B9" w14:textId="77777777" w:rsidR="00A8138F" w:rsidRDefault="00A8138F" w:rsidP="00A8138F">
      <w:pPr>
        <w:pStyle w:val="TextoNormal"/>
      </w:pPr>
    </w:p>
    <w:p w14:paraId="63BB545B" w14:textId="77777777" w:rsidR="00A8138F" w:rsidRDefault="00A8138F" w:rsidP="00A8138F">
      <w:pPr>
        <w:pStyle w:val="TextoNormal"/>
      </w:pPr>
      <w:r>
        <w:t>En cuanto a su razonabilidad, con un argumento similar, se sostiene que las resoluciones cuestionadas descansan en la necesidad de ordenar la recepción de los menores afectados en atención a su interés, evitando situaciones de entrega e ingreso de aquellos sin conocimiento de la administración autonómica o en centros de acogida saturados y sin plazas.</w:t>
      </w:r>
    </w:p>
    <w:p w14:paraId="29CDC38A" w14:textId="77777777" w:rsidR="00A8138F" w:rsidRDefault="00A8138F" w:rsidP="00A8138F">
      <w:pPr>
        <w:pStyle w:val="TextoNormal"/>
      </w:pPr>
    </w:p>
    <w:p w14:paraId="6B08F2E3" w14:textId="77777777" w:rsidR="00A8138F" w:rsidRDefault="00A8138F" w:rsidP="00A8138F">
      <w:pPr>
        <w:pStyle w:val="TextoNormal"/>
      </w:pPr>
      <w:r>
        <w:t>b) En lo que hace a la inadmisibilidad de la impugnación, tal pretensión es apoyada por el letrado del Gobierno de Canarias en dos aspectos: Por un lado, en la consideración de que el escrito impugnatorio del Gobierno de la Nación no efectúa el necesario esfuerzo argumentativo que permita identificar las singulares disposiciones a las que se imputan los vicios denunciados, entendiéndose que se impugna el todo, por lo que su defensa se realizará también atendiendo a la generalidad de su contenido. Por otro lado, se estima que el acuerdo y el protocolo impugnados carecen de contenido normativo, no surtiendo efectos a terceros, sino que tienen una eficacia limitada, doméstica o interna, que vincula exclusivamente a los empleados públicos y a las entidades colaboradoras contratadas, sin pretensión, pues, de obligar a otras administraciones ni proyectarse sobre terceros, modificando situaciones jurídicas subjetivas.</w:t>
      </w:r>
    </w:p>
    <w:p w14:paraId="26F079FA" w14:textId="77777777" w:rsidR="00A8138F" w:rsidRDefault="00A8138F" w:rsidP="00A8138F">
      <w:pPr>
        <w:pStyle w:val="TextoNormal"/>
      </w:pPr>
    </w:p>
    <w:p w14:paraId="52E50A71" w14:textId="77777777" w:rsidR="00A8138F" w:rsidRDefault="00A8138F" w:rsidP="00A8138F">
      <w:pPr>
        <w:pStyle w:val="TextoNormal"/>
      </w:pPr>
      <w:r>
        <w:t>c) La desestimación de la demanda se apoya en las siguientes alegaciones:</w:t>
      </w:r>
    </w:p>
    <w:p w14:paraId="07C19DA8" w14:textId="77777777" w:rsidR="00A8138F" w:rsidRDefault="00A8138F" w:rsidP="00A8138F">
      <w:pPr>
        <w:pStyle w:val="TextoNormal"/>
      </w:pPr>
    </w:p>
    <w:p w14:paraId="227F3E56" w14:textId="77777777" w:rsidR="00A8138F" w:rsidRDefault="00A8138F" w:rsidP="00A8138F">
      <w:pPr>
        <w:pStyle w:val="TextoNormal"/>
      </w:pPr>
      <w:r>
        <w:t>(i) En primer lugar, se desgranan una serie de ideas preliminares sobre las que se afirma sustentar la defensa de la constitucionalidad de las resoluciones impugnadas, cuales son, la idea rectora de pretenderse, en todo caso, la satisfacción del interés superior del menor y, en coherencia con ello, la afirmación de que la Comunidad Autónoma de Canarias ha atendido siempre a sus obligaciones con los menores extranjeros no acompañados, siendo incierto que con el acuerdo y el protocolo recurridos se produzca la desatención de aquellos. Asimismo, se reitera la situación de desbordamiento de las capacidades autonómicas y se denuncia la falta de acción de la administración general del Estado al incumplirse tanto los requisitos para una correcta entrega de los menores extranjeros no acompañados a la admi</w:t>
      </w:r>
      <w:r>
        <w:lastRenderedPageBreak/>
        <w:t xml:space="preserve">nistración autonómica, conforme exige el protocolo marco estatal, como las obligaciones de coordinación del Estado que nacen del principio de solidaridad que recoge el art. 2 </w:t>
      </w:r>
      <w:r w:rsidRPr="00A8138F">
        <w:rPr>
          <w:i/>
        </w:rPr>
        <w:t>bis</w:t>
      </w:r>
      <w:r>
        <w:t xml:space="preserve"> LOEx, trasladándose, en definitiva, a la administración autonómica una difícil problemática que excede de su marco competencial y que actúa en detrimento del interés superior del menor.</w:t>
      </w:r>
    </w:p>
    <w:p w14:paraId="0B622E1E" w14:textId="77777777" w:rsidR="00A8138F" w:rsidRDefault="00A8138F" w:rsidP="00A8138F">
      <w:pPr>
        <w:pStyle w:val="TextoNormal"/>
      </w:pPr>
    </w:p>
    <w:p w14:paraId="0581FF4E" w14:textId="77777777" w:rsidR="00A8138F" w:rsidRDefault="00A8138F" w:rsidP="00A8138F">
      <w:pPr>
        <w:pStyle w:val="TextoNormal"/>
      </w:pPr>
      <w:r>
        <w:t>(ii) En relación con la tacha de inconstitucionalidad de tipo sustantivo —esto es, la relativa a los arts. 10 y 15 CE—, se rechaza la existencia de desatención de los menores por parte de la administración autonómica, no habiendo existido suspensión de su acogimiento, sino que lo que resulta del acuerdo del Gobierno de Canarias de 2 de septiembre de 2024 es que la entrega de los menores debe ser comunicada a la administración autonómica a fin de manifestar su conformidad o autorización, respondiendo ello al hecho de que, con carácter previo, se estaba produciendo la puesta a disposición de los menores directamente a los centros de acogida sin conocimiento de la administración autonómica.</w:t>
      </w:r>
    </w:p>
    <w:p w14:paraId="1DBDDA5E" w14:textId="77777777" w:rsidR="00A8138F" w:rsidRDefault="00A8138F" w:rsidP="00A8138F">
      <w:pPr>
        <w:pStyle w:val="TextoNormal"/>
      </w:pPr>
    </w:p>
    <w:p w14:paraId="4C812056" w14:textId="77777777" w:rsidR="00A8138F" w:rsidRDefault="00A8138F" w:rsidP="00A8138F">
      <w:pPr>
        <w:pStyle w:val="TextoNormal"/>
      </w:pPr>
      <w:r>
        <w:t>Al hilo de lo anterior, se argumenta que la entrega del menor extranjero no acompañado a la administración autonómica debe observar una serie de requisitos encaminados a garantizar el superior interés del menor, como son los previstos en las actuaciones segunda a cuarta y octava del protocolo territorial impugnado, debiendo tratarse de un acto individual que comporte la identificación del menor, desterrándose, así, los supuestos de entrega colectiva.</w:t>
      </w:r>
    </w:p>
    <w:p w14:paraId="0E3CE07D" w14:textId="77777777" w:rsidR="00A8138F" w:rsidRDefault="00A8138F" w:rsidP="00A8138F">
      <w:pPr>
        <w:pStyle w:val="TextoNormal"/>
      </w:pPr>
    </w:p>
    <w:p w14:paraId="4931D86E" w14:textId="77777777" w:rsidR="00A8138F" w:rsidRDefault="00A8138F" w:rsidP="00A8138F">
      <w:pPr>
        <w:pStyle w:val="TextoNormal"/>
      </w:pPr>
      <w:r>
        <w:t>Se insiste en que en modo alguno lo impugnado supone la suspensión o rechazo de los menores no acompañados que vayan a ser puestos a disposición de la administración autonómica, sino que lo que se persigue es la constatación de que la entrega se produce con cumplimiento de las garantías y derechos individuales de los menores, en un lugar en que haya disponibilidad y con conocimiento de la administración autonómica, dado que las entregas se venían produciendo directamente a las entidades de colaboración.</w:t>
      </w:r>
    </w:p>
    <w:p w14:paraId="3D2B7636" w14:textId="77777777" w:rsidR="00A8138F" w:rsidRDefault="00A8138F" w:rsidP="00A8138F">
      <w:pPr>
        <w:pStyle w:val="TextoNormal"/>
      </w:pPr>
    </w:p>
    <w:p w14:paraId="5D0ADE88" w14:textId="77777777" w:rsidR="00A8138F" w:rsidRDefault="00A8138F" w:rsidP="00A8138F">
      <w:pPr>
        <w:pStyle w:val="TextoNormal"/>
      </w:pPr>
      <w:r>
        <w:t>Finalmente, se concluye subrayando que el protocolo recurrido no exige nada que no hubiera ya de ser exigido y documentado con arreglo al Protocolo marco del Estado, que las disposiciones sobre entrega de estos menores persiguen garantizar los derechos del menor, y que la entrega de los menores extranjeros no acompañados está operando como una vía de hecho o material para trasladar la competencia a la administración autonómica en la ficción de que la administración del Estado ha perdido su competencia, cuando sigue teniendo la competencia sobre extranjería, inmigración y asilo, y presumiéndose incorrectamente que la capacidad de la administración estatal es menor que la autonómica para responder a la crisis migratoria, incumpliéndose, además, la obligación de reasignar a los menores extranjeros a otras comunidades autónomas.</w:t>
      </w:r>
    </w:p>
    <w:p w14:paraId="1C476951" w14:textId="77777777" w:rsidR="00A8138F" w:rsidRDefault="00A8138F" w:rsidP="00A8138F">
      <w:pPr>
        <w:pStyle w:val="TextoNormal"/>
      </w:pPr>
    </w:p>
    <w:p w14:paraId="0AD43F9A" w14:textId="77777777" w:rsidR="00A8138F" w:rsidRDefault="00A8138F" w:rsidP="00A8138F">
      <w:pPr>
        <w:pStyle w:val="TextoNormal"/>
      </w:pPr>
      <w:r>
        <w:t>En definitiva, se descarta la vulneración de los derechos del menor que se imputan por el Gobierno de la Nación, al pretenderse, precisamente, por las resoluciones impugnadas la garantía de dichos derechos, siendo, en realidad, la sobrecarga existente, derivada del incumplimiento de la obligación de solidaridad, lo que constituye un riesgo para los menores.</w:t>
      </w:r>
    </w:p>
    <w:p w14:paraId="7C4751F6" w14:textId="77777777" w:rsidR="00A8138F" w:rsidRDefault="00A8138F" w:rsidP="00A8138F">
      <w:pPr>
        <w:pStyle w:val="TextoNormal"/>
      </w:pPr>
    </w:p>
    <w:p w14:paraId="0C571A36" w14:textId="77777777" w:rsidR="00A8138F" w:rsidRDefault="00A8138F" w:rsidP="00A8138F">
      <w:pPr>
        <w:pStyle w:val="TextoNormal"/>
      </w:pPr>
      <w:r>
        <w:t>(iii) Por último, el rebatimiento de las infracciones de naturaleza competencial es desarrollado por el letrado autonómico del modo que sigue.</w:t>
      </w:r>
    </w:p>
    <w:p w14:paraId="6DEDC106" w14:textId="77777777" w:rsidR="00A8138F" w:rsidRDefault="00A8138F" w:rsidP="00A8138F">
      <w:pPr>
        <w:pStyle w:val="TextoNormal"/>
      </w:pPr>
    </w:p>
    <w:p w14:paraId="69B2AAD4" w14:textId="77777777" w:rsidR="00A8138F" w:rsidRDefault="00A8138F" w:rsidP="00A8138F">
      <w:pPr>
        <w:pStyle w:val="TextoNormal"/>
      </w:pPr>
      <w:r>
        <w:lastRenderedPageBreak/>
        <w:t>Respecto de la competencia autonómica en materia de menores, se razona que, tratándose de menores extranjeros no acompañados, la única competencia concernida no sería exclusivamente la competencia autonómica social o asistencial, sino que concurren distintos títulos competenciales, lo que llama a la acción conjunta de las diferentes administraciones, siendo así que lo que está sucediendo es que tal acción conjunta y coordinada no se está produciendo sino que se hace descansar la cuestión migratoria en el exclusivo ámbito autonómico.</w:t>
      </w:r>
    </w:p>
    <w:p w14:paraId="555B5AD3" w14:textId="77777777" w:rsidR="00A8138F" w:rsidRDefault="00A8138F" w:rsidP="00A8138F">
      <w:pPr>
        <w:pStyle w:val="TextoNormal"/>
      </w:pPr>
    </w:p>
    <w:p w14:paraId="3BE69C5F" w14:textId="77777777" w:rsidR="00A8138F" w:rsidRDefault="00A8138F" w:rsidP="00A8138F">
      <w:pPr>
        <w:pStyle w:val="TextoNormal"/>
      </w:pPr>
      <w:r>
        <w:t>En este sentido, se aduce que la puesta a disposición del menor acompañado no supone que la administración del Estado cese en su competencia dado que los procedimientos administrativos sobre extranjería, asilo e inmigración competen a la administración del Estado, sin que nada resuelvan sobre el menor, lo que determina que este permanezca de forma indefinida en Canarias, mutando en definitiva su atención provisional. A tal efecto, se invoca la STC 31/2010, de la que colige el representante del Gobierno Canario que la competencia en materia de extranjeros se inscribe en el ámbito de la inmigración y extranjería en la que el Estado tiene la competencia exclusiva, y que las competencias —autonómicas— en políticas sociales no relegan tal competencia exclusiva estatal en materia de inmigración. Se culmina apuntando que la correcta interpretación de los títulos competenciales en juego no puede ignorar que el interés del menor demanda que el Estado cumpla con su obligación de coordinar en materia de extranjería, asilo e inmigración.</w:t>
      </w:r>
    </w:p>
    <w:p w14:paraId="28579283" w14:textId="77777777" w:rsidR="00A8138F" w:rsidRDefault="00A8138F" w:rsidP="00A8138F">
      <w:pPr>
        <w:pStyle w:val="TextoNormal"/>
      </w:pPr>
    </w:p>
    <w:p w14:paraId="46EC5D89" w14:textId="77777777" w:rsidR="00A8138F" w:rsidRDefault="00A8138F" w:rsidP="00A8138F">
      <w:pPr>
        <w:pStyle w:val="TextoNormal"/>
      </w:pPr>
      <w:r>
        <w:t xml:space="preserve">En respuesta a la queja de invasión de las competencias del Estado </w:t>
      </w:r>
      <w:r w:rsidRPr="00A8138F">
        <w:rPr>
          <w:i/>
        </w:rPr>
        <w:t>ex</w:t>
      </w:r>
      <w:r>
        <w:t xml:space="preserve"> art. 149.1.2 CE, aduce el letrado autonómico que el protocolo impugnado nada adiciona a lo que ya exigía y debía documentarse según la LOEx y el Protocolo marco del Estado.</w:t>
      </w:r>
    </w:p>
    <w:p w14:paraId="7D24FD22" w14:textId="77777777" w:rsidR="00A8138F" w:rsidRDefault="00A8138F" w:rsidP="00A8138F">
      <w:pPr>
        <w:pStyle w:val="TextoNormal"/>
      </w:pPr>
    </w:p>
    <w:p w14:paraId="1897A5A9" w14:textId="77777777" w:rsidR="00A8138F" w:rsidRDefault="00A8138F" w:rsidP="00A8138F">
      <w:pPr>
        <w:pStyle w:val="TextoNormal"/>
      </w:pPr>
      <w:r>
        <w:t>Para concluir, se rechaza la infracción de la competencia estatal en materia de legislación civil (art. 149.1.8 CE), negándose que por parte de la administración autonómica se haya regulado figura novedosa alguna relativa al desamparo. No obstante, el escrito del Gobierno canario sí advierte que, en su consideración, no puede hablarse con rigor de una situación de falta de atención cuando el menor se encuentra en mar o tierra bajo custodia de la administración general del Estado, dado que ha de presumirse que esta le atiende en todo cuanto precise, de conformidad con el art. 14 de la Ley Orgánica 1/1996, de 15 de enero, de protección jurídica del menor, de modificación parcial del Código civil y de la Ley de enjuiciamiento civil (en adelante, LOPJM).</w:t>
      </w:r>
    </w:p>
    <w:p w14:paraId="7FC349A4" w14:textId="77777777" w:rsidR="00A8138F" w:rsidRDefault="00A8138F" w:rsidP="00A8138F">
      <w:pPr>
        <w:pStyle w:val="TextoNormal"/>
      </w:pPr>
    </w:p>
    <w:p w14:paraId="32946D44" w14:textId="53690A04" w:rsidR="00A8138F" w:rsidRDefault="00A8138F" w:rsidP="00A8138F">
      <w:pPr>
        <w:pStyle w:val="TextoNormal"/>
      </w:pPr>
      <w:r>
        <w:t xml:space="preserve">Por último, en la consideración de que no se está efectuando una lectura correcta del marco normativo de derecho privado, y singularmente del art. 172 CC, que regula la tutela </w:t>
      </w:r>
      <w:r w:rsidRPr="00A8138F">
        <w:rPr>
          <w:i/>
        </w:rPr>
        <w:t>ex lege</w:t>
      </w:r>
      <w:r>
        <w:t xml:space="preserve"> de la entidad pública a que se refiere, a su vez, el art. 35 LOEx, se sostiene que dicha figura de protección del menor no estaba pensada para situaciones como la que nos ocupa sino para menores que ya residían o tenían algún vínculo con la comunidad autónoma y se encontraban desamparados, siendo así que en este caso se trata de menores extranjeros que son salvados en aguas internacionales fuera del ámbito territorial autonómico y luego arriban a puestos ubicados en la Comunidad Autónoma de Canarias por decisión de la administración del Estado. Consecuencia de lo anterior, se añade que una correcta lectura del citado art. 172 CC exige tener en cuenta, por un lado, el dato fáctico de la residencia o permanencia, en el sentido de que la entidad pública competente a estos efectos desde un punto de vista territorial es aquella en la que el menor extranjero tiene su residencia o su centro de vida; y, por otro lado, el presupuesto de orden temporal, esto es, que para deter</w:t>
      </w:r>
      <w:r>
        <w:lastRenderedPageBreak/>
        <w:t>minar tal residencia o centro de vida del menor previamente ha de haberse resuelto su definitiva ubicación en una u otra comunidad autónoma.</w:t>
      </w:r>
    </w:p>
    <w:p w14:paraId="6FADDB7B" w14:textId="77777777" w:rsidR="00A8138F" w:rsidRDefault="00A8138F" w:rsidP="00A8138F">
      <w:pPr>
        <w:pStyle w:val="TextoNormal"/>
      </w:pPr>
    </w:p>
    <w:p w14:paraId="11DC5F38" w14:textId="77777777" w:rsidR="00A8138F" w:rsidRDefault="00A8138F" w:rsidP="00A8138F">
      <w:pPr>
        <w:pStyle w:val="TextoNormal"/>
      </w:pPr>
      <w:r w:rsidRPr="00A8138F">
        <w:rPr>
          <w:rStyle w:val="NumeroAFNegritaCaracter"/>
        </w:rPr>
        <w:t>6</w:t>
      </w:r>
      <w:r>
        <w:t>. Por diligencia de ordenación de 21 de noviembre de 2024, estando próximo a finalizar el plazo de cinco meses que señala el art. 161.2 de la Constitución, se dio traslado a las partes personadas para que, en el plazo de cinco días alegaran acerca del mantenimiento o levantamiento de la suspensión.</w:t>
      </w:r>
    </w:p>
    <w:p w14:paraId="30011294" w14:textId="77777777" w:rsidR="00A8138F" w:rsidRDefault="00A8138F" w:rsidP="00A8138F">
      <w:pPr>
        <w:pStyle w:val="TextoNormal"/>
      </w:pPr>
    </w:p>
    <w:p w14:paraId="0F34BE2E" w14:textId="10CF9297" w:rsidR="00A8138F" w:rsidRDefault="00A8138F" w:rsidP="00A8138F">
      <w:pPr>
        <w:pStyle w:val="TextoNormal"/>
      </w:pPr>
      <w:r>
        <w:t>Las partes evacuaron el traslado conferido. En sus respectivos escritos, presentados el 28 de noviembre de 2024, el abogado del Estado interesó el mantenimiento de la suspensión acordada, y el letrado del servicio jurídico del Gobierno de Canarias el levantamiento de aquella.</w:t>
      </w:r>
    </w:p>
    <w:p w14:paraId="16A6237C" w14:textId="77777777" w:rsidR="00A8138F" w:rsidRDefault="00A8138F" w:rsidP="00A8138F">
      <w:pPr>
        <w:pStyle w:val="TextoNormal"/>
      </w:pPr>
    </w:p>
    <w:p w14:paraId="265CD607" w14:textId="528B91CD" w:rsidR="00A8138F" w:rsidRDefault="00A8138F" w:rsidP="00A8138F">
      <w:pPr>
        <w:pStyle w:val="TextoNormal"/>
      </w:pPr>
      <w:r w:rsidRPr="00A8138F">
        <w:rPr>
          <w:rStyle w:val="NumeroAFNegritaCaracter"/>
        </w:rPr>
        <w:t>7</w:t>
      </w:r>
      <w:r>
        <w:t>. Mediante providencia de 11 de febrero de 2025, se señaló para deliberación y votación de la presente sentencia el día 12 del mismo mes y año.</w:t>
      </w:r>
    </w:p>
    <w:p w14:paraId="78BC62EE" w14:textId="77777777" w:rsidR="00A8138F" w:rsidRDefault="00A8138F" w:rsidP="00A8138F">
      <w:pPr>
        <w:pStyle w:val="TextoNormal"/>
      </w:pPr>
    </w:p>
    <w:p w14:paraId="73D86F61" w14:textId="77777777" w:rsidR="00A8138F" w:rsidRDefault="00A8138F" w:rsidP="00A8138F">
      <w:pPr>
        <w:pStyle w:val="TextoNormalNegritaCentrado"/>
        <w:keepNext/>
      </w:pPr>
      <w:r>
        <w:t>II. Fundamentos jurídicos</w:t>
      </w:r>
    </w:p>
    <w:p w14:paraId="34E84D32" w14:textId="4EE64B02" w:rsidR="00A8138F" w:rsidRDefault="00A8138F" w:rsidP="00A8138F">
      <w:pPr>
        <w:pStyle w:val="TextoNormalNegritaCentrado"/>
        <w:keepNext/>
      </w:pPr>
    </w:p>
    <w:p w14:paraId="210EEF03" w14:textId="77777777" w:rsidR="00A8138F" w:rsidRDefault="00A8138F" w:rsidP="00A8138F">
      <w:pPr>
        <w:pStyle w:val="TextoNormal"/>
      </w:pPr>
      <w:r w:rsidRPr="00A8138F">
        <w:rPr>
          <w:rStyle w:val="NumeroAFNegritaCaracter"/>
        </w:rPr>
        <w:t>1</w:t>
      </w:r>
      <w:r>
        <w:t xml:space="preserve">. </w:t>
      </w:r>
      <w:r w:rsidRPr="00A8138F">
        <w:rPr>
          <w:i/>
        </w:rPr>
        <w:t>Objeto del proceso y posiciones de las partes</w:t>
      </w:r>
    </w:p>
    <w:p w14:paraId="2FDF3428" w14:textId="77777777" w:rsidR="00A8138F" w:rsidRDefault="00A8138F" w:rsidP="00A8138F">
      <w:pPr>
        <w:pStyle w:val="TextoNormal"/>
      </w:pPr>
    </w:p>
    <w:p w14:paraId="68D5581D" w14:textId="77777777" w:rsidR="00A8138F" w:rsidRDefault="00A8138F" w:rsidP="00A8138F">
      <w:pPr>
        <w:pStyle w:val="TextoNormal"/>
      </w:pPr>
      <w:r>
        <w:t>El Gobierno de la Nación impugna, por el cauce de los arts. 161.2 CE y 76 y 77 LOTC:</w:t>
      </w:r>
    </w:p>
    <w:p w14:paraId="78CD24B2" w14:textId="77777777" w:rsidR="00A8138F" w:rsidRDefault="00A8138F" w:rsidP="00A8138F">
      <w:pPr>
        <w:pStyle w:val="TextoNormal"/>
      </w:pPr>
    </w:p>
    <w:p w14:paraId="3D7C7FF1" w14:textId="77777777" w:rsidR="00A8138F" w:rsidRDefault="00A8138F" w:rsidP="00A8138F">
      <w:pPr>
        <w:pStyle w:val="TextoNormal"/>
      </w:pPr>
      <w:r>
        <w:t>a) los apartados segundo, tercero y sexto del acuerdo del Gobierno de Canarias, de 2 de septiembre de 2024, “en relación con los menores extranjeros no acompañados”; y</w:t>
      </w:r>
    </w:p>
    <w:p w14:paraId="2FB97B08" w14:textId="77777777" w:rsidR="00A8138F" w:rsidRDefault="00A8138F" w:rsidP="00A8138F">
      <w:pPr>
        <w:pStyle w:val="TextoNormal"/>
      </w:pPr>
    </w:p>
    <w:p w14:paraId="35D3AC1C" w14:textId="77777777" w:rsidR="00A8138F" w:rsidRDefault="00A8138F" w:rsidP="00A8138F">
      <w:pPr>
        <w:pStyle w:val="TextoNormal"/>
      </w:pPr>
      <w:r>
        <w:t>b) la resolución de la Dirección General de Protección a la Infancia y las Familias, de 10 de septiembre de 2024, dictada en ejecución del acuerdo anterior, “por la que se establece el protocolo territorial de recepción de menores extranjeros migrantes no acompañados en la Comunidad Autónoma de Canarias”.</w:t>
      </w:r>
    </w:p>
    <w:p w14:paraId="54A7D319" w14:textId="77777777" w:rsidR="00A8138F" w:rsidRDefault="00A8138F" w:rsidP="00A8138F">
      <w:pPr>
        <w:pStyle w:val="TextoNormal"/>
      </w:pPr>
    </w:p>
    <w:p w14:paraId="1BD9455E" w14:textId="77777777" w:rsidR="00A8138F" w:rsidRDefault="00A8138F" w:rsidP="00A8138F">
      <w:pPr>
        <w:pStyle w:val="TextoNormal"/>
      </w:pPr>
      <w:r>
        <w:t>Para la Abogacía del Estado las resoluciones objeto de impugnación, al acordar —la primera— la suspensión de la recepción de menores extranjeros no acompañados en centros de acogida autonómicos y establecer —la segunda— una serie de requisitos que las autoridades estatales deben cumplir antes de la entrega, vulneran disposiciones sustantivas y competenciales de la Constitución y el bloque de constitucionalidad [arts. 10.1 y 15 CE, por una parte, y art. 149.1.2 y 8 CE, y arts. 144.1 d) y 147.2 EACan, por otra], por las razones que más detalladamente se han expuesto en los antecedentes de esta sentencia.</w:t>
      </w:r>
    </w:p>
    <w:p w14:paraId="32CA296C" w14:textId="77777777" w:rsidR="00A8138F" w:rsidRDefault="00A8138F" w:rsidP="00A8138F">
      <w:pPr>
        <w:pStyle w:val="TextoNormal"/>
      </w:pPr>
    </w:p>
    <w:p w14:paraId="2A11304F" w14:textId="33DE4DA8" w:rsidR="00A8138F" w:rsidRDefault="00A8138F" w:rsidP="00A8138F">
      <w:pPr>
        <w:pStyle w:val="TextoNormal"/>
      </w:pPr>
      <w:r>
        <w:t>La representación del Gobierno de Canarias interesa la inadmisión de la impugnación tanto por defectos de planteamiento como por la inidoneidad de las resoluciones impugnadas para ser objeto de este procedimiento. Subsidiariamente, solicita la desestimación, rechazándose las censuras de inconstitucionalidad sostenidas en la demanda.</w:t>
      </w:r>
    </w:p>
    <w:p w14:paraId="68F817AA" w14:textId="77777777" w:rsidR="00A8138F" w:rsidRDefault="00A8138F" w:rsidP="00A8138F">
      <w:pPr>
        <w:pStyle w:val="TextoNormal"/>
      </w:pPr>
    </w:p>
    <w:p w14:paraId="7037CEA7" w14:textId="77777777" w:rsidR="00A8138F" w:rsidRDefault="00A8138F" w:rsidP="00A8138F">
      <w:pPr>
        <w:pStyle w:val="TextoNormal"/>
      </w:pPr>
      <w:r w:rsidRPr="00A8138F">
        <w:rPr>
          <w:rStyle w:val="NumeroAFNegritaCaracter"/>
        </w:rPr>
        <w:t>2</w:t>
      </w:r>
      <w:r>
        <w:t xml:space="preserve">. </w:t>
      </w:r>
      <w:r w:rsidRPr="00A8138F">
        <w:rPr>
          <w:i/>
        </w:rPr>
        <w:t>Óbices planteados</w:t>
      </w:r>
    </w:p>
    <w:p w14:paraId="193FE88C" w14:textId="77777777" w:rsidR="00A8138F" w:rsidRDefault="00A8138F" w:rsidP="00A8138F">
      <w:pPr>
        <w:pStyle w:val="TextoNormal"/>
      </w:pPr>
    </w:p>
    <w:p w14:paraId="12BB4F18" w14:textId="77777777" w:rsidR="00A8138F" w:rsidRDefault="00A8138F" w:rsidP="00A8138F">
      <w:pPr>
        <w:pStyle w:val="TextoNormal"/>
      </w:pPr>
      <w:r>
        <w:lastRenderedPageBreak/>
        <w:t>El enjuiciamiento que se nos demanda debe iniciarse examinando los óbices procesales planteados por el representante del Gobierno de Canarias, determinantes, en su entender, de la inadmisibilidad de la presente impugnación.</w:t>
      </w:r>
    </w:p>
    <w:p w14:paraId="4C020372" w14:textId="77777777" w:rsidR="00A8138F" w:rsidRDefault="00A8138F" w:rsidP="00A8138F">
      <w:pPr>
        <w:pStyle w:val="TextoNormal"/>
      </w:pPr>
    </w:p>
    <w:p w14:paraId="09B0E683" w14:textId="77777777" w:rsidR="00A8138F" w:rsidRDefault="00A8138F" w:rsidP="00A8138F">
      <w:pPr>
        <w:pStyle w:val="TextoNormal"/>
      </w:pPr>
      <w:r>
        <w:t>a) En primer término, el letrado autonómico advierte de un defectuoso planteamiento de la demanda, argumentando que, a pesar de impugnarse el protocolo territorial en su integridad y el acuerdo de 2 de septiembre únicamente en sus apartados segundo, tercero y sexto, la Abogacía del Estado no habría efectuado una crítica singularizada dirigida a cada uno de ellos, ni a cada apartado concreto del protocolo, sino a la totalidad, no apreciándose el debido esfuerzo argumental, razón por la que el servicio jurídico autonómico ha optado por defender sendas resoluciones atendiendo a su razón de ser y a la generalidad de su contenido.</w:t>
      </w:r>
    </w:p>
    <w:p w14:paraId="138344D0" w14:textId="77777777" w:rsidR="00A8138F" w:rsidRDefault="00A8138F" w:rsidP="00A8138F">
      <w:pPr>
        <w:pStyle w:val="TextoNormal"/>
      </w:pPr>
    </w:p>
    <w:p w14:paraId="557AF801" w14:textId="77777777" w:rsidR="00A8138F" w:rsidRDefault="00A8138F" w:rsidP="00A8138F">
      <w:pPr>
        <w:pStyle w:val="TextoNormal"/>
      </w:pPr>
      <w:r>
        <w:t>Pues bien, este tribunal ha venido manteniendo de forma constante que, ciertamente, es carga de quien impugna aportar en la demanda la argumentación suficiente con vistas a fundamentar la inconstitucionalidad denunciada, sin que sean admisibles impugnaciones globales carentes de razonamiento desarrollado que las sustente (SSTC 101/2013, de 23 de abril, FJ 11, y 12/2015, de 5 de febrero, FJ 2, entre otras). No obstante, también hemos dicho que no cabe exigir por ello una argumentación exhaustiva o agotadora, bastando argumentaciones suficientes, es decir, que permitan a las demás partes conocer los motivos de impugnación y alegar sobre ellos en el trámite correspondiente y al Tribunal resolverlos sin ocasionar indefensión a estas últimas [STC 16/2021, de 28 de enero, FJ 5 b)].</w:t>
      </w:r>
    </w:p>
    <w:p w14:paraId="4B91F324" w14:textId="77777777" w:rsidR="00A8138F" w:rsidRDefault="00A8138F" w:rsidP="00A8138F">
      <w:pPr>
        <w:pStyle w:val="TextoNormal"/>
      </w:pPr>
    </w:p>
    <w:p w14:paraId="02CA6D1F" w14:textId="77777777" w:rsidR="00A8138F" w:rsidRDefault="00A8138F" w:rsidP="00A8138F">
      <w:pPr>
        <w:pStyle w:val="TextoNormal"/>
      </w:pPr>
      <w:r>
        <w:t>En el presente caso, la propia argumentación dada por el letrado autonómico evidencia que el óbice planteado no resulta determinante de la inadmisibilidad de la demanda, en la medida en que, a la vista de sus alegaciones y tal como reconoce, la crítica común que el abogado del Estado ha dirigido a las dos resoluciones impugnadas no le ha impedido conocer los motivos de impugnación y alegar sobre ellos. Cuestión distinta será si el fundamento de tal impugnación es o no apreciado por este tribunal para cada una de las resoluciones recurridas, lo que será objeto de análisis de fondo seguidamente.</w:t>
      </w:r>
    </w:p>
    <w:p w14:paraId="7853A3D3" w14:textId="77777777" w:rsidR="00A8138F" w:rsidRDefault="00A8138F" w:rsidP="00A8138F">
      <w:pPr>
        <w:pStyle w:val="TextoNormal"/>
      </w:pPr>
    </w:p>
    <w:p w14:paraId="40604389" w14:textId="77777777" w:rsidR="00A8138F" w:rsidRDefault="00A8138F" w:rsidP="00A8138F">
      <w:pPr>
        <w:pStyle w:val="TextoNormal"/>
      </w:pPr>
      <w:r>
        <w:t>No puede acogerse, en definitiva, la pretensión de inadmisión sobre la base de este motivo.</w:t>
      </w:r>
    </w:p>
    <w:p w14:paraId="06A4741A" w14:textId="77777777" w:rsidR="00A8138F" w:rsidRDefault="00A8138F" w:rsidP="00A8138F">
      <w:pPr>
        <w:pStyle w:val="TextoNormal"/>
      </w:pPr>
    </w:p>
    <w:p w14:paraId="1966A4FB" w14:textId="77777777" w:rsidR="00A8138F" w:rsidRDefault="00A8138F" w:rsidP="00A8138F">
      <w:pPr>
        <w:pStyle w:val="TextoNormal"/>
      </w:pPr>
      <w:r>
        <w:t>b) Como segunda objeción procesal, la representación del Gobierno canario esgrime la inidoneidad de las resoluciones recurridas para ser objeto del procedimiento de impugnación previsto en el título V LOTC, por carecer aquellas de naturaleza normativa y de capacidad para obligar a quien no tiene la condición de empleado público autonómico o gestione indirectamente la competencia autonómica. Alude, en particular, a la sentencia de la Sala de lo Contencioso-Administrativo del Tribunal Supremo de 31 de enero de 2018 (recurso 2289-2016, ECLI:ES:TS:2018:262), que inadmitió por este motivo el recurso dirigido contra el Protocolo marco sobre determinadas actuaciones en relación con los menores extranjeros no acompañados, aprobado por resolución de la Subsecretaría de la Presidencia del Gobierno de 13 de octubre de 2014 (“Boletín Oficial del Estado” del día 16), por considerar que era “una instrucción interna […] excluid[a] del recurso directo” contra reglamentos previsto en el art. 25 de la Ley 29/1998, de 13 de julio, reguladora de la jurisdicción contencioso-administrativa (LJCA).</w:t>
      </w:r>
    </w:p>
    <w:p w14:paraId="08D57A9F" w14:textId="77777777" w:rsidR="00A8138F" w:rsidRDefault="00A8138F" w:rsidP="00A8138F">
      <w:pPr>
        <w:pStyle w:val="TextoNormal"/>
      </w:pPr>
    </w:p>
    <w:p w14:paraId="5948183E" w14:textId="77777777" w:rsidR="00A8138F" w:rsidRDefault="00A8138F" w:rsidP="00A8138F">
      <w:pPr>
        <w:pStyle w:val="TextoNormal"/>
      </w:pPr>
      <w:r>
        <w:lastRenderedPageBreak/>
        <w:t>El motivo tampoco puede prosperar. El art. 76 LOTC define como objeto del proceso impugnatorio del título V no solo “las disposiciones normativas sin fuerza de Ley” sino también las “resoluciones” emanadas, ambas, de cualquier órgano de las comunidades autónomas. Nuestra doctrina ha ido perfilando que la idoneidad de estas resoluciones como posible objeto del proceso constitucional de los arts. 161.2 CE y 76 y 77 LOTC depende de los siguientes requisitos: (i) es necesario que posean naturaleza jurídica; (ii) que sean, además, manifestación de la voluntad institucional de la comunidad autónoma, esto es, que procedan de órganos capaces de expresar la voluntad de esta y no se presenten como un acto de trámite en el procedimiento de que se trate; (iii) y, por último, que tengan siquiera, indiciariamente, capacidad para producir efectos jurídicos (SSTC 259/2015, de 2 de diciembre, FJ 2; 98/2019, de 17 de julio, FJ 2; 143/2024, de 20 de noviembre, FJ 2, y ATC 49/2018, de 26 de abril, FJ 3).</w:t>
      </w:r>
    </w:p>
    <w:p w14:paraId="7A7123AE" w14:textId="77777777" w:rsidR="00A8138F" w:rsidRDefault="00A8138F" w:rsidP="00A8138F">
      <w:pPr>
        <w:pStyle w:val="TextoNormal"/>
      </w:pPr>
    </w:p>
    <w:p w14:paraId="5E775DCF" w14:textId="77777777" w:rsidR="00A8138F" w:rsidRDefault="00A8138F" w:rsidP="00A8138F">
      <w:pPr>
        <w:pStyle w:val="TextoNormal"/>
      </w:pPr>
      <w:r>
        <w:t>Tanto el acuerdo del Gobierno de Canarias, de 2 de septiembre de 2024, como el denominado Protocolo territorial de recepción de menores extranjeros migrantes no acompañados en la Comunidad Autónoma de Canarias, de 10 de septiembre de 2024, cumplen las referidas exigencias.</w:t>
      </w:r>
    </w:p>
    <w:p w14:paraId="2C598F38" w14:textId="77777777" w:rsidR="00A8138F" w:rsidRDefault="00A8138F" w:rsidP="00A8138F">
      <w:pPr>
        <w:pStyle w:val="TextoNormal"/>
      </w:pPr>
    </w:p>
    <w:p w14:paraId="1689B8B5" w14:textId="77777777" w:rsidR="00A8138F" w:rsidRDefault="00A8138F" w:rsidP="00A8138F">
      <w:pPr>
        <w:pStyle w:val="TextoNormal"/>
      </w:pPr>
      <w:r>
        <w:t>En cuanto al primero, ha sido dictado por el Gobierno de Canarias, órgano institucional de la comunidad autónoma con previsión estatutaria (art. 50 EACan) que, en ejercicio de las funciones ejecutivas, administrativas y de dirección política encomendadas, tiene capacidad para expresar la voluntad de dicha comunidad autónoma. Además, en lo que concierne a su concreto contenido, en ese acuerdo formalmente adoptado se decide, en términos taxativos: (i) que, salvo previa conformidad o autorización expresa, las entidades colaboradoras de la comunidad autónoma en materia de protección de menores no reciban a nuevos migrantes con cargo a la comunidad autónoma; (ii) requerir al Estado para el cumplimiento de sus obligaciones en materia migratoria; y (iii) designar a la consejería competente para el seguimiento y gestión del propio acuerdo y para dictar las resoluciones oportunas. Muestra de los efectos jurídicos de este acuerdo del gobierno autonómico es que, precisamente en ejecución de dicho acuerdo, la designada consejería, a través de su Dirección General de Protección a la Infancia y las Familias, dictó el segundo de los actos que constituyen el objeto de la presente impugnación. Estos efectos jurídicos, además, no se agotan en el ámbito interno de la administración autonómica, sino que trascienden al afectar, por un lado, indirectamente a los menores extranjeros, y por otro al Estado como destinatario del requerimiento formulado.</w:t>
      </w:r>
    </w:p>
    <w:p w14:paraId="09939FB4" w14:textId="77777777" w:rsidR="00A8138F" w:rsidRDefault="00A8138F" w:rsidP="00A8138F">
      <w:pPr>
        <w:pStyle w:val="TextoNormal"/>
      </w:pPr>
    </w:p>
    <w:p w14:paraId="474E1057" w14:textId="77777777" w:rsidR="00A8138F" w:rsidRDefault="00A8138F" w:rsidP="00A8138F">
      <w:pPr>
        <w:pStyle w:val="TextoNormal"/>
      </w:pPr>
      <w:r>
        <w:t>Al protocolo territorial aprobado por la Consejería de Bienestar Social, Igualdad, Juventud, Infancia y Familias le son de aplicación las consideraciones anteriores. Por un lado, la citada consejería, cuyo titular integra el Gobierno de Canarias como órgano colegiado que es, tiene capacidad para expresar, en el ámbito de sus competencias, la voluntad de la comunidad autónoma. Y, por otro, su carácter jurídico y aptitud para producir efectos de esta naturaleza son igualmente apreciables. El protocolo pretende erigirse en pauta rectora de las situaciones jurídicas delimitadas en su objeto, con aspiración, pues, de tener un efecto decisivo en lo venidero. Al efecto, declara que su objeto es la “necesaria ordenación de la recepción de menores extranjeros migrantes no acompañados que se encuentren en situación de desamparo en Canarias”, y proclama su carácter vinculante “para los empleados públicos autonómicos y empleados de las entidades colaboradoras contratadas por la Comunidad Autónoma de Canarias”.</w:t>
      </w:r>
    </w:p>
    <w:p w14:paraId="5AC1DD88" w14:textId="77777777" w:rsidR="00A8138F" w:rsidRDefault="00A8138F" w:rsidP="00A8138F">
      <w:pPr>
        <w:pStyle w:val="TextoNormal"/>
      </w:pPr>
    </w:p>
    <w:p w14:paraId="09AA5C01" w14:textId="77777777" w:rsidR="00A8138F" w:rsidRDefault="00A8138F" w:rsidP="00A8138F">
      <w:pPr>
        <w:pStyle w:val="TextoNormal"/>
      </w:pPr>
      <w:r>
        <w:t>Estamos, en definitiva, ante “resoluciones” a los efectos del art. 76 LOTC, por ser el acuerdo y protocolo recurridos el producto final del respectivo procedimiento en que se integran y expresión cierta del obrar intencional de la comunidad autónoma, a través del órgano que los dicta, con vocación de trascendencia jurídica.</w:t>
      </w:r>
    </w:p>
    <w:p w14:paraId="57184226" w14:textId="77777777" w:rsidR="00A8138F" w:rsidRDefault="00A8138F" w:rsidP="00A8138F">
      <w:pPr>
        <w:pStyle w:val="TextoNormal"/>
      </w:pPr>
    </w:p>
    <w:p w14:paraId="6709DF86" w14:textId="58AE89EA" w:rsidR="00A8138F" w:rsidRDefault="00A8138F" w:rsidP="00A8138F">
      <w:pPr>
        <w:pStyle w:val="TextoNormal"/>
      </w:pPr>
      <w:r>
        <w:t>No procede, en suma, acoger aquí tampoco, la inadmisión pretendida.</w:t>
      </w:r>
    </w:p>
    <w:p w14:paraId="4C4EE031" w14:textId="77777777" w:rsidR="00A8138F" w:rsidRDefault="00A8138F" w:rsidP="00A8138F">
      <w:pPr>
        <w:pStyle w:val="TextoNormal"/>
      </w:pPr>
    </w:p>
    <w:p w14:paraId="73CBEE29" w14:textId="77777777" w:rsidR="00A8138F" w:rsidRDefault="00A8138F" w:rsidP="00A8138F">
      <w:pPr>
        <w:pStyle w:val="TextoNormal"/>
      </w:pPr>
      <w:r w:rsidRPr="00A8138F">
        <w:rPr>
          <w:rStyle w:val="NumeroAFNegritaCaracter"/>
        </w:rPr>
        <w:t>3</w:t>
      </w:r>
      <w:r>
        <w:t xml:space="preserve">. </w:t>
      </w:r>
      <w:r w:rsidRPr="00A8138F">
        <w:rPr>
          <w:i/>
        </w:rPr>
        <w:t>Examen de fondo</w:t>
      </w:r>
    </w:p>
    <w:p w14:paraId="52A1F37C" w14:textId="77777777" w:rsidR="00A8138F" w:rsidRDefault="00A8138F" w:rsidP="00A8138F">
      <w:pPr>
        <w:pStyle w:val="TextoNormal"/>
      </w:pPr>
    </w:p>
    <w:p w14:paraId="615C7607" w14:textId="77777777" w:rsidR="00A8138F" w:rsidRDefault="00A8138F" w:rsidP="00A8138F">
      <w:pPr>
        <w:pStyle w:val="TextoNormal"/>
      </w:pPr>
      <w:r>
        <w:t>A) Consideraciones previas</w:t>
      </w:r>
    </w:p>
    <w:p w14:paraId="40D154F1" w14:textId="77777777" w:rsidR="00A8138F" w:rsidRDefault="00A8138F" w:rsidP="00A8138F">
      <w:pPr>
        <w:pStyle w:val="TextoNormal"/>
      </w:pPr>
    </w:p>
    <w:p w14:paraId="1B8B7C6F" w14:textId="77777777" w:rsidR="00A8138F" w:rsidRDefault="00A8138F" w:rsidP="00A8138F">
      <w:pPr>
        <w:pStyle w:val="TextoNormal"/>
      </w:pPr>
      <w:r>
        <w:t>Despejadas las dudas procesales, estamos ya en condiciones de abordar el examen de las cuestiones de fondo. Como se ha reflejado, el abogado del Estado, en nombre del Gobierno de la Nación, plantea motivos de inconstitucionalidad tanto sustantivos como competenciales. Correspondiendo a este tribunal, en función de las circunstancias concurrentes en cada supuesto concreto sometido a su consideración, determinar el orden de examen de las quejas planteadas [por todas, SSTC 37/2022, de 10 de marzo, FJ 3 b), y 146/2023, de 26 de octubre, FJ 2], comenzaremos por las censuras relativas a la infracción del orden constitucional de distribución de competencias, y dentro de estas, con la que se fundamenta en que la Comunidad Autónoma de Canarias habría dejado de ejercer su competencia exclusiva en materia de protección de menores.</w:t>
      </w:r>
    </w:p>
    <w:p w14:paraId="6F2B5F83" w14:textId="77777777" w:rsidR="00A8138F" w:rsidRDefault="00A8138F" w:rsidP="00A8138F">
      <w:pPr>
        <w:pStyle w:val="TextoNormal"/>
      </w:pPr>
    </w:p>
    <w:p w14:paraId="7B19C890" w14:textId="77777777" w:rsidR="00A8138F" w:rsidRDefault="00A8138F" w:rsidP="00A8138F">
      <w:pPr>
        <w:pStyle w:val="TextoNormal"/>
      </w:pPr>
      <w:r>
        <w:t>B) Alegaciones de las partes</w:t>
      </w:r>
    </w:p>
    <w:p w14:paraId="01D05738" w14:textId="77777777" w:rsidR="00A8138F" w:rsidRDefault="00A8138F" w:rsidP="00A8138F">
      <w:pPr>
        <w:pStyle w:val="TextoNormal"/>
      </w:pPr>
    </w:p>
    <w:p w14:paraId="32ED8FE0" w14:textId="77777777" w:rsidR="00A8138F" w:rsidRDefault="00A8138F" w:rsidP="00A8138F">
      <w:pPr>
        <w:pStyle w:val="TextoNormal"/>
      </w:pPr>
      <w:r>
        <w:t>a) Para la Abogacía del Estado, la Comunidad Autónoma de Canarias, a través de las resoluciones cuestionadas, habría ejercido su competencia estatutariamente asumida en materia de protección de menores conforme al art. 147.2, en relación con el art. 144.1 d), ambos EACan, de forma contraria al orden constitucional de distribución competencias. De acuerdo con el bloque de constitucionalidad, corresponde a las comunidades autónomas dispensar atención y acogida a los menores extranjeros desde el mismo momento de su llegada a España en la forma legalmente establecida (STC 31/2010, de 28 de junio, FJ 83). En concreto, según el art. 35 LOEx, la intervención de los servicios autonómicos de protección de menores debe producirse a requerimiento de las autoridades estatales justo después de la localización de los menores extranjeros no acompañados, sin que las dificultades en orden a la identificación y determinación de la edad de estos inmigrantes o la insuficiencia o saturación de los medios autonómicos disponibles para atenderlos sean circunstancias que permitan justificar un eventual rechazo a la recepción de los menores en su territorio, ni demorar la atención inmediata que los mismos puedan requerir.</w:t>
      </w:r>
    </w:p>
    <w:p w14:paraId="6ABEE5C2" w14:textId="77777777" w:rsidR="00A8138F" w:rsidRDefault="00A8138F" w:rsidP="00A8138F">
      <w:pPr>
        <w:pStyle w:val="TextoNormal"/>
      </w:pPr>
    </w:p>
    <w:p w14:paraId="2882ADFC" w14:textId="77777777" w:rsidR="00A8138F" w:rsidRDefault="00A8138F" w:rsidP="00A8138F">
      <w:pPr>
        <w:pStyle w:val="TextoNormal"/>
      </w:pPr>
      <w:r>
        <w:t xml:space="preserve">b) Por su parte, la comunidad autónoma entiende que la competencia concernida no es solamente la competencia autonómica de protección de menores y primera acogida de extranjeros de los citados arts. 144.1 d) y 147.2 EACan. El Estado debe asumir y ejercer la suya propia en materia de extranjería, asilo e inmigración (art. 149.1.2 CE), donde es garante de la solidaridad entre territorios (art. 2 </w:t>
      </w:r>
      <w:r w:rsidRPr="00A8138F">
        <w:rPr>
          <w:i/>
        </w:rPr>
        <w:t>bis</w:t>
      </w:r>
      <w:r>
        <w:t xml:space="preserve"> LOEx), así como la coordinación de todas las administraciones implicadas (art. 140 de la Ley 40/2015, de 1 de octubre, régimen jurídico del sector público). A este fin se aprobó el requerimiento del apartado tercero del acuerdo impugnado, como paso previo a la impugnación de la inactividad del Estado de acuerdo con </w:t>
      </w:r>
      <w:r>
        <w:lastRenderedPageBreak/>
        <w:t>lo dispuesto en el art. 44 LJCA. La normativa de extranjería otorga al Estado competencia para determinar la edad del menor, a través del Ministerio Fiscal, y para resolver definitivamente sobre sobre su situación mediante su repatriación o reubicación en otra comunidad autónoma, según resulta del art. 35 LOEx y del Protocolo marco sobre determinadas actuaciones en relación con los menores extranjeros no acompañados de 2014, antes citado. La demora en el ejercicio de estas competencias por parte del Estado ha generado una carga sobre la administración autonómica que esta ha de soportar en exclusiva, en contra del modelo de distribución constitucional y estatutario de competencias. Por otra parte, constatada la situación fáctica de desamparo en que se encuentre un menor extranjero no acompañado, su atención directa e inmediata debe ser realizada por cualquier poder público, incluida la administración del Estado, que debe mantener esa atención hasta que se verifique una correcta entrega del menor a la administración autonómica en la forma prevista por el aludido protocolo marco, que el protocolo autonómico impugnado simplemente reitera a efectos internos de la administración autonómica, sin innovarlo.</w:t>
      </w:r>
    </w:p>
    <w:p w14:paraId="56513CFD" w14:textId="77777777" w:rsidR="00A8138F" w:rsidRDefault="00A8138F" w:rsidP="00A8138F">
      <w:pPr>
        <w:pStyle w:val="TextoNormal"/>
      </w:pPr>
    </w:p>
    <w:p w14:paraId="50F7B897" w14:textId="77777777" w:rsidR="00A8138F" w:rsidRDefault="00A8138F" w:rsidP="00A8138F">
      <w:pPr>
        <w:pStyle w:val="TextoNormal"/>
      </w:pPr>
      <w:r>
        <w:t>C) Doctrina constitucional sobre las competencias en conflicto</w:t>
      </w:r>
    </w:p>
    <w:p w14:paraId="7B7DC5CD" w14:textId="77777777" w:rsidR="00A8138F" w:rsidRDefault="00A8138F" w:rsidP="00A8138F">
      <w:pPr>
        <w:pStyle w:val="TextoNormal"/>
      </w:pPr>
    </w:p>
    <w:p w14:paraId="313324DF" w14:textId="77777777" w:rsidR="00A8138F" w:rsidRDefault="00A8138F" w:rsidP="00A8138F">
      <w:pPr>
        <w:pStyle w:val="TextoNormal"/>
      </w:pPr>
      <w:r>
        <w:t>Circunscrito a sus justos términos, el conflicto se plantea en relación con las actuaciones de recepción y primera acogida de estos menores extranjeros, es decir, con los momentos inmediatamente posteriores a su localización. Consecuentemente, y de acuerdo con lo alegado por las partes comparecidas, los títulos competenciales a considerar son, por una parte, el art. 149.1.2 CE que atribuye al Estado competencia en materia de “inmigración” y “extranjería”, y, por otra, la competencia de la Comunidad Autónoma de Canarias en materia de “asistencia social” del art. 148.1.20 CE, de la que forman parte, tal y como reconoce la representación del Gobierno canario, las competencias en materia de “protección de menores” (art. 147.2 EACan) y “acogida e integración de las personas inmigrantes, incluidos los menores extranjeros no acompañados” [art. 144.1 d) EACan].</w:t>
      </w:r>
    </w:p>
    <w:p w14:paraId="13DBA265" w14:textId="77777777" w:rsidR="00A8138F" w:rsidRDefault="00A8138F" w:rsidP="00A8138F">
      <w:pPr>
        <w:pStyle w:val="TextoNormal"/>
      </w:pPr>
    </w:p>
    <w:p w14:paraId="55A29CB0" w14:textId="77777777" w:rsidR="00A8138F" w:rsidRDefault="00A8138F" w:rsidP="00A8138F">
      <w:pPr>
        <w:pStyle w:val="TextoNormal"/>
      </w:pPr>
      <w:r>
        <w:t xml:space="preserve">a) El Tribunal se ocupó por primera vez de la relación entre ambos títulos competenciales en la STC 31/2010, de 28 de junio, FJ 83, donde dijimos que “la evolución del fenómeno inmigratorio en España impide configurar la competencia estatal </w:t>
      </w:r>
      <w:r w:rsidRPr="00A8138F">
        <w:rPr>
          <w:i/>
        </w:rPr>
        <w:t>ex</w:t>
      </w:r>
      <w:r>
        <w:t xml:space="preserve"> art. 149.1.2 CE como un título horizontal de alcance ilimitado que enerve los títulos competenciales de las comunidades autónomas de carácter sectorial, pues algunos de ellos, en especial los relativos a ‘determinados servicios sociales’ y a ‘las correspondientes políticas públicas (educación, asistencia social, sanidad, vivienda, cultura, etc.)’ tienen incidencia evidente en la población extranjera”; y reiteramos que “la entrada y residencia de extranjeros en España se ‘inscribe en el ámbito de la inmigración y extranjería’, mientras que el fomento de la integración de los inmigrantes para facilitar su inclusión social, prevenir situaciones de riesgo y promover la convivencia se inscribe en el ámbito de la ‘asistencia social’ en cuanto ‘mecanismo protector de situaciones de necesidad específicas’ (SSTC 227/2012, de 29 de noviembre, FJ 4; 26/2013, de 31 de enero, FJ 5, 154/2013, de 10 de septiembre)” (STC 87/2017, de 4 de julio, FJ 3).</w:t>
      </w:r>
    </w:p>
    <w:p w14:paraId="7C9E4816" w14:textId="77777777" w:rsidR="00A8138F" w:rsidRDefault="00A8138F" w:rsidP="00A8138F">
      <w:pPr>
        <w:pStyle w:val="TextoNormal"/>
      </w:pPr>
    </w:p>
    <w:p w14:paraId="459A82C5" w14:textId="77777777" w:rsidR="00A8138F" w:rsidRDefault="00A8138F" w:rsidP="00A8138F">
      <w:pPr>
        <w:pStyle w:val="TextoNormal"/>
      </w:pPr>
      <w:r>
        <w:t xml:space="preserve">En la STC 87/2017, FJ 4, se ahondó en la sistematización del contenido de la competencia estatal sobre extranjería </w:t>
      </w:r>
      <w:r w:rsidRPr="00A8138F">
        <w:rPr>
          <w:i/>
        </w:rPr>
        <w:t>ex</w:t>
      </w:r>
      <w:r>
        <w:t xml:space="preserve"> art. 149.1.2 CE, y sintetizando ahora lo que en ella dijimos, señalamos que dicha competencia comprendería el establecimiento por el Estado del “estatuto del extranjero”, delimitado fundamentalmente dos aspectos: (i) “la determinación […] de los derechos que, correspondiendo, en principio, a los españoles, deben ser extendidos a </w:t>
      </w:r>
      <w:r>
        <w:lastRenderedPageBreak/>
        <w:t>los ciudadanos de otras nacionalidades radicados en nuestro país”; y (ii) “la capacidad del Estado de determinar aquellos derechos que corresponden a los extranjeros en su condición de tales”.</w:t>
      </w:r>
    </w:p>
    <w:p w14:paraId="7A9FD40B" w14:textId="77777777" w:rsidR="00A8138F" w:rsidRDefault="00A8138F" w:rsidP="00A8138F">
      <w:pPr>
        <w:pStyle w:val="TextoNormal"/>
      </w:pPr>
    </w:p>
    <w:p w14:paraId="75F371AD" w14:textId="77777777" w:rsidR="00A8138F" w:rsidRDefault="00A8138F" w:rsidP="00A8138F">
      <w:pPr>
        <w:pStyle w:val="TextoNormal"/>
      </w:pPr>
      <w:r>
        <w:t>b) En esa misma STC 87/2017, FJ 3, reiteramos que “la competencia de ‘primera acogida’ no es […] otra cosa que la denominación que adopta la competencia exclusiva sectorial de la [comunidad autónoma] en materia de asistencia social cuando incide sobre las primeras necesidades de integración social de la población extranjera”. Esta materia —“asistencia social”— aludida en el art. 148.1.20 CE “aparece como un mecanismo protector de situaciones de necesidad específicas, sentidas por grupos de población a los que no alcanza aquel sistema y que opera mediante técnicas distintas de las propias de la Seguridad Social” (STC 36/2022, de 10 de marzo, FJ 4). En la STC 36/2021, de 18 de febrero, FJ 4, relacionamos también la “protección de menores” con la competencia en materia de “asistencia” y “servicios sociales”.</w:t>
      </w:r>
    </w:p>
    <w:p w14:paraId="626233F4" w14:textId="77777777" w:rsidR="00A8138F" w:rsidRDefault="00A8138F" w:rsidP="00A8138F">
      <w:pPr>
        <w:pStyle w:val="TextoNormal"/>
      </w:pPr>
    </w:p>
    <w:p w14:paraId="215E4184" w14:textId="77777777" w:rsidR="00A8138F" w:rsidRDefault="00A8138F" w:rsidP="00A8138F">
      <w:pPr>
        <w:pStyle w:val="TextoNormal"/>
      </w:pPr>
      <w:r>
        <w:t>D) Régimen jurídico de los menores extranjeros no acompañados</w:t>
      </w:r>
    </w:p>
    <w:p w14:paraId="13771F9D" w14:textId="77777777" w:rsidR="00A8138F" w:rsidRDefault="00A8138F" w:rsidP="00A8138F">
      <w:pPr>
        <w:pStyle w:val="TextoNormal"/>
      </w:pPr>
    </w:p>
    <w:p w14:paraId="35A5C15D" w14:textId="77777777" w:rsidR="00A8138F" w:rsidRDefault="00A8138F" w:rsidP="00A8138F">
      <w:pPr>
        <w:pStyle w:val="TextoNormal"/>
      </w:pPr>
      <w:r>
        <w:t>Expuesta la doctrina constitucional relativa a las competencias en conflicto, resulta preciso igualmente analizar el régimen jurídico aplicable a los menores extranjeros no acompañados.</w:t>
      </w:r>
    </w:p>
    <w:p w14:paraId="694C3155" w14:textId="77777777" w:rsidR="00A8138F" w:rsidRDefault="00A8138F" w:rsidP="00A8138F">
      <w:pPr>
        <w:pStyle w:val="TextoNormal"/>
      </w:pPr>
    </w:p>
    <w:p w14:paraId="61C9F1C2" w14:textId="77777777" w:rsidR="00A8138F" w:rsidRDefault="00A8138F" w:rsidP="00A8138F">
      <w:pPr>
        <w:pStyle w:val="TextoNormal"/>
      </w:pPr>
      <w:r>
        <w:t xml:space="preserve">En la STC 130/2022, de 24 de octubre, FJ 5, cuya doctrina fue seguida poco tiempo después por la STC 40/2023, de 8 de mayo, FJ 3, se puso de relieve la situación de “especial vulnerabilidad en que se encuentran los menores extranjeros no acompañados”, “la importancia de la protección de sus derechos” y la aplicación del “principio de presunción de minoría de edad” como “un elemento inherente a la protección del derecho al respeto de la vida privada de una persona extranjera no acompañada que declara ser menor de edad”, con cita de la STEDH de 21 de julio de 2022, asunto </w:t>
      </w:r>
      <w:r w:rsidRPr="00A8138F">
        <w:rPr>
          <w:i/>
        </w:rPr>
        <w:t>Darboe y Camara c. Italia</w:t>
      </w:r>
      <w:r>
        <w:t xml:space="preserve"> (§ 153).</w:t>
      </w:r>
    </w:p>
    <w:p w14:paraId="621E86D8" w14:textId="77777777" w:rsidR="00A8138F" w:rsidRDefault="00A8138F" w:rsidP="00A8138F">
      <w:pPr>
        <w:pStyle w:val="TextoNormal"/>
      </w:pPr>
    </w:p>
    <w:p w14:paraId="4F41E6FB" w14:textId="77777777" w:rsidR="00A8138F" w:rsidRDefault="00A8138F" w:rsidP="00A8138F">
      <w:pPr>
        <w:pStyle w:val="TextoNormal"/>
      </w:pPr>
      <w:r>
        <w:t>A los menores extranjeros no acompañados les es de aplicación, por tanto, el estatuto de protección de las personas menores de edad, y así lo confirma la Ley Orgánica 1/1996, de protección jurídica del menor.</w:t>
      </w:r>
    </w:p>
    <w:p w14:paraId="78084CC9" w14:textId="77777777" w:rsidR="00A8138F" w:rsidRDefault="00A8138F" w:rsidP="00A8138F">
      <w:pPr>
        <w:pStyle w:val="TextoNormal"/>
      </w:pPr>
    </w:p>
    <w:p w14:paraId="6E0A465A" w14:textId="77777777" w:rsidR="00A8138F" w:rsidRDefault="00A8138F" w:rsidP="00A8138F">
      <w:pPr>
        <w:pStyle w:val="TextoNormal"/>
      </w:pPr>
      <w:r>
        <w:t xml:space="preserve">Esta ley, que define su ámbito de aplicación estableciendo que lo será “a los menores de dieciocho años que se encuentren en territorio español” (art. 1), contiene disposiciones específicas referidas a los menores extranjeros no acompañados, en particular su art. 10.3 que establece que “[l]os menores extranjeros que se encuentren en España tienen derecho a la educación, asistencia sanitaria y servicios y prestaciones sociales básicas, en las mismas condiciones que los menores españoles. Las administraciones públicas velarán por los grupos especialmente vulnerables como los menores extranjeros no acompañados […] garantizando el cumplimiento de los derechos previstos en la ley”; añadiendo el apartado 4 que “[c]uando la entidad pública asuma la tutela de un menor extranjero que se encuentre en España, la administración general del Estado le facilitará, si no la tuviere, a la mayor celeridad, y junto con la presentación del certificado de tutela expedido por dicha entidad pública, la documentación acreditativa de su situación y la autorización de residencia, una vez que haya quedado acreditada la imposibilidad de retorno con su familia o al país de origen, y según lo dispuesto en la normativa vigente en materia de extranjería e inmigración”; disposiciones estas —y las que ahora destacaremos— que deben entenderse con la prevención </w:t>
      </w:r>
      <w:r>
        <w:lastRenderedPageBreak/>
        <w:t>establecida en la disposición final vigésima segunda de que “[l]as entidades públicas mencionadas en esta ley son las designadas por las comunidades autónomas y las ciudades de Ceuta y Melilla, de acuerdo con sus respectivas normas de organización.”</w:t>
      </w:r>
    </w:p>
    <w:p w14:paraId="15A805E4" w14:textId="77777777" w:rsidR="00A8138F" w:rsidRDefault="00A8138F" w:rsidP="00A8138F">
      <w:pPr>
        <w:pStyle w:val="TextoNormal"/>
      </w:pPr>
    </w:p>
    <w:p w14:paraId="39D51C4F" w14:textId="77777777" w:rsidR="00A8138F" w:rsidRDefault="00A8138F" w:rsidP="00A8138F">
      <w:pPr>
        <w:pStyle w:val="TextoNormal"/>
      </w:pPr>
      <w:r>
        <w:t>E) Resolución de la controversia</w:t>
      </w:r>
    </w:p>
    <w:p w14:paraId="3C2D6EDA" w14:textId="77777777" w:rsidR="00A8138F" w:rsidRDefault="00A8138F" w:rsidP="00A8138F">
      <w:pPr>
        <w:pStyle w:val="TextoNormal"/>
      </w:pPr>
    </w:p>
    <w:p w14:paraId="50F7A51E" w14:textId="77777777" w:rsidR="00A8138F" w:rsidRDefault="00A8138F" w:rsidP="00A8138F">
      <w:pPr>
        <w:pStyle w:val="TextoNormal"/>
      </w:pPr>
      <w:r>
        <w:t>El menor extranjero no acompañado es, ante todo, un menor, y como tal debe ser tratado. Esto comprende no solo aquellos supuestos en que, de forma indubitada, se esté ante un menor de edad, sino también aquellos otros en que exista una duda razonable de que pudiera serlo. Ante la incertidumbre, se impone también la minoría de edad. No es preciso, por tanto, razonar en demasía por qué, la presencia de un extranjero menor de edad que es localizado sin apoyo familiar constituye el presupuesto para el desenvolvimiento de las competencias encaminadas a su protección.</w:t>
      </w:r>
    </w:p>
    <w:p w14:paraId="057FCC92" w14:textId="77777777" w:rsidR="00A8138F" w:rsidRDefault="00A8138F" w:rsidP="00A8138F">
      <w:pPr>
        <w:pStyle w:val="TextoNormal"/>
      </w:pPr>
    </w:p>
    <w:p w14:paraId="712244D0" w14:textId="77777777" w:rsidR="00A8138F" w:rsidRDefault="00A8138F" w:rsidP="00A8138F">
      <w:pPr>
        <w:pStyle w:val="TextoNormal"/>
      </w:pPr>
      <w:r>
        <w:t xml:space="preserve">En la STEDH </w:t>
      </w:r>
      <w:r w:rsidRPr="00A8138F">
        <w:rPr>
          <w:i/>
        </w:rPr>
        <w:t>Darboe y Camara c. Italia</w:t>
      </w:r>
      <w:r>
        <w:t xml:space="preserve">, antes citada, el Tribunal de Estrasburgo declara la importancia de tener en cuenta la especial vulnerabilidad de un menor como factor decisivo que debe prevalecer sobre las consideraciones relativas a su condición de inmigrante y a su situación irregular (§ 173, con cita también de la STEDH de 12 de octubre de 2006, asunto </w:t>
      </w:r>
      <w:r w:rsidRPr="00A8138F">
        <w:rPr>
          <w:i/>
        </w:rPr>
        <w:t>Mubilanzila Mayeka y Kaniki Mitunga c Bélgica</w:t>
      </w:r>
      <w:r>
        <w:t>, § 55). Así lo impone, por lo demás, la necesaria observancia del mandato dirigido a los poderes públicos en el art. 39 CE (“[l]os niños gozarán de la protección prevista en los acuerdos internacionales que velan por sus derechos”) y los numerosos pronunciamientos de este tribunal que han subrayado que “el interés superior del menor es la consideración primordial a la que deben atender todas las medidas concernientes a los menores ‘que tomen las instituciones públicas o privadas de bienestar social, los tribunales, las autoridades administrativas o los órganos legislativos’, según el art. 3.1 de la Convención sobre los derechos del niño”, adoptada por la Asamblea General de las Naciones Unidas el 20 de noviembre de 1989 y ratificada por España mediante instrumento de 30 de noviembre de 1990 (entre otras, SSTC 141/2000, de 29 de mayo, FJ 5; 178/2020, de 14 de diciembre, FJ 3, y 148/2023, de 6 de noviembre, FJ 4).</w:t>
      </w:r>
    </w:p>
    <w:p w14:paraId="60B10231" w14:textId="77777777" w:rsidR="00A8138F" w:rsidRDefault="00A8138F" w:rsidP="00A8138F">
      <w:pPr>
        <w:pStyle w:val="TextoNormal"/>
      </w:pPr>
    </w:p>
    <w:p w14:paraId="29F27A7E" w14:textId="77777777" w:rsidR="00A8138F" w:rsidRDefault="00A8138F" w:rsidP="00A8138F">
      <w:pPr>
        <w:pStyle w:val="TextoNormal"/>
      </w:pPr>
      <w:r>
        <w:t>En el presente caso, no es controvertido que la Comunidad Autónoma de Canarias es competente en materia de “protección de menores”. Efectivamente, de conformidad con el art. 147.2 EACan “[c]orresponde a la Comunidad Autónoma de Canarias la competencia exclusiva en materia de protección de menores que incluye, en todo caso, […] la regulación del régimen de protección y de las instituciones públicas de protección y tutela de los menores desamparados, en situación de riesgo y de los menores infractores, sin perjuicio de lo dispuesto en la legislación civil y penal”. Además, el art. 144.1 d) EACan menciona expresamente a los menores extranjeros no acompañados, en los siguientes términos: “[c]orresponde a la Comunidad Autónoma de Canarias, en materia de inmigración sin perjuicio de las competencias constitucionalmente atribuidas al Estado sobre la materia: […] d) El establecimiento, de acuerdo con la normativa estatal, de un marco de referencia para la acogida e integración de las personas inmigrantes, incluidos los menores extranjeros no acompañados”.</w:t>
      </w:r>
    </w:p>
    <w:p w14:paraId="22B92A8A" w14:textId="77777777" w:rsidR="00A8138F" w:rsidRDefault="00A8138F" w:rsidP="00A8138F">
      <w:pPr>
        <w:pStyle w:val="TextoNormal"/>
      </w:pPr>
    </w:p>
    <w:p w14:paraId="5A55AD50" w14:textId="77777777" w:rsidR="00A8138F" w:rsidRDefault="00A8138F" w:rsidP="00A8138F">
      <w:pPr>
        <w:pStyle w:val="TextoNormal"/>
      </w:pPr>
      <w:r>
        <w:t>La LOPJM enuncia en su art. 12 las distintas actuaciones de protección a adoptar por los poderes públicos, con referencia al ejercicio de la guarda en situaciones de riesgo, y la asunción de la tutela por ministerio de la ley en los casos de declaración de desamparo. Sin embargo, la protección del menor no se agota con el despliegue de las referidas institucio</w:t>
      </w:r>
      <w:r>
        <w:lastRenderedPageBreak/>
        <w:t>nes, sino que la integralidad que inspira la función tuitiva del menor exige que la respuesta protectora se materialice desde los primeros momentos en que se localice a un menor o a quien, razonablemente, pudiera serlo.</w:t>
      </w:r>
    </w:p>
    <w:p w14:paraId="689D0D0C" w14:textId="77777777" w:rsidR="00A8138F" w:rsidRDefault="00A8138F" w:rsidP="00A8138F">
      <w:pPr>
        <w:pStyle w:val="TextoNormal"/>
      </w:pPr>
    </w:p>
    <w:p w14:paraId="58972AED" w14:textId="77777777" w:rsidR="00A8138F" w:rsidRDefault="00A8138F" w:rsidP="00A8138F">
      <w:pPr>
        <w:pStyle w:val="TextoNormal"/>
      </w:pPr>
      <w:r>
        <w:t xml:space="preserve">Ello explica que, junto con los institutos típicos de protección del menor, la LOPJM regule en su art. 14 la denominada “atención inmediata” que tendrán obligación de prestar las autoridades y servicios públicos, actuando en tal sentido si corresponde a su ámbito de competencias, o dando traslado, en otro caso, al órgano competente y poniendo los hechos en conocimiento de los representantes legales del menor o, cuando sea necesario de la entidad pública y del Ministerio Fiscal; previendo igualmente (art. 14.2 LOPJM) en cumplimiento de la obligación de prestar tal atención inmediata, la posible asunción de la guarda provisional del menor, </w:t>
      </w:r>
      <w:r w:rsidRPr="00A8138F">
        <w:rPr>
          <w:i/>
        </w:rPr>
        <w:t>ex</w:t>
      </w:r>
      <w:r>
        <w:t xml:space="preserve"> art. 172.4 CC, con comunicación al Ministerio Fiscal, y práctica simultánea de las diligencias precisas para identificar al menor, investigar sus circunstancias y constatar, en su caso, la situación real de desamparo. Lo anterior se complementa con la previsión referida a los casos de urgencia que exigirán la atención inmediata de los servicios sociales (art. 1</w:t>
      </w:r>
      <w:r w:rsidRPr="00A8138F">
        <w:rPr>
          <w:i/>
        </w:rPr>
        <w:t>4 b</w:t>
      </w:r>
      <w:r>
        <w:t>is LOPJM).</w:t>
      </w:r>
    </w:p>
    <w:p w14:paraId="27A1931A" w14:textId="77777777" w:rsidR="00A8138F" w:rsidRDefault="00A8138F" w:rsidP="00A8138F">
      <w:pPr>
        <w:pStyle w:val="TextoNormal"/>
      </w:pPr>
    </w:p>
    <w:p w14:paraId="5CB1C496" w14:textId="77777777" w:rsidR="00A8138F" w:rsidRDefault="00A8138F" w:rsidP="00A8138F">
      <w:pPr>
        <w:pStyle w:val="TextoNormal"/>
      </w:pPr>
      <w:r>
        <w:t>La legislación de extranjería no ha sido tampoco desconocedora de dicha circunstancia, y en tal sentido el art. 35 LOEx, bajo la rúbrica “Menores no acompañados”, dispone en su apartado tercero que “[e]n los supuestos en que los cuerpos y fuerzas de seguridad del Estado localicen a un extranjero indocumentado cuya minoría de edad no pueda ser establecida con seguridad, se le dará por los servicios competentes de protección de menores, la atención inmediata que precise, de acuerdo con lo establecido en la legislación de protección jurídica del menor, poniéndose el hecho en conocimiento inmediato del Ministerio Fiscal, que dispondrá la determinación de su edad, para lo que colaborarán las instituciones sanitarias oportunas que, con carácter prioritario, realizarán las pruebas necesarias”; estableciendo, por su parte el apartado cuarto que “[d]eterminada la edad, si se tratase de un menor, el Ministerio Fiscal lo pondrá a disposición de los servicios competentes de protección de menores de la comunidad autónoma en la que se halle”.</w:t>
      </w:r>
    </w:p>
    <w:p w14:paraId="76017E4F" w14:textId="77777777" w:rsidR="00A8138F" w:rsidRDefault="00A8138F" w:rsidP="00A8138F">
      <w:pPr>
        <w:pStyle w:val="TextoNormal"/>
      </w:pPr>
    </w:p>
    <w:p w14:paraId="330D34D3" w14:textId="77777777" w:rsidR="00A8138F" w:rsidRDefault="00A8138F" w:rsidP="00A8138F">
      <w:pPr>
        <w:pStyle w:val="TextoNormal"/>
      </w:pPr>
      <w:r>
        <w:t>De lo anterior se deriva, por tanto, con relativa claridad, que la recepción y acogimiento inicial de un extranjero menor de edad, o que pudiera, razonablemente, serlo, es competencia de la comunidad autónoma que tenga asumidas estatutariamente competencias en materia de protección de menores.</w:t>
      </w:r>
    </w:p>
    <w:p w14:paraId="3374AF7C" w14:textId="77777777" w:rsidR="00A8138F" w:rsidRDefault="00A8138F" w:rsidP="00A8138F">
      <w:pPr>
        <w:pStyle w:val="TextoNormal"/>
      </w:pPr>
    </w:p>
    <w:p w14:paraId="1B9B5D66" w14:textId="77777777" w:rsidR="00A8138F" w:rsidRDefault="00A8138F" w:rsidP="00A8138F">
      <w:pPr>
        <w:pStyle w:val="TextoNormal"/>
      </w:pPr>
      <w:r>
        <w:t>De dicha conclusión no parece ser ajena la Comunidad Autónoma de Canarias cuando su propia legislación en materia de protección de la infancia así lo prevé expresamente. En este sentido, el art. 53.2 de la Ley 1/1997, de 7 de febrero, de atención integral a los menores, bajo el epígrafe “Atención inmediata”, establece que los “centros de acogida inmediata atenderán en la forma que se precise a personas menores de edad en grave riesgo o cuya tutela o guarda, por cualquier otra causa, haya sido asumida por la entidad pública. Igualmente acogerán de urgencia a menores de edad extranjeros no acompañados o indocumentados puestos a disposición por los cuerpos y fuerzas de seguridad del Estado cuya minoría de edad no pueda ser establecida con seguridad y se halle pendiente de determinación”.</w:t>
      </w:r>
    </w:p>
    <w:p w14:paraId="63CDF0BC" w14:textId="77777777" w:rsidR="00A8138F" w:rsidRDefault="00A8138F" w:rsidP="00A8138F">
      <w:pPr>
        <w:pStyle w:val="TextoNormal"/>
      </w:pPr>
    </w:p>
    <w:p w14:paraId="357D55A4" w14:textId="77777777" w:rsidR="00A8138F" w:rsidRDefault="00A8138F" w:rsidP="00A8138F">
      <w:pPr>
        <w:pStyle w:val="TextoNormal"/>
      </w:pPr>
      <w:r>
        <w:t xml:space="preserve">De estas previsiones se apartan las resoluciones recurridas al ordenar, la primera, la no recepción de nuevos migrantes con cargo a la comunidad autónoma, como al excluir el protocolo de la entrega y recepción por los servicios de protección de menores de la Comunidad </w:t>
      </w:r>
      <w:r>
        <w:lastRenderedPageBreak/>
        <w:t>Autónoma de Canarias a los menores migrantes no acompañados que hayan sido rescatados por el Estado en el mar o que sean interceptados por Guardia Civil y Policía Nacional a su llegada a la costa, bajo el pretexto de no estar desamparados.</w:t>
      </w:r>
    </w:p>
    <w:p w14:paraId="74F2D43C" w14:textId="77777777" w:rsidR="00A8138F" w:rsidRDefault="00A8138F" w:rsidP="00A8138F">
      <w:pPr>
        <w:pStyle w:val="TextoNormal"/>
      </w:pPr>
    </w:p>
    <w:p w14:paraId="3968C658" w14:textId="77777777" w:rsidR="00A8138F" w:rsidRDefault="00A8138F" w:rsidP="00A8138F">
      <w:pPr>
        <w:pStyle w:val="TextoNormal"/>
      </w:pPr>
      <w:r>
        <w:t>Nuestra doctrina es clara acerca de la irrenunciabilidad e indisponibilidad de las competencias (entre otras, las SSTC 329/1993, de 12 de noviembre, FJ 1; 196/1997, de 13 de noviembre, FJ 2; 168/2009, de 9 de julio, FJ 3; 1/2012, de 13 de enero, FJ 13; 36/2021, de 18 de febrero, FJ 3, y 157/2021, de 16 de septiembre, FJ 3), cuya distribución entre el Estado y las comunidades autónomas responde a la forma de organización territorial del Estado configurada por la Constitución (STC 26/1982, de 24 de mayo, FJ 1). Las relaciones del Estado, con las comunidades autónomas, se sustentan en la fijación de esferas de competencia indisponibles e irrenunciables por imperativo constitucional (STC 247/2007, de 12 de diciembre, FJ 22).</w:t>
      </w:r>
    </w:p>
    <w:p w14:paraId="76494A50" w14:textId="77777777" w:rsidR="00A8138F" w:rsidRDefault="00A8138F" w:rsidP="00A8138F">
      <w:pPr>
        <w:pStyle w:val="TextoNormal"/>
      </w:pPr>
    </w:p>
    <w:p w14:paraId="73FBDE31" w14:textId="77777777" w:rsidR="00A8138F" w:rsidRDefault="00A8138F" w:rsidP="00A8138F">
      <w:pPr>
        <w:pStyle w:val="TextoNormal"/>
      </w:pPr>
      <w:r>
        <w:t>Procede, en suma, acoger el motivo de impugnación consistente en que la Comunidad Autónoma de Canarias, a través de las resoluciones recurridas, habría dispuesto de sus competencias en materia de protección de menores, y, en particular de los menores extranjeros no acompañados, en forma contraria a su propio estatuto de autonomía [arts. 147.2 y 144.1 d) EACan].</w:t>
      </w:r>
    </w:p>
    <w:p w14:paraId="1B480833" w14:textId="77777777" w:rsidR="00A8138F" w:rsidRDefault="00A8138F" w:rsidP="00A8138F">
      <w:pPr>
        <w:pStyle w:val="TextoNormal"/>
      </w:pPr>
    </w:p>
    <w:p w14:paraId="1E858BE2" w14:textId="77777777" w:rsidR="00A8138F" w:rsidRDefault="00A8138F" w:rsidP="00A8138F">
      <w:pPr>
        <w:pStyle w:val="TextoNormal"/>
      </w:pPr>
      <w:r>
        <w:t>Este es el fallo que procede en Derecho, pero el Tribunal no puede cerrar los ojos ante la realidad subyacente a este proceso constitucional. La inmigración es un fenómeno de evidente naturaleza supraautonómica que trasciende el círculo de sus intereses propios (art. 137 CE) y sobrepasa notoriamente su capacidad de gestión autónoma. Junto con el derecho a la “autonomía” de las nacionalidades y regiones españolas, el art. 2 CE alude a la necesaria “solidaridad entre todas ellas”. Además, este tribunal ha reiterado que “el Estado y las comunidades autónomas están recíprocamente sometidos a un deber general de colaboración que no es preciso justificar en preceptos concretos, porque es de esencia al modelo de organización territorial implantado por la Constitución” (SSTC 80/1985, de 4 de julio, FJ 2; 96/1986, de 10 de julio, FJ 3; 118/1996, de 27 de junio, FJ 66, y 148/2000, de 1 de junio, FJ 13). Dicho en otros términos, “el adecuado funcionamiento del Estado autonómico se sustenta en los principios de cooperación y coordinación entre el Estado y las comunidades autónomas y de estas entre sí, además de en el establecimiento de un sistema de relaciones presididas por la lealtad constitucional, principios todos ellos que deben hacerse efectivos al margen, incluso, del régimen de distribución competencial” (STC 247/2007, de 12 de diciembre, FJ 23, con cita de las SSTC 18/1982, de 4 de mayo, FJ 14; 152/1988, de 20 de julio, FJ 6, y 194/2004, de 4 de noviembre, FJ 9, entre otras muchas).</w:t>
      </w:r>
    </w:p>
    <w:p w14:paraId="29827EA0" w14:textId="77777777" w:rsidR="00A8138F" w:rsidRDefault="00A8138F" w:rsidP="00A8138F">
      <w:pPr>
        <w:pStyle w:val="TextoNormal"/>
      </w:pPr>
    </w:p>
    <w:p w14:paraId="37E1F7DC" w14:textId="77777777" w:rsidR="00A8138F" w:rsidRDefault="00A8138F" w:rsidP="00A8138F">
      <w:pPr>
        <w:pStyle w:val="TextoNormal"/>
      </w:pPr>
      <w:r>
        <w:t>En su escrito de alegaciones, el representante del Gobierno canario insiste en que no se ha producido materialmente ningún rechazo de menores extranjeros no acompañados en cumplimiento del acuerdo y protocolo impugnados, y que la administración autonómica sigue haciendo frente a sus responsabilidades constitucionales, estatutarias y legales, aun considerándose “desbordada”. Sitúa el contexto de las resoluciones aludiendo a la insuficiente colaboración de la administración del Estado y de la Conferencia Sectorial de Infancia y Adolescencia celebrada el 10 de julio de 2024.</w:t>
      </w:r>
    </w:p>
    <w:p w14:paraId="41E9058D" w14:textId="77777777" w:rsidR="00A8138F" w:rsidRDefault="00A8138F" w:rsidP="00A8138F">
      <w:pPr>
        <w:pStyle w:val="TextoNormal"/>
      </w:pPr>
    </w:p>
    <w:p w14:paraId="3784C170" w14:textId="0401E27D" w:rsidR="00A8138F" w:rsidRDefault="00A8138F" w:rsidP="00A8138F">
      <w:pPr>
        <w:pStyle w:val="TextoNormal"/>
      </w:pPr>
      <w:r>
        <w:t>Ello no permite enervar la contradicción jurídica apreciada entre la Constitución y el Estatuto de Autonomía, por una parte, y las resoluciones impugnadas, por otra.</w:t>
      </w:r>
    </w:p>
    <w:p w14:paraId="49D76064" w14:textId="77777777" w:rsidR="00A8138F" w:rsidRDefault="00A8138F" w:rsidP="00A8138F">
      <w:pPr>
        <w:pStyle w:val="TextoNormal"/>
      </w:pPr>
    </w:p>
    <w:p w14:paraId="71DD7FA3" w14:textId="77777777" w:rsidR="00A8138F" w:rsidRDefault="00A8138F" w:rsidP="00A8138F">
      <w:pPr>
        <w:pStyle w:val="TextoNormal"/>
      </w:pPr>
      <w:r w:rsidRPr="00A8138F">
        <w:rPr>
          <w:rStyle w:val="NumeroAFNegritaCaracter"/>
        </w:rPr>
        <w:t>4</w:t>
      </w:r>
      <w:r>
        <w:t xml:space="preserve">. </w:t>
      </w:r>
      <w:r w:rsidRPr="00A8138F">
        <w:rPr>
          <w:i/>
        </w:rPr>
        <w:t>Delimitación de la declaración de inconstitucionalidad</w:t>
      </w:r>
    </w:p>
    <w:p w14:paraId="3130D16B" w14:textId="77777777" w:rsidR="00A8138F" w:rsidRDefault="00A8138F" w:rsidP="00A8138F">
      <w:pPr>
        <w:pStyle w:val="TextoNormal"/>
      </w:pPr>
    </w:p>
    <w:p w14:paraId="535B12C0" w14:textId="77777777" w:rsidR="00A8138F" w:rsidRDefault="00A8138F" w:rsidP="00A8138F">
      <w:pPr>
        <w:pStyle w:val="TextoNormal"/>
      </w:pPr>
      <w:r>
        <w:t>El motivo de inconstitucionalidad apreciado obliga a delimitar el alcance del fallo.</w:t>
      </w:r>
    </w:p>
    <w:p w14:paraId="44B2AB80" w14:textId="77777777" w:rsidR="00A8138F" w:rsidRDefault="00A8138F" w:rsidP="00A8138F">
      <w:pPr>
        <w:pStyle w:val="TextoNormal"/>
      </w:pPr>
    </w:p>
    <w:p w14:paraId="0991965C" w14:textId="77777777" w:rsidR="00A8138F" w:rsidRDefault="00A8138F" w:rsidP="00A8138F">
      <w:pPr>
        <w:pStyle w:val="TextoNormal"/>
      </w:pPr>
      <w:r>
        <w:t>La tacha de inconstitucionalidad alcanza a la totalidad de la resolución, de 10 de septiembre de 2024, aprobatoria del protocolo territorial de recepción de menores extranjeros migrantes no acompañados en la Comunidad Autónoma de Canarias, al excluir este de su ámbito de aplicación, y de la consiguiente entrega y recepción por los servicios de protección de menores de la comunidad autónoma, a los menores migrantes no acompañados que hayan sido rescatados por el Estado en el mar o que sean interceptados por la Guardia Civil y Policía Nacional a su llegada a la costa; exclusión esta que, por las razones que hemos desarrollado, resulta contraria al orden constitucional de distribución de competencias.</w:t>
      </w:r>
    </w:p>
    <w:p w14:paraId="4C45CF96" w14:textId="77777777" w:rsidR="00A8138F" w:rsidRDefault="00A8138F" w:rsidP="00A8138F">
      <w:pPr>
        <w:pStyle w:val="TextoNormal"/>
      </w:pPr>
    </w:p>
    <w:p w14:paraId="338C4EAC" w14:textId="7DE8F69B" w:rsidR="00A8138F" w:rsidRDefault="00A8138F" w:rsidP="00A8138F">
      <w:pPr>
        <w:pStyle w:val="TextoNormal"/>
      </w:pPr>
      <w:r>
        <w:t>Respecto del acuerdo del Gobierno de Canarias, de 2 de septiembre de 2024, “en relación con los menores extranjeros no acompañados”, habiéndose impugnado en sus apartados segundo, tercero y sexto, la declaración de inconstitucionalidad alcanza solamente al apartado segundo en cuya virtud se comunica a las entidades colaboradoras de la Comunidad Autónoma de Canarias la no recepción, salvo previa conformidad o autorización, de nuevos migrantes con cargo a la comunidad autónoma; ello por los mismos motivos explicitados anteriormente. En cambio, los apartados tercero —que se limita a requerir al Estado para el cumplimiento de sus obligaciones en materia migratoria—, y sexto —por el cual se designa a la consejería competente para el seguimiento y ejecución del acuerdo—, constituyen un legítimo ejercicio de las competencias autonómicas y resultan inocuos para las competencias y derechos cuya tutela ha fundamentado la impugnación por el Gobierno de la Nación.</w:t>
      </w:r>
    </w:p>
    <w:p w14:paraId="38DA6907" w14:textId="77777777" w:rsidR="00A8138F" w:rsidRDefault="00A8138F" w:rsidP="00A8138F">
      <w:pPr>
        <w:pStyle w:val="TextoNormal"/>
      </w:pPr>
    </w:p>
    <w:p w14:paraId="4F9C7FA6" w14:textId="77777777" w:rsidR="00A8138F" w:rsidRDefault="00A8138F" w:rsidP="00A8138F">
      <w:pPr>
        <w:pStyle w:val="TextoNormal"/>
      </w:pPr>
      <w:r w:rsidRPr="00A8138F">
        <w:rPr>
          <w:rStyle w:val="NumeroAFNegritaCaracter"/>
        </w:rPr>
        <w:t>5</w:t>
      </w:r>
      <w:r>
        <w:t xml:space="preserve">. </w:t>
      </w:r>
      <w:r w:rsidRPr="00A8138F">
        <w:rPr>
          <w:i/>
        </w:rPr>
        <w:t>Pérdida de objeto de la solicitud de alzamiento de la suspensión (art. 161.2 CE)</w:t>
      </w:r>
    </w:p>
    <w:p w14:paraId="5D1430FA" w14:textId="77777777" w:rsidR="00A8138F" w:rsidRDefault="00A8138F" w:rsidP="00A8138F">
      <w:pPr>
        <w:pStyle w:val="TextoNormal"/>
      </w:pPr>
    </w:p>
    <w:p w14:paraId="39088361" w14:textId="40A8244A" w:rsidR="00A8138F" w:rsidRDefault="00A8138F" w:rsidP="00A8138F">
      <w:pPr>
        <w:pStyle w:val="TextoNormal"/>
      </w:pPr>
      <w:r>
        <w:t>La resolución de la impugnación antes del vencimiento del plazo de cinco meses a que se refiere el art. 161.2 CE hace innecesario pronunciarse sobre el levantamiento o mantenimiento de la suspensión de la vigencia de las resoluciones impugnadas.</w:t>
      </w:r>
    </w:p>
    <w:p w14:paraId="450CE81E" w14:textId="77777777" w:rsidR="00A8138F" w:rsidRDefault="00A8138F" w:rsidP="00A8138F">
      <w:pPr>
        <w:pStyle w:val="TextoNormal"/>
      </w:pPr>
    </w:p>
    <w:p w14:paraId="06052FD0" w14:textId="77777777" w:rsidR="00A8138F" w:rsidRDefault="00A8138F" w:rsidP="00A8138F">
      <w:pPr>
        <w:pStyle w:val="TextoNormalCentrado"/>
        <w:keepNext/>
      </w:pPr>
      <w:r>
        <w:t>FALLO</w:t>
      </w:r>
    </w:p>
    <w:p w14:paraId="5A68FEE6" w14:textId="0907A9AE" w:rsidR="00A8138F" w:rsidRDefault="00A8138F" w:rsidP="00A8138F">
      <w:pPr>
        <w:pStyle w:val="TextoNormalCentrado"/>
        <w:keepNext/>
      </w:pPr>
    </w:p>
    <w:p w14:paraId="59BE54AB" w14:textId="77777777" w:rsidR="00A8138F" w:rsidRDefault="00A8138F" w:rsidP="00A8138F">
      <w:pPr>
        <w:pStyle w:val="TextoNormal"/>
      </w:pPr>
      <w:r>
        <w:t>En atención a todo lo expuesto, el Tribunal Constitucional, por la autoridad que le confiere la Constitución de la Nación española, ha decidido:</w:t>
      </w:r>
    </w:p>
    <w:p w14:paraId="56E5BD66" w14:textId="77777777" w:rsidR="00A8138F" w:rsidRDefault="00A8138F" w:rsidP="00A8138F">
      <w:pPr>
        <w:pStyle w:val="TextoNormal"/>
      </w:pPr>
    </w:p>
    <w:p w14:paraId="57E0EC8C" w14:textId="77777777" w:rsidR="00A8138F" w:rsidRDefault="00A8138F" w:rsidP="00A8138F">
      <w:pPr>
        <w:pStyle w:val="TextoNormal"/>
      </w:pPr>
      <w:r>
        <w:t>1º Estimar parcialmente la impugnación de disposiciones autonómicas (título V LOTC) promovida por el Gobierno de la Nación y, en consecuencia, declarar la inconstitucionalidad y nulidad:</w:t>
      </w:r>
    </w:p>
    <w:p w14:paraId="1DB934F6" w14:textId="77777777" w:rsidR="00A8138F" w:rsidRDefault="00A8138F" w:rsidP="00A8138F">
      <w:pPr>
        <w:pStyle w:val="TextoNormal"/>
      </w:pPr>
    </w:p>
    <w:p w14:paraId="368746B1" w14:textId="77777777" w:rsidR="00A8138F" w:rsidRDefault="00A8138F" w:rsidP="00A8138F">
      <w:pPr>
        <w:pStyle w:val="TextoNormal"/>
      </w:pPr>
      <w:r>
        <w:t>a) del apartado segundo del acuerdo del Gobierno de Canarias, de 2 de septiembre de 2024, “en relación con los menores extranjeros no acompañados”; y</w:t>
      </w:r>
    </w:p>
    <w:p w14:paraId="3875D8E8" w14:textId="77777777" w:rsidR="00A8138F" w:rsidRDefault="00A8138F" w:rsidP="00A8138F">
      <w:pPr>
        <w:pStyle w:val="TextoNormal"/>
      </w:pPr>
    </w:p>
    <w:p w14:paraId="113D0168" w14:textId="77777777" w:rsidR="00A8138F" w:rsidRDefault="00A8138F" w:rsidP="00A8138F">
      <w:pPr>
        <w:pStyle w:val="TextoNormal"/>
      </w:pPr>
      <w:r>
        <w:t>b) de la resolución de la Dirección General de Protección a la Infancia y las Familias, de 10 de septiembre de 2024, “por la que se establece el protocolo territorial de recepción de menores extranjeros migrantes no acompañados en la Comunidad Autónoma de Canarias”.</w:t>
      </w:r>
    </w:p>
    <w:p w14:paraId="7990DB3D" w14:textId="77777777" w:rsidR="00A8138F" w:rsidRDefault="00A8138F" w:rsidP="00A8138F">
      <w:pPr>
        <w:pStyle w:val="TextoNormal"/>
      </w:pPr>
    </w:p>
    <w:p w14:paraId="59AF0EAE" w14:textId="04F44805" w:rsidR="00A8138F" w:rsidRDefault="00A8138F" w:rsidP="00A8138F">
      <w:pPr>
        <w:pStyle w:val="TextoNormal"/>
      </w:pPr>
      <w:r>
        <w:t>2º Desestimar la impugnación en todo lo demás.</w:t>
      </w:r>
    </w:p>
    <w:p w14:paraId="61830F1E" w14:textId="77777777" w:rsidR="00A8138F" w:rsidRDefault="00A8138F" w:rsidP="00A8138F">
      <w:pPr>
        <w:pStyle w:val="TextoNormal"/>
      </w:pPr>
    </w:p>
    <w:p w14:paraId="72B1EAC0" w14:textId="77777777" w:rsidR="00A8138F" w:rsidRDefault="00A8138F" w:rsidP="00A8138F">
      <w:pPr>
        <w:pStyle w:val="TextoNormal"/>
      </w:pPr>
      <w:r>
        <w:t>Publíquese esta sentencia en el “Boletín Oficial del Estado”.</w:t>
      </w:r>
    </w:p>
    <w:p w14:paraId="27A78911" w14:textId="77777777" w:rsidR="00A8138F" w:rsidRDefault="00A8138F" w:rsidP="00A8138F">
      <w:pPr>
        <w:pStyle w:val="TextoNormal"/>
      </w:pPr>
      <w:r>
        <w:t>Dada en Madrid, a doce de febrero de dos mil veinticinco.</w:t>
      </w:r>
    </w:p>
    <w:p w14:paraId="3DA221DD" w14:textId="0FFA0024" w:rsidR="00A8138F" w:rsidRDefault="00A8138F">
      <w:pPr>
        <w:spacing w:after="160" w:line="278" w:lineRule="auto"/>
        <w:rPr>
          <w:rFonts w:ascii="Times New Roman" w:eastAsia="Times New Roman" w:hAnsi="Times New Roman" w:cs="Times New Roman"/>
          <w:sz w:val="24"/>
          <w:szCs w:val="24"/>
          <w:lang w:eastAsia="es-ES"/>
        </w:rPr>
      </w:pPr>
      <w:r>
        <w:br w:type="page"/>
      </w:r>
    </w:p>
    <w:p w14:paraId="5BC21308" w14:textId="77777777" w:rsidR="00A8138F" w:rsidRDefault="00A8138F" w:rsidP="00A8138F">
      <w:pPr>
        <w:pStyle w:val="TtuloResolucin"/>
      </w:pPr>
      <w:bookmarkStart w:id="46" w:name="SENTENCIA_2025_44"/>
      <w:r>
        <w:lastRenderedPageBreak/>
        <w:t>SENTENCIA 44/2025, de 12 de febrero de 2025</w:t>
      </w:r>
    </w:p>
    <w:bookmarkEnd w:id="46"/>
    <w:p w14:paraId="161674BB" w14:textId="77777777" w:rsidR="00A8138F" w:rsidRDefault="00A8138F" w:rsidP="00A8138F">
      <w:pPr>
        <w:pStyle w:val="TtuloResolucin"/>
      </w:pPr>
      <w:r>
        <w:t>Pleno</w:t>
      </w:r>
    </w:p>
    <w:p w14:paraId="3FF7F28F" w14:textId="77777777" w:rsidR="00A8138F" w:rsidRDefault="00A8138F" w:rsidP="00A8138F">
      <w:pPr>
        <w:pStyle w:val="TtuloBOE"/>
      </w:pPr>
      <w:r>
        <w:t>(BOE núm. 69, de 21 de marzo de 2025)</w:t>
      </w:r>
    </w:p>
    <w:p w14:paraId="70A1B2C1" w14:textId="77777777" w:rsidR="00A8138F" w:rsidRDefault="00A8138F" w:rsidP="00A8138F">
      <w:pPr>
        <w:pStyle w:val="TextoNormalCentrado"/>
      </w:pPr>
      <w:r>
        <w:t>ECLI:ES:TC:2025:44</w:t>
      </w:r>
    </w:p>
    <w:p w14:paraId="642C30C9" w14:textId="0E586830" w:rsidR="00A8138F" w:rsidRDefault="00A8138F" w:rsidP="00A8138F">
      <w:pPr>
        <w:pStyle w:val="TextoNormalCentrado"/>
      </w:pPr>
    </w:p>
    <w:p w14:paraId="4956429A" w14:textId="77777777" w:rsidR="00A8138F" w:rsidRDefault="00A8138F" w:rsidP="00A8138F">
      <w:pPr>
        <w:pStyle w:val="SntesisDescriptiva"/>
      </w:pPr>
      <w:r>
        <w:t>Recurso de inconstitucionalidad 7245-2024. Interpuesto por el presidente del Gobierno frente a los apartados primero y segundo del artículo 12 de la Ley del Parlamento de La Rioja 13/2023, de 28 de diciembre, de medidas fiscales y administrativas para el año 2024.</w:t>
      </w:r>
    </w:p>
    <w:p w14:paraId="28263E85" w14:textId="55FF9725" w:rsidR="00A8138F" w:rsidRDefault="00A8138F" w:rsidP="00A8138F">
      <w:pPr>
        <w:pStyle w:val="SntesisDescriptiva"/>
      </w:pPr>
    </w:p>
    <w:p w14:paraId="3EC27BCD" w14:textId="77777777" w:rsidR="00A8138F" w:rsidRDefault="00A8138F" w:rsidP="00A8138F">
      <w:pPr>
        <w:pStyle w:val="SntesisAnaltica"/>
      </w:pPr>
      <w:r>
        <w:t>Competencias sobre procedimiento administrativo y contratación pública: constitucionalidad de la regulación autonómica sobre la tramitación urgente de procedimientos de ejecución de gastos con cargo a fondos europeos provenientes del Instrumento Europeo de Recuperación.</w:t>
      </w:r>
    </w:p>
    <w:p w14:paraId="6E15D5EA" w14:textId="16651425" w:rsidR="00A8138F" w:rsidRDefault="00A8138F" w:rsidP="00A8138F">
      <w:pPr>
        <w:pStyle w:val="SntesisAnaltica"/>
      </w:pPr>
    </w:p>
    <w:p w14:paraId="04FDD181" w14:textId="72947285" w:rsidR="00A8138F" w:rsidRDefault="00A8138F" w:rsidP="00A8138F">
      <w:pPr>
        <w:pStyle w:val="Extracto"/>
      </w:pPr>
      <w:r>
        <w:t>1.</w:t>
      </w:r>
      <w:r>
        <w:tab/>
        <w:t>La reproducción de una norma estatal que la legislación autonómica ha utilizado como modelo o patrón es constitucionalmente válida si además se circunscribe al ejercicio de las competencias exclusivas de la Comunidad Autónoma previstas en su Estatuto de Autonomía [FJ 3].</w:t>
      </w:r>
    </w:p>
    <w:p w14:paraId="730F1B7F" w14:textId="77777777" w:rsidR="00A8138F" w:rsidRDefault="00A8138F" w:rsidP="00A8138F">
      <w:pPr>
        <w:pStyle w:val="Extracto"/>
      </w:pPr>
    </w:p>
    <w:p w14:paraId="57707088" w14:textId="1DB4CF24" w:rsidR="00A8138F" w:rsidRDefault="00A8138F" w:rsidP="00A8138F">
      <w:pPr>
        <w:pStyle w:val="Extracto"/>
      </w:pPr>
      <w:r>
        <w:t>2.</w:t>
      </w:r>
      <w:r>
        <w:tab/>
        <w:t>Nos encontramos ante un supuesto de eventual inconstitucionalidad mediata, cuando la incompatibilidad de la norma autonómica no se predica directamente respecto del texto constitucional, sino de una ley estatal que, a su vez, desarrolla una competencia básica atribuida [FJ 4].</w:t>
      </w:r>
    </w:p>
    <w:p w14:paraId="6298268A" w14:textId="77777777" w:rsidR="00A8138F" w:rsidRDefault="00A8138F" w:rsidP="00A8138F">
      <w:pPr>
        <w:pStyle w:val="Extracto"/>
      </w:pPr>
    </w:p>
    <w:p w14:paraId="097D9128" w14:textId="0E3B14A5" w:rsidR="00A8138F" w:rsidRDefault="00A8138F" w:rsidP="00A8138F">
      <w:pPr>
        <w:pStyle w:val="Extracto"/>
      </w:pPr>
      <w:r>
        <w:t>3.</w:t>
      </w:r>
      <w:r>
        <w:tab/>
        <w:t>La definición de lo básico ha de permitir a las comunidades autónomas su desarrollo a través de la consecución de opciones legislativas propias, de forma que la legislación básica no agote completamente la materia (SSTC 32/1981); cosa que sucederá si una regulación es excesivamente minuciosa o detallada, salvo que sea imprescindible para el ejercicio efectivo de competencias establecidas (SSTC 147/1991 o 68/2021) [FJ 4].</w:t>
      </w:r>
    </w:p>
    <w:p w14:paraId="3D6A47B3" w14:textId="77777777" w:rsidR="00A8138F" w:rsidRDefault="00A8138F" w:rsidP="00A8138F">
      <w:pPr>
        <w:pStyle w:val="Extracto"/>
      </w:pPr>
    </w:p>
    <w:p w14:paraId="05E0AB7F" w14:textId="3AE79828" w:rsidR="00A8138F" w:rsidRDefault="00A8138F" w:rsidP="00A8138F">
      <w:pPr>
        <w:pStyle w:val="Extracto"/>
      </w:pPr>
      <w:r>
        <w:t>4.</w:t>
      </w:r>
      <w:r>
        <w:tab/>
        <w:t>Las competencias del Estado para regular normas procedimentales no se agotan en las que con carácter general le atribuye el artículo 149.1.18 CE, sino que, además, tendrá competencia para dictar este tipo de normas cuando a través de los procedimientos o trámites específicos que en ellas se establezcan se ejerzan las competencias que le atribuyan otros títulos competenciales [FJ 4].</w:t>
      </w:r>
    </w:p>
    <w:p w14:paraId="60FD9394" w14:textId="77777777" w:rsidR="00A8138F" w:rsidRDefault="00A8138F" w:rsidP="00A8138F">
      <w:pPr>
        <w:pStyle w:val="Extracto"/>
      </w:pPr>
    </w:p>
    <w:p w14:paraId="348F7615" w14:textId="092B0F07" w:rsidR="00A8138F" w:rsidRDefault="00A8138F" w:rsidP="00A8138F">
      <w:pPr>
        <w:pStyle w:val="Extracto"/>
      </w:pPr>
      <w:r>
        <w:t>5.</w:t>
      </w:r>
      <w:r>
        <w:tab/>
        <w:t>En el caso de la competencia estatal sobre legislación básica en materia de contratos administrativos, pueden establecerse trámites o procedimientos específicos que permitan satisfacer las finalidades que a través de la atribución de esta competencia se pretenden garantizar: entre otras, la publicidad, la igualdad, la libre concurrencia o la seguridad jurídica (STC 68/2021) [FJ 4].</w:t>
      </w:r>
    </w:p>
    <w:p w14:paraId="274B9A0B" w14:textId="77777777" w:rsidR="00A8138F" w:rsidRDefault="00A8138F" w:rsidP="00A8138F">
      <w:pPr>
        <w:pStyle w:val="Extracto"/>
      </w:pPr>
    </w:p>
    <w:p w14:paraId="23316044" w14:textId="7FF811E0" w:rsidR="00A8138F" w:rsidRDefault="00A8138F" w:rsidP="00A8138F">
      <w:pPr>
        <w:pStyle w:val="Extracto"/>
      </w:pPr>
      <w:r>
        <w:t>6.</w:t>
      </w:r>
      <w:r>
        <w:tab/>
        <w:t xml:space="preserve">La delimitación de lo básico en el ámbito de la contratación pública se rige por dos criterios teleológicos: (i) La consecución o garantía de los principios generales de la contratación en el sector público -publicidad, igualdad, libre concurrencia y seguridad jurídica-. Y (ii) en conexión con el objetivo de estabilidad presupuestaria y control de gasto, se añade una eficiente utilización de los fondos destinados a la </w:t>
      </w:r>
      <w:r>
        <w:lastRenderedPageBreak/>
        <w:t>realización de obras, la adquisición de bienes y la contratación de servicios mediante la exigencia de la definición previa de las necesidades a satisfacer, la salvaguarda de la libre competencia y la selección de la oferta económicamente más ventajosa (STC 84/2015) [FJ 4].</w:t>
      </w:r>
    </w:p>
    <w:p w14:paraId="34054CFF" w14:textId="77777777" w:rsidR="00A8138F" w:rsidRDefault="00A8138F" w:rsidP="00A8138F">
      <w:pPr>
        <w:pStyle w:val="Extracto"/>
      </w:pPr>
    </w:p>
    <w:p w14:paraId="0484AAB0" w14:textId="19CEC98B" w:rsidR="00A8138F" w:rsidRDefault="00A8138F" w:rsidP="00A8138F">
      <w:pPr>
        <w:pStyle w:val="Extracto"/>
      </w:pPr>
      <w:r>
        <w:t>7.</w:t>
      </w:r>
      <w:r>
        <w:tab/>
        <w:t>Las normas que rigen la preparación y adjudicación, efectos, cumplimiento y extinción de los contratos tienen, con carácter general, la consideración de básicas, pues constituyen el mínimo común uniforme que permite garantizar, de un lado, la igualdad de los licitadores y su tratamiento común ante las administraciones (SSTC 141/1993 y 56/2014); y, de otro lado, la eficiente utilización de los fondos públicos) [FJ 4].</w:t>
      </w:r>
    </w:p>
    <w:p w14:paraId="570268EB" w14:textId="77777777" w:rsidR="00A8138F" w:rsidRDefault="00A8138F" w:rsidP="00A8138F">
      <w:pPr>
        <w:pStyle w:val="Extracto"/>
      </w:pPr>
    </w:p>
    <w:p w14:paraId="4FDEE5B7" w14:textId="1684302F" w:rsidR="00A8138F" w:rsidRDefault="00A8138F" w:rsidP="00A8138F">
      <w:pPr>
        <w:pStyle w:val="Extracto"/>
      </w:pPr>
      <w:r>
        <w:t>8.</w:t>
      </w:r>
      <w:r>
        <w:tab/>
        <w:t>Poseen el carácter básico los preceptos que fijan los plazos para la presentación de proposiciones en la contratación pública, pues por esta vía se establecen reglas tendentes al mantenimiento de la igualdad y la libre concurrencia en la actividad contractual de las administraciones públicas (STC 237/2015) [FJ 4].</w:t>
      </w:r>
    </w:p>
    <w:p w14:paraId="75D55C38" w14:textId="77777777" w:rsidR="00A8138F" w:rsidRDefault="00A8138F" w:rsidP="00A8138F">
      <w:pPr>
        <w:pStyle w:val="Extracto"/>
      </w:pPr>
    </w:p>
    <w:p w14:paraId="4917004D" w14:textId="7BBA035A" w:rsidR="00A8138F" w:rsidRDefault="00A8138F" w:rsidP="00A8138F">
      <w:pPr>
        <w:pStyle w:val="Extracto"/>
      </w:pPr>
      <w:r>
        <w:t>9.</w:t>
      </w:r>
      <w:r>
        <w:tab/>
        <w:t>Presenta las características propias de una norma básica estatal, la que afecta a uno de los presupuestos del expediente de contratación, como es su carácter urgente y, por lo tanto, condicionando la tramitación y sus plazos. Y si una norma estatal básica afecta a alguno de los elementos esenciales que deben garantizar la igualdad de trato entre todos los interesados y la consiguiente seguridad jurídica del proceso de contratación, su contenido debe ser respetado por la comunidad autónoma (STC 68/2021) [FJ 4].</w:t>
      </w:r>
    </w:p>
    <w:p w14:paraId="17433E45" w14:textId="77777777" w:rsidR="00A8138F" w:rsidRDefault="00A8138F" w:rsidP="00A8138F">
      <w:pPr>
        <w:pStyle w:val="Extracto"/>
      </w:pPr>
    </w:p>
    <w:p w14:paraId="0CFD6316" w14:textId="75056668" w:rsidR="00A8138F" w:rsidRDefault="00A8138F" w:rsidP="00A8138F">
      <w:pPr>
        <w:pStyle w:val="Extracto"/>
      </w:pPr>
      <w:r>
        <w:t>10.</w:t>
      </w:r>
      <w:r>
        <w:tab/>
        <w:t>La omisión de un precepto estatal de carácter básico no vicia de inconstitucionalidad una ley particular, pues la norma básica mantiene su plena vigencia con independencia de que sea recordada o no por el legislador autonómico, salvo que la única exégesis posible de la omisión -total o parcial- lleve a entender que la regulación autonómica está estableciendo una regulación contraria a la legislación básica estatal (STC 68/2024) [FJ 4].</w:t>
      </w:r>
    </w:p>
    <w:p w14:paraId="26A5F5AE" w14:textId="77777777" w:rsidR="00A8138F" w:rsidRDefault="00A8138F" w:rsidP="00A8138F">
      <w:pPr>
        <w:pStyle w:val="Extracto"/>
      </w:pPr>
    </w:p>
    <w:p w14:paraId="65F45865" w14:textId="77777777" w:rsidR="00A8138F" w:rsidRDefault="00A8138F" w:rsidP="00A8138F">
      <w:pPr>
        <w:pStyle w:val="Extracto"/>
      </w:pPr>
    </w:p>
    <w:p w14:paraId="4E65B3AF"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3AC05AD0" w14:textId="4BE940BF" w:rsidR="00A8138F" w:rsidRDefault="00A8138F" w:rsidP="00A8138F">
      <w:pPr>
        <w:pStyle w:val="TextoNormal"/>
      </w:pPr>
    </w:p>
    <w:p w14:paraId="02A5952C" w14:textId="77777777" w:rsidR="00A8138F" w:rsidRDefault="00A8138F" w:rsidP="00A8138F">
      <w:pPr>
        <w:pStyle w:val="TextoNormalCentrado"/>
        <w:keepNext/>
      </w:pPr>
      <w:r>
        <w:t>EN NOMBRE DEL REY</w:t>
      </w:r>
    </w:p>
    <w:p w14:paraId="51E4C2D3" w14:textId="5012F749" w:rsidR="00A8138F" w:rsidRDefault="00A8138F" w:rsidP="00A8138F">
      <w:pPr>
        <w:pStyle w:val="TextoNormalCentrado"/>
        <w:keepNext/>
      </w:pPr>
    </w:p>
    <w:p w14:paraId="4CEC750A" w14:textId="77777777" w:rsidR="00A8138F" w:rsidRDefault="00A8138F" w:rsidP="00A8138F">
      <w:pPr>
        <w:pStyle w:val="TextoNormalCentrado"/>
        <w:keepNext/>
      </w:pPr>
    </w:p>
    <w:p w14:paraId="28D8E6E8" w14:textId="77777777" w:rsidR="00A8138F" w:rsidRDefault="00A8138F" w:rsidP="00A8138F">
      <w:pPr>
        <w:pStyle w:val="TextoNormal"/>
      </w:pPr>
      <w:r>
        <w:t>la siguiente</w:t>
      </w:r>
    </w:p>
    <w:p w14:paraId="69C25D11" w14:textId="60794F02" w:rsidR="00A8138F" w:rsidRDefault="00A8138F" w:rsidP="00A8138F">
      <w:pPr>
        <w:pStyle w:val="TextoNormal"/>
      </w:pPr>
    </w:p>
    <w:p w14:paraId="028B92C6" w14:textId="77777777" w:rsidR="00A8138F" w:rsidRDefault="00A8138F" w:rsidP="00A8138F">
      <w:pPr>
        <w:pStyle w:val="TextoNormalCentrado"/>
        <w:keepNext/>
      </w:pPr>
      <w:r>
        <w:lastRenderedPageBreak/>
        <w:t>SENTENCIA</w:t>
      </w:r>
    </w:p>
    <w:p w14:paraId="675D04C2" w14:textId="768C61A9" w:rsidR="00A8138F" w:rsidRDefault="00A8138F" w:rsidP="00A8138F">
      <w:pPr>
        <w:pStyle w:val="TextoNormalCentrado"/>
        <w:keepNext/>
      </w:pPr>
    </w:p>
    <w:p w14:paraId="622B1E02" w14:textId="77777777" w:rsidR="00A8138F" w:rsidRDefault="00A8138F" w:rsidP="00A8138F">
      <w:pPr>
        <w:pStyle w:val="TextoNormal"/>
      </w:pPr>
      <w:r>
        <w:t>En el recurso de inconstitucionalidad núm. 7245-2024 promovido por el presidente del Gobierno frente a los apartados 1 y 2 del art. 12 de la Ley del Parlamento de La Rioja 13/2023, de 28 de diciembre, de medidas fiscales y administrativas para el año 2024. Han comparecido el Congreso de los Diputados y el Senado. Han comparecido y formulado alegaciones el Parlamento y el Gobierno de La Rioja. Ha sido ponente el magistrado don José María Macías Castaño.</w:t>
      </w:r>
    </w:p>
    <w:p w14:paraId="56BDC89B" w14:textId="424B69EA" w:rsidR="00A8138F" w:rsidRDefault="00A8138F" w:rsidP="00A8138F">
      <w:pPr>
        <w:pStyle w:val="TextoNormal"/>
      </w:pPr>
    </w:p>
    <w:p w14:paraId="44F6C1A1" w14:textId="77777777" w:rsidR="00A8138F" w:rsidRDefault="00A8138F" w:rsidP="00A8138F">
      <w:pPr>
        <w:pStyle w:val="TextoNormalNegritaCentrado"/>
        <w:keepNext/>
      </w:pPr>
      <w:r>
        <w:t>I. Antecedentes</w:t>
      </w:r>
    </w:p>
    <w:p w14:paraId="3D3B8E99" w14:textId="30DA6238" w:rsidR="00A8138F" w:rsidRDefault="00A8138F" w:rsidP="00A8138F">
      <w:pPr>
        <w:pStyle w:val="TextoNormalNegritaCentrado"/>
        <w:keepNext/>
      </w:pPr>
    </w:p>
    <w:p w14:paraId="79187C00" w14:textId="0499666C" w:rsidR="00A8138F" w:rsidRDefault="00A8138F" w:rsidP="00A8138F">
      <w:pPr>
        <w:pStyle w:val="TextoNormal"/>
      </w:pPr>
      <w:r w:rsidRPr="00A8138F">
        <w:rPr>
          <w:rStyle w:val="NumeroAFNegritaCaracter"/>
        </w:rPr>
        <w:t>1</w:t>
      </w:r>
      <w:r>
        <w:t>. El 30 de septiembre de 2024 tuvo entrada en el registro de este tribunal un recurso de inconstitucionalidad suscrito por la Abogacía General del Estado, en representación del presidente del Gobierno, frente a los apartados 1 y 2 del art. 12 de la Ley del Parlamento de La Rioja 13/2023, de 28 de diciembre, de medidas fiscales y administrativas para el año 2024.</w:t>
      </w:r>
    </w:p>
    <w:p w14:paraId="36139ABA" w14:textId="77777777" w:rsidR="00A8138F" w:rsidRDefault="00A8138F" w:rsidP="00A8138F">
      <w:pPr>
        <w:pStyle w:val="TextoNormal"/>
      </w:pPr>
    </w:p>
    <w:p w14:paraId="64002F70" w14:textId="77777777" w:rsidR="00A8138F" w:rsidRDefault="00A8138F" w:rsidP="00A8138F">
      <w:pPr>
        <w:pStyle w:val="TextoNormal"/>
      </w:pPr>
      <w:r w:rsidRPr="00A8138F">
        <w:rPr>
          <w:rStyle w:val="NumeroAFNegritaCaracter"/>
        </w:rPr>
        <w:t>2</w:t>
      </w:r>
      <w:r>
        <w:t>. El recurso de inconstitucionalidad se basa, esencialmente, en lo que se considera como una vulneración de la competencia estatal básica en materia de contratación pública (art. 149.1.18 CE), por infracción de lo dispuesto en el art. 50 del Real Decreto-ley 36/2020, de 30 de diciembre, por el que se aprueban medidas urgentes para la modernización de la administración pública y para la ejecución del Plan de recuperación, transformación y resiliencia, que, a su vez, se remite al art. 119 de la Ley 9/2017, de 8 de noviembre, de contratos del sector público (LCSP).</w:t>
      </w:r>
    </w:p>
    <w:p w14:paraId="15E7E9C4" w14:textId="77777777" w:rsidR="00A8138F" w:rsidRDefault="00A8138F" w:rsidP="00A8138F">
      <w:pPr>
        <w:pStyle w:val="TextoNormal"/>
      </w:pPr>
    </w:p>
    <w:p w14:paraId="47A3B3A5" w14:textId="77777777" w:rsidR="00A8138F" w:rsidRDefault="00A8138F" w:rsidP="00A8138F">
      <w:pPr>
        <w:pStyle w:val="TextoNormal"/>
      </w:pPr>
      <w:r>
        <w:t>En primer lugar, la demanda hace una reseña del art. 149.1.18 CE y de algunos pronunciamientos de este tribunal sobre la materia (SSTC 56/2014, de 10 de abril, y 68/2021, de 18 de marzo), así como de la Directiva 2014/24/UE del Parlamento Europeo y del Consejo, de 26 de febrero de 2014, sobre contratación pública.</w:t>
      </w:r>
    </w:p>
    <w:p w14:paraId="3185D105" w14:textId="77777777" w:rsidR="00A8138F" w:rsidRDefault="00A8138F" w:rsidP="00A8138F">
      <w:pPr>
        <w:pStyle w:val="TextoNormal"/>
      </w:pPr>
    </w:p>
    <w:p w14:paraId="717E5CDE" w14:textId="77777777" w:rsidR="00A8138F" w:rsidRDefault="00A8138F" w:rsidP="00A8138F">
      <w:pPr>
        <w:pStyle w:val="TextoNormal"/>
      </w:pPr>
      <w:r>
        <w:t>A continuación, reproduce los preceptos impugnados que confronta, a su vez, con las normas que considera infringidas, que también se reseñan (aunque, en el caso del art. 119 LCSP no se reproduce correctamente, entendemos que por un mero error material).</w:t>
      </w:r>
    </w:p>
    <w:p w14:paraId="62FA0FBB" w14:textId="77777777" w:rsidR="00A8138F" w:rsidRDefault="00A8138F" w:rsidP="00A8138F">
      <w:pPr>
        <w:pStyle w:val="TextoNormal"/>
      </w:pPr>
    </w:p>
    <w:p w14:paraId="48005C55" w14:textId="77777777" w:rsidR="00A8138F" w:rsidRDefault="00A8138F" w:rsidP="00A8138F">
      <w:pPr>
        <w:pStyle w:val="TextoNormal"/>
      </w:pPr>
      <w:r>
        <w:t>Seguidamente, la demanda compara la norma impugnada con la estatal, poniendo de manifiesto lo que, a su juicio, supone una invasión de las competencias del Estado en materia de normativa básica de la contratación pública.</w:t>
      </w:r>
    </w:p>
    <w:p w14:paraId="2E65301B" w14:textId="77777777" w:rsidR="00A8138F" w:rsidRDefault="00A8138F" w:rsidP="00A8138F">
      <w:pPr>
        <w:pStyle w:val="TextoNormal"/>
      </w:pPr>
    </w:p>
    <w:p w14:paraId="10410E13" w14:textId="77777777" w:rsidR="00A8138F" w:rsidRDefault="00A8138F" w:rsidP="00A8138F">
      <w:pPr>
        <w:pStyle w:val="TextoNormal"/>
      </w:pPr>
      <w:r>
        <w:t xml:space="preserve">Así, el art. 12.1 de la Ley impugnada “declara”, </w:t>
      </w:r>
      <w:r w:rsidRPr="00A8138F">
        <w:rPr>
          <w:i/>
        </w:rPr>
        <w:t>ope legis</w:t>
      </w:r>
      <w:r>
        <w:t>, “la aplicación de la tramitación de urgencia y el despacho prioritario […] de los procedimientos administrativos que impliquen la ejecución de gastos con cargo a los fondos europeos provenientes del Instrumento europeo de recuperación, sin necesidad de que el órgano administrativo motive dicha urgencia en el correspondiente acuerdo de inicio”, con remisión a lo dispuesto en los arts. 33 y 71 de la Ley 39/2015, de 1 de octubre, del procedimiento administrativo común de las administraciones públicas (LPACAP).</w:t>
      </w:r>
    </w:p>
    <w:p w14:paraId="7E1810B2" w14:textId="77777777" w:rsidR="00A8138F" w:rsidRDefault="00A8138F" w:rsidP="00A8138F">
      <w:pPr>
        <w:pStyle w:val="TextoNormal"/>
      </w:pPr>
    </w:p>
    <w:p w14:paraId="35D4B868" w14:textId="77777777" w:rsidR="00A8138F" w:rsidRDefault="00A8138F" w:rsidP="00A8138F">
      <w:pPr>
        <w:pStyle w:val="TextoNormal"/>
      </w:pPr>
      <w:r>
        <w:t>Por su parte, el art. 50 del Real Decreto-ley 36/2020 establece que, “[a]l licitar los contratos […] que se vayan a financiar con fondos procedentes del Plan de recuperación, trans</w:t>
      </w:r>
      <w:r>
        <w:lastRenderedPageBreak/>
        <w:t>formación y resiliencia, los órganos de contratación deberán examinar si la situación de urgencia impide la tramitación ordinaria de los procedimientos de licitación, procediendo aplicar la tramitación urgente del expediente prevista en el artículo 119” LCSP. Este precepto señala, en su apartado primero, y en lo que ahora interesa, que “[p]odrán ser objeto de tramitación urgente los expedientes correspondientes a los contratos cuya celebración responda a una necesidad inaplazable o cuya adjudicación sea preciso acelerar por razones de interés público. A tales efectos el expediente deberá contener la declaración de urgencia hecha por el órgano de contratación, debidamente motivada”.</w:t>
      </w:r>
    </w:p>
    <w:p w14:paraId="40D5DE37" w14:textId="77777777" w:rsidR="00A8138F" w:rsidRDefault="00A8138F" w:rsidP="00A8138F">
      <w:pPr>
        <w:pStyle w:val="TextoNormal"/>
      </w:pPr>
    </w:p>
    <w:p w14:paraId="0227F1EE" w14:textId="77777777" w:rsidR="00A8138F" w:rsidRDefault="00A8138F" w:rsidP="00A8138F">
      <w:pPr>
        <w:pStyle w:val="TextoNormal"/>
      </w:pPr>
      <w:r>
        <w:t>La demanda parece concretar las vulneraciones denunciadas en dos aspectos:</w:t>
      </w:r>
    </w:p>
    <w:p w14:paraId="27978254" w14:textId="77777777" w:rsidR="00A8138F" w:rsidRDefault="00A8138F" w:rsidP="00A8138F">
      <w:pPr>
        <w:pStyle w:val="TextoNormal"/>
      </w:pPr>
    </w:p>
    <w:p w14:paraId="260477F8" w14:textId="77777777" w:rsidR="00A8138F" w:rsidRDefault="00A8138F" w:rsidP="00A8138F">
      <w:pPr>
        <w:pStyle w:val="TextoNormal"/>
      </w:pPr>
      <w:r>
        <w:t>a) La Ley impugnada altera el régimen jurídico aplicable a la tramitación de urgencia de los contratos públicos, al remitirse al art. 33 LPACAP y no al art. 119 LCSP.</w:t>
      </w:r>
    </w:p>
    <w:p w14:paraId="54DA0323" w14:textId="77777777" w:rsidR="00A8138F" w:rsidRDefault="00A8138F" w:rsidP="00A8138F">
      <w:pPr>
        <w:pStyle w:val="TextoNormal"/>
      </w:pPr>
    </w:p>
    <w:p w14:paraId="08D4E59E" w14:textId="77777777" w:rsidR="00A8138F" w:rsidRDefault="00A8138F" w:rsidP="00A8138F">
      <w:pPr>
        <w:pStyle w:val="TextoNormal"/>
      </w:pPr>
      <w:r>
        <w:t>b) Asimismo establece un supuesto habilitante para la tramitación de urgencia que no se corresponde con los requisitos establecidos en la norma estatal, es decir, sin exigir un interés público o una necesidad inaplazable o un interés general que impida la tramitación ordinaria de los procedimientos de licitación.</w:t>
      </w:r>
    </w:p>
    <w:p w14:paraId="56A15BBE" w14:textId="77777777" w:rsidR="00A8138F" w:rsidRDefault="00A8138F" w:rsidP="00A8138F">
      <w:pPr>
        <w:pStyle w:val="TextoNormal"/>
      </w:pPr>
    </w:p>
    <w:p w14:paraId="1D521F5F" w14:textId="77777777" w:rsidR="00A8138F" w:rsidRDefault="00A8138F" w:rsidP="00A8138F">
      <w:pPr>
        <w:pStyle w:val="TextoNormal"/>
      </w:pPr>
      <w:r>
        <w:t xml:space="preserve">Para el demandante, la normativa estatal establece una serie de particularidades en la reducción de los plazos de tramitación que pretenden proteger los principios de igualdad de trato entre licitadores y de libre concurrencia, permitiendo así un tratamiento común a las empresas por parte de todas las administraciones públicas españolas. Sin embargo, la norma impugnada establece una aplicación </w:t>
      </w:r>
      <w:r w:rsidRPr="00A8138F">
        <w:rPr>
          <w:i/>
        </w:rPr>
        <w:t>ex lege</w:t>
      </w:r>
      <w:r>
        <w:t xml:space="preserve"> de un procedimiento de urgencia sin necesidad de que esté fundamentado en los supuestos previstos en los arts. 119 LCSP y 50 del Real Decreto-ley 36/2020. Aunque el apartado segundo del art. 12 de la Ley 13/2023 exige la motivación de la urgencia, no obliga a que esa decisión se fundamente en la imposibilidad de utilizar la tramitación ordinaria sin perjudicar el interés público, es decir, no obliga a justificar la decisión conforme a los criterios establecidos en la norma estatal.</w:t>
      </w:r>
    </w:p>
    <w:p w14:paraId="3F6D708F" w14:textId="77777777" w:rsidR="00A8138F" w:rsidRDefault="00A8138F" w:rsidP="00A8138F">
      <w:pPr>
        <w:pStyle w:val="TextoNormal"/>
      </w:pPr>
    </w:p>
    <w:p w14:paraId="5D6C5247" w14:textId="77777777" w:rsidR="00A8138F" w:rsidRDefault="00A8138F" w:rsidP="00A8138F">
      <w:pPr>
        <w:pStyle w:val="TextoNormal"/>
      </w:pPr>
      <w:r>
        <w:t xml:space="preserve">La demanda parece referirse también a que debe entenderse que el artículo 12, en sus apartados primero y segundo, de la Ley 13/2023 resulta incompatible con las bases estatales a las que se refiere el artículo 149.1.18 de la Constitución, tanto en materia de procedimiento administrativo común como de contratación pública, al establecer una aplicación </w:t>
      </w:r>
      <w:r w:rsidRPr="00A8138F">
        <w:rPr>
          <w:i/>
        </w:rPr>
        <w:t>ex lege</w:t>
      </w:r>
      <w:r>
        <w:t xml:space="preserve"> del procedimiento de urgencia con base en la fuente de financiación, para todos “los procedimientos administrativos que impliquen la ejecución de gastos con cargo a los fondos europeos provenientes del Instrumento Europeo de Recuperación”, sin necesidad de que esté fundamentada en los supuestos previstos en los artículos 119 LCSP y 50 del Real Decreto-ley 36/2020.</w:t>
      </w:r>
    </w:p>
    <w:p w14:paraId="73B756A5" w14:textId="77777777" w:rsidR="00A8138F" w:rsidRDefault="00A8138F" w:rsidP="00A8138F">
      <w:pPr>
        <w:pStyle w:val="TextoNormal"/>
      </w:pPr>
    </w:p>
    <w:p w14:paraId="28D1E500" w14:textId="77777777" w:rsidR="00A8138F" w:rsidRDefault="00A8138F" w:rsidP="00A8138F">
      <w:pPr>
        <w:pStyle w:val="TextoNormal"/>
      </w:pPr>
      <w:r>
        <w:t>La demanda invoca expresamente lo dispuesto en los arts. 161.2 CE y 30 de la Ley Orgánica del Tribunal Constitucional (LOTC).</w:t>
      </w:r>
    </w:p>
    <w:p w14:paraId="30B2DC68" w14:textId="77777777" w:rsidR="00A8138F" w:rsidRDefault="00A8138F" w:rsidP="00A8138F">
      <w:pPr>
        <w:pStyle w:val="TextoNormal"/>
      </w:pPr>
    </w:p>
    <w:p w14:paraId="593FC3A2" w14:textId="163B9D90" w:rsidR="00A8138F" w:rsidRDefault="00A8138F" w:rsidP="00A8138F">
      <w:pPr>
        <w:pStyle w:val="TextoNormal"/>
      </w:pPr>
      <w:r>
        <w:t>La demanda se acompañó de la documentación correspondiente, incluyendo el dictamen núm. 1370/2024 emitido el 19 de septiembre de 2024 por la Comisión Permanente del Consejo de Estado, de conformidad con lo dispuesto en el art. 22.6 de la Ley Orgánica 3/1980, de 22 de abril, de ese órgano.</w:t>
      </w:r>
    </w:p>
    <w:p w14:paraId="28BA9D3A" w14:textId="77777777" w:rsidR="00A8138F" w:rsidRDefault="00A8138F" w:rsidP="00A8138F">
      <w:pPr>
        <w:pStyle w:val="TextoNormal"/>
      </w:pPr>
    </w:p>
    <w:p w14:paraId="06EA6EF6" w14:textId="514E3C19" w:rsidR="00A8138F" w:rsidRDefault="00A8138F" w:rsidP="00A8138F">
      <w:pPr>
        <w:pStyle w:val="TextoNormal"/>
      </w:pPr>
      <w:r w:rsidRPr="00A8138F">
        <w:rPr>
          <w:rStyle w:val="NumeroAFNegritaCaracter"/>
        </w:rPr>
        <w:lastRenderedPageBreak/>
        <w:t>3</w:t>
      </w:r>
      <w:r>
        <w:t>. El 22 de octubre de 2024, el Pleno de este tribunal, a propuesta de la Sección Segunda, acordó la admisión a trámite del presente recurso, dando traslado “al Congreso de los Diputados y al Senado, por conducto de sus presidentes, y al Gobierno, a través del ministro de Justicia, así como al Parlamento de La Rioja y al Gobierno de La Rioja, por conducto de sus presidentes”, a los efectos de lo previsto en el art. 34 LOTC. Del mismo modo, se tuvo por invocado el art. 161.2 CE lo que, “a su tenor y conforme dispone el art. 30 LOTC, produce la suspensión de la vigencia y aplicación de los preceptos impugnados, desde la fecha de interposición del recurso —30 de septiembre de 2024— para las partes del proceso y desde el día en que aparezca publicada la suspensión en el ‘Boletín Oficial del Estado’ para los terceros”, lo que fue comunicado a los presidentes del Parlamento y del Gobierno de La Rioja. La publicación de la incoación del recurso y su efecto suspensivo tuvo lugar en el “BOE” núm. 261, de 29 de octubre de 2024, y en el “Boletín Oficial de La Rioja” núm. 216, de 4 de noviembre de 2024.</w:t>
      </w:r>
    </w:p>
    <w:p w14:paraId="447A9828" w14:textId="77777777" w:rsidR="00A8138F" w:rsidRDefault="00A8138F" w:rsidP="00A8138F">
      <w:pPr>
        <w:pStyle w:val="TextoNormal"/>
      </w:pPr>
    </w:p>
    <w:p w14:paraId="696ED5D9" w14:textId="7349F0BA" w:rsidR="00A8138F" w:rsidRDefault="00A8138F" w:rsidP="00A8138F">
      <w:pPr>
        <w:pStyle w:val="TextoNormal"/>
      </w:pPr>
      <w:r w:rsidRPr="00A8138F">
        <w:rPr>
          <w:rStyle w:val="NumeroAFNegritaCaracter"/>
        </w:rPr>
        <w:t>4</w:t>
      </w:r>
      <w:r>
        <w:t>. Por escrito registrado en este tribunal el 14 de noviembre de 2024, la presidenta del Congreso de los Diputados comunicó que la mesa de la Cámara había acordado dar por personada a esta Cámara en el procedimiento y por ofrecida su colaboración a los efectos del art. 88.1 LOTC; y, asimismo, remitir el recurso a la dirección de estudios, análisis y publicaciones y a la asesoría jurídica de la Secretaría General. A su vez, el presidente del Senado interesó, por escrito registrado en la misma fecha, que se tuviera por personada a dicha Cámara en este procedimiento y por ofrecida su colaboración a los efectos del art. 88.1 LOTC.</w:t>
      </w:r>
    </w:p>
    <w:p w14:paraId="34F37555" w14:textId="77777777" w:rsidR="00A8138F" w:rsidRDefault="00A8138F" w:rsidP="00A8138F">
      <w:pPr>
        <w:pStyle w:val="TextoNormal"/>
      </w:pPr>
    </w:p>
    <w:p w14:paraId="45E675FE" w14:textId="77777777" w:rsidR="00A8138F" w:rsidRDefault="00A8138F" w:rsidP="00A8138F">
      <w:pPr>
        <w:pStyle w:val="TextoNormal"/>
      </w:pPr>
      <w:r w:rsidRPr="00A8138F">
        <w:rPr>
          <w:rStyle w:val="NumeroAFNegritaCaracter"/>
        </w:rPr>
        <w:t>5</w:t>
      </w:r>
      <w:r>
        <w:t>. El 27 de noviembre de 2024 se presentó el escrito de alegaciones del letrado mayor del Parlamento de La Rioja, actuando en nombre y representación de esta institución, en el que interesó la desestimación del presente recurso.</w:t>
      </w:r>
    </w:p>
    <w:p w14:paraId="5A37E4E2" w14:textId="77777777" w:rsidR="00A8138F" w:rsidRDefault="00A8138F" w:rsidP="00A8138F">
      <w:pPr>
        <w:pStyle w:val="TextoNormal"/>
      </w:pPr>
    </w:p>
    <w:p w14:paraId="4B096368" w14:textId="77777777" w:rsidR="00A8138F" w:rsidRDefault="00A8138F" w:rsidP="00A8138F">
      <w:pPr>
        <w:pStyle w:val="TextoNormal"/>
      </w:pPr>
      <w:r>
        <w:t>El escrito comienza con una reseña de los antecedentes que se consideraron de interés sobre la tramitación parlamentaria de la norma ahora impugnada, así como sobre las alegaciones de la parte demandante.</w:t>
      </w:r>
    </w:p>
    <w:p w14:paraId="65BE6D06" w14:textId="77777777" w:rsidR="00A8138F" w:rsidRDefault="00A8138F" w:rsidP="00A8138F">
      <w:pPr>
        <w:pStyle w:val="TextoNormal"/>
      </w:pPr>
    </w:p>
    <w:p w14:paraId="5B793CEE" w14:textId="229E9C2C" w:rsidR="00A8138F" w:rsidRDefault="00A8138F" w:rsidP="00A8138F">
      <w:pPr>
        <w:pStyle w:val="TextoNormal"/>
      </w:pPr>
      <w:r>
        <w:t xml:space="preserve">Para la representación parlamentaria, la norma impugnada no vulnera competencia estatal alguna. Tras recordar la doctrina de este tribunal sobre lo que deba entenderse por legislación básica del Estado, que no puede impedir —por su exhaustividad— el ulterior desarrollo autonómico (con cita y reseña de la STC 68/2021), señala —en esencia— que el precepto recurrido tiene como única pretensión establecer como propia una previsión de declaración de urgencia de los procedimientos de ejecución de gastos con cargo a los fondos europeos idéntico al configurado exclusivamente para el sector público estatal en el Real Decreto-ley 36/2020, y al desarrollado por diversas comunidades autónomas (cita a tal efecto, —con apoyo en el informe núm. 1515 del Tribunal de Cuentas, de fiscalización sobre las medidas adoptadas en el ámbito autonómico para la implementación del Plan de recuperación, transformación y resiliencia—, las distintas normas dictadas por las comunidades autónomas, con excepción de Asturias, Cantabria y Castilla y León, que carecen de esta regulación). Considera, en todo caso, que la norma impugnada no puede confrontarse, como hace la demanda, con el art. 50 del Real Decreto-ley 36/2020, que se refiere a los contratos públicos, sino con su art. 48, que no tiene carácter de norma básica y que regula los procedimientos de ejecución de gasto. El art. 48 incluye, como la norma ahora impugnada, la </w:t>
      </w:r>
      <w:r>
        <w:lastRenderedPageBreak/>
        <w:t>expresa salvedad de la necesidad de motivar en cada caso la declaración de urgencia en materia de contratación pública, es decir, que deja a salvo la aplicación de lo dispuesto en el art. 50 del Real Decreto-ley 36/2020 y, por lo tanto, en el art. 119 LCSP. De esta forma, y en línea con lo expuesto en el informe del Consejo de Estado que acompaña a la demanda, la norma impugnada no impide la aplicación ni, en consecuencia, vulnera la norma estatal básica, aunque no haya sido citada expresamente en el precepto impugnado.</w:t>
      </w:r>
    </w:p>
    <w:p w14:paraId="7F5DDD54" w14:textId="77777777" w:rsidR="00A8138F" w:rsidRDefault="00A8138F" w:rsidP="00A8138F">
      <w:pPr>
        <w:pStyle w:val="TextoNormal"/>
      </w:pPr>
    </w:p>
    <w:p w14:paraId="0AC53F2E" w14:textId="77777777" w:rsidR="00A8138F" w:rsidRDefault="00A8138F" w:rsidP="00A8138F">
      <w:pPr>
        <w:pStyle w:val="TextoNormal"/>
      </w:pPr>
      <w:r w:rsidRPr="00A8138F">
        <w:rPr>
          <w:rStyle w:val="NumeroAFNegritaCaracter"/>
        </w:rPr>
        <w:t>6</w:t>
      </w:r>
      <w:r>
        <w:t>. El 28 de noviembre de 2024 tuvo entrada el informe de alegaciones suscrito por el letrado de la Comunidad Autónoma de La Rioja, en representación de su Gobierno, en el que interesó igualmente la desestimación del presente recurso.</w:t>
      </w:r>
    </w:p>
    <w:p w14:paraId="6F714E9D" w14:textId="77777777" w:rsidR="00A8138F" w:rsidRDefault="00A8138F" w:rsidP="00A8138F">
      <w:pPr>
        <w:pStyle w:val="TextoNormal"/>
      </w:pPr>
    </w:p>
    <w:p w14:paraId="211F4EEB" w14:textId="77777777" w:rsidR="00A8138F" w:rsidRDefault="00A8138F" w:rsidP="00A8138F">
      <w:pPr>
        <w:pStyle w:val="TextoNormal"/>
      </w:pPr>
      <w:r>
        <w:t>En su escrito, la representación del Gobierno autonómico destaca los antecedentes que consideró de interés sobre la génesis del precepto impugnado, señalando que se respetó la propuesta formulada por la Dirección General de Fondos Europeos y Relaciones con la Unión Europa del Gobierno de La Rioja, en línea con la instrucción de 11 de marzo de 2021, de la Junta Consultiva de Contratación Pública del Estado, que reseña en sus elementos esenciales.</w:t>
      </w:r>
    </w:p>
    <w:p w14:paraId="6B5E5544" w14:textId="77777777" w:rsidR="00A8138F" w:rsidRDefault="00A8138F" w:rsidP="00A8138F">
      <w:pPr>
        <w:pStyle w:val="TextoNormal"/>
      </w:pPr>
    </w:p>
    <w:p w14:paraId="046DDCC1" w14:textId="77777777" w:rsidR="00A8138F" w:rsidRDefault="00A8138F" w:rsidP="00A8138F">
      <w:pPr>
        <w:pStyle w:val="TextoNormal"/>
      </w:pPr>
      <w:r>
        <w:t xml:space="preserve">Con esos antecedentes, el Gobierno de La Rioja descarta la interpretación formulada por el Gobierno de España. El art. 12.1 de la norma impugnada se aplica a los diferentes procedimientos de gasto público, excepto a los contratos públicos. Para estos, el art. 12.2 mantiene la necesidad de motivar en cada caso la declaración de urgencia en su tramitación, sin que sea necesario reiterar el contenido del art. 50 del Real Decreto-ley 36/2020 ni del art. 119 LCSP, conforme a la jurisprudencia constitucional sobre las </w:t>
      </w:r>
      <w:r w:rsidRPr="00A8138F">
        <w:rPr>
          <w:i/>
        </w:rPr>
        <w:t>leges repetitae</w:t>
      </w:r>
      <w:r>
        <w:t>, que cita y reseña. La previsión normativa contenida en el precepto impugnado es necesaria para la Comunidad Autónoma ya que el art. 48 del Real Decreto-ley 36/2020, de redacción análoga, no tiene carácter básico, por lo que no se puede entender necesariamente aplicable de forma automática, como sí ocurre con el art. 50 de ese mismo real decreto-ley. El hecho de que el art. 12.2 de la norma impugnada haga referencia a la normativa europea, para reseñar la primacía del Derecho de la Unión Europea en esta materia, no excluye la aplicación de la norma básica estatal, como puso de manifiesto el informe del Consejo de Estado que acompaña a la demanda, que también reseña ampliamente.</w:t>
      </w:r>
    </w:p>
    <w:p w14:paraId="632A9343" w14:textId="77777777" w:rsidR="00A8138F" w:rsidRDefault="00A8138F" w:rsidP="00A8138F">
      <w:pPr>
        <w:pStyle w:val="TextoNormal"/>
      </w:pPr>
    </w:p>
    <w:p w14:paraId="7167F295" w14:textId="512EE278" w:rsidR="00A8138F" w:rsidRDefault="00A8138F" w:rsidP="00A8138F">
      <w:pPr>
        <w:pStyle w:val="TextoNormal"/>
      </w:pPr>
      <w:r>
        <w:t>En definitiva, entiende que, en este caso, como apuntó al Consejo de Estado, resulta aplicable la doctrina de la constitucionalidad de una norma si permite una interpretación conforme con el texto constitucional. El art. 12 de la Ley 13/2023 no invade una competencia estatal básica, ni permite la inaplicación del art. 50 del Real Decreto-ley 36/2020 ni del art. 119 LCSP, por lo que no puede ser considerada inconstitucional.</w:t>
      </w:r>
    </w:p>
    <w:p w14:paraId="036CD1EC" w14:textId="77777777" w:rsidR="00A8138F" w:rsidRDefault="00A8138F" w:rsidP="00A8138F">
      <w:pPr>
        <w:pStyle w:val="TextoNormal"/>
      </w:pPr>
    </w:p>
    <w:p w14:paraId="10CEB1D2" w14:textId="36712F73" w:rsidR="00A8138F" w:rsidRDefault="00A8138F" w:rsidP="00A8138F">
      <w:pPr>
        <w:pStyle w:val="TextoNormal"/>
      </w:pPr>
      <w:r w:rsidRPr="00A8138F">
        <w:rPr>
          <w:rStyle w:val="NumeroAFNegritaCaracter"/>
        </w:rPr>
        <w:t>7</w:t>
      </w:r>
      <w:r>
        <w:t>. Por medio de diligencia de ordenación de 29 de noviembre de 2024, se dio traslado a las partes personadas, a fin de que formularan alegaciones sobre el mantenimiento o levantamiento de la suspensión adoptada de conformidad con lo dispuesto en el art. 161.2 CE, a la vista de la proximidad de la finalización del plazo de cinco meses previsto en esa norma. Tanto el Parlamento como el Gobierno de La Rioja solicitaron el levantamiento de la suspensión, en sendos escritos presentados en los días 3 y 5 de diciembre de 2024, respectivamente. Por su parte, la Abogacía General del Estado solicitó el mantenimiento de la medida en su correspondiente informe presentado el 11 de diciembre de 2024.</w:t>
      </w:r>
    </w:p>
    <w:p w14:paraId="49BB9E59" w14:textId="77777777" w:rsidR="00A8138F" w:rsidRDefault="00A8138F" w:rsidP="00A8138F">
      <w:pPr>
        <w:pStyle w:val="TextoNormal"/>
      </w:pPr>
    </w:p>
    <w:p w14:paraId="22891231" w14:textId="7F8B9B44" w:rsidR="00A8138F" w:rsidRDefault="00A8138F" w:rsidP="00A8138F">
      <w:pPr>
        <w:pStyle w:val="TextoNormal"/>
      </w:pPr>
      <w:r w:rsidRPr="00A8138F">
        <w:rPr>
          <w:rStyle w:val="NumeroAFNegritaCaracter"/>
        </w:rPr>
        <w:lastRenderedPageBreak/>
        <w:t>8</w:t>
      </w:r>
      <w:r>
        <w:t>. Por medio de providencia de 11 de febrero de 2025, se acordó señalar para la deliberación y votación de este asunto el día 12 del mismo mes y año.</w:t>
      </w:r>
    </w:p>
    <w:p w14:paraId="409C4406" w14:textId="77777777" w:rsidR="00A8138F" w:rsidRDefault="00A8138F" w:rsidP="00A8138F">
      <w:pPr>
        <w:pStyle w:val="TextoNormal"/>
      </w:pPr>
    </w:p>
    <w:p w14:paraId="2F5F0746" w14:textId="77777777" w:rsidR="00A8138F" w:rsidRDefault="00A8138F" w:rsidP="00A8138F">
      <w:pPr>
        <w:pStyle w:val="TextoNormalNegritaCentrado"/>
        <w:keepNext/>
      </w:pPr>
      <w:r>
        <w:t>II. Fundamentos jurídicos</w:t>
      </w:r>
    </w:p>
    <w:p w14:paraId="4D88DFF7" w14:textId="1704D4A9" w:rsidR="00A8138F" w:rsidRDefault="00A8138F" w:rsidP="00A8138F">
      <w:pPr>
        <w:pStyle w:val="TextoNormalNegritaCentrado"/>
        <w:keepNext/>
      </w:pPr>
    </w:p>
    <w:p w14:paraId="3C79FAB4"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701FC6A6" w14:textId="77777777" w:rsidR="00A8138F" w:rsidRDefault="00A8138F" w:rsidP="00A8138F">
      <w:pPr>
        <w:pStyle w:val="TextoNormal"/>
      </w:pPr>
    </w:p>
    <w:p w14:paraId="58475612" w14:textId="77777777" w:rsidR="00A8138F" w:rsidRDefault="00A8138F" w:rsidP="00A8138F">
      <w:pPr>
        <w:pStyle w:val="TextoNormal"/>
      </w:pPr>
      <w:r>
        <w:t>El presente recurso tiene por objeto determinar la compatibilidad con el texto constitucional del art. 12, apartados 1 y 2, de la Ley del Parlamento de La Rioja 13/2023, de 28 de diciembre, de medidas fiscales y administrativas para el año 2024.</w:t>
      </w:r>
    </w:p>
    <w:p w14:paraId="67484C06" w14:textId="77777777" w:rsidR="00A8138F" w:rsidRDefault="00A8138F" w:rsidP="00A8138F">
      <w:pPr>
        <w:pStyle w:val="TextoNormal"/>
      </w:pPr>
    </w:p>
    <w:p w14:paraId="089B0B4D" w14:textId="77777777" w:rsidR="00A8138F" w:rsidRDefault="00A8138F" w:rsidP="00A8138F">
      <w:pPr>
        <w:pStyle w:val="TextoNormal"/>
      </w:pPr>
      <w:r>
        <w:t>Como se ha expuesto con más detalle en los antecedentes de esta resolución, el presidente del Gobierno, en su condición de recurrente, considera que ese precepto vulnera la competencia estatal básica en materia de contratación pública (art. 149.1.18 CE) —aunque también contiene una referencia al procedimiento administrativo común—, por infracción de lo dispuesto en el art. 50 del Real Decreto-ley 36/2020 que, a su vez, se remite al art. 119 LCSP. En síntesis, sostiene que la ley impugnada altera el régimen jurídico aplicable a la tramitación de urgencia de los contratos públicos, al remitirse al art. 33 LPACAP y no al art. 119 LCSP. De esta forma, se establece un supuesto habilitante para la tramitación de urgencia que no se corresponde con los requisitos establecidos en la norma estatal (arts. 119 LCSP y 50 del Real Decreto-ley 36/2020), es decir, sin exigir un interés público o una necesidad inaplazable o un interés general que impida la tramitación ordinaria de los procedimientos de licitación.</w:t>
      </w:r>
    </w:p>
    <w:p w14:paraId="786AA9BE" w14:textId="77777777" w:rsidR="00A8138F" w:rsidRDefault="00A8138F" w:rsidP="00A8138F">
      <w:pPr>
        <w:pStyle w:val="TextoNormal"/>
      </w:pPr>
    </w:p>
    <w:p w14:paraId="31A42EAE" w14:textId="77777777" w:rsidR="00A8138F" w:rsidRDefault="00A8138F" w:rsidP="00A8138F">
      <w:pPr>
        <w:pStyle w:val="TextoNormal"/>
      </w:pPr>
      <w:r>
        <w:t>Por su parte, tanto el Parlamento como el Gobierno de la Comunidad Autónoma de La Rioja sostienen que la norma impugnada no se refiere a la materia de contratación pública, que no se ve alterada. Resumidamente expuesta, la posición de los órganos autonómicos consiste en señalar que el art. 12.1 de la Ley 13/2023 supone una reiteración de un precepto estatal que no tiene carácter básico (art. 48 del Real Decreto-ley 36/2020), que es imprescindible para el desarrollo normativo de una competencia propia en materia de tramitación de expedientes administrativos; mientras que el art. 12.2 deja a salvo la aplicación de la normativa estatal básica en materia de contratación pública, el art. 50 del Real Decreto-ley 36/2020 y, por remisión, del art. 119 LCSP. La ausencia de una referencia expresa a esa normativa estatal no puede eludir su aplicación, precisamente por su carácter básico en la materia. En consecuencia, es perfectamente posible sostener una interpretación de conformidad del precepto impugnado con el texto constitucional, en línea con lo apuntado por el Consejo de Estado en su informe previo a la interposición de esta demanda.</w:t>
      </w:r>
    </w:p>
    <w:p w14:paraId="3FD1EBD2" w14:textId="77777777" w:rsidR="00A8138F" w:rsidRDefault="00A8138F" w:rsidP="00A8138F">
      <w:pPr>
        <w:pStyle w:val="TextoNormal"/>
      </w:pPr>
    </w:p>
    <w:p w14:paraId="7F8665FD" w14:textId="590A47BF" w:rsidR="00A8138F" w:rsidRDefault="00A8138F" w:rsidP="00A8138F">
      <w:pPr>
        <w:pStyle w:val="TextoNormal"/>
      </w:pPr>
      <w:r>
        <w:t>Tratándose de una controversia competencial, la primera cuestión a dilucidar es la relativa al encuadramiento de las disposiciones discutidas en el sistema constitucional y estatutario de distribución de competencias, concretando el alcance de los títulos competenciales que la enmarcan. Ello obliga a atender “al contenido de los preceptos controvertidos”, así como “al carácter, sentido y finalidad de las disposiciones traídas en conflicto” (por todas, STC 72/2021, de 18 de marzo, FJ 3), por lo que comenzaremos con su análisis.</w:t>
      </w:r>
    </w:p>
    <w:p w14:paraId="18E13F06" w14:textId="77777777" w:rsidR="00A8138F" w:rsidRDefault="00A8138F" w:rsidP="00A8138F">
      <w:pPr>
        <w:pStyle w:val="TextoNormal"/>
      </w:pPr>
    </w:p>
    <w:p w14:paraId="72EC9D17" w14:textId="77777777" w:rsidR="00A8138F" w:rsidRDefault="00A8138F" w:rsidP="00A8138F">
      <w:pPr>
        <w:pStyle w:val="TextoNormal"/>
      </w:pPr>
      <w:r w:rsidRPr="00A8138F">
        <w:rPr>
          <w:rStyle w:val="NumeroAFNegritaCaracter"/>
        </w:rPr>
        <w:t>2</w:t>
      </w:r>
      <w:r>
        <w:t xml:space="preserve">. </w:t>
      </w:r>
      <w:r w:rsidRPr="00A8138F">
        <w:rPr>
          <w:i/>
        </w:rPr>
        <w:t>Análisis de la regulación autonómica impugnada y de la normativa estatal utilizada como de contraste</w:t>
      </w:r>
    </w:p>
    <w:p w14:paraId="6EFFF6F8" w14:textId="77777777" w:rsidR="00A8138F" w:rsidRDefault="00A8138F" w:rsidP="00A8138F">
      <w:pPr>
        <w:pStyle w:val="TextoNormal"/>
      </w:pPr>
    </w:p>
    <w:p w14:paraId="7FF279DD" w14:textId="77777777" w:rsidR="00A8138F" w:rsidRDefault="00A8138F" w:rsidP="00A8138F">
      <w:pPr>
        <w:pStyle w:val="TextoNormal"/>
      </w:pPr>
      <w:r>
        <w:t>a) La Ley 13/2023, de 28 de diciembre, de medidas fiscales y administrativas para el año 2024, fue publicada en el “Boletín Oficial de La Rioja” núm. 259, de 30 de diciembre de 2023, con entrada en vigor el 1 de enero de 2024 (“BOE” núm. 27, de 31 de enero de 2024).</w:t>
      </w:r>
    </w:p>
    <w:p w14:paraId="131313D9" w14:textId="77777777" w:rsidR="00A8138F" w:rsidRDefault="00A8138F" w:rsidP="00A8138F">
      <w:pPr>
        <w:pStyle w:val="TextoNormal"/>
      </w:pPr>
    </w:p>
    <w:p w14:paraId="6D02096E" w14:textId="77777777" w:rsidR="00A8138F" w:rsidRDefault="00A8138F" w:rsidP="00A8138F">
      <w:pPr>
        <w:pStyle w:val="TextoNormal"/>
      </w:pPr>
      <w:r>
        <w:t>El precepto concretamente impugnado tiene el siguiente tenor literal:</w:t>
      </w:r>
    </w:p>
    <w:p w14:paraId="1FDA4330" w14:textId="77777777" w:rsidR="00A8138F" w:rsidRDefault="00A8138F" w:rsidP="00A8138F">
      <w:pPr>
        <w:pStyle w:val="TextoNormal"/>
      </w:pPr>
    </w:p>
    <w:p w14:paraId="73200192" w14:textId="77777777" w:rsidR="00A8138F" w:rsidRDefault="00A8138F" w:rsidP="00A8138F">
      <w:pPr>
        <w:pStyle w:val="TextoNormal"/>
      </w:pPr>
      <w:r>
        <w:t>“Artículo 12. Tramitación de urgencia de los procedimientos administrativos de ejecución de gastos con cargo a fondos europeos provenientes del Instrumento Europeo de Recuperación</w:t>
      </w:r>
    </w:p>
    <w:p w14:paraId="6802C279" w14:textId="77777777" w:rsidR="00A8138F" w:rsidRDefault="00A8138F" w:rsidP="00A8138F">
      <w:pPr>
        <w:pStyle w:val="TextoNormal"/>
      </w:pPr>
    </w:p>
    <w:p w14:paraId="78FF883C" w14:textId="77777777" w:rsidR="00A8138F" w:rsidRDefault="00A8138F" w:rsidP="00A8138F">
      <w:pPr>
        <w:pStyle w:val="TextoNormal"/>
      </w:pPr>
      <w:r>
        <w:t>1. Se declara la aplicación de la tramitación de urgencia y el despacho prioritario, en los términos previstos en los artículos 33 y 71, respectivamente, de la Ley 39/2015, de 1 de octubre, del procedimiento administrativo común de las administraciones públicas, de los procedimientos administrativos que impliquen la ejecución de gastos con cargo a los fondos europeos provenientes del Instrumento Europeo de Recuperación, sin necesidad de que el órgano administrativo motive dicha urgencia en el correspondiente acuerdo de inicio.</w:t>
      </w:r>
    </w:p>
    <w:p w14:paraId="53D3B640" w14:textId="77777777" w:rsidR="00A8138F" w:rsidRDefault="00A8138F" w:rsidP="00A8138F">
      <w:pPr>
        <w:pStyle w:val="TextoNormal"/>
      </w:pPr>
    </w:p>
    <w:p w14:paraId="632BEC96" w14:textId="77777777" w:rsidR="00A8138F" w:rsidRDefault="00A8138F" w:rsidP="00A8138F">
      <w:pPr>
        <w:pStyle w:val="TextoNormal"/>
      </w:pPr>
      <w:r>
        <w:t>2. Lo establecido en el apartado anterior se entenderá sin perjuicio de la necesidad de que, de conformidad con la normativa europea, la declaración de urgencia de los contratos públicos requiera de una motivación para cada contrato atendiendo a las circunstancias concurrentes”.</w:t>
      </w:r>
    </w:p>
    <w:p w14:paraId="14337DA6" w14:textId="77777777" w:rsidR="00A8138F" w:rsidRDefault="00A8138F" w:rsidP="00A8138F">
      <w:pPr>
        <w:pStyle w:val="TextoNormal"/>
      </w:pPr>
    </w:p>
    <w:p w14:paraId="20F3F1A1" w14:textId="77777777" w:rsidR="00A8138F" w:rsidRDefault="00A8138F" w:rsidP="00A8138F">
      <w:pPr>
        <w:pStyle w:val="TextoNormal"/>
      </w:pPr>
      <w:r>
        <w:t>Esta norma se encuentra ubicada en el capítulo IX de la citada ley. Según consta en su exposición de motivos (apartado III), en ese capítulo se “incluye un paquete de medidas específicas encaminadas a la agilización de fondos europeos, a imagen y semejanza de medidas similares adoptadas por otras administraciones. Las normas previstas […] facilitan la tramitación urgente de los expedientes, reducen plazos con carácter general o los adaptan al cumplimiento de los hitos y objetivos asociados al Mecanismo de Recuperación y Resiliencia, y permiten la creación de grupos de trabajo con fines de refuerzo constituidos por funcionarios”. Nada se dice sobre la contratación pública.</w:t>
      </w:r>
    </w:p>
    <w:p w14:paraId="3A140A78" w14:textId="77777777" w:rsidR="00A8138F" w:rsidRDefault="00A8138F" w:rsidP="00A8138F">
      <w:pPr>
        <w:pStyle w:val="TextoNormal"/>
      </w:pPr>
    </w:p>
    <w:p w14:paraId="4A7727DB" w14:textId="77777777" w:rsidR="00A8138F" w:rsidRDefault="00A8138F" w:rsidP="00A8138F">
      <w:pPr>
        <w:pStyle w:val="TextoNormal"/>
      </w:pPr>
      <w:r>
        <w:t>El análisis del contenido literal del precepto permite apreciar que sus dos apartados se refieren a materias distintas. El apartado 1 hace referencia a la tramitación de los “procedimientos administrativos que impliquen la ejecución de gastos con cargo a los fondos europeos”; mientras que el apartado 2 alude a los “contratos públicos”.</w:t>
      </w:r>
    </w:p>
    <w:p w14:paraId="4C4263A5" w14:textId="77777777" w:rsidR="00A8138F" w:rsidRDefault="00A8138F" w:rsidP="00A8138F">
      <w:pPr>
        <w:pStyle w:val="TextoNormal"/>
      </w:pPr>
    </w:p>
    <w:p w14:paraId="018F3163" w14:textId="77777777" w:rsidR="00A8138F" w:rsidRDefault="00A8138F" w:rsidP="00A8138F">
      <w:pPr>
        <w:pStyle w:val="TextoNormal"/>
      </w:pPr>
      <w:r>
        <w:t xml:space="preserve">Además, su contenido también es diverso. En lo que ahora interesa, el apartado 1 establece, </w:t>
      </w:r>
      <w:r w:rsidRPr="00A8138F">
        <w:rPr>
          <w:i/>
        </w:rPr>
        <w:t>ope legis</w:t>
      </w:r>
      <w:r>
        <w:t>, la tramitación de urgencia de esos procedimientos, “sin necesidad de que el órgano administrativo motive dicha urgencia en el correspondiente acuerdo de inicio”, de conformidad con lo dispuesto en el art. 33 LPACAP. Por su parte, el apartado 2 aparece redactado como una excepción al anterior, de manera que, en los contratos públicos, la declaración de urgencia requiere una “motivación” específica para cada uno de ellos, “atendiendo a las circunstancias concurrentes” y con expresa referencia a la “conformidad con la normativa europea”.</w:t>
      </w:r>
    </w:p>
    <w:p w14:paraId="0A53FBA0" w14:textId="77777777" w:rsidR="00A8138F" w:rsidRDefault="00A8138F" w:rsidP="00A8138F">
      <w:pPr>
        <w:pStyle w:val="TextoNormal"/>
      </w:pPr>
    </w:p>
    <w:p w14:paraId="48BA64C2" w14:textId="77777777" w:rsidR="00A8138F" w:rsidRDefault="00A8138F" w:rsidP="00A8138F">
      <w:pPr>
        <w:pStyle w:val="TextoNormal"/>
      </w:pPr>
      <w:r>
        <w:t>La redacción de este precepto guarda una notoria similitud con lo dispuesto en el art. 48 del Real Decreto-ley 36/2020, como se verá seguidamente.</w:t>
      </w:r>
    </w:p>
    <w:p w14:paraId="03E17C9A" w14:textId="77777777" w:rsidR="00A8138F" w:rsidRDefault="00A8138F" w:rsidP="00A8138F">
      <w:pPr>
        <w:pStyle w:val="TextoNormal"/>
      </w:pPr>
    </w:p>
    <w:p w14:paraId="1513932A" w14:textId="77777777" w:rsidR="00A8138F" w:rsidRDefault="00A8138F" w:rsidP="00A8138F">
      <w:pPr>
        <w:pStyle w:val="TextoNormal"/>
      </w:pPr>
      <w:r>
        <w:t>b) En efecto, el Real Decreto-ley 36/2020, de 30 de diciembre, por el que se aprueban medidas urgentes para la modernización de la administración pública y para la ejecución del plan de recuperación, transformación y resiliencia, fue publicado en el “BOE” núm. 341, de 31 de diciembre de 2020, con entrada en vigor el 1 de enero de 2021, tras ser convalidado por el Congreso de los Diputados en su sesión de 28 de enero de 2021 (“BOE” núm. 30, de 4 de febrero de 2021).</w:t>
      </w:r>
    </w:p>
    <w:p w14:paraId="7071E5EA" w14:textId="77777777" w:rsidR="00A8138F" w:rsidRDefault="00A8138F" w:rsidP="00A8138F">
      <w:pPr>
        <w:pStyle w:val="TextoNormal"/>
      </w:pPr>
    </w:p>
    <w:p w14:paraId="5061E964" w14:textId="77777777" w:rsidR="00A8138F" w:rsidRDefault="00A8138F" w:rsidP="00A8138F">
      <w:pPr>
        <w:pStyle w:val="TextoNormal"/>
      </w:pPr>
      <w:r>
        <w:t>Según figura en su exposición de motivos (apartado XI), la “urgencia [del] despliegue [del plan de recuperación] requiere una particular agilidad en la implementación de las medidas […], con el fin de poder iniciar su ejecución en 2021 y lograr el impacto perseguido desde el punto de vista macroeconómico y estructural. Para ello, es necesario adaptar las normas generales que regulan […] los procedimientos administrativos, […] sin que queden mermadas en ningún caso las garantías que necesariamente han de rodear la actuación pública, ni el debido rigor en la tramitación.</w:t>
      </w:r>
    </w:p>
    <w:p w14:paraId="565CA9D0" w14:textId="77777777" w:rsidR="00A8138F" w:rsidRDefault="00A8138F" w:rsidP="00A8138F">
      <w:pPr>
        <w:pStyle w:val="TextoNormal"/>
      </w:pPr>
    </w:p>
    <w:p w14:paraId="53774AE8" w14:textId="77777777" w:rsidR="00A8138F" w:rsidRDefault="00A8138F" w:rsidP="00A8138F">
      <w:pPr>
        <w:pStyle w:val="TextoNormal"/>
      </w:pPr>
      <w:r>
        <w:t>[…]</w:t>
      </w:r>
    </w:p>
    <w:p w14:paraId="5C8A5D87" w14:textId="77777777" w:rsidR="00A8138F" w:rsidRDefault="00A8138F" w:rsidP="00A8138F">
      <w:pPr>
        <w:pStyle w:val="TextoNormal"/>
      </w:pPr>
    </w:p>
    <w:p w14:paraId="0FEF7931" w14:textId="77777777" w:rsidR="00A8138F" w:rsidRDefault="00A8138F" w:rsidP="00A8138F">
      <w:pPr>
        <w:pStyle w:val="TextoNormal"/>
      </w:pPr>
      <w:r>
        <w:t>[A tal fin, e]n el ámbito procedimental, mediante este real decreto-ley se declaran […] de tramitación urgente los procedimientos administrativos que estén vinculados a la ejecución de los fondos incluidos en el ámbito de aplicación de esta norma”.</w:t>
      </w:r>
    </w:p>
    <w:p w14:paraId="018A7366" w14:textId="77777777" w:rsidR="00A8138F" w:rsidRDefault="00A8138F" w:rsidP="00A8138F">
      <w:pPr>
        <w:pStyle w:val="TextoNormal"/>
      </w:pPr>
    </w:p>
    <w:p w14:paraId="64DBF5DB" w14:textId="77777777" w:rsidR="00A8138F" w:rsidRDefault="00A8138F" w:rsidP="00A8138F">
      <w:pPr>
        <w:pStyle w:val="TextoNormal"/>
      </w:pPr>
      <w:r>
        <w:t>En el apartado XII de la misma exposición de motivos se recogen las referencias al capítulo III del título IV del Real Decreto-ley, dedicado a las especialidades en materia de contratación administrativa. Y, entre otros extremos, se señala que “a todos los contratos financiados con los fondos percibidos por el Reino de España en el marco del plan de recuperación les [será] de aplicación el régimen excepcional de tramitación urgente, con la consiguiente reducción de plazos y agilización del procedimiento”.</w:t>
      </w:r>
    </w:p>
    <w:p w14:paraId="23A65FD7" w14:textId="77777777" w:rsidR="00A8138F" w:rsidRDefault="00A8138F" w:rsidP="00A8138F">
      <w:pPr>
        <w:pStyle w:val="TextoNormal"/>
      </w:pPr>
    </w:p>
    <w:p w14:paraId="63160048" w14:textId="77777777" w:rsidR="00A8138F" w:rsidRDefault="00A8138F" w:rsidP="00A8138F">
      <w:pPr>
        <w:pStyle w:val="TextoNormal"/>
      </w:pPr>
      <w:r>
        <w:t>Fruto de estos objetivos nos encontramos con los arts. 48 y 50 del Real Decreto-ley 36/2020 que, en lo que ahora interesa, tienen el siguiente tenor literal:</w:t>
      </w:r>
    </w:p>
    <w:p w14:paraId="0288998D" w14:textId="77777777" w:rsidR="00A8138F" w:rsidRDefault="00A8138F" w:rsidP="00A8138F">
      <w:pPr>
        <w:pStyle w:val="TextoNormal"/>
      </w:pPr>
    </w:p>
    <w:p w14:paraId="1BD089A2" w14:textId="77777777" w:rsidR="00A8138F" w:rsidRDefault="00A8138F" w:rsidP="00A8138F">
      <w:pPr>
        <w:pStyle w:val="TextoNormal"/>
      </w:pPr>
      <w:r>
        <w:t>“Artículo 48. Tramitación de urgencia de los procedimientos administrativos de ejecución de gastos con cargo a fondos europeos para el Plan de Recuperación, Transformación y Resiliencia</w:t>
      </w:r>
    </w:p>
    <w:p w14:paraId="7ACC256C" w14:textId="77777777" w:rsidR="00A8138F" w:rsidRDefault="00A8138F" w:rsidP="00A8138F">
      <w:pPr>
        <w:pStyle w:val="TextoNormal"/>
      </w:pPr>
    </w:p>
    <w:p w14:paraId="761D8057" w14:textId="77777777" w:rsidR="00A8138F" w:rsidRDefault="00A8138F" w:rsidP="00A8138F">
      <w:pPr>
        <w:pStyle w:val="TextoNormal"/>
      </w:pPr>
      <w:r>
        <w:t>1. Se declara la aplicación de la tramitación de urgencia y el despacho prioritario, en los términos previstos en los artículos 33 y 71 respectivamente de la Ley 39/2015, de 1 de octubre, del procedimiento administrativo común de las administraciones públicas, de los procedimientos administrativos que impliquen la ejecución de gastos con cargo a los fondos europeos, dentro del Plan de Recuperación, Transformación y Resiliencia, sin necesidad de que el órgano administrativo motive dicha urgencia en el correspondiente acuerdo de inicio.</w:t>
      </w:r>
    </w:p>
    <w:p w14:paraId="5278E05C" w14:textId="77777777" w:rsidR="00A8138F" w:rsidRDefault="00A8138F" w:rsidP="00A8138F">
      <w:pPr>
        <w:pStyle w:val="TextoNormal"/>
      </w:pPr>
    </w:p>
    <w:p w14:paraId="09546F73" w14:textId="77777777" w:rsidR="00A8138F" w:rsidRDefault="00A8138F" w:rsidP="00A8138F">
      <w:pPr>
        <w:pStyle w:val="TextoNormal"/>
      </w:pPr>
      <w:r>
        <w:t>2. Lo establecido en el apartado anterior se entenderá sin perjuicio de lo previsto en el artículo 50 del presente Real Decreto-ley.</w:t>
      </w:r>
    </w:p>
    <w:p w14:paraId="6340E2A9" w14:textId="77777777" w:rsidR="00A8138F" w:rsidRDefault="00A8138F" w:rsidP="00A8138F">
      <w:pPr>
        <w:pStyle w:val="TextoNormal"/>
      </w:pPr>
    </w:p>
    <w:p w14:paraId="19C43C83" w14:textId="77777777" w:rsidR="00A8138F" w:rsidRDefault="00A8138F" w:rsidP="00A8138F">
      <w:pPr>
        <w:pStyle w:val="TextoNormal"/>
      </w:pPr>
      <w:r>
        <w:t>[…]”.</w:t>
      </w:r>
    </w:p>
    <w:p w14:paraId="24B3D95B" w14:textId="77777777" w:rsidR="00A8138F" w:rsidRDefault="00A8138F" w:rsidP="00A8138F">
      <w:pPr>
        <w:pStyle w:val="TextoNormal"/>
      </w:pPr>
    </w:p>
    <w:p w14:paraId="7E090925" w14:textId="77777777" w:rsidR="00A8138F" w:rsidRDefault="00A8138F" w:rsidP="00A8138F">
      <w:pPr>
        <w:pStyle w:val="TextoNormal"/>
      </w:pPr>
      <w:r>
        <w:lastRenderedPageBreak/>
        <w:t>“Artículo 50. Tramitación de urgencia</w:t>
      </w:r>
    </w:p>
    <w:p w14:paraId="06897AFD" w14:textId="77777777" w:rsidR="00A8138F" w:rsidRDefault="00A8138F" w:rsidP="00A8138F">
      <w:pPr>
        <w:pStyle w:val="TextoNormal"/>
      </w:pPr>
    </w:p>
    <w:p w14:paraId="1E01C150" w14:textId="77777777" w:rsidR="00A8138F" w:rsidRDefault="00A8138F" w:rsidP="00A8138F">
      <w:pPr>
        <w:pStyle w:val="TextoNormal"/>
      </w:pPr>
      <w:r>
        <w:t>1. Al licitar los contratos y acuerdos marco que se vayan a financiar con fondos procedentes del Plan de Recuperación, Transformación y Resiliencia, los órganos de contratación deberán examinar si la situación de urgencia impide la tramitación ordinaria de los procedimientos de licitación, procediendo aplicar la tramitación urgente del expediente prevista en el artículo 119 de la Ley 9/2017, de 8 de noviembre. […]”.</w:t>
      </w:r>
    </w:p>
    <w:p w14:paraId="7A1F15E2" w14:textId="77777777" w:rsidR="00A8138F" w:rsidRDefault="00A8138F" w:rsidP="00A8138F">
      <w:pPr>
        <w:pStyle w:val="TextoNormal"/>
      </w:pPr>
    </w:p>
    <w:p w14:paraId="6FE4A61D" w14:textId="77777777" w:rsidR="00A8138F" w:rsidRDefault="00A8138F" w:rsidP="00A8138F">
      <w:pPr>
        <w:pStyle w:val="TextoNormal"/>
      </w:pPr>
      <w:r>
        <w:t>Por otra parte, los arts. 33 y 71 LPACAP disponen lo siguiente:</w:t>
      </w:r>
    </w:p>
    <w:p w14:paraId="06C5908C" w14:textId="77777777" w:rsidR="00A8138F" w:rsidRDefault="00A8138F" w:rsidP="00A8138F">
      <w:pPr>
        <w:pStyle w:val="TextoNormal"/>
      </w:pPr>
    </w:p>
    <w:p w14:paraId="20ECB8F1" w14:textId="77777777" w:rsidR="00A8138F" w:rsidRDefault="00A8138F" w:rsidP="00A8138F">
      <w:pPr>
        <w:pStyle w:val="TextoNormal"/>
      </w:pPr>
      <w:r>
        <w:t>“Artículo 33. Tramitación de urgencia</w:t>
      </w:r>
    </w:p>
    <w:p w14:paraId="22CEA8D6" w14:textId="77777777" w:rsidR="00A8138F" w:rsidRDefault="00A8138F" w:rsidP="00A8138F">
      <w:pPr>
        <w:pStyle w:val="TextoNormal"/>
      </w:pPr>
    </w:p>
    <w:p w14:paraId="6E1ABDAF" w14:textId="77777777" w:rsidR="00A8138F" w:rsidRDefault="00A8138F" w:rsidP="00A8138F">
      <w:pPr>
        <w:pStyle w:val="TextoNormal"/>
      </w:pPr>
      <w:r>
        <w:t>1. Cuando razones de interés público lo aconsejen, se podrá acordar, de oficio o a petición del interesado, la aplicación al procedimiento de la tramitación de urgencia, por la cual se reducirán a la mitad los plazos establecidos para el procedimiento ordinario, salvo los relativos a la presentación de solicitudes y recursos.</w:t>
      </w:r>
    </w:p>
    <w:p w14:paraId="7ECC5996" w14:textId="77777777" w:rsidR="00A8138F" w:rsidRDefault="00A8138F" w:rsidP="00A8138F">
      <w:pPr>
        <w:pStyle w:val="TextoNormal"/>
      </w:pPr>
    </w:p>
    <w:p w14:paraId="0BF4EC85" w14:textId="77777777" w:rsidR="00A8138F" w:rsidRDefault="00A8138F" w:rsidP="00A8138F">
      <w:pPr>
        <w:pStyle w:val="TextoNormal"/>
      </w:pPr>
      <w:r>
        <w:t>[…]”.</w:t>
      </w:r>
    </w:p>
    <w:p w14:paraId="1652BEFC" w14:textId="77777777" w:rsidR="00A8138F" w:rsidRDefault="00A8138F" w:rsidP="00A8138F">
      <w:pPr>
        <w:pStyle w:val="TextoNormal"/>
      </w:pPr>
    </w:p>
    <w:p w14:paraId="5A8EF23D" w14:textId="77777777" w:rsidR="00A8138F" w:rsidRDefault="00A8138F" w:rsidP="00A8138F">
      <w:pPr>
        <w:pStyle w:val="TextoNormal"/>
      </w:pPr>
      <w:r>
        <w:t>“Articulo 71. Impulso</w:t>
      </w:r>
    </w:p>
    <w:p w14:paraId="65C9A380" w14:textId="77777777" w:rsidR="00A8138F" w:rsidRDefault="00A8138F" w:rsidP="00A8138F">
      <w:pPr>
        <w:pStyle w:val="TextoNormal"/>
      </w:pPr>
    </w:p>
    <w:p w14:paraId="1D74F431" w14:textId="77777777" w:rsidR="00A8138F" w:rsidRDefault="00A8138F" w:rsidP="00A8138F">
      <w:pPr>
        <w:pStyle w:val="TextoNormal"/>
      </w:pPr>
      <w:r>
        <w:t>[…]</w:t>
      </w:r>
    </w:p>
    <w:p w14:paraId="7379E01D" w14:textId="77777777" w:rsidR="00A8138F" w:rsidRDefault="00A8138F" w:rsidP="00A8138F">
      <w:pPr>
        <w:pStyle w:val="TextoNormal"/>
      </w:pPr>
    </w:p>
    <w:p w14:paraId="151A53AA" w14:textId="77777777" w:rsidR="00A8138F" w:rsidRDefault="00A8138F" w:rsidP="00A8138F">
      <w:pPr>
        <w:pStyle w:val="TextoNormal"/>
      </w:pPr>
      <w:r>
        <w:t>2. En el despacho de los expedientes se guardará el orden riguroso de incoación en asuntos de homogénea naturaleza, salvo que por el titular de la unidad administrativa se dé orden motivada en contrario, de la que quede constancia.</w:t>
      </w:r>
    </w:p>
    <w:p w14:paraId="104F5693" w14:textId="77777777" w:rsidR="00A8138F" w:rsidRDefault="00A8138F" w:rsidP="00A8138F">
      <w:pPr>
        <w:pStyle w:val="TextoNormal"/>
      </w:pPr>
    </w:p>
    <w:p w14:paraId="2C723BE8" w14:textId="77777777" w:rsidR="00A8138F" w:rsidRDefault="00A8138F" w:rsidP="00A8138F">
      <w:pPr>
        <w:pStyle w:val="TextoNormal"/>
      </w:pPr>
      <w:r>
        <w:t>[…]”.</w:t>
      </w:r>
    </w:p>
    <w:p w14:paraId="4C1FBACC" w14:textId="77777777" w:rsidR="00A8138F" w:rsidRDefault="00A8138F" w:rsidP="00A8138F">
      <w:pPr>
        <w:pStyle w:val="TextoNormal"/>
      </w:pPr>
    </w:p>
    <w:p w14:paraId="6325642C" w14:textId="77777777" w:rsidR="00A8138F" w:rsidRDefault="00A8138F" w:rsidP="00A8138F">
      <w:pPr>
        <w:pStyle w:val="TextoNormal"/>
      </w:pPr>
      <w:r>
        <w:t>Y, finalmente, el art. 119 LCSP establece lo que sigue:</w:t>
      </w:r>
    </w:p>
    <w:p w14:paraId="652BEA90" w14:textId="77777777" w:rsidR="00A8138F" w:rsidRDefault="00A8138F" w:rsidP="00A8138F">
      <w:pPr>
        <w:pStyle w:val="TextoNormal"/>
      </w:pPr>
    </w:p>
    <w:p w14:paraId="049E1469" w14:textId="77777777" w:rsidR="00A8138F" w:rsidRDefault="00A8138F" w:rsidP="00A8138F">
      <w:pPr>
        <w:pStyle w:val="TextoNormal"/>
      </w:pPr>
      <w:r>
        <w:t>“Artículo 119. Tramitación urgente del expediente</w:t>
      </w:r>
    </w:p>
    <w:p w14:paraId="70920CE0" w14:textId="77777777" w:rsidR="00A8138F" w:rsidRDefault="00A8138F" w:rsidP="00A8138F">
      <w:pPr>
        <w:pStyle w:val="TextoNormal"/>
      </w:pPr>
    </w:p>
    <w:p w14:paraId="4D283244" w14:textId="77777777" w:rsidR="00A8138F" w:rsidRDefault="00A8138F" w:rsidP="00A8138F">
      <w:pPr>
        <w:pStyle w:val="TextoNormal"/>
      </w:pPr>
      <w:r>
        <w:t>1. Podrán ser objeto de tramitación urgente los expedientes correspondientes a los contratos cuya celebración responda a una necesidad inaplazable o cuya adjudicación sea preciso acelerar por razones de interés público. A tales efectos el expediente deberá contener la declaración de urgencia hecha por el órgano de contratación, debidamente motivada.</w:t>
      </w:r>
    </w:p>
    <w:p w14:paraId="6E13A30D" w14:textId="77777777" w:rsidR="00A8138F" w:rsidRDefault="00A8138F" w:rsidP="00A8138F">
      <w:pPr>
        <w:pStyle w:val="TextoNormal"/>
      </w:pPr>
    </w:p>
    <w:p w14:paraId="31C21578" w14:textId="77777777" w:rsidR="00A8138F" w:rsidRDefault="00A8138F" w:rsidP="00A8138F">
      <w:pPr>
        <w:pStyle w:val="TextoNormal"/>
      </w:pPr>
      <w:r>
        <w:t>[…]”.</w:t>
      </w:r>
    </w:p>
    <w:p w14:paraId="0C6E248D" w14:textId="77777777" w:rsidR="00A8138F" w:rsidRDefault="00A8138F" w:rsidP="00A8138F">
      <w:pPr>
        <w:pStyle w:val="TextoNormal"/>
      </w:pPr>
    </w:p>
    <w:p w14:paraId="1C0C54B7" w14:textId="77777777" w:rsidR="00A8138F" w:rsidRDefault="00A8138F" w:rsidP="00A8138F">
      <w:pPr>
        <w:pStyle w:val="TextoNormal"/>
      </w:pPr>
      <w:r>
        <w:t xml:space="preserve">Como ocurría con la normativa autonómica impugnada, el análisis de los preceptos estatales pone de manifiesto las notables diferencias existentes entre ellos. Así, el art. 48.1 del Real Decreto-ley 36/2020 se refiere a los expedientes de ejecución de gasto con cargo a los fondos europeos, que quedan exceptuados de la necesidad de declarar la urgencia de forma individualizada, y que se tramitarán de conformidad con lo dispuesto en los arts. 33 y 71 LPACAP. No obstante, el propio art. 48, en su apartado 2, establece como excepción la materia de contratación pública, a la que será aplicable lo dispuesto en el art. 50 del mismo Real Decreto-ley 36/2020 que, en aparente contradicción con lo indicado en la exposición </w:t>
      </w:r>
      <w:r>
        <w:lastRenderedPageBreak/>
        <w:t>de motivos, obliga a la valoración casuística de la urgencia de cada contrato, en función de la concurrencia o no de una “necesidad inaplazable” o de un “interés público”, por remisión a lo dispuesto en el art. 119 LCSP.</w:t>
      </w:r>
    </w:p>
    <w:p w14:paraId="3DC8095C" w14:textId="77777777" w:rsidR="00A8138F" w:rsidRDefault="00A8138F" w:rsidP="00A8138F">
      <w:pPr>
        <w:pStyle w:val="TextoNormal"/>
      </w:pPr>
    </w:p>
    <w:p w14:paraId="5F0D13B2" w14:textId="77777777" w:rsidR="00A8138F" w:rsidRDefault="00A8138F" w:rsidP="00A8138F">
      <w:pPr>
        <w:pStyle w:val="TextoNormal"/>
      </w:pPr>
      <w:r>
        <w:t>De esta forma, como ya se anticipó, el contenido del art. 48 del Real Decreto-ley 36/2020 guarda correspondencia con la redacción del apartado 1 del art. 12 de la Ley impugnada, mientras que su apartado 2 recoge una regulación similar a la del art. 50 del Real Decreto-ley 36/2020.</w:t>
      </w:r>
    </w:p>
    <w:p w14:paraId="4BF85C0B" w14:textId="77777777" w:rsidR="00A8138F" w:rsidRDefault="00A8138F" w:rsidP="00A8138F">
      <w:pPr>
        <w:pStyle w:val="TextoNormal"/>
      </w:pPr>
    </w:p>
    <w:p w14:paraId="4866937F" w14:textId="115C52FB" w:rsidR="00A8138F" w:rsidRDefault="00A8138F" w:rsidP="00A8138F">
      <w:pPr>
        <w:pStyle w:val="TextoNormal"/>
      </w:pPr>
      <w:r>
        <w:t>Finalmente, conviene señalar otra diferencia sustancial entre los arts. 48 y 50 del Real Decreto-ley 36/2020. Y es que, conforme a lo establecido en su disposición final primera, apartado 2, letra l), el art. 48 del Real Decreto-ley 36/2020 no tiene “carácter básico” y, por tanto, solo se aplicará a la administración general del Estado y al sector público institucional estatal; a diferencia del art. 50 del Real Decreto-ley 36/2020, que se dicta al amparo de la competencia estatal básica reconocida en el art. 149.1.18 CE.</w:t>
      </w:r>
    </w:p>
    <w:p w14:paraId="6D1CCE03" w14:textId="77777777" w:rsidR="00A8138F" w:rsidRDefault="00A8138F" w:rsidP="00A8138F">
      <w:pPr>
        <w:pStyle w:val="TextoNormal"/>
      </w:pPr>
    </w:p>
    <w:p w14:paraId="42EB74CE" w14:textId="77777777" w:rsidR="00A8138F" w:rsidRDefault="00A8138F" w:rsidP="00A8138F">
      <w:pPr>
        <w:pStyle w:val="TextoNormal"/>
      </w:pPr>
      <w:r w:rsidRPr="00A8138F">
        <w:rPr>
          <w:rStyle w:val="NumeroAFNegritaCaracter"/>
        </w:rPr>
        <w:t>3</w:t>
      </w:r>
      <w:r>
        <w:t xml:space="preserve">. </w:t>
      </w:r>
      <w:r w:rsidRPr="00A8138F">
        <w:rPr>
          <w:i/>
        </w:rPr>
        <w:t>Delimitación del objeto de enjuiciamiento. Desestimación de la inconstitucionalidad del apartado 1 del art. 12 de la Ley 13/2023</w:t>
      </w:r>
    </w:p>
    <w:p w14:paraId="609EA441" w14:textId="77777777" w:rsidR="00A8138F" w:rsidRDefault="00A8138F" w:rsidP="00A8138F">
      <w:pPr>
        <w:pStyle w:val="TextoNormal"/>
      </w:pPr>
    </w:p>
    <w:p w14:paraId="1896A882" w14:textId="77777777" w:rsidR="00A8138F" w:rsidRDefault="00A8138F" w:rsidP="00A8138F">
      <w:pPr>
        <w:pStyle w:val="TextoNormal"/>
      </w:pPr>
      <w:r>
        <w:t>La resolución de este recurso exige la previa determinación de algunos presupuestos que habrán de servir como soporte a la decisión que se adopte.</w:t>
      </w:r>
    </w:p>
    <w:p w14:paraId="2000C668" w14:textId="77777777" w:rsidR="00A8138F" w:rsidRDefault="00A8138F" w:rsidP="00A8138F">
      <w:pPr>
        <w:pStyle w:val="TextoNormal"/>
      </w:pPr>
    </w:p>
    <w:p w14:paraId="075AC939" w14:textId="77777777" w:rsidR="00A8138F" w:rsidRDefault="00A8138F" w:rsidP="00A8138F">
      <w:pPr>
        <w:pStyle w:val="TextoNormal"/>
      </w:pPr>
      <w:r>
        <w:t>En primer lugar, el precepto impugnado se refiere a dos materias que pueden ser claramente diferenciadas. El art. 12.1 de la Ley 13/2023 versa sobre la tramitación de procedimientos administrativos; mientras que el mismo art. 12, en su apartado 2, se refiere a los contratos administrativos. Aunque todo contrato público requiere la tramitación de un procedimiento, se trata de materias distintas que, de hecho, se regulan específicamente en normas estatales diferentes: por un lado, la Ley 39/2015, de 1 de octubre, del procedimiento administrativo común de las administraciones públicas y, por otro, la Ley 9/2017, de 8 de noviembre, de contratos del sector público, por la que se trasponen al ordenamiento jurídico español las Directivas del Parlamento Europeo y del Consejo 2014/23/UE y 2014/24/UE, de 26 de febrero de 2014.</w:t>
      </w:r>
    </w:p>
    <w:p w14:paraId="5BD77D51" w14:textId="77777777" w:rsidR="00A8138F" w:rsidRDefault="00A8138F" w:rsidP="00A8138F">
      <w:pPr>
        <w:pStyle w:val="TextoNormal"/>
      </w:pPr>
    </w:p>
    <w:p w14:paraId="3747142F" w14:textId="77777777" w:rsidR="00A8138F" w:rsidRDefault="00A8138F" w:rsidP="00A8138F">
      <w:pPr>
        <w:pStyle w:val="TextoNormal"/>
      </w:pPr>
      <w:r>
        <w:t>En segundo lugar, la misma distinción se aprecia en el Real Decreto-ley 36/2020, de 30 de diciembre, por el que se aprueban medidas urgentes para la modernización de la administración pública y para la ejecución del Plan de recuperación, transformación y resiliencia. El recurrente basa su impugnación en la consideración del art. 50 del Real Decreto-ley 36/20200 como única norma de contraste, sin tener en cuenta que ese precepto se refiere a la materia de contratación pública, pero no a la de procedimientos administrativos, que se regula en el art. 48 del mismo Real Decreto-ley 36/2020.</w:t>
      </w:r>
    </w:p>
    <w:p w14:paraId="2E1FD55C" w14:textId="77777777" w:rsidR="00A8138F" w:rsidRDefault="00A8138F" w:rsidP="00A8138F">
      <w:pPr>
        <w:pStyle w:val="TextoNormal"/>
      </w:pPr>
    </w:p>
    <w:p w14:paraId="2F957421" w14:textId="77777777" w:rsidR="00A8138F" w:rsidRDefault="00A8138F" w:rsidP="00A8138F">
      <w:pPr>
        <w:pStyle w:val="TextoNormal"/>
      </w:pPr>
      <w:r>
        <w:t>Partiendo de lo anterior, el análisis del precepto impugnado pone de manifiesto que el art. 12.1 de la ley impugnada es una reproducción casi literal de lo dispuesto en el art. 48.1 del Real Decreto-ley 36/2020. En virtud de ambas normas, se declara la aplicación de la tramitación de urgencia —sin necesidad de una motivación expresa individualizada— así como el despacho prioritario de los procedimientos administrativos para la ejecución de gastos con cargo a los fondos europeos previstos en el plan de recuperación, transformación y resiliencia, con remisión a los arts. 33 y 71 LPACAP.</w:t>
      </w:r>
    </w:p>
    <w:p w14:paraId="4FE1B64E" w14:textId="77777777" w:rsidR="00A8138F" w:rsidRDefault="00A8138F" w:rsidP="00A8138F">
      <w:pPr>
        <w:pStyle w:val="TextoNormal"/>
      </w:pPr>
    </w:p>
    <w:p w14:paraId="4267BEA9" w14:textId="77777777" w:rsidR="00A8138F" w:rsidRDefault="00A8138F" w:rsidP="00A8138F">
      <w:pPr>
        <w:pStyle w:val="TextoNormal"/>
      </w:pPr>
      <w:r>
        <w:t xml:space="preserve">Por su parte, el art. 12.2 de la Ley 13/2023 establece expresamente la materia de contratación como excepción a la regla descrita en el apartado anterior, de manera que, de conformidad con la normativa europea, la declaración de urgencia requerirá de una motivación individualizada para cada contrato en función de las circunstancias concurrentes. El art. 48.2 del Real Decreto-ley 36/2020 también excluye la materia de contratación de la declaración de urgencia </w:t>
      </w:r>
      <w:r w:rsidRPr="00A8138F">
        <w:rPr>
          <w:i/>
        </w:rPr>
        <w:t>ope legis</w:t>
      </w:r>
      <w:r>
        <w:t xml:space="preserve"> prevista en su apartado 1, pero lo hace por remisión a lo dispuesto en el art. 50 de ese mismo real decreto-ley. Precepto que, efectivamente, establece la necesidad de que la urgencia de la contratación venga expresamente motivada en cada caso concreto, con remisión a las causas previstas en el art. 119 LCSP (“necesidad inaplazable” o “razones de interés público”).</w:t>
      </w:r>
    </w:p>
    <w:p w14:paraId="2092C881" w14:textId="77777777" w:rsidR="00A8138F" w:rsidRDefault="00A8138F" w:rsidP="00A8138F">
      <w:pPr>
        <w:pStyle w:val="TextoNormal"/>
      </w:pPr>
    </w:p>
    <w:p w14:paraId="25A02289" w14:textId="77777777" w:rsidR="00A8138F" w:rsidRDefault="00A8138F" w:rsidP="00A8138F">
      <w:pPr>
        <w:pStyle w:val="TextoNormal"/>
      </w:pPr>
      <w:r>
        <w:t>Descritas de esta forma las normativas autonómica y estatal, se puede alcanzar una primera conclusión: el art. 50 del Real Decreto-ley 36/2020 no puede considerarse como término o norma de contraste de todo el precepto impugnado, sino únicamente —y en su caso—, respecto del art. 12.2 de la Ley 13/2023.</w:t>
      </w:r>
    </w:p>
    <w:p w14:paraId="0A5FD9CA" w14:textId="77777777" w:rsidR="00A8138F" w:rsidRDefault="00A8138F" w:rsidP="00A8138F">
      <w:pPr>
        <w:pStyle w:val="TextoNormal"/>
      </w:pPr>
    </w:p>
    <w:p w14:paraId="79545416" w14:textId="77777777" w:rsidR="00A8138F" w:rsidRDefault="00A8138F" w:rsidP="00A8138F">
      <w:pPr>
        <w:pStyle w:val="TextoNormal"/>
      </w:pPr>
      <w:r>
        <w:t>En efecto, el art. 12.1 de la ley impugnada no se refiere a la materia regulada en el art. 50 del Real Decreto-ley 36/2020, por lo que este precepto no puede servir como parámetro referencial de una eventual colisión competencial. En realidad, como ya se expuso, el art. 12.1 es una reiteración prácticamente literal del art. 48.1 del Real Decreto-ley 36/2020 que, por lo demás, no tiene carácter de legislación básica, por haberlo previsto así expresamente la disposición final primera, apartado 2, letra l), del propio Real Decreto-ley 36/2020. Se trata, por tanto, de la reproducción de una norma estatal que la legislación autonómica ha utilizado como modelo o patrón, en el ejercicio de las competencias exclusivas de la Comunidad Autónoma de La Rioja previstas en el art. 8.1 de su Estatuto de Autonomía, aprobado por la Ley Orgánica 3/1982, de 9 de junio. Más en concreto, la que se refiere al procedimiento administrativo derivado de las especialidades de su organización propia (art. 8.1.2). Se trataría de facilitar la organización y funcionamiento de su propia administración para hacer frente a la gestión más ágil y eficaz de los expedientes administrativos para la ejecución de gastos con cargo a los fondos europeos. Una competencia autonómica invocada en la exposición de motivos de la Ley 13/2023 (apartado I) y que, en cualquier caso, no ha sido impugnada ni discutida en el presente recurso.</w:t>
      </w:r>
    </w:p>
    <w:p w14:paraId="0A90965D" w14:textId="77777777" w:rsidR="00A8138F" w:rsidRDefault="00A8138F" w:rsidP="00A8138F">
      <w:pPr>
        <w:pStyle w:val="TextoNormal"/>
      </w:pPr>
    </w:p>
    <w:p w14:paraId="0CB2B72C" w14:textId="67E51EC9" w:rsidR="00A8138F" w:rsidRDefault="00A8138F" w:rsidP="00A8138F">
      <w:pPr>
        <w:pStyle w:val="TextoNormal"/>
      </w:pPr>
      <w:r>
        <w:t>Descartada, por tanto, la incompatibilidad constitucional del art. 12.1 de la Ley 13/2023, procede el análisis del segundo apartado de este precepto.</w:t>
      </w:r>
    </w:p>
    <w:p w14:paraId="7B337B16" w14:textId="77777777" w:rsidR="00A8138F" w:rsidRDefault="00A8138F" w:rsidP="00A8138F">
      <w:pPr>
        <w:pStyle w:val="TextoNormal"/>
      </w:pPr>
    </w:p>
    <w:p w14:paraId="38A2680C" w14:textId="77777777" w:rsidR="00A8138F" w:rsidRDefault="00A8138F" w:rsidP="00A8138F">
      <w:pPr>
        <w:pStyle w:val="TextoNormal"/>
      </w:pPr>
      <w:r w:rsidRPr="00A8138F">
        <w:rPr>
          <w:rStyle w:val="NumeroAFNegritaCaracter"/>
        </w:rPr>
        <w:t>4</w:t>
      </w:r>
      <w:r>
        <w:t xml:space="preserve">. </w:t>
      </w:r>
      <w:r w:rsidRPr="00A8138F">
        <w:rPr>
          <w:i/>
        </w:rPr>
        <w:t>Enjuiciamiento de la constitucionalidad del apartado 2 del art. 12 de la Ley 13/2023</w:t>
      </w:r>
    </w:p>
    <w:p w14:paraId="113CB8E0" w14:textId="77777777" w:rsidR="00A8138F" w:rsidRDefault="00A8138F" w:rsidP="00A8138F">
      <w:pPr>
        <w:pStyle w:val="TextoNormal"/>
      </w:pPr>
    </w:p>
    <w:p w14:paraId="008F86BB" w14:textId="77777777" w:rsidR="00A8138F" w:rsidRDefault="00A8138F" w:rsidP="00A8138F">
      <w:pPr>
        <w:pStyle w:val="TextoNormal"/>
      </w:pPr>
      <w:r>
        <w:t>A) Encuadramiento competencial</w:t>
      </w:r>
    </w:p>
    <w:p w14:paraId="62D9D163" w14:textId="77777777" w:rsidR="00A8138F" w:rsidRDefault="00A8138F" w:rsidP="00A8138F">
      <w:pPr>
        <w:pStyle w:val="TextoNormal"/>
      </w:pPr>
    </w:p>
    <w:p w14:paraId="16FA7123" w14:textId="77777777" w:rsidR="00A8138F" w:rsidRDefault="00A8138F" w:rsidP="00A8138F">
      <w:pPr>
        <w:pStyle w:val="TextoNormal"/>
      </w:pPr>
      <w:r>
        <w:t>Nos encontramos ante un supuesto de eventual inconstitucionalidad mediata, en que la incompatibilidad de la norma autonómica no se predica directamente respecto del texto constitucional, sino de una ley estatal que, a su vez, desarrolla una competencia básica atribuida, en este caso, por el art. 149.1.18 CE en materia de contratación pública, como reconocen todas las partes. Procede, por tanto, exponer el régimen competencial en este ámbito, de conformidad con la doctrina de este tribunal.</w:t>
      </w:r>
    </w:p>
    <w:p w14:paraId="5997AC58" w14:textId="77777777" w:rsidR="00A8138F" w:rsidRDefault="00A8138F" w:rsidP="00A8138F">
      <w:pPr>
        <w:pStyle w:val="TextoNormal"/>
      </w:pPr>
    </w:p>
    <w:p w14:paraId="7659CFC2" w14:textId="77777777" w:rsidR="00A8138F" w:rsidRDefault="00A8138F" w:rsidP="00A8138F">
      <w:pPr>
        <w:pStyle w:val="TextoNormal"/>
      </w:pPr>
      <w:r>
        <w:lastRenderedPageBreak/>
        <w:t>B) Distribución de competencias en materia de contratación pública</w:t>
      </w:r>
    </w:p>
    <w:p w14:paraId="60CE7446" w14:textId="77777777" w:rsidR="00A8138F" w:rsidRDefault="00A8138F" w:rsidP="00A8138F">
      <w:pPr>
        <w:pStyle w:val="TextoNormal"/>
      </w:pPr>
    </w:p>
    <w:p w14:paraId="6491C838" w14:textId="77777777" w:rsidR="00A8138F" w:rsidRDefault="00A8138F" w:rsidP="00A8138F">
      <w:pPr>
        <w:pStyle w:val="TextoNormal"/>
      </w:pPr>
      <w:r>
        <w:t>a) Competencia del Estado</w:t>
      </w:r>
    </w:p>
    <w:p w14:paraId="68B2E405" w14:textId="77777777" w:rsidR="00A8138F" w:rsidRDefault="00A8138F" w:rsidP="00A8138F">
      <w:pPr>
        <w:pStyle w:val="TextoNormal"/>
      </w:pPr>
    </w:p>
    <w:p w14:paraId="1E2529A7" w14:textId="77777777" w:rsidR="00A8138F" w:rsidRDefault="00A8138F" w:rsidP="00A8138F">
      <w:pPr>
        <w:pStyle w:val="TextoNormal"/>
      </w:pPr>
      <w:r>
        <w:t xml:space="preserve">El art. 149.1 CE dispone que “[e]l Estado tiene competencia exclusiva sobre las siguientes materias: […] 18. Las bases del régimen jurídico de las Administraciones públicas […] que, en todo caso, garantizarán a los administrados un tratamiento común ante ellas; el procedimiento administrativo común, sin perjuicio de las especialidades derivadas de la organización propia de las Comunidades Autónomas; […] </w:t>
      </w:r>
      <w:r w:rsidRPr="00A8138F">
        <w:rPr>
          <w:i/>
        </w:rPr>
        <w:t>legislación básica sobre contratos y concesiones administrativas</w:t>
      </w:r>
      <w:r>
        <w:t xml:space="preserve"> […]” (la cursiva es nuestra).</w:t>
      </w:r>
    </w:p>
    <w:p w14:paraId="46FCBBC4" w14:textId="77777777" w:rsidR="00A8138F" w:rsidRDefault="00A8138F" w:rsidP="00A8138F">
      <w:pPr>
        <w:pStyle w:val="TextoNormal"/>
      </w:pPr>
    </w:p>
    <w:p w14:paraId="43B874AF" w14:textId="77777777" w:rsidR="00A8138F" w:rsidRDefault="00A8138F" w:rsidP="00A8138F">
      <w:pPr>
        <w:pStyle w:val="TextoNormal"/>
      </w:pPr>
      <w:r>
        <w:t>La doctrina sobre la competencia exclusiva del Estado en materia de legislación básica sobre contratos administrativos —que es la invocada expresamente por el recurrente— aparece recogida, de forma amplia y sistemática, en la STC 68/2021, de 18 de marzo, FJ 5 B), C), D) y E), reseñada parcialmente en la demanda. Conforme a este pronunciamiento: “La ‘contratación administrativa’ aparece diferenciada en el art. 149.1.18 CE, si bien forma parte del amplio haz de competencias recogidas en el mismo precepto constitucional, que tienen diverso alcance y naturaleza, y cuya heterogeneidad impide un tratamiento unívoco (STC 61/1997, de 20 de marzo, FJ 11). […] Esto es así porque existen aspectos de la contratación pública que pueden ser integrados en el marco de la organización administrativa o del procedimiento administrativo. Dentro del respeto a la legislación básica estatal, las comunidades autónomas han podido asumir la competencia de desarrollo legislativo y ejecución en materia de contratación pública (STC 237/2015, de 19 de noviembre, FJ 2)”. En cuanto a la noción de lo que deba entenderse como “bases” o “legislación básica”, el Tribunal “ha declarado reiteradamente que presenta una doble dimensión material y formal”. Con remisión a la STC 132/2019, de 13 de noviembre, FJ 4, la vertiente material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 a partir del cual pueda cada comunidad, en defensa de su propio interés, introducir las peculiaridades que estime convenientes dentro del marco competencial que en la materia correspondiente le asigne su Estatuto (STC 197/1996, FJ 5)”. Y, desde el punto de vista formal, el Tribunal ha manifestado que, con carácter general, “la propia ley puede y debe declarar expresamente el carácter básico de la norma o, en su defecto, venir dotada de una estructura que permita inferir, directa o indirectamente, pero sin especial dificultad, su vocación o pretensión básica”.</w:t>
      </w:r>
    </w:p>
    <w:p w14:paraId="2CAB7742" w14:textId="77777777" w:rsidR="00A8138F" w:rsidRDefault="00A8138F" w:rsidP="00A8138F">
      <w:pPr>
        <w:pStyle w:val="TextoNormal"/>
      </w:pPr>
    </w:p>
    <w:p w14:paraId="0C686E2D" w14:textId="77777777" w:rsidR="00A8138F" w:rsidRDefault="00A8138F" w:rsidP="00A8138F">
      <w:pPr>
        <w:pStyle w:val="TextoNormal"/>
      </w:pPr>
      <w:r>
        <w:t>En definitiva, “el carácter básico de la normativa estatal determinará que la norma autonómica haya de ajustarse a los límites establecidos por esta regulación, pues si no la respeta se vulnerará de modo mediato en el art. 149.1.18 CE. Asimismo, ha de tenerse en cuenta que, de acuerdo con la doctrina del Tribunal, la definición de lo básico ha de permitir a las comunidades autónomas su desarrollo a través de la consecución de opciones legislativas propias, de forma que la legislación básica no agote completamente la materia (SSTC 32/1981, de 28 de julio, FJ 6, y 1/1982, de 28 de enero, FJ 1); cosa que sucederá si una regulación es excesivamente minuciosa o detallada, salvo que sea imprescindible para el ejercicio efectivo de competencias establecidas [STC 147/1991, de 4 de julio, FJ 4 C)]”.</w:t>
      </w:r>
    </w:p>
    <w:p w14:paraId="3CEC1EB0" w14:textId="77777777" w:rsidR="00A8138F" w:rsidRDefault="00A8138F" w:rsidP="00A8138F">
      <w:pPr>
        <w:pStyle w:val="TextoNormal"/>
      </w:pPr>
    </w:p>
    <w:p w14:paraId="1428C688" w14:textId="77777777" w:rsidR="00A8138F" w:rsidRDefault="00A8138F" w:rsidP="00A8138F">
      <w:pPr>
        <w:pStyle w:val="TextoNormal"/>
      </w:pPr>
      <w:r>
        <w:lastRenderedPageBreak/>
        <w:t xml:space="preserve">La competencia sobre contratación administrativa guarda una indudable relación con la referida al “procedimiento administrativo común” (art. 149.1.18 CE) que, con carácter general, habilita la aprobación de normas sobre los “principios y reglas que ‘definen la estructura general del </w:t>
      </w:r>
      <w:r w:rsidRPr="00A8138F">
        <w:rPr>
          <w:i/>
        </w:rPr>
        <w:t>iter</w:t>
      </w:r>
      <w:r>
        <w:t xml:space="preserve">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No obstante, las competencias del Estado para regular normas procedimentales “no se agotan en las que con carácter general le atribuye el citado artículo 149.1.18 CE, sino que, además, tendrá competencia para dictar este tipo de normas cuando a través de los procedimientos o trámites específicos que en ellas se establezcan se ejerzan las competencias que le atribuyan otros títulos competenciales”. Así ocurre en el caso de la competencia estatal sobre legislación básica en materia de contratos administrativos, que “puede establecer trámites o procedimientos específicos que permitan satisfacer las finalidades que a través de la atribución de esta competencia se pretenden garantizar (la publicidad, igualdad, libre concurrencia y seguridad jurídica, en el ámbito de la contratación pública […])”.</w:t>
      </w:r>
    </w:p>
    <w:p w14:paraId="08EED7AC" w14:textId="77777777" w:rsidR="00A8138F" w:rsidRDefault="00A8138F" w:rsidP="00A8138F">
      <w:pPr>
        <w:pStyle w:val="TextoNormal"/>
      </w:pPr>
    </w:p>
    <w:p w14:paraId="3D7F94A0" w14:textId="77777777" w:rsidR="00A8138F" w:rsidRDefault="00A8138F" w:rsidP="00A8138F">
      <w:pPr>
        <w:pStyle w:val="TextoNormal"/>
      </w:pPr>
      <w:r>
        <w:t>Más en concreto, la “delimitación de lo básico en el ámbito de la contratación pública se ha llevado a cabo de acuerdo con dos criterios teleológicos. (i) El criterio vinculado a la consecución o garantía de los principios generales de la contratación en el sector público […] publicidad, igualdad, libre concurrencia y seguridad jurídica [y]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 a)]”.</w:t>
      </w:r>
    </w:p>
    <w:p w14:paraId="520F0A86" w14:textId="77777777" w:rsidR="00A8138F" w:rsidRDefault="00A8138F" w:rsidP="00A8138F">
      <w:pPr>
        <w:pStyle w:val="TextoNormal"/>
      </w:pPr>
    </w:p>
    <w:p w14:paraId="7DBAF02A" w14:textId="77777777" w:rsidR="00A8138F" w:rsidRDefault="00A8138F" w:rsidP="00A8138F">
      <w:pPr>
        <w:pStyle w:val="TextoNormal"/>
      </w:pPr>
      <w:r>
        <w:t>De ahí que las “normas que rigen la preparación y adjudicación, efectos, cumplimiento y extinción de los contratos tienen, con carácter general, la consideración de básicas […] pues constituyen el mínimo común uniforme que permite garantizar, de un lado, la igualdad de los licitadores y su tratamiento común ante las administraciones [SSTC 141/1993, FFJJ 5 y 6 b), y 56/2014, FJ 3] y, de otro, la eficiente utilización de los fondos públicos”. En esta línea, el Tribunal “ha declarado también el carácter básico de los preceptos que fijan los plazos para la presentación de proposiciones en la contratación pública, pues por esta vía se ‘está estableciendo unas reglas tendentes al mantenimiento de la igualdad y la libre concurrencia en la actividad contractual de las administraciones públicas’ [STC 237/2015, FJ 9 b)]”.</w:t>
      </w:r>
    </w:p>
    <w:p w14:paraId="16C96BC1" w14:textId="77777777" w:rsidR="00A8138F" w:rsidRDefault="00A8138F" w:rsidP="00A8138F">
      <w:pPr>
        <w:pStyle w:val="TextoNormal"/>
      </w:pPr>
    </w:p>
    <w:p w14:paraId="17CEACB0" w14:textId="77777777" w:rsidR="00A8138F" w:rsidRDefault="00A8138F" w:rsidP="00A8138F">
      <w:pPr>
        <w:pStyle w:val="TextoNormal"/>
      </w:pPr>
      <w:r>
        <w:t>b) Competencia autonómica</w:t>
      </w:r>
    </w:p>
    <w:p w14:paraId="62ABE149" w14:textId="77777777" w:rsidR="00A8138F" w:rsidRDefault="00A8138F" w:rsidP="00A8138F">
      <w:pPr>
        <w:pStyle w:val="TextoNormal"/>
      </w:pPr>
    </w:p>
    <w:p w14:paraId="302C74E2" w14:textId="77777777" w:rsidR="00A8138F" w:rsidRDefault="00A8138F" w:rsidP="00A8138F">
      <w:pPr>
        <w:pStyle w:val="TextoNormal"/>
      </w:pPr>
      <w:r>
        <w:t>Pese a no haber sido objeto de invocación expresa por las partes, debemos tomar en consideración que el art. 31.5 del Estatuto de Autonomía de La Rioja establece lo siguiente: “En el ejercicio de la competencia prevista en el número 1 del apartado uno del artículo octavo del presente Estatuto y, de acuerdo con la legislación del Estado, corresponde a la Comunidad Autónoma, entre otras materias, el establecimiento del régimen estatutario de sus funcionarios, el régimen jurídico administrativo derivado de las competencias asumidas, la regulación de los bienes de dominio público y patrimoniales cuya titularidad corresponde a la Comunidad Autónoma, así como de las servidumbres públicas en materia de su compe</w:t>
      </w:r>
      <w:r>
        <w:lastRenderedPageBreak/>
        <w:t>tencia, y la regulación de los contratos y concesiones administrativas en el ámbito de la Comunidad”.</w:t>
      </w:r>
    </w:p>
    <w:p w14:paraId="1A3D8578" w14:textId="77777777" w:rsidR="00A8138F" w:rsidRDefault="00A8138F" w:rsidP="00A8138F">
      <w:pPr>
        <w:pStyle w:val="TextoNormal"/>
      </w:pPr>
    </w:p>
    <w:p w14:paraId="4DB7EC5B" w14:textId="77777777" w:rsidR="00A8138F" w:rsidRDefault="00A8138F" w:rsidP="00A8138F">
      <w:pPr>
        <w:pStyle w:val="TextoNormal"/>
      </w:pPr>
      <w:r>
        <w:t>Nos encontramos, por tanto, ante el mismo supuesto analizado por la STC 56/2014, de 10 de abril, FJ 3. En ese caso, el Tribunal consideró que una redacción prácticamente idéntica a la impugnada en el presente recurso (recogida en el art. 35.3 del Estatuto de Autonomía de Cantabria) constituía un título específico suficiente de atribución competencial autonómica para el desarrollo legislativo de la competencia estatal básica en materia de contratos administrativos, “pues —con independencia de su atípica ubicación sistemática— le atribuye competencia de regulación en [esa] materia […], ‘de acuerdo con la legislación del Estado’”.</w:t>
      </w:r>
    </w:p>
    <w:p w14:paraId="476FC37B" w14:textId="77777777" w:rsidR="00A8138F" w:rsidRDefault="00A8138F" w:rsidP="00A8138F">
      <w:pPr>
        <w:pStyle w:val="TextoNormal"/>
      </w:pPr>
    </w:p>
    <w:p w14:paraId="6A0BCB57" w14:textId="77777777" w:rsidR="00A8138F" w:rsidRDefault="00A8138F" w:rsidP="00A8138F">
      <w:pPr>
        <w:pStyle w:val="TextoNormal"/>
      </w:pPr>
      <w:r>
        <w:t>C) Enjuiciamiento de la constitucionalidad del art. 12.2 de la Ley 13/2023. Desestimación del recurso</w:t>
      </w:r>
    </w:p>
    <w:p w14:paraId="38F11A3B" w14:textId="77777777" w:rsidR="00A8138F" w:rsidRDefault="00A8138F" w:rsidP="00A8138F">
      <w:pPr>
        <w:pStyle w:val="TextoNormal"/>
      </w:pPr>
    </w:p>
    <w:p w14:paraId="6519EA95" w14:textId="77777777" w:rsidR="00A8138F" w:rsidRDefault="00A8138F" w:rsidP="00A8138F">
      <w:pPr>
        <w:pStyle w:val="TextoNormal"/>
      </w:pPr>
      <w:r>
        <w:t>La cuestión controvertida consiste en determinar si la redacción del art. 12.2 de la Ley 13/2023 entra en contradicción con lo dispuesto en el art. 50 del Real Decreto-ley 36/2020, ya que ambos preceptos versan sobre la misma materia de la contratación administrativa, teniendo en cuenta que el art. 50 tiene la consideración de norma estatal básica (según se deduce de la disposición final primera, apartado 1 del propio Real Decreto-ley 36/2020), consideración que no ha sido impugnada ni discutida en el presente recurso.</w:t>
      </w:r>
    </w:p>
    <w:p w14:paraId="4D317BAE" w14:textId="77777777" w:rsidR="00A8138F" w:rsidRDefault="00A8138F" w:rsidP="00A8138F">
      <w:pPr>
        <w:pStyle w:val="TextoNormal"/>
      </w:pPr>
    </w:p>
    <w:p w14:paraId="3EB39983" w14:textId="77777777" w:rsidR="00A8138F" w:rsidRDefault="00A8138F" w:rsidP="00A8138F">
      <w:pPr>
        <w:pStyle w:val="TextoNormal"/>
      </w:pPr>
      <w:r>
        <w:t>De entrada, conviene señalar que, en efecto, el art. 50 del Real Decreto-ley 36/2020 presenta las características propias de una norma básica estatal, conforme a la doctrina expuesta en la ya citada STC 68/2021, de 18 de marzo, FJ 5 E) a), dado que afecta a uno de los presupuestos del expediente de contratación, como es su carácter urgente y, por lo tanto, condicionando la tramitación y sus plazos, es decir, algunos de los elementos esenciales que deben garantizar la igualdad de trato entre todos los interesados y la consiguiente seguridad jurídica del proceso de contratación. Al tratarse de una norma estatal básica, su contenido debe ser respetado, en todo caso, por la comunidad autónoma.</w:t>
      </w:r>
    </w:p>
    <w:p w14:paraId="443AC594" w14:textId="77777777" w:rsidR="00A8138F" w:rsidRDefault="00A8138F" w:rsidP="00A8138F">
      <w:pPr>
        <w:pStyle w:val="TextoNormal"/>
      </w:pPr>
    </w:p>
    <w:p w14:paraId="67E3E026" w14:textId="77777777" w:rsidR="00A8138F" w:rsidRDefault="00A8138F" w:rsidP="00A8138F">
      <w:pPr>
        <w:pStyle w:val="TextoNormal"/>
      </w:pPr>
      <w:r>
        <w:t>La ponderación sobre la compatibilidad entre ambos preceptos ha de abordarse, inicialmente, desde la constatación de la diferencia entre la redacción contenida en el art. 12.2 de la Ley 13/2023 y el art. 48.2 del Real Decreto-ley 36/2020. En ambos casos se asume que la materia de contratación queda fuera de la aplicación de la regla descrita en sus respectivos apartados precedentes, que se refieren a los procedimientos administrativos. Sin embargo, el art. 48.2 del Real Decreto-ley 36/2020 se remite, sin más, a lo dispuesto en el art. 50 de la misma norma, mientras que el art. 12.2 de la Ley 13/2023 prescinde de esa remisión. Y es aquí donde pone el foco la demanda. Para el recurrente, los términos del art. 12.2 permitirían soslayar la aplicación del art. 50 del Real Decreto-ley 36/2020 y, por su remisión, las causas concretas recogidas en el art. 119 LCSP que justificarían en cada caso la tramitación urgente de un expediente de contratación pública. La cuestión, por tanto, es determinar si la omisión de toda referencia al art. 50 del Real Decreto-ley 36/2020 (y, en consecuencia, al art. 119 LCSP) puede interpretarse como una deliberada finalidad de ignorar o sustraerse a la aplicación de esta normativa estatal básica.</w:t>
      </w:r>
    </w:p>
    <w:p w14:paraId="220AF0E1" w14:textId="77777777" w:rsidR="00A8138F" w:rsidRDefault="00A8138F" w:rsidP="00A8138F">
      <w:pPr>
        <w:pStyle w:val="TextoNormal"/>
      </w:pPr>
    </w:p>
    <w:p w14:paraId="6FC47A18" w14:textId="77777777" w:rsidR="00A8138F" w:rsidRDefault="00A8138F" w:rsidP="00A8138F">
      <w:pPr>
        <w:pStyle w:val="TextoNormal"/>
      </w:pPr>
      <w:r>
        <w:t xml:space="preserve">Conforme a la doctrina de este tribunal, [STC 68/2024, de 23 de abril, FJ 3 c)], la omisión de un precepto estatal de carácter básico no vicia de inconstitucionalidad una ley particular, </w:t>
      </w:r>
      <w:r>
        <w:lastRenderedPageBreak/>
        <w:t>pues la norma básica mantiene su plena vigencia con independencia de que sea recordada o no por el legislador autonómico, salvo que la única exégesis posible de la omisión —total o parcial— lleve a entender que la regulación autonómica está estableciendo una regulación contraria a la legislación básica estatal. En este caso, la respuesta a esa eventual salvedad debe ser necesariamente negativa, es decir, la omisión de la referencia a la normativa estatal no puede entenderse como una vulneración de esta, por los motivos que se expondrán a continuación.</w:t>
      </w:r>
    </w:p>
    <w:p w14:paraId="395FD10A" w14:textId="77777777" w:rsidR="00A8138F" w:rsidRDefault="00A8138F" w:rsidP="00A8138F">
      <w:pPr>
        <w:pStyle w:val="TextoNormal"/>
      </w:pPr>
    </w:p>
    <w:p w14:paraId="14B0D697" w14:textId="77777777" w:rsidR="00A8138F" w:rsidRDefault="00A8138F" w:rsidP="00A8138F">
      <w:pPr>
        <w:pStyle w:val="TextoNormal"/>
      </w:pPr>
      <w:r>
        <w:t>En primer lugar, porque la redacción del art. 12.2 de la Ley 13/2023 responde, en lo esencial, al contenido del art. 50 del Real Decreto-ley 36/2020. En ambos preceptos se establece la necesidad de que la declaración de urgencia de los contratos públicos financiados con fondos procedentes del Plan de recuperación, transformación y resiliencia cuente con una motivación expresa e individualizada en cada uno de ellos. Por lo tanto, si el criterio general fijado por el art. 12.2 coincide con el establecido en el art. 50 del Real Decreto-ley 36/2020, la omisión de una referencia concreta a este precepto resulta inocua, porque ambas normas establecen la misma regla y, en consecuencia, no se atisba en la ley impugnada intención alguna de infringir la normativa básica estatal, sino todo lo contrario.</w:t>
      </w:r>
    </w:p>
    <w:p w14:paraId="2CBB92DD" w14:textId="77777777" w:rsidR="00A8138F" w:rsidRDefault="00A8138F" w:rsidP="00A8138F">
      <w:pPr>
        <w:pStyle w:val="TextoNormal"/>
      </w:pPr>
    </w:p>
    <w:p w14:paraId="24051DA4" w14:textId="77777777" w:rsidR="00A8138F" w:rsidRDefault="00A8138F" w:rsidP="00A8138F">
      <w:pPr>
        <w:pStyle w:val="TextoNormal"/>
      </w:pPr>
      <w:r>
        <w:t xml:space="preserve">En segundo lugar, porque la referencia a la “normativa europea” contenida en el art. 12.2 de la Ley 13/2023, sobre la que incide igualmente la demanda, tampoco puede entenderse como indicativa de una voluntad de ignorar el carácter básico de la norma estatal contenida en el art. 50 del Real Decreto-ley 36/2020. En realidad, esa referencia puede considerarse como pertinente, por cuanto el propio Real Decreto-ley 36/2020 se dictó en ejecución del ya citado plan de recuperación, transformación y resiliencia, aprobado por el Gobierno de España en abril de 2021, en cumplimiento del mecanismo de recuperación y resiliencia regulado por el Reglamento (UE) 2021/241, del Parlamento Europeo y del Consejo, de 12 de febrero de 2021. Nos encontramos, por tanto, ante la tramitación de contratos públicos financiados con fondos europeos y regulados por una normativa europea de obligado cumplimiento, como es un Reglamento [art. 288 del Tratado de funcionamiento de la Unión Europea, en general, y art. 36 del Reglamento (UE) 2021/241, en particular]. En este contexto, la referencia a la normativa europea, si bien no parece estrictamente necesaria —porque no impide en modo alguno su aplicación—, tampoco puede entenderse como expresión de una voluntad de soslayar la norma estatal básica que, en todo caso, ha de ajustarse también a la norma europea como expresión del principio de primacía del Derecho de la Unión (STJUE de 15 de julio de 1964, asunto C-6/64, </w:t>
      </w:r>
      <w:r w:rsidRPr="00A8138F">
        <w:rPr>
          <w:i/>
        </w:rPr>
        <w:t>Costa c. ENEL</w:t>
      </w:r>
      <w:r>
        <w:t>, y STC 145/2012, de 2 de julio, FJ 5). Y lo mismo cabría afirmar si la referencia que se tiene en cuenta es el art. 119 LCSP: no se puede olvidar que ese precepto es transposición de la Directiva 2014/24/UE, del Parlamento Europeo y del Consejo, de 26 de febrero de 2014, sobre contratación pública y por la que se deroga la Directiva 2004/18/CE, y que se incluye dentro de las “normas europeas” a las que innecesariamente se refiere el art. 12.2 de la Ley 13/2023, por lo que mal puede interpretarse que existe una voluntad de elusión de la norma de transposición cuando se hace una referencia explícita (aunque genérica) de sujeción a la norma transpuesta.</w:t>
      </w:r>
    </w:p>
    <w:p w14:paraId="365BE389" w14:textId="77777777" w:rsidR="00A8138F" w:rsidRDefault="00A8138F" w:rsidP="00A8138F">
      <w:pPr>
        <w:pStyle w:val="TextoNormal"/>
      </w:pPr>
    </w:p>
    <w:p w14:paraId="4EAF7094" w14:textId="77777777" w:rsidR="00A8138F" w:rsidRDefault="00A8138F" w:rsidP="00A8138F">
      <w:pPr>
        <w:pStyle w:val="TextoNormal"/>
      </w:pPr>
      <w:r>
        <w:t>En consecuencia, la redacción del art. 12.2 de la Ley 13/2023, desde su literalidad y valoración contextualizada, y sin acudir a complejas estructuras argumentales, no solo no puede entrar en colisión, sino que, por el contrario, se ajusta a lo dispuesto en la normativa estatal básica.</w:t>
      </w:r>
    </w:p>
    <w:p w14:paraId="091412F0" w14:textId="77777777" w:rsidR="00A8138F" w:rsidRDefault="00A8138F" w:rsidP="00A8138F">
      <w:pPr>
        <w:pStyle w:val="TextoNormal"/>
      </w:pPr>
    </w:p>
    <w:p w14:paraId="170D790F" w14:textId="77777777" w:rsidR="00A8138F" w:rsidRDefault="00A8138F" w:rsidP="00A8138F">
      <w:pPr>
        <w:pStyle w:val="TextoNormal"/>
      </w:pPr>
      <w:r>
        <w:lastRenderedPageBreak/>
        <w:t>Por lo tanto, procede la desestimación del recurso.</w:t>
      </w:r>
    </w:p>
    <w:p w14:paraId="7CC645FF" w14:textId="77777777" w:rsidR="00A8138F" w:rsidRDefault="00A8138F" w:rsidP="00A8138F">
      <w:pPr>
        <w:pStyle w:val="TextoNormal"/>
      </w:pPr>
    </w:p>
    <w:p w14:paraId="59EAA84B" w14:textId="0C127155" w:rsidR="00A8138F" w:rsidRDefault="00A8138F" w:rsidP="00A8138F">
      <w:pPr>
        <w:pStyle w:val="TextoNormal"/>
      </w:pPr>
      <w:r>
        <w:t>Resta por añadir que, como consecuencia del dictado de esta sentencia, resulta innecesario resolver acerca del mantenimiento o levantamiento de la suspensión del precepto impugnado, de conformidad con lo dispuesto en el art. 162.2 CE. Tal suspensión tiene como presupuesto la pendencia del proceso constitucional en cuyo seno se produjo, de suerte que, tras el enjuiciamiento definitivo de la norma recurrida, verificado, además, sin haberse sobrepasado el plazo de cinco meses contemplado en el art. 161.2 CE, carece de sentido cualquier pronunciamiento sobre el levantamiento o el mantenimiento de su suspensión.</w:t>
      </w:r>
    </w:p>
    <w:p w14:paraId="22F0C5F0" w14:textId="77777777" w:rsidR="00A8138F" w:rsidRDefault="00A8138F" w:rsidP="00A8138F">
      <w:pPr>
        <w:pStyle w:val="TextoNormal"/>
      </w:pPr>
    </w:p>
    <w:p w14:paraId="0362ED0A" w14:textId="77777777" w:rsidR="00A8138F" w:rsidRDefault="00A8138F" w:rsidP="00A8138F">
      <w:pPr>
        <w:pStyle w:val="TextoNormalCentrado"/>
        <w:keepNext/>
      </w:pPr>
      <w:r>
        <w:t>FALLO</w:t>
      </w:r>
    </w:p>
    <w:p w14:paraId="61D36BAF" w14:textId="06D70EE4" w:rsidR="00A8138F" w:rsidRDefault="00A8138F" w:rsidP="00A8138F">
      <w:pPr>
        <w:pStyle w:val="TextoNormalCentrado"/>
        <w:keepNext/>
      </w:pPr>
    </w:p>
    <w:p w14:paraId="32378996" w14:textId="58AB349F" w:rsidR="00A8138F" w:rsidRDefault="00A8138F" w:rsidP="00A8138F">
      <w:pPr>
        <w:pStyle w:val="TextoNormal"/>
      </w:pPr>
      <w:r>
        <w:t>En atención a todo lo expuesto, el Tribunal Constitucional, por la autoridad que le confiere la Constitución de la Nación española, ha decidido desestimar el recurso de inconstitucionalidad interpuesto por la Abogacía General del Estado en representación del presidente del Gobierno en relación con el art. 12 de la Ley del Parlamento de La Rioja 13/2023, de 28 de diciembre, de medidas fiscales y administrativas para el año 2024.</w:t>
      </w:r>
    </w:p>
    <w:p w14:paraId="39EBC77F" w14:textId="77777777" w:rsidR="00A8138F" w:rsidRDefault="00A8138F" w:rsidP="00A8138F">
      <w:pPr>
        <w:pStyle w:val="TextoNormal"/>
      </w:pPr>
    </w:p>
    <w:p w14:paraId="1FCC5288" w14:textId="77777777" w:rsidR="00A8138F" w:rsidRDefault="00A8138F" w:rsidP="00A8138F">
      <w:pPr>
        <w:pStyle w:val="TextoNormal"/>
      </w:pPr>
      <w:r>
        <w:t>Publíquese esta sentencia en el “Boletín Oficial del Estado”.</w:t>
      </w:r>
    </w:p>
    <w:p w14:paraId="5F54BC6D" w14:textId="77777777" w:rsidR="00A8138F" w:rsidRDefault="00A8138F" w:rsidP="00A8138F">
      <w:pPr>
        <w:pStyle w:val="TextoNormal"/>
      </w:pPr>
      <w:r>
        <w:t>Dada en Madrid, a doce de febrero de dos mil veinticinco.</w:t>
      </w:r>
    </w:p>
    <w:p w14:paraId="75A94D7F" w14:textId="7B0EEB4F" w:rsidR="00A8138F" w:rsidRDefault="00A8138F">
      <w:pPr>
        <w:spacing w:after="160" w:line="278" w:lineRule="auto"/>
        <w:rPr>
          <w:rFonts w:ascii="Times New Roman" w:eastAsia="Times New Roman" w:hAnsi="Times New Roman" w:cs="Times New Roman"/>
          <w:sz w:val="24"/>
          <w:szCs w:val="24"/>
          <w:lang w:eastAsia="es-ES"/>
        </w:rPr>
      </w:pPr>
      <w:r>
        <w:br w:type="page"/>
      </w:r>
    </w:p>
    <w:p w14:paraId="49DE6872" w14:textId="77777777" w:rsidR="00A8138F" w:rsidRDefault="00A8138F" w:rsidP="00A8138F">
      <w:pPr>
        <w:pStyle w:val="TtuloResolucin"/>
      </w:pPr>
      <w:bookmarkStart w:id="47" w:name="SENTENCIA_2025_45"/>
      <w:r>
        <w:lastRenderedPageBreak/>
        <w:t>SENTENCIA 45/2025, de 24 de febrero de 2025</w:t>
      </w:r>
    </w:p>
    <w:bookmarkEnd w:id="47"/>
    <w:p w14:paraId="3D954DF4" w14:textId="77777777" w:rsidR="00A8138F" w:rsidRDefault="00A8138F" w:rsidP="00A8138F">
      <w:pPr>
        <w:pStyle w:val="TtuloResolucin"/>
      </w:pPr>
      <w:r>
        <w:t>Sala Segunda</w:t>
      </w:r>
    </w:p>
    <w:p w14:paraId="438ED1F1" w14:textId="77777777" w:rsidR="00A8138F" w:rsidRDefault="00A8138F" w:rsidP="00A8138F">
      <w:pPr>
        <w:pStyle w:val="TtuloBOE"/>
      </w:pPr>
      <w:r>
        <w:t>(BOE núm. 78, de 1 de abril de 2025)</w:t>
      </w:r>
    </w:p>
    <w:p w14:paraId="2E75CCBA" w14:textId="77777777" w:rsidR="00A8138F" w:rsidRDefault="00A8138F" w:rsidP="00A8138F">
      <w:pPr>
        <w:pStyle w:val="TextoNormalCentrado"/>
      </w:pPr>
      <w:r>
        <w:t>ECLI:ES:TC:2025:45</w:t>
      </w:r>
    </w:p>
    <w:p w14:paraId="2C7FD0AC" w14:textId="3E7520BD" w:rsidR="00A8138F" w:rsidRDefault="00A8138F" w:rsidP="00A8138F">
      <w:pPr>
        <w:pStyle w:val="TextoNormalCentrado"/>
      </w:pPr>
    </w:p>
    <w:p w14:paraId="1B3A4136" w14:textId="77777777" w:rsidR="00A8138F" w:rsidRDefault="00A8138F" w:rsidP="00A8138F">
      <w:pPr>
        <w:pStyle w:val="SntesisDescriptiva"/>
      </w:pPr>
      <w:r>
        <w:t>Recurso de amparo 5335-2023. Promovido por doña Fátima Ouijjane Hadry respecto de las resoluciones de la Audiencia Provincial de Almería y un juzgado de primera instancia e instrucción de El Ejido en procedimiento de ejecución hipotecaria.</w:t>
      </w:r>
    </w:p>
    <w:p w14:paraId="57AA494E" w14:textId="3ACB1039" w:rsidR="00A8138F" w:rsidRDefault="00A8138F" w:rsidP="00A8138F">
      <w:pPr>
        <w:pStyle w:val="SntesisDescriptiva"/>
      </w:pPr>
    </w:p>
    <w:p w14:paraId="4E932919" w14:textId="77777777" w:rsidR="00A8138F" w:rsidRDefault="00A8138F" w:rsidP="00A8138F">
      <w:pPr>
        <w:pStyle w:val="SntesisAnaltica"/>
      </w:pPr>
      <w:r>
        <w:t>Vulneración del derecho a la tutela judicial efectiva (resolución fundada en Derecho): resoluciones judiciales que, ignorando el principio de efectividad del Derecho de la Unión Europea, deniegan la imposición de costas en un proceso en el que se ha declarado el carácter abusivo de cláusulas contractuales (SSTC 91/2023 y 96/2023).</w:t>
      </w:r>
    </w:p>
    <w:p w14:paraId="1DABB66F" w14:textId="2AE92DEA" w:rsidR="00A8138F" w:rsidRDefault="00A8138F" w:rsidP="00A8138F">
      <w:pPr>
        <w:pStyle w:val="SntesisAnaltica"/>
      </w:pPr>
    </w:p>
    <w:p w14:paraId="082EAB21" w14:textId="0722014D" w:rsidR="00A8138F" w:rsidRDefault="00A8138F" w:rsidP="00A8138F">
      <w:pPr>
        <w:pStyle w:val="Extracto"/>
      </w:pPr>
      <w:r>
        <w:t>1.</w:t>
      </w:r>
      <w:r>
        <w:tab/>
        <w:t>Incurre en manifiesta falta de razonabilidad, y consecuentemente en el incumplimiento de las exigencias de motivación que impone el art. 24.1 CE, la resolución judicial que sobresee un procedimiento de ejecución hipotecaria tras declarar nulas por abusivas determinadas cláusulas contractuales, sin imponer las costas del procedimiento a la parte ejecutante por la existencia de dudas de Derecho sobre la licitud de las cláusulas controvertidas (SSTC 91/2023 y 96/2023) [FJ 2].</w:t>
      </w:r>
    </w:p>
    <w:p w14:paraId="7DCC1D92" w14:textId="77777777" w:rsidR="00A8138F" w:rsidRDefault="00A8138F" w:rsidP="00A8138F">
      <w:pPr>
        <w:pStyle w:val="Extracto"/>
      </w:pPr>
    </w:p>
    <w:p w14:paraId="3CE508EE" w14:textId="524B29B0" w:rsidR="00A8138F" w:rsidRDefault="00A8138F" w:rsidP="00A8138F">
      <w:pPr>
        <w:pStyle w:val="Extracto"/>
      </w:pPr>
      <w:r>
        <w:t>2.</w:t>
      </w:r>
      <w:r>
        <w:tab/>
        <w:t xml:space="preserve">Imponer al consumidor la carga de asumir el pago de una parte de las costas procesales en un procedimiento de ejecución hipotecaria, tras la declaración de nulidad de una cláusula contractual por tener carácter abusivo, infringe el principio de efectividad del Derecho europeo en materia de protección de consumidores -art. 6.1 de la Directiva 93/13/CEE-; y ello porque genera un efecto disuasorio para ejercer el derecho al control judicial efectivo del carácter potencialmente abusivo de cláusulas contractuales (STJUE de 16 de julio de 2020, asuntos acumulados </w:t>
      </w:r>
      <w:r w:rsidRPr="00A8138F">
        <w:rPr>
          <w:i/>
        </w:rPr>
        <w:t xml:space="preserve">CY c. CaixaBank, S.A., </w:t>
      </w:r>
      <w:r>
        <w:t xml:space="preserve">y </w:t>
      </w:r>
      <w:r w:rsidRPr="00A8138F">
        <w:rPr>
          <w:i/>
        </w:rPr>
        <w:t>LG, PK c. Banco Bilbao Vizcaya Argentaria, S.A</w:t>
      </w:r>
      <w:r>
        <w:t>., C-224/19 y C-259/19. Y SSTC 91/2023 y 96/2023) [FJ 3].</w:t>
      </w:r>
    </w:p>
    <w:p w14:paraId="7D6A7B7A" w14:textId="77777777" w:rsidR="00A8138F" w:rsidRDefault="00A8138F" w:rsidP="00A8138F">
      <w:pPr>
        <w:pStyle w:val="Extracto"/>
      </w:pPr>
    </w:p>
    <w:p w14:paraId="74586445" w14:textId="77777777" w:rsidR="00A8138F" w:rsidRDefault="00A8138F" w:rsidP="00A8138F">
      <w:pPr>
        <w:pStyle w:val="Extracto"/>
      </w:pPr>
    </w:p>
    <w:p w14:paraId="04EE654E"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E0A2698" w14:textId="2D6B3574" w:rsidR="00A8138F" w:rsidRDefault="00A8138F" w:rsidP="00A8138F">
      <w:pPr>
        <w:pStyle w:val="TextoNormal"/>
      </w:pPr>
    </w:p>
    <w:p w14:paraId="7175DBD1" w14:textId="77777777" w:rsidR="00A8138F" w:rsidRDefault="00A8138F" w:rsidP="00A8138F">
      <w:pPr>
        <w:pStyle w:val="TextoNormalCentrado"/>
        <w:keepNext/>
      </w:pPr>
      <w:r>
        <w:t>EN NOMBRE DEL REY</w:t>
      </w:r>
    </w:p>
    <w:p w14:paraId="11A77C04" w14:textId="614D6704" w:rsidR="00A8138F" w:rsidRDefault="00A8138F" w:rsidP="00A8138F">
      <w:pPr>
        <w:pStyle w:val="TextoNormalCentrado"/>
        <w:keepNext/>
      </w:pPr>
    </w:p>
    <w:p w14:paraId="0A5ECE72" w14:textId="77777777" w:rsidR="00A8138F" w:rsidRDefault="00A8138F" w:rsidP="00A8138F">
      <w:pPr>
        <w:pStyle w:val="TextoNormalCentrado"/>
        <w:keepNext/>
      </w:pPr>
    </w:p>
    <w:p w14:paraId="74354AB1" w14:textId="77777777" w:rsidR="00A8138F" w:rsidRDefault="00A8138F" w:rsidP="00A8138F">
      <w:pPr>
        <w:pStyle w:val="TextoNormal"/>
      </w:pPr>
      <w:r>
        <w:t>la siguiente</w:t>
      </w:r>
    </w:p>
    <w:p w14:paraId="6EE09FB6" w14:textId="3A5BF0E5" w:rsidR="00A8138F" w:rsidRDefault="00A8138F" w:rsidP="00A8138F">
      <w:pPr>
        <w:pStyle w:val="TextoNormal"/>
      </w:pPr>
    </w:p>
    <w:p w14:paraId="3A7BCA5B" w14:textId="77777777" w:rsidR="00A8138F" w:rsidRDefault="00A8138F" w:rsidP="00A8138F">
      <w:pPr>
        <w:pStyle w:val="TextoNormalCentrado"/>
        <w:keepNext/>
      </w:pPr>
      <w:r>
        <w:t>SENTENCIA</w:t>
      </w:r>
    </w:p>
    <w:p w14:paraId="778C71C9" w14:textId="61F621CE" w:rsidR="00A8138F" w:rsidRDefault="00A8138F" w:rsidP="00A8138F">
      <w:pPr>
        <w:pStyle w:val="TextoNormalCentrado"/>
        <w:keepNext/>
      </w:pPr>
    </w:p>
    <w:p w14:paraId="13E7FBA4" w14:textId="77777777" w:rsidR="00A8138F" w:rsidRDefault="00A8138F" w:rsidP="00A8138F">
      <w:pPr>
        <w:pStyle w:val="TextoNormal"/>
      </w:pPr>
      <w:r>
        <w:t xml:space="preserve">En el recurso de amparo núm. 5335-2023, promovido por doña Fátima Ouijjane Hadry, representada por la procuradora de los tribunales doña Pilar Concepción Moraleda Valenzuela y defendida por la letrada doña Mercedes Benavides López, contra la providencia de </w:t>
      </w:r>
      <w:r>
        <w:lastRenderedPageBreak/>
        <w:t>26 de junio de 2023 de la Sección Primera de la Audiencia Provincial de Almería, recaída en el procedimiento de ejecución hipotecaria núm.1033-2015, que inadmitió el incidente de nulidad de actuaciones contra el auto 263/2023, de 23 de mayo, de la misma Audiencia, que desestimaba el recurso de apelación núm. 1011-2022 contra el auto 226/2021, de 7 de octubre, del Juzgado de Primera Instancia e Instrucción núm. 3 de El Ejido que, acordando el sobreseimiento y el archivo de la ejecución hipotecaria, no imponía costas a ninguna de las partes. Ha sido parte la entidad Axactor España, S.L.U., representada por la procuradora de los tribunales doña Natacha Alejandra Pérez Gómez y bajo la dirección letrada del abogado don Ramón Márquez Moreno. Ha intervenido el Ministerio Fiscal. Ha sido ponente la magistrada doña María Luisa Balaguer Callejón.</w:t>
      </w:r>
    </w:p>
    <w:p w14:paraId="0EF46DC8" w14:textId="6E8C355C" w:rsidR="00A8138F" w:rsidRDefault="00A8138F" w:rsidP="00A8138F">
      <w:pPr>
        <w:pStyle w:val="TextoNormal"/>
      </w:pPr>
    </w:p>
    <w:p w14:paraId="4B6E35E3" w14:textId="77777777" w:rsidR="00A8138F" w:rsidRDefault="00A8138F" w:rsidP="00A8138F">
      <w:pPr>
        <w:pStyle w:val="TextoNormalNegritaCentrado"/>
        <w:keepNext/>
      </w:pPr>
      <w:r>
        <w:t>I. Antecedentes</w:t>
      </w:r>
    </w:p>
    <w:p w14:paraId="36AF69BA" w14:textId="0277DD37" w:rsidR="00A8138F" w:rsidRDefault="00A8138F" w:rsidP="00A8138F">
      <w:pPr>
        <w:pStyle w:val="TextoNormalNegritaCentrado"/>
        <w:keepNext/>
      </w:pPr>
    </w:p>
    <w:p w14:paraId="3A14C625" w14:textId="52CF4A88" w:rsidR="00A8138F" w:rsidRDefault="00A8138F" w:rsidP="00A8138F">
      <w:pPr>
        <w:pStyle w:val="TextoNormal"/>
      </w:pPr>
      <w:r w:rsidRPr="00A8138F">
        <w:rPr>
          <w:rStyle w:val="NumeroAFNegritaCaracter"/>
        </w:rPr>
        <w:t>1</w:t>
      </w:r>
      <w:r>
        <w:t>. Mediante escrito registrado en este tribunal el 27 de julio de 2023, doña Pilar Concepción Moraleda Valenzuela, procuradora de los tribunales, en nombre y representación de doña Fátima Ouijjane Hadry y bajo la dirección de la abogada doña Mercedes Benavides López, interpuso recurso de amparo contra los actos a los que se ha hecho referencia en el encabezamiento de esta sentencia.</w:t>
      </w:r>
    </w:p>
    <w:p w14:paraId="291CEDC2" w14:textId="77777777" w:rsidR="00A8138F" w:rsidRDefault="00A8138F" w:rsidP="00A8138F">
      <w:pPr>
        <w:pStyle w:val="TextoNormal"/>
      </w:pPr>
    </w:p>
    <w:p w14:paraId="4F542B1F" w14:textId="77777777" w:rsidR="00A8138F" w:rsidRDefault="00A8138F" w:rsidP="00A8138F">
      <w:pPr>
        <w:pStyle w:val="TextoNormal"/>
      </w:pPr>
      <w:r w:rsidRPr="00A8138F">
        <w:rPr>
          <w:rStyle w:val="NumeroAFNegritaCaracter"/>
        </w:rPr>
        <w:t>2</w:t>
      </w:r>
      <w:r>
        <w:t>. Los hechos relevantes de los que trae causa la demanda de amparo, según se desprende de la misma y de la documentación que la acompaña son, en síntesis, los siguientes:</w:t>
      </w:r>
    </w:p>
    <w:p w14:paraId="0C9BCBCA" w14:textId="77777777" w:rsidR="00A8138F" w:rsidRDefault="00A8138F" w:rsidP="00A8138F">
      <w:pPr>
        <w:pStyle w:val="TextoNormal"/>
      </w:pPr>
    </w:p>
    <w:p w14:paraId="16B1135F" w14:textId="77777777" w:rsidR="00A8138F" w:rsidRDefault="00A8138F" w:rsidP="00A8138F">
      <w:pPr>
        <w:pStyle w:val="TextoNormal"/>
      </w:pPr>
      <w:r>
        <w:t>a) En virtud de escritura pública fechada el 13 de diciembre de 2012, la mercantil Banco de Santander, S.A., concedió un préstamo con garantía hipotecaria a la recurrente de 300 000 € de principal.</w:t>
      </w:r>
    </w:p>
    <w:p w14:paraId="3058AD7C" w14:textId="77777777" w:rsidR="00A8138F" w:rsidRDefault="00A8138F" w:rsidP="00A8138F">
      <w:pPr>
        <w:pStyle w:val="TextoNormal"/>
      </w:pPr>
    </w:p>
    <w:p w14:paraId="7E71E852" w14:textId="77777777" w:rsidR="00A8138F" w:rsidRDefault="00A8138F" w:rsidP="00A8138F">
      <w:pPr>
        <w:pStyle w:val="TextoNormal"/>
      </w:pPr>
      <w:r>
        <w:t>b) El 22 de diciembre de 2015, la entidad Banco de Santander, S.A., ante el incumplimiento por la recurrente —prestataria— de su obligación de hacer frente al pago de las cuotas de capital e intereses en la forma convenida, decidió declarar vencida la obligación, de acuerdo con lo pactado en la escritura de préstamo y, determinando la deuda reclamable en 269 371,88 € de principal, presentó demanda ejecutiva en reclamación de deudas garantizadas con hipoteca.</w:t>
      </w:r>
    </w:p>
    <w:p w14:paraId="2AFB3A17" w14:textId="77777777" w:rsidR="00A8138F" w:rsidRDefault="00A8138F" w:rsidP="00A8138F">
      <w:pPr>
        <w:pStyle w:val="TextoNormal"/>
      </w:pPr>
    </w:p>
    <w:p w14:paraId="22CA3900" w14:textId="77777777" w:rsidR="00A8138F" w:rsidRDefault="00A8138F" w:rsidP="00A8138F">
      <w:pPr>
        <w:pStyle w:val="TextoNormal"/>
      </w:pPr>
      <w:r>
        <w:t>c) Por auto de 14 de enero de 2016, el Juzgado de Primera Instancia e Instrucción núm. 3 de El Ejido despachó ejecución por la cuantía reclamada y 80 811,56 € supletorios, calculados provisionalmente en concepto de intereses, gastos y costas de la ejecución.</w:t>
      </w:r>
    </w:p>
    <w:p w14:paraId="794BB266" w14:textId="77777777" w:rsidR="00A8138F" w:rsidRDefault="00A8138F" w:rsidP="00A8138F">
      <w:pPr>
        <w:pStyle w:val="TextoNormal"/>
      </w:pPr>
    </w:p>
    <w:p w14:paraId="6A7427F5" w14:textId="77777777" w:rsidR="00A8138F" w:rsidRDefault="00A8138F" w:rsidP="00A8138F">
      <w:pPr>
        <w:pStyle w:val="TextoNormal"/>
      </w:pPr>
      <w:r>
        <w:t>d) Practicada la notificación y requerimiento a la ejecutada, la recurrente —alegando la existencia de cláusulas abusivas en la escritura de préstamo hipotecario— presentó, el 8 de enero de 2020, oposición extraordinaria a la ejecución hipotecaria en virtud de la disposición transitoria tercera de la Ley 5/2019, de 15 de marzo, reguladora de los contratos de crédito inmobiliario.</w:t>
      </w:r>
    </w:p>
    <w:p w14:paraId="4B93E534" w14:textId="77777777" w:rsidR="00A8138F" w:rsidRDefault="00A8138F" w:rsidP="00A8138F">
      <w:pPr>
        <w:pStyle w:val="TextoNormal"/>
      </w:pPr>
    </w:p>
    <w:p w14:paraId="71722589" w14:textId="77777777" w:rsidR="00A8138F" w:rsidRDefault="00A8138F" w:rsidP="00A8138F">
      <w:pPr>
        <w:pStyle w:val="TextoNormal"/>
      </w:pPr>
      <w:r>
        <w:t xml:space="preserve">e) Por auto de 7 de octubre de 2021 del Juzgado de Primera Instancia e Instrucción núm. 3 de El Ejido se declaró nula de pleno derecho, teniéndose por no puesta, la cláusula sexta </w:t>
      </w:r>
      <w:r w:rsidRPr="00A8138F">
        <w:rPr>
          <w:i/>
        </w:rPr>
        <w:t>bis</w:t>
      </w:r>
      <w:r>
        <w:t xml:space="preserve"> del contrato, referida al vencimiento anticipado. En relación con los efectos de la declaración de nulidad, ante el impago de solo seis cuotas, el incumplimiento no podía conside</w:t>
      </w:r>
      <w:r>
        <w:lastRenderedPageBreak/>
        <w:t>rarse esencial y grave, de forma que el juzgado acordó el sobreseimiento y archivo de la ejecución hipotecaria —conforme a los criterios orientadores contenidos en la STS 463/2019, de 11 de septiembre, de la Sala de lo Civil del Tribunal Supremo (ECLI:ES:TS:2019:2761)— sin expresa imposición de costas a ninguna de las partes del procedimiento y sin motivar esa decisión.</w:t>
      </w:r>
    </w:p>
    <w:p w14:paraId="6268C511" w14:textId="77777777" w:rsidR="00A8138F" w:rsidRDefault="00A8138F" w:rsidP="00A8138F">
      <w:pPr>
        <w:pStyle w:val="TextoNormal"/>
      </w:pPr>
    </w:p>
    <w:p w14:paraId="0E4FDE93" w14:textId="77777777" w:rsidR="00A8138F" w:rsidRDefault="00A8138F" w:rsidP="00A8138F">
      <w:pPr>
        <w:pStyle w:val="TextoNormal"/>
      </w:pPr>
      <w:r>
        <w:t>f) Contra la referida resolución judicial, la recurrente interpuso recurso de apelación, solicitando que se impusieran las costas a la entidad ejecutante. La recurrente alegó la infracción del artículo 561.2 de la Ley de enjuiciamiento civil (LEC), a cuyo tenor, si se estimara la oposición a la ejecución, se debería condenar al ejecutante a pagar las costas de la oposición. Argumentaba que al margen de que tal es la previsión legal, de este modo se garantizaría el principio de efectividad del Derecho de la Unión Europea en materia de protección de consumidores y de no vinculación a las cláusulas abusivas, que implica la imposición de las costas al ejecutante.</w:t>
      </w:r>
    </w:p>
    <w:p w14:paraId="71FB20D1" w14:textId="77777777" w:rsidR="00A8138F" w:rsidRDefault="00A8138F" w:rsidP="00A8138F">
      <w:pPr>
        <w:pStyle w:val="TextoNormal"/>
      </w:pPr>
    </w:p>
    <w:p w14:paraId="40BFA79A" w14:textId="77777777" w:rsidR="00A8138F" w:rsidRDefault="00A8138F" w:rsidP="00A8138F">
      <w:pPr>
        <w:pStyle w:val="TextoNormal"/>
      </w:pPr>
      <w:r>
        <w:t xml:space="preserve">g) Mediante auto de 23 de mayo de 2023, la Sección Primera de la Audiencia Provincial de Almería desestimó el recurso de apelación, con fundamento en que el supuesto encaja en la excepción prevista en el art. 394.1 LEC, es decir, en la existencia de serias dudas de Derecho que justifican la no aplicación del criterio del vencimiento objetivo. El </w:t>
      </w:r>
      <w:r w:rsidRPr="00A8138F">
        <w:rPr>
          <w:i/>
        </w:rPr>
        <w:t>iter</w:t>
      </w:r>
      <w:r>
        <w:t xml:space="preserve"> argumental que sigue la Audiencia es el siguiente:</w:t>
      </w:r>
    </w:p>
    <w:p w14:paraId="39567243" w14:textId="77777777" w:rsidR="00A8138F" w:rsidRDefault="00A8138F" w:rsidP="00A8138F">
      <w:pPr>
        <w:pStyle w:val="TextoNormal"/>
      </w:pPr>
    </w:p>
    <w:p w14:paraId="7A88A87D" w14:textId="77777777" w:rsidR="00A8138F" w:rsidRDefault="00A8138F" w:rsidP="00A8138F">
      <w:pPr>
        <w:pStyle w:val="TextoNormal"/>
      </w:pPr>
      <w:r>
        <w:t>(i) Es cierto que la resolución judicial impugnada no motiva las razones de la no imposición de costas a ninguna de las partes, aunque también lo es que la apelante no solicitó complemento o aclaración de la resolución.</w:t>
      </w:r>
    </w:p>
    <w:p w14:paraId="1937B873" w14:textId="77777777" w:rsidR="00A8138F" w:rsidRDefault="00A8138F" w:rsidP="00A8138F">
      <w:pPr>
        <w:pStyle w:val="TextoNormal"/>
      </w:pPr>
    </w:p>
    <w:p w14:paraId="5B3E05D2" w14:textId="77777777" w:rsidR="00A8138F" w:rsidRDefault="00A8138F" w:rsidP="00A8138F">
      <w:pPr>
        <w:pStyle w:val="TextoNormal"/>
      </w:pPr>
      <w:r>
        <w:t>(ii) Al tiempo del despacho de la ejecución, la cuestión sobre la nulidad de la cláusula de vencimiento anticipado y, singularmente, sus efectos en una ejecución hipotecaria eran cuestiones jurídicas más que dudosas y ni siquiera había unanimidad sobre si la nulidad de la cláusula de vencimiento anticipado determina el sobreseimiento o archivo de la ejecución hipotecaria, criterio que se adoptó por la Audiencia Provincial de Almería el 17 de febrero de 2017.</w:t>
      </w:r>
    </w:p>
    <w:p w14:paraId="3B57E582" w14:textId="77777777" w:rsidR="00A8138F" w:rsidRDefault="00A8138F" w:rsidP="00A8138F">
      <w:pPr>
        <w:pStyle w:val="TextoNormal"/>
      </w:pPr>
    </w:p>
    <w:p w14:paraId="0D999D53" w14:textId="77777777" w:rsidR="00A8138F" w:rsidRDefault="00A8138F" w:rsidP="00A8138F">
      <w:pPr>
        <w:pStyle w:val="TextoNormal"/>
      </w:pPr>
      <w:r>
        <w:t xml:space="preserve">(iii) El Tribunal Supremo, consciente de la discrepancia jurídica, elevó una cuestión prejudicial al Tribunal de Justicia de la Unión Europea, que fue resuelta por la STJUE, Gran Sala, de 26 de marzo de 2019, asuntos acumulados </w:t>
      </w:r>
      <w:r w:rsidRPr="00A8138F">
        <w:rPr>
          <w:i/>
        </w:rPr>
        <w:t>Abanca Corporación Bancaria, S.A., c. Alberto García Salamanca Santos</w:t>
      </w:r>
      <w:r>
        <w:t xml:space="preserve">, y </w:t>
      </w:r>
      <w:r w:rsidRPr="00A8138F">
        <w:rPr>
          <w:i/>
        </w:rPr>
        <w:t>Bankia, S.A., c. Alfonso Antonio Lau Mendoza</w:t>
      </w:r>
      <w:r>
        <w:t>, C-70/17 y C-179/17. Esa jurisprudencia llevó al legislador a introducir un nuevo incidente de oposición extraordinario, a través de la disposición transitoria tercera de la Ley 5/2019, de 15 de marzo, incidente que ha sido utilizado en el presente caso, en el que la ejecutada no planteó oposición en tiempo y forma, habiendo podido hacerlo tras la entrada en vigor de la Ley 1/2013, de 14 de mayo, de medidas para reforzar la protección a los deudores hipotecarios, reestructuración de deuda y alquiler social.</w:t>
      </w:r>
    </w:p>
    <w:p w14:paraId="6629633D" w14:textId="77777777" w:rsidR="00A8138F" w:rsidRDefault="00A8138F" w:rsidP="00A8138F">
      <w:pPr>
        <w:pStyle w:val="TextoNormal"/>
      </w:pPr>
    </w:p>
    <w:p w14:paraId="1DE963FF" w14:textId="77777777" w:rsidR="00A8138F" w:rsidRDefault="00A8138F" w:rsidP="00A8138F">
      <w:pPr>
        <w:pStyle w:val="TextoNormal"/>
      </w:pPr>
      <w:r>
        <w:t>(iv) La Audiencia Provincial de Almería declara que cuando se acuerda el sobreseimiento de la ejecución, las dudas de Derecho sobre la imposición de costas es una cuestión más que evidente, lo que justifica la modulación del principio de vencimiento objetivo.</w:t>
      </w:r>
    </w:p>
    <w:p w14:paraId="33B5DACB" w14:textId="77777777" w:rsidR="00A8138F" w:rsidRDefault="00A8138F" w:rsidP="00A8138F">
      <w:pPr>
        <w:pStyle w:val="TextoNormal"/>
      </w:pPr>
    </w:p>
    <w:p w14:paraId="108EA2E9" w14:textId="77777777" w:rsidR="00A8138F" w:rsidRDefault="00A8138F" w:rsidP="00A8138F">
      <w:pPr>
        <w:pStyle w:val="TextoNormal"/>
      </w:pPr>
      <w:r>
        <w:lastRenderedPageBreak/>
        <w:t xml:space="preserve">(v) La Audiencia expresamente afirma que tal criterio no supone desconocer la supremacía del Derecho europeo, ni la doctrina del principio de efectividad y no vinculación del consumidor a las cláusulas abusivas, así como la jurisprudencia del Tribunal de Justicia de la Unión Europea, concretamente la STJUE de 16 de julio de 2020, asuntos acumulados C-224/19 y C-259/19, </w:t>
      </w:r>
      <w:r w:rsidRPr="00A8138F">
        <w:rPr>
          <w:i/>
        </w:rPr>
        <w:t>CY c. CaixaBank, S.A</w:t>
      </w:r>
      <w:r>
        <w:t xml:space="preserve">., y </w:t>
      </w:r>
      <w:r w:rsidRPr="00A8138F">
        <w:rPr>
          <w:i/>
        </w:rPr>
        <w:t>LG, PK c. Banco Bilbao Vizcaya Argentaria, S.A</w:t>
      </w:r>
      <w:r>
        <w:t>., porque no se puede olvidar que, en este caso, cuando se despachó la ejecución y al tiempo en que podía formularse el incidente ordinario de oposición, la cuestión era jurídicamente dudosa.</w:t>
      </w:r>
    </w:p>
    <w:p w14:paraId="3740FC41" w14:textId="77777777" w:rsidR="00A8138F" w:rsidRDefault="00A8138F" w:rsidP="00A8138F">
      <w:pPr>
        <w:pStyle w:val="TextoNormal"/>
      </w:pPr>
    </w:p>
    <w:p w14:paraId="3A803200" w14:textId="77777777" w:rsidR="00A8138F" w:rsidRDefault="00A8138F" w:rsidP="00A8138F">
      <w:pPr>
        <w:pStyle w:val="TextoNormal"/>
      </w:pPr>
      <w:r>
        <w:t>(vi) Finalmente concluye que, por lo expuesto, en el marco del art. 561 LEC en relación con el art. 394 LEC, no procede la imposición de costas de la instancia a la ejecutante, por más que se haya estimado el incidente extraordinario de oposición.</w:t>
      </w:r>
    </w:p>
    <w:p w14:paraId="3865A35D" w14:textId="77777777" w:rsidR="00A8138F" w:rsidRDefault="00A8138F" w:rsidP="00A8138F">
      <w:pPr>
        <w:pStyle w:val="TextoNormal"/>
      </w:pPr>
    </w:p>
    <w:p w14:paraId="74AD1ED8" w14:textId="77777777" w:rsidR="00A8138F" w:rsidRDefault="00A8138F" w:rsidP="00A8138F">
      <w:pPr>
        <w:pStyle w:val="TextoNormal"/>
      </w:pPr>
      <w:r>
        <w:t>h) Interpuesto el incidente de nulidad de actuaciones fue inadmitido por providencia de 26 de junio de 2023. Para ello, la Audiencia Provincial de Almería argumenta:</w:t>
      </w:r>
    </w:p>
    <w:p w14:paraId="0019154E" w14:textId="77777777" w:rsidR="00A8138F" w:rsidRDefault="00A8138F" w:rsidP="00A8138F">
      <w:pPr>
        <w:pStyle w:val="TextoNormal"/>
      </w:pPr>
    </w:p>
    <w:p w14:paraId="573F7677" w14:textId="77777777" w:rsidR="00A8138F" w:rsidRDefault="00A8138F" w:rsidP="00A8138F">
      <w:pPr>
        <w:pStyle w:val="TextoNormal"/>
      </w:pPr>
      <w:r>
        <w:t>(i) No existe ninguna incongruencia, ninguna infracción del derecho a la tutela judicial efectiva, ni infracción de garantías procesales causantes de indefensión.</w:t>
      </w:r>
    </w:p>
    <w:p w14:paraId="68BED619" w14:textId="77777777" w:rsidR="00A8138F" w:rsidRDefault="00A8138F" w:rsidP="00A8138F">
      <w:pPr>
        <w:pStyle w:val="TextoNormal"/>
      </w:pPr>
    </w:p>
    <w:p w14:paraId="26FC9242" w14:textId="3311481B" w:rsidR="00A8138F" w:rsidRDefault="00A8138F" w:rsidP="00A8138F">
      <w:pPr>
        <w:pStyle w:val="TextoNormal"/>
      </w:pPr>
      <w:r>
        <w:t>(ii) La recurrente solo pretende una revisión del auto que desestima el recurso de apelación y que está sobradamente motivado, pues la Sala fundamentó su decisión en que el caso era jurídicamente dudoso en el momento en el que se despachó la ejecución.</w:t>
      </w:r>
    </w:p>
    <w:p w14:paraId="029F0666" w14:textId="77777777" w:rsidR="00A8138F" w:rsidRDefault="00A8138F" w:rsidP="00A8138F">
      <w:pPr>
        <w:pStyle w:val="TextoNormal"/>
      </w:pPr>
    </w:p>
    <w:p w14:paraId="38588093" w14:textId="77777777" w:rsidR="00A8138F" w:rsidRDefault="00A8138F" w:rsidP="00A8138F">
      <w:pPr>
        <w:pStyle w:val="TextoNormal"/>
      </w:pPr>
      <w:r w:rsidRPr="00A8138F">
        <w:rPr>
          <w:rStyle w:val="NumeroAFNegritaCaracter"/>
        </w:rPr>
        <w:t>3</w:t>
      </w:r>
      <w:r>
        <w:t>. La fundamentación jurídica de la demanda de amparo se basa, por un lado, en la decisión del órgano judicial de instancia de inaplicar el art. 561.2 LEC sin motivación alguna y, por otro, en la confirmación por la Audiencia Provincial de tal decisión, argumentando que resultaba de aplicación la excepción prevista en el art. 394.1 LEC, es decir, en la existencia de serias dudas de Derecho que justifican la no aplicación del criterio del vencimiento objetivo. Para la demandante, ambas resoluciones vulneran el derecho a la tutela judicial efectiva (art. 24.1 CE), en la medida en que son irrazonables.</w:t>
      </w:r>
    </w:p>
    <w:p w14:paraId="38695618" w14:textId="77777777" w:rsidR="00A8138F" w:rsidRDefault="00A8138F" w:rsidP="00A8138F">
      <w:pPr>
        <w:pStyle w:val="TextoNormal"/>
      </w:pPr>
    </w:p>
    <w:p w14:paraId="0A9EC4DD" w14:textId="0F27EB03" w:rsidR="00A8138F" w:rsidRDefault="00A8138F" w:rsidP="00A8138F">
      <w:pPr>
        <w:pStyle w:val="TextoNormal"/>
      </w:pPr>
      <w:r>
        <w:t>La recurrente invoca la STC 156/2021, de 16 de septiembre, única sentencia dictada por este tribunal sobre la jurisprudencia del Tribunal de Justicia de la Unión Europea en relación con las costas en los procedimientos sobre cláusulas abusivas, antes de interponer su recurso de amparo. Recuerda que en aquella sentencia, este tribunal ya recogió la STJUE de 16 de julio de 2020, en la que el Tribunal europeo se refirió a la aplicación de la regla del art. 394.1 LEC y declaró que tanto los arts. 6.1 y 7.1 de la Directiva 93/13/CEE del Consejo, de 5 de abril de 1993, sobre las cláusulas abusivas en los contratos celebrados con consumidores, como el principio de efectividad del Derecho de la Unión, se oponen a que el consumidor cargue con una parte de las costas procesales a partir de la declaración de abusividad y nulidad de una cláusula contractual, dado que crea un obstáculo significativo que puede disuadir a los consumidores de ejercer su derecho a un control judicial del carácter potencialmente abusivo de cláusulas contractuales, lo que puede vulnerar el ejercicio del derecho fundamental a la tutela judicial efectiva.</w:t>
      </w:r>
    </w:p>
    <w:p w14:paraId="1580C791" w14:textId="77777777" w:rsidR="00A8138F" w:rsidRDefault="00A8138F" w:rsidP="00A8138F">
      <w:pPr>
        <w:pStyle w:val="TextoNormal"/>
      </w:pPr>
    </w:p>
    <w:p w14:paraId="03AA5F6B" w14:textId="6F9E3296" w:rsidR="00A8138F" w:rsidRDefault="00A8138F" w:rsidP="00A8138F">
      <w:pPr>
        <w:pStyle w:val="TextoNormal"/>
      </w:pPr>
      <w:r w:rsidRPr="00A8138F">
        <w:rPr>
          <w:rStyle w:val="NumeroAFNegritaCaracter"/>
        </w:rPr>
        <w:t>4</w:t>
      </w:r>
      <w:r>
        <w:t>. Mediante providencia de 12 de febrero de 2024, la Sección Cuarta de este Tribunal Constitucional acordó admitir a trámite el presente recurso apreciando que concurría en él la especial trascendencia constitucional que exige el art. 50.1 de la Ley Orgánica del Tribu</w:t>
      </w:r>
      <w:r>
        <w:lastRenderedPageBreak/>
        <w:t>nal Constitucional (LOTC), puesto que el recurso podía dar ocasión al Tribunal para aclarar o cambiar su doctrina, como consecuencia de un cambio en la doctrina de los órganos de garantía encargados de la interpretación de los tratados y acuerdos internacionales a los que se refiere el artículo 10.2 CE, y porque el asunto suscitado trasciende del caso concreto y plantea una cuestión jurídica de relevante y general repercusión social o económica [STC 155/2009, de 25 de junio, FJ 2 b) y g)]. Asimismo, acordó, de conformidad con el art. 51 LOTC, dirigir comunicación a la Sección Primera de la Audiencia Provincial de Almería y al Juzgado de Primera Instancia e Instrucción núm. 3 de El Ejido, para que remitieran testimonio íntegro de las actuaciones, debiendo previamente emplazar a quienes habían sido parte en el procedimiento —excepto la parte recurrente en amparo— para que en el plazo de diez días pudieran comparecer, si lo deseaban, en el recurso de amparo.</w:t>
      </w:r>
    </w:p>
    <w:p w14:paraId="73693EE5" w14:textId="77777777" w:rsidR="00A8138F" w:rsidRDefault="00A8138F" w:rsidP="00A8138F">
      <w:pPr>
        <w:pStyle w:val="TextoNormal"/>
      </w:pPr>
    </w:p>
    <w:p w14:paraId="146F275E" w14:textId="20F96BCF" w:rsidR="00A8138F" w:rsidRDefault="00A8138F" w:rsidP="00A8138F">
      <w:pPr>
        <w:pStyle w:val="TextoNormal"/>
      </w:pPr>
      <w:r w:rsidRPr="00A8138F">
        <w:rPr>
          <w:rStyle w:val="NumeroAFNegritaCaracter"/>
        </w:rPr>
        <w:t>5</w:t>
      </w:r>
      <w:r>
        <w:t>. Por diligencia de ordenación de 1 de abril de 2024, este Tribunal Constitucional tuvo por personada a la procuradora doña Natacha Alejandra Pérez Gómez, en nombre y representación de la entidad Axactor España, S.L.U., parte en el presente procedimiento tras producirse la sucesión procesal respecto de la entidad Banco de Santander, S.A. Asimismo, de conformidad con lo dispuesto en el art. 52.1 LOTC, acordó dar vista de las actuaciones recibidas a las partes personadas y al Ministerio Fiscal, por plazo común de veinte días para que, dentro de dicho término presentaran las alegaciones que a su derecho convinieran.</w:t>
      </w:r>
    </w:p>
    <w:p w14:paraId="57B8F0A7" w14:textId="77777777" w:rsidR="00A8138F" w:rsidRDefault="00A8138F" w:rsidP="00A8138F">
      <w:pPr>
        <w:pStyle w:val="TextoNormal"/>
      </w:pPr>
    </w:p>
    <w:p w14:paraId="10C65A0E" w14:textId="411D98F3" w:rsidR="00A8138F" w:rsidRDefault="00A8138F" w:rsidP="00A8138F">
      <w:pPr>
        <w:pStyle w:val="TextoNormal"/>
      </w:pPr>
      <w:r w:rsidRPr="00A8138F">
        <w:rPr>
          <w:rStyle w:val="NumeroAFNegritaCaracter"/>
        </w:rPr>
        <w:t>6</w:t>
      </w:r>
      <w:r>
        <w:t>. Mediante escrito presentado el 29 de abril de 2024, la representación procesal de la entidad Axactor España, S.L.U., formuló alegaciones en las que interesó la desestimación del recurso de amparo, con fundamento en que la estimación a la oposición de la ejecución fue parcial (en la medida en que la recurrente de amparo solicitó la declaración de nulidad de diversas cláusulas contractuales y su pretensión de nulidad no fue estimada en relación con todas ellas). Igualmente, reitera el argumento del órgano judicial de que, en el momento en que se despachó ejecución, la cuestión era jurídicamente dudosa.</w:t>
      </w:r>
    </w:p>
    <w:p w14:paraId="2C7DC857" w14:textId="77777777" w:rsidR="00A8138F" w:rsidRDefault="00A8138F" w:rsidP="00A8138F">
      <w:pPr>
        <w:pStyle w:val="TextoNormal"/>
      </w:pPr>
    </w:p>
    <w:p w14:paraId="4D4595BC" w14:textId="018E26B1" w:rsidR="00A8138F" w:rsidRDefault="00A8138F" w:rsidP="00A8138F">
      <w:pPr>
        <w:pStyle w:val="TextoNormal"/>
      </w:pPr>
      <w:r w:rsidRPr="00A8138F">
        <w:rPr>
          <w:rStyle w:val="NumeroAFNegritaCaracter"/>
        </w:rPr>
        <w:t>7</w:t>
      </w:r>
      <w:r>
        <w:t>. La representación procesal de la recurrente en amparo no formuló alegaciones.</w:t>
      </w:r>
    </w:p>
    <w:p w14:paraId="4DCCA303" w14:textId="77777777" w:rsidR="00A8138F" w:rsidRDefault="00A8138F" w:rsidP="00A8138F">
      <w:pPr>
        <w:pStyle w:val="TextoNormal"/>
      </w:pPr>
    </w:p>
    <w:p w14:paraId="64928355" w14:textId="77777777" w:rsidR="00A8138F" w:rsidRDefault="00A8138F" w:rsidP="00A8138F">
      <w:pPr>
        <w:pStyle w:val="TextoNormal"/>
      </w:pPr>
      <w:r w:rsidRPr="00A8138F">
        <w:rPr>
          <w:rStyle w:val="NumeroAFNegritaCaracter"/>
        </w:rPr>
        <w:t>8</w:t>
      </w:r>
      <w:r>
        <w:t>. El 17 de mayo de 2024, el Ministerio Fiscal presentó sus alegaciones interesando la estimación del recurso. Tras exponer los antecedentes, comienza por referirse al objeto del recurso, que concreta en la determinación de si la Audiencia Provincial de Almería erró al limitarse a aplicar una norma nacional —el art. 561 LEC en relación con el art. 394 LEC— sin tener en cuenta la aplicabilidad de la Directiva 93/13/CEE, tal y como la ha interpretado el Tribunal de Justicia de la Unión Europea, así como la decisión acerca de si ese error tiene la entidad suficiente como para vulnerar el derecho fundamental de la recurrente a la tutela judicial efectiva.</w:t>
      </w:r>
    </w:p>
    <w:p w14:paraId="2209D464" w14:textId="77777777" w:rsidR="00A8138F" w:rsidRDefault="00A8138F" w:rsidP="00A8138F">
      <w:pPr>
        <w:pStyle w:val="TextoNormal"/>
      </w:pPr>
    </w:p>
    <w:p w14:paraId="65CBBB5F" w14:textId="77777777" w:rsidR="00A8138F" w:rsidRDefault="00A8138F" w:rsidP="00A8138F">
      <w:pPr>
        <w:pStyle w:val="TextoNormal"/>
      </w:pPr>
      <w:r>
        <w:t xml:space="preserve">El fiscal recuerda la jurisprudencia sobre la materia, primero, del Tribunal Supremo y después del Tribunal Constitucional. Por lo que se refiere a la jurisprudencia de la Sala de lo Civil del Tribunal Supremo, afirma que las SSTS 419/2017, de 4 de julio, (ECLI:ES:TS:2017:2501), y 472/2020, de 17 de septiembre (ECLI:ES:TS:2020:2838), ya establecieron, de conformidad con la doctrina del Tribunal de Justicia de la Unión Europea, que la excepción de la existencia de serias dudas de hecho o de Derecho a la regla general imperante en materia de costas, del vencimiento objetivo —aplicada para no restituir al consumidor demandante los gastos procesales que realizó para obtener en vía judicial la </w:t>
      </w:r>
      <w:r>
        <w:lastRenderedPageBreak/>
        <w:t>declaración del carácter abusivo de una cláusula contractual y su anulación— vulnera las exigencias de la Directiva 93/13/CEE, desde la perspectiva del principio de efectividad del Derecho de la Unión Europea que, a su vez, exige dar cumplimiento de otros dos principios: el de no vinculación de los consumidores a las cláusulas abusivas incorporadas a contratos no negociados (art. 6.1 de la Directiva 93/13/CEE) y el del efecto disuasorio del uso de tales cláusulas (art. 7.2 de la Directiva 93/13/CEE).</w:t>
      </w:r>
    </w:p>
    <w:p w14:paraId="555F522D" w14:textId="77777777" w:rsidR="00A8138F" w:rsidRDefault="00A8138F" w:rsidP="00A8138F">
      <w:pPr>
        <w:pStyle w:val="TextoNormal"/>
      </w:pPr>
    </w:p>
    <w:p w14:paraId="6B161DA8" w14:textId="77777777" w:rsidR="00A8138F" w:rsidRDefault="00A8138F" w:rsidP="00A8138F">
      <w:pPr>
        <w:pStyle w:val="TextoNormal"/>
      </w:pPr>
      <w:r>
        <w:t>Por lo que se refiere a la doctrina constitucional aplicable, el Ministerio Fiscal llama la atención sobre el hecho de que, en este recurso de amparo, se plantea un caso con tanta similitud a dos pronunciamientos recientes —recaídos entre la interposición de este recurso de amparo y el momento de dictar esta sentencia— que casi se podría hablar de supuestos idénticos. Concretamente, las SSTC 91/2023, de 11 de septiembre, y 96/2023, de 25 de septiembre, en las que se concluye que la negativa a imponer las costas a la entidad bancaria ejecutante, por aplicación de la excepción de existir serias dudas de hecho o de Derecho, prevista en el artículo 394.1 LEC y la no aplicación de lo previsto en los arts. 6.1 y 7.1 de la Directiva 93/13/CEE, conforme la interpreta el Tribunal de Justicia de la Unión Europea, vulnera el derecho a la tutela judicial efectiva (art. 24.1 CE).</w:t>
      </w:r>
    </w:p>
    <w:p w14:paraId="2D0BF1AF" w14:textId="77777777" w:rsidR="00A8138F" w:rsidRDefault="00A8138F" w:rsidP="00A8138F">
      <w:pPr>
        <w:pStyle w:val="TextoNormal"/>
      </w:pPr>
    </w:p>
    <w:p w14:paraId="2EF41746" w14:textId="7B4534E9" w:rsidR="00A8138F" w:rsidRDefault="00A8138F" w:rsidP="00A8138F">
      <w:pPr>
        <w:pStyle w:val="TextoNormal"/>
      </w:pPr>
      <w:r>
        <w:t>Para el fiscal, la existencia de esa triple jurisprudencia, la del Tribunal de Justicia de la Unión Europea, el Tribunal Constitucional y el Tribunal Supremo, a lo que se debe añadir el factor tiempo, ya que la jurisprudencia del Tribunal de Justicia de la Unión Europea y del Tribunal Supremo, siendo notablemente anterior al momento en que se dicta la resolución judicial recurrida en amparo —23 de mayo de 2023—, debió ser tenida en cuenta al resolver sobre las costas de este proceso ya que permite alcanzar la conclusión que la Audiencia Provincial de Almería motivó de forma errónea vulnerando el derecho a la tutela judicial efectiva de la recurrente, por realizar una selección irrazonable y arbitraria de la norma aplicable al caso.</w:t>
      </w:r>
    </w:p>
    <w:p w14:paraId="4586C718" w14:textId="77777777" w:rsidR="00A8138F" w:rsidRDefault="00A8138F" w:rsidP="00A8138F">
      <w:pPr>
        <w:pStyle w:val="TextoNormal"/>
      </w:pPr>
    </w:p>
    <w:p w14:paraId="703B1A56" w14:textId="266E4A22" w:rsidR="00A8138F" w:rsidRDefault="00A8138F" w:rsidP="00A8138F">
      <w:pPr>
        <w:pStyle w:val="TextoNormal"/>
      </w:pPr>
      <w:r w:rsidRPr="00A8138F">
        <w:rPr>
          <w:rStyle w:val="NumeroAFNegritaCaracter"/>
        </w:rPr>
        <w:t>9</w:t>
      </w:r>
      <w:r>
        <w:t>. Por providencia de 20 de febrero de 2025, se señaló para deliberación y votación de la presente sentencia el día 24 del mismo mes y año.</w:t>
      </w:r>
    </w:p>
    <w:p w14:paraId="661057E4" w14:textId="77777777" w:rsidR="00A8138F" w:rsidRDefault="00A8138F" w:rsidP="00A8138F">
      <w:pPr>
        <w:pStyle w:val="TextoNormal"/>
      </w:pPr>
    </w:p>
    <w:p w14:paraId="3B9B4976" w14:textId="77777777" w:rsidR="00A8138F" w:rsidRDefault="00A8138F" w:rsidP="00A8138F">
      <w:pPr>
        <w:pStyle w:val="TextoNormalNegritaCentrado"/>
        <w:keepNext/>
      </w:pPr>
      <w:r>
        <w:t>II. Fundamentos jurídicos</w:t>
      </w:r>
    </w:p>
    <w:p w14:paraId="132FA5CB" w14:textId="25F82474" w:rsidR="00A8138F" w:rsidRDefault="00A8138F" w:rsidP="00A8138F">
      <w:pPr>
        <w:pStyle w:val="TextoNormalNegritaCentrado"/>
        <w:keepNext/>
      </w:pPr>
    </w:p>
    <w:p w14:paraId="6C537A51" w14:textId="77777777" w:rsidR="00A8138F" w:rsidRDefault="00A8138F" w:rsidP="00A8138F">
      <w:pPr>
        <w:pStyle w:val="TextoNormal"/>
      </w:pPr>
      <w:r w:rsidRPr="00A8138F">
        <w:rPr>
          <w:rStyle w:val="NumeroAFNegritaCaracter"/>
        </w:rPr>
        <w:t>1</w:t>
      </w:r>
      <w:r>
        <w:t xml:space="preserve">. </w:t>
      </w:r>
      <w:r w:rsidRPr="00A8138F">
        <w:rPr>
          <w:i/>
        </w:rPr>
        <w:t>Objeto del proceso y posición de las partes</w:t>
      </w:r>
    </w:p>
    <w:p w14:paraId="61E4C0F1" w14:textId="77777777" w:rsidR="00A8138F" w:rsidRDefault="00A8138F" w:rsidP="00A8138F">
      <w:pPr>
        <w:pStyle w:val="TextoNormal"/>
      </w:pPr>
    </w:p>
    <w:p w14:paraId="042D0782" w14:textId="77777777" w:rsidR="00A8138F" w:rsidRDefault="00A8138F" w:rsidP="00A8138F">
      <w:pPr>
        <w:pStyle w:val="TextoNormal"/>
      </w:pPr>
      <w:r>
        <w:t>El presente recurso de amparo se dirige contra la providencia de 26 de junio de 2023, de la Sección Primera de la Audiencia Provincial de Almería, recaída en el procedimiento de ejecución hipotecaria núm. 1033-2015, que inadmitió el incidente de nulidad de actuaciones y el auto 263/2023, de 23 de mayo, de la misma Audiencia, que desestimaba el recurso de apelación interpuesto contra el auto 226/2021, de 7 de octubre, del Juzgado de Primera Instancia e Instrucción núm. 3 de El Ejido, que acordó el sobreseimiento y el archivo de la ejecución hipotecaria sin imponer costas a ninguna de las partes. El órgano judicial desestimó el recurso de apelación y confirmó la no imposición de las costas de instancia, con fundamento en que el supuesto encajaba en la excepción prevista en el art. 394.1 LEC, es decir, la existencia de serias dudas de Derecho que justificaban la no aplicación del criterio del vencimiento objetivo.</w:t>
      </w:r>
    </w:p>
    <w:p w14:paraId="7A65E93E" w14:textId="77777777" w:rsidR="00A8138F" w:rsidRDefault="00A8138F" w:rsidP="00A8138F">
      <w:pPr>
        <w:pStyle w:val="TextoNormal"/>
      </w:pPr>
    </w:p>
    <w:p w14:paraId="4C258001" w14:textId="77777777" w:rsidR="00A8138F" w:rsidRDefault="00A8138F" w:rsidP="00A8138F">
      <w:pPr>
        <w:pStyle w:val="TextoNormal"/>
      </w:pPr>
      <w:r>
        <w:lastRenderedPageBreak/>
        <w:t>En los antecedentes han quedado expuestos con detalle los argumentos por los que la demanda aduce la lesión del derecho a la tutela judicial efectiva (art. 24.1 CE) por apreciarse el carácter manifiestamente irrazonable de la resolución impugnada. La recurrente solicita la declaración de nulidad de la providencia de 26 de junio de 2023 y del auto 263/2023, de 23 de mayo, dictados por la Audiencia Provincial de Almería, por vulneración de su derecho a la tutela judicial efectiva (art. 24.1 CE); así como la retroacción de actuaciones al momento anterior a su pronunciamiento para que el órgano judicial dicte una nueva resolución respetuosa con el derecho fundamental vulnerado.</w:t>
      </w:r>
    </w:p>
    <w:p w14:paraId="560F98F1" w14:textId="77777777" w:rsidR="00A8138F" w:rsidRDefault="00A8138F" w:rsidP="00A8138F">
      <w:pPr>
        <w:pStyle w:val="TextoNormal"/>
      </w:pPr>
    </w:p>
    <w:p w14:paraId="1EBC2687" w14:textId="77777777" w:rsidR="00A8138F" w:rsidRDefault="00A8138F" w:rsidP="00A8138F">
      <w:pPr>
        <w:pStyle w:val="TextoNormal"/>
      </w:pPr>
      <w:r>
        <w:t>El Ministerio Fiscal aduce que las resoluciones de la Audiencia Provincial de Almería, al eludir la condena en costas de la parte ejecutante y aplicar la excepción de concurrencia de dudas de hecho o de Derecho provocaron que la demandante haya tenido que soportar los gastos judiciales, con infracción de las exigencias de la doctrina constitucional y europea, al generar un efecto disuasorio inverso que se proyecta sobre el consumidor, en lugar de hacerlo sobre el profesional, lo que debe ser calificado como un obstáculo al ejercicio del derecho fundamental a la tutela judicial efectiva.</w:t>
      </w:r>
    </w:p>
    <w:p w14:paraId="405DA785" w14:textId="77777777" w:rsidR="00A8138F" w:rsidRDefault="00A8138F" w:rsidP="00A8138F">
      <w:pPr>
        <w:pStyle w:val="TextoNormal"/>
      </w:pPr>
    </w:p>
    <w:p w14:paraId="0B856684" w14:textId="46672BB5" w:rsidR="00A8138F" w:rsidRDefault="00A8138F" w:rsidP="00A8138F">
      <w:pPr>
        <w:pStyle w:val="TextoNormal"/>
      </w:pPr>
      <w:r>
        <w:t>Recuerda que la jurisprudencia de la Sala de lo Civil del Tribunal Supremo, recogida en las SSTS 419/2017 y 472/2020 ha establecido, de conformidad con la doctrina del Tribunal de Justicia de la Unión Europea, que la excepción de serias dudas de hecho o de Derecho a la regla general del vencimiento imperante en materia de costas, aplicada para no restituir al consumidor demandante los gastos procesales que realizó para obtener en vía judicial la declaración del carácter abusivo de una cláusula contractual y su anulación, vulnera las exigencias de la Directiva 93/13/CEE, desde la perspectiva del principio de efectividad del Derecho de la Unión Europea, que exige dar cumplimiento de otros dos principios: el de no vinculación de los consumidores a las cláusulas abusivas incorporadas a contratos no negociados (art. 6.1 de la Directiva 93/13/CEE) y el del efecto disuasorio del uso de tales cláusulas (art. 7.2 de la Directiva 93/13/CEE). Aprecia, asimismo, que la Audiencia Provincial de Almería motivó de forma errónea y vulneró el derecho a la tutela judicial efectiva de la recurrente, por realizar una selección irrazonable y arbitraria de la norma aplicable al caso.</w:t>
      </w:r>
    </w:p>
    <w:p w14:paraId="6CEC0192" w14:textId="77777777" w:rsidR="00A8138F" w:rsidRDefault="00A8138F" w:rsidP="00A8138F">
      <w:pPr>
        <w:pStyle w:val="TextoNormal"/>
      </w:pPr>
    </w:p>
    <w:p w14:paraId="1A07DCE3" w14:textId="77777777" w:rsidR="00A8138F" w:rsidRDefault="00A8138F" w:rsidP="00A8138F">
      <w:pPr>
        <w:pStyle w:val="TextoNormal"/>
      </w:pPr>
      <w:r w:rsidRPr="00A8138F">
        <w:rPr>
          <w:rStyle w:val="NumeroAFNegritaCaracter"/>
        </w:rPr>
        <w:t>2</w:t>
      </w:r>
      <w:r>
        <w:t xml:space="preserve">. </w:t>
      </w:r>
      <w:r w:rsidRPr="00A8138F">
        <w:rPr>
          <w:i/>
        </w:rPr>
        <w:t>La tutela judicial efectiva de los derechos de los consumidores en materia de costas</w:t>
      </w:r>
    </w:p>
    <w:p w14:paraId="50889112" w14:textId="77777777" w:rsidR="00A8138F" w:rsidRDefault="00A8138F" w:rsidP="00A8138F">
      <w:pPr>
        <w:pStyle w:val="TextoNormal"/>
      </w:pPr>
    </w:p>
    <w:p w14:paraId="0EEB1A02" w14:textId="77777777" w:rsidR="00A8138F" w:rsidRDefault="00A8138F" w:rsidP="00A8138F">
      <w:pPr>
        <w:pStyle w:val="TextoNormal"/>
      </w:pPr>
      <w:r>
        <w:t>Como acertadamente expone el Ministerio Fiscal en su escrito de alegaciones, la cuestión suscitada en la presente demanda de amparo es si se ha vulnerado el derecho fundamental a la tutela judicial efectiva (art. 24.1 CE) de la actora como consecuencia de un pronunciamiento judicial que, en un procedimiento de ejecución hipotecaria, tras la apreciación por el órgano judicial del carácter abusivo de la cláusula de vencimiento anticipado del contrato de préstamo ha concluido en sobreseimiento y archivo de actuaciones sin expresa imposición de costas, siendo la Audiencia Provincial de Almería la que confirmó que no procedía su imposición, a la vista de la excepción prevista en el art. 394.1 LEC, es decir, de la existencia de serias dudas de Derecho que justificaban la no aplicación del criterio del vencimiento objetivo.</w:t>
      </w:r>
    </w:p>
    <w:p w14:paraId="0B9CDD4F" w14:textId="77777777" w:rsidR="00A8138F" w:rsidRDefault="00A8138F" w:rsidP="00A8138F">
      <w:pPr>
        <w:pStyle w:val="TextoNormal"/>
      </w:pPr>
    </w:p>
    <w:p w14:paraId="4EF3FB84" w14:textId="77777777" w:rsidR="00A8138F" w:rsidRDefault="00A8138F" w:rsidP="00A8138F">
      <w:pPr>
        <w:pStyle w:val="TextoNormal"/>
      </w:pPr>
      <w:r>
        <w:t>Como hemos declarado en dos recientes sentencias —SSTC 91/2023 y 96/2023— incurre en manifiesta falta de razonabilidad, y consecuentemente en el incumplimiento de las exigencias de motivación que impone el art. 24.1 CE, la resolución judicial que sobresee un procedimiento de ejecución hipotecaria tras declarar nulas por abusivas determinadas cláu</w:t>
      </w:r>
      <w:r>
        <w:lastRenderedPageBreak/>
        <w:t>sulas contractuales, sin imponer las costas del procedimiento a la parte ejecutante por la existencia de dudas de Derecho sobre la licitud de las cláusulas controvertidas.</w:t>
      </w:r>
    </w:p>
    <w:p w14:paraId="338B0DBC" w14:textId="77777777" w:rsidR="00A8138F" w:rsidRDefault="00A8138F" w:rsidP="00A8138F">
      <w:pPr>
        <w:pStyle w:val="TextoNormal"/>
      </w:pPr>
    </w:p>
    <w:p w14:paraId="45CBCB18" w14:textId="77777777" w:rsidR="00A8138F" w:rsidRDefault="00A8138F" w:rsidP="00A8138F">
      <w:pPr>
        <w:pStyle w:val="TextoNormal"/>
      </w:pPr>
      <w:r>
        <w:t>Respecto a tales pronunciamientos es importante recordar los fundamentos en los que apoyamos tal conclusión:</w:t>
      </w:r>
    </w:p>
    <w:p w14:paraId="16EEF7E0" w14:textId="77777777" w:rsidR="00A8138F" w:rsidRDefault="00A8138F" w:rsidP="00A8138F">
      <w:pPr>
        <w:pStyle w:val="TextoNormal"/>
      </w:pPr>
    </w:p>
    <w:p w14:paraId="6F1CC1C5" w14:textId="77777777" w:rsidR="00A8138F" w:rsidRDefault="00A8138F" w:rsidP="00A8138F">
      <w:pPr>
        <w:pStyle w:val="TextoNormal"/>
      </w:pPr>
      <w:r>
        <w:t>(i) Corresponde al ordenamiento interno de los Estados miembros establecer la forma y condiciones en la que se preste la protección a los consumidores prevista en los arts. 6.1 y 7.1 de la Directiva 93/13/CEE, preceptos que reconocen a los consumidores el derecho a acudir a un juez para que declare el carácter abusivo de una cláusula contractual concertada con un profesional para que deje de serle aplicada. En cualquier caso, “la regulación nacional establecida debe respetar los principios de tutela judicial, equivalencia y efectividad, de forma que sus previsiones no sean menos favorables que las aplicables a situaciones similares sometidas al Derecho interno —principio de equivalencia— y no hagan imposible en la práctica o excesivamente difícil el ejercicio de los derechos conferidos por el ordenamiento jurídico comunitario —principio de efectividad—” [STC 91/2023, FJ 4 a)].</w:t>
      </w:r>
    </w:p>
    <w:p w14:paraId="3F403EC3" w14:textId="77777777" w:rsidR="00A8138F" w:rsidRDefault="00A8138F" w:rsidP="00A8138F">
      <w:pPr>
        <w:pStyle w:val="TextoNormal"/>
      </w:pPr>
    </w:p>
    <w:p w14:paraId="731187D7" w14:textId="77777777" w:rsidR="00A8138F" w:rsidRDefault="00A8138F" w:rsidP="00A8138F">
      <w:pPr>
        <w:pStyle w:val="TextoNormal"/>
      </w:pPr>
      <w:r>
        <w:t xml:space="preserve">(ii) El Tribunal de Justicia de la Unión Europea ha considerado el efecto disuasor que puede tener sobre los consumidores los costes del proceso judicial en el que hagan valer su derecho a no verse vinculados a cláusulas abusivas en la STJUE de 16 de julio de 2020, asuntos acumulados </w:t>
      </w:r>
      <w:r w:rsidRPr="00A8138F">
        <w:rPr>
          <w:i/>
        </w:rPr>
        <w:t>CY c. CaixaBank, S.A</w:t>
      </w:r>
      <w:r>
        <w:t xml:space="preserve">., y </w:t>
      </w:r>
      <w:r w:rsidRPr="00A8138F">
        <w:rPr>
          <w:i/>
        </w:rPr>
        <w:t>LG, PK c. Banco Bilbao Vizcaya Argentaria, S.A</w:t>
      </w:r>
      <w:r>
        <w:t>., C-224/19 y C-259/19, que viene referida específicamente a las normas procesales españolas sobre la condena en costas y su tasación. En dicha sentencia, el Tribunal de Justicia de la Unión Europea constató que no imponer a la parte profesional del contrato el pago íntegro de las costas, en virtud de la excepción de la existencia de serias dudas de Derecho a la regla del vencimiento objetivo, prevista en el art. 394 LEC, cuando se ha estimado íntegramente la acción de nulidad de una cláusula contractual abusiva ejercitada por el consumidor, es una solución incompatible con el principio de efectividad, pues “[p]ara el Tribunal (§ 99) ‘el artículo 6, apartado 1, y el artículo 7, apartado 1, de la Directiva 93/13/CEE,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93/13/CEE, a un control judicial efectivo del carácter potencialmente abusivo de cláusulas contractuales’” [STC 91/2023, FJ 4 b)].</w:t>
      </w:r>
    </w:p>
    <w:p w14:paraId="3221AC96" w14:textId="77777777" w:rsidR="00A8138F" w:rsidRDefault="00A8138F" w:rsidP="00A8138F">
      <w:pPr>
        <w:pStyle w:val="TextoNormal"/>
      </w:pPr>
    </w:p>
    <w:p w14:paraId="303B2BA1" w14:textId="77777777" w:rsidR="00A8138F" w:rsidRDefault="00A8138F" w:rsidP="00A8138F">
      <w:pPr>
        <w:pStyle w:val="TextoNormal"/>
      </w:pPr>
      <w:r>
        <w:t>(iii) La Sala de lo Civil del Tribunal Supremo también “ha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 [STC 91/2023, FJ 4 b)].</w:t>
      </w:r>
    </w:p>
    <w:p w14:paraId="1542AF6D" w14:textId="77777777" w:rsidR="00A8138F" w:rsidRDefault="00A8138F" w:rsidP="00A8138F">
      <w:pPr>
        <w:pStyle w:val="TextoNormal"/>
      </w:pPr>
    </w:p>
    <w:p w14:paraId="24516C5C" w14:textId="5EE9BDF6" w:rsidR="00A8138F" w:rsidRDefault="00A8138F" w:rsidP="00A8138F">
      <w:pPr>
        <w:pStyle w:val="TextoNormal"/>
      </w:pPr>
      <w:r>
        <w:t xml:space="preserve">(iv) Esta perspectiva ya fue incorporada a la jurisprudencia de este tribunal en la STC 156/2021, FJ 11, como motivo para declarar inconstitucional y contraria al derecho fundamental a la tutela judicial efectiva reconocido en el art. 24.1 CE la previsión excepcional sobre condena en costas en caso de allanamiento total o parcial de las entidades de crédito que se verificaba en el art. 4.2 del Real Decreto-ley 1/2017, de 20 de enero, de medidas </w:t>
      </w:r>
      <w:r>
        <w:lastRenderedPageBreak/>
        <w:t>urgentes de protección de consumidores en materia de cláusulas suelo [STC 91/2023, FJ 4 c) y e); y, más recientemente, la STC 54/2024, de 8 de abril].</w:t>
      </w:r>
    </w:p>
    <w:p w14:paraId="78146F23" w14:textId="77777777" w:rsidR="00A8138F" w:rsidRDefault="00A8138F" w:rsidP="00A8138F">
      <w:pPr>
        <w:pStyle w:val="TextoNormal"/>
      </w:pPr>
    </w:p>
    <w:p w14:paraId="0901C28B" w14:textId="77777777" w:rsidR="00A8138F" w:rsidRDefault="00A8138F" w:rsidP="00A8138F">
      <w:pPr>
        <w:pStyle w:val="TextoNormal"/>
      </w:pPr>
      <w:r w:rsidRPr="00A8138F">
        <w:rPr>
          <w:rStyle w:val="NumeroAFNegritaCaracter"/>
        </w:rPr>
        <w:t>3</w:t>
      </w:r>
      <w:r>
        <w:t xml:space="preserve">. </w:t>
      </w:r>
      <w:r w:rsidRPr="00A8138F">
        <w:rPr>
          <w:i/>
        </w:rPr>
        <w:t>Aplicación de la doctrina al caso</w:t>
      </w:r>
    </w:p>
    <w:p w14:paraId="0B2574BB" w14:textId="77777777" w:rsidR="00A8138F" w:rsidRDefault="00A8138F" w:rsidP="00A8138F">
      <w:pPr>
        <w:pStyle w:val="TextoNormal"/>
      </w:pPr>
    </w:p>
    <w:p w14:paraId="42359B5C" w14:textId="77777777" w:rsidR="00A8138F" w:rsidRDefault="00A8138F" w:rsidP="00A8138F">
      <w:pPr>
        <w:pStyle w:val="TextoNormal"/>
      </w:pPr>
      <w:r>
        <w:t>A la luz de la doctrina constitucional y europea citada, hemos de concluir que el auto de la Audiencia Provincial de Almería impugnado vulneró el derecho a la tutela judicial efectiva de la demandante de amparo (art. 24.1 CE), en su vertiente de derecho a obtener una resolución fundada en Derecho, en la medida en que erró en la selección normativa y adoptó una resolución con una motivación irrazonable.</w:t>
      </w:r>
    </w:p>
    <w:p w14:paraId="1E6A2FC5" w14:textId="77777777" w:rsidR="00A8138F" w:rsidRDefault="00A8138F" w:rsidP="00A8138F">
      <w:pPr>
        <w:pStyle w:val="TextoNormal"/>
      </w:pPr>
    </w:p>
    <w:p w14:paraId="67610E5F" w14:textId="77777777" w:rsidR="00A8138F" w:rsidRDefault="00A8138F" w:rsidP="00A8138F">
      <w:pPr>
        <w:pStyle w:val="TextoNormal"/>
      </w:pPr>
      <w:r>
        <w:t>La resolución impugnada, con una escueta argumentación, fundamenta su decisión de no imponer las costas a la parte ejecutante, en la existencia de dudas de Derecho cuando se despachó la ejecución y en que podía formularse el incidente ordinario de oposición (art. 394.1 LEC). Argumenta de este modo, a pesar de que en el momento en que se dictó el auto 263/2023, de 23 de mayo, el órgano judicial disponía del mandato legal claro contenido en el art. 561.2 LEC, en cuya virtud, “[s]i se estimara la oposición a la ejecución […] se condenará al ejecutante a pagar las costas de la oposición”, tal y como ocurrió en el supuesto que enjuiciamos. La modificación del art. 561.2 LEC, operada por el Real Decreto-ley 6/2023, de 19 de diciembre, por el que se aprueban medidas urgentes para la ejecución del plan de recuperación, transformación y resiliencia en materia de servicio público de justicia, función pública, régimen local y mecenazgo —apartado centésimo séptimo del art. 103— que entró en vigor el 20 de marzo de 2024, si bien contiene una redacción diferente: “cuando se apreciase el carácter abusivo de una o varias cláusulas, el auto que se dicte determinará las consecuencias de tal carácter”, no obsta, en absoluto, una interpretación conforme con la citada jurisprudencia del Tribunal de Justicia de la Unión Europea que entiende incompatible con el principio de efectividad del Derecho de la Unión, la no imposición a la parte ejecutante del pago íntegro de las costas, en virtud de la excepción de la existencia de serias dudas de Derecho (art. 394 LEC), en aquellos supuestos en los que se haya estimado íntegramente la acción de nulidad de una cláusula contractual abusiva ejercitada por el consumidor.</w:t>
      </w:r>
    </w:p>
    <w:p w14:paraId="411503F5" w14:textId="77777777" w:rsidR="00A8138F" w:rsidRDefault="00A8138F" w:rsidP="00A8138F">
      <w:pPr>
        <w:pStyle w:val="TextoNormal"/>
      </w:pPr>
    </w:p>
    <w:p w14:paraId="78B432FA" w14:textId="77777777" w:rsidR="00A8138F" w:rsidRDefault="00A8138F" w:rsidP="00A8138F">
      <w:pPr>
        <w:pStyle w:val="TextoNormal"/>
      </w:pPr>
      <w:r>
        <w:t>En este caso, la propia resolución judicial impugnada va más allá, puesto que el órgano judicial manifiesta conocer “la supremacía del Derecho comunitario, la doctrina del principio de efectividad y no vinculación al consumidor de cláusulas abusivas y la postura cuasi absoluta en materia de costas que ha derivado de la STJUE de 16 de julio de 2020 y jurisprudencia ulterior en procesos declarativos”. A pesar de ello, el órgano judicial marca distancia con el caso que nos ocupa, con el argumento de que se trata de una ejecución hipotecaria, no un declarativo. Además, sin perjuicio de ese conocimiento que declara, la Audiencia Provincial de Almería reitera en su auto que, pese a ello, no se puede olvidar que cuando se despachó la ejecución y al tiempo en que podía formularse el incidente ordinario de oposición, la cuestión sobre la nulidad de la cláusula de vencimiento anticipado y, singularmente, los efectos en una ejecución hipotecaria era jurídicamente dudosa y, esas dudas, ya resueltas, son las que posibilitaron el incidente extraordinario de oposición utilizado por la recurrente. Esto le lleva a concluir que, en el marco del art. 561 LEC en relación con el art. 394 LEC no procede imponer las costas a la ejecutante, por más que se haya estimado el incidente extraordinario de oposición.</w:t>
      </w:r>
    </w:p>
    <w:p w14:paraId="172A2CA7" w14:textId="77777777" w:rsidR="00A8138F" w:rsidRDefault="00A8138F" w:rsidP="00A8138F">
      <w:pPr>
        <w:pStyle w:val="TextoNormal"/>
      </w:pPr>
    </w:p>
    <w:p w14:paraId="527073CF" w14:textId="35523822" w:rsidR="00A8138F" w:rsidRDefault="00A8138F" w:rsidP="00A8138F">
      <w:pPr>
        <w:pStyle w:val="TextoNormal"/>
      </w:pPr>
      <w:r>
        <w:lastRenderedPageBreak/>
        <w:t xml:space="preserve">Nos encontramos, en definitiva, ante una errónea selección e interpretación de las normas aplicables en materia de costas que resulta irrazonable y no satisface las exigencias de motivación judicial fijadas en las SSTC 91/2023 y 96/2023, pronunciamientos en los que concluimos, por las razones expresadas en el fundamento anterior, que imponer al consumidor la carga de asumir el pago de una parte de las costas procesales en un procedimiento de ejecución hipotecaria, tras la declaración de nulidad de una cláusula contractual por tener carácter abusivo, infringía el principio de efectividad del Derecho europeo en materia de protección de consumidores —art. 6.1 de la Directiva 93/13/CEE— al generar un efecto disuasorio inverso que perjudica al consumidor. Se trata de criterios que ya habían sido incorporados a su jurisprudencia por la Sala de lo Civil del Tribunal Supremo en fecha anterior al pronunciamiento de las resoluciones impugnadas que, además, el órgano judicial manifiesta expresamente conocer y de los que, sin embargo, se aparta con una motivación irrazonable y contraria al derecho a la tutela judicial efectiva </w:t>
      </w:r>
      <w:r w:rsidRPr="00A8138F">
        <w:rPr>
          <w:i/>
        </w:rPr>
        <w:t>ex</w:t>
      </w:r>
      <w:r>
        <w:t xml:space="preserve"> art. 24.1 CE.</w:t>
      </w:r>
    </w:p>
    <w:p w14:paraId="70DE9FD4" w14:textId="77777777" w:rsidR="00A8138F" w:rsidRDefault="00A8138F" w:rsidP="00A8138F">
      <w:pPr>
        <w:pStyle w:val="TextoNormal"/>
      </w:pPr>
    </w:p>
    <w:p w14:paraId="7225FCC7" w14:textId="77777777" w:rsidR="00A8138F" w:rsidRDefault="00A8138F" w:rsidP="00A8138F">
      <w:pPr>
        <w:pStyle w:val="TextoNormalCentrado"/>
        <w:keepNext/>
      </w:pPr>
      <w:r>
        <w:t>FALLO</w:t>
      </w:r>
    </w:p>
    <w:p w14:paraId="3B8DD50A" w14:textId="4B32AD0F" w:rsidR="00A8138F" w:rsidRDefault="00A8138F" w:rsidP="00A8138F">
      <w:pPr>
        <w:pStyle w:val="TextoNormalCentrado"/>
        <w:keepNext/>
      </w:pPr>
    </w:p>
    <w:p w14:paraId="37FD69C4"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Fátima Ouijjane Hadry y, en su virtud:</w:t>
      </w:r>
    </w:p>
    <w:p w14:paraId="20D9235C" w14:textId="77777777" w:rsidR="00A8138F" w:rsidRDefault="00A8138F" w:rsidP="00A8138F">
      <w:pPr>
        <w:pStyle w:val="TextoNormal"/>
      </w:pPr>
    </w:p>
    <w:p w14:paraId="22B17E72" w14:textId="77777777" w:rsidR="00A8138F" w:rsidRDefault="00A8138F" w:rsidP="00A8138F">
      <w:pPr>
        <w:pStyle w:val="TextoNormal"/>
      </w:pPr>
      <w:r>
        <w:t>1º Declarar que ha sido vulnerado el derecho fundamental de la demandante de amparo a la tutela judicial efectiva (art. 24.1 CE).</w:t>
      </w:r>
    </w:p>
    <w:p w14:paraId="2BA22086" w14:textId="77777777" w:rsidR="00A8138F" w:rsidRDefault="00A8138F" w:rsidP="00A8138F">
      <w:pPr>
        <w:pStyle w:val="TextoNormal"/>
      </w:pPr>
    </w:p>
    <w:p w14:paraId="6227A321" w14:textId="77777777" w:rsidR="00A8138F" w:rsidRDefault="00A8138F" w:rsidP="00A8138F">
      <w:pPr>
        <w:pStyle w:val="TextoNormal"/>
      </w:pPr>
      <w:r>
        <w:t>2º Restablecerla en su derecho y, en consecuencia, declarar la nulidad del auto núm. 263/2023, de 23 de mayo, dictado por la Sección Primera de la Audiencia Provincial de Almería, en el recurso de apelación núm. 1011-2022, y de la providencia de 26 de junio de 2023 que inadmitió el incidente de nulidad de actuaciones promovido contra el anterior auto.</w:t>
      </w:r>
    </w:p>
    <w:p w14:paraId="061E91FC" w14:textId="77777777" w:rsidR="00A8138F" w:rsidRDefault="00A8138F" w:rsidP="00A8138F">
      <w:pPr>
        <w:pStyle w:val="TextoNormal"/>
      </w:pPr>
    </w:p>
    <w:p w14:paraId="708D7EB3" w14:textId="0875C7B8" w:rsidR="00A8138F" w:rsidRDefault="00A8138F" w:rsidP="00A8138F">
      <w:pPr>
        <w:pStyle w:val="TextoNormal"/>
      </w:pPr>
      <w:r>
        <w:t>3º Retrotraer las actuaciones al momento inmediatamente anterior al pronunciamiento de la primera de las citadas resoluciones para que el órgano judicial dicte una nueva resolución respetuosa con el derecho fundamental vulnerado.</w:t>
      </w:r>
    </w:p>
    <w:p w14:paraId="01EDA636" w14:textId="77777777" w:rsidR="00A8138F" w:rsidRDefault="00A8138F" w:rsidP="00A8138F">
      <w:pPr>
        <w:pStyle w:val="TextoNormal"/>
      </w:pPr>
    </w:p>
    <w:p w14:paraId="12C811BD" w14:textId="77777777" w:rsidR="00A8138F" w:rsidRDefault="00A8138F" w:rsidP="00A8138F">
      <w:pPr>
        <w:pStyle w:val="TextoNormal"/>
      </w:pPr>
      <w:r>
        <w:t>Publíquese esta sentencia en el “Boletín Oficial del Estado”.</w:t>
      </w:r>
    </w:p>
    <w:p w14:paraId="325A3912" w14:textId="77777777" w:rsidR="00A8138F" w:rsidRDefault="00A8138F" w:rsidP="00A8138F">
      <w:pPr>
        <w:pStyle w:val="TextoNormal"/>
      </w:pPr>
      <w:r>
        <w:t>Dada en Madrid, a veinticuatro de febrero de dos mil veinticinco.</w:t>
      </w:r>
    </w:p>
    <w:p w14:paraId="66EB80A5" w14:textId="73B33379" w:rsidR="00A8138F" w:rsidRDefault="00A8138F">
      <w:pPr>
        <w:spacing w:after="160" w:line="278" w:lineRule="auto"/>
        <w:rPr>
          <w:rFonts w:ascii="Times New Roman" w:eastAsia="Times New Roman" w:hAnsi="Times New Roman" w:cs="Times New Roman"/>
          <w:sz w:val="24"/>
          <w:szCs w:val="24"/>
          <w:lang w:eastAsia="es-ES"/>
        </w:rPr>
      </w:pPr>
      <w:r>
        <w:br w:type="page"/>
      </w:r>
    </w:p>
    <w:p w14:paraId="21144426" w14:textId="77777777" w:rsidR="00A8138F" w:rsidRDefault="00A8138F" w:rsidP="00A8138F">
      <w:pPr>
        <w:pStyle w:val="TtuloResolucin"/>
      </w:pPr>
      <w:bookmarkStart w:id="48" w:name="SENTENCIA_2025_46"/>
      <w:r>
        <w:lastRenderedPageBreak/>
        <w:t>SENTENCIA 46/2025, de 24 de febrero de 2025</w:t>
      </w:r>
    </w:p>
    <w:bookmarkEnd w:id="48"/>
    <w:p w14:paraId="56088231" w14:textId="77777777" w:rsidR="00A8138F" w:rsidRDefault="00A8138F" w:rsidP="00A8138F">
      <w:pPr>
        <w:pStyle w:val="TtuloResolucin"/>
      </w:pPr>
      <w:r>
        <w:t>Sala Segunda</w:t>
      </w:r>
    </w:p>
    <w:p w14:paraId="589EF0F0" w14:textId="77777777" w:rsidR="00A8138F" w:rsidRDefault="00A8138F" w:rsidP="00A8138F">
      <w:pPr>
        <w:pStyle w:val="TtuloBOE"/>
      </w:pPr>
      <w:r>
        <w:t>(BOE núm. 78, de 1 de abril de 2025)</w:t>
      </w:r>
    </w:p>
    <w:p w14:paraId="557B67B4" w14:textId="77777777" w:rsidR="00A8138F" w:rsidRDefault="00A8138F" w:rsidP="00A8138F">
      <w:pPr>
        <w:pStyle w:val="TextoNormalCentrado"/>
      </w:pPr>
      <w:r>
        <w:t>ECLI:ES:TC:2025:46</w:t>
      </w:r>
    </w:p>
    <w:p w14:paraId="35D8C614" w14:textId="5833C78E" w:rsidR="00A8138F" w:rsidRDefault="00A8138F" w:rsidP="00A8138F">
      <w:pPr>
        <w:pStyle w:val="TextoNormalCentrado"/>
      </w:pPr>
    </w:p>
    <w:p w14:paraId="36BDE5E0" w14:textId="77777777" w:rsidR="00A8138F" w:rsidRDefault="00A8138F" w:rsidP="00A8138F">
      <w:pPr>
        <w:pStyle w:val="SntesisDescriptiva"/>
      </w:pPr>
      <w:r>
        <w:t>Recurso de amparo 911-2024. Promovido por doña Iratxe Pérez Urdiales en relación con las resoluciones administrativas y judiciales que desestimaron su petición de revisión y ampliación de la prestación por nacimiento y cuidado de hijo menor, como madre biológica de familia monoparental.</w:t>
      </w:r>
    </w:p>
    <w:p w14:paraId="6D486E41" w14:textId="285DEF9B" w:rsidR="00A8138F" w:rsidRDefault="00A8138F" w:rsidP="00A8138F">
      <w:pPr>
        <w:pStyle w:val="SntesisDescriptiva"/>
      </w:pPr>
    </w:p>
    <w:p w14:paraId="1ECE61D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0700173" w14:textId="028AB856" w:rsidR="00A8138F" w:rsidRDefault="00A8138F" w:rsidP="00A8138F">
      <w:pPr>
        <w:pStyle w:val="SntesisAnaltica"/>
      </w:pPr>
    </w:p>
    <w:p w14:paraId="12C903E3" w14:textId="44A6CFB1"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4D241801" w14:textId="77777777" w:rsidR="00A8138F" w:rsidRDefault="00A8138F" w:rsidP="00A8138F">
      <w:pPr>
        <w:pStyle w:val="Extracto"/>
      </w:pPr>
    </w:p>
    <w:p w14:paraId="7AAEA223" w14:textId="77777777" w:rsidR="00A8138F" w:rsidRDefault="00A8138F" w:rsidP="00A8138F">
      <w:pPr>
        <w:pStyle w:val="Extracto"/>
      </w:pPr>
    </w:p>
    <w:p w14:paraId="710E9CAD"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6486F45" w14:textId="5F8AF610" w:rsidR="00A8138F" w:rsidRDefault="00A8138F" w:rsidP="00A8138F">
      <w:pPr>
        <w:pStyle w:val="TextoNormal"/>
      </w:pPr>
    </w:p>
    <w:p w14:paraId="58AE32EA" w14:textId="77777777" w:rsidR="00A8138F" w:rsidRDefault="00A8138F" w:rsidP="00A8138F">
      <w:pPr>
        <w:pStyle w:val="TextoNormalCentrado"/>
        <w:keepNext/>
      </w:pPr>
      <w:r>
        <w:t>EN NOMBRE DEL REY</w:t>
      </w:r>
    </w:p>
    <w:p w14:paraId="172CAF22" w14:textId="28477708" w:rsidR="00A8138F" w:rsidRDefault="00A8138F" w:rsidP="00A8138F">
      <w:pPr>
        <w:pStyle w:val="TextoNormalCentrado"/>
        <w:keepNext/>
      </w:pPr>
    </w:p>
    <w:p w14:paraId="23ACE73D" w14:textId="77777777" w:rsidR="00A8138F" w:rsidRDefault="00A8138F" w:rsidP="00A8138F">
      <w:pPr>
        <w:pStyle w:val="TextoNormalCentrado"/>
        <w:keepNext/>
      </w:pPr>
    </w:p>
    <w:p w14:paraId="5DB47FBF" w14:textId="77777777" w:rsidR="00A8138F" w:rsidRDefault="00A8138F" w:rsidP="00A8138F">
      <w:pPr>
        <w:pStyle w:val="TextoNormal"/>
      </w:pPr>
      <w:r>
        <w:t>la siguiente</w:t>
      </w:r>
    </w:p>
    <w:p w14:paraId="40D58EF6" w14:textId="5BDA3873" w:rsidR="00A8138F" w:rsidRDefault="00A8138F" w:rsidP="00A8138F">
      <w:pPr>
        <w:pStyle w:val="TextoNormal"/>
      </w:pPr>
    </w:p>
    <w:p w14:paraId="2387D200" w14:textId="77777777" w:rsidR="00A8138F" w:rsidRDefault="00A8138F" w:rsidP="00A8138F">
      <w:pPr>
        <w:pStyle w:val="TextoNormalCentrado"/>
        <w:keepNext/>
      </w:pPr>
      <w:r>
        <w:t>SENTENCIA</w:t>
      </w:r>
    </w:p>
    <w:p w14:paraId="4F8AD5DB" w14:textId="1C3B21AE" w:rsidR="00A8138F" w:rsidRDefault="00A8138F" w:rsidP="00A8138F">
      <w:pPr>
        <w:pStyle w:val="TextoNormalCentrado"/>
        <w:keepNext/>
      </w:pPr>
    </w:p>
    <w:p w14:paraId="02663473" w14:textId="77777777" w:rsidR="00A8138F" w:rsidRDefault="00A8138F" w:rsidP="00A8138F">
      <w:pPr>
        <w:pStyle w:val="TextoNormal"/>
      </w:pPr>
      <w:r>
        <w:t>En el recurso de amparo núm. 911-2024, promovido por doña Iratxe Pérez Urdiales, representada por la procuradora de los tribunales doña Esperanza Azpetia Calvin y bajo la dirección de la letrada doña Maider Katti Aguirre Lizarraga, contra las resoluciones del Instituto Nacional de la Seguridad Social de 18 de diciembre de 2020 y de 20 de enero de 2021 por las que respectivamente se denegó la concesión de doce semanas de prestación por nacimiento y cuidado del menor y, se rechazó la reclamación previa formulada; así como contra las sentencias núm. 311/2021 del Juzgado de lo Social núm. 3 de Bilbao, de 18 de junio de 2021 (autos 133-2021) y contra la sentencia 1263/2023 de la Sala de lo Social del Tribunal Supremo de 21 de diciembre de 2023, que estima el recurso de casación para la unificación de doctrina núm. 2303-2022. Ha intervenido el Ministerio Fiscal. Se han personado y formulado alegaciones el Instituto Nacional de la Seguridad Social y la Tesorería General de la Seguridad Social. Ha sido ponente el magistrado don César Tolosa Tribiño.</w:t>
      </w:r>
    </w:p>
    <w:p w14:paraId="01E790DE" w14:textId="7F97ECD9" w:rsidR="00A8138F" w:rsidRDefault="00A8138F" w:rsidP="00A8138F">
      <w:pPr>
        <w:pStyle w:val="TextoNormal"/>
      </w:pPr>
    </w:p>
    <w:p w14:paraId="69A00954" w14:textId="77777777" w:rsidR="00A8138F" w:rsidRDefault="00A8138F" w:rsidP="00A8138F">
      <w:pPr>
        <w:pStyle w:val="TextoNormalNegritaCentrado"/>
        <w:keepNext/>
      </w:pPr>
      <w:r>
        <w:lastRenderedPageBreak/>
        <w:t>I. Antecedentes</w:t>
      </w:r>
    </w:p>
    <w:p w14:paraId="64CB788D" w14:textId="6CDCB1DB" w:rsidR="00A8138F" w:rsidRDefault="00A8138F" w:rsidP="00A8138F">
      <w:pPr>
        <w:pStyle w:val="TextoNormalNegritaCentrado"/>
        <w:keepNext/>
      </w:pPr>
    </w:p>
    <w:p w14:paraId="65E99591" w14:textId="4D1BBBA9" w:rsidR="00A8138F" w:rsidRDefault="00A8138F" w:rsidP="00A8138F">
      <w:pPr>
        <w:pStyle w:val="TextoNormal"/>
      </w:pPr>
      <w:r w:rsidRPr="00A8138F">
        <w:rPr>
          <w:rStyle w:val="NumeroAFNegritaCaracter"/>
        </w:rPr>
        <w:t>1</w:t>
      </w:r>
      <w:r>
        <w:t>. El 9 de febrero de 2024, doña Iratxe Pérez Urdiales, con la representación y defensa indicadas, interpuso recurso de amparo contra las resoluciones del Instituto Nacional de la Seguridad Social (INSS) y judiciales referidas en el encabezamiento.</w:t>
      </w:r>
    </w:p>
    <w:p w14:paraId="29A2708D" w14:textId="77777777" w:rsidR="00A8138F" w:rsidRDefault="00A8138F" w:rsidP="00A8138F">
      <w:pPr>
        <w:pStyle w:val="TextoNormal"/>
      </w:pPr>
    </w:p>
    <w:p w14:paraId="213C8ECE"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3244E7DD" w14:textId="77777777" w:rsidR="00A8138F" w:rsidRDefault="00A8138F" w:rsidP="00A8138F">
      <w:pPr>
        <w:pStyle w:val="TextoNormal"/>
      </w:pPr>
    </w:p>
    <w:p w14:paraId="045D2773" w14:textId="77777777" w:rsidR="00A8138F" w:rsidRDefault="00A8138F" w:rsidP="00A8138F">
      <w:pPr>
        <w:pStyle w:val="TextoNormal"/>
      </w:pPr>
      <w:r>
        <w:t>a) La demandante de amparo, con motivo del nacimiento de su hijo, el 8 de agosto de 2020, en el seno de una familia monoparental, solicitó la prestación por nacimiento y cuidado del menor. El INSS, por resolución de 22 de agosto de 2020, le reconoció dieciséis semanas de prestación.</w:t>
      </w:r>
    </w:p>
    <w:p w14:paraId="31A70990" w14:textId="77777777" w:rsidR="00A8138F" w:rsidRDefault="00A8138F" w:rsidP="00A8138F">
      <w:pPr>
        <w:pStyle w:val="TextoNormal"/>
      </w:pPr>
    </w:p>
    <w:p w14:paraId="592C452B" w14:textId="77777777" w:rsidR="00A8138F" w:rsidRDefault="00A8138F" w:rsidP="00A8138F">
      <w:pPr>
        <w:pStyle w:val="TextoNormal"/>
      </w:pPr>
      <w:r>
        <w:t>b) Posteriormente interesó que se le reconocieran adicionalmente doce semanas más de prestación por nacimiento y cuidado de su hijo que se prevén para progenitor distinto de la madre biológica en el art 48.4 del texto refundido de la Ley del estatuto de los trabajadores, aprobado por Real Decreto Legislativo 2/2015, de 23 de octubre (LET). Dicha solicitud fue desestimada por resolución del INSS de 18 de diciembre de 2020. Frente a la misma, doña Iratxe Pérez Urdiales presentó reclamación previa que fue desestimada por otra resolución del INSS de 20 de enero de 2021.</w:t>
      </w:r>
    </w:p>
    <w:p w14:paraId="7C4C28A8" w14:textId="77777777" w:rsidR="00A8138F" w:rsidRDefault="00A8138F" w:rsidP="00A8138F">
      <w:pPr>
        <w:pStyle w:val="TextoNormal"/>
      </w:pPr>
    </w:p>
    <w:p w14:paraId="75B561F9" w14:textId="77777777" w:rsidR="00A8138F" w:rsidRDefault="00A8138F" w:rsidP="00A8138F">
      <w:pPr>
        <w:pStyle w:val="TextoNormal"/>
      </w:pPr>
      <w:r>
        <w:t>c) La demandante de amparo, el 3 de febrero de 2021, interpuso demanda frente al INSS y la Tesorería General de la Seguridad Social (TGSS), interesando el reconocimiento del permiso por nacimiento y cuidado del menor en doce semanas adicionales que le hubieran correspondido al otro progenitor distinto de la madre biológica.</w:t>
      </w:r>
    </w:p>
    <w:p w14:paraId="23FAC4AF" w14:textId="77777777" w:rsidR="00A8138F" w:rsidRDefault="00A8138F" w:rsidP="00A8138F">
      <w:pPr>
        <w:pStyle w:val="TextoNormal"/>
      </w:pPr>
    </w:p>
    <w:p w14:paraId="66346856" w14:textId="77777777" w:rsidR="00A8138F" w:rsidRDefault="00A8138F" w:rsidP="00A8138F">
      <w:pPr>
        <w:pStyle w:val="TextoNormal"/>
      </w:pPr>
      <w:r>
        <w:t>d) Tras la correspondiente tramitación el Juzgado de lo Social núm. 3 de Bilbao dictó sentencia el 18 de junio de 2021 en la que estimó parcialmente la demanda reconociendo la ampliación de la prestación en ocho semanas adicionales. En su fundamentación se refiere a la aplicación paulatina del art. 48 LET conforme a lo dispuesto en el Real Decreto-ley 6/2019, de 1 de marzo, de medidas urgentes para garantía de la igualdad de trato y de oportunidades entre mujeres y hombres en el empleo y la ocupación. Glosa extensamente la sentencia de la Sala de lo Social del Tribunal Superior de Justicia del País Vasco de 6 de octubre de 2020 (ECLI:ES:TSJPV:2020:396) y tras ello concluye que procede la estimación de la demanda. Si bien entiende que las semanas que deben disfrutarse inmediatamente al parto concurrentes con el otro progenitor no pretenden atender al cuidado del niño, sino que se deben a la corresponsabilidad del otro progenitor, por lo que, siendo el hecho causante en el año 2020, procede que la estimación se deba limitar a ocho semanas.</w:t>
      </w:r>
    </w:p>
    <w:p w14:paraId="51929831" w14:textId="77777777" w:rsidR="00A8138F" w:rsidRDefault="00A8138F" w:rsidP="00A8138F">
      <w:pPr>
        <w:pStyle w:val="TextoNormal"/>
      </w:pPr>
    </w:p>
    <w:p w14:paraId="2D285D1C" w14:textId="77777777" w:rsidR="00A8138F" w:rsidRDefault="00A8138F" w:rsidP="00A8138F">
      <w:pPr>
        <w:pStyle w:val="TextoNormal"/>
      </w:pPr>
      <w:r>
        <w:t>e) Frente a dicha sentencia tanto la demandante de amparo como el INSS interpusieron recurso de suplicación. Por sentencia núm. 260/2022, de 8 de febrero, dictada por la Sala de lo Social del Tribunal Superior de Justicia del País Vasco, se revocó parcialmente la sentencia de instancia y se reconoció la ampliación del permiso por nacimiento y cuidado de hijo en cuatro semanas adicionales a las ocho semanas reconocidas en la instancia, esto es, en doce semanas.</w:t>
      </w:r>
    </w:p>
    <w:p w14:paraId="1B6C50C2" w14:textId="77777777" w:rsidR="00A8138F" w:rsidRDefault="00A8138F" w:rsidP="00A8138F">
      <w:pPr>
        <w:pStyle w:val="TextoNormal"/>
      </w:pPr>
    </w:p>
    <w:p w14:paraId="717F1775" w14:textId="77777777" w:rsidR="00A8138F" w:rsidRDefault="00A8138F" w:rsidP="00A8138F">
      <w:pPr>
        <w:pStyle w:val="TextoNormal"/>
      </w:pPr>
      <w:r>
        <w:lastRenderedPageBreak/>
        <w:t>f) Contra dicha sentencia se interpuso por el INSS recurso de casación para la unificación de doctrina. Dicho recurso fue estimado por la sentencia núm. 1263/2023 de 21 de diciembre de la Sala de lo Social del Tribunal Supremo, que anuló la sentencia de la Sala de lo Social del Tribunal Superior de Justicia del País Vasco y resolvió el debate planteado en suplicación. En consecuencia, desestimó la demanda y absolvió a la parte demandada, argumentando que “[l]a controversia litigiosa se abordó en la sentencia núm. 169/2023, de 2 de marzo, recurso de casación para la unificación de doctrina 3972/2020, de esta Sala, seguida por otra, la sentencia núm. 434/2023, de 14 de junio, recurso de casación para la unificación de doctrina 1642/2022 y otras muchas posteriores que por razones de seguridad jurídica, debemos mantener”.</w:t>
      </w:r>
    </w:p>
    <w:p w14:paraId="13B570A6" w14:textId="77777777" w:rsidR="00A8138F" w:rsidRDefault="00A8138F" w:rsidP="00A8138F">
      <w:pPr>
        <w:pStyle w:val="TextoNormal"/>
      </w:pPr>
    </w:p>
    <w:p w14:paraId="426E830A" w14:textId="77777777" w:rsidR="00A8138F" w:rsidRDefault="00A8138F" w:rsidP="00A8138F">
      <w:pPr>
        <w:pStyle w:val="TextoNormal"/>
      </w:pPr>
      <w:r>
        <w:t>La sentencia sintetiza las razones expuestas en las referidas sentencias del Tribunal Supremo. Trascribe buena parte de su contenido y niega que la normativa reguladora de la materia sea contraria a la letra o al espíritu de la Constitución o que se sitúe al margen de la normativa internacional. Recuerda que conforme a la doctrina constitucional (STC 75/2011, de 19 de mayo, entre otras), es el legislador quien fija el nivel y condiciones de las prestaciones a efectuar o las modificaciones para adaptarlas a las necesidades del momento. Señala que el legislador ha pretendido evitar que el disfrute de los derechos de conciliación y la protección dispensada en estos casos perpetúe roles de género que no se corresponden con la situación social actual ni mucho menos con el principio de igualdad que sustenta todo el ordenamiento jurídico. El resultado de dicha ponderación es la normativa vigente, que no puede ser obviada por el intérprete y aplicador de la ley si se tiene en cuenta que estamos ante una regulación concreta que respeta la letra y el espíritu de la Constitución y el resto de las normas internacionales.</w:t>
      </w:r>
    </w:p>
    <w:p w14:paraId="0CF5E469" w14:textId="77777777" w:rsidR="00A8138F" w:rsidRDefault="00A8138F" w:rsidP="00A8138F">
      <w:pPr>
        <w:pStyle w:val="TextoNormal"/>
      </w:pPr>
    </w:p>
    <w:p w14:paraId="2C0097B9" w14:textId="4B694445" w:rsidR="00A8138F" w:rsidRDefault="00A8138F" w:rsidP="00A8138F">
      <w:pPr>
        <w:pStyle w:val="TextoNormal"/>
      </w:pPr>
      <w:r>
        <w:t>Destaca que el legislador social no ha olvidado a las familias monoparentales ya que en el supuesto de que en caso de parto no tenga cotización mínima suficiente se le conceden cuarenta y dos días naturales de prestación que se incrementa en catorce días adicionales en los caos de familias monoparentales [art. 182.3 b) del texto refundido de la Ley General de la Seguridad Social (LGSS), aprobado por el Real Decreto Legislativo 8/2015, de 30 de octubre].</w:t>
      </w:r>
    </w:p>
    <w:p w14:paraId="0BCD3302" w14:textId="77777777" w:rsidR="00A8138F" w:rsidRDefault="00A8138F" w:rsidP="00A8138F">
      <w:pPr>
        <w:pStyle w:val="TextoNormal"/>
      </w:pPr>
    </w:p>
    <w:p w14:paraId="333943D2" w14:textId="77777777" w:rsidR="00A8138F" w:rsidRDefault="00A8138F" w:rsidP="00A8138F">
      <w:pPr>
        <w:pStyle w:val="TextoNormal"/>
      </w:pPr>
      <w:r w:rsidRPr="00A8138F">
        <w:rPr>
          <w:rStyle w:val="NumeroAFNegritaCaracter"/>
        </w:rPr>
        <w:t>3</w:t>
      </w:r>
      <w:r>
        <w:t>. En la demanda de amparo se solicita que se declare vulnerado el derecho a la igualdad en la ley y a la no discriminación directa por circunstancia personal y familiar e indirecta por razón de sexo (art 14 CE en relación con los arts. 39 y 9.2 CE). También interesa la nulidad de las resoluciones del INSS y de la sentencia dictada por la Sala de lo Social del Tribunal Supremo, así como que se retrotraigan las actuaciones al momento previo al dictado de la resolución del INSS de 18 de diciembre de 2020 para que se dicte otra resolución respetuosa con los derechos fundamentales de la recurrente.</w:t>
      </w:r>
    </w:p>
    <w:p w14:paraId="0917B06C" w14:textId="77777777" w:rsidR="00A8138F" w:rsidRDefault="00A8138F" w:rsidP="00A8138F">
      <w:pPr>
        <w:pStyle w:val="TextoNormal"/>
      </w:pPr>
    </w:p>
    <w:p w14:paraId="06B32F81" w14:textId="77777777" w:rsidR="00A8138F" w:rsidRDefault="00A8138F" w:rsidP="00A8138F">
      <w:pPr>
        <w:pStyle w:val="TextoNormal"/>
      </w:pPr>
      <w:r>
        <w:t>La demandante añade que para el caso de que el Tribunal entendiera que la estimación del presente recurso de amparo precisara de la declaración de inconstitucionalidad del art. 48 LET, se eleve al Pleno cuestión de inconstitucionalidad en relación con el citado precepto legal.</w:t>
      </w:r>
    </w:p>
    <w:p w14:paraId="53895333" w14:textId="77777777" w:rsidR="00A8138F" w:rsidRDefault="00A8138F" w:rsidP="00A8138F">
      <w:pPr>
        <w:pStyle w:val="TextoNormal"/>
      </w:pPr>
    </w:p>
    <w:p w14:paraId="7A429543" w14:textId="77777777" w:rsidR="00A8138F" w:rsidRDefault="00A8138F" w:rsidP="00A8138F">
      <w:pPr>
        <w:pStyle w:val="TextoNormal"/>
      </w:pPr>
      <w:r>
        <w:t>La demanda considera que las resoluciones administrativas han vulnerado su derecho fundamental a la igualdad (art. 14 CE) en relación con el art. 39 CE, desde tres perspectivas distintas:</w:t>
      </w:r>
    </w:p>
    <w:p w14:paraId="2D899929" w14:textId="77777777" w:rsidR="00A8138F" w:rsidRDefault="00A8138F" w:rsidP="00A8138F">
      <w:pPr>
        <w:pStyle w:val="TextoNormal"/>
      </w:pPr>
    </w:p>
    <w:p w14:paraId="1936E3F1" w14:textId="77777777" w:rsidR="00A8138F" w:rsidRDefault="00A8138F" w:rsidP="00A8138F">
      <w:pPr>
        <w:pStyle w:val="TextoNormal"/>
      </w:pPr>
      <w:r>
        <w:t>a) Discriminación entre madres y menores integrantes en familias monoparentales y biparentales basada en una formalista y restrictiva interpretación del art. 48.4.2 LET, sin que exista una justificación objetiva y razonable desde la perspectiva del art. 14 CE. Dicha interpretación causa perjuicios incuestionables en el ámbito familiar consistentes en la drástica reducción hasta casi su mitad de los cuidados de los menores de doce meses nacidos en familias monoparentales. Con apoyo en diversos instrumentos internacionales y en el reconocimiento del interés superior del menor, destaca que las decisiones administrativas han provocado una desigualdad entre progenitoras de las familias monoparentales y biparentales y en consecuencia entre los hijos que las integran, contraria a los valores del art. 39 CE.</w:t>
      </w:r>
    </w:p>
    <w:p w14:paraId="6CE8DEE6" w14:textId="77777777" w:rsidR="00A8138F" w:rsidRDefault="00A8138F" w:rsidP="00A8138F">
      <w:pPr>
        <w:pStyle w:val="TextoNormal"/>
      </w:pPr>
    </w:p>
    <w:p w14:paraId="073D6EFA" w14:textId="77777777" w:rsidR="00A8138F" w:rsidRDefault="00A8138F" w:rsidP="00A8138F">
      <w:pPr>
        <w:pStyle w:val="TextoNormal"/>
      </w:pPr>
      <w:r>
        <w:t>b) Discriminación directa por circunstancias personales y familiares (arts. 14 y 39 CE), en tanto que se ocasiona una discriminación a la recurrente por su decisión, vinculada con las convicciones y creencias más íntimas de la persona de formar una familia monoparental, pues se le deniega el permiso por nacimiento y cuidado del menor en las semanas que le hubiera correspondido al otro progenitor, lo que es contrario a la dignidad de la persona y a su libre autodeterminación y a los derechos inviolables que le son inherentes. La discriminación se produce porque a la progenitora de familia monoparental se le ofrece un trato igual que a la de la familia biparental pese a que ambas realidades son distintas. El perjuicio causado extiende sus efectos a la inobservancia del interés superior del menor. Se obvia el mandato de protección a la familia, pues la corresponsabilidad perseguida no es predicable cuando existe una única progenitora.</w:t>
      </w:r>
    </w:p>
    <w:p w14:paraId="09B138C7" w14:textId="77777777" w:rsidR="00A8138F" w:rsidRDefault="00A8138F" w:rsidP="00A8138F">
      <w:pPr>
        <w:pStyle w:val="TextoNormal"/>
      </w:pPr>
    </w:p>
    <w:p w14:paraId="2F7D05F0" w14:textId="0333C79D" w:rsidR="00A8138F" w:rsidRDefault="00A8138F" w:rsidP="00A8138F">
      <w:pPr>
        <w:pStyle w:val="TextoNormal"/>
      </w:pPr>
      <w:r>
        <w:t>c) Por último sostiene que existe una discriminación indirecta por razón de sexo de la demandante de amparo. Afirma que frente a una norma neutra que afecta por igual a familias monoparentales formadas por hombres o mujeres, desde el punto de vista estadístico afecta mayoritariamente a las mujeres que son las que forman un porcentaje elevado las familias monoparentales.</w:t>
      </w:r>
    </w:p>
    <w:p w14:paraId="0F1E7CC4" w14:textId="77777777" w:rsidR="00A8138F" w:rsidRDefault="00A8138F" w:rsidP="00A8138F">
      <w:pPr>
        <w:pStyle w:val="TextoNormal"/>
      </w:pPr>
    </w:p>
    <w:p w14:paraId="1EA7B317" w14:textId="7B3083A8" w:rsidR="00A8138F" w:rsidRDefault="00A8138F" w:rsidP="00A8138F">
      <w:pPr>
        <w:pStyle w:val="TextoNormal"/>
      </w:pPr>
      <w:r w:rsidRPr="00A8138F">
        <w:rPr>
          <w:rStyle w:val="NumeroAFNegritaCaracter"/>
        </w:rPr>
        <w:t>4</w:t>
      </w:r>
      <w:r>
        <w:t>. La Sección Tercera de este tribunal, mediante providencia de 21 de octubre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igualmente dirigir atenta comunicación a la Sala de lo Social del Tribunal Supremo y del Tribunal Superior de Justicia del País Vasco, y al Juzgado de lo Social núm. 3 de Bilbao,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 si lo deseaban.</w:t>
      </w:r>
    </w:p>
    <w:p w14:paraId="660BEA99" w14:textId="77777777" w:rsidR="00A8138F" w:rsidRDefault="00A8138F" w:rsidP="00A8138F">
      <w:pPr>
        <w:pStyle w:val="TextoNormal"/>
      </w:pPr>
    </w:p>
    <w:p w14:paraId="22E17A0C" w14:textId="77777777" w:rsidR="00A8138F" w:rsidRDefault="00A8138F" w:rsidP="00A8138F">
      <w:pPr>
        <w:pStyle w:val="TextoNormal"/>
      </w:pPr>
      <w:r w:rsidRPr="00A8138F">
        <w:rPr>
          <w:rStyle w:val="NumeroAFNegritaCaracter"/>
        </w:rPr>
        <w:t>5</w:t>
      </w:r>
      <w:r>
        <w:t>. La letrada de la administración de la Seguridad Social, con fecha 9 de enero de 2025, presentó sus alegaciones en las que solicita que se tenga por realizado el allanamiento a la demanda.</w:t>
      </w:r>
    </w:p>
    <w:p w14:paraId="7AFA9BA5" w14:textId="77777777" w:rsidR="00A8138F" w:rsidRDefault="00A8138F" w:rsidP="00A8138F">
      <w:pPr>
        <w:pStyle w:val="TextoNormal"/>
      </w:pPr>
    </w:p>
    <w:p w14:paraId="16135F42" w14:textId="77777777" w:rsidR="00A8138F" w:rsidRDefault="00A8138F" w:rsidP="00A8138F">
      <w:pPr>
        <w:pStyle w:val="TextoNormal"/>
      </w:pPr>
      <w:r>
        <w:t xml:space="preserve">En tal sentido se hace eco de los recientes pronunciamientos del Tribunal Constitucional por los que tras estimar la cuestión de inconstitucionalidad núm. 6694-2023 planteada por </w:t>
      </w:r>
      <w:r>
        <w:lastRenderedPageBreak/>
        <w:t>la Sala de lo Social del Tribunal Superior de Justicia de Cataluña en relación con el art. 48, apartados 4, 5 y 6 LET en conexión con el art. 177 LGSS que declaró inconstitucionales los citados preceptos, se dictaron sentencias en los recursos de amparo núm. 1084-2024, 1880-2024, 1845-2024 y 6078-2023 estimando las demandas presentadas conforme al pronunciamiento de la STC 140/2024, de 6 de noviembre.</w:t>
      </w:r>
    </w:p>
    <w:p w14:paraId="5309A3CD" w14:textId="77777777" w:rsidR="00A8138F" w:rsidRDefault="00A8138F" w:rsidP="00A8138F">
      <w:pPr>
        <w:pStyle w:val="TextoNormal"/>
      </w:pPr>
    </w:p>
    <w:p w14:paraId="4B46BD6D" w14:textId="5CFCD394" w:rsidR="00A8138F" w:rsidRDefault="00A8138F" w:rsidP="00A8138F">
      <w:pPr>
        <w:pStyle w:val="TextoNormal"/>
      </w:pPr>
      <w:r>
        <w:t>A la vista de dichas sentencias, la dirección del servicio jurídico de la Seguridad Social dictó la instrucción 10/2024, de 23 de diciembre de 2024, autorizó al servicio jurídico delegado central en el INSS para allanarse en los recursos de amparo pendientes ante el Tribunal Constitucional que resulten afectados por lo establecido en el fundamento jurídico séptimo de la STC 140/2024, de 6 de noviembre, lo que sucede en el presente recurso.</w:t>
      </w:r>
    </w:p>
    <w:p w14:paraId="4349C9CC" w14:textId="77777777" w:rsidR="00A8138F" w:rsidRDefault="00A8138F" w:rsidP="00A8138F">
      <w:pPr>
        <w:pStyle w:val="TextoNormal"/>
      </w:pPr>
    </w:p>
    <w:p w14:paraId="309A528C" w14:textId="3E8D5982" w:rsidR="00A8138F" w:rsidRDefault="00A8138F" w:rsidP="00A8138F">
      <w:pPr>
        <w:pStyle w:val="TextoNormal"/>
      </w:pPr>
      <w:r w:rsidRPr="00A8138F">
        <w:rPr>
          <w:rStyle w:val="NumeroAFNegritaCaracter"/>
        </w:rPr>
        <w:t>6</w:t>
      </w:r>
      <w:r>
        <w:t>. El 9 de enero de 2025, la representación procesal de la demandante presentó sus alegaciones en las que ratificó el fundamento de su pretensión de amparo e insistió en los argumentos expuestos en la demanda de amparo, con expresa referencia a la STC 140/2024 de 6 de noviembre.</w:t>
      </w:r>
    </w:p>
    <w:p w14:paraId="1F5D23EC" w14:textId="77777777" w:rsidR="00A8138F" w:rsidRDefault="00A8138F" w:rsidP="00A8138F">
      <w:pPr>
        <w:pStyle w:val="TextoNormal"/>
      </w:pPr>
    </w:p>
    <w:p w14:paraId="3FF6A518" w14:textId="77777777" w:rsidR="00A8138F" w:rsidRDefault="00A8138F" w:rsidP="00A8138F">
      <w:pPr>
        <w:pStyle w:val="TextoNormal"/>
      </w:pPr>
      <w:r w:rsidRPr="00A8138F">
        <w:rPr>
          <w:rStyle w:val="NumeroAFNegritaCaracter"/>
        </w:rPr>
        <w:t>7</w:t>
      </w:r>
      <w:r>
        <w:t>. El Ministerio Fiscal, mediante escrito presentado el 13 de febrero de 2025, interesó la estimación del recurso de amparo por vulneración del derecho de la recurrente y de su hijo menor a la igualdad y a la no discriminación por razón de nacimiento, en relación con la protección integral de los hijos, con independencia de su filiación y conforme a lo previsto en los convenios internacionales que velan por sus derechos (art. 14 CE en relación con el art. 39 CE). Asimismo, que se declare la nulidad de la sentencia núm. 1263/2023, de 21 de diciembre, de la Sala de lo Social del Tribunal Supremo, en el recurso de casación para la unificación de doctrina núm. 2303-2022, con retroacción para que por la misma Sala se dicte una nueva resolución respetando el derecho fundamental vulnerado.</w:t>
      </w:r>
    </w:p>
    <w:p w14:paraId="4997B81E" w14:textId="77777777" w:rsidR="00A8138F" w:rsidRDefault="00A8138F" w:rsidP="00A8138F">
      <w:pPr>
        <w:pStyle w:val="TextoNormal"/>
      </w:pPr>
    </w:p>
    <w:p w14:paraId="1048A4C5" w14:textId="77777777" w:rsidR="00A8138F" w:rsidRDefault="00A8138F" w:rsidP="00A8138F">
      <w:pPr>
        <w:pStyle w:val="TextoNormal"/>
      </w:pPr>
      <w:r>
        <w:t>El fiscal considera que procede la estimación del recurso, pues al aplicar los arts. 48.4 LET y 177 LGSS, recientemente declarados inconstitucionales (STC 140/2024 de 6 de noviembre) las resoluciones impugnadas han producido la discriminación prohibida por el art. 14.1 CE, tanto de la demandante de amparo por constituir una familia monoparental, (por razón del modelo de familia), como del hijo por razón de nacimiento.</w:t>
      </w:r>
    </w:p>
    <w:p w14:paraId="02966094" w14:textId="77777777" w:rsidR="00A8138F" w:rsidRDefault="00A8138F" w:rsidP="00A8138F">
      <w:pPr>
        <w:pStyle w:val="TextoNormal"/>
      </w:pPr>
    </w:p>
    <w:p w14:paraId="217DE975" w14:textId="548C7D04" w:rsidR="00A8138F" w:rsidRDefault="00A8138F" w:rsidP="00A8138F">
      <w:pPr>
        <w:pStyle w:val="TextoNormal"/>
      </w:pPr>
      <w:r>
        <w:t>El escrito se detiene a examinar el alcance del pronunciamiento e indica que no procede acceder a la petición de la demandante, que interesa la retroacción de las actuaciones hasta la primera resolución dictada por el INSS, teniendo en cuenta que dichas resoluciones ya han sido anuladas por la sentencia dictada por el Juzgado de lo Social núm. 3 de Bilbao y la sentencia núm. 260/2022, dictada por el Tribunal Superior de Justicia del País Vasco de 8 de febrero. En dichas resoluciones, se estimó la demanda de la recurrente y se declaró su derecho a la ampliación de la prestación en términos correspondientes a los que se recogen en el citado fundamento jurídico 7 de la STC 140/2024, argumentando, además, en lo relativo a la infracción del derecho fundamental del art. 14 CE y la existencia de discriminación o diferencia de trato vulneradora del derecho a la igualdad en el tenor literal del art. 48.4 LET en relación con el art. 177 LGSS, de modo coincidente en lo esencial con la de la doctrina constitucional emanada de la citada sentencia del Tribunal Constitucional. Es por ello por lo que procede acordar la anulación de la sentencia dictada por el Tribunal Supremo, y que se retrotraigan las actuaciones al momento previo para el dictado de una sentencia respetuosa con el derecho fundamental vulnerado.</w:t>
      </w:r>
    </w:p>
    <w:p w14:paraId="4BD1F8D9" w14:textId="77777777" w:rsidR="00A8138F" w:rsidRDefault="00A8138F" w:rsidP="00A8138F">
      <w:pPr>
        <w:pStyle w:val="TextoNormal"/>
      </w:pPr>
    </w:p>
    <w:p w14:paraId="4C16244F" w14:textId="087BCAD6" w:rsidR="00A8138F" w:rsidRDefault="00A8138F" w:rsidP="00A8138F">
      <w:pPr>
        <w:pStyle w:val="TextoNormal"/>
      </w:pPr>
      <w:r w:rsidRPr="00A8138F">
        <w:rPr>
          <w:rStyle w:val="NumeroAFNegritaCaracter"/>
        </w:rPr>
        <w:t>8</w:t>
      </w:r>
      <w:r>
        <w:t>. Mediante diligencia del secretario de la Sección Tercera de 14 de febrero de 2025, se hizo constar haberse recibido los precedentes escritos de alegaciones quedando el presente recurso de amparo pendiente para deliberación cuando por turno corresponda.</w:t>
      </w:r>
    </w:p>
    <w:p w14:paraId="632C7E0A" w14:textId="77777777" w:rsidR="00A8138F" w:rsidRDefault="00A8138F" w:rsidP="00A8138F">
      <w:pPr>
        <w:pStyle w:val="TextoNormal"/>
      </w:pPr>
    </w:p>
    <w:p w14:paraId="4C79F45B" w14:textId="7DA034E6" w:rsidR="00A8138F" w:rsidRDefault="00A8138F" w:rsidP="00A8138F">
      <w:pPr>
        <w:pStyle w:val="TextoNormal"/>
      </w:pPr>
      <w:r w:rsidRPr="00A8138F">
        <w:rPr>
          <w:rStyle w:val="NumeroAFNegritaCaracter"/>
        </w:rPr>
        <w:t>9</w:t>
      </w:r>
      <w:r>
        <w:t>. Por providencia de 20 de febrero de 2025, se señaló para deliberación y votación de la presente sentencia el día 24 del mismo mes y año.</w:t>
      </w:r>
    </w:p>
    <w:p w14:paraId="3DE2A058" w14:textId="77777777" w:rsidR="00A8138F" w:rsidRDefault="00A8138F" w:rsidP="00A8138F">
      <w:pPr>
        <w:pStyle w:val="TextoNormal"/>
      </w:pPr>
    </w:p>
    <w:p w14:paraId="4FF45F51" w14:textId="77777777" w:rsidR="00A8138F" w:rsidRDefault="00A8138F" w:rsidP="00A8138F">
      <w:pPr>
        <w:pStyle w:val="TextoNormalNegritaCentrado"/>
        <w:keepNext/>
      </w:pPr>
      <w:r>
        <w:t>II. Fundamentos jurídicos</w:t>
      </w:r>
    </w:p>
    <w:p w14:paraId="1512BDE3" w14:textId="0B0B6A29" w:rsidR="00A8138F" w:rsidRDefault="00A8138F" w:rsidP="00A8138F">
      <w:pPr>
        <w:pStyle w:val="TextoNormalNegritaCentrado"/>
        <w:keepNext/>
      </w:pPr>
    </w:p>
    <w:p w14:paraId="6A1DE5EB"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5F5843BB" w14:textId="77777777" w:rsidR="00A8138F" w:rsidRDefault="00A8138F" w:rsidP="00A8138F">
      <w:pPr>
        <w:pStyle w:val="TextoNormal"/>
      </w:pPr>
    </w:p>
    <w:p w14:paraId="5FA6AE2B" w14:textId="77777777" w:rsidR="00A8138F" w:rsidRDefault="00A8138F" w:rsidP="00A8138F">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49271713" w14:textId="77777777" w:rsidR="00A8138F" w:rsidRDefault="00A8138F" w:rsidP="00A8138F">
      <w:pPr>
        <w:pStyle w:val="TextoNormal"/>
      </w:pPr>
    </w:p>
    <w:p w14:paraId="3CB28AA2" w14:textId="77777777" w:rsidR="00A8138F" w:rsidRDefault="00A8138F" w:rsidP="00A8138F">
      <w:pPr>
        <w:pStyle w:val="TextoNormal"/>
      </w:pPr>
      <w:r>
        <w:t>La letrada de la Seguridad social manifiesta su voluntad de allanarse al recurso de amparo y el Ministerio Fiscal interesa la estimación en aplicación de la doctrina constitucional fijada en la STC 140/2024, de 6 de noviembre.</w:t>
      </w:r>
    </w:p>
    <w:p w14:paraId="694BE845" w14:textId="77777777" w:rsidR="00A8138F" w:rsidRDefault="00A8138F" w:rsidP="00A8138F">
      <w:pPr>
        <w:pStyle w:val="TextoNormal"/>
      </w:pPr>
    </w:p>
    <w:p w14:paraId="2747A71E"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56D76094" w14:textId="77777777" w:rsidR="00A8138F" w:rsidRDefault="00A8138F" w:rsidP="00A8138F">
      <w:pPr>
        <w:pStyle w:val="TextoNormal"/>
      </w:pPr>
    </w:p>
    <w:p w14:paraId="58AB573C"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w:t>
      </w:r>
      <w:r>
        <w:lastRenderedPageBreak/>
        <w:t>secuencias negativas que produce tal medida en los niños y niñas nacidos en familias monoparentales” (FJ 6).</w:t>
      </w:r>
    </w:p>
    <w:p w14:paraId="3986A8F2" w14:textId="77777777" w:rsidR="00A8138F" w:rsidRDefault="00A8138F" w:rsidP="00A8138F">
      <w:pPr>
        <w:pStyle w:val="TextoNormal"/>
      </w:pPr>
    </w:p>
    <w:p w14:paraId="510B7A34"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25F7F45F" w14:textId="77777777" w:rsidR="00A8138F" w:rsidRDefault="00A8138F" w:rsidP="00A8138F">
      <w:pPr>
        <w:pStyle w:val="TextoNormal"/>
      </w:pPr>
    </w:p>
    <w:p w14:paraId="2DDBB8FC" w14:textId="77777777" w:rsidR="00A8138F" w:rsidRDefault="00A8138F" w:rsidP="00A8138F">
      <w:pPr>
        <w:pStyle w:val="TextoNormal"/>
      </w:pPr>
      <w:r>
        <w:t>En consecuencia, debe estimarse la demanda y otorgar el amparo solicitado, con nulidad tal y como solicita la demandante de amparo de las resoluciones del Instituto Nacional de la Seguridad Social de 18 de diciembre de 2020 y de 20 de enero de 2021 por las que respectivamente se denegaron a la demandante de amparo doce semanas de prestación por nacimiento y cuidado de menor y, se rechazó la reclamación previa formulada; así como de la sentencia núm. 311/2021 del Juzgado de lo Social núm. 3 de Bilbao, de 18 de junio de 2021 —autos 133-2021—; la sentencia núm. 260/2022, dictada el 8 de febrero de 2022, por la Sala de lo Social del Tribunal Superior de Justicia del País Vasco, que estimó el recurso de suplicación núm. 1851-2021 y la sentencia 1263/2023 de la Sala de lo Social del Tribunal Supremo de 21 de diciembre de 2023, que estima el recurso de casación para la unificación de doctrina núm. 2303-2022.</w:t>
      </w:r>
    </w:p>
    <w:p w14:paraId="7E78FC08" w14:textId="77777777" w:rsidR="00A8138F" w:rsidRDefault="00A8138F" w:rsidP="00A8138F">
      <w:pPr>
        <w:pStyle w:val="TextoNormal"/>
      </w:pPr>
    </w:p>
    <w:p w14:paraId="5008B57B" w14:textId="5527A80B" w:rsidR="00A8138F" w:rsidRDefault="00A8138F" w:rsidP="00A8138F">
      <w:pPr>
        <w:pStyle w:val="TextoNormal"/>
      </w:pPr>
      <w:r>
        <w:t>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1578203F" w14:textId="77777777" w:rsidR="00A8138F" w:rsidRDefault="00A8138F" w:rsidP="00A8138F">
      <w:pPr>
        <w:pStyle w:val="TextoNormal"/>
      </w:pPr>
    </w:p>
    <w:p w14:paraId="14647BED" w14:textId="77777777" w:rsidR="00A8138F" w:rsidRDefault="00A8138F" w:rsidP="00A8138F">
      <w:pPr>
        <w:pStyle w:val="TextoNormalCentrado"/>
        <w:keepNext/>
      </w:pPr>
      <w:r>
        <w:t>FALLO</w:t>
      </w:r>
    </w:p>
    <w:p w14:paraId="2A1DCB0A" w14:textId="54030F08" w:rsidR="00A8138F" w:rsidRDefault="00A8138F" w:rsidP="00A8138F">
      <w:pPr>
        <w:pStyle w:val="TextoNormalCentrado"/>
        <w:keepNext/>
      </w:pPr>
    </w:p>
    <w:p w14:paraId="65200A6D" w14:textId="77777777" w:rsidR="00A8138F" w:rsidRDefault="00A8138F" w:rsidP="00A8138F">
      <w:pPr>
        <w:pStyle w:val="TextoNormal"/>
      </w:pPr>
      <w:r>
        <w:t>En atención a todo lo expuesto, el Tribunal Constitucional, por la autoridad que le confiere la Constitución de la Nación española, ha decidido:</w:t>
      </w:r>
    </w:p>
    <w:p w14:paraId="4DBA01AB" w14:textId="77777777" w:rsidR="00A8138F" w:rsidRDefault="00A8138F" w:rsidP="00A8138F">
      <w:pPr>
        <w:pStyle w:val="TextoNormal"/>
      </w:pPr>
    </w:p>
    <w:p w14:paraId="3CE45F5F" w14:textId="77777777" w:rsidR="00A8138F" w:rsidRDefault="00A8138F" w:rsidP="00A8138F">
      <w:pPr>
        <w:pStyle w:val="TextoNormal"/>
      </w:pPr>
      <w:r>
        <w:t>1º Estimar la demanda presentada por doña Iratxe Pérez Urdiales por vulneración del derecho fundamental a la igualdad ante la ley sin discriminación por razón de nacimiento (art. 14 CE), con reconocimiento de tal derecho.</w:t>
      </w:r>
    </w:p>
    <w:p w14:paraId="43AF82FB" w14:textId="77777777" w:rsidR="00A8138F" w:rsidRDefault="00A8138F" w:rsidP="00A8138F">
      <w:pPr>
        <w:pStyle w:val="TextoNormal"/>
      </w:pPr>
    </w:p>
    <w:p w14:paraId="11AE6280" w14:textId="77777777" w:rsidR="00A8138F" w:rsidRDefault="00A8138F" w:rsidP="00A8138F">
      <w:pPr>
        <w:pStyle w:val="TextoNormal"/>
      </w:pPr>
      <w:r>
        <w:t>2º Declarar la nulidad de las resoluciones de 18 de diciembre de 2020 y de 20 de enero de 2021 del Instituto Nacional de la Seguridad Social que desestimó la solicitud y la reclamación previa de ampliación de doce semanas de la prestación por nacimiento y cuidado de su hija menor; de la sentencia núm. 311/2021 del Juzgado de lo Social núm. 3 de Bilbao, de 18 de junio —autos 133-2021—; de la sentencia núm. 260/2022, de 8 de febrero, de la Sala de lo Social del Tribunal Superior de Justicia del País Vasco —recurso de suplicación 1851-</w:t>
      </w:r>
      <w:r>
        <w:lastRenderedPageBreak/>
        <w:t>2021—; y de la sentencia núm. 1263/2023 de la Sala de lo Social del Tribunal Supremo de 21 de diciembre de 2023, que estima el recurso de casación para la unificación de doctrina núm. 2303-2022.</w:t>
      </w:r>
    </w:p>
    <w:p w14:paraId="723AD76B" w14:textId="77777777" w:rsidR="00A8138F" w:rsidRDefault="00A8138F" w:rsidP="00A8138F">
      <w:pPr>
        <w:pStyle w:val="TextoNormal"/>
      </w:pPr>
    </w:p>
    <w:p w14:paraId="23214A8E" w14:textId="4A1FA9D8" w:rsidR="00A8138F" w:rsidRDefault="00A8138F" w:rsidP="00A8138F">
      <w:pPr>
        <w:pStyle w:val="TextoNormal"/>
      </w:pPr>
      <w:r>
        <w:t>3º Retrotraer las actuaciones al momento previo al dictado de la resolución de 18 de diciembre de 2020 del INSS a fin de que, en los términos expuestos en el último párrafo del fundamento jurídico único, se dicte otra respetuosa con el derecho de la recurrente cuya vulneración ha sido declarada.</w:t>
      </w:r>
    </w:p>
    <w:p w14:paraId="5ABE8E23" w14:textId="77777777" w:rsidR="00A8138F" w:rsidRDefault="00A8138F" w:rsidP="00A8138F">
      <w:pPr>
        <w:pStyle w:val="TextoNormal"/>
      </w:pPr>
    </w:p>
    <w:p w14:paraId="65A923CE" w14:textId="77777777" w:rsidR="00A8138F" w:rsidRDefault="00A8138F" w:rsidP="00A8138F">
      <w:pPr>
        <w:pStyle w:val="TextoNormal"/>
      </w:pPr>
      <w:r>
        <w:t>Publíquese esta sentencia en el “Boletín Oficial del Estado”.</w:t>
      </w:r>
    </w:p>
    <w:p w14:paraId="4501D143" w14:textId="77777777" w:rsidR="00A8138F" w:rsidRDefault="00A8138F" w:rsidP="00A8138F">
      <w:pPr>
        <w:pStyle w:val="TextoNormal"/>
      </w:pPr>
      <w:r>
        <w:t>Dada en Madrid, a veinticuatro de febrero de dos mil veinticinco.</w:t>
      </w:r>
    </w:p>
    <w:p w14:paraId="4BA93262" w14:textId="34FEC4D3" w:rsidR="00A8138F" w:rsidRDefault="00A8138F">
      <w:pPr>
        <w:spacing w:after="160" w:line="278" w:lineRule="auto"/>
        <w:rPr>
          <w:rFonts w:ascii="Times New Roman" w:eastAsia="Times New Roman" w:hAnsi="Times New Roman" w:cs="Times New Roman"/>
          <w:sz w:val="24"/>
          <w:szCs w:val="24"/>
          <w:lang w:eastAsia="es-ES"/>
        </w:rPr>
      </w:pPr>
      <w:r>
        <w:br w:type="page"/>
      </w:r>
    </w:p>
    <w:p w14:paraId="0AA2B3DA" w14:textId="77777777" w:rsidR="00A8138F" w:rsidRDefault="00A8138F" w:rsidP="00A8138F">
      <w:pPr>
        <w:pStyle w:val="TtuloResolucin"/>
      </w:pPr>
      <w:bookmarkStart w:id="49" w:name="SENTENCIA_2025_47"/>
      <w:r>
        <w:lastRenderedPageBreak/>
        <w:t>SENTENCIA 47/2025, de 24 de febrero de 2025</w:t>
      </w:r>
    </w:p>
    <w:bookmarkEnd w:id="49"/>
    <w:p w14:paraId="5492060E" w14:textId="77777777" w:rsidR="00A8138F" w:rsidRDefault="00A8138F" w:rsidP="00A8138F">
      <w:pPr>
        <w:pStyle w:val="TtuloResolucin"/>
      </w:pPr>
      <w:r>
        <w:t>Sala Primera</w:t>
      </w:r>
    </w:p>
    <w:p w14:paraId="0E9FDE34" w14:textId="77777777" w:rsidR="00A8138F" w:rsidRDefault="00A8138F" w:rsidP="00A8138F">
      <w:pPr>
        <w:pStyle w:val="TtuloBOE"/>
      </w:pPr>
      <w:r>
        <w:t>(BOE núm. 78, de 1 de abril de 2025)</w:t>
      </w:r>
    </w:p>
    <w:p w14:paraId="359B1DE4" w14:textId="77777777" w:rsidR="00A8138F" w:rsidRDefault="00A8138F" w:rsidP="00A8138F">
      <w:pPr>
        <w:pStyle w:val="TextoNormalCentrado"/>
      </w:pPr>
      <w:r>
        <w:t>ECLI:ES:TC:2025:47</w:t>
      </w:r>
    </w:p>
    <w:p w14:paraId="218F289C" w14:textId="0C15A657" w:rsidR="00A8138F" w:rsidRDefault="00A8138F" w:rsidP="00A8138F">
      <w:pPr>
        <w:pStyle w:val="TextoNormalCentrado"/>
      </w:pPr>
    </w:p>
    <w:p w14:paraId="17F21CD5" w14:textId="77777777" w:rsidR="00A8138F" w:rsidRDefault="00A8138F" w:rsidP="00A8138F">
      <w:pPr>
        <w:pStyle w:val="SntesisDescriptiva"/>
      </w:pPr>
      <w:r>
        <w:t>Recurso de amparo 3089-2024. Promovido por doña Saioa Guilisasti González en relación con las resoluciones administrativas y judiciales que desestimaron su petición de revisión y ampliación de la prestación por nacimiento y cuidado de hijo menor, como madre biológica de familia monoparental.</w:t>
      </w:r>
    </w:p>
    <w:p w14:paraId="2A30F776" w14:textId="0C399412" w:rsidR="00A8138F" w:rsidRDefault="00A8138F" w:rsidP="00A8138F">
      <w:pPr>
        <w:pStyle w:val="SntesisDescriptiva"/>
      </w:pPr>
    </w:p>
    <w:p w14:paraId="16FDF94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FDC2706" w14:textId="2A6C4774" w:rsidR="00A8138F" w:rsidRDefault="00A8138F" w:rsidP="00A8138F">
      <w:pPr>
        <w:pStyle w:val="SntesisAnaltica"/>
      </w:pPr>
    </w:p>
    <w:p w14:paraId="426D0A17" w14:textId="6C28EB7F"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9399838" w14:textId="77777777" w:rsidR="00A8138F" w:rsidRDefault="00A8138F" w:rsidP="00A8138F">
      <w:pPr>
        <w:pStyle w:val="Extracto"/>
      </w:pPr>
    </w:p>
    <w:p w14:paraId="62C64DE2" w14:textId="77777777" w:rsidR="00A8138F" w:rsidRDefault="00A8138F" w:rsidP="00A8138F">
      <w:pPr>
        <w:pStyle w:val="Extracto"/>
      </w:pPr>
    </w:p>
    <w:p w14:paraId="5579AC20"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6F7E482" w14:textId="2BA4345D" w:rsidR="00A8138F" w:rsidRDefault="00A8138F" w:rsidP="00A8138F">
      <w:pPr>
        <w:pStyle w:val="TextoNormal"/>
      </w:pPr>
    </w:p>
    <w:p w14:paraId="7847F9C7" w14:textId="77777777" w:rsidR="00A8138F" w:rsidRDefault="00A8138F" w:rsidP="00A8138F">
      <w:pPr>
        <w:pStyle w:val="TextoNormalCentrado"/>
        <w:keepNext/>
      </w:pPr>
      <w:r>
        <w:t>EN NOMBRE DEL REY</w:t>
      </w:r>
    </w:p>
    <w:p w14:paraId="5CF59AF1" w14:textId="5545F800" w:rsidR="00A8138F" w:rsidRDefault="00A8138F" w:rsidP="00A8138F">
      <w:pPr>
        <w:pStyle w:val="TextoNormalCentrado"/>
        <w:keepNext/>
      </w:pPr>
    </w:p>
    <w:p w14:paraId="2F6E0218" w14:textId="77777777" w:rsidR="00A8138F" w:rsidRDefault="00A8138F" w:rsidP="00A8138F">
      <w:pPr>
        <w:pStyle w:val="TextoNormalCentrado"/>
        <w:keepNext/>
      </w:pPr>
    </w:p>
    <w:p w14:paraId="42F3AE1E" w14:textId="77777777" w:rsidR="00A8138F" w:rsidRDefault="00A8138F" w:rsidP="00A8138F">
      <w:pPr>
        <w:pStyle w:val="TextoNormal"/>
      </w:pPr>
      <w:r>
        <w:t>la siguiente</w:t>
      </w:r>
    </w:p>
    <w:p w14:paraId="51EF36D1" w14:textId="6116CE42" w:rsidR="00A8138F" w:rsidRDefault="00A8138F" w:rsidP="00A8138F">
      <w:pPr>
        <w:pStyle w:val="TextoNormal"/>
      </w:pPr>
    </w:p>
    <w:p w14:paraId="36BEBDDF" w14:textId="77777777" w:rsidR="00A8138F" w:rsidRDefault="00A8138F" w:rsidP="00A8138F">
      <w:pPr>
        <w:pStyle w:val="TextoNormalCentrado"/>
        <w:keepNext/>
      </w:pPr>
      <w:r>
        <w:t>SENTENCIA</w:t>
      </w:r>
    </w:p>
    <w:p w14:paraId="5AD05DD8" w14:textId="06AD05A8" w:rsidR="00A8138F" w:rsidRDefault="00A8138F" w:rsidP="00A8138F">
      <w:pPr>
        <w:pStyle w:val="TextoNormalCentrado"/>
        <w:keepNext/>
      </w:pPr>
    </w:p>
    <w:p w14:paraId="76AD4BCB" w14:textId="77777777" w:rsidR="00A8138F" w:rsidRDefault="00A8138F" w:rsidP="00A8138F">
      <w:pPr>
        <w:pStyle w:val="TextoNormal"/>
      </w:pPr>
      <w:r>
        <w:t>En el recurso de amparo núm. 3089-2024, promovido por doña Saioa Guilisasti González contra la resolución de la Dirección Provincial de Bizkaia del Instituto Nacional de la Seguridad Social (INSS) de 17 de enero de 2021, que desestimó la reclamación previa para la ampliación de la prestación por nacimiento y cuidado de hijo menor, como madre biológica de familia monoparental; la sentencia núm. 101/2021, de 18 de marzo, del Juzgado de lo Social núm. 6 de Bilbao (autos núm. 238-2021); y la sentencia 1242/2023, de 21 de diciembre, de la Sala de lo Social del Tribunal Supremo, aclarada por auto de 19 de marzo de 2024 (recurso de casación para la unificación de doctrina núm. 4345-2021). Ha comparecido la letrada de la administración de la Seguridad Social, en nombre del INSS y la Tesorería General de la Seguridad Social (TGSS). Ha intervenido el Ministerio Fiscal. Ha sido ponente la magistrada doña María Luisa Segoviano Astaburuaga.</w:t>
      </w:r>
    </w:p>
    <w:p w14:paraId="725957B6" w14:textId="58169DB7" w:rsidR="00A8138F" w:rsidRDefault="00A8138F" w:rsidP="00A8138F">
      <w:pPr>
        <w:pStyle w:val="TextoNormal"/>
      </w:pPr>
    </w:p>
    <w:p w14:paraId="13A383C1" w14:textId="77777777" w:rsidR="00A8138F" w:rsidRDefault="00A8138F" w:rsidP="00A8138F">
      <w:pPr>
        <w:pStyle w:val="TextoNormalNegritaCentrado"/>
        <w:keepNext/>
      </w:pPr>
      <w:r>
        <w:lastRenderedPageBreak/>
        <w:t>I. Antecedentes</w:t>
      </w:r>
    </w:p>
    <w:p w14:paraId="38BDCE10" w14:textId="649718E9" w:rsidR="00A8138F" w:rsidRDefault="00A8138F" w:rsidP="00A8138F">
      <w:pPr>
        <w:pStyle w:val="TextoNormalNegritaCentrado"/>
        <w:keepNext/>
      </w:pPr>
    </w:p>
    <w:p w14:paraId="605485B7" w14:textId="3BE04A8E" w:rsidR="00A8138F" w:rsidRDefault="00A8138F" w:rsidP="00A8138F">
      <w:pPr>
        <w:pStyle w:val="TextoNormal"/>
      </w:pPr>
      <w:r w:rsidRPr="00A8138F">
        <w:rPr>
          <w:rStyle w:val="NumeroAFNegritaCaracter"/>
        </w:rPr>
        <w:t>1</w:t>
      </w:r>
      <w:r>
        <w:t>. Mediante escrito registrado en el Tribunal el 29 de abril de 2024, la procuradora de los tribunales doña Esperanza Azpetia Calvin, en nombre y representación de doña Saioa Guilisasti González, bajo la dirección letrada de doña Izaskun Gana Goicouria, interpuso recurso de amparo contra la decisión administrativa y las resoluciones judiciales a las que se ha hecho referencia en el encabezamiento de esta sentencia.</w:t>
      </w:r>
    </w:p>
    <w:p w14:paraId="58CEAB21" w14:textId="77777777" w:rsidR="00A8138F" w:rsidRDefault="00A8138F" w:rsidP="00A8138F">
      <w:pPr>
        <w:pStyle w:val="TextoNormal"/>
      </w:pPr>
    </w:p>
    <w:p w14:paraId="53BCDB24" w14:textId="77777777" w:rsidR="00A8138F" w:rsidRDefault="00A8138F" w:rsidP="00A8138F">
      <w:pPr>
        <w:pStyle w:val="TextoNormal"/>
      </w:pPr>
      <w:r w:rsidRPr="00A8138F">
        <w:rPr>
          <w:rStyle w:val="NumeroAFNegritaCaracter"/>
        </w:rPr>
        <w:t>2</w:t>
      </w:r>
      <w:r>
        <w:t>. El recurso tiene su origen en los siguientes antecedentes:</w:t>
      </w:r>
    </w:p>
    <w:p w14:paraId="3B627ADC" w14:textId="77777777" w:rsidR="00A8138F" w:rsidRDefault="00A8138F" w:rsidP="00A8138F">
      <w:pPr>
        <w:pStyle w:val="TextoNormal"/>
      </w:pPr>
    </w:p>
    <w:p w14:paraId="49754262" w14:textId="77777777" w:rsidR="00A8138F" w:rsidRDefault="00A8138F" w:rsidP="00A8138F">
      <w:pPr>
        <w:pStyle w:val="TextoNormal"/>
      </w:pPr>
      <w:r>
        <w:t>a) La demandante fue madre de un niño el 24 de octubre de 2020 con el que formaba una familia monoparental. Mediante resolución de la Dirección Provincial de Bizkaia del INSS de 9 noviembre de 2020, pronunciada en el expediente 2020-16186, obtuvo la prestación por nacimiento y cuidado de su hijo menor durante dieciséis semanas (art. 177 de la Ley general de la Seguridad Social). La demandante formuló reclamación previa contra dicha resolución alegando que era precisa la ampliación de la prestación por doce semanas adicionales, que es el plazo que hubiera correspondido al segundo progenitor en el supuesto de una familia biparental, de acuerdo con lo establecido en la disposición transitoria decimotercera, apartado 1 d) del texto refundido de la Ley del estatuto de los trabajadores, aprobado por Real Decreto Legislativo 2/2015, de 23 de octubre, en la redacción dada por el Real Decreto-ley 6/2019, de 1 de marzo (LET). La reclamación previa fue denegada por la citada Dirección Provincial del INSS mediante resolución de 17 de enero de 2021.</w:t>
      </w:r>
    </w:p>
    <w:p w14:paraId="083C4C58" w14:textId="77777777" w:rsidR="00A8138F" w:rsidRDefault="00A8138F" w:rsidP="00A8138F">
      <w:pPr>
        <w:pStyle w:val="TextoNormal"/>
      </w:pPr>
    </w:p>
    <w:p w14:paraId="2A059BBF" w14:textId="77777777" w:rsidR="00A8138F" w:rsidRDefault="00A8138F" w:rsidP="00A8138F">
      <w:pPr>
        <w:pStyle w:val="TextoNormal"/>
      </w:pPr>
      <w:r>
        <w:t>b) La demandante formuló demanda ante el Juzgado de lo Social núm. 6 de Bilbao, dando lugar al procedimiento núm. 238-2021, invocando, entre otros motivos, la vulneración del art. 14 CE; siendo estimada parcialmente por la sentencia núm. 101/2021, de 18 de marzo, en el sentido de reconocer que la actora tiene el derecho a complementar la prestación de maternidad con otras ocho semanas con arreglo a las condiciones económicas ya reconocidas, ya que la duración prevista de doce semanas recogida en la legislación laboral para los nacimientos durante el año 2020 prevé que cuatro de ellas resulten inmediatamente posteriores al parto, concurrente con las de la progenitora, escenario que no puede darse en este caso.</w:t>
      </w:r>
    </w:p>
    <w:p w14:paraId="644914E7" w14:textId="77777777" w:rsidR="00A8138F" w:rsidRDefault="00A8138F" w:rsidP="00A8138F">
      <w:pPr>
        <w:pStyle w:val="TextoNormal"/>
      </w:pPr>
    </w:p>
    <w:p w14:paraId="1F68D9C2" w14:textId="77777777" w:rsidR="00A8138F" w:rsidRDefault="00A8138F" w:rsidP="00A8138F">
      <w:pPr>
        <w:pStyle w:val="TextoNormal"/>
      </w:pPr>
      <w:r>
        <w:t>El INSS formuló recurso de suplicación ante la Sala de lo Social del Tribunal Superior de Justicia del País Vasco, que fue tramitado con el núm. 1196-2021, siendo desestimado por la sentencia núm. 1842/2021, de 16 de noviembre, que confirmó en su integridad la sentencia de instancia.</w:t>
      </w:r>
    </w:p>
    <w:p w14:paraId="295F038F" w14:textId="77777777" w:rsidR="00A8138F" w:rsidRDefault="00A8138F" w:rsidP="00A8138F">
      <w:pPr>
        <w:pStyle w:val="TextoNormal"/>
      </w:pPr>
    </w:p>
    <w:p w14:paraId="78CCD2BC" w14:textId="3BA1644E" w:rsidR="00A8138F" w:rsidRDefault="00A8138F" w:rsidP="00A8138F">
      <w:pPr>
        <w:pStyle w:val="TextoNormal"/>
      </w:pPr>
      <w:r>
        <w:t xml:space="preserve">c) El Ministerio Fiscal formuló recurso de casación para la unificación de doctrina ante la Sala de lo Social del Tribunal Supremo, que fue tramitado con el núm. 4345-2021, instando el INSS la alteración de la situación jurídica particular creada por la sentencia impugnada. El recurso fue estimado por sentencia núm. 1242/2023, de 21 de diciembre, reiterando lo ya establecido en la sentencia de esa sala núm. 169/2023, de 2 de marzo, pronunciada en el recurso de casación para la unificación de doctrina núm. 3972-2020, en el sentido de que la normativa de aplicación no resulta discriminatoria. Como consecuencia se revocaron las sentencias del juzgado de la social y del Tribunal Superior de Justicia y se confirmó la resolución administrativa. La sentencia fue aclarada por auto de 19 de marzo de 2024 en el </w:t>
      </w:r>
      <w:r>
        <w:lastRenderedPageBreak/>
        <w:t>sentido de incluir en su razonamiento que la estimación incluía la afectación a la situación jurídica particular de la sentencia recurrida. El auto fue notificado a la demandante el 2 de abril de 2024.</w:t>
      </w:r>
    </w:p>
    <w:p w14:paraId="2B0281A9" w14:textId="77777777" w:rsidR="00A8138F" w:rsidRDefault="00A8138F" w:rsidP="00A8138F">
      <w:pPr>
        <w:pStyle w:val="TextoNormal"/>
      </w:pPr>
    </w:p>
    <w:p w14:paraId="5985FD1F" w14:textId="77777777" w:rsidR="00A8138F" w:rsidRDefault="00A8138F" w:rsidP="00A8138F">
      <w:pPr>
        <w:pStyle w:val="TextoNormal"/>
      </w:pPr>
      <w:r w:rsidRPr="00A8138F">
        <w:rPr>
          <w:rStyle w:val="NumeroAFNegritaCaracter"/>
        </w:rPr>
        <w:t>3</w:t>
      </w:r>
      <w:r>
        <w:t>. La demandante, con invocación del art. 14 CE, recurre en amparo la resolución de la Dirección Provincial de Bizkaia del INSS de 17 de enero de 2021, que desestimó la reclamación previa para la ampliación de la prestación por nacimiento y cuidado de hijo menor, como madre biológica de familia monoparental; la sentencia núm. 101/2021, de 18 de marzo, del Juzgado de lo Social núm. 6 de Bilbao (autos núm. 238-2021); y la sentencia 1242/2023, de 21 de diciembre, de la Sala de lo Social del Tribunal Supremo, aclarada por auto de 19 de marzo de 2024 (recurso de casación para la unificación de doctrina núm. 4345-2021), instando la nulidad de todas ellas con retroacción de actuaciones al momento previo al dictado de la resolución del INSS de 17 de enero de 2021 para que dicte otra respetuosa con el derecho fundamental invocado.</w:t>
      </w:r>
    </w:p>
    <w:p w14:paraId="0572DA64" w14:textId="77777777" w:rsidR="00A8138F" w:rsidRDefault="00A8138F" w:rsidP="00A8138F">
      <w:pPr>
        <w:pStyle w:val="TextoNormal"/>
      </w:pPr>
    </w:p>
    <w:p w14:paraId="04657EA8" w14:textId="77777777" w:rsidR="00A8138F" w:rsidRDefault="00A8138F" w:rsidP="00A8138F">
      <w:pPr>
        <w:pStyle w:val="TextoNormal"/>
      </w:pPr>
      <w:r>
        <w:t>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indirecta por razón de sexo, en tanto que las familias monoparentales están compuestas de manera mayoritaria por mujeres progenitoras.</w:t>
      </w:r>
    </w:p>
    <w:p w14:paraId="78071B5B" w14:textId="77777777" w:rsidR="00A8138F" w:rsidRDefault="00A8138F" w:rsidP="00A8138F">
      <w:pPr>
        <w:pStyle w:val="TextoNormal"/>
      </w:pPr>
    </w:p>
    <w:p w14:paraId="7DDC883A" w14:textId="09316966" w:rsidR="00A8138F" w:rsidRDefault="00A8138F" w:rsidP="00A8138F">
      <w:pPr>
        <w:pStyle w:val="TextoNormal"/>
      </w:pPr>
      <w:r>
        <w:t>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LET y el art. 177 LGSS por el Real Decreto-ley 6/2019, de 1 de marzo.</w:t>
      </w:r>
    </w:p>
    <w:p w14:paraId="253ACD9F" w14:textId="77777777" w:rsidR="00A8138F" w:rsidRDefault="00A8138F" w:rsidP="00A8138F">
      <w:pPr>
        <w:pStyle w:val="TextoNormal"/>
      </w:pPr>
    </w:p>
    <w:p w14:paraId="005B171D" w14:textId="44641FD9" w:rsidR="00A8138F" w:rsidRDefault="00A8138F" w:rsidP="00A8138F">
      <w:pPr>
        <w:pStyle w:val="TextoNormal"/>
      </w:pPr>
      <w:r w:rsidRPr="00A8138F">
        <w:rPr>
          <w:rStyle w:val="NumeroAFNegritaCaracter"/>
        </w:rPr>
        <w:t>4</w:t>
      </w:r>
      <w:r>
        <w:t>. La Sección Primera del Tribunal, por providencia de 21 de octubre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14:paraId="752C141E" w14:textId="77777777" w:rsidR="00A8138F" w:rsidRDefault="00A8138F" w:rsidP="00A8138F">
      <w:pPr>
        <w:pStyle w:val="TextoNormal"/>
      </w:pPr>
    </w:p>
    <w:p w14:paraId="006345A9" w14:textId="4D42F1F1" w:rsidR="00A8138F" w:rsidRDefault="00A8138F" w:rsidP="00A8138F">
      <w:pPr>
        <w:pStyle w:val="TextoNormal"/>
      </w:pPr>
      <w:r w:rsidRPr="00A8138F">
        <w:rPr>
          <w:rStyle w:val="NumeroAFNegritaCaracter"/>
        </w:rPr>
        <w:t>5</w:t>
      </w:r>
      <w:r>
        <w:t>. La Secretaría de Justicia de la Sala Primera del Tribunal, por diligencia de ordenación de 4 de diciembre de 2024, tuvo por recibido el testimonio de las actuaciones, por personada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pudieran presentar alegaciones.</w:t>
      </w:r>
    </w:p>
    <w:p w14:paraId="25EED7C9" w14:textId="77777777" w:rsidR="00A8138F" w:rsidRDefault="00A8138F" w:rsidP="00A8138F">
      <w:pPr>
        <w:pStyle w:val="TextoNormal"/>
      </w:pPr>
    </w:p>
    <w:p w14:paraId="0EC95159" w14:textId="77777777" w:rsidR="00A8138F" w:rsidRDefault="00A8138F" w:rsidP="00A8138F">
      <w:pPr>
        <w:pStyle w:val="TextoNormal"/>
      </w:pPr>
      <w:r w:rsidRPr="00A8138F">
        <w:rPr>
          <w:rStyle w:val="NumeroAFNegritaCaracter"/>
        </w:rPr>
        <w:lastRenderedPageBreak/>
        <w:t>6</w:t>
      </w:r>
      <w:r>
        <w:t>. El Ministerio Fiscal, mediante escrito registrado el 8 de enero de 2024,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con confirmación y declaración de firmeza de la sentencia de suplicación, en la medida en que confirmó la sentencia de instancia en la que se reconoció a la demandante la ampliación del permiso en ocho semanas, al excluirse las cuatro primeras que necesariamente deben disfrutarse de forma ininterrumpida e inmediatamente posterior al parto, lo que es coincidente con la doctrina y pronunciamientos de la STC 140/2024, de 6 de noviembre.</w:t>
      </w:r>
    </w:p>
    <w:p w14:paraId="7C4ABB13" w14:textId="77777777" w:rsidR="00A8138F" w:rsidRDefault="00A8138F" w:rsidP="00A8138F">
      <w:pPr>
        <w:pStyle w:val="TextoNormal"/>
      </w:pPr>
    </w:p>
    <w:p w14:paraId="5DFEB192" w14:textId="1B9F14DB" w:rsidR="00A8138F" w:rsidRDefault="00A8138F" w:rsidP="00A8138F">
      <w:pPr>
        <w:pStyle w:val="TextoNormal"/>
      </w:pPr>
      <w:r>
        <w:t>El Ministerio Fiscal, tras resumir la jurisprudencia constitucional establecida en la STC 140/2024, de 6 de noviembre, en la que se acuerda la inconstitucionalidad —sin nulidad— de los arts. 48.4 LET y 177 LGSS, hace aplicación de ella al presente recurso y considera que “procede la estimación del recurso pues al aplicar los mencionados artículos, recientemente declarados inconstitucionales, la sentencia del Tribunal Supremo ha producido la discriminación prohibida por el art. 14 CE, tanto de la demandante de amparo por constituir una familia monoparental, (por razón del modelo de familia), como del hijo por razón de nacimiento, por haber nacido en una familia monoparental”.</w:t>
      </w:r>
    </w:p>
    <w:p w14:paraId="4BCC1B40" w14:textId="77777777" w:rsidR="00A8138F" w:rsidRDefault="00A8138F" w:rsidP="00A8138F">
      <w:pPr>
        <w:pStyle w:val="TextoNormal"/>
      </w:pPr>
    </w:p>
    <w:p w14:paraId="1E085139" w14:textId="0BF185D8" w:rsidR="00A8138F" w:rsidRDefault="00A8138F" w:rsidP="00A8138F">
      <w:pPr>
        <w:pStyle w:val="TextoNormal"/>
      </w:pPr>
      <w:r w:rsidRPr="00A8138F">
        <w:rPr>
          <w:rStyle w:val="NumeroAFNegritaCaracter"/>
        </w:rPr>
        <w:t>7</w:t>
      </w:r>
      <w:r>
        <w:t>. La administración de la Seguridad Social, por escrito registrado el 17 de diciembre de 2024, presentó alegaciones solicitando, a la vista de la jurisprudencia establecida en la STC 140/2024, de 6 de noviembre, en la que se acuerda la inconstitucionalidad —sin nulidad— de los arts. 48.4 LET y 177 LGSS, la estimación del recurso, si bien poniendo de manifiesto que “habrá que tener en cuenta que el reconocimiento de las ocho semanas adicionales (al excluirse las cuatro primeras) al permiso disfrutado por la progenitora de la familia monoparental quedará supeditado al cumplimiento del resto de los requisitos legalmente establecidos para el percibo de la prestación, en los que se incluye el haber hecho efectivo el descanso, sin prestar servicios por cuenta ajena ni percibir las correspondientes retribuciones”.</w:t>
      </w:r>
    </w:p>
    <w:p w14:paraId="1713A224" w14:textId="77777777" w:rsidR="00A8138F" w:rsidRDefault="00A8138F" w:rsidP="00A8138F">
      <w:pPr>
        <w:pStyle w:val="TextoNormal"/>
      </w:pPr>
    </w:p>
    <w:p w14:paraId="1A3ACF6B" w14:textId="2CF07551" w:rsidR="00A8138F" w:rsidRDefault="00A8138F" w:rsidP="00A8138F">
      <w:pPr>
        <w:pStyle w:val="TextoNormal"/>
      </w:pPr>
      <w:r w:rsidRPr="00A8138F">
        <w:rPr>
          <w:rStyle w:val="NumeroAFNegritaCaracter"/>
        </w:rPr>
        <w:t>8</w:t>
      </w:r>
      <w:r>
        <w:t>. La demandante de amparo, por escrito registrado el 10 de diciembre de 2024, solicita la estimación del recurso en coherencia con la jurisprudencia establecida en la STC 140/2024, de 6 de noviembre, en la que se acuerda la inconstitucionalidad —sin nulidad— de los arts. 48.4 LET y 177 LGSS.</w:t>
      </w:r>
    </w:p>
    <w:p w14:paraId="3EA73943" w14:textId="77777777" w:rsidR="00A8138F" w:rsidRDefault="00A8138F" w:rsidP="00A8138F">
      <w:pPr>
        <w:pStyle w:val="TextoNormal"/>
      </w:pPr>
    </w:p>
    <w:p w14:paraId="03476649" w14:textId="652BBEBB" w:rsidR="00A8138F" w:rsidRDefault="00A8138F" w:rsidP="00A8138F">
      <w:pPr>
        <w:pStyle w:val="TextoNormal"/>
      </w:pPr>
      <w:r w:rsidRPr="00A8138F">
        <w:rPr>
          <w:rStyle w:val="NumeroAFNegritaCaracter"/>
        </w:rPr>
        <w:t>9</w:t>
      </w:r>
      <w:r>
        <w:t>. Por providencia de 20 de febrero de 2025, se señaló para deliberación y votación de la presente sentencia el día 24 del mismo mes y año.</w:t>
      </w:r>
    </w:p>
    <w:p w14:paraId="0A8FF982" w14:textId="77777777" w:rsidR="00A8138F" w:rsidRDefault="00A8138F" w:rsidP="00A8138F">
      <w:pPr>
        <w:pStyle w:val="TextoNormal"/>
      </w:pPr>
    </w:p>
    <w:p w14:paraId="69DB7AAF" w14:textId="77777777" w:rsidR="00A8138F" w:rsidRDefault="00A8138F" w:rsidP="00A8138F">
      <w:pPr>
        <w:pStyle w:val="TextoNormalNegritaCentrado"/>
        <w:keepNext/>
      </w:pPr>
      <w:r>
        <w:t>II. Fundamentos jurídicos</w:t>
      </w:r>
    </w:p>
    <w:p w14:paraId="1A3E3A0C" w14:textId="60459E6C" w:rsidR="00A8138F" w:rsidRDefault="00A8138F" w:rsidP="00A8138F">
      <w:pPr>
        <w:pStyle w:val="TextoNormalNegritaCentrado"/>
        <w:keepNext/>
      </w:pPr>
    </w:p>
    <w:p w14:paraId="193612EF"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583EA168" w14:textId="77777777" w:rsidR="00A8138F" w:rsidRDefault="00A8138F" w:rsidP="00A8138F">
      <w:pPr>
        <w:pStyle w:val="TextoNormal"/>
      </w:pPr>
    </w:p>
    <w:p w14:paraId="0D6D087B" w14:textId="518686BC" w:rsidR="00A8138F" w:rsidRDefault="00A8138F" w:rsidP="00A8138F">
      <w:pPr>
        <w:pStyle w:val="TextoNormal"/>
      </w:pPr>
      <w:r>
        <w:t>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w:t>
      </w:r>
      <w:r>
        <w:lastRenderedPageBreak/>
        <w:t>das urgentes para garantía de la igualdad de trato y de oportunidades entre mujeres y hombres en el empleo y la ocupación.</w:t>
      </w:r>
    </w:p>
    <w:p w14:paraId="5FAF1A43" w14:textId="77777777" w:rsidR="00A8138F" w:rsidRDefault="00A8138F" w:rsidP="00A8138F">
      <w:pPr>
        <w:pStyle w:val="TextoNormal"/>
      </w:pPr>
    </w:p>
    <w:p w14:paraId="33563882"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00BB33BF" w14:textId="77777777" w:rsidR="00A8138F" w:rsidRDefault="00A8138F" w:rsidP="00A8138F">
      <w:pPr>
        <w:pStyle w:val="TextoNormal"/>
      </w:pPr>
    </w:p>
    <w:p w14:paraId="4F7790A3" w14:textId="77777777" w:rsidR="00A8138F" w:rsidRDefault="00A8138F" w:rsidP="00A8138F">
      <w:pPr>
        <w:pStyle w:val="TextoNormal"/>
      </w:pPr>
      <w:r>
        <w:t>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18821AB6" w14:textId="77777777" w:rsidR="00A8138F" w:rsidRDefault="00A8138F" w:rsidP="00A8138F">
      <w:pPr>
        <w:pStyle w:val="TextoNormal"/>
      </w:pPr>
    </w:p>
    <w:p w14:paraId="6A6628FA"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48293695" w14:textId="77777777" w:rsidR="00A8138F" w:rsidRDefault="00A8138F" w:rsidP="00A8138F">
      <w:pPr>
        <w:pStyle w:val="TextoNormal"/>
      </w:pPr>
    </w:p>
    <w:p w14:paraId="74274013"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383C456B" w14:textId="77777777" w:rsidR="00A8138F" w:rsidRDefault="00A8138F" w:rsidP="00A8138F">
      <w:pPr>
        <w:pStyle w:val="TextoNormal"/>
      </w:pPr>
    </w:p>
    <w:p w14:paraId="213AA560" w14:textId="77777777" w:rsidR="00A8138F" w:rsidRDefault="00A8138F" w:rsidP="00A8138F">
      <w:pPr>
        <w:pStyle w:val="TextoNormal"/>
      </w:pPr>
      <w:r>
        <w:t>En consecuencia, debe estimarse la demanda y otorgar el amparo solicitado. Como concretamos en la referida STC 140/2024, de 6 noviembre (FJ 7), y hemos declarado en anteriores sentencias de amparo (SSTC 147, 149, 150 y 151/2024, de 2 de diciembre),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w:t>
      </w:r>
      <w:r>
        <w:lastRenderedPageBreak/>
        <w:t>cable, excluyendo las semanas que necesariamente deben disfrutarse de forma ininterrumpida e inmediatamente posterior al parto.</w:t>
      </w:r>
    </w:p>
    <w:p w14:paraId="7A05D75A" w14:textId="77777777" w:rsidR="00A8138F" w:rsidRDefault="00A8138F" w:rsidP="00A8138F">
      <w:pPr>
        <w:pStyle w:val="TextoNormal"/>
      </w:pPr>
    </w:p>
    <w:p w14:paraId="2693613F" w14:textId="5963C738" w:rsidR="00A8138F" w:rsidRDefault="00A8138F" w:rsidP="00A8138F">
      <w:pPr>
        <w:pStyle w:val="TextoNormal"/>
      </w:pPr>
      <w:r>
        <w:t>La estimación de la demanda, de conformidad con lo expuesto por el Ministerio Fiscal, ha de conllevar la declaración de nulidad de la sentencia de la Sala de lo Social del Tribunal Supremo núm. 1242/2023, de 21 de diciembre, aclarada por auto de 19 de marzo de 2024, pronunciada en el recurso de casación para la unificación de doctrina núm. 4345-2021, así como la declaración de firmeza de la sentencia de la Sala de lo Social del Tribunal Superior de Justicia del País Vasco núm. 1842/2021, de 16 de noviembre, pronunciada en el recurso de suplicación núm. 1196-2021.</w:t>
      </w:r>
    </w:p>
    <w:p w14:paraId="6D6F48A8" w14:textId="77777777" w:rsidR="00A8138F" w:rsidRDefault="00A8138F" w:rsidP="00A8138F">
      <w:pPr>
        <w:pStyle w:val="TextoNormal"/>
      </w:pPr>
    </w:p>
    <w:p w14:paraId="37D69742" w14:textId="77777777" w:rsidR="00A8138F" w:rsidRDefault="00A8138F" w:rsidP="00A8138F">
      <w:pPr>
        <w:pStyle w:val="TextoNormalCentrado"/>
        <w:keepNext/>
      </w:pPr>
      <w:r>
        <w:t>FALLO</w:t>
      </w:r>
    </w:p>
    <w:p w14:paraId="6A4468ED" w14:textId="5D7A4C86" w:rsidR="00A8138F" w:rsidRDefault="00A8138F" w:rsidP="00A8138F">
      <w:pPr>
        <w:pStyle w:val="TextoNormalCentrado"/>
        <w:keepNext/>
      </w:pPr>
    </w:p>
    <w:p w14:paraId="1F33397E"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Saioa Guilisasti González y, en su virtud:</w:t>
      </w:r>
    </w:p>
    <w:p w14:paraId="01C5B3B4" w14:textId="77777777" w:rsidR="00A8138F" w:rsidRDefault="00A8138F" w:rsidP="00A8138F">
      <w:pPr>
        <w:pStyle w:val="TextoNormal"/>
      </w:pPr>
    </w:p>
    <w:p w14:paraId="0EB8FE84" w14:textId="77777777" w:rsidR="00A8138F" w:rsidRDefault="00A8138F" w:rsidP="00A8138F">
      <w:pPr>
        <w:pStyle w:val="TextoNormal"/>
      </w:pPr>
      <w:r>
        <w:t>1º Declarar que se ha vulnerado el derecho fundamental a la igualdad ante la ley sin que proceda discriminación por razón de nacimiento (art. 14 CE).</w:t>
      </w:r>
    </w:p>
    <w:p w14:paraId="6D44C6E1" w14:textId="77777777" w:rsidR="00A8138F" w:rsidRDefault="00A8138F" w:rsidP="00A8138F">
      <w:pPr>
        <w:pStyle w:val="TextoNormal"/>
      </w:pPr>
    </w:p>
    <w:p w14:paraId="2C4BA0F3" w14:textId="77777777" w:rsidR="00A8138F" w:rsidRDefault="00A8138F" w:rsidP="00A8138F">
      <w:pPr>
        <w:pStyle w:val="TextoNormal"/>
      </w:pPr>
      <w:r>
        <w:t>2º Restablecer a la recurrente en su derecho y, a tal fin, declarar la nulidad de la sentencia de la Sala de lo Social del Tribunal Supremo núm. 1242/2023, de 21 de diciembre, aclarada por auto de 19 de marzo de 2024, pronunciada en el recurso de casación para la unificación de doctrina núm. 4345-2021.</w:t>
      </w:r>
    </w:p>
    <w:p w14:paraId="4562292B" w14:textId="77777777" w:rsidR="00A8138F" w:rsidRDefault="00A8138F" w:rsidP="00A8138F">
      <w:pPr>
        <w:pStyle w:val="TextoNormal"/>
      </w:pPr>
    </w:p>
    <w:p w14:paraId="7A25ED02" w14:textId="59D8D6AC" w:rsidR="00A8138F" w:rsidRDefault="00A8138F" w:rsidP="00A8138F">
      <w:pPr>
        <w:pStyle w:val="TextoNormal"/>
      </w:pPr>
      <w:r>
        <w:t>3º Declarar la firmeza de la sentencia de la Sala de lo Social del Tribunal Superior de Justicia del País Vasco núm. 1842/2021, de 16 de noviembre, pronunciada en el recurso de suplicación núm. 1196-2021.</w:t>
      </w:r>
    </w:p>
    <w:p w14:paraId="02050676" w14:textId="77777777" w:rsidR="00A8138F" w:rsidRDefault="00A8138F" w:rsidP="00A8138F">
      <w:pPr>
        <w:pStyle w:val="TextoNormal"/>
      </w:pPr>
    </w:p>
    <w:p w14:paraId="05D42202" w14:textId="77777777" w:rsidR="00A8138F" w:rsidRDefault="00A8138F" w:rsidP="00A8138F">
      <w:pPr>
        <w:pStyle w:val="TextoNormal"/>
      </w:pPr>
      <w:r>
        <w:t>Publíquese esta sentencia en el “Boletín Oficial del Estado”.</w:t>
      </w:r>
    </w:p>
    <w:p w14:paraId="6A53FB9F" w14:textId="77777777" w:rsidR="00A8138F" w:rsidRDefault="00A8138F" w:rsidP="00A8138F">
      <w:pPr>
        <w:pStyle w:val="TextoNormal"/>
      </w:pPr>
      <w:r>
        <w:t>Dada en Madrid, a veinticuatro de febrero de dos mil veinticinco.</w:t>
      </w:r>
    </w:p>
    <w:p w14:paraId="2F34FA23" w14:textId="1E6CE6E2" w:rsidR="00A8138F" w:rsidRDefault="00A8138F">
      <w:pPr>
        <w:spacing w:after="160" w:line="278" w:lineRule="auto"/>
        <w:rPr>
          <w:rFonts w:ascii="Times New Roman" w:eastAsia="Times New Roman" w:hAnsi="Times New Roman" w:cs="Times New Roman"/>
          <w:sz w:val="24"/>
          <w:szCs w:val="24"/>
          <w:lang w:eastAsia="es-ES"/>
        </w:rPr>
      </w:pPr>
      <w:r>
        <w:br w:type="page"/>
      </w:r>
    </w:p>
    <w:p w14:paraId="5EFB6670" w14:textId="77777777" w:rsidR="00A8138F" w:rsidRDefault="00A8138F" w:rsidP="00A8138F">
      <w:pPr>
        <w:pStyle w:val="TtuloResolucin"/>
      </w:pPr>
      <w:bookmarkStart w:id="50" w:name="SENTENCIA_2025_48"/>
      <w:r>
        <w:lastRenderedPageBreak/>
        <w:t>SENTENCIA 48/2025, de 24 de febrero de 2025</w:t>
      </w:r>
    </w:p>
    <w:bookmarkEnd w:id="50"/>
    <w:p w14:paraId="1C4403B2" w14:textId="77777777" w:rsidR="00A8138F" w:rsidRDefault="00A8138F" w:rsidP="00A8138F">
      <w:pPr>
        <w:pStyle w:val="TtuloResolucin"/>
      </w:pPr>
      <w:r>
        <w:t>Sala Primera</w:t>
      </w:r>
    </w:p>
    <w:p w14:paraId="58B7960D" w14:textId="77777777" w:rsidR="00A8138F" w:rsidRDefault="00A8138F" w:rsidP="00A8138F">
      <w:pPr>
        <w:pStyle w:val="TtuloBOE"/>
      </w:pPr>
      <w:r>
        <w:t>(BOE núm. 78, de 1 de abril de 2025)</w:t>
      </w:r>
    </w:p>
    <w:p w14:paraId="28531DC7" w14:textId="77777777" w:rsidR="00A8138F" w:rsidRDefault="00A8138F" w:rsidP="00A8138F">
      <w:pPr>
        <w:pStyle w:val="TextoNormalCentrado"/>
      </w:pPr>
      <w:r>
        <w:t>ECLI:ES:TC:2025:48</w:t>
      </w:r>
    </w:p>
    <w:p w14:paraId="3D87E9AB" w14:textId="221C075C" w:rsidR="00A8138F" w:rsidRDefault="00A8138F" w:rsidP="00A8138F">
      <w:pPr>
        <w:pStyle w:val="TextoNormalCentrado"/>
      </w:pPr>
    </w:p>
    <w:p w14:paraId="2F110AD2" w14:textId="77777777" w:rsidR="00A8138F" w:rsidRDefault="00A8138F" w:rsidP="00A8138F">
      <w:pPr>
        <w:pStyle w:val="SntesisDescriptiva"/>
      </w:pPr>
      <w:r>
        <w:t>Recurso de amparo 3301-2024. Promovido por doña Clara Pérez Balboa en relación con las resoluciones administrativas y judiciales que desestimaron su petición de revisión y ampliación de la prestación por nacimiento y cuidado de hijo menor, como madre biológica de familia monoparental.</w:t>
      </w:r>
    </w:p>
    <w:p w14:paraId="0380F339" w14:textId="5882DACF" w:rsidR="00A8138F" w:rsidRDefault="00A8138F" w:rsidP="00A8138F">
      <w:pPr>
        <w:pStyle w:val="SntesisDescriptiva"/>
      </w:pPr>
    </w:p>
    <w:p w14:paraId="4383989C"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B386A3C" w14:textId="0CCD8568" w:rsidR="00A8138F" w:rsidRDefault="00A8138F" w:rsidP="00A8138F">
      <w:pPr>
        <w:pStyle w:val="SntesisAnaltica"/>
      </w:pPr>
    </w:p>
    <w:p w14:paraId="39434A77" w14:textId="658C7C3D"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E43C067" w14:textId="77777777" w:rsidR="00A8138F" w:rsidRDefault="00A8138F" w:rsidP="00A8138F">
      <w:pPr>
        <w:pStyle w:val="Extracto"/>
      </w:pPr>
    </w:p>
    <w:p w14:paraId="3F0B1BD0" w14:textId="77777777" w:rsidR="00A8138F" w:rsidRDefault="00A8138F" w:rsidP="00A8138F">
      <w:pPr>
        <w:pStyle w:val="Extracto"/>
      </w:pPr>
    </w:p>
    <w:p w14:paraId="5B1AA5AB"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A4007EF" w14:textId="1185F527" w:rsidR="00A8138F" w:rsidRDefault="00A8138F" w:rsidP="00A8138F">
      <w:pPr>
        <w:pStyle w:val="TextoNormal"/>
      </w:pPr>
    </w:p>
    <w:p w14:paraId="23095BBB" w14:textId="77777777" w:rsidR="00A8138F" w:rsidRDefault="00A8138F" w:rsidP="00A8138F">
      <w:pPr>
        <w:pStyle w:val="TextoNormalCentrado"/>
        <w:keepNext/>
      </w:pPr>
      <w:r>
        <w:t>EN NOMBRE DEL REY</w:t>
      </w:r>
    </w:p>
    <w:p w14:paraId="349081CD" w14:textId="26D06041" w:rsidR="00A8138F" w:rsidRDefault="00A8138F" w:rsidP="00A8138F">
      <w:pPr>
        <w:pStyle w:val="TextoNormalCentrado"/>
        <w:keepNext/>
      </w:pPr>
    </w:p>
    <w:p w14:paraId="573AEF68" w14:textId="77777777" w:rsidR="00A8138F" w:rsidRDefault="00A8138F" w:rsidP="00A8138F">
      <w:pPr>
        <w:pStyle w:val="TextoNormalCentrado"/>
        <w:keepNext/>
      </w:pPr>
    </w:p>
    <w:p w14:paraId="50D8A32E" w14:textId="77777777" w:rsidR="00A8138F" w:rsidRDefault="00A8138F" w:rsidP="00A8138F">
      <w:pPr>
        <w:pStyle w:val="TextoNormal"/>
      </w:pPr>
      <w:r>
        <w:t>la siguiente</w:t>
      </w:r>
    </w:p>
    <w:p w14:paraId="6414396C" w14:textId="76EBD85F" w:rsidR="00A8138F" w:rsidRDefault="00A8138F" w:rsidP="00A8138F">
      <w:pPr>
        <w:pStyle w:val="TextoNormal"/>
      </w:pPr>
    </w:p>
    <w:p w14:paraId="2252FCE2" w14:textId="77777777" w:rsidR="00A8138F" w:rsidRDefault="00A8138F" w:rsidP="00A8138F">
      <w:pPr>
        <w:pStyle w:val="TextoNormalCentrado"/>
        <w:keepNext/>
      </w:pPr>
      <w:r>
        <w:t>SENTENCIA</w:t>
      </w:r>
    </w:p>
    <w:p w14:paraId="609CECF5" w14:textId="7F3B55AE" w:rsidR="00A8138F" w:rsidRDefault="00A8138F" w:rsidP="00A8138F">
      <w:pPr>
        <w:pStyle w:val="TextoNormalCentrado"/>
        <w:keepNext/>
      </w:pPr>
    </w:p>
    <w:p w14:paraId="61447201" w14:textId="77777777" w:rsidR="00A8138F" w:rsidRDefault="00A8138F" w:rsidP="00A8138F">
      <w:pPr>
        <w:pStyle w:val="TextoNormal"/>
      </w:pPr>
      <w:r>
        <w:t xml:space="preserve">En el recurso de amparo núm. 3301-2024, promovido por doña Clara Pérez Balboa contra la resolución de la Dirección Provincial de Madrid del Instituto Nacional de la Seguridad Social de 23 de agosto de 2021, sobre prestación por nacimiento y cuidado de hijo, como madre biológica de familia monoparental, confirmada por desestimación presunta de la reclamación previa formulada en el expediente núm. 28-2021-088119-13); la sentencia núm. 350/2022, de 20 de julio, del Juzgado de lo Social núm. 7 de Madrid dictada en los autos núm. 1285-2021; la sentencia de la Sección Sexta de la Sala de lo Social del Tribunal Superior de Justicia de Madrid núm. 203/2023, de 21 de marzo, dictada en el recurso de suplicación núm. 863-2022; y el auto de la Sala de lo Social del Tribunal Supremo de 3 de abril de 2024, dictado en el recurso de casación para la unificación de doctrina núm. 2271-2023. Ha comparecido la letrada de la administración de la Seguridad Social, en nombre del Instituto Nacional de la Seguridad Social y la Tesorería General de la Seguridad Social. Ha </w:t>
      </w:r>
      <w:r>
        <w:lastRenderedPageBreak/>
        <w:t>intervenido el Ministerio Fiscal. Ha sido ponente la magistrada doña María Luisa Segoviano Astaburuaga.</w:t>
      </w:r>
    </w:p>
    <w:p w14:paraId="25A38FEF" w14:textId="6FD1DE27" w:rsidR="00A8138F" w:rsidRDefault="00A8138F" w:rsidP="00A8138F">
      <w:pPr>
        <w:pStyle w:val="TextoNormal"/>
      </w:pPr>
    </w:p>
    <w:p w14:paraId="69F83BD9" w14:textId="77777777" w:rsidR="00A8138F" w:rsidRDefault="00A8138F" w:rsidP="00A8138F">
      <w:pPr>
        <w:pStyle w:val="TextoNormalNegritaCentrado"/>
        <w:keepNext/>
      </w:pPr>
      <w:r>
        <w:t>I. Antecedentes</w:t>
      </w:r>
    </w:p>
    <w:p w14:paraId="3C6583C7" w14:textId="1D7D4622" w:rsidR="00A8138F" w:rsidRDefault="00A8138F" w:rsidP="00A8138F">
      <w:pPr>
        <w:pStyle w:val="TextoNormalNegritaCentrado"/>
        <w:keepNext/>
      </w:pPr>
    </w:p>
    <w:p w14:paraId="3AB687BD" w14:textId="2A61321F" w:rsidR="00A8138F" w:rsidRDefault="00A8138F" w:rsidP="00A8138F">
      <w:pPr>
        <w:pStyle w:val="TextoNormal"/>
      </w:pPr>
      <w:r w:rsidRPr="00A8138F">
        <w:rPr>
          <w:rStyle w:val="NumeroAFNegritaCaracter"/>
        </w:rPr>
        <w:t>1</w:t>
      </w:r>
      <w:r>
        <w:t>. Mediante escrito registrado en el Tribunal el 7 de mayo de 2024, la procuradora de los tribunales doña María Isabel Torres Ruiz, en nombre y representación de doña Clara Pérez Balboa, bajo la dirección letrada de doña Susana Fuentes Gómez, interpuso recurso de amparo contra la decisión administrativa y las resoluciones judiciales a las que se ha hecho referencia en el encabezamiento de esta sentencia.</w:t>
      </w:r>
    </w:p>
    <w:p w14:paraId="5C723F4B" w14:textId="77777777" w:rsidR="00A8138F" w:rsidRDefault="00A8138F" w:rsidP="00A8138F">
      <w:pPr>
        <w:pStyle w:val="TextoNormal"/>
      </w:pPr>
    </w:p>
    <w:p w14:paraId="73A12400" w14:textId="77777777" w:rsidR="00A8138F" w:rsidRDefault="00A8138F" w:rsidP="00A8138F">
      <w:pPr>
        <w:pStyle w:val="TextoNormal"/>
      </w:pPr>
      <w:r w:rsidRPr="00A8138F">
        <w:rPr>
          <w:rStyle w:val="NumeroAFNegritaCaracter"/>
        </w:rPr>
        <w:t>2</w:t>
      </w:r>
      <w:r>
        <w:t>. El recurso tiene su origen en los siguientes antecedentes:</w:t>
      </w:r>
    </w:p>
    <w:p w14:paraId="79544728" w14:textId="77777777" w:rsidR="00A8138F" w:rsidRDefault="00A8138F" w:rsidP="00A8138F">
      <w:pPr>
        <w:pStyle w:val="TextoNormal"/>
      </w:pPr>
    </w:p>
    <w:p w14:paraId="231099EE" w14:textId="77777777" w:rsidR="00A8138F" w:rsidRDefault="00A8138F" w:rsidP="00A8138F">
      <w:pPr>
        <w:pStyle w:val="TextoNormal"/>
      </w:pPr>
      <w:r>
        <w:t>a) La demandante fue madre de un niño el 29 de junio de 2021 con el que formaba una familia monoparental. Mediante resolución de la Dirección Provincial de Madrid del Instituto Nacional de la Seguridad Social (INSS) de 23 de agosto de 2021, dictada en el expediente 28-2021-088119-13, obtuvo la prestación por nacimiento y cuidado de su hijo menor durante dieciséis semanas [art. 177 de la Ley general de la Seguridad Social (LGSS)]. La demandante formuló reclamación previa contra dicha resolución alegando que era precisa la ampliación de la prestación por dieciséis semanas adicionales, que es el periodo que hubiera correspondido al segundo progenitor en el supuesto de una familia biparental. La reclamación previa no fue resuelta en plazo.</w:t>
      </w:r>
    </w:p>
    <w:p w14:paraId="1B178125" w14:textId="77777777" w:rsidR="00A8138F" w:rsidRDefault="00A8138F" w:rsidP="00A8138F">
      <w:pPr>
        <w:pStyle w:val="TextoNormal"/>
      </w:pPr>
    </w:p>
    <w:p w14:paraId="2F697644" w14:textId="77777777" w:rsidR="00A8138F" w:rsidRDefault="00A8138F" w:rsidP="00A8138F">
      <w:pPr>
        <w:pStyle w:val="TextoNormal"/>
      </w:pPr>
      <w:r>
        <w:t>b) La demandante formuló demanda ante el Juzgado de lo Social núm. 7 de Madrid, dando lugar al procedimiento núm. 1285-2021, invocando, entre otros motivos, la vulneración del art. 14 CE. Fue desestimada por la sentencia núm. 350/2022, de 20 de julio, por considerar que lo que se estaba planteando era una discriminación por indiferenciación, que es ajeno al ámbito de protección del art. 14 CE.</w:t>
      </w:r>
    </w:p>
    <w:p w14:paraId="798400BB" w14:textId="77777777" w:rsidR="00A8138F" w:rsidRDefault="00A8138F" w:rsidP="00A8138F">
      <w:pPr>
        <w:pStyle w:val="TextoNormal"/>
      </w:pPr>
    </w:p>
    <w:p w14:paraId="4F77DB83" w14:textId="77777777" w:rsidR="00A8138F" w:rsidRDefault="00A8138F" w:rsidP="00A8138F">
      <w:pPr>
        <w:pStyle w:val="TextoNormal"/>
      </w:pPr>
      <w:r>
        <w:t>c) La demandante interpuso recurso de suplicación, con invocación del art. 14 CE, ante la Sección Sexta de la Sala de lo Social del Tribunal Superior de Justicia de Madrid, tramitado con el núm. 863-2022. Fue desestimado por la sentencia núm. 203/2023, de 21 de marzo, que confirmó en su integridad la sentencia de instancia.</w:t>
      </w:r>
    </w:p>
    <w:p w14:paraId="111DD6CE" w14:textId="77777777" w:rsidR="00A8138F" w:rsidRDefault="00A8138F" w:rsidP="00A8138F">
      <w:pPr>
        <w:pStyle w:val="TextoNormal"/>
      </w:pPr>
    </w:p>
    <w:p w14:paraId="76A761B2" w14:textId="151A86AF" w:rsidR="00A8138F" w:rsidRDefault="00A8138F" w:rsidP="00A8138F">
      <w:pPr>
        <w:pStyle w:val="TextoNormal"/>
      </w:pPr>
      <w:r>
        <w:t>d) La demandante interpuso recurso de casación para la unificación de doctrina, con invocación del art. 14 CE, ante la Sala de lo Social del Tribunal Supremo, tramitado con el núm. 2271-2023. Fue inadmitido por auto de 3 de abril de 2024 por falta de contenido casacional.</w:t>
      </w:r>
    </w:p>
    <w:p w14:paraId="602D92E0" w14:textId="77777777" w:rsidR="00A8138F" w:rsidRDefault="00A8138F" w:rsidP="00A8138F">
      <w:pPr>
        <w:pStyle w:val="TextoNormal"/>
      </w:pPr>
    </w:p>
    <w:p w14:paraId="4DD89D01" w14:textId="77777777" w:rsidR="00A8138F" w:rsidRDefault="00A8138F" w:rsidP="00A8138F">
      <w:pPr>
        <w:pStyle w:val="TextoNormal"/>
      </w:pPr>
      <w:r w:rsidRPr="00A8138F">
        <w:rPr>
          <w:rStyle w:val="NumeroAFNegritaCaracter"/>
        </w:rPr>
        <w:t>3</w:t>
      </w:r>
      <w:r>
        <w:t>. La demandante, con invocación del art. 14 CE, recurre en amparo la decisión administrativa de denegar la ampliación de la prestación por nacimiento y cuidado de hijo menor, como madre biológica de familia monoparental, y la confirmación judicial de esa decisión en todas las instancias, solicitando la nulidad de todas ellas, con retroacción de actuaciones al momento previo al dictado de la resolución del INSS de 23 de agosto de 2021 para que se dicte otra respetuosa con el derecho fundamental invocado.</w:t>
      </w:r>
    </w:p>
    <w:p w14:paraId="0A5126FF" w14:textId="77777777" w:rsidR="00A8138F" w:rsidRDefault="00A8138F" w:rsidP="00A8138F">
      <w:pPr>
        <w:pStyle w:val="TextoNormal"/>
      </w:pPr>
    </w:p>
    <w:p w14:paraId="751987B4" w14:textId="77777777" w:rsidR="00A8138F" w:rsidRDefault="00A8138F" w:rsidP="00A8138F">
      <w:pPr>
        <w:pStyle w:val="TextoNormal"/>
      </w:pPr>
      <w:r>
        <w:lastRenderedPageBreak/>
        <w:t>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14:paraId="6A830AE5" w14:textId="77777777" w:rsidR="00A8138F" w:rsidRDefault="00A8138F" w:rsidP="00A8138F">
      <w:pPr>
        <w:pStyle w:val="TextoNormal"/>
      </w:pPr>
    </w:p>
    <w:p w14:paraId="789BABA9" w14:textId="53725F93" w:rsidR="00A8138F" w:rsidRDefault="00A8138F" w:rsidP="00A8138F">
      <w:pPr>
        <w:pStyle w:val="TextoNormal"/>
      </w:pPr>
      <w:r>
        <w:t>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w:t>
      </w:r>
    </w:p>
    <w:p w14:paraId="7A792BCC" w14:textId="77777777" w:rsidR="00A8138F" w:rsidRDefault="00A8138F" w:rsidP="00A8138F">
      <w:pPr>
        <w:pStyle w:val="TextoNormal"/>
      </w:pPr>
    </w:p>
    <w:p w14:paraId="20A947C8" w14:textId="163407C2" w:rsidR="00A8138F" w:rsidRDefault="00A8138F" w:rsidP="00A8138F">
      <w:pPr>
        <w:pStyle w:val="TextoNormal"/>
      </w:pPr>
      <w:r w:rsidRPr="00A8138F">
        <w:rPr>
          <w:rStyle w:val="NumeroAFNegritaCaracter"/>
        </w:rPr>
        <w:t>4</w:t>
      </w:r>
      <w:r>
        <w:t>. La Sección Primera del Tribunal, por providencia de 21 de octubre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14:paraId="3E91E773" w14:textId="77777777" w:rsidR="00A8138F" w:rsidRDefault="00A8138F" w:rsidP="00A8138F">
      <w:pPr>
        <w:pStyle w:val="TextoNormal"/>
      </w:pPr>
    </w:p>
    <w:p w14:paraId="1D15C167" w14:textId="4EBE3D0C" w:rsidR="00A8138F" w:rsidRDefault="00A8138F" w:rsidP="00A8138F">
      <w:pPr>
        <w:pStyle w:val="TextoNormal"/>
      </w:pPr>
      <w:r w:rsidRPr="00A8138F">
        <w:rPr>
          <w:rStyle w:val="NumeroAFNegritaCaracter"/>
        </w:rPr>
        <w:t>5</w:t>
      </w:r>
      <w:r>
        <w:t>. La Secretaría de Justicia de la Sala Primera del Tribunal, por diligencia de ordenación de 30 de diciembre de 2024, tuvo por recibido el testimonio de las actuaciones, por personada y parte a la letrada de la administración de la Seguridad Social en nombre del INSS y de la Tesorería General de la Seguridad Social; y acordó dar vista de las actuaciones a las partes personadas y al Ministerio Fiscal, por plazo común de veinte días, a fin de que, conforme con lo previsto en el art. 52 de la Ley Orgánica del Tribunal Constitucional, pudieran presentar alegaciones.</w:t>
      </w:r>
    </w:p>
    <w:p w14:paraId="6734F4E5" w14:textId="77777777" w:rsidR="00A8138F" w:rsidRDefault="00A8138F" w:rsidP="00A8138F">
      <w:pPr>
        <w:pStyle w:val="TextoNormal"/>
      </w:pPr>
    </w:p>
    <w:p w14:paraId="71A5D9E7" w14:textId="77777777" w:rsidR="00A8138F" w:rsidRDefault="00A8138F" w:rsidP="00A8138F">
      <w:pPr>
        <w:pStyle w:val="TextoNormal"/>
      </w:pPr>
      <w:r w:rsidRPr="00A8138F">
        <w:rPr>
          <w:rStyle w:val="NumeroAFNegritaCaracter"/>
        </w:rPr>
        <w:t>6</w:t>
      </w:r>
      <w:r>
        <w:t>. El Ministerio Fiscal, mediante escrito registrado el 29 de enero de 2025, presentó alegaciones interesando la estimación del recurso de amparo por vulneración del derecho fundamental a la igualdad ante la ley sin discriminación por razón de nacimiento (art. 14 CE), para cuyo restablecimiento insta que se declare la nulidad de las resoluciones administrativas y judiciales impugnadas en amparo, con retroacción de actuaciones al momento en el que se dictó la resolución administrativa a fin de que, en los términos expuestos en la STC 140/2024, de 6 de noviembre, se dicte otra respetuosa con el derecho fundamental vulnerado.</w:t>
      </w:r>
    </w:p>
    <w:p w14:paraId="1C41CBD9" w14:textId="77777777" w:rsidR="00A8138F" w:rsidRDefault="00A8138F" w:rsidP="00A8138F">
      <w:pPr>
        <w:pStyle w:val="TextoNormal"/>
      </w:pPr>
    </w:p>
    <w:p w14:paraId="29022F4E" w14:textId="47C6815A" w:rsidR="00A8138F" w:rsidRDefault="00A8138F" w:rsidP="00A8138F">
      <w:pPr>
        <w:pStyle w:val="TextoNormal"/>
      </w:pPr>
      <w:r>
        <w:t xml:space="preserve">El Ministerio Fiscal, tras resumir la jurisprudencia constitucional establecida en la STC 140/2024, en la que se acuerda la inconstitucionalidad —sin nulidad— de los arts. 48.4 LET y 177 LGSS, hace aplicación de ella al presente recurso y considera que procede la estimación del recurso pues al aplicar los mencionados artículos, recientemente declarados inconstitucionales, las resoluciones impugnadas han producido la discriminación prohibida por el </w:t>
      </w:r>
      <w:r>
        <w:lastRenderedPageBreak/>
        <w:t>art. 14.1 CE, tanto de la demandante de amparo por constituir una familia monoparental, (por razón del modelo de familia), como del hijo por razón de nacimiento, por haber nacido en una familia monoparental.</w:t>
      </w:r>
    </w:p>
    <w:p w14:paraId="02AEAA88" w14:textId="77777777" w:rsidR="00A8138F" w:rsidRDefault="00A8138F" w:rsidP="00A8138F">
      <w:pPr>
        <w:pStyle w:val="TextoNormal"/>
      </w:pPr>
    </w:p>
    <w:p w14:paraId="45ECD576" w14:textId="3532E06B" w:rsidR="00A8138F" w:rsidRDefault="00A8138F" w:rsidP="00A8138F">
      <w:pPr>
        <w:pStyle w:val="TextoNormal"/>
      </w:pPr>
      <w:r w:rsidRPr="00A8138F">
        <w:rPr>
          <w:rStyle w:val="NumeroAFNegritaCaracter"/>
        </w:rPr>
        <w:t>7</w:t>
      </w:r>
      <w:r>
        <w:t>. La administración de la Seguridad Social, por escrito registrado el 15 de enero de 2025, presentó alegaciones allanándose a la demanda, poniendo de manifiesto que, a la vista de la jurisprudencia establecida en la STC 140/2024, de 6 de noviembre, y en las diversas sentencias que la aplican, la Dirección General del Servicio Jurídico de la Seguridad Social dictó la instrucción 10/2024, de 23 de diciembre, de la que se acompaña copia, en la que se autoriza su allanamiento en los recursos de amparo pendientes ante el Tribunal Constitucional que resulten afectados por lo establecido en el FJ 7 de la STC 140/2024, que es lo que sucede en el presente recurso.</w:t>
      </w:r>
    </w:p>
    <w:p w14:paraId="3050AB23" w14:textId="77777777" w:rsidR="00A8138F" w:rsidRDefault="00A8138F" w:rsidP="00A8138F">
      <w:pPr>
        <w:pStyle w:val="TextoNormal"/>
      </w:pPr>
    </w:p>
    <w:p w14:paraId="331F1128" w14:textId="49E1EEBE" w:rsidR="00A8138F" w:rsidRDefault="00A8138F" w:rsidP="00A8138F">
      <w:pPr>
        <w:pStyle w:val="TextoNormal"/>
      </w:pPr>
      <w:r w:rsidRPr="00A8138F">
        <w:rPr>
          <w:rStyle w:val="NumeroAFNegritaCaracter"/>
        </w:rPr>
        <w:t>8</w:t>
      </w:r>
      <w:r>
        <w:t>. La demandante de amparo no presentó alegaciones.</w:t>
      </w:r>
    </w:p>
    <w:p w14:paraId="7C11FC7B" w14:textId="77777777" w:rsidR="00A8138F" w:rsidRDefault="00A8138F" w:rsidP="00A8138F">
      <w:pPr>
        <w:pStyle w:val="TextoNormal"/>
      </w:pPr>
    </w:p>
    <w:p w14:paraId="53A8B8C4" w14:textId="0AC50DF9" w:rsidR="00A8138F" w:rsidRDefault="00A8138F" w:rsidP="00A8138F">
      <w:pPr>
        <w:pStyle w:val="TextoNormal"/>
      </w:pPr>
      <w:r w:rsidRPr="00A8138F">
        <w:rPr>
          <w:rStyle w:val="NumeroAFNegritaCaracter"/>
        </w:rPr>
        <w:t>9</w:t>
      </w:r>
      <w:r>
        <w:t>. Por providencia de 20 de febrero de 2025 se señaló para deliberación y votación de la presente sentencia el día 24 del mismo mes y año.</w:t>
      </w:r>
    </w:p>
    <w:p w14:paraId="0D1217FF" w14:textId="77777777" w:rsidR="00A8138F" w:rsidRDefault="00A8138F" w:rsidP="00A8138F">
      <w:pPr>
        <w:pStyle w:val="TextoNormal"/>
      </w:pPr>
    </w:p>
    <w:p w14:paraId="3F4EDBFD" w14:textId="77777777" w:rsidR="00A8138F" w:rsidRDefault="00A8138F" w:rsidP="00A8138F">
      <w:pPr>
        <w:pStyle w:val="TextoNormalNegritaCentrado"/>
        <w:keepNext/>
      </w:pPr>
      <w:r>
        <w:t>II. Fundamentos jurídicos</w:t>
      </w:r>
    </w:p>
    <w:p w14:paraId="5430278C" w14:textId="566A1906" w:rsidR="00A8138F" w:rsidRDefault="00A8138F" w:rsidP="00A8138F">
      <w:pPr>
        <w:pStyle w:val="TextoNormalNegritaCentrado"/>
        <w:keepNext/>
      </w:pPr>
    </w:p>
    <w:p w14:paraId="45BCB419"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45D76FC4" w14:textId="77777777" w:rsidR="00A8138F" w:rsidRDefault="00A8138F" w:rsidP="00A8138F">
      <w:pPr>
        <w:pStyle w:val="TextoNormal"/>
      </w:pPr>
    </w:p>
    <w:p w14:paraId="0AF3781A" w14:textId="6A5676BA" w:rsidR="00A8138F" w:rsidRDefault="00A8138F" w:rsidP="00A8138F">
      <w:pPr>
        <w:pStyle w:val="TextoNormal"/>
      </w:pPr>
      <w:r>
        <w:t>El objeto del presente proceso es determinar si las resoluciones impugnadas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 Decreto-ley 6/2019, de 1 de marzo, de medidas urgentes para garantía de la igualdad de trato y de oportunidades entre mujeres y hombres en el empleo y la ocupación.</w:t>
      </w:r>
    </w:p>
    <w:p w14:paraId="652FBCD8" w14:textId="77777777" w:rsidR="00A8138F" w:rsidRDefault="00A8138F" w:rsidP="00A8138F">
      <w:pPr>
        <w:pStyle w:val="TextoNormal"/>
      </w:pPr>
    </w:p>
    <w:p w14:paraId="30B91967"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35C0A9E0" w14:textId="77777777" w:rsidR="00A8138F" w:rsidRDefault="00A8138F" w:rsidP="00A8138F">
      <w:pPr>
        <w:pStyle w:val="TextoNormal"/>
      </w:pPr>
    </w:p>
    <w:p w14:paraId="2F614BB4" w14:textId="77777777" w:rsidR="00A8138F" w:rsidRDefault="00A8138F" w:rsidP="00A8138F">
      <w:pPr>
        <w:pStyle w:val="TextoNormal"/>
      </w:pPr>
      <w:r>
        <w:t>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5AE4FE2B" w14:textId="77777777" w:rsidR="00A8138F" w:rsidRDefault="00A8138F" w:rsidP="00A8138F">
      <w:pPr>
        <w:pStyle w:val="TextoNormal"/>
      </w:pPr>
    </w:p>
    <w:p w14:paraId="600618DA" w14:textId="77777777" w:rsidR="00A8138F" w:rsidRDefault="00A8138F" w:rsidP="00A8138F">
      <w:pPr>
        <w:pStyle w:val="TextoNormal"/>
      </w:pPr>
      <w: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w:t>
      </w:r>
      <w:r>
        <w:lastRenderedPageBreak/>
        <w:t>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AA7FEFF" w14:textId="77777777" w:rsidR="00A8138F" w:rsidRDefault="00A8138F" w:rsidP="00A8138F">
      <w:pPr>
        <w:pStyle w:val="TextoNormal"/>
      </w:pPr>
    </w:p>
    <w:p w14:paraId="3E15C718"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2AA1E46E" w14:textId="77777777" w:rsidR="00A8138F" w:rsidRDefault="00A8138F" w:rsidP="00A8138F">
      <w:pPr>
        <w:pStyle w:val="TextoNormal"/>
      </w:pPr>
    </w:p>
    <w:p w14:paraId="27C8BD98" w14:textId="02D74583" w:rsidR="00A8138F" w:rsidRDefault="00A8138F" w:rsidP="00A8138F">
      <w:pPr>
        <w:pStyle w:val="TextoNormal"/>
      </w:pPr>
      <w:r>
        <w:t>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6493AC2B" w14:textId="77777777" w:rsidR="00A8138F" w:rsidRDefault="00A8138F" w:rsidP="00A8138F">
      <w:pPr>
        <w:pStyle w:val="TextoNormal"/>
      </w:pPr>
    </w:p>
    <w:p w14:paraId="172704A5" w14:textId="77777777" w:rsidR="00A8138F" w:rsidRDefault="00A8138F" w:rsidP="00A8138F">
      <w:pPr>
        <w:pStyle w:val="TextoNormalCentrado"/>
        <w:keepNext/>
      </w:pPr>
      <w:r>
        <w:t>FALLO</w:t>
      </w:r>
    </w:p>
    <w:p w14:paraId="2091173F" w14:textId="793591CB" w:rsidR="00A8138F" w:rsidRDefault="00A8138F" w:rsidP="00A8138F">
      <w:pPr>
        <w:pStyle w:val="TextoNormalCentrado"/>
        <w:keepNext/>
      </w:pPr>
    </w:p>
    <w:p w14:paraId="03E94A56"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Clara Pérez Balboa y, en su virtud:</w:t>
      </w:r>
    </w:p>
    <w:p w14:paraId="426E290F" w14:textId="77777777" w:rsidR="00A8138F" w:rsidRDefault="00A8138F" w:rsidP="00A8138F">
      <w:pPr>
        <w:pStyle w:val="TextoNormal"/>
      </w:pPr>
    </w:p>
    <w:p w14:paraId="393C4A20" w14:textId="77777777" w:rsidR="00A8138F" w:rsidRDefault="00A8138F" w:rsidP="00A8138F">
      <w:pPr>
        <w:pStyle w:val="TextoNormal"/>
      </w:pPr>
      <w:r>
        <w:t>1º Declarar que se ha vulnerado el derecho fundamental a la igualdad ante la ley sin que proceda discriminación por razón de nacimiento (art. 14 CE).</w:t>
      </w:r>
    </w:p>
    <w:p w14:paraId="367C833C" w14:textId="77777777" w:rsidR="00A8138F" w:rsidRDefault="00A8138F" w:rsidP="00A8138F">
      <w:pPr>
        <w:pStyle w:val="TextoNormal"/>
      </w:pPr>
    </w:p>
    <w:p w14:paraId="51BB5E2B" w14:textId="77777777" w:rsidR="00A8138F" w:rsidRDefault="00A8138F" w:rsidP="00A8138F">
      <w:pPr>
        <w:pStyle w:val="TextoNormal"/>
      </w:pPr>
      <w:r>
        <w:t xml:space="preserve">2º Restablecer a la recurrente en su derecho y, a tal fin, declarar la nulidad de la resolución de la Dirección Provincial de Madrid del Instituto Nacional de la Seguridad Social de 23 de agosto de 2021, pronunciada en el expediente núm. 28-2021-088119-13; de la sentencia núm. 350/2022, de 20 de julio, del Juzgado de lo Social núm. 7 de Madrid, pronunciada en el procedimiento núm. 1285-2021; de la sentencia de la Sección Sexta de la Sala de lo Social del Tribunal Superior de Justicia de Madrid núm. 203/2023, de 21 de marzo, pronunciada en el recurso de suplicación núm. 863-2022; y del auto de la Sala de lo Social </w:t>
      </w:r>
      <w:r>
        <w:lastRenderedPageBreak/>
        <w:t>del Tribunal Supremo de 3 de abril de 2024, pronunciado en el recurso de casación para la unificación de doctrina núm. 2271-2023.</w:t>
      </w:r>
    </w:p>
    <w:p w14:paraId="72DF155A" w14:textId="77777777" w:rsidR="00A8138F" w:rsidRDefault="00A8138F" w:rsidP="00A8138F">
      <w:pPr>
        <w:pStyle w:val="TextoNormal"/>
      </w:pPr>
    </w:p>
    <w:p w14:paraId="1DE57517" w14:textId="704C38D2" w:rsidR="00A8138F" w:rsidRDefault="00A8138F" w:rsidP="00A8138F">
      <w:pPr>
        <w:pStyle w:val="TextoNormal"/>
      </w:pPr>
      <w:r>
        <w:t>3º Retrotraer las actuaciones al momento previo al pronunciamiento de la resolución administrativa anulada a fin de que, en los términos expuestos en el último párrafo del FJ 2, se dicte otra respetuosa con el derecho fundamental reconocido.</w:t>
      </w:r>
    </w:p>
    <w:p w14:paraId="4A3966B2" w14:textId="77777777" w:rsidR="00A8138F" w:rsidRDefault="00A8138F" w:rsidP="00A8138F">
      <w:pPr>
        <w:pStyle w:val="TextoNormal"/>
      </w:pPr>
    </w:p>
    <w:p w14:paraId="28934279" w14:textId="77777777" w:rsidR="00A8138F" w:rsidRDefault="00A8138F" w:rsidP="00A8138F">
      <w:pPr>
        <w:pStyle w:val="TextoNormal"/>
      </w:pPr>
      <w:r>
        <w:t>Publíquese esta sentencia en el “Boletín Oficial del Estado”.</w:t>
      </w:r>
    </w:p>
    <w:p w14:paraId="5C612ED0" w14:textId="77777777" w:rsidR="00A8138F" w:rsidRDefault="00A8138F" w:rsidP="00A8138F">
      <w:pPr>
        <w:pStyle w:val="TextoNormal"/>
      </w:pPr>
      <w:r>
        <w:t>Dada en Madrid, a veinticuatro de febrero de dos mil veinticinco.</w:t>
      </w:r>
    </w:p>
    <w:p w14:paraId="1B8896B0" w14:textId="6209A352" w:rsidR="00A8138F" w:rsidRDefault="00A8138F">
      <w:pPr>
        <w:spacing w:after="160" w:line="278" w:lineRule="auto"/>
        <w:rPr>
          <w:rFonts w:ascii="Times New Roman" w:eastAsia="Times New Roman" w:hAnsi="Times New Roman" w:cs="Times New Roman"/>
          <w:sz w:val="24"/>
          <w:szCs w:val="24"/>
          <w:lang w:eastAsia="es-ES"/>
        </w:rPr>
      </w:pPr>
      <w:r>
        <w:br w:type="page"/>
      </w:r>
    </w:p>
    <w:p w14:paraId="2094C322" w14:textId="77777777" w:rsidR="00A8138F" w:rsidRDefault="00A8138F" w:rsidP="00A8138F">
      <w:pPr>
        <w:pStyle w:val="TtuloResolucin"/>
      </w:pPr>
      <w:bookmarkStart w:id="51" w:name="SENTENCIA_2025_49"/>
      <w:r>
        <w:lastRenderedPageBreak/>
        <w:t>SENTENCIA 49/2025, de 24 de febrero de 2025</w:t>
      </w:r>
    </w:p>
    <w:bookmarkEnd w:id="51"/>
    <w:p w14:paraId="1B3B41BA" w14:textId="77777777" w:rsidR="00A8138F" w:rsidRDefault="00A8138F" w:rsidP="00A8138F">
      <w:pPr>
        <w:pStyle w:val="TtuloResolucin"/>
      </w:pPr>
      <w:r>
        <w:t>Sala Segunda</w:t>
      </w:r>
    </w:p>
    <w:p w14:paraId="556C10B3" w14:textId="77777777" w:rsidR="00A8138F" w:rsidRDefault="00A8138F" w:rsidP="00A8138F">
      <w:pPr>
        <w:pStyle w:val="TtuloBOE"/>
      </w:pPr>
      <w:r>
        <w:t>(BOE núm. 78, de 1 de abril de 2025)</w:t>
      </w:r>
    </w:p>
    <w:p w14:paraId="4D39088B" w14:textId="77777777" w:rsidR="00A8138F" w:rsidRDefault="00A8138F" w:rsidP="00A8138F">
      <w:pPr>
        <w:pStyle w:val="TextoNormalCentrado"/>
      </w:pPr>
      <w:r>
        <w:t>ECLI:ES:TC:2025:49</w:t>
      </w:r>
    </w:p>
    <w:p w14:paraId="284085DF" w14:textId="4E5C7D20" w:rsidR="00A8138F" w:rsidRDefault="00A8138F" w:rsidP="00A8138F">
      <w:pPr>
        <w:pStyle w:val="TextoNormalCentrado"/>
      </w:pPr>
    </w:p>
    <w:p w14:paraId="6E91D5A9" w14:textId="77777777" w:rsidR="00A8138F" w:rsidRDefault="00A8138F" w:rsidP="00A8138F">
      <w:pPr>
        <w:pStyle w:val="SntesisDescriptiva"/>
      </w:pPr>
      <w:r>
        <w:t>Recurso de amparo 4406-2024. Promovido por don Gheorghe Bortas respecto de los autos dictados por la Audiencia Provincial de Navarra en ejecución de sentencia penal.</w:t>
      </w:r>
    </w:p>
    <w:p w14:paraId="477888B3" w14:textId="76211790" w:rsidR="00A8138F" w:rsidRDefault="00A8138F" w:rsidP="00A8138F">
      <w:pPr>
        <w:pStyle w:val="SntesisDescriptiva"/>
      </w:pPr>
    </w:p>
    <w:p w14:paraId="77E31F58" w14:textId="77777777" w:rsidR="00A8138F" w:rsidRDefault="00A8138F" w:rsidP="00A8138F">
      <w:pPr>
        <w:pStyle w:val="SntesisAnaltica"/>
      </w:pPr>
      <w:r>
        <w:t>Vulneración del derecho a la tutela judicial efectiva en relación con el derecho a la libertad personal: revocación de la suspensión de la pena de prisión, al no haberse satisfecho la responsabilidad civil, que no satisface las exigencias constitucionales de motivación reforzada (STC 32/2022).</w:t>
      </w:r>
    </w:p>
    <w:p w14:paraId="3576A154" w14:textId="6605643B" w:rsidR="00A8138F" w:rsidRDefault="00A8138F" w:rsidP="00A8138F">
      <w:pPr>
        <w:pStyle w:val="SntesisAnaltica"/>
      </w:pPr>
    </w:p>
    <w:p w14:paraId="12BC5F0B" w14:textId="381C5092" w:rsidR="00A8138F" w:rsidRDefault="00A8138F" w:rsidP="00A8138F">
      <w:pPr>
        <w:pStyle w:val="Extracto"/>
      </w:pPr>
      <w:r>
        <w:t>1.</w:t>
      </w:r>
      <w:r>
        <w:tab/>
        <w:t>Las resoluciones judiciales de revocación de la suspensión de la pena vulneran el derecho a la tutela judicial efectiva en relación con el derecho a la libertad personal, si no cumplen con las exigencias de motivación específica o reforzada y de análisis de la capacidad económica del penado en el momento de acordar la revocación (STC 32/2022) [FJ Único].</w:t>
      </w:r>
    </w:p>
    <w:p w14:paraId="440C0767" w14:textId="77777777" w:rsidR="00A8138F" w:rsidRDefault="00A8138F" w:rsidP="00A8138F">
      <w:pPr>
        <w:pStyle w:val="Extracto"/>
      </w:pPr>
    </w:p>
    <w:p w14:paraId="2CD8B048" w14:textId="77777777" w:rsidR="00A8138F" w:rsidRDefault="00A8138F" w:rsidP="00A8138F">
      <w:pPr>
        <w:pStyle w:val="Extracto"/>
      </w:pPr>
    </w:p>
    <w:p w14:paraId="1C5C07AA"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3D41D67" w14:textId="5929317A" w:rsidR="00A8138F" w:rsidRDefault="00A8138F" w:rsidP="00A8138F">
      <w:pPr>
        <w:pStyle w:val="TextoNormal"/>
      </w:pPr>
    </w:p>
    <w:p w14:paraId="46F2E580" w14:textId="77777777" w:rsidR="00A8138F" w:rsidRDefault="00A8138F" w:rsidP="00A8138F">
      <w:pPr>
        <w:pStyle w:val="TextoNormalCentrado"/>
        <w:keepNext/>
      </w:pPr>
      <w:r>
        <w:t>EN NOMBRE DEL REY</w:t>
      </w:r>
    </w:p>
    <w:p w14:paraId="0DAF27D6" w14:textId="1397F085" w:rsidR="00A8138F" w:rsidRDefault="00A8138F" w:rsidP="00A8138F">
      <w:pPr>
        <w:pStyle w:val="TextoNormalCentrado"/>
        <w:keepNext/>
      </w:pPr>
    </w:p>
    <w:p w14:paraId="1729ED82" w14:textId="77777777" w:rsidR="00A8138F" w:rsidRDefault="00A8138F" w:rsidP="00A8138F">
      <w:pPr>
        <w:pStyle w:val="TextoNormalCentrado"/>
        <w:keepNext/>
      </w:pPr>
    </w:p>
    <w:p w14:paraId="79C711EB" w14:textId="77777777" w:rsidR="00A8138F" w:rsidRDefault="00A8138F" w:rsidP="00A8138F">
      <w:pPr>
        <w:pStyle w:val="TextoNormal"/>
      </w:pPr>
      <w:r>
        <w:t>la siguiente</w:t>
      </w:r>
    </w:p>
    <w:p w14:paraId="18C6DDB2" w14:textId="2033AED6" w:rsidR="00A8138F" w:rsidRDefault="00A8138F" w:rsidP="00A8138F">
      <w:pPr>
        <w:pStyle w:val="TextoNormal"/>
      </w:pPr>
    </w:p>
    <w:p w14:paraId="14A756E3" w14:textId="77777777" w:rsidR="00A8138F" w:rsidRDefault="00A8138F" w:rsidP="00A8138F">
      <w:pPr>
        <w:pStyle w:val="TextoNormalCentrado"/>
        <w:keepNext/>
      </w:pPr>
      <w:r>
        <w:t>SENTENCIA</w:t>
      </w:r>
    </w:p>
    <w:p w14:paraId="2480421D" w14:textId="677528B3" w:rsidR="00A8138F" w:rsidRDefault="00A8138F" w:rsidP="00A8138F">
      <w:pPr>
        <w:pStyle w:val="TextoNormalCentrado"/>
        <w:keepNext/>
      </w:pPr>
    </w:p>
    <w:p w14:paraId="46658813" w14:textId="77777777" w:rsidR="00A8138F" w:rsidRDefault="00A8138F" w:rsidP="00A8138F">
      <w:pPr>
        <w:pStyle w:val="TextoNormal"/>
      </w:pPr>
      <w:r>
        <w:t>En el recurso de amparo núm. 4406-2024, promovido por don Gheorghe Bortas, contra los autos de 1 de marzo, 24 de abril y 6 y 29 de mayo de 2024, dictados por la Sección Segunda de la Audiencia Provincial de Navarra en la ejecutoria penal núm. 7-2023. Ha sido parte Multiservicios Covianca, S.L. Ha intervenido el Ministerio Fiscal. Ha sido ponente el magistrado don Ramón Sáez Valcárcel.</w:t>
      </w:r>
    </w:p>
    <w:p w14:paraId="5F1C9B55" w14:textId="348AA841" w:rsidR="00A8138F" w:rsidRDefault="00A8138F" w:rsidP="00A8138F">
      <w:pPr>
        <w:pStyle w:val="TextoNormal"/>
      </w:pPr>
    </w:p>
    <w:p w14:paraId="634A8A54" w14:textId="77777777" w:rsidR="00A8138F" w:rsidRDefault="00A8138F" w:rsidP="00A8138F">
      <w:pPr>
        <w:pStyle w:val="TextoNormalNegritaCentrado"/>
        <w:keepNext/>
      </w:pPr>
      <w:r>
        <w:t>I. Antecedentes</w:t>
      </w:r>
    </w:p>
    <w:p w14:paraId="70ECAD46" w14:textId="42C038A9" w:rsidR="00A8138F" w:rsidRDefault="00A8138F" w:rsidP="00A8138F">
      <w:pPr>
        <w:pStyle w:val="TextoNormalNegritaCentrado"/>
        <w:keepNext/>
      </w:pPr>
    </w:p>
    <w:p w14:paraId="53FF6DC6" w14:textId="240CB57B" w:rsidR="00A8138F" w:rsidRDefault="00A8138F" w:rsidP="00A8138F">
      <w:pPr>
        <w:pStyle w:val="TextoNormal"/>
      </w:pPr>
      <w:r w:rsidRPr="00A8138F">
        <w:rPr>
          <w:rStyle w:val="NumeroAFNegritaCaracter"/>
        </w:rPr>
        <w:t>1</w:t>
      </w:r>
      <w:r>
        <w:t>. Don Gheorghe Bortas, representado por la procuradora de los tribunales doña Mercedes Espallargas Carbó y asistido de la abogada doña Mónica González Crespo, interpuso recurso de amparo contra las resoluciones que se mencionan en el encabezamiento, mediante escrito presentado en el registro electrónico de este tribunal el 12 de junio de 2024.</w:t>
      </w:r>
    </w:p>
    <w:p w14:paraId="5228899D" w14:textId="77777777" w:rsidR="00A8138F" w:rsidRDefault="00A8138F" w:rsidP="00A8138F">
      <w:pPr>
        <w:pStyle w:val="TextoNormal"/>
      </w:pPr>
    </w:p>
    <w:p w14:paraId="7782C5B1" w14:textId="77777777" w:rsidR="00A8138F" w:rsidRDefault="00A8138F" w:rsidP="00A8138F">
      <w:pPr>
        <w:pStyle w:val="TextoNormal"/>
      </w:pPr>
      <w:r w:rsidRPr="00A8138F">
        <w:rPr>
          <w:rStyle w:val="NumeroAFNegritaCaracter"/>
        </w:rPr>
        <w:t>2</w:t>
      </w:r>
      <w:r>
        <w:t>. Los antecedentes relevantes para resolver el recurso son los siguientes:</w:t>
      </w:r>
    </w:p>
    <w:p w14:paraId="2FDCDFE0" w14:textId="77777777" w:rsidR="00A8138F" w:rsidRDefault="00A8138F" w:rsidP="00A8138F">
      <w:pPr>
        <w:pStyle w:val="TextoNormal"/>
      </w:pPr>
    </w:p>
    <w:p w14:paraId="55B172E5" w14:textId="77777777" w:rsidR="00A8138F" w:rsidRDefault="00A8138F" w:rsidP="00A8138F">
      <w:pPr>
        <w:pStyle w:val="TextoNormal"/>
      </w:pPr>
      <w:r>
        <w:t>a) El recurrente fue condenado en sentencia núm. 131/2021, de 16 de junio, de la Sección Segunda de la Audiencia Provincial de Navarra, como autor de un delito de estafa agravada por el valor de la defraudación a una pena de prisión de dos años, multa de ocho meses con una cuota diaria de seis euros (1440 €), y al pago a Multiservicios Covianca, S.L., empresa perjudicada y acusación particular en el procedimiento, de 160 395,10 €, en concepto de responsabilidad civil.</w:t>
      </w:r>
    </w:p>
    <w:p w14:paraId="53CCDD0B" w14:textId="77777777" w:rsidR="00A8138F" w:rsidRDefault="00A8138F" w:rsidP="00A8138F">
      <w:pPr>
        <w:pStyle w:val="TextoNormal"/>
      </w:pPr>
    </w:p>
    <w:p w14:paraId="432F7401" w14:textId="77777777" w:rsidR="00A8138F" w:rsidRDefault="00A8138F" w:rsidP="00A8138F">
      <w:pPr>
        <w:pStyle w:val="TextoNormal"/>
      </w:pPr>
      <w:r>
        <w:t>Firme la sentencia desde el 7 de diciembre de 2022, la Sección Segunda de la Audiencia Provincial de Navarra, en la ejecutoria núm. 7-2023, por auto de 20 de febrero de 2023, aclarado por auto del día 24, acordó la suspensión de la ejecución de la pena de prisión por un plazo de cinco años, a condición de que el penado satisficiese el total de 161 835,10 € (la suma de la responsabilidad civil y la multa), en plazos de 10 114,69 € mensuales. La resolución motivaba el plazo de cinco años de suspensión atendiendo a la gravedad de los hechos y disponía ese fraccionamiento de la cantidad total, a la vista de que el plazo máximo legal para abonar la multa no podía exceder de dos años (art. 50.6 del Código penal: CP) y de que las reglas de imputación de pagos otorgaban preferencia a la indemnización frente a la multa (art. 126.1.1 y 5 CP).</w:t>
      </w:r>
    </w:p>
    <w:p w14:paraId="2F552BDA" w14:textId="77777777" w:rsidR="00A8138F" w:rsidRDefault="00A8138F" w:rsidP="00A8138F">
      <w:pPr>
        <w:pStyle w:val="TextoNormal"/>
      </w:pPr>
    </w:p>
    <w:p w14:paraId="5F13465E" w14:textId="77777777" w:rsidR="00A8138F" w:rsidRDefault="00A8138F" w:rsidP="00A8138F">
      <w:pPr>
        <w:pStyle w:val="TextoNormal"/>
      </w:pPr>
      <w:r>
        <w:t>b) En el curso de la ejecutoria se suscitó la cuestión de la revocación de la suspensión de la ejecución de la pena de prisión de dos años impuesta en dos ocasiones.</w:t>
      </w:r>
    </w:p>
    <w:p w14:paraId="0F22DAA1" w14:textId="77777777" w:rsidR="00A8138F" w:rsidRDefault="00A8138F" w:rsidP="00A8138F">
      <w:pPr>
        <w:pStyle w:val="TextoNormal"/>
      </w:pPr>
    </w:p>
    <w:p w14:paraId="19B2447C" w14:textId="77777777" w:rsidR="00A8138F" w:rsidRDefault="00A8138F" w:rsidP="00A8138F">
      <w:pPr>
        <w:pStyle w:val="TextoNormal"/>
      </w:pPr>
      <w:r>
        <w:t>(i) En la primera ocasión la Sección Segunda de la Audiencia Provincial de Navarra, tras oír a las partes (a la representación procesal del penado en escritos de 22 y 31 de mayo y de 2 de junio de 2023), resolvió la cuestión en sentido negativo mediante auto de 9 de junio de 2023. La resolución constataba que el penado había desatendido parte de los pagos y que la cantidad satisfecha ascendía a 25 114,69 €, por lo que, no siendo dicha cantidad simbólica, sino relevante a efectos de abonar la responsabilidad civil, no se justificaba “una medida tan gravosa como la revocación del beneficio concedido y ordenar el ingreso en prisión”. En la parte dispositiva del auto se requería al penado, a través de su representación procesal, para que se ajuste al calendario de pagos fijado por esta Sala, debiéndose poner al día de los impagos existentes en el “plazo máximo de tres meses […], bajo apercibimiento de que, caso de no ajustarse al calendario de pagos y ponerse al día, podrá procederse a revocar el beneficio”.</w:t>
      </w:r>
    </w:p>
    <w:p w14:paraId="1FFD4AFB" w14:textId="77777777" w:rsidR="00A8138F" w:rsidRDefault="00A8138F" w:rsidP="00A8138F">
      <w:pPr>
        <w:pStyle w:val="TextoNormal"/>
      </w:pPr>
    </w:p>
    <w:p w14:paraId="24955622" w14:textId="77777777" w:rsidR="00A8138F" w:rsidRDefault="00A8138F" w:rsidP="00A8138F">
      <w:pPr>
        <w:pStyle w:val="TextoNormal"/>
      </w:pPr>
      <w:r>
        <w:t>La representación procesal del penado, en escrito de 23 de octubre de 2023, aportó justificantes de ingresos por importe de 14 000 € de los meses de julio, agosto y septiembre de 2023. Y, en escrito de 21 de diciembre de 2023, aportó justificantes afirmando haber realizado, el 5 y 19 de diciembre de 2023, dos transferencias por una suma total de 6000 € que habían sido devueltas por causas que no le eran imputables.</w:t>
      </w:r>
    </w:p>
    <w:p w14:paraId="38A65A23" w14:textId="77777777" w:rsidR="00A8138F" w:rsidRDefault="00A8138F" w:rsidP="00A8138F">
      <w:pPr>
        <w:pStyle w:val="TextoNormal"/>
      </w:pPr>
    </w:p>
    <w:p w14:paraId="7450B933" w14:textId="77777777" w:rsidR="00A8138F" w:rsidRDefault="00A8138F" w:rsidP="00A8138F">
      <w:pPr>
        <w:pStyle w:val="TextoNormal"/>
      </w:pPr>
      <w:r>
        <w:t>(ii) En la segunda ocasión la Sección Segunda de la Audiencia Provincial de Navarra acordó revocar la suspensión pero, con anterioridad a dicha decisión, el órgano judicial requirió al penado, a través de su representación procesal, en los términos siguientes.</w:t>
      </w:r>
    </w:p>
    <w:p w14:paraId="76133FF3" w14:textId="77777777" w:rsidR="00A8138F" w:rsidRDefault="00A8138F" w:rsidP="00A8138F">
      <w:pPr>
        <w:pStyle w:val="TextoNormal"/>
      </w:pPr>
    </w:p>
    <w:p w14:paraId="53F7B104" w14:textId="77777777" w:rsidR="00A8138F" w:rsidRDefault="00A8138F" w:rsidP="00A8138F">
      <w:pPr>
        <w:pStyle w:val="TextoNormal"/>
      </w:pPr>
      <w:r>
        <w:t xml:space="preserve">Por diligencia de ordenación de 15 de enero de 2024 se le requirió para que en el plazo máximo de quince días procediese “al pago del importe total de la cantidad de responsabilidad civil pendiente de pago, bajo apercibimiento expreso de revocación de la suspensión </w:t>
      </w:r>
      <w:r>
        <w:lastRenderedPageBreak/>
        <w:t>de la pena de prisión”. Su representación procesal, en escrito de 7 de febrero de 2024, reiteró las alegaciones sobre las transferencias fallidas, alegó haber abonado el 30 por 100 de la responsabilidad civil desde el inicio de la obligación de pago en abril de 2023, de modo que, con tales datos y debiéndose “haber hecho el pago total antes del transcurso de dos años […] sería desproporcionado y carente de fundamento exigir el pago total inmediato de la cantidad y la revocación de la suspensión de la pena privativa de libertad”.</w:t>
      </w:r>
    </w:p>
    <w:p w14:paraId="4A224FAD" w14:textId="77777777" w:rsidR="00A8138F" w:rsidRDefault="00A8138F" w:rsidP="00A8138F">
      <w:pPr>
        <w:pStyle w:val="TextoNormal"/>
      </w:pPr>
    </w:p>
    <w:p w14:paraId="3E155D9B" w14:textId="77777777" w:rsidR="00A8138F" w:rsidRDefault="00A8138F" w:rsidP="00A8138F">
      <w:pPr>
        <w:pStyle w:val="TextoNormal"/>
      </w:pPr>
      <w:r>
        <w:t>Por diligencia de ordenación de 19 de febrero de 2024, y también por providencia de la misma fecha y con idéntico tenor, se le requirió para que, “en el plazo improrrogable de cinco días”, se pusiera al día en el calendario de pagos, con obligación, en caso de existir problemas con la cuenta de ingreso, de “consignar dicha cantidad en la cuenta de depósitos y consignaciones de esta audiencia”. Su representación procesal, en escrito de 28 de febrero de 2024, solicitó “la continuidad en los pagos parciales” en su día establecidos y reputó improcedente “la reclamación a mi mandante del pago, en una sola vez y con carácter inmediato, del total importe que a fecha de hoy se adeuda, ni desde luego la revocación de la suspensión de la pena privativa de libertad”. La defensa reiteró que se le estaba exigiendo el pago total antes del transcurso de los dos años, que había abonado 42 114,69 €, aproximadamente el 30 por 100 de la responsabilidad civil, con lo que quedaba patente su voluntad de pagar, y la dificultad de hacer frente a la deuda de una sola vez por falta liquidez, que tampoco podría conseguir con la venta de su vivienda, puesto que estaba embargada, “y en cualquier caso, si pudiera, se quedaría en la calle”. Además, citaba la STC 32/2022, de 7 de marzo, alegando que la sentencia dictaminaba que no se podía revocar la suspensión sin haber “oído personalmente al reo en una vista contradictoria”, y que el incumplimiento del compromiso de pago no implicaba la revocación automática de la suspensión, sino que exigía “comprobar la paralela capacidad económica para satisfacerlo, de manera que la suspensión de la pena no puede quedar condicionada al pago de una condena civil si no hay capacidad real de pago”.</w:t>
      </w:r>
    </w:p>
    <w:p w14:paraId="39CE49E4" w14:textId="77777777" w:rsidR="00A8138F" w:rsidRDefault="00A8138F" w:rsidP="00A8138F">
      <w:pPr>
        <w:pStyle w:val="TextoNormal"/>
      </w:pPr>
    </w:p>
    <w:p w14:paraId="233E8DFD" w14:textId="77777777" w:rsidR="00A8138F" w:rsidRDefault="00A8138F" w:rsidP="00A8138F">
      <w:pPr>
        <w:pStyle w:val="TextoNormal"/>
      </w:pPr>
      <w:r>
        <w:t>c) La Sección Segunda de la Audiencia Provincial de Navarra, por auto de 1 de marzo de 2024, resolvió revocar “el beneficio de la suspensión concedido, salvo que en el plazo de un mes” abone “los plazos pendientes para ponerse al día”. La decisión se justificaba en que los impagos eran graves y reiterados, a pesar de haberse concedido al penado la oportunidad de ponerse al día en el primer auto de 9 de junio de 2023 desestimatorio de la revocación. “[E]l penado no cumple con lo ordenado, siendo que a fecha febrero de 2024 de los 121 376,28 € que debería haber abonado, tan solo había ingresado 41 114,69 €; siendo el total impuesto en sentencia de 161 835,04 €. […] aun cuando fueran ciertas las alegadas devoluciones de transferencias y contabilizado el último pago de 3000 € de febrero, el penado está muy lejos de cumplir los plazos fijados en sentencia”.</w:t>
      </w:r>
    </w:p>
    <w:p w14:paraId="0E0AD9BE" w14:textId="77777777" w:rsidR="00A8138F" w:rsidRDefault="00A8138F" w:rsidP="00A8138F">
      <w:pPr>
        <w:pStyle w:val="TextoNormal"/>
      </w:pPr>
    </w:p>
    <w:p w14:paraId="092D7621" w14:textId="77777777" w:rsidR="00A8138F" w:rsidRDefault="00A8138F" w:rsidP="00A8138F">
      <w:pPr>
        <w:pStyle w:val="TextoNormal"/>
      </w:pPr>
      <w:r>
        <w:t>Frente al auto revocatorio de la suspensión la representación procesal del penado, en escrito de 12 de marzo de 2024, interpuso recurso de súplica. Se alegaba, como se alegó en los escritos anteriores atendiendo a los requerimientos del tribunal, que la entrada en prisión significaría el cese inmediato en la obtención de ingresos en perjuicio de los intereses de la víctima, que se vulneraba el art. 17 CE, que no concurrían los requisitos de la ya citada doctrina constitucional para revocar la suspensión, que hasta marzo de 2024 se habían abonado 45 114,69 €, por lo que “el Sr. Bortas ni ha incumplido su obligación de pago ni desde luego se pueden calificar de graves y reiteradas las irregularidades que hayan podido acaecer, que además tuvieron su origen en errores del banco”, “resulta desproporcionado y ca</w:t>
      </w:r>
      <w:r>
        <w:lastRenderedPageBreak/>
        <w:t>rente de fundamento exigir el pago total inmediato para la puesta al día del calendario de pagos”.</w:t>
      </w:r>
    </w:p>
    <w:p w14:paraId="5BBBB616" w14:textId="77777777" w:rsidR="00A8138F" w:rsidRDefault="00A8138F" w:rsidP="00A8138F">
      <w:pPr>
        <w:pStyle w:val="TextoNormal"/>
      </w:pPr>
    </w:p>
    <w:p w14:paraId="51CC31FB" w14:textId="77777777" w:rsidR="00A8138F" w:rsidRDefault="00A8138F" w:rsidP="00A8138F">
      <w:pPr>
        <w:pStyle w:val="TextoNormal"/>
      </w:pPr>
      <w:r>
        <w:t>El fiscal y la acusación particular se opusieron al recurso y la Sección Segunda de la Audiencia Provincial de Navarra, por auto de 24 de abril de 2024, lo desestimó, dado que “pese al tiempo transcurrido y las diversas oportunidades dadas, el penado ha abonado 41 114,69 € […], lo que supone un tercio de la cantidad que hasta la fecha debía haber abonado según el fraccionamiento acordado, siendo que la suma de responsabilidad civil y multa asciende a 161 835,04 €. […] las alegaciones en relación a la dificultad de pago y errores de terceros de las transferencias […] carecen de soporte probatorio”; el incumplimiento se calificaba de grave y se decía que suponía “nuevamente un perjuicio a los particulares estafados”.</w:t>
      </w:r>
    </w:p>
    <w:p w14:paraId="0685FE13" w14:textId="77777777" w:rsidR="00A8138F" w:rsidRDefault="00A8138F" w:rsidP="00A8138F">
      <w:pPr>
        <w:pStyle w:val="TextoNormal"/>
      </w:pPr>
    </w:p>
    <w:p w14:paraId="5E244382" w14:textId="77777777" w:rsidR="00A8138F" w:rsidRDefault="00A8138F" w:rsidP="00A8138F">
      <w:pPr>
        <w:pStyle w:val="TextoNormal"/>
      </w:pPr>
      <w:r>
        <w:t>d) Por diligencia de ordenación de 26 de abril de 2024 se concedió al penado hasta el día 6 de mayo para ingresar de forma voluntaria en centro penitenciario, “para lo cual deberá acudir el 6 de mayo a las doce horas en dependencias judiciales apercibiéndole a través de su representación procesal de que en caso contrario y sin más trámite se dictará orden de busca e ingreso en prisión a las fuerzas de seguridad del estado”. Constatada la incomparecencia en la fecha señalada y que no “consta[ba] en actuaciones domicilio conocido”, la Sección Segunda de la Audiencia Provincial de Navarra, por auto de 6 de mayo de 2024, acordó su “llamamiento, búsqueda, detención e ingreso en prisión mediante requisitoria […] para el cumplimiento de la pena dos años de prisión”.</w:t>
      </w:r>
    </w:p>
    <w:p w14:paraId="718F407F" w14:textId="77777777" w:rsidR="00A8138F" w:rsidRDefault="00A8138F" w:rsidP="00A8138F">
      <w:pPr>
        <w:pStyle w:val="TextoNormal"/>
      </w:pPr>
    </w:p>
    <w:p w14:paraId="2EDD604C" w14:textId="77777777" w:rsidR="00A8138F" w:rsidRDefault="00A8138F" w:rsidP="00A8138F">
      <w:pPr>
        <w:pStyle w:val="TextoNormal"/>
      </w:pPr>
      <w:r>
        <w:t>Frente a la requisitoria la representación procesal del penado, en escrito de 14 de mayo de 2024, interpuso recurso de súplica para que se dejase sin efecto, reiterando que no se cumplían los requisitos de la revocación y alegando que su mantenimiento causaría la pérdida de sentido del recurso de amparo que iba a interponer frente a la resolución revocatoria.</w:t>
      </w:r>
    </w:p>
    <w:p w14:paraId="6651A5F7" w14:textId="77777777" w:rsidR="00A8138F" w:rsidRDefault="00A8138F" w:rsidP="00A8138F">
      <w:pPr>
        <w:pStyle w:val="TextoNormal"/>
      </w:pPr>
    </w:p>
    <w:p w14:paraId="0455CBC6" w14:textId="200CCE42" w:rsidR="00A8138F" w:rsidRDefault="00A8138F" w:rsidP="00A8138F">
      <w:pPr>
        <w:pStyle w:val="TextoNormal"/>
      </w:pPr>
      <w:r>
        <w:t>El fiscal y la acusación particular se opusieron al recurso y la Sección Segunda de la Audiencia Provincial de Navarra, por auto de 29 de mayo de 2024, lo desestimó, dado que no era “el momento de volver a plantear la cuestión de los plazos y de la revocación del beneficio, por ser esta cuestión ya resuelta”, de modo que “ante la falta de ingreso voluntario, se ha ordenado por medio del auto que ahora se recurre y que se limita a dar cumplimiento efectivo y real a lo ya resuelto en auto firme”.</w:t>
      </w:r>
    </w:p>
    <w:p w14:paraId="1F5EF01B" w14:textId="77777777" w:rsidR="00A8138F" w:rsidRDefault="00A8138F" w:rsidP="00A8138F">
      <w:pPr>
        <w:pStyle w:val="TextoNormal"/>
      </w:pPr>
    </w:p>
    <w:p w14:paraId="04FCE8DB" w14:textId="77777777" w:rsidR="00A8138F" w:rsidRDefault="00A8138F" w:rsidP="00A8138F">
      <w:pPr>
        <w:pStyle w:val="TextoNormal"/>
      </w:pPr>
      <w:r w:rsidRPr="00A8138F">
        <w:rPr>
          <w:rStyle w:val="NumeroAFNegritaCaracter"/>
        </w:rPr>
        <w:t>3</w:t>
      </w:r>
      <w:r>
        <w:t>. La demanda de amparo denuncia que las resoluciones que decidieron y confirmaron la revocación de la suspensión y las que, en ejecución de dicha revocación, acordaron su llamamiento mediante requisitoria, vulneraron su derecho a la tutela judicial efectiva (art. 24.1 CE) en relación con el derecho a un proceso con todas las garantías (art. 24.2 CE) y el derecho a la libertad (art. 17.1 CE). Al inicio de la demanda se cita la vulneración del art. 17 CE, pero solo nominalmente al no ofrecerse ninguna argumentación específica para esta queja.</w:t>
      </w:r>
    </w:p>
    <w:p w14:paraId="7474F7DB" w14:textId="77777777" w:rsidR="00A8138F" w:rsidRDefault="00A8138F" w:rsidP="00A8138F">
      <w:pPr>
        <w:pStyle w:val="TextoNormal"/>
      </w:pPr>
    </w:p>
    <w:p w14:paraId="243A975B" w14:textId="77777777" w:rsidR="00A8138F" w:rsidRDefault="00A8138F" w:rsidP="00A8138F">
      <w:pPr>
        <w:pStyle w:val="TextoNormal"/>
      </w:pPr>
      <w:r>
        <w:t xml:space="preserve">El escrito reitera las alegaciones efectuadas ante la Audiencia Provincial relativas al cumplimiento regular de su obligación de pago, al perjuicio del crédito que se derivaría del ingreso en prisión, a la ausencia de transcurso del plazo de dos años para el abono total de la responsabilidad civil y a la falta de audiencia personal y de consideración a las circunstancias concurrentes y a las condiciones de solvencia del penado. Con cita extensa de las </w:t>
      </w:r>
      <w:r>
        <w:lastRenderedPageBreak/>
        <w:t>SSTC 32/2022, de 7 de marzo, y 39/2024, de 11 de marzo, el recurrente justifica la lesión de sus derechos en que “la resolución que acuerda la revocación del beneficio de suspensión de la pena privativa de libertad no ha sido notificad[a] personalmente al penado y porque ni se le ha concedido al debido trámite de audiencia ni se ha adoptado medida alguna con la finalidad de conocer la actual y verdadera capacidad económica del Sr. Bortas para hacer frente a las cuantías que debe abonar en virtud de la sentencia condenatoria”.</w:t>
      </w:r>
    </w:p>
    <w:p w14:paraId="3E478903" w14:textId="77777777" w:rsidR="00A8138F" w:rsidRDefault="00A8138F" w:rsidP="00A8138F">
      <w:pPr>
        <w:pStyle w:val="TextoNormal"/>
      </w:pPr>
    </w:p>
    <w:p w14:paraId="36108BE1" w14:textId="5568EB76" w:rsidR="00A8138F" w:rsidRDefault="00A8138F" w:rsidP="00A8138F">
      <w:pPr>
        <w:pStyle w:val="TextoNormal"/>
      </w:pPr>
      <w:r>
        <w:t>La demanda termina con la petición de que se reconozca que se le han vulnerado sus derechos y de que se anulen los autos impugnados con retroacción de las actuaciones al momento anterior al “auto de 24 de abril de 2024” (</w:t>
      </w:r>
      <w:r w:rsidRPr="00A8138F">
        <w:rPr>
          <w:i/>
        </w:rPr>
        <w:t>sic</w:t>
      </w:r>
      <w:r>
        <w:t>). En el otrosí segundo de la demanda se solicita que se suspenda cautelarmente la requisitoria expedida.</w:t>
      </w:r>
    </w:p>
    <w:p w14:paraId="56DBE199" w14:textId="77777777" w:rsidR="00A8138F" w:rsidRDefault="00A8138F" w:rsidP="00A8138F">
      <w:pPr>
        <w:pStyle w:val="TextoNormal"/>
      </w:pPr>
    </w:p>
    <w:p w14:paraId="2F0AA207" w14:textId="0CF20555" w:rsidR="00A8138F" w:rsidRDefault="00A8138F" w:rsidP="00A8138F">
      <w:pPr>
        <w:pStyle w:val="TextoNormal"/>
      </w:pPr>
      <w:r w:rsidRPr="00A8138F">
        <w:rPr>
          <w:rStyle w:val="NumeroAFNegritaCaracter"/>
        </w:rPr>
        <w:t>4</w:t>
      </w:r>
      <w:r>
        <w:t>. La Sección Cuarta de la Sala Segunda del Tribunal Constitucional, mediante providencia de 9 de julio de 2024: (i) admitió a trámite la demanda al apreciar que concurre en el recurso una especial trascendencia constitucional como consecuencia de que el órgano judicial pudiera haber incurrido en una negativa manifiesta del deber de acatamiento de la doctrina de este tribunal [STC 155/2009, de 25 de junio, FJ 2 f)]; (ii) acordó dirigirse a la Sección Segunda de la Audiencia Provincial de Navarra para que remitiese, en plazo que no excediera de diez días, certificación o fotocopia adverada de las actuaciones correspondientes a la ejecutoria penal núm. 7-2023 y para que emplazase a quienes hubiesen sido parte en el procedimiento, excepto al recurrente en amparo, a fin de que pudieran comparecer en el recurso en el plazo de diez días; y (iii) suspendió de forma cautelarísima (art. 56.6 LOTC) la ejecución de la requisitoria adoptada y confirmada, respectivamente, en los autos de 6 y 29 de mayo de 2024.</w:t>
      </w:r>
    </w:p>
    <w:p w14:paraId="4E7AFD0A" w14:textId="77777777" w:rsidR="00A8138F" w:rsidRDefault="00A8138F" w:rsidP="00A8138F">
      <w:pPr>
        <w:pStyle w:val="TextoNormal"/>
      </w:pPr>
    </w:p>
    <w:p w14:paraId="3DBFBAD2" w14:textId="5BE21B48" w:rsidR="00A8138F" w:rsidRDefault="00A8138F" w:rsidP="00A8138F">
      <w:pPr>
        <w:pStyle w:val="TextoNormal"/>
      </w:pPr>
      <w:r w:rsidRPr="00A8138F">
        <w:rPr>
          <w:rStyle w:val="NumeroAFNegritaCaracter"/>
        </w:rPr>
        <w:t>5</w:t>
      </w:r>
      <w:r>
        <w:t>. El secretario de justicia de la Sección Cuarta de la Sala Segunda de este tribunal, recibidas las actuaciones el 16 de julio de 2024, mediante diligencia de ordenación de 19 de septiembre de 2024, tuvo por personada y parte a Multiservicios Covianca, S.L., representada por el procurador don Miguel José Leache Resano, y acordó, conforme a lo dispuesto en el art. 52.1 LOTC, dar vista de las actuaciones a las partes personadas y al Ministerio Fiscal por un plazo común de veinte días.</w:t>
      </w:r>
    </w:p>
    <w:p w14:paraId="2C71724F" w14:textId="77777777" w:rsidR="00A8138F" w:rsidRDefault="00A8138F" w:rsidP="00A8138F">
      <w:pPr>
        <w:pStyle w:val="TextoNormal"/>
      </w:pPr>
    </w:p>
    <w:p w14:paraId="4667826D" w14:textId="77777777" w:rsidR="00A8138F" w:rsidRDefault="00A8138F" w:rsidP="00A8138F">
      <w:pPr>
        <w:pStyle w:val="TextoNormal"/>
      </w:pPr>
      <w:r w:rsidRPr="00A8138F">
        <w:rPr>
          <w:rStyle w:val="NumeroAFNegritaCaracter"/>
        </w:rPr>
        <w:t>6</w:t>
      </w:r>
      <w:r>
        <w:t xml:space="preserve">. Multiservicios Covianca, S.L., solicitó la desestimación del recurso de amparo en su escrito presentado el 18 de octubre de 2024. Se alega que solo se había abonado el 25 por 100 de la responsabilidad civil, que desde febrero de 2024 no había recibido ningún pago y que “como puede verse, el auto de 1 de marzo de 2024 se encuentra sólidamente fundamentado no solo en la gravedad y reiteración de los incumplimientos por parte del condenado, quien, a pesar de las numerosas advertencias y oportunidades otorgadas, no cumplió con los pagos de la responsabilidad civil, sino también en la falta de justificación de los concretos motivos del impago dados por el condenado acerca de unos supuestos problemas técnicos, y ello sin que se hubiera acreditado que el incumplimiento estuviera relacionado con alguna imposibilidad de pago por motivos de su capacidad económica”. Al contrario, “de la información que consta en la ejecutoria, se desprende que el condenado es socio y dueño de una empresa […] posee bienes inmuebles y un coche, lo que refuerza la idea de que tiene capacidad económica. Simplemente echando un vistazo a internet puede verse que los beneficios empresariales del penado fueron de nada menos que 548 899 € en el año 2022, a lo que </w:t>
      </w:r>
      <w:r>
        <w:lastRenderedPageBreak/>
        <w:t>habría que sumar sus beneficios en el año 2023 y 2024, lo que claramente [pone] de manifiesto la capacidad económica del condenado para cumplir con los pagos establecidos”.</w:t>
      </w:r>
    </w:p>
    <w:p w14:paraId="7ACE1566" w14:textId="77777777" w:rsidR="00A8138F" w:rsidRDefault="00A8138F" w:rsidP="00A8138F">
      <w:pPr>
        <w:pStyle w:val="TextoNormal"/>
      </w:pPr>
    </w:p>
    <w:p w14:paraId="5164B294" w14:textId="3B61C545" w:rsidR="00A8138F" w:rsidRDefault="00A8138F" w:rsidP="00A8138F">
      <w:pPr>
        <w:pStyle w:val="TextoNormal"/>
      </w:pPr>
      <w:r>
        <w:t xml:space="preserve">La falta de notificación personal —continúa— no causó al penado ninguna indefensión, dado que el art. 182 LECrim permite notificar las resoluciones judiciales a los procuradores, como fue el caso, “sin que exista precepto legal alguno que imponga la obligación de notificar personalmente al penado el auto de revocación de la suspensión de la ejecución de la pena de prisión”. El condenado tuvo múltiples oportunidades de alegación y las ejerció en sucesivos escritos, donde alegó “todo lo que consideró oportuno, sin que pueda confundirse </w:t>
      </w:r>
      <w:r w:rsidRPr="00A8138F">
        <w:rPr>
          <w:i/>
        </w:rPr>
        <w:t>derecho de audiencia</w:t>
      </w:r>
      <w:r>
        <w:t xml:space="preserve"> con </w:t>
      </w:r>
      <w:r w:rsidRPr="00A8138F">
        <w:rPr>
          <w:i/>
        </w:rPr>
        <w:t>celebración de vista oral</w:t>
      </w:r>
      <w:r>
        <w:t>, y sin que en cualquier caso se hubiera solicitado nunca tal vista, y sin que tampoco existan otras circunstancias que así lo justifiquen” (cursiva en el original).</w:t>
      </w:r>
    </w:p>
    <w:p w14:paraId="2CBA1569" w14:textId="77777777" w:rsidR="00A8138F" w:rsidRDefault="00A8138F" w:rsidP="00A8138F">
      <w:pPr>
        <w:pStyle w:val="TextoNormal"/>
      </w:pPr>
    </w:p>
    <w:p w14:paraId="1BC6281A" w14:textId="77777777" w:rsidR="00A8138F" w:rsidRDefault="00A8138F" w:rsidP="00A8138F">
      <w:pPr>
        <w:pStyle w:val="TextoNormal"/>
      </w:pPr>
      <w:r w:rsidRPr="00A8138F">
        <w:rPr>
          <w:rStyle w:val="NumeroAFNegritaCaracter"/>
        </w:rPr>
        <w:t>7</w:t>
      </w:r>
      <w:r>
        <w:t>. El fiscal ante el Tribunal Constitucional, en su escrito presentado el 7 de noviembre de 2024, interesa la estimación del recurso de amparo por vulneración del derecho a la tutela judicial efectiva (art. 24.1 CE), en relación con el derecho a la libertad (art. 17.1 CE), así como el derecho a un proceso con todas las garantías (art. 24.2 CE), con retroacción de las actuaciones al momento inmediatamente anterior al dictado del auto de 1 de marzo de 2024 a fin de que se dicte otra resolución respetuosa con los derechos fundamentales vulnerados.</w:t>
      </w:r>
    </w:p>
    <w:p w14:paraId="5DA1D8D4" w14:textId="77777777" w:rsidR="00A8138F" w:rsidRDefault="00A8138F" w:rsidP="00A8138F">
      <w:pPr>
        <w:pStyle w:val="TextoNormal"/>
      </w:pPr>
    </w:p>
    <w:p w14:paraId="4FDB0A02" w14:textId="77777777" w:rsidR="00A8138F" w:rsidRDefault="00A8138F" w:rsidP="00A8138F">
      <w:pPr>
        <w:pStyle w:val="TextoNormal"/>
      </w:pPr>
      <w:r>
        <w:t>El fiscal, en primer término, constata la ausencia de autonomía de la lesión del art. 17 CE, así como la infracción del principio de subsidiariedad del recurso de amparo por no haberse invocado formalmente en el proceso, tan pronto como el recurrente tuvo la oportunidad [art. 44.1 c) LOTC], la violación del derecho a un proceso con todas las garantías por falta de notificación personal al penado del auto de revocación de la suspensión. Esta falta de notificación, que no se alegó pudiendo hacerlo desde el recurso de súplica de 12 de marzo de 2024, tampoco causa, a juicio del fiscal, indefensión material al haberse entendido todas las actuaciones con la representación procesal del penado.</w:t>
      </w:r>
    </w:p>
    <w:p w14:paraId="40B3C251" w14:textId="77777777" w:rsidR="00A8138F" w:rsidRDefault="00A8138F" w:rsidP="00A8138F">
      <w:pPr>
        <w:pStyle w:val="TextoNormal"/>
      </w:pPr>
    </w:p>
    <w:p w14:paraId="1083213C" w14:textId="77777777" w:rsidR="00A8138F" w:rsidRDefault="00A8138F" w:rsidP="00A8138F">
      <w:pPr>
        <w:pStyle w:val="TextoNormal"/>
      </w:pPr>
      <w:r>
        <w:t>En cambio, para el fiscal se vulnera el derecho a un proceso con todas las garantías derivado del incumplimiento del trámite de audiencia (STC 32/2022, FJ 3), porque, “si bien es cierto que en los diferentes escritos presentados [por la representación procesal de la defensa] se efectúan alegaciones sobre las causas del retraso/impago del recurrente, no existe una resolución material ni formal de cumplimiento del trámite previsto en el art. 86.4 CP, inmediatamente anterior a la revocación, sino una sucesión de requerimientos de pago con apercibimientos ocasionales de las consecuencias en caso de desatención. No se celebra, pues, ese incidente contradictorio —con audiencia del condenado ahora recurrente— para debatir sobre las causas del incumplimiento del calendario de pagos establecido, no negado por el recurrente, lo que no permitía al juez tener los elementos de juicio necesarios. Teniendo en cuenta, además, que el recurrente había sido citado eficazmente por medio de un correo electrónico que constaba en las actuaciones. Y en cuanto a la vista oral que previene el art. 86.4 CP, aunque su celebración depende del órgano judicial nada se dice sobre las razones que determinan su exclusión”.</w:t>
      </w:r>
    </w:p>
    <w:p w14:paraId="111D3342" w14:textId="77777777" w:rsidR="00A8138F" w:rsidRDefault="00A8138F" w:rsidP="00A8138F">
      <w:pPr>
        <w:pStyle w:val="TextoNormal"/>
      </w:pPr>
    </w:p>
    <w:p w14:paraId="5D795147" w14:textId="4CF5EC7D" w:rsidR="00A8138F" w:rsidRDefault="00A8138F" w:rsidP="00A8138F">
      <w:pPr>
        <w:pStyle w:val="TextoNormal"/>
      </w:pPr>
      <w:r>
        <w:t xml:space="preserve">Finalmente, el fiscal considera vulnerado el derecho a la tutela judicial efectiva en relación con el derecho a la libertad, debido a que las resoluciones impugnadas no cumplen con las exigencias de motivación reforzada derivadas de la doctrina constitucional de ponderar la capacidad económica del condenado (SSTC 184/2023, de 11 de diciembre, FFJJ 2 y 3, y </w:t>
      </w:r>
      <w:r>
        <w:lastRenderedPageBreak/>
        <w:t>39/2024, de 11 de marzo, FJ 4). Las resoluciones impugnadas —afirma el fiscal— “aluden reiteradamente a los incumplimientos y a las diversas oportunidades de regularización de los atrasos en los plazos concedidos”, pero no “a la eventual solvencia o falta de capacidad económica para hacer frente a esos pagos”. Tampoco consta la práctica de “diligencia alguna para ponderar aquella capacidad de pago ni tampoco para evaluar si las causas del impago se debían o no a la imposibilidad económica”. Además, la revocación se produce “cuando aún no ha terminado el plazo de suspensión de cinco años —ni siquiera de dos años para el pago de la multa— [y] si bien es cierto que no se cumplían los pagos en las cuantías y los plazos fijados, no deja de ser significativo el carácter prematuro del pronunciamiento judicial —en ausencia de más comprobaciones de capacidad, como hemos dicho— en torno al incumplimiento de la obligación pecuniaria, disponiendo el recurrente de sesenta meses para su pago y que la suspensión no expiraría antes del día 20 de febrero de 2028. El auto de 1 de marzo de 2024 anticipa el momento en que debía efectuarse aquel examen según su propio pronunciamiento”. Por último, el fiscal, consciente del límite de dos años de aplazamiento de la multa (art. 50.6 CP) y de las reglas de imputación de pagos (art. 126 CE), entiende “que este plazo no puede constreñir el fijado para el pago de la responsabilidad civil que es en función de la capacidad económica, además de que, en caso de una eventual aplicación de la responsabilidad personal subsidiaria, las consecuencias del régimen de suspensión de la pena privativa de libertad, podrían hacer innecesario la observancia de dicho plazo en relación con satisfacción de la responsabilidad civil”.</w:t>
      </w:r>
    </w:p>
    <w:p w14:paraId="363C3335" w14:textId="77777777" w:rsidR="00A8138F" w:rsidRDefault="00A8138F" w:rsidP="00A8138F">
      <w:pPr>
        <w:pStyle w:val="TextoNormal"/>
      </w:pPr>
    </w:p>
    <w:p w14:paraId="1A21661C" w14:textId="0E570EB3" w:rsidR="00A8138F" w:rsidRDefault="00A8138F" w:rsidP="00A8138F">
      <w:pPr>
        <w:pStyle w:val="TextoNormal"/>
      </w:pPr>
      <w:r w:rsidRPr="00A8138F">
        <w:rPr>
          <w:rStyle w:val="NumeroAFNegritaCaracter"/>
        </w:rPr>
        <w:t>8</w:t>
      </w:r>
      <w:r>
        <w:t>. Por providencia de 20 de febrero de 2025 se señaló para la deliberación y votación de la presente sentencia el día 24 del mismo mes y año.</w:t>
      </w:r>
    </w:p>
    <w:p w14:paraId="5220BABD" w14:textId="77777777" w:rsidR="00A8138F" w:rsidRDefault="00A8138F" w:rsidP="00A8138F">
      <w:pPr>
        <w:pStyle w:val="TextoNormal"/>
      </w:pPr>
    </w:p>
    <w:p w14:paraId="25C8AB38" w14:textId="77777777" w:rsidR="00A8138F" w:rsidRDefault="00A8138F" w:rsidP="00A8138F">
      <w:pPr>
        <w:pStyle w:val="TextoNormalNegritaCentrado"/>
        <w:keepNext/>
      </w:pPr>
      <w:r>
        <w:t>II. Fundamentos jurídicos</w:t>
      </w:r>
    </w:p>
    <w:p w14:paraId="01E8B76F" w14:textId="57D1C6E9" w:rsidR="00A8138F" w:rsidRDefault="00A8138F" w:rsidP="00A8138F">
      <w:pPr>
        <w:pStyle w:val="TextoNormalNegritaCentrado"/>
        <w:keepNext/>
      </w:pPr>
    </w:p>
    <w:p w14:paraId="042F776F" w14:textId="77777777" w:rsidR="00A8138F" w:rsidRDefault="00A8138F" w:rsidP="00A8138F">
      <w:pPr>
        <w:pStyle w:val="TextoNormal"/>
      </w:pPr>
      <w:r w:rsidRPr="00A8138F">
        <w:rPr>
          <w:rStyle w:val="TextoNormalNegritaCaracter"/>
        </w:rPr>
        <w:t xml:space="preserve">Único. </w:t>
      </w:r>
      <w:r w:rsidRPr="00A8138F">
        <w:rPr>
          <w:i/>
        </w:rPr>
        <w:t>Aplicación de la doctrina de la STC 32/2022, de 7 de marzo, FJ 4: “Motivación de las decisiones de revocación de la suspensión de la ejecución de una pena privativa de libertad</w:t>
      </w:r>
      <w:r>
        <w:t>”</w:t>
      </w:r>
    </w:p>
    <w:p w14:paraId="6ED2A026" w14:textId="77777777" w:rsidR="00A8138F" w:rsidRDefault="00A8138F" w:rsidP="00A8138F">
      <w:pPr>
        <w:pStyle w:val="TextoNormal"/>
      </w:pPr>
    </w:p>
    <w:p w14:paraId="6206EAC4" w14:textId="77777777" w:rsidR="00A8138F" w:rsidRDefault="00A8138F" w:rsidP="00A8138F">
      <w:pPr>
        <w:pStyle w:val="TextoNormal"/>
      </w:pPr>
      <w:r>
        <w:t>a) La delimitación del objeto del presente recurso de amparo está íntimamente relacionada con la causa de especial trascendencia constitucional por la que este se admitió, consistente en que el órgano judicial pudiera haber incurrido en una negativa manifiesta del deber de acatamiento de la doctrina de este tribunal [STC 155/2009, FJ 2 f)].</w:t>
      </w:r>
    </w:p>
    <w:p w14:paraId="6624C581" w14:textId="77777777" w:rsidR="00A8138F" w:rsidRDefault="00A8138F" w:rsidP="00A8138F">
      <w:pPr>
        <w:pStyle w:val="TextoNormal"/>
      </w:pPr>
    </w:p>
    <w:p w14:paraId="2F214286" w14:textId="77777777" w:rsidR="00A8138F" w:rsidRDefault="00A8138F" w:rsidP="00A8138F">
      <w:pPr>
        <w:pStyle w:val="TextoNormal"/>
      </w:pPr>
      <w:r>
        <w:t xml:space="preserve">Conforme a las exigencias de certeza y buena administración de justicia de explicitar dicha causa (STEDH de 20 de enero de 2015, </w:t>
      </w:r>
      <w:r w:rsidRPr="00A8138F">
        <w:rPr>
          <w:i/>
        </w:rPr>
        <w:t>Arribas Antón c. España</w:t>
      </w:r>
      <w:r>
        <w:t>, § 46), el Tribunal constató, en lo que se refiere a la negativa de acatamiento apreciada con relación a la vulneración del art. 24.1 CE en relación con el art. 17.1 CE, que el recurrente invocó expresamente ante la Sección Segunda de la Audiencia Provincial de Navarra la doctrina establecida en la STC 32/2022, de 7 de marzo, FJ 4, relativa a la motivación de las decisiones de revocación de la suspensión de la ejecución de una pena privativa de libertad. La invocó, en particular, en su escrito de 28 de febrero de 2024 anterior a la revocación y en su escrito de recurso de súplica de 12 de marzo de 2024 que fue desestimado. La Audiencia, en lugar de atender, conforme a la doctrina invocada, a la capacidad económica del penado para valorar el carácter justificado o voluntario del impago, eludió cualquier consideración al respecto, lo que “constituye un supuesto de lo que el Tribunal viene considerando una negativa ma</w:t>
      </w:r>
      <w:r>
        <w:lastRenderedPageBreak/>
        <w:t>nifiesta implícita”, como se dijo en la STC 78/2024, de 20 de mayo, FJ único b), al estimar un recurso de amparo con el mismo objeto y concurrencia de igual causa de especial trascendencia constitucional.</w:t>
      </w:r>
    </w:p>
    <w:p w14:paraId="252E1468" w14:textId="77777777" w:rsidR="00A8138F" w:rsidRDefault="00A8138F" w:rsidP="00A8138F">
      <w:pPr>
        <w:pStyle w:val="TextoNormal"/>
      </w:pPr>
    </w:p>
    <w:p w14:paraId="7F3FE2DA" w14:textId="77777777" w:rsidR="00A8138F" w:rsidRDefault="00A8138F" w:rsidP="00A8138F">
      <w:pPr>
        <w:pStyle w:val="TextoNormal"/>
      </w:pPr>
      <w:r>
        <w:t>Así delimitado, el presente recurso de amparo tiene por objeto determinar si las resoluciones impugnadas en las que se acordó y confirmó la revocación, por el impago de la responsabilidad civil, de la suspensión de la ejecución de la pena de prisión de dos años impuesta al recurrente vulneraron su derecho a la tutela judicial efectiva (art. 24.1 CE) en relación con el derecho a la libertad personal (art. 17.1 CE).</w:t>
      </w:r>
    </w:p>
    <w:p w14:paraId="743FBE8E" w14:textId="77777777" w:rsidR="00A8138F" w:rsidRDefault="00A8138F" w:rsidP="00A8138F">
      <w:pPr>
        <w:pStyle w:val="TextoNormal"/>
      </w:pPr>
    </w:p>
    <w:p w14:paraId="39854E69" w14:textId="77777777" w:rsidR="00A8138F" w:rsidRDefault="00A8138F" w:rsidP="00A8138F">
      <w:pPr>
        <w:pStyle w:val="TextoNormal"/>
      </w:pPr>
      <w:r>
        <w:t>b) La doctrina de la STC 32/2022, FJ 4, ha sido aplicada por las SSTC 184/2023, de 11 de diciembre, 39/2024, de 11 de marzo, 70/2024, de 6 de mayo, 78/2024, de 20 de mayo, y 122/2024, de 21 de octubre. En la síntesis de la STC 39/2024, FJ 3, “[e]sta doctrina exige que la motivación de la revocación, en este supuesto, analice de modo específico la capacidad económica del penado referida al momento de adoptar la decisión revocatoria, que habrá de razonar sobre el carácter injustificado del impago o sobre si existe una situación de imposibilidad material que lo impida, en cuyo caso no procederá la revocación. Los derechos y fines involucrados en esta clase de decisiones: la incidencia en la libertad de las personas, la finalidad reeducativa y de reinserción social inherente a las alternativas al cumplimento de penas privativas de libertad —entre ellas, la suspensión y su eventual revocación—, y el derecho a no sufrir discriminación en el acceso a estas alternativas en función de la capacidad económica, así lo imponen. Y también se desprende de la salvedad prevista en el art. 86.1 d) CP que, tras disponer como motivo de revocación que el penado ‘no dé cumplimiento al compromiso de pago de las responsabilidades civiles a que hubiera sido condenado’, excepciona: ‘salvo que careciera de capacidad económica para ello’”.</w:t>
      </w:r>
    </w:p>
    <w:p w14:paraId="760795D7" w14:textId="77777777" w:rsidR="00A8138F" w:rsidRDefault="00A8138F" w:rsidP="00A8138F">
      <w:pPr>
        <w:pStyle w:val="TextoNormal"/>
      </w:pPr>
    </w:p>
    <w:p w14:paraId="24A0FBE7" w14:textId="77777777" w:rsidR="00A8138F" w:rsidRDefault="00A8138F" w:rsidP="00A8138F">
      <w:pPr>
        <w:pStyle w:val="TextoNormal"/>
      </w:pPr>
      <w:r>
        <w:t>c) En el caso enjuiciado, comenzando por el análisis del auto de revocación de 1 de marzo de 2024, debe decirse que este se limitó a contabilizar las cantidades abonadas y debidas en concepto de responsabilidad civil, aseverando que los impagos eran graves y reiterados y que ya se había dado al penado la oportunidad de ponerse al día, tras el auto de 9 de junio de 2023, que desestimó el primer incidente en que se suscitó la cuestión de la posible revocación de la suspensión de la pena privativa de libertad. Se decía también que, aun admitiendo sus alegaciones sobre las transferencias fallidas, el penado estaba “muy lejos de cumplir los plazos fijados en sentencia”. El auto de 24 de abril de 2024, que desestimó el recurso de súplica del recurrente, solo añadió que las dificultades de pago y los errores en las transferencias carecían de soporte probatorio, el incumplimiento se calificaba de grave y se decía que suponía “nuevamente un perjuicio a los particulares estafados”.</w:t>
      </w:r>
    </w:p>
    <w:p w14:paraId="62A1AD61" w14:textId="77777777" w:rsidR="00A8138F" w:rsidRDefault="00A8138F" w:rsidP="00A8138F">
      <w:pPr>
        <w:pStyle w:val="TextoNormal"/>
      </w:pPr>
    </w:p>
    <w:p w14:paraId="0CA3FE3C" w14:textId="77777777" w:rsidR="00A8138F" w:rsidRDefault="00A8138F" w:rsidP="00A8138F">
      <w:pPr>
        <w:pStyle w:val="TextoNormal"/>
      </w:pPr>
      <w:r>
        <w:t>Se comprueba de este modo que la motivación de la revocación contravino la doctrina de la STC 32/2022, FJ 4, pues tal motivación se hizo descansar en las oportunidades de pago concedidas y no aprovechadas, en el cumplimiento irregular de los plazos, en el perjuicio del acreedor y en un pronóstico de incumplimiento. No se razonó sobre la capacidad económica del penado ni sobre si su falta de pago se debía a una situación de imposibilidad material o si obedecía a una voluntad rebelde al cumplimiento de la obligación. La desatención a la capacidad económica se desprende, además, del hecho de haberse dado por vencida la deuda antes del transcurso del plan de pagos aprobado por el órgano judicial con el simple argumento de que el penado no cumpliría con el calendario fijado.</w:t>
      </w:r>
    </w:p>
    <w:p w14:paraId="2C13E3C4" w14:textId="77777777" w:rsidR="00A8138F" w:rsidRDefault="00A8138F" w:rsidP="00A8138F">
      <w:pPr>
        <w:pStyle w:val="TextoNormal"/>
      </w:pPr>
    </w:p>
    <w:p w14:paraId="6E2B1739" w14:textId="77777777" w:rsidR="00A8138F" w:rsidRDefault="00A8138F" w:rsidP="00A8138F">
      <w:pPr>
        <w:pStyle w:val="TextoNormal"/>
      </w:pPr>
      <w:r>
        <w:lastRenderedPageBreak/>
        <w:t>Puede concluirse que las resoluciones de revocación impugnadas vulneraron el derecho a la tutela judicial efectiva (art. 24.1 CE) en relación con el derecho a la libertad personal (art. 17.1 CE) del recurrente, al no haber cumplido con las exigencias de motivación específica o reforzada de la STC 32/2022, FJ 4, de analizar la capacidad económica del penado en el momento de acordar la revocación para así valorar el carácter injustificado del impago o su imposibilidad.</w:t>
      </w:r>
    </w:p>
    <w:p w14:paraId="1ADF2988" w14:textId="77777777" w:rsidR="00A8138F" w:rsidRDefault="00A8138F" w:rsidP="00A8138F">
      <w:pPr>
        <w:pStyle w:val="TextoNormal"/>
      </w:pPr>
    </w:p>
    <w:p w14:paraId="3E78D254" w14:textId="77777777" w:rsidR="00A8138F" w:rsidRDefault="00A8138F" w:rsidP="00A8138F">
      <w:pPr>
        <w:pStyle w:val="TextoNormal"/>
      </w:pPr>
      <w:r>
        <w:t>d) En consecuencia, el recurso debe estimarse [art. 53 a) LOTC] y, conforme a lo dispuesto en el art. 55.1 LOTC, debe reconocerse la vulneración del derecho a la tutela judicial efectiva en relación con el derecho a la libertad personal del recurrente.</w:t>
      </w:r>
    </w:p>
    <w:p w14:paraId="28F5DA30" w14:textId="77777777" w:rsidR="00A8138F" w:rsidRDefault="00A8138F" w:rsidP="00A8138F">
      <w:pPr>
        <w:pStyle w:val="TextoNormal"/>
      </w:pPr>
    </w:p>
    <w:p w14:paraId="58107D8A" w14:textId="59BA6401" w:rsidR="00A8138F" w:rsidRDefault="00A8138F" w:rsidP="00A8138F">
      <w:pPr>
        <w:pStyle w:val="TextoNormal"/>
      </w:pPr>
      <w:r>
        <w:t>Para restablecer el derecho se acuerda, en primer lugar, anular las resoluciones atinentes a la revocación, así como las actuaciones posteriores dirigidas a la ejecución de la pena de prisión impuesta al recurrente, en particular, las concernientes a la expedición de la requisitoria. Asimismo, se acuerda retrotraer las actuaciones al momento anterior al dictado del auto de 1 de marzo de 2024 para que, por la Sección Segunda de la Audiencia Provincial de Navarra, se dicte una nueva resolución respetuosa con el derecho fundamental reconocido. Dada la exigencia de la STC 32/2022, FJ 4, de atender a la capacidad económica del penado referida al momento de adoptar la decisión revocatoria, la nueva decisión que se adopte pasará por los trámites del art. 86.4 CP a la vista del tiempo transcurrido entre la revocación anulada y el dictado de esta sentencia.</w:t>
      </w:r>
    </w:p>
    <w:p w14:paraId="09FCA96B" w14:textId="77777777" w:rsidR="00A8138F" w:rsidRDefault="00A8138F" w:rsidP="00A8138F">
      <w:pPr>
        <w:pStyle w:val="TextoNormal"/>
      </w:pPr>
    </w:p>
    <w:p w14:paraId="13D7E167" w14:textId="77777777" w:rsidR="00A8138F" w:rsidRDefault="00A8138F" w:rsidP="00A8138F">
      <w:pPr>
        <w:pStyle w:val="TextoNormalCentrado"/>
        <w:keepNext/>
      </w:pPr>
      <w:r>
        <w:t>FALLO</w:t>
      </w:r>
    </w:p>
    <w:p w14:paraId="2E3694EA" w14:textId="7EFB9033" w:rsidR="00A8138F" w:rsidRDefault="00A8138F" w:rsidP="00A8138F">
      <w:pPr>
        <w:pStyle w:val="TextoNormalCentrado"/>
        <w:keepNext/>
      </w:pPr>
    </w:p>
    <w:p w14:paraId="67ABE374"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Gheorghe Bortas y, en su virtud:</w:t>
      </w:r>
    </w:p>
    <w:p w14:paraId="1D6D627C" w14:textId="77777777" w:rsidR="00A8138F" w:rsidRDefault="00A8138F" w:rsidP="00A8138F">
      <w:pPr>
        <w:pStyle w:val="TextoNormal"/>
      </w:pPr>
    </w:p>
    <w:p w14:paraId="6C8BF573" w14:textId="77777777" w:rsidR="00A8138F" w:rsidRDefault="00A8138F" w:rsidP="00A8138F">
      <w:pPr>
        <w:pStyle w:val="TextoNormal"/>
      </w:pPr>
      <w:r>
        <w:t>1º Declarar y reconocer que ha sido vulnerado su derecho a la tutela judicial efectiva (art. 24.1 CE) en relación con el derecho a la libertad personal (art. 17.1 CE).</w:t>
      </w:r>
    </w:p>
    <w:p w14:paraId="49164D8E" w14:textId="77777777" w:rsidR="00A8138F" w:rsidRDefault="00A8138F" w:rsidP="00A8138F">
      <w:pPr>
        <w:pStyle w:val="TextoNormal"/>
      </w:pPr>
    </w:p>
    <w:p w14:paraId="07563FC3" w14:textId="77777777" w:rsidR="00A8138F" w:rsidRDefault="00A8138F" w:rsidP="00A8138F">
      <w:pPr>
        <w:pStyle w:val="TextoNormal"/>
      </w:pPr>
      <w:r>
        <w:t>2º Restablecerlo en su derecho y, a tal fin, declarar la nulidad de los autos de 1 de marzo, 24 de abril, 6 y 29 de mayo de 2024, dictados por la Sección Segunda de la Audiencia Provincial de Navarra en la ejecutoria penal núm. 7-2023, y de todas las actuaciones posteriores dirigidas a la ejecución de la pena de prisión impuesta al recurrente.</w:t>
      </w:r>
    </w:p>
    <w:p w14:paraId="23008351" w14:textId="77777777" w:rsidR="00A8138F" w:rsidRDefault="00A8138F" w:rsidP="00A8138F">
      <w:pPr>
        <w:pStyle w:val="TextoNormal"/>
      </w:pPr>
    </w:p>
    <w:p w14:paraId="092D9B72" w14:textId="3C2B27AF" w:rsidR="00A8138F" w:rsidRDefault="00A8138F" w:rsidP="00A8138F">
      <w:pPr>
        <w:pStyle w:val="TextoNormal"/>
      </w:pPr>
      <w:r>
        <w:t>3º Retrotraer las actuaciones al momento anterior al dictado del auto de 1 de marzo de 2024 para que, por la Sección Segunda de la Audiencia Provincial de Navarra, se dicte una nueva resolución respetuosa con el derecho fundamental reconocido.</w:t>
      </w:r>
    </w:p>
    <w:p w14:paraId="79290A87" w14:textId="77777777" w:rsidR="00A8138F" w:rsidRDefault="00A8138F" w:rsidP="00A8138F">
      <w:pPr>
        <w:pStyle w:val="TextoNormal"/>
      </w:pPr>
    </w:p>
    <w:p w14:paraId="16A0089A" w14:textId="77777777" w:rsidR="00A8138F" w:rsidRDefault="00A8138F" w:rsidP="00A8138F">
      <w:pPr>
        <w:pStyle w:val="TextoNormal"/>
      </w:pPr>
      <w:r>
        <w:t>Publíquese esta sentencia en el “Boletín Oficial del Estado”.</w:t>
      </w:r>
    </w:p>
    <w:p w14:paraId="28D86C89" w14:textId="77777777" w:rsidR="00A8138F" w:rsidRDefault="00A8138F" w:rsidP="00A8138F">
      <w:pPr>
        <w:pStyle w:val="TextoNormal"/>
      </w:pPr>
      <w:r>
        <w:t>Dada en Madrid, a veinticuatro de febrero de dos mil veinticinco.</w:t>
      </w:r>
    </w:p>
    <w:p w14:paraId="578CE444" w14:textId="531DEDE7" w:rsidR="00A8138F" w:rsidRDefault="00A8138F">
      <w:pPr>
        <w:spacing w:after="160" w:line="278" w:lineRule="auto"/>
        <w:rPr>
          <w:rFonts w:ascii="Times New Roman" w:eastAsia="Times New Roman" w:hAnsi="Times New Roman" w:cs="Times New Roman"/>
          <w:sz w:val="24"/>
          <w:szCs w:val="24"/>
          <w:lang w:eastAsia="es-ES"/>
        </w:rPr>
      </w:pPr>
      <w:r>
        <w:br w:type="page"/>
      </w:r>
    </w:p>
    <w:p w14:paraId="604C65E1" w14:textId="77777777" w:rsidR="00A8138F" w:rsidRDefault="00A8138F" w:rsidP="00A8138F">
      <w:pPr>
        <w:pStyle w:val="TtuloResolucin"/>
      </w:pPr>
      <w:bookmarkStart w:id="52" w:name="SENTENCIA_2025_50"/>
      <w:r>
        <w:lastRenderedPageBreak/>
        <w:t>SENTENCIA 50/2025, de 24 de febrero de 2025</w:t>
      </w:r>
    </w:p>
    <w:bookmarkEnd w:id="52"/>
    <w:p w14:paraId="0720ACEB" w14:textId="77777777" w:rsidR="00A8138F" w:rsidRDefault="00A8138F" w:rsidP="00A8138F">
      <w:pPr>
        <w:pStyle w:val="TtuloResolucin"/>
      </w:pPr>
      <w:r>
        <w:t>Sala Primera</w:t>
      </w:r>
    </w:p>
    <w:p w14:paraId="47E7DD2B" w14:textId="77777777" w:rsidR="00A8138F" w:rsidRDefault="00A8138F" w:rsidP="00A8138F">
      <w:pPr>
        <w:pStyle w:val="TtuloBOE"/>
      </w:pPr>
      <w:r>
        <w:t>(BOE núm. 78, de 1 de abril de 2025)</w:t>
      </w:r>
    </w:p>
    <w:p w14:paraId="373C5113" w14:textId="77777777" w:rsidR="00A8138F" w:rsidRDefault="00A8138F" w:rsidP="00A8138F">
      <w:pPr>
        <w:pStyle w:val="TextoNormalCentrado"/>
      </w:pPr>
      <w:r>
        <w:t>ECLI:ES:TC:2025:50</w:t>
      </w:r>
    </w:p>
    <w:p w14:paraId="5389AF46" w14:textId="6415E698" w:rsidR="00A8138F" w:rsidRDefault="00A8138F" w:rsidP="00A8138F">
      <w:pPr>
        <w:pStyle w:val="TextoNormalCentrado"/>
      </w:pPr>
    </w:p>
    <w:p w14:paraId="00B26CBB" w14:textId="77777777" w:rsidR="00A8138F" w:rsidRDefault="00A8138F" w:rsidP="00A8138F">
      <w:pPr>
        <w:pStyle w:val="SntesisDescriptiva"/>
      </w:pPr>
      <w:r>
        <w:t>Recurso de amparo 5252-2024. Promovido por doña Leire Goikoetxea Uriarte en relación con las resoluciones administrativas y judiciales que desestimaron su petición de revisión y ampliación de la prestación por nacimiento y cuidado de hijo menor, como madre biológica de familia monoparental.</w:t>
      </w:r>
    </w:p>
    <w:p w14:paraId="0203B479" w14:textId="248796D7" w:rsidR="00A8138F" w:rsidRDefault="00A8138F" w:rsidP="00A8138F">
      <w:pPr>
        <w:pStyle w:val="SntesisDescriptiva"/>
      </w:pPr>
    </w:p>
    <w:p w14:paraId="655AE7DA"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7B2960F" w14:textId="7374DD4E" w:rsidR="00A8138F" w:rsidRDefault="00A8138F" w:rsidP="00A8138F">
      <w:pPr>
        <w:pStyle w:val="SntesisAnaltica"/>
      </w:pPr>
    </w:p>
    <w:p w14:paraId="474C1339" w14:textId="4C8A4F24"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4ED8148C" w14:textId="77777777" w:rsidR="00A8138F" w:rsidRDefault="00A8138F" w:rsidP="00A8138F">
      <w:pPr>
        <w:pStyle w:val="Extracto"/>
      </w:pPr>
    </w:p>
    <w:p w14:paraId="574C9193" w14:textId="77777777" w:rsidR="00A8138F" w:rsidRDefault="00A8138F" w:rsidP="00A8138F">
      <w:pPr>
        <w:pStyle w:val="Extracto"/>
      </w:pPr>
    </w:p>
    <w:p w14:paraId="72CF6F02"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69A28088" w14:textId="523FC0AC" w:rsidR="00A8138F" w:rsidRDefault="00A8138F" w:rsidP="00A8138F">
      <w:pPr>
        <w:pStyle w:val="TextoNormal"/>
      </w:pPr>
    </w:p>
    <w:p w14:paraId="35278125" w14:textId="77777777" w:rsidR="00A8138F" w:rsidRDefault="00A8138F" w:rsidP="00A8138F">
      <w:pPr>
        <w:pStyle w:val="TextoNormalCentrado"/>
        <w:keepNext/>
      </w:pPr>
      <w:r>
        <w:t>EN NOMBRE DEL REY</w:t>
      </w:r>
    </w:p>
    <w:p w14:paraId="36F50FB7" w14:textId="7268AFA7" w:rsidR="00A8138F" w:rsidRDefault="00A8138F" w:rsidP="00A8138F">
      <w:pPr>
        <w:pStyle w:val="TextoNormalCentrado"/>
        <w:keepNext/>
      </w:pPr>
    </w:p>
    <w:p w14:paraId="50255FEA" w14:textId="77777777" w:rsidR="00A8138F" w:rsidRDefault="00A8138F" w:rsidP="00A8138F">
      <w:pPr>
        <w:pStyle w:val="TextoNormalCentrado"/>
        <w:keepNext/>
      </w:pPr>
    </w:p>
    <w:p w14:paraId="16E38F34" w14:textId="77777777" w:rsidR="00A8138F" w:rsidRDefault="00A8138F" w:rsidP="00A8138F">
      <w:pPr>
        <w:pStyle w:val="TextoNormal"/>
      </w:pPr>
      <w:r>
        <w:t>la siguiente</w:t>
      </w:r>
    </w:p>
    <w:p w14:paraId="4E37CF08" w14:textId="4E0E5519" w:rsidR="00A8138F" w:rsidRDefault="00A8138F" w:rsidP="00A8138F">
      <w:pPr>
        <w:pStyle w:val="TextoNormal"/>
      </w:pPr>
    </w:p>
    <w:p w14:paraId="2DBADC29" w14:textId="77777777" w:rsidR="00A8138F" w:rsidRDefault="00A8138F" w:rsidP="00A8138F">
      <w:pPr>
        <w:pStyle w:val="TextoNormalCentrado"/>
        <w:keepNext/>
      </w:pPr>
      <w:r>
        <w:t>SENTENCIA</w:t>
      </w:r>
    </w:p>
    <w:p w14:paraId="0407B92B" w14:textId="37575DEB" w:rsidR="00A8138F" w:rsidRDefault="00A8138F" w:rsidP="00A8138F">
      <w:pPr>
        <w:pStyle w:val="TextoNormalCentrado"/>
        <w:keepNext/>
      </w:pPr>
    </w:p>
    <w:p w14:paraId="069E2784" w14:textId="77777777" w:rsidR="00A8138F" w:rsidRDefault="00A8138F" w:rsidP="00A8138F">
      <w:pPr>
        <w:pStyle w:val="TextoNormal"/>
      </w:pPr>
      <w:r>
        <w:t xml:space="preserve">En el recurso de amparo núm. 5252-2024, promovido por doña Leire Goikoetxea Uriarte, representada por la procuradora de los tribunales doña María Esperanza Azpeitia Calvin y asistida por el letrado don Asier Egiluz Collado, contra las resoluciones de 27 de septiembre y 21 de octubre de 2021, del director provincial del Instituto Nacional de la Seguridad Social de Bizkaia, que desestimaron la petición y reclamación previa dirigida a la revisión y ampliación de la prestación por nacimiento y cuidado de hijo menor, como madre biológica de familia monoparental; la sentencia núm. 9/2022, de 10 de enero, del Juzgado de lo Social núm. 3 de Bilbao, aclarada por auto de 17 de enero siguiente y dictada en los autos núm. 1111-2021); la sentencia núm. 48/2023, de 10 de enero, de la Sala de lo Social del Tribunal Superior de Justicia del País Vasco, dictada en el recurso de suplicación núm. 1086-2022); y la sentencia núm. 829/2024, de 31 de mayo, de la Sala de lo Social del Tribunal Supremo, dictada en el recurso de casación para la unificación de doctrina núm. 877-2023) que estimó el recurso presentado por la representación del Instituto Nacional de la Seguridad Social y </w:t>
      </w:r>
      <w:r>
        <w:lastRenderedPageBreak/>
        <w:t>la Tesorería General de la Seguridad Social. Han intervenido la letrada de la administración de la Seguridad Social, en nombre del Instituto Nacional de la Seguridad Social y la Tesorería General de la Seguridad Social, y el Ministerio Fiscal. Ha sido ponente el magistrado don Juan Carlos Campo Moreno.</w:t>
      </w:r>
    </w:p>
    <w:p w14:paraId="41C4EE40" w14:textId="7C8B49E1" w:rsidR="00A8138F" w:rsidRDefault="00A8138F" w:rsidP="00A8138F">
      <w:pPr>
        <w:pStyle w:val="TextoNormal"/>
      </w:pPr>
    </w:p>
    <w:p w14:paraId="5F376296" w14:textId="77777777" w:rsidR="00A8138F" w:rsidRDefault="00A8138F" w:rsidP="00A8138F">
      <w:pPr>
        <w:pStyle w:val="TextoNormalNegritaCentrado"/>
        <w:keepNext/>
      </w:pPr>
      <w:r>
        <w:t>I. Antecedentes</w:t>
      </w:r>
    </w:p>
    <w:p w14:paraId="7C44BB1E" w14:textId="73CB743E" w:rsidR="00A8138F" w:rsidRDefault="00A8138F" w:rsidP="00A8138F">
      <w:pPr>
        <w:pStyle w:val="TextoNormalNegritaCentrado"/>
        <w:keepNext/>
      </w:pPr>
    </w:p>
    <w:p w14:paraId="1FE6910D" w14:textId="14610C30" w:rsidR="00A8138F" w:rsidRDefault="00A8138F" w:rsidP="00A8138F">
      <w:pPr>
        <w:pStyle w:val="TextoNormal"/>
      </w:pPr>
      <w:r w:rsidRPr="00A8138F">
        <w:rPr>
          <w:rStyle w:val="NumeroAFNegritaCaracter"/>
        </w:rPr>
        <w:t>1</w:t>
      </w:r>
      <w:r>
        <w:t>. Mediante escrito registrado en este tribunal el 5 de julio de 2024, la representante procesal de doña Leire Goikoetxea Uriarte, bajo la dirección letrada de don Asier Egiluz Collado, interpuso recurso de amparo contra las decisiones administrativas y resoluciones judiciales a las que se ha hecho referencia en el encabezamiento de esta sentencia.</w:t>
      </w:r>
    </w:p>
    <w:p w14:paraId="00E85052" w14:textId="77777777" w:rsidR="00A8138F" w:rsidRDefault="00A8138F" w:rsidP="00A8138F">
      <w:pPr>
        <w:pStyle w:val="TextoNormal"/>
      </w:pPr>
    </w:p>
    <w:p w14:paraId="499CAE70"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22F8E0E9" w14:textId="77777777" w:rsidR="00A8138F" w:rsidRDefault="00A8138F" w:rsidP="00A8138F">
      <w:pPr>
        <w:pStyle w:val="TextoNormal"/>
      </w:pPr>
    </w:p>
    <w:p w14:paraId="2C06583F" w14:textId="77777777" w:rsidR="00A8138F" w:rsidRDefault="00A8138F" w:rsidP="00A8138F">
      <w:pPr>
        <w:pStyle w:val="TextoNormal"/>
      </w:pPr>
      <w:r>
        <w:t>a) La señora Goikoetxea Uriarte es madre biológica de un niño, nacido en septiembre de 2021, con quien forma una familia monoparental. Por resolución del Instituto Nacional de la Seguridad Social (INSS) de 27 de septiembre de 2021 le fue reconocido el derecho a la prestación económica por nacimiento para cuidado del menor por el período de dieciséis semanas, que finalizaba el 27 de diciembre de 2021. El 19 de octubre de 2021 la señora Goikoetxea formuló reclamación previa instando la revisión de la prestación concedida; alegó en ella haber constituido una familia monoparental y reclamó la ampliación de la prestación en dieciséis semanas más, añadiendo al período ya reconocido el que consideraba le hubiera correspondido al segundo progenitor distinto de la madre biológica en el supuesto de que constituyeran una familia biparental. La solicitud de ampliación fue desestimada por el director provincial del INSS de Bizkaia mediante resolución de 21 de octubre de 2021.</w:t>
      </w:r>
    </w:p>
    <w:p w14:paraId="256AD6B3" w14:textId="77777777" w:rsidR="00A8138F" w:rsidRDefault="00A8138F" w:rsidP="00A8138F">
      <w:pPr>
        <w:pStyle w:val="TextoNormal"/>
      </w:pPr>
    </w:p>
    <w:p w14:paraId="5834EF46" w14:textId="77777777" w:rsidR="00A8138F" w:rsidRDefault="00A8138F" w:rsidP="00A8138F">
      <w:pPr>
        <w:pStyle w:val="TextoNormal"/>
      </w:pPr>
      <w:r>
        <w:t>b) Sintiéndose discriminada por la respuesta recibida, el 8 de noviembre de 2021 la demandante cuestionó las decisiones administrativas ante el Juzgado de lo Social núm. 3 de Bilbao, lo que dio lugar a los autos núm. 1111-2021 que, mediante sentencia de 10 de enero de 2022, estimó parcialmente la demanda interpuesta y declaró el derecho de la actora a disfrutar de la prestación económica de maternidad durante diez semanas más de las ya reconocidas (a partir del 27 de diciembre 2021, según se recoge en auto de aclaración de 17 de enero de 2022), con arreglo a las condiciones económicas ya reconocidas. La sentencia consideró que, a tenor de la extensión del permiso de paternidad acordada por el Real Decreto-ley 6/2019 (art. 18 y disposición transitoria decimotercera), y la interpretación de las normas aplicables realizada por la Sala de lo Social del Tribunal Superior de Justicia del País Vasco (a cuya doctrina se remitió literal y expresamente), la pretensión había de ser parcialmente estimada en protección del interés superior del menor, lo que exigía únicamente restar, de las dieciséis semanas de permiso y prestación económica reclamados, las seis primeras que, atendiendo a su finalidad, habrían de disfrutarse conjuntamente por ambos progenitores, lo que no era posible en estos supuestos.</w:t>
      </w:r>
    </w:p>
    <w:p w14:paraId="14471F29" w14:textId="77777777" w:rsidR="00A8138F" w:rsidRDefault="00A8138F" w:rsidP="00A8138F">
      <w:pPr>
        <w:pStyle w:val="TextoNormal"/>
      </w:pPr>
    </w:p>
    <w:p w14:paraId="435ED2CA" w14:textId="77777777" w:rsidR="00A8138F" w:rsidRDefault="00A8138F" w:rsidP="00A8138F">
      <w:pPr>
        <w:pStyle w:val="TextoNormal"/>
      </w:pPr>
      <w:r>
        <w:t>c) La actora y la representación del INSS y de la Tesorería General de la Seguridad Social (TGSS) recurrieron en suplicación la sentencia de instancia. La entidad gestora para sostener que la primera no tiene derecho a la ampliación de la prestación reconocida. La deman</w:t>
      </w:r>
      <w:r>
        <w:lastRenderedPageBreak/>
        <w:t>dante interesó que se le reconociera la ampliación del permiso laboral y consiguiente prestación económica durante seis semanas más, hasta un total de dieciséis.</w:t>
      </w:r>
    </w:p>
    <w:p w14:paraId="72BFD96E" w14:textId="77777777" w:rsidR="00A8138F" w:rsidRDefault="00A8138F" w:rsidP="00A8138F">
      <w:pPr>
        <w:pStyle w:val="TextoNormal"/>
      </w:pPr>
    </w:p>
    <w:p w14:paraId="5C3B4D7B" w14:textId="77777777" w:rsidR="00A8138F" w:rsidRDefault="00A8138F" w:rsidP="00A8138F">
      <w:pPr>
        <w:pStyle w:val="TextoNormal"/>
      </w:pPr>
      <w:r>
        <w:t>El recurso de la actora fue estimado mediante sentencia núm. 48/2023, de 10 de enero, dictada al resolver el recurso de suplicación núm. 1086-2022, con desestimación del formulado por la representación del INSS y la TGSS. Al justificar su decisión, la Sala de lo Social del Tribunal Superior de Justicia del País Vasco ratificó la doctrina jurisprudencial propia [entre otras, en sentencias de 6 de octubre de 2020 (ECLI:ES:TSJPV:2020:396), 2 y 16 de noviembre y 19 de octubre de 2021 (ECLI:ES:TSJPV:2021:3330; ECLI:ES:TSJPV:2021:3326; ECLI:ES:TSJPV:2021:2920), así como en sentencias de 18 de enero (ECLI:ES:TSJPV:2022:165), 8 de febrero (ECLI:ES:TSJPV:2022:685) y 25 de octubre de 2022 (ECLI:ES:TSJPV:2022:3274)], que había sido fundamento de la sentencia de instancia, para admitir la ampliación del permiso y prestación por nacimiento de menor. A lo expuesto añadió que debía también estimar el recurso de la madre biológica extendiendo hasta un total de dieciséis semanas adicionales la ampliación de su prestación por nacimiento y cuidado de su hijo.</w:t>
      </w:r>
    </w:p>
    <w:p w14:paraId="3F5A2611" w14:textId="77777777" w:rsidR="00A8138F" w:rsidRDefault="00A8138F" w:rsidP="00A8138F">
      <w:pPr>
        <w:pStyle w:val="TextoNormal"/>
      </w:pPr>
    </w:p>
    <w:p w14:paraId="79105773" w14:textId="77777777" w:rsidR="00A8138F" w:rsidRDefault="00A8138F" w:rsidP="00A8138F">
      <w:pPr>
        <w:pStyle w:val="TextoNormal"/>
      </w:pPr>
      <w:r>
        <w:t>d) La letrada de la administración de la Seguridad Social interpuso recurso de casación para la unificación de doctrina frente a la mencionada sentencia de suplicación que, en esencia, con cita de la STS de 2 de marzo de 2023, recurso núm. 3972-2020 (ECLI:ES:TS:2023:783), vino fundado en los mismos argumentos que el recurso de suplicación previo, atentos al tenor literal de las normas reguladoras del permiso y prestación por nacimiento y cuidado de un hijo, y la inexistencia de previsión legal que justificara la ampliación a la madre biológica del permiso que hubiera disfrutado el otro progenitor de haberse integrado en la unidad familiar.</w:t>
      </w:r>
    </w:p>
    <w:p w14:paraId="75B4F2E5" w14:textId="77777777" w:rsidR="00A8138F" w:rsidRDefault="00A8138F" w:rsidP="00A8138F">
      <w:pPr>
        <w:pStyle w:val="TextoNormal"/>
      </w:pPr>
    </w:p>
    <w:p w14:paraId="10A8CCF8" w14:textId="4AD7F87C" w:rsidR="00A8138F" w:rsidRDefault="00A8138F" w:rsidP="00A8138F">
      <w:pPr>
        <w:pStyle w:val="TextoNormal"/>
      </w:pPr>
      <w:r>
        <w:t>e) El recurso de casación para la unificación de doctrina de la letrada de la administración de la Seguridad Social fue estimado íntegramente mediante la sentencia núm. 829/2024, de 31 de mayo. Tras rechazar fundadamente diversas peticiones procesales, así como la petición de planteamiento de una cuestión prejudicial ante el Tribunal de Justicia de la Unión Europea, se argumenta en ella que sí existe la denunciada contradicción alegada entre la doctrina aplicada en la instancia y en suplicación y la fijada por la Sala de lo Social del Tribunal Supremo en la sentencia de 2 de marzo de 2023, según la cual, la naturaleza y finalidad del permiso a los progenitores por nacimiento de un hijo, la taxativa regulación normativa de este en la Ley del estatuto de los trabajadores (LET) y la Ley general de la Seguridad Social (LGSS),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14:paraId="5FF0491B" w14:textId="77777777" w:rsidR="00A8138F" w:rsidRDefault="00A8138F" w:rsidP="00A8138F">
      <w:pPr>
        <w:pStyle w:val="TextoNormal"/>
      </w:pPr>
    </w:p>
    <w:p w14:paraId="211C84B3" w14:textId="77777777" w:rsidR="00A8138F" w:rsidRDefault="00A8138F" w:rsidP="00A8138F">
      <w:pPr>
        <w:pStyle w:val="TextoNormal"/>
      </w:pPr>
      <w:r w:rsidRPr="00A8138F">
        <w:rPr>
          <w:rStyle w:val="NumeroAFNegritaCaracter"/>
        </w:rPr>
        <w:t>3</w:t>
      </w:r>
      <w:r>
        <w:t>. Tres son los motivos por los que la demandante solicita el amparo de este tribunal, todos por infracción del art. 14 CE, tanto de forma directa, por su condición de madre de familia monoparental en relación con el tratamiento que se da a las biparentales, y por sus circunstancias familiares y personales; como indirectamente por razón de sexo, dada su condición de mujer.</w:t>
      </w:r>
    </w:p>
    <w:p w14:paraId="5ED5BCEE" w14:textId="77777777" w:rsidR="00A8138F" w:rsidRDefault="00A8138F" w:rsidP="00A8138F">
      <w:pPr>
        <w:pStyle w:val="TextoNormal"/>
      </w:pPr>
    </w:p>
    <w:p w14:paraId="7E6A1199" w14:textId="77777777" w:rsidR="00A8138F" w:rsidRDefault="00A8138F" w:rsidP="00A8138F">
      <w:pPr>
        <w:pStyle w:val="TextoNormal"/>
      </w:pPr>
      <w:r>
        <w:t>a) Considera, en primer lugar, que las resoluciones administrativas y judiciales que le han denegado la ampliación de la prestación por nacimiento y cuidado de su hijo se apoyan en una diferencia legislativa de trato injustificada y desproporcionada en relación con quienes forman familias biparentales; diferencia ilegítima de trato que extiende sus efectos a su hijo recién nacido, circunstancias y efectos que no encuentran justificación suficiente en una interpretación literal y formalista de la normativa reguladora que ha sido aplicada. Indica que su pretensión de amparo debe estimarse declarando vulnerado el derecho a la igualdad ante la ley (art. 14 CE), dado que las decisiones impugnadas se han basado en una interpretación carente de justificación objetiva y razonable, siendo sus consecuencias jurídicas especialmente gravosas o desmedidas tanto para la recurrente como para su hijo recién nacido.</w:t>
      </w:r>
    </w:p>
    <w:p w14:paraId="0C5F9594" w14:textId="77777777" w:rsidR="00A8138F" w:rsidRDefault="00A8138F" w:rsidP="00A8138F">
      <w:pPr>
        <w:pStyle w:val="TextoNormal"/>
      </w:pPr>
    </w:p>
    <w:p w14:paraId="4267DCEA" w14:textId="77777777" w:rsidR="00A8138F" w:rsidRDefault="00A8138F" w:rsidP="00A8138F">
      <w:pPr>
        <w:pStyle w:val="TextoNormal"/>
      </w:pPr>
      <w:r>
        <w:t>La reducción del tiempo de cuidados personales que los nacidos sufren como consecuencia de quedar integrados en una familia monoparental no es acorde con el principio general de igualdad, que ha de ponerse en relación con los principios rectores que se enuncian en el artículo 39 CE. Entiende que la debida lectura de estos principios, en conjunción con las normas internacionales sobre protección de la familia y los menores de edad, debiera haber llevado a una interpretación distinta de la acordada, que fuera concorde con la protección del interés superior del menor y la pretensión de ampliación de la duración de la prestación que ha defendido en la vía judicial previa.</w:t>
      </w:r>
    </w:p>
    <w:p w14:paraId="0B240D35" w14:textId="77777777" w:rsidR="00A8138F" w:rsidRDefault="00A8138F" w:rsidP="00A8138F">
      <w:pPr>
        <w:pStyle w:val="TextoNormal"/>
      </w:pPr>
    </w:p>
    <w:p w14:paraId="0B4F3E1D" w14:textId="77777777" w:rsidR="00A8138F" w:rsidRDefault="00A8138F" w:rsidP="00A8138F">
      <w:pPr>
        <w:pStyle w:val="TextoNormal"/>
      </w:pPr>
      <w:r>
        <w:t>b) En segundo lugar, alega discriminación directa por circunstancias personales y familiares (segundo inciso del art. 14 en relación con el art. 39 CE). Señala que la diferencia de trato legislativo, administrativo y judicial por su condición de integrante de una familia monoparental debe ser apreciada como una de las causas de discriminación incluidas en el segundo inciso del art. 14 CE, conforme al cual, lo es “cualquier otra condición o circunstancia personal o social” distinta de las citadas por la Constitución. Entiende afectado su derecho al libre desarrollo de la personalidad en cuanto su decisión de formar una familia monoparental está vinculada con las convicciones y creencias más íntimas de la persona (art. 16 CE) y resulta amparada por el derecho a la vida familiar que reconoce el art. 8 del Convenio Europeo de Derechos Humanos.</w:t>
      </w:r>
    </w:p>
    <w:p w14:paraId="1DEA18E8" w14:textId="77777777" w:rsidR="00A8138F" w:rsidRDefault="00A8138F" w:rsidP="00A8138F">
      <w:pPr>
        <w:pStyle w:val="TextoNormal"/>
      </w:pPr>
    </w:p>
    <w:p w14:paraId="74C46C02" w14:textId="77777777" w:rsidR="00A8138F" w:rsidRDefault="00A8138F" w:rsidP="00A8138F">
      <w:pPr>
        <w:pStyle w:val="TextoNormal"/>
      </w:pPr>
      <w:r>
        <w:t>Sostiene que tanto la actuación administrativa como la judicial que cuestiona se apoyan en la decisión de la recurrente en amparo de ser la única responsable de su hijo, pues este ha sido el criterio rector que ha llevado a denegar la petición de extensión de la duración de las prestaciones por nacimiento de un hijo, lo que constituye un criterio diferenciador manifiestamente irrazonable, contrario al art. 39 CE y a la propia doctrina del Tribunal Constitucional recogida en las SSTC 62/2008, de 26 de mayo, FJ 5, y 26/2011, de 14 de marzo, FJ 5. En apoyo de su petición de amparo recoge y desarrolla la doctrina constitucional precedente sobre la utilización como criterio de resolución del interés superior del menor que, de forma directa, disfrutaría en este caso de un tiempo menor de cuidados personales como consecuencia del trato discriminatorio que denuncia.</w:t>
      </w:r>
    </w:p>
    <w:p w14:paraId="2CDA9473" w14:textId="77777777" w:rsidR="00A8138F" w:rsidRDefault="00A8138F" w:rsidP="00A8138F">
      <w:pPr>
        <w:pStyle w:val="TextoNormal"/>
      </w:pPr>
    </w:p>
    <w:p w14:paraId="676279FE" w14:textId="77777777" w:rsidR="00A8138F" w:rsidRDefault="00A8138F" w:rsidP="00A8138F">
      <w:pPr>
        <w:pStyle w:val="TextoNormal"/>
      </w:pPr>
      <w:r>
        <w:t xml:space="preserve">c) En el último motivo de queja, afirma la recurrente que, como consecuencia de la razón de exclusión que justifica las resoluciones impugnadas en amparo, se habría producido adicionalmente una discriminación por razón de sexo debido a que, como viene acreditado estadísticamente con los datos a los que se refiere en su demanda, en la mayoría de las familias monoparentales el progenitor único es una mujer (81 por 100 en 2020); situación </w:t>
      </w:r>
      <w:r>
        <w:lastRenderedPageBreak/>
        <w:t>esta a la que se debe aplicar el concepto de discriminación indirecta por razón de sexo que ha sido acogido por la doctrina constitucional (STC 11/2023, de 23 de febrero, que se remite a lo expuesto en la STC 91/2019, de 3 de julio, FJ 4).</w:t>
      </w:r>
    </w:p>
    <w:p w14:paraId="3602BE64" w14:textId="77777777" w:rsidR="00A8138F" w:rsidRDefault="00A8138F" w:rsidP="00A8138F">
      <w:pPr>
        <w:pStyle w:val="TextoNormal"/>
      </w:pPr>
    </w:p>
    <w:p w14:paraId="25EBB06A" w14:textId="44AA6AFC" w:rsidR="00A8138F" w:rsidRDefault="00A8138F" w:rsidP="00A8138F">
      <w:pPr>
        <w:pStyle w:val="TextoNormal"/>
      </w:pPr>
      <w:r>
        <w:t>Para la demandante, su recurso presenta especial trascendencia constitucional, al menos, por tres razones: (i) en cuanto la vulneración del derecho fundamental que se denuncia pudiera provenir de la ley [art. 48.4 LET; STC 155/2009, de 25 de junio, FJ 2 c)]; (ii) plantea un problema o se refiere a una faceta de un derecho fundamental susceptible de amparo sobre el que no hay doctrina del Tribunal Constitucional, y puede dar ocasión al Tribunal para aclarar o modificar su doctrina mediante un proceso de reflexión interna y como consecuencia de cambios normativos relevantes para la configuración del contenido del derecho fundamental [STC 155/2009, FJ 2 a) y b)]; y (iii) trasciende de su caso concreto, porque plantea una cuestión jurídica relevante, que genera repercusión social o económica [STC 155/2009, FJ 2 g)].</w:t>
      </w:r>
    </w:p>
    <w:p w14:paraId="4F0CF3F3" w14:textId="77777777" w:rsidR="00A8138F" w:rsidRDefault="00A8138F" w:rsidP="00A8138F">
      <w:pPr>
        <w:pStyle w:val="TextoNormal"/>
      </w:pPr>
    </w:p>
    <w:p w14:paraId="3808A1EF" w14:textId="765CAB0F" w:rsidR="00A8138F" w:rsidRDefault="00A8138F" w:rsidP="00A8138F">
      <w:pPr>
        <w:pStyle w:val="TextoNormal"/>
      </w:pPr>
      <w:r w:rsidRPr="00A8138F">
        <w:rPr>
          <w:rStyle w:val="NumeroAFNegritaCaracter"/>
        </w:rPr>
        <w:t>4</w:t>
      </w:r>
      <w:r>
        <w:t>. Mediante providencia de 21 de octubre de 2024, la Sección Segunda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FJ 2 c)]. Asimismo, se acordó en la misma providencia recabar de los órganos judiciales (Juzgado de lo Social núm. 3 de Bilbao, Sala de lo Social del Tribunal Superior de Justicia del País Vasco y Sala de lo Social del Tribunal Supremo) certificación o fotocopia adverada de las actuaciones, ordenando se procediera a emplazar a quienes fueron parte en las distintas instancias para que, en el plazo de diez días, si lo desearan, pudieran comparecer en este proceso constitucional.</w:t>
      </w:r>
    </w:p>
    <w:p w14:paraId="227AEDDD" w14:textId="77777777" w:rsidR="00A8138F" w:rsidRDefault="00A8138F" w:rsidP="00A8138F">
      <w:pPr>
        <w:pStyle w:val="TextoNormal"/>
      </w:pPr>
    </w:p>
    <w:p w14:paraId="70BC10B4" w14:textId="7AF04D4E" w:rsidR="00A8138F" w:rsidRDefault="00A8138F" w:rsidP="00A8138F">
      <w:pPr>
        <w:pStyle w:val="TextoNormal"/>
      </w:pPr>
      <w:r w:rsidRPr="00A8138F">
        <w:rPr>
          <w:rStyle w:val="NumeroAFNegritaCaracter"/>
        </w:rPr>
        <w:t>5</w:t>
      </w:r>
      <w:r>
        <w:t>. Una vez la letrada de la administración de la Seguridad Social solicitó su personación en nombre del INSS (escrito presentado el 18 de noviembre de 2024), mediante diligencia de ordenación de 5 de diciembre de 2024, la Sala Primera del Tribunal Constitucional acordó: (i) tenerle por personado y parte en el procedimiento y (ii) dar vista de las actuaciones recibidas a las partes personadas y al Ministerio Fiscal, por plazo común de veinte días, dentro de los cuales podrían presentar las alegaciones que a su derecho convenga, conforme determina el artículo 52.1 LOTC.</w:t>
      </w:r>
    </w:p>
    <w:p w14:paraId="7BF63089" w14:textId="77777777" w:rsidR="00A8138F" w:rsidRDefault="00A8138F" w:rsidP="00A8138F">
      <w:pPr>
        <w:pStyle w:val="TextoNormal"/>
      </w:pPr>
    </w:p>
    <w:p w14:paraId="6240700E" w14:textId="77777777" w:rsidR="00A8138F" w:rsidRDefault="00A8138F" w:rsidP="00A8138F">
      <w:pPr>
        <w:pStyle w:val="TextoNormal"/>
      </w:pPr>
      <w:r w:rsidRPr="00A8138F">
        <w:rPr>
          <w:rStyle w:val="NumeroAFNegritaCaracter"/>
        </w:rPr>
        <w:t>6</w:t>
      </w:r>
      <w:r>
        <w:t>. El 20 de diciembre de 2024, la letrada de la administración de la Seguridad Social presentó sus alegaciones postulando la desestimación de la demanda de amparo y subsidiariamente que, en el caso de estimarse, se dicte sentencia de acuerdo con lo señalado en la STC 140/2024, de 6 de noviembre, dictada al resolver la correspondiente cuestión de inconstitucionalidad sobre los preceptos legales aplicables.</w:t>
      </w:r>
    </w:p>
    <w:p w14:paraId="6EDDAF40" w14:textId="77777777" w:rsidR="00A8138F" w:rsidRDefault="00A8138F" w:rsidP="00A8138F">
      <w:pPr>
        <w:pStyle w:val="TextoNormal"/>
      </w:pPr>
    </w:p>
    <w:p w14:paraId="1174D31E" w14:textId="77777777" w:rsidR="00A8138F" w:rsidRDefault="00A8138F" w:rsidP="00A8138F">
      <w:pPr>
        <w:pStyle w:val="TextoNormal"/>
      </w:pPr>
      <w:r>
        <w:t>Su pretensión viene apoyada en los siguientes argumentos, sintéticamente expuestos:</w:t>
      </w:r>
    </w:p>
    <w:p w14:paraId="61D94BEE" w14:textId="77777777" w:rsidR="00A8138F" w:rsidRDefault="00A8138F" w:rsidP="00A8138F">
      <w:pPr>
        <w:pStyle w:val="TextoNormal"/>
      </w:pPr>
    </w:p>
    <w:p w14:paraId="076F7366" w14:textId="77777777" w:rsidR="00A8138F" w:rsidRDefault="00A8138F" w:rsidP="00A8138F">
      <w:pPr>
        <w:pStyle w:val="TextoNormal"/>
      </w:pPr>
      <w:r>
        <w:t xml:space="preserve">a) En primer lugar, identifica y describe el contenido de las normas legales aplicables para la resolución de su pretensión (Ley general de la Seguridad Social, Ley del estatuto de los trabajadores y Ley del estatuto básico del empleado público) para señalar cuál es la regulación, el sentido y el alcance del permiso y la prestación por nacimiento y cuidado </w:t>
      </w:r>
      <w:r>
        <w:lastRenderedPageBreak/>
        <w:t>posterior del menor, poniendo especial atención en su finalidad (voluntad del legislador),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14:paraId="046FE8DD" w14:textId="77777777" w:rsidR="00A8138F" w:rsidRDefault="00A8138F" w:rsidP="00A8138F">
      <w:pPr>
        <w:pStyle w:val="TextoNormal"/>
      </w:pPr>
    </w:p>
    <w:p w14:paraId="54E16EE8" w14:textId="77777777" w:rsidR="00A8138F" w:rsidRDefault="00A8138F" w:rsidP="00A8138F">
      <w:pPr>
        <w:pStyle w:val="TextoNormal"/>
      </w:pPr>
      <w:r>
        <w:t>b) Añade que esta es la interpretación jurisprudencial constante y unificada de la Sala de lo Social del Tribunal Supremo, que tuvo oportunidad de pronunciarse expresamente en la STS núm. 169/2023, de 2 de marzo, con una doctrina que contradice el fundamento de fondo de la pretensión de amparo.</w:t>
      </w:r>
    </w:p>
    <w:p w14:paraId="34BEDBA3" w14:textId="77777777" w:rsidR="00A8138F" w:rsidRDefault="00A8138F" w:rsidP="00A8138F">
      <w:pPr>
        <w:pStyle w:val="TextoNormal"/>
      </w:pPr>
    </w:p>
    <w:p w14:paraId="53967AB0" w14:textId="62B11910" w:rsidR="00A8138F" w:rsidRDefault="00A8138F" w:rsidP="00A8138F">
      <w:pPr>
        <w:pStyle w:val="TextoNormal"/>
      </w:pPr>
      <w:r>
        <w:t>c) No obstante, la letrada se hace eco de la reciente STC 140/2024, de 6 de noviembre, estimatoria de la cuestión de inconstitucionalidad planteada sobre las normas reguladoras aplicables, deteniéndose en recoger el alcance y justificación del fallo estimatorio (FJ 7). En tal medida, pese a mantener su petición desestimatoria considera que, en caso de dictarse sentencia parcialmente estimatoria, esta habrá de estar a los pronunciamientos de la ya citada STC 140/2024, de 6 de noviembre, y supeditada al cumplimiento en el caso concreto de los requisitos legalmente establecidos para su percibo.</w:t>
      </w:r>
    </w:p>
    <w:p w14:paraId="168B5C58" w14:textId="77777777" w:rsidR="00A8138F" w:rsidRDefault="00A8138F" w:rsidP="00A8138F">
      <w:pPr>
        <w:pStyle w:val="TextoNormal"/>
      </w:pPr>
    </w:p>
    <w:p w14:paraId="057D5ADE" w14:textId="08CDA81C" w:rsidR="00A8138F" w:rsidRDefault="00A8138F" w:rsidP="00A8138F">
      <w:pPr>
        <w:pStyle w:val="TextoNormal"/>
      </w:pPr>
      <w:r w:rsidRPr="00A8138F">
        <w:rPr>
          <w:rStyle w:val="NumeroAFNegritaCaracter"/>
        </w:rPr>
        <w:t>7</w:t>
      </w:r>
      <w:r>
        <w:t>. La demandante de amparo formuló sus alegaciones mediante escrito registrado el 26 de diciembre de 2024. A través de ellas ratificó los fundamentos de su inicial pretensión de amparo mediante remisión y expuso un extracto del contenido de la demanda de amparo, solicitando el reconocimiento de la vulneración de derechos fundamentales aducida, la declaración de nulidad de las resoluciones impugnadas y la retroacción de actuaciones al momento previo a pronunciarse la administración sobre su pretensión de extensión de la prestación económica reconocida en el art. 177 LGSS, en los términos ya acordados en la STC 140/2024, de 6 de noviembre, a cuya fundamentación se remite expresamente, poniendo de relieve el perjuicio que, para el cuidado del hijo menor, produciría el mantenimiento de la doctrina jurídica que se cuestiona.</w:t>
      </w:r>
    </w:p>
    <w:p w14:paraId="0826D239" w14:textId="77777777" w:rsidR="00A8138F" w:rsidRDefault="00A8138F" w:rsidP="00A8138F">
      <w:pPr>
        <w:pStyle w:val="TextoNormal"/>
      </w:pPr>
    </w:p>
    <w:p w14:paraId="657B14CE" w14:textId="77777777" w:rsidR="00A8138F" w:rsidRDefault="00A8138F" w:rsidP="00A8138F">
      <w:pPr>
        <w:pStyle w:val="TextoNormal"/>
      </w:pPr>
      <w:r w:rsidRPr="00A8138F">
        <w:rPr>
          <w:rStyle w:val="NumeroAFNegritaCaracter"/>
        </w:rPr>
        <w:t>8</w:t>
      </w:r>
      <w:r>
        <w:t>. En sus alegaciones, de fecha 29 de enero de 2025, el Ministerio Fiscal interesó la estimación del recurso de amparo tras apreciar que se han producido en este caso las vulneraciones denunciadas en el sentido expresado en la STC 140/2024, de 6 de noviembre, (del Pleno). Justifica sus alegaciones con base en los siguientes argumentos que ahora se exponen de forma sintética.</w:t>
      </w:r>
    </w:p>
    <w:p w14:paraId="7200E503" w14:textId="77777777" w:rsidR="00A8138F" w:rsidRDefault="00A8138F" w:rsidP="00A8138F">
      <w:pPr>
        <w:pStyle w:val="TextoNormal"/>
      </w:pPr>
    </w:p>
    <w:p w14:paraId="568A047D" w14:textId="283DB952" w:rsidR="00A8138F" w:rsidRDefault="00A8138F" w:rsidP="00A8138F">
      <w:pPr>
        <w:pStyle w:val="TextoNormal"/>
      </w:pPr>
      <w:r>
        <w:t xml:space="preserve">Tras determinar el objeto del recurso de amparo y apreciar que no concurren óbices procesales que impidan un pronunciamiento sobre el fondo, el fiscal identifica el art. 48.4 LET (en relación con el art. 177 LGSS) como preceptos legales aplicados y aplicables a la cuestión planteada en el recurso de amparo y se detiene en resumir los razonamientos que, en la STC 140/2024 (del Pleno) justifican la declaración de inconstitucionalidad entonces acordada (FFJJ 4 a 6). Considera que la </w:t>
      </w:r>
      <w:r w:rsidRPr="00A8138F">
        <w:rPr>
          <w:i/>
        </w:rPr>
        <w:t>ratio</w:t>
      </w:r>
      <w:r>
        <w:t xml:space="preserve"> de esta última sentencia es directamente aplicable al caso presente por lo que la pretensión de amparo que fundamenta el recurso debe ser </w:t>
      </w:r>
      <w:r>
        <w:lastRenderedPageBreak/>
        <w:t>estimada. En relación con los efectos de la estimación del recurso de amparo que propone, considera el fiscal que ha de conllevar la nulidad de las sentencias dictadas por la Sala de lo Social del Tribunal Superior de Justicia del País Vasco y la del Tribunal Supremo, con declaración de firmeza de la pronunciada por el Juzgado de lo Social núm. 3 de Bilbao, de 10 de enero de 2022, dada su coincidencia, en cuanto a su contenido y efectos acordados (diez semanas adicionales en favor de la recurrente), con los establecidos en la tan citada STC 140/2024, de 6 de noviembre.</w:t>
      </w:r>
    </w:p>
    <w:p w14:paraId="5C64CE1C" w14:textId="77777777" w:rsidR="00A8138F" w:rsidRDefault="00A8138F" w:rsidP="00A8138F">
      <w:pPr>
        <w:pStyle w:val="TextoNormal"/>
      </w:pPr>
    </w:p>
    <w:p w14:paraId="2627A661" w14:textId="5A26908F" w:rsidR="00A8138F" w:rsidRDefault="00A8138F" w:rsidP="00A8138F">
      <w:pPr>
        <w:pStyle w:val="TextoNormal"/>
      </w:pPr>
      <w:r w:rsidRPr="00A8138F">
        <w:rPr>
          <w:rStyle w:val="NumeroAFNegritaCaracter"/>
        </w:rPr>
        <w:t>9</w:t>
      </w:r>
      <w:r>
        <w:t>. Mediante providencia de 20 de febrero de 2025, se señaló para deliberación y votación de la presente sentencia el siguiente día 24 de febrero.</w:t>
      </w:r>
    </w:p>
    <w:p w14:paraId="3D7DD508" w14:textId="77777777" w:rsidR="00A8138F" w:rsidRDefault="00A8138F" w:rsidP="00A8138F">
      <w:pPr>
        <w:pStyle w:val="TextoNormal"/>
      </w:pPr>
    </w:p>
    <w:p w14:paraId="2FB0D02A" w14:textId="77777777" w:rsidR="00A8138F" w:rsidRDefault="00A8138F" w:rsidP="00A8138F">
      <w:pPr>
        <w:pStyle w:val="TextoNormalNegritaCentrado"/>
        <w:keepNext/>
      </w:pPr>
      <w:r>
        <w:t>II. Fundamentos jurídicos</w:t>
      </w:r>
    </w:p>
    <w:p w14:paraId="1AFCCDE2" w14:textId="6F73271F" w:rsidR="00A8138F" w:rsidRDefault="00A8138F" w:rsidP="00A8138F">
      <w:pPr>
        <w:pStyle w:val="TextoNormalNegritaCentrado"/>
        <w:keepNext/>
      </w:pPr>
    </w:p>
    <w:p w14:paraId="69A4C00B"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6EBE345D" w14:textId="77777777" w:rsidR="00A8138F" w:rsidRDefault="00A8138F" w:rsidP="00A8138F">
      <w:pPr>
        <w:pStyle w:val="TextoNormal"/>
      </w:pPr>
    </w:p>
    <w:p w14:paraId="0EB753A8" w14:textId="404E63F9" w:rsidR="00A8138F" w:rsidRDefault="00A8138F" w:rsidP="00A8138F">
      <w:pPr>
        <w:pStyle w:val="TextoNormal"/>
      </w:pPr>
      <w:r>
        <w:t>El objeto del presente proceso es dilucidar si las resoluciones administrativas y judiciales cuestionadas en el recurso de amparo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 Decreto-ley 6/2019, de 1 de marzo, de medidas urgentes para garantía de la igualdad de trato y de oportunidades entre mujeres y hombres en el empleo y la ocupación.</w:t>
      </w:r>
    </w:p>
    <w:p w14:paraId="2658C77E" w14:textId="77777777" w:rsidR="00A8138F" w:rsidRDefault="00A8138F" w:rsidP="00A8138F">
      <w:pPr>
        <w:pStyle w:val="TextoNormal"/>
      </w:pPr>
    </w:p>
    <w:p w14:paraId="7319BBB4"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4BE49553" w14:textId="77777777" w:rsidR="00A8138F" w:rsidRDefault="00A8138F" w:rsidP="00A8138F">
      <w:pPr>
        <w:pStyle w:val="TextoNormal"/>
      </w:pPr>
    </w:p>
    <w:p w14:paraId="09010FE7"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9EFC2C0" w14:textId="77777777" w:rsidR="00A8138F" w:rsidRDefault="00A8138F" w:rsidP="00A8138F">
      <w:pPr>
        <w:pStyle w:val="TextoNormal"/>
      </w:pPr>
    </w:p>
    <w:p w14:paraId="7BFC612F" w14:textId="77777777" w:rsidR="00A8138F" w:rsidRDefault="00A8138F" w:rsidP="00A8138F">
      <w:pPr>
        <w:pStyle w:val="TextoNormal"/>
      </w:pPr>
      <w:r>
        <w:t xml:space="preserve">La citada STC 140/2024, al estimar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w:t>
      </w:r>
      <w:r>
        <w:lastRenderedPageBreak/>
        <w:t>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5AFE116" w14:textId="77777777" w:rsidR="00A8138F" w:rsidRDefault="00A8138F" w:rsidP="00A8138F">
      <w:pPr>
        <w:pStyle w:val="TextoNormal"/>
      </w:pPr>
    </w:p>
    <w:p w14:paraId="7DECC123"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50480264" w14:textId="77777777" w:rsidR="00A8138F" w:rsidRDefault="00A8138F" w:rsidP="00A8138F">
      <w:pPr>
        <w:pStyle w:val="TextoNormal"/>
      </w:pPr>
    </w:p>
    <w:p w14:paraId="6CFDFA33" w14:textId="77777777" w:rsidR="00A8138F" w:rsidRDefault="00A8138F" w:rsidP="00A8138F">
      <w:pPr>
        <w:pStyle w:val="TextoNormal"/>
      </w:pPr>
      <w:r>
        <w:t>En consecuencia, procede la estimación de la demanda y el otorgamiento del amparo solicitado, con los efectos que se indicarán más adelante, pues como concretamos en la referida STC 140/2024, de 6 de noviembre, FJ 7, y hemos declarado en anteriores sentencias de amparo (SSTC 147/2024, 149/2024, 150/2024 y 151/2024, de 2 de diciembre),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para progenitor distinto conforme a la legislación aplicable, excluyendo las semanas que necesariamente deben disfrutarse de forma ininterrumpida e inmediatamente posterior al parto.</w:t>
      </w:r>
    </w:p>
    <w:p w14:paraId="18DCC512" w14:textId="77777777" w:rsidR="00A8138F" w:rsidRDefault="00A8138F" w:rsidP="00A8138F">
      <w:pPr>
        <w:pStyle w:val="TextoNormal"/>
      </w:pPr>
    </w:p>
    <w:p w14:paraId="48C7E0D5" w14:textId="21DF4977" w:rsidR="00A8138F" w:rsidRDefault="00A8138F" w:rsidP="00A8138F">
      <w:pPr>
        <w:pStyle w:val="TextoNormal"/>
      </w:pPr>
      <w:r>
        <w:t>La estimación de la demanda, de conformidad con lo expuesto por el Ministerio Fiscal, ha de conllevar la declaración de nulidad de la sentencia núm. 48/2023, de 10 de enero, de la Sala de lo Social del Tribunal Superior de Justicia del País Vasco, y de la sentencia núm. 829/2024, de 31 de mayo, de la Sala de lo Social del Tribunal Supremo, así como la declaración de firmeza de la sentencia núm. 9/2022, de 10 de enero, del Juzgado de lo Social núm. 3 de Bilbao (que fue aclarada por auto de 17 de enero siguiente), coincidente en su contenido y efectos con la citada STC 140/2024.</w:t>
      </w:r>
    </w:p>
    <w:p w14:paraId="6728B8F7" w14:textId="77777777" w:rsidR="00A8138F" w:rsidRDefault="00A8138F" w:rsidP="00A8138F">
      <w:pPr>
        <w:pStyle w:val="TextoNormal"/>
      </w:pPr>
    </w:p>
    <w:p w14:paraId="1A16D9F1" w14:textId="77777777" w:rsidR="00A8138F" w:rsidRDefault="00A8138F" w:rsidP="00A8138F">
      <w:pPr>
        <w:pStyle w:val="TextoNormalCentrado"/>
        <w:keepNext/>
      </w:pPr>
      <w:r>
        <w:t>FALLO</w:t>
      </w:r>
    </w:p>
    <w:p w14:paraId="3CAA3382" w14:textId="6886E548" w:rsidR="00A8138F" w:rsidRDefault="00A8138F" w:rsidP="00A8138F">
      <w:pPr>
        <w:pStyle w:val="TextoNormalCentrado"/>
        <w:keepNext/>
      </w:pPr>
    </w:p>
    <w:p w14:paraId="61F71BBB" w14:textId="77777777" w:rsidR="00A8138F" w:rsidRDefault="00A8138F" w:rsidP="00A8138F">
      <w:pPr>
        <w:pStyle w:val="TextoNormal"/>
      </w:pPr>
      <w:r>
        <w:t>En atención a todo lo expuesto, el Tribunal Constitucional, por la autoridad que le confiere la Constitución de la Nación española, ha decidido decidido estimar la demanda presentada por doña Leire Goikoetxea Uriarte y, en consecuencia:</w:t>
      </w:r>
    </w:p>
    <w:p w14:paraId="0983AE6F" w14:textId="77777777" w:rsidR="00A8138F" w:rsidRDefault="00A8138F" w:rsidP="00A8138F">
      <w:pPr>
        <w:pStyle w:val="TextoNormal"/>
      </w:pPr>
    </w:p>
    <w:p w14:paraId="37354F1B" w14:textId="77777777" w:rsidR="00A8138F" w:rsidRDefault="00A8138F" w:rsidP="00A8138F">
      <w:pPr>
        <w:pStyle w:val="TextoNormal"/>
      </w:pPr>
      <w:r>
        <w:t>1º Declarar que se ha vulnerado el derecho fundamental a la igualdad ante la ley sin discriminación por razón de nacimiento (art. 14 CE).</w:t>
      </w:r>
    </w:p>
    <w:p w14:paraId="1857FFC3" w14:textId="77777777" w:rsidR="00A8138F" w:rsidRDefault="00A8138F" w:rsidP="00A8138F">
      <w:pPr>
        <w:pStyle w:val="TextoNormal"/>
      </w:pPr>
    </w:p>
    <w:p w14:paraId="286DEB4A" w14:textId="77777777" w:rsidR="00A8138F" w:rsidRDefault="00A8138F" w:rsidP="00A8138F">
      <w:pPr>
        <w:pStyle w:val="TextoNormal"/>
      </w:pPr>
      <w:r>
        <w:t xml:space="preserve">2º Restablecer en amparo dicho derecho y, para ello, declarar la nulidad de la sentencia núm. 48/2023, de 10 de enero, de la Sala de lo Social del Tribunal Superior de Justicia del País Vasco, dictada en el recurso de suplicación núm. 1086-2022, y la sentencia núm. 829/2024, de 31 de mayo, de la Sala de lo Social del Tribunal Supremo, dictada en el recurso de casación para la unificación de doctrina núm. 877-2023, que estimó el recurso presentado </w:t>
      </w:r>
      <w:r>
        <w:lastRenderedPageBreak/>
        <w:t>por la representación del Instituto Nacional de la Seguridad Social y la Tesorería General de la Seguridad Social.</w:t>
      </w:r>
    </w:p>
    <w:p w14:paraId="36DED521" w14:textId="77777777" w:rsidR="00A8138F" w:rsidRDefault="00A8138F" w:rsidP="00A8138F">
      <w:pPr>
        <w:pStyle w:val="TextoNormal"/>
      </w:pPr>
    </w:p>
    <w:p w14:paraId="5985321B" w14:textId="18813CA4" w:rsidR="00A8138F" w:rsidRDefault="00A8138F" w:rsidP="00A8138F">
      <w:pPr>
        <w:pStyle w:val="TextoNormal"/>
      </w:pPr>
      <w:r>
        <w:t>3º Declarar la firmeza de la sentencia núm. 9/2022, de 10 de enero, del Juzgado de lo Social núm. 3 de Bilbao, aclarada por auto de 17 de enero de 2022 y dictada en los autos de Seguridad Social núm. 1111-2021.</w:t>
      </w:r>
    </w:p>
    <w:p w14:paraId="6A581839" w14:textId="77777777" w:rsidR="00A8138F" w:rsidRDefault="00A8138F" w:rsidP="00A8138F">
      <w:pPr>
        <w:pStyle w:val="TextoNormal"/>
      </w:pPr>
    </w:p>
    <w:p w14:paraId="25F6CFA5" w14:textId="77777777" w:rsidR="00A8138F" w:rsidRDefault="00A8138F" w:rsidP="00A8138F">
      <w:pPr>
        <w:pStyle w:val="TextoNormal"/>
      </w:pPr>
      <w:r>
        <w:t>Publíquese esta sentencia en el “Boletín Oficial del Estado”.</w:t>
      </w:r>
    </w:p>
    <w:p w14:paraId="00C34967" w14:textId="77777777" w:rsidR="00A8138F" w:rsidRDefault="00A8138F" w:rsidP="00A8138F">
      <w:pPr>
        <w:pStyle w:val="TextoNormal"/>
      </w:pPr>
      <w:r>
        <w:t>Dada en Madrid, a veinticuatro de febrero de dos mil veinticinco.</w:t>
      </w:r>
    </w:p>
    <w:p w14:paraId="5FA402BE" w14:textId="320A0EBD" w:rsidR="00A8138F" w:rsidRDefault="00A8138F">
      <w:pPr>
        <w:spacing w:after="160" w:line="278" w:lineRule="auto"/>
        <w:rPr>
          <w:rFonts w:ascii="Times New Roman" w:eastAsia="Times New Roman" w:hAnsi="Times New Roman" w:cs="Times New Roman"/>
          <w:sz w:val="24"/>
          <w:szCs w:val="24"/>
          <w:lang w:eastAsia="es-ES"/>
        </w:rPr>
      </w:pPr>
      <w:r>
        <w:br w:type="page"/>
      </w:r>
    </w:p>
    <w:p w14:paraId="7306F8FC" w14:textId="77777777" w:rsidR="00A8138F" w:rsidRDefault="00A8138F" w:rsidP="00A8138F">
      <w:pPr>
        <w:pStyle w:val="TtuloResolucin"/>
      </w:pPr>
      <w:bookmarkStart w:id="53" w:name="SENTENCIA_2025_51"/>
      <w:r>
        <w:lastRenderedPageBreak/>
        <w:t>SENTENCIA 51/2025, de 26 de febrero de 2025</w:t>
      </w:r>
    </w:p>
    <w:bookmarkEnd w:id="53"/>
    <w:p w14:paraId="36C6318F" w14:textId="77777777" w:rsidR="00A8138F" w:rsidRDefault="00A8138F" w:rsidP="00A8138F">
      <w:pPr>
        <w:pStyle w:val="TtuloResolucin"/>
      </w:pPr>
      <w:r>
        <w:t>Pleno</w:t>
      </w:r>
    </w:p>
    <w:p w14:paraId="396C7172" w14:textId="77777777" w:rsidR="00A8138F" w:rsidRDefault="00A8138F" w:rsidP="00A8138F">
      <w:pPr>
        <w:pStyle w:val="TtuloBOE"/>
      </w:pPr>
      <w:r>
        <w:t>(BOE núm. 78, de 1 de abril de 2025)</w:t>
      </w:r>
    </w:p>
    <w:p w14:paraId="52783418" w14:textId="77777777" w:rsidR="00A8138F" w:rsidRDefault="00A8138F" w:rsidP="00A8138F">
      <w:pPr>
        <w:pStyle w:val="TextoNormalCentrado"/>
      </w:pPr>
      <w:r>
        <w:t>ECLI:ES:TC:2025:51</w:t>
      </w:r>
    </w:p>
    <w:p w14:paraId="5A4D036E" w14:textId="578989CC" w:rsidR="00A8138F" w:rsidRDefault="00A8138F" w:rsidP="00A8138F">
      <w:pPr>
        <w:pStyle w:val="TextoNormalCentrado"/>
      </w:pPr>
    </w:p>
    <w:p w14:paraId="24FBC677" w14:textId="77777777" w:rsidR="00A8138F" w:rsidRDefault="00A8138F" w:rsidP="00A8138F">
      <w:pPr>
        <w:pStyle w:val="SntesisDescriptiva"/>
      </w:pPr>
      <w:r>
        <w:t>Recurso de amparo 8005-2021. Promovido por doña Rosa Delia Cabrera Montelongo respecto de la sentencia de la Audiencia Provincial de Las Palmas de Gran Canaria que la condenó por un delito electoral.</w:t>
      </w:r>
    </w:p>
    <w:p w14:paraId="46695F95" w14:textId="5384B40A" w:rsidR="00A8138F" w:rsidRDefault="00A8138F" w:rsidP="00A8138F">
      <w:pPr>
        <w:pStyle w:val="SntesisDescriptiva"/>
      </w:pPr>
    </w:p>
    <w:p w14:paraId="5EEDDDD8" w14:textId="77777777" w:rsidR="00A8138F" w:rsidRDefault="00A8138F" w:rsidP="00A8138F">
      <w:pPr>
        <w:pStyle w:val="SntesisAnaltica"/>
      </w:pPr>
      <w:r>
        <w:t>Supuesta vulneración del derecho a la legalidad penal: interpretación razonable y acorde a las exigencias constitucionales del precepto legal que tipifica el incumplimiento por los funcionarios públicos de las normas legalmente establecidas para la constitución de las juntas y mesas electorales.</w:t>
      </w:r>
    </w:p>
    <w:p w14:paraId="7A1AA1C2" w14:textId="5FF1EBBF" w:rsidR="00A8138F" w:rsidRDefault="00A8138F" w:rsidP="00A8138F">
      <w:pPr>
        <w:pStyle w:val="SntesisAnaltica"/>
      </w:pPr>
    </w:p>
    <w:p w14:paraId="57E044B9" w14:textId="6DC47965" w:rsidR="00A8138F" w:rsidRDefault="00A8138F" w:rsidP="00A8138F">
      <w:pPr>
        <w:pStyle w:val="Extracto"/>
      </w:pPr>
      <w:r>
        <w:t>1.</w:t>
      </w:r>
      <w:r>
        <w:tab/>
        <w:t>No cabe excluir del sorteo para formar parte de una mesa electoral al ciudadano español por su origen extranjero, presumiendo un conocimiento insuficiente del idioma castellano, pues justamente lo que ha de presumirse es lo contrario. A través de su integración en las mesas electorales con las trascendentes funciones de estas en el proceso de formación de los órganos representativos, los ciudadanos participan de modo directo en inmediato en este ámbito nuclear del Estado democrático de Derecho (art. 1.1 CE) [FJ 3].</w:t>
      </w:r>
    </w:p>
    <w:p w14:paraId="220640CE" w14:textId="77777777" w:rsidR="00A8138F" w:rsidRDefault="00A8138F" w:rsidP="00A8138F">
      <w:pPr>
        <w:pStyle w:val="Extracto"/>
      </w:pPr>
    </w:p>
    <w:p w14:paraId="072E2850" w14:textId="2DFBA0EA" w:rsidR="00A8138F" w:rsidRDefault="00A8138F" w:rsidP="00A8138F">
      <w:pPr>
        <w:pStyle w:val="Extracto"/>
      </w:pPr>
      <w:r>
        <w:t>2.</w:t>
      </w:r>
      <w:r>
        <w:tab/>
        <w:t>Por más que la decisión formal de designación de los componentes de las mesas sea competencia del ayuntamiento, no queda excluido del tipo sancionador cualquier otro incumplimiento, por los funcionarios públicos del ayuntamiento o de la junta electoral de zona, de sus propias obligaciones legales, cuando afecten a la debida formación y constitución de las mesas, incluida su composición por sorteo público entre la totalidad de las personas incluidas en la lista de electores [FJ 4].</w:t>
      </w:r>
    </w:p>
    <w:p w14:paraId="57DC9A2F" w14:textId="77777777" w:rsidR="00A8138F" w:rsidRDefault="00A8138F" w:rsidP="00A8138F">
      <w:pPr>
        <w:pStyle w:val="Extracto"/>
      </w:pPr>
    </w:p>
    <w:p w14:paraId="275EE734" w14:textId="540EF61D" w:rsidR="00A8138F" w:rsidRDefault="00A8138F" w:rsidP="00A8138F">
      <w:pPr>
        <w:pStyle w:val="Extracto"/>
      </w:pPr>
      <w:r>
        <w:t>3.</w:t>
      </w:r>
      <w:r>
        <w:tab/>
        <w:t>Cualquier persona mayor de edad censada en la sección correspondiente que sepa leer y escribir puede ser designada por sorteo público para formar parte de una mesa electoral (art. 26.2 LOREG), careciendo por tanto de justificación la exclusión de ciudadanos españoles por el hecho de tener nombre y apellidos de origen extranjero [FJ 4].</w:t>
      </w:r>
    </w:p>
    <w:p w14:paraId="164E2014" w14:textId="77777777" w:rsidR="00A8138F" w:rsidRDefault="00A8138F" w:rsidP="00A8138F">
      <w:pPr>
        <w:pStyle w:val="Extracto"/>
      </w:pPr>
    </w:p>
    <w:p w14:paraId="593F66A7" w14:textId="1681D180" w:rsidR="00A8138F" w:rsidRDefault="00A8138F" w:rsidP="00A8138F">
      <w:pPr>
        <w:pStyle w:val="Extracto"/>
      </w:pPr>
      <w:r>
        <w:t>4.</w:t>
      </w:r>
      <w:r>
        <w:tab/>
        <w:t>No vulnera el derecho a la legalidad penal que consagra el art. 25.1 CE una sentencia judicial que no incurre en quiebras manifiestamente ilógicas, ni alumbra un resultado extravagante que sea notoriamente opuesto a la orientación material de la norma penal aplicada, ni se inspira en criterios axiológicos contrarios a los principios constitucionales [FJ 4].</w:t>
      </w:r>
    </w:p>
    <w:p w14:paraId="23222199" w14:textId="77777777" w:rsidR="00A8138F" w:rsidRDefault="00A8138F" w:rsidP="00A8138F">
      <w:pPr>
        <w:pStyle w:val="Extracto"/>
      </w:pPr>
    </w:p>
    <w:p w14:paraId="2B51119E" w14:textId="77777777" w:rsidR="00A8138F" w:rsidRDefault="00A8138F" w:rsidP="00A8138F">
      <w:pPr>
        <w:pStyle w:val="Extracto"/>
      </w:pPr>
    </w:p>
    <w:p w14:paraId="3D753460"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6DA6E4B1" w14:textId="40CE17D6" w:rsidR="00A8138F" w:rsidRDefault="00A8138F" w:rsidP="00A8138F">
      <w:pPr>
        <w:pStyle w:val="TextoNormal"/>
      </w:pPr>
    </w:p>
    <w:p w14:paraId="08569744" w14:textId="77777777" w:rsidR="00A8138F" w:rsidRDefault="00A8138F" w:rsidP="00A8138F">
      <w:pPr>
        <w:pStyle w:val="TextoNormalCentrado"/>
        <w:keepNext/>
      </w:pPr>
      <w:r>
        <w:t>EN NOMBRE DEL REY</w:t>
      </w:r>
    </w:p>
    <w:p w14:paraId="46EC72AD" w14:textId="77F836AE" w:rsidR="00A8138F" w:rsidRDefault="00A8138F" w:rsidP="00A8138F">
      <w:pPr>
        <w:pStyle w:val="TextoNormalCentrado"/>
        <w:keepNext/>
      </w:pPr>
    </w:p>
    <w:p w14:paraId="7CFE7EFF" w14:textId="77777777" w:rsidR="00A8138F" w:rsidRDefault="00A8138F" w:rsidP="00A8138F">
      <w:pPr>
        <w:pStyle w:val="TextoNormalCentrado"/>
        <w:keepNext/>
      </w:pPr>
    </w:p>
    <w:p w14:paraId="4D06178B" w14:textId="77777777" w:rsidR="00A8138F" w:rsidRDefault="00A8138F" w:rsidP="00A8138F">
      <w:pPr>
        <w:pStyle w:val="TextoNormal"/>
      </w:pPr>
      <w:r>
        <w:t>la siguiente</w:t>
      </w:r>
    </w:p>
    <w:p w14:paraId="4AE415CD" w14:textId="2B253244" w:rsidR="00A8138F" w:rsidRDefault="00A8138F" w:rsidP="00A8138F">
      <w:pPr>
        <w:pStyle w:val="TextoNormal"/>
      </w:pPr>
    </w:p>
    <w:p w14:paraId="42903E73" w14:textId="77777777" w:rsidR="00A8138F" w:rsidRDefault="00A8138F" w:rsidP="00A8138F">
      <w:pPr>
        <w:pStyle w:val="TextoNormalCentrado"/>
        <w:keepNext/>
      </w:pPr>
      <w:r>
        <w:t>SENTENCIA</w:t>
      </w:r>
    </w:p>
    <w:p w14:paraId="5B494D1E" w14:textId="26205CAE" w:rsidR="00A8138F" w:rsidRDefault="00A8138F" w:rsidP="00A8138F">
      <w:pPr>
        <w:pStyle w:val="TextoNormalCentrado"/>
        <w:keepNext/>
      </w:pPr>
    </w:p>
    <w:p w14:paraId="5C4BCA9C" w14:textId="77777777" w:rsidR="00A8138F" w:rsidRDefault="00A8138F" w:rsidP="00A8138F">
      <w:pPr>
        <w:pStyle w:val="TextoNormal"/>
      </w:pPr>
      <w:r>
        <w:t>En el recurso de amparo núm. 8005-2021, promovido por doña Rosa Delia Cabrera Montelongo contra la sentencia de 30 de septiembre de 2021 de la Sección Primera de la Audiencia Provincial de Las Palmas de Gran Canaria, por la que se resuelve el recurso de apelación núm. 95-2021 interpuesto contra la sentencia de 3 de noviembre de 2020 dictada por el Juzgado de lo Penal núm. 2 de Arrecife, con sede en Puerto del Rosario, en el procedimiento abreviado núm. 397-2019. Ha intervenido el Ministerio Fiscal. Ha sido ponente el magistrado don Enrique Arnaldo Alcubilla.</w:t>
      </w:r>
    </w:p>
    <w:p w14:paraId="3B169565" w14:textId="6352030C" w:rsidR="00A8138F" w:rsidRDefault="00A8138F" w:rsidP="00A8138F">
      <w:pPr>
        <w:pStyle w:val="TextoNormal"/>
      </w:pPr>
    </w:p>
    <w:p w14:paraId="263C97A3" w14:textId="77777777" w:rsidR="00A8138F" w:rsidRDefault="00A8138F" w:rsidP="00A8138F">
      <w:pPr>
        <w:pStyle w:val="TextoNormalNegritaCentrado"/>
        <w:keepNext/>
      </w:pPr>
      <w:r>
        <w:t>I. Antecedentes</w:t>
      </w:r>
    </w:p>
    <w:p w14:paraId="1D9FE176" w14:textId="1999396C" w:rsidR="00A8138F" w:rsidRDefault="00A8138F" w:rsidP="00A8138F">
      <w:pPr>
        <w:pStyle w:val="TextoNormalNegritaCentrado"/>
        <w:keepNext/>
      </w:pPr>
    </w:p>
    <w:p w14:paraId="13F58CEB" w14:textId="0180B89C" w:rsidR="00A8138F" w:rsidRDefault="00A8138F" w:rsidP="00A8138F">
      <w:pPr>
        <w:pStyle w:val="TextoNormal"/>
      </w:pPr>
      <w:r w:rsidRPr="00A8138F">
        <w:rPr>
          <w:rStyle w:val="NumeroAFNegritaCaracter"/>
        </w:rPr>
        <w:t>1</w:t>
      </w:r>
      <w:r>
        <w:t>. Mediante escrito presentado en el registro general del Tribunal Constitucional el 16 de diciembre de 2021, el procurador de los tribunales don Agustín David Travieso Darias en nombre y representación de doña Rosa Delia Cabrera Montelongo, y asistido por el abogado don Manuel Travieso Darias interpuso recurso de amparo contra la sentencia dictada en apelación a la que se hace referencia en el encabezamiento.</w:t>
      </w:r>
    </w:p>
    <w:p w14:paraId="50A9787E" w14:textId="77777777" w:rsidR="00A8138F" w:rsidRDefault="00A8138F" w:rsidP="00A8138F">
      <w:pPr>
        <w:pStyle w:val="TextoNormal"/>
      </w:pPr>
    </w:p>
    <w:p w14:paraId="65A28827" w14:textId="77777777" w:rsidR="00A8138F" w:rsidRDefault="00A8138F" w:rsidP="00A8138F">
      <w:pPr>
        <w:pStyle w:val="TextoNormal"/>
      </w:pPr>
      <w:r w:rsidRPr="00A8138F">
        <w:rPr>
          <w:rStyle w:val="NumeroAFNegritaCaracter"/>
        </w:rPr>
        <w:t>2</w:t>
      </w:r>
      <w:r>
        <w:t>. Los hechos en que se fundamenta la demanda de amparo son los que seguidamente se relacionan.</w:t>
      </w:r>
    </w:p>
    <w:p w14:paraId="7EBDBD0D" w14:textId="77777777" w:rsidR="00A8138F" w:rsidRDefault="00A8138F" w:rsidP="00A8138F">
      <w:pPr>
        <w:pStyle w:val="TextoNormal"/>
      </w:pPr>
    </w:p>
    <w:p w14:paraId="74EFC6C7" w14:textId="77777777" w:rsidR="00A8138F" w:rsidRDefault="00A8138F" w:rsidP="00A8138F">
      <w:pPr>
        <w:pStyle w:val="TextoNormal"/>
      </w:pPr>
      <w:r>
        <w:t>a) Por sentencia de 3 de noviembre de 2020 dictada por el Juzgado de lo Penal núm. 2 de Arrecife, con sede en Puerto del Rosario, en el procedimiento abreviado núm. 397-2019, se condenó a la demandante de amparo como autora de un delito electoral del art. 139.2 de la Ley Orgánica 5/1985, de 19 de junio, del régimen electoral general (en adelante, LOREG), consistente en el incumplimiento de las normas legalmente establecidas para la constitución de las juntas y mesas electorales, en concurso ideal con un delito cometido por funcionario público contra los derechos individuales, al impedir el legítimo ejercicio de un derecho cívico (art. 542 del Código penal), a la pena principal de dieciséis meses de prisión y a la pena accesoria de inhabilitación especial para empleo o cargo público como secretaria o interventora en corporaciones municipales durante el tiempo de la condena, así como a dieciséis meses de multa con cuota diaria de quince euros, con la responsabilidad personal subsidiaria en caso de impago conforme al art. 53 del Código penal.</w:t>
      </w:r>
    </w:p>
    <w:p w14:paraId="6250B0A5" w14:textId="77777777" w:rsidR="00A8138F" w:rsidRDefault="00A8138F" w:rsidP="00A8138F">
      <w:pPr>
        <w:pStyle w:val="TextoNormal"/>
      </w:pPr>
    </w:p>
    <w:p w14:paraId="2285466B" w14:textId="77777777" w:rsidR="00A8138F" w:rsidRDefault="00A8138F" w:rsidP="00A8138F">
      <w:pPr>
        <w:pStyle w:val="TextoNormal"/>
      </w:pPr>
      <w:r>
        <w:t>Dicho procedimiento se había seguido inicialmente contra la demandante y otras personas, en concreto la alcaldesa y los concejales del Ayuntamiento de La Oliva, si bien por auto de 21 de noviembre de 2017 el Juzgado de Instrucción núm. 6 de Puerto del Rosario (diligencias previas núm. 1617-2015) acordó el sobreseimiento provisional respecto del resto de investigados, siguiéndose la causa únicamente contra la ahora demandante de amparo, en tanto que secretaria accidental del mencionado ayuntamiento.</w:t>
      </w:r>
    </w:p>
    <w:p w14:paraId="72120682" w14:textId="77777777" w:rsidR="00A8138F" w:rsidRDefault="00A8138F" w:rsidP="00A8138F">
      <w:pPr>
        <w:pStyle w:val="TextoNormal"/>
      </w:pPr>
    </w:p>
    <w:p w14:paraId="538B4C79" w14:textId="77777777" w:rsidR="00A8138F" w:rsidRDefault="00A8138F" w:rsidP="00A8138F">
      <w:pPr>
        <w:pStyle w:val="TextoNormal"/>
      </w:pPr>
      <w:r>
        <w:t>De acuerdo con el relato de hechos probados de la sentencia, resulta que el 27 de abril de 2015 en el Ayuntamiento de La Oliva se celebró un pleno municipal, cuyo orden del día incluía la celebración del sorteo de los miembros que habrían de integrar de las mesas electorales para las elecciones municipales y autonómicas de Canarias, convocadas para el 24 de mayo de 2015. La demandante actuaba en el mismo como secretaria accidental del ayuntamiento y, en cuanto tal, como delegada de la junta electoral de zona. Declara la sentencia que “[i]niciado el Pleno, se procedió al sorteo de los distintos miembros que iban a formar parte de las mesas electorales, empleando para ello la aplicación informática ‘Elector’, la cual procedía a seleccionar de forma aleatoria a los distintos candidatos para formar parte de las mesas electorales entre todas las personas que figuraban inscritas en el censo electoral como electores en la mesa correspondiente para la que iban a ser elegidos, aplicación informática que ejecutaba la acusada, procediendo a la lectura en voz alta de los candidatos que de forma aleatoria iban saliendo elegidos. Durante el sorteo, salió como candidato a formar parte de una mesa electoral un ciudadano de nacionalidad española de nombre Alí Mohamed. La acusada, guiada del ánimo de frustrar el buen funcionamiento de la administración electoral, así como guiada del ánimo de impedir a un ciudadano español su legítimo derecho a formar parte de un asunto público de participación política, al leer su nombre, propuso en voz alta excluirlo de formar parte de las mesas, bajo el pretexto de que este ciudadano probablemente no conocería bien la lengua española y daría problemas el día de celebración de las elecciones, siendo la acusada perfectamente conocedora de que no podía alterar la aleatoriedad del sorteo y que no le correspondía a ella decidir la exclusión de ningún candidato. A pesar de ello, la acusada Rosa Delia Cabrera Montelongo manipuló la aplicación informática para proceder a la expulsión de este ciudadano, repitiendo esta acción hasta en dos ocasiones más cuando la aplicación seleccionaba a un ciudadano de nacionalidad española con nombre y/o apellidos de origen extranjero”.</w:t>
      </w:r>
    </w:p>
    <w:p w14:paraId="35429B17" w14:textId="77777777" w:rsidR="00A8138F" w:rsidRDefault="00A8138F" w:rsidP="00A8138F">
      <w:pPr>
        <w:pStyle w:val="TextoNormal"/>
      </w:pPr>
    </w:p>
    <w:p w14:paraId="0F166DD0" w14:textId="77777777" w:rsidR="00A8138F" w:rsidRDefault="00A8138F" w:rsidP="00A8138F">
      <w:pPr>
        <w:pStyle w:val="TextoNormal"/>
      </w:pPr>
      <w:r>
        <w:t>b) Interpuesto recurso de apelación contra la mencionada sentencia, fue estimado parcialmente por sentencia de 30 de septiembre de 2021 de la Sección Primera de la Audiencia Provincial de Las Palmas de Gran Canaria (rollo de apelación núm. 95-2021). La sentencia dejó sin efecto la condena de la demandante de amparo relativa al delito cometido por funcionario público contra los derechos individuales (impedir el legítimo ejercicio de un derecho cívico), absolviéndola de este. En función de ello la sentencia de apelación corrige el fallo de la sentencia de instancia, imponiendo a la demandante, en relación con el delito electoral por el que finalmente ha resultado condenada, la pena de seis meses de prisión y multa de seis meses a razón de quince euros de cuota diaria, con la responsabilidad personal subsidiaria que deriva del art. 53 del Código penal y como pena accesoria la suspensión durante el tiempo de duración de la condena para el ejercicio del cargo o empleo público que venía desempeñando en la corporación local de la Oliva, así como de cualquier otro que tenga conexión con una entidad pública local y con cualquier régimen electoral que pudiera celebrarse en ese tiempo.</w:t>
      </w:r>
    </w:p>
    <w:p w14:paraId="3563DDDE" w14:textId="77777777" w:rsidR="00A8138F" w:rsidRDefault="00A8138F" w:rsidP="00A8138F">
      <w:pPr>
        <w:pStyle w:val="TextoNormal"/>
      </w:pPr>
    </w:p>
    <w:p w14:paraId="340B9131" w14:textId="77777777" w:rsidR="00A8138F" w:rsidRDefault="00A8138F" w:rsidP="00A8138F">
      <w:pPr>
        <w:pStyle w:val="TextoNormal"/>
      </w:pPr>
      <w:r>
        <w:t>En la sentencia de apelación se acepta parcialmente el relato fáctico de la sentencia de instancia, quedando este como sigue:</w:t>
      </w:r>
    </w:p>
    <w:p w14:paraId="071C88AB" w14:textId="77777777" w:rsidR="00A8138F" w:rsidRDefault="00A8138F" w:rsidP="00A8138F">
      <w:pPr>
        <w:pStyle w:val="TextoNormal"/>
      </w:pPr>
    </w:p>
    <w:p w14:paraId="43118DAE" w14:textId="77777777" w:rsidR="00A8138F" w:rsidRDefault="00A8138F" w:rsidP="00A8138F">
      <w:pPr>
        <w:pStyle w:val="TextoNormal"/>
      </w:pPr>
      <w:r>
        <w:t xml:space="preserve">“En fecha de 27 de abril de 2015 en el Ayuntamiento del municipio de la Oliva se procedió a la celebración de un Pleno municipal, el cual tenía como orden del día el ejecutar el proceso de designación de los miembros que iban a formar parte de las mesas electorales en </w:t>
      </w:r>
      <w:r>
        <w:lastRenderedPageBreak/>
        <w:t>las elecciones municipales y autonómicas de Canarias a celebrar a fecha de 24 de mayo de 2015, actuando la acusada Rosa Delia Cabrera Montelongo, secretaria accidental del Ayuntamiento de la Oliva, también como delegada de la junta electoral de zona en el Pleno, órgano legal al que compete la supervisión de tal procedimiento. Iniciado el Pleno, se procedió al sorteo de los distintos miembros que iban a formar parte de las mesas electorales, empleando para ello la aplicación informática ‘Elector’, la cual, una vez activada, de forma aleatoria selecciona e identifica, entre todas las personas que figuraban inscritas en el censo electoral y que aparecen como como electores en la zona de las mesas a constituir, a quienes finalmente van a resultar elegidos para tal menester (presidentes y vocales, titulares y suplentes). Esa aplicación informática era manejada por los técnicos allí presentes, siendo la acusada quien en voz alta daba lectura de los candidatos que iban siendo por el azar seleccionados. Durante el sorteo resultaron en principio a tal fin elegidos por la aplicación informática potenciales electores de nacionalidad española, pero con nombre y apellidos de origen no español. La acusada, al margen de la función pública encomendada y con quebranto del deber de supervisión legal asignado, después de leer sus respectivos nombres y apellidos, proponía en voz alta su exclusión de la correspondiente mesa electoral, bajo el inconsistente y particular pretexto de que tales ciudadanos probablemente no conocieran bien la lengua española y podrían dar problemas el día de la celebración de las elecciones. Actuación que contribuyó de manera determinante a su efectivo apartamiento, con la consiguiente alteración que ello conllevó en la definitiva formación de al menos dos de las mesas electorales finalmente constituidas”.</w:t>
      </w:r>
    </w:p>
    <w:p w14:paraId="11F39EDF" w14:textId="77777777" w:rsidR="00A8138F" w:rsidRDefault="00A8138F" w:rsidP="00A8138F">
      <w:pPr>
        <w:pStyle w:val="TextoNormal"/>
      </w:pPr>
    </w:p>
    <w:p w14:paraId="74E11CC1" w14:textId="77777777" w:rsidR="00A8138F" w:rsidRDefault="00A8138F" w:rsidP="00A8138F">
      <w:pPr>
        <w:pStyle w:val="TextoNormal"/>
      </w:pPr>
      <w:r>
        <w:t>Al abordar las quejas vertidas en el recurso, la Audiencia Provincial sopesa en primer término las referidas a la insuficiencia del acervo probatorio, si bien destaca que la apelante parte de una percepción parcial de la misma, guiada por la concreta óptica de su defensa. Señala que la sentencia de instancia da preferencia y relevancia al contenido de la prueba personal: testificales practicadas y declaración de la acusada (quien con sus manifestaciones reconoció abiertamente que en el proceso aleatorio y objetivo de selección de los miembros que integrarían las mesas electorales se introduce un elemento subjetivo corrector provocado por ella misma). Ese elemento no es otro que su proclama y propuesta hecha con el único objetivo de excluir a personas elegidas entre los electores que figuran en el censo por tener nombre y apellidos extranjeros. Ese criterio finalmente se impone y es tenido en cuenta en el proceso de selección celebrado. Los restantes testigos (asistentes como público al Pleno o bien integrantes de la corporación local) no vinieron sino a avalar lo dicho por la acusada, llegando con sus testimonios a completar aspectos periféricos relevantes. Quedó así clara la implicación de la acusada en el proceso público de selección de los miembros que pasarían a formar parte el día de las elecciones de las diferentes mesas electorales, al igual que su actuación caprichosa bajo un pretexto vacío de justificación, pues no cabe en modo alguno presumir que un elector, por carecer de nombre y apellidos de origen español, vaya a generar dificultades en un proceso electoral.</w:t>
      </w:r>
    </w:p>
    <w:p w14:paraId="0A28EB62" w14:textId="77777777" w:rsidR="00A8138F" w:rsidRDefault="00A8138F" w:rsidP="00A8138F">
      <w:pPr>
        <w:pStyle w:val="TextoNormal"/>
      </w:pPr>
    </w:p>
    <w:p w14:paraId="2D275A79" w14:textId="77777777" w:rsidR="00A8138F" w:rsidRDefault="00A8138F" w:rsidP="00A8138F">
      <w:pPr>
        <w:pStyle w:val="TextoNormal"/>
      </w:pPr>
      <w:r>
        <w:t xml:space="preserve">Entiende la Audiencia Provincial que de la prueba practicada no se desprende que la acusada tuviera un control férreo y absoluto del pleno, como tampoco (en contra de lo afirmado en la sentencia de instancia) que fuera ella quien controlaba formalmente dicho acto. Su actuación es por delegación de la junta electoral de zona (art. 11.4 LOREG) y su función como tal, aunque importante, no se corresponde con la asunción del manejo y del mando de todo el procedimiento. Corresponde a la junta electoral de zona supervisar ese proceso (art. 26 LOREG). La acusada, como delegada, es quien materializa en el proceso en cuestión tal </w:t>
      </w:r>
      <w:r>
        <w:lastRenderedPageBreak/>
        <w:t>labor, siendo a ella a quien correspondía vigilar los trámites legales y velar porque la limpieza y la objetividad presidiese la selección de los miembros de las mesas electorales. Para la Audiencia Provincial no lo hizo, ya que fue ella misma quien contaminó el proceso con las filtraciones subjetivas que postuló y finalmente impuso, faltando así a la obligación legal que como funcionaria pública debía cumplir.</w:t>
      </w:r>
    </w:p>
    <w:p w14:paraId="3573A361" w14:textId="77777777" w:rsidR="00A8138F" w:rsidRDefault="00A8138F" w:rsidP="00A8138F">
      <w:pPr>
        <w:pStyle w:val="TextoNormal"/>
      </w:pPr>
    </w:p>
    <w:p w14:paraId="24BEF010" w14:textId="77777777" w:rsidR="00A8138F" w:rsidRDefault="00A8138F" w:rsidP="00A8138F">
      <w:pPr>
        <w:pStyle w:val="TextoNormal"/>
      </w:pPr>
      <w:r>
        <w:t>Por otro lado, la Audiencia Provincial estima que esa irregular actuación no se proyecta a través de una manipulación de la aplicación informática “Elector”, pero sí determina que se produzca una alteración caprichosa del proceso de selección, con el consiguiente quebranto del buen funcionamiento de la administración electoral. El proceder de la acusada tuvo repercusión y predicamento, llegando a viciar la base objetiva del procedimiento y causando con ello la adulteración de su resultado. Finalmente, aunque la sentencia de instancia identifique a uno de los electores seleccionados y excluidos, lo hace de manera imprecisa, ya que aporta un nombre y un apellido que bien pueden servir de indicadores primarios, pero resultan insuficientes para revelar la identidad de una concreta persona de manera clara e indubitada. A la vista de las testificales tenidas en cuenta en la valoración de la prueba resulta, incluso, confusa esa primaria indicación. Sí está acreditado que al menos dos personas seleccionadas por la aplicación informática fueron excluidas de la selección para formar parte de las mesas electorales por las razones expuestas.</w:t>
      </w:r>
    </w:p>
    <w:p w14:paraId="134C950B" w14:textId="77777777" w:rsidR="00A8138F" w:rsidRDefault="00A8138F" w:rsidP="00A8138F">
      <w:pPr>
        <w:pStyle w:val="TextoNormal"/>
      </w:pPr>
    </w:p>
    <w:p w14:paraId="30D6B930" w14:textId="77777777" w:rsidR="00A8138F" w:rsidRDefault="00A8138F" w:rsidP="00A8138F">
      <w:pPr>
        <w:pStyle w:val="TextoNormal"/>
      </w:pPr>
      <w:r>
        <w:t>A continuación, la Audiencia Provincial aborda el encaje típico de estos hechos. Considera, por un lado, que la conducta desplegada por la acusada es subsumible en el delito electoral de referencia en la sentencia de instancia, sin que sea posible tratar de mitigar sus consecuencias acudiendo al principio de intervención mínima del Derecho penal, al que se alude en el recurso. No cabe negar que las complejas relaciones entre Derecho penal y derecho administrativo sancionador contribuyen a que en ocasiones sea difícil discernir cuándo un comportamiento calificado como “ilícito” puede traspasar las fronteras de una infracción administrativa para transformarse en un ilícito penal. No obstante, la distinción entre una y otra categoría de infracciones corresponde al legislador, atendiendo a criterios de política legislativa y criminal. En el caso, se criminaliza expresamente un incumplimiento normativo como el analizado, no siendo posible trasladar esta actuación al ámbito administrativo (art. 153 LOREG). La actuación de la junta electoral de zona, expuesta en el recurso, en nada empece la conclusión alcanzada, ni resta relevancia penal a la acción analizada: la autora era consciente de su papel y responsabilidad, y conocía las características propias del proceso de selección.</w:t>
      </w:r>
    </w:p>
    <w:p w14:paraId="4F564AAC" w14:textId="77777777" w:rsidR="00A8138F" w:rsidRDefault="00A8138F" w:rsidP="00A8138F">
      <w:pPr>
        <w:pStyle w:val="TextoNormal"/>
      </w:pPr>
    </w:p>
    <w:p w14:paraId="4D68989E" w14:textId="77777777" w:rsidR="00A8138F" w:rsidRDefault="00A8138F" w:rsidP="00A8138F">
      <w:pPr>
        <w:pStyle w:val="TextoNormal"/>
      </w:pPr>
      <w:r>
        <w:t>Se descarta, en cambio, que la conducta analizada sea subsumible en el art. 542 del Código penal (delito cometido por funcionario público contra los derechos individuales, al impedir el ejercicio de un derecho cívico). La participación de los ciudadanos en la formación de las mesas electorales es un deber cívico que se plasma, formal y materialmente, en la participación en el sorteo público de selección y en la obligación que tiene la persona elegida de estar y formar parte de la correspondiente mesa para la que ha sido designada. Cierto es que la participación en el sorteo es una facultad que tiene todo ciudadano que forma parte del censo electoral o de las listas electorales, siempre y cuando no concurra en él causa de descarte (art. 26.2 LOREG). Pero para la Audiencia Provincial tal facultad no tiene paralelismo ni simetría con los derechos electorales, por lo que su quebranto no encontraría encaje en el contenido de la figura delictiva referida. Es más, para poder determinar el impedimento sufrido en el ejercicio de tal facultad debería estar totalmente identifi</w:t>
      </w:r>
      <w:r>
        <w:lastRenderedPageBreak/>
        <w:t>cada la persona afectada y debería conocerse cómo ha repercutido en ella el quehacer excluyente ejecutado por el funcionario público y en el presente caso no consta ni lo uno ni lo otro. A la vista de lo expuesto, la conducta que se imputa a la acusada no tiene cabida en el citado tipo penal, lo que conduce a un pronunciamiento absolutorio sobre este extremo.</w:t>
      </w:r>
    </w:p>
    <w:p w14:paraId="4929EAF0" w14:textId="77777777" w:rsidR="00A8138F" w:rsidRDefault="00A8138F" w:rsidP="00A8138F">
      <w:pPr>
        <w:pStyle w:val="TextoNormal"/>
      </w:pPr>
    </w:p>
    <w:p w14:paraId="28E03F82" w14:textId="34A2C368" w:rsidR="00A8138F" w:rsidRDefault="00A8138F" w:rsidP="00A8138F">
      <w:pPr>
        <w:pStyle w:val="TextoNormal"/>
      </w:pPr>
      <w:r>
        <w:t>c) La sentencia de 30 de septiembre de 2021 de la Sección Primera de la Audiencia Provincial de Las Palmas de Gran Canaria indicaba que no cabía interponer frente a la misma recurso de casación. Por auto de 15 de noviembre de 2021 se acordó no admitir a trámite el incidente de nulidad promovido por la demandante de amparo contra esa sentencia.</w:t>
      </w:r>
    </w:p>
    <w:p w14:paraId="24BE3594" w14:textId="77777777" w:rsidR="00A8138F" w:rsidRDefault="00A8138F" w:rsidP="00A8138F">
      <w:pPr>
        <w:pStyle w:val="TextoNormal"/>
      </w:pPr>
    </w:p>
    <w:p w14:paraId="3C09D4DE" w14:textId="77777777" w:rsidR="00A8138F" w:rsidRDefault="00A8138F" w:rsidP="00A8138F">
      <w:pPr>
        <w:pStyle w:val="TextoNormal"/>
      </w:pPr>
      <w:r w:rsidRPr="00A8138F">
        <w:rPr>
          <w:rStyle w:val="NumeroAFNegritaCaracter"/>
        </w:rPr>
        <w:t>3</w:t>
      </w:r>
      <w:r>
        <w:t xml:space="preserve">. La demanda de amparo se interpone </w:t>
      </w:r>
      <w:r w:rsidRPr="00A8138F">
        <w:rPr>
          <w:i/>
        </w:rPr>
        <w:t>ex</w:t>
      </w:r>
      <w:r>
        <w:t xml:space="preserve"> art. 44 de la Ley Orgánica del Tribunal Constitucional (en adealnte, LOTC) frente a la sentencia 305/2021, de 30 de septiembre, de la Sección Primera de la Audiencia Provincial de Las Palmas de Gran Canaria, por vulneración de los derechos a la tutela judicial efectiva (art. 24.1 CE) y a la legalidad penal (art. 25.1 CE).</w:t>
      </w:r>
    </w:p>
    <w:p w14:paraId="6422ABFF" w14:textId="77777777" w:rsidR="00A8138F" w:rsidRDefault="00A8138F" w:rsidP="00A8138F">
      <w:pPr>
        <w:pStyle w:val="TextoNormal"/>
      </w:pPr>
    </w:p>
    <w:p w14:paraId="305BE995" w14:textId="77777777" w:rsidR="00A8138F" w:rsidRDefault="00A8138F" w:rsidP="00A8138F">
      <w:pPr>
        <w:pStyle w:val="TextoNormal"/>
      </w:pPr>
      <w:r>
        <w:t>Tras exponer los hechos de los que trae causa el presente recurso de amparo, la demanda denuncia la vulneración del derecho a la tutela judicial efectiva (art. 24.1 CE) por la motivación arbitraria, ilógica y errónea de la sentencia. Tras invocar diversos pronunciamientos de este tribunal sobre el referido derecho (SSTC 89/2008, de 21 de julio, y 134/2008, de 7 de octubre), la demandante cuestiona que en la sentencia recurrida se afirme que mantuvo un particular posicionamiento con repercusión en la composición de las mesas electorales. Incide, a tal fin, en el contenido de los distintos preceptos que en la LOREG (art. 26) y en la Ley de bases de régimen local (art. 22) regulan la formación de las mesas electorales. Niega, a resultas de ello, que el secretario del ayuntamiento ostente competencias decisivas al respecto y pueda decidir nada en el pleno de la corporación. En este caso no cabe duda de que fueron los concejales, por unanimidad de los presentes, los que votaron estar de acuerdo con el sorteo realizado y las designaciones de miembros de las mesas resultantes.</w:t>
      </w:r>
    </w:p>
    <w:p w14:paraId="5985C963" w14:textId="77777777" w:rsidR="00A8138F" w:rsidRDefault="00A8138F" w:rsidP="00A8138F">
      <w:pPr>
        <w:pStyle w:val="TextoNormal"/>
      </w:pPr>
    </w:p>
    <w:p w14:paraId="3908FEF8" w14:textId="77777777" w:rsidR="00A8138F" w:rsidRDefault="00A8138F" w:rsidP="00A8138F">
      <w:pPr>
        <w:pStyle w:val="TextoNormal"/>
      </w:pPr>
      <w:r>
        <w:t xml:space="preserve">Por otra parte, la demandante entiende vulnerado el derecho a la legalidad penal (art. 25.1 CE). Discute que, desde la literalidad de la legalidad aplicable al caso, y conforme a los criterios penales de </w:t>
      </w:r>
      <w:r w:rsidRPr="00A8138F">
        <w:rPr>
          <w:i/>
        </w:rPr>
        <w:t>lex scripta et stricta</w:t>
      </w:r>
      <w:r>
        <w:t xml:space="preserve">, sea posible subsumir los hechos como delito (art. 139.2 LOREG), pues no es posible encuadrarlos en la conducta típica definida por el legislador. Sostiene que se ha confundido las normas sobre la formación de las mesas electorales y designación de sus miembros con las normas de su constitución; por ello, su conducta no puede considerarse como un “incumplimiento de las normas legalmente establecidas para la constitución de las mesas electorales”. No se puede subsumir en el art. 139.2 LOREG un incumplimiento del art. 26 LOREG: la designación de los miembros de la mesa, que se ha de hacer en pleno del ayuntamiento y por sorteo público, no puede ser considerada como una norma de constitución de la mesa, sino como un acto preparatorio. Las mesas electorales se constituyen el mismo día de las votaciones y las normas legalmente establecidas para su constitución están expresamente recogidas en los arts. 80 a 83 LOREG. Se trata de fases diferentes del proceso electoral que hacen que la conducta no sea típica, lo que, a su vez, impide la condena penal. Se ha vulnerado el principio de intervención mínima del Derecho penal, al faltar un elemento de tipicidad necesario para la aplicación del art. 139 LOREG. De hecho, el sorteo fue impugnado por un individuo y por el partido político “Votemos La Oliva”. La junta electoral de zona no admitió la impugnación, considerando válido el sorteo realizado y solamente requirió a la demandante para que se abstuviera de </w:t>
      </w:r>
      <w:r>
        <w:lastRenderedPageBreak/>
        <w:t>realizar tales prácticas de selección de miembros de las mesas electorales, bajo apercibimiento de las sanciones establecidas en la Ley Orgánica de régimen electoral general (escrito de la junta electoral de zona de Fuerteventura de 11 de mayo de 2015, obrante en autos). En suma, la junta no consideró delito la conducta de la demandante, pues de otro modo tendría que haberlo denunciado de forma inmediata ante los juzgados; tampoco consideró su actuación de suficiente entidad como para representar una falta administrativa de las previstas en la ley electoral, motivo por el que se limitó a realizar un apercibimiento.</w:t>
      </w:r>
    </w:p>
    <w:p w14:paraId="55EA6CED" w14:textId="77777777" w:rsidR="00A8138F" w:rsidRDefault="00A8138F" w:rsidP="00A8138F">
      <w:pPr>
        <w:pStyle w:val="TextoNormal"/>
      </w:pPr>
    </w:p>
    <w:p w14:paraId="3526A03E" w14:textId="77777777" w:rsidR="00A8138F" w:rsidRDefault="00A8138F" w:rsidP="00A8138F">
      <w:pPr>
        <w:pStyle w:val="TextoNormal"/>
      </w:pPr>
      <w:r>
        <w:t>Finalmente, la demandante expresa que el recurso reúne especial trascendencia constitucional al incurrir la sentencia impugnada en una aplicación extensiva, en perjuicio del reo, del delito electoral. Considera que se ha efectuado una interpretación extensiva del art. 139.2 LOREG en lo que se refiere a la existencia del tipo concreto, que indica claramente que trata de un incumplimiento de las normas legalmente establecidas para la constitución de las mesas electorales. Al propio tiempo, se han subsumido erróneamente los hechos en dicho tipo penal, al indicarse en la resolución judicial combatida que las normas legalmente establecidas para la constitución de las mesas electorales son las que se refieren al proceso que se ha de seguir para su constitución, es decir, aquel que se inicia con la selección de sus posibles miembros, que sigue con la resolución de las excusas legales que puedan formular los primeramente elegidos y que culmina con la concreta configuración formal personal y material de las mesas el día de las elecciones.</w:t>
      </w:r>
    </w:p>
    <w:p w14:paraId="591FCA68" w14:textId="77777777" w:rsidR="00A8138F" w:rsidRDefault="00A8138F" w:rsidP="00A8138F">
      <w:pPr>
        <w:pStyle w:val="TextoNormal"/>
      </w:pPr>
    </w:p>
    <w:p w14:paraId="77A01F2C" w14:textId="3342AC4F" w:rsidR="00A8138F" w:rsidRDefault="00A8138F" w:rsidP="00A8138F">
      <w:pPr>
        <w:pStyle w:val="TextoNormal"/>
      </w:pPr>
      <w:r>
        <w:t>Para la demandante, la especial trascendencia constitucional del asunto estriba en que no solo entra en juego el derecho a la tutela judicial efectiva (art. 24.1 CE), sino también su reflejo sobre el derecho fundamental sustantivo a la legalidad penal (art. 25.1 CE). Es imposible que un ciudadano, amparado en el art. 25.1 CE, pueda pensar que será condenado por un delito electoral de incumplir las normas “legalmente establecidas” para la “constitución de las mesas electorales” (reguladas en un epígrafe concretamente denominado “Constitución de las Mesas Electorales”, arts. 80 y ss. LOREG), por la vulneración del art. 26 LOREG. Junto a ello, el Tribunal Constitucional tiene declarado reiteradamente que el canon de constitucionalidad aplicable es un canon reforzado cuando el derecho a la tutela judicial efectiva se impetra para la defensa de un derecho sustantivo fundamental.</w:t>
      </w:r>
    </w:p>
    <w:p w14:paraId="650DCFAA" w14:textId="77777777" w:rsidR="00A8138F" w:rsidRDefault="00A8138F" w:rsidP="00A8138F">
      <w:pPr>
        <w:pStyle w:val="TextoNormal"/>
      </w:pPr>
    </w:p>
    <w:p w14:paraId="0C6983CA" w14:textId="77777777" w:rsidR="00A8138F" w:rsidRDefault="00A8138F" w:rsidP="00A8138F">
      <w:pPr>
        <w:pStyle w:val="TextoNormal"/>
      </w:pPr>
      <w:r w:rsidRPr="00A8138F">
        <w:rPr>
          <w:rStyle w:val="NumeroAFNegritaCaracter"/>
        </w:rPr>
        <w:t>4</w:t>
      </w:r>
      <w:r>
        <w:t>. Por providencia de 6 de febrero de 2023 la Sección Cuarta del Tribunal Constitucional acordó admitir a trámite el presente recurso de amparo apreciando que concurre en el mismo una especial trascendencia constitucional (art. 50.1 LOTC), porque el recurso plantea un problema o afecta a una faceta de un derecho fundamental sobre el que no hay doctrina de este tribunal [STC 155/2009, de 25 de junio, FJ 2 a)].</w:t>
      </w:r>
    </w:p>
    <w:p w14:paraId="3BAA4249" w14:textId="77777777" w:rsidR="00A8138F" w:rsidRDefault="00A8138F" w:rsidP="00A8138F">
      <w:pPr>
        <w:pStyle w:val="TextoNormal"/>
      </w:pPr>
    </w:p>
    <w:p w14:paraId="236B48FD" w14:textId="229833CC" w:rsidR="00A8138F" w:rsidRDefault="00A8138F" w:rsidP="00A8138F">
      <w:pPr>
        <w:pStyle w:val="TextoNormal"/>
      </w:pPr>
      <w:r>
        <w:t>Por ello, en aplicación de lo dispuesto en el art. 51 LOTC, se ordenó dirigir atenta comunicación a la Sección Primera de la Audiencia Provincial de Las Palmas de Gran Canaria a fin de que, en plazo que no exceda de diez días, remitiera certificación o fotocopia adverada de las actuaciones correspondientes al recurso de apelación núm. 95-2021. Se ordenó igualmente dirigir atenta comunicación al Juzgado de lo Penal núm. 2 de Arrecife, con sede en Puerto del Rosario, para que en plazo que no exceda de diez días, remitiera certificación o fotocopia adverada de las actuaciones correspondientes al procedimiento abreviado núm. 397-2019, debiendo previamente emplazarse, para que en el plazo de diez días puedan comparecer, si lo desean, en el recurso de amparo, a quienes hubieran sido parte en el procedimiento, excepto la recurrente.</w:t>
      </w:r>
    </w:p>
    <w:p w14:paraId="7A7425D5" w14:textId="77777777" w:rsidR="00A8138F" w:rsidRDefault="00A8138F" w:rsidP="00A8138F">
      <w:pPr>
        <w:pStyle w:val="TextoNormal"/>
      </w:pPr>
    </w:p>
    <w:p w14:paraId="25290E42" w14:textId="3C3DA214" w:rsidR="00A8138F" w:rsidRDefault="00A8138F" w:rsidP="00A8138F">
      <w:pPr>
        <w:pStyle w:val="TextoNormal"/>
      </w:pPr>
      <w:r w:rsidRPr="00A8138F">
        <w:rPr>
          <w:rStyle w:val="NumeroAFNegritaCaracter"/>
        </w:rPr>
        <w:t>5</w:t>
      </w:r>
      <w:r>
        <w:t>. Por diligencia de ordenación del secretario de justicia de la Sección Cuarta del Tribunal Constitucional de 6 de junio de 2023 se acordó dar vista de las actuaciones recibidas a la recurrente y al Ministerio Fiscal por plazo común de veinte días, para formular las alegaciones que estimen pertinentes, conforme determina el art. 52.1 LOTC.</w:t>
      </w:r>
    </w:p>
    <w:p w14:paraId="75713FB1" w14:textId="77777777" w:rsidR="00A8138F" w:rsidRDefault="00A8138F" w:rsidP="00A8138F">
      <w:pPr>
        <w:pStyle w:val="TextoNormal"/>
      </w:pPr>
    </w:p>
    <w:p w14:paraId="28E16AC8" w14:textId="6ACA4522" w:rsidR="00A8138F" w:rsidRDefault="00A8138F" w:rsidP="00A8138F">
      <w:pPr>
        <w:pStyle w:val="TextoNormal"/>
      </w:pPr>
      <w:r w:rsidRPr="00A8138F">
        <w:rPr>
          <w:rStyle w:val="NumeroAFNegritaCaracter"/>
        </w:rPr>
        <w:t>6</w:t>
      </w:r>
      <w:r>
        <w:t>. La representación procesal de la demandante de amparo, por escrito registrado el día 6 de julio de 2023, reiteró las alegaciones de la demanda.</w:t>
      </w:r>
    </w:p>
    <w:p w14:paraId="4670DC14" w14:textId="77777777" w:rsidR="00A8138F" w:rsidRDefault="00A8138F" w:rsidP="00A8138F">
      <w:pPr>
        <w:pStyle w:val="TextoNormal"/>
      </w:pPr>
    </w:p>
    <w:p w14:paraId="1286C08F" w14:textId="77777777" w:rsidR="00A8138F" w:rsidRDefault="00A8138F" w:rsidP="00A8138F">
      <w:pPr>
        <w:pStyle w:val="TextoNormal"/>
      </w:pPr>
      <w:r w:rsidRPr="00A8138F">
        <w:rPr>
          <w:rStyle w:val="NumeroAFNegritaCaracter"/>
        </w:rPr>
        <w:t>7</w:t>
      </w:r>
      <w:r>
        <w:t>. El Ministerio Fiscal, por escrito registrado el día 20 de julio de 2023, interesó la desestimación del recurso de amparo.</w:t>
      </w:r>
    </w:p>
    <w:p w14:paraId="50D8CE8B" w14:textId="77777777" w:rsidR="00A8138F" w:rsidRDefault="00A8138F" w:rsidP="00A8138F">
      <w:pPr>
        <w:pStyle w:val="TextoNormal"/>
      </w:pPr>
    </w:p>
    <w:p w14:paraId="7019B8A8" w14:textId="77777777" w:rsidR="00A8138F" w:rsidRDefault="00A8138F" w:rsidP="00A8138F">
      <w:pPr>
        <w:pStyle w:val="TextoNormal"/>
      </w:pPr>
      <w:r>
        <w:t>Tras exponer los antecedentes del caso, señala que, a la vista de las actuaciones remitidas no es posible valorar la improcedencia del incidente de nulidad de actuaciones ni tampoco si la queja de vulneración del derecho a la tutela judicial efectiva (art. 24.1 CE) fue objeto de invocación previa. No obstante, partiendo de la constatación de que el recurso de amparo ha sido efectivamente admitido a trámite, el Ministerio Fiscal considera que, aunque el incidente de nulidad fuera innecesario, no hay motivos para sospechar que su utilización respondiera a un ánimo dilatorio del recurrente y que la alegación del art. 24.1 CE carece en realidad de sustantividad y entidad propia en la pretensión de la recurrente, centrada en la infracción del derecho a la legalidad penal (art. 25.1 CE). También señala que, caso de apreciarse esta vulneración, la consecuencia no sería, como solicita la recurrente, la retroacción de actuaciones, sino la nulidad de la resolución judicial causante de la supuesta lesión del derecho a la legalidad penal, nulidad que debería extenderse a la sentencia dictada en primera instancia. Por consiguiente, habida cuenta de la invocación del art. 25.1 CE, la Fiscalía entiende que el recurso de amparo ha de considerarse implícitamente dirigido también contra la sentencia de instancia de 3 de noviembre de 2020, y contra el auto de inadmisión del incidente de nulidad de actuaciones, que la recurrente promovió sin éxito contra la sentencia recaída en apelación.</w:t>
      </w:r>
    </w:p>
    <w:p w14:paraId="689AE3EC" w14:textId="77777777" w:rsidR="00A8138F" w:rsidRDefault="00A8138F" w:rsidP="00A8138F">
      <w:pPr>
        <w:pStyle w:val="TextoNormal"/>
      </w:pPr>
    </w:p>
    <w:p w14:paraId="1909E6C1" w14:textId="77777777" w:rsidR="00A8138F" w:rsidRDefault="00A8138F" w:rsidP="00A8138F">
      <w:pPr>
        <w:pStyle w:val="TextoNormal"/>
      </w:pPr>
      <w:r>
        <w:t>Analiza a continuación la denuncia de vulneración del derecho a la tutela judicial efectiva (art. 24.1 CE), que se refiere, en concreto, a la declaración de determinados hechos probados que determinarían de modo indebido la tipicidad penal de la actuación de la recurrente como secretaria accidental de la corporación local y delegada de la junta electoral de zona en el sorteo que tenía por objeto designar los integrantes de las mesas electorales. El fiscal considera que, en realidad, esta queja carece de sustantividad propia en la medida en que la recurrente cuestiona única y exclusivamente un problema de subsunción de su conducta en el tipo penal del art. 139.2 LOREG que se le ha aplicado, lo que remite a la vulneración del derecho garantizado por el art. 25.1 CE.</w:t>
      </w:r>
    </w:p>
    <w:p w14:paraId="39F0FA33" w14:textId="77777777" w:rsidR="00A8138F" w:rsidRDefault="00A8138F" w:rsidP="00A8138F">
      <w:pPr>
        <w:pStyle w:val="TextoNormal"/>
      </w:pPr>
    </w:p>
    <w:p w14:paraId="32280392" w14:textId="77777777" w:rsidR="00A8138F" w:rsidRDefault="00A8138F" w:rsidP="00A8138F">
      <w:pPr>
        <w:pStyle w:val="TextoNormal"/>
      </w:pPr>
      <w:r>
        <w:t>En cuanto al derecho a la legalidad penal (art. 25.1 CE), el fiscal comienza por reproducir la doctrina que compendia la STC 47/2022, de 24 de marzo, haciendo especial alusión al ámbito de enjuiciamiento propio del Tribunal Constitucional, así como al denominado principio de intervención mínima del Derecho penal.</w:t>
      </w:r>
    </w:p>
    <w:p w14:paraId="47349478" w14:textId="77777777" w:rsidR="00A8138F" w:rsidRDefault="00A8138F" w:rsidP="00A8138F">
      <w:pPr>
        <w:pStyle w:val="TextoNormal"/>
      </w:pPr>
    </w:p>
    <w:p w14:paraId="0391F5B7" w14:textId="77777777" w:rsidR="00A8138F" w:rsidRDefault="00A8138F" w:rsidP="00A8138F">
      <w:pPr>
        <w:pStyle w:val="TextoNormal"/>
      </w:pPr>
      <w:r>
        <w:t xml:space="preserve">Siguiendo el orden analítico resultante de dicha doctrina constitucional debe examinarse en primer lugar el respeto al tenor literal de la norma. La recurrente en amparo considera </w:t>
      </w:r>
      <w:r>
        <w:lastRenderedPageBreak/>
        <w:t xml:space="preserve">que la referencia literal de la norma penal aplicada a “la constitución de las mesas electorales” exige restringir su ámbito semántico a la estricta coincidencia con el uso de esa expresión en el encabezamiento de la sección XII (arts. 80 a 83) LOREG (constitución de las mesas electorales), que no incluye la regulación del sorteo para la designación de miembros de dichas mesas, de suerte que el art. 139.2 LOREG habría sido aplicado a un supuesto no contemplado en la norma. Idéntica aplicación indebida del tipo penal se produce por su aplicación a una persona en la que no concurría la condición de autor del delito, por carecer de competencia decisoria en la adopción de la resolución administrativa electoral que corresponde al pleno del ayuntamiento. Se trataría, en definitiva, de una aplicación analógica </w:t>
      </w:r>
      <w:r w:rsidRPr="00A8138F">
        <w:rPr>
          <w:i/>
        </w:rPr>
        <w:t>in malam partem</w:t>
      </w:r>
      <w:r>
        <w:t xml:space="preserve"> de la norma sancionadora.</w:t>
      </w:r>
    </w:p>
    <w:p w14:paraId="459762AC" w14:textId="77777777" w:rsidR="00A8138F" w:rsidRDefault="00A8138F" w:rsidP="00A8138F">
      <w:pPr>
        <w:pStyle w:val="TextoNormal"/>
      </w:pPr>
    </w:p>
    <w:p w14:paraId="4ECDAD44" w14:textId="77777777" w:rsidR="00A8138F" w:rsidRDefault="00A8138F" w:rsidP="00A8138F">
      <w:pPr>
        <w:pStyle w:val="TextoNormal"/>
      </w:pPr>
      <w:r>
        <w:t>El fiscal no comparte estos planteamientos. Señala supuestos en los que la doctrina constitucional ha avalado una interpretación conforme a la Constitución no forzosamente limitada a una concreta acepción o al estricto tenor literal del término, expresión o concepto específicamente utilizados por el legislador al configurar el tipo sancionador. A juicio del fiscal la interpretación reduccionista del texto literal de la norma sancionadora no se ajusta al canon constitucional. La referencia del art. 139.2 LOREG a la constitución de las mesas electorales tiene un significado potencial notoriamente más amplio que el que pretende otorgarle la recurrente. En la medida en que se incumpla una obligación legal dirigida a la constitución de las mesas, no hay ninguna razón gramatical que exija excluir del ámbito de la norma sancionadora aquellas actuaciones cronológicamente anteriores al momento de dicha constitución que, sin embargo, sean causalmente determinantes de una alteración, que afecte a dicha constitución, incluyendo cualquier defecto relevante en la composición de las propias mesas. Esa lectura del precepto penal no es ajena al significado posible de la expresión empleada por el legislador, puesto que el tenor literal de la norma no limita el ámbito material del delito al incumplimiento de obligaciones que tenga lugar en el momento de la constitución de las mesas, sino que lo extiende al de todas aquellas que se han establecido para asegurar que se lleva a cabo mediante un procedimiento ajustado a las exigencias de la ley. Para el fiscal no puede considerarse conforme con la ley la constitución de una mesa electoral cuyos miembros han sido designados mediante un procedimiento no ajustado a las exigencias de la Ley Orgánica de régimen electoral general, como aquí ha sucedido. Por otra parte, sostiene el ministerio público que la estrechez del criterio gramatical defendido por la recurrente conduciría a una interpretación directamente derogatoria de una parte no irrelevante del precepto sancionador.</w:t>
      </w:r>
    </w:p>
    <w:p w14:paraId="2C17BBCE" w14:textId="77777777" w:rsidR="00A8138F" w:rsidRDefault="00A8138F" w:rsidP="00A8138F">
      <w:pPr>
        <w:pStyle w:val="TextoNormal"/>
      </w:pPr>
    </w:p>
    <w:p w14:paraId="4206D8AB" w14:textId="77777777" w:rsidR="00A8138F" w:rsidRDefault="00A8138F" w:rsidP="00A8138F">
      <w:pPr>
        <w:pStyle w:val="TextoNormal"/>
      </w:pPr>
      <w:r>
        <w:t>Por otra parte, a juicio del fiscal, tampoco pueden prosperar las quejas relativas a la definición de la conducta típica propiamente dicha y a su autor. En el primer caso tenor literal del precepto controvertido en el presente caso alcanza a la acción de incumplir las normas que rigen una determinada materia, lo que se corresponde con el esquema característico de un delito formal o de mera actividad, sin especificar o delimitar cuáles son las concretas normas que han de entenderse incluidas en esa remisión. Por otro lado, por más que la decisión administrativa sea competencia del ayuntamiento, nada obliga a entender que quede excluido del tipo sancionador cualquier otro incumplimiento de sus propias obligaciones legales por funcionarios públicos que afecten a la debida formación y constitución de las mesas electorales.</w:t>
      </w:r>
    </w:p>
    <w:p w14:paraId="3D889E8E" w14:textId="77777777" w:rsidR="00A8138F" w:rsidRDefault="00A8138F" w:rsidP="00A8138F">
      <w:pPr>
        <w:pStyle w:val="TextoNormal"/>
      </w:pPr>
    </w:p>
    <w:p w14:paraId="4D8BFDD2" w14:textId="77777777" w:rsidR="00A8138F" w:rsidRDefault="00A8138F" w:rsidP="00A8138F">
      <w:pPr>
        <w:pStyle w:val="TextoNormal"/>
      </w:pPr>
      <w:r>
        <w:t xml:space="preserve">El fiscal también considera que el modo de razonar de la sentencia de la Audiencia Provincial se ajusta a las exigencias metodológicas que derivan del art. 25.1 CE. Partiendo del </w:t>
      </w:r>
      <w:r>
        <w:lastRenderedPageBreak/>
        <w:t>significado posible del precepto sancionador, identifica las normas legalmente establecidas que, en su calidad de delegada de la junta electoral de zona, imponían a la acusada una obligación específica de velar por la limpieza y la objetividad del procedimiento, con independencia de los deberes que pudieran corresponder a otras personas o de cómo calificase su conducta la propia junta electoral de zona. Señala de forma igualmente precisa en qué consistió el incumplimiento por la demandante de amparo, de esas normas que regían su específica responsabilidad en el acto de designación de miembros de las mesas electorales, describiendo cómo con su conducta contribuyó de manera determinante a alterar y desvirtuar el resultado objetivo del sorteo. Y concluye que el examen de la dimensión axiológica del razonamiento judicial examinado confirma la anterior conclusión en tanto que se refiere de forma explícita al valor de la “limpieza y el buen desarrollo del proceso” como componente esencial del bien jurídico protegido por la norma sancionadora.</w:t>
      </w:r>
    </w:p>
    <w:p w14:paraId="0FC1FEE0" w14:textId="77777777" w:rsidR="00A8138F" w:rsidRDefault="00A8138F" w:rsidP="00A8138F">
      <w:pPr>
        <w:pStyle w:val="TextoNormal"/>
      </w:pPr>
    </w:p>
    <w:p w14:paraId="0E5F3681" w14:textId="15B49319" w:rsidR="00A8138F" w:rsidRDefault="00A8138F" w:rsidP="00A8138F">
      <w:pPr>
        <w:pStyle w:val="TextoNormal"/>
      </w:pPr>
      <w:r>
        <w:t xml:space="preserve">Por último, el fiscal considera que la invocación del principio de intervención mínima carece de viabilidad en orden a la estimación de su pretensión de amparo, pues la alegación de dicho principio en el presente caso permite remitir íntegramente su valoración a las consideraciones ya efectuadas respecto del significado posible del tipo penal y la exclusión de una interpretación analógica </w:t>
      </w:r>
      <w:r w:rsidRPr="00A8138F">
        <w:rPr>
          <w:i/>
        </w:rPr>
        <w:t>in malam partem</w:t>
      </w:r>
      <w:r>
        <w:t xml:space="preserve"> de su texto.</w:t>
      </w:r>
    </w:p>
    <w:p w14:paraId="6BFC7619" w14:textId="77777777" w:rsidR="00A8138F" w:rsidRDefault="00A8138F" w:rsidP="00A8138F">
      <w:pPr>
        <w:pStyle w:val="TextoNormal"/>
      </w:pPr>
    </w:p>
    <w:p w14:paraId="20C72353" w14:textId="0D877A35" w:rsidR="00A8138F" w:rsidRDefault="00A8138F" w:rsidP="00A8138F">
      <w:pPr>
        <w:pStyle w:val="TextoNormal"/>
      </w:pPr>
      <w:r w:rsidRPr="00A8138F">
        <w:rPr>
          <w:rStyle w:val="NumeroAFNegritaCaracter"/>
        </w:rPr>
        <w:t>8</w:t>
      </w:r>
      <w:r>
        <w:t>. Por providencia de 16 de diciembre de 2024, la Sala Segunda acordó proponer la avocación al Pleno del presente recurso de amparo, de conformidad con lo dispuesto en el art. 10.1 n) LOTC. La avocación propuesta fue aceptada por el Pleno, que recabó para sí el conocimiento del recurso de amparo mediante providencia de 14 de enero de 2025.</w:t>
      </w:r>
    </w:p>
    <w:p w14:paraId="2AD0685C" w14:textId="77777777" w:rsidR="00A8138F" w:rsidRDefault="00A8138F" w:rsidP="00A8138F">
      <w:pPr>
        <w:pStyle w:val="TextoNormal"/>
      </w:pPr>
    </w:p>
    <w:p w14:paraId="77DEB7D9" w14:textId="363FFDDD" w:rsidR="00A8138F" w:rsidRDefault="00A8138F" w:rsidP="00A8138F">
      <w:pPr>
        <w:pStyle w:val="TextoNormal"/>
      </w:pPr>
      <w:r w:rsidRPr="00A8138F">
        <w:rPr>
          <w:rStyle w:val="NumeroAFNegritaCaracter"/>
        </w:rPr>
        <w:t>9</w:t>
      </w:r>
      <w:r>
        <w:t>. Por providencia de 26 de febrero de 2025 se señaló ese mismo día para la deliberación y votación de la presente sentencia.</w:t>
      </w:r>
    </w:p>
    <w:p w14:paraId="63DDF9DA" w14:textId="77777777" w:rsidR="00A8138F" w:rsidRDefault="00A8138F" w:rsidP="00A8138F">
      <w:pPr>
        <w:pStyle w:val="TextoNormal"/>
      </w:pPr>
    </w:p>
    <w:p w14:paraId="483A1A75" w14:textId="77777777" w:rsidR="00A8138F" w:rsidRDefault="00A8138F" w:rsidP="00A8138F">
      <w:pPr>
        <w:pStyle w:val="TextoNormalNegritaCentrado"/>
        <w:keepNext/>
      </w:pPr>
      <w:r>
        <w:t>II. Fundamentos jurídicos</w:t>
      </w:r>
    </w:p>
    <w:p w14:paraId="4E982FC0" w14:textId="3F6CB3CA" w:rsidR="00A8138F" w:rsidRDefault="00A8138F" w:rsidP="00A8138F">
      <w:pPr>
        <w:pStyle w:val="TextoNormalNegritaCentrado"/>
        <w:keepNext/>
      </w:pPr>
    </w:p>
    <w:p w14:paraId="32B8A574" w14:textId="77777777" w:rsidR="00A8138F" w:rsidRDefault="00A8138F" w:rsidP="00A8138F">
      <w:pPr>
        <w:pStyle w:val="TextoNormal"/>
      </w:pPr>
      <w:r w:rsidRPr="00A8138F">
        <w:rPr>
          <w:rStyle w:val="NumeroAFNegritaCaracter"/>
        </w:rPr>
        <w:t>1</w:t>
      </w:r>
      <w:r>
        <w:t xml:space="preserve">. </w:t>
      </w:r>
      <w:r w:rsidRPr="00A8138F">
        <w:rPr>
          <w:i/>
        </w:rPr>
        <w:t>Delimitación del objeto del recurso de amparo</w:t>
      </w:r>
    </w:p>
    <w:p w14:paraId="3158AF41" w14:textId="77777777" w:rsidR="00A8138F" w:rsidRDefault="00A8138F" w:rsidP="00A8138F">
      <w:pPr>
        <w:pStyle w:val="TextoNormal"/>
      </w:pPr>
    </w:p>
    <w:p w14:paraId="41830A8F" w14:textId="77777777" w:rsidR="00A8138F" w:rsidRDefault="00A8138F" w:rsidP="00A8138F">
      <w:pPr>
        <w:pStyle w:val="TextoNormal"/>
      </w:pPr>
      <w:r>
        <w:t>Se interpone el presente recurso de amparo por la vía del art. 44 LOTC contra la sentencia de 30 de septiembre de 2021 de la Sección Primera de la Audiencia Provincial de Las Palmas de Gran Canaria, por la que se estima parcialmente el recurso de apelación interpuesto por la recurrente contra la dictada el 3 de noviembre de 2020 por el Juzgado de lo Penal núm. 2 de Arrecife, con sede en Puerto del Rosario (Fuerteventura), en procedimiento abreviado núm. 397-2019, sobre delito electoral.</w:t>
      </w:r>
    </w:p>
    <w:p w14:paraId="2EB05B9D" w14:textId="77777777" w:rsidR="00A8138F" w:rsidRDefault="00A8138F" w:rsidP="00A8138F">
      <w:pPr>
        <w:pStyle w:val="TextoNormal"/>
      </w:pPr>
    </w:p>
    <w:p w14:paraId="3CCE2C94" w14:textId="77777777" w:rsidR="00A8138F" w:rsidRDefault="00A8138F" w:rsidP="00A8138F">
      <w:pPr>
        <w:pStyle w:val="TextoNormal"/>
      </w:pPr>
      <w:r>
        <w:t>Como se ha expuesto en el relato de antecedentes, el recurso de amparo se dirige contra la sentencia recaída en apelación, a la que se imputa la vulneración de los derechos de la recurrente a la tutela judicial efectiva sin indefensión (art. 24.1 CE) y a la legalidad penal (art. 25.1 CE), por entender que resulta irrazonable y arbitrario subsumir los hechos enjuiciados como delito electoral del art. 139.2 LOREG.</w:t>
      </w:r>
    </w:p>
    <w:p w14:paraId="7080D748" w14:textId="77777777" w:rsidR="00A8138F" w:rsidRDefault="00A8138F" w:rsidP="00A8138F">
      <w:pPr>
        <w:pStyle w:val="TextoNormal"/>
      </w:pPr>
    </w:p>
    <w:p w14:paraId="25E51731" w14:textId="77777777" w:rsidR="00A8138F" w:rsidRDefault="00A8138F" w:rsidP="00A8138F">
      <w:pPr>
        <w:pStyle w:val="TextoNormal"/>
      </w:pPr>
      <w:r>
        <w:t xml:space="preserve">El Ministerio Fiscal entiende que, en realidad, tales quejas pueden reconducirse a la lesión del derecho a la legalidad penal (art. 25.1 CE) que, de existir, sería imputable tanto a la sentencia de instancia como a la dictada en apelación, atendido el planteamiento de la </w:t>
      </w:r>
      <w:r>
        <w:lastRenderedPageBreak/>
        <w:t>recurrente, si bien descarta que concurra tal vulneración, por lo que interesa la desestimación del recurso de amparo.</w:t>
      </w:r>
    </w:p>
    <w:p w14:paraId="79D54131" w14:textId="77777777" w:rsidR="00A8138F" w:rsidRDefault="00A8138F" w:rsidP="00A8138F">
      <w:pPr>
        <w:pStyle w:val="TextoNormal"/>
      </w:pPr>
    </w:p>
    <w:p w14:paraId="6FEBDEB8" w14:textId="77777777" w:rsidR="00A8138F" w:rsidRDefault="00A8138F" w:rsidP="00A8138F">
      <w:pPr>
        <w:pStyle w:val="TextoNormal"/>
      </w:pPr>
      <w:r>
        <w:t>Atendido el planteamiento de la demanda de amparo resulta obligado, antes de examinar el fondo del asunto, proceder a la delimitación de su objeto, pues, en realidad, como advierte el Ministerio Fiscal, el presente recurso de amparo debe entenderse circunscrito a una única vulneración de derechos fundamentales, lo que también afecta a la determinación de las resoluciones judiciales impugnadas en este recurso, conforme seguidamente pasamos a exponer.</w:t>
      </w:r>
    </w:p>
    <w:p w14:paraId="24872998" w14:textId="77777777" w:rsidR="00A8138F" w:rsidRDefault="00A8138F" w:rsidP="00A8138F">
      <w:pPr>
        <w:pStyle w:val="TextoNormal"/>
      </w:pPr>
    </w:p>
    <w:p w14:paraId="3E8B8F95" w14:textId="77777777" w:rsidR="00A8138F" w:rsidRDefault="00A8138F" w:rsidP="00A8138F">
      <w:pPr>
        <w:pStyle w:val="TextoNormal"/>
      </w:pPr>
      <w:r>
        <w:t>a) Bajo la alegación de vulneración del derecho a la tutela judicial efectiva sin indefensión (art. 24.1 CE) se reprocha a la sentencia de la Sección Primera de la Audiencia Provincial de Las Palmas de Gran Canaria la utilización de un criterio interpretativo que la recurrente reputa irrazonable y arbitrario, por carecer de soporte razonable en la norma sancionadora que se aplica. Ello con base en dos razones: la improcedente subsunción de la conducta en el tipo penal aplicado (art. 139.2 LOREG) y la no menos indebida atribución de la condición de autor a quien no podría cometer la conducta, quejas que la recurrente formula al amparo del art. 24.1 CE, pero que, en realidad, conciernen al derecho a la legalidad penal garantizado por el art. 25.1 CE.</w:t>
      </w:r>
    </w:p>
    <w:p w14:paraId="06E72396" w14:textId="77777777" w:rsidR="00A8138F" w:rsidRDefault="00A8138F" w:rsidP="00A8138F">
      <w:pPr>
        <w:pStyle w:val="TextoNormal"/>
      </w:pPr>
    </w:p>
    <w:p w14:paraId="7276873C" w14:textId="77777777" w:rsidR="00A8138F" w:rsidRDefault="00A8138F" w:rsidP="00A8138F">
      <w:pPr>
        <w:pStyle w:val="TextoNormal"/>
      </w:pPr>
      <w:r>
        <w:t>Por ello, como señala el Ministerio Fiscal, al carecer de sustantividad propia la queja relativa a la lesión del derecho a la tutela judicial efectiva sin indefensión, esta debe quedar subsumida en el análisis, más amplio, de la también alegada vulneración del derecho sustantivo en juego, esto es, del derecho a la legalidad penal (art. 25.1 CE). Pues, en efecto, de acuerdo con nuestra reiterada doctrina, “el canon de razonabilidad que impone el art. 25.1 CE es ‘más exigente que el que, por norma general, caracteriza al derecho a la tutela judicial efectiva (art. 24.1 CE)’, razón por la cual, en la aplicación judicial del tipo sancionador, el examen de la lesión del derecho fundamental a la legalidad sancionadora lleva siempre implícito el escrutinio de la razonabilidad de la motivación empleada por el órgano judicial, convirtiéndose, por ello, el art. 25.1 CE en parámetro único de constitucionalidad (STC 2/2015, de 19 de enero, FJ 8)” [STC 219/2016, de 19 de diciembre, FJ 3 iii)].</w:t>
      </w:r>
    </w:p>
    <w:p w14:paraId="4FB573F5" w14:textId="77777777" w:rsidR="00A8138F" w:rsidRDefault="00A8138F" w:rsidP="00A8138F">
      <w:pPr>
        <w:pStyle w:val="TextoNormal"/>
      </w:pPr>
    </w:p>
    <w:p w14:paraId="23B51662" w14:textId="77777777" w:rsidR="00A8138F" w:rsidRDefault="00A8138F" w:rsidP="00A8138F">
      <w:pPr>
        <w:pStyle w:val="TextoNormal"/>
      </w:pPr>
      <w:r>
        <w:t>De todo lo anterior se infiere, en definitiva, que el presente proceso constitucional ha de ser resuelto examinando, en exclusiva, la queja sobre la que, en realidad, orbita todo el recurso de amparo, que es la posible vulneración del derecho a la legalidad penal. Como se ha señalado ya, el canon de razonabilidad que impone el art. 25.1 CE es más exigente que el que, por norma general, caracteriza al derecho a la tutela judicial efectiva (art. 24.1 CE). Por ello, aquel canon ha de ser nuestro parámetro principal para examinar la lesión denunciada por la recurrente.</w:t>
      </w:r>
    </w:p>
    <w:p w14:paraId="2A771E8D" w14:textId="77777777" w:rsidR="00A8138F" w:rsidRDefault="00A8138F" w:rsidP="00A8138F">
      <w:pPr>
        <w:pStyle w:val="TextoNormal"/>
      </w:pPr>
    </w:p>
    <w:p w14:paraId="3575EE97" w14:textId="77777777" w:rsidR="00A8138F" w:rsidRDefault="00A8138F" w:rsidP="00A8138F">
      <w:pPr>
        <w:pStyle w:val="TextoNormal"/>
      </w:pPr>
      <w:r>
        <w:t>b) Por otra parte debe compartirse también el criterio del Ministerio Fiscal cuando señala que esa configuración del objeto del presente recurso de amparo se proyecta también sobre la pretensión deducida por la recurrente, dirigida, en principio, solo contra la sentencia de la Audiencia Provincial de Las Palmas de Gran Canaria, que fue parcialmente estimatoria del recurso de apelación interpuesto contra la dictada por el Juzgado de lo Penal núm. 2 de Arrecife.</w:t>
      </w:r>
    </w:p>
    <w:p w14:paraId="56E4F4CD" w14:textId="77777777" w:rsidR="00A8138F" w:rsidRDefault="00A8138F" w:rsidP="00A8138F">
      <w:pPr>
        <w:pStyle w:val="TextoNormal"/>
      </w:pPr>
    </w:p>
    <w:p w14:paraId="3C8372A1" w14:textId="77777777" w:rsidR="00A8138F" w:rsidRDefault="00A8138F" w:rsidP="00A8138F">
      <w:pPr>
        <w:pStyle w:val="TextoNormal"/>
      </w:pPr>
      <w:r>
        <w:lastRenderedPageBreak/>
        <w:t>En efecto, en el recurso de amparo se solicita la anulación de la sentencia de apelación y la retroacción de las actuaciones para que la Audiencia Provincial dicte otra plenamente respetuosa con el derecho fundamental vulnerado. Sucede, sin embargo, que esa pretensión se ajustaría a la jurisprudencia constitucional en el caso de que se apreciase exclusivamente la lesión del derecho a la tutela judicial efectiva, en su vertiente de derecho a una resolución judicial motivada (art. 24.1 CE), pero no si se declarase la vulneración del derecho fundamental a la legalidad penal (art. 25.1 CE), también invocado por la recurrente, y que, de hecho, como se ha indicado, es, en realidad, el único derecho fundamental que se ve aquí concernido. En este caso, la doctrina constitucional anuda a este tipo de lesión, en caso de ser apreciada, la declaración de plena nulidad de las resoluciones administrativas o judiciales que la causaron, sin retroacción alguna [por todas, STC 70/2023, de 19 de junio, FJ único e)], pues como explicaba a tal efecto la STC 151/1997, de 29 de septiembre, FJ 4, “la falta de un fundamento jurídico concreto y cognoscible priva a la sanción del sustento que le exige el art. 25.1 CE y convierte el problema de motivación, reparable con una nueva, en un problema de legalidad de la sanción, solo reparable con su anulación definitiva”.</w:t>
      </w:r>
    </w:p>
    <w:p w14:paraId="0FB26B52" w14:textId="77777777" w:rsidR="00A8138F" w:rsidRDefault="00A8138F" w:rsidP="00A8138F">
      <w:pPr>
        <w:pStyle w:val="TextoNormal"/>
      </w:pPr>
    </w:p>
    <w:p w14:paraId="783EF2B7" w14:textId="77777777" w:rsidR="00A8138F" w:rsidRDefault="00A8138F" w:rsidP="00A8138F">
      <w:pPr>
        <w:pStyle w:val="TextoNormal"/>
      </w:pPr>
      <w:r>
        <w:t>Como se ha dicho, sucede que la recurrente en amparo considera vulnerado su derecho fundamental a la legalidad penal por entender que su conducta no podía ser subsumida en el delito electoral del art. 139.2 LOREG (incumplir las normas legalmente establecidas para la constitución de las mesas electorales), por el que ha sido finalmente condenada por la sentencia dictada en apelación, que la absolvió, en cambio, del delito cometido por funcionario público contra los derechos individuales, al que, junto con el delito electoral, había sido condenada también por la sentencia del Juzgado de lo Penal núm. 2 de Arrecife.</w:t>
      </w:r>
    </w:p>
    <w:p w14:paraId="65E957D5" w14:textId="77777777" w:rsidR="00A8138F" w:rsidRDefault="00A8138F" w:rsidP="00A8138F">
      <w:pPr>
        <w:pStyle w:val="TextoNormal"/>
      </w:pPr>
    </w:p>
    <w:p w14:paraId="74D17431" w14:textId="77777777" w:rsidR="00A8138F" w:rsidRDefault="00A8138F" w:rsidP="00A8138F">
      <w:pPr>
        <w:pStyle w:val="TextoNormal"/>
      </w:pPr>
      <w:r>
        <w:t xml:space="preserve">Así pues, si en el presente caso se declarase vulnerado el derecho a la legalidad penal, la consiguiente declaración de nulidad del pronunciamiento condenatorio no podría circunscribirse a la sentencia de apelación dictada por la Audiencia Provincial de Las Palmas de Gran Canaria, sino que habría de extenderse también a la dictada por el Juzgado de lo Penal núm. 2 de Arrecife, que estaría afectada </w:t>
      </w:r>
      <w:r w:rsidRPr="00A8138F">
        <w:rPr>
          <w:i/>
        </w:rPr>
        <w:t>ab origine</w:t>
      </w:r>
      <w:r>
        <w:t xml:space="preserve"> por el mismo vicio constitucional, en cuanto fue parcialmente confirmada por la sentencia directamente recurrida en amparo.</w:t>
      </w:r>
    </w:p>
    <w:p w14:paraId="5EF4D463" w14:textId="77777777" w:rsidR="00A8138F" w:rsidRDefault="00A8138F" w:rsidP="00A8138F">
      <w:pPr>
        <w:pStyle w:val="TextoNormal"/>
      </w:pPr>
    </w:p>
    <w:p w14:paraId="2FE530ED" w14:textId="77777777" w:rsidR="00A8138F" w:rsidRDefault="00A8138F" w:rsidP="00A8138F">
      <w:pPr>
        <w:pStyle w:val="TextoNormal"/>
      </w:pPr>
      <w:r>
        <w:t>En tal sentido procede asimismo recordar que, conforme a reiterada jurisprudencia constitucional, cuando se impugna en amparo una resolución judicial confirmatoria de otras, que han sido lógica y cronológicamente presupuesto de aquella, han de considerarse también recurridas, aunque no lo hayan sido expresamente, las precedentes resoluciones confirmadas (por todas, SSTC 117/1991, de 23 de mayo, FJ 1; 81/2000, de 27 de marzo, FJ 1; 15/2004, de 23 de febrero, FJ 1; 95/2018, de 17 de septiembre, FJ 1; 178/2020, de 14 de diciembre, FJ 1, y 172/2023, de 11 de diciembre, FJ 1).</w:t>
      </w:r>
    </w:p>
    <w:p w14:paraId="451F0DF6" w14:textId="77777777" w:rsidR="00A8138F" w:rsidRDefault="00A8138F" w:rsidP="00A8138F">
      <w:pPr>
        <w:pStyle w:val="TextoNormal"/>
      </w:pPr>
    </w:p>
    <w:p w14:paraId="282A5D61" w14:textId="70CB1ECE" w:rsidR="00A8138F" w:rsidRDefault="00A8138F" w:rsidP="00A8138F">
      <w:pPr>
        <w:pStyle w:val="TextoNormal"/>
      </w:pPr>
      <w:r>
        <w:t>En definitiva, el presente recurso de amparo ha de considerarse dirigido no solo contra la sentencia dictada en apelación por la Audiencia Provincial de Las Palmas de Gran Canaria, sino también contra la sentencia del Juzgado de lo Penal núm. 2 de Arrecife de 3 de noviembre de 2020, de suerte que su eventual estimación, en caso de apreciarse la alegada lesión del derecho a la legalidad penal (art. 25.1 CE) comportaría, conforme a lo ya señalado, la declaración de nulidad de ambas resoluciones judiciales.</w:t>
      </w:r>
    </w:p>
    <w:p w14:paraId="62883016" w14:textId="77777777" w:rsidR="00A8138F" w:rsidRDefault="00A8138F" w:rsidP="00A8138F">
      <w:pPr>
        <w:pStyle w:val="TextoNormal"/>
      </w:pPr>
    </w:p>
    <w:p w14:paraId="0E0FDA8D" w14:textId="77777777" w:rsidR="00A8138F" w:rsidRDefault="00A8138F" w:rsidP="00A8138F">
      <w:pPr>
        <w:pStyle w:val="TextoNormal"/>
      </w:pPr>
      <w:r w:rsidRPr="00A8138F">
        <w:rPr>
          <w:rStyle w:val="NumeroAFNegritaCaracter"/>
        </w:rPr>
        <w:t>2</w:t>
      </w:r>
      <w:r>
        <w:t xml:space="preserve">. </w:t>
      </w:r>
      <w:r w:rsidRPr="00A8138F">
        <w:rPr>
          <w:i/>
        </w:rPr>
        <w:t>Doctrina constitucional sobre el derecho a la legalidad penal del art. 25.1 CE</w:t>
      </w:r>
    </w:p>
    <w:p w14:paraId="63029388" w14:textId="77777777" w:rsidR="00A8138F" w:rsidRDefault="00A8138F" w:rsidP="00A8138F">
      <w:pPr>
        <w:pStyle w:val="TextoNormal"/>
      </w:pPr>
    </w:p>
    <w:p w14:paraId="037F790C" w14:textId="77777777" w:rsidR="00A8138F" w:rsidRDefault="00A8138F" w:rsidP="00A8138F">
      <w:pPr>
        <w:pStyle w:val="TextoNormal"/>
      </w:pPr>
      <w:r>
        <w:lastRenderedPageBreak/>
        <w:t>El art. 25.1 CE establece que “[n]adie puede ser condenado o sancionado por acciones u omisiones que en el momento de producirse no constituyan delito, falta o infracción administrativa, según la legislación vigente en aquel momento”. De este modo, el derecho a la legalidad penal que protege el art. 25.1 CE se articula a través de una doble garantía, formal y material, que se refiere no solo a la tipificación de las conductas punibles, sino también al establecimiento de las sanciones aplicables.</w:t>
      </w:r>
    </w:p>
    <w:p w14:paraId="37D011C3" w14:textId="77777777" w:rsidR="00A8138F" w:rsidRDefault="00A8138F" w:rsidP="00A8138F">
      <w:pPr>
        <w:pStyle w:val="TextoNormal"/>
      </w:pPr>
    </w:p>
    <w:p w14:paraId="6FEB5E9B" w14:textId="77777777" w:rsidR="00A8138F" w:rsidRDefault="00A8138F" w:rsidP="00A8138F">
      <w:pPr>
        <w:pStyle w:val="TextoNormal"/>
      </w:pPr>
      <w:r>
        <w:t>La denominada garantía formal hace referencia al rango necesario de las normas tipificadoras de esas conductas y sanciones, y supone, siguiendo la constante doctrina de este tribunal, que la expresión “legislación vigente” contenida en el art. 25.1 CE es expresiva de una reserva de ley en materia sancionadora (por todas, SSTC 77/2006, de 13 de marzo, FJ único, y 166/2012, de 1 de octubre, FJ 5, y doctrina allí citada). Esa garantía no se ve concernida en el presente asunto, por lo que no resulta necesario detenernos más en este punto.</w:t>
      </w:r>
    </w:p>
    <w:p w14:paraId="19F0C331" w14:textId="77777777" w:rsidR="00A8138F" w:rsidRDefault="00A8138F" w:rsidP="00A8138F">
      <w:pPr>
        <w:pStyle w:val="TextoNormal"/>
      </w:pPr>
    </w:p>
    <w:p w14:paraId="0418A646" w14:textId="77777777" w:rsidR="00A8138F" w:rsidRDefault="00A8138F" w:rsidP="00A8138F">
      <w:pPr>
        <w:pStyle w:val="TextoNormal"/>
      </w:pPr>
      <w:r>
        <w:t>La queja de la recurrente en amparo concierne, en efecto, a la garantía material del derecho a la legalidad penal, en orden a asegurar la predeterminación normativa de las conductas ilícitas y de las sanciones correspondientes (por todas, STC 24/2004, de 24 de febrero, FJ 2), y que comprende, en el plano aplicativo de la norma, la prohibición de interpretaciones y aplicaciones irrazonables de las normas penales.</w:t>
      </w:r>
    </w:p>
    <w:p w14:paraId="253D37A1" w14:textId="77777777" w:rsidR="00A8138F" w:rsidRDefault="00A8138F" w:rsidP="00A8138F">
      <w:pPr>
        <w:pStyle w:val="TextoNormal"/>
      </w:pPr>
    </w:p>
    <w:p w14:paraId="4E07D575" w14:textId="77777777" w:rsidR="00A8138F" w:rsidRDefault="00A8138F" w:rsidP="00A8138F">
      <w:pPr>
        <w:pStyle w:val="TextoNormal"/>
      </w:pPr>
      <w:r>
        <w:t>Conforme a la consolidada doctrina constitucional al respecto, “la garantía material del principio de legalidad comporta el mandato de taxatividad o certeza, que se traduce en la exigencia de predeterminación normativa de las conductas punibles y de sus correspondientes sanciones (</w:t>
      </w:r>
      <w:r w:rsidRPr="00A8138F">
        <w:rPr>
          <w:i/>
        </w:rPr>
        <w:t>lex certa</w:t>
      </w:r>
      <w:r>
        <w:t xml:space="preserve">). Esta exigencia tiene implicaciones no solo para el legislador, sino también para los órganos judiciales. En su labor de interpretación y aplicación de las leyes penales, estos últimos se hallan también sometidos al principio de tipicidad, en el sentido de que, por un lado, se encuentran en una situación de sujeción estricta a la ley penal (SSTC 133/1987, de 21 de julio, FJ 5; 182/1990, de 15 de noviembre, FJ 3; 156/1996, de 14 de octubre, FJ 1; 137/1997, de 21 de julio, FJ 6; 151/1997, de 29 de septiembre, FJ 4; 232/1997, de 16 de diciembre, FJ 2) y, por otro, les está vedada la interpretación extensiva y la analogía </w:t>
      </w:r>
      <w:r w:rsidRPr="00A8138F">
        <w:rPr>
          <w:i/>
        </w:rPr>
        <w:t>in malam partem</w:t>
      </w:r>
      <w:r>
        <w:t xml:space="preserve"> (SSTC 81/1995, de 5 de junio, FJ 5; 34/1996, de 11 de marzo, FJ 5; 64/2001, de 17 de marzo, FJ 4; 170/2002, de 30 de septiembre, FJ 12), es decir, la exégesis y aplicación de las normas fuera de los supuestos y de los límites que ellas mismas determinan” (SSTC 229/2007, de 5 de noviembre, FJ 4, y 47/2022, de 24 de marzo, FJ 8.2.1.1). Esta doctrina constitucional la hemos reiterado en la STC 14/2021, de 28 de enero, FJ 2, precisamente con ocasión del enjuiciamiento de un precepto de la Ley Orgánica de régimen electoral general, art. 153 que regula las infracciones electorales, y que fue cuestionado por la pretendida vulneración del principio de legalidad penal (en cuanto comporta el mandato de taxatividad o certeza). El Tribunal descartó tal vulneración.</w:t>
      </w:r>
    </w:p>
    <w:p w14:paraId="71CE7957" w14:textId="77777777" w:rsidR="00A8138F" w:rsidRDefault="00A8138F" w:rsidP="00A8138F">
      <w:pPr>
        <w:pStyle w:val="TextoNormal"/>
      </w:pPr>
    </w:p>
    <w:p w14:paraId="6EDEAA62" w14:textId="77777777" w:rsidR="00A8138F" w:rsidRDefault="00A8138F" w:rsidP="00A8138F">
      <w:pPr>
        <w:pStyle w:val="TextoNormal"/>
      </w:pPr>
      <w:r>
        <w:t xml:space="preserve">Asimismo, la doctrina constitucional ha precisado las exigencias a que se deben sujetar los órganos judiciales al verificar la labor de subsunción de los hechos en la norma penal, señalando, como recuerda la STC 129/2008, de 27 de octubre, FJ 3, que “[e]l derecho a la legalidad penal (art. 25.1 CE) supone que nadie puede ser condenado por acciones u omisiones que no constituyan delito o falta según la legislación vigente en el momento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w:t>
      </w:r>
      <w:r>
        <w:lastRenderedPageBreak/>
        <w:t>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w:t>
      </w:r>
    </w:p>
    <w:p w14:paraId="536201FF" w14:textId="77777777" w:rsidR="00A8138F" w:rsidRDefault="00A8138F" w:rsidP="00A8138F">
      <w:pPr>
        <w:pStyle w:val="TextoNormal"/>
      </w:pPr>
    </w:p>
    <w:p w14:paraId="2C594FFE" w14:textId="77777777" w:rsidR="00A8138F" w:rsidRDefault="00A8138F" w:rsidP="00A8138F">
      <w:pPr>
        <w:pStyle w:val="TextoNormal"/>
      </w:pPr>
      <w:r>
        <w:t>En el examen de razonabilidad de la subsunción de los hechos probados en la norma penal —continúa señalando la STC 129/2008, FJ 3— “el primero de los criterios está constituido por el respeto al tenor literal de la norma, ‘pues el legislador expresa el mensaje normativo con palabras y con palabras es conocido por sus destinatarios. Este respeto no garantiza siempre una decisión sancionadora acorde con las garantías esenciales de seguridad jurídica o de interdicción de la arbitrariedad, pues, entre otros factores, el lenguaje es relativamente vago y versátil,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(ya en la STC 62/1982, de 15 de octubre; […] STC 53/1994, de 24 de febrero). Debe perseguirse, en consecuencia, algún criterio añadido que, a la vista de los valores de seguridad y de legitimidad en juego, pero también de la libertad y la competencia del juez en la aplicación de la legalidad (SSTC 89/1983, de 12 de marzo; 75/1984, de 27 de junio; 111/1993, de 25 de marzo), distinga entre las decisiones que forman parte del campo de decisión legítima de este y las que suponen una ruptura de su sujeción a la ley […]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Dicha razonabilidad habrá de ser analizada desde las pautas axiológicas que informan nuestro texto constitucional (SSTC 159/1986, 59/1990, 111/1993) y desde modelos de argumentación aceptados por la propia comunidad jurídica […]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w:t>
      </w:r>
    </w:p>
    <w:p w14:paraId="3A853853" w14:textId="77777777" w:rsidR="00A8138F" w:rsidRDefault="00A8138F" w:rsidP="00A8138F">
      <w:pPr>
        <w:pStyle w:val="TextoNormal"/>
      </w:pPr>
    </w:p>
    <w:p w14:paraId="64202BD7" w14:textId="77777777" w:rsidR="00A8138F" w:rsidRDefault="00A8138F" w:rsidP="00A8138F">
      <w:pPr>
        <w:pStyle w:val="TextoNormal"/>
      </w:pPr>
      <w:r>
        <w:t xml:space="preserve">Así pues, sobre la garantía de certeza de la definición del ilícito, como también enfatiza la STC 25/2022, de 23 de febrero, FJ 7.2 B), “una vez que el autor de la norma, el legislador, ha cumplido suficientemente con el mandato al dar una redacción precisa al precepto sancionador, la garantía de certeza exige igualmente de los órganos sancionadores que están llamados a aplicarlo ‘no solo la sujeción […] a los dictados de las leyes que describen ilícitos e imponen sanciones, sino la sujeción estricta, impidiendo la sanción de comportamientos no previstos en la norma correspondiente pero similares a los que sí contempla’ (SSTC 137/1997, de 21 de julio, FJ 6, y 146/2015, de 25 de junio, FJ 2). Por tanto, tal y como hemos señalado en nuestra doctrina, el derecho fundamental a la legalidad penal, reconocido en el art. 25.1 CE, ha de reputarse vulnerado cuando la conducta que ha sido declarada </w:t>
      </w:r>
      <w:r>
        <w:lastRenderedPageBreak/>
        <w:t>probada en la sentencia ‘es subsumida de un modo irrazonable en el tipo penal’ (SSTC 91/2009, de 20 de abril, FJ 6; 153/2011, de 17 de octubre, FJ 8, y 196/2013, de 2 de diciembre, FJ 5)”.</w:t>
      </w:r>
    </w:p>
    <w:p w14:paraId="1D985FC5" w14:textId="77777777" w:rsidR="00A8138F" w:rsidRDefault="00A8138F" w:rsidP="00A8138F">
      <w:pPr>
        <w:pStyle w:val="TextoNormal"/>
      </w:pPr>
    </w:p>
    <w:p w14:paraId="3ED01FB4" w14:textId="77777777" w:rsidR="00A8138F" w:rsidRDefault="00A8138F" w:rsidP="00A8138F">
      <w:pPr>
        <w:pStyle w:val="TextoNormal"/>
      </w:pPr>
      <w:r>
        <w:t xml:space="preserve">En todo caso, esa exigencia de </w:t>
      </w:r>
      <w:r w:rsidRPr="00A8138F">
        <w:rPr>
          <w:i/>
        </w:rPr>
        <w:t>lex certa</w:t>
      </w:r>
      <w:r>
        <w:t xml:space="preserve"> no es incompatible con el empleo de conceptos jurídicos indeterminados o la utilización de una terminología con cierto grado de ambigüedad por parte del legislador, como así quedó expuesto, entre otras, en la STC 37/2018, de 23 de abril, FJ 3 a). En todo caso ello no exime de la comprobación de la razonabilidad de la subsunción de los hechos probados en la norma penal, siendo el primero de los criterios de tal examen el constituido por el respeto al tenor literal de la norma, que delimita en todo caso una zona indudable de exclusión de comportamientos (STC 137/1997, de 21 de julio, FJ 7), y la interdicción de la analogía </w:t>
      </w:r>
      <w:r w:rsidRPr="00A8138F">
        <w:rPr>
          <w:i/>
        </w:rPr>
        <w:t>in malam partem</w:t>
      </w:r>
      <w:r>
        <w:t>.</w:t>
      </w:r>
    </w:p>
    <w:p w14:paraId="7CBD14FF" w14:textId="77777777" w:rsidR="00A8138F" w:rsidRDefault="00A8138F" w:rsidP="00A8138F">
      <w:pPr>
        <w:pStyle w:val="TextoNormal"/>
      </w:pPr>
    </w:p>
    <w:p w14:paraId="11191932" w14:textId="118CF3BA" w:rsidR="00A8138F" w:rsidRDefault="00A8138F" w:rsidP="00A8138F">
      <w:pPr>
        <w:pStyle w:val="TextoNormal"/>
      </w:pPr>
      <w:r>
        <w:t>No obstante, ya se ha indicado que ese respeto a la literalidad de la norma penal no garantiza siempre una decisión sancionadora acorde con el derecho fundamental, dada la propia vaguedad y ambigüedad del lenguaje ordinario, la necesaria formulación abstracta de los preceptos y su inserción en un sistema normativo complejo. Por tal razón,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de 27 de octubre, FJ 3).</w:t>
      </w:r>
    </w:p>
    <w:p w14:paraId="25AF4D81" w14:textId="77777777" w:rsidR="00A8138F" w:rsidRDefault="00A8138F" w:rsidP="00A8138F">
      <w:pPr>
        <w:pStyle w:val="TextoNormal"/>
      </w:pPr>
    </w:p>
    <w:p w14:paraId="49EC6A22" w14:textId="77777777" w:rsidR="00A8138F" w:rsidRDefault="00A8138F" w:rsidP="00A8138F">
      <w:pPr>
        <w:pStyle w:val="TextoNormal"/>
      </w:pPr>
      <w:r w:rsidRPr="00A8138F">
        <w:rPr>
          <w:rStyle w:val="NumeroAFNegritaCaracter"/>
        </w:rPr>
        <w:t>3</w:t>
      </w:r>
      <w:r>
        <w:t xml:space="preserve">. </w:t>
      </w:r>
      <w:r w:rsidRPr="00A8138F">
        <w:rPr>
          <w:i/>
        </w:rPr>
        <w:t>Las mesas electorales como órganos de la administración electoral</w:t>
      </w:r>
    </w:p>
    <w:p w14:paraId="46ADFEBB" w14:textId="77777777" w:rsidR="00A8138F" w:rsidRDefault="00A8138F" w:rsidP="00A8138F">
      <w:pPr>
        <w:pStyle w:val="TextoNormal"/>
      </w:pPr>
    </w:p>
    <w:p w14:paraId="192BA296" w14:textId="77777777" w:rsidR="00A8138F" w:rsidRDefault="00A8138F" w:rsidP="00A8138F">
      <w:pPr>
        <w:pStyle w:val="TextoNormal"/>
      </w:pPr>
      <w:r>
        <w:t>Conforme quedó expuesto, la recurrente en amparo ha sido condenada por la comisión del delito electoral previsto y penado en el art. 139.2 LOREG, norma penal especial según la cual “serán castigados con las penas de seis meses a dos años y de multa de seis a veinticuatro meses los funcionarios públicos que: […] 2. Incumplan las normas legalmente establecidas para la constitución de las juntas y mesas electorales, así como para las votaciones, acuerdos y escrutinios que estas deban realizar”. La condena por la comisión de ese delito lleva aparejada la pena de inhabilitación especial para el derecho de sufragio pasivo, en virtud de lo dispuesto en el art. 137 LOREG (precepto este sobre cuya conformidad con la Constitución nos hemos pronunciado en la STC 126/2021, de 3 de junio).</w:t>
      </w:r>
    </w:p>
    <w:p w14:paraId="0B073E4A" w14:textId="77777777" w:rsidR="00A8138F" w:rsidRDefault="00A8138F" w:rsidP="00A8138F">
      <w:pPr>
        <w:pStyle w:val="TextoNormal"/>
      </w:pPr>
    </w:p>
    <w:p w14:paraId="11856828" w14:textId="77777777" w:rsidR="00A8138F" w:rsidRDefault="00A8138F" w:rsidP="00A8138F">
      <w:pPr>
        <w:pStyle w:val="TextoNormal"/>
      </w:pPr>
      <w:r>
        <w:t xml:space="preserve">En síntesis, la conducta de la recurrente considerada como constitutiva del delito electoral referido consistió en que, en su condición de secretaria accidental del Ayuntamiento de La Oliva (y por ende también de delegada de la junta electoral de zona), de conformidad con lo dispuesto por el art. 11.4 LOREG, alteró los resultados que arrojaba el sistema aleatorio de sorteo para designar los miembros de las mesas electorales en las elecciones municipales y autonómicas de Canarias a celebrar el 24 de mayo de 2015, con el propósito de excluir a quienes tuvieran nombres o apellidos extranjeros, bajo el pretexto de que tales ciudadanos probablemente no conocieran bien la lengua española y pudieran por ello ocasionar problemas el día de la celebración de las elecciones. En concreto, la recurrente, al resultar elegidos en el sorteo por la aplicación informática al efecto algunos ciudadanos de nacionalidad española, pero con nombre y apellidos de origen extranjero, propuso al Pleno municipal su exclusión de la correspondiente mesa electoral, propuesta que fue aceptada, lo </w:t>
      </w:r>
      <w:r>
        <w:lastRenderedPageBreak/>
        <w:t>que contribuyó de manera determinante al efectivo apartamiento de esos ciudadanos, con la consiguiente alteración que ello comportó en la definitiva formación de, al menos, dos de las mesas electorales finalmente constituidas en el municipio.</w:t>
      </w:r>
    </w:p>
    <w:p w14:paraId="111D75A2" w14:textId="77777777" w:rsidR="00A8138F" w:rsidRDefault="00A8138F" w:rsidP="00A8138F">
      <w:pPr>
        <w:pStyle w:val="TextoNormal"/>
      </w:pPr>
    </w:p>
    <w:p w14:paraId="54F77AA3" w14:textId="77777777" w:rsidR="00A8138F" w:rsidRDefault="00A8138F" w:rsidP="00A8138F">
      <w:pPr>
        <w:pStyle w:val="TextoNormal"/>
      </w:pPr>
      <w:r>
        <w:t>La queja de vulneración del derecho a la legalidad penal (art. 25.1 CE) que se articula en el recurso de amparo plantea un problema de subsunción de la conducta de la recurrente en el tipo penal del art. 139.2 LOREG que se le ha aplicado, ya sea porque, según sostiene, su conducta no sería típica, o porque ella no podría, en su condición de secretaria accidental de la corporación local, ser autora de la conducta delictiva que se le imputa y por la que ha sido condenada.</w:t>
      </w:r>
    </w:p>
    <w:p w14:paraId="754A544D" w14:textId="77777777" w:rsidR="00A8138F" w:rsidRDefault="00A8138F" w:rsidP="00A8138F">
      <w:pPr>
        <w:pStyle w:val="TextoNormal"/>
      </w:pPr>
    </w:p>
    <w:p w14:paraId="07EB70FC" w14:textId="77777777" w:rsidR="00A8138F" w:rsidRDefault="00A8138F" w:rsidP="00A8138F">
      <w:pPr>
        <w:pStyle w:val="TextoNormal"/>
      </w:pPr>
      <w:r>
        <w:t>Por tanto, en el examen de la queja formulada por la recurrente resulta necesario hacer una inexcusable referencia al papel de las mesas electorales y la selección de sus miembros, en la medida en que ello afecta a la delimitación del tipo penal aplicado.</w:t>
      </w:r>
    </w:p>
    <w:p w14:paraId="13F3DEB7" w14:textId="77777777" w:rsidR="00A8138F" w:rsidRDefault="00A8138F" w:rsidP="00A8138F">
      <w:pPr>
        <w:pStyle w:val="TextoNormal"/>
      </w:pPr>
    </w:p>
    <w:p w14:paraId="3286990A" w14:textId="77777777" w:rsidR="00A8138F" w:rsidRDefault="00A8138F" w:rsidP="00A8138F">
      <w:pPr>
        <w:pStyle w:val="TextoNormal"/>
      </w:pPr>
      <w:r>
        <w:t>Siguiendo el precedente trazado por el Real Decreto-ley de normas electorales de 18 de marzo de 1977, la Ley Orgánica 5/1985, de 19 de junio, del régimen electoral general, conforma una administración electoral autónoma e independiente, como autoridad competente para garantizar la pureza del sufragio. La pretensión del legislador no fue otra que asegurar la máxima objetividad, solidez y fiabilidad del aparato electoral que redunda en la limpieza, justicia y transparencia de las elecciones, articulando un sistema electoral cuyas bases son la judicialización de las juntas electorales y la composición de las mesas electorales por ciudadanos elegidos por sorteo, con el propósito de asegurar la confianza en el sistema y garantizar la libre expresión de la soberanía popular, elemento nuclear del Estado social y democrático de Derecho (art. 1 CE). No es necesario encarecer la importancia del sistema electoral en la configuración del régimen político. Como señalara el Consejo de Estado en su informe de 27 de junio de 2008 sobre las principales propuestas de reforma del régimen electoral general, “el régimen electoral es una pieza clave del Estado constitucional, puesto que habilita la participación política de los ciudadanos, transforma sus votos en escaños y, en definitiva, hace operativo el principio democrático en las instituciones del Estado”.</w:t>
      </w:r>
    </w:p>
    <w:p w14:paraId="3F5CEA17" w14:textId="77777777" w:rsidR="00A8138F" w:rsidRDefault="00A8138F" w:rsidP="00A8138F">
      <w:pPr>
        <w:pStyle w:val="TextoNormal"/>
      </w:pPr>
    </w:p>
    <w:p w14:paraId="685312A9" w14:textId="77777777" w:rsidR="00A8138F" w:rsidRDefault="00A8138F" w:rsidP="00A8138F">
      <w:pPr>
        <w:pStyle w:val="TextoNormal"/>
      </w:pPr>
      <w:r>
        <w:t>Y pieza clave, a su vez, del régimen electoral es la administración electoral. En efecto, conforme al art. 8.2 LOREG, la administración electoral, definida como una “específica administración de garantía” por la STC 197/1998, de 24 de octubre, y que, como dispone el art. 8.2 LOREG, está formada por las juntas electorales y por las mesas electorales: aquellas con competencia general sobre el proceso electoral (art. 19 LOREG) y estas con la lógica limitación al acto de votación y al escrutinio. Ambas, en todo caso, en el marco del art. 8.1 LOREG, instituidas para tutelar la transparencia y objetividad del proceso electoral y el principio de igualdad.</w:t>
      </w:r>
    </w:p>
    <w:p w14:paraId="5130476C" w14:textId="77777777" w:rsidR="00A8138F" w:rsidRDefault="00A8138F" w:rsidP="00A8138F">
      <w:pPr>
        <w:pStyle w:val="TextoNormal"/>
      </w:pPr>
    </w:p>
    <w:p w14:paraId="629607AE" w14:textId="77777777" w:rsidR="00A8138F" w:rsidRDefault="00A8138F" w:rsidP="00A8138F">
      <w:pPr>
        <w:pStyle w:val="TextoNormal"/>
      </w:pPr>
      <w:r>
        <w:t>Este sistema de administración electoral, instituido por la Ley Orgánica de régimen electoral general con el precedente citado, se ha revelado como idóneo, integrador y, en cuanto tal, asumido por el conjunto de los actores políticos como consolidado, legitimado en su actuación y, en definitiva, institucionalizado.</w:t>
      </w:r>
    </w:p>
    <w:p w14:paraId="23D016F7" w14:textId="77777777" w:rsidR="00A8138F" w:rsidRDefault="00A8138F" w:rsidP="00A8138F">
      <w:pPr>
        <w:pStyle w:val="TextoNormal"/>
      </w:pPr>
    </w:p>
    <w:p w14:paraId="27D5E676" w14:textId="77777777" w:rsidR="00A8138F" w:rsidRDefault="00A8138F" w:rsidP="00A8138F">
      <w:pPr>
        <w:pStyle w:val="TextoNormal"/>
      </w:pPr>
      <w:r>
        <w:t>Por lo que se refiere a las mesas, procede recordar que, conforme a la regulación de la Ley Orgánica de régimen electoral general, las circunscripciones electorales se dividen en secciones electorales, que incluyen un máximo de dos mil y un mínimo de quinientos elec</w:t>
      </w:r>
      <w:r>
        <w:lastRenderedPageBreak/>
        <w:t>tores. Al menos en cada sección electoral debe constituirse una mesa electoral (art. 23 LOREG) que, como órgano primario de la administración electoral, cumple su función circunscrita al acto de votación y al escrutinio en la jornada electoral. Así, las mesas electorales, una vez válidamente constituidas de acuerdo con lo dispuesto en los arts. 80 a 83 LOREG, asumen la misión fundamental de presidir, dirigir y controlar la emisión del voto por los electores, conservar el orden durante la votación, realizar el recuento de los votos emitidos cumplimentando las actas correspondientes y, con carácter general, velar por la pureza y limpieza del sufragio.</w:t>
      </w:r>
    </w:p>
    <w:p w14:paraId="46DD5A22" w14:textId="77777777" w:rsidR="00A8138F" w:rsidRDefault="00A8138F" w:rsidP="00A8138F">
      <w:pPr>
        <w:pStyle w:val="TextoNormal"/>
      </w:pPr>
    </w:p>
    <w:p w14:paraId="230C06EE" w14:textId="77777777" w:rsidR="00A8138F" w:rsidRDefault="00A8138F" w:rsidP="00A8138F">
      <w:pPr>
        <w:pStyle w:val="TextoNormal"/>
      </w:pPr>
      <w:r>
        <w:t>Separándose de modelos que prevén la integración de las mesas electorales por funcionarios públicos o por personas designadas por los partidos políticos, la Ley Orgánica de régimen electoral general prevé que estén formadas por ciudadanos designados mediante sorteo público (art. 26). Esto es, confía en el pueblo, titular de la soberanía (art. 1.2 CE) para integrar el órgano primario de la administración electoral, atribuyendo a representantes del pueblo elegidos por sorteo para, en los términos del acuerdo de la Junta Electoral Central de 7 de junio de 1995, cumplir la “trascendental misión de realizar el escrutinio electoral”. Los ciudadanos son, por tanto, quienes velan por el orden de la votación y la pureza del sufragio, de modo que la integración de los ciudadanos en las mesas electorales constituye un relevante cauce institucional de participación democrática de aquellos en el procedimiento electoral, como garantes de este. Adviértase que la soberanía popular, fundamento de la democracia constitucional (art. 1.2 CE), se expresa justamente a través del ejercicio de dicha soberanía por el pueblo, esto es, a través de la participación activa de este en la gestión y decisión de los asuntos públicos, debiendo recordarse al efecto que el art. 9.2 CE ordena a los poderes públicos “facilitar la participación de todos los ciudadanos en la vida política”. En este marco conceptual, las mesas electorales desempeñan un papel esencial.</w:t>
      </w:r>
    </w:p>
    <w:p w14:paraId="0AE7AB69" w14:textId="77777777" w:rsidR="00A8138F" w:rsidRDefault="00A8138F" w:rsidP="00A8138F">
      <w:pPr>
        <w:pStyle w:val="TextoNormal"/>
      </w:pPr>
    </w:p>
    <w:p w14:paraId="5E2D419C" w14:textId="77777777" w:rsidR="00A8138F" w:rsidRDefault="00A8138F" w:rsidP="00A8138F">
      <w:pPr>
        <w:pStyle w:val="TextoNormal"/>
      </w:pPr>
      <w:r>
        <w:t>Así, la constitución de las mesas electorales va precedida de lo que el art. 26 LOREG denomina “formación de las mesas”, o, en otros términos, la designación de sus miembros, titulares y suplentes, mediante sorteo público entre la totalidad de las personas censadas en la sección correspondiente, menores de sesenta y cinco años, que sepan leer y escribir (el presidente de la mesa debe tener al menos el título de graduado escolar o equivalente).</w:t>
      </w:r>
    </w:p>
    <w:p w14:paraId="30FD532D" w14:textId="77777777" w:rsidR="00A8138F" w:rsidRDefault="00A8138F" w:rsidP="00A8138F">
      <w:pPr>
        <w:pStyle w:val="TextoNormal"/>
      </w:pPr>
    </w:p>
    <w:p w14:paraId="78142E0E" w14:textId="77777777" w:rsidR="00A8138F" w:rsidRDefault="00A8138F" w:rsidP="00A8138F">
      <w:pPr>
        <w:pStyle w:val="TextoNormal"/>
      </w:pPr>
      <w:r>
        <w:t xml:space="preserve">Por tanto, cualquier mayor de edad incluido en el censo que sepa leer y escribir puede ser designado aleatoriamente para formar parte de una mesa electoral como presidente o vocal de esta, quedando obligado a aceptar el cargo, sin perjuicio de la facultad de alegar causa justificada que le impida su aceptación, en cuyo caso la junta electoral de zona resolverá lo procedente (art. 27.3 LOREG e Instrucción 6/2011, de 28 de abril, de la Junta Electoral Central, de interpretación del artículo 27.3 de la Ley Orgánica del régimen electoral general, sobre impedimentos y excusas justificadas para los cargos de presidente y vocal de las mesas electorales; modificada por la Instrucción 2/2014, de 11 de diciembre; por la Instrucción 3/2016, de 14 de septiembre, y por la Instrucción 1/2018, de 14 de marzo). Es de recordar que en las elecciones municipales los extranjeros residentes en España e inscritos en el censo electoral pueden ser titulares del derecho de sufragio activo y pasivo (art. 13.2 CE), habiendo interpretado la Junta Electoral Central que pueden asimismo ser designados para formar parte de las mesas electorales, no pudiendo serlo, en cambio, en el supuesto de concurrencia de elecciones municipales y autonómicas, habida cuenta que la mesa electoral es común para todas ellas (art. 25.2 LOREG) y los extranjeros no gozan del derecho de sufragio respecto de procesos electorales de ámbito supramunicipal (Acuerdos de 23 de abril </w:t>
      </w:r>
      <w:r>
        <w:lastRenderedPageBreak/>
        <w:t>de 2007 y 28 de abril de 2011). En caso de ser elegido para formar parte de una mesa electoral en elecciones municipales un ciudadano extranjero residente en España e inscrito en el censo electoral, deberá indicársele a este en la notificación correspondiente que habrá de manifestar al secretario del ayuntamiento si tiene conocimiento suficiente del idioma español, a los efectos de proceder a su sustitución, en caso negativo (Acuerdo de la Junta Electoral Central de 17 de mayo de 1999). Tal previsión no comprende, claro está, al ciudadano español de origen extranjero, pues todo ciudadano español tiene el deber de conocimiento del idioma español o castellano (art. 3.1 CE). No cabe, por tanto, excluir del sorteo para formar parte de una mesa electoral al ciudadano español por su origen extranjero, presumiendo un conocimiento insuficiente del idioma castellano, pues justamente lo que ha de presumirse es lo contrario. A través de su integración en las mesas electorales con las trascendentes funciones de estas en el proceso de formación de los órganos representativos, los ciudadanos participan de modo directo en inmediato en un ámbito, repetimos, nuclear del Estado democrático de Derecho (art. 1.1 CE).</w:t>
      </w:r>
    </w:p>
    <w:p w14:paraId="2D62D845" w14:textId="77777777" w:rsidR="00A8138F" w:rsidRDefault="00A8138F" w:rsidP="00A8138F">
      <w:pPr>
        <w:pStyle w:val="TextoNormal"/>
      </w:pPr>
    </w:p>
    <w:p w14:paraId="3A89FF85" w14:textId="77777777" w:rsidR="00A8138F" w:rsidRDefault="00A8138F" w:rsidP="00A8138F">
      <w:pPr>
        <w:pStyle w:val="TextoNormal"/>
      </w:pPr>
      <w:r>
        <w:t>Compete a los ayuntamientos, bajo la supervisión de las juntas electorales de zona, llevar a cabo el sorteo para formar parte de las mesas electorales (art. 26.2 LOREG), que debe realizarse entre los días vigésimo quinto y vigésimo noveno desde la convocatoria (art. 26.4 LOREG), y que debe hacerse, conforme a reiterados acuerdos de la Junta Electoral Central, por el Pleno del ayuntamiento. Para realizar el sorteo cabe cualquier procedimiento aleatorio y el uso al efecto de medios informáticos, en la forma que disponga el ayuntamiento. En el sorteo se debe prever la inclusión, además de los respectivos titulares, de dos suplentes por cada miembro de la mesa (art. 26.2 LOREG), es decir, dos para presidente, dos para el vocal primero y dos para el vocal segundo, de forma que se sortean nueve nombres por mesa. La tarea de supervisión de las juntas electorales de zona se concreta en las medidas que estime necesarias, teniendo en cuenta que conforme al art. 11.4 LOREG, los secretarios de los ayuntamientos son los delegados de estas que actúan bajo su estricta dependencia. Como se ha dicho, cualquier persona mayor de edad censada en la sección correspondiente que sepa leer y escribir en español o castellano puede ser designada para formar parte de una mesa electoral, por lo que queda descartada la eventual exclusión de ciudadanos españoles por presumir de su origen extranjero una dificultad de conocimiento del castellano.</w:t>
      </w:r>
    </w:p>
    <w:p w14:paraId="6DEE3C31" w14:textId="77777777" w:rsidR="00A8138F" w:rsidRDefault="00A8138F" w:rsidP="00A8138F">
      <w:pPr>
        <w:pStyle w:val="TextoNormal"/>
      </w:pPr>
    </w:p>
    <w:p w14:paraId="2E2C83F9" w14:textId="615C55EE" w:rsidR="00A8138F" w:rsidRDefault="00A8138F" w:rsidP="00A8138F">
      <w:pPr>
        <w:pStyle w:val="TextoNormal"/>
      </w:pPr>
      <w:r>
        <w:t>La Ley Orgánica de régimen electoral general también aborda la constitución de las mesas electorales en la sección duodécima “Constitución de las mesas electorales” (arts. 80 a 83) del capítulo VI “Procedimiento electoral” del título primero (“Disposiciones comunes para las elecciones por sufragio universal directo”). En ese capítulo VI se regulan las diferentes fases en las que se estructura el procedimiento electoral tras la convocatoria de elecciones hasta el acto definitivo que consiste en la proclamación de electos. Con arreglo a dicha concepción serial o consecuencial del procedimiento electoral, la potencial composición de las mesas se determina en un momento temporal anterior, aunque su constitución efectiva se produzca, conforme al art. 80 LOREG, el mismo día de la votación, en el que los designados como titulares y suplentes son llamados a comparecer en la hora indicada para la constitución de la mesa electoral.</w:t>
      </w:r>
    </w:p>
    <w:p w14:paraId="39DA46C1" w14:textId="77777777" w:rsidR="00A8138F" w:rsidRDefault="00A8138F" w:rsidP="00A8138F">
      <w:pPr>
        <w:pStyle w:val="TextoNormal"/>
      </w:pPr>
    </w:p>
    <w:p w14:paraId="30E3DCE1" w14:textId="77777777" w:rsidR="00A8138F" w:rsidRDefault="00A8138F" w:rsidP="00A8138F">
      <w:pPr>
        <w:pStyle w:val="TextoNormal"/>
      </w:pPr>
      <w:r w:rsidRPr="00A8138F">
        <w:rPr>
          <w:rStyle w:val="NumeroAFNegritaCaracter"/>
        </w:rPr>
        <w:t>4</w:t>
      </w:r>
      <w:r>
        <w:t xml:space="preserve">. </w:t>
      </w:r>
      <w:r w:rsidRPr="00A8138F">
        <w:rPr>
          <w:i/>
        </w:rPr>
        <w:t>La condena de la demandante de amparo como autora del delito electoral del art. 139.2 LOREG. Subsunción de los hechos probados en el tipo penal aplicado no lesiva del derecho a la legalidad penal</w:t>
      </w:r>
    </w:p>
    <w:p w14:paraId="21F92A32" w14:textId="77777777" w:rsidR="00A8138F" w:rsidRDefault="00A8138F" w:rsidP="00A8138F">
      <w:pPr>
        <w:pStyle w:val="TextoNormal"/>
      </w:pPr>
    </w:p>
    <w:p w14:paraId="096B57EA" w14:textId="77777777" w:rsidR="00A8138F" w:rsidRDefault="00A8138F" w:rsidP="00A8138F">
      <w:pPr>
        <w:pStyle w:val="TextoNormal"/>
      </w:pPr>
      <w:r>
        <w:lastRenderedPageBreak/>
        <w:t>La sentencia de 30 de septiembre de 2021 de la Sección Primera de la Audiencia Provincial de Las Palmas de Gran Canaria recurrida en amparo, confirmando en este extremo la sentencia de instancia, condena a la recurrente como autora de un delito electoral del art. 139.2 LOREG. Ello por considerar acreditado, a partir de la prueba testifical y de las declaraciones de la acusada en el juicio oral, que en el procedimiento de sorteo público de los miembros que integrarían las mesas electorales para las elecciones municipales y autonómicas de Canarias a celebrar el 24 de mayo de 2015, se introdujo por aquella, que actuaba como secretaria accidental del Ayuntamiento de la Oliva y por ello como delegada de la junta electoral de zona, un elemento subjetivo corrector, consistente en su propuesta (que fue aceptada por los miembros de la corporación local) de excluir a los ciudadanos censados que resultasen seleccionados aleatoriamente por la aplicación informática “Elector” cuando tuvieren nombre y apellidos extranjeros, presumiendo en estos un insuficiente conocimiento del idioma español o castellano, que podría causar problemas el día de las elecciones. La sentencia concluye que es clara y determinante la implicación de la acusada en el sorteo público de selección de integrantes de las mesas electorales, que se considera injustificada, ya que no cabe racional e inequívocamente presumir que un elector, por no tener nombre y apellidos de origen español, vaya a ocasionar dificultades en un proceso electoral. Esa irregular actuación de la acusada, aunque no se llevó a cabo mediante una manipulación de la aplicación informática (en contra de lo afirmado por la sentencia de instancia), sí determinó que se produjera una alteración caprichosa del proceso de selección de integrantes de las mesas electorales, con el consiguiente quebranto del buen funcionamiento de la administración electoral que ha de presidir ese acto.</w:t>
      </w:r>
    </w:p>
    <w:p w14:paraId="201109DA" w14:textId="77777777" w:rsidR="00A8138F" w:rsidRDefault="00A8138F" w:rsidP="00A8138F">
      <w:pPr>
        <w:pStyle w:val="TextoNormal"/>
      </w:pPr>
    </w:p>
    <w:p w14:paraId="78C13291" w14:textId="77777777" w:rsidR="00A8138F" w:rsidRDefault="00A8138F" w:rsidP="00A8138F">
      <w:pPr>
        <w:pStyle w:val="TextoNormal"/>
      </w:pPr>
      <w:r>
        <w:t>La sentencia precisa que el contenido del art. 139.2 LOREG se refiere al incumplimiento de las normas legalmente establecidas para la constitución de las mesas electorales. Según la sentencia, esas normas son las que se refieren al proceso que se ha de seguir para su constitución, “es decir, aquel que se inicia con la selección de sus posibles miembros, que sigue con la resolución de las excusas legales que puedan formular los primeramente elegidos y que culmina con la concreta configuración formal, personal y material de las mesas el día las elecciones, las cuales tienen que estar preparadas y listas para operar, salvo imprevistos, en el momento señalado para el inicio del proceso de la votación y mantenerse activas hasta que finalice el mismo y se resuelvan todas las incidencias”.</w:t>
      </w:r>
    </w:p>
    <w:p w14:paraId="5CC34BC4" w14:textId="77777777" w:rsidR="00A8138F" w:rsidRDefault="00A8138F" w:rsidP="00A8138F">
      <w:pPr>
        <w:pStyle w:val="TextoNormal"/>
      </w:pPr>
    </w:p>
    <w:p w14:paraId="153AE127" w14:textId="77777777" w:rsidR="00A8138F" w:rsidRDefault="00A8138F" w:rsidP="00A8138F">
      <w:pPr>
        <w:pStyle w:val="TextoNormal"/>
      </w:pPr>
      <w:r>
        <w:t>De lo anterior la Audiencia Provincial de Las Palmas de Gran Canaria deduce en su sentencia que el incumplimiento normativo perseguido por el delito previsto y penado por el art. 139.2 LOREG se puede proyectar frente a cualquier irregularidad o anomalía producida en algunas de las fases procedimentales previas. Y la que se ha producido en este caso ha ocurrido durante el proceso aleatorio de selección de los miembros de las mesas electorales, que compete a los respectivos ayuntamientos. La conducta de la secretaria municipal accidental del Ayuntamiento de Oliva y delegada de la Junta Electoral de Zona tiene así pleno encaje en el tipo penal referido, sin que sea posible trasladar esta actuación al ámbito administrativo (art. 153 LOREG), en la medida en que ha quedado claro el encaje de la conducta en la norma penal concluye la sentencia.</w:t>
      </w:r>
    </w:p>
    <w:p w14:paraId="33D03422" w14:textId="77777777" w:rsidR="00A8138F" w:rsidRDefault="00A8138F" w:rsidP="00A8138F">
      <w:pPr>
        <w:pStyle w:val="TextoNormal"/>
      </w:pPr>
    </w:p>
    <w:p w14:paraId="08315623" w14:textId="77777777" w:rsidR="00A8138F" w:rsidRDefault="00A8138F" w:rsidP="00A8138F">
      <w:pPr>
        <w:pStyle w:val="TextoNormal"/>
      </w:pPr>
      <w:r>
        <w:t xml:space="preserve">Expuesto someramente el contenido de la sentencia impugnada, conviene recordar ahora que, como ya hemos indicado, el canon de razonabilidad de la operación judicial de subsunción de los hechos probados en la norma penal o sancionadora fija como primer criterio el </w:t>
      </w:r>
      <w:r>
        <w:lastRenderedPageBreak/>
        <w:t xml:space="preserve">de la compatibilidad de dicha subsunción con el tenor literal de la norma, con la consiguiente prohibición de la analogía </w:t>
      </w:r>
      <w:r w:rsidRPr="00A8138F">
        <w:rPr>
          <w:i/>
        </w:rPr>
        <w:t>in malam partem</w:t>
      </w:r>
      <w:r>
        <w:t>.</w:t>
      </w:r>
    </w:p>
    <w:p w14:paraId="1FAE5A40" w14:textId="77777777" w:rsidR="00A8138F" w:rsidRDefault="00A8138F" w:rsidP="00A8138F">
      <w:pPr>
        <w:pStyle w:val="TextoNormal"/>
      </w:pPr>
    </w:p>
    <w:p w14:paraId="338DC59D" w14:textId="77777777" w:rsidR="00A8138F" w:rsidRDefault="00A8138F" w:rsidP="00A8138F">
      <w:pPr>
        <w:pStyle w:val="TextoNormal"/>
      </w:pPr>
      <w:r>
        <w:t xml:space="preserve">Pues bien, la vista de los razonamientos de la sentencia es posible concluir que no se contraviene el tenor literal del art. 139.2 LOREG, que castiga, como ya se dijo, el incumplimiento por los funcionarios públicos de “las normas legalmente establecidas para la constitución de las juntas y mesas electorales”. Nótese que este precepto, al emplear la amplia y finalista preposición “para”, permite incluir en su ámbito de aplicación el </w:t>
      </w:r>
      <w:r w:rsidRPr="00A8138F">
        <w:rPr>
          <w:i/>
        </w:rPr>
        <w:t>iter</w:t>
      </w:r>
      <w:r>
        <w:t xml:space="preserve"> procedimental conducente a la constitución de la mesa electoral, uno de cuyos presupuestos es determinar de modo siquiera potencial su composición. Dicho de otro modo, no resulta irrazonable entender, como ha hecho el órgano judicial, que el precepto penal se proyecta sobre todo el proceso que se ha de seguir para la constitución de las mesas, el cual se inicia con la selección de sus posibles miembros, prosigue con la resolución por la junta electoral de zona de las excusas legales que puedan formular los primeramente elegidos, en su caso, y culmina con la concreta configuración de las mesas el día de las elecciones. Las mesas electorales se conforman a partir de la selección de sus miembros, lo que significa que el sorteo público para su designación forma parte del proceso de constitución de las mesas, que se perfecciona en la jornada de votación. Esto hace posible interpretar, como ha señalado el Ministerio fiscal, que el tipo penal se refiera a actuaciones cronológicamente anteriores al momento de la formal constitución de las mesas electorales, que tiene lugar en la jornada señalada por la votación, las cuales, sin embargo, sean causalmente determinantes de una alteración que afecte a dicha válida constitución, incluyendo, como es el caso, cualquier defecto relevante en la composición de las propias mesas. En otras palabras, la constitución de las mesas electorales no se circunscribe a las actuaciones que se suceden entre las ocho horas y las ocho treinta horas del día de la votación y que se describen en los arts. 81 a 83 LOREG, sino que se proyecta necesariamente sobre las que determinan que esa constitución formal tenga lugar desde la selección de quienes han de constituirlas.</w:t>
      </w:r>
    </w:p>
    <w:p w14:paraId="7AF06C5E" w14:textId="77777777" w:rsidR="00A8138F" w:rsidRDefault="00A8138F" w:rsidP="00A8138F">
      <w:pPr>
        <w:pStyle w:val="TextoNormal"/>
      </w:pPr>
    </w:p>
    <w:p w14:paraId="68F9B00A" w14:textId="77777777" w:rsidR="00A8138F" w:rsidRDefault="00A8138F" w:rsidP="00A8138F">
      <w:pPr>
        <w:pStyle w:val="TextoNormal"/>
      </w:pPr>
      <w:r>
        <w:t>Si la interpretación de la norma penal debe tomar en consideración el “contexto ordinamental en el que se inserta” (STC 126/2021, de 3 de junio, FJ 7), cabe apreciar que esto ocurre en el presente caso, por cuanto la sentencia impugnada ha entendido que la conducta de la recurrente en amparo afecta a la constitución de las mesas electorales en los términos en los que esta es configurada por el legislador electoral que, al definir los delitos electorales, hace las veces de legislador penal. De ahí que la interpretación del art. 139.2 LOREG realizada por el órgano judicial en la sentencia impugnada no pueda reputarse ajena a la expresión empleada por el legislador en dicho precepto, que define el ámbito material del delito en atención al incumplimiento de todas aquellas obligaciones que se han establecido para asegurar que la constitución de las mesas electorales se hace conforme a la Ley Orgánica de régimen electoral general, incluida la regla relativa a la composición de las mesas mediante sorteo. Esta interpretación del tipo penal aplicado resulta también coherente con la tutela del bien jurídico protegido, la salvaguarda de la pureza del proceso electoral en todas sus fases, para así garantizar la neutralidad, imparcialidad e independencia de la administración que interviene en los procesos electorales (mesas conformadas mediante sorteo público entre todos los ciudadanos mayores de edad incluidos en el censo de electores).</w:t>
      </w:r>
    </w:p>
    <w:p w14:paraId="27BC6822" w14:textId="77777777" w:rsidR="00A8138F" w:rsidRDefault="00A8138F" w:rsidP="00A8138F">
      <w:pPr>
        <w:pStyle w:val="TextoNormal"/>
      </w:pPr>
    </w:p>
    <w:p w14:paraId="596F5726" w14:textId="77777777" w:rsidR="00A8138F" w:rsidRDefault="00A8138F" w:rsidP="00A8138F">
      <w:pPr>
        <w:pStyle w:val="TextoNormal"/>
      </w:pPr>
      <w:r>
        <w:t xml:space="preserve">Por tanto, la concreta subsunción en el tipo penal que ha hecho la sentencia impugnada en amparo no supone una analogía </w:t>
      </w:r>
      <w:r w:rsidRPr="00A8138F">
        <w:rPr>
          <w:i/>
        </w:rPr>
        <w:t>in malam partem</w:t>
      </w:r>
      <w:r>
        <w:t xml:space="preserve">, en tanto que interpretación extensiva de la norma penal por parte del órgano judicial, vedada por la doctrina constitucional que </w:t>
      </w:r>
      <w:r>
        <w:lastRenderedPageBreak/>
        <w:t>prohíbe “la exégesis y aplicación de las normas fuera de los supuestos y de los límites que ellas mismas determinan” (por todas STC 47/2022, de 24 de marzo, FJ 8). Este no es el caso, pues, en efecto, la subsunción penal que ha efectuado el órgano judicial es acorde con modelos de argumentación que acepta la comunidad jurídica, no es ilógica ni extravagante, ni conduce a soluciones opuestas a la orientación material de la norma y, en fin, no es irrazonable ni sorpresiva.</w:t>
      </w:r>
    </w:p>
    <w:p w14:paraId="09F02E2A" w14:textId="77777777" w:rsidR="00A8138F" w:rsidRDefault="00A8138F" w:rsidP="00A8138F">
      <w:pPr>
        <w:pStyle w:val="TextoNormal"/>
      </w:pPr>
    </w:p>
    <w:p w14:paraId="54D9EA63" w14:textId="77777777" w:rsidR="00A8138F" w:rsidRDefault="00A8138F" w:rsidP="00A8138F">
      <w:pPr>
        <w:pStyle w:val="TextoNormal"/>
      </w:pPr>
      <w:r>
        <w:t>A la misma conclusión se ha de llegar en relación con la apreciación de la sentencia sobre la conducta típica propiamente dicha, así como respecto a la definición de su autor.</w:t>
      </w:r>
    </w:p>
    <w:p w14:paraId="28091242" w14:textId="77777777" w:rsidR="00A8138F" w:rsidRDefault="00A8138F" w:rsidP="00A8138F">
      <w:pPr>
        <w:pStyle w:val="TextoNormal"/>
      </w:pPr>
    </w:p>
    <w:p w14:paraId="1D982990" w14:textId="77777777" w:rsidR="00A8138F" w:rsidRDefault="00A8138F" w:rsidP="00A8138F">
      <w:pPr>
        <w:pStyle w:val="TextoNormal"/>
      </w:pPr>
      <w:r>
        <w:t>El hecho de que el art. 139.2 LOREG configure la acción típica (el incumplimiento de las normas legalmente establecidas para la constitución de las juntas y mesas electorales) mediante la técnica de remisión a las normas legales que regulan las obligaciones de los funcionarios no es óbice para apreciar la precisión y claridad de su contenido, ni hace que quede fuera de dicho contenido una conducta como la enjuiciada. El art. 26 LOREG establece que la formación de las mesas electorales compete a los ayuntamientos, bajo la supervisión de las juntas electorales de zona. Por más que la decisión formal de designación de los componentes de las mesas sea competencia del ayuntamiento, nada en la dicción literal del citado art. 26 LOREG, ni tampoco en la del art. 139.2 LOREG, obliga a entender que quede excluido del tipo sancionador cualquier otro incumplimiento por los funcionarios públicos del ayuntamiento o de la junta electoral de zona de sus propias obligaciones legales, cuando afecten a la debida formación y constitución de las mesas, incluida su composición por sorteo público entre la totalidad de las personas incluidas en la lista de electores.</w:t>
      </w:r>
    </w:p>
    <w:p w14:paraId="368FD6EF" w14:textId="77777777" w:rsidR="00A8138F" w:rsidRDefault="00A8138F" w:rsidP="00A8138F">
      <w:pPr>
        <w:pStyle w:val="TextoNormal"/>
      </w:pPr>
    </w:p>
    <w:p w14:paraId="4A277187" w14:textId="77777777" w:rsidR="00A8138F" w:rsidRDefault="00A8138F" w:rsidP="00A8138F">
      <w:pPr>
        <w:pStyle w:val="TextoNormal"/>
      </w:pPr>
      <w:r>
        <w:t>La sentencia impugnada considera probado que la recurrente alteró, mediante la actuación descrita, el proceso aleatorio de designación de miembros de las mesas electorales, excluyendo según su propio criterio, por completo ajeno a lo dispuesto en la normativa aplicable, a ciudadanos que habían sido seleccionados aleatoriamente por la aplicación informática habilitada a tal efecto. En relación con ello, la sentencia identifica con precisión las normas legalmente establecidas que imponían a la recurrente, en su calidad de delegada de la junta electoral de zona, una obligación específica de velar por la transparencia, limpieza y objetividad del procedimiento, fines que configuran la misión institucional de la administración electoral (art. 8 LOREG). También se indica en la sentencia en qué consistió el incumplimiento de esas normas que regían la específica responsabilidad de la recurrente en el acto de designación de miembros de las mesas electorales, al proponer la exclusión (aceptada por la corporación municipal) de los ciudadanos seleccionados por la aplicación informática que tuvieren nombre y apellidos extranjeros, por presumir indebidamente de esta circunstancia personal un conocimiento insuficiente del idioma castellano.</w:t>
      </w:r>
    </w:p>
    <w:p w14:paraId="073BF982" w14:textId="77777777" w:rsidR="00A8138F" w:rsidRDefault="00A8138F" w:rsidP="00A8138F">
      <w:pPr>
        <w:pStyle w:val="TextoNormal"/>
      </w:pPr>
    </w:p>
    <w:p w14:paraId="7C1D3C4A" w14:textId="77777777" w:rsidR="00A8138F" w:rsidRDefault="00A8138F" w:rsidP="00A8138F">
      <w:pPr>
        <w:pStyle w:val="TextoNormal"/>
      </w:pPr>
      <w:r>
        <w:t>Esta apreciación de la sentencia no puede reputarse de ilógica o irrazonable, pues debe recordarse que cualquier persona mayor de edad censada en la sección correspondiente que sepa leer y escribir puede ser designada por sorteo público para formar parte de una mesa electoral (art. 26.2 LOREG), careciendo por tanto de justificación la exclusión de ciudadanos españoles por el hecho de tener nombre y apellidos de origen extranjero.</w:t>
      </w:r>
    </w:p>
    <w:p w14:paraId="4F5E58A3" w14:textId="77777777" w:rsidR="00A8138F" w:rsidRDefault="00A8138F" w:rsidP="00A8138F">
      <w:pPr>
        <w:pStyle w:val="TextoNormal"/>
      </w:pPr>
    </w:p>
    <w:p w14:paraId="2CCA81E6" w14:textId="77777777" w:rsidR="00A8138F" w:rsidRDefault="00A8138F" w:rsidP="00A8138F">
      <w:pPr>
        <w:pStyle w:val="TextoNormal"/>
      </w:pPr>
      <w:r>
        <w:t>Finalmente, se describe en la sentencia cómo la conducta de la recurrente contribuyó de manera determinante a alterar y desvirtuar el resultado objetivo del sorteo, afectando a la formación de al menos dos de las mesas electorales finalmente constituidas, con el consi</w:t>
      </w:r>
      <w:r>
        <w:lastRenderedPageBreak/>
        <w:t>guiente quebranto del buen funcionamiento de la administración electoral. Tampoco esta conclusión, fundada en la valoración de la prueba practicada en el proceso conforme a la potestad que a los órganos judiciales incumbe en exclusiva (art. 117.3 CE), puede tildarse de irrazonable o ilógica.</w:t>
      </w:r>
    </w:p>
    <w:p w14:paraId="698C4D05" w14:textId="77777777" w:rsidR="00A8138F" w:rsidRDefault="00A8138F" w:rsidP="00A8138F">
      <w:pPr>
        <w:pStyle w:val="TextoNormal"/>
      </w:pPr>
    </w:p>
    <w:p w14:paraId="75DF2983" w14:textId="7B362F0B" w:rsidR="00A8138F" w:rsidRDefault="00A8138F" w:rsidP="00A8138F">
      <w:pPr>
        <w:pStyle w:val="TextoNormal"/>
      </w:pPr>
      <w:r>
        <w:t>En suma, no se vislumbra que el razonamiento empleado en la sentencia impugnada en amparo para considerar que la conducta de la recurrente es constitutiva del delito electoral previsto y penado en el art. 139.2 LOREG incurra en quiebras manifiestamente ilógicas ni que alumbre un resultado extravagante que sea notoriamente opuesto a la orientación material de la norma penal aplicada o se inspire en criterios axiológicos contrarios a los principios constitucionales, por lo que ha de concluirse que no ha existido vulneración del derecho de la recurrente a la legalidad penal (art. 25.1 CE).</w:t>
      </w:r>
    </w:p>
    <w:p w14:paraId="69012573" w14:textId="77777777" w:rsidR="00A8138F" w:rsidRDefault="00A8138F" w:rsidP="00A8138F">
      <w:pPr>
        <w:pStyle w:val="TextoNormal"/>
      </w:pPr>
    </w:p>
    <w:p w14:paraId="2609AF16" w14:textId="77777777" w:rsidR="00A8138F" w:rsidRDefault="00A8138F" w:rsidP="00A8138F">
      <w:pPr>
        <w:pStyle w:val="TextoNormalCentrado"/>
        <w:keepNext/>
      </w:pPr>
      <w:r>
        <w:t>FALLO</w:t>
      </w:r>
    </w:p>
    <w:p w14:paraId="55F9186F" w14:textId="502B3E81" w:rsidR="00A8138F" w:rsidRDefault="00A8138F" w:rsidP="00A8138F">
      <w:pPr>
        <w:pStyle w:val="TextoNormalCentrado"/>
        <w:keepNext/>
      </w:pPr>
    </w:p>
    <w:p w14:paraId="755628F9" w14:textId="056ED5AB"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doña Rosa Delia Cabrera Montelongo.</w:t>
      </w:r>
    </w:p>
    <w:p w14:paraId="27EAC2D0" w14:textId="77777777" w:rsidR="00A8138F" w:rsidRDefault="00A8138F" w:rsidP="00A8138F">
      <w:pPr>
        <w:pStyle w:val="TextoNormal"/>
      </w:pPr>
    </w:p>
    <w:p w14:paraId="0CA4BD7B" w14:textId="77777777" w:rsidR="00A8138F" w:rsidRDefault="00A8138F" w:rsidP="00A8138F">
      <w:pPr>
        <w:pStyle w:val="TextoNormal"/>
      </w:pPr>
      <w:r>
        <w:t>Publíquese esta sentencia en el “Boletín Oficial del Estado”.</w:t>
      </w:r>
    </w:p>
    <w:p w14:paraId="25DC63B9" w14:textId="77777777" w:rsidR="00A8138F" w:rsidRDefault="00A8138F" w:rsidP="00A8138F">
      <w:pPr>
        <w:pStyle w:val="TextoNormal"/>
      </w:pPr>
      <w:r>
        <w:t>Dada en Madrid, a veintiséis de febrero de dos mil veinticinco.</w:t>
      </w:r>
    </w:p>
    <w:p w14:paraId="45F07762" w14:textId="3520C318" w:rsidR="00A8138F" w:rsidRDefault="00A8138F">
      <w:pPr>
        <w:spacing w:after="160" w:line="278" w:lineRule="auto"/>
        <w:rPr>
          <w:rFonts w:ascii="Times New Roman" w:eastAsia="Times New Roman" w:hAnsi="Times New Roman" w:cs="Times New Roman"/>
          <w:sz w:val="24"/>
          <w:szCs w:val="24"/>
          <w:lang w:eastAsia="es-ES"/>
        </w:rPr>
      </w:pPr>
      <w:r>
        <w:br w:type="page"/>
      </w:r>
    </w:p>
    <w:p w14:paraId="730EB628" w14:textId="77777777" w:rsidR="00A8138F" w:rsidRDefault="00A8138F" w:rsidP="00A8138F">
      <w:pPr>
        <w:pStyle w:val="TtuloResolucin"/>
      </w:pPr>
      <w:bookmarkStart w:id="54" w:name="SENTENCIA_2025_52"/>
      <w:r>
        <w:lastRenderedPageBreak/>
        <w:t>SENTENCIA 52/2025, de 10 de marzo de 2025</w:t>
      </w:r>
    </w:p>
    <w:bookmarkEnd w:id="54"/>
    <w:p w14:paraId="4AEB6AF3" w14:textId="77777777" w:rsidR="00A8138F" w:rsidRDefault="00A8138F" w:rsidP="00A8138F">
      <w:pPr>
        <w:pStyle w:val="TtuloResolucin"/>
      </w:pPr>
      <w:r>
        <w:t>Sala Primera</w:t>
      </w:r>
    </w:p>
    <w:p w14:paraId="22E36355" w14:textId="77777777" w:rsidR="00A8138F" w:rsidRDefault="00A8138F" w:rsidP="00A8138F">
      <w:pPr>
        <w:pStyle w:val="TtuloBOE"/>
      </w:pPr>
      <w:r>
        <w:t>(BOE núm. 88, de 11 de abril de 2025)</w:t>
      </w:r>
    </w:p>
    <w:p w14:paraId="1B157256" w14:textId="77777777" w:rsidR="00A8138F" w:rsidRDefault="00A8138F" w:rsidP="00A8138F">
      <w:pPr>
        <w:pStyle w:val="TextoNormalCentrado"/>
      </w:pPr>
      <w:r>
        <w:t>ECLI:ES:TC:2025:52</w:t>
      </w:r>
    </w:p>
    <w:p w14:paraId="5D07CF2D" w14:textId="0FA3D455" w:rsidR="00A8138F" w:rsidRDefault="00A8138F" w:rsidP="00A8138F">
      <w:pPr>
        <w:pStyle w:val="TextoNormalCentrado"/>
      </w:pPr>
    </w:p>
    <w:p w14:paraId="077670D2" w14:textId="77777777" w:rsidR="00A8138F" w:rsidRDefault="00A8138F" w:rsidP="00A8138F">
      <w:pPr>
        <w:pStyle w:val="SntesisDescriptiva"/>
      </w:pPr>
      <w:r>
        <w:t>Recurso de amparo 2049-2020. Promovido por el grupo parlamentario Adelante Andalucía en el Parlamento de Andalucía y sus diecisiete diputados respecto de las resoluciones de la presidencia de la Cámara habilitando y convocando su diputación permanente durante el estado de alarma.</w:t>
      </w:r>
    </w:p>
    <w:p w14:paraId="6C923307" w14:textId="3B8C110A" w:rsidR="00A8138F" w:rsidRDefault="00A8138F" w:rsidP="00A8138F">
      <w:pPr>
        <w:pStyle w:val="SntesisDescriptiva"/>
      </w:pPr>
    </w:p>
    <w:p w14:paraId="6AF6558D" w14:textId="77777777" w:rsidR="00A8138F" w:rsidRDefault="00A8138F" w:rsidP="00A8138F">
      <w:pPr>
        <w:pStyle w:val="SntesisAnaltica"/>
      </w:pPr>
      <w:r>
        <w:t>Supuesta vulneración del derecho al ejercicio de las funciones representativas: interpretación extensiva de las facultades de la diputación permanente que responde a la finalidad de garantizar en lo posible la continuidad de la actividad parlamentaria (STC 40/2025). Voto particular.</w:t>
      </w:r>
    </w:p>
    <w:p w14:paraId="503FA4D8" w14:textId="0A188D6D" w:rsidR="00A8138F" w:rsidRDefault="00A8138F" w:rsidP="00A8138F">
      <w:pPr>
        <w:pStyle w:val="SntesisAnaltica"/>
      </w:pPr>
    </w:p>
    <w:p w14:paraId="33BD74EE" w14:textId="7FBF9BC8" w:rsidR="00A8138F" w:rsidRDefault="00A8138F" w:rsidP="00A8138F">
      <w:pPr>
        <w:pStyle w:val="Extracto"/>
      </w:pPr>
      <w:r>
        <w:t>1.</w:t>
      </w:r>
      <w:r>
        <w:tab/>
        <w:t>En el contexto de la crisis sanitaria de la covid-19, conducente a la declaración de estado de alarma, la convocatoria de la Diputación Permanente, en ausencia de una base normativa en el Reglamento de la Cámara, al tener como fin garantizar en lo posible la continuidad de la actividad parlamentaria, no puede considerarse que lesione el art. 23.2 CE. Y ello resulta aplicable no sólo a la función de la Diputación Permanente autorizante para la convalidación de decretos-leyes, sino también a la de realización de comparecencias de control de la acción de gobierno (STC 40/2025) [FJ Único].</w:t>
      </w:r>
    </w:p>
    <w:p w14:paraId="4103E57B" w14:textId="77777777" w:rsidR="00A8138F" w:rsidRDefault="00A8138F" w:rsidP="00A8138F">
      <w:pPr>
        <w:pStyle w:val="Extracto"/>
      </w:pPr>
    </w:p>
    <w:p w14:paraId="6217124C" w14:textId="77777777" w:rsidR="00A8138F" w:rsidRDefault="00A8138F" w:rsidP="00A8138F">
      <w:pPr>
        <w:pStyle w:val="Extracto"/>
      </w:pPr>
    </w:p>
    <w:p w14:paraId="63155124"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0913396A" w14:textId="0C102983" w:rsidR="00A8138F" w:rsidRDefault="00A8138F" w:rsidP="00A8138F">
      <w:pPr>
        <w:pStyle w:val="TextoNormal"/>
      </w:pPr>
    </w:p>
    <w:p w14:paraId="63E2936C" w14:textId="77777777" w:rsidR="00A8138F" w:rsidRDefault="00A8138F" w:rsidP="00A8138F">
      <w:pPr>
        <w:pStyle w:val="TextoNormalCentrado"/>
        <w:keepNext/>
      </w:pPr>
      <w:r>
        <w:t>EN NOMBRE DEL REY</w:t>
      </w:r>
    </w:p>
    <w:p w14:paraId="6B28AB3A" w14:textId="123DB201" w:rsidR="00A8138F" w:rsidRDefault="00A8138F" w:rsidP="00A8138F">
      <w:pPr>
        <w:pStyle w:val="TextoNormalCentrado"/>
        <w:keepNext/>
      </w:pPr>
    </w:p>
    <w:p w14:paraId="27A2D4F1" w14:textId="77777777" w:rsidR="00A8138F" w:rsidRDefault="00A8138F" w:rsidP="00A8138F">
      <w:pPr>
        <w:pStyle w:val="TextoNormalCentrado"/>
        <w:keepNext/>
      </w:pPr>
    </w:p>
    <w:p w14:paraId="08F6CC97" w14:textId="77777777" w:rsidR="00A8138F" w:rsidRDefault="00A8138F" w:rsidP="00A8138F">
      <w:pPr>
        <w:pStyle w:val="TextoNormal"/>
      </w:pPr>
      <w:r>
        <w:t>la siguiente</w:t>
      </w:r>
    </w:p>
    <w:p w14:paraId="4B9FB85E" w14:textId="4970D70C" w:rsidR="00A8138F" w:rsidRDefault="00A8138F" w:rsidP="00A8138F">
      <w:pPr>
        <w:pStyle w:val="TextoNormal"/>
      </w:pPr>
    </w:p>
    <w:p w14:paraId="2402BDE9" w14:textId="77777777" w:rsidR="00A8138F" w:rsidRDefault="00A8138F" w:rsidP="00A8138F">
      <w:pPr>
        <w:pStyle w:val="TextoNormalCentrado"/>
        <w:keepNext/>
      </w:pPr>
      <w:r>
        <w:t>SENTENCIA</w:t>
      </w:r>
    </w:p>
    <w:p w14:paraId="30E64E4B" w14:textId="0E5668E4" w:rsidR="00A8138F" w:rsidRDefault="00A8138F" w:rsidP="00A8138F">
      <w:pPr>
        <w:pStyle w:val="TextoNormalCentrado"/>
        <w:keepNext/>
      </w:pPr>
    </w:p>
    <w:p w14:paraId="3F968E3F" w14:textId="77777777" w:rsidR="00A8138F" w:rsidRDefault="00A8138F" w:rsidP="00A8138F">
      <w:pPr>
        <w:pStyle w:val="TextoNormal"/>
      </w:pPr>
      <w:r>
        <w:t xml:space="preserve">En el recurso de amparo núm. 2049-2020, promovido por el grupo parlamentario Adelante Andalucía en el Parlamento de Andalucía y sus diputadas y diputados, doña Ángela Aguilera Clavijo, don José Ignacio García Sánchez, doña Inmaculada Nieto Castro, don Guzmán Ahumada Gavira, doña Carmen Barranco García, doña Luzmarina Dorado Balmón, don Jesús Fernández Martín, doña María Vanessa García Casaucau, doña María Gracia González Fernández, doña María Del Carmen García Bueno, don José Ignacio Molina Arroyo, doña María Isabel Mora Grande, doña Ana María Naranjo Sánchez, don Ismael Sánchez Castillo, doña Ana Villaverde Valenciano, don Diego Crespo García y doña María Teresa Rodríguez-Rubio Vázquez contra las resoluciones de la Presidencia del Parlamento de Andalucía de 18 de marzo de 2020, sobre habilitación de la convocatoria de la Diputación </w:t>
      </w:r>
      <w:r>
        <w:lastRenderedPageBreak/>
        <w:t>Permanente en una situación de declaración de estado de alarma; y de 31 de marzo de 2020, por la que se convoca para el 2 de abril de 2020 la Diputación Permanente del Parlamento de Andalucía. Ha comparecido el Parlamento de Andalucía. Ha intervenido el Ministerio Fiscal. Ha sido ponente la magistrada doña María Luisa Segoviano Astaburuaga.</w:t>
      </w:r>
    </w:p>
    <w:p w14:paraId="0010779E" w14:textId="35169D1F" w:rsidR="00A8138F" w:rsidRDefault="00A8138F" w:rsidP="00A8138F">
      <w:pPr>
        <w:pStyle w:val="TextoNormal"/>
      </w:pPr>
    </w:p>
    <w:p w14:paraId="0A42FF74" w14:textId="77777777" w:rsidR="00A8138F" w:rsidRDefault="00A8138F" w:rsidP="00A8138F">
      <w:pPr>
        <w:pStyle w:val="TextoNormalNegritaCentrado"/>
        <w:keepNext/>
      </w:pPr>
      <w:r>
        <w:t>I. Antecedentes</w:t>
      </w:r>
    </w:p>
    <w:p w14:paraId="3AC0DE2F" w14:textId="14187B68" w:rsidR="00A8138F" w:rsidRDefault="00A8138F" w:rsidP="00A8138F">
      <w:pPr>
        <w:pStyle w:val="TextoNormalNegritaCentrado"/>
        <w:keepNext/>
      </w:pPr>
    </w:p>
    <w:p w14:paraId="48744E01" w14:textId="34EBC170" w:rsidR="00A8138F" w:rsidRDefault="00A8138F" w:rsidP="00A8138F">
      <w:pPr>
        <w:pStyle w:val="TextoNormal"/>
      </w:pPr>
      <w:r w:rsidRPr="00A8138F">
        <w:rPr>
          <w:rStyle w:val="NumeroAFNegritaCaracter"/>
        </w:rPr>
        <w:t>1</w:t>
      </w:r>
      <w:r>
        <w:t>. El grupo parlamentario Adelante Andalucía en el Parlamento de Andalucía y las diputadas y diputados de dicho grupo citados en el encabezamiento de esta resolución, representados por la procuradora de los tribunales doña Virginia Sánchez de León Herencia, bajo la dirección del letrado don Luis María de los Santos Castillo, interpusieron recurso de amparo contra las resoluciones a las que se hace referencia en el encabezamiento de esta sentencia, mediante escrito registrado en el Tribunal el 28 de abril de 2020.</w:t>
      </w:r>
    </w:p>
    <w:p w14:paraId="74FB6A8A" w14:textId="77777777" w:rsidR="00A8138F" w:rsidRDefault="00A8138F" w:rsidP="00A8138F">
      <w:pPr>
        <w:pStyle w:val="TextoNormal"/>
      </w:pPr>
    </w:p>
    <w:p w14:paraId="35022702" w14:textId="77777777" w:rsidR="00A8138F" w:rsidRDefault="00A8138F" w:rsidP="00A8138F">
      <w:pPr>
        <w:pStyle w:val="TextoNormal"/>
      </w:pPr>
      <w:r w:rsidRPr="00A8138F">
        <w:rPr>
          <w:rStyle w:val="NumeroAFNegritaCaracter"/>
        </w:rPr>
        <w:t>2</w:t>
      </w:r>
      <w:r>
        <w:t>. El recurso tiene su origen en los siguientes antecedentes:</w:t>
      </w:r>
    </w:p>
    <w:p w14:paraId="2D3A8531" w14:textId="77777777" w:rsidR="00A8138F" w:rsidRDefault="00A8138F" w:rsidP="00A8138F">
      <w:pPr>
        <w:pStyle w:val="TextoNormal"/>
      </w:pPr>
    </w:p>
    <w:p w14:paraId="1B825B0C" w14:textId="77777777" w:rsidR="00A8138F" w:rsidRDefault="00A8138F" w:rsidP="00A8138F">
      <w:pPr>
        <w:pStyle w:val="TextoNormal"/>
      </w:pPr>
      <w:r>
        <w:t>a) La mesa del Parlamento de Andalucía, por acuerdo de 16 de marzo de 2020, sobre medidas adoptadas durante la vigencia del estado de alarma ocasionado por la covid-19 (“Boletín Oficial del Parlamento de Andalucía” núm. 286, de 16 de marzo de 2020), estableció, entre otras medidas, (i) “adaptar la actividad parlamentaria de la Cámara, con suspensión de las sesiones previstas durante el tiempo que dure el estado de alarma, sin perjuicio de la posibilidad de modificar las medidas adoptadas en este acuerdo si las circunstancias así lo aconsejan”; y (ii) “a efectos de continuar con la labor parlamentaria indispensable, se convocará la Diputación Permanente, de conformidad con lo dispuesto en el artículo 57.3 del Reglamento de la Cámara. A estos efectos, la presidenta, de acuerdo con el artículo 29.2 del Reglamento de la Cámara, podrá dictar las resoluciones que procedan, con el parecer favorable de la mesa y de la junta de portavoces”.</w:t>
      </w:r>
    </w:p>
    <w:p w14:paraId="54741B27" w14:textId="77777777" w:rsidR="00A8138F" w:rsidRDefault="00A8138F" w:rsidP="00A8138F">
      <w:pPr>
        <w:pStyle w:val="TextoNormal"/>
      </w:pPr>
    </w:p>
    <w:p w14:paraId="07077F4A" w14:textId="77777777" w:rsidR="00A8138F" w:rsidRDefault="00A8138F" w:rsidP="00A8138F">
      <w:pPr>
        <w:pStyle w:val="TextoNormal"/>
      </w:pPr>
      <w:r>
        <w:t>b) La Presidencia del Parlamento de Andalucía, por resolución de 18 de marzo de 2020, sobre habilitación de la convocatoria de la Diputación Permanente en una situación de declaración de estado de alarma (“Boletín Oficial del Parlamento de Andalucía” núm. 288, de 18 de marzo de 2020), acordó que “[e]n la situación de excepcional gravedad que concurre en estos momentos, y mientras dure el estado de alarma, queda habilitada, por las razones contenidas en la exposición de motivos precedente, la convocatoria de la Diputación Permanente a efectos de continuar con la labor parlamentaria indispensable”.</w:t>
      </w:r>
    </w:p>
    <w:p w14:paraId="4C0435B4" w14:textId="77777777" w:rsidR="00A8138F" w:rsidRDefault="00A8138F" w:rsidP="00A8138F">
      <w:pPr>
        <w:pStyle w:val="TextoNormal"/>
      </w:pPr>
    </w:p>
    <w:p w14:paraId="5585CE85" w14:textId="77777777" w:rsidR="00A8138F" w:rsidRDefault="00A8138F" w:rsidP="00A8138F">
      <w:pPr>
        <w:pStyle w:val="TextoNormal"/>
      </w:pPr>
      <w:r>
        <w:t>c) La Presidencia del Parlamento de Andalucía, por resolución de 31 de marzo de 2020, convocó para el 2 de abril de 2020 a las 11:00 horas una sesión de la Diputación Permanente del Parlamento de Andalucía; siendo los puntos del orden del día la convalidación o derogación de cuatro decretos-leyes y la celebración de tres comparecencias de control de la actividad de gobierno.</w:t>
      </w:r>
    </w:p>
    <w:p w14:paraId="77375A86" w14:textId="77777777" w:rsidR="00A8138F" w:rsidRDefault="00A8138F" w:rsidP="00A8138F">
      <w:pPr>
        <w:pStyle w:val="TextoNormal"/>
      </w:pPr>
    </w:p>
    <w:p w14:paraId="010BF96D" w14:textId="7D129DD8" w:rsidR="00A8138F" w:rsidRDefault="00A8138F" w:rsidP="00A8138F">
      <w:pPr>
        <w:pStyle w:val="TextoNormal"/>
      </w:pPr>
      <w:r>
        <w:t>d) La Presidencia del Parlamento de Andalucía, por resolución de 29 de abril de 2020 (“Boletín Oficial del Parlamento de Andalucía” núm. 316, de 29 de abril de 2020), dejó sin efecto la resolución de 18 de marzo de 2020.</w:t>
      </w:r>
    </w:p>
    <w:p w14:paraId="4C16180E" w14:textId="77777777" w:rsidR="00A8138F" w:rsidRDefault="00A8138F" w:rsidP="00A8138F">
      <w:pPr>
        <w:pStyle w:val="TextoNormal"/>
      </w:pPr>
    </w:p>
    <w:p w14:paraId="555CBB4B" w14:textId="77777777" w:rsidR="00A8138F" w:rsidRDefault="00A8138F" w:rsidP="00A8138F">
      <w:pPr>
        <w:pStyle w:val="TextoNormal"/>
      </w:pPr>
      <w:r w:rsidRPr="00A8138F">
        <w:rPr>
          <w:rStyle w:val="NumeroAFNegritaCaracter"/>
        </w:rPr>
        <w:lastRenderedPageBreak/>
        <w:t>3</w:t>
      </w:r>
      <w:r>
        <w:t>. Los demandantes de amparo solicitan que se estime el recurso declarando que se ha vulnerado su derecho a la representación política (art. 23.2 CE), en relación con el derecho de los ciudadanos a participar en los asuntos públicos a través de sus representantes (art. 23.1 CE), para cuyo restablecimiento consideran necesaria la anulación de las resoluciones impugnadas.</w:t>
      </w:r>
    </w:p>
    <w:p w14:paraId="07464999" w14:textId="77777777" w:rsidR="00A8138F" w:rsidRDefault="00A8138F" w:rsidP="00A8138F">
      <w:pPr>
        <w:pStyle w:val="TextoNormal"/>
      </w:pPr>
    </w:p>
    <w:p w14:paraId="39F982DE" w14:textId="77777777" w:rsidR="00A8138F" w:rsidRDefault="00A8138F" w:rsidP="00A8138F">
      <w:pPr>
        <w:pStyle w:val="TextoNormal"/>
      </w:pPr>
      <w:r>
        <w:t>Los demandantes alegan que las resoluciones impugnadas tienen una incidencia en el núcleo de su función representativa, al alterarse sus facultades mediante la habilitación de la Diputación Permanente en representación del propio Parlamento, con la pérdida del derecho de participación que ello implica de los diputados que no forman parte de la Diputación Permanente y de los propios grupos parlamentarios, que se ven imposibilitados de presentar iniciativas de control al Gobierno, ser oídos sus portavoces para fijar el orden del día, y desaparece la junta de portavoces; habiéndose atribuido a la Diputación Permanente de manera ilegítima la competencia para convalidar decretos-leyes.</w:t>
      </w:r>
    </w:p>
    <w:p w14:paraId="086F8507" w14:textId="77777777" w:rsidR="00A8138F" w:rsidRDefault="00A8138F" w:rsidP="00A8138F">
      <w:pPr>
        <w:pStyle w:val="TextoNormal"/>
      </w:pPr>
    </w:p>
    <w:p w14:paraId="3E9AD64D" w14:textId="77777777" w:rsidR="00A8138F" w:rsidRDefault="00A8138F" w:rsidP="00A8138F">
      <w:pPr>
        <w:pStyle w:val="TextoNormal"/>
      </w:pPr>
      <w:r>
        <w:t>Los demandantes aducen que las resoluciones impugnadas son irrazonables y no han sido motivadas tal y como exige la doctrina constitucional (SSTC 40/2003, de 27 de febrero, FJ 6, y 78/2006, de 13 de marzo, FJ 5), no siendo suficiente la exposición de motivos de la resolución de 18 de marzo de 2020, ya que el cumplimiento de la exigencia de motivación obligaría a exteriorizar, siquiera sucintamente, el juicio de proporcionalidad entre los derechos limitados y la finalidad perseguida. Afirman que anudar a la declaración del estado de alarma una suerte de disolución temporal del Parlamento de Andalucía, que pasa a constituirse en diputación permanente, es contrario al art. 116.5 CE, que es aplicable a los parlamentos autonómicos. Añaden que tampoco esta decisión encontraría motivación en las medidas de confinamiento de la población porque para esa situación existen otros instrumentos, como el voto telemático o la delegación de voto.</w:t>
      </w:r>
    </w:p>
    <w:p w14:paraId="34A2EAB7" w14:textId="77777777" w:rsidR="00A8138F" w:rsidRDefault="00A8138F" w:rsidP="00A8138F">
      <w:pPr>
        <w:pStyle w:val="TextoNormal"/>
      </w:pPr>
    </w:p>
    <w:p w14:paraId="59D56817" w14:textId="77777777" w:rsidR="00A8138F" w:rsidRDefault="00A8138F" w:rsidP="00A8138F">
      <w:pPr>
        <w:pStyle w:val="TextoNormal"/>
      </w:pPr>
      <w:r>
        <w:t>Los demandantes, en relación con la convocatoria de la Diputación Permanente de 30 de marzo de 2020, insisten en que también carece de motivación, a pesar de que en su orden del día incluyó la convalidación de determinados decretos-leyes, que es una facultad para la que no le habilitaba la resolución de la Presidencia de 18 de marzo de 2020. Añaden que no concurre el presupuesto necesario para la convocatoria de la Diputación Permanente, que sería la imposibilidad de convocar ordinariamente el pleno de la Cámara, alternado con ello la finalidad natural de aquella, que es la de sustituir por completo al órgano, convirtiéndose de manera plena y exclusiva en el Parlamento de Andalucía.</w:t>
      </w:r>
    </w:p>
    <w:p w14:paraId="0E1F3FFB" w14:textId="77777777" w:rsidR="00A8138F" w:rsidRDefault="00A8138F" w:rsidP="00A8138F">
      <w:pPr>
        <w:pStyle w:val="TextoNormal"/>
      </w:pPr>
    </w:p>
    <w:p w14:paraId="1CA3B762" w14:textId="7D357CFA" w:rsidR="00A8138F" w:rsidRDefault="00A8138F" w:rsidP="00A8138F">
      <w:pPr>
        <w:pStyle w:val="TextoNormal"/>
      </w:pPr>
      <w:r>
        <w:t>Los demandantes de amparo justifican la especial trascendencia constitucional del recurso afirmando que por su naturaleza parlamentaria plantea unas consecuencias políticas generales, promoviéndose sin poder contar con una vía judicial previa en la que defender los derechos fundamentales de los representantes políticos; y suscita una cuestión novedosa, al no existir pronunciamientos constitucionales sobre la naturaleza propia de la Diputación Permanente, su incidencia sobre los derechos que corresponden a los miembros electos del parlamento y la posibilidad de entender de manera extensiva los supuestos en los que cabe su reunión como alternativa al pleno de la Cámara.</w:t>
      </w:r>
    </w:p>
    <w:p w14:paraId="47B464A7" w14:textId="77777777" w:rsidR="00A8138F" w:rsidRDefault="00A8138F" w:rsidP="00A8138F">
      <w:pPr>
        <w:pStyle w:val="TextoNormal"/>
      </w:pPr>
    </w:p>
    <w:p w14:paraId="2ED8428B" w14:textId="58295C2C" w:rsidR="00A8138F" w:rsidRDefault="00A8138F" w:rsidP="00A8138F">
      <w:pPr>
        <w:pStyle w:val="TextoNormal"/>
      </w:pPr>
      <w:r w:rsidRPr="00A8138F">
        <w:rPr>
          <w:rStyle w:val="NumeroAFNegritaCaracter"/>
        </w:rPr>
        <w:t>4</w:t>
      </w:r>
      <w:r>
        <w:t>. La Sección Segunda del Tribunal, por providencia de 21 de septiembre de 2020, acordó la admisión a trámite de la demanda de amparo, apreciando que concurre una especial trascendencia constitucional, porque el recurso plantea un problema o afecta a una fa</w:t>
      </w:r>
      <w:r>
        <w:lastRenderedPageBreak/>
        <w:t>ceta de un derecho fundamental sobre el que no hay doctrina de este tribunal y el asunto suscitado trasciende del caso concreto, porque pudiera tener unas consecuencias políticas generales [STC 155/2009, de 25 de junio, FJ 2 a) y g)]; dirigir atenta comunicación al Parlamento de Andalucía para la remisión de testimonio de las actuaciones y a los efectos de su personación en el presente proceso constitucional; y formar la correspondiente pieza separada de suspensión, que fue archivada por desistimiento por ATC 170/2020, de 14 de diciembre.</w:t>
      </w:r>
    </w:p>
    <w:p w14:paraId="3C58D771" w14:textId="77777777" w:rsidR="00A8138F" w:rsidRDefault="00A8138F" w:rsidP="00A8138F">
      <w:pPr>
        <w:pStyle w:val="TextoNormal"/>
      </w:pPr>
    </w:p>
    <w:p w14:paraId="41467DD9" w14:textId="41CFBED5" w:rsidR="00A8138F" w:rsidRDefault="00A8138F" w:rsidP="00A8138F">
      <w:pPr>
        <w:pStyle w:val="TextoNormal"/>
      </w:pPr>
      <w:r w:rsidRPr="00A8138F">
        <w:rPr>
          <w:rStyle w:val="NumeroAFNegritaCaracter"/>
        </w:rPr>
        <w:t>5</w:t>
      </w:r>
      <w:r>
        <w:t>. La Secretaría de Justicia de la Sala Primera del Tribunal, por diligencia de ordenación de 3 de noviembre de 2020, tuvo por recibido el testimonio de las actuaciones, por personado y parte al Parlamento de Andalucía y acordó dar vista de las actuaciones a las partes personadas y al Ministerio Fiscal, por plazo común de veinte días, a fin de que, conforme con lo previsto en el art. 52 de la Ley Orgánica del Tribunal Constitucional, pudieran presentar alegaciones.</w:t>
      </w:r>
    </w:p>
    <w:p w14:paraId="6CD67691" w14:textId="77777777" w:rsidR="00A8138F" w:rsidRDefault="00A8138F" w:rsidP="00A8138F">
      <w:pPr>
        <w:pStyle w:val="TextoNormal"/>
      </w:pPr>
    </w:p>
    <w:p w14:paraId="26E69763" w14:textId="77777777" w:rsidR="00A8138F" w:rsidRDefault="00A8138F" w:rsidP="00A8138F">
      <w:pPr>
        <w:pStyle w:val="TextoNormal"/>
      </w:pPr>
      <w:r w:rsidRPr="00A8138F">
        <w:rPr>
          <w:rStyle w:val="NumeroAFNegritaCaracter"/>
        </w:rPr>
        <w:t>6</w:t>
      </w:r>
      <w:r>
        <w:t>. El Ministerio Fiscal, mediante escrito registrado el 17 de diciembre de 2020,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exclusivamente de la resolución de 31 de marzo de 2020, al haber sido ya dejada sin efecto la de 18 de marzo de 2020 por la de 29 de abril de 2020.</w:t>
      </w:r>
    </w:p>
    <w:p w14:paraId="7EDBF39D" w14:textId="77777777" w:rsidR="00A8138F" w:rsidRDefault="00A8138F" w:rsidP="00A8138F">
      <w:pPr>
        <w:pStyle w:val="TextoNormal"/>
      </w:pPr>
    </w:p>
    <w:p w14:paraId="6DC13155" w14:textId="54B00B8E" w:rsidR="00A8138F" w:rsidRDefault="00A8138F" w:rsidP="00A8138F">
      <w:pPr>
        <w:pStyle w:val="TextoNormal"/>
      </w:pPr>
      <w:r>
        <w:t xml:space="preserve">El Ministerio Fiscal afirma que el contenido de la resolución de 18 de marzo de 2020, que habilita la convocatoria de la Diputación Permanente temporalmente durante la duración del estado de alarma, contradice tanto la regulación constitucional de los estados de alarma, excepción y sitio, prevista en el art. 116.5 CE, que establece que no podrá procederse a la disolución del Congreso mientras estén declarados algunos de estos estados, como la finalidad a la que responde la institución de la diputación permanente y su causa de ser. Pone de manifiesto que dicha resolución, “que asimila la declaración del estado de alarma y sus medidas a la disolución del Parlamento o a la interrupción de su funcionamiento durante los periodos vacacionales y conlleva la eliminación de la actuación del Parlamento al que de facto sustituye por la Diputación Permanente, aunque matice que solo para asuntos de su competencia, parte de un presupuesto equivocado, que la interrupción de la actividad parlamentaria que habilita el funcionamiento de la Diputación Permanente y permite a la institución sustituir al Parlamento está en contradicción con la norma constitucional que solo permite la actuación de la Diputación Permanente en los supuestos de estado de alarma cuando el Congreso esté disuelto o haya expirado su mandato y, aunque la norma se refiera a las Cortes Generales, es de aplicación a los demás parlamentos autonómicos”. De ello concluye que “la resolución de 18 de marzo de 2020 y su acto aplicativo serían contrarios a la norma constitucional y cercena, así, las facultades inherentes al núcleo esencial del </w:t>
      </w:r>
      <w:r w:rsidRPr="00A8138F">
        <w:rPr>
          <w:i/>
        </w:rPr>
        <w:t>ius in officium</w:t>
      </w:r>
      <w:r>
        <w:t xml:space="preserve"> de los diputados reconocidos en el art. 23.2 CE, en relación con el derecho de los ciudadanos del art. 23.1 CE”.</w:t>
      </w:r>
    </w:p>
    <w:p w14:paraId="36A35A86" w14:textId="77777777" w:rsidR="00A8138F" w:rsidRDefault="00A8138F" w:rsidP="00A8138F">
      <w:pPr>
        <w:pStyle w:val="TextoNormal"/>
      </w:pPr>
    </w:p>
    <w:p w14:paraId="3903BCF7" w14:textId="77777777" w:rsidR="00A8138F" w:rsidRDefault="00A8138F" w:rsidP="00A8138F">
      <w:pPr>
        <w:pStyle w:val="TextoNormal"/>
      </w:pPr>
      <w:r w:rsidRPr="00A8138F">
        <w:rPr>
          <w:rStyle w:val="NumeroAFNegritaCaracter"/>
        </w:rPr>
        <w:t>7</w:t>
      </w:r>
      <w:r>
        <w:t>. El Parlamento de Andalucía, por escrito registrado el 9 de diciembre de 2020, presentó alegaciones solicitando su desestimación.</w:t>
      </w:r>
    </w:p>
    <w:p w14:paraId="2C69BBFB" w14:textId="77777777" w:rsidR="00A8138F" w:rsidRDefault="00A8138F" w:rsidP="00A8138F">
      <w:pPr>
        <w:pStyle w:val="TextoNormal"/>
      </w:pPr>
    </w:p>
    <w:p w14:paraId="57A7C120" w14:textId="77777777" w:rsidR="00A8138F" w:rsidRDefault="00A8138F" w:rsidP="00A8138F">
      <w:pPr>
        <w:pStyle w:val="TextoNormal"/>
      </w:pPr>
      <w:r>
        <w:lastRenderedPageBreak/>
        <w:t>El Parlamento de Andalucía contextualiza las resoluciones impugnadas en la fase más aguda de la primera ola de la pandemia de la covid, entre mitad de marzo y final de abril de 2020, lo que llevó a la suspensión de sesiones del Parlamento de Andalucía mediante acuerdo de su mesa de 16 de marzo de 2020 y justifica que, al igual que hicieron otras cámaras autonómicas, se habilitara la Diputación Permanente para hacer posible la labor parlamentaria imprescindible y más urgente. A esos efectos, ante la laguna reglamentaria, se optó por analogía habilitar a la Diputación Permanente, en aplicación del principio general de continuidad de la institución parlamentaria, en tanto que órgano competente en casos de vacancia o cese de la actividad parlamentaria, y, al tener encomendada la función de velar por los poderes de las cámaras, la asunción de las funciones de control de gobierno y convalidación de los decretos leyes. De ese modo, aduce que la crisis sanitaria es una circunstancia justificativa de las resoluciones impugnadas que están debidamente motivadas y respetan el principio de proporcionalidad.</w:t>
      </w:r>
    </w:p>
    <w:p w14:paraId="3B4A349E" w14:textId="77777777" w:rsidR="00A8138F" w:rsidRDefault="00A8138F" w:rsidP="00A8138F">
      <w:pPr>
        <w:pStyle w:val="TextoNormal"/>
      </w:pPr>
    </w:p>
    <w:p w14:paraId="4419C00F" w14:textId="77777777" w:rsidR="00A8138F" w:rsidRDefault="00A8138F" w:rsidP="00A8138F">
      <w:pPr>
        <w:pStyle w:val="TextoNormal"/>
      </w:pPr>
      <w:r>
        <w:t>El Parlamento de Andalucía argumenta que, al haber sido dejada sin efecto la resolución de 18 de marzo de 2020 por la resolución de 29 de abril de 2020, su impugnación ha perdido ya objeto. A ello añade que esta resolución tiene su fundamento en el art. 29.2 del Reglamento del Parlamento de Andalucía que permite a la Presidencia su interpretación o suplirlo en caso de omisión, que es lo que sucedió en este caso en que el Reglamento del Parlamento de Andalucía no contempla como actuar ante la eventualidad de que su funcionamiento se viera suspendido por una crisis sanitaria. También señala que su impugnación es preventiva, ya que no suponía la concreta convocatoria de ninguna reunión de la Diputación Permanente, y que esta resolución no incide en el derecho invocado, ya que se ha limitado a establecer una regulación con alcance general para todos los diputados lo que no permite apreciar un trato diferenciado entre ellos. Además, destaca que el art. 116.5 CE, ni es objeto del recurso de amparo, ni resulta aplicable a las cámaras autonómicas.</w:t>
      </w:r>
    </w:p>
    <w:p w14:paraId="672DC9F8" w14:textId="77777777" w:rsidR="00A8138F" w:rsidRDefault="00A8138F" w:rsidP="00A8138F">
      <w:pPr>
        <w:pStyle w:val="TextoNormal"/>
      </w:pPr>
    </w:p>
    <w:p w14:paraId="7E167759" w14:textId="019AB6B1" w:rsidR="00A8138F" w:rsidRDefault="00A8138F" w:rsidP="00A8138F">
      <w:pPr>
        <w:pStyle w:val="TextoNormal"/>
      </w:pPr>
      <w:r>
        <w:t>El Parlamento de Andalucía, en relación con la resolución de 31 de marzo de 2020, afirma que tiene sustento en la citada resolución de 18 de marzo de 2020, destacando que fue una práctica común en otras cámaras autonómicas y que no ha vulnerado ninguna facultad de participación política de los recurrentes, en tanto que el grupo parlamentario pudo expresar su parecer en relación con la convalidación o no de los decretos-leyes y ejercer su derecho al voto en proporción a su representación parlamentaria.</w:t>
      </w:r>
    </w:p>
    <w:p w14:paraId="10DF51A6" w14:textId="77777777" w:rsidR="00A8138F" w:rsidRDefault="00A8138F" w:rsidP="00A8138F">
      <w:pPr>
        <w:pStyle w:val="TextoNormal"/>
      </w:pPr>
    </w:p>
    <w:p w14:paraId="1A0FEB86" w14:textId="6FCB2E6C" w:rsidR="00A8138F" w:rsidRDefault="00A8138F" w:rsidP="00A8138F">
      <w:pPr>
        <w:pStyle w:val="TextoNormal"/>
      </w:pPr>
      <w:r w:rsidRPr="00A8138F">
        <w:rPr>
          <w:rStyle w:val="NumeroAFNegritaCaracter"/>
        </w:rPr>
        <w:t>8</w:t>
      </w:r>
      <w:r>
        <w:t>. Los demandantes de amparo, mediante escrito de 30 de noviembre de 2020, han presentado alegaciones ratificándose en lo expuesto en la demanda de amparo.</w:t>
      </w:r>
    </w:p>
    <w:p w14:paraId="5FC4F2BF" w14:textId="77777777" w:rsidR="00A8138F" w:rsidRDefault="00A8138F" w:rsidP="00A8138F">
      <w:pPr>
        <w:pStyle w:val="TextoNormal"/>
      </w:pPr>
    </w:p>
    <w:p w14:paraId="4C286309" w14:textId="446C3F2A" w:rsidR="00A8138F" w:rsidRDefault="00A8138F" w:rsidP="00A8138F">
      <w:pPr>
        <w:pStyle w:val="TextoNormal"/>
      </w:pPr>
      <w:r w:rsidRPr="00A8138F">
        <w:rPr>
          <w:rStyle w:val="NumeroAFNegritaCaracter"/>
        </w:rPr>
        <w:t>9</w:t>
      </w:r>
      <w:r>
        <w:t>. Por providencia de 6 de marzo de 2025 se señaló para deliberación y votación de la presente sentencia el día 10 del mismo mes y año.</w:t>
      </w:r>
    </w:p>
    <w:p w14:paraId="6C068422" w14:textId="77777777" w:rsidR="00A8138F" w:rsidRDefault="00A8138F" w:rsidP="00A8138F">
      <w:pPr>
        <w:pStyle w:val="TextoNormal"/>
      </w:pPr>
    </w:p>
    <w:p w14:paraId="75333A45" w14:textId="77777777" w:rsidR="00A8138F" w:rsidRDefault="00A8138F" w:rsidP="00A8138F">
      <w:pPr>
        <w:pStyle w:val="TextoNormalNegritaCentrado"/>
        <w:keepNext/>
      </w:pPr>
      <w:r>
        <w:t>II. Fundamentos jurídicos</w:t>
      </w:r>
    </w:p>
    <w:p w14:paraId="39A05A52" w14:textId="57B5D182" w:rsidR="00A8138F" w:rsidRDefault="00A8138F" w:rsidP="00A8138F">
      <w:pPr>
        <w:pStyle w:val="TextoNormalNegritaCentrado"/>
        <w:keepNext/>
      </w:pPr>
    </w:p>
    <w:p w14:paraId="2F2AEA95" w14:textId="77777777" w:rsidR="00A8138F" w:rsidRDefault="00A8138F" w:rsidP="00A8138F">
      <w:pPr>
        <w:pStyle w:val="TextoNormal"/>
      </w:pPr>
      <w:r w:rsidRPr="00A8138F">
        <w:rPr>
          <w:rStyle w:val="TextoNormalNegritaCaracter"/>
        </w:rPr>
        <w:t xml:space="preserve">Único. </w:t>
      </w:r>
      <w:r w:rsidRPr="00A8138F">
        <w:rPr>
          <w:i/>
        </w:rPr>
        <w:t>Aplicación de la STC 40/2025, de 11 de febrero</w:t>
      </w:r>
    </w:p>
    <w:p w14:paraId="7A5ACE72" w14:textId="77777777" w:rsidR="00A8138F" w:rsidRDefault="00A8138F" w:rsidP="00A8138F">
      <w:pPr>
        <w:pStyle w:val="TextoNormal"/>
      </w:pPr>
    </w:p>
    <w:p w14:paraId="4AB27585" w14:textId="77777777" w:rsidR="00A8138F" w:rsidRDefault="00A8138F" w:rsidP="00A8138F">
      <w:pPr>
        <w:pStyle w:val="TextoNormal"/>
      </w:pPr>
      <w:r>
        <w:t xml:space="preserve">El objeto de este recurso es determinar si vulnera el derecho a la representación política (art. 23.2 CE) de los demandantes de amparo las resoluciones de la Presidencia del Parlamento de Andalucía de 18 y 31 de marzo de 2020 de habilitar la Diputación Permanente </w:t>
      </w:r>
      <w:r>
        <w:lastRenderedPageBreak/>
        <w:t>durante la declaración del estado de alarma, derivado de la situación sanitaria provocada por la covid para garantizar el funcionamiento del Parlamento de Andalucía y convocarla para decidir sobre la convalidación o no de diversos decretos-leyes y la celebración de comparecencias de control de la acción de gobierno, respectivamente.</w:t>
      </w:r>
    </w:p>
    <w:p w14:paraId="066F2698" w14:textId="77777777" w:rsidR="00A8138F" w:rsidRDefault="00A8138F" w:rsidP="00A8138F">
      <w:pPr>
        <w:pStyle w:val="TextoNormal"/>
      </w:pPr>
    </w:p>
    <w:p w14:paraId="469CE87F" w14:textId="77777777" w:rsidR="00A8138F" w:rsidRDefault="00A8138F" w:rsidP="00A8138F">
      <w:pPr>
        <w:pStyle w:val="TextoNormal"/>
      </w:pPr>
      <w:r>
        <w:t>La circunstancia de que la resolución de 18 de marzo de 2020, sobre habilitación de la convocatoria de la Diputación Permanente en una situación de declaración de estado de alarma, haya sido dejada sin efecto por la resolución de 29 de abril de 2020 no implica la pérdida sobrevenida de objeto alegada por el Parlamento de Andalucía. En el contexto del presente procedimiento de amparo, su impugnación se vincula no solo en su contenido general y abstracto, sino también como causal y precedente necesario del acto concreto aplicativo que supone la resolución de 31 de marzo de 2020, por la que se convoca para el 2 de abril de 2020 la Diputación Permanente del Parlamento de Andalucía, en cuyo contexto se incluyó el debate y votación sobre la convalidación de determinados decretos-leyes y diversas comparecencias de control de la acción de gobierno.</w:t>
      </w:r>
    </w:p>
    <w:p w14:paraId="11AFCD1B" w14:textId="77777777" w:rsidR="00A8138F" w:rsidRDefault="00A8138F" w:rsidP="00A8138F">
      <w:pPr>
        <w:pStyle w:val="TextoNormal"/>
      </w:pPr>
    </w:p>
    <w:p w14:paraId="46E6CBAF" w14:textId="77777777" w:rsidR="00A8138F" w:rsidRDefault="00A8138F" w:rsidP="00A8138F">
      <w:pPr>
        <w:pStyle w:val="TextoNormal"/>
      </w:pPr>
      <w:r>
        <w:t>La constitucionalidad de las resoluciones impugnadas ha sido objeto de análisis, desde la perspectiva del derecho de representación política (art. 23.2 CE), en el contexto del recurso de inconstitucionalidad núm. 3887-2020, en el que fueron impugnados el Decreto-ley 2/2020, de 9 de marzo, de mejora y simplificación de la regulación para el fomento de la actividad productiva de Andalucía, y el acuerdo de su convalidación por la Diputación Permanente del Parlamento de Andalucía de 2 de abril de 2020, con fundamento, respecto de este último, en que la Diputación Permanente no estaba legítimamente llamada a ejercer esta función autorizante en el periodo temporal habilitado por la resolución de 18 de marzo de 2020, vinculado a la situación de declaración de estado de alarma por la crisis sanitaria de la covid.</w:t>
      </w:r>
    </w:p>
    <w:p w14:paraId="4840B78F" w14:textId="77777777" w:rsidR="00A8138F" w:rsidRDefault="00A8138F" w:rsidP="00A8138F">
      <w:pPr>
        <w:pStyle w:val="TextoNormal"/>
      </w:pPr>
    </w:p>
    <w:p w14:paraId="7ED25A84" w14:textId="77777777" w:rsidR="00A8138F" w:rsidRDefault="00A8138F" w:rsidP="00A8138F">
      <w:pPr>
        <w:pStyle w:val="TextoNormal"/>
      </w:pPr>
      <w:r>
        <w:t>La STC 40/2025, de 11 de febrero, por la que se resolvió el citado recurso de inconstitucionalidad, ya estableció que el acuerdo de convalidación de la Diputación Permanente, que traía causa de las resoluciones de la Presidencia del Parlamento de Andalucía de 18 de marzo de 2020, sobre habilitación de la convocatoria de la Diputación Permanente en una situación de declaración de estado de alarma, y de la resolución de 31 de marzo de 2020, por la que se convoca para el 2 de abril de 2020 la Diputación Permanente del Parlamento de Andalucía, no implica una vulneración del art. 23.2 CE. A esos efectos argumenta que: (i) La Diputación Permanente tenía y tiene expresamente atribuida la facultad de convalidar decretos-leyes mediante la resolución de la Presidencia del Parlamento de Andalucía de 5 de junio de 2008, sobre control por el Parlamento de los decretos-leyes dictados por el Consejo de Gobierno; y (ii) la interpretación que habilitó la convocatoria de la Diputación Permanente, en ausencia de una base normativa en el Reglamento de la Cámara, podría haberse considerado lesiva del art. 23.2 CE en condiciones normales; sin embargo, en el contexto de la crisis sanitaria de la covid-19 y las extraordinarias circunstancias que ello implicaba de impedir objetivamente mantener incólume la actividad de la Cámara, esa interpretación extensiva del reglamento y el recurso a una norma supletoria como la que suponía la resolución de 18 de marzo de 2020, al tener como fin garantizar en lo posible la continuidad de la actividad parlamentaria, no puede considerarse que haya resultado lesionado el art. 23.2 CE (FJ 3).</w:t>
      </w:r>
    </w:p>
    <w:p w14:paraId="58322EB1" w14:textId="77777777" w:rsidR="00A8138F" w:rsidRDefault="00A8138F" w:rsidP="00A8138F">
      <w:pPr>
        <w:pStyle w:val="TextoNormal"/>
      </w:pPr>
    </w:p>
    <w:p w14:paraId="7C976AFB" w14:textId="6570AE22" w:rsidR="00A8138F" w:rsidRDefault="00A8138F" w:rsidP="00A8138F">
      <w:pPr>
        <w:pStyle w:val="TextoNormal"/>
      </w:pPr>
      <w:r>
        <w:t>En aplicación de la citada jurisprudencia, que el tribunal considera que resulta aplicable no solo a la función de la Diputación Permanente autorizante para la convalidación de de</w:t>
      </w:r>
      <w:r>
        <w:lastRenderedPageBreak/>
        <w:t>cretos-leyes sino también, por sus propios fundamentos, a la de realización de comparecencias de control de la acción de gobierno, debe concluirse que las resoluciones parlamentarias impugnadas no han vulnerado el derecho de representación política de los demandantes de amparo.</w:t>
      </w:r>
    </w:p>
    <w:p w14:paraId="4314AA3B" w14:textId="77777777" w:rsidR="00A8138F" w:rsidRDefault="00A8138F" w:rsidP="00A8138F">
      <w:pPr>
        <w:pStyle w:val="TextoNormal"/>
      </w:pPr>
    </w:p>
    <w:p w14:paraId="5AE2C934" w14:textId="77777777" w:rsidR="00A8138F" w:rsidRDefault="00A8138F" w:rsidP="00A8138F">
      <w:pPr>
        <w:pStyle w:val="TextoNormalCentrado"/>
        <w:keepNext/>
      </w:pPr>
      <w:r>
        <w:t>FALLO</w:t>
      </w:r>
    </w:p>
    <w:p w14:paraId="6CD1D7E9" w14:textId="4954F25E" w:rsidR="00A8138F" w:rsidRDefault="00A8138F" w:rsidP="00A8138F">
      <w:pPr>
        <w:pStyle w:val="TextoNormalCentrado"/>
        <w:keepNext/>
      </w:pPr>
    </w:p>
    <w:p w14:paraId="42A09E98" w14:textId="1C9B9207"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el grupo parlamentario Adelante Andalucía en el Parlamento de Andalucía y sus diputadas y diputados, doña Ángela Aguilera Clavijo, don José Ignacio García Sánchez, doña Inmaculada Nieto Castro, don Guzmán Ahumada Gavira, doña Carmen Barranco García, doña Luzmarina Dorado Balmón, don Jesús Fernández Martín, doña María Vanessa García Casaucau, doña María Gracia González Fernández, doña María Del Carmen García Bueno, don José Ignacio Molina Arroyo, doña María Isabel Mora Grande, doña Ana María Naranjo Sánchez, don Ismael Sánchez Castillo, doña Ana Villaverde Valenciano, don Diego Crespo García y doña María Teresa Rodríguez-Rubio Vázquez.</w:t>
      </w:r>
    </w:p>
    <w:p w14:paraId="3D4A3C23" w14:textId="77777777" w:rsidR="00A8138F" w:rsidRDefault="00A8138F" w:rsidP="00A8138F">
      <w:pPr>
        <w:pStyle w:val="TextoNormal"/>
      </w:pPr>
    </w:p>
    <w:p w14:paraId="61498397" w14:textId="77777777" w:rsidR="00A8138F" w:rsidRDefault="00A8138F" w:rsidP="00A8138F">
      <w:pPr>
        <w:pStyle w:val="TextoNormal"/>
      </w:pPr>
      <w:r>
        <w:t>Publíquese esta sentencia en el “Boletín Oficial del Estado”.</w:t>
      </w:r>
    </w:p>
    <w:p w14:paraId="210E65E8" w14:textId="77777777" w:rsidR="00A8138F" w:rsidRDefault="00A8138F" w:rsidP="00A8138F">
      <w:pPr>
        <w:pStyle w:val="TextoNormal"/>
      </w:pPr>
      <w:r>
        <w:t>Dada en Madrid, a diez de marzo de dos mil veinticinco.</w:t>
      </w:r>
    </w:p>
    <w:p w14:paraId="51EB2C7B" w14:textId="5C4A14D7" w:rsidR="00A8138F" w:rsidRDefault="00A8138F" w:rsidP="00A8138F">
      <w:pPr>
        <w:pStyle w:val="ParrafoNormal"/>
      </w:pPr>
    </w:p>
    <w:p w14:paraId="615257AB" w14:textId="77777777" w:rsidR="00A8138F" w:rsidRDefault="00A8138F" w:rsidP="00A8138F">
      <w:pPr>
        <w:pStyle w:val="TextoNormalNegritaCentrado"/>
        <w:keepNext/>
      </w:pPr>
      <w:r>
        <w:t>Voto particular que formula el magistrado don Juan Carlos Campo Moreno a la sentencia dictada en el recurso de amparo núm. 2049-2020</w:t>
      </w:r>
    </w:p>
    <w:p w14:paraId="4CB008F0" w14:textId="1853C8FD" w:rsidR="00A8138F" w:rsidRDefault="00A8138F" w:rsidP="00A8138F">
      <w:pPr>
        <w:pStyle w:val="TextoNormalNegritaCentrado"/>
        <w:keepNext/>
      </w:pPr>
    </w:p>
    <w:p w14:paraId="45754479" w14:textId="77777777" w:rsidR="00A8138F" w:rsidRDefault="00A8138F" w:rsidP="00A8138F">
      <w:pPr>
        <w:pStyle w:val="TextoNormal"/>
      </w:pPr>
      <w:r>
        <w:t>En ejercicio de la facultad que me confiere el art. 90.2 de la Ley Orgánica del Tribunal Constitucional, y con total respeto a la opinión de la mayoría reflejada en la sentencia, formulo el presente voto.</w:t>
      </w:r>
    </w:p>
    <w:p w14:paraId="6596468F" w14:textId="77777777" w:rsidR="00A8138F" w:rsidRDefault="00A8138F" w:rsidP="00A8138F">
      <w:pPr>
        <w:pStyle w:val="TextoNormal"/>
      </w:pPr>
    </w:p>
    <w:p w14:paraId="3648453A" w14:textId="77777777" w:rsidR="00A8138F" w:rsidRDefault="00A8138F" w:rsidP="00A8138F">
      <w:pPr>
        <w:pStyle w:val="TextoNormal"/>
      </w:pPr>
      <w:r>
        <w:t>En la medida en que la ponencia es de remisión a la sentencia que resolvió el recurso de inconstitucionalidad núm. 3887-2020, este voto remite igualmente, en su integridad, al que se formuló a la STC 40/2025, de 11 de febrero.</w:t>
      </w:r>
    </w:p>
    <w:p w14:paraId="1A254032" w14:textId="77777777" w:rsidR="00A8138F" w:rsidRDefault="00A8138F" w:rsidP="00A8138F">
      <w:pPr>
        <w:pStyle w:val="TextoNormal"/>
      </w:pPr>
    </w:p>
    <w:p w14:paraId="25970F8F" w14:textId="221C8E6A" w:rsidR="00A8138F" w:rsidRDefault="00A8138F" w:rsidP="00A8138F">
      <w:pPr>
        <w:pStyle w:val="TextoNormal"/>
      </w:pPr>
      <w:r>
        <w:t>Madrid, a diez de marzo de dos mil veinticinco.</w:t>
      </w:r>
    </w:p>
    <w:p w14:paraId="050AB0A8" w14:textId="0627E1AB" w:rsidR="00A8138F" w:rsidRDefault="00A8138F">
      <w:pPr>
        <w:spacing w:after="160" w:line="278" w:lineRule="auto"/>
        <w:rPr>
          <w:rFonts w:ascii="Times New Roman" w:eastAsia="Times New Roman" w:hAnsi="Times New Roman" w:cs="Times New Roman"/>
          <w:sz w:val="24"/>
          <w:szCs w:val="24"/>
          <w:lang w:eastAsia="es-ES"/>
        </w:rPr>
      </w:pPr>
      <w:r>
        <w:br w:type="page"/>
      </w:r>
    </w:p>
    <w:p w14:paraId="76439C92" w14:textId="77777777" w:rsidR="00A8138F" w:rsidRDefault="00A8138F" w:rsidP="00A8138F">
      <w:pPr>
        <w:pStyle w:val="TtuloResolucin"/>
      </w:pPr>
      <w:bookmarkStart w:id="55" w:name="SENTENCIA_2025_53"/>
      <w:r>
        <w:lastRenderedPageBreak/>
        <w:t>SENTENCIA 53/2025, de 10 de marzo de 2025</w:t>
      </w:r>
    </w:p>
    <w:bookmarkEnd w:id="55"/>
    <w:p w14:paraId="5C921576" w14:textId="77777777" w:rsidR="00A8138F" w:rsidRDefault="00A8138F" w:rsidP="00A8138F">
      <w:pPr>
        <w:pStyle w:val="TtuloResolucin"/>
      </w:pPr>
      <w:r>
        <w:t>Sala Primera</w:t>
      </w:r>
    </w:p>
    <w:p w14:paraId="334759AA" w14:textId="77777777" w:rsidR="00A8138F" w:rsidRDefault="00A8138F" w:rsidP="00A8138F">
      <w:pPr>
        <w:pStyle w:val="TtuloBOE"/>
      </w:pPr>
      <w:r>
        <w:t>(BOE núm. 88, de 11 de abril de 2025)</w:t>
      </w:r>
    </w:p>
    <w:p w14:paraId="7897E47C" w14:textId="77777777" w:rsidR="00A8138F" w:rsidRDefault="00A8138F" w:rsidP="00A8138F">
      <w:pPr>
        <w:pStyle w:val="TextoNormalCentrado"/>
      </w:pPr>
      <w:r>
        <w:t>ECLI:ES:TC:2025:53</w:t>
      </w:r>
    </w:p>
    <w:p w14:paraId="0052394A" w14:textId="6D6C8E31" w:rsidR="00A8138F" w:rsidRDefault="00A8138F" w:rsidP="00A8138F">
      <w:pPr>
        <w:pStyle w:val="TextoNormalCentrado"/>
      </w:pPr>
    </w:p>
    <w:p w14:paraId="1DE31857" w14:textId="77777777" w:rsidR="00A8138F" w:rsidRDefault="00A8138F" w:rsidP="00A8138F">
      <w:pPr>
        <w:pStyle w:val="SntesisDescriptiva"/>
      </w:pPr>
      <w:r>
        <w:t>Recurso de amparo 3018-2020. Promovido por don Carmelo Gómez Domínguez respecto de las resoluciones de la presidencia de la Cámara habilitando y convocando su diputación permanente durante el estado de alarma.</w:t>
      </w:r>
    </w:p>
    <w:p w14:paraId="2B7A9D59" w14:textId="19F317C1" w:rsidR="00A8138F" w:rsidRDefault="00A8138F" w:rsidP="00A8138F">
      <w:pPr>
        <w:pStyle w:val="SntesisDescriptiva"/>
      </w:pPr>
    </w:p>
    <w:p w14:paraId="3AB27F44" w14:textId="77777777" w:rsidR="00A8138F" w:rsidRDefault="00A8138F" w:rsidP="00A8138F">
      <w:pPr>
        <w:pStyle w:val="SntesisAnaltica"/>
      </w:pPr>
      <w:r>
        <w:t>Supuesta vulneración del derecho al ejercicio de las funciones representativas: interpretación extensiva de las facultades de la diputación permanente que responde a la finalidad de garantizar en lo posible la continuidad de la actividad parlamentaria (STC 40/2025). Voto particular.</w:t>
      </w:r>
    </w:p>
    <w:p w14:paraId="6743A277" w14:textId="66392E4F" w:rsidR="00A8138F" w:rsidRDefault="00A8138F" w:rsidP="00A8138F">
      <w:pPr>
        <w:pStyle w:val="SntesisAnaltica"/>
      </w:pPr>
    </w:p>
    <w:p w14:paraId="64D40B13" w14:textId="63593CEC" w:rsidR="00A8138F" w:rsidRDefault="00A8138F" w:rsidP="00A8138F">
      <w:pPr>
        <w:pStyle w:val="Extracto"/>
      </w:pPr>
      <w:r>
        <w:t>1.</w:t>
      </w:r>
      <w:r>
        <w:tab/>
        <w:t>En el contexto de la crisis sanitaria de la covid-19, conducente a la declaración de estado de alarma, la convocatoria de la Diputación Permanente, en ausencia de una base normativa en el Reglamento de la Cámara, al tener como fin garantizar en lo posible la continuidad de la actividad parlamentaria, no puede considerarse que lesione el art. 23.2 CE. Y ello resulta aplicable no sólo a la función de la Diputación Permanente autorizante para la convalidación de decretos-leyes, sino también a la de realización de comparecencias de control de la acción de gobierno (STC 40/2025) [FJ Único].</w:t>
      </w:r>
    </w:p>
    <w:p w14:paraId="4A5AEE01" w14:textId="77777777" w:rsidR="00A8138F" w:rsidRDefault="00A8138F" w:rsidP="00A8138F">
      <w:pPr>
        <w:pStyle w:val="Extracto"/>
      </w:pPr>
    </w:p>
    <w:p w14:paraId="737AE874" w14:textId="77777777" w:rsidR="00A8138F" w:rsidRDefault="00A8138F" w:rsidP="00A8138F">
      <w:pPr>
        <w:pStyle w:val="Extracto"/>
      </w:pPr>
    </w:p>
    <w:p w14:paraId="66D33939"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782D0713" w14:textId="1C5793F1" w:rsidR="00A8138F" w:rsidRDefault="00A8138F" w:rsidP="00A8138F">
      <w:pPr>
        <w:pStyle w:val="TextoNormal"/>
      </w:pPr>
    </w:p>
    <w:p w14:paraId="34E83367" w14:textId="77777777" w:rsidR="00A8138F" w:rsidRDefault="00A8138F" w:rsidP="00A8138F">
      <w:pPr>
        <w:pStyle w:val="TextoNormalCentrado"/>
        <w:keepNext/>
      </w:pPr>
      <w:r>
        <w:t>EN NOMBRE DEL REY</w:t>
      </w:r>
    </w:p>
    <w:p w14:paraId="24BD5352" w14:textId="0E3225FE" w:rsidR="00A8138F" w:rsidRDefault="00A8138F" w:rsidP="00A8138F">
      <w:pPr>
        <w:pStyle w:val="TextoNormalCentrado"/>
        <w:keepNext/>
      </w:pPr>
    </w:p>
    <w:p w14:paraId="29644598" w14:textId="77777777" w:rsidR="00A8138F" w:rsidRDefault="00A8138F" w:rsidP="00A8138F">
      <w:pPr>
        <w:pStyle w:val="TextoNormalCentrado"/>
        <w:keepNext/>
      </w:pPr>
    </w:p>
    <w:p w14:paraId="00CDC8D1" w14:textId="77777777" w:rsidR="00A8138F" w:rsidRDefault="00A8138F" w:rsidP="00A8138F">
      <w:pPr>
        <w:pStyle w:val="TextoNormal"/>
      </w:pPr>
      <w:r>
        <w:t>la siguiente</w:t>
      </w:r>
    </w:p>
    <w:p w14:paraId="41A6AC37" w14:textId="3229988B" w:rsidR="00A8138F" w:rsidRDefault="00A8138F" w:rsidP="00A8138F">
      <w:pPr>
        <w:pStyle w:val="TextoNormal"/>
      </w:pPr>
    </w:p>
    <w:p w14:paraId="4F07394B" w14:textId="77777777" w:rsidR="00A8138F" w:rsidRDefault="00A8138F" w:rsidP="00A8138F">
      <w:pPr>
        <w:pStyle w:val="TextoNormalCentrado"/>
        <w:keepNext/>
      </w:pPr>
      <w:r>
        <w:t>SENTENCIA</w:t>
      </w:r>
    </w:p>
    <w:p w14:paraId="740C097A" w14:textId="0CD47E8A" w:rsidR="00A8138F" w:rsidRDefault="00A8138F" w:rsidP="00A8138F">
      <w:pPr>
        <w:pStyle w:val="TextoNormalCentrado"/>
        <w:keepNext/>
      </w:pPr>
    </w:p>
    <w:p w14:paraId="4D227606" w14:textId="77777777" w:rsidR="00A8138F" w:rsidRDefault="00A8138F" w:rsidP="00A8138F">
      <w:pPr>
        <w:pStyle w:val="TextoNormal"/>
      </w:pPr>
      <w:r>
        <w:t>En el recurso de amparo núm. 3018-2020, promovido por don Carmelo Gómez Domínguez, contra las resoluciones de la Presidencia del Parlamento de Andalucía de 18 de marzo de 2020, sobre habilitación de la convocatoria de la Diputación Permanente en una situación de declaración de estado de alarma; de 31 de marzo de 2020, por la que se convoca para el 2 de abril de 2020 la Diputación Permanente del Parlamento de Andalucía y los acuerdos adoptados por la Diputación Permanente en sus sesiones de 25 de marzo, 2, 16 y 24 de abril de 2020. Ha comparecido el Parlamento de Andalucía. Ha intervenido el Ministerio Fiscal. Ha sido ponente la magistrada doña María Luisa Segoviano Astaburuaga.</w:t>
      </w:r>
    </w:p>
    <w:p w14:paraId="03E1F425" w14:textId="757964F1" w:rsidR="00A8138F" w:rsidRDefault="00A8138F" w:rsidP="00A8138F">
      <w:pPr>
        <w:pStyle w:val="TextoNormal"/>
      </w:pPr>
    </w:p>
    <w:p w14:paraId="7D80BCE5" w14:textId="77777777" w:rsidR="00A8138F" w:rsidRDefault="00A8138F" w:rsidP="00A8138F">
      <w:pPr>
        <w:pStyle w:val="TextoNormalNegritaCentrado"/>
        <w:keepNext/>
      </w:pPr>
      <w:r>
        <w:lastRenderedPageBreak/>
        <w:t>I. Antecedentes</w:t>
      </w:r>
    </w:p>
    <w:p w14:paraId="1FA7C84D" w14:textId="02BBE65A" w:rsidR="00A8138F" w:rsidRDefault="00A8138F" w:rsidP="00A8138F">
      <w:pPr>
        <w:pStyle w:val="TextoNormalNegritaCentrado"/>
        <w:keepNext/>
      </w:pPr>
    </w:p>
    <w:p w14:paraId="2C35F3C8" w14:textId="2B49BE12" w:rsidR="00A8138F" w:rsidRDefault="00A8138F" w:rsidP="00A8138F">
      <w:pPr>
        <w:pStyle w:val="TextoNormal"/>
      </w:pPr>
      <w:r w:rsidRPr="00A8138F">
        <w:rPr>
          <w:rStyle w:val="NumeroAFNegritaCaracter"/>
        </w:rPr>
        <w:t>1</w:t>
      </w:r>
      <w:r>
        <w:t>. Don Carmelo Gómez Domínguez, representado por el procurador de los tribunales don Luciano Bosch Nadal, sustituido posteriormente por doña Patricia Rosch Iglesias, bajo la dirección del letrado don José María Calero Martínez, interpuso recurso de amparo contra las decisiones parlamentarias a las que se hace referencia en el encabezamiento de esta sentencia, mediante escrito registrado en el Tribunal el 13 de julio de 2020.</w:t>
      </w:r>
    </w:p>
    <w:p w14:paraId="6CC6FB27" w14:textId="77777777" w:rsidR="00A8138F" w:rsidRDefault="00A8138F" w:rsidP="00A8138F">
      <w:pPr>
        <w:pStyle w:val="TextoNormal"/>
      </w:pPr>
    </w:p>
    <w:p w14:paraId="04EB2ACB" w14:textId="77777777" w:rsidR="00A8138F" w:rsidRDefault="00A8138F" w:rsidP="00A8138F">
      <w:pPr>
        <w:pStyle w:val="TextoNormal"/>
      </w:pPr>
      <w:r w:rsidRPr="00A8138F">
        <w:rPr>
          <w:rStyle w:val="NumeroAFNegritaCaracter"/>
        </w:rPr>
        <w:t>2</w:t>
      </w:r>
      <w:r>
        <w:t>. El recurso tiene su origen en los siguientes antecedentes:</w:t>
      </w:r>
    </w:p>
    <w:p w14:paraId="2FD1C6F6" w14:textId="77777777" w:rsidR="00A8138F" w:rsidRDefault="00A8138F" w:rsidP="00A8138F">
      <w:pPr>
        <w:pStyle w:val="TextoNormal"/>
      </w:pPr>
    </w:p>
    <w:p w14:paraId="7EC7C655" w14:textId="77777777" w:rsidR="00A8138F" w:rsidRDefault="00A8138F" w:rsidP="00A8138F">
      <w:pPr>
        <w:pStyle w:val="TextoNormal"/>
      </w:pPr>
      <w:r>
        <w:t>a) La mesa del Parlamento de Andalucía, por acuerdo de 16 de marzo de 2020, sobre medidas adoptadas durante la vigencia del estado de alarma ocasionado por la covid-19 (“Boletín Oficial del Parlamento de Andalucía” núm. 286, de 16 de marzo de 2020), estableció, entre otras medidas, (i) “adaptar la actividad parlamentaria de la Cámara, con suspensión de las sesiones previstas durante el tiempo que dure el estado de alarma, sin perjuicio de la posibilidad de modificar las medidas adoptadas en este acuerdo si las circunstancias así lo aconsejan”; y (ii) “a efectos de continuar con la labor parlamentaria indispensable, se convocará la Diputación Permanente, de conformidad con lo dispuesto en el artículo 57.3 del Reglamento de la Cámara. A estos efectos, la presidenta, de acuerdo con el artículo 29.2 del Reglamento de la Cámara, podrá dictar las resoluciones que procedan, con el parecer favorable de la mesa y de la junta de portavoces”.</w:t>
      </w:r>
    </w:p>
    <w:p w14:paraId="069460FC" w14:textId="77777777" w:rsidR="00A8138F" w:rsidRDefault="00A8138F" w:rsidP="00A8138F">
      <w:pPr>
        <w:pStyle w:val="TextoNormal"/>
      </w:pPr>
    </w:p>
    <w:p w14:paraId="1B1E838A" w14:textId="77777777" w:rsidR="00A8138F" w:rsidRDefault="00A8138F" w:rsidP="00A8138F">
      <w:pPr>
        <w:pStyle w:val="TextoNormal"/>
      </w:pPr>
      <w:r>
        <w:t>b) La Presidencia del Parlamento de Andalucía, por resolución de 18 de marzo de 2020, sobre habilitación de la convocatoria de la Diputación Permanente en una situación de declaración de estado de alarma (“Boletín Oficial del Parlamento de Andalucía” núm. 288, de 18 de marzo de 2020), acordó que “[e]n la situación de excepcional gravedad que concurre en estos momentos, y mientras dure el estado de alarma, queda habilitada, por las razones contenidas en la exposición de motivos precedente, la convocatoria de la Diputación Permanente a efectos de continuar con la labor parlamentaria indispensable”.</w:t>
      </w:r>
    </w:p>
    <w:p w14:paraId="7C7B2621" w14:textId="77777777" w:rsidR="00A8138F" w:rsidRDefault="00A8138F" w:rsidP="00A8138F">
      <w:pPr>
        <w:pStyle w:val="TextoNormal"/>
      </w:pPr>
    </w:p>
    <w:p w14:paraId="00494D08" w14:textId="77777777" w:rsidR="00A8138F" w:rsidRDefault="00A8138F" w:rsidP="00A8138F">
      <w:pPr>
        <w:pStyle w:val="TextoNormal"/>
      </w:pPr>
      <w:r>
        <w:t>c) La Presidencia del Parlamento de Andalucía, por resolución de 31 de marzo de 2020, convocó para el 2 de abril de 2020 a las 11:00 horas una sesión de la Diputación Permanente del Parlamento de Andalucía; siendo los puntos del orden del día la convalidación o derogación de cuatro decretos-leyes y la celebración de tres comparecencias de control de la actividad de gobierno.</w:t>
      </w:r>
    </w:p>
    <w:p w14:paraId="4A9E39AB" w14:textId="77777777" w:rsidR="00A8138F" w:rsidRDefault="00A8138F" w:rsidP="00A8138F">
      <w:pPr>
        <w:pStyle w:val="TextoNormal"/>
      </w:pPr>
    </w:p>
    <w:p w14:paraId="22CAA078" w14:textId="77777777" w:rsidR="00A8138F" w:rsidRDefault="00A8138F" w:rsidP="00A8138F">
      <w:pPr>
        <w:pStyle w:val="TextoNormal"/>
      </w:pPr>
      <w:r>
        <w:t>d) La Presidencia del Parlamento de Andalucía, por resolución de 29 de abril de 2020, dejó sin efecto la resolución de 18 de marzo de 2020 (“Boletín Oficial del Parlamento de Andalucía” núm. 316, de 29 de abril de 2020).</w:t>
      </w:r>
    </w:p>
    <w:p w14:paraId="4D806A89" w14:textId="77777777" w:rsidR="00A8138F" w:rsidRDefault="00A8138F" w:rsidP="00A8138F">
      <w:pPr>
        <w:pStyle w:val="TextoNormal"/>
      </w:pPr>
    </w:p>
    <w:p w14:paraId="4E79FCB1" w14:textId="2B660AD3" w:rsidR="00A8138F" w:rsidRDefault="00A8138F" w:rsidP="00A8138F">
      <w:pPr>
        <w:pStyle w:val="TextoNormal"/>
      </w:pPr>
      <w:r>
        <w:t>e) La Diputación Permanente, en sesión de 25 de marzo de 2020 celebró tras comparecencias; y en las sesiones de 2, 16 y 24 de abril de 2020 celebró diversas comparecencias y la convalidación de diversos decretos-leyes.</w:t>
      </w:r>
    </w:p>
    <w:p w14:paraId="70807D7F" w14:textId="77777777" w:rsidR="00A8138F" w:rsidRDefault="00A8138F" w:rsidP="00A8138F">
      <w:pPr>
        <w:pStyle w:val="TextoNormal"/>
      </w:pPr>
    </w:p>
    <w:p w14:paraId="1934B21A" w14:textId="77777777" w:rsidR="00A8138F" w:rsidRDefault="00A8138F" w:rsidP="00A8138F">
      <w:pPr>
        <w:pStyle w:val="TextoNormal"/>
      </w:pPr>
      <w:r w:rsidRPr="00A8138F">
        <w:rPr>
          <w:rStyle w:val="NumeroAFNegritaCaracter"/>
        </w:rPr>
        <w:t>3</w:t>
      </w:r>
      <w:r>
        <w:t xml:space="preserve">. El demandante de amparo, en su condición de diputado del Parlamento de Andalucía, que no formaba parte de su Diputación Permanente, solicita que se estime el recurso declarando que se ha vulnerado su derecho a la representación política (art. 23.2 CE), en relación </w:t>
      </w:r>
      <w:r>
        <w:lastRenderedPageBreak/>
        <w:t>con el derecho de los ciudadanos a participar en los asuntos públicos a través de sus representantes (art. 23.1 CE), para cuyo restablecimiento consideran necesaria la anulación de las decisiones parlamentarias impugnadas.</w:t>
      </w:r>
    </w:p>
    <w:p w14:paraId="686B7411" w14:textId="77777777" w:rsidR="00A8138F" w:rsidRDefault="00A8138F" w:rsidP="00A8138F">
      <w:pPr>
        <w:pStyle w:val="TextoNormal"/>
      </w:pPr>
    </w:p>
    <w:p w14:paraId="0A384349" w14:textId="77777777" w:rsidR="00A8138F" w:rsidRDefault="00A8138F" w:rsidP="00A8138F">
      <w:pPr>
        <w:pStyle w:val="TextoNormal"/>
      </w:pPr>
      <w:r>
        <w:t>El demandante alega que la resolución de 18 de marzo de 2020 hace una interpretación extensiva del art. 58 del Reglamento del Parlamento de Andalucía, al equiparar la situación de suspensión de sesiones acordada con motivo de la situación sanitaria creada por la covid con la ausencia de Cámara por vigencia del periodo vacacional o interregno por haber sido disuelto o haber expirado la legislatura. Considera que esa interpretación vulnera el art. 23 CE porque (i) ninguna Cámara legislativa puede quedar disuelta durante la vigencia del estado de alarma de acuerdo con el art. 116. 5 CE; (ii) no puede ser equiparado un estado de alarma a un periodo de vacaciones parlamentarias; y (iii) no supera el test de proporcionalidad, ya que existían alternativas de funcionamiento de la Cámara que no implicaran la exclusión de los parlamentarios que no forman parte de la Diputación Permanente.</w:t>
      </w:r>
    </w:p>
    <w:p w14:paraId="7FCD2F41" w14:textId="77777777" w:rsidR="00A8138F" w:rsidRDefault="00A8138F" w:rsidP="00A8138F">
      <w:pPr>
        <w:pStyle w:val="TextoNormal"/>
      </w:pPr>
    </w:p>
    <w:p w14:paraId="4881680D" w14:textId="77777777" w:rsidR="00A8138F" w:rsidRDefault="00A8138F" w:rsidP="00A8138F">
      <w:pPr>
        <w:pStyle w:val="TextoNormal"/>
      </w:pPr>
      <w:r>
        <w:t>El demandante argumenta que la lesión del art. 23.2 CE se ha consumado al procederse a la convalidación de decretos-leyes por la Diputación Permanente, impidiendo la participación de los diputados que no forman parte de la misma en un acto que confiere fuerza de ley permanente al decreto-ley.</w:t>
      </w:r>
    </w:p>
    <w:p w14:paraId="2F97DC38" w14:textId="77777777" w:rsidR="00A8138F" w:rsidRDefault="00A8138F" w:rsidP="00A8138F">
      <w:pPr>
        <w:pStyle w:val="TextoNormal"/>
      </w:pPr>
    </w:p>
    <w:p w14:paraId="2AE9EA6C" w14:textId="396D75D3" w:rsidR="00A8138F" w:rsidRDefault="00A8138F" w:rsidP="00A8138F">
      <w:pPr>
        <w:pStyle w:val="TextoNormal"/>
      </w:pPr>
      <w:r>
        <w:t>El demandante de amparo justifica la especial trascendencia constitucional del recurso afirmando que suscita una cuestión novedosa, al no existir pronunciamientos constitucionales sobre la atribución a la Diputación Permanente de las funciones propias del Parlamento en situaciones contempladas en el estado de alarma.</w:t>
      </w:r>
    </w:p>
    <w:p w14:paraId="42FC4461" w14:textId="77777777" w:rsidR="00A8138F" w:rsidRDefault="00A8138F" w:rsidP="00A8138F">
      <w:pPr>
        <w:pStyle w:val="TextoNormal"/>
      </w:pPr>
    </w:p>
    <w:p w14:paraId="1813DF44" w14:textId="1A1AA431" w:rsidR="00A8138F" w:rsidRDefault="00A8138F" w:rsidP="00A8138F">
      <w:pPr>
        <w:pStyle w:val="TextoNormal"/>
      </w:pPr>
      <w:r w:rsidRPr="00A8138F">
        <w:rPr>
          <w:rStyle w:val="NumeroAFNegritaCaracter"/>
        </w:rPr>
        <w:t>4</w:t>
      </w:r>
      <w:r>
        <w:t>. La Sección Segunda del Tribunal, por providencia de 25 de enero de 2021, acordó la admisión a trámite de la demanda de amparo, apreciando que concurre una especial trascendencia constitucional porque el recurso plantea un problema o afecta a una faceta de un derecho fundamental sobre el que no hay doctrina de este tribunal [STC 155/2009, de 25 de junio, FJ 2 a)]; y dirigir atenta comunicación al Parlamento de Andalucía para la remisión de testimonio de las actuaciones y a los efectos de su personación en el presente proceso constitucional.</w:t>
      </w:r>
    </w:p>
    <w:p w14:paraId="71031855" w14:textId="77777777" w:rsidR="00A8138F" w:rsidRDefault="00A8138F" w:rsidP="00A8138F">
      <w:pPr>
        <w:pStyle w:val="TextoNormal"/>
      </w:pPr>
    </w:p>
    <w:p w14:paraId="30EE2057" w14:textId="6341A46C" w:rsidR="00A8138F" w:rsidRDefault="00A8138F" w:rsidP="00A8138F">
      <w:pPr>
        <w:pStyle w:val="TextoNormal"/>
      </w:pPr>
      <w:r w:rsidRPr="00A8138F">
        <w:rPr>
          <w:rStyle w:val="NumeroAFNegritaCaracter"/>
        </w:rPr>
        <w:t>5</w:t>
      </w:r>
      <w:r>
        <w:t>. La Secretaría de Justicia de la Sala Primera del Tribunal, por diligencia de ordenación de 2 de marzo de 2021, tuvo por recibido el testimonio de las actuaciones, por personado y parte al Parlamento de Andalucía y acordó dar vista de las actuaciones a las partes personadas y al Ministerio Fiscal, por plazo común de veinte días, a fin de que, conforme con lo previsto en el art. 52 de la Ley Orgánica del Tribunal Constitucional, pudieran presentar alegaciones.</w:t>
      </w:r>
    </w:p>
    <w:p w14:paraId="060282E5" w14:textId="77777777" w:rsidR="00A8138F" w:rsidRDefault="00A8138F" w:rsidP="00A8138F">
      <w:pPr>
        <w:pStyle w:val="TextoNormal"/>
      </w:pPr>
    </w:p>
    <w:p w14:paraId="432D1032" w14:textId="77777777" w:rsidR="00A8138F" w:rsidRDefault="00A8138F" w:rsidP="00A8138F">
      <w:pPr>
        <w:pStyle w:val="TextoNormal"/>
      </w:pPr>
      <w:r w:rsidRPr="00A8138F">
        <w:rPr>
          <w:rStyle w:val="NumeroAFNegritaCaracter"/>
        </w:rPr>
        <w:t>6</w:t>
      </w:r>
      <w:r>
        <w:t>. El Ministerio Fiscal, mediante escrito registrado el 12 de abril de 2021, presentó alegaciones interesando la estimación del amparo por vulneración del derecho de los recurrentes a ejercer las funciones representativas con los requisitos que señalan las leyes (art. 23.2 CE), en relación con el derecho de los ciudadanos a participar en los asuntos públicos a través de sus representantes (art. 23.1 CE), para cuyo restablecimiento insta la nulidad exclusivamente de la resolución de 31 de marzo de 2020 y de aquellas que acordaron las se</w:t>
      </w:r>
      <w:r>
        <w:lastRenderedPageBreak/>
        <w:t>siones de 16 y 24 de abril de 2020, al haber sido ya dejada sin efecto la de 18 de marzo de 2020 por la de 29 de abril de 2020.</w:t>
      </w:r>
    </w:p>
    <w:p w14:paraId="68A72C0F" w14:textId="77777777" w:rsidR="00A8138F" w:rsidRDefault="00A8138F" w:rsidP="00A8138F">
      <w:pPr>
        <w:pStyle w:val="TextoNormal"/>
      </w:pPr>
    </w:p>
    <w:p w14:paraId="20C34B81" w14:textId="77777777" w:rsidR="00A8138F" w:rsidRDefault="00A8138F" w:rsidP="00A8138F">
      <w:pPr>
        <w:pStyle w:val="TextoNormal"/>
      </w:pPr>
      <w:r>
        <w:t>El Ministerio Fiscal argumenta que queda excluido del objeto del recurso la convalidación de los decretos-leyes sometidos a votación en las sesiones de la Diputación Permanente controvertidas en tanto que, por ser actos de ley, no pueden ser impugnados mediante un recurso de amparo, limitándose la queja del recurrente al hecho de no haber podido participar en su debate y votación.</w:t>
      </w:r>
    </w:p>
    <w:p w14:paraId="16B542D8" w14:textId="77777777" w:rsidR="00A8138F" w:rsidRDefault="00A8138F" w:rsidP="00A8138F">
      <w:pPr>
        <w:pStyle w:val="TextoNormal"/>
      </w:pPr>
    </w:p>
    <w:p w14:paraId="06858F22" w14:textId="73C9FEBE" w:rsidR="00A8138F" w:rsidRDefault="00A8138F" w:rsidP="00A8138F">
      <w:pPr>
        <w:pStyle w:val="TextoNormal"/>
      </w:pPr>
      <w:r>
        <w:t>El Ministerio Fiscal afirma que el contenido de la resolución de 18 de marzo de 2020, que habilita la convocatoria de la Diputación Permanente temporalmente durante la duración del estado de alarma, que es susceptible de ser impugnado en vía de amparo, contradice tanto la regulación constitucional de los estados de alarma, excepción y sitio, prevista en el art. 116.5 CE, que establece que no podrá procederse a la disolución del Congreso mientras estén declarados algunos de estos estados, como la finalidad a la que responde la institución de la diputación permanente y su causa de ser. Pone de manifiesto que dicha resolución, “que asimila la declaración del estado de alarma y sus medidas a la disolución del Parlamento o a la interrupción de su funcionamiento durante los periodos vacacionales, conlleva la eliminación de la actuación del Parlamento, al que de facto sustituye por la Diputación Permanente […] desconoce la finalidad a la que responde la norma constitucional que, para el Congreso de los Diputados, situación en la que se encuentra el Parlamento andaluz respecto del ejecutivo de la Comunidad Autónoma, solo permite la actuación de la Diputación Permanente en los supuestos de estado de alarma cuando el Congreso esté disuelto o haya expirado su mandato y, aunque la norma se refiera a las Cortes Generales, es de aplicación a los demás parlamentos autonómicos”. De ello concluye que la resolución de 18 de marzo de 2020 y sus actos aplicativos de convocatoria de las distintas sesiones de la Diputación Permanente son contrarios al art. 23.2 CE.</w:t>
      </w:r>
    </w:p>
    <w:p w14:paraId="2A696634" w14:textId="77777777" w:rsidR="00A8138F" w:rsidRDefault="00A8138F" w:rsidP="00A8138F">
      <w:pPr>
        <w:pStyle w:val="TextoNormal"/>
      </w:pPr>
    </w:p>
    <w:p w14:paraId="7E09FC2E" w14:textId="77777777" w:rsidR="00A8138F" w:rsidRDefault="00A8138F" w:rsidP="00A8138F">
      <w:pPr>
        <w:pStyle w:val="TextoNormal"/>
      </w:pPr>
      <w:r w:rsidRPr="00A8138F">
        <w:rPr>
          <w:rStyle w:val="NumeroAFNegritaCaracter"/>
        </w:rPr>
        <w:t>7</w:t>
      </w:r>
      <w:r>
        <w:t>. El Parlamento de Andalucía, por escrito registrado el 13 de abril de 2021, presentó alegaciones solicitando su desestimación.</w:t>
      </w:r>
    </w:p>
    <w:p w14:paraId="3DBA379D" w14:textId="77777777" w:rsidR="00A8138F" w:rsidRDefault="00A8138F" w:rsidP="00A8138F">
      <w:pPr>
        <w:pStyle w:val="TextoNormal"/>
      </w:pPr>
    </w:p>
    <w:p w14:paraId="0F0328E9" w14:textId="77777777" w:rsidR="00A8138F" w:rsidRDefault="00A8138F" w:rsidP="00A8138F">
      <w:pPr>
        <w:pStyle w:val="TextoNormal"/>
      </w:pPr>
      <w:r>
        <w:t>El Parlamento de Andalucía alega que debe inadmitirse la impugnación de los acuerdos de la Diputación Permanente de 25 de marzo y de 2, 16 y 24 de abril de 2020, ya que en la sesión de 25 de marzo de 2020 no se adoptó ningún acuerdo solo se celebraron tres comparecencias y en las sesiones restantes los únicos acuerdos son los de convalidación de decretos-leyes que son actos con fuerza de ley, que solo puede ser objeto de recurso de inconstitucionalidad del art. 27.2 e) de la Ley Orgánica del Tribunal Constitucional y no de procedimientos de amparo (ATC 7/2012, de 13 de enero, FJ 3). Igualmente, argumenta que, al haber sido dejada sin efecto la resolución de 18 de marzo de 2020 por la resolución de 29 de abril de 2020, su impugnación ha perdido ya objeto; habiendo también agotado sus efectos la resolución del 31 de marzo de 2020 de convocatoria de la Diputación Permanente para el 2 de abril de 2020 que se celebró el día previsto.</w:t>
      </w:r>
    </w:p>
    <w:p w14:paraId="011C78B9" w14:textId="77777777" w:rsidR="00A8138F" w:rsidRDefault="00A8138F" w:rsidP="00A8138F">
      <w:pPr>
        <w:pStyle w:val="TextoNormal"/>
      </w:pPr>
    </w:p>
    <w:p w14:paraId="6C1D74BC" w14:textId="77777777" w:rsidR="00A8138F" w:rsidRDefault="00A8138F" w:rsidP="00A8138F">
      <w:pPr>
        <w:pStyle w:val="TextoNormal"/>
      </w:pPr>
      <w:r>
        <w:t xml:space="preserve">El Parlamento de Andalucía contextualiza las resoluciones impugnadas en la fase más aguda de la primera ola de la pandemia de la covid, entre mitad de marzo y final de abril de 2020, lo que llevó a la suspensión de sesiones del Parlamento de Andalucía mediante acuerdo de su mesa de 16 de marzo de 2020 y justifica que, al igual que hicieron otras cámaras autonómicas, se habilitara la Diputación Permanente para hacer posible la labor </w:t>
      </w:r>
      <w:r>
        <w:lastRenderedPageBreak/>
        <w:t>parlamentaria imprescindible y más urgente. A esos efectos, ante la laguna reglamentaria, se optó por analogía habilitar a la Diputación Permanente, en aplicación del principio general de continuidad de la institución parlamentaria, en tanto que órgano competente en casos de vacancia o cese de la actividad parlamentaria, y, al tener encomendada la función de velar por los poderes de las cámaras, la asunción de las funciones de control de gobierno y convalidación de los decretos-leyes. De ese modo, aduce, que la crisis sanitaria es una circunstancia justificativa de las resoluciones impugnadas que están debidamente motivadas y respetan el principio de proporcionalidad.</w:t>
      </w:r>
    </w:p>
    <w:p w14:paraId="41DA21D6" w14:textId="77777777" w:rsidR="00A8138F" w:rsidRDefault="00A8138F" w:rsidP="00A8138F">
      <w:pPr>
        <w:pStyle w:val="TextoNormal"/>
      </w:pPr>
    </w:p>
    <w:p w14:paraId="53A5A2D0" w14:textId="77777777" w:rsidR="00A8138F" w:rsidRDefault="00A8138F" w:rsidP="00A8138F">
      <w:pPr>
        <w:pStyle w:val="TextoNormal"/>
      </w:pPr>
      <w:r>
        <w:t>El Parlamento de Andalucía, en relación con la resolución de 18 de marzo de 2020, alega también que tiene su fundamento en el art. 29.2 del Reglamento del Parlamento de Andalucía que permite a la Presidencia su interpretación o suplirlo en caso de omisión, que es lo que sucedió en este caso en que el Reglamento del Parlamento de Andalucía no contempla como actuar ante la eventualidad de que su funcionamiento se viera suspendido por una crisis sanitaria. También señala que su impugnación es preventiva, ya que no suponía la concreta convocatoria de ninguna reunión de la Diputación Permanente, y que esta resolución no incide en el derecho invocado, ya que se ha limitado a establecer una regulación con alcance general para todos los diputados lo que no permite apreciar un trato diferenciado entre ellos. Además, destaca que el art. 116.5 CE, ni es objeto del recurso de amparo, ni resulta aplicable a las cámaras autonómicas.</w:t>
      </w:r>
    </w:p>
    <w:p w14:paraId="5A721691" w14:textId="77777777" w:rsidR="00A8138F" w:rsidRDefault="00A8138F" w:rsidP="00A8138F">
      <w:pPr>
        <w:pStyle w:val="TextoNormal"/>
      </w:pPr>
    </w:p>
    <w:p w14:paraId="38C7A4D7" w14:textId="5A4844AC" w:rsidR="00A8138F" w:rsidRDefault="00A8138F" w:rsidP="00A8138F">
      <w:pPr>
        <w:pStyle w:val="TextoNormal"/>
      </w:pPr>
      <w:r>
        <w:t>El Parlamento de Andalucía, en relación con la resolución de 31 de marzo de 2020, afirma que tiene sustento en la citada resolución de 18 de marzo de 2020, destacando que fue una práctica común en otras cámaras autonómicas y que no ha vulnerado ninguna facultad de participación política del recurrente, en tanto que su grupo parlamentario pudo expresar su parecer en relación con la convalidación o no de los decretos-leyes y ejercer su derecho al voto en proporción a su representación parlamentaria.</w:t>
      </w:r>
    </w:p>
    <w:p w14:paraId="3022BFAD" w14:textId="77777777" w:rsidR="00A8138F" w:rsidRDefault="00A8138F" w:rsidP="00A8138F">
      <w:pPr>
        <w:pStyle w:val="TextoNormal"/>
      </w:pPr>
    </w:p>
    <w:p w14:paraId="28E4250A" w14:textId="536DB950" w:rsidR="00A8138F" w:rsidRDefault="00A8138F" w:rsidP="00A8138F">
      <w:pPr>
        <w:pStyle w:val="TextoNormal"/>
      </w:pPr>
      <w:r w:rsidRPr="00A8138F">
        <w:rPr>
          <w:rStyle w:val="NumeroAFNegritaCaracter"/>
        </w:rPr>
        <w:t>8</w:t>
      </w:r>
      <w:r>
        <w:t>. El demandante de amparo, mediante escrito de 6 de abril de 2021, ha presentado alegaciones ratificándose en lo expuesto en la demanda de amparo.</w:t>
      </w:r>
    </w:p>
    <w:p w14:paraId="2DCE21EB" w14:textId="77777777" w:rsidR="00A8138F" w:rsidRDefault="00A8138F" w:rsidP="00A8138F">
      <w:pPr>
        <w:pStyle w:val="TextoNormal"/>
      </w:pPr>
    </w:p>
    <w:p w14:paraId="5F2CA2FB" w14:textId="4E756973" w:rsidR="00A8138F" w:rsidRDefault="00A8138F" w:rsidP="00A8138F">
      <w:pPr>
        <w:pStyle w:val="TextoNormal"/>
      </w:pPr>
      <w:r w:rsidRPr="00A8138F">
        <w:rPr>
          <w:rStyle w:val="NumeroAFNegritaCaracter"/>
        </w:rPr>
        <w:t>9</w:t>
      </w:r>
      <w:r>
        <w:t>. Por providencia de 6 de marzo de 2025 se señaló para deliberación y votación de la presente sentencia el día 10 del mismo mes y año.</w:t>
      </w:r>
    </w:p>
    <w:p w14:paraId="0BE770F2" w14:textId="77777777" w:rsidR="00A8138F" w:rsidRDefault="00A8138F" w:rsidP="00A8138F">
      <w:pPr>
        <w:pStyle w:val="TextoNormal"/>
      </w:pPr>
    </w:p>
    <w:p w14:paraId="43A7842F" w14:textId="77777777" w:rsidR="00A8138F" w:rsidRDefault="00A8138F" w:rsidP="00A8138F">
      <w:pPr>
        <w:pStyle w:val="TextoNormalNegritaCentrado"/>
        <w:keepNext/>
      </w:pPr>
      <w:r>
        <w:t>II. Fundamentos jurídicos</w:t>
      </w:r>
    </w:p>
    <w:p w14:paraId="064720E5" w14:textId="71C5930E" w:rsidR="00A8138F" w:rsidRDefault="00A8138F" w:rsidP="00A8138F">
      <w:pPr>
        <w:pStyle w:val="TextoNormalNegritaCentrado"/>
        <w:keepNext/>
      </w:pPr>
    </w:p>
    <w:p w14:paraId="4679FA69" w14:textId="77777777" w:rsidR="00A8138F" w:rsidRDefault="00A8138F" w:rsidP="00A8138F">
      <w:pPr>
        <w:pStyle w:val="TextoNormal"/>
      </w:pPr>
      <w:r w:rsidRPr="00A8138F">
        <w:rPr>
          <w:rStyle w:val="TextoNormalNegritaCaracter"/>
        </w:rPr>
        <w:t xml:space="preserve">Único. </w:t>
      </w:r>
      <w:r w:rsidRPr="00A8138F">
        <w:rPr>
          <w:i/>
        </w:rPr>
        <w:t>Aplicación de la STC 40/2025, de 11 de febrero</w:t>
      </w:r>
    </w:p>
    <w:p w14:paraId="1C493D60" w14:textId="77777777" w:rsidR="00A8138F" w:rsidRDefault="00A8138F" w:rsidP="00A8138F">
      <w:pPr>
        <w:pStyle w:val="TextoNormal"/>
      </w:pPr>
    </w:p>
    <w:p w14:paraId="47567341" w14:textId="77777777" w:rsidR="00A8138F" w:rsidRDefault="00A8138F" w:rsidP="00A8138F">
      <w:pPr>
        <w:pStyle w:val="TextoNormal"/>
      </w:pPr>
      <w:r>
        <w:t>El objeto de este recurso es determinar si vulnera el derecho a la representación política (art. 23.2 CE) del demandante de amparo las resoluciones de la Presidencia del Parlamento de Andalucía de 18 y 31 de marzo de 2020 de habilitar la Diputación Permanente durante la declaración del estado de alarma, derivado de la situación sanitaria provocada por la covid, para garantizar el funcionamiento del Parlamento de Andalucía y convocarla para decidir sobre la convalidación o no de diversos decretos-leyes y la celebración de comparecencias de control de la acción de gobierno, respectivamente; así como los acuerdos adoptados por la Diputación Permanente en sus sesiones de 25 de marzo, 2, 16 y 24 de abril de 2020.</w:t>
      </w:r>
    </w:p>
    <w:p w14:paraId="6E2B6954" w14:textId="77777777" w:rsidR="00A8138F" w:rsidRDefault="00A8138F" w:rsidP="00A8138F">
      <w:pPr>
        <w:pStyle w:val="TextoNormal"/>
      </w:pPr>
    </w:p>
    <w:p w14:paraId="08068AB4" w14:textId="77777777" w:rsidR="00A8138F" w:rsidRDefault="00A8138F" w:rsidP="00A8138F">
      <w:pPr>
        <w:pStyle w:val="TextoNormal"/>
      </w:pPr>
      <w:r>
        <w:t>La circunstancia de que la resolución de 18 de marzo de 2020, sobre habilitación de la convocatoria de la Diputación Permanente en una situación de declaración de estado de alarma, haya sido dejada sin efectos por la resolución de 29 de abril de 2020 no implica la pérdida sobrevenida de objeto alegada por el Parlamento de Andalucía. En el contexto del presente procedimiento de amparo, su impugnación se vincula no solo en su contenido general y abstracto, sino también como causal y precedente necesario del acto concreto aplicativo que supone, por un lado, la resolución de 31 de marzo de 2020, por la que se convoca para el 2 de abril de 2020 la Diputación Permanente del Parlamento de Andalucía; y, por otro, los diversos acuerdos adoptados por la Diputación Permanente en sus sesiones de 25 de marzo, 2, 16 y 24 de abril de 2020 en relación con la convalidación de determinados decretos-leyes. Ahora bien, la impugnación de los acuerdos adoptados por la Diputación Permanente en sus sesiones de 25 de marzo, 2, 16 y 24 de abril de 2020 sí debe quedar excluida del objeto de este procedimiento constitucional, en los términos solicitados por el Parlamento de Andalucía, en tanto que en la sesión de 25 de marzo de 2020 no consta la adopción de ningún acuerdo y, en las sesiones de 2, 16 y 24 de abril de 2020, los únicos acuerdos adoptados son los de convalidación de decretos-leyes que, de acuerdo con lo establecido en la jurisprudencia constitucional, en atención a su carácter de acto con valor de ley, quedan excluidos de su control constitucional a través del procedimiento de amparo (ATC 7/2012, de 13 de enero, FJ 3).</w:t>
      </w:r>
    </w:p>
    <w:p w14:paraId="73494AA3" w14:textId="77777777" w:rsidR="00A8138F" w:rsidRDefault="00A8138F" w:rsidP="00A8138F">
      <w:pPr>
        <w:pStyle w:val="TextoNormal"/>
      </w:pPr>
    </w:p>
    <w:p w14:paraId="3D978581" w14:textId="77777777" w:rsidR="00A8138F" w:rsidRDefault="00A8138F" w:rsidP="00A8138F">
      <w:pPr>
        <w:pStyle w:val="TextoNormal"/>
      </w:pPr>
      <w:r>
        <w:t>La constitucionalidad de las resoluciones de 18 y 31 de marzo de 2020 ha sido objeto de análisis, desde la perspectiva del derecho de representación política (art. 23.2 CE), en el contexto del recurso de inconstitucionalidad núm. 3887-2020, en el que fueron impugnados el Decreto-ley 2/2020, de 9 de marzo, de mejora y simplificación de la regulación para el fomento de la actividad productiva de Andalucía, y el acuerdo de su convalidación por la Diputación Permanente del Parlamento de Andalucía de 2 de abril de 2020, con fundamento, respecto de este último, en que la Diputación Permanente no estaba legítimamente llamada a ejercer esta función autorizante en el periodo temporal habilitado por la resolución de 18 de marzo de 2020, vinculado a la situación de declaración de estado de alarma por la crisis sanitaria de la covid.</w:t>
      </w:r>
    </w:p>
    <w:p w14:paraId="325BDC7A" w14:textId="77777777" w:rsidR="00A8138F" w:rsidRDefault="00A8138F" w:rsidP="00A8138F">
      <w:pPr>
        <w:pStyle w:val="TextoNormal"/>
      </w:pPr>
    </w:p>
    <w:p w14:paraId="78114FBF" w14:textId="77777777" w:rsidR="00A8138F" w:rsidRDefault="00A8138F" w:rsidP="00A8138F">
      <w:pPr>
        <w:pStyle w:val="TextoNormal"/>
      </w:pPr>
      <w:r>
        <w:t xml:space="preserve">La STC 40/2025, de 11 de febrero, por la que se resolvió el citado recurso de inconstitucionalidad, ya estableció que el acuerdo de convalidación de la Diputación Permanente de 2 de abril de 2020, que traía causa de las resoluciones de la Presidencia del Parlamento de Andalucía de 18 de marzo de 2020, sobre habilitación de la convocatoria de la Diputación Permanente en una situación de declaración de estado de alarma, y de la resolución de 31 de marzo de 2020, por la que se convoca para el 2 de abril de 2020 la Diputación Permanente del Parlamento de Andalucía, no implica una vulneración del art. 23.2 CE. A esos efectos argumenta que (i) la Diputación Permanente tenía y tiene expresamente atribuida la facultad de convalidar decretos-leyes mediante la resolución de la Presidencia del Parlamento de Andalucía de 5 de junio de 2008, sobre control por el Parlamento de los decretos-leyes dictados por el Consejo de Gobierno; y (ii) la interpretación que habilitó la convocatoria de la Diputación Permanente, en ausencia de una base normativa en el Reglamento de la Cámara, podría haberse considerado lesiva del art. 23.2 CE en condiciones normales; sin embargo, en el contexto de la crisis sanitaria de la covid-19 y las extraordinarias circunstancias que ello implicaba de impedir objetivamente mantener incólume la actividad de la Cámara, esa interpretación extensiva del reglamento y el recurso a una norma supletoria como la que </w:t>
      </w:r>
      <w:r>
        <w:lastRenderedPageBreak/>
        <w:t>suponía la resolución de 18 de marzo de 2020, al tener como fin garantizar en lo posible la continuidad de la actividad parlamentaria, no puede considerarse que haya resultado lesionado el art. 23.2 CE (FJ 3).</w:t>
      </w:r>
    </w:p>
    <w:p w14:paraId="213425BB" w14:textId="77777777" w:rsidR="00A8138F" w:rsidRDefault="00A8138F" w:rsidP="00A8138F">
      <w:pPr>
        <w:pStyle w:val="TextoNormal"/>
      </w:pPr>
    </w:p>
    <w:p w14:paraId="3AE9E081" w14:textId="4A7045D6" w:rsidR="00A8138F" w:rsidRDefault="00A8138F" w:rsidP="00A8138F">
      <w:pPr>
        <w:pStyle w:val="TextoNormal"/>
      </w:pPr>
      <w:r>
        <w:t>En aplicación de la citada jurisprudencia, que el tribunal considera que resulta aplicable no solo a la función de la Diputación Permanente autorizante para la convalidación de decretos-leyes sino también, por sus propios fundamentos, a la de realización de comparecencias de control de la acción de gobierno, debe concluirse que las resoluciones de la Presidencia del Parlamento de Andalucía no han vulnerado el derecho de representación política del demandante de amparo.</w:t>
      </w:r>
    </w:p>
    <w:p w14:paraId="776D5AC7" w14:textId="77777777" w:rsidR="00A8138F" w:rsidRDefault="00A8138F" w:rsidP="00A8138F">
      <w:pPr>
        <w:pStyle w:val="TextoNormal"/>
      </w:pPr>
    </w:p>
    <w:p w14:paraId="12A12656" w14:textId="77777777" w:rsidR="00A8138F" w:rsidRDefault="00A8138F" w:rsidP="00A8138F">
      <w:pPr>
        <w:pStyle w:val="TextoNormalCentrado"/>
        <w:keepNext/>
      </w:pPr>
      <w:r>
        <w:t>FALLO</w:t>
      </w:r>
    </w:p>
    <w:p w14:paraId="7A6456AD" w14:textId="765E16E4" w:rsidR="00A8138F" w:rsidRDefault="00A8138F" w:rsidP="00A8138F">
      <w:pPr>
        <w:pStyle w:val="TextoNormalCentrado"/>
        <w:keepNext/>
      </w:pPr>
    </w:p>
    <w:p w14:paraId="27170D26" w14:textId="3A604026"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don Carmelo Gómez Domínguez.</w:t>
      </w:r>
    </w:p>
    <w:p w14:paraId="55B271FC" w14:textId="77777777" w:rsidR="00A8138F" w:rsidRDefault="00A8138F" w:rsidP="00A8138F">
      <w:pPr>
        <w:pStyle w:val="TextoNormal"/>
      </w:pPr>
    </w:p>
    <w:p w14:paraId="63DBC317" w14:textId="77777777" w:rsidR="00A8138F" w:rsidRDefault="00A8138F" w:rsidP="00A8138F">
      <w:pPr>
        <w:pStyle w:val="TextoNormal"/>
      </w:pPr>
      <w:r>
        <w:t>Publíquese esta sentencia en el “Boletín Oficial del Estado”.</w:t>
      </w:r>
    </w:p>
    <w:p w14:paraId="01184C54" w14:textId="77777777" w:rsidR="00A8138F" w:rsidRDefault="00A8138F" w:rsidP="00A8138F">
      <w:pPr>
        <w:pStyle w:val="TextoNormal"/>
      </w:pPr>
      <w:r>
        <w:t>Dada en Madrid, a diez de marzo de dos mil veinticinco.</w:t>
      </w:r>
    </w:p>
    <w:p w14:paraId="55F84244" w14:textId="00D8328F" w:rsidR="00A8138F" w:rsidRDefault="00A8138F" w:rsidP="00A8138F">
      <w:pPr>
        <w:pStyle w:val="ParrafoNormal"/>
      </w:pPr>
    </w:p>
    <w:p w14:paraId="5A007CB3" w14:textId="77777777" w:rsidR="00A8138F" w:rsidRDefault="00A8138F" w:rsidP="00A8138F">
      <w:pPr>
        <w:pStyle w:val="TextoNormalNegritaCentrado"/>
        <w:keepNext/>
      </w:pPr>
      <w:r>
        <w:t>Voto particular que formula el magistrado don Juan Carlos Campo Moreno a la sentencia dictada en el recurso de amparo núm. 3018-2020</w:t>
      </w:r>
    </w:p>
    <w:p w14:paraId="12F2DC09" w14:textId="09F01273" w:rsidR="00A8138F" w:rsidRDefault="00A8138F" w:rsidP="00A8138F">
      <w:pPr>
        <w:pStyle w:val="TextoNormalNegritaCentrado"/>
        <w:keepNext/>
      </w:pPr>
    </w:p>
    <w:p w14:paraId="40E336B3" w14:textId="77777777" w:rsidR="00A8138F" w:rsidRDefault="00A8138F" w:rsidP="00A8138F">
      <w:pPr>
        <w:pStyle w:val="TextoNormal"/>
      </w:pPr>
      <w:r>
        <w:t>En ejercicio de la facultad que me confiere el art. 90.2 de la Ley Orgánica del Tribunal Constitucional, y con total respeto a la opinión de la mayoría reflejada en la sentencia, formulo el presente voto.</w:t>
      </w:r>
    </w:p>
    <w:p w14:paraId="55F308DF" w14:textId="77777777" w:rsidR="00A8138F" w:rsidRDefault="00A8138F" w:rsidP="00A8138F">
      <w:pPr>
        <w:pStyle w:val="TextoNormal"/>
      </w:pPr>
    </w:p>
    <w:p w14:paraId="6E9B10B5" w14:textId="77777777" w:rsidR="00A8138F" w:rsidRDefault="00A8138F" w:rsidP="00A8138F">
      <w:pPr>
        <w:pStyle w:val="TextoNormal"/>
      </w:pPr>
      <w:r>
        <w:t>En la medida en que la ponencia es de remisión a la sentencia que resolvió el recurso de inconstitucionalidad núm. 3887-2020, este voto remite igualmente, en su integridad, al que se formuló a la STC 40/2025, de 11 de febrero.</w:t>
      </w:r>
    </w:p>
    <w:p w14:paraId="2C6AA44E" w14:textId="77777777" w:rsidR="00A8138F" w:rsidRDefault="00A8138F" w:rsidP="00A8138F">
      <w:pPr>
        <w:pStyle w:val="TextoNormal"/>
      </w:pPr>
    </w:p>
    <w:p w14:paraId="5D0726BD" w14:textId="122E1D34" w:rsidR="00A8138F" w:rsidRDefault="00A8138F" w:rsidP="00A8138F">
      <w:pPr>
        <w:pStyle w:val="TextoNormal"/>
      </w:pPr>
      <w:r>
        <w:t>Madrid, a diez de marzo de dos mil veinticinco.</w:t>
      </w:r>
    </w:p>
    <w:p w14:paraId="735116A0" w14:textId="08DDE7D9" w:rsidR="00A8138F" w:rsidRDefault="00A8138F">
      <w:pPr>
        <w:spacing w:after="160" w:line="278" w:lineRule="auto"/>
        <w:rPr>
          <w:rFonts w:ascii="Times New Roman" w:eastAsia="Times New Roman" w:hAnsi="Times New Roman" w:cs="Times New Roman"/>
          <w:sz w:val="24"/>
          <w:szCs w:val="24"/>
          <w:lang w:eastAsia="es-ES"/>
        </w:rPr>
      </w:pPr>
      <w:r>
        <w:br w:type="page"/>
      </w:r>
    </w:p>
    <w:p w14:paraId="22723286" w14:textId="77777777" w:rsidR="00A8138F" w:rsidRDefault="00A8138F" w:rsidP="00A8138F">
      <w:pPr>
        <w:pStyle w:val="TtuloResolucin"/>
      </w:pPr>
      <w:bookmarkStart w:id="56" w:name="SENTENCIA_2025_54"/>
      <w:r>
        <w:lastRenderedPageBreak/>
        <w:t>SENTENCIA 54/2025, de 10 de marzo de 2025</w:t>
      </w:r>
    </w:p>
    <w:bookmarkEnd w:id="56"/>
    <w:p w14:paraId="2B639D5F" w14:textId="77777777" w:rsidR="00A8138F" w:rsidRDefault="00A8138F" w:rsidP="00A8138F">
      <w:pPr>
        <w:pStyle w:val="TtuloResolucin"/>
      </w:pPr>
      <w:r>
        <w:t>Sala Segunda</w:t>
      </w:r>
    </w:p>
    <w:p w14:paraId="554719B8" w14:textId="77777777" w:rsidR="00A8138F" w:rsidRDefault="00A8138F" w:rsidP="00A8138F">
      <w:pPr>
        <w:pStyle w:val="TtuloBOE"/>
      </w:pPr>
      <w:r>
        <w:t>(BOE núm. 88, de 11 de abril de 2025)</w:t>
      </w:r>
    </w:p>
    <w:p w14:paraId="0117297B" w14:textId="77777777" w:rsidR="00A8138F" w:rsidRDefault="00A8138F" w:rsidP="00A8138F">
      <w:pPr>
        <w:pStyle w:val="TextoNormalCentrado"/>
      </w:pPr>
      <w:r>
        <w:t>ECLI:ES:TC:2025:54</w:t>
      </w:r>
    </w:p>
    <w:p w14:paraId="166FF6D9" w14:textId="605D9482" w:rsidR="00A8138F" w:rsidRDefault="00A8138F" w:rsidP="00A8138F">
      <w:pPr>
        <w:pStyle w:val="TextoNormalCentrado"/>
      </w:pPr>
    </w:p>
    <w:p w14:paraId="63EFEBF5" w14:textId="77777777" w:rsidR="00A8138F" w:rsidRDefault="00A8138F" w:rsidP="00A8138F">
      <w:pPr>
        <w:pStyle w:val="SntesisDescriptiva"/>
      </w:pPr>
      <w:r>
        <w:t>Recurso de amparo 2024-2022. Promovido por doña O.V.R., respecto del auto de medidas provisionales dictado por un juzgado de violencia sobre la mujer de Vitoria-Gasteiz en proceso de divorcio.</w:t>
      </w:r>
    </w:p>
    <w:p w14:paraId="3F388679" w14:textId="768B956A" w:rsidR="00A8138F" w:rsidRDefault="00A8138F" w:rsidP="00A8138F">
      <w:pPr>
        <w:pStyle w:val="SntesisDescriptiva"/>
      </w:pPr>
    </w:p>
    <w:p w14:paraId="2288E4E5" w14:textId="77777777" w:rsidR="00A8138F" w:rsidRDefault="00A8138F" w:rsidP="00A8138F">
      <w:pPr>
        <w:pStyle w:val="SntesisAnaltica"/>
      </w:pPr>
      <w:r>
        <w:t>Vulneración del derecho a la tutela judicial efectiva (motivación), en conexión con el principio de interés superior del menor y la libertad de circulación y residencia: resolución judicial que no pondera adecuadamente los intereses y derechos en presencia y no tiene en cuenta las nuevas circunstancias y las dinámicas inherentes a la violencia de género. Voto particular.</w:t>
      </w:r>
    </w:p>
    <w:p w14:paraId="7BF380B7" w14:textId="0EEFD9F2" w:rsidR="00A8138F" w:rsidRDefault="00A8138F" w:rsidP="00A8138F">
      <w:pPr>
        <w:pStyle w:val="SntesisAnaltica"/>
      </w:pPr>
    </w:p>
    <w:p w14:paraId="723281FF" w14:textId="48B5B098" w:rsidR="00A8138F" w:rsidRDefault="00A8138F" w:rsidP="00A8138F">
      <w:pPr>
        <w:pStyle w:val="Extracto"/>
      </w:pPr>
      <w:r>
        <w:t>1.</w:t>
      </w:r>
      <w:r>
        <w:tab/>
        <w:t>En las decisiones sobre los regímenes de guarda, custodia y visitas, provisionales o definitivas, los órganos judiciales tienen un deber de motivación reforzada para cuyo cumplimiento habrán de tener en cuenta, en su caso, los indicios de violencia de género [FJ 2].</w:t>
      </w:r>
    </w:p>
    <w:p w14:paraId="4A3BA118" w14:textId="77777777" w:rsidR="00A8138F" w:rsidRDefault="00A8138F" w:rsidP="00A8138F">
      <w:pPr>
        <w:pStyle w:val="Extracto"/>
      </w:pPr>
    </w:p>
    <w:p w14:paraId="515C7419" w14:textId="427CCA4F" w:rsidR="00A8138F" w:rsidRDefault="00A8138F" w:rsidP="00A8138F">
      <w:pPr>
        <w:pStyle w:val="Extracto"/>
      </w:pPr>
      <w:r>
        <w:t>2.</w:t>
      </w:r>
      <w:r>
        <w:tab/>
        <w:t>Nuestros jueces y tribunales no pueden asumir que el interés superior del menor es equivalente a mantener relaciones con ambos progenitores, ni promover la perpetuación de funciones estereotipadas tradicionalmente atribuidas a las mujeres, obviando con ello las dinámicas de sometimiento inherentes a la violencia de género (SSTC 115/2024 y 145/2024). Y este deber de consideración de las dinámicas inherentes a la violencia de género supone también una obligación de prevención y protección contra la violencia de los hijos e hijas de las mujeres víctimas de violencia machista [FJ 2].</w:t>
      </w:r>
    </w:p>
    <w:p w14:paraId="27C37067" w14:textId="77777777" w:rsidR="00A8138F" w:rsidRDefault="00A8138F" w:rsidP="00A8138F">
      <w:pPr>
        <w:pStyle w:val="Extracto"/>
      </w:pPr>
    </w:p>
    <w:p w14:paraId="36456DF5" w14:textId="01CEAFD9" w:rsidR="00A8138F" w:rsidRDefault="00A8138F" w:rsidP="00A8138F">
      <w:pPr>
        <w:pStyle w:val="Extracto"/>
      </w:pPr>
      <w:r>
        <w:t>3.</w:t>
      </w:r>
      <w:r>
        <w:tab/>
        <w:t xml:space="preserve">Una resolución judicial que imponga el lugar de residencia puede afectar el art. 19 CE, dando incluso lugar a la apreciación de su vulneración si no se deja opción para el mantenimiento o traslado del domicilio; y, conforme a nuestra jurisprudencia sobre las resoluciones judiciales que afectan derechos sustantivos y principios superiores de nuestro ordenamiento </w:t>
      </w:r>
      <w:r w:rsidRPr="00A8138F">
        <w:rPr>
          <w:i/>
        </w:rPr>
        <w:t>ex</w:t>
      </w:r>
      <w:r>
        <w:t xml:space="preserve"> art. 24.1 CE, tal medida debe ser objeto de motivación reforzada. Un canon que será también el aplicable en aquellos casos en los que la afectación de las libertades de circulación y de residencia tenga origen en la atribución y ejecución judicial de los regímenes de guarda, custodia y visitas [FJ 2].</w:t>
      </w:r>
    </w:p>
    <w:p w14:paraId="45DD1587" w14:textId="77777777" w:rsidR="00A8138F" w:rsidRDefault="00A8138F" w:rsidP="00A8138F">
      <w:pPr>
        <w:pStyle w:val="Extracto"/>
      </w:pPr>
    </w:p>
    <w:p w14:paraId="1BE8804C" w14:textId="1594C0AF" w:rsidR="00A8138F" w:rsidRDefault="00A8138F" w:rsidP="00A8138F">
      <w:pPr>
        <w:pStyle w:val="Extracto"/>
      </w:pPr>
      <w:r>
        <w:t>4.</w:t>
      </w:r>
      <w:r>
        <w:tab/>
        <w:t>En contextos de violencia de género, una sentencia judicial que ofrece una mera alusión a la inexistencia de una orden de protección vulnera el art. 24.1 CE, si no supera el canon reforzado de motivación; tampoco debe incurrir en respuestas basadas en estereotipos de género, completamente ajenas al deber de nuestros jueces y tribunales de fundamentar las decisiones que afectan derechos fundamentales sustantivos o valores superiores de nuestro ordenamiento jurídico [FJ 3].</w:t>
      </w:r>
    </w:p>
    <w:p w14:paraId="46A5F275" w14:textId="77777777" w:rsidR="00A8138F" w:rsidRDefault="00A8138F" w:rsidP="00A8138F">
      <w:pPr>
        <w:pStyle w:val="Extracto"/>
      </w:pPr>
    </w:p>
    <w:p w14:paraId="0381C82D" w14:textId="1E767AFB" w:rsidR="00A8138F" w:rsidRDefault="00A8138F" w:rsidP="00A8138F">
      <w:pPr>
        <w:pStyle w:val="Extracto"/>
      </w:pPr>
      <w:r>
        <w:t>5.</w:t>
      </w:r>
      <w:r>
        <w:tab/>
        <w:t xml:space="preserve">Se incurre en una suerte de revictimización de una mujer, al reprocharle una denuncia tardía y el no haber mantenido su domicilio en la misma ciudad en la que </w:t>
      </w:r>
      <w:r>
        <w:lastRenderedPageBreak/>
        <w:t>se encontraba la residencia de su presunto maltratador, pues no puede desconocer un órgano jurisdiccional, menos aún si se trata de un juzgado de violencia sobre la mujer, el temor que la violencia machista infunde en sus víctimas a la hora de denunciar y tomar decisiones sobre los hijos e hijas comunes [FJ 3].</w:t>
      </w:r>
    </w:p>
    <w:p w14:paraId="5FA9A4F1" w14:textId="77777777" w:rsidR="00A8138F" w:rsidRDefault="00A8138F" w:rsidP="00A8138F">
      <w:pPr>
        <w:pStyle w:val="Extracto"/>
      </w:pPr>
    </w:p>
    <w:p w14:paraId="787EB9DB" w14:textId="796D72A2" w:rsidR="00A8138F" w:rsidRDefault="00A8138F" w:rsidP="00A8138F">
      <w:pPr>
        <w:pStyle w:val="Extracto"/>
      </w:pPr>
      <w:r>
        <w:t>6.</w:t>
      </w:r>
      <w:r>
        <w:tab/>
        <w:t>Lesiona el art. 24.1 CE, en conexión con el art. 39 CE, una resolución judicial que no pondera adecuadamente los derechos e intereses en juego al imponer el ejercicio de la guarda y custodia del menor en un municipio, sin tener en cuenta las nuevas circunstancias de los progenitores y las dinámicas inherentes a la violencia de género (SSTC 115/2024 y 145/2024) [FJ 3].</w:t>
      </w:r>
    </w:p>
    <w:p w14:paraId="338C88A1" w14:textId="77777777" w:rsidR="00A8138F" w:rsidRDefault="00A8138F" w:rsidP="00A8138F">
      <w:pPr>
        <w:pStyle w:val="Extracto"/>
      </w:pPr>
    </w:p>
    <w:p w14:paraId="23102878" w14:textId="54EA0B39" w:rsidR="00A8138F" w:rsidRDefault="00A8138F" w:rsidP="00A8138F">
      <w:pPr>
        <w:pStyle w:val="Extracto"/>
      </w:pPr>
      <w:r>
        <w:t>7.</w:t>
      </w:r>
      <w:r>
        <w:tab/>
        <w:t>La existencia de indicios de violencia de género es un aspecto a ponderar por el juez en aplicación de nuestra legislación civil relativa al traslado de menores, hijos e hijas de padres en proceso de separación y divorcio. Y escapa a toda lógica jurídica exigir a una madre que denuncia ser víctima de violencia de género que pida el consentimiento de su pareja para alejar al menor de un potencial riesgo para su vida e integridad [FJ 3].</w:t>
      </w:r>
    </w:p>
    <w:p w14:paraId="48815077" w14:textId="77777777" w:rsidR="00A8138F" w:rsidRDefault="00A8138F" w:rsidP="00A8138F">
      <w:pPr>
        <w:pStyle w:val="Extracto"/>
      </w:pPr>
    </w:p>
    <w:p w14:paraId="173A3910" w14:textId="77777777" w:rsidR="00A8138F" w:rsidRDefault="00A8138F" w:rsidP="00A8138F">
      <w:pPr>
        <w:pStyle w:val="Extracto"/>
      </w:pPr>
    </w:p>
    <w:p w14:paraId="0D899B90"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C01CAF8" w14:textId="4011FFA8" w:rsidR="00A8138F" w:rsidRDefault="00A8138F" w:rsidP="00A8138F">
      <w:pPr>
        <w:pStyle w:val="TextoNormal"/>
      </w:pPr>
    </w:p>
    <w:p w14:paraId="6D887BD1" w14:textId="77777777" w:rsidR="00A8138F" w:rsidRDefault="00A8138F" w:rsidP="00A8138F">
      <w:pPr>
        <w:pStyle w:val="TextoNormalCentrado"/>
        <w:keepNext/>
      </w:pPr>
      <w:r>
        <w:t>EN NOMBRE DEL REY</w:t>
      </w:r>
    </w:p>
    <w:p w14:paraId="3275C718" w14:textId="6B63C4F9" w:rsidR="00A8138F" w:rsidRDefault="00A8138F" w:rsidP="00A8138F">
      <w:pPr>
        <w:pStyle w:val="TextoNormalCentrado"/>
        <w:keepNext/>
      </w:pPr>
    </w:p>
    <w:p w14:paraId="129A8B6A" w14:textId="77777777" w:rsidR="00A8138F" w:rsidRDefault="00A8138F" w:rsidP="00A8138F">
      <w:pPr>
        <w:pStyle w:val="TextoNormalCentrado"/>
        <w:keepNext/>
      </w:pPr>
    </w:p>
    <w:p w14:paraId="21E84BA5" w14:textId="77777777" w:rsidR="00A8138F" w:rsidRDefault="00A8138F" w:rsidP="00A8138F">
      <w:pPr>
        <w:pStyle w:val="TextoNormal"/>
      </w:pPr>
      <w:r>
        <w:t>la siguiente</w:t>
      </w:r>
    </w:p>
    <w:p w14:paraId="7534D4CC" w14:textId="06D48468" w:rsidR="00A8138F" w:rsidRDefault="00A8138F" w:rsidP="00A8138F">
      <w:pPr>
        <w:pStyle w:val="TextoNormal"/>
      </w:pPr>
    </w:p>
    <w:p w14:paraId="6823A137" w14:textId="77777777" w:rsidR="00A8138F" w:rsidRDefault="00A8138F" w:rsidP="00A8138F">
      <w:pPr>
        <w:pStyle w:val="TextoNormalCentrado"/>
        <w:keepNext/>
      </w:pPr>
      <w:r>
        <w:t>SENTENCIA</w:t>
      </w:r>
    </w:p>
    <w:p w14:paraId="3175666E" w14:textId="7FE75137" w:rsidR="00A8138F" w:rsidRDefault="00A8138F" w:rsidP="00A8138F">
      <w:pPr>
        <w:pStyle w:val="TextoNormalCentrado"/>
        <w:keepNext/>
      </w:pPr>
    </w:p>
    <w:p w14:paraId="7D46B344" w14:textId="77777777" w:rsidR="00A8138F" w:rsidRDefault="00A8138F" w:rsidP="00A8138F">
      <w:pPr>
        <w:pStyle w:val="TextoNormal"/>
      </w:pPr>
      <w:r>
        <w:t>En el recurso de amparo núm. 2024-2022, promovido por doña O.V.R., representada por la procuradora de los tribunales doña Milagros Duret Arguello y bajo la asistencia letrada de doña Yolanda Loureiro Dios, contra el auto núm. 81/2021, de 30 de julio, dictado en los autos de medidas provisionales núm. 12-2021 por el Juzgado de Violencia sobre la Mujer núm. 1 de Vitoria-Gasteiz, aclarado por auto de 15 de octubre del mismo año y contra el que se interpuso incidente de nulidad, desestimado por auto de 17 de diciembre de 2021 y cuya solicitud de aclaración fue rechazada el 2 de febrero de 2022. Ha comparecido don J.V.O., representado por la procuradora doña Isabel Gómez Pérez de Mendiola y asistido por el abogado don Juan José García Carretero. Ha intervenido el Ministerio Fiscal. Ha sido ponente la magistrada doña María Luisa Balaguer Callejón.</w:t>
      </w:r>
    </w:p>
    <w:p w14:paraId="79BBB565" w14:textId="1562759D" w:rsidR="00A8138F" w:rsidRDefault="00A8138F" w:rsidP="00A8138F">
      <w:pPr>
        <w:pStyle w:val="TextoNormal"/>
      </w:pPr>
    </w:p>
    <w:p w14:paraId="28C70AFB" w14:textId="77777777" w:rsidR="00A8138F" w:rsidRDefault="00A8138F" w:rsidP="00A8138F">
      <w:pPr>
        <w:pStyle w:val="TextoNormalNegritaCentrado"/>
        <w:keepNext/>
      </w:pPr>
      <w:r>
        <w:t>I. Antecedentes</w:t>
      </w:r>
    </w:p>
    <w:p w14:paraId="7D488F34" w14:textId="63AAC150" w:rsidR="00A8138F" w:rsidRDefault="00A8138F" w:rsidP="00A8138F">
      <w:pPr>
        <w:pStyle w:val="TextoNormalNegritaCentrado"/>
        <w:keepNext/>
      </w:pPr>
    </w:p>
    <w:p w14:paraId="08C95CD0" w14:textId="30B30995" w:rsidR="00A8138F" w:rsidRDefault="00A8138F" w:rsidP="00A8138F">
      <w:pPr>
        <w:pStyle w:val="TextoNormal"/>
      </w:pPr>
      <w:r w:rsidRPr="00A8138F">
        <w:rPr>
          <w:rStyle w:val="NumeroAFNegritaCaracter"/>
        </w:rPr>
        <w:t>1</w:t>
      </w:r>
      <w:r>
        <w:t xml:space="preserve">. Mediante escrito registrado en este tribunal el 23 de marzo de 2022, la procuradora de los tribunales doña Milagros Duret Arguello, en nombre y representación de doña O.V.R., </w:t>
      </w:r>
      <w:r>
        <w:lastRenderedPageBreak/>
        <w:t>bajo la asistencia letrada de doña Yolanda Loureiro Dios, interpuso recurso de amparo contra la resolución judicial citada en el encabezamiento de esta sentencia.</w:t>
      </w:r>
    </w:p>
    <w:p w14:paraId="4D6ECD57" w14:textId="77777777" w:rsidR="00A8138F" w:rsidRDefault="00A8138F" w:rsidP="00A8138F">
      <w:pPr>
        <w:pStyle w:val="TextoNormal"/>
      </w:pPr>
    </w:p>
    <w:p w14:paraId="64CF8B3A" w14:textId="77777777" w:rsidR="00A8138F" w:rsidRDefault="00A8138F" w:rsidP="00A8138F">
      <w:pPr>
        <w:pStyle w:val="TextoNormal"/>
      </w:pPr>
      <w:r w:rsidRPr="00A8138F">
        <w:rPr>
          <w:rStyle w:val="NumeroAFNegritaCaracter"/>
        </w:rPr>
        <w:t>2</w:t>
      </w:r>
      <w:r>
        <w:t>. Los antecedentes procesales relevantes para resolver las pretensiones planteadas son los siguientes:</w:t>
      </w:r>
    </w:p>
    <w:p w14:paraId="3B767148" w14:textId="77777777" w:rsidR="00A8138F" w:rsidRDefault="00A8138F" w:rsidP="00A8138F">
      <w:pPr>
        <w:pStyle w:val="TextoNormal"/>
      </w:pPr>
    </w:p>
    <w:p w14:paraId="7F8E76AC" w14:textId="77777777" w:rsidR="00A8138F" w:rsidRDefault="00A8138F" w:rsidP="00A8138F">
      <w:pPr>
        <w:pStyle w:val="TextoNormal"/>
      </w:pPr>
      <w:r>
        <w:t>a) Doña O.V.R., y don J.V.O., contrajeron matrimonio el 1 de julio de 2016, unión de la que nació E.V.V., hijo menor común que contaba con tres años en el momento en que se iniciaron las acciones judiciales que dieron origen a este recurso de amparo.</w:t>
      </w:r>
    </w:p>
    <w:p w14:paraId="17D0634E" w14:textId="77777777" w:rsidR="00A8138F" w:rsidRDefault="00A8138F" w:rsidP="00A8138F">
      <w:pPr>
        <w:pStyle w:val="TextoNormal"/>
      </w:pPr>
    </w:p>
    <w:p w14:paraId="01012ECE" w14:textId="77777777" w:rsidR="00A8138F" w:rsidRDefault="00A8138F" w:rsidP="00A8138F">
      <w:pPr>
        <w:pStyle w:val="TextoNormal"/>
      </w:pPr>
      <w:r>
        <w:t>b) El 5 de noviembre de 2020, doña O.V.R., se trasladó junto a su hijo desde Vitoria-Gasteiz, lugar de residencia familiar hasta aquel momento, a la ciudad de A Coruña, donde viven los abuelos maternos y donde, el 16 de noviembre del mismo año, presentó denuncia contra don J.V.O., por violencia de género, dando lugar con ello al atestado núm. 8208-2020 de la Policía Nacional.</w:t>
      </w:r>
    </w:p>
    <w:p w14:paraId="6DEBE62E" w14:textId="77777777" w:rsidR="00A8138F" w:rsidRDefault="00A8138F" w:rsidP="00A8138F">
      <w:pPr>
        <w:pStyle w:val="TextoNormal"/>
      </w:pPr>
    </w:p>
    <w:p w14:paraId="689640ED" w14:textId="77777777" w:rsidR="00A8138F" w:rsidRDefault="00A8138F" w:rsidP="00A8138F">
      <w:pPr>
        <w:pStyle w:val="TextoNormal"/>
      </w:pPr>
      <w:r>
        <w:t>Según el referido atestado, obrante en las actuaciones a disposición de este tribunal, doña O.V.R., denunció que las discusiones y malentendidos en el seno de su matrimonio con don J.V.O., habían comenzado hacía unos cuatro o cinco años, relatando en su comparecencia tres episodios concretos de violencia tras el nacimiento de su hijo común, de entre los cuales el menor habría estado presente en al menos uno. La ahora demandante de amparo adujo, en primer lugar, que en dos de estos episodios don J.V.O., le había agarrado por el cuello y empujando contra la pared, pasando a continuación a relatar los hechos acontecidos el 1 de noviembre de 2020 cuando, con motivo de un desacuerdo relativo al cuidado de su hijo común, don J.V.O., le había vuelto a agarrar del cuello, tirándola después al suelo, donde le propinó varias patadas en el muslo izquierdo y amenazó con “abrirle el cráneo y partirle la cabeza”, culpabilizándola de su propio modo de actuar. Tras dicho episodio, siempre según el referido atestado, doña O.V.R., habría conseguido incorporarse y, en un intento posterior por entablar conversación con su entonces marido, habría sido objeto de una nueva agresión al cogerle don J.V.O., primero del cuello y después del brazo, inmovilizándola al retorcérselo.</w:t>
      </w:r>
    </w:p>
    <w:p w14:paraId="7791B1C9" w14:textId="77777777" w:rsidR="00A8138F" w:rsidRDefault="00A8138F" w:rsidP="00A8138F">
      <w:pPr>
        <w:pStyle w:val="TextoNormal"/>
      </w:pPr>
    </w:p>
    <w:p w14:paraId="5F08EB31" w14:textId="77777777" w:rsidR="00A8138F" w:rsidRDefault="00A8138F" w:rsidP="00A8138F">
      <w:pPr>
        <w:pStyle w:val="TextoNormal"/>
      </w:pPr>
      <w:r>
        <w:t>Entre las actuaciones a disposición de este tribunal obran tanto el referido atestado policial como un parte de asistencia del Hospital San José, con fecha de entrada el 1 de noviembre de 2020 a las 23:36 horas, en el que, constando mención por doña O.V.R., a una discusión con su marido en la que le habría agarrado del cuello, tirado al suelo y dado varias patadas en el muslo izquierdo, se incluye como juicio clínico-diagnóstico “Policontusiones. Agresión en contexto de violencia de género”. En la hoja de alta de urgencias, a disposición también de este tribunal, se solicita parte judicial.</w:t>
      </w:r>
    </w:p>
    <w:p w14:paraId="78F038DE" w14:textId="77777777" w:rsidR="00A8138F" w:rsidRDefault="00A8138F" w:rsidP="00A8138F">
      <w:pPr>
        <w:pStyle w:val="TextoNormal"/>
      </w:pPr>
    </w:p>
    <w:p w14:paraId="271785E9" w14:textId="77777777" w:rsidR="00A8138F" w:rsidRDefault="00A8138F" w:rsidP="00A8138F">
      <w:pPr>
        <w:pStyle w:val="TextoNormal"/>
      </w:pPr>
      <w:r>
        <w:t xml:space="preserve">c) Los días 11 de noviembre y 17 de noviembre de 2020, don J.V.O., solicitó, respectivamente, medidas urgentes de protección </w:t>
      </w:r>
      <w:r w:rsidRPr="00A8138F">
        <w:rPr>
          <w:i/>
        </w:rPr>
        <w:t>ex</w:t>
      </w:r>
      <w:r>
        <w:t xml:space="preserve"> arts. 156 y 158 del Código civil (CC) y medidas previas a la demanda de divorcio </w:t>
      </w:r>
      <w:r w:rsidRPr="00A8138F">
        <w:rPr>
          <w:i/>
        </w:rPr>
        <w:t>ex</w:t>
      </w:r>
      <w:r>
        <w:t xml:space="preserve"> art. 771 de la Ley de enjuiciamiento civil (LEC) ante los juzgados de familia de Vitoria-Gasteiz.</w:t>
      </w:r>
    </w:p>
    <w:p w14:paraId="59E4229E" w14:textId="77777777" w:rsidR="00A8138F" w:rsidRDefault="00A8138F" w:rsidP="00A8138F">
      <w:pPr>
        <w:pStyle w:val="TextoNormal"/>
      </w:pPr>
    </w:p>
    <w:p w14:paraId="586D8C43" w14:textId="77777777" w:rsidR="00A8138F" w:rsidRDefault="00A8138F" w:rsidP="00A8138F">
      <w:pPr>
        <w:pStyle w:val="TextoNormal"/>
      </w:pPr>
      <w:r>
        <w:t>d) Por auto de 18 de noviembre de 2020, el Juzgado de Violencia sobre la Mujer núm. 1 de A Coruña acordó incoar diligencias previas en procedimiento abreviado, núm. 1044-2020, e inhibirse en favor del Juzgado de Violencia sobre la Mujer de Vitoria-Gasteiz, de</w:t>
      </w:r>
      <w:r>
        <w:lastRenderedPageBreak/>
        <w:t>clarando que los hechos resultantes de lo actuado hacían “presumir la posible existencia de delito de violencia doméstica y de género, maltrato habitual”.</w:t>
      </w:r>
    </w:p>
    <w:p w14:paraId="1AC97451" w14:textId="77777777" w:rsidR="00A8138F" w:rsidRDefault="00A8138F" w:rsidP="00A8138F">
      <w:pPr>
        <w:pStyle w:val="TextoNormal"/>
      </w:pPr>
    </w:p>
    <w:p w14:paraId="1F67FFF1" w14:textId="77777777" w:rsidR="00A8138F" w:rsidRDefault="00A8138F" w:rsidP="00A8138F">
      <w:pPr>
        <w:pStyle w:val="TextoNormal"/>
      </w:pPr>
      <w:r>
        <w:t xml:space="preserve">El 23 de noviembre de 2020 la letrada de doña O.V.R., interpuso recurso de reforma contra el auto de inhibición dictado por el Juzgado de Violencia sobre la Mujer núm. 1 de A Coruña el 18 de noviembre. Recurso que fue desestimado el 11 de enero de 2021 al entender el órgano judicial que, no habiendo referido la denunciante ningún episodio violento desde su traslado a Galicia, no resultaba aplicable excepción alguna a la regla general del </w:t>
      </w:r>
      <w:r w:rsidRPr="00A8138F">
        <w:rPr>
          <w:i/>
        </w:rPr>
        <w:t>forum delicti comissi</w:t>
      </w:r>
      <w:r>
        <w:t>.</w:t>
      </w:r>
    </w:p>
    <w:p w14:paraId="6C1BBDD1" w14:textId="77777777" w:rsidR="00A8138F" w:rsidRDefault="00A8138F" w:rsidP="00A8138F">
      <w:pPr>
        <w:pStyle w:val="TextoNormal"/>
      </w:pPr>
    </w:p>
    <w:p w14:paraId="5406B011" w14:textId="77777777" w:rsidR="00A8138F" w:rsidRDefault="00A8138F" w:rsidP="00A8138F">
      <w:pPr>
        <w:pStyle w:val="TextoNormal"/>
      </w:pPr>
      <w:r>
        <w:t>Doña O.V.R., interpuso recurso de apelación, núm. 506-2021, contra el auto de 18 de noviembre de 2020, que fue desestimado por la Audiencia Provincial de A Coruña el 27 de mayo de 2021. El 11 de junio del mismo año la inhibitoria devino firme al denegar la Audiencia Provincial la preparación del recurso de casación solicitada por la representación procesal de la recurrente en amparo contra el auto de 27 de mayo.</w:t>
      </w:r>
    </w:p>
    <w:p w14:paraId="7083F9EF" w14:textId="77777777" w:rsidR="00A8138F" w:rsidRDefault="00A8138F" w:rsidP="00A8138F">
      <w:pPr>
        <w:pStyle w:val="TextoNormal"/>
      </w:pPr>
    </w:p>
    <w:p w14:paraId="523FF6C3" w14:textId="77777777" w:rsidR="00A8138F" w:rsidRDefault="00A8138F" w:rsidP="00A8138F">
      <w:pPr>
        <w:pStyle w:val="TextoNormal"/>
      </w:pPr>
      <w:r>
        <w:t>e) La solicitud de don J.V.O., de medidas de protección relativa al ejercicio inadecuado de la potestad de guarda fue admitida a trámite por el Juzgado de Primera Instancia núm. 8 de Vitoria-Gasteiz el 23 de noviembre de 2020. El 24 de noviembre fue admitida por el mismo órgano jurisdiccional la solicitud de medidas previas a la demanda de divorcio. Ambas demandas fueron acumuladas por el Juzgado de Primera Instancia núm. 8 de Vitoria-Gasteiz que, por auto núm. 690/2020, de 26 de noviembre, acordó el archivo del procedimiento en aplicación del art. 6.2 de la Ley 15/2015, de 2 de julio, de la jurisdicción voluntaria.</w:t>
      </w:r>
    </w:p>
    <w:p w14:paraId="0E0E961B" w14:textId="77777777" w:rsidR="00A8138F" w:rsidRDefault="00A8138F" w:rsidP="00A8138F">
      <w:pPr>
        <w:pStyle w:val="TextoNormal"/>
      </w:pPr>
    </w:p>
    <w:p w14:paraId="4F3EDAA2" w14:textId="77777777" w:rsidR="00A8138F" w:rsidRDefault="00A8138F" w:rsidP="00A8138F">
      <w:pPr>
        <w:pStyle w:val="TextoNormal"/>
      </w:pPr>
      <w:r>
        <w:t>f) El 24 de noviembre de 2020, la fiscalía provincial de A Coruña otorgó certificado de indicios de delito requerido por doña O.V.R., a efectos de solicitar la escolarización de su hijo en la ciudad gallega con el mismo nombre, siendo emitido al día siguiente por el ayuntamiento informe sobre su condición de víctima de violencia de género.</w:t>
      </w:r>
    </w:p>
    <w:p w14:paraId="3F28080D" w14:textId="77777777" w:rsidR="00A8138F" w:rsidRDefault="00A8138F" w:rsidP="00A8138F">
      <w:pPr>
        <w:pStyle w:val="TextoNormal"/>
      </w:pPr>
    </w:p>
    <w:p w14:paraId="3A2B7DEF" w14:textId="77777777" w:rsidR="00A8138F" w:rsidRDefault="00A8138F" w:rsidP="00A8138F">
      <w:pPr>
        <w:pStyle w:val="TextoNormal"/>
      </w:pPr>
      <w:r>
        <w:t>g) El 26 de noviembre de 2020, doña O.V.R., presentó una solicitud de admisión del menor en un centro dependiente de la Conselleria de Cultura, Educación e Universidade de A Coruña, alegando traslado de domicilio y violencia de género.</w:t>
      </w:r>
    </w:p>
    <w:p w14:paraId="3FDD0E2A" w14:textId="77777777" w:rsidR="00A8138F" w:rsidRDefault="00A8138F" w:rsidP="00A8138F">
      <w:pPr>
        <w:pStyle w:val="TextoNormal"/>
      </w:pPr>
    </w:p>
    <w:p w14:paraId="1CC485AB" w14:textId="77777777" w:rsidR="00A8138F" w:rsidRDefault="00A8138F" w:rsidP="00A8138F">
      <w:pPr>
        <w:pStyle w:val="TextoNormal"/>
      </w:pPr>
      <w:r>
        <w:t>Según las actuaciones que obran a disposición de este tribunal, previamente, el 20 de noviembre de 2020, don J.V.O., remitió correo electrónico a la jefatura territorial de la mencionada conselleria en el que manifestaba su oposición a una posible solicitud de escolarización de su hijo menor en un centro docente adscrito a la misma.</w:t>
      </w:r>
    </w:p>
    <w:p w14:paraId="0F60D8F3" w14:textId="77777777" w:rsidR="00A8138F" w:rsidRDefault="00A8138F" w:rsidP="00A8138F">
      <w:pPr>
        <w:pStyle w:val="TextoNormal"/>
      </w:pPr>
    </w:p>
    <w:p w14:paraId="150B119E" w14:textId="77777777" w:rsidR="00A8138F" w:rsidRDefault="00A8138F" w:rsidP="00A8138F">
      <w:pPr>
        <w:pStyle w:val="TextoNormal"/>
      </w:pPr>
      <w:r>
        <w:t>h) Por auto de 1 de diciembre de 2020, dictado en las diligencias previas de procedimiento abreviado 1044-2020, el Juzgado de Violencia sobre la Mujer núm. 1 de A Coruña denegó la orden de protección solicitada por doña O.V.R. El auto se fundamentó, por un lado, en la falta de acreditación de la existencia de una situación de riesgo habida cuenta de la ausencia tanto de actos amenazantes y/o intimidatorios desde su traslado a Galicia, como de una solicitud de medidas de carácter penal. En el auto se advierte además de la existencia de un contacto diario con el investigado, por vía telemática, para garantizar el mantenimiento de la relación con su hijo menor. Por otro lado, la negativa al reconocimiento de medidas de protección se justifica también sobre la base de la apreciación de ciertas incon</w:t>
      </w:r>
      <w:r>
        <w:lastRenderedPageBreak/>
        <w:t>sistencias en las declaraciones de doña O.V.R., quien, según el auto de 1 de diciembre de 2020, mientras que en el parte de asistencia de 1 de noviembre refirió un único episodio de violencia, en la denuncia de 16 de noviembre habría aducido hasta dos incidentes más. En la mencionada resolución judicial se aprecian además motivos espurios en la actuación de doña O.V.R., al haber alegado el investigado la existencia de mensajes de los que podría deducirse la intención de la demandante de amparo de accionar la vía penal si don J.V.O., no aceptaba el traslado y la escolarización del menor en A Coruña.</w:t>
      </w:r>
    </w:p>
    <w:p w14:paraId="408EBD44" w14:textId="77777777" w:rsidR="00A8138F" w:rsidRDefault="00A8138F" w:rsidP="00A8138F">
      <w:pPr>
        <w:pStyle w:val="TextoNormal"/>
      </w:pPr>
    </w:p>
    <w:p w14:paraId="4B447C65" w14:textId="77777777" w:rsidR="00A8138F" w:rsidRDefault="00A8138F" w:rsidP="00A8138F">
      <w:pPr>
        <w:pStyle w:val="TextoNormal"/>
      </w:pPr>
      <w:r>
        <w:t xml:space="preserve">i) El 4 de diciembre de 2020, el jefe territorial de la conselleria gallega </w:t>
      </w:r>
      <w:r w:rsidRPr="00A8138F">
        <w:rPr>
          <w:i/>
        </w:rPr>
        <w:t>supra</w:t>
      </w:r>
      <w:r>
        <w:t xml:space="preserve"> mencionada acordó suspender la tramitación de la solicitud de escolarización en virtud del contenido del auto de 1 de diciembre de 2020 del Juzgado de Violencia sobre la Mujer núm. 1 de A Coruña.</w:t>
      </w:r>
    </w:p>
    <w:p w14:paraId="46EB67C0" w14:textId="77777777" w:rsidR="00A8138F" w:rsidRDefault="00A8138F" w:rsidP="00A8138F">
      <w:pPr>
        <w:pStyle w:val="TextoNormal"/>
      </w:pPr>
    </w:p>
    <w:p w14:paraId="63731E27" w14:textId="77777777" w:rsidR="00A8138F" w:rsidRDefault="00A8138F" w:rsidP="00A8138F">
      <w:pPr>
        <w:pStyle w:val="TextoNormal"/>
      </w:pPr>
      <w:r>
        <w:t>Doña O.V.R., interpuso recurso de alzada contra la mencionada resolución, siendo el mismo parcialmente estimado por resolución de 10 de febrero de 2021. El secretario general técnico de la Conselleria concluyó que, aun no siendo en ese momento posible justificar la escolarización por violencia de género al faltar resolución judicial que así lo permitiera, de la documentación aportada por la ahora recurrente en amparo se deducía que tanto ella como su hijo menor estaban empadronados en A Coruña, ciudad donde doña O.V.R., se encontraba además trabajando. Se resolvió de este modo, en interés superior del menor, la escolarización cautelar de E.V.V., en el centro solicitado por doña O.V.R.</w:t>
      </w:r>
    </w:p>
    <w:p w14:paraId="2F220FFD" w14:textId="77777777" w:rsidR="00A8138F" w:rsidRDefault="00A8138F" w:rsidP="00A8138F">
      <w:pPr>
        <w:pStyle w:val="TextoNormal"/>
      </w:pPr>
    </w:p>
    <w:p w14:paraId="7B01C611" w14:textId="77777777" w:rsidR="00A8138F" w:rsidRDefault="00A8138F" w:rsidP="00A8138F">
      <w:pPr>
        <w:pStyle w:val="TextoNormal"/>
      </w:pPr>
      <w:r>
        <w:t>j) Recibido parte de asistencia, por auto de 21 de diciembre de 2020, el Juzgado de Violencia sobre la Mujer núm. 1 de Vitoria-Gasteiz se declaró competente para instruir la causa en la que constaba doña O.V.R., como víctima, acordando incoar las correspondientes diligencias, procedimiento abreviado núm. 748-2020, y citar a la ahora demandante de amparo.</w:t>
      </w:r>
    </w:p>
    <w:p w14:paraId="5A4CE1E1" w14:textId="77777777" w:rsidR="00A8138F" w:rsidRDefault="00A8138F" w:rsidP="00A8138F">
      <w:pPr>
        <w:pStyle w:val="TextoNormal"/>
      </w:pPr>
    </w:p>
    <w:p w14:paraId="78CA78BC" w14:textId="77777777" w:rsidR="00A8138F" w:rsidRDefault="00A8138F" w:rsidP="00A8138F">
      <w:pPr>
        <w:pStyle w:val="TextoNormal"/>
      </w:pPr>
      <w:r>
        <w:t>k) El 29 de junio de 2021, don J.V.O., interpuso demanda de divorcio contencioso ante el Juzgado de Violencia sobre la Mujer de Vitoria-Gasteiz, solicitando medidas provisionales con fundamento en el traslado de doña O.V.R., y su hijo común a la ciudad de A Coruña. Alegó entonces don J.V.O., que la ahora recurrente en amparo interpuso la correspondiente denuncia penal contra su persona una vez tuvo conocimiento de la solicitud de medidas urgentes de protección y provisionales previas (admitidas por decretos de 23 y 24 de noviembre de 2020, respectivamente) que fueron archivadas por el Juzgado de Primera Instancia núm. 8 de Vitoria-Gasteiz en aplicación del art. 6.2 de la Ley 15/2015, de 2 de julio, de la jurisdicción voluntaria. Por su parte, negó además que la salida del hijo común con doña O.V.R., del País Vasco y su empadronamiento y escolarización en Galicia tuvieran lugar bajo su consentimiento.</w:t>
      </w:r>
    </w:p>
    <w:p w14:paraId="6F63D1DD" w14:textId="77777777" w:rsidR="00A8138F" w:rsidRDefault="00A8138F" w:rsidP="00A8138F">
      <w:pPr>
        <w:pStyle w:val="TextoNormal"/>
      </w:pPr>
    </w:p>
    <w:p w14:paraId="0313A1E7" w14:textId="77777777" w:rsidR="00A8138F" w:rsidRDefault="00A8138F" w:rsidP="00A8138F">
      <w:pPr>
        <w:pStyle w:val="TextoNormal"/>
      </w:pPr>
      <w:r>
        <w:t>Con fundamento en dichos argumentos, don J.V.O., solicitó que se estableciera que el domicilio del menor se encontraba en Vitoria-Gasteiz, ordenándose de inmediato su traslado a dicha ciudad; que se acordara la prohibición de la salida del menor del territorio nacional; la revocación de todos los poderes y consentimientos; la disolución de la sociedad de gananciales; la fijación de la patria potestad compartida; el otorgamiento en exclusiva de la guarda y custodia a ejercer en el domicilio familiar; y un régimen de visitas de la madre no custodia a desarrollar en la ciudad de Vitoria-Gasteiz.</w:t>
      </w:r>
    </w:p>
    <w:p w14:paraId="08E946C0" w14:textId="77777777" w:rsidR="00A8138F" w:rsidRDefault="00A8138F" w:rsidP="00A8138F">
      <w:pPr>
        <w:pStyle w:val="TextoNormal"/>
      </w:pPr>
    </w:p>
    <w:p w14:paraId="5C45FCFE" w14:textId="77777777" w:rsidR="00A8138F" w:rsidRDefault="00A8138F" w:rsidP="00A8138F">
      <w:pPr>
        <w:pStyle w:val="TextoNormal"/>
      </w:pPr>
      <w:r>
        <w:lastRenderedPageBreak/>
        <w:t>l) Por decreto de 1 de julio de 2021, el Juzgado de Violencia sobre la Mujer de Vitoria-Gasteiz acordó admitir a trámite la demanda de divorcio y formar pieza de medidas provisionales con el núm. 12-2021.</w:t>
      </w:r>
    </w:p>
    <w:p w14:paraId="31C5F49B" w14:textId="77777777" w:rsidR="00A8138F" w:rsidRDefault="00A8138F" w:rsidP="00A8138F">
      <w:pPr>
        <w:pStyle w:val="TextoNormal"/>
      </w:pPr>
    </w:p>
    <w:p w14:paraId="49C1139A" w14:textId="77777777" w:rsidR="00A8138F" w:rsidRDefault="00A8138F" w:rsidP="00A8138F">
      <w:pPr>
        <w:pStyle w:val="TextoNormal"/>
      </w:pPr>
      <w:r>
        <w:t>Por diligencia de ordenación del Juzgado de Violencia sobre la Mujer de Vitoria-Gasteiz de la misma fecha, 1 de julio de 2021, se fijó el 22 de julio para la celebración de la vista para la adopción de las medidas provisionales que están en el origen de esta demanda de amparo.</w:t>
      </w:r>
    </w:p>
    <w:p w14:paraId="6EED9EB4" w14:textId="77777777" w:rsidR="00A8138F" w:rsidRDefault="00A8138F" w:rsidP="00A8138F">
      <w:pPr>
        <w:pStyle w:val="TextoNormal"/>
      </w:pPr>
    </w:p>
    <w:p w14:paraId="04425532" w14:textId="77777777" w:rsidR="00A8138F" w:rsidRDefault="00A8138F" w:rsidP="00A8138F">
      <w:pPr>
        <w:pStyle w:val="TextoNormal"/>
      </w:pPr>
      <w:r>
        <w:t>El 14 de julio de 2021, doña O.V.R., solicitó al Juzgado de Violencia sobre la Mujer de Vitoria-Gasteiz que se emitiera informe de especialistas a los efectos de determinar cuál de los dos progenitores era el más idóneo para ostentar la guarda y custodia del menor, cuál era el régimen de visitas más oportuno y la conveniencia de establecer un punto de encuentro a la vista de las circunstancias concretas del caso. La solicitud del informe de valoración del equipo técnico adscrito al juzgado fue rechazada por providencia de ese mismo día 14 de julio de 2021 por tratarse de un procedimiento provisional y urgente, indicando el juzgado el deber de doña O.V.R., de reiterar dicha petición en el procedimiento principal en el momento procesal oportuno. Con fundamento en igual razón sustentó el Juzgado de Violencia sobre la Mujer de Vitoria-Gasteiz su providencia de 16 de julio de 2021, por la que denegó las testificales cuya práctica solicitó la ahora demandante de amparo.</w:t>
      </w:r>
    </w:p>
    <w:p w14:paraId="2B801BCC" w14:textId="77777777" w:rsidR="00A8138F" w:rsidRDefault="00A8138F" w:rsidP="00A8138F">
      <w:pPr>
        <w:pStyle w:val="TextoNormal"/>
      </w:pPr>
    </w:p>
    <w:p w14:paraId="32119D1D" w14:textId="77777777" w:rsidR="00A8138F" w:rsidRDefault="00A8138F" w:rsidP="00A8138F">
      <w:pPr>
        <w:pStyle w:val="TextoNormal"/>
      </w:pPr>
      <w:r>
        <w:t>En la audiencia celebrada el 22 de julio de 2021 doña O.V.R., mostrándose conforme con la patria potestad compartida y la petición de que el menor no pudiera salir del territorio nacional, solicitó el reconocimiento a su favor de la guarda y custodia de E.V.V., el desarrollo de un régimen de visitas con el padre no custodio en el lugar más cercano al menor y la aprobación judicial de su empadronamiento y escolarización en A Coruña. El Ministerio Fiscal informó en el sentido de atribuir la guarda y custodia a la madre.</w:t>
      </w:r>
    </w:p>
    <w:p w14:paraId="6DCF0E39" w14:textId="77777777" w:rsidR="00A8138F" w:rsidRDefault="00A8138F" w:rsidP="00A8138F">
      <w:pPr>
        <w:pStyle w:val="TextoNormal"/>
      </w:pPr>
    </w:p>
    <w:p w14:paraId="5AC071DA" w14:textId="77777777" w:rsidR="00A8138F" w:rsidRDefault="00A8138F" w:rsidP="00A8138F">
      <w:pPr>
        <w:pStyle w:val="TextoNormal"/>
      </w:pPr>
      <w:r>
        <w:t>m) Por auto 81/2021, de 30 de julio, el Juzgado de Violencia sobre la Mujer núm. 1 de Vitoria-Gasteiz estimó parcialmente la demanda de medidas provisionales, tramitadas en pieza separada 12-2021, presentada por don J.V.O., acordando la separación provisional de los cónyuges, el reconocimiento de la guarda y custodia del hijo menor a doña O.V.R., y de la patria potestad a ambos progenitores, el régimen de visitas y la pensión de alimentos y la prohibición de la salida del menor del territorio nacional sin autorización de ambos progenitores o, en su caso, autorización judicial. De conformidad con la referida resolución judicial, la guarda y custodia del menor, atribuida a doña O.V.R., “deberá ejercerse en la ciudad de Vitoria-Gasteiz”.</w:t>
      </w:r>
    </w:p>
    <w:p w14:paraId="6134256C" w14:textId="77777777" w:rsidR="00A8138F" w:rsidRDefault="00A8138F" w:rsidP="00A8138F">
      <w:pPr>
        <w:pStyle w:val="TextoNormal"/>
      </w:pPr>
    </w:p>
    <w:p w14:paraId="5F2E1B53" w14:textId="77777777" w:rsidR="00A8138F" w:rsidRDefault="00A8138F" w:rsidP="00A8138F">
      <w:pPr>
        <w:pStyle w:val="TextoNormal"/>
      </w:pPr>
      <w:r>
        <w:t>El juzgado sustentó su fallo, según el tenor literal de su resolución, en el carácter provisional de las medidas adoptadas, en la ausencia de informes periciales sobre las capacidades parentales de los progenitores y en la debida observancia del interés superior del menor.</w:t>
      </w:r>
    </w:p>
    <w:p w14:paraId="1F6BADA9" w14:textId="77777777" w:rsidR="00A8138F" w:rsidRDefault="00A8138F" w:rsidP="00A8138F">
      <w:pPr>
        <w:pStyle w:val="TextoNormal"/>
      </w:pPr>
    </w:p>
    <w:p w14:paraId="76861148" w14:textId="77777777" w:rsidR="00A8138F" w:rsidRDefault="00A8138F" w:rsidP="00A8138F">
      <w:pPr>
        <w:pStyle w:val="TextoNormal"/>
      </w:pPr>
      <w:r>
        <w:t xml:space="preserve">En lo que al deber de ejercicio de la guarda y custodia en la ciudad de Vitoria-Gasteiz respecta, el juzgado advierte que aunque doña O.V.R., justifica su traslado por entender que A Coruña “es el lugar donde mejor se salvaguarda el interés del menor por su seguridad y estabilidad respecto del domicilio anterior donde se produjeron [los] hechos que motivan la presente causa”, tratando así “de alejar al menor de un entorno de violencia, después de haber sufrido […] un episodio de agresión grave el 1 de noviembre y uno de amenazas”, la </w:t>
      </w:r>
      <w:r>
        <w:lastRenderedPageBreak/>
        <w:t>demandante de amparo “se marchó cuatro días después de que dicen [</w:t>
      </w:r>
      <w:r w:rsidRPr="00A8138F">
        <w:rPr>
          <w:i/>
        </w:rPr>
        <w:t>sic</w:t>
      </w:r>
      <w:r>
        <w:t>] ocurrieron los hechos, y no se ha acreditado que se haya dictado ninguna medida de protección ni respecto de la madre ni del menor, y el hecho de marcharse unilateralmente de la ciudad ha supuesto apartar a este menor de su entorno conocido y familiar, lejos del ambiente donde se ha criado el menor, […] sin autorización judicial ni el consentimiento del padre, pudiendo haber cambiado, por las mismas razones alegadas, de domicilio en esta misma ciudad”.</w:t>
      </w:r>
    </w:p>
    <w:p w14:paraId="30553B28" w14:textId="77777777" w:rsidR="00A8138F" w:rsidRDefault="00A8138F" w:rsidP="00A8138F">
      <w:pPr>
        <w:pStyle w:val="TextoNormal"/>
      </w:pPr>
    </w:p>
    <w:p w14:paraId="05906C1A" w14:textId="77777777" w:rsidR="00A8138F" w:rsidRDefault="00A8138F" w:rsidP="00A8138F">
      <w:pPr>
        <w:pStyle w:val="TextoNormal"/>
      </w:pPr>
      <w:r>
        <w:t xml:space="preserve">Además, aunque reconociendo el derecho de los españoles a elegir libremente su lugar de residencia </w:t>
      </w:r>
      <w:r w:rsidRPr="00A8138F">
        <w:rPr>
          <w:i/>
        </w:rPr>
        <w:t>ex</w:t>
      </w:r>
      <w:r>
        <w:t xml:space="preserve"> art. 19 CE, y con fundamento en la jurisprudencia del Tribunal Supremo sobre la materia, el juzgado considera que “el problema no es este”, sino que “el problema se suscita sobre la procedencia o improcedencia de llevar al menor a residir en otro lugar, lo que puede comportar un cambio radical tanto de su entorno social como parental; uno de los progenitores, con ejercicio conjunto de la patria potestad sobre los hijos, no tiene la facultad de decidir un traslado de residencia del menor que aparte al mismo de su entorno habitual, por corresponder tal facultad a ambos progenitores, necesitando para ello el progenitor del previo consentimiento del otro o, en su defecto, de la supletoria autorización judicial […]. El que uno de los progenitores quiera marcharse a residir a otra ciudad no arrastra con ello el derecho a llevarse a los hijos comunes consigo”.</w:t>
      </w:r>
    </w:p>
    <w:p w14:paraId="7BC8124C" w14:textId="77777777" w:rsidR="00A8138F" w:rsidRDefault="00A8138F" w:rsidP="00A8138F">
      <w:pPr>
        <w:pStyle w:val="TextoNormal"/>
      </w:pPr>
    </w:p>
    <w:p w14:paraId="6D870B09" w14:textId="77777777" w:rsidR="00A8138F" w:rsidRDefault="00A8138F" w:rsidP="00A8138F">
      <w:pPr>
        <w:pStyle w:val="TextoNormal"/>
      </w:pPr>
      <w:r>
        <w:t>En cuanto a las visitas entre el hijo menor y el padre no custodio, el juzgado comienza recordando que el llamado derecho de visitas es “un complejo de derecho-deber o derecho-función, cuyo adecuado cumplimiento tiene por finalidad no satisfacer los deseos o derechos de los progenitores […] sino cubrir las necesidades afectivas y educacionales de los menores en aras a un desarrollo equilibrado de los mismos. […] tal derecho puede encuadrarse entre los de la personalidad y se fundamenta principal, aunque no exclusivamente, en una previa relación jurídico familiar entre visitantes y visitado. Su finalidad no es otra que fomentar las relaciones humanas paternas o materno-filiales y mantener latente la corriente afectiva padres-hijos, pese a la separación o el divorcio, procurando que a los niños no les afecte gravemente la separación de los padres”. Consecuentemente, el auto de medidas provisionales fijó un régimen de visitas a desarrollar en Vitoria-Gasteiz.</w:t>
      </w:r>
    </w:p>
    <w:p w14:paraId="737EDC12" w14:textId="77777777" w:rsidR="00A8138F" w:rsidRDefault="00A8138F" w:rsidP="00A8138F">
      <w:pPr>
        <w:pStyle w:val="TextoNormal"/>
      </w:pPr>
    </w:p>
    <w:p w14:paraId="0B44ACC7" w14:textId="77777777" w:rsidR="00A8138F" w:rsidRDefault="00A8138F" w:rsidP="00A8138F">
      <w:pPr>
        <w:pStyle w:val="TextoNormal"/>
      </w:pPr>
      <w:r>
        <w:t>Más concretamente, se fijó que los encuentros del menor con el progenitor no custodio tendrían lugar los miércoles desde las 16:00 horas hasta las 20:00 horas y fines de semana alternos desde el viernes a las 16:00 horas hasta el domingo a las 20:00 horas. Para las vacaciones, “teniendo en cuenta que el padre no ha tenido relación con el menor desde el mes de noviembre de 2020, durante el mes de agosto de 2021, se establecen unas visitas semanales para cada uno de los progenitores”, debiéndose realizar las entregas y recogidas del menor en el punto de encuentro familiar y siendo la madre la encargada de llevarle a Vitoria-Gasteiz cuando correspondan las visitas con el padre.</w:t>
      </w:r>
    </w:p>
    <w:p w14:paraId="28EB781F" w14:textId="77777777" w:rsidR="00A8138F" w:rsidRDefault="00A8138F" w:rsidP="00A8138F">
      <w:pPr>
        <w:pStyle w:val="TextoNormal"/>
      </w:pPr>
    </w:p>
    <w:p w14:paraId="7ABA8DC5" w14:textId="77777777" w:rsidR="00A8138F" w:rsidRDefault="00A8138F" w:rsidP="00A8138F">
      <w:pPr>
        <w:pStyle w:val="TextoNormal"/>
      </w:pPr>
      <w:r>
        <w:t xml:space="preserve">n) El 27 de septiembre de 2021, doña O.V.R., interpuso incidente de nulidad de actuaciones </w:t>
      </w:r>
      <w:r w:rsidRPr="00A8138F">
        <w:rPr>
          <w:i/>
        </w:rPr>
        <w:t>ex</w:t>
      </w:r>
      <w:r>
        <w:t xml:space="preserve"> arts. 241 de la Ley Orgánica del Poder Judicial (LOPJ) y 228 LEC contra el auto de medidas provisionales de 30 de julio, alegando vulneración del art. 24.1 CE, en su vertiente de derecho a una resolución motivada y fundada en Derecho. Por un lado, la vulneración denunciada se sustenta en una apreciada falta de valoración de las nuevas circunstancias del menor en orden a ponderar su interés superior </w:t>
      </w:r>
      <w:r w:rsidRPr="00A8138F">
        <w:rPr>
          <w:i/>
        </w:rPr>
        <w:t>ex</w:t>
      </w:r>
      <w:r>
        <w:t xml:space="preserve"> art. 39 CE, a saber, su integración en la ciudad de A Coruña, lugar de residencia de los abuelos maternos, donde convive con doña O.V.R., y se encuentra empadronado y escolarizado. Por otro, la infracción del art. </w:t>
      </w:r>
      <w:r>
        <w:lastRenderedPageBreak/>
        <w:t xml:space="preserve">24.1 CE se conecta con una injustificada restricción del art. 19 CE, entendiendo la recurrente que al obligar al ejercicio de la guarda y custodia en la ciudad de Vitoria-Gasteiz se adopta una decisión judicial que impone, </w:t>
      </w:r>
      <w:r w:rsidRPr="00A8138F">
        <w:rPr>
          <w:i/>
        </w:rPr>
        <w:t>de facto</w:t>
      </w:r>
      <w:r>
        <w:t>, una restricción no motivada de su libertad de circulación y residencia. Para la ahora demandante de amparo, en el auto controvertido no se ponderan las razones que, en interés superior del menor, justifican el traslado a Vitoria-Gasteiz, ni se identifican los riesgos o perjuicios que se derivan de su residencia en A Coruña.</w:t>
      </w:r>
    </w:p>
    <w:p w14:paraId="13AA14C8" w14:textId="77777777" w:rsidR="00A8138F" w:rsidRDefault="00A8138F" w:rsidP="00A8138F">
      <w:pPr>
        <w:pStyle w:val="TextoNormal"/>
      </w:pPr>
    </w:p>
    <w:p w14:paraId="2FA53473" w14:textId="77777777" w:rsidR="00A8138F" w:rsidRDefault="00A8138F" w:rsidP="00A8138F">
      <w:pPr>
        <w:pStyle w:val="TextoNormal"/>
      </w:pPr>
      <w:r>
        <w:t>ñ) En respuesta a la solicitud de aclaración de don J.V.O., con fecha 15 de octubre de 2021, el Juzgado de Violencia sobre la Mujer de Vitoria-Gasteiz subsanó las omisiones del auto núm. 81/2021 especificando, por un lado, el deber de ambos progenitores de facilitar la comunicación con el padre o la madre, según correspondiera, aquellos días en los que el menor no se encontrara en su compañía y, por otro, que el lugar de entrega y recogida del menor los miércoles y viernes sería el centro escolar o, en su caso, el punto de encuentro familiar.</w:t>
      </w:r>
    </w:p>
    <w:p w14:paraId="16EB43DA" w14:textId="77777777" w:rsidR="00A8138F" w:rsidRDefault="00A8138F" w:rsidP="00A8138F">
      <w:pPr>
        <w:pStyle w:val="TextoNormal"/>
      </w:pPr>
    </w:p>
    <w:p w14:paraId="4ED107AC" w14:textId="77777777" w:rsidR="00A8138F" w:rsidRDefault="00A8138F" w:rsidP="00A8138F">
      <w:pPr>
        <w:pStyle w:val="TextoNormal"/>
      </w:pPr>
      <w:r>
        <w:t>La representación procesal de doña O.V.R., instó, a su vez, aclaración del auto de 15 de octubre de 2021, siendo la misma denegada el siguiente 27 de octubre.</w:t>
      </w:r>
    </w:p>
    <w:p w14:paraId="221F35D5" w14:textId="77777777" w:rsidR="00A8138F" w:rsidRDefault="00A8138F" w:rsidP="00A8138F">
      <w:pPr>
        <w:pStyle w:val="TextoNormal"/>
      </w:pPr>
    </w:p>
    <w:p w14:paraId="3F4D94D3" w14:textId="77777777" w:rsidR="00A8138F" w:rsidRDefault="00A8138F" w:rsidP="00A8138F">
      <w:pPr>
        <w:pStyle w:val="TextoNormal"/>
      </w:pPr>
      <w:r>
        <w:t>o) Por auto de 17 de diciembre de 2021, el Juzgado de Violencia sobre la Mujer de Vitoria-Gasteiz desestimó el incidente de nulidad de actuaciones interpuesto por doña O.V.R., contra el auto núm. 81/2021, condenando a la parte solicitante al pago de todas las costas causadas.</w:t>
      </w:r>
    </w:p>
    <w:p w14:paraId="7A2D807A" w14:textId="77777777" w:rsidR="00A8138F" w:rsidRDefault="00A8138F" w:rsidP="00A8138F">
      <w:pPr>
        <w:pStyle w:val="TextoNormal"/>
      </w:pPr>
    </w:p>
    <w:p w14:paraId="578FD04B" w14:textId="77777777" w:rsidR="00A8138F" w:rsidRDefault="00A8138F" w:rsidP="00A8138F">
      <w:pPr>
        <w:pStyle w:val="TextoNormal"/>
      </w:pPr>
      <w:r>
        <w:t>De conformidad con el fundamento de Derecho segundo del referido auto, “[e]l hecho de que la decisión en cuanto al fondo no sea del agrado de la parte recurrente no significa que la juzgadora no haya motivado su decisión. La misma se encuentra suficientemente motivada cuando refiere que, a su juicio, el entorno social y parental de la menor se encuentra en Vitoria y que no existen motivos para el cambio de residencia [y que] corresponde a ambos progenitores, como titulares de la patria potestad, la facultad de decidir el posible cambio de residencia”.</w:t>
      </w:r>
    </w:p>
    <w:p w14:paraId="219275BA" w14:textId="77777777" w:rsidR="00A8138F" w:rsidRDefault="00A8138F" w:rsidP="00A8138F">
      <w:pPr>
        <w:pStyle w:val="TextoNormal"/>
      </w:pPr>
    </w:p>
    <w:p w14:paraId="5D779964" w14:textId="77777777" w:rsidR="00A8138F" w:rsidRDefault="00A8138F" w:rsidP="00A8138F">
      <w:pPr>
        <w:pStyle w:val="TextoNormal"/>
      </w:pPr>
      <w:r>
        <w:t>p) La representación procesal de doña O.V.R., solicitó aclaración del auto de 17 de diciembre de 2021 por entender que, al desestimar la anulación, el Juzgado de Violencia sobre la Mujer de Vitoria-Gasteiz no se pronunció sobre la afectación de su libertad de circulación y residencia.</w:t>
      </w:r>
    </w:p>
    <w:p w14:paraId="6B2969CB" w14:textId="77777777" w:rsidR="00A8138F" w:rsidRDefault="00A8138F" w:rsidP="00A8138F">
      <w:pPr>
        <w:pStyle w:val="TextoNormal"/>
      </w:pPr>
    </w:p>
    <w:p w14:paraId="56C05C65" w14:textId="7463BFC0" w:rsidR="00A8138F" w:rsidRDefault="00A8138F" w:rsidP="00A8138F">
      <w:pPr>
        <w:pStyle w:val="TextoNormal"/>
      </w:pPr>
      <w:r>
        <w:t>La solicitud fue desestimada por auto de 2 de febrero de 2022 al considerar el juzgado que la resolución respecto de la cual se solicitaba la aclaración incluía “de forma detallada los motivos por los que se considera que no se ha incurrido en causa de nulidad”.</w:t>
      </w:r>
    </w:p>
    <w:p w14:paraId="34BC0148" w14:textId="77777777" w:rsidR="00A8138F" w:rsidRDefault="00A8138F" w:rsidP="00A8138F">
      <w:pPr>
        <w:pStyle w:val="TextoNormal"/>
      </w:pPr>
    </w:p>
    <w:p w14:paraId="132F18DB" w14:textId="77777777" w:rsidR="00A8138F" w:rsidRDefault="00A8138F" w:rsidP="00A8138F">
      <w:pPr>
        <w:pStyle w:val="TextoNormal"/>
      </w:pPr>
      <w:r w:rsidRPr="00A8138F">
        <w:rPr>
          <w:rStyle w:val="NumeroAFNegritaCaracter"/>
        </w:rPr>
        <w:t>3</w:t>
      </w:r>
      <w:r>
        <w:t>. La recurrente en amparo considera que el auto 81/2021, de 30 de julio, por el que el Juzgado de Violencia sobre la Mujer núm. 1 de Vitoria-Gasteiz estimó parcialmente la demanda de medidas provisionales (12/2021, presentada por don J.V.O., vulnera el art. 24.1 CE en su vertiente de derecho a una resolución judicial motivada y fundada en Derecho, en conexión con el principio del interés superior del menor (art. 39 CE) y con el derecho a la libertad de circulación y residencia (art. 19 CE).</w:t>
      </w:r>
    </w:p>
    <w:p w14:paraId="7B2F3B1C" w14:textId="77777777" w:rsidR="00A8138F" w:rsidRDefault="00A8138F" w:rsidP="00A8138F">
      <w:pPr>
        <w:pStyle w:val="TextoNormal"/>
      </w:pPr>
    </w:p>
    <w:p w14:paraId="080C694A" w14:textId="77777777" w:rsidR="00A8138F" w:rsidRDefault="00A8138F" w:rsidP="00A8138F">
      <w:pPr>
        <w:pStyle w:val="TextoNormal"/>
      </w:pPr>
      <w:r>
        <w:lastRenderedPageBreak/>
        <w:t>Por un lado, para doña O.V.R., el auto de medidas provisionales, que resuelve el ejercicio de la custodia del hijo común con don J.V.O., en la ciudad de Vitoria-Gasteiz (lugar de la residencia familiar hasta el 5 de noviembre de 2020, cuando la demandante de amparo se traslada a la ciudad de A Coruña), no ponderó la nueva situación del menor, a saber, su integración en la nueva ciudad de residencia donde se encuentra empadronado y escolarizado, conviviendo con su madre y en el entorno de la familia de esta. Para la ahora demandante de amparo, el auto recurrido no tuvo en cuenta las razones que justificaron, en beneficio del menor, su traslado desde Vitoria, siendo su nuevo entorno más seguro y encontrándose ya su hijo escolarizado en Galicia. Por otro lado, para la recurrente en amparo, el auto 81/2021 restringe inmotivadamente su derecho a la libertad de circulación y residencia, eludiendo la resolución controvertida cualquier argumento sobre el que sustentar el regreso a la ciudad de Vitoria-Gasteiz, máxime cuando “el motivo de la ruptura de la relación se produce por sucesos graves de trascendencia penal”. En opinión de la ahora demandante de amparo, la resolución objeto del presente recurso no identifica los beneficios ni los perjuicios que podrían repercutir en la situación del menor el regreso a la ciudad de Vitoria-Gasteiz.</w:t>
      </w:r>
    </w:p>
    <w:p w14:paraId="4CA5521A" w14:textId="77777777" w:rsidR="00A8138F" w:rsidRDefault="00A8138F" w:rsidP="00A8138F">
      <w:pPr>
        <w:pStyle w:val="TextoNormal"/>
      </w:pPr>
    </w:p>
    <w:p w14:paraId="66BFBA8B" w14:textId="78ACE2F2" w:rsidR="00A8138F" w:rsidRDefault="00A8138F" w:rsidP="00A8138F">
      <w:pPr>
        <w:pStyle w:val="TextoNormal"/>
      </w:pPr>
      <w:r>
        <w:t>De conformidad con lo dispuesto en el art. 56 de la Ley Orgánica del Tribunal Constitucional (LOTC) y por primer otrosí digo, doña O.V.R., interesó la suspensión del auto 81/2021, de 30 de julio, del Juzgado de Violencia sobre la Mujer de Vitoria-Gasteiz. Y ello por entender que el traslado de su residencia a la ciudad de Vitoria-Gasteiz afectaría a la seguridad, estabilidad y tranquilidad adquiridas por el menor y la madre en su nuevo entorno, obligando a esta a asumir una pena no escrita, la de soportar la cercanía de su agresor. Para doña O.V.R., tanto ella como su hijo menor vivían en un entorno seguro desde el 5 de noviembre de 2020, resultando “extraordinario” que se le obligara a regresar e instalarse en la ciudad donde reside su agresor.</w:t>
      </w:r>
    </w:p>
    <w:p w14:paraId="4A22939D" w14:textId="77777777" w:rsidR="00A8138F" w:rsidRDefault="00A8138F" w:rsidP="00A8138F">
      <w:pPr>
        <w:pStyle w:val="TextoNormal"/>
      </w:pPr>
    </w:p>
    <w:p w14:paraId="7CBBB97B" w14:textId="77777777" w:rsidR="00A8138F" w:rsidRDefault="00A8138F" w:rsidP="00A8138F">
      <w:pPr>
        <w:pStyle w:val="TextoNormal"/>
      </w:pPr>
      <w:r w:rsidRPr="00A8138F">
        <w:rPr>
          <w:rStyle w:val="NumeroAFNegritaCaracter"/>
        </w:rPr>
        <w:t>4</w:t>
      </w:r>
      <w:r>
        <w:t>. La Sección Primera del Tribunal Constitucional, mediante providencia de 10 de octubre de 2022, acordó admitir a trámite el recurso de amparo apreciando que concurre en el mismo especial trascendencia constitucional (art. 50.1 LOTC) al plantear un problema o afectar a una faceta de un derecho fundamental sobre el que no hay doctrina de este tribunal [STC 155/2009, de 25 de junio, FJ 2 a)].</w:t>
      </w:r>
    </w:p>
    <w:p w14:paraId="2C549F52" w14:textId="77777777" w:rsidR="00A8138F" w:rsidRDefault="00A8138F" w:rsidP="00A8138F">
      <w:pPr>
        <w:pStyle w:val="TextoNormal"/>
      </w:pPr>
    </w:p>
    <w:p w14:paraId="47A7BEA8" w14:textId="7777F890" w:rsidR="00A8138F" w:rsidRDefault="00A8138F" w:rsidP="00A8138F">
      <w:pPr>
        <w:pStyle w:val="TextoNormal"/>
      </w:pPr>
      <w:r>
        <w:t>En la misma providencia se acordó, en aplicación de lo dispuesto en el art. 51 LOTC, dirigir atenta comunicación al Juzgado de Violencia sobre la Mujer núm. 1 de Vitoria-Gasteiz a fin de que, en plazo no superior a diez días, remitiera certificación o fotocopia adverada de las actuaciones correspondientes al procedimiento de medidas provisionales 12-2021-P, debiendo emplazar previamente a quienes hubieran sido parte, excepto la recurrente en amparo, para que en el plazo de diez días pudieran comparecer si así lo deseaban.</w:t>
      </w:r>
    </w:p>
    <w:p w14:paraId="7E76A6C4" w14:textId="77777777" w:rsidR="00A8138F" w:rsidRDefault="00A8138F" w:rsidP="00A8138F">
      <w:pPr>
        <w:pStyle w:val="TextoNormal"/>
      </w:pPr>
    </w:p>
    <w:p w14:paraId="61D2C6B5" w14:textId="77777777" w:rsidR="00A8138F" w:rsidRDefault="00A8138F" w:rsidP="00A8138F">
      <w:pPr>
        <w:pStyle w:val="TextoNormal"/>
      </w:pPr>
      <w:r w:rsidRPr="00A8138F">
        <w:rPr>
          <w:rStyle w:val="NumeroAFNegritaCaracter"/>
        </w:rPr>
        <w:t>5</w:t>
      </w:r>
      <w:r>
        <w:t>. Mediante providencia de 10 de octubre de 2022 se acordó, a solicitud de la parte actora, la formación de pieza separada de suspensión, iniciándose su tramitación conforme al art. 56 LOTC.</w:t>
      </w:r>
    </w:p>
    <w:p w14:paraId="1101CD94" w14:textId="77777777" w:rsidR="00A8138F" w:rsidRDefault="00A8138F" w:rsidP="00A8138F">
      <w:pPr>
        <w:pStyle w:val="TextoNormal"/>
      </w:pPr>
    </w:p>
    <w:p w14:paraId="0353C975" w14:textId="4A5AB48D" w:rsidR="00A8138F" w:rsidRDefault="00A8138F" w:rsidP="00A8138F">
      <w:pPr>
        <w:pStyle w:val="TextoNormal"/>
      </w:pPr>
      <w:r>
        <w:t xml:space="preserve">Por escrito presentado el 1 de febrero de 2023 en el registro de este tribunal, don J.V.O., interesó la denegación de la suspensión solicitada por pérdida sobrevenida de objeto, al haber dictado el Juzgado de Violencia sobre la Mujer de Vitoria-Gasteiz sentencia definitiva, núm. 2/2023, de 23 de enero, en el procedimiento de divorcio contencioso núm. 102-2021. </w:t>
      </w:r>
      <w:r>
        <w:lastRenderedPageBreak/>
        <w:t>A la solicitud de desestimación de la suspensión de pérdida de objeto, doña O.V.R., opuso la pendencia de otros procedimientos instados en contrario.</w:t>
      </w:r>
    </w:p>
    <w:p w14:paraId="262F15B4" w14:textId="77777777" w:rsidR="00A8138F" w:rsidRDefault="00A8138F" w:rsidP="00A8138F">
      <w:pPr>
        <w:pStyle w:val="TextoNormal"/>
      </w:pPr>
    </w:p>
    <w:p w14:paraId="44AC2E6A" w14:textId="6CB48069" w:rsidR="00A8138F" w:rsidRDefault="00A8138F" w:rsidP="00A8138F">
      <w:pPr>
        <w:pStyle w:val="TextoNormal"/>
      </w:pPr>
      <w:r w:rsidRPr="00A8138F">
        <w:rPr>
          <w:rStyle w:val="NumeroAFNegritaCaracter"/>
        </w:rPr>
        <w:t>6</w:t>
      </w:r>
      <w:r>
        <w:t>. Mediante diligencia de ordenación del secretario de justicia de la Sala Primera del Tribunal Constitucional de 11 de noviembre de 2022, se acordó tener por personada y parte en el procedimiento a la procuradora doña Isabel Gómez Pérez de Mendiola, en nombre y representación de don J.V.O., y dar vista de las actuaciones recibidas a las partes personadas y al Ministerio Fiscal por plazo común de veinte días, dentro de los cuales podrían presentar las alegaciones que estimasen pertinentes, conforme determina el art. 52.1 LOTC.</w:t>
      </w:r>
    </w:p>
    <w:p w14:paraId="54071B86" w14:textId="77777777" w:rsidR="00A8138F" w:rsidRDefault="00A8138F" w:rsidP="00A8138F">
      <w:pPr>
        <w:pStyle w:val="TextoNormal"/>
      </w:pPr>
    </w:p>
    <w:p w14:paraId="39A8E990" w14:textId="481B9766" w:rsidR="00A8138F" w:rsidRDefault="00A8138F" w:rsidP="00A8138F">
      <w:pPr>
        <w:pStyle w:val="TextoNormal"/>
      </w:pPr>
      <w:r w:rsidRPr="00A8138F">
        <w:rPr>
          <w:rStyle w:val="NumeroAFNegritaCaracter"/>
        </w:rPr>
        <w:t>7</w:t>
      </w:r>
      <w:r>
        <w:t xml:space="preserve">. Don J.V.O., formuló alegaciones por escrito registrado el 12 de diciembre de 2022. Adujo que doña O.V.R., sacó abruptamente al hijo común de su entorno no solo sin el consentimiento de su padre, sino sin tener en cuenta los propios intereses y deseos del menor. Esta parte alegó que el derecho a la libertad de circulación y residencia </w:t>
      </w:r>
      <w:r w:rsidRPr="00A8138F">
        <w:rPr>
          <w:i/>
        </w:rPr>
        <w:t>ex</w:t>
      </w:r>
      <w:r>
        <w:t xml:space="preserve"> art. 19 CE debe ejercerse de buena fe, sin entorpecer el ejercicio de otros derechos y cediendo “ante derechos a los que la ley atribuya mayor rango o protección”. Para don J.V.O., con su recurso de amparo la demandante pretende consolidar una situación que nace de una grave y unilateral vulneración de derechos, resultando el auto de 30 de julio de 2021 suficientemente motivado al explicar por qué la situación impuesta unilateralmente por doña O.V.R., es contraria al interés del menor y que este se protege reintegrándolo en su lugar de residencia.</w:t>
      </w:r>
    </w:p>
    <w:p w14:paraId="46DFE8A1" w14:textId="77777777" w:rsidR="00A8138F" w:rsidRDefault="00A8138F" w:rsidP="00A8138F">
      <w:pPr>
        <w:pStyle w:val="TextoNormal"/>
      </w:pPr>
    </w:p>
    <w:p w14:paraId="0276EE25" w14:textId="594007A4" w:rsidR="00A8138F" w:rsidRDefault="00A8138F" w:rsidP="00A8138F">
      <w:pPr>
        <w:pStyle w:val="TextoNormal"/>
      </w:pPr>
      <w:r w:rsidRPr="00A8138F">
        <w:rPr>
          <w:rStyle w:val="NumeroAFNegritaCaracter"/>
        </w:rPr>
        <w:t>8</w:t>
      </w:r>
      <w:r>
        <w:t xml:space="preserve">. En escrito de 14 de diciembre de 2022, doña O.V.R., reiteró, en esencia, los argumentos en que fundamentó su recurso de amparo, a saber, la vulneración del art. 24.1 CE con motivo de la falta de ponderación de la nueva situación del menor y, en conexión con su libertad de circulación y residencia, por no identificar los beneficios que reporta al menor su reintegración en Vitoria-Gasteiz ni, </w:t>
      </w:r>
      <w:r w:rsidRPr="00A8138F">
        <w:rPr>
          <w:i/>
        </w:rPr>
        <w:t>sensu contrario</w:t>
      </w:r>
      <w:r>
        <w:t>, los perjuicios que se derivarían de su permanencia en A Coruña. En su escrito, doña O.V.R., aduce que el órgano judicial debería haber tenido en cuenta su condición de víctima de violencia de género, recordando que el temor y miedo de las víctimas no depende de la existencia o no de una orden de protección. Para doña O.V.R., la edad del menor y su nuevo entorno escolar, residencial, social y familiar debieron ser objeto de un examen eficaz, en el que además tendría que haberse considerado el deber de protección del menor frente a la violencia.</w:t>
      </w:r>
    </w:p>
    <w:p w14:paraId="1711D585" w14:textId="77777777" w:rsidR="00A8138F" w:rsidRDefault="00A8138F" w:rsidP="00A8138F">
      <w:pPr>
        <w:pStyle w:val="TextoNormal"/>
      </w:pPr>
    </w:p>
    <w:p w14:paraId="63D78137" w14:textId="77777777" w:rsidR="00A8138F" w:rsidRDefault="00A8138F" w:rsidP="00A8138F">
      <w:pPr>
        <w:pStyle w:val="TextoNormal"/>
      </w:pPr>
      <w:r w:rsidRPr="00A8138F">
        <w:rPr>
          <w:rStyle w:val="NumeroAFNegritaCaracter"/>
        </w:rPr>
        <w:t>9</w:t>
      </w:r>
      <w:r>
        <w:t>. El fiscal presentó sus alegaciones el día 21 de diciembre de 2022 en el registro de este tribunal interesando la estimación del recurso de amparo.</w:t>
      </w:r>
    </w:p>
    <w:p w14:paraId="547C823F" w14:textId="77777777" w:rsidR="00A8138F" w:rsidRDefault="00A8138F" w:rsidP="00A8138F">
      <w:pPr>
        <w:pStyle w:val="TextoNormal"/>
      </w:pPr>
    </w:p>
    <w:p w14:paraId="02D07908" w14:textId="22E3542A" w:rsidR="00A8138F" w:rsidRDefault="00A8138F" w:rsidP="00A8138F">
      <w:pPr>
        <w:pStyle w:val="TextoNormal"/>
      </w:pPr>
      <w:r>
        <w:t xml:space="preserve">Partiendo de la doctrina constitucional sobre el interés superior del menor y el deber de motivación reforzada de las resoluciones judiciales en conexión con el mandato del art. 39 CE, el fiscal interesó el otorgamiento a doña O.V.R., del amparo solicitado, el restablecimiento en sus derechos y la consecuente anulación del auto 81/2021 del Juzgado de Violencia sobre la Mujer núm. 1 de Vitoria-Gasteiz. Advierte la Fiscalía que el auto controvertido desconoce las alegaciones de doña O.V.R., sobre la existencia de violencia. Y ello a pesar de que la resolución impugnada no solo admite que la agresión fue denunciada, sino que acuerda que, en cumplimiento del régimen de visitas a favor del progenitor no custodio, las entregas del menor se realicen a través del punto de encuentro familiar, lo que en opinión de la Fiscalía supone reconocer la existencia de una situación grave de conflicto. Para el fiscal, el juzgado no ponderó elementos determinantes para su decisión, esto es, la existencia </w:t>
      </w:r>
      <w:r>
        <w:lastRenderedPageBreak/>
        <w:t>de un episodio de violencia de género, cuando el Ministerio Fiscal ya había formulado escrito de acusación. Se advierte, además, la inobservancia del art. 94 CC, en su redacción dada por la Ley 8/2021, de 2 de junio, por las resoluciones judiciales posteriores que confirmaron la impugnada. Finalmente, para la Fiscalía, el auto núm. 81/2021 no solo condiciona, sino que “anula la libertad de elección de residencia” de doña O.V.R., al impedirle optar por mantener su domicilio en Galicia e imponerle, sin cobertura legal de ningún tipo, el traslado al País Vasco.</w:t>
      </w:r>
    </w:p>
    <w:p w14:paraId="290A8F0C" w14:textId="77777777" w:rsidR="00A8138F" w:rsidRDefault="00A8138F" w:rsidP="00A8138F">
      <w:pPr>
        <w:pStyle w:val="TextoNormal"/>
      </w:pPr>
    </w:p>
    <w:p w14:paraId="4F784743" w14:textId="04CF159A" w:rsidR="00A8138F" w:rsidRDefault="00A8138F" w:rsidP="00A8138F">
      <w:pPr>
        <w:pStyle w:val="TextoNormal"/>
      </w:pPr>
      <w:r w:rsidRPr="00A8138F">
        <w:rPr>
          <w:rStyle w:val="NumeroAFNegritaCaracter"/>
        </w:rPr>
        <w:t>10</w:t>
      </w:r>
      <w:r>
        <w:t>. Mediante diligencia del secretario de justicia de la Sala Segunda del Tribunal Constitucional de 18 de enero de 2023, y en virtud de lo acordado por el Pleno del Tribunal Constitucional el día 17 de enero de 2023, publicado en el “BOE” de 19 de enero, el presente recurso de amparo fue turnado a la Sala Segunda del Tribunal Constitucional, lo que se puso en conocimiento de las partes y del Ministerio Fiscal a los efectos oportunos.</w:t>
      </w:r>
    </w:p>
    <w:p w14:paraId="182C8686" w14:textId="77777777" w:rsidR="00A8138F" w:rsidRDefault="00A8138F" w:rsidP="00A8138F">
      <w:pPr>
        <w:pStyle w:val="TextoNormal"/>
      </w:pPr>
    </w:p>
    <w:p w14:paraId="2AEFE747" w14:textId="50885B72" w:rsidR="00A8138F" w:rsidRDefault="00A8138F" w:rsidP="00A8138F">
      <w:pPr>
        <w:pStyle w:val="TextoNormal"/>
      </w:pPr>
      <w:r w:rsidRPr="00A8138F">
        <w:rPr>
          <w:rStyle w:val="NumeroAFNegritaCaracter"/>
        </w:rPr>
        <w:t>11</w:t>
      </w:r>
      <w:r>
        <w:t>. Por providencia de 6 de marzo de 2025, se señaló para deliberación y votación de la presente sentencia el día 10 del mismo mes y año.</w:t>
      </w:r>
    </w:p>
    <w:p w14:paraId="30A38150" w14:textId="77777777" w:rsidR="00A8138F" w:rsidRDefault="00A8138F" w:rsidP="00A8138F">
      <w:pPr>
        <w:pStyle w:val="TextoNormal"/>
      </w:pPr>
    </w:p>
    <w:p w14:paraId="340EC4E2" w14:textId="77777777" w:rsidR="00A8138F" w:rsidRDefault="00A8138F" w:rsidP="00A8138F">
      <w:pPr>
        <w:pStyle w:val="TextoNormalNegritaCentrado"/>
        <w:keepNext/>
      </w:pPr>
      <w:r>
        <w:t>II. Fundamentos jurídicos</w:t>
      </w:r>
    </w:p>
    <w:p w14:paraId="4876D803" w14:textId="1249CB73" w:rsidR="00A8138F" w:rsidRDefault="00A8138F" w:rsidP="00A8138F">
      <w:pPr>
        <w:pStyle w:val="TextoNormalNegritaCentrado"/>
        <w:keepNext/>
      </w:pPr>
    </w:p>
    <w:p w14:paraId="35168B3E" w14:textId="77777777" w:rsidR="00A8138F" w:rsidRDefault="00A8138F" w:rsidP="00A8138F">
      <w:pPr>
        <w:pStyle w:val="TextoNormal"/>
      </w:pPr>
      <w:r w:rsidRPr="00A8138F">
        <w:rPr>
          <w:rStyle w:val="NumeroAFNegritaCaracter"/>
        </w:rPr>
        <w:t>1</w:t>
      </w:r>
      <w:r>
        <w:t xml:space="preserve">. </w:t>
      </w:r>
      <w:r w:rsidRPr="00A8138F">
        <w:rPr>
          <w:i/>
        </w:rPr>
        <w:t>Objeto del recurso de amparo y pretensiones de las partes</w:t>
      </w:r>
    </w:p>
    <w:p w14:paraId="3F7D4A3F" w14:textId="77777777" w:rsidR="00A8138F" w:rsidRDefault="00A8138F" w:rsidP="00A8138F">
      <w:pPr>
        <w:pStyle w:val="TextoNormal"/>
      </w:pPr>
    </w:p>
    <w:p w14:paraId="4E38338F" w14:textId="77777777" w:rsidR="00A8138F" w:rsidRDefault="00A8138F" w:rsidP="00A8138F">
      <w:pPr>
        <w:pStyle w:val="TextoNormal"/>
      </w:pPr>
      <w:r>
        <w:t>El presente recurso de amparo se interpone contra el auto núm. 81/2021, de 30 de julio, dictado en los autos de medidas provisionales 12/2021 por el Juzgado de Violencia sobre la Mujer núm. 1 de Vitoria-Gasteiz, aclarado por auto de 15 de octubre del mismo año y contra el que se interpuso incidente de nulidad de actuaciones, desestimado el 17 de diciembre de 2021 y respecto del que se solicitó aclaración, rechazada el 2 de febrero de 2022.</w:t>
      </w:r>
    </w:p>
    <w:p w14:paraId="046290DE" w14:textId="77777777" w:rsidR="00A8138F" w:rsidRDefault="00A8138F" w:rsidP="00A8138F">
      <w:pPr>
        <w:pStyle w:val="TextoNormal"/>
      </w:pPr>
    </w:p>
    <w:p w14:paraId="311EB7B1" w14:textId="77777777" w:rsidR="00A8138F" w:rsidRDefault="00A8138F" w:rsidP="00A8138F">
      <w:pPr>
        <w:pStyle w:val="TextoNormal"/>
      </w:pPr>
      <w:r>
        <w:t>La recurrente considera que el auto núm. 81/2021 vulnera su derecho a la tutela judicial efectiva, en la faceta de derecho a una resolución judicial motivada y fundada en Derecho (art. 24.1 CE), en conexión con el principio del interés superior del menor (art. 39 CE) y con su derecho a la libertad de circulación y residencia (art. 19 CE).</w:t>
      </w:r>
    </w:p>
    <w:p w14:paraId="17E7251B" w14:textId="77777777" w:rsidR="00A8138F" w:rsidRDefault="00A8138F" w:rsidP="00A8138F">
      <w:pPr>
        <w:pStyle w:val="TextoNormal"/>
      </w:pPr>
    </w:p>
    <w:p w14:paraId="7534B7EE" w14:textId="77777777" w:rsidR="00A8138F" w:rsidRDefault="00A8138F" w:rsidP="00A8138F">
      <w:pPr>
        <w:pStyle w:val="TextoNormal"/>
      </w:pPr>
      <w:r>
        <w:t>Como se ha expuesto con detalle en los antecedentes de esta sentencia, doña O.V.R., defiende que el auto impugnado, por el que se le impuso con carácter provisional el ejercicio de la guarda y custodia del hijo menor que tiene en común con don J.V.O., en la ciudad de Vitoria-Gasteiz, conculca su derecho a la tutela judicial efectiva al no haber ponderado suficientemente, a efectos de la salvaguarda del interés superior del menor, la situación de integración de su hijo en su nueva ciudad de residencia, que es la de sus abuelos maternos y donde se encuentra empadronado y escolarizado. En su escrito de alegaciones, doña O.V.R., aduce que el regreso a Vitoria-Gasteiz, de donde dice haber huido con motivo de un episodio de violencia de género, supondría despojarle a ella y a su hijo de un nuevo entorno social y familiar tranquilo y estable, sometiéndola a la pena no escrita de soportar la cercanía de su agresor. En opinión de la ahora demandante de amparo, la resolución objeto de esta sentencia habría además vulnerado el art. 24.1 CE en conexión con el art. 19 CE, al no identificar el juzgado los beneficios que reporta al menor el regreso a la ciudad de Vitoria-Gasteiz o, por el contrario, los perjuicios que se derivarían del mantenimiento de su nueva residencia en A Coruña, dejando de este modo a su resolución huérfana de todo ar</w:t>
      </w:r>
      <w:r>
        <w:lastRenderedPageBreak/>
        <w:t>gumento que fundamente lo que considera una restricción, por la vía de los hechos, de su libertad de circulación y residencia. Por tanto, las quejas de doña O.V.R., se circunscriben en exclusiva al deber de ejercicio de la guarda y custodia del hijo menor que tiene en común con don J.V.O., en Vitoria-Gasteiz, no pudiendo deducir del tenor de la demanda de amparo reproche alguno dirigido contra los demás extremos sobre los que se pronuncia el auto de 30 de julio de 2021.</w:t>
      </w:r>
    </w:p>
    <w:p w14:paraId="2D3E9726" w14:textId="77777777" w:rsidR="00A8138F" w:rsidRDefault="00A8138F" w:rsidP="00A8138F">
      <w:pPr>
        <w:pStyle w:val="TextoNormal"/>
      </w:pPr>
    </w:p>
    <w:p w14:paraId="4CE8A876" w14:textId="77777777" w:rsidR="00A8138F" w:rsidRDefault="00A8138F" w:rsidP="00A8138F">
      <w:pPr>
        <w:pStyle w:val="TextoNormal"/>
      </w:pPr>
      <w:r>
        <w:t>Por su parte, en sus alegaciones, la representación procesal de don J.V.O., arguye que doña O.V.R., sacó al menor abruptamente, y sin cobertura legal, de su entorno habitual sin tener para ello el consentimiento paterno ni haber considerado los intereses y deseos de su hijo, tratando de consolidar, con su recurso de amparo, una situación que nace de una grave y unilateral vulneración de derechos.</w:t>
      </w:r>
    </w:p>
    <w:p w14:paraId="7F819AA0" w14:textId="77777777" w:rsidR="00A8138F" w:rsidRDefault="00A8138F" w:rsidP="00A8138F">
      <w:pPr>
        <w:pStyle w:val="TextoNormal"/>
      </w:pPr>
    </w:p>
    <w:p w14:paraId="5E60AA64" w14:textId="77777777" w:rsidR="00A8138F" w:rsidRDefault="00A8138F" w:rsidP="00A8138F">
      <w:pPr>
        <w:pStyle w:val="TextoNormal"/>
      </w:pPr>
      <w:r>
        <w:t>El fiscal interesa la estimación del recurso, solicitando el restablecimiento de doña O.V.R., en sus derechos y la consecuente anulación del auto 81/2021 del Juzgado de Violencia sobre la Mujer de Vitoria-Gasteiz. Para la Fiscalía, el auto controvertido desconoció las alegaciones de doña O.V.R., sobre la existencia de violencia de género, incurriendo de este modo en una vulneración del art. 24.1 CE que, en conexión con el art. 19 CE, habría sido igualmente conculcado con motivo de la imposición de un deber, carente de respaldo legal, de traslado a la ciudad de Vitoria-Gasteiz para el ejercicio de la guarda y custodia de su hijo menor.</w:t>
      </w:r>
    </w:p>
    <w:p w14:paraId="6835436C" w14:textId="77777777" w:rsidR="00A8138F" w:rsidRDefault="00A8138F" w:rsidP="00A8138F">
      <w:pPr>
        <w:pStyle w:val="TextoNormal"/>
      </w:pPr>
    </w:p>
    <w:p w14:paraId="5ACACA33" w14:textId="23C45066" w:rsidR="00A8138F" w:rsidRDefault="00A8138F" w:rsidP="00A8138F">
      <w:pPr>
        <w:pStyle w:val="TextoNormal"/>
      </w:pPr>
      <w:r>
        <w:t>Ya que los hechos que conforman los antecedentes del recurso de amparo al que da respuesta esta sentencia hacen referencia a una persona menor de edad, y con ánimo de preservar su intimidad, la presente sentencia no incluye la identificación completa de esta ni la de sus parientes inmediatos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(“BOE” núm. 178, de 27 de julio de 2015).</w:t>
      </w:r>
    </w:p>
    <w:p w14:paraId="51847C74" w14:textId="77777777" w:rsidR="00A8138F" w:rsidRDefault="00A8138F" w:rsidP="00A8138F">
      <w:pPr>
        <w:pStyle w:val="TextoNormal"/>
      </w:pPr>
    </w:p>
    <w:p w14:paraId="78DA116F" w14:textId="77777777" w:rsidR="00A8138F" w:rsidRDefault="00A8138F" w:rsidP="00A8138F">
      <w:pPr>
        <w:pStyle w:val="TextoNormal"/>
      </w:pPr>
      <w:r w:rsidRPr="00A8138F">
        <w:rPr>
          <w:rStyle w:val="NumeroAFNegritaCaracter"/>
        </w:rPr>
        <w:t>2</w:t>
      </w:r>
      <w:r>
        <w:t xml:space="preserve">. </w:t>
      </w:r>
      <w:r w:rsidRPr="00A8138F">
        <w:rPr>
          <w:i/>
        </w:rPr>
        <w:t>Canon de enjuiciamiento. El deber de motivación reforzada</w:t>
      </w:r>
      <w:r>
        <w:t xml:space="preserve"> ex </w:t>
      </w:r>
      <w:r w:rsidRPr="00A8138F">
        <w:rPr>
          <w:i/>
        </w:rPr>
        <w:t>art. 24.1 CE</w:t>
      </w:r>
    </w:p>
    <w:p w14:paraId="6CF7314E" w14:textId="77777777" w:rsidR="00A8138F" w:rsidRDefault="00A8138F" w:rsidP="00A8138F">
      <w:pPr>
        <w:pStyle w:val="TextoNormal"/>
      </w:pPr>
    </w:p>
    <w:p w14:paraId="59EF29A8" w14:textId="77777777" w:rsidR="00A8138F" w:rsidRDefault="00A8138F" w:rsidP="00A8138F">
      <w:pPr>
        <w:pStyle w:val="TextoNormal"/>
      </w:pPr>
      <w:r>
        <w:t>El derecho a la tutela judicial efectiva comprende, entre otros,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(SSTC 132/2007, de 4 de junio, FJ 4, y 115/2024, de 23 de septiembre, FJ 2, entre otras).</w:t>
      </w:r>
    </w:p>
    <w:p w14:paraId="62B4F2C2" w14:textId="77777777" w:rsidR="00A8138F" w:rsidRDefault="00A8138F" w:rsidP="00A8138F">
      <w:pPr>
        <w:pStyle w:val="TextoNormal"/>
      </w:pPr>
    </w:p>
    <w:p w14:paraId="797133B8" w14:textId="77777777" w:rsidR="00A8138F" w:rsidRDefault="00A8138F" w:rsidP="00A8138F">
      <w:pPr>
        <w:pStyle w:val="TextoNormal"/>
      </w:pPr>
      <w:r>
        <w:t xml:space="preserve">Este canon de motivación </w:t>
      </w:r>
      <w:r w:rsidRPr="00A8138F">
        <w:rPr>
          <w:i/>
        </w:rPr>
        <w:t>ex</w:t>
      </w:r>
      <w:r>
        <w:t xml:space="preserve"> art. 24.1 CE es además reforzado cuando las resoluciones afectan o inciden sobre los valores superiores del ordenamiento constitucional o derechos fundamentales sustantivos. Como hemos recordado en reciente jurisprudencia, “[c]uando lo que está en juego son los valores superiores del ordenamiento constitucional o los derechos fundamentales sustantivos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El estándar de las exigencias derivadas del deber de motivación es más riguroso en estos casos, de modo que nuestra jurisprudencia </w:t>
      </w:r>
      <w:r>
        <w:lastRenderedPageBreak/>
        <w:t>exige motivaciones concordantes con los supuestos en los que la Constitución permite la afectación del valor o derecho en liza”. La obligación de motivación exige aquí la exteriorización del “nexo de coherencia entre la decisión adoptada, la norma que le sirve de fundamento y los fines que justifican la institución”, no teniendo así cabida “una motivación estereotipada” [SSTC 113/2021, de 31 de mayo, FJ 2 a) (ii), y 115/2024, de 23 de septiembre, FJ 2, y las sentencias en las mismas mencionadas].</w:t>
      </w:r>
    </w:p>
    <w:p w14:paraId="750CB3CC" w14:textId="77777777" w:rsidR="00A8138F" w:rsidRDefault="00A8138F" w:rsidP="00A8138F">
      <w:pPr>
        <w:pStyle w:val="TextoNormal"/>
      </w:pPr>
    </w:p>
    <w:p w14:paraId="454E0482" w14:textId="77777777" w:rsidR="00A8138F" w:rsidRDefault="00A8138F" w:rsidP="00A8138F">
      <w:pPr>
        <w:pStyle w:val="TextoNormal"/>
      </w:pPr>
      <w:r>
        <w:t>En el supuesto que ahora nos ocupa este deber de motivación reforzada es múltiple, pues este canon lo hemos exigido en asuntos relacionados con el principio del interés superior del menor por cuanto tiene su proyección constitucional en el art. 39 CE y se define como rector e inspirador de todas las actuaciones de los poderes públicos, tanto administrativas como judiciales (STC 53/2024, de 8 de abril, FJ 3), pero también cuando se ha alegado la afectación del derecho fundamental a la no discriminación por razón de sexo del art. 14 CE (STC 173/2013, de 10 de octubre, FJ 3) y, consecuentemente (STC 48/2024, de 8 de abril, FJ 5), en contextos de violencia contra la mujer (STC 115/2024, de 23 de septiembre, FFJJ 3 y 4). El auto objeto del amparo que ahora resolvemos podría, además, afectar el derecho de libertad de circulación y residencia de la demandante, siendo este, en su caso, también argumento suficiente para exigir una motivación reforzada que obligue al órgano judicial a tener en consideración todos los derechos en liza.</w:t>
      </w:r>
    </w:p>
    <w:p w14:paraId="3F261F6E" w14:textId="77777777" w:rsidR="00A8138F" w:rsidRDefault="00A8138F" w:rsidP="00A8138F">
      <w:pPr>
        <w:pStyle w:val="TextoNormal"/>
      </w:pPr>
    </w:p>
    <w:p w14:paraId="7DE36006" w14:textId="77777777" w:rsidR="00A8138F" w:rsidRDefault="00A8138F" w:rsidP="00A8138F">
      <w:pPr>
        <w:pStyle w:val="TextoNormal"/>
      </w:pPr>
      <w:r>
        <w:t xml:space="preserve">a) </w:t>
      </w:r>
      <w:r w:rsidRPr="00A8138F">
        <w:rPr>
          <w:i/>
        </w:rPr>
        <w:t>El deber de motivación judicial reforzada por afectación del interés superior del menor. Regímenes de guarda, custodia y visitas en contextos de violencia de género</w:t>
      </w:r>
    </w:p>
    <w:p w14:paraId="56A698D8" w14:textId="77777777" w:rsidR="00A8138F" w:rsidRDefault="00A8138F" w:rsidP="00A8138F">
      <w:pPr>
        <w:pStyle w:val="TextoNormal"/>
      </w:pPr>
    </w:p>
    <w:p w14:paraId="530FE599" w14:textId="77777777" w:rsidR="00A8138F" w:rsidRDefault="00A8138F" w:rsidP="00A8138F">
      <w:pPr>
        <w:pStyle w:val="TextoNormal"/>
      </w:pPr>
      <w:r>
        <w:t>Como hemos recordado en nuestra STC 53/2024, de 8 de abril, FJ 3, es doctrina consolidada de este tribunal el deber de todos los poderes públicos de atender “de un modo preferente la situación del menor de edad, observando y haciendo observar el estatuto del menor como norma de orden público […] incluso si ello significa atemperar la rigidez de algunas normas procesales o sacrificar los legítimos intereses y perspectivas de terceros”. El interés superior del menor es, “considerado en abstracto, un bien constitucional suficientemente relevante para motivar la adopción de medidas legales que restrinjan derechos y principios constitucionales”. Pero la decisión de lo que sea en cada caso más beneficioso para el interés general del menor “corresponde tomarla a los jueces y tribunales ordinarios”.</w:t>
      </w:r>
    </w:p>
    <w:p w14:paraId="157715CE" w14:textId="77777777" w:rsidR="00A8138F" w:rsidRDefault="00A8138F" w:rsidP="00A8138F">
      <w:pPr>
        <w:pStyle w:val="TextoNormal"/>
      </w:pPr>
    </w:p>
    <w:p w14:paraId="51600E80" w14:textId="77777777" w:rsidR="00A8138F" w:rsidRDefault="00A8138F" w:rsidP="00A8138F">
      <w:pPr>
        <w:pStyle w:val="TextoNormal"/>
      </w:pPr>
      <w:r>
        <w:t>El “interés superior del menor es la consideración primordial a la que deben atender todas las medidas concernientes a los menores que tomen las instituciones públicas o privadas de bienestar social, los tribunales, las autoridades administrativas o los órganos legislativos” (por todas, STC 126/2024, de 21 de octubre, FJ 2). Y aunque compete a este tribunal examinar si la motivación ofrecida “para adoptar cuantas medidas conciernen a los menores, está sustentada en su mayor beneficio y así comprobar que no se han lesionado sus derechos fundamentales”, es a los órganos judiciales a quienes corresponde delimitar el contenido del interés superior del menor en cada caso ofreciendo para ello, dada la afectación de un principio superior de nuestro ordenamiento, una motivación reforzada (SSTC 141/2000, de 29 de mayo, FJ 5; 217/2009, de 14 de diciembre, FJ 5; 127/2013, de 3 de junio, FJ 6, y 138/2014, de 8 de septiembre, FJ 2, entre otras).</w:t>
      </w:r>
    </w:p>
    <w:p w14:paraId="76CAAB7E" w14:textId="77777777" w:rsidR="00A8138F" w:rsidRDefault="00A8138F" w:rsidP="00A8138F">
      <w:pPr>
        <w:pStyle w:val="TextoNormal"/>
      </w:pPr>
    </w:p>
    <w:p w14:paraId="107F5A2D" w14:textId="77777777" w:rsidR="00A8138F" w:rsidRDefault="00A8138F" w:rsidP="00A8138F">
      <w:pPr>
        <w:pStyle w:val="TextoNormal"/>
      </w:pPr>
      <w:r>
        <w:t xml:space="preserve">Motivar “debidamente las resoluciones en las que están concernidos los intereses y derechos de los menores (art. 39 CE), significa explicitar el juicio de ponderación entre los valores y derechos en liza para hacer así efectiva la exigencia de proporcionalidad inherente </w:t>
      </w:r>
      <w:r>
        <w:lastRenderedPageBreak/>
        <w:t>a la justicia” (entre otras, SSTC 178/2020, de 14 de diciembre, FJ 3; 2/2024, de 15 de enero, FJ 2, y 53/2024, de 8 de abril, FJ 3), encontrándonos en estos casos “ante un juicio de ponderación que debe constar expresamente en la resolución judicial, identificando los bienes y derechos en juego que pugnan de cada lado, a fin de poder calibrar la necesidad y proporcionalidad de la medida adoptada” (STC 176/2008, de 22 de diciembre, FJ 6). Una pluralidad de bienes y derechos que siempre habrán de tener presentes los órganos judiciales en sus decisiones sobre los regímenes de guarda y custodia, en las que el interés superior del menor ha de operar como contrapeso de los derechos de cada progenitor (SSTC 106/2022, de 13 de septiembre, FJ 2, y 176/2008, de 22 de diciembre, FJ 6).</w:t>
      </w:r>
    </w:p>
    <w:p w14:paraId="72F96CC1" w14:textId="77777777" w:rsidR="00A8138F" w:rsidRDefault="00A8138F" w:rsidP="00A8138F">
      <w:pPr>
        <w:pStyle w:val="TextoNormal"/>
      </w:pPr>
    </w:p>
    <w:p w14:paraId="58D900CB" w14:textId="77777777" w:rsidR="00A8138F" w:rsidRDefault="00A8138F" w:rsidP="00A8138F">
      <w:pPr>
        <w:pStyle w:val="TextoNormal"/>
      </w:pPr>
      <w:r>
        <w:t xml:space="preserve">Es doctrina constitucional consolidada que, cuando está en juego el interés de los menores, sus derechos exceden del ámbito estrictamente privado y pasan a tener una consideración más cercana a los elementos de </w:t>
      </w:r>
      <w:r w:rsidRPr="00A8138F">
        <w:rPr>
          <w:i/>
        </w:rPr>
        <w:t>ius cogens</w:t>
      </w:r>
      <w:r>
        <w:t xml:space="preserve"> (SSTC 106/2022, de 13 de septiembre, FJ 2, y 185/2012, de 17 de octubre, FJ 4). Es en este sentido que hemos afirmado que en la atribución y ejecución de los regímenes de guarda, custodia y visitas el interés superior del menor ha de operar como contrapeso de los derechos de cada progenitor (SSTC 106/2022, de 13 de septiembre, FJ 2, y 176/2008, de 22 de diciembre, FJ 6). Y ello se predica tanto de la toma de decisiones provisionales, en el marco de la adopción de medidas cautelares, como en la adopción de decisiones definitivas.</w:t>
      </w:r>
    </w:p>
    <w:p w14:paraId="5CF6231D" w14:textId="77777777" w:rsidR="00A8138F" w:rsidRDefault="00A8138F" w:rsidP="00A8138F">
      <w:pPr>
        <w:pStyle w:val="TextoNormal"/>
      </w:pPr>
    </w:p>
    <w:p w14:paraId="3B9E1A40" w14:textId="77777777" w:rsidR="00A8138F" w:rsidRDefault="00A8138F" w:rsidP="00A8138F">
      <w:pPr>
        <w:pStyle w:val="TextoNormal"/>
      </w:pPr>
      <w:r>
        <w:t>En otros términos, el deber de motivación reforzada que impone el art. 24.1 CE a aquellas decisiones que afectan o inciden en el interés superior del menor se proyecta, lógicamente, sobre las resoluciones judiciales, provisionales o definitivas, de atribución y ejecución de los regímenes de guarda, custodia y visitas. En estos casos, los jueces y tribunales deben hacer constar expresamente en sus resoluciones la ponderación de todos los bienes y derechos en juego, teniendo siempre presente el interés superior del menor, en cuya identificación habrán de tener en cuenta, entre otros aspectos, su deber de prevenir y protegerle contra la violencia, sea el o la menor víctima presencial o instrumental. Así lo impone el art. 2 de la Ley Orgánica 1/1996, de 15 de enero, de protección jurídica del menor, en virtud de cuyo apartado 2 c), a efectos de la interpretación y aplicación en cada caso del interés superior del menor, nuestros órganos jurisdiccionales han de tener presente la conveniencia de que la vida y desarrollo de los y las menores “tenga lugar en un entorno familiar adecuado y libre de violencia”. Deber de protección y prevención que se predica frente a los contextos de violencia de género.</w:t>
      </w:r>
    </w:p>
    <w:p w14:paraId="3204A10D" w14:textId="77777777" w:rsidR="00A8138F" w:rsidRDefault="00A8138F" w:rsidP="00A8138F">
      <w:pPr>
        <w:pStyle w:val="TextoNormal"/>
      </w:pPr>
    </w:p>
    <w:p w14:paraId="1E597E29" w14:textId="77777777" w:rsidR="00A8138F" w:rsidRDefault="00A8138F" w:rsidP="00A8138F">
      <w:pPr>
        <w:pStyle w:val="TextoNormal"/>
      </w:pPr>
      <w:r>
        <w:t xml:space="preserve">Como ya hemos recordado en esta sentencia, el canon reforzado de motivación </w:t>
      </w:r>
      <w:r w:rsidRPr="00A8138F">
        <w:rPr>
          <w:i/>
        </w:rPr>
        <w:t>ex</w:t>
      </w:r>
      <w:r>
        <w:t xml:space="preserve"> art. 24.1 CE es exigido por este tribunal cuando el derecho afectado es el derecho a la igualdad y la no discriminación. Y el auto objeto del recurso de amparo que ahora resolvemos afecta al derecho a la igualdad y a la prohibición de discriminación por razón de sexo desde el momento en que la razón que arguye la recurrente como motivo del cambio de residencia junto con su hijo menor es su condición de víctima de violencia machista. Y “los delitos relacionados con la violencia de género […] constituye[n] la forma más grave de discriminación contra la mujer” (STC 48/2024, de 8 de abril, FJ 5). Se requería por ello en este caso que el órgano judicial autor de la resolución recurrida evidenciara que la decisión adoptada, que suponía el deber de doña O.V.R., de ejercer la guarda y custodia de su hijo menor en la ciudad de residencia de su presunto maltratador, tuvo en cuenta los indicios de violencia de género (STC 115/2024, de 23 de septiembre, FJ 3, y 145/2024, de 2 de diciembre, FJ 4). Indicios que también se proyectan a la seguridad y bienestar del menor.</w:t>
      </w:r>
    </w:p>
    <w:p w14:paraId="2938A70D" w14:textId="77777777" w:rsidR="00A8138F" w:rsidRDefault="00A8138F" w:rsidP="00A8138F">
      <w:pPr>
        <w:pStyle w:val="TextoNormal"/>
      </w:pPr>
    </w:p>
    <w:p w14:paraId="129C0F52" w14:textId="77777777" w:rsidR="00A8138F" w:rsidRDefault="00A8138F" w:rsidP="00A8138F">
      <w:pPr>
        <w:pStyle w:val="TextoNormal"/>
      </w:pPr>
      <w:r>
        <w:t>Como declaramos en las sentencias de esta Sala SSTC 115/2024, de 23 de septiembre, FJ 3, y 145/2024, de 2 de diciembre, FJ 4, en sus resoluciones sobre regímenes de guarda, custodia y visitas, los órganos judiciales deben tener en cuenta los incidentes de violencia de género. Un deber que, asumido por el vigente art. 94 CC y por la Ley del Parlamento Vasco 7/2015, de 30 de junio, de relaciones familiares en supuestos de separación o ruptura de los progenitores, es contrario a la práctica de equiparar el interés superior del menor “con mantener el contacto con ambos progenitores, independientemente de que su padre sea un maltratador —o presunto maltratador— y de la exposición del niño a la violencia”. Por tanto, la exposición a la violencia de género es un elemento a considerar en la definición judicial del interés superior del menor cuando se trata de resolver sobre la fijación y ejecución de las medidas paternofiliales.</w:t>
      </w:r>
    </w:p>
    <w:p w14:paraId="3144A4FC" w14:textId="77777777" w:rsidR="00A8138F" w:rsidRDefault="00A8138F" w:rsidP="00A8138F">
      <w:pPr>
        <w:pStyle w:val="TextoNormal"/>
      </w:pPr>
    </w:p>
    <w:p w14:paraId="0F3AE0C0" w14:textId="77777777" w:rsidR="00A8138F" w:rsidRDefault="00A8138F" w:rsidP="00A8138F">
      <w:pPr>
        <w:pStyle w:val="TextoNormal"/>
      </w:pPr>
      <w:r>
        <w:t>Como ya hemos apuntado en fundamentos previos, el art. 2.2 de la Ley Orgánica 1/1996, de 15 de enero, de protección jurídica del menor, incorpora, como criterio para la delimitación del interés superior del menor, la conveniencia de que su vida y desarrollo tengan lugar en un ambiente familiar adecuado y libre de violencia. Asimismo, la Ley Orgánica 1/2004, de 28 de diciembre, de medidas de protección integral contra la violencia de género, en sus arts. 1, 61 y 65, reconoce a los menores como víctimas directas de violencia de género e incide en la obligación de los jueces de pronunciarse sobre las medidas que afectan a los menores que dependen de la mujer sobre la que se ejerce violencia. Y a todo ello debemos añadir que en nuestra STC 106/2022, de 13 de septiembre, en la que declaramos constitucional la modificación del también referido art. 94 CC operada por la Ley 8/2021, de 2 de junio, que prescribió la suspensión (o, en su caso, el no establecimiento) del régimen de estancias, visitas y/o comunicación respecto del progenitor incurso en un proceso penal iniciado por violencia, ya advertimos (FJ 4) que la autoridad judicial competente habrá de valorar si de las declaraciones de las partes y de las pruebas practicadas puede concluirse “la existencia de indicios fundados de violencia doméstica o de género, en la que se comprende también ‘la violencia que con el objetivo de causar perjuicio o daño a las mujeres se ejerza sobre sus familiares o allegados menores de edad’”.</w:t>
      </w:r>
    </w:p>
    <w:p w14:paraId="3082178B" w14:textId="77777777" w:rsidR="00A8138F" w:rsidRDefault="00A8138F" w:rsidP="00A8138F">
      <w:pPr>
        <w:pStyle w:val="TextoNormal"/>
      </w:pPr>
    </w:p>
    <w:p w14:paraId="6B061704" w14:textId="77777777" w:rsidR="00A8138F" w:rsidRDefault="00A8138F" w:rsidP="00A8138F">
      <w:pPr>
        <w:pStyle w:val="TextoNormal"/>
      </w:pPr>
      <w:r>
        <w:t>Concluyendo, en las decisiones sobre los regímenes de guarda, custodia y visitas, provisionales o definitivas, los órganos judiciales tienen un deber de motivación reforzada para cuyo cumplimiento habrán de tener en cuenta los indicios de violencia de género. Nuestros jueces y tribunales no pueden así asumir que el interés superior del menor es equivalente a mantener relaciones con ambos progenitores, ni promover la perpetuación de funciones estereotipadas tradicionalmente atribuidas a las mujeres, obviando con ello las dinámicas de sometimiento inherentes a la violencia de género (SSTC 115/2024, de 23 de septiembre, FFJJ 2 y 3, y 145/2024, de 2 de diciembre, FJ 5). Y este deber de consideración de las dinámicas inherentes a la violencia de género supone también una obligación de prevención y protección contra la violencia de los hijos e hijas de las mujeres víctimas de violencia machista.</w:t>
      </w:r>
    </w:p>
    <w:p w14:paraId="1EE6B860" w14:textId="77777777" w:rsidR="00A8138F" w:rsidRDefault="00A8138F" w:rsidP="00A8138F">
      <w:pPr>
        <w:pStyle w:val="TextoNormal"/>
      </w:pPr>
    </w:p>
    <w:p w14:paraId="5D783EBB" w14:textId="77777777" w:rsidR="00A8138F" w:rsidRDefault="00A8138F" w:rsidP="00A8138F">
      <w:pPr>
        <w:pStyle w:val="TextoNormal"/>
      </w:pPr>
      <w:r>
        <w:t xml:space="preserve">b) </w:t>
      </w:r>
      <w:r w:rsidRPr="00A8138F">
        <w:rPr>
          <w:i/>
        </w:rPr>
        <w:t>El interés superior del menor como elemento de modulación de la libertad de circulación y residencia de los progenitores</w:t>
      </w:r>
    </w:p>
    <w:p w14:paraId="797C5E5C" w14:textId="77777777" w:rsidR="00A8138F" w:rsidRDefault="00A8138F" w:rsidP="00A8138F">
      <w:pPr>
        <w:pStyle w:val="TextoNormal"/>
      </w:pPr>
    </w:p>
    <w:p w14:paraId="3453729A" w14:textId="77777777" w:rsidR="00A8138F" w:rsidRDefault="00A8138F" w:rsidP="00A8138F">
      <w:pPr>
        <w:pStyle w:val="TextoNormal"/>
      </w:pPr>
      <w:r>
        <w:t xml:space="preserve">El cambio de domicilio de los hijos y de las hijas menores es una decisión que, por regla, atendiendo a su trascendencia para la vida de los y las menores, corresponde en conjunto a </w:t>
      </w:r>
      <w:r>
        <w:lastRenderedPageBreak/>
        <w:t>ambos progenitores. El apartamiento del menor de su entorno habitual y la consecuente afectación del derecho de relacionarse con el progenitor no custodio explican que la decisión sobre el cambio de residencia de los hijos y las hijas menores requiera del consentimiento de ambos progenitores o, en su caso, de autorización judicial, debiendo en este último caso el juez competente ponderar los derechos e intereses en juego para garantizar la necesidad y proporcionalidad de, en su caso, el cambio de domicilio.</w:t>
      </w:r>
    </w:p>
    <w:p w14:paraId="08122E5B" w14:textId="77777777" w:rsidR="00A8138F" w:rsidRDefault="00A8138F" w:rsidP="00A8138F">
      <w:pPr>
        <w:pStyle w:val="TextoNormal"/>
      </w:pPr>
    </w:p>
    <w:p w14:paraId="420FCF05" w14:textId="77777777" w:rsidR="00A8138F" w:rsidRDefault="00A8138F" w:rsidP="00A8138F">
      <w:pPr>
        <w:pStyle w:val="TextoNormal"/>
      </w:pPr>
      <w:r>
        <w:t>Como recordamos en nuestra STC 60/2010, de 7 de octubre, FJ 8, la obligación de residir en un lugar determinado (STC 260/2007, de 20 de diciembre, FJ 5) afecta necesariamente al art. 19 de nuestra Constitución. Y junto a esa obligación de residir en lugar determinado, que en la STC 260/2007, estaba circunscrita al caso de medidas cautelares en procedimientos sancionadores relativos a la expulsión de personas extranjeras, este tribunal ha considerado que también queda afectada la libertad de circulación y residencia, entre otros, en supuestos concernientes a la obligación de comparecer periódicamente ante el juzgado (STC 85/1989, de 10 de mayo, FJ 3), la imposición de la pena de prohibición de aproximarse a la víctima [STC 60/2010, de 7 de octubre, FJ 8 a)] o la extradición pasiva de un nacional español (STC 205/2012, de 12 de noviembre, FJ 4), llegando incluso a afirmar en esta sede, aunque bajo circunstancias muy concretas, que podrá apreciarse una vulneración del art. 19 CE cuando un acuerdo del poder público impida “que el ciudadano opte por mantener su residencia en donde ya la tenga, o por trasladarla a un lugar distinto” (STC 186/2013, de 4 de noviembre, FJ 6, en remisión a la STC 90/1989, de 11 de mayo, FJ 5).</w:t>
      </w:r>
    </w:p>
    <w:p w14:paraId="6F50F778" w14:textId="77777777" w:rsidR="00A8138F" w:rsidRDefault="00A8138F" w:rsidP="00A8138F">
      <w:pPr>
        <w:pStyle w:val="TextoNormal"/>
      </w:pPr>
    </w:p>
    <w:p w14:paraId="497DD774" w14:textId="58450F4A" w:rsidR="00A8138F" w:rsidRDefault="00A8138F" w:rsidP="00A8138F">
      <w:pPr>
        <w:pStyle w:val="TextoNormal"/>
      </w:pPr>
      <w:r>
        <w:t xml:space="preserve">Podemos de este modo concluir que la imposición del lugar de residencia puede efectivamente afectar el art. 19 CE, dando incluso lugar a la apreciación de su vulneración si no se deja opción para el mantenimiento o traslado del domicilio. Por ello, conforme a nuestra jurisprudencia sobre las resoluciones judiciales que afectan derechos sustantivos y principios superiores de nuestro ordenamiento </w:t>
      </w:r>
      <w:r w:rsidRPr="00A8138F">
        <w:rPr>
          <w:i/>
        </w:rPr>
        <w:t>ex</w:t>
      </w:r>
      <w:r>
        <w:t xml:space="preserve"> art. 24.1 CE, tal medida debe ser objeto de motivación reforzada. Un canon que será de este modo también el aplicable en aquellos casos en los que la afectación de las libertades de circulación y de residencia tenga origen, como en este caso, en la atribución y ejecución judicial de los regímenes de guarda, custodia y visitas.</w:t>
      </w:r>
    </w:p>
    <w:p w14:paraId="7F59F1B8" w14:textId="77777777" w:rsidR="00A8138F" w:rsidRDefault="00A8138F" w:rsidP="00A8138F">
      <w:pPr>
        <w:pStyle w:val="TextoNormal"/>
      </w:pPr>
    </w:p>
    <w:p w14:paraId="35E8F045" w14:textId="77777777" w:rsidR="00A8138F" w:rsidRDefault="00A8138F" w:rsidP="00A8138F">
      <w:pPr>
        <w:pStyle w:val="TextoNormal"/>
      </w:pPr>
      <w:r w:rsidRPr="00A8138F">
        <w:rPr>
          <w:rStyle w:val="NumeroAFNegritaCaracter"/>
        </w:rPr>
        <w:t>3</w:t>
      </w:r>
      <w:r>
        <w:t xml:space="preserve">. </w:t>
      </w:r>
      <w:r w:rsidRPr="00A8138F">
        <w:rPr>
          <w:i/>
        </w:rPr>
        <w:t>Aplicación al caso de la jurisprudencia constitucional citada</w:t>
      </w:r>
    </w:p>
    <w:p w14:paraId="400FDE9E" w14:textId="77777777" w:rsidR="00A8138F" w:rsidRDefault="00A8138F" w:rsidP="00A8138F">
      <w:pPr>
        <w:pStyle w:val="TextoNormal"/>
      </w:pPr>
    </w:p>
    <w:p w14:paraId="636A890D" w14:textId="77777777" w:rsidR="00A8138F" w:rsidRDefault="00A8138F" w:rsidP="00A8138F">
      <w:pPr>
        <w:pStyle w:val="TextoNormal"/>
      </w:pPr>
      <w:r>
        <w:t>Establecido el canon de enjuiciamiento, debemos ahora analizar la decisión impugnada bajo el parámetro constitucional sentado en los anteriores fundamentos jurídicos. Y a tales efectos debe recordarse aquí que es objeto del recurso de amparo que ahora resolvemos el auto 81/2021, de 30 de julio, por el que el Juzgado de Violencia sobre la Mujer núm. 1 de Vitoria-Gasteiz atribuyó en exclusiva a doña O.V.R., la guarda y custodia del hijo menor que tenía en común con don J.V.O., imponiéndole su ejercicio en Vitoria-Gasteiz, de donde la ahora demandante de amparo alega haber huido por razones de violencia de género.</w:t>
      </w:r>
    </w:p>
    <w:p w14:paraId="13D37698" w14:textId="77777777" w:rsidR="00A8138F" w:rsidRDefault="00A8138F" w:rsidP="00A8138F">
      <w:pPr>
        <w:pStyle w:val="TextoNormal"/>
      </w:pPr>
    </w:p>
    <w:p w14:paraId="666C84C6" w14:textId="77777777" w:rsidR="00A8138F" w:rsidRDefault="00A8138F" w:rsidP="00A8138F">
      <w:pPr>
        <w:pStyle w:val="TextoNormal"/>
      </w:pPr>
      <w:r>
        <w:t>El Juzgado de Violencia sobre la Mujer de Vitoria-Gasteiz fundamentó su auto, dictado en pieza de medidas provisionales núm. 12-2021, en la naturaleza cautelar de la resolución, en la inexistencia de informes periciales sobre las capacidades parentales de los progenitores y en la aplicación del principio del interés superior del menor, atendiendo, a este último respecto, a la inexistencia de medidas de protección y al carácter unilateral y la falta de sustento legal de la decisión del cambio de residencia del menor.</w:t>
      </w:r>
    </w:p>
    <w:p w14:paraId="5004E08D" w14:textId="77777777" w:rsidR="00A8138F" w:rsidRDefault="00A8138F" w:rsidP="00A8138F">
      <w:pPr>
        <w:pStyle w:val="TextoNormal"/>
      </w:pPr>
    </w:p>
    <w:p w14:paraId="1CFD3C40" w14:textId="77777777" w:rsidR="00A8138F" w:rsidRDefault="00A8138F" w:rsidP="00A8138F">
      <w:pPr>
        <w:pStyle w:val="TextoNormal"/>
      </w:pPr>
      <w:r>
        <w:t>El juzgado advierte que doña O.V.R., justificó su traslado por entender que al cambiar el domicilio de su hijo menor estaba salvaguardando su interés superior al proporcionarle un entorno seguro y estable. Sin embargo, partiendo de que la ahora demandante de amparo se marchó cuatro días después de que, según lo denunciado, tuvieran lugar los hechos presuntamente constitutivos de delito, el auto controvertido pone de relieve la inexistencia de medidas de protección y el hecho de que el traslado unilateral supuso apartar al menor de donde nació, residió y estuvo escolarizado hasta el momento del traslado. Entiende, además, que doña O.V.R., podría haber cambiado de domicilio en Vitoria-Gasteiz, concluyendo a este respecto que “[e]l que uno de los progenitores quiera marcharse a residir a otra ciudad no arrastra con ello el derecho a llevarse a los hijos comunes consigo”.</w:t>
      </w:r>
    </w:p>
    <w:p w14:paraId="3DA86BE1" w14:textId="77777777" w:rsidR="00A8138F" w:rsidRDefault="00A8138F" w:rsidP="00A8138F">
      <w:pPr>
        <w:pStyle w:val="TextoNormal"/>
      </w:pPr>
    </w:p>
    <w:p w14:paraId="40F01DDE" w14:textId="77777777" w:rsidR="00A8138F" w:rsidRDefault="00A8138F" w:rsidP="00A8138F">
      <w:pPr>
        <w:pStyle w:val="TextoNormal"/>
      </w:pPr>
      <w:r>
        <w:t>Al establecer las medidas provisionales, previas a la sentencia de divorcio en este caso, el Juzgado de Violencia sobre la Mujer núm. 1 de Vitoria-Gasteiz tenía un deber de motivación reforzada dado que: a) con su resolución estaba obligando a un nuevo cambio de domicilio de un menor de corta edad; b) el desplazamiento inicial no consentido del menor venía justificado, según la denuncia planteada por su madre, por la preexistencia de una situación de violencia de género; y c) la obligación del ejercicio de la guarda y custodia en Vitoria-Gasteiz suponía, además, una obligación derivada de cambio de domicilio de la progenitora custodia, ahora demandante de amparo. El mencionado juzgado, en su labor de ponderación, tenía consecuentemente que manejar en su resolución el interés superior del menor como contrapeso de los derechos de los progenitores, sin poder obviar a tales efectos los indicios de violencia de género, ni desconocer la posible afectación de las libertades de circulación y residencia de los progenitores con motivo de la fijación y ejecución de las medidas objeto de su resolución.</w:t>
      </w:r>
    </w:p>
    <w:p w14:paraId="37F0E74C" w14:textId="77777777" w:rsidR="00A8138F" w:rsidRDefault="00A8138F" w:rsidP="00A8138F">
      <w:pPr>
        <w:pStyle w:val="TextoNormal"/>
      </w:pPr>
    </w:p>
    <w:p w14:paraId="26BBBE86" w14:textId="77777777" w:rsidR="00A8138F" w:rsidRDefault="00A8138F" w:rsidP="00A8138F">
      <w:pPr>
        <w:pStyle w:val="TextoNormal"/>
      </w:pPr>
      <w:r>
        <w:t>En el momento de dictarse el auto controvertido, doña O.V.R., y su hijo llevaban más de ocho meses residiendo en A Coruña, donde el menor estaba empadronado y escolarizado, y donde doña O.V.R., se encontraba trabajando y contaba con el apoyo de su familia a efectos de conciliación. Pero frente a las alegaciones de doña O.V.R., relativas a un nuevo contexto social y familiar estable y seguro para ambos, el auto de 30 de julio de 2021 no arguye razón concreta alguna sobre los beneficios para el menor de su regreso a Vitoria-Gasteiz. Más allá de que aquel fue el lugar donde nació y vivió hasta su traslado a Galicia, la resolución judicial objeto del amparo que ahora resolvemos no identifica los perjuicios concretos del ejercicio de la guarda y custodia en A Coruña hasta que se dictara sentencia definitiva de divorcio, ni los beneficios específicos que reportaría al menor su regreso a la ciudad de residencia del padre, frente a quien en ese momento el mismo juzgado había incoado y estaba siguiendo un proceso penal por varios delitos de violencia de género.</w:t>
      </w:r>
    </w:p>
    <w:p w14:paraId="1D7E81FF" w14:textId="77777777" w:rsidR="00A8138F" w:rsidRDefault="00A8138F" w:rsidP="00A8138F">
      <w:pPr>
        <w:pStyle w:val="TextoNormal"/>
      </w:pPr>
    </w:p>
    <w:p w14:paraId="0D29D58E" w14:textId="77777777" w:rsidR="00A8138F" w:rsidRDefault="00A8138F" w:rsidP="00A8138F">
      <w:pPr>
        <w:pStyle w:val="TextoNormal"/>
      </w:pPr>
      <w:r>
        <w:t>En las resoluciones sobre regímenes de guarda, custodia y visitas, sean las mismas definitivas o provisionales, los órganos judiciales deben desarrollar un ejercicio de ponderación en el que, al delimitar el contenido y alcance del interés superior del menor como límite de los derechos y legítimos intereses de los progenitores, tengan presentes los indicios de violencia de género y las dinámicas inherentes a la violencia machista (SSTC 115/2024, de 23 de septiembre, FJ 3, y 145/2024, de 2 de diciembre, FJ 4). Extremos que, como han aducido ante este tribunal tanto doña O.V.R., como la Fiscalía, fueron insuficientemente considerados por el auto 81/2021, de 30 de julio, del Juzgado de Violencia sobre la Mujer de Vitoria-Gasteiz.</w:t>
      </w:r>
    </w:p>
    <w:p w14:paraId="231936A0" w14:textId="77777777" w:rsidR="00A8138F" w:rsidRDefault="00A8138F" w:rsidP="00A8138F">
      <w:pPr>
        <w:pStyle w:val="TextoNormal"/>
      </w:pPr>
    </w:p>
    <w:p w14:paraId="391841AA" w14:textId="77777777" w:rsidR="00A8138F" w:rsidRDefault="00A8138F" w:rsidP="00A8138F">
      <w:pPr>
        <w:pStyle w:val="TextoNormal"/>
      </w:pPr>
      <w:r>
        <w:t>Como único argumento en respuesta a la alegada condición de víctima de violencia de género y a la conveniencia de mantener un entorno más seguro y estable, la resolución recurrida en amparo se refiere a la inexistencia de medidas de protección, soslayando algunos aspectos de especial relevancia a efectos del cumplimiento del mencionado canon reforzado de motivación.</w:t>
      </w:r>
    </w:p>
    <w:p w14:paraId="632AB219" w14:textId="77777777" w:rsidR="00A8138F" w:rsidRDefault="00A8138F" w:rsidP="00A8138F">
      <w:pPr>
        <w:pStyle w:val="TextoNormal"/>
      </w:pPr>
    </w:p>
    <w:p w14:paraId="11599ABD" w14:textId="77777777" w:rsidR="00A8138F" w:rsidRDefault="00A8138F" w:rsidP="00A8138F">
      <w:pPr>
        <w:pStyle w:val="TextoNormal"/>
      </w:pPr>
      <w:r>
        <w:t>Efectivamente, el 1 de diciembre de 2020, el Juzgado de Violencia sobre la Mujer núm. 1 de A Coruña denegó la orden de protección solicitada por doña O.V.R. Pero a la hora de valorar la fuerza indiciaria de dicha negativa son varios aspectos los que, en cumplimiento del art. 24.1 CE, el Juzgado de Violencia sobre la Mujer núm. 1 de Vitoria-Gasteiz debía haber ponderado. Debía haber tenido en cuenta que la existencia de una orden de protección no es el único indicio de violencia de género de necesaria consideración, ni su denegación puede entenderse con efectos excluyentes frente a la concurrencia de otras señales de violencia machista. En este sentido, por un lado, cabe recordar ahora que los días 24 y 25 de noviembre de 2020 se emitieron, respectivamente, certificado de la fiscalía provincial de A Coruña de indicios de delito y, por los servicios sociales del ayuntamiento de la misma localidad gallega, informe sobre la condición de víctima de violencia de género de doña O.V.R. Documentos que son considerados como suficientes para acreditar la existencia de indicios en su ámbito de aplicación por la Ley 11/2007, de 27 de julio, gallega para la prevención y el tratamiento integral de la violencia de género [art. 5, apartados c) y e)] y que, sin embargo, no son mencionados ni en el auto que deniega la orden de protección ni en el que constituye el objeto del presente recurso de amparo. Por otro lado, el Juzgado de Violencia sobre la Mujer de Vitoria-Gasteiz asumió la competencia para instruir la causa en la que constaba doña O.V.R., como víctima.</w:t>
      </w:r>
    </w:p>
    <w:p w14:paraId="3F4D4155" w14:textId="77777777" w:rsidR="00A8138F" w:rsidRDefault="00A8138F" w:rsidP="00A8138F">
      <w:pPr>
        <w:pStyle w:val="TextoNormal"/>
      </w:pPr>
    </w:p>
    <w:p w14:paraId="0A43C196" w14:textId="77777777" w:rsidR="00A8138F" w:rsidRDefault="00A8138F" w:rsidP="00A8138F">
      <w:pPr>
        <w:pStyle w:val="TextoNormal"/>
      </w:pPr>
      <w:r>
        <w:t>En otros términos, la mera alusión a la inexistencia de una orden de protección en el auto controvertido no supera el canon reforzado de motivación que exige el art. 24.1 CE en contextos de violencia de género, mandato que igualmente desatiende el Juzgado de Violencia sobre la Mujer núm. 1 de Vitoria-Gasteiz al incurrir en respuestas basadas en estereotipos de género completamente ajenas al deber de nuestros jueces y tribunales de fundamentar las decisiones que afectan derechos fundamentales sustantivos o valores superiores de nuestro ordenamiento jurídico. Más concretamente, el auto núm. 81/2021, de 30 de julio, afirma que doña O.V.R., denunció cuatro días después de que ocurrieran los hechos presuntamente constitutivos de violencia de género y que podría haberse mudado de residencia en la misma ciudad de origen. De este modo, el auto de 30 de julio de 2021 incurre en una suerte de revictimización de doña O.V.R., al reprocharle una denuncia tardía y el no haber mantenido su domicilio en la misma ciudad en la que se encontraba la residencia de su presunto maltratador, pues no puede desconocer un órgano jurisdiccional, menos aún si se trata de un juzgado de violencia sobre la mujer, el temor que la violencia machista infunde en sus víctimas a la hora de denunciar y tomar decisiones sobre los hijos e hijas comunes.</w:t>
      </w:r>
    </w:p>
    <w:p w14:paraId="46873909" w14:textId="77777777" w:rsidR="00A8138F" w:rsidRDefault="00A8138F" w:rsidP="00A8138F">
      <w:pPr>
        <w:pStyle w:val="TextoNormal"/>
      </w:pPr>
    </w:p>
    <w:p w14:paraId="20DAB1EA" w14:textId="77777777" w:rsidR="00A8138F" w:rsidRDefault="00A8138F" w:rsidP="00A8138F">
      <w:pPr>
        <w:pStyle w:val="TextoNormal"/>
      </w:pPr>
      <w:r>
        <w:t xml:space="preserve">Con su resolución, el Juzgado de Violencia sobre la Mujer núm. 1 de Vitoria-Gasteiz soslayó además la debida consideración de su obligación de proteger de todo riesgo de violencia al hijo de doña O.V.R. En el ejercicio de ponderación de todos los derechos e intereses en liza al que están obligados nuestros órganos judiciales en la atribución y ejecución, provisional y definitiva, de los regímenes de guarda, custodia y visitas, siempre debe estar presente, al definir su interés superior, el deber de prevenir y proteger contra la violencia a los </w:t>
      </w:r>
      <w:r>
        <w:lastRenderedPageBreak/>
        <w:t>menores. Deber que ignoró el juzgado cuestionado al no motivar expresamente en su resolución las causas concretas que justificaban el ejercicio de la guarda y custodia en Vitoria-Gasteiz y, por tanto, su traslado, y el de su progenitora custodia, a la ciudad donde residía su padre, quien en ese momento era investigado por hechos presuntamente constitutivos de delito de violencia de género.</w:t>
      </w:r>
    </w:p>
    <w:p w14:paraId="631306C9" w14:textId="77777777" w:rsidR="00A8138F" w:rsidRDefault="00A8138F" w:rsidP="00A8138F">
      <w:pPr>
        <w:pStyle w:val="TextoNormal"/>
      </w:pPr>
    </w:p>
    <w:p w14:paraId="2F5D8097" w14:textId="77777777" w:rsidR="00A8138F" w:rsidRDefault="00A8138F" w:rsidP="00A8138F">
      <w:pPr>
        <w:pStyle w:val="TextoNormal"/>
      </w:pPr>
      <w:r>
        <w:t xml:space="preserve">Debemos así estimar la invocada lesión del art. 24.1 CE, en conexión con el art. 39 CE, por considerar que el auto recurrido en amparo no ponderó adecuadamente los derechos e intereses en juego al imponer el ejercicio de la guarda y custodia del menor en Vitoria-Gasteiz sin tener en cuenta sus nuevas circunstancias y las dinámicas inherentes a la violencia de género (SSTC 115/2024, de 23 de septiembre, FJ 3, y 145/2024, de 2 de diciembre, FJ 4). Estimación que corresponde también frente a la alegada vulneración del deber de motivación reforzada </w:t>
      </w:r>
      <w:r w:rsidRPr="00A8138F">
        <w:rPr>
          <w:i/>
        </w:rPr>
        <w:t>ex</w:t>
      </w:r>
      <w:r>
        <w:t xml:space="preserve"> art. 24.1 CE en conexión con el derecho de libertad de circulación y residencia de la ahora demandante de amparo.</w:t>
      </w:r>
    </w:p>
    <w:p w14:paraId="6FEB748B" w14:textId="77777777" w:rsidR="00A8138F" w:rsidRDefault="00A8138F" w:rsidP="00A8138F">
      <w:pPr>
        <w:pStyle w:val="TextoNormal"/>
      </w:pPr>
    </w:p>
    <w:p w14:paraId="14EC7C6F" w14:textId="77777777" w:rsidR="00A8138F" w:rsidRDefault="00A8138F" w:rsidP="00A8138F">
      <w:pPr>
        <w:pStyle w:val="TextoNormal"/>
      </w:pPr>
      <w:r>
        <w:t xml:space="preserve">Como hemos tenido ya oportunidad de advertir en esta sentencia, en nuestro ordenamiento el cambio de residencia de los hijos y las hijas menores de padres separados o divorciados requiere del previo consentimiento de ambos progenitores o, en su defecto, de previa autorización judicial. Ahora bien, este deber legal puede resultar judicialmente flexibilizado. El interés superior del menor y los derechos de los progenitores </w:t>
      </w:r>
      <w:r w:rsidRPr="00A8138F">
        <w:rPr>
          <w:i/>
        </w:rPr>
        <w:t>ex</w:t>
      </w:r>
      <w:r>
        <w:t xml:space="preserve"> art. 19 CE pueden excepcionar el deber legal de consentimiento mutuo o, en su defecto, de previa autorización judicial. Y este tribunal puede ya afirmar que la existencia de indicios de violencia de género es un aspecto a ponderar por el juez en aplicación de nuestra legislación civil relativa al traslado de menores, hijos e hijas de padres en proceso de separación y divorcio, pues escapa a toda lógica jurídica exigir a una madre que denuncia ser víctima de violencia de género que pida el consentimiento de su pareja para alejar al menor de un potencial riesgo para su vida e integridad. Pero el Juzgado de Violencia sobre la Mujer núm. 1 de Vitoria-Gasteiz no solo no tuvo en cuenta en su resolución los indicios de violencia de género y su ineludible conexión con el deber de protección del menor, sino que obvió los efectos de su decisión sobre la libertad de circulación y residencia de doña O.V.R. El juzgado de Vitoria-Gasteiz, a la luz de las circunstancias concretas del caso, no motivó suficientemente la imposición de la ejecución de la guarda y custodia del hijo de doña O.V.R., en la ciudad de residencia de su presunto agresor, sin dejar a la ahora demandante de amparo otra alternativa que la de trasladarse a Vitoria-Gasteiz. Dicha decisión se adoptó sin tener en cuenta el potencial riesgo para doña V.O.R., y su hijo y sin identificar los beneficios concretos que reportaría al menor volver a su ciudad de nacimiento desconociendo por ello el juzgado cuestionado su deber de motivación reforzada </w:t>
      </w:r>
      <w:r w:rsidRPr="00A8138F">
        <w:rPr>
          <w:i/>
        </w:rPr>
        <w:t>ex</w:t>
      </w:r>
      <w:r>
        <w:t xml:space="preserve"> art. 24.1 CE en conexión, no solo con el art. 39 CE, sino también con el art. 19 CE.</w:t>
      </w:r>
    </w:p>
    <w:p w14:paraId="59010343" w14:textId="77777777" w:rsidR="00A8138F" w:rsidRDefault="00A8138F" w:rsidP="00A8138F">
      <w:pPr>
        <w:pStyle w:val="TextoNormal"/>
      </w:pPr>
    </w:p>
    <w:p w14:paraId="78B0E2FB" w14:textId="77777777" w:rsidR="00A8138F" w:rsidRDefault="00A8138F" w:rsidP="00A8138F">
      <w:pPr>
        <w:pStyle w:val="TextoNormal"/>
      </w:pPr>
      <w:r>
        <w:t>No cabe así sino concluir que el Juzgado de Violencia sobre la Mujer núm. 1 de Vitoria-Gasteiz no expresó de forma suficiente en su auto las razones concretas que justificaron su decisión, incumpliendo con ello las exigencias constitucionales de motivación de las resoluciones judiciales en el ámbito del derecho fundamental garantizado por el art. 24.1 CE, en relación con los arts. 39 y 19 CE.</w:t>
      </w:r>
    </w:p>
    <w:p w14:paraId="7582D0EA" w14:textId="77777777" w:rsidR="00A8138F" w:rsidRDefault="00A8138F" w:rsidP="00A8138F">
      <w:pPr>
        <w:pStyle w:val="TextoNormal"/>
      </w:pPr>
    </w:p>
    <w:p w14:paraId="32BEB762" w14:textId="25D7C079" w:rsidR="00A8138F" w:rsidRDefault="00A8138F" w:rsidP="00A8138F">
      <w:pPr>
        <w:pStyle w:val="TextoNormal"/>
      </w:pPr>
      <w:r>
        <w:t>La resolución sobre el fondo de este recurso supone, en todo caso, que no resulte procedente resolver sobre la medida cautelar de suspensión solicitada por la demandante, lo que determina que deba acordarse el archivo de la pieza separada de suspensión.</w:t>
      </w:r>
    </w:p>
    <w:p w14:paraId="48F7AAC7" w14:textId="77777777" w:rsidR="00A8138F" w:rsidRDefault="00A8138F" w:rsidP="00A8138F">
      <w:pPr>
        <w:pStyle w:val="TextoNormal"/>
      </w:pPr>
    </w:p>
    <w:p w14:paraId="73B7765F" w14:textId="77777777" w:rsidR="00A8138F" w:rsidRDefault="00A8138F" w:rsidP="00A8138F">
      <w:pPr>
        <w:pStyle w:val="TextoNormal"/>
      </w:pPr>
      <w:r w:rsidRPr="00A8138F">
        <w:rPr>
          <w:rStyle w:val="NumeroAFNegritaCaracter"/>
        </w:rPr>
        <w:t>4</w:t>
      </w:r>
      <w:r>
        <w:t xml:space="preserve">. </w:t>
      </w:r>
      <w:r w:rsidRPr="00A8138F">
        <w:rPr>
          <w:i/>
        </w:rPr>
        <w:t>Efectos de la sentencia</w:t>
      </w:r>
    </w:p>
    <w:p w14:paraId="565DED62" w14:textId="77777777" w:rsidR="00A8138F" w:rsidRDefault="00A8138F" w:rsidP="00A8138F">
      <w:pPr>
        <w:pStyle w:val="TextoNormal"/>
      </w:pPr>
    </w:p>
    <w:p w14:paraId="4AF39EC9" w14:textId="04100788" w:rsidR="00A8138F" w:rsidRDefault="00A8138F" w:rsidP="00A8138F">
      <w:pPr>
        <w:pStyle w:val="TextoNormal"/>
      </w:pPr>
      <w:r>
        <w:t>La estimación de la denuncia de vulneración del derecho fundamental a la tutela judicial efectiva de la recurrente, en su vertiente del derecho a una resolución judicial motivada y fundada en Derecho (art. 24 CE) en conexión con el principio del interés superior del menor y con la libertad de circulación y residencia (arts. 39 y 19 CE), conlleva la declaración de nulidad del auto núm. 81/2021, de 30 de julio, del Juzgado de Violencia sobre la Mujer núm. 1 de Vitoria-Gasteiz.</w:t>
      </w:r>
    </w:p>
    <w:p w14:paraId="1BC38B9B" w14:textId="77777777" w:rsidR="00A8138F" w:rsidRDefault="00A8138F" w:rsidP="00A8138F">
      <w:pPr>
        <w:pStyle w:val="TextoNormal"/>
      </w:pPr>
    </w:p>
    <w:p w14:paraId="2215639A" w14:textId="77777777" w:rsidR="00A8138F" w:rsidRDefault="00A8138F" w:rsidP="00A8138F">
      <w:pPr>
        <w:pStyle w:val="TextoNormalCentrado"/>
        <w:keepNext/>
      </w:pPr>
      <w:r>
        <w:t>FALLO</w:t>
      </w:r>
    </w:p>
    <w:p w14:paraId="2F1983D3" w14:textId="00E31125" w:rsidR="00A8138F" w:rsidRDefault="00A8138F" w:rsidP="00A8138F">
      <w:pPr>
        <w:pStyle w:val="TextoNormalCentrado"/>
        <w:keepNext/>
      </w:pPr>
    </w:p>
    <w:p w14:paraId="5820E441"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O.V.R., y, en consecuencia:</w:t>
      </w:r>
    </w:p>
    <w:p w14:paraId="654862BA" w14:textId="77777777" w:rsidR="00A8138F" w:rsidRDefault="00A8138F" w:rsidP="00A8138F">
      <w:pPr>
        <w:pStyle w:val="TextoNormal"/>
      </w:pPr>
    </w:p>
    <w:p w14:paraId="113FA13D" w14:textId="77777777" w:rsidR="00A8138F" w:rsidRDefault="00A8138F" w:rsidP="00A8138F">
      <w:pPr>
        <w:pStyle w:val="TextoNormal"/>
      </w:pPr>
      <w:r>
        <w:t>1º Declarar que ha sido vulnerado el derecho fundamental de la demandante de amparo a la tutela judicial efectiva (art. 24.1 CE) en conexión con el principio del interés superior del menor (art. 39 CE) y la libertad de circulación y residencia (art. 19 CE).</w:t>
      </w:r>
    </w:p>
    <w:p w14:paraId="5266932E" w14:textId="77777777" w:rsidR="00A8138F" w:rsidRDefault="00A8138F" w:rsidP="00A8138F">
      <w:pPr>
        <w:pStyle w:val="TextoNormal"/>
      </w:pPr>
    </w:p>
    <w:p w14:paraId="4C9812D0" w14:textId="7C94C13B" w:rsidR="00A8138F" w:rsidRDefault="00A8138F" w:rsidP="00A8138F">
      <w:pPr>
        <w:pStyle w:val="TextoNormal"/>
      </w:pPr>
      <w:r>
        <w:t>2º Restablecerla en sus derechos y, a tal fin, declarar la nulidad del auto núm. 81/2021, de 30 de julio, dictado por el Juzgado de Violencia sobre la Mujer núm. 1 de Vitoria-Gasteiz.</w:t>
      </w:r>
    </w:p>
    <w:p w14:paraId="536C15C5" w14:textId="77777777" w:rsidR="00A8138F" w:rsidRDefault="00A8138F" w:rsidP="00A8138F">
      <w:pPr>
        <w:pStyle w:val="TextoNormal"/>
      </w:pPr>
    </w:p>
    <w:p w14:paraId="1DBCF3F0" w14:textId="77777777" w:rsidR="00A8138F" w:rsidRDefault="00A8138F" w:rsidP="00A8138F">
      <w:pPr>
        <w:pStyle w:val="TextoNormal"/>
      </w:pPr>
      <w:r>
        <w:t>Publíquese esta sentencia en el “Boletín Oficial del Estado”.</w:t>
      </w:r>
    </w:p>
    <w:p w14:paraId="5DEB34BC" w14:textId="77777777" w:rsidR="00A8138F" w:rsidRDefault="00A8138F" w:rsidP="00A8138F">
      <w:pPr>
        <w:pStyle w:val="TextoNormal"/>
      </w:pPr>
      <w:r>
        <w:t>Dada en Madrid, a diez de marzo de dos mil veinticinco.</w:t>
      </w:r>
    </w:p>
    <w:p w14:paraId="3B34993A" w14:textId="74E70657" w:rsidR="00A8138F" w:rsidRDefault="00A8138F" w:rsidP="00A8138F">
      <w:pPr>
        <w:pStyle w:val="ParrafoNormal"/>
      </w:pPr>
    </w:p>
    <w:p w14:paraId="42286AF1" w14:textId="77777777" w:rsidR="00A8138F" w:rsidRDefault="00A8138F" w:rsidP="00A8138F">
      <w:pPr>
        <w:pStyle w:val="TextoNormalNegritaCentrado"/>
        <w:keepNext/>
      </w:pPr>
      <w:r>
        <w:t>Voto particular que formulan los magistrados don César Tolosa Tribiño y don Enrique Arnaldo Alcubilla a la sentencia dictada por la Sala Segunda en el recurso de amparo núm. 2024-2022</w:t>
      </w:r>
    </w:p>
    <w:p w14:paraId="310749F9" w14:textId="7FAD9B36" w:rsidR="00A8138F" w:rsidRDefault="00A8138F" w:rsidP="00A8138F">
      <w:pPr>
        <w:pStyle w:val="TextoNormalNegritaCentrado"/>
        <w:keepNext/>
      </w:pPr>
    </w:p>
    <w:p w14:paraId="608311B6" w14:textId="77777777" w:rsidR="00A8138F" w:rsidRDefault="00A8138F" w:rsidP="00A8138F">
      <w:pPr>
        <w:pStyle w:val="TextoNormal"/>
      </w:pPr>
      <w:r>
        <w:t>En el ejercicio de la facultad conferida por el artículo 90.2 LOTC, formulamos el presente voto particular al considerar necesario exponer nuestra discrepancia con parte determinante de la argumentación de la sentencia que sustenta el fallo y consiguientemente con este.</w:t>
      </w:r>
    </w:p>
    <w:p w14:paraId="285DF2F6" w14:textId="77777777" w:rsidR="00A8138F" w:rsidRDefault="00A8138F" w:rsidP="00A8138F">
      <w:pPr>
        <w:pStyle w:val="TextoNormal"/>
      </w:pPr>
    </w:p>
    <w:p w14:paraId="748B1029" w14:textId="77777777" w:rsidR="00A8138F" w:rsidRDefault="00A8138F" w:rsidP="00A8138F">
      <w:pPr>
        <w:pStyle w:val="TextoNormal"/>
      </w:pPr>
      <w:r w:rsidRPr="00A8138F">
        <w:rPr>
          <w:i/>
        </w:rPr>
        <w:t>Introducción</w:t>
      </w:r>
    </w:p>
    <w:p w14:paraId="64D5EE00" w14:textId="77777777" w:rsidR="00A8138F" w:rsidRDefault="00A8138F" w:rsidP="00A8138F">
      <w:pPr>
        <w:pStyle w:val="TextoNormal"/>
      </w:pPr>
    </w:p>
    <w:p w14:paraId="3D7CE681" w14:textId="77777777" w:rsidR="00A8138F" w:rsidRDefault="00A8138F" w:rsidP="00A8138F">
      <w:pPr>
        <w:pStyle w:val="TextoNormal"/>
      </w:pPr>
      <w:r>
        <w:t xml:space="preserve">1. Debemos indicar que el razonamiento de la sentencia vulnera el derecho a la presunción de inocencia de don J.V.O. [arts. 24.2 CE y 6.2 del Convenio europeo de derechos humanos (CEDH) como ha establecido la STEDH de 12 de julio de 2013, asunto </w:t>
      </w:r>
      <w:r w:rsidRPr="00A8138F">
        <w:rPr>
          <w:i/>
        </w:rPr>
        <w:t>Allen c. Reino Unido</w:t>
      </w:r>
      <w:r>
        <w:t xml:space="preserve">]. En tal sentido, la argumentación de la sentencia: a) desconoce las consecuencias que se derivan de la existencia de la sentencia absolutoria en relación con don J.V.O., dictada por el Juzgado de lo Penal núm. 1 de Vitoria y que fue confirmada por la Sección de lo Penal de la Audiencia Provincial de Vitoria; b) modifica la acrisolada doctrina constitucional sobre la prueba elevando a la categoría de indicio la denuncia y el atestado, así como la “certificación” expedida por el Ministerio Fiscal; y c) todo ello, tras contravenir la prohibición constitucional de la reconstrucción de la demanda de amparo, al incorporar </w:t>
      </w:r>
      <w:r>
        <w:lastRenderedPageBreak/>
        <w:t>como fundamento de la misma el derecho a la igualdad y no discriminación que no fue invocado por la demandante.</w:t>
      </w:r>
    </w:p>
    <w:p w14:paraId="541DB077" w14:textId="77777777" w:rsidR="00A8138F" w:rsidRDefault="00A8138F" w:rsidP="00A8138F">
      <w:pPr>
        <w:pStyle w:val="TextoNormal"/>
      </w:pPr>
    </w:p>
    <w:p w14:paraId="4D69D512" w14:textId="77777777" w:rsidR="00A8138F" w:rsidRDefault="00A8138F" w:rsidP="00A8138F">
      <w:pPr>
        <w:pStyle w:val="TextoNormal"/>
      </w:pPr>
      <w:r>
        <w:t>2. En segundo lugar, la argumentación de la sentencia contradice el asentado principio civil de ejercicio conjunto de la patria potestad en lo que —entre otros aspectos— se refiere a la determinación del domicilio del hijo común que es desplazado por el derecho a la libre fijación de residencia de la madre (art. 19 CE) aunque ello suponga el sacrificio del interés del niño, en cuanto a su derecho “a mantener de forma periódica relaciones personales y contactos directos con su padre y con su madre, salvo si ello es contrario a sus intereses” [art. 24 de la Carta de los derechos fundamentales de la Unión Europea (CDFUE)]. Debemos adelantar que el ejercicio por el progenitor custodio del derecho a la libre elección de la residencia (art. 19 CE) no comprende la facultad de decidir unilateralmente el domicilio de los hijos comunes.</w:t>
      </w:r>
    </w:p>
    <w:p w14:paraId="16D951C5" w14:textId="77777777" w:rsidR="00A8138F" w:rsidRDefault="00A8138F" w:rsidP="00A8138F">
      <w:pPr>
        <w:pStyle w:val="TextoNormal"/>
      </w:pPr>
    </w:p>
    <w:p w14:paraId="46399383" w14:textId="77777777" w:rsidR="00A8138F" w:rsidRDefault="00A8138F" w:rsidP="00A8138F">
      <w:pPr>
        <w:pStyle w:val="TextoNormal"/>
      </w:pPr>
      <w:r>
        <w:t>3. En tercer lugar, realiza una referencia innecesaria y fragmentada de la STC 106/2022, de 13 de octubre, que tiene más que ver con el voto conjunto —“concurrente/particular”—, en el que los firmantes consideraban que “[l]a sentencia aprobada por la mayoría entiende que hay una interpretación constitucional de la norma impugnada y que solo esa interpretación permite salvar la constitucionalidad de la norma”, que con la sentencia aprobada por el Pleno.</w:t>
      </w:r>
    </w:p>
    <w:p w14:paraId="19466EE1" w14:textId="77777777" w:rsidR="00A8138F" w:rsidRDefault="00A8138F" w:rsidP="00A8138F">
      <w:pPr>
        <w:pStyle w:val="TextoNormal"/>
      </w:pPr>
    </w:p>
    <w:p w14:paraId="5387BA14" w14:textId="77777777" w:rsidR="00A8138F" w:rsidRDefault="00A8138F" w:rsidP="00A8138F">
      <w:pPr>
        <w:pStyle w:val="TextoNormal"/>
      </w:pPr>
      <w:r>
        <w:t>4. Finalmente, debemos indicar que la resolución impugnada, junto con el resto de las resoluciones que por la resistencia de la demandante debieron dictarse en el marco de su ejecución, lejos de vulnerar derechos fundamentales de la recurrente, restablecieron el derecho a la vida familiar de don J.V.O., truncado por la decisión unilateral e injustificada de la demandante. De este modo garantizaron el cumplimiento de las obligaciones positivas derivas del art. 8 CEDH y dieron satisfacción al interés superior del menor.</w:t>
      </w:r>
    </w:p>
    <w:p w14:paraId="5C80DEBC" w14:textId="77777777" w:rsidR="00A8138F" w:rsidRDefault="00A8138F" w:rsidP="00A8138F">
      <w:pPr>
        <w:pStyle w:val="TextoNormal"/>
      </w:pPr>
    </w:p>
    <w:p w14:paraId="788F79C3" w14:textId="77777777" w:rsidR="00A8138F" w:rsidRDefault="00A8138F" w:rsidP="00A8138F">
      <w:pPr>
        <w:pStyle w:val="TextoNormal"/>
      </w:pPr>
      <w:r>
        <w:t>A continuación se desarrollarán cada uno de los apartados anteriores.</w:t>
      </w:r>
    </w:p>
    <w:p w14:paraId="17130D8F" w14:textId="77777777" w:rsidR="00A8138F" w:rsidRDefault="00A8138F" w:rsidP="00A8138F">
      <w:pPr>
        <w:pStyle w:val="TextoNormal"/>
      </w:pPr>
    </w:p>
    <w:p w14:paraId="560CAE1B" w14:textId="77777777" w:rsidR="00A8138F" w:rsidRDefault="00A8138F" w:rsidP="00A8138F">
      <w:pPr>
        <w:pStyle w:val="TextoNormal"/>
      </w:pPr>
      <w:r>
        <w:t xml:space="preserve">1. </w:t>
      </w:r>
      <w:r w:rsidRPr="00A8138F">
        <w:rPr>
          <w:i/>
        </w:rPr>
        <w:t>Vulneración del derecho a la presunción de inocencia de don J.V.O. (arts. 24.2 CE y 6.2 CEDH y STEDH de 12 de julio de 2013, asunto</w:t>
      </w:r>
      <w:r>
        <w:t xml:space="preserve"> Allen c. Reino Unido)</w:t>
      </w:r>
    </w:p>
    <w:p w14:paraId="3499D3F9" w14:textId="77777777" w:rsidR="00A8138F" w:rsidRDefault="00A8138F" w:rsidP="00A8138F">
      <w:pPr>
        <w:pStyle w:val="TextoNormal"/>
      </w:pPr>
    </w:p>
    <w:p w14:paraId="171A6921" w14:textId="77777777" w:rsidR="00A8138F" w:rsidRDefault="00A8138F" w:rsidP="00A8138F">
      <w:pPr>
        <w:pStyle w:val="TextoNormal"/>
      </w:pPr>
      <w:r>
        <w:t>A) La sentencia de la que discrepamos vulnera el derecho a la presunción de inocencia de don J.V.O., quien fue absuelto, hace casi un año, de los hechos a los que hace referencia la sentencia aprobada por la mayoría. En efecto, la sentencia 141/2024, de 23 de abril, dictada por el Juzgado de lo Penal núm. 1 de Vitoria y confirmada por la sentencia de la Audiencia Provincial de Álava 177/2024, de 26 de septiembre, dictada en el rollo de apelación 358-2024, absolvió al padre del menor de los hechos denunciados.</w:t>
      </w:r>
    </w:p>
    <w:p w14:paraId="0A49BD44" w14:textId="77777777" w:rsidR="00A8138F" w:rsidRDefault="00A8138F" w:rsidP="00A8138F">
      <w:pPr>
        <w:pStyle w:val="TextoNormal"/>
      </w:pPr>
    </w:p>
    <w:p w14:paraId="47EF4EC1" w14:textId="77777777" w:rsidR="00A8138F" w:rsidRDefault="00A8138F" w:rsidP="00A8138F">
      <w:pPr>
        <w:pStyle w:val="TextoNormal"/>
      </w:pPr>
      <w:r>
        <w:t>La sentencia del Juzgado de lo Penal núm. 1 de Vitoria, que obra en las actuaciones y respecto de la cual ha sido infructuoso todo intento de que se incluyera una referencia a la misma en los antecedentes, examina de manera exhaustiva la prueba practicada en relación con los hechos denunciados, acontecidos el día 1 de noviembre de 2020. La claridad y contundencia de la argumentación obligan a la reproducción literal de una parte de la misma, aunque ello suponga sacrificar la siempre agradecida concisión:</w:t>
      </w:r>
    </w:p>
    <w:p w14:paraId="03A94D40" w14:textId="77777777" w:rsidR="00A8138F" w:rsidRDefault="00A8138F" w:rsidP="00A8138F">
      <w:pPr>
        <w:pStyle w:val="TextoNormal"/>
      </w:pPr>
    </w:p>
    <w:p w14:paraId="76B19532" w14:textId="77777777" w:rsidR="00A8138F" w:rsidRDefault="00A8138F" w:rsidP="00A8138F">
      <w:pPr>
        <w:pStyle w:val="TextoNormal"/>
      </w:pPr>
      <w:r>
        <w:lastRenderedPageBreak/>
        <w:t>“En concreto ha resultado acreditado que la denunciante, deseaba fijar su residencia en La Coruña, donde vivían sus padres, y trasladarse allí con el menor, posibilidad que no contemplaba el acusado, que trabajaba como bombero en Nanclares de Oca.</w:t>
      </w:r>
    </w:p>
    <w:p w14:paraId="71B2E1DC" w14:textId="77777777" w:rsidR="00A8138F" w:rsidRDefault="00A8138F" w:rsidP="00A8138F">
      <w:pPr>
        <w:pStyle w:val="TextoNormal"/>
      </w:pPr>
    </w:p>
    <w:p w14:paraId="7C378D10" w14:textId="77777777" w:rsidR="00A8138F" w:rsidRDefault="00A8138F" w:rsidP="00A8138F">
      <w:pPr>
        <w:pStyle w:val="TextoNormal"/>
      </w:pPr>
      <w:r>
        <w:t>No son pocas las ocasiones en supuestos de violencia de género o doméstica, en los [que] late la sospecha de motivaciones espurias en la denuncia, derivadas fundamentalmente de discrepancias surgidas [entre] los padres en torno a la custodia y régimen de visitas de los hijos menores, en este caso la duda ha dado paso a la certeza, y es [que] por más [que] hubiera podido acreditarse que los hechos denunciados fueron ciertos, lo que por otro lado no se ha logrado, de lo [que] no cabe duda es [de ]que la denunciante y acolitas, presionaron al acusado desde el inicio para que aceptar[a] las condiciones de un divorcio, que incluían la custodia exclusiva del menor para la madre, haciéndole saber al acusado que caso contrario se expondría a una denuncia por violencia de género.</w:t>
      </w:r>
    </w:p>
    <w:p w14:paraId="760773A1" w14:textId="77777777" w:rsidR="00A8138F" w:rsidRDefault="00A8138F" w:rsidP="00A8138F">
      <w:pPr>
        <w:pStyle w:val="TextoNormal"/>
      </w:pPr>
    </w:p>
    <w:p w14:paraId="715297FF" w14:textId="77777777" w:rsidR="00A8138F" w:rsidRDefault="00A8138F" w:rsidP="00A8138F">
      <w:pPr>
        <w:pStyle w:val="TextoNormal"/>
      </w:pPr>
      <w:r>
        <w:t>En este caso, tras no ceder al chantaje, la denuncia se llevó a efecto, interponiéndose la misma el día 16 de noviembre de 2020, ante la Policía Nacional de A Coruña.</w:t>
      </w:r>
    </w:p>
    <w:p w14:paraId="30A9B31A" w14:textId="77777777" w:rsidR="00A8138F" w:rsidRDefault="00A8138F" w:rsidP="00A8138F">
      <w:pPr>
        <w:pStyle w:val="TextoNormal"/>
      </w:pPr>
    </w:p>
    <w:p w14:paraId="2DFD5E2E" w14:textId="77777777" w:rsidR="00A8138F" w:rsidRDefault="00A8138F" w:rsidP="00A8138F">
      <w:pPr>
        <w:pStyle w:val="TextoNormal"/>
      </w:pPr>
      <w:r>
        <w:t>No cabe duda de que los hechos hubieran llegado al conocimiento de los juzgados, pues como sabemos, la denunciante fue asistida de urgencia en el hospital de San José, donde la afirmada víctima relató al sanitario un episodio de violencia de género. Ahora bien, vista la nimiedad y lo inespecífico de las lesiones descritas en aquel informe médico, si llegado el caso la denunciante hubiera hecho uso de su dispensa a declarar o hubiera referido la existencia de una discusión (único extremo acreditado), se hubiera procedido al archivo de las actuaciones.</w:t>
      </w:r>
    </w:p>
    <w:p w14:paraId="27B4F67D" w14:textId="77777777" w:rsidR="00A8138F" w:rsidRDefault="00A8138F" w:rsidP="00A8138F">
      <w:pPr>
        <w:pStyle w:val="TextoNormal"/>
      </w:pPr>
    </w:p>
    <w:p w14:paraId="631F8A73" w14:textId="77777777" w:rsidR="00A8138F" w:rsidRDefault="00A8138F" w:rsidP="00A8138F">
      <w:pPr>
        <w:pStyle w:val="TextoNormal"/>
      </w:pPr>
      <w:r>
        <w:t>Por el contrario Oliva siguió maniobrando en contra del acusado, engordando artificialmente la denuncia, basta para ello con dar lectura al disparatado escrito [de] su acusación (folio 332), donde trascendiendo de los límites del auto de procedimiento abreviado y en contra de la decisión de la Audiencia Provincial de Álava de fecha 20 de junio de 2022, (folio 320), solicita la condena del acusado nada más y nada menos que [por] tres delitos de malos tratos en el ámbito familiar, un delito contra la integridad moral penal agravado por producirse en domicilio familiar y en presencia de menor, un delito de amenazas grave y coacción grave, un delito continuado de coacciones agravado en domicilio familiar, un delito leve de vejaciones injustas.</w:t>
      </w:r>
    </w:p>
    <w:p w14:paraId="000ECBFA" w14:textId="77777777" w:rsidR="00A8138F" w:rsidRDefault="00A8138F" w:rsidP="00A8138F">
      <w:pPr>
        <w:pStyle w:val="TextoNormal"/>
      </w:pPr>
    </w:p>
    <w:p w14:paraId="344724E4" w14:textId="77777777" w:rsidR="00A8138F" w:rsidRDefault="00A8138F" w:rsidP="00A8138F">
      <w:pPr>
        <w:pStyle w:val="TextoNormal"/>
      </w:pPr>
      <w:r>
        <w:t xml:space="preserve">Pero los manejos de la acusación particular no se detienen en esta ampliación de la denuncia, también trató por todos los medios esta que la competencia para el conocimiento de los hechos se queden [en] los juzgados de La Coruña a fin de consolidar la situación de hecho que había impuesto a su todavía marido, logrando </w:t>
      </w:r>
      <w:r w:rsidRPr="00A8138F">
        <w:rPr>
          <w:i/>
        </w:rPr>
        <w:t>de facto</w:t>
      </w:r>
      <w:r>
        <w:t xml:space="preserve"> lo que pretendía, trasladar su domicilio a esta localidad junto con su hijo. A tal fin, se solicitó orden de protección ante los juzgados de A Coruña, tras comprobar que aquellos inhibían su competencia a los juzgados de Vitoria, orden que se denegó (folios 354 y siguientes), [refiriéndose] aquella resolución, tanto al carácter instrumental de la petición de medidas cautelares como a la concurrencia de circunstancias que permiten apreciar motivos espurios en la denuncia y declaración de la denunciante.</w:t>
      </w:r>
    </w:p>
    <w:p w14:paraId="6025ED9D" w14:textId="77777777" w:rsidR="00A8138F" w:rsidRDefault="00A8138F" w:rsidP="00A8138F">
      <w:pPr>
        <w:pStyle w:val="TextoNormal"/>
      </w:pPr>
    </w:p>
    <w:p w14:paraId="1FBB3618" w14:textId="77777777" w:rsidR="00A8138F" w:rsidRDefault="00A8138F" w:rsidP="00A8138F">
      <w:pPr>
        <w:pStyle w:val="TextoNormal"/>
      </w:pPr>
      <w:r>
        <w:t xml:space="preserve">Al margen de esta denuncia se interpusieron otras frente al acusado que fueron sobreseídas por delitos de apropiación indebida y contra el honor (folios 371 y siguientes), denuncias </w:t>
      </w:r>
      <w:r>
        <w:lastRenderedPageBreak/>
        <w:t>que dicho sea de paso y tal y como puso de manifiesto en el acto del juicio el acusado le ocasionaron un serio quebranto económico.</w:t>
      </w:r>
    </w:p>
    <w:p w14:paraId="488A7629" w14:textId="77777777" w:rsidR="00A8138F" w:rsidRDefault="00A8138F" w:rsidP="00A8138F">
      <w:pPr>
        <w:pStyle w:val="TextoNormal"/>
      </w:pPr>
    </w:p>
    <w:p w14:paraId="431DA07B" w14:textId="77777777" w:rsidR="00A8138F" w:rsidRDefault="00A8138F" w:rsidP="00A8138F">
      <w:pPr>
        <w:pStyle w:val="TextoNormal"/>
      </w:pPr>
      <w:r>
        <w:t>En definitiva, la denunciante, en este caso no solo no materializó la denuncia anunciada al acusado, sino que hizo uso abusivo de todos los mecanismos legales a su alcance para lograr su objetivo, establecerse junto con su hijo en A Coruña, obteniendo la custodia exclusiva del menor, tal y como se desprende tanto del whatsapp (folio 136), como de la transcripción [de] grabaciones de conversaciones telefónicas, siendo que ni uno ni otras han sido impugnadas de contrario, donde la denunciante no duda ofrecer al acusado dos opciones: o cambian su residencia a La Coruña reconociendo el acusado la custodia exclusiva a la denunciante, eso sí ,con un amplio régimen de visitas a favor del padre o si se descarta esta posibilidad se iniciaría el ejercicio de acciones penales.</w:t>
      </w:r>
    </w:p>
    <w:p w14:paraId="099C84DC" w14:textId="77777777" w:rsidR="00A8138F" w:rsidRDefault="00A8138F" w:rsidP="00A8138F">
      <w:pPr>
        <w:pStyle w:val="TextoNormal"/>
      </w:pPr>
    </w:p>
    <w:p w14:paraId="61672BE4" w14:textId="77777777" w:rsidR="00A8138F" w:rsidRDefault="00A8138F" w:rsidP="00A8138F">
      <w:pPr>
        <w:pStyle w:val="TextoNormal"/>
      </w:pPr>
      <w:r>
        <w:t>Parece por tanto evidente que existen móviles que tienen su origen en causas distintas que nada tienen que ver con el maltrato y amenazas que se denuncian, lo que exige examinar el testimonio de la víctima con máxima prudencia.</w:t>
      </w:r>
    </w:p>
    <w:p w14:paraId="301F8275" w14:textId="77777777" w:rsidR="00A8138F" w:rsidRDefault="00A8138F" w:rsidP="00A8138F">
      <w:pPr>
        <w:pStyle w:val="TextoNormal"/>
      </w:pPr>
    </w:p>
    <w:p w14:paraId="1E57F363" w14:textId="77777777" w:rsidR="00A8138F" w:rsidRDefault="00A8138F" w:rsidP="00A8138F">
      <w:pPr>
        <w:pStyle w:val="TextoNormal"/>
      </w:pPr>
      <w:r>
        <w:t>Ahora bien, como se decía más arriba, la ausencia de uno de estos criterios no es motivo que sirva a privar, sin más, de valor el testimonio de la víctima; sin embargo, en este caso los otros requisitos deben concurrir especialmente reforzados, y lo cierto es que tampoco desde el punto de vista de la verosimilitud objetiva el testimonio de Oliva parece fiable, veamos”.</w:t>
      </w:r>
    </w:p>
    <w:p w14:paraId="1AC0BB84" w14:textId="77777777" w:rsidR="00A8138F" w:rsidRDefault="00A8138F" w:rsidP="00A8138F">
      <w:pPr>
        <w:pStyle w:val="TextoNormal"/>
      </w:pPr>
    </w:p>
    <w:p w14:paraId="1AAFF710" w14:textId="77777777" w:rsidR="00A8138F" w:rsidRDefault="00A8138F" w:rsidP="00A8138F">
      <w:pPr>
        <w:pStyle w:val="TextoNormal"/>
      </w:pPr>
      <w:r>
        <w:t>Añade más adelante:</w:t>
      </w:r>
    </w:p>
    <w:p w14:paraId="5720C646" w14:textId="77777777" w:rsidR="00A8138F" w:rsidRDefault="00A8138F" w:rsidP="00A8138F">
      <w:pPr>
        <w:pStyle w:val="TextoNormal"/>
      </w:pPr>
    </w:p>
    <w:p w14:paraId="5FE63E1D" w14:textId="77777777" w:rsidR="00A8138F" w:rsidRDefault="00A8138F" w:rsidP="00A8138F">
      <w:pPr>
        <w:pStyle w:val="TextoNormal"/>
      </w:pPr>
      <w:r>
        <w:t>“En cuanto a los partes médicos lejos de corroborar la versión ofrecida por Oliva contribuyen a lo contrario y es que la mujer describe una paliza en toda regla que no se compadece con las lesiones de mínima entidad que objetiva el parte médico.</w:t>
      </w:r>
    </w:p>
    <w:p w14:paraId="0B32BFEF" w14:textId="77777777" w:rsidR="00A8138F" w:rsidRDefault="00A8138F" w:rsidP="00A8138F">
      <w:pPr>
        <w:pStyle w:val="TextoNormal"/>
      </w:pPr>
    </w:p>
    <w:p w14:paraId="3F4AFEE9" w14:textId="77777777" w:rsidR="00A8138F" w:rsidRDefault="00A8138F" w:rsidP="00A8138F">
      <w:pPr>
        <w:pStyle w:val="TextoNormal"/>
      </w:pPr>
      <w:r>
        <w:t>Nunca antes en un informe de estas características (folio 4) se había visto describir una lesión como “rubor o discreto rubor”, esto es, no alcanza ni la categoría de enrojecimiento, lo que difícilmente puede responder a los agarrones a una o dos manos en el cuello que dijo haber sufrido la denunciante y que bien podían obedecer al mero contacto con una prenda de vestir con tejido o alguna fibra ligeramente urticante. Otro tanto cabe razonar respecto del hematoma incipiente en el muslo, lesión inespecífica de data indefinida, al igual que la erosión superficial en el brazo derecho que podría haberse producido de [forma] meramente accidental, sin ir más lejos recordar que según manifestó la denunciante ese día estuvieron andando en bici por la mañana.</w:t>
      </w:r>
    </w:p>
    <w:p w14:paraId="212A690D" w14:textId="77777777" w:rsidR="00A8138F" w:rsidRDefault="00A8138F" w:rsidP="00A8138F">
      <w:pPr>
        <w:pStyle w:val="TextoNormal"/>
      </w:pPr>
    </w:p>
    <w:p w14:paraId="040322F0" w14:textId="77777777" w:rsidR="00A8138F" w:rsidRDefault="00A8138F" w:rsidP="00A8138F">
      <w:pPr>
        <w:pStyle w:val="TextoNormal"/>
      </w:pPr>
      <w:r>
        <w:t>Por el contrario, no aparece ninguna herida o lesión que pueda vincularse con el arrastramiento por el pelo que la denunciante dijo haber sufrido desde la cocina hasta el salón, pues no se objetiva arrancamiento de cuero cabelludo, ni tampoco existe evidencia de lesiones que pueda guardar relación con las patadas que según sostiene recibió por parte del acusado cuando estaba en el suelo”.</w:t>
      </w:r>
    </w:p>
    <w:p w14:paraId="08410F36" w14:textId="77777777" w:rsidR="00A8138F" w:rsidRDefault="00A8138F" w:rsidP="00A8138F">
      <w:pPr>
        <w:pStyle w:val="TextoNormal"/>
      </w:pPr>
    </w:p>
    <w:p w14:paraId="097D3BCE" w14:textId="77777777" w:rsidR="00A8138F" w:rsidRDefault="00A8138F" w:rsidP="00A8138F">
      <w:pPr>
        <w:pStyle w:val="TextoNormal"/>
      </w:pPr>
      <w:r>
        <w:t xml:space="preserve">Pues bien, finalizado el proceso penal con la absolución definitiva de don J.V.O., las expresiones utilizadas y la motivación de la sentencia de la que discrepamos suponen una clara vulneración del derecho a la presunción de inocencia del denunciado ya absuelto (arts. </w:t>
      </w:r>
      <w:r>
        <w:lastRenderedPageBreak/>
        <w:t>24.2 CE y 6.2 CEDH), cuya tutela ha dado lugar a numerosos pronunciamientos del Tribunal Europeo de Derechos Humanos.</w:t>
      </w:r>
    </w:p>
    <w:p w14:paraId="5FC89CBB" w14:textId="77777777" w:rsidR="00A8138F" w:rsidRDefault="00A8138F" w:rsidP="00A8138F">
      <w:pPr>
        <w:pStyle w:val="TextoNormal"/>
      </w:pPr>
    </w:p>
    <w:p w14:paraId="2F673AFA" w14:textId="77777777" w:rsidR="00A8138F" w:rsidRDefault="00A8138F" w:rsidP="00A8138F">
      <w:pPr>
        <w:pStyle w:val="TextoNormal"/>
      </w:pPr>
      <w:r>
        <w:t>La sentencia dedica el fundamento jurídico 2 a) a lo que intitula “El deber de motivación judicial reforzada por afectación del interés superior del menor. Regímenes de guarda, custodia y visitas en contextos de violencia de género”. El título del fundamento sugiere que la guarda y custodia se resolvió en un contexto de “violencia de género”. Su contenido no desautoriza el enunciado. El lenguaje utilizado acepta la posición de la recurrente que justifica el cambio de residencia en la “condición de víctima de violencia machista”. Se reprocha al órgano judicial autor de la resolución que no evidenciara que la decisión adoptada, “suponía el deber de doña O.V.R., de ejercer la guarda y custodia de su hijo menor en la ciudad de residencia de su presunto maltratador”, término denigrante que ni tan siquiera utiliza la recurrente en la demanda de amparo —pese a que se interpuso con anterioridad a conocer la sentencia absolutoria— y que es absolutamente incompatible con el derecho a la presunción de inocencia.</w:t>
      </w:r>
    </w:p>
    <w:p w14:paraId="25FB3849" w14:textId="77777777" w:rsidR="00A8138F" w:rsidRDefault="00A8138F" w:rsidP="00A8138F">
      <w:pPr>
        <w:pStyle w:val="TextoNormal"/>
      </w:pPr>
    </w:p>
    <w:p w14:paraId="6520CCB7" w14:textId="77777777" w:rsidR="00A8138F" w:rsidRDefault="00A8138F" w:rsidP="00A8138F">
      <w:pPr>
        <w:pStyle w:val="TextoNormal"/>
      </w:pPr>
      <w:r>
        <w:t>En consecuencia, la sentencia ignora la existencia del pronunciamiento absolutorio confirmado por la Audiencia Provincial. El argumento discurre sobre la necesidad de tomar en consideración los indicios de violencia de género o “las dinámicas de sometimiento inherentes a la violencia de género” o la “obligación de prevención y protección contra la violencia de los hijos e hijas de las mujeres víctimas de violencia machista” que conforme a la sentencia del Juzgado de lo Penal no existió.</w:t>
      </w:r>
    </w:p>
    <w:p w14:paraId="46A29CA1" w14:textId="77777777" w:rsidR="00A8138F" w:rsidRDefault="00A8138F" w:rsidP="00A8138F">
      <w:pPr>
        <w:pStyle w:val="TextoNormal"/>
      </w:pPr>
    </w:p>
    <w:p w14:paraId="4A78FD1D" w14:textId="77777777" w:rsidR="00A8138F" w:rsidRDefault="00A8138F" w:rsidP="00A8138F">
      <w:pPr>
        <w:pStyle w:val="TextoNormal"/>
      </w:pPr>
      <w:r>
        <w:t>A ello se añade que, cuando aplica la doctrina expuesta para resolver acerca de la vulneración producida, en el fundamento jurídico 3, la sentencia impone un deber de motivación al Juzgado de Violencia sobre la Mujer en tanto que “el desplazamiento inicial no consentido del menor venía justificado, según la denuncia planteada por su madre, por la preexistencia de una situación de violencia de género”. Indica además que el juzgado no podía “obviar a tales efectos los indicios de violencia de género” frente a quien en ese momento se habían abierto diligencias por motivos de violencia de género. Incluso se pronuncia sobre el fondo y señala que la decisión debía tomar en consideración la causa alegada desde el principio por doña O.V.R., como motivo de su traslado y los “indicios de violencia de género y las dinámicas inherentes a la violencia machista”, elevando erróneamente la denuncia y al atestado —como se verá— a la categoría de prueba e invirtiendo la carga de la prueba.</w:t>
      </w:r>
    </w:p>
    <w:p w14:paraId="0A8B7AB3" w14:textId="77777777" w:rsidR="00A8138F" w:rsidRDefault="00A8138F" w:rsidP="00A8138F">
      <w:pPr>
        <w:pStyle w:val="TextoNormal"/>
      </w:pPr>
    </w:p>
    <w:p w14:paraId="0F6604A1" w14:textId="77777777" w:rsidR="00A8138F" w:rsidRDefault="00A8138F" w:rsidP="00A8138F">
      <w:pPr>
        <w:pStyle w:val="TextoNormal"/>
      </w:pPr>
      <w:r>
        <w:t>Este razonamiento y su terminología contradicen el derecho a la presunción de inocencia, dado que existe una sentencia absolutoria sobre don J.V.O. No cabe utilizar términos como “víctima”, “revictimización” —atribuido al auto impugnado—, “maltratador” o “existencia de indicios de violencia de género”, cuando sobre los hechos denunciados ha recaído una sentencia absolutoria.</w:t>
      </w:r>
    </w:p>
    <w:p w14:paraId="557E230B" w14:textId="77777777" w:rsidR="00A8138F" w:rsidRDefault="00A8138F" w:rsidP="00A8138F">
      <w:pPr>
        <w:pStyle w:val="TextoNormal"/>
      </w:pPr>
    </w:p>
    <w:p w14:paraId="7DE34C95" w14:textId="77777777" w:rsidR="00A8138F" w:rsidRDefault="00A8138F" w:rsidP="00A8138F">
      <w:pPr>
        <w:pStyle w:val="TextoNormal"/>
      </w:pPr>
      <w:r>
        <w:t xml:space="preserve">En suma, haciendo uso de las expresiones contenidas en la STEDH de 13 de julio de 2010, asunto </w:t>
      </w:r>
      <w:r w:rsidRPr="00A8138F">
        <w:rPr>
          <w:i/>
        </w:rPr>
        <w:t>Tendam c. España</w:t>
      </w:r>
      <w:r>
        <w:t xml:space="preserve">, § 38, por la motivación empleada o por el lenguaje utilizado en sus razonamientos, la sentencia de la que discrepamos cuestiona la inocencia de don J.V.O., lo que conforme a la STEDH de 16 de febrero de 2016, asunto </w:t>
      </w:r>
      <w:r w:rsidRPr="00A8138F">
        <w:rPr>
          <w:i/>
        </w:rPr>
        <w:t>Vlieeland Boddy y Marcelo Lanni c. España</w:t>
      </w:r>
      <w:r>
        <w:t>, supone un menospreció a la presunción de inocencia, como se desprende de los parágrafos 39 y 40, que señalan:</w:t>
      </w:r>
    </w:p>
    <w:p w14:paraId="0DDA8E13" w14:textId="77777777" w:rsidR="00A8138F" w:rsidRDefault="00A8138F" w:rsidP="00A8138F">
      <w:pPr>
        <w:pStyle w:val="TextoNormal"/>
      </w:pPr>
    </w:p>
    <w:p w14:paraId="47C9F247" w14:textId="77777777" w:rsidR="00A8138F" w:rsidRDefault="00A8138F" w:rsidP="00A8138F">
      <w:pPr>
        <w:pStyle w:val="TextoNormal"/>
      </w:pPr>
      <w:r>
        <w:lastRenderedPageBreak/>
        <w:t>“39. […] no puede admitirse que se siembren sospechas sobre la inocencia de un acusado tras una absolución que haya adquirido carácter de firmeza (</w:t>
      </w:r>
      <w:r w:rsidRPr="00A8138F">
        <w:rPr>
          <w:i/>
        </w:rPr>
        <w:t>Sekanina</w:t>
      </w:r>
      <w:r>
        <w:t>, anteriormente citada, § 30). Una vez que la absolución es firme —aunque se trate de una absolución con el beneficio de la duda— conforme al artículo 6 § 2 del Convenio, la siembra de dudas sobre la culpabilidad, incluidas aquellas respecto de las causas de la absolución, no son compatibles con la presunción de inocencia (</w:t>
      </w:r>
      <w:r w:rsidRPr="00A8138F">
        <w:rPr>
          <w:i/>
        </w:rPr>
        <w:t>Rushiti</w:t>
      </w:r>
      <w:r>
        <w:t>, anteriormente citada, § 31). En efecto, unas decisiones judiciales posteriores o unas declaraciones que emanen de autoridades públicas pueden plantear un problema desde la perspectiva del artículo 6 § 2 anteriormente citado si equivalen a una declaración de culpabilidad que ignora, deliberadamente, la absolución previa del acusado (</w:t>
      </w:r>
      <w:r w:rsidRPr="00A8138F">
        <w:rPr>
          <w:i/>
        </w:rPr>
        <w:t>Del Latte c. Países Bajos</w:t>
      </w:r>
      <w:r>
        <w:t>, núm. 44760/98, § 30, 9 de noviembre de 2004).</w:t>
      </w:r>
    </w:p>
    <w:p w14:paraId="74F2A6CF" w14:textId="77777777" w:rsidR="00A8138F" w:rsidRDefault="00A8138F" w:rsidP="00A8138F">
      <w:pPr>
        <w:pStyle w:val="TextoNormal"/>
      </w:pPr>
    </w:p>
    <w:p w14:paraId="40C74D1A" w14:textId="77777777" w:rsidR="00A8138F" w:rsidRDefault="00A8138F" w:rsidP="00A8138F">
      <w:pPr>
        <w:pStyle w:val="TextoNormal"/>
      </w:pPr>
      <w:r>
        <w:t>40. […] en el ámbito del artículo 6 § 2 del Convenio, la parte resolutiva de una sentencia absolutoria debe ser respetada por toda autoridad que se pronuncie de manera directa o incidental sobre la responsabilidad penal del interesado (</w:t>
      </w:r>
      <w:r w:rsidRPr="00A8138F">
        <w:rPr>
          <w:i/>
        </w:rPr>
        <w:t>Allen</w:t>
      </w:r>
      <w:r>
        <w:t xml:space="preserve">, anteriormente citada, § 102, </w:t>
      </w:r>
      <w:r w:rsidRPr="00A8138F">
        <w:rPr>
          <w:i/>
        </w:rPr>
        <w:t>Vassilios Stavropoulos c. Grecia</w:t>
      </w:r>
      <w:r>
        <w:t>, núm. 35522/04, § 39, 27 de septiembre de 2007). […]”</w:t>
      </w:r>
    </w:p>
    <w:p w14:paraId="600C77FE" w14:textId="77777777" w:rsidR="00A8138F" w:rsidRDefault="00A8138F" w:rsidP="00A8138F">
      <w:pPr>
        <w:pStyle w:val="TextoNormal"/>
      </w:pPr>
    </w:p>
    <w:p w14:paraId="764B1A12" w14:textId="77777777" w:rsidR="00A8138F" w:rsidRDefault="00A8138F" w:rsidP="00A8138F">
      <w:pPr>
        <w:pStyle w:val="TextoNormal"/>
      </w:pPr>
      <w:r>
        <w:t xml:space="preserve">Esto es, “[e]n tal contexto, la presunción de inocencia significa que si se ha formulado una acusación penal y el proceso ha dado lugar a una absolución, la persona procesada se considera inocente según la ley y debe ser tratada como tal” (STEDH de 25 de febrero de 2025, asunto </w:t>
      </w:r>
      <w:r w:rsidRPr="00A8138F">
        <w:rPr>
          <w:i/>
        </w:rPr>
        <w:t>Gomes Costa c. Portugal</w:t>
      </w:r>
      <w:r>
        <w:t xml:space="preserve">, § 98). “‘Tras el archivo de un proceso penal, la presunción de inocencia requiere que la ausencia de condena penal de una persona se respete en cualquier otro proceso, cualquiera que este sea’ (véase </w:t>
      </w:r>
      <w:r w:rsidRPr="00A8138F">
        <w:rPr>
          <w:i/>
        </w:rPr>
        <w:t>Allen</w:t>
      </w:r>
      <w:r>
        <w:t>, citado anteriormente, § 102). Lo que también está en juego una vez finalizado el proceso penal es la reputación de la persona y la forma en que la sociedad la considera. En cierta medida, la protección otorgada en virtud del artículo 6.2 a este respecto puede solaparse con la protección otorgada por el artículo 8” (decisión del Tribunal Europeo de Derechos Humanos de 25 de junio de 2019, asunt</w:t>
      </w:r>
      <w:r w:rsidRPr="00A8138F">
        <w:rPr>
          <w:i/>
        </w:rPr>
        <w:t>o Martínez Agirre y otros c. Espa</w:t>
      </w:r>
      <w:r>
        <w:t>ña, § 40).</w:t>
      </w:r>
    </w:p>
    <w:p w14:paraId="7ED3EEEF" w14:textId="77777777" w:rsidR="00A8138F" w:rsidRDefault="00A8138F" w:rsidP="00A8138F">
      <w:pPr>
        <w:pStyle w:val="TextoNormal"/>
      </w:pPr>
    </w:p>
    <w:p w14:paraId="74B228E9" w14:textId="77777777" w:rsidR="00A8138F" w:rsidRDefault="00A8138F" w:rsidP="00A8138F">
      <w:pPr>
        <w:pStyle w:val="TextoNormal"/>
      </w:pPr>
      <w:r>
        <w:t>B) La lucha por la igualdad, que en su origen ha sustentado el enfoque de la perspectiva de género como instrumento de aportación de nuevas máximas de experiencia —especialmente útiles en la valoración probatoria—, no puede obviar las garantías tradicionales que han inspirado el proceso penal y en particular el derecho a la presunción de inocencia.</w:t>
      </w:r>
    </w:p>
    <w:p w14:paraId="18811795" w14:textId="77777777" w:rsidR="00A8138F" w:rsidRDefault="00A8138F" w:rsidP="00A8138F">
      <w:pPr>
        <w:pStyle w:val="TextoNormal"/>
      </w:pPr>
    </w:p>
    <w:p w14:paraId="2D426ECF" w14:textId="77777777" w:rsidR="00A8138F" w:rsidRDefault="00A8138F" w:rsidP="00A8138F">
      <w:pPr>
        <w:pStyle w:val="TextoNormal"/>
      </w:pPr>
      <w:r>
        <w:t>Buena muestra del sacrificio del derecho a la presunción de inocencia es el discurso argumental que sostiene la sentencia de la que discrepamos. La sentencia, dando un paso más respecto a las previas SSTC 115/2024, de 23 de septiembre, y 145/2024, de 2 de diciembre, con las que guarda una evidente relación, eleva a la categoría de prueba indiciaria y de indicio no solo la denuncia y el atestado, sino también la “certificación” expedida por el Ministerio Fiscal —esto es, la acusación pública— o el informe de los servicios sociales del Ayuntamiento de A Coruña. En el caso de estos dos últimos documentos se argumenta que los mismos se prevén en la Ley 11/2007, de 27 de julio, gallega para la prevención y el tratamiento integral de la violencia de género [art. 5 c) y e) de la misma] como suficientes para acreditar la existencia de indicios en el ámbito de aplicación de dicha ley. Añadimos nosotros que tales documentos —“certificado de la Fiscalía Provincial” y de “los servicios sociales del ayuntamiento”— en ese ámbito se equiparan a una sentencia condenatoria [art. 5 b)].</w:t>
      </w:r>
    </w:p>
    <w:p w14:paraId="2165CA1A" w14:textId="77777777" w:rsidR="00A8138F" w:rsidRDefault="00A8138F" w:rsidP="00A8138F">
      <w:pPr>
        <w:pStyle w:val="TextoNormal"/>
      </w:pPr>
    </w:p>
    <w:p w14:paraId="0DD85A8C" w14:textId="77777777" w:rsidR="00A8138F" w:rsidRDefault="00A8138F" w:rsidP="00A8138F">
      <w:pPr>
        <w:pStyle w:val="TextoNormal"/>
      </w:pPr>
      <w:r>
        <w:lastRenderedPageBreak/>
        <w:t>Hasta ahora, conceptualmente estaba asentado y era una obviedad recordarlo, ni el atestado, ni la denuncia que al mismo se incorpora, constituyen un medio de prueba, pues se enmarcan en la antesala del proceso (art. 297 de la Ley de enjuiciamiento criminal). Los hechos con trascendencia penal que en los mismos se describen precisamente serán los que deberán ser probados en el proceso a través de los medios de prueba constitucional y legalmente admitidos. No cabe otorgar la condición de prueba —tampoco indiciaria— a las declaraciones prestadas extramuros del proceso penal (por todas, STC 31/1981, de 28 de julio, FJ 4) y menos aún considerarlas “indicios”. El atestado, respecto de las declaraciones, se erige en objeto de prueba y no en medio de prueba (STC 165/2014, de 8 de octubre, FJ 2), con las salvedades constitucionalmente reconocidas, sobre las que no nos vamos a extender (SSTC 100/1985, de 3 de octubre; 201/1989, de 30 de noviembre; 157/1995, de 6 de noviembre, o 68/2010, de 18 de octubre).</w:t>
      </w:r>
    </w:p>
    <w:p w14:paraId="37D07A04" w14:textId="77777777" w:rsidR="00A8138F" w:rsidRDefault="00A8138F" w:rsidP="00A8138F">
      <w:pPr>
        <w:pStyle w:val="TextoNormal"/>
      </w:pPr>
    </w:p>
    <w:p w14:paraId="713D1E77" w14:textId="77777777" w:rsidR="00A8138F" w:rsidRDefault="00A8138F" w:rsidP="00A8138F">
      <w:pPr>
        <w:pStyle w:val="TextoNormal"/>
      </w:pPr>
      <w:r>
        <w:t>Las referidas declaraciones no constituyen hechos debidamente comprobados, por lo que ontológicamente no permiten asentar una inferencia que pueda llevarnos al conocimiento de lo acontecido. Es por ello que no pueden ser elevadas a la categoría de indicios, como erróneamente sostiene la sentencia de la que discrepamos. Y tampoco la ausencia de referencia a los mismos puede ser utilizada, como realiza la sentencia, como núcleo del reproche tanto al auto que deniega la orden de protección, dictado por el Juzgado de Violencia sobre la Mujer núm. 1 de A Coruña —que no es objeto de la demanda de amparo—, como al que resuelve las medidas provisionales coetáneas a la demanda de divorcio dictado por el mismo juzgado de Vitoria. Precisamente, ambos órganos judiciales sustentaron correctamente su resolución en la valoración de las pruebas practicadas con inmediación. Elevar la denuncia, el atestado, el informe del fiscal o de los servicios sociales a la condición de indicio de la comisión del delito de violencia de género supone invertir la carga de la prueba y soterrar el derecho a la presunción de inocencia.</w:t>
      </w:r>
    </w:p>
    <w:p w14:paraId="6F0691A0" w14:textId="77777777" w:rsidR="00A8138F" w:rsidRDefault="00A8138F" w:rsidP="00A8138F">
      <w:pPr>
        <w:pStyle w:val="TextoNormal"/>
      </w:pPr>
    </w:p>
    <w:p w14:paraId="46E01116" w14:textId="77777777" w:rsidR="00A8138F" w:rsidRDefault="00A8138F" w:rsidP="00A8138F">
      <w:pPr>
        <w:pStyle w:val="TextoNormal"/>
      </w:pPr>
      <w:r>
        <w:t>El auto impugnado frente al que se concede el amparo descarta que el traslado del hijo de modo unilateral se encuentre justificado en la mejor salvaguarda del interés del menor por su seguridad y estabilidad en el domicilio anterior y sustenta su criterio en que no se dictó ninguna medida de protección ni respecto de la madre ni del menor. Precisamente, en las diligencias previas núm. 1044-2020, seguidas ante el Juzgado de Violencia sobre la Mujer núm. 1 de A Coruña, tras practicar como medios de prueba las declaraciones de los dos progenitores y la documental propuesta, se descartó, por auto de 1 de diciembre de 2020, la concesión de la orden de protección, al apreciar motivos espurios en la denuncia y declaración de la denunciante. A idéntica conclusión llegó la sentencia del Juzgado de lo Penal núm. 1 de Vitoria que absolvió a don J.V.O., tres años y cuatro meses después.</w:t>
      </w:r>
    </w:p>
    <w:p w14:paraId="17E59CD6" w14:textId="77777777" w:rsidR="00A8138F" w:rsidRDefault="00A8138F" w:rsidP="00A8138F">
      <w:pPr>
        <w:pStyle w:val="TextoNormal"/>
      </w:pPr>
    </w:p>
    <w:p w14:paraId="4DED01C7" w14:textId="77777777" w:rsidR="00A8138F" w:rsidRDefault="00A8138F" w:rsidP="00A8138F">
      <w:pPr>
        <w:pStyle w:val="TextoNormal"/>
      </w:pPr>
      <w:r>
        <w:t>C) Incumplimiento de la doctrina constitucional que prohíbe la reconstrucción de las demandas</w:t>
      </w:r>
    </w:p>
    <w:p w14:paraId="391DB5CE" w14:textId="77777777" w:rsidR="00A8138F" w:rsidRDefault="00A8138F" w:rsidP="00A8138F">
      <w:pPr>
        <w:pStyle w:val="TextoNormal"/>
      </w:pPr>
    </w:p>
    <w:p w14:paraId="2A567E69" w14:textId="77777777" w:rsidR="00A8138F" w:rsidRDefault="00A8138F" w:rsidP="00A8138F">
      <w:pPr>
        <w:pStyle w:val="TextoNormal"/>
      </w:pPr>
      <w:r>
        <w:t>La demanda alega la lesión del derecho de acceso a la jurisdicción (art. 24.1 CE) en la vertiente de falta de una motivación reforzada en un asunto en el que se encontraba concernido el interés superior del menor y el art. 19 CE por la limitación del derecho a la libertad de residencia.</w:t>
      </w:r>
    </w:p>
    <w:p w14:paraId="4D11EAAF" w14:textId="77777777" w:rsidR="00A8138F" w:rsidRDefault="00A8138F" w:rsidP="00A8138F">
      <w:pPr>
        <w:pStyle w:val="TextoNormal"/>
      </w:pPr>
    </w:p>
    <w:p w14:paraId="67533C21" w14:textId="77777777" w:rsidR="00A8138F" w:rsidRDefault="00A8138F" w:rsidP="00A8138F">
      <w:pPr>
        <w:pStyle w:val="TextoNormal"/>
      </w:pPr>
      <w:r>
        <w:t xml:space="preserve">Sin embargo, la sentencia, siguiendo la senda de las ya citadas SSTC 115/2024 y 145/2024, entiende, como se ha expuesto, que los órganos judiciales no habrían tenido en </w:t>
      </w:r>
      <w:r>
        <w:lastRenderedPageBreak/>
        <w:t>cuenta y otorgado consideración preferente al entorno de violencia sufrida por uno de los progenitores y causada por el otro y que afecta al hijo en común. Violencia —sufrida y causada— que la sentencia viene a configurar como una realidad apriorística nacida de la mera denuncia de la madre y que se enfrenta al contenido de todas las resoluciones judiciales que se han dictado en los diversos procedimientos civiles y penales seguidos.</w:t>
      </w:r>
    </w:p>
    <w:p w14:paraId="71145C04" w14:textId="77777777" w:rsidR="00A8138F" w:rsidRDefault="00A8138F" w:rsidP="00A8138F">
      <w:pPr>
        <w:pStyle w:val="TextoNormal"/>
      </w:pPr>
    </w:p>
    <w:p w14:paraId="0FD7648A" w14:textId="77777777" w:rsidR="00A8138F" w:rsidRDefault="00A8138F" w:rsidP="00A8138F">
      <w:pPr>
        <w:pStyle w:val="TextoNormal"/>
      </w:pPr>
      <w:r>
        <w:t>Para poder asentar el discurso la sentencia tiene que reconstruir la demanda y aplicar el canon sobre motivación reforzada y valoración prevalente de lo que considera un contexto de violencia de género perjudicial para el interés del menor. De este modo modifica el problema constitucional que se plantea por la recurrente, pues, conforme a la queja que se formulaba, la decisión de la Sala debería haberse centrado en determinar si las resoluciones judiciales recurridas han vulnerado el derecho a la tutela judicial efectiva de la demandante de amparo en la vertiente del derecho a una motivación reforzada de la decisión judicial.</w:t>
      </w:r>
    </w:p>
    <w:p w14:paraId="7DB57B28" w14:textId="77777777" w:rsidR="00A8138F" w:rsidRDefault="00A8138F" w:rsidP="00A8138F">
      <w:pPr>
        <w:pStyle w:val="TextoNormal"/>
      </w:pPr>
    </w:p>
    <w:p w14:paraId="241FE171" w14:textId="77777777" w:rsidR="00A8138F" w:rsidRDefault="00A8138F" w:rsidP="00A8138F">
      <w:pPr>
        <w:pStyle w:val="TextoNormal"/>
      </w:pPr>
      <w:r>
        <w:t>La demanda entiende necesaria la motivación reforzada por dos razones, ninguna de las cuales es el supuesto contexto de violencia de género, que es determinante del otorgamiento del amparo. Tal como la mera lectura de la demanda pone de manifiesto, esa motivación reforzada se entiende necesaria (y su falta vulneradora del art. 24.1 CE) por cuanto se trata de una resolución judicial que afecta a: (i) el interés superior del menor y (ii) al art. 19 CE en relación con la limitación del derecho a elegir el lugar de residencia, sin que, en la formulación de tales quejas, aparezca el contexto de violencia determinante de la estimación del amparo.</w:t>
      </w:r>
    </w:p>
    <w:p w14:paraId="214EE19F" w14:textId="77777777" w:rsidR="00A8138F" w:rsidRDefault="00A8138F" w:rsidP="00A8138F">
      <w:pPr>
        <w:pStyle w:val="TextoNormal"/>
      </w:pPr>
    </w:p>
    <w:p w14:paraId="75CBBA05" w14:textId="77777777" w:rsidR="00A8138F" w:rsidRDefault="00A8138F" w:rsidP="00A8138F">
      <w:pPr>
        <w:pStyle w:val="TextoNormal"/>
      </w:pPr>
      <w:r>
        <w:t>La sentencia reformula la queja al afirmar, en su fundamento jurídico 2 a), que “el auto objeto del recurso de amparo que ahora resolvemos afecta al derecho a la igualdad y a la prohibición de discriminación por razón de sexo desde el momento en que la razón que arguye la recurrente como motivo del cambio de residencia junto con su hijo menor es su condición de víctima de violencia machista”.</w:t>
      </w:r>
    </w:p>
    <w:p w14:paraId="256BB4A3" w14:textId="77777777" w:rsidR="00A8138F" w:rsidRDefault="00A8138F" w:rsidP="00A8138F">
      <w:pPr>
        <w:pStyle w:val="TextoNormal"/>
      </w:pPr>
    </w:p>
    <w:p w14:paraId="71B169AC" w14:textId="77777777" w:rsidR="00A8138F" w:rsidRDefault="00A8138F" w:rsidP="00A8138F">
      <w:pPr>
        <w:pStyle w:val="TextoNormal"/>
      </w:pPr>
      <w:r>
        <w:t xml:space="preserve">Se trata así la cuestión desde la perspectiva del no alegado derecho fundamental a la no discriminación por razón de sexo del art. 14 CE, que se plantea en un contexto que considera vinculado a delitos relacionados con la violencia de género, y de este modo resucitar el canon </w:t>
      </w:r>
      <w:r w:rsidRPr="00A8138F">
        <w:rPr>
          <w:i/>
        </w:rPr>
        <w:t>ad hoc</w:t>
      </w:r>
      <w:r>
        <w:t xml:space="preserve"> que será aplicado en el proceso, basado en la exigencia de motivación reforzada en contextos de violencia de género y que lleva directamente a estimar el presente recurso de amparo.</w:t>
      </w:r>
    </w:p>
    <w:p w14:paraId="4E213FE4" w14:textId="77777777" w:rsidR="00A8138F" w:rsidRDefault="00A8138F" w:rsidP="00A8138F">
      <w:pPr>
        <w:pStyle w:val="TextoNormal"/>
      </w:pPr>
    </w:p>
    <w:p w14:paraId="7A5DBBB1" w14:textId="77777777" w:rsidR="00A8138F" w:rsidRDefault="00A8138F" w:rsidP="00A8138F">
      <w:pPr>
        <w:pStyle w:val="TextoNormal"/>
      </w:pPr>
      <w:r>
        <w:t xml:space="preserve">2. </w:t>
      </w:r>
      <w:r w:rsidRPr="00A8138F">
        <w:rPr>
          <w:i/>
        </w:rPr>
        <w:t>Excepción al ejercicio conjunto de la patria potestad y a la exigencia de autorización judicial en caso de desacuerdo (art. 19 CE)</w:t>
      </w:r>
    </w:p>
    <w:p w14:paraId="1F072A11" w14:textId="77777777" w:rsidR="00A8138F" w:rsidRDefault="00A8138F" w:rsidP="00A8138F">
      <w:pPr>
        <w:pStyle w:val="TextoNormal"/>
      </w:pPr>
    </w:p>
    <w:p w14:paraId="7729C15A" w14:textId="77777777" w:rsidR="00A8138F" w:rsidRDefault="00A8138F" w:rsidP="00A8138F">
      <w:pPr>
        <w:pStyle w:val="TextoNormal"/>
      </w:pPr>
      <w:r>
        <w:t>A) Antes de entrar a cuestionar la argumentación que contiene la sentencia en relación con el derecho del progenitor a fijar su residencia en el territorio nacional, es preciso referirnos al contenido de los autos impugnados y a las resoluciones que se dictaron en el marco de la ejecución del mismo que, a diferencia del procedimiento penal, no han sido recabados del Juzgado de Violencia sobre la Mujer núm. 1 de Vitoria, y de los que resulta que la fijación de la residencia en Vitoria fue debatida y resuelta finalmente por la Audiencia Provincial.</w:t>
      </w:r>
    </w:p>
    <w:p w14:paraId="439028E8" w14:textId="77777777" w:rsidR="00A8138F" w:rsidRDefault="00A8138F" w:rsidP="00A8138F">
      <w:pPr>
        <w:pStyle w:val="TextoNormal"/>
      </w:pPr>
    </w:p>
    <w:p w14:paraId="5DB1BFF9" w14:textId="77777777" w:rsidR="00A8138F" w:rsidRDefault="00A8138F" w:rsidP="00A8138F">
      <w:pPr>
        <w:pStyle w:val="TextoNormal"/>
      </w:pPr>
      <w:r>
        <w:lastRenderedPageBreak/>
        <w:t>a) El auto núm. 81/2021, de 30 de julio, dictado por el Juzgado de Violencia sobre la Mujer núm. 1 de Vitoria en el marco de las medidas coetáneas al procedimiento de divorcio, que es, junto con el de 17 de diciembre de 2021 que desestima la petición de nulidad, objeto de impugnación, estimó parcialmente la demanda interpuesta por don J.V.O., y atribuyó, como consta en los antecedentes de la sentencia de la que discrepamos, la guarda y custodia del menor a la madre “que deberá ejercerse en la ciudad de Vitoria-Gasteiz”.</w:t>
      </w:r>
    </w:p>
    <w:p w14:paraId="3DD123BC" w14:textId="77777777" w:rsidR="00A8138F" w:rsidRDefault="00A8138F" w:rsidP="00A8138F">
      <w:pPr>
        <w:pStyle w:val="TextoNormal"/>
      </w:pPr>
    </w:p>
    <w:p w14:paraId="457C9095" w14:textId="77777777" w:rsidR="00A8138F" w:rsidRDefault="00A8138F" w:rsidP="00A8138F">
      <w:pPr>
        <w:pStyle w:val="TextoNormal"/>
      </w:pPr>
      <w:r>
        <w:t>Razona el auto que ambos padres tienen capacidad de decisión sobre el hijo común, pero que dicha capacidad “no les da derecho a impedir que el otro le vea”. Indica que la madre se marchó de Vitoria-Gasteiz a La Coruña el 5 de noviembre de 2020, llevándose al menor, y desde entonces el padre no ha tenido contacto con el menor. Justifica que la custodia se ejerza en Vitoria-Gasteiz “donde tendrá que residir el menor, ya que en el presente caso se ha realizado un traslado del hijo de modo unilateral sin que se haya justificado dicho traslado de residencia”.</w:t>
      </w:r>
    </w:p>
    <w:p w14:paraId="26317458" w14:textId="77777777" w:rsidR="00A8138F" w:rsidRDefault="00A8138F" w:rsidP="00A8138F">
      <w:pPr>
        <w:pStyle w:val="TextoNormal"/>
      </w:pPr>
    </w:p>
    <w:p w14:paraId="58AC3B32" w14:textId="77777777" w:rsidR="00A8138F" w:rsidRDefault="00A8138F" w:rsidP="00A8138F">
      <w:pPr>
        <w:pStyle w:val="TextoNormal"/>
      </w:pPr>
      <w:r>
        <w:t>Indica que:</w:t>
      </w:r>
    </w:p>
    <w:p w14:paraId="4224E4B7" w14:textId="77777777" w:rsidR="00A8138F" w:rsidRDefault="00A8138F" w:rsidP="00A8138F">
      <w:pPr>
        <w:pStyle w:val="TextoNormal"/>
      </w:pPr>
    </w:p>
    <w:p w14:paraId="04108727" w14:textId="77777777" w:rsidR="00A8138F" w:rsidRDefault="00A8138F" w:rsidP="00A8138F">
      <w:pPr>
        <w:pStyle w:val="TextoNormal"/>
      </w:pPr>
      <w:r>
        <w:t>“[e]l hecho de marcharse unilateralmente de la ciudad ha supuesto apartar a este menor de su entorno conocido y familiar, lejos del ambiente donde se ha criado el menor, ya que el niño ha nacido y residido en Vitoria-Gasteiz hasta el momento que la madre se lo llevó a La Coruña, estando escolarizado en esta ciudad, cambiando la residencia del menor, sin autorización judicial ni el consentimiento del padre, pudiendo haber cambiado, por las mismas razones alegadas, de domicilio en esta misma ciudad.</w:t>
      </w:r>
    </w:p>
    <w:p w14:paraId="4C91077D" w14:textId="77777777" w:rsidR="00A8138F" w:rsidRDefault="00A8138F" w:rsidP="00A8138F">
      <w:pPr>
        <w:pStyle w:val="TextoNormal"/>
      </w:pPr>
    </w:p>
    <w:p w14:paraId="4281BAFB" w14:textId="77777777" w:rsidR="00A8138F" w:rsidRDefault="00A8138F" w:rsidP="00A8138F">
      <w:pPr>
        <w:pStyle w:val="TextoNormal"/>
      </w:pPr>
      <w:r>
        <w:t>Es cierto que la Constitución Española, en su artículo 19, determina el derecho de los españoles a elegir libremente su residencia, y a salir de España en los términos que la ley establezca. Pero el problema no es este, el problema se suscita sobre la procedencia o improcedencia de llevar al menor a residir en otro lugar, lo que puede comportar un cambio radical tanto de su entorno social como parental; uno de los progenitores, con ejercicio conjunto de la patria potestad sobre los hijos, no tiene la facultad de decidir un traslado de residencia del menor que aparte al mismo de su entorno habitual, por corresponder tal facultad a ambos progenitores, necesitando para ello el progenitor del previo consentimiento del otro o, en su defecto, de la supletoria autorización judicial, la decisión de cambiar la residencia de su hijo afecta a la patria potestad, que es compartida con don Jorge, por lo que no tiene derecho a acordar unilateralmente el cambio de residencia.</w:t>
      </w:r>
    </w:p>
    <w:p w14:paraId="40310638" w14:textId="77777777" w:rsidR="00A8138F" w:rsidRDefault="00A8138F" w:rsidP="00A8138F">
      <w:pPr>
        <w:pStyle w:val="TextoNormal"/>
      </w:pPr>
    </w:p>
    <w:p w14:paraId="60CF502B" w14:textId="77777777" w:rsidR="00A8138F" w:rsidRDefault="00A8138F" w:rsidP="00A8138F">
      <w:pPr>
        <w:pStyle w:val="TextoNormal"/>
      </w:pPr>
      <w:r>
        <w:t>El que uno de los progenitores quiera marcharse a residir a otra ciudad no arrastra con ello el derecho a llevarse a los hijos comunes consigo.</w:t>
      </w:r>
    </w:p>
    <w:p w14:paraId="12CD24DD" w14:textId="77777777" w:rsidR="00A8138F" w:rsidRDefault="00A8138F" w:rsidP="00A8138F">
      <w:pPr>
        <w:pStyle w:val="TextoNormal"/>
      </w:pPr>
    </w:p>
    <w:p w14:paraId="5D9397D1" w14:textId="77777777" w:rsidR="00A8138F" w:rsidRDefault="00A8138F" w:rsidP="00A8138F">
      <w:pPr>
        <w:pStyle w:val="TextoNormal"/>
      </w:pPr>
      <w:r>
        <w:t>La atribución de la vivienda familiar, una vez que el menor se encuentre en Vitoria-Gasteiz, se hace a favor del menor”.</w:t>
      </w:r>
    </w:p>
    <w:p w14:paraId="22E88860" w14:textId="77777777" w:rsidR="00A8138F" w:rsidRDefault="00A8138F" w:rsidP="00A8138F">
      <w:pPr>
        <w:pStyle w:val="TextoNormal"/>
      </w:pPr>
    </w:p>
    <w:p w14:paraId="7ACB8B36" w14:textId="77777777" w:rsidR="00A8138F" w:rsidRDefault="00A8138F" w:rsidP="00A8138F">
      <w:pPr>
        <w:pStyle w:val="TextoNormal"/>
      </w:pPr>
      <w:r>
        <w:t>El auto que desestima el incidente de nulidad señala que la resolución se encuentra motivada sobre “la base del interés superior del menor y en aras a garantizar el contacto entre padre e hijo”. Sin embargo, este argumento, pese a su importancia, no se recoge en el antecedente 2 o) de la sentencia de la que discrepamos.</w:t>
      </w:r>
    </w:p>
    <w:p w14:paraId="78D9BA95" w14:textId="77777777" w:rsidR="00A8138F" w:rsidRDefault="00A8138F" w:rsidP="00A8138F">
      <w:pPr>
        <w:pStyle w:val="TextoNormal"/>
      </w:pPr>
    </w:p>
    <w:p w14:paraId="32C97511" w14:textId="77777777" w:rsidR="00A8138F" w:rsidRDefault="00A8138F" w:rsidP="00A8138F">
      <w:pPr>
        <w:pStyle w:val="TextoNormal"/>
      </w:pPr>
      <w:r>
        <w:lastRenderedPageBreak/>
        <w:t>b) Debe destacarse que don J.V.O., ante la falta de cumplimiento del auto impugnado, instó la ejecución del mismo, dando lugar a un incidente de ejecución en el que se desestimó la oposición de la demandante de amparo por auto de 1 de septiembre de 2022, confirmado —al desestimar el recurso de apelación— por el auto 36/2023, de 25 de abril, de la Sección Primera de la Audiencia Provincial de Álava, que si bien no ha sido recabado y unido a las actuaciones es accesible, al encontrarse publicado en la base de datos del Centro de documentación judicial (CENDOJ) (ECLI:ES:APVI:2023:73A). La lectura de su argumentación confirma el esfuerzo que han tenido que realizar los órganos judiciales para garantizar el contacto entre padre e hijo, que es el la razón que sustenta las resoluciones impugnadas, coherente con el cumplimiento de las obligaciones positivas del Estado derivadas del Convenio europeo de derechos humanos (art. 8 CEDH). Indica el auto, con referencia a lo acontecido con posterioridad al dictado de la resolución impugnada:</w:t>
      </w:r>
    </w:p>
    <w:p w14:paraId="1D4F0D89" w14:textId="77777777" w:rsidR="00A8138F" w:rsidRDefault="00A8138F" w:rsidP="00A8138F">
      <w:pPr>
        <w:pStyle w:val="TextoNormal"/>
      </w:pPr>
    </w:p>
    <w:p w14:paraId="59E4B2EB" w14:textId="77777777" w:rsidR="00A8138F" w:rsidRDefault="00A8138F" w:rsidP="00A8138F">
      <w:pPr>
        <w:pStyle w:val="TextoNormal"/>
      </w:pPr>
      <w:r>
        <w:t>“La progenitora admite que trasladó su domicilio a La Coruña y que el menor está escolarizado en esa ciudad, por tanto, ha incumplido la primera de las medidas del auto sobre medidas provisionales, que obliga a ejercer la guarda y custodia en Vitoria. La señora […] aporta argumentos de diversa índole para justificar su decisión, tiene otro trabajo en La Coruña, familiares que le ayudan a cuidar al menor y que residen allí, el progenitor puede ver al niño y trasladarse hasta La Coruña, etc. Además, inventa un argumento sorprendente, el auto únicamente obliga a ejercer la custodia en Vitoria-Gasteiz, por lo que el progenitor custodio puede elegir el lugar de residencia en cualquier otro sitio, es un derecho constitucional, como si fuesen cuestiones diferentes.</w:t>
      </w:r>
    </w:p>
    <w:p w14:paraId="59BA04E4" w14:textId="77777777" w:rsidR="00A8138F" w:rsidRDefault="00A8138F" w:rsidP="00A8138F">
      <w:pPr>
        <w:pStyle w:val="TextoNormal"/>
      </w:pPr>
    </w:p>
    <w:p w14:paraId="3C1421F7" w14:textId="77777777" w:rsidR="00A8138F" w:rsidRDefault="00A8138F" w:rsidP="00A8138F">
      <w:pPr>
        <w:pStyle w:val="TextoNormal"/>
      </w:pPr>
      <w:r>
        <w:t>El argumento es surrealista, debe creer que los magistrados que conformamos la Sala no estamos capacitados para dictar una sentencia de divorcio y las medidas derivadas a favor de los hijos. Debe pensar que vivimos en otro mundo o que no sabemos dónde está La Coruña. El argumento quizás sea el contrario, quien no está capacitada para ejercer la guarda y custodia es la madre, circunstancia que analizaremos al conocer del divorcio en el procedimiento principal. Puede ser eso o que nos está tomando el pelo.</w:t>
      </w:r>
    </w:p>
    <w:p w14:paraId="0764854E" w14:textId="77777777" w:rsidR="00A8138F" w:rsidRDefault="00A8138F" w:rsidP="00A8138F">
      <w:pPr>
        <w:pStyle w:val="TextoNormal"/>
      </w:pPr>
    </w:p>
    <w:p w14:paraId="742F4A26" w14:textId="77777777" w:rsidR="00A8138F" w:rsidRDefault="00A8138F" w:rsidP="00A8138F">
      <w:pPr>
        <w:pStyle w:val="TextoNormal"/>
      </w:pPr>
      <w:r>
        <w:t>En suma, la progenitora ha incumplido la primera de las medidas adoptadas en el auto núm. 81/2021 de 30 de julio sobre medidas provisionales, trasladó al menor hasta La Coruña y lo escolarizó en aquella ciudad de forma unilateral, sin el consentimiento del otro progenitor o, en su defecto, sin previa resolución judicial.</w:t>
      </w:r>
    </w:p>
    <w:p w14:paraId="0E4676A7" w14:textId="77777777" w:rsidR="00A8138F" w:rsidRDefault="00A8138F" w:rsidP="00A8138F">
      <w:pPr>
        <w:pStyle w:val="TextoNormal"/>
      </w:pPr>
    </w:p>
    <w:p w14:paraId="40DF04F8" w14:textId="77777777" w:rsidR="00A8138F" w:rsidRDefault="00A8138F" w:rsidP="00A8138F">
      <w:pPr>
        <w:pStyle w:val="TextoNormal"/>
      </w:pPr>
      <w:r>
        <w:t>En el siguiente motivo alega que el auto de medidas provisionales otorga la guarda y custodia a la madre quien puede elegir libremente su residencia y salir de España conforme a lo establecido en el art. 19 CE, independientemente del consentimiento del otro progenitor.</w:t>
      </w:r>
    </w:p>
    <w:p w14:paraId="7BCA4740" w14:textId="77777777" w:rsidR="00A8138F" w:rsidRDefault="00A8138F" w:rsidP="00A8138F">
      <w:pPr>
        <w:pStyle w:val="TextoNormal"/>
      </w:pPr>
    </w:p>
    <w:p w14:paraId="5298F528" w14:textId="77777777" w:rsidR="00A8138F" w:rsidRDefault="00A8138F" w:rsidP="00A8138F">
      <w:pPr>
        <w:pStyle w:val="TextoNormal"/>
      </w:pPr>
      <w:r>
        <w:t>En este argumento olvida el interés del menor, el niño nació en Vitoria, su primer colegio fue en esta misma ciudad, al trasladarlo a La Coruña la madre ha impuesto una situación de hecho artificiosa, no ha tenido en cuenta los sentimientos del niño ni la relación paterno-filial.</w:t>
      </w:r>
    </w:p>
    <w:p w14:paraId="4FD7595B" w14:textId="77777777" w:rsidR="00A8138F" w:rsidRDefault="00A8138F" w:rsidP="00A8138F">
      <w:pPr>
        <w:pStyle w:val="TextoNormal"/>
      </w:pPr>
    </w:p>
    <w:p w14:paraId="42255E22" w14:textId="77777777" w:rsidR="00A8138F" w:rsidRDefault="00A8138F" w:rsidP="00A8138F">
      <w:pPr>
        <w:pStyle w:val="TextoNormal"/>
      </w:pPr>
      <w:r>
        <w:t xml:space="preserve">La resolución que trata de ejecutarse no conculca derecho alguno a la recurrente, la madre puede residir y trabajar donde desee, lo que dice es que la guarda y custodia se ejercerá en Vitoria, lo que implica que el niño debe vivir en Vitoria y, en consecuencia, también debe estar escolarizado en esta ciudad. Por tanto, cualquier decisión que modifique esta medida </w:t>
      </w:r>
      <w:r>
        <w:lastRenderedPageBreak/>
        <w:t>afecta a la patria potestad, si la madre no podía ejercer la guarda y custodia en Vitoria, debió ponerlo en conocimiento del otro progenitor e intentar llegar a un acuerdo. En su defecto, debió dirigirse al Juzgado de Violencia sobre la Mujer, el juez le habría dado una solución. El traslado a La Coruña era innecesario, la madre tenía trabajo en Vitoria y el niño era feliz en esta ciudad, con esta decisión ha condenado al menor a romper la relación con su progenitor”.</w:t>
      </w:r>
    </w:p>
    <w:p w14:paraId="41842A02" w14:textId="77777777" w:rsidR="00A8138F" w:rsidRDefault="00A8138F" w:rsidP="00A8138F">
      <w:pPr>
        <w:pStyle w:val="TextoNormal"/>
      </w:pPr>
    </w:p>
    <w:p w14:paraId="26CC168B" w14:textId="77777777" w:rsidR="00A8138F" w:rsidRDefault="00A8138F" w:rsidP="00A8138F">
      <w:pPr>
        <w:pStyle w:val="TextoNormal"/>
      </w:pPr>
      <w:r>
        <w:t>c) Por último, debemos traer a colación la sentencia 140/2024, de 16 de febrero, dictada por la Sección Primera de la Audiencia Provincial de Álava en el procedimiento principal de divorcio, que, pese a encontrarse incorporada a las actuaciones, no tiene su reflejo —al igual que la sentencia del Juzgado de lo Penal núm. 1 de Vitoria— en los antecedentes. Merece la pena detenerse en parte de sus argumentos, cuya literalidad es la siguiente:</w:t>
      </w:r>
    </w:p>
    <w:p w14:paraId="026BB381" w14:textId="77777777" w:rsidR="00A8138F" w:rsidRDefault="00A8138F" w:rsidP="00A8138F">
      <w:pPr>
        <w:pStyle w:val="TextoNormal"/>
      </w:pPr>
    </w:p>
    <w:p w14:paraId="53CD5C56" w14:textId="77777777" w:rsidR="00A8138F" w:rsidRDefault="00A8138F" w:rsidP="00A8138F">
      <w:pPr>
        <w:pStyle w:val="TextoNormal"/>
      </w:pPr>
      <w:r>
        <w:t xml:space="preserve">“En problemas de sustracciones a nivel internacional el Tribunal de Justicia de la Unión Europea ha aplicado el Reglamento de Bruselas II (asunto C-638/22 PPU, </w:t>
      </w:r>
      <w:r w:rsidRPr="00A8138F">
        <w:rPr>
          <w:i/>
        </w:rPr>
        <w:t>Rzecznik Praw Dziecka y otros</w:t>
      </w:r>
      <w:r>
        <w:t>), norma que completa el Convenio de La Haya, resolviendo que los menores deben ser restituidos en el plazo más breve posible a su lugar de residencia. En la misma línea se pronuncia el Tribunal Europeo de Derechos Humanos (sentencia de 1 de septiembre de 2022) aplicando el art. 8 del Convenio de La Haya y dando la posibilidad a un padre alemán de decidir sobre la residencia de sus hijos cuando la madre los trasladó a otro Estado. Aunque los supuestos no son idénticos, marcan la línea a seguir por los tribunales europeos, los progenitores no pueden decidir sobre los menores de forma unilateral ni pueden trasladarles de un lugar a otro sin el consentimiento del otro progenitor, esta es una cuestión que corresponde a la patria potestad, compartida por ambos, al menos en el presente caso.</w:t>
      </w:r>
    </w:p>
    <w:p w14:paraId="561ED414" w14:textId="77777777" w:rsidR="00A8138F" w:rsidRDefault="00A8138F" w:rsidP="00A8138F">
      <w:pPr>
        <w:pStyle w:val="TextoNormal"/>
      </w:pPr>
    </w:p>
    <w:p w14:paraId="3A9EEFAD" w14:textId="77777777" w:rsidR="00A8138F" w:rsidRDefault="00A8138F" w:rsidP="00A8138F">
      <w:pPr>
        <w:pStyle w:val="TextoNormal"/>
      </w:pPr>
      <w:r>
        <w:t>Debe ser el tribunal el que decida, contando con las pruebas practicadas y con los informes técnicos oportunos, siempre de la forma más conveniente y ajustada a la defensa y preservación del interés del niño. La Sala no comparte en todos sus extremos la sentencia de instancia. Veamos.</w:t>
      </w:r>
    </w:p>
    <w:p w14:paraId="6698F539" w14:textId="77777777" w:rsidR="00A8138F" w:rsidRDefault="00A8138F" w:rsidP="00A8138F">
      <w:pPr>
        <w:pStyle w:val="TextoNormal"/>
      </w:pPr>
    </w:p>
    <w:p w14:paraId="657634FE" w14:textId="77777777" w:rsidR="00A8138F" w:rsidRDefault="00A8138F" w:rsidP="00A8138F">
      <w:pPr>
        <w:pStyle w:val="TextoNormal"/>
      </w:pPr>
      <w:r>
        <w:t>[…]</w:t>
      </w:r>
    </w:p>
    <w:p w14:paraId="4AA944B7" w14:textId="77777777" w:rsidR="00A8138F" w:rsidRDefault="00A8138F" w:rsidP="00A8138F">
      <w:pPr>
        <w:pStyle w:val="TextoNormal"/>
      </w:pPr>
    </w:p>
    <w:p w14:paraId="391E4740" w14:textId="77777777" w:rsidR="00A8138F" w:rsidRDefault="00A8138F" w:rsidP="00A8138F">
      <w:pPr>
        <w:pStyle w:val="TextoNormal"/>
      </w:pPr>
      <w:r>
        <w:t>Recordamos que en el auto de medidas provisionales dictado el 30 de julio de 2021 se establecía que la guarda y custodia debía ejercerse en Vitoria y el auto de esta Audiencia resolviendo la oposición a la ejecución confirma la medida, dejando claro que la guarda y custodia […] debe ejercerse en Vitoria. Le estábamos dando a la madre la oportunidad de cambiar su lugar de residencia y volver a Vitoria en beneficio del menor y también de ella misma, pudiendo ejercer en esta ciudad la guarda y custodia.</w:t>
      </w:r>
    </w:p>
    <w:p w14:paraId="712007B1" w14:textId="77777777" w:rsidR="00A8138F" w:rsidRDefault="00A8138F" w:rsidP="00A8138F">
      <w:pPr>
        <w:pStyle w:val="TextoNormal"/>
      </w:pPr>
    </w:p>
    <w:p w14:paraId="04A80B19" w14:textId="77777777" w:rsidR="00A8138F" w:rsidRDefault="00A8138F" w:rsidP="00A8138F">
      <w:pPr>
        <w:pStyle w:val="TextoNormal"/>
      </w:pPr>
      <w:r>
        <w:t>[…]</w:t>
      </w:r>
    </w:p>
    <w:p w14:paraId="4CEC5A12" w14:textId="77777777" w:rsidR="00A8138F" w:rsidRDefault="00A8138F" w:rsidP="00A8138F">
      <w:pPr>
        <w:pStyle w:val="TextoNormal"/>
      </w:pPr>
    </w:p>
    <w:p w14:paraId="58880F11" w14:textId="77777777" w:rsidR="00A8138F" w:rsidRDefault="00A8138F" w:rsidP="00A8138F">
      <w:pPr>
        <w:pStyle w:val="TextoNormal"/>
      </w:pPr>
      <w:r>
        <w:t>En noviembre de 2020 la madre salió de la vivienda familiar y se auto-atribuyó la guarda y custodia del niño, una decisión arbitraria que adoptó sin el consentimiento del progenitor, olvidando que corresponde a quienes tienen la patria potestad del menor. El auto de medidas provisionales y el de esta Audiencia, resolviendo la oposición a la ejecución, responden a esta actitud.</w:t>
      </w:r>
    </w:p>
    <w:p w14:paraId="628D3F25" w14:textId="77777777" w:rsidR="00A8138F" w:rsidRDefault="00A8138F" w:rsidP="00A8138F">
      <w:pPr>
        <w:pStyle w:val="TextoNormal"/>
      </w:pPr>
    </w:p>
    <w:p w14:paraId="589D5C41" w14:textId="77777777" w:rsidR="00A8138F" w:rsidRDefault="00A8138F" w:rsidP="00A8138F">
      <w:pPr>
        <w:pStyle w:val="TextoNormal"/>
      </w:pPr>
      <w:r>
        <w:t>[…]</w:t>
      </w:r>
    </w:p>
    <w:p w14:paraId="31E2C30E" w14:textId="77777777" w:rsidR="00A8138F" w:rsidRDefault="00A8138F" w:rsidP="00A8138F">
      <w:pPr>
        <w:pStyle w:val="TextoNormal"/>
      </w:pPr>
    </w:p>
    <w:p w14:paraId="7883A7D7" w14:textId="77777777" w:rsidR="00A8138F" w:rsidRDefault="00A8138F" w:rsidP="00A8138F">
      <w:pPr>
        <w:pStyle w:val="TextoNormal"/>
      </w:pPr>
      <w:r>
        <w:t>La recurrente afirma que cuando se llevó al niño tenía tres años, el traslado no afectó a sus estudios, a nivel académico no han existido problemas. Compartimos la reflexión, tampoco ahora se le ha causado perjuicio a nivel académico al trasladarlo a Vitoria, lo que no puede hacer la [madre] en relación al menor es adoptar decisiones tan importantes para el futuro del niño sin contar con su progenitor, que tiene la misma legitimación para decidir sobre [el menor]. El traslado de una ciudad a otra puede tener problemas o desajustes emocionales cada vez mayores conforme el niño se vaya haciendo mayor.</w:t>
      </w:r>
    </w:p>
    <w:p w14:paraId="1799AC40" w14:textId="77777777" w:rsidR="00A8138F" w:rsidRDefault="00A8138F" w:rsidP="00A8138F">
      <w:pPr>
        <w:pStyle w:val="TextoNormal"/>
      </w:pPr>
    </w:p>
    <w:p w14:paraId="12688DA8" w14:textId="77777777" w:rsidR="00A8138F" w:rsidRDefault="00A8138F" w:rsidP="00A8138F">
      <w:pPr>
        <w:pStyle w:val="TextoNormal"/>
      </w:pPr>
      <w:r>
        <w:t>[…]</w:t>
      </w:r>
    </w:p>
    <w:p w14:paraId="7085C88C" w14:textId="77777777" w:rsidR="00A8138F" w:rsidRDefault="00A8138F" w:rsidP="00A8138F">
      <w:pPr>
        <w:pStyle w:val="TextoNormal"/>
      </w:pPr>
    </w:p>
    <w:p w14:paraId="59BF946A" w14:textId="77777777" w:rsidR="00A8138F" w:rsidRDefault="00A8138F" w:rsidP="00A8138F">
      <w:pPr>
        <w:pStyle w:val="TextoNormal"/>
      </w:pPr>
      <w:r>
        <w:t>En estos momentos no existe conflicto entre las partes, se respetan y han llegado a acuerdos en beneficio del menor sobre la forma de ejercer la custodia y las visitas y comunicaciones del niño con la madre. La [madre] ha decidido de momento mantener su residencia en A Coruña, lo que no le impide trasladarse a Vitoria para cumplir su derecho de visitas y compartir tiempo con su hijo. La parte apelada aporta varios correos cruzados en los que la [madre] reconoce que continúa residiendo en A Coruña, tiene complicado vivir en Vitoria por el trabajo y ambas partes pactan los fines de semana alternos en los que podrá visitar al menor. La madre no tiene disponibilidad para ejercer la guarda y custodia compartida por semanas alternas como dice la sentencia de instancia y lo admite”.</w:t>
      </w:r>
    </w:p>
    <w:p w14:paraId="10C7B277" w14:textId="77777777" w:rsidR="00A8138F" w:rsidRDefault="00A8138F" w:rsidP="00A8138F">
      <w:pPr>
        <w:pStyle w:val="TextoNormal"/>
      </w:pPr>
    </w:p>
    <w:p w14:paraId="141B56AB" w14:textId="77777777" w:rsidR="00A8138F" w:rsidRDefault="00A8138F" w:rsidP="00A8138F">
      <w:pPr>
        <w:pStyle w:val="TextoNormal"/>
      </w:pPr>
      <w:r>
        <w:t>B) Frente al unánime criterio de las resoluciones referidas que aplican la regulación civil en materia del ejercicio de la patria potestad e inciden en el asentado principio de ejercicio conjunto de la misma y en la necesidad de decisión judicial en caso de discrepancia (art. 154.3 CC), la sentencia contraviene la regulación y justifica que sea exclusivamente la madre quien decida el lugar de residencia habitual de la persona menor de edad. En su fundamento jurídico 3, indica que:</w:t>
      </w:r>
    </w:p>
    <w:p w14:paraId="4CA0D1DF" w14:textId="77777777" w:rsidR="00A8138F" w:rsidRDefault="00A8138F" w:rsidP="00A8138F">
      <w:pPr>
        <w:pStyle w:val="TextoNormal"/>
      </w:pPr>
    </w:p>
    <w:p w14:paraId="62DB0CF8" w14:textId="77777777" w:rsidR="00A8138F" w:rsidRDefault="00A8138F" w:rsidP="00A8138F">
      <w:pPr>
        <w:pStyle w:val="TextoNormal"/>
      </w:pPr>
      <w:r>
        <w:t>“Como hemos tenido ya oportunidad de advertir en esta sentencia, en nuestro ordenamiento el cambio de residencia de los hijos y las hijas menores de padres separados o divorciados requiere del previo consentimiento de ambos progenitores o, en su defecto, de previa autorización judicial. Ahora bien, este deber legal puede resultar judicialmente flexibilizado. El interés superior del menor y los derechos de los progenitore</w:t>
      </w:r>
      <w:r w:rsidRPr="00A8138F">
        <w:rPr>
          <w:i/>
        </w:rPr>
        <w:t xml:space="preserve">s </w:t>
      </w:r>
      <w:r>
        <w:t>ex art. 19 CE pueden excepcionar el deber legal de consentimiento mutuo o, en su defecto, de previa autorización judicial”.</w:t>
      </w:r>
    </w:p>
    <w:p w14:paraId="326CA815" w14:textId="77777777" w:rsidR="00A8138F" w:rsidRDefault="00A8138F" w:rsidP="00A8138F">
      <w:pPr>
        <w:pStyle w:val="TextoNormal"/>
      </w:pPr>
    </w:p>
    <w:p w14:paraId="7DB0B470" w14:textId="77777777" w:rsidR="00A8138F" w:rsidRDefault="00A8138F" w:rsidP="00A8138F">
      <w:pPr>
        <w:pStyle w:val="TextoNormal"/>
      </w:pPr>
      <w:r>
        <w:t>Dicho argumento es insostenible. Contraviene el asentado principio civil de ejercicio conjunto de la patria potestad en lo que —entre otros aspectos— se refiere a la determinación del lugar de residencia habitual del menor que se desplaza por el derecho a la libre fijación de residencia (art. 19 CE) y por la atribución a uno de los progenitores frente al otro —en este caso la madre— de la capacidad para determinar cuál es el interés del menor. Basta para activar dicha excepción la mera afirmación de la madre en forma de denuncia —que la sentencia eleva a indicio probatorio— por la que afirme ser víctima de un acto de violencia de género, sin necesidad de control judicial. Y ello aunque suponga el sacrificio del interés del hijo menor, en cuanto a su derecho “a mantener de forma periódica relaciones personales y contactos directos con su padre y con su madre, salvo si ello es contrario a sus intereses” (art. 24 CDFUE).</w:t>
      </w:r>
    </w:p>
    <w:p w14:paraId="4F15F23C" w14:textId="77777777" w:rsidR="00A8138F" w:rsidRDefault="00A8138F" w:rsidP="00A8138F">
      <w:pPr>
        <w:pStyle w:val="TextoNormal"/>
      </w:pPr>
    </w:p>
    <w:p w14:paraId="43F32325" w14:textId="77777777" w:rsidR="00A8138F" w:rsidRDefault="00A8138F" w:rsidP="00A8138F">
      <w:pPr>
        <w:pStyle w:val="TextoNormal"/>
      </w:pPr>
      <w:r>
        <w:lastRenderedPageBreak/>
        <w:t xml:space="preserve">Por otra parte, el referido argumento es incompatible con los compromisos internacionales asumidos por España al legitimar el traslado de los menores por la voluntad unilateral de uno de los progenitores infringiendo la normativa estatal [Convenio sobre los aspectos civiles de la sustracción internacional de menores, hecho en La Haya el 25 de octubre de 1980, y Reglamento (CE) núm. 2201/2003, del Consejo, de 27 de noviembre de 2003] y con el derecho a la vida familiar (art. 8 CEDH) que tiene como elemento fundamental el disfrute mutuo de la compañía de padres e hijos (SSTEDH de 21 de septiembre de 2010, asunto </w:t>
      </w:r>
      <w:r w:rsidRPr="00A8138F">
        <w:rPr>
          <w:i/>
        </w:rPr>
        <w:t>Mijušković c. Montenegro</w:t>
      </w:r>
      <w:r>
        <w:t xml:space="preserve">, y de 1 de diciembre de 2009, asunto </w:t>
      </w:r>
      <w:r w:rsidRPr="00A8138F">
        <w:rPr>
          <w:i/>
        </w:rPr>
        <w:t>Eberhard y M c. Eslovenia</w:t>
      </w:r>
      <w:r>
        <w:t>). Dicho razonamiento contraviene la máxima por la que generalmente el interés superior del menor se identifica con el mantenimiento de los lazos familiares con ambos padres (STEDH de 13 de julio de 2010, asunt</w:t>
      </w:r>
      <w:r w:rsidRPr="00A8138F">
        <w:rPr>
          <w:i/>
        </w:rPr>
        <w:t>o Fuşcă c. Ruman</w:t>
      </w:r>
      <w:r>
        <w:t>ía, § 45).</w:t>
      </w:r>
    </w:p>
    <w:p w14:paraId="21907E34" w14:textId="77777777" w:rsidR="00A8138F" w:rsidRDefault="00A8138F" w:rsidP="00A8138F">
      <w:pPr>
        <w:pStyle w:val="TextoNormal"/>
      </w:pPr>
    </w:p>
    <w:p w14:paraId="7FC7CCD8" w14:textId="77777777" w:rsidR="00A8138F" w:rsidRDefault="00A8138F" w:rsidP="00A8138F">
      <w:pPr>
        <w:pStyle w:val="TextoNormal"/>
      </w:pPr>
      <w:r>
        <w:t>Para finalizar, debemos afirmar que el derecho a elegir libremente su residencia (art. 19 CE), único derecho sustantivo invocado en la demanda, en modo alguno pudo verse concernido por los autos impugnados, pues dicho derecho no comprende entre sus facultades la de decidir unilateralmente el domicilio del hijo común que es sobre lo que versó la discrepancia entre las partes.</w:t>
      </w:r>
    </w:p>
    <w:p w14:paraId="3E8FBB90" w14:textId="77777777" w:rsidR="00A8138F" w:rsidRDefault="00A8138F" w:rsidP="00A8138F">
      <w:pPr>
        <w:pStyle w:val="TextoNormal"/>
      </w:pPr>
    </w:p>
    <w:p w14:paraId="51506FAE" w14:textId="77777777" w:rsidR="00A8138F" w:rsidRDefault="00A8138F" w:rsidP="00A8138F">
      <w:pPr>
        <w:pStyle w:val="TextoNormal"/>
      </w:pPr>
      <w:r>
        <w:t>3. En tercer lugar, señala el fundamento 2 a) de la sentencia de la mayoría que:</w:t>
      </w:r>
    </w:p>
    <w:p w14:paraId="4A27A825" w14:textId="77777777" w:rsidR="00A8138F" w:rsidRDefault="00A8138F" w:rsidP="00A8138F">
      <w:pPr>
        <w:pStyle w:val="TextoNormal"/>
      </w:pPr>
    </w:p>
    <w:p w14:paraId="71C27EEC" w14:textId="77777777" w:rsidR="00A8138F" w:rsidRDefault="00A8138F" w:rsidP="00A8138F">
      <w:pPr>
        <w:pStyle w:val="TextoNormal"/>
      </w:pPr>
      <w:r>
        <w:t>“Y a todo ello debemos añadir que en nuestra STC 106/2022, de 13 de septiembre, en la que declaramos constitucional la modificación del también referido art. 94 CC operada por la Ley 8/2021, de 2 de junio, que prescribió la suspensión (o, en su caso, el no establecimiento) del régimen de estancias, visitas y/o comunicación respecto del progenitor incurso en un proceso penal iniciado por violencia, ya advertimos (FJ 4) que la autoridad judicial competente habrá de valorar si de las declaraciones de las partes y de las pruebas practicadas puede concluirse “la existencia de indicios fundados de violencia doméstica o de género, en la que se comprende también ‘la violencia que con el objetivo de causar perjuicio o daño a las mujeres se ejerza sobre sus familiares o allegados menores de edad’”.</w:t>
      </w:r>
    </w:p>
    <w:p w14:paraId="1556D3D6" w14:textId="77777777" w:rsidR="00A8138F" w:rsidRDefault="00A8138F" w:rsidP="00A8138F">
      <w:pPr>
        <w:pStyle w:val="TextoNormal"/>
      </w:pPr>
    </w:p>
    <w:p w14:paraId="3CC3C87E" w14:textId="77777777" w:rsidR="00A8138F" w:rsidRDefault="00A8138F" w:rsidP="00A8138F">
      <w:pPr>
        <w:pStyle w:val="TextoNormal"/>
      </w:pPr>
      <w:r>
        <w:t>A) La referencia a la STC 106/2022 es fragmentada. Tiene más que ver con el voto conjunto —“concurrente/particular”—, en el que los firmantes afirmaban que “[l]a sentencia aprobada por la mayoría entiende que hay una interpretación constitucional de la norma impugnada y que solo esa interpretación permite salvar la constitucionalidad de la norma”, que con la sentencia tal y como fue aprobada por el Pleno.</w:t>
      </w:r>
    </w:p>
    <w:p w14:paraId="223801F2" w14:textId="77777777" w:rsidR="00A8138F" w:rsidRDefault="00A8138F" w:rsidP="00A8138F">
      <w:pPr>
        <w:pStyle w:val="TextoNormal"/>
      </w:pPr>
    </w:p>
    <w:p w14:paraId="6A2E8E20" w14:textId="77777777" w:rsidR="00A8138F" w:rsidRDefault="00A8138F" w:rsidP="00A8138F">
      <w:pPr>
        <w:pStyle w:val="TextoNormal"/>
      </w:pPr>
      <w:r>
        <w:t>En efecto, la sentencia STC 106/2022 eludía cualquier automatismo en la interpretación y aplicación del art. 94 CC y de este modo salvó su inconstitucionalidad, pese a la discrepancia de quienes formularon el voto particular. Contrariamente a lo que se deja entender en la sentencia de la que discrepamos, la STC 106/2022 no prescribió la suspensión (o, en su caso, el no establecimiento) del régimen de estancias, visitas y/o comunicación respecto del progenitor incurso en un proceso penal iniciado por violencia por la mera existencia de indicios fundados de violencia doméstica o de género, sino que para valorar la afectación al interés del menor debía ponderarse la gravedad, naturaleza y alcance que el delito investigado tenga sobre la relación paterno o materno filial, su carácter doloso o imprudente, la persona o personas directamente afectadas por el mismo o las concretas circunstancias del caso. En tal sentido, se indicó literalmente, con referencia al art. 94 CC:</w:t>
      </w:r>
    </w:p>
    <w:p w14:paraId="4196914E" w14:textId="77777777" w:rsidR="00A8138F" w:rsidRDefault="00A8138F" w:rsidP="00A8138F">
      <w:pPr>
        <w:pStyle w:val="TextoNormal"/>
      </w:pPr>
    </w:p>
    <w:p w14:paraId="110F5CD9" w14:textId="77777777" w:rsidR="00A8138F" w:rsidRDefault="00A8138F" w:rsidP="00A8138F">
      <w:pPr>
        <w:pStyle w:val="TextoNormal"/>
      </w:pPr>
      <w:r>
        <w:lastRenderedPageBreak/>
        <w:t>“En efecto, el precepto no priva de modo automático al progenitor del régimen de visitas o estancias como afirman los recurrentes, sino que atribuye a la autoridad judicial la decisión sobre el establecimiento o no de un régimen de visitas o estancias o la suspensión del mismo, incluso en los supuestos en los que un progenitor esté incurso en un proceso penal iniciado por atentar contra la vida, la integridad física, la libertad, la integridad moral o la libertad e indemnidad sexual del otro cónyuge o sus hijos o cuando la autoridad judicial advierta, de las alegaciones de las partes y las pruebas practicadas, la existencia de indicios fundados de violencia doméstica o de género […].</w:t>
      </w:r>
    </w:p>
    <w:p w14:paraId="12EAC431" w14:textId="77777777" w:rsidR="00A8138F" w:rsidRDefault="00A8138F" w:rsidP="00A8138F">
      <w:pPr>
        <w:pStyle w:val="TextoNormal"/>
      </w:pPr>
    </w:p>
    <w:p w14:paraId="6437F5A5" w14:textId="77777777" w:rsidR="00A8138F" w:rsidRDefault="00A8138F" w:rsidP="00A8138F">
      <w:pPr>
        <w:pStyle w:val="TextoNormal"/>
      </w:pPr>
      <w:r>
        <w:t>Así resulta claramente si en la lectura del párrafo cuarto no se omite su inciso tercero, que atribuye en todo caso la decisión relativa al establecimiento o no de un régimen de visitas, comunicación y estancias a la autoridad judicial, que deberá motivarla en atención al interés del menor.</w:t>
      </w:r>
    </w:p>
    <w:p w14:paraId="58425981" w14:textId="77777777" w:rsidR="00A8138F" w:rsidRDefault="00A8138F" w:rsidP="00A8138F">
      <w:pPr>
        <w:pStyle w:val="TextoNormal"/>
      </w:pPr>
    </w:p>
    <w:p w14:paraId="6373A619" w14:textId="77777777" w:rsidR="00A8138F" w:rsidRDefault="00A8138F" w:rsidP="00A8138F">
      <w:pPr>
        <w:pStyle w:val="TextoNormal"/>
      </w:pPr>
      <w:r>
        <w:t>Ciertamente en alguno de los supuestos referidos en los dos primeros incisos del párrafo cuarto, será la valoración de la gravedad, naturaleza y alcance que el delito investigado tenga sobre la relación paterno o materno filial, su carácter doloso o imprudente, la persona o personas directamente afectadas por el mismo, o las concretas circunstancias del caso, las que normalmente revelarán si el interés del menor impone que se suspendan de modo absoluto, o se restrinjan o no, las relaciones del menor con alguno de los progenitores o con ambos.</w:t>
      </w:r>
    </w:p>
    <w:p w14:paraId="3864DA6F" w14:textId="77777777" w:rsidR="00A8138F" w:rsidRDefault="00A8138F" w:rsidP="00A8138F">
      <w:pPr>
        <w:pStyle w:val="TextoNormal"/>
      </w:pPr>
    </w:p>
    <w:p w14:paraId="64CA1056" w14:textId="77777777" w:rsidR="00A8138F" w:rsidRDefault="00A8138F" w:rsidP="00A8138F">
      <w:pPr>
        <w:pStyle w:val="TextoNormal"/>
      </w:pPr>
      <w:r>
        <w:t xml:space="preserve">Esa decisión, frente a lo que afirman los recurrentes, se atribuye por el párrafo cuarto del art. 94 CC exclusivamente a la autoridad judicial en los casos en que así lo estime necesario o conveniente en resolución motivada en el interés superior del menor podrá optar por no privar al progenitor del régimen de visitas y estancias, o adoptar medidas ‘menos radicales’ (STEDH de 23 de junio de 2020, asunto </w:t>
      </w:r>
      <w:r w:rsidRPr="00A8138F">
        <w:rPr>
          <w:i/>
        </w:rPr>
        <w:t>Omorefe c. España</w:t>
      </w:r>
      <w:r>
        <w:t>, § 59) restringiendo y limitando el derecho, si con ello logra conjurar los riesgos que sobre el menor se ciernen y satisface la continuidad de la relación paternofilial.</w:t>
      </w:r>
    </w:p>
    <w:p w14:paraId="07B17C00" w14:textId="77777777" w:rsidR="00A8138F" w:rsidRDefault="00A8138F" w:rsidP="00A8138F">
      <w:pPr>
        <w:pStyle w:val="TextoNormal"/>
      </w:pPr>
    </w:p>
    <w:p w14:paraId="509F4DD2" w14:textId="77777777" w:rsidR="00A8138F" w:rsidRDefault="00A8138F" w:rsidP="00A8138F">
      <w:pPr>
        <w:pStyle w:val="TextoNormal"/>
      </w:pPr>
      <w:r>
        <w:t xml:space="preserve">Por todo ello, puede concluirse que el párrafo cuarto del art. 94 CC, carece del automatismo que predican los recurrentes y no predetermina legalmente la privación del régimen de visita o estancia a ninguno de los progenitores. Es la autoridad judicial la que tomará la decisión de suspender, de restringir o no el régimen de visitas y estancias, y lo deberá hacer guiada por la finalidad de velar por el interés del menor (art. 39 CE). A tal fin, el precepto impugnado no limita la posibilidad de que el órgano judicial valore la gravedad, naturaleza y alcance del delito que se atribuye a un progenitor o a ambos, ni su incidencia en la relación paterno o materno filial, su carácter doloso o imprudente, la persona o personas directamente afectadas por el mismo, así como las concretas circunstancias del caso. De este modo, a diferencia de lo que afirman los recurrentes, el precepto impugnado faculta a la autoridad judicial para que pondere entre otras las consecuencias irremediables que el trascurso del tiempo de duración de la instrucción puede tener para las relaciones entre el niño y los progenitores que no viven con él (por todas, STEDH </w:t>
      </w:r>
      <w:r w:rsidRPr="00A8138F">
        <w:rPr>
          <w:i/>
        </w:rPr>
        <w:t>Saleck Bardi c. España</w:t>
      </w:r>
      <w:r>
        <w:t xml:space="preserve">, § 52), el carácter provisional de la condición de investigado en un proceso penal, así como su deber de adoptar medidas eficientes y razonables para proteger a los niños de actos de violencia o de atentados contra su integridad personal. Dichas medidas, desde luego, pueden ocasionar la pérdida de los derechos dimanantes de la patria potestad si el interés superior del menor, que puede incluir la seguridad de la víctima, no se puede garantizar de ninguna otra forma (art. 45 del </w:t>
      </w:r>
      <w:r>
        <w:lastRenderedPageBreak/>
        <w:t>Convenio del Consejo de Europa sobre prevención y lucha contra la violencia contra las mujeres y la violencia doméstica, hecho en Estambul el 11 de mayo de 2011).</w:t>
      </w:r>
    </w:p>
    <w:p w14:paraId="69300F13" w14:textId="77777777" w:rsidR="00A8138F" w:rsidRDefault="00A8138F" w:rsidP="00A8138F">
      <w:pPr>
        <w:pStyle w:val="TextoNormal"/>
      </w:pPr>
    </w:p>
    <w:p w14:paraId="0AE42838" w14:textId="77777777" w:rsidR="00A8138F" w:rsidRDefault="00A8138F" w:rsidP="00A8138F">
      <w:pPr>
        <w:pStyle w:val="TextoNormal"/>
      </w:pPr>
      <w:r>
        <w:t>Por todo lo expuesto, debe descartarse la inconstitucionalidad del párrafo cuarto del art. 94 CC”.</w:t>
      </w:r>
    </w:p>
    <w:p w14:paraId="6B131FA3" w14:textId="77777777" w:rsidR="00A8138F" w:rsidRDefault="00A8138F" w:rsidP="00A8138F">
      <w:pPr>
        <w:pStyle w:val="TextoNormal"/>
      </w:pPr>
    </w:p>
    <w:p w14:paraId="37FB37E9" w14:textId="77777777" w:rsidR="00A8138F" w:rsidRDefault="00A8138F" w:rsidP="00A8138F">
      <w:pPr>
        <w:pStyle w:val="TextoNormal"/>
      </w:pPr>
      <w:r>
        <w:t>B) Por otra parte, la referida cita del art. 94 CC era innecesaria. Dicho precepto no se aplicó ni era aplicable para resolver la cuestión, pues debía aplicarse la legislación autonómica; en concreto, la Ley del Parlamento Vasco 7/2015, de 30 de junio, de relaciones familiares en supuestos de separación o ruptura de los progenitores, de conformidad con el art. 2 de la misma.</w:t>
      </w:r>
    </w:p>
    <w:p w14:paraId="08ACBB3D" w14:textId="77777777" w:rsidR="00A8138F" w:rsidRDefault="00A8138F" w:rsidP="00A8138F">
      <w:pPr>
        <w:pStyle w:val="TextoNormal"/>
      </w:pPr>
    </w:p>
    <w:p w14:paraId="0A6CEFBC" w14:textId="77777777" w:rsidR="00A8138F" w:rsidRDefault="00A8138F" w:rsidP="00A8138F">
      <w:pPr>
        <w:pStyle w:val="TextoNormal"/>
      </w:pPr>
      <w:r>
        <w:t>4. Por último, debemos indicar que la demanda de amparo debió ser desestimada.</w:t>
      </w:r>
    </w:p>
    <w:p w14:paraId="791D9052" w14:textId="77777777" w:rsidR="00A8138F" w:rsidRDefault="00A8138F" w:rsidP="00A8138F">
      <w:pPr>
        <w:pStyle w:val="TextoNormal"/>
      </w:pPr>
    </w:p>
    <w:p w14:paraId="075A337B" w14:textId="77777777" w:rsidR="00A8138F" w:rsidRDefault="00A8138F" w:rsidP="00A8138F">
      <w:pPr>
        <w:pStyle w:val="TextoNormal"/>
      </w:pPr>
      <w:r>
        <w:t>Las resoluciones impugnadas, lejos de vulnerar derechos fundamentales de la recurrente, restablecieron el derecho a la vida familiar de don J.V.O., y dieron eficaz cumplimiento a “la obligación del Estado de adoptar medidas positivas” para preservar “el derecho a la vida familiar” garantizado en el art. 8 CEDH y que comprenden “el derecho de un padre a que se adopten medidas con miras a reunirse con su hijo y la obligación de las autoridades nacionales de facilitar dicha reunión, en la medida en que el interés del niño dicte que se debe hacer todo lo posible para preservar las relaciones personales y, si es apropiado, ‘reconstruir’ la familia” (STEDH de 13 de febrero de 2025, asunt</w:t>
      </w:r>
      <w:r w:rsidRPr="00A8138F">
        <w:rPr>
          <w:i/>
        </w:rPr>
        <w:t>o L.D. c. Polon</w:t>
      </w:r>
      <w:r>
        <w:t>ia, § 115).</w:t>
      </w:r>
    </w:p>
    <w:p w14:paraId="7FD8D0B3" w14:textId="77777777" w:rsidR="00A8138F" w:rsidRDefault="00A8138F" w:rsidP="00A8138F">
      <w:pPr>
        <w:pStyle w:val="TextoNormal"/>
      </w:pPr>
    </w:p>
    <w:p w14:paraId="5F2A3A6D" w14:textId="77777777" w:rsidR="00A8138F" w:rsidRDefault="00A8138F" w:rsidP="00A8138F">
      <w:pPr>
        <w:pStyle w:val="TextoNormal"/>
      </w:pPr>
      <w:r>
        <w:t>Precisamente, la decisión del auto núm. 81/2021, de 30 de julio, del Juzgado de Violencia sobre la Mujer núm. 1 de Vitoria-Gasteiz, al fijar el domicilio del menor en Vitoria, posibilitó finalmente, tras sortear los diversos incidentes de oposición, aclaración, y nulidad, la resistencia de la madre a cumplir con el pronunciamiento de la resolución judicial y garantizó la reanudación de la relación del padre con su hijo, que había sido truncada como consecuencia del abrupto cambio de domicilio del menor impuesto por la demandante de amparo de modo unilateral y al margen de cualquier procedimiento.</w:t>
      </w:r>
    </w:p>
    <w:p w14:paraId="75E76921" w14:textId="77777777" w:rsidR="00A8138F" w:rsidRDefault="00A8138F" w:rsidP="00A8138F">
      <w:pPr>
        <w:pStyle w:val="TextoNormal"/>
      </w:pPr>
    </w:p>
    <w:p w14:paraId="5ACDF34A" w14:textId="77777777" w:rsidR="00A8138F" w:rsidRDefault="00A8138F" w:rsidP="00A8138F">
      <w:pPr>
        <w:pStyle w:val="TextoNormal"/>
      </w:pPr>
      <w:r>
        <w:t xml:space="preserve">Ese fue el principal objetivo de la resolución impugnada, como resulta de su argumentación, evitando que el paso del tiempo pudiera tener consecuencias irreparables en la relación entre el hijo y el padre que no vive con él (SSTEDH de 21 de septiembre de 2010, asunto </w:t>
      </w:r>
      <w:r w:rsidRPr="00A8138F">
        <w:rPr>
          <w:i/>
        </w:rPr>
        <w:t>Mijušković c. Montenegro</w:t>
      </w:r>
      <w:r>
        <w:t xml:space="preserve">, y de 22 de diciembre de 2009, asunto </w:t>
      </w:r>
      <w:r w:rsidRPr="00A8138F">
        <w:rPr>
          <w:i/>
        </w:rPr>
        <w:t>Tapia Gasca y D. c. España</w:t>
      </w:r>
      <w:r>
        <w:t>) y evitando que las dilaciones en el restablecimiento de la situación anterior pudieran suponer una resolució</w:t>
      </w:r>
      <w:r w:rsidRPr="00A8138F">
        <w:rPr>
          <w:i/>
        </w:rPr>
        <w:t>n de fac</w:t>
      </w:r>
      <w:r>
        <w:t>to de la cuestión (STEDH de 17 de enero de 2012, asunt</w:t>
      </w:r>
      <w:r w:rsidRPr="00A8138F">
        <w:rPr>
          <w:i/>
        </w:rPr>
        <w:t>o Kopf y Liberda c. Austr</w:t>
      </w:r>
      <w:r>
        <w:t>ia).</w:t>
      </w:r>
    </w:p>
    <w:p w14:paraId="28D44081" w14:textId="77777777" w:rsidR="00A8138F" w:rsidRDefault="00A8138F" w:rsidP="00A8138F">
      <w:pPr>
        <w:pStyle w:val="TextoNormal"/>
      </w:pPr>
    </w:p>
    <w:p w14:paraId="4C0CCF1B" w14:textId="77777777" w:rsidR="00A8138F" w:rsidRDefault="00A8138F" w:rsidP="00A8138F">
      <w:pPr>
        <w:pStyle w:val="TextoNormal"/>
      </w:pPr>
      <w:r>
        <w:t>Finalmente, debemos también advertir que lo decidido por la mayoría de la Sala implica sustituir la inmediación de la decisión judicial por un juicio abstracto y ajeno a las circunstancias del caso concreto, en una peligrosa e impropia deriva que comporta que la sentencia de la que discrepamos realice un nuevo enjuiciamiento para así dejar sin efecto lo decidido por la jurisdicción ordinaria. Esta sustitución, además, no tiene ninguna consecuencia ni efectos para el caso, en la medida en que el pronunciamiento de la sentencia es meramente declarativo.</w:t>
      </w:r>
    </w:p>
    <w:p w14:paraId="0F3C5D91" w14:textId="77777777" w:rsidR="00A8138F" w:rsidRDefault="00A8138F" w:rsidP="00A8138F">
      <w:pPr>
        <w:pStyle w:val="TextoNormal"/>
      </w:pPr>
    </w:p>
    <w:p w14:paraId="7B197A4E" w14:textId="77777777" w:rsidR="00A8138F" w:rsidRDefault="00A8138F" w:rsidP="00A8138F">
      <w:pPr>
        <w:pStyle w:val="TextoNormal"/>
      </w:pPr>
      <w:r>
        <w:t>Y en este sentido emitimos el presente voto particular.</w:t>
      </w:r>
    </w:p>
    <w:p w14:paraId="1843C5C8" w14:textId="77777777" w:rsidR="00A8138F" w:rsidRDefault="00A8138F" w:rsidP="00A8138F">
      <w:pPr>
        <w:pStyle w:val="TextoNormal"/>
      </w:pPr>
    </w:p>
    <w:p w14:paraId="4B15A3D8" w14:textId="7B073F27" w:rsidR="00A8138F" w:rsidRDefault="00A8138F" w:rsidP="00A8138F">
      <w:pPr>
        <w:pStyle w:val="TextoNormal"/>
      </w:pPr>
      <w:r>
        <w:t>Madrid, a diez de marzo de dos mil veinticinco.</w:t>
      </w:r>
    </w:p>
    <w:p w14:paraId="2E70D1B2" w14:textId="3929529C" w:rsidR="00A8138F" w:rsidRDefault="00A8138F">
      <w:pPr>
        <w:spacing w:after="160" w:line="278" w:lineRule="auto"/>
        <w:rPr>
          <w:rFonts w:ascii="Times New Roman" w:eastAsia="Times New Roman" w:hAnsi="Times New Roman" w:cs="Times New Roman"/>
          <w:sz w:val="24"/>
          <w:szCs w:val="24"/>
          <w:lang w:eastAsia="es-ES"/>
        </w:rPr>
      </w:pPr>
      <w:r>
        <w:br w:type="page"/>
      </w:r>
    </w:p>
    <w:p w14:paraId="6DAEBC1B" w14:textId="77777777" w:rsidR="00A8138F" w:rsidRDefault="00A8138F" w:rsidP="00A8138F">
      <w:pPr>
        <w:pStyle w:val="TtuloResolucin"/>
      </w:pPr>
      <w:bookmarkStart w:id="57" w:name="SENTENCIA_2025_55"/>
      <w:r>
        <w:lastRenderedPageBreak/>
        <w:t>SENTENCIA 55/2025, de 10 de marzo de 2025</w:t>
      </w:r>
    </w:p>
    <w:bookmarkEnd w:id="57"/>
    <w:p w14:paraId="6D7C45A8" w14:textId="77777777" w:rsidR="00A8138F" w:rsidRDefault="00A8138F" w:rsidP="00A8138F">
      <w:pPr>
        <w:pStyle w:val="TtuloResolucin"/>
      </w:pPr>
      <w:r>
        <w:t>Sala Segunda</w:t>
      </w:r>
    </w:p>
    <w:p w14:paraId="6890C2E2" w14:textId="77777777" w:rsidR="00A8138F" w:rsidRDefault="00A8138F" w:rsidP="00A8138F">
      <w:pPr>
        <w:pStyle w:val="TtuloBOE"/>
      </w:pPr>
      <w:r>
        <w:t>(BOE núm. 88, de 11 de abril de 2025)</w:t>
      </w:r>
    </w:p>
    <w:p w14:paraId="4D9FC718" w14:textId="77777777" w:rsidR="00A8138F" w:rsidRDefault="00A8138F" w:rsidP="00A8138F">
      <w:pPr>
        <w:pStyle w:val="TextoNormalCentrado"/>
      </w:pPr>
      <w:r>
        <w:t>ECLI:ES:TC:2025:55</w:t>
      </w:r>
    </w:p>
    <w:p w14:paraId="2468F75E" w14:textId="69E692EF" w:rsidR="00A8138F" w:rsidRDefault="00A8138F" w:rsidP="00A8138F">
      <w:pPr>
        <w:pStyle w:val="TextoNormalCentrado"/>
      </w:pPr>
    </w:p>
    <w:p w14:paraId="1D7872D9" w14:textId="77777777" w:rsidR="00A8138F" w:rsidRDefault="00A8138F" w:rsidP="00A8138F">
      <w:pPr>
        <w:pStyle w:val="SntesisDescriptiva"/>
      </w:pPr>
      <w:r>
        <w:t>Recurso de amparo 5159-2023. Promovido por don Gustavo García-Cesto Romero respecto de los autos dictados por un juzgado de lo social de Madrid en proceso de despido.</w:t>
      </w:r>
    </w:p>
    <w:p w14:paraId="7A362842" w14:textId="0AB35960" w:rsidR="00A8138F" w:rsidRDefault="00A8138F" w:rsidP="00A8138F">
      <w:pPr>
        <w:pStyle w:val="SntesisDescriptiva"/>
      </w:pPr>
    </w:p>
    <w:p w14:paraId="75AE9359" w14:textId="77777777" w:rsidR="00A8138F" w:rsidRDefault="00A8138F" w:rsidP="00A8138F">
      <w:pPr>
        <w:pStyle w:val="SntesisAnaltica"/>
      </w:pPr>
      <w:r>
        <w:t>Vulneración del derecho a la tutela judicial efectiva (acceso a la jurisdicción): inadmisión de demanda fundada en la falta de aportación de una carta de despido que no poseía la parte actora.</w:t>
      </w:r>
    </w:p>
    <w:p w14:paraId="41E94A13" w14:textId="2DCB920C" w:rsidR="00A8138F" w:rsidRDefault="00A8138F" w:rsidP="00A8138F">
      <w:pPr>
        <w:pStyle w:val="SntesisAnaltica"/>
      </w:pPr>
    </w:p>
    <w:p w14:paraId="5B193229" w14:textId="33F68921" w:rsidR="00A8138F" w:rsidRDefault="00A8138F" w:rsidP="00A8138F">
      <w:pPr>
        <w:pStyle w:val="Extracto"/>
      </w:pPr>
      <w:r>
        <w:t>1.</w:t>
      </w:r>
      <w:r>
        <w:tab/>
        <w:t xml:space="preserve">El principio </w:t>
      </w:r>
      <w:r w:rsidRPr="00A8138F">
        <w:rPr>
          <w:i/>
        </w:rPr>
        <w:t xml:space="preserve">pro actione </w:t>
      </w:r>
      <w:r>
        <w:t>en los supuestos de acceso a la jurisdicción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(STC 172/2023) [FJ 2].</w:t>
      </w:r>
    </w:p>
    <w:p w14:paraId="1BAFA45D" w14:textId="77777777" w:rsidR="00A8138F" w:rsidRDefault="00A8138F" w:rsidP="00A8138F">
      <w:pPr>
        <w:pStyle w:val="Extracto"/>
      </w:pPr>
    </w:p>
    <w:p w14:paraId="2D425364" w14:textId="1A45EFBB" w:rsidR="00A8138F" w:rsidRDefault="00A8138F" w:rsidP="00A8138F">
      <w:pPr>
        <w:pStyle w:val="Extracto"/>
      </w:pPr>
      <w:r>
        <w:t>2.</w:t>
      </w:r>
      <w:r>
        <w:tab/>
        <w:t xml:space="preserve">El derecho a la tutela judicial efectiva obliga a elegir la interpretación y aplicación de la ley, en lo que atañe a estos requisitos formales de la demanda, de la forma que sea más conforme con el principio </w:t>
      </w:r>
      <w:r w:rsidRPr="00A8138F">
        <w:rPr>
          <w:i/>
        </w:rPr>
        <w:t>pro actione</w:t>
      </w:r>
      <w:r>
        <w:t>, y que lleve a favorecer la continuación del proceso, siempre que el interesado actúe con diligencia y que no se lesionen bienes o derechos constitucionales, no se grave injustificadamente la posición de la parte contraria, ni se dañe la integridad objetiva del procedimiento (SSTC 21/1989 o 130/1998) [FJ 3].</w:t>
      </w:r>
    </w:p>
    <w:p w14:paraId="1B2BF91E" w14:textId="77777777" w:rsidR="00A8138F" w:rsidRDefault="00A8138F" w:rsidP="00A8138F">
      <w:pPr>
        <w:pStyle w:val="Extracto"/>
      </w:pPr>
    </w:p>
    <w:p w14:paraId="15942C56" w14:textId="6C1F9C45" w:rsidR="00A8138F" w:rsidRDefault="00A8138F" w:rsidP="00A8138F">
      <w:pPr>
        <w:pStyle w:val="Extracto"/>
      </w:pPr>
      <w:r>
        <w:t>3.</w:t>
      </w:r>
      <w:r>
        <w:tab/>
        <w:t>Entender como requisito esencial para la admisión a trámite de la demanda la aportación de la carta de despido y disponer por la sola omisión de esta el archivo de las actuaciones, sin tomar en consideración que el recurrente ha alegado diligentemente que carece de la misma y que ha hecho mención suficiente a su contenido en la demanda, no se acomoda a las exigencias que, en la interpretación de los requisitos procesales, se derivan del art. 24.1 CE [FJ 3].</w:t>
      </w:r>
    </w:p>
    <w:p w14:paraId="068AD610" w14:textId="77777777" w:rsidR="00A8138F" w:rsidRDefault="00A8138F" w:rsidP="00A8138F">
      <w:pPr>
        <w:pStyle w:val="Extracto"/>
      </w:pPr>
    </w:p>
    <w:p w14:paraId="7841BAF6" w14:textId="77777777" w:rsidR="00A8138F" w:rsidRDefault="00A8138F" w:rsidP="00A8138F">
      <w:pPr>
        <w:pStyle w:val="Extracto"/>
      </w:pPr>
    </w:p>
    <w:p w14:paraId="0C0C5285"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7B68B59" w14:textId="6A564E72" w:rsidR="00A8138F" w:rsidRDefault="00A8138F" w:rsidP="00A8138F">
      <w:pPr>
        <w:pStyle w:val="TextoNormal"/>
      </w:pPr>
    </w:p>
    <w:p w14:paraId="316876EF" w14:textId="77777777" w:rsidR="00A8138F" w:rsidRDefault="00A8138F" w:rsidP="00A8138F">
      <w:pPr>
        <w:pStyle w:val="TextoNormalCentrado"/>
        <w:keepNext/>
      </w:pPr>
      <w:r>
        <w:t>EN NOMBRE DEL REY</w:t>
      </w:r>
    </w:p>
    <w:p w14:paraId="5C0AE813" w14:textId="2976109F" w:rsidR="00A8138F" w:rsidRDefault="00A8138F" w:rsidP="00A8138F">
      <w:pPr>
        <w:pStyle w:val="TextoNormalCentrado"/>
        <w:keepNext/>
      </w:pPr>
    </w:p>
    <w:p w14:paraId="27050C85" w14:textId="77777777" w:rsidR="00A8138F" w:rsidRDefault="00A8138F" w:rsidP="00A8138F">
      <w:pPr>
        <w:pStyle w:val="TextoNormalCentrado"/>
        <w:keepNext/>
      </w:pPr>
    </w:p>
    <w:p w14:paraId="02F9CE46" w14:textId="77777777" w:rsidR="00A8138F" w:rsidRDefault="00A8138F" w:rsidP="00A8138F">
      <w:pPr>
        <w:pStyle w:val="TextoNormal"/>
      </w:pPr>
      <w:r>
        <w:t>la siguiente</w:t>
      </w:r>
    </w:p>
    <w:p w14:paraId="13DF9E8A" w14:textId="04D1E2E3" w:rsidR="00A8138F" w:rsidRDefault="00A8138F" w:rsidP="00A8138F">
      <w:pPr>
        <w:pStyle w:val="TextoNormal"/>
      </w:pPr>
    </w:p>
    <w:p w14:paraId="748CBF75" w14:textId="77777777" w:rsidR="00A8138F" w:rsidRDefault="00A8138F" w:rsidP="00A8138F">
      <w:pPr>
        <w:pStyle w:val="TextoNormalCentrado"/>
        <w:keepNext/>
      </w:pPr>
      <w:r>
        <w:lastRenderedPageBreak/>
        <w:t>SENTENCIA</w:t>
      </w:r>
    </w:p>
    <w:p w14:paraId="1F09EAAC" w14:textId="5A7C7B22" w:rsidR="00A8138F" w:rsidRDefault="00A8138F" w:rsidP="00A8138F">
      <w:pPr>
        <w:pStyle w:val="TextoNormalCentrado"/>
        <w:keepNext/>
      </w:pPr>
    </w:p>
    <w:p w14:paraId="4CD99094" w14:textId="77777777" w:rsidR="00A8138F" w:rsidRDefault="00A8138F" w:rsidP="00A8138F">
      <w:pPr>
        <w:pStyle w:val="TextoNormal"/>
      </w:pPr>
      <w:r>
        <w:t>En el recurso de amparo núm. 5159-2023, promovido por don Gustavo García-Cesto Romero, contra el auto 139/2023, de 2 de junio, del Juzgado de lo Social núm. 3 de Madrid, que desestima el recurso de reposición interpuesto contra el auto 20/2023, de 10 de abril. Ha intervenido el Ministerio Fiscal. Ha sido ponente el magistrado don César Tolosa Tribiño.</w:t>
      </w:r>
    </w:p>
    <w:p w14:paraId="04FF53B6" w14:textId="418956F3" w:rsidR="00A8138F" w:rsidRDefault="00A8138F" w:rsidP="00A8138F">
      <w:pPr>
        <w:pStyle w:val="TextoNormal"/>
      </w:pPr>
    </w:p>
    <w:p w14:paraId="3303FAFD" w14:textId="77777777" w:rsidR="00A8138F" w:rsidRDefault="00A8138F" w:rsidP="00A8138F">
      <w:pPr>
        <w:pStyle w:val="TextoNormalNegritaCentrado"/>
        <w:keepNext/>
      </w:pPr>
      <w:r>
        <w:t>I. Antecedentes</w:t>
      </w:r>
    </w:p>
    <w:p w14:paraId="0343F969" w14:textId="61C3E3B8" w:rsidR="00A8138F" w:rsidRDefault="00A8138F" w:rsidP="00A8138F">
      <w:pPr>
        <w:pStyle w:val="TextoNormalNegritaCentrado"/>
        <w:keepNext/>
      </w:pPr>
    </w:p>
    <w:p w14:paraId="0E666B94" w14:textId="66F80084" w:rsidR="00A8138F" w:rsidRDefault="00A8138F" w:rsidP="00A8138F">
      <w:pPr>
        <w:pStyle w:val="TextoNormal"/>
      </w:pPr>
      <w:r w:rsidRPr="00A8138F">
        <w:rPr>
          <w:rStyle w:val="NumeroAFNegritaCaracter"/>
        </w:rPr>
        <w:t>1</w:t>
      </w:r>
      <w:r>
        <w:t>. Mediante escrito registrado en este tribunal el día 24 de julio de 2023, el procurador de los tribunales don Rafael Ros Fernández, en nombre y representación de don Gustavo García-Cesto Romero, defendido por la letrada doña Gemma Reinón Tardáguila, interpuso recurso de amparo contra la resolución judicial que se cita en el encabezamiento, por vulneración del derecho a la tutela judicial efectiva (art. 24.1 CE).</w:t>
      </w:r>
    </w:p>
    <w:p w14:paraId="44637834" w14:textId="77777777" w:rsidR="00A8138F" w:rsidRDefault="00A8138F" w:rsidP="00A8138F">
      <w:pPr>
        <w:pStyle w:val="TextoNormal"/>
      </w:pPr>
    </w:p>
    <w:p w14:paraId="4F1AA209" w14:textId="77777777" w:rsidR="00A8138F" w:rsidRDefault="00A8138F" w:rsidP="00A8138F">
      <w:pPr>
        <w:pStyle w:val="TextoNormal"/>
      </w:pPr>
      <w:r w:rsidRPr="00A8138F">
        <w:rPr>
          <w:rStyle w:val="NumeroAFNegritaCaracter"/>
        </w:rPr>
        <w:t>2</w:t>
      </w:r>
      <w:r>
        <w:t>. Los hechos relevantes para resolver el recurso de amparo interpuesto son los siguientes:</w:t>
      </w:r>
    </w:p>
    <w:p w14:paraId="2F5CF0B0" w14:textId="77777777" w:rsidR="00A8138F" w:rsidRDefault="00A8138F" w:rsidP="00A8138F">
      <w:pPr>
        <w:pStyle w:val="TextoNormal"/>
      </w:pPr>
    </w:p>
    <w:p w14:paraId="54AB5B3E" w14:textId="77777777" w:rsidR="00A8138F" w:rsidRDefault="00A8138F" w:rsidP="00A8138F">
      <w:pPr>
        <w:pStyle w:val="TextoNormal"/>
      </w:pPr>
      <w:r>
        <w:t>a) El 22 de febrero de 2023, don Gustavo García-Cesto Romero presentó demanda de despido improcedente contra el Colegio Mayor Universitario Isabel de España. Dicha demanda correspondió al Juzgado de lo Social núm. 3 de Madrid, que la tramitó con el núm. 139-2023.</w:t>
      </w:r>
    </w:p>
    <w:p w14:paraId="1E149E80" w14:textId="77777777" w:rsidR="00A8138F" w:rsidRDefault="00A8138F" w:rsidP="00A8138F">
      <w:pPr>
        <w:pStyle w:val="TextoNormal"/>
      </w:pPr>
    </w:p>
    <w:p w14:paraId="2A01700A" w14:textId="77777777" w:rsidR="00A8138F" w:rsidRDefault="00A8138F" w:rsidP="00A8138F">
      <w:pPr>
        <w:pStyle w:val="TextoNormal"/>
      </w:pPr>
      <w:r>
        <w:t>b) El 3 de marzo de 2023, el letrado de la administración de justicia dictó diligencia de ordenación advirtiendo los siguientes defectos en la demanda, y requiriendo a la parte actora a fin de que en el plazo de cuatro días los subsanase:</w:t>
      </w:r>
    </w:p>
    <w:p w14:paraId="273A6839" w14:textId="77777777" w:rsidR="00A8138F" w:rsidRDefault="00A8138F" w:rsidP="00A8138F">
      <w:pPr>
        <w:pStyle w:val="TextoNormal"/>
      </w:pPr>
    </w:p>
    <w:p w14:paraId="1F9FA859" w14:textId="77777777" w:rsidR="00A8138F" w:rsidRDefault="00A8138F" w:rsidP="00A8138F">
      <w:pPr>
        <w:pStyle w:val="TextoNormal"/>
      </w:pPr>
      <w:r>
        <w:t>“No acredita la antigüedad, concretando la fecha exacta, no bastando una referencia genérica del año en que empezó a prestar servicios.</w:t>
      </w:r>
    </w:p>
    <w:p w14:paraId="5EBB6874" w14:textId="77777777" w:rsidR="00A8138F" w:rsidRDefault="00A8138F" w:rsidP="00A8138F">
      <w:pPr>
        <w:pStyle w:val="TextoNormal"/>
      </w:pPr>
    </w:p>
    <w:p w14:paraId="77497BEB" w14:textId="77777777" w:rsidR="00A8138F" w:rsidRDefault="00A8138F" w:rsidP="00A8138F">
      <w:pPr>
        <w:pStyle w:val="TextoNormal"/>
      </w:pPr>
      <w:r>
        <w:t>No indica la fecha de efectividad del despido, forma en que se produjo y hechos alegados por el empresario, acompañando la comunicación recibida.</w:t>
      </w:r>
    </w:p>
    <w:p w14:paraId="5001165B" w14:textId="77777777" w:rsidR="00A8138F" w:rsidRDefault="00A8138F" w:rsidP="00A8138F">
      <w:pPr>
        <w:pStyle w:val="TextoNormal"/>
      </w:pPr>
    </w:p>
    <w:p w14:paraId="3B5EE3F1" w14:textId="77777777" w:rsidR="00A8138F" w:rsidRDefault="00A8138F" w:rsidP="00A8138F">
      <w:pPr>
        <w:pStyle w:val="TextoNormal"/>
      </w:pPr>
      <w:r>
        <w:t>No refiere si el trabajador ostenta o ha ostentado en el año anterior al despido, la cualidad de representante legal o sindical de los trabajadores”.</w:t>
      </w:r>
    </w:p>
    <w:p w14:paraId="4A5BB058" w14:textId="77777777" w:rsidR="00A8138F" w:rsidRDefault="00A8138F" w:rsidP="00A8138F">
      <w:pPr>
        <w:pStyle w:val="TextoNormal"/>
      </w:pPr>
    </w:p>
    <w:p w14:paraId="64638A6D" w14:textId="77777777" w:rsidR="00A8138F" w:rsidRDefault="00A8138F" w:rsidP="00A8138F">
      <w:pPr>
        <w:pStyle w:val="TextoNormal"/>
      </w:pPr>
      <w:r>
        <w:t>c) El recurrente presentó escrito de 14 de marzo de 2023 subsanando los citados defectos, tras lo cual el letrado de la administración de justicia dictó una nueva diligencia de ordenación de fecha de 16 de marzo de 2023, a fin de que en el plazo de cuatro días aportase la carta de despido, y se estableciese expresamente la antigüedad, con día, mes y año, bajo apercibimiento de archivo.</w:t>
      </w:r>
    </w:p>
    <w:p w14:paraId="0EB8277E" w14:textId="77777777" w:rsidR="00A8138F" w:rsidRDefault="00A8138F" w:rsidP="00A8138F">
      <w:pPr>
        <w:pStyle w:val="TextoNormal"/>
      </w:pPr>
    </w:p>
    <w:p w14:paraId="761C03C3" w14:textId="77777777" w:rsidR="00A8138F" w:rsidRDefault="00A8138F" w:rsidP="00A8138F">
      <w:pPr>
        <w:pStyle w:val="TextoNormal"/>
      </w:pPr>
      <w:r>
        <w:t>d) Don Gustavo García-Cesto Romero presentó escrito el 24 de marzo de 2023, manifestando que la antigüedad data de fecha de 1 de enero de 2020 hasta el 3 de febrero de 2023, adjuntando el acta de conciliación celebrada el día 14 de marzo de 2023, cuyo resultado fue intentado sin efecto por incomparecencia de la parte demandada.</w:t>
      </w:r>
    </w:p>
    <w:p w14:paraId="66133C1A" w14:textId="77777777" w:rsidR="00A8138F" w:rsidRDefault="00A8138F" w:rsidP="00A8138F">
      <w:pPr>
        <w:pStyle w:val="TextoNormal"/>
      </w:pPr>
    </w:p>
    <w:p w14:paraId="459B1C17" w14:textId="77777777" w:rsidR="00A8138F" w:rsidRDefault="00A8138F" w:rsidP="00A8138F">
      <w:pPr>
        <w:pStyle w:val="TextoNormal"/>
      </w:pPr>
      <w:r>
        <w:t>Respecto a la comunicación del cese de la relación laboral, manifestó “[q]ue nos vemos incapaces de aportar la carta de despido pues no disponemos de la misma. No obstante, en los otrosíes de la demanda pedimos que la empresa nos la facilite”.</w:t>
      </w:r>
    </w:p>
    <w:p w14:paraId="6AED9A20" w14:textId="77777777" w:rsidR="00A8138F" w:rsidRDefault="00A8138F" w:rsidP="00A8138F">
      <w:pPr>
        <w:pStyle w:val="TextoNormal"/>
      </w:pPr>
    </w:p>
    <w:p w14:paraId="3214E8BA" w14:textId="77777777" w:rsidR="00A8138F" w:rsidRDefault="00A8138F" w:rsidP="00A8138F">
      <w:pPr>
        <w:pStyle w:val="TextoNormal"/>
      </w:pPr>
      <w:r>
        <w:t>e) El Juzgado de lo Social núm. 3 de Madrid dictó el auto 20/2023, de 10 de abril, archivando la demanda de despido por no haber sido subsanados los defectos de los que la misma adolecía dentro del plazo legal establecido, fundamentando que la demanda “no acompaña la comunicación recibida del cese de la relación laboral ni hace mención suficiente de su contenido, según lo dispuesto en el artículo 104 de la Ley reguladora de la jurisdicción social, en la que se establecen los requisitos de la demanda por despido, en su apartado b, en la que se indicarán ‘[f]echa de efectividad del despido, forma en que se produjo y hechos alegados por el empresario, acompañando la comunicación recibida, en su caso, o haciendo mención suficiente a su contenido’ no habiendo subsanado los defectos advertidos, procede al amparo del art. 81 de la Ley reguladora de la jurisdicción social, el archivo de la presente demanda”.</w:t>
      </w:r>
    </w:p>
    <w:p w14:paraId="5C411FA3" w14:textId="77777777" w:rsidR="00A8138F" w:rsidRDefault="00A8138F" w:rsidP="00A8138F">
      <w:pPr>
        <w:pStyle w:val="TextoNormal"/>
      </w:pPr>
    </w:p>
    <w:p w14:paraId="1041A2A3" w14:textId="77777777" w:rsidR="00A8138F" w:rsidRDefault="00A8138F" w:rsidP="00A8138F">
      <w:pPr>
        <w:pStyle w:val="TextoNormal"/>
      </w:pPr>
      <w:r>
        <w:t>f) Contra dicho auto, don Gustavo García-Cesto Romero interpuso recurso de reposición el 21 de abril de 2023 solicitando que no se acordara el archivo del procedimiento, sobre la base de que “no dispone de la carta de despido solicitada por el juzgado, al quedarse la empresa la única copia original después de que mi representado firmara como no conforme. En consecuencia, solicitamos en la demanda en el otrosí segundo, la presentación de la misma por parte de la empresa”. Añadiendo que “se dejó constancia de este hecho en el escrito de 24 de marzo de 2023 que se remitió al juzgado, explicando la incapacidad de aportar la carta de despido y adjuntando dentro del plazo otorgado, el resto de las cuestiones que se nos solicitaban, siendo estas el acta de conciliación y la antigüedad de mi representado”.</w:t>
      </w:r>
    </w:p>
    <w:p w14:paraId="0F21BA03" w14:textId="77777777" w:rsidR="00A8138F" w:rsidRDefault="00A8138F" w:rsidP="00A8138F">
      <w:pPr>
        <w:pStyle w:val="TextoNormal"/>
      </w:pPr>
    </w:p>
    <w:p w14:paraId="7D4E203F" w14:textId="77777777" w:rsidR="00A8138F" w:rsidRDefault="00A8138F" w:rsidP="00A8138F">
      <w:pPr>
        <w:pStyle w:val="TextoNormal"/>
      </w:pPr>
      <w:r>
        <w:t>g) El Juzgado de lo Social núm. 3 de Madrid dictó auto de 2 de junio 2023 desestimando el recurso de reposición y confirmando el auto impugnado. Apreció que “[e]l demandante presentó escrito estableciendo la antigüedad del trabajador pero no aportó la carta de despido, razón por la cual se dictó el auto de archivo”, sobre la base de lo cual concluyó que “dicho auto es ajustado a Derecho dado que de conformidad con la doctrina constitucional toda demanda que ‘olvide requisitos esenciales no puede ser admitida a trámite’ y tal ‘atribución es constitucionalmente inobjetable puesto que responde a una finalidad razonable y necesaria acorde con el principio de celeridad que preside los procesos laborales’”.</w:t>
      </w:r>
    </w:p>
    <w:p w14:paraId="351186D4" w14:textId="77777777" w:rsidR="00A8138F" w:rsidRDefault="00A8138F" w:rsidP="00A8138F">
      <w:pPr>
        <w:pStyle w:val="TextoNormal"/>
      </w:pPr>
    </w:p>
    <w:p w14:paraId="2BA06462" w14:textId="2FC650E0" w:rsidR="00A8138F" w:rsidRDefault="00A8138F" w:rsidP="00A8138F">
      <w:pPr>
        <w:pStyle w:val="TextoNormal"/>
      </w:pPr>
      <w:r>
        <w:t>A ello añadió que “en la demanda se analiza la carta de despido, utilizando expresiones tales como ‘las causas alegadas son absolutamente falsas’, ‘el motivo de despido es ambiguo, insuficiente y susceptible de causarle indefensión a mi representado’, desconociendo las razones por las que ante dicho análisis no se aporta dicha carta a pesar de haber sido requerido hasta en dos ocasiones”.</w:t>
      </w:r>
    </w:p>
    <w:p w14:paraId="7AFA7A41" w14:textId="77777777" w:rsidR="00A8138F" w:rsidRDefault="00A8138F" w:rsidP="00A8138F">
      <w:pPr>
        <w:pStyle w:val="TextoNormal"/>
      </w:pPr>
    </w:p>
    <w:p w14:paraId="7A53FFF5" w14:textId="77777777" w:rsidR="00A8138F" w:rsidRDefault="00A8138F" w:rsidP="00A8138F">
      <w:pPr>
        <w:pStyle w:val="TextoNormal"/>
      </w:pPr>
      <w:r w:rsidRPr="00A8138F">
        <w:rPr>
          <w:rStyle w:val="NumeroAFNegritaCaracter"/>
        </w:rPr>
        <w:t>3</w:t>
      </w:r>
      <w:r>
        <w:t>. En la demanda de amparo, el recurrente denuncia que el auto 139/2023, de 2 de junio, que confirma el auto 20/2023, de 10 de abril, infringe su derecho a la tutela judicial efectiva (art. 24.1 CE) y solicita su declaración de nulidad, así como la retroacción de todas las actuaciones al momento procesal inmediatamente anterior a su dictado, dejando sin efecto el archivo del procedimiento.</w:t>
      </w:r>
    </w:p>
    <w:p w14:paraId="2E84496B" w14:textId="77777777" w:rsidR="00A8138F" w:rsidRDefault="00A8138F" w:rsidP="00A8138F">
      <w:pPr>
        <w:pStyle w:val="TextoNormal"/>
      </w:pPr>
    </w:p>
    <w:p w14:paraId="117C0CEA" w14:textId="77777777" w:rsidR="00A8138F" w:rsidRDefault="00A8138F" w:rsidP="00A8138F">
      <w:pPr>
        <w:pStyle w:val="TextoNormal"/>
      </w:pPr>
      <w:r>
        <w:t>a) En la demanda, para justificar la relevancia del amparo solicitado, se invoca la vulneración del derecho a la tutela judicial efectiva del art. 24.1 CE, causando indefensión, en la medida en que se está negando el derecho fundamental más básico, que es acudir en primera instancia a impugnar un despido, sin posibilidad alguna para su subsanación, habiendo transcurrido cualquier posible plazo para volver a presentar la demanda y dejando al recurrente completamente indefenso. Explica el demandante de amparo que, por un lado, se ve desprotegido ante el despido cuando la empresa utiliza subterfugios para no facilitarle la carta de despido y también cuando los órganos judiciales no le permiten el ejercicio de sus derechos bajo un criterio tan arbitrario que no depende del trabajador como es la no entrega de la carta de despido. Este comportamiento por parte de la administración de justicia es completamente abusivo y desproporcionado y deja a quien ejercita la acción en una clara desventaja.</w:t>
      </w:r>
    </w:p>
    <w:p w14:paraId="551DEEDE" w14:textId="77777777" w:rsidR="00A8138F" w:rsidRDefault="00A8138F" w:rsidP="00A8138F">
      <w:pPr>
        <w:pStyle w:val="TextoNormal"/>
      </w:pPr>
    </w:p>
    <w:p w14:paraId="0EDD8092" w14:textId="77777777" w:rsidR="00A8138F" w:rsidRDefault="00A8138F" w:rsidP="00A8138F">
      <w:pPr>
        <w:pStyle w:val="TextoNormal"/>
      </w:pPr>
      <w:r>
        <w:t xml:space="preserve">b) Más concretamente, el recurrente denuncia que se ha lesionado el principio </w:t>
      </w:r>
      <w:r w:rsidRPr="00A8138F">
        <w:rPr>
          <w:i/>
        </w:rPr>
        <w:t>pro actione</w:t>
      </w:r>
      <w:r>
        <w:t xml:space="preserve"> (STC 187/2004, de 2 de noviembre) considerando desproporcionado el archivo de la demanda por no haber aportado la carta de despido, siendo así que debe evitarse la obstaculización del acceso a la jurisdicción social. Considera que ha actuado diligentemente en todo momento presentando las explicaciones correspondientes ante el juzgado de por qué no podía facilitar la carta de despido, debiendo los jueces evitar la extrema rigidez de los requisitos formales.</w:t>
      </w:r>
    </w:p>
    <w:p w14:paraId="4C11DDA0" w14:textId="77777777" w:rsidR="00A8138F" w:rsidRDefault="00A8138F" w:rsidP="00A8138F">
      <w:pPr>
        <w:pStyle w:val="TextoNormal"/>
      </w:pPr>
    </w:p>
    <w:p w14:paraId="4F6742A5" w14:textId="3C02C22E" w:rsidR="00A8138F" w:rsidRDefault="00A8138F" w:rsidP="00A8138F">
      <w:pPr>
        <w:pStyle w:val="TextoNormal"/>
      </w:pPr>
      <w:r>
        <w:t>Cita la sentencia 885/2021, de 23 de marzo, del Tribunal Superior de Justicia de la Comunidad Valenciana, que considera indebido y desproporcionado el archivo de la demanda por no haberse adjuntado la carta de despido, cuando se hace mención suficiente de su contenido.</w:t>
      </w:r>
    </w:p>
    <w:p w14:paraId="42C9E335" w14:textId="77777777" w:rsidR="00A8138F" w:rsidRDefault="00A8138F" w:rsidP="00A8138F">
      <w:pPr>
        <w:pStyle w:val="TextoNormal"/>
      </w:pPr>
    </w:p>
    <w:p w14:paraId="62E8983B" w14:textId="7834B920" w:rsidR="00A8138F" w:rsidRDefault="00A8138F" w:rsidP="00A8138F">
      <w:pPr>
        <w:pStyle w:val="TextoNormal"/>
      </w:pPr>
      <w:r w:rsidRPr="00A8138F">
        <w:rPr>
          <w:rStyle w:val="NumeroAFNegritaCaracter"/>
        </w:rPr>
        <w:t>4</w:t>
      </w:r>
      <w:r>
        <w:t>. La Sección Tercera de este Tribunal Constitucional, por providencia de 21 de octubre de 2024,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14:paraId="69C55680" w14:textId="77777777" w:rsidR="00A8138F" w:rsidRDefault="00A8138F" w:rsidP="00A8138F">
      <w:pPr>
        <w:pStyle w:val="TextoNormal"/>
      </w:pPr>
    </w:p>
    <w:p w14:paraId="22D8EA0A" w14:textId="2480C674" w:rsidR="00A8138F" w:rsidRDefault="00A8138F" w:rsidP="00A8138F">
      <w:pPr>
        <w:pStyle w:val="TextoNormal"/>
      </w:pPr>
      <w:r w:rsidRPr="00A8138F">
        <w:rPr>
          <w:rStyle w:val="NumeroAFNegritaCaracter"/>
        </w:rPr>
        <w:t>5</w:t>
      </w:r>
      <w:r>
        <w:t>. De conformidad con lo dispuesto en el art. 51 LOTC, y constando en el recurso copia testimoniada del procedimiento de despido núm. 139-2023, acordó dirigir atenta comunicación al Juzgado de lo Social núm. 3 de Madrid, a fin de que en el plazo de diez días emplace para que en el plazo de diez días puedan comparecer, si lo desean, en el recurso de amparo, a quienes hubieran sido parte en el procedimiento, excepto la parte recurrente en amparo.</w:t>
      </w:r>
    </w:p>
    <w:p w14:paraId="65C3A4AA" w14:textId="77777777" w:rsidR="00A8138F" w:rsidRDefault="00A8138F" w:rsidP="00A8138F">
      <w:pPr>
        <w:pStyle w:val="TextoNormal"/>
      </w:pPr>
    </w:p>
    <w:p w14:paraId="608C6B24" w14:textId="77852C89" w:rsidR="00A8138F" w:rsidRDefault="00A8138F" w:rsidP="00A8138F">
      <w:pPr>
        <w:pStyle w:val="TextoNormal"/>
      </w:pPr>
      <w:r w:rsidRPr="00A8138F">
        <w:rPr>
          <w:rStyle w:val="NumeroAFNegritaCaracter"/>
        </w:rPr>
        <w:t>6</w:t>
      </w:r>
      <w:r>
        <w:t>. La representación procesal de don Gustavo García-Cesto Romero presentó el 31 de enero de 2025 escrito de alegaciones por el que reitera el interés constitucional del asunto, así como la diligencia con la que ha obrado al presentar las explicaciones pertinentes ante el juzgado respecto a la imposibilidad de facilitar la carta de despido y suplica que se otorgue el amparo solicitado.</w:t>
      </w:r>
    </w:p>
    <w:p w14:paraId="6C844411" w14:textId="77777777" w:rsidR="00A8138F" w:rsidRDefault="00A8138F" w:rsidP="00A8138F">
      <w:pPr>
        <w:pStyle w:val="TextoNormal"/>
      </w:pPr>
    </w:p>
    <w:p w14:paraId="73A111E6" w14:textId="77777777" w:rsidR="00A8138F" w:rsidRDefault="00A8138F" w:rsidP="00A8138F">
      <w:pPr>
        <w:pStyle w:val="TextoNormal"/>
      </w:pPr>
      <w:r w:rsidRPr="00A8138F">
        <w:rPr>
          <w:rStyle w:val="NumeroAFNegritaCaracter"/>
        </w:rPr>
        <w:lastRenderedPageBreak/>
        <w:t>7</w:t>
      </w:r>
      <w:r>
        <w:t>. El Ministerio Fiscal, dentro del plazo conferido al efecto, el 7 de febrero de 2025 presentó sus alegaciones interesando la estimación del amparo solicitado. Tras exponer en el primer epígrafe los antecedentes de hecho, aborda en un segundo epígrafe las consideraciones jurídicas relativas al recurso de amparo.</w:t>
      </w:r>
    </w:p>
    <w:p w14:paraId="64F3A7D0" w14:textId="77777777" w:rsidR="00A8138F" w:rsidRDefault="00A8138F" w:rsidP="00A8138F">
      <w:pPr>
        <w:pStyle w:val="TextoNormal"/>
      </w:pPr>
    </w:p>
    <w:p w14:paraId="2DDB3326" w14:textId="77777777" w:rsidR="00A8138F" w:rsidRDefault="00A8138F" w:rsidP="00A8138F">
      <w:pPr>
        <w:pStyle w:val="TextoNormal"/>
      </w:pPr>
      <w:r>
        <w:t xml:space="preserve">Centra la vulneración alegada por el recurrente, de la tutela judicial efectiva sin indefensión, en su vertiente del derecho de acceso a la jurisdicción, recordando la doctrina del Tribunal Constitucional que ha configurado el principio </w:t>
      </w:r>
      <w:r w:rsidRPr="00A8138F">
        <w:rPr>
          <w:i/>
        </w:rPr>
        <w:t>pro actione</w:t>
      </w:r>
      <w:r>
        <w:t xml:space="preserve"> como canon de constitucionalidad diferente del que se aplica a otros aspectos del derecho a la tutela judicial efectiva. Por tanto, cuando se trata de acceso a la jurisdicción, el canon de constitucionalidad es más exigente y procede comprobar, en primer término, si existe la causa impeditiva del conocimiento del asunto, y, en segundo lugar, si la interpretación que se haya hecho de la misma en el caso concreto contraviene el derecho fundamental (STC 236/2006, de 17 de julio, FJ 2).</w:t>
      </w:r>
    </w:p>
    <w:p w14:paraId="134920FF" w14:textId="77777777" w:rsidR="00A8138F" w:rsidRDefault="00A8138F" w:rsidP="00A8138F">
      <w:pPr>
        <w:pStyle w:val="TextoNormal"/>
      </w:pPr>
    </w:p>
    <w:p w14:paraId="3FDFE1EF" w14:textId="77777777" w:rsidR="00A8138F" w:rsidRDefault="00A8138F" w:rsidP="00A8138F">
      <w:pPr>
        <w:pStyle w:val="TextoNormal"/>
      </w:pPr>
      <w:r>
        <w:t>En el caso concreto, considera que la interpretación que el juzgado ha hecho del art. 104, apartado b), de la Ley reguladora de la jurisdicción social (LJS) ha sido excesivamente formalista y que se ha vulnerado el derecho a la tutela judicial efectiva por dos razones.</w:t>
      </w:r>
    </w:p>
    <w:p w14:paraId="0367DCC5" w14:textId="77777777" w:rsidR="00A8138F" w:rsidRDefault="00A8138F" w:rsidP="00A8138F">
      <w:pPr>
        <w:pStyle w:val="TextoNormal"/>
      </w:pPr>
    </w:p>
    <w:p w14:paraId="1D64F6F9" w14:textId="77777777" w:rsidR="00A8138F" w:rsidRDefault="00A8138F" w:rsidP="00A8138F">
      <w:pPr>
        <w:pStyle w:val="TextoNormal"/>
      </w:pPr>
      <w:r>
        <w:t>En primer lugar, por la propia redacción del precepto, dado que la aportación de la carta de despido se hará “en su caso” o se hará “mención suficiente de su contenido”, es decir, no es un requisito imprescindible aportarla, lo que es lógico, pues el trabajador puede no tenerla en su poder porque el empresario no se la haya entregado —porque no exista el documento en caso de despido verbal o porque lo retuviera la empresa, como se alega en este caso— o porque la hubiera perdido accidentalmente.</w:t>
      </w:r>
    </w:p>
    <w:p w14:paraId="153D0B1F" w14:textId="77777777" w:rsidR="00A8138F" w:rsidRDefault="00A8138F" w:rsidP="00A8138F">
      <w:pPr>
        <w:pStyle w:val="TextoNormal"/>
      </w:pPr>
    </w:p>
    <w:p w14:paraId="4FF37079" w14:textId="5CB32443" w:rsidR="00A8138F" w:rsidRDefault="00A8138F" w:rsidP="00A8138F">
      <w:pPr>
        <w:pStyle w:val="TextoNormal"/>
      </w:pPr>
      <w:r>
        <w:t>En segundo lugar, afirma que resulta contradictorio con dicho precepto legal el hecho de que el trabajador en su demanda haya efectuado una mención amplia del contenido de la carta de despido, y que ello en lugar de servir para admitir esta por aplicación del último inciso del apartado b) del art. 104 LJS, se utilice para presuponer que el trabajador tiene la carta de despido en su poder y por algún motivo no quiere reconocer que la tiene y pide que la aporte el empresario.</w:t>
      </w:r>
    </w:p>
    <w:p w14:paraId="3F18C724" w14:textId="77777777" w:rsidR="00A8138F" w:rsidRDefault="00A8138F" w:rsidP="00A8138F">
      <w:pPr>
        <w:pStyle w:val="TextoNormal"/>
      </w:pPr>
    </w:p>
    <w:p w14:paraId="743B8FDA" w14:textId="2C0A8AEB" w:rsidR="00A8138F" w:rsidRDefault="00A8138F" w:rsidP="00A8138F">
      <w:pPr>
        <w:pStyle w:val="TextoNormal"/>
      </w:pPr>
      <w:r w:rsidRPr="00A8138F">
        <w:rPr>
          <w:rStyle w:val="NumeroAFNegritaCaracter"/>
        </w:rPr>
        <w:t>8</w:t>
      </w:r>
      <w:r>
        <w:t>. Por providencia de 6 de marzo de 2025 se señaló para deliberación y votación de la presente sentencia el día 10 del mismo mes y año.</w:t>
      </w:r>
    </w:p>
    <w:p w14:paraId="6DB58D41" w14:textId="77777777" w:rsidR="00A8138F" w:rsidRDefault="00A8138F" w:rsidP="00A8138F">
      <w:pPr>
        <w:pStyle w:val="TextoNormal"/>
      </w:pPr>
    </w:p>
    <w:p w14:paraId="6226E4D8" w14:textId="77777777" w:rsidR="00A8138F" w:rsidRDefault="00A8138F" w:rsidP="00A8138F">
      <w:pPr>
        <w:pStyle w:val="TextoNormalNegritaCentrado"/>
        <w:keepNext/>
      </w:pPr>
      <w:r>
        <w:t>II. Fundamentos jurídicos</w:t>
      </w:r>
    </w:p>
    <w:p w14:paraId="326C3E50" w14:textId="7D9F44FF" w:rsidR="00A8138F" w:rsidRDefault="00A8138F" w:rsidP="00A8138F">
      <w:pPr>
        <w:pStyle w:val="TextoNormalNegritaCentrado"/>
        <w:keepNext/>
      </w:pPr>
    </w:p>
    <w:p w14:paraId="080BDDCC" w14:textId="77777777" w:rsidR="00A8138F" w:rsidRDefault="00A8138F" w:rsidP="00A8138F">
      <w:pPr>
        <w:pStyle w:val="TextoNormal"/>
      </w:pPr>
      <w:r w:rsidRPr="00A8138F">
        <w:rPr>
          <w:rStyle w:val="NumeroAFNegritaCaracter"/>
        </w:rPr>
        <w:t>1</w:t>
      </w:r>
      <w:r>
        <w:t xml:space="preserve">. </w:t>
      </w:r>
      <w:r w:rsidRPr="00A8138F">
        <w:rPr>
          <w:i/>
        </w:rPr>
        <w:t>Objeto del recurso de amparo y pretensiones de las partes</w:t>
      </w:r>
    </w:p>
    <w:p w14:paraId="5A767A7A" w14:textId="77777777" w:rsidR="00A8138F" w:rsidRDefault="00A8138F" w:rsidP="00A8138F">
      <w:pPr>
        <w:pStyle w:val="TextoNormal"/>
      </w:pPr>
    </w:p>
    <w:p w14:paraId="4690E7CA" w14:textId="77777777" w:rsidR="00A8138F" w:rsidRDefault="00A8138F" w:rsidP="00A8138F">
      <w:pPr>
        <w:pStyle w:val="TextoNormal"/>
      </w:pPr>
      <w:r>
        <w:t xml:space="preserve">a) La demanda de amparo reprocha a los autos 20/2023, de 10 de abril, y 139/2023, de 2 de junio, dictados por el Juzgado de los Social núm. 3 de Madrid, haber vulnerado su derecho a la tutela judicial efectiva (art. 24.1 CE), en su vertiente del derecho de acceso a la jurisdicción, por haber archivado la demanda de despido con una interpretación errónea y desproporcionada y contraria al principio </w:t>
      </w:r>
      <w:r w:rsidRPr="00A8138F">
        <w:rPr>
          <w:i/>
        </w:rPr>
        <w:t>pro actione</w:t>
      </w:r>
      <w:r>
        <w:t>.</w:t>
      </w:r>
    </w:p>
    <w:p w14:paraId="1973B7DC" w14:textId="77777777" w:rsidR="00A8138F" w:rsidRDefault="00A8138F" w:rsidP="00A8138F">
      <w:pPr>
        <w:pStyle w:val="TextoNormal"/>
      </w:pPr>
    </w:p>
    <w:p w14:paraId="4D18CB34" w14:textId="77777777" w:rsidR="00A8138F" w:rsidRDefault="00A8138F" w:rsidP="00A8138F">
      <w:pPr>
        <w:pStyle w:val="TextoNormal"/>
      </w:pPr>
      <w:r>
        <w:lastRenderedPageBreak/>
        <w:t>En el suplico, el recurrente insta de este tribunal que se declare la vulneración del derecho a la tutela judicial efectiva sin indefensión (art. 24.1 CE) anulando dichos autos y que se retrotraigan las actuaciones al momento inmediatamente anterior al dictado del auto 20/2023, de 10 de abril.</w:t>
      </w:r>
    </w:p>
    <w:p w14:paraId="5095893B" w14:textId="77777777" w:rsidR="00A8138F" w:rsidRDefault="00A8138F" w:rsidP="00A8138F">
      <w:pPr>
        <w:pStyle w:val="TextoNormal"/>
      </w:pPr>
    </w:p>
    <w:p w14:paraId="0C78D0DB" w14:textId="77777777" w:rsidR="00A8138F" w:rsidRDefault="00A8138F" w:rsidP="00A8138F">
      <w:pPr>
        <w:pStyle w:val="TextoNormal"/>
      </w:pPr>
      <w:r>
        <w:t>b) El fiscal, en las alegaciones presentadas, interesa la estimación del recurso de amparo por considerar que se ha vulnerado el derecho de acceso a la jurisdicción por ser la interpretación del precepto excesivamente formalista.</w:t>
      </w:r>
    </w:p>
    <w:p w14:paraId="69592516" w14:textId="77777777" w:rsidR="00A8138F" w:rsidRDefault="00A8138F" w:rsidP="00A8138F">
      <w:pPr>
        <w:pStyle w:val="TextoNormal"/>
      </w:pPr>
    </w:p>
    <w:p w14:paraId="49FF8BE8" w14:textId="2289B09B" w:rsidR="00A8138F" w:rsidRDefault="00A8138F" w:rsidP="00A8138F">
      <w:pPr>
        <w:pStyle w:val="TextoNormal"/>
      </w:pPr>
      <w:r>
        <w:t>c) Fijados así los términos del debate pasamos, pues, a examinar el fondo del asunto, que se ciñe a resolver si la decisión de archivo de las actuaciones acordada por el Juzgado de lo Social, en el proceso por despido promovido por el recurrente ha vulnerado el derecho a la tutela judicial efectiva, en su manifestación del derecho de acceso a la jurisdicción (art. 24.1 CE). Con carácter previo es necesario recordar, ante todo, nuestra doctrina aplicable al caso.</w:t>
      </w:r>
    </w:p>
    <w:p w14:paraId="626E2E4F" w14:textId="77777777" w:rsidR="00A8138F" w:rsidRDefault="00A8138F" w:rsidP="00A8138F">
      <w:pPr>
        <w:pStyle w:val="TextoNormal"/>
      </w:pPr>
    </w:p>
    <w:p w14:paraId="1975E3DB" w14:textId="77777777" w:rsidR="00A8138F" w:rsidRDefault="00A8138F" w:rsidP="00A8138F">
      <w:pPr>
        <w:pStyle w:val="TextoNormal"/>
      </w:pPr>
      <w:r w:rsidRPr="00A8138F">
        <w:rPr>
          <w:rStyle w:val="NumeroAFNegritaCaracter"/>
        </w:rPr>
        <w:t>2</w:t>
      </w:r>
      <w:r>
        <w:t xml:space="preserve">. </w:t>
      </w:r>
      <w:r w:rsidRPr="00A8138F">
        <w:rPr>
          <w:i/>
        </w:rPr>
        <w:t>El derecho de acceso a la jurisdicción</w:t>
      </w:r>
    </w:p>
    <w:p w14:paraId="223ED721" w14:textId="77777777" w:rsidR="00A8138F" w:rsidRDefault="00A8138F" w:rsidP="00A8138F">
      <w:pPr>
        <w:pStyle w:val="TextoNormal"/>
      </w:pPr>
    </w:p>
    <w:p w14:paraId="38450D3E" w14:textId="77777777" w:rsidR="00A8138F" w:rsidRDefault="00A8138F" w:rsidP="00A8138F">
      <w:pPr>
        <w:pStyle w:val="TextoNormal"/>
      </w:pPr>
      <w:r>
        <w:t>De acuerdo con una constante y reiterada doctrina sentada a partir de la STC 19/1981, de 8 de junio, y sintetizada más recientemente, entre otras muchas, en las SSTC 83/2016, de 28 de abril, FJ 5, y 172/2023, de 11 de diciembre, FJ 3, “el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14:paraId="165C9553" w14:textId="77777777" w:rsidR="00A8138F" w:rsidRDefault="00A8138F" w:rsidP="00A8138F">
      <w:pPr>
        <w:pStyle w:val="TextoNormal"/>
      </w:pPr>
    </w:p>
    <w:p w14:paraId="56EF0CE5" w14:textId="77777777" w:rsidR="00A8138F" w:rsidRDefault="00A8138F" w:rsidP="00A8138F">
      <w:pPr>
        <w:pStyle w:val="TextoNormal"/>
      </w:pPr>
      <w:r>
        <w:t xml:space="preserve">No obstante, al tratarse en este caso del derecho de acceso a la jurisdicción y operar, en consecuencia, en toda su intensidad el principio </w:t>
      </w:r>
      <w:r w:rsidRPr="00A8138F">
        <w:rPr>
          <w:i/>
        </w:rPr>
        <w:t>pro actione</w:t>
      </w:r>
      <w:r>
        <w:t xml:space="preserv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w:t>
      </w:r>
      <w:r>
        <w:lastRenderedPageBreak/>
        <w:t xml:space="preserve">de la potestad jurisdiccional que les atribuye el art. 117.3 CE, hemos señalado también que el control constitucional de las decisiones de inadmisión ha de verificarse de forma especialmente intensa, dada la vigencia en estos casos del principio </w:t>
      </w:r>
      <w:r w:rsidRPr="00A8138F">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14:paraId="2DBD2877" w14:textId="77777777" w:rsidR="00A8138F" w:rsidRDefault="00A8138F" w:rsidP="00A8138F">
      <w:pPr>
        <w:pStyle w:val="TextoNormal"/>
      </w:pPr>
    </w:p>
    <w:p w14:paraId="7677B3C3" w14:textId="77777777" w:rsidR="00A8138F" w:rsidRDefault="00A8138F" w:rsidP="00A8138F">
      <w:pPr>
        <w:pStyle w:val="TextoNormal"/>
      </w:pPr>
      <w:r>
        <w:t xml:space="preserve">Todas estas afirmaciones resultan acordes con el mayor alcance que el Tribunal otorga al principio </w:t>
      </w:r>
      <w:r w:rsidRPr="00A8138F">
        <w:rPr>
          <w:i/>
        </w:rPr>
        <w:t>pro actione</w:t>
      </w:r>
      <w:r>
        <w:t xml:space="preserv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 (STC 172/2023, </w:t>
      </w:r>
      <w:r w:rsidRPr="00A8138F">
        <w:rPr>
          <w:i/>
        </w:rPr>
        <w:t>loc. cit</w:t>
      </w:r>
      <w:r>
        <w:t>.).</w:t>
      </w:r>
    </w:p>
    <w:p w14:paraId="2B827466" w14:textId="77777777" w:rsidR="00A8138F" w:rsidRDefault="00A8138F" w:rsidP="00A8138F">
      <w:pPr>
        <w:pStyle w:val="TextoNormal"/>
      </w:pPr>
    </w:p>
    <w:p w14:paraId="12C52A5F" w14:textId="74EB3F9A" w:rsidR="00A8138F" w:rsidRDefault="00A8138F" w:rsidP="00A8138F">
      <w:pPr>
        <w:pStyle w:val="TextoNormal"/>
      </w:pPr>
      <w:r>
        <w:t>Finalmente, hemos mantenido también de forma reiterada que “los requisitos formales no son valores autónomos que tengan sustantividad propia, sino que solo sirven en la medida en que son instrumentos para conseguir una finalidad legítima, por lo que su incumplimiento no presenta siempre igual valor obstativo, con independencia de la trascendencia práctica del mismo; antes al contrario, los requisitos formales han de examinarse teniendo en cuenta la finalidad que con ellos pretende lograrse, para, de existir defectos, proceder a una justa adecuación de las consecuencias jurídicas por la entidad real del defecto mismo, pues debe existir proporcionalidad entre este y aquellas” (por todas, SSTC 130/1998, de 16 de junio, FJ 4, y 185/2006, de 19 de junio, FJ 6).</w:t>
      </w:r>
    </w:p>
    <w:p w14:paraId="49720BC3" w14:textId="77777777" w:rsidR="00A8138F" w:rsidRDefault="00A8138F" w:rsidP="00A8138F">
      <w:pPr>
        <w:pStyle w:val="TextoNormal"/>
      </w:pPr>
    </w:p>
    <w:p w14:paraId="7AB073C6" w14:textId="77777777" w:rsidR="00A8138F" w:rsidRDefault="00A8138F" w:rsidP="00A8138F">
      <w:pPr>
        <w:pStyle w:val="TextoNormal"/>
      </w:pPr>
      <w:r w:rsidRPr="00A8138F">
        <w:rPr>
          <w:rStyle w:val="NumeroAFNegritaCaracter"/>
        </w:rPr>
        <w:t>3</w:t>
      </w:r>
      <w:r>
        <w:t xml:space="preserve">. </w:t>
      </w:r>
      <w:r w:rsidRPr="00A8138F">
        <w:rPr>
          <w:i/>
        </w:rPr>
        <w:t>Aplicación al presente supuesto de hecho</w:t>
      </w:r>
    </w:p>
    <w:p w14:paraId="356932A7" w14:textId="77777777" w:rsidR="00A8138F" w:rsidRDefault="00A8138F" w:rsidP="00A8138F">
      <w:pPr>
        <w:pStyle w:val="TextoNormal"/>
      </w:pPr>
    </w:p>
    <w:p w14:paraId="463D333B" w14:textId="77777777" w:rsidR="00A8138F" w:rsidRDefault="00A8138F" w:rsidP="00A8138F">
      <w:pPr>
        <w:pStyle w:val="TextoNormal"/>
      </w:pPr>
      <w:r>
        <w:t xml:space="preserve">La aplicación de la doctrina expuesta en el fundamento jurídico anterior al supuesto aquí planteado debe llevar a la estimación del recurso de amparo, pues la interpretación que hace el Juzgado de lo Social de la causa legal en la que fundamenta el archivo de la demanda y su aplicación al caso concreto, resulta excesivamente formalista y desproporcionada, a la luz del principio </w:t>
      </w:r>
      <w:r w:rsidRPr="00A8138F">
        <w:rPr>
          <w:i/>
        </w:rPr>
        <w:t>pro actione</w:t>
      </w:r>
      <w:r>
        <w:t>.</w:t>
      </w:r>
    </w:p>
    <w:p w14:paraId="0BE7279F" w14:textId="77777777" w:rsidR="00A8138F" w:rsidRDefault="00A8138F" w:rsidP="00A8138F">
      <w:pPr>
        <w:pStyle w:val="TextoNormal"/>
      </w:pPr>
    </w:p>
    <w:p w14:paraId="0BCA4656" w14:textId="77777777" w:rsidR="00A8138F" w:rsidRDefault="00A8138F" w:rsidP="00A8138F">
      <w:pPr>
        <w:pStyle w:val="TextoNormal"/>
      </w:pPr>
      <w:r>
        <w:t>a) En primer lugar, respecto a la causa legal aplicada, como pone de manifiesto acertadamente el Ministerio Fiscal, el apartado b) del art. 104 LJS, en el que se fundamenta el archivo de la demanda, no configura de forma estricta la aportación de la carta de despido en el procedimiento de despido como un requisito de admisibilidad procesal en todos los casos. Así, este precepto legal configura los requisitos de las demandas por despido, haciendo mención de su contenido, e impone que “deberán contener” los extremos que se relacionan, y, en particular, en su apartado b) prevé que deben contener la “[f]echa de efectividad del despido, forma en que se produjo y hechos alegados por el empresario, acompañando la comunicación recibida, en su caso, o haciendo mención suficiente de su contenido”.</w:t>
      </w:r>
    </w:p>
    <w:p w14:paraId="149AF176" w14:textId="77777777" w:rsidR="00A8138F" w:rsidRDefault="00A8138F" w:rsidP="00A8138F">
      <w:pPr>
        <w:pStyle w:val="TextoNormal"/>
      </w:pPr>
    </w:p>
    <w:p w14:paraId="2E0F6118" w14:textId="77777777" w:rsidR="00A8138F" w:rsidRDefault="00A8138F" w:rsidP="00A8138F">
      <w:pPr>
        <w:pStyle w:val="TextoNormal"/>
      </w:pPr>
      <w:r>
        <w:lastRenderedPageBreak/>
        <w:t>El precepto impone relacionar cuáles han sido los hechos alegados por el empresario para justificar el despido, y para ello dispone que se hará “acompañando la comunicación recibida, en su caso, o haciendo mención suficiente de su contenido”; es decir, si no acompaña la comunicación recibida, esto es, la carta de despido, la ley permite que se supla “haciendo mención suficiente de su contenido”.</w:t>
      </w:r>
    </w:p>
    <w:p w14:paraId="44505747" w14:textId="77777777" w:rsidR="00A8138F" w:rsidRDefault="00A8138F" w:rsidP="00A8138F">
      <w:pPr>
        <w:pStyle w:val="TextoNormal"/>
      </w:pPr>
    </w:p>
    <w:p w14:paraId="4713E229" w14:textId="77777777" w:rsidR="00A8138F" w:rsidRDefault="00A8138F" w:rsidP="00A8138F">
      <w:pPr>
        <w:pStyle w:val="TextoNormal"/>
      </w:pPr>
      <w:r>
        <w:t>Por lo tanto, una interpretación como la sostenida por las resoluciones recurridas en amparo supone convertir en un requisito esencial la aportación de la carta de despido en todo caso, aun cuando se haga mención de su contenido en la demanda, interpretación que a la luz del apartado b) del art. 104 LJS no puede reputarse razonable.</w:t>
      </w:r>
    </w:p>
    <w:p w14:paraId="5D1457A6" w14:textId="77777777" w:rsidR="00A8138F" w:rsidRDefault="00A8138F" w:rsidP="00A8138F">
      <w:pPr>
        <w:pStyle w:val="TextoNormal"/>
      </w:pPr>
    </w:p>
    <w:p w14:paraId="52161EA8" w14:textId="77777777" w:rsidR="00A8138F" w:rsidRDefault="00A8138F" w:rsidP="00A8138F">
      <w:pPr>
        <w:pStyle w:val="TextoNormal"/>
      </w:pPr>
      <w:r>
        <w:t xml:space="preserve">b) Por otro lado, es también preciso analizar la proporcionalidad de la aplicación de dicha causa legal al supuesto concreto, atendiendo no solo a los datos ofrecidos por la regulación legal, sino también a la entidad del defecto advertido, al comportamiento y a las posibilidades de subsanación de la parte demandante y a los perfiles del supuesto concreto. Desde esta segunda perspectiva, debemos también concluir que una interpretación conforme al principio </w:t>
      </w:r>
      <w:r w:rsidRPr="00A8138F">
        <w:rPr>
          <w:i/>
        </w:rPr>
        <w:t>pro actione</w:t>
      </w:r>
      <w:r>
        <w:t xml:space="preserve"> y favorable al derecho de defensa y a un juicio contradictorio no pueden llevar a inadmitir una demanda de despido que no acompaña la carta de despido, cuando en la misma se ha hecho mención suficiente a su contenido, y más aún en un supuesto como el que nos ocupa en el que el demandante ha explicado de forma diligente en distintos escritos procesales que ha presentado (escrito de 24 de marzo de 2023 y el propio escrito del recurso de reposición de 21 de abril de 2023) que dicha comunicación no obra en su poder porque la empresa no se la ha facilitado, habiendo pedido mediante otrosí en la demanda de despido que dicha carta se presente por el empresario.</w:t>
      </w:r>
    </w:p>
    <w:p w14:paraId="45D91F05" w14:textId="77777777" w:rsidR="00A8138F" w:rsidRDefault="00A8138F" w:rsidP="00A8138F">
      <w:pPr>
        <w:pStyle w:val="TextoNormal"/>
      </w:pPr>
    </w:p>
    <w:p w14:paraId="7E139273" w14:textId="77777777" w:rsidR="00A8138F" w:rsidRDefault="00A8138F" w:rsidP="00A8138F">
      <w:pPr>
        <w:pStyle w:val="TextoNormal"/>
      </w:pPr>
      <w:r>
        <w:t xml:space="preserve">Como explicamos en la STC 130/1998, FJ 5, los importantes derechos de fondo deducidos en una demanda laboral no pueden resultar ineficaces por el juego riguroso y formalista de la falta o defecto de los requisitos formales que pudiera imputársele a aquella, y, en consecuencia, el derecho a la tutela judicial efectiva obliga a elegir la interpretación y aplicación de la ley, en lo que atañe a estos requisitos formales de la demanda, de la forma que sea más conforme con el principio </w:t>
      </w:r>
      <w:r w:rsidRPr="00A8138F">
        <w:rPr>
          <w:i/>
        </w:rPr>
        <w:t>pro actione</w:t>
      </w:r>
      <w:r>
        <w:t>, “y que lleve a favorecer la continuación del proceso, siempre que el interesado actúe con diligencia y que no se lesionen bienes o derechos constitucionales, no se grave injustificadamente la posición de la parte contraria, ni se dañe la integridad objetiva del procedimiento” (en sentido similar, STC 21/1989, de 31 de enero, FJ 4).</w:t>
      </w:r>
    </w:p>
    <w:p w14:paraId="521CE8A7" w14:textId="77777777" w:rsidR="00A8138F" w:rsidRDefault="00A8138F" w:rsidP="00A8138F">
      <w:pPr>
        <w:pStyle w:val="TextoNormal"/>
      </w:pPr>
    </w:p>
    <w:p w14:paraId="6A09962D" w14:textId="77777777" w:rsidR="00A8138F" w:rsidRDefault="00A8138F" w:rsidP="00A8138F">
      <w:pPr>
        <w:pStyle w:val="TextoNormal"/>
      </w:pPr>
      <w:r>
        <w:t xml:space="preserve">Precisamente, en dicha sentencia examinamos el supuesto inverso al que nos ocupa, pues la recurrente había aportado la carta de despido pero no había hecho constar en la demanda de despido los hechos alegados por el empresario, y concluimos, atendiendo a la regulación entonces vigente que únicamente preveía que la demanda debía contener “los hechos alegados por el empresario” [art. 104 del texto refundido de la Ley de procedimiento laboral, aprobado por el Real Decreto Legislativo 2/1995, de 7 de abril (LPL)] que “[c]on independencia de que la omisión del relato de los hechos ocurridos según la trabajadora constituya o no un defecto de la demanda por despido, tal omisión en nada viciaría el debate de la </w:t>
      </w:r>
      <w:r w:rsidRPr="00A8138F">
        <w:rPr>
          <w:i/>
        </w:rPr>
        <w:t>litis</w:t>
      </w:r>
      <w:r>
        <w:t>. En el presente caso quedaba perfectamente delimitada a través de la carta de despido adjuntada con la demanda; además, no habría podido provocar la indefensión del empresario demandado, sobre el que recae en este procedimiento la carga de acreditar la veracidad de los hechos imputados al trabajador en la carta de despido (art. 105 LPL)” (FJ 7).</w:t>
      </w:r>
    </w:p>
    <w:p w14:paraId="1E5983D0" w14:textId="77777777" w:rsidR="00A8138F" w:rsidRDefault="00A8138F" w:rsidP="00A8138F">
      <w:pPr>
        <w:pStyle w:val="TextoNormal"/>
      </w:pPr>
    </w:p>
    <w:p w14:paraId="48DF1C3B" w14:textId="131060D7" w:rsidR="00A8138F" w:rsidRDefault="00A8138F" w:rsidP="00A8138F">
      <w:pPr>
        <w:pStyle w:val="TextoNormal"/>
      </w:pPr>
      <w:r>
        <w:t>c) En definitiva, entender como requisito esencial para la admisión a trámite de la demanda la aportación de la carta de despido y disponer por la sola omisión de esta el archivo de las actuaciones, sin tomar en consideración que el recurrente ha alegado diligentemente que carece de la misma y que ha hecho mención suficiente a su contenido en la demanda, no se acomoda a las exigencias que, en la interpretación de los requisitos procesales, se derivan del art. 24.1 CE. El órgano judicial interpretó la regla procesal en el sentido menos favorable al acceso a la justicia del demandante, y con un rigorismo formalista que no guarda proporción con la funcionalidad y trascendencia de los requisitos de la demanda en el procedimiento especial sobre despido. Se ha causado, por tales razones, una lesión del derecho a la tutela judicial efectiva.</w:t>
      </w:r>
    </w:p>
    <w:p w14:paraId="54B89D4D" w14:textId="77777777" w:rsidR="00A8138F" w:rsidRDefault="00A8138F" w:rsidP="00A8138F">
      <w:pPr>
        <w:pStyle w:val="TextoNormal"/>
      </w:pPr>
    </w:p>
    <w:p w14:paraId="68FE0284" w14:textId="77777777" w:rsidR="00A8138F" w:rsidRDefault="00A8138F" w:rsidP="00A8138F">
      <w:pPr>
        <w:pStyle w:val="TextoNormal"/>
      </w:pPr>
      <w:r w:rsidRPr="00A8138F">
        <w:rPr>
          <w:rStyle w:val="NumeroAFNegritaCaracter"/>
        </w:rPr>
        <w:t>4</w:t>
      </w:r>
      <w:r>
        <w:t xml:space="preserve">. </w:t>
      </w:r>
      <w:r w:rsidRPr="00A8138F">
        <w:rPr>
          <w:i/>
        </w:rPr>
        <w:t>Efectos de la estimación del recurso</w:t>
      </w:r>
    </w:p>
    <w:p w14:paraId="48AC092B" w14:textId="77777777" w:rsidR="00A8138F" w:rsidRDefault="00A8138F" w:rsidP="00A8138F">
      <w:pPr>
        <w:pStyle w:val="TextoNormal"/>
      </w:pPr>
    </w:p>
    <w:p w14:paraId="79D33816" w14:textId="77777777" w:rsidR="00A8138F" w:rsidRDefault="00A8138F" w:rsidP="00A8138F">
      <w:pPr>
        <w:pStyle w:val="TextoNormal"/>
      </w:pPr>
      <w:r>
        <w:t>Como efectos derivados de la estimación de la queja de la demanda y con ella la del recurso interpuesto, procede, en primer lugar, declarar vulnerado el derecho a la tutela judicial efectiva del recurrente. En segundo término, acordar la nulidad del auto 139/2023, de 2 de junio, dictado por el Juzgado de lo Social núm. 3 de Madrid, así como del auto 20/2023, de 10 de abril, dictado también por el Juzgado de lo Social núm. 3 de Madrid.</w:t>
      </w:r>
    </w:p>
    <w:p w14:paraId="36CAEE20" w14:textId="77777777" w:rsidR="00A8138F" w:rsidRDefault="00A8138F" w:rsidP="00A8138F">
      <w:pPr>
        <w:pStyle w:val="TextoNormal"/>
      </w:pPr>
    </w:p>
    <w:p w14:paraId="0431C946" w14:textId="14C25FDC" w:rsidR="00A8138F" w:rsidRDefault="00A8138F" w:rsidP="00A8138F">
      <w:pPr>
        <w:pStyle w:val="TextoNormal"/>
      </w:pPr>
      <w:r>
        <w:t>Por último y a fin de reparar su derecho fundamental se ordena la retroacción de las actuaciones al momento inmediatamente anterior al del dictado del auto 20/2023, de 10 de abril, para que el Juzgado de lo Social núm. 3 de Madrid resuelva en los términos que se explicitan en el anterior fundamento jurídico.</w:t>
      </w:r>
    </w:p>
    <w:p w14:paraId="71673E9E" w14:textId="77777777" w:rsidR="00A8138F" w:rsidRDefault="00A8138F" w:rsidP="00A8138F">
      <w:pPr>
        <w:pStyle w:val="TextoNormal"/>
      </w:pPr>
    </w:p>
    <w:p w14:paraId="51CD72C8" w14:textId="77777777" w:rsidR="00A8138F" w:rsidRDefault="00A8138F" w:rsidP="00A8138F">
      <w:pPr>
        <w:pStyle w:val="TextoNormalCentrado"/>
        <w:keepNext/>
      </w:pPr>
      <w:r>
        <w:t>FALLO</w:t>
      </w:r>
    </w:p>
    <w:p w14:paraId="6DB56FCB" w14:textId="648EB548" w:rsidR="00A8138F" w:rsidRDefault="00A8138F" w:rsidP="00A8138F">
      <w:pPr>
        <w:pStyle w:val="TextoNormalCentrado"/>
        <w:keepNext/>
      </w:pPr>
    </w:p>
    <w:p w14:paraId="2E591171"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Gustavo García-Cesto Romero y, en consecuencia:</w:t>
      </w:r>
    </w:p>
    <w:p w14:paraId="3126EBCD" w14:textId="77777777" w:rsidR="00A8138F" w:rsidRDefault="00A8138F" w:rsidP="00A8138F">
      <w:pPr>
        <w:pStyle w:val="TextoNormal"/>
      </w:pPr>
    </w:p>
    <w:p w14:paraId="47FC9BBD" w14:textId="77777777" w:rsidR="00A8138F" w:rsidRDefault="00A8138F" w:rsidP="00A8138F">
      <w:pPr>
        <w:pStyle w:val="TextoNormal"/>
      </w:pPr>
      <w:r>
        <w:t>1º Declarar que ha sido vulnerado el derecho fundamental del demandante de amparo a la tutela judicial efectiva sin indefensión (art. 24.1 CE).</w:t>
      </w:r>
    </w:p>
    <w:p w14:paraId="3DF19437" w14:textId="77777777" w:rsidR="00A8138F" w:rsidRDefault="00A8138F" w:rsidP="00A8138F">
      <w:pPr>
        <w:pStyle w:val="TextoNormal"/>
      </w:pPr>
    </w:p>
    <w:p w14:paraId="2C07D2E2" w14:textId="77777777" w:rsidR="00A8138F" w:rsidRDefault="00A8138F" w:rsidP="00A8138F">
      <w:pPr>
        <w:pStyle w:val="TextoNormal"/>
      </w:pPr>
      <w:r>
        <w:t>2º Restablecerle en su derecho y, a tal fin, declarar la nulidad del auto núm. 20/2023, de 10 de abril, así como del auto núm. 139/2023, de 2 de junio, dictados por el Juzgado de lo Social núm. 3 de Madrid.</w:t>
      </w:r>
    </w:p>
    <w:p w14:paraId="6F2E1B7B" w14:textId="77777777" w:rsidR="00A8138F" w:rsidRDefault="00A8138F" w:rsidP="00A8138F">
      <w:pPr>
        <w:pStyle w:val="TextoNormal"/>
      </w:pPr>
    </w:p>
    <w:p w14:paraId="57A127C7" w14:textId="18219575" w:rsidR="00A8138F" w:rsidRDefault="00A8138F" w:rsidP="00A8138F">
      <w:pPr>
        <w:pStyle w:val="TextoNormal"/>
      </w:pPr>
      <w:r>
        <w:t>3º Retrotraer las actuaciones al momento inmediatamente anterior al dictado de la primera de esas resoluciones para que el órgano judicial dicte una nueva resolución que sea respetuosa con el derecho fundamental vulnerado.</w:t>
      </w:r>
    </w:p>
    <w:p w14:paraId="5E06500C" w14:textId="77777777" w:rsidR="00A8138F" w:rsidRDefault="00A8138F" w:rsidP="00A8138F">
      <w:pPr>
        <w:pStyle w:val="TextoNormal"/>
      </w:pPr>
    </w:p>
    <w:p w14:paraId="558FDF68" w14:textId="77777777" w:rsidR="00A8138F" w:rsidRDefault="00A8138F" w:rsidP="00A8138F">
      <w:pPr>
        <w:pStyle w:val="TextoNormal"/>
      </w:pPr>
      <w:r>
        <w:t>Publíquese esta sentencia en el “Boletín Oficial del Estado”.</w:t>
      </w:r>
    </w:p>
    <w:p w14:paraId="7588D88A" w14:textId="77777777" w:rsidR="00A8138F" w:rsidRDefault="00A8138F" w:rsidP="00A8138F">
      <w:pPr>
        <w:pStyle w:val="TextoNormal"/>
      </w:pPr>
      <w:r>
        <w:t>Dada en Madrid, a diez de marzo de dos mil veinticinco.</w:t>
      </w:r>
    </w:p>
    <w:p w14:paraId="6DEE24BE" w14:textId="6404838F" w:rsidR="00A8138F" w:rsidRDefault="00A8138F">
      <w:pPr>
        <w:spacing w:after="160" w:line="278" w:lineRule="auto"/>
        <w:rPr>
          <w:rFonts w:ascii="Times New Roman" w:eastAsia="Times New Roman" w:hAnsi="Times New Roman" w:cs="Times New Roman"/>
          <w:sz w:val="24"/>
          <w:szCs w:val="24"/>
          <w:lang w:eastAsia="es-ES"/>
        </w:rPr>
      </w:pPr>
      <w:r>
        <w:br w:type="page"/>
      </w:r>
    </w:p>
    <w:p w14:paraId="2A7FB75C" w14:textId="77777777" w:rsidR="00A8138F" w:rsidRDefault="00A8138F" w:rsidP="00A8138F">
      <w:pPr>
        <w:pStyle w:val="TtuloResolucin"/>
      </w:pPr>
      <w:bookmarkStart w:id="58" w:name="SENTENCIA_2025_56"/>
      <w:r>
        <w:lastRenderedPageBreak/>
        <w:t>SENTENCIA 56/2025, de 10 de marzo de 2025</w:t>
      </w:r>
    </w:p>
    <w:bookmarkEnd w:id="58"/>
    <w:p w14:paraId="002811E6" w14:textId="77777777" w:rsidR="00A8138F" w:rsidRDefault="00A8138F" w:rsidP="00A8138F">
      <w:pPr>
        <w:pStyle w:val="TtuloResolucin"/>
      </w:pPr>
      <w:r>
        <w:t>Sala Segunda</w:t>
      </w:r>
    </w:p>
    <w:p w14:paraId="101E953C" w14:textId="77777777" w:rsidR="00A8138F" w:rsidRDefault="00A8138F" w:rsidP="00A8138F">
      <w:pPr>
        <w:pStyle w:val="TtuloBOE"/>
      </w:pPr>
      <w:r>
        <w:t>(BOE núm. 88, de 11 de abril de 2025)</w:t>
      </w:r>
    </w:p>
    <w:p w14:paraId="301223E6" w14:textId="77777777" w:rsidR="00A8138F" w:rsidRDefault="00A8138F" w:rsidP="00A8138F">
      <w:pPr>
        <w:pStyle w:val="TextoNormalCentrado"/>
      </w:pPr>
      <w:r>
        <w:t>ECLI:ES:TC:2025:56</w:t>
      </w:r>
    </w:p>
    <w:p w14:paraId="104B643A" w14:textId="3750C13D" w:rsidR="00A8138F" w:rsidRDefault="00A8138F" w:rsidP="00A8138F">
      <w:pPr>
        <w:pStyle w:val="TextoNormalCentrado"/>
      </w:pPr>
    </w:p>
    <w:p w14:paraId="7211CACD" w14:textId="77777777" w:rsidR="00A8138F" w:rsidRDefault="00A8138F" w:rsidP="00A8138F">
      <w:pPr>
        <w:pStyle w:val="SntesisDescriptiva"/>
      </w:pPr>
      <w:r>
        <w:t>Recurso de amparo 300-2024. Promovido por doña Nuria Pinillos Merinero en relación con las resoluciones administrativas y judiciales que desestimaron su petición de revisión y ampliación de la prestación por nacimiento y cuidado de hijo menor, como madre biológica de familia monoparental.</w:t>
      </w:r>
    </w:p>
    <w:p w14:paraId="7BE854D0" w14:textId="04815E78" w:rsidR="00A8138F" w:rsidRDefault="00A8138F" w:rsidP="00A8138F">
      <w:pPr>
        <w:pStyle w:val="SntesisDescriptiva"/>
      </w:pPr>
    </w:p>
    <w:p w14:paraId="3E29EE53"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B10A8BC" w14:textId="7F8F7935" w:rsidR="00A8138F" w:rsidRDefault="00A8138F" w:rsidP="00A8138F">
      <w:pPr>
        <w:pStyle w:val="SntesisAnaltica"/>
      </w:pPr>
    </w:p>
    <w:p w14:paraId="755ADCF5" w14:textId="39DBAC7F"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26EFCCD" w14:textId="77777777" w:rsidR="00A8138F" w:rsidRDefault="00A8138F" w:rsidP="00A8138F">
      <w:pPr>
        <w:pStyle w:val="Extracto"/>
      </w:pPr>
    </w:p>
    <w:p w14:paraId="6DA381EC" w14:textId="77777777" w:rsidR="00A8138F" w:rsidRDefault="00A8138F" w:rsidP="00A8138F">
      <w:pPr>
        <w:pStyle w:val="Extracto"/>
      </w:pPr>
    </w:p>
    <w:p w14:paraId="096BBE83"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3DD5E8E" w14:textId="51A38680" w:rsidR="00A8138F" w:rsidRDefault="00A8138F" w:rsidP="00A8138F">
      <w:pPr>
        <w:pStyle w:val="TextoNormal"/>
      </w:pPr>
    </w:p>
    <w:p w14:paraId="00D0A158" w14:textId="77777777" w:rsidR="00A8138F" w:rsidRDefault="00A8138F" w:rsidP="00A8138F">
      <w:pPr>
        <w:pStyle w:val="TextoNormalCentrado"/>
        <w:keepNext/>
      </w:pPr>
      <w:r>
        <w:t>EN NOMBRE DEL REY</w:t>
      </w:r>
    </w:p>
    <w:p w14:paraId="187CE006" w14:textId="09AB044D" w:rsidR="00A8138F" w:rsidRDefault="00A8138F" w:rsidP="00A8138F">
      <w:pPr>
        <w:pStyle w:val="TextoNormalCentrado"/>
        <w:keepNext/>
      </w:pPr>
    </w:p>
    <w:p w14:paraId="135BD8AE" w14:textId="77777777" w:rsidR="00A8138F" w:rsidRDefault="00A8138F" w:rsidP="00A8138F">
      <w:pPr>
        <w:pStyle w:val="TextoNormalCentrado"/>
        <w:keepNext/>
      </w:pPr>
    </w:p>
    <w:p w14:paraId="741763E6" w14:textId="77777777" w:rsidR="00A8138F" w:rsidRDefault="00A8138F" w:rsidP="00A8138F">
      <w:pPr>
        <w:pStyle w:val="TextoNormal"/>
      </w:pPr>
      <w:r>
        <w:t>la siguiente</w:t>
      </w:r>
    </w:p>
    <w:p w14:paraId="3F4F5A4B" w14:textId="6247B5D4" w:rsidR="00A8138F" w:rsidRDefault="00A8138F" w:rsidP="00A8138F">
      <w:pPr>
        <w:pStyle w:val="TextoNormal"/>
      </w:pPr>
    </w:p>
    <w:p w14:paraId="4724DCF9" w14:textId="77777777" w:rsidR="00A8138F" w:rsidRDefault="00A8138F" w:rsidP="00A8138F">
      <w:pPr>
        <w:pStyle w:val="TextoNormalCentrado"/>
        <w:keepNext/>
      </w:pPr>
      <w:r>
        <w:t>SENTENCIA</w:t>
      </w:r>
    </w:p>
    <w:p w14:paraId="25C81B6B" w14:textId="08D0A3B4" w:rsidR="00A8138F" w:rsidRDefault="00A8138F" w:rsidP="00A8138F">
      <w:pPr>
        <w:pStyle w:val="TextoNormalCentrado"/>
        <w:keepNext/>
      </w:pPr>
    </w:p>
    <w:p w14:paraId="4814CBBB" w14:textId="77777777" w:rsidR="00A8138F" w:rsidRDefault="00A8138F" w:rsidP="00A8138F">
      <w:pPr>
        <w:pStyle w:val="TextoNormal"/>
      </w:pPr>
      <w:r>
        <w:t>En el recurso de amparo núm. 300-2024, promovido por doña Nuria Pinillos Merinero, representada por la procuradora de los tribunales doña Alicia Suau Casado y asistida por la letrada doña Aida Casanova Pérez, contra las resoluciones administrativas presuntas del Instituto Nacional de la Seguridad Social (INSS) denegatorias de la solicitud de ampliación de la prestación por nacimiento y cuidado de hijo menor a la madre biológica de familia monoparental, confirmadas por la sentencia núm. 218/2023, de 2 de marzo, de la Sala de lo Social del Tribunal Superior de Justicia de Madrid (recurso de suplicación núm. 1248-2022), que revocó la sentencia núm. 250/2022, de 18 de julio, del Juzgado de lo Social núm. 10 de Madrid (autos sobre Seguridad Social núm.1247-2021) y frente al auto de la Sala de lo Social del Tribunal Supremo, de 15 de noviembre de 2023 (recurso de casación para la unificación de doctrina núm. 2017-2023) que declaró su firmeza. Han intervenido el letrado de la administración de la Seguridad Social y el Ministerio Fiscal. Ha sido ponente la magistrada doña María Luisa Balaguer Callejón.</w:t>
      </w:r>
    </w:p>
    <w:p w14:paraId="661622DC" w14:textId="661B8045" w:rsidR="00A8138F" w:rsidRDefault="00A8138F" w:rsidP="00A8138F">
      <w:pPr>
        <w:pStyle w:val="TextoNormal"/>
      </w:pPr>
    </w:p>
    <w:p w14:paraId="49AE59FA" w14:textId="77777777" w:rsidR="00A8138F" w:rsidRDefault="00A8138F" w:rsidP="00A8138F">
      <w:pPr>
        <w:pStyle w:val="TextoNormalNegritaCentrado"/>
        <w:keepNext/>
      </w:pPr>
      <w:r>
        <w:t>I. Antecedentes</w:t>
      </w:r>
    </w:p>
    <w:p w14:paraId="6253425A" w14:textId="2F256C09" w:rsidR="00A8138F" w:rsidRDefault="00A8138F" w:rsidP="00A8138F">
      <w:pPr>
        <w:pStyle w:val="TextoNormalNegritaCentrado"/>
        <w:keepNext/>
      </w:pPr>
    </w:p>
    <w:p w14:paraId="3AC40AA7" w14:textId="695FCA34" w:rsidR="00A8138F" w:rsidRDefault="00A8138F" w:rsidP="00A8138F">
      <w:pPr>
        <w:pStyle w:val="TextoNormal"/>
      </w:pPr>
      <w:r w:rsidRPr="00A8138F">
        <w:rPr>
          <w:rStyle w:val="NumeroAFNegritaCaracter"/>
        </w:rPr>
        <w:t>1</w:t>
      </w:r>
      <w:r>
        <w:t>. Mediante escrito presentado en el registro general de este tribunal el día 17 de enero de 2024, la procuradora de los tribunales doña Alicia Suau Casado, actuando en nombre y representación de doña Nuria Pinillos Merinero, con la asistencia letrada de doña Aida Casanova Pérez, interpuso recurso de amparo frente a las resoluciones administrativas y judiciales que las confirmaron, y que han sido señaladas anteriormente en el encabezamiento de esta sentencia.</w:t>
      </w:r>
    </w:p>
    <w:p w14:paraId="2E26D0C9" w14:textId="77777777" w:rsidR="00A8138F" w:rsidRDefault="00A8138F" w:rsidP="00A8138F">
      <w:pPr>
        <w:pStyle w:val="TextoNormal"/>
      </w:pPr>
    </w:p>
    <w:p w14:paraId="23569811" w14:textId="77777777" w:rsidR="00A8138F" w:rsidRDefault="00A8138F" w:rsidP="00A8138F">
      <w:pPr>
        <w:pStyle w:val="TextoNormal"/>
      </w:pPr>
      <w:r w:rsidRPr="00A8138F">
        <w:rPr>
          <w:rStyle w:val="NumeroAFNegritaCaracter"/>
        </w:rPr>
        <w:t>2</w:t>
      </w:r>
      <w:r>
        <w:t>. El presente recurso de amparo trae causa de los siguientes antecedentes:</w:t>
      </w:r>
    </w:p>
    <w:p w14:paraId="4881305D" w14:textId="77777777" w:rsidR="00A8138F" w:rsidRDefault="00A8138F" w:rsidP="00A8138F">
      <w:pPr>
        <w:pStyle w:val="TextoNormal"/>
      </w:pPr>
    </w:p>
    <w:p w14:paraId="0FDF6176" w14:textId="77777777" w:rsidR="00A8138F" w:rsidRDefault="00A8138F" w:rsidP="00A8138F">
      <w:pPr>
        <w:pStyle w:val="TextoNormal"/>
      </w:pPr>
      <w:r>
        <w:t>a) La recurrente en amparo, madre biológica de un menor nacido el 26 de abril de 2021, con el que forma una familia monoparental, solicitó prestación por nacimiento y cuidado del menor, interesando posteriormente, mediante solicitud de 9 de julio de 2021, que a la prestación que se le había reconocido (de dieciséis semanas de duración) se acumulase la parte que hubiera correspondido al otro progenitor de haberse tratado de una familia biparental (esto es, otras dieciséis semanas adicionales). Su petición no obtuvo respuesta de la entidad gestora.</w:t>
      </w:r>
    </w:p>
    <w:p w14:paraId="39732757" w14:textId="77777777" w:rsidR="00A8138F" w:rsidRDefault="00A8138F" w:rsidP="00A8138F">
      <w:pPr>
        <w:pStyle w:val="TextoNormal"/>
      </w:pPr>
    </w:p>
    <w:p w14:paraId="4408435F" w14:textId="77777777" w:rsidR="00A8138F" w:rsidRDefault="00A8138F" w:rsidP="00A8138F">
      <w:pPr>
        <w:pStyle w:val="TextoNormal"/>
      </w:pPr>
      <w:r>
        <w:t>b) Disconforme con la duración de la prestación formuló demanda en la vía judicial, que dio lugar a los autos núm. 1247-2021 seguidos ante el Juzgado de lo Social núm. 10 de Madrid, que por sentencia de 18 de julio de 2022 estimó la demanda declarando el derecho de la demandante al disfrute y percibo de la prestación por nacimiento y cuidado de hijo durante dieciséis semanas adicionales (un total de treinta y dos semanas), siguiendo el criterio mantenido por la sentencia de la Sala de lo Social del Tribunal Superior de Justicia del País Vasco, de 6 de octubre de 2020 (recurso de suplicación núm. 941-2020, ECLI:ES:TSJPV:2020:396) cuyos argumentos se transcribieron, y con apoyo también en la de la Sala de lo Social del Tribunal Superior de Justicia, de Madrid, de 13 de octubre de 2021 (recurso de suplicación núm. 620-2021, ECLI:ES:TSJM:2021:11048).</w:t>
      </w:r>
    </w:p>
    <w:p w14:paraId="779984DA" w14:textId="77777777" w:rsidR="00A8138F" w:rsidRDefault="00A8138F" w:rsidP="00A8138F">
      <w:pPr>
        <w:pStyle w:val="TextoNormal"/>
      </w:pPr>
    </w:p>
    <w:p w14:paraId="2E8F0306" w14:textId="77777777" w:rsidR="00A8138F" w:rsidRDefault="00A8138F" w:rsidP="00A8138F">
      <w:pPr>
        <w:pStyle w:val="TextoNormal"/>
      </w:pPr>
      <w:r>
        <w:t>c) Frente a la anterior sentencia interpuso recurso de suplicación (núm. 1248-2022) la parte demandada, que fue resuelto por la sentencia de la Sala de lo Social del Tribunal Superior de Justicia de Madrid, de 2 de marzo de 2023, que decidió la revocación de la resolución impugnada. La sentencia estimó el recurso al apreciar que la interpretación de la ley resultaba clara, ya que se cuestionaba el derecho a una prestación contributiva de Seguridad Social de titularidad individual, en la que no cabían cesiones a otros progenitores, sobre todo sin verificar los requisitos exigidos para su devengo, no apreciando la discriminación denunciada.</w:t>
      </w:r>
    </w:p>
    <w:p w14:paraId="56B42A07" w14:textId="77777777" w:rsidR="00A8138F" w:rsidRDefault="00A8138F" w:rsidP="00A8138F">
      <w:pPr>
        <w:pStyle w:val="TextoNormal"/>
      </w:pPr>
    </w:p>
    <w:p w14:paraId="6CDFE5E5" w14:textId="56EE8026" w:rsidR="00A8138F" w:rsidRDefault="00A8138F" w:rsidP="00A8138F">
      <w:pPr>
        <w:pStyle w:val="TextoNormal"/>
      </w:pPr>
      <w:r>
        <w:t xml:space="preserve">d) Impugnada la anterior sentencia por la parte actora (recurso para la unificación de doctrina núm. 2017-2023), la casación fue inadmitida mediante auto de la Sala de lo Social del Tribunal Supremo de 15 de noviembre de 2023, por falta de contenido casacional, al haber negado esa Sala, en su sentencia de 2 de marzo de 2023 (recurso núm. 3972-2020, ECLI:ES:TS:2023:783), seguida por la STS de 14 de junio de 2023 (recurso núm. 1642-2022, ECLI:ES:TS:2023:3053), que las familias monoparentales tengan derecho a la acumulación solicitada, ya que ni se establecía en la ley vigente [arts. 48.4 del texto refundido </w:t>
      </w:r>
      <w:r>
        <w:lastRenderedPageBreak/>
        <w:t>de la Ley del estatuto de los trabajadores, aprobado por el Real Decreto Legislativo 2/2015, de 23 de octubre (LET) y 177 del texto refundido de la Ley general de la Seguridad Social (LGSS), aprobado por el Real Decreto Legislativo 8/2015, de 30 de octubre] que cumplía las exigencias del derecho de la Unión Europea, ni tampoco se deducía de nuestra Constitución, ni de los acuerdos o tratados internacionales firmados por España, correspondiendo al legislador —y no a los tribunales— determinar el alcance y contenido de la protección que se debe dispensar a ese tipo de familias.</w:t>
      </w:r>
    </w:p>
    <w:p w14:paraId="08DBD862" w14:textId="77777777" w:rsidR="00A8138F" w:rsidRDefault="00A8138F" w:rsidP="00A8138F">
      <w:pPr>
        <w:pStyle w:val="TextoNormal"/>
      </w:pPr>
    </w:p>
    <w:p w14:paraId="6EE08A69" w14:textId="7E0E81C3" w:rsidR="00A8138F" w:rsidRDefault="00A8138F" w:rsidP="00A8138F">
      <w:pPr>
        <w:pStyle w:val="TextoNormal"/>
      </w:pPr>
      <w:r w:rsidRPr="00A8138F">
        <w:rPr>
          <w:rStyle w:val="NumeroAFNegritaCaracter"/>
        </w:rPr>
        <w:t>3</w:t>
      </w:r>
      <w:r>
        <w:t>. En la demanda de amparo la recurrente, con invocación de los arts. 14 y 39 CE, denuncia la lesión de su derecho a no padecer discriminación directa por razón de circunstancias personales y familiares en relación con la responsabilidad del cuidado de los hijos, e indirecta por razón de sexo, así como también la discriminación del menor por nacimiento en el seno de una familia monoparental. En tal sentido, afirma que: (i) la discriminación resulta de su decisión de formar una familia monoparental, lo que se vincula con las convicciones y creencias más íntimas de la persona amparadas por el art. 16 CE, siendo sus concretas condiciones familiares y personales las que han causado un tratamiento peyorativo por parte del INSS al negarle la ampliación del permiso solicitado; (ii) el interés superior del menor, presente en la normativa nacional e internacional, debe inspirar las actuaciones de todos los poderes públicos; (iii) la interpretación administrativa y judicial del art. 48.4 LET ha ocasionado a la madre y al hijo un resultado adverso, al impedir el derecho de la primera a su cuidado y el derecho del segundo a recibirlo durante el mismo tiempo que le hubiera correspondido en el caso de haber formado parte de una familia biparental y (iv) además de la discriminación por maternidad, se estaría produciendo una discriminación indirecta por razón de sexo, en tanto que, estadísticamente, la monoparentalidad afecta a un mayor número de mujeres que de hombres.</w:t>
      </w:r>
    </w:p>
    <w:p w14:paraId="2895D71C" w14:textId="77777777" w:rsidR="00A8138F" w:rsidRDefault="00A8138F" w:rsidP="00A8138F">
      <w:pPr>
        <w:pStyle w:val="TextoNormal"/>
      </w:pPr>
    </w:p>
    <w:p w14:paraId="167EBA61" w14:textId="77777777" w:rsidR="00A8138F" w:rsidRDefault="00A8138F" w:rsidP="00A8138F">
      <w:pPr>
        <w:pStyle w:val="TextoNormal"/>
      </w:pPr>
      <w:r w:rsidRPr="00A8138F">
        <w:rPr>
          <w:rStyle w:val="NumeroAFNegritaCaracter"/>
        </w:rPr>
        <w:t>4</w:t>
      </w:r>
      <w:r>
        <w:t>. Por providencia de 9 de septiembre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7FA9FE6C" w14:textId="77777777" w:rsidR="00A8138F" w:rsidRDefault="00A8138F" w:rsidP="00A8138F">
      <w:pPr>
        <w:pStyle w:val="TextoNormal"/>
      </w:pPr>
    </w:p>
    <w:p w14:paraId="5DBDD764" w14:textId="0E995259" w:rsidR="00A8138F" w:rsidRDefault="00A8138F" w:rsidP="00A8138F">
      <w:pPr>
        <w:pStyle w:val="TextoNormal"/>
      </w:pPr>
      <w:r>
        <w:t>En aplicación de lo previsto en el art. 51 LOTC ordenó requerir a la Sala de lo Social del Tribunal Supremo y a la Sala de lo Social del Tribunal Superior de Justicia de Madrid, a fin de que, en un plazo que no excediera de diez días, remitiesen certificación o fotocopia adverada de las actuaciones correspondientes al recurso de casación para la unificación de doctrina núm. 2017-2023 y al recurso de suplicación núm. 1248-2022, respectivamente. Asimismo, acordó dirigir atenta comunicación al Juzgado de lo Social núm. 10 de Madrid a fin de que, en plazo que no excediera de diez días, remitiese certificación o fotocopia adverada de las actuaciones correspondientes a los autos núm. 1247-2021, emplazando a quienes hubieran sido parte en el procedimiento, excepto la parte recurrente en amparo, para que, si lo deseaban, pudieran comparecer en el presente recurso.</w:t>
      </w:r>
    </w:p>
    <w:p w14:paraId="25FC8838" w14:textId="77777777" w:rsidR="00A8138F" w:rsidRDefault="00A8138F" w:rsidP="00A8138F">
      <w:pPr>
        <w:pStyle w:val="TextoNormal"/>
      </w:pPr>
    </w:p>
    <w:p w14:paraId="5247066C" w14:textId="47012720" w:rsidR="00A8138F" w:rsidRDefault="00A8138F" w:rsidP="00A8138F">
      <w:pPr>
        <w:pStyle w:val="TextoNormal"/>
      </w:pPr>
      <w:r w:rsidRPr="00A8138F">
        <w:rPr>
          <w:rStyle w:val="NumeroAFNegritaCaracter"/>
        </w:rPr>
        <w:t>5</w:t>
      </w:r>
      <w:r>
        <w:t xml:space="preserve">. El 9 de octubre de 2024 se presentó ante el registro de este tribunal un escrito del letrado de la administración de la Seguridad Social, en nombre y representación del Instituto </w:t>
      </w:r>
      <w:r>
        <w:lastRenderedPageBreak/>
        <w:t>Nacional de la Seguridad Social (INSS) y de la Tesorería General de la Seguridad Social (TGSS) interesando su personación en el presente recurso de amparo.</w:t>
      </w:r>
    </w:p>
    <w:p w14:paraId="4350648A" w14:textId="77777777" w:rsidR="00A8138F" w:rsidRDefault="00A8138F" w:rsidP="00A8138F">
      <w:pPr>
        <w:pStyle w:val="TextoNormal"/>
      </w:pPr>
    </w:p>
    <w:p w14:paraId="3ED5C2B8" w14:textId="42007D95" w:rsidR="00A8138F" w:rsidRDefault="00A8138F" w:rsidP="00A8138F">
      <w:pPr>
        <w:pStyle w:val="TextoNormal"/>
      </w:pPr>
      <w:r w:rsidRPr="00A8138F">
        <w:rPr>
          <w:rStyle w:val="NumeroAFNegritaCaracter"/>
        </w:rPr>
        <w:t>6</w:t>
      </w:r>
      <w:r>
        <w:t>. Por diligencia de ordenación de la Secretaría de Justicia de la Sección Cuarta de este tribunal, de 29 de octubre de 2024, se tuvo por personado y parte en el procedimiento al letrado de la administración de la Seguridad Social, en nombre y representación del INSS y de la TGSS, acordándose entender con él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1FA06D4C" w14:textId="77777777" w:rsidR="00A8138F" w:rsidRDefault="00A8138F" w:rsidP="00A8138F">
      <w:pPr>
        <w:pStyle w:val="TextoNormal"/>
      </w:pPr>
    </w:p>
    <w:p w14:paraId="1FDC9FD4" w14:textId="3D8CF83B" w:rsidR="00A8138F" w:rsidRDefault="00A8138F" w:rsidP="00A8138F">
      <w:pPr>
        <w:pStyle w:val="TextoNormal"/>
      </w:pPr>
      <w:r w:rsidRPr="00A8138F">
        <w:rPr>
          <w:rStyle w:val="NumeroAFNegritaCaracter"/>
        </w:rPr>
        <w:t>7</w:t>
      </w:r>
      <w:r>
        <w:t>. Por medio de escrito presentado el 21 de noviembre de 2024, el letrado de la administración de la Seguridad Social realizó sus alegaciones en la representación que ostenta, ratificándose en lo mantenido a lo largo de todo el procedimiento, y añadiendo que de estimarse el recurso a la vista de lo resuelto en la STC 140/2024, de 6 de noviembre (declarando la inconstitucionalidad de los arts. 48.4 LET y 177 LGSS), habrá de tenerse en cuenta, en todo caso,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percepción de las correspondientes retribuciones.</w:t>
      </w:r>
    </w:p>
    <w:p w14:paraId="1AC00030" w14:textId="77777777" w:rsidR="00A8138F" w:rsidRDefault="00A8138F" w:rsidP="00A8138F">
      <w:pPr>
        <w:pStyle w:val="TextoNormal"/>
      </w:pPr>
    </w:p>
    <w:p w14:paraId="28911932" w14:textId="13FCF267" w:rsidR="00A8138F" w:rsidRDefault="00A8138F" w:rsidP="00A8138F">
      <w:pPr>
        <w:pStyle w:val="TextoNormal"/>
      </w:pPr>
      <w:r w:rsidRPr="00A8138F">
        <w:rPr>
          <w:rStyle w:val="NumeroAFNegritaCaracter"/>
        </w:rPr>
        <w:t>8</w:t>
      </w:r>
      <w:r>
        <w:t>. El día 25 de noviembre de 2024 la representación procesal de la recurrente en amparo evacuó el trámite de alegaciones conferido interesando la estimación de su recurso, dando por reproducida la argumentación contenida en el mismo y señalando que las pretensiones de esa parte se han visto confirmadas recientemente por este tribunal al haber declarado la inconstitucional de los preceptos legales cuestionados (STC 140/2024).</w:t>
      </w:r>
    </w:p>
    <w:p w14:paraId="23C2504F" w14:textId="77777777" w:rsidR="00A8138F" w:rsidRDefault="00A8138F" w:rsidP="00A8138F">
      <w:pPr>
        <w:pStyle w:val="TextoNormal"/>
      </w:pPr>
    </w:p>
    <w:p w14:paraId="51EC2D11" w14:textId="0C2FF351" w:rsidR="00A8138F" w:rsidRDefault="00A8138F" w:rsidP="00A8138F">
      <w:pPr>
        <w:pStyle w:val="TextoNormal"/>
      </w:pPr>
      <w:r w:rsidRPr="00A8138F">
        <w:rPr>
          <w:rStyle w:val="NumeroAFNegritaCaracter"/>
        </w:rPr>
        <w:t>9</w:t>
      </w:r>
      <w:r>
        <w:t>. Por escrito de 9 de enero de 2025 la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STC 140/2024, que declaró la inconstitucionalidad de los arts. 48.4 LET y 177 LGSS. Se subraya que, en este caso, no procedería confirmar la sentencia del Juzgado de lo Social, que estimó la demanda reconociendo a la actora el derecho a disfrutar de dieciséis semanas adicionales de prestación, porque reconoció seis semanas más de las que procedería otorgar conforme a la mencionada sentencia de este tribunal. Por eso, solicita la nulidad del auto de 15 de noviembre de 2023, dictado por la Sala de lo Social del Tribunal Supremo que inadmitió el recurso de casación para la unificación de doctrina núm. 2017-2023, y de la sentencia 218/2023, de 2 de marzo, dictada por la Sala de lo Social del Tribunal Superior de Justicia de Madrid, en el recurso de suplicación núm. 1248-2022, y que se retrotraigan las actuaciones para que por este órgano se dicte una nueva sentencia conforme con el derecho fundamental vulnerado.</w:t>
      </w:r>
    </w:p>
    <w:p w14:paraId="6A6D1CE9" w14:textId="77777777" w:rsidR="00A8138F" w:rsidRDefault="00A8138F" w:rsidP="00A8138F">
      <w:pPr>
        <w:pStyle w:val="TextoNormal"/>
      </w:pPr>
    </w:p>
    <w:p w14:paraId="19A85482" w14:textId="69BEB266" w:rsidR="00A8138F" w:rsidRDefault="00A8138F" w:rsidP="00A8138F">
      <w:pPr>
        <w:pStyle w:val="TextoNormal"/>
      </w:pPr>
      <w:r w:rsidRPr="00A8138F">
        <w:rPr>
          <w:rStyle w:val="NumeroAFNegritaCaracter"/>
        </w:rPr>
        <w:t>10</w:t>
      </w:r>
      <w:r>
        <w:t>. Mediante providencia de 6 de marzo de 2025, se señaló para deliberación y votación de la presente sentencia el día 10 del mismo mes y año.</w:t>
      </w:r>
    </w:p>
    <w:p w14:paraId="45B018A4" w14:textId="77777777" w:rsidR="00A8138F" w:rsidRDefault="00A8138F" w:rsidP="00A8138F">
      <w:pPr>
        <w:pStyle w:val="TextoNormal"/>
      </w:pPr>
    </w:p>
    <w:p w14:paraId="4BD5BB35" w14:textId="77777777" w:rsidR="00A8138F" w:rsidRDefault="00A8138F" w:rsidP="00A8138F">
      <w:pPr>
        <w:pStyle w:val="TextoNormalNegritaCentrado"/>
        <w:keepNext/>
      </w:pPr>
      <w:r>
        <w:lastRenderedPageBreak/>
        <w:t>II. Fundamentos jurídicos</w:t>
      </w:r>
    </w:p>
    <w:p w14:paraId="24E7422D" w14:textId="56E28A05" w:rsidR="00A8138F" w:rsidRDefault="00A8138F" w:rsidP="00A8138F">
      <w:pPr>
        <w:pStyle w:val="TextoNormalNegritaCentrado"/>
        <w:keepNext/>
      </w:pPr>
    </w:p>
    <w:p w14:paraId="37F65ABA"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7906264A" w14:textId="77777777" w:rsidR="00A8138F" w:rsidRDefault="00A8138F" w:rsidP="00A8138F">
      <w:pPr>
        <w:pStyle w:val="TextoNormal"/>
      </w:pPr>
    </w:p>
    <w:p w14:paraId="35EB2EE3" w14:textId="77777777"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3934800F" w14:textId="77777777" w:rsidR="00A8138F" w:rsidRDefault="00A8138F" w:rsidP="00A8138F">
      <w:pPr>
        <w:pStyle w:val="TextoNormal"/>
      </w:pPr>
    </w:p>
    <w:p w14:paraId="698E0EA3" w14:textId="5A477A73" w:rsidR="00A8138F" w:rsidRDefault="00A8138F" w:rsidP="00A8138F">
      <w:pPr>
        <w:pStyle w:val="TextoNormal"/>
      </w:pPr>
      <w:r>
        <w:t>El letrado de la Seguridad Social solicita la desestimación del recurso de amparo, mientras que el Ministerio Fiscal interesa la estimación en aplicación de la doctrina constitucional fijada en la STC 140/2024, de 6 de noviembre.</w:t>
      </w:r>
    </w:p>
    <w:p w14:paraId="1BBC8EEA" w14:textId="77777777" w:rsidR="00A8138F" w:rsidRDefault="00A8138F" w:rsidP="00A8138F">
      <w:pPr>
        <w:pStyle w:val="TextoNormal"/>
      </w:pPr>
    </w:p>
    <w:p w14:paraId="47E8C911"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022807CD" w14:textId="77777777" w:rsidR="00A8138F" w:rsidRDefault="00A8138F" w:rsidP="00A8138F">
      <w:pPr>
        <w:pStyle w:val="TextoNormal"/>
      </w:pPr>
    </w:p>
    <w:p w14:paraId="25513ADA"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49DE095" w14:textId="77777777" w:rsidR="00A8138F" w:rsidRDefault="00A8138F" w:rsidP="00A8138F">
      <w:pPr>
        <w:pStyle w:val="TextoNormal"/>
      </w:pPr>
    </w:p>
    <w:p w14:paraId="28A61D79"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B31A993" w14:textId="77777777" w:rsidR="00A8138F" w:rsidRDefault="00A8138F" w:rsidP="00A8138F">
      <w:pPr>
        <w:pStyle w:val="TextoNormal"/>
      </w:pPr>
    </w:p>
    <w:p w14:paraId="4C102E97" w14:textId="77777777" w:rsidR="00A8138F" w:rsidRDefault="00A8138F" w:rsidP="00A8138F">
      <w:pPr>
        <w:pStyle w:val="TextoNormal"/>
      </w:pPr>
      <w:r>
        <w:t>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w:t>
      </w:r>
      <w:r>
        <w:lastRenderedPageBreak/>
        <w:t xml:space="preserve">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3B26A7ED" w14:textId="77777777" w:rsidR="00A8138F" w:rsidRDefault="00A8138F" w:rsidP="00A8138F">
      <w:pPr>
        <w:pStyle w:val="TextoNormal"/>
      </w:pPr>
    </w:p>
    <w:p w14:paraId="02EB9346" w14:textId="19E36102" w:rsidR="00A8138F" w:rsidRDefault="00A8138F" w:rsidP="00A8138F">
      <w:pPr>
        <w:pStyle w:val="TextoNormal"/>
      </w:pPr>
      <w:r>
        <w:t>En consecuencia, debe estimarse la demanda y otorgar el amparo solicitado. Aunque el fiscal interesa la estimación del recurso, con retroacción al momento inmediatamente anterior al dictado de la sentencia del Tribunal Superior de Justicia de Madrid para que se dicte una nueva resolución respetuosa con el derecho fundamental vulnerado, lo cierto es que la retroacción ha de hacerse al momento previo a las resoluciones administrativas que por vía de silencio administrativo denegaron la pretensión de la parte actora, para que sea el Instituto Nacional de la Seguridad Social el que dicte resolución expresa que resulte acorde con lo declarado en la STC 140/2024, de 6 de noviembre (FJ 7).</w:t>
      </w:r>
    </w:p>
    <w:p w14:paraId="71E2B82B" w14:textId="77777777" w:rsidR="00A8138F" w:rsidRDefault="00A8138F" w:rsidP="00A8138F">
      <w:pPr>
        <w:pStyle w:val="TextoNormal"/>
      </w:pPr>
    </w:p>
    <w:p w14:paraId="3B1D8A4E" w14:textId="77777777" w:rsidR="00A8138F" w:rsidRDefault="00A8138F" w:rsidP="00A8138F">
      <w:pPr>
        <w:pStyle w:val="TextoNormalCentrado"/>
        <w:keepNext/>
      </w:pPr>
      <w:r>
        <w:t>FALLO</w:t>
      </w:r>
    </w:p>
    <w:p w14:paraId="64BE04C9" w14:textId="68CA7CAB" w:rsidR="00A8138F" w:rsidRDefault="00A8138F" w:rsidP="00A8138F">
      <w:pPr>
        <w:pStyle w:val="TextoNormalCentrado"/>
        <w:keepNext/>
      </w:pPr>
    </w:p>
    <w:p w14:paraId="755AD66D"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Nuria Pinillos Merinero y, en su virtud:</w:t>
      </w:r>
    </w:p>
    <w:p w14:paraId="2E9BE764" w14:textId="77777777" w:rsidR="00A8138F" w:rsidRDefault="00A8138F" w:rsidP="00A8138F">
      <w:pPr>
        <w:pStyle w:val="TextoNormal"/>
      </w:pPr>
    </w:p>
    <w:p w14:paraId="3239344F" w14:textId="77777777" w:rsidR="00A8138F" w:rsidRDefault="00A8138F" w:rsidP="00A8138F">
      <w:pPr>
        <w:pStyle w:val="TextoNormal"/>
      </w:pPr>
      <w:r>
        <w:t>1º Declarar vulnerado el derecho a la igualdad ante la ley sin discriminación por razón de nacimiento (art. 14 CE).</w:t>
      </w:r>
    </w:p>
    <w:p w14:paraId="11F4D5EA" w14:textId="77777777" w:rsidR="00A8138F" w:rsidRDefault="00A8138F" w:rsidP="00A8138F">
      <w:pPr>
        <w:pStyle w:val="TextoNormal"/>
      </w:pPr>
    </w:p>
    <w:p w14:paraId="06C2941A" w14:textId="77777777" w:rsidR="00A8138F" w:rsidRDefault="00A8138F" w:rsidP="00A8138F">
      <w:pPr>
        <w:pStyle w:val="TextoNormal"/>
      </w:pPr>
      <w:r>
        <w:t>2º Restablecerla en su derecho y, a tal fin, declarar la nulidad de: (i) las resoluciones del Instituto Nacional de la Seguridad Social que por la vía del silencio administrativo denegaron la solicitud de ampliación de la prestación por nacimiento y cuidado de hijo de la recurrente; (ii) la sentencia núm. 250/2022 del Juzgado de lo Social núm. 10 de Madrid, de 18 de julio de 2022 (autos sobre Seguridad Social núm.1247-2021); (iii) la sentencia núm. 218/2023 de la Sala de lo Social del Tribunal Superior de Justicia de Madrid, de 2 de marzo de 2023 (recurso de suplicación núm. 1248-2022) y (iv) el auto de la Sala de lo Social del Tribunal Supremo de 15 de noviembre de 2023 (recurso de casación para la unificación de doctrina núm. 2017-2023).</w:t>
      </w:r>
    </w:p>
    <w:p w14:paraId="4980F384" w14:textId="77777777" w:rsidR="00A8138F" w:rsidRDefault="00A8138F" w:rsidP="00A8138F">
      <w:pPr>
        <w:pStyle w:val="TextoNormal"/>
      </w:pPr>
    </w:p>
    <w:p w14:paraId="0E8851CF" w14:textId="07156874" w:rsidR="00A8138F" w:rsidRDefault="00A8138F" w:rsidP="00A8138F">
      <w:pPr>
        <w:pStyle w:val="TextoNormal"/>
      </w:pPr>
      <w:r>
        <w:t>3º Retrotraer las actuaciones al momento previo a las resoluciones administrativas mencionadas en el apartado anterior, para que el Instituto Nacional de la Seguridad Social dicte resolución expresa que resulte respetuosa con el derecho fundamental reconocido a la recurrente, con el alcance fijado en el fundamento jurídico 2 de esta sentencia.</w:t>
      </w:r>
    </w:p>
    <w:p w14:paraId="615F4CB9" w14:textId="77777777" w:rsidR="00A8138F" w:rsidRDefault="00A8138F" w:rsidP="00A8138F">
      <w:pPr>
        <w:pStyle w:val="TextoNormal"/>
      </w:pPr>
    </w:p>
    <w:p w14:paraId="4EAFBFA5" w14:textId="77777777" w:rsidR="00A8138F" w:rsidRDefault="00A8138F" w:rsidP="00A8138F">
      <w:pPr>
        <w:pStyle w:val="TextoNormal"/>
      </w:pPr>
      <w:r>
        <w:t>Publíquese esta sentencia en el “Boletín Oficial del Estado”.</w:t>
      </w:r>
    </w:p>
    <w:p w14:paraId="1715CC23" w14:textId="77777777" w:rsidR="00A8138F" w:rsidRDefault="00A8138F" w:rsidP="00A8138F">
      <w:pPr>
        <w:pStyle w:val="TextoNormal"/>
      </w:pPr>
      <w:r>
        <w:t>Dada en Madrid, a diez de marzo de dos mil veinticinco.</w:t>
      </w:r>
    </w:p>
    <w:p w14:paraId="098599B7" w14:textId="6566A66B" w:rsidR="00A8138F" w:rsidRDefault="00A8138F">
      <w:pPr>
        <w:spacing w:after="160" w:line="278" w:lineRule="auto"/>
        <w:rPr>
          <w:rFonts w:ascii="Times New Roman" w:eastAsia="Times New Roman" w:hAnsi="Times New Roman" w:cs="Times New Roman"/>
          <w:sz w:val="24"/>
          <w:szCs w:val="24"/>
          <w:lang w:eastAsia="es-ES"/>
        </w:rPr>
      </w:pPr>
      <w:r>
        <w:br w:type="page"/>
      </w:r>
    </w:p>
    <w:p w14:paraId="30A8650D" w14:textId="77777777" w:rsidR="00A8138F" w:rsidRDefault="00A8138F" w:rsidP="00A8138F">
      <w:pPr>
        <w:pStyle w:val="TtuloResolucin"/>
      </w:pPr>
      <w:bookmarkStart w:id="59" w:name="SENTENCIA_2025_57"/>
      <w:r>
        <w:lastRenderedPageBreak/>
        <w:t>SENTENCIA 57/2025, de 10 de marzo de 2025</w:t>
      </w:r>
    </w:p>
    <w:bookmarkEnd w:id="59"/>
    <w:p w14:paraId="520AA3B4" w14:textId="77777777" w:rsidR="00A8138F" w:rsidRDefault="00A8138F" w:rsidP="00A8138F">
      <w:pPr>
        <w:pStyle w:val="TtuloResolucin"/>
      </w:pPr>
      <w:r>
        <w:t>Sala Segunda</w:t>
      </w:r>
    </w:p>
    <w:p w14:paraId="6D969FD4" w14:textId="77777777" w:rsidR="00A8138F" w:rsidRDefault="00A8138F" w:rsidP="00A8138F">
      <w:pPr>
        <w:pStyle w:val="TtuloBOE"/>
      </w:pPr>
      <w:r>
        <w:t>(BOE núm. 88, de 11 de abril de 2025)</w:t>
      </w:r>
    </w:p>
    <w:p w14:paraId="06D1A1F1" w14:textId="77777777" w:rsidR="00A8138F" w:rsidRDefault="00A8138F" w:rsidP="00A8138F">
      <w:pPr>
        <w:pStyle w:val="TextoNormalCentrado"/>
      </w:pPr>
      <w:r>
        <w:t>ECLI:ES:TC:2025:57</w:t>
      </w:r>
    </w:p>
    <w:p w14:paraId="7AFE0EF9" w14:textId="7F915E0A" w:rsidR="00A8138F" w:rsidRDefault="00A8138F" w:rsidP="00A8138F">
      <w:pPr>
        <w:pStyle w:val="TextoNormalCentrado"/>
      </w:pPr>
    </w:p>
    <w:p w14:paraId="0B81C252" w14:textId="77777777" w:rsidR="00A8138F" w:rsidRDefault="00A8138F" w:rsidP="00A8138F">
      <w:pPr>
        <w:pStyle w:val="SntesisDescriptiva"/>
      </w:pPr>
      <w:r>
        <w:t>Recurso de amparo 869-2024. Promovido por doña Beatriz Rodríguez Vaquero en relación con las resoluciones administrativas y judiciales que desestimaron su petición de revisión y ampliación de la prestación por nacimiento y cuidado de hijo menor, como madre biológica de familia monoparental.</w:t>
      </w:r>
    </w:p>
    <w:p w14:paraId="6B965D7F" w14:textId="13ADBEEA" w:rsidR="00A8138F" w:rsidRDefault="00A8138F" w:rsidP="00A8138F">
      <w:pPr>
        <w:pStyle w:val="SntesisDescriptiva"/>
      </w:pPr>
    </w:p>
    <w:p w14:paraId="19011887"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D4AFCF7" w14:textId="2D3D054D" w:rsidR="00A8138F" w:rsidRDefault="00A8138F" w:rsidP="00A8138F">
      <w:pPr>
        <w:pStyle w:val="SntesisAnaltica"/>
      </w:pPr>
    </w:p>
    <w:p w14:paraId="426116C8" w14:textId="21B3BB84"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79AE3233" w14:textId="77777777" w:rsidR="00A8138F" w:rsidRDefault="00A8138F" w:rsidP="00A8138F">
      <w:pPr>
        <w:pStyle w:val="Extracto"/>
      </w:pPr>
    </w:p>
    <w:p w14:paraId="7479100F" w14:textId="77777777" w:rsidR="00A8138F" w:rsidRDefault="00A8138F" w:rsidP="00A8138F">
      <w:pPr>
        <w:pStyle w:val="Extracto"/>
      </w:pPr>
    </w:p>
    <w:p w14:paraId="50A245B8"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712698C" w14:textId="6C2488D5" w:rsidR="00A8138F" w:rsidRDefault="00A8138F" w:rsidP="00A8138F">
      <w:pPr>
        <w:pStyle w:val="TextoNormal"/>
      </w:pPr>
    </w:p>
    <w:p w14:paraId="3D658B71" w14:textId="77777777" w:rsidR="00A8138F" w:rsidRDefault="00A8138F" w:rsidP="00A8138F">
      <w:pPr>
        <w:pStyle w:val="TextoNormalCentrado"/>
        <w:keepNext/>
      </w:pPr>
      <w:r>
        <w:t>EN NOMBRE DEL REY</w:t>
      </w:r>
    </w:p>
    <w:p w14:paraId="35FE3B3A" w14:textId="7532EAC5" w:rsidR="00A8138F" w:rsidRDefault="00A8138F" w:rsidP="00A8138F">
      <w:pPr>
        <w:pStyle w:val="TextoNormalCentrado"/>
        <w:keepNext/>
      </w:pPr>
    </w:p>
    <w:p w14:paraId="403DDC31" w14:textId="77777777" w:rsidR="00A8138F" w:rsidRDefault="00A8138F" w:rsidP="00A8138F">
      <w:pPr>
        <w:pStyle w:val="TextoNormalCentrado"/>
        <w:keepNext/>
      </w:pPr>
    </w:p>
    <w:p w14:paraId="7E84E139" w14:textId="77777777" w:rsidR="00A8138F" w:rsidRDefault="00A8138F" w:rsidP="00A8138F">
      <w:pPr>
        <w:pStyle w:val="TextoNormal"/>
      </w:pPr>
      <w:r>
        <w:t>la siguiente</w:t>
      </w:r>
    </w:p>
    <w:p w14:paraId="43F7C275" w14:textId="12EBE38A" w:rsidR="00A8138F" w:rsidRDefault="00A8138F" w:rsidP="00A8138F">
      <w:pPr>
        <w:pStyle w:val="TextoNormal"/>
      </w:pPr>
    </w:p>
    <w:p w14:paraId="20CCF87C" w14:textId="77777777" w:rsidR="00A8138F" w:rsidRDefault="00A8138F" w:rsidP="00A8138F">
      <w:pPr>
        <w:pStyle w:val="TextoNormalCentrado"/>
        <w:keepNext/>
      </w:pPr>
      <w:r>
        <w:t>SENTENCIA</w:t>
      </w:r>
    </w:p>
    <w:p w14:paraId="47F71362" w14:textId="6CAF6BF1" w:rsidR="00A8138F" w:rsidRDefault="00A8138F" w:rsidP="00A8138F">
      <w:pPr>
        <w:pStyle w:val="TextoNormalCentrado"/>
        <w:keepNext/>
      </w:pPr>
    </w:p>
    <w:p w14:paraId="184321F7" w14:textId="77777777" w:rsidR="00A8138F" w:rsidRDefault="00A8138F" w:rsidP="00A8138F">
      <w:pPr>
        <w:pStyle w:val="TextoNormal"/>
      </w:pPr>
      <w:r>
        <w:t xml:space="preserve">En el recurso de amparo núm. 869-2024, promovido por doña Beatriz Rodríguez Vaquero, representada por la procuradora de los tribunales doña Alicia Suau Casado y asistida por la letrada doña Aida Casanova Pérez, contra las resoluciones del Instituto Nacional de la Seguridad Social que por silencio administrativo rechazaron tanto su solicitud de ampliación de la prestación por nacimiento y cuidado de hijo menor, de 28 de mayo de 2021, como la posterior reclamación administrativa previa de 7 de julio de 2021, confirmadas por la sentencia núm. 79/2022, de 24 de febrero, dictada por el Juzgado de lo Social núm. 39 de Madrid en los autos núm. 1045-2021, y por la sentencia núm. 1293/2023, de 21 de diciembre, dictada por la Sala de lo Social del Tribunal Supremo en el recurso de casación para la unificación de doctrina núm. 5346-2022, que revocando la sentencia núm. 939/2022, de 28 de octubre, dictada por la Sala de lo Social del Tribunal Superior de Justicia de Madrid en el recurso de suplicación núm. 515-2022, confirmó la sentencia del Juzgado de lo Social. </w:t>
      </w:r>
      <w:r>
        <w:lastRenderedPageBreak/>
        <w:t>Han intervenido el letrado de la administración de la Seguridad Social y el Ministerio Fiscal. Ha sido ponente la magistrada doña María Luisa Balaguer Callejón.</w:t>
      </w:r>
    </w:p>
    <w:p w14:paraId="7ECEBB60" w14:textId="7C926BEB" w:rsidR="00A8138F" w:rsidRDefault="00A8138F" w:rsidP="00A8138F">
      <w:pPr>
        <w:pStyle w:val="TextoNormal"/>
      </w:pPr>
    </w:p>
    <w:p w14:paraId="47CF06FC" w14:textId="77777777" w:rsidR="00A8138F" w:rsidRDefault="00A8138F" w:rsidP="00A8138F">
      <w:pPr>
        <w:pStyle w:val="TextoNormalNegritaCentrado"/>
        <w:keepNext/>
      </w:pPr>
      <w:r>
        <w:t>I. Antecedentes</w:t>
      </w:r>
    </w:p>
    <w:p w14:paraId="43DB1200" w14:textId="464E603E" w:rsidR="00A8138F" w:rsidRDefault="00A8138F" w:rsidP="00A8138F">
      <w:pPr>
        <w:pStyle w:val="TextoNormalNegritaCentrado"/>
        <w:keepNext/>
      </w:pPr>
    </w:p>
    <w:p w14:paraId="6535BB89" w14:textId="16BD4ABD" w:rsidR="00A8138F" w:rsidRDefault="00A8138F" w:rsidP="00A8138F">
      <w:pPr>
        <w:pStyle w:val="TextoNormal"/>
      </w:pPr>
      <w:r w:rsidRPr="00A8138F">
        <w:rPr>
          <w:rStyle w:val="NumeroAFNegritaCaracter"/>
        </w:rPr>
        <w:t>1</w:t>
      </w:r>
      <w:r>
        <w:t>. Mediante escrito presentado en el registro general de este tribunal el día 8 de febrero de 2024, la procuradora de los tribunales doña Alicia Suau Casado, actuando en nombre y representación de doña Beatriz Rodríguez Vaquero, con la asistencia letrada de doña Aida Casanova Pérez, interpuso recurso de amparo frente a las resoluciones administrativas y judiciales que las confirmaron, que han sido señaladas anteriormente en el encabezamiento de esta sentencia.</w:t>
      </w:r>
    </w:p>
    <w:p w14:paraId="5EF365D6" w14:textId="77777777" w:rsidR="00A8138F" w:rsidRDefault="00A8138F" w:rsidP="00A8138F">
      <w:pPr>
        <w:pStyle w:val="TextoNormal"/>
      </w:pPr>
    </w:p>
    <w:p w14:paraId="454C038B" w14:textId="77777777" w:rsidR="00A8138F" w:rsidRDefault="00A8138F" w:rsidP="00A8138F">
      <w:pPr>
        <w:pStyle w:val="TextoNormal"/>
      </w:pPr>
      <w:r w:rsidRPr="00A8138F">
        <w:rPr>
          <w:rStyle w:val="NumeroAFNegritaCaracter"/>
        </w:rPr>
        <w:t>2</w:t>
      </w:r>
      <w:r>
        <w:t>. El presente recurso de amparo trae causa de los siguientes antecedentes:</w:t>
      </w:r>
    </w:p>
    <w:p w14:paraId="399C4B16" w14:textId="77777777" w:rsidR="00A8138F" w:rsidRDefault="00A8138F" w:rsidP="00A8138F">
      <w:pPr>
        <w:pStyle w:val="TextoNormal"/>
      </w:pPr>
    </w:p>
    <w:p w14:paraId="51E75970" w14:textId="77777777" w:rsidR="00A8138F" w:rsidRDefault="00A8138F" w:rsidP="00A8138F">
      <w:pPr>
        <w:pStyle w:val="TextoNormal"/>
      </w:pPr>
      <w:r>
        <w:t>a) La recurrente en amparo, madre biológica de un menor nacido el 6 de marzo de 2021, con el que forma una familia monoparental, solicitó prestación por nacimiento y cuidado menor que le fue reconocida con una duración de dieciséis semanas por resolución del Instituto Nacional de la Seguridad Social (INSS) de 11 de marzo de 2021. Posteriormente, presentó nueva solicitud reclamando la ampliación de su duración en otras dieciséis semanas, esto es, las que entendía que hubieran correspondido al otro progenitor de haberse tratado de una familia biparental. Tanto esa petición como la posterior reclamación previa fueron objeto de desestimación presunta.</w:t>
      </w:r>
    </w:p>
    <w:p w14:paraId="5FA94C6D" w14:textId="77777777" w:rsidR="00A8138F" w:rsidRDefault="00A8138F" w:rsidP="00A8138F">
      <w:pPr>
        <w:pStyle w:val="TextoNormal"/>
      </w:pPr>
    </w:p>
    <w:p w14:paraId="5FBF9709" w14:textId="77777777" w:rsidR="00A8138F" w:rsidRDefault="00A8138F" w:rsidP="00A8138F">
      <w:pPr>
        <w:pStyle w:val="TextoNormal"/>
      </w:pPr>
      <w:r>
        <w:t>b) Disconforme con la duración de la prestación formuló demanda en la vía judicial frente al INSS y la Tesorería General de la Seguridad Social (TGSS), que dio lugar a los autos núm. 1045-2021, seguidos ante el Juzgado de lo Social núm. 39 de Madrid. Por sentencia núm. 79/2022, de 24 de febrero, se desestimó la demanda al apreciar que la pretensión carecía de sustento legal por cuanto que el derecho a la suspensión del contrato por nacimiento y cuidado del menor venía reconocido de manera individualizada a cada progenitor, sin que se permitiese transferir su ejercicio al otro progenitor, exigiendo a cada uno de ellos el cumplimiento de los requisitos de cotización. Se negó también la discriminación aducida, por cuanto que de reconocerle a la familia monoparental lo que reclamaba, se le estaría reconociendo lo que le es negado a las familias biparentales cuando uno de los progenitores no reúne los requisitos legales para acceder a la prestación. En todo caso, no sería posible el reconocimiento de doce semanas, habida cuenta de que las cuatro primeras exigen el disfrute conjunto de ambos progenitores, de modo que siendo ello imposible en el caso de familias monoparentales, tan solo procedería el reconocimiento de ocho semanas, para nacimientos acontecidos en el año 2020.</w:t>
      </w:r>
    </w:p>
    <w:p w14:paraId="571B12A8" w14:textId="77777777" w:rsidR="00A8138F" w:rsidRDefault="00A8138F" w:rsidP="00A8138F">
      <w:pPr>
        <w:pStyle w:val="TextoNormal"/>
      </w:pPr>
    </w:p>
    <w:p w14:paraId="0FE07930" w14:textId="77777777" w:rsidR="00A8138F" w:rsidRDefault="00A8138F" w:rsidP="00A8138F">
      <w:pPr>
        <w:pStyle w:val="TextoNormal"/>
      </w:pPr>
      <w:r>
        <w:t xml:space="preserve">c) Frente a la anterior sentencia interpuso recurso de suplicación, núm. 515-2022, la parte actora, siendo estimado parcialmente por la sentencia núm. 939/2022, de 28 de octubre, de la Sala de lo Social del Tribunal Superior de Justicia de Madrid, que le reconoció la ampliación del permiso en diez semanas adicionales. Se apreció por la Sala, en primer lugar, una discriminación por razón de nacimiento, en tanto que los menores de las familias monoparentales tendrían derecho a recibir menor atención y cuidado en sus primeros meses de vida en relación con los nacidos en el seno de una familia biparental, careciendo tal diferencia de trato de una justificación objetiva y razonable; en segundo lugar, una discriminación </w:t>
      </w:r>
      <w:r>
        <w:lastRenderedPageBreak/>
        <w:t>indirecta por razón de sexo, al afectar la situación discriminatoria en mayor medida a la mujer, al ser la que mayoritariamente forma familias monoparentales.</w:t>
      </w:r>
    </w:p>
    <w:p w14:paraId="5DEC8B22" w14:textId="77777777" w:rsidR="00A8138F" w:rsidRDefault="00A8138F" w:rsidP="00A8138F">
      <w:pPr>
        <w:pStyle w:val="TextoNormal"/>
      </w:pPr>
    </w:p>
    <w:p w14:paraId="3FF346F0" w14:textId="096AC925" w:rsidR="00A8138F" w:rsidRDefault="00A8138F" w:rsidP="00A8138F">
      <w:pPr>
        <w:pStyle w:val="TextoNormal"/>
      </w:pPr>
      <w:r>
        <w:t>d) Interpuesto recurso de casación para la unificación de doctrina, núm. 5346-2022, por el INSS y la TGSS, este fue estimado por sentencia núm. 1293/2023, de 21 de diciembre, de la Sala de lo Social del Tribunal Supremo, en aplicación de la doctrina sentada en su sentencia de Pleno de 2 de marzo de 2023, que resolvió el recurso núm. 3972-2020, que descarta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Con base en lo anterior, la Sala casó y anuló la sentencia impugnada, confirmando y declarando la firmeza de la sentencia dictada por el Juzgado de lo Social núm. 39 de Madrid, de 24 de febrero de 2022.</w:t>
      </w:r>
    </w:p>
    <w:p w14:paraId="5A83260C" w14:textId="77777777" w:rsidR="00A8138F" w:rsidRDefault="00A8138F" w:rsidP="00A8138F">
      <w:pPr>
        <w:pStyle w:val="TextoNormal"/>
      </w:pPr>
    </w:p>
    <w:p w14:paraId="5C591FF2" w14:textId="395B07F3" w:rsidR="00A8138F" w:rsidRDefault="00A8138F" w:rsidP="00A8138F">
      <w:pPr>
        <w:pStyle w:val="TextoNormal"/>
      </w:pPr>
      <w:r w:rsidRPr="00A8138F">
        <w:rPr>
          <w:rStyle w:val="NumeroAFNegritaCaracter"/>
        </w:rPr>
        <w:t>3</w:t>
      </w:r>
      <w:r>
        <w:t>. En la demanda de amparo la recurrente, con invocación de los arts. 14 y 39 CE, denuncia la lesión de su derecho a no padecer discriminación por razón de circunstancias personales y familiares y por razón de sexo. En tal sentido, afirma que: (i) las resoluciones impugnadas provocan una diferencia de trato entre las familias monoparentales y las familias biparentales en relación con el disfrute del permiso por nacimiento y cuidado de hijos, habiéndose limitado a realizar un enjuiciamiento desde el plano estricto de la legalidad y sin valorar la trascendencia constitucional y el interés superior del menor; (ii) la decisión de formar una familia monoparental se vincula con las convicciones y creencias más íntimas de la persona (art. 16 CE) y su libre elección le ha ocasionado un incuestionable perjuicio en relación con el deber constitucional de cuidar a sus hijos y (iii) además de la discriminación directa se estaría produciendo una discriminación indirecta por razón de sexo, en tanto que, estadísticamente, la monoparentalidad afecta a un mayor número de mujeres que de hombres.</w:t>
      </w:r>
    </w:p>
    <w:p w14:paraId="428FD99D" w14:textId="77777777" w:rsidR="00A8138F" w:rsidRDefault="00A8138F" w:rsidP="00A8138F">
      <w:pPr>
        <w:pStyle w:val="TextoNormal"/>
      </w:pPr>
    </w:p>
    <w:p w14:paraId="392DB6AC" w14:textId="11953399" w:rsidR="00A8138F" w:rsidRDefault="00A8138F" w:rsidP="00A8138F">
      <w:pPr>
        <w:pStyle w:val="TextoNormal"/>
      </w:pPr>
      <w:r w:rsidRPr="00A8138F">
        <w:rPr>
          <w:rStyle w:val="NumeroAFNegritaCaracter"/>
        </w:rPr>
        <w:t>4</w:t>
      </w:r>
      <w:r>
        <w:t>. Por providencia de 9 de septiembre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 Madrid a fin de que, en un plazo que no excediera de diez días, remitiesen certificación o fotocopia adverada de las actuaciones correspondientes al recurso de casación para la unificación de doctrina núm. 5346-2022 y al recurso de suplicación núm. 515-2022, respectivamente. Asimismo, acordó dirigir atenta comunicación al Juzgado de lo Social núm. 39 de Madrid a fin de que, en plazo que no excediera de diez días, remitiese certificación o fotocopia adverada de las actuaciones correspondientes a los autos núm. 1045-2021, empla</w:t>
      </w:r>
      <w:r>
        <w:lastRenderedPageBreak/>
        <w:t>zando a quienes hubieran sido parte en el procedimiento, excepto la parte recurrente en amparo, para que, si lo deseaban, pudieran comparecer en el presente recurso.</w:t>
      </w:r>
    </w:p>
    <w:p w14:paraId="44F73EFF" w14:textId="77777777" w:rsidR="00A8138F" w:rsidRDefault="00A8138F" w:rsidP="00A8138F">
      <w:pPr>
        <w:pStyle w:val="TextoNormal"/>
      </w:pPr>
    </w:p>
    <w:p w14:paraId="039B04DB" w14:textId="7F83D9FD" w:rsidR="00A8138F" w:rsidRDefault="00A8138F" w:rsidP="00A8138F">
      <w:pPr>
        <w:pStyle w:val="TextoNormal"/>
      </w:pPr>
      <w:r w:rsidRPr="00A8138F">
        <w:rPr>
          <w:rStyle w:val="NumeroAFNegritaCaracter"/>
        </w:rPr>
        <w:t>5</w:t>
      </w:r>
      <w:r>
        <w:t>. El 10 de octubre de 2024 se presentó ante el registro de este tribunal escrito en virtud del cual la letrada de la Administración de la Seguridad Social, en nombre y representación del INSS y de la TGSS interesa su personación en el presente recurso de amparo.</w:t>
      </w:r>
    </w:p>
    <w:p w14:paraId="684B8A2D" w14:textId="77777777" w:rsidR="00A8138F" w:rsidRDefault="00A8138F" w:rsidP="00A8138F">
      <w:pPr>
        <w:pStyle w:val="TextoNormal"/>
      </w:pPr>
    </w:p>
    <w:p w14:paraId="7B5A9C4E" w14:textId="6070AF9F" w:rsidR="00A8138F" w:rsidRDefault="00A8138F" w:rsidP="00A8138F">
      <w:pPr>
        <w:pStyle w:val="TextoNormal"/>
      </w:pPr>
      <w:r w:rsidRPr="00A8138F">
        <w:rPr>
          <w:rStyle w:val="NumeroAFNegritaCaracter"/>
        </w:rPr>
        <w:t>6</w:t>
      </w:r>
      <w:r>
        <w:t>. Por diligencia de ordenación de la Secretaría de Justicia de la Sección Cuarta de este tribunal, de 22 de octubre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655DD3C5" w14:textId="77777777" w:rsidR="00A8138F" w:rsidRDefault="00A8138F" w:rsidP="00A8138F">
      <w:pPr>
        <w:pStyle w:val="TextoNormal"/>
      </w:pPr>
    </w:p>
    <w:p w14:paraId="0CFE0A98" w14:textId="5924153F" w:rsidR="00A8138F" w:rsidRDefault="00A8138F" w:rsidP="00A8138F">
      <w:pPr>
        <w:pStyle w:val="TextoNormal"/>
      </w:pPr>
      <w:r w:rsidRPr="00A8138F">
        <w:rPr>
          <w:rStyle w:val="NumeroAFNegritaCaracter"/>
        </w:rPr>
        <w:t>7</w:t>
      </w:r>
      <w:r>
        <w:t>. Mediante escrito presentado el 15 de noviembre de 2024 en el registro de este tribunal, la letrada de la administración de la Seguridad Social realizó sus alegaciones en la representación que ostenta, ratificándose en lo mantenido a lo largo de todo el procedimiento, interesando por ello la desestimación de la demanda de amparo. No obstante, añade que, de estimarse el recurso a la vista de lo resuelto por la sentencia del Pleno del Tribunal Constitucional de 6 de noviembre de 2024, declarando la inconstitucionalidad de los arts. 48.4 de la Ley del estatuto de los trabajadores (LET) y 177 de la Ley general de la Seguridad Social (LGSS), habrá de tenerse en cuenta que el reconocimiento de las diez semanas adicionales al permiso disfrutado por la progenitora de la familia monoparental quedará supeditado al cumplimiento del resto de los requisitos legalmente establecidos para el percibo de la prestación, entre los que se incluye haber hecho efectivo el descanso, sin prestación de servicios por cuenta ajena y sin percibir las correspondientes retribuciones.</w:t>
      </w:r>
    </w:p>
    <w:p w14:paraId="0E38430E" w14:textId="77777777" w:rsidR="00A8138F" w:rsidRDefault="00A8138F" w:rsidP="00A8138F">
      <w:pPr>
        <w:pStyle w:val="TextoNormal"/>
      </w:pPr>
    </w:p>
    <w:p w14:paraId="529C1AEA" w14:textId="1BA070A9" w:rsidR="00A8138F" w:rsidRDefault="00A8138F" w:rsidP="00A8138F">
      <w:pPr>
        <w:pStyle w:val="TextoNormal"/>
      </w:pPr>
      <w:r w:rsidRPr="00A8138F">
        <w:rPr>
          <w:rStyle w:val="NumeroAFNegritaCaracter"/>
        </w:rPr>
        <w:t>8</w:t>
      </w:r>
      <w:r>
        <w:t>. El 19 de noviembre de 2024 la representación procesal de la recurrente en amparo evacuó el trámite de alegaciones conferido interesando la estimación de su recurso, dando por reproducida la argumentación contenida en el mismo y señalando que las pretensiones de esa parte se habrían visto confirmadas por este tribunal al haber declarado la inconstitucionalidad de los preceptos legales cuestionados (STC 140/2024, de 6 de noviembre).</w:t>
      </w:r>
    </w:p>
    <w:p w14:paraId="517BCFD2" w14:textId="77777777" w:rsidR="00A8138F" w:rsidRDefault="00A8138F" w:rsidP="00A8138F">
      <w:pPr>
        <w:pStyle w:val="TextoNormal"/>
      </w:pPr>
    </w:p>
    <w:p w14:paraId="613216BA" w14:textId="7FC3D5FE" w:rsidR="00A8138F" w:rsidRDefault="00A8138F" w:rsidP="00A8138F">
      <w:pPr>
        <w:pStyle w:val="TextoNormal"/>
      </w:pPr>
      <w:r w:rsidRPr="00A8138F">
        <w:rPr>
          <w:rStyle w:val="NumeroAFNegritaCaracter"/>
        </w:rPr>
        <w:t>9</w:t>
      </w:r>
      <w:r>
        <w:t>. Por escrito de 20 de diciembre de 2024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STC 140/2024, de 6 de noviembre, declarativa de la inconstitucionalidad de los arts. 48.4 LET y 177 LGSS. En relación con el alcance del fallo, señala que debería limitarse a declarar la nulidad de la sentencia de la Sala de lo Social del Tribunal Supremo y a confirmar la sentencia dictada por la Sala de lo Social del Tribunal Superior de Justicia de Madrid, que reconoció a la actora el permiso reclamado con una duración de diez semanas adicionales (al excluirse las seis primeras que necesariamente deben disfrutarse de forma ininterrumpida e inmediatamente tras al parto), sentencia con la que se aquietó y que resulta coincidente con la doctrina y pronunciamiento de la citada STC 140/2024.</w:t>
      </w:r>
    </w:p>
    <w:p w14:paraId="623CF969" w14:textId="77777777" w:rsidR="00A8138F" w:rsidRDefault="00A8138F" w:rsidP="00A8138F">
      <w:pPr>
        <w:pStyle w:val="TextoNormal"/>
      </w:pPr>
    </w:p>
    <w:p w14:paraId="237AA847" w14:textId="33965F0C" w:rsidR="00A8138F" w:rsidRDefault="00A8138F" w:rsidP="00A8138F">
      <w:pPr>
        <w:pStyle w:val="TextoNormal"/>
      </w:pPr>
      <w:r w:rsidRPr="00A8138F">
        <w:rPr>
          <w:rStyle w:val="NumeroAFNegritaCaracter"/>
        </w:rPr>
        <w:lastRenderedPageBreak/>
        <w:t>10</w:t>
      </w:r>
      <w:r>
        <w:t>. Mediante providencia de 6 de marzo de 2025, se señaló para deliberación y votación de la presente sentencia el día 10 del mismo mes y año.</w:t>
      </w:r>
    </w:p>
    <w:p w14:paraId="7DE30D60" w14:textId="77777777" w:rsidR="00A8138F" w:rsidRDefault="00A8138F" w:rsidP="00A8138F">
      <w:pPr>
        <w:pStyle w:val="TextoNormal"/>
      </w:pPr>
    </w:p>
    <w:p w14:paraId="5ACB8F69" w14:textId="77777777" w:rsidR="00A8138F" w:rsidRDefault="00A8138F" w:rsidP="00A8138F">
      <w:pPr>
        <w:pStyle w:val="TextoNormalNegritaCentrado"/>
        <w:keepNext/>
      </w:pPr>
      <w:r>
        <w:t>II. Fundamentos jurídicos</w:t>
      </w:r>
    </w:p>
    <w:p w14:paraId="2DAA5300" w14:textId="7A3EEB08" w:rsidR="00A8138F" w:rsidRDefault="00A8138F" w:rsidP="00A8138F">
      <w:pPr>
        <w:pStyle w:val="TextoNormalNegritaCentrado"/>
        <w:keepNext/>
      </w:pPr>
    </w:p>
    <w:p w14:paraId="10B8B438"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5FB57B9A" w14:textId="77777777" w:rsidR="00A8138F" w:rsidRDefault="00A8138F" w:rsidP="00A8138F">
      <w:pPr>
        <w:pStyle w:val="TextoNormal"/>
      </w:pPr>
    </w:p>
    <w:p w14:paraId="5B14222E" w14:textId="77777777"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en relación con el art. 177 del texto refundido de la Ley general de la Seguridad Social, aprobado por el Real Decreto Legislativo 8/2015, de 30 de octubre, según la redacción dada a los mismos por el Real Decreto-ley 6/2019, de 1 de marzo, de medidas urgentes para garantía de la igualdad de trato y de oportunidades entre mujeres y hombres en el empleo y la ocupación.</w:t>
      </w:r>
    </w:p>
    <w:p w14:paraId="1EF4792E" w14:textId="77777777" w:rsidR="00A8138F" w:rsidRDefault="00A8138F" w:rsidP="00A8138F">
      <w:pPr>
        <w:pStyle w:val="TextoNormal"/>
      </w:pPr>
    </w:p>
    <w:p w14:paraId="2E7DE28D" w14:textId="6D99CA21" w:rsidR="00A8138F" w:rsidRDefault="00A8138F" w:rsidP="00A8138F">
      <w:pPr>
        <w:pStyle w:val="TextoNormal"/>
      </w:pPr>
      <w:r>
        <w:t>La letrada de la Seguridad Social solicita la desestimación del recurso de amparo, mientras que el Ministerio Fiscal interesa la estimación en aplicación de la doctrina constitucional fijada en la STC 140/2024, de 6 de noviembre.</w:t>
      </w:r>
    </w:p>
    <w:p w14:paraId="68BA09B8" w14:textId="77777777" w:rsidR="00A8138F" w:rsidRDefault="00A8138F" w:rsidP="00A8138F">
      <w:pPr>
        <w:pStyle w:val="TextoNormal"/>
      </w:pPr>
    </w:p>
    <w:p w14:paraId="76DD76A7"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7894CB58" w14:textId="77777777" w:rsidR="00A8138F" w:rsidRDefault="00A8138F" w:rsidP="00A8138F">
      <w:pPr>
        <w:pStyle w:val="TextoNormal"/>
      </w:pPr>
    </w:p>
    <w:p w14:paraId="0B9C4279"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0A39AA5" w14:textId="77777777" w:rsidR="00A8138F" w:rsidRDefault="00A8138F" w:rsidP="00A8138F">
      <w:pPr>
        <w:pStyle w:val="TextoNormal"/>
      </w:pPr>
    </w:p>
    <w:p w14:paraId="7E011C4E"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E4F13B6" w14:textId="77777777" w:rsidR="00A8138F" w:rsidRDefault="00A8138F" w:rsidP="00A8138F">
      <w:pPr>
        <w:pStyle w:val="TextoNormal"/>
      </w:pPr>
    </w:p>
    <w:p w14:paraId="5FCF2EF2"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4896F1C6" w14:textId="77777777" w:rsidR="00A8138F" w:rsidRDefault="00A8138F" w:rsidP="00A8138F">
      <w:pPr>
        <w:pStyle w:val="TextoNormal"/>
      </w:pPr>
    </w:p>
    <w:p w14:paraId="47993E70" w14:textId="7F3025EC" w:rsidR="00A8138F" w:rsidRDefault="00A8138F" w:rsidP="00A8138F">
      <w:pPr>
        <w:pStyle w:val="TextoNormal"/>
      </w:pPr>
      <w:r>
        <w:t>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EC266EF" w14:textId="77777777" w:rsidR="00A8138F" w:rsidRDefault="00A8138F" w:rsidP="00A8138F">
      <w:pPr>
        <w:pStyle w:val="TextoNormal"/>
      </w:pPr>
    </w:p>
    <w:p w14:paraId="6F3B32D3" w14:textId="77777777" w:rsidR="00A8138F" w:rsidRDefault="00A8138F" w:rsidP="00A8138F">
      <w:pPr>
        <w:pStyle w:val="TextoNormalCentrado"/>
        <w:keepNext/>
      </w:pPr>
      <w:r>
        <w:t>FALLO</w:t>
      </w:r>
    </w:p>
    <w:p w14:paraId="0BAC9BAC" w14:textId="77DCDDF0" w:rsidR="00A8138F" w:rsidRDefault="00A8138F" w:rsidP="00A8138F">
      <w:pPr>
        <w:pStyle w:val="TextoNormalCentrado"/>
        <w:keepNext/>
      </w:pPr>
    </w:p>
    <w:p w14:paraId="3F2FE705" w14:textId="77777777" w:rsidR="00A8138F" w:rsidRDefault="00A8138F" w:rsidP="00A8138F">
      <w:pPr>
        <w:pStyle w:val="TextoNormal"/>
      </w:pPr>
      <w:r>
        <w:t>En atención a todo lo expuesto, el Tribunal Constitucional, por la autoridad que le confiere la Constitución de la Nación española, ha decidido:</w:t>
      </w:r>
    </w:p>
    <w:p w14:paraId="442DF2A6" w14:textId="77777777" w:rsidR="00A8138F" w:rsidRDefault="00A8138F" w:rsidP="00A8138F">
      <w:pPr>
        <w:pStyle w:val="TextoNormal"/>
      </w:pPr>
    </w:p>
    <w:p w14:paraId="420E67B6" w14:textId="77777777" w:rsidR="00A8138F" w:rsidRDefault="00A8138F" w:rsidP="00A8138F">
      <w:pPr>
        <w:pStyle w:val="TextoNormal"/>
      </w:pPr>
      <w:r>
        <w:t>1º Estimar el recurso de amparo núm. 869-2024 promovido por doña Beatriz Rodríguez Vaquero, por vulneración del derecho fundamental a la igualdad ante la ley sin discriminación por razón de nacimiento (art. 14 CE), con reconocimiento de tal derecho.</w:t>
      </w:r>
    </w:p>
    <w:p w14:paraId="47791680" w14:textId="77777777" w:rsidR="00A8138F" w:rsidRDefault="00A8138F" w:rsidP="00A8138F">
      <w:pPr>
        <w:pStyle w:val="TextoNormal"/>
      </w:pPr>
    </w:p>
    <w:p w14:paraId="290E9148" w14:textId="77777777" w:rsidR="00A8138F" w:rsidRDefault="00A8138F" w:rsidP="00A8138F">
      <w:pPr>
        <w:pStyle w:val="TextoNormal"/>
      </w:pPr>
      <w:r>
        <w:t>2º Restablecerla en su derecho y, a tal fin, declarar la nulidad de la sentencia núm. 1293/2023, de 21 de diciembre, dictada por la Sala de lo Social del Tribunal Supremo en el recurso de casación para la unificación de doctrina núm. 5346-2022.</w:t>
      </w:r>
    </w:p>
    <w:p w14:paraId="209AC245" w14:textId="77777777" w:rsidR="00A8138F" w:rsidRDefault="00A8138F" w:rsidP="00A8138F">
      <w:pPr>
        <w:pStyle w:val="TextoNormal"/>
      </w:pPr>
    </w:p>
    <w:p w14:paraId="2A42E0FF" w14:textId="7836E8F7" w:rsidR="00A8138F" w:rsidRDefault="00A8138F" w:rsidP="00A8138F">
      <w:pPr>
        <w:pStyle w:val="TextoNormal"/>
      </w:pPr>
      <w:r>
        <w:t>3º Declarar la firmeza de la sentencia núm. 939/2022, de 28 de octubre, dictada por la Sala de lo Social del Tribunal Superior de Justicia de Madrid en el recurso de suplicación núm. 515-2022.</w:t>
      </w:r>
    </w:p>
    <w:p w14:paraId="6B7CF53A" w14:textId="77777777" w:rsidR="00A8138F" w:rsidRDefault="00A8138F" w:rsidP="00A8138F">
      <w:pPr>
        <w:pStyle w:val="TextoNormal"/>
      </w:pPr>
    </w:p>
    <w:p w14:paraId="7E579CF2" w14:textId="77777777" w:rsidR="00A8138F" w:rsidRDefault="00A8138F" w:rsidP="00A8138F">
      <w:pPr>
        <w:pStyle w:val="TextoNormal"/>
      </w:pPr>
      <w:r>
        <w:t>Publíquese esta sentencia en el “Boletín Oficial del Estado”.</w:t>
      </w:r>
    </w:p>
    <w:p w14:paraId="11D65722" w14:textId="77777777" w:rsidR="00A8138F" w:rsidRDefault="00A8138F" w:rsidP="00A8138F">
      <w:pPr>
        <w:pStyle w:val="TextoNormal"/>
      </w:pPr>
      <w:r>
        <w:t>Dada en Madrid, a diez de marzo de dos mil veinticinco.</w:t>
      </w:r>
    </w:p>
    <w:p w14:paraId="3E2251FE" w14:textId="45B04B6C" w:rsidR="00A8138F" w:rsidRDefault="00A8138F">
      <w:pPr>
        <w:spacing w:after="160" w:line="278" w:lineRule="auto"/>
        <w:rPr>
          <w:rFonts w:ascii="Times New Roman" w:eastAsia="Times New Roman" w:hAnsi="Times New Roman" w:cs="Times New Roman"/>
          <w:sz w:val="24"/>
          <w:szCs w:val="24"/>
          <w:lang w:eastAsia="es-ES"/>
        </w:rPr>
      </w:pPr>
      <w:r>
        <w:br w:type="page"/>
      </w:r>
    </w:p>
    <w:p w14:paraId="1D13B78A" w14:textId="77777777" w:rsidR="00A8138F" w:rsidRDefault="00A8138F" w:rsidP="00A8138F">
      <w:pPr>
        <w:pStyle w:val="TtuloResolucin"/>
      </w:pPr>
      <w:bookmarkStart w:id="60" w:name="SENTENCIA_2025_58"/>
      <w:r>
        <w:lastRenderedPageBreak/>
        <w:t>SENTENCIA 58/2025, de 10 de marzo de 2025</w:t>
      </w:r>
    </w:p>
    <w:bookmarkEnd w:id="60"/>
    <w:p w14:paraId="723BE5C7" w14:textId="77777777" w:rsidR="00A8138F" w:rsidRDefault="00A8138F" w:rsidP="00A8138F">
      <w:pPr>
        <w:pStyle w:val="TtuloResolucin"/>
      </w:pPr>
      <w:r>
        <w:t>Sala Segunda</w:t>
      </w:r>
    </w:p>
    <w:p w14:paraId="1A6B7DD0" w14:textId="77777777" w:rsidR="00A8138F" w:rsidRDefault="00A8138F" w:rsidP="00A8138F">
      <w:pPr>
        <w:pStyle w:val="TtuloBOE"/>
      </w:pPr>
      <w:r>
        <w:t>(BOE núm. 88, de 11 de abril de 2025)</w:t>
      </w:r>
    </w:p>
    <w:p w14:paraId="0221ED59" w14:textId="77777777" w:rsidR="00A8138F" w:rsidRDefault="00A8138F" w:rsidP="00A8138F">
      <w:pPr>
        <w:pStyle w:val="TextoNormalCentrado"/>
      </w:pPr>
      <w:r>
        <w:t>ECLI:ES:TC:2025:58</w:t>
      </w:r>
    </w:p>
    <w:p w14:paraId="5B30A902" w14:textId="74D09CF2" w:rsidR="00A8138F" w:rsidRDefault="00A8138F" w:rsidP="00A8138F">
      <w:pPr>
        <w:pStyle w:val="TextoNormalCentrado"/>
      </w:pPr>
    </w:p>
    <w:p w14:paraId="6C9FAA0B" w14:textId="77777777" w:rsidR="00A8138F" w:rsidRDefault="00A8138F" w:rsidP="00A8138F">
      <w:pPr>
        <w:pStyle w:val="SntesisDescriptiva"/>
      </w:pPr>
      <w:r>
        <w:t>Recurso de amparo 1991-2024. Promovido por doña Teia Roures Cervera en relación con las resoluciones administrativas y judiciales que desestimaron su petición de revisión y ampliación de la prestación por nacimiento y cuidado de hijo menor, como madre biológica de familia monoparental.</w:t>
      </w:r>
    </w:p>
    <w:p w14:paraId="7D31613C" w14:textId="5722C9AC" w:rsidR="00A8138F" w:rsidRDefault="00A8138F" w:rsidP="00A8138F">
      <w:pPr>
        <w:pStyle w:val="SntesisDescriptiva"/>
      </w:pPr>
    </w:p>
    <w:p w14:paraId="3CCF2B5A"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35EA1699" w14:textId="5698BE73" w:rsidR="00A8138F" w:rsidRDefault="00A8138F" w:rsidP="00A8138F">
      <w:pPr>
        <w:pStyle w:val="SntesisAnaltica"/>
      </w:pPr>
    </w:p>
    <w:p w14:paraId="1C39F80D" w14:textId="76EDDA85"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76EFE496" w14:textId="77777777" w:rsidR="00A8138F" w:rsidRDefault="00A8138F" w:rsidP="00A8138F">
      <w:pPr>
        <w:pStyle w:val="Extracto"/>
      </w:pPr>
    </w:p>
    <w:p w14:paraId="51511CF7" w14:textId="77777777" w:rsidR="00A8138F" w:rsidRDefault="00A8138F" w:rsidP="00A8138F">
      <w:pPr>
        <w:pStyle w:val="Extracto"/>
      </w:pPr>
    </w:p>
    <w:p w14:paraId="208CCFF8"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1467944" w14:textId="287EB905" w:rsidR="00A8138F" w:rsidRDefault="00A8138F" w:rsidP="00A8138F">
      <w:pPr>
        <w:pStyle w:val="TextoNormal"/>
      </w:pPr>
    </w:p>
    <w:p w14:paraId="2A550175" w14:textId="77777777" w:rsidR="00A8138F" w:rsidRDefault="00A8138F" w:rsidP="00A8138F">
      <w:pPr>
        <w:pStyle w:val="TextoNormalCentrado"/>
        <w:keepNext/>
      </w:pPr>
      <w:r>
        <w:t>EN NOMBRE DEL REY</w:t>
      </w:r>
    </w:p>
    <w:p w14:paraId="376EC6BF" w14:textId="2FCB6E58" w:rsidR="00A8138F" w:rsidRDefault="00A8138F" w:rsidP="00A8138F">
      <w:pPr>
        <w:pStyle w:val="TextoNormalCentrado"/>
        <w:keepNext/>
      </w:pPr>
    </w:p>
    <w:p w14:paraId="33EB52FF" w14:textId="77777777" w:rsidR="00A8138F" w:rsidRDefault="00A8138F" w:rsidP="00A8138F">
      <w:pPr>
        <w:pStyle w:val="TextoNormalCentrado"/>
        <w:keepNext/>
      </w:pPr>
    </w:p>
    <w:p w14:paraId="5D490D29" w14:textId="77777777" w:rsidR="00A8138F" w:rsidRDefault="00A8138F" w:rsidP="00A8138F">
      <w:pPr>
        <w:pStyle w:val="TextoNormal"/>
      </w:pPr>
      <w:r>
        <w:t>la siguiente</w:t>
      </w:r>
    </w:p>
    <w:p w14:paraId="4C4BB6DC" w14:textId="0FB2E6B3" w:rsidR="00A8138F" w:rsidRDefault="00A8138F" w:rsidP="00A8138F">
      <w:pPr>
        <w:pStyle w:val="TextoNormal"/>
      </w:pPr>
    </w:p>
    <w:p w14:paraId="7DB52993" w14:textId="77777777" w:rsidR="00A8138F" w:rsidRDefault="00A8138F" w:rsidP="00A8138F">
      <w:pPr>
        <w:pStyle w:val="TextoNormalCentrado"/>
        <w:keepNext/>
      </w:pPr>
      <w:r>
        <w:t>SENTENCIA</w:t>
      </w:r>
    </w:p>
    <w:p w14:paraId="0F4B80DB" w14:textId="5E9B0FAC" w:rsidR="00A8138F" w:rsidRDefault="00A8138F" w:rsidP="00A8138F">
      <w:pPr>
        <w:pStyle w:val="TextoNormalCentrado"/>
        <w:keepNext/>
      </w:pPr>
    </w:p>
    <w:p w14:paraId="34295C37" w14:textId="77777777" w:rsidR="00A8138F" w:rsidRDefault="00A8138F" w:rsidP="00A8138F">
      <w:pPr>
        <w:pStyle w:val="TextoNormal"/>
      </w:pPr>
      <w:r>
        <w:t>En el recurso de amparo núm. 1991-2024, promovido por doña Teia Roures Cervera, representada por la procuradora de los tribunales doña María Isabel Torres Ruiz y asistida por la letrada doña Olga Georgina Marquina Pompido, contra las resoluciones administrativas del Instituto Nacional de la Seguridad Social denegatorias de la solicitud de ampliación de la prestación por nacimiento y cuidado de hijo menor a la madre biológica de familia monoparental, y contra la sentencia núm. 266/2024, de 9 de febrero, de la Sala de lo Social del Tribunal Supremo, dictada en el recurso de casación en unificación de doctrina núm. 857-2023, que confirmó el criterio mantenido en tales resoluciones. Han intervenido la letrada de la administración de la Seguridad Social y el Ministerio Fiscal. Ha sido ponente la magistrada doña Inmaculada Montalbán Huertas.</w:t>
      </w:r>
    </w:p>
    <w:p w14:paraId="16AFC0F2" w14:textId="48F32D9B" w:rsidR="00A8138F" w:rsidRDefault="00A8138F" w:rsidP="00A8138F">
      <w:pPr>
        <w:pStyle w:val="TextoNormal"/>
      </w:pPr>
    </w:p>
    <w:p w14:paraId="40F9EE0D" w14:textId="77777777" w:rsidR="00A8138F" w:rsidRDefault="00A8138F" w:rsidP="00A8138F">
      <w:pPr>
        <w:pStyle w:val="TextoNormalNegritaCentrado"/>
        <w:keepNext/>
      </w:pPr>
      <w:r>
        <w:lastRenderedPageBreak/>
        <w:t>I. Antecedentes</w:t>
      </w:r>
    </w:p>
    <w:p w14:paraId="4ED29354" w14:textId="7F6AD853" w:rsidR="00A8138F" w:rsidRDefault="00A8138F" w:rsidP="00A8138F">
      <w:pPr>
        <w:pStyle w:val="TextoNormalNegritaCentrado"/>
        <w:keepNext/>
      </w:pPr>
    </w:p>
    <w:p w14:paraId="74C3DE3C" w14:textId="5163480D" w:rsidR="00A8138F" w:rsidRDefault="00A8138F" w:rsidP="00A8138F">
      <w:pPr>
        <w:pStyle w:val="TextoNormal"/>
      </w:pPr>
      <w:r w:rsidRPr="00A8138F">
        <w:rPr>
          <w:rStyle w:val="NumeroAFNegritaCaracter"/>
        </w:rPr>
        <w:t>1</w:t>
      </w:r>
      <w:r>
        <w:t>. El 20 de marzo de 2024, la procuradora de los tribunales doña María Isabel Torres Ruiz, actuando en representación de doña Teia Roures Cervera, interpuso recurso de amparo contra la sentencia núm. 266/2024, de 9 de febrero, de la Sala de lo Social del Tribunal Supremo, que estimó el recurso de casación en unificación de doctrina presentado por el Instituto Nacional de la Seguridad Social (INSS) y confirmó el criterio seguido por dicho organismo en las resoluciones dictadas el 14 de octubre de 2021 y el 21 de octubre de 2021, en el sentido de denegar la ampliación del permiso por nacimiento y cuidado de menor correspondiente al otro progenitor, solicitado por la señora Roures Cervera, madre biológica de una familia monoparental.</w:t>
      </w:r>
    </w:p>
    <w:p w14:paraId="0E2DBB3F" w14:textId="77777777" w:rsidR="00A8138F" w:rsidRDefault="00A8138F" w:rsidP="00A8138F">
      <w:pPr>
        <w:pStyle w:val="TextoNormal"/>
      </w:pPr>
    </w:p>
    <w:p w14:paraId="24E4E9A7" w14:textId="77777777" w:rsidR="00A8138F" w:rsidRDefault="00A8138F" w:rsidP="00A8138F">
      <w:pPr>
        <w:pStyle w:val="TextoNormal"/>
      </w:pPr>
      <w:r w:rsidRPr="00A8138F">
        <w:rPr>
          <w:rStyle w:val="NumeroAFNegritaCaracter"/>
        </w:rPr>
        <w:t>2</w:t>
      </w:r>
      <w:r>
        <w:t>. El presente recurso de amparo trae causa de los siguientes antecedentes:</w:t>
      </w:r>
    </w:p>
    <w:p w14:paraId="6472AE73" w14:textId="77777777" w:rsidR="00A8138F" w:rsidRDefault="00A8138F" w:rsidP="00A8138F">
      <w:pPr>
        <w:pStyle w:val="TextoNormal"/>
      </w:pPr>
    </w:p>
    <w:p w14:paraId="3A51055F" w14:textId="77777777" w:rsidR="00A8138F" w:rsidRDefault="00A8138F" w:rsidP="00A8138F">
      <w:pPr>
        <w:pStyle w:val="TextoNormal"/>
      </w:pPr>
      <w:r>
        <w:t>a) A la recurrente en amparo, madre biológica de un niño nacido el 26 de julio de 2021, le fue reconocido, en resolución de la Dirección Provincial del Instituto Nacional de la Seguridad Social de 11 de agosto de 2021, un permiso por nacimiento y cuidado de menor, de dieciséis semanas de duración (para el periodo comprendido desde el 26 de julio al 14 de noviembre de 2021, percibiendo la prestación correspondiente del 100 por 100 de la base reguladora reconocida, de 135,67 € diarios). En septiembre de 2021 la recurrente dirigió escrito a la entidad gestora de la Seguridad Social solicitando la ampliación del permiso, añadiendo a este las dieciséis semanas que corresponderían al progenitor distinto de la madre biológica con arreglo al art. 48.4 de la Ley del estatuto de los trabajadores (LET). Alegó que, siendo titular de una familia monoparental, dicha ampliación tenía como finalidad proporcionar cuidados al menor en igualdad de condiciones con las familias biparentales. Su solicitud fue desestimada por resolución administrativa del INSS de 14 de octubre de 2021. Interpuesta reclamación previa, fue contestada desestimatoriamente por la administración competente, en resolución de 21 de octubre de 2021, que confirmó la denegación.</w:t>
      </w:r>
    </w:p>
    <w:p w14:paraId="4EC83643" w14:textId="77777777" w:rsidR="00A8138F" w:rsidRDefault="00A8138F" w:rsidP="00A8138F">
      <w:pPr>
        <w:pStyle w:val="TextoNormal"/>
      </w:pPr>
    </w:p>
    <w:p w14:paraId="11719609" w14:textId="77777777" w:rsidR="00A8138F" w:rsidRDefault="00A8138F" w:rsidP="00A8138F">
      <w:pPr>
        <w:pStyle w:val="TextoNormal"/>
      </w:pPr>
      <w:r>
        <w:t>b) Contra las resoluciones administrativas que denegaron la ampliación del permiso interpuso la recurrente en amparo demanda ante el Juzgado de lo Social núm. 10 de Barcelona, que dictó sentencia el 27 de abril de 2022 estimando parcialmente las pretensiones de la actora y declarando su derecho a una ampliación de diez semanas del permiso que le había sido concedido en su condición de madre biológica.</w:t>
      </w:r>
    </w:p>
    <w:p w14:paraId="7B85C3BD" w14:textId="77777777" w:rsidR="00A8138F" w:rsidRDefault="00A8138F" w:rsidP="00A8138F">
      <w:pPr>
        <w:pStyle w:val="TextoNormal"/>
      </w:pPr>
    </w:p>
    <w:p w14:paraId="53FBF4E6" w14:textId="77777777" w:rsidR="00A8138F" w:rsidRDefault="00A8138F" w:rsidP="00A8138F">
      <w:pPr>
        <w:pStyle w:val="TextoNormal"/>
      </w:pPr>
      <w:r>
        <w:t>c) La sentencia del juzgado de lo social fue recurrida en suplicación por el INSS y por la demandante ante la Sala de lo Social del Tribunal Superior de Justicia de Cataluña. A través de la sentencia núm. 6476/2022, de 2 de diciembre, la Sala desestimó íntegramente el recurso del INSS y estimó el recurso de la recurrente en amparo, reconociendo a esta el derecho a ampliar su permiso por nacimiento en dieciséis semanas.</w:t>
      </w:r>
    </w:p>
    <w:p w14:paraId="009F5CFF" w14:textId="77777777" w:rsidR="00A8138F" w:rsidRDefault="00A8138F" w:rsidP="00A8138F">
      <w:pPr>
        <w:pStyle w:val="TextoNormal"/>
      </w:pPr>
    </w:p>
    <w:p w14:paraId="15DDE30D" w14:textId="77777777" w:rsidR="00A8138F" w:rsidRDefault="00A8138F" w:rsidP="00A8138F">
      <w:pPr>
        <w:pStyle w:val="TextoNormal"/>
      </w:pPr>
      <w:r>
        <w:t>El recurso de suplicación se formuló en un único motivo, por la vía del apartado c) del art. 193 de la Ley reguladora de la jurisdicción social (LJS), considerando que la sentencia de instancia infringía la literalidad del art. 48.4 LET, en la redacción dada por el Real Decreto-ley 6/2019, de 1 de marzo, de medidas urgentes para garantía de la igualdad de trato y de oportunidades entre mujeres y hombres en el empleo y la ocupación, en relación con lo dispuesto en los arts. 177 y 178 de la Ley general de la Seguridad Social (LGSS), e inter</w:t>
      </w:r>
      <w:r>
        <w:lastRenderedPageBreak/>
        <w:t>pretaba de forma incorrecta la Convención sobre los derechos del niño acordada en la Asamblea General de las Naciones Unidas de 20 de noviembre de 1989, ratificado por España.</w:t>
      </w:r>
    </w:p>
    <w:p w14:paraId="7776C110" w14:textId="77777777" w:rsidR="00A8138F" w:rsidRDefault="00A8138F" w:rsidP="00A8138F">
      <w:pPr>
        <w:pStyle w:val="TextoNormal"/>
      </w:pPr>
    </w:p>
    <w:p w14:paraId="205F5375" w14:textId="77777777" w:rsidR="00A8138F" w:rsidRDefault="00A8138F" w:rsidP="00A8138F">
      <w:pPr>
        <w:pStyle w:val="TextoNormal"/>
      </w:pPr>
      <w:r>
        <w:t>La Sala consideró que lo único trascendente en este caso era el derecho del menor a disfrutar de los cuidados y atención de su progenitor o progenitores por un tiempo determinado. Por tal motivo, y para evitar un trato discriminatorio por razón de nacimiento y de su condición personal, entendió que la progenitora única que se ocupaba del cuidado del menor debía tener derecho a disfrutar de un permiso equivalente al que hubiese correspondido al otro progenitor, de existir este. La sentencia de suplicación vino a reiterar doctrina de la Sala, recogida en sentencia del Pleno de la Sala de lo Social del Tribunal Superior de Justicia de Cataluña, de 29 de noviembre de 2022 (ECLI:ES:TSJCAT:2022:9227), según la cual “la protección que la Seguridad Social dispensa a la ‘maternidad’ va mucho más allá del descanso asociado al alumbramiento, y tiene como uno de sus principales fundamentos ‘la necesidad de convivencia y contacto permanente entre madre e hijo’”. Subrayó también que el art. 39 CE proporcionaba diversos principios que habían de presidir la interpretación de las leyes vigentes (artículo 53.3 CE): procurar la protección social de la familia, la protección integral de los hijos y velar por los derechos de los niños.</w:t>
      </w:r>
    </w:p>
    <w:p w14:paraId="2A9342E8" w14:textId="77777777" w:rsidR="00A8138F" w:rsidRDefault="00A8138F" w:rsidP="00A8138F">
      <w:pPr>
        <w:pStyle w:val="TextoNormal"/>
      </w:pPr>
    </w:p>
    <w:p w14:paraId="6A24B0E3" w14:textId="77777777" w:rsidR="00A8138F" w:rsidRDefault="00A8138F" w:rsidP="00A8138F">
      <w:pPr>
        <w:pStyle w:val="TextoNormal"/>
      </w:pPr>
      <w:r>
        <w:t>d) Formalizado por el INSS y la Tesorería General de la Seguridad Social (TGSS) recurso de casación en unificación de doctrina, el mismo se resolvió por sentencia núm. 266/2024, de 9 de febrero, de la Sala de lo Social del Tribunal Supremo, que estimó el recurso de casación, casó y anuló la sentencia de la Sala de lo Social del Tribunal Superior de Justicia de Cataluña, y resolvió el recurso de suplicación interpuesto por el INSS en el sentido de revocar la sentencia del Juzgado de lo Social núm. 10 de Barcelona y confirmar las resoluciones administrativas denegatorias de la ampliación del permiso.</w:t>
      </w:r>
    </w:p>
    <w:p w14:paraId="2F18DDC2" w14:textId="77777777" w:rsidR="00A8138F" w:rsidRDefault="00A8138F" w:rsidP="00A8138F">
      <w:pPr>
        <w:pStyle w:val="TextoNormal"/>
      </w:pPr>
    </w:p>
    <w:p w14:paraId="23F93988" w14:textId="4B488C70" w:rsidR="00A8138F" w:rsidRDefault="00A8138F" w:rsidP="00A8138F">
      <w:pPr>
        <w:pStyle w:val="TextoNormal"/>
      </w:pPr>
      <w:r>
        <w:t>La sentencia de casación aplicó la doctrina fijada por la sentencia de Pleno de la Sala de lo Social del Tribunal Supremo de 2 de marzo de 2023 (ECLI:ES:TS:2023:783), aclarada por auto de 22 de marzo de 2023, que sostuvo que la función de los jueces y tribunales es la interpretación y aplicación de las normas, no la creación del Derecho. La Sala consideró que lo pretendido por la actora en la instancia era algo que correspondía conceder exclusivamente al legislador, y que esta función no podía ser suplida por los órganos judiciales a través de resoluciones que implicaban una modificación del régimen prestacional de la Seguridad Social y de la regulación de la suspensión del contrato de trabajo, por causas no previstas en la ley. Razonaba la Sala del Alto Tribunal que la norma impugnada no era contraria a la Constitución, sino expresión de la voluntad legislativa tendente al cumplimiento estricto y completo de los principios que rigen esta materia. Añadía que el interés del menor no era lo único que estaba en juego en esta materia. Era preciso tener en cuenta también que el reconocimiento de la prestación correspondiente al progenitor distinto de la madre biológica en familias biparentales precisaba del alta en la Seguridad Social de ese otro progenitor y la cobertura de un periodo mínimo de carencia. Por último, consideraba la sentencia que la perspectiva de género resultaba determinante porque lo que se pedía se situaba en el ámbito de la creación del Derecho, y el eventual déficit de protección denunciado había sido querido y consentido por el legislador.</w:t>
      </w:r>
    </w:p>
    <w:p w14:paraId="7B458712" w14:textId="77777777" w:rsidR="00A8138F" w:rsidRDefault="00A8138F" w:rsidP="00A8138F">
      <w:pPr>
        <w:pStyle w:val="TextoNormal"/>
      </w:pPr>
    </w:p>
    <w:p w14:paraId="095A4C0B" w14:textId="77777777" w:rsidR="00A8138F" w:rsidRDefault="00A8138F" w:rsidP="00A8138F">
      <w:pPr>
        <w:pStyle w:val="TextoNormal"/>
      </w:pPr>
      <w:r w:rsidRPr="00A8138F">
        <w:rPr>
          <w:rStyle w:val="NumeroAFNegritaCaracter"/>
        </w:rPr>
        <w:t>3</w:t>
      </w:r>
      <w:r>
        <w:t xml:space="preserve">. En la demanda de amparo la recurrente invoca la vulneración del derecho de igualdad del art. 14 CE, en una doble vertiente: a) discriminación indirecta por razón de sexo, dado que estadísticamente en la mayoría de las familias monoparentales la única progenitora es </w:t>
      </w:r>
      <w:r>
        <w:lastRenderedPageBreak/>
        <w:t>una mujer, con lo que se estaría perjudicando de manera desproporcionada a las mujeres sin una justificación objetiva y razonable; b) discriminación directa de los hijos e hijas nacidos en familias monoparentales, a los que se estaría dispensando un trato perjudicial y desproporcionado —al reducirse a la mitad el tiempo que pueden recibir cuidados directos de sus progenitores— debido a circunstancias personales y familiares vinculadas a su nacimiento; todo lo cual supone una vulneración del art. 14 CE en relación con el art. 39.1, 3 y 4 CE y de los acuerdos internacionales en la materia.</w:t>
      </w:r>
    </w:p>
    <w:p w14:paraId="44764CAF" w14:textId="77777777" w:rsidR="00A8138F" w:rsidRDefault="00A8138F" w:rsidP="00A8138F">
      <w:pPr>
        <w:pStyle w:val="TextoNormal"/>
      </w:pPr>
    </w:p>
    <w:p w14:paraId="1D625E90" w14:textId="1036EADA" w:rsidR="00A8138F" w:rsidRDefault="00A8138F" w:rsidP="00A8138F">
      <w:pPr>
        <w:pStyle w:val="TextoNormal"/>
      </w:pPr>
      <w:r>
        <w:t>Solicita que, con otorgamiento del amparo pedido, se declare vulnerado el derecho a no ser discriminada por razón de sexo y por razón de nacimiento (art. 14 CE en relación con el art. 39 CE) y que, en consecuencia, se decrete la nulidad tanto de la sentencia de la Sala de lo Social del Tribunal Supremo núm. 266/2024, de 9 de febrero, como de las resoluciones administrativas que denegaron a la demandante la ampliación del permiso por nacimiento que le había sido reconocido en su condición de madre biológica, y se ordene el dictado de una resolución en que se respeten los derechos fundamentales vulnerados.</w:t>
      </w:r>
    </w:p>
    <w:p w14:paraId="1591B456" w14:textId="77777777" w:rsidR="00A8138F" w:rsidRDefault="00A8138F" w:rsidP="00A8138F">
      <w:pPr>
        <w:pStyle w:val="TextoNormal"/>
      </w:pPr>
    </w:p>
    <w:p w14:paraId="63B423E6" w14:textId="77777777" w:rsidR="00A8138F" w:rsidRDefault="00A8138F" w:rsidP="00A8138F">
      <w:pPr>
        <w:pStyle w:val="TextoNormal"/>
      </w:pPr>
      <w:r w:rsidRPr="00A8138F">
        <w:rPr>
          <w:rStyle w:val="NumeroAFNegritaCaracter"/>
        </w:rPr>
        <w:t>4</w:t>
      </w:r>
      <w:r>
        <w:t>. Por providencia de 4 de noviembre de 2024, la Sección Tercera de este Tribunal Constitucional acordó admitir a trámite la demanda de amparo, al apreciar que concurría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69CEA05B" w14:textId="77777777" w:rsidR="00A8138F" w:rsidRDefault="00A8138F" w:rsidP="00A8138F">
      <w:pPr>
        <w:pStyle w:val="TextoNormal"/>
      </w:pPr>
    </w:p>
    <w:p w14:paraId="0E584721" w14:textId="40F72B19" w:rsidR="00A8138F" w:rsidRDefault="00A8138F" w:rsidP="00A8138F">
      <w:pPr>
        <w:pStyle w:val="TextoNormal"/>
      </w:pPr>
      <w:r>
        <w:t>En aplicación de lo previsto en el art. 51 LOTC se requirió a la Sala de lo Social del Tribunal Supremo y a la Sala de lo Social del Tribunal Superior de Justicia de Cataluña a fin de que, en el plazo que no excediera de diez días, remitiesen certificación o fotocopia adverada de las actuaciones correspondientes. Asimismo, se acordó dirigir atenta comunicación al Juzgado de lo Social núm. 10 de Barcelona a fin de que, en plazo que no excediera de diez días, remitiese certificación o fotocopia adverada de las actuaciones, y emplazase a quienes hubieran sido parte en el procedimiento, excepto la parte recurrente en amparo, para que, si así lo deseaban, pudieran comparecer en el presente recurso.</w:t>
      </w:r>
    </w:p>
    <w:p w14:paraId="77AB7502" w14:textId="77777777" w:rsidR="00A8138F" w:rsidRDefault="00A8138F" w:rsidP="00A8138F">
      <w:pPr>
        <w:pStyle w:val="TextoNormal"/>
      </w:pPr>
    </w:p>
    <w:p w14:paraId="3D2202A8" w14:textId="5CCCCDFB" w:rsidR="00A8138F" w:rsidRDefault="00A8138F" w:rsidP="00A8138F">
      <w:pPr>
        <w:pStyle w:val="TextoNormal"/>
      </w:pPr>
      <w:r w:rsidRPr="00A8138F">
        <w:rPr>
          <w:rStyle w:val="NumeroAFNegritaCaracter"/>
        </w:rPr>
        <w:t>5</w:t>
      </w:r>
      <w:r>
        <w:t>. Mediante escrito presentado el día 19 de diciembre de 2024, la letrada de la administración de la Seguridad Social, actuando en nombre y representación del INSS y la TGSS, interesó su personación en el presente recurso de amparo.</w:t>
      </w:r>
    </w:p>
    <w:p w14:paraId="008001D5" w14:textId="77777777" w:rsidR="00A8138F" w:rsidRDefault="00A8138F" w:rsidP="00A8138F">
      <w:pPr>
        <w:pStyle w:val="TextoNormal"/>
      </w:pPr>
    </w:p>
    <w:p w14:paraId="406AB755" w14:textId="25493545" w:rsidR="00A8138F" w:rsidRDefault="00A8138F" w:rsidP="00A8138F">
      <w:pPr>
        <w:pStyle w:val="TextoNormal"/>
      </w:pPr>
      <w:r w:rsidRPr="00A8138F">
        <w:rPr>
          <w:rStyle w:val="NumeroAFNegritaCaracter"/>
        </w:rPr>
        <w:t>6</w:t>
      </w:r>
      <w:r>
        <w:t>. Por diligencia de ordenación de 20 de diciembre de 2024 se acordó tener por personada y parte en el presente procedimiento a la letrada de la administración de la Seguridad Social, en nombre y representación del INSS y de la TGSS, y se ordenó dar vista de las actuaciones a la recurrente, al Ministerio Fiscal y a la parte personada, por plazo común de veinte días, para que pudieran presentar las alegaciones que estimaran pertinentes.</w:t>
      </w:r>
    </w:p>
    <w:p w14:paraId="3C303E50" w14:textId="77777777" w:rsidR="00A8138F" w:rsidRDefault="00A8138F" w:rsidP="00A8138F">
      <w:pPr>
        <w:pStyle w:val="TextoNormal"/>
      </w:pPr>
    </w:p>
    <w:p w14:paraId="4651E810" w14:textId="784AD2BA" w:rsidR="00A8138F" w:rsidRDefault="00A8138F" w:rsidP="00A8138F">
      <w:pPr>
        <w:pStyle w:val="TextoNormal"/>
      </w:pPr>
      <w:r w:rsidRPr="00A8138F">
        <w:rPr>
          <w:rStyle w:val="NumeroAFNegritaCaracter"/>
        </w:rPr>
        <w:t>7</w:t>
      </w:r>
      <w:r>
        <w:t>. La recurrente ha presentado sus alegaciones mediante escrito presentado el 30 de enero de 2025, en que ha ratificado la pretensión de la demanda de amparo y ha dado por reproducidas las argumentaciones vertidas en ella, invocando adicionalmente la STC 140/2024, de 6 de noviembre, recaída en la cuestión de inconstitucionalidad núm. 6694-2023, en que se aborda la controversia suscitada en el presente recurso de amparo.</w:t>
      </w:r>
    </w:p>
    <w:p w14:paraId="669611E1" w14:textId="77777777" w:rsidR="00A8138F" w:rsidRDefault="00A8138F" w:rsidP="00A8138F">
      <w:pPr>
        <w:pStyle w:val="TextoNormal"/>
      </w:pPr>
    </w:p>
    <w:p w14:paraId="6F3DE886" w14:textId="73CB761B" w:rsidR="00A8138F" w:rsidRDefault="00A8138F" w:rsidP="00A8138F">
      <w:pPr>
        <w:pStyle w:val="TextoNormal"/>
      </w:pPr>
      <w:r w:rsidRPr="00A8138F">
        <w:rPr>
          <w:rStyle w:val="NumeroAFNegritaCaracter"/>
        </w:rPr>
        <w:t>8</w:t>
      </w:r>
      <w:r>
        <w:t>. A través de escrito presentado el 31 de enero de 2025, la letrada de la administración de la Seguridad Social, obrando en representación del INSS y de la TGSS, se ha allanado a la demanda de amparo. Invoca la reciente STC 140/2024, de 6 de noviembre, que estima la cuestión de inconstitucionalidad núm. 6694-2023 y declara inconstitucionales el art. 48.4 LET y el art. 177 LGSS, con el alcance que señala en su fundamento jurídico 7. Añade que, con posterioridad a dicha sentencia, el Tribunal Constitucional ha dictado varias sentencias (concretamente cita los recursos de amparo núm. 1084-2024, 1880-2024, 1845-2024 y 6078-2023) que estiman recursos sustancialmente iguales al presente, interpuestos contra sentencias dictadas por órganos judiciales diversos en las que se denegaba la ampliación del permiso por nacimiento de hijos que reclamaban las madres biológicas de familias monoparentales. Teniendo en cuenta estas resoluciones constitucionales, la dirección del servicio jurídico de la Seguridad Social dictó la Instrucción 10/2024, de 23 de diciembre, autorizando al servicio jurídico delegado central en el INSS a allanarse en los recursos de amparo pendientes ante el Tribunal Constitucional que resulten afectados por lo establecido en el fundamento jurídico 7 de la STC 140/2024, de 6 de noviembre, del Pleno, lo que entiende ocurre en el presente supuesto.</w:t>
      </w:r>
    </w:p>
    <w:p w14:paraId="22FE259A" w14:textId="77777777" w:rsidR="00A8138F" w:rsidRDefault="00A8138F" w:rsidP="00A8138F">
      <w:pPr>
        <w:pStyle w:val="TextoNormal"/>
      </w:pPr>
    </w:p>
    <w:p w14:paraId="13E3F663" w14:textId="77777777" w:rsidR="00A8138F" w:rsidRDefault="00A8138F" w:rsidP="00A8138F">
      <w:pPr>
        <w:pStyle w:val="TextoNormal"/>
      </w:pPr>
      <w:r w:rsidRPr="00A8138F">
        <w:rPr>
          <w:rStyle w:val="NumeroAFNegritaCaracter"/>
        </w:rPr>
        <w:t>9</w:t>
      </w:r>
      <w:r>
        <w:t>. La fiscal ante este Tribunal Constitucional ha presentado sus alegaciones a través de escrito registrado en el Tribunal el 13 de febrero de 2025, en el que interesa la estimación parcial del recurso de amparo. Considera que la STC 140/2024, de 6 de noviembre, ha establecido una doctrina constitucional específica para la cuestión debatida en el presente recurso de amparo, al declarar inconstitucionales los arts. 48.4 LET y 177 LGSS, por vulneración del derecho reconocido en el art. 14 CE, en relación con el art. 39 CE, invocados ambos en el presente recurso. Es notorio que el Tribunal Constitucional no ha declarado la nulidad de las mencionadas normas legales, sino que ha fijado una interpretación provisional acorde a la Constitución Española, que afecta tanto a la normativa sobre la suspensión del contrato de trabajo allí establecida como a la prestación de la Seguridad Social anudada a dicha suspensión, todo lo cual es directamente aplicable al presente recurso.</w:t>
      </w:r>
    </w:p>
    <w:p w14:paraId="7E0BF75C" w14:textId="77777777" w:rsidR="00A8138F" w:rsidRDefault="00A8138F" w:rsidP="00A8138F">
      <w:pPr>
        <w:pStyle w:val="TextoNormal"/>
      </w:pPr>
    </w:p>
    <w:p w14:paraId="7CA1F77B" w14:textId="26F031E0" w:rsidR="00A8138F" w:rsidRDefault="00A8138F" w:rsidP="00A8138F">
      <w:pPr>
        <w:pStyle w:val="TextoNormal"/>
      </w:pPr>
      <w:r>
        <w:t>Aplicando la doctrina recogida en dicha sentencia, la fiscal entiende que en este caso debe estimarse el recurso de amparo y declararse vulnerado el derecho a la igualdad y no discriminación por razón de nacimiento en relación con la protección integral de los hijos, con independencia de su filiación y conforme a lo previsto en los convenios internacionales que velan por sus derechos (art. 14 CE en relación con el art. 39 CE). En cuanto a los efectos de la estimación del recurso, concluye que debe acordarse la nulidad de la sentencia núm. 266/2024, de 9 de febrero, de la Sala de lo Social del Tribunal Supremo, y que han de retrotraerse las actuaciones al momento previo a su dictado para que, por la misma Sala, se dicte una nueva sentencia respetuosa con el derecho fundamental vulnerado. Entiende la fiscal que esta es la solución que resulta más conforme con el principio de subsidiariedad del recurso de amparo, que atribuye la tutela de los derechos fundamentales, en primer lugar, a los tribunales ordinarios. Habiéndose otorgado esta tutela por el juzgado de lo social y por la Sala de lo social del Tribunal Superior de Justicia de Cataluña, la concreta determinación de la extensión del permiso, siempre que se respete la duración establecida en el fundamento jurídico 7 de la STC 140/2024, es una cuestión de legalidad ordinaria que corresponde resolver en el ámbito jurisdiccional social conforme al sistema de recursos establecidos.</w:t>
      </w:r>
    </w:p>
    <w:p w14:paraId="531ED898" w14:textId="77777777" w:rsidR="00A8138F" w:rsidRDefault="00A8138F" w:rsidP="00A8138F">
      <w:pPr>
        <w:pStyle w:val="TextoNormal"/>
      </w:pPr>
    </w:p>
    <w:p w14:paraId="71EF421C" w14:textId="02C81F44" w:rsidR="00A8138F" w:rsidRDefault="00A8138F" w:rsidP="00A8138F">
      <w:pPr>
        <w:pStyle w:val="TextoNormal"/>
      </w:pPr>
      <w:r w:rsidRPr="00A8138F">
        <w:rPr>
          <w:rStyle w:val="NumeroAFNegritaCaracter"/>
        </w:rPr>
        <w:lastRenderedPageBreak/>
        <w:t>10</w:t>
      </w:r>
      <w:r>
        <w:t>. Por providencia de 6 de marzo de 2025, se señaló para deliberación y votación de la presente sentencia el día 10 del mismo mes y año.</w:t>
      </w:r>
    </w:p>
    <w:p w14:paraId="673FE162" w14:textId="77777777" w:rsidR="00A8138F" w:rsidRDefault="00A8138F" w:rsidP="00A8138F">
      <w:pPr>
        <w:pStyle w:val="TextoNormal"/>
      </w:pPr>
    </w:p>
    <w:p w14:paraId="74A230D6" w14:textId="77777777" w:rsidR="00A8138F" w:rsidRDefault="00A8138F" w:rsidP="00A8138F">
      <w:pPr>
        <w:pStyle w:val="TextoNormalNegritaCentrado"/>
        <w:keepNext/>
      </w:pPr>
      <w:r>
        <w:t>II. Fundamentos jurídicos</w:t>
      </w:r>
    </w:p>
    <w:p w14:paraId="271A67CC" w14:textId="3B0CC9B0" w:rsidR="00A8138F" w:rsidRDefault="00A8138F" w:rsidP="00A8138F">
      <w:pPr>
        <w:pStyle w:val="TextoNormalNegritaCentrado"/>
        <w:keepNext/>
      </w:pPr>
    </w:p>
    <w:p w14:paraId="26FC3CF4"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65BC312E" w14:textId="77777777" w:rsidR="00A8138F" w:rsidRDefault="00A8138F" w:rsidP="00A8138F">
      <w:pPr>
        <w:pStyle w:val="TextoNormal"/>
      </w:pPr>
    </w:p>
    <w:p w14:paraId="338F2588" w14:textId="390CA62D" w:rsidR="00A8138F" w:rsidRDefault="00A8138F" w:rsidP="00A8138F">
      <w:pPr>
        <w:pStyle w:val="TextoNormal"/>
      </w:pPr>
      <w:r>
        <w:t>El objeto del presente proceso es dilucidar si la sentencia recurrida, la sentencia de la Sala de lo Social del Tribunal Supremo núm 266/2024, de 9 de febrero, ha ocasionado una discriminación por razón de nacimiento, contraria al art. 14 CE en relación con el art. 39 CE, al revocar y anular la sentencia del Tribunal Superior de Justicia de Cataluña que ratificaba la concesión a la demandante del permiso por nacimiento de hijo correspondiente al progenitor distinto de la madre biológica y lo extendía a dieciséis semanas.</w:t>
      </w:r>
    </w:p>
    <w:p w14:paraId="54B1B772" w14:textId="77777777" w:rsidR="00A8138F" w:rsidRDefault="00A8138F" w:rsidP="00A8138F">
      <w:pPr>
        <w:pStyle w:val="TextoNormal"/>
      </w:pPr>
    </w:p>
    <w:p w14:paraId="2E6C8107"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4B86C61C" w14:textId="77777777" w:rsidR="00A8138F" w:rsidRDefault="00A8138F" w:rsidP="00A8138F">
      <w:pPr>
        <w:pStyle w:val="TextoNormal"/>
      </w:pPr>
    </w:p>
    <w:p w14:paraId="3D51834B"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146D4520" w14:textId="77777777" w:rsidR="00A8138F" w:rsidRDefault="00A8138F" w:rsidP="00A8138F">
      <w:pPr>
        <w:pStyle w:val="TextoNormal"/>
      </w:pPr>
    </w:p>
    <w:p w14:paraId="55FE61B5"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A1889D5" w14:textId="77777777" w:rsidR="00A8138F" w:rsidRDefault="00A8138F" w:rsidP="00A8138F">
      <w:pPr>
        <w:pStyle w:val="TextoNormal"/>
      </w:pPr>
    </w:p>
    <w:p w14:paraId="367AACB1"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w:t>
      </w:r>
      <w:r>
        <w:lastRenderedPageBreak/>
        <w:t xml:space="preserve">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79130398" w14:textId="77777777" w:rsidR="00A8138F" w:rsidRDefault="00A8138F" w:rsidP="00A8138F">
      <w:pPr>
        <w:pStyle w:val="TextoNormal"/>
      </w:pPr>
    </w:p>
    <w:p w14:paraId="2B5670CF" w14:textId="77777777" w:rsidR="00A8138F" w:rsidRDefault="00A8138F" w:rsidP="00A8138F">
      <w:pPr>
        <w:pStyle w:val="TextoNormal"/>
      </w:pPr>
      <w:r>
        <w:t>Como concretamos en nuestra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previsto en el primer párrafo para la madre biológica el previsto en el segundo párrafo para el progenitor distinto de la madre biológica conforme a la legislación aplicable, excluyendo las semanas que necesariamente deben disfrutarse de forma ininterrumpida e inmediatamente posterior al parto.</w:t>
      </w:r>
    </w:p>
    <w:p w14:paraId="61F74336" w14:textId="77777777" w:rsidR="00A8138F" w:rsidRDefault="00A8138F" w:rsidP="00A8138F">
      <w:pPr>
        <w:pStyle w:val="TextoNormal"/>
      </w:pPr>
    </w:p>
    <w:p w14:paraId="2486E09B" w14:textId="553F0AAC" w:rsidR="00A8138F" w:rsidRDefault="00A8138F" w:rsidP="00A8138F">
      <w:pPr>
        <w:pStyle w:val="TextoNormal"/>
      </w:pPr>
      <w:r>
        <w:t>En consecuencia, debe estimarse la demanda, otorgarse el amparo solicitado y anular, dejando sin ulterior efecto, tanto la sentencia de la Sala de lo Social del Tribunal Supremo núm. 266/2024, de 9 de febrero, como la sentencia 6476/2022, de 2 de diciembre, de la Sala de lo Social del Tribunal Superior de Justicia de Cataluña, que no se ajustan a las pautas fijadas por la STC 140/2024 a la hora de ampliar el permiso de la demandante, dejando firme la sentencia dictada por el Juzgado de lo Social núm. 10 de Barcelona el 27 de abril de 2022, que sí se ajusta a dichas pautas.</w:t>
      </w:r>
    </w:p>
    <w:p w14:paraId="22CDBB4F" w14:textId="77777777" w:rsidR="00A8138F" w:rsidRDefault="00A8138F" w:rsidP="00A8138F">
      <w:pPr>
        <w:pStyle w:val="TextoNormal"/>
      </w:pPr>
    </w:p>
    <w:p w14:paraId="4EBEFBE0" w14:textId="77777777" w:rsidR="00A8138F" w:rsidRDefault="00A8138F" w:rsidP="00A8138F">
      <w:pPr>
        <w:pStyle w:val="TextoNormalCentrado"/>
        <w:keepNext/>
      </w:pPr>
      <w:r>
        <w:t>FALLO</w:t>
      </w:r>
    </w:p>
    <w:p w14:paraId="564C5FC6" w14:textId="4B030AB7" w:rsidR="00A8138F" w:rsidRDefault="00A8138F" w:rsidP="00A8138F">
      <w:pPr>
        <w:pStyle w:val="TextoNormalCentrado"/>
        <w:keepNext/>
      </w:pPr>
    </w:p>
    <w:p w14:paraId="6E42AA74"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Teia Roures Cervera y, en su virtud:</w:t>
      </w:r>
    </w:p>
    <w:p w14:paraId="17F93C23" w14:textId="77777777" w:rsidR="00A8138F" w:rsidRDefault="00A8138F" w:rsidP="00A8138F">
      <w:pPr>
        <w:pStyle w:val="TextoNormal"/>
      </w:pPr>
    </w:p>
    <w:p w14:paraId="47AC7129" w14:textId="77777777" w:rsidR="00A8138F" w:rsidRDefault="00A8138F" w:rsidP="00A8138F">
      <w:pPr>
        <w:pStyle w:val="TextoNormal"/>
      </w:pPr>
      <w:r>
        <w:t>1º Declarar vulnerado el derecho fundamental de igualdad ante la ley, sin que pueda prevalecer discriminación por razón de nacimiento (art. 14 CE).</w:t>
      </w:r>
    </w:p>
    <w:p w14:paraId="25059A75" w14:textId="77777777" w:rsidR="00A8138F" w:rsidRDefault="00A8138F" w:rsidP="00A8138F">
      <w:pPr>
        <w:pStyle w:val="TextoNormal"/>
      </w:pPr>
    </w:p>
    <w:p w14:paraId="1934B70E" w14:textId="77777777" w:rsidR="00A8138F" w:rsidRDefault="00A8138F" w:rsidP="00A8138F">
      <w:pPr>
        <w:pStyle w:val="TextoNormal"/>
      </w:pPr>
      <w:r>
        <w:t>2º Restablecerla en su derecho y, a tal fin, declarar la nulidad de la sentencia dictada por el Tribunal Superior de Justicia de Cataluña núm. 6476/2022, de 2 de diciembre, y de la sentencia núm. 266/2024, de 9 de febrero, dictada por la Sala de lo Social del Tribunal Supremo en el recuso de casación para unificación de doctrina núm. 857-2023.</w:t>
      </w:r>
    </w:p>
    <w:p w14:paraId="60DBCA63" w14:textId="77777777" w:rsidR="00A8138F" w:rsidRDefault="00A8138F" w:rsidP="00A8138F">
      <w:pPr>
        <w:pStyle w:val="TextoNormal"/>
      </w:pPr>
    </w:p>
    <w:p w14:paraId="5EE48B06" w14:textId="19D61BC2" w:rsidR="00A8138F" w:rsidRDefault="00A8138F" w:rsidP="00A8138F">
      <w:pPr>
        <w:pStyle w:val="TextoNormal"/>
      </w:pPr>
      <w:r>
        <w:t>3º Declarar la firmeza de la sentencia dictada por el Juzgado de lo Social núm. 10 de Barcelona el 27 de abril de 2022, que declaró el derecho de la demandante a ampliar el permiso en diez semanas adicionales.</w:t>
      </w:r>
    </w:p>
    <w:p w14:paraId="2C61296B" w14:textId="77777777" w:rsidR="00A8138F" w:rsidRDefault="00A8138F" w:rsidP="00A8138F">
      <w:pPr>
        <w:pStyle w:val="TextoNormal"/>
      </w:pPr>
    </w:p>
    <w:p w14:paraId="6981C523" w14:textId="77777777" w:rsidR="00A8138F" w:rsidRDefault="00A8138F" w:rsidP="00A8138F">
      <w:pPr>
        <w:pStyle w:val="TextoNormal"/>
      </w:pPr>
      <w:r>
        <w:t>Publíquese esta sentencia en el “Boletín Oficial del Estado”.</w:t>
      </w:r>
    </w:p>
    <w:p w14:paraId="466A7B44" w14:textId="77777777" w:rsidR="00A8138F" w:rsidRDefault="00A8138F" w:rsidP="00A8138F">
      <w:pPr>
        <w:pStyle w:val="TextoNormal"/>
      </w:pPr>
      <w:r>
        <w:t>Dada en Madrid, a diez de marzo de dos mil veinticinco.</w:t>
      </w:r>
    </w:p>
    <w:p w14:paraId="0B5FC469" w14:textId="73FEA6EA" w:rsidR="00A8138F" w:rsidRDefault="00A8138F">
      <w:pPr>
        <w:spacing w:after="160" w:line="278" w:lineRule="auto"/>
        <w:rPr>
          <w:rFonts w:ascii="Times New Roman" w:eastAsia="Times New Roman" w:hAnsi="Times New Roman" w:cs="Times New Roman"/>
          <w:sz w:val="24"/>
          <w:szCs w:val="24"/>
          <w:lang w:eastAsia="es-ES"/>
        </w:rPr>
      </w:pPr>
      <w:r>
        <w:br w:type="page"/>
      </w:r>
    </w:p>
    <w:p w14:paraId="6B2B2E5E" w14:textId="77777777" w:rsidR="00A8138F" w:rsidRDefault="00A8138F" w:rsidP="00A8138F">
      <w:pPr>
        <w:pStyle w:val="TtuloResolucin"/>
      </w:pPr>
      <w:bookmarkStart w:id="61" w:name="SENTENCIA_2025_59"/>
      <w:r>
        <w:lastRenderedPageBreak/>
        <w:t>SENTENCIA 59/2025, de 10 de marzo de 2025</w:t>
      </w:r>
    </w:p>
    <w:bookmarkEnd w:id="61"/>
    <w:p w14:paraId="1E9932A4" w14:textId="77777777" w:rsidR="00A8138F" w:rsidRDefault="00A8138F" w:rsidP="00A8138F">
      <w:pPr>
        <w:pStyle w:val="TtuloResolucin"/>
      </w:pPr>
      <w:r>
        <w:t>Sala Segunda</w:t>
      </w:r>
    </w:p>
    <w:p w14:paraId="5F0EAC1E" w14:textId="77777777" w:rsidR="00A8138F" w:rsidRDefault="00A8138F" w:rsidP="00A8138F">
      <w:pPr>
        <w:pStyle w:val="TtuloBOE"/>
      </w:pPr>
      <w:r>
        <w:t>(BOE núm. 88, de 11 de abril de 2025)</w:t>
      </w:r>
    </w:p>
    <w:p w14:paraId="66A96A21" w14:textId="77777777" w:rsidR="00A8138F" w:rsidRDefault="00A8138F" w:rsidP="00A8138F">
      <w:pPr>
        <w:pStyle w:val="TextoNormalCentrado"/>
      </w:pPr>
      <w:r>
        <w:t>ECLI:ES:TC:2025:59</w:t>
      </w:r>
    </w:p>
    <w:p w14:paraId="519F2A75" w14:textId="622CAB03" w:rsidR="00A8138F" w:rsidRDefault="00A8138F" w:rsidP="00A8138F">
      <w:pPr>
        <w:pStyle w:val="TextoNormalCentrado"/>
      </w:pPr>
    </w:p>
    <w:p w14:paraId="1D1EBC13" w14:textId="77777777" w:rsidR="00A8138F" w:rsidRDefault="00A8138F" w:rsidP="00A8138F">
      <w:pPr>
        <w:pStyle w:val="SntesisDescriptiva"/>
      </w:pPr>
      <w:r>
        <w:t>Recurso de amparo 1993-2024. Promovido por doña Alicia Domínguez Lage en relación con las resoluciones administrativas y judiciales que desestimaron su petición de revisión y ampliación de la prestación por nacimiento y cuidado de hijo menor, como madre biológica de familia monoparental.</w:t>
      </w:r>
    </w:p>
    <w:p w14:paraId="40BDFD26" w14:textId="0AC405CA" w:rsidR="00A8138F" w:rsidRDefault="00A8138F" w:rsidP="00A8138F">
      <w:pPr>
        <w:pStyle w:val="SntesisDescriptiva"/>
      </w:pPr>
    </w:p>
    <w:p w14:paraId="747D56AC"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F93D369" w14:textId="4039624F" w:rsidR="00A8138F" w:rsidRDefault="00A8138F" w:rsidP="00A8138F">
      <w:pPr>
        <w:pStyle w:val="SntesisAnaltica"/>
      </w:pPr>
    </w:p>
    <w:p w14:paraId="5BA3F923" w14:textId="3C99A5AE"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5F69B828" w14:textId="77777777" w:rsidR="00A8138F" w:rsidRDefault="00A8138F" w:rsidP="00A8138F">
      <w:pPr>
        <w:pStyle w:val="Extracto"/>
      </w:pPr>
    </w:p>
    <w:p w14:paraId="00B6C652" w14:textId="77777777" w:rsidR="00A8138F" w:rsidRDefault="00A8138F" w:rsidP="00A8138F">
      <w:pPr>
        <w:pStyle w:val="Extracto"/>
      </w:pPr>
    </w:p>
    <w:p w14:paraId="47E81626"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006FCCB" w14:textId="77FD3506" w:rsidR="00A8138F" w:rsidRDefault="00A8138F" w:rsidP="00A8138F">
      <w:pPr>
        <w:pStyle w:val="TextoNormal"/>
      </w:pPr>
    </w:p>
    <w:p w14:paraId="132A2033" w14:textId="77777777" w:rsidR="00A8138F" w:rsidRDefault="00A8138F" w:rsidP="00A8138F">
      <w:pPr>
        <w:pStyle w:val="TextoNormalCentrado"/>
        <w:keepNext/>
      </w:pPr>
      <w:r>
        <w:t>EN NOMBRE DEL REY</w:t>
      </w:r>
    </w:p>
    <w:p w14:paraId="18BFB50B" w14:textId="0D911D9F" w:rsidR="00A8138F" w:rsidRDefault="00A8138F" w:rsidP="00A8138F">
      <w:pPr>
        <w:pStyle w:val="TextoNormalCentrado"/>
        <w:keepNext/>
      </w:pPr>
    </w:p>
    <w:p w14:paraId="7EF1707A" w14:textId="77777777" w:rsidR="00A8138F" w:rsidRDefault="00A8138F" w:rsidP="00A8138F">
      <w:pPr>
        <w:pStyle w:val="TextoNormalCentrado"/>
        <w:keepNext/>
      </w:pPr>
    </w:p>
    <w:p w14:paraId="4D537D18" w14:textId="77777777" w:rsidR="00A8138F" w:rsidRDefault="00A8138F" w:rsidP="00A8138F">
      <w:pPr>
        <w:pStyle w:val="TextoNormal"/>
      </w:pPr>
      <w:r>
        <w:t>la siguiente</w:t>
      </w:r>
    </w:p>
    <w:p w14:paraId="1A5B78FF" w14:textId="423D863C" w:rsidR="00A8138F" w:rsidRDefault="00A8138F" w:rsidP="00A8138F">
      <w:pPr>
        <w:pStyle w:val="TextoNormal"/>
      </w:pPr>
    </w:p>
    <w:p w14:paraId="748DC755" w14:textId="77777777" w:rsidR="00A8138F" w:rsidRDefault="00A8138F" w:rsidP="00A8138F">
      <w:pPr>
        <w:pStyle w:val="TextoNormalCentrado"/>
        <w:keepNext/>
      </w:pPr>
      <w:r>
        <w:t>SENTENCIA</w:t>
      </w:r>
    </w:p>
    <w:p w14:paraId="368915DB" w14:textId="44185550" w:rsidR="00A8138F" w:rsidRDefault="00A8138F" w:rsidP="00A8138F">
      <w:pPr>
        <w:pStyle w:val="TextoNormalCentrado"/>
        <w:keepNext/>
      </w:pPr>
    </w:p>
    <w:p w14:paraId="53F209ED" w14:textId="77777777" w:rsidR="00A8138F" w:rsidRDefault="00A8138F" w:rsidP="00A8138F">
      <w:pPr>
        <w:pStyle w:val="TextoNormal"/>
      </w:pPr>
      <w:r>
        <w:t>En el recurso de amparo núm. 1993-2024, promovido por doña Alicia Domínguez Lage, representada por la procuradora de los tribunales doña Inés Conde Rodríguez y asistida por la letrada doña María del Carmen García Gómez, contra la resolución del Instituto Nacional de la Seguridad Social (INSS) de 19 de enero de 2021, que denegó su solicitud de ampliación de la duración de la prestación por nacimiento y cuidado de menor, y de 25 de febrero de 2021, que desestimó la reclamación previa formulada frente a ella, así como frente a la sentencia núm. 374/2021 del Juzgado de lo Social núm. 4 de A Coruña, de 18 de junio (autos núm. 239-2021), y la sentencia núm. 1100/2023 de la Sala de lo Social del Tribunal Supremo, de 30 de noviembre (recurso de casación para la unificación de doctrina núm. 4151-2022), que revocando la sentencia núm. 2487/2022 de la Sala de lo Social del Tribunal Superior de Justicia de Galicia, de 19 de mayo (recurso de suplicación núm. 5428-2021), confirmó la sentencia del Juzgado de lo Social. Han intervenido la letrada de la administra</w:t>
      </w:r>
      <w:r>
        <w:lastRenderedPageBreak/>
        <w:t>ción de la Seguridad Social y el Ministerio Fiscal. Ha sido ponente la magistrada doña María Luisa Balaguer Callejón.</w:t>
      </w:r>
    </w:p>
    <w:p w14:paraId="3AD5913F" w14:textId="1E08D577" w:rsidR="00A8138F" w:rsidRDefault="00A8138F" w:rsidP="00A8138F">
      <w:pPr>
        <w:pStyle w:val="TextoNormal"/>
      </w:pPr>
    </w:p>
    <w:p w14:paraId="2CC6811F" w14:textId="77777777" w:rsidR="00A8138F" w:rsidRDefault="00A8138F" w:rsidP="00A8138F">
      <w:pPr>
        <w:pStyle w:val="TextoNormalNegritaCentrado"/>
        <w:keepNext/>
      </w:pPr>
      <w:r>
        <w:t>I. Antecedentes</w:t>
      </w:r>
    </w:p>
    <w:p w14:paraId="2925AF49" w14:textId="25C25F15" w:rsidR="00A8138F" w:rsidRDefault="00A8138F" w:rsidP="00A8138F">
      <w:pPr>
        <w:pStyle w:val="TextoNormalNegritaCentrado"/>
        <w:keepNext/>
      </w:pPr>
    </w:p>
    <w:p w14:paraId="6093F62C" w14:textId="72A696F6" w:rsidR="00A8138F" w:rsidRDefault="00A8138F" w:rsidP="00A8138F">
      <w:pPr>
        <w:pStyle w:val="TextoNormal"/>
      </w:pPr>
      <w:r w:rsidRPr="00A8138F">
        <w:rPr>
          <w:rStyle w:val="NumeroAFNegritaCaracter"/>
        </w:rPr>
        <w:t>1</w:t>
      </w:r>
      <w:r>
        <w:t>. Mediante escrito presentado en el registro general de este tribunal el día 20 de marzo de 2024, la procuradora de los tribunales doña Inés Conde Rodríguez, actuando en nombre y representación de doña Alicia Domínguez Lage, con la asistencia letrada de doña María del Carmen García Gómez, interpuso recurso de amparo frente a las resoluciones administrativas y judiciales que las confirmaron, y que han sido señaladas anteriormente en el encabezamiento de esta sentencia.</w:t>
      </w:r>
    </w:p>
    <w:p w14:paraId="4F699845" w14:textId="77777777" w:rsidR="00A8138F" w:rsidRDefault="00A8138F" w:rsidP="00A8138F">
      <w:pPr>
        <w:pStyle w:val="TextoNormal"/>
      </w:pPr>
    </w:p>
    <w:p w14:paraId="7713578A" w14:textId="77777777" w:rsidR="00A8138F" w:rsidRDefault="00A8138F" w:rsidP="00A8138F">
      <w:pPr>
        <w:pStyle w:val="TextoNormal"/>
      </w:pPr>
      <w:r w:rsidRPr="00A8138F">
        <w:rPr>
          <w:rStyle w:val="NumeroAFNegritaCaracter"/>
        </w:rPr>
        <w:t>2</w:t>
      </w:r>
      <w:r>
        <w:t>. El presente recurso de amparo trae causa de los siguientes antecedentes:</w:t>
      </w:r>
    </w:p>
    <w:p w14:paraId="229A50C1" w14:textId="77777777" w:rsidR="00A8138F" w:rsidRDefault="00A8138F" w:rsidP="00A8138F">
      <w:pPr>
        <w:pStyle w:val="TextoNormal"/>
      </w:pPr>
    </w:p>
    <w:p w14:paraId="56EBD975" w14:textId="77777777" w:rsidR="00A8138F" w:rsidRDefault="00A8138F" w:rsidP="00A8138F">
      <w:pPr>
        <w:pStyle w:val="TextoNormal"/>
      </w:pPr>
      <w:r>
        <w:t>a) La recurrente en amparo, madre biológica de un menor nacido el 11 de septiembre de 2020, con el que forma una familia monoparental, solicitó que se le ampliase la prestación por nacimiento y cuidado de hijo que se le había reconocido (dieciséis semanas) en doce semanas más (las que le hubieran correspondido al otro progenitor de haberse tratado de una familia biparental). Su pretensión fue desestimada por el Instituto Nacional de la Seguridad Social (INSS) por resolución de 19 de enero de 2021 y por posterior resolución, de 25 de febrero de 2021, se desestimó la reclamación previa.</w:t>
      </w:r>
    </w:p>
    <w:p w14:paraId="3D5F9926" w14:textId="77777777" w:rsidR="00A8138F" w:rsidRDefault="00A8138F" w:rsidP="00A8138F">
      <w:pPr>
        <w:pStyle w:val="TextoNormal"/>
      </w:pPr>
    </w:p>
    <w:p w14:paraId="3CDA1C8D" w14:textId="77777777" w:rsidR="00A8138F" w:rsidRDefault="00A8138F" w:rsidP="00A8138F">
      <w:pPr>
        <w:pStyle w:val="TextoNormal"/>
      </w:pPr>
      <w:r>
        <w:t>b) Disconforme con la duración de la prestación formuló demanda en la vía judicial frente al INSS y la Tesorería General de la Seguridad Social (TGSS), que dio lugar a los autos núm. 239-2021 seguidos ante el Juzgado de lo Social núm. 4 de A Coruña. Por sentencia núm. 374/2021, de 18 de junio, se desestimó la demanda teniendo en cuenta la configuración legal de la prestación, que la dotaba de carácter personalísimo e intransferible y la falta de previsión legal de la posibilidad de acumulación salvo en casos excepcionales, negando la desigualdad de trato denunciada al partirse por la actora de una premisa equivocada, como lo era el considerar que todas las familias biparentales podían acceder a la prestación. La estimación de la demanda supondría, por tanto, acudir a una ficción, tanto en lo relativo al cumplimiento de los requisitos como en la fijación de la base reguladora.</w:t>
      </w:r>
    </w:p>
    <w:p w14:paraId="30062B7B" w14:textId="77777777" w:rsidR="00A8138F" w:rsidRDefault="00A8138F" w:rsidP="00A8138F">
      <w:pPr>
        <w:pStyle w:val="TextoNormal"/>
      </w:pPr>
    </w:p>
    <w:p w14:paraId="327FE56C" w14:textId="77777777" w:rsidR="00A8138F" w:rsidRDefault="00A8138F" w:rsidP="00A8138F">
      <w:pPr>
        <w:pStyle w:val="TextoNormal"/>
      </w:pPr>
      <w:r>
        <w:t>c) Frente a la anterior sentencia interpuso recurso de suplicación (núm. 5428-2021) la parte actora, siendo estimado por la sentencia núm. 2487/2022 de la Sala de lo Social del Tribunal Superior de Justicia de Galicia, de 19 de mayo. La Sala le reconoció a la actora la ampliación del permiso en doce semanas más, de conformidad con la normativa entonces aplicable, partiendo de que la finalidad del permiso solicitado aun cuando era múltiple incluía la del interés superior del menor y que la desestimación de la pretensión determinaba un trato diferenciado e injustificado de las familias monoparentales respecto de las biparentales.</w:t>
      </w:r>
    </w:p>
    <w:p w14:paraId="3028EB30" w14:textId="77777777" w:rsidR="00A8138F" w:rsidRDefault="00A8138F" w:rsidP="00A8138F">
      <w:pPr>
        <w:pStyle w:val="TextoNormal"/>
      </w:pPr>
    </w:p>
    <w:p w14:paraId="1BB6D420" w14:textId="0CC0BC90" w:rsidR="00A8138F" w:rsidRDefault="00A8138F" w:rsidP="00A8138F">
      <w:pPr>
        <w:pStyle w:val="TextoNormal"/>
      </w:pPr>
      <w:r>
        <w:t xml:space="preserve">d) Interpuesto recurso de casación para la unificación de doctrina (núm. 4151-2022) por el INSS, fue estimado mediante sentencia núm. 1100/2023 de la Sala de lo Social del Tribunal Supremo, de 30 de noviembre, en aplicación de la doctrina sentada en su sentencia de Pleno, de 2 de marzo de 2020 (recurso núm. 3972-2020, ECLI:ES:TS:2023:783) en la que había descartado que la normativa aplicada resultase contraria a la letra o al espíritu de la </w:t>
      </w:r>
      <w:r>
        <w:lastRenderedPageBreak/>
        <w:t>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Con base a lo anterior, la Sala casó y anuló la sentencia impugnada, confirmando y declarando la firmeza de la sentencia dictada por el Juzgado de lo Social.</w:t>
      </w:r>
    </w:p>
    <w:p w14:paraId="219E6328" w14:textId="77777777" w:rsidR="00A8138F" w:rsidRDefault="00A8138F" w:rsidP="00A8138F">
      <w:pPr>
        <w:pStyle w:val="TextoNormal"/>
      </w:pPr>
    </w:p>
    <w:p w14:paraId="6C6B18B8" w14:textId="62E92CB0" w:rsidR="00A8138F" w:rsidRDefault="00A8138F" w:rsidP="00A8138F">
      <w:pPr>
        <w:pStyle w:val="TextoNormal"/>
      </w:pPr>
      <w:r w:rsidRPr="00A8138F">
        <w:rPr>
          <w:rStyle w:val="NumeroAFNegritaCaracter"/>
        </w:rPr>
        <w:t>3</w:t>
      </w:r>
      <w:r>
        <w:t>. En la demanda de amparo la recurrente denuncia la violación del derecho a la igualdad en la ley y a la no discriminación directa por circunstancia personal y familiar e indirecta por razón de sexo (arts. 14, 39 y 9.2 CE). Las resoluciones administrativas impugnadas, que deniegan la ampliación del derecho de permiso por nacimiento y cuidado de hijos de la recurrente de amparo, madre biológica de un hijo que, por su libre decisión, ha constituido una familia monoparental, y las resoluciones judiciales que no repararon esa denegación, igualmente recurridas, han conculcado los citados preceptos constitucionales al deparar un trato desigual injustificado a las familias monoparentales con relación a las de familias biparentales en el disfrute de los permisos y prestaciones por nacimiento y cuidado de hijos regulados en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w:t>
      </w:r>
    </w:p>
    <w:p w14:paraId="703BA4C3" w14:textId="77777777" w:rsidR="00A8138F" w:rsidRDefault="00A8138F" w:rsidP="00A8138F">
      <w:pPr>
        <w:pStyle w:val="TextoNormal"/>
      </w:pPr>
    </w:p>
    <w:p w14:paraId="3C64C320" w14:textId="1FD06ACE" w:rsidR="00A8138F" w:rsidRDefault="00A8138F" w:rsidP="00A8138F">
      <w:pPr>
        <w:pStyle w:val="TextoNormal"/>
      </w:pPr>
      <w:r w:rsidRPr="00A8138F">
        <w:rPr>
          <w:rStyle w:val="NumeroAFNegritaCaracter"/>
        </w:rPr>
        <w:t>4</w:t>
      </w:r>
      <w:r>
        <w:t>. Por providencia de 9 de septiembre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 Galicia, a fin de que, en un plazo que no excediera de diez días, remitiesen certificación o fotocopia adverada de las actuaciones correspondientes al recurso de casación para la unificación de doctrina núm. 4151-2022 y al recurso de suplicación núm. 5428-2021, respectivamente. Asimismo, acordó dirigir atenta comunicación al Juzgado de lo Social núm. 4 de A Coruña a fin de que, en plazo que no excediera de diez días, remitiese certificación o fotocopia adverada de las actuaciones correspondientes a los autos núm. 239-2021, emplazando a quienes hubieran sido parte en el procedimiento, excepto la parte recurrente en amparo, para que, si lo deseaban, pudieran comparecer en el presente recurso.</w:t>
      </w:r>
    </w:p>
    <w:p w14:paraId="6152C92A" w14:textId="77777777" w:rsidR="00A8138F" w:rsidRDefault="00A8138F" w:rsidP="00A8138F">
      <w:pPr>
        <w:pStyle w:val="TextoNormal"/>
      </w:pPr>
    </w:p>
    <w:p w14:paraId="4821502B" w14:textId="378EDA25" w:rsidR="00A8138F" w:rsidRDefault="00A8138F" w:rsidP="00A8138F">
      <w:pPr>
        <w:pStyle w:val="TextoNormal"/>
      </w:pPr>
      <w:r w:rsidRPr="00A8138F">
        <w:rPr>
          <w:rStyle w:val="NumeroAFNegritaCaracter"/>
        </w:rPr>
        <w:t>5</w:t>
      </w:r>
      <w:r>
        <w:t>. El 7 de octubre de 2024 se presentó ante el registro de este tribunal un escrito en virtud del cual la letrada de la administración de la Seguridad Social, en nombre y representación del INSS y de la TGSS interesa su personación en el presente recurso de amparo.</w:t>
      </w:r>
    </w:p>
    <w:p w14:paraId="66B48447" w14:textId="77777777" w:rsidR="00A8138F" w:rsidRDefault="00A8138F" w:rsidP="00A8138F">
      <w:pPr>
        <w:pStyle w:val="TextoNormal"/>
      </w:pPr>
    </w:p>
    <w:p w14:paraId="555C9AA9" w14:textId="7222ECF3" w:rsidR="00A8138F" w:rsidRDefault="00A8138F" w:rsidP="00A8138F">
      <w:pPr>
        <w:pStyle w:val="TextoNormal"/>
      </w:pPr>
      <w:r w:rsidRPr="00A8138F">
        <w:rPr>
          <w:rStyle w:val="NumeroAFNegritaCaracter"/>
        </w:rPr>
        <w:lastRenderedPageBreak/>
        <w:t>6</w:t>
      </w:r>
      <w:r>
        <w:t>. Por diligencia de ordenación de la Secretaría de Justicia de la Sección Cuarta de este tribunal, de 21 de noviembre de 2024, se tuvo por personado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48B8ADFC" w14:textId="77777777" w:rsidR="00A8138F" w:rsidRDefault="00A8138F" w:rsidP="00A8138F">
      <w:pPr>
        <w:pStyle w:val="TextoNormal"/>
      </w:pPr>
    </w:p>
    <w:p w14:paraId="05B60C6C" w14:textId="03E0899F" w:rsidR="00A8138F" w:rsidRDefault="00A8138F" w:rsidP="00A8138F">
      <w:pPr>
        <w:pStyle w:val="TextoNormal"/>
      </w:pPr>
      <w:r w:rsidRPr="00A8138F">
        <w:rPr>
          <w:rStyle w:val="NumeroAFNegritaCaracter"/>
        </w:rPr>
        <w:t>7</w:t>
      </w:r>
      <w:r>
        <w:t>. Por medio de escrito presentado el 3 de diciembre de 2024 en el registro de este tribunal, la letrada de la administración de la Seguridad Social realizó sus alegaciones en la representación que ostenta, ratificándose en lo mantenido a lo largo de todo el procedimiento, interesando por ello la desestimación de la demanda de amparo. No obstante, añade que de estimarse el recurso a la vista de lo resuelto en la STC 140/2024, de 6 de noviembre (declarando la inconstitucionalidad de los arts. 48.4 LET y 177 LGSS), habrá de tenerse en cuenta, en todo caso,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14:paraId="689C6B70" w14:textId="77777777" w:rsidR="00A8138F" w:rsidRDefault="00A8138F" w:rsidP="00A8138F">
      <w:pPr>
        <w:pStyle w:val="TextoNormal"/>
      </w:pPr>
    </w:p>
    <w:p w14:paraId="4F3B58A5" w14:textId="33D982A3" w:rsidR="00A8138F" w:rsidRDefault="00A8138F" w:rsidP="00A8138F">
      <w:pPr>
        <w:pStyle w:val="TextoNormal"/>
      </w:pPr>
      <w:r w:rsidRPr="00A8138F">
        <w:rPr>
          <w:rStyle w:val="NumeroAFNegritaCaracter"/>
        </w:rPr>
        <w:t>8</w:t>
      </w:r>
      <w:r>
        <w:t>. El 7 de enero de 2025 la representación procesal de la recurrente en amparo evacuó el trámite de alegaciones conferido interesando la estimación de su recurso, dando por reproducida la argumentación contenida en el mismo y señalando que las pretensiones de esa parte se han visto confirmadas recientemente por este tribunal al haber declarado la inconstitucionalidad de los preceptos legales cuestionados (STC 140/2024, de 6 de noviembre). Asimismo, se hace mención del criterio de gestión en relación con la aplicabilidad de la citada sentencia, emitido por la Subdirección General de Ordenación y Asistencia Jurídica del Instituto Nacional de la Seguridad Social, de reconocer, mientras que no se lleve a cabo la correspondiente reforma legal, el derecho a la ampliación en diez semanas siempre que se disfrute del correspondiente periodo de descanso y se acredite el cumplimiento del resto de los requisitos previstos en la ley.</w:t>
      </w:r>
    </w:p>
    <w:p w14:paraId="46C2A054" w14:textId="77777777" w:rsidR="00A8138F" w:rsidRDefault="00A8138F" w:rsidP="00A8138F">
      <w:pPr>
        <w:pStyle w:val="TextoNormal"/>
      </w:pPr>
    </w:p>
    <w:p w14:paraId="35076544" w14:textId="77777777" w:rsidR="00A8138F" w:rsidRDefault="00A8138F" w:rsidP="00A8138F">
      <w:pPr>
        <w:pStyle w:val="TextoNormal"/>
      </w:pPr>
      <w:r w:rsidRPr="00A8138F">
        <w:rPr>
          <w:rStyle w:val="NumeroAFNegritaCaracter"/>
        </w:rPr>
        <w:t>9</w:t>
      </w:r>
      <w:r>
        <w:t>. Por escrito de 9 de enero de 2025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reciente STC 140/2024, que ha declarado la inconstitucionalidad de los arts. 48.4 LET y 177 LGSS.</w:t>
      </w:r>
    </w:p>
    <w:p w14:paraId="51C030A4" w14:textId="77777777" w:rsidR="00A8138F" w:rsidRDefault="00A8138F" w:rsidP="00A8138F">
      <w:pPr>
        <w:pStyle w:val="TextoNormal"/>
      </w:pPr>
    </w:p>
    <w:p w14:paraId="76FE5C05" w14:textId="77777777" w:rsidR="00A8138F" w:rsidRDefault="00A8138F" w:rsidP="00A8138F">
      <w:pPr>
        <w:pStyle w:val="TextoNormal"/>
      </w:pPr>
      <w:r>
        <w:t xml:space="preserve">Señala que, habida cuenta de la fecha de nacimiento del menor a cuyo cuidado se dirige la prestación (el 11 de septiembre de 2020), la determinación de los plazos reseñados en la STC 140/2024 ha de ser ajustada al régimen aplicable a dicho momento. En efecto, de acuerdo con la disposición transitoria decimotercera del estatuto de los trabajadores, modificada por el Real Decreto-ley 6/2019, de 1 de marzo, la prestación prevista para el otro progenitor es de “doce semanas, de las cuales las cuatro primeras deberá disfrutarlas de forma ininterrumpida inmediatamente tras el parto”. En consecuencia, nuevamente con arreglo al criterio adoptado en la STC 140/2024, la reparación del derecho a la igualdad de la recurrente no incluye las cuatro primeras semanas, por las razones que expresa la propia </w:t>
      </w:r>
      <w:r>
        <w:lastRenderedPageBreak/>
        <w:t>sentencia, lo que, en definitiva, en el caso de autos, ha de conducir a la ampliación en ocho semanas adicionales.</w:t>
      </w:r>
    </w:p>
    <w:p w14:paraId="54DE112F" w14:textId="77777777" w:rsidR="00A8138F" w:rsidRDefault="00A8138F" w:rsidP="00A8138F">
      <w:pPr>
        <w:pStyle w:val="TextoNormal"/>
      </w:pPr>
    </w:p>
    <w:p w14:paraId="5B322A59" w14:textId="1FE5E23D" w:rsidR="00A8138F" w:rsidRDefault="00A8138F" w:rsidP="00A8138F">
      <w:pPr>
        <w:pStyle w:val="TextoNormal"/>
      </w:pPr>
      <w:r>
        <w:t xml:space="preserve">Prosigue diciendo la fiscal que, a pesar de lo solicitado en la demanda de amparo, no procede la retroacción de las actuaciones hasta la primera resolución dictada por el INSS, teniendo en cuenta que —en lo relativo a la infracción del derecho fundamental— la argumentación vulneradora del derecho a la igualdad en el tenor literal del art. 48.4 LET en relación con el art. 177 LGSS que articula la fundamentación jurídica de la sentencia del Tribunal Superior de Justicia es coincidente, en lo esencial, con la STC 140/2024, por lo que la sentencia de suplicación no ha vulnerado en los términos definidos por aquella el derecho fundamental. En consecuencia, considera que no procede acordar la nulidad de la sentencia de suplicación que, por otro lado, había anulado ya la sentencia del juzgado </w:t>
      </w:r>
      <w:r w:rsidRPr="00A8138F">
        <w:rPr>
          <w:i/>
        </w:rPr>
        <w:t>a quo</w:t>
      </w:r>
      <w:r>
        <w:t xml:space="preserve"> que resolvió confirmando la resolución denegatoria del INSS. Sin perjuicio de ello, en el presente procedimiento no procedería confirmar la firmeza de la sentencia de suplicación pues reconoció a la demandante un tiempo de disfrute superior —doce semanas— al que resulta de la aplicación de la doctrina fijada en el fundamento jurídico 7 de la STC 140/2024 en el concreto caso (ocho semanas). Y habida cuenta de dicha circunstancia, el INSS interpuso frente a tal sentencia recurso de casación, dando lugar a la resolución de la Sala de lo Social del Tribunal Supremo que, atendida su fundamentación y fallo, vulnera el derecho fundamental de la demandante y ha de ser objeto de la pertinente anulación, con retroacción de las actuaciones para que en su lugar dicte otra plenamente respetuosa con el derecho vulnerado.</w:t>
      </w:r>
    </w:p>
    <w:p w14:paraId="1481676B" w14:textId="77777777" w:rsidR="00A8138F" w:rsidRDefault="00A8138F" w:rsidP="00A8138F">
      <w:pPr>
        <w:pStyle w:val="TextoNormal"/>
      </w:pPr>
    </w:p>
    <w:p w14:paraId="3816A4F7" w14:textId="57C367D4" w:rsidR="00A8138F" w:rsidRDefault="00A8138F" w:rsidP="00A8138F">
      <w:pPr>
        <w:pStyle w:val="TextoNormal"/>
      </w:pPr>
      <w:r w:rsidRPr="00A8138F">
        <w:rPr>
          <w:rStyle w:val="NumeroAFNegritaCaracter"/>
        </w:rPr>
        <w:t>10</w:t>
      </w:r>
      <w:r>
        <w:t>. Mediante providencia de 6 de marzo de 2025, se señaló para deliberación y votación de la presente sentencia el día 10 del mismo mes y año.</w:t>
      </w:r>
    </w:p>
    <w:p w14:paraId="1F4DBCB9" w14:textId="77777777" w:rsidR="00A8138F" w:rsidRDefault="00A8138F" w:rsidP="00A8138F">
      <w:pPr>
        <w:pStyle w:val="TextoNormal"/>
      </w:pPr>
    </w:p>
    <w:p w14:paraId="65CC7BA0" w14:textId="77777777" w:rsidR="00A8138F" w:rsidRDefault="00A8138F" w:rsidP="00A8138F">
      <w:pPr>
        <w:pStyle w:val="TextoNormalNegritaCentrado"/>
        <w:keepNext/>
      </w:pPr>
      <w:r>
        <w:t>II. Fundamentos jurídicos</w:t>
      </w:r>
    </w:p>
    <w:p w14:paraId="372B46CC" w14:textId="1247C13A" w:rsidR="00A8138F" w:rsidRDefault="00A8138F" w:rsidP="00A8138F">
      <w:pPr>
        <w:pStyle w:val="TextoNormalNegritaCentrado"/>
        <w:keepNext/>
      </w:pPr>
    </w:p>
    <w:p w14:paraId="2EFAC31F"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0AC3F942" w14:textId="77777777" w:rsidR="00A8138F" w:rsidRDefault="00A8138F" w:rsidP="00A8138F">
      <w:pPr>
        <w:pStyle w:val="TextoNormal"/>
      </w:pPr>
    </w:p>
    <w:p w14:paraId="7F40241D" w14:textId="77777777"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22768BFE" w14:textId="77777777" w:rsidR="00A8138F" w:rsidRDefault="00A8138F" w:rsidP="00A8138F">
      <w:pPr>
        <w:pStyle w:val="TextoNormal"/>
      </w:pPr>
    </w:p>
    <w:p w14:paraId="104CAF97" w14:textId="537CF507" w:rsidR="00A8138F" w:rsidRDefault="00A8138F" w:rsidP="00A8138F">
      <w:pPr>
        <w:pStyle w:val="TextoNormal"/>
      </w:pPr>
      <w:r>
        <w:t>La letrada de la Seguridad Social solicita la desestimación del recurso de amparo, mientras que el Ministerio Fiscal interesa la estimación en aplicación de la doctrina constitucional fijada en la STC 140/2024, de 6 de noviembre.</w:t>
      </w:r>
    </w:p>
    <w:p w14:paraId="1743D80B" w14:textId="77777777" w:rsidR="00A8138F" w:rsidRDefault="00A8138F" w:rsidP="00A8138F">
      <w:pPr>
        <w:pStyle w:val="TextoNormal"/>
      </w:pPr>
    </w:p>
    <w:p w14:paraId="553CAA72"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764E3159" w14:textId="77777777" w:rsidR="00A8138F" w:rsidRDefault="00A8138F" w:rsidP="00A8138F">
      <w:pPr>
        <w:pStyle w:val="TextoNormal"/>
      </w:pPr>
    </w:p>
    <w:p w14:paraId="158EAB14" w14:textId="77777777" w:rsidR="00A8138F" w:rsidRDefault="00A8138F" w:rsidP="00A8138F">
      <w:pPr>
        <w:pStyle w:val="TextoNormal"/>
      </w:pPr>
      <w: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w:t>
      </w:r>
      <w:r>
        <w:lastRenderedPageBreak/>
        <w:t>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1CC55E17" w14:textId="77777777" w:rsidR="00A8138F" w:rsidRDefault="00A8138F" w:rsidP="00A8138F">
      <w:pPr>
        <w:pStyle w:val="TextoNormal"/>
      </w:pPr>
    </w:p>
    <w:p w14:paraId="04D3B8E4"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0E482FB" w14:textId="77777777" w:rsidR="00A8138F" w:rsidRDefault="00A8138F" w:rsidP="00A8138F">
      <w:pPr>
        <w:pStyle w:val="TextoNormal"/>
      </w:pPr>
    </w:p>
    <w:p w14:paraId="3AD4F250"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58255E0" w14:textId="77777777" w:rsidR="00A8138F" w:rsidRDefault="00A8138F" w:rsidP="00A8138F">
      <w:pPr>
        <w:pStyle w:val="TextoNormal"/>
      </w:pPr>
    </w:p>
    <w:p w14:paraId="17AEADF0" w14:textId="305CD28E" w:rsidR="00A8138F" w:rsidRDefault="00A8138F" w:rsidP="00A8138F">
      <w:pPr>
        <w:pStyle w:val="TextoNormal"/>
      </w:pPr>
      <w:r>
        <w:t>En consecuencia, debe estimarse la demanda y otorgar el amparo solicitado. Aunque el fiscal interesa la estimación del recurso, la anulación de la sentencia núm. 1100/2023, de la Sala de lo Social del Tribunal Supremo, de 30 de noviembre, pero sin la declaración de firmeza de la sentencia de la Sala de lo Social del Tribunal Superior de Justicia de Galicia, de 19 de mayo de 2022, esta Sala considera más idóneo anular y declarar sin efectos todas las resoluciones adoptadas en la instancia, tanto en vía administrativa como en vía judicial, y retrotraer todo el procedimiento al momento previo a las resoluciones administrativas que denegaron la pretensión de la parte actora, para que sea el Instituto Nacional de la Seguridad Social el que dicte resolución expresa que resulte acorde con lo declarado en la STC 140/2024, de 6 de noviembre (FJ 7).</w:t>
      </w:r>
    </w:p>
    <w:p w14:paraId="33C7581E" w14:textId="77777777" w:rsidR="00A8138F" w:rsidRDefault="00A8138F" w:rsidP="00A8138F">
      <w:pPr>
        <w:pStyle w:val="TextoNormal"/>
      </w:pPr>
    </w:p>
    <w:p w14:paraId="28276F71" w14:textId="77777777" w:rsidR="00A8138F" w:rsidRDefault="00A8138F" w:rsidP="00A8138F">
      <w:pPr>
        <w:pStyle w:val="TextoNormalCentrado"/>
        <w:keepNext/>
      </w:pPr>
      <w:r>
        <w:t>FALLO</w:t>
      </w:r>
    </w:p>
    <w:p w14:paraId="7DEE40BE" w14:textId="3836C4C4" w:rsidR="00A8138F" w:rsidRDefault="00A8138F" w:rsidP="00A8138F">
      <w:pPr>
        <w:pStyle w:val="TextoNormalCentrado"/>
        <w:keepNext/>
      </w:pPr>
    </w:p>
    <w:p w14:paraId="6D94A343"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promovido por doña Alicia Domínguez Lage y, en su virtud:</w:t>
      </w:r>
    </w:p>
    <w:p w14:paraId="3C4A39D2" w14:textId="77777777" w:rsidR="00A8138F" w:rsidRDefault="00A8138F" w:rsidP="00A8138F">
      <w:pPr>
        <w:pStyle w:val="TextoNormal"/>
      </w:pPr>
    </w:p>
    <w:p w14:paraId="0B00728F" w14:textId="77777777" w:rsidR="00A8138F" w:rsidRDefault="00A8138F" w:rsidP="00A8138F">
      <w:pPr>
        <w:pStyle w:val="TextoNormal"/>
      </w:pPr>
      <w:r>
        <w:t>1º Declarar vulnerado el derecho fundamental a la igualdad ante la ley sin discriminación por razón de nacimiento (art. 14 CE).</w:t>
      </w:r>
    </w:p>
    <w:p w14:paraId="0E2BB7EB" w14:textId="77777777" w:rsidR="00A8138F" w:rsidRDefault="00A8138F" w:rsidP="00A8138F">
      <w:pPr>
        <w:pStyle w:val="TextoNormal"/>
      </w:pPr>
    </w:p>
    <w:p w14:paraId="7F991787" w14:textId="77777777" w:rsidR="00A8138F" w:rsidRDefault="00A8138F" w:rsidP="00A8138F">
      <w:pPr>
        <w:pStyle w:val="TextoNormal"/>
      </w:pPr>
      <w:r>
        <w:t>2º Restablecerla en su derecho y, a tal fin, declarar la nulidad : (i) de las resoluciones del Instituto Nacional de la Seguridad Social (INSS) de 19 de enero de 2021 y de 25 de febrero de 2021; (ii) de la sentencia núm. 374/2021 del Juzgado de lo Social núm. 4 de A Coruña, de 18 de junio (autos núm. 239-2021); (iii) de la sentencia núm. 2487/2022 de la Sala de lo Social del Tribunal Superior de Justicia de Galicia, de 19 de mayo (recurso de suplicación núm. 5428-2021); y (iv) de la sentencia núm. 1100/2023 de la Sala de lo Social del Tribunal Supremo, de 30 de noviembre (recurso de casación para la unificación de doctrina núm. 4151-2022).</w:t>
      </w:r>
    </w:p>
    <w:p w14:paraId="40D41AC2" w14:textId="77777777" w:rsidR="00A8138F" w:rsidRDefault="00A8138F" w:rsidP="00A8138F">
      <w:pPr>
        <w:pStyle w:val="TextoNormal"/>
      </w:pPr>
    </w:p>
    <w:p w14:paraId="485EAD7C" w14:textId="0CACB0CD" w:rsidR="00A8138F" w:rsidRDefault="00A8138F" w:rsidP="00A8138F">
      <w:pPr>
        <w:pStyle w:val="TextoNormal"/>
      </w:pPr>
      <w:r>
        <w:t>3º Retrotraer las actuaciones al momento previo a las resoluciones administrativas mencionadas en el apartado anterior, para que el Instituto Nacional de la Seguridad Social dicte resolución expresa que resulte respetuosa con el derecho fundamental reconocido a la recurrente, con el alcance fijado en el fundamento jurídico 2 de esta sentencia.</w:t>
      </w:r>
    </w:p>
    <w:p w14:paraId="2D9E881B" w14:textId="77777777" w:rsidR="00A8138F" w:rsidRDefault="00A8138F" w:rsidP="00A8138F">
      <w:pPr>
        <w:pStyle w:val="TextoNormal"/>
      </w:pPr>
    </w:p>
    <w:p w14:paraId="2EA648EA" w14:textId="77777777" w:rsidR="00A8138F" w:rsidRDefault="00A8138F" w:rsidP="00A8138F">
      <w:pPr>
        <w:pStyle w:val="TextoNormal"/>
      </w:pPr>
      <w:r>
        <w:t>Publíquese esta sentencia en el “Boletín Oficial del Estado”.</w:t>
      </w:r>
    </w:p>
    <w:p w14:paraId="2FC391A6" w14:textId="77777777" w:rsidR="00A8138F" w:rsidRDefault="00A8138F" w:rsidP="00A8138F">
      <w:pPr>
        <w:pStyle w:val="TextoNormal"/>
      </w:pPr>
      <w:r>
        <w:t>Dada en Madrid, a diez de marzo de dos mil veinticinco.</w:t>
      </w:r>
    </w:p>
    <w:p w14:paraId="21E314CA" w14:textId="1FA150A4" w:rsidR="00A8138F" w:rsidRDefault="00A8138F">
      <w:pPr>
        <w:spacing w:after="160" w:line="278" w:lineRule="auto"/>
        <w:rPr>
          <w:rFonts w:ascii="Times New Roman" w:eastAsia="Times New Roman" w:hAnsi="Times New Roman" w:cs="Times New Roman"/>
          <w:sz w:val="24"/>
          <w:szCs w:val="24"/>
          <w:lang w:eastAsia="es-ES"/>
        </w:rPr>
      </w:pPr>
      <w:r>
        <w:br w:type="page"/>
      </w:r>
    </w:p>
    <w:p w14:paraId="4BE6016D" w14:textId="77777777" w:rsidR="00A8138F" w:rsidRDefault="00A8138F" w:rsidP="00A8138F">
      <w:pPr>
        <w:pStyle w:val="TtuloResolucin"/>
      </w:pPr>
      <w:bookmarkStart w:id="62" w:name="SENTENCIA_2025_60"/>
      <w:r>
        <w:lastRenderedPageBreak/>
        <w:t>SENTENCIA 60/2025, de 10 de marzo de 2025</w:t>
      </w:r>
    </w:p>
    <w:bookmarkEnd w:id="62"/>
    <w:p w14:paraId="461C633A" w14:textId="77777777" w:rsidR="00A8138F" w:rsidRDefault="00A8138F" w:rsidP="00A8138F">
      <w:pPr>
        <w:pStyle w:val="TtuloResolucin"/>
      </w:pPr>
      <w:r>
        <w:t>Sala Segunda</w:t>
      </w:r>
    </w:p>
    <w:p w14:paraId="3995E647" w14:textId="77777777" w:rsidR="00A8138F" w:rsidRDefault="00A8138F" w:rsidP="00A8138F">
      <w:pPr>
        <w:pStyle w:val="TtuloBOE"/>
      </w:pPr>
      <w:r>
        <w:t>(BOE núm. 88, de 11 de abril de 2025)</w:t>
      </w:r>
    </w:p>
    <w:p w14:paraId="26362210" w14:textId="77777777" w:rsidR="00A8138F" w:rsidRDefault="00A8138F" w:rsidP="00A8138F">
      <w:pPr>
        <w:pStyle w:val="TextoNormalCentrado"/>
      </w:pPr>
      <w:r>
        <w:t>ECLI:ES:TC:2025:60</w:t>
      </w:r>
    </w:p>
    <w:p w14:paraId="67DE1880" w14:textId="4E5ECEF3" w:rsidR="00A8138F" w:rsidRDefault="00A8138F" w:rsidP="00A8138F">
      <w:pPr>
        <w:pStyle w:val="TextoNormalCentrado"/>
      </w:pPr>
    </w:p>
    <w:p w14:paraId="5E610A05" w14:textId="77777777" w:rsidR="00A8138F" w:rsidRDefault="00A8138F" w:rsidP="00A8138F">
      <w:pPr>
        <w:pStyle w:val="SntesisDescriptiva"/>
      </w:pPr>
      <w:r>
        <w:t>Recurso de amparo 2287-2024. Promovido por doña Patricia González Jiménez en relación con las resoluciones administrativas y judiciales que desestimaron su petición de revisión y ampliación de la prestación por nacimiento y cuidado de hijo menor, como madre biológica de familia monoparental.</w:t>
      </w:r>
    </w:p>
    <w:p w14:paraId="785AE04E" w14:textId="4FF3FDEB" w:rsidR="00A8138F" w:rsidRDefault="00A8138F" w:rsidP="00A8138F">
      <w:pPr>
        <w:pStyle w:val="SntesisDescriptiva"/>
      </w:pPr>
    </w:p>
    <w:p w14:paraId="0093B86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A7DD1A5" w14:textId="26C577DA" w:rsidR="00A8138F" w:rsidRDefault="00A8138F" w:rsidP="00A8138F">
      <w:pPr>
        <w:pStyle w:val="SntesisAnaltica"/>
      </w:pPr>
    </w:p>
    <w:p w14:paraId="4679B19F" w14:textId="459FFA27"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01B38673" w14:textId="77777777" w:rsidR="00A8138F" w:rsidRDefault="00A8138F" w:rsidP="00A8138F">
      <w:pPr>
        <w:pStyle w:val="Extracto"/>
      </w:pPr>
    </w:p>
    <w:p w14:paraId="3E3ED037" w14:textId="77777777" w:rsidR="00A8138F" w:rsidRDefault="00A8138F" w:rsidP="00A8138F">
      <w:pPr>
        <w:pStyle w:val="Extracto"/>
      </w:pPr>
    </w:p>
    <w:p w14:paraId="47E37D2C"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F0798A7" w14:textId="5AFA1AD0" w:rsidR="00A8138F" w:rsidRDefault="00A8138F" w:rsidP="00A8138F">
      <w:pPr>
        <w:pStyle w:val="TextoNormal"/>
      </w:pPr>
    </w:p>
    <w:p w14:paraId="18AD377F" w14:textId="77777777" w:rsidR="00A8138F" w:rsidRDefault="00A8138F" w:rsidP="00A8138F">
      <w:pPr>
        <w:pStyle w:val="TextoNormalCentrado"/>
        <w:keepNext/>
      </w:pPr>
      <w:r>
        <w:t>EN NOMBRE DEL REY</w:t>
      </w:r>
    </w:p>
    <w:p w14:paraId="1CD9C205" w14:textId="68F4F6CE" w:rsidR="00A8138F" w:rsidRDefault="00A8138F" w:rsidP="00A8138F">
      <w:pPr>
        <w:pStyle w:val="TextoNormalCentrado"/>
        <w:keepNext/>
      </w:pPr>
    </w:p>
    <w:p w14:paraId="78053FD0" w14:textId="77777777" w:rsidR="00A8138F" w:rsidRDefault="00A8138F" w:rsidP="00A8138F">
      <w:pPr>
        <w:pStyle w:val="TextoNormalCentrado"/>
        <w:keepNext/>
      </w:pPr>
    </w:p>
    <w:p w14:paraId="12AC299E" w14:textId="77777777" w:rsidR="00A8138F" w:rsidRDefault="00A8138F" w:rsidP="00A8138F">
      <w:pPr>
        <w:pStyle w:val="TextoNormal"/>
      </w:pPr>
      <w:r>
        <w:t>la siguiente</w:t>
      </w:r>
    </w:p>
    <w:p w14:paraId="4D184672" w14:textId="37535337" w:rsidR="00A8138F" w:rsidRDefault="00A8138F" w:rsidP="00A8138F">
      <w:pPr>
        <w:pStyle w:val="TextoNormal"/>
      </w:pPr>
    </w:p>
    <w:p w14:paraId="6371FF72" w14:textId="77777777" w:rsidR="00A8138F" w:rsidRDefault="00A8138F" w:rsidP="00A8138F">
      <w:pPr>
        <w:pStyle w:val="TextoNormalCentrado"/>
        <w:keepNext/>
      </w:pPr>
      <w:r>
        <w:t>SENTENCIA</w:t>
      </w:r>
    </w:p>
    <w:p w14:paraId="4BB1C075" w14:textId="7D3132AD" w:rsidR="00A8138F" w:rsidRDefault="00A8138F" w:rsidP="00A8138F">
      <w:pPr>
        <w:pStyle w:val="TextoNormalCentrado"/>
        <w:keepNext/>
      </w:pPr>
    </w:p>
    <w:p w14:paraId="5874795C" w14:textId="77777777" w:rsidR="00A8138F" w:rsidRDefault="00A8138F" w:rsidP="00A8138F">
      <w:pPr>
        <w:pStyle w:val="TextoNormal"/>
      </w:pPr>
      <w:r>
        <w:t>En el recurso de amparo núm. 2287-2024, promovido por doña Patricia González Jiménez, representada por la procuradora de los tribunales doña María Isabel Torres Ruiz y asistida por la letrada doña Olga Georgina Marquina Pompido, contra las resoluciones del Instituto Nacional de la Seguridad Social (INSS) de 27 de diciembre de 2021 y de 20 de enero de 2022, así como frente a la sentencia núm. 325/2024 de la Sala de lo Social del Tribunal Supremo, de 21 de febrero de 2024 (recurso de casación para la unificación de doctrina núm. 1408-2023), que las confirmó. Han intervenido la letrada de la administración de la Seguridad Social y el Ministerio Fiscal. Ha sido ponente la magistrada doña María Luisa Balaguer Callejón.</w:t>
      </w:r>
    </w:p>
    <w:p w14:paraId="2FF65A14" w14:textId="769F4DB1" w:rsidR="00A8138F" w:rsidRDefault="00A8138F" w:rsidP="00A8138F">
      <w:pPr>
        <w:pStyle w:val="TextoNormal"/>
      </w:pPr>
    </w:p>
    <w:p w14:paraId="5C920215" w14:textId="77777777" w:rsidR="00A8138F" w:rsidRDefault="00A8138F" w:rsidP="00A8138F">
      <w:pPr>
        <w:pStyle w:val="TextoNormalNegritaCentrado"/>
        <w:keepNext/>
      </w:pPr>
      <w:r>
        <w:lastRenderedPageBreak/>
        <w:t>I. Antecedentes</w:t>
      </w:r>
    </w:p>
    <w:p w14:paraId="6324A1F5" w14:textId="0F662479" w:rsidR="00A8138F" w:rsidRDefault="00A8138F" w:rsidP="00A8138F">
      <w:pPr>
        <w:pStyle w:val="TextoNormalNegritaCentrado"/>
        <w:keepNext/>
      </w:pPr>
    </w:p>
    <w:p w14:paraId="3A7453B8" w14:textId="2C12F6E7" w:rsidR="00A8138F" w:rsidRDefault="00A8138F" w:rsidP="00A8138F">
      <w:pPr>
        <w:pStyle w:val="TextoNormal"/>
      </w:pPr>
      <w:r w:rsidRPr="00A8138F">
        <w:rPr>
          <w:rStyle w:val="NumeroAFNegritaCaracter"/>
        </w:rPr>
        <w:t>1</w:t>
      </w:r>
      <w:r>
        <w:t>. Mediante escrito presentado en el registro general de este tribunal el día 3 de abril de 2024, la procuradora de los tribunales doña María Isabel Torres Ruiz, actuando en nombre y representación de doña Patricia González Jiménez, con la asistencia letrada de doña Olga Georgina Marquina Pompido, interpuso recurso de amparo frente a las resoluciones administrativas y judiciales que las confirmaron, y que han sido señaladas anteriormente en el encabezamiento de esta sentencia.</w:t>
      </w:r>
    </w:p>
    <w:p w14:paraId="2ABE8EB8" w14:textId="77777777" w:rsidR="00A8138F" w:rsidRDefault="00A8138F" w:rsidP="00A8138F">
      <w:pPr>
        <w:pStyle w:val="TextoNormal"/>
      </w:pPr>
    </w:p>
    <w:p w14:paraId="224CBA46" w14:textId="77777777" w:rsidR="00A8138F" w:rsidRDefault="00A8138F" w:rsidP="00A8138F">
      <w:pPr>
        <w:pStyle w:val="TextoNormal"/>
      </w:pPr>
      <w:r w:rsidRPr="00A8138F">
        <w:rPr>
          <w:rStyle w:val="NumeroAFNegritaCaracter"/>
        </w:rPr>
        <w:t>2</w:t>
      </w:r>
      <w:r>
        <w:t>. El presente recurso de amparo trae causa de los siguientes antecedentes:</w:t>
      </w:r>
    </w:p>
    <w:p w14:paraId="3F5CF828" w14:textId="77777777" w:rsidR="00A8138F" w:rsidRDefault="00A8138F" w:rsidP="00A8138F">
      <w:pPr>
        <w:pStyle w:val="TextoNormal"/>
      </w:pPr>
    </w:p>
    <w:p w14:paraId="022B3CB9" w14:textId="77777777" w:rsidR="00A8138F" w:rsidRDefault="00A8138F" w:rsidP="00A8138F">
      <w:pPr>
        <w:pStyle w:val="TextoNormal"/>
      </w:pPr>
      <w:r>
        <w:t>a) La recurrente en amparo, madre biológica de un menor nacido el 14 de agosto de 2021, con el que forma una familia monoparental, solicitó que se le ampliase la prestación por nacimiento y cuidado de hijo que se le había reconocido (dieciséis semanas) en otras dieciséis semanas adicionales (las que le hubieran correspondido al otro progenitor de haberse tratado de una familia biparental). Su pretensión fue desestimada por el INSS por resolución de 27 de diciembre de 2021. Formulada reclamación previa fue objeto de desestimación por resolución de 20 de enero de 2022 al no existir previsión legal para reconocer el derecho reclamado.</w:t>
      </w:r>
    </w:p>
    <w:p w14:paraId="5AC93282" w14:textId="77777777" w:rsidR="00A8138F" w:rsidRDefault="00A8138F" w:rsidP="00A8138F">
      <w:pPr>
        <w:pStyle w:val="TextoNormal"/>
      </w:pPr>
    </w:p>
    <w:p w14:paraId="4C6F6D20" w14:textId="77777777" w:rsidR="00A8138F" w:rsidRDefault="00A8138F" w:rsidP="00A8138F">
      <w:pPr>
        <w:pStyle w:val="TextoNormal"/>
      </w:pPr>
      <w:r>
        <w:t>b) Disconforme con la duración de la prestación formuló demanda en la vía judicial frente al INSS y la Tesorería General de la Seguridad Social (TGSS), que dio lugar a los autos 119-2022 seguidos ante el Juzgado de lo Social núm. 1 de Granollers. Por sentencia núm. 128/2022, de 26 de abril de 2022, se estimó íntegramente su demanda (reconocimiento de dieciséis semanas adicionales de prestación), haciendo suyos los argumentos contenidos en la sentencia de la Sala de lo Social del Tribunal Superior de Justicia del País Vasco, de 6 de octubre de 2020 (recurso de suplicación núm. 941-2020). Con base en dicho pronunciamiento, entendiendo que el derecho del menor debía de ser primordial y debidamente protegido, y que una solución distinta conculcaría el derecho a la igualdad que consagra la Convención de los derechos del niño, aprobada en la Asamblea General de las Naciones Unidas, de 20 de noviembre de 1989, se estimó la demanda dado que la atención, el cuidado y el desarrollo del hijo de la demandante había sufrido una merma respecto de otros que en situación semejante estaban encuadrados dentro de una familia biparental.</w:t>
      </w:r>
    </w:p>
    <w:p w14:paraId="2B0EF4FB" w14:textId="77777777" w:rsidR="00A8138F" w:rsidRDefault="00A8138F" w:rsidP="00A8138F">
      <w:pPr>
        <w:pStyle w:val="TextoNormal"/>
      </w:pPr>
    </w:p>
    <w:p w14:paraId="5302744F" w14:textId="77777777" w:rsidR="00A8138F" w:rsidRDefault="00A8138F" w:rsidP="00A8138F">
      <w:pPr>
        <w:pStyle w:val="TextoNormal"/>
      </w:pPr>
      <w:r>
        <w:t>c) Frente a la anterior sentencia interpuso recurso de suplicación (núm. 5320-2022) el INSS. El recurso fue desestimado por medio de sentencia núm. 393/2023 de la Sala de lo Social del Tribunal Superior de Justicia de Cataluña, de 25 de enero de 2023, que confirmó la sentencia de instancia en todos sus extremos, manteniendo el derecho de la demandante al disfrute de treinta y dos semanas de suspensión del contrato y prestación correspondiente (esto es, se accedió a la ampliación de la prestación en dieciséis semanas adicionales sin descontar las seis primeras inmediatamente posteriores al parto). Según la Sala, no era posible compartir la interpretación propuesta por el INSS por cuanto que resultaba contraria al principio de igualdad (art. 14 CE) y suponía un incumplimiento de los deberes de protección a la familia derivado del art. 39 CE, al hacer de peor condición a las familias monoparentales, produciendo una desprotección y discriminación respecto de los menores pertenecientes a modelos de familias monoparentales obviando, así, el interés jurídico superior del menor. A mayor abundamiento, también añadió que incluso podría valorarse la concurren</w:t>
      </w:r>
      <w:r>
        <w:lastRenderedPageBreak/>
        <w:t>cia de una discriminación indirecta por razón de sexo, a tenor de que, según los datos estadísticos, las familias monoparentales estaban constituidas primordialmente por mujeres.</w:t>
      </w:r>
    </w:p>
    <w:p w14:paraId="26E15743" w14:textId="77777777" w:rsidR="00A8138F" w:rsidRDefault="00A8138F" w:rsidP="00A8138F">
      <w:pPr>
        <w:pStyle w:val="TextoNormal"/>
      </w:pPr>
    </w:p>
    <w:p w14:paraId="28F5C963" w14:textId="1BCF9824" w:rsidR="00A8138F" w:rsidRDefault="00A8138F" w:rsidP="00A8138F">
      <w:pPr>
        <w:pStyle w:val="TextoNormal"/>
      </w:pPr>
      <w:r>
        <w:t>d) Interpuesto recurso de casación para la unificación de doctrina (núm. 1408-2023) por el INSS, fue estimado mediante sentencia núm. 325/2024 de la Sala de lo Social del Tribunal Supremo, de 21 de febrero de 2024, en aplicación de la doctrina sentada en su sentencia de Pleno, de 2 de marzo de 2020 (recurso núm. 3972-2020) en la que había descartado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Con base a lo anterior, se casó y anuló la sentencia de suplicación, y se revocó la de instancia desestimando la demanda y ratificando el contenido de la resolución del INSS de 27 de diciembre de 2021.</w:t>
      </w:r>
    </w:p>
    <w:p w14:paraId="231ED661" w14:textId="77777777" w:rsidR="00A8138F" w:rsidRDefault="00A8138F" w:rsidP="00A8138F">
      <w:pPr>
        <w:pStyle w:val="TextoNormal"/>
      </w:pPr>
    </w:p>
    <w:p w14:paraId="01E97BFB" w14:textId="6C879BAF" w:rsidR="00A8138F" w:rsidRDefault="00A8138F" w:rsidP="00A8138F">
      <w:pPr>
        <w:pStyle w:val="TextoNormal"/>
      </w:pPr>
      <w:r w:rsidRPr="00A8138F">
        <w:rPr>
          <w:rStyle w:val="NumeroAFNegritaCaracter"/>
        </w:rPr>
        <w:t>3</w:t>
      </w:r>
      <w:r>
        <w:t>. En la demanda de amparo la recurrente denuncia la violación del derecho a no ser discriminada por razón de sexo y de nacimiento (art. 14 CE). Las resoluciones administrativas impugnadas, que deniegan la ampliación del derecho de permiso por nacimiento y cuidado de hijos de la recurrente de amparo, madre biológica de un hijo que, por su libre decisión, ha constituido una familia monoparental, y las resoluciones judiciales que no repararon esa denegación, igualmente recurridas, han conculcado los citados preceptos constitucionales al deparar un trato desigual injustificado a las familias monoparentales en relación con las de familias biparentales en el disfrute de los permisos y prestaciones por nacimiento y cuidado de hijos regulados en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 La exclusión del primero de los modelos familiares de la norma produce una insuficiencia de tutela legal de la protección de la familia y el menor, que resulta impuesta por el art. 39 CE en relación con el art. 14 CE. Se denuncia también una discriminación indirecta por razón de sexo de las mujeres en el acceso de las prestaciones dada la afectación que sufren en su carrera profesional por la opción de constituir una familia monoparental.</w:t>
      </w:r>
    </w:p>
    <w:p w14:paraId="427A9B0B" w14:textId="77777777" w:rsidR="00A8138F" w:rsidRDefault="00A8138F" w:rsidP="00A8138F">
      <w:pPr>
        <w:pStyle w:val="TextoNormal"/>
      </w:pPr>
    </w:p>
    <w:p w14:paraId="6FDE71DB" w14:textId="45EE7EA4" w:rsidR="00A8138F" w:rsidRDefault="00A8138F" w:rsidP="00A8138F">
      <w:pPr>
        <w:pStyle w:val="TextoNormal"/>
      </w:pPr>
      <w:r w:rsidRPr="00A8138F">
        <w:rPr>
          <w:rStyle w:val="NumeroAFNegritaCaracter"/>
        </w:rPr>
        <w:t>4</w:t>
      </w:r>
      <w:r>
        <w:t>. Por providencia de 9 de septiembre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 Cataluña, a fin de que, en un plazo que no excediera de diez días, remitiesen certificación o fotocopia adverada de las actuaciones correspondientes al recurso de casación para la unificación de doctrina núm. 1408-2023 y al recurso de suplicación núm. 5320-2022, respecti</w:t>
      </w:r>
      <w:r>
        <w:lastRenderedPageBreak/>
        <w:t>vamente. Asimismo, acordó dirigir atenta comunicación al Juzgado de lo Social núm. 1 de Granollers de que, en plazo que no excediera de diez días, remitiese certificación o fotocopia adverada de las actuaciones correspondientes a los autos núm. 119-2022, emplazando a quienes hubieran sido parte en el procedimiento, excepto la parte recurrente en amparo, para que, si lo deseaban, pudieran comparecer en el presente recurso.</w:t>
      </w:r>
    </w:p>
    <w:p w14:paraId="0266EA57" w14:textId="77777777" w:rsidR="00A8138F" w:rsidRDefault="00A8138F" w:rsidP="00A8138F">
      <w:pPr>
        <w:pStyle w:val="TextoNormal"/>
      </w:pPr>
    </w:p>
    <w:p w14:paraId="3AB686E8" w14:textId="5E09D5B9" w:rsidR="00A8138F" w:rsidRDefault="00A8138F" w:rsidP="00A8138F">
      <w:pPr>
        <w:pStyle w:val="TextoNormal"/>
      </w:pPr>
      <w:r w:rsidRPr="00A8138F">
        <w:rPr>
          <w:rStyle w:val="NumeroAFNegritaCaracter"/>
        </w:rPr>
        <w:t>5</w:t>
      </w:r>
      <w:r>
        <w:t>. El 4 de octubre de 2024 presentó ante el registro de este tribunal un escrito en virtud del cual la letrada de la administración de la Seguridad Social, en nombre y representación del INSS y de la TGSS interesa su personación en el presente recurso de amparo.</w:t>
      </w:r>
    </w:p>
    <w:p w14:paraId="00EDA9AA" w14:textId="77777777" w:rsidR="00A8138F" w:rsidRDefault="00A8138F" w:rsidP="00A8138F">
      <w:pPr>
        <w:pStyle w:val="TextoNormal"/>
      </w:pPr>
    </w:p>
    <w:p w14:paraId="6BE0E3DF" w14:textId="09587D73" w:rsidR="00A8138F" w:rsidRDefault="00A8138F" w:rsidP="00A8138F">
      <w:pPr>
        <w:pStyle w:val="TextoNormal"/>
      </w:pPr>
      <w:r w:rsidRPr="00A8138F">
        <w:rPr>
          <w:rStyle w:val="NumeroAFNegritaCaracter"/>
        </w:rPr>
        <w:t>6</w:t>
      </w:r>
      <w:r>
        <w:t>. Por diligencia de ordenación de la Secretaría de Justicia de la Sección Cuarta de este tribunal, de 21 de octubre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5616718F" w14:textId="77777777" w:rsidR="00A8138F" w:rsidRDefault="00A8138F" w:rsidP="00A8138F">
      <w:pPr>
        <w:pStyle w:val="TextoNormal"/>
      </w:pPr>
    </w:p>
    <w:p w14:paraId="04DE5EF0" w14:textId="00B9EB58" w:rsidR="00A8138F" w:rsidRDefault="00A8138F" w:rsidP="00A8138F">
      <w:pPr>
        <w:pStyle w:val="TextoNormal"/>
      </w:pPr>
      <w:r w:rsidRPr="00A8138F">
        <w:rPr>
          <w:rStyle w:val="NumeroAFNegritaCaracter"/>
        </w:rPr>
        <w:t>7</w:t>
      </w:r>
      <w:r>
        <w:t>. Por medio de escrito presentado el 19 de noviembre de 2024 en el registro de este tribunal, la letrada de la administración de la Seguridad Social realizó sus alegaciones en la representación que ostenta, ratificándose en lo mantenido a lo largo de todo el procedimiento, interesando por ello la desestimación de la demanda de amparo. No obstante, añade que de estimarse el recurso a la vista de lo resuelto en la sentencia del Pleno del Tribunal Constitucional de 6 de noviembre de 2024 (declarando la inconstitucionalidad de los arts. 48.4 LET y 177 LGSS), habrá de tenerse en cuenta, en todo caso, que el reconocimiento de las diez semanas adicionales (y no dieciséis, al deberse de excluir las seis primeras, inmediatamente consecutivas al parto)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14:paraId="72909987" w14:textId="77777777" w:rsidR="00A8138F" w:rsidRDefault="00A8138F" w:rsidP="00A8138F">
      <w:pPr>
        <w:pStyle w:val="TextoNormal"/>
      </w:pPr>
    </w:p>
    <w:p w14:paraId="3E11ED89" w14:textId="32EAC48C" w:rsidR="00A8138F" w:rsidRDefault="00A8138F" w:rsidP="00A8138F">
      <w:pPr>
        <w:pStyle w:val="TextoNormal"/>
      </w:pPr>
      <w:r w:rsidRPr="00A8138F">
        <w:rPr>
          <w:rStyle w:val="NumeroAFNegritaCaracter"/>
        </w:rPr>
        <w:t>8</w:t>
      </w:r>
      <w:r>
        <w:t>. El 19 de noviembre de 2024 la representación procesal de la recurrente en amparo evacuó el trámite de alegaciones conferido interesando la estimación de su recurso, por aplicación de lo resuelto en la STC 140/2024, de 6 de noviembre, perfectamente trasladable al caso de autos al tener idéntico objeto (ampliación de la prestación por nacimiento y cuidado del menor en familia monoparental).</w:t>
      </w:r>
    </w:p>
    <w:p w14:paraId="036D7E2A" w14:textId="77777777" w:rsidR="00A8138F" w:rsidRDefault="00A8138F" w:rsidP="00A8138F">
      <w:pPr>
        <w:pStyle w:val="TextoNormal"/>
      </w:pPr>
    </w:p>
    <w:p w14:paraId="325ED43F" w14:textId="77777777" w:rsidR="00A8138F" w:rsidRDefault="00A8138F" w:rsidP="00A8138F">
      <w:pPr>
        <w:pStyle w:val="TextoNormal"/>
      </w:pPr>
      <w:r w:rsidRPr="00A8138F">
        <w:rPr>
          <w:rStyle w:val="NumeroAFNegritaCaracter"/>
        </w:rPr>
        <w:t>9</w:t>
      </w:r>
      <w:r>
        <w:t>. Por escrito de 11 de diciembre de 2025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LET y 177 LGSS.</w:t>
      </w:r>
    </w:p>
    <w:p w14:paraId="781CD671" w14:textId="77777777" w:rsidR="00A8138F" w:rsidRDefault="00A8138F" w:rsidP="00A8138F">
      <w:pPr>
        <w:pStyle w:val="TextoNormal"/>
      </w:pPr>
    </w:p>
    <w:p w14:paraId="6AE4079A" w14:textId="77777777" w:rsidR="00A8138F" w:rsidRDefault="00A8138F" w:rsidP="00A8138F">
      <w:pPr>
        <w:pStyle w:val="TextoNormal"/>
      </w:pPr>
      <w:r>
        <w:t xml:space="preserve">El fiscal considera que no procede la retroacción de las actuaciones hasta la primera resolución dictada por el INSS, teniendo en cuenta que —en lo relativo a la infracción del </w:t>
      </w:r>
      <w:r>
        <w:lastRenderedPageBreak/>
        <w:t>derecho fundamental— la argumentación vulneradora del derecho a la igualdad en el tenor literal del art. 48.4 LET en relación con el art. 177 LGSS que articula la fundamentación jurídica de la sentencia del Tribunal Superior de Justicia y del juzgado de lo social es coincidente, en lo esencial, con la STC 140/2024, por lo que la sentencia de suplicación y la de instancia no han vulnerado en los términos definidos por aquella el derecho fundamental.</w:t>
      </w:r>
    </w:p>
    <w:p w14:paraId="4FFB9654" w14:textId="77777777" w:rsidR="00A8138F" w:rsidRDefault="00A8138F" w:rsidP="00A8138F">
      <w:pPr>
        <w:pStyle w:val="TextoNormal"/>
      </w:pPr>
    </w:p>
    <w:p w14:paraId="48D5D398" w14:textId="333C3EF9" w:rsidR="00A8138F" w:rsidRDefault="00A8138F" w:rsidP="00A8138F">
      <w:pPr>
        <w:pStyle w:val="TextoNormal"/>
      </w:pPr>
      <w:r>
        <w:t>Sin perjuicio de ello, en el presente procedimiento no procedería confirmar la firmeza de la sentencia de suplicación pues reconoció a la demandante un tiempo de disfrute superior —doce semanas— al que resulta de la aplicación de la doctrina fijada en el fundamento jurídico 7 de la STC 140/2024 (diez semanas). Y habida cuenta de dicha circunstancia, el INSS interpuso frente a tal sentencia recurso de casación, dando lugar a la resolución de la Sala Cuarta del Tribunal Supremo que, atendida su fundamentación y fallo, vulnera el derecho fundamental de la demandante y ha de ser objeto de la pertinente anulación, con retroacción de las actuaciones para que en su lugar dicte otra plenamente respetuosa con el derecho vulnerado.</w:t>
      </w:r>
    </w:p>
    <w:p w14:paraId="617B497E" w14:textId="77777777" w:rsidR="00A8138F" w:rsidRDefault="00A8138F" w:rsidP="00A8138F">
      <w:pPr>
        <w:pStyle w:val="TextoNormal"/>
      </w:pPr>
    </w:p>
    <w:p w14:paraId="31805450" w14:textId="232F416E" w:rsidR="00A8138F" w:rsidRDefault="00A8138F" w:rsidP="00A8138F">
      <w:pPr>
        <w:pStyle w:val="TextoNormal"/>
      </w:pPr>
      <w:r w:rsidRPr="00A8138F">
        <w:rPr>
          <w:rStyle w:val="NumeroAFNegritaCaracter"/>
        </w:rPr>
        <w:t>10</w:t>
      </w:r>
      <w:r>
        <w:t>. Mediante providencia de 6 de marzo de 2025, se señaló para deliberación y votación de la presente sentencia el día 10 del mismo mes y año.</w:t>
      </w:r>
    </w:p>
    <w:p w14:paraId="4BF3D46B" w14:textId="77777777" w:rsidR="00A8138F" w:rsidRDefault="00A8138F" w:rsidP="00A8138F">
      <w:pPr>
        <w:pStyle w:val="TextoNormal"/>
      </w:pPr>
    </w:p>
    <w:p w14:paraId="6BC26449" w14:textId="77777777" w:rsidR="00A8138F" w:rsidRDefault="00A8138F" w:rsidP="00A8138F">
      <w:pPr>
        <w:pStyle w:val="TextoNormalNegritaCentrado"/>
        <w:keepNext/>
      </w:pPr>
      <w:r>
        <w:t>II. Fundamentos jurídicos</w:t>
      </w:r>
    </w:p>
    <w:p w14:paraId="12526CD5" w14:textId="7F25E4AB" w:rsidR="00A8138F" w:rsidRDefault="00A8138F" w:rsidP="00A8138F">
      <w:pPr>
        <w:pStyle w:val="TextoNormalNegritaCentrado"/>
        <w:keepNext/>
      </w:pPr>
    </w:p>
    <w:p w14:paraId="2F214D93"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BD348F8" w14:textId="77777777" w:rsidR="00A8138F" w:rsidRDefault="00A8138F" w:rsidP="00A8138F">
      <w:pPr>
        <w:pStyle w:val="TextoNormal"/>
      </w:pPr>
    </w:p>
    <w:p w14:paraId="39E15C97" w14:textId="016414D8"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0F546EC6" w14:textId="77777777" w:rsidR="00A8138F" w:rsidRDefault="00A8138F" w:rsidP="00A8138F">
      <w:pPr>
        <w:pStyle w:val="TextoNormal"/>
      </w:pPr>
    </w:p>
    <w:p w14:paraId="3746EDF8"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7E741A22" w14:textId="77777777" w:rsidR="00A8138F" w:rsidRDefault="00A8138F" w:rsidP="00A8138F">
      <w:pPr>
        <w:pStyle w:val="TextoNormal"/>
      </w:pPr>
    </w:p>
    <w:p w14:paraId="2007CDE4"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BFF17D6" w14:textId="77777777" w:rsidR="00A8138F" w:rsidRDefault="00A8138F" w:rsidP="00A8138F">
      <w:pPr>
        <w:pStyle w:val="TextoNormal"/>
      </w:pPr>
    </w:p>
    <w:p w14:paraId="703F6464" w14:textId="77777777" w:rsidR="00A8138F" w:rsidRDefault="00A8138F" w:rsidP="00A8138F">
      <w:pPr>
        <w:pStyle w:val="TextoNormal"/>
      </w:pPr>
      <w: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w:t>
      </w:r>
      <w:r>
        <w:lastRenderedPageBreak/>
        <w:t>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2BE0C3A" w14:textId="77777777" w:rsidR="00A8138F" w:rsidRDefault="00A8138F" w:rsidP="00A8138F">
      <w:pPr>
        <w:pStyle w:val="TextoNormal"/>
      </w:pPr>
    </w:p>
    <w:p w14:paraId="7CD56444"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B0AE457" w14:textId="77777777" w:rsidR="00A8138F" w:rsidRDefault="00A8138F" w:rsidP="00A8138F">
      <w:pPr>
        <w:pStyle w:val="TextoNormal"/>
      </w:pPr>
    </w:p>
    <w:p w14:paraId="62A017EB" w14:textId="77777777" w:rsidR="00A8138F" w:rsidRDefault="00A8138F" w:rsidP="00A8138F">
      <w:pPr>
        <w:pStyle w:val="TextoNormal"/>
      </w:pPr>
      <w:r>
        <w:t>En consecuencia, debe estimarse la demanda y otorgar el amparo solicitado. De conformidad con lo expuesto por el fiscal, debemos anular y dejar sin efecto la sentencia núm. 325/2024 de la Sala de lo Social del Tribunal Supremo, de 21 de febrero de 2024 (ECLI:ES:TS:2024:1274 ), que estimó el recurso de casación para la unificación de doctrina núm. 1408-2023 promovido por la parte demandada, pero sin que proceda declarar la firmeza de la sentencia 393/2023 de la Sala de lo Social del Tribunal Superior de Justicia de Cataluña, de 25 de enero de 2023 (recurso de suplicación núm. 5320-2022), ya que aunque su fundamentación jurídica resulta acorde con lo señalado en la citada STC 140/2024, concedió a la demandante un tiempo de disfrute de la prestación superior al que resulta de la aplicación de su doctrina.</w:t>
      </w:r>
    </w:p>
    <w:p w14:paraId="68E917D6" w14:textId="77777777" w:rsidR="00A8138F" w:rsidRDefault="00A8138F" w:rsidP="00A8138F">
      <w:pPr>
        <w:pStyle w:val="TextoNormal"/>
      </w:pPr>
    </w:p>
    <w:p w14:paraId="3648EF5D" w14:textId="59378995" w:rsidR="00A8138F" w:rsidRDefault="00A8138F" w:rsidP="00A8138F">
      <w:pPr>
        <w:pStyle w:val="TextoNormal"/>
      </w:pPr>
      <w:r>
        <w:t>En consecuencia, debe estimarse la demanda y otorgar el amparo solicitado. Aunque el fiscal interesa la estimación del recurso, la anulación de la sentencia núm. 325/2024 de la Sala de lo Social del Tribunal Supremo, de 21 de febrero de 2024, pero sin la declaración de firmeza de la sentencia 393/2023 de la Sala de lo Social del Tribunal Superior de Justicia de Cataluña, de 25 de enero de 2023 (recurso de suplicación núm. 5320-2022), esta Sala considera más idóneo anular y declarar sin efectos todas la resoluciones adoptadas en la instancia, tanto en vía administrativa como en vía judicial, y retrotraer todo el procedimiento al momento previo a las resoluciones administrativas que denegaron la pretensión de la parte actora, para que sea el Instituto Nacional de la Seguridad Social el que dicte resolución expresa que resulte acorde con lo declarado en la STC 140/2024, de 6 de noviembre, FJ 7.</w:t>
      </w:r>
    </w:p>
    <w:p w14:paraId="7421BD5B" w14:textId="77777777" w:rsidR="00A8138F" w:rsidRDefault="00A8138F" w:rsidP="00A8138F">
      <w:pPr>
        <w:pStyle w:val="TextoNormal"/>
      </w:pPr>
    </w:p>
    <w:p w14:paraId="4A7FD54D" w14:textId="77777777" w:rsidR="00A8138F" w:rsidRDefault="00A8138F" w:rsidP="00A8138F">
      <w:pPr>
        <w:pStyle w:val="TextoNormalCentrado"/>
        <w:keepNext/>
      </w:pPr>
      <w:r>
        <w:t>FALLO</w:t>
      </w:r>
    </w:p>
    <w:p w14:paraId="020517C7" w14:textId="186DE1E5" w:rsidR="00A8138F" w:rsidRDefault="00A8138F" w:rsidP="00A8138F">
      <w:pPr>
        <w:pStyle w:val="TextoNormalCentrado"/>
        <w:keepNext/>
      </w:pPr>
    </w:p>
    <w:p w14:paraId="6B5DC6B0"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Patricia González Jiménez y, en su virtud:</w:t>
      </w:r>
    </w:p>
    <w:p w14:paraId="101E6778" w14:textId="77777777" w:rsidR="00A8138F" w:rsidRDefault="00A8138F" w:rsidP="00A8138F">
      <w:pPr>
        <w:pStyle w:val="TextoNormal"/>
      </w:pPr>
    </w:p>
    <w:p w14:paraId="1EBF985B" w14:textId="77777777" w:rsidR="00A8138F" w:rsidRDefault="00A8138F" w:rsidP="00A8138F">
      <w:pPr>
        <w:pStyle w:val="TextoNormal"/>
      </w:pPr>
      <w:r>
        <w:t>1º Declarar vulnerado el derecho fundamental a la igualdad ante la ley sin discriminación por razón de nacimiento (art. 14 CE).</w:t>
      </w:r>
    </w:p>
    <w:p w14:paraId="5E44D69C" w14:textId="77777777" w:rsidR="00A8138F" w:rsidRDefault="00A8138F" w:rsidP="00A8138F">
      <w:pPr>
        <w:pStyle w:val="TextoNormal"/>
      </w:pPr>
    </w:p>
    <w:p w14:paraId="5750B3DF" w14:textId="77777777" w:rsidR="00A8138F" w:rsidRDefault="00A8138F" w:rsidP="00A8138F">
      <w:pPr>
        <w:pStyle w:val="TextoNormal"/>
      </w:pPr>
      <w:r>
        <w:t>2º Restablecerla en su derecho y, a tal fin, declarar la nulidad: (i) de las resoluciones del Instituto Nacional de la Seguridad Social de 27 de diciembre de 2021 y de 20 de enero de 2022; (ii) de la sentencia núm. 128/2022, de 26 de abril de 2022 (autos 119-2022), del Juzgado de lo Social núm. 1 de Granollers; (iii) de la sentencia núm. 393/2023 de la Sala de lo Social del Tribunal Superior de Justicia de Cataluña, de 25 de enero de 2023 (recurso de suplicación núm. 5320-2022) y (iv) de la sentencia núm. 325/2024 de la Sala de lo Social del Tribunal Supremo, de 21 de febrero de 2024 (recurso de casación para la unificación de doctrina núm. 1408-2023).</w:t>
      </w:r>
    </w:p>
    <w:p w14:paraId="0BCDD6E2" w14:textId="77777777" w:rsidR="00A8138F" w:rsidRDefault="00A8138F" w:rsidP="00A8138F">
      <w:pPr>
        <w:pStyle w:val="TextoNormal"/>
      </w:pPr>
    </w:p>
    <w:p w14:paraId="298DD13B" w14:textId="11E88D5C" w:rsidR="00A8138F" w:rsidRDefault="00A8138F" w:rsidP="00A8138F">
      <w:pPr>
        <w:pStyle w:val="TextoNormal"/>
      </w:pPr>
      <w:r>
        <w:t>3º Retrotraer las actuaciones al momento previo a las resoluciones administrativas mencionadas en el apartado anterior, para que el Instituto Nacional de la Seguridad Social dicte resolución expresa que resulte respetuosa con el derecho fundamental reconocido a la recurrente, con el alcance fijado en el fundamento jurídico 2 de esta sentencia.</w:t>
      </w:r>
    </w:p>
    <w:p w14:paraId="5722107D" w14:textId="77777777" w:rsidR="00A8138F" w:rsidRDefault="00A8138F" w:rsidP="00A8138F">
      <w:pPr>
        <w:pStyle w:val="TextoNormal"/>
      </w:pPr>
    </w:p>
    <w:p w14:paraId="6DB24550" w14:textId="77777777" w:rsidR="00A8138F" w:rsidRDefault="00A8138F" w:rsidP="00A8138F">
      <w:pPr>
        <w:pStyle w:val="TextoNormal"/>
      </w:pPr>
      <w:r>
        <w:t>Publíquese esta sentencia en el “Boletín Oficial del Estado”.</w:t>
      </w:r>
    </w:p>
    <w:p w14:paraId="610F7EF8" w14:textId="77777777" w:rsidR="00A8138F" w:rsidRDefault="00A8138F" w:rsidP="00A8138F">
      <w:pPr>
        <w:pStyle w:val="TextoNormal"/>
      </w:pPr>
      <w:r>
        <w:t>Dada en Madrid, a diez de marzo de dos mil veinticinco.</w:t>
      </w:r>
    </w:p>
    <w:p w14:paraId="12AF8876" w14:textId="7312D248" w:rsidR="00A8138F" w:rsidRDefault="00A8138F">
      <w:pPr>
        <w:spacing w:after="160" w:line="278" w:lineRule="auto"/>
        <w:rPr>
          <w:rFonts w:ascii="Times New Roman" w:eastAsia="Times New Roman" w:hAnsi="Times New Roman" w:cs="Times New Roman"/>
          <w:sz w:val="24"/>
          <w:szCs w:val="24"/>
          <w:lang w:eastAsia="es-ES"/>
        </w:rPr>
      </w:pPr>
      <w:r>
        <w:br w:type="page"/>
      </w:r>
    </w:p>
    <w:p w14:paraId="07C124D1" w14:textId="77777777" w:rsidR="00A8138F" w:rsidRDefault="00A8138F" w:rsidP="00A8138F">
      <w:pPr>
        <w:pStyle w:val="TtuloResolucin"/>
      </w:pPr>
      <w:bookmarkStart w:id="63" w:name="SENTENCIA_2025_61"/>
      <w:r>
        <w:lastRenderedPageBreak/>
        <w:t>SENTENCIA 61/2025, de 10 de marzo de 2025</w:t>
      </w:r>
    </w:p>
    <w:bookmarkEnd w:id="63"/>
    <w:p w14:paraId="6F698879" w14:textId="77777777" w:rsidR="00A8138F" w:rsidRDefault="00A8138F" w:rsidP="00A8138F">
      <w:pPr>
        <w:pStyle w:val="TtuloResolucin"/>
      </w:pPr>
      <w:r>
        <w:t>Sala Segunda</w:t>
      </w:r>
    </w:p>
    <w:p w14:paraId="7CC5AF96" w14:textId="77777777" w:rsidR="00A8138F" w:rsidRDefault="00A8138F" w:rsidP="00A8138F">
      <w:pPr>
        <w:pStyle w:val="TtuloBOE"/>
      </w:pPr>
      <w:r>
        <w:t>(BOE núm. 88, de 11 de abril de 2025)</w:t>
      </w:r>
    </w:p>
    <w:p w14:paraId="5DE9E64F" w14:textId="77777777" w:rsidR="00A8138F" w:rsidRDefault="00A8138F" w:rsidP="00A8138F">
      <w:pPr>
        <w:pStyle w:val="TextoNormalCentrado"/>
      </w:pPr>
      <w:r>
        <w:t>ECLI:ES:TC:2025:61</w:t>
      </w:r>
    </w:p>
    <w:p w14:paraId="3695CBB8" w14:textId="2BB51B6D" w:rsidR="00A8138F" w:rsidRDefault="00A8138F" w:rsidP="00A8138F">
      <w:pPr>
        <w:pStyle w:val="TextoNormalCentrado"/>
      </w:pPr>
    </w:p>
    <w:p w14:paraId="088FF2BA" w14:textId="77777777" w:rsidR="00A8138F" w:rsidRDefault="00A8138F" w:rsidP="00A8138F">
      <w:pPr>
        <w:pStyle w:val="SntesisDescriptiva"/>
      </w:pPr>
      <w:r>
        <w:t>Recurso de amparo 7706-2024. Promovido por doña Nagore Gamboa Uriarte en relación con las resoluciones administrativas y judiciales que desestimaron su petición de revisión y ampliación de la prestación por nacimiento y cuidado de hijo menor, como madre biológica de familia monoparental.</w:t>
      </w:r>
    </w:p>
    <w:p w14:paraId="21701331" w14:textId="19CA7FA7" w:rsidR="00A8138F" w:rsidRDefault="00A8138F" w:rsidP="00A8138F">
      <w:pPr>
        <w:pStyle w:val="SntesisDescriptiva"/>
      </w:pPr>
    </w:p>
    <w:p w14:paraId="641E464B"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3D4072D" w14:textId="3D1EDD58" w:rsidR="00A8138F" w:rsidRDefault="00A8138F" w:rsidP="00A8138F">
      <w:pPr>
        <w:pStyle w:val="SntesisAnaltica"/>
      </w:pPr>
    </w:p>
    <w:p w14:paraId="66E073D0" w14:textId="4BC7D10C"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1082B9F8" w14:textId="77777777" w:rsidR="00A8138F" w:rsidRDefault="00A8138F" w:rsidP="00A8138F">
      <w:pPr>
        <w:pStyle w:val="Extracto"/>
      </w:pPr>
    </w:p>
    <w:p w14:paraId="6503C8AA" w14:textId="77777777" w:rsidR="00A8138F" w:rsidRDefault="00A8138F" w:rsidP="00A8138F">
      <w:pPr>
        <w:pStyle w:val="Extracto"/>
      </w:pPr>
    </w:p>
    <w:p w14:paraId="7879DE90"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CF34EE1" w14:textId="58E8DD2D" w:rsidR="00A8138F" w:rsidRDefault="00A8138F" w:rsidP="00A8138F">
      <w:pPr>
        <w:pStyle w:val="TextoNormal"/>
      </w:pPr>
    </w:p>
    <w:p w14:paraId="6AB7E819" w14:textId="77777777" w:rsidR="00A8138F" w:rsidRDefault="00A8138F" w:rsidP="00A8138F">
      <w:pPr>
        <w:pStyle w:val="TextoNormalCentrado"/>
        <w:keepNext/>
      </w:pPr>
      <w:r>
        <w:t>EN NOMBRE DEL REY</w:t>
      </w:r>
    </w:p>
    <w:p w14:paraId="49BB4EBB" w14:textId="31C842D0" w:rsidR="00A8138F" w:rsidRDefault="00A8138F" w:rsidP="00A8138F">
      <w:pPr>
        <w:pStyle w:val="TextoNormalCentrado"/>
        <w:keepNext/>
      </w:pPr>
    </w:p>
    <w:p w14:paraId="11297BC0" w14:textId="77777777" w:rsidR="00A8138F" w:rsidRDefault="00A8138F" w:rsidP="00A8138F">
      <w:pPr>
        <w:pStyle w:val="TextoNormalCentrado"/>
        <w:keepNext/>
      </w:pPr>
    </w:p>
    <w:p w14:paraId="79A7995F" w14:textId="77777777" w:rsidR="00A8138F" w:rsidRDefault="00A8138F" w:rsidP="00A8138F">
      <w:pPr>
        <w:pStyle w:val="TextoNormal"/>
      </w:pPr>
      <w:r>
        <w:t>la siguiente</w:t>
      </w:r>
    </w:p>
    <w:p w14:paraId="559C3945" w14:textId="654DEDC5" w:rsidR="00A8138F" w:rsidRDefault="00A8138F" w:rsidP="00A8138F">
      <w:pPr>
        <w:pStyle w:val="TextoNormal"/>
      </w:pPr>
    </w:p>
    <w:p w14:paraId="25F63D1A" w14:textId="77777777" w:rsidR="00A8138F" w:rsidRDefault="00A8138F" w:rsidP="00A8138F">
      <w:pPr>
        <w:pStyle w:val="TextoNormalCentrado"/>
        <w:keepNext/>
      </w:pPr>
      <w:r>
        <w:t>SENTENCIA</w:t>
      </w:r>
    </w:p>
    <w:p w14:paraId="157E71BF" w14:textId="2EDE6C87" w:rsidR="00A8138F" w:rsidRDefault="00A8138F" w:rsidP="00A8138F">
      <w:pPr>
        <w:pStyle w:val="TextoNormalCentrado"/>
        <w:keepNext/>
      </w:pPr>
    </w:p>
    <w:p w14:paraId="2FBCE0D6" w14:textId="77777777" w:rsidR="00A8138F" w:rsidRDefault="00A8138F" w:rsidP="00A8138F">
      <w:pPr>
        <w:pStyle w:val="TextoNormal"/>
      </w:pPr>
      <w:r>
        <w:t>En el recurso de amparo núm. 7706-2024, promovido por doña Nagore Gamboa Uriarte, representada por la procuradora de los tribunales doña María Isabel Torres Ruiz y bajo la dirección de la letrada doña Nerea Lekue Tolosa Ruiz, contra el auto dictado el 25 de septiembre de 2024 por la Sala de lo Social del Tribunal Supremo, que inadmite el recurso de casación para unificación de doctrina núm. 417-2024 interpuesto contra la sentencia de 21 de noviembre de 2023 de la Sala de lo Social del Tribunal Superior de Justicia del País Vasco —recurso de suplicación núm. 824-2023—, que confirmó la sentencia núm. 76/2023, de 23 de febrero, dictada por el Juzgado de lo Social núm.1 de Bilbao, en autos de Seguridad Social en materia prestacional núm. 923-2021, que a su vez había desestimado la demanda interpuesta contra las resoluciones de 22 de junio y de 23 de julio de 2021 del Instituto Nacional de la Seguridad Social. Han intervenido el letrado de la administración de la Seguridad Social y el Ministerio Fiscal. Ha sido ponente el magistrado don César Tolosa Tribiño.</w:t>
      </w:r>
    </w:p>
    <w:p w14:paraId="205C0BAA" w14:textId="6D09E5AC" w:rsidR="00A8138F" w:rsidRDefault="00A8138F" w:rsidP="00A8138F">
      <w:pPr>
        <w:pStyle w:val="TextoNormal"/>
      </w:pPr>
    </w:p>
    <w:p w14:paraId="40A26F8B" w14:textId="77777777" w:rsidR="00A8138F" w:rsidRDefault="00A8138F" w:rsidP="00A8138F">
      <w:pPr>
        <w:pStyle w:val="TextoNormalNegritaCentrado"/>
        <w:keepNext/>
      </w:pPr>
      <w:r>
        <w:t>I. Antecedentes</w:t>
      </w:r>
    </w:p>
    <w:p w14:paraId="10401DFE" w14:textId="06CB4F00" w:rsidR="00A8138F" w:rsidRDefault="00A8138F" w:rsidP="00A8138F">
      <w:pPr>
        <w:pStyle w:val="TextoNormalNegritaCentrado"/>
        <w:keepNext/>
      </w:pPr>
    </w:p>
    <w:p w14:paraId="5A6ADA06" w14:textId="7F6966BC" w:rsidR="00A8138F" w:rsidRDefault="00A8138F" w:rsidP="00A8138F">
      <w:pPr>
        <w:pStyle w:val="TextoNormal"/>
      </w:pPr>
      <w:r w:rsidRPr="00A8138F">
        <w:rPr>
          <w:rStyle w:val="NumeroAFNegritaCaracter"/>
        </w:rPr>
        <w:t>1</w:t>
      </w:r>
      <w:r>
        <w:t>. El 14 de octubre de 2024 doña Nagore Gamboa Uriarte, con la representación y defensa indicadas, interpuso recurso de amparo contra todas las resoluciones judiciales y administrativas identificadas en el encabezamiento que habían desestimado la solicitud de ampliación del derecho de la recurrente a la prestación de nacimiento y cuidado del menor hasta un total de veintiocho o treinta y dos semanas.</w:t>
      </w:r>
    </w:p>
    <w:p w14:paraId="0B979C36" w14:textId="77777777" w:rsidR="00A8138F" w:rsidRDefault="00A8138F" w:rsidP="00A8138F">
      <w:pPr>
        <w:pStyle w:val="TextoNormal"/>
      </w:pPr>
    </w:p>
    <w:p w14:paraId="79E37D3E"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28077C38" w14:textId="77777777" w:rsidR="00A8138F" w:rsidRDefault="00A8138F" w:rsidP="00A8138F">
      <w:pPr>
        <w:pStyle w:val="TextoNormal"/>
      </w:pPr>
    </w:p>
    <w:p w14:paraId="11CE76BF" w14:textId="77777777" w:rsidR="00A8138F" w:rsidRDefault="00A8138F" w:rsidP="00A8138F">
      <w:pPr>
        <w:pStyle w:val="TextoNormal"/>
      </w:pPr>
      <w:r>
        <w:t>a) La demandante de amparo fue madre de gemelos en fecha 16 de julio de 2020 en el seno de una familia monoparental y por resolución de la entidad gestora de 5 de agosto de 2020 se le reconoció la prestación de nacimiento y cuidado de los menores por un periodo de dieciocho semanas y con efectos de la fecha de nacimiento.</w:t>
      </w:r>
    </w:p>
    <w:p w14:paraId="0EEE5071" w14:textId="77777777" w:rsidR="00A8138F" w:rsidRDefault="00A8138F" w:rsidP="00A8138F">
      <w:pPr>
        <w:pStyle w:val="TextoNormal"/>
      </w:pPr>
    </w:p>
    <w:p w14:paraId="6D14705C" w14:textId="77777777" w:rsidR="00A8138F" w:rsidRDefault="00A8138F" w:rsidP="00A8138F">
      <w:pPr>
        <w:pStyle w:val="TextoNormal"/>
      </w:pPr>
      <w:r>
        <w:t>b) Tras ser desestimada, por resoluciones de 22 de junio y 23 de julio de 2021, la revisión y la reclamación previa en vía administrativa, por la que reclamaba la ampliación a un total de veintiocho o treinta y dos semanas del disfrute del permiso por ser familia monoparental, interpuso una demanda contra el Instituto Nacional de la Seguridad Social y la Tesorería General de la Seguridad Social (INSS y TGSS, en adelante). Alegaba que la desestimación de la acumulación solicitada constituye una discriminación de los derechos del niño con relación a la situación regulada para la familia biparental cuando el menor está a cargo y cuidado de sus dos progenitores.</w:t>
      </w:r>
    </w:p>
    <w:p w14:paraId="3832AF27" w14:textId="77777777" w:rsidR="00A8138F" w:rsidRDefault="00A8138F" w:rsidP="00A8138F">
      <w:pPr>
        <w:pStyle w:val="TextoNormal"/>
      </w:pPr>
    </w:p>
    <w:p w14:paraId="4AC0985D" w14:textId="77777777" w:rsidR="00A8138F" w:rsidRDefault="00A8138F" w:rsidP="00A8138F">
      <w:pPr>
        <w:pStyle w:val="TextoNormal"/>
      </w:pPr>
      <w:r>
        <w:t>c) A la demanda se opuso el INSS y la TGSS quienes afirmaron que no existe un progenitor distinto y que se trata de un derecho individual, que exige el cumplimiento de los requisitos de alta y cotización previa. Añaden que de prosperar la demanda la prestación debería ser de trece semanas o subsidiariamente de nueve.</w:t>
      </w:r>
    </w:p>
    <w:p w14:paraId="38A097BA" w14:textId="77777777" w:rsidR="00A8138F" w:rsidRDefault="00A8138F" w:rsidP="00A8138F">
      <w:pPr>
        <w:pStyle w:val="TextoNormal"/>
      </w:pPr>
    </w:p>
    <w:p w14:paraId="6B2E0F07" w14:textId="77777777" w:rsidR="00A8138F" w:rsidRDefault="00A8138F" w:rsidP="00A8138F">
      <w:pPr>
        <w:pStyle w:val="TextoNormal"/>
      </w:pPr>
      <w:r>
        <w:t>d) El Juzgado de lo Social núm. 1 de Bilbao dictó sentencia el 23 de febrero de 2023 en la que desestimó la demanda y absolvió a los demandados de la pretensión formulada en su contra.</w:t>
      </w:r>
    </w:p>
    <w:p w14:paraId="5CCA4568" w14:textId="77777777" w:rsidR="00A8138F" w:rsidRDefault="00A8138F" w:rsidP="00A8138F">
      <w:pPr>
        <w:pStyle w:val="TextoNormal"/>
      </w:pPr>
    </w:p>
    <w:p w14:paraId="10FE2EF7" w14:textId="77777777" w:rsidR="00A8138F" w:rsidRDefault="00A8138F" w:rsidP="00A8138F">
      <w:pPr>
        <w:pStyle w:val="TextoNormal"/>
      </w:pPr>
      <w:r>
        <w:t>e) Frente a dicha sentencia la demandante interpuso recurso de suplicación en la que insistía en la solicitud de reconocimiento de la prestación por nacimiento y cuidado de hijo que le hubiera correspondido al otro progenitor pese a que la demandante formaba una familia monoparental.</w:t>
      </w:r>
    </w:p>
    <w:p w14:paraId="2E35632B" w14:textId="77777777" w:rsidR="00A8138F" w:rsidRDefault="00A8138F" w:rsidP="00A8138F">
      <w:pPr>
        <w:pStyle w:val="TextoNormal"/>
      </w:pPr>
    </w:p>
    <w:p w14:paraId="043854BF" w14:textId="77777777" w:rsidR="00A8138F" w:rsidRDefault="00A8138F" w:rsidP="00A8138F">
      <w:pPr>
        <w:pStyle w:val="TextoNormal"/>
      </w:pPr>
      <w:r>
        <w:t>f) Por sentencia de 21 de noviembre de 2023, dictada por la Sala de lo Social del Tribunal Superior del País Vasco, se desestimó el recurso interpuesto por la demandante y se confirmó la sentencia impugnada. Razona la sentencia que el criterio de la instancia ha sido confirmado por la sentencia del Tribunal Supremo de 2 de marzo de 2023 dictada en el recurso de casación para unificación de doctrina núm. 3972/2020, a la cual se remite, sintetizando sus argumentos.</w:t>
      </w:r>
    </w:p>
    <w:p w14:paraId="302CF058" w14:textId="77777777" w:rsidR="00A8138F" w:rsidRDefault="00A8138F" w:rsidP="00A8138F">
      <w:pPr>
        <w:pStyle w:val="TextoNormal"/>
      </w:pPr>
    </w:p>
    <w:p w14:paraId="3D497416" w14:textId="77777777" w:rsidR="00A8138F" w:rsidRDefault="00A8138F" w:rsidP="00A8138F">
      <w:pPr>
        <w:pStyle w:val="TextoNormal"/>
      </w:pPr>
      <w:r>
        <w:lastRenderedPageBreak/>
        <w:t>g) Contra dicha sentencia se interpuso por la demandante de amparo recurso de casación para la unificación de doctrina, que fue inadmitido por auto de la Sala de lo Social del Tribunal Supremo de 25 de septiembre de 2024.</w:t>
      </w:r>
    </w:p>
    <w:p w14:paraId="3B5C7C1A" w14:textId="77777777" w:rsidR="00A8138F" w:rsidRDefault="00A8138F" w:rsidP="00A8138F">
      <w:pPr>
        <w:pStyle w:val="TextoNormal"/>
      </w:pPr>
    </w:p>
    <w:p w14:paraId="73DBC68D" w14:textId="2259D527" w:rsidR="00A8138F" w:rsidRDefault="00A8138F" w:rsidP="00A8138F">
      <w:pPr>
        <w:pStyle w:val="TextoNormal"/>
      </w:pPr>
      <w:r>
        <w:t xml:space="preserve">Indica el Tribunal Supremo que sobre dicha cuestión el Pleno de la Sala de lo Social ya había tenido ocasión de pronunciarse en la STS 169/2023, de 2 de marzo, dictada en el recurso de casación para unificación de doctrina núm. 3972-2020 (ECLI:ES:TS:2023:783), al no resultar el reconocimiento pretendido una exigencia ni de la Constitución, ni de la Unión Europea, ni de ningún acuerdo o tratado internacional ratificado por España y que no era función de los órganos judiciales modificar el régimen prestacional de la Seguridad Social ni de organización de la suspensión del contrato de trabajo. Asimismo, hizo referencia a la STJUE de 16 de mayo de 2024, C-673/2022, que consideró inadmisible la cuestión prejudicial planteada por cuanto las disposiciones cuya interpretación se interesaban no eran aplicables ni </w:t>
      </w:r>
      <w:r w:rsidRPr="00A8138F">
        <w:rPr>
          <w:i/>
        </w:rPr>
        <w:t>ratione materiae</w:t>
      </w:r>
      <w:r>
        <w:t xml:space="preserve"> ni </w:t>
      </w:r>
      <w:r w:rsidRPr="00A8138F">
        <w:rPr>
          <w:i/>
        </w:rPr>
        <w:t>ratione temporis</w:t>
      </w:r>
      <w:r>
        <w:t xml:space="preserve"> al litigio principal, al no haber sido transpuesta la Directiva 2019/1158 del Parlamento Europeo y del Consejo, de 20 de junio de 2019, ni haber finalizado el plazo de transposición.</w:t>
      </w:r>
    </w:p>
    <w:p w14:paraId="6B9A3614" w14:textId="77777777" w:rsidR="00A8138F" w:rsidRDefault="00A8138F" w:rsidP="00A8138F">
      <w:pPr>
        <w:pStyle w:val="TextoNormal"/>
      </w:pPr>
    </w:p>
    <w:p w14:paraId="22E3D717" w14:textId="77777777" w:rsidR="00A8138F" w:rsidRDefault="00A8138F" w:rsidP="00A8138F">
      <w:pPr>
        <w:pStyle w:val="TextoNormal"/>
      </w:pPr>
      <w:r w:rsidRPr="00A8138F">
        <w:rPr>
          <w:rStyle w:val="NumeroAFNegritaCaracter"/>
        </w:rPr>
        <w:t>3</w:t>
      </w:r>
      <w:r>
        <w:t>. En la demanda de amparo se solicita que se declare vulnerado el derecho a la igualdad y a prohibición de discriminación por circunstancias personales y por razón de sexo (arts. 14, 9.2 y 39.2 CE) así como la nulidad de la totalidad de las resoluciones judiciales y administrativas dictadas.</w:t>
      </w:r>
    </w:p>
    <w:p w14:paraId="5BB09FD2" w14:textId="77777777" w:rsidR="00A8138F" w:rsidRDefault="00A8138F" w:rsidP="00A8138F">
      <w:pPr>
        <w:pStyle w:val="TextoNormal"/>
      </w:pPr>
    </w:p>
    <w:p w14:paraId="3714770D" w14:textId="77777777" w:rsidR="00A8138F" w:rsidRDefault="00A8138F" w:rsidP="00A8138F">
      <w:pPr>
        <w:pStyle w:val="TextoNormal"/>
      </w:pPr>
      <w:r>
        <w:t>La demandante, tras referirse al contenido de las resoluciones recaídas en el procedimiento, sostiene que las resoluciones administrativas impugnadas, que deniegan la ampliación del derecho de permiso por nacimiento y cuidado de hijos de la recurrente de amparo, madre biológica de gemelos que por su libre decisión ha constituido una familia monoparental, y las resoluciones judiciales que no reparan esa denegación, igualmente recurridas, han conculcado sus derechos fundamentales a la igualdad, proclamados en el primer inciso del art 14 CE en relación con el art. 39 CE, y a no ser discriminada por causas personales, familiares y por razón de sexo establecido en el segundo inciso del art 14 CE.</w:t>
      </w:r>
    </w:p>
    <w:p w14:paraId="46F8E280" w14:textId="77777777" w:rsidR="00A8138F" w:rsidRDefault="00A8138F" w:rsidP="00A8138F">
      <w:pPr>
        <w:pStyle w:val="TextoNormal"/>
      </w:pPr>
    </w:p>
    <w:p w14:paraId="536BA496" w14:textId="77777777" w:rsidR="00A8138F" w:rsidRDefault="00A8138F" w:rsidP="00A8138F">
      <w:pPr>
        <w:pStyle w:val="TextoNormal"/>
      </w:pPr>
      <w:r>
        <w:t>Considera que las decisiones denegatorias de la ampliación de permiso a la familia monoparental ocasionan tres tipos de discriminación:</w:t>
      </w:r>
    </w:p>
    <w:p w14:paraId="0BC4D69C" w14:textId="77777777" w:rsidR="00A8138F" w:rsidRDefault="00A8138F" w:rsidP="00A8138F">
      <w:pPr>
        <w:pStyle w:val="TextoNormal"/>
      </w:pPr>
    </w:p>
    <w:p w14:paraId="7F330595" w14:textId="77777777" w:rsidR="00A8138F" w:rsidRDefault="00A8138F" w:rsidP="00A8138F">
      <w:pPr>
        <w:pStyle w:val="TextoNormal"/>
      </w:pPr>
      <w:r>
        <w:t>a) Desigualdad entre madres biológicas de familias monoparentales y madres biológicas de familias biparentales (arts. 14 y 39 CE), en tanto que el permiso por nacimiento y cuidado de hijos e hijas menores de doce meses atiende al mandato constitucional de garantizar la protección de los niños, de modo que las decisiones recurridas provocan una desigualdad entre madres biológicas de familias biparentales y monoparentales contraria a los principios y valores constitucionales contenidos en el art. 39 CE.</w:t>
      </w:r>
    </w:p>
    <w:p w14:paraId="7B8E4F62" w14:textId="77777777" w:rsidR="00A8138F" w:rsidRDefault="00A8138F" w:rsidP="00A8138F">
      <w:pPr>
        <w:pStyle w:val="TextoNormal"/>
      </w:pPr>
    </w:p>
    <w:p w14:paraId="054C6FC9" w14:textId="77777777" w:rsidR="00A8138F" w:rsidRDefault="00A8138F" w:rsidP="00A8138F">
      <w:pPr>
        <w:pStyle w:val="TextoNormal"/>
      </w:pPr>
      <w:r>
        <w:t>b) Discriminación directa de la recurrente en amparo por circunstancias personales y familiares (arts. 14 y 32 CE). Afirma que la decisión de la recurrente de ser la única progenitora de su hija ha sido el criterio que ha servido al INSS, y después a los órganos judiciales, para denegar las semanas adicionales de la prestación por nacimiento y cuidado de menor de doce meses por ella interesada. Dicha condición personal y familiar de la recurrente en amparo es un criterio diferenciador absolutamente irrazonable, de una inadmisibilidad cons</w:t>
      </w:r>
      <w:r>
        <w:lastRenderedPageBreak/>
        <w:t>titucional análoga a las causas de discriminación contempladas expresamente en el art 14 CE.</w:t>
      </w:r>
    </w:p>
    <w:p w14:paraId="3E939681" w14:textId="77777777" w:rsidR="00A8138F" w:rsidRDefault="00A8138F" w:rsidP="00A8138F">
      <w:pPr>
        <w:pStyle w:val="TextoNormal"/>
      </w:pPr>
    </w:p>
    <w:p w14:paraId="6EDAA06D" w14:textId="7845F7E3" w:rsidR="00A8138F" w:rsidRDefault="00A8138F" w:rsidP="00A8138F">
      <w:pPr>
        <w:pStyle w:val="TextoNormal"/>
      </w:pPr>
      <w:r>
        <w:t>c) Discriminación indirecta por razón de sexo de la demandante en amparo (arts. 14 y 9.2 CE). Sostiene que, según datos del INE en el año 2020, existían 1 944 800 familias monoparentales, de las cuales 1 582 100 eran mujeres (81 por 100) y 362 800 eran hombres (19 por 100). De modo que las familias monoparentales están formadas mayoritariamente por mujeres con lo que la norma aun siendo neutra comporta un trato peyorativo que afecta mayoritariamente a las mujeres, en el ejercicio de su libre autodeterminación de formar familias “monomarentales”.</w:t>
      </w:r>
    </w:p>
    <w:p w14:paraId="543F7EE6" w14:textId="77777777" w:rsidR="00A8138F" w:rsidRDefault="00A8138F" w:rsidP="00A8138F">
      <w:pPr>
        <w:pStyle w:val="TextoNormal"/>
      </w:pPr>
    </w:p>
    <w:p w14:paraId="0CC7461D" w14:textId="3D9728AA" w:rsidR="00A8138F" w:rsidRDefault="00A8138F" w:rsidP="00A8138F">
      <w:pPr>
        <w:pStyle w:val="TextoNormal"/>
      </w:pPr>
      <w:r w:rsidRPr="00A8138F">
        <w:rPr>
          <w:rStyle w:val="NumeroAFNegritaCaracter"/>
        </w:rPr>
        <w:t>4</w:t>
      </w:r>
      <w:r>
        <w:t>. La Sección Tercera de este tribunal, mediante providencia de 16 de diciembre de 2024 acordó la admisión a trámite del recurso al apreciar que su contenido justificaba una decisión sobre el fondo por parte del Tribunal por su especial trascendencia constitucional (art. 50.1 de la Ley Orgánica del Tribunal Constitucional), como consecuencia de que la posible vulneración del derecho fundamental que se denuncia pudiera provenir de la ley o de otra disposición de carácter general [STC 155/2009, de 25 de junio, FJ 2 c)]. Acordó dirigir comunicación a los órganos judiciales a fin de que remitieran copia de las actuaciones y al Juzgado de lo Social núm. 1 de Bilbao, a fin de que, en plazo que no excediera de diez días, emplazara a quienes hubieran sido parte en el procedimiento —autos 923-2021—, excepto la parte recurrente en amparo, para que pudieran comparecer en el recurso de amparo, si lo deseaban.</w:t>
      </w:r>
    </w:p>
    <w:p w14:paraId="7336BE28" w14:textId="77777777" w:rsidR="00A8138F" w:rsidRDefault="00A8138F" w:rsidP="00A8138F">
      <w:pPr>
        <w:pStyle w:val="TextoNormal"/>
      </w:pPr>
    </w:p>
    <w:p w14:paraId="14ED3241" w14:textId="77777777" w:rsidR="00A8138F" w:rsidRDefault="00A8138F" w:rsidP="00A8138F">
      <w:pPr>
        <w:pStyle w:val="TextoNormal"/>
      </w:pPr>
      <w:r w:rsidRPr="00A8138F">
        <w:rPr>
          <w:rStyle w:val="NumeroAFNegritaCaracter"/>
        </w:rPr>
        <w:t>5</w:t>
      </w:r>
      <w:r>
        <w:t>. La letrada de la administración de la Seguridad Social, presentó sus alegaciones con fecha 14 de febrero de 2025.</w:t>
      </w:r>
    </w:p>
    <w:p w14:paraId="21B06CB1" w14:textId="77777777" w:rsidR="00A8138F" w:rsidRDefault="00A8138F" w:rsidP="00A8138F">
      <w:pPr>
        <w:pStyle w:val="TextoNormal"/>
      </w:pPr>
    </w:p>
    <w:p w14:paraId="3A2E3BB7" w14:textId="77777777" w:rsidR="00A8138F" w:rsidRDefault="00A8138F" w:rsidP="00A8138F">
      <w:pPr>
        <w:pStyle w:val="TextoNormal"/>
      </w:pPr>
      <w:r>
        <w:t>En su escrito solicita la desestimación de la demanda de amparo y que en caso de estimación se retrotraigan las actuaciones para que el INSS dicte nueva resolución administrativa, que resulte respetuosa con el derecho de la recurrente y de la normativa aplicable, de modo que limite la ampliación del permiso y de la correspondiente prestación por nacimiento y cuidado del menor a ocho semanas o subsidiariamente, si resultara imposible el disfrute actual del permiso, se determine el derecho a percibir el importe que hubiera correspondido a las semanas no disfrutadas.</w:t>
      </w:r>
    </w:p>
    <w:p w14:paraId="458CF865" w14:textId="77777777" w:rsidR="00A8138F" w:rsidRDefault="00A8138F" w:rsidP="00A8138F">
      <w:pPr>
        <w:pStyle w:val="TextoNormal"/>
      </w:pPr>
    </w:p>
    <w:p w14:paraId="02309622" w14:textId="77777777" w:rsidR="00A8138F" w:rsidRDefault="00A8138F" w:rsidP="00A8138F">
      <w:pPr>
        <w:pStyle w:val="TextoNormal"/>
      </w:pPr>
      <w:r>
        <w:t>En su escrito expone la regulación de la prestación de nacimiento y cuidado del menor prevista en el texto refundido de la Ley general de la Seguridad Social (LGSS), en el texto refundido de la Ley del estatuto de los trabajadores (en adelante LET) y en el texto refundido de la Ley del estatuto básico del empleado público (LEEP), así como las modificaciones producidas por los arts. 2.12 y 2.18 del Real Decreto-ley 6/2019, de 1 de marzo.</w:t>
      </w:r>
    </w:p>
    <w:p w14:paraId="1398337D" w14:textId="77777777" w:rsidR="00A8138F" w:rsidRDefault="00A8138F" w:rsidP="00A8138F">
      <w:pPr>
        <w:pStyle w:val="TextoNormal"/>
      </w:pPr>
    </w:p>
    <w:p w14:paraId="4394678D" w14:textId="77777777" w:rsidR="00A8138F" w:rsidRDefault="00A8138F" w:rsidP="00A8138F">
      <w:pPr>
        <w:pStyle w:val="TextoNormal"/>
      </w:pPr>
      <w:r>
        <w:t xml:space="preserve">A continuación, se refiere a la STC 140/2024, de 6 de noviembre de 2024, por la que el Tribunal ha decidido estimar la cuestión de inconstitucionalidad núm. 6694-2023 y ha declarado inconstitucionales los arts. 48.4 LET y 177 LGSS. Se detiene en la reproducción del fundamento jurídico séptimo, relativo al alcance del fallo y a la vista de las sentencias posteriores que resuelven los recursos de amparo núm. 1084-2024, 1880-2024, 1845-2024 y 6078-2023 indica que, en el presente caso, al producirse el nacimiento del menor en el año 2020, conforme al artículo 2.18 del Real Decreto-ley 6/2019, el otro progenitor contará con </w:t>
      </w:r>
      <w:r>
        <w:lastRenderedPageBreak/>
        <w:t>un periodo de suspensión total de doce semanas (no las dieciséis actuales), de las cuales las cuatro primeras deberá disfrutarlas de forma ininterrumpida inmediatamente tras el parto.</w:t>
      </w:r>
    </w:p>
    <w:p w14:paraId="7B69F7C6" w14:textId="77777777" w:rsidR="00A8138F" w:rsidRDefault="00A8138F" w:rsidP="00A8138F">
      <w:pPr>
        <w:pStyle w:val="TextoNormal"/>
      </w:pPr>
    </w:p>
    <w:p w14:paraId="662F6497" w14:textId="3DDD4FCA" w:rsidR="00A8138F" w:rsidRDefault="00A8138F" w:rsidP="00A8138F">
      <w:pPr>
        <w:pStyle w:val="TextoNormal"/>
      </w:pPr>
      <w:r>
        <w:t>Por tanto, a su juicio, la aplicación de la doctrina establecida en la STC 140/2024 conduce a que se amplíe la duración del permiso y de la prestación de nacimiento y cuidado del menor de la madre monoparental, no a la totalidad del período reconocido al otro progenitor distinto a la madre, doce semanas adicionales, sino a ocho semanas adicionales, al excluirse las cuatro primeras, que han de disfrutarse de forma ininterrumpida inmediatamente tras el parto, que se superponen necesariamente con el periodo de seis semanas inmediatamente posteriores al parto que la madre biológica debe disfrutar obligatoriamente de forma ininterrumpida.</w:t>
      </w:r>
    </w:p>
    <w:p w14:paraId="498EEDF0" w14:textId="77777777" w:rsidR="00A8138F" w:rsidRDefault="00A8138F" w:rsidP="00A8138F">
      <w:pPr>
        <w:pStyle w:val="TextoNormal"/>
      </w:pPr>
    </w:p>
    <w:p w14:paraId="447F9460" w14:textId="77777777" w:rsidR="00A8138F" w:rsidRDefault="00A8138F" w:rsidP="00A8138F">
      <w:pPr>
        <w:pStyle w:val="TextoNormal"/>
      </w:pPr>
      <w:r w:rsidRPr="00A8138F">
        <w:rPr>
          <w:rStyle w:val="NumeroAFNegritaCaracter"/>
        </w:rPr>
        <w:t>6</w:t>
      </w:r>
      <w:r>
        <w:t>. El Ministerio Fiscal, el 19 de febrero de 2025, interesó el otorgamiento del amparo y, habida cuenta de que ninguna de las resoluciones impugnadas ha concedido la ampliación de la prestación correspondiente por nacimiento y cuidado de los hijos menores, entiende que procede la retroacción de las actuaciones hasta la primera resolución dictada por el INSS para el dictado de otra resolución que sea respetuosa con el derecho fundamental invocado.</w:t>
      </w:r>
    </w:p>
    <w:p w14:paraId="60F47A37" w14:textId="77777777" w:rsidR="00A8138F" w:rsidRDefault="00A8138F" w:rsidP="00A8138F">
      <w:pPr>
        <w:pStyle w:val="TextoNormal"/>
      </w:pPr>
    </w:p>
    <w:p w14:paraId="12DE9BEE" w14:textId="77777777" w:rsidR="00A8138F" w:rsidRDefault="00A8138F" w:rsidP="00A8138F">
      <w:pPr>
        <w:pStyle w:val="TextoNormal"/>
      </w:pPr>
      <w:r>
        <w:t>En sus alegaciones se refiere de modo extenso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14.1 CE, tanto de la demandante de amparo y de sus hijos por razón de nacimiento por haber nacido en una familia monoparental.</w:t>
      </w:r>
    </w:p>
    <w:p w14:paraId="7AA16402" w14:textId="77777777" w:rsidR="00A8138F" w:rsidRDefault="00A8138F" w:rsidP="00A8138F">
      <w:pPr>
        <w:pStyle w:val="TextoNormal"/>
      </w:pPr>
    </w:p>
    <w:p w14:paraId="2E04CE7B" w14:textId="77777777" w:rsidR="00A8138F" w:rsidRDefault="00A8138F" w:rsidP="00A8138F">
      <w:pPr>
        <w:pStyle w:val="TextoNormal"/>
      </w:pPr>
      <w:r>
        <w:t>Afirma que el motivo de la vulneración del art. 14 CE de acuerdo con la STC 140/2024, es el derecho a la no discriminación, porque la regulación cuestionada (art. 48.4 LET en relación con el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14:paraId="7A9C65C1" w14:textId="77777777" w:rsidR="00A8138F" w:rsidRDefault="00A8138F" w:rsidP="00A8138F">
      <w:pPr>
        <w:pStyle w:val="TextoNormal"/>
      </w:pPr>
    </w:p>
    <w:p w14:paraId="36920BEA" w14:textId="77777777" w:rsidR="00A8138F" w:rsidRDefault="00A8138F" w:rsidP="00A8138F">
      <w:pPr>
        <w:pStyle w:val="TextoNormal"/>
      </w:pPr>
      <w:r>
        <w:t>Refiere que la interpretación y aplicación de los mencionados preceptos no se ha realizado de manera ilógica o arbitraria, pues cuando se aplicaron eran normas con rango de ley y no se había declarado su inconstitucionalidad.</w:t>
      </w:r>
    </w:p>
    <w:p w14:paraId="79852B35" w14:textId="77777777" w:rsidR="00A8138F" w:rsidRDefault="00A8138F" w:rsidP="00A8138F">
      <w:pPr>
        <w:pStyle w:val="TextoNormal"/>
      </w:pPr>
    </w:p>
    <w:p w14:paraId="5234F4E8" w14:textId="3C056839" w:rsidR="00A8138F" w:rsidRDefault="00A8138F" w:rsidP="00A8138F">
      <w:pPr>
        <w:pStyle w:val="TextoNormal"/>
      </w:pPr>
      <w:r>
        <w:t>Añade que el Tribunal Constitucional, en la sentencia mencionada, no mantiene que los preceptos sean constitucionales con una interpretación conforme a la Constitución, sino que los declara directamente contrarios al art. 14 CE por omisión, estableciendo una interpretación provisional para que su aplicación —ya que no los declara nulos— no siga produciendo una vulneración del art. 14 CE. Concluye que es la inconstitucionalidad de las normas la que produce la nulidad de la resolución.</w:t>
      </w:r>
    </w:p>
    <w:p w14:paraId="53F1121A" w14:textId="77777777" w:rsidR="00A8138F" w:rsidRDefault="00A8138F" w:rsidP="00A8138F">
      <w:pPr>
        <w:pStyle w:val="TextoNormal"/>
      </w:pPr>
    </w:p>
    <w:p w14:paraId="3CBC4B55" w14:textId="1EA2BFB1" w:rsidR="00A8138F" w:rsidRDefault="00A8138F" w:rsidP="00A8138F">
      <w:pPr>
        <w:pStyle w:val="TextoNormal"/>
      </w:pPr>
      <w:r w:rsidRPr="00A8138F">
        <w:rPr>
          <w:rStyle w:val="NumeroAFNegritaCaracter"/>
        </w:rPr>
        <w:t>7</w:t>
      </w:r>
      <w:r>
        <w:t>. Mediante diligencia del secretario de la Sección Tercera de 24 de febrero de 2025, se hizo constar haberse recibido los precedentes escritos de alegaciones quedaba el presente recurso de amparo pendiente para deliberación cuando por turno corresponda.</w:t>
      </w:r>
    </w:p>
    <w:p w14:paraId="02E1967E" w14:textId="77777777" w:rsidR="00A8138F" w:rsidRDefault="00A8138F" w:rsidP="00A8138F">
      <w:pPr>
        <w:pStyle w:val="TextoNormal"/>
      </w:pPr>
    </w:p>
    <w:p w14:paraId="5D8A7B6F" w14:textId="24AE30DC" w:rsidR="00A8138F" w:rsidRDefault="00A8138F" w:rsidP="00A8138F">
      <w:pPr>
        <w:pStyle w:val="TextoNormal"/>
      </w:pPr>
      <w:r w:rsidRPr="00A8138F">
        <w:rPr>
          <w:rStyle w:val="NumeroAFNegritaCaracter"/>
        </w:rPr>
        <w:lastRenderedPageBreak/>
        <w:t>8</w:t>
      </w:r>
      <w:r>
        <w:t>. Mediante providencia de 6 de marzo de 2025, se señaló para deliberación y votación de la presente sentencia el día 10 del mismo mes y año.</w:t>
      </w:r>
    </w:p>
    <w:p w14:paraId="7BAFE28A" w14:textId="77777777" w:rsidR="00A8138F" w:rsidRDefault="00A8138F" w:rsidP="00A8138F">
      <w:pPr>
        <w:pStyle w:val="TextoNormal"/>
      </w:pPr>
    </w:p>
    <w:p w14:paraId="32E26B16" w14:textId="77777777" w:rsidR="00A8138F" w:rsidRDefault="00A8138F" w:rsidP="00A8138F">
      <w:pPr>
        <w:pStyle w:val="TextoNormalNegritaCentrado"/>
        <w:keepNext/>
      </w:pPr>
      <w:r>
        <w:t>II. Fundamentos jurídicos</w:t>
      </w:r>
    </w:p>
    <w:p w14:paraId="07E36209" w14:textId="39349FC7" w:rsidR="00A8138F" w:rsidRDefault="00A8138F" w:rsidP="00A8138F">
      <w:pPr>
        <w:pStyle w:val="TextoNormalNegritaCentrado"/>
        <w:keepNext/>
      </w:pPr>
    </w:p>
    <w:p w14:paraId="7C84FA39"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1970DFE0" w14:textId="77777777" w:rsidR="00A8138F" w:rsidRDefault="00A8138F" w:rsidP="00A8138F">
      <w:pPr>
        <w:pStyle w:val="TextoNormal"/>
      </w:pPr>
    </w:p>
    <w:p w14:paraId="48BF7562" w14:textId="77777777" w:rsidR="00A8138F" w:rsidRDefault="00A8138F" w:rsidP="00A8138F">
      <w:pPr>
        <w:pStyle w:val="TextoNormal"/>
      </w:pPr>
      <w:r>
        <w:t>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4EB7F0BF" w14:textId="77777777" w:rsidR="00A8138F" w:rsidRDefault="00A8138F" w:rsidP="00A8138F">
      <w:pPr>
        <w:pStyle w:val="TextoNormal"/>
      </w:pPr>
    </w:p>
    <w:p w14:paraId="102C4B49" w14:textId="77777777" w:rsidR="00A8138F" w:rsidRDefault="00A8138F" w:rsidP="00A8138F">
      <w:pPr>
        <w:pStyle w:val="TextoNormal"/>
      </w:pPr>
      <w:r>
        <w:t>El Ministerio Fiscal interesa la estimación del recurso en aplicación de la doctrina constitucional fijada en la STC 140/2024, de 6 de noviembre y la letrada de la administración de la Seguridad Social su desestimación y añade que en caso de estimación se retrotraigan las actuaciones para que el INSS dicte nueva resolución administrativa que resulte respetuosa con el derecho de la recurrente y de la normativa aplicable.</w:t>
      </w:r>
    </w:p>
    <w:p w14:paraId="4E3B582A" w14:textId="77777777" w:rsidR="00A8138F" w:rsidRDefault="00A8138F" w:rsidP="00A8138F">
      <w:pPr>
        <w:pStyle w:val="TextoNormal"/>
      </w:pPr>
    </w:p>
    <w:p w14:paraId="2BF0890C"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4C3FAF6" w14:textId="77777777" w:rsidR="00A8138F" w:rsidRDefault="00A8138F" w:rsidP="00A8138F">
      <w:pPr>
        <w:pStyle w:val="TextoNormal"/>
      </w:pPr>
    </w:p>
    <w:p w14:paraId="620C1A88"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78005D5" w14:textId="77777777" w:rsidR="00A8138F" w:rsidRDefault="00A8138F" w:rsidP="00A8138F">
      <w:pPr>
        <w:pStyle w:val="TextoNormal"/>
      </w:pPr>
    </w:p>
    <w:p w14:paraId="5A951D37"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6F70FF48" w14:textId="77777777" w:rsidR="00A8138F" w:rsidRDefault="00A8138F" w:rsidP="00A8138F">
      <w:pPr>
        <w:pStyle w:val="TextoNormal"/>
      </w:pPr>
    </w:p>
    <w:p w14:paraId="4A916000" w14:textId="77777777" w:rsidR="00A8138F" w:rsidRDefault="00A8138F" w:rsidP="00A8138F">
      <w:pPr>
        <w:pStyle w:val="TextoNormal"/>
      </w:pPr>
      <w:r>
        <w:t>En consecuencia, debe estimarse la demanda y otorgar el amparo solicitado, declarando la nulidad de las resoluciones de 22 de junio y de 23 de julio de 2021 dictadas por el INSS por las que se denegaba la ampliación de la prestación de nacimiento y cuidado de menor; la sentencia núm. 76/2023, de 23 de febrero, dictada por el Juzgado de lo Social núm. 1 de Bilbao, en autos de Seguridad Social en materia prestacional núm. 923-2021; la sentencia de 21 de noviembre de 2023 de la Sala de lo Social del Tribunal Superior de Justicia del País Vasco —recurso de suplicación núm. 824-2023—; y, finalmente el auto dictado el 25 de septiembre de 2024 por la Sala de lo Social del Tribunal Supremo, que inadmite el recurso de casación para unificación de doctrina núm. 417-2024.</w:t>
      </w:r>
    </w:p>
    <w:p w14:paraId="59DDFE93" w14:textId="77777777" w:rsidR="00A8138F" w:rsidRDefault="00A8138F" w:rsidP="00A8138F">
      <w:pPr>
        <w:pStyle w:val="TextoNormal"/>
      </w:pPr>
    </w:p>
    <w:p w14:paraId="053A4989" w14:textId="2D5F031B" w:rsidR="00A8138F" w:rsidRDefault="00A8138F" w:rsidP="00A8138F">
      <w:pPr>
        <w:pStyle w:val="TextoNormal"/>
      </w:pPr>
      <w:r>
        <w:t>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381C4B3" w14:textId="77777777" w:rsidR="00A8138F" w:rsidRDefault="00A8138F" w:rsidP="00A8138F">
      <w:pPr>
        <w:pStyle w:val="TextoNormal"/>
      </w:pPr>
    </w:p>
    <w:p w14:paraId="7AB29570" w14:textId="77777777" w:rsidR="00A8138F" w:rsidRDefault="00A8138F" w:rsidP="00A8138F">
      <w:pPr>
        <w:pStyle w:val="TextoNormalCentrado"/>
        <w:keepNext/>
      </w:pPr>
      <w:r>
        <w:t>FALLO</w:t>
      </w:r>
    </w:p>
    <w:p w14:paraId="1A039060" w14:textId="15C67CE8" w:rsidR="00A8138F" w:rsidRDefault="00A8138F" w:rsidP="00A8138F">
      <w:pPr>
        <w:pStyle w:val="TextoNormalCentrado"/>
        <w:keepNext/>
      </w:pPr>
    </w:p>
    <w:p w14:paraId="427F3940" w14:textId="77777777" w:rsidR="00A8138F" w:rsidRDefault="00A8138F" w:rsidP="00A8138F">
      <w:pPr>
        <w:pStyle w:val="TextoNormal"/>
      </w:pPr>
      <w:r>
        <w:t>En atención a todo lo expuesto, el Tribunal Constitucional, por la autoridad que le confiere la Constitución de la Nación española, ha decidido:</w:t>
      </w:r>
    </w:p>
    <w:p w14:paraId="7306FA3B" w14:textId="77777777" w:rsidR="00A8138F" w:rsidRDefault="00A8138F" w:rsidP="00A8138F">
      <w:pPr>
        <w:pStyle w:val="TextoNormal"/>
      </w:pPr>
    </w:p>
    <w:p w14:paraId="1AC85452" w14:textId="77777777" w:rsidR="00A8138F" w:rsidRDefault="00A8138F" w:rsidP="00A8138F">
      <w:pPr>
        <w:pStyle w:val="TextoNormal"/>
      </w:pPr>
      <w:r>
        <w:t>1º Estimar la demanda presentada por doña Nagore Gamboa Uriarte por vulneración del derecho fundamental a la igualdad ante la ley sin discriminación por razón de nacimiento (art. 14 CE), con reconocimiento de tal derecho.</w:t>
      </w:r>
    </w:p>
    <w:p w14:paraId="415D4701" w14:textId="77777777" w:rsidR="00A8138F" w:rsidRDefault="00A8138F" w:rsidP="00A8138F">
      <w:pPr>
        <w:pStyle w:val="TextoNormal"/>
      </w:pPr>
    </w:p>
    <w:p w14:paraId="09F19EDA" w14:textId="77777777" w:rsidR="00A8138F" w:rsidRDefault="00A8138F" w:rsidP="00A8138F">
      <w:pPr>
        <w:pStyle w:val="TextoNormal"/>
      </w:pPr>
      <w:r>
        <w:t>2º Declarar la nulidad de las resoluciones de 22 de junio y de 23 de julio de 2021 dictadas por el Instituto Nacional de la Seguridad Social por las que se denegaba la ampliación de la prestación de nacimiento y cuidado de menor; la sentencia núm. 76/2023, de 23 de febrero, dictada por el Juzgado de lo Social núm. 1 de Bilbao, en autos de Seguridad Social en materia prestacional núm. 923-2021; la sentencia de 21 de noviembre de 2023 de la Sala de lo Social del Tribunal Superior de Justicia del País Vasco —recurso de suplicación núm. 824-2023—; y, finalmente el auto dictado el 25 de septiembre de 2024 por la Sala de lo Social del Tribunal Supremo, que inadmite el recurso de casación para unificación de doctrina núm. 417-2024.</w:t>
      </w:r>
    </w:p>
    <w:p w14:paraId="49A5E402" w14:textId="77777777" w:rsidR="00A8138F" w:rsidRDefault="00A8138F" w:rsidP="00A8138F">
      <w:pPr>
        <w:pStyle w:val="TextoNormal"/>
      </w:pPr>
    </w:p>
    <w:p w14:paraId="21284CF2" w14:textId="4C662FBC" w:rsidR="00A8138F" w:rsidRDefault="00A8138F" w:rsidP="00A8138F">
      <w:pPr>
        <w:pStyle w:val="TextoNormal"/>
      </w:pPr>
      <w:r>
        <w:lastRenderedPageBreak/>
        <w:t>3º Retrotraer las actuaciones al momento previo al dictado de la resolución de 22 de junio de 2021 del INSS a fin de que, en los términos expuestos en el último párrafo del fundamento jurídico único, se dicte otra respetuosa con el derecho de la recurrente cuya vulneración ha sido declarada.</w:t>
      </w:r>
    </w:p>
    <w:p w14:paraId="0CF0AF38" w14:textId="77777777" w:rsidR="00A8138F" w:rsidRDefault="00A8138F" w:rsidP="00A8138F">
      <w:pPr>
        <w:pStyle w:val="TextoNormal"/>
      </w:pPr>
    </w:p>
    <w:p w14:paraId="1A711198" w14:textId="77777777" w:rsidR="00A8138F" w:rsidRDefault="00A8138F" w:rsidP="00A8138F">
      <w:pPr>
        <w:pStyle w:val="TextoNormal"/>
      </w:pPr>
      <w:r>
        <w:t>Publíquese esta sentencia en el “Boletín Oficial del Estado”.</w:t>
      </w:r>
    </w:p>
    <w:p w14:paraId="2A3D1E03" w14:textId="77777777" w:rsidR="00A8138F" w:rsidRDefault="00A8138F" w:rsidP="00A8138F">
      <w:pPr>
        <w:pStyle w:val="TextoNormal"/>
      </w:pPr>
      <w:r>
        <w:t>Dada en Madrid, a diez de marzo de dos mil veinticinco.</w:t>
      </w:r>
    </w:p>
    <w:p w14:paraId="137565E1" w14:textId="19D21386" w:rsidR="00A8138F" w:rsidRDefault="00A8138F">
      <w:pPr>
        <w:spacing w:after="160" w:line="278" w:lineRule="auto"/>
        <w:rPr>
          <w:rFonts w:ascii="Times New Roman" w:eastAsia="Times New Roman" w:hAnsi="Times New Roman" w:cs="Times New Roman"/>
          <w:sz w:val="24"/>
          <w:szCs w:val="24"/>
          <w:lang w:eastAsia="es-ES"/>
        </w:rPr>
      </w:pPr>
      <w:r>
        <w:br w:type="page"/>
      </w:r>
    </w:p>
    <w:p w14:paraId="54136927" w14:textId="77777777" w:rsidR="00A8138F" w:rsidRDefault="00A8138F" w:rsidP="00A8138F">
      <w:pPr>
        <w:pStyle w:val="TtuloResolucin"/>
      </w:pPr>
      <w:bookmarkStart w:id="64" w:name="SENTENCIA_2025_62"/>
      <w:r>
        <w:lastRenderedPageBreak/>
        <w:t>SENTENCIA 62/2025, de 11 de marzo de 2025</w:t>
      </w:r>
    </w:p>
    <w:bookmarkEnd w:id="64"/>
    <w:p w14:paraId="36471BD7" w14:textId="77777777" w:rsidR="00A8138F" w:rsidRDefault="00A8138F" w:rsidP="00A8138F">
      <w:pPr>
        <w:pStyle w:val="TtuloResolucin"/>
      </w:pPr>
      <w:r>
        <w:t>Pleno</w:t>
      </w:r>
    </w:p>
    <w:p w14:paraId="2505B380" w14:textId="77777777" w:rsidR="00A8138F" w:rsidRDefault="00A8138F" w:rsidP="00A8138F">
      <w:pPr>
        <w:pStyle w:val="TtuloBOE"/>
      </w:pPr>
      <w:r>
        <w:t>(BOE núm. 88, de 11 de abril de 2025)</w:t>
      </w:r>
    </w:p>
    <w:p w14:paraId="464DAA54" w14:textId="77777777" w:rsidR="00A8138F" w:rsidRDefault="00A8138F" w:rsidP="00A8138F">
      <w:pPr>
        <w:pStyle w:val="TextoNormalCentrado"/>
      </w:pPr>
      <w:r>
        <w:t>ECLI:ES:TC:2025:62</w:t>
      </w:r>
    </w:p>
    <w:p w14:paraId="05CA851E" w14:textId="4561718B" w:rsidR="00A8138F" w:rsidRDefault="00A8138F" w:rsidP="00A8138F">
      <w:pPr>
        <w:pStyle w:val="TextoNormalCentrado"/>
      </w:pPr>
    </w:p>
    <w:p w14:paraId="69E7D094" w14:textId="77777777" w:rsidR="00A8138F" w:rsidRDefault="00A8138F" w:rsidP="00A8138F">
      <w:pPr>
        <w:pStyle w:val="SntesisDescriptiva"/>
      </w:pPr>
      <w:r>
        <w:t>Recurso de amparo 6890-2023. Promovido por Diario ABC, S.L., respecto de la sentencia de la Sala de lo Civil del Tribunal Supremo que estimó, en casación, una demanda por vulneración de los derechos al honor y a la propia imagen.</w:t>
      </w:r>
    </w:p>
    <w:p w14:paraId="114AE126" w14:textId="00AC37DD" w:rsidR="00A8138F" w:rsidRDefault="00A8138F" w:rsidP="00A8138F">
      <w:pPr>
        <w:pStyle w:val="SntesisDescriptiva"/>
      </w:pPr>
    </w:p>
    <w:p w14:paraId="1DB2C6D4" w14:textId="77777777" w:rsidR="00A8138F" w:rsidRDefault="00A8138F" w:rsidP="00A8138F">
      <w:pPr>
        <w:pStyle w:val="SntesisAnaltica"/>
      </w:pPr>
      <w:r>
        <w:t>Supuesta vulneración del derecho a la libertad de información: difusión de un video en el que aparecen imágenes de quien no es sujeto de la noticia; doctrina del reportaje neutral. Votos particulares.</w:t>
      </w:r>
    </w:p>
    <w:p w14:paraId="55F7FFDB" w14:textId="261F66AD" w:rsidR="00A8138F" w:rsidRDefault="00A8138F" w:rsidP="00A8138F">
      <w:pPr>
        <w:pStyle w:val="SntesisAnaltica"/>
      </w:pPr>
    </w:p>
    <w:p w14:paraId="76AB1F1E" w14:textId="2C89F0EF" w:rsidR="00A8138F" w:rsidRDefault="00A8138F" w:rsidP="00A8138F">
      <w:pPr>
        <w:pStyle w:val="Extracto"/>
      </w:pPr>
      <w:r>
        <w:t>1.</w:t>
      </w:r>
      <w:r>
        <w:tab/>
        <w:t>En los casos de reportaje neutral, la veracidad no es de lo transcrito, sino de la transcripción misma. El medio de comunicación debe acreditar la conexión material de las declaraciones del tercero con el objeto del reportaje en el que tales declaraciones se integran; y no debe haber indicios racionales de falsedad evidente de lo transcrito, para evitar que un reportaje neutral sirva indebidamente a la divulgación de simples rumores o insidias (STC 134/1999) [FJ 2].</w:t>
      </w:r>
    </w:p>
    <w:p w14:paraId="134B6068" w14:textId="77777777" w:rsidR="00A8138F" w:rsidRDefault="00A8138F" w:rsidP="00A8138F">
      <w:pPr>
        <w:pStyle w:val="Extracto"/>
      </w:pPr>
    </w:p>
    <w:p w14:paraId="15E51C42" w14:textId="0B93398B" w:rsidR="00A8138F" w:rsidRDefault="00A8138F" w:rsidP="00A8138F">
      <w:pPr>
        <w:pStyle w:val="Extracto"/>
      </w:pPr>
      <w:r>
        <w:t>2.</w:t>
      </w:r>
      <w:r>
        <w:tab/>
        <w:t>El requisito de veracidad no se identifica con la exigencia de una rigurosa y total exactitud en el contenido de la información. Se exige comprobar su realidad mediante las averiguaciones oportunas y propias de un profesional diligente, con independencia de que se incurra en errores circunstanciales que no afecten a la esencia de lo informado (SSTC 6/1988 o 139/2007) [FJ 3].</w:t>
      </w:r>
    </w:p>
    <w:p w14:paraId="3F700A1F" w14:textId="77777777" w:rsidR="00A8138F" w:rsidRDefault="00A8138F" w:rsidP="00A8138F">
      <w:pPr>
        <w:pStyle w:val="Extracto"/>
      </w:pPr>
    </w:p>
    <w:p w14:paraId="03A8AAC1" w14:textId="60925D9F" w:rsidR="00A8138F" w:rsidRDefault="00A8138F" w:rsidP="00A8138F">
      <w:pPr>
        <w:pStyle w:val="Extracto"/>
      </w:pPr>
      <w:r>
        <w:t>3.</w:t>
      </w:r>
      <w:r>
        <w:tab/>
        <w:t>Si el medio de comunicación señala directamente a una agencia de información como autora de la noticia, que se publica sin modificar ni asumir como propia, es razonable una cierta modulación, aunque no exclusión, de la diligencia exigible y consiguientemente de su responsabilidad. Esta se determinará atendiendo al deber de diligencia predicable conforme a las circunstancias concretas que concurran [FJ 3].</w:t>
      </w:r>
    </w:p>
    <w:p w14:paraId="31BDD552" w14:textId="77777777" w:rsidR="00A8138F" w:rsidRDefault="00A8138F" w:rsidP="00A8138F">
      <w:pPr>
        <w:pStyle w:val="Extracto"/>
      </w:pPr>
    </w:p>
    <w:p w14:paraId="4B140533" w14:textId="70566A14" w:rsidR="00A8138F" w:rsidRDefault="00A8138F" w:rsidP="00A8138F">
      <w:pPr>
        <w:pStyle w:val="Extracto"/>
      </w:pPr>
      <w:r>
        <w:t>4.</w:t>
      </w:r>
      <w:r>
        <w:tab/>
        <w:t>Ni la doctrina del reportaje neutral puede suponer una coartada para la vulneración de derechos fundamentales, ni la publicación de noticias procedentes de agencias de información libera al medio de su deber de diligencia, aunque lo pueda moderar [FJ 3].</w:t>
      </w:r>
    </w:p>
    <w:p w14:paraId="63F54095" w14:textId="77777777" w:rsidR="00A8138F" w:rsidRDefault="00A8138F" w:rsidP="00A8138F">
      <w:pPr>
        <w:pStyle w:val="Extracto"/>
      </w:pPr>
    </w:p>
    <w:p w14:paraId="7F2E09F5" w14:textId="68D3D48F" w:rsidR="00A8138F" w:rsidRDefault="00A8138F" w:rsidP="00A8138F">
      <w:pPr>
        <w:pStyle w:val="Extracto"/>
      </w:pPr>
      <w:r>
        <w:t>5.</w:t>
      </w:r>
      <w:r>
        <w:tab/>
        <w:t xml:space="preserve">El derecho de la persona a la protección de su imagen constituye uno de los requisitos esenciales de su desarrollo personal. Presupone principalmente el control de la persona sobre su imagen, que comprende concretamente la posibilidad para esta de negarse a su divulgación (STEDH de 7 de febrero de 2012, asunto </w:t>
      </w:r>
      <w:r w:rsidRPr="00A8138F">
        <w:rPr>
          <w:i/>
        </w:rPr>
        <w:t xml:space="preserve">Von Hannover c. Alemania </w:t>
      </w:r>
      <w:r>
        <w:t>-núm. 2- § 96) [FJ 4].</w:t>
      </w:r>
    </w:p>
    <w:p w14:paraId="6C6B65A1" w14:textId="77777777" w:rsidR="00A8138F" w:rsidRDefault="00A8138F" w:rsidP="00A8138F">
      <w:pPr>
        <w:pStyle w:val="Extracto"/>
      </w:pPr>
    </w:p>
    <w:p w14:paraId="3B84504C" w14:textId="25CA8801" w:rsidR="00A8138F" w:rsidRDefault="00A8138F" w:rsidP="00A8138F">
      <w:pPr>
        <w:pStyle w:val="Extracto"/>
      </w:pPr>
      <w:r>
        <w:t>6.</w:t>
      </w:r>
      <w:r>
        <w:tab/>
        <w:t>El titular del derecho fundamental debe autorizar el concreto acto de utilización de su imagen y los fines para los que la otorga; y el consentimiento prestado para la captación de una imagen no se extiende a otros actos posteriores, como su publicación o su difusión (STC 27/2020) [FJ 4].</w:t>
      </w:r>
    </w:p>
    <w:p w14:paraId="0312D46B" w14:textId="77777777" w:rsidR="00A8138F" w:rsidRDefault="00A8138F" w:rsidP="00A8138F">
      <w:pPr>
        <w:pStyle w:val="Extracto"/>
      </w:pPr>
    </w:p>
    <w:p w14:paraId="3337F998" w14:textId="056F1D9F" w:rsidR="00A8138F" w:rsidRDefault="00A8138F" w:rsidP="00A8138F">
      <w:pPr>
        <w:pStyle w:val="Extracto"/>
      </w:pPr>
      <w:r>
        <w:t>7.</w:t>
      </w:r>
      <w:r>
        <w:tab/>
        <w:t>La autorización de una concreta publicación no se extiende a otras, ya tengan la misma o diversa finalidad que la primigenia (STC 27/2020) [FJ 4].</w:t>
      </w:r>
    </w:p>
    <w:p w14:paraId="5186475B" w14:textId="77777777" w:rsidR="00A8138F" w:rsidRDefault="00A8138F" w:rsidP="00A8138F">
      <w:pPr>
        <w:pStyle w:val="Extracto"/>
      </w:pPr>
    </w:p>
    <w:p w14:paraId="004FC149" w14:textId="0EB6AD11" w:rsidR="00A8138F" w:rsidRDefault="00A8138F" w:rsidP="00A8138F">
      <w:pPr>
        <w:pStyle w:val="Extracto"/>
      </w:pPr>
      <w:r>
        <w:t>8.</w:t>
      </w:r>
      <w:r>
        <w:tab/>
        <w:t>El deber de diligencia del medio de comunicación debe exigirse en su máxima intensidad si la noticia transmitida supone la atribución de la comisión de un delito (STC 21/2000) [FJ 4].</w:t>
      </w:r>
    </w:p>
    <w:p w14:paraId="33E55F8A" w14:textId="77777777" w:rsidR="00A8138F" w:rsidRDefault="00A8138F" w:rsidP="00A8138F">
      <w:pPr>
        <w:pStyle w:val="Extracto"/>
      </w:pPr>
    </w:p>
    <w:p w14:paraId="68AC8048" w14:textId="7FF15F00" w:rsidR="00A8138F" w:rsidRDefault="00A8138F" w:rsidP="00A8138F">
      <w:pPr>
        <w:pStyle w:val="Extracto"/>
      </w:pPr>
      <w:r>
        <w:t>9.</w:t>
      </w:r>
      <w:r>
        <w:tab/>
        <w:t>La intensidad del deber de diligencia exigido, concretado en la mera verificación del control externo del material informativo tal y como se edite por una agencia de noticias, no opera como factor disuasorio para que los medios de comunicación lleven a cabo su función de transmitir información al público o para que las agencias de noticias realice su labor de servir como fuente de información; y sí contribuye a una efectiva tutela de los derechos al honor y a la propia imagen de los afectados [FJ 4].</w:t>
      </w:r>
    </w:p>
    <w:p w14:paraId="6579F360" w14:textId="77777777" w:rsidR="00A8138F" w:rsidRDefault="00A8138F" w:rsidP="00A8138F">
      <w:pPr>
        <w:pStyle w:val="Extracto"/>
      </w:pPr>
    </w:p>
    <w:p w14:paraId="069975EA" w14:textId="77777777" w:rsidR="00A8138F" w:rsidRDefault="00A8138F" w:rsidP="00A8138F">
      <w:pPr>
        <w:pStyle w:val="Extracto"/>
      </w:pPr>
    </w:p>
    <w:p w14:paraId="6184A0A5"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A12F953" w14:textId="3A3A16AC" w:rsidR="00A8138F" w:rsidRDefault="00A8138F" w:rsidP="00A8138F">
      <w:pPr>
        <w:pStyle w:val="TextoNormal"/>
      </w:pPr>
    </w:p>
    <w:p w14:paraId="3F0C3324" w14:textId="77777777" w:rsidR="00A8138F" w:rsidRDefault="00A8138F" w:rsidP="00A8138F">
      <w:pPr>
        <w:pStyle w:val="TextoNormalCentrado"/>
        <w:keepNext/>
      </w:pPr>
      <w:r>
        <w:t>EN NOMBRE DEL REY</w:t>
      </w:r>
    </w:p>
    <w:p w14:paraId="22A709E7" w14:textId="7D3395F1" w:rsidR="00A8138F" w:rsidRDefault="00A8138F" w:rsidP="00A8138F">
      <w:pPr>
        <w:pStyle w:val="TextoNormalCentrado"/>
        <w:keepNext/>
      </w:pPr>
    </w:p>
    <w:p w14:paraId="3323325B" w14:textId="77777777" w:rsidR="00A8138F" w:rsidRDefault="00A8138F" w:rsidP="00A8138F">
      <w:pPr>
        <w:pStyle w:val="TextoNormalCentrado"/>
        <w:keepNext/>
      </w:pPr>
    </w:p>
    <w:p w14:paraId="598AF123" w14:textId="77777777" w:rsidR="00A8138F" w:rsidRDefault="00A8138F" w:rsidP="00A8138F">
      <w:pPr>
        <w:pStyle w:val="TextoNormal"/>
      </w:pPr>
      <w:r>
        <w:t>la siguiente</w:t>
      </w:r>
    </w:p>
    <w:p w14:paraId="27B6A127" w14:textId="24512F29" w:rsidR="00A8138F" w:rsidRDefault="00A8138F" w:rsidP="00A8138F">
      <w:pPr>
        <w:pStyle w:val="TextoNormal"/>
      </w:pPr>
    </w:p>
    <w:p w14:paraId="4B3A006A" w14:textId="77777777" w:rsidR="00A8138F" w:rsidRDefault="00A8138F" w:rsidP="00A8138F">
      <w:pPr>
        <w:pStyle w:val="TextoNormalCentrado"/>
        <w:keepNext/>
      </w:pPr>
      <w:r>
        <w:t>SENTENCIA</w:t>
      </w:r>
    </w:p>
    <w:p w14:paraId="213277AC" w14:textId="2825BFC0" w:rsidR="00A8138F" w:rsidRDefault="00A8138F" w:rsidP="00A8138F">
      <w:pPr>
        <w:pStyle w:val="TextoNormalCentrado"/>
        <w:keepNext/>
      </w:pPr>
    </w:p>
    <w:p w14:paraId="08863DA8" w14:textId="77777777" w:rsidR="00A8138F" w:rsidRDefault="00A8138F" w:rsidP="00A8138F">
      <w:pPr>
        <w:pStyle w:val="TextoNormal"/>
      </w:pPr>
      <w:r>
        <w:t>En el recurso de amparo núm. 6890-2023, interpuesto por el procurador de los tribunales don Francisco García Crespo, en nombre y representación de Diario ABC, S.L., bajo la dirección letrada de don Carlos José Jiménez de Laiglesia Pan, contra la sentencia núm. 1225/2023, de 13 de septiembre, dictada por la Sala de lo Civil del Tribunal Supremo en el recurso de casación núm. 570-2023, estimatoria del recurso de casación interpuesto contra la sentencia núm. 499/2022, de 4 de noviembre, de la Sección Cuarta de la Audiencia Provincial de Barcelona dictada en el recurso de apelación núm. 789-2022, que confirmó la sentencia núm. 266/2021, de 27 de septiembre, dictada por el Juzgado de Primera Instancia núm. 7 de L’Hospitalet de Llobregat en el procedimiento ordinario de protección del derecho al honor y a la propia imagen núm. 1017-2019. Ha intervenido el Ministerio Fiscal. Se ha personado y formulado alegaciones don Cristian Opazos Menor. Ha sido ponente el magistrado don César Tolosa Tribiño.</w:t>
      </w:r>
    </w:p>
    <w:p w14:paraId="67E2C746" w14:textId="23477CAA" w:rsidR="00A8138F" w:rsidRDefault="00A8138F" w:rsidP="00A8138F">
      <w:pPr>
        <w:pStyle w:val="TextoNormal"/>
      </w:pPr>
    </w:p>
    <w:p w14:paraId="7963A837" w14:textId="77777777" w:rsidR="00A8138F" w:rsidRDefault="00A8138F" w:rsidP="00A8138F">
      <w:pPr>
        <w:pStyle w:val="TextoNormalNegritaCentrado"/>
        <w:keepNext/>
      </w:pPr>
      <w:r>
        <w:lastRenderedPageBreak/>
        <w:t>I. Antecedentes</w:t>
      </w:r>
    </w:p>
    <w:p w14:paraId="0381CF75" w14:textId="26006D09" w:rsidR="00A8138F" w:rsidRDefault="00A8138F" w:rsidP="00A8138F">
      <w:pPr>
        <w:pStyle w:val="TextoNormalNegritaCentrado"/>
        <w:keepNext/>
      </w:pPr>
    </w:p>
    <w:p w14:paraId="1AC38592" w14:textId="01CF1BD1" w:rsidR="00A8138F" w:rsidRDefault="00A8138F" w:rsidP="00A8138F">
      <w:pPr>
        <w:pStyle w:val="TextoNormal"/>
      </w:pPr>
      <w:r w:rsidRPr="00A8138F">
        <w:rPr>
          <w:rStyle w:val="NumeroAFNegritaCaracter"/>
        </w:rPr>
        <w:t>1</w:t>
      </w:r>
      <w:r>
        <w:t>. Por escrito presentado en el registro general de este tribunal el día 2 de noviembre de 2023, el procurador de los tribunales don Francisco García Crespo, actuando en nombre y representación de Diario ABC, S.L., y bajo la dirección letrada de don Carlos José Jiménez de Laiglesia Pan, interpuso recurso de amparo contra la sentencia dictada por la Sala de lo Civil del Tribunal Supremo que se indica en el encabezamiento de esta sentencia, por vulneración de su derecho a la libertad de información [art. 20.1 d) CE].</w:t>
      </w:r>
    </w:p>
    <w:p w14:paraId="791E73B4" w14:textId="77777777" w:rsidR="00A8138F" w:rsidRDefault="00A8138F" w:rsidP="00A8138F">
      <w:pPr>
        <w:pStyle w:val="TextoNormal"/>
      </w:pPr>
    </w:p>
    <w:p w14:paraId="40A9A00B" w14:textId="77777777" w:rsidR="00A8138F" w:rsidRDefault="00A8138F" w:rsidP="00A8138F">
      <w:pPr>
        <w:pStyle w:val="TextoNormal"/>
      </w:pPr>
      <w:r w:rsidRPr="00A8138F">
        <w:rPr>
          <w:rStyle w:val="NumeroAFNegritaCaracter"/>
        </w:rPr>
        <w:t>2</w:t>
      </w:r>
      <w:r>
        <w:t>. Los hechos en los que se fundamenta la demanda de amparo son, en síntesis, los siguientes:</w:t>
      </w:r>
    </w:p>
    <w:p w14:paraId="7693E6AB" w14:textId="77777777" w:rsidR="00A8138F" w:rsidRDefault="00A8138F" w:rsidP="00A8138F">
      <w:pPr>
        <w:pStyle w:val="TextoNormal"/>
      </w:pPr>
    </w:p>
    <w:p w14:paraId="23A4178B" w14:textId="77777777" w:rsidR="00A8138F" w:rsidRDefault="00A8138F" w:rsidP="00A8138F">
      <w:pPr>
        <w:pStyle w:val="TextoNormal"/>
      </w:pPr>
      <w:r>
        <w:t>a) Don Cristian Opazos Menor formuló demanda de juicio ordinario contra la entidad Diario ABC, S.L., en la que solicitó indemnización de daños y perjuicios por valor de 60 000 €, por intromisión ilegítima en sus derechos fundamentales al honor y a la propia imagen.</w:t>
      </w:r>
    </w:p>
    <w:p w14:paraId="3DB6540A" w14:textId="77777777" w:rsidR="00A8138F" w:rsidRDefault="00A8138F" w:rsidP="00A8138F">
      <w:pPr>
        <w:pStyle w:val="TextoNormal"/>
      </w:pPr>
    </w:p>
    <w:p w14:paraId="0DF89BA3" w14:textId="77777777" w:rsidR="00A8138F" w:rsidRDefault="00A8138F" w:rsidP="00A8138F">
      <w:pPr>
        <w:pStyle w:val="TextoNormal"/>
      </w:pPr>
      <w:r>
        <w:t>Los hechos en los que basó su petición se concretan en la publicación de unas imágenes del demandante con ocasión de la noticia sobre la muerte de un preso acontecida el 26 de diciembre de 2018 en el centro penitenciario de Soto del Real a manos de otro preso, boxeador, apodado “el Nene”. La noticia llevaba por título: “ՙEl Nene՚ mata a golpes a un traficante de drogas por una litera”. En el vídeo que ilustraba esta noticia se insertaron imágenes extraídas de otra grabación o vídeo, correspondiente a una entrevista que se había realizado al demandante, también boxeador, con motivo de un campeonato celebrado el 20 de octubre de 2012. Alegó el demandante que tales imágenes se habían utilizado sin su consentimiento ni autorización, y que se habían publicado indebidamente en el contexto de una noticia de gran impacto mediático, con más de 2260 visualizaciones durante los más de cinco meses que llevaba publicada. Reprochaba al medio de comunicación demandado que hubiera publicado las imágenes del actor sin la más mínima diligencia de comprobación y contraste de sus archivos e información, desprendiéndose con su propia imagen clara y nítida ser el autor de tan grave y macabro hecho. La demandada, por otra parte, no había rectificado la noticia. Y el demandante consideraba que las imágenes así publicadas no eran veraces y resultaban absolutamente innecesarias para la información, por lo que constituían una clara vulneración de sus derechos al honor y a la propia imagen.</w:t>
      </w:r>
    </w:p>
    <w:p w14:paraId="255784B2" w14:textId="77777777" w:rsidR="00A8138F" w:rsidRDefault="00A8138F" w:rsidP="00A8138F">
      <w:pPr>
        <w:pStyle w:val="TextoNormal"/>
      </w:pPr>
    </w:p>
    <w:p w14:paraId="047FB42E" w14:textId="77777777" w:rsidR="00A8138F" w:rsidRDefault="00A8138F" w:rsidP="00A8138F">
      <w:pPr>
        <w:pStyle w:val="TextoNormal"/>
      </w:pPr>
      <w:r>
        <w:t>Resaltaba, además, que las aseveraciones vertidas en la noticia habían provocado continuos y reiterados comentarios contra su persona y actividad profesional por parte de familiares, de personas de su entorno y de fuera de él, y por personalidades del mundo del deporte, lo que ponía en peligro su reputación, para añadir que la publicación había generado un estado de ansiedad y angustia a su pareja, que se encontraba en su quinto mes de gestación.</w:t>
      </w:r>
    </w:p>
    <w:p w14:paraId="73D3E729" w14:textId="77777777" w:rsidR="00A8138F" w:rsidRDefault="00A8138F" w:rsidP="00A8138F">
      <w:pPr>
        <w:pStyle w:val="TextoNormal"/>
      </w:pPr>
    </w:p>
    <w:p w14:paraId="6A925C68" w14:textId="77777777" w:rsidR="00A8138F" w:rsidRDefault="00A8138F" w:rsidP="00A8138F">
      <w:pPr>
        <w:pStyle w:val="TextoNormal"/>
      </w:pPr>
      <w:r>
        <w:t xml:space="preserve">Sobre la base de estos hechos, afirmó que se había producido una intromisión ilegítima en su derecho a la propia imagen, porque se habían tomado imágenes del demandante sin su consentimiento, obtenidas de una red social accesible al público y, además, teniendo en cuenta el contexto de tan macabra e impactante noticia. Sostuvo que el carácter accesible de los datos e imágenes de una red social no puede conllevar la autorización para hacer uso de </w:t>
      </w:r>
      <w:r>
        <w:lastRenderedPageBreak/>
        <w:t>esas imágenes y publicarlas o divulgarlas de una forma distinta, sin el consentimiento expreso previsto en el art. 2.2 de la Ley Orgánica 1/1982, de 5 de mayo, de protección civil del derecho al honor, a la intimidad personal y familiar y a la propia imagen, con cita de las sentencias del Tribunal Supremo núm. 746/2016, de 21 de diciembre (ECLI:ES:TS:2016:5527) y 91/2017, de 15 de febrero (ECLI:ES:TS:2017:363). A efectos de necesidad de consentimiento expreso, señaló que no se trataba de un personaje con proyección pública.</w:t>
      </w:r>
    </w:p>
    <w:p w14:paraId="0C982B20" w14:textId="77777777" w:rsidR="00A8138F" w:rsidRDefault="00A8138F" w:rsidP="00A8138F">
      <w:pPr>
        <w:pStyle w:val="TextoNormal"/>
      </w:pPr>
    </w:p>
    <w:p w14:paraId="1187DC79" w14:textId="77777777" w:rsidR="00A8138F" w:rsidRDefault="00A8138F" w:rsidP="00A8138F">
      <w:pPr>
        <w:pStyle w:val="TextoNormal"/>
      </w:pPr>
      <w:r>
        <w:t xml:space="preserve">Asimismo, adujo que se había vulnerado su derecho al honor porque se mostraba al demandante como autor de los hechos graves a los que se refería la noticia, ya que, al tiempo de aparecer su imagen en el vídeo, se afirmaba lo siguiente: “Así se presenta ՙel Nene՚, este campeón de </w:t>
      </w:r>
      <w:r w:rsidRPr="00A8138F">
        <w:rPr>
          <w:i/>
        </w:rPr>
        <w:t>muay thai</w:t>
      </w:r>
      <w:r>
        <w:t xml:space="preserve"> que mató a golpes a su compañero de celda por una litera”.</w:t>
      </w:r>
    </w:p>
    <w:p w14:paraId="3C4BE4EA" w14:textId="77777777" w:rsidR="00A8138F" w:rsidRDefault="00A8138F" w:rsidP="00A8138F">
      <w:pPr>
        <w:pStyle w:val="TextoNormal"/>
      </w:pPr>
    </w:p>
    <w:p w14:paraId="0878844D" w14:textId="77777777" w:rsidR="00A8138F" w:rsidRDefault="00A8138F" w:rsidP="00A8138F">
      <w:pPr>
        <w:pStyle w:val="TextoNormal"/>
      </w:pPr>
      <w:r>
        <w:t>Atendidas las circunstancias, el demandante sostuvo que los hechos no podían quedar amparados por la libertad de expresión ni el derecho a la información, teniendo en cuenta que el interés público no justificaba que se publicara su imagen en el contexto de aquel suceso. Señaló también que, en el juicio de ponderación al que se refiere la jurisprudencia del Tribunal Supremo y del Tribunal Constitucional, debe tenerse en cuenta: (i) el interés general y relevancia pública de la información divulgada; (ii) que el derecho a informar se vea disminuido si no se refiere a personalidades públicas, cuando en este caso se trata de un sujeto privado y (iii) que la información sea veraz, comprobada y contrastada.</w:t>
      </w:r>
    </w:p>
    <w:p w14:paraId="2B2FD65E" w14:textId="77777777" w:rsidR="00A8138F" w:rsidRDefault="00A8138F" w:rsidP="00A8138F">
      <w:pPr>
        <w:pStyle w:val="TextoNormal"/>
      </w:pPr>
    </w:p>
    <w:p w14:paraId="571C736B" w14:textId="77777777" w:rsidR="00A8138F" w:rsidRDefault="00A8138F" w:rsidP="00A8138F">
      <w:pPr>
        <w:pStyle w:val="TextoNormal"/>
      </w:pPr>
      <w:r>
        <w:t>El demandante concluyó a la luz de estos planteamientos que la utilización de sus imágenes constituía una vulneración de sus derechos al honor y a la propia imagen.</w:t>
      </w:r>
    </w:p>
    <w:p w14:paraId="718F1B5D" w14:textId="77777777" w:rsidR="00A8138F" w:rsidRDefault="00A8138F" w:rsidP="00A8138F">
      <w:pPr>
        <w:pStyle w:val="TextoNormal"/>
      </w:pPr>
    </w:p>
    <w:p w14:paraId="677A548F" w14:textId="77777777" w:rsidR="00A8138F" w:rsidRDefault="00A8138F" w:rsidP="00A8138F">
      <w:pPr>
        <w:pStyle w:val="TextoNormal"/>
      </w:pPr>
      <w:r>
        <w:t>b) La demanda fue repartida al Juzgado de Primera Instancia núm. 7 de L’Hospitalet de Llobregat, que incoó el procedimiento ordinario núm. 1017-2019. La demanda fue admitida por decreto de 29 de noviembre de 2019, en el que se acordó dar traslado de la demanda con emplazamiento para contestación a la parte demandada, Diario ABC, S.L., y al Ministerio Fiscal.</w:t>
      </w:r>
    </w:p>
    <w:p w14:paraId="4BE4CBC4" w14:textId="77777777" w:rsidR="00A8138F" w:rsidRDefault="00A8138F" w:rsidP="00A8138F">
      <w:pPr>
        <w:pStyle w:val="TextoNormal"/>
      </w:pPr>
    </w:p>
    <w:p w14:paraId="64E8817A" w14:textId="77777777" w:rsidR="00A8138F" w:rsidRDefault="00A8138F" w:rsidP="00A8138F">
      <w:pPr>
        <w:pStyle w:val="TextoNormal"/>
      </w:pPr>
      <w:r>
        <w:t>En la contestación a la demanda Diario ABC, S.L., alegó, en primer lugar, que el demandante no era un sujeto privado, sino que se trataba de un personaje conocido, especialmente en el mundo del boxeo, y que de él había numerosos vídeos y entrevistas en internet, tanto en alguna página web como en la plataforma YouTube. Precisó que, en realidad, la entidad demandada se había limitado a difundir un vídeo suministrado por la agencia Atlas, perteneciente al grupo Mediaset, que estaba identificada en la propia información, y que en la portada del vídeo aparecía el sujeto de la noticia y no el demandante. Consideró que, al tratarse de una noticia recibida y difundida por este medio, al igual que por otros muchos que enumeró en su escrito, se trataría de un supuesto de reportaje neutral que otros medios también habían distribuido en la misma forma, donde el medio no ha alterado ni modificado la noticia difundida por la agencia Atlas.</w:t>
      </w:r>
    </w:p>
    <w:p w14:paraId="39AAE65B" w14:textId="77777777" w:rsidR="00A8138F" w:rsidRDefault="00A8138F" w:rsidP="00A8138F">
      <w:pPr>
        <w:pStyle w:val="TextoNormal"/>
      </w:pPr>
    </w:p>
    <w:p w14:paraId="68D19D6D" w14:textId="77777777" w:rsidR="00A8138F" w:rsidRDefault="00A8138F" w:rsidP="00A8138F">
      <w:pPr>
        <w:pStyle w:val="TextoNormal"/>
      </w:pPr>
      <w:r>
        <w:t xml:space="preserve">Señaló, además, que el vídeo tenía una duración de un minuto y veintidós segundos, que comenzaba con una antigua entrevista al autor de la muerte del compañero de celda y, después, durante cuatro segundos, se incluían imágenes del final de un combate en el que una persona levantaba la mano del boxeador situado en el centro, que es el demandante, pero se trataba de una imagen de poca calidad para posteriormente volver a aparecer “el Nene” en </w:t>
      </w:r>
      <w:r>
        <w:lastRenderedPageBreak/>
        <w:t>el vídeo. Por ello sostuvo que no cabía confundir con el demandante a quien aparecía como verdadero autor de los hechos, pues este salía varias veces en el vídeo y las imágenes del demandante eran de peor calidad, totalmente accesorias y de breve duración temporal, lo que dificulta reconocerlo. Indicó también que el demandante no había dirigido solicitud de rectificación al medio, que había tenido conocimiento del error a través de la demanda. Considera que “el demandante no busca proteger sus derechos fundamentales frente a un evidente, inocente e inofensivo error, sino ՙhacer caja՚”. Solicitó, por último, la acumulación de los procedimientos porque, a su juicio, el demandante había formulado multitud de reclamaciones a los diferentes medios de comunicación con el fin de lucrarse.</w:t>
      </w:r>
    </w:p>
    <w:p w14:paraId="7C6538E1" w14:textId="77777777" w:rsidR="00A8138F" w:rsidRDefault="00A8138F" w:rsidP="00A8138F">
      <w:pPr>
        <w:pStyle w:val="TextoNormal"/>
      </w:pPr>
    </w:p>
    <w:p w14:paraId="6A98FF0D" w14:textId="77777777" w:rsidR="00A8138F" w:rsidRDefault="00A8138F" w:rsidP="00A8138F">
      <w:pPr>
        <w:pStyle w:val="TextoNormal"/>
      </w:pPr>
      <w:r>
        <w:t>Respecto del derecho al honor del demandante, la parte demandada negó que se hubiera producido una intromisión ilegítima, al tratarse de una información veraz referida a un asunto de relevancia pública e interés general, que informaba de un suceso acaecido en una cárcel en diciembre de 2018 por hechos ajenos al demandante, cuya imagen, sin embargo, aparecía intercalada entre las de otras dos personas durante cuatro segundos en un vídeo de un minuto y veintidós segundos de duración. Invocó la STC 3/1997, de 13 de enero, en el sentido de considerar que los límites externos a la libertad de información y expresión, entre los que se encuentra el derecho al honor, deben interpretarse restrictivamente y en el sentido más favorable a la eficacia de esos derechos. Para concluir, interesó la desestimación de la demanda porque no era cierto que la información atribuyera al actor la comisión de un delito o actuación ilegítima alguna, y que esta información no afectaba a la reputación y buen nombre del demandante.</w:t>
      </w:r>
    </w:p>
    <w:p w14:paraId="0CF38D89" w14:textId="77777777" w:rsidR="00A8138F" w:rsidRDefault="00A8138F" w:rsidP="00A8138F">
      <w:pPr>
        <w:pStyle w:val="TextoNormal"/>
      </w:pPr>
    </w:p>
    <w:p w14:paraId="15B9FF3F" w14:textId="77777777" w:rsidR="00A8138F" w:rsidRDefault="00A8138F" w:rsidP="00A8138F">
      <w:pPr>
        <w:pStyle w:val="TextoNormal"/>
      </w:pPr>
      <w:r>
        <w:t>En relación con el derecho del demandante a la propia imagen, insistió la entidad demandada en la escasa duración de las imágenes de aquel respecto del conjunto del vídeo en las que no resultaba recognoscible, y que se trataba de un error irrelevante causado por la agencia de noticias Atlas.</w:t>
      </w:r>
    </w:p>
    <w:p w14:paraId="5DC42134" w14:textId="77777777" w:rsidR="00A8138F" w:rsidRDefault="00A8138F" w:rsidP="00A8138F">
      <w:pPr>
        <w:pStyle w:val="TextoNormal"/>
      </w:pPr>
    </w:p>
    <w:p w14:paraId="14C6B654" w14:textId="77777777" w:rsidR="00A8138F" w:rsidRDefault="00A8138F" w:rsidP="00A8138F">
      <w:pPr>
        <w:pStyle w:val="TextoNormal"/>
      </w:pPr>
      <w:r>
        <w:t>La demandada invocó la doctrina del reportaje neutral, al haber difundido un vídeo suministrado por una agencia y así lo hizo constar en su página web. Afirmó haber actuado amparada en la buena fe y con la diligencia que le corresponde como informadora, al haberle cedido el vídeo una agencia de noticias de indudable prestigio y trayectoria, con ocasión de la noticia relativa a un asesinato en prisión. En sus alegaciones citó la STS de 28 de septiembre de 1996 (ECLI:ES:TS:1996:5118), dictada en un caso en que otra agencia de noticias suministró una fotografía a los medios, y que concluyó que estos últimos no eran responsables porque actuaron de buena fe y no existía medio razonable alguno para comprobar la autenticidad de la fotografía. Finalmente, concluyó que no podía exigirse a la demandada, como medio de comunicación, que cada vez que publicase una fotografía suministrada por la agencia Atlas comprobase la legitimidad y autenticidad de la misma, debiendo aplicarse la doctrina del reportaje neutral contenida en las SSTC 41/1994, de 15 de febrero, y 144/1998, de 30 de junio, y en las SSTS 284/2015, de 22 de mayo (ECLI:ES:TS:2015:2195), y 480/2019, de 20 de septiembre (ECLI:ES:TS:2019:297).</w:t>
      </w:r>
    </w:p>
    <w:p w14:paraId="01C69685" w14:textId="77777777" w:rsidR="00A8138F" w:rsidRDefault="00A8138F" w:rsidP="00A8138F">
      <w:pPr>
        <w:pStyle w:val="TextoNormal"/>
      </w:pPr>
    </w:p>
    <w:p w14:paraId="6E9F3CC3" w14:textId="77777777" w:rsidR="00A8138F" w:rsidRDefault="00A8138F" w:rsidP="00A8138F">
      <w:pPr>
        <w:pStyle w:val="TextoNormal"/>
      </w:pPr>
      <w:r>
        <w:t>Solicitó la desestimación íntegra de la demanda e interesó, por medio de otrosí, la acumulación de este procedimiento a uno promovido en los mismos términos por el demandante contra otro medio de comunicación (diario “El Comercio”).</w:t>
      </w:r>
    </w:p>
    <w:p w14:paraId="67480120" w14:textId="77777777" w:rsidR="00A8138F" w:rsidRDefault="00A8138F" w:rsidP="00A8138F">
      <w:pPr>
        <w:pStyle w:val="TextoNormal"/>
      </w:pPr>
    </w:p>
    <w:p w14:paraId="2BE0E88E" w14:textId="77777777" w:rsidR="00A8138F" w:rsidRDefault="00A8138F" w:rsidP="00A8138F">
      <w:pPr>
        <w:pStyle w:val="TextoNormal"/>
      </w:pPr>
      <w:r>
        <w:lastRenderedPageBreak/>
        <w:t xml:space="preserve">c) El Ministerio Fiscal alegó tener conocimiento de los múltiples procedimientos abiertos por la parte actora en distintos juzgados de primera instancia de la misma localidad y con el mismo </w:t>
      </w:r>
      <w:r w:rsidRPr="00A8138F">
        <w:rPr>
          <w:i/>
        </w:rPr>
        <w:t>petitum</w:t>
      </w:r>
      <w:r>
        <w:t xml:space="preserve"> de demanda, dirigidos frente a distintos demandados por tratarse de diferentes medios de comunicación. Por tal motivo, sostuvo que procedía la acumulación de este procedimiento a los seguidos en otros juzgados, para su continuación en el procedimiento más antiguo para evitar posibles resoluciones contradictorias.</w:t>
      </w:r>
    </w:p>
    <w:p w14:paraId="1A0E7CE6" w14:textId="77777777" w:rsidR="00A8138F" w:rsidRDefault="00A8138F" w:rsidP="00A8138F">
      <w:pPr>
        <w:pStyle w:val="TextoNormal"/>
      </w:pPr>
    </w:p>
    <w:p w14:paraId="38ABBCBA" w14:textId="77777777" w:rsidR="00A8138F" w:rsidRDefault="00A8138F" w:rsidP="00A8138F">
      <w:pPr>
        <w:pStyle w:val="TextoNormal"/>
      </w:pPr>
      <w:r>
        <w:t>El demandante se opuso a la acumulación de procedimientos por falta de identidad subjetiva de los demandados y por ser distintas las peticiones económicas de cada procedimiento, sin que pudiera admitirse la posibilidad de pronunciamientos contradictorios, ya que cada medio y tratamiento informativo tenía sus peculiaridades.</w:t>
      </w:r>
    </w:p>
    <w:p w14:paraId="0EC4588E" w14:textId="77777777" w:rsidR="00A8138F" w:rsidRDefault="00A8138F" w:rsidP="00A8138F">
      <w:pPr>
        <w:pStyle w:val="TextoNormal"/>
      </w:pPr>
    </w:p>
    <w:p w14:paraId="1ED28DFE" w14:textId="77777777" w:rsidR="00A8138F" w:rsidRDefault="00A8138F" w:rsidP="00A8138F">
      <w:pPr>
        <w:pStyle w:val="TextoNormal"/>
      </w:pPr>
      <w:r>
        <w:t>La parte demandada presentó escrito mostrando su conformidad con la acumulación de procedimientos solicitada.</w:t>
      </w:r>
    </w:p>
    <w:p w14:paraId="60F880C3" w14:textId="77777777" w:rsidR="00A8138F" w:rsidRDefault="00A8138F" w:rsidP="00A8138F">
      <w:pPr>
        <w:pStyle w:val="TextoNormal"/>
      </w:pPr>
    </w:p>
    <w:p w14:paraId="08625E58" w14:textId="77777777" w:rsidR="00A8138F" w:rsidRDefault="00A8138F" w:rsidP="00A8138F">
      <w:pPr>
        <w:pStyle w:val="TextoNormal"/>
      </w:pPr>
      <w:r>
        <w:t>Mediante providencia de 22 de diciembre de 2020 se acordó la continuación del procedimiento, dado que el Juzgado de Primera Instancia núm. 6 de la misma localidad había rechazado la acumulación en el procedimiento núm. 1021-2019.</w:t>
      </w:r>
    </w:p>
    <w:p w14:paraId="2015E064" w14:textId="77777777" w:rsidR="00A8138F" w:rsidRDefault="00A8138F" w:rsidP="00A8138F">
      <w:pPr>
        <w:pStyle w:val="TextoNormal"/>
      </w:pPr>
    </w:p>
    <w:p w14:paraId="6F2CD869" w14:textId="77777777" w:rsidR="00A8138F" w:rsidRDefault="00A8138F" w:rsidP="00A8138F">
      <w:pPr>
        <w:pStyle w:val="TextoNormal"/>
      </w:pPr>
      <w:r>
        <w:t>d) El Juzgado de Primera Instancia núm. 7 de L’Hospitalet de Llobregat desestimó la demanda en la sentencia núm. 266/2021, de 27 de septiembre. Declaró, como hecho no controvertido, que la fuente de la noticia fue el vídeo grabado por Atlas News, que fue alojado en la plataforma YouTube, aunque con enlace desde la noticia en el sitio web de Diario ABC, S.L., y que el vídeo incluía un plano con la imagen del actor mientras se transmitía la noticia del asesinato de un recluso cometido el 26 de diciembre de 2018 en la cárcel de Soto del Real, cometido por otro recluso, también boxeador, apodado “el Nene”. Consideró que se trataba de una información basada en una fuente objetiva y fiable, perfectamente identificable y de indudable interés general.</w:t>
      </w:r>
    </w:p>
    <w:p w14:paraId="457C3386" w14:textId="77777777" w:rsidR="00A8138F" w:rsidRDefault="00A8138F" w:rsidP="00A8138F">
      <w:pPr>
        <w:pStyle w:val="TextoNormal"/>
      </w:pPr>
    </w:p>
    <w:p w14:paraId="780AEF65" w14:textId="77777777" w:rsidR="00A8138F" w:rsidRDefault="00A8138F" w:rsidP="00A8138F">
      <w:pPr>
        <w:pStyle w:val="TextoNormal"/>
      </w:pPr>
      <w:r>
        <w:t>La sentencia resaltó la prevalencia que tiene en abstracto el derecho fundamental a la libertad de información cuando colisiona con los derechos de la personalidad del sujeto afectado, puede revertirse atendiendo al peso relativo de aquellos derechos según las concretas circunstancias concurrentes. Esta prevalencia está condicionada a que la información que se divulgue sea veraz, se refiera a asuntos de interés general o de relevancia pública, por razón de la persona o de la materia tratada, y no sobrepase el fin informativo porque se le dé un matiz injurioso, denigrante o desproporcionado. La sentencia invocó la doctrina de la Sala de lo Civil del Tribunal Supremo y del Tribunal Constitucional, conforme a la cual se ha apreciado la intromisión ilegítima en el honor en caso de informaciones no debidamente contrastadas que comportaban una falsa imputación penal. Por esa razón, todo medio de comunicación, antes de decidirse a dar publicidad a una noticia que pueda afectar al honor de una persona, debe emplear un específico y razonable deber de diligencia en comprobar su veracidad.</w:t>
      </w:r>
    </w:p>
    <w:p w14:paraId="45C400A1" w14:textId="77777777" w:rsidR="00A8138F" w:rsidRDefault="00A8138F" w:rsidP="00A8138F">
      <w:pPr>
        <w:pStyle w:val="TextoNormal"/>
      </w:pPr>
    </w:p>
    <w:p w14:paraId="161C1264" w14:textId="77777777" w:rsidR="00A8138F" w:rsidRDefault="00A8138F" w:rsidP="00A8138F">
      <w:pPr>
        <w:pStyle w:val="TextoNormal"/>
      </w:pPr>
      <w:r>
        <w:t xml:space="preserve">En este caso, en el que no se cuestiona la relevancia pública de la noticia y el error en la publicación de la imagen del actor, debe determinarse si la información gráfica publicada respetó el parámetro constitucional de veracidad, en relación con la diligente constatación de los hechos y la existencia de errores admisibles. La sentencia declara que, conforme a la doctrina constitucional, la diligencia exigible a un profesional de la información no puede </w:t>
      </w:r>
      <w:r>
        <w:lastRenderedPageBreak/>
        <w:t xml:space="preserve">precisarse </w:t>
      </w:r>
      <w:r w:rsidRPr="00A8138F">
        <w:rPr>
          <w:i/>
        </w:rPr>
        <w:t>a priori</w:t>
      </w:r>
      <w:r>
        <w:t xml:space="preserve"> y con carácter general, pues depende de las características concretas de la comunicación de que se trate y a las circunstancias del caso. Así, el nivel de diligencia exigible adquiere su máxima intensidad cuando la noticia que se divulga puede suponer por su propio contenido un descrédito en la consideración de la persona a la que se refiere la información, debiendo valorarse la trascendencia de la información y la condición pública o privada de la persona cuyo honor queda afectado. También debe valorarse si el medio presenta la información como propia o transmite de forma neutra manifestaciones de otro. De este modo, se ha apreciado intromisión ilegítima en el honor en caso de informaciones no debidamente contrastadas, que comportaban una falsa imputación penal y, en particular, en casos de publicación de fotografías “erróneas” que ilustran una noticia.</w:t>
      </w:r>
    </w:p>
    <w:p w14:paraId="17AA35EB" w14:textId="77777777" w:rsidR="00A8138F" w:rsidRDefault="00A8138F" w:rsidP="00A8138F">
      <w:pPr>
        <w:pStyle w:val="TextoNormal"/>
      </w:pPr>
    </w:p>
    <w:p w14:paraId="3614465B" w14:textId="77777777" w:rsidR="00A8138F" w:rsidRDefault="00A8138F" w:rsidP="00A8138F">
      <w:pPr>
        <w:pStyle w:val="TextoNormal"/>
      </w:pPr>
      <w:r>
        <w:t>Teniendo en cuenta la doctrina invocada, la sentencia aplica la doctrina del reportaje neutral, ya que la noticia fue publicada en términos muy similares por otros medios de información, sin que pueda entenderse que esté reelaborada por la demandada, que se limitó a reproducir en términos prácticamente idénticos la noticia que le remitió la agencia Atlas e hizo constar la fuente de información, sin que se le pueda imputar falta de diligencia por haber podido existir indicios racionales y evidentes de que la noticia podía ser falsa en cuanto a la identidad del autor. La noticia resultaba completamente creíble y no hay indicio alguno de que la demandada conociera la falsedad, por error, del contenido en cuanto a las imágenes de la persona que ilustraba la noticia.</w:t>
      </w:r>
    </w:p>
    <w:p w14:paraId="05E6F83C" w14:textId="77777777" w:rsidR="00A8138F" w:rsidRDefault="00A8138F" w:rsidP="00A8138F">
      <w:pPr>
        <w:pStyle w:val="TextoNormal"/>
      </w:pPr>
    </w:p>
    <w:p w14:paraId="0E7CDA10" w14:textId="77777777" w:rsidR="00A8138F" w:rsidRDefault="00A8138F" w:rsidP="00A8138F">
      <w:pPr>
        <w:pStyle w:val="TextoNormal"/>
      </w:pPr>
      <w:r>
        <w:t>Sobre la base de estos razonamientos, la sentencia desestimó la demanda y absolvió a la parte demandada.</w:t>
      </w:r>
    </w:p>
    <w:p w14:paraId="6370A2F4" w14:textId="77777777" w:rsidR="00A8138F" w:rsidRDefault="00A8138F" w:rsidP="00A8138F">
      <w:pPr>
        <w:pStyle w:val="TextoNormal"/>
      </w:pPr>
    </w:p>
    <w:p w14:paraId="7B9FBE51" w14:textId="77777777" w:rsidR="00A8138F" w:rsidRDefault="00A8138F" w:rsidP="00A8138F">
      <w:pPr>
        <w:pStyle w:val="TextoNormal"/>
      </w:pPr>
      <w:r>
        <w:t>e) Frente a la sentencia dictada en primera instancia, el demandante en el proceso judicial interpuso recurso de apelación en el que alegó que la doctrina del reportaje neutral no era aplicable a este caso y que, para que pudiera prevalecer la libertad de información, debía tratarse de asuntos de interés general o relevancia pública por razón de la persona o de la materia tratada. Consideró que, en este caso, no se dan esas circunstancias y el interés de la noticia es meramente comercial, además de carecer el recurrente de proyección pública. Tras reproducir la jurisprudencia constitucional sobre el reportaje neutral contenida en las SSTC 183/1995, de 11 de diciembre, y 190/1996, de 25 de noviembre, negó que se esté ante un supuesto de este tipo, sino frente a un grosero error en la publicación de una imagen de una persona ajena a la noticia, que se había reelaborado, dotándola de un elemento sensacionalista al añadir que la muerte se causó por la disputa por una litera, sin que hubiera habido, por otra parte, consentimiento para el uso de la imagen del recurrente. Considera que se debe exigir al medio de comunicación un mayor grado de diligencia en la comprobación de la noticia y que, en este caso, se trata de dos personas desconocidas para el público en general, de manera que los destinatarios de la información no pueden distinguir el uno del otro.</w:t>
      </w:r>
    </w:p>
    <w:p w14:paraId="709DD20F" w14:textId="77777777" w:rsidR="00A8138F" w:rsidRDefault="00A8138F" w:rsidP="00A8138F">
      <w:pPr>
        <w:pStyle w:val="TextoNormal"/>
      </w:pPr>
    </w:p>
    <w:p w14:paraId="2CAEC8EB" w14:textId="77777777" w:rsidR="00A8138F" w:rsidRDefault="00A8138F" w:rsidP="00A8138F">
      <w:pPr>
        <w:pStyle w:val="TextoNormal"/>
      </w:pPr>
      <w:r>
        <w:t>En el recurso señaló, asimismo, que el requisito de veracidad requeriría que el informador hubiera desplegado un específico deber de diligencia en la búsqueda de la verdad y en la comprobación de la información difundida. A su juicio, era necesario identificar la fuente y su fiabilidad, lo que no había quedado acreditado.</w:t>
      </w:r>
    </w:p>
    <w:p w14:paraId="751F3C59" w14:textId="77777777" w:rsidR="00A8138F" w:rsidRDefault="00A8138F" w:rsidP="00A8138F">
      <w:pPr>
        <w:pStyle w:val="TextoNormal"/>
      </w:pPr>
    </w:p>
    <w:p w14:paraId="075ADC53" w14:textId="77777777" w:rsidR="00A8138F" w:rsidRDefault="00A8138F" w:rsidP="00A8138F">
      <w:pPr>
        <w:pStyle w:val="TextoNormal"/>
      </w:pPr>
      <w:r>
        <w:t>Señaló, finalmente, que en otros procedimientos iniciados por él frente a otros medios de comunicación la demanda se había estimado en primera instancia.</w:t>
      </w:r>
    </w:p>
    <w:p w14:paraId="2AD440D6" w14:textId="77777777" w:rsidR="00A8138F" w:rsidRDefault="00A8138F" w:rsidP="00A8138F">
      <w:pPr>
        <w:pStyle w:val="TextoNormal"/>
      </w:pPr>
    </w:p>
    <w:p w14:paraId="4DDEBDEA" w14:textId="77777777" w:rsidR="00A8138F" w:rsidRDefault="00A8138F" w:rsidP="00A8138F">
      <w:pPr>
        <w:pStyle w:val="TextoNormal"/>
      </w:pPr>
      <w:r>
        <w:t>f) Diario ABC, S.L. presentó escrito de oposición al recurso de apelación. En él consideró aplicable al caso la doctrina del reportaje neutral, conforme a la sentencia recurrida. Adujo que el vídeo no había sido reelaborado, sino que se había difundido tal y como fue recibido de la agencia Atlas, y que no cabía apreciar culpa o falta de diligencia en su actuación, porque imponer a los medios un deber de comprobación de la información recibida de otros medios era contrario a la libertad de información. Negó que pueda ser responsable quien publica de forma neutral una noticia emitida por una fuente fiable, pues la diligencia del medio consiste en citar la fuente y no alterar la información, salvo que la falta de veracidad o el error sean fácilmente identificables. No está fundamentada la afirmación del recurrente que califica a la agencia Atlas como fuente no fiable, por lo que debe rechazarse.</w:t>
      </w:r>
    </w:p>
    <w:p w14:paraId="313857F2" w14:textId="77777777" w:rsidR="00A8138F" w:rsidRDefault="00A8138F" w:rsidP="00A8138F">
      <w:pPr>
        <w:pStyle w:val="TextoNormal"/>
      </w:pPr>
    </w:p>
    <w:p w14:paraId="64DBE89D" w14:textId="77777777" w:rsidR="00A8138F" w:rsidRDefault="00A8138F" w:rsidP="00A8138F">
      <w:pPr>
        <w:pStyle w:val="TextoNormal"/>
      </w:pPr>
      <w:r>
        <w:t>La parte recurrida concluyó que la doctrina del reportaje neutral se había aplicado de forma correcta, dado que no hubo reelaboración del vídeo, se citó la fuente, el error no era detectable y la difusión no causó daños.</w:t>
      </w:r>
    </w:p>
    <w:p w14:paraId="03C3E674" w14:textId="77777777" w:rsidR="00A8138F" w:rsidRDefault="00A8138F" w:rsidP="00A8138F">
      <w:pPr>
        <w:pStyle w:val="TextoNormal"/>
      </w:pPr>
    </w:p>
    <w:p w14:paraId="0473C2E8" w14:textId="77777777" w:rsidR="00A8138F" w:rsidRDefault="00A8138F" w:rsidP="00A8138F">
      <w:pPr>
        <w:pStyle w:val="TextoNormal"/>
      </w:pPr>
      <w:r>
        <w:t>g) El fiscal se adhirió parcialmente al recurso de apelación, en consideración a la inexistente proyección pública del señor Opazos y a la gravedad de los hechos a los que se refería el vídeo publicado, entendiendo que se había producido una intromisión en sus derechos y que no era de aplicación la doctrina del reportaje neutral. No obstante, alegó que la indemnización solicitada era excesiva atendiendo a las circunstancias del caso.</w:t>
      </w:r>
    </w:p>
    <w:p w14:paraId="3A325105" w14:textId="77777777" w:rsidR="00A8138F" w:rsidRDefault="00A8138F" w:rsidP="00A8138F">
      <w:pPr>
        <w:pStyle w:val="TextoNormal"/>
      </w:pPr>
    </w:p>
    <w:p w14:paraId="63596D1D" w14:textId="77777777" w:rsidR="00A8138F" w:rsidRDefault="00A8138F" w:rsidP="00A8138F">
      <w:pPr>
        <w:pStyle w:val="TextoNormal"/>
      </w:pPr>
      <w:r>
        <w:t>h) La Sección Cuarta de la Audiencia Provincial de Barcelona dictó la sentencia núm. 499/2022, de 4 de noviembre, por la que desestimó el recurso de apelación. La sala partió de la jurisprudencia del Tribunal Supremo en la materia y, en particular, sobre el reportaje neutral y de la circunstancia de no tener conocimiento el receptor del reportaje de la falta de veracidad de lo recibido. Declaró que la doctrina sobre el reportaje neutral era aplicable al caso, tanto en relación con el derecho al honor, como respecto al derecho a la propia imagen, y analizó si concurrían en este asunto los requisitos necesarios para aplicar la doctrina del reportaje neutral: (i) identificación de la fuente y fiabilidad de la misma; (ii) ausencia de aportación relevante a la noticia por vía de la forma o del contenido, pues la neutralidad del reportaje quiebra cuando se reelabora; (iii) no asunción de la noticia o declaración como propia por parte del medio que la reproduce; (iv) ausencia de juicios de valor y (v) no haber provocado el propio medio la noticia.</w:t>
      </w:r>
    </w:p>
    <w:p w14:paraId="5805AD14" w14:textId="77777777" w:rsidR="00A8138F" w:rsidRDefault="00A8138F" w:rsidP="00A8138F">
      <w:pPr>
        <w:pStyle w:val="TextoNormal"/>
      </w:pPr>
    </w:p>
    <w:p w14:paraId="27E308AD" w14:textId="77777777" w:rsidR="00A8138F" w:rsidRDefault="00A8138F" w:rsidP="00A8138F">
      <w:pPr>
        <w:pStyle w:val="TextoNormal"/>
      </w:pPr>
      <w:r>
        <w:t>El tribunal de apelación estimó parcialmente el recurso de apelación y revocó la sentencia de primera instancia exclusivamente en lo relativo al pronunciamiento sobre costas.</w:t>
      </w:r>
    </w:p>
    <w:p w14:paraId="1AE24021" w14:textId="77777777" w:rsidR="00A8138F" w:rsidRDefault="00A8138F" w:rsidP="00A8138F">
      <w:pPr>
        <w:pStyle w:val="TextoNormal"/>
      </w:pPr>
    </w:p>
    <w:p w14:paraId="22E997C6" w14:textId="77777777" w:rsidR="00A8138F" w:rsidRDefault="00A8138F" w:rsidP="00A8138F">
      <w:pPr>
        <w:pStyle w:val="TextoNormal"/>
      </w:pPr>
      <w:r>
        <w:t>i) El señor Opazos interpuso recurso de casación al considerar que la sentencia de segunda instancia vulneró sus derechos al honor y a la propia imagen. Sostuvo que el grado de diligencia exigible alcanza su máxima intensidad cuando la noticia que se divulga pueda suponer, por su propio contenido, un descrédito en la consideración de la persona a la que se refiere la información, debiendo tenerse en cuenta también el carácter público o privado de la persona afectada.</w:t>
      </w:r>
    </w:p>
    <w:p w14:paraId="4FC75C8A" w14:textId="77777777" w:rsidR="00A8138F" w:rsidRDefault="00A8138F" w:rsidP="00A8138F">
      <w:pPr>
        <w:pStyle w:val="TextoNormal"/>
      </w:pPr>
    </w:p>
    <w:p w14:paraId="500ECAC3" w14:textId="77777777" w:rsidR="00A8138F" w:rsidRDefault="00A8138F" w:rsidP="00A8138F">
      <w:pPr>
        <w:pStyle w:val="TextoNormal"/>
      </w:pPr>
      <w:r>
        <w:t xml:space="preserve">El recurrente en casación invocó la STS 748/2022, de 3 de noviembre (ECLI:ES:TS:2022:3944), al entender que, en un supuesto idéntico referido a otro medio de comunicación, había declarado la vulneración de los derechos al honor y a la propia imagen </w:t>
      </w:r>
      <w:r>
        <w:lastRenderedPageBreak/>
        <w:t>del ahora recurrente, excluyendo la aplicación de la doctrina del reportaje neutral. Por otra parte, la STS 1153/2003, de 11 de diciembre (ECLI:ES:TS:2003:8006), apreció la intromisión ilegítima en el derecho al honor por la publicación de fotogramas erróneos que ilustraban una noticia, al tratarse de información no debidamente contrastada que comportaba una falsa imputación penal. Citó también el recurrente la STS 538/2014, de 30 de septiembre (ECLI:ES:TS:2014:3847), en relación con la vulneración del derecho al honor por la asociación errónea de la imagen de una persona con cierta información, así como la STC 183/1995, de 11 de diciembre, que consideró intromisión ilegítima en el derecho al honor la incorporación de una fotografía en una noticia que llevaba al lector a asociar a una persona con la autoría de determinados hechos. Finalmente, invocó la STC 27/2020, de 24 de febrero, relativa a fotografías subidas a internet, que declaró que el consentimiento para la utilización de la imagen de una persona no se extiende a actos posteriores respecto de aquel para el que se prestó.</w:t>
      </w:r>
    </w:p>
    <w:p w14:paraId="35B47F0E" w14:textId="77777777" w:rsidR="00A8138F" w:rsidRDefault="00A8138F" w:rsidP="00A8138F">
      <w:pPr>
        <w:pStyle w:val="TextoNormal"/>
      </w:pPr>
    </w:p>
    <w:p w14:paraId="0F389EFC" w14:textId="77777777" w:rsidR="00A8138F" w:rsidRDefault="00A8138F" w:rsidP="00A8138F">
      <w:pPr>
        <w:pStyle w:val="TextoNormal"/>
      </w:pPr>
      <w:r>
        <w:t>El recurrente destacó que en este caso no había consentido la utilización de su imagen en el vídeo, “por muy breve que sea el lapso temporal de exposición, que precisamente revela más dificultad para discriminar la información y quien aparece en ella”. Añadió que el deber de veracidad exigía que el informador desplegase una diligencia propia de un medio de comunicación general, para que pudiera quedar exonerado de responsabilidad, lo que alcanza tanto a la búsqueda de la verdad, como a la comprobación de la información difundida (STC 139/2007, de 4 de junio).</w:t>
      </w:r>
    </w:p>
    <w:p w14:paraId="1B918794" w14:textId="77777777" w:rsidR="00A8138F" w:rsidRDefault="00A8138F" w:rsidP="00A8138F">
      <w:pPr>
        <w:pStyle w:val="TextoNormal"/>
      </w:pPr>
    </w:p>
    <w:p w14:paraId="64B2647F" w14:textId="77777777" w:rsidR="00A8138F" w:rsidRDefault="00A8138F" w:rsidP="00A8138F">
      <w:pPr>
        <w:pStyle w:val="TextoNormal"/>
      </w:pPr>
      <w:r>
        <w:t>Finalmente, disintió de la sentencia recurrida al no apreciar la vulneración del derecho fundamental, con el argumento de que la noticia y el vídeo fueron adquiridos de una agencia que, además, no se identifica, por lo que, a criterio del recurrente, la sentencia impugnada llegó al absurdo de sostener que cualquier persona tiene el deber de soportar cualquier intromisión por el mero hecho de ser el divulgador del vídeo, a lo que añade que se trata de una persona carente de relevancia pública, que tiene que soportar que ni siquiera se condene al medio a retirar el vídeo.</w:t>
      </w:r>
    </w:p>
    <w:p w14:paraId="15D172CA" w14:textId="77777777" w:rsidR="00A8138F" w:rsidRDefault="00A8138F" w:rsidP="00A8138F">
      <w:pPr>
        <w:pStyle w:val="TextoNormal"/>
      </w:pPr>
    </w:p>
    <w:p w14:paraId="6BE1D2E2" w14:textId="77777777" w:rsidR="00A8138F" w:rsidRDefault="00A8138F" w:rsidP="00A8138F">
      <w:pPr>
        <w:pStyle w:val="TextoNormal"/>
      </w:pPr>
      <w:r>
        <w:t>j) La entidad Diario ABC, S.L., se opuso al recurso de casación alegando que la libertad de información debe prevalecer frente al derecho a la propia imagen, pues, para que se vulnere este último, debe tratarse de una imagen reconocible que se utilice sin consentimiento del titular del derecho. En este caso, el recurrente subió sus propias imágenes a la red y, al guardar parecido con el autor de los hechos objeto de la noticia, se pudo producir el error de la agencia que editó el vídeo.</w:t>
      </w:r>
    </w:p>
    <w:p w14:paraId="0734EF13" w14:textId="77777777" w:rsidR="00A8138F" w:rsidRDefault="00A8138F" w:rsidP="00A8138F">
      <w:pPr>
        <w:pStyle w:val="TextoNormal"/>
      </w:pPr>
    </w:p>
    <w:p w14:paraId="5F17EEAB" w14:textId="77777777" w:rsidR="00A8138F" w:rsidRDefault="00A8138F" w:rsidP="00A8138F">
      <w:pPr>
        <w:pStyle w:val="TextoNormal"/>
      </w:pPr>
      <w:r>
        <w:t>Sostuvo en la impugnación del recurso de casación que el recurrente aparece en el vídeo de forma fugaz, sin que sea posible que un ciudadano normal pueda reconocerlo, por lo que el error de la agencia resulta irrelevante. En este sentido, citó la STS 491/2019, de 24 de septiembre (ECLI:ES:TS:2019:2948), que requiere que el error afecte a la esencia de lo informado. En contra de lo sostenido por el recurrente, consideró que es de aplicación la doctrina del reportaje neutral, que excluye la responsabilidad de Diario ABC, S.L., ya que el error no era detectable y no le era exigible la excesiva diligencia que se le reclama en la comprobación de las imágenes. Si el error no era detectable para el público, afirmó, tampoco lo podría haberlo detectado el medio de comunicación.</w:t>
      </w:r>
    </w:p>
    <w:p w14:paraId="16B54A1E" w14:textId="77777777" w:rsidR="00A8138F" w:rsidRDefault="00A8138F" w:rsidP="00A8138F">
      <w:pPr>
        <w:pStyle w:val="TextoNormal"/>
      </w:pPr>
    </w:p>
    <w:p w14:paraId="39BAD3CC" w14:textId="77777777" w:rsidR="00A8138F" w:rsidRDefault="00A8138F" w:rsidP="00A8138F">
      <w:pPr>
        <w:pStyle w:val="TextoNormal"/>
      </w:pPr>
      <w:r>
        <w:lastRenderedPageBreak/>
        <w:t>También rechazó que se hubiera vulnerado el derecho al honor del recurrente en casación, porque no se le mencionaba en el vídeo ni se formulaba contra él una falsa imputación penal, mientras que las personas que pudieran reconocerlo sabrían que no podía ser él el delincuente.</w:t>
      </w:r>
    </w:p>
    <w:p w14:paraId="1BE233D9" w14:textId="77777777" w:rsidR="00A8138F" w:rsidRDefault="00A8138F" w:rsidP="00A8138F">
      <w:pPr>
        <w:pStyle w:val="TextoNormal"/>
      </w:pPr>
    </w:p>
    <w:p w14:paraId="21CC4EBC" w14:textId="77777777" w:rsidR="00A8138F" w:rsidRDefault="00A8138F" w:rsidP="00A8138F">
      <w:pPr>
        <w:pStyle w:val="TextoNormal"/>
      </w:pPr>
      <w:r>
        <w:t>Por último, respecto de la doctrina del reportaje neutral, incidió en que, en este caso, concurren todos los requisitos para aplicarla, tal y como había declarado la sentencia recurrida.</w:t>
      </w:r>
    </w:p>
    <w:p w14:paraId="1F9A8AE0" w14:textId="77777777" w:rsidR="00A8138F" w:rsidRDefault="00A8138F" w:rsidP="00A8138F">
      <w:pPr>
        <w:pStyle w:val="TextoNormal"/>
      </w:pPr>
    </w:p>
    <w:p w14:paraId="5738AFE2" w14:textId="77777777" w:rsidR="00A8138F" w:rsidRDefault="00A8138F" w:rsidP="00A8138F">
      <w:pPr>
        <w:pStyle w:val="TextoNormal"/>
      </w:pPr>
      <w:r>
        <w:t>k) El fiscal alegó en el recurso de casación que el único motivo de casación alteraba los hechos probados, al afirmar que no se identificaba la agencia de la que se adquirió la noticia, lo que es causa de inadmisión del recurso y debería convertirse ahora en causa de desestimación. En cuanto al fondo, afirmó que la cuestión radicaba en determinar si era de aplicación la doctrina del reportaje neutral.</w:t>
      </w:r>
    </w:p>
    <w:p w14:paraId="5423E1E3" w14:textId="77777777" w:rsidR="00A8138F" w:rsidRDefault="00A8138F" w:rsidP="00A8138F">
      <w:pPr>
        <w:pStyle w:val="TextoNormal"/>
      </w:pPr>
    </w:p>
    <w:p w14:paraId="559D4A84" w14:textId="77777777" w:rsidR="00A8138F" w:rsidRDefault="00A8138F" w:rsidP="00A8138F">
      <w:pPr>
        <w:pStyle w:val="TextoNormal"/>
      </w:pPr>
      <w:r>
        <w:t>A la luz de la jurisprudencia relativa a los supuestos en que un medio publica una noticia procedente de una agencia, la jurisprudencia de la Sala de lo Civil del Tribunal Supremo [SSTS 14/2009, de 15 de enero (ECLI:ES:TS:2009:40); 605/2014, de 3 de noviembre (ECLI:ES:TS:2014:4252); 360/2015, de 1 de julio (ECLI:ES:TS:2015:2978); 426/2015, de 10 de julio (ECLI:ES:TS:2015:3193), y 491/2019, de 24 de septiembre (ECLI:ES:TS:2019:2948)] y de este tribunal contenida en la STC 190/1996, de 25 de noviembre, en relación con la doctrina del reportaje neutral, el fiscal concluyó que debía confirmarse la sentencia recurrida, porque, en casos como este, la comprobación de la veracidad es inexigible, pues lo contrario conduciría a una pérdida de utilidad del trabajo de las agencias de noticias y, con ello, la pérdida de una importante fuente de información. El valor que aportarían las agencias a los medios de comunicación sería muy escaso si estos, con carácter previo a la publicación, tuvieran que comprobar la veracidad del material remitido por aquellas. Añadió el fiscal que las personas que en estos casos ven lesionados sus derechos no quedarían indefensas al poder dirigirse contra las agencias, que sí tendrían que cumplir con los estándares de diligencia exigibles para tener por cumplido el requisito de veracidad.</w:t>
      </w:r>
    </w:p>
    <w:p w14:paraId="5B9419D9" w14:textId="77777777" w:rsidR="00A8138F" w:rsidRDefault="00A8138F" w:rsidP="00A8138F">
      <w:pPr>
        <w:pStyle w:val="TextoNormal"/>
      </w:pPr>
    </w:p>
    <w:p w14:paraId="2E1211DE" w14:textId="77777777" w:rsidR="00A8138F" w:rsidRDefault="00A8138F" w:rsidP="00A8138F">
      <w:pPr>
        <w:pStyle w:val="TextoNormal"/>
      </w:pPr>
      <w:r>
        <w:t>Finalmente, señaló que la cita que hacía el recurrente de la STS 748/2022, de 3 de noviembre, no podía considerarse pertinente pues, si bien se refería al mismo vídeo, concurrían circunstancias fácticas distintas, ya que en aquel caso se excluyó la doctrina del reportaje neutral porque no se citaba en el vídeo la fuente de la noticia, no figuraba ninguna alusión a la agencia de noticias Atlas, ni ningún dato que permitiera identificar el contenido de la información como suministrado por dicha agencia.</w:t>
      </w:r>
    </w:p>
    <w:p w14:paraId="05D4434B" w14:textId="77777777" w:rsidR="00A8138F" w:rsidRDefault="00A8138F" w:rsidP="00A8138F">
      <w:pPr>
        <w:pStyle w:val="TextoNormal"/>
      </w:pPr>
    </w:p>
    <w:p w14:paraId="01CAB90B" w14:textId="77777777" w:rsidR="00A8138F" w:rsidRDefault="00A8138F" w:rsidP="00A8138F">
      <w:pPr>
        <w:pStyle w:val="TextoNormal"/>
      </w:pPr>
      <w:r>
        <w:t xml:space="preserve">l) La Sala de lo Civil del Tribunal Supremo resolvió el recurso de casación en la sentencia núm. 1225/2023, de 13 de septiembre. Tomó como punto de partida el contenido de su sentencia núm. 748/2023, de 3 de noviembre, referida a la publicación del mismo vídeo por otro medio de comunicación, en la que se estimó un recurso de casación planteado por el mismo recurrente. En aquella sentencia, la Sala consideró que, pese a la brevedad de las imágenes, se mostraba en ellas al recurrente en el interior de un </w:t>
      </w:r>
      <w:r w:rsidRPr="00A8138F">
        <w:rPr>
          <w:i/>
        </w:rPr>
        <w:t>ring</w:t>
      </w:r>
      <w:r>
        <w:t xml:space="preserve"> con atuendo de boxeador y el puño en alto, levantado en signo de victoria, y tales imágenes se insertaron en el contexto de la muerte de un recluso por una paliza propinada por otro preso, al tiempo que se oía una voz en </w:t>
      </w:r>
      <w:r w:rsidRPr="00A8138F">
        <w:rPr>
          <w:i/>
        </w:rPr>
        <w:t>off</w:t>
      </w:r>
      <w:r>
        <w:t xml:space="preserve"> diciendo “así se presenta el nene este campeón de </w:t>
      </w:r>
      <w:r w:rsidRPr="00A8138F">
        <w:rPr>
          <w:i/>
        </w:rPr>
        <w:t>muay thai</w:t>
      </w:r>
      <w:r>
        <w:t xml:space="preserve"> que mató a golpes a su compañero de celda por una litera”, siendo una imagen clara, no accesoria y </w:t>
      </w:r>
      <w:r>
        <w:lastRenderedPageBreak/>
        <w:t>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 Aquella sentencia de la misma Sala declaró que no podía prevalecer la libertad de información sobre los derechos del recurrente, ni la entidad recurrida podía excusar su responsabilidad al socaire de la doctrina del reportaje neutral.</w:t>
      </w:r>
    </w:p>
    <w:p w14:paraId="2A00CCFF" w14:textId="77777777" w:rsidR="00A8138F" w:rsidRDefault="00A8138F" w:rsidP="00A8138F">
      <w:pPr>
        <w:pStyle w:val="TextoNormal"/>
      </w:pPr>
    </w:p>
    <w:p w14:paraId="76D95B6F" w14:textId="77777777" w:rsidR="00A8138F" w:rsidRDefault="00A8138F" w:rsidP="00A8138F">
      <w:pPr>
        <w:pStyle w:val="TextoNormal"/>
      </w:pPr>
      <w:r>
        <w:t>En el presente caso, el Tribunal Supremo consideró que debía aplicarse la misma doctrina que en aquella sentencia y alcanzar el mismo resultado. Aunque entre ambos casos existía una diferencia, porque en el primero el vídeo no citaba la fuente, aquella decisión también se basó en otras dos circunstancias concurrentes en este caso: (i) la doctrina del reportaje neutral “no puede aplicarse en relación con el derecho a la imagen para pretender que, por el mero hecho de haber sido publicada con anterioridad, puede volver a serlo en otro medio de comunicación, desvinculada por completo del contexto en el que se obtuvo, para unos fines totalmente diferentes y para los que en absoluto resultaba necesaria, y sin necesidad del consentimiento de la persona afectada” y (ii) esta doctrina “no puede amparar, en un supuesto de tanta gravedad como el del caso, en el que se informa sobre la muerte de un recluso a consecuencia de la paliza propinada por su compañero de celda, que, en el vídeo que acompaña e ilustra dicha noticia, se difunda la imagen del recurrente sin su autorización y al tiempo se le presente como el protagonista de la noticia y el que mató a golpes al fallecido sin llevar a cabo la más mínima comprobación sobre la veracidad de tal información gráfica, lo que carece de sentido y no se puede aceptar, so pena de convertir el reportaje neutral en la coartada para eludir toda responsabilidad por intromisión ilegítima en un derecho fundamental, cualesquiera que sean las circunstancias del caso y la naturaleza y el contenido de la información, por el mero hecho de no ser su autor, sino un simple transmisor de la misma”.</w:t>
      </w:r>
    </w:p>
    <w:p w14:paraId="090796F3" w14:textId="77777777" w:rsidR="00A8138F" w:rsidRDefault="00A8138F" w:rsidP="00A8138F">
      <w:pPr>
        <w:pStyle w:val="TextoNormal"/>
      </w:pPr>
    </w:p>
    <w:p w14:paraId="0176613D" w14:textId="77777777" w:rsidR="00A8138F" w:rsidRDefault="00A8138F" w:rsidP="00A8138F">
      <w:pPr>
        <w:pStyle w:val="TextoNormal"/>
      </w:pPr>
      <w:r>
        <w:t>La sentencia dictada en casación tuvo en cuenta, además, que la STS 360/2015, de 1 de julio, había declarado la vulneración de los derechos al honor y a la propia imagen, por la publicación en un periódico digital de la fotografía de una persona suministrada por la agencia EFE, a la que identificó como terrorista de ETA, sin serlo.</w:t>
      </w:r>
    </w:p>
    <w:p w14:paraId="1C734D09" w14:textId="77777777" w:rsidR="00A8138F" w:rsidRDefault="00A8138F" w:rsidP="00A8138F">
      <w:pPr>
        <w:pStyle w:val="TextoNormal"/>
      </w:pPr>
    </w:p>
    <w:p w14:paraId="2CD0229B" w14:textId="77777777" w:rsidR="00A8138F" w:rsidRDefault="00A8138F" w:rsidP="00A8138F">
      <w:pPr>
        <w:pStyle w:val="TextoNormal"/>
      </w:pPr>
      <w:r>
        <w:t>Finalmente, la Sala concluyó que la solución mantenida en este caso no contradice la doctrina del reportaje neutral, ni exige que los medios de comunicación deban comprobar en todos los supuestos la veracidad de cada una de las informaciones suministradas por las agencias de noticias, y “el potencial de riesgo dañoso que puede conllevar para los afectados el contenido de una información no es el mismo en todos los supuestos ni tan evidente y extraordinario como el que resulta de difundir la imagen de un ciudadano que es presentado ante el conjunto de la opinión pública como un homicida o como un miembro de una organización terrorista”. En el presente caso, al igual que en el que dio lugar a la STS 360/2015, el grado de afectación del derecho a la libertad de información es débil frente a la protección de los derechos al honor y a la propia imagen. El error gráfico resultó de extraordinaria gravedad, y el contenido sustancial de la información habría podido difundirse sin utilizar la imagen del recurrente en casación.</w:t>
      </w:r>
    </w:p>
    <w:p w14:paraId="0620D6B5" w14:textId="77777777" w:rsidR="00A8138F" w:rsidRDefault="00A8138F" w:rsidP="00A8138F">
      <w:pPr>
        <w:pStyle w:val="TextoNormal"/>
      </w:pPr>
    </w:p>
    <w:p w14:paraId="1B2C4485" w14:textId="77777777" w:rsidR="00A8138F" w:rsidRDefault="00A8138F" w:rsidP="00A8138F">
      <w:pPr>
        <w:pStyle w:val="TextoNormal"/>
      </w:pPr>
      <w:r>
        <w:t>En consecuencia, la Sala acordó:</w:t>
      </w:r>
    </w:p>
    <w:p w14:paraId="100EC555" w14:textId="77777777" w:rsidR="00A8138F" w:rsidRDefault="00A8138F" w:rsidP="00A8138F">
      <w:pPr>
        <w:pStyle w:val="TextoNormal"/>
      </w:pPr>
    </w:p>
    <w:p w14:paraId="75BF3C03" w14:textId="77777777" w:rsidR="00A8138F" w:rsidRDefault="00A8138F" w:rsidP="00A8138F">
      <w:pPr>
        <w:pStyle w:val="TextoNormal"/>
      </w:pPr>
      <w:r>
        <w:lastRenderedPageBreak/>
        <w:t>“1.- Estimar el recurso de casación interpuesto por don Cristian Opazos Menor contra la sentencia dictada por la Sección Cuarta de la Audiencia Provincial de Barcelona, con el núm. 499/2022, el 4 de noviembre de 2022, en el recurso de apelación 789-2022-I, y casarla, salvo en el pronunciamiento de costas.</w:t>
      </w:r>
    </w:p>
    <w:p w14:paraId="5145F709" w14:textId="77777777" w:rsidR="00A8138F" w:rsidRDefault="00A8138F" w:rsidP="00A8138F">
      <w:pPr>
        <w:pStyle w:val="TextoNormal"/>
      </w:pPr>
    </w:p>
    <w:p w14:paraId="025BB508" w14:textId="77777777" w:rsidR="00A8138F" w:rsidRDefault="00A8138F" w:rsidP="00A8138F">
      <w:pPr>
        <w:pStyle w:val="TextoNormal"/>
      </w:pPr>
      <w:r>
        <w:t>2.- Estimar en parte el recurso de apelación interpuesto por don Cristian Opazos Menor contra la sentencia dictada por el Juzgado de Primera Instancia núm. 7 de L´Hospitalet de Llobregat, con el núm. 266/2021, el 27 de septiembre de 2021, en el procedimiento ordinario 1017-2019-2, y revocarla.</w:t>
      </w:r>
    </w:p>
    <w:p w14:paraId="17B7BA3F" w14:textId="77777777" w:rsidR="00A8138F" w:rsidRDefault="00A8138F" w:rsidP="00A8138F">
      <w:pPr>
        <w:pStyle w:val="TextoNormal"/>
      </w:pPr>
    </w:p>
    <w:p w14:paraId="4627B2EA" w14:textId="77777777" w:rsidR="00A8138F" w:rsidRDefault="00A8138F" w:rsidP="00A8138F">
      <w:pPr>
        <w:pStyle w:val="TextoNormal"/>
      </w:pPr>
      <w:r>
        <w:t>3.- Estimar en parte la demanda interpuesta por don Cristian Opazos Menor contra el Diario ABC, S.L. y, en consecuencia:</w:t>
      </w:r>
    </w:p>
    <w:p w14:paraId="476DB6F5" w14:textId="77777777" w:rsidR="00A8138F" w:rsidRDefault="00A8138F" w:rsidP="00A8138F">
      <w:pPr>
        <w:pStyle w:val="TextoNormal"/>
      </w:pPr>
    </w:p>
    <w:p w14:paraId="33E87EF9" w14:textId="77777777" w:rsidR="00A8138F" w:rsidRDefault="00A8138F" w:rsidP="00A8138F">
      <w:pPr>
        <w:pStyle w:val="TextoNormal"/>
      </w:pPr>
      <w:r>
        <w:t>(i) Declarar que la demandada ha incurrido en intromisión ilegítima en los derechos al honor y la imagen del demandante.</w:t>
      </w:r>
    </w:p>
    <w:p w14:paraId="54E53EE3" w14:textId="77777777" w:rsidR="00A8138F" w:rsidRDefault="00A8138F" w:rsidP="00A8138F">
      <w:pPr>
        <w:pStyle w:val="TextoNormal"/>
      </w:pPr>
    </w:p>
    <w:p w14:paraId="1A5244F0" w14:textId="77777777" w:rsidR="00A8138F" w:rsidRDefault="00A8138F" w:rsidP="00A8138F">
      <w:pPr>
        <w:pStyle w:val="TextoNormal"/>
      </w:pPr>
      <w:r>
        <w:t>(ii) Condenar a la demandada a pagar al demandante como indemnización por daño moral 3000 €.</w:t>
      </w:r>
    </w:p>
    <w:p w14:paraId="5C873BA1" w14:textId="77777777" w:rsidR="00A8138F" w:rsidRDefault="00A8138F" w:rsidP="00A8138F">
      <w:pPr>
        <w:pStyle w:val="TextoNormal"/>
      </w:pPr>
    </w:p>
    <w:p w14:paraId="4770F6FD" w14:textId="77777777" w:rsidR="00A8138F" w:rsidRDefault="00A8138F" w:rsidP="00A8138F">
      <w:pPr>
        <w:pStyle w:val="TextoNormal"/>
      </w:pPr>
      <w:r>
        <w:t>(iii) Condenar a la demandada a la eliminación de las imágenes determinantes de la intromisión.</w:t>
      </w:r>
    </w:p>
    <w:p w14:paraId="0E0686FA" w14:textId="77777777" w:rsidR="00A8138F" w:rsidRDefault="00A8138F" w:rsidP="00A8138F">
      <w:pPr>
        <w:pStyle w:val="TextoNormal"/>
      </w:pPr>
    </w:p>
    <w:p w14:paraId="46DBB187" w14:textId="2B74D141" w:rsidR="00A8138F" w:rsidRDefault="00A8138F" w:rsidP="00A8138F">
      <w:pPr>
        <w:pStyle w:val="TextoNormal"/>
      </w:pPr>
      <w:r>
        <w:t>(iv) Condenar a la demandada a publicar el fallo de esta sentencia en la misma sección en que difundió las imágenes determinantes de la intromisión y a su costa”.</w:t>
      </w:r>
    </w:p>
    <w:p w14:paraId="171B9AD4" w14:textId="77777777" w:rsidR="00A8138F" w:rsidRDefault="00A8138F" w:rsidP="00A8138F">
      <w:pPr>
        <w:pStyle w:val="TextoNormal"/>
      </w:pPr>
    </w:p>
    <w:p w14:paraId="3B83E0DE" w14:textId="77777777" w:rsidR="00A8138F" w:rsidRDefault="00A8138F" w:rsidP="00A8138F">
      <w:pPr>
        <w:pStyle w:val="TextoNormal"/>
      </w:pPr>
      <w:r w:rsidRPr="00A8138F">
        <w:rPr>
          <w:rStyle w:val="NumeroAFNegritaCaracter"/>
        </w:rPr>
        <w:t>3</w:t>
      </w:r>
      <w:r>
        <w:t>. Diario ABC, S.L., interpuso el 2 de noviembre de 2023 recurso de amparo ante este tribunal articulado en dos motivos, por considerar que la sentencia de la Sala de lo Civil del Tribunal Supremo había vulnerado su derecho a la libertad de información del art. 20 CE:</w:t>
      </w:r>
    </w:p>
    <w:p w14:paraId="0C27FD1A" w14:textId="77777777" w:rsidR="00A8138F" w:rsidRDefault="00A8138F" w:rsidP="00A8138F">
      <w:pPr>
        <w:pStyle w:val="TextoNormal"/>
      </w:pPr>
    </w:p>
    <w:p w14:paraId="45370890" w14:textId="77777777" w:rsidR="00A8138F" w:rsidRDefault="00A8138F" w:rsidP="00A8138F">
      <w:pPr>
        <w:pStyle w:val="TextoNormal"/>
      </w:pPr>
      <w:r>
        <w:t xml:space="preserve">a) En relación con la doctrina del reportaje neutral, porque el vídeo había sido elaborado por una agencia de noticias y había sido difundido por uno de sus clientes —Diario ABC, S.L.— sin manipulación o alteración del reportaje. Consideró que obligar a los medios a comprobar las noticias, fotos y vídeos de agencia, supondría imponer una carga excesiva a los informadores que dejaría prácticamente sin contenido el privilegio del reportaje neutral, citado a tal efecto la doctrina de la </w:t>
      </w:r>
      <w:r w:rsidRPr="00A8138F">
        <w:rPr>
          <w:i/>
        </w:rPr>
        <w:t>Wire Service Defense</w:t>
      </w:r>
      <w:r>
        <w:t xml:space="preserve"> del Derecho estadounidense. A su juicio, la demandante había observado la diligencia exigible en relación con la veracidad de la información recibida de una agencia de noticias.</w:t>
      </w:r>
    </w:p>
    <w:p w14:paraId="059295FF" w14:textId="77777777" w:rsidR="00A8138F" w:rsidRDefault="00A8138F" w:rsidP="00A8138F">
      <w:pPr>
        <w:pStyle w:val="TextoNormal"/>
      </w:pPr>
    </w:p>
    <w:p w14:paraId="02E4BB0E" w14:textId="77777777" w:rsidR="00A8138F" w:rsidRDefault="00A8138F" w:rsidP="00A8138F">
      <w:pPr>
        <w:pStyle w:val="TextoNormal"/>
      </w:pPr>
      <w:r>
        <w:t xml:space="preserve">b) Por lo intrascendente del error cometido, ya que la imagen del señor Opazos apareció de modo efímero y sin intencionalidad maliciosa, por lo que carece de suficiente entidad para afirmar la vulneración de sus derechos fundamentales al honor y a la propia imagen (STC 171/1990, de 12 de noviembre). Quien aparecía varias veces en el vídeo en primer plano era el autor de los hechos, no el actor, y la imagen de este era de mala calidad, desaparecía rápidamente, mostrándose durante cuatro segundos frente a los ochenta y dos segundos de duración del vídeo, su tamaño era de tres cuartos frente a los primeros planos del homicida, que son los que permitirían su plena identificación. Además, las imágenes del actor no lo hacían desmerecer, al tratarse de la final de un combate de boxeo que no le resultaba perjudicial, ni mostraba del mismo ningún rasgo íntimo o reservado. Al ser un </w:t>
      </w:r>
      <w:r>
        <w:lastRenderedPageBreak/>
        <w:t>error intrascendente, no afectó a la propia imagen ni tampoco afectó al derecho al honor, porque el vídeo no contenía juicios de valor ni resultaba deshonroso para el actor, porque se refería a otra persona plenamente identificada.</w:t>
      </w:r>
    </w:p>
    <w:p w14:paraId="4C33A0AF" w14:textId="77777777" w:rsidR="00A8138F" w:rsidRDefault="00A8138F" w:rsidP="00A8138F">
      <w:pPr>
        <w:pStyle w:val="TextoNormal"/>
      </w:pPr>
    </w:p>
    <w:p w14:paraId="2928496D" w14:textId="77777777" w:rsidR="00A8138F" w:rsidRDefault="00A8138F" w:rsidP="00A8138F">
      <w:pPr>
        <w:pStyle w:val="TextoNormal"/>
      </w:pPr>
      <w:r>
        <w:t>Aduce la demandante de amparo que para determinar de qué manera podría afectar la información al señor Opazos, debería atenderse a lo siguiente: (i) si existe un vínculo objetivo entre la información potencial o realmente deshonrosa y el sujeto en cuestión, que en este caso no concurría porque no se trata del sujeto de la noticia; (ii) la seriedad o gravedad del ataque a la reputación, que tampoco se aprecia porque el señor Opazos no resulta identificable en el vídeo y nadie que lo conozca lo asociaría con la autoría de los graves hechos a que se refiere el reportaje; (iii) la proporcionalidad de la interferencia en el legítimo interés de proteger el honor o reputación del ofendido, para lo que es necesario valorar el interés público de la información, que no se discute y (iv) la veracidad de la información contenida en el reportaje, obtenida de forma diligente y legítima y difundida de igual forma, aunque haya habido un mínimo error en una de las imágenes del vídeo. Para concluir que el derecho al honor del señor Opazos no puede verse afectado por una información que no lo menciona o identifica de forma alguna.</w:t>
      </w:r>
    </w:p>
    <w:p w14:paraId="4AE83005" w14:textId="77777777" w:rsidR="00A8138F" w:rsidRDefault="00A8138F" w:rsidP="00A8138F">
      <w:pPr>
        <w:pStyle w:val="TextoNormal"/>
      </w:pPr>
    </w:p>
    <w:p w14:paraId="7E30640E" w14:textId="00E8F3EE" w:rsidR="00A8138F" w:rsidRDefault="00A8138F" w:rsidP="00A8138F">
      <w:pPr>
        <w:pStyle w:val="TextoNormal"/>
      </w:pPr>
      <w:r>
        <w:t>En el suplico la demandante interesa el otorgamiento del amparo y, consecuentemente, que se declaren sus derechos y libertades constitucionales a la prevalencia de la libertad de información, así como la nulidad de la sentencia recurrida.</w:t>
      </w:r>
    </w:p>
    <w:p w14:paraId="2831E49F" w14:textId="77777777" w:rsidR="00A8138F" w:rsidRDefault="00A8138F" w:rsidP="00A8138F">
      <w:pPr>
        <w:pStyle w:val="TextoNormal"/>
      </w:pPr>
    </w:p>
    <w:p w14:paraId="5B3550FE" w14:textId="77777777" w:rsidR="00A8138F" w:rsidRDefault="00A8138F" w:rsidP="00A8138F">
      <w:pPr>
        <w:pStyle w:val="TextoNormal"/>
      </w:pPr>
      <w:r w:rsidRPr="00A8138F">
        <w:rPr>
          <w:rStyle w:val="NumeroAFNegritaCaracter"/>
        </w:rPr>
        <w:t>4</w:t>
      </w:r>
      <w:r>
        <w:t>. Mediante providencia de 8 de abril de 2024, la Sección Primera del Tribunal Constitucional acordó admitir a trámite el recurso de amparo, al apreciar que concurría en el mismo una especial trascendencia constitucional [art. 50.1 de la Ley Orgánica del Tribunal Constitucional (LOTC)] porque el recurso planteaba un problema o afectaba a una faceta de un derecho fundamental sobre el que no había doctrina de este tribunal [STC 155/2009, de 25 de junio, FJ 2 a)].</w:t>
      </w:r>
    </w:p>
    <w:p w14:paraId="35BC0AC0" w14:textId="77777777" w:rsidR="00A8138F" w:rsidRDefault="00A8138F" w:rsidP="00A8138F">
      <w:pPr>
        <w:pStyle w:val="TextoNormal"/>
      </w:pPr>
    </w:p>
    <w:p w14:paraId="681C3643" w14:textId="461559EE" w:rsidR="00A8138F" w:rsidRDefault="00A8138F" w:rsidP="00A8138F">
      <w:pPr>
        <w:pStyle w:val="TextoNormal"/>
      </w:pPr>
      <w:r>
        <w:t>La misma providencia acordó, en aplicación de lo dispuesto en el art. 51 LOTC, dirigir atenta comunicación a la Sala de lo Civil del Tribunal Supremo y a la Sección Cuarta de la Audiencia Provincial de Barcelona a fin de que, en plazo que no excediera de diez días, remitieran, respectivamente, certificación o fotocopia adverada del recurso de casación 570-2023 y del recurso de apelación 789-2022. Asimismo, se acordó dirigir atenta comunicación al Juzgado de Primera Instancia núm. 7 de L’Hospitalet de Llobregat a fin de que, en el mismo plazo, remitiera certificación o fotocopia adverada de las actuaciones correspondientes al procedimiento ordinario [derecho al honor, art. 249.1.2 de la Ley de enjuiciamiento civil (LEC)] núm. 1017-2019-2; debiendo previamente emplazarse en el recurso de amparo a quienes hubieran sido parte en el procedimiento, excepto la parte recurrente en amparo, para que en el plazo de diez días pudieran comparecer, si lo desearan.</w:t>
      </w:r>
    </w:p>
    <w:p w14:paraId="5F32B75E" w14:textId="77777777" w:rsidR="00A8138F" w:rsidRDefault="00A8138F" w:rsidP="00A8138F">
      <w:pPr>
        <w:pStyle w:val="TextoNormal"/>
      </w:pPr>
    </w:p>
    <w:p w14:paraId="2FAF5790" w14:textId="2D0FC8E2" w:rsidR="00A8138F" w:rsidRDefault="00A8138F" w:rsidP="00A8138F">
      <w:pPr>
        <w:pStyle w:val="TextoNormal"/>
      </w:pPr>
      <w:r w:rsidRPr="00A8138F">
        <w:rPr>
          <w:rStyle w:val="NumeroAFNegritaCaracter"/>
        </w:rPr>
        <w:t>5</w:t>
      </w:r>
      <w:r>
        <w:t>. Por diligencia de ordenación de 15 de julio de 2024 se acordó tener por personada y parte en el procedimiento a la procuradora de los tribunales doña Isabel Beramendi Marturet, en nombre y representación de don Cristian Opazos Menor, acordándose entender con ella las sucesivas actuaciones, así como dar vista de las actuaciones recibidas a las partes personadas y al Ministerio Fiscal por un plazo común de veinte días, dentro del cual puedan presentar las alegaciones que a su derecho convenga, conforme determina el art. 52.1 LOTC.</w:t>
      </w:r>
    </w:p>
    <w:p w14:paraId="2AE68C25" w14:textId="77777777" w:rsidR="00A8138F" w:rsidRDefault="00A8138F" w:rsidP="00A8138F">
      <w:pPr>
        <w:pStyle w:val="TextoNormal"/>
      </w:pPr>
    </w:p>
    <w:p w14:paraId="03CB1CD7" w14:textId="08962A91" w:rsidR="00A8138F" w:rsidRDefault="00A8138F" w:rsidP="00A8138F">
      <w:pPr>
        <w:pStyle w:val="TextoNormal"/>
      </w:pPr>
      <w:r w:rsidRPr="00A8138F">
        <w:rPr>
          <w:rStyle w:val="NumeroAFNegritaCaracter"/>
        </w:rPr>
        <w:lastRenderedPageBreak/>
        <w:t>6</w:t>
      </w:r>
      <w:r>
        <w:t>. El 1 de septiembre de 2024 la representación procesal de don Cristian Opazos Menor presentó escrito de alegaciones, en el que manifestó su conformidad con la sentencia impugnada en amparo dictada por la Sala de lo Civil del Tribunal Supremo. Adujo que no se justificaba la indefensión alegada por la solicitante de amparo, que solo manifiesta su disconformidad con la decisión sobre el fondo del asunto, respecto del que no cabe afirmar incongruencia ni reproche alguno, al haberse resuelto en el marco de la controversia y de lo planteado en casación. El alegante sostuvo que no se había producido vulneración del derecho fundamental a la tutela judicial efectiva, existiendo únicamente una mera discrepancia con el criterio de enjuiciamiento y que se trataba de una cuestión de legalidad ordinaria no susceptible de amparo.</w:t>
      </w:r>
    </w:p>
    <w:p w14:paraId="01EBCFB3" w14:textId="77777777" w:rsidR="00A8138F" w:rsidRDefault="00A8138F" w:rsidP="00A8138F">
      <w:pPr>
        <w:pStyle w:val="TextoNormal"/>
      </w:pPr>
    </w:p>
    <w:p w14:paraId="622A3218" w14:textId="6D5CFA37" w:rsidR="00A8138F" w:rsidRDefault="00A8138F" w:rsidP="00A8138F">
      <w:pPr>
        <w:pStyle w:val="TextoNormal"/>
      </w:pPr>
      <w:r w:rsidRPr="00A8138F">
        <w:rPr>
          <w:rStyle w:val="NumeroAFNegritaCaracter"/>
        </w:rPr>
        <w:t>7</w:t>
      </w:r>
      <w:r>
        <w:t>. El 11 de septiembre de 2024 la representación procesal de Diario ABC, S.L., presentó escrito de alegaciones en las que reiteró lo argumentado en el recurso de amparo respecto a las vulneraciones del derecho a la libertad de información, para añadir que, en su caso, el reproche por la falta de consentimiento en la utilización de la imagen del señor Opazos debía realizarse únicamente al autor del reportaje, mientras que el medio que lo difunde estaría amparado por el reportaje neutral.</w:t>
      </w:r>
    </w:p>
    <w:p w14:paraId="214CAFED" w14:textId="77777777" w:rsidR="00A8138F" w:rsidRDefault="00A8138F" w:rsidP="00A8138F">
      <w:pPr>
        <w:pStyle w:val="TextoNormal"/>
      </w:pPr>
    </w:p>
    <w:p w14:paraId="3E120C09" w14:textId="77777777" w:rsidR="00A8138F" w:rsidRDefault="00A8138F" w:rsidP="00A8138F">
      <w:pPr>
        <w:pStyle w:val="TextoNormal"/>
      </w:pPr>
      <w:r w:rsidRPr="00A8138F">
        <w:rPr>
          <w:rStyle w:val="NumeroAFNegritaCaracter"/>
        </w:rPr>
        <w:t>8</w:t>
      </w:r>
      <w:r>
        <w:t>. El Ministerio Fiscal presentó escrito de alegaciones ante este tribunal el día 25 de septiembre de 2024, en el que interesó la estimación del recurso de amparo. Argumentó que la sentencia del Tribunal Supremo habría vulnerado el derecho a la libertad de información de Diario ABC, S.L., y llega a tal conclusión revisando el juicio de ponderación entre los derechos en conflicto y en la aplicación al caso de la doctrina del reportaje neutral.</w:t>
      </w:r>
    </w:p>
    <w:p w14:paraId="0D65BBC3" w14:textId="77777777" w:rsidR="00A8138F" w:rsidRDefault="00A8138F" w:rsidP="00A8138F">
      <w:pPr>
        <w:pStyle w:val="TextoNormal"/>
      </w:pPr>
    </w:p>
    <w:p w14:paraId="6667137B" w14:textId="77777777" w:rsidR="00A8138F" w:rsidRDefault="00A8138F" w:rsidP="00A8138F">
      <w:pPr>
        <w:pStyle w:val="TextoNormal"/>
      </w:pPr>
      <w:r>
        <w:t>Respecto a la primera cuestión y en lo que se concierne a la ponderación entre el derecho de información y el derecho a la propia imagen, recuerda que la publicación de la imagen de una persona se supedita a su autorización, pero matiza que ningún derecho es absoluto y que tampoco lo es el uso de la imagen, de manera que aun cuando se carezca de autorización, puede haber circunstancias que hagan viable tal uso.</w:t>
      </w:r>
    </w:p>
    <w:p w14:paraId="4905E3A0" w14:textId="77777777" w:rsidR="00A8138F" w:rsidRDefault="00A8138F" w:rsidP="00A8138F">
      <w:pPr>
        <w:pStyle w:val="TextoNormal"/>
      </w:pPr>
    </w:p>
    <w:p w14:paraId="65455B58" w14:textId="77777777" w:rsidR="00A8138F" w:rsidRDefault="00A8138F" w:rsidP="00A8138F">
      <w:pPr>
        <w:pStyle w:val="TextoNormal"/>
      </w:pPr>
      <w:r>
        <w:t xml:space="preserve">En este caso, para el fiscal las imágenes en el vídeo del señor Opazos reúnen las siguientes características: (i) son neutras, es decir, no comportan un matiz peyorativo para quien aparece en ellas, sino que, por el contrario, representan un éxito deportivo; (ii) se obtuvieron en un acto público y no de forma clandestina, y que deben encontrarse en los archivos de numerosos medios de comunicación que se hicieran eco de la victoria de aquel y (iii) aunque no eran imprescindibles para elaborar el reportaje, se incluyeron en él para ilustrar en qué consiste el </w:t>
      </w:r>
      <w:r w:rsidRPr="00A8138F">
        <w:rPr>
          <w:i/>
        </w:rPr>
        <w:t>muay thai</w:t>
      </w:r>
      <w:r>
        <w:t xml:space="preserve"> o boxeo tailandés.</w:t>
      </w:r>
    </w:p>
    <w:p w14:paraId="6E77FBEA" w14:textId="77777777" w:rsidR="00A8138F" w:rsidRDefault="00A8138F" w:rsidP="00A8138F">
      <w:pPr>
        <w:pStyle w:val="TextoNormal"/>
      </w:pPr>
    </w:p>
    <w:p w14:paraId="55B78715" w14:textId="77777777" w:rsidR="00A8138F" w:rsidRDefault="00A8138F" w:rsidP="00A8138F">
      <w:pPr>
        <w:pStyle w:val="TextoNormal"/>
      </w:pPr>
      <w:r>
        <w:t xml:space="preserve">El fiscal, no obstante, reconoció que no se sabe con qué finalidad se introdujeron estas imágenes en el vídeo, si fue para ilustrar al espectador sobre un deporte poco conocido o si, como consideró el señor Opazos desde la interposición de la demanda, el autor del reportaje se equivocó al incluir su imagen en el vídeo, lo que en su opinión provocó que se le pudiera confundir con el autor de los hechos como consecuencia de la falta de diligencia debida. Señaló el fiscal que, al no haber sido oído el autor del reportaje, se desconoce la razón de la inclusión de la imagen del señor Opazos en el vídeo, pero se inclinó por considerar que fue la primera razón de las antes indicadas. Y concluyó que, a pesar de la ausencia de autorización para el uso de la imagen, esta debe ceder ante el derecho a informar de un hecho que </w:t>
      </w:r>
      <w:r>
        <w:lastRenderedPageBreak/>
        <w:t>es en sí mismo noticiable. Las circunstancias antes enumeradas determinan, a juicio del fiscal, la aplicación de las excepciones de las letras a) y c) del art. 8.2 de la Ley Orgánica 1/1982, de 5 de mayo, de protección civil del derecho al honor, a la intimidad personal y familiar y a la propia imagen.</w:t>
      </w:r>
    </w:p>
    <w:p w14:paraId="53503D7E" w14:textId="77777777" w:rsidR="00A8138F" w:rsidRDefault="00A8138F" w:rsidP="00A8138F">
      <w:pPr>
        <w:pStyle w:val="TextoNormal"/>
      </w:pPr>
    </w:p>
    <w:p w14:paraId="4DC494B7" w14:textId="77777777" w:rsidR="00A8138F" w:rsidRDefault="00A8138F" w:rsidP="00A8138F">
      <w:pPr>
        <w:pStyle w:val="TextoNormal"/>
      </w:pPr>
      <w:r>
        <w:t xml:space="preserve">En cuanto al juicio de ponderación entre el derecho al honor y el derecho a la información que, a criterio del fiscal, es la verdadera denuncia formulada en la demanda que dio origen al proceso judicial, pues el entonces demandante entendió que la errónea utilización de su imagen producía una afectación en su consideración pública, mientras que la vulneración del derecho a la imagen tendría un carácter instrumental. En el análisis del vídeo el fiscal observó que en él parece claro que la presunta autoría del homicidio no se atribuye al señor Opazos, sino al apodado “el Nene”, identificado con nombre y apellidos, el cual aparece en las tres partes de la entrevista, frente a los cuatro segundos en que se muestran las imágenes del señor Opazos, aun cuando en ese momento se diga en el vídeo “así se presenta el Nene, este campeón de </w:t>
      </w:r>
      <w:r w:rsidRPr="00A8138F">
        <w:rPr>
          <w:i/>
        </w:rPr>
        <w:t>muay thai</w:t>
      </w:r>
      <w:r>
        <w:t xml:space="preserve"> que mató a golpes a su compañero”, lo que para el Tribunal Supremo significó asociarle a la autoría de los hechos al estimar que la imagen no era accesoria, al aparecer como protagonista de la información. El fiscal discrepó de esta valoración, dado que el supuesto autor de los hechos está identificado en el vídeo por su nombre y apellidos y por su imagen, que aparece mucho más tiempo. Respecto a la falta de comprobación de información gráfica, afirmó el fiscal que “depende también de la hipótesis en que nos movamos, si creemos que la imagen se introdujo por la confusión de ambas personas, no cabía tal comprobación porque no tendría razones para pensar que no era el mismo, y si la imagen se introdujo como apoyo gráfico, al igual que las otras, es decir a sabiendas de que no era la imagen de ‘el Nene’, es que no haría falta comprobación de veracidad”.</w:t>
      </w:r>
    </w:p>
    <w:p w14:paraId="110DEE34" w14:textId="77777777" w:rsidR="00A8138F" w:rsidRDefault="00A8138F" w:rsidP="00A8138F">
      <w:pPr>
        <w:pStyle w:val="TextoNormal"/>
      </w:pPr>
    </w:p>
    <w:p w14:paraId="32DB3C7B" w14:textId="77777777" w:rsidR="00A8138F" w:rsidRDefault="00A8138F" w:rsidP="00A8138F">
      <w:pPr>
        <w:pStyle w:val="TextoNormal"/>
      </w:pPr>
      <w:r>
        <w:t>Posteriormente, el fiscal invocó la doctrina del reportaje neutral, por considerar que por sí sola es suficiente para rechazar la responsabilidad de Diario ABC, S.L. Con apoyo en la STC 171/2004, de 18 de octubre, FJ 3, afirmó el fiscal que se está ante la figura del reportaje neutral cuando “un periodista actúa como mera correa de transmisión de una noticia que se contiene en unas declaraciones prestadas por una persona que se identifica, y por ello se responsabiliza si se ha producido una vulneración de alguno de los derechos individuales de otra persona, la obligación del medio, respecto a la veracidad de la noticia se limita a la propia existencia de la declaración”.</w:t>
      </w:r>
    </w:p>
    <w:p w14:paraId="25E45E24" w14:textId="77777777" w:rsidR="00A8138F" w:rsidRDefault="00A8138F" w:rsidP="00A8138F">
      <w:pPr>
        <w:pStyle w:val="TextoNormal"/>
      </w:pPr>
    </w:p>
    <w:p w14:paraId="7F3B953C" w14:textId="77777777" w:rsidR="00A8138F" w:rsidRDefault="00A8138F" w:rsidP="00A8138F">
      <w:pPr>
        <w:pStyle w:val="TextoNormal"/>
      </w:pPr>
      <w:r>
        <w:t xml:space="preserve">Junto a esta noción de reportaje neutral en sentido propio, el fiscal señaló que en otros supuestos también se habla de reportaje neutral, cuando la noticia presentada por el periodista proviene de una nota de prensa de un organismo público o de otro medio de comunicación de solvencia, incluidas las agencias de información. En estos casos, debido a la solvencia de aquellos, la comprobación de la veracidad se modula de manera importante (STC 178/1993, de 31 de mayo, FJ 5). La solvencia profesional adquiere capital importancia, pues también es habitual en la actualidad que los medios de comunicación se surtan de noticias o vídeos obtenidos de redes sociales, sin solvencia profesional, lo que exige en el periodista una precisa constatación de la noticia o verosimilitud del vídeo. Para concluir que en este caso concurren los requisitos del reportaje neutral: (i) se trata de hechos noticiables en relación con el homicidio cometido en una prisión; (ii) Diario ABC, S.L., fue un mero transmisor del vídeo elaborado por la agencia Atlas, cuya solvencia no se discute; (iii) no se ha variado el contenido del vídeo; (iv) no se discute la veracidad de la noticia y (v) se identifica la procedencia de la noticia. En su caso, si se considerase que en la ponderación de los </w:t>
      </w:r>
      <w:r>
        <w:lastRenderedPageBreak/>
        <w:t>derechos debiera prevalecer el honor del señor Opazos, debería responder la agencia Atlas, quien no ha sido demandada en el proceso judicial.</w:t>
      </w:r>
    </w:p>
    <w:p w14:paraId="43A3D374" w14:textId="77777777" w:rsidR="00A8138F" w:rsidRDefault="00A8138F" w:rsidP="00A8138F">
      <w:pPr>
        <w:pStyle w:val="TextoNormal"/>
      </w:pPr>
    </w:p>
    <w:p w14:paraId="4E97D3C1" w14:textId="77777777" w:rsidR="00A8138F" w:rsidRDefault="00A8138F" w:rsidP="00A8138F">
      <w:pPr>
        <w:pStyle w:val="TextoNormal"/>
      </w:pPr>
      <w:r>
        <w:t>Finalmente, el Ministerio Fiscal cuestionó las dos razones que llevaron a la sentencia recurrida a considerar que el periódico demandado no actuó con la debida diligencia, razones que radican en lo siguiente y que objetó el fiscal en estos términos: (i) “en la gravedad de los hechos que se imputan, un homicidio, pero es que el objeto de una noticia, el hecho que la conforma suele ser, por lo general, un hecho grave, muchas veces delictivo, y no parece que ese criterio objetivo de la gravedad del hecho deba ser determinante” y (ii) en que, según la sentencia dictada en casación, “el mero hecho de haber sido publicada con anterioridad pueda volver a serlo en otro medio de comunicación, desvinculada por completo del contexto en el que se obtuvo, para unos fines totalmente diferentes y para los que en absoluto resultaba necesaria y sin necesidad del consentimiento de la persona afectada”, pero para el fiscal este razonamiento no tiene en cuenta que Diario ABC, S.L., no difundió la noticia tomándola de otro medio, sino por el ofrecimiento mercantil de la agencia Atlas, dedicada a ofrecer noticias a los medios para su difusión.</w:t>
      </w:r>
    </w:p>
    <w:p w14:paraId="67D68472" w14:textId="77777777" w:rsidR="00A8138F" w:rsidRDefault="00A8138F" w:rsidP="00A8138F">
      <w:pPr>
        <w:pStyle w:val="TextoNormal"/>
      </w:pPr>
    </w:p>
    <w:p w14:paraId="7B86298A" w14:textId="4C37A4EB" w:rsidR="00A8138F" w:rsidRDefault="00A8138F" w:rsidP="00A8138F">
      <w:pPr>
        <w:pStyle w:val="TextoNormal"/>
      </w:pPr>
      <w:r>
        <w:t>En casos como este, concluyó, se reduce de manera considerable la diligencia exigible en la depuración del contenido de la noticia, al haber una relación profesional con un medio solvente, para añadir que no era fácil advertir el error dado el mínimo tiempo que duran las imágenes controvertidas.</w:t>
      </w:r>
    </w:p>
    <w:p w14:paraId="6767482E" w14:textId="77777777" w:rsidR="00A8138F" w:rsidRDefault="00A8138F" w:rsidP="00A8138F">
      <w:pPr>
        <w:pStyle w:val="TextoNormal"/>
      </w:pPr>
    </w:p>
    <w:p w14:paraId="0D36820C" w14:textId="7F27B171" w:rsidR="00A8138F" w:rsidRDefault="00A8138F" w:rsidP="00A8138F">
      <w:pPr>
        <w:pStyle w:val="TextoNormal"/>
      </w:pPr>
      <w:r w:rsidRPr="00A8138F">
        <w:rPr>
          <w:rStyle w:val="NumeroAFNegritaCaracter"/>
        </w:rPr>
        <w:t>9</w:t>
      </w:r>
      <w:r>
        <w:t>. Por providencia de 14 de enero de 2025, el Pleno, a propuesta de la Sala Primera de 16 de diciembre de 2024, acordó recabar para sí el conocimiento de recurso de amparo tramitado en dicha Sala.</w:t>
      </w:r>
    </w:p>
    <w:p w14:paraId="183BAB74" w14:textId="77777777" w:rsidR="00A8138F" w:rsidRDefault="00A8138F" w:rsidP="00A8138F">
      <w:pPr>
        <w:pStyle w:val="TextoNormal"/>
      </w:pPr>
    </w:p>
    <w:p w14:paraId="16EEF010" w14:textId="2736C07F" w:rsidR="00A8138F" w:rsidRDefault="00A8138F" w:rsidP="00A8138F">
      <w:pPr>
        <w:pStyle w:val="TextoNormal"/>
      </w:pPr>
      <w:r w:rsidRPr="00A8138F">
        <w:rPr>
          <w:rStyle w:val="NumeroAFNegritaCaracter"/>
        </w:rPr>
        <w:t>10</w:t>
      </w:r>
      <w:r>
        <w:t>. La ponencia correspondió en primer lugar a la magistrada doña Concepción Espejel Jorquera cuya propuesta fue deliberada y no aprobada en el Pleno de 11 de febrero de 2025. Al declinar la magistrada la ponencia, le fue encomendada al magistrado don César Tolosa Tribiño.</w:t>
      </w:r>
    </w:p>
    <w:p w14:paraId="21F61E87" w14:textId="77777777" w:rsidR="00A8138F" w:rsidRDefault="00A8138F" w:rsidP="00A8138F">
      <w:pPr>
        <w:pStyle w:val="TextoNormal"/>
      </w:pPr>
    </w:p>
    <w:p w14:paraId="1BE56BF0" w14:textId="4B6A89F6" w:rsidR="00A8138F" w:rsidRDefault="00A8138F" w:rsidP="00A8138F">
      <w:pPr>
        <w:pStyle w:val="TextoNormal"/>
      </w:pPr>
      <w:r w:rsidRPr="00A8138F">
        <w:rPr>
          <w:rStyle w:val="NumeroAFNegritaCaracter"/>
        </w:rPr>
        <w:t>11</w:t>
      </w:r>
      <w:r>
        <w:t>. Mediante providencia de 11 de marzo de 2025 se señaló ese mismo día para la deliberación y fallo de la presente sentencia.</w:t>
      </w:r>
    </w:p>
    <w:p w14:paraId="750CCCE9" w14:textId="77777777" w:rsidR="00A8138F" w:rsidRDefault="00A8138F" w:rsidP="00A8138F">
      <w:pPr>
        <w:pStyle w:val="TextoNormal"/>
      </w:pPr>
    </w:p>
    <w:p w14:paraId="02B99A78" w14:textId="77777777" w:rsidR="00A8138F" w:rsidRDefault="00A8138F" w:rsidP="00A8138F">
      <w:pPr>
        <w:pStyle w:val="TextoNormalNegritaCentrado"/>
        <w:keepNext/>
      </w:pPr>
      <w:r>
        <w:t>II. Fundamentos jurídicos</w:t>
      </w:r>
    </w:p>
    <w:p w14:paraId="247575F7" w14:textId="493B4B03" w:rsidR="00A8138F" w:rsidRDefault="00A8138F" w:rsidP="00A8138F">
      <w:pPr>
        <w:pStyle w:val="TextoNormalNegritaCentrado"/>
        <w:keepNext/>
      </w:pPr>
    </w:p>
    <w:p w14:paraId="4686DEB4"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7392F628" w14:textId="77777777" w:rsidR="00A8138F" w:rsidRDefault="00A8138F" w:rsidP="00A8138F">
      <w:pPr>
        <w:pStyle w:val="TextoNormal"/>
      </w:pPr>
    </w:p>
    <w:p w14:paraId="6EF951EA" w14:textId="77777777" w:rsidR="00A8138F" w:rsidRDefault="00A8138F" w:rsidP="00A8138F">
      <w:pPr>
        <w:pStyle w:val="TextoNormal"/>
      </w:pPr>
      <w:r>
        <w:t>El presente recurso de amparo tiene por objeto la sentencia núm. 1225/2023, de 13 de septiembre, de la Sala de lo Civil del Tribunal Supremo, que estimó el recurso de casación al declarar que se produjo la intromisión ilegítima en los derecho al honor y a la propia imagen de don Cristian Opazos Menor por parte de Diario ABC, S.L., al haber difundido en su versión digital un vídeo elaborado por una agencia de noticias, citada como fuente, en el que se habían introducido imágenes de aquel, pese a no ser el sujeto de la noticia.</w:t>
      </w:r>
    </w:p>
    <w:p w14:paraId="404287EB" w14:textId="77777777" w:rsidR="00A8138F" w:rsidRDefault="00A8138F" w:rsidP="00A8138F">
      <w:pPr>
        <w:pStyle w:val="TextoNormal"/>
      </w:pPr>
    </w:p>
    <w:p w14:paraId="5D6DAADE" w14:textId="77777777" w:rsidR="00A8138F" w:rsidRDefault="00A8138F" w:rsidP="00A8138F">
      <w:pPr>
        <w:pStyle w:val="TextoNormal"/>
      </w:pPr>
      <w:r>
        <w:lastRenderedPageBreak/>
        <w:t>Recurre en amparo la citada entidad difusora del vídeo, al considerar que la sentencia habría vulnerado su derecho a la libertad de información (art. 20 CE), y que debería aplicarse en este caso la doctrina del reportaje neutral, tanto en lo referente a la intromisión en el derecho al honor, como a la intromisión del derecho a la propia imagen del señor Opazos. Alegó, además, que no se habría vulnerado el derecho a la propia imagen del señor Opazos, porque la utilización de su imagen en el vídeo carece de entidad suficiente, y tampoco se habría vulnerado su derecho al honor porque no cabía duda de que la noticia se refería a otra persona.</w:t>
      </w:r>
    </w:p>
    <w:p w14:paraId="7A38F55B" w14:textId="77777777" w:rsidR="00A8138F" w:rsidRDefault="00A8138F" w:rsidP="00A8138F">
      <w:pPr>
        <w:pStyle w:val="TextoNormal"/>
      </w:pPr>
    </w:p>
    <w:p w14:paraId="108AE815" w14:textId="77777777" w:rsidR="00A8138F" w:rsidRDefault="00A8138F" w:rsidP="00A8138F">
      <w:pPr>
        <w:pStyle w:val="TextoNormal"/>
      </w:pPr>
      <w:r>
        <w:t>Para don Cristian Opazos Menor, las alegaciones de la recurrente en amparo revelan únicamente su discrepancia con el criterio del Tribunal Supremo, que el primero hace suyo.</w:t>
      </w:r>
    </w:p>
    <w:p w14:paraId="6CE234A9" w14:textId="77777777" w:rsidR="00A8138F" w:rsidRDefault="00A8138F" w:rsidP="00A8138F">
      <w:pPr>
        <w:pStyle w:val="TextoNormal"/>
      </w:pPr>
    </w:p>
    <w:p w14:paraId="4F31FBE2" w14:textId="356B018D" w:rsidR="00A8138F" w:rsidRDefault="00A8138F" w:rsidP="00A8138F">
      <w:pPr>
        <w:pStyle w:val="TextoNormal"/>
      </w:pPr>
      <w:r>
        <w:t>El Ministerio Fiscal, por su parte, interesó la estimación del recurso de amparo desde la consideración, en primer lugar, de que no se habría vulnerado el derecho a la propia imagen del señor Opazos, pese a la falta de autorización para la utilización de las imágenes, debido al carácter neutro de las mismas, que no se habían obtenido de forma clandestina, sino en un acto público. Y aunque se desconozca si la finalidad con la que se introdujeron las imágenes en el vídeo fue ilustrar al espectador sobre un deporte conocido, o bien un error en la identidad del sujeto de la noticia, el uso de la imagen debe ceder en este caso en aras de la libertad de información. Tampoco apreció la vulneración del derecho al honor, porque la presunta autoría del homicidio no se atribuye en el vídeo al señor Opazos, sino al apodado “el Nene”, identificado con nombre y apellidos, al no ser preciso comprobar la veracidad. En todo caso, para el fiscal debería excluirse la intromisión ilegítima en estos dos derechos mediante la aplicación de la doctrina del reportaje neutral, teniendo en cuenta la solvencia profesional de la agencia que grabó el vídeo y, finalmente, descartó la falta de diligencia exigible en la actuación de la recurrente en amparo.</w:t>
      </w:r>
    </w:p>
    <w:p w14:paraId="30B7F781" w14:textId="77777777" w:rsidR="00A8138F" w:rsidRDefault="00A8138F" w:rsidP="00A8138F">
      <w:pPr>
        <w:pStyle w:val="TextoNormal"/>
      </w:pPr>
    </w:p>
    <w:p w14:paraId="4990079E" w14:textId="77777777" w:rsidR="00A8138F" w:rsidRDefault="00A8138F" w:rsidP="00A8138F">
      <w:pPr>
        <w:pStyle w:val="TextoNormal"/>
      </w:pPr>
      <w:r w:rsidRPr="00A8138F">
        <w:rPr>
          <w:rStyle w:val="NumeroAFNegritaCaracter"/>
        </w:rPr>
        <w:t>2</w:t>
      </w:r>
      <w:r>
        <w:t xml:space="preserve">. </w:t>
      </w:r>
      <w:r w:rsidRPr="00A8138F">
        <w:rPr>
          <w:i/>
        </w:rPr>
        <w:t>Doctrina constitucional sobre el derecho a la libertad de información y el reportaje neutral</w:t>
      </w:r>
    </w:p>
    <w:p w14:paraId="348B757D" w14:textId="77777777" w:rsidR="00A8138F" w:rsidRDefault="00A8138F" w:rsidP="00A8138F">
      <w:pPr>
        <w:pStyle w:val="TextoNormal"/>
      </w:pPr>
    </w:p>
    <w:p w14:paraId="6A9348FF" w14:textId="77777777" w:rsidR="00A8138F" w:rsidRDefault="00A8138F" w:rsidP="00A8138F">
      <w:pPr>
        <w:pStyle w:val="TextoNormal"/>
      </w:pPr>
      <w:r>
        <w:t>Con relación a aquellos casos en los que se produce un conflicto entre el derecho al honor del art. 18.1 CE y el derecho a la libertad de información reconocido en el art. 20.1 d) CE, el Tribunal ha ido elaborando un cuerpo consolidado de doctrina que coincide, en lo sustancial, con la del Tribunal Europeo de Derechos Humanos. Esta doctrina constitucional parte de reconocer al derecho a la libertad de información una posición especial en nuestro ordenamiento, por cuanto a través de este derecho no solo se protege un interés individual, sino que entraña también el reconocimiento y garantía de la posibilidad de existencia de una opinión pública libre, indisolublemente unida al pluralismo político propio del Estado democrático. De ello no se deduce, sin embargo, el valor preferente de este derecho cuando se afirma frente a otros derechos fundamentales, sino que la protección constitucional de la libertad de información queda condicionada a que se refiera a hechos con relevancia pública y que la información sea veraz (SSTC 158/2003, de 15 de septiembre, FJ 3; 1/2005, de 17 de enero, FJ 2; 53/2006, de 27 de febrero, FJ 5, y las que allí se citan).</w:t>
      </w:r>
    </w:p>
    <w:p w14:paraId="379FFAE6" w14:textId="77777777" w:rsidR="00A8138F" w:rsidRDefault="00A8138F" w:rsidP="00A8138F">
      <w:pPr>
        <w:pStyle w:val="TextoNormal"/>
      </w:pPr>
    </w:p>
    <w:p w14:paraId="59AC36A8" w14:textId="77777777" w:rsidR="00A8138F" w:rsidRDefault="00A8138F" w:rsidP="00A8138F">
      <w:pPr>
        <w:pStyle w:val="TextoNormal"/>
      </w:pPr>
      <w:r>
        <w:t xml:space="preserve">Respecto a la relevancia pública de la información, este tribunal viene considerando que la protección constitucional se proyecta sobre la transmisión de hechos noticiables por su importancia o su relevancia social, para contribuir a la formación de opinión pública. Así, ha apreciado la existencia de acontecimientos noticiables en los sucesos de relevancia penal, </w:t>
      </w:r>
      <w:r>
        <w:lastRenderedPageBreak/>
        <w:t>con independencia del carácter de sujeto privado de la persona afectada por la noticia (SSTC 178/1993, de 31 de mayo, FJ 4; 320/1994, de 28 de noviembre, FJ 3, y 139/2007, de 4 de junio, FJ 8), y ha estimado que la relevancia pública de los hechos ha de ser reconocida también respecto de los que hayan alcanzado notoriedad (SSTC 320/1994, de 28 de noviembre, FJ 4; 154/1999, de 14 de septiembre, FJ 4, y 139/2007, de 4 de junio, FJ 8).</w:t>
      </w:r>
    </w:p>
    <w:p w14:paraId="72169AC5" w14:textId="77777777" w:rsidR="00A8138F" w:rsidRDefault="00A8138F" w:rsidP="00A8138F">
      <w:pPr>
        <w:pStyle w:val="TextoNormal"/>
      </w:pPr>
    </w:p>
    <w:p w14:paraId="2765E5A5" w14:textId="77777777" w:rsidR="00A8138F" w:rsidRDefault="00A8138F" w:rsidP="00A8138F">
      <w:pPr>
        <w:pStyle w:val="TextoNormal"/>
      </w:pPr>
      <w:r>
        <w:t xml:space="preserve">En cuanto al requisito de veracidad, inserto en el propio art. 20.1 d) CE, no debe identificarse con la idea de objetividad, ni de realidad incontrovertible de los hechos, porque ello constituiría una </w:t>
      </w:r>
      <w:r w:rsidRPr="00A8138F">
        <w:rPr>
          <w:i/>
        </w:rPr>
        <w:t>probatio diabolica</w:t>
      </w:r>
      <w:r>
        <w:t>, por imposible, en la mayoría de los casos (STC 158/2003, FJ 6) e implicaría constreñir la información únicamente a aquellos hechos o acontecimientos de la realidad que hayan sido plena y exactamente demostrados. La veracidad de la información no se identifica con la exigencia de una rigurosa y total exactitud en el contenido de la información, sino que implica negar la protección constitucional a la transmisión como hechos verdaderos de simples rumores carentes de toda constatación o de meras invenciones o insinuaciones, sin comprobar su realidad mediante las averiguaciones oportunas, propias de un profesional diligente, y con independencia de que la plena o total exactitud pueda ser controvertida o se incurra en errores circunstanciales que no afecten a la esencia de lo informado (SSTC 6/1988, de 21 de enero, FJ 5; 171/1990, de 12 de noviembre, FJ 8; 178/1993, de 31 de mayo, FJ 5; 158/2003, de 15 de septiembre, FJ 4; 136/2004, de 13 de septiembre, FFJJ 3 y 4; 171/2004, de 18 de octubre, FJ 4; 1/2005, de 17 de enero, FJ 3; 53/2006, de 27 de febrero, FJ 6, y 139/2007, de 4 de junio, FJ 9).</w:t>
      </w:r>
    </w:p>
    <w:p w14:paraId="0E450EE3" w14:textId="77777777" w:rsidR="00A8138F" w:rsidRDefault="00A8138F" w:rsidP="00A8138F">
      <w:pPr>
        <w:pStyle w:val="TextoNormal"/>
      </w:pPr>
    </w:p>
    <w:p w14:paraId="6E1693A7" w14:textId="77777777" w:rsidR="00A8138F" w:rsidRDefault="00A8138F" w:rsidP="00A8138F">
      <w:pPr>
        <w:pStyle w:val="TextoNormal"/>
      </w:pPr>
      <w:r>
        <w:t>Tal entendimiento va dirigido a negar la protección constitucional a quienes, defraudando el derecho de todos a recibir información veraz, actúan con menosprecio de la veracidad o falsedad de lo comunicado, comportándose de forma negligente e irresponsable, al transmitir como hechos verdaderos, bien simples rumores carentes de toda constatación, bien meras invenciones o insinuaciones (STC 158/2003, FJ 5). Frente a ello, la información rectamente obtenida y difundida ha de ser protegida, aunque resulte inexacta, si se ha observado el deber de comprobar su veracidad mediante las oportunas averiguaciones propias de un profesional diligente (STC 178/1993, FJ 5). Y dado que el canon de la veracidad se cifra en la diligencia razonablemente exigible, el objeto de su prueba no serán los hechos en sí objeto de narración, sino los hechos, datos o fuentes de información empleados, de los que se pueda inferir la verosimilitud de los hechos narrados (SSTC 158/2003, FJ 3, y 136/2004, FJ 4).</w:t>
      </w:r>
    </w:p>
    <w:p w14:paraId="6211ED8D" w14:textId="77777777" w:rsidR="00A8138F" w:rsidRDefault="00A8138F" w:rsidP="00A8138F">
      <w:pPr>
        <w:pStyle w:val="TextoNormal"/>
      </w:pPr>
    </w:p>
    <w:p w14:paraId="554DF0E1" w14:textId="77777777" w:rsidR="00A8138F" w:rsidRDefault="00A8138F" w:rsidP="00A8138F">
      <w:pPr>
        <w:pStyle w:val="TextoNormal"/>
      </w:pPr>
      <w:r>
        <w:t>La diligencia exigible al informador en la comprobación de los hechos depende de las características concretas de la comunicación de que se trate, y el Tribunal ha establecido algunos criterios para determinar el cumplimiento de este requisito constitucional. De este modo, el nivel de diligencia exigible adquiere una especial intensidad cuando la noticia divulgada pueda suponer, por su propio contenido, un descrédito de la persona a la que se refiere la información. Igualmente, debe ponderarse el respeto a la presunción de inocencia. Y también debe tenerse en cuenta cuál es el objeto de la información, pues no es lo mismo la ordenación y presentación de hechos que el medio asume como propia, que la transmisión neutra de manifestaciones de otro. Son también criterios de utilidad el carácter de hecho noticioso, la fuente que proporciona la noticia, las posibilidades efectivas de contrastarla, etc. (SSTC 158/2003, FJ 4; 53/2006, FJ 6, y 139/2007, FJ 9).</w:t>
      </w:r>
    </w:p>
    <w:p w14:paraId="77F547F2" w14:textId="77777777" w:rsidR="00A8138F" w:rsidRDefault="00A8138F" w:rsidP="00A8138F">
      <w:pPr>
        <w:pStyle w:val="TextoNormal"/>
      </w:pPr>
    </w:p>
    <w:p w14:paraId="0D28C856" w14:textId="77777777" w:rsidR="00A8138F" w:rsidRDefault="00A8138F" w:rsidP="00A8138F">
      <w:pPr>
        <w:pStyle w:val="TextoNormal"/>
      </w:pPr>
      <w:r>
        <w:t xml:space="preserve">En relación con la fuente que proporciona la noticia, el Tribunal ha declarado que si reúne características objetivas que la hacen fidedigna, seria o fiable, es indudable que puede no </w:t>
      </w:r>
      <w:r>
        <w:lastRenderedPageBreak/>
        <w:t>ser necesaria mayor comprobación que la exactitud o identidad de la fuente, máxime si esta puede mencionarse en la propia información (STC 158/2003, FJ 5). En relación con esto último, la STC 178/1993, FJ 5 —dictada en un caso de publicación de una noticia cuya única fuente fue la nota de prensa elaborada y difundida a través del gabinete de información de una comandancia de la Guardia Civil— declaró que “[s]i el medio afectado recibió esta nota, directamente o precedente de una agencia o agencias que la hubieran recibido previamente, no es pensable que se le pueda exigir el contraste de la información con otras fuentes, sino solo la seguridad de que la fuente era el órgano que se dice. La proximidad de este a la investigación oficial de los hechos difundidos puede entenderse, por ello, de la suficiente intensidad como para no necesitar comprobación por otras vías”.</w:t>
      </w:r>
    </w:p>
    <w:p w14:paraId="6839CC74" w14:textId="77777777" w:rsidR="00A8138F" w:rsidRDefault="00A8138F" w:rsidP="00A8138F">
      <w:pPr>
        <w:pStyle w:val="TextoNormal"/>
      </w:pPr>
    </w:p>
    <w:p w14:paraId="257BF47E" w14:textId="77777777" w:rsidR="00A8138F" w:rsidRDefault="00A8138F" w:rsidP="00A8138F">
      <w:pPr>
        <w:pStyle w:val="TextoNormal"/>
      </w:pPr>
      <w:r>
        <w:t>De acuerdo con la doctrina sentada por este tribunal, también se excluye la responsabilidad del informador en caso del denominado reportaje neutral, en el cual el medio de comunicación social se limita a reproducir lo que un tercero ha dicho o escrito (STC 134/1999, de 15 de julio, FJ 4), en definitiva, se limita a actuar como mero transmisor del mensaje (STC 41/1994, de 15 de febrero, FJ 4). En estos casos, el medio de comunicación social no solo actúa como soporte y medio de difusión de las opiniones o informaciones transmitidas por un tercero, a cuya responsabilidad deben atribuirse por entero, sino que, además, el medio de comunicación social ejerce su derecho a comunicar libremente información veraz al reproducir las declaraciones de otro. Pero lo relevante en estos supuestos no es si el medio de comunicación ha actuado como mero canal de difusión de lo que otros han dicho, sino su neutralidad en la transcripción de lo declarado por ese tercero. De manera que estaremos ante un reportaje neutral cuando el medio de comunicación se haya limitado a cumplir su función transmisora de lo dicho por otro, siempre que no lo manipule mediante su artero fraccionamiento en el seno de un reportaje más extenso, interfiriendo con manifestaciones propias, componiéndolo con textos o imágenes con el propósito de quebrar la neutralidad respecto de lo transcrito, de modo que esa información deje de tener su fuente en el tercero, para pasar a hacerla suya el medio de comunicación (STC 134/1999, FJ 4).</w:t>
      </w:r>
    </w:p>
    <w:p w14:paraId="27D5A7DE" w14:textId="77777777" w:rsidR="00A8138F" w:rsidRDefault="00A8138F" w:rsidP="00A8138F">
      <w:pPr>
        <w:pStyle w:val="TextoNormal"/>
      </w:pPr>
    </w:p>
    <w:p w14:paraId="3F02F983" w14:textId="77777777" w:rsidR="00A8138F" w:rsidRDefault="00A8138F" w:rsidP="00A8138F">
      <w:pPr>
        <w:pStyle w:val="TextoNormal"/>
      </w:pPr>
      <w:r>
        <w:t>En los casos de reportaje neutral, el canon de veracidad posee una dimensión distinta, pues la veracidad no es de lo transcrito, sino de la transcripción misma. El medio de comunicación debe acreditar la conexión material de las declaraciones del tercero con el objeto del reportaje en el que tales declaraciones se integran. Y no debe haber indicios racionales de falsedad evidente de lo transcrito, para evitar que un reportaje neutral sirva indebidamente a la divulgación de simples rumores o insidias. La ausencia de indicios de falsedad se prueba con la acreditación fehaciente de que lo transcrito existe y coincide fielmente con lo dicho o escrito por el tercero, y que aquel a quien se imputa lo reproducido sea en efecto la fuente de lo transcrito, al que se debe identificar con exactitud o estar en disposición de hacerlo. Si el medio de comunicación cumple con este deber de diligencia, prueba de su neutralidad, el responsable del contenido de las declaraciones reproducidas será su autor material, pero no quien las reproduce (STC 134/1999, FJ 4).</w:t>
      </w:r>
    </w:p>
    <w:p w14:paraId="3C3F27A6" w14:textId="77777777" w:rsidR="00A8138F" w:rsidRDefault="00A8138F" w:rsidP="00A8138F">
      <w:pPr>
        <w:pStyle w:val="TextoNormal"/>
      </w:pPr>
    </w:p>
    <w:p w14:paraId="75ADDF3B" w14:textId="77777777" w:rsidR="00A8138F" w:rsidRDefault="00A8138F" w:rsidP="00A8138F">
      <w:pPr>
        <w:pStyle w:val="TextoNormal"/>
      </w:pPr>
      <w:r>
        <w:t>De manera reiterada (SSTC 54/2004, de 15 de abril, FJ 7; 136/2004, de 13 de septiembre, FJ 2; 1/2005, de 17 de enero, FJ 4; 53/2006, de 27 de febrero, FJ 8, y 139/2007, de 4 de junio, FJ 11), el Tribunal viene considerando que el reportaje neutral se caracteriza en los siguientes términos:</w:t>
      </w:r>
    </w:p>
    <w:p w14:paraId="504B7D3F" w14:textId="77777777" w:rsidR="00A8138F" w:rsidRDefault="00A8138F" w:rsidP="00A8138F">
      <w:pPr>
        <w:pStyle w:val="TextoNormal"/>
      </w:pPr>
    </w:p>
    <w:p w14:paraId="6706D348" w14:textId="77777777" w:rsidR="00A8138F" w:rsidRDefault="00A8138F" w:rsidP="00A8138F">
      <w:pPr>
        <w:pStyle w:val="TextoNormal"/>
      </w:pPr>
      <w:r>
        <w:lastRenderedPageBreak/>
        <w:t>a) El objeto de la noticia lo constituyen declaraciones que imputan hechos lesivos del honor, pero que, por sí mismas, sean noticia y se pongan en boca de personas determinadas, responsables de las declaraciones. No hay reportaje neutral cuando no se determina quién hizo las declaraciones.</w:t>
      </w:r>
    </w:p>
    <w:p w14:paraId="5065C713" w14:textId="77777777" w:rsidR="00A8138F" w:rsidRDefault="00A8138F" w:rsidP="00A8138F">
      <w:pPr>
        <w:pStyle w:val="TextoNormal"/>
      </w:pPr>
    </w:p>
    <w:p w14:paraId="511A0F9D" w14:textId="77777777" w:rsidR="00A8138F" w:rsidRDefault="00A8138F" w:rsidP="00A8138F">
      <w:pPr>
        <w:pStyle w:val="TextoNormal"/>
      </w:pPr>
      <w:r>
        <w:t>b) El medio informativo debe ser mero transmisor de las declaraciones, limitándose a narrarlas sin alterar su importancia en el conjunto de la noticia. No hay reportaje neutral cuando se reelabora la noticia, ni cuando el medio provoca la noticia, es decir, en el caso del periodismo de investigación. El medio de comunicación debe limitarse a reproducir algo que ya sea de algún modo conocido.</w:t>
      </w:r>
    </w:p>
    <w:p w14:paraId="7895B0E6" w14:textId="77777777" w:rsidR="00A8138F" w:rsidRDefault="00A8138F" w:rsidP="00A8138F">
      <w:pPr>
        <w:pStyle w:val="TextoNormal"/>
      </w:pPr>
    </w:p>
    <w:p w14:paraId="71221BC6" w14:textId="77777777" w:rsidR="00A8138F" w:rsidRDefault="00A8138F" w:rsidP="00A8138F">
      <w:pPr>
        <w:pStyle w:val="TextoNormal"/>
      </w:pPr>
      <w:r>
        <w:t>c) En el reportaje neutral propio, la veracidad exigible se limita a la veracidad objetiva de la existencia de la declaración. El medio se exonera de responsabilidad respecto del contenido. Consecuentemente, la mayor o menor proximidad al reportaje neutral propio modula la responsabilidad por el contenido de las declaraciones.</w:t>
      </w:r>
    </w:p>
    <w:p w14:paraId="75DC1894" w14:textId="77777777" w:rsidR="00A8138F" w:rsidRDefault="00A8138F" w:rsidP="00A8138F">
      <w:pPr>
        <w:pStyle w:val="TextoNormal"/>
      </w:pPr>
    </w:p>
    <w:p w14:paraId="15730758" w14:textId="0DF69293" w:rsidR="00A8138F" w:rsidRDefault="00A8138F" w:rsidP="00A8138F">
      <w:pPr>
        <w:pStyle w:val="TextoNormal"/>
      </w:pPr>
      <w:r>
        <w:t xml:space="preserve">Por su parte, el Tribunal Europeo de Derechos Humanos también ha tenido ocasión de pronunciarse sobre los casos en que se publican declaraciones de una persona. Ya en la STEDH de 23 de septiembre de 1994, asunto </w:t>
      </w:r>
      <w:r w:rsidRPr="00A8138F">
        <w:rPr>
          <w:i/>
        </w:rPr>
        <w:t>Jersild c. Dinamarca</w:t>
      </w:r>
      <w:r>
        <w:t xml:space="preserve">, § 35, declaró que los reportajes de noticias basados en entrevistas, ya se encuentren editadas o no, constituyen uno de los medios más importantes por los que la prensa puede jugar su papel vital como “guardián público”. Y añadía que la sanción a un periodista por contribuir a la difusión de declaraciones hechas por otra persona en una entrevista obstaculizaría gravemente la contribución de la prensa a la discusión de cuestiones de interés público y no debería preverse, salvo que existan motivos particularmente graves para ello. Posteriormente, en la STEDH de 17 de diciembre de 2004, asunto </w:t>
      </w:r>
      <w:r w:rsidRPr="00A8138F">
        <w:rPr>
          <w:i/>
        </w:rPr>
        <w:t>Pedersen y otros c. Dinamarca</w:t>
      </w:r>
      <w:r>
        <w:t>, § 77, ha precisado que, en estos casos, debe realizarse una distinción en función de que las declaraciones procedan del periodista o que se trate de la cita textual de otros.</w:t>
      </w:r>
    </w:p>
    <w:p w14:paraId="0D3518A1" w14:textId="77777777" w:rsidR="00A8138F" w:rsidRDefault="00A8138F" w:rsidP="00A8138F">
      <w:pPr>
        <w:pStyle w:val="TextoNormal"/>
      </w:pPr>
    </w:p>
    <w:p w14:paraId="282A20D8" w14:textId="77777777" w:rsidR="00A8138F" w:rsidRDefault="00A8138F" w:rsidP="00A8138F">
      <w:pPr>
        <w:pStyle w:val="TextoNormal"/>
      </w:pPr>
      <w:r w:rsidRPr="00A8138F">
        <w:rPr>
          <w:rStyle w:val="NumeroAFNegritaCaracter"/>
        </w:rPr>
        <w:t>3</w:t>
      </w:r>
      <w:r>
        <w:t xml:space="preserve">. </w:t>
      </w:r>
      <w:r w:rsidRPr="00A8138F">
        <w:rPr>
          <w:i/>
        </w:rPr>
        <w:t>La difusión de noticias procedentes de agencias de información como forma de ejercicio de la libertad de información y la doctrina del reportaje neutral</w:t>
      </w:r>
    </w:p>
    <w:p w14:paraId="337AC105" w14:textId="77777777" w:rsidR="00A8138F" w:rsidRDefault="00A8138F" w:rsidP="00A8138F">
      <w:pPr>
        <w:pStyle w:val="TextoNormal"/>
      </w:pPr>
    </w:p>
    <w:p w14:paraId="04629939" w14:textId="77777777" w:rsidR="00A8138F" w:rsidRDefault="00A8138F" w:rsidP="00A8138F">
      <w:pPr>
        <w:pStyle w:val="TextoNormal"/>
      </w:pPr>
      <w:r>
        <w:t>Es un fenómeno cotidiano en el modo de operar de los medios de comunicación que, junto al periodismo de investigación y la elaboración propia de noticias, se difundan otras adquiridas de agencias de noticias, también conocidas como agencias de información o agencias de prensa. Tal forma de proceder responde a la necesidad de cubrir los sucesos que puedan producirse en cualquier momento y lugar, cuando para los medios de comunicación no resulta posible cumplir por sí solos con esa cobertura, por razones técnicas y económicas, a lo que se suman las exigencias de celeridad que se imponen en este sector y que se han acentuado en los últimos tiempos con el desarrollo del entorno digital. De este modo, las noticias elaboradas por las agencias son adquiridas por los medios de comunicación, que las hacen llegar al público a través de la prensa, radio, televisión o internet.</w:t>
      </w:r>
    </w:p>
    <w:p w14:paraId="7AE034F1" w14:textId="77777777" w:rsidR="00A8138F" w:rsidRDefault="00A8138F" w:rsidP="00A8138F">
      <w:pPr>
        <w:pStyle w:val="TextoNormal"/>
      </w:pPr>
    </w:p>
    <w:p w14:paraId="267338F6" w14:textId="77777777" w:rsidR="00A8138F" w:rsidRDefault="00A8138F" w:rsidP="00A8138F">
      <w:pPr>
        <w:pStyle w:val="TextoNormal"/>
      </w:pPr>
      <w:r>
        <w:t>En ocasiones, aunque no siempre, las noticias así adquiridas son publicadas sin introducir ninguna modificación con indicación de la fuente, es decir, la agencia de información que las ha generado. Y es precisamente en estos casos cuando puede plantearse la eventual aplicación de la doctrina del reportaje neutral si la noticia resultara lesiva de alguno de los de</w:t>
      </w:r>
      <w:r>
        <w:lastRenderedPageBreak/>
        <w:t>rechos fundamentales reconocidos en el art. 18.1 CE. Sobre esta cuestión no ha existido hasta el momento un pronunciamiento específico del Tribunal.</w:t>
      </w:r>
    </w:p>
    <w:p w14:paraId="64542A7D" w14:textId="77777777" w:rsidR="00A8138F" w:rsidRDefault="00A8138F" w:rsidP="00A8138F">
      <w:pPr>
        <w:pStyle w:val="TextoNormal"/>
      </w:pPr>
    </w:p>
    <w:p w14:paraId="66EA3BEF" w14:textId="77777777" w:rsidR="00A8138F" w:rsidRDefault="00A8138F" w:rsidP="00A8138F">
      <w:pPr>
        <w:pStyle w:val="TextoNormal"/>
      </w:pPr>
      <w:r>
        <w:t>En las noticias procedentes de agencias de información pueden concurrir algunos de los elementos caracterizadores del reportaje neutral, siempre que el medio de comunicación indique la fuente o autor de la noticia —la agencia—, y esta se publique tal y como se haya recibido de la agencia, es decir, que no haya habido reelaboración propia del medio. Sin embargo, las diferencias surgen porque la doctrina del reportaje neutral solo es aplicable a los casos en los que las informaciones u opiniones controvertidas son transcripciones, o quien las divulga afirma que lo son, de lo dicho o escrito por un tercero (STC 43/2004, de 23 de marzo, FJ 2), lo que no viene a coincidir exactamente con los casos de difusión de una noticia elaborada por una agencia de información.</w:t>
      </w:r>
    </w:p>
    <w:p w14:paraId="7B66BCCA" w14:textId="77777777" w:rsidR="00A8138F" w:rsidRDefault="00A8138F" w:rsidP="00A8138F">
      <w:pPr>
        <w:pStyle w:val="TextoNormal"/>
      </w:pPr>
    </w:p>
    <w:p w14:paraId="626ED986" w14:textId="77777777" w:rsidR="00A8138F" w:rsidRDefault="00A8138F" w:rsidP="00A8138F">
      <w:pPr>
        <w:pStyle w:val="TextoNormal"/>
      </w:pPr>
      <w:r>
        <w:t xml:space="preserve">En caso de publicación de declaraciones de un tercero, la doctrina del reportaje neutral declara que el medio de comunicación no responde del contenido de la declaración, sino únicamente de la veracidad de que la declaración se ha producido. Como ya ha indicado el Tribunal, el medio de comunicación social ejerce su derecho a comunicar libremente información veraz al reproducir las declaraciones de otro, siempre que lo haga de manera neutral. El canon de veracidad en estos casos se cumple con la acreditación fehaciente de que lo transcrito existe y coincide fielmente con lo dicho o escrito por el tercero (STC 134/1999, de 15 de julio, FJ 4). Además, como ha precisado el Tribunal Europeo de Derechos Humanos, la sanción a un periodista por contribuir a la difusión de declaraciones hechas por otra persona en una entrevista obstaculizaría gravemente la contribución de la prensa a la discusión de cuestiones de interés público, y no deberían preverse sanciones salvo que existan motivos particularmente graves para ello, debiendo realizarse una distinción en función de si las declaraciones proceden del periodista o de si se trata de la cita textual de manifestaciones de otros (asuntos </w:t>
      </w:r>
      <w:r w:rsidRPr="00A8138F">
        <w:rPr>
          <w:i/>
        </w:rPr>
        <w:t>Jersild c. Dinamarca</w:t>
      </w:r>
      <w:r>
        <w:t xml:space="preserve">, § 35, y </w:t>
      </w:r>
      <w:r w:rsidRPr="00A8138F">
        <w:rPr>
          <w:i/>
        </w:rPr>
        <w:t>Pedersen y otros c. Dinamarca</w:t>
      </w:r>
      <w:r>
        <w:t>, § 77). En definitiva, la exclusión de la responsabilidad del medio de comunicación por el contenido de las declaraciones en el ámbito de la doctrina del reportaje neutral, encuentra su razón de ser en la contribución a la formación de una opinión pública libre, a través de la difusión de declaraciones de terceros con indicación de su autoría y sin reelaboración alguna.</w:t>
      </w:r>
    </w:p>
    <w:p w14:paraId="637FAAC2" w14:textId="77777777" w:rsidR="00A8138F" w:rsidRDefault="00A8138F" w:rsidP="00A8138F">
      <w:pPr>
        <w:pStyle w:val="TextoNormal"/>
      </w:pPr>
    </w:p>
    <w:p w14:paraId="125DEF49" w14:textId="77777777" w:rsidR="00A8138F" w:rsidRDefault="00A8138F" w:rsidP="00A8138F">
      <w:pPr>
        <w:pStyle w:val="TextoNormal"/>
      </w:pPr>
      <w:r>
        <w:t xml:space="preserve">Cuando un medio de comunicación difunde noticias elaboradas por una agencia de información, contribuye también a la formación de una opinión pública libre, teniendo en cuenta, además, que de este modo el medio de comunicación puede suplir las dificultades para producir sus propias noticias sobre lo que acontezca en cualquier momento y lugar. Pero, en este caso, aquello que se difunde sin elaboración propia y citando la fuente no se limita a la declaración de una persona, sino que se extiende a la noticia íntegra tal y como ha sido emitida por una agencia de información. Lo que se difunde citando la fuente es el producto del trabajo de otros profesionales de la comunicación, y su incidencia sobre la formación de una opinión pública libre no juega de la misma manera que la declaración de una persona. En este segundo caso, el sujeto que emite la declaración se convierte en objeto de la noticia y se requiere que el medio de comunicación acredite la conexión material de las declaraciones del tercero con el objeto del reportaje en el que tales declaraciones se integran (STC 134/1999, FJ 4). Por el contrario, la agencia de información es en sí misma ajena a la propia noticia; es quien la elabora, pero no se convierte en objeto de la noticia ni </w:t>
      </w:r>
      <w:r>
        <w:lastRenderedPageBreak/>
        <w:t>la protagoniza, sino que es su autora, sin perjuicio de que la transmisión y la difusión de la noticia queden en manos de otra entidad o profesional, como medio de comunicación.</w:t>
      </w:r>
    </w:p>
    <w:p w14:paraId="0D0930F9" w14:textId="77777777" w:rsidR="00A8138F" w:rsidRDefault="00A8138F" w:rsidP="00A8138F">
      <w:pPr>
        <w:pStyle w:val="TextoNormal"/>
      </w:pPr>
    </w:p>
    <w:p w14:paraId="459A9F2E" w14:textId="77777777" w:rsidR="00A8138F" w:rsidRDefault="00A8138F" w:rsidP="00A8138F">
      <w:pPr>
        <w:pStyle w:val="TextoNormal"/>
      </w:pPr>
      <w:r>
        <w:t>Mientras que la doctrina del reportaje neutral excluye la responsabilidad del medio por el contenido de la declaración, que forma parte de una noticia y contribuye a la formación de una opinión pública libre, una doctrina que excluyera siempre toda responsabilidad del medio de comunicación por el contenido de las noticias que difunde y que han sido elaboradas por agencias de información, aun cuando se cite la fuente y no se modifiquen, significaría amparar constitucionalmente la divulgación de cualquier información que se publique en tales circunstancias, lo que podría llegar a poner en riesgo el rigor informativo. Si se aceptara la aplicación de la doctrina del reportaje neutral a estos supuestos, se limitaría el canon de veracidad a la constatación de que la noticia procede de una agencia, de tal modo que el medio de comunicación podría publicar y difundir cualquier noticia de agencia sin revisar o supervisar su contenido, ni tener que responder de la veracidad de lo informado, sino solo de que procede de una agencia de información, incluso en el caso de que la noticia contuviera imprecisiones fácilmente perceptibles por cualquier profesional de la información, que pudieran constituir una vulneración de alguno de los derechos reconocidos en el art. 18.1 CE. Por ello, trasladar a este campo la doctrina del reportaje neutral conduciría a resultados no deseados.</w:t>
      </w:r>
    </w:p>
    <w:p w14:paraId="4C7FE496" w14:textId="77777777" w:rsidR="00A8138F" w:rsidRDefault="00A8138F" w:rsidP="00A8138F">
      <w:pPr>
        <w:pStyle w:val="TextoNormal"/>
      </w:pPr>
    </w:p>
    <w:p w14:paraId="07C89F83" w14:textId="77777777" w:rsidR="00A8138F" w:rsidRDefault="00A8138F" w:rsidP="00A8138F">
      <w:pPr>
        <w:pStyle w:val="TextoNormal"/>
      </w:pPr>
      <w:r>
        <w:t>Descartada la aplicación de la doctrina del reportaje neutral, para determinar la responsabilidad del medio de comunicación que difunde noticias adquiridas de una agencia de información, sin modificarlas y citando la fuente, hemos de partir de la idea general de que su derecho a la libertad de información queda sometido a los límites de interés público y veracidad.</w:t>
      </w:r>
    </w:p>
    <w:p w14:paraId="1F763D47" w14:textId="77777777" w:rsidR="00A8138F" w:rsidRDefault="00A8138F" w:rsidP="00A8138F">
      <w:pPr>
        <w:pStyle w:val="TextoNormal"/>
      </w:pPr>
    </w:p>
    <w:p w14:paraId="3ADDAF20" w14:textId="77777777" w:rsidR="00A8138F" w:rsidRDefault="00A8138F" w:rsidP="00A8138F">
      <w:pPr>
        <w:pStyle w:val="TextoNormal"/>
      </w:pPr>
      <w:r>
        <w:t>Respecto al interés o relevancia pública de la noticia, se justifica la difusión de aquellas noticias elaboradas por agencias de información sobre hechos noticiables, por su importancia para contribuir a la formación de una opinión pública libre, incluyendo, entre otros, los sucesos de relevancia penal (SSTC 178/1993, de 31 de mayo, FJ 4; 320/1994, de 28 de noviembre, FJ 3, y 139/2007, de 4 de junio, FJ 8). En cuanto al requisito de veracidad, no se identifica con la exigencia de una rigurosa y total exactitud en el contenido de la información. Se exige comprobar su realidad mediante las averiguaciones oportunas y propias de un profesional diligente, con independencia de que se incurra en errores circunstanciales que no afecten a la esencia de lo informado (SSTC 6/1988, de 21 de enero, FJ 5; 178/1993, de 31 de mayo, FJ 5; 158/2003, de 15 de septiembre, FJ 4, y 139/2007, de 4 de junio, FJ 9, entre otras).</w:t>
      </w:r>
    </w:p>
    <w:p w14:paraId="7FAC1CE7" w14:textId="77777777" w:rsidR="00A8138F" w:rsidRDefault="00A8138F" w:rsidP="00A8138F">
      <w:pPr>
        <w:pStyle w:val="TextoNormal"/>
      </w:pPr>
    </w:p>
    <w:p w14:paraId="277E683D" w14:textId="77777777" w:rsidR="00A8138F" w:rsidRDefault="00A8138F" w:rsidP="00A8138F">
      <w:pPr>
        <w:pStyle w:val="TextoNormal"/>
      </w:pPr>
      <w:r>
        <w:t>A su vez, es doctrina de este tribunal que la diligencia exigible al informador en la comprobación de los hechos depende de las características concretas de la comunicación de que se trate. Entre estos criterios se encuentra que la noticia divulgada pueda suponer un descrédito para la persona a la que se refiere la información, lo que lleva en tales casos a reconocer una especial intensidad al nivel de diligencia exigible. Pero también es un criterio para determinar el cumplimiento de este requisito constitucional que la fuente que proporciona la noticia reúna características objetivas que la hacen fidedigna, seria o fiable, así como las posibilidades efectivas de contrastarla (SSTC 158/2003, FJ 4; 53/2006, FJ 6, y 139/2007, FJ 9).</w:t>
      </w:r>
    </w:p>
    <w:p w14:paraId="1E7BB114" w14:textId="77777777" w:rsidR="00A8138F" w:rsidRDefault="00A8138F" w:rsidP="00A8138F">
      <w:pPr>
        <w:pStyle w:val="TextoNormal"/>
      </w:pPr>
    </w:p>
    <w:p w14:paraId="00FB62C9" w14:textId="77777777" w:rsidR="00A8138F" w:rsidRDefault="00A8138F" w:rsidP="00A8138F">
      <w:pPr>
        <w:pStyle w:val="TextoNormal"/>
      </w:pPr>
      <w:r>
        <w:lastRenderedPageBreak/>
        <w:t>Precisamente, en relación con el caso sometido a enjuiciamiento, no hay que perder de vista que, cuando el medio de comunicación adquiere noticias elaboradas por una agencia profesional del ámbito de la información, lo hace debido a sus dificultades técnicas y económicas para informar por sus propios medios de lo que sucede en todo momento y lugar. Un exceso en la exigencia de comprobación del contenido de la noticia por parte del informador, que pretendiera asegurar su total y rigurosa exactitud con la realidad, sin admitir errores circunstanciales que no afectaran a la esencia de lo informado constreñiría el ejercicio del derecho a la libertad de información en tales términos que produciría el efecto contrario al pretendido, y se traduciría en una traba no suficientemente justificada para que esta información llegara de manera fluida al público, con el efecto de dificultar la formación de una opinión pública libre.</w:t>
      </w:r>
    </w:p>
    <w:p w14:paraId="4E40E512" w14:textId="77777777" w:rsidR="00A8138F" w:rsidRDefault="00A8138F" w:rsidP="00A8138F">
      <w:pPr>
        <w:pStyle w:val="TextoNormal"/>
      </w:pPr>
    </w:p>
    <w:p w14:paraId="1076B5B3" w14:textId="77777777" w:rsidR="00A8138F" w:rsidRDefault="00A8138F" w:rsidP="00A8138F">
      <w:pPr>
        <w:pStyle w:val="TextoNormal"/>
      </w:pPr>
      <w:r>
        <w:t>Por ello, es un elemento relevante en estos casos para determinar el canon de veracidad, atender a la fuente que ha suministrado la noticia. Y con relación a la fuente, este tribunal ha declarado que, si reúne características objetivas que la hacen fidedigna, seria o fiable, puede no ser necesaria mayor comprobación que la exactitud de la fuente, máxime si es mencionada en la propia información (STC 158/2003, FJ 5). En este sentido, la STC 178/1993, FJ 5, consideró respecto de la publicación de una nota de prensa por un medio de comunicación que “no es pensable que se le pueda exigir el contraste de la información con otras fuentes, sino solo la seguridad de que la fuente era el órgano que se dice”, para añadir que “[c]uestión distinta, ajena sin embargo al presente proceso, es el juicio sobre el contenido de la nota misma facilitada por la autoridad pública, y sobre su actuación negligente o irresponsable en la comunicación de lo informado”.</w:t>
      </w:r>
    </w:p>
    <w:p w14:paraId="711E1E14" w14:textId="77777777" w:rsidR="00A8138F" w:rsidRDefault="00A8138F" w:rsidP="00A8138F">
      <w:pPr>
        <w:pStyle w:val="TextoNormal"/>
      </w:pPr>
    </w:p>
    <w:p w14:paraId="0EBEEC6D" w14:textId="77777777" w:rsidR="00A8138F" w:rsidRDefault="00A8138F" w:rsidP="00A8138F">
      <w:pPr>
        <w:pStyle w:val="TextoNormal"/>
      </w:pPr>
      <w:r>
        <w:t>No obstante, en los casos de publicación de noticias emitidas por agencias, en los que se cita la fuente y sin proceder a una reelaboración propia de la información recibida, presenta algunos matices distintos a la citada STC 178/1993, porque en ella la fuente era el gabinete de información de un comandancia de la Guardia Civil, cuya proximidad a la investigación oficial de los hechos difundidos podía entenderse de la suficiente intensidad como para no necesitar la comprobación por otras vías (FJ 5). Una proximidad tan intensa con los hechos de la noticia no concurre en el caso de las agencias de información. Aunque, al mismo tiempo, en casos como el ahora analizado, el requisito de la veracidad de la información no puede desconocer el rigor informativo de los agentes profesionalizados de la información, como son las agencias de información, cuya fiabilidad no es parangonable a la desinformación que en ocasiones se extiende por obra de otros agentes, principalmente en el contexto digital. No obstante, tal fiabilidad de la fuente no puede llevar a eximir en estos casos a los medios de su deber de diligencia atendidas las circunstancias que en cada caso concurran. Tampoco se pueden desconocer las exigencias de agilidad en la transmisión de la información en la realidad actual. Para conciliar todos estos elementos, cuando la noticia que se transmita proceda de una agencia de información y se publique tal y como fue elaborada por la agencia con indicación de la fuente, la diligencia exigible al medio de comunicación en relación con el deber de respeto de los otros derechos fundamentales concernidos debe modularse en relación con las noticias obtenidas de fuentes con solvencia profesional, pero ello no puede llevar a prescindir absolutamente de dicho deber sobre las noticias publicadas.</w:t>
      </w:r>
    </w:p>
    <w:p w14:paraId="61A7A978" w14:textId="77777777" w:rsidR="00A8138F" w:rsidRDefault="00A8138F" w:rsidP="00A8138F">
      <w:pPr>
        <w:pStyle w:val="TextoNormal"/>
      </w:pPr>
    </w:p>
    <w:p w14:paraId="49959FDE" w14:textId="77777777" w:rsidR="00A8138F" w:rsidRDefault="00A8138F" w:rsidP="00A8138F">
      <w:pPr>
        <w:pStyle w:val="TextoNormal"/>
      </w:pPr>
      <w:r>
        <w:t>Es por lo que podemos afirmar que ni la doctrina del reportaje neutral puede suponer una coartada para la vulneración de derechos fundamentales, ni la publicación de noticias pro</w:t>
      </w:r>
      <w:r>
        <w:lastRenderedPageBreak/>
        <w:t>cedentes de agencias de información libera al medio de su deber de diligencia, aunque lo pueda moderar.</w:t>
      </w:r>
    </w:p>
    <w:p w14:paraId="33BDCCBA" w14:textId="77777777" w:rsidR="00A8138F" w:rsidRDefault="00A8138F" w:rsidP="00A8138F">
      <w:pPr>
        <w:pStyle w:val="TextoNormal"/>
      </w:pPr>
    </w:p>
    <w:p w14:paraId="6860737F" w14:textId="4D4FA55E" w:rsidR="00A8138F" w:rsidRDefault="00A8138F" w:rsidP="00A8138F">
      <w:pPr>
        <w:pStyle w:val="TextoNormal"/>
      </w:pPr>
      <w:r>
        <w:t>La fiabilidad de la fuente y la confianza derivada de su profesionalidad pueden justificar que el deber de comprobación sea menos exhaustivo que cuando la noticia procede de fuentes menos fiables, pero siempre debe existir. Como tiene declarado el Tribunal, no se puede reconocer protección constitucional a quien, defraudando el derecho de todos a recibir información veraz, actúe con menosprecio de la veracidad o falsedad de lo comunicado, comportándose de forma negligente e irresponsable (STC 158/2003, FJ 5). El medio de comunicación no debe hacer llegar al público noticias sin previo contraste, pues no debe contribuir a la difusión de informaciones falsas. Pero si el medio de comunicación publica una noticia adquirida de una agencia de información citando la fuente y sin modificarla, no responde de aquellos aspectos de su contenido de cuya veracidad no hubiera sido razonable dudar, lo que exige una ponderación de las circunstancias concretas de cada caso. El medio de comunicación actúa en este caso como mero transmisor de la noticia elaborada por un tercero al que cita como fuente y en cuya profesionalidad se confía. Al difundir la noticia el medio de comunicación puede incurrir en responsabilidad si, desplegada la diligencia exigible a un profesional de la información, publica una noticia que debió advertir que vulnera los derechos fundamentales de terceros y, por tanto, que no debió publicar. Es por ello que en el caso de que el medio señale directamente a la agencia de información como autora de la noticia, que se publica sin modificar ni asumir como propia, es razonable una cierta modulación, aunque no exclusión, de la diligencia exigible y consiguientemente de su responsabilidad. Esta se determinará atendiendo al deber de diligencia predicable conforme a las circunstancias concretas que concurran.</w:t>
      </w:r>
    </w:p>
    <w:p w14:paraId="0EB53CC0" w14:textId="77777777" w:rsidR="00A8138F" w:rsidRDefault="00A8138F" w:rsidP="00A8138F">
      <w:pPr>
        <w:pStyle w:val="TextoNormal"/>
      </w:pPr>
    </w:p>
    <w:p w14:paraId="08BEB113" w14:textId="77777777" w:rsidR="00A8138F" w:rsidRDefault="00A8138F" w:rsidP="00A8138F">
      <w:pPr>
        <w:pStyle w:val="TextoNormal"/>
      </w:pPr>
      <w:r w:rsidRPr="00A8138F">
        <w:rPr>
          <w:rStyle w:val="NumeroAFNegritaCaracter"/>
        </w:rPr>
        <w:t>4</w:t>
      </w:r>
      <w:r>
        <w:t xml:space="preserve">. </w:t>
      </w:r>
      <w:r w:rsidRPr="00A8138F">
        <w:rPr>
          <w:i/>
        </w:rPr>
        <w:t>La libertad de información frente a los derechos al honor y a la propia imagen en el caso enjuiciado</w:t>
      </w:r>
    </w:p>
    <w:p w14:paraId="7276A0D9" w14:textId="77777777" w:rsidR="00A8138F" w:rsidRDefault="00A8138F" w:rsidP="00A8138F">
      <w:pPr>
        <w:pStyle w:val="TextoNormal"/>
      </w:pPr>
    </w:p>
    <w:p w14:paraId="2A8A232D" w14:textId="77777777" w:rsidR="00A8138F" w:rsidRDefault="00A8138F" w:rsidP="00A8138F">
      <w:pPr>
        <w:pStyle w:val="TextoNormal"/>
      </w:pPr>
      <w:r>
        <w:t>En los procesos de amparo que tienen por objeto derechos fundamentales sustantivos, el enjuiciamiento del Tribunal no se limita a evaluar la adecuación argumental, la razonabilidad o la suficiente motivación de las resoluciones judiciales impugnadas en amparo. Como ha indicado de forma reiterada, su función no se circunscribe en estos casos a realizar un mero juicio externo de las resoluciones dictadas por los jueces y tribunales ordinarios, sino que, con vinculación a los hechos declarados probados en la vía judicial —acerca de los cuales este Tribunal Constitucional, según nuestra propia Ley Orgánica, art. 44.1 b), en ningún caso entrará a conocer—, ha de aplicar las exigencias dimanantes de la Constitución para determinar si, al enjuiciarlos, han sido respetadas o no, aunque para este fin sea preciso utilizar criterios distintos de los aplicados en la instancia judicial [SSTC 25/2019, de 25 de febrero, FJ 2 g); 93/2021, de 10 de mayo, FJ 3; 8/2022, de 27 de enero, FJ 4, y la jurisprudencia allí citada].</w:t>
      </w:r>
    </w:p>
    <w:p w14:paraId="56E3EF11" w14:textId="77777777" w:rsidR="00A8138F" w:rsidRDefault="00A8138F" w:rsidP="00A8138F">
      <w:pPr>
        <w:pStyle w:val="TextoNormal"/>
      </w:pPr>
    </w:p>
    <w:p w14:paraId="59E2E6AB" w14:textId="77777777" w:rsidR="00A8138F" w:rsidRDefault="00A8138F" w:rsidP="00A8138F">
      <w:pPr>
        <w:pStyle w:val="TextoNormal"/>
      </w:pPr>
      <w:r>
        <w:t>En este caso, los hechos, que quedaron establecidos desde la sentencia dictada por el Juzgado de Primera Instancia núm. 7 de L´ Hospitalet de Llobregat, consistieron en que:</w:t>
      </w:r>
    </w:p>
    <w:p w14:paraId="628A224F" w14:textId="77777777" w:rsidR="00A8138F" w:rsidRDefault="00A8138F" w:rsidP="00A8138F">
      <w:pPr>
        <w:pStyle w:val="TextoNormal"/>
      </w:pPr>
    </w:p>
    <w:p w14:paraId="36EDC52A" w14:textId="77777777" w:rsidR="00A8138F" w:rsidRDefault="00A8138F" w:rsidP="00A8138F">
      <w:pPr>
        <w:pStyle w:val="TextoNormal"/>
      </w:pPr>
      <w:r>
        <w:t xml:space="preserve">Por el medio demandado se difundieron unas imágenes del señor Opazos, boxeador </w:t>
      </w:r>
      <w:r w:rsidRPr="00A8138F">
        <w:rPr>
          <w:i/>
        </w:rPr>
        <w:t>amateur</w:t>
      </w:r>
      <w:r>
        <w:t xml:space="preserve">, ilustrando la noticia del asesinato de un recluso en la cárcel de Soto del Real, cometido por otro boxeador apodado “el Nene” (de nombre José María Romero), también recluso en dicha prisión, ocurrido el 26 de diciembre de 2018. El titular de la noticia era el siguiente: </w:t>
      </w:r>
      <w:r>
        <w:lastRenderedPageBreak/>
        <w:t xml:space="preserve">“ՙEl Nene՚ mata a golpes a un traficante de drogas por una litera”; la noticia se transmitió mientras se exhibía la imagen del señor Opazos subido a un </w:t>
      </w:r>
      <w:r w:rsidRPr="00A8138F">
        <w:rPr>
          <w:i/>
        </w:rPr>
        <w:t>ring</w:t>
      </w:r>
      <w:r>
        <w:t>.</w:t>
      </w:r>
    </w:p>
    <w:p w14:paraId="6B5C5484" w14:textId="77777777" w:rsidR="00A8138F" w:rsidRDefault="00A8138F" w:rsidP="00A8138F">
      <w:pPr>
        <w:pStyle w:val="TextoNormal"/>
      </w:pPr>
    </w:p>
    <w:p w14:paraId="43DB403B" w14:textId="77777777" w:rsidR="00A8138F" w:rsidRDefault="00A8138F" w:rsidP="00A8138F">
      <w:pPr>
        <w:pStyle w:val="TextoNormal"/>
      </w:pPr>
      <w:r>
        <w:t>A ello se debe añadir como hechos no controvertidos: (i) que el señor Opazos no prestó su consentimiento en la utilización de su imagen; (ii) que la noticia transmitida por Diario ABC, S.L., fue elaborada, montada y locutada por una agencia de noticias cuya profesionalidad no se cuestiona y (iii) finalmente, que el material informativo editado contenía dos imágenes la del señor Opazos y la de José Maria Romero.</w:t>
      </w:r>
    </w:p>
    <w:p w14:paraId="11C043CB" w14:textId="77777777" w:rsidR="00A8138F" w:rsidRDefault="00A8138F" w:rsidP="00A8138F">
      <w:pPr>
        <w:pStyle w:val="TextoNormal"/>
      </w:pPr>
    </w:p>
    <w:p w14:paraId="6F51951E" w14:textId="77777777" w:rsidR="00A8138F" w:rsidRDefault="00A8138F" w:rsidP="00A8138F">
      <w:pPr>
        <w:pStyle w:val="TextoNormal"/>
      </w:pPr>
      <w:r>
        <w:t>En este caso, la sentencia recurrida en amparo apreció la vulneración de los derechos al honor y a la propia imagen por parte de quien ahora recurre en amparo, indicando que la misma no podía excusarse con sustento en la aplicación del reportaje neutral. Basó su decisión en la ponderación de varias circunstancias: (i) la extraordinaria gravedad del error que supuso identificar al señor Opazos con un homicida; (ii) el carácter innecesario de la utilización de la imagen del señor Opazos para difundir el contenido sustancial de la información; (iii) la utilización de la imagen desvinculada del contexto en el que se obtuvo y para fines totalmente diferentes y sin autorización del afectado.</w:t>
      </w:r>
    </w:p>
    <w:p w14:paraId="53DF5370" w14:textId="77777777" w:rsidR="00A8138F" w:rsidRDefault="00A8138F" w:rsidP="00A8138F">
      <w:pPr>
        <w:pStyle w:val="TextoNormal"/>
      </w:pPr>
    </w:p>
    <w:p w14:paraId="4C3B68F5" w14:textId="77777777" w:rsidR="00A8138F" w:rsidRDefault="00A8138F" w:rsidP="00A8138F">
      <w:pPr>
        <w:pStyle w:val="TextoNormal"/>
      </w:pPr>
      <w:r>
        <w:t xml:space="preserve">En tal sentido el Tribunal Supremo razonó que, pese a la brevedad de las imágenes, se mostraba en ellas al señor Opazos en el interior de un </w:t>
      </w:r>
      <w:r w:rsidRPr="00A8138F">
        <w:rPr>
          <w:i/>
        </w:rPr>
        <w:t>ring</w:t>
      </w:r>
      <w:r>
        <w:t xml:space="preserve"> con atuendo de boxeador y el puño en alto, levantado en signo de victoria, y tales imágenes se insertaron en el contexto de la muerte de un recluso por una paliza propinada por otro preso, al tiempo que se oía una voz en </w:t>
      </w:r>
      <w:r w:rsidRPr="00A8138F">
        <w:rPr>
          <w:i/>
        </w:rPr>
        <w:t>off</w:t>
      </w:r>
      <w:r>
        <w:t xml:space="preserve"> diciendo “así se presenta ‘el Nene’ este campeón de </w:t>
      </w:r>
      <w:r w:rsidRPr="00A8138F">
        <w:rPr>
          <w:i/>
        </w:rPr>
        <w:t>muay thai</w:t>
      </w:r>
      <w:r>
        <w:t xml:space="preserve"> que mató a golpes a su compañero de celda por una litera”, siendo una imagen clara, no accesoria y 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w:t>
      </w:r>
    </w:p>
    <w:p w14:paraId="2828CF0E" w14:textId="77777777" w:rsidR="00A8138F" w:rsidRDefault="00A8138F" w:rsidP="00A8138F">
      <w:pPr>
        <w:pStyle w:val="TextoNormal"/>
      </w:pPr>
    </w:p>
    <w:p w14:paraId="573988D2" w14:textId="77777777" w:rsidR="00A8138F" w:rsidRDefault="00A8138F" w:rsidP="00A8138F">
      <w:pPr>
        <w:pStyle w:val="TextoNormal"/>
      </w:pPr>
      <w:r>
        <w:t>Basándonos en los hechos probados debemos confirmar el juicio de ponderación entre el derecho a “comunicar información veraz”, reconocido en el art. 20.1 d) de la Constitución Española, y el derecho al honor y a la propia imagen protegido por el art. 18.1 de la misma norma, realizado en la sentencia del Tribunal Supremo ahora impugnada.</w:t>
      </w:r>
    </w:p>
    <w:p w14:paraId="7FB12A34" w14:textId="77777777" w:rsidR="00A8138F" w:rsidRDefault="00A8138F" w:rsidP="00A8138F">
      <w:pPr>
        <w:pStyle w:val="TextoNormal"/>
      </w:pPr>
    </w:p>
    <w:p w14:paraId="346F167E" w14:textId="77777777" w:rsidR="00A8138F" w:rsidRDefault="00A8138F" w:rsidP="00A8138F">
      <w:pPr>
        <w:pStyle w:val="TextoNormal"/>
      </w:pPr>
      <w:r>
        <w:t>En tal sentido varios son los elementos que deben tomarse en consideración para refrendar la valoración efectuada en la sentencia recurrida y apreciar que la falta de diligencia del medio de comunicación derivó en una intromisión ilegítima en el derecho a la imagen y el honor del señor Opazos, lo que justifica su reparación conforme a la Ley Orgánica 1/1982:</w:t>
      </w:r>
    </w:p>
    <w:p w14:paraId="443F8992" w14:textId="77777777" w:rsidR="00A8138F" w:rsidRDefault="00A8138F" w:rsidP="00A8138F">
      <w:pPr>
        <w:pStyle w:val="TextoNormal"/>
      </w:pPr>
    </w:p>
    <w:p w14:paraId="0E583792" w14:textId="77777777" w:rsidR="00A8138F" w:rsidRDefault="00A8138F" w:rsidP="00A8138F">
      <w:pPr>
        <w:pStyle w:val="TextoNormal"/>
      </w:pPr>
      <w:r>
        <w:t xml:space="preserve">a) Ausencia de consentimiento para la utilización de la imagen del señor Opazos en el vídeo: debe recordarse que el derecho de la persona a la protección de su imagen constituye “uno de los requisitos esenciales de su desarrollo personal. Presupone principalmente el control de la persona sobre su imagen, que comprende concretamente la posibilidad para esta de negarse a su divulgación” (STEDH de 7 de febrero de 2012, asunto </w:t>
      </w:r>
      <w:r w:rsidRPr="00A8138F">
        <w:rPr>
          <w:i/>
        </w:rPr>
        <w:t>Von Hannover c. Alemania</w:t>
      </w:r>
      <w:r>
        <w:t xml:space="preserve"> —núm. 2— § 96). En tal sentido, hemos afirmado, que “[e]l titular del derecho fundamental debe autorizar el concreto acto de utilización de su imagen y los fines para los que la otorga. El consentimiento prestado, por ejemplo, para la captación de la imagen no se extiende a otros actos posteriores, como por ejemplo su publicación o difusión. De la misma manera debe entenderse que la autorización de una concreta publicación no se ex</w:t>
      </w:r>
      <w:r>
        <w:lastRenderedPageBreak/>
        <w:t>tiende a otras, ya tengan la misma o diversa finalidad que la primigenia.” (STC 27/2020, de 24 de febrero, FJ 4).</w:t>
      </w:r>
    </w:p>
    <w:p w14:paraId="04055DF5" w14:textId="77777777" w:rsidR="00A8138F" w:rsidRDefault="00A8138F" w:rsidP="00A8138F">
      <w:pPr>
        <w:pStyle w:val="TextoNormal"/>
      </w:pPr>
    </w:p>
    <w:p w14:paraId="3CCBB771" w14:textId="77777777" w:rsidR="00A8138F" w:rsidRDefault="00A8138F" w:rsidP="00A8138F">
      <w:pPr>
        <w:pStyle w:val="TextoNormal"/>
      </w:pPr>
      <w:r>
        <w:t>Diario ABC, S.L., debió advertir, conforme a una diligencia razonable, que en el vídeo montado y locutado, junto con la imagen del boxeador apodado “el Nene” se difundía la del señor Opazos captada en el contexto de un combate de boxeo. También debió percibir que la difusión de la misma, que carecía de cualquier interés en relación con la noticia que se transmitía, difícilmente podía haber sido consentida por el afectado atendido el contenido concreto del material informativo en que se insertaba y, consiguientemente, concluir con facilidad, sin mayores indagaciones, que su publicación suponía una injerencia injustificada en el derecho a la propia imagen del señor Opazos.</w:t>
      </w:r>
    </w:p>
    <w:p w14:paraId="08181D89" w14:textId="77777777" w:rsidR="00A8138F" w:rsidRDefault="00A8138F" w:rsidP="00A8138F">
      <w:pPr>
        <w:pStyle w:val="TextoNormal"/>
      </w:pPr>
    </w:p>
    <w:p w14:paraId="756B95BF" w14:textId="77777777" w:rsidR="00A8138F" w:rsidRDefault="00A8138F" w:rsidP="00A8138F">
      <w:pPr>
        <w:pStyle w:val="TextoNormal"/>
      </w:pPr>
      <w:r>
        <w:t>b) Falta de diligencia al comprobar la conexión entre la imagen y el contenido de la noticia. Por otra parte, el medio de comunicación, antes de tomar la decisión de transmitir la noticia, bien pudo percatarse de que la referida imagen del señor Opazos se asociaba a un titular: “ՙEl Nene՚ mata a golpes a un traficante de drogas por una litera”. De modo que era previsible que esa publicación conjunta de texto e imagen indujera a que el receptor de la información considerara erróneamente que la persona cuya imagen se difundía era la del protagonista de los hechos relatados en el reportaje de modo que, aunque estos fueran ciertos con carácter general, la información se convertía en inveraz al asociarse con la imagen del señor Opazos. La falta de diligencia no queda disminuida por la dificultad que podía tener el medio en conocer que la imagen del señor Opazos no se correspondía con la de “el Nene”, pues el vídeo contenía las imágenes de dos personas y una de ellas necesariamente no podía asociarse al titular.</w:t>
      </w:r>
    </w:p>
    <w:p w14:paraId="6D9D91E6" w14:textId="77777777" w:rsidR="00A8138F" w:rsidRDefault="00A8138F" w:rsidP="00A8138F">
      <w:pPr>
        <w:pStyle w:val="TextoNormal"/>
      </w:pPr>
    </w:p>
    <w:p w14:paraId="58BDDB8E" w14:textId="77777777" w:rsidR="00A8138F" w:rsidRDefault="00A8138F" w:rsidP="00A8138F">
      <w:pPr>
        <w:pStyle w:val="TextoNormal"/>
      </w:pPr>
      <w:r>
        <w:t xml:space="preserve">c) Naturaleza y gravedad de la intromisión y repercusiones de la publicación de la imagen para el interesado. El señor Opazos era un desconocido para el público general, de modo que la publicación de su fotografía puede considerarse una injerencia más importante que un reportaje escrito (STEDH de 7 de febrero de 2012, asunto </w:t>
      </w:r>
      <w:r w:rsidRPr="00A8138F">
        <w:rPr>
          <w:i/>
        </w:rPr>
        <w:t>Von Hannover c. Alemania</w:t>
      </w:r>
      <w:r>
        <w:t xml:space="preserve">, § 113) lo que comporta una mayor exigencia para el medio en la ponderación de los intereses en presencia. A ello se le añade que en este caso el deber de diligencia debe exigirse en su máxima intensidad, ya que la noticia que se transmitió suponía la atribución de la comisión de un delito (STC 21/2000, de 31 de enero, FJ 8). En tal sentido, “la salvaguardia que el art. 10 [CEDH] otorga a los periodistas en relación con la información sobre cuestiones de interés general está sujeta a la condición de que actúen de buena fe para proporcionar información precisa y fiable de acuerdo con la ética del periodismo” (STEDH de 19 de abril de 2011, asunto </w:t>
      </w:r>
      <w:r w:rsidRPr="00A8138F">
        <w:rPr>
          <w:i/>
        </w:rPr>
        <w:t>Bozhkov c. Bulgaria</w:t>
      </w:r>
      <w:r>
        <w:t>, § 46).</w:t>
      </w:r>
    </w:p>
    <w:p w14:paraId="4614A128" w14:textId="77777777" w:rsidR="00A8138F" w:rsidRDefault="00A8138F" w:rsidP="00A8138F">
      <w:pPr>
        <w:pStyle w:val="TextoNormal"/>
      </w:pPr>
    </w:p>
    <w:p w14:paraId="016006EC" w14:textId="77777777" w:rsidR="00A8138F" w:rsidRDefault="00A8138F" w:rsidP="00A8138F">
      <w:pPr>
        <w:pStyle w:val="TextoNormal"/>
      </w:pPr>
      <w:r>
        <w:t xml:space="preserve">d) Inexistencia de efecto disuasorio para el ejercicio del derecho de la libertad de información. La libertad de información de los periodistas garantiza que la cuantía de las indemnizaciones impuestas a las empresas de prensa no amenace sus bases económicas (STEDH de 26 de noviembre de 2013, asunto </w:t>
      </w:r>
      <w:r w:rsidRPr="00A8138F">
        <w:rPr>
          <w:i/>
        </w:rPr>
        <w:t>Błaja News Sp. z o. o. c. Polonia</w:t>
      </w:r>
      <w:r>
        <w:t>, § 71). En este caso, la cantidad indemnizatoria fijada, muy alejada de la peticionada por el afectado, carece de efecto disuasorio alguno. No se aprecia que la indemnización fijada, atendida su cuantía, pueda tener un impacto en la función que le corresponde a los medios de comunicación en general de difundir informaciones.</w:t>
      </w:r>
    </w:p>
    <w:p w14:paraId="0E37AB13" w14:textId="77777777" w:rsidR="00A8138F" w:rsidRDefault="00A8138F" w:rsidP="00A8138F">
      <w:pPr>
        <w:pStyle w:val="TextoNormal"/>
      </w:pPr>
    </w:p>
    <w:p w14:paraId="2CFDDD4A" w14:textId="77777777" w:rsidR="00A8138F" w:rsidRDefault="00A8138F" w:rsidP="00A8138F">
      <w:pPr>
        <w:pStyle w:val="TextoNormal"/>
      </w:pPr>
      <w:r>
        <w:lastRenderedPageBreak/>
        <w:t>Por otra parte, tampoco cabe advertir que la intensidad del deber de diligencia exigido, concretado en la mera verificación del control externo del material informativo tal y como había sido editado por la agencia de noticias, pueda operar como factor disuasorio para que los medios de comunicación lleven a cabo su función de transmitir información al público o para que las agencias de noticias realicen su labor de servir como fuente de información, sino que contribuye a una efectiva tutela de los derechos al honor y a la propia imagen de los afectados.</w:t>
      </w:r>
    </w:p>
    <w:p w14:paraId="20303FD3" w14:textId="77777777" w:rsidR="00A8138F" w:rsidRDefault="00A8138F" w:rsidP="00A8138F">
      <w:pPr>
        <w:pStyle w:val="TextoNormal"/>
      </w:pPr>
    </w:p>
    <w:p w14:paraId="7626DEEB" w14:textId="77777777" w:rsidR="00A8138F" w:rsidRDefault="00A8138F" w:rsidP="00A8138F">
      <w:pPr>
        <w:pStyle w:val="TextoNormal"/>
      </w:pPr>
      <w:r>
        <w:t xml:space="preserve">En consecuencia, el Tribunal concluye que atendidas las circunstancias del caso el medio de comunicación no cumplió con la diligencia exigible antes de proceder a la transmisión del material informativo. Al medio de información, por razones obvias, le bastaba el mero visionado del contenido del vídeo para representarse que la asociación del titular “ՙEl Nene՚ mata a golpes a un traficante de drogas por una litera” a la imagen del señor Opazos en un </w:t>
      </w:r>
      <w:r w:rsidRPr="00A8138F">
        <w:rPr>
          <w:i/>
        </w:rPr>
        <w:t>ring</w:t>
      </w:r>
      <w:r>
        <w:t xml:space="preserve"> de boxeo afectaba seria e injustificadamente a su reputación. En definitiva, la actuación del medio de comunicación no puede entenderse amparada en su derecho fundamental a la libertad de información.</w:t>
      </w:r>
    </w:p>
    <w:p w14:paraId="3CFE995B" w14:textId="77777777" w:rsidR="00A8138F" w:rsidRDefault="00A8138F" w:rsidP="00A8138F">
      <w:pPr>
        <w:pStyle w:val="TextoNormal"/>
      </w:pPr>
    </w:p>
    <w:p w14:paraId="3E7276B8" w14:textId="0E4E0CBB" w:rsidR="00A8138F" w:rsidRDefault="00A8138F" w:rsidP="00A8138F">
      <w:pPr>
        <w:pStyle w:val="TextoNormal"/>
      </w:pPr>
      <w:r>
        <w:t>Por todo lo expuesto, ha de desestimarse el amparo solicitado por Diario ABC, S.L.</w:t>
      </w:r>
    </w:p>
    <w:p w14:paraId="53F6DE01" w14:textId="77777777" w:rsidR="00A8138F" w:rsidRDefault="00A8138F" w:rsidP="00A8138F">
      <w:pPr>
        <w:pStyle w:val="TextoNormal"/>
      </w:pPr>
    </w:p>
    <w:p w14:paraId="67E3DD0C" w14:textId="77777777" w:rsidR="00A8138F" w:rsidRDefault="00A8138F" w:rsidP="00A8138F">
      <w:pPr>
        <w:pStyle w:val="TextoNormalCentrado"/>
        <w:keepNext/>
      </w:pPr>
      <w:r>
        <w:t>FALLO</w:t>
      </w:r>
    </w:p>
    <w:p w14:paraId="2DAA6903" w14:textId="7D8B6663" w:rsidR="00A8138F" w:rsidRDefault="00A8138F" w:rsidP="00A8138F">
      <w:pPr>
        <w:pStyle w:val="TextoNormalCentrado"/>
        <w:keepNext/>
      </w:pPr>
    </w:p>
    <w:p w14:paraId="4F5EF6C0" w14:textId="092CF0B4"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Diario ABC, S.L.</w:t>
      </w:r>
    </w:p>
    <w:p w14:paraId="50B9FE3D" w14:textId="77777777" w:rsidR="00A8138F" w:rsidRDefault="00A8138F" w:rsidP="00A8138F">
      <w:pPr>
        <w:pStyle w:val="TextoNormal"/>
      </w:pPr>
    </w:p>
    <w:p w14:paraId="00C4616E" w14:textId="77777777" w:rsidR="00A8138F" w:rsidRDefault="00A8138F" w:rsidP="00A8138F">
      <w:pPr>
        <w:pStyle w:val="TextoNormal"/>
      </w:pPr>
      <w:r>
        <w:t>Publíquese esta sentencia en el “Boletín Oficial del Estado”.</w:t>
      </w:r>
    </w:p>
    <w:p w14:paraId="3D652309" w14:textId="77777777" w:rsidR="00A8138F" w:rsidRDefault="00A8138F" w:rsidP="00A8138F">
      <w:pPr>
        <w:pStyle w:val="TextoNormal"/>
      </w:pPr>
      <w:r>
        <w:t>Dada en Madrid, a once de marzo de dos mil veinticinco.</w:t>
      </w:r>
    </w:p>
    <w:p w14:paraId="6A666481" w14:textId="08DA6519" w:rsidR="00A8138F" w:rsidRDefault="00A8138F" w:rsidP="00A8138F">
      <w:pPr>
        <w:pStyle w:val="ParrafoNormal"/>
      </w:pPr>
    </w:p>
    <w:p w14:paraId="5A8B9A5B" w14:textId="77777777" w:rsidR="00A8138F" w:rsidRDefault="00A8138F" w:rsidP="00A8138F">
      <w:pPr>
        <w:pStyle w:val="TextoNormalNegritaCentrado"/>
        <w:keepNext/>
      </w:pPr>
      <w:r>
        <w:t>Voto particular que formula la magistrada doña María Luisa Balaguer Callejón a la sentencia dictada en el recurso de amparo núm. 6890-2023</w:t>
      </w:r>
    </w:p>
    <w:p w14:paraId="559A07AC" w14:textId="11252F13" w:rsidR="00A8138F" w:rsidRDefault="00A8138F" w:rsidP="00A8138F">
      <w:pPr>
        <w:pStyle w:val="TextoNormalNegritaCentrado"/>
        <w:keepNext/>
      </w:pPr>
    </w:p>
    <w:p w14:paraId="75453DB7" w14:textId="77777777" w:rsidR="00A8138F" w:rsidRDefault="00A8138F" w:rsidP="00A8138F">
      <w:pPr>
        <w:pStyle w:val="TextoNormal"/>
      </w:pPr>
      <w:r>
        <w:t>En ejercicio de la facultad que me confiere el art. 90.2 de la Ley Orgánica del Tribunal Constitucional (LOTC), y con pleno respeto a la opinión de la mayoría reflejada en la sentencia, formulo el presente voto, dejando constancia sucintamente de los fundamentos de mi posición, que, aunque concurre con el fallo desestimatorio, discrepa de una parte de los razonamientos que lo sustentan.</w:t>
      </w:r>
    </w:p>
    <w:p w14:paraId="2BB77E2B" w14:textId="77777777" w:rsidR="00A8138F" w:rsidRDefault="00A8138F" w:rsidP="00A8138F">
      <w:pPr>
        <w:pStyle w:val="TextoNormal"/>
      </w:pPr>
    </w:p>
    <w:p w14:paraId="3065AC3E" w14:textId="77777777" w:rsidR="00A8138F" w:rsidRDefault="00A8138F" w:rsidP="00A8138F">
      <w:pPr>
        <w:pStyle w:val="TextoNormal"/>
      </w:pPr>
      <w:r>
        <w:t xml:space="preserve">Así, considero que de forma implícita la sentencia asume que la agencia de información y el medio de comunicación no comparten la misma naturaleza como empresas periodísticas, y de tal presupuesto, se deriva en la fundamentación un trato diferenciado a la agencia de información, que se presenta como una suerte de fuente privilegiada, del medio de comunicación que publica la noticia elaborada por la agencia. Pero las agencias no son fuentes periodísticas, sino empresas periodísticas. Aquí es donde debo remitirme al art. 43 y siguientes de la Ley de prensa e imprenta, Ley 14/1966, de 18 de marzo, que define a las agencias informativas como “empresas que se dediquen en forma habitual a proporcionar noticias, colaboraciones, fotografías y cualesquiera otros elementos informativos”. Que el material distribuido por las agencias de información deba contener la indicación o sigla que </w:t>
      </w:r>
      <w:r>
        <w:lastRenderedPageBreak/>
        <w:t>las identifique (art. 47 de la Ley de prensa), permite caracterizarlas como génesis de la información que, posteriormente, pueden distribuir otros medios. Y esa exigencia de identificación, derivada de la ley, permite inferir que no se trata de fuentes periodísticas en sentido propio, como también parece deslizar la sentencia en ese fundamento jurídico tercero. Ni se trata de fuentes a las que se pueda aplicar la teoría del reportaje neutral, ni se trata de agentes inocuos en el proceso informativo, que puedan permanecer al margen de todo un elenco de responsabilidades y obligaciones informativas.</w:t>
      </w:r>
    </w:p>
    <w:p w14:paraId="1B151216" w14:textId="77777777" w:rsidR="00A8138F" w:rsidRDefault="00A8138F" w:rsidP="00A8138F">
      <w:pPr>
        <w:pStyle w:val="TextoNormal"/>
      </w:pPr>
    </w:p>
    <w:p w14:paraId="41850CF3" w14:textId="77777777" w:rsidR="00A8138F" w:rsidRDefault="00A8138F" w:rsidP="00A8138F">
      <w:pPr>
        <w:pStyle w:val="TextoNormal"/>
      </w:pPr>
      <w:r>
        <w:t>A esta misma conclusión conduce el análisis del Reglamento europeo sobre la libertad de los medios de comunicación [Reglamento (UE) 2024/1083, de 11 de abril de 2024], que no distingue entre agencias periodísticas y otros medios de comunicación, unificando la terminología bajo el apelativo común de “prestadores de servicios de medios de comunicación”, identificando como tales a las personas físicas o jurídicas cuya actividad profesional sea prestar un servicio de medios de comunicación y que ostenta la responsabilidad editorial sobre la elección del contenido del servicio de medios de comunicación y determina la manera en que se organiza. En suma, agencias y periódicos, que son los medios que interesan al presente recurso de amparo, pueden ser identificados ambos como prestadores de servicios de medios de comunicación, y por tanto se sujetan a las mismas obligaciones y a los mismos derechos en el desarrollo de su papel esencial como garantes del pluralismo y pilares principales de la democracia y el Estado de Derecho.</w:t>
      </w:r>
    </w:p>
    <w:p w14:paraId="69678754" w14:textId="77777777" w:rsidR="00A8138F" w:rsidRDefault="00A8138F" w:rsidP="00A8138F">
      <w:pPr>
        <w:pStyle w:val="TextoNormal"/>
      </w:pPr>
    </w:p>
    <w:p w14:paraId="07B39ECF" w14:textId="77777777" w:rsidR="00A8138F" w:rsidRDefault="00A8138F" w:rsidP="00A8138F">
      <w:pPr>
        <w:pStyle w:val="TextoNormal"/>
      </w:pPr>
      <w:r>
        <w:t>En este marco, la agencia Atlas, que proporciona la noticia controvertida en la instancia y que da lugar al presente recurso de amparo, asume que es una prestadora de servicios de medios de comunicación integrada en el Grupo Audiovisual Mediaset España Comunicación, S.A.U., y lo hace de modo expreso desde que el aviso legal de su página web facilita una serie de datos sobre la empresa “[e]n cumplimiento con el deber de información recogido en el artículo 10 de la Ley 34/2002, de 11 de julio, de servicios de la sociedad de la información y el comercio electrónico y el artículo 4, apartado cuatro de la Ley 56/2007, de 28 de diciembre, de medidas de impulso de la sociedad de la información”. Esta ley, que deberá ser adaptada en su momento al Reglamento europeo de servicios digitales [Reglamento (UE) 2022/2065, de 19 de octubre de 2022], debe ser interpretada de forma coherente con las previsiones del Derecho de la Unión. Y en el marco del Derecho europeo parece claro que los prestadores de servicios de medios de comunicación y los prestadores de servicios digitales, en particular si son sociedades mercantiles privadas, se ajustan al mismo marco regulatorio, independientemente de que adopten la forma específica de agencias de noticias, de periódicos, de televisiones, de radios o de plataformas de noticias.</w:t>
      </w:r>
    </w:p>
    <w:p w14:paraId="0130C295" w14:textId="77777777" w:rsidR="00A8138F" w:rsidRDefault="00A8138F" w:rsidP="00A8138F">
      <w:pPr>
        <w:pStyle w:val="TextoNormal"/>
      </w:pPr>
    </w:p>
    <w:p w14:paraId="19AB1EFA" w14:textId="77777777" w:rsidR="00A8138F" w:rsidRDefault="00A8138F" w:rsidP="00A8138F">
      <w:pPr>
        <w:pStyle w:val="TextoNormal"/>
      </w:pPr>
      <w:r>
        <w:t>En síntesis, una agencia de noticias no es fuente informativa para un medio de comunicación. Es un medio de comunicación. Y la argumentación de la sentencia es realmente ambigua a este respecto, porque a pesar de descartar la proyección de la doctrina del reportaje neutral a las informaciones elaboradas por una agencia, se refiere a la difusión inmodificada y cita de la fuente como un elemento que podría mediatizar los requerimientos constitucionales de diligencia en el contraste de la información, requerimientos exigidos para sostener la veracidad de una información.</w:t>
      </w:r>
    </w:p>
    <w:p w14:paraId="4FD12577" w14:textId="77777777" w:rsidR="00A8138F" w:rsidRDefault="00A8138F" w:rsidP="00A8138F">
      <w:pPr>
        <w:pStyle w:val="TextoNormal"/>
      </w:pPr>
    </w:p>
    <w:p w14:paraId="51EC8564" w14:textId="77777777" w:rsidR="00A8138F" w:rsidRDefault="00A8138F" w:rsidP="00A8138F">
      <w:pPr>
        <w:pStyle w:val="TextoNormal"/>
      </w:pPr>
      <w:r>
        <w:t xml:space="preserve">Dice la sentencia que, como los medios de comunicación acuden a las agencias de noticias por dificultades técnicas y/o económicas que les impiden elaborar sus propias informaciones, “[u]n exceso en la exigencia de comprobación del contenido de la noticia por parte </w:t>
      </w:r>
      <w:r>
        <w:lastRenderedPageBreak/>
        <w:t>del informador, que pretendiera asegurar su total y rigurosa exactitud con la realidad, sin admitir errores circunstanciales que no afectaran a la esencia de lo informado, constreñiría el ejercicio del derecho a la libertad de información en tales términos que produciría el efecto contrario al pretendido, y se traduciría en una traba no suficientemente justificada para que esta información llegara de manera fluida al público, con el efecto de dificultar la formación de una opinión pública libre”. El modo en que se expone este párrafo parece sustentar, de forma implícita, una rebaja del deber de diligencia exigido al informador. Esa obligación nunca ha exigido una rigurosa y total exactitud del contenido de la información. Tampoco ahora. Pero tal y como se expresa en el párrafo transcrito, un lector superficial podría entender que la debida diligencia exigible a los informadores que trabajan en una agencia y, por tanto, a la agencia, es más laxa que la exigible a un medio de comunicación que elaborase sus propias informaciones. O, aún peor, podría entenderse que el medio que difunde una información de agencia no tiene el mandato de debida diligencia, o este queda diluido de algún modo porque la noticia procede de otro informador y hay que presuponer, por ello, la veracidad.</w:t>
      </w:r>
    </w:p>
    <w:p w14:paraId="40D0FA31" w14:textId="77777777" w:rsidR="00A8138F" w:rsidRDefault="00A8138F" w:rsidP="00A8138F">
      <w:pPr>
        <w:pStyle w:val="TextoNormal"/>
      </w:pPr>
    </w:p>
    <w:p w14:paraId="7F236BF8" w14:textId="77777777" w:rsidR="00A8138F" w:rsidRDefault="00A8138F" w:rsidP="00A8138F">
      <w:pPr>
        <w:pStyle w:val="TextoNormal"/>
      </w:pPr>
      <w:r>
        <w:t>La sentencia incide en esta confusión cuando se refiere a la doctrina constitucional sobre la suficiencia de la comprobación de la exactitud de la fuente en base a las características objetivas que la hacen fidedigna, seria o fiable, pero no desarrolla el argumento y, de nuevo, trata a la agencia como una fuente, cuando, como he insistido previamente, no lo es. En este punto el pronunciamiento aprobado por el Pleno resulta en una argumentación contradictoria. Por un lado, se advierte de que las agencias de noticias no son tan fiables como para eximir a los medios de comunicación y difusión de su deber profesional de diligencia en la comprobación de la veracidad. Pero, al mismo tiempo, se afirma que “[l]a fiabilidad de la fuente y la confianza derivada de su profesionalidad pueden justificar que el deber de comprobación sea menos exhaustivo que cuando la noticia procede de fuentes menos fiables, pero siempre debe existir”.</w:t>
      </w:r>
    </w:p>
    <w:p w14:paraId="3C6F9987" w14:textId="77777777" w:rsidR="00A8138F" w:rsidRDefault="00A8138F" w:rsidP="00A8138F">
      <w:pPr>
        <w:pStyle w:val="TextoNormal"/>
      </w:pPr>
    </w:p>
    <w:p w14:paraId="1DFB4714" w14:textId="77777777" w:rsidR="00A8138F" w:rsidRDefault="00A8138F" w:rsidP="00A8138F">
      <w:pPr>
        <w:pStyle w:val="TextoNormal"/>
      </w:pPr>
      <w:r>
        <w:t xml:space="preserve">A mi juicio, la doctrina derivada de esta sentencia debería haber sido mucho menos equívoca, y debería haber ido en el sentido de reconocer idéntica obligación de diligencia comprobatoria de la veracidad de la información para los profesionales de la agencia y para los profesionales del medio de comunicación que traslada la información elaborada por la agencia. Entenderlo de otro modo sería reconocer que la subcontratación o la delegación a profesionales terceros vinculados a una agencia o no vinculados a ninguna mercantil (los profesionales </w:t>
      </w:r>
      <w:r w:rsidRPr="00A8138F">
        <w:rPr>
          <w:i/>
        </w:rPr>
        <w:t>free lance</w:t>
      </w:r>
      <w:r>
        <w:t>) exime al medio de comunicación que difunde la información, y a través de quien va a llegar a la opinión pública esa información, de la obligación de realizar una labor de comprobación suficiente que permita oponer, a una eventual queja relativa a la afectación del derecho a la intimidad, un legítimo ejercicio del derecho a la información cubierto por la necesaria veracidad de la noticia distribuida. La opción que se desliza en la sentencia es una brecha abierta a la difusión, sin el contraste suficiente, de noticias elaboradas por prestadores de servicios de comunicación basadas en falsedades o en datos inciertos o, directamente, en bulos. De cara a los terceros interesados —ciudadanía, audiencias, protagonistas de las informaciones—, los medios de comunicación y de difusión son tan responsables como las agencias de asegurar la veracidad de lo que trasmiten, máxime si las informaciones en cuestión pueden afectar de forma muy incisiva, como es el caso del recurso de amparo que resuelve esta sentencia, en el derecho al honor, la intimidad y la propia imagen de una persona.</w:t>
      </w:r>
    </w:p>
    <w:p w14:paraId="4F4BA22A" w14:textId="77777777" w:rsidR="00A8138F" w:rsidRDefault="00A8138F" w:rsidP="00A8138F">
      <w:pPr>
        <w:pStyle w:val="TextoNormal"/>
      </w:pPr>
    </w:p>
    <w:p w14:paraId="7ADD2AF4" w14:textId="77777777" w:rsidR="00A8138F" w:rsidRDefault="00A8138F" w:rsidP="00A8138F">
      <w:pPr>
        <w:pStyle w:val="TextoNormal"/>
      </w:pPr>
      <w:r>
        <w:lastRenderedPageBreak/>
        <w:t>Por último, la sentencia hace depender la intensidad del control de veracidad residenciado en el medio de difusión de las circunstancias concretas del caso, estructura argumental esta que lleva, finalmente, a la desestimación del recurso de amparo. A mi juicio, esta dependencia de las circunstancias del caso asume una cierta labilidad del canon. La sentencia parece indicar que el deber de diligencia del medio de comunicación debería haber tenido en cuenta el contenido de la noticia transmitida por la gravedad de los hechos y el impacto en el recurrente en la instancia. Pero lo cierto es que el deber de diligencia es anterior a la difusión y a la constatación del eventual impacto individual o colectivo de una noticia, y el juicio formulado por la sentencia es una suerte de juicio retrospectivo que añade incertidumbre a las obligaciones exigibles a los medios y a las agencias de comunicación.</w:t>
      </w:r>
    </w:p>
    <w:p w14:paraId="6D9DF58F" w14:textId="77777777" w:rsidR="00A8138F" w:rsidRDefault="00A8138F" w:rsidP="00A8138F">
      <w:pPr>
        <w:pStyle w:val="TextoNormal"/>
      </w:pPr>
    </w:p>
    <w:p w14:paraId="75C5E13F" w14:textId="77777777" w:rsidR="00A8138F" w:rsidRDefault="00A8138F" w:rsidP="00A8138F">
      <w:pPr>
        <w:pStyle w:val="TextoNormal"/>
      </w:pPr>
      <w:r>
        <w:t>La proyección e incidencia de una noticia falsa no depende de la gravedad de la intromisión o de la trascendencia del contenido noticiable en sí mismo. La falsedad informativa es intrínsecamente grave porque afecta de manera directa a la formación de una opinión pública libre. Los medios de comunicación ya no son solo vigilantes de quien ejerce poder público, de las administraciones, de los Estados. Ahora están obligados a ser vigilantes de la fiabilidad del propio sistema informativo, donde también se ejerce poder. La sentencia de cuya argumentación discrepo ofrece un margen de actuación a los medios, suavizando implícitamente sus obligaciones de verificación cuando las noticias que difunden proceden de una agencia, que no se justifica en absoluto en el contexto informativo global donde la garantía de una opinión pública libre no pasa por minorar las exigencias a los medios para que difundan más noticias y más rápido. La garantía de una opinión pública realmente libre, exige ser particularmente rigurosos con la comprobación de la veracidad de lo que se transmite.</w:t>
      </w:r>
    </w:p>
    <w:p w14:paraId="33A08F50" w14:textId="77777777" w:rsidR="00A8138F" w:rsidRDefault="00A8138F" w:rsidP="00A8138F">
      <w:pPr>
        <w:pStyle w:val="TextoNormal"/>
      </w:pPr>
    </w:p>
    <w:p w14:paraId="31F9163E" w14:textId="656322AF" w:rsidR="00A8138F" w:rsidRDefault="00A8138F" w:rsidP="00A8138F">
      <w:pPr>
        <w:pStyle w:val="TextoNormal"/>
      </w:pPr>
      <w:r>
        <w:t>Madrid, a once de marzo de dos mil veinticinco.</w:t>
      </w:r>
    </w:p>
    <w:p w14:paraId="72127F02" w14:textId="77777777" w:rsidR="00A8138F" w:rsidRDefault="00A8138F" w:rsidP="00A8138F">
      <w:pPr>
        <w:pStyle w:val="TextoNormal"/>
      </w:pPr>
    </w:p>
    <w:p w14:paraId="33A46F25" w14:textId="77777777" w:rsidR="00A8138F" w:rsidRDefault="00A8138F" w:rsidP="00A8138F">
      <w:pPr>
        <w:pStyle w:val="TextoNormalNegritaCentrado"/>
        <w:keepNext/>
      </w:pPr>
      <w:r>
        <w:t>Voto particular que formulan los magistrados don Enrique Arnaldo Alcubilla, doña Concepción Espejel Jorquera y doña Laura Díez Bueso, a la sentencia de 11 de marzo de 2025 dictada por el Pleno en el recurso de amparo avocado núm. 6890-2023, que desestima el recurso interpuesto por Diario ABC, S.L., contra la sentencia núm. 1225/2023, de 13 de septiembre, dictada por la Sala de lo Civil del Tribunal Supremo</w:t>
      </w:r>
    </w:p>
    <w:p w14:paraId="5F820735" w14:textId="3E4D3985" w:rsidR="00A8138F" w:rsidRDefault="00A8138F" w:rsidP="00A8138F">
      <w:pPr>
        <w:pStyle w:val="TextoNormalNegritaCentrado"/>
        <w:keepNext/>
      </w:pPr>
    </w:p>
    <w:p w14:paraId="4B1085F5" w14:textId="77777777" w:rsidR="00A8138F" w:rsidRDefault="00A8138F" w:rsidP="00A8138F">
      <w:pPr>
        <w:pStyle w:val="TextoNormal"/>
      </w:pPr>
      <w:r>
        <w:t>En el ejercicio de la facultad conferida por el art. 90.2 LOTC y con respeto a la opinión de nuestros compañeros, formulamos el presente voto particular por discrepar del fallo y de parte de la fundamentación de la sentencia, por cuanto, como expusimos durante la deliberación en el Pleno, consideramos que el recurso debió de ser estimado por haber vulnerado la sentencia estimatoria del recurso de casación recurrida en amparo, el derecho a la libertad de información [art. 20.1 d) CE] del medio de comunicación recurrente.</w:t>
      </w:r>
    </w:p>
    <w:p w14:paraId="36A656E6" w14:textId="77777777" w:rsidR="00A8138F" w:rsidRDefault="00A8138F" w:rsidP="00A8138F">
      <w:pPr>
        <w:pStyle w:val="TextoNormal"/>
      </w:pPr>
    </w:p>
    <w:p w14:paraId="5E9B47B1" w14:textId="77777777" w:rsidR="00A8138F" w:rsidRDefault="00A8138F" w:rsidP="00A8138F">
      <w:pPr>
        <w:pStyle w:val="TextoNormal"/>
      </w:pPr>
      <w:r>
        <w:t>Nuestra discrepancia se centra en las consideraciones que exponemos seguidamente.</w:t>
      </w:r>
    </w:p>
    <w:p w14:paraId="39CF9DE2" w14:textId="77777777" w:rsidR="00A8138F" w:rsidRDefault="00A8138F" w:rsidP="00A8138F">
      <w:pPr>
        <w:pStyle w:val="TextoNormal"/>
      </w:pPr>
    </w:p>
    <w:p w14:paraId="35D78AE6" w14:textId="77777777" w:rsidR="00A8138F" w:rsidRDefault="00A8138F" w:rsidP="00A8138F">
      <w:pPr>
        <w:pStyle w:val="TextoNormal"/>
      </w:pPr>
      <w:r>
        <w:t>1. Hechos probados destacados en la sentencia de la que discrepamos</w:t>
      </w:r>
    </w:p>
    <w:p w14:paraId="5E4D3CEA" w14:textId="77777777" w:rsidR="00A8138F" w:rsidRDefault="00A8138F" w:rsidP="00A8138F">
      <w:pPr>
        <w:pStyle w:val="TextoNormal"/>
      </w:pPr>
    </w:p>
    <w:p w14:paraId="6EF7D2B4" w14:textId="77777777" w:rsidR="00A8138F" w:rsidRDefault="00A8138F" w:rsidP="00A8138F">
      <w:pPr>
        <w:pStyle w:val="TextoNormal"/>
      </w:pPr>
      <w:r>
        <w:t xml:space="preserve">Para llegar a la conclusión desestimatoria del amparo la sentencia parte de destacar una serie de hechos probados que extrae de la sentencia de instancia, a los que añade otros que </w:t>
      </w:r>
      <w:r>
        <w:lastRenderedPageBreak/>
        <w:t>considera incontrovertidos: (i) que el señor Opazos no prestó su consentimiento en la utilización de su imagen; (ii) que la noticia transmitida por Diario ABC, S.L., fue elaborada, montada y locutada, por una agencia de noticias cuya profesionalidad no se cuestiona; y (iii) que el material informativo editado contenía dos imágenes: la del señor Opazos y la de don José María Romero, apodado “el Nene”.</w:t>
      </w:r>
    </w:p>
    <w:p w14:paraId="2AF81EA8" w14:textId="77777777" w:rsidR="00A8138F" w:rsidRDefault="00A8138F" w:rsidP="00A8138F">
      <w:pPr>
        <w:pStyle w:val="TextoNormal"/>
      </w:pPr>
    </w:p>
    <w:p w14:paraId="7CEB4F08" w14:textId="77777777" w:rsidR="00A8138F" w:rsidRDefault="00A8138F" w:rsidP="00A8138F">
      <w:pPr>
        <w:pStyle w:val="TextoNormal"/>
      </w:pPr>
      <w:r>
        <w:t>Compartimos necesariamente estos hechos, pero entendemos que, junto a los mismos, existen otros que también resultan de la sentencia de instancia y de las posteriores que no han sido destacados y que son relevantes para determinar el grado de diligencia exigible al medio de comunicación:</w:t>
      </w:r>
    </w:p>
    <w:p w14:paraId="4786CD06" w14:textId="77777777" w:rsidR="00A8138F" w:rsidRDefault="00A8138F" w:rsidP="00A8138F">
      <w:pPr>
        <w:pStyle w:val="TextoNormal"/>
      </w:pPr>
    </w:p>
    <w:p w14:paraId="42213BD8" w14:textId="77777777" w:rsidR="00A8138F" w:rsidRDefault="00A8138F" w:rsidP="00A8138F">
      <w:pPr>
        <w:pStyle w:val="TextoNormal"/>
      </w:pPr>
      <w:r>
        <w:t>(i) Siendo cierto que el vídeo contenía imágenes de dos personas, también lo es que las del señor Opazos duran escasamente cuatro segundos frente a la duración total del mismo de ochenta y dos segundos y que en el resto de la grabación aparecen las imágenes del protagonista de la noticia.</w:t>
      </w:r>
    </w:p>
    <w:p w14:paraId="28D2E683" w14:textId="77777777" w:rsidR="00A8138F" w:rsidRDefault="00A8138F" w:rsidP="00A8138F">
      <w:pPr>
        <w:pStyle w:val="TextoNormal"/>
      </w:pPr>
    </w:p>
    <w:p w14:paraId="00622C96" w14:textId="77777777" w:rsidR="00A8138F" w:rsidRDefault="00A8138F" w:rsidP="00A8138F">
      <w:pPr>
        <w:pStyle w:val="TextoNormal"/>
      </w:pPr>
      <w:r>
        <w:t>(ii) La recurrente en amparo se limitó a reproducir sin reelaborar la noticia, ya montada y locutada para su inmediata emisión, que le remitió la agencia de noticias Atlas, perteneciente al grupo Mediaset España, S.A., dejando constancia de la fuente de la información.</w:t>
      </w:r>
    </w:p>
    <w:p w14:paraId="4BF8781A" w14:textId="77777777" w:rsidR="00A8138F" w:rsidRDefault="00A8138F" w:rsidP="00A8138F">
      <w:pPr>
        <w:pStyle w:val="TextoNormal"/>
      </w:pPr>
    </w:p>
    <w:p w14:paraId="1E959943" w14:textId="77777777" w:rsidR="00A8138F" w:rsidRDefault="00A8138F" w:rsidP="00A8138F">
      <w:pPr>
        <w:pStyle w:val="TextoNormal"/>
      </w:pPr>
      <w:r>
        <w:t>(iii) La sentencia dictada en primera instancia concluyó que se trata de una “[n]oticia con apariencia de veracidad, procedente de una agencia solvente, sin que pueda imputarse al medio receptor falta de diligencia por haber podido existir indicios racionales y evidentes de que la noticia podía ser falsa en cuanto a la identidad del autor del hecho. La noticia resultaba completamente creíble sin que haya indicio alguno de que la demandada conociera o fuera consciente de la falsedad, por error, del contenido de la noticia en cuanto al equívoco respecto de la persona que la ilustraba”.</w:t>
      </w:r>
    </w:p>
    <w:p w14:paraId="73AC96A2" w14:textId="77777777" w:rsidR="00A8138F" w:rsidRDefault="00A8138F" w:rsidP="00A8138F">
      <w:pPr>
        <w:pStyle w:val="TextoNormal"/>
      </w:pPr>
    </w:p>
    <w:p w14:paraId="390DD7E9" w14:textId="77777777" w:rsidR="00A8138F" w:rsidRDefault="00A8138F" w:rsidP="00A8138F">
      <w:pPr>
        <w:pStyle w:val="TextoNormal"/>
      </w:pPr>
      <w:r>
        <w:t>2. Consideraciones de la sentencia de la Sala de lo Civil del Tribunal Supremo que hace suyas la resolución de la que discrepamos</w:t>
      </w:r>
    </w:p>
    <w:p w14:paraId="00B717E0" w14:textId="77777777" w:rsidR="00A8138F" w:rsidRDefault="00A8138F" w:rsidP="00A8138F">
      <w:pPr>
        <w:pStyle w:val="TextoNormal"/>
      </w:pPr>
    </w:p>
    <w:p w14:paraId="320B3814" w14:textId="77777777" w:rsidR="00A8138F" w:rsidRDefault="00A8138F" w:rsidP="00A8138F">
      <w:pPr>
        <w:pStyle w:val="TextoNormal"/>
      </w:pPr>
      <w:r>
        <w:t>La sentencia confirma el juicio de ponderación entre el derecho a “comunicar información veraz”, reconocido en el art. 20.1 d) CE, y los derechos al honor y a la propia imagen protegidos por el art. 18.1 CE, efectuado en la sentencia de la Sala de lo Civil del Tribunal Supremo recurrida en amparo. Esta última resolución estimó el recurso de casación interpuesto por el demandante en el proceso civil y declaró la vulneración de sus derechos al honor y a la propia imagen por la parte demandada, Diario ABC, S.L., con fundamento en que el medio de comunicación no podía excusarse bajo el paraguas del reportaje neutral.</w:t>
      </w:r>
    </w:p>
    <w:p w14:paraId="22724A0A" w14:textId="77777777" w:rsidR="00A8138F" w:rsidRDefault="00A8138F" w:rsidP="00A8138F">
      <w:pPr>
        <w:pStyle w:val="TextoNormal"/>
      </w:pPr>
    </w:p>
    <w:p w14:paraId="178B1A3D" w14:textId="77777777" w:rsidR="00A8138F" w:rsidRDefault="00A8138F" w:rsidP="00A8138F">
      <w:pPr>
        <w:pStyle w:val="TextoNormal"/>
      </w:pPr>
      <w:r>
        <w:t>Compartimos en este punto la doctrina citada en la sentencia del Pleno, en la que se exponen las diferencias existentes entre el reportaje neutral y el supuesto de reproducción por un medio de información de un reportaje adquirido de una agencia de noticias, con indicación expresa de la fuente, cuya solvencia y profesionalidad no se discuten, así como la doctrina relativa al canon aplicable a estos supuestos.</w:t>
      </w:r>
    </w:p>
    <w:p w14:paraId="44E63E32" w14:textId="77777777" w:rsidR="00A8138F" w:rsidRDefault="00A8138F" w:rsidP="00A8138F">
      <w:pPr>
        <w:pStyle w:val="TextoNormal"/>
      </w:pPr>
    </w:p>
    <w:p w14:paraId="340354CB" w14:textId="77777777" w:rsidR="00A8138F" w:rsidRDefault="00A8138F" w:rsidP="00A8138F">
      <w:pPr>
        <w:pStyle w:val="TextoNormal"/>
      </w:pPr>
      <w:r>
        <w:t xml:space="preserve">Sin embargo, discrepamos de la aplicación al caso efectuada por el Tribunal Supremo y que ratifica la sentencia objeto de nuestra discrepancia. El Tribunal Supremo basó su decisión en la ponderación de las siguientes circunstancias que no justifican la limitación del </w:t>
      </w:r>
      <w:r>
        <w:lastRenderedPageBreak/>
        <w:t>derecho a la libertad de información en el caso examinado: (i) la extraordinaria gravedad del error que supuso identificar al señor Opazos con un homicida; (ii) el carácter innecesario de la utilización de la imagen del señor Opazos para difundir el contenido sustancial de la información; y (iii) el uso de la imagen desvinculada del contexto en el que se obtuvo y para fines totalmente diferentes y sin autorización del afectado.</w:t>
      </w:r>
    </w:p>
    <w:p w14:paraId="59E33D64" w14:textId="77777777" w:rsidR="00A8138F" w:rsidRDefault="00A8138F" w:rsidP="00A8138F">
      <w:pPr>
        <w:pStyle w:val="TextoNormal"/>
      </w:pPr>
    </w:p>
    <w:p w14:paraId="62111BD8" w14:textId="77777777" w:rsidR="00A8138F" w:rsidRDefault="00A8138F" w:rsidP="00A8138F">
      <w:pPr>
        <w:pStyle w:val="TextoNormal"/>
      </w:pPr>
      <w:r>
        <w:t>En primer término, puntualizamos que, aun cuando un acto homicida constituye efectivamente un delito de extraordinaria gravedad, ello no equivale a “la extraordinaria gravedad del error que supuso identificar al señor Opazos con un homicida”, mencionada en la sentencia. En ningún momento se cita en el vídeo el nombre y apellidos del señor Opazos, ni se le atribuye la comisión del hecho, aunque una imagen suya aparezca durante un lapso temporal muy breve de escasos cuatro segundos. Por el contrario, en el reportaje videográfico se reitera que la persona a la que se atribuye la muerte de otro recluso es el apodado “el Nene”, cuyos nombre y apellidos se especifican y cuyas imágenes aparecen en la práctica totalidad del vídeo, de ochenta y dos segundos de duración, frente a los apenas cuatro segundos en los que se ve una imagen del señor Opazos con el brazo en alto en señal de victoria en un combate de la misma disciplina que practica el protagonista del reportaje. El vídeo se inicia con una entrevista a este último e incluye numerosas imágenes del mismo practicando dicho deporte.</w:t>
      </w:r>
    </w:p>
    <w:p w14:paraId="75EE3679" w14:textId="77777777" w:rsidR="00A8138F" w:rsidRDefault="00A8138F" w:rsidP="00A8138F">
      <w:pPr>
        <w:pStyle w:val="TextoNormal"/>
      </w:pPr>
    </w:p>
    <w:p w14:paraId="3590E147" w14:textId="77777777" w:rsidR="00A8138F" w:rsidRDefault="00A8138F" w:rsidP="00A8138F">
      <w:pPr>
        <w:pStyle w:val="TextoNormal"/>
      </w:pPr>
      <w:r>
        <w:t xml:space="preserve">En segundo lugar, respecto al “carácter innecesario de la utilización de la imagen del señor Opazos para difundir el contenido sustancial de la información”, no cabe olvidar que tal uso, así como el de otras imágenes de combates en las que participa el presunto autor del delito, pueden entenderse, como apunta el fiscal, dirigido a ilustrar al público sobre un deporte de combate poco conocido. En este contexto se introduce la frase que se escucha en el vídeo: “Así se presenta ‘el Nene’, este campeón de </w:t>
      </w:r>
      <w:r w:rsidRPr="00A8138F">
        <w:rPr>
          <w:i/>
        </w:rPr>
        <w:t>muay thai</w:t>
      </w:r>
      <w:r>
        <w:t xml:space="preserve"> que mató a golpes a su compañero de celda por una litera”.</w:t>
      </w:r>
    </w:p>
    <w:p w14:paraId="5338C91A" w14:textId="77777777" w:rsidR="00A8138F" w:rsidRDefault="00A8138F" w:rsidP="00A8138F">
      <w:pPr>
        <w:pStyle w:val="TextoNormal"/>
      </w:pPr>
    </w:p>
    <w:p w14:paraId="2891A3C4" w14:textId="77777777" w:rsidR="00A8138F" w:rsidRDefault="00A8138F" w:rsidP="00A8138F">
      <w:pPr>
        <w:pStyle w:val="TextoNormal"/>
      </w:pPr>
      <w:r>
        <w:t xml:space="preserve">Enmarcado asimismo en el incumplimiento del deber de diligencia razonable al incluir el reportaje la imagen del señor Opazos captada en el contexto de un combate de boxeo, la sentencia declara que “[t]ambién debió percibir que la difusión de la misma, que carecía de cualquier interés en relación con la noticia que se transmitía”. No podemos compartir este argumento. No es demostrativo de falta de diligencia que la agencia de comunicación difusora del reportaje estimase que la imagen del señor Opazos en el </w:t>
      </w:r>
      <w:r w:rsidRPr="00A8138F">
        <w:rPr>
          <w:i/>
        </w:rPr>
        <w:t>ring</w:t>
      </w:r>
      <w:r>
        <w:t xml:space="preserve"> sí tenía relación con la noticia, pues tanto “el Nene” como aquel compartían el ejercicio de la misma disciplina deportiva que, además, de ser de lucha, tiene directa relación con la presunta forma de comisión del homicidio (“matar a golpes” al compañero de celda).</w:t>
      </w:r>
    </w:p>
    <w:p w14:paraId="39773415" w14:textId="77777777" w:rsidR="00A8138F" w:rsidRDefault="00A8138F" w:rsidP="00A8138F">
      <w:pPr>
        <w:pStyle w:val="TextoNormal"/>
      </w:pPr>
    </w:p>
    <w:p w14:paraId="32BB893B" w14:textId="77777777" w:rsidR="00A8138F" w:rsidRDefault="00A8138F" w:rsidP="00A8138F">
      <w:pPr>
        <w:pStyle w:val="TextoNormal"/>
      </w:pPr>
      <w:r>
        <w:t>En cualquier caso, tanto la inclusión errónea y episódica en el reportaje de otro practicante de la misma disciplina deportiva, como “la utilización de la imagen desvinculada del contexto en el que se obtuvo y para fines totalmente diferentes y sin autorización del afectado”, a nuestro juicio no permiten imputar la lesión a quienes lo difundieron citando la fuente y sin alterar su contenido, en la razonable confianza y buena fe que la práctica del sector de la comunicación deposita en la profesionalidad de las agencias de información de reconocida solvencia. Como más adelante precisaremos, dadas las circunstancias del caso concreto no se está ante un error fácilmente detectable del que pueda derivar la falta de diligencia exigible al medio de comunicación.</w:t>
      </w:r>
    </w:p>
    <w:p w14:paraId="29C7B6EF" w14:textId="77777777" w:rsidR="00A8138F" w:rsidRDefault="00A8138F" w:rsidP="00A8138F">
      <w:pPr>
        <w:pStyle w:val="TextoNormal"/>
      </w:pPr>
    </w:p>
    <w:p w14:paraId="299717CE" w14:textId="77777777" w:rsidR="00A8138F" w:rsidRDefault="00A8138F" w:rsidP="00A8138F">
      <w:pPr>
        <w:pStyle w:val="TextoNormal"/>
      </w:pPr>
      <w:r>
        <w:lastRenderedPageBreak/>
        <w:t>3. Elementos a partir de los cuales la sentencia concluye que el medio de comunicación recurrente en amparo incumplió el deber de diligencia que le era exigible, con el efecto de incurrir en la intromisión ilegítima en los derechos al honor y a la propia imagen del señor Opazos</w:t>
      </w:r>
    </w:p>
    <w:p w14:paraId="50D86958" w14:textId="77777777" w:rsidR="00A8138F" w:rsidRDefault="00A8138F" w:rsidP="00A8138F">
      <w:pPr>
        <w:pStyle w:val="TextoNormal"/>
      </w:pPr>
    </w:p>
    <w:p w14:paraId="030F996F" w14:textId="77777777" w:rsidR="00A8138F" w:rsidRDefault="00A8138F" w:rsidP="00A8138F">
      <w:pPr>
        <w:pStyle w:val="TextoNormal"/>
      </w:pPr>
      <w:r>
        <w:t xml:space="preserve">La sentencia de la que disentimos concluye que hubo falta de diligencia de la recurrente en amparo, partiendo del hecho declarado probado de que son dos personas distintas las que aparecen en el vídeo. Declara al respecto que es claro que Diario ABC, S.L., debió advertir, conforme a una diligencia razonable que en el vídeo maquetado y locutado se difundía, junto con la imagen del boxeador apodado “el Nene”, la del señor Opazos captada en el contexto de un combate en un </w:t>
      </w:r>
      <w:r w:rsidRPr="00A8138F">
        <w:rPr>
          <w:i/>
        </w:rPr>
        <w:t>ring</w:t>
      </w:r>
      <w:r>
        <w:t>. La sentencia considera que “[l]a falta de diligencia no queda disminuida por la dificultad que podía tener el medio en conocer que la imagen del señor Opazos no se correspondía con la de ‛el Nene’, pues el vídeo contenía las imágenes de dos personas y una de ellas necesariamente no podía asociarse al titular”.</w:t>
      </w:r>
    </w:p>
    <w:p w14:paraId="62B0F71D" w14:textId="77777777" w:rsidR="00A8138F" w:rsidRDefault="00A8138F" w:rsidP="00A8138F">
      <w:pPr>
        <w:pStyle w:val="TextoNormal"/>
      </w:pPr>
    </w:p>
    <w:p w14:paraId="6BA32622" w14:textId="77777777" w:rsidR="00A8138F" w:rsidRDefault="00A8138F" w:rsidP="00A8138F">
      <w:pPr>
        <w:pStyle w:val="TextoNormal"/>
      </w:pPr>
      <w:r>
        <w:t>Por otro lado, la sentencia atribuye a la demandante falta de diligencia a la hora de comprobar la conexión entre la imagen y el contenido de la noticia, y considera que “el medio de comunicación, antes de tomar la decisión de transmitir la noticia, bien pudo percatarse de que la referida imagen del señor Opazos se asociaba a un titular: «“‘El Nene’ mata a golpes a un traficante de drogas por una litera”. De modo que era previsible que esa publicación conjunta de texto e imagen indujera a que el receptor de la información considerara erróneamente que la persona cuya imagen se difundía era la del protagonista de los hechos relatados en el reportaje de modo que, aunque estos fueran ciertos con carácter general, la información se convertía en inveraz al asociarse con la imagen del señor Opazos».</w:t>
      </w:r>
    </w:p>
    <w:p w14:paraId="6E10027D" w14:textId="77777777" w:rsidR="00A8138F" w:rsidRDefault="00A8138F" w:rsidP="00A8138F">
      <w:pPr>
        <w:pStyle w:val="TextoNormal"/>
      </w:pPr>
    </w:p>
    <w:p w14:paraId="6501200B" w14:textId="77777777" w:rsidR="00A8138F" w:rsidRDefault="00A8138F" w:rsidP="00A8138F">
      <w:pPr>
        <w:pStyle w:val="TextoNormal"/>
      </w:pPr>
      <w:r>
        <w:t>No podemos compartir la forma en que se ha aplicado el canon de veracidad. Se afirma que la diligencia exigible imponía al medio percibir la presencia en el reportaje de imágenes de dos personas diferentes. Sin embargo, en los antecedentes de la propia sentencia se recoge que el vídeo del combate de boxeo en el que aparece el señor Opazos fue tomado seis años antes de la comisión de los hechos, lapso temporal en el que son normales los cambios en la apariencia de una persona, tales como el largo del pelo, la constitución física o, como es el caso, la presencia visible de tatuajes. Por otro lado, la percepción de tales diferencias resulta difícil dada la disparidad de planos y posturas que se aprecian en las diversas secuencias del vídeo.</w:t>
      </w:r>
    </w:p>
    <w:p w14:paraId="1CB2998A" w14:textId="77777777" w:rsidR="00A8138F" w:rsidRDefault="00A8138F" w:rsidP="00A8138F">
      <w:pPr>
        <w:pStyle w:val="TextoNormal"/>
      </w:pPr>
    </w:p>
    <w:p w14:paraId="562296EF" w14:textId="77777777" w:rsidR="00A8138F" w:rsidRDefault="00A8138F" w:rsidP="00A8138F">
      <w:pPr>
        <w:pStyle w:val="TextoNormal"/>
      </w:pPr>
      <w:r>
        <w:t>Aunque resultó acreditada en el proceso judicial la inclusión en el vídeo de imágenes que no eran del presunto autor de los hechos, ello no implica que el error fuera previsible por el medio de información que, amparado en la legítima confianza que rige en el sector, adquirió el reportaje de una agencia de noticias de indiscutida profesionalidad, como tampoco que el mismo error fuera fácilmente detectable en un momento cronológico en el que, como apuntó la sentencia de primera instancia, nada hacía presumir tal error.</w:t>
      </w:r>
    </w:p>
    <w:p w14:paraId="4A34FC14" w14:textId="77777777" w:rsidR="00A8138F" w:rsidRDefault="00A8138F" w:rsidP="00A8138F">
      <w:pPr>
        <w:pStyle w:val="TextoNormal"/>
      </w:pPr>
    </w:p>
    <w:p w14:paraId="0A954CD0" w14:textId="77777777" w:rsidR="00A8138F" w:rsidRDefault="00A8138F" w:rsidP="00A8138F">
      <w:pPr>
        <w:pStyle w:val="TextoNormal"/>
      </w:pPr>
      <w:r>
        <w:t xml:space="preserve">El vídeo se inicia con una entrevista realizada, al parecer, años atrás al presunto autor de los hechos. Seguidamente, se incluyen los escasos cuatro segundos en los que aparece la imagen de otro boxeador alzando la mano en señal de victoria y, a continuación, se incorporan al reportaje otras imágenes del protagonista de la noticia tomados en combates de la misma disciplina deportiva. En los pasajes en que aparecen las imágenes de “el Nene” participando en combates, su figura ofrece notables diferencias con la que el mismo sujeto </w:t>
      </w:r>
      <w:r>
        <w:lastRenderedPageBreak/>
        <w:t>presenta en la entrevista inicial, lo cual, unido a la brevedad de la exposición de la imagen de quien interpuso la demanda judicial respecto a las mucho más extensas en el tiempo del protagonista real de la noticia, no hacen posible compartir la conclusión de que Diario ABC, S.L., no observara en este caso la diligencia exigible al medio que, como hemos expuesto, recibió el vídeo editado por una agencia fiable y que no tenía razones para presumir que pudiera existir otro boxeador de características físicas análogas a las de “el Nene”, ni facilidad para detectar el error.</w:t>
      </w:r>
    </w:p>
    <w:p w14:paraId="3A8F533E" w14:textId="77777777" w:rsidR="00A8138F" w:rsidRDefault="00A8138F" w:rsidP="00A8138F">
      <w:pPr>
        <w:pStyle w:val="TextoNormal"/>
      </w:pPr>
    </w:p>
    <w:p w14:paraId="74191746" w14:textId="77777777" w:rsidR="00A8138F" w:rsidRDefault="00A8138F" w:rsidP="00A8138F">
      <w:pPr>
        <w:pStyle w:val="TextoNormal"/>
      </w:pPr>
      <w:r>
        <w:t>4. Aplicación del canon constitucional de veracidad al presente caso</w:t>
      </w:r>
    </w:p>
    <w:p w14:paraId="423D9AD0" w14:textId="77777777" w:rsidR="00A8138F" w:rsidRDefault="00A8138F" w:rsidP="00A8138F">
      <w:pPr>
        <w:pStyle w:val="TextoNormal"/>
      </w:pPr>
    </w:p>
    <w:p w14:paraId="7BB10B81" w14:textId="77777777" w:rsidR="00A8138F" w:rsidRDefault="00A8138F" w:rsidP="00A8138F">
      <w:pPr>
        <w:pStyle w:val="TextoNormal"/>
      </w:pPr>
      <w:r>
        <w:t>Consideramos que la aplicación del canon constitucional de veracidad debería haber conducido a un resultado estimatorio de la demanda de amparo y, en consecuencia, opuesto al alcanzado en la sentencia.</w:t>
      </w:r>
    </w:p>
    <w:p w14:paraId="499E4C95" w14:textId="77777777" w:rsidR="00A8138F" w:rsidRDefault="00A8138F" w:rsidP="00A8138F">
      <w:pPr>
        <w:pStyle w:val="TextoNormal"/>
      </w:pPr>
    </w:p>
    <w:p w14:paraId="06639383" w14:textId="77777777" w:rsidR="00A8138F" w:rsidRDefault="00A8138F" w:rsidP="00A8138F">
      <w:pPr>
        <w:pStyle w:val="TextoNormal"/>
      </w:pPr>
      <w:r>
        <w:t>Como se señala de forma reiterada en la doctrina constitucional citada en la propia sentencia, la veracidad de la información no se identifica con la exigencia de una total exactitud en el contenido de la información, sino con un deber de diligencia en el proceso de búsqueda de la verdad. Ello implica negar la protección constitucional a la transmisión de simples rumores carentes de toda constatación o de meras invenciones o insinuaciones, sin comprobar su veracidad mediante las averiguaciones oportunas, propias de un profesional diligente, y con independencia de que la plena o total exactitud pueda ser controvertida.</w:t>
      </w:r>
    </w:p>
    <w:p w14:paraId="77E2412E" w14:textId="77777777" w:rsidR="00A8138F" w:rsidRDefault="00A8138F" w:rsidP="00A8138F">
      <w:pPr>
        <w:pStyle w:val="TextoNormal"/>
      </w:pPr>
    </w:p>
    <w:p w14:paraId="18191BA7" w14:textId="77777777" w:rsidR="00A8138F" w:rsidRDefault="00A8138F" w:rsidP="00A8138F">
      <w:pPr>
        <w:pStyle w:val="TextoNormal"/>
      </w:pPr>
      <w:r>
        <w:t>Estimamos que, para el adecuado enfoque de esta cuestión, deben hacerse algunas precisiones sobre el derecho al honor en las circunstancias de este caso. En particular, ha de tenerse en cuenta que el conflicto no se ha planteado frente a la agencia de noticias que elaboró el reportaje insertando imágenes de quien no era el autor del hecho noticiable, sino frente al medio de comunicación que lo transmitió o difundió citando la fuente de origen y sin introducir ninguna modificación. Aunque la eventual responsabilidad del medio de comunicación por la intromisión ilegítima en los derechos al honor y a la propia imagen no se puede determinar únicamente por ajenidad de la conducta observada en la elaboración de la noticia, a la hora de determinar si, en este caso, la actuación de Diario ABC, S.L., estaba amparada por la libertad de información, hemos de atender a la diligencia que le era exigible en la comprobación y contraste de la veracidad de la noticia con anterioridad a su publicación.</w:t>
      </w:r>
    </w:p>
    <w:p w14:paraId="2ACBC4D5" w14:textId="77777777" w:rsidR="00A8138F" w:rsidRDefault="00A8138F" w:rsidP="00A8138F">
      <w:pPr>
        <w:pStyle w:val="TextoNormal"/>
      </w:pPr>
    </w:p>
    <w:p w14:paraId="4BA9B99D" w14:textId="77777777" w:rsidR="00A8138F" w:rsidRDefault="00A8138F" w:rsidP="00A8138F">
      <w:pPr>
        <w:pStyle w:val="TextoNormal"/>
      </w:pPr>
      <w:r>
        <w:t xml:space="preserve">En relación con el derecho al honor del señor Opazos compartimos los argumentos del Ministerio Fiscal cuando afirma que, analizado el vídeo, resulta claro que la presunta autoría del homicidio no se atribuye al señor Opazos, sino al apodado “el Nene”, identificado con nombre y apellidos, el cual aparece en las tres partes de la entrevista, frente a los cuatro segundos en que se muestran las imágenes del señor Opazos, aun cuando en ese momento la voz en </w:t>
      </w:r>
      <w:r w:rsidRPr="00A8138F">
        <w:rPr>
          <w:i/>
        </w:rPr>
        <w:t>off</w:t>
      </w:r>
      <w:r>
        <w:t xml:space="preserve"> del vídeo dijera “así se presenta ‘el Nene’, este campeón de </w:t>
      </w:r>
      <w:r w:rsidRPr="00A8138F">
        <w:rPr>
          <w:i/>
        </w:rPr>
        <w:t>muay thai</w:t>
      </w:r>
      <w:r>
        <w:t xml:space="preserve"> que mató a golpes a su compañero”, porque no cabe duda de que a quien se atribuyen los hechos es al primero y no al señor Opazos.</w:t>
      </w:r>
    </w:p>
    <w:p w14:paraId="1D5C62F1" w14:textId="77777777" w:rsidR="00A8138F" w:rsidRDefault="00A8138F" w:rsidP="00A8138F">
      <w:pPr>
        <w:pStyle w:val="TextoNormal"/>
      </w:pPr>
    </w:p>
    <w:p w14:paraId="48538518" w14:textId="77777777" w:rsidR="00A8138F" w:rsidRDefault="00A8138F" w:rsidP="00A8138F">
      <w:pPr>
        <w:pStyle w:val="TextoNormal"/>
      </w:pPr>
      <w:r>
        <w:t xml:space="preserve">Hay que advertir que, en este caso, la noticia en su conjunto resultó veraz. La inserción de unas concretas imágenes de una persona distinta al autor de los hechos no era fácilmente perceptible. En este sentido, ya indicó la sentencia de primera instancia que no había indicios de que la noticia pudiera ser falsa en cuanto a la identidad del autor. El propio Tribunal </w:t>
      </w:r>
      <w:r>
        <w:lastRenderedPageBreak/>
        <w:t>Supremo reconoce en su sentencia la brevedad de las imágenes. Y el fiscal ante el Tribunal Constitucional ha señalado en este recurso de amparo que no era fácil advertir el error en el mínimo tiempo de duración de las imágenes controvertidas. Y no solo eso, el señor Opazos afirmó en su recurso de apelación que se trataba de dos personas desconocidas para el público en general (el apodado “el Nene” y él) de manera que “los destinatarios de la información no pueden discriminar el uno del otro”, y en el recurso de casación el señor Opazos calificó como muy breve el lapso temporal de exposición de su imagen, lo que precisamente revela mayor dificultad para analizar críticamente la información y determinar quién aparece en ella.</w:t>
      </w:r>
    </w:p>
    <w:p w14:paraId="110AFCC2" w14:textId="77777777" w:rsidR="00A8138F" w:rsidRDefault="00A8138F" w:rsidP="00A8138F">
      <w:pPr>
        <w:pStyle w:val="TextoNormal"/>
      </w:pPr>
    </w:p>
    <w:p w14:paraId="36DFC13E" w14:textId="77777777" w:rsidR="00A8138F" w:rsidRDefault="00A8138F" w:rsidP="00A8138F">
      <w:pPr>
        <w:pStyle w:val="TextoNormal"/>
      </w:pPr>
      <w:r>
        <w:t>Por tanto, si la noticia no se refería al señor Opazos y la inserción de las imágenes de este no era fácilmente perceptible, de modo que con dificultad se le podía identificar, su honor no se vio afectado y la noticia así publicada queda amparada, desde esta perspectiva, por la libertad de información.</w:t>
      </w:r>
    </w:p>
    <w:p w14:paraId="02E8701B" w14:textId="77777777" w:rsidR="00A8138F" w:rsidRDefault="00A8138F" w:rsidP="00A8138F">
      <w:pPr>
        <w:pStyle w:val="TextoNormal"/>
      </w:pPr>
    </w:p>
    <w:p w14:paraId="5D393F03" w14:textId="77777777" w:rsidR="00A8138F" w:rsidRDefault="00A8138F" w:rsidP="00A8138F">
      <w:pPr>
        <w:pStyle w:val="TextoNormal"/>
      </w:pPr>
      <w:r>
        <w:t>La inclusión de aquellas imágenes en el vídeo constituye un mero error circunstancial que no afecta a la esencia de lo informado ni a su veracidad. El deber de diligencia del medio de comunicación al contrastar la noticia no alcanza, en este caso y dadas las circunstancias, al extremo de tener que realizar una comprobación individualizada, exhaustiva y específica de las imágenes controvertidas, a falta de indicios que permitieran advertir que se trataba de una persona distinta al sujeto de la noticia.</w:t>
      </w:r>
    </w:p>
    <w:p w14:paraId="625A65BF" w14:textId="77777777" w:rsidR="00A8138F" w:rsidRDefault="00A8138F" w:rsidP="00A8138F">
      <w:pPr>
        <w:pStyle w:val="TextoNormal"/>
      </w:pPr>
    </w:p>
    <w:p w14:paraId="44C13BDD" w14:textId="77777777" w:rsidR="00A8138F" w:rsidRDefault="00A8138F" w:rsidP="00A8138F">
      <w:pPr>
        <w:pStyle w:val="TextoNormal"/>
      </w:pPr>
      <w:r>
        <w:t>A nuestro juicio, debería haberse tenido por cumplido el requisito de veracidad a efectos del art. 20.1 d) CE, sin que pudiera apreciarse una intromisión ilegítima en el derecho al honor del señor Opazos.</w:t>
      </w:r>
    </w:p>
    <w:p w14:paraId="759ED685" w14:textId="77777777" w:rsidR="00A8138F" w:rsidRDefault="00A8138F" w:rsidP="00A8138F">
      <w:pPr>
        <w:pStyle w:val="TextoNormal"/>
      </w:pPr>
    </w:p>
    <w:p w14:paraId="32CEB51B" w14:textId="77777777" w:rsidR="00A8138F" w:rsidRDefault="00A8138F" w:rsidP="00A8138F">
      <w:pPr>
        <w:pStyle w:val="TextoNormal"/>
      </w:pPr>
      <w:r>
        <w:t>5. Sobre la declarada vulneración del derecho a la propia imagen por la difusión de las imágenes y la omisión de puesta en conocimiento del medio de comunicación, antes del inicio del procedimiento civil, por quien figura en el vídeo</w:t>
      </w:r>
    </w:p>
    <w:p w14:paraId="7AFAD994" w14:textId="77777777" w:rsidR="00A8138F" w:rsidRDefault="00A8138F" w:rsidP="00A8138F">
      <w:pPr>
        <w:pStyle w:val="TextoNormal"/>
      </w:pPr>
    </w:p>
    <w:p w14:paraId="746A2B9D" w14:textId="77777777" w:rsidR="00A8138F" w:rsidRDefault="00A8138F" w:rsidP="00A8138F">
      <w:pPr>
        <w:pStyle w:val="TextoNormal"/>
      </w:pPr>
      <w:r>
        <w:t>Por lo que se refiere al derecho a la propia imagen, es un hecho ahora conocido que las imágenes del señor Opazos insertadas durante escasos cuatro segundos en el vídeo no se correspondían al sujeto protagonista de la noticia. También es cierto que, como indicó el Tribunal Supremo y se reitera en la sentencia de la que discrepamos, se difundió la imagen del señor Opazos sin su autorización. Sin embargo, las circunstancias en que se obtuvieron las imágenes de aquel insertadas en el vídeo y, en particular, la ausencia de consentimiento de su titular, deberían quedar fuera del objeto de este recurso de amparo, al responder a conductas atribuibles en exclusiva al autor del reportaje, en este caso, a la agencia de noticias que aparece identificada en la publicación difundida por el medio de comunicación recurrente en amparo. Y, como ya hemos señalado a propósito del derecho al honor, tampoco es razonable declarar que el medio de comunicación hubiera podido apercibirse de que las imágenes en cuestión no se correspondían con el sujeto de la noticia conforme al nivel de diligencia exigible en este caso.</w:t>
      </w:r>
    </w:p>
    <w:p w14:paraId="4206DDE7" w14:textId="77777777" w:rsidR="00A8138F" w:rsidRDefault="00A8138F" w:rsidP="00A8138F">
      <w:pPr>
        <w:pStyle w:val="TextoNormal"/>
      </w:pPr>
    </w:p>
    <w:p w14:paraId="394542FA" w14:textId="77777777" w:rsidR="00A8138F" w:rsidRDefault="00A8138F" w:rsidP="00A8138F">
      <w:pPr>
        <w:pStyle w:val="TextoNormal"/>
      </w:pPr>
      <w:r>
        <w:t>Observamos, además, que Diario ABC, S.L., alegó en el escrito de contestación a la demanda civil, extremo no cuestionado por el señor Opazos, que tuvo conocimiento por medio del escrito de demanda de que estas imágenes no correspondían al autor de los hechos. Esto significa que el señor Opazos no puso en conocimiento del medio de comunicación en mo</w:t>
      </w:r>
      <w:r>
        <w:lastRenderedPageBreak/>
        <w:t>mento anterior al inicio del procedimiento civil, que determinadas imágenes correspondían a su persona y que no autorizaba su uso y difusión, como tampoco solicitó su supresión. Si hubiera procedido de este otro modo y, pese a ello, las imágenes no se hubieran suprimido, la diligencia inicial en la comprobación de la noticia podría haberse visto desvanecida por este acontecimiento posterior. Sin embargo, desde que se publicó el vídeo hasta que se presentó la demanda, nada permitió al medio de comunicación advertir, en el contexto del deber de diligencia que le era exigible, que no todas las imágenes se referían al autor del hecho noticiable.</w:t>
      </w:r>
    </w:p>
    <w:p w14:paraId="495CDE9A" w14:textId="77777777" w:rsidR="00A8138F" w:rsidRDefault="00A8138F" w:rsidP="00A8138F">
      <w:pPr>
        <w:pStyle w:val="TextoNormal"/>
      </w:pPr>
    </w:p>
    <w:p w14:paraId="5BB92483" w14:textId="77777777" w:rsidR="00A8138F" w:rsidRDefault="00A8138F" w:rsidP="00A8138F">
      <w:pPr>
        <w:pStyle w:val="TextoNormal"/>
      </w:pPr>
      <w:r>
        <w:t>En estas circunstancias, la conducta de la ahora demandante de amparo debió entenderse amparada por la libertad de información, lo que es incompatible con la declarada intromisión ilegítima en el derecho a la propia imagen del señor Opazos.</w:t>
      </w:r>
    </w:p>
    <w:p w14:paraId="5A5F06A3" w14:textId="77777777" w:rsidR="00A8138F" w:rsidRDefault="00A8138F" w:rsidP="00A8138F">
      <w:pPr>
        <w:pStyle w:val="TextoNormal"/>
      </w:pPr>
    </w:p>
    <w:p w14:paraId="5961C2AB" w14:textId="77777777" w:rsidR="00A8138F" w:rsidRDefault="00A8138F" w:rsidP="00A8138F">
      <w:pPr>
        <w:pStyle w:val="TextoNormal"/>
      </w:pPr>
      <w:r>
        <w:t>6. Las sentencias del Tribunal Europeo de Derechos Humanos invocadas en apoyo de la desestimación del recurso de amparo, no guardan relación con el problema constitucional aquí planteado</w:t>
      </w:r>
    </w:p>
    <w:p w14:paraId="4A054909" w14:textId="77777777" w:rsidR="00A8138F" w:rsidRDefault="00A8138F" w:rsidP="00A8138F">
      <w:pPr>
        <w:pStyle w:val="TextoNormal"/>
      </w:pPr>
    </w:p>
    <w:p w14:paraId="782D38F1" w14:textId="77777777" w:rsidR="00A8138F" w:rsidRDefault="00A8138F" w:rsidP="00A8138F">
      <w:pPr>
        <w:pStyle w:val="TextoNormal"/>
      </w:pPr>
      <w:r>
        <w:t>No podemos compartir que las resoluciones del Tribunal Europeo de Derechos Humanos citadas en la sentencia apoyen la conclusión a la que se llega en la misma, de la que disentimos.</w:t>
      </w:r>
    </w:p>
    <w:p w14:paraId="4A92F12B" w14:textId="77777777" w:rsidR="00A8138F" w:rsidRDefault="00A8138F" w:rsidP="00A8138F">
      <w:pPr>
        <w:pStyle w:val="TextoNormal"/>
      </w:pPr>
    </w:p>
    <w:p w14:paraId="5FB4E6BA" w14:textId="77777777" w:rsidR="00A8138F" w:rsidRDefault="00A8138F" w:rsidP="00A8138F">
      <w:pPr>
        <w:pStyle w:val="TextoNormal"/>
      </w:pPr>
      <w:r>
        <w:t xml:space="preserve">Ni la STEDH de 19 de abril de 2011, caso </w:t>
      </w:r>
      <w:r w:rsidRPr="00A8138F">
        <w:rPr>
          <w:i/>
        </w:rPr>
        <w:t>Bozhkov c. Bulgaria</w:t>
      </w:r>
      <w:r>
        <w:t xml:space="preserve">, ni tampoco la de fecha 7 de febrero de 2012, caso </w:t>
      </w:r>
      <w:r w:rsidRPr="00A8138F">
        <w:rPr>
          <w:i/>
        </w:rPr>
        <w:t>Von Hannover c. Alemania</w:t>
      </w:r>
      <w:r>
        <w:t xml:space="preserve"> —núm. 2—, guardan relación con el problema constitucional ahora planteado y que, recordemos, fue determinante para la admisión del recurso de amparo, cuando se estimó que planteaba un problema o afectaba a una faceta de un derecho fundamental sobre el que no había doctrina de este tribunal [STC 155/2009, FJ 2 a)]. El problema constitucional suscitado en este proceso constitucional sigue siendo, en síntesis, si el medio de comunicación actuó amparado en el derecho a la libertad de información o si, por el contrario, vulneró los derechos al honor y a la propia imagen al publicar, sin alteración y citando la fuente, un reportaje en vídeo sobre un hecho delictivo, difundido por una agencia de noticias cuya solvencia profesional no se cuestiona, que incluía por espacio de cuatro segundos la imagen de una persona ajena a la información publicada.</w:t>
      </w:r>
    </w:p>
    <w:p w14:paraId="551F8BAE" w14:textId="77777777" w:rsidR="00A8138F" w:rsidRDefault="00A8138F" w:rsidP="00A8138F">
      <w:pPr>
        <w:pStyle w:val="TextoNormal"/>
      </w:pPr>
    </w:p>
    <w:p w14:paraId="1D8A6390" w14:textId="77777777" w:rsidR="00A8138F" w:rsidRDefault="00A8138F" w:rsidP="00A8138F">
      <w:pPr>
        <w:pStyle w:val="TextoNormal"/>
      </w:pPr>
      <w:r>
        <w:t xml:space="preserve">La STEDH dictada en el caso </w:t>
      </w:r>
      <w:r w:rsidRPr="00A8138F">
        <w:rPr>
          <w:i/>
        </w:rPr>
        <w:t>Bozhkov c. Bulgaria</w:t>
      </w:r>
      <w:r>
        <w:t>, trata de la condena al demandante, periodista de profesión, por la comisión de un delito de difamación, al haber difundido en un diario nacional declaraciones injuriosas sobre cuatro funcionarios en el ejercicio de sus funciones, vertidas en dos artículos relativos a sobornos en las escuelas secundarias de determinada localidad de Bulgaria. Para recopilar la información necesaria para su artículo, el demandante mantuvo conversaciones con padres que protestaban frente a la inspección de educación, con la jefa de la inspección, con otros periodistas de Sofía y con el vicegobernador regional encargado de la educación.</w:t>
      </w:r>
    </w:p>
    <w:p w14:paraId="48322E2F" w14:textId="77777777" w:rsidR="00A8138F" w:rsidRDefault="00A8138F" w:rsidP="00A8138F">
      <w:pPr>
        <w:pStyle w:val="TextoNormal"/>
      </w:pPr>
    </w:p>
    <w:p w14:paraId="1E85970C" w14:textId="77777777" w:rsidR="00A8138F" w:rsidRDefault="00A8138F" w:rsidP="00A8138F">
      <w:pPr>
        <w:pStyle w:val="TextoNormal"/>
      </w:pPr>
      <w:r>
        <w:t xml:space="preserve">En cuanto a la STEDH del caso </w:t>
      </w:r>
      <w:r w:rsidRPr="00A8138F">
        <w:rPr>
          <w:i/>
        </w:rPr>
        <w:t>Von Hannover c. Alemania</w:t>
      </w:r>
      <w:r>
        <w:t xml:space="preserve"> —núm. 2—, se refiere a demandas interpuestas para que se prohibiera la publicación en prensa de fotografías sobre la vida privada de los demandantes.</w:t>
      </w:r>
    </w:p>
    <w:p w14:paraId="5BB15B7A" w14:textId="77777777" w:rsidR="00A8138F" w:rsidRDefault="00A8138F" w:rsidP="00A8138F">
      <w:pPr>
        <w:pStyle w:val="TextoNormal"/>
      </w:pPr>
    </w:p>
    <w:p w14:paraId="1A6376B9" w14:textId="77777777" w:rsidR="00A8138F" w:rsidRDefault="00A8138F" w:rsidP="00A8138F">
      <w:pPr>
        <w:pStyle w:val="TextoNormal"/>
      </w:pPr>
      <w:r>
        <w:lastRenderedPageBreak/>
        <w:t>Como puede observarse, ninguna de estas dos resoluciones puede citarse como precedente autorizado en apoyo de la fundamentación de la sentencia objeto de nuestra discrepancia, al ser las circunstancias particulares de los respectivos dos casos, extrañas a las que cobran relevancia en el ahora sometido a nuestra consideración.</w:t>
      </w:r>
    </w:p>
    <w:p w14:paraId="29280C58" w14:textId="77777777" w:rsidR="00A8138F" w:rsidRDefault="00A8138F" w:rsidP="00A8138F">
      <w:pPr>
        <w:pStyle w:val="TextoNormal"/>
      </w:pPr>
    </w:p>
    <w:p w14:paraId="2ED7FE0C" w14:textId="77777777" w:rsidR="00A8138F" w:rsidRDefault="00A8138F" w:rsidP="00A8138F">
      <w:pPr>
        <w:pStyle w:val="TextoNormal"/>
      </w:pPr>
      <w:r>
        <w:t>7. Sobre la declarada inexistencia de efecto disuasorio para el ejercicio de la libertad de información</w:t>
      </w:r>
    </w:p>
    <w:p w14:paraId="577CD7EF" w14:textId="77777777" w:rsidR="00A8138F" w:rsidRDefault="00A8138F" w:rsidP="00A8138F">
      <w:pPr>
        <w:pStyle w:val="TextoNormal"/>
      </w:pPr>
    </w:p>
    <w:p w14:paraId="099F349A" w14:textId="77777777" w:rsidR="00A8138F" w:rsidRDefault="00A8138F" w:rsidP="00A8138F">
      <w:pPr>
        <w:pStyle w:val="TextoNormal"/>
      </w:pPr>
      <w:r>
        <w:t xml:space="preserve">En un apartado de la sentencia dedicado al eventual efecto disuasorio que podría causar para el ejercicio del derecho de la libertad de información, se declara que “[l]a libertad de información de los periodistas garantiza que la cuantía de las indemnizaciones impuestas a las empresas de prensa no amenace sus bases económicas (STEDH de 26 de noviembre de 2013, </w:t>
      </w:r>
      <w:r w:rsidRPr="00A8138F">
        <w:rPr>
          <w:i/>
        </w:rPr>
        <w:t>Błaja News Sp. z o. o. c. Polonia</w:t>
      </w:r>
      <w:r>
        <w:t>, § 71). En este caso, la cantidad indemnizatoria fijada, muy alejada de la peticionada por el afectado, carece de efecto disuasorio alguno. No se aprecia que la indemnización fijada, atendida su cuantía, pueda tener un impacto en la función que le corresponde a los medios de comunicación en general de difundir informaciones”.</w:t>
      </w:r>
    </w:p>
    <w:p w14:paraId="2D123CFD" w14:textId="77777777" w:rsidR="00A8138F" w:rsidRDefault="00A8138F" w:rsidP="00A8138F">
      <w:pPr>
        <w:pStyle w:val="TextoNormal"/>
      </w:pPr>
    </w:p>
    <w:p w14:paraId="197CDB80" w14:textId="77777777" w:rsidR="00A8138F" w:rsidRDefault="00A8138F" w:rsidP="00A8138F">
      <w:pPr>
        <w:pStyle w:val="TextoNormal"/>
      </w:pPr>
      <w:r>
        <w:t>En modo alguno podemos aceptar que la indemnización a cuyo abono fue condenada la demandante de amparo sea el único elemento potencialmente disuasorio del derecho a la información de los medios de comunicación en casos como este.</w:t>
      </w:r>
    </w:p>
    <w:p w14:paraId="4A732F7F" w14:textId="77777777" w:rsidR="00A8138F" w:rsidRDefault="00A8138F" w:rsidP="00A8138F">
      <w:pPr>
        <w:pStyle w:val="TextoNormal"/>
      </w:pPr>
    </w:p>
    <w:p w14:paraId="1E1CD0C6" w14:textId="77777777" w:rsidR="00A8138F" w:rsidRDefault="00A8138F" w:rsidP="00A8138F">
      <w:pPr>
        <w:pStyle w:val="TextoNormal"/>
      </w:pPr>
      <w:r>
        <w:t>En primer lugar y en términos generales, el ejercicio profesional de los medios de información no se encuentra únicamente condicionado por las posibles responsabilidades pecuniarias en que pudieran incurrir, sin tomar en consideración el riesgo, aun remoto, de vulneración de derechos fundamentales ajenos.</w:t>
      </w:r>
    </w:p>
    <w:p w14:paraId="5FF2219F" w14:textId="77777777" w:rsidR="00A8138F" w:rsidRDefault="00A8138F" w:rsidP="00A8138F">
      <w:pPr>
        <w:pStyle w:val="TextoNormal"/>
      </w:pPr>
    </w:p>
    <w:p w14:paraId="1D5D2174" w14:textId="77777777" w:rsidR="00A8138F" w:rsidRDefault="00A8138F" w:rsidP="00A8138F">
      <w:pPr>
        <w:pStyle w:val="TextoNormal"/>
      </w:pPr>
      <w:r>
        <w:t>El efecto disuasorio del ejercicio de la libertad de información no se reduce únicamente al montante de una posible indemnización, sino que asimismo han de considerarse disuasorias otras circunstancias, tales como el coste reputacional para el medio de comunicación al que se condena como causante de una vulneración de los derechos al honor y la propia imagen de terceros.</w:t>
      </w:r>
    </w:p>
    <w:p w14:paraId="5DA0070E" w14:textId="77777777" w:rsidR="00A8138F" w:rsidRDefault="00A8138F" w:rsidP="00A8138F">
      <w:pPr>
        <w:pStyle w:val="TextoNormal"/>
      </w:pPr>
    </w:p>
    <w:p w14:paraId="6E70F5AB" w14:textId="77777777" w:rsidR="00A8138F" w:rsidRDefault="00A8138F" w:rsidP="00A8138F">
      <w:pPr>
        <w:pStyle w:val="TextoNormal"/>
      </w:pPr>
      <w:r>
        <w:t>Por otro lado, la extrema dificultad que pueda suponer, en determinados casos, cumplir con el deber de diligencia que impone la sentencia del Pleno, puede comportar un efecto disuasorio al optar por hacer uso de las agencias de información de profesionalidad no discutida o de retrasar en exceso la publicación mientras se desarrollan tareas de comprobación, cuando no haya indicios de error o inveracidad de las noticias facilitadas por las mismas, en perjuicio de la inmediatez en la transmisión de la información.</w:t>
      </w:r>
    </w:p>
    <w:p w14:paraId="1A983439" w14:textId="77777777" w:rsidR="00A8138F" w:rsidRDefault="00A8138F" w:rsidP="00A8138F">
      <w:pPr>
        <w:pStyle w:val="TextoNormal"/>
      </w:pPr>
    </w:p>
    <w:p w14:paraId="45FF4099" w14:textId="77777777" w:rsidR="00A8138F" w:rsidRDefault="00A8138F" w:rsidP="00A8138F">
      <w:pPr>
        <w:pStyle w:val="TextoNormal"/>
      </w:pPr>
      <w:r>
        <w:t>En ambos supuestos no solo se distorsiona el normal funcionamiento entre agencias de noticias y medios de comunicación, sino también se limita la difusión de noticias en perjuicio de la libertad de informar y del derecho a ser informado en una sociedad democrática.</w:t>
      </w:r>
    </w:p>
    <w:p w14:paraId="709151E9" w14:textId="77777777" w:rsidR="00A8138F" w:rsidRDefault="00A8138F" w:rsidP="00A8138F">
      <w:pPr>
        <w:pStyle w:val="TextoNormal"/>
      </w:pPr>
    </w:p>
    <w:p w14:paraId="2EC1996A" w14:textId="77777777" w:rsidR="00A8138F" w:rsidRDefault="00A8138F" w:rsidP="00A8138F">
      <w:pPr>
        <w:pStyle w:val="TextoNormal"/>
      </w:pPr>
      <w:r>
        <w:t>8. Conclusión</w:t>
      </w:r>
    </w:p>
    <w:p w14:paraId="7F216646" w14:textId="77777777" w:rsidR="00A8138F" w:rsidRDefault="00A8138F" w:rsidP="00A8138F">
      <w:pPr>
        <w:pStyle w:val="TextoNormal"/>
      </w:pPr>
    </w:p>
    <w:p w14:paraId="48CC0D0C" w14:textId="77777777" w:rsidR="00A8138F" w:rsidRDefault="00A8138F" w:rsidP="00A8138F">
      <w:pPr>
        <w:pStyle w:val="TextoNormal"/>
      </w:pPr>
      <w:r>
        <w:t>Como apunta la propia resolución de la que disentimos, en la doctrina constitucional se reconoce al derecho a la libertad de información una posición especial en nuestro ordena</w:t>
      </w:r>
      <w:r>
        <w:lastRenderedPageBreak/>
        <w:t>miento, por cuanto a través de este derecho no solo se protege un interés individual, sino que entraña también el reconocimiento y garantía de la posibilidad de existencia de una opinión pública libre, indisolublemente unida al pluralismo político propio del Estado democrático.</w:t>
      </w:r>
    </w:p>
    <w:p w14:paraId="1DE26D4E" w14:textId="77777777" w:rsidR="00A8138F" w:rsidRDefault="00A8138F" w:rsidP="00A8138F">
      <w:pPr>
        <w:pStyle w:val="TextoNormal"/>
      </w:pPr>
    </w:p>
    <w:p w14:paraId="5FFED26F" w14:textId="77777777" w:rsidR="00A8138F" w:rsidRDefault="00A8138F" w:rsidP="00A8138F">
      <w:pPr>
        <w:pStyle w:val="TextoNormal"/>
      </w:pPr>
      <w:r>
        <w:t>Por ello, no podemos compartir la conclusión a la que se llega en la sentencia de que la intensidad del deber de diligencia exigido en la misma se limita a “la mera verificación del control externo del material informativo tal y como había sido editado por la agencia de noticias” y que solo “contribuye a una efectiva tutela de los derechos al honor y a la propia imagen de los afectados”, no pueda operar como factor disuasorio para que los medios de comunicación lleven a cabo su función de transmitir información al público o para que las agencias de noticias realicen su labor de servir como fuente de información.</w:t>
      </w:r>
    </w:p>
    <w:p w14:paraId="06F440E7" w14:textId="77777777" w:rsidR="00A8138F" w:rsidRDefault="00A8138F" w:rsidP="00A8138F">
      <w:pPr>
        <w:pStyle w:val="TextoNormal"/>
      </w:pPr>
    </w:p>
    <w:p w14:paraId="1BB8327C" w14:textId="77777777" w:rsidR="00A8138F" w:rsidRDefault="00A8138F" w:rsidP="00A8138F">
      <w:pPr>
        <w:pStyle w:val="TextoNormal"/>
      </w:pPr>
      <w:r>
        <w:t>Estimamos, por el contrario, que las circunstancias del caso justificaban que se modulara la diligencia exigible y que, en esa operación, se rechazara que el medio de comunicación recurrente en amparo actuara de forma negligente o irresponsable por no haber contrastado las concretas imágenes en las que aparecía, escasos cuatro segundos, el señor Opazos con las del protagonista de la noticia, al que se identificaba por su nombre apellidos y apodo como autor de los hechos y cuya imagen era la que aparecía en la práctica totalidad del reportaje, máxime cuando el propio interesado reconoció en el procedimiento la dificultad de distinguir entre ambos sujetos.</w:t>
      </w:r>
    </w:p>
    <w:p w14:paraId="2904ECDD" w14:textId="77777777" w:rsidR="00A8138F" w:rsidRDefault="00A8138F" w:rsidP="00A8138F">
      <w:pPr>
        <w:pStyle w:val="TextoNormal"/>
      </w:pPr>
    </w:p>
    <w:p w14:paraId="4B265B80" w14:textId="77777777" w:rsidR="00A8138F" w:rsidRDefault="00A8138F" w:rsidP="00A8138F">
      <w:pPr>
        <w:pStyle w:val="TextoNormal"/>
      </w:pPr>
      <w:r>
        <w:t>Consideramos que no cabe estimar, por tanto, un incumplimiento del deber de comprobación de la noticia por parte del medio de comunicación, ya que la noticia en su conjunto era veraz, el error en la inserción de las imágenes no era fácilmente perceptible y la noticia procedía de una fuente fiable, en concreto, una agencia de noticias. A ello se añade que, una vez publicadas las imágenes, el demandante en el proceso civil no se dirigió al medio de comunicación para advertirle sobre la inexactitud de determinadas imágenes que aparecían publicadas citando la fuente y, de este modo, intentar su supresión antes de interponer la demanda que dio lugar al procedimiento del que trae causa este recurso de amparo.</w:t>
      </w:r>
    </w:p>
    <w:p w14:paraId="70EB173D" w14:textId="77777777" w:rsidR="00A8138F" w:rsidRDefault="00A8138F" w:rsidP="00A8138F">
      <w:pPr>
        <w:pStyle w:val="TextoNormal"/>
      </w:pPr>
    </w:p>
    <w:p w14:paraId="68E87503" w14:textId="77777777" w:rsidR="00A8138F" w:rsidRDefault="00A8138F" w:rsidP="00A8138F">
      <w:pPr>
        <w:pStyle w:val="TextoNormal"/>
      </w:pPr>
      <w:r>
        <w:t>Concluimos, en consecuencia, que el Tribunal debería haber resuelto que se cumple en este caso el canon constitucional de veracidad en atención a la diligencia exigible en la comprobación y contraste de la noticia, al tener en cuenta: (i) la dificultad en percibir que unas concretas imágenes, que tan solo aparecían en un breve lapso de tiempo en el conjunto del vídeo, se referían a una persona distinta aunque de gran parecido físico al sujeto de la noticia, por lo que no era un error fácilmente perceptible y (ii) la confianza en la fuente, al tratarse de una agencia de información cuya solvencia y fiabilidad no se ha negado en las resoluciones judiciales.</w:t>
      </w:r>
    </w:p>
    <w:p w14:paraId="33B88C87" w14:textId="77777777" w:rsidR="00A8138F" w:rsidRDefault="00A8138F" w:rsidP="00A8138F">
      <w:pPr>
        <w:pStyle w:val="TextoNormal"/>
      </w:pPr>
    </w:p>
    <w:p w14:paraId="192072F7" w14:textId="77777777" w:rsidR="00A8138F" w:rsidRDefault="00A8138F" w:rsidP="00A8138F">
      <w:pPr>
        <w:pStyle w:val="TextoNormal"/>
      </w:pPr>
      <w:r>
        <w:t>En definitiva, a pesar de la gravedad de los hechos imputados —criterio que sirvió al Tribunal Supremo y que se asume en la sentencia de la que discrepamos para apreciar la intromisión ilegítima en los derechos al honor y a la propia imagen del señor Opazos—, la actuación del medio de comunicación debería haberse entendido amparada en su derecho fundamental a la libertad de información y, en consecuencia, otorgado el amparo solicitado por Diario ABC, S.L., con declaración de nulidad de la sentencia impugnada en restablecimiento del derecho a la libertad de información que entendemos ha sido lesionado.</w:t>
      </w:r>
    </w:p>
    <w:p w14:paraId="1CE89DC9" w14:textId="77777777" w:rsidR="00A8138F" w:rsidRDefault="00A8138F" w:rsidP="00A8138F">
      <w:pPr>
        <w:pStyle w:val="TextoNormal"/>
      </w:pPr>
    </w:p>
    <w:p w14:paraId="6A03FF2A" w14:textId="77777777" w:rsidR="00A8138F" w:rsidRDefault="00A8138F" w:rsidP="00A8138F">
      <w:pPr>
        <w:pStyle w:val="TextoNormal"/>
      </w:pPr>
      <w:r>
        <w:lastRenderedPageBreak/>
        <w:t>Y en este sentido emitimos nuestro voto particular.</w:t>
      </w:r>
    </w:p>
    <w:p w14:paraId="3C339E5F" w14:textId="77777777" w:rsidR="00A8138F" w:rsidRDefault="00A8138F" w:rsidP="00A8138F">
      <w:pPr>
        <w:pStyle w:val="TextoNormal"/>
      </w:pPr>
    </w:p>
    <w:p w14:paraId="197C426E" w14:textId="234F7F33" w:rsidR="00A8138F" w:rsidRDefault="00A8138F" w:rsidP="00A8138F">
      <w:pPr>
        <w:pStyle w:val="TextoNormal"/>
      </w:pPr>
      <w:r>
        <w:t>Madrid, a once de marzo de dos mil veinticinco.</w:t>
      </w:r>
    </w:p>
    <w:p w14:paraId="25A55963" w14:textId="77777777" w:rsidR="00A8138F" w:rsidRDefault="00A8138F" w:rsidP="00A8138F">
      <w:pPr>
        <w:pStyle w:val="TextoNormal"/>
      </w:pPr>
    </w:p>
    <w:p w14:paraId="4B75D2E7" w14:textId="77777777" w:rsidR="00A8138F" w:rsidRDefault="00A8138F" w:rsidP="00A8138F">
      <w:pPr>
        <w:pStyle w:val="TextoNormalNegritaCentrado"/>
        <w:keepNext/>
      </w:pPr>
      <w:r>
        <w:t>Voto particular del magistrado don Juan Carlos Campo Moreno a la sentencia del recurso de amparo 6890-2023</w:t>
      </w:r>
    </w:p>
    <w:p w14:paraId="13610233" w14:textId="0B9E1AC6" w:rsidR="00A8138F" w:rsidRDefault="00A8138F" w:rsidP="00A8138F">
      <w:pPr>
        <w:pStyle w:val="TextoNormalNegritaCentrado"/>
        <w:keepNext/>
      </w:pPr>
    </w:p>
    <w:p w14:paraId="39D764D1" w14:textId="77777777" w:rsidR="00A8138F" w:rsidRDefault="00A8138F" w:rsidP="00A8138F">
      <w:pPr>
        <w:pStyle w:val="TextoNormal"/>
      </w:pPr>
      <w:r>
        <w:t>Con el máximo respeto a mis compañeros, me veo obligado a expresar mediante el presente voto particular mi disconformidad con la sentencia aprobada por la mayoría del Pleno. El objeto de mi discrepancia tiene una doble vertiente:</w:t>
      </w:r>
    </w:p>
    <w:p w14:paraId="11C04871" w14:textId="77777777" w:rsidR="00A8138F" w:rsidRDefault="00A8138F" w:rsidP="00A8138F">
      <w:pPr>
        <w:pStyle w:val="TextoNormal"/>
      </w:pPr>
    </w:p>
    <w:p w14:paraId="1C619F56" w14:textId="77777777" w:rsidR="00A8138F" w:rsidRDefault="00A8138F" w:rsidP="00A8138F">
      <w:pPr>
        <w:pStyle w:val="TextoNormal"/>
      </w:pPr>
      <w:r>
        <w:t xml:space="preserve">a) Coincido, en primer lugar, con la sentencia aprobada en que no nos encontramos —como ya sostenía solventemente la Sala de lo Civil del Tribunal Supremo en la sentencia impugnada (1225/2023, de 13 de septiembre)— ante un supuesto de hecho que pueda catalogarse como </w:t>
      </w:r>
      <w:r w:rsidRPr="00A8138F">
        <w:rPr>
          <w:i/>
        </w:rPr>
        <w:t>reportaje neutral</w:t>
      </w:r>
      <w:r>
        <w:t>. Estimo, sin embargo, que la sentencia casacional sí incurrió en una vulneración del derecho a la libertad de información al condenar al medio recurrente (“ABC”) a pagar una indemnización (de 3000 €) al demandante del proceso civil.</w:t>
      </w:r>
    </w:p>
    <w:p w14:paraId="3E2ABDB6" w14:textId="77777777" w:rsidR="00A8138F" w:rsidRDefault="00A8138F" w:rsidP="00A8138F">
      <w:pPr>
        <w:pStyle w:val="TextoNormal"/>
      </w:pPr>
    </w:p>
    <w:p w14:paraId="55438BF7" w14:textId="77777777" w:rsidR="00A8138F" w:rsidRDefault="00A8138F" w:rsidP="00A8138F">
      <w:pPr>
        <w:pStyle w:val="TextoNormal"/>
      </w:pPr>
      <w:r>
        <w:t>El presente caso constituía, en este punto, una buena oportunidad para que este tribunal reflexionara sobre los deberes de diligencia exigibles a los medios de comunicación en el marco del actual mundo digital —en el que es evidente que los medios tradicionales tienen una posición competitiva débil y una capacidad de actuación propia más limitada—. Entiendo que, en ese contexto, la diligencia del periódico que recoge una noticia de agencia —siempre que dicha agencia cumpla unos mínimos estándares de profesionalidad y solvencia—, aunque debe ser ponderada en cada caso, no puede llegar hasta el punto de exigir la verificación de la noticia hasta el más mínimo detalle —incluida la imagen que aparece en un breve fragmento de vídeo—, salvo, obviamente, que el defecto informativo sea claro o manifiesto —no siendo ese el caso del asunto presente—.</w:t>
      </w:r>
    </w:p>
    <w:p w14:paraId="6A921DBB" w14:textId="77777777" w:rsidR="00A8138F" w:rsidRDefault="00A8138F" w:rsidP="00A8138F">
      <w:pPr>
        <w:pStyle w:val="TextoNormal"/>
      </w:pPr>
    </w:p>
    <w:p w14:paraId="401F9230" w14:textId="77777777" w:rsidR="00A8138F" w:rsidRDefault="00A8138F" w:rsidP="00A8138F">
      <w:pPr>
        <w:pStyle w:val="TextoNormal"/>
      </w:pPr>
      <w:r>
        <w:t xml:space="preserve">A mi parecer, sí que hubo, en el supuesto que enjuiciamos, un quebrantamiento del deber de diligencia periodística, pero entiendo que esa infracción de la </w:t>
      </w:r>
      <w:r w:rsidRPr="00A8138F">
        <w:rPr>
          <w:i/>
        </w:rPr>
        <w:t>lex artis</w:t>
      </w:r>
      <w:r>
        <w:t xml:space="preserve"> resultaba exclusivamente atribuible a la agencia autora de la noticia —que fue la que seleccionó negligentemente las imágenes de vídeo— sin que pueda extenderse, de forma automática, a todos y cada uno de los medios de comunicación que se hicieron eco de ella. Por tal razón, solo la referida agencia debería quedar sujeta, en el presente caso, al pago de la correspondiente responsabilidad civil por los daños ocasionados a la persona afectada. Dicho resumidamente: aunque no nos encontremos, en puridad, ante un reportaje neutral, el deber de diligencia que asume la agencia que elabora la noticia y el del medio de comunicación que se limita a recogerla —sin asumir su autoría— no puede ser, en el actual contexto digital, el mismo.</w:t>
      </w:r>
    </w:p>
    <w:p w14:paraId="7FAC40F0" w14:textId="77777777" w:rsidR="00A8138F" w:rsidRDefault="00A8138F" w:rsidP="00A8138F">
      <w:pPr>
        <w:pStyle w:val="TextoNormal"/>
      </w:pPr>
    </w:p>
    <w:p w14:paraId="18E8FFAC" w14:textId="77777777" w:rsidR="00A8138F" w:rsidRDefault="00A8138F" w:rsidP="00A8138F">
      <w:pPr>
        <w:pStyle w:val="TextoNormal"/>
      </w:pPr>
      <w:r>
        <w:t>b) Sin embargo, tal y como sostuve en la deliberación del Pleno, el hecho de que el medio de comunicación demandante de amparo no fuera responsable del incumplimiento de los deberes de diligencia exigibles debió dar lugar, en mi opinión, a una sentencia solo parcialmente estimatoria, que preservase la tutela del derecho al honor del demandante del proceso civil en lo relativo a la acción —puramente objetiva— de reintegración de su derecho fundamental, con la consiguiente condena a eliminar las imágenes del afectado de la página web del diario “ABC”.</w:t>
      </w:r>
    </w:p>
    <w:p w14:paraId="028E5875" w14:textId="77777777" w:rsidR="00A8138F" w:rsidRDefault="00A8138F" w:rsidP="00A8138F">
      <w:pPr>
        <w:pStyle w:val="TextoNormal"/>
      </w:pPr>
    </w:p>
    <w:p w14:paraId="4858BBCB" w14:textId="77777777" w:rsidR="00A8138F" w:rsidRDefault="00A8138F" w:rsidP="00A8138F">
      <w:pPr>
        <w:pStyle w:val="TextoNormal"/>
      </w:pPr>
      <w:r>
        <w:t>Frente a lo que puede deducirse de la doctrina clásica de este tribunal sobre el conflicto entre libertad de información y honor, la ponderación de la relación recíproca de estos dos derechos fundamentales no tiene por qué consistir siempre en un juego de todo o nada. Ponderar significa encontrar una solución que maximice la eficacia los dos derechos fundamentales en conflicto si esto resulta posible. Y eso es justo lo que pretende la redacción vigente de la Ley Orgánica 1/1982, de 5 de junio, al separar analíticamente los distintos remedios que están a disposición de quien sufre una intromisión en su honor. La víctima de una vulneración no tiene por qué sacrificarse de modo absoluto cuando hay un remedio a su alcance previsto por la propia ley que puede reparar la intromisión puramente objetiva en su reputación pública (en este caso, la eliminación de las imágenes de la página web).</w:t>
      </w:r>
    </w:p>
    <w:p w14:paraId="38FBD0D7" w14:textId="77777777" w:rsidR="00A8138F" w:rsidRDefault="00A8138F" w:rsidP="00A8138F">
      <w:pPr>
        <w:pStyle w:val="TextoNormal"/>
      </w:pPr>
    </w:p>
    <w:p w14:paraId="6753EE3F" w14:textId="77777777" w:rsidR="00A8138F" w:rsidRDefault="00A8138F" w:rsidP="00A8138F">
      <w:pPr>
        <w:pStyle w:val="TextoNormal"/>
      </w:pPr>
      <w:r>
        <w:t>Es justo reconocer que fue don Fernando Pantaleón Prieto el primer autor en poner de manifiesto la diferente tutela que ha de recibir el derecho al honor a efectos de restitución o de indemnización. Como explicaba el ilustre civilista, si una persona, al salir de una cafetería, se lleva el abrigo de otro cliente porque es idéntico al suyo, no puede exigírsele responsabilidad civil alguna, pues no ha incumplido ningún deber de diligencia, pero sí se le puede obligar a restituir el abrigo a su legítimo propietario, pues este modo de reintegración del derecho de propiedad depende de un juicio puramente objetivo sobre la titularidad del bien.</w:t>
      </w:r>
    </w:p>
    <w:p w14:paraId="6E548926" w14:textId="77777777" w:rsidR="00A8138F" w:rsidRDefault="00A8138F" w:rsidP="00A8138F">
      <w:pPr>
        <w:pStyle w:val="TextoNormal"/>
      </w:pPr>
    </w:p>
    <w:p w14:paraId="6720BA4F" w14:textId="77777777" w:rsidR="00A8138F" w:rsidRDefault="00A8138F" w:rsidP="00A8138F">
      <w:pPr>
        <w:pStyle w:val="TextoNormal"/>
      </w:pPr>
      <w:r>
        <w:t xml:space="preserve">Con el honor, decía Pantaleón, ocurre lo mismo: si un periodista publica una noticia que atribuye a alguien conductas pederastas y dicho profesional de la información ha sido completamente diligente al verificarla no se le puede condenar (ni al él ni al medio para el que trabaja) a indemnizar al afectado (canon de </w:t>
      </w:r>
      <w:r w:rsidRPr="00A8138F">
        <w:rPr>
          <w:i/>
        </w:rPr>
        <w:t>veracidad subjetiva</w:t>
      </w:r>
      <w:r>
        <w:t xml:space="preserve">, ligado a la idea de </w:t>
      </w:r>
      <w:r w:rsidRPr="00A8138F">
        <w:rPr>
          <w:i/>
        </w:rPr>
        <w:t>culpa</w:t>
      </w:r>
      <w:r>
        <w:t>). Sin embargo, si pese a la diligencia desplegada, se demuestra inequívocamente la falsedad objetiva del hecho atribuido al afectado, este sí tiene derecho a una tutela estrictamente restitutoria o reintegradora, que consiste en la eliminación de la noticia (si todavía está publicada en internet) o en la publicación en el medio de una rectificación con la misma publicidad que tuvo la noticia falsa.</w:t>
      </w:r>
    </w:p>
    <w:p w14:paraId="07D57BEF" w14:textId="77777777" w:rsidR="00A8138F" w:rsidRDefault="00A8138F" w:rsidP="00A8138F">
      <w:pPr>
        <w:pStyle w:val="TextoNormal"/>
      </w:pPr>
    </w:p>
    <w:p w14:paraId="3F8D965A" w14:textId="77777777" w:rsidR="00A8138F" w:rsidRDefault="00A8138F" w:rsidP="00A8138F">
      <w:pPr>
        <w:pStyle w:val="TextoNormal"/>
      </w:pPr>
      <w:r>
        <w:t>En la actualidad, no estamos ya ante una (atinada) posición doctrinal sino ante una exigencia de la vigente Ley Orgánica de protección del honor. La Ley Orgánica 1/1982, de 5 de mayo fue, en efecto, reformada por el legislador en el año 2010 (Ley Orgánica 5/2010, de 22 de junio) justamente para acoger la distinta operatividad de la acción de resarcimiento (dependiente de la veracidad subjetiva) y la acción de reintegración o restablecimiento del honor (en la que basta la acreditación de la falsedad de la información publicada para que deba ser corregida por el medio que la ha divulgado).</w:t>
      </w:r>
    </w:p>
    <w:p w14:paraId="368184DF" w14:textId="77777777" w:rsidR="00A8138F" w:rsidRDefault="00A8138F" w:rsidP="00A8138F">
      <w:pPr>
        <w:pStyle w:val="TextoNormal"/>
      </w:pPr>
    </w:p>
    <w:p w14:paraId="1A2FB6F9" w14:textId="77777777" w:rsidR="00A8138F" w:rsidRDefault="00A8138F" w:rsidP="00A8138F">
      <w:pPr>
        <w:pStyle w:val="TextoNormal"/>
      </w:pPr>
      <w:r>
        <w:t xml:space="preserve">La doctrina de este tribunal no ha tenido hasta ahora ocasión de pronunciarse sobre la incidencia de esta reforma legal en la tutela jurídica del derecho al honor, probablemente porque son pocos los casos en los que es posible acreditar la falsedad objetiva de la información, de suerte que todas las tutelas dependen, </w:t>
      </w:r>
      <w:r w:rsidRPr="00A8138F">
        <w:rPr>
          <w:i/>
        </w:rPr>
        <w:t>de facto</w:t>
      </w:r>
      <w:r>
        <w:t>, de la diligencia desplegada por los periodistas. Hay, sin embargo, casos excepcionales en los que la falsedad objetiva de la información queda claramente establecida, de modo que, aun cuando el medio desplegara la diligencia necesaria, se produce una intromisión en el derecho al honor que, conforme a la Ley Orgánica 1/1982, en su redacción vigente, tiene que ser reparada.</w:t>
      </w:r>
    </w:p>
    <w:p w14:paraId="7F64942B" w14:textId="77777777" w:rsidR="00A8138F" w:rsidRDefault="00A8138F" w:rsidP="00A8138F">
      <w:pPr>
        <w:pStyle w:val="TextoNormal"/>
      </w:pPr>
    </w:p>
    <w:p w14:paraId="796C006E" w14:textId="77777777" w:rsidR="00A8138F" w:rsidRDefault="00A8138F" w:rsidP="00A8138F">
      <w:pPr>
        <w:pStyle w:val="TextoNormal"/>
      </w:pPr>
      <w:r>
        <w:lastRenderedPageBreak/>
        <w:t>El asunto objeto del presente recurso de amparo es uno de esos casos excepcionales. Aplicar a este tipo de supuestos el canon de veracidad subjetiva, sin circunscribirlo a los pronunciamientos estrictamente relativos a la responsabilidad civil, supone dejar constitucionalmente indefenso a quien puede demostrar la falsedad de la información por mucho que el periodista haya sido diligente al publicarla.</w:t>
      </w:r>
    </w:p>
    <w:p w14:paraId="654DFC67" w14:textId="77777777" w:rsidR="00A8138F" w:rsidRDefault="00A8138F" w:rsidP="00A8138F">
      <w:pPr>
        <w:pStyle w:val="TextoNormal"/>
      </w:pPr>
    </w:p>
    <w:p w14:paraId="22C85DFA" w14:textId="77777777" w:rsidR="00A8138F" w:rsidRDefault="00A8138F" w:rsidP="00A8138F">
      <w:pPr>
        <w:pStyle w:val="TextoNormal"/>
      </w:pPr>
      <w:r>
        <w:t>En mi opinión, en el conflicto contemplado en el art. 20.4 CE resulta esencial que el individuo afectado por una noticia falsa —como la que le atribuye un crimen— pueda preservar su honor haciendo cesar la divulgación en la opinión pública de los hechos que son inequívocamente falsos. Que el informador haya sido diligente es, en cambio, relevante en el ámbito de la indemnización. Pero esa diligencia es (sustantivamente) inocua desde el punto de vista de la reintegración (en sentido estricto) del derecho al honor, que ha de operar de un modo objetivo, pues en otro caso este derecho fundamental (límite expreso de las libertades comunicativas según el art 20.4 CE) se convertiría en papel mojado.</w:t>
      </w:r>
    </w:p>
    <w:p w14:paraId="11F12976" w14:textId="77777777" w:rsidR="00A8138F" w:rsidRDefault="00A8138F" w:rsidP="00A8138F">
      <w:pPr>
        <w:pStyle w:val="TextoNormal"/>
      </w:pPr>
    </w:p>
    <w:p w14:paraId="24BE3285" w14:textId="77777777" w:rsidR="00A8138F" w:rsidRDefault="00A8138F" w:rsidP="00A8138F">
      <w:pPr>
        <w:pStyle w:val="TextoNormal"/>
      </w:pPr>
      <w:r>
        <w:t>Una vez acreditada la diligencia del informador (y descartado todo deber de indemnización), siempre ha de ser posible la estimación de la acción reintegradora, conforme a la Ley Orgánica de protección del honor, si se demuestra que la información divulgada es, de modo inequívoco, falsa. Esto es realmente fundamental: la demostración de la veracidad subjetiva desde la óptica del profesional de la información no puede determinar, por sí sola, la desestimación de la acción reintegradora del derecho al honor. Al demandante le debe quedar siempre abierta la posibilidad de obtener la rectificación de la información difundida, por muy diligente que fuera el informador.</w:t>
      </w:r>
    </w:p>
    <w:p w14:paraId="65B41CA9" w14:textId="77777777" w:rsidR="00A8138F" w:rsidRDefault="00A8138F" w:rsidP="00A8138F">
      <w:pPr>
        <w:pStyle w:val="TextoNormal"/>
      </w:pPr>
    </w:p>
    <w:p w14:paraId="7A7E8CCF" w14:textId="77777777" w:rsidR="00A8138F" w:rsidRDefault="00A8138F" w:rsidP="00A8138F">
      <w:pPr>
        <w:pStyle w:val="TextoNormal"/>
      </w:pPr>
      <w:r>
        <w:t>La operatividad del derecho al honor como límite constitucional de las libertades informativas exige, en definitiva, que el afectado tenga la posibilidad de reaccionar frente a informaciones objetivamente falsas, obteniendo, en un caso como este, la eliminación de las imágenes que le relacionan con un hecho delictivo. La acción que permite obtener el cese de la intromisión es, así, la más relevante en la esfera de conflicto de los arts. 18.1 CE y 20 CE. La doctrina del Tribunal Constitucional no ha tenido, sin embargo, la oportunidad, hasta este momento, de analizar esa faceta de la tutela del honor abierta con la reforma legislativa de la Ley Orgánica de protección del honor operada en el año 2010.</w:t>
      </w:r>
    </w:p>
    <w:p w14:paraId="130B6D19" w14:textId="77777777" w:rsidR="00A8138F" w:rsidRDefault="00A8138F" w:rsidP="00A8138F">
      <w:pPr>
        <w:pStyle w:val="TextoNormal"/>
      </w:pPr>
    </w:p>
    <w:p w14:paraId="52B512AC" w14:textId="77777777" w:rsidR="00A8138F" w:rsidRDefault="00A8138F" w:rsidP="00A8138F">
      <w:pPr>
        <w:pStyle w:val="TextoNormal"/>
      </w:pPr>
      <w:r>
        <w:t>Entiendo, por ello, que el presente caso ofrecía a este tribunal una excelente oportunidad para pronunciarse, por primera vez, sobre las implicaciones constitucionales que tiene la diferente regulación, en la Ley Orgánica de protección del honor, de la reparación del derecho al honor mediante la reintegración o restablecimiento puramente objetivo de este derecho fundamental, en los casos en que se demuestra la falsedad objetiva de la información publicada [art. 9.2 a) LOPH] y la reparación del derecho al honor consistente en la indemnización o resarcimiento de daños y perjuicios [art. 9.2 d) LOPH], que depende en cambio de un juicio subjetivo sobre la diligencia desplegada por el demandado.</w:t>
      </w:r>
    </w:p>
    <w:p w14:paraId="433F0254" w14:textId="77777777" w:rsidR="00A8138F" w:rsidRDefault="00A8138F" w:rsidP="00A8138F">
      <w:pPr>
        <w:pStyle w:val="TextoNormal"/>
      </w:pPr>
    </w:p>
    <w:p w14:paraId="7201364C" w14:textId="77777777" w:rsidR="00A8138F" w:rsidRDefault="00A8138F" w:rsidP="00A8138F">
      <w:pPr>
        <w:pStyle w:val="TextoNormal"/>
      </w:pPr>
      <w:r>
        <w:t xml:space="preserve">En el presente supuesto, pese a que “ABC” no fue responsable del incumplimiento de los deberes de diligencia —únicamente achacable a la agencia de noticias—, y por tal razón no debió ser condenado a indemnizar, fue, en cambio, correctamente condenado por el Tribunal Supremo a restituir el derecho al honor mediante la eliminación —en su página web— de las imágenes que, de modo manifiesto y objetivo, relacionaban indebidamente al demandante del proceso civil, aunque fuese implícitamente, con un hecho nada trivial, como es un </w:t>
      </w:r>
      <w:r>
        <w:lastRenderedPageBreak/>
        <w:t>asesinato en un centro penitenciario. La eliminación de esas imágenes de la página web de “ABC” era un remedio necesario para que cesara un gravamen en el honor de la persona afectada que esta no debe soportar. Un remedio que, a diferencia de la indemnización del daño, solo el referido medio de comunicación puede dispensar al ofendido.</w:t>
      </w:r>
    </w:p>
    <w:p w14:paraId="3FB7267C" w14:textId="77777777" w:rsidR="00A8138F" w:rsidRDefault="00A8138F" w:rsidP="00A8138F">
      <w:pPr>
        <w:pStyle w:val="TextoNormal"/>
      </w:pPr>
    </w:p>
    <w:p w14:paraId="4DA4FD34" w14:textId="77777777" w:rsidR="00A8138F" w:rsidRDefault="00A8138F" w:rsidP="00A8138F">
      <w:pPr>
        <w:pStyle w:val="TextoNormal"/>
      </w:pPr>
      <w:r>
        <w:t>Mi opinión es, en suma, que la sentencia aprobada por la mayoría debió analizar de modo distinto los diversos pronunciamientos recogidos en el fallo de la sentencia dictada por la Sala de lo Civil del Tribunal Supremo: (i) de un lado, la condena a indemnizar con 3000 € los daños sufridos [punto 3º.ii) del fallo] y (ii) de otro, la condena a restituir el derecho al honor de la persona afectada mediante la eliminación, en la publicación de la noticia en internet, de las “imágenes determinantes de la intromisión” [punto 3º. iii)]. Desde ese análisis diferenciado, la solución correcta del presente recurso de amparo habría sido, en definitiva, una estimación parcial: (i) anular el pronunciamiento de la sentencia del Tribunal Supremo que condena al pago de una indemnización, en cuanto vulnera el derecho a la libertad de información pese a que no puede reprocharse al medio el incumplimiento de un deber de diligencia (canon de veracidad subjetiva); (ii) mantener la declaración (puramente objetiva) de la intromisión y la obligación puramente restitutoria o reintegradora del derecho consistente en la eliminación de las imágenes del vídeo de la página web que recoge la noticia.</w:t>
      </w:r>
    </w:p>
    <w:p w14:paraId="085467A1" w14:textId="77777777" w:rsidR="00A8138F" w:rsidRDefault="00A8138F" w:rsidP="00A8138F">
      <w:pPr>
        <w:pStyle w:val="TextoNormal"/>
      </w:pPr>
    </w:p>
    <w:p w14:paraId="48560710" w14:textId="29184329" w:rsidR="00A8138F" w:rsidRDefault="00A8138F" w:rsidP="00A8138F">
      <w:pPr>
        <w:pStyle w:val="TextoNormal"/>
      </w:pPr>
      <w:r>
        <w:t>Madrid, a diecisiete de marzo de dos mil veinticinco.</w:t>
      </w:r>
    </w:p>
    <w:p w14:paraId="6D0A81AF" w14:textId="471DF9C7" w:rsidR="00A8138F" w:rsidRDefault="00A8138F">
      <w:pPr>
        <w:spacing w:after="160" w:line="278" w:lineRule="auto"/>
        <w:rPr>
          <w:rFonts w:ascii="Times New Roman" w:eastAsia="Times New Roman" w:hAnsi="Times New Roman" w:cs="Times New Roman"/>
          <w:sz w:val="24"/>
          <w:szCs w:val="24"/>
          <w:lang w:eastAsia="es-ES"/>
        </w:rPr>
      </w:pPr>
      <w:r>
        <w:br w:type="page"/>
      </w:r>
    </w:p>
    <w:p w14:paraId="5936E704" w14:textId="77777777" w:rsidR="00A8138F" w:rsidRDefault="00A8138F" w:rsidP="00A8138F">
      <w:pPr>
        <w:pStyle w:val="TtuloResolucin"/>
      </w:pPr>
      <w:bookmarkStart w:id="65" w:name="SENTENCIA_2025_63"/>
      <w:r>
        <w:lastRenderedPageBreak/>
        <w:t>SENTENCIA 63/2025, de 12 de marzo de 2025</w:t>
      </w:r>
    </w:p>
    <w:bookmarkEnd w:id="65"/>
    <w:p w14:paraId="423D0B7D" w14:textId="77777777" w:rsidR="00A8138F" w:rsidRDefault="00A8138F" w:rsidP="00A8138F">
      <w:pPr>
        <w:pStyle w:val="TtuloResolucin"/>
      </w:pPr>
      <w:r>
        <w:t>Pleno</w:t>
      </w:r>
    </w:p>
    <w:p w14:paraId="5E83C57A" w14:textId="77777777" w:rsidR="00A8138F" w:rsidRDefault="00A8138F" w:rsidP="00A8138F">
      <w:pPr>
        <w:pStyle w:val="TtuloBOE"/>
      </w:pPr>
      <w:r>
        <w:t>(BOE núm. 88, de 11 de abril de 2025)</w:t>
      </w:r>
    </w:p>
    <w:p w14:paraId="59B30CFE" w14:textId="77777777" w:rsidR="00A8138F" w:rsidRDefault="00A8138F" w:rsidP="00A8138F">
      <w:pPr>
        <w:pStyle w:val="TextoNormalCentrado"/>
      </w:pPr>
      <w:r>
        <w:t>ECLI:ES:TC:2025:63</w:t>
      </w:r>
    </w:p>
    <w:p w14:paraId="117F6D97" w14:textId="609BF280" w:rsidR="00A8138F" w:rsidRDefault="00A8138F" w:rsidP="00A8138F">
      <w:pPr>
        <w:pStyle w:val="TextoNormalCentrado"/>
      </w:pPr>
    </w:p>
    <w:p w14:paraId="6A95FA6A" w14:textId="77777777" w:rsidR="00A8138F" w:rsidRDefault="00A8138F" w:rsidP="00A8138F">
      <w:pPr>
        <w:pStyle w:val="SntesisDescriptiva"/>
      </w:pPr>
      <w:r>
        <w:t>Recurso de inconstitucionalidad 7998-2023. Interpuesto por más de cincuenta senadores del Grupo Parlamentario Socialista en el Senado respecto de la reforma del Reglamento del Senado relativa al procedimiento legislativo de urgencia.</w:t>
      </w:r>
    </w:p>
    <w:p w14:paraId="1023864D" w14:textId="3DE3E35B" w:rsidR="00A8138F" w:rsidRDefault="00A8138F" w:rsidP="00A8138F">
      <w:pPr>
        <w:pStyle w:val="SntesisDescriptiva"/>
      </w:pPr>
    </w:p>
    <w:p w14:paraId="0661C185" w14:textId="77777777" w:rsidR="00A8138F" w:rsidRDefault="00A8138F" w:rsidP="00A8138F">
      <w:pPr>
        <w:pStyle w:val="SntesisAnaltica"/>
      </w:pPr>
      <w:r>
        <w:t>Procedimiento legislativo; proyectos y proposiciones de ley: nulidad del precepto que, en el caso de las proposiciones de ley, atribuye a la mesa del Senado la competencia exclusiva para decidir la aplicación del procedimiento de urgencia. Voto particular.</w:t>
      </w:r>
    </w:p>
    <w:p w14:paraId="3A4B2893" w14:textId="3D33C6E3" w:rsidR="00A8138F" w:rsidRDefault="00A8138F" w:rsidP="00A8138F">
      <w:pPr>
        <w:pStyle w:val="SntesisAnaltica"/>
      </w:pPr>
    </w:p>
    <w:p w14:paraId="75A9372F" w14:textId="43CBFFB7" w:rsidR="00A8138F" w:rsidRDefault="00A8138F" w:rsidP="00A8138F">
      <w:pPr>
        <w:pStyle w:val="Extracto"/>
      </w:pPr>
      <w:r>
        <w:t>1.</w:t>
      </w:r>
      <w:r>
        <w:tab/>
        <w:t>Las alusiones a “proyecto” y/o los “proyectos” del art. 90.2 y 3 CE no son ni pueden ser otros que el “proyecto de ley ordinaria y orgánica” del que habla el art. 90.1 CE. Y el sentido de esta expresión no puede ser desentrañado sino a partir de una interpretación sistemática de las previsiones constitucionales sobre el procedimiento legislativo y la posición en su seno de cada una de las Cámaras que integran las Cortes Generales [FJ 9].</w:t>
      </w:r>
    </w:p>
    <w:p w14:paraId="09D4C8BE" w14:textId="77777777" w:rsidR="00A8138F" w:rsidRDefault="00A8138F" w:rsidP="00A8138F">
      <w:pPr>
        <w:pStyle w:val="Extracto"/>
      </w:pPr>
    </w:p>
    <w:p w14:paraId="1C8CCD3A" w14:textId="729073E7" w:rsidR="00A8138F" w:rsidRDefault="00A8138F" w:rsidP="00A8138F">
      <w:pPr>
        <w:pStyle w:val="Extracto"/>
      </w:pPr>
      <w:r>
        <w:t>2.</w:t>
      </w:r>
      <w:r>
        <w:tab/>
        <w:t>La Constitución atribuye al Congreso la prioridad temporal en el ejercicio de la función legislativa, al atribuirle el examen, el pronunciamiento y la aprobación iniciales de todos los textos legislativos, al margen del tipo de iniciativa legislativa de procedencia, para poder ser sometidos a deliberación en el Senado [FJ 10].</w:t>
      </w:r>
    </w:p>
    <w:p w14:paraId="72796420" w14:textId="77777777" w:rsidR="00A8138F" w:rsidRDefault="00A8138F" w:rsidP="00A8138F">
      <w:pPr>
        <w:pStyle w:val="Extracto"/>
      </w:pPr>
    </w:p>
    <w:p w14:paraId="309B3D2E" w14:textId="27CA0545" w:rsidR="00A8138F" w:rsidRDefault="00A8138F" w:rsidP="00A8138F">
      <w:pPr>
        <w:pStyle w:val="Extracto"/>
      </w:pPr>
      <w:r>
        <w:t>3.</w:t>
      </w:r>
      <w:r>
        <w:tab/>
        <w:t>La locución del art. 90 apartado 1º CE “proyecto de ley ordinaria u orgánica” aprobado por el Congreso de los Diputados constituye el referente de las expresiones “proyecto” y “proyectos” de sus apartados segundo y tercero; y ha de entenderse referida a los proyectos legislativos que puedan tener su origen en el ejercicio de la iniciativa gubernamental, y también a cualquier tipo de iniciativa incluida la parlamentaria y popular [FJ 10].</w:t>
      </w:r>
    </w:p>
    <w:p w14:paraId="7CEF0DCB" w14:textId="77777777" w:rsidR="00A8138F" w:rsidRDefault="00A8138F" w:rsidP="00A8138F">
      <w:pPr>
        <w:pStyle w:val="Extracto"/>
      </w:pPr>
    </w:p>
    <w:p w14:paraId="325CF906" w14:textId="3F763BEC" w:rsidR="00A8138F" w:rsidRDefault="00A8138F" w:rsidP="00A8138F">
      <w:pPr>
        <w:pStyle w:val="Extracto"/>
      </w:pPr>
      <w:r>
        <w:t>4.</w:t>
      </w:r>
      <w:r>
        <w:tab/>
        <w:t>El precepto que confiere con carácter exclusivo a la Mesa del Senado la facultad de decidir la aplicación del procedimiento de urgencia de las proposiciones de ley para su tramitación en dicha Cámara vulnera el art. 90.3 CE, que atribuye al Gobierno y al Congreso de los Diputados, con los efectos que anuda a su tramitación en el Senado, la declaración de urgencia de los “proyectos”; expresión esta que ha de entenderse que comprende tanto los proyectos de ley como las proposiciones de ley [FFJJ 10 y 11].</w:t>
      </w:r>
    </w:p>
    <w:p w14:paraId="437C865F" w14:textId="77777777" w:rsidR="00A8138F" w:rsidRDefault="00A8138F" w:rsidP="00A8138F">
      <w:pPr>
        <w:pStyle w:val="Extracto"/>
      </w:pPr>
    </w:p>
    <w:p w14:paraId="5ED18366" w14:textId="77777777" w:rsidR="00A8138F" w:rsidRDefault="00A8138F" w:rsidP="00A8138F">
      <w:pPr>
        <w:pStyle w:val="Extracto"/>
      </w:pPr>
    </w:p>
    <w:p w14:paraId="464E53CD"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0389DFBD" w14:textId="03DCBD14" w:rsidR="00A8138F" w:rsidRDefault="00A8138F" w:rsidP="00A8138F">
      <w:pPr>
        <w:pStyle w:val="TextoNormal"/>
      </w:pPr>
    </w:p>
    <w:p w14:paraId="4F22CD6D" w14:textId="77777777" w:rsidR="00A8138F" w:rsidRDefault="00A8138F" w:rsidP="00A8138F">
      <w:pPr>
        <w:pStyle w:val="TextoNormalCentrado"/>
        <w:keepNext/>
      </w:pPr>
      <w:r>
        <w:lastRenderedPageBreak/>
        <w:t>EN NOMBRE DEL REY</w:t>
      </w:r>
    </w:p>
    <w:p w14:paraId="755D79B3" w14:textId="1E12B7D3" w:rsidR="00A8138F" w:rsidRDefault="00A8138F" w:rsidP="00A8138F">
      <w:pPr>
        <w:pStyle w:val="TextoNormalCentrado"/>
        <w:keepNext/>
      </w:pPr>
    </w:p>
    <w:p w14:paraId="1351A05A" w14:textId="77777777" w:rsidR="00A8138F" w:rsidRDefault="00A8138F" w:rsidP="00A8138F">
      <w:pPr>
        <w:pStyle w:val="TextoNormalCentrado"/>
        <w:keepNext/>
      </w:pPr>
    </w:p>
    <w:p w14:paraId="40EE355F" w14:textId="77777777" w:rsidR="00A8138F" w:rsidRDefault="00A8138F" w:rsidP="00A8138F">
      <w:pPr>
        <w:pStyle w:val="TextoNormal"/>
      </w:pPr>
      <w:r>
        <w:t>la siguiente</w:t>
      </w:r>
    </w:p>
    <w:p w14:paraId="775BE115" w14:textId="1AD6E3CF" w:rsidR="00A8138F" w:rsidRDefault="00A8138F" w:rsidP="00A8138F">
      <w:pPr>
        <w:pStyle w:val="TextoNormal"/>
      </w:pPr>
    </w:p>
    <w:p w14:paraId="34DC4C08" w14:textId="77777777" w:rsidR="00A8138F" w:rsidRDefault="00A8138F" w:rsidP="00A8138F">
      <w:pPr>
        <w:pStyle w:val="TextoNormalCentrado"/>
        <w:keepNext/>
      </w:pPr>
      <w:r>
        <w:t>SENTENCIA</w:t>
      </w:r>
    </w:p>
    <w:p w14:paraId="73D7C5FA" w14:textId="37D3010E" w:rsidR="00A8138F" w:rsidRDefault="00A8138F" w:rsidP="00A8138F">
      <w:pPr>
        <w:pStyle w:val="TextoNormalCentrado"/>
        <w:keepNext/>
      </w:pPr>
    </w:p>
    <w:p w14:paraId="7D14A6D2" w14:textId="77777777" w:rsidR="00A8138F" w:rsidRDefault="00A8138F" w:rsidP="00A8138F">
      <w:pPr>
        <w:pStyle w:val="TextoNormal"/>
      </w:pPr>
      <w:r>
        <w:t>En el recurso de inconstitucionalidad núm. 7998-2023, promovido por más de cincuenta senadores del Grupo Parlamentario Socialista en el Senado, representados por la procuradora de los tribunales doña Virginia Aragón Segura y asistidos por el letrado don Alberto Cachinero Capitán, contra la reforma del Reglamento del Senado por la que se modifican los artículos 133 y 182, aprobada por el Pleno de la Cámara en sesión de 14 de noviembre de 2023 (“Boletín Oficial de las Cortes Generales”, XV Legislatura, sección Senado, núm. 32, de 16 de noviembre de 2023; “Boletín Oficial del Estado”, núm. 276, de 18 de noviembre de 2023). Han comparecido y formulado alegaciones, en la representación que legalmente ostentan, el abogado del Estado y la letrada de las Cortes Generales. Ha sido ponente el magistrado don Juan Carlos Campo Moreno.</w:t>
      </w:r>
    </w:p>
    <w:p w14:paraId="3FCE4200" w14:textId="0C719959" w:rsidR="00A8138F" w:rsidRDefault="00A8138F" w:rsidP="00A8138F">
      <w:pPr>
        <w:pStyle w:val="TextoNormal"/>
      </w:pPr>
    </w:p>
    <w:p w14:paraId="11B6E25C" w14:textId="77777777" w:rsidR="00A8138F" w:rsidRDefault="00A8138F" w:rsidP="00A8138F">
      <w:pPr>
        <w:pStyle w:val="TextoNormalNegritaCentrado"/>
        <w:keepNext/>
      </w:pPr>
      <w:r>
        <w:t>I. Antecedentes</w:t>
      </w:r>
    </w:p>
    <w:p w14:paraId="66EFAD11" w14:textId="13CF45D6" w:rsidR="00A8138F" w:rsidRDefault="00A8138F" w:rsidP="00A8138F">
      <w:pPr>
        <w:pStyle w:val="TextoNormalNegritaCentrado"/>
        <w:keepNext/>
      </w:pPr>
    </w:p>
    <w:p w14:paraId="7B920457" w14:textId="1F81E0AB" w:rsidR="00A8138F" w:rsidRDefault="00A8138F" w:rsidP="00A8138F">
      <w:pPr>
        <w:pStyle w:val="TextoNormal"/>
      </w:pPr>
      <w:r w:rsidRPr="00A8138F">
        <w:rPr>
          <w:rStyle w:val="NumeroAFNegritaCaracter"/>
        </w:rPr>
        <w:t>1</w:t>
      </w:r>
      <w:r>
        <w:t>. Mediante escrito presentado en el registro general de este tribunal el día 19 de diciembre de 2023, doña Virginia Aragón Segura, procuradora de los tribunales, en nombre y representación de más de cincuenta senadores del Grupo Parlamentario Socialista interpuso recurso de inconstitucionalidad contra la reforma del Reglamento del Senado por la que se modifican los artículos 133 y 182, a la que se ha hecho mención en el encabezamiento de esta sentencia.</w:t>
      </w:r>
    </w:p>
    <w:p w14:paraId="6CD6AB68" w14:textId="77777777" w:rsidR="00A8138F" w:rsidRDefault="00A8138F" w:rsidP="00A8138F">
      <w:pPr>
        <w:pStyle w:val="TextoNormal"/>
      </w:pPr>
    </w:p>
    <w:p w14:paraId="77A99714" w14:textId="77777777" w:rsidR="00A8138F" w:rsidRDefault="00A8138F" w:rsidP="00A8138F">
      <w:pPr>
        <w:pStyle w:val="TextoNormal"/>
      </w:pPr>
      <w:r w:rsidRPr="00A8138F">
        <w:rPr>
          <w:rStyle w:val="NumeroAFNegritaCaracter"/>
        </w:rPr>
        <w:t>2</w:t>
      </w:r>
      <w:r>
        <w:t>. Los hechos relevantes del recurso de inconstitucionalidad son, sucintamente expuestos, los siguientes:</w:t>
      </w:r>
    </w:p>
    <w:p w14:paraId="225C747B" w14:textId="77777777" w:rsidR="00A8138F" w:rsidRDefault="00A8138F" w:rsidP="00A8138F">
      <w:pPr>
        <w:pStyle w:val="TextoNormal"/>
      </w:pPr>
    </w:p>
    <w:p w14:paraId="3824EDDE" w14:textId="77777777" w:rsidR="00A8138F" w:rsidRDefault="00A8138F" w:rsidP="00A8138F">
      <w:pPr>
        <w:pStyle w:val="TextoNormal"/>
      </w:pPr>
      <w:r>
        <w:t>a) La reforma del Reglamento del Senado (RS) recurrida trae causa de la “Propuesta de reforma del Reglamento del Senado por la que se modifica el artículo 133”, presentada por el Grupo Parlamentario Popular el 31 de octubre de 2023.</w:t>
      </w:r>
    </w:p>
    <w:p w14:paraId="7B042DD8" w14:textId="77777777" w:rsidR="00A8138F" w:rsidRDefault="00A8138F" w:rsidP="00A8138F">
      <w:pPr>
        <w:pStyle w:val="TextoNormal"/>
      </w:pPr>
    </w:p>
    <w:p w14:paraId="71673DA6" w14:textId="77777777" w:rsidR="00A8138F" w:rsidRDefault="00A8138F" w:rsidP="00A8138F">
      <w:pPr>
        <w:pStyle w:val="TextoNormal"/>
      </w:pPr>
      <w:r>
        <w:t>La propuesta de reforma constaba de un único artículo, que modificaba el art. 133 RS, y una disposición final, que preveía la fecha de su entrada en vigor.</w:t>
      </w:r>
    </w:p>
    <w:p w14:paraId="58CDD97E" w14:textId="77777777" w:rsidR="00A8138F" w:rsidRDefault="00A8138F" w:rsidP="00A8138F">
      <w:pPr>
        <w:pStyle w:val="TextoNormal"/>
      </w:pPr>
    </w:p>
    <w:p w14:paraId="5BBC1280" w14:textId="77777777" w:rsidR="00A8138F" w:rsidRDefault="00A8138F" w:rsidP="00A8138F">
      <w:pPr>
        <w:pStyle w:val="TextoNormal"/>
      </w:pPr>
      <w:r>
        <w:t>b) Durante su tramitación, la Comisión de Reglamento, al elaborar el dictamen de la propuesta, incorporó al texto inicial el contenido de las enmiendas números 7 y 8 del Grupo Parlamentario Popular. Mediante la primera de estas enmiendas se adicionó un nuevo artículo 2, que modificaba el art. 182 RS, y con la segunda se introdujo una disposición transitoria, que preveía la aplicación de la reforma a las iniciativas que se encontrasen en tramitación en el día de su entrada en vigor.</w:t>
      </w:r>
    </w:p>
    <w:p w14:paraId="0581DE0A" w14:textId="77777777" w:rsidR="00A8138F" w:rsidRDefault="00A8138F" w:rsidP="00A8138F">
      <w:pPr>
        <w:pStyle w:val="TextoNormal"/>
      </w:pPr>
    </w:p>
    <w:p w14:paraId="40B9E564" w14:textId="77777777" w:rsidR="00A8138F" w:rsidRDefault="00A8138F" w:rsidP="00A8138F">
      <w:pPr>
        <w:pStyle w:val="TextoNormal"/>
      </w:pPr>
      <w:r>
        <w:lastRenderedPageBreak/>
        <w:t>En consecuencia, tras el dictamen de la comisión, la iniciativa cambió su denominación, pasando a ser identificada como “Propuesta de reforma del Reglamento del Senado por la que se modifican los artículos 133 y 182”.</w:t>
      </w:r>
    </w:p>
    <w:p w14:paraId="7E730B63" w14:textId="77777777" w:rsidR="00A8138F" w:rsidRDefault="00A8138F" w:rsidP="00A8138F">
      <w:pPr>
        <w:pStyle w:val="TextoNormal"/>
      </w:pPr>
    </w:p>
    <w:p w14:paraId="1B012BC8" w14:textId="77777777" w:rsidR="00A8138F" w:rsidRDefault="00A8138F" w:rsidP="00A8138F">
      <w:pPr>
        <w:pStyle w:val="TextoNormal"/>
      </w:pPr>
      <w:r>
        <w:t>c) El Pleno del Senado, en sesión de 14 de noviembre de 2023, aprobó el dictamen de la Comisión del Reglamento de la “Propuesta de reforma del Reglamento del Senado por la que se modifican los artículos 133 y 182” por 147 votos a favor y 116 en contra.</w:t>
      </w:r>
    </w:p>
    <w:p w14:paraId="7792DFB1" w14:textId="77777777" w:rsidR="00A8138F" w:rsidRDefault="00A8138F" w:rsidP="00A8138F">
      <w:pPr>
        <w:pStyle w:val="TextoNormal"/>
      </w:pPr>
    </w:p>
    <w:p w14:paraId="41F193B2" w14:textId="77777777" w:rsidR="00A8138F" w:rsidRDefault="00A8138F" w:rsidP="00A8138F">
      <w:pPr>
        <w:pStyle w:val="TextoNormal"/>
      </w:pPr>
      <w:r>
        <w:t>El texto articulado de la reforma del Reglamento del Senado aprobada es del siguiente tenor:</w:t>
      </w:r>
    </w:p>
    <w:p w14:paraId="235F81DD" w14:textId="77777777" w:rsidR="00A8138F" w:rsidRDefault="00A8138F" w:rsidP="00A8138F">
      <w:pPr>
        <w:pStyle w:val="TextoNormal"/>
      </w:pPr>
    </w:p>
    <w:p w14:paraId="545B0378" w14:textId="77777777" w:rsidR="00A8138F" w:rsidRDefault="00A8138F" w:rsidP="00A8138F">
      <w:pPr>
        <w:pStyle w:val="TextoNormal"/>
      </w:pPr>
      <w:r>
        <w:t>“Artículo 1.</w:t>
      </w:r>
    </w:p>
    <w:p w14:paraId="343EDD1E" w14:textId="77777777" w:rsidR="00A8138F" w:rsidRDefault="00A8138F" w:rsidP="00A8138F">
      <w:pPr>
        <w:pStyle w:val="TextoNormal"/>
      </w:pPr>
    </w:p>
    <w:p w14:paraId="510B4F5F" w14:textId="77777777" w:rsidR="00A8138F" w:rsidRDefault="00A8138F" w:rsidP="00A8138F">
      <w:pPr>
        <w:pStyle w:val="TextoNormal"/>
      </w:pPr>
      <w:r>
        <w:t>El artículo 133 del Reglamento del Senado quedará redactado en los siguientes términos:</w:t>
      </w:r>
    </w:p>
    <w:p w14:paraId="66BC841B" w14:textId="77777777" w:rsidR="00A8138F" w:rsidRDefault="00A8138F" w:rsidP="00A8138F">
      <w:pPr>
        <w:pStyle w:val="TextoNormal"/>
      </w:pPr>
    </w:p>
    <w:p w14:paraId="478A7249" w14:textId="77777777" w:rsidR="00A8138F" w:rsidRDefault="00A8138F" w:rsidP="00A8138F">
      <w:pPr>
        <w:pStyle w:val="TextoNormal"/>
      </w:pPr>
      <w:r>
        <w:t>‘Artículo 133.</w:t>
      </w:r>
    </w:p>
    <w:p w14:paraId="69734C48" w14:textId="77777777" w:rsidR="00A8138F" w:rsidRDefault="00A8138F" w:rsidP="00A8138F">
      <w:pPr>
        <w:pStyle w:val="TextoNormal"/>
      </w:pPr>
    </w:p>
    <w:p w14:paraId="2979422C" w14:textId="77777777" w:rsidR="00A8138F" w:rsidRDefault="00A8138F" w:rsidP="00A8138F">
      <w:pPr>
        <w:pStyle w:val="TextoNormal"/>
      </w:pPr>
      <w:r>
        <w:t>1. En los proyectos de ley declarados urgentes por el Gobierno o por el Congreso de los Diputados, el Senado dispone de un plazo de veinte días naturales para ejercitar sus facultades de orden legislativo.</w:t>
      </w:r>
    </w:p>
    <w:p w14:paraId="24A1557A" w14:textId="77777777" w:rsidR="00A8138F" w:rsidRDefault="00A8138F" w:rsidP="00A8138F">
      <w:pPr>
        <w:pStyle w:val="TextoNormal"/>
      </w:pPr>
    </w:p>
    <w:p w14:paraId="24420D1C" w14:textId="77777777" w:rsidR="00A8138F" w:rsidRDefault="00A8138F" w:rsidP="00A8138F">
      <w:pPr>
        <w:pStyle w:val="TextoNormal"/>
      </w:pPr>
      <w:r>
        <w:t>Asimismo, la mesa del Senado, de oficio o a propuesta de un grupo parlamentario o de veinticinco senadores, podrá decidir la aplicación del procedimiento de urgencia.</w:t>
      </w:r>
    </w:p>
    <w:p w14:paraId="613A9249" w14:textId="77777777" w:rsidR="00A8138F" w:rsidRDefault="00A8138F" w:rsidP="00A8138F">
      <w:pPr>
        <w:pStyle w:val="TextoNormal"/>
      </w:pPr>
    </w:p>
    <w:p w14:paraId="299CA275" w14:textId="77777777" w:rsidR="00A8138F" w:rsidRDefault="00A8138F" w:rsidP="00A8138F">
      <w:pPr>
        <w:pStyle w:val="TextoNormal"/>
      </w:pPr>
      <w:r>
        <w:t>2. En las proposiciones de ley, la mesa del Senado podrá decidir la aplicación del procedimiento de urgencia cuando así lo solicite el Gobierno o el Congreso de los Diputados, o también actuando de oficio o a propuesta de un grupo parlamentario o de veinticinco senadores’.</w:t>
      </w:r>
    </w:p>
    <w:p w14:paraId="25504D20" w14:textId="77777777" w:rsidR="00A8138F" w:rsidRDefault="00A8138F" w:rsidP="00A8138F">
      <w:pPr>
        <w:pStyle w:val="TextoNormal"/>
      </w:pPr>
    </w:p>
    <w:p w14:paraId="146729E0" w14:textId="77777777" w:rsidR="00A8138F" w:rsidRDefault="00A8138F" w:rsidP="00A8138F">
      <w:pPr>
        <w:pStyle w:val="TextoNormal"/>
      </w:pPr>
      <w:r>
        <w:t>Artículo 2.</w:t>
      </w:r>
    </w:p>
    <w:p w14:paraId="1EA31E82" w14:textId="77777777" w:rsidR="00A8138F" w:rsidRDefault="00A8138F" w:rsidP="00A8138F">
      <w:pPr>
        <w:pStyle w:val="TextoNormal"/>
      </w:pPr>
    </w:p>
    <w:p w14:paraId="1B048222" w14:textId="77777777" w:rsidR="00A8138F" w:rsidRDefault="00A8138F" w:rsidP="00A8138F">
      <w:pPr>
        <w:pStyle w:val="TextoNormal"/>
      </w:pPr>
      <w:r>
        <w:t>El artículo 182 del Reglamento del Senado quedará redactado en los siguientes términos:</w:t>
      </w:r>
    </w:p>
    <w:p w14:paraId="1EB95723" w14:textId="77777777" w:rsidR="00A8138F" w:rsidRDefault="00A8138F" w:rsidP="00A8138F">
      <w:pPr>
        <w:pStyle w:val="TextoNormal"/>
      </w:pPr>
    </w:p>
    <w:p w14:paraId="79A412B1" w14:textId="77777777" w:rsidR="00A8138F" w:rsidRDefault="00A8138F" w:rsidP="00A8138F">
      <w:pPr>
        <w:pStyle w:val="TextoNormal"/>
      </w:pPr>
      <w:r>
        <w:t>‘Artículo 182.</w:t>
      </w:r>
    </w:p>
    <w:p w14:paraId="66CF7E5E" w14:textId="77777777" w:rsidR="00A8138F" w:rsidRDefault="00A8138F" w:rsidP="00A8138F">
      <w:pPr>
        <w:pStyle w:val="TextoNormal"/>
      </w:pPr>
    </w:p>
    <w:p w14:paraId="270D8514" w14:textId="77777777" w:rsidR="00A8138F" w:rsidRDefault="00A8138F" w:rsidP="00A8138F">
      <w:pPr>
        <w:pStyle w:val="TextoNormal"/>
      </w:pPr>
      <w:r>
        <w:t>1. El presidente del Gobierno, a petición propia o por acuerdo de la Junta de Portavoces, comparecerá ante el Pleno del Senado para informar sobre un asunto determinado. Estas comparecencias podrán ser solicitadas por dos grupos parlamentarios o por la quinta parte de los miembros de la Cámara.</w:t>
      </w:r>
    </w:p>
    <w:p w14:paraId="2889AE7C" w14:textId="77777777" w:rsidR="00A8138F" w:rsidRDefault="00A8138F" w:rsidP="00A8138F">
      <w:pPr>
        <w:pStyle w:val="TextoNormal"/>
      </w:pPr>
    </w:p>
    <w:p w14:paraId="4BCCF4F0" w14:textId="77777777" w:rsidR="00A8138F" w:rsidRDefault="00A8138F" w:rsidP="00A8138F">
      <w:pPr>
        <w:pStyle w:val="TextoNormal"/>
      </w:pPr>
      <w:r>
        <w:t>2. Después de la exposición oral del presidente del Gobierno, podrán intervenir los representantes de cada grupo parlamentario, por tiempo de veinte minutos, empezando por el grupo o los grupos que han solicitado la comparecencia, de mayor a menor. A continuación, intervendrán el resto de grupos de menor a mayor.</w:t>
      </w:r>
    </w:p>
    <w:p w14:paraId="1A8C02F8" w14:textId="77777777" w:rsidR="00A8138F" w:rsidRDefault="00A8138F" w:rsidP="00A8138F">
      <w:pPr>
        <w:pStyle w:val="TextoNormal"/>
      </w:pPr>
    </w:p>
    <w:p w14:paraId="0B5E44B7" w14:textId="77777777" w:rsidR="00A8138F" w:rsidRDefault="00A8138F" w:rsidP="00A8138F">
      <w:pPr>
        <w:pStyle w:val="TextoNormal"/>
      </w:pPr>
      <w:r>
        <w:t>3. La Presidencia del Senado, oída la Junta de Portavoces, podrá abrir un segundo turno de réplica, de hasta diez minutos, siguiendo el mismo orden de intervenciones del apartado 2.</w:t>
      </w:r>
    </w:p>
    <w:p w14:paraId="2FD26174" w14:textId="77777777" w:rsidR="00A8138F" w:rsidRDefault="00A8138F" w:rsidP="00A8138F">
      <w:pPr>
        <w:pStyle w:val="TextoNormal"/>
      </w:pPr>
    </w:p>
    <w:p w14:paraId="3363774F" w14:textId="77777777" w:rsidR="00A8138F" w:rsidRDefault="00A8138F" w:rsidP="00A8138F">
      <w:pPr>
        <w:pStyle w:val="TextoNormal"/>
      </w:pPr>
      <w:r>
        <w:t>4. El resto de miembros del Gobierno, a petición propia o por acuerdo de la Junta de Portavoces, podrán comparecer ante el Pleno. Estas comparecencias deberán cumplir los mismos requisitos del apartado 1.</w:t>
      </w:r>
    </w:p>
    <w:p w14:paraId="2BA05C2A" w14:textId="77777777" w:rsidR="00A8138F" w:rsidRDefault="00A8138F" w:rsidP="00A8138F">
      <w:pPr>
        <w:pStyle w:val="TextoNormal"/>
      </w:pPr>
    </w:p>
    <w:p w14:paraId="149E279A" w14:textId="77777777" w:rsidR="00A8138F" w:rsidRDefault="00A8138F" w:rsidP="00A8138F">
      <w:pPr>
        <w:pStyle w:val="TextoNormal"/>
      </w:pPr>
      <w:r>
        <w:t>5. Después de la exposición oral de los miembros del Gobierno en el Pleno, podrán intervenir los representantes de cada grupo parlamentario, por tiempo de diez minutos, en el mismo orden establecido en el apartado 2.</w:t>
      </w:r>
    </w:p>
    <w:p w14:paraId="55D9C5A9" w14:textId="77777777" w:rsidR="00A8138F" w:rsidRDefault="00A8138F" w:rsidP="00A8138F">
      <w:pPr>
        <w:pStyle w:val="TextoNormal"/>
      </w:pPr>
    </w:p>
    <w:p w14:paraId="2346F724" w14:textId="77777777" w:rsidR="00A8138F" w:rsidRDefault="00A8138F" w:rsidP="00A8138F">
      <w:pPr>
        <w:pStyle w:val="TextoNormal"/>
      </w:pPr>
      <w:r>
        <w:t>6. Para estas comparecencias, la Presidencia del Senado podrá, asimismo, oída la Junta de Portavoces, abrir un segundo turno de réplica, de cinco minutos, siguiendo el mismo orden de intervenciones del apartado 2.</w:t>
      </w:r>
    </w:p>
    <w:p w14:paraId="05CFA148" w14:textId="77777777" w:rsidR="00A8138F" w:rsidRDefault="00A8138F" w:rsidP="00A8138F">
      <w:pPr>
        <w:pStyle w:val="TextoNormal"/>
      </w:pPr>
    </w:p>
    <w:p w14:paraId="5D124638" w14:textId="77777777" w:rsidR="00A8138F" w:rsidRDefault="00A8138F" w:rsidP="00A8138F">
      <w:pPr>
        <w:pStyle w:val="TextoNormal"/>
      </w:pPr>
      <w:r>
        <w:t>7. El Gobierno podrá remitir comunicaciones e informes para su debate en el Senado. En este caso, tras la intervención de un miembro del Gobierno se admitirán dos turnos a favor y dos en contra, de diez minutos cada uno, y las intervenciones de los portavoces de los grupos parlamentarios que lo deseen, por el mismo tiempo.</w:t>
      </w:r>
    </w:p>
    <w:p w14:paraId="647673B3" w14:textId="77777777" w:rsidR="00A8138F" w:rsidRDefault="00A8138F" w:rsidP="00A8138F">
      <w:pPr>
        <w:pStyle w:val="TextoNormal"/>
      </w:pPr>
    </w:p>
    <w:p w14:paraId="39E49976" w14:textId="77777777" w:rsidR="00A8138F" w:rsidRDefault="00A8138F" w:rsidP="00A8138F">
      <w:pPr>
        <w:pStyle w:val="TextoNormal"/>
      </w:pPr>
      <w:r>
        <w:t>8. Como consecuencia del debate de estas comunicaciones, podrán presentarse mociones al amparo de lo dispuesto en este Reglamento. No obstante lo anterior, la mesa, oída la Junta de Portavoces, determinará la sesión y el procedimiento con que se deban debatir y votar estas mociones’.</w:t>
      </w:r>
    </w:p>
    <w:p w14:paraId="5C1A5A52" w14:textId="77777777" w:rsidR="00A8138F" w:rsidRDefault="00A8138F" w:rsidP="00A8138F">
      <w:pPr>
        <w:pStyle w:val="TextoNormal"/>
      </w:pPr>
    </w:p>
    <w:p w14:paraId="1DEE015F" w14:textId="77777777" w:rsidR="00A8138F" w:rsidRDefault="00A8138F" w:rsidP="00A8138F">
      <w:pPr>
        <w:pStyle w:val="TextoNormal"/>
      </w:pPr>
      <w:r>
        <w:t>Disposición transitoria. Iniciativas en tramitación</w:t>
      </w:r>
    </w:p>
    <w:p w14:paraId="6CB4ADAE" w14:textId="77777777" w:rsidR="00A8138F" w:rsidRDefault="00A8138F" w:rsidP="00A8138F">
      <w:pPr>
        <w:pStyle w:val="TextoNormal"/>
      </w:pPr>
    </w:p>
    <w:p w14:paraId="5DA767AC" w14:textId="77777777" w:rsidR="00A8138F" w:rsidRDefault="00A8138F" w:rsidP="00A8138F">
      <w:pPr>
        <w:pStyle w:val="TextoNormal"/>
      </w:pPr>
      <w:r>
        <w:t>La presente reforma del Reglamento del Senado será de aplicación a aquellas iniciativas que se encuentren en tramitación en la Cámara el día de la entrada en vigor de la misma.</w:t>
      </w:r>
    </w:p>
    <w:p w14:paraId="2F479F33" w14:textId="77777777" w:rsidR="00A8138F" w:rsidRDefault="00A8138F" w:rsidP="00A8138F">
      <w:pPr>
        <w:pStyle w:val="TextoNormal"/>
      </w:pPr>
    </w:p>
    <w:p w14:paraId="1D3B80AF" w14:textId="77777777" w:rsidR="00A8138F" w:rsidRDefault="00A8138F" w:rsidP="00A8138F">
      <w:pPr>
        <w:pStyle w:val="TextoNormal"/>
      </w:pPr>
      <w:r>
        <w:t>Disposición final. Entrada en vigor</w:t>
      </w:r>
    </w:p>
    <w:p w14:paraId="23C2F8ED" w14:textId="77777777" w:rsidR="00A8138F" w:rsidRDefault="00A8138F" w:rsidP="00A8138F">
      <w:pPr>
        <w:pStyle w:val="TextoNormal"/>
      </w:pPr>
    </w:p>
    <w:p w14:paraId="3921D1D9" w14:textId="34FCDE09" w:rsidR="00A8138F" w:rsidRDefault="00A8138F" w:rsidP="00A8138F">
      <w:pPr>
        <w:pStyle w:val="TextoNormal"/>
      </w:pPr>
      <w:r>
        <w:t>La presente reforma del Reglamento del Senado entrará en vigor el día de su publicación en el ‘Boletín Oficial de las Cortes Generales’”.</w:t>
      </w:r>
    </w:p>
    <w:p w14:paraId="75C629A7" w14:textId="77777777" w:rsidR="00A8138F" w:rsidRDefault="00A8138F" w:rsidP="00A8138F">
      <w:pPr>
        <w:pStyle w:val="TextoNormal"/>
      </w:pPr>
    </w:p>
    <w:p w14:paraId="12EF20A2" w14:textId="77777777" w:rsidR="00A8138F" w:rsidRDefault="00A8138F" w:rsidP="00A8138F">
      <w:pPr>
        <w:pStyle w:val="TextoNormal"/>
      </w:pPr>
      <w:r w:rsidRPr="00A8138F">
        <w:rPr>
          <w:rStyle w:val="NumeroAFNegritaCaracter"/>
        </w:rPr>
        <w:t>3</w:t>
      </w:r>
      <w:r>
        <w:t>. Los demandantes sostienen, en la fundamentación jurídica del recurso de inconstitucionalidad, que la nueva redacción del apartado segundo del artículo 133 RS, que otorga a la mesa del Senado la facultad de “decidir la aplicación del procedimiento de urgencia” en la tramitación de las proposiciones de ley, es claramente inconstitucional por contravenir lo dispuesto en el art. 90.3 CE. Una inconstitucionalidad asentada en el desconocimiento, cuando no en la redefinición interesada, del papel que el constituyente ha atribuido al Senado en el procedimiento legislativo como cámara de segunda lectura, del que el art. 90 CE es su expresión capital y que ha sido objeto de interpretación pacífica por parte de este tribunal (STC 136/2011, de 13 de septiembre, FJ 5).</w:t>
      </w:r>
    </w:p>
    <w:p w14:paraId="3B88EB42" w14:textId="77777777" w:rsidR="00A8138F" w:rsidRDefault="00A8138F" w:rsidP="00A8138F">
      <w:pPr>
        <w:pStyle w:val="TextoNormal"/>
      </w:pPr>
    </w:p>
    <w:p w14:paraId="7C794437" w14:textId="77777777" w:rsidR="00A8138F" w:rsidRDefault="00A8138F" w:rsidP="00A8138F">
      <w:pPr>
        <w:pStyle w:val="TextoNormal"/>
      </w:pPr>
      <w:r>
        <w:t>a) El artículo 90 CE. La identidad de razón entre los proyectos y las proposiciones de ley. Pronunciamientos del Tribunal Constitucional y jurisprudencia vinculante</w:t>
      </w:r>
    </w:p>
    <w:p w14:paraId="14BDA59A" w14:textId="77777777" w:rsidR="00A8138F" w:rsidRDefault="00A8138F" w:rsidP="00A8138F">
      <w:pPr>
        <w:pStyle w:val="TextoNormal"/>
      </w:pPr>
    </w:p>
    <w:p w14:paraId="52E17CFB" w14:textId="77777777" w:rsidR="00A8138F" w:rsidRDefault="00A8138F" w:rsidP="00A8138F">
      <w:pPr>
        <w:pStyle w:val="TextoNormal"/>
      </w:pPr>
      <w:r>
        <w:t xml:space="preserve">El término “proyectos” del art. 90.3 CE solo puede entenderse, a juicio de los recurrentes, en sentido amplio, referido tanto a los proyectos de ley como a las proposiciones de ley, lo </w:t>
      </w:r>
      <w:r>
        <w:lastRenderedPageBreak/>
        <w:t>que convierte en inconstitucional el citado art. 133.2 RS, al arrogarse el Senado la capacidad de decidir el procedimiento de tramitación de las proposiciones de ley declaradas urgentes en su paso por el Congreso de los Diputados. En este sentido, se invoca en la demanda la STC 97/2002, de 25 de abril, en la que el tribunal declaró que el art. 90 CE es aplicable “no solo a los proyectos de ley, sino también a las proposiciones de ley, pues, aunque la Comisión Mixta suprimió la referencia a éstas en la redacción definitiva que dio al texto, la evidente semejanza de ambas figuras pone de relieve la identidad de razón para su régimen jurídico” (FJ 4).</w:t>
      </w:r>
    </w:p>
    <w:p w14:paraId="0A7DC507" w14:textId="77777777" w:rsidR="00A8138F" w:rsidRDefault="00A8138F" w:rsidP="00A8138F">
      <w:pPr>
        <w:pStyle w:val="TextoNormal"/>
      </w:pPr>
    </w:p>
    <w:p w14:paraId="70A092BC" w14:textId="77777777" w:rsidR="00A8138F" w:rsidRDefault="00A8138F" w:rsidP="00A8138F">
      <w:pPr>
        <w:pStyle w:val="TextoNormal"/>
      </w:pPr>
      <w:r>
        <w:t>Además, para determinar el significado y alcance del término “proyectos” del art. 90.3 CE debe tenerse en cuenta que es frecuente que las normas constitucionales y los reglamentos parlamentarios utilicen el término “proyecto” en sentido amplio, abarcando cualquier tipo de iniciativa legislativa. Así sucede, se alega en la demanda, en el art. 167 CE en relación con el procedimiento ordinario de reforma constitucional, que se refiere literalmente a “los proyectos de reforma constitucional”. El Consejo de Estado manifestó respecto al citado precepto constitucional, en su informe sobre las modificaciones de la Constitución Española de 16 de febrero de 2006, que “el término ‘proyecto’ debe entenderse en su sentido más amplio, como denominación genérica comúnmente utilizada para designar los textos en los que se concretan las iniciativas normativas, con independencia de que, desde el punto de vista técnico, se trate de proyectos o de proposiciones” (pág. 337). Interpretación, sostienen los recurrentes, que ha de hacerse extensiva a otros preceptos constitucionales. No en vano, el uso de la institución jurídica de la proposición de ley ha sido empleada en el pasado para sustanciar iniciativas de reforma constitucional, como la que se llevó a cabo en el año 2011 en relación con el art. 135 CE, tramitándose además por el procedimiento de urgencia.</w:t>
      </w:r>
    </w:p>
    <w:p w14:paraId="7B1DF967" w14:textId="77777777" w:rsidR="00A8138F" w:rsidRDefault="00A8138F" w:rsidP="00A8138F">
      <w:pPr>
        <w:pStyle w:val="TextoNormal"/>
      </w:pPr>
    </w:p>
    <w:p w14:paraId="011AFD38" w14:textId="77777777" w:rsidR="00A8138F" w:rsidRDefault="00A8138F" w:rsidP="00A8138F">
      <w:pPr>
        <w:pStyle w:val="TextoNormal"/>
      </w:pPr>
      <w:r>
        <w:t>En esta misma línea, se invoca la práctica parlamentaria que ha venido entendiendo que cuando el art. 136 RS, que regula el procedimiento alternativo de “semiurgencia” o “de un mes”, utiliza el término “proyectos legislativos” no se refiere exclusivamente a las iniciativas de origen gubernamental, sino a cualquier tipo de iniciativa legislativa. Así se ha interpretado también hasta la fecha el sentido de esta expresión en el art. 133 RS, que ahora se ha reformado con la sola finalidad de “frenar” u “obstaculizar” proposiciones de ley tramitadas por el procedimiento de urgencia en el Congreso de los Diputados. La redacción e interpretación de este último precepto han permanecido incólume desde la aprobación del Reglamento del Senado en fecha 3 de mayo de 1994.</w:t>
      </w:r>
    </w:p>
    <w:p w14:paraId="22EE364E" w14:textId="77777777" w:rsidR="00A8138F" w:rsidRDefault="00A8138F" w:rsidP="00A8138F">
      <w:pPr>
        <w:pStyle w:val="TextoNormal"/>
      </w:pPr>
    </w:p>
    <w:p w14:paraId="2C24FCAB" w14:textId="77777777" w:rsidR="00A8138F" w:rsidRDefault="00A8138F" w:rsidP="00A8138F">
      <w:pPr>
        <w:pStyle w:val="TextoNormal"/>
      </w:pPr>
      <w:r>
        <w:t>b) La reforma del art. 133.2 RS quiebra el papel constitucional del Senado en el procedimiento legislativo</w:t>
      </w:r>
    </w:p>
    <w:p w14:paraId="2467C775" w14:textId="77777777" w:rsidR="00A8138F" w:rsidRDefault="00A8138F" w:rsidP="00A8138F">
      <w:pPr>
        <w:pStyle w:val="TextoNormal"/>
      </w:pPr>
    </w:p>
    <w:p w14:paraId="433A7AEF" w14:textId="77777777" w:rsidR="00A8138F" w:rsidRDefault="00A8138F" w:rsidP="00A8138F">
      <w:pPr>
        <w:pStyle w:val="TextoNormal"/>
      </w:pPr>
      <w:r>
        <w:t xml:space="preserve">El Congreso de los Diputados ostenta en la función legislativa un claro protagonismo frente al Senado, que ocupa una posición de Cámara de segunda lectura. Esta diferencia entre las posiciones de ambas Cámaras en el ejercicio de aquella función se ha denominado “notorio bicameralismo imperfecto” (STC 155/2005, de 9 de junio, FJ 9), modelo que deriva del art. 90 CE y al que es contrario el art. 133.2 RS. Desde esta perspectiva, el Senado no está en condiciones de ser el contrapeso del Congreso de los Diputados y no lo está porque, como señala la doctrina de manera unánime, el carácter descompensado de nuestro bicameralismo es una opción consciente del constituyente. Por supuesto, tampoco es competencia del Senado el moderar o ralentizar las decisiones del Congreso de los Diputados en lo que </w:t>
      </w:r>
      <w:r>
        <w:lastRenderedPageBreak/>
        <w:t>a la tramitación de urgencia de las iniciativas legislativas se refiere, por la limitación de las funciones y el plazo que tiene asignado para su ejercicio.</w:t>
      </w:r>
    </w:p>
    <w:p w14:paraId="31286AA1" w14:textId="77777777" w:rsidR="00A8138F" w:rsidRDefault="00A8138F" w:rsidP="00A8138F">
      <w:pPr>
        <w:pStyle w:val="TextoNormal"/>
      </w:pPr>
    </w:p>
    <w:p w14:paraId="65AF7612" w14:textId="77777777" w:rsidR="00A8138F" w:rsidRDefault="00A8138F" w:rsidP="00A8138F">
      <w:pPr>
        <w:pStyle w:val="TextoNormal"/>
      </w:pPr>
      <w:r>
        <w:t>En nuestro sistema, la actuación del Senado en el procedimiento legislativo está limitada, respecto al Congreso de los Diputados, temporal y materialmente: temporalmente, porque el Senado tiene un plazo máximo —dos meses— para realizar toda tramitación (arts. 90.2 y 3 CE y 106 RS) y materialmente, porque el Senado tan solo puede aprobar la propuesta del Congreso de los Diputados, oponer un veto o introducir enmiendas (arts. 90.2 CE y 106.1 RS).</w:t>
      </w:r>
    </w:p>
    <w:p w14:paraId="29F1F6D5" w14:textId="77777777" w:rsidR="00A8138F" w:rsidRDefault="00A8138F" w:rsidP="00A8138F">
      <w:pPr>
        <w:pStyle w:val="TextoNormal"/>
      </w:pPr>
    </w:p>
    <w:p w14:paraId="426982FA" w14:textId="77777777" w:rsidR="00A8138F" w:rsidRDefault="00A8138F" w:rsidP="00A8138F">
      <w:pPr>
        <w:pStyle w:val="TextoNormal"/>
      </w:pPr>
      <w:r>
        <w:t>Este tribunal ha llegado a afirmar que “las dos Cámaras no están situadas en una misma posición”, y que “no actúan ni en el mismo momento ni son exactamente las mismas sus facultades formales dentro del proceso de adopción de la ley”, puesto que “la intención del constituyente es que la aprobación de los textos legislativos se produzca siempre, en primer lugar, en el Congreso”, configurando el Senado como una “Cámara de segunda lectura” (STC 119/2011, de 5 de julio, FFJJ 6 y 7). Asimismo, ha dejado sentado que con la “expresión auténtica de la voluntad soberana del pueblo español, [la misma] ha consagrado un sistema parlamentario en el que en la formación de voluntad de sus Cámaras se prioriza el Congreso sobre el Senado” (STC 136/2011, de 13 de septiembre, FJ 5).</w:t>
      </w:r>
    </w:p>
    <w:p w14:paraId="7DC7B3EC" w14:textId="77777777" w:rsidR="00A8138F" w:rsidRDefault="00A8138F" w:rsidP="00A8138F">
      <w:pPr>
        <w:pStyle w:val="TextoNormal"/>
      </w:pPr>
    </w:p>
    <w:p w14:paraId="0BEF8511" w14:textId="77777777" w:rsidR="00A8138F" w:rsidRDefault="00A8138F" w:rsidP="00A8138F">
      <w:pPr>
        <w:pStyle w:val="TextoNormal"/>
      </w:pPr>
      <w:r>
        <w:t>En este sentido, la facultad atribuida al Congreso de los Diputados para declarar la urgencia de proyectos o proposiciones de ley es resultado de un determinado entendimiento de las relaciones entre las dos Cámaras por parte del texto constitucional, que no está sometida a límites que puedan ampararse en la autonomía parlamentaria del Senado. Por ello, las iniciativas declaradas urgentes en el Congreso de los Diputados (incluidas las proposiciones de ley) conllevan la aplicación automática del procedimiento de urgencia, lo que se desprende, como tiene declarado este tribunal, del art. 90 CE (STC 97/2002, de 25 de abril, FJ 4). En definitiva, los efectos que la declaración de urgencia de las iniciativas legislativas provoca en orden a su tramitación en el Senado se generan por expresa previsión constitucional con independencia de cuál sea el órgano que la declara, esto es, el Gobierno o el Congreso de los Diputados, a los que confiere tal facultad el art. 90.3 CE y sea cual sea la naturaleza del instrumento jurídico empleado para canalizar la iniciativa legislativa. Por estas razones no puede realizarse una interpretación aislada del art. 90.3 CE, ya que resulta contraria al espíritu del precepto y vendría a distorsionar nuestro modelo de procedimiento legislativo de urgencia como una técnica de agilización procedimental que cuenta con cobertura constitucional (arts. 86.3 y 90.3 CE).</w:t>
      </w:r>
    </w:p>
    <w:p w14:paraId="23CB5703" w14:textId="77777777" w:rsidR="00A8138F" w:rsidRDefault="00A8138F" w:rsidP="00A8138F">
      <w:pPr>
        <w:pStyle w:val="TextoNormal"/>
      </w:pPr>
    </w:p>
    <w:p w14:paraId="08B0BE46" w14:textId="77777777" w:rsidR="00A8138F" w:rsidRDefault="00A8138F" w:rsidP="00A8138F">
      <w:pPr>
        <w:pStyle w:val="TextoNormal"/>
      </w:pPr>
      <w:r>
        <w:t xml:space="preserve">Resulta, por lo tanto, no solo cuestionable, sino inconstitucional la razón que se aduce en la propia exposición de motivos de la reforma del Reglamento del Senado cuando afirma que “el objetivo específico” de esta es ofrecer oportunidades al rigor y la calidad de la función legislativa del Senado y dar a los senadores el tiempo necesario para el análisis y debate de las iniciativas que llegan a la Cámara. Los proponentes de la reforma argumentan que la regulación de la Constitución sobre la intervención del Senado en el procedimiento legislativo (art. 90.2 CE) se circunscribe a los proyectos de ley, dejando la regulación de las proposiciones de ley a lo que decida el Reglamento del Senado en virtud de su autonomía parlamentaria. Tal forma de razonar —en opinión de los recurrentes— abre también la posibilidad de que se pueda contradecir en el futuro el art. 90.2 CE, en el sentido de que pudiera interpretarse que se circunscribe también a los proyectos de ley y no a todo tipo de iniciativa </w:t>
      </w:r>
      <w:r>
        <w:lastRenderedPageBreak/>
        <w:t>legislativa, de manera que, en lugar de tener derecho a enmendar o vetar, siendo el Congreso de los Diputados el que en última instancia debe levantar o ratificar dichas enmiendas o vetos, el Reglamento del Senado podría decidir que las proposiciones de ley se aprobaran definitivamente en el Senado o que la fórmula de resolución de conflictos entre ambas Cámaras se resolviera a través de una comisión mixta o cualquier otra forma diferente de la establecida en el art. 90.2 CE, pues esta solo se aplicaría a las iniciativas procedentes de los proyectos de ley. Esta es la gravísima consecuencia que tendría la reforma reglamentaria aprobada, lo que podría abrir la puerta a cambiar radicalmente la relación establecida por la Constitución entre las dos Cámaras en el ejercicio de la función legislativa. Este tipo de razonamiento podría llevarnos también a un sistema en el que el Congreso de los Diputados no se viera compelido a enviar las proposiciones de ley al Senado, dado que tanto el art. 90 CE como el art. 120 Reglamento del Congreso de los Diputados (RCD) se refieren exclusivamente a los proyectos de ley.</w:t>
      </w:r>
    </w:p>
    <w:p w14:paraId="7500B15D" w14:textId="77777777" w:rsidR="00A8138F" w:rsidRDefault="00A8138F" w:rsidP="00A8138F">
      <w:pPr>
        <w:pStyle w:val="TextoNormal"/>
      </w:pPr>
    </w:p>
    <w:p w14:paraId="65ED6E35" w14:textId="77777777" w:rsidR="00A8138F" w:rsidRDefault="00A8138F" w:rsidP="00A8138F">
      <w:pPr>
        <w:pStyle w:val="TextoNormal"/>
      </w:pPr>
      <w:r>
        <w:t>En definitiva, aceptar la constitucionalidad de la reforma implicaría asumir que la Constitución estableció una regulación parcial del procedimiento legislativo, dejando un incomprensible vacío sobre cómo regular la tramitación de una parte sustantiva de las leyes, las que se origina en proposiciones de ley. La tramitación de esta modalidad de iniciativa legislativa se entendería ajena a lo que establece la Constitución, dejando en manos de los reglamentos parlamentarios su regulación.</w:t>
      </w:r>
    </w:p>
    <w:p w14:paraId="710D2614" w14:textId="77777777" w:rsidR="00A8138F" w:rsidRDefault="00A8138F" w:rsidP="00A8138F">
      <w:pPr>
        <w:pStyle w:val="TextoNormal"/>
      </w:pPr>
    </w:p>
    <w:p w14:paraId="2DA13948" w14:textId="77777777" w:rsidR="00A8138F" w:rsidRDefault="00A8138F" w:rsidP="00A8138F">
      <w:pPr>
        <w:pStyle w:val="TextoNormal"/>
      </w:pPr>
      <w:r>
        <w:t>Así pues, la reforma es radicalmente inconstitucional, en definitiva, porque (i) el propio Tribunal Constitucional ha zanjado el debate nominal sobre si el art. 90 CE se refiere solo a los proyectos de ley o si abarca también las proposiciones de ley (SSTC 234/2000, de 3 de octubre, FJ 13, y 97/2002, de 25 de abril, FJ 4); (ii) es muy habitual que tanto la Constitución como los Reglamentos parlamentarios regulen aspectos relacionados con todas las iniciativas legislativas refiriéndose en exclusiva a los proyectos de ley. Término este que tiene dos acepciones: una estricta, que comprende exclusivamente el proyecto de ley emanado del Gobierno; y otra amplia, que se extiende a cualquier tipo de iniciativa legislativa (en este sentido, arts. 167 y 81.2 CE; 113 y ss., 117 y ss. y 120 a 123 RCD); (iii) una interpretación sistemática de la Constitución lleva a concluir que el art. 90 CE regula la intervención del Senado en el procedimiento legislativo respecto a cualquier tipo de iniciativa, interpretación que ningún operador jurídico ha cuestionado durante los cuarenta y cinco años de democracia.</w:t>
      </w:r>
    </w:p>
    <w:p w14:paraId="546FB9C9" w14:textId="77777777" w:rsidR="00A8138F" w:rsidRDefault="00A8138F" w:rsidP="00A8138F">
      <w:pPr>
        <w:pStyle w:val="TextoNormal"/>
      </w:pPr>
    </w:p>
    <w:p w14:paraId="29C478A3" w14:textId="77777777" w:rsidR="00A8138F" w:rsidRDefault="00A8138F" w:rsidP="00A8138F">
      <w:pPr>
        <w:pStyle w:val="TextoNormal"/>
      </w:pPr>
      <w:r>
        <w:t>c) Subordinación del Reglamento del Senado a la Constitución</w:t>
      </w:r>
    </w:p>
    <w:p w14:paraId="5E5D2082" w14:textId="77777777" w:rsidR="00A8138F" w:rsidRDefault="00A8138F" w:rsidP="00A8138F">
      <w:pPr>
        <w:pStyle w:val="TextoNormal"/>
      </w:pPr>
    </w:p>
    <w:p w14:paraId="47A127CF" w14:textId="77777777" w:rsidR="00A8138F" w:rsidRDefault="00A8138F" w:rsidP="00A8138F">
      <w:pPr>
        <w:pStyle w:val="TextoNormal"/>
      </w:pPr>
      <w:r>
        <w:t>Lo que convierte en palmariamente inconstitucional la reforma del art. 133 RS es que se pretende otorgar al Senado la facultad de decidir el procedimiento de tramitación de las proposiciones de ley ya declaradas urgentes por el Congreso de los Diputados, apartándose de esta forma de las previsiones de la Constitución y de la jurisprudencia de este tribunal.</w:t>
      </w:r>
    </w:p>
    <w:p w14:paraId="4E878680" w14:textId="77777777" w:rsidR="00A8138F" w:rsidRDefault="00A8138F" w:rsidP="00A8138F">
      <w:pPr>
        <w:pStyle w:val="TextoNormal"/>
      </w:pPr>
    </w:p>
    <w:p w14:paraId="10897801" w14:textId="77777777" w:rsidR="00A8138F" w:rsidRDefault="00A8138F" w:rsidP="00A8138F">
      <w:pPr>
        <w:pStyle w:val="TextoNormal"/>
      </w:pPr>
      <w:r>
        <w:t xml:space="preserve">Ciertamente, el art. 72.1 CE recoge, entre otras manifestaciones de la autonomía parlamentaria, la potestad de cada Cámara de dictar sus propios reglamentos sin interferencias de otros órganos o poderes del Estado. Ahora bien, “los Reglamentos de las Cámaras se encuentran directamente incardinados a la Constitución” (STC 101/1983, de 18 de noviembre, FJ 3), de modo que, pudiendo admitirse la disponibilidad del Senado sobre los trámites y la cronología del procedimiento legislativo en el seno de la Cámara, el alcance de dicha </w:t>
      </w:r>
      <w:r>
        <w:lastRenderedPageBreak/>
        <w:t>disponibilidad será el que resulte de los preceptos constitucionales que lo regulan y con las restricciones que se establezcan.</w:t>
      </w:r>
    </w:p>
    <w:p w14:paraId="58AEF59D" w14:textId="77777777" w:rsidR="00A8138F" w:rsidRDefault="00A8138F" w:rsidP="00A8138F">
      <w:pPr>
        <w:pStyle w:val="TextoNormal"/>
      </w:pPr>
    </w:p>
    <w:p w14:paraId="5CCF97A1" w14:textId="77777777" w:rsidR="00A8138F" w:rsidRDefault="00A8138F" w:rsidP="00A8138F">
      <w:pPr>
        <w:pStyle w:val="TextoNormal"/>
      </w:pPr>
      <w:r>
        <w:t>La autonomía reglamentaria del Senado no puede constituir un obstáculo que impida que el constituyente pueda dotar al Gobierno y al Congreso de los Diputados de un mecanismo que les permita acelerar o abreviar en determinadas circunstancias la tramitación parlamentaria de un proyecto de ley. Así pues, como este tribunal ha puesto de manifiesto en la STC 234/2000, de 3 de octubre, FJ 12, a partir de una determinada concepción de la autonomía reglamentaria de la Cámara no puede inferirse un límite al ejercicio por el Congreso de los Diputados de la facultad de declarar urgentes los proyectos de ley o las proposiciones de ley que le confiere el art. 90.3 CE con los efectos que a tal declaración se anudan respecto a su tramitación en el Senado.</w:t>
      </w:r>
    </w:p>
    <w:p w14:paraId="434FD8D2" w14:textId="77777777" w:rsidR="00A8138F" w:rsidRDefault="00A8138F" w:rsidP="00A8138F">
      <w:pPr>
        <w:pStyle w:val="TextoNormal"/>
      </w:pPr>
    </w:p>
    <w:p w14:paraId="2EC9E848" w14:textId="77777777" w:rsidR="00A8138F" w:rsidRDefault="00A8138F" w:rsidP="00A8138F">
      <w:pPr>
        <w:pStyle w:val="TextoNormal"/>
      </w:pPr>
      <w:r>
        <w:t>d) Vicios de procedimiento. Una propuesta de reforma tramitada con infracción manifiesta del procedimiento reglamentario previsto para su toma en consideración</w:t>
      </w:r>
    </w:p>
    <w:p w14:paraId="5868E2B7" w14:textId="77777777" w:rsidR="00A8138F" w:rsidRDefault="00A8138F" w:rsidP="00A8138F">
      <w:pPr>
        <w:pStyle w:val="TextoNormal"/>
      </w:pPr>
    </w:p>
    <w:p w14:paraId="17B9C723" w14:textId="77777777" w:rsidR="00A8138F" w:rsidRDefault="00A8138F" w:rsidP="00A8138F">
      <w:pPr>
        <w:pStyle w:val="TextoNormal"/>
      </w:pPr>
      <w:r>
        <w:t>Tras relatar minuciosamente la cronología de la tramitación de la reforma del Reglamento del Senado impugnada, los recurrentes denuncian la infracción del art. 71.1 RS, al haber acordado la mesa de la Cámara, en su reunión de 7 de noviembre de 2023, celebrada entre las 12:03 y las 12:54 horas, después de haberla calificado, incluir su toma en consideración en el orden del día de la sesión plenaria del mismo 7 de noviembre, sin que se hubiera publicado en el “Boletín Oficial de las Cortes Generales” y sin que se hubiera oído previamente a la Junta de Portavoces, pues ésta se había reunido con anterioridad a la mesa, de forma que no pudo pronunciarse sobre la inclusión de dicha iniciativa en la referida sesión plenaria al no haber sido aún calificada ni publicada.</w:t>
      </w:r>
    </w:p>
    <w:p w14:paraId="5BE8B6FF" w14:textId="77777777" w:rsidR="00A8138F" w:rsidRDefault="00A8138F" w:rsidP="00A8138F">
      <w:pPr>
        <w:pStyle w:val="TextoNormal"/>
      </w:pPr>
    </w:p>
    <w:p w14:paraId="283088CA" w14:textId="77777777" w:rsidR="00A8138F" w:rsidRDefault="00A8138F" w:rsidP="00A8138F">
      <w:pPr>
        <w:pStyle w:val="TextoNormal"/>
      </w:pPr>
      <w:r>
        <w:t>Asimismo, se quejan de que la toma en consideración de las propuestas alternativas a la propuesta de reforma del reglamento tuviera lugar en la sesión plenaria celebrada el día 8 de noviembre, es decir, dos horas después de que hubieran sido admitidas a trámite y sin haber sido objeto de publicación oficial, lo que supone una manifiesta infracción del art. 108.3 RS.</w:t>
      </w:r>
    </w:p>
    <w:p w14:paraId="37A08CA0" w14:textId="77777777" w:rsidR="00A8138F" w:rsidRDefault="00A8138F" w:rsidP="00A8138F">
      <w:pPr>
        <w:pStyle w:val="TextoNormal"/>
      </w:pPr>
    </w:p>
    <w:p w14:paraId="4F9F6054" w14:textId="77777777" w:rsidR="00A8138F" w:rsidRDefault="00A8138F" w:rsidP="00A8138F">
      <w:pPr>
        <w:pStyle w:val="TextoNormal"/>
      </w:pPr>
      <w:r>
        <w:t>Estas infracciones procedimentales fueron denunciadas por los portavoces de los grupos parlamentarios en sus intervenciones de las sesiones plenarias del 8 y 14 de noviembre y en la sesión de la Comisión de Reglamento del 13 de noviembre, así como en las solicitudes de reconsideración presentadas contra los acuerdos de la mesa del Senado, de 7 de noviembre de 2023, por los que, respectivamente, se admitió a trámite la propuesta de reforma del reglamento y se dispuso su inclusión en el orden del día de la sesión plenaria celebrada en la misma fecha para su toma en consideración.</w:t>
      </w:r>
    </w:p>
    <w:p w14:paraId="0845415F" w14:textId="77777777" w:rsidR="00A8138F" w:rsidRDefault="00A8138F" w:rsidP="00A8138F">
      <w:pPr>
        <w:pStyle w:val="TextoNormal"/>
      </w:pPr>
    </w:p>
    <w:p w14:paraId="6A8F6595" w14:textId="77777777" w:rsidR="00A8138F" w:rsidRDefault="00A8138F" w:rsidP="00A8138F">
      <w:pPr>
        <w:pStyle w:val="TextoNormal"/>
      </w:pPr>
      <w:r>
        <w:t>En suma, la tramitación de la propuesta de reforma del Reglamento no ha respetado el procedimiento reglamentario, con infracción de los principios de seguridad jurídica, igualdad y legalidad (arts. 9.3 y 103.1 CE), por lo que se interesa la declaración de inconstitucionalidad de la reforma aprobada en lo que afecta al art. 133 RS.</w:t>
      </w:r>
    </w:p>
    <w:p w14:paraId="16AE5527" w14:textId="77777777" w:rsidR="00A8138F" w:rsidRDefault="00A8138F" w:rsidP="00A8138F">
      <w:pPr>
        <w:pStyle w:val="TextoNormal"/>
      </w:pPr>
    </w:p>
    <w:p w14:paraId="78789EDC" w14:textId="1FBB6C67" w:rsidR="00A8138F" w:rsidRDefault="00A8138F" w:rsidP="00A8138F">
      <w:pPr>
        <w:pStyle w:val="TextoNormal"/>
      </w:pPr>
      <w:r>
        <w:t xml:space="preserve">El escrito de demanda concluye solicitando de este tribunal que dicte sentencia en la que se estime el recurso de inconstitucionalidad y se declare la inconstitucionalidad y nulidad </w:t>
      </w:r>
      <w:r>
        <w:lastRenderedPageBreak/>
        <w:t>de la “Reforma del Reglamento del Senado por la que se modifican los artículos 133 y 182”, en lo que afecta al art. 133 del Reglamento del Senado.</w:t>
      </w:r>
    </w:p>
    <w:p w14:paraId="7E20AB51" w14:textId="77777777" w:rsidR="00A8138F" w:rsidRDefault="00A8138F" w:rsidP="00A8138F">
      <w:pPr>
        <w:pStyle w:val="TextoNormal"/>
      </w:pPr>
    </w:p>
    <w:p w14:paraId="698BEA2A" w14:textId="22FC413F" w:rsidR="00A8138F" w:rsidRDefault="00A8138F" w:rsidP="00A8138F">
      <w:pPr>
        <w:pStyle w:val="TextoNormal"/>
      </w:pPr>
      <w:r w:rsidRPr="00A8138F">
        <w:rPr>
          <w:rStyle w:val="NumeroAFNegritaCaracter"/>
        </w:rPr>
        <w:t>4</w:t>
      </w:r>
      <w:r>
        <w:t>. El Pleno del Tribunal Constitucional, por providencia de 16 de enero de 2024, a propuesta de la Sección Segunda, acordó admitir a trámite el recurso de inconstitucionalidad; dar traslado de la demanda y de los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y publicar la incoación del recurso en el “Boletín Oficial del Estado”.</w:t>
      </w:r>
    </w:p>
    <w:p w14:paraId="74049F58" w14:textId="77777777" w:rsidR="00A8138F" w:rsidRDefault="00A8138F" w:rsidP="00A8138F">
      <w:pPr>
        <w:pStyle w:val="TextoNormal"/>
      </w:pPr>
    </w:p>
    <w:p w14:paraId="763C8D70" w14:textId="1D711849" w:rsidR="00A8138F" w:rsidRDefault="00A8138F" w:rsidP="00A8138F">
      <w:pPr>
        <w:pStyle w:val="TextoNormal"/>
      </w:pPr>
      <w:r w:rsidRPr="00A8138F">
        <w:rPr>
          <w:rStyle w:val="NumeroAFNegritaCaracter"/>
        </w:rPr>
        <w:t>5</w:t>
      </w:r>
      <w:r>
        <w:t>. El presidente del Congreso de los Diputados, mediante escrito registrado en este tribunal el día 24 de enero de 2024, comunicó el acuerdo de la mesa de que se tuviera por personada a la Cámara en el procedimiento y por ofrecida su colaboración a los efectos de lo dispuesto en el artículo 88.1 LOTC.</w:t>
      </w:r>
    </w:p>
    <w:p w14:paraId="7A0BF0F8" w14:textId="77777777" w:rsidR="00A8138F" w:rsidRDefault="00A8138F" w:rsidP="00A8138F">
      <w:pPr>
        <w:pStyle w:val="TextoNormal"/>
      </w:pPr>
    </w:p>
    <w:p w14:paraId="208799AB" w14:textId="78AB0646" w:rsidR="00A8138F" w:rsidRDefault="00A8138F" w:rsidP="00A8138F">
      <w:pPr>
        <w:pStyle w:val="TextoNormal"/>
      </w:pPr>
      <w:r w:rsidRPr="00A8138F">
        <w:rPr>
          <w:rStyle w:val="NumeroAFNegritaCaracter"/>
        </w:rPr>
        <w:t>6</w:t>
      </w:r>
      <w:r>
        <w:t>. El presidente del Senado, mediante escrito que tuvo entrada en el registro de este tribunal el día 2 de febrero de 2024, comunicó el acuerdo de la mesa de comparecer en este procedimiento a los efectos de formular alegaciones, con indicación de la letrada de las Cortes Generales a la que se le encomienda la representación y defensa de la Cámara.</w:t>
      </w:r>
    </w:p>
    <w:p w14:paraId="689E324B" w14:textId="77777777" w:rsidR="00A8138F" w:rsidRDefault="00A8138F" w:rsidP="00A8138F">
      <w:pPr>
        <w:pStyle w:val="TextoNormal"/>
      </w:pPr>
    </w:p>
    <w:p w14:paraId="6B760B2A" w14:textId="77777777" w:rsidR="00A8138F" w:rsidRDefault="00A8138F" w:rsidP="00A8138F">
      <w:pPr>
        <w:pStyle w:val="TextoNormal"/>
      </w:pPr>
      <w:r w:rsidRPr="00A8138F">
        <w:rPr>
          <w:rStyle w:val="NumeroAFNegritaCaracter"/>
        </w:rPr>
        <w:t>7</w:t>
      </w:r>
      <w:r>
        <w:t>. Mediante escrito registrado en este tribunal el día 6 de febrero de 2024, el abogado del Estado, en la representación que legalmente ostenta, se personó, en nombre del Gobierno, en el recurso de inconstitucionalidad y solicitó la prórroga por el máximo legal del plazo concedido para formular alegaciones.</w:t>
      </w:r>
    </w:p>
    <w:p w14:paraId="095DFF33" w14:textId="77777777" w:rsidR="00A8138F" w:rsidRDefault="00A8138F" w:rsidP="00A8138F">
      <w:pPr>
        <w:pStyle w:val="TextoNormal"/>
      </w:pPr>
    </w:p>
    <w:p w14:paraId="44A44BCB" w14:textId="7A292928" w:rsidR="00A8138F" w:rsidRDefault="00A8138F" w:rsidP="00A8138F">
      <w:pPr>
        <w:pStyle w:val="TextoNormal"/>
      </w:pPr>
      <w:r>
        <w:t>Por diligencia de ordenación del secretario de justicia del Pleno, de 6 de febrero de 2024, se tuvo por personado al abogado del Estado y se prorrogó en ocho días más el plazo inicialmente conferido para formular alegaciones.</w:t>
      </w:r>
    </w:p>
    <w:p w14:paraId="285C2968" w14:textId="77777777" w:rsidR="00A8138F" w:rsidRDefault="00A8138F" w:rsidP="00A8138F">
      <w:pPr>
        <w:pStyle w:val="TextoNormal"/>
      </w:pPr>
    </w:p>
    <w:p w14:paraId="67B816F2" w14:textId="77777777" w:rsidR="00A8138F" w:rsidRDefault="00A8138F" w:rsidP="00A8138F">
      <w:pPr>
        <w:pStyle w:val="TextoNormal"/>
      </w:pPr>
      <w:r w:rsidRPr="00A8138F">
        <w:rPr>
          <w:rStyle w:val="NumeroAFNegritaCaracter"/>
        </w:rPr>
        <w:t>8</w:t>
      </w:r>
      <w:r>
        <w:t>. La letrada de las Cortes Generales que actúa en representación y defensa del Senado evacuó el trámite de alegaciones conferido mediante escrito registrado en este tribunal el día 8 de febrero de 2024, que, a continuación, sucintamente se exponen:</w:t>
      </w:r>
    </w:p>
    <w:p w14:paraId="08C02529" w14:textId="77777777" w:rsidR="00A8138F" w:rsidRDefault="00A8138F" w:rsidP="00A8138F">
      <w:pPr>
        <w:pStyle w:val="TextoNormal"/>
      </w:pPr>
    </w:p>
    <w:p w14:paraId="2BBCD748" w14:textId="77777777" w:rsidR="00A8138F" w:rsidRDefault="00A8138F" w:rsidP="00A8138F">
      <w:pPr>
        <w:pStyle w:val="TextoNormal"/>
      </w:pPr>
      <w:r>
        <w:t>a) Frente al argumento de los demandantes relativo a la supuesta “identidad de razón” entre los proyectos y las proposiciones de ley, entiende que hay numerosas razones que abonan la tesis contraria, esto es, que el término “proyecto de ley” del art. 90.3 CE se refiere específicamente a las iniciativas legislativas procedentes del Gobierno y a ninguna otra. De modo que el silencio de la Constitución respecto a las iniciativas legislativas procedentes de otros sujetos a quienes el art. 87 CE reconoce tal facultad —esto es, respecto de las proposiciones de ley— es una laguna constitucional que puede legítimamente ser llenada a través de un desarrollo reglamentario, al amparo de la autonomía normativa reconocida a las Cámaras en el art. 72.1 CE.</w:t>
      </w:r>
    </w:p>
    <w:p w14:paraId="1FC470C5" w14:textId="77777777" w:rsidR="00A8138F" w:rsidRDefault="00A8138F" w:rsidP="00A8138F">
      <w:pPr>
        <w:pStyle w:val="TextoNormal"/>
      </w:pPr>
    </w:p>
    <w:p w14:paraId="390093A8" w14:textId="77777777" w:rsidR="00A8138F" w:rsidRDefault="00A8138F" w:rsidP="00A8138F">
      <w:pPr>
        <w:pStyle w:val="TextoNormal"/>
      </w:pPr>
      <w:r>
        <w:t xml:space="preserve">Son numerosos los preceptos constitucionales y reglamentarios en los que los términos “proyecto de ley” y “proposición de ley” figuran netamente diferenciados debido al órgano </w:t>
      </w:r>
      <w:r>
        <w:lastRenderedPageBreak/>
        <w:t>de quien procede la iniciativa legislativa. Así, por ejemplo, los arts. 87 y 89 CE, que se refieren a las proposiciones de ley como iniciativas de origen parlamentario o popular y remiten a los reglamentos parlamentarios para su regulación; el art. 88 CE, que denomina proyecto de ley a la iniciativa aprobada por el Consejo de Ministros; o los arts. 131 y 134 CE, relativos a proyectos de ley de carácter económico o presupuestario, que solo pueden provenir del Gobierno. Por su parte, los arts. 129 y 135 RS, mencionan los dos tipos de iniciativa; el art. 149 RS, respecto al proyecto de ley de presupuestos; el art. 151 RS, referente a la remisión al Gobierno de las proposiciones de ley con incidencia presupuestaria; y, en fin, el art. 153 RS, que denomina proposición de ley a la iniciativa de reforma constitucional iniciada en el Senado.</w:t>
      </w:r>
    </w:p>
    <w:p w14:paraId="76C3225B" w14:textId="77777777" w:rsidR="00A8138F" w:rsidRDefault="00A8138F" w:rsidP="00A8138F">
      <w:pPr>
        <w:pStyle w:val="TextoNormal"/>
      </w:pPr>
    </w:p>
    <w:p w14:paraId="3DBDB417" w14:textId="77777777" w:rsidR="00A8138F" w:rsidRDefault="00A8138F" w:rsidP="00A8138F">
      <w:pPr>
        <w:pStyle w:val="TextoNormal"/>
      </w:pPr>
      <w:r>
        <w:t>También en la jurisprudencia constitucional el proyecto de ley aparece claramente definido. Así en la STC 234/2000, de 3 de octubre, en relación con la interpretación del art. 90.3 CE, este tribunal declaró que “[e]n suma, la materia objeto de regulación por el artículo 90 no es sino la tramitación en el Senado de los proyectos de ley, conteniendo su apartado tercero una regla de reducción de plazos”; y, más adelante, que del mismo se deducía “una atribución constitucional al Gobierno, cual es la facultad de declarar urgentes los proyectos de ley” (FFJJ 8 y 19). En ninguna línea de la sentencia se menciona a las proposiciones de ley, sino solo y exclusivamente a los proyectos de ley.</w:t>
      </w:r>
    </w:p>
    <w:p w14:paraId="2DAE5064" w14:textId="77777777" w:rsidR="00A8138F" w:rsidRDefault="00A8138F" w:rsidP="00A8138F">
      <w:pPr>
        <w:pStyle w:val="TextoNormal"/>
      </w:pPr>
    </w:p>
    <w:p w14:paraId="16EE964A" w14:textId="77777777" w:rsidR="00A8138F" w:rsidRDefault="00A8138F" w:rsidP="00A8138F">
      <w:pPr>
        <w:pStyle w:val="TextoNormal"/>
      </w:pPr>
      <w:r>
        <w:t>b) La representación letrada del Senado sostiene que en la interpretación del art. 90.3 CE se ha de tener en cuenta dos de los criterios interpretativos enunciados en el art. 3 del Código civil, que mal se compadecen con la que los recurrentes efectúan de aquel precepto constitucional.</w:t>
      </w:r>
    </w:p>
    <w:p w14:paraId="0D08C95C" w14:textId="77777777" w:rsidR="00A8138F" w:rsidRDefault="00A8138F" w:rsidP="00A8138F">
      <w:pPr>
        <w:pStyle w:val="TextoNormal"/>
      </w:pPr>
    </w:p>
    <w:p w14:paraId="34C6F1F1" w14:textId="77777777" w:rsidR="00A8138F" w:rsidRDefault="00A8138F" w:rsidP="00A8138F">
      <w:pPr>
        <w:pStyle w:val="TextoNormal"/>
      </w:pPr>
      <w:r>
        <w:t>El primero de ellos, es el relativo al sentido propio de las palabras. Existen dos denominaciones diferentes para dos objetos diferentes, porque un proyecto de ley no es lo mismo que una proposición de ley. Los proyectos de ley son definidos, en una de las acepciones de la Real Academia Española, como “texto elaborado por el Gobierno y sometido al parlamento para su tramitación y aprobación como ley”. Este significado literal encaja perfectamente con su significado jurídico, que distingue el proyecto de ley de la proposición de ley en atención al órgano del que cada iniciativa legislativa procede, lo que determina su diferente naturaleza, como también sus distintos requisitos de presentación y tramitación. La propia Constitución contiene estas dos denominaciones y diferencia claramente ambas iniciativas (arts. 88 y 89 CE). Figurando esta distinción entre ambas iniciativas en los citados preceptos, sin embargo, el art. 90.3 CE se refiere únicamente a los proyectos de ley, omitiendo cualquier referencia a las proposiciones de ley. De ahí que el examen de este último precepto no permita afirmar de forma categórica, como hacen los recurrentes, que el término proyecto de ley incluya también a las proposiciones de ley.</w:t>
      </w:r>
    </w:p>
    <w:p w14:paraId="60E35429" w14:textId="77777777" w:rsidR="00A8138F" w:rsidRDefault="00A8138F" w:rsidP="00A8138F">
      <w:pPr>
        <w:pStyle w:val="TextoNormal"/>
      </w:pPr>
    </w:p>
    <w:p w14:paraId="7DED8689" w14:textId="77777777" w:rsidR="00A8138F" w:rsidRDefault="00A8138F" w:rsidP="00A8138F">
      <w:pPr>
        <w:pStyle w:val="TextoNormal"/>
      </w:pPr>
      <w:r>
        <w:t>El segundo criterio interpretativo del art. 3 del Código Civil que no se tiene en cuenta en la demanda es el de los antecedentes históricos y legislativos de la norma. En este sentido, el propio tenor de los trabajos constituyentes, según se explica en la exposición de motivos de la reforma del art. 133 RS, desmiente la tesis de los recurrentes, porque “aunque en el informe de la ponencia constitucional del 5 de enero de 1978 se empleaba en el primer apartado del artículo la expresión ‘proyecto o proposición de ley’, esta fue después sustituida por la que finalmente se aprobó, esto es, ‘proyecto de ley ordinaria u orgánica’”.</w:t>
      </w:r>
    </w:p>
    <w:p w14:paraId="246673C2" w14:textId="77777777" w:rsidR="00A8138F" w:rsidRDefault="00A8138F" w:rsidP="00A8138F">
      <w:pPr>
        <w:pStyle w:val="TextoNormal"/>
      </w:pPr>
    </w:p>
    <w:p w14:paraId="3344FED3" w14:textId="77777777" w:rsidR="00A8138F" w:rsidRDefault="00A8138F" w:rsidP="00A8138F">
      <w:pPr>
        <w:pStyle w:val="TextoNormal"/>
      </w:pPr>
      <w:r>
        <w:lastRenderedPageBreak/>
        <w:t>Un resultado análogo se alcanza al intentar la interpretación del art. 90.3 CE, según su espíritu y finalidad. Dicho precepto en palabras de este tribunal contiene “una atribución constitucional al Gobierno, cual es la facultad de declarar urgentes los proyectos de ley, así como sobre los efectos que tiene dicha declaración sobre su tramitación a su paso por el Senado, esto es, la reducción a veinte días naturales del plazo del que la Cámara dispone en tales supuestos para vetar o enmendar el proyecto de ley” (STC 234/2000, de 3 de octubre, FJ 10). El fin perseguido es, por tanto, doble: por un lado, otorgar al Gobierno el poder de decidir el tipo de tramitación, ordinaria o urgente, de las iniciativas legislativas que él mismo presenta para su aprobación por las Cortes Generales —y, asimismo, al Congreso, al inicio de la tramitación parlamentaria—; y, por otro, acotar el plazo ordinario de tramitación en el Senado. Pero no se deduce ni del texto constitucional ni de su interpretación jurisprudencial que ese poder de disposición que se reconoce al Gobierno sobre las iniciativas propias, los proyectos de ley, pueda extenderse a las procedentes de instituciones parlamentarias (o de iniciativa popular, en su caso), las proposiciones de ley. Respecto de estas, las capacidades del ejecutivo, un poder ajeno a su autoría, son limitadas, como lo prueba el hecho de que su regulación se encomienda constitucionalmente a los reglamentos de las Cámaras (art. 89 CE) y, con toda lógica, son las propias Cámaras, a través de sus órganos de gobierno, las que adoptan todas las decisiones atinentes a su tramitación, inclusive la de decidir el tipo de procedimiento. No existe, pues, atendiendo al espíritu y finalidad del art. 90.3 CE, una “identidad de razón” en lo que a la declaración de urgencia de proyectos y proposiciones de ley respecta.</w:t>
      </w:r>
    </w:p>
    <w:p w14:paraId="42E62631" w14:textId="77777777" w:rsidR="00A8138F" w:rsidRDefault="00A8138F" w:rsidP="00A8138F">
      <w:pPr>
        <w:pStyle w:val="TextoNormal"/>
      </w:pPr>
    </w:p>
    <w:p w14:paraId="0A48F85A" w14:textId="77777777" w:rsidR="00A8138F" w:rsidRDefault="00A8138F" w:rsidP="00A8138F">
      <w:pPr>
        <w:pStyle w:val="TextoNormal"/>
      </w:pPr>
      <w:r>
        <w:t>La mesa del Senado está facultada desde la reforma de su Reglamento del año 1982 para declarar la urgencia en la tramitación de todas las iniciativas legislativas, ya se trate de proyectos o de proposiciones de ley, porque es la mesa de la Cámara la que determina, en el trámite de calificación y una vez que el proyecto o proposición ha tenido entrada en el registro del Senado, procedente de la Cámara Baja, cual es el procedimiento, ordinario o urgente, que la iniciativa ha de seguir. Ciertamente, es práctica habitual que se siga el mismo procedimiento de tramitación en ambas Cámaras, y que, si la urgencia viene determinada desde el Congreso, se respete este procedimiento en el Senado. Pero no son raros los casos en los que, habiéndose tramitado una iniciativa en el Congreso por el procedimiento ordinario, se ha declarado la urgencia en el Senado por acuerdo de su mesa; y ello tanto a solicitud de diversos grupos parlamentarios, como del Gobierno (no del Congreso, pues cada Cámara respeta de forma escrupulosa la autonomía de la otra).</w:t>
      </w:r>
    </w:p>
    <w:p w14:paraId="519DCBB5" w14:textId="77777777" w:rsidR="00A8138F" w:rsidRDefault="00A8138F" w:rsidP="00A8138F">
      <w:pPr>
        <w:pStyle w:val="TextoNormal"/>
      </w:pPr>
    </w:p>
    <w:p w14:paraId="29A33B85" w14:textId="77777777" w:rsidR="00A8138F" w:rsidRDefault="00A8138F" w:rsidP="00A8138F">
      <w:pPr>
        <w:pStyle w:val="TextoNormal"/>
      </w:pPr>
      <w:r>
        <w:t>En definitiva, por las razones expuestas, la representación letrada del Senado sostiene que no puede entenderse que el término “proyecto de ley” del art. 90.3 CE esté utilizado, como postulan los recurrentes, en un sentido genérico, obligando a la institución parlamentaria a entender aplicable idéntico régimen respecto a la declaración de urgencia de los proyectos y de las proposiciones de ley, cuando estas últimas no están mencionadas en dicho artículo, vetando al Senado, en consecuencia, toda reforma tendente a suplir las omisiones o desarrollar la regulación de aquel precepto, bajo la acusación de estar contraviniendo la Constitución.</w:t>
      </w:r>
    </w:p>
    <w:p w14:paraId="0A52E301" w14:textId="77777777" w:rsidR="00A8138F" w:rsidRDefault="00A8138F" w:rsidP="00A8138F">
      <w:pPr>
        <w:pStyle w:val="TextoNormal"/>
      </w:pPr>
    </w:p>
    <w:p w14:paraId="31625D6B" w14:textId="77777777" w:rsidR="00A8138F" w:rsidRDefault="00A8138F" w:rsidP="00A8138F">
      <w:pPr>
        <w:pStyle w:val="TextoNormal"/>
      </w:pPr>
      <w:r>
        <w:t xml:space="preserve">c) Respecto al papel del Senado en el procedimiento legislativo, considera comúnmente asumido el carácter del Senado como Cámara de “segunda lectura” en el procedimiento legislativo (STC 97/2002, de 25 de abril), lo que trae consigo las siguientes esenciales consecuencias: (i) el Senado conoce de los proyectos o proposiciones de ley una vez que estos </w:t>
      </w:r>
      <w:r>
        <w:lastRenderedPageBreak/>
        <w:t>han sido debatidos y votados en el Congreso de los Diputados; (ii) lo hace, además, en el inexcusable, inmodificable y limitado plazo de dos meses, para el caso del procedimiento legislativo ordinario y de veinte días cuando la iniciativa se tramita por el procedimiento de urgencia; y (iii) es el Congreso de los Diputados la Cámara que finaliza la tramitación parlamentaria de la iniciativa en el caso de que el Senado haya vetado o enmendado el texto legislativo inicialmente aprobado por el Congreso. Solo si el Senado no opone su veto o no introduce enmiendas, la tramitación parlamentaria del texto legislativo termina en el Senado.</w:t>
      </w:r>
    </w:p>
    <w:p w14:paraId="02254430" w14:textId="77777777" w:rsidR="00A8138F" w:rsidRDefault="00A8138F" w:rsidP="00A8138F">
      <w:pPr>
        <w:pStyle w:val="TextoNormal"/>
      </w:pPr>
    </w:p>
    <w:p w14:paraId="04878522" w14:textId="77777777" w:rsidR="00A8138F" w:rsidRDefault="00A8138F" w:rsidP="00A8138F">
      <w:pPr>
        <w:pStyle w:val="TextoNormal"/>
      </w:pPr>
      <w:r>
        <w:t>La declaración de urgencia de las proposiciones de ley no está prevista en la Constitución, que ni siquiera las menciona en el art. 90.3 CE. Tampoco se mencionan en las dos sentencias más relevantes en la interpretación de este precepto (SSTC 234/2000, de 3 de octubre, y 97/2002, de 25 de abril). En cambio, el art. 89 CE prevé que los reglamentos de las Cámaras regulen la tramitación de las proposiciones de ley. De ahí que, más que hablar, como se hace en la demanda, de “regulación parcial del procedimiento legislativo” o de “incomprensible vacío sobre cómo regular la tramitación de una parte sustantiva de las leyes”, hay que hablar de la remisión de la Constitución al reglamento parlamentario para completar la regulación que esta esboza en sus líneas esenciales, lo cual es una técnica normativa muy habitual. De modo que al amparo del citado art. 89 CE se ha llevado a cabo la reforma del art. 133 RS, a los efectos de permitir la tramitación urgente de este tipo de iniciativa, atribuyendo la competencia al órgano de gobierno de la Cámara, a instancia de otros órganos (Gobierno, Congreso de los Diputados, dos grupos parlamentarios o veinticinco senadores).</w:t>
      </w:r>
    </w:p>
    <w:p w14:paraId="6B88E0BF" w14:textId="77777777" w:rsidR="00A8138F" w:rsidRDefault="00A8138F" w:rsidP="00A8138F">
      <w:pPr>
        <w:pStyle w:val="TextoNormal"/>
      </w:pPr>
    </w:p>
    <w:p w14:paraId="45F668D9" w14:textId="77777777" w:rsidR="00A8138F" w:rsidRDefault="00A8138F" w:rsidP="00A8138F">
      <w:pPr>
        <w:pStyle w:val="TextoNormal"/>
      </w:pPr>
      <w:r>
        <w:t>El automatismo en la aplicación del procedimiento de urgencia en el Senado, una vez ha sido declarada la misma por el Gobierno o el Congreso de los Diputados, no existe, por cuanto es la mesa de la Cámara la que en el trámite de calificación acuerda el procedimiento a seguir por cada iniciativa, guiándose habitualmente, pero no siempre, por el establecido en el Congreso de los Diputados. El procedimiento seguido en el Congreso resulta obligatorio en el caso de los proyectos de ley declarados urgentes, pero no así en aquellos que se hubieran tramitado por el procedimiento ordinario, que pueden ser declarados por la mesa del Senado. Si no puede sostenerse la identidad de procedimiento de tramitación de los proyectos de ley en el Congreso de los Diputados y en el Senado en todos los casos, pese a que el art. 90.3 CE se refiere a ellos específicamente, mucho menos puede afirmarse que ni uno ni otro, ni el ordinario ni el urgente, sea de forzosa y obligada aplicación en el caso de las proposiciones de ley, porque nada hay previsto constitucionalmente al respecto.</w:t>
      </w:r>
    </w:p>
    <w:p w14:paraId="250C863B" w14:textId="77777777" w:rsidR="00A8138F" w:rsidRDefault="00A8138F" w:rsidP="00A8138F">
      <w:pPr>
        <w:pStyle w:val="TextoNormal"/>
      </w:pPr>
    </w:p>
    <w:p w14:paraId="4B4A4184" w14:textId="77777777" w:rsidR="00A8138F" w:rsidRDefault="00A8138F" w:rsidP="00A8138F">
      <w:pPr>
        <w:pStyle w:val="TextoNormal"/>
      </w:pPr>
      <w:r>
        <w:t>Aun admitiendo el hecho de que, ante el silencio de la Constitución, se pudiera recurrir a la aplicación analógica del art. 90.3 CE para la declaración de urgencia de las proposiciones de ley y reconocer esta facultad a los sujetos mencionados en el citado precepto, esto no significa que ni deba ser necesariamente así, ni que haya sido siempre así.</w:t>
      </w:r>
    </w:p>
    <w:p w14:paraId="3DAE527A" w14:textId="77777777" w:rsidR="00A8138F" w:rsidRDefault="00A8138F" w:rsidP="00A8138F">
      <w:pPr>
        <w:pStyle w:val="TextoNormal"/>
      </w:pPr>
    </w:p>
    <w:p w14:paraId="780DB7E2" w14:textId="77777777" w:rsidR="00A8138F" w:rsidRDefault="00A8138F" w:rsidP="00A8138F">
      <w:pPr>
        <w:pStyle w:val="TextoNormal"/>
      </w:pPr>
      <w:r>
        <w:t>No se trata, parafraseando a los recurrentes, de “pretender cambiar” a través de una reforma del reglamento del Senado “cuarenta y cinco años de una determinada interpretación de la Constitución”, sino de desarrollar reglamentariamente un precepto constitucional hasta ahora sin desarrollo, algo que puede hacer la Cámara al amparo de lo dispuesto en los arts. 72.1 y 89 CE, sin necesidad de sujetarse a una interpretación determinada, una de las varias posibles, que prefieren los recurrentes.</w:t>
      </w:r>
    </w:p>
    <w:p w14:paraId="5901B8F7" w14:textId="77777777" w:rsidR="00A8138F" w:rsidRDefault="00A8138F" w:rsidP="00A8138F">
      <w:pPr>
        <w:pStyle w:val="TextoNormal"/>
      </w:pPr>
    </w:p>
    <w:p w14:paraId="0B74591C" w14:textId="77777777" w:rsidR="00A8138F" w:rsidRDefault="00A8138F" w:rsidP="00A8138F">
      <w:pPr>
        <w:pStyle w:val="TextoNormal"/>
      </w:pPr>
      <w:r>
        <w:t>Tampoco es verdad que hayan existido, como se dice en la demanda, “cuarenta y cinco años de una determinada interpretación de la Constitución”, porque los casos de declaración de urgencia de proposiciones de ley en el Senado han sido escasos y no en la forma que quiere hacerse ver en la demanda. Desde la aprobación de la Constitución, solo se han tramitado en el Senado seis proposiciones de ley por el procedimiento de urgencia y en todas ellas ha sido la mesa de la Cámara la que ha adoptado el acuerdo de seguir este procedimiento. En dos a solicitud de uno o más grupos parlamentarios y en los cuatro restantes de oficio por la mesa en el trámite de calificación. Pero —y esto es lo más importante— en ningún de los seis casos habidos hasta la fecha la urgencia ha sido declarada, ni siquiera solicitada, ni por el Congreso de los Diputados ni por el Gobierno. Es decir, que el régimen aplicable a la declaración de urgencia de las proposiciones de ley en el Senado es exactamente el que ha quedado plasmado en el art. 133.2 RS tras su reforma.</w:t>
      </w:r>
    </w:p>
    <w:p w14:paraId="3D9AC0E0" w14:textId="77777777" w:rsidR="00A8138F" w:rsidRDefault="00A8138F" w:rsidP="00A8138F">
      <w:pPr>
        <w:pStyle w:val="TextoNormal"/>
      </w:pPr>
    </w:p>
    <w:p w14:paraId="0442A62B" w14:textId="77777777" w:rsidR="00A8138F" w:rsidRDefault="00A8138F" w:rsidP="00A8138F">
      <w:pPr>
        <w:pStyle w:val="TextoNormal"/>
      </w:pPr>
      <w:r>
        <w:t>En realidad, lo que late tras el razonamiento sobre la posición del Senado en el procedimiento legislativo para impugnar el art. 133 RS es la no atribución, en dicho precepto, de la competencia para declarar la urgencia al Congreso y, sobre todo, al Gobierno. Ambas exclusiones —o no inclusiones— tienen una justificación: en el primer caso, el respeto recíproco a la autonomía de cada Cámara; en el segundo, el tipo de iniciativa de que se trata, la proposición de ley, una iniciativa que no procede del Gobierno y respecto de la que, en consecuencia, no tiene más poder de disposición que el ejercicio de la facultad de veto presupuestario. Escapa, con toda lógica, a la competencia del Gobierno la decisión sobre el procedimiento de tramitación, ordinario o urgente, que para la proposición de ley se determine.</w:t>
      </w:r>
    </w:p>
    <w:p w14:paraId="2E8241F9" w14:textId="77777777" w:rsidR="00A8138F" w:rsidRDefault="00A8138F" w:rsidP="00A8138F">
      <w:pPr>
        <w:pStyle w:val="TextoNormal"/>
      </w:pPr>
    </w:p>
    <w:p w14:paraId="227BDEF6" w14:textId="77777777" w:rsidR="00A8138F" w:rsidRDefault="00A8138F" w:rsidP="00A8138F">
      <w:pPr>
        <w:pStyle w:val="TextoNormal"/>
      </w:pPr>
      <w:r>
        <w:t>La actuación del Senado, frente a lo que se sostiene en la demanda, se circunscribe a los márgenes que la Constitución le marca como Cámara de segunda lectura, sin que la declaración de urgencia de las proposiciones de ley por la mesa —competencia que también se atribuye desde siempre reglamentariamente respecto de los proyectos de ley— sea una quiebra de su posición constitucional.</w:t>
      </w:r>
    </w:p>
    <w:p w14:paraId="001D497D" w14:textId="77777777" w:rsidR="00A8138F" w:rsidRDefault="00A8138F" w:rsidP="00A8138F">
      <w:pPr>
        <w:pStyle w:val="TextoNormal"/>
      </w:pPr>
    </w:p>
    <w:p w14:paraId="446FAAC6" w14:textId="77777777" w:rsidR="00A8138F" w:rsidRDefault="00A8138F" w:rsidP="00A8138F">
      <w:pPr>
        <w:pStyle w:val="TextoNormal"/>
      </w:pPr>
      <w:r>
        <w:t>d) A continuación, la letrada que actúa en representación del Senado hace unas consideraciones sobre la autonomía de cada Cámara para decidir la aplicación de la urgencia en el caso de las proposiciones de ley, que es la única cuestión controvertida en este proceso, porque respecto a los proyectos de ley no se suscita duda alguna a tenor del art. 90.3 CE.</w:t>
      </w:r>
    </w:p>
    <w:p w14:paraId="4D5ACD49" w14:textId="77777777" w:rsidR="00A8138F" w:rsidRDefault="00A8138F" w:rsidP="00A8138F">
      <w:pPr>
        <w:pStyle w:val="TextoNormal"/>
      </w:pPr>
    </w:p>
    <w:p w14:paraId="3A9A693A" w14:textId="77777777" w:rsidR="00A8138F" w:rsidRDefault="00A8138F" w:rsidP="00A8138F">
      <w:pPr>
        <w:pStyle w:val="TextoNormal"/>
      </w:pPr>
      <w:r>
        <w:t>Tal y como se configura la urgencia en la Constitución y en el Reglamento del Congreso de los Diputados, cada Cámara, a través de su propio reglamento, tiene autonomía normativa y procedimental para regular la aplicación de la urgencia en el caso de las proposiciones de ley. Esta autonomía normativa y procedimental se ha de reconocer en pie de igualdad para cada Cámara con base en el art. 72.1 CE, sin que en este caso resulte de aplicación la supremacía legislativa que el Congreso tiene sobre el Senado a la vista de lo dispuesto en el art. 90.2 CE.</w:t>
      </w:r>
    </w:p>
    <w:p w14:paraId="7ECA491B" w14:textId="77777777" w:rsidR="00A8138F" w:rsidRDefault="00A8138F" w:rsidP="00A8138F">
      <w:pPr>
        <w:pStyle w:val="TextoNormal"/>
      </w:pPr>
    </w:p>
    <w:p w14:paraId="1285E11D" w14:textId="77777777" w:rsidR="00A8138F" w:rsidRDefault="00A8138F" w:rsidP="00A8138F">
      <w:pPr>
        <w:pStyle w:val="TextoNormal"/>
      </w:pPr>
      <w:r>
        <w:t xml:space="preserve">La Constitución no resuelve expresamente la cuestión de si el Senado se ve obligado a seguir la urgencia declarada por el Congreso para las proposiciones de ley, de ahí que los recurrentes para sustentar su tesis se vean obligados a recurrir a una interpretación amplia </w:t>
      </w:r>
      <w:r>
        <w:lastRenderedPageBreak/>
        <w:t>del término “proyecto de ley” del art. 90.3 CE, que abarcaría también a las proposiciones de ley. En apoyo de su planteamiento invocan la doctrina de la STC 97/2002, de 25 de abril.</w:t>
      </w:r>
    </w:p>
    <w:p w14:paraId="3C57C633" w14:textId="77777777" w:rsidR="00A8138F" w:rsidRDefault="00A8138F" w:rsidP="00A8138F">
      <w:pPr>
        <w:pStyle w:val="TextoNormal"/>
      </w:pPr>
    </w:p>
    <w:p w14:paraId="58838403" w14:textId="77777777" w:rsidR="00A8138F" w:rsidRDefault="00A8138F" w:rsidP="00A8138F">
      <w:pPr>
        <w:pStyle w:val="TextoNormal"/>
      </w:pPr>
      <w:r>
        <w:t>La referida sentencia alude a la “identidad de razón para su régimen jurídico” entre los proyectos y las proposiciones de ley, pero solo a los efectos de la aplicación del art. 90.2 CE, no del art. 90.3 CE, porque el problema planteado en esa ocasión se circunscribía a determinar si el Senado tenía otras posibilidades constitucionales de discrepar frente al texto del Congreso, aparte de oponer veto o enmiendas. Que exista un bicameralismo imperfecto a favor del Congreso como principio estructural de nuestro parlamentarismo, no quiere decir, sin embargo, que el Congreso determine en todos los casos la tramitación en el Senado, puesto que este último dispone de su propia autonomía para decidir sus tramitaciones internas de forma diferente a lo hecho en el Congreso.</w:t>
      </w:r>
    </w:p>
    <w:p w14:paraId="7FB291B6" w14:textId="77777777" w:rsidR="00A8138F" w:rsidRDefault="00A8138F" w:rsidP="00A8138F">
      <w:pPr>
        <w:pStyle w:val="TextoNormal"/>
      </w:pPr>
    </w:p>
    <w:p w14:paraId="2A530802" w14:textId="77777777" w:rsidR="00A8138F" w:rsidRDefault="00A8138F" w:rsidP="00A8138F">
      <w:pPr>
        <w:pStyle w:val="TextoNormal"/>
      </w:pPr>
      <w:r>
        <w:t>Por lo tanto, la reforma del Reglamento del Senado objeto de impugnación no pone en cuestión la supremacía del Congreso reflejada en el art. 90.2 CE. Los textos del Senado que ahora se pueden tramitar por el procedimiento ordinario, al amparo del art. 133 RS, van a respetar el contenido del art. 90.2 CE, que queda incólume, oponiendo veto o aprobando enmiendas, sin que la reforma del citado art. 133 haya introducido ninguna variación al respecto.</w:t>
      </w:r>
    </w:p>
    <w:p w14:paraId="62A6A259" w14:textId="77777777" w:rsidR="00A8138F" w:rsidRDefault="00A8138F" w:rsidP="00A8138F">
      <w:pPr>
        <w:pStyle w:val="TextoNormal"/>
      </w:pPr>
    </w:p>
    <w:p w14:paraId="508E459D" w14:textId="77777777" w:rsidR="00A8138F" w:rsidRDefault="00A8138F" w:rsidP="00A8138F">
      <w:pPr>
        <w:pStyle w:val="TextoNormal"/>
      </w:pPr>
      <w:r>
        <w:t>La STC 234/2000, de 3 de octubre, es la única sentencia que ha tratado específicamente el tema de la urgencia en el Senado, aunque desde otra perspectiva. En esta sentencia el tribunal apreció que el Senado había invadido la competencia reconocida al Gobierno en el art. 90.3 CE de declarar la urgencia de un proyecto de ley. Aunque los supuestos de la referida sentencia y el que es ahora objeto de enjuiciamiento no coinciden exactamente, dicha sentencia ofrece un punto de partida válido, a favor de nuestra posición, cual es que cada Cámara puede regular autónomamente los detalles sobre la aplicación del procedimiento de urgencia. Dando respuesta a esta llamada, los reglamentos de ambas Cámaras regulan la declaración del procedimiento de urgencia (arts. 93 y 94 RCD y 133 a 136 RS). En ningún pronunciamiento de este tribunal se ha dicho que entre ambos reglamentos exista una jerarquía normativa al regular cada uno de ellos dicho procedimiento, de modo que el Reglamento del Congreso se haya de imponer sobre el del Senado. Tampoco se ha dicho que ambos reglamentos hayan de tener igualdad de contenidos, sino que cada Cámara puede tener regulaciones autónomas y diferentes, con el único límite de que tales regulaciones respeten los preceptos constitucionales.</w:t>
      </w:r>
    </w:p>
    <w:p w14:paraId="24D3E750" w14:textId="77777777" w:rsidR="00A8138F" w:rsidRDefault="00A8138F" w:rsidP="00A8138F">
      <w:pPr>
        <w:pStyle w:val="TextoNormal"/>
      </w:pPr>
    </w:p>
    <w:p w14:paraId="0292D1B4" w14:textId="77777777" w:rsidR="00A8138F" w:rsidRDefault="00A8138F" w:rsidP="00A8138F">
      <w:pPr>
        <w:pStyle w:val="TextoNormal"/>
      </w:pPr>
      <w:r>
        <w:t>Este principio de autonomía reglamentaria del Senado, consagrado en el art. 72.1 CE, trascendental para el presente recurso, permite que el Senado adopte una regulación propia de la urgencia que no venga marcada por el Congreso.</w:t>
      </w:r>
    </w:p>
    <w:p w14:paraId="31966F26" w14:textId="77777777" w:rsidR="00A8138F" w:rsidRDefault="00A8138F" w:rsidP="00A8138F">
      <w:pPr>
        <w:pStyle w:val="TextoNormal"/>
      </w:pPr>
    </w:p>
    <w:p w14:paraId="06C5595D" w14:textId="77777777" w:rsidR="00A8138F" w:rsidRDefault="00A8138F" w:rsidP="00A8138F">
      <w:pPr>
        <w:pStyle w:val="TextoNormal"/>
      </w:pPr>
      <w:r>
        <w:t xml:space="preserve">A las anteriores consideraciones, añade la representación letrada del Senado que la urgencia en la Constitución se encuentra fundamentalmente asociada al proyecto de ley del Gobierno, más que a la norma de origen parlamentario. Lo que resulta lógico, pues es el Gobierno quien, como principal impulsor de las diferentes políticas, tendrá el interés en que en determinados casos se apruebe rápidamente una norma y entre en vigor, a lo que se une la responsabilidad que va aparejada al incumplimiento de ciertos plazos de entrada en vigor, como ocurre con la transposición de determinadas normas europeas. Por el contrario, las Cámaras no están sujetas a estas obligaciones de legislar con cierta premura, existiendo </w:t>
      </w:r>
      <w:r>
        <w:lastRenderedPageBreak/>
        <w:t>además la tendencia a asociar una mejor tramitación a una tramitación no urgente, más sosegada, que permita el amplio debate. Se puede apreciar que la regulación contenida en la Constitución parte de una cierta identificación entre Gobierno/proyecto de ley/urgencia. Es decir, el art. 90.3 CE no es un caso aislado, sino que en otras ocasiones la Constitución asocia la urgencia solo al Gobierno y al proyecto de ley como su instrumento legislativo típico, sin mencionar a las proposiciones de ley (arts. 86.1 y 3 CE).</w:t>
      </w:r>
    </w:p>
    <w:p w14:paraId="557DD2E7" w14:textId="77777777" w:rsidR="00A8138F" w:rsidRDefault="00A8138F" w:rsidP="00A8138F">
      <w:pPr>
        <w:pStyle w:val="TextoNormal"/>
      </w:pPr>
    </w:p>
    <w:p w14:paraId="1B8A50DD" w14:textId="77777777" w:rsidR="00A8138F" w:rsidRDefault="00A8138F" w:rsidP="00A8138F">
      <w:pPr>
        <w:pStyle w:val="TextoNormal"/>
      </w:pPr>
      <w:r>
        <w:t>En definitiva, los reglamentos de las Cámaras sustentan nuestra posición de que la Constitución no impone al Senado la obligación de tramitar por la vía de urgencia las proposiciones de ley así declaradas por el Congreso.</w:t>
      </w:r>
    </w:p>
    <w:p w14:paraId="3549DE55" w14:textId="77777777" w:rsidR="00A8138F" w:rsidRDefault="00A8138F" w:rsidP="00A8138F">
      <w:pPr>
        <w:pStyle w:val="TextoNormal"/>
      </w:pPr>
    </w:p>
    <w:p w14:paraId="26FA9B64" w14:textId="77777777" w:rsidR="00A8138F" w:rsidRDefault="00A8138F" w:rsidP="00A8138F">
      <w:pPr>
        <w:pStyle w:val="TextoNormal"/>
      </w:pPr>
      <w:r>
        <w:t>Es más, incluso podría sostenerse que esta interpretación del art. 90.3 CE es la más protectora no solo con la posición del Senado —que ha de poder disponer de sus propios procedimientos cuando no hay a norma expresa que lo impida—, sino también de la propia figura de la proposición de ley, pues en tanto la iniciativa gubernamental responde a los intereses y objetivos del Gobierno, la iniciativa parlamentaria ha de ser, en teoría, una manifestación propia de la voluntad de las Cámaras. Por ello, partiendo de la distinción constitucional entre ambos tipos de iniciativa legislativa, no dejaría de ser contradictorio querer interpretar automáticamente que allí donde la Constitución dice “proyecto de ley” siempre haya de entenderse “proposición de ley”, porque ello vendría a eliminar las diferencias entre uno y otro tipo de iniciativa, cuando cada una responde a una autoría y a una finalidad constitucional distinta. La proposición de ley es el genuino producto legislativo de la Cámara y el art. 89.1 CE quiso reservar su regulación a los reglamentos de cada Cámara, precisamente para preservar que cada una lo ejerciera de modo autónoma a la otra y, a la vez, diferenciada de la iniciativa gubernamental. Solo si la Constitución hubiera remitido la regulación de las proposiciones de ley a la de los proyectos de ley se podría sostener la tesis que pretenden los recurrentes de la intercambiabilidad entre ambas figuras y de la total equivalencia semántica.</w:t>
      </w:r>
    </w:p>
    <w:p w14:paraId="55896073" w14:textId="77777777" w:rsidR="00A8138F" w:rsidRDefault="00A8138F" w:rsidP="00A8138F">
      <w:pPr>
        <w:pStyle w:val="TextoNormal"/>
      </w:pPr>
    </w:p>
    <w:p w14:paraId="14596DF5" w14:textId="77777777" w:rsidR="00A8138F" w:rsidRDefault="00A8138F" w:rsidP="00A8138F">
      <w:pPr>
        <w:pStyle w:val="TextoNormal"/>
      </w:pPr>
      <w:r>
        <w:t xml:space="preserve">Cualquier precepto del Reglamento del Senado es susceptible de reforma en cualquier momento, si lo decide la mayoría exigida para ello, sin que el paso del tiempo sin reformar lo convierta en un precepto rígido o intangible a la posibilidad de reforma. Sostener que no cabe reformar un precepto del reglamento porque antes no lo ha sido parece que vulneraría el </w:t>
      </w:r>
      <w:r w:rsidRPr="00A8138F">
        <w:rPr>
          <w:i/>
        </w:rPr>
        <w:t>ius in officium</w:t>
      </w:r>
      <w:r>
        <w:t xml:space="preserve"> de los senadores, del que forma parte la posibilidad de reformar el reglamento de la Cámara.</w:t>
      </w:r>
    </w:p>
    <w:p w14:paraId="24B7D4C5" w14:textId="77777777" w:rsidR="00A8138F" w:rsidRDefault="00A8138F" w:rsidP="00A8138F">
      <w:pPr>
        <w:pStyle w:val="TextoNormal"/>
      </w:pPr>
    </w:p>
    <w:p w14:paraId="31AC3238" w14:textId="77777777" w:rsidR="00A8138F" w:rsidRDefault="00A8138F" w:rsidP="00A8138F">
      <w:pPr>
        <w:pStyle w:val="TextoNormal"/>
      </w:pPr>
      <w:r>
        <w:t xml:space="preserve">e) En relación con los vicios de procedimiento que se denuncian en la demanda, la representación letrada del Senado sostiene que la reforma del reglamento se llevó a cabo según el procedimiento establecido en el art. 196 RS, que remite a lo dispuesto para las proposiciones de ley, que regula el art. 108 RS, cuyos trámites se cumplieron en el </w:t>
      </w:r>
      <w:r w:rsidRPr="00A8138F">
        <w:rPr>
          <w:i/>
        </w:rPr>
        <w:t>iter</w:t>
      </w:r>
      <w:r>
        <w:t xml:space="preserve"> legislativo seguido por la iniciativa de reforma: su inmediata publicación, la apertura de un plazo para la presentación de propuestas alternativas, su inclusión en el orden del día de una sesión plenaria, su debate con turnos a favor, en contra y de portavoces y su votación. Ninguno de estos trámites fue omitido, como permite constatar la documentación que obra en el expediente.</w:t>
      </w:r>
    </w:p>
    <w:p w14:paraId="05AA00F1" w14:textId="77777777" w:rsidR="00A8138F" w:rsidRDefault="00A8138F" w:rsidP="00A8138F">
      <w:pPr>
        <w:pStyle w:val="TextoNormal"/>
      </w:pPr>
    </w:p>
    <w:p w14:paraId="51FEF2E9" w14:textId="77777777" w:rsidR="00A8138F" w:rsidRDefault="00A8138F" w:rsidP="00A8138F">
      <w:pPr>
        <w:pStyle w:val="TextoNormal"/>
      </w:pPr>
      <w:r>
        <w:t>Por lo que se refiere, en primer término, a la denunciada falta de audiencia de la Junta de Portavoces, sostiene que puede constatarse en sus actas de las reuniones de 7 y 8 de noviem</w:t>
      </w:r>
      <w:r>
        <w:lastRenderedPageBreak/>
        <w:t>bre de 2023, aportadas con la demanda, que dicho órgano tuvo conocimiento tanto del texto de la propuesta de reforma como de la intención de su posible inclusión en el orden del día de la sesión inmediata, para su debate el día 8 de noviembre. De hecho, en dichas actas constan las opiniones manifestadas por todos los grupos parlamentarios que se pronunciaron al respecto, a favor y en contra de la iniciativa.</w:t>
      </w:r>
    </w:p>
    <w:p w14:paraId="3D80F906" w14:textId="77777777" w:rsidR="00A8138F" w:rsidRDefault="00A8138F" w:rsidP="00A8138F">
      <w:pPr>
        <w:pStyle w:val="TextoNormal"/>
      </w:pPr>
    </w:p>
    <w:p w14:paraId="3B4DE09C" w14:textId="77777777" w:rsidR="00A8138F" w:rsidRDefault="00A8138F" w:rsidP="00A8138F">
      <w:pPr>
        <w:pStyle w:val="TextoNormal"/>
      </w:pPr>
      <w:r>
        <w:t>En este sentido, considera irrelevantes la denunciada falta de calificación y publicación de la iniciativa cuando tuvo lugar la reunión de la Junta de Portavoces el día 7 de noviembre a los efectos de la infracción del procedimiento en lo que respecta al trámite de audiencia, porque la calificación de la iniciativa condiciona que se pueda incluir por la mesa en el orden del día del Pleno, pero no que la Junta de Portavoces pueda ser oída. Del mismo modo, la finalidad de la publicación —que se produjo el mismo día 7 de noviembre en el “Boletín Oficial de las Cortes Generales”—, es que la iniciativa sea de general conocimiento antes de su debate en el Pleno de la Cámara. Los portavoces de los grupos parlamentarios tienen siempre conocimiento de ésta con carácter previo a dicha publicación, con la documentación que se distribuye para cada sesión de la Junta de Portavoces. Pero es que, además, la iniciativa está accesible para todos los senadores a través del registro electrónico de la Cámara desde el momento en que es presentada. Es decir, que resulta claro que los portavoces pudieron manifestar su criterio, favorable o no, acerca de la inclusión de la iniciativa en cuestión en el orden del día del Pleno con total conocimiento de esta, cumpliéndose, en la sesión del día 7 de noviembre de 2023 de dicho órgano, con el preceptivo trámite de audiencia.</w:t>
      </w:r>
    </w:p>
    <w:p w14:paraId="06678565" w14:textId="77777777" w:rsidR="00A8138F" w:rsidRDefault="00A8138F" w:rsidP="00A8138F">
      <w:pPr>
        <w:pStyle w:val="TextoNormal"/>
      </w:pPr>
    </w:p>
    <w:p w14:paraId="7F669316" w14:textId="77777777" w:rsidR="00A8138F" w:rsidRDefault="00A8138F" w:rsidP="00A8138F">
      <w:pPr>
        <w:pStyle w:val="TextoNormal"/>
      </w:pPr>
      <w:r>
        <w:t>En cuanto a los plazos de tramitación, solo una previsión contempla el art. 108 RS: un plazo no superior a quince días para la presentación de propuestas alternativas a la propuesta de reforma. Plazo máximo cuya determinación corresponde al presidente de la Cámara, sin que se establezca un plazo mínimo. Partiendo de lo dispuesto en el citado precepto, el presidente, una vez calificada la iniciativa en la reunión de la mesa del día 7 de noviembre, a solicitud del Grupo Parlamentario Popular y por las razones expresadas por su portavoz —“se trata de una cuestión muy sencilla de plena actualidad política”—, oída la Junta de Portavoces y de acuerdo con la mesa, acordó la inclusión de la reforma del reglamento en el orden del día de la sesión plenaria inmediata para su debate en la mañana del día 8. En modo alguno se produjo, como afirman los recurrentes, una “infracción grave del citado artículo 71.1 RS cuando señala que el orden del día del Pleno será fijado por el Presidente de acuerdo con la Mesa y oída la Junta de Portavoces”.</w:t>
      </w:r>
    </w:p>
    <w:p w14:paraId="47C6149A" w14:textId="77777777" w:rsidR="00A8138F" w:rsidRDefault="00A8138F" w:rsidP="00A8138F">
      <w:pPr>
        <w:pStyle w:val="TextoNormal"/>
      </w:pPr>
    </w:p>
    <w:p w14:paraId="4F67E0ED" w14:textId="77777777" w:rsidR="00A8138F" w:rsidRDefault="00A8138F" w:rsidP="00A8138F">
      <w:pPr>
        <w:pStyle w:val="TextoNormal"/>
      </w:pPr>
      <w:r>
        <w:t>Asimismo, siempre previa audiencia de la Junta de Portavoces y de acuerdo con la mesa, el presidente ordenó la apertura de un plazo de presentación de propuestas alternativas (hasta las 12:00 horas del día 8 de noviembre).</w:t>
      </w:r>
    </w:p>
    <w:p w14:paraId="509F6775" w14:textId="77777777" w:rsidR="00A8138F" w:rsidRDefault="00A8138F" w:rsidP="00A8138F">
      <w:pPr>
        <w:pStyle w:val="TextoNormal"/>
      </w:pPr>
    </w:p>
    <w:p w14:paraId="67FF03EF" w14:textId="77777777" w:rsidR="00A8138F" w:rsidRDefault="00A8138F" w:rsidP="00A8138F">
      <w:pPr>
        <w:pStyle w:val="TextoNormal"/>
      </w:pPr>
      <w:r>
        <w:t xml:space="preserve">Ciertamente se trata de plazos muy breves, pero siempre acordados por el órgano competente —el presidente— de acuerdo con el órgano rector de la Cámara —la mesa—, cumplido el trámite de audiencia de los portavoces, en atención a las razones de escasa complejidad técnica e interés político apuntadas, sin que haya sufrido merma el derecho de los parlamentarios, individualmente o a través de sus grupos, de ejercer las facultades que integran el </w:t>
      </w:r>
      <w:r w:rsidRPr="00A8138F">
        <w:rPr>
          <w:i/>
        </w:rPr>
        <w:t>ius in officium</w:t>
      </w:r>
      <w:r>
        <w:t>. Así lo prueba el hecho de que se presentaron, en el plazo habilitado al efecto, por dos grupos parlamentarios dos propuestas alternativas a la inicial, que fueron publicadas en el “Boletín Oficial de las Cortes Generales” y, además, distribuidas a los por</w:t>
      </w:r>
      <w:r>
        <w:lastRenderedPageBreak/>
        <w:t>tavoces de los grupos parlamentarios antes de su debate en el Pleno de la Cámara, que, por tanto, se celebró disponiendo los senadores de toda la documentación necesaria para ello.</w:t>
      </w:r>
    </w:p>
    <w:p w14:paraId="60AE0F57" w14:textId="77777777" w:rsidR="00A8138F" w:rsidRDefault="00A8138F" w:rsidP="00A8138F">
      <w:pPr>
        <w:pStyle w:val="TextoNormal"/>
      </w:pPr>
    </w:p>
    <w:p w14:paraId="0021AFD1" w14:textId="77777777" w:rsidR="00A8138F" w:rsidRDefault="00A8138F" w:rsidP="00A8138F">
      <w:pPr>
        <w:pStyle w:val="TextoNormal"/>
      </w:pPr>
      <w:r>
        <w:t>Por otro lado, respecto de la configuración del orden del día de la sesión plenaria y la intempestiva introducción de la propuesta de reforma, es muy habitual, como los propios recurrentes reconocen, dada la vinculación de la vida parlamentaria con los avatares políticos, que en la misma mañana del día en que se inicie la sesión plenaria se incluyan asuntos nuevos o se excluyan asuntos inicialmente previstos. Con este fin y como consecuencia de la estrecha conexión del Parlamento con el Ejecutivo, un representante del Gobierno asiste cada semana, con voz, pero sin voto, a las reuniones de la Junta de Portavoces y de la mesa, uno de cuyos puntos principales es siempre la aprobación definitiva del orden del día del Pleno. Nada hay, pues, de anómalo, en este proceder.</w:t>
      </w:r>
    </w:p>
    <w:p w14:paraId="0B72251F" w14:textId="77777777" w:rsidR="00A8138F" w:rsidRDefault="00A8138F" w:rsidP="00A8138F">
      <w:pPr>
        <w:pStyle w:val="TextoNormal"/>
      </w:pPr>
    </w:p>
    <w:p w14:paraId="24A688FF" w14:textId="77777777" w:rsidR="00A8138F" w:rsidRDefault="00A8138F" w:rsidP="00A8138F">
      <w:pPr>
        <w:pStyle w:val="TextoNormal"/>
      </w:pPr>
      <w:r>
        <w:t>En definitiva, estando la mesa de la Cámara facultada para ello, sin contravenir ninguna previsión reglamentaria, atendiendo a los precedentes y cumpliéndose todos los requisitos que establece este tribunal en la STC 143/2016, de 19 de septiembre, FJ 2 (inexistencia de un plazo concreto de tramitación, garantía del principio de igualdad y elementos suficientes para la formación de la voluntad de las Cámaras), no parece que pueda sostenerse, como se mantiene en la demanda, que la tramitación de la reforma del Reglamento del Senado se haya hecho “en fraude de ley con infracción manifiesta del Reglamento del Senado”.</w:t>
      </w:r>
    </w:p>
    <w:p w14:paraId="3C8ED30B" w14:textId="77777777" w:rsidR="00A8138F" w:rsidRDefault="00A8138F" w:rsidP="00A8138F">
      <w:pPr>
        <w:pStyle w:val="TextoNormal"/>
      </w:pPr>
    </w:p>
    <w:p w14:paraId="7BB72A69" w14:textId="40EA95B2" w:rsidR="00A8138F" w:rsidRDefault="00A8138F" w:rsidP="00A8138F">
      <w:pPr>
        <w:pStyle w:val="TextoNormal"/>
      </w:pPr>
      <w:r>
        <w:t>La letrada del Senado concluye su escrito de alegaciones interesando de este tribunal se dicte sentencia en la que se desestime la pretensión de inconstitucionalidad de la reforma del Reglamento del Senado por la que se modifican los artículos 133 y 182, aprobada por el Pleno de la Cámara en sesión de 14 de noviembre de 2023.</w:t>
      </w:r>
    </w:p>
    <w:p w14:paraId="287069EF" w14:textId="77777777" w:rsidR="00A8138F" w:rsidRDefault="00A8138F" w:rsidP="00A8138F">
      <w:pPr>
        <w:pStyle w:val="TextoNormal"/>
      </w:pPr>
    </w:p>
    <w:p w14:paraId="7A0054AC" w14:textId="77777777" w:rsidR="00A8138F" w:rsidRDefault="00A8138F" w:rsidP="00A8138F">
      <w:pPr>
        <w:pStyle w:val="TextoNormal"/>
      </w:pPr>
      <w:r w:rsidRPr="00A8138F">
        <w:rPr>
          <w:rStyle w:val="NumeroAFNegritaCaracter"/>
        </w:rPr>
        <w:t>9</w:t>
      </w:r>
      <w:r>
        <w:t>. El abogado del Estado evacuó el trámite de alegaciones conferido mediante escrito registrado en este tribunal el día 16 de febrero de 2024 que, a continuación, sucintamente se resume:</w:t>
      </w:r>
    </w:p>
    <w:p w14:paraId="6E994BAA" w14:textId="77777777" w:rsidR="00A8138F" w:rsidRDefault="00A8138F" w:rsidP="00A8138F">
      <w:pPr>
        <w:pStyle w:val="TextoNormal"/>
      </w:pPr>
    </w:p>
    <w:p w14:paraId="0AC8477E" w14:textId="77777777" w:rsidR="00A8138F" w:rsidRDefault="00A8138F" w:rsidP="00A8138F">
      <w:pPr>
        <w:pStyle w:val="TextoNormal"/>
      </w:pPr>
      <w:r>
        <w:t>a) Tras resaltar una primera dimensión constitucional del recurso, al tener por objeto un precepto del reglamento de una Cámara (STC 101/2008, de 24 de julio, FJ 2), precisa que la controversia que se suscita en el proceso versa sobre la extensión del concepto “proyecto” del art. 90.3 CE, concretamente si su alcance se refiere solo a los proyectos de ley o abarca también las proposiciones de ley, respecto a la que este tribunal ya se ha pronunciado en la STC 97/2002, de 25 de abril, al declarar que el art. 90 CE “es aplicable no solo a los proyectos de ley, sino también a las proposiciones de ley” (FJ 4).</w:t>
      </w:r>
    </w:p>
    <w:p w14:paraId="7155948F" w14:textId="77777777" w:rsidR="00A8138F" w:rsidRDefault="00A8138F" w:rsidP="00A8138F">
      <w:pPr>
        <w:pStyle w:val="TextoNormal"/>
      </w:pPr>
    </w:p>
    <w:p w14:paraId="7F66A89B" w14:textId="77777777" w:rsidR="00A8138F" w:rsidRDefault="00A8138F" w:rsidP="00A8138F">
      <w:pPr>
        <w:pStyle w:val="TextoNormal"/>
      </w:pPr>
      <w:r>
        <w:t xml:space="preserve">El abogado del Estado estima esta conclusión correcta, razonable y aplicable al caso. Considera que la reforma introducida por el apartado segundo del art. 133 RS vulnera la Constitución en la medida en que, al establecer un régimen específico para las proposiciones de ley (disociando la tramitación de los proyectos de ley —apartado 1— de las proposiciones de ley y, por tanto, modificando el apartado 1 originario que se refería proyectos), otorga a la mesa del Senado la potestad de decidir la aplicación del trámite de urgencia o no. En este sentido, la Constitución establece de forma taxativa la reducción del plazo de dos meses a veinte días naturales para vetar o introducir enmiendas a los proyectos de ley ordinaria u orgánica —comprendidas las proposiciones de ley— declarados urgentes, según el caso, por el Gobierno o por el Congreso de los Diputados. La previsión del art. 90.3 CE resulta </w:t>
      </w:r>
      <w:r>
        <w:lastRenderedPageBreak/>
        <w:t>una obligación para el Senado y no una potestad de la mesa de la Cámara, como se ha introducido en el precepto impugnado con la fórmula “podrá decidir” y cuya intención se refleja en la exposición de motivos, al señalar que se efectúa con el fin de atribuir a la mesa de la Cámara la facultad de decidir en cada caso sobre la pertinencia de la tramitación urgente de una proposición de ley.</w:t>
      </w:r>
    </w:p>
    <w:p w14:paraId="0136F0F6" w14:textId="77777777" w:rsidR="00A8138F" w:rsidRDefault="00A8138F" w:rsidP="00A8138F">
      <w:pPr>
        <w:pStyle w:val="TextoNormal"/>
      </w:pPr>
    </w:p>
    <w:p w14:paraId="05711E06" w14:textId="77777777" w:rsidR="00A8138F" w:rsidRDefault="00A8138F" w:rsidP="00A8138F">
      <w:pPr>
        <w:pStyle w:val="TextoNormal"/>
      </w:pPr>
      <w:r>
        <w:t>Para determinar el significado y alcance del término “proyecto” del art. 90.3 CE debe tenerse en cuenta también que resulta frecuente que las normas constitucionales y los reglamentos parlamentarios utilicen el término “proyecto” en sentido amplio, comprendiendo cualquier tipo de iniciativa legislativa.</w:t>
      </w:r>
    </w:p>
    <w:p w14:paraId="1E9523C6" w14:textId="77777777" w:rsidR="00A8138F" w:rsidRDefault="00A8138F" w:rsidP="00A8138F">
      <w:pPr>
        <w:pStyle w:val="TextoNormal"/>
      </w:pPr>
    </w:p>
    <w:p w14:paraId="3A85142F" w14:textId="77777777" w:rsidR="00A8138F" w:rsidRDefault="00A8138F" w:rsidP="00A8138F">
      <w:pPr>
        <w:pStyle w:val="TextoNormal"/>
      </w:pPr>
      <w:r>
        <w:t>De manera significativa, esto se manifiesta en el art. 167 CE en relación con el procedimiento ordinario de reforma constitucional, que hace referencia expresa a los “proyectos” de reforma constitucional, expresión que como ha señalado el Consejo de Estado, en el informe sobre modificaciones de la Constitución Española de 16 de febrero de 2006, debe entenderse en su sentido más amplio, como denominación genérica comúnmente utilizada para designar los textos en los que se concretan las iniciativas normativas, con independencia de que, desde el punto de vista técnico, se trate de proyectos en sentido estricto o de proposiciones. En esta misma línea, existen otros ejemplos en el propio Reglamento del Senado (así, los arts. 135 y 136 RS).</w:t>
      </w:r>
    </w:p>
    <w:p w14:paraId="03546CC1" w14:textId="77777777" w:rsidR="00A8138F" w:rsidRDefault="00A8138F" w:rsidP="00A8138F">
      <w:pPr>
        <w:pStyle w:val="TextoNormal"/>
      </w:pPr>
    </w:p>
    <w:p w14:paraId="4B90210F" w14:textId="77777777" w:rsidR="00A8138F" w:rsidRDefault="00A8138F" w:rsidP="00A8138F">
      <w:pPr>
        <w:pStyle w:val="TextoNormal"/>
      </w:pPr>
      <w:r>
        <w:t>El Tribunal declaró en la STC 97/2002, de 25 de abril, que “la evidente semejanza de ambas figuras pone de relieve la identidad de razón para su régimen jurídico”. En algunos casos, tanto la Constitución como los reglamentos de las Cámaras se refieren en exclusiva a los proyectos de ley. Ello quiere decir que el concepto “proyecto” tiene dos acepciones: una estricta, que comprende en exclusiva el proyecto de ley emanado del Gobierno, y otra amplia, que es la que concurre en este caso que abarca cualquier tipo de iniciativa legislativa, pues por “identidad de razón de su régimen jurídico” se entiende que el término “proyecto” se extiende a todas las iniciativas legislativas, incluidas las proposiciones de ley.</w:t>
      </w:r>
    </w:p>
    <w:p w14:paraId="09FBD91C" w14:textId="77777777" w:rsidR="00A8138F" w:rsidRDefault="00A8138F" w:rsidP="00A8138F">
      <w:pPr>
        <w:pStyle w:val="TextoNormal"/>
      </w:pPr>
    </w:p>
    <w:p w14:paraId="63A29D4A" w14:textId="77777777" w:rsidR="00A8138F" w:rsidRDefault="00A8138F" w:rsidP="00A8138F">
      <w:pPr>
        <w:pStyle w:val="TextoNormal"/>
      </w:pPr>
      <w:r>
        <w:t>Así debe entenderse el apartado 1 del art. 90 CE, cuando se refiere al traslado por el presidente del Congreso de los Diputados al presidente del Senado de un proyecto de ley ordinaria u orgánica para su deliberación en el Senado. El art. 90.1 CE comprende tanto los proyectos en sentido estricto (es decir, los emanados del Gobierno), como las proposiciones de ley surgidas a iniciativa del Congreso. No resulta admisible una comprensión reduccionista de este término, que excluya a las proposiciones de ley del régimen previsto en el art. 90 CE, y en especial de su apartado tercero. El art. 90 CE en su conjunto se refiere a todos los proyectos legislativos aprobados por el Congreso y que se trasladan al Senado para su deliberación. De lo contrario, se interpretaría que el constituyente ha querido excluir las proposiciones de ley declaradas urgentes por el Congreso de su tramitación en el Senado, lo cual impediría las funciones constitucionales atribuidas al Senado, conclusión que no es de recibo.</w:t>
      </w:r>
    </w:p>
    <w:p w14:paraId="701051D6" w14:textId="77777777" w:rsidR="00A8138F" w:rsidRDefault="00A8138F" w:rsidP="00A8138F">
      <w:pPr>
        <w:pStyle w:val="TextoNormal"/>
      </w:pPr>
    </w:p>
    <w:p w14:paraId="550FF13D" w14:textId="77777777" w:rsidR="00A8138F" w:rsidRDefault="00A8138F" w:rsidP="00A8138F">
      <w:pPr>
        <w:pStyle w:val="TextoNormal"/>
      </w:pPr>
      <w:r>
        <w:t xml:space="preserve">Abunda en esta interpretación el art. 90.2 CE, que regula el veto del Senado o su capacidad para introducir enmiendas al proyecto cuando afirma que “[e]l proyecto no podrá ser sometido al Rey para sanción sin que el Congreso ratifique por mayoría absoluta, en caso de veto, el texto inicial, o por mayoría simple, una vez transcurridos dos meses desde la interposición del mismo, o se pronuncie sobre las enmiendas, aceptándolas o no por mayoría </w:t>
      </w:r>
      <w:r>
        <w:lastRenderedPageBreak/>
        <w:t>simple”. Esta previsión es omnicomprensiva tanto de los proyectos de ley en sentido estricto, como de las proposiciones de ley que provienen del Congreso por cuanto la Constitución no distingue, ni excluye las proposiciones de ley del procedimiento previsto en caso de veto o de enmiendas al proyecto legislativo en orden a la sanción del Rey. Tal exclusión no tiene cabida en la Constitución.</w:t>
      </w:r>
    </w:p>
    <w:p w14:paraId="14E43D04" w14:textId="77777777" w:rsidR="00A8138F" w:rsidRDefault="00A8138F" w:rsidP="00A8138F">
      <w:pPr>
        <w:pStyle w:val="TextoNormal"/>
      </w:pPr>
    </w:p>
    <w:p w14:paraId="2F565DC9" w14:textId="77777777" w:rsidR="00A8138F" w:rsidRDefault="00A8138F" w:rsidP="00A8138F">
      <w:pPr>
        <w:pStyle w:val="TextoNormal"/>
      </w:pPr>
      <w:r>
        <w:t>Partiendo de estos razonamientos, el abogado del Estado entiende que el precepto impugnado excluye las proposiciones de ley del especial procedimiento impuesto por el art. 90.3 CE, incurriendo, por ello, en una vulneración constitucional. La nueva redacción del art. 133.2 RS modifica la tramitación de las proposiciones de ley (incluidas, como se ha afirmado, en el concepto “proyecto”), de modo que el Reglamento del Senado condiciona el trámite urgente previsto y ordenado por la Constitución a la potestad de decisión de la mesa del Senado.</w:t>
      </w:r>
    </w:p>
    <w:p w14:paraId="28CD40B8" w14:textId="77777777" w:rsidR="00A8138F" w:rsidRDefault="00A8138F" w:rsidP="00A8138F">
      <w:pPr>
        <w:pStyle w:val="TextoNormal"/>
      </w:pPr>
    </w:p>
    <w:p w14:paraId="48799BF0" w14:textId="77777777" w:rsidR="00A8138F" w:rsidRDefault="00A8138F" w:rsidP="00A8138F">
      <w:pPr>
        <w:pStyle w:val="TextoNormal"/>
      </w:pPr>
      <w:r>
        <w:t>En consecuencia, el precepto impugnado es contrario al art. 90.3 CE y debe ser declarado inconstitucional.</w:t>
      </w:r>
    </w:p>
    <w:p w14:paraId="0FBC3294" w14:textId="77777777" w:rsidR="00A8138F" w:rsidRDefault="00A8138F" w:rsidP="00A8138F">
      <w:pPr>
        <w:pStyle w:val="TextoNormal"/>
      </w:pPr>
    </w:p>
    <w:p w14:paraId="19944511" w14:textId="77777777" w:rsidR="00A8138F" w:rsidRDefault="00A8138F" w:rsidP="00A8138F">
      <w:pPr>
        <w:pStyle w:val="TextoNormal"/>
      </w:pPr>
      <w:r>
        <w:t xml:space="preserve">b) La reforma introducida en el Reglamento del Senado supone, además, sostiene el abogado del Estado, una vulneración de las facultades legislativas vinculadas al </w:t>
      </w:r>
      <w:r w:rsidRPr="00A8138F">
        <w:rPr>
          <w:i/>
        </w:rPr>
        <w:t>ius in officium</w:t>
      </w:r>
      <w:r>
        <w:t xml:space="preserve"> garantizado a los diputados por el art. 23.2 CE, puesto que, tras haberse declarado la urgencia de una proposición de ley en el Congreso, se somete a la voluntad de la mesa del Senado su tramitación de urgencia o no, lo que contradice el art. 90.3 CE.</w:t>
      </w:r>
    </w:p>
    <w:p w14:paraId="3DB7C20F" w14:textId="77777777" w:rsidR="00A8138F" w:rsidRDefault="00A8138F" w:rsidP="00A8138F">
      <w:pPr>
        <w:pStyle w:val="TextoNormal"/>
      </w:pPr>
    </w:p>
    <w:p w14:paraId="4E829FEA" w14:textId="77777777" w:rsidR="00A8138F" w:rsidRDefault="00A8138F" w:rsidP="00A8138F">
      <w:pPr>
        <w:pStyle w:val="TextoNormal"/>
      </w:pPr>
      <w:r>
        <w:t>En este sentido, el abogado del Estado recuerda que este tribunal ha venido reiterando que el ejercicio de la función legislativa forma parte de las facultades parlamentarias protegidas por el art. 23.2 CE (SSTC 38/1999, de 22 de marzo, FJ 2; 107/2001, de 23 de abril, FJ 3; 40/2003, de 27 de febrero, FJ 2; 1/2015, de 19 de enero, FJ 3, y 23/2015, de 16 de febrero, FJ 3, entre otras muchas).</w:t>
      </w:r>
    </w:p>
    <w:p w14:paraId="50F20516" w14:textId="77777777" w:rsidR="00A8138F" w:rsidRDefault="00A8138F" w:rsidP="00A8138F">
      <w:pPr>
        <w:pStyle w:val="TextoNormal"/>
      </w:pPr>
    </w:p>
    <w:p w14:paraId="65557CE3" w14:textId="77777777" w:rsidR="00A8138F" w:rsidRDefault="00A8138F" w:rsidP="00A8138F">
      <w:pPr>
        <w:pStyle w:val="TextoNormal"/>
      </w:pPr>
      <w:r>
        <w:t>c) Como complemento de las alegaciones anteriores, el abogado del Estado trae a colación la jurisprudencia de este tribunal sobre nuestro sistema bicameral señalando su carácter imperfecto y la preeminencia del Congreso frente al Senado, especialmente en el procedimiento legislativo ordinario, así como el carácter de principio hermenéutico de esta preeminencia a la hora de interpretar los preceptos constitucionales.</w:t>
      </w:r>
    </w:p>
    <w:p w14:paraId="236C851A" w14:textId="77777777" w:rsidR="00A8138F" w:rsidRDefault="00A8138F" w:rsidP="00A8138F">
      <w:pPr>
        <w:pStyle w:val="TextoNormal"/>
      </w:pPr>
    </w:p>
    <w:p w14:paraId="2832AEDB" w14:textId="77777777" w:rsidR="00A8138F" w:rsidRDefault="00A8138F" w:rsidP="00A8138F">
      <w:pPr>
        <w:pStyle w:val="TextoNormal"/>
      </w:pPr>
      <w:r>
        <w:t>Al efecto, invoca la doctrina recogida en las SSTC 234/2000, de 3 de octubre, y 97/2002, de 25 de abril, y reproduce la doctrina de las SSTC 237/2012, de 13 de diciembre, y 51/2013, de 28 de febrero, en relación con la participación del Senado en la elaboración y aprobación de los decretos-leyes; las SSTC 134/2021, de 24 de junio, y 45/2023, de 10 de mayo, sobre la supresión del control del Senado en el nombramiento de determinados altos cargos; y la STC 119/2011, de 5 de julio, relativa a la interpretación de los preceptos constitucionales conforme a la prevalencia del Congreso de los Diputados en nuestro sistema bicameral.</w:t>
      </w:r>
    </w:p>
    <w:p w14:paraId="0A92E30E" w14:textId="77777777" w:rsidR="00A8138F" w:rsidRDefault="00A8138F" w:rsidP="00A8138F">
      <w:pPr>
        <w:pStyle w:val="TextoNormal"/>
      </w:pPr>
    </w:p>
    <w:p w14:paraId="3857FAC7" w14:textId="77777777" w:rsidR="00A8138F" w:rsidRDefault="00A8138F" w:rsidP="00A8138F">
      <w:pPr>
        <w:pStyle w:val="TextoNormal"/>
      </w:pPr>
      <w:r>
        <w:t xml:space="preserve">El abogado del Estado, con cita y reproducción de diversos trabajos académicos sobre la materia, resalta que, al igual que la jurisprudencia constitucional, la doctrina ha remarcado la consagración en nuestra Constitución de un bicameralismo imperfecto con la prelación del Congreso frente al Senado. Y en el mismo sentido, se ha pronunciado el Consejo de </w:t>
      </w:r>
      <w:r>
        <w:lastRenderedPageBreak/>
        <w:t>Estado en su informe de 16 de febrero de 2006 sobre la reforma constitucional y, en particular, sobre la reforma del Senado que proponía el Gobierno (págs. 225, 248, 319 y 321).</w:t>
      </w:r>
    </w:p>
    <w:p w14:paraId="04BFDB8A" w14:textId="77777777" w:rsidR="00A8138F" w:rsidRDefault="00A8138F" w:rsidP="00A8138F">
      <w:pPr>
        <w:pStyle w:val="TextoNormal"/>
      </w:pPr>
    </w:p>
    <w:p w14:paraId="21CC169E" w14:textId="77777777" w:rsidR="00A8138F" w:rsidRDefault="00A8138F" w:rsidP="00A8138F">
      <w:pPr>
        <w:pStyle w:val="TextoNormal"/>
      </w:pPr>
      <w:r>
        <w:t>De modo que tanto la jurisprudencia de este tribunal como la doctrina científica y del Consejo de Estado llevan a concluir que cualquier reforma reglamentaria sería contraria a la Constitución si estableciera un procedimiento legislativo que dejara sin efecto la preeminencia del Congreso frente al Senado, como sucede con nueva redacción del art. 133.2 RS.</w:t>
      </w:r>
    </w:p>
    <w:p w14:paraId="7FAA2BD1" w14:textId="77777777" w:rsidR="00A8138F" w:rsidRDefault="00A8138F" w:rsidP="00A8138F">
      <w:pPr>
        <w:pStyle w:val="TextoNormal"/>
      </w:pPr>
    </w:p>
    <w:p w14:paraId="219C4CF2" w14:textId="77777777" w:rsidR="00A8138F" w:rsidRDefault="00A8138F" w:rsidP="00A8138F">
      <w:pPr>
        <w:pStyle w:val="TextoNormal"/>
      </w:pPr>
      <w:r>
        <w:t>Así pues, la reforma propuesta ignora la prelación del Congreso sobre el Senado en el procedimiento legislativo ordinario, al transformar la regulación constitucional, en la que es el Congreso quien decide la tramitación de urgencia y el Senado tiene que actuar en consecuencia, en una mera solicitud del Congreso de tramitación urgente respecto de la cual el Senado podrá, o no, tener en cuenta a la hora de tramitar de forma ordinaria o urgente una proposición de ley que quedaría a su exclusivo arbitrio. Una reforma de tal calado en el proceso legislativo exigiría una reforma constitucional.</w:t>
      </w:r>
    </w:p>
    <w:p w14:paraId="3DFE4282" w14:textId="77777777" w:rsidR="00A8138F" w:rsidRDefault="00A8138F" w:rsidP="00A8138F">
      <w:pPr>
        <w:pStyle w:val="TextoNormal"/>
      </w:pPr>
    </w:p>
    <w:p w14:paraId="4717551E" w14:textId="61A3098C" w:rsidR="00A8138F" w:rsidRDefault="00A8138F" w:rsidP="00A8138F">
      <w:pPr>
        <w:pStyle w:val="TextoNormal"/>
      </w:pPr>
      <w:r>
        <w:t>El abogado del Estado concluye su escrito de alegaciones solicitando la estimación del recurso de inconstitucionalidad interpuesto contra el apartado 2 del art. 133 RS, en la redacción aprobada por el Pleno del Senado el 14 de noviembre de 2023, por vulnerar los arts. 90.3 y 23.2 CE.</w:t>
      </w:r>
    </w:p>
    <w:p w14:paraId="3C793834" w14:textId="77777777" w:rsidR="00A8138F" w:rsidRDefault="00A8138F" w:rsidP="00A8138F">
      <w:pPr>
        <w:pStyle w:val="TextoNormal"/>
      </w:pPr>
    </w:p>
    <w:p w14:paraId="4479B89D" w14:textId="0CAC3368" w:rsidR="00A8138F" w:rsidRDefault="00A8138F" w:rsidP="00A8138F">
      <w:pPr>
        <w:pStyle w:val="TextoNormal"/>
      </w:pPr>
      <w:r w:rsidRPr="00A8138F">
        <w:rPr>
          <w:rStyle w:val="NumeroAFNegritaCaracter"/>
        </w:rPr>
        <w:t>10</w:t>
      </w:r>
      <w:r>
        <w:t>. Por providencia de 11 de marzo de 2025 se señaló para la deliberación y votación de la presente sentencia el día 12 del mismo mes y año.</w:t>
      </w:r>
    </w:p>
    <w:p w14:paraId="4C1662BB" w14:textId="77777777" w:rsidR="00A8138F" w:rsidRDefault="00A8138F" w:rsidP="00A8138F">
      <w:pPr>
        <w:pStyle w:val="TextoNormal"/>
      </w:pPr>
    </w:p>
    <w:p w14:paraId="4A4FCAEB" w14:textId="77777777" w:rsidR="00A8138F" w:rsidRDefault="00A8138F" w:rsidP="00A8138F">
      <w:pPr>
        <w:pStyle w:val="TextoNormalNegritaCentrado"/>
        <w:keepNext/>
      </w:pPr>
      <w:r>
        <w:t>II. Fundamentos jurídicos</w:t>
      </w:r>
    </w:p>
    <w:p w14:paraId="6BF373A2" w14:textId="75A80835" w:rsidR="00A8138F" w:rsidRDefault="00A8138F" w:rsidP="00A8138F">
      <w:pPr>
        <w:pStyle w:val="TextoNormalNegritaCentrado"/>
        <w:keepNext/>
      </w:pPr>
    </w:p>
    <w:p w14:paraId="06C3F99E"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2313C727" w14:textId="77777777" w:rsidR="00A8138F" w:rsidRDefault="00A8138F" w:rsidP="00A8138F">
      <w:pPr>
        <w:pStyle w:val="TextoNormal"/>
      </w:pPr>
    </w:p>
    <w:p w14:paraId="4536D9B8" w14:textId="77777777" w:rsidR="00A8138F" w:rsidRDefault="00A8138F" w:rsidP="00A8138F">
      <w:pPr>
        <w:pStyle w:val="TextoNormal"/>
      </w:pPr>
      <w:r>
        <w:t>Los senadores promotores del presente recurso de inconstitucionalidad impugnan, por entender que incurre en vicios de inconstitucionalidad de orden sustantivo y procedimental, “la reforma del Reglamento del Senado por la que se modifican los artículos 133 y 182”, aprobada por el Pleno de la Cámara en sesión de 14 de noviembre de 2023 [cuyo texto articulado se ha reproducido en el antecedente 2 c) de esta sentencia].</w:t>
      </w:r>
    </w:p>
    <w:p w14:paraId="336EE76A" w14:textId="77777777" w:rsidR="00A8138F" w:rsidRDefault="00A8138F" w:rsidP="00A8138F">
      <w:pPr>
        <w:pStyle w:val="TextoNormal"/>
      </w:pPr>
    </w:p>
    <w:p w14:paraId="021FD2C3" w14:textId="77777777" w:rsidR="00A8138F" w:rsidRDefault="00A8138F" w:rsidP="00A8138F">
      <w:pPr>
        <w:pStyle w:val="TextoNormal"/>
      </w:pPr>
      <w:r>
        <w:t>Los demandantes sostienen, por lo que se refiere a los motivos de orden sustantivo del recurso, que el art. 133.2 RS, en su nueva redacción, que otorga a la mesa de la Cámara con carácter exclusivo la facultad de “decidir la aplicación del procedimiento de urgencia” a las proposiciones de ley, “cuando así lo solicite el Gobierno o el Congreso de los Diputados, o también actuando de oficio o a propuesta de un grupo parlamentario o de veinticinco senadores”, es claramente inconstitucional por contravenir el art. 90.3 CE, que atribuye al Gobierno y al Congreso de los Diputados la declaración de urgencia de los “proyectos”, con los efectos de reducir el plazo de dos meses del que el Senado dispone para vetarlos o enmendarlos al de veinte días naturales. Entienden que la expresión “proyectos” de este precepto constitucional, como resulta de una interpretación sistemática del art. 90 CE, comprende tanto los proyectos como las proposiciones de ley.</w:t>
      </w:r>
    </w:p>
    <w:p w14:paraId="08CC19D4" w14:textId="77777777" w:rsidR="00A8138F" w:rsidRDefault="00A8138F" w:rsidP="00A8138F">
      <w:pPr>
        <w:pStyle w:val="TextoNormal"/>
      </w:pPr>
    </w:p>
    <w:p w14:paraId="2617647C" w14:textId="77777777" w:rsidR="00A8138F" w:rsidRDefault="00A8138F" w:rsidP="00A8138F">
      <w:pPr>
        <w:pStyle w:val="TextoNormal"/>
      </w:pPr>
      <w:r>
        <w:lastRenderedPageBreak/>
        <w:t>Aducen, además, por lo que respecta a la impugnación de la reforma reglamentaria por motivos procedimentales, que en su tramitación se ha incurrido en manifiestas infracciones, ya que, por un lado, la toma en consideración de la propuesta de reforma se incluyó en el orden del día de una sesión del Pleno del Senado sin que hubiera sido publicada en el “Boletín Oficial de la Cámara” y sin que hubiera sido oída previamente la Junta de Portavoces (art. 71.1 RS); y, por otro, las propuestas alternativas a la propuesta de reforma fueron incorporadas al orden del día de dicha sesión plenaria sin que hubieran sido publicadas y trascurridas solo dos horas desde su admisión a trámite (art. 108.3 RS).</w:t>
      </w:r>
    </w:p>
    <w:p w14:paraId="63797130" w14:textId="77777777" w:rsidR="00A8138F" w:rsidRDefault="00A8138F" w:rsidP="00A8138F">
      <w:pPr>
        <w:pStyle w:val="TextoNormal"/>
      </w:pPr>
    </w:p>
    <w:p w14:paraId="5DEDF2B8" w14:textId="77777777" w:rsidR="00A8138F" w:rsidRDefault="00A8138F" w:rsidP="00A8138F">
      <w:pPr>
        <w:pStyle w:val="TextoNormal"/>
      </w:pPr>
      <w:r>
        <w:t>La representación letrada del Senado estima, por el contrario, que el término “proyecto de ley” (</w:t>
      </w:r>
      <w:r w:rsidRPr="00A8138F">
        <w:rPr>
          <w:i/>
        </w:rPr>
        <w:t>sic</w:t>
      </w:r>
      <w:r>
        <w:t>) del art. 90.3 CE, atendiendo al tenor del precepto, a sus antecedentes históricos y legislativos y a su espíritu y finalidad, se refiere exclusivamente a las iniciativas legislativas procedentes del Gobierno y no a las proposiciones de ley, respecto a cuya declaración de urgencia existe una laguna constitucional que debe ser colmada por los reglamentos de las Cámaras en el ejercicio de su autonomía normativa (arts. 72.1 y 89 CE). La reforma reglamentaria impugnada, por lo tanto, no se aparta de las previsiones constitucionales, inexistentes en relación con la declaración de urgencia de las proposiciones de ley.</w:t>
      </w:r>
    </w:p>
    <w:p w14:paraId="7694189E" w14:textId="77777777" w:rsidR="00A8138F" w:rsidRDefault="00A8138F" w:rsidP="00A8138F">
      <w:pPr>
        <w:pStyle w:val="TextoNormal"/>
      </w:pPr>
    </w:p>
    <w:p w14:paraId="01F8399E" w14:textId="77777777" w:rsidR="00A8138F" w:rsidRDefault="00A8138F" w:rsidP="00A8138F">
      <w:pPr>
        <w:pStyle w:val="TextoNormal"/>
      </w:pPr>
      <w:r>
        <w:t xml:space="preserve">En cuanto a las infracciones procedimentales que se denuncian en la demanda, sostiene que en la tramitación de la propuesta de reforma se han observado las disposiciones reglamentarias (art. 196 RS, en relación con su art. 108). En este sentido, califica de irrelevantes la falta de calificación y publicación de la iniciativa cuando se celebró la reunión de la Junta de Portavoces a los efectos de ser oída previamente a la inclusión de su toma en consideración en el orden del día de la sesión plenaria; y, asimismo, considera que la brevedad de los plazos de tramitación de la propuesta no ha supuesto merma alguna en el derecho de los parlamentarios a ejercer, individualmente o a través de los grupos, las facultades que integran su </w:t>
      </w:r>
      <w:r w:rsidRPr="00A8138F">
        <w:rPr>
          <w:i/>
        </w:rPr>
        <w:t>ius in officium</w:t>
      </w:r>
      <w:r>
        <w:t>.</w:t>
      </w:r>
    </w:p>
    <w:p w14:paraId="33BE771E" w14:textId="77777777" w:rsidR="00A8138F" w:rsidRDefault="00A8138F" w:rsidP="00A8138F">
      <w:pPr>
        <w:pStyle w:val="TextoNormal"/>
      </w:pPr>
    </w:p>
    <w:p w14:paraId="4A8C04D6" w14:textId="7F6780D8" w:rsidR="00A8138F" w:rsidRDefault="00A8138F" w:rsidP="00A8138F">
      <w:pPr>
        <w:pStyle w:val="TextoNormal"/>
      </w:pPr>
      <w:r>
        <w:t xml:space="preserve">Para el abogado del Estado, el art. 133.2 RS, en su nueva redacción, al conferir únicamente a la mesa de la Cámara la facultad de decidir sobre la pertinencia de la tramitación urgente de las proposiciones de ley, vulnera el art. 90.3 CE, precepto que establece de forma taxativa la reducción del plazo de dos meses a veinte días naturales del que dispone el Senado para vetar o introducir enmiendas a los proyectos de ley ordinaria u orgánica —comprendidas las proposiciones de ley— declarados urgentes, según el caso, por el Gobierno o por el Congreso de los Diputados. Estima que el art. 90 CE en su conjunto se refiere tanto a los proyectos de ley como a las proposiciones de ley, esto es, abarca, en sus distintos apartados, los proyectos legislativos aprobados por el Congreso de los Diputados que se deben trasladar al Senado para su deliberación. En su opinión, aquella infracción constitucional implica también la lesión de las facultades legislativas vinculadas al </w:t>
      </w:r>
      <w:r w:rsidRPr="00A8138F">
        <w:rPr>
          <w:i/>
        </w:rPr>
        <w:t>ius in officium</w:t>
      </w:r>
      <w:r>
        <w:t xml:space="preserve"> de los diputados que les garantiza el art. 23.2 CE.</w:t>
      </w:r>
    </w:p>
    <w:p w14:paraId="28C0B994" w14:textId="77777777" w:rsidR="00A8138F" w:rsidRDefault="00A8138F" w:rsidP="00A8138F">
      <w:pPr>
        <w:pStyle w:val="TextoNormal"/>
      </w:pPr>
    </w:p>
    <w:p w14:paraId="1AE8AA3E" w14:textId="77777777" w:rsidR="00A8138F" w:rsidRDefault="00A8138F" w:rsidP="00A8138F">
      <w:pPr>
        <w:pStyle w:val="TextoNormal"/>
      </w:pPr>
      <w:r w:rsidRPr="00A8138F">
        <w:rPr>
          <w:rStyle w:val="NumeroAFNegritaCaracter"/>
        </w:rPr>
        <w:t>2</w:t>
      </w:r>
      <w:r>
        <w:t xml:space="preserve">. </w:t>
      </w:r>
      <w:r w:rsidRPr="00A8138F">
        <w:rPr>
          <w:i/>
        </w:rPr>
        <w:t>Precisiones sobre el objeto del recurso de inconstitucionalidad</w:t>
      </w:r>
    </w:p>
    <w:p w14:paraId="744096E6" w14:textId="77777777" w:rsidR="00A8138F" w:rsidRDefault="00A8138F" w:rsidP="00A8138F">
      <w:pPr>
        <w:pStyle w:val="TextoNormal"/>
      </w:pPr>
    </w:p>
    <w:p w14:paraId="345E689A" w14:textId="77777777" w:rsidR="00A8138F" w:rsidRDefault="00A8138F" w:rsidP="00A8138F">
      <w:pPr>
        <w:pStyle w:val="TextoNormal"/>
      </w:pPr>
      <w:r>
        <w:t xml:space="preserve">Como resulta de la rúbrica que le da título, la reforma del Reglamento del Senado impugnada tiene como objeto principal sus artículos 133 y 182. Pero contiene, además, una disposición transitoria, en la que se prevé su aplicación a aquellas iniciativas que se encuentren en tramitación en la Cámara el día de su entrada en vigor, y una disposición final, con </w:t>
      </w:r>
      <w:r>
        <w:lastRenderedPageBreak/>
        <w:t>la que concluye, que fija el día de su publicación en el “Boletín Oficial de las Cortes Generales” como fecha de su entrada en vigor.</w:t>
      </w:r>
    </w:p>
    <w:p w14:paraId="35E32AF8" w14:textId="77777777" w:rsidR="00A8138F" w:rsidRDefault="00A8138F" w:rsidP="00A8138F">
      <w:pPr>
        <w:pStyle w:val="TextoNormal"/>
      </w:pPr>
    </w:p>
    <w:p w14:paraId="0B6755FD" w14:textId="77777777" w:rsidR="00A8138F" w:rsidRDefault="00A8138F" w:rsidP="00A8138F">
      <w:pPr>
        <w:pStyle w:val="TextoNormal"/>
      </w:pPr>
      <w:r>
        <w:t>En el suplico de la demanda, acorde con la argumentación en la que se sustenta la pretensión de inconstitucionalidad, se pide a este tribunal “que se declare la inconstitucionalidad y consecuente nulidad de dicha ‘reforma del Reglamento del Senado por la que se modifican los artículos 133 y 182’ […] por vulnerar el artículo 90 y concordantes de la Constitución, en lo que afecta al artículo 133 del Reglamento del Senado”.</w:t>
      </w:r>
    </w:p>
    <w:p w14:paraId="270320E8" w14:textId="77777777" w:rsidR="00A8138F" w:rsidRDefault="00A8138F" w:rsidP="00A8138F">
      <w:pPr>
        <w:pStyle w:val="TextoNormal"/>
      </w:pPr>
    </w:p>
    <w:p w14:paraId="74CBA626" w14:textId="6AB8B998" w:rsidR="00A8138F" w:rsidRDefault="00A8138F" w:rsidP="00A8138F">
      <w:pPr>
        <w:pStyle w:val="TextoNormal"/>
      </w:pPr>
      <w:r>
        <w:t>Así pues, de conformidad con una reiterada doctrina constitucional, según la cual el suplico de la demanda “es la parte decisiva para reconocer y concretar el objeto de todo recurso” (por todas, SSTC 184/2016, de 3 de noviembre, FJ 2, y 213/2016, de 15 de diciembre, FJ 7), la presente impugnación y, por consiguiente, nuestro enjuiciamiento, debe circunscribirse al citado art. 133 RS y, más concretamente, a su apartado 2, dado que la fundamentación ofrecida por los recurrentes en la que sustentan su pretensión de inconstitucionalidad únicamente versa sobre el citado apartado del art. 133 RS [STC 111/2024, de 10 de septiembre, FJ 3 B) a)].</w:t>
      </w:r>
    </w:p>
    <w:p w14:paraId="78BD72FB" w14:textId="77777777" w:rsidR="00A8138F" w:rsidRDefault="00A8138F" w:rsidP="00A8138F">
      <w:pPr>
        <w:pStyle w:val="TextoNormal"/>
      </w:pPr>
    </w:p>
    <w:p w14:paraId="6C77802A" w14:textId="77777777" w:rsidR="00A8138F" w:rsidRDefault="00A8138F" w:rsidP="00A8138F">
      <w:pPr>
        <w:pStyle w:val="TextoNormal"/>
      </w:pPr>
      <w:r w:rsidRPr="00A8138F">
        <w:rPr>
          <w:rStyle w:val="NumeroAFNegritaCaracter"/>
        </w:rPr>
        <w:t>3</w:t>
      </w:r>
      <w:r>
        <w:t xml:space="preserve">. </w:t>
      </w:r>
      <w:r w:rsidRPr="00A8138F">
        <w:rPr>
          <w:i/>
        </w:rPr>
        <w:t>La reforma del artículo 133 del Reglamento del Senado</w:t>
      </w:r>
    </w:p>
    <w:p w14:paraId="31120590" w14:textId="77777777" w:rsidR="00A8138F" w:rsidRDefault="00A8138F" w:rsidP="00A8138F">
      <w:pPr>
        <w:pStyle w:val="TextoNormal"/>
      </w:pPr>
    </w:p>
    <w:p w14:paraId="23636578" w14:textId="77777777" w:rsidR="00A8138F" w:rsidRDefault="00A8138F" w:rsidP="00A8138F">
      <w:pPr>
        <w:pStyle w:val="TextoNormal"/>
      </w:pPr>
      <w:r>
        <w:t>Es necesario, a continuación, dejar constancia del alcance de la reforma llevada a cabo por el precepto recurrido, así como de su tenor.</w:t>
      </w:r>
    </w:p>
    <w:p w14:paraId="0DC3CAEC" w14:textId="77777777" w:rsidR="00A8138F" w:rsidRDefault="00A8138F" w:rsidP="00A8138F">
      <w:pPr>
        <w:pStyle w:val="TextoNormal"/>
      </w:pPr>
    </w:p>
    <w:p w14:paraId="1CA58E6E" w14:textId="77777777" w:rsidR="00A8138F" w:rsidRDefault="00A8138F" w:rsidP="00A8138F">
      <w:pPr>
        <w:pStyle w:val="TextoNormal"/>
      </w:pPr>
      <w:r>
        <w:t>En su redacción anterior, el art. 133 RS, con el que comienza la sección tercera, “Del procedimiento de urgencia”, del capítulo II, “De los procedimientos legislativos especiales”, de su título IV, “Del procedimiento legislativo”, constaba de dos apartados. Disponía el primero que “[e]n los proyectos declarados urgentes por el Gobierno o por el Congreso de los Diputados, el Senado dispone de un plazo de veinte días naturales para ejercitar sus facultades de orden legislativo”. Por su parte, el apartado segundo establecía que “[a]simismo, la Mesa del Senado, de oficio o a propuesta de un Grupo parlamentario o de veinticinco Senadores, podrá decidir la aplicación del procedimiento de urgencia”.</w:t>
      </w:r>
    </w:p>
    <w:p w14:paraId="7692082E" w14:textId="77777777" w:rsidR="00A8138F" w:rsidRDefault="00A8138F" w:rsidP="00A8138F">
      <w:pPr>
        <w:pStyle w:val="TextoNormal"/>
      </w:pPr>
    </w:p>
    <w:p w14:paraId="04CF7E23" w14:textId="77777777" w:rsidR="00A8138F" w:rsidRDefault="00A8138F" w:rsidP="00A8138F">
      <w:pPr>
        <w:pStyle w:val="TextoNormal"/>
      </w:pPr>
      <w:r>
        <w:t>La reforma llevada a cabo, cuyo tenor literal se recoge en los antecedentes de esta sentencia, ha consistido en agrupar en un primer apartado del art. 133 los dos apartados de su redacción anterior, remplazando en el primero el término “proyectos” por el de “proyectos de ley”, y en adicionar un segundo apartado, que atribuye a la mesa del Senado la decisión de aplicar el procedimiento de urgencia a las proposiciones de ley.</w:t>
      </w:r>
    </w:p>
    <w:p w14:paraId="162F820D" w14:textId="77777777" w:rsidR="00A8138F" w:rsidRDefault="00A8138F" w:rsidP="00A8138F">
      <w:pPr>
        <w:pStyle w:val="TextoNormal"/>
      </w:pPr>
    </w:p>
    <w:p w14:paraId="66D7F8A2" w14:textId="77777777" w:rsidR="00A8138F" w:rsidRDefault="00A8138F" w:rsidP="00A8138F">
      <w:pPr>
        <w:pStyle w:val="TextoNormal"/>
      </w:pPr>
      <w:r>
        <w:t>Así pues, tras su reforma, el art. 133 RS dedica su apartado primero a la declaración de urgencia de los proyectos de ley a los efectos de su tramitación en el Senado. En su párrafo primero, atribuye dicha declaración al Gobierno o al Congreso de los Diputados, disponiendo el Senado de un plazo de veinte días naturales para ejercer sus facultades legislativas. En su párrafo segundo, el art. 133.1 RS también faculta a la mesa del Senado para decidir la aplicación del procedimiento de urgencia a los proyectos de ley, de oficio o a propuesta de un grupo parlamentario o de veinticinco senadores.</w:t>
      </w:r>
    </w:p>
    <w:p w14:paraId="34558CBE" w14:textId="77777777" w:rsidR="00A8138F" w:rsidRDefault="00A8138F" w:rsidP="00A8138F">
      <w:pPr>
        <w:pStyle w:val="TextoNormal"/>
      </w:pPr>
    </w:p>
    <w:p w14:paraId="5A9EF587" w14:textId="77777777" w:rsidR="00A8138F" w:rsidRDefault="00A8138F" w:rsidP="00A8138F">
      <w:pPr>
        <w:pStyle w:val="TextoNormal"/>
      </w:pPr>
      <w:r>
        <w:t>Por su parte, el apartado segundo del art. 133 RS, impugnado en el presente recurso de inconstitucionalidad, tiene por objeto la aplicación del procedimiento de urgencia a las pro</w:t>
      </w:r>
      <w:r>
        <w:lastRenderedPageBreak/>
        <w:t>posiciones de ley a los efectos de su tramitación en el Senado, atribuyendo únicamente a la mesa de la Cámara esa decisión, a solicitud del Gobierno o del Congreso de los Diputados o, también, de oficio, a propuesta de un grupo parlamentario o de veinticinco senadores.</w:t>
      </w:r>
    </w:p>
    <w:p w14:paraId="2E2D5601" w14:textId="77777777" w:rsidR="00A8138F" w:rsidRDefault="00A8138F" w:rsidP="00A8138F">
      <w:pPr>
        <w:pStyle w:val="TextoNormal"/>
      </w:pPr>
    </w:p>
    <w:p w14:paraId="67758A06" w14:textId="77777777" w:rsidR="00A8138F" w:rsidRDefault="00A8138F" w:rsidP="00A8138F">
      <w:pPr>
        <w:pStyle w:val="TextoNormal"/>
      </w:pPr>
      <w:r>
        <w:t>La exposición de motivos de la reforma del Reglamento comienza afirmando que el art. 90 CE “regula la tramitación por el Senado de los proyectos de ley ordinaria u orgánica aprobados por el Congreso de los Diputados” y que su apartado tercero “reduce a veinte días naturales el plazo de que el Senado dispone para vetar o enmendar los proyectos declarados urgentes por el Gobierno o por el Congreso de los Diputados”. El art. 90 CE —continúa la exposición de motivos— “ se refiere, por tanto, a los proyectos, pero no a las proposiciones de ley, mediante una literalidad que, tal como demuestran los trabajos parlamentarios, no es casual sino fruto de la voluntad de los constituyentes”, ya que “aunque en el informe de la ponencia constitucional del 5 de enero de 1978 se empleaba en el primer apartado del artículo la expresión ‘proyecto o proposición de ley’, esta fue después sustituida por la que finalmente se aprobó, esto es, ‘proyecto de ley ordinaria u orgánica’”.</w:t>
      </w:r>
    </w:p>
    <w:p w14:paraId="775D8A6F" w14:textId="77777777" w:rsidR="00A8138F" w:rsidRDefault="00A8138F" w:rsidP="00A8138F">
      <w:pPr>
        <w:pStyle w:val="TextoNormal"/>
      </w:pPr>
    </w:p>
    <w:p w14:paraId="58085592" w14:textId="77777777" w:rsidR="00A8138F" w:rsidRDefault="00A8138F" w:rsidP="00A8138F">
      <w:pPr>
        <w:pStyle w:val="TextoNormal"/>
      </w:pPr>
      <w:r>
        <w:t>Definidos en los términos expuestos el sentido y alcance del art. 90 CE, la exposición de motivos prosigue diciendo que la reforma del Reglamento que se propone “se sitúa en el marco del principio de autonomía reglamentaria de las Cámaras reconocido por el artículo 72.1 y, más concretamente, en el ámbito del apartado 1 del artículo 89 de la Constitución, según el cual ‘la tramitación de las proposiciones de ley se regulará por los Reglamentos de las Cámaras, sin que la prioridad debida a los proyectos de ley impida el ejercicio de la iniciativa legislativa en los términos regulados por el artículo 87’”.</w:t>
      </w:r>
    </w:p>
    <w:p w14:paraId="52FB0723" w14:textId="77777777" w:rsidR="00A8138F" w:rsidRDefault="00A8138F" w:rsidP="00A8138F">
      <w:pPr>
        <w:pStyle w:val="TextoNormal"/>
      </w:pPr>
    </w:p>
    <w:p w14:paraId="6931845C" w14:textId="77777777" w:rsidR="00A8138F" w:rsidRDefault="00A8138F" w:rsidP="00A8138F">
      <w:pPr>
        <w:pStyle w:val="TextoNormal"/>
      </w:pPr>
      <w:r>
        <w:t>A los efectos que a este proceso constitucional interesan, en la exposición de motivos se define seguidamente como objeto específico de la reforma “la de ofrecer mayores oportunidades al rigor y la calidad de la función legislativa del Senado, abriendo la posibilidad de que, en el trámite de las proposiciones de ley, y a diferencia de lo que sucede con los proyectos, los senadores cuenten con el tiempo necesario para poder paliar, al menos, los déficits de documentación y análisis técnico y jurídico, así como de debate público y de participación social, de los que, como la experiencia demuestra, suelen adolecer este tipo de iniciativas legislativas.</w:t>
      </w:r>
    </w:p>
    <w:p w14:paraId="1018D427" w14:textId="77777777" w:rsidR="00A8138F" w:rsidRDefault="00A8138F" w:rsidP="00A8138F">
      <w:pPr>
        <w:pStyle w:val="TextoNormal"/>
      </w:pPr>
    </w:p>
    <w:p w14:paraId="37EBD055" w14:textId="581E80BD" w:rsidR="00A8138F" w:rsidRDefault="00A8138F" w:rsidP="00A8138F">
      <w:pPr>
        <w:pStyle w:val="TextoNormal"/>
      </w:pPr>
      <w:r>
        <w:t>Para ello, [concluye la exposición de motivos] se procede a la modificación del artículo 133 del Reglamento del Senado con el fin de atribuir a la mesa de la Cámara la facultad de decidir en cada caso sobre la pertinencia de la tramitación urgente de una proposición de ley”.</w:t>
      </w:r>
    </w:p>
    <w:p w14:paraId="4B0F50A9" w14:textId="77777777" w:rsidR="00A8138F" w:rsidRDefault="00A8138F" w:rsidP="00A8138F">
      <w:pPr>
        <w:pStyle w:val="TextoNormal"/>
      </w:pPr>
    </w:p>
    <w:p w14:paraId="0CAFEA2E" w14:textId="77777777" w:rsidR="00A8138F" w:rsidRDefault="00A8138F" w:rsidP="00A8138F">
      <w:pPr>
        <w:pStyle w:val="TextoNormal"/>
      </w:pPr>
      <w:r w:rsidRPr="00A8138F">
        <w:rPr>
          <w:rStyle w:val="NumeroAFNegritaCaracter"/>
        </w:rPr>
        <w:t>4</w:t>
      </w:r>
      <w:r>
        <w:t xml:space="preserve">. </w:t>
      </w:r>
      <w:r w:rsidRPr="00A8138F">
        <w:rPr>
          <w:i/>
        </w:rPr>
        <w:t>Consideraciones previas</w:t>
      </w:r>
    </w:p>
    <w:p w14:paraId="48B0D1EF" w14:textId="77777777" w:rsidR="00A8138F" w:rsidRDefault="00A8138F" w:rsidP="00A8138F">
      <w:pPr>
        <w:pStyle w:val="TextoNormal"/>
      </w:pPr>
    </w:p>
    <w:p w14:paraId="270440F2" w14:textId="77777777" w:rsidR="00A8138F" w:rsidRDefault="00A8138F" w:rsidP="00A8138F">
      <w:pPr>
        <w:pStyle w:val="TextoNormal"/>
      </w:pPr>
      <w:r>
        <w:t xml:space="preserve">Delimitados en los términos expuestos el objeto del recurso de inconstitucionalidad y las posiciones de las partes, es preciso, antes de proceder a su enjuiciamiento, hacer unas consideraciones previas en torno a la naturaleza del precepto impugnado, respecto a la invocación de la interpretación que se dice mantenida por los servicios jurídicos y órganos de gobierno del Congreso de los Diputados y del Senado desde hace cuarenta y cinco años en relación con el art. 90.3 CE y el art. 133 RS, en su versión anterior a la reforma de este precepto, así como a los precedentes sobre la declaración de urgencia de las proposiciones </w:t>
      </w:r>
      <w:r>
        <w:lastRenderedPageBreak/>
        <w:t>de ley en el Senado, y, en fin, sobre el alcance de la función jurisdiccional de este tribunal y la voluntad o intención del autor de la norma recurrida.</w:t>
      </w:r>
    </w:p>
    <w:p w14:paraId="4BFF659F" w14:textId="77777777" w:rsidR="00A8138F" w:rsidRDefault="00A8138F" w:rsidP="00A8138F">
      <w:pPr>
        <w:pStyle w:val="TextoNormal"/>
      </w:pPr>
    </w:p>
    <w:p w14:paraId="53E4C17C" w14:textId="77777777" w:rsidR="00A8138F" w:rsidRDefault="00A8138F" w:rsidP="00A8138F">
      <w:pPr>
        <w:pStyle w:val="TextoNormal"/>
      </w:pPr>
      <w:r>
        <w:t>a) El objeto del recurso de inconstitucionalidad viene constituido, como ya se ha dejado constancia, por un precepto del reglamento del Senado, el art 133.2, disposición normativa que, dotada como fuente del derecho de las singularidades propias de los reglamentos parlamentarios, puede ser objeto sin duda, como ponen de manifiesto la letrada que actúa en representación del Senado y el abogado del Estado en sus escritos de alegaciones, de un control de constitucionalidad propio de este tipo de proceso [art. 27.2 f) LOTC]. Así lo hemos declarado en no pocas resoluciones (por todas, STC 139/2017, de 29 de noviembre, FJ 2) y, en particular, en relación con el Reglamento del Senado (STC 101/2008, de 24 de julio, FJ 2).</w:t>
      </w:r>
    </w:p>
    <w:p w14:paraId="5E79A6FB" w14:textId="77777777" w:rsidR="00A8138F" w:rsidRDefault="00A8138F" w:rsidP="00A8138F">
      <w:pPr>
        <w:pStyle w:val="TextoNormal"/>
      </w:pPr>
    </w:p>
    <w:p w14:paraId="589C5FE1" w14:textId="77777777" w:rsidR="00A8138F" w:rsidRDefault="00A8138F" w:rsidP="00A8138F">
      <w:pPr>
        <w:pStyle w:val="TextoNormal"/>
      </w:pPr>
      <w:r>
        <w:t>b) Sin desconocer el carácter ilustrativo que puede presentar la interpretación que se dice invariablemente mantenida por los servicios jurídicos y los órganos de gobierno del Congreso de los Diputados y del Senado desde hace cuarenta y cinco años del art. 90.3 CE y de la anterior redacción del art. 133 RS, que invocan los recurrentes, así como los precedentes habidos de la declaración de urgencia de las proposiciones de ley en el Senado, como trae a colación la representación letrada de esta Cámara, es evidente que, por sí mismos, ni aquella interpretación, ni estos precedentes, pueden erigirse en canon de control de constitucionalidad del precepto impugnado en lo que se refiere al reproche de orden sustantivo que se le hace, conformado exclusivamente en este caso por la Constitución y, más concretamente, por el sentido y alcance del precepto constitucional que se estima vulnerado (art. 90.3 CE), único canon de validez del precepto objeto del presente recurso de inconstitucionalidad.</w:t>
      </w:r>
    </w:p>
    <w:p w14:paraId="4BC214D3" w14:textId="77777777" w:rsidR="00A8138F" w:rsidRDefault="00A8138F" w:rsidP="00A8138F">
      <w:pPr>
        <w:pStyle w:val="TextoNormal"/>
      </w:pPr>
    </w:p>
    <w:p w14:paraId="4B653085" w14:textId="77777777" w:rsidR="00A8138F" w:rsidRDefault="00A8138F" w:rsidP="00A8138F">
      <w:pPr>
        <w:pStyle w:val="TextoNormal"/>
      </w:pPr>
      <w:r>
        <w:t>Por consiguiente, este tribunal debe limitarse a enjuiciar la norma sometida a su conocimiento, en cuanto al motivo de inconstitucionalidad de carácter material que se le imputa, de acuerdo con el indicado parámetro de constitucionalidad.</w:t>
      </w:r>
    </w:p>
    <w:p w14:paraId="0A5D4A68" w14:textId="77777777" w:rsidR="00A8138F" w:rsidRDefault="00A8138F" w:rsidP="00A8138F">
      <w:pPr>
        <w:pStyle w:val="TextoNormal"/>
      </w:pPr>
    </w:p>
    <w:p w14:paraId="122D7C26" w14:textId="2C7DA4FF" w:rsidR="00A8138F" w:rsidRDefault="00A8138F" w:rsidP="00A8138F">
      <w:pPr>
        <w:pStyle w:val="TextoNormal"/>
      </w:pPr>
      <w:r>
        <w:t>c) Hemos de recordar, una vez más, que estamos ante un recurso de inconstitucionalidad y que, en este tipo de procedimientos, este tribunal “garantiza la supremacía de la Constitución y enjuicia la conformidad o disconformidad con ella de las leyes, disposiciones o actos impugnados” (art. 27.1 LOTC). Se trata de un control abstracto de la norma recurrida, desvinculado de cualquier consideración concreta de su aplicación a un específico supuesto de hecho y también de un control “objetivo”, pues el precepto controvertido ha de ser enjuiciado en atención a su propio sentido. En definitiva, el control que se lleva a cabo en este proceso constitucional es un control jurídico, no político, ni de oportunidad, calidad técnica, o idoneidad. De modo que las intenciones o finalidades del autor de la norma, su estrategia política o su propósito último no constituyen, como es evidente, objeto de nuestro enjuiciamiento, que ha de circunscribirse a contrastar los concretos preceptos impugnados y las normas o principios constitucionales que integran en cada caso el parámetro de control [SSTC 90/2017, de 5 de julio, FJ 2, y 139/2017, de 29 de noviembre, FJ 2 c), por todas].</w:t>
      </w:r>
    </w:p>
    <w:p w14:paraId="1B27EC21" w14:textId="77777777" w:rsidR="00A8138F" w:rsidRDefault="00A8138F" w:rsidP="00A8138F">
      <w:pPr>
        <w:pStyle w:val="TextoNormal"/>
      </w:pPr>
    </w:p>
    <w:p w14:paraId="78663D06" w14:textId="77777777" w:rsidR="00A8138F" w:rsidRDefault="00A8138F" w:rsidP="00A8138F">
      <w:pPr>
        <w:pStyle w:val="TextoNormal"/>
      </w:pPr>
      <w:r w:rsidRPr="00A8138F">
        <w:rPr>
          <w:rStyle w:val="NumeroAFNegritaCaracter"/>
        </w:rPr>
        <w:t>5</w:t>
      </w:r>
      <w:r>
        <w:t xml:space="preserve">. </w:t>
      </w:r>
      <w:r w:rsidRPr="00A8138F">
        <w:rPr>
          <w:i/>
        </w:rPr>
        <w:t>La anfibología de los términos “proyecto” y “proyectos” en la Constitución</w:t>
      </w:r>
    </w:p>
    <w:p w14:paraId="05057B14" w14:textId="77777777" w:rsidR="00A8138F" w:rsidRDefault="00A8138F" w:rsidP="00A8138F">
      <w:pPr>
        <w:pStyle w:val="TextoNormal"/>
      </w:pPr>
    </w:p>
    <w:p w14:paraId="2BD64EC0" w14:textId="77777777" w:rsidR="00A8138F" w:rsidRDefault="00A8138F" w:rsidP="00A8138F">
      <w:pPr>
        <w:pStyle w:val="TextoNormal"/>
      </w:pPr>
      <w:r>
        <w:t xml:space="preserve">Los senadores recurrentes, posición que comparte el abogado del Estado, consideran que el art. 133.2 RS, en cuanto atribuye con carácter exclusivo a la mesa del Senado la facultad de decidir la aplicación del procedimiento de urgencia a las proposiciones de ley para su </w:t>
      </w:r>
      <w:r>
        <w:lastRenderedPageBreak/>
        <w:t>tramitación en la Cámara, vulnera el art. 90.3 CE, precepto que confiere al Gobierno y al Congreso de los Diputados la facultad de declarar la urgencia de los “proyectos” con el efecto de reducir a veinte días naturales el plazo del que dispone el Senado para su tramitación. Entienden que el término “proyectos” del citado precepto constitucional ha de ser interpretado en sentido amplio, referido tanto a los proyectos de ley como a las proposiciones de ley. Aducen al respecto, entre otros argumentos y en lo que ahora interesa, la frecuencia con la que la Constitución (arts. 81.2 y 167 CE) y los reglamentos parlamentarios (arts. 113, 117, 120 a 123 RCD; 136 RS) utilizan el término “proyecto” en sentido amplio, abarcando cualquier tipo de iniciativa legislativa.</w:t>
      </w:r>
    </w:p>
    <w:p w14:paraId="78823862" w14:textId="77777777" w:rsidR="00A8138F" w:rsidRDefault="00A8138F" w:rsidP="00A8138F">
      <w:pPr>
        <w:pStyle w:val="TextoNormal"/>
      </w:pPr>
    </w:p>
    <w:p w14:paraId="372EB976" w14:textId="77777777" w:rsidR="00A8138F" w:rsidRDefault="00A8138F" w:rsidP="00A8138F">
      <w:pPr>
        <w:pStyle w:val="TextoNormal"/>
      </w:pPr>
      <w:r>
        <w:t>Por su parte, la representación letrada del Senado sostiene, por el contrario, que la locución “proyecto de ley” (</w:t>
      </w:r>
      <w:r w:rsidRPr="00A8138F">
        <w:rPr>
          <w:i/>
        </w:rPr>
        <w:t>sic</w:t>
      </w:r>
      <w:r>
        <w:t>) del art. 90.3 CE se refiere específicamente a las iniciativas legislativas procedentes del Gobierno y a ninguna otra. En favor de una interpretación literal de aquella expresión invoca los numerosos preceptos constitucionales (arts. 87, 88, 89, 131 y 134 CE) y reglamentarios (arts. 129, 135, 149, 151 y 153 RS) en los que los términos “proyecto de ley” y “proposición de ley” figuran netamente diferenciados en razón del órgano del que procede la iniciativa.</w:t>
      </w:r>
    </w:p>
    <w:p w14:paraId="583D68B5" w14:textId="77777777" w:rsidR="00A8138F" w:rsidRDefault="00A8138F" w:rsidP="00A8138F">
      <w:pPr>
        <w:pStyle w:val="TextoNormal"/>
      </w:pPr>
    </w:p>
    <w:p w14:paraId="1DE9854D" w14:textId="77777777" w:rsidR="00A8138F" w:rsidRDefault="00A8138F" w:rsidP="00A8138F">
      <w:pPr>
        <w:pStyle w:val="TextoNormal"/>
      </w:pPr>
      <w:r>
        <w:t>Apenas requiere detenimiento la explicación del significado técnico-jurídico que tienen en nuestro ordenamiento las expresiones proyecto de ley y proposición de ley, a tenor de los arts. 87 a 89 CE, comprensiva, la primera, de las iniciativas legislativas del Gobierno y, la segunda, de las de procedencia parlamentaria (Congreso de los Diputados, Senado y asambleas legislativas de las comunidades autónomas) y de la iniciativa legislativa popular. Lo que no impide constatar la utilización también en otros preceptos constitucionales (por ejemplo, arts. 81.2 y 167 CE) de los términos “proyecto” y “proyectos” con un alcance que ha de entenderse referido, a la luz de una interpretación sistemática de dichos preceptos, tanto a los proyectos de ley, en sentido propio, como a las proposiciones de ley, o, en términos más precisos en lo que atañe a los mencionados preceptos constitucionales, a las iniciativas de origen gubernamental y a las de procedencia parlamentaria. E igual conclusión puede obtenerse del examen de los preceptos de los reglamentos parlamentarios invocados, si bien no puede dejar de señalarse lo sorprendente que resulta pretender interpretar el sentido de un precepto constitucional a partir de una norma infraconstitucional.</w:t>
      </w:r>
    </w:p>
    <w:p w14:paraId="2F69EB10" w14:textId="77777777" w:rsidR="00A8138F" w:rsidRDefault="00A8138F" w:rsidP="00A8138F">
      <w:pPr>
        <w:pStyle w:val="TextoNormal"/>
      </w:pPr>
    </w:p>
    <w:p w14:paraId="6EB6A29B" w14:textId="0E82AC78" w:rsidR="00A8138F" w:rsidRDefault="00A8138F" w:rsidP="00A8138F">
      <w:pPr>
        <w:pStyle w:val="TextoNormal"/>
      </w:pPr>
      <w:r>
        <w:t>En todo caso, lo relevante del argumento esgrimido y ahora examinado es el sentido ambiguo que los términos “proyecto” y “proyectos” presentan o pueden presentar en algunos preceptos del texto constitucional, lo que, sin embargo, en modo alguno es determinante, ni suficiente por sí mismo, para desentrañar el alcance de los términos “proyecto” y “proyectos” del art. 90.3 CE, sobre cuyo significado discrepan las partes del proceso.</w:t>
      </w:r>
    </w:p>
    <w:p w14:paraId="376A84B1" w14:textId="77777777" w:rsidR="00A8138F" w:rsidRDefault="00A8138F" w:rsidP="00A8138F">
      <w:pPr>
        <w:pStyle w:val="TextoNormal"/>
      </w:pPr>
    </w:p>
    <w:p w14:paraId="4259BAAA" w14:textId="77777777" w:rsidR="00A8138F" w:rsidRDefault="00A8138F" w:rsidP="00A8138F">
      <w:pPr>
        <w:pStyle w:val="TextoNormal"/>
      </w:pPr>
      <w:r w:rsidRPr="00A8138F">
        <w:rPr>
          <w:rStyle w:val="NumeroAFNegritaCaracter"/>
        </w:rPr>
        <w:t>6</w:t>
      </w:r>
      <w:r>
        <w:t xml:space="preserve">. </w:t>
      </w:r>
      <w:r w:rsidRPr="00A8138F">
        <w:rPr>
          <w:i/>
        </w:rPr>
        <w:t>Los trabajos parlamentarios del artículo 90 CE</w:t>
      </w:r>
    </w:p>
    <w:p w14:paraId="448317A0" w14:textId="77777777" w:rsidR="00A8138F" w:rsidRDefault="00A8138F" w:rsidP="00A8138F">
      <w:pPr>
        <w:pStyle w:val="TextoNormal"/>
      </w:pPr>
    </w:p>
    <w:p w14:paraId="79646545" w14:textId="77777777" w:rsidR="00A8138F" w:rsidRDefault="00A8138F" w:rsidP="00A8138F">
      <w:pPr>
        <w:pStyle w:val="TextoNormal"/>
      </w:pPr>
      <w:r>
        <w:t xml:space="preserve">La representación letrada del Senado invoca también los antecedentes históricos y legislativos del art. 90 CE a fin de determinar el sentido de los vocablos “proyecto” y “proyectos” de dicho precepto, remitiéndose a lo que al respecto se dice en la exposición de motivos de la reforma del Reglamento del Senado objeto del presente recurso de inconstitucionalidad. Se afirma en esta, como ya hemos dejado constancia, que “[e]l artículo 90 de la Constitución se refiere, por tanto, a los proyectos de ley, pero no a las proposiciones de ley, mediante una literalidad que, tal como demuestran los trabajos parlamentarios, no es casual, sino fruto de </w:t>
      </w:r>
      <w:r>
        <w:lastRenderedPageBreak/>
        <w:t>la voluntad de los constituyentes. Porque, aunque en el informe de la ponencia constitucional del 5 de enero de 1978 se empleaba en el primer apartado del artículo la expresión ‘proyecto o proposición de ley’, ésta fue después sustituida por la que finalmente se aprobó, esto es, ‘proyecto de ley ordinaria u orgánica’”.</w:t>
      </w:r>
    </w:p>
    <w:p w14:paraId="3310EE8A" w14:textId="77777777" w:rsidR="00A8138F" w:rsidRDefault="00A8138F" w:rsidP="00A8138F">
      <w:pPr>
        <w:pStyle w:val="TextoNormal"/>
      </w:pPr>
    </w:p>
    <w:p w14:paraId="209CBA4C" w14:textId="77777777" w:rsidR="00A8138F" w:rsidRDefault="00A8138F" w:rsidP="00A8138F">
      <w:pPr>
        <w:pStyle w:val="TextoNormal"/>
      </w:pPr>
      <w:r>
        <w:t>Los trabajos parlamentarios de elaboración de la Constitución, conforme a una reiterada doctrina constitucional, son un elemento importante, aunque no determinante, para desentrañar el sentido y alcance de las normas [por todas, SSTC 12/1982, de 31 de marzo, FJ 6, y 87/2022, de 28 de junio, FJ 3, C) d)]. Pues bien, los trabajos parlamentarios del art. 90 CE no ofrecen una pauta o criterio hermenéutico concluyente que determine el significado de las expresiones “proyecto de ley” del art. 90 CE, o “proyecto” y “proyectos”, de su apartado 3, al menos, en el sentido y con la rotundidad que se afirma en la exposición de motivos de la reforma.</w:t>
      </w:r>
    </w:p>
    <w:p w14:paraId="1CAEA1C3" w14:textId="77777777" w:rsidR="00A8138F" w:rsidRDefault="00A8138F" w:rsidP="00A8138F">
      <w:pPr>
        <w:pStyle w:val="TextoNormal"/>
      </w:pPr>
    </w:p>
    <w:p w14:paraId="2673CB37" w14:textId="77777777" w:rsidR="00A8138F" w:rsidRDefault="00A8138F" w:rsidP="00A8138F">
      <w:pPr>
        <w:pStyle w:val="TextoNormal"/>
      </w:pPr>
      <w:r>
        <w:t>En efecto, a diferencia de otros aspectos o materias relativos a la regulación del Senado, el art. 90 CE sufrió escasas modificaciones y apenas fue objeto de debate durante su tramitación parlamentaria. En el anteproyecto de Constitución, que fue aprobado en sus términos por la ponencia, ya contaba el actual art. 90, entonces art. 83, con tres apartados con un contenido básico sustancialmente igual, a los efectos que ahora interesan, al que tiene el texto en vigor. El apartado primero contemplaba la remisión de los textos aprobados por el Congreso de los Diputados al Senado para su deliberación, a los que se refería como “un proyecto o proposición de ley”. El apartado segundo establecía el plazo del que disponía el Senado para la deliberación del texto remitido por el Congreso, a sus facultades de oposición al mismo y a las opciones del Congreso para superar, en su caso, el veto opuesto por el Senado. En este apartado segundo, al igual que el del vigente art. 90, se utilizaba la expresión “proyecto”. Y, en su último apartado, se reducía el plazo concedido en el apartado anterior del que disponía el Senado para la tramitación de los “proyectos” declarados urgentes por el Gobierno o por el Congreso de los Diputados.</w:t>
      </w:r>
    </w:p>
    <w:p w14:paraId="34CFB60F" w14:textId="77777777" w:rsidR="00A8138F" w:rsidRDefault="00A8138F" w:rsidP="00A8138F">
      <w:pPr>
        <w:pStyle w:val="TextoNormal"/>
      </w:pPr>
    </w:p>
    <w:p w14:paraId="05AED966" w14:textId="77777777" w:rsidR="00A8138F" w:rsidRDefault="00A8138F" w:rsidP="00A8138F">
      <w:pPr>
        <w:pStyle w:val="TextoNormal"/>
      </w:pPr>
      <w:r>
        <w:t>El texto del precepto se mantuvo incólume por lo que se refiere al empleo de las expresiones “proyecto o proposición de ley” en su apartado primero, “proyecto”, en su apartado segundo, y “proyectos”, en su apartado tercero, durante su tramitación parlamentaria hasta la intervención de la Comisión Mixta. Las enmiendas presentadas en ningún caso tuvieron por objeto la modificación o supresión de estas expresiones, ciñéndose las aprobadas a las facultades de oposición del Senado respecto a los textos remitidos por el Congreso, a la extensión de los plazos de que disponía aquella Cámara para su tramitación y a la resolución de las diferencias entre ambas Cámaras. El dictamen de la Comisión Mixta, a los efectos que ahora interesan, sustituyó en el apartado primero del ya numerado entonces como art. 90 la expresión “un proyecto o proposición de ley” por la de “un proyecto de ley ordinaria u orgánica”. Y en el apartado tercero adicionó a su enunciado inicial —“El plazo de dos meses”— la frase “de que el Senado dispone para vetar o enmendar el proyecto”, continuando el apartado con su inciso final, tal y como constaba en el texto aprobado por el Senado —“se reducirá a veinte días naturales en los proyectos declarados urgentes por el Gobierno o por el Congreso de los Diputados”—. No existe constancia de las razones y motivos de dichas sustitución y adición, como de otras no pocas modificaciones que llevó a cabo en el texto que le fue remitido por el Senado. El dictamen de la Comisión fue aprobado, sin modificación alguna, por los Plenos de ambas Cámaras de las Cortes Generales.</w:t>
      </w:r>
    </w:p>
    <w:p w14:paraId="100E7620" w14:textId="77777777" w:rsidR="00A8138F" w:rsidRDefault="00A8138F" w:rsidP="00A8138F">
      <w:pPr>
        <w:pStyle w:val="TextoNormal"/>
      </w:pPr>
    </w:p>
    <w:p w14:paraId="709F12CD" w14:textId="4063DE24" w:rsidR="00A8138F" w:rsidRDefault="00A8138F" w:rsidP="00A8138F">
      <w:pPr>
        <w:pStyle w:val="TextoNormal"/>
      </w:pPr>
      <w:r>
        <w:lastRenderedPageBreak/>
        <w:t>El presente relato, y la ausencia de debates durante la tramitación parlamentaria del precepto en el extremo que del mismo nos ocupa y sobre el que difieren las partes personadas —el significado de las expresiones “proyecto” y “proyectos” del art. 90.3 CE—, impide obtener a partir de una consideración exclusiva de los trabajos parlamentarios del art. 90 CE, como ya hemos señalado, un criterio hermenéutico concluyente o decisivo sobre su alcance en el sentido que se afirma en la exposición de motivos de la reforma del Reglamento del Senado impugnada.</w:t>
      </w:r>
    </w:p>
    <w:p w14:paraId="12F1CA6C" w14:textId="77777777" w:rsidR="00A8138F" w:rsidRDefault="00A8138F" w:rsidP="00A8138F">
      <w:pPr>
        <w:pStyle w:val="TextoNormal"/>
      </w:pPr>
    </w:p>
    <w:p w14:paraId="3FD51917" w14:textId="77777777" w:rsidR="00A8138F" w:rsidRDefault="00A8138F" w:rsidP="00A8138F">
      <w:pPr>
        <w:pStyle w:val="TextoNormal"/>
      </w:pPr>
      <w:r w:rsidRPr="00A8138F">
        <w:rPr>
          <w:rStyle w:val="NumeroAFNegritaCaracter"/>
        </w:rPr>
        <w:t>7</w:t>
      </w:r>
      <w:r>
        <w:t xml:space="preserve">. </w:t>
      </w:r>
      <w:r w:rsidRPr="00A8138F">
        <w:rPr>
          <w:i/>
        </w:rPr>
        <w:t>La divergencia de las partes sobre el significado de los términos “proyecto” y “proyectos” del art. 90.3 CE</w:t>
      </w:r>
    </w:p>
    <w:p w14:paraId="754F7E59" w14:textId="77777777" w:rsidR="00A8138F" w:rsidRDefault="00A8138F" w:rsidP="00A8138F">
      <w:pPr>
        <w:pStyle w:val="TextoNormal"/>
      </w:pPr>
    </w:p>
    <w:p w14:paraId="5E1EF81C" w14:textId="77777777" w:rsidR="00A8138F" w:rsidRDefault="00A8138F" w:rsidP="00A8138F">
      <w:pPr>
        <w:pStyle w:val="TextoNormal"/>
      </w:pPr>
      <w:r>
        <w:t>La divergencia interpretativa que mantienen las partes en este recurso de inconstitucionalidad versa sobre el alcance de las expresiones “proyecto” y “proyectos” del art. 90.3 CE. En tanto que los recurrentes y el abogado del Estado entienden que dichas expresiones abarcan tanto los proyectos de ley como las proposiciones de ley, la representante del Senado considera que han de circunscribirse exclusivamente a los primeros.</w:t>
      </w:r>
    </w:p>
    <w:p w14:paraId="463278F3" w14:textId="77777777" w:rsidR="00A8138F" w:rsidRDefault="00A8138F" w:rsidP="00A8138F">
      <w:pPr>
        <w:pStyle w:val="TextoNormal"/>
      </w:pPr>
    </w:p>
    <w:p w14:paraId="7E8C5072" w14:textId="77777777" w:rsidR="00A8138F" w:rsidRDefault="00A8138F" w:rsidP="00A8138F">
      <w:pPr>
        <w:pStyle w:val="TextoNormal"/>
      </w:pPr>
      <w:r>
        <w:t xml:space="preserve">Los senadores recurrentes sostienen que este tribunal ya ha zanjado el debate constitucional sobre si el art. 90 CE se refiere solo a los proyectos de ley o si comprende también las proposiciones de ley, ya que ha declarado en la STC 97/2002, de 25 de abril, que dicho precepto constitucional es aplicable “no solo a los proyectos de ley, sino también a las proposiciones de ley” (FJ 4). Además, el art. 133.2 RS supone —añaden— un desconocimiento del modelo de bicameralismo imperfecto por el que ha optado el constituyente, plasmado, entre otros preceptos, en el art. 90 CE, en el que el Congreso de los Diputados ostenta un claro predominio en la función legislativa frente al Senado, que tiene asignada una posición de Cámara de segunda lectura. Una interpretación sistemática de la Constitución lleva a concluir que cuando el art. 90 CE regula la intervención del Senado en el procedimiento legislativo se refiere a cualquier tipo de iniciativa, de modo que los efectos que la declaración de urgencia de las iniciativas legislativas provocan en orden a su tramitación en el Senado son resultado de un determinado entendimiento del sistema bicameral diseñado en la Constitución y se generan por expresa previsión constitucional con independencia de cuál sea el órgano que la declare, esto es, el Gobierno o el Congreso de los Diputados </w:t>
      </w:r>
      <w:r w:rsidRPr="00A8138F">
        <w:rPr>
          <w:i/>
        </w:rPr>
        <w:t>ex</w:t>
      </w:r>
      <w:r>
        <w:t xml:space="preserve"> art. 90.3 CE y cualquiera que sea la naturaleza del instrumento empleado para canalizar la iniciativa legislativa, es decir, el proyecto o la proposición de ley. La autonomía reglamentaria del Senado (art. 72.1 CE) —concluyen los demandantes— no puede erigirse en un límite que impida al constituyente dotar al Gobierno y al Congreso de los Diputados de la facultad de declarar la urgencia de la tramitación parlamentaria de los proyectos o proposiciones de ley con los efectos que el art. 90.3 CE anuda a esta declaración.</w:t>
      </w:r>
    </w:p>
    <w:p w14:paraId="0E627C0C" w14:textId="77777777" w:rsidR="00A8138F" w:rsidRDefault="00A8138F" w:rsidP="00A8138F">
      <w:pPr>
        <w:pStyle w:val="TextoNormal"/>
      </w:pPr>
    </w:p>
    <w:p w14:paraId="1E72ABB0" w14:textId="77777777" w:rsidR="00A8138F" w:rsidRDefault="00A8138F" w:rsidP="00A8138F">
      <w:pPr>
        <w:pStyle w:val="TextoNormal"/>
      </w:pPr>
      <w:r>
        <w:t>La letrada que actúa en representación del Senado considera, por el contrario, que el mismo resultado al que conducen, a su juicio, la interpretación literal y los antecedentes históricos y legislativos del término “proyecto de ley” (</w:t>
      </w:r>
      <w:r w:rsidRPr="00A8138F">
        <w:rPr>
          <w:i/>
        </w:rPr>
        <w:t>sic</w:t>
      </w:r>
      <w:r>
        <w:t xml:space="preserve">) del art. 90.3 CE, se alcanza atendiendo al “espíritu y finalidad” del precepto. Su finalidad es doble, por un lado, otorgar al Gobierno la facultad de decidir el tipo de tramitación, ordinaria o urgente, de los proyectos de ley, que confiere también al Congreso de los Diputados al inicio de su tramitación parlamentaria; y, de otro, acortar el plazo ordinario de tramitación de estas iniciativas en el Senado. Ni del texto constitucional, ni de su interpretación jurisprudencial se deduce que esa facultad que se reconoce al Gobierno y al Congreso de los Diputados sobre los proyectos </w:t>
      </w:r>
      <w:r>
        <w:lastRenderedPageBreak/>
        <w:t>de ley pueda extenderse a las proposiciones de ley, dado que su regulación se encomienda a los reglamentos de la Cámaras (art. 89 CE), que deben ser las que con toda lógica adopten, a través de sus órganos de gobierno, las decisiones atinentes a su tramitación. Así pues, atendiendo al espíritu y finalidad del art. 90.3 CE no existe “identidad de razón” en lo que respecta a la declaración de urgencia de los proyectos y de las proposiciones de ley.</w:t>
      </w:r>
    </w:p>
    <w:p w14:paraId="6A0342B4" w14:textId="77777777" w:rsidR="00A8138F" w:rsidRDefault="00A8138F" w:rsidP="00A8138F">
      <w:pPr>
        <w:pStyle w:val="TextoNormal"/>
      </w:pPr>
    </w:p>
    <w:p w14:paraId="47AB7E2A" w14:textId="77777777" w:rsidR="00A8138F" w:rsidRDefault="00A8138F" w:rsidP="00A8138F">
      <w:pPr>
        <w:pStyle w:val="TextoNormal"/>
      </w:pPr>
      <w:r>
        <w:t>Tras referirse a las consecuencias derivadas de la posición del Senado como Cámara de segunda lectura en el procedimiento legislativo, que asume y comparte, la representación letrada del Senado sostiene que el Congreso de los Diputados no se encuentra en una posición de preeminencia sobre el Senado (art. 90.2 CE) en la declaración de urgencia de las proposiciones de ley, pues la Constitución no impone expresamente que el Senado deba seguir la urgencia declarada por el Congreso de los Diputados en la tramitación de aquellas. Por lo tanto, la reforma del art. 133 RS se ha llevado a cabo al amparo de los arts. 72.1 y 89 CE, con el fin de prever la tramitación urgente de las proposiciones de ley en el Senado, atribuyendo a la mesa de la Cámara la facultad de decidir dicha tramitación. El no reconocimiento de esa facultad al Congreso de los Diputados y al Gobierno se justifica, en el primer caso, en el respeto recíproco a la autonomía de cada Cámara; y, en el segundo, en que se trata de una iniciativa sobre la que el Gobierno carece de cualquier tipo de disposición, a excepción de la facultad de veto presupuestario. El tenor del art. 133.2 RS —finaliza su argumentación— en modo alguno quiebra la posición constitucional del Senado en la función legislativa.</w:t>
      </w:r>
    </w:p>
    <w:p w14:paraId="2C966B1A" w14:textId="77777777" w:rsidR="00A8138F" w:rsidRDefault="00A8138F" w:rsidP="00A8138F">
      <w:pPr>
        <w:pStyle w:val="TextoNormal"/>
      </w:pPr>
    </w:p>
    <w:p w14:paraId="59286963" w14:textId="31B007DF" w:rsidR="00A8138F" w:rsidRDefault="00A8138F" w:rsidP="00A8138F">
      <w:pPr>
        <w:pStyle w:val="TextoNormal"/>
      </w:pPr>
      <w:r>
        <w:t>Por su parte, el abogado del Estado también mantiene que este tribunal se ha pronunciado sobre el alcance del concepto “proyecto” del art. 90.3 CE en la citada STC 97/2002, en el sentido de que dicho término abarca no solo los proyectos de ley, sino también las proposiciones de ley, por lo que considera, en consecuencia, que el art. 133.2 RS, al atribuir únicamente a la mesa del Senado la facultad de decidir sobre la declaración de urgencia de las proposiciones de ley a los efectos de su tramitación en esta Cámara vulnera el citado precepto constitucional. En su opinión, el art. 90 CE se refiere, en sus distintos apartados, tanto a los proyectos como a las proposiciones de ley, pues, de lo contrario, habría que entender que el constituyente ha pretendido excluir las proposiciones de ley declaradas urgentes por el Congreso de los Diputados de su tramitación en el Senado, impidiendo a esta Cámara el ejercicio de las funciones legislativas que le atribuye la Constitución, conclusión que no estima de recibo. Nuestro sistema bicameral —termina— se caracteriza por la preeminencia del Congreso de los Diputados frente al Senado en el desempeño de la función legislativa, de modo que, dado el carácter de principio hermenéutico de esta preeminencia en la interpretación de los preceptos constitucionales, resulta contraria a la Constitución cualquier reforma reglamentaria del procedimiento legislativo que la deje sin efecto, como sucede con el art. 133.2 RS.</w:t>
      </w:r>
    </w:p>
    <w:p w14:paraId="0707F751" w14:textId="77777777" w:rsidR="00A8138F" w:rsidRDefault="00A8138F" w:rsidP="00A8138F">
      <w:pPr>
        <w:pStyle w:val="TextoNormal"/>
      </w:pPr>
    </w:p>
    <w:p w14:paraId="68F8C35C" w14:textId="77777777" w:rsidR="00A8138F" w:rsidRDefault="00A8138F" w:rsidP="00A8138F">
      <w:pPr>
        <w:pStyle w:val="TextoNormal"/>
      </w:pPr>
      <w:r w:rsidRPr="00A8138F">
        <w:rPr>
          <w:rStyle w:val="NumeroAFNegritaCaracter"/>
        </w:rPr>
        <w:t>8</w:t>
      </w:r>
      <w:r>
        <w:t xml:space="preserve">. </w:t>
      </w:r>
      <w:r w:rsidRPr="00A8138F">
        <w:rPr>
          <w:i/>
        </w:rPr>
        <w:t>Los pronunciamientos de este tribunal sobre el art. 90 CE</w:t>
      </w:r>
    </w:p>
    <w:p w14:paraId="79EA7ABD" w14:textId="77777777" w:rsidR="00A8138F" w:rsidRDefault="00A8138F" w:rsidP="00A8138F">
      <w:pPr>
        <w:pStyle w:val="TextoNormal"/>
      </w:pPr>
    </w:p>
    <w:p w14:paraId="36299FF3" w14:textId="77777777" w:rsidR="00A8138F" w:rsidRDefault="00A8138F" w:rsidP="00A8138F">
      <w:pPr>
        <w:pStyle w:val="TextoNormal"/>
      </w:pPr>
      <w:r>
        <w:t>Descartado en los anteriores fundamentos jurídicos que el uso anfibológico, en unos casos, y preciso, en otros, de las expresiones “proyecto” y “proyectos” en el texto constitucional y que los trabajos parlamentarios de elaboración del art. 90 CE puedan por sí mismos constituir elementos hermenéuticos concluyentes y decisivos del sentido y alcance de las citadas expresiones del art. 90.3 CE, su significado ha de indagarse a partir de una consideración en conjunto de los distintos apartados del art. 90 CE y, a continuación, de una inter</w:t>
      </w:r>
      <w:r>
        <w:lastRenderedPageBreak/>
        <w:t>pretación sistemática de este precepto con el resto de las previsiones constitucionales que diseñan y regulan los elementos nucleares del procedimiento legislativo de las Cortes Generales y la posición en su seno de cada una de las Cámaras que las integran. No obstante, sendas precisiones deben anteceder a esta tarea.</w:t>
      </w:r>
    </w:p>
    <w:p w14:paraId="2E8D16A8" w14:textId="77777777" w:rsidR="00A8138F" w:rsidRDefault="00A8138F" w:rsidP="00A8138F">
      <w:pPr>
        <w:pStyle w:val="TextoNormal"/>
      </w:pPr>
    </w:p>
    <w:p w14:paraId="6BD47E33" w14:textId="77777777" w:rsidR="00A8138F" w:rsidRDefault="00A8138F" w:rsidP="00A8138F">
      <w:pPr>
        <w:pStyle w:val="TextoNormal"/>
      </w:pPr>
      <w:r>
        <w:t>Dos resoluciones de este tribunal han versado sobre el art. 90 CE y han tenido por objeto la interpretación de dos de sus apartados. La primera, la STC 234/2000, que resolvió un conflicto entre órganos constitucionales promovido por el Gobierno en relación con el Senado, en la que se abordó y el tribunal se pronunció sobre la existencia de posibles límites temporales a la declaración de urgencia de un proyecto de ley por el Gobierno en uso de la facultad que le confiere el art. 90.3 CE. La letrada que actúa en representación del Senado trae a colación en sus alegaciones la expresa referencia en esta sentencia a los proyectos de ley para sustentar su postura respecto al alcance que postula del término “proyectos” del citado precepto constitucional. Abstracción hecha de la reproducción que se efectúa de ciertos pasajes de esta sentencia, en ella no se afronta idéntica cuestión a la controvertida en este recurso de inconstitucionalidad, porque ningún debate se suscitó entonces entre las partes del conflicto constitucional sobre el significado de aquel término, ya que su objeto versó exclusivamente sobre el alcance temporal de la facultad de la declaración de urgencia por el Gobierno de un proyecto de ley y, precisamente, por tratarse de este tipo de iniciativa, la sentencia, constriñéndose al objeto del proceso constitucional, se refiere expresamente en ocasiones a los proyectos de ley como iniciativa gubernamental.</w:t>
      </w:r>
    </w:p>
    <w:p w14:paraId="0E4220AB" w14:textId="77777777" w:rsidR="00A8138F" w:rsidRDefault="00A8138F" w:rsidP="00A8138F">
      <w:pPr>
        <w:pStyle w:val="TextoNormal"/>
      </w:pPr>
    </w:p>
    <w:p w14:paraId="13B57375" w14:textId="77777777" w:rsidR="00A8138F" w:rsidRDefault="00A8138F" w:rsidP="00A8138F">
      <w:pPr>
        <w:pStyle w:val="TextoNormal"/>
      </w:pPr>
      <w:r>
        <w:t xml:space="preserve">La segunda, la STC 97/2002, FFJJ 2 a 5, se pronunció sobre el art. 90.2 CE y, en concreto, sobre los posibles supuestos de discrepancia del Senado con el texto remitido por el Congreso de los Diputados que pueden dar lugar a una nueva lectura del texto legislativo por parte de esta Cámara. En los fundamentos jurídicos en los que se aborda la cuestión debatida este tribunal dijo, en referencia al art. 90 CE, como los recurrentes y el abogado del Estado invocan, lo siguiente: “precepto este aplicable no solo a los proyectos de ley, sino también a las proposiciones de ley, pues aunque la Comisión Mixta suprimió la referencia a éstas en la redacción definitiva que dio al texto, la evidente semejanza de ambas figuras pone de relieve la identidad de razón para su régimen jurídico”. Pronunciamiento motivado sin duda porque la iniciativa legislativa había tenido su origen en esa ocasión en una proposición de ley, pero que, como dice la representación letrada del Senado, se ha dictado en un supuesto en el que la cuestión controvertida giró en torno a las facultades legisladoras del Senado </w:t>
      </w:r>
      <w:r w:rsidRPr="00A8138F">
        <w:rPr>
          <w:i/>
        </w:rPr>
        <w:t>ex</w:t>
      </w:r>
      <w:r>
        <w:t xml:space="preserve"> art. 90.2 CE, no habiendo sido, además, objeto de disputa por las partes personadas en el proceso, incluidas las representaciones del Congreso de los Diputados y del Senado, el alcance del término “proyecto” del art. 90.2 CE, esto es, si éste comprendía solo las iniciativas legislativas de procedencia gubernamental o abarcaba también las de procedencia parlamentaria y popular. La singularidad del supuesto abordado en la citada sentencia, el contexto en el que este tribunal hizo aquella declaración y su laconismo y los expresos y directos términos en los que las partes en este proceso constitucional controvierten el alcance de los términos “proyecto” y “proyectos” del art. 90.3 CE, aconsejan en esta ocasión un enjuiciamiento explícito de la cuestión constitucional planteada que no puede considerarse suficientemente despejada con la mera remisión a la declaración de la citada STC 97/2002.</w:t>
      </w:r>
    </w:p>
    <w:p w14:paraId="303C929D" w14:textId="77777777" w:rsidR="00A8138F" w:rsidRDefault="00A8138F" w:rsidP="00A8138F">
      <w:pPr>
        <w:pStyle w:val="TextoNormal"/>
      </w:pPr>
    </w:p>
    <w:p w14:paraId="51280D03" w14:textId="10856E16" w:rsidR="00A8138F" w:rsidRDefault="00A8138F" w:rsidP="00A8138F">
      <w:pPr>
        <w:pStyle w:val="TextoNormal"/>
      </w:pPr>
      <w:r>
        <w:t xml:space="preserve">Y, en fin, no otra cosa puede decirse en relación con las resoluciones de este tribunal en las que, lejos de constituir su objeto la cuestión que hemos de afrontar en este proceso constitucional, se utiliza en sentido propio los términos proyectos y proposiciones de ley o se </w:t>
      </w:r>
      <w:r>
        <w:lastRenderedPageBreak/>
        <w:t xml:space="preserve">emplean expresiones que abarcan ambos tipos de iniciativa, como la de textos legislativos, sin que en ningún caso constituyan la </w:t>
      </w:r>
      <w:r w:rsidRPr="00A8138F">
        <w:rPr>
          <w:i/>
        </w:rPr>
        <w:t>ratio decidendi</w:t>
      </w:r>
      <w:r>
        <w:t xml:space="preserve"> de dichas resoluciones, al abordarse en ellas otras facetas del procedimiento legislativo y de la posición en este de cada una de las Cámaras [así, por ejemplo, SSTC 110/2011, de 22 de junio, FJ 6; 136/2011, de 13 de septiembre, FJ 6, y 167/2023, de 22 de noviembre, FJ 5 a)].</w:t>
      </w:r>
    </w:p>
    <w:p w14:paraId="5E3A5D53" w14:textId="77777777" w:rsidR="00A8138F" w:rsidRDefault="00A8138F" w:rsidP="00A8138F">
      <w:pPr>
        <w:pStyle w:val="TextoNormal"/>
      </w:pPr>
    </w:p>
    <w:p w14:paraId="7F13A03A" w14:textId="77777777" w:rsidR="00A8138F" w:rsidRDefault="00A8138F" w:rsidP="00A8138F">
      <w:pPr>
        <w:pStyle w:val="TextoNormal"/>
      </w:pPr>
      <w:r w:rsidRPr="00A8138F">
        <w:rPr>
          <w:rStyle w:val="NumeroAFNegritaCaracter"/>
        </w:rPr>
        <w:t>9</w:t>
      </w:r>
      <w:r>
        <w:t xml:space="preserve">. </w:t>
      </w:r>
      <w:r w:rsidRPr="00A8138F">
        <w:rPr>
          <w:i/>
        </w:rPr>
        <w:t>El modelo bicameral diseñado por la Constitución en el ejercicio de la función legislativa</w:t>
      </w:r>
    </w:p>
    <w:p w14:paraId="4AA5402F" w14:textId="77777777" w:rsidR="00A8138F" w:rsidRDefault="00A8138F" w:rsidP="00A8138F">
      <w:pPr>
        <w:pStyle w:val="TextoNormal"/>
      </w:pPr>
    </w:p>
    <w:p w14:paraId="69AE7C9A" w14:textId="77777777" w:rsidR="00A8138F" w:rsidRDefault="00A8138F" w:rsidP="00A8138F">
      <w:pPr>
        <w:pStyle w:val="TextoNormal"/>
      </w:pPr>
      <w:r>
        <w:t>a) En una consideración conjunta de los apartados que integran el art. 90 CE, las expresiones “proyecto” y “proyectos” que utiliza su apartado tercero, y no la de “proyectos de ley” (</w:t>
      </w:r>
      <w:r w:rsidRPr="00A8138F">
        <w:rPr>
          <w:i/>
        </w:rPr>
        <w:t>sic</w:t>
      </w:r>
      <w:r>
        <w:t>) como transcribe la letrada del Senado en sus alegaciones, al igual que la de “proyecto” de su apartado segundo, tienen como referente la antecedente locución “[a]probado un proyecto de ley ordinaria u orgánica por el Congreso de los Diputados” de su apartado primero. De modo que el alcance y el significado de esta locución ha de determinar también los de las expresiones “proyecto” y “proyectos” de sus apartados segundo y tercero. En otras palabras, el “proyecto” y/o los “proyectos” del art. 90.2 y 3 CE no son ni pueden ser otros que el “proyecto de ley ordinaria y orgánica” del que habla el art. 90.1 CE. Y el sentido de esta locución no puede ser desentrañado sino a partir de una interpretación sistemática de las previsiones constitucionales sobre el procedimiento legislativo y la posición en su seno de cada una de las Cámaras que integran las Cortes Generales.</w:t>
      </w:r>
    </w:p>
    <w:p w14:paraId="1CDA3B38" w14:textId="77777777" w:rsidR="00A8138F" w:rsidRDefault="00A8138F" w:rsidP="00A8138F">
      <w:pPr>
        <w:pStyle w:val="TextoNormal"/>
      </w:pPr>
    </w:p>
    <w:p w14:paraId="7304DB60" w14:textId="77777777" w:rsidR="00A8138F" w:rsidRDefault="00A8138F" w:rsidP="00A8138F">
      <w:pPr>
        <w:pStyle w:val="TextoNormal"/>
      </w:pPr>
      <w:r>
        <w:t>b) El art. 66 CE, con el que comienza el capítulo primero, bajo la denominación “De las Cámaras”, de su título III, que tiene por rúbrica “De las Cortes Generales”, residencia en estas la potestad legislativa del Estado (art. 66.2 CE). Hemos declarado respecto a esta previsión constitucional que dicha potestad “se ejerce por cada una de las cámaras que las integran, esto es, el Congreso de los Diputados y el Senado, en la forma y con la extensión que el propio texto constitucional determina en el capítulo II” [SSTC 234/2000, de 3 de octubre, FJ 13, y 167/2023, de 22 de noviembre, FJ 5 a)].</w:t>
      </w:r>
    </w:p>
    <w:p w14:paraId="4E61B8F1" w14:textId="77777777" w:rsidR="00A8138F" w:rsidRDefault="00A8138F" w:rsidP="00A8138F">
      <w:pPr>
        <w:pStyle w:val="TextoNormal"/>
      </w:pPr>
    </w:p>
    <w:p w14:paraId="64113193" w14:textId="77777777" w:rsidR="00A8138F" w:rsidRDefault="00A8138F" w:rsidP="00A8138F">
      <w:pPr>
        <w:pStyle w:val="TextoNormal"/>
      </w:pPr>
      <w:r>
        <w:t>En este capítulo, titulado “De la elaboración de las leyes”, con la salvedad de la posibilidad de delegación legislativa en las Comisiones Legislativas Permanentes que se contempla en el art. 75 CE que integra el capítulo I, se regulan las líneas fundamentales o hitos básicos del procedimiento legislativo de las Cortes Generales, entendida esta expresión en sentido amplio, esto es, “como el conjunto de actos o actividades que conducen a la creación de la ley, desde la iniciativa que pone en marcha el procedimiento hasta la publicación de la misma” (STC 234/2000, de 3 de octubre, FJ 10).</w:t>
      </w:r>
    </w:p>
    <w:p w14:paraId="791BAC6E" w14:textId="77777777" w:rsidR="00A8138F" w:rsidRDefault="00A8138F" w:rsidP="00A8138F">
      <w:pPr>
        <w:pStyle w:val="TextoNormal"/>
      </w:pPr>
    </w:p>
    <w:p w14:paraId="75C71984" w14:textId="77777777" w:rsidR="00A8138F" w:rsidRDefault="00A8138F" w:rsidP="00A8138F">
      <w:pPr>
        <w:pStyle w:val="TextoNormal"/>
      </w:pPr>
      <w:r>
        <w:t>El citado capítulo II comienza con la dedicación de un precepto a la ley orgánica, definiendo las posibles materias objeto de esta fuente y la mayoría requerida para su aprobación por el Congreso de los Diputados (art. 81); regula a continuación las figuras normativas gubernamentales de los decretos-leyes y los decretos legislativos (arts. 82 a 86); para seguidamente abordar las líneas fundamentales o hitos básicos del procedimiento legislativo (arts. 87 a 91); y concluir con la previsión del referéndum consultivo (art. 92 CE).</w:t>
      </w:r>
    </w:p>
    <w:p w14:paraId="6E3A1E51" w14:textId="77777777" w:rsidR="00A8138F" w:rsidRDefault="00A8138F" w:rsidP="00A8138F">
      <w:pPr>
        <w:pStyle w:val="TextoNormal"/>
      </w:pPr>
    </w:p>
    <w:p w14:paraId="7924F363" w14:textId="77777777" w:rsidR="00A8138F" w:rsidRDefault="00A8138F" w:rsidP="00A8138F">
      <w:pPr>
        <w:pStyle w:val="TextoNormal"/>
      </w:pPr>
      <w:r>
        <w:t xml:space="preserve">A los efectos que a este recurso interesan, los arts. 87 a 89 CE regulan la iniciativa legislativa. El primero de los preceptos la atribuye, en su primer apartado, al Gobierno, al Congreso y al Senado, de acuerdo con la Constitución y los reglamentos de las Cámaras (art. </w:t>
      </w:r>
      <w:r>
        <w:lastRenderedPageBreak/>
        <w:t>87.1 CE). Su apartado segundo confiere a las asambleas legislativas de las comunidades autónomas la facultad de solicitar del Gobierno la adopción de un proyecto de ley o de remitir a la mesa del Congreso una proposición de ley (art. 87.2 CE). Y su último apartado se refiere a la iniciativa legislativa popular para la presentación de proposiciones de ley, cuya regulación, con sujeción a las previsiones constitucionales contenidas en el precepto, se remite a una ley orgánica (art. 87.3 CE).</w:t>
      </w:r>
    </w:p>
    <w:p w14:paraId="447E190F" w14:textId="77777777" w:rsidR="00A8138F" w:rsidRDefault="00A8138F" w:rsidP="00A8138F">
      <w:pPr>
        <w:pStyle w:val="TextoNormal"/>
      </w:pPr>
    </w:p>
    <w:p w14:paraId="6398CDE7" w14:textId="77777777" w:rsidR="00A8138F" w:rsidRDefault="00A8138F" w:rsidP="00A8138F">
      <w:pPr>
        <w:pStyle w:val="TextoNormal"/>
      </w:pPr>
      <w:r>
        <w:t>Por su parte, precisando el contenido del art. 87.1 CE, el art. 88 CE contempla la iniciativa legislativa gubernamental, que se ejerce mediante proyectos de ley aprobados por el Consejo de ministros, que se someterán al Congreso de los Diputados, acompañados de una exposición de motivos y de los antecedentes necesarios para pronunciarse sobre ellos.</w:t>
      </w:r>
    </w:p>
    <w:p w14:paraId="00BF61F9" w14:textId="77777777" w:rsidR="00A8138F" w:rsidRDefault="00A8138F" w:rsidP="00A8138F">
      <w:pPr>
        <w:pStyle w:val="TextoNormal"/>
      </w:pPr>
    </w:p>
    <w:p w14:paraId="30E624ED" w14:textId="77777777" w:rsidR="00A8138F" w:rsidRDefault="00A8138F" w:rsidP="00A8138F">
      <w:pPr>
        <w:pStyle w:val="TextoNormal"/>
      </w:pPr>
      <w:r>
        <w:t>Y, el último de los preceptos dedicados a la iniciativa legislativa (art. 89 CE), que tiene por objeto las proposiciones de ley, encomienda la regulación de su tramitación a los reglamentos de las Cámaras, sin que la prioridad debida a los proyectos de ley impida el ejercicio de la iniciativa legislativa en los términos previstos en el art. 87 CE. Se cierra el precepto con un apartado en el que se establece que las proposiciones de ley que tome en consideración el Senado se han de remitir al Congreso de los Diputados para su trámite como tal proposición (art. 89.2 CE).</w:t>
      </w:r>
    </w:p>
    <w:p w14:paraId="50055652" w14:textId="77777777" w:rsidR="00A8138F" w:rsidRDefault="00A8138F" w:rsidP="00A8138F">
      <w:pPr>
        <w:pStyle w:val="TextoNormal"/>
      </w:pPr>
    </w:p>
    <w:p w14:paraId="52B7F68C" w14:textId="77777777" w:rsidR="00A8138F" w:rsidRDefault="00A8138F" w:rsidP="00A8138F">
      <w:pPr>
        <w:pStyle w:val="TextoNormal"/>
      </w:pPr>
      <w:r>
        <w:t>Por su parte, el art. 90 CE diseña los elementos constitucionales de la denominada fase central o constitutiva del procedimiento legislativo. Su primer apartado dispone que “[a]probado un proyecto de ley ordinaria u orgánica por el Congreso de los Diputados, su presidente dará inmediata cuenta del mismo al presidente del Senado, el cual lo someterá a la deliberación de este” (art. 90.1 CE).</w:t>
      </w:r>
    </w:p>
    <w:p w14:paraId="47EF5A99" w14:textId="77777777" w:rsidR="00A8138F" w:rsidRDefault="00A8138F" w:rsidP="00A8138F">
      <w:pPr>
        <w:pStyle w:val="TextoNormal"/>
      </w:pPr>
    </w:p>
    <w:p w14:paraId="1C6FCE4A" w14:textId="77777777" w:rsidR="00A8138F" w:rsidRDefault="00A8138F" w:rsidP="00A8138F">
      <w:pPr>
        <w:pStyle w:val="TextoNormal"/>
      </w:pPr>
      <w:r>
        <w:t>El art. 90.2 CE regula la intervención o las facultades legislativas del Senado en el procedimiento legislativo y la resolución de las discrepancias que pudieran existir, en su caso, entre ambas Cámaras. Dicha intervención o facultades devienen limitadas material y temporalmente. Materialmente, porque las únicas discrepancias que puede adoptar el Senado con respecto al texto remitido por el Congreso y que imponen a la Cámara baja una nueva lectura de este son la oposición de veto, por mayoría absoluta, o la introducción de enmiendas, requiriéndose en uno y otro caso que la decisión se adopte mediante mensaje motivado. Como hemos dicho en la STC 97/2002 “es el art. 90.2 CE el que concreta el sentido de la capacidad colegisladora del Senado prevista en el art. 66.2 CE” y el que especifica “los concretos supuestos de discrepancia del Senado que dan lugar a la ulterior lectura en el Congreso” del texto inicialmente remitido [FJ 5; en el mismo sentido, STC 167/2023, de 22 de noviembre, FJ 5 a)]. Temporalmente, el Senado cuenta para el ejercicio de sus facultades legislativas con un plazo de dos meses, computado a partir del día de la recepción del texto remitido por el Congreso de los Diputados. De otra parte, para la resolución de las posibles discrepancias del Senado con el texto remitido por el Congreso, que deben expresarse, como ya se ha señalado, mediante la oposición de veto o la aprobación de enmiendas, se prevé que el texto legislativo no puede ser sometido a sanción real sin que el Congreso ratifique por mayoría absoluta, en caso de veto, el texto inicial, o, por mayoría simple, una vez transcurridos dos meses desde su interposición, o se pronuncie sobre las enmiendas aceptándolas o no por mayoría simple.</w:t>
      </w:r>
    </w:p>
    <w:p w14:paraId="0B8B5BBE" w14:textId="77777777" w:rsidR="00A8138F" w:rsidRDefault="00A8138F" w:rsidP="00A8138F">
      <w:pPr>
        <w:pStyle w:val="TextoNormal"/>
      </w:pPr>
    </w:p>
    <w:p w14:paraId="3C51090A" w14:textId="77777777" w:rsidR="00A8138F" w:rsidRDefault="00A8138F" w:rsidP="00A8138F">
      <w:pPr>
        <w:pStyle w:val="TextoNormal"/>
      </w:pPr>
      <w:r>
        <w:lastRenderedPageBreak/>
        <w:t>Concluye el citado precepto constitucional con una regla de reducción de plazos, que disminuye el plazo ordinario de dos meses del que dispone el Senado para el ejercicio de sus facultades legislativas al de veinte días naturales en el caso de los proyectos declarados urgentes por el Gobierno o por el Congreso de los Diputados (art. 90.3).</w:t>
      </w:r>
    </w:p>
    <w:p w14:paraId="73FBFA37" w14:textId="77777777" w:rsidR="00A8138F" w:rsidRDefault="00A8138F" w:rsidP="00A8138F">
      <w:pPr>
        <w:pStyle w:val="TextoNormal"/>
      </w:pPr>
    </w:p>
    <w:p w14:paraId="31FB3D5E" w14:textId="77777777" w:rsidR="00A8138F" w:rsidRDefault="00A8138F" w:rsidP="00A8138F">
      <w:pPr>
        <w:pStyle w:val="TextoNormal"/>
      </w:pPr>
      <w:r>
        <w:t>Y, en fin, el art. 91 CE, último precepto dedicado al procedimiento legislativo, que tiene por objeto la sanción, promulgación y publicación de las leyes, establece que “[e]l Rey sancionará en el plazo de quince días las leyes aprobadas por las Cortes Generales, y las promulgará y ordenará su inmediata publicación”.</w:t>
      </w:r>
    </w:p>
    <w:p w14:paraId="3014FB58" w14:textId="77777777" w:rsidR="00A8138F" w:rsidRDefault="00A8138F" w:rsidP="00A8138F">
      <w:pPr>
        <w:pStyle w:val="TextoNormal"/>
      </w:pPr>
    </w:p>
    <w:p w14:paraId="6E878583" w14:textId="77777777" w:rsidR="00A8138F" w:rsidRDefault="00A8138F" w:rsidP="00A8138F">
      <w:pPr>
        <w:pStyle w:val="TextoNormal"/>
      </w:pPr>
      <w:r>
        <w:t>c) Los preceptos constitucionales reseñados plasman la diferente posición que ocupan el Congreso de los Diputados y el Senado en el procedimiento legislativo ordinario, así como definen las relaciones entre una y otra Cámara en el ejercicio de la potestad legislativa que el art. 66.2 CE residencia en la Cortes Generales. Configuran, en definitiva, el modelo bicameral adoptado por la Constitución en el ejercicio de esta potestad, que hemos definido como de “notorio bicameralismo imperfecto”, dada la preeminencia del Congreso de los Diputados sobre el Senado, que actúa como Cámara de segunda lectura (SSTC 234/2000, de 3 de octubre, FJ 8; 134/2001, de 13 de junio, FJ 4; 136/2001, de 18 de junio, FJ 5; 155/2005, de 9 de junio, FJ 9, y 119/2011, de 5 de julio, FFJJ 6 y 7).</w:t>
      </w:r>
    </w:p>
    <w:p w14:paraId="5D6A742A" w14:textId="77777777" w:rsidR="00A8138F" w:rsidRDefault="00A8138F" w:rsidP="00A8138F">
      <w:pPr>
        <w:pStyle w:val="TextoNormal"/>
      </w:pPr>
    </w:p>
    <w:p w14:paraId="384A72D4" w14:textId="77777777" w:rsidR="00A8138F" w:rsidRDefault="00A8138F" w:rsidP="00A8138F">
      <w:pPr>
        <w:pStyle w:val="TextoNormal"/>
      </w:pPr>
      <w:r>
        <w:t>Esa posición preeminente del Congreso de los Diputados en el procedimiento legislativo viene determinada, entre otras previsiones constitucionales, porque, en primer lugar, es la Cámara en la que se inicia la tramitación de todas las iniciativas legislativas, trátese de proyectos o proposiciones de ley, incluidas las de origen senatorial (arts. 87.1, 88, 89.2 CE y Ley Orgánica 3/1984, de 26 de marzo, reguladora de la iniciativa legislativa popular), con las salvedades previstas en el art. 74.2 CE. Por lo tanto, el Congreso de los Diputados es la Cámara que examina y se pronuncia en primer lugar sobre las propuestas legislativas, sean resultado del ejercicio de la iniciativa legislativa gubernamental, parlamentaria o popular, y, consiguientemente, quien remite los textos aprobados al Senado para someterlos a su deliberación, para lo que éste dispone, en principio, de un plazo de dos meses, cuyo cómputo se inicia a partir del día de la recepción del texto en la Cámara Alta (art. 90.2 CE). Existe, por consiguiente, con las salvedades apuntadas, una prioridad temporal del Congreso de los Diputados en el desarrollo del procedimiento legislativo, que se traduce en el examen, pronunciamiento y aprobación iniciales de todas las iniciativas legislativas, con independencia de su procedencia y materia.</w:t>
      </w:r>
    </w:p>
    <w:p w14:paraId="507A4AF9" w14:textId="77777777" w:rsidR="00A8138F" w:rsidRDefault="00A8138F" w:rsidP="00A8138F">
      <w:pPr>
        <w:pStyle w:val="TextoNormal"/>
      </w:pPr>
    </w:p>
    <w:p w14:paraId="24E5414F" w14:textId="77777777" w:rsidR="00A8138F" w:rsidRDefault="00A8138F" w:rsidP="00A8138F">
      <w:pPr>
        <w:pStyle w:val="TextoNormal"/>
      </w:pPr>
      <w:r>
        <w:t>En segundo lugar, ese predominio de la Cámara baja en el procedimiento legislativo se refleja también en la previsión relativa a la solución de las discrepancias que puedan existir entre ambas Cámaras, pues al Congreso corresponde, satisfaciendo los requisitos constitucionales establecidos, la decisión final y prevalente, debiendo resaltarse que, en el supuesto de oposición de veto por parte del Senado, ni siquiera llega a pronunciarse sobre éste, sino que lo hace sobre el texto inicial por él aprobado (art. 90.2 CE).</w:t>
      </w:r>
    </w:p>
    <w:p w14:paraId="4FD8769F" w14:textId="77777777" w:rsidR="00A8138F" w:rsidRDefault="00A8138F" w:rsidP="00A8138F">
      <w:pPr>
        <w:pStyle w:val="TextoNormal"/>
      </w:pPr>
    </w:p>
    <w:p w14:paraId="466AFFFB" w14:textId="77777777" w:rsidR="00A8138F" w:rsidRDefault="00A8138F" w:rsidP="00A8138F">
      <w:pPr>
        <w:pStyle w:val="TextoNormal"/>
      </w:pPr>
      <w:r>
        <w:t>En fin, también constituye una manifestación de esa posición de preponderancia el carácter vinculante que la decisión del Congreso de los Diputados de declarar urgente la tramitación de proyectos tiene para el Senado, con el consiguiente efecto de reducir a veinte días naturales el plazo para el ejercicio de sus facultades legislativas (art. 90.3 CE).</w:t>
      </w:r>
    </w:p>
    <w:p w14:paraId="057FD0C4" w14:textId="77777777" w:rsidR="00A8138F" w:rsidRDefault="00A8138F" w:rsidP="00A8138F">
      <w:pPr>
        <w:pStyle w:val="TextoNormal"/>
      </w:pPr>
    </w:p>
    <w:p w14:paraId="2938D182" w14:textId="3A2234FB" w:rsidR="00A8138F" w:rsidRDefault="00A8138F" w:rsidP="00A8138F">
      <w:pPr>
        <w:pStyle w:val="TextoNormal"/>
      </w:pPr>
      <w:r>
        <w:lastRenderedPageBreak/>
        <w:t>Por su parte, la posición del Senado en el procedimiento legislativo ordinario viene determinada, en primer lugar, porque únicamente se someten a su deliberación los textos que hayan sido aprobados por el Congreso de los Diputados, de modo que la decisión congresual de aprobación del texto legislativo es condición necesaria para que pueda iniciarse su tramitación en el Senado, en otras palabras, para que esta Cámara pueda ejercer las facultades legislativas constitucionalmente conferidas. Esto es así incluso en relación con las proposiciones de ley de origen senatorial, que si bien han de ser previamente tomadas en consideración por el Senado, han de ser remitidas al Congreso para su tramitación como proposición de ley (art. 89.2 CE).En segundo lugar, la posición del Senado en el procedimiento legislativo viene determinada por la limitación material de sus facultades legislativas y el condicionamiento temporal de su ejercicio, ya antes referidos; y, en fin, por carecer de facultad decisoria alguna en la resolución de las controversias o diferencias que puedan surgir entre ambas Cámaras en relación con el texto inicialmente remitido por el Congreso de los Diputados.</w:t>
      </w:r>
    </w:p>
    <w:p w14:paraId="2AB08DD6" w14:textId="77777777" w:rsidR="00A8138F" w:rsidRDefault="00A8138F" w:rsidP="00A8138F">
      <w:pPr>
        <w:pStyle w:val="TextoNormal"/>
      </w:pPr>
    </w:p>
    <w:p w14:paraId="3C95849D" w14:textId="77777777" w:rsidR="00A8138F" w:rsidRDefault="00A8138F" w:rsidP="00A8138F">
      <w:pPr>
        <w:pStyle w:val="TextoNormal"/>
      </w:pPr>
      <w:r w:rsidRPr="00A8138F">
        <w:rPr>
          <w:rStyle w:val="NumeroAFNegritaCaracter"/>
        </w:rPr>
        <w:t>10</w:t>
      </w:r>
      <w:r>
        <w:t xml:space="preserve">. </w:t>
      </w:r>
      <w:r w:rsidRPr="00A8138F">
        <w:rPr>
          <w:i/>
        </w:rPr>
        <w:t>Alcance y significado de las expresiones “proyecto” y “proyectos” del art. 90 CE</w:t>
      </w:r>
    </w:p>
    <w:p w14:paraId="4AE3050D" w14:textId="77777777" w:rsidR="00A8138F" w:rsidRDefault="00A8138F" w:rsidP="00A8138F">
      <w:pPr>
        <w:pStyle w:val="TextoNormal"/>
      </w:pPr>
    </w:p>
    <w:p w14:paraId="673E1273" w14:textId="77777777" w:rsidR="00A8138F" w:rsidRDefault="00A8138F" w:rsidP="00A8138F">
      <w:pPr>
        <w:pStyle w:val="TextoNormal"/>
      </w:pPr>
      <w:r>
        <w:t>a) Una interpretación sistemática del art. 90 CE y, en particular, de la locución de su apartado primero “proyecto de ley ordinaria u orgánica” aprobado por el Congreso de los Diputados —que constituye el referente de las expresiones “proyecto” y “proyectos” de sus apartados segundo y tercero—, con las previsiones constitucionales que definen las líneas fundamentales o los hitos básicos del procedimiento legislativo y la posición en éste de cada una de las Cámaras que integran las Cortes Generales, conduce a concluir que el significado de aquella locución, teniendo en cuenta, en primer término, los preceptos constitucionales que confieren al Congreso la prioridad temporal en el ejercicio de la función legislativa, al atribuirle el examen, el pronunciamiento y la aprobación iniciales de todos los textos legislativos, al margen del tipo de iniciativa legislativa de procedencia, para poder ser sometidos a deliberación en el Senado, ha de entenderse referida no son solo a los proyectos legislativos que puedan tener su origen en el ejercicio de la iniciativa gubernamental, sino en cualquier tipo de iniciativa, es decir, incluidas las de origen parlamentario y popular. En otras palabras, dicha locución abarca todos los textos legislativos inicialmente examinados y aprobados por el Congreso de los Diputados, sea cual sea el tipo de iniciativa legislativa de la que procedan.</w:t>
      </w:r>
    </w:p>
    <w:p w14:paraId="41CB0D4E" w14:textId="77777777" w:rsidR="00A8138F" w:rsidRDefault="00A8138F" w:rsidP="00A8138F">
      <w:pPr>
        <w:pStyle w:val="TextoNormal"/>
      </w:pPr>
    </w:p>
    <w:p w14:paraId="76539725" w14:textId="77777777" w:rsidR="00A8138F" w:rsidRDefault="00A8138F" w:rsidP="00A8138F">
      <w:pPr>
        <w:pStyle w:val="TextoNormal"/>
      </w:pPr>
      <w:r>
        <w:t xml:space="preserve">La interpretación contraria, como la que se postula en la exposición de motivos de la reforma del Reglamento impugnada, que contrae el sentido de la expresión “proyecto de ley ordinaria u orgánica” aprobada por el Congreso de los Diputados del art. 90.1 CE a los proyectos de ley en sentido estricto, esto es, a aquellos textos legislativos que tienen su origen en el ejercicio de la iniciativa legislativa gubernamental, supondría tanto como admitir la inexistencia de una previsión constitucional que imponga al Congreso de los Diputados el deber de remitir al Senado para su deliberación los textos legislativos aprobados que procedan de proposiciones de ley, lo que podría determinar la exclusión del Senado en la tramitación de estos textos, como señala el abogado del Estado o, cuanto menos, que su remisión y los condiciones y términos de esta, con la consiguiente posible incidencia en la capacidad colegisladora del Senado, quedarían al albur de la voluntad del Congreso de los Diputados plasmada, en el ejercicio de la autonomía parlamentaria, en las previsiones de su reglamento. También las relaciones entre ambas Cámaras y los mecanismos de solución de las posibles controversias que pudieran suscitarse entre ellas quedarían sometidas en estos </w:t>
      </w:r>
      <w:r>
        <w:lastRenderedPageBreak/>
        <w:t>casos a lo que se dispusiera en sus respectivos reglamentos. Ello con el inconveniente, no menor, de que estos solo “tienen virtualidad en el seno de cada una de las cámaras”, con la consiguiente disponibilidad por cada Cámara de las fases del procedimiento legislativo que se desarrollen en su propio seno, “sin que por lo tanto el de una de ellas pueda imponer a la otra un determinado itinerario en su actuación” (STC 97/2002, de 25 de abril, FJ 5; con cita STC 234/2000, de 3 de octubre, FJ 12).</w:t>
      </w:r>
    </w:p>
    <w:p w14:paraId="768711CB" w14:textId="77777777" w:rsidR="00A8138F" w:rsidRDefault="00A8138F" w:rsidP="00A8138F">
      <w:pPr>
        <w:pStyle w:val="TextoNormal"/>
      </w:pPr>
    </w:p>
    <w:p w14:paraId="769B4D98" w14:textId="77777777" w:rsidR="00A8138F" w:rsidRDefault="00A8138F" w:rsidP="00A8138F">
      <w:pPr>
        <w:pStyle w:val="TextoNormal"/>
      </w:pPr>
      <w:r>
        <w:t>Una interpretación de la locución “proyecto de ley ordinaria u orgánica” del art. 90.1 CE con el alcance expuesto, viene impuesta, ante todo, por la decisión del constituyente de conferir conjuntamente a ambas Cámaras el ejercicio de la potestad legislativa en la extensión que el texto constitucional determina respecto de cada una de ellas, así como de constitucionalizar las líneas fundamentales o hitos básicos del procedimiento legislativo y, en particular, los referidos a su fase central o constitutiva, definidos en el art. 90 CE. Como hemos dicho, este último precepto “se configura como uno de los varios preceptos constitucionales en los que se plasma la diferente posición que ocupan el Congreso de los Diputados y el Senado en el procedimiento legislativo ordinario, así como las relaciones entre una y otra Cámara en el ejercicio de la potestad legislativa que el art. 66.2 CE residencia en las Cortes Generales, todo lo cual responde, en definitiva, a la característica configuración del modelo bicameral adoptado por nuestra Constitución” (STC 234/2000, de 3 de octubre, FJ 8).</w:t>
      </w:r>
    </w:p>
    <w:p w14:paraId="7F217B90" w14:textId="77777777" w:rsidR="00A8138F" w:rsidRDefault="00A8138F" w:rsidP="00A8138F">
      <w:pPr>
        <w:pStyle w:val="TextoNormal"/>
      </w:pPr>
    </w:p>
    <w:p w14:paraId="0AD3277E" w14:textId="77777777" w:rsidR="00A8138F" w:rsidRDefault="00A8138F" w:rsidP="00A8138F">
      <w:pPr>
        <w:pStyle w:val="TextoNormal"/>
      </w:pPr>
      <w:r>
        <w:t xml:space="preserve">Dando un paso más, en lo que ahora interesa, este tribunal ha precisado que el art. 90.2 CE “concreta el sentido de la capacidad colegisladora del Senado prevista en el art. 66.2 CE” [SSTC 97/2002, de 25 de abril, FJ 4, y 167/2023, de 22 de noviembre, FJ 5 a)], sin que exista, hemos de añadir, previsión constitucional alguna que dé o pueda dar cobertura a un distinto alcance e intensidad de dicha capacidad en atención al tipo de iniciativa que se encuentre en el origen del texto legislativo remitido por el Congreso de los Diputados al Senado para su deliberación. En este sentido, la remisión que el art. 89.1 CE hace a los reglamentos de las Cámaras para regular la tramitación de las proposiciones de ley, sin necesidad de entrar ahora en otro tipo de consideraciones innecesarias al objeto del presente recurso de inconstitucionalidad, no se contrapone ni desvirtúa aquella capacidad colegisladora que por decisión del constituyente se le atribuye al Senado en el citado art. 90.2 CE y que concreta las funciones que le corresponden en el ejercicio de la potestad legislativa </w:t>
      </w:r>
      <w:r w:rsidRPr="00A8138F">
        <w:rPr>
          <w:i/>
        </w:rPr>
        <w:t>ex</w:t>
      </w:r>
      <w:r>
        <w:t xml:space="preserve"> art. 66.2 CE, sino que, por el contrario, ha de ser interpretada de conformidad con estos preceptos constitucionales. Aquella remisión menos aún faculta a los reglamentos de las Cámaras, con el limitado alcance de la disponibilidad, como hemos señalado, que de las fases del procedimiento legislativo corresponde a cada una ellas, para alterar el diseño de este procedimiento y la posición que en él ocupa cada Cámara, plasmada por decisión constituyente en el texto constitucional y, en particular, de su fase central o constitutiva, definiendo las facultades legislativas de la que una y otra son titulares.</w:t>
      </w:r>
    </w:p>
    <w:p w14:paraId="21595366" w14:textId="77777777" w:rsidR="00A8138F" w:rsidRDefault="00A8138F" w:rsidP="00A8138F">
      <w:pPr>
        <w:pStyle w:val="TextoNormal"/>
      </w:pPr>
    </w:p>
    <w:p w14:paraId="11155B9E" w14:textId="77777777" w:rsidR="00A8138F" w:rsidRDefault="00A8138F" w:rsidP="00A8138F">
      <w:pPr>
        <w:pStyle w:val="TextoNormal"/>
      </w:pPr>
      <w:r>
        <w:t xml:space="preserve">En otras palabras, la finalidad del art. 90 CE, y en este sentido ha de interpretarse el alcance de la locución “proyecto de ley ordinaria u orgánica” aprobada por el Congreso de los Diputados de su apartado primero, es la de definir las líneas esenciales de la fase central o constitutiva del procedimiento legislativo, en concreto las facultades dentro de ella de cada una de las Cámaras, sus relaciones y la resolución de las controversias que pudieran existir sobre los textos sometidos a su deliberación. Se trata, en definitiva, de una decisión constitucional cuyo elemento nuclear lo conforma la regulación de aquella fase del procedimiento </w:t>
      </w:r>
      <w:r>
        <w:lastRenderedPageBreak/>
        <w:t>legislativo, con independencia del tipo de iniciativa de la que proceda el texto legislativo, sin que el constituyente haya optado, bien directamente, pues entonces así lo hubiera hecho, bien mediante un remisión de desarrollo, que no se contempla en la Constitución, por una configuración diferenciada de esta fase del procedimiento legislativo según que el texto sometido a las Cámaras tenga su origen en una u otra clase de iniciativa legislativa, con la consiguiente incidencia en la posición de cada una de ellas en dicho procedimiento. Así pues, a la remisión contenida en el art. 89.1 CE no puede conferírsele el alcance de una afectación a la decisión del constituyente en un aspecto tan esencial, cual es el de la participación de las Cámaras en el ejercicio de la función de legislativa y las concretas facultades de las que son titulares, sino que, por el contrario, aquella remisión ha de cohonestarse con las previsiones que al respecto resultan de los arts. 66.2 y 90 CE.</w:t>
      </w:r>
    </w:p>
    <w:p w14:paraId="71EBE6C9" w14:textId="77777777" w:rsidR="00A8138F" w:rsidRDefault="00A8138F" w:rsidP="00A8138F">
      <w:pPr>
        <w:pStyle w:val="TextoNormal"/>
      </w:pPr>
    </w:p>
    <w:p w14:paraId="62530382" w14:textId="77777777" w:rsidR="00A8138F" w:rsidRDefault="00A8138F" w:rsidP="00A8138F">
      <w:pPr>
        <w:pStyle w:val="TextoNormal"/>
      </w:pPr>
      <w:r>
        <w:t>Ha de recordarse que este tribunal tiene declarado que la autonomía reglamentaria de las Cámaras, y las normas que dicten en su ejercicio, “se encuentran subordinadas y limitadas por la Constitución, cuyas previsiones referidas a la materia parlamentaria delimitan aquella autonomía y deben ser respetadas por las normas reglamentarias que la desarrollen”. Es decir, “el contenido y alcance de la autonomía reglamentaria de las Cámaras, o más precisamente de cada una de las que integran las Cortes Generales, han de ser determinadas a partir precisamente de las previsiones del texto constitucional, nunca al margen de ellas, de modo que, aunque pudiendo admitirse en principio la disponibilidad de la Cámara sobre los trámites y la cronología del procedimiento, el alcance de tal disponibilidad será el que resulte de los preceptos constitucionales que, en su caso, lo regulen, con las restricciones que al efecto se establezcan” (STC 234/2000, de 3 de octubre, FJ 12; en el mismo sentido, SSTC 97/2002, de 25 de abril, FJ 5, y 139/2017, de 29 de noviembre, FJ 2).</w:t>
      </w:r>
    </w:p>
    <w:p w14:paraId="7E76FB53" w14:textId="77777777" w:rsidR="00A8138F" w:rsidRDefault="00A8138F" w:rsidP="00A8138F">
      <w:pPr>
        <w:pStyle w:val="TextoNormal"/>
      </w:pPr>
    </w:p>
    <w:p w14:paraId="74288B05" w14:textId="77777777" w:rsidR="00A8138F" w:rsidRDefault="00A8138F" w:rsidP="00A8138F">
      <w:pPr>
        <w:pStyle w:val="TextoNormal"/>
      </w:pPr>
      <w:r>
        <w:t>b) Delimitado el alcance y significado de la locución “proyecto de ley ordinaria u orgánica” aprobado por el Congreso de los Diputados del art. 90.1 CE en los términos señalados, no puede ser otro el sentido de las expresiones “proyecto” y “proyectos” del art. 90.2 y 3 CE, pues su uso en uno y otro apartado tiene como referente, como permite apreciar la lectura conjunta del art. 90 CE, aquella locución de su apartado primero. Por consiguiente, las expresiones “proyecto” y “proyectos” del art. 90.3 CE, sobre la que versa la divergencia interpretativa que mantienen las partes en este proceso constitucional, han de ser interpretadas, por las razones expuestas, con el alcance y significado de que comprenden tanto los proyectos de ley como las proposiciones de ley, es decir, dichas expresiones abarcan todas las propuestas legislativas, con independencia de cuál sea la iniciativa legislativa, gubernamental, parlamentaria o popular, de la que procedan.</w:t>
      </w:r>
    </w:p>
    <w:p w14:paraId="4E825146" w14:textId="77777777" w:rsidR="00A8138F" w:rsidRDefault="00A8138F" w:rsidP="00A8138F">
      <w:pPr>
        <w:pStyle w:val="TextoNormal"/>
      </w:pPr>
    </w:p>
    <w:p w14:paraId="3FAE4A3E" w14:textId="77777777" w:rsidR="00A8138F" w:rsidRDefault="00A8138F" w:rsidP="00A8138F">
      <w:pPr>
        <w:pStyle w:val="TextoNormal"/>
      </w:pPr>
      <w:r>
        <w:t>Esta interpretación, por otra parte, sitúa al art. 90 CE en el ámbito de aquellos preceptos constitucionales en los que las expresiones “proyecto” y “proyectos” presentan o pueden presentar, como ya hemos señalado, un sentido ambiguo, con un alcance que debe entenderse referido, a la luz de una interpretación sistemática de dichos preceptos, tanto a los proyectos de ley como a las proposiciones de ley, utilizadas ahora ambas expresiones en sentido estricto. En otras palabras, el criterio hermenéutico al que este tribunal ha llegado en relación con el art. 90 CE y, en particular, a los efectos que a este proceso interesan, con el art. 90.3 CE, en modo alguno es extraño o ajeno al uso anfibológico que el constituyente ha hecho en ocasiones de los términos “proyecto” y “proyectos”.</w:t>
      </w:r>
    </w:p>
    <w:p w14:paraId="1CE6DBBF" w14:textId="77777777" w:rsidR="00A8138F" w:rsidRDefault="00A8138F" w:rsidP="00A8138F">
      <w:pPr>
        <w:pStyle w:val="TextoNormal"/>
      </w:pPr>
    </w:p>
    <w:p w14:paraId="2447E8A8" w14:textId="77777777" w:rsidR="00A8138F" w:rsidRDefault="00A8138F" w:rsidP="00A8138F">
      <w:pPr>
        <w:pStyle w:val="TextoNormal"/>
      </w:pPr>
      <w:r>
        <w:lastRenderedPageBreak/>
        <w:t>Asimismo, el criterio hermenéutico al que hemos llegado en relación con dicho precepto —y, en este sentido, aunque los trabajos parlamentarios del art. 90 CE no puedan tenerse por determinantes, sí pueden, quizás, devenir ilustrativos—, mejor se compadece, pese al hermetismo de la Comisión Mixta en la modificación que llevó a cabo en su apartado primero, con el hecho de que durante toda la tramitación parlamentaria del precepto se mantuvo inalterable desde el anteproyecto de Constitución hasta la remisión del texto aprobado por el Pleno del Senado a la citada Comisión, la expresión “un proyecto o proposición de ley”, sin que su utilización fuera en momento alguno cuestionada en los votos particulares y en las enmiendas presentadas, ni en los debates que tuvieron por objeto el precepto en cuestión.</w:t>
      </w:r>
    </w:p>
    <w:p w14:paraId="4491B5DC" w14:textId="77777777" w:rsidR="00A8138F" w:rsidRDefault="00A8138F" w:rsidP="00A8138F">
      <w:pPr>
        <w:pStyle w:val="TextoNormal"/>
      </w:pPr>
    </w:p>
    <w:p w14:paraId="64D8F37A" w14:textId="77777777" w:rsidR="00A8138F" w:rsidRDefault="00A8138F" w:rsidP="00A8138F">
      <w:pPr>
        <w:pStyle w:val="TextoNormal"/>
      </w:pPr>
      <w:r>
        <w:t>c) Sentado el significado de las expresiones “proyecto” y “proyectos” del art. 90.3 CE con el alcance indicado, en modo alguno resulta ocioso ahora traer a colación que este tribunal ya tuvo ocasión de decir en la STC 234/2000 —en relación con la declaración de urgencia de un proyecto de ley por el Gobierno— que el citado precepto constitucional contiene “una regla de reducción de los plazos por la que se disminuye a veinte días […] en el caso de los proyectos declarados urgentes sea por el Gobierno o por el Congreso de los Diputados” el plazo ordinario de dos meses de tramitación en el Senado de los textos legislativos (FJ 8). También calificamos esta facultad de declaración de urgencia, referida entonces al Gobierno, lo que, sin duda, es trasladable al Congreso de los Diputados, como “una atribución constitucional”. Si entonces dijimos que su reconocimiento en favor del Gobierno —ateniéndonos a la controversia allí suscitada— “expresa, en suma, la opción del constituyente por un determinado entendimiento en las relaciones entre las Cortes Generales y el Gobierno a través de un mecanismo que permite a éste actuar sobre el procedimiento legislativo influyendo en su desarrollo cronológico cuando, en su criterio, concurran las circunstancias que así lo requieran” en el ejercicio de su función de dirección política (FFJJ 10 y 13), hemos de añadir aquí, por lo que al Congreso de los Diputados atañe, que en este caso la opción del constituyente responde a la plasmación en el texto constitucional de un determinado modelo bicameral en el ejercicio de la función legislativa que el art. 66.2 CE confiere a las Cortes Generales, en el que aquella Cámara ocupa una posición preeminente respecto al Senado, en el marco, además, de una forma de gobierno parlamentaria establecida por la Constitución, caracterizada porque únicamente entre el Gobierno y el Congreso de los Diputados ha de mediar una relación fiduciaria permanente (arts. 99, 108, 112, 113 y 114 CE).</w:t>
      </w:r>
    </w:p>
    <w:p w14:paraId="3B79B813" w14:textId="77777777" w:rsidR="00A8138F" w:rsidRDefault="00A8138F" w:rsidP="00A8138F">
      <w:pPr>
        <w:pStyle w:val="TextoNormal"/>
      </w:pPr>
    </w:p>
    <w:p w14:paraId="7C14B46A" w14:textId="77777777" w:rsidR="00A8138F" w:rsidRDefault="00A8138F" w:rsidP="00A8138F">
      <w:pPr>
        <w:pStyle w:val="TextoNormal"/>
      </w:pPr>
      <w:r>
        <w:t>Señalamos, en fin, que los efectos que la declaración de urgencia provoca en orden a la tramitación de los textos legislativos en el Senado “se generan […] por expresa previsión constitucional con independencia de cuál sea el órgano que los declare, esto es, el Gobierno o el Congreso de los Diputados a los que tal facultad confiere el art. 90.3 CE”, sin que a este tribunal le corresponda “valorar los efectos que el constituyente ha anudado en el art. 90.3 CE” a dicha declaración. Y concluíamos afirmando que esos efectos ni privan al Senado “del ejercicio de su función legislativa, al incidir […] sobre la cronología del procedimiento, pero no sobre el contenido del proyecto, ni restringe, ni en modo alguno podía hacerlo, el derecho de la Cámara y de sus miembros” a tramitarlo “en el plazo constitucionalmente establecido, ni, en fin, la reducción del tiempo de tramitación tiene por qué traducirse en merma alguna de los principios constitucionales que han de informar el procedimiento legislativo en cuanto procedimiento de formación de la voluntad del órgano” (FJ 13).</w:t>
      </w:r>
    </w:p>
    <w:p w14:paraId="3BDF4DE7" w14:textId="77777777" w:rsidR="00A8138F" w:rsidRDefault="00A8138F" w:rsidP="00A8138F">
      <w:pPr>
        <w:pStyle w:val="TextoNormal"/>
      </w:pPr>
    </w:p>
    <w:p w14:paraId="2DB4343A" w14:textId="77777777" w:rsidR="00A8138F" w:rsidRDefault="00A8138F" w:rsidP="00A8138F">
      <w:pPr>
        <w:pStyle w:val="TextoNormal"/>
      </w:pPr>
      <w:r>
        <w:lastRenderedPageBreak/>
        <w:t>d) Llegados a este punto no se puede dejar de resaltar que la letrada que actúa en representación del Senado no rebate ni cuestiona las consideraciones que este tribunal hizo en la STC 97/2002, que afirma comúnmente asumidas, sobre “el carácter del Senado como Cámara de ‘segunda lectura’ en el procedimiento legislativo”, cuyas consecuencias esenciales describe en su escrito de alegaciones en los siguiente términos: “Una primera, que el Senado conoce de los proyectos o proposiciones de ley una vez estos han sido debatidos y votados en el Congreso de los Diputados. Otra segunda, que lo hace, además, en el inexcusable, inmodificable y limitado plazo de dos meses, para el caso del procedimiento legislativo ordinario, y veinte días, cuando la iniciativa se tramita por el procedimiento de urgencia. Y una última, que es, de nuevo, la Cámara Baja la que finaliza la tramitación parlamentaria de la iniciativa en el caso de que el Senado haya vetado o enmendado el texto legislativo que fue inicialmente aprobado en el Congreso de los Diputados. Solo en el caso de que el Senado no oponga su veto ni introduzca enmiendas, la tramitación parlamentaria del texto legislativo terminará en el Senado”. Lo que rebate, por el contrario, son “otras consecuencias que los recurrentes asocian a la condición de Cámara de segunda lectura del Senado”, en concreto, la declaración de urgencia de las proposiciones de ley por el Congreso de los Diputados al amparo del art. 90.3 CE con los efectos que este precepto anuda a dicha declaración en relación con el Senado, pues “la declaración de urgencia de las proposiciones de ley no está prevista en la Constitución, que, como venimos diciendo, ni siquiera las menciona en su art. 90.3”.</w:t>
      </w:r>
    </w:p>
    <w:p w14:paraId="58C80736" w14:textId="77777777" w:rsidR="00A8138F" w:rsidRDefault="00A8138F" w:rsidP="00A8138F">
      <w:pPr>
        <w:pStyle w:val="TextoNormal"/>
      </w:pPr>
    </w:p>
    <w:p w14:paraId="33D7C7C5" w14:textId="670BD2EC" w:rsidR="00A8138F" w:rsidRDefault="00A8138F" w:rsidP="00A8138F">
      <w:pPr>
        <w:pStyle w:val="TextoNormal"/>
      </w:pPr>
      <w:r>
        <w:t>Esta transcripción, quizás extensa, de las alegaciones en este extremo de la representación letrada del Senado, resulta necesaria en la medida en que pone de manifiesto que no rebate el entendimiento del art. 90 CE como precepto que regula las facultades legislativas del Congreso y del Senado en la fase central o constitutiva del procedimiento legislativo y, en particular, las facultades colegisladoras del Senado, así como las relaciones entre ambas Cámaras, considerando expresamente aplicable sus dos primeros apartados, a cuyo contenido corresponden las consecuencias que describe, tanto a los proyectos como a las proposiciones de ley, con lo que viene implícitamente a admitir que la locución “proyecto de ley ordinaria u orgánica” del art. 90.1 CE y la expresión “proyecto” del art. 90.2 CE comprenden ambos tipos de iniciativas legislativas. Sin embargo, esta consideración conjunta e interpretación sistemática de los dos primeros apartados del art. 90 CE la abandona al desentrañar el alcance de los vocablos “proyecto” y “proyectos” del art. 90.3 CE, que circunscribe exclusivamente a los proyectos de ley, entendido este concepto en sentido estricto, esto es, referido únicamente a las iniciativas legislativas gubernamentales, y del que excluye a las proposiciones de ley, sin explicar las razones del recurso a un criterio hermenéutico diferente al empleado respecto al art. 90.1 y 2 CE. En otras palabras, la representación letrada del Senado al interpretar el art. 90.3 CE lo desvincula de los dos apartados que le preceden, lo que conduce a una lectura del mismo constitucionalmente no aceptable, al prescindir de una consideración de conjunto de los apartados que integran el art. 90 CE y de una interpretación sistemática de este precepto con las previsiones constitucionales sobre el procedimiento legislativo en las Cortes Generales que preserve el sentido y la finalidad de su contenido.</w:t>
      </w:r>
    </w:p>
    <w:p w14:paraId="798C37BC" w14:textId="77777777" w:rsidR="00A8138F" w:rsidRDefault="00A8138F" w:rsidP="00A8138F">
      <w:pPr>
        <w:pStyle w:val="TextoNormal"/>
      </w:pPr>
    </w:p>
    <w:p w14:paraId="0E5140E5" w14:textId="77777777" w:rsidR="00A8138F" w:rsidRDefault="00A8138F" w:rsidP="00A8138F">
      <w:pPr>
        <w:pStyle w:val="TextoNormal"/>
      </w:pPr>
      <w:r w:rsidRPr="00A8138F">
        <w:rPr>
          <w:rStyle w:val="NumeroAFNegritaCaracter"/>
        </w:rPr>
        <w:t>11</w:t>
      </w:r>
      <w:r>
        <w:t xml:space="preserve">. </w:t>
      </w:r>
      <w:r w:rsidRPr="00A8138F">
        <w:rPr>
          <w:i/>
        </w:rPr>
        <w:t>La declaración de inconstitucionalidad y nulidad del art. 133.2 RS</w:t>
      </w:r>
    </w:p>
    <w:p w14:paraId="6E4E97C4" w14:textId="77777777" w:rsidR="00A8138F" w:rsidRDefault="00A8138F" w:rsidP="00A8138F">
      <w:pPr>
        <w:pStyle w:val="TextoNormal"/>
      </w:pPr>
    </w:p>
    <w:p w14:paraId="29CAF7E3" w14:textId="77777777" w:rsidR="00A8138F" w:rsidRDefault="00A8138F" w:rsidP="00A8138F">
      <w:pPr>
        <w:pStyle w:val="TextoNormal"/>
      </w:pPr>
      <w:r>
        <w:t xml:space="preserve">El art. 133.2 RS, en la redacción dada por la reforma aprobada por el Pleno del Senado en sesión de 14 de noviembre de 2023, en cuanto confiere con carácter exclusivo a la mesa </w:t>
      </w:r>
      <w:r>
        <w:lastRenderedPageBreak/>
        <w:t>de la Cámara la facultad de decidir la aplicación del procedimiento de urgencia de las proposiciones de ley para su tramitación en dicha Cámara vulnera el art. 90.3 CE, que atribuye al Gobierno y al Congreso de los Diputados, con los efectos que anuda a su tramitación en el Senado, la declaración de urgencia de los “proyectos”, expresión esta que, con base en los razonamientos expuestos, ha de entenderse que comprende tanto los proyectos de ley como las proposiciones de ley. En consecuencia, hemos de declarar la inconstitucionalidad y nulidad del art. 133.2 RS.</w:t>
      </w:r>
    </w:p>
    <w:p w14:paraId="5C7A742D" w14:textId="77777777" w:rsidR="00A8138F" w:rsidRDefault="00A8138F" w:rsidP="00A8138F">
      <w:pPr>
        <w:pStyle w:val="TextoNormal"/>
      </w:pPr>
    </w:p>
    <w:p w14:paraId="13859D48" w14:textId="4EE5EBD8" w:rsidR="00A8138F" w:rsidRDefault="00A8138F" w:rsidP="00A8138F">
      <w:pPr>
        <w:pStyle w:val="TextoNormal"/>
      </w:pPr>
      <w:r>
        <w:t>Circunscrita, como ha quedado expuesto en el fundamento jurídico 2 de esta sentencia, la pretensión de inconstitucionalidad de los demandantes al citado art. 133 RS, en concreto a su apartado 2, la anterior declaración de inconstitucionalidad y nulidad hace innecesario el enjuiciamiento de los motivos de orden procedimental aducidos en el recurso, referidos a supuestas infracciones reglamentarias denunciadas exclusivamente en relación con la tramitación de la reforma del art. 133 RS y, con base en las cuales, se solicita únicamente la declaración de inconstitucionalidad de dicho precepto.</w:t>
      </w:r>
    </w:p>
    <w:p w14:paraId="351A178C" w14:textId="77777777" w:rsidR="00A8138F" w:rsidRDefault="00A8138F" w:rsidP="00A8138F">
      <w:pPr>
        <w:pStyle w:val="TextoNormal"/>
      </w:pPr>
    </w:p>
    <w:p w14:paraId="0C5847BD" w14:textId="77777777" w:rsidR="00A8138F" w:rsidRDefault="00A8138F" w:rsidP="00A8138F">
      <w:pPr>
        <w:pStyle w:val="TextoNormalCentrado"/>
        <w:keepNext/>
      </w:pPr>
      <w:r>
        <w:t>FALLO</w:t>
      </w:r>
    </w:p>
    <w:p w14:paraId="17EB0884" w14:textId="2EB261A2" w:rsidR="00A8138F" w:rsidRDefault="00A8138F" w:rsidP="00A8138F">
      <w:pPr>
        <w:pStyle w:val="TextoNormalCentrado"/>
        <w:keepNext/>
      </w:pPr>
    </w:p>
    <w:p w14:paraId="52B48416" w14:textId="06C91147" w:rsidR="00A8138F" w:rsidRDefault="00A8138F" w:rsidP="00A8138F">
      <w:pPr>
        <w:pStyle w:val="TextoNormal"/>
      </w:pPr>
      <w:r>
        <w:t>En atención a todo lo expuesto, el Tribunal Constitucional, por la autoridad que le confiere la Constitución de la Nación española, ha decidido estimar el presente recurso de inconstitucionalidad y, en consecuencia, declarar la inconstitucionalidad y nulidad del art. 133.2 del Reglamento del Senado en la redacción dada por la reforma aprobada por el Pleno de la Cámara en sesión de 14 de noviembre de 2023.</w:t>
      </w:r>
    </w:p>
    <w:p w14:paraId="5FE105FA" w14:textId="77777777" w:rsidR="00A8138F" w:rsidRDefault="00A8138F" w:rsidP="00A8138F">
      <w:pPr>
        <w:pStyle w:val="TextoNormal"/>
      </w:pPr>
    </w:p>
    <w:p w14:paraId="0EB5146C" w14:textId="77777777" w:rsidR="00A8138F" w:rsidRDefault="00A8138F" w:rsidP="00A8138F">
      <w:pPr>
        <w:pStyle w:val="TextoNormal"/>
      </w:pPr>
      <w:r>
        <w:t>Publíquese esta sentencia en el “Boletín Oficial del Estado”.</w:t>
      </w:r>
    </w:p>
    <w:p w14:paraId="64DB3488" w14:textId="77777777" w:rsidR="00A8138F" w:rsidRDefault="00A8138F" w:rsidP="00A8138F">
      <w:pPr>
        <w:pStyle w:val="TextoNormal"/>
      </w:pPr>
      <w:r>
        <w:t>Dada en Madrid, a doce de marzo de dos mil veinticinco.</w:t>
      </w:r>
    </w:p>
    <w:p w14:paraId="1823DCA3" w14:textId="53DD1E2B" w:rsidR="00A8138F" w:rsidRDefault="00A8138F" w:rsidP="00A8138F">
      <w:pPr>
        <w:pStyle w:val="ParrafoNormal"/>
      </w:pPr>
    </w:p>
    <w:p w14:paraId="6AB157EE" w14:textId="77777777" w:rsidR="00A8138F" w:rsidRDefault="00A8138F" w:rsidP="00A8138F">
      <w:pPr>
        <w:pStyle w:val="TextoNormalNegritaCentrado"/>
        <w:keepNext/>
      </w:pPr>
      <w:r>
        <w:t>Voto particular que formulan los magistrados y magistrada don Enrique Arnaldo Alcubilla, doña Concepción Espejel Jorquera y don José María Macías Castaño a la sentencia del Pleno del Tribunal de 12 de marzo de 2025 por la que se estima el recurso de inconstitucionalidad núm. 7998-2023</w:t>
      </w:r>
    </w:p>
    <w:p w14:paraId="31B0A82A" w14:textId="0E0B831B" w:rsidR="00A8138F" w:rsidRDefault="00A8138F" w:rsidP="00A8138F">
      <w:pPr>
        <w:pStyle w:val="TextoNormalNegritaCentrado"/>
        <w:keepNext/>
      </w:pPr>
    </w:p>
    <w:p w14:paraId="16BC5FE4" w14:textId="77777777" w:rsidR="00A8138F" w:rsidRDefault="00A8138F" w:rsidP="00A8138F">
      <w:pPr>
        <w:pStyle w:val="TextoNormal"/>
      </w:pPr>
      <w:r>
        <w:t>En el ejercicio de la facultad que nos confiere el art. 90.2 de la Ley Orgánica del Tribunal Constitucional (LOTC), y con respeto a la opinión de los magistrados que han conformado la mayoría del Pleno del Tribunal, manifestamos nuestra discrepancia con la sentencia que estima el recurso de inconstitucionalidad interpuesto por más de cincuenta senadores del Grupo Parlamentario Socialista contra la reforma del Reglamento del Senado (RS) por la que se modifican los arts. 133 y 182, aprobada por el Pleno de dicha cámara en sesión de 14 de noviembre de 2023. Por las razones defendidas en su momento durante la deliberación y que exponemos a continuación, consideramos que el recurso hubiera debido ser desestimado.</w:t>
      </w:r>
    </w:p>
    <w:p w14:paraId="3D089FEA" w14:textId="77777777" w:rsidR="00A8138F" w:rsidRDefault="00A8138F" w:rsidP="00A8138F">
      <w:pPr>
        <w:pStyle w:val="TextoNormal"/>
      </w:pPr>
    </w:p>
    <w:p w14:paraId="2FBFB349" w14:textId="77777777" w:rsidR="00A8138F" w:rsidRDefault="00A8138F" w:rsidP="00A8138F">
      <w:pPr>
        <w:pStyle w:val="TextoNormal"/>
      </w:pPr>
      <w:r>
        <w:t xml:space="preserve">La sentencia de la que disentimos declara inconstitucional y nulo el art. 133.2 RS, en la redacción dada a este precepto por la reforma citada, según la cual “[e]n las proposiciones de ley, la mesa del Senado podrá decidir la aplicación del procedimiento de urgencia cuando así lo solicite el Gobierno o el Congreso de los Diputados, o también actuando de oficio o a propuesta de un grupo parlamentario o de veinticinco senadores”. La sentencia entiende que </w:t>
      </w:r>
      <w:r>
        <w:lastRenderedPageBreak/>
        <w:t>este precepto es contrario al art. 90.3 CE, que reduce el plazo de dos meses con el que cuenta el Senado para vetar o enmendar las iniciativas legislativas ya aprobadas por el Congreso a veinte días naturales “en los proyectos declarados urgentes por el Gobierno o por el Congreso de los Diputados”.</w:t>
      </w:r>
    </w:p>
    <w:p w14:paraId="09466C0D" w14:textId="77777777" w:rsidR="00A8138F" w:rsidRDefault="00A8138F" w:rsidP="00A8138F">
      <w:pPr>
        <w:pStyle w:val="TextoNormal"/>
      </w:pPr>
    </w:p>
    <w:p w14:paraId="771D7F9D" w14:textId="77777777" w:rsidR="00A8138F" w:rsidRDefault="00A8138F" w:rsidP="00A8138F">
      <w:pPr>
        <w:pStyle w:val="TextoNormal"/>
      </w:pPr>
      <w:r>
        <w:t>Para alcanzar la conclusión del que el art. 133.2 RS contradice lo dispuesto en el art. 90.3 CE, la sentencia realiza una interpretación de los términos “proyecto” y “proyectos” utilizados por el art. 90 CE que le lleva a sostener que esos términos incluyen tanto los proyectos de ley, de origen gubernamental, como las proposiciones de ley, de origen parlamentario (o en su caso autonómico o popular). De este modo, los términos “proyecto” y “proyectos” que emplea el art. 90.3 CE tienen como referente la locución “proyecto de ley ordinaria u orgánica”, aprobado por el Congreso de los Diputados, que contiene el art. 90.1 CE, y que ha de interpretarse necesariamente, según la sentencia, en el sentido de incluir tanto los proyectos de ley, aprobados por el Gobierno, como las proposiciones de ley aprobadas por el Congreso de los Diputados. La sentencia destaca que la Constitución configura un procedimiento legislativo en el que el Congreso adopta un papel preeminente frente al Senado, que actúa como Cámara de segunda lectura. Según la sentencia, una interpretación literal o estricta de los términos “proyecto” y “proyectos” que utiliza el art. 90.3 CE (esto es, una interpretación que incluya solo la iniciativa legislativa gubernamental, el proyecto de ley) haría posible excluir al Senado de la tramitación de las proposiciones de ley, con la incidencia que tendría tal conclusión en la capacidad colegisladora de esta Cámara.</w:t>
      </w:r>
    </w:p>
    <w:p w14:paraId="6EBE7598" w14:textId="77777777" w:rsidR="00A8138F" w:rsidRDefault="00A8138F" w:rsidP="00A8138F">
      <w:pPr>
        <w:pStyle w:val="TextoNormal"/>
      </w:pPr>
    </w:p>
    <w:p w14:paraId="3C687B0D" w14:textId="77777777" w:rsidR="00A8138F" w:rsidRDefault="00A8138F" w:rsidP="00A8138F">
      <w:pPr>
        <w:pStyle w:val="TextoNormal"/>
      </w:pPr>
      <w:r>
        <w:t>La sentencia explicita de modo reiterado un criterio que conduce a minusvalorar la posición del Senado en el procedimiento legislativo, enfoque al que no es ajeno la forma en que aborda el diálogo constante con las alegaciones de la letrada de las Cortes Generales que ha representado y defendido a esa Cámara en este asunto. En todo caso, hemos de resaltar que el hecho de que en nuestro sistema de “bicameralismo imperfecto” se priorice al Congreso de los Diputados sobre el Senado en la formación de voluntad de las Cámaras, como este tribunal no ha dejado de advertir (así, STC 136/2011, de 13 de septiembre, FJ 5), no es razón para rebajar la relevante posición institucional del Senado, en su papel de Cámara de segunda lectura, en el procedimiento legislativo bicameral que establece nuestra Constitución.</w:t>
      </w:r>
    </w:p>
    <w:p w14:paraId="76F59CBE" w14:textId="77777777" w:rsidR="00A8138F" w:rsidRDefault="00A8138F" w:rsidP="00A8138F">
      <w:pPr>
        <w:pStyle w:val="TextoNormal"/>
      </w:pPr>
    </w:p>
    <w:p w14:paraId="0329FD9F" w14:textId="77777777" w:rsidR="00A8138F" w:rsidRDefault="00A8138F" w:rsidP="00A8138F">
      <w:pPr>
        <w:pStyle w:val="TextoNormal"/>
      </w:pPr>
      <w:r>
        <w:t xml:space="preserve">La iniciativa del procedimiento legislativo corresponde, con carácter general, bien al Gobierno (art. 87.1 CE), a través de la aprobación de un proyecto de ley en Consejo de Ministros que habrá de someterlo al Congreso de los Diputados (art. 88), siendo considerado, después, por el Senado (art. 90.1 CE); bien al Congreso o al Senado, de acuerdo con los Reglamentos de las Cámaras, a través de la aprobación de una proposición de ley (arts. 87 y 89 CE). El Congreso de los Diputados, que ostenta ciertamente una posición de preeminencia en el procedimiento legislativo, es la Cámara que examina primero los proyectos y las proposiciones de ley, independientemente de su procedencia y materia, con la única excepción de la tramitación de la Ley del fondo de compensación interterritorial, que se inicia en el Senado (art. 74.2 CE). Las mismas proposiciones de ley dimanantes de la iniciativa del Senado deben remitirse al Congreso, para su trámite en este como tales proposiciones (art. 89.2 CE), de manera que no abren por sí solas, en el Senado, la fase central, constitutiva o decisoria del procedimiento legislativo. En el Congreso reciben, sin embargo, un trato reglamentario similar al otorgado a los proyectos de ley del Gobierno, pues el art. 125 del Reglamento del Congreso, efectuando la lectura más favorable del art. 89.2 CE, dispone que “[l]as proposiciones de ley que, de acuerdo con la Constitución, hayan sido tomadas en </w:t>
      </w:r>
      <w:r>
        <w:lastRenderedPageBreak/>
        <w:t>consideración por el Senado, serán tramitadas por el Congreso como tales proposiciones de ley, excluido el trámite de toma en consideración”.</w:t>
      </w:r>
    </w:p>
    <w:p w14:paraId="238735EE" w14:textId="77777777" w:rsidR="00A8138F" w:rsidRDefault="00A8138F" w:rsidP="00A8138F">
      <w:pPr>
        <w:pStyle w:val="TextoNormal"/>
      </w:pPr>
    </w:p>
    <w:p w14:paraId="1607CFDA" w14:textId="77777777" w:rsidR="00A8138F" w:rsidRDefault="00A8138F" w:rsidP="00A8138F">
      <w:pPr>
        <w:pStyle w:val="TextoNormal"/>
      </w:pPr>
      <w:r>
        <w:t>Según el art. 90.1 CE, cuando el Congreso apruebe “un proyecto de ley ordinaria u orgánica, su presidente dará inmediata cuenta del mismo al presidente del Senado, el cual lo someterá a la deliberación de este”. Lo propio sucede con las proposiciones de ley, pues, aunque en el proceso constituyente la Comisión Mixta Congreso-Senado suprimió la referencia a estas iniciativas en la redacción definitiva del texto constitucional (lo que no es razón, dicho sea de paso, para que la sentencia dispense un trato poco deferente al debate constituyente), “la evidente semejanza de ambas figuras pone de relieve la identidad de razón para su régimen jurídico” (STC 97/2002, de 25 de abril, FJ 4), lo que no significa que uno y otro tipo de iniciativa legislativa no tenga sus propias reglas en cuanto a su tramitación, como también ha destacado la doctrina constitucional (así, SSTC 153/2016, de 22 de septiembre, FJ 3; 128/2023, de 2 de octubre, FJ 3, y 15/2024, de 30 de enero, FJ 3). El Senado actúa así en la fase central o decisoria del procedimiento legislativo como Cámara de segunda lectura, y apresurada, por cierto, habida cuenta del breve plazo de que dispone para oponer su veto o formular enmiendas al texto recibido del Congreso (dos meses, que se reduce a un plazo de veinte días naturales si el Gobierno o el Congreso efectuaran una declaración de urgencia) y de la facilidad con que el Congreso puede levantar ese veto y esas enmiendas.</w:t>
      </w:r>
    </w:p>
    <w:p w14:paraId="38115F14" w14:textId="77777777" w:rsidR="00A8138F" w:rsidRDefault="00A8138F" w:rsidP="00A8138F">
      <w:pPr>
        <w:pStyle w:val="TextoNormal"/>
      </w:pPr>
    </w:p>
    <w:p w14:paraId="2751F3E7" w14:textId="77777777" w:rsidR="00A8138F" w:rsidRDefault="00A8138F" w:rsidP="00A8138F">
      <w:pPr>
        <w:pStyle w:val="TextoNormal"/>
      </w:pPr>
      <w:r>
        <w:t>La interpretación que la sentencia hace de lo dispuesto en el art. 90.3 CE, para concluir que los términos “proyecto” y “proyectos” que utiliza el art. 90.3 CE han de interpretarse en el sentido de incluir tanto a los proyectos de ley como a las proposiciones de ley, es desde luego razonable, aunque no la única que es constitucionalmente posible. Si el art. 90.3 CE admite una interpretación alternativa, como la que se sostiene en la propia exposición de motivos de la reforma del Reglamento del Senado aprobada el 14 de noviembre de 2023 y que se justifica en las alegaciones de la letrada de las Cortes Generales que ha representado al Senado en este recurso, la conclusión no puede ser otra que la de descartar que el art. 133.2 RS vulnere el art. 90.3 CE, no debiendo olvidarse que también los Reglamentos parlamentarios, asimilados a las leyes y a las disposiciones con fuerza o rango de ley (por todas, SSTC 118/1988, de 20 de junio, FJ 3; 38/2007, de 15 de febrero, FJ 3, y 101/2008, de 24 de julio, FJ 2) se benefician de la presunción de constitucionalidad de las leyes, de la que deriva el principio de conservación de la ley.</w:t>
      </w:r>
    </w:p>
    <w:p w14:paraId="31EB2001" w14:textId="77777777" w:rsidR="00A8138F" w:rsidRDefault="00A8138F" w:rsidP="00A8138F">
      <w:pPr>
        <w:pStyle w:val="TextoNormal"/>
      </w:pPr>
    </w:p>
    <w:p w14:paraId="77906F16" w14:textId="77777777" w:rsidR="00A8138F" w:rsidRDefault="00A8138F" w:rsidP="00A8138F">
      <w:pPr>
        <w:pStyle w:val="TextoNormal"/>
      </w:pPr>
      <w:r>
        <w:t>Cabe interpretar, en efecto, que los términos “proyecto” y “proyectos” que emplea el art. 90.3 CE, atendiendo al tenor del precepto, a sus antecedentes históricos y legislativos y a su espíritu y finalidad, solo se refieren a las iniciativas legislativas procedentes del Gobierno y no a las proposiciones de ley, respecto a cuya declaración de urgencia existe una laguna constitucional que puede ser colmada por los Reglamentos de las Cámaras, en el ejercicio de su autonomía normativa (arts. 72.1 y 89.1 CE). Esta interpretación —que es la que hace suya el Reglamento del Senado— no choca con la Constitución, en cuanto esta ha habilitado a los Reglamentos parlamentarios para la íntegra regulación de las proposiciones de ley y de su tramitación.</w:t>
      </w:r>
    </w:p>
    <w:p w14:paraId="2B5AB8AD" w14:textId="77777777" w:rsidR="00A8138F" w:rsidRDefault="00A8138F" w:rsidP="00A8138F">
      <w:pPr>
        <w:pStyle w:val="TextoNormal"/>
      </w:pPr>
    </w:p>
    <w:p w14:paraId="1CCD463E" w14:textId="77777777" w:rsidR="00A8138F" w:rsidRDefault="00A8138F" w:rsidP="00A8138F">
      <w:pPr>
        <w:pStyle w:val="TextoNormal"/>
      </w:pPr>
      <w:r>
        <w:t xml:space="preserve">La reforma reglamentaria impugnada, por lo tanto, no se apartaría de las previsiones constitucionales, inexistentes en relación con la declaración de urgencia de las proposiciones de ley. Si “la tramitación de las proposiciones de ley se regulará por los Reglamentos </w:t>
      </w:r>
      <w:r>
        <w:lastRenderedPageBreak/>
        <w:t>de las Cámaras” (art. 89.1 CE), estas han de tener un amplio margen para regular, de acuerdo con su autonomía normativa (art. 72.1 CE) aquello que no esté inequívocamente establecido por el texto constitucional en un determinado sentido. Entendemos que es lo que sucede en el presente caso. En efecto, los Reglamentos de las Cámaras pueden determinar, a nuestro entender, al menos: (i) si las proposiciones de ley deben tener o no la misma forma que los proyectos de ley; (ii) quiénes pueden presentar la proposición de ley y (iii) cómo se organiza el debate de las proposiciones de ley. En suma, la autonomía normativa de las Cámaras (art. 72.1 CE) otorga a estas un amplio margen de configuración. Así sucede cabalmente en el asunto que nos ocupa, pues el texto constitucional no limita el ámbito de decisión del Senado a la hora de regular en su Reglamento la tramitación de las proposiciones de ley (art. 89.1 CE), más allá de establecer la prioridad de la tramitación de los proyectos de ley y la preeminencia del Congreso en el procedimiento legislativo.</w:t>
      </w:r>
    </w:p>
    <w:p w14:paraId="1C750CB2" w14:textId="77777777" w:rsidR="00A8138F" w:rsidRDefault="00A8138F" w:rsidP="00A8138F">
      <w:pPr>
        <w:pStyle w:val="TextoNormal"/>
      </w:pPr>
    </w:p>
    <w:p w14:paraId="7474FBB4" w14:textId="77777777" w:rsidR="00A8138F" w:rsidRDefault="00A8138F" w:rsidP="00A8138F">
      <w:pPr>
        <w:pStyle w:val="TextoNormal"/>
      </w:pPr>
      <w:r>
        <w:t xml:space="preserve">La sentencia, sin embargo, ha optado por decantarse por una interpretación unívoca y excluyente del texto constitucional que, además, resulta ser la más restrictiva para la autonomía parlamentaria de la Cámara de segunda lectura, minusvalorando el papel de esta en el procedimiento legislativo, que queda reducido a mero subordinado a la decisión sobre la tramitación que tome el Congreso de los Diputados o el Gobierno. Una interpretación que, además, al reducir drásticamente el tiempo de tramitación en el Senado de las proposiciones de ley declaradas urgentes por el Gobierno o el Congreso, puede comportar una restricción del ejercicio de derechos que forman parte del núcleo del </w:t>
      </w:r>
      <w:r w:rsidRPr="00A8138F">
        <w:rPr>
          <w:i/>
        </w:rPr>
        <w:t>ius in officium</w:t>
      </w:r>
      <w:r>
        <w:t xml:space="preserve"> de los senadores, garantizado por el art. 23.2 CE.</w:t>
      </w:r>
    </w:p>
    <w:p w14:paraId="79CA00C2" w14:textId="77777777" w:rsidR="00A8138F" w:rsidRDefault="00A8138F" w:rsidP="00A8138F">
      <w:pPr>
        <w:pStyle w:val="TextoNormal"/>
      </w:pPr>
    </w:p>
    <w:p w14:paraId="7EC50356" w14:textId="77777777" w:rsidR="00A8138F" w:rsidRDefault="00A8138F" w:rsidP="00A8138F">
      <w:pPr>
        <w:pStyle w:val="TextoNormal"/>
      </w:pPr>
      <w:r>
        <w:t>La sentencia interpreta el art. 90.3 CE en el sentido de que la declaración de urgencia por el Gobierno o el Congreso de los Diputados, y la consiguiente reducción del plazo de tramitación en el Senado (de dos meses a veinte días naturales), es un elemento esencial de la fase central o constitutiva del procedimiento legislativo aplicable no solo a los proyectos de ley, sino también a las proposiciones de ley. Repetimos que tal entendimiento de lo dispuesto en el art. 90.3 CE es posible y razonable, pero no convierte en irrazonable o ilógica otra interpretación alternativa del precepto constitucional, como la postulada por el Senado al reformar el art. 133.2 de su Reglamento y en su defensa de esta reforma en este proceso constitucional. El Senado resalta que la distinción constitucional entre proyectos y proposiciones de ley (expresamente ligada en el art. 89.1 CE a la facultad de cada Cámara de regular las proposiciones de ley, en el ejercicio de su autonomía normativa) se justifica plenamente por el origen de la iniciativa legislativa, pues el Gobierno tiene una capacidad de dirección e impulso procedimental a través del proyecto de ley (arts. 87.1 y 88 CE), pero esa capacidad no puede ser la misma cuando se refiere a iniciativas ajenas, como son las parlamentarias (proposiciones de ley), respecto de las cuales la autonomía parlamentaria otorga a cada Cámara un amplio margen de configuración (art. 89.1 CE). Cabe, por tanto, interpretar que lo dispuesto en el art. 90.3 CE se refiere a los proyectos de ley, pero no prejuzga lo que deba suceder con las proposiciones de ley, respecto de las cuales las Cámaras disponen de un margen de decisión más amplio para su regulación, de conformidad con su autonomía normativa (art. 72.1 CE). Esta autonomía normativa significa que su Reglamento es obra de su propia iniciativa, y de su única y exclusiva decisión, sin la intervención del Gobierno ni de la otra Cámara. Es de esa autonomía normativa de la que nace la reforma del Reglamento del Senado sometida a enjuiciamiento en el presente caso y que anula la sentencia de este tribunal.</w:t>
      </w:r>
    </w:p>
    <w:p w14:paraId="01F2F233" w14:textId="77777777" w:rsidR="00A8138F" w:rsidRDefault="00A8138F" w:rsidP="00A8138F">
      <w:pPr>
        <w:pStyle w:val="TextoNormal"/>
      </w:pPr>
    </w:p>
    <w:p w14:paraId="1E27FCF6" w14:textId="77777777" w:rsidR="00A8138F" w:rsidRDefault="00A8138F" w:rsidP="00A8138F">
      <w:pPr>
        <w:pStyle w:val="TextoNormal"/>
      </w:pPr>
      <w:r>
        <w:lastRenderedPageBreak/>
        <w:t>Sin embargo, a nuestro entender, esa interpretación alternativa de lo dispuesto en el art. 90.3 CE es tan razonable y constitucionalmente posible como la que sostiene la sentencia, y tiene la ventaja sobre esta de ser más respetuosa con la posición institucional del Senado en el procedimiento legislativo.</w:t>
      </w:r>
    </w:p>
    <w:p w14:paraId="130FC1D1" w14:textId="77777777" w:rsidR="00A8138F" w:rsidRDefault="00A8138F" w:rsidP="00A8138F">
      <w:pPr>
        <w:pStyle w:val="TextoNormal"/>
      </w:pPr>
    </w:p>
    <w:p w14:paraId="2C42DB00" w14:textId="77777777" w:rsidR="00A8138F" w:rsidRDefault="00A8138F" w:rsidP="00A8138F">
      <w:pPr>
        <w:pStyle w:val="TextoNormal"/>
      </w:pPr>
      <w:r>
        <w:t>No es cierto, por otra parte, frente a lo que se afirma en la sentencia de la que discrepamos, que aquella interpretación del art. 90.3 CE, que permite descartar la inconstitucionalidad del art. 133.2 RS, supondría tanto como admitir la inexistencia de una previsión constitucional que imponga al Congreso de los Diputados el deber de remitir al Senado para su deliberación los textos legislativos aprobados que procedan de proposiciones de ley, lo que podría determinar la exclusión del Senado en la tramitación de estos textos. En efecto, entender que el art. 90.3 CE se refiere solo a los proyectos de ley, no autoriza a concluir que el Congreso no viene obligado a remitir al Senado para su tramitación los textos aprobados en aquella Cámara provenientes de una proposición de ley. Nuestro procedimiento legislativo es bicameral (art. 66.2 CE), por más que se trate de un sistema de “bicameralismo imperfecto”, por lo que carece todo fundamento una interpretación conducente a excluir al Senado de la tramitación de esos textos legislativos. Como se ha dicho, del mismo modo que el art. 90.1 CE ordena al presidente del Congreso que, “aprobado un proyecto de ley ordinaria u orgánica” por dicha Cámara, lo remita inmediatamente “al presidente del Senado, el cual lo someterá a la deliberación de este”, lo propio ha de suceder con las proposiciones de ley aprobadas en el Congreso, dada la evidente semejanza de ambas figuras, que pone de relieve la identidad de razón para su régimen jurídico (STC 97/2002, de 25 de abril, FJ 4), sin perjuicio de las diferencias en cuanto a su tramitación, que también ha puesto de relieve este tribunal.</w:t>
      </w:r>
    </w:p>
    <w:p w14:paraId="5546D3CA" w14:textId="77777777" w:rsidR="00A8138F" w:rsidRDefault="00A8138F" w:rsidP="00A8138F">
      <w:pPr>
        <w:pStyle w:val="TextoNormal"/>
      </w:pPr>
    </w:p>
    <w:p w14:paraId="12858C9F" w14:textId="77777777" w:rsidR="00A8138F" w:rsidRDefault="00A8138F" w:rsidP="00A8138F">
      <w:pPr>
        <w:pStyle w:val="TextoNormal"/>
      </w:pPr>
      <w:r>
        <w:t>Repárese, por lo demás, que la sentencia obvia que, conforme a la interpretación que realiza del art. 90.3 CE, el Gobierno podría declarar la urgencia de la tramitación de las proposiciones de ley, cuando el único poder de disposición del Gobierno en relación con las iniciativas parlamentarias es el ejercicio del veto presupuestario (art. 134.6 CE). Ni una mención contiene la sentencia a explicar por qué el Gobierno, según su interpretación, puede incidir tan intensamente en el procedimiento legislativo como para obligar al Senado, con su declaración de urgencia, a tramitar apresuradamente una iniciativa legislativa que le es ajena. Como tampoco dedica una línea a explicar que, en realidad el Senado es obligado a esa tramitación acelerada no por el Congreso de los Diputados, sino, más exactamente, por la mesa del Congreso, que es la que declara la urgencia.</w:t>
      </w:r>
    </w:p>
    <w:p w14:paraId="7DE906CF" w14:textId="77777777" w:rsidR="00A8138F" w:rsidRDefault="00A8138F" w:rsidP="00A8138F">
      <w:pPr>
        <w:pStyle w:val="TextoNormal"/>
      </w:pPr>
    </w:p>
    <w:p w14:paraId="6031D85E" w14:textId="77777777" w:rsidR="00A8138F" w:rsidRDefault="00A8138F" w:rsidP="00A8138F">
      <w:pPr>
        <w:pStyle w:val="TextoNormal"/>
      </w:pPr>
      <w:r>
        <w:t>En definitiva, es posible un entendimiento de lo dispuesto en el art. 90.3 CE como el que postula el Senado, lo que llevaría a excluir la pretendida inconstitucionalidad del art. 133.2 RS en la redacción resultante de la reforma aprobada el 14 de noviembre de 2023. Esa interpretación vendría amparada por el principio de autonomía normativa del Senado (art. 72.1 CE), en tanto expresa la voluntad de esta Cámara en un ámbito constitucionalmente garantizado, la tramitación de las proposiciones de ley (art. 89.1 CE). Como este tribunal ha tenido ocasión de recordar, en el control de constitucionalidad resulta obligado el respeto al principio de autonomía parlamentaria, que “se fundamenta en la necesidad de sustraer el Parlamento de posibles intromisiones de otros poderes del Estado que puedan afectar al desempeño de las funciones parlamentarias”, tratándose de “un mecanismo protector del órgano parlamentario, tradicional en nuestra historia constitucional y común en Derecho comparado, que no supone huida del derecho, sino la existencia de un derecho propio ela</w:t>
      </w:r>
      <w:r>
        <w:lastRenderedPageBreak/>
        <w:t>borado por las Cámaras, o adoptado mediante importación selectiva o remisión a otras normas”, y que se concreta, entre otras esferas, en “la autonomía normativa”, plasmada en el Reglamento parlamentario, así como en sus normas interpretativas y en los acuerdos de los órganos de las Cámaras (STC 165/2023, de 21 de noviembre, FJ 3, con cita de doctrina precedente).</w:t>
      </w:r>
    </w:p>
    <w:p w14:paraId="6F74C20E" w14:textId="77777777" w:rsidR="00A8138F" w:rsidRDefault="00A8138F" w:rsidP="00A8138F">
      <w:pPr>
        <w:pStyle w:val="TextoNormal"/>
      </w:pPr>
    </w:p>
    <w:p w14:paraId="6C45A169" w14:textId="6D4575C4" w:rsidR="00A8138F" w:rsidRDefault="00A8138F" w:rsidP="00A8138F">
      <w:pPr>
        <w:pStyle w:val="TextoNormal"/>
      </w:pPr>
      <w:r>
        <w:t>Madrid, a doce de marzo de dos mil veinticinco.</w:t>
      </w:r>
    </w:p>
    <w:p w14:paraId="1D0CBB01" w14:textId="0C6EC5EC" w:rsidR="00A8138F" w:rsidRDefault="00A8138F">
      <w:pPr>
        <w:spacing w:after="160" w:line="278" w:lineRule="auto"/>
        <w:rPr>
          <w:rFonts w:ascii="Times New Roman" w:eastAsia="Times New Roman" w:hAnsi="Times New Roman" w:cs="Times New Roman"/>
          <w:sz w:val="24"/>
          <w:szCs w:val="24"/>
          <w:lang w:eastAsia="es-ES"/>
        </w:rPr>
      </w:pPr>
      <w:r>
        <w:br w:type="page"/>
      </w:r>
    </w:p>
    <w:p w14:paraId="3DD3E7E4" w14:textId="77777777" w:rsidR="00A8138F" w:rsidRDefault="00A8138F" w:rsidP="00A8138F">
      <w:pPr>
        <w:pStyle w:val="TtuloResolucin"/>
      </w:pPr>
      <w:bookmarkStart w:id="66" w:name="SENTENCIA_2025_64"/>
      <w:r>
        <w:lastRenderedPageBreak/>
        <w:t>SENTENCIA 64/2025, de 13 de marzo de 2025</w:t>
      </w:r>
    </w:p>
    <w:bookmarkEnd w:id="66"/>
    <w:p w14:paraId="7A1DA80A" w14:textId="77777777" w:rsidR="00A8138F" w:rsidRDefault="00A8138F" w:rsidP="00A8138F">
      <w:pPr>
        <w:pStyle w:val="TtuloResolucin"/>
      </w:pPr>
      <w:r>
        <w:t>Pleno</w:t>
      </w:r>
    </w:p>
    <w:p w14:paraId="41953C0D" w14:textId="77777777" w:rsidR="00A8138F" w:rsidRDefault="00A8138F" w:rsidP="00A8138F">
      <w:pPr>
        <w:pStyle w:val="TtuloBOE"/>
      </w:pPr>
      <w:r>
        <w:t>(BOE núm. 88, de 11 de abril de 2025)</w:t>
      </w:r>
    </w:p>
    <w:p w14:paraId="764857A5" w14:textId="77777777" w:rsidR="00A8138F" w:rsidRDefault="00A8138F" w:rsidP="00A8138F">
      <w:pPr>
        <w:pStyle w:val="TextoNormalCentrado"/>
      </w:pPr>
      <w:r>
        <w:t>ECLI:ES:TC:2025:64</w:t>
      </w:r>
    </w:p>
    <w:p w14:paraId="1236F2FF" w14:textId="6114CEA4" w:rsidR="00A8138F" w:rsidRDefault="00A8138F" w:rsidP="00A8138F">
      <w:pPr>
        <w:pStyle w:val="TextoNormalCentrado"/>
      </w:pPr>
    </w:p>
    <w:p w14:paraId="5DB41B6B" w14:textId="77777777" w:rsidR="00A8138F" w:rsidRDefault="00A8138F" w:rsidP="00A8138F">
      <w:pPr>
        <w:pStyle w:val="SntesisDescriptiva"/>
      </w:pPr>
      <w:r>
        <w:t>Recurso de inconstitucionalidad 798-2024. Interpuesto por más de cincuenta diputados del Grupo Parlamentario Popular en el Congreso en relación con diversos preceptos del Decreto-ley del Gobierno de la Generalitat de Cataluña 3/2023, de 7 de noviembre, de medidas urgentes sobre el régimen urbanístico de las viviendas de uso turístico.</w:t>
      </w:r>
    </w:p>
    <w:p w14:paraId="6CF68BAE" w14:textId="0A223767" w:rsidR="00A8138F" w:rsidRDefault="00A8138F" w:rsidP="00A8138F">
      <w:pPr>
        <w:pStyle w:val="SntesisDescriptiva"/>
      </w:pPr>
    </w:p>
    <w:p w14:paraId="14B751EF" w14:textId="77777777" w:rsidR="00A8138F" w:rsidRDefault="00A8138F" w:rsidP="00A8138F">
      <w:pPr>
        <w:pStyle w:val="SntesisAnaltica"/>
      </w:pPr>
      <w:r>
        <w:t>Límites de los decretos-leyes: justificación de la concurrencia del presupuesto habilitante para el dictado de una norma de urgencia que, en determinados municipios, supedita la posibilidad de destinar viviendas para uso turístico a la previsión expresa en el planeamiento urbanístico y la obtención de licencia previa, limitada en número y vigencia. Voto particular.</w:t>
      </w:r>
    </w:p>
    <w:p w14:paraId="64CC168D" w14:textId="3F46A867" w:rsidR="00A8138F" w:rsidRDefault="00A8138F" w:rsidP="00A8138F">
      <w:pPr>
        <w:pStyle w:val="SntesisAnaltica"/>
      </w:pPr>
    </w:p>
    <w:p w14:paraId="0096C5E8" w14:textId="759A55A0" w:rsidR="00A8138F" w:rsidRDefault="00A8138F" w:rsidP="00A8138F">
      <w:pPr>
        <w:pStyle w:val="Extracto"/>
      </w:pPr>
      <w:r>
        <w:t>1.</w:t>
      </w:r>
      <w:r>
        <w:tab/>
        <w:t>La conexión de sentido entre la situación de necesidad definida y las medidas que en el real decreto-ley se adoptan exige un doble criterio o perspectiva para valorar su existencia: el contenido de las disposiciones incluidas en el real decreto-ley y su estructura (STC 29/1982). Se exige que las medidas que se incluyan en el decreto-ley sean, en principio, concretas y de eficacia inmediata para hacer frente a la situación de extraordinaria y urgente necesidad que ha determinado el uso de la legislación de urgencia (STC 70/2016) [FJ 3].</w:t>
      </w:r>
    </w:p>
    <w:p w14:paraId="272A5056" w14:textId="77777777" w:rsidR="00A8138F" w:rsidRDefault="00A8138F" w:rsidP="00A8138F">
      <w:pPr>
        <w:pStyle w:val="Extracto"/>
      </w:pPr>
    </w:p>
    <w:p w14:paraId="6EB2BEFC" w14:textId="26D38BD0" w:rsidR="00A8138F" w:rsidRDefault="00A8138F" w:rsidP="00A8138F">
      <w:pPr>
        <w:pStyle w:val="Extracto"/>
      </w:pPr>
      <w:r>
        <w:t>2.</w:t>
      </w:r>
      <w:r>
        <w:tab/>
        <w:t>El régimen restrictivo del uso turístico de las viviendas no constituye una supresión del derecho de propiedad sobre aquellas, si tan sólo consiste en una delimitación de un aspecto concreto de su contenido, en atención a la función social del derecho [FJ 4].</w:t>
      </w:r>
    </w:p>
    <w:p w14:paraId="603EE438" w14:textId="77777777" w:rsidR="00A8138F" w:rsidRDefault="00A8138F" w:rsidP="00A8138F">
      <w:pPr>
        <w:pStyle w:val="Extracto"/>
      </w:pPr>
    </w:p>
    <w:p w14:paraId="37E7A1E4" w14:textId="4C3A699D" w:rsidR="00A8138F" w:rsidRDefault="00A8138F" w:rsidP="00A8138F">
      <w:pPr>
        <w:pStyle w:val="Extracto"/>
      </w:pPr>
      <w:r>
        <w:t>3.</w:t>
      </w:r>
      <w:r>
        <w:tab/>
        <w:t>La exigencia normativa de licencia urbanística debe responder a los principios de necesidad y proporcionalidad, y motivarse suficientemente [FJ 5].</w:t>
      </w:r>
    </w:p>
    <w:p w14:paraId="30C9D43C" w14:textId="77777777" w:rsidR="00A8138F" w:rsidRDefault="00A8138F" w:rsidP="00A8138F">
      <w:pPr>
        <w:pStyle w:val="Extracto"/>
      </w:pPr>
    </w:p>
    <w:p w14:paraId="2975EADB" w14:textId="73B6B05C" w:rsidR="00A8138F" w:rsidRDefault="00A8138F" w:rsidP="00A8138F">
      <w:pPr>
        <w:pStyle w:val="Extracto"/>
      </w:pPr>
      <w:r>
        <w:t>4.</w:t>
      </w:r>
      <w:r>
        <w:tab/>
        <w:t>El régimen de licencia urbanística autonómica no debe contradecir lo dispuesto en la Ley de garantía de la unidad de mercado, para respetar las competencias del Estado sobre las bases y coordinación de la planificación general de la actividad económica (art. 149.1.13 CE) [FJ 5].</w:t>
      </w:r>
    </w:p>
    <w:p w14:paraId="793573F0" w14:textId="77777777" w:rsidR="00A8138F" w:rsidRDefault="00A8138F" w:rsidP="00A8138F">
      <w:pPr>
        <w:pStyle w:val="Extracto"/>
      </w:pPr>
    </w:p>
    <w:p w14:paraId="2B239A0B" w14:textId="22F11BED" w:rsidR="00A8138F" w:rsidRDefault="00A8138F" w:rsidP="00A8138F">
      <w:pPr>
        <w:pStyle w:val="Extracto"/>
      </w:pPr>
      <w:r>
        <w:t>5.</w:t>
      </w:r>
      <w:r>
        <w:tab/>
        <w:t>La decisión sobre la configuración del asentamiento urbano municipal en que consiste el plan urbanístico -marco regulador del espacio físico de la convivencia de los vecinos- es una tarea comprendida prioritariamente en el ámbito de los intereses del municipio; y sobre aquella decisión se proyectan de forma especialmente intensa las exigencias de la autonomía municipal (STC 51/2004) [FJ 6].</w:t>
      </w:r>
    </w:p>
    <w:p w14:paraId="3C35C2BC" w14:textId="77777777" w:rsidR="00A8138F" w:rsidRDefault="00A8138F" w:rsidP="00A8138F">
      <w:pPr>
        <w:pStyle w:val="Extracto"/>
      </w:pPr>
    </w:p>
    <w:p w14:paraId="432A3D73" w14:textId="59774FAC" w:rsidR="00A8138F" w:rsidRDefault="00A8138F" w:rsidP="00A8138F">
      <w:pPr>
        <w:pStyle w:val="Extracto"/>
      </w:pPr>
      <w:r>
        <w:t>6.</w:t>
      </w:r>
      <w:r>
        <w:tab/>
        <w:t>La protección de intereses supralocales afectados puede justificar la intervención de administraciones territoriales distintas del municipio, por ejemplo, mediante su participación en determinados procedimientos de competencia de este o mediante el establecimiento de determinaciones normativas vinculantes para el planificador urbanístico municipal (STC 57/2015) [FJ 6].</w:t>
      </w:r>
    </w:p>
    <w:p w14:paraId="7D76340E" w14:textId="77777777" w:rsidR="00A8138F" w:rsidRDefault="00A8138F" w:rsidP="00A8138F">
      <w:pPr>
        <w:pStyle w:val="Extracto"/>
      </w:pPr>
    </w:p>
    <w:p w14:paraId="40688706" w14:textId="725D188F" w:rsidR="00A8138F" w:rsidRDefault="00A8138F" w:rsidP="00A8138F">
      <w:pPr>
        <w:pStyle w:val="Extracto"/>
      </w:pPr>
      <w:r>
        <w:t>7.</w:t>
      </w:r>
      <w:r>
        <w:tab/>
        <w:t>El principio de autonomía local, en materia de normas con rango de ley, no puede invocarse para condicionar los correspondientes procedimientos legislativos, imponiendo en ellos la audiencia de los ayuntamientos que pudieran resultar afectados por los proyectos en tramitación. Dicho principio actúa como canon de constitucionalidad del contenido de las leyes, no del procedimiento de su elaboración (STC 57/2015) [FJ 6].</w:t>
      </w:r>
    </w:p>
    <w:p w14:paraId="0162105D" w14:textId="77777777" w:rsidR="00A8138F" w:rsidRDefault="00A8138F" w:rsidP="00A8138F">
      <w:pPr>
        <w:pStyle w:val="Extracto"/>
      </w:pPr>
    </w:p>
    <w:p w14:paraId="53DBA1FA" w14:textId="131291B8" w:rsidR="00A8138F" w:rsidRDefault="00A8138F" w:rsidP="00A8138F">
      <w:pPr>
        <w:pStyle w:val="Extracto"/>
      </w:pPr>
      <w:r>
        <w:t>8.</w:t>
      </w:r>
      <w:r>
        <w:tab/>
        <w:t>Se considera que la normativa afecta limitadamente sobre las competencias urbanísticas municipales, si se proyectan sobre un aspecto muy concreto -el régimen de intervención aplicable al uso turístico de las viviendas-, sin incidir de manera transversal en la capacidad del municipio en punto a la configuración del asentamiento urbano municipal como marco regulador del espacio físico de la convivencia de los vecinos (STC 51/2004) [FJ 6].</w:t>
      </w:r>
    </w:p>
    <w:p w14:paraId="539F415A" w14:textId="77777777" w:rsidR="00A8138F" w:rsidRDefault="00A8138F" w:rsidP="00A8138F">
      <w:pPr>
        <w:pStyle w:val="Extracto"/>
      </w:pPr>
    </w:p>
    <w:p w14:paraId="194C401D" w14:textId="4C8392CB" w:rsidR="00A8138F" w:rsidRDefault="00A8138F" w:rsidP="00A8138F">
      <w:pPr>
        <w:pStyle w:val="Extracto"/>
      </w:pPr>
      <w:r>
        <w:t>9.</w:t>
      </w:r>
      <w:r>
        <w:tab/>
        <w:t>Doctrina constitucional sobre la ley singular: (i) las leyes autoaplicativas no requieren una posterior actividad administrativa de aplicación pues en sí mismas la contienen, esto es, que contienen una actividad, típicamente ejecutiva, de aplicación de la norma al caso concreto; (ii) se dirigen a destinatario único o de estructura singular; y (iii) las leyes dictadas en atención a un supuesto de hecho concreto -a una situación singular o excepcional- agotan su contenido y eficacia en la adopción y ejecución de la medida tomada por el legislador ante ese supuesto de hecho, aislado en la ley singular y no comunicable con ningún otro (SSTC 166/1986 o 42/2018) [FJ 7].</w:t>
      </w:r>
    </w:p>
    <w:p w14:paraId="0C44C73E" w14:textId="77777777" w:rsidR="00A8138F" w:rsidRDefault="00A8138F" w:rsidP="00A8138F">
      <w:pPr>
        <w:pStyle w:val="Extracto"/>
      </w:pPr>
    </w:p>
    <w:p w14:paraId="1855CEEA" w14:textId="2EEFAF51" w:rsidR="00A8138F" w:rsidRDefault="00A8138F" w:rsidP="00A8138F">
      <w:pPr>
        <w:pStyle w:val="Extracto"/>
      </w:pPr>
      <w:r>
        <w:t>10.</w:t>
      </w:r>
      <w:r>
        <w:tab/>
        <w:t>Las actuaciones administrativas son susceptibles de control judicial ante la jurisdicción ordinaria, de manera que no suponen restricción alguna del derecho a la tutela judicial efectiva de los sujetos afectados [FJ 7].</w:t>
      </w:r>
    </w:p>
    <w:p w14:paraId="03FD61D7" w14:textId="77777777" w:rsidR="00A8138F" w:rsidRDefault="00A8138F" w:rsidP="00A8138F">
      <w:pPr>
        <w:pStyle w:val="Extracto"/>
      </w:pPr>
    </w:p>
    <w:p w14:paraId="39433284" w14:textId="4149E633" w:rsidR="00A8138F" w:rsidRDefault="00A8138F" w:rsidP="00A8138F">
      <w:pPr>
        <w:pStyle w:val="Extracto"/>
      </w:pPr>
      <w:r>
        <w:t>11.</w:t>
      </w:r>
      <w:r>
        <w:tab/>
        <w:t>El acto legislativo que prevé modificaciones periódicas de su ámbito de aplicación y difiere la determinación del mismo a ulteriores y sucesivas órdenes de la consejería competente por razón de la materia no es infrecuente en la legislación administrativa sectorial, ya que permite la adaptación ágil del ámbito de aplicación de las normas con rango de ley a las cambiantes circunstancias de la vida social y no plantea reparos desde el punto de vista constitucional siempre que, tratándose de regímenes relativos a materias sometidas a reserva de ley, la propia norma legal establezca criterios materiales suficientes para satisfacerla, limitando suficientemente el margen de apreciación de la Administración [FJ 7].</w:t>
      </w:r>
    </w:p>
    <w:p w14:paraId="69DA6F62" w14:textId="77777777" w:rsidR="00A8138F" w:rsidRDefault="00A8138F" w:rsidP="00A8138F">
      <w:pPr>
        <w:pStyle w:val="Extracto"/>
      </w:pPr>
    </w:p>
    <w:p w14:paraId="41BF6979" w14:textId="56407AFC" w:rsidR="00A8138F" w:rsidRDefault="00A8138F" w:rsidP="00A8138F">
      <w:pPr>
        <w:pStyle w:val="Extracto"/>
      </w:pPr>
      <w:r>
        <w:t>12.</w:t>
      </w:r>
      <w:r>
        <w:tab/>
        <w:t>Sólo si en el ordenamiento jurídico en que se insertan,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jurídica(SSTC 150/1990 o 25/2024) [FJ 7].</w:t>
      </w:r>
    </w:p>
    <w:p w14:paraId="5C6C8D5F" w14:textId="77777777" w:rsidR="00A8138F" w:rsidRDefault="00A8138F" w:rsidP="00A8138F">
      <w:pPr>
        <w:pStyle w:val="Extracto"/>
      </w:pPr>
    </w:p>
    <w:p w14:paraId="63C7FE81" w14:textId="3EC2BD58" w:rsidR="00A8138F" w:rsidRDefault="00A8138F" w:rsidP="00A8138F">
      <w:pPr>
        <w:pStyle w:val="Extracto"/>
      </w:pPr>
      <w:r>
        <w:t>13.</w:t>
      </w:r>
      <w:r>
        <w:tab/>
        <w:t>Una norma es compatible con la seguridad jurídica, aunque utilice conceptos que contienen un margen de apreciación, si los mismos son susceptibles de ser defini</w:t>
      </w:r>
      <w:r>
        <w:lastRenderedPageBreak/>
        <w:t>dos de forma acorde con el sentido idiomático general (STC 53/1985); lo que elimina el riesgo de una absoluta indeterminación en cuanto a su interpretación o a que se generen en los destinatarios dudas insuperables acerca de la conducta exigible [FJ 7].</w:t>
      </w:r>
    </w:p>
    <w:p w14:paraId="61F60EE5" w14:textId="77777777" w:rsidR="00A8138F" w:rsidRDefault="00A8138F" w:rsidP="00A8138F">
      <w:pPr>
        <w:pStyle w:val="Extracto"/>
      </w:pPr>
    </w:p>
    <w:p w14:paraId="006CFDD5" w14:textId="77777777" w:rsidR="00A8138F" w:rsidRDefault="00A8138F" w:rsidP="00A8138F">
      <w:pPr>
        <w:pStyle w:val="Extracto"/>
      </w:pPr>
    </w:p>
    <w:p w14:paraId="0F09C390"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2877D6A4" w14:textId="6ACB29A6" w:rsidR="00A8138F" w:rsidRDefault="00A8138F" w:rsidP="00A8138F">
      <w:pPr>
        <w:pStyle w:val="TextoNormal"/>
      </w:pPr>
    </w:p>
    <w:p w14:paraId="1115B0D6" w14:textId="77777777" w:rsidR="00A8138F" w:rsidRDefault="00A8138F" w:rsidP="00A8138F">
      <w:pPr>
        <w:pStyle w:val="TextoNormalCentrado"/>
        <w:keepNext/>
      </w:pPr>
      <w:r>
        <w:t>EN NOMBRE DEL REY</w:t>
      </w:r>
    </w:p>
    <w:p w14:paraId="4DFC4C70" w14:textId="630D5228" w:rsidR="00A8138F" w:rsidRDefault="00A8138F" w:rsidP="00A8138F">
      <w:pPr>
        <w:pStyle w:val="TextoNormalCentrado"/>
        <w:keepNext/>
      </w:pPr>
    </w:p>
    <w:p w14:paraId="5BA8015C" w14:textId="77777777" w:rsidR="00A8138F" w:rsidRDefault="00A8138F" w:rsidP="00A8138F">
      <w:pPr>
        <w:pStyle w:val="TextoNormalCentrado"/>
        <w:keepNext/>
      </w:pPr>
    </w:p>
    <w:p w14:paraId="3FB64927" w14:textId="77777777" w:rsidR="00A8138F" w:rsidRDefault="00A8138F" w:rsidP="00A8138F">
      <w:pPr>
        <w:pStyle w:val="TextoNormal"/>
      </w:pPr>
      <w:r>
        <w:t>la siguiente</w:t>
      </w:r>
    </w:p>
    <w:p w14:paraId="44DCF155" w14:textId="6B232E5B" w:rsidR="00A8138F" w:rsidRDefault="00A8138F" w:rsidP="00A8138F">
      <w:pPr>
        <w:pStyle w:val="TextoNormal"/>
      </w:pPr>
    </w:p>
    <w:p w14:paraId="7289CE94" w14:textId="77777777" w:rsidR="00A8138F" w:rsidRDefault="00A8138F" w:rsidP="00A8138F">
      <w:pPr>
        <w:pStyle w:val="TextoNormalCentrado"/>
        <w:keepNext/>
      </w:pPr>
      <w:r>
        <w:t>SENTENCIA</w:t>
      </w:r>
    </w:p>
    <w:p w14:paraId="02E84311" w14:textId="23619B26" w:rsidR="00A8138F" w:rsidRDefault="00A8138F" w:rsidP="00A8138F">
      <w:pPr>
        <w:pStyle w:val="TextoNormalCentrado"/>
        <w:keepNext/>
      </w:pPr>
    </w:p>
    <w:p w14:paraId="7A67D06E" w14:textId="77777777" w:rsidR="00A8138F" w:rsidRDefault="00A8138F" w:rsidP="00A8138F">
      <w:pPr>
        <w:pStyle w:val="TextoNormal"/>
      </w:pPr>
      <w:r>
        <w:t>En el recurso de inconstitucionalidad núm. 798-2024, promovido por más de cincuenta diputados del Grupo Parlamentario Popular en el Congreso de los Diputados contra los arts. 1, 2 y 3; la disposición transitoria primera, apartado 1 a), y la disposición transitoria segunda; la disposición final primera, y el anexo del Decreto-ley del Gobierno de la Generalitat de Cataluña 3/2023, de 7 de noviembre, de medidas urgentes sobre el régimen urbanístico de las viviendas de uso turístico. Han comparecido el Senado, el Congreso de los Diputados y el Gobierno de la Nación. Han formulado alegaciones el Parlamento de Cataluña y la Generalitat de Cataluña. Ha sido ponente el magistrado don Ramón Sáez Valcárcel.</w:t>
      </w:r>
    </w:p>
    <w:p w14:paraId="0254EE40" w14:textId="6E3ECDBD" w:rsidR="00A8138F" w:rsidRDefault="00A8138F" w:rsidP="00A8138F">
      <w:pPr>
        <w:pStyle w:val="TextoNormal"/>
      </w:pPr>
    </w:p>
    <w:p w14:paraId="594F31A3" w14:textId="77777777" w:rsidR="00A8138F" w:rsidRDefault="00A8138F" w:rsidP="00A8138F">
      <w:pPr>
        <w:pStyle w:val="TextoNormalNegritaCentrado"/>
        <w:keepNext/>
      </w:pPr>
      <w:r>
        <w:t>I. Antecedentes</w:t>
      </w:r>
    </w:p>
    <w:p w14:paraId="76D44464" w14:textId="4850A823" w:rsidR="00A8138F" w:rsidRDefault="00A8138F" w:rsidP="00A8138F">
      <w:pPr>
        <w:pStyle w:val="TextoNormalNegritaCentrado"/>
        <w:keepNext/>
      </w:pPr>
    </w:p>
    <w:p w14:paraId="7006D4C2" w14:textId="6EED8B6A" w:rsidR="00A8138F" w:rsidRDefault="00A8138F" w:rsidP="00A8138F">
      <w:pPr>
        <w:pStyle w:val="TextoNormal"/>
      </w:pPr>
      <w:r w:rsidRPr="00A8138F">
        <w:rPr>
          <w:rStyle w:val="NumeroAFNegritaCaracter"/>
        </w:rPr>
        <w:t>1</w:t>
      </w:r>
      <w:r>
        <w:t>. El 6 de febrero de 2024 tuvo entrada en el registro general de este tribunal el recurso de inconstitucionalidad promovido por más de cincuenta diputados del Grupo Parlamentario Popular en el Congreso de los Diputados, representados por el procurador don Manuel Sánchez-Puelles y González-Carvajal, contra los arts. 1, 2 y 3; la disposición transitoria primera, apartado 1 a), y la disposición transitoria segunda; la disposición final primera, y el anexo del Decreto-ley del Gobierno de la Generalitat de Cataluña 3/2023, de 7 de noviembre, de medidas urgentes sobre el régimen urbanístico de las viviendas de uso turístico [publicado en el “Diari Oficial de la Generalitat de Catalunya” (“DOGC”) núm. 9036, de 8 de noviembre de 2023], ulteriormente convalidado mediante la resolución 897/XIV, del Parlamento de Cataluña, de 20 de diciembre de 2023 (“DOGC” núm. 9066, de 22 de diciembre de 2023).</w:t>
      </w:r>
    </w:p>
    <w:p w14:paraId="674E4329" w14:textId="77777777" w:rsidR="00A8138F" w:rsidRDefault="00A8138F" w:rsidP="00A8138F">
      <w:pPr>
        <w:pStyle w:val="TextoNormal"/>
      </w:pPr>
    </w:p>
    <w:p w14:paraId="500D595C" w14:textId="77777777" w:rsidR="00A8138F" w:rsidRDefault="00A8138F" w:rsidP="00A8138F">
      <w:pPr>
        <w:pStyle w:val="TextoNormal"/>
      </w:pPr>
      <w:r w:rsidRPr="00A8138F">
        <w:rPr>
          <w:rStyle w:val="NumeroAFNegritaCaracter"/>
        </w:rPr>
        <w:t>2</w:t>
      </w:r>
      <w:r>
        <w:t>. El recurso denuncia un total de ocho tachas de inconstitucionalidad, que se fundamentan del modo siguiente:</w:t>
      </w:r>
    </w:p>
    <w:p w14:paraId="051A5769" w14:textId="77777777" w:rsidR="00A8138F" w:rsidRDefault="00A8138F" w:rsidP="00A8138F">
      <w:pPr>
        <w:pStyle w:val="TextoNormal"/>
      </w:pPr>
    </w:p>
    <w:p w14:paraId="5EFE9BB1" w14:textId="77777777" w:rsidR="00A8138F" w:rsidRDefault="00A8138F" w:rsidP="00A8138F">
      <w:pPr>
        <w:pStyle w:val="TextoNormal"/>
      </w:pPr>
      <w:r>
        <w:lastRenderedPageBreak/>
        <w:t xml:space="preserve">a) </w:t>
      </w:r>
      <w:r w:rsidRPr="00A8138F">
        <w:rPr>
          <w:i/>
        </w:rPr>
        <w:t>Vulneración de los arts. 86.1 CE y 64 del Estatuto de Autonomía de Cataluña (EAC) por ausencia de presupuesto habilitante para la aprobación de legislación de urgencia</w:t>
      </w:r>
    </w:p>
    <w:p w14:paraId="0607B1F5" w14:textId="77777777" w:rsidR="00A8138F" w:rsidRDefault="00A8138F" w:rsidP="00A8138F">
      <w:pPr>
        <w:pStyle w:val="TextoNormal"/>
      </w:pPr>
    </w:p>
    <w:p w14:paraId="471E7F2E" w14:textId="77777777" w:rsidR="00A8138F" w:rsidRDefault="00A8138F" w:rsidP="00A8138F">
      <w:pPr>
        <w:pStyle w:val="TextoNormal"/>
      </w:pPr>
      <w:r>
        <w:t>La demanda imputa este motivo de inconstitucionalidad a los arts. 1, 2 y 3; la disposición transitoria segunda, y la disposición final primera del Decreto-ley del Gobierno de la Generalitat de Cataluña 3/2023, de 7 de noviembre, de medidas urgentes sobre el régimen urbanístico de las viviendas de uso turístico (en adelante, Decreto-ley del Gobierno de la Generalitat de Cataluña 3/2023) que establecen un régimen de sometimiento de la actividad de arrendamiento de viviendas de uso turístico a licencia administrativa previa. Según los recurrentes, esta regulación no responde a una situación de extraordinaria y urgente necesidad, presupuesto habilitante exigido por los arts. 86.1 CE y 64 EAC, máxime teniendo en cuenta la doctrina constitucional acerca de las particularidades que presentan los decretos-leyes autonómicos.</w:t>
      </w:r>
    </w:p>
    <w:p w14:paraId="7D8F74DD" w14:textId="77777777" w:rsidR="00A8138F" w:rsidRDefault="00A8138F" w:rsidP="00A8138F">
      <w:pPr>
        <w:pStyle w:val="TextoNormal"/>
      </w:pPr>
    </w:p>
    <w:p w14:paraId="6BBFF8BD" w14:textId="77777777" w:rsidR="00A8138F" w:rsidRDefault="00A8138F" w:rsidP="00A8138F">
      <w:pPr>
        <w:pStyle w:val="TextoNormal"/>
      </w:pPr>
      <w:r>
        <w:t>En este sentido argumentan, por una parte, que el Gobierno de la Generalitat de Cataluña no ha presentado de manera clara, explícita y razonada ninguna situación de extraordinaria y urgente necesidad justificadora del Decreto-ley 3/2023. Consideran que ninguna de las razones aducidas en su exposición de motivos es relevante a estos efectos, pues todas ellas se refieren a circunstancias antiguas que no requieren de una inmediata y urgente respuesta normativa, a saber: la explosión de la modalidad del turismo urbano (respecto de la cual, la demanda cita varias actuaciones previas de la Comunidad Autónoma de Cataluña reveladoras de la existencia y conocimiento del fenómeno, algunas de varias décadas de antigüedad); la aparición de plataformas de comercialización de alojamiento (plataformas que, según un estudio citado por los demandantes, se habrían consolidado entre los años 2014-2017); el contexto regulatorio de la Unión Europea relativo a la libre prestación de servicios [dada la antigüedad de la Directiva 2006/123/CE del Parlamento Europeo y del Consejo, de 12 de diciembre de 2006, relativa a los servicios en el mercado interior (en adelante, Directiva 2006/123/CE)] y la aprobación de la Ley 12/2023, de 24 de mayo, por el derecho a la vivienda (en adelante, Ley 12/2023, de 24 de mayo) ,ya que las medidas de limitación de la renta en los contratos de arrendamiento de vivienda previstas en dicha ley estatal solo pueden aplicarse a las zonas declaradas como mercado residencial tensionado, que según la Resolución TER/2940/2023, de 11 de agosto, por la que se declaran zona de mercado residencial tensionado varios municipios, de acuerdo con la Ley estatal 12/2023, de 24 de mayo, por el derecho a la vivienda —en adelante, Resolución TER/2940/2023— son un total de 140 municipios, mientras que el Decreto-ley del Gobierno de la Generalitat de Cataluña 3/2023 se aplicará, en principio, a los 262 municipios relacionados en su anexo.</w:t>
      </w:r>
    </w:p>
    <w:p w14:paraId="7500CB1E" w14:textId="77777777" w:rsidR="00A8138F" w:rsidRDefault="00A8138F" w:rsidP="00A8138F">
      <w:pPr>
        <w:pStyle w:val="TextoNormal"/>
      </w:pPr>
    </w:p>
    <w:p w14:paraId="25FA6C83" w14:textId="77777777" w:rsidR="00A8138F" w:rsidRDefault="00A8138F" w:rsidP="00A8138F">
      <w:pPr>
        <w:pStyle w:val="TextoNormal"/>
      </w:pPr>
      <w:r>
        <w:t>De otro lado, los recurrentes aducen que los preceptos impugnados no guardan la necesaria conexión de sentido con la situación de urgencia que pretendidamente tratan de afrontar, pues atendiendo a su contenido y estructura resulta que ninguna alteración instantánea o próxima producen de la situación jurídica abordada. Señala la demanda que, si bien la exposición de motivos indica que la finalidad de la norma es aliviar la “proliferación” en el territorio de Cataluña de viviendas de uso turístico, por sus efectos sobre el mercado de la vivienda y sobre el equilibrio del entorno urbano, la norma permitirá que la totalidad de las viviendas destinadas al uso turístico a la entrada en vigor de la norma sigan operando durante un periodo que oscila entre los cinco y los diez años. Consideran, por ello, que el Decreto-ley del Gobierno de la Generalitat de Cataluña 3/2023 no comenzará a producir el efecto pretendido hasta al menos cinco años después de su entrada en vigor.</w:t>
      </w:r>
    </w:p>
    <w:p w14:paraId="0E0599F7" w14:textId="77777777" w:rsidR="00A8138F" w:rsidRDefault="00A8138F" w:rsidP="00A8138F">
      <w:pPr>
        <w:pStyle w:val="TextoNormal"/>
      </w:pPr>
    </w:p>
    <w:p w14:paraId="4C37960F" w14:textId="77777777" w:rsidR="00A8138F" w:rsidRDefault="00A8138F" w:rsidP="00A8138F">
      <w:pPr>
        <w:pStyle w:val="TextoNormal"/>
      </w:pPr>
      <w:r>
        <w:t xml:space="preserve">b) </w:t>
      </w:r>
      <w:r w:rsidRPr="00A8138F">
        <w:rPr>
          <w:i/>
        </w:rPr>
        <w:t>Vulneración del art. 86.1 CE por infracción de los límites materiales de los decretos-leyes</w:t>
      </w:r>
    </w:p>
    <w:p w14:paraId="7670BD4A" w14:textId="77777777" w:rsidR="00A8138F" w:rsidRDefault="00A8138F" w:rsidP="00A8138F">
      <w:pPr>
        <w:pStyle w:val="TextoNormal"/>
      </w:pPr>
    </w:p>
    <w:p w14:paraId="719B3023" w14:textId="77777777" w:rsidR="00A8138F" w:rsidRDefault="00A8138F" w:rsidP="00A8138F">
      <w:pPr>
        <w:pStyle w:val="TextoNormal"/>
      </w:pPr>
      <w:r>
        <w:t>En segundo lugar, la demanda denuncia la inconstitucionalidad del art. 1, de la disposición final primera (apartado segundo) y de la disposición transitoria segunda del Decreto-ley del Gobierno de la Generalitat de Cataluña 3/2023 por considerar que, en tanto que sujetan el uso turístico de las viviendas a licencia previa y limitada en cantidad y duración temporal, vienen a “afectar” al derecho de propiedad privada (art. 33.1 CE) de modo prohibido por el art. 86.1 CE. Se recuerda en este sentido que este límite material que veda que mediante decreto-ley se regulen los derechos, deberes y libertades de los ciudadanos del título I de la Constitución, ha sido declarado aplicable a los decretos-leyes autonómicos en las SSTC 93/2015, de 14 de mayo, y 16/2021, de 28 de enero.</w:t>
      </w:r>
    </w:p>
    <w:p w14:paraId="3B643E15" w14:textId="77777777" w:rsidR="00A8138F" w:rsidRDefault="00A8138F" w:rsidP="00A8138F">
      <w:pPr>
        <w:pStyle w:val="TextoNormal"/>
      </w:pPr>
    </w:p>
    <w:p w14:paraId="33053339" w14:textId="77777777" w:rsidR="00A8138F" w:rsidRDefault="00A8138F" w:rsidP="00A8138F">
      <w:pPr>
        <w:pStyle w:val="TextoNormal"/>
      </w:pPr>
      <w:r>
        <w:t>Según los recurrentes, la imposibilidad de que los propietarios de viviendas incluidas en el ámbito de aplicación de la ley destinen sus inmuebles a la actividad de arrendamiento de viviendas de uso turístico, salvo que obtengan la preceptiva licencia previa, limita de forma determinante su haz de facultades como propietarios, pues restringe de forma esencial la facultad de disfrute, esto es, la facultad de percibir los frutos de la cosa mediante la obtención de compensación económica derivada de su destino al arrendamiento de vivienda de uso turístico. Sostienen que los preceptos impugnados eliminan una de las principales formas de percepción de renta de estos inmuebles, restringiéndolas en la práctica solo al arrendamiento para el uso de vivienda habitual (propia o de un arrendatario); restricción de amplio alcance, según aducen, dado el amplísimo concepto de vivienda de uso turístico que maneja la normativa sectorial autonómica en materia de turismo.</w:t>
      </w:r>
    </w:p>
    <w:p w14:paraId="11306EE6" w14:textId="77777777" w:rsidR="00A8138F" w:rsidRDefault="00A8138F" w:rsidP="00A8138F">
      <w:pPr>
        <w:pStyle w:val="TextoNormal"/>
      </w:pPr>
    </w:p>
    <w:p w14:paraId="4C8D1010" w14:textId="77777777" w:rsidR="00A8138F" w:rsidRDefault="00A8138F" w:rsidP="00A8138F">
      <w:pPr>
        <w:pStyle w:val="TextoNormal"/>
      </w:pPr>
      <w:r>
        <w:t xml:space="preserve">c) </w:t>
      </w:r>
      <w:r w:rsidRPr="00A8138F">
        <w:rPr>
          <w:i/>
        </w:rPr>
        <w:t>Vulneración del art. 24.1 CE por la fijación en la propia ley de la concreta relación de municipios en los que resultará de aplicación el nuevo régimen de licencia previa</w:t>
      </w:r>
    </w:p>
    <w:p w14:paraId="62B80A0B" w14:textId="77777777" w:rsidR="00A8138F" w:rsidRDefault="00A8138F" w:rsidP="00A8138F">
      <w:pPr>
        <w:pStyle w:val="TextoNormal"/>
      </w:pPr>
    </w:p>
    <w:p w14:paraId="577D6DB6" w14:textId="77777777" w:rsidR="00A8138F" w:rsidRDefault="00A8138F" w:rsidP="00A8138F">
      <w:pPr>
        <w:pStyle w:val="TextoNormal"/>
      </w:pPr>
      <w:r>
        <w:t>En tercer lugar, los recurrentes impugnan el art. 2 y el anexo del Decreto-ley del Gobierno de la Generalitat de Cataluña 3/2023, que se refieren a la relación de municipios en los que se aplica el régimen de licencia previa, por considerar que convierten a la norma en una ley singular —encuadrable en la categoría de las leyes que atienden a un supuesto de hecho concreto y singular— que no supera el canon de razonabilidad, proporcionalidad y adecuación perfilado por la doctrina constitucional. Para los recurrentes resulta desproporcionado que esta delimitación se realice mediante norma con rango de ley, pues no responde a una situación excepcionalmente compleja o trascendente que no pueda ser atendida por las potestades normales y regularmente atribuidas a la administración, como probaría el hecho de que el propio art. 3 del Decreto-ley 3/2023 prevea que su anexo será sustituido por el anexo contenido en una futura norma reglamentaria. En particular, la demanda argumenta que las previsiones impugnadas sustraen a los propietarios afectados y a los propios municipios, la posibilidad de acudir al control jurisdiccional ordinario para que enjuicie la decisión relativa al ámbito de aplicación del régimen de licencia previa, infringiendo con ello el derecho a la tutela judicial efectiva en su vertiente de derecho de acceso a la jurisdicción (art. 24.1 CE).</w:t>
      </w:r>
    </w:p>
    <w:p w14:paraId="0F79F0D4" w14:textId="77777777" w:rsidR="00A8138F" w:rsidRDefault="00A8138F" w:rsidP="00A8138F">
      <w:pPr>
        <w:pStyle w:val="TextoNormal"/>
      </w:pPr>
    </w:p>
    <w:p w14:paraId="52694269" w14:textId="77777777" w:rsidR="00A8138F" w:rsidRDefault="00A8138F" w:rsidP="00A8138F">
      <w:pPr>
        <w:pStyle w:val="TextoNormal"/>
      </w:pPr>
      <w:r>
        <w:t xml:space="preserve">d) </w:t>
      </w:r>
      <w:r w:rsidRPr="00A8138F">
        <w:rPr>
          <w:i/>
        </w:rPr>
        <w:t>Vulneración de la autonomía local (arts. 137 y 141 CE y 2 EAC) por la falta de participación de los municipios en el diseño del régimen de licencia previa</w:t>
      </w:r>
    </w:p>
    <w:p w14:paraId="5D8CCBA3" w14:textId="77777777" w:rsidR="00A8138F" w:rsidRDefault="00A8138F" w:rsidP="00A8138F">
      <w:pPr>
        <w:pStyle w:val="TextoNormal"/>
      </w:pPr>
    </w:p>
    <w:p w14:paraId="63962A99" w14:textId="77777777" w:rsidR="00A8138F" w:rsidRDefault="00A8138F" w:rsidP="00A8138F">
      <w:pPr>
        <w:pStyle w:val="TextoNormal"/>
      </w:pPr>
      <w:r>
        <w:lastRenderedPageBreak/>
        <w:t>El cuarto motivo de impugnación se proyecta sobre los arts. 1 y 2, la disposición final primera (apartado segundo) y el anexo del Decreto-ley del Gobierno de la Generalitat de Cataluña 3/2023, por cuanto estos, al diseñar el régimen de licencia previa aplicable a las viviendas de uso turístico de determinados municipios, no reservan a estos ninguna intervención en el diseño normativo de tal régimen jurídico ni en la delimitación de su ámbito de aplicación. Según los recurrentes, ello vulnera la autonomía local (arts. 137 y 141 CE, y 2 EAC) porque no existe proporción entre esta falta de participación y el elevado grado de intensidad de los intereses locales en la materia, pues no solo resultan afectadas las competencias locales en materia de urbanismo, sino también intereses municipales esenciales como el desarrollo turístico, la actividad económica que les sirve de soporte, los crecimientos o desarrollos urbanísticos, el desarrollo del comercio, la gestión de los residuos, la prestación de servicios esenciales, la atención sanitaria y social, la promoción cultural, la dimensión de las plantillas y de los servicios locales.</w:t>
      </w:r>
    </w:p>
    <w:p w14:paraId="2AC023B6" w14:textId="77777777" w:rsidR="00A8138F" w:rsidRDefault="00A8138F" w:rsidP="00A8138F">
      <w:pPr>
        <w:pStyle w:val="TextoNormal"/>
      </w:pPr>
    </w:p>
    <w:p w14:paraId="70401E27" w14:textId="77777777" w:rsidR="00A8138F" w:rsidRDefault="00A8138F" w:rsidP="00A8138F">
      <w:pPr>
        <w:pStyle w:val="TextoNormal"/>
      </w:pPr>
      <w:r>
        <w:t xml:space="preserve">e) </w:t>
      </w:r>
      <w:r w:rsidRPr="00A8138F">
        <w:rPr>
          <w:i/>
        </w:rPr>
        <w:t>Vulneración del art 33.3 CE por acometerse una expropiación legislativa sin respetar las garantías constitucionales de la expropiación forzosa</w:t>
      </w:r>
    </w:p>
    <w:p w14:paraId="17EB6F67" w14:textId="77777777" w:rsidR="00A8138F" w:rsidRDefault="00A8138F" w:rsidP="00A8138F">
      <w:pPr>
        <w:pStyle w:val="TextoNormal"/>
      </w:pPr>
    </w:p>
    <w:p w14:paraId="4607DCB1" w14:textId="77777777" w:rsidR="00A8138F" w:rsidRDefault="00A8138F" w:rsidP="00A8138F">
      <w:pPr>
        <w:pStyle w:val="TextoNormal"/>
      </w:pPr>
      <w:r>
        <w:t>En quinto lugar, la demanda reprocha a la disposición transitoria segunda del Decreto-ley del Gobierno de la Generalitat de Cataluña 3/2023, que bajo la apariencia de una mera regulación del régimen transitorio de las viviendas de uso turístico en funcionamiento a la entrada en vigor de la norma, viene en realidad a realizar una expropiación del derecho de ejercicio de la actividad de arrendamiento de viviendas de uso turístico sin sujetarse a las garantías exigidas por el art. 33.3 CE. Los recurrentes argumentan que estamos ante una regulación materialmente expropiatoria —como el propio precepto reconocería al hablar de la “pérdida del título habilitante” y del derecho a seguir ejerciendo la actividad durante cinco años como una “indemnización por todos los conceptos”—, pues no impone una mera limitación, sino una auténtica privación de la posibilidad de destinar la vivienda al arrendamiento para uso turístico, que constituye un activo integrado en el patrimonio jurídico de los propietarios, con valor patrimonial y naturaleza transmisible.</w:t>
      </w:r>
    </w:p>
    <w:p w14:paraId="3C326A07" w14:textId="77777777" w:rsidR="00A8138F" w:rsidRDefault="00A8138F" w:rsidP="00A8138F">
      <w:pPr>
        <w:pStyle w:val="TextoNormal"/>
      </w:pPr>
    </w:p>
    <w:p w14:paraId="146E9BF6" w14:textId="77777777" w:rsidR="00A8138F" w:rsidRDefault="00A8138F" w:rsidP="00A8138F">
      <w:pPr>
        <w:pStyle w:val="TextoNormal"/>
      </w:pPr>
      <w:r>
        <w:t>Tras aludir a la doctrina constitucional sobre los requisitos de las leyes expropiatorias singulares, los recurrentes denuncian, por una parte, que la disposición impugnada no se apoya en ninguna causa expropiatoria, pues la misma no aparece identificada en el Decreto-ley del Gobierno de la Generalitat de Cataluña 3/2023, y no puede entenderse como tal una pretendida promoción del derecho de acceso a la vivienda, ya que la causa expropiatoria ha de referirse al destino o fin al que se dedicará el bien o derecho expropiado. De otro lado, la demanda señala que tampoco se cumple la exigencia de indemnización prevista en el art. 33.3 CE, que exigiría el abono de una contraprestación económica equivalente al valor del derecho expropiado y que no puede entenderse cubierta con el régimen transitorio previsto por la disposición transitoria segunda, que es arbitrario y no guarda ni puede guardar, atendida su forma de determinación, equilibrio proporcional alguno con el valor del derecho expropiado.</w:t>
      </w:r>
    </w:p>
    <w:p w14:paraId="32957375" w14:textId="77777777" w:rsidR="00A8138F" w:rsidRDefault="00A8138F" w:rsidP="00A8138F">
      <w:pPr>
        <w:pStyle w:val="TextoNormal"/>
      </w:pPr>
    </w:p>
    <w:p w14:paraId="50807D56" w14:textId="77777777" w:rsidR="00A8138F" w:rsidRDefault="00A8138F" w:rsidP="00A8138F">
      <w:pPr>
        <w:pStyle w:val="TextoNormal"/>
      </w:pPr>
      <w:r>
        <w:t xml:space="preserve">f) </w:t>
      </w:r>
      <w:r w:rsidRPr="00A8138F">
        <w:rPr>
          <w:i/>
        </w:rPr>
        <w:t>Vulneración del principio de seguridad jurídica (art. 9.3 CE) en la definición de los requisitos para considerar que un municipio sufre “problemas de acceso a la vivienda”</w:t>
      </w:r>
    </w:p>
    <w:p w14:paraId="19F6218E" w14:textId="77777777" w:rsidR="00A8138F" w:rsidRDefault="00A8138F" w:rsidP="00A8138F">
      <w:pPr>
        <w:pStyle w:val="TextoNormal"/>
      </w:pPr>
    </w:p>
    <w:p w14:paraId="5CF0FB61" w14:textId="77777777" w:rsidR="00A8138F" w:rsidRDefault="00A8138F" w:rsidP="00A8138F">
      <w:pPr>
        <w:pStyle w:val="TextoNormal"/>
      </w:pPr>
      <w:r>
        <w:t>El sexto motivo de impugnación se proyecta sobre el apartado 1 a) de la disposición transitoria primera del Decreto-ley, que dispone que se considerarán municipios con “pro</w:t>
      </w:r>
      <w:r>
        <w:lastRenderedPageBreak/>
        <w:t>blemas de acceso a la vivienda”, entre otros, aquellos en los que concurra la circunstancia de “que la carga media del coste del alquiler o de la hipoteca en el presupuesto personal o de la unidad de convivencia, más los gastos y suministros básicos, supere el 30 por 100 de los ingresos medios o de la renta media de los hogares”. Tras recordar que estos criterios son cruciales para delimitar el futuro ámbito de aplicación del Decreto-ley 3/2023, a tenor de sus arts. 2 y 3, los recurrentes denuncian que el apartado impugnado está aquejado de una imprecisión, falta de tecnicismo, ausencia de criterio jurídico y deliberada ambigüedad, contrarios al principio constitucional de seguridad jurídica (art. 9.3 CE). A estos efectos, señalan que el cálculo al que remite el apartado impugnado no aparece referenciado a un periodo temporal concreto; que el precepto no define qué conceptos integran el “coste del alquiler o de la hipoteca” ni los “gastos y suministros básicos” ni los “ingresos medios o la renta media de los hogares”. En particular, denuncian que la norma permite tantas interpretaciones que conduce a sus destinatarios a la más absoluta inseguridad y confusión, sin generar una expectativa razonable sobre la futura aplicación del decreto-ley y no permite que la futura lista de municipios afectados se realice con criterio sólido y previsible.</w:t>
      </w:r>
    </w:p>
    <w:p w14:paraId="2F693636" w14:textId="77777777" w:rsidR="00A8138F" w:rsidRDefault="00A8138F" w:rsidP="00A8138F">
      <w:pPr>
        <w:pStyle w:val="TextoNormal"/>
      </w:pPr>
    </w:p>
    <w:p w14:paraId="0AE889D3" w14:textId="77777777" w:rsidR="00A8138F" w:rsidRDefault="00A8138F" w:rsidP="00A8138F">
      <w:pPr>
        <w:pStyle w:val="TextoNormal"/>
      </w:pPr>
      <w:r>
        <w:t xml:space="preserve">g) </w:t>
      </w:r>
      <w:r w:rsidRPr="00A8138F">
        <w:rPr>
          <w:i/>
        </w:rPr>
        <w:t>Vulneración del principio de igualdad (art. 14 CE) por establecer un régimen diferente para el uso turístico de las viviendas en función del municipio en que se encuentren</w:t>
      </w:r>
    </w:p>
    <w:p w14:paraId="03A2B812" w14:textId="77777777" w:rsidR="00A8138F" w:rsidRDefault="00A8138F" w:rsidP="00A8138F">
      <w:pPr>
        <w:pStyle w:val="TextoNormal"/>
      </w:pPr>
    </w:p>
    <w:p w14:paraId="5FAC9059" w14:textId="77777777" w:rsidR="00A8138F" w:rsidRDefault="00A8138F" w:rsidP="00A8138F">
      <w:pPr>
        <w:pStyle w:val="TextoNormal"/>
      </w:pPr>
      <w:r>
        <w:t>En séptimo lugar, la demanda impugna el art. 2 y el anexo del Decreto-ley del Gobierno de la Generalitat de Cataluña 3/2023, que se refieren a la relación de municipios en los que se aplica el régimen de licencia previa, por entender que someten a los titulares de viviendas a un régimen jurídico diferenciado a la hora de ejercer la actividad de arrendamiento para uso turístico en función del municipio donde tal actividad se ejerza, sin que esa diferenciación responda a una justificación objetiva y razonable. Para los recurrentes, la justificación aportada por el Decreto-ley 3/2023, de que estos municipios presentan problemas de acceso a la vivienda o riesgo de romper el equilibrio del entorno urbano por una alta concentración de viviendas de uso turístico no es más que una invocación formal y vacía. Argumentan, en esta línea, que el decreto-ley no aplica ningún criterio para la elaboración de su propio anexo, a diferencia de lo que sucederá con las sucesivas futuras normas reglamentarias previstas en el art. 3, que habrán de determinar la lista de municipios a los que se aplicará el régimen de licencia previa según los criterios contenidos en la disposición transitoria primera.</w:t>
      </w:r>
    </w:p>
    <w:p w14:paraId="4BE2C563" w14:textId="77777777" w:rsidR="00A8138F" w:rsidRDefault="00A8138F" w:rsidP="00A8138F">
      <w:pPr>
        <w:pStyle w:val="TextoNormal"/>
      </w:pPr>
    </w:p>
    <w:p w14:paraId="7B1AD3AF" w14:textId="77777777" w:rsidR="00A8138F" w:rsidRDefault="00A8138F" w:rsidP="00A8138F">
      <w:pPr>
        <w:pStyle w:val="TextoNormal"/>
      </w:pPr>
      <w:r>
        <w:t xml:space="preserve">h) </w:t>
      </w:r>
      <w:r w:rsidRPr="00A8138F">
        <w:rPr>
          <w:i/>
        </w:rPr>
        <w:t>Vulneración de la competencia exclusiva del Estado en materia de bases y coordinación de la planificación general de la actividad económica (art. 149.1.13 CE) por contravención del art. 17 de la Ley 20/2013, de 9 de diciembre, de garantía de la unidad de mercado</w:t>
      </w:r>
    </w:p>
    <w:p w14:paraId="2D46E903" w14:textId="77777777" w:rsidR="00A8138F" w:rsidRDefault="00A8138F" w:rsidP="00A8138F">
      <w:pPr>
        <w:pStyle w:val="TextoNormal"/>
      </w:pPr>
    </w:p>
    <w:p w14:paraId="6A2365A7" w14:textId="77777777" w:rsidR="00A8138F" w:rsidRDefault="00A8138F" w:rsidP="00A8138F">
      <w:pPr>
        <w:pStyle w:val="TextoNormal"/>
      </w:pPr>
      <w:r>
        <w:t xml:space="preserve">El octavo y último motivo de impugnación se dirige contra el art. 1, el apartado primero de la disposición transitoria segunda y la disposición final primera del Decreto-ley del Gobierno de la Generalitat de Cataluña 3/2023. Para los demandantes, la exigencia de una autorización previa establecida en estos preceptos es contraria al art. 17 de la Ley 20/2013, de 9 de diciembre, de garantía de la unidad de mercado (en adelante, Ley de garantía de la unidad de mercado) —cuyo carácter básico reconoció la STC 79/2017, de 22 de junio— porque ha de entenderse que la “razón imperiosa de interés general” que la justifica es la garantía de acceso a una vivienda digna, razón que no está incluida entre las contempladas, con carácter de </w:t>
      </w:r>
      <w:r w:rsidRPr="00A8138F">
        <w:rPr>
          <w:i/>
        </w:rPr>
        <w:t>numerus clausus</w:t>
      </w:r>
      <w:r>
        <w:t>, en el art. 17.1 de la Ley 20/2013. Ello supondría una vul</w:t>
      </w:r>
      <w:r>
        <w:lastRenderedPageBreak/>
        <w:t>neración de la competencia estatal en cuyo ejercicio se aprobó dicho precepto básico (art. 149.1.13 CE), resultando en la inconstitucionalidad mediata de los preceptos impugnados.</w:t>
      </w:r>
    </w:p>
    <w:p w14:paraId="6DDF0775" w14:textId="77777777" w:rsidR="00A8138F" w:rsidRDefault="00A8138F" w:rsidP="00A8138F">
      <w:pPr>
        <w:pStyle w:val="TextoNormal"/>
      </w:pPr>
    </w:p>
    <w:p w14:paraId="27479575" w14:textId="2340D24C" w:rsidR="00A8138F" w:rsidRDefault="00A8138F" w:rsidP="00A8138F">
      <w:pPr>
        <w:pStyle w:val="TextoNormal"/>
      </w:pPr>
      <w:r>
        <w:t>La demanda finaliza instando al Tribunal la reclamación del expediente de elaboración de la disposición impugnada conforme al art. 88.1 de la Ley Orgánica del Tribunal Constitucional (LOTC), así como la eventual extensión de la declaración de inconstitucionalidad a otros preceptos en virtud de infracciones distintas de las invocadas conforme al art. 39 LOTC.</w:t>
      </w:r>
    </w:p>
    <w:p w14:paraId="3D3D79C2" w14:textId="77777777" w:rsidR="00A8138F" w:rsidRDefault="00A8138F" w:rsidP="00A8138F">
      <w:pPr>
        <w:pStyle w:val="TextoNormal"/>
      </w:pPr>
    </w:p>
    <w:p w14:paraId="72508272" w14:textId="70FE62C3" w:rsidR="00A8138F" w:rsidRDefault="00A8138F" w:rsidP="00A8138F">
      <w:pPr>
        <w:pStyle w:val="TextoNormal"/>
      </w:pPr>
      <w:r w:rsidRPr="00A8138F">
        <w:rPr>
          <w:rStyle w:val="NumeroAFNegritaCaracter"/>
        </w:rPr>
        <w:t>3</w:t>
      </w:r>
      <w:r>
        <w:t>. Por providencia de 27 de febrero de 2024, a propuesta de la Sección Cuarta, el Pleno acordó admitir a trámite el recurso y dar traslado de la demanda y los documentos presentados, conforme establece el art. 34 LOTC, al Congreso de los Diputados y al Senado, por conducto de sus presidencias, y al Gobierno, a través del ministro de Justicia, así como al Parlamento de Cataluña y al Gobierno de la Generalitat de Cataluña, por conducto de sus presidentes, al objeto de que, en el plazo de quince días, puedan personarse en el proceso y formular alegaciones. Asimismo, se acordó publicar la incoación del procedimiento en el “Boletín Oficial del Estado” y en el “Diari Oficial de la Generalitat de Catalunya”, lo que se verificó, respectivamente, en los núm. 56 y 9114, de 4 de marzo de 2024.</w:t>
      </w:r>
    </w:p>
    <w:p w14:paraId="61FE7E05" w14:textId="77777777" w:rsidR="00A8138F" w:rsidRDefault="00A8138F" w:rsidP="00A8138F">
      <w:pPr>
        <w:pStyle w:val="TextoNormal"/>
      </w:pPr>
    </w:p>
    <w:p w14:paraId="4C3B83D4" w14:textId="224A9898" w:rsidR="00A8138F" w:rsidRDefault="00A8138F" w:rsidP="00A8138F">
      <w:pPr>
        <w:pStyle w:val="TextoNormal"/>
      </w:pPr>
      <w:r w:rsidRPr="00A8138F">
        <w:rPr>
          <w:rStyle w:val="NumeroAFNegritaCaracter"/>
        </w:rPr>
        <w:t>4</w:t>
      </w:r>
      <w:r>
        <w:t>. El abogado de la Generalitat de Cataluña se personó en el proceso mediante escrito registrado en este tribunal el 12 de marzo de 2024, en el que solicitaba una prórroga del plazo inicialmente concedido para formular alegaciones. La prórroga le fue concedida por diligencia de ordenación de la Secretaría de Justicia del Pleno de 14 de marzo de 2024.</w:t>
      </w:r>
    </w:p>
    <w:p w14:paraId="23C79321" w14:textId="77777777" w:rsidR="00A8138F" w:rsidRDefault="00A8138F" w:rsidP="00A8138F">
      <w:pPr>
        <w:pStyle w:val="TextoNormal"/>
      </w:pPr>
    </w:p>
    <w:p w14:paraId="2D612A55" w14:textId="7096F873" w:rsidR="00A8138F" w:rsidRDefault="00A8138F" w:rsidP="00A8138F">
      <w:pPr>
        <w:pStyle w:val="TextoNormal"/>
      </w:pPr>
      <w:r w:rsidRPr="00A8138F">
        <w:rPr>
          <w:rStyle w:val="NumeroAFNegritaCaracter"/>
        </w:rPr>
        <w:t>5</w:t>
      </w:r>
      <w:r>
        <w:t>. Mediante escrito registrado en el Tribunal Constitucional el 13 de marzo de 2024, la presidenta del Congreso de los Diputados comunicó el acuerdo de la mesa de la Cámara por el que esta se personaba en el proceso y ofrecía su colaboración a los efectos del art. 88.1 LOTC. Lo mismo hizo el presidente del Senado mediante escrito que tuvo entrada en este tribunal el 14 de marzo de 2024.</w:t>
      </w:r>
    </w:p>
    <w:p w14:paraId="50EA8B78" w14:textId="77777777" w:rsidR="00A8138F" w:rsidRDefault="00A8138F" w:rsidP="00A8138F">
      <w:pPr>
        <w:pStyle w:val="TextoNormal"/>
      </w:pPr>
    </w:p>
    <w:p w14:paraId="72698D51" w14:textId="565F4AF2" w:rsidR="00A8138F" w:rsidRDefault="00A8138F" w:rsidP="00A8138F">
      <w:pPr>
        <w:pStyle w:val="TextoNormal"/>
      </w:pPr>
      <w:r w:rsidRPr="00A8138F">
        <w:rPr>
          <w:rStyle w:val="NumeroAFNegritaCaracter"/>
        </w:rPr>
        <w:t>6</w:t>
      </w:r>
      <w:r>
        <w:t>. Mediante escrito registrado en este tribunal el 21 de marzo de 2024, el abogado del Estado indicó que no iba a formular alegaciones y que se personaba exclusivamente a los efectos de que en su día se le notificasen las resoluciones que en él se dicten.</w:t>
      </w:r>
    </w:p>
    <w:p w14:paraId="264F65F6" w14:textId="77777777" w:rsidR="00A8138F" w:rsidRDefault="00A8138F" w:rsidP="00A8138F">
      <w:pPr>
        <w:pStyle w:val="TextoNormal"/>
      </w:pPr>
    </w:p>
    <w:p w14:paraId="3F79CC11" w14:textId="77777777" w:rsidR="00A8138F" w:rsidRDefault="00A8138F" w:rsidP="00A8138F">
      <w:pPr>
        <w:pStyle w:val="TextoNormal"/>
      </w:pPr>
      <w:r w:rsidRPr="00A8138F">
        <w:rPr>
          <w:rStyle w:val="NumeroAFNegritaCaracter"/>
        </w:rPr>
        <w:t>7</w:t>
      </w:r>
      <w:r>
        <w:t>. El letrado del Parlamento de Cataluña, en representación y defensa de este, se personó en el proceso mediante escrito registrado en el Tribunal Constitucional el 22 de marzo de 2024, en el que solicitó la íntegra desestimación del recurso por los motivos que sucintamente se exponen a continuación:</w:t>
      </w:r>
    </w:p>
    <w:p w14:paraId="2CA260AC" w14:textId="77777777" w:rsidR="00A8138F" w:rsidRDefault="00A8138F" w:rsidP="00A8138F">
      <w:pPr>
        <w:pStyle w:val="TextoNormal"/>
      </w:pPr>
    </w:p>
    <w:p w14:paraId="6630DE71" w14:textId="77777777" w:rsidR="00A8138F" w:rsidRDefault="00A8138F" w:rsidP="00A8138F">
      <w:pPr>
        <w:pStyle w:val="TextoNormal"/>
      </w:pPr>
      <w:r>
        <w:t>a) El Decreto-ley del Gobierno de la Generalitat de Cataluña 3/2023 cumple los requisitos exigidos por los arts. 86 CE y 64 EAC, por responder a una situación de extraordinaria y urgente necesidad y existir una conexión de sentido entre dicha situación y las medidas adoptadas para afrontarla.</w:t>
      </w:r>
    </w:p>
    <w:p w14:paraId="543F83A0" w14:textId="77777777" w:rsidR="00A8138F" w:rsidRDefault="00A8138F" w:rsidP="00A8138F">
      <w:pPr>
        <w:pStyle w:val="TextoNormal"/>
      </w:pPr>
    </w:p>
    <w:p w14:paraId="42DD779B" w14:textId="77777777" w:rsidR="00A8138F" w:rsidRDefault="00A8138F" w:rsidP="00A8138F">
      <w:pPr>
        <w:pStyle w:val="TextoNormal"/>
      </w:pPr>
      <w:r>
        <w:t xml:space="preserve">En cuanto al presupuesto habilitante, el letrado de la asamblea autonómica sostiene que el recurso confunde la extraordinaria y urgente necesidad con una situación excepcional, sobrevenida e imprevisible, y argumenta que el fenómeno de la vivienda de uso turístico, </w:t>
      </w:r>
      <w:r>
        <w:lastRenderedPageBreak/>
        <w:t>aunque existente y conocido desde hace tiempo, reviste en la actualidad una gravedad mayor por varios motivos que, según expone, habrían sido suficientemente justificados tanto en el preámbulo del decreto-ley como en el debate parlamentario trabado en la sesión de convalidación. En cuanto a las circunstancias consideradas por la doctrina constitucional en relación específicamente con la legislación de urgencia autonómica, el letrado del Parlamento de Cataluña argumenta, por una parte, que sobre la naturaleza de la competencia ejercida al aprobar el decreto-ley impugnado nada argüye el recurso, que no levanta la necesaria carga alegatoria en este punto, y que en todo caso la importancia de la vivienda y el urbanismo justificaría el uso de este instrumento normativo. De otro lado, y en cuanto al carácter unicameral del Parlamento de Cataluña, sostiene que este factor no puede ser determinante, pues en tal caso vaciaría de contenido una potestad normativa prevista en el estatuto, además de que el carácter unicameral de una asamblea legislativa no presupone siempre una inmediatez en el ejercicio de la potestad legislativa, cuestión que depende de las previsiones específicas de los reglamentos parlamentarios y también de las prácticas y costumbres parlamentarias. En este punto argumenta que el decreto-ley impugnado comenzó a tramitarse como proyecto de ley después de su convalidación, pero que no llegó a completar su recorrido parlamentario antes de la disolución de la Cámara el 19 de marzo de 2024 porque, a pesar de tramitarse por el procedimiento de urgencia, el Parlamento de Cataluña incluye en el procedimiento legislativo una fase de participación de organizaciones y grupos sociales que, en la práctica, suele incrementar notablemente el tiempo de tramitación de las iniciativas legislativas. El letrado del Parlamento de Cataluña alude también al equilibro institucional entre Parlamento y Gobierno que, a su juicio, garantizan los arts. 64 EAC y 86 CE al regular la potestad legislativa urgente del Gobierno.</w:t>
      </w:r>
    </w:p>
    <w:p w14:paraId="1CC64C43" w14:textId="77777777" w:rsidR="00A8138F" w:rsidRDefault="00A8138F" w:rsidP="00A8138F">
      <w:pPr>
        <w:pStyle w:val="TextoNormal"/>
      </w:pPr>
    </w:p>
    <w:p w14:paraId="54F5D277" w14:textId="77777777" w:rsidR="00A8138F" w:rsidRDefault="00A8138F" w:rsidP="00A8138F">
      <w:pPr>
        <w:pStyle w:val="TextoNormal"/>
      </w:pPr>
      <w:r>
        <w:t>Por lo que respecta a la conexión de sentido entre la situación de extraordinaria y urgente necesidad declarada y las medidas incluidas en el decreto-ley impugnado, el letrado del Parlamento de Cataluña alega que el recurso no la discute propiamente, sino que hace un juicio de valor sobre los efectos que pueden tener las medidas contempladas para cumplir la finalidad que persigue la norma. Razona de contrario (i) que el régimen introducido por el Decreto-ley del Gobierno de la Generalitat de Cataluña 3/2023, guarda un relación directa y clara con la situación jurídica urgente que se pretende solucionar, pues modifica sustancialmente la situación jurídica preexistente; (ii) que la discusión relativa a la oportunidad de las opciones reguladoras se adentra en un terreno valorativo que desborda el juicio de constitucionalidad que cabe hacer conforme al art. 86.1 CE; y (iii) que el recurso incurre en incoherencia argumental cuando por una parte se denuncia la insuficiencia de las medidas contenidas en el decreto-ley y, de otro lado, en varios pasajes de la demanda se exageran sus efectos por considerarlos excesivos.</w:t>
      </w:r>
    </w:p>
    <w:p w14:paraId="65B8F0FD" w14:textId="77777777" w:rsidR="00A8138F" w:rsidRDefault="00A8138F" w:rsidP="00A8138F">
      <w:pPr>
        <w:pStyle w:val="TextoNormal"/>
      </w:pPr>
    </w:p>
    <w:p w14:paraId="7EF6FA95" w14:textId="77777777" w:rsidR="00A8138F" w:rsidRDefault="00A8138F" w:rsidP="00A8138F">
      <w:pPr>
        <w:pStyle w:val="TextoNormal"/>
      </w:pPr>
      <w:r>
        <w:t>b) El decreto-ley impugnado no vulnera los límites materiales de los decretos-leyes (art. 86.1 CE) en relación con el derecho de propiedad privada (art. 33.1 CE). La representación procesal del Parlamento de Cataluña niega, tras sintetizar la doctrina constitucional al respecto, que el decreto-ley impugnado establezca una regulación directa y general del derecho de propiedad o que afecte a su contenido esencial. Alega, en particular, que la norma no pretende en modo alguno definir el contenido del derecho de propiedad sobre la vivienda, sino que solamente afecta a su uso turístico —condicionándolo, no prohibiéndolo— y no impide ni condiciona otros usos de aquella, de modo que no afecta al contenido esencial del derecho de propiedad; derecho que, por lo demás, no alcanza a determinar libremente y sin condicionante alguno el uso arrendaticio de la vivienda.</w:t>
      </w:r>
    </w:p>
    <w:p w14:paraId="42285986" w14:textId="77777777" w:rsidR="00A8138F" w:rsidRDefault="00A8138F" w:rsidP="00A8138F">
      <w:pPr>
        <w:pStyle w:val="TextoNormal"/>
      </w:pPr>
    </w:p>
    <w:p w14:paraId="6D2C83AF" w14:textId="77777777" w:rsidR="00A8138F" w:rsidRDefault="00A8138F" w:rsidP="00A8138F">
      <w:pPr>
        <w:pStyle w:val="TextoNormal"/>
      </w:pPr>
      <w:r>
        <w:t>c) El Decreto-ley del Gobierno de la Generalitat de Cataluña 3/2023 no es una norma singular o autoaplicativa vulneradora del art. 24 CE. Argumenta el letrado del Parlamento de Cataluña que el carácter regulador del decreto-ley es evidente en todo su contenido, que su propio tenor prevé actos administrativos de aplicación, y que su finalidad es la que determina que se aplique solamente a los municipios de Cataluña donde se planteen los problemas que tratan de combatirse, de modo que su anexo no es un acto ejecutivo en el sentido que se atribuye a una ley singular o autoaplicativa, sino simplemente una previsión que determina el ámbito territorial de aplicación de la norma. Indica también la representación procesal del Parlamento de Cataluña que, aunque el art. 2 del Decreto-ley 3/2023 no lo diga expresamente, el principio de coherencia normativa lleva a presuponer que la confección del anexo se ha basado en los criterios establecidos en la disposición transitoria primera para sus ulteriores revisiones, sin que el recurso aporte prueba alguna de que tal anexo se haya elaborado de modo irrazonable o arbitrario.</w:t>
      </w:r>
    </w:p>
    <w:p w14:paraId="1C6A9564" w14:textId="77777777" w:rsidR="00A8138F" w:rsidRDefault="00A8138F" w:rsidP="00A8138F">
      <w:pPr>
        <w:pStyle w:val="TextoNormal"/>
      </w:pPr>
    </w:p>
    <w:p w14:paraId="5B2B19CD" w14:textId="77777777" w:rsidR="00A8138F" w:rsidRDefault="00A8138F" w:rsidP="00A8138F">
      <w:pPr>
        <w:pStyle w:val="TextoNormal"/>
      </w:pPr>
      <w:r>
        <w:t>d) El Decreto-ley 3/2023 no vulnera el principio de autonomía local porque reconoce a los municipios una importante participación, tanto normativa como ejecutiva, en el régimen de intervención administrativa sobre las viviendas de uso turístico. Tras recordar que la autonomía local es un principio de configuración legal [con cita, entre otras, de las SSTC 32/1981, de 28 de julio, FJ 4, y 41/2016, de 3 de marzo, FJ 11 b)] señala que acoger la tesis de los recurrentes supondría aceptar que la autonomía local debería limitar la libertad del legislador sectorial en lo que atañe a la elección del modelo regulador, de modo que los municipios tendrían derecho a actuar, en la práctica, como colegisladores. Por lo demás, el Decreto-ley 3/2023 ha reservado a los municipios importantes facultades de participación, a saber: (i) la tramitación y otorgamiento de las licencias necesarias para destinar las viviendas a uso turístico; (ii) la posibilidad de que los municipios completen el régimen previsto en el Decreto-ley 3/2023 mediante su poder de ordenanza, y (iii) la capacidad de decisión de los municipios sobre la misma aplicación del régimen de licencia previa, cuando esa aplicación se condiciona, en la disposición final primera del decreto-ley, a las previsiones del planeamiento urbanístico.</w:t>
      </w:r>
    </w:p>
    <w:p w14:paraId="7E7CFE63" w14:textId="77777777" w:rsidR="00A8138F" w:rsidRDefault="00A8138F" w:rsidP="00A8138F">
      <w:pPr>
        <w:pStyle w:val="TextoNormal"/>
      </w:pPr>
    </w:p>
    <w:p w14:paraId="1EF42FBD" w14:textId="77777777" w:rsidR="00A8138F" w:rsidRDefault="00A8138F" w:rsidP="00A8138F">
      <w:pPr>
        <w:pStyle w:val="TextoNormal"/>
      </w:pPr>
      <w:r>
        <w:t>e) La disposición transitoria segunda del Decreto-ley 3/2023 no vulnera el art. 33.3 CE. El letrado del Parlamento de Cataluña sostiene que la citada disposición es una norma de Derecho transitorio dirigida a facilitar a quienes disponían de títulos habilitantes previos que se ajusten al nuevo marco legal. Se alega en este sentido que el decreto-ley no anula ni despoja a sus titulares de los títulos habilitantes, sino que solamente establece una prórroga de sus efectos para que esos titulares se sometan, como todos los demás propietarios de viviendas, al nuevo régimen de licencia. Además, dicha moratoria se establece en unos términos especialmente deferentes, dada su duración y la posibilidad de prórroga. Por lo demás, el letrado del Parlamento de Cataluña señala que el recurso incurre en una notoria exageración y distorsión al sostener la naturaleza expropiatoria de la disposición impugnada, pues en realidad estamos ante una medida que afecta solo a un determinado y concreto uso arrendaticio de la vivienda (el uso turístico) y no a otros posibles, además de que esa afectación tiene la forma de un condicionamiento y no de una prohibición. La mera hipótesis de que la licencia pueda no ser concedida no puede llevarse hasta el extremo de afirmar, como pretende el recurso, la existencia de una expropiación material.</w:t>
      </w:r>
    </w:p>
    <w:p w14:paraId="3A200DA6" w14:textId="77777777" w:rsidR="00A8138F" w:rsidRDefault="00A8138F" w:rsidP="00A8138F">
      <w:pPr>
        <w:pStyle w:val="TextoNormal"/>
      </w:pPr>
    </w:p>
    <w:p w14:paraId="229C87F4" w14:textId="77777777" w:rsidR="00A8138F" w:rsidRDefault="00A8138F" w:rsidP="00A8138F">
      <w:pPr>
        <w:pStyle w:val="TextoNormal"/>
      </w:pPr>
      <w:r>
        <w:lastRenderedPageBreak/>
        <w:t>Reseña la doctrina constitucional relativa a la diferencia entre la expropiación legislativa y la delimitación legislativa del contenido del derecho de propiedad. Y concluye que el régimen establecido por el Decreto-ley 3/2023 es expresión de esta última actividad del legislador, en concreto, en ejercicio de las competencias autonómicas sobre ordenación del territorio y urbanismo (art. 149.5 EAC) y vivienda (art. 137.1 EAC), materias donde la función social del derecho de propiedad adquiere especial relevancia para la protección y garantía de los intereses de la comunidad. Niega que el uso turístico de una vivienda pueda ser considerado en términos absolutos e incondicionados como un elemento esencial del derecho de propiedad, de modo que su sometimiento a un régimen de intervención administrativa previa no constituye una privación singular a los efectos del art. 33.3 CE. Las restricciones que establece el decreto-ley no privan a los propietarios de las viviendas de ninguna facultad (solo la condicionan), y, en todo caso, la facultad afectada no es una sin la cual el derecho de propiedad no se haga reconocible.</w:t>
      </w:r>
    </w:p>
    <w:p w14:paraId="446603A0" w14:textId="77777777" w:rsidR="00A8138F" w:rsidRDefault="00A8138F" w:rsidP="00A8138F">
      <w:pPr>
        <w:pStyle w:val="TextoNormal"/>
      </w:pPr>
    </w:p>
    <w:p w14:paraId="0C168854" w14:textId="77777777" w:rsidR="00A8138F" w:rsidRDefault="00A8138F" w:rsidP="00A8138F">
      <w:pPr>
        <w:pStyle w:val="TextoNormal"/>
      </w:pPr>
      <w:r>
        <w:t>Señala que el régimen transitorio tiene naturaleza indemnizatoria pero no en concepto de expropiación, sino asociado a una actitud de deferencia del legislador hacia los anteriores titulares por los perjuicios que implica el cambio de regulación, o que también puede ser reflejo, en último término, de considerar aplicable al caso el principio de responsabilidad que contempla el art. 32.3, párrafo primero, de la Ley 40/2015, de 1 de octubre, de régimen jurídico del sector público (LRJSP) cuando se trata de actos legislativos “no expropiatorios” pero que comportan una afectación de derechos que hace que el legislador considere conveniente establecer una compensación.</w:t>
      </w:r>
    </w:p>
    <w:p w14:paraId="4F258E5B" w14:textId="77777777" w:rsidR="00A8138F" w:rsidRDefault="00A8138F" w:rsidP="00A8138F">
      <w:pPr>
        <w:pStyle w:val="TextoNormal"/>
      </w:pPr>
    </w:p>
    <w:p w14:paraId="65E13A38" w14:textId="77777777" w:rsidR="00A8138F" w:rsidRDefault="00A8138F" w:rsidP="00A8138F">
      <w:pPr>
        <w:pStyle w:val="TextoNormal"/>
      </w:pPr>
      <w:r>
        <w:t>f) La disposición transitoria primera del Decreto-ley del Gobierno de la Generalitat de Cataluña 3/2023 no vulnera el principio de seguridad jurídica (art. 9.3 CE). El letrado del Parlamento de Cataluña comienza poniendo de manifiesto que este motivo de impugnación ha de entenderse limitado al apartado primero, letra a), de dicha disposición transitoria, pues nada se argumenta expresamente respecto del apartado segundo, ni tampoco respecto de la letra b) del apartado primero. A continuación argumenta que el criterio de la letra a) es solamente uno de los dos que exige el apartado primero para definir los municipios que presentan problemas de acceso a la vivienda. Aduce que acaso la redacción de la norma sea mejorable, pero que no hay duda de que su formulación no es imprecisa, ambigua ni confusa; más aún, ni siquiera es una formulación normativa novedosa, sino que está directamente inspirada en el art. 3 d) de la Ley 12/2023, de 24 de mayo. Además, tales requisitos deben ser interpretados bajo el criterio general de la existencia de necesidades de vivienda y no pueden analizarse de manera aislada dentro de la norma, siendo especialmente relevante el hecho de que el decreto-ley haya previsto la existencia de instrumentos de aplicación de estos criterios (el anexo y la orden futura que, respectivamente, concretan y han de concretar en el futuro los municipios a los que se aplica el régimen previsto en el Decreto-ley 3/2023).</w:t>
      </w:r>
    </w:p>
    <w:p w14:paraId="25740391" w14:textId="77777777" w:rsidR="00A8138F" w:rsidRDefault="00A8138F" w:rsidP="00A8138F">
      <w:pPr>
        <w:pStyle w:val="TextoNormal"/>
      </w:pPr>
    </w:p>
    <w:p w14:paraId="652122BE" w14:textId="77777777" w:rsidR="00A8138F" w:rsidRDefault="00A8138F" w:rsidP="00A8138F">
      <w:pPr>
        <w:pStyle w:val="TextoNormal"/>
      </w:pPr>
      <w:r>
        <w:t>g) La circunstancia de que el Decreto-ley 3/2023 se aplique solamente a algunos municipios de Cataluña (art. 2 y anexo) no vulnera el principio de igualdad (art. 14 CE). Según el letrado del Parlamento de Cataluña, el decreto-ley impugnado utiliza unos criterios objetivos y razonables para delimitar su propio ámbito de aplicación de manera adecuada y proporcionada al problema que pretende resolver, introduciendo así una diferenciación exigida por el principio de igualdad, pues no tiene sentido someter realidades diferentes a un mismo tratamiento jurídico.</w:t>
      </w:r>
    </w:p>
    <w:p w14:paraId="59998801" w14:textId="77777777" w:rsidR="00A8138F" w:rsidRDefault="00A8138F" w:rsidP="00A8138F">
      <w:pPr>
        <w:pStyle w:val="TextoNormal"/>
      </w:pPr>
    </w:p>
    <w:p w14:paraId="66197A42" w14:textId="0B178153" w:rsidR="00A8138F" w:rsidRDefault="00A8138F" w:rsidP="00A8138F">
      <w:pPr>
        <w:pStyle w:val="TextoNormal"/>
      </w:pPr>
      <w:r>
        <w:t xml:space="preserve">h) El régimen de licencia previa establecido en el Decreto-ley 3/2023 no contradice el art. 17 de la Ley de garantía de la unidad de mercado, y, por lo tanto, no incurre en vulneración mediata del art. 149.1.13 CE. La representación procesal del Parlamento de Cataluña alega que la licencia controvertida no es una licencia de mera actividad económica, sino una licencia de naturaleza urbanística, como se indica en el art. 1 del Decreto-ley 3/2023 y en la disposición final primera, que modifica el texto refundido de la Ley de urbanismo, aprobado por el Decreto Legislativo del Gobierno de la Generalitat de Cataluña 1/2010, de 3 de agosto (en adelante, texto refundido de la Ley de urbanismo de Cataluña). Señala que la regulación de los usos de las edificaciones se incluye normalmente en la legislación del suelo como parte integrante de la actividad urbanística, pues tales usos no pueden aislarse del modelo de ordenación urbana, como demostrarían las alusiones al uso residencial de la vivienda contenidas en los arts. 1 a), 5 a) y 3.3 del texto refundido de la Ley de suelo y rehabilitación urbana, aprobado por el Real Decreto Legislativo 7/2015, de 30 de octubre (TRLSRU). Propugna, por ello, que para enjuiciar la constitucionalidad del Decreto-ley 3/2023, se interpreten las reglas sobre unidad de mercado de manera compatible con las exigencias específicas de la ordenación urbanística. En todo caso, sostiene que concurrirían varias de las razones imperiosas de interés general previstas en la legislación estatal para justificar el régimen de licencia previa establecido por el Decreto-ley 3/2023; concretamente, la protección de un entorno urbano equilibrado, la protección de los destinatarios del servicio y los objetivos de la política social en lo que se refiere al acceso a la vivienda (art. 3.11 de la Ley 17/2009, de 23 de noviembre, sobre el libre acceso a las actividades de servicios y su ejercicio —en adelante, Ley 17/2009, de 23 de noviembre— al que remite el art. 5 de la Ley 20/2013, de garantía de la unidad de mercado), así como el hecho de proyectarse las licencias sobre bienes cuya utilización sea susceptible de generar daños en el entorno urbano (art. 17.1 de la Ley de garantía de la unidad de mercado). Tras recordar la conexión entre la citada ley estatal y el Derecho de la Unión Europea, reseña la jurisprudencia del Tribunal de Justicia de la Unión Europea que reconoce que las exigencias de la política de vivienda y de lucha contra la presión inmobiliaria, en particular cuando un mercado experimenta una escasez estructural de viviendas y una densidad de población especialmente alta, pueden constituir razones imperiosas de interés general en el sentido de la Directiva 2006/123/CE (con cita específica, por referirse precisamente al uso turístico de la vivienda, de la STJUE de 22 de septiembre de 2020, asuntos acumulados C‑724/18 y C‑727/18, </w:t>
      </w:r>
      <w:r w:rsidRPr="00A8138F">
        <w:rPr>
          <w:i/>
        </w:rPr>
        <w:t>Cali Apartments SCI y HX c. procureur général près la Cour d’Appel de Paris et la Ville de Paris</w:t>
      </w:r>
      <w:r>
        <w:t>). El letrado del Parlamento de Cataluña argumenta, finalmente, que el régimen de licencia impugnado sería no solo necesario, sino también proporcionado a la finalidad perseguida, pues otras medidas de menor intensidad (como la declaración responsable o la comunicación) no resultan idóneas, por su naturaleza, para alcanzar los objetivos perseguidos.</w:t>
      </w:r>
    </w:p>
    <w:p w14:paraId="7F043CD1" w14:textId="77777777" w:rsidR="00A8138F" w:rsidRDefault="00A8138F" w:rsidP="00A8138F">
      <w:pPr>
        <w:pStyle w:val="TextoNormal"/>
      </w:pPr>
    </w:p>
    <w:p w14:paraId="3BCBB966" w14:textId="77777777" w:rsidR="00A8138F" w:rsidRDefault="00A8138F" w:rsidP="00A8138F">
      <w:pPr>
        <w:pStyle w:val="TextoNormal"/>
      </w:pPr>
      <w:r w:rsidRPr="00A8138F">
        <w:rPr>
          <w:rStyle w:val="NumeroAFNegritaCaracter"/>
        </w:rPr>
        <w:t>8</w:t>
      </w:r>
      <w:r>
        <w:t>. La representación procesal del Gobierno de la Generalitat de Cataluña formuló alegaciones mediante escritos registrados el 8 y el 9 de abril de 2024, en los que solicitó la íntegra desestimación del recurso aduciendo, en esencia, lo siguiente:</w:t>
      </w:r>
    </w:p>
    <w:p w14:paraId="047B0CAB" w14:textId="77777777" w:rsidR="00A8138F" w:rsidRDefault="00A8138F" w:rsidP="00A8138F">
      <w:pPr>
        <w:pStyle w:val="TextoNormal"/>
      </w:pPr>
    </w:p>
    <w:p w14:paraId="14072284" w14:textId="77777777" w:rsidR="00A8138F" w:rsidRDefault="00A8138F" w:rsidP="00A8138F">
      <w:pPr>
        <w:pStyle w:val="TextoNormal"/>
      </w:pPr>
      <w:r>
        <w:t>a) El dictamen del Consejo de Garantías Estatutarias de Cataluña 3/2023, de 1 de diciembre, concluyó por unanimidad que el Decreto-ley del Gobierno de la Generalitat de Cataluña 3/2023, en aquel momento pendiente de convalidación parlamentaria, era conforme con la Constitución y el Estatuto de Autonomía de Cataluña, excluyendo específicamente la con</w:t>
      </w:r>
      <w:r>
        <w:lastRenderedPageBreak/>
        <w:t>currencia de varias de las infracciones constitucionales que se denuncian en el presente recurso.</w:t>
      </w:r>
    </w:p>
    <w:p w14:paraId="2272B610" w14:textId="77777777" w:rsidR="00A8138F" w:rsidRDefault="00A8138F" w:rsidP="00A8138F">
      <w:pPr>
        <w:pStyle w:val="TextoNormal"/>
      </w:pPr>
    </w:p>
    <w:p w14:paraId="271AD764" w14:textId="77777777" w:rsidR="00A8138F" w:rsidRDefault="00A8138F" w:rsidP="00A8138F">
      <w:pPr>
        <w:pStyle w:val="TextoNormal"/>
      </w:pPr>
      <w:r>
        <w:t xml:space="preserve">b) A continuación, la representación procesal del Gobierno de la Generalitat de Cataluña analiza el objeto y la finalidad del Decreto-ley 3/2023, así como el contexto jurídico y fáctico de su aprobación. Refiere que la norma se proyecta sobre la compatibilidad urbanística entre el uso residencial y el uso turístico en aquellos municipios en los que exista una problemática de acceso a la vivienda o un riesgo de ruptura del entorno urbano por una alta concentración de viviendas de uso turístico. Sostiene que, por su objeto y finalidad, esta regulación se encuadra en las materias de urbanismo y vivienda, sobre las cuales la Generalitat de Cataluña ostenta competencias </w:t>
      </w:r>
      <w:r w:rsidRPr="00A8138F">
        <w:rPr>
          <w:i/>
        </w:rPr>
        <w:t>ex</w:t>
      </w:r>
      <w:r>
        <w:t xml:space="preserve"> arts. 149.5 y 137.1 EAC, respectivamente.</w:t>
      </w:r>
    </w:p>
    <w:p w14:paraId="7E66ADFA" w14:textId="77777777" w:rsidR="00A8138F" w:rsidRDefault="00A8138F" w:rsidP="00A8138F">
      <w:pPr>
        <w:pStyle w:val="TextoNormal"/>
      </w:pPr>
    </w:p>
    <w:p w14:paraId="40DE8AE7" w14:textId="77777777" w:rsidR="00A8138F" w:rsidRDefault="00A8138F" w:rsidP="00A8138F">
      <w:pPr>
        <w:pStyle w:val="TextoNormal"/>
      </w:pPr>
      <w:r>
        <w:t xml:space="preserve">El escrito de alegaciones se refiere a la actualidad de la materia regulada por el decreto-ley impugnado, tanto en el ámbito del Derecho de la Unión Europea como en el Derecho estatal —con cita, entre otras referencias, de la Resolución del Parlamento Europeo de 21 de enero de 2021, sobre el acceso a una vivienda digna y asequible para todos [2019/2187(INI)]; la STJUE de 22 de septiembre de 2020, </w:t>
      </w:r>
      <w:r w:rsidRPr="00A8138F">
        <w:rPr>
          <w:i/>
        </w:rPr>
        <w:t>Cali Apartments</w:t>
      </w:r>
      <w:r>
        <w:t xml:space="preserve"> (asuntos acumulados C-724/18 y C-727/18); el Real Decreto-ley 7/2019, de 1 de marzo, de medidas urgentes en materia de vivienda y alquiler; la Ley 12/2023, de 24 de mayo, y varias sentencias recientes del Tribunal Supremo—. Asimismo, aporta datos concretos provenientes del Instituto de Estadística de Cataluña acerca del fuerte crecimiento demográfico registrado en Cataluña durante los últimos años (con las consiguientes necesidades de vivienda habitual) y del crecimiento exponencial en Cataluña del turismo y, en particular, de las viviendas de uso turístico (un 125 por 100 en el periodo 2015-2023 y un 4,4 por 100 en solo cuatro meses tras la entrada en vigor de la Ley estatal 12/2023, de 24 de mayo) en detrimento de la vivienda habitual y de las demás modalidades de alojamiento turístico, generando una sobrepresión en el acceso a la vivienda y una fuerte distorsión en los entornos urbanos.</w:t>
      </w:r>
    </w:p>
    <w:p w14:paraId="389A2E8B" w14:textId="77777777" w:rsidR="00A8138F" w:rsidRDefault="00A8138F" w:rsidP="00A8138F">
      <w:pPr>
        <w:pStyle w:val="TextoNormal"/>
      </w:pPr>
    </w:p>
    <w:p w14:paraId="10E91764" w14:textId="77777777" w:rsidR="00A8138F" w:rsidRDefault="00A8138F" w:rsidP="00A8138F">
      <w:pPr>
        <w:pStyle w:val="TextoNormal"/>
      </w:pPr>
      <w:r>
        <w:t>El escrito de alegaciones subraya que, hasta la aprobación del Decreto-ley del Gobierno de la Generalitat de Cataluña 3/2023, la vivienda habitual y la vivienda turística se englobaban dentro de un mismo uso urbanístico (el uso para vivienda), lo que implicaba que toda vivienda fuera susceptible de ofrecerse como vivienda de uso turístico, en detrimento de la vivienda permanente y habitual, y sin requisitos adicionales de seguridad, habitabilidad y conciliación con otros usos; todo ello, a diferencia de lo que sucede con otras modalidades de alojamiento turístico que disponen de su propio régimen urbanístico y de una previsión expresa en el planeamiento que condiciona su configuración y crecimiento. Señala que, para proteger el derecho a la vivienda y el entorno urbano, el decreto-ley impugnado viene a regular el uso turístico de las viviendas desde una vertiente puramente urbanística, mediante la asignación de usos urbanísticos diferenciados y la remisión de su ordenación a los instrumentos de planeamiento urbanístico municipales. Se argumenta que el régimen de autorización urbanística previa constituye el único mecanismo que permite conocer de manera inmediata el número máximo de viviendas turísticas y articular a través del planeamiento urbanístico las medidas necesarias para equilibrar los usos en el territorio, preservar el acceso a la vivienda de los ciudadanos y evitar la gentrificación de pueblos y ciudades con una implantación excesiva del turismo.</w:t>
      </w:r>
    </w:p>
    <w:p w14:paraId="1529DE69" w14:textId="77777777" w:rsidR="00A8138F" w:rsidRDefault="00A8138F" w:rsidP="00A8138F">
      <w:pPr>
        <w:pStyle w:val="TextoNormal"/>
      </w:pPr>
    </w:p>
    <w:p w14:paraId="09B3B5CF" w14:textId="77777777" w:rsidR="00A8138F" w:rsidRDefault="00A8138F" w:rsidP="00A8138F">
      <w:pPr>
        <w:pStyle w:val="TextoNormal"/>
      </w:pPr>
      <w:r>
        <w:t>c) Los datos expuestos acreditan, a juicio del Ejecutivo autonómico, la extraordinaria y urgente necesidad del decreto-ley impugnado. Se trata de elementos (auge del turismo ur</w:t>
      </w:r>
      <w:r>
        <w:lastRenderedPageBreak/>
        <w:t>bano, aumento significativo de la población, crecimiento exponencial de la vivienda destinada a uso turístico, disminución de la vivienda disponible para uso habitual y permanente, y aumento vertiginoso de sus precios de venta y alquiler) que deben ser comprendidos y analizados en su conjunto, como se desprende no solo del preámbulo del Decreto-ley del Gobierno de la Generalitat de Cataluña 3/2023, sino también de su memoria y del debate parlamentario previo a su convalidación. Insiste en que la aprobación del decreto-ley impugnado era necesaria para poner fin a la situación de anomia normativa de las viviendas de uso turístico en el plano urbanístico, con la finalidad de hacer frente a las externalidades urbanísticas que su proliferación conlleva. Sostiene que la intervención normativa inmediata mediante norma con rango de ley resultaba especialmente urgente ya que, por un lado, la proliferación de viviendas de uso turístico es un fenómeno reciente y exponencial; y, de otra parte, la aprobación de la Ley 12/2023, de 24 de mayo, que incluye un régimen de contención de precios del alquiler en zonas de mercado tensionado, permitía prever racionalmente un éxodo hacia el uso turístico de viviendas antes ofertadas en el mercado de alquiler para vivienda habitual.</w:t>
      </w:r>
    </w:p>
    <w:p w14:paraId="4E7CE339" w14:textId="77777777" w:rsidR="00A8138F" w:rsidRDefault="00A8138F" w:rsidP="00A8138F">
      <w:pPr>
        <w:pStyle w:val="TextoNormal"/>
      </w:pPr>
    </w:p>
    <w:p w14:paraId="3777A7E9" w14:textId="77777777" w:rsidR="00A8138F" w:rsidRDefault="00A8138F" w:rsidP="00A8138F">
      <w:pPr>
        <w:pStyle w:val="TextoNormal"/>
      </w:pPr>
      <w:r>
        <w:t>Por lo demás, la representación procesal del Gobierno de la Generalitat de Cataluña afirma que existe una evidente conexión de sentido entre la situación afrontada y las medidas contenidas en los preceptos impugnados, pues la exigencia de licencia urbanística tiene por objetivo controlar que se cumplan los requisitos que establece la nueva disposición adicional vigesimoséptima del texto refundido de la Ley de urbanismo de Cataluña, añadida también por el decreto-ley impugnado. En cuanto a las críticas de la demanda relativas a que el decreto-ley impugnado no produce ninguna alteración de la situación jurídica que trata de atajar, el Ejecutivo autonómico alega que la modificación de la normativa urbanística tiene como efecto inmediato el posibilitar que las administraciones locales competentes puedan modificar su planeamiento y regular la compatibilidad del uso turístico con el residencial, por lo que se confunde la eficacia inmediata de la norma provisional con su ejecución instantánea, aunque solo la primera es requisito constitucional del decreto-ley.</w:t>
      </w:r>
    </w:p>
    <w:p w14:paraId="0C05D9CC" w14:textId="77777777" w:rsidR="00A8138F" w:rsidRDefault="00A8138F" w:rsidP="00A8138F">
      <w:pPr>
        <w:pStyle w:val="TextoNormal"/>
      </w:pPr>
    </w:p>
    <w:p w14:paraId="37DE7F2C" w14:textId="77777777" w:rsidR="00A8138F" w:rsidRDefault="00A8138F" w:rsidP="00A8138F">
      <w:pPr>
        <w:pStyle w:val="TextoNormal"/>
      </w:pPr>
      <w:r>
        <w:t xml:space="preserve">d) La representación procesal del Gobierno de la Generalitat de Cataluña se opone también al segundo motivo del recurso, negando que el art. 1, la disposición final primera y la disposición transitoria segunda del Decreto-ley 3/2023 sobrepasen los límites materiales de la legislación de urgencia por afectar al derecho de propiedad (arts. 86.1 y 33.1 CE). Argumenta que la posibilidad de destinar la vivienda al uso turístico o a cualquier otro uso concreto no forma parte del contenido constitucionalmente protegido del derecho de propiedad privada, que es un derecho estatutario cuyo contenido depende de lo que en cada caso establezcan las legislaciones urbanística y civil. Niega también que los preceptos impugnados limiten de forma determinante el haz de facultades que integran el derecho de propiedad, al obligar al propietario a dedicar la vivienda exclusivamente al uso residencial (propio o de un arrendatario). En este sentido, el Ejecutivo autonómico señala que el art. 1 impugnado no prohíbe el uso turístico de las viviendas, sino que lo condiciona a la obtención de licencia urbanística previa (temporal, prorrogable y limitada en número) siempre y cuando el municipio presente determinados problemas de acceso a la vivienda o de desequilibrio del entorno urbano. No estaríamos, en consecuencia, ante una regulación directa y con vocación de generalidad del derecho de propiedad sobre las viviendas, ni ante una norma que restrinja a un único uso dicha propiedad, a diferencia del supuesto abordado por la STC 93/2015. El decreto-ley impugnado se limitaría a establecer las condiciones de los distintos usos posibles </w:t>
      </w:r>
      <w:r>
        <w:lastRenderedPageBreak/>
        <w:t>de las viviendas según su ubicación geográfica y lo que concrete el planeamiento urbanístico municipal, hasta cuya aprobación no quedarán definidos los usos compatibles con él.</w:t>
      </w:r>
    </w:p>
    <w:p w14:paraId="37CA6511" w14:textId="77777777" w:rsidR="00A8138F" w:rsidRDefault="00A8138F" w:rsidP="00A8138F">
      <w:pPr>
        <w:pStyle w:val="TextoNormal"/>
      </w:pPr>
    </w:p>
    <w:p w14:paraId="4F885144" w14:textId="77777777" w:rsidR="00A8138F" w:rsidRDefault="00A8138F" w:rsidP="00A8138F">
      <w:pPr>
        <w:pStyle w:val="TextoNormal"/>
      </w:pPr>
      <w:r>
        <w:t>e) A continuación, el escrito de alegaciones niega el denunciado carácter singular del Decreto-ley del Gobierno de la Generalitat de Cataluña 3/2023. Tras recordar que las leyes singulares no son, solo por el hecho de serlo, inconstitucionales, argumenta, con carácter principal, que no se dan las condiciones para entender que estemos ante ninguno de los tipos de ley singular identificados por la doctrina constitucional, lo que hace que decaiga este motivo de impugnación. Así, no estamos ante una ley singular en atención a los destinatarios a los que va dirigida ni que atienda a un supuesto de hecho concreto y singular, pues el régimen de autorización previa que implanta tiene vocación de permanencia y resulta aplicable a una multiplicidad de municipios (y, dentro de ellos, a todos los propietarios de viviendas) identificados a partir de criterios objetivos previstos en la propia norma. Y tampoco estamos ante una ley autoaplicativa, ya que no encierra en sí misma una actividad materialmente administrativa de aplicación de la norma al caso concreto, sino que precisa de una actividad de desarrollo normativo (a través de la modificación del planeamiento) y de ejecución administrativa (las licencias urbanísticas que puedan concederse).</w:t>
      </w:r>
    </w:p>
    <w:p w14:paraId="6540A51A" w14:textId="77777777" w:rsidR="00A8138F" w:rsidRDefault="00A8138F" w:rsidP="00A8138F">
      <w:pPr>
        <w:pStyle w:val="TextoNormal"/>
      </w:pPr>
    </w:p>
    <w:p w14:paraId="0D3DC554" w14:textId="77777777" w:rsidR="00A8138F" w:rsidRDefault="00A8138F" w:rsidP="00A8138F">
      <w:pPr>
        <w:pStyle w:val="TextoNormal"/>
      </w:pPr>
      <w:r>
        <w:t>Por otra parte, y a mayor abundamiento, la representación procesal de la Generalitat de Cataluña argumenta que el modo en que el Decreto-ley 3/2023 delimita su propio ámbito de aplicación no vulnera la prohibición de arbitrariedad del art. 9.3 CE ni el principio de igualdad del art. 14 CE ni el derecho a la tutela judicial efectiva del art. 24 CE. Señala, en este sentido, que el ámbito de aplicación de la norma cuenta con una justificación objetiva, razonable y proporcionada que, además, ha sido explicitada en su propio preámbulo. Recuerda que el régimen de licencia previa resulta aplicable a todas las viviendas de los municipios afectados, sin ninguna distinción. Y argumenta también que la tutela judicial efectiva no se ve obstaculizada, por cuanto cabe instar el control jurisdiccional de la legalidad de los planes urbanísticos y de los actos que resuelvan las solicitudes de autorización previa en desarrollo y ejecución del Decreto-ley 3/2023.</w:t>
      </w:r>
    </w:p>
    <w:p w14:paraId="2F5CD19E" w14:textId="77777777" w:rsidR="00A8138F" w:rsidRDefault="00A8138F" w:rsidP="00A8138F">
      <w:pPr>
        <w:pStyle w:val="TextoNormal"/>
      </w:pPr>
    </w:p>
    <w:p w14:paraId="35997342" w14:textId="77777777" w:rsidR="00A8138F" w:rsidRDefault="00A8138F" w:rsidP="00A8138F">
      <w:pPr>
        <w:pStyle w:val="TextoNormal"/>
      </w:pPr>
      <w:r>
        <w:t xml:space="preserve">f) El escrito de alegaciones se refiere, a continuación, a la infracción de la autonomía local denunciada por los recurrentes. Sostiene, en primer lugar, que en este punto la demanda debería ser inadmitida por incumplimiento de la carga alegatoria exigible a los recurrentes. Subsidiariamente, niega que el Decreto-ley del Gobierno de la Generalitat de Cataluña 3/2023 vulnere la autonomía local, porque este principio no garantiza a los entes locales que su participación en la gestión de los asuntos de interés local se produzca a través de su intervención en el procedimiento legislativo. Recuerda que el urbanismo es una materia de competencia exclusiva autonómica (arts. 148.1.3 CE y 149.5 EAC), de manera que corresponde al legislador autonómico determinar el grado de participación de los municipios en esta materia, que es de evidente interés municipal. Y argumenta que los preceptos concretamente impugnados por este motivo son conformes con la doctrina constitucional sobre la garantía constitucional de la autonomía local, pues (i) existe un interés supralocal que justifica la regulación, y (ii) se asegura a los ayuntamientos un nivel de participación correlativo a sus intereses —a través del planeamiento y del otorgamiento de licencias—. El Decreto-ley 3/2023 respeta e incluso refuerza la autonomía local, ya que corresponde a los propios municipios apreciar la compatibilidad urbanística que es preceptiva para el otorgamiento de las licencias, sin que esa compatibilidad les venga impuesta por la norma impugnada, que, </w:t>
      </w:r>
      <w:r>
        <w:lastRenderedPageBreak/>
        <w:t>por el contrario, le aporta mayor transparencia y elementos regulados a la hora de armonizar el derecho a la vivienda digna con el derecho a la explotación económica de la vivienda.</w:t>
      </w:r>
    </w:p>
    <w:p w14:paraId="7D1EABC5" w14:textId="77777777" w:rsidR="00A8138F" w:rsidRDefault="00A8138F" w:rsidP="00A8138F">
      <w:pPr>
        <w:pStyle w:val="TextoNormal"/>
      </w:pPr>
    </w:p>
    <w:p w14:paraId="13889787" w14:textId="77777777" w:rsidR="00A8138F" w:rsidRDefault="00A8138F" w:rsidP="00A8138F">
      <w:pPr>
        <w:pStyle w:val="TextoNormal"/>
      </w:pPr>
      <w:r>
        <w:t>g) La representación procesal del Gobierno de la Generalitat de Cataluña niega también que la disposición transitoria segunda del Decreto-ley 3/2023 contenga una regulación materialmente expropiatoria y que vulnere el art. 33.3 CE. Señala en este sentido, por una parte, que hasta la entrada en vigor de la norma, la actividad de arrendamiento de viviendas de uso turístico se ejercía mediante comunicación previa (según la Ley del Parlamento de Cataluña 18/2020, de 28 de diciembre, de facilitación de la actividad económica), y por lo tanto sin ningún título que generase para su titular un derecho patrimonializado susceptible de expropiación o que proporcionase garantías de inalterabilidad del marco regulatorio existente. De otro lado, argumenta que el Decreto-ley del Gobierno de la Generalitat de Cataluña 3/2023 no expropia derecho alguno, sino que delimita el derecho de propiedad de la vivienda de forma diferente a como lo hacía la normativa anterior, para uno de sus posibles usos urbanísticos y en relación con los municipios en los que concurran los criterios establecidos en la propia norma. Según el Gobierno de la Generalitat de Cataluña, el contenido de la disposición transitoria segunda recoge en realidad (y según indicó el dictamen 3/2023, del Consejo de Garantías Estatutarias de Cataluña) un supuesto de responsabilidad patrimonial del Estado legislador previsto en el art. 32.3 LRJSP, cuya cuantía es suficiente, gozando en todo caso el legislador de cierto margen de libertad para establecer su cálculo. En todo caso, se alega que, en el caso de que se considerase que la indemnización es insuficiente, ello no debería dar lugar a la inconstitucionalidad de la ley, sino a la aplicación del régimen general sobre responsabilidad patrimonial.</w:t>
      </w:r>
    </w:p>
    <w:p w14:paraId="313E7851" w14:textId="77777777" w:rsidR="00A8138F" w:rsidRDefault="00A8138F" w:rsidP="00A8138F">
      <w:pPr>
        <w:pStyle w:val="TextoNormal"/>
      </w:pPr>
    </w:p>
    <w:p w14:paraId="261C46A4" w14:textId="77777777" w:rsidR="00A8138F" w:rsidRDefault="00A8138F" w:rsidP="00A8138F">
      <w:pPr>
        <w:pStyle w:val="TextoNormal"/>
      </w:pPr>
      <w:r>
        <w:t>h) El escrito de alegaciones se opone también a la impugnación de la disposición transitoria primera apartado 1 a) fundada en la supuesta vulneración del principio de seguridad jurídica. Tras afirmar que este motivo de impugnación carece en la demanda de un desarrollo argumental suficiente, la representación procesal del Gobierno de la Generalitat de Cataluña reseña la doctrina constitucional sobre el principio de seguridad jurídica y alega que la demanda desconoce que las leyes se integran en un sistema regulador y aplicativo que va más allá de la misma ley y que contribuye a precisar y completar su contenido cuando este utiliza conceptos jurídicos indeterminados. Sostiene que el Decreto-ley del Gobierno de la Generalitat de Cataluña 3/2023 contiene criterios claros y precisos sobre la materia a la que se refiere el precepto impugnado, así como que los problemas de vaguedad y ambigüedad lingüística que este pudiera presentar pueden verse mitigados mediante las técnicas habituales de desarrollo y aplicación de las leyes. Argumenta también que los requisitos establecidos en el precepto impugnado son normativamente claros y previsibles porque se corresponden exactamente con los establecidos por el art. 18.3 de la Ley 12/2023, de 24 de mayo, para la declaración de “zona de mercado residencial tensionado”; identidad de redacción que propicia la seguridad jurídica y la simplificación administrativa, así como la eficacia de la legislación estatal. Por lo demás, los conceptos empleados por dicho art. 18.3 de la Ley 12/2023 han sido concretados, y su aplicación metodológicamente desglosada, en una memoria que se encuentra disponible en el sitio web de la Agencia de la Vivienda de Cataluña.</w:t>
      </w:r>
    </w:p>
    <w:p w14:paraId="0666675D" w14:textId="77777777" w:rsidR="00A8138F" w:rsidRDefault="00A8138F" w:rsidP="00A8138F">
      <w:pPr>
        <w:pStyle w:val="TextoNormal"/>
      </w:pPr>
    </w:p>
    <w:p w14:paraId="61259BDD" w14:textId="77777777" w:rsidR="00A8138F" w:rsidRDefault="00A8138F" w:rsidP="00A8138F">
      <w:pPr>
        <w:pStyle w:val="TextoNormal"/>
      </w:pPr>
      <w:r>
        <w:t xml:space="preserve">i) En cuanto a la alegada vulneración del principio de igualdad (art. 14 CE) derivada de la aplicabilidad del Decreto-ley 3/2023 solamente a una relación finita de municipios, la representación procesal del Gobierno de la Generalitat de Cataluña alega que la demanda </w:t>
      </w:r>
      <w:r>
        <w:lastRenderedPageBreak/>
        <w:t>no acredita suficientemente la inexistencia de criterios objetivos que justifiquen tal ámbito de aplicación. Tales criterios se contienen en la disposición transitoria primera, y su existencia y contenido permiten descartar la existencia de una diferencia de trato inmotivada entre realidades iguales, pues los municipios incluidos y los excluidos del ámbito de aplicación de la norma no se encuentran en un supuesto de hecho comparable desde la perspectiva de la finalidad de la regulación.</w:t>
      </w:r>
    </w:p>
    <w:p w14:paraId="01756FA8" w14:textId="77777777" w:rsidR="00A8138F" w:rsidRDefault="00A8138F" w:rsidP="00A8138F">
      <w:pPr>
        <w:pStyle w:val="TextoNormal"/>
      </w:pPr>
    </w:p>
    <w:p w14:paraId="2E7AB85A" w14:textId="08DC01B5" w:rsidR="00A8138F" w:rsidRDefault="00A8138F" w:rsidP="00A8138F">
      <w:pPr>
        <w:pStyle w:val="TextoNormal"/>
      </w:pPr>
      <w:r>
        <w:t xml:space="preserve">j) Por último, el Gobierno de la Generalitat de Cataluña niega la alegada infracción del art. 17 de la Ley de garantía de la unidad de mercado y de forma mediata, del art. 149.1.13 CE. Como argumento principal, sostiene que no resulta procedente el uso de la citada Ley de garantía de la unidad de mercado como norma de contraste en este caso, pues el Decreto-ley 3/2023 no regula el acceso o ejercicio de una actividad económica en los términos del art. 2 de la citada ley estatal. En tanto que actividad económica, la actividad de arrendamiento de vivienda turística se encuentra regulada en la normativa sectorial sobre turismo (Ley del Parlamento de Cataluña 13/2002, de 21 de junio, de turismo de Cataluña, y Decreto de la Consejería de Empresa y Conocimiento 75/2020, de 4 de agosto, de turismo de Cataluña). Sin embargo, el Decreto-ley 3/2023 tiene un objeto distinto, pues es una norma de naturaleza esencialmente urbanística, que regula </w:t>
      </w:r>
      <w:r w:rsidRPr="00A8138F">
        <w:rPr>
          <w:i/>
        </w:rPr>
        <w:t>ex novo</w:t>
      </w:r>
      <w:r>
        <w:t xml:space="preserve"> la compatibilidad urbanística entre el uso residencial y el uso turístico de las viviendas. De manera subsidiaria, argumenta que, como resulta de su articulado y de su exposición de motivos, el Decreto-ley 3/2023 fundamenta el régimen de licencia urbanística previa, entre otras finalidades, en la de proteger el entorno urbano, siendo esta una razón imperiosa de interés general de las previstas en el art. 17.1 b) de la Ley de garantía de la unidad de mercado y existiendo proporcionalidad entre la finalidad perseguida y el mecanismo de autorización previa impugnado.</w:t>
      </w:r>
    </w:p>
    <w:p w14:paraId="0458C217" w14:textId="77777777" w:rsidR="00A8138F" w:rsidRDefault="00A8138F" w:rsidP="00A8138F">
      <w:pPr>
        <w:pStyle w:val="TextoNormal"/>
      </w:pPr>
    </w:p>
    <w:p w14:paraId="03AF08D9" w14:textId="22C64981" w:rsidR="00A8138F" w:rsidRDefault="00A8138F" w:rsidP="00A8138F">
      <w:pPr>
        <w:pStyle w:val="TextoNormal"/>
      </w:pPr>
      <w:r w:rsidRPr="00A8138F">
        <w:rPr>
          <w:rStyle w:val="NumeroAFNegritaCaracter"/>
        </w:rPr>
        <w:t>9</w:t>
      </w:r>
      <w:r>
        <w:t>. Mediante diligencia de ordenación de la Secretaría de Justicia del Pleno de este Tribunal Constitucional de 29 de julio de 2024 se recabó del Gobierno de la Generalitat de Cataluña la remisión, en el plazo de diez días, de la memoria del decreto-ley impugnado, al amparo de lo previsto en el art. 88.1 LOTC. La abogada de la Generalitat de Cataluña aportó dicha memoria con fecha de 2 de agosto de 2024, y el siguiente día 13 de septiembre aportó también una copia en castellano, acompañada de certificado acreditativo de que dicha traducción era literal del documento original en catalán.</w:t>
      </w:r>
    </w:p>
    <w:p w14:paraId="606FA98B" w14:textId="77777777" w:rsidR="00A8138F" w:rsidRDefault="00A8138F" w:rsidP="00A8138F">
      <w:pPr>
        <w:pStyle w:val="TextoNormal"/>
      </w:pPr>
    </w:p>
    <w:p w14:paraId="3504F721" w14:textId="1A89875B" w:rsidR="00A8138F" w:rsidRDefault="00A8138F" w:rsidP="00A8138F">
      <w:pPr>
        <w:pStyle w:val="TextoNormal"/>
      </w:pPr>
      <w:r w:rsidRPr="00A8138F">
        <w:rPr>
          <w:rStyle w:val="NumeroAFNegritaCaracter"/>
        </w:rPr>
        <w:t>10</w:t>
      </w:r>
      <w:r>
        <w:t>. Por nueva diligencia de ordenación de 2 de septiembre de 2024 se acordó dar traslado de la documentación recibida a las partes, por plazo común de diez días, a fin de que alegasen lo que a su derecho conviniese, conforme al art. 88.1 LOTC.</w:t>
      </w:r>
    </w:p>
    <w:p w14:paraId="7472D28F" w14:textId="77777777" w:rsidR="00A8138F" w:rsidRDefault="00A8138F" w:rsidP="00A8138F">
      <w:pPr>
        <w:pStyle w:val="TextoNormal"/>
      </w:pPr>
    </w:p>
    <w:p w14:paraId="72C0916E" w14:textId="60982B8F" w:rsidR="00A8138F" w:rsidRDefault="00A8138F" w:rsidP="00A8138F">
      <w:pPr>
        <w:pStyle w:val="TextoNormal"/>
      </w:pPr>
      <w:r w:rsidRPr="00A8138F">
        <w:rPr>
          <w:rStyle w:val="NumeroAFNegritaCaracter"/>
        </w:rPr>
        <w:t>11</w:t>
      </w:r>
      <w:r>
        <w:t>. El abogado del Estado presentó escrito el 9 de septiembre de 2024, en el que acusaba recibo de la comunicación anterior, sin formular alegaciones.</w:t>
      </w:r>
    </w:p>
    <w:p w14:paraId="54D6FD39" w14:textId="77777777" w:rsidR="00A8138F" w:rsidRDefault="00A8138F" w:rsidP="00A8138F">
      <w:pPr>
        <w:pStyle w:val="TextoNormal"/>
      </w:pPr>
    </w:p>
    <w:p w14:paraId="36C50C00" w14:textId="17AE6258" w:rsidR="00A8138F" w:rsidRDefault="00A8138F" w:rsidP="00A8138F">
      <w:pPr>
        <w:pStyle w:val="TextoNormal"/>
      </w:pPr>
      <w:r w:rsidRPr="00A8138F">
        <w:rPr>
          <w:rStyle w:val="NumeroAFNegritaCaracter"/>
        </w:rPr>
        <w:t>12</w:t>
      </w:r>
      <w:r>
        <w:t xml:space="preserve">. El 16 de septiembre de 2024 formuló alegaciones la representación procesal de los recurrentes. Estos aducen, por una parte, que la memoria del Decreto-ley del Gobierno de la Generalitat de Cataluña 3/2023 —a la que reprochan no estar fechada ni firmada— no aporta razones válidas para justificar la extraordinaria y urgente necesidad de su aprobación, ya que (i) a tal efecto invoca circunstancias que no son nuevas y sobrevenidas, o que no son más que de naturaleza hipotética —como sucede con los posibles efectos futuros de la Ley 12/2023, de 24 de mayo—; y (ii) existe una absoluta falta de conexión entre la situación de </w:t>
      </w:r>
      <w:r>
        <w:lastRenderedPageBreak/>
        <w:t>extraordinaria y urgente necesidad definida y la regulación aprobada, como demostraría el hecho de que la memoria invoque como motivo de urgencia la aprobación de la Resolución TER/2940/2023, que declaró zona de mercado residencial tensionado a un total de 140 municipios, mientras que el Decreto-ley del Gobierno de la Generalitat de Cataluña 3/2023 impugnado, incluye en su ámbito de aplicación a un total de 262 municipios. De otro lado, los recurrentes señalan que la propia memoria de elaboración del Decreto-ley 3/2023 confirmaría varios de los vicios de constitucionalidad denunciados, a saber: (i) la lesión del principio de autonomía local, al indicar que “la regulación urbanística es una competencia municipal” y que “hoy hay 294 municipios que han regulado en el planeamiento general el uso de viviendas de uso turístico y cincuenta y cuatro que lo han regulado en ordenanzas municipales”; (ii) la naturaleza expropiatoria del régimen de licencia previa establecido por el decreto-ley, al establecer que la disposición transitoria segunda tiene el carácter de indemnización por todos los conceptos y se ampara en el art. 32.3 LRJSP; y (iii) la vulneración del art. 17.1 de la Ley de garantía de la unidad de mercado y, con ello, del art. 149.1.13 CE, al no justificar la concurrencia de razones imperiosas de interés general que legitimen el régimen de autorización administrativa previa impugnado.</w:t>
      </w:r>
    </w:p>
    <w:p w14:paraId="3F17B49D" w14:textId="77777777" w:rsidR="00A8138F" w:rsidRDefault="00A8138F" w:rsidP="00A8138F">
      <w:pPr>
        <w:pStyle w:val="TextoNormal"/>
      </w:pPr>
    </w:p>
    <w:p w14:paraId="31B2C7BB" w14:textId="32A524DB" w:rsidR="00A8138F" w:rsidRDefault="00A8138F" w:rsidP="00A8138F">
      <w:pPr>
        <w:pStyle w:val="TextoNormal"/>
      </w:pPr>
      <w:r w:rsidRPr="00A8138F">
        <w:rPr>
          <w:rStyle w:val="NumeroAFNegritaCaracter"/>
        </w:rPr>
        <w:t>13</w:t>
      </w:r>
      <w:r>
        <w:t>. Mediante providencia de 11 de marzo de 2025 se señaló para deliberación y votación de la presente sentencia el día 13 del mismo mes y año.</w:t>
      </w:r>
    </w:p>
    <w:p w14:paraId="4A16A2F9" w14:textId="77777777" w:rsidR="00A8138F" w:rsidRDefault="00A8138F" w:rsidP="00A8138F">
      <w:pPr>
        <w:pStyle w:val="TextoNormal"/>
      </w:pPr>
    </w:p>
    <w:p w14:paraId="562BC961" w14:textId="77777777" w:rsidR="00A8138F" w:rsidRDefault="00A8138F" w:rsidP="00A8138F">
      <w:pPr>
        <w:pStyle w:val="TextoNormalNegritaCentrado"/>
        <w:keepNext/>
      </w:pPr>
      <w:r>
        <w:t>II. Fundamentos jurídicos</w:t>
      </w:r>
    </w:p>
    <w:p w14:paraId="2D7F6E32" w14:textId="0CB350B4" w:rsidR="00A8138F" w:rsidRDefault="00A8138F" w:rsidP="00A8138F">
      <w:pPr>
        <w:pStyle w:val="TextoNormalNegritaCentrado"/>
        <w:keepNext/>
      </w:pPr>
    </w:p>
    <w:p w14:paraId="5FB29D9C" w14:textId="77777777" w:rsidR="00A8138F" w:rsidRDefault="00A8138F" w:rsidP="00A8138F">
      <w:pPr>
        <w:pStyle w:val="TextoNormal"/>
      </w:pPr>
      <w:r w:rsidRPr="00A8138F">
        <w:rPr>
          <w:rStyle w:val="NumeroAFNegritaCaracter"/>
        </w:rPr>
        <w:t>1</w:t>
      </w:r>
      <w:r>
        <w:t xml:space="preserve">. </w:t>
      </w:r>
      <w:r w:rsidRPr="00A8138F">
        <w:rPr>
          <w:i/>
        </w:rPr>
        <w:t>Objeto del recurso, posiciones de las partes y estructura del enjuiciamiento</w:t>
      </w:r>
    </w:p>
    <w:p w14:paraId="7D509BA5" w14:textId="77777777" w:rsidR="00A8138F" w:rsidRDefault="00A8138F" w:rsidP="00A8138F">
      <w:pPr>
        <w:pStyle w:val="TextoNormal"/>
      </w:pPr>
    </w:p>
    <w:p w14:paraId="1CFEF216" w14:textId="77777777" w:rsidR="00A8138F" w:rsidRDefault="00A8138F" w:rsidP="00A8138F">
      <w:pPr>
        <w:pStyle w:val="TextoNormal"/>
      </w:pPr>
      <w:r>
        <w:t>El presente recurso de inconstitucionalidad, promovido por más de cincuenta diputados del Grupo Parlamentario Popular en el Congreso de los Diputados, se dirige contra los arts. 1, 2 y 3; la disposición transitoria primera, apartado 1 a), y la disposición transitoria segunda; la disposición final primera, y el anexo del Decreto-ley del Gobierno de la Generalitat de Cataluña 3/2023.</w:t>
      </w:r>
    </w:p>
    <w:p w14:paraId="5ED181E5" w14:textId="77777777" w:rsidR="00A8138F" w:rsidRDefault="00A8138F" w:rsidP="00A8138F">
      <w:pPr>
        <w:pStyle w:val="TextoNormal"/>
      </w:pPr>
    </w:p>
    <w:p w14:paraId="53A4FD5A" w14:textId="77777777" w:rsidR="00A8138F" w:rsidRDefault="00A8138F" w:rsidP="00A8138F">
      <w:pPr>
        <w:pStyle w:val="TextoNormal"/>
      </w:pPr>
      <w:r>
        <w:t xml:space="preserve">La demanda denuncia ocho motivos de inconstitucionalidad, referidos, según el caso, a todos o a algunos de los preceptos impugnados. Como con mayor detalle se ha expuesto en los antecedentes, se reprocha al Decreto-ley del Gobierno de la Generalitat de Cataluña 3/2023 la infracción de (i) la exigencia del presupuesto habilitante de la extraordinaria y urgente necesidad para la aprobación de decretos-leyes (arts. 86.1 CE y 64 EAC); (ii) los límites materiales de los decretos-leyes (art. 86.1 CE en conexión con el art. 33 CE); (iii) el derecho a la tutela judicial efectiva (art. 24.1 CE) de los propietarios de las viviendas afectadas por el Decreto-ley 3/2023, en la medida en que se reputa una ley singular; (iv) la autonomía local (arts. 137 y 141 CE y 2 EAC), ya que el régimen legal impugnado se ha aprobado sin que los municipios afectados hayan podido participar en su diseño; (v) las garantías constitucionales de la expropiación forzosa (art. 33.3 CE), que no habrían sido observadas a pesar de acometerse una expropiación legislativa; (vi) el principio de seguridad jurídica (art. 9.3 CE), por lo que consideran una defectuosa definición de los requisitos para concluir que un municipio sufre “problemas de acceso a la vivienda”; (vii) el principio de igualdad (art. 14 CE), por establecer un régimen diferenciado para el uso turístico de las viviendas en función del municipio en que se encuentren; y (viii) las competencias exclusivas del Estado en materia de bases y coordinación de la planificación general de la actividad </w:t>
      </w:r>
      <w:r>
        <w:lastRenderedPageBreak/>
        <w:t>económica (art. 149.1.13 CE), por introducir un régimen de autorización administrativa previa sin cumplir los requisitos establecidos en el art. 17 de la Ley de garantía de la unidad de mercado.</w:t>
      </w:r>
    </w:p>
    <w:p w14:paraId="1BCFD0AD" w14:textId="77777777" w:rsidR="00A8138F" w:rsidRDefault="00A8138F" w:rsidP="00A8138F">
      <w:pPr>
        <w:pStyle w:val="TextoNormal"/>
      </w:pPr>
    </w:p>
    <w:p w14:paraId="4FBB7B86" w14:textId="77777777" w:rsidR="00A8138F" w:rsidRDefault="00A8138F" w:rsidP="00A8138F">
      <w:pPr>
        <w:pStyle w:val="TextoNormal"/>
      </w:pPr>
      <w:r>
        <w:t>Tanto el Parlamento de Cataluña como el Gobierno de la Generalitat de Cataluña se han opuesto al recurso, solicitando su íntegra desestimación, por las razones que constan en los antecedentes. En síntesis, alegan que los preceptos impugnados no contienen una regulación general del derecho de propiedad ni tampoco operan una expropiación legislativa, sino que acometen una regulación de un concreto uso urbanístico de la vivienda que responde a razones urgentes y extraordinarias de interés general y que es proporcionada y clara, además de respetuosa con la autonomía local.</w:t>
      </w:r>
    </w:p>
    <w:p w14:paraId="2581658E" w14:textId="77777777" w:rsidR="00A8138F" w:rsidRDefault="00A8138F" w:rsidP="00A8138F">
      <w:pPr>
        <w:pStyle w:val="TextoNormal"/>
      </w:pPr>
    </w:p>
    <w:p w14:paraId="40B350A3" w14:textId="1B2DE962" w:rsidR="00A8138F" w:rsidRDefault="00A8138F" w:rsidP="00A8138F">
      <w:pPr>
        <w:pStyle w:val="TextoNormal"/>
      </w:pPr>
      <w:r>
        <w:t>Antes de examinar los motivos de inconstitucionalidad denunciados en la demanda procede aclarar cuál es la estructura que seguirá nuestro enjuiciamiento. En el presente caso, ante la complejidad del recurso —que en parte mezcla motivos de impugnación sustantivos con otros relativos al sistema de fuentes y al sistema constitucional de distribución de competencias— observaremos la siguiente sistemática. Con carácter preliminar describiremos el objeto y contenido del Decreto-ley del Gobierno de la Generalitat de Cataluña 3/2023 (fundamento jurídico 2), dada la estrecha conexión material entre los preceptos impugnados y el carácter novedoso de la regulación que establecen. Por lo que respecta al orden de examen de las diferentes tachas de inconstitucionalidad que se formulan, analizaremos en primer lugar las relativas al alegado uso indebido del vehículo normativo del decreto-ley, que son de examen prioritario según nuestra doctrina (por todas, STC 31/2011, de 17 de marzo). Comenzaremos enjuiciando los reparos de inconstitucionalidad relativos a la vulneración del presupuesto habilitante de los decretos-leyes (fundamento jurídico 3) y de los límites materiales de este tipo normativo en conexión con el derecho de propiedad privada, motivo que se abordará junto con el atinente a la supuesta infracción de las garantías constitucionales de la expropiación forzosa (fundamento jurídico 4). A continuación, examinaremos las censuras de inconstitucionalidad relativas a la alegada vulneración de la legislación básica estatal en materia de unidad de mercado (fundamento jurídico 5) y de la garantía constitucional de la autonomía local (fundamento jurídico 6). Por último, nos ocuparemos de los motivos de impugnación relativos a la supuesta infracción del derecho a la tutela judicial efectiva, y de los principios de igualdad y de seguridad jurídica, que comparten el rasgo común de referirse todos ellos, al modo en que el Decreto-ley 3/2023 delimita su propio ámbito territorial de aplicación (fundamento jurídico 7).</w:t>
      </w:r>
    </w:p>
    <w:p w14:paraId="17F696BE" w14:textId="77777777" w:rsidR="00A8138F" w:rsidRDefault="00A8138F" w:rsidP="00A8138F">
      <w:pPr>
        <w:pStyle w:val="TextoNormal"/>
      </w:pPr>
    </w:p>
    <w:p w14:paraId="4EA790EE" w14:textId="77777777" w:rsidR="00A8138F" w:rsidRDefault="00A8138F" w:rsidP="00A8138F">
      <w:pPr>
        <w:pStyle w:val="TextoNormal"/>
      </w:pPr>
      <w:r w:rsidRPr="00A8138F">
        <w:rPr>
          <w:rStyle w:val="NumeroAFNegritaCaracter"/>
        </w:rPr>
        <w:t>2</w:t>
      </w:r>
      <w:r>
        <w:t xml:space="preserve">. </w:t>
      </w:r>
      <w:r w:rsidRPr="00A8138F">
        <w:rPr>
          <w:i/>
        </w:rPr>
        <w:t>Objeto, contexto y contenido del Decreto-ley 3/2023</w:t>
      </w:r>
    </w:p>
    <w:p w14:paraId="16447EBE" w14:textId="77777777" w:rsidR="00A8138F" w:rsidRDefault="00A8138F" w:rsidP="00A8138F">
      <w:pPr>
        <w:pStyle w:val="TextoNormal"/>
      </w:pPr>
    </w:p>
    <w:p w14:paraId="08CF8970" w14:textId="77777777" w:rsidR="00A8138F" w:rsidRDefault="00A8138F" w:rsidP="00A8138F">
      <w:pPr>
        <w:pStyle w:val="TextoNormal"/>
      </w:pPr>
      <w:r>
        <w:t xml:space="preserve">a) El Decreto-ley 3/2023 regula por primera vez en Cataluña el régimen urbanístico de la llamada “vivienda de uso turístico”. Este concepto, que no se encuentra definido en la norma de urgencia, fue incorporado por vez primera al Derecho propio catalán mediante la Ley del Parlamento de Cataluña 18/2007, de 28 de diciembre, del derecho a la vivienda, y se encuentra actualmente regulado en la normativa turística de la comunidad autónoma. Concretamente, el apartado primero del art. 50 </w:t>
      </w:r>
      <w:r w:rsidRPr="00A8138F">
        <w:rPr>
          <w:i/>
        </w:rPr>
        <w:t>bis</w:t>
      </w:r>
      <w:r>
        <w:t xml:space="preserve"> de la Ley del Parlamento de Cataluña 13/2002, de 21 de junio, de turismo de Cataluña, define a las viviendas de uso turístico como aquellas “viviendas que son cedidas por su propietario, directa o indirectamente, a terceros, a cambio de contraprestación económica, para una estancia de temporada, en condiciones de inmediata disponibilidad y con las características establecidas por reglamento. No se </w:t>
      </w:r>
      <w:r>
        <w:lastRenderedPageBreak/>
        <w:t>permite la cesión por estancias de las viviendas de uso turístico, que deben cederse enteras”. Por su parte, el art. 221.1 del Decreto de la Consejería de Empresa y Conocimiento 75/2020, de 4 de agosto, de turismo de Cataluña, completa este concepto al precisar que se considera estancia de temporada “toda ocupación de la vivienda por un periodo de tiempo continuado igual o inferior a treinta y un días”.</w:t>
      </w:r>
    </w:p>
    <w:p w14:paraId="312BA434" w14:textId="77777777" w:rsidR="00A8138F" w:rsidRDefault="00A8138F" w:rsidP="00A8138F">
      <w:pPr>
        <w:pStyle w:val="TextoNormal"/>
      </w:pPr>
    </w:p>
    <w:p w14:paraId="32E6BDFB" w14:textId="77777777" w:rsidR="00A8138F" w:rsidRDefault="00A8138F" w:rsidP="00A8138F">
      <w:pPr>
        <w:pStyle w:val="TextoNormal"/>
      </w:pPr>
      <w:r>
        <w:t>b) Para la mejor comprensión de la regulación impugnada resulta útil tener en cuenta la evolución del régimen de las viviendas de uso turístico en la Comunidad Autónoma de Cataluña:</w:t>
      </w:r>
    </w:p>
    <w:p w14:paraId="4A539F4C" w14:textId="77777777" w:rsidR="00A8138F" w:rsidRDefault="00A8138F" w:rsidP="00A8138F">
      <w:pPr>
        <w:pStyle w:val="TextoNormal"/>
      </w:pPr>
    </w:p>
    <w:p w14:paraId="1AB6A25B" w14:textId="77777777" w:rsidR="00A8138F" w:rsidRDefault="00A8138F" w:rsidP="00A8138F">
      <w:pPr>
        <w:pStyle w:val="TextoNormal"/>
      </w:pPr>
      <w:r>
        <w:t>(i) La recién citada Ley del Parlamento de Cataluña 18/2007, de 28 de diciembre, del derecho a la vivienda, estableció que la cesión del uso de la vivienda a terceros para una estancia de temporada (a) correspondía a su propietario y (b) requería autorización de la administración competente —en concreto, “licencia municipal de actividad correspondiente al uso pretendido” y “cualquier otra autorización sectorial que sea exigible”— [arts. 3 l) y 19.1]. En desarrollo de estas previsiones, el Decreto 164/2010, de 9 de noviembre, de regulación de las viviendas de uso turístico, estableció (a) que los propietarios de las viviendas eran los titulares de las correspondientes habilitaciones para su uso turístico; (b) que los ayuntamientos debían regular, por ordenanza municipal, el procedimiento de concesión de la licencia de vivienda de uso turístico, y (c) la imposibilidad de destinar una vivienda a uso turístico si ello estaba prohibido por la ordenación de usos del sector donde se encontrase o por los estatutos de la comunidad en edificios sometidos al régimen legal de propiedad horizontal (arts. 3 y 6.1).</w:t>
      </w:r>
    </w:p>
    <w:p w14:paraId="095BEA9C" w14:textId="77777777" w:rsidR="00A8138F" w:rsidRDefault="00A8138F" w:rsidP="00A8138F">
      <w:pPr>
        <w:pStyle w:val="TextoNormal"/>
      </w:pPr>
    </w:p>
    <w:p w14:paraId="4C8EA895" w14:textId="77777777" w:rsidR="00A8138F" w:rsidRDefault="00A8138F" w:rsidP="00A8138F">
      <w:pPr>
        <w:pStyle w:val="TextoNormal"/>
      </w:pPr>
      <w:r>
        <w:t xml:space="preserve">(ii) La regulación descrita fue modificada por la Ley del Parlamento de Cataluña 9/2011, de 29 de diciembre, de promoción de la actividad económica. En su virtud, el art. 19.1 de la Ley del Parlamento de Cataluña 18/2007, de 28 de diciembre, del derecho a la vivienda, dejó de exigir licencia municipal para destinar las viviendas al uso turístico y pasó a establecer que las “viviendas con actividades económicas”, en general, “deben disponer de los títulos habilitantes correspondientes al tipo de actividad”; mientras que se introdujo un nuevo art. 50 </w:t>
      </w:r>
      <w:r w:rsidRPr="00A8138F">
        <w:rPr>
          <w:i/>
        </w:rPr>
        <w:t>bis</w:t>
      </w:r>
      <w:r>
        <w:t xml:space="preserve"> en la Ley del Parlamento de Cataluña 13/2002, de 21 de junio, de turismo de Cataluña, conforme al cual las viviendas de uso turístico “requieren el correspondiente título habilitante exigido por la normativa vigente para iniciar la actividad”. En desarrollo de estas previsiones, el Decreto de la Consejería de Empresa y Empleo del Gobierno de la Generalitat de Cataluña 159/2012, de 20 de noviembre, de establecimientos de alojamiento turístico y de viviendas de uso turístico, estableció que la cesión de las viviendas para su uso turístico (a) correspondía a su propietario; (b) requería “la correspondiente comunicación previa de inicio de actividad ante el ayuntamiento competente”, y (c) no resultaba posible si lo prohibía la ordenación de usos del sector donde se encontrase o si estuviese prohibida por los estatutos de la comunidad debidamente inscritos en el registro de la propiedad en edificios sometidos al régimen de propiedad horizontal (arts. 66.1, 68.1 y 68.6). Los títulos habilitantes de la actividad de vivienda de uso turístico anteriores a la entrada en vigor del Decreto 159/2012 antes citado no quedaban privados de efectos, sino que, según la disposición transitoria tercera de la citada norma reglamentaria, los que no fuesen plenamente coincidentes con los requisitos previstos en su art. 68 debían “ser complementados mediante la comunicación de los datos adicionales omitidos en el proceso de habilitación inicial antes del 31 de diciembre del 2013”.</w:t>
      </w:r>
    </w:p>
    <w:p w14:paraId="791555B5" w14:textId="77777777" w:rsidR="00A8138F" w:rsidRDefault="00A8138F" w:rsidP="00A8138F">
      <w:pPr>
        <w:pStyle w:val="TextoNormal"/>
      </w:pPr>
    </w:p>
    <w:p w14:paraId="2198F8E6" w14:textId="77777777" w:rsidR="00A8138F" w:rsidRDefault="00A8138F" w:rsidP="00A8138F">
      <w:pPr>
        <w:pStyle w:val="TextoNormal"/>
      </w:pPr>
      <w:r>
        <w:lastRenderedPageBreak/>
        <w:t>(iii) Posteriormente, la Ley del Parlamento de Cataluña 16/2015, de 21 de julio, de simplificación de la actividad administrativa de la administración de la Generalitat y de los gobiernos locales de Cataluña y de impulso de la actividad económica, clasificó el uso turístico de la vivienda como actividad inocua que se desarrolla en un establecimiento, sometiéndolo, en consecuencia, a declaración responsable (art. 13 y anexo I). Se establecía, por lo que ahora interesa, que dicha declaración responsable (a) debía contener una manifestación explícita sobre la conformidad de la actividad económica con el régimen urbanístico del suelo; (b) habilitaba de forma inmediata para el ejercicio de la actividad bajo la responsabilidad de su titular, a la vez que facultaba a la administración para realizar cualquier actuación de comprobación, y (c) cesaba sus efectos con el cambio de titularidad en el ejercicio de la actividad económica de que se tratase, debiendo el nuevo titular realizar una nueva declaración responsable (arts. 13.2, 13.3 y 14).</w:t>
      </w:r>
    </w:p>
    <w:p w14:paraId="559CC65E" w14:textId="77777777" w:rsidR="00A8138F" w:rsidRDefault="00A8138F" w:rsidP="00A8138F">
      <w:pPr>
        <w:pStyle w:val="TextoNormal"/>
      </w:pPr>
    </w:p>
    <w:p w14:paraId="3E03C011" w14:textId="77777777" w:rsidR="00A8138F" w:rsidRDefault="00A8138F" w:rsidP="00A8138F">
      <w:pPr>
        <w:pStyle w:val="TextoNormal"/>
      </w:pPr>
      <w:r>
        <w:t>(iv) Por último, la Ley del Parlamento de Cataluña 18/2020, de 28 de diciembre, de facilitación de la actividad económica, volvió a someter a las viviendas de uso turístico a un régimen de comunicación previa (art. 32 y anexo). A tenor del aún vigente Decreto 75/2020, de 4 de agosto, de turismo de Cataluña, la cesión de la vivienda a terceros para su uso turístico (a) corresponde a su propietario, y (b) debe ser compatible con la regulación de los usos del sector donde se encuentre situado y con la normativa civil que le sea de aplicación (art. 221.1).</w:t>
      </w:r>
    </w:p>
    <w:p w14:paraId="6F94EC73" w14:textId="77777777" w:rsidR="00A8138F" w:rsidRDefault="00A8138F" w:rsidP="00A8138F">
      <w:pPr>
        <w:pStyle w:val="TextoNormal"/>
      </w:pPr>
    </w:p>
    <w:p w14:paraId="41FC4809" w14:textId="77777777" w:rsidR="00A8138F" w:rsidRDefault="00A8138F" w:rsidP="00A8138F">
      <w:pPr>
        <w:pStyle w:val="TextoNormal"/>
      </w:pPr>
      <w:r>
        <w:t>(v) A todo ello se añade que, durante los últimos años, esta sucesión de regímenes normativos de ámbito autonómico ha convivido con regulaciones específicas de alcance municipal, mediante las cuales se han introducido exigencias adicionales para destinar las viviendas al uso turístico; posibilidad prevista desde mayo de 2020 para la ciudad de Barcelona y desde enero de 2022 para todos los ayuntamientos de Cataluña, en la disposición adicional décima de la Ley del Parlamento de Cataluña 13/2002, de 21 de junio, de turismo de Cataluña. Así, por ejemplo, en la ciudad de Barcelona se aprobó el 23 de diciembre de 2021, el acuerdo del Ayuntamiento de Barcelona por el que aprueba el plan especial urbanístico para la regulación de los establecimientos de alojamiento turístico, albergues de juventud, viviendas de uso turístico, hogares compartidos y residencias colectivas docentes de alojamiento temporal, que establece que en los casos de edificios de viviendas es necesario obtener licencia urbanística de edificio para viviendas de uso turístico y otros usos compatibles, con anterioridad a realizar la comunicación de inicio de la actividad (art. 10.1).</w:t>
      </w:r>
    </w:p>
    <w:p w14:paraId="50AC6E00" w14:textId="77777777" w:rsidR="00A8138F" w:rsidRDefault="00A8138F" w:rsidP="00A8138F">
      <w:pPr>
        <w:pStyle w:val="TextoNormal"/>
      </w:pPr>
    </w:p>
    <w:p w14:paraId="20521294" w14:textId="77777777" w:rsidR="00A8138F" w:rsidRDefault="00A8138F" w:rsidP="00A8138F">
      <w:pPr>
        <w:pStyle w:val="TextoNormal"/>
      </w:pPr>
      <w:r>
        <w:t>c) El Decreto-ley del Gobierno de la Generalitat de Cataluña 3/2023 se aprueba, según su exposición de motivos, en respuesta a la proliferación de viviendas destinadas al uso turístico, con la finalidad de hacer frente a las externalidades negativas que este tipo de uso produce para la estructura de la ordenación urbana al extraer del parque residencial, para convertirlos en alojamientos turísticos, inmuebles que la planificación urbanística había previsto para el uso como vivienda permanente y habitual de las personas.</w:t>
      </w:r>
    </w:p>
    <w:p w14:paraId="0DDE6D4A" w14:textId="77777777" w:rsidR="00A8138F" w:rsidRDefault="00A8138F" w:rsidP="00A8138F">
      <w:pPr>
        <w:pStyle w:val="TextoNormal"/>
      </w:pPr>
    </w:p>
    <w:p w14:paraId="2AD68E73" w14:textId="77777777" w:rsidR="00A8138F" w:rsidRDefault="00A8138F" w:rsidP="00A8138F">
      <w:pPr>
        <w:pStyle w:val="TextoNormal"/>
      </w:pPr>
      <w:r>
        <w:t xml:space="preserve">La norma de urgencia, tanto en su exposición de motivos como en su articulado, desglosa tales externalidades negativas en dos bloques: por una parte, el surgimiento o agravación de problemas de acceso a la vivienda (ya que la conversión de viviendas en alojamientos turísticos contribuye a la reducción y encarecimiento de la oferta de alquiler de vivienda habitual); de otro lado, el riesgo de ruptura del equilibrio del entorno urbano (en tanto que la conversión de viviendas en alojamientos turísticos determina la aparición de usos turísticos </w:t>
      </w:r>
      <w:r>
        <w:lastRenderedPageBreak/>
        <w:t>en áreas diseñadas por el planeamiento como residenciales). La exposición de motivos destaca, en cuanto a lo primero, que “[l]as viviendas de uso turístico no se crean como resultado de la construcción de nuevas viviendas, sino que aparecen como cambios de destino de viviendas ya existentes, lo que implica que […] el crecimiento de viviendas de uso turístico es una de las causas de disminución del potencial mercado de viviendas de carácter permanente y habitual”. En cuanto a lo segundo, afirma que “el fuerte incremento de viviendas de uso turístico contribuye a la saturación turística o el turismo de masas (</w:t>
      </w:r>
      <w:r w:rsidRPr="00A8138F">
        <w:rPr>
          <w:i/>
        </w:rPr>
        <w:t>overtourism</w:t>
      </w:r>
      <w:r>
        <w:t>), que tiene fuertes consecuencias negativas, como el deterioro de la convivencia vecinal, la proliferación de actividades turísticas y de ocio que rompen el equilibrio del entorno urbano, dado que generan un funcionamiento anómalo en la zona al no estar destinadas a residentes locales, la gentrificación turística, la transformación social de los barrios a través del deterioro del paisaje urbano y la saturación de las infraestructuras y servicios de la ciudad, entre otros”. Por todo ello, la norma pretende “promover la ordenación urbanística necesaria para conciliar el destino de determinadas viviendas a uso turístico con la capacidad de priorizar las necesidades habitacionales y sociales de una población”.</w:t>
      </w:r>
    </w:p>
    <w:p w14:paraId="637C4C1C" w14:textId="77777777" w:rsidR="00A8138F" w:rsidRDefault="00A8138F" w:rsidP="00A8138F">
      <w:pPr>
        <w:pStyle w:val="TextoNormal"/>
      </w:pPr>
    </w:p>
    <w:p w14:paraId="0C0852B7" w14:textId="77777777" w:rsidR="00A8138F" w:rsidRDefault="00A8138F" w:rsidP="00A8138F">
      <w:pPr>
        <w:pStyle w:val="TextoNormal"/>
      </w:pPr>
      <w:r>
        <w:t xml:space="preserve">d) Con la finalidad descrita, el Decreto-ley del Gobierno de la Generalitat de Cataluña 3/2023 modifica el Decreto Legislativo 1/2010, para introducir tres restricciones sucesivas sobre la posibilidad de destinar las viviendas al uso turístico. En primer lugar, se establece </w:t>
      </w:r>
      <w:r w:rsidRPr="00A8138F">
        <w:rPr>
          <w:i/>
        </w:rPr>
        <w:t>ex novo</w:t>
      </w:r>
      <w:r>
        <w:t xml:space="preserve"> una regla de exclusión por defecto de la compatibilidad del uso turístico con el uso de vivienda, si bien se permite que el planeamiento urbanístico admita dicha compatibilidad siempre que lo haga cumpliendo ciertas condiciones (previsión expresa y justificación de la suficiencia de suelo calificado para el uso de vivienda destinada al domicilio habitual y permanente de la población residente, teniendo en cuenta, entre otros factores, la protección del entorno urbano). En segundo lugar, se dispone que, cuando el planeamiento haya admitido dicha compatibilidad de usos, la destinación de la vivienda al uso turístico exigirá la obtención de licencia urbanística previa. Y, en tercer lugar, se prevé que tales licencias estarán limitadas en número —se podrán otorgar un máximo de diez licencias por cada 100 habitantes— y en duración —cinco años, prorrogables por períodos de igual duración siempre que el planeamiento urbanístico lo permita—.</w:t>
      </w:r>
    </w:p>
    <w:p w14:paraId="31297C6C" w14:textId="77777777" w:rsidR="00A8138F" w:rsidRDefault="00A8138F" w:rsidP="00A8138F">
      <w:pPr>
        <w:pStyle w:val="TextoNormal"/>
      </w:pPr>
    </w:p>
    <w:p w14:paraId="01C03F70" w14:textId="77777777" w:rsidR="00A8138F" w:rsidRDefault="00A8138F" w:rsidP="00A8138F">
      <w:pPr>
        <w:pStyle w:val="TextoNormal"/>
      </w:pPr>
      <w:r>
        <w:t>Este restrictivo régimen legal no es aplicable a todos los municipios de Cataluña, sino solamente a aquellos que presenten “problemas de acceso a la vivienda” o en los que exista “riesgo de romper el equilibrio del entorno urbano por una alta concentración de viviendas de uso turístico”. El Decreto-ley del Gobierno de la Generalitat de Cataluña 3/2023 identifica en su anexo qué municipios (un total de 262) reúnen una u otra condición a la fecha de su entrada en vigor y establece que dicha lista deberá actualizarse cada cinco años mediante una orden de la persona titular del departamento competente en materia de urbanismo, en aplicación de los criterios previstos en la disposición transitoria primera y previa audiencia a los municipios afectados.</w:t>
      </w:r>
    </w:p>
    <w:p w14:paraId="25189AC3" w14:textId="77777777" w:rsidR="00A8138F" w:rsidRDefault="00A8138F" w:rsidP="00A8138F">
      <w:pPr>
        <w:pStyle w:val="TextoNormal"/>
      </w:pPr>
    </w:p>
    <w:p w14:paraId="5DE55770" w14:textId="66BEBFCE" w:rsidR="00A8138F" w:rsidRDefault="00A8138F" w:rsidP="00A8138F">
      <w:pPr>
        <w:pStyle w:val="TextoNormal"/>
      </w:pPr>
      <w:r>
        <w:t xml:space="preserve">Por último, ha de destacarse que la norma de urgencia regula, en su disposición transitoria segunda, el régimen transitorio de las viviendas de uso turístico en cuatro apartados: (i) el primero se refiere a las viviendas que ya están debidamente habilitadas y ubicadas en uno de los municipios enumerados en el anexo, estableciendo que sus titulares deben, en el plazo de cinco años, bien obtener la licencia regulada en el Decreto-ley del Gobierno de la Generalitat de Cataluña 3/2023, o bien cesar en la actividad; (ii) el segundo permite una única prórroga de dicho plazo transitorio para la obtención de la preceptiva licencia, si el titular </w:t>
      </w:r>
      <w:r>
        <w:lastRenderedPageBreak/>
        <w:t>acredita que el plazo inicial no compensa la pérdida del título habilitante; (iii) el tercero atribuye carácter indemnizatorio al régimen transitorio establecido en los apartados primero y segundo; y (iv) el cuarto apartado establece la aplicación del régimen transitorio a los municipios que se incorporen al listado de municipios afectados como consecuencia de las futuras órdenes que vayan actualizando el ámbito de aplicación del Decreto-ley 3/2023.</w:t>
      </w:r>
    </w:p>
    <w:p w14:paraId="7AA0652B" w14:textId="77777777" w:rsidR="00A8138F" w:rsidRDefault="00A8138F" w:rsidP="00A8138F">
      <w:pPr>
        <w:pStyle w:val="TextoNormal"/>
      </w:pPr>
    </w:p>
    <w:p w14:paraId="7CC674BB" w14:textId="77777777" w:rsidR="00A8138F" w:rsidRDefault="00A8138F" w:rsidP="00A8138F">
      <w:pPr>
        <w:pStyle w:val="TextoNormal"/>
      </w:pPr>
      <w:r w:rsidRPr="00A8138F">
        <w:rPr>
          <w:rStyle w:val="NumeroAFNegritaCaracter"/>
        </w:rPr>
        <w:t>3</w:t>
      </w:r>
      <w:r>
        <w:t xml:space="preserve">. </w:t>
      </w:r>
      <w:r w:rsidRPr="00A8138F">
        <w:rPr>
          <w:i/>
        </w:rPr>
        <w:t>Sobre la alegada inobservancia del presupuesto habilitante de la “extraordinaria y urgente necesidad” de los decretos-leyes (arts. 86.1 CE y 64 EAC)</w:t>
      </w:r>
    </w:p>
    <w:p w14:paraId="1929BD41" w14:textId="77777777" w:rsidR="00A8138F" w:rsidRDefault="00A8138F" w:rsidP="00A8138F">
      <w:pPr>
        <w:pStyle w:val="TextoNormal"/>
      </w:pPr>
    </w:p>
    <w:p w14:paraId="5F79316D" w14:textId="77777777" w:rsidR="00A8138F" w:rsidRDefault="00A8138F" w:rsidP="00A8138F">
      <w:pPr>
        <w:pStyle w:val="TextoNormal"/>
      </w:pPr>
      <w:r>
        <w:t xml:space="preserve">a) </w:t>
      </w:r>
      <w:r w:rsidRPr="00A8138F">
        <w:rPr>
          <w:i/>
        </w:rPr>
        <w:t>Síntesis de la controversia</w:t>
      </w:r>
    </w:p>
    <w:p w14:paraId="4B6A3F4D" w14:textId="77777777" w:rsidR="00A8138F" w:rsidRDefault="00A8138F" w:rsidP="00A8138F">
      <w:pPr>
        <w:pStyle w:val="TextoNormal"/>
      </w:pPr>
    </w:p>
    <w:p w14:paraId="1F06715F" w14:textId="77777777" w:rsidR="00A8138F" w:rsidRDefault="00A8138F" w:rsidP="00A8138F">
      <w:pPr>
        <w:pStyle w:val="TextoNormal"/>
      </w:pPr>
      <w:r>
        <w:t>Los recurrentes denuncian la inconstitucionalidad de los arts. 1, 2 y 3, de la disposición transitoria segunda y de la disposición final primera del Decreto-ley del Gobierno de la Generalitat de Cataluña 3/2023 por haberse aprobado sin que concurriese el presupuesto habilitante de la potestad legislativa de urgencia (arts. 86.1 CE y 64 EAC). Aducen, por una parte, que ninguna de las razones aportadas en la exposición de motivos del decreto-ley ni en su memoria de elaboración —a la que reprochan no estar fechada ni firmada— justifica suficientemente una situación de extraordinaria y urgente necesidad, por referirse a fenómenos conocidos desde hace años o a circunstancia meramente hipotéticas. De otro lado, reprochan a los preceptos impugnados el no guardar la necesaria conexión de sentido con la situación de urgencia alegada, ya que, por su contenido y estructura, no producen ninguna alteración de la situación jurídica abordada hasta al menos pasados cinco años de su entrada en vigor.</w:t>
      </w:r>
    </w:p>
    <w:p w14:paraId="64DC4EEF" w14:textId="77777777" w:rsidR="00A8138F" w:rsidRDefault="00A8138F" w:rsidP="00A8138F">
      <w:pPr>
        <w:pStyle w:val="TextoNormal"/>
      </w:pPr>
    </w:p>
    <w:p w14:paraId="7956E462" w14:textId="77777777" w:rsidR="00A8138F" w:rsidRDefault="00A8138F" w:rsidP="00A8138F">
      <w:pPr>
        <w:pStyle w:val="TextoNormal"/>
      </w:pPr>
      <w:r>
        <w:t>El Parlamento y el Gobierno de la Generalitat de Cataluña alegan de contrario que tanto en la exposición de motivos como en la memoria y en el debate de convalidación del decreto-ley se ha justificado de manera suficiente la extraordinaria y urgente necesidad de atajar las externalidades negativas del creciente fenómeno de la vivienda de uso turístico. En cuanto a la conexión de sentido entre tal situación y el contenido de los preceptos impugnados, aducen, en síntesis, que estos tienen como efecto inmediato el posibilitar que los municipios puedan modificar su planeamiento para regular la compatibilidad del uso turístico con el residencial atendiendo a los condicionantes previstos en el decreto-ley.</w:t>
      </w:r>
    </w:p>
    <w:p w14:paraId="16E111AC" w14:textId="77777777" w:rsidR="00A8138F" w:rsidRDefault="00A8138F" w:rsidP="00A8138F">
      <w:pPr>
        <w:pStyle w:val="TextoNormal"/>
      </w:pPr>
    </w:p>
    <w:p w14:paraId="008CB8B4" w14:textId="77777777" w:rsidR="00A8138F" w:rsidRDefault="00A8138F" w:rsidP="00A8138F">
      <w:pPr>
        <w:pStyle w:val="TextoNormal"/>
      </w:pPr>
      <w:r>
        <w:t xml:space="preserve">b) </w:t>
      </w:r>
      <w:r w:rsidRPr="00A8138F">
        <w:rPr>
          <w:i/>
        </w:rPr>
        <w:t>Doctrina constitucional aplicable</w:t>
      </w:r>
    </w:p>
    <w:p w14:paraId="7551B761" w14:textId="77777777" w:rsidR="00A8138F" w:rsidRDefault="00A8138F" w:rsidP="00A8138F">
      <w:pPr>
        <w:pStyle w:val="TextoNormal"/>
      </w:pPr>
    </w:p>
    <w:p w14:paraId="2ABBE635" w14:textId="77777777" w:rsidR="00A8138F" w:rsidRDefault="00A8138F" w:rsidP="00A8138F">
      <w:pPr>
        <w:pStyle w:val="TextoNormal"/>
      </w:pPr>
      <w:r>
        <w:t>Este tribunal ha reiterado que “los límites formales y materiales que afectan al decreto-ley autonómico son, como mínimo, los que la Constitución impone al decreto-ley estatal (art. 86.1 CE), pudiendo el estatuto añadir ‘cautelas o exclusiones adicionales’ con el fin de ‘preservar más intensamente la posición del Parlamento autonómico’ (SSTC 93/2015, de 14 de mayo, FJ 5, y 107/2015, de 28 de mayo, FJ 2)” (SSTC 126/2023, de 27 de septiembre, y 121/2024, de 9 de octubre). En el caso de Cataluña, su estatuto de autonomía no ha introducido, por lo que ahora importa, límites distintos a los que derivan del art. 86.1 CE, pues restringe la posibilidad de aprobar decretos-leyes a casos de “necesidad extraordinaria y urgente”. Ello implica que para resolver este primer motivo de impugnación debamos atender a la doctrina constitucional relativa al presupuesto habilitante previsto en el art. 86.1 CE y a su control por parte de este tribunal, doctrina que puede sintetizarse en los términos siguientes:</w:t>
      </w:r>
    </w:p>
    <w:p w14:paraId="6743E8D4" w14:textId="77777777" w:rsidR="00A8138F" w:rsidRDefault="00A8138F" w:rsidP="00A8138F">
      <w:pPr>
        <w:pStyle w:val="TextoNormal"/>
      </w:pPr>
    </w:p>
    <w:p w14:paraId="693D25AE" w14:textId="77777777" w:rsidR="00A8138F" w:rsidRDefault="00A8138F" w:rsidP="00A8138F">
      <w:pPr>
        <w:pStyle w:val="TextoNormal"/>
      </w:pPr>
      <w:r>
        <w:lastRenderedPageBreak/>
        <w:t>(i)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Sin embargo,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decretos-leyes” (STC 134/2021, de 24 de junio, FJ 3). Se trata, en definitiva, de un “control externo, en el sentido de que debe verificar, pero no sustituir, el juicio político o de oportunidad que corresponde al Gobierno” (STC 142/2014, de 11 de septiembre, FJ 3, y las que allí se citan). Solo “en supuestos de uso abusivo o arbitrario” podrá este tribunal rechazar la definición que el Gobierno haya hecho de una situación como de extraordinaria y urgente necesidad (por todas, STC 29/1982, de 31 de mayo, FJ 3).</w:t>
      </w:r>
    </w:p>
    <w:p w14:paraId="2334C20C" w14:textId="77777777" w:rsidR="00A8138F" w:rsidRDefault="00A8138F" w:rsidP="00A8138F">
      <w:pPr>
        <w:pStyle w:val="TextoNormal"/>
      </w:pPr>
    </w:p>
    <w:p w14:paraId="78B7D793" w14:textId="77777777" w:rsidR="00A8138F" w:rsidRDefault="00A8138F" w:rsidP="00A8138F">
      <w:pPr>
        <w:pStyle w:val="TextoNormal"/>
      </w:pPr>
      <w:r>
        <w:t xml:space="preserve">(ii) Dicho control externo y </w:t>
      </w:r>
      <w:r w:rsidRPr="00A8138F">
        <w:rPr>
          <w:i/>
        </w:rPr>
        <w:t>ex post</w:t>
      </w:r>
      <w:r>
        <w:t xml:space="preserve"> requiere el análisis de dos aspectos: por un lado, la presentación explícita y razonada de los motivos que han sido tenidos en cuenta por el Gobierno en la aprobación del decreto-ley; de otra parte, la existencia de una necesaria conexión entre la situación de urgencia definida y la medida concreta adoptada para subvenir a ella (STC 29/1982, FJ 3). Aunque ambos aspectos están íntimamente ligados, su examen por separado facilita desde un punto de vista metodológico el análisis de las consideraciones de las partes y, en última instancia, el control que le corresponde efectuar a este tribunal (STC 332/2005, de 15 de diciembre, FJ 6).</w:t>
      </w:r>
    </w:p>
    <w:p w14:paraId="126B038B" w14:textId="77777777" w:rsidR="00A8138F" w:rsidRDefault="00A8138F" w:rsidP="00A8138F">
      <w:pPr>
        <w:pStyle w:val="TextoNormal"/>
      </w:pPr>
    </w:p>
    <w:p w14:paraId="261F52ED" w14:textId="77777777" w:rsidR="00A8138F" w:rsidRDefault="00A8138F" w:rsidP="00A8138F">
      <w:pPr>
        <w:pStyle w:val="TextoNormal"/>
      </w:pPr>
      <w:r>
        <w:t>En cuanto a la definición de la situación de urgencia, este tribunal ha precisado que no es necesario incluir tal definición en el propio real decreto-ley en todo caso, sino que cabe deducirla de una pluralidad de elementos, pues el examen de la concurrencia del presupuesto habilitante siempre se ha de llevar a cabo mediante la valoración conjunta de todos aquellos factores que determinaron al Gobierno a dictar la disposición legal excepcional, y que son, básicamente, los que quedan reflejados en el preámbulo de la norma, a lo largo del debate parlamentario de convalidación y en el propio expediente de su elaboración (por todas, STC 182/1997, de 28 de octubre, FJ 4). Asimismo, pueden ser relevantes las alegaciones procesales formuladas en defensa del decreto-ley impugnado por carencia de su presupuesto habilitante, que pueden detallar las razones expuestas al efecto por el autor de la norma, aunque en dichas alegaciones “nunca podrían ser ofrecidas razones distintas o que alterasen los motivos puestos de manifiesto en su momento” (STC 182/1997, FJ 4). A efectos de la justificación del presupuesto habilitante resultan insuficientes, por ser prácticamente de imposible control constitucional, las fórmulas genéricas, estereotipadas y rituales (STC 150/2017, de 21 de diciembre, FJ 4).</w:t>
      </w:r>
    </w:p>
    <w:p w14:paraId="6179247C" w14:textId="77777777" w:rsidR="00A8138F" w:rsidRDefault="00A8138F" w:rsidP="00A8138F">
      <w:pPr>
        <w:pStyle w:val="TextoNormal"/>
      </w:pPr>
    </w:p>
    <w:p w14:paraId="31F7947B" w14:textId="77777777" w:rsidR="00A8138F" w:rsidRDefault="00A8138F" w:rsidP="00A8138F">
      <w:pPr>
        <w:pStyle w:val="TextoNormal"/>
      </w:pPr>
      <w:r>
        <w:t xml:space="preserve">Sobre la conexión de sentido entre la situación de necesidad definida y las medidas que en el real decreto-ley se adoptan, este tribunal ha afirmado un doble criterio o perspectiva para valorar su existencia: el contenido, por un lado, y la estructura, por otro, de las disposiciones incluidas en el real decreto-ley controvertido (STC 29/1982, FJ 3). Desde esta perspectiva, lo que se exige es que las medidas que se incluyan en el decreto-ley sean, en principio, concretas y de eficacia inmediata para hacer frente a la situación de extraordinaria y </w:t>
      </w:r>
      <w:r>
        <w:lastRenderedPageBreak/>
        <w:t>urgente necesidad que ha determinado el uso de la legislación de urgencia (STC 70/2016, de 14 de abril, FFJJ 6 y 7).</w:t>
      </w:r>
    </w:p>
    <w:p w14:paraId="05FE2E96" w14:textId="77777777" w:rsidR="00A8138F" w:rsidRDefault="00A8138F" w:rsidP="00A8138F">
      <w:pPr>
        <w:pStyle w:val="TextoNormal"/>
      </w:pPr>
    </w:p>
    <w:p w14:paraId="6E53EFFC" w14:textId="77777777" w:rsidR="00A8138F" w:rsidRDefault="00A8138F" w:rsidP="00A8138F">
      <w:pPr>
        <w:pStyle w:val="TextoNormal"/>
      </w:pPr>
      <w:r>
        <w:t>(iii) Para enjuiciar la concurrencia del presupuesto habilitante en el caso de los decretos-leyes autonómicos, la doctrina constitucional ha considerado necesario ponderar, caso por caso, el contexto en que estos se adoptan, ya que “[a]unque las exigencias mínimas del principio democrático son en esencia idénticas para todos los decretos-leyes […], la distinta realidad de referencia puede causar que uno u otro de esos requerimientos presenten matices o que, al ser precisados por este tribunal, se le otorgue un mayor o menor alcance” (STC 93/2015, FJ 6). Uno de los elementos específicos a ponderar es la competencia autonómica ejercida al efecto, pues “la naturaleza y alcance de las competencias autonómicas hacen, en principio, menos necesario el recurso a la aprobación de normas legales de urgencia” (STC 93/2015, FJ 5). Otro factor relevante es el menor tiempo que requiere tramitar un proyecto de ley en una cámara autonómica, debido a su carácter unicameral, así como a su más reducido tamaño y menor actividad parlamentaria en comparación con la de las Cortes Generales. Este elemento que “habrá de ser ponderado por este tribunal caso por caso con la vista puesta principalmente en la previsible duración efectiva del procedimiento legislativo y en el grado de inmediatez en la reacción normativa que, por razón de la materia afectada, requiere la situación de necesidad apreciada por el Gobierno autonómico”, sin que del mismo se derive la exigencia de una justificación expresa e individualizada de la inadecuación del procedimiento legislativo para atender a tiempo los objetivos gubernamentales (STC 93/2015, FJ 6).</w:t>
      </w:r>
    </w:p>
    <w:p w14:paraId="6CE920E0" w14:textId="77777777" w:rsidR="00A8138F" w:rsidRDefault="00A8138F" w:rsidP="00A8138F">
      <w:pPr>
        <w:pStyle w:val="TextoNormal"/>
      </w:pPr>
    </w:p>
    <w:p w14:paraId="6213058C" w14:textId="77777777" w:rsidR="00A8138F" w:rsidRDefault="00A8138F" w:rsidP="00A8138F">
      <w:pPr>
        <w:pStyle w:val="TextoNormal"/>
      </w:pPr>
      <w:r>
        <w:t xml:space="preserve">c) </w:t>
      </w:r>
      <w:r w:rsidRPr="00A8138F">
        <w:rPr>
          <w:i/>
        </w:rPr>
        <w:t>Justificación del presupuesto habilitante</w:t>
      </w:r>
    </w:p>
    <w:p w14:paraId="43053023" w14:textId="77777777" w:rsidR="00A8138F" w:rsidRDefault="00A8138F" w:rsidP="00A8138F">
      <w:pPr>
        <w:pStyle w:val="TextoNormal"/>
      </w:pPr>
    </w:p>
    <w:p w14:paraId="61B2C7B3" w14:textId="77777777" w:rsidR="00A8138F" w:rsidRDefault="00A8138F" w:rsidP="00A8138F">
      <w:pPr>
        <w:pStyle w:val="TextoNormal"/>
      </w:pPr>
      <w:r>
        <w:t>Conforme a la doctrina expuesta, hemos de examinar, en primer lugar, la justificación de la concurrencia del presupuesto habilitante aportada por el Ejecutivo autonómico. Cabe constatar en este punto lo siguiente:</w:t>
      </w:r>
    </w:p>
    <w:p w14:paraId="0A87ED5F" w14:textId="77777777" w:rsidR="00A8138F" w:rsidRDefault="00A8138F" w:rsidP="00A8138F">
      <w:pPr>
        <w:pStyle w:val="TextoNormal"/>
      </w:pPr>
    </w:p>
    <w:p w14:paraId="25BE569A" w14:textId="77777777" w:rsidR="00A8138F" w:rsidRDefault="00A8138F" w:rsidP="00A8138F">
      <w:pPr>
        <w:pStyle w:val="TextoNormal"/>
      </w:pPr>
      <w:r>
        <w:t xml:space="preserve">(i) La exposición de motivos del Decreto-ley del Gobierno de la Generalitat de Cataluña 3/2023 justifica su aprobación en “las necesidades de regulación del creciente mercado de viviendas de uso turístico que ha proliferado en el territorio de Cataluña”, en la medida en que este fenómeno, por una parte, “comporta una disminución de la oferta de viviendas destinadas a uso residencial habitual […] que, de conformidad con los datos existentes actualmente, es ya insuficiente para cubrir la demanda residencial habitual existente en Cataluña, y más teniendo en cuenta el crecimiento poblacional actual de Cataluña, muy por encima de la media europea”; y, de otro lado, “una alta concentración de viviendas de uso turístico pone en riesgo el equilibrio del entorno urbano”. Señala también la exposición de motivos de la norma que “[a] esta situación descrita de necesidad extraordinaria y urgencia, se ha añadido la urgencia derivada de la aprobación, el pasado 24 de mayo, de la Ley 12/2023, de 24 de mayo, por el derecho a la vivienda […] que contiene una serie de medidas para fomentar la congelación o abaratamiento de los precios de alquiler en las zonas de mercado tensionado y que conllevan de forma directa la limitación de la actualización de los precios de alquiler de vivienda. En consecuencia, se prevé que la contención de estos precios puede abocar a un éxodo de las viviendas que en principio estaban ofrecidas dentro del mercado del alquiler de vivienda habitual hacia otras modalidades de tenencia, como la propiedad, el alquiler turístico o el alquiler de temporada. En este sentido, debe tenerse en </w:t>
      </w:r>
      <w:r>
        <w:lastRenderedPageBreak/>
        <w:t>cuenta que la Resolución TER/2940/2023, de 11 de agosto, declara zona de mercado residencial tensionado 140 municipios”.</w:t>
      </w:r>
    </w:p>
    <w:p w14:paraId="19F76200" w14:textId="77777777" w:rsidR="00A8138F" w:rsidRDefault="00A8138F" w:rsidP="00A8138F">
      <w:pPr>
        <w:pStyle w:val="TextoNormal"/>
      </w:pPr>
    </w:p>
    <w:p w14:paraId="72B851C6" w14:textId="77777777" w:rsidR="00A8138F" w:rsidRDefault="00A8138F" w:rsidP="00A8138F">
      <w:pPr>
        <w:pStyle w:val="TextoNormal"/>
      </w:pPr>
      <w:r>
        <w:t>(ii) Estas razones fueron reiteradas y detalladas durante el debate de convalidación del Decreto-ley del Gobierno de la Generalitat de Cataluña 3/2023 (“Diario de sesiones del Parlamento de Cataluña” núm. 138, de 20 de diciembre de 2023, pág. 52-56). De la intervención de la consejera de Territorio del Gobierno de la Generalitat de Cataluña puede destacarse lo siguiente: “En Cataluña en el año 2015 había 47 000 viviendas de uso turístico; en el año 2023 tenemos más de 100 000. En Cataluña en el año 2015 había 260 000 plazas de vivienda de uso turístico; en el año 2023 tenemos más de 530 000. En ocho años, las viviendas de uso turístico se han multiplicado, han aumentado un 100 por 100, sin control ni planificación, tanto las plazas como los establecimientos. Este decreto pone orden y despliega aquello que la Ley del suelo ya nos obliga […], que el uso del suelo debe garantizar la vivienda residencial permanente, para vivir las personas, para cohesionar, para arraigar, para hacer que nuestros pueblos no pierdan habitantes […]. Les doy más datos: en Cataluña, el precio de alquiler en los últimos diez años [se] ha incrementado en un 43 por 100; en Barcelona, en un 62 por 100”. En la última parte de su intervención, la consejera aportó, además, datos concretos acerca de algunos de los municipios incluidos en el ámbito de aplicación del decreto-ley: por ejemplo, que en Begur, municipio de 4177 habitantes, hay 9641 turistas solo en viviendas de uso turístico; o que en El Port de la Selva existen sesenta y una viviendas de uso turístico por cada 100 habitantes, habiéndose producido un aumento del precio de alquiler del 26,18 por 100 en el último año.</w:t>
      </w:r>
    </w:p>
    <w:p w14:paraId="6393AB33" w14:textId="77777777" w:rsidR="00A8138F" w:rsidRDefault="00A8138F" w:rsidP="00A8138F">
      <w:pPr>
        <w:pStyle w:val="TextoNormal"/>
      </w:pPr>
    </w:p>
    <w:p w14:paraId="54AD8B58" w14:textId="77777777" w:rsidR="00A8138F" w:rsidRDefault="00A8138F" w:rsidP="00A8138F">
      <w:pPr>
        <w:pStyle w:val="TextoNormal"/>
      </w:pPr>
      <w:r>
        <w:t>(iii) También se refiere a la extraordinaria y urgente necesidad de las medidas contenidas en el decreto-ley, la memoria de su elaboración, documento que —contrariamente a lo que afirman los recurrentes— sí está, en su versión en catalán, fechado y firmado. En sus apartados tercero, cuarto y quinto alude, de modo análogo a la exposición de motivos de la norma, a varias circunstancias cuyo efecto conjunto harían necesaria y urgente su aprobación, aportando algunos datos adicionales al respecto. Se indica por ejemplo que, según datos del Instituto de Estadística de Cataluña, esta comunidad autónoma “está sufriendo desde hace años un crecimiento demográfico muy superior al de la media europea”, y en concreto que “en los últimos años Cataluña ha crecido un 25 por 100 mientras que la media europea es del 4 por 100”, fenómeno que “produce un estrés sobre el acceso a la vivienda que, además, viene agravado por el hecho de que la afluencia de turistas y, por tanto, la demanda de alojamiento turístico también crece”. Se indica también que “[t]an solo con la aprobación por parte del Consejo de Ministros del proyecto de ley por el derecho a la vivienda, el ritmo de movimiento habitual del mercado del alquiler ya se ha ido frenando, por lo que es necesario minimizar el máximo posible el impacto que pueda tener esta desaceleración”.</w:t>
      </w:r>
    </w:p>
    <w:p w14:paraId="24FFFA88" w14:textId="77777777" w:rsidR="00A8138F" w:rsidRDefault="00A8138F" w:rsidP="00A8138F">
      <w:pPr>
        <w:pStyle w:val="TextoNormal"/>
      </w:pPr>
    </w:p>
    <w:p w14:paraId="1FC97FDD" w14:textId="77777777" w:rsidR="00A8138F" w:rsidRDefault="00A8138F" w:rsidP="00A8138F">
      <w:pPr>
        <w:pStyle w:val="TextoNormal"/>
      </w:pPr>
      <w:r>
        <w:t>(iv) Las alegaciones del Gobierno de la Generalitat de Cataluña aportan, en apoyo de la justificación ya referida, datos adicionales provenientes del Instituto de Estadística de Cataluña acerca del fuerte crecimiento demográfico y del turismo registrado en Cataluña durante los últimos años y, en particular, de las viviendas de uso turístico (un 125 por 100 en el periodo 2015-2023 y un 4,4 por 100 en solo cuatro meses tras la entrada en vigor de la Ley 12/2023, de 24 de mayo, por el derecho a la vivienda); exponiendo que tal crecimiento se produce en detrimento de la vivienda habitual, lo que genera una sobrepresión en el acceso a la vivienda y una fuerte distorsión en los entornos urbanos.</w:t>
      </w:r>
    </w:p>
    <w:p w14:paraId="45E5B3CC" w14:textId="77777777" w:rsidR="00A8138F" w:rsidRDefault="00A8138F" w:rsidP="00A8138F">
      <w:pPr>
        <w:pStyle w:val="TextoNormal"/>
      </w:pPr>
    </w:p>
    <w:p w14:paraId="7C920548" w14:textId="77777777" w:rsidR="00A8138F" w:rsidRDefault="00A8138F" w:rsidP="00A8138F">
      <w:pPr>
        <w:pStyle w:val="TextoNormal"/>
      </w:pPr>
      <w:r>
        <w:t>De cuanto antecede resulta que, contrariamente a lo afirmado en la demanda, el Ejecutivo autonómico ha ofrecido una justificación explícita y razonada para la aprobación del Decreto-ley 3/2023 en términos no genéricos, estereotipados o rituales, sino concretamente referidos al contenido de dicha norma y, además, apoyados en datos concretos. En síntesis, la aprobación urgente de la norma ha sido justificada en la necesidad de atajar sin demora el crecimiento exponencial del número de viviendas destinadas al uso turístico en Cataluña durante los últimos años —y, en particular, durante los meses previos a la aprobación de la norma de urgencia—, circunstancia que, en conjunción con la elevada tasa de crecimiento de la población y del turismo en dicha comunidad autónoma, se traduce en graves externalidades negativas —no discutidas por las partes— en el entorno urbano, concretamente en los ámbitos del acceso a la vivienda y del desarrollo urbano sostenible.</w:t>
      </w:r>
    </w:p>
    <w:p w14:paraId="4E7A138D" w14:textId="77777777" w:rsidR="00A8138F" w:rsidRDefault="00A8138F" w:rsidP="00A8138F">
      <w:pPr>
        <w:pStyle w:val="TextoNormal"/>
      </w:pPr>
    </w:p>
    <w:p w14:paraId="4D5805B6" w14:textId="77777777" w:rsidR="00A8138F" w:rsidRDefault="00A8138F" w:rsidP="00A8138F">
      <w:pPr>
        <w:pStyle w:val="TextoNormal"/>
      </w:pPr>
      <w:r>
        <w:t>Esta justificación no puede considerarse insuficiente desde la perspectiva del control externo que compete realizar a este tribunal, un control que debe circunscribirse a “verificar, pero no sustituir, el juicio político o de oportunidad que corresponde al Gobierno y al Congreso de los Diputados” (STC 182/1997, FJ 3). Más aún, la gravedad y perentoriedad de la situación descrita, así como el grado de inmediatez en la reacción normativa que, por razón de la materia afectada, requiere la situación abordada (STC 93/2015, FJ 6), impiden acoger el reparo, por lo demás genérico, que en este punto la demanda funda en la naturaleza autonómica del decreto-ley. Por todo ello, esta primera parte de la impugnación ha de ser desestimada.</w:t>
      </w:r>
    </w:p>
    <w:p w14:paraId="5CEF86E6" w14:textId="77777777" w:rsidR="00A8138F" w:rsidRDefault="00A8138F" w:rsidP="00A8138F">
      <w:pPr>
        <w:pStyle w:val="TextoNormal"/>
      </w:pPr>
    </w:p>
    <w:p w14:paraId="4DF0E215" w14:textId="77777777" w:rsidR="00A8138F" w:rsidRDefault="00A8138F" w:rsidP="00A8138F">
      <w:pPr>
        <w:pStyle w:val="TextoNormal"/>
      </w:pPr>
      <w:r>
        <w:t>d</w:t>
      </w:r>
      <w:r w:rsidRPr="00A8138F">
        <w:rPr>
          <w:i/>
        </w:rPr>
        <w:t>) Conexión de senti</w:t>
      </w:r>
      <w:r>
        <w:t>do</w:t>
      </w:r>
    </w:p>
    <w:p w14:paraId="753CF3DA" w14:textId="77777777" w:rsidR="00A8138F" w:rsidRDefault="00A8138F" w:rsidP="00A8138F">
      <w:pPr>
        <w:pStyle w:val="TextoNormal"/>
      </w:pPr>
    </w:p>
    <w:p w14:paraId="7C7087B6" w14:textId="77777777" w:rsidR="00A8138F" w:rsidRDefault="00A8138F" w:rsidP="00A8138F">
      <w:pPr>
        <w:pStyle w:val="TextoNormal"/>
      </w:pPr>
      <w:r>
        <w:t>Resta por determinar si, como alegan los recurrentes, el contenido de los arts. 1, 2 y 3, de la disposición transitoria segunda y de la disposición final primera del Decreto-ley 3/2023 carece de la necesaria relación de congruencia con la situación de extraordinaria y urgente necesidad invocada, en particular por, según afirman, diferirse la efectiva exigencia de licencia urbanística previa a cinco años de su entrada en vigor.</w:t>
      </w:r>
    </w:p>
    <w:p w14:paraId="71914639" w14:textId="77777777" w:rsidR="00A8138F" w:rsidRDefault="00A8138F" w:rsidP="00A8138F">
      <w:pPr>
        <w:pStyle w:val="TextoNormal"/>
      </w:pPr>
    </w:p>
    <w:p w14:paraId="5E7AAD51" w14:textId="60C34051" w:rsidR="00A8138F" w:rsidRDefault="00A8138F" w:rsidP="00A8138F">
      <w:pPr>
        <w:pStyle w:val="TextoNormal"/>
      </w:pPr>
      <w:r>
        <w:t>Ninguna duda ofrece, ni ha suscitado controversia entre las partes, la relación de congruencia entre el régimen restrictivo establecido por el Decreto-ley 3/2023 para la destinación de las viviendas al uso turístico y la situación de extraordinaria y urgente necesidad invocada. La queja se refiere específicamente al despliegue de los efectos de la norma de urgencia, punto en el que, sin embargo, la demanda confunde la eficacia inmediata de la norma provisional —que es lo exigido por nuestra doctrina para apreciar su conexión de sentido con la situación de urgencia que se pretende afrontar [STC 18/2023, de 21 de marzo, FJ 6 b)]— con su ejecución instantánea. En este caso, la entrada en vigor del Decreto-ley 3/2023, producida al día siguiente de su publicación en el “DOGC”, modificó de manera inmediata la situación jurídica preexistente al reformar la legislación urbanística de la comunidad autónoma y, con ello (i) impidió, desde ese mismo momento, que nuevas viviendas pudiesen ser destinadas libremente por sus propietarios al uso turístico, y (ii) habilitó el inicio de los correspondientes procesos de modificación del planeamiento de los municipios afectados, así como del cómputo del plazo de cinco años transcurrido el cual se prevé la extinción, como regla general, de los títulos habilitantes preexistentes para el uso turístico de la vivienda. Ello nos lleva a rechazar la alegada vulneración del requisito de la conexión de sentido y, con ello, a desestimar en su totalidad el primer motivo de impugnación.</w:t>
      </w:r>
    </w:p>
    <w:p w14:paraId="0D6D9005" w14:textId="77777777" w:rsidR="00A8138F" w:rsidRDefault="00A8138F" w:rsidP="00A8138F">
      <w:pPr>
        <w:pStyle w:val="TextoNormal"/>
      </w:pPr>
    </w:p>
    <w:p w14:paraId="5C1F9303" w14:textId="77777777" w:rsidR="00A8138F" w:rsidRDefault="00A8138F" w:rsidP="00A8138F">
      <w:pPr>
        <w:pStyle w:val="TextoNormal"/>
      </w:pPr>
      <w:r w:rsidRPr="00A8138F">
        <w:rPr>
          <w:rStyle w:val="NumeroAFNegritaCaracter"/>
        </w:rPr>
        <w:t>4</w:t>
      </w:r>
      <w:r>
        <w:t xml:space="preserve">. </w:t>
      </w:r>
      <w:r w:rsidRPr="00A8138F">
        <w:rPr>
          <w:i/>
        </w:rPr>
        <w:t>Sobre la alegada vulneración de los límites materiales de los decretos leyes (art. 86.1 CE en relación con el art. 33 CE) y de las garantías constitucionales de la expropiación forzosa (art. 33.3 CE</w:t>
      </w:r>
      <w:r>
        <w:t>)</w:t>
      </w:r>
    </w:p>
    <w:p w14:paraId="3D0B3BB0" w14:textId="77777777" w:rsidR="00A8138F" w:rsidRDefault="00A8138F" w:rsidP="00A8138F">
      <w:pPr>
        <w:pStyle w:val="TextoNormal"/>
      </w:pPr>
    </w:p>
    <w:p w14:paraId="098B3D19" w14:textId="77777777" w:rsidR="00A8138F" w:rsidRDefault="00A8138F" w:rsidP="00A8138F">
      <w:pPr>
        <w:pStyle w:val="TextoNormal"/>
      </w:pPr>
      <w:r>
        <w:t xml:space="preserve">a) </w:t>
      </w:r>
      <w:r w:rsidRPr="00A8138F">
        <w:rPr>
          <w:i/>
        </w:rPr>
        <w:t>Síntesis de la controversia</w:t>
      </w:r>
    </w:p>
    <w:p w14:paraId="2C4CE6AD" w14:textId="77777777" w:rsidR="00A8138F" w:rsidRDefault="00A8138F" w:rsidP="00A8138F">
      <w:pPr>
        <w:pStyle w:val="TextoNormal"/>
      </w:pPr>
    </w:p>
    <w:p w14:paraId="14105CD0" w14:textId="77777777" w:rsidR="00A8138F" w:rsidRDefault="00A8138F" w:rsidP="00A8138F">
      <w:pPr>
        <w:pStyle w:val="TextoNormal"/>
      </w:pPr>
      <w:r>
        <w:t>En sus motivos de impugnación segundo y quinto, la demanda denuncia dos vicios de inconstitucionalidad que atañen, desde diferentes perspectivas, al derecho fundamental a la propiedad privada (art. 33 CE).</w:t>
      </w:r>
    </w:p>
    <w:p w14:paraId="78F8CC7A" w14:textId="77777777" w:rsidR="00A8138F" w:rsidRDefault="00A8138F" w:rsidP="00A8138F">
      <w:pPr>
        <w:pStyle w:val="TextoNormal"/>
      </w:pPr>
    </w:p>
    <w:p w14:paraId="5C11EFC1" w14:textId="77777777" w:rsidR="00A8138F" w:rsidRDefault="00A8138F" w:rsidP="00A8138F">
      <w:pPr>
        <w:pStyle w:val="TextoNormal"/>
      </w:pPr>
      <w:r>
        <w:t>Por una parte, los recurrentes impugnan el art. 1, la disposición final primera —apartado segundo— y la disposición transitoria segunda del Decreto-ley del Gobierno de la Generalitat de Cataluña 3/2023 por considerar que tales preceptos afectan al derecho de propiedad privada de modo vedado a los decretos-leyes (art. 86.1 CE). Aducen que el sometimiento del uso turístico de las viviendas a la exigencia de licencia administrativa previa, limitada en número y de alcance temporal acotado, supone una restricción determinante del haz de facultades de sus propietarios, pues elimina una de las principales formas de percepción de la renta derivada de estos inmuebles; restricción de amplio alcance, según argumentan, dada la amplitud con la que la normativa de la Comunidad Autónoma de Cataluña define el concepto de vivienda de uso turístico.</w:t>
      </w:r>
    </w:p>
    <w:p w14:paraId="09F4C2D6" w14:textId="77777777" w:rsidR="00A8138F" w:rsidRDefault="00A8138F" w:rsidP="00A8138F">
      <w:pPr>
        <w:pStyle w:val="TextoNormal"/>
      </w:pPr>
    </w:p>
    <w:p w14:paraId="63813A55" w14:textId="77777777" w:rsidR="00A8138F" w:rsidRDefault="00A8138F" w:rsidP="00A8138F">
      <w:pPr>
        <w:pStyle w:val="TextoNormal"/>
      </w:pPr>
      <w:r>
        <w:t>De otro lado, la demanda reprocha a la disposición transitoria segunda del Decreto-ley 3/2023 la infracción de las garantías constitucionales de la expropiación forzosa (art. 33.3 CE). Consideran los recurrentes que, al regular el régimen transitorio de las viviendas de uso turístico existentes a la entrada en vigor de la norma de urgencia, la disposición impugnada viene a acometer una expropiación legislativa del derecho (“título habilitante”) a ejercer la citada actividad económica —que entienden que constituye un activo de los propietarios, con valor patrimonial y naturaleza transmisible—, incurriendo en inconstitucionalidad por no responder a ninguna causa expropiatoria y por no verse acompañada de una indemnización que guarde un equilibrio proporcional con el valor del derecho expropiado; garantías estas que impone el art. 33.3 CE a toda clase de expropiaciones.</w:t>
      </w:r>
    </w:p>
    <w:p w14:paraId="1380ED26" w14:textId="77777777" w:rsidR="00A8138F" w:rsidRDefault="00A8138F" w:rsidP="00A8138F">
      <w:pPr>
        <w:pStyle w:val="TextoNormal"/>
      </w:pPr>
    </w:p>
    <w:p w14:paraId="299AADC5" w14:textId="77777777" w:rsidR="00A8138F" w:rsidRDefault="00A8138F" w:rsidP="00A8138F">
      <w:pPr>
        <w:pStyle w:val="TextoNormal"/>
      </w:pPr>
      <w:r>
        <w:t>Tanto el Parlamento de Cataluña como el Gobierno de la Generalitat de Cataluña se oponen a estas impugnaciones argumentando, como con mayor detalle se expuso en los antecedentes, que (i) el Decreto-ley 3/2023 no afecta al derecho de propiedad privada en el sentido prohibido por el art. 86.1 CE porque ni tiene por objeto establecer una regulación directa y general del derecho de propiedad ni afecta a su contenido esencial, y (ii) que la disposición transitoria segunda es una mera norma de Derecho transitorio carente de naturaleza expropiatoria, de modo que no vulnera ninguna de las garantías de la expropiación recogidas en el art. 33.3 CE.</w:t>
      </w:r>
    </w:p>
    <w:p w14:paraId="31EB4948" w14:textId="77777777" w:rsidR="00A8138F" w:rsidRDefault="00A8138F" w:rsidP="00A8138F">
      <w:pPr>
        <w:pStyle w:val="TextoNormal"/>
      </w:pPr>
    </w:p>
    <w:p w14:paraId="537CC638" w14:textId="77777777" w:rsidR="00A8138F" w:rsidRDefault="00A8138F" w:rsidP="00A8138F">
      <w:pPr>
        <w:pStyle w:val="TextoNormal"/>
      </w:pPr>
      <w:r>
        <w:t xml:space="preserve">b) </w:t>
      </w:r>
      <w:r w:rsidRPr="00A8138F">
        <w:rPr>
          <w:i/>
        </w:rPr>
        <w:t>Doctrina constitucional aplicable</w:t>
      </w:r>
    </w:p>
    <w:p w14:paraId="01A5B067" w14:textId="77777777" w:rsidR="00A8138F" w:rsidRDefault="00A8138F" w:rsidP="00A8138F">
      <w:pPr>
        <w:pStyle w:val="TextoNormal"/>
      </w:pPr>
    </w:p>
    <w:p w14:paraId="26CEB11D" w14:textId="77777777" w:rsidR="00A8138F" w:rsidRDefault="00A8138F" w:rsidP="00A8138F">
      <w:pPr>
        <w:pStyle w:val="TextoNormal"/>
      </w:pPr>
      <w:r>
        <w:t xml:space="preserve">(i) El enjuiciamiento del segundo motivo de impugnación de la demanda exige partir de nuestra doctrina en relación con la interpretación de los límites materiales que el art. 86.1 CE impone a la utilización del decreto-ley, límites que resultan aplicables a la legislación de urgencia autonómica sin perjuicio de los que adicionalmente pueda añadir el respectivo </w:t>
      </w:r>
      <w:r>
        <w:lastRenderedPageBreak/>
        <w:t>estatuto de autonomía [por todas, STC 121/2024, FJ 4 A)]. Atendiendo al específico reproche de inconstitucionalidad formulado por los recurrentes en el presente proceso, hemos de atender a la interpretación tanto del término “afectar” —en cuanto acción prohibida por el art. 86.1 CE— como a la determinación de la materia “derechos, deberes y libertades de los ciudadanos regulados en el título I” y, más específicamente, del derecho de propiedad privada (art. 33 CE).</w:t>
      </w:r>
    </w:p>
    <w:p w14:paraId="197AE890" w14:textId="77777777" w:rsidR="00A8138F" w:rsidRDefault="00A8138F" w:rsidP="00A8138F">
      <w:pPr>
        <w:pStyle w:val="TextoNormal"/>
      </w:pPr>
    </w:p>
    <w:p w14:paraId="27053E6D" w14:textId="77777777" w:rsidR="00A8138F" w:rsidRDefault="00A8138F" w:rsidP="00A8138F">
      <w:pPr>
        <w:pStyle w:val="TextoNormal"/>
      </w:pPr>
      <w:r>
        <w:t>En cuanto a lo primero, procede recordar que este tribunal ha venido manteniendo, desde sus primeros pronunciamientos, una posición equilibrada respecto de la cláusula restrictiva “no podrán afectar” del art. 86.1 CE; cláusula que, por lo tanto, “debe ser entendida de modo tal que ni reduzca a la nada el decreto-ley, que es un instrumento normativo previsto por la Constitución ‘del que es posible hacer uso para dar respuesta a las perspectivas cambiantes de la vida actual’ [STC 6/1983, de 4 de febrero, FJ 5], ni permita que por decreto-ley se regule el régimen general de los derechos, deberes y libertades del título I, ni dé pie para que por decreto-ley se vaya en contra del contenido o elementos esenciales de alguno de tales derechos” (STC 111/1983, de 2 de diciembre, FJ 8). Esta concepción se ha reiterado, entre otras, en las SSTC 60/1986, de 20 de mayo, FJ 4; 182/1997, FJ 6; 108/2004, de 30 de junio, FJ 7; 93/2015, FJ 12; y, más recientemente, en las SSTC 16/2021, FJ 5 e), y 9/2023, de 22 de febrero, FJ 3.</w:t>
      </w:r>
    </w:p>
    <w:p w14:paraId="0BEECE60" w14:textId="77777777" w:rsidR="00A8138F" w:rsidRDefault="00A8138F" w:rsidP="00A8138F">
      <w:pPr>
        <w:pStyle w:val="TextoNormal"/>
      </w:pPr>
    </w:p>
    <w:p w14:paraId="19D92DCF" w14:textId="77777777" w:rsidR="00A8138F" w:rsidRDefault="00A8138F" w:rsidP="00A8138F">
      <w:pPr>
        <w:pStyle w:val="TextoNormal"/>
      </w:pPr>
      <w:r>
        <w:t>Por lo que respecta a la materia “derechos, deberes y libertades de los ciudadanos regulados en el título I” a que alude el art. 86.1 CE, este tribunal ha establecido diversos criterios para determinar, en cada supuesto, si el derecho o la libertad ha resultado “afectado” por un decreto-ley, esto es —y según acaba de indicarse—, si la norma de urgencia regula su régimen general o si va en contra de su contenido o elementos esenciales. En el concreto ámbito del derecho de propiedad privada, la doctrina constitucional ha considerado vedado al decreto-ley el establecimiento de una “regulación directa y con vocación de generalidad de las vertientes individual e institucional del derecho”, regulación que se ha estimado que existe cuando la norma de urgencia “se dirige a precisar el haz de facultades que integra este tipo de derecho [por ejemplo, estableciendo un único uso posible de un determinado tipo de bienes]” y “a definir la función social del mismo” (STC 93/2015, FJ 13, cuya doctrina reitera la STC 16/2021, FJ 5). Por el contrario, se ha concluido que el decreto-ley es apropiado, por no constituir una regulación directa y con vocación de generalidad del derecho de propiedad privada, para disciplinar “un sector material en el que dicho derecho constitucional [el de propiedad] pueda incidir”, por ejemplo delimitando “un concreto sistema urbanístico”, precisando “los usos posibles de las edificaciones según el lugar en que se ubiquen dentro de la ciudad”, o articulando “una determinada política de vivienda [mediante medidas de fomento]” (SSTC 93/2015, FJ 13, y 16/2021, FJ 5), así como para acometer una regulación del derecho de propiedad “limitada en cuanto a su ámbito de aplicación subjetivo, objetivo y temporal”, en tanto pueda afirmarse que “incide mínimamente y de forma temporal sobre la posesión o capacidad de disposición” de una determinada categoría de bienes (STC 9/2023, FJ 4).</w:t>
      </w:r>
    </w:p>
    <w:p w14:paraId="2E43926F" w14:textId="77777777" w:rsidR="00A8138F" w:rsidRDefault="00A8138F" w:rsidP="00A8138F">
      <w:pPr>
        <w:pStyle w:val="TextoNormal"/>
      </w:pPr>
    </w:p>
    <w:p w14:paraId="4C54D1D5" w14:textId="77777777" w:rsidR="00A8138F" w:rsidRDefault="00A8138F" w:rsidP="00A8138F">
      <w:pPr>
        <w:pStyle w:val="TextoNormal"/>
      </w:pPr>
      <w:r>
        <w:t xml:space="preserve">Más allá de estos pronunciamientos específicos, y como recordábamos en la STC 9/2023, FJ 3, el examen individual acerca del alcance del referido límite material del art. 86.1 CE “se hará teniendo en cuenta la configuración constitucional del derecho o deber afectado en cada caso; su colocación en el texto constitucional dentro de las diversas secciones y capítulos de su título I, dotados de mayor o menor rigor protector a tenor del art. 53 CE; y la </w:t>
      </w:r>
      <w:r>
        <w:lastRenderedPageBreak/>
        <w:t>naturaleza y alcance de la concreta regulación de que se trate (SSTC 111/1983, FJ 9; 182/1997, FFJJ 6 y 7, y 329/2005, FJ 8)”. Criterios estos que nos conducen a tomar en consideración, en el presente caso, el régimen constitucional del derecho de propiedad privada (art. 33.1 CE).</w:t>
      </w:r>
    </w:p>
    <w:p w14:paraId="195118FA" w14:textId="77777777" w:rsidR="00A8138F" w:rsidRDefault="00A8138F" w:rsidP="00A8138F">
      <w:pPr>
        <w:pStyle w:val="TextoNormal"/>
      </w:pPr>
    </w:p>
    <w:p w14:paraId="74F7E945" w14:textId="77777777" w:rsidR="00A8138F" w:rsidRDefault="00A8138F" w:rsidP="00A8138F">
      <w:pPr>
        <w:pStyle w:val="TextoNormal"/>
      </w:pPr>
      <w:r>
        <w:t>(ii) Este tribunal viene reiterando desde sus primeros pronunciamientos que el derecho de propiedad privada ha sido consagrado en el art. 33 CE como indisociable de su función social, que “delimitará su contenido, de acuerdo con las leyes” (art. 33.2 CE). Así, este derecho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(SSTC 37/1987, de 26 de marzo, FJ 2, y 89/1994, de 17 de marzo, FJ 4).</w:t>
      </w:r>
    </w:p>
    <w:p w14:paraId="1D9F9AD2" w14:textId="77777777" w:rsidR="00A8138F" w:rsidRDefault="00A8138F" w:rsidP="00A8138F">
      <w:pPr>
        <w:pStyle w:val="TextoNormal"/>
      </w:pPr>
    </w:p>
    <w:p w14:paraId="1B4973BA" w14:textId="77777777" w:rsidR="00A8138F" w:rsidRDefault="00A8138F" w:rsidP="00A8138F">
      <w:pPr>
        <w:pStyle w:val="TextoNormal"/>
      </w:pPr>
      <w:r>
        <w:t>Por su ubicación dentro del título I de la Constitución (en la sección segunda del capítulo segundo), el derecho de propiedad queda excluido del ámbito del recurso de amparo (art. 53.2 CE), pero goza del régimen de garantías previsto en el art. 53.1 CE, lo que supone que su ejercicio podrá regularse “solo por ley” que “en todo caso deberá respetar su contenido esencial”. Sin embargo, ambas exigencias han sido relativizadas en la propia Constitución por lo que respecta al derecho de propiedad. Nos referiremos ahora a la reserva de ley y abordaremos la garantía del contenido esencial en el apartado siguiente, al hilo de la doctrina constitucional relativa al concepto de expropiación forzosa.</w:t>
      </w:r>
    </w:p>
    <w:p w14:paraId="74AE7351" w14:textId="77777777" w:rsidR="00A8138F" w:rsidRDefault="00A8138F" w:rsidP="00A8138F">
      <w:pPr>
        <w:pStyle w:val="TextoNormal"/>
      </w:pPr>
    </w:p>
    <w:p w14:paraId="664D85E8" w14:textId="77777777" w:rsidR="00A8138F" w:rsidRDefault="00A8138F" w:rsidP="00A8138F">
      <w:pPr>
        <w:pStyle w:val="TextoNormal"/>
      </w:pPr>
      <w:r>
        <w:t xml:space="preserve">En cuanto a la reserva de ley del art. 53.1 CE, es necesario recordar que el art. 33.2 CE la ha flexibilizado al utilizar la expresión “de acuerdo con las leyes”, permitiendo que las normas de rango reglamentario puedan participar en la regulación de este derecho en mayor medida de lo que pueden hacerlo en el ámbito de otros derechos fundamentales (en este sentido, por todas, STC 37/1987, FJ 3). En efecto, lo que prohíbe esta concreta reserva de ley es “toda operación de deslegalización de la materia o todo intento de regulación del contenido del derecho de propiedad privada por reglamentos independientes o </w:t>
      </w:r>
      <w:r w:rsidRPr="00A8138F">
        <w:rPr>
          <w:i/>
        </w:rPr>
        <w:t>extra legem</w:t>
      </w:r>
      <w:r>
        <w:t>, pero no la remisión del legislador a la colaboración del poder normativo de la administración para completar la regulación legal y lograr así la plena efectividad de sus mandatos” [STC 37/1987, FJ 3; en sentido similar, STC 141/2014, de 11 de septiembre, FJ 9 B)].</w:t>
      </w:r>
    </w:p>
    <w:p w14:paraId="5AE80FFF" w14:textId="77777777" w:rsidR="00A8138F" w:rsidRDefault="00A8138F" w:rsidP="00A8138F">
      <w:pPr>
        <w:pStyle w:val="TextoNormal"/>
      </w:pPr>
    </w:p>
    <w:p w14:paraId="4FAFD135" w14:textId="77777777" w:rsidR="00A8138F" w:rsidRDefault="00A8138F" w:rsidP="00A8138F">
      <w:pPr>
        <w:pStyle w:val="TextoNormal"/>
      </w:pPr>
      <w:r>
        <w:t xml:space="preserve">Junto con ello, ha de tenerse en cuenta que “la progresiva incorporación de finalidades sociales […] ha producido una diversificación de la institución dominical en una pluralidad de figuras o situaciones jurídicas reguladas con un significado y alcance diversos” que se ha traducido en “diferentes tipos de propiedades dotadas de estatutos jurídicos diversos, de acuerdo con […] los bienes sobre los que cada derecho de propiedad recae” (STC 37/1987, FJ 2). En consecuencia, el legislador y, según lo dicho, también la administración de conformidad con lo previsto en la ley pueden —más aún, deben: SSTC 227/1988, de 29 de noviembre, FJ 11, y 89/1994, FJ 4— establecer regulaciones distintas de la propiedad en razón de la naturaleza propia y la función social de cada categoría de bienes [SSTC 149/1991, de 4 de julio, FJ 8 A), y 154/2015, de 9 de julio, FJ 4] y cuentan, para la configuración singular de los distintos estatutos del derecho de propiedad, con un importante margen de discrecionalidad (por todas, STC 61/1997, de 20 de marzo, FJ 10). La referida concepción estatutaria de la propiedad no impide reconocer la existencia de un contenido </w:t>
      </w:r>
      <w:r>
        <w:lastRenderedPageBreak/>
        <w:t xml:space="preserve">constitucionalmente protegido </w:t>
      </w:r>
      <w:r w:rsidRPr="00A8138F">
        <w:rPr>
          <w:i/>
        </w:rPr>
        <w:t>prima facie</w:t>
      </w:r>
      <w:r>
        <w:t xml:space="preserve"> del derecho consagrado en el art. 33.1 CE como derecho a usar, disfrutar y disponer de los bienes y derechos patrimoniales propios, pero implica que la delimitación del contenido del derecho protegido con carácter definitivo por la Constitución para cada categoría de bienes ha de ser operada primariamente por el legislador en atención a la necesaria protección de otros bienes jurídicos de rango constitucional.</w:t>
      </w:r>
    </w:p>
    <w:p w14:paraId="58655C5E" w14:textId="77777777" w:rsidR="00A8138F" w:rsidRDefault="00A8138F" w:rsidP="00A8138F">
      <w:pPr>
        <w:pStyle w:val="TextoNormal"/>
      </w:pPr>
    </w:p>
    <w:p w14:paraId="337DD9B8" w14:textId="77777777" w:rsidR="00A8138F" w:rsidRDefault="00A8138F" w:rsidP="00A8138F">
      <w:pPr>
        <w:pStyle w:val="TextoNormal"/>
      </w:pPr>
      <w:r>
        <w:t>Esta concepción constitucional de los derechos dominicales ha afectado de forma especialmente intensa a la propiedad inmobiliaria (STC 37/1987, FJ 2), cuyo concreto contenido es fijado por la ley y por el planeamiento territorial y urbanístico en tanto que “las características naturales del bien objeto de dominio y su propia localización lo hacen susceptible de diferentes utilidades sociales, que pueden y deben traducirse en restricciones y deberes diferenciados para los propietarios” que, “como regla general, solo por vía reglamentaria pueden establecerse” [STC 37/1987, FJ 3; en sentido similar, STC 141/2014, FJ 9 B)].</w:t>
      </w:r>
    </w:p>
    <w:p w14:paraId="343C46C5" w14:textId="77777777" w:rsidR="00A8138F" w:rsidRDefault="00A8138F" w:rsidP="00A8138F">
      <w:pPr>
        <w:pStyle w:val="TextoNormal"/>
      </w:pPr>
    </w:p>
    <w:p w14:paraId="3A93A045" w14:textId="77777777" w:rsidR="00A8138F" w:rsidRDefault="00A8138F" w:rsidP="00A8138F">
      <w:pPr>
        <w:pStyle w:val="TextoNormal"/>
      </w:pPr>
      <w:r>
        <w:t>(iii) Hemos de referirnos, por último, a la doctrina constitucional sobre el concepto y garantías de la expropiación forzosa y su relación con la garantía del contenido esencial del derecho de propiedad.</w:t>
      </w:r>
    </w:p>
    <w:p w14:paraId="3B6C0C7E" w14:textId="77777777" w:rsidR="00A8138F" w:rsidRDefault="00A8138F" w:rsidP="00A8138F">
      <w:pPr>
        <w:pStyle w:val="TextoNormal"/>
      </w:pPr>
    </w:p>
    <w:p w14:paraId="667DE693" w14:textId="77777777" w:rsidR="00A8138F" w:rsidRDefault="00A8138F" w:rsidP="00A8138F">
      <w:pPr>
        <w:pStyle w:val="TextoNormal"/>
      </w:pPr>
      <w:r>
        <w:t>Por lo que respecta a la garantía del contenido esencial, hemos de partir del dato de que, debido a su ubicación sistemática en el texto constitucional, el derecho de propiedad goza de protección en cuanto a su contenido esencial no solo frente al legislador de urgencia (art. 86.1 CE), sino frente a cualquier tipo de intervención legislativa (art. 53.1 CE). En este sentido, hemos declarado que el legislador que delimita el contenido del derecho de propiedad ha de hacerlo respetando siempre su contenido esencial, entendido como el mínimo de utilidad meramente individual que permita la recognoscibilidad de cada tipo de derecho dominical en el momento histórico de que se trate y como posibilidad efectiva de realización del derecho [SSTC 37/1987, FJ 2; 170/1989, de 19 de octubre, FJ 8 b); 89/1994, FJ 4, y 204/2004, de 18 de noviembre, FJ 5]. La traducción institucional de las exigencias colectivas derivadas de la función social de la propiedad “no puede llegar a anular la utilidad meramente individual del derecho” y “por tanto, la definición de la propiedad que en cada caso se infiera de las leyes o de las medidas adoptadas en virtud de las mismas, puede y debe ser controlada por este Tribunal Constitucional o por los órganos judiciales, en el ámbito de sus respectivas competencias” [STC 141/2014, FJ 9 B)].</w:t>
      </w:r>
    </w:p>
    <w:p w14:paraId="2EC5F609" w14:textId="77777777" w:rsidR="00A8138F" w:rsidRDefault="00A8138F" w:rsidP="00A8138F">
      <w:pPr>
        <w:pStyle w:val="TextoNormal"/>
      </w:pPr>
    </w:p>
    <w:p w14:paraId="51A09332" w14:textId="77777777" w:rsidR="00A8138F" w:rsidRDefault="00A8138F" w:rsidP="00A8138F">
      <w:pPr>
        <w:pStyle w:val="TextoNormal"/>
      </w:pPr>
      <w:r>
        <w:t>Sin embargo, ha de tenerse en cuenta que, en virtud de lo previsto en el art. 33.3 CE, el legislador puede acometer regulaciones que afecten al contenido esencial del derecho de propiedad, bajo la condición de hacerlo respetando las exigencias previstas en tal precepto. En efecto, este tribunal ha señalado que la afección al contenido esencial del derecho de propiedad actúa como criterio definitorio del concepto constitucional de expropiación forzosa frente al legislador que regula derechos patrimoniales con carácter general, con la consecuencia de que la regulación legal que afecte al contenido esencial del derecho de propiedad no necesariamente incurrirá en inconstitucionalidad, sino que será conforme con la Constitución si respeta las garantías expropiatorias del art. 33.3 CE. Así, ha de entenderse por expropiación “la privación singular de la propiedad privada o de derechos o intereses patrimoniales legítimos acordada imperativamente por los poderes públicos por causa justificada de utilidad pública o interés social”, lo que implica que “sea necesario, para que se aplique la garantía del art. 33.3 CE, que concurra el dato de la privación singular característica de toda expropiación, es decir, la substracción o ablación de un derecho o interés legí</w:t>
      </w:r>
      <w:r>
        <w:lastRenderedPageBreak/>
        <w:t>timo impuesto a uno o varios sujetos, siendo distintas a esta privación singular las medidas legales de delimitación o regulación general del contenido del derecho”; ahora bien,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(SSTC 45/2018, de 26 de abril, FJ 3, y 204/2004, FJ 5, a partir de la formulación inicial de la STC 227/1988, de 29 de noviembre, FJ 11). De ahí que la doctrina de este tribunal haya descrito al derecho de propiedad, desde esta perspectiva, “como un derecho subjetivo debilitado; sin embargo, por cuanto cede para convertirse en un equivalente económico, cuando el bien de la comunidad, concretado en el art. 33.3 CE por la referencia a los conceptos de utilidad pública o interés social, legitima la expropiación” (STC 111/1983, FJ 8).</w:t>
      </w:r>
    </w:p>
    <w:p w14:paraId="4976FFE0" w14:textId="77777777" w:rsidR="00A8138F" w:rsidRDefault="00A8138F" w:rsidP="00A8138F">
      <w:pPr>
        <w:pStyle w:val="TextoNormal"/>
      </w:pPr>
    </w:p>
    <w:p w14:paraId="6FF0F38F" w14:textId="77777777" w:rsidR="00A8138F" w:rsidRDefault="00A8138F" w:rsidP="00A8138F">
      <w:pPr>
        <w:pStyle w:val="TextoNormal"/>
      </w:pPr>
      <w:r>
        <w:t>Por lo demás, ha de recordarse que, estemos ante una intervención de carácter singular o ante una de carácter general, solo existe expropiación allá donde la medida se proyecte sobre situaciones jurídico-patrimoniales consolidadas, esto es, efectivamente incorporadas al patrimonio de su titular, pues la cobertura constitucional del derecho de propiedad privada no se extiende a las meras expectativas de que permanezca invariada una regulación legal patrimonialmente ventajosa o una situación objetiva no incorporada al patrimonio personal de individuos concretos (en este sentido, SSTC 108/1986, de 29 de julio, FJ 20; 49/2015, de 5 de marzo, FJ 6, y 144/2015, de 22 de junio, FJ 2).</w:t>
      </w:r>
    </w:p>
    <w:p w14:paraId="2495EC56" w14:textId="77777777" w:rsidR="00A8138F" w:rsidRDefault="00A8138F" w:rsidP="00A8138F">
      <w:pPr>
        <w:pStyle w:val="TextoNormal"/>
      </w:pPr>
    </w:p>
    <w:p w14:paraId="2BECFFF8" w14:textId="77777777" w:rsidR="00A8138F" w:rsidRDefault="00A8138F" w:rsidP="00A8138F">
      <w:pPr>
        <w:pStyle w:val="TextoNormal"/>
      </w:pPr>
      <w:r>
        <w:t>Constatada la naturaleza expropiatoria de una determinada medida conforme a los criterios expuestos, su constitucionalidad se somete a las exigencias previstas en el art. 33.3 CE, de entre las que cabe destacar ahora —por ser las invocadas en la demanda— las relativas a la existencia de una “causa justificada de utilidad pública o interés social” y a la “correspondiente indemnización”.</w:t>
      </w:r>
    </w:p>
    <w:p w14:paraId="1DB5010D" w14:textId="77777777" w:rsidR="00A8138F" w:rsidRDefault="00A8138F" w:rsidP="00A8138F">
      <w:pPr>
        <w:pStyle w:val="TextoNormal"/>
      </w:pPr>
    </w:p>
    <w:p w14:paraId="791F29DA" w14:textId="77777777" w:rsidR="00A8138F" w:rsidRDefault="00A8138F" w:rsidP="00A8138F">
      <w:pPr>
        <w:pStyle w:val="TextoNormal"/>
      </w:pPr>
      <w:r>
        <w:t>La primera de ellas constituye un límite al uso de la potestad expropiatoria —es “criterio de razonabilidad y proporcionalidad de la medida […] expropiatoria”—, al tiempo que un elemento integrante del concepto mismo de expropiación forzosa, lo cual es consecuencia de la consideración constitucional de esta última como “instrumento positivo puesto a disposición del poder público para el cumplimiento de sus fines de ordenación y conformación de la sociedad a imperativos crecientes de justicia social, frente al cual el derecho de propiedad privada, tan solo garantiza a su titular, ante el interés general, el contenido económico de su propiedad, produciéndose paralelamente un proceso de extensión de la expropiación forzosa a toda clase de derechos e intereses patrimoniales y a toda categoría de fines públicos y sociales” (STC 166/1986, de 19 de diciembre, FJ 13).</w:t>
      </w:r>
    </w:p>
    <w:p w14:paraId="71C08298" w14:textId="77777777" w:rsidR="00A8138F" w:rsidRDefault="00A8138F" w:rsidP="00A8138F">
      <w:pPr>
        <w:pStyle w:val="TextoNormal"/>
      </w:pPr>
    </w:p>
    <w:p w14:paraId="220F3A00" w14:textId="77777777" w:rsidR="00A8138F" w:rsidRDefault="00A8138F" w:rsidP="00A8138F">
      <w:pPr>
        <w:pStyle w:val="TextoNormal"/>
      </w:pPr>
      <w:r>
        <w:t xml:space="preserve">En cuanto a la garantía indemnizatoria, con ella “se asegura una justa compensación económica a quienes, por razones de utilidad pública o interés social, se ven privados de sus bienes o derechos de contenido patrimonial” (STC 37/1987, FJ 6, seguida de otras muchas). Esa “justa compensación” debe ser entendida, según ha reiterado este tribunal, en términos de razonable equilibrio: “[e]n cuanto al contenido o nivel de la indemnización, una vez que la Constitución no utiliza el término de ‘justo precio’, dicha indemnización debe corresponder con el valor económico del bien o derecho expropiado, siendo por ello preciso que entre </w:t>
      </w:r>
      <w:r>
        <w:lastRenderedPageBreak/>
        <w:t>este y la cuantía de la indemnización exista un proporcional equilibrio para cuya obtención el legislador puede fijar distintas modalidades de valoración, dependientes de la naturaleza de los bienes y derechos expropiados, debiendo ser estas respetadas, desde la perspectiva constitucional, a no ser que se revelen manifiestamente desprovistas de base razonable” (STC 166/1986, FJ 13; seguida, entre otras, por las SSTC 141/2014, FJ 9, y 8/2023, de 22 de febrero, FJ 9).</w:t>
      </w:r>
    </w:p>
    <w:p w14:paraId="140EBFBE" w14:textId="77777777" w:rsidR="00A8138F" w:rsidRDefault="00A8138F" w:rsidP="00A8138F">
      <w:pPr>
        <w:pStyle w:val="TextoNormal"/>
      </w:pPr>
    </w:p>
    <w:p w14:paraId="22351BD0" w14:textId="77777777" w:rsidR="00A8138F" w:rsidRDefault="00A8138F" w:rsidP="00A8138F">
      <w:pPr>
        <w:pStyle w:val="TextoNormal"/>
      </w:pPr>
      <w:r>
        <w:t>Por lo demás, ha de recordarse que, de acuerdo con la doctrina constitucional, la indemnización expropiatoria (art. 33.3 CE) es solamente una de las manifestaciones, junto con la responsabilidad patrimonial de la administración (art. 106.2 CE), de la garantía patrimonial del ciudadano; garantía constitucional que, por lo tanto, se despliega no solo en supuestos de expropiación forzosa, sino también en otros supuestos indemnizatorios (por todas, SSTC 61/1997, FJ 33, y 112/2018, de 17 de octubre, FJ 4).</w:t>
      </w:r>
    </w:p>
    <w:p w14:paraId="3534CABA" w14:textId="77777777" w:rsidR="00A8138F" w:rsidRDefault="00A8138F" w:rsidP="00A8138F">
      <w:pPr>
        <w:pStyle w:val="TextoNormal"/>
      </w:pPr>
    </w:p>
    <w:p w14:paraId="759FAE9B" w14:textId="77777777" w:rsidR="00A8138F" w:rsidRDefault="00A8138F" w:rsidP="00A8138F">
      <w:pPr>
        <w:pStyle w:val="TextoNormal"/>
      </w:pPr>
      <w:r>
        <w:t>c</w:t>
      </w:r>
      <w:r w:rsidRPr="00A8138F">
        <w:rPr>
          <w:i/>
        </w:rPr>
        <w:t>) Enjuiciamien</w:t>
      </w:r>
      <w:r>
        <w:t>to</w:t>
      </w:r>
    </w:p>
    <w:p w14:paraId="63F82E95" w14:textId="77777777" w:rsidR="00A8138F" w:rsidRDefault="00A8138F" w:rsidP="00A8138F">
      <w:pPr>
        <w:pStyle w:val="TextoNormal"/>
      </w:pPr>
    </w:p>
    <w:p w14:paraId="030EC4A1" w14:textId="77777777" w:rsidR="00A8138F" w:rsidRDefault="00A8138F" w:rsidP="00A8138F">
      <w:pPr>
        <w:pStyle w:val="TextoNormal"/>
      </w:pPr>
      <w:r>
        <w:t>(i) Para proyectar al presente caso la doctrina que acabamos de reseñar es necesario tener presente cuál es el contenido del art. 1, de la disposición final primera —apartado segundo— y de la disposición transitoria segunda del Decreto-ley del Gobierno de la Generalitat de Cataluña 3/2023, a los que la demanda imputa los vicios de inconstitucionalidad que ahora se examinan.</w:t>
      </w:r>
    </w:p>
    <w:p w14:paraId="77336BC8" w14:textId="77777777" w:rsidR="00A8138F" w:rsidRDefault="00A8138F" w:rsidP="00A8138F">
      <w:pPr>
        <w:pStyle w:val="TextoNormal"/>
      </w:pPr>
    </w:p>
    <w:p w14:paraId="18D02451" w14:textId="77777777" w:rsidR="00A8138F" w:rsidRDefault="00A8138F" w:rsidP="00A8138F">
      <w:pPr>
        <w:pStyle w:val="TextoNormal"/>
      </w:pPr>
      <w:r>
        <w:t>El núcleo de la regulación impugnada se encuentra en el apartado segundo de la disposición final primera del Decreto-ley 3/2023, que añade una nueva disposición adicional al texto refundido de la Ley de urbanismo de Cataluña, aprobado por el Decreto Legislativo 1/2010, con la siguiente redacción:</w:t>
      </w:r>
    </w:p>
    <w:p w14:paraId="2469B80F" w14:textId="77777777" w:rsidR="00A8138F" w:rsidRDefault="00A8138F" w:rsidP="00A8138F">
      <w:pPr>
        <w:pStyle w:val="TextoNormal"/>
      </w:pPr>
    </w:p>
    <w:p w14:paraId="15749FFA" w14:textId="77777777" w:rsidR="00A8138F" w:rsidRDefault="00A8138F" w:rsidP="00A8138F">
      <w:pPr>
        <w:pStyle w:val="TextoNormal"/>
      </w:pPr>
      <w:r>
        <w:t>“Disposición adicional vigesimoséptima. Régimen urbanístico de las viviendas de uso turístico</w:t>
      </w:r>
    </w:p>
    <w:p w14:paraId="02C8FF8B" w14:textId="77777777" w:rsidR="00A8138F" w:rsidRDefault="00A8138F" w:rsidP="00A8138F">
      <w:pPr>
        <w:pStyle w:val="TextoNormal"/>
      </w:pPr>
    </w:p>
    <w:p w14:paraId="5B29EC99" w14:textId="77777777" w:rsidR="00A8138F" w:rsidRDefault="00A8138F" w:rsidP="00A8138F">
      <w:pPr>
        <w:pStyle w:val="TextoNormal"/>
      </w:pPr>
      <w:r>
        <w:t>1. En los municipios con problemas de acceso a la vivienda y en los municipios en riesgo de romper el equilibrio del entorno urbano por una alta concentración de viviendas de uso turístico, la vivienda de uso turístico solo es compatible con el uso de vivienda si lo permite expresamente el planeamiento urbanístico, cuando se justifique la suficiencia de suelo calificado para el uso de vivienda destinada al domicilio habitual y permanente de la población residente, teniendo en cuenta: el régimen de tenencia de las viviendas en el municipio; el no poner en riesgo la protección del entorno urbano, y el principio del desarrollo urbanístico sostenible del ámbito que se ordene.</w:t>
      </w:r>
    </w:p>
    <w:p w14:paraId="64EE93D3" w14:textId="77777777" w:rsidR="00A8138F" w:rsidRDefault="00A8138F" w:rsidP="00A8138F">
      <w:pPr>
        <w:pStyle w:val="TextoNormal"/>
      </w:pPr>
    </w:p>
    <w:p w14:paraId="38EE2B17" w14:textId="77777777" w:rsidR="00A8138F" w:rsidRDefault="00A8138F" w:rsidP="00A8138F">
      <w:pPr>
        <w:pStyle w:val="TextoNormal"/>
      </w:pPr>
      <w:r>
        <w:t>2. Las licencias urbanísticas de viviendas de uso turístico tienen una limitación temporal de cinco años, prorrogables por períodos de igual duración, siempre que el planeamiento urbanístico lo permita de acuerdo con los criterios del apartado primero. En ningún caso se pueden otorgar más licencias que las resultantes de aplicar un máximo de diez viviendas de uso turístico por 100 habitantes. En el otorgamiento de las licencias, y sus prórrogas, los municipios deben garantizar el cumplimiento de los principios de publicidad, objetividad, imparcialidad, transparencia y concurrencia competitiva”.</w:t>
      </w:r>
    </w:p>
    <w:p w14:paraId="776301B7" w14:textId="77777777" w:rsidR="00A8138F" w:rsidRDefault="00A8138F" w:rsidP="00A8138F">
      <w:pPr>
        <w:pStyle w:val="TextoNormal"/>
      </w:pPr>
    </w:p>
    <w:p w14:paraId="24E47C84" w14:textId="77777777" w:rsidR="00A8138F" w:rsidRDefault="00A8138F" w:rsidP="00A8138F">
      <w:pPr>
        <w:pStyle w:val="TextoNormal"/>
      </w:pPr>
      <w:r>
        <w:lastRenderedPageBreak/>
        <w:t>En consonancia con esta modificación, el art. 1 del Decreto-ley 3/2023 establece la exigencia de licencia urbanística para destinar las viviendas al uso turístico en los municipios referidos en la nueva disposición adicional vigesimoséptima del texto refundido de la Ley de urbanismo de Cataluña:</w:t>
      </w:r>
    </w:p>
    <w:p w14:paraId="789259C7" w14:textId="77777777" w:rsidR="00A8138F" w:rsidRDefault="00A8138F" w:rsidP="00A8138F">
      <w:pPr>
        <w:pStyle w:val="TextoNormal"/>
      </w:pPr>
    </w:p>
    <w:p w14:paraId="1C34DEB5" w14:textId="77777777" w:rsidR="00A8138F" w:rsidRDefault="00A8138F" w:rsidP="00A8138F">
      <w:pPr>
        <w:pStyle w:val="TextoNormal"/>
      </w:pPr>
      <w:r>
        <w:t>“Artículo 1. Licencia urbanística previa para la destinación de las viviendas al uso turístico</w:t>
      </w:r>
    </w:p>
    <w:p w14:paraId="34277D00" w14:textId="77777777" w:rsidR="00A8138F" w:rsidRDefault="00A8138F" w:rsidP="00A8138F">
      <w:pPr>
        <w:pStyle w:val="TextoNormal"/>
      </w:pPr>
    </w:p>
    <w:p w14:paraId="53856354" w14:textId="77777777" w:rsidR="00A8138F" w:rsidRDefault="00A8138F" w:rsidP="00A8138F">
      <w:pPr>
        <w:pStyle w:val="TextoNormal"/>
      </w:pPr>
      <w:r>
        <w:t>1. Se sujeta al régimen de licencia urbanística previa el destino de las viviendas al uso turístico en los municipios con problemas de acceso a la vivienda y los municipios en riesgo de romper el equilibrio del entorno urbano por una alta concentración de viviendas de uso turístico.</w:t>
      </w:r>
    </w:p>
    <w:p w14:paraId="2595F68D" w14:textId="77777777" w:rsidR="00A8138F" w:rsidRDefault="00A8138F" w:rsidP="00A8138F">
      <w:pPr>
        <w:pStyle w:val="TextoNormal"/>
      </w:pPr>
    </w:p>
    <w:p w14:paraId="24FA0831" w14:textId="77777777" w:rsidR="00A8138F" w:rsidRDefault="00A8138F" w:rsidP="00A8138F">
      <w:pPr>
        <w:pStyle w:val="TextoNormal"/>
      </w:pPr>
      <w:r>
        <w:t>2. Esta licencia tiene una duración de cinco años, prorrogable por períodos de igual duración siempre que el planeamiento urbanístico lo permita de acuerdo con la disposición adicional vigésimoséptima del texto refundido de la Ley de urbanismo, aprobado por el Decreto legislativo 1/2010, de 3 de agosto”.</w:t>
      </w:r>
    </w:p>
    <w:p w14:paraId="061F5B1A" w14:textId="77777777" w:rsidR="00A8138F" w:rsidRDefault="00A8138F" w:rsidP="00A8138F">
      <w:pPr>
        <w:pStyle w:val="TextoNormal"/>
      </w:pPr>
    </w:p>
    <w:p w14:paraId="780D8A03" w14:textId="77777777" w:rsidR="00A8138F" w:rsidRDefault="00A8138F" w:rsidP="00A8138F">
      <w:pPr>
        <w:pStyle w:val="TextoNormal"/>
      </w:pPr>
      <w:r>
        <w:t>Por su parte, la disposición transitoria segunda del Decreto-ley del Gobierno de la Generalitat de Cataluña 3/2023 regula el régimen transitorio de las viviendas que ya venían siendo destinadas al uso turístico, en los términos siguientes:</w:t>
      </w:r>
    </w:p>
    <w:p w14:paraId="2245F5F6" w14:textId="77777777" w:rsidR="00A8138F" w:rsidRDefault="00A8138F" w:rsidP="00A8138F">
      <w:pPr>
        <w:pStyle w:val="TextoNormal"/>
      </w:pPr>
    </w:p>
    <w:p w14:paraId="08F57F4C" w14:textId="77777777" w:rsidR="00A8138F" w:rsidRDefault="00A8138F" w:rsidP="00A8138F">
      <w:pPr>
        <w:pStyle w:val="TextoNormal"/>
      </w:pPr>
      <w:r>
        <w:t>“Disposición transitoria segunda. Régimen transitorio de las viviendas de uso turístico debidamente habilitadas a la entrada en vigor del decreto-ley</w:t>
      </w:r>
    </w:p>
    <w:p w14:paraId="0ECC8F05" w14:textId="77777777" w:rsidR="00A8138F" w:rsidRDefault="00A8138F" w:rsidP="00A8138F">
      <w:pPr>
        <w:pStyle w:val="TextoNormal"/>
      </w:pPr>
    </w:p>
    <w:p w14:paraId="26BA31E8" w14:textId="77777777" w:rsidR="00A8138F" w:rsidRDefault="00A8138F" w:rsidP="00A8138F">
      <w:pPr>
        <w:pStyle w:val="TextoNormal"/>
      </w:pPr>
      <w:r>
        <w:t>1. Las viviendas de uso turístico debidamente habilitadas y que estén situadas en los municipios con problemas de acceso a la vivienda, y en los municipios en riesgo de romper el equilibrio del entorno urbano por una alta concentración de viviendas de uso turístico, deben disponer de una licencia urbanística adecuada a lo dispuesto en la disposición adicional vigesimoséptima del texto refundido de la Ley de urbanismo, aprobado por el Decreto Legislativo 1/2010, de 3 de agosto, para poder ejercer esta actividad en el plazo de cinco años desde la entrada en vigor de este decreto-ley, o cesar su actividad.</w:t>
      </w:r>
    </w:p>
    <w:p w14:paraId="76E7FBB2" w14:textId="77777777" w:rsidR="00A8138F" w:rsidRDefault="00A8138F" w:rsidP="00A8138F">
      <w:pPr>
        <w:pStyle w:val="TextoNormal"/>
      </w:pPr>
    </w:p>
    <w:p w14:paraId="2013D160" w14:textId="77777777" w:rsidR="00A8138F" w:rsidRDefault="00A8138F" w:rsidP="00A8138F">
      <w:pPr>
        <w:pStyle w:val="TextoNormal"/>
      </w:pPr>
      <w:r>
        <w:t>2. Si el titular de una vivienda de uso turístico, situada en uno de los municipios descritos en el apartado anterior y debidamente habilitados en el momento de entrada vigor de este decreto-ley, acredita que el régimen transitorio de esta disposición no compensa la pérdida del título habilitante de vivienda de uso turístico, puede solicitar una única ampliación del régimen transitorio de hasta cinco años más. La ampliación debe solicitarse al ayuntamiento donde se ubique la vivienda una vez transcurridos cuatro años desde la entrada en vigor de este decreto-ley y antes de que finalice el período transitorio previsto en el apartado primero.</w:t>
      </w:r>
    </w:p>
    <w:p w14:paraId="3DA070DC" w14:textId="77777777" w:rsidR="00A8138F" w:rsidRDefault="00A8138F" w:rsidP="00A8138F">
      <w:pPr>
        <w:pStyle w:val="TextoNormal"/>
      </w:pPr>
    </w:p>
    <w:p w14:paraId="6099D0FC" w14:textId="77777777" w:rsidR="00A8138F" w:rsidRDefault="00A8138F" w:rsidP="00A8138F">
      <w:pPr>
        <w:pStyle w:val="TextoNormal"/>
      </w:pPr>
      <w:r>
        <w:t>3. El régimen transitorio previsto en los apartados anteriores tiene, para todos los afectados, el carácter de indemnización por todos los conceptos relacionados con las modificaciones introducidas por este decreto-ley en relación con el nuevo régimen urbanístico de las viviendas de uso turístico.</w:t>
      </w:r>
    </w:p>
    <w:p w14:paraId="1A6B3ABF" w14:textId="77777777" w:rsidR="00A8138F" w:rsidRDefault="00A8138F" w:rsidP="00A8138F">
      <w:pPr>
        <w:pStyle w:val="TextoNormal"/>
      </w:pPr>
    </w:p>
    <w:p w14:paraId="2826413F" w14:textId="77777777" w:rsidR="00A8138F" w:rsidRDefault="00A8138F" w:rsidP="00A8138F">
      <w:pPr>
        <w:pStyle w:val="TextoNormal"/>
      </w:pPr>
      <w:r>
        <w:t xml:space="preserve">4. El régimen transitorio regulado en esta disposición también se aplicará a los municipios que pasen a sujetar de nuevo las viviendas de uso turístico a una licencia urbanística </w:t>
      </w:r>
      <w:r>
        <w:lastRenderedPageBreak/>
        <w:t>previa entrada en vigor de la orden correspondiente. En este supuesto, el plazo de cinco años previsto en el apartado primero y el plazo para la solicitud de prórroga previsto en el apartado segundo se iniciará a partir de la entrada en vigor de la orden en la que se designe la lista de los municipios con problemas de acceso a la vivienda y de los municipios en riesgo de romper el equilibrio del entorno urbano por una alta concentración de viviendas de uso turístico”.</w:t>
      </w:r>
    </w:p>
    <w:p w14:paraId="01555E00" w14:textId="77777777" w:rsidR="00A8138F" w:rsidRDefault="00A8138F" w:rsidP="00A8138F">
      <w:pPr>
        <w:pStyle w:val="TextoNormal"/>
      </w:pPr>
    </w:p>
    <w:p w14:paraId="0902CBB6" w14:textId="77777777" w:rsidR="00A8138F" w:rsidRDefault="00A8138F" w:rsidP="00A8138F">
      <w:pPr>
        <w:pStyle w:val="TextoNormal"/>
      </w:pPr>
      <w:r>
        <w:t>(ii) A la vista del tenor de los preceptos impugnados, ha de concluirse que no acometen una regulación directa y con vocación de generalidad del derecho de propiedad sobre la vivienda en el sentido prohibido por el art. 86.1 CE.</w:t>
      </w:r>
    </w:p>
    <w:p w14:paraId="7D792A5D" w14:textId="77777777" w:rsidR="00A8138F" w:rsidRDefault="00A8138F" w:rsidP="00A8138F">
      <w:pPr>
        <w:pStyle w:val="TextoNormal"/>
      </w:pPr>
    </w:p>
    <w:p w14:paraId="621AE805" w14:textId="77777777" w:rsidR="00A8138F" w:rsidRDefault="00A8138F" w:rsidP="00A8138F">
      <w:pPr>
        <w:pStyle w:val="TextoNormal"/>
      </w:pPr>
      <w:r>
        <w:t xml:space="preserve">La nueva disposición adicional vigesimoséptima del texto refundido de la Ley de urbanismo de Cataluña (y, en consonancia con ella, el art. 1 del Decreto-ley 3/2023) se limita a precisar las condiciones bajo las cuales será posible un determinado uso —el turístico— en las edificaciones destinadas por el planeamiento para el uso como vivienda, haciéndolo en términos plenamente compatibles con la interpretación que de los límites materiales del art. 86.1 CE realizaron las ya citadas SSTC 93/2015, FJ 13, y 16/2021, FJ 5. La norma no pretende definir el haz de facultades que integran el derecho de propiedad de la vivienda ni su función social, sino que disciplina una cuestión concreta dentro de un sector material —el urbanismo— con incidencia en dicho derecho. No impone un único modo de utilización para la vivienda, pues no limita ni condiciona otras posibilidades como el uso como vivienda propia, el arrendamiento para vivienda habitual o eventuales usos no residenciales —propios o de terceros— que pudieran ser autorizados en los términos previstos por la ordenación territorial y urbanística. En este punto procede puntualizar, al hilo de lo alegado por los demandantes, que el impacto limitado de la regulación impugnada sobre el régimen del derecho de propiedad de la vivienda no se ve desmentido, sino corroborado, por el hecho de que, como se ha indicado en el fundamento jurídico segundo de esta sentencia, haya que entender que las previsiones del Decreto-ley del Gobierno de la Generalitat de Cataluña 3/2023 se aplican solamente a las viviendas que reúnan las notas caracterizadoras del concepto de “vivienda de uso turístico” establecido en los arts. 50 </w:t>
      </w:r>
      <w:r w:rsidRPr="00A8138F">
        <w:rPr>
          <w:i/>
        </w:rPr>
        <w:t>bis</w:t>
      </w:r>
      <w:r>
        <w:t>, apartado primero, de la Ley del Parlamento de Cataluña 13/2002, de 21 de junio, de turismo de Cataluña, y 221.1 del Decreto 75/2020, de 4 de agosto, de turismo de Cataluña.</w:t>
      </w:r>
    </w:p>
    <w:p w14:paraId="758A1E45" w14:textId="77777777" w:rsidR="00A8138F" w:rsidRDefault="00A8138F" w:rsidP="00A8138F">
      <w:pPr>
        <w:pStyle w:val="TextoNormal"/>
      </w:pPr>
    </w:p>
    <w:p w14:paraId="4A951B05" w14:textId="77777777" w:rsidR="00A8138F" w:rsidRDefault="00A8138F" w:rsidP="00A8138F">
      <w:pPr>
        <w:pStyle w:val="TextoNormal"/>
      </w:pPr>
      <w:r>
        <w:t xml:space="preserve">Tampoco cabe entender que contenga una regulación general del derecho de propiedad sobre la vivienda, en contravención del art. 86.1 CE, la disposición transitoria segunda del Decreto-ley 3/2023, por cuanto se limita a mitigar temporalmente los términos en que la nueva regulación se aplicará a las viviendas que ya estaban debidamente habilitadas como viviendas de uso turístico a la entrada en vigor del Decreto-ley 3/2023, así como a las que se incorporen </w:t>
      </w:r>
      <w:r w:rsidRPr="00A8138F">
        <w:rPr>
          <w:i/>
        </w:rPr>
        <w:t>ex novo</w:t>
      </w:r>
      <w:r>
        <w:t xml:space="preserve"> a su ámbito de aplicación como consecuencia de ulteriores revisiones del mismo.</w:t>
      </w:r>
    </w:p>
    <w:p w14:paraId="3BE7D10D" w14:textId="77777777" w:rsidR="00A8138F" w:rsidRDefault="00A8138F" w:rsidP="00A8138F">
      <w:pPr>
        <w:pStyle w:val="TextoNormal"/>
      </w:pPr>
    </w:p>
    <w:p w14:paraId="4BDC0A56" w14:textId="77777777" w:rsidR="00A8138F" w:rsidRDefault="00A8138F" w:rsidP="00A8138F">
      <w:pPr>
        <w:pStyle w:val="TextoNormal"/>
      </w:pPr>
      <w:r>
        <w:t>(iii) El contenido del art. 1 y del apartado segundo de la disposición final primera del Decreto-ley 3/2023 no afecta al contenido ni a los elementos esenciales del derecho de propiedad sobre la vivienda y, por lo tanto, no incurre en vulneración del art. 86.1 CE tampoco desde esta perspectiva.</w:t>
      </w:r>
    </w:p>
    <w:p w14:paraId="3C5BB44C" w14:textId="77777777" w:rsidR="00A8138F" w:rsidRDefault="00A8138F" w:rsidP="00A8138F">
      <w:pPr>
        <w:pStyle w:val="TextoNormal"/>
      </w:pPr>
    </w:p>
    <w:p w14:paraId="5F791AC7" w14:textId="77777777" w:rsidR="00A8138F" w:rsidRDefault="00A8138F" w:rsidP="00A8138F">
      <w:pPr>
        <w:pStyle w:val="TextoNormal"/>
      </w:pPr>
      <w:r>
        <w:t xml:space="preserve">Constituye una norma tradicional de nuestro ordenamiento que el derecho de propiedad de las construcciones y edificaciones, en general, conlleva el deber de “dedicarlos a usos </w:t>
      </w:r>
      <w:r>
        <w:lastRenderedPageBreak/>
        <w:t xml:space="preserve">que sean compatibles con la ordenación territorial y urbanística” [art. 15.1 a) TRLSRU; anteriormente, en sentido análogo, el art. 9.1 del texto refundido de la Ley del suelo, aprobado por el Real Decreto Legislativo 2/2008, de 20 de junio (TRLS); el art. 21.1 del texto refundido de la Ley sobre el régimen del suelo y ordenación urbana, aprobado por el Real Decreto Legislativo 1/1992, de 26 de junio; el art. 158.1 del texto refundido de la Ley sobre régimen del suelo y ordenación urbana, aprobado por el Real Decreto 1346/1976, de 9 de abril; y el art. 47.1 de la Ley de 12 de mayo de 1956 sobre régimen del suelo y ordenación urbana]. Ese régimen de usos, que deviene así fundamental para fijar el concreto contenido del derecho de propiedad sobre el suelo y sobre las edificaciones, se encuentra regulado con distintos niveles de detalle en la legislación autonómica sobre ordenación territorial y urbanística, aunque su desarrollo y la concreción de su contenido —además de su asignación a terrenos y edificaciones concretos mediante la técnica de la calificación urbanística— se realiza en el propio planeamiento. Esta fragmentación regulatoria no impide observar, sin embargo, que las distintas legislaciones autonómicas sobre ordenación territorial urbanística y, en consonancia con ellas, los instrumentos de planeamiento, contemplan el uso residencial como uno de los posibles tipos de uso urbanístico, y que suelen encuadrar dentro de él, como uso pormenorizado, el uso de vivienda (de “hogar”, por utilizar una expresión acaso menos precisa técnicamente, pero desde luego más gráfica y que ayuda a superar la polisemia del vocablo “vivienda” en este contexto). Esta circunstancia debe ponerse en conexión con el mandato de la legislación básica estatal de que “el suelo vinculado a un uso residencial por la ordenación territorial y urbanística está al servicio de la efectividad del derecho a disfrutar de una vivienda digna y adecuada, en los términos que disponga la legislación en la materia” (art. 3.4 </w:t>
      </w:r>
      <w:r w:rsidRPr="00A8138F">
        <w:rPr>
          <w:i/>
        </w:rPr>
        <w:t>in fine</w:t>
      </w:r>
      <w:r>
        <w:t xml:space="preserve"> TRLSRU; previamente, art. 2.4 TRLS; y, con anterioridad, art. 2.3 de la Ley 8/2007, de 28 de mayo, de suelo). Esta prescripción limita el, por otro lado, amplio margen de configuración que asiste a la legislación urbanística y al planeamiento a la hora de diseñar el correspondiente régimen de usos del suelo y de las edificaciones: no impide que se admita la implantación de usos no residenciales en los inmuebles destinados por el planeamiento al uso residencial, pero sí explica y justifica que esta posibilidad suela quedar sometida a determinados límites en garantía del uso principal de la edificación, uso principal que, según acaba de indicarse, se encuentra directamente ligado al derecho constitucional a una vivienda digna y adecuada (art. 47 CE).</w:t>
      </w:r>
    </w:p>
    <w:p w14:paraId="171F04F6" w14:textId="77777777" w:rsidR="00A8138F" w:rsidRDefault="00A8138F" w:rsidP="00A8138F">
      <w:pPr>
        <w:pStyle w:val="TextoNormal"/>
      </w:pPr>
    </w:p>
    <w:p w14:paraId="4F58527C" w14:textId="77777777" w:rsidR="00A8138F" w:rsidRDefault="00A8138F" w:rsidP="00A8138F">
      <w:pPr>
        <w:pStyle w:val="TextoNormal"/>
      </w:pPr>
      <w:r>
        <w:t>De lo expuesto resulta que la explotación turística, como otros usos productivos distintos del residencial, no puede ser entendida como consustancial a las edificaciones calificadas por el planeamiento para el uso de vivienda, o, dicho en otras palabras, que la posibilidad de destinar la vivienda al uso turístico no es una de las facultades sin las cuales el derecho de propiedad sobre la vivienda deviene irreconocible. De ello se sigue que ninguna de las medidas restrictivas previstas en la nueva disposición adicional vigesimoséptima texto refundido de la Ley de urbanismo de Cataluña afecta al contenido o elementos esenciales del derecho de propiedad sobre la vivienda: ni la previsión de que el uso turístico será por defecto (salvo previsión expresa en contra del planeamiento) incompatible con el uso de vivienda, ni la exigencia de autorización para destinar la vivienda al uso turístico, ni la limitación en número y duración de tales autorizaciones. Este régimen restrictivo del uso turístico de las viviendas no constituye una supresión del derecho de propiedad sobre aquellas, sino una delimitación de un aspecto concreto de su contenido, en atención a la función social del derecho, que no lo hace desaparecer ni lo convierte en irreconocible.</w:t>
      </w:r>
    </w:p>
    <w:p w14:paraId="4E51B3D4" w14:textId="77777777" w:rsidR="00A8138F" w:rsidRDefault="00A8138F" w:rsidP="00A8138F">
      <w:pPr>
        <w:pStyle w:val="TextoNormal"/>
      </w:pPr>
    </w:p>
    <w:p w14:paraId="3ADAD359" w14:textId="77777777" w:rsidR="00A8138F" w:rsidRDefault="00A8138F" w:rsidP="00A8138F">
      <w:pPr>
        <w:pStyle w:val="TextoNormal"/>
      </w:pPr>
      <w:r>
        <w:lastRenderedPageBreak/>
        <w:t>Por las razones expuestas, concluimos que el art. 1 y el apartado segundo de la disposición final primera del Decreto-ley del Gobierno de la Generalitat de Cataluña 3/2023 no sobrepasan los límites materiales de la legislación de urgencia en relación con el derecho de propiedad, lo que conduce a la desestimación de la impugnación dirigida contra ellos por tal motivo.</w:t>
      </w:r>
    </w:p>
    <w:p w14:paraId="088C964E" w14:textId="77777777" w:rsidR="00A8138F" w:rsidRDefault="00A8138F" w:rsidP="00A8138F">
      <w:pPr>
        <w:pStyle w:val="TextoNormal"/>
      </w:pPr>
    </w:p>
    <w:p w14:paraId="0D15EF27" w14:textId="77777777" w:rsidR="00A8138F" w:rsidRDefault="00A8138F" w:rsidP="00A8138F">
      <w:pPr>
        <w:pStyle w:val="TextoNormal"/>
      </w:pPr>
      <w:r>
        <w:t>(iv) Enjuiciamiento separado merece la disposición transitoria segunda del Decreto-ley del Gobierno de la Generalitat de Cataluña 3/2023, tanto por su contenido como por pesar sobre él dos motivos distintos de impugnación, aunque fundados en una premisa común. Para los demandantes, el precepto priva a los titulares de viviendas de uso turístico debidamente habilitadas a la entrada en vigor del Decreto-ley 3/2023 (o de las futuras órdenes que modifiquen su ámbito territorial de aplicación) de los títulos habilitantes adquiridos con anterioridad a ese momento, que serían activos integrados en su patrimonio y cuya extinción tendría carácter expropiatorio. Según el planteamiento de la demanda, ello daría lugar a la vulneración tanto del art. 33.3 CE (por acometerse una expropiación legislativa sin que ello esté justificado en una causa expropiatoria y sin garantizar a los expropiados una indemnización que sea proporcional al valor del derecho expropiado) como del art. 86.1 CE (por invadirse el contenido esencial del derecho de propiedad mediante un decreto-ley).</w:t>
      </w:r>
    </w:p>
    <w:p w14:paraId="78BFC22A" w14:textId="77777777" w:rsidR="00A8138F" w:rsidRDefault="00A8138F" w:rsidP="00A8138F">
      <w:pPr>
        <w:pStyle w:val="TextoNormal"/>
      </w:pPr>
    </w:p>
    <w:p w14:paraId="379AEAB6" w14:textId="77777777" w:rsidR="00A8138F" w:rsidRDefault="00A8138F" w:rsidP="00A8138F">
      <w:pPr>
        <w:pStyle w:val="TextoNormal"/>
      </w:pPr>
      <w:r>
        <w:t xml:space="preserve">El reparo no puede prosperar. Con independencia de la heterogénea naturaleza jurídica —según el momento y lugar— de los títulos habilitantes exigidos por la normativa preexistente para destinar la vivienda al uso turístico en la Comunidad Autónoma de Cataluña (licencias, comunicaciones previas y declaraciones responsables), de la evolución legislativa de este aspecto, que hemos sintetizado en el fundamento jurídico segundo, resulta que la habilitación para el uso turístico se ha ligado en todo caso a (i) la titularidad de la vivienda, siendo inseparable la habilitación concedida del derecho de propiedad sobre la misma, y (ii) el régimen urbanístico del suelo sobre el que se erige la vivienda, advirtiéndose </w:t>
      </w:r>
      <w:r w:rsidRPr="00A8138F">
        <w:rPr>
          <w:i/>
        </w:rPr>
        <w:t>ex ante</w:t>
      </w:r>
      <w:r>
        <w:t xml:space="preserve"> de la imposibilidad de destinar una vivienda a uso turístico si ello resultaba prohibido por la ordenación de usos del sector donde se encontrase. Así las cosas, no cabe entender que la disposición transitoria segunda del Decreto-ley del Gobierno de la Generalitat de Cataluña 3/2023 incida, ni siquiera en el caso de los títulos habilitantes consistentes en autorizaciones o licencias municipales, sobre el contenido de un derecho patrimonial consolidado y separable del derecho de propiedad sobre la vivienda. Se trata de una norma que viene a someter a la nueva regulación las relaciones jurídicas de tracto continuado nacidas con anterioridad a su entrada en vigor y que, al hacerlo, incide sobre una facultad que, según se ha razonado ya, no forma parte del contenido esencial del derecho de propiedad sobre la vivienda y cuyo grado de estabilidad resulta, además, debilitado por su sumisión normativ</w:t>
      </w:r>
      <w:r w:rsidRPr="00A8138F">
        <w:rPr>
          <w:i/>
        </w:rPr>
        <w:t>a ab init</w:t>
      </w:r>
      <w:r>
        <w:t>io a la compatibilidad con el régimen urbanístico de la vivienda de que se trate.</w:t>
      </w:r>
    </w:p>
    <w:p w14:paraId="09A3129D" w14:textId="77777777" w:rsidR="00A8138F" w:rsidRDefault="00A8138F" w:rsidP="00A8138F">
      <w:pPr>
        <w:pStyle w:val="TextoNormal"/>
      </w:pPr>
    </w:p>
    <w:p w14:paraId="158079D2" w14:textId="77777777" w:rsidR="00A8138F" w:rsidRDefault="00A8138F" w:rsidP="00A8138F">
      <w:pPr>
        <w:pStyle w:val="TextoNormal"/>
      </w:pPr>
      <w:r>
        <w:t>Todo ello conduce a rechazar la aducida naturaleza materialmente expropiatoria de la disposición transitoria segunda y, con ello, su alegada inconstitucionalidad por inobservancia de las garantías constitucionales de la expropiación forzosa (art. 33.3 CE) y por sobrepasar los límites materiales de los decretos-leyes (art. 86.1 CE).</w:t>
      </w:r>
    </w:p>
    <w:p w14:paraId="0CCE59BB" w14:textId="77777777" w:rsidR="00A8138F" w:rsidRDefault="00A8138F" w:rsidP="00A8138F">
      <w:pPr>
        <w:pStyle w:val="TextoNormal"/>
      </w:pPr>
    </w:p>
    <w:p w14:paraId="4A8E5AFF" w14:textId="6DAAC44A" w:rsidR="00A8138F" w:rsidRDefault="00A8138F" w:rsidP="00A8138F">
      <w:pPr>
        <w:pStyle w:val="TextoNormal"/>
      </w:pPr>
      <w:r>
        <w:t xml:space="preserve">Ha de aclararse, para finalizar, que lo dicho no equivale a afirmar que la aplicación de la nueva regulación a quienes ya contaban con habilitaciones singulares para destinar sus viviendas al uso turístico sea necesariamente y en todo caso inocua desde el punto de la garantía patrimonial del ciudadano, género al que, según hemos recordado antes, pertenecen </w:t>
      </w:r>
      <w:r>
        <w:lastRenderedPageBreak/>
        <w:t>tanto la indemnización expropiatoria (art. 33.3 CE) como la resultante de la responsabilidad patrimonial de la administración (art. 106.2 CE). En este caso, el legislador de urgencia se ha anticipado a esa posible problemática introduciendo, mediante la disposición transitoria segunda del Decreto-ley del Gobierno de la Generalitat de Cataluña 3/2023, un mecanismo de mitigación temporal de los efectos de la nueva regulación para quienes se hubiesen incorporado ya al mercado de la vivienda de uso turístico, de modo que sus títulos habilitantes no queden privados de efectos de manera inmediata, sino solo transcurrido un dilatado periodo de tiempo —cinco años, prorrogables a diez si el titular de la vivienda acredita que el régimen transitorio ordinario “no compensa la pérdida del título habilitante”, en dicción de la propia norma—. Esta previsión reduce considerablemente el impacto patrimonial del cambio regulatorio sobre los titulares de viviendas habilitadas para el uso turístico conforme a los regímenes anteriores, máxime teniendo en cuenta que la pervivencia temporal de esos títulos habilitantes está llamada a producirse en un contexto de no otorgamiento de nuevos títulos o de otorgamiento de una cantidad limitada de títulos nuevos, lo que garantiza su explotación durante el periodo de referencia en condiciones de competencia limitada que permiten presumir una mayor rentabilidad que la que les hubiera deparado la continuación de la regulación anterior.</w:t>
      </w:r>
    </w:p>
    <w:p w14:paraId="6D5BFB42" w14:textId="77777777" w:rsidR="00A8138F" w:rsidRDefault="00A8138F" w:rsidP="00A8138F">
      <w:pPr>
        <w:pStyle w:val="TextoNormal"/>
      </w:pPr>
    </w:p>
    <w:p w14:paraId="58697D79" w14:textId="77777777" w:rsidR="00A8138F" w:rsidRDefault="00A8138F" w:rsidP="00A8138F">
      <w:pPr>
        <w:pStyle w:val="TextoNormal"/>
      </w:pPr>
      <w:r w:rsidRPr="00A8138F">
        <w:rPr>
          <w:rStyle w:val="NumeroAFNegritaCaracter"/>
        </w:rPr>
        <w:t>5</w:t>
      </w:r>
      <w:r>
        <w:t xml:space="preserve">. </w:t>
      </w:r>
      <w:r w:rsidRPr="00A8138F">
        <w:rPr>
          <w:i/>
        </w:rPr>
        <w:t>Sobre la alegada invasión de la competencia exclusiva del Estado sobre las bases y coordinación de la planificación general de la actividad económica (art. 149.1.13 CE)</w:t>
      </w:r>
    </w:p>
    <w:p w14:paraId="1E043532" w14:textId="77777777" w:rsidR="00A8138F" w:rsidRDefault="00A8138F" w:rsidP="00A8138F">
      <w:pPr>
        <w:pStyle w:val="TextoNormal"/>
      </w:pPr>
    </w:p>
    <w:p w14:paraId="2D03D7A4" w14:textId="77777777" w:rsidR="00A8138F" w:rsidRDefault="00A8138F" w:rsidP="00A8138F">
      <w:pPr>
        <w:pStyle w:val="TextoNormal"/>
      </w:pPr>
      <w:r>
        <w:t xml:space="preserve">a) </w:t>
      </w:r>
      <w:r w:rsidRPr="00A8138F">
        <w:rPr>
          <w:i/>
        </w:rPr>
        <w:t>Síntesis de la controversia</w:t>
      </w:r>
    </w:p>
    <w:p w14:paraId="1B774FFF" w14:textId="77777777" w:rsidR="00A8138F" w:rsidRDefault="00A8138F" w:rsidP="00A8138F">
      <w:pPr>
        <w:pStyle w:val="TextoNormal"/>
      </w:pPr>
    </w:p>
    <w:p w14:paraId="46BA232E" w14:textId="77777777" w:rsidR="00A8138F" w:rsidRDefault="00A8138F" w:rsidP="00A8138F">
      <w:pPr>
        <w:pStyle w:val="TextoNormal"/>
      </w:pPr>
      <w:r>
        <w:t xml:space="preserve">Los recurrentes reprochan al art. 1, al apartado primero de la disposición transitoria segunda y a la disposición final primera del Decreto-ley del Gobierno de la Generalitat de Cataluña 3/2023 la vulneración mediata de la competencia exclusiva del Estado sobre las bases y coordinación de la planificación general de la actividad económica (art. 149.1.13 CE). Argumentan que, al exigir licencia previa para el ejercicio de la actividad de arrendamiento de viviendas de uso turístico, tales preceptos desconocen las exigencias establecidas con carácter básico en el art. 17.1 de la Ley de garantía de la unidad de mercado, de 9 de diciembre. En concreto, aducen que ha de entenderse, a la luz de la exposición de motivos del Decreto-ley 3/2023, que la finalidad que lo justifica es la garantía de acceso a una vivienda digna, razón que no está incluida entre las contempladas, con carácter de </w:t>
      </w:r>
      <w:r w:rsidRPr="00A8138F">
        <w:rPr>
          <w:i/>
        </w:rPr>
        <w:t>numerus clausus</w:t>
      </w:r>
      <w:r>
        <w:t>, en dicho precepto estatal como posible justificación de la exigencia de autorización para el acceso a las actividades económicas y a su ejercicio.</w:t>
      </w:r>
    </w:p>
    <w:p w14:paraId="7192677A" w14:textId="77777777" w:rsidR="00A8138F" w:rsidRDefault="00A8138F" w:rsidP="00A8138F">
      <w:pPr>
        <w:pStyle w:val="TextoNormal"/>
      </w:pPr>
    </w:p>
    <w:p w14:paraId="10B4F186" w14:textId="77777777" w:rsidR="00A8138F" w:rsidRDefault="00A8138F" w:rsidP="00A8138F">
      <w:pPr>
        <w:pStyle w:val="TextoNormal"/>
      </w:pPr>
      <w:r>
        <w:t xml:space="preserve">El Gobierno de la Generalitat de Cataluña y el Parlamento de Cataluña se han opuesto a la impugnación aduciendo, en primer lugar, que la licencia controvertida no es una licencia de mera actividad económica, sino que tiene naturaleza urbanística, lo que debería llevar, según el Ejecutivo autonómico, a entender que no es aplicable como norma de contraste la Ley 20/2013, de garantía de la unidad de mercado o, cuando menos, según argumenta el Parlamento catalán, a interpretar dicha ley de manera compatible con las exigencias específicas de la ordenación urbanística. En segundo lugar sostienen que, en todo caso, la regulación de la licencia previa prevista en el Decreto-ley 3/2023 sería conforme con el art. 17.1 de la Ley de garantía de la unidad de mercado, porque (i) respondería a razones imperiosas de interés general previstas al efecto en la legislación estatal, a saber, la protección frente a daños en el entorno urbano (art. 17.1 de la mencionada Ley de garantía de la unidad de mercado) y, según añade el Parlamento de Cataluña, también la protección de un entorno </w:t>
      </w:r>
      <w:r>
        <w:lastRenderedPageBreak/>
        <w:t>urbano equilibrado, de los destinatarios del servicio y de los objetivos de la política social en lo que se refiere al acceso a la vivienda (art. 5, que se remite al art. 3.11 de la Ley 17/2009, de 23 de noviembre); (ii) porque la medida sería necesaria para satisfacer dichas finalidades; y (iii) porque sería también proporcionada a las mismas, porque estas no podrían verse satisfechas a través de medidas de menor intensidad como la declaración responsable o la comunicación previa.</w:t>
      </w:r>
    </w:p>
    <w:p w14:paraId="54CC86AC" w14:textId="77777777" w:rsidR="00A8138F" w:rsidRDefault="00A8138F" w:rsidP="00A8138F">
      <w:pPr>
        <w:pStyle w:val="TextoNormal"/>
      </w:pPr>
    </w:p>
    <w:p w14:paraId="405C23B9" w14:textId="77777777" w:rsidR="00A8138F" w:rsidRDefault="00A8138F" w:rsidP="00A8138F">
      <w:pPr>
        <w:pStyle w:val="TextoNormal"/>
      </w:pPr>
      <w:r>
        <w:t xml:space="preserve">b) </w:t>
      </w:r>
      <w:r w:rsidRPr="00A8138F">
        <w:rPr>
          <w:i/>
        </w:rPr>
        <w:t>Estructura y alcance del enjuiciamiento</w:t>
      </w:r>
    </w:p>
    <w:p w14:paraId="290EC892" w14:textId="77777777" w:rsidR="00A8138F" w:rsidRDefault="00A8138F" w:rsidP="00A8138F">
      <w:pPr>
        <w:pStyle w:val="TextoNormal"/>
      </w:pPr>
    </w:p>
    <w:p w14:paraId="3A84592B" w14:textId="77777777" w:rsidR="00A8138F" w:rsidRDefault="00A8138F" w:rsidP="00A8138F">
      <w:pPr>
        <w:pStyle w:val="TextoNormal"/>
      </w:pPr>
      <w:r>
        <w:t>La impugnación que ahora examinamos se dirige exclusivamente contra la exigencia de licencia urbanística previa prevista en el art. 1, el apartado primero de la disposición transitoria segunda y la disposición final primera del Decreto-ley del Gobierno de la Generalitat de Cataluña 3/2023, aspecto al que ha de limitarse nuestro enjuiciamiento, que no debe alcanzar, por lo tanto, a la previsión general de incompatibilidad, salvo previsión expresa en contrario en el planeamiento urbanístico, del uso turístico con el uso de vivienda (apartado primero de la nueva disposición adicional vigésima séptima del texto refundido de la Ley de urbanismo de Cataluña, introducido por el apartado segundo de la disposición final primera del Decreto-ley 3/2023).</w:t>
      </w:r>
    </w:p>
    <w:p w14:paraId="5E34D147" w14:textId="77777777" w:rsidR="00A8138F" w:rsidRDefault="00A8138F" w:rsidP="00A8138F">
      <w:pPr>
        <w:pStyle w:val="TextoNormal"/>
      </w:pPr>
    </w:p>
    <w:p w14:paraId="0EBA543F" w14:textId="77777777" w:rsidR="00A8138F" w:rsidRDefault="00A8138F" w:rsidP="00A8138F">
      <w:pPr>
        <w:pStyle w:val="TextoNormal"/>
      </w:pPr>
      <w:r>
        <w:t>El motivo se formula en términos de inconstitucionalidad mediata o indirecta, en la medida en que la posible infracción constitucional no derivaría de la incompatibilidad directa de los preceptos autonómicos impugnados con la Constitución, sino de su eventual contradicción con la normativa básica estatal. Como resulta de nuestra doctrina, el examen de este tipo de supuestos exige determinar si la norma estatal que se reputa infringida ha sido legítimamente dictada por el Estado al amparo de sus competencias y, si así fuere, habrá entonces que delimitar su concreto significado o alcance, con la finalidad de verificar si los preceptos autonómicos la contradicen de modo efectivo e insalvable por vía interpretativa (por todas, STC 76/2022, de 15 de junio).</w:t>
      </w:r>
    </w:p>
    <w:p w14:paraId="0AD026CD" w14:textId="77777777" w:rsidR="00A8138F" w:rsidRDefault="00A8138F" w:rsidP="00A8138F">
      <w:pPr>
        <w:pStyle w:val="TextoNormal"/>
      </w:pPr>
    </w:p>
    <w:p w14:paraId="4B462A1A" w14:textId="77777777" w:rsidR="00A8138F" w:rsidRDefault="00A8138F" w:rsidP="00A8138F">
      <w:pPr>
        <w:pStyle w:val="TextoNormal"/>
      </w:pPr>
      <w:r>
        <w:t>Con carácter previo, en el presente caso resulta necesario dilucidar, por haberse suscitado al respecto controversia entre las partes, si el art. 17.1 de la Ley de garantía de la unidad de mercado —invocado en la demanda como precepto básico de contraste—, así como el art. 5 de la misma ley estatal —al que alude en sus alegaciones el Parlamento de Cataluña— resultan o no aplicables al régimen de licencia previa regulado en los preceptos impugnados.</w:t>
      </w:r>
    </w:p>
    <w:p w14:paraId="2C382152" w14:textId="77777777" w:rsidR="00A8138F" w:rsidRDefault="00A8138F" w:rsidP="00A8138F">
      <w:pPr>
        <w:pStyle w:val="TextoNormal"/>
      </w:pPr>
    </w:p>
    <w:p w14:paraId="7127A8DD" w14:textId="77777777" w:rsidR="00A8138F" w:rsidRDefault="00A8138F" w:rsidP="00A8138F">
      <w:pPr>
        <w:pStyle w:val="TextoNormal"/>
      </w:pPr>
      <w:r>
        <w:t xml:space="preserve">c) </w:t>
      </w:r>
      <w:r w:rsidRPr="00A8138F">
        <w:rPr>
          <w:i/>
        </w:rPr>
        <w:t>Aplicabilidad al caso, del art. 17.1 de la Ley 20/2013, de 9 de diciembre, de garantía de la unidad de mercado</w:t>
      </w:r>
    </w:p>
    <w:p w14:paraId="47352F5C" w14:textId="77777777" w:rsidR="00A8138F" w:rsidRDefault="00A8138F" w:rsidP="00A8138F">
      <w:pPr>
        <w:pStyle w:val="TextoNormal"/>
      </w:pPr>
    </w:p>
    <w:p w14:paraId="32159B3C" w14:textId="77777777" w:rsidR="00A8138F" w:rsidRDefault="00A8138F" w:rsidP="00A8138F">
      <w:pPr>
        <w:pStyle w:val="TextoNormal"/>
      </w:pPr>
      <w:r>
        <w:t>Argumentan los recurrentes que el art. 1, el apartado primero de la disposición transitoria segunda y la disposición final primera del Decreto-ley 3/2023, a pesar de referirse formalmente al régimen de usos urbanísticos de la vivienda, materialmente vienen a imponer un obstáculo —en forma de exigencia de autorización administrativa previa— al ejercicio de una actividad económica (a saber, la actividad de arrendamiento de viviendas de uso turístico) y que, por lo tanto, el régimen que establecen ha de entenderse comprendido en el ámbito de aplicación de las normas sobre unidad de mercado establecidas por el Estado mediante la Ley de garantía de la unidad de mercado.</w:t>
      </w:r>
    </w:p>
    <w:p w14:paraId="19C61F83" w14:textId="77777777" w:rsidR="00A8138F" w:rsidRDefault="00A8138F" w:rsidP="00A8138F">
      <w:pPr>
        <w:pStyle w:val="TextoNormal"/>
      </w:pPr>
    </w:p>
    <w:p w14:paraId="1DE4FF31" w14:textId="77777777" w:rsidR="00A8138F" w:rsidRDefault="00A8138F" w:rsidP="00A8138F">
      <w:pPr>
        <w:pStyle w:val="TextoNormal"/>
      </w:pPr>
      <w:r>
        <w:lastRenderedPageBreak/>
        <w:t>Este tribunal considera que ha de partirse, en efecto, de la aplicabilidad de la Ley 20/2013, de garantía de la unidad de mercado al régimen de licencia previa controvertido. En este sentido es preciso recordar que la citada ley estatal diseña de manera omnicomprensiva su propio ámbito de aplicación, extendiéndolo “al acceso a actividades económicas que se prestan en condiciones de mercado y su ejercicio por parte de operadores legalmente establecidos en cualquier lugar del territorio nacional” (art. 2.1) y estableciendo como única exclusión expresa de su ámbito de aplicación “las materias del ámbito tributario” (art. 2.2). Esta vocación expansiva de la Ley de garantía de la unidad de mercado resulta confirmada por su exposición de motivos, como ya señaló la STC 79/2017, al indicar que dicha ley “ha desbordado el ámbito material de la Directiva 2006/123/CE, de 12 de diciembre, relativa a los servicios en el mercado interior —y al que se refiere una de sus leyes de transposición, la Ley 17/2009, de 23 de noviembre, sobre el libre acceso a las actividades de servicio y su ejercicio—, pues ha incluido en su ámbito de aplicación todas las actividades económicas en condiciones de mercado (art. 2 de la Ley de garantía de la unidad de mercado)”, de modo que se aplica también “a los sectores expresamente excluidos de la Directiva de servicios (como por ejemplo las comunicaciones electrónicas, el transporte, las empresas de trabajo temporal, la seguridad privada, etc.) y a la circulación de productos” (FJ 4).</w:t>
      </w:r>
    </w:p>
    <w:p w14:paraId="373892A3" w14:textId="77777777" w:rsidR="00A8138F" w:rsidRDefault="00A8138F" w:rsidP="00A8138F">
      <w:pPr>
        <w:pStyle w:val="TextoNormal"/>
      </w:pPr>
    </w:p>
    <w:p w14:paraId="64908BB6" w14:textId="77777777" w:rsidR="00A8138F" w:rsidRDefault="00A8138F" w:rsidP="00A8138F">
      <w:pPr>
        <w:pStyle w:val="TextoNormal"/>
      </w:pPr>
      <w:r>
        <w:t xml:space="preserve">La naturaleza urbanística de la regulación controvertida no presupone su exclusión del ámbito de aplicación de las normas relativas al ejercicio de actividades económicas. Así parece asumirlo la exposición de motivos del propio Decreto-ley del Gobierno de la Generalitat de Cataluña 3/2023 ahora impugnado, al indicar expresamente —si bien que a los efectos de la aplicación de la Directiva 2006/123/CE— que “este decreto-ley establece un régimen de intervención previa que afecta al ejercicio de la actividad económica de viviendas de uso turístico que se encuentren en los municipios a los que se aplica”. En este punto procede también recordar que la STJUE (Gran Sala) de 22 de septiembre de 2020, </w:t>
      </w:r>
      <w:r w:rsidRPr="00A8138F">
        <w:rPr>
          <w:i/>
        </w:rPr>
        <w:t>Cali Apartments SCI y HX c. procureur général près la Cour d’Appel de Paris et la Ville de Paris</w:t>
      </w:r>
      <w:r>
        <w:t xml:space="preserve"> (asuntos acumulados C-724/18 y C-727/18), ha establecido que el hecho de que una normativa nacional no regule un servicio, sino el cambio de uso de inmuebles destinados a vivienda —constituyendo, por lo tanto, normativa urbanística y de ordenación del territorio— no hace que dicha normativa quede sin más excluida del ámbito de aplicación de la Directiva 2006/123/CE, sino que esta resulta aplicable en la medida en que la normativa urbanística en cuestión se aplique no a cualquier persona indistintamente, sino concretamente a aquellas que tienen la intención de prestar determinados tipos de servicios, como los de arrendamiento de inmuebles amueblados usados como vivienda a clientes de paso que no fijan en ellos su domicilio, de forma reiterada y durante breves períodos de tiempo (§ 37 a 45). A pesar de que se refiere específicamente a la Directiva 2006/123/CE, de la que no es trasposición la Ley de garantía de la unidad de mercado, sino principalmente la Ley 17/2009, de 23 de noviembre, esta doctrina del Tribunal de Justicia de la Unión Europea constituye parámetro interpretativo a los efectos que ahora nos ocupan, dada la parcial coincidencia de espíritu entre ambas leyes estatales y la sustancial identidad entre la normativa —francesa— examinada en aquella ocasión por el Tribunal de Justicia de la Unión y la que nos corresponde enjuiciar en el presente recurso de inconstitucionalidad.</w:t>
      </w:r>
    </w:p>
    <w:p w14:paraId="4E66CF95" w14:textId="77777777" w:rsidR="00A8138F" w:rsidRDefault="00A8138F" w:rsidP="00A8138F">
      <w:pPr>
        <w:pStyle w:val="TextoNormal"/>
      </w:pPr>
    </w:p>
    <w:p w14:paraId="4FDCECEC" w14:textId="77777777" w:rsidR="00A8138F" w:rsidRDefault="00A8138F" w:rsidP="00A8138F">
      <w:pPr>
        <w:pStyle w:val="TextoNormal"/>
      </w:pPr>
      <w:r>
        <w:t xml:space="preserve">En cuanto al concreto precepto de la Ley de garantía de la unidad de mercado que adquiere relevancia para nuestro enjuiciamiento, hemos de recordar que la ya citada STC 79/2017 indicó que el art. 17.1 de dicha ley constituye una regla especial —aplicable específicamente a los regímenes de autorización para el acceso de actividades económicas y su </w:t>
      </w:r>
      <w:r>
        <w:lastRenderedPageBreak/>
        <w:t xml:space="preserve">ejercicio— respecto del régimen general del art. 5 de la Ley 20/2013, de garantía de la unidad de mercado —relativo a cualesquiera límites al acceso a, o al ejercicio de, una actividad económica—. En efecto, la STC 79/2017, FJ 4, afirmó que “si el artículo 5, por un lado, restringe las razones y fines que pueden legitimar el establecimiento de condiciones y requisitos al acceso y al ejercicio de las actividades económicas, y por otro, somete al principio general de necesidad y proporcionalidad a todas aquellas regulaciones públicas que puedan establecer tales condiciones y requisitos; el artículo 17 desarrolla la aplicación de aquel principio en el concreto supuesto de los controles administrativos previos y restringe las razones y fines disponibles en el caso de las autorizaciones”. Así, “en el caso de aquellas regulaciones públicas que establezcan la exigencia de una autorización, el artículo 17.1 exige, por un lado, que la concurrencia de los principios de necesidad y proporcionalidad se motiven suficientemente en la propia ley que establezca dicho régimen (estableciéndose como excepción cuando el régimen de autorización se exija por norma comunitaria o tratado internacional, en cuyo caso, las autorizaciones podrán estar previstas en una norma de rango inferior a la ley). Y por otro, restringe aún más aquellas concretas razones imperiosas de interés general que pueden justificar la exigencia de autorización […]. Por tanto, en el caso de las autorizaciones, las razones imperiosas de interés general que las justifican no serían todas aquellas a las que se remite el artículo 5 de la Ley de garantía de la unidad de mercado, y que se contienen en el artículo 3.11 de la Ley 17/2009, de 23 de noviembre, sino solo aquellas razones explícitamente recogidas en el propio artículo 17.1”. En definitiva, la especialidad del art. 17.1 de la Ley de garantía de la unidad de mercado respecto de su art. 5 consiste en las exigencias de (i) que la necesidad y proporcionalidad del régimen de autorización se justifiquen en la propia ley sectorial que lo establece, y (ii) que la finalidad perseguida con dicho régimen sea una de las razones imperiosas de interés general establecidas con carácter de </w:t>
      </w:r>
      <w:r w:rsidRPr="00A8138F">
        <w:rPr>
          <w:i/>
        </w:rPr>
        <w:t>numerus clausus</w:t>
      </w:r>
      <w:r>
        <w:t xml:space="preserve"> en el propio art. 17.1.</w:t>
      </w:r>
    </w:p>
    <w:p w14:paraId="04FB31AB" w14:textId="77777777" w:rsidR="00A8138F" w:rsidRDefault="00A8138F" w:rsidP="00A8138F">
      <w:pPr>
        <w:pStyle w:val="TextoNormal"/>
      </w:pPr>
    </w:p>
    <w:p w14:paraId="7CB8DCD1" w14:textId="77777777" w:rsidR="00A8138F" w:rsidRDefault="00A8138F" w:rsidP="00A8138F">
      <w:pPr>
        <w:pStyle w:val="TextoNormal"/>
      </w:pPr>
      <w:r>
        <w:t xml:space="preserve">De lo dicho resulta que la presente impugnación ha de resolverse utilizando como norma-parámetro el art. 17.1 de la Ley de garantía de la unidad de mercado, cuyo carácter básico </w:t>
      </w:r>
      <w:r w:rsidRPr="00A8138F">
        <w:rPr>
          <w:i/>
        </w:rPr>
        <w:t>ex</w:t>
      </w:r>
      <w:r>
        <w:t xml:space="preserve"> art. 149.1.13 CE afirmó la ya citada STC 79/2017, FFJJ 5 y 7 b), y que tiene el siguiente tenor literal:</w:t>
      </w:r>
    </w:p>
    <w:p w14:paraId="1747A800" w14:textId="77777777" w:rsidR="00A8138F" w:rsidRDefault="00A8138F" w:rsidP="00A8138F">
      <w:pPr>
        <w:pStyle w:val="TextoNormal"/>
      </w:pPr>
    </w:p>
    <w:p w14:paraId="4B1764D1" w14:textId="77777777" w:rsidR="00A8138F" w:rsidRDefault="00A8138F" w:rsidP="00A8138F">
      <w:pPr>
        <w:pStyle w:val="TextoNormal"/>
      </w:pPr>
      <w:r>
        <w:t>“Se podrá establecer la exigencia de una autorización siempre que concurran los principios de necesidad y proporcionalidad, que habrán de motivarse suficientemente en la ley que establezca dicho régimen. Asimismo, los requisitos para la obtención de dicha autorización deberán ser coherentes con las razones que justifican su exigencia. Cuando el régimen de autorización se exija por norma comunitaria o tratado internacional, las autorizaciones podrán estar previstas en una norma de rango inferior a la ley. Se considerará que concurren los principios de necesidad y proporcionalidad para la exigencia de una autorización:</w:t>
      </w:r>
    </w:p>
    <w:p w14:paraId="600E2542" w14:textId="77777777" w:rsidR="00A8138F" w:rsidRDefault="00A8138F" w:rsidP="00A8138F">
      <w:pPr>
        <w:pStyle w:val="TextoNormal"/>
      </w:pPr>
    </w:p>
    <w:p w14:paraId="66968A68" w14:textId="77777777" w:rsidR="00A8138F" w:rsidRDefault="00A8138F" w:rsidP="00A8138F">
      <w:pPr>
        <w:pStyle w:val="TextoNormal"/>
      </w:pPr>
      <w:r>
        <w:t>(a) Cuando esté justificado por razones de orden público, seguridad pública, salud pública o protección del medio ambiente en el lugar concreto donde se realiza la actividad, y estas razones no puedan salvaguardarse mediante la presentación de una declaración responsable o de una comunicación.</w:t>
      </w:r>
    </w:p>
    <w:p w14:paraId="587693D7" w14:textId="77777777" w:rsidR="00A8138F" w:rsidRDefault="00A8138F" w:rsidP="00A8138F">
      <w:pPr>
        <w:pStyle w:val="TextoNormal"/>
      </w:pPr>
    </w:p>
    <w:p w14:paraId="7DE407EB" w14:textId="77777777" w:rsidR="00A8138F" w:rsidRDefault="00A8138F" w:rsidP="00A8138F">
      <w:pPr>
        <w:pStyle w:val="TextoNormal"/>
      </w:pPr>
      <w:r>
        <w:t>(b) Respecto a las instalaciones, bienes o infraestructuras físicas necesarias para el ejercicio de actividades económicas, cuando sean susceptibles de generar daños sobre el medio ambiente y el entorno urbano, la seguridad o la salud pública y el patrimonio histórico-</w:t>
      </w:r>
      <w:r>
        <w:lastRenderedPageBreak/>
        <w:t>artístico, y estas razones no puedan salvaguardarse mediante la presentación de una declaración responsable o de una comunicación.</w:t>
      </w:r>
    </w:p>
    <w:p w14:paraId="0CF71F4F" w14:textId="77777777" w:rsidR="00A8138F" w:rsidRDefault="00A8138F" w:rsidP="00A8138F">
      <w:pPr>
        <w:pStyle w:val="TextoNormal"/>
      </w:pPr>
    </w:p>
    <w:p w14:paraId="1469894E" w14:textId="77777777" w:rsidR="00A8138F" w:rsidRDefault="00A8138F" w:rsidP="00A8138F">
      <w:pPr>
        <w:pStyle w:val="TextoNormal"/>
      </w:pPr>
      <w:r>
        <w:t>(c) Cuando por la escasez de recursos naturales, la utilización de dominio público, la existencia de inequívocos impedimentos técnicos o en función de la existencia de servicios públicos sometidos a tarifas reguladas, el número de operadores económicos del mercado sea limitado.</w:t>
      </w:r>
    </w:p>
    <w:p w14:paraId="3AFA96E1" w14:textId="77777777" w:rsidR="00A8138F" w:rsidRDefault="00A8138F" w:rsidP="00A8138F">
      <w:pPr>
        <w:pStyle w:val="TextoNormal"/>
      </w:pPr>
    </w:p>
    <w:p w14:paraId="5573B278" w14:textId="77777777" w:rsidR="00A8138F" w:rsidRDefault="00A8138F" w:rsidP="00A8138F">
      <w:pPr>
        <w:pStyle w:val="TextoNormal"/>
      </w:pPr>
      <w:r>
        <w:t>(d) Cuando así lo disponga la normativa de la Unión Europea o tratados y convenios internacionales, incluyendo la aplicación, en su caso, del principio de precaución.</w:t>
      </w:r>
    </w:p>
    <w:p w14:paraId="594C55B4" w14:textId="77777777" w:rsidR="00A8138F" w:rsidRDefault="00A8138F" w:rsidP="00A8138F">
      <w:pPr>
        <w:pStyle w:val="TextoNormal"/>
      </w:pPr>
    </w:p>
    <w:p w14:paraId="441092CC" w14:textId="77777777" w:rsidR="00A8138F" w:rsidRDefault="00A8138F" w:rsidP="00A8138F">
      <w:pPr>
        <w:pStyle w:val="TextoNormal"/>
      </w:pPr>
      <w:r>
        <w:t>Las inscripciones en registros con carácter habilitante que no sean realizadas de oficio por las autoridades competentes tendrán a todos los efectos el carácter de autorización”.</w:t>
      </w:r>
    </w:p>
    <w:p w14:paraId="05020FD6" w14:textId="77777777" w:rsidR="00A8138F" w:rsidRDefault="00A8138F" w:rsidP="00A8138F">
      <w:pPr>
        <w:pStyle w:val="TextoNormal"/>
      </w:pPr>
    </w:p>
    <w:p w14:paraId="29EA8B36" w14:textId="77777777" w:rsidR="00A8138F" w:rsidRDefault="00A8138F" w:rsidP="00A8138F">
      <w:pPr>
        <w:pStyle w:val="TextoNormal"/>
      </w:pPr>
      <w:r>
        <w:t xml:space="preserve">d) </w:t>
      </w:r>
      <w:r w:rsidRPr="00A8138F">
        <w:rPr>
          <w:i/>
        </w:rPr>
        <w:t>Compatibilidad de los preceptos impugnados con el art. 17.1 de la Ley de garantía de la unidad de mercado. Desestimación de la queja</w:t>
      </w:r>
    </w:p>
    <w:p w14:paraId="5499666D" w14:textId="77777777" w:rsidR="00A8138F" w:rsidRDefault="00A8138F" w:rsidP="00A8138F">
      <w:pPr>
        <w:pStyle w:val="TextoNormal"/>
      </w:pPr>
    </w:p>
    <w:p w14:paraId="4552D827" w14:textId="77777777" w:rsidR="00A8138F" w:rsidRDefault="00A8138F" w:rsidP="00A8138F">
      <w:pPr>
        <w:pStyle w:val="TextoNormal"/>
      </w:pPr>
      <w:r>
        <w:t>(i) Sentado lo anterior, hemos de comenzar examinando si el régimen de licencia urbanística previa introducido por los preceptos impugnados responde o no a alguna de las razones imperiosas de interés general tasadas en el art. 17.1 de la Ley de garantía de la unidad de mercado. Ha de recordarse que las partes mantienen interpretaciones discrepantes respecto de esta cuestión: para los recurrentes, la finalidad perseguida por la regulación controvertida es garantizar el acceso a una vivienda digna y tal objetivo no tiene encaje en el precepto básico estatal, mientras que el Gobierno de la Generalitat de Cataluña y el Parlamento de Cataluña sostienen que lo perseguido es proteger el entorno urbano, como expresamente permite el art. 17.1 b) de la Ley 20/2013, de garantía de la unidad de mercado.</w:t>
      </w:r>
    </w:p>
    <w:p w14:paraId="74323E24" w14:textId="77777777" w:rsidR="00A8138F" w:rsidRDefault="00A8138F" w:rsidP="00A8138F">
      <w:pPr>
        <w:pStyle w:val="TextoNormal"/>
      </w:pPr>
    </w:p>
    <w:p w14:paraId="1253AD17" w14:textId="77777777" w:rsidR="00A8138F" w:rsidRDefault="00A8138F" w:rsidP="00A8138F">
      <w:pPr>
        <w:pStyle w:val="TextoNormal"/>
      </w:pPr>
      <w:r>
        <w:t>Como ha quedado expuesto en el fundamento jurídico segundo, el Decreto-ley 3/2023 persigue, conforme a su propia literalidad, hacer frente a dos tipos de problemas suscitados por la proliferación incontrolada de viviendas de uso turístico, a saber, (i) la sustracción de un número importante de viviendas del parque residencial habitual previsto por el planificador para cubrir las necesidades habitacionales de un municipio, fenómeno que se traduce en la escasez y aumento de precios de la vivienda destinada a la residencia habitual y permanente de la ciudadanía y, por lo tanto, incide negativamente sobre la posibilidad de acceso a la vivienda; y (ii) la generación de un funcionamiento anómalo en las áreas urbanas afectadas por el incremento de viviendas de uso turístico, dado que el fenómeno de saturación turística que ello produce tiene fuertes consecuencias negativas, como el deterioro de la convivencia vecinal, la proliferación de actividades turísticas y de ocio en zonas primariamente destinadas a residentes locales, la saturación de las infraestructuras y servicios locales, el deterioro del paisaje urbano, y la gentrificación o pérdida de identidad de la ciudad, entre otros.</w:t>
      </w:r>
    </w:p>
    <w:p w14:paraId="15E5212C" w14:textId="77777777" w:rsidR="00A8138F" w:rsidRDefault="00A8138F" w:rsidP="00A8138F">
      <w:pPr>
        <w:pStyle w:val="TextoNormal"/>
      </w:pPr>
    </w:p>
    <w:p w14:paraId="1D49A384" w14:textId="77777777" w:rsidR="00A8138F" w:rsidRDefault="00A8138F" w:rsidP="00A8138F">
      <w:pPr>
        <w:pStyle w:val="TextoNormal"/>
      </w:pPr>
      <w:r>
        <w:t xml:space="preserve">Como también quedó ya indicado, ambos tipos de problemas tienen un origen común, a saber, la alteración que la libre e indiscriminada destinación de las viviendas al uso turístico produce en el modelo de ciudad previsto por la planificación urbanística de acuerdo con la legislación en materia de urbanismo y ordenación del territorio; planificación cuya función última consiste, precisamente, en configurar el entorno urbano a través del diseño de los espacios habitables, de sus usos y de sus equipamientos, así como de las perspectivas de su </w:t>
      </w:r>
      <w:r>
        <w:lastRenderedPageBreak/>
        <w:t xml:space="preserve">desarrollo, ampliación y renovación, labor que debe atender a los intereses generales y a la función social que constitucionalmente cumple el derecho de propiedad </w:t>
      </w:r>
      <w:r w:rsidRPr="00A8138F">
        <w:rPr>
          <w:i/>
        </w:rPr>
        <w:t>ex</w:t>
      </w:r>
      <w:r>
        <w:t xml:space="preserve"> art. 33.2 CE. Ello conduce a la conclusión de que el régimen de licencia urbanística impugnado está fundado en razones confluyentes en la protección del entorno urbano en el sentido del art. 17.1 de la Ley de garantía de la unidad de mercado.</w:t>
      </w:r>
    </w:p>
    <w:p w14:paraId="44D1EF6A" w14:textId="77777777" w:rsidR="00A8138F" w:rsidRDefault="00A8138F" w:rsidP="00A8138F">
      <w:pPr>
        <w:pStyle w:val="TextoNormal"/>
      </w:pPr>
    </w:p>
    <w:p w14:paraId="24FB4507" w14:textId="77777777" w:rsidR="00A8138F" w:rsidRDefault="00A8138F" w:rsidP="00A8138F">
      <w:pPr>
        <w:pStyle w:val="TextoNormal"/>
      </w:pPr>
      <w:r>
        <w:t>Ninguna relevancia tiene a estos efectos que el art. 17.1 de la Ley de garantía de la unidad de mercado no mencione explícitamente como razón imperiosa de interés general a la lucha contra la escasez de vivienda destinada a residencia habitual y permanente de la ciudadanía, en tanto que tal finalidad es inherente a la ordenación del entorno urbano —a cuya protección se refiere la letra b) del citado precepto estatal— tanto por imperativo constitucional como por derivarse esta relación de los parámetros que en este punto proporciona el Derecho de la Unión Europea, que cobra aquí relevancia por su reconocida influencia sobre la legislación estatal en materia de unidad de mercado.</w:t>
      </w:r>
    </w:p>
    <w:p w14:paraId="0072F6BC" w14:textId="77777777" w:rsidR="00A8138F" w:rsidRDefault="00A8138F" w:rsidP="00A8138F">
      <w:pPr>
        <w:pStyle w:val="TextoNormal"/>
      </w:pPr>
    </w:p>
    <w:p w14:paraId="511D08ED" w14:textId="77777777" w:rsidR="00A8138F" w:rsidRDefault="00A8138F" w:rsidP="00A8138F">
      <w:pPr>
        <w:pStyle w:val="TextoNormal"/>
      </w:pPr>
      <w:r>
        <w:t>En cuanto a lo primero, procede recordar que el art. 47 CE, tras proclamar que “[t]odos los españoles tienen derecho a disfrutar de una vivienda digna y adecuada”, establece que “[l]os poderes públicos promoverán las condiciones necesarias y establecerán las normas pertinentes para hacer efectivo este derecho, regulando la utilización del suelo de acuerdo con el interés general para impedir la especulación”. Ello tiene una proyección inmediata sobre los fines que la legislación vigente atribuye a las políticas públicas relativas a la regulación, ordenación, ocupación, transformación y uso del suelo [por lo que ahora especialmente importa, art. 3.3 a) TRLSRU] y que se traduce en mandatos específicos que el propio legislador básico estatal dirige al autonómico para que proteja eficazmente el derecho a la vivienda a través de la regulación de los usos residenciales en el medio urbano. Ha de recordarse en este sentido lo dispuesto en el ya citado art. 3.4 TRLSRU, cuyo último inciso establece que “[e]l suelo vinculado a un uso residencial por la ordenación territorial y urbanística está al servicio de la efectividad del derecho a disfrutar de una vivienda digna y adecuada, en los términos que disponga la legislación en la materia”. Previsión esta que ha sido reiterada en términos análogos en el art. 15.3 de la Ley 12/2023, de 24 de mayo, según el cual “[e]n la regulación de los usos en entornos residenciales en el medio urbano, la legislación sobre ordenación territorial y urbanística establecerá instrumentos efectivos para asegurar el equilibrio, preservar la calidad de vida y el acceso a la vivienda, y asegurar el cumplimiento del principio de desarrollo territorial y urbano sostenible recogido en el artículo 3 del texto refundido de la Ley de suelo y rehabilitación urbana, aprobado por Real Decreto Legislativo 7/2015, de 30 de octubre”. Las previsiones urbanísticas relativas al acceso a la vivienda y al régimen de usos del suelo y las edificaciones son, en definitiva, parte integral de la ordenación del entorno urbano, y quedan por ello integradas con naturalidad en la previsión del art. 17.1 b) de la Ley de garantía de la unidad de mercado.</w:t>
      </w:r>
    </w:p>
    <w:p w14:paraId="4091765E" w14:textId="77777777" w:rsidR="00A8138F" w:rsidRDefault="00A8138F" w:rsidP="00A8138F">
      <w:pPr>
        <w:pStyle w:val="TextoNormal"/>
      </w:pPr>
    </w:p>
    <w:p w14:paraId="50E17CE7" w14:textId="77777777" w:rsidR="00A8138F" w:rsidRDefault="00A8138F" w:rsidP="00A8138F">
      <w:pPr>
        <w:pStyle w:val="TextoNormal"/>
      </w:pPr>
      <w:r>
        <w:t xml:space="preserve">La aproximación del Derecho de la Unión Europea a la protección del entorno urbano como razón imperiosa de interés general que permite justificar restricciones de las libertades económicas conduce a la misma conclusión. Por una parte, el considerando 40 de la Directiva 2006/123/CE indica que “[e]l concepto de ‘razones imperiosas de interés general’ al que se hace referencia en determinadas prescripciones de la presente Directiva ha sido desarrollado por el Tribunal de Justicia en su jurisprudencia relativa a los artículos 43 y 49 del Tratado [constitutivo de la Comunidad Europea, hecho en Roma el 25 de marzo de 1957] y puede seguir evolucionando”, y especifica, al referirse a la protección del entorno urbano, </w:t>
      </w:r>
      <w:r>
        <w:lastRenderedPageBreak/>
        <w:t xml:space="preserve">que esta razón incluye la protección de “la planificación urbana y rural”. De otro lado, la jurisprudencia del Tribunal de Justicia de la Unión Europea ha entendido que se dirigen a la protección del entorno urbano, entre otras, las medidas nacionales dirigidas a preservar la habitabilidad del centro de un municipio y a evitar la existencia de locales desocupados en zona urbana en interés de una buena ordenación del territorio [STJUE (Gran Sala) de 30 de enero de 2018, </w:t>
      </w:r>
      <w:r w:rsidRPr="00A8138F">
        <w:rPr>
          <w:i/>
        </w:rPr>
        <w:t>College van Burgemeester en Wethouders van de gemeente Amersfoort c. X BV y Visser Vastgoed Beleggingen BV c. Raad van de gemeente Appingedam</w:t>
      </w:r>
      <w:r>
        <w:t xml:space="preserve"> (asuntos acumulados C-360/15 y C-31/16, § 134 y 135)].</w:t>
      </w:r>
    </w:p>
    <w:p w14:paraId="05D92D72" w14:textId="77777777" w:rsidR="00A8138F" w:rsidRDefault="00A8138F" w:rsidP="00A8138F">
      <w:pPr>
        <w:pStyle w:val="TextoNormal"/>
      </w:pPr>
    </w:p>
    <w:p w14:paraId="72ED1B57" w14:textId="77777777" w:rsidR="00A8138F" w:rsidRDefault="00A8138F" w:rsidP="00A8138F">
      <w:pPr>
        <w:pStyle w:val="TextoNormal"/>
      </w:pPr>
      <w:r>
        <w:t>(ii) Resta por determinar si, como exige el art. 17.1 de la Ley de garantía de la unidad de mercado, la exigencia de licencia urbanística introducida por los preceptos impugnados responde a los principios de necesidad y proporcionalidad, y si ello ha sido motivado suficientemente por el propio legislador de urgencia autonómico.</w:t>
      </w:r>
    </w:p>
    <w:p w14:paraId="3F74EA7F" w14:textId="77777777" w:rsidR="00A8138F" w:rsidRDefault="00A8138F" w:rsidP="00A8138F">
      <w:pPr>
        <w:pStyle w:val="TextoNormal"/>
      </w:pPr>
    </w:p>
    <w:p w14:paraId="06BEA7FB" w14:textId="77777777" w:rsidR="00A8138F" w:rsidRDefault="00A8138F" w:rsidP="00A8138F">
      <w:pPr>
        <w:pStyle w:val="TextoNormal"/>
      </w:pPr>
      <w:r>
        <w:t>La exposición de motivos del Decreto-ley 3/2023, tras justificar la necesidad —extraordinaria y urgente— de las medidas contenidas en su articulado, en los términos que han sido expuestos en el fundamento jurídico tercero, hace referencia expresa a la proporcionalidad del régimen de licencia impugnado, indicando que los requisitos de dicho régimen son adecuados para garantizar la realización del objetivo que se persigue y no van más allá de lo necesario para alcanzarlo, ni pueden sustituirse por otras medidas menos restrictivas que permitan obtener el mismo resultado, dado que un contro</w:t>
      </w:r>
      <w:r w:rsidRPr="00A8138F">
        <w:rPr>
          <w:i/>
        </w:rPr>
        <w:t>l a posterio</w:t>
      </w:r>
      <w:r>
        <w:t>ri no sería eficaz.</w:t>
      </w:r>
    </w:p>
    <w:p w14:paraId="19CDB9A1" w14:textId="77777777" w:rsidR="00A8138F" w:rsidRDefault="00A8138F" w:rsidP="00A8138F">
      <w:pPr>
        <w:pStyle w:val="TextoNormal"/>
      </w:pPr>
    </w:p>
    <w:p w14:paraId="7FC3A52E" w14:textId="77777777" w:rsidR="00A8138F" w:rsidRDefault="00A8138F" w:rsidP="00A8138F">
      <w:pPr>
        <w:pStyle w:val="TextoNormal"/>
      </w:pPr>
      <w:r>
        <w:t>Ha de considerarse, en efecto, que la exigencia de licencia urbanística para destinar al uso turístico inmuebles que han sido calificados por el planeamiento para el uso como vivienda habitual es una medida necesaria para evitar daños en el entorno urbano —en concreto, para proteger el modelo de ciudad previsto por la planificación urbanística de acuerdo con los parámetros establecidos por la legislación sobre urbanismo y ordenación del territorio—. Además, resulta proporcionada a dicho objetivo, en particular porque otros mecanismos de intervención administrativa, como la declaración responsable o la comunicación previa, no permitirían alcanzar la finalidad perseguida con el mismo grado de eficacia.</w:t>
      </w:r>
    </w:p>
    <w:p w14:paraId="406A7272" w14:textId="77777777" w:rsidR="00A8138F" w:rsidRDefault="00A8138F" w:rsidP="00A8138F">
      <w:pPr>
        <w:pStyle w:val="TextoNormal"/>
      </w:pPr>
    </w:p>
    <w:p w14:paraId="4F5249C9" w14:textId="77777777" w:rsidR="00A8138F" w:rsidRDefault="00A8138F" w:rsidP="00A8138F">
      <w:pPr>
        <w:pStyle w:val="TextoNormal"/>
      </w:pPr>
      <w:r>
        <w:t xml:space="preserve">Respecto de esta última cuestión ha de precisarse que, en principio, y como indicó la STC 79/2017, FJ 7 b), tanto la autorización como otras técnicas de intervención administrativa pueden operar, con carácter general, como instrumentos de control del cumplimiento de los requisitos y restricciones materiales impuestos por el legislador competente al ejercicio de la actividad económica que en cada caso se trate. Sin embargo, de ello no cabe derivar una presunción general de que la autorización y los demás instrumentos de intervención administrativa sean funcionalmente equivalentes en cuanto a su capacidad para proteger de manera eficaz los intereses generales en cada caso perseguidos por la regulación. Por una parte, y como ha señalado el Tribunal de Justicia de la Unión Europea precisamente al hilo de las viviendas de uso turístico, en ocasiones el recurso a un sistema de declaración previa acompañado de sanciones no es eficaz, pues, al facultar a las autoridades para intervenir únicamente </w:t>
      </w:r>
      <w:r w:rsidRPr="00A8138F">
        <w:rPr>
          <w:i/>
        </w:rPr>
        <w:t>a posteriori</w:t>
      </w:r>
      <w:r>
        <w:t xml:space="preserve">, tal sistema no permite frenar de manera inmediata y efectiva la rápida dinámica generadora del problema que pretende atajarse (STJUE de 22 de septiembre de 2020, </w:t>
      </w:r>
      <w:r w:rsidRPr="00A8138F">
        <w:rPr>
          <w:i/>
        </w:rPr>
        <w:t>Cali Apartments</w:t>
      </w:r>
      <w:r>
        <w:t xml:space="preserve">, § 73 a 75); en particular, a los efectos que ahora nos ocupan, la autorización permite a la autoridad administrativa intervenir de manera más eficaz en la distribución territorial de la actividad sometida a control. De otro lado, la autorización —a diferencia de lo que sucede con la declaración responsable y la comunicación previa— </w:t>
      </w:r>
      <w:r>
        <w:lastRenderedPageBreak/>
        <w:t>puede desempeñar funciones regulatorias adicionales y distintas a la recién descrita, pues puede ser utilizada con la finalidad de limitar el número de operadores o el volumen de la oferta en un determinado mercado (sea por razones relativas a la escasez material o técnica de ciertos recursos, a las externalidades negativas asociadas a un volumen de oferta excesiva, o a otros motivos), también con la finalidad de completar el régimen jurídico aplicable a la actividad de que se trate. Ambas finalidades adicionales devienen relevantes en el presente caso, dado que el régimen de licencia urbanística impugnado se completa con una previsión relativa a la proporción máxima de licencias a otorgar y ha de ser desarrollado y precisado en cada municipio, que por lo tanto puede establecer, en ejercicio de sus competencias urbanísticas, criterios que concreten las condiciones a las que se asocia el uso turístico de la vivienda en cada caso.</w:t>
      </w:r>
    </w:p>
    <w:p w14:paraId="5A92C1A7" w14:textId="77777777" w:rsidR="00A8138F" w:rsidRDefault="00A8138F" w:rsidP="00A8138F">
      <w:pPr>
        <w:pStyle w:val="TextoNormal"/>
      </w:pPr>
    </w:p>
    <w:p w14:paraId="396966F7" w14:textId="77777777" w:rsidR="00A8138F" w:rsidRDefault="00A8138F" w:rsidP="00A8138F">
      <w:pPr>
        <w:pStyle w:val="TextoNormal"/>
      </w:pPr>
      <w:r>
        <w:t>En cuanto a la limitación del número máximo de licencias a otorgar y el acotamiento de su duración, cuestiones sobre las que ningún reproche específico contiene la demanda al hilo del presente motivo de impugnación, es preciso tener en cuenta que la satisfacción de la finalidad perseguida por el Decreto-ley del Gobierno de la Generalitat de Cataluña 3/2023 pasa ineludiblemente por reducir el volumen de la oferta de viviendas de uso turístico en los municipios que entran en su ámbito de aplicación, sin que el porcentaje máximo de autorizaciones (diez por cada cien habitantes) pueda entenderse como desproporcionadamente restrictivo a la luz de la finalidad perseguida.</w:t>
      </w:r>
    </w:p>
    <w:p w14:paraId="5F96234C" w14:textId="77777777" w:rsidR="00A8138F" w:rsidRDefault="00A8138F" w:rsidP="00A8138F">
      <w:pPr>
        <w:pStyle w:val="TextoNormal"/>
      </w:pPr>
    </w:p>
    <w:p w14:paraId="25AB94A6" w14:textId="77777777" w:rsidR="00A8138F" w:rsidRDefault="00A8138F" w:rsidP="00A8138F">
      <w:pPr>
        <w:pStyle w:val="TextoNormal"/>
      </w:pPr>
      <w:r>
        <w:t>Ha de tenerse en cuenta en este punto que la memoria de elaboración del Decreto-ley 3/2023 indica que el citado límite máximo, que puede ser reducido por los municipios para adecuarlos a la respectiva realidad local, se ha establecido teniendo en cuenta la media de 5,5 plazas por vivienda de uso turístico, de modo que el máximo legalmente previsto equivale a cincuenta y cinco plazas por cada cien habitantes (esto es, una ratio de aproximadamente una plaza por cada dos residentes), valor considerado por el legislador de urgencia como el umbral a partir del cual en ningún caso puede garantizarse que no se rompa el equilibrio del entorno urbano.</w:t>
      </w:r>
    </w:p>
    <w:p w14:paraId="3B55DA86" w14:textId="77777777" w:rsidR="00A8138F" w:rsidRDefault="00A8138F" w:rsidP="00A8138F">
      <w:pPr>
        <w:pStyle w:val="TextoNormal"/>
      </w:pPr>
    </w:p>
    <w:p w14:paraId="6C398223" w14:textId="77777777" w:rsidR="00A8138F" w:rsidRDefault="00A8138F" w:rsidP="00A8138F">
      <w:pPr>
        <w:pStyle w:val="TextoNormal"/>
      </w:pPr>
      <w:r>
        <w:t>Tampoco incurre en desproporción la limitación de la duración de dichas licencias (cinco años, prorrogables por períodos de igual duración, siempre que el planeamiento urbanístico lo permita), pues esta previsión, además de ser acorde con la vocación de temporalidad del sistema introducido por el Decreto-ley 3/2023 —que, recuérdese, prevé el sometimiento a revisión cada cinco años de su propio ámbito de aplicación—, es una medida necesaria para garantizar que, allí donde persistan los problemas afrontados y por tanto continúe aplicándose el régimen de licencia previa más allá del horizonte temporal de los cinco años, exista la posibilidad de que nuevos operadores accedan al mercado de la vivienda de uso turístico. En este sentido ha de recordarse, por último, que la nueva disposición adicional vigesimoséptima del texto refundido de la Ley de urbanismo de Cataluña, añadida por la disposición final primera del Decreto-ley 3/2023, establece en su inciso final que “[e]n el otorgamiento de las licencias, y sus prórrogas, los municipios deben garantizar el cumplimiento de los principios de publicidad, objetividad, imparcialidad, transparencia y concurrencia competitiva”.</w:t>
      </w:r>
    </w:p>
    <w:p w14:paraId="121D016F" w14:textId="77777777" w:rsidR="00A8138F" w:rsidRDefault="00A8138F" w:rsidP="00A8138F">
      <w:pPr>
        <w:pStyle w:val="TextoNormal"/>
      </w:pPr>
    </w:p>
    <w:p w14:paraId="60035D37" w14:textId="0F83777D" w:rsidR="00A8138F" w:rsidRDefault="00A8138F" w:rsidP="00A8138F">
      <w:pPr>
        <w:pStyle w:val="TextoNormal"/>
      </w:pPr>
      <w:r>
        <w:t>A la luz de lo expuesto, concluimos que el régimen de licencia urbanística previsto en el art. 1, el apartado primero de la disposición transitoria segunda y la disposición final primera del Decreto-ley del Gobierno de la Generalitat de Cataluña 3/2023 no contradice lo dis</w:t>
      </w:r>
      <w:r>
        <w:lastRenderedPageBreak/>
        <w:t>puesto en el art. 17.1 de la Ley de garantía de la unidad de mercado ni, por lo tanto, vulnera las competencias del Estado sobre las bases y coordinación de la planificación general de la actividad económica (art. 149.1.13 CE), lo que conduce a la desestimación de este motivo de impugnación.</w:t>
      </w:r>
    </w:p>
    <w:p w14:paraId="299631E2" w14:textId="77777777" w:rsidR="00A8138F" w:rsidRDefault="00A8138F" w:rsidP="00A8138F">
      <w:pPr>
        <w:pStyle w:val="TextoNormal"/>
      </w:pPr>
    </w:p>
    <w:p w14:paraId="6F22664E" w14:textId="77777777" w:rsidR="00A8138F" w:rsidRDefault="00A8138F" w:rsidP="00A8138F">
      <w:pPr>
        <w:pStyle w:val="TextoNormal"/>
      </w:pPr>
      <w:r w:rsidRPr="00A8138F">
        <w:rPr>
          <w:rStyle w:val="NumeroAFNegritaCaracter"/>
        </w:rPr>
        <w:t>6</w:t>
      </w:r>
      <w:r>
        <w:t xml:space="preserve">. </w:t>
      </w:r>
      <w:r w:rsidRPr="00A8138F">
        <w:rPr>
          <w:i/>
        </w:rPr>
        <w:t>Sobre la denunciada infracción de la garantía constitucional de la autonomía local (arts. 137 y 141 CE y art. 2 EAC</w:t>
      </w:r>
      <w:r>
        <w:t>)</w:t>
      </w:r>
    </w:p>
    <w:p w14:paraId="5EAE2C3F" w14:textId="77777777" w:rsidR="00A8138F" w:rsidRDefault="00A8138F" w:rsidP="00A8138F">
      <w:pPr>
        <w:pStyle w:val="TextoNormal"/>
      </w:pPr>
    </w:p>
    <w:p w14:paraId="0756C73F" w14:textId="77777777" w:rsidR="00A8138F" w:rsidRDefault="00A8138F" w:rsidP="00A8138F">
      <w:pPr>
        <w:pStyle w:val="TextoNormal"/>
      </w:pPr>
      <w:r>
        <w:t xml:space="preserve">a) </w:t>
      </w:r>
      <w:r w:rsidRPr="00A8138F">
        <w:rPr>
          <w:i/>
        </w:rPr>
        <w:t>Síntesis de la controversia</w:t>
      </w:r>
    </w:p>
    <w:p w14:paraId="0B459509" w14:textId="77777777" w:rsidR="00A8138F" w:rsidRDefault="00A8138F" w:rsidP="00A8138F">
      <w:pPr>
        <w:pStyle w:val="TextoNormal"/>
      </w:pPr>
    </w:p>
    <w:p w14:paraId="0512DDDD" w14:textId="77777777" w:rsidR="00A8138F" w:rsidRDefault="00A8138F" w:rsidP="00A8138F">
      <w:pPr>
        <w:pStyle w:val="TextoNormal"/>
      </w:pPr>
      <w:r>
        <w:t>La demanda imputa la vulneración del principio de autonomía local a los arts. 1 y 2, a la disposición final primera (apartado segundo) y al anexo del Decreto-ley 3/2023. Argumentan que estos preceptos, que introducen el régimen de licencia urbanística aplicable a las viviendas de uso turístico de determinados municipios, no reservan a los municipios afectados ninguna intervención en el diseño normativo de tal régimen jurídico ni en la delimitación de su ámbito de aplicación, sino que les imponen la exigencia de licencia sin que exista proporción entre dicha imposición y el elevado grado de intensidad de los intereses locales en la materia.</w:t>
      </w:r>
    </w:p>
    <w:p w14:paraId="15B066CA" w14:textId="77777777" w:rsidR="00A8138F" w:rsidRDefault="00A8138F" w:rsidP="00A8138F">
      <w:pPr>
        <w:pStyle w:val="TextoNormal"/>
      </w:pPr>
    </w:p>
    <w:p w14:paraId="078C077D" w14:textId="77777777" w:rsidR="00A8138F" w:rsidRDefault="00A8138F" w:rsidP="00A8138F">
      <w:pPr>
        <w:pStyle w:val="TextoNormal"/>
      </w:pPr>
      <w:r>
        <w:t>Como con mayor detalle se ha expuesto en los antecedentes, el Gobierno de la Generalitat de Cataluña insta la inadmisión de este motivo de impugnación por incumplimiento de la carga alegatoria exigible a los recurrentes y, subsidiariamente, su desestimación. Con una argumentación similar a la del Parlamento de Cataluña, aduce que la autonomía local constitucionalmente garantizada asegura a los municipios el derecho a participar en la gestión de los asuntos que les atañen, pero no un determinado mecanismo a través del cual hacer efectiva dicha participación, sino que la concreción de los mecanismos aplicables en cada caso corresponde al legislador competente por razón de la materia (en este caso, al autonómico). El Ejecutivo autonómico señala, además, que los preceptos impugnados son conformes con la doctrina constitucional sobre la autonomía local porque (i) existe un interés supralocal —conectado con el derecho a la vivienda— que los justifica, y (ii) aseguran a los ayuntamientos un importante nivel de participación, correlativo a sus intereses en la materia, a través del planeamiento y del otorgamiento de licencias.</w:t>
      </w:r>
    </w:p>
    <w:p w14:paraId="256C5DC3" w14:textId="77777777" w:rsidR="00A8138F" w:rsidRDefault="00A8138F" w:rsidP="00A8138F">
      <w:pPr>
        <w:pStyle w:val="TextoNormal"/>
      </w:pPr>
    </w:p>
    <w:p w14:paraId="7ABA57D5" w14:textId="77777777" w:rsidR="00A8138F" w:rsidRDefault="00A8138F" w:rsidP="00A8138F">
      <w:pPr>
        <w:pStyle w:val="TextoNormal"/>
      </w:pPr>
      <w:r>
        <w:t xml:space="preserve">b) </w:t>
      </w:r>
      <w:r w:rsidRPr="00A8138F">
        <w:rPr>
          <w:i/>
        </w:rPr>
        <w:t>Doctrina constitucional aplicable</w:t>
      </w:r>
    </w:p>
    <w:p w14:paraId="7C055DB3" w14:textId="77777777" w:rsidR="00A8138F" w:rsidRDefault="00A8138F" w:rsidP="00A8138F">
      <w:pPr>
        <w:pStyle w:val="TextoNormal"/>
      </w:pPr>
    </w:p>
    <w:p w14:paraId="5C7A8AAA" w14:textId="77777777" w:rsidR="00A8138F" w:rsidRDefault="00A8138F" w:rsidP="00A8138F">
      <w:pPr>
        <w:pStyle w:val="TextoNormal"/>
      </w:pPr>
      <w:r>
        <w:t xml:space="preserve">La autonomía local, cuyo fundamento se encuentra en el principio democrático [SSTC 103/2013, de 25 de abril, FJ 6, y 111/2016, de 9 de junio, FJ 8 b)] fue calificada en un primer momento por este tribunal como una “garantía institucional” (STC 32/1981, FFJJ 2 y 3; posteriormente, SSTC 38/1983, de 16 de mayo, FJ 6; 170/1989, FJ 9; 109/1998, de 21 de mayo, FJ 2; 51/2004, de 13 de abril, FJ 9; 83/2005, de 7 de abril, FJ 7; 252/2005, de 11 de octubre, FJ 4; 240/2006, de 20 de julio, FJ 7, y 103/2013, FJ 3). Esta categorización, que remite a un juicio de recognoscibilidad de la autonomía local como institución jurídica y expresa, con ello, la función de dicha autonomía como límite negativo frente al legislador —de “núcleo o reducto indisponible” hablaba la STC 38/1983, FJ 6—, ha evolucionado paulatinamente con el desarrollo de la doctrina constitucional. Esta se ha referido, también desde antiguo, pero de manera especialmente nítida durante la última década, al “principio de autonomía local” resaltando, con ello, la vertiente positiva de la relación entre la ley y la autonomía local (SSTC 4/1981, de 2 de febrero, FJ 3; 32/1981, FJ 3; 2/1987, de 21 de enero, </w:t>
      </w:r>
      <w:r>
        <w:lastRenderedPageBreak/>
        <w:t>FJ 2; 159/2001, de 5 de julio, FJ 12, y 240/2006, FJ 7). A partir, especialmente, de la STC 41/2016, la doctrina constitucional sobre la autonomía local viene prescindiendo del concepto de garantía institucional para referirse a la autonomía local como un principio en sentido técnico-jurídico. La garantía constitucional de la autonomía local comprende, en definitiva, un núcleo mínimo de autonomía que no puede ser desconocido por los poderes públicos —en particular, por los legisladores estatal y autonómico, cada uno en el ámbito de sus competencias—, pero también les dirige un mandato de optimización para la consecución de los mayores niveles posibles de autonomía local.</w:t>
      </w:r>
    </w:p>
    <w:p w14:paraId="374B68C6" w14:textId="77777777" w:rsidR="00A8138F" w:rsidRDefault="00A8138F" w:rsidP="00A8138F">
      <w:pPr>
        <w:pStyle w:val="TextoNormal"/>
      </w:pPr>
    </w:p>
    <w:p w14:paraId="49CCF385" w14:textId="77777777" w:rsidR="00A8138F" w:rsidRDefault="00A8138F" w:rsidP="00A8138F">
      <w:pPr>
        <w:pStyle w:val="TextoNormal"/>
      </w:pPr>
      <w:r>
        <w:t>Desde un punto de vista funcional o relativo a las competencias de los entes locales, la garantía constitucional de autonomía local obliga a asegurar el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(SSTC 32/1981, FJ 4; 170/1989, FJ 9, y 41/2016, FJ 9, entre otras muchas). Ello implica, por lo que ahora importa, que las leyes del Estado y de las comunidades autónomas, en sus respectivos ámbitos de competencias, deben asegurar que los municipios tengan competencias “propias” en ámbitos de interés exclusivo o prevalentemente municipal (STC 4/1981, FJ 3). Al mismo tiempo, y en tanto que mandato de optimización, la autonomía local exige que, en materias de interés municipal, la falta de atribución de competencias a los municipios o su restricción cuente con una justificación suficiente. Desde esta perspectiva, para determinar si la intervención del legislador (en este caso, autonómico) en la regulación del régimen local respeta o no, la garantía constitucional de la autonomía local habrá que valorar: “(i) si hay intereses supralocales que justifiquen que la comunidad autónoma haya dictado esta regulación; (ii) si el legislador autonómico ha ponderado los intereses municipales afectados; y (iii) si ha asegurado a los ayuntamientos implicados un nivel de intervención tendencialmente correlativo a la intensidad de tales intereses. Todo ello sobre la base de que la comunidad autónoma puede ejercer en uno u otro sentido su libertad de configuración a la hora de distribuir funciones, pero garantizando el derecho de la comunidad local a participar a través de órganos propios en el Gobierno y administración” [SSTC 152/2016, de 22 de septiembre, FJ 6; 98/2018, de 19 de septiembre, FJ 4, y 124/2023, de 26 de septiembre, FJ 5 e)].</w:t>
      </w:r>
    </w:p>
    <w:p w14:paraId="64BD8384" w14:textId="77777777" w:rsidR="00A8138F" w:rsidRDefault="00A8138F" w:rsidP="00A8138F">
      <w:pPr>
        <w:pStyle w:val="TextoNormal"/>
      </w:pPr>
    </w:p>
    <w:p w14:paraId="54A98F03" w14:textId="77777777" w:rsidR="00A8138F" w:rsidRDefault="00A8138F" w:rsidP="00A8138F">
      <w:pPr>
        <w:pStyle w:val="TextoNormal"/>
      </w:pPr>
      <w:r>
        <w:t>Entre los asuntos de interés de los municipios y a los que, por tanto, han de extenderse sus competencias, se encuentra el urbanismo [por todas, STC 154/2015, FJ 6 a)]. No obstante, la doctrina constitucional ha señalado que en el ámbito urbanístico municipal se proyecta una auténtica “imbricación de intereses diversos” (STC 51/2004, FJ 12) cuya protección se encomienda a distintos entes territoriales. Ello determina que “la administración territorial a la que el constituyente encomendó la competencia normativa en urbanismo (las comunidades autónomas, según el art. 148.1.3 CE, pero también el Estado, cuando resulte habilitado al efecto por otros títulos competenciales) está legitimada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siempre que respete la autonomía local (STC 159/2001, FJ 4). En particular, este tribunal ha señalado que “[l]a decisión sobre la configuración del asentamiento urbano municipal en que consiste el plan urbanístico —marco regulador del espacio físico de la convivencia de los vecinos— es una tarea comprendida prioritariamente en el ámbito de los intereses del municipio; y sobre aquella decisión se proyectan, por tanto, de forma especial</w:t>
      </w:r>
      <w:r>
        <w:lastRenderedPageBreak/>
        <w:t>mente intensa las exigencias de la autonomía municipal” (STC 51/2004, FJ 12), si bien la protección de los intereses supralocales afectados puede justificar la intervención en esta materia de administraciones territoriales distintas del municipio, por ejemplo, mediante su participación en determinados procedimientos de competencia de este o, por lo que ahora especialmente interesa, mediante el establecimiento de determinaciones normativas vinculantes para el planificador urbanístico municipal [STC 57/2015, de 18 de marzo, FJ 17 a)].</w:t>
      </w:r>
    </w:p>
    <w:p w14:paraId="4234F14C" w14:textId="77777777" w:rsidR="00A8138F" w:rsidRDefault="00A8138F" w:rsidP="00A8138F">
      <w:pPr>
        <w:pStyle w:val="TextoNormal"/>
      </w:pPr>
    </w:p>
    <w:p w14:paraId="698FF0F1" w14:textId="77777777" w:rsidR="00A8138F" w:rsidRDefault="00A8138F" w:rsidP="00A8138F">
      <w:pPr>
        <w:pStyle w:val="TextoNormal"/>
      </w:pPr>
      <w:r>
        <w:t>c)</w:t>
      </w:r>
      <w:r w:rsidRPr="00A8138F">
        <w:rPr>
          <w:i/>
        </w:rPr>
        <w:t xml:space="preserve"> Enjuiciamient</w:t>
      </w:r>
      <w:r>
        <w:t>o</w:t>
      </w:r>
    </w:p>
    <w:p w14:paraId="7B6BE354" w14:textId="77777777" w:rsidR="00A8138F" w:rsidRDefault="00A8138F" w:rsidP="00A8138F">
      <w:pPr>
        <w:pStyle w:val="TextoNormal"/>
      </w:pPr>
    </w:p>
    <w:p w14:paraId="5295D58C" w14:textId="77777777" w:rsidR="00A8138F" w:rsidRDefault="00A8138F" w:rsidP="00A8138F">
      <w:pPr>
        <w:pStyle w:val="TextoNormal"/>
      </w:pPr>
      <w:r>
        <w:t>(i) Hemos de rechazar de partida la pretensión de inadmisión del presente motivo de impugnación deducida por la representación procesal del Gobierno de la Generalitat de Cataluña.</w:t>
      </w:r>
    </w:p>
    <w:p w14:paraId="5C590B00" w14:textId="77777777" w:rsidR="00A8138F" w:rsidRDefault="00A8138F" w:rsidP="00A8138F">
      <w:pPr>
        <w:pStyle w:val="TextoNormal"/>
      </w:pPr>
    </w:p>
    <w:p w14:paraId="6C4A203D" w14:textId="77777777" w:rsidR="00A8138F" w:rsidRDefault="00A8138F" w:rsidP="00A8138F">
      <w:pPr>
        <w:pStyle w:val="TextoNormal"/>
      </w:pPr>
      <w:r>
        <w:t>Ciertamente, es doctrina constitucional reiterada que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de modo que cabe hablar “de una carga del recurrente y en los casos en que aquella no se observe, de una falta de diligencia procesalmente exigible, que es la diligencia de ofrecer la fundamentación que razonablemente es de esperar” (así, desde la STC 11/1981, de 8 de abril, FJ 3, reiterada recientemente en la STC 139/2024, de 6 de noviembre, FJ 3). También hemos señalado que este tribunal no puede pronunciarse sobre preceptos respecto de los que “los recurrentes no han hecho, más allá de su mera invocación, ninguna alegación, ni han desarrollado un mínimo razonamiento que cuestione su constitucionalidad” [STC 25/2024, de 13 de febrero, FJ 2 c)].</w:t>
      </w:r>
    </w:p>
    <w:p w14:paraId="5B4E15BC" w14:textId="77777777" w:rsidR="00A8138F" w:rsidRDefault="00A8138F" w:rsidP="00A8138F">
      <w:pPr>
        <w:pStyle w:val="TextoNormal"/>
      </w:pPr>
    </w:p>
    <w:p w14:paraId="3D2AC723" w14:textId="77777777" w:rsidR="00A8138F" w:rsidRDefault="00A8138F" w:rsidP="00A8138F">
      <w:pPr>
        <w:pStyle w:val="TextoNormal"/>
      </w:pPr>
      <w:r>
        <w:t>Sin embargo, estas circunstancias no concurren en el presente supuesto. A la vista de las alegaciones realizadas en la demanda, de las que se ha dado cuenta en los antecedentes, este tribunal considera cumplida la debida carga alegatoria en los términos de la doctrina constitucional. Ello con independencia de que la argumentación del presente motivo de impugnación sea en determinados puntos poco clara, pues la demanda parece entremezclar reproches dirigidos, por una parte, al procedimiento de aprobación y, de otro lado, al contenido de los preceptos legales impugnados; cuestiones a las que nos referiremos a continuación de manera separada.</w:t>
      </w:r>
    </w:p>
    <w:p w14:paraId="34981254" w14:textId="77777777" w:rsidR="00A8138F" w:rsidRDefault="00A8138F" w:rsidP="00A8138F">
      <w:pPr>
        <w:pStyle w:val="TextoNormal"/>
      </w:pPr>
    </w:p>
    <w:p w14:paraId="74F01EA3" w14:textId="77777777" w:rsidR="00A8138F" w:rsidRDefault="00A8138F" w:rsidP="00A8138F">
      <w:pPr>
        <w:pStyle w:val="TextoNormal"/>
      </w:pPr>
      <w:r>
        <w:t>(ii) Entrando ya al fondo de la queja, esta debe ser desestimada en cuanto se dirige contra la falta de participación de los municipios en la determinación del contenido y del ámbito de aplicación del Decreto-ley del Gobierno de la Generalitat de Cataluña 3/2023, al que pertenecen los preceptos ahora impugnados. Y ello porque, como hemos señalado en la STC 57/2015, FJ 6, “[t]ratándose de normas con rango de ley, no puede invocarse el principio de autonomía local para condicionar los correspondientes procedimientos legislativos imponiendo en ellos la audiencia de los ayuntamientos que pudieran resultar afectados por los proyectos en tramitación. Dicho principio actúa como canon de constitucionalidad del contenido de las leyes, no del procedimiento de su elaboración”.</w:t>
      </w:r>
    </w:p>
    <w:p w14:paraId="7FBED3F6" w14:textId="77777777" w:rsidR="00A8138F" w:rsidRDefault="00A8138F" w:rsidP="00A8138F">
      <w:pPr>
        <w:pStyle w:val="TextoNormal"/>
      </w:pPr>
    </w:p>
    <w:p w14:paraId="3ED85980" w14:textId="77777777" w:rsidR="00A8138F" w:rsidRDefault="00A8138F" w:rsidP="00A8138F">
      <w:pPr>
        <w:pStyle w:val="TextoNormal"/>
      </w:pPr>
      <w:r>
        <w:t>(iii) Por lo que atañe a la denunciada restricción de la autonomía local que derivaría del contenido de los preceptos impugnados —esto es, de la imposición a los municipios afectados de la exigencia de licencia urbanística previa, limitada en número y en duración— he</w:t>
      </w:r>
      <w:r>
        <w:lastRenderedPageBreak/>
        <w:t>mos de partir de la constatación de que, efectivamente, estamos ante determinaciones legales autonómicas que afectan en sentido restrictivo a las competencias urbanísticas municipales, por cuanto reducen el margen de configuración local a la hora de diseñar el régimen aplicable al uso turístico de las viviendas dentro del respectivo término municipal. Ello nos conduce a examinar, de conformidad con la doctrina constitucional antes expuesta, si la regulación autonómica controvertida encuentra justificación en la protección de intereses supralocales y si en su aprobación se han ponderado los intereses municipales afectados asegurando a los ayuntamientos implicados un nivel de intervención tendencialmente correlativo a la intensidad de tales intereses.</w:t>
      </w:r>
    </w:p>
    <w:p w14:paraId="2E09F517" w14:textId="77777777" w:rsidR="00A8138F" w:rsidRDefault="00A8138F" w:rsidP="00A8138F">
      <w:pPr>
        <w:pStyle w:val="TextoNormal"/>
      </w:pPr>
    </w:p>
    <w:p w14:paraId="0C982F05" w14:textId="77777777" w:rsidR="00A8138F" w:rsidRDefault="00A8138F" w:rsidP="00A8138F">
      <w:pPr>
        <w:pStyle w:val="TextoNormal"/>
      </w:pPr>
      <w:r>
        <w:t>Tanto la vivienda como la ordenación del territorio y el urbanismo son materias de fuerte interés supramunicipal, hecho que determina que sean objeto de sendas competencias exclusivas autonómicas (arts. 148.1.3 CE y 137, 149.1 y 149.5 EAC), que habilitan a la Comunidad Autónoma de Cataluña, dentro del respeto a la legislación básica estatal, a definir y llevar a cabo sus propias políticas en estas materias, incluyendo en particular “[l]a determinación de medidas específicas de promoción del equilibrio territorial, demográfico, socioeconómico y ambiental” [art. 149.1 e) EAC], “[l]a regulación del régimen urbanístico del suelo, que incluye, en todo caso, la determinación de los criterios sobre los diversos tipos de suelo y sus usos” [art. 149.5 a) EAC] y “[l]a política de suelo y vivienda […] y el régimen de la intervención administrativa en la edificación, la urbanización y el uso del suelo y el subsuelo” [art. 149.5 d) EAC]. No cabe duda de que se trata de extremos que resultan afectados por la proliferación de viviendas de uso turístico combatida por los preceptos impugnados; en particular, y como pone de manifiesto la representación procesal del Gobierno de la Generalitat de Cataluña, porque dicho fenómeno afecta a la dimensión del mercado de la vivienda permanente y habitual y propicia el desplazamiento de la población a otros municipios, repercutiendo con ello negativamente en la política autonómica de vivienda y en el equilibrio territorial, demográfico, socioeconómico y ambiental de la comunidad autónoma. Hemos de recordar en este punto, de nuevo, que el propio legislador básico estatal ha encomendado a la legislación en materia de ordenación territorial y urbanística, cuyo dictado corresponde a las comunidades autónomas, velar para que “[e]l suelo vinculado a un uso residencial por la ordenación territorial y urbanística est[é] al servicio de la efectividad del derecho a disfrutar de una vivienda digna y adecuada” (art. 3.4 TRLSRU) y establecer “[e]n la regulación de los usos en entornos residenciales en el medio urbano […] instrumentos efectivos para asegurar el equilibrio, preservar la calidad de vida y el acceso a la vivienda, y asegurar el cumplimiento del principio de desarrollo territorial y urbano sostenible” (art. 15.3 de la Ley 12/2023, de 24 de mayo).</w:t>
      </w:r>
    </w:p>
    <w:p w14:paraId="3CD54193" w14:textId="77777777" w:rsidR="00A8138F" w:rsidRDefault="00A8138F" w:rsidP="00A8138F">
      <w:pPr>
        <w:pStyle w:val="TextoNormal"/>
      </w:pPr>
    </w:p>
    <w:p w14:paraId="16F517D0" w14:textId="77777777" w:rsidR="00A8138F" w:rsidRDefault="00A8138F" w:rsidP="00A8138F">
      <w:pPr>
        <w:pStyle w:val="TextoNormal"/>
      </w:pPr>
      <w:r>
        <w:t>Por otra parte, las previsiones impugnadas afectan limitadamente sobre las competencias urbanísticas municipales. Se proyectan sobre un aspecto muy concreto —el régimen de intervención aplicable al uso turístico de las viviendas—, sin incidir de manera transversal en la capacidad del municipio en punto a “la configuración del asentamiento urbano municipal” como “marco regulador del espacio físico de la convivencia de los vecinos” (STC 51/2004, FJ 12). Y esa incidencia no llega al punto de eliminar toda capacidad de intervención de los municipios en el régimen de las viviendas de uso turístico, sino que, por el contrario, se les asegura un importante nivel de participación en este ámbito, correlativo a la intensidad de sus intereses en la materia. En efecto, el Decreto-ley del Gobierno de la Generalitat de Cataluña 3/2023 atribuye a los municipios incluidos dentro de su ámbito de aplicación, en primer lugar, la decisión última sobre la compatibilidad del uso turístico con el uso de vi</w:t>
      </w:r>
      <w:r>
        <w:lastRenderedPageBreak/>
        <w:t>vienda —y, con ello, sobre la aplicabilidad del régimen de licencia urbanística controvertido—, decisión que se atribuye al planeamiento urbanístico municipal y respecto de la cual la nueva disposición adicional vigesimoséptima del texto refundido de la Ley de urbanismo de Cataluña, introducida por la disposición final segunda del Decreto-ley 3/2023, sienta criterios que limitan la discrecionalidad del planificador municipal únicamente cuando pretenda permitir la compatibilidad de usos, pero no en caso contrario. En segundo lugar, y como indica la memoria de elaboración del Decreto-ley 3/2023, corresponde a los municipios determinar, dentro del máximo legalmente establecido, el número de licencias urbanísticas a otorgar, que podrá ser inferior si el municipio concreto lo considera necesario. Y, en tercer lugar, corresponde a los ayuntamientos la regulación del régimen de otorgamiento, contenido y prórroga de las licencias —con sujeción a los criterios previstos en la ya citada disposición adicional vigesimoséptima del texto refundido de la Ley de urbanismo de Cataluña—, así como su ejecución.</w:t>
      </w:r>
    </w:p>
    <w:p w14:paraId="1FAA75FD" w14:textId="77777777" w:rsidR="00A8138F" w:rsidRDefault="00A8138F" w:rsidP="00A8138F">
      <w:pPr>
        <w:pStyle w:val="TextoNormal"/>
      </w:pPr>
    </w:p>
    <w:p w14:paraId="00D1D5B8" w14:textId="7F9372AD" w:rsidR="00A8138F" w:rsidRDefault="00A8138F" w:rsidP="00A8138F">
      <w:pPr>
        <w:pStyle w:val="TextoNormal"/>
      </w:pPr>
      <w:r>
        <w:t>Las consideraciones precedentes conducen a rechazar la alegada lesión de la garantía constitucional de la autonomía local (arts. 137 y 140 CE) y, consecuentemente, a desestimar el presente motivo de impugnación.</w:t>
      </w:r>
    </w:p>
    <w:p w14:paraId="5454F3C6" w14:textId="77777777" w:rsidR="00A8138F" w:rsidRDefault="00A8138F" w:rsidP="00A8138F">
      <w:pPr>
        <w:pStyle w:val="TextoNormal"/>
      </w:pPr>
    </w:p>
    <w:p w14:paraId="47F28F44" w14:textId="77777777" w:rsidR="00A8138F" w:rsidRDefault="00A8138F" w:rsidP="00A8138F">
      <w:pPr>
        <w:pStyle w:val="TextoNormal"/>
      </w:pPr>
      <w:r w:rsidRPr="00A8138F">
        <w:rPr>
          <w:rStyle w:val="NumeroAFNegritaCaracter"/>
        </w:rPr>
        <w:t>7</w:t>
      </w:r>
      <w:r>
        <w:t xml:space="preserve">. </w:t>
      </w:r>
      <w:r w:rsidRPr="00A8138F">
        <w:rPr>
          <w:i/>
        </w:rPr>
        <w:t>Impugnaciones relativas al ámbito de aplicación del Decreto-ley 3/2023</w:t>
      </w:r>
    </w:p>
    <w:p w14:paraId="1D6F4CC9" w14:textId="77777777" w:rsidR="00A8138F" w:rsidRDefault="00A8138F" w:rsidP="00A8138F">
      <w:pPr>
        <w:pStyle w:val="TextoNormal"/>
      </w:pPr>
    </w:p>
    <w:p w14:paraId="6F51D772" w14:textId="77777777" w:rsidR="00A8138F" w:rsidRDefault="00A8138F" w:rsidP="00A8138F">
      <w:pPr>
        <w:pStyle w:val="TextoNormal"/>
      </w:pPr>
      <w:r>
        <w:t>Mediante los motivos de impugnación tercero, sexto y séptimo, que procede analizar conjuntamente debido a su estrecha conexión, los recurrentes denuncian la inconstitucionalidad de varios preceptos del Decreto-ley 3/2023 atinentes a la relación de municipios en los que resulta aplicable el régimen de licencia urbanística controvertido, por considerar que la manera en la que la norma de urgencia diseña su propio ámbito de aplicación es contraria, respectivamente, al derecho a la tutela judicial efectiva (art. 24.1 CE), al principio de igualdad (art. 14 CE) y al principio de seguridad jurídica (art. 9.3 CE). Hemos de comenzar nuestro examen por la queja relativa a la supuesta vulneración del principio constitucional de igualdad, por ser una cuestión previa desde un punto de vista lógico, siguiendo, en lo demás, el orden de las quejas propuesto en la demanda.</w:t>
      </w:r>
    </w:p>
    <w:p w14:paraId="27FEF137" w14:textId="77777777" w:rsidR="00A8138F" w:rsidRDefault="00A8138F" w:rsidP="00A8138F">
      <w:pPr>
        <w:pStyle w:val="TextoNormal"/>
      </w:pPr>
    </w:p>
    <w:p w14:paraId="00B40556" w14:textId="77777777" w:rsidR="00A8138F" w:rsidRDefault="00A8138F" w:rsidP="00A8138F">
      <w:pPr>
        <w:pStyle w:val="TextoNormal"/>
      </w:pPr>
      <w:r>
        <w:t xml:space="preserve">a) </w:t>
      </w:r>
      <w:r w:rsidRPr="00A8138F">
        <w:rPr>
          <w:i/>
        </w:rPr>
        <w:t>Sobre la alegada vulneración del principio de igualdad (art. 14 CE)</w:t>
      </w:r>
    </w:p>
    <w:p w14:paraId="70678803" w14:textId="77777777" w:rsidR="00A8138F" w:rsidRDefault="00A8138F" w:rsidP="00A8138F">
      <w:pPr>
        <w:pStyle w:val="TextoNormal"/>
      </w:pPr>
    </w:p>
    <w:p w14:paraId="53CB063B" w14:textId="77777777" w:rsidR="00A8138F" w:rsidRDefault="00A8138F" w:rsidP="00A8138F">
      <w:pPr>
        <w:pStyle w:val="TextoNormal"/>
      </w:pPr>
      <w:r>
        <w:t>La demanda sostiene que el art. 2 y el anexo del Decreto-ley 3/2023 someten a los titulares de viviendas a un trato diferenciado a la hora de ejercer la actividad de arrendamiento para uso turístico en función del municipio donde tal actividad se ejerza, sin que ese trato diferenciado responda a una justificación objetiva y razonable, lo que produce, a su juicio, una vulneración del principio constitucional de igualdad. Según afirman, las justificaciones aportadas por el Decreto-ley 3/2023 acerca de la garantía del acceso a la vivienda y la protección del entorno urbano no son más que invocaciones formales y vacías, pues el decreto-ley no aplica ningún criterio para la elaboración de su propio anexo, a diferencia de lo que sucede con las sucesivas futuras normas reglamentarias previstas en el art. 3, que habrán de determinar la lista de municipios a los que se aplica el régimen de licencia previa aplicando los criterios contenidos en la disposición transitoria primera.</w:t>
      </w:r>
    </w:p>
    <w:p w14:paraId="53E8DD05" w14:textId="77777777" w:rsidR="00A8138F" w:rsidRDefault="00A8138F" w:rsidP="00A8138F">
      <w:pPr>
        <w:pStyle w:val="TextoNormal"/>
      </w:pPr>
    </w:p>
    <w:p w14:paraId="37100F42" w14:textId="77777777" w:rsidR="00A8138F" w:rsidRDefault="00A8138F" w:rsidP="00A8138F">
      <w:pPr>
        <w:pStyle w:val="TextoNormal"/>
      </w:pPr>
      <w:r>
        <w:t xml:space="preserve">Niegan la vulneración denunciada tanto el Parlamento de Cataluña como el Gobierno de la Generalitat de Cataluña, que sostienen, como con mayor detalle consta en los antecedentes, que el Decreto-ley 3/2023 utiliza unos criterios objetivos y razonables —contenidos en </w:t>
      </w:r>
      <w:r>
        <w:lastRenderedPageBreak/>
        <w:t>su disposición transitoria primera— para delimitar su propio ámbito de aplicación de manera adecuada y proporcionada al problema que pretende resolver, introduciendo así una diferenciación acorde con el principio de igualdad, pues los municipios incluidos y los excluidos del ámbito de aplicación de la norma no se encuentran en un supuesto de hecho comparable desde la perspectiva de la finalidad de la regulación.</w:t>
      </w:r>
    </w:p>
    <w:p w14:paraId="1A70907F" w14:textId="77777777" w:rsidR="00A8138F" w:rsidRDefault="00A8138F" w:rsidP="00A8138F">
      <w:pPr>
        <w:pStyle w:val="TextoNormal"/>
      </w:pPr>
    </w:p>
    <w:p w14:paraId="3CA3252A" w14:textId="77777777" w:rsidR="00A8138F" w:rsidRDefault="00A8138F" w:rsidP="00A8138F">
      <w:pPr>
        <w:pStyle w:val="TextoNormal"/>
      </w:pPr>
      <w:r>
        <w:t>De acuerdo con nuestra consolidada doctrina, lo que exige el derecho a la igualdad en la ley es que “los supuestos de hecho iguales sean tratados idénticamente en sus consecuencias jurídicas” (STC 59/2008, de 14 de mayo, FJ 5). El juicio de igualdad se proyecta sobre las diferencias de trato, su justificación y su proporcionalidad, lo que ha de medirse siempre en relación con una diferencia de trato entre supuestos iguales. Es por lo que “el presupuesto esencial para proceder a un enjuiciamiento desde la perspectiva del art. 14 CE es que las situaciones subjetivas que quieran traerse a la comparación sean, efectivamente, equiparables” (STC 148/1986, de 25 de noviembre, FJ 6), lo cual entraña la necesidad de que el término de comparación sea “idóneo”, sin que se puedan comparar “hechos distintos” (STC 186/2000, de 10 de julio, FJ 11). “Solo entonces [cuando las situaciones subjetivas que quieran compararse sean efectivamente homogéneas o comparables] puede decirse que la acción selectiva del autor de la norma resulta susceptible de control constitucional dirigido a fiscalizar si la introducción de ‘factores diferenciales’ […] resulta o no debidamente fundamentada” (STC 273/2005, de 27 de octubre, FJ 3). Juicio este que requiere verificar que la norma diferenciadora tiene una finalidad objetiva y razonable, así como que las consecuencias de esa diferenciación son proporcionadas (STC 127/2009, de 26 de mayo, FJ 4).</w:t>
      </w:r>
    </w:p>
    <w:p w14:paraId="7295A71F" w14:textId="77777777" w:rsidR="00A8138F" w:rsidRDefault="00A8138F" w:rsidP="00A8138F">
      <w:pPr>
        <w:pStyle w:val="TextoNormal"/>
      </w:pPr>
    </w:p>
    <w:p w14:paraId="7DC0EF74" w14:textId="77777777" w:rsidR="00A8138F" w:rsidRDefault="00A8138F" w:rsidP="00A8138F">
      <w:pPr>
        <w:pStyle w:val="TextoNormal"/>
      </w:pPr>
      <w:r>
        <w:t>La aplicación al caso de la referida doctrina conduce derechamente a la desestimación de este motivo de impugnación. A la luz de la finalidad perseguida por el Decreto-ley del Gobierno de la Generalitat de Cataluña 3/2023, resulta evidente que no existe homogeneidad de situaciones entre los municipios que presentan los problemas que se tratan de afrontar —en los términos definidos en su disposición transitoria primera— y los que no lo hacen, lo que basta para descartar exigencia constitucional alguna de que ambos tipos de situaciones reciban un trato normativo común. Más aún, la diferenciación trazada entre unos municipios y otros por el art. 2 y el anexo de la norma de urgencia a la hora de fijar su propio ámbito territorial de aplicación ha de merecer una valoración positiva desde el punto de vista del principio de proporcionalidad, en tanto que, como se ha indicado en los fundamentos jurídicos cuarto, quinto y sexto de esta sentencia, el régimen introducido por el Decreto-ley 3/2023 para el uso turístico de las viviendas incide en sentido restrictivo sobre el derecho de propiedad de la vivienda, la unidad de mercado y la autonomía local; restricciones cuya aplicación solo cabe considerar necesaria en los municipios donde se planteen los problemas para cuya superación se articula el régimen controvertido. Esta primera queja ha de ser, por todo ello, desestimada.</w:t>
      </w:r>
    </w:p>
    <w:p w14:paraId="77C629E2" w14:textId="77777777" w:rsidR="00A8138F" w:rsidRDefault="00A8138F" w:rsidP="00A8138F">
      <w:pPr>
        <w:pStyle w:val="TextoNormal"/>
      </w:pPr>
    </w:p>
    <w:p w14:paraId="5B537716" w14:textId="77777777" w:rsidR="00A8138F" w:rsidRDefault="00A8138F" w:rsidP="00A8138F">
      <w:pPr>
        <w:pStyle w:val="TextoNormal"/>
      </w:pPr>
      <w:r>
        <w:t xml:space="preserve">b) </w:t>
      </w:r>
      <w:r w:rsidRPr="00A8138F">
        <w:rPr>
          <w:i/>
        </w:rPr>
        <w:t>Sobre la alegada vulneración del derecho a la tutela judicial efectiva (art. 24.1 CE)</w:t>
      </w:r>
    </w:p>
    <w:p w14:paraId="7272B6F8" w14:textId="77777777" w:rsidR="00A8138F" w:rsidRDefault="00A8138F" w:rsidP="00A8138F">
      <w:pPr>
        <w:pStyle w:val="TextoNormal"/>
      </w:pPr>
    </w:p>
    <w:p w14:paraId="18369944" w14:textId="77777777" w:rsidR="00A8138F" w:rsidRDefault="00A8138F" w:rsidP="00A8138F">
      <w:pPr>
        <w:pStyle w:val="TextoNormal"/>
      </w:pPr>
      <w:r>
        <w:t xml:space="preserve">La demanda aduce que el art. 2 y el anexo del Decreto-ley 3/2023 convierten a este en una ley singular —encuadrable en la categoría de las leyes que atienden a un supuesto de hecho concreto y singular— que vulnera el derecho a la tutela judicial efectiva de los propietarios afectados y de los propios municipios, al considerar que se ven ilegítimamente privados de la posibilidad de acudir al control jurisdiccional ordinario para que enjuicie la decisión relativa al ámbito de aplicación del régimen de licencia urbanística establecido en </w:t>
      </w:r>
      <w:r>
        <w:lastRenderedPageBreak/>
        <w:t>la citada norma de urgencia, sin que la adopción de tal decisión mediante norma con rango de ley responda a una situación excepcionalmente compleja o trascendente que no pueda ser atendida por las potestades normales y regularmente atribuidas a la administración, como probaría el hecho de que el propio art. 3 del Decreto-ley 3/2023 prevea que su anexo será sustituido por el anexo contenido en una futura norma reglamentaria.</w:t>
      </w:r>
    </w:p>
    <w:p w14:paraId="54E99F06" w14:textId="77777777" w:rsidR="00A8138F" w:rsidRDefault="00A8138F" w:rsidP="00A8138F">
      <w:pPr>
        <w:pStyle w:val="TextoNormal"/>
      </w:pPr>
    </w:p>
    <w:p w14:paraId="280BABB2" w14:textId="77777777" w:rsidR="00A8138F" w:rsidRDefault="00A8138F" w:rsidP="00A8138F">
      <w:pPr>
        <w:pStyle w:val="TextoNormal"/>
      </w:pPr>
      <w:r>
        <w:t>Tanto el Gobierno de la Generalitat de Cataluña como el Parlamento de Cataluña se han opuesto a la impugnación aduciendo, en esencia, que (i) el Decreto-ley 3/2023 no presenta los rasgos de ninguno de los tipos de ley singular identificados por la doctrina constitucional, sino que, por el contrario, diseña un régimen jurídico aplicable con vocación de permanencia y en una multiplicidad de municipios, constituyendo su anexo no un acto ejecutivo sino simplemente una previsión que determina el ámbito territorial de aplicación de la norma; (ii) que esta previsión no afecta a la tutela judicial efectiva, porque los afectados por el régimen de licencia previa pueden instar el control jurisdiccional tanto de los planes urbanísticos como de los actos que resuelvan las solicitudes de licencia en desarrollo y ejecución del Decreto-ley 3/2023; y (iii) que la finalidad y el carácter restrictivo del régimen introducido por el Decreto-ley 3/2023 es lo que exige y justifica que se aplique solamente en los municipios de Cataluña donde se planteen los problemas que tratan de combatirse.</w:t>
      </w:r>
    </w:p>
    <w:p w14:paraId="78C8430B" w14:textId="77777777" w:rsidR="00A8138F" w:rsidRDefault="00A8138F" w:rsidP="00A8138F">
      <w:pPr>
        <w:pStyle w:val="TextoNormal"/>
      </w:pPr>
    </w:p>
    <w:p w14:paraId="6BCD742C" w14:textId="77777777" w:rsidR="00A8138F" w:rsidRDefault="00A8138F" w:rsidP="00A8138F">
      <w:pPr>
        <w:pStyle w:val="TextoNormal"/>
      </w:pPr>
      <w:r>
        <w:t>Para enjuiciar la controversia así planteada hemos de determinar si existe o no el presupuesto del que parten los recurrentes, esto es, si los preceptos recurridos dotan al decreto-ley de las características propia de alguno de los tipos de ley singular identificados en la doctrina constitucional, circunstancia que determinaría la aplicación del canon de constitucionalidad correspondiente.</w:t>
      </w:r>
    </w:p>
    <w:p w14:paraId="3580342C" w14:textId="77777777" w:rsidR="00A8138F" w:rsidRDefault="00A8138F" w:rsidP="00A8138F">
      <w:pPr>
        <w:pStyle w:val="TextoNormal"/>
      </w:pPr>
    </w:p>
    <w:p w14:paraId="0029FD7F" w14:textId="77777777" w:rsidR="00A8138F" w:rsidRDefault="00A8138F" w:rsidP="00A8138F">
      <w:pPr>
        <w:pStyle w:val="TextoNormal"/>
      </w:pPr>
      <w:r>
        <w:t>La STC 42/2018, de 26 de abril, FJ 6, recogiendo pronunciamientos anteriores, sintetiza la doctrina constitucional sobre la ley singular distinguiendo: (i) las leyes autoaplicativas, entendidas como aquellas que “no requieren de una posterior actividad administrativa de aplicación pues en sí mismas la contienen” (STC 129/2013, de 4 de junio, FJ 2), esto es, que “contienen una actividad, típicamente ejecutiva, de aplicación de la norma al caso concreto” (STC 203/2013, de 5 de diciembre, FJ 3); (ii) las leyes de destinatario único o de estructura singular en atención a los destinatarios a los que va dirigida (STC 203/2013, FJ 3); y (iii) las leyes dictadas en atención a un supuesto de hecho concreto, esto es, a una situación singular o excepcional, que agotan su contenido y eficacia en la adopción y ejecución de la medida tomada por el legislador ante ese supuesto de hecho, aislado en la ley singular y no comunicable con ningún otro (STC 166/1986, FJ 10).</w:t>
      </w:r>
    </w:p>
    <w:p w14:paraId="0C4B2DF3" w14:textId="77777777" w:rsidR="00A8138F" w:rsidRDefault="00A8138F" w:rsidP="00A8138F">
      <w:pPr>
        <w:pStyle w:val="TextoNormal"/>
      </w:pPr>
    </w:p>
    <w:p w14:paraId="1C0965ED" w14:textId="77777777" w:rsidR="00A8138F" w:rsidRDefault="00A8138F" w:rsidP="00A8138F">
      <w:pPr>
        <w:pStyle w:val="TextoNormal"/>
      </w:pPr>
      <w:r>
        <w:t>En el supuesto que ahora examinamos, el contenido del precepto y del anexo impugnados, puesto en conexión con el resto de las previsiones del Decreto-ley 3/2023, permite concluir que no nos encontramos ante ninguno de los referidos supuestos de ley singular, lo que conduce a desestimar el presente motivo de impugnación. El régimen del uso turístico de las viviendas introducido por la citada norma de urgencia tiene una inequívoca naturaleza general y abstracta, estando dirigido sin distinción a todas las viviendas situadas en los municipios que forman parte de su ámbito territorial de aplicación, y no encierra actuación alguna de ejecución de la norma al caso concreto, sino que requiere una ulterior acción administrativa de aplicación a través del planeamiento urbanístico municipal y de los actos administrativos relativos al otorgamiento y prórroga de licencias. Tales actuaciones administrativas son —huelga decirlo— susceptibles de control judicial ante la jurisdicción ordi</w:t>
      </w:r>
      <w:r>
        <w:lastRenderedPageBreak/>
        <w:t>naria, de manera que no se produce restricción alguna del derecho a la tutela judicial efectiva de los sujetos afectados por la norma; derecho que, descartado el carácter de ley singular de los preceptos impugnados, no puede oponerse frente a la actuación, inherente a la labor legislativa, consistente en la delimitación por parte de las leyes de su propio ámbito de aplicación.</w:t>
      </w:r>
    </w:p>
    <w:p w14:paraId="759C14B6" w14:textId="77777777" w:rsidR="00A8138F" w:rsidRDefault="00A8138F" w:rsidP="00A8138F">
      <w:pPr>
        <w:pStyle w:val="TextoNormal"/>
      </w:pPr>
    </w:p>
    <w:p w14:paraId="7A3F092E" w14:textId="77777777" w:rsidR="00A8138F" w:rsidRDefault="00A8138F" w:rsidP="00A8138F">
      <w:pPr>
        <w:pStyle w:val="TextoNormal"/>
      </w:pPr>
      <w:r>
        <w:t>Esta conclusión no varía por el hecho de que el propio acto legislativo haya previsto modificaciones periódicas de su ámbito de aplicación y haya deferido la determinación del mismo a ulteriores y sucesivas órdenes de la consejería competente por razón de la materia (art. 3). Este tipo de operación no es infrecuente en la legislación administrativa sectorial, ya que permite la adaptación ágil del ámbito de aplicación de las normas con rango de ley a las cambiantes circunstancias de la vida social y no plantea reparos desde el punto de vista constitucional siempre que, tratándose de regímenes relativos a materias sometidas a reserva de ley, la propia norma legal establezca criterios materiales suficientes para satisfacerla, limitando suficientemente el margen de apreciación de la administración; condición que, como de inmediato veremos, se cumple en el presente caso.</w:t>
      </w:r>
    </w:p>
    <w:p w14:paraId="1F793DCC" w14:textId="77777777" w:rsidR="00A8138F" w:rsidRDefault="00A8138F" w:rsidP="00A8138F">
      <w:pPr>
        <w:pStyle w:val="TextoNormal"/>
      </w:pPr>
    </w:p>
    <w:p w14:paraId="23614A80" w14:textId="77777777" w:rsidR="00A8138F" w:rsidRDefault="00A8138F" w:rsidP="00A8138F">
      <w:pPr>
        <w:pStyle w:val="TextoNormal"/>
      </w:pPr>
      <w:r>
        <w:t xml:space="preserve">c) </w:t>
      </w:r>
      <w:r w:rsidRPr="00A8138F">
        <w:rPr>
          <w:i/>
        </w:rPr>
        <w:t>Sobre la alegada vulneración del principio de seguridad jurídica (art. 9.3 CE)</w:t>
      </w:r>
    </w:p>
    <w:p w14:paraId="0417E9A4" w14:textId="77777777" w:rsidR="00A8138F" w:rsidRDefault="00A8138F" w:rsidP="00A8138F">
      <w:pPr>
        <w:pStyle w:val="TextoNormal"/>
      </w:pPr>
    </w:p>
    <w:p w14:paraId="0771A87D" w14:textId="77777777" w:rsidR="00A8138F" w:rsidRDefault="00A8138F" w:rsidP="00A8138F">
      <w:pPr>
        <w:pStyle w:val="TextoNormal"/>
      </w:pPr>
      <w:r>
        <w:t>Por último, los recurrentes denuncian la inconstitucionalidad del apartado 1 a) de la disposición transitoria primera del Decreto-ley del Gobierno de la Generalitat de Cataluña 3/2023. Este precepto establece que se consideran “municipios con problemas de acceso a la vivienda” aquellos “donde existan necesidades de vivienda acreditadas y que cumplan al menos uno de los siguientes requisitos: (a) que la carga media del coste del alquiler o de la hipoteca en el presupuesto personal o de la unidad de convivencia, más los gastos y suministros básicos, supere el 30 por 100 de los ingresos medios o de la renta media de los hogares”. A continuación, el apartado b), no impugnado, se refiere a los municipios en los “que en el período de los cinco años anteriores a la entrada en vigor de este decreto-ley, el precio de alquiler o compra de la vivienda haya experimentado un porcentaje de crecimiento acumulado al menos tres puntos porcentuales superior al porcentaje de crecimiento acumulado de índice de precios de consumo de Cataluña”. Estas previsiones se completan con lo establecido en el apartado 2 de la misma disposición transitoria primera —que tampoco ha sido impugnado—, en el que se establece qué municipios se consideran “en riesgo de romper el equilibrio del entorno urbano por una alta concentración de viviendas de uso turístico”.</w:t>
      </w:r>
    </w:p>
    <w:p w14:paraId="387ABC6A" w14:textId="77777777" w:rsidR="00A8138F" w:rsidRDefault="00A8138F" w:rsidP="00A8138F">
      <w:pPr>
        <w:pStyle w:val="TextoNormal"/>
      </w:pPr>
    </w:p>
    <w:p w14:paraId="45E9EA66" w14:textId="77777777" w:rsidR="00A8138F" w:rsidRDefault="00A8138F" w:rsidP="00A8138F">
      <w:pPr>
        <w:pStyle w:val="TextoNormal"/>
      </w:pPr>
      <w:r>
        <w:t>Según los recurrentes, los criterios establecidos en el apartado impugnado contrarían las exigencias del principio constitucional de seguridad jurídica porque están aquejados de un alto grado de imprecisión, ambigüedad y falta de tecnicismo. Teniendo en cuenta que estos criterios son cruciales para delimitar el futuro ámbito de aplicación de la regulación introducida por el Decreto-ley 3/2023, a tenor de sus arts. 2 y 3, la demanda denuncia que su tenor permite tantas interpretaciones que conduce a sus destinatarios a la más absoluta inseguridad y confusión, sin generar una expectativa razonable sobre la futura aplicación del decreto-ley ni permitir que la futura lista de municipios afectados se realice con criterio sólido y previsible.</w:t>
      </w:r>
    </w:p>
    <w:p w14:paraId="4E9BEE54" w14:textId="77777777" w:rsidR="00A8138F" w:rsidRDefault="00A8138F" w:rsidP="00A8138F">
      <w:pPr>
        <w:pStyle w:val="TextoNormal"/>
      </w:pPr>
    </w:p>
    <w:p w14:paraId="70E56F3F" w14:textId="77777777" w:rsidR="00A8138F" w:rsidRDefault="00A8138F" w:rsidP="00A8138F">
      <w:pPr>
        <w:pStyle w:val="TextoNormal"/>
      </w:pPr>
      <w:r>
        <w:t>Tanto el Parlamento de Cataluña como el Gobierno de la Generalitat de Cataluña se han opuesto a la impugnación argumentando, como se detalla en los antecedentes, que la redac</w:t>
      </w:r>
      <w:r>
        <w:lastRenderedPageBreak/>
        <w:t>ción de la norma se limita a utilizar una serie de conceptos jurídicos indeterminados que son susceptibles de concreción racional a la vista de su propio tenor, de la finalidad de la norma y de su contexto normativo, siendo especialmente relevante el hecho de que el Decreto-ley 3/2023 haya previsto la existencia de instrumentos de aplicación de estos criterios. Concluyen por ello que la formulación de la norma no es imprecisa, ambigua ni confusa, añadiendo que, por el contrario, contribuye a la seguridad jurídica por estar inspirada directamente en el art. 3 d) de la Ley 12/2023, de 24 de mayo, y por coincidir exactamente con los criterios establecidos en el art. 18.3 de dicha ley estatal para la declaración de zonas de mercado residencial tensionado; criterios que, además, han sido concretados, y su aplicación metodológicamente desglosada, en una memoria que se encuentra disponible en el sitio web de la Agencia de la Vivienda de Cataluña.</w:t>
      </w:r>
    </w:p>
    <w:p w14:paraId="1F9E71E6" w14:textId="77777777" w:rsidR="00A8138F" w:rsidRDefault="00A8138F" w:rsidP="00A8138F">
      <w:pPr>
        <w:pStyle w:val="TextoNormal"/>
      </w:pPr>
    </w:p>
    <w:p w14:paraId="752588C1" w14:textId="77777777" w:rsidR="00A8138F" w:rsidRDefault="00A8138F" w:rsidP="00A8138F">
      <w:pPr>
        <w:pStyle w:val="TextoNormal"/>
      </w:pPr>
      <w:r>
        <w:t>El principio de seguridad jurídica previsto en el art. 9.3 CE ha sido entendido por este tribunal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aplicación del Derecho” (STC 36/1991, de 14 de febrero, FJ 5). De manera que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[por todas, SSTC 150/1990, de 4 de octubre, FJ 8; 238/2007, de 21 de noviembre, FJ 5, y 25/2024, FJ 5 c)].</w:t>
      </w:r>
    </w:p>
    <w:p w14:paraId="5780F886" w14:textId="77777777" w:rsidR="00A8138F" w:rsidRDefault="00A8138F" w:rsidP="00A8138F">
      <w:pPr>
        <w:pStyle w:val="TextoNormal"/>
      </w:pPr>
    </w:p>
    <w:p w14:paraId="3C854691" w14:textId="77777777" w:rsidR="00A8138F" w:rsidRDefault="00A8138F" w:rsidP="00A8138F">
      <w:pPr>
        <w:pStyle w:val="TextoNormal"/>
      </w:pPr>
      <w:r>
        <w:t>A la luz de la doctrina expuesta, hemos de concluir que el contenido del apartado 1 a) de la disposición transitoria primera del Decreto-ley del Gobierno de la Generalitat de Cataluña 3/2023 es compatible con la seguridad jurídica, pues, aunque utiliza conceptos que contienen un margen de apreciación, los mismos son susceptibles de ser definidos de forma acorde “con el sentido idiomático general” (STC 53/1985, de 11 de abril, FJ 10), lo que elimina el riesgo de una absoluta indeterminación en cuanto a su interpretación o a que se generen en los destinatarios dudas insuperables acerca de la conducta exigible. En efecto, la definición exige la concurrencia de diversas circunstancias susceptibles de apreciación técnica y su posible ambigüedad puede solventarse mediante los métodos habituales de interpretación de la ley. Al respecto es de especial relevancia el hecho de que el propio Decreto-ley 3/2023 haya previsto que la concurrencia de los criterios previstos en el apartado impugnado deba ser constatada mediante actos de aplicación de la norma —las órdenes futuras de la persona titular del departamento competente en materia de urbanismo que han de concretar, cada cinco años, los municipios que tienen problemas de acceso a la vivienda (o que están en riesgo de romper el equilibrio del entorno urbano por una alta concentración de viviendas de uso turístico)—, que además habrán de adoptarse previa audiencia a los municipios afectados (art. 3 del Decreto-ley 3/2023) y que son, debido a su rango, susceptibles de control jurisdiccional ordinario (art. 1 de la Ley 29/1998, de 13 de julio, reguladora de la jurisdicción contencioso-administrativa). Se trata de cautelas procedimentales que, como hemos indicado en otros supuestos, permiten compensar los márgenes de indefinición que pudiera presentar la norma en su aplicación a supuestos concretos [STC 19/2023, de 22 de marzo, FJ 6 D) c)].</w:t>
      </w:r>
    </w:p>
    <w:p w14:paraId="3C7E8DAD" w14:textId="77777777" w:rsidR="00A8138F" w:rsidRDefault="00A8138F" w:rsidP="00A8138F">
      <w:pPr>
        <w:pStyle w:val="TextoNormal"/>
      </w:pPr>
    </w:p>
    <w:p w14:paraId="07C46D17" w14:textId="5A5BD181" w:rsidR="00A8138F" w:rsidRDefault="00A8138F" w:rsidP="00A8138F">
      <w:pPr>
        <w:pStyle w:val="TextoNormal"/>
      </w:pPr>
      <w:r>
        <w:lastRenderedPageBreak/>
        <w:t>Estas razones conducen a la desestimación de esta última queja y, con ello, del recurso en su integridad.</w:t>
      </w:r>
    </w:p>
    <w:p w14:paraId="696C3EE7" w14:textId="77777777" w:rsidR="00A8138F" w:rsidRDefault="00A8138F" w:rsidP="00A8138F">
      <w:pPr>
        <w:pStyle w:val="TextoNormal"/>
      </w:pPr>
    </w:p>
    <w:p w14:paraId="747B6CD0" w14:textId="77777777" w:rsidR="00A8138F" w:rsidRDefault="00A8138F" w:rsidP="00A8138F">
      <w:pPr>
        <w:pStyle w:val="TextoNormalCentrado"/>
        <w:keepNext/>
      </w:pPr>
      <w:r>
        <w:t>FALLO</w:t>
      </w:r>
    </w:p>
    <w:p w14:paraId="7B4D30B2" w14:textId="5B52044A" w:rsidR="00A8138F" w:rsidRDefault="00A8138F" w:rsidP="00A8138F">
      <w:pPr>
        <w:pStyle w:val="TextoNormalCentrado"/>
        <w:keepNext/>
      </w:pPr>
    </w:p>
    <w:p w14:paraId="529FA85D" w14:textId="520AEA93" w:rsidR="00A8138F" w:rsidRDefault="00A8138F" w:rsidP="00A8138F">
      <w:pPr>
        <w:pStyle w:val="TextoNormal"/>
      </w:pPr>
      <w:r>
        <w:t>En atención a todo lo expuesto, el Tribunal Constitucional, por la autoridad que le confiere la Constitución de la Nación española, ha decidido desestimar el presente recurso de inconstitucionalidad.</w:t>
      </w:r>
    </w:p>
    <w:p w14:paraId="350E0117" w14:textId="77777777" w:rsidR="00A8138F" w:rsidRDefault="00A8138F" w:rsidP="00A8138F">
      <w:pPr>
        <w:pStyle w:val="TextoNormal"/>
      </w:pPr>
    </w:p>
    <w:p w14:paraId="7B51744D" w14:textId="77777777" w:rsidR="00A8138F" w:rsidRDefault="00A8138F" w:rsidP="00A8138F">
      <w:pPr>
        <w:pStyle w:val="TextoNormal"/>
      </w:pPr>
      <w:r>
        <w:t>Publíquese esta sentencia en el “Boletín Oficial del Estado”.</w:t>
      </w:r>
    </w:p>
    <w:p w14:paraId="192E84CE" w14:textId="77777777" w:rsidR="00A8138F" w:rsidRDefault="00A8138F" w:rsidP="00A8138F">
      <w:pPr>
        <w:pStyle w:val="TextoNormal"/>
      </w:pPr>
      <w:r>
        <w:t>Dada en Madrid, a trece de marzo de dos mil veinticinco.</w:t>
      </w:r>
    </w:p>
    <w:p w14:paraId="18B8F833" w14:textId="7EE7AEEC" w:rsidR="00A8138F" w:rsidRDefault="00A8138F" w:rsidP="00A8138F">
      <w:pPr>
        <w:pStyle w:val="ParrafoNormal"/>
      </w:pPr>
    </w:p>
    <w:p w14:paraId="3F491E64" w14:textId="77777777" w:rsidR="00A8138F" w:rsidRDefault="00A8138F" w:rsidP="00A8138F">
      <w:pPr>
        <w:pStyle w:val="TextoNormalNegritaCentrado"/>
        <w:keepNext/>
      </w:pPr>
      <w:r>
        <w:t>Voto particular que formulan los magistrados don Enrique Arnaldo Alcubilla y doña Concepción Espejel Jorquera a la sentencia dictada en el recurso de inconstitucionalidad número 798-2024</w:t>
      </w:r>
    </w:p>
    <w:p w14:paraId="2B43054D" w14:textId="452F3676" w:rsidR="00A8138F" w:rsidRDefault="00A8138F" w:rsidP="00A8138F">
      <w:pPr>
        <w:pStyle w:val="TextoNormalNegritaCentrado"/>
        <w:keepNext/>
      </w:pPr>
    </w:p>
    <w:p w14:paraId="2AA5871A" w14:textId="77777777" w:rsidR="00A8138F" w:rsidRDefault="00A8138F" w:rsidP="00A8138F">
      <w:pPr>
        <w:pStyle w:val="TextoNormal"/>
      </w:pPr>
      <w:r>
        <w:t>En el ejercicio de la facultad que nos confiere el artículo 90.2 LOTC, y con respeto a la opinión de nuestros compañeros, formulamos el presente voto particular para expresar nuestra discrepancia, con la fundamentación y fallo de la sentencia recaída en el presente recurso de inconstitucionalidad que desestima en su totalidad el recurso de inconstitucionalidad promovido por más de cincuenta diputados del Grupo Parlamentario Popular en el Congreso de los Diputados contra los arts. 1, 2 y 3, la disposición transitoria primera, apartado 1 a), la disposición transitoria segunda, la disposición final primera y el anexo del Decreto-ley del Gobierno de la Generalitat de Cataluña 3/2023, de 7 de noviembre, de medidas urgentes sobre el régimen urbanístico de las viviendas de uso turístico.</w:t>
      </w:r>
    </w:p>
    <w:p w14:paraId="562C0410" w14:textId="77777777" w:rsidR="00A8138F" w:rsidRDefault="00A8138F" w:rsidP="00A8138F">
      <w:pPr>
        <w:pStyle w:val="TextoNormal"/>
      </w:pPr>
    </w:p>
    <w:p w14:paraId="5837F95D" w14:textId="77777777" w:rsidR="00A8138F" w:rsidRDefault="00A8138F" w:rsidP="00A8138F">
      <w:pPr>
        <w:pStyle w:val="TextoNormal"/>
      </w:pPr>
      <w:r>
        <w:t xml:space="preserve">Nuestra principal discrepancia con la sentencia —como expusimos durante la deliberación— radica en que, frente a lo allí afirmado, estimamos que no era posible apreciar la concurrencia del presupuesto habilitante de la norma de urgencia, tal como exigen el art. 86.1 CE y el art. 64 EAC, lo que hubiera debido llevar a la estimación del recurso por este motivo, el primero de los alegados por los diputados recurrentes. Junto a ello, también discrepamos del modo en el que se aborda la concreta queja que, en relación con la vulneración del art. 33 CE, se formula a la disposición transitoria segunda del Decreto-ley 3/2023, así como del innecesario </w:t>
      </w:r>
      <w:r w:rsidRPr="00A8138F">
        <w:rPr>
          <w:i/>
        </w:rPr>
        <w:t>overruling</w:t>
      </w:r>
      <w:r>
        <w:t xml:space="preserve"> de la doctrina constitucional en torno a la autonomía local.</w:t>
      </w:r>
    </w:p>
    <w:p w14:paraId="4C354985" w14:textId="77777777" w:rsidR="00A8138F" w:rsidRDefault="00A8138F" w:rsidP="00A8138F">
      <w:pPr>
        <w:pStyle w:val="TextoNormal"/>
      </w:pPr>
    </w:p>
    <w:p w14:paraId="15C27AB9" w14:textId="77777777" w:rsidR="00A8138F" w:rsidRDefault="00A8138F" w:rsidP="00A8138F">
      <w:pPr>
        <w:pStyle w:val="TextoNormal"/>
      </w:pPr>
      <w:r>
        <w:t xml:space="preserve">1. </w:t>
      </w:r>
      <w:r w:rsidRPr="00A8138F">
        <w:rPr>
          <w:i/>
        </w:rPr>
        <w:t>El Decreto-ley 3/2023 no cumple con la exigencia constitucional y estatutaria de responder a una situación de extraordinaria y urgente necesidad y, en consecuencia, carece de presupuesto habilitante</w:t>
      </w:r>
    </w:p>
    <w:p w14:paraId="2A45BE5E" w14:textId="77777777" w:rsidR="00A8138F" w:rsidRDefault="00A8138F" w:rsidP="00A8138F">
      <w:pPr>
        <w:pStyle w:val="TextoNormal"/>
      </w:pPr>
    </w:p>
    <w:p w14:paraId="146E6DE4" w14:textId="77777777" w:rsidR="00A8138F" w:rsidRDefault="00A8138F" w:rsidP="00A8138F">
      <w:pPr>
        <w:pStyle w:val="TextoNormal"/>
      </w:pPr>
      <w:r>
        <w:t>La sentencia, tras exponer la doctrina constitucional aplicable, asume que el recurso a la legislación de urgencia se basa en la concurrencia de una extraordinaria y urgente necesidad que “ha sido justificada en la necesidad de atajar sin demora el crecimiento exponencial del número de viviendas destinadas al uso turístico en Cataluña durante los últimos años —y, en particular, durante los meses previos a la aprobación de la norma de urgencia—, circunstancia que, en conjunción con la elevada tasa de crecimiento de la población y del turismo en dicha comunidad autónoma, se traduce en graves externalidades negativas —no discuti</w:t>
      </w:r>
      <w:r>
        <w:lastRenderedPageBreak/>
        <w:t>das por las partes— en el entorno urbano, concretamente en los ámbitos del acceso a la vivienda y del desarrollo urbano sostenible” [FJ 3 c)].</w:t>
      </w:r>
    </w:p>
    <w:p w14:paraId="536266F7" w14:textId="77777777" w:rsidR="00A8138F" w:rsidRDefault="00A8138F" w:rsidP="00A8138F">
      <w:pPr>
        <w:pStyle w:val="TextoNormal"/>
      </w:pPr>
    </w:p>
    <w:p w14:paraId="03EBC737" w14:textId="77777777" w:rsidR="00A8138F" w:rsidRDefault="00A8138F" w:rsidP="00A8138F">
      <w:pPr>
        <w:pStyle w:val="TextoNormal"/>
      </w:pPr>
      <w:r>
        <w:t>En nuestra opinión, con esas afirmaciones, puestas en relación con la evolución de la normativa catalana sobre esta cuestión y que la propia sentencia ha descrito antes en el fundamento jurídico 2 b), no puede concluirse que se haya justificado que la modificación obedezca a una “extraordinaria y urgente necesidad”. Que la regulación de las viviendas de uso turístico es una cuestión que el legislador catalán considera digna de atención está fuera de toda duda, al menos desde el año 2007, y también que la ha abordado utilizando diversos mecanismos de intervención administrativa en dicho mercado y en las facultades de aquellos que se dedican a esta actividad (sucesivamente: autorización en forma de licencia, comunicación previa de inicio de actividad, declaración responsable, comunicación previa y, nuevamente, licencia administrativa). Lo que ahora se planteaba es si el enésimo cambio en la regulación, con la finalidad declarada de restringir el acceso a la actividad, reúne la nota de urgencia extraordinaria que es, en todo caso, necesaria para prescindir de la intervención del Parlamento de Cataluña, reduciendo su intervención a la convalidación del decreto-ley tal como fue aprobado por el Ejecutivo autonómico. No es cuestión menor, porque el camino trazado en la sentencia se traduce en que basta un juicio de conveniencia y necesidad para entender que concurre la urgencia, lo que comporta que es el Gobierno quien tiene el dominio para optar por el decreto-ley, y por tanto para evitar el más complejo procedimiento legislativo.</w:t>
      </w:r>
    </w:p>
    <w:p w14:paraId="2CCC4334" w14:textId="77777777" w:rsidR="00A8138F" w:rsidRDefault="00A8138F" w:rsidP="00A8138F">
      <w:pPr>
        <w:pStyle w:val="TextoNormal"/>
      </w:pPr>
    </w:p>
    <w:p w14:paraId="2C9216B5" w14:textId="77777777" w:rsidR="00A8138F" w:rsidRDefault="00A8138F" w:rsidP="00A8138F">
      <w:pPr>
        <w:pStyle w:val="TextoNormal"/>
      </w:pPr>
      <w:r>
        <w:t>Consideramos que los argumentos que la sentencia recoge exponen con claridad las razones por las que el autor de la norma, el Gobierno catalán, entiende que la reforma es conveniente e, incluso, necesaria, pero no alcanzan a justificar la urgencia de su adopción.</w:t>
      </w:r>
    </w:p>
    <w:p w14:paraId="267A02F8" w14:textId="77777777" w:rsidR="00A8138F" w:rsidRDefault="00A8138F" w:rsidP="00A8138F">
      <w:pPr>
        <w:pStyle w:val="TextoNormal"/>
      </w:pPr>
    </w:p>
    <w:p w14:paraId="0FA43343" w14:textId="77777777" w:rsidR="00A8138F" w:rsidRDefault="00A8138F" w:rsidP="00A8138F">
      <w:pPr>
        <w:pStyle w:val="TextoNormal"/>
      </w:pPr>
      <w:r>
        <w:t>Sobre todo, teniendo en cuenta dos elementos que la sentencia no valora adecuadamente:</w:t>
      </w:r>
    </w:p>
    <w:p w14:paraId="62042C9A" w14:textId="77777777" w:rsidR="00A8138F" w:rsidRDefault="00A8138F" w:rsidP="00A8138F">
      <w:pPr>
        <w:pStyle w:val="TextoNormal"/>
      </w:pPr>
    </w:p>
    <w:p w14:paraId="0161BC05" w14:textId="77777777" w:rsidR="00A8138F" w:rsidRDefault="00A8138F" w:rsidP="00A8138F">
      <w:pPr>
        <w:pStyle w:val="TextoNormal"/>
      </w:pPr>
      <w:r>
        <w:t>El primer elemento ya se ha mencionado y hace referencia a los sucesivos cambios en el modelo de regulación de este tipo de uso de las viviendas, lo que pone de manifiesto que para el legislador catalán es un problema estructural que ha afrontado de muy diversos modos, todos ellos descritos por la sentencia. Este es un nuevo intento, esta vez llevado a cabo por el Ejecutivo, para regular la misma materia de otro modo. Por eso, desde ese punto de vista, lo que se alega como fundamento de la extraordinaria y urgente necesidad es, en realidad, justificativo del cambio a una regulación más restrictiva, pero la exposición de las razones de cambio de modelo o marco regulatorio no es lo mismo que justificar la extraordinaria y urgente necesidad en la adopción de esa nueva regulación. Lo que ha quedado claro es que al Gobierno catalán le parece conveniente y necesario regular de otro modo las viviendas turísticas en Cataluña, lo que, como legítima opción política, es ajeno al enjuiciamiento que ahora se le demanda al Tribunal.</w:t>
      </w:r>
    </w:p>
    <w:p w14:paraId="6D64EB23" w14:textId="77777777" w:rsidR="00A8138F" w:rsidRDefault="00A8138F" w:rsidP="00A8138F">
      <w:pPr>
        <w:pStyle w:val="TextoNormal"/>
      </w:pPr>
    </w:p>
    <w:p w14:paraId="1F94A92E" w14:textId="77777777" w:rsidR="00A8138F" w:rsidRDefault="00A8138F" w:rsidP="00A8138F">
      <w:pPr>
        <w:pStyle w:val="TextoNormal"/>
      </w:pPr>
      <w:r>
        <w:t xml:space="preserve">Pero, en tanto que no es ajeno a dicho enjuiciamiento, lo que debe justificarse y no se hace es el recurso a la norma de urgencia, ya que las dos razones que se aportan (que en realidad es una y su consecuencia), como son el crecimiento de las viviendas de uso turístico y la necesidad de regularlas, y, por ello, las afecciones al entorno urbano no son, ninguna de las dos, nuevas. Ya hemos comprobado que han merecido la atención del legislador catalán al menos desde el año 2007. Tampoco ha quedado acreditado que las circunstancias hayan variado ahora en grado tal que justifiquen orillar el papel del Parlamento como sede </w:t>
      </w:r>
      <w:r>
        <w:lastRenderedPageBreak/>
        <w:t>natural para debatir y aprobar este tipo de regulaciones. Máxime cuando, conforme a la doctrina constitucional que la propia sentencia cita, uno de los elementos a tener en cuenta es el carácter unicameral del Parlamento autonómico lo que implica un menor tiempo de tramitación de un eventual proyecto o proposición de ley sobre esta materia. El recurso a la legislación de urgencia está previsto en nuestra Constitución como una excepción a la regla de que la ley es obra del Parlamento. Generalizar el recurso al decreto-ley, con meros argumentos de oportunidad y conveniencia, da lugar a la exclusión del Parlamento del procedimiento legislativo por cuanto queda convertido en mera comparsa autorizante de la obra del Gobierno.</w:t>
      </w:r>
    </w:p>
    <w:p w14:paraId="0092C5D5" w14:textId="77777777" w:rsidR="00A8138F" w:rsidRDefault="00A8138F" w:rsidP="00A8138F">
      <w:pPr>
        <w:pStyle w:val="TextoNormal"/>
      </w:pPr>
    </w:p>
    <w:p w14:paraId="2E1DFFA7" w14:textId="77777777" w:rsidR="00A8138F" w:rsidRDefault="00A8138F" w:rsidP="00A8138F">
      <w:pPr>
        <w:pStyle w:val="TextoNormal"/>
      </w:pPr>
      <w:r>
        <w:t>En efecto, la relación entre el uso turístico de una vivienda y los problemas de acceso a la vivienda habitual no es nueva ni desconocida para los poderes públicos catalanes, pero lo que se debe justificar suficientemente, y no se hace, es que esa situación se haya ahora agravado hasta el extremo de permitir dictar al Ejecutivo una norma de urgencia, desplazando al Parlamento que es la sede natural de la producción de las normas con rango de ley. Y es igualmente conocida la afectación al entorno urbano, ya que es la propia existencia de la figura de la vivienda de uso turístico la que la provoca y, esa figura, reiteramos, está ya regulada en el ordenamiento catalán desde 2007. Por eso, que el Gobierno catalán pretenda “promover la ordenación urbanística necesaria para conciliar el destino de determinadas viviendas a uso turístico con la capacidad de priorizar las necesidades habitacionales y sociales de una población” es encomiable, pero no sirve para justificar el recurso a la norma de urgencia.</w:t>
      </w:r>
    </w:p>
    <w:p w14:paraId="32466BA9" w14:textId="77777777" w:rsidR="00A8138F" w:rsidRDefault="00A8138F" w:rsidP="00A8138F">
      <w:pPr>
        <w:pStyle w:val="TextoNormal"/>
      </w:pPr>
    </w:p>
    <w:p w14:paraId="4DCE7DF8" w14:textId="77777777" w:rsidR="00A8138F" w:rsidRDefault="00A8138F" w:rsidP="00A8138F">
      <w:pPr>
        <w:pStyle w:val="TextoNormal"/>
      </w:pPr>
      <w:r>
        <w:t>En suma, lo que se deduce de la sentencia es que al Gobierno catalán le parece necesario modificar la regulación, cuestión en la que este tribunal no tiene nada que decir, pero sucede que las razones que alega para justificar la urgencia que le habilitaría para hacerlo él mismo hacen referencia a la conveniencia u oportunidad de la modificación, pero no a su urgencia en los términos del art. 86.1 CE en relación con el art. 64 EAC, que es lo que ha de quedar acreditado y a este tribunal corresponde verificar.</w:t>
      </w:r>
    </w:p>
    <w:p w14:paraId="36AC8DAF" w14:textId="77777777" w:rsidR="00A8138F" w:rsidRDefault="00A8138F" w:rsidP="00A8138F">
      <w:pPr>
        <w:pStyle w:val="TextoNormal"/>
      </w:pPr>
    </w:p>
    <w:p w14:paraId="292FE889" w14:textId="77777777" w:rsidR="00A8138F" w:rsidRDefault="00A8138F" w:rsidP="00A8138F">
      <w:pPr>
        <w:pStyle w:val="TextoNormal"/>
      </w:pPr>
      <w:r>
        <w:t xml:space="preserve">La situación resulta ser así similar a los casos de las SSTC 110/2021 y 111/2021, de 13 de mayo, y 113/2024, de 10 de septiembre, en los que este tribunal consideró que las medidas adoptadas podían ser indispensables o necesarias, pero no urgentes. Tal como señala la STC 113/2024, FJ 4: «No corresponde a este tribunal enjuiciar la necesidad o conveniencia de dichas modificaciones, sino el hecho de que se haya llevado a cabo mediante el uso del decreto-ley, porque, como dijimos en la STC 111/2021, de 13 de mayo, FJ 7 “[e]l mero deseo o interés del Gobierno en la inmediata entrada en vigor de la reforma no constituye una justificación de su extraordinaria y urgente necesidad (STC 68/2007, [de 28 de marzo,] FJ 9), lo mismo que la opción por el empleo de una concreta técnica o formulación normativa, existiendo otras que no obstaculizan el cumplimiento de los objetivos de la medida, no permite sacrificar la posición institucional del Poder Legislativo. Tal sacrificio el art. 86.1 CE lo condiciona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 (STC 125/2016, de 7 de julio, FJ 4). Y en el presente supuesto, conforme a todo lo expuesto, cabe concluir que no se ha justificado que estemos ante casos objetivos de urgente y extraordinaria necesidad, esto es, </w:t>
      </w:r>
      <w:r>
        <w:lastRenderedPageBreak/>
        <w:t>ante coyunturas en las que se haga presente la exigencia de una intervención normativa inmediata, solo atendible mediante esa disposición legislativa provisional”».</w:t>
      </w:r>
    </w:p>
    <w:p w14:paraId="3453BC97" w14:textId="77777777" w:rsidR="00A8138F" w:rsidRDefault="00A8138F" w:rsidP="00A8138F">
      <w:pPr>
        <w:pStyle w:val="TextoNormal"/>
      </w:pPr>
    </w:p>
    <w:p w14:paraId="299E2BFF" w14:textId="77777777" w:rsidR="00A8138F" w:rsidRDefault="00A8138F" w:rsidP="00A8138F">
      <w:pPr>
        <w:pStyle w:val="TextoNormal"/>
      </w:pPr>
      <w:r>
        <w:t>Esto es, como también señaló la STC 61/2018, de 7 de junio, FJ 9, se confunde lo necesario con lo urgente. Tampoco en momento alguno se ha justificado, ni a ellos se ha aludido siquiera, cuáles podrían ser los perjuicios u obstáculos que para la consecución de los objetivos perseguidos se seguirían de la tramitación de la modificación normativa que lleva a cabo el precepto recurrido por el procedimiento legislativo parlamentario (STC 137/2011, de 14 de septiembre, FJ 7). La inmediata entrada en vigor de la regulación contenida en un decreto-ley no puede considerarse una situación caracterizada de la excepcionalidad, gravedad, relevancia e imprevisibilidad que determine la necesidad de una acción normativa inmediata en un plazo más breve que el derivado de la tramitación parlamentaria, máxime en el caso de un procedimiento legislativo que se desarrolla en una sola Cámara.</w:t>
      </w:r>
    </w:p>
    <w:p w14:paraId="194569A2" w14:textId="77777777" w:rsidR="00A8138F" w:rsidRDefault="00A8138F" w:rsidP="00A8138F">
      <w:pPr>
        <w:pStyle w:val="TextoNormal"/>
      </w:pPr>
    </w:p>
    <w:p w14:paraId="51EECF2D" w14:textId="77777777" w:rsidR="00A8138F" w:rsidRDefault="00A8138F" w:rsidP="00A8138F">
      <w:pPr>
        <w:pStyle w:val="TextoNormal"/>
      </w:pPr>
      <w:r>
        <w:t>En suma, se explica el contenido de las medidas y, todo lo más, las razones que llevan al Gobierno catalán a adoptarlas, pero, a nuestro juicio, no hay elemento alguno que permita a este tribunal inferir la urgencia en su adopción. Lo que ahora importa no son las medidas adoptadas, sino que la concurrencia de una situación de extraordinaria y urgente necesidad, habilitante de la legislación de urgencia, haya sido efectivamente acreditada. Y eso no ha ocurrido. No se ha cumplido, por tanto, el requisito constitucional y estatutario de la justificación de la extraordinaria y urgente necesidad que exige, como presupuesto habilitante, el art. 86.1 CE y el art. 64 EAC.</w:t>
      </w:r>
    </w:p>
    <w:p w14:paraId="6DAE46C3" w14:textId="77777777" w:rsidR="00A8138F" w:rsidRDefault="00A8138F" w:rsidP="00A8138F">
      <w:pPr>
        <w:pStyle w:val="TextoNormal"/>
      </w:pPr>
    </w:p>
    <w:p w14:paraId="390D1779" w14:textId="77777777" w:rsidR="00A8138F" w:rsidRDefault="00A8138F" w:rsidP="00A8138F">
      <w:pPr>
        <w:pStyle w:val="TextoNormal"/>
      </w:pPr>
      <w:r>
        <w:t>Por tanto, como se acaba de exponer, consideramos que el recurso de inconstitucionalidad debió de ser estimado por este motivo, lo que eximía de pronunciarse sobre los restantes motivos de inconstitucionalidad que se alegaban en el recurso.</w:t>
      </w:r>
    </w:p>
    <w:p w14:paraId="2C2D2A94" w14:textId="77777777" w:rsidR="00A8138F" w:rsidRDefault="00A8138F" w:rsidP="00A8138F">
      <w:pPr>
        <w:pStyle w:val="TextoNormal"/>
      </w:pPr>
    </w:p>
    <w:p w14:paraId="034EFFCD" w14:textId="77777777" w:rsidR="00A8138F" w:rsidRDefault="00A8138F" w:rsidP="00A8138F">
      <w:pPr>
        <w:pStyle w:val="TextoNormal"/>
      </w:pPr>
      <w:r>
        <w:t xml:space="preserve">2. </w:t>
      </w:r>
      <w:r w:rsidRPr="00A8138F">
        <w:rPr>
          <w:i/>
        </w:rPr>
        <w:t>El examen de la queja que se formula a la disposición transitoria segunda del Decreto-ley 3/2023 por la vulneración del art. 33 CE no es el adecuado</w:t>
      </w:r>
    </w:p>
    <w:p w14:paraId="176A5A3B" w14:textId="77777777" w:rsidR="00A8138F" w:rsidRDefault="00A8138F" w:rsidP="00A8138F">
      <w:pPr>
        <w:pStyle w:val="TextoNormal"/>
      </w:pPr>
    </w:p>
    <w:p w14:paraId="0F37877C" w14:textId="77777777" w:rsidR="00A8138F" w:rsidRDefault="00A8138F" w:rsidP="00A8138F">
      <w:pPr>
        <w:pStyle w:val="TextoNormal"/>
      </w:pPr>
      <w:r>
        <w:t>La demanda reprocha a la disposición transitoria segunda del Decreto-ley 3/2023 la infracción de las garantías constitucionales de la expropiación forzosa (art. 33.3 CE). Para los demandantes, el precepto priva a los titulares de viviendas de uso turístico debidamente habilitadas a la entrada en vigor del decreto-ley de los títulos habilitantes adquiridos con anterioridad a ese momento, que serían activos integrados en su patrimonio y cuya extinción tendría carácter expropiatorio.</w:t>
      </w:r>
    </w:p>
    <w:p w14:paraId="47016FDD" w14:textId="77777777" w:rsidR="00A8138F" w:rsidRDefault="00A8138F" w:rsidP="00A8138F">
      <w:pPr>
        <w:pStyle w:val="TextoNormal"/>
      </w:pPr>
    </w:p>
    <w:p w14:paraId="16F2CDE9" w14:textId="77777777" w:rsidR="00A8138F" w:rsidRDefault="00A8138F" w:rsidP="00A8138F">
      <w:pPr>
        <w:pStyle w:val="TextoNormal"/>
      </w:pPr>
      <w:r>
        <w:t xml:space="preserve">La sentencia desestima esta queja mediante una argumentación que niega la premisa de la que los recurrentes parten. Desestima la impugnación al considerar, en el fundamento jurídico 4 c): “Se trata de una norma que viene a someter a la nueva regulación las relaciones jurídicas de tracto continuado nacidas con anterioridad a su entrada en vigor y que, al hacerlo, incide sobre una facultad que, según se ha razonado ya, no forma parte del contenido esencial del derecho [de propiedad sobre] la vivienda y cuyo grado de estabilidad resulta, además, debilitado por su sumisión normativa </w:t>
      </w:r>
      <w:r w:rsidRPr="00A8138F">
        <w:rPr>
          <w:i/>
        </w:rPr>
        <w:t>ab initio</w:t>
      </w:r>
      <w:r>
        <w:t xml:space="preserve"> a la compatibilidad con el régimen urbanístico de la vivienda de que se trate. Todo ello conduce a rechazar la aducida naturaleza materialmente expropiatoria de la disposición transitoria segunda y, con ello, su alegada inconstitucionalidad por inobservancia de las garantías constitucionales de la expropiación </w:t>
      </w:r>
      <w:r>
        <w:lastRenderedPageBreak/>
        <w:t>forzosa (art. 33.3 CE) y por sobrepasar los límites materiales de los decretos-leyes (art. 86.1 CE)”.</w:t>
      </w:r>
    </w:p>
    <w:p w14:paraId="459174A6" w14:textId="77777777" w:rsidR="00A8138F" w:rsidRDefault="00A8138F" w:rsidP="00A8138F">
      <w:pPr>
        <w:pStyle w:val="TextoNormal"/>
      </w:pPr>
    </w:p>
    <w:p w14:paraId="7DF17748" w14:textId="77777777" w:rsidR="00A8138F" w:rsidRDefault="00A8138F" w:rsidP="00A8138F">
      <w:pPr>
        <w:pStyle w:val="TextoNormal"/>
      </w:pPr>
      <w:r>
        <w:t>Entendemos que, de una forma un tanto oscura, la sentencia parece entender que se trata de una actuación legislativa delimitadora del contenido del derecho de acuerdo con su función social, lo que, en principio, no debería dar lugar a indemnización alguna. Sin embargo, esta forma de razonar basada en el argumento de negar la mayor (que haya aquí una expropiación) entra en contradicción con lo decidido por el propio legislador catalán que, ante el cambio normativo y su carácter restrictivo, establece, en la disposición transitoria segunda, un doble sistema de compensación, basado en la extensión de la licencia por cinco años a los que es posible añadir cinco más en el caso de que la compensación se considere insuficiente. En ambos casos esa extensión temporal se califica expresamente, en el apartado tercero de esa misma disposición transitoria segunda, como indemnización.</w:t>
      </w:r>
    </w:p>
    <w:p w14:paraId="6CE9F832" w14:textId="77777777" w:rsidR="00A8138F" w:rsidRDefault="00A8138F" w:rsidP="00A8138F">
      <w:pPr>
        <w:pStyle w:val="TextoNormal"/>
      </w:pPr>
    </w:p>
    <w:p w14:paraId="796D276E" w14:textId="77777777" w:rsidR="00A8138F" w:rsidRDefault="00A8138F" w:rsidP="00A8138F">
      <w:pPr>
        <w:pStyle w:val="TextoNormal"/>
      </w:pPr>
      <w:r>
        <w:t>Si se une a lo anterior el hecho de que es indiscutible que la norma priva al titular de una vivienda de una facultad, la de destinarla al uso turístico que integraba, por decisión del legislador, el estatuto de la propiedad urbana y ahora, por decisión de ese mismo legislador, esa facultad ha desaparecido, parece evidente, y así lo piensa también el legislador de urgencia catalán, que esa ablación es susceptible de ser compensada. El debate se traslada así, no a la naturaleza jurídica de la privación y sus consecuencias (algo que la sentencia no aclara más allá de esbozar, de modo un tanto confuso, que se trataría de un supuesto de responsabilidad patrimonial de la administración, algo que no sucede en ningún caso ya que el daño patrimonial lo causa el legislador de urgencia y el daño no es antijurídico en tanto que causado por el cambio regulatorio), sino a la suficiencia de la compensación en especie que ha planteado el decreto-ley. Máxime teniendo en cuenta que la propia sentencia reconoce que se trata de un cambio de regulación que afecta al patrimonio de algunos ciudadanos, los titulares de viviendas habilitadas para el uso turístico. Tales titulares tenían un derecho patrimonial perfectamente delimitado e identificable, con un valor económico específico dentro de su patrimonio. Impacto patrimonial que, a juicio del decreto-ley, ha de ser compensado por dos vías sucesivas. Lo anteriormente expuesto lo solventa la sentencia con una apelación al carácter supuestamente previsor del legislador catalán cuando afirma que “el legislador de urgencia se ha anticipado a esa posible problemática introduciendo, mediante la disposición transitoria segunda del Decreto-ley 3/2023, un mecanismo de mitigación temporal de los efectos de la nueva regulación”, para luego reconocer, sin dato alguno que lo ampare, que “[e]sta previsión reduce considerablemente el impacto patrimonial del cambio regulatorio sobre los titulares de viviendas habilitadas para el uso turístico”.</w:t>
      </w:r>
    </w:p>
    <w:p w14:paraId="5879818E" w14:textId="77777777" w:rsidR="00A8138F" w:rsidRDefault="00A8138F" w:rsidP="00A8138F">
      <w:pPr>
        <w:pStyle w:val="TextoNormal"/>
      </w:pPr>
    </w:p>
    <w:p w14:paraId="55981155" w14:textId="77777777" w:rsidR="00A8138F" w:rsidRDefault="00A8138F" w:rsidP="00A8138F">
      <w:pPr>
        <w:pStyle w:val="TextoNormal"/>
      </w:pPr>
      <w:r>
        <w:t>Es, sin duda, encomiable que la sentencia reconozca el carácter proactivo e, incluso, generoso del legislador de urgencia catalán (bien que relativamente, ya que la compensación en especie que prevé no es a su costa, sino más bien a costa de los bienes jurídicos que la nueva regulación restrictiva afirma proteger), aunque tampoco sería descartable que tal generosidad desapareciera, a la vista del modo de razonar de la sentencia, que sitúa la compensación poco menos que en el ámbito de la discrecionalidad del legislador.</w:t>
      </w:r>
    </w:p>
    <w:p w14:paraId="6AFFF51A" w14:textId="77777777" w:rsidR="00A8138F" w:rsidRDefault="00A8138F" w:rsidP="00A8138F">
      <w:pPr>
        <w:pStyle w:val="TextoNormal"/>
      </w:pPr>
    </w:p>
    <w:p w14:paraId="7E44A09A" w14:textId="77777777" w:rsidR="00A8138F" w:rsidRDefault="00A8138F" w:rsidP="00A8138F">
      <w:pPr>
        <w:pStyle w:val="TextoNormal"/>
      </w:pPr>
      <w:r>
        <w:t xml:space="preserve">En todo caso, la efectividad de esa denominada indemnización es cuestionable. Es imprecisa porque se hace depender de los rendimientos que el titular efectivamente obtenga durante cinco años, y por si ello no fuera suficiente, tampoco queda claro de qué manera se acredita que con ello se compensa la pérdida del título habilitante. Por otra parte, es una </w:t>
      </w:r>
      <w:r>
        <w:lastRenderedPageBreak/>
        <w:t>cuantía cuya percepción depende de que el titular realice una actividad económica sobre la vivienda, es decir, se desplaza sobre el titular la carga de tener que desarrollar una actividad para poder verse indemnizado por la privación de su derecho, lo que no deja de ser una forma un tanto cuestionable de conceptuar una indemnización. En realidad, la previsión de la disposición transitoria segunda es únicamente una dilación en la efectividad del nuevo régimen para mitigar sus efectos, pero, pasados cinco años, y eventualmente cinco más, el titular queda privado de este derecho con una compensación de rasgos indefinidos y, por ello, insuficiente.</w:t>
      </w:r>
    </w:p>
    <w:p w14:paraId="7CCBEE24" w14:textId="77777777" w:rsidR="00A8138F" w:rsidRDefault="00A8138F" w:rsidP="00A8138F">
      <w:pPr>
        <w:pStyle w:val="TextoNormal"/>
      </w:pPr>
    </w:p>
    <w:p w14:paraId="30D3322E" w14:textId="77777777" w:rsidR="00A8138F" w:rsidRDefault="00A8138F" w:rsidP="00A8138F">
      <w:pPr>
        <w:pStyle w:val="TextoNormal"/>
      </w:pPr>
      <w:r>
        <w:t>En suma, si hay un cambio regulatorio con impacto patrimonial en unos propietarios de viviendas y no en otros, lo que hubiera debido examinarse es el carácter de la intervención del legislador de urgencia para valorar si esa privación patrimonial es constitucionalmente legítima. Cuestión distinta es que en el examen se descarte que se trate de una expropiación legislativa de una facultad previamente existente o se aprecie que pueda estar justificada y que no vulnere el art. 33.3 CE por prever una compensación suficiente, de lo que también cabe dudar. Pero eso, el carácter de la decisión del legislador y, en su caso, la suficiencia del mecanismo indemnizatorio diseñado por el propio legislador catalán, la sentencia no lo analiza, en cuanto que no se aproxima a la cuestión desde la óptica que se acaba de mencionar.</w:t>
      </w:r>
    </w:p>
    <w:p w14:paraId="6EBFC095" w14:textId="77777777" w:rsidR="00A8138F" w:rsidRDefault="00A8138F" w:rsidP="00A8138F">
      <w:pPr>
        <w:pStyle w:val="TextoNormal"/>
      </w:pPr>
    </w:p>
    <w:p w14:paraId="21D8C073" w14:textId="77777777" w:rsidR="00A8138F" w:rsidRDefault="00A8138F" w:rsidP="00A8138F">
      <w:pPr>
        <w:pStyle w:val="TextoNormal"/>
      </w:pPr>
      <w:r>
        <w:t xml:space="preserve">3. </w:t>
      </w:r>
      <w:r w:rsidRPr="00A8138F">
        <w:rPr>
          <w:i/>
        </w:rPr>
        <w:t>La sentencia pretende recoger la doctrina constitucional sobre la autonomía local, pero lo hace de tal modo que procede a un cambio de doctrina encubierto en dos ámbitos</w:t>
      </w:r>
    </w:p>
    <w:p w14:paraId="4050976C" w14:textId="77777777" w:rsidR="00A8138F" w:rsidRDefault="00A8138F" w:rsidP="00A8138F">
      <w:pPr>
        <w:pStyle w:val="TextoNormal"/>
      </w:pPr>
    </w:p>
    <w:p w14:paraId="0608F754" w14:textId="77777777" w:rsidR="00A8138F" w:rsidRDefault="00A8138F" w:rsidP="00A8138F">
      <w:pPr>
        <w:pStyle w:val="TextoNormal"/>
      </w:pPr>
      <w:r>
        <w:t>La sentencia, al examinar la queja relativa a la vulneración de la garantía constitucional de la autonomía local, afirma, en el fundamento jurídico 6 b): “La autonomía local, cuyo fundamento se encuentra en el principio democrático [SSTC 103/2013, de 25 de abril, FJ 6, y 111/2016, de 9 de junio, FJ 8 b)], fue calificada en un primer momento por este tribunal como una ‘garantía institucional’ (STC 32/1981, FFJJ 2 y 3; posteriormente, SSTC 38/1983, de 16 de mayo, FJ 6; 170/1989, FJ 9; 109/1998, de 21 de mayo, FJ 2; 51/2004, de 13 de abril, FJ 9; 83/2005, de 7 de abril, FJ 7; 252/2005, de 11 de octubre, FJ 4; 240/2006, de 20 de julio, FJ 7, y 103/2013, FJ 3). Esta categorización, que remite a un juicio de recognoscibilidad de la autonomía local como institución jurídica y expresa, con ello, la función de dicha autonomía como límite negativo frente al legislador —de ‘núcleo o reducto indisponible’ hablaba la STC 38/1983, FJ 6—, ha evolucionado paulatinamente con el desarrollo de la doctrina constitucional. Esta se ha referido, también desde antiguo, pero de manera especialmente nítida durante la última década, al ‘principio de autonomía local’ resaltando, con ello, la vertiente positiva de la relación entre la ley y la autonomía local (SSTC 4/1981, de 2 de febrero, FJ 3; 32/1981, FJ 3; 2/1987, de 21 de enero, FJ 2; 159/2001, de 5 de julio, FJ 12, y 240/2006, FJ 7). A partir, especialmente, de la STC 41/2016, la doctrina constitucional sobre la autonomía local viene prescindiendo del concepto de garantía institucional para referirse a la autonomía local como un principio en sentido técnico-jurídico. La garantía constitucional de la autonomía local comprende, en definitiva, un núcleo mínimo de autonomía que no puede ser desconocido por los poderes públicos —en particular, por los legisladores estatal y autonómico, cada uno en el ámbito de sus competencias—, pero también les dirige un mandato de optimización para la consecución de los mayores niveles posibles de autonomía local”.</w:t>
      </w:r>
    </w:p>
    <w:p w14:paraId="591BD041" w14:textId="77777777" w:rsidR="00A8138F" w:rsidRDefault="00A8138F" w:rsidP="00A8138F">
      <w:pPr>
        <w:pStyle w:val="TextoNormal"/>
      </w:pPr>
    </w:p>
    <w:p w14:paraId="2CD4984D" w14:textId="77777777" w:rsidR="00A8138F" w:rsidRDefault="00A8138F" w:rsidP="00A8138F">
      <w:pPr>
        <w:pStyle w:val="TextoNormal"/>
      </w:pPr>
      <w:r>
        <w:lastRenderedPageBreak/>
        <w:t xml:space="preserve">Esta construcción de la sentencia que, como se verá, no es más que un </w:t>
      </w:r>
      <w:r w:rsidRPr="00A8138F">
        <w:rPr>
          <w:i/>
        </w:rPr>
        <w:t>obiter dicta</w:t>
      </w:r>
      <w:r>
        <w:t xml:space="preserve"> doctrinal, es cuestionable desde dos puntos de vista:</w:t>
      </w:r>
    </w:p>
    <w:p w14:paraId="20E8CBB8" w14:textId="77777777" w:rsidR="00A8138F" w:rsidRDefault="00A8138F" w:rsidP="00A8138F">
      <w:pPr>
        <w:pStyle w:val="TextoNormal"/>
      </w:pPr>
    </w:p>
    <w:p w14:paraId="78BC5EF8" w14:textId="77777777" w:rsidR="00A8138F" w:rsidRDefault="00A8138F" w:rsidP="00A8138F">
      <w:pPr>
        <w:pStyle w:val="TextoNormal"/>
      </w:pPr>
      <w:r>
        <w:t>(i) Dudamos que la doctrina constitucional haya abandonado la construcción de la garantía institucional. Lo que ocurre es que el Tribunal, ante denuncias de vulneración de la autonomía local, lo que examina es si se cumple la garantía institucional, esto es, que la regulación que afecta a la autonomía local no lo haga en términos tales que dicha autonomía no pueda ser reconocida y que de ello derive la vulneración del principio constitucional de autonomía local. Lo que hace la STC 41/2016 y las que le siguen es proporcionar criterios orientativos para poder valorar si esa garantía institucional y, con ella, el principio constitucional de autonomía local se respeta. De hecho, son esos los criterios que luego va a usar la sentencia para desestimar la queja. Tales criterios son “(i) si hay intereses supralocales que justifiquen que la comunidad autónoma haya dictado esta regulación; (ii) si el legislador autonómico ha ponderado los intereses municipales afectados; y (iii) si ha asegurado a los ayuntamientos implicados un nivel de intervención tendencialmente correlativo a la intensidad de tales intereses”.</w:t>
      </w:r>
    </w:p>
    <w:p w14:paraId="6F4934CD" w14:textId="77777777" w:rsidR="00A8138F" w:rsidRDefault="00A8138F" w:rsidP="00A8138F">
      <w:pPr>
        <w:pStyle w:val="TextoNormal"/>
      </w:pPr>
    </w:p>
    <w:p w14:paraId="459F20DA" w14:textId="77777777" w:rsidR="00A8138F" w:rsidRDefault="00A8138F" w:rsidP="00A8138F">
      <w:pPr>
        <w:pStyle w:val="TextoNormal"/>
      </w:pPr>
      <w:r>
        <w:t>Por eso, la disquisición acerca del abandono de la técnica de la garantía institucional es, en sí misma, innecesaria para el caso, ya que el asunto se resuelve exactamente igual que en todos los que, tras la STC 41/2016, se ha planteado la vulneración de la autonomía local por lo que se entiende como una insuficiente participación de los entes locales en la cuestión de que se trate.</w:t>
      </w:r>
    </w:p>
    <w:p w14:paraId="3FD4883A" w14:textId="77777777" w:rsidR="00A8138F" w:rsidRDefault="00A8138F" w:rsidP="00A8138F">
      <w:pPr>
        <w:pStyle w:val="TextoNormal"/>
      </w:pPr>
    </w:p>
    <w:p w14:paraId="38C53DFE" w14:textId="77777777" w:rsidR="00A8138F" w:rsidRDefault="00A8138F" w:rsidP="00A8138F">
      <w:pPr>
        <w:pStyle w:val="TextoNormal"/>
      </w:pPr>
      <w:r>
        <w:t>(ii) Discrepamos de la afirmación de que la doctrina constitucional ha dejado sentado lo que la sentencia denomina “un mandato de optimización para la consecución de los mayores niveles posibles de autonomía local”.</w:t>
      </w:r>
    </w:p>
    <w:p w14:paraId="3D43A774" w14:textId="77777777" w:rsidR="00A8138F" w:rsidRDefault="00A8138F" w:rsidP="00A8138F">
      <w:pPr>
        <w:pStyle w:val="TextoNormal"/>
      </w:pPr>
    </w:p>
    <w:p w14:paraId="37A889C3" w14:textId="77777777" w:rsidR="00A8138F" w:rsidRDefault="00A8138F" w:rsidP="00A8138F">
      <w:pPr>
        <w:pStyle w:val="TextoNormal"/>
      </w:pPr>
      <w:r>
        <w:t>Semejante e inexplicado hallazgo de la sentencia no deriva de la doctrina constitucional. Un mandato de tal carácter obligaría al legislador competente por razón de la materia a reconocer el máximo grado de participación o intervención local en el asunto de que se tratase so pena de incurrir en inconstitucionalidad y a este tribunal a declararlo así y es evidente que, como la práctica legislativa y la doctrina constitucional ponen de manifiesto no sucede ni una cosa ni la otra. Conforme a la doctrina constitucional consolidada, como ya se ha señalado, basta con ponderar el nivel de interés supralocal y local que se ve concernido en cada caso concreto y reconocer un nivel de intervención local adecuado a dicha ponderación, intervención que no tiene porqué ser el mayor grado de las posibles, sino solamente correlativo a tales intereses, lo que no es lo mismo que ese recién descubierto mandato de optimización.</w:t>
      </w:r>
    </w:p>
    <w:p w14:paraId="0D6C18B7" w14:textId="77777777" w:rsidR="00A8138F" w:rsidRDefault="00A8138F" w:rsidP="00A8138F">
      <w:pPr>
        <w:pStyle w:val="TextoNormal"/>
      </w:pPr>
    </w:p>
    <w:p w14:paraId="085E3B0F" w14:textId="77777777" w:rsidR="00A8138F" w:rsidRDefault="00A8138F" w:rsidP="00A8138F">
      <w:pPr>
        <w:pStyle w:val="TextoNormal"/>
      </w:pPr>
      <w:r>
        <w:t>Probablemente la sentencia es consciente de ello, ya que, en el párrafo siguiente al del descubrimiento de tan relevante mandato de optimización, queda reducido a algo, en principio, muy diferente, una exigencia de justificación de la afectación a la autonomía local, cuando afirma que este mandato “exige que, en materias de interés municipal, la falta de atribución de competencias a los municipios o su restricción cuente con una justificación suficiente”.</w:t>
      </w:r>
    </w:p>
    <w:p w14:paraId="4EFBDF71" w14:textId="77777777" w:rsidR="00A8138F" w:rsidRDefault="00A8138F" w:rsidP="00A8138F">
      <w:pPr>
        <w:pStyle w:val="TextoNormal"/>
      </w:pPr>
    </w:p>
    <w:p w14:paraId="2CC89941" w14:textId="77777777" w:rsidR="00A8138F" w:rsidRDefault="00A8138F" w:rsidP="00A8138F">
      <w:pPr>
        <w:pStyle w:val="TextoNormal"/>
      </w:pPr>
      <w:r>
        <w:t xml:space="preserve">Por todo ello, aun compartiendo la desestimación del motivo, estimamos que la exposición de la sentencia no se ajusta a la consolidada doctrina constitucional sobre la autonomía </w:t>
      </w:r>
      <w:r>
        <w:lastRenderedPageBreak/>
        <w:t xml:space="preserve">local, en especial en lo relativo a las referencias a un mandato de optimización de la autonomía local que no se deriva de la doctrina constitucional en los términos que la sentencia expone. Exposición que, en tanto que dirigida a cambiar o matizar el entendimiento de la autonomía local, no es más que un </w:t>
      </w:r>
      <w:r w:rsidRPr="00A8138F">
        <w:rPr>
          <w:i/>
        </w:rPr>
        <w:t>obiter dicta</w:t>
      </w:r>
      <w:r>
        <w:t xml:space="preserve"> por cuanto es, en rigor, innecesaria para la desestimación de la queja. De hecho, la propia sentencia lo reconoce implícitamente, pues desestima la queja aplicando el análisis en tres pasos usando el esquema ya tradicional en las sentencias posteriores a la STC 41/2016.</w:t>
      </w:r>
    </w:p>
    <w:p w14:paraId="354C3A29" w14:textId="77777777" w:rsidR="00A8138F" w:rsidRDefault="00A8138F" w:rsidP="00A8138F">
      <w:pPr>
        <w:pStyle w:val="TextoNormal"/>
      </w:pPr>
    </w:p>
    <w:p w14:paraId="2607A9A5" w14:textId="77777777" w:rsidR="00A8138F" w:rsidRDefault="00A8138F" w:rsidP="00A8138F">
      <w:pPr>
        <w:pStyle w:val="TextoNormal"/>
      </w:pPr>
      <w:r>
        <w:t>4</w:t>
      </w:r>
      <w:r w:rsidRPr="00A8138F">
        <w:rPr>
          <w:i/>
        </w:rPr>
        <w:t>. Conclusi</w:t>
      </w:r>
      <w:r>
        <w:t>ón</w:t>
      </w:r>
    </w:p>
    <w:p w14:paraId="264963E2" w14:textId="77777777" w:rsidR="00A8138F" w:rsidRDefault="00A8138F" w:rsidP="00A8138F">
      <w:pPr>
        <w:pStyle w:val="TextoNormal"/>
      </w:pPr>
    </w:p>
    <w:p w14:paraId="6920C98D" w14:textId="77777777" w:rsidR="00A8138F" w:rsidRDefault="00A8138F" w:rsidP="00A8138F">
      <w:pPr>
        <w:pStyle w:val="TextoNormal"/>
      </w:pPr>
      <w:r>
        <w:t>Estimamos que el presente recurso de inconstitucionalidad debió haber sido estimado por carecer el Decreto-ley 3/2023 del necesario presupuesto habilitante, lo que eximía del examen de los restantes motivos de inconstitucionalidad alegados por los recurrentes.</w:t>
      </w:r>
    </w:p>
    <w:p w14:paraId="3847DD63" w14:textId="77777777" w:rsidR="00A8138F" w:rsidRDefault="00A8138F" w:rsidP="00A8138F">
      <w:pPr>
        <w:pStyle w:val="TextoNormal"/>
      </w:pPr>
    </w:p>
    <w:p w14:paraId="77ABE7A6" w14:textId="77777777" w:rsidR="00A8138F" w:rsidRDefault="00A8138F" w:rsidP="00A8138F">
      <w:pPr>
        <w:pStyle w:val="TextoNormal"/>
      </w:pPr>
      <w:r>
        <w:t>La sentencia no lo ha hecho así y, al proseguir el enjuiciamiento, ha incurrido además en las incorreciones que ya hemos señalado en relación con las vulneraciones del art. 33 CE y de la autonomía local constitucionalmente garantizada y que ya hemos tenido oportunidad de señalar.</w:t>
      </w:r>
    </w:p>
    <w:p w14:paraId="4CC34D49" w14:textId="77777777" w:rsidR="00A8138F" w:rsidRDefault="00A8138F" w:rsidP="00A8138F">
      <w:pPr>
        <w:pStyle w:val="TextoNormal"/>
      </w:pPr>
    </w:p>
    <w:p w14:paraId="71BE2C7A" w14:textId="77777777" w:rsidR="00A8138F" w:rsidRDefault="00A8138F" w:rsidP="00A8138F">
      <w:pPr>
        <w:pStyle w:val="TextoNormal"/>
      </w:pPr>
      <w:r>
        <w:t>Y este sentido emitimos nuestro voto particular.</w:t>
      </w:r>
    </w:p>
    <w:p w14:paraId="211A8FF3" w14:textId="77777777" w:rsidR="00A8138F" w:rsidRDefault="00A8138F" w:rsidP="00A8138F">
      <w:pPr>
        <w:pStyle w:val="TextoNormal"/>
      </w:pPr>
    </w:p>
    <w:p w14:paraId="03081941" w14:textId="13113459" w:rsidR="00A8138F" w:rsidRDefault="00A8138F" w:rsidP="00A8138F">
      <w:pPr>
        <w:pStyle w:val="TextoNormal"/>
      </w:pPr>
      <w:r>
        <w:t>Madrid, a trece de marzo de dos mil veinticinco.</w:t>
      </w:r>
    </w:p>
    <w:p w14:paraId="493EAB79" w14:textId="044527B0" w:rsidR="00A8138F" w:rsidRDefault="00A8138F">
      <w:pPr>
        <w:spacing w:after="160" w:line="278" w:lineRule="auto"/>
        <w:rPr>
          <w:rFonts w:ascii="Times New Roman" w:eastAsia="Times New Roman" w:hAnsi="Times New Roman" w:cs="Times New Roman"/>
          <w:sz w:val="24"/>
          <w:szCs w:val="24"/>
          <w:lang w:eastAsia="es-ES"/>
        </w:rPr>
      </w:pPr>
      <w:r>
        <w:br w:type="page"/>
      </w:r>
    </w:p>
    <w:p w14:paraId="45E00489" w14:textId="77777777" w:rsidR="00A8138F" w:rsidRDefault="00A8138F" w:rsidP="00A8138F">
      <w:pPr>
        <w:pStyle w:val="TtuloResolucin"/>
      </w:pPr>
      <w:bookmarkStart w:id="67" w:name="SENTENCIA_2025_65"/>
      <w:r>
        <w:lastRenderedPageBreak/>
        <w:t>SENTENCIA 65/2025, de 18 de marzo de 2025</w:t>
      </w:r>
    </w:p>
    <w:bookmarkEnd w:id="67"/>
    <w:p w14:paraId="0E095A49" w14:textId="77777777" w:rsidR="00A8138F" w:rsidRDefault="00A8138F" w:rsidP="00A8138F">
      <w:pPr>
        <w:pStyle w:val="TtuloResolucin"/>
      </w:pPr>
      <w:r>
        <w:t>Pleno</w:t>
      </w:r>
    </w:p>
    <w:p w14:paraId="5726EF68" w14:textId="77777777" w:rsidR="00A8138F" w:rsidRDefault="00A8138F" w:rsidP="00A8138F">
      <w:pPr>
        <w:pStyle w:val="TtuloBOE"/>
      </w:pPr>
      <w:r>
        <w:t>(BOE núm. 88, de 11 de abril de 2025)</w:t>
      </w:r>
    </w:p>
    <w:p w14:paraId="39159161" w14:textId="77777777" w:rsidR="00A8138F" w:rsidRDefault="00A8138F" w:rsidP="00A8138F">
      <w:pPr>
        <w:pStyle w:val="TextoNormalCentrado"/>
      </w:pPr>
      <w:r>
        <w:t>ECLI:ES:TC:2025:65</w:t>
      </w:r>
    </w:p>
    <w:p w14:paraId="2950FDF0" w14:textId="232AB95B" w:rsidR="00A8138F" w:rsidRDefault="00A8138F" w:rsidP="00A8138F">
      <w:pPr>
        <w:pStyle w:val="TextoNormalCentrado"/>
      </w:pPr>
    </w:p>
    <w:p w14:paraId="49A8F6CB" w14:textId="77777777" w:rsidR="00A8138F" w:rsidRDefault="00A8138F" w:rsidP="00A8138F">
      <w:pPr>
        <w:pStyle w:val="SntesisDescriptiva"/>
      </w:pPr>
      <w:r>
        <w:t>Recurso de amparo 7035-2023. Promovido por doña Eva Rosado Fuentes en relación con las resoluciones administrativas y judiciales que desestimaron su petición de revisión y ampliación de la prestación por nacimiento y cuidado de hijo menor, como madre biológica de familia monoparental.</w:t>
      </w:r>
    </w:p>
    <w:p w14:paraId="78B0F779" w14:textId="4759589A" w:rsidR="00A8138F" w:rsidRDefault="00A8138F" w:rsidP="00A8138F">
      <w:pPr>
        <w:pStyle w:val="SntesisDescriptiva"/>
      </w:pPr>
    </w:p>
    <w:p w14:paraId="04A7373A"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DEABF90" w14:textId="48DDEBAD" w:rsidR="00A8138F" w:rsidRDefault="00A8138F" w:rsidP="00A8138F">
      <w:pPr>
        <w:pStyle w:val="SntesisAnaltica"/>
      </w:pPr>
    </w:p>
    <w:p w14:paraId="3E7CEDFB" w14:textId="59C28754"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0E7E1445" w14:textId="77777777" w:rsidR="00A8138F" w:rsidRDefault="00A8138F" w:rsidP="00A8138F">
      <w:pPr>
        <w:pStyle w:val="Extracto"/>
      </w:pPr>
    </w:p>
    <w:p w14:paraId="42FCB6CB" w14:textId="77777777" w:rsidR="00A8138F" w:rsidRDefault="00A8138F" w:rsidP="00A8138F">
      <w:pPr>
        <w:pStyle w:val="Extracto"/>
      </w:pPr>
    </w:p>
    <w:p w14:paraId="4111FA59"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5A8EE6EA" w14:textId="4CED2785" w:rsidR="00A8138F" w:rsidRDefault="00A8138F" w:rsidP="00A8138F">
      <w:pPr>
        <w:pStyle w:val="TextoNormal"/>
      </w:pPr>
    </w:p>
    <w:p w14:paraId="77B455FA" w14:textId="77777777" w:rsidR="00A8138F" w:rsidRDefault="00A8138F" w:rsidP="00A8138F">
      <w:pPr>
        <w:pStyle w:val="TextoNormalCentrado"/>
        <w:keepNext/>
      </w:pPr>
      <w:r>
        <w:t>EN NOMBRE DEL REY</w:t>
      </w:r>
    </w:p>
    <w:p w14:paraId="2E21ADC7" w14:textId="5D14880E" w:rsidR="00A8138F" w:rsidRDefault="00A8138F" w:rsidP="00A8138F">
      <w:pPr>
        <w:pStyle w:val="TextoNormalCentrado"/>
        <w:keepNext/>
      </w:pPr>
    </w:p>
    <w:p w14:paraId="033C9D2D" w14:textId="77777777" w:rsidR="00A8138F" w:rsidRDefault="00A8138F" w:rsidP="00A8138F">
      <w:pPr>
        <w:pStyle w:val="TextoNormalCentrado"/>
        <w:keepNext/>
      </w:pPr>
    </w:p>
    <w:p w14:paraId="5F2B9ACF" w14:textId="77777777" w:rsidR="00A8138F" w:rsidRDefault="00A8138F" w:rsidP="00A8138F">
      <w:pPr>
        <w:pStyle w:val="TextoNormal"/>
      </w:pPr>
      <w:r>
        <w:t>la siguiente</w:t>
      </w:r>
    </w:p>
    <w:p w14:paraId="478A677E" w14:textId="23B12D82" w:rsidR="00A8138F" w:rsidRDefault="00A8138F" w:rsidP="00A8138F">
      <w:pPr>
        <w:pStyle w:val="TextoNormal"/>
      </w:pPr>
    </w:p>
    <w:p w14:paraId="5F84F035" w14:textId="77777777" w:rsidR="00A8138F" w:rsidRDefault="00A8138F" w:rsidP="00A8138F">
      <w:pPr>
        <w:pStyle w:val="TextoNormalCentrado"/>
        <w:keepNext/>
      </w:pPr>
      <w:r>
        <w:t>SENTENCIA</w:t>
      </w:r>
    </w:p>
    <w:p w14:paraId="212E0BBF" w14:textId="7E856BC9" w:rsidR="00A8138F" w:rsidRDefault="00A8138F" w:rsidP="00A8138F">
      <w:pPr>
        <w:pStyle w:val="TextoNormalCentrado"/>
        <w:keepNext/>
      </w:pPr>
    </w:p>
    <w:p w14:paraId="1E15EE0B" w14:textId="77777777" w:rsidR="00A8138F" w:rsidRDefault="00A8138F" w:rsidP="00A8138F">
      <w:pPr>
        <w:pStyle w:val="TextoNormal"/>
      </w:pPr>
      <w:r>
        <w:t>En el recurso de amparo núm. 7035-2023, promovido por doña Eva Rosado Fuentes contra la resolución de 18 de marzo de 2020 del Instituto Nacional de la Seguridad Social, por la que se desestima la reclamación previa interpuesta contra la resolución de 31 de enero de 2020, denegando la ampliación de la prestación por nacimiento y cuidado del hijo menor como madre biológica de familia monoparental; la sentencia de 15 de febrero de 2022 del Juzgado de lo Social núm. 2 de Málaga (autos núm. 531-2021); la sentencia de 28 de septiembre de 2022 de la Sala de lo Social del Tribunal Superior de Justicia de Andalucía, con sede en Málaga, (recurso de suplicación núm. 696-2022) y el auto de 26 de septiembre de 2023 de la Sala de lo Social del Tribunal Supremo (recurso de casación para la unificación de doctrina núm. 5082-2022). Han intervenido el letrado de la administración de la Seguridad Social y el Ministerio Fiscal. Ha sido ponente el magistrado don Enrique Arnaldo Alcubilla.</w:t>
      </w:r>
    </w:p>
    <w:p w14:paraId="0253783C" w14:textId="37965A60" w:rsidR="00A8138F" w:rsidRDefault="00A8138F" w:rsidP="00A8138F">
      <w:pPr>
        <w:pStyle w:val="TextoNormal"/>
      </w:pPr>
    </w:p>
    <w:p w14:paraId="618AB09E" w14:textId="77777777" w:rsidR="00A8138F" w:rsidRDefault="00A8138F" w:rsidP="00A8138F">
      <w:pPr>
        <w:pStyle w:val="TextoNormalNegritaCentrado"/>
        <w:keepNext/>
      </w:pPr>
      <w:r>
        <w:t>I. Antecedentes</w:t>
      </w:r>
    </w:p>
    <w:p w14:paraId="220040DB" w14:textId="7EC4DE22" w:rsidR="00A8138F" w:rsidRDefault="00A8138F" w:rsidP="00A8138F">
      <w:pPr>
        <w:pStyle w:val="TextoNormalNegritaCentrado"/>
        <w:keepNext/>
      </w:pPr>
    </w:p>
    <w:p w14:paraId="3074D833" w14:textId="704BAA4A" w:rsidR="00A8138F" w:rsidRDefault="00A8138F" w:rsidP="00A8138F">
      <w:pPr>
        <w:pStyle w:val="TextoNormal"/>
      </w:pPr>
      <w:r w:rsidRPr="00A8138F">
        <w:rPr>
          <w:rStyle w:val="NumeroAFNegritaCaracter"/>
        </w:rPr>
        <w:t>1</w:t>
      </w:r>
      <w:r>
        <w:t>. Mediante escrito registrado en este tribunal el 10 de noviembre de 2023, la procuradora de los tribunales doña Marta Payá Nadal, en nombre y representación de doña Eva Rosado Fuentes, asistida del abogado don José Manuel Vilchez Díez, interpuso recurso de amparo contra las resoluciones a las que se ha hecho referencia en el encabezamiento.</w:t>
      </w:r>
    </w:p>
    <w:p w14:paraId="60032254" w14:textId="77777777" w:rsidR="00A8138F" w:rsidRDefault="00A8138F" w:rsidP="00A8138F">
      <w:pPr>
        <w:pStyle w:val="TextoNormal"/>
      </w:pPr>
    </w:p>
    <w:p w14:paraId="21B8A00B"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3BE842DE" w14:textId="77777777" w:rsidR="00A8138F" w:rsidRDefault="00A8138F" w:rsidP="00A8138F">
      <w:pPr>
        <w:pStyle w:val="TextoNormal"/>
      </w:pPr>
    </w:p>
    <w:p w14:paraId="01F9622B" w14:textId="77777777" w:rsidR="00A8138F" w:rsidRDefault="00A8138F" w:rsidP="00A8138F">
      <w:pPr>
        <w:pStyle w:val="TextoNormal"/>
      </w:pPr>
      <w:r>
        <w:t>a) Doña Eva Rosado Fuentes es madre biológica de un niño, nacido el 28 de noviembre de 2019, con quien forma una familia monoparental. Por resolución de 31 de enero de 2020 del Instituto Nacional de la Seguridad Social (en adelante INSS) se le reconoció el derecho a la prestación por maternidad durante dieciséis semanas. El 5 de febrero de 2020 formuló reclamación previa interesando la revisión de la prestación ya obtenida, reclamando su ampliación en dieciséis semanas más, es decir, añadiendo al período ya reconocido uno idéntico al que hubiera correspondido al segundo progenitor en el supuesto de una familia biparental. La reclamación previa fue desestimada por resolución de 18 de marzo de 2021.</w:t>
      </w:r>
    </w:p>
    <w:p w14:paraId="0FBF3E5D" w14:textId="77777777" w:rsidR="00A8138F" w:rsidRDefault="00A8138F" w:rsidP="00A8138F">
      <w:pPr>
        <w:pStyle w:val="TextoNormal"/>
      </w:pPr>
    </w:p>
    <w:p w14:paraId="29466149" w14:textId="77777777" w:rsidR="00A8138F" w:rsidRDefault="00A8138F" w:rsidP="00A8138F">
      <w:pPr>
        <w:pStyle w:val="TextoNormal"/>
      </w:pPr>
      <w:r>
        <w:t>b) Frente a la desestimación de su reclamación de revisión de la prestación, doña Eva Rosado Fuentes formuló demanda ante la jurisdicción social, que fue desestimada por sentencia de 15 de febrero de 2022 del Juzgado de lo Social núm. 2 de Málaga (autos núm. 531-2021).</w:t>
      </w:r>
    </w:p>
    <w:p w14:paraId="35C2BB4E" w14:textId="77777777" w:rsidR="00A8138F" w:rsidRDefault="00A8138F" w:rsidP="00A8138F">
      <w:pPr>
        <w:pStyle w:val="TextoNormal"/>
      </w:pPr>
    </w:p>
    <w:p w14:paraId="7F055C4A" w14:textId="77777777" w:rsidR="00A8138F" w:rsidRDefault="00A8138F" w:rsidP="00A8138F">
      <w:pPr>
        <w:pStyle w:val="TextoNormal"/>
      </w:pPr>
      <w:r>
        <w:t>c) La demandante interpuso contra dicha sentencia recurso de suplicación, que fue desestimado por sentencia de 28 de septiembre de 2022 de la Sala de lo Social del Tribunal Superior de Justicia de Andalucía, con sede en Málaga (recurso de suplicación núm. 696-2022).</w:t>
      </w:r>
    </w:p>
    <w:p w14:paraId="58C6670C" w14:textId="77777777" w:rsidR="00A8138F" w:rsidRDefault="00A8138F" w:rsidP="00A8138F">
      <w:pPr>
        <w:pStyle w:val="TextoNormal"/>
      </w:pPr>
    </w:p>
    <w:p w14:paraId="4E8FC84D" w14:textId="4390656E" w:rsidR="00A8138F" w:rsidRDefault="00A8138F" w:rsidP="00A8138F">
      <w:pPr>
        <w:pStyle w:val="TextoNormal"/>
      </w:pPr>
      <w:r>
        <w:t>d) Contra la sentencia de suplicación la demandante interpuso recurso de casación para la unificación de doctrina (núm. 1495-2023), que fue inadmitido mediante auto de 26 de septiembre de 2023 de la Sala de lo Social del Tribunal Supremo (recurso de casación para la unificación de doctrina núm. 5082-2022). Se razona en este auto que la Sala ya ha resuelto, en sentencia de 2 de marzo de 2023, reiterada en otras posteriores, que las familias monoparentales no tienen derecho a la acumulación de prestaciones aquí solicitada, ya que ni se establece en la ley vigente (arts. 48.4 LET y 177 y ss.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este tipo de familias.</w:t>
      </w:r>
    </w:p>
    <w:p w14:paraId="4F848D9D" w14:textId="77777777" w:rsidR="00A8138F" w:rsidRDefault="00A8138F" w:rsidP="00A8138F">
      <w:pPr>
        <w:pStyle w:val="TextoNormal"/>
      </w:pPr>
    </w:p>
    <w:p w14:paraId="52B76A52" w14:textId="77777777" w:rsidR="00A8138F" w:rsidRDefault="00A8138F" w:rsidP="00A8138F">
      <w:pPr>
        <w:pStyle w:val="TextoNormal"/>
      </w:pPr>
      <w:r w:rsidRPr="00A8138F">
        <w:rPr>
          <w:rStyle w:val="NumeroAFNegritaCaracter"/>
        </w:rPr>
        <w:t>3</w:t>
      </w:r>
      <w:r>
        <w:t>. La demanda de amparo se interpone contra las resoluciones administrativas y judiciales referenciadas, por entender que han incurrido en vulneración del derecho garantizado en el art. 14 CE, por dos motivos.</w:t>
      </w:r>
    </w:p>
    <w:p w14:paraId="202FDDFD" w14:textId="77777777" w:rsidR="00A8138F" w:rsidRDefault="00A8138F" w:rsidP="00A8138F">
      <w:pPr>
        <w:pStyle w:val="TextoNormal"/>
      </w:pPr>
    </w:p>
    <w:p w14:paraId="4D2DEFD5" w14:textId="77777777" w:rsidR="00A8138F" w:rsidRDefault="00A8138F" w:rsidP="00A8138F">
      <w:pPr>
        <w:pStyle w:val="TextoNormal"/>
      </w:pPr>
      <w:r>
        <w:lastRenderedPageBreak/>
        <w:t>En primer lugar, se afirma que, como consecuencia de la aplicación literal por las resoluciones impugnadas en amparo de lo dispuesto en el art. 48.4 del texto refundido de la Ley del estatuto de los trabajadores (en adelante LET), en relación con el art. 177 del texto refundido de la Ley general de la Seguridad Social (en adelante LGSS), en la redacción dada por el Real Decreto-ley 6/2019, de 1 de marzo, se ha producido una discriminación indirecta por razón de sexo, debido a que, en la mayoría de las familias monoparentales, el progenitor único es una mujer, que resulta perjudicada en comparación con las familias biparentales, en cuanto a la duración de las prestaciones por nacimiento de un hijo. Las resoluciones impugnadas deberían haber realizado una interpretación integradora de los preceptos aplicables, que salvase la omisión del legislador, para evitar que se produjera ese trato discriminatorio hacia la recurrente.</w:t>
      </w:r>
    </w:p>
    <w:p w14:paraId="75EBED8D" w14:textId="77777777" w:rsidR="00A8138F" w:rsidRDefault="00A8138F" w:rsidP="00A8138F">
      <w:pPr>
        <w:pStyle w:val="TextoNormal"/>
      </w:pPr>
    </w:p>
    <w:p w14:paraId="5AC883F2" w14:textId="1EC77789" w:rsidR="00A8138F" w:rsidRDefault="00A8138F" w:rsidP="00A8138F">
      <w:pPr>
        <w:pStyle w:val="TextoNormal"/>
      </w:pPr>
      <w:r>
        <w:t>Asimismo, se aduce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14:paraId="1F393455" w14:textId="77777777" w:rsidR="00A8138F" w:rsidRDefault="00A8138F" w:rsidP="00A8138F">
      <w:pPr>
        <w:pStyle w:val="TextoNormal"/>
      </w:pPr>
    </w:p>
    <w:p w14:paraId="46B5E82D" w14:textId="5FD5F5AE" w:rsidR="00A8138F" w:rsidRDefault="00A8138F" w:rsidP="00A8138F">
      <w:pPr>
        <w:pStyle w:val="TextoNormal"/>
      </w:pPr>
      <w:r w:rsidRPr="00A8138F">
        <w:rPr>
          <w:rStyle w:val="NumeroAFNegritaCaracter"/>
        </w:rPr>
        <w:t>4</w:t>
      </w:r>
      <w:r>
        <w:t>. Mediante providencia de 9 de septiembre de 2024, la Sección Cuarta de este tribunal acordó admitir a trámite el presente recurso apreciando que concurría en él la especial trascendencia constitucional que exige el 50.1 de la Ley Orgánica del Tribunal Constitucional (en adelante,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y salas del Tribunal Superior de Justicia y del Tribunal Supremo) para que, en el plazo de diez días, si lo desearan, pudieran comparecer en este proceso constitucional.</w:t>
      </w:r>
    </w:p>
    <w:p w14:paraId="40AF29D7" w14:textId="77777777" w:rsidR="00A8138F" w:rsidRDefault="00A8138F" w:rsidP="00A8138F">
      <w:pPr>
        <w:pStyle w:val="TextoNormal"/>
      </w:pPr>
    </w:p>
    <w:p w14:paraId="5E4123CE" w14:textId="6483EB49" w:rsidR="00A8138F" w:rsidRDefault="00A8138F" w:rsidP="00A8138F">
      <w:pPr>
        <w:pStyle w:val="TextoNormal"/>
      </w:pPr>
      <w:r w:rsidRPr="00A8138F">
        <w:rPr>
          <w:rStyle w:val="NumeroAFNegritaCaracter"/>
        </w:rPr>
        <w:t>5</w:t>
      </w:r>
      <w:r>
        <w:t>. Solicitado por el letrado de la administración de la Seguridad Social su personación en nombre del INSS y de la Tesorería General de la Seguridad Social, mediante diligencia de ordenación del secretario de justicia de la Sala Segunda de este tribunal de 4 de diciembre de 2024 se acordó tenerle por personado y parte y dar vista de las actuaciones recibidas a las partes personadas y al Ministerio Fiscal, por plazo común de veinte días, a fin de presentar las alegaciones que estimen pertinentes, conforme determina el art. 52.1 LOTC.</w:t>
      </w:r>
    </w:p>
    <w:p w14:paraId="207158B9" w14:textId="77777777" w:rsidR="00A8138F" w:rsidRDefault="00A8138F" w:rsidP="00A8138F">
      <w:pPr>
        <w:pStyle w:val="TextoNormal"/>
      </w:pPr>
    </w:p>
    <w:p w14:paraId="4CCDC5F4" w14:textId="071CB4D9" w:rsidR="00A8138F" w:rsidRDefault="00A8138F" w:rsidP="00A8138F">
      <w:pPr>
        <w:pStyle w:val="TextoNormal"/>
      </w:pPr>
      <w:r w:rsidRPr="00A8138F">
        <w:rPr>
          <w:rStyle w:val="NumeroAFNegritaCaracter"/>
        </w:rPr>
        <w:t>6</w:t>
      </w:r>
      <w:r>
        <w:t>. El 9 de enero de 2025 la representación procesal de la demandante presentó su escrito de alegaciones, poniendo de manifiesto que debe proyectarse al presente asunto lo resuelto en la STC 140/2024, de 6 de noviembre, que estima la cuestión de inconstitucionalidad núm. 6694-2023.</w:t>
      </w:r>
    </w:p>
    <w:p w14:paraId="43127692" w14:textId="77777777" w:rsidR="00A8138F" w:rsidRDefault="00A8138F" w:rsidP="00A8138F">
      <w:pPr>
        <w:pStyle w:val="TextoNormal"/>
      </w:pPr>
    </w:p>
    <w:p w14:paraId="71F68D90" w14:textId="718E87E6" w:rsidR="00A8138F" w:rsidRDefault="00A8138F" w:rsidP="00A8138F">
      <w:pPr>
        <w:pStyle w:val="TextoNormal"/>
      </w:pPr>
      <w:r w:rsidRPr="00A8138F">
        <w:rPr>
          <w:rStyle w:val="NumeroAFNegritaCaracter"/>
        </w:rPr>
        <w:t>7</w:t>
      </w:r>
      <w:r>
        <w:t xml:space="preserve">. El 14 de enero de 2025 el letrado de la administración de la Seguridad Social presentó sus alegaciones, solicitando que, en el supuesto de estimación del recurso de amparo, se dicte sentencia conforme con lo señalado en la reciente STC 140/2024, de 6 de noviembre, dictada en la cuestión de inconstitucionalidad núm. 6694-2023 y se retrotraigan las actuaciones para que el INSS dicte nueva resolución administrativa, que resulte respetuosa con el derecho de la recurrente y de la normativa aplicable. Señala específicamente que ha de limitarse la ampliación del permiso y de la correspondiente prestación por nacimiento y </w:t>
      </w:r>
      <w:r>
        <w:lastRenderedPageBreak/>
        <w:t>cuidado del menor a ocho semanas, al producirse el nacimiento del menor en el año 2019, de acuerdo con lo previsto en la disposición transitoria decimotercera de la Ley del estatuto de los trabajadores relativa a la aplicación paulatina del art. 48 LET, en la redacción dada por el Real Decreto-ley 6/2019, de 1 de marzo, de medidas urgentes para garantía de la igualdad de trato y de oportunidades entre mujeres y hombres en el empleo y la ocupación.</w:t>
      </w:r>
    </w:p>
    <w:p w14:paraId="2226A3EA" w14:textId="77777777" w:rsidR="00A8138F" w:rsidRDefault="00A8138F" w:rsidP="00A8138F">
      <w:pPr>
        <w:pStyle w:val="TextoNormal"/>
      </w:pPr>
    </w:p>
    <w:p w14:paraId="0B65FA5D" w14:textId="6242690C" w:rsidR="00A8138F" w:rsidRDefault="00A8138F" w:rsidP="00A8138F">
      <w:pPr>
        <w:pStyle w:val="TextoNormal"/>
      </w:pPr>
      <w:r w:rsidRPr="00A8138F">
        <w:rPr>
          <w:rStyle w:val="NumeroAFNegritaCaracter"/>
        </w:rPr>
        <w:t>8</w:t>
      </w:r>
      <w:r>
        <w:t>. El 31 de enero de 2025 el Ministerio Fiscal interesó la estimación del recurso de amparo, en aplicación de lo resuelto en la STC 140/2024, de 6 de noviembre.</w:t>
      </w:r>
    </w:p>
    <w:p w14:paraId="21BCA94E" w14:textId="77777777" w:rsidR="00A8138F" w:rsidRDefault="00A8138F" w:rsidP="00A8138F">
      <w:pPr>
        <w:pStyle w:val="TextoNormal"/>
      </w:pPr>
    </w:p>
    <w:p w14:paraId="6F3ADE40" w14:textId="406D1E48" w:rsidR="00A8138F" w:rsidRDefault="00A8138F" w:rsidP="00A8138F">
      <w:pPr>
        <w:pStyle w:val="TextoNormal"/>
      </w:pPr>
      <w:r w:rsidRPr="00A8138F">
        <w:rPr>
          <w:rStyle w:val="NumeroAFNegritaCaracter"/>
        </w:rPr>
        <w:t>9</w:t>
      </w:r>
      <w:r>
        <w:t>. El Pleno del Tribunal Constitucional, con fecha 18 de marzo de 2025, dictó providencia en la que acuerda, a propuesta de su presidente, recabar para sí el conocimiento de este recurso, conforme a lo establecido en el art. 10.1 n) LOTC.</w:t>
      </w:r>
    </w:p>
    <w:p w14:paraId="7D1B3E4E" w14:textId="77777777" w:rsidR="00A8138F" w:rsidRDefault="00A8138F" w:rsidP="00A8138F">
      <w:pPr>
        <w:pStyle w:val="TextoNormal"/>
      </w:pPr>
    </w:p>
    <w:p w14:paraId="33AB7D2D" w14:textId="54EE078E" w:rsidR="00A8138F" w:rsidRDefault="00A8138F" w:rsidP="00A8138F">
      <w:pPr>
        <w:pStyle w:val="TextoNormal"/>
      </w:pPr>
      <w:r w:rsidRPr="00A8138F">
        <w:rPr>
          <w:rStyle w:val="NumeroAFNegritaCaracter"/>
        </w:rPr>
        <w:t>10</w:t>
      </w:r>
      <w:r>
        <w:t>. Mediante providencia de 18 de marzo de 2025 se señaló ese mismo día para la deliberación y votación de la presente sentencia.</w:t>
      </w:r>
    </w:p>
    <w:p w14:paraId="2BC51445" w14:textId="77777777" w:rsidR="00A8138F" w:rsidRDefault="00A8138F" w:rsidP="00A8138F">
      <w:pPr>
        <w:pStyle w:val="TextoNormal"/>
      </w:pPr>
    </w:p>
    <w:p w14:paraId="13DBF311" w14:textId="77777777" w:rsidR="00A8138F" w:rsidRDefault="00A8138F" w:rsidP="00A8138F">
      <w:pPr>
        <w:pStyle w:val="TextoNormalNegritaCentrado"/>
        <w:keepNext/>
      </w:pPr>
      <w:r>
        <w:t>II. Fundamentos jurídicos</w:t>
      </w:r>
    </w:p>
    <w:p w14:paraId="2A851940" w14:textId="4F26857D" w:rsidR="00A8138F" w:rsidRDefault="00A8138F" w:rsidP="00A8138F">
      <w:pPr>
        <w:pStyle w:val="TextoNormalNegritaCentrado"/>
        <w:keepNext/>
      </w:pPr>
    </w:p>
    <w:p w14:paraId="0BC35670" w14:textId="77777777" w:rsidR="00A8138F" w:rsidRDefault="00A8138F" w:rsidP="00A8138F">
      <w:pPr>
        <w:pStyle w:val="TextoNormal"/>
      </w:pPr>
      <w:r w:rsidRPr="00A8138F">
        <w:rPr>
          <w:rStyle w:val="TextoNormalNegritaCaracter"/>
        </w:rPr>
        <w:t xml:space="preserve">Único. </w:t>
      </w:r>
      <w:r w:rsidRPr="00A8138F">
        <w:rPr>
          <w:i/>
        </w:rPr>
        <w:t>Aplicación de la doctrina sentada en la STC 140/2024, de 6 de noviembre</w:t>
      </w:r>
    </w:p>
    <w:p w14:paraId="749A3192" w14:textId="77777777" w:rsidR="00A8138F" w:rsidRDefault="00A8138F" w:rsidP="00A8138F">
      <w:pPr>
        <w:pStyle w:val="TextoNormal"/>
      </w:pPr>
    </w:p>
    <w:p w14:paraId="225EB969" w14:textId="77777777" w:rsidR="00A8138F" w:rsidRDefault="00A8138F" w:rsidP="00A8138F">
      <w:pPr>
        <w:pStyle w:val="TextoNormal"/>
      </w:pPr>
      <w:r>
        <w:t>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LET, en relación con el art. 177 LGSS, en la redacción dada a los mismos por el Real Decreto-ley 6/2019, de 1 de marzo, de medidas urgentes para garantía de la igualdad de trato y de oportunidades entre mujeres y hombres en el empleo y la ocupación, en relación el permiso y la correspondiente prestación económica por nacimiento y cuidado de menor previstos.</w:t>
      </w:r>
    </w:p>
    <w:p w14:paraId="22C40CF3" w14:textId="77777777" w:rsidR="00A8138F" w:rsidRDefault="00A8138F" w:rsidP="00A8138F">
      <w:pPr>
        <w:pStyle w:val="TextoNormal"/>
      </w:pPr>
    </w:p>
    <w:p w14:paraId="0EA480E9" w14:textId="77777777" w:rsidR="00A8138F" w:rsidRDefault="00A8138F" w:rsidP="00A8138F">
      <w:pPr>
        <w:pStyle w:val="TextoNormal"/>
      </w:pPr>
      <w:r>
        <w:t>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7E4F3EDF" w14:textId="77777777" w:rsidR="00A8138F" w:rsidRDefault="00A8138F" w:rsidP="00A8138F">
      <w:pPr>
        <w:pStyle w:val="TextoNormal"/>
      </w:pPr>
    </w:p>
    <w:p w14:paraId="63DBECC4" w14:textId="77777777" w:rsidR="00A8138F" w:rsidRDefault="00A8138F" w:rsidP="00A8138F">
      <w:pPr>
        <w:pStyle w:val="TextoNormal"/>
      </w:pPr>
      <w:r>
        <w:t xml:space="preserve">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w:t>
      </w:r>
      <w:r>
        <w:lastRenderedPageBreak/>
        <w:t>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713F50D" w14:textId="77777777" w:rsidR="00A8138F" w:rsidRDefault="00A8138F" w:rsidP="00A8138F">
      <w:pPr>
        <w:pStyle w:val="TextoNormal"/>
      </w:pPr>
    </w:p>
    <w:p w14:paraId="0D25EAA6" w14:textId="77777777" w:rsidR="00A8138F" w:rsidRDefault="00A8138F" w:rsidP="00A8138F">
      <w:pPr>
        <w:pStyle w:val="TextoNormal"/>
      </w:pPr>
      <w: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72384AAE" w14:textId="77777777" w:rsidR="00A8138F" w:rsidRDefault="00A8138F" w:rsidP="00A8138F">
      <w:pPr>
        <w:pStyle w:val="TextoNormal"/>
      </w:pPr>
    </w:p>
    <w:p w14:paraId="25EEE51F" w14:textId="112A13E4" w:rsidR="00A8138F" w:rsidRDefault="00A8138F" w:rsidP="00A8138F">
      <w:pPr>
        <w:pStyle w:val="TextoNormal"/>
      </w:pPr>
      <w:r>
        <w:t>En consecuencia, debe estimarse la demanda y otorgar el amparo solicitado, con nulidad de las resoluciones impugnadas. Asimismo, como concretamos en la referida STC 140/2024, FJ 7, en tanto el legislador no lleve a cabo la pertinente reforma normativa, en las familias monoparentales el permiso a que hace referencia el art. 48.4 LET (y en relación con él,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905FD48" w14:textId="77777777" w:rsidR="00A8138F" w:rsidRDefault="00A8138F" w:rsidP="00A8138F">
      <w:pPr>
        <w:pStyle w:val="TextoNormal"/>
      </w:pPr>
    </w:p>
    <w:p w14:paraId="18ACCE80" w14:textId="77777777" w:rsidR="00A8138F" w:rsidRDefault="00A8138F" w:rsidP="00A8138F">
      <w:pPr>
        <w:pStyle w:val="TextoNormalCentrado"/>
        <w:keepNext/>
      </w:pPr>
      <w:r>
        <w:t>FALLO</w:t>
      </w:r>
    </w:p>
    <w:p w14:paraId="5921A830" w14:textId="7B3E1B5E" w:rsidR="00A8138F" w:rsidRDefault="00A8138F" w:rsidP="00A8138F">
      <w:pPr>
        <w:pStyle w:val="TextoNormalCentrado"/>
        <w:keepNext/>
      </w:pPr>
    </w:p>
    <w:p w14:paraId="5BE424BD"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Eva Rosado Fuentes y, en su virtud:</w:t>
      </w:r>
    </w:p>
    <w:p w14:paraId="0606838A" w14:textId="77777777" w:rsidR="00A8138F" w:rsidRDefault="00A8138F" w:rsidP="00A8138F">
      <w:pPr>
        <w:pStyle w:val="TextoNormal"/>
      </w:pPr>
    </w:p>
    <w:p w14:paraId="1628979B" w14:textId="77777777" w:rsidR="00A8138F" w:rsidRDefault="00A8138F" w:rsidP="00A8138F">
      <w:pPr>
        <w:pStyle w:val="TextoNormal"/>
      </w:pPr>
      <w:r>
        <w:t>1º Declarar vulnerado su derecho fundamental a la igualdad ante la ley, sin que pueda prevalecer discriminación alguna (art. 14 CE).</w:t>
      </w:r>
    </w:p>
    <w:p w14:paraId="5637D0BB" w14:textId="77777777" w:rsidR="00A8138F" w:rsidRDefault="00A8138F" w:rsidP="00A8138F">
      <w:pPr>
        <w:pStyle w:val="TextoNormal"/>
      </w:pPr>
    </w:p>
    <w:p w14:paraId="20EEE39B" w14:textId="77777777" w:rsidR="00A8138F" w:rsidRDefault="00A8138F" w:rsidP="00A8138F">
      <w:pPr>
        <w:pStyle w:val="TextoNormal"/>
      </w:pPr>
      <w:r>
        <w:t>2º Restablecerla en su derecho y, en consecuencia, declarar la nulidad de la resolución del Instituto Nacional de la Seguridad Social de 18 de marzo de 2021; de la sentencia de 15 de febrero de 2022 dictada por el Juzgado de lo Social núm. 2 de Málaga en los autos núm. 531-2021; de la sentencia de 28 de septiembre de 2022 dictada por la Sala de lo Social del Tribunal Superior de Justicia de Andalucía, con sede en Málaga, en el recurso de suplicación núm. 696-2022; y del auto de 26 de septiembre de 2023 de la Sala de lo Social del Tribunal Supremo que inadmite el recurso de casación para la unificación de doctrina núm. 5082-2022, presentado contra la anterior sentencia.</w:t>
      </w:r>
    </w:p>
    <w:p w14:paraId="62C1195D" w14:textId="77777777" w:rsidR="00A8138F" w:rsidRDefault="00A8138F" w:rsidP="00A8138F">
      <w:pPr>
        <w:pStyle w:val="TextoNormal"/>
      </w:pPr>
    </w:p>
    <w:p w14:paraId="3EFACC09" w14:textId="327BDB9C" w:rsidR="00A8138F" w:rsidRDefault="00A8138F" w:rsidP="00A8138F">
      <w:pPr>
        <w:pStyle w:val="TextoNormal"/>
      </w:pPr>
      <w:r>
        <w:lastRenderedPageBreak/>
        <w:t>3º Retrotraer las actuaciones al momento previo al dictado de la resolución de 18 de marzo de 2021, a fin de que, en los términos expuestos en el último párrafo del fundamento jurídico único de la presente sentencia, se dicte otra respetuosa con el derecho de la recurrente cuya vulneración ha sido declarada, en los términos señalados en el último párrafo del fundamento único.</w:t>
      </w:r>
    </w:p>
    <w:p w14:paraId="50B3D9AF" w14:textId="77777777" w:rsidR="00A8138F" w:rsidRDefault="00A8138F" w:rsidP="00A8138F">
      <w:pPr>
        <w:pStyle w:val="TextoNormal"/>
      </w:pPr>
    </w:p>
    <w:p w14:paraId="5B8BD74F" w14:textId="77777777" w:rsidR="00A8138F" w:rsidRDefault="00A8138F" w:rsidP="00A8138F">
      <w:pPr>
        <w:pStyle w:val="TextoNormal"/>
      </w:pPr>
      <w:r>
        <w:t>Publíquese esta sentencia en el “Boletín Oficial del Estado”.</w:t>
      </w:r>
    </w:p>
    <w:p w14:paraId="287A93DF" w14:textId="77777777" w:rsidR="00A8138F" w:rsidRDefault="00A8138F" w:rsidP="00A8138F">
      <w:pPr>
        <w:pStyle w:val="TextoNormal"/>
      </w:pPr>
      <w:r>
        <w:t>Dada en Cádiz, a dieciocho de marzo de dos mil veinticinco.</w:t>
      </w:r>
    </w:p>
    <w:p w14:paraId="48F6089D" w14:textId="21B54EDF" w:rsidR="00A8138F" w:rsidRDefault="00A8138F">
      <w:pPr>
        <w:spacing w:after="160" w:line="278" w:lineRule="auto"/>
        <w:rPr>
          <w:rFonts w:ascii="Times New Roman" w:eastAsia="Times New Roman" w:hAnsi="Times New Roman" w:cs="Times New Roman"/>
          <w:sz w:val="24"/>
          <w:szCs w:val="24"/>
          <w:lang w:eastAsia="es-ES"/>
        </w:rPr>
      </w:pPr>
      <w:r>
        <w:br w:type="page"/>
      </w:r>
    </w:p>
    <w:p w14:paraId="20350178" w14:textId="77777777" w:rsidR="00A8138F" w:rsidRDefault="00A8138F" w:rsidP="00A8138F">
      <w:pPr>
        <w:pStyle w:val="TtuloResolucin"/>
      </w:pPr>
      <w:bookmarkStart w:id="68" w:name="SENTENCIA_2025_66"/>
      <w:r>
        <w:lastRenderedPageBreak/>
        <w:t>SENTENCIA 66/2025, de 18 de marzo de 2025</w:t>
      </w:r>
    </w:p>
    <w:bookmarkEnd w:id="68"/>
    <w:p w14:paraId="63992942" w14:textId="77777777" w:rsidR="00A8138F" w:rsidRDefault="00A8138F" w:rsidP="00A8138F">
      <w:pPr>
        <w:pStyle w:val="TtuloResolucin"/>
      </w:pPr>
      <w:r>
        <w:t>Pleno</w:t>
      </w:r>
    </w:p>
    <w:p w14:paraId="5D36970C" w14:textId="77777777" w:rsidR="00A8138F" w:rsidRDefault="00A8138F" w:rsidP="00A8138F">
      <w:pPr>
        <w:pStyle w:val="TtuloBOE"/>
      </w:pPr>
      <w:r>
        <w:t>(BOE núm. 88, de 11 de abril de 2025)</w:t>
      </w:r>
    </w:p>
    <w:p w14:paraId="0893682E" w14:textId="77777777" w:rsidR="00A8138F" w:rsidRDefault="00A8138F" w:rsidP="00A8138F">
      <w:pPr>
        <w:pStyle w:val="TextoNormalCentrado"/>
      </w:pPr>
      <w:r>
        <w:t>ECLI:ES:TC:2025:66</w:t>
      </w:r>
    </w:p>
    <w:p w14:paraId="424E341B" w14:textId="4D31BFAF" w:rsidR="00A8138F" w:rsidRDefault="00A8138F" w:rsidP="00A8138F">
      <w:pPr>
        <w:pStyle w:val="TextoNormalCentrado"/>
      </w:pPr>
    </w:p>
    <w:p w14:paraId="47651F04" w14:textId="77777777" w:rsidR="00A8138F" w:rsidRDefault="00A8138F" w:rsidP="00A8138F">
      <w:pPr>
        <w:pStyle w:val="SntesisDescriptiva"/>
      </w:pPr>
      <w:r>
        <w:t>Recurso de amparo 4882-2024. Promovido por doña Núria Samper París en relación con las resoluciones administrativas y judiciales que desestimaron su petición de revisión y ampliación de la prestación por nacimiento y cuidado de hijo menor, como madre biológica de familia monoparental.</w:t>
      </w:r>
    </w:p>
    <w:p w14:paraId="7C3CC920" w14:textId="798D939E" w:rsidR="00A8138F" w:rsidRDefault="00A8138F" w:rsidP="00A8138F">
      <w:pPr>
        <w:pStyle w:val="SntesisDescriptiva"/>
      </w:pPr>
    </w:p>
    <w:p w14:paraId="1542C8A9"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551A720" w14:textId="16820692" w:rsidR="00A8138F" w:rsidRDefault="00A8138F" w:rsidP="00A8138F">
      <w:pPr>
        <w:pStyle w:val="SntesisAnaltica"/>
      </w:pPr>
    </w:p>
    <w:p w14:paraId="6A1D34B8" w14:textId="7D7C679B"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11BCABD2" w14:textId="77777777" w:rsidR="00A8138F" w:rsidRDefault="00A8138F" w:rsidP="00A8138F">
      <w:pPr>
        <w:pStyle w:val="Extracto"/>
      </w:pPr>
    </w:p>
    <w:p w14:paraId="58EA057B" w14:textId="77777777" w:rsidR="00A8138F" w:rsidRDefault="00A8138F" w:rsidP="00A8138F">
      <w:pPr>
        <w:pStyle w:val="Extracto"/>
      </w:pPr>
    </w:p>
    <w:p w14:paraId="123ECB58"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6C3DC899" w14:textId="1A2ED8C5" w:rsidR="00A8138F" w:rsidRDefault="00A8138F" w:rsidP="00A8138F">
      <w:pPr>
        <w:pStyle w:val="TextoNormal"/>
      </w:pPr>
    </w:p>
    <w:p w14:paraId="523C226D" w14:textId="77777777" w:rsidR="00A8138F" w:rsidRDefault="00A8138F" w:rsidP="00A8138F">
      <w:pPr>
        <w:pStyle w:val="TextoNormalCentrado"/>
        <w:keepNext/>
      </w:pPr>
      <w:r>
        <w:t>EN NOMBRE DEL REY</w:t>
      </w:r>
    </w:p>
    <w:p w14:paraId="04259046" w14:textId="301C8C39" w:rsidR="00A8138F" w:rsidRDefault="00A8138F" w:rsidP="00A8138F">
      <w:pPr>
        <w:pStyle w:val="TextoNormalCentrado"/>
        <w:keepNext/>
      </w:pPr>
    </w:p>
    <w:p w14:paraId="1CAC4EC0" w14:textId="77777777" w:rsidR="00A8138F" w:rsidRDefault="00A8138F" w:rsidP="00A8138F">
      <w:pPr>
        <w:pStyle w:val="TextoNormalCentrado"/>
        <w:keepNext/>
      </w:pPr>
    </w:p>
    <w:p w14:paraId="1F3381B1" w14:textId="77777777" w:rsidR="00A8138F" w:rsidRDefault="00A8138F" w:rsidP="00A8138F">
      <w:pPr>
        <w:pStyle w:val="TextoNormal"/>
      </w:pPr>
      <w:r>
        <w:t>la siguiente</w:t>
      </w:r>
    </w:p>
    <w:p w14:paraId="7A4D57D3" w14:textId="042F21E2" w:rsidR="00A8138F" w:rsidRDefault="00A8138F" w:rsidP="00A8138F">
      <w:pPr>
        <w:pStyle w:val="TextoNormal"/>
      </w:pPr>
    </w:p>
    <w:p w14:paraId="6CA9FA00" w14:textId="77777777" w:rsidR="00A8138F" w:rsidRDefault="00A8138F" w:rsidP="00A8138F">
      <w:pPr>
        <w:pStyle w:val="TextoNormalCentrado"/>
        <w:keepNext/>
      </w:pPr>
      <w:r>
        <w:t>SENTENCIA</w:t>
      </w:r>
    </w:p>
    <w:p w14:paraId="60388E0F" w14:textId="74AEB02F" w:rsidR="00A8138F" w:rsidRDefault="00A8138F" w:rsidP="00A8138F">
      <w:pPr>
        <w:pStyle w:val="TextoNormalCentrado"/>
        <w:keepNext/>
      </w:pPr>
    </w:p>
    <w:p w14:paraId="54D3D299" w14:textId="77777777" w:rsidR="00A8138F" w:rsidRDefault="00A8138F" w:rsidP="00A8138F">
      <w:pPr>
        <w:pStyle w:val="TextoNormal"/>
      </w:pPr>
      <w:r>
        <w:t>En el recurso de amparo núm. 4882-2024, promovido por doña Núria Samper París, representada por la procuradora de los tribunales doña María Isabel Torres Ruiz y asistida por el letrado don Oriol Arechinolaza i Escuer, contra las resoluciones administrativas del Instituto Nacional de la Seguridad Social denegatorias de la solicitud de ampliación de la prestación por nacimiento y cuidado de hija menor a la madre biológica de familia monoparental, y contra la sentencia núm. 708/2024, de 22 de mayo, de la Sala de lo Social del Tribunal Supremo, dictada en el recurso de casación para la unificación de doctrina núm. 2127-2023, que confirmó el criterio mantenido en tales resoluciones administrativas. Han intervenido la letrada de la administración de la Seguridad Social y el Ministerio Fiscal. Ha sido ponente la magistrada doña Inmaculada Montalbán Huertas.</w:t>
      </w:r>
    </w:p>
    <w:p w14:paraId="73C4C1AF" w14:textId="18AD8BAB" w:rsidR="00A8138F" w:rsidRDefault="00A8138F" w:rsidP="00A8138F">
      <w:pPr>
        <w:pStyle w:val="TextoNormal"/>
      </w:pPr>
    </w:p>
    <w:p w14:paraId="651BE92F" w14:textId="77777777" w:rsidR="00A8138F" w:rsidRDefault="00A8138F" w:rsidP="00A8138F">
      <w:pPr>
        <w:pStyle w:val="TextoNormalNegritaCentrado"/>
        <w:keepNext/>
      </w:pPr>
      <w:r>
        <w:lastRenderedPageBreak/>
        <w:t>I. Antecedentes</w:t>
      </w:r>
    </w:p>
    <w:p w14:paraId="129ECC9C" w14:textId="711C48A6" w:rsidR="00A8138F" w:rsidRDefault="00A8138F" w:rsidP="00A8138F">
      <w:pPr>
        <w:pStyle w:val="TextoNormalNegritaCentrado"/>
        <w:keepNext/>
      </w:pPr>
    </w:p>
    <w:p w14:paraId="259036CC" w14:textId="626C439C" w:rsidR="00A8138F" w:rsidRDefault="00A8138F" w:rsidP="00A8138F">
      <w:pPr>
        <w:pStyle w:val="TextoNormal"/>
      </w:pPr>
      <w:r w:rsidRPr="00A8138F">
        <w:rPr>
          <w:rStyle w:val="NumeroAFNegritaCaracter"/>
        </w:rPr>
        <w:t>1</w:t>
      </w:r>
      <w:r>
        <w:t>. El 25 de junio de 2024, la procuradora de los tribunales doña María Isabel Torres Ruiz, actuando en representación de doña Núria Samper París, interpuso recurso de amparo contra la sentencia núm. 708/2024, de 22 de mayo, de la Sala de lo Social del Tribunal Supremo, que estimó el recurso de casación para la unificación de doctrina formulado por el Instituto Nacional de la Seguridad Social (INSS), y confirmó el criterio seguido por dicho organismo en resolución dictada el 17 de diciembre de 2020 y ratificada por silencio administrativo, en el sentido de denegar a la señora Samper París, madre biológica de una familia monoparental, la ampliación del permiso por nacimiento y cuidado de menor mediante la adición del permiso que correspondería al progenitor distinto de la madre biológica.</w:t>
      </w:r>
    </w:p>
    <w:p w14:paraId="0E6AA612" w14:textId="77777777" w:rsidR="00A8138F" w:rsidRDefault="00A8138F" w:rsidP="00A8138F">
      <w:pPr>
        <w:pStyle w:val="TextoNormal"/>
      </w:pPr>
    </w:p>
    <w:p w14:paraId="46AC7B2E" w14:textId="77777777" w:rsidR="00A8138F" w:rsidRDefault="00A8138F" w:rsidP="00A8138F">
      <w:pPr>
        <w:pStyle w:val="TextoNormal"/>
      </w:pPr>
      <w:r w:rsidRPr="00A8138F">
        <w:rPr>
          <w:rStyle w:val="NumeroAFNegritaCaracter"/>
        </w:rPr>
        <w:t>2</w:t>
      </w:r>
      <w:r>
        <w:t>. El presente recurso de amparo trae causa de los siguientes antecedentes:</w:t>
      </w:r>
    </w:p>
    <w:p w14:paraId="79A3818C" w14:textId="77777777" w:rsidR="00A8138F" w:rsidRDefault="00A8138F" w:rsidP="00A8138F">
      <w:pPr>
        <w:pStyle w:val="TextoNormal"/>
      </w:pPr>
    </w:p>
    <w:p w14:paraId="49EFB4D5" w14:textId="77777777" w:rsidR="00A8138F" w:rsidRDefault="00A8138F" w:rsidP="00A8138F">
      <w:pPr>
        <w:pStyle w:val="TextoNormal"/>
      </w:pPr>
      <w:r>
        <w:t>a) A la recurrente en amparo, madre biológica de una niña nacida el 12 de septiembre de 2020, le fue reconocido, en resolución de la Dirección Provincial del Instituto Nacional de la Seguridad Social, un permiso por nacimiento y cuidado de la menor de dieciséis semanas de duración (para el periodo comprendido entre el 12 de septiembre de 2020 y el 1 de enero de 2021 con la prestación correspondiente al 100 por 100 de la base reguladora diaria reconocida de 99,83 € diarios). El 14 de diciembre de 2020, la señora Samper dirigió escrito a la entidad gestora de la Seguridad Social solicitando la revisión y ampliación del permiso que le había sido reconocido, en el sentido de añadir a este las dieciséis semanas de permiso que corresponderían al progenitor distinto de la madre biológica con arreglo al art. 48.4, párrafo 2, de la Ley del estatuto de los trabajadores (LET). Alegó que, siendo titular de una familia monoparental, dicha ampliación tenía como finalidad proporcionar cuidados a la menor en igualdad de condiciones con las familias biparentales. Su pretensión fue desestimada por resolución del INSS de 17 de diciembre de 2020. Formulada reclamación previa, se desestimó por silencio administrativo.</w:t>
      </w:r>
    </w:p>
    <w:p w14:paraId="71CE8E15" w14:textId="77777777" w:rsidR="00A8138F" w:rsidRDefault="00A8138F" w:rsidP="00A8138F">
      <w:pPr>
        <w:pStyle w:val="TextoNormal"/>
      </w:pPr>
    </w:p>
    <w:p w14:paraId="402B7E30" w14:textId="77777777" w:rsidR="00A8138F" w:rsidRDefault="00A8138F" w:rsidP="00A8138F">
      <w:pPr>
        <w:pStyle w:val="TextoNormal"/>
      </w:pPr>
      <w:r>
        <w:t>b) Contra las resoluciones administrativas que denegaron la ampliación del permiso interpuso la recurrente en amparo demanda ante el Juzgado de lo Social núm. 13 de Barcelona, que dictó sentencia el 4 de mayo de 2022 estimando parcialmente las pretensiones de la actora y declarando su derecho a una ampliación en ocho semanas del permiso que le había sido concedido en su condición de madre biológica.</w:t>
      </w:r>
    </w:p>
    <w:p w14:paraId="6A24EE5C" w14:textId="77777777" w:rsidR="00A8138F" w:rsidRDefault="00A8138F" w:rsidP="00A8138F">
      <w:pPr>
        <w:pStyle w:val="TextoNormal"/>
      </w:pPr>
    </w:p>
    <w:p w14:paraId="1B9954B8" w14:textId="77777777" w:rsidR="00A8138F" w:rsidRDefault="00A8138F" w:rsidP="00A8138F">
      <w:pPr>
        <w:pStyle w:val="TextoNormal"/>
      </w:pPr>
      <w:r>
        <w:t>c) La sentencia del juzgado de lo social fue recurrida en suplicación por el INSS ante la Sala de lo Social del Tribunal Superior de Justicia de Cataluña, recurso 5958-2022, la cual desestimó el recurso en sentencia dictada el 22 de febrero de 2023, confirmando lo resuelto en la instancia.</w:t>
      </w:r>
    </w:p>
    <w:p w14:paraId="7DD319F7" w14:textId="77777777" w:rsidR="00A8138F" w:rsidRDefault="00A8138F" w:rsidP="00A8138F">
      <w:pPr>
        <w:pStyle w:val="TextoNormal"/>
      </w:pPr>
    </w:p>
    <w:p w14:paraId="7C2EAE6C" w14:textId="77777777" w:rsidR="00A8138F" w:rsidRDefault="00A8138F" w:rsidP="00A8138F">
      <w:pPr>
        <w:pStyle w:val="TextoNormal"/>
      </w:pPr>
      <w:r>
        <w:t xml:space="preserve">El recurso de suplicación se formuló en un único motivo, por la vía del apartado c) del art. 193 de la Ley reguladora de la jurisdicción social, considerando que la sentencia de instancia infringía la literalidad del art. 48.4 LET, en la redacción dada por el Real Decreto-ley 6/2019, de 1 de marzo, de medidas urgentes para garantía de la igualdad de trato y de oportunidades entre mujeres y hombres en el empleo y la ocupación, en relación con lo dispuesto en los arts. 177 y 178 de la Ley general de la Seguridad Social (LGSS), e interpretaba de forma incorrecta la Convención sobre los derechos del niño, adoptada por la </w:t>
      </w:r>
      <w:r>
        <w:lastRenderedPageBreak/>
        <w:t>Asamblea General de las Naciones Unidas el 20 de noviembre de 1989, ratificada por España.</w:t>
      </w:r>
    </w:p>
    <w:p w14:paraId="0FC06E9D" w14:textId="77777777" w:rsidR="00A8138F" w:rsidRDefault="00A8138F" w:rsidP="00A8138F">
      <w:pPr>
        <w:pStyle w:val="TextoNormal"/>
      </w:pPr>
    </w:p>
    <w:p w14:paraId="65D293C6" w14:textId="77777777" w:rsidR="00A8138F" w:rsidRDefault="00A8138F" w:rsidP="00A8138F">
      <w:pPr>
        <w:pStyle w:val="TextoNormal"/>
      </w:pPr>
      <w:r>
        <w:t>La Sala consideró que lo único trascendente en este caso era el derecho de la menor a disfrutar de los cuidados y atención de su progenitor o progenitores por un tiempo determinado. Por tal motivo, y para evitar un trato discriminatorio por razón de nacimiento y de su condición personal, entendió que la progenitora única que se ocupaba del cuidado de la menor debía tener derecho a disfrutar de un permiso equivalente al que hubiese correspondido al otro progenitor, de existir este. La sentencia de suplicación vino a reiterar doctrina de la Sala, recogida en sentencia de Pleno de la Sala de lo Social del Tribunal Superior de Justicia de Cataluña, de 29 de noviembre de 2022 (ECLI:ES:TSJCAT:2022:9227), según la cual “la protección que la Seguridad Social dispensa a la ‘maternidad’ va mucho más allá del descanso asociado al alumbramiento, y tiene como uno de sus principales fundamentos ‘la necesidad de convivencia y contacto permanente entre madre e hijo’”. Subrayó también que el art. 39 CE proporcionaba diversos principios que habían de presidir la interpretación de las leyes vigentes (art. 53.3 CE): procurar la protección social de la familia, la protección integral de los hijos y velar por los derechos de los niños.</w:t>
      </w:r>
    </w:p>
    <w:p w14:paraId="62397094" w14:textId="77777777" w:rsidR="00A8138F" w:rsidRDefault="00A8138F" w:rsidP="00A8138F">
      <w:pPr>
        <w:pStyle w:val="TextoNormal"/>
      </w:pPr>
    </w:p>
    <w:p w14:paraId="61EADE4F" w14:textId="77777777" w:rsidR="00A8138F" w:rsidRDefault="00A8138F" w:rsidP="00A8138F">
      <w:pPr>
        <w:pStyle w:val="TextoNormal"/>
      </w:pPr>
      <w:r>
        <w:t>d) Formalizado por el INSS recurso de casación para la unificación de doctrina, el mismo fue resuelto por sentencia núm. 708/2024, de 22 de mayo, de la Sala de lo Social del Tribunal Supremo, que estimó el recurso de casación, casó y anuló la sentencia de la Sala de lo Social del Tribunal Superior de Justicia de Cataluña y resolvió el recurso de suplicación interpuesto por el INSS en el sentido de revocar la sentencia del Juzgado de lo Social núm. 13 de Barcelona y confirmar las resoluciones administrativas denegatorias de la ampliación del permiso.</w:t>
      </w:r>
    </w:p>
    <w:p w14:paraId="08146BF6" w14:textId="77777777" w:rsidR="00A8138F" w:rsidRDefault="00A8138F" w:rsidP="00A8138F">
      <w:pPr>
        <w:pStyle w:val="TextoNormal"/>
      </w:pPr>
    </w:p>
    <w:p w14:paraId="1F0E6668" w14:textId="53128176" w:rsidR="00A8138F" w:rsidRDefault="00A8138F" w:rsidP="00A8138F">
      <w:pPr>
        <w:pStyle w:val="TextoNormal"/>
      </w:pPr>
      <w:r>
        <w:t>La sentencia de casación aplicó la doctrina fijada por la sentencia de Pleno de la Sala de lo Social del Tribunal Supremo de 2 de marzo de 2023 (ECLI:ES:TS:2023:783), aclarada por auto de 22 de marzo de 2023 (ECLI:ES:TS:2023:3279AA), que sostuvo que la función de los jueces y tribunales es la interpretación y aplicación de las normas, no la creación del Derecho. La Sala consideró que lo pretendido por la actora en la instancia era algo que correspondía conceder exclusivamente al legislador, y que esta función no podía ser suplida por los órganos judiciales a través de resoluciones que implicaban una modificación del régimen prestacional de la Seguridad Social y de la regulación de la suspensión del contrato de trabajo por causas no previstas en la ley. Razonaba la Sala del Alto Tribunal que la norma impugnada no era contraria a la Constitución, sino expresión de la voluntad legislativa tendente al cumplimiento estricto y completo de los principios que rigen esta materia. Añadía que el interés del menor no era lo único que estaba en juego en esta materia. Era preciso tener en cuenta también que el reconocimiento de la prestación correspondiente al progenitor distinto de la madre biológica en familias biparentales precisaba del alta en la Seguridad Social de ese otro progenitor y la cobertura de un periodo mínimo de carencia. Por último, consideraba la sentencia que la perspectiva de género resultaba determinante porque lo que se pedía se situaba en el ámbito de la creación del Derecho, y el eventual déficit de protección denunciado había sido querido y consentido por el legislador.</w:t>
      </w:r>
    </w:p>
    <w:p w14:paraId="231075F1" w14:textId="77777777" w:rsidR="00A8138F" w:rsidRDefault="00A8138F" w:rsidP="00A8138F">
      <w:pPr>
        <w:pStyle w:val="TextoNormal"/>
      </w:pPr>
    </w:p>
    <w:p w14:paraId="45FA3DB6" w14:textId="77777777" w:rsidR="00A8138F" w:rsidRDefault="00A8138F" w:rsidP="00A8138F">
      <w:pPr>
        <w:pStyle w:val="TextoNormal"/>
      </w:pPr>
      <w:r w:rsidRPr="00A8138F">
        <w:rPr>
          <w:rStyle w:val="NumeroAFNegritaCaracter"/>
        </w:rPr>
        <w:t>3</w:t>
      </w:r>
      <w:r>
        <w:t xml:space="preserve">. En la demanda de amparo la recurrente invoca la vulneración del derecho de igualdad del art 14 CE, en una doble vertiente: (a) discriminación indirecta por razón de sexo, dado que estadísticamente en la mayoría de las familias monoparentales la única progenitora es </w:t>
      </w:r>
      <w:r>
        <w:lastRenderedPageBreak/>
        <w:t>una mujer, con lo que se estaría perjudicando de manera desproporcionada a las mujeres sin una justificación objetiva y razonable; (b) discriminación directa de los hijos e hijas nacidos en familias monoparentales, a los que se estaría dispensando un trato perjudicial y desproporcionado —al reducirse a la mitad el tiempo que pueden recibir cuidados directos de sus progenitores— debido a circunstancias personales y familiares vinculadas a su nacimiento; todo lo cual supone una vulneración del art. 14 CE en relación con el art. 39 CE, apartados 1, 3 y 4, y de los acuerdos internacionales en la materia.</w:t>
      </w:r>
    </w:p>
    <w:p w14:paraId="1E946B31" w14:textId="77777777" w:rsidR="00A8138F" w:rsidRDefault="00A8138F" w:rsidP="00A8138F">
      <w:pPr>
        <w:pStyle w:val="TextoNormal"/>
      </w:pPr>
    </w:p>
    <w:p w14:paraId="345065E3" w14:textId="16BBFB13" w:rsidR="00A8138F" w:rsidRDefault="00A8138F" w:rsidP="00A8138F">
      <w:pPr>
        <w:pStyle w:val="TextoNormal"/>
      </w:pPr>
      <w:r>
        <w:t>Solicita que, con otorgamiento del amparo pedido, se declare vulnerado el derecho a no ser discriminada por razón de sexo y por razón de nacimiento (art. 14 CE en relación con el art. 39 CE) y que, en consecuencia, se decrete la nulidad de las resoluciones administrativas que denegaron la ampliación del permiso por nacimiento de hijos que le había sido reconocido en su condición de madre biológica y de todas las resoluciones judiciales posteriores, y se ordene el dictado de una nueva resolución en que se respetasen los derechos fundamentales vulnerados.</w:t>
      </w:r>
    </w:p>
    <w:p w14:paraId="29BA5882" w14:textId="77777777" w:rsidR="00A8138F" w:rsidRDefault="00A8138F" w:rsidP="00A8138F">
      <w:pPr>
        <w:pStyle w:val="TextoNormal"/>
      </w:pPr>
    </w:p>
    <w:p w14:paraId="122FB381" w14:textId="77777777" w:rsidR="00A8138F" w:rsidRDefault="00A8138F" w:rsidP="00A8138F">
      <w:pPr>
        <w:pStyle w:val="TextoNormal"/>
      </w:pPr>
      <w:r w:rsidRPr="00A8138F">
        <w:rPr>
          <w:rStyle w:val="NumeroAFNegritaCaracter"/>
        </w:rPr>
        <w:t>4</w:t>
      </w:r>
      <w:r>
        <w:t>. Por providencia de 4 de noviembre de 2024, la Sección Tercera de este Tribunal Constitucional acordó admitir a trámite la demanda de amparo, al apreciar que concurría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45AF09F0" w14:textId="77777777" w:rsidR="00A8138F" w:rsidRDefault="00A8138F" w:rsidP="00A8138F">
      <w:pPr>
        <w:pStyle w:val="TextoNormal"/>
      </w:pPr>
    </w:p>
    <w:p w14:paraId="406E59F4" w14:textId="419D7D42" w:rsidR="00A8138F" w:rsidRDefault="00A8138F" w:rsidP="00A8138F">
      <w:pPr>
        <w:pStyle w:val="TextoNormal"/>
      </w:pPr>
      <w:r>
        <w:t>En aplicación de lo previsto en el art. 51 LOTC se requirió a la Sala de lo Social del Tribunal Supremo y a la Sala de lo Social del Tribunal Superior de Justicia de Cataluña, a fin de que, en el plazo que no excediera de diez días, remitiesen certificación o fotocopia adverada de las actuaciones correspondientes. Asimismo, se acordó dirigir atenta comunicación al Juzgado de lo Social núm. 13 de Barcelona a fin de que, en plazo que no excediera de diez días, remitiese certificación o fotocopia adverada de las actuaciones, y emplazase a quienes hubieran sido parte en el procedimiento, excepto la parte recurrente en amparo, para que, si así lo deseaban, pudieran comparecer en el presente recurso.</w:t>
      </w:r>
    </w:p>
    <w:p w14:paraId="5EE017EF" w14:textId="77777777" w:rsidR="00A8138F" w:rsidRDefault="00A8138F" w:rsidP="00A8138F">
      <w:pPr>
        <w:pStyle w:val="TextoNormal"/>
      </w:pPr>
    </w:p>
    <w:p w14:paraId="4E6FEBBF" w14:textId="2D3B9214" w:rsidR="00A8138F" w:rsidRDefault="00A8138F" w:rsidP="00A8138F">
      <w:pPr>
        <w:pStyle w:val="TextoNormal"/>
      </w:pPr>
      <w:r w:rsidRPr="00A8138F">
        <w:rPr>
          <w:rStyle w:val="NumeroAFNegritaCaracter"/>
        </w:rPr>
        <w:t>5</w:t>
      </w:r>
      <w:r>
        <w:t>. Mediante escrito presentado el día 27 de noviembre de 2024, el letrado de la administración de la Seguridad Social, actuando en nombre y representación del INSS y la Tesorería General de la Seguridad Social (TGSS), interesó su personación en el presente recurso de amparo.</w:t>
      </w:r>
    </w:p>
    <w:p w14:paraId="3564C252" w14:textId="77777777" w:rsidR="00A8138F" w:rsidRDefault="00A8138F" w:rsidP="00A8138F">
      <w:pPr>
        <w:pStyle w:val="TextoNormal"/>
      </w:pPr>
    </w:p>
    <w:p w14:paraId="38D53D6F" w14:textId="6287F1E1" w:rsidR="00A8138F" w:rsidRDefault="00A8138F" w:rsidP="00A8138F">
      <w:pPr>
        <w:pStyle w:val="TextoNormal"/>
      </w:pPr>
      <w:r w:rsidRPr="00A8138F">
        <w:rPr>
          <w:rStyle w:val="NumeroAFNegritaCaracter"/>
        </w:rPr>
        <w:t>6</w:t>
      </w:r>
      <w:r>
        <w:t>. Por diligencia de ordenación de 2 de diciembre de 2024 se acordó tener por personada y parte en el presente procedimiento a la letrada de la administración de la Seguridad Social, en nombre y representación del INSS y de la TGSS, y se ordenó dar vista de las actuaciones a la recurrente, al Ministerio Fiscal y a la parte personada, por plazo común de veinte días, para que pudieran presentar las alegaciones que estimaran pertinentes.</w:t>
      </w:r>
    </w:p>
    <w:p w14:paraId="72222D0C" w14:textId="77777777" w:rsidR="00A8138F" w:rsidRDefault="00A8138F" w:rsidP="00A8138F">
      <w:pPr>
        <w:pStyle w:val="TextoNormal"/>
      </w:pPr>
    </w:p>
    <w:p w14:paraId="0EB38244" w14:textId="77777777" w:rsidR="00A8138F" w:rsidRDefault="00A8138F" w:rsidP="00A8138F">
      <w:pPr>
        <w:pStyle w:val="TextoNormal"/>
      </w:pPr>
      <w:r w:rsidRPr="00A8138F">
        <w:rPr>
          <w:rStyle w:val="NumeroAFNegritaCaracter"/>
        </w:rPr>
        <w:t>7</w:t>
      </w:r>
      <w:r>
        <w:t>. La fiscal ante este Tribunal Constitucional presentó escrito el 18 de diciembre de 2024 en el que vierte sus alegaciones interesando la estimación del recurso de amparo. Considera que la STC 140/2024, de 6 de noviembre, ha establecido una doctrina constitucional específica para la cuestión debatida en el presente recurso de amparo, al declarar inconstitucio</w:t>
      </w:r>
      <w:r>
        <w:lastRenderedPageBreak/>
        <w:t>nales los arts. 48.4 LET y 177 LGSS, por vulneración del derecho reconocido en el art. 14 CE, en relación con el art. 39 CE, invocados ambos en el presente recurso. Es notorio que el Tribunal Constitucional no ha declarado la nulidad de las mencionadas normas legales, sino que ha fijado una interpretación provisional acorde a la Constitución Española, que afecta tanto a la normativa sobre la suspensión del contrato de trabajo allí establecida como a la prestación de la Seguridad Social anudada a dicha suspensión, todo lo cual es directamente aplicable al presente recurso.</w:t>
      </w:r>
    </w:p>
    <w:p w14:paraId="68C89523" w14:textId="77777777" w:rsidR="00A8138F" w:rsidRDefault="00A8138F" w:rsidP="00A8138F">
      <w:pPr>
        <w:pStyle w:val="TextoNormal"/>
      </w:pPr>
    </w:p>
    <w:p w14:paraId="2FE9505A" w14:textId="77777777" w:rsidR="00A8138F" w:rsidRDefault="00A8138F" w:rsidP="00A8138F">
      <w:pPr>
        <w:pStyle w:val="TextoNormal"/>
      </w:pPr>
      <w:r>
        <w:t>Aplicando la doctrina recogida en dicha sentencia, la fiscal entiende que en este caso debe estimarse el recurso de amparo, declararse vulnerado el derecho a la igualdad y no discriminación por razón de nacimiento, en relación con la protección integral de los hijos, con independencia de su filiación y conforme a lo previsto en los convenios internacionales que velan por sus derechos (art. 14 CE en relación con el art. 39 CE).</w:t>
      </w:r>
    </w:p>
    <w:p w14:paraId="6A3DACDF" w14:textId="77777777" w:rsidR="00A8138F" w:rsidRDefault="00A8138F" w:rsidP="00A8138F">
      <w:pPr>
        <w:pStyle w:val="TextoNormal"/>
      </w:pPr>
    </w:p>
    <w:p w14:paraId="0DB90CFA" w14:textId="154DD524" w:rsidR="00A8138F" w:rsidRDefault="00A8138F" w:rsidP="00A8138F">
      <w:pPr>
        <w:pStyle w:val="TextoNormal"/>
      </w:pPr>
      <w:r>
        <w:t>En cuanto a los efectos de la estimación del recurso, indica que en el presente supuesto se da la particularidad de que, por la fecha de nacimiento de la niña —12 de septiembre de 2020—, son de aplicación las precisiones establecidas en la disposición transitoria decimotercera del Real Decreto-ley 6/2019, de 1 de marzo. Tanto la sentencia del Juzgado de lo Social núm. 13 de Barcelona, de 4 de mayo de 2022, como la sentencia del Tribunal Superior de Justicia de Cataluña, de 22 de febrero de 2023, estiman las pretensiones de la demandante de amparo y lo hacen ajustándose a las reglas dada en el fundamento jurídico 7 de la STC 140/2024. Por ello considera que, en aras al restablecimiento de la demandante de amparo en su derecho fundamental, la estimación del recurso de amparo debe conllevar la nulidad en exclusiva de la sentencia núm. 708/2024 de la Sala de lo Social del Tribunal Supremo, dejándose firme la sentencia dictada por la Sala de lo Social del Tribunal Superior de Justicia de Cataluña.</w:t>
      </w:r>
    </w:p>
    <w:p w14:paraId="3C6E2514" w14:textId="77777777" w:rsidR="00A8138F" w:rsidRDefault="00A8138F" w:rsidP="00A8138F">
      <w:pPr>
        <w:pStyle w:val="TextoNormal"/>
      </w:pPr>
    </w:p>
    <w:p w14:paraId="2528C9C6" w14:textId="4333B4C4" w:rsidR="00A8138F" w:rsidRDefault="00A8138F" w:rsidP="00A8138F">
      <w:pPr>
        <w:pStyle w:val="TextoNormal"/>
      </w:pPr>
      <w:r w:rsidRPr="00A8138F">
        <w:rPr>
          <w:rStyle w:val="NumeroAFNegritaCaracter"/>
        </w:rPr>
        <w:t>8</w:t>
      </w:r>
      <w:r>
        <w:t>. A través de escrito presentado el 14 de enero de 2025, el letrado de la administración de la Seguridad Social ha formulado alegaciones en representación del INSS y de la TGSS, postulando la desestimación del recurso de amparo. Teniendo en cuenta la reciente STC 140/2024, de 6 de noviembre, el letrado se limita, a fin de evitar reiteraciones, a ratificarse en las alegaciones que ha realizado como parte demandada a lo largo de todo el procedimiento. Solicita la desestimación del recurso de amparo por entender ajustadas a Derecho las resoluciones administrativas dictadas, así como la sentencia dictada en casación. No obstante, para el caso de que sea estimado el recurso de amparo, interesa que el aumento de la duración del permiso laboral y la correlativa prestación de la Seguridad Social, tras el agotamiento de las primeras dieciséis semanas, sea como máximo de ocho semanas, en aplicación de la disposición transitoria decimotercera LET. Añade, además, que el reconocimiento de esta ampliación del permiso deberá quedar supeditado al cumplimiento del resto de los requisitos legalmente establecidos para el percibo de la prestación, entre los que se incluye el haber hecho efectivo el descanso, sin prestación de servicios por cuenta ajena ni percibir las correspondientes retribuciones.</w:t>
      </w:r>
    </w:p>
    <w:p w14:paraId="79B65C66" w14:textId="77777777" w:rsidR="00A8138F" w:rsidRDefault="00A8138F" w:rsidP="00A8138F">
      <w:pPr>
        <w:pStyle w:val="TextoNormal"/>
      </w:pPr>
    </w:p>
    <w:p w14:paraId="7A1A3BA7" w14:textId="5B6F7498" w:rsidR="00A8138F" w:rsidRDefault="00A8138F" w:rsidP="00A8138F">
      <w:pPr>
        <w:pStyle w:val="TextoNormal"/>
      </w:pPr>
      <w:r w:rsidRPr="00A8138F">
        <w:rPr>
          <w:rStyle w:val="NumeroAFNegritaCaracter"/>
        </w:rPr>
        <w:t>9</w:t>
      </w:r>
      <w:r>
        <w:t>. El Pleno del Tribunal Constitucional, el 18 de marzo de 2025, dictó providencia en la que acuerda, a propuesta de su presidente, recabar para sí el conocimiento de este recurso, conforme a lo establecido en el art. 10.1 n) LOTC.</w:t>
      </w:r>
    </w:p>
    <w:p w14:paraId="64177390" w14:textId="77777777" w:rsidR="00A8138F" w:rsidRDefault="00A8138F" w:rsidP="00A8138F">
      <w:pPr>
        <w:pStyle w:val="TextoNormal"/>
      </w:pPr>
    </w:p>
    <w:p w14:paraId="480A95E4" w14:textId="592515C8" w:rsidR="00A8138F" w:rsidRDefault="00A8138F" w:rsidP="00A8138F">
      <w:pPr>
        <w:pStyle w:val="TextoNormal"/>
      </w:pPr>
      <w:r w:rsidRPr="00A8138F">
        <w:rPr>
          <w:rStyle w:val="NumeroAFNegritaCaracter"/>
        </w:rPr>
        <w:lastRenderedPageBreak/>
        <w:t>10</w:t>
      </w:r>
      <w:r>
        <w:t>. Mediante providencia de 18 de marzo de 2025 se señaló ese mismo día para la deliberación y votación de la presente sentencia.</w:t>
      </w:r>
    </w:p>
    <w:p w14:paraId="6013AE50" w14:textId="77777777" w:rsidR="00A8138F" w:rsidRDefault="00A8138F" w:rsidP="00A8138F">
      <w:pPr>
        <w:pStyle w:val="TextoNormal"/>
      </w:pPr>
    </w:p>
    <w:p w14:paraId="7B02D579" w14:textId="77777777" w:rsidR="00A8138F" w:rsidRDefault="00A8138F" w:rsidP="00A8138F">
      <w:pPr>
        <w:pStyle w:val="TextoNormalNegritaCentrado"/>
        <w:keepNext/>
      </w:pPr>
      <w:r>
        <w:t>II. Fundamentos jurídicos</w:t>
      </w:r>
    </w:p>
    <w:p w14:paraId="6F8061F2" w14:textId="2B3A6A0A" w:rsidR="00A8138F" w:rsidRDefault="00A8138F" w:rsidP="00A8138F">
      <w:pPr>
        <w:pStyle w:val="TextoNormalNegritaCentrado"/>
        <w:keepNext/>
      </w:pPr>
    </w:p>
    <w:p w14:paraId="0A0F74F2"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1CFD99ED" w14:textId="77777777" w:rsidR="00A8138F" w:rsidRDefault="00A8138F" w:rsidP="00A8138F">
      <w:pPr>
        <w:pStyle w:val="TextoNormal"/>
      </w:pPr>
    </w:p>
    <w:p w14:paraId="01E0B1C0" w14:textId="5881FE3A" w:rsidR="00A8138F" w:rsidRDefault="00A8138F" w:rsidP="00A8138F">
      <w:pPr>
        <w:pStyle w:val="TextoNormal"/>
      </w:pPr>
      <w:r>
        <w:t>El objeto del presente proceso es dilucidar si la sentencia recurrida, de la Sala de lo Social del Tribunal Supremo, núm 708/2024, de 22 de mayo, ha ocasionado una discriminación por razón de nacimiento, contraria al art. 14 CE en relación con el art. 39 CE, al revocar y anular la sentencia del Tribunal Superior de Justicia de Cataluña que ratificaba la concesión a la demandante del permiso por nacimiento de hijo correspondiente al progenitor distinto de la madre biológica con una duración de ocho semanas.</w:t>
      </w:r>
    </w:p>
    <w:p w14:paraId="1EF276DA" w14:textId="77777777" w:rsidR="00A8138F" w:rsidRDefault="00A8138F" w:rsidP="00A8138F">
      <w:pPr>
        <w:pStyle w:val="TextoNormal"/>
      </w:pPr>
    </w:p>
    <w:p w14:paraId="010FDB2F"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504D58C1" w14:textId="77777777" w:rsidR="00A8138F" w:rsidRDefault="00A8138F" w:rsidP="00A8138F">
      <w:pPr>
        <w:pStyle w:val="TextoNormal"/>
      </w:pPr>
    </w:p>
    <w:p w14:paraId="4FD5F955"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2D2333D0" w14:textId="77777777" w:rsidR="00A8138F" w:rsidRDefault="00A8138F" w:rsidP="00A8138F">
      <w:pPr>
        <w:pStyle w:val="TextoNormal"/>
      </w:pPr>
    </w:p>
    <w:p w14:paraId="3E2B98D2"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46B356F" w14:textId="77777777" w:rsidR="00A8138F" w:rsidRDefault="00A8138F" w:rsidP="00A8138F">
      <w:pPr>
        <w:pStyle w:val="TextoNormal"/>
      </w:pPr>
    </w:p>
    <w:p w14:paraId="35F0D292"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w:t>
      </w:r>
      <w:r>
        <w:lastRenderedPageBreak/>
        <w:t xml:space="preserve">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6EF1DB27" w14:textId="77777777" w:rsidR="00A8138F" w:rsidRDefault="00A8138F" w:rsidP="00A8138F">
      <w:pPr>
        <w:pStyle w:val="TextoNormal"/>
      </w:pPr>
    </w:p>
    <w:p w14:paraId="0EF859D0" w14:textId="1929FEE6" w:rsidR="00A8138F" w:rsidRDefault="00A8138F" w:rsidP="00A8138F">
      <w:pPr>
        <w:pStyle w:val="TextoNormal"/>
      </w:pPr>
      <w:r>
        <w:t>En consecuencia, debe estimarse la demanda y otorgar el amparo solicitado, declarando la nulidad de la sentencia núm. 708/2024, de 22 de mayo, de la Sala de lo Social del Tribunal Supremo, y —como indica el fiscal en sus alegaciones— declarar la firmeza de la sentencia dictada el 22 de febrero de 2023 por la Sala de lo Social del Tribunal Superior de Justicia de Cataluña, al ser esta última acorde con el pronunciamiento de la STC 140/2024, de 6 de noviembre, FJ 7, que dispone que en tanto el legislador no lleve a cabo la consiguiente reforma normativa, en las familias monoparentales el permiso a que hace referencia el art. 48.4 LET, en relación con el art. 177 LGSS, ha de ser interpretado en el sentido de adicionarse al permiso previsto en el primer párrafo para la madre biológica, el previsto en el párrafo segundo para el progenitor distinto de la madre biológica conforme a la legislación aplicable, excluyendo las semanas que necesariamente deben disfrutarse de forma ininterrumpida e inmediatamente posterior al parto.</w:t>
      </w:r>
    </w:p>
    <w:p w14:paraId="41FF7B56" w14:textId="77777777" w:rsidR="00A8138F" w:rsidRDefault="00A8138F" w:rsidP="00A8138F">
      <w:pPr>
        <w:pStyle w:val="TextoNormal"/>
      </w:pPr>
    </w:p>
    <w:p w14:paraId="27D81957" w14:textId="77777777" w:rsidR="00A8138F" w:rsidRDefault="00A8138F" w:rsidP="00A8138F">
      <w:pPr>
        <w:pStyle w:val="TextoNormalCentrado"/>
        <w:keepNext/>
      </w:pPr>
      <w:r>
        <w:t>FALLO</w:t>
      </w:r>
    </w:p>
    <w:p w14:paraId="7715535F" w14:textId="082C557C" w:rsidR="00A8138F" w:rsidRDefault="00A8138F" w:rsidP="00A8138F">
      <w:pPr>
        <w:pStyle w:val="TextoNormalCentrado"/>
        <w:keepNext/>
      </w:pPr>
    </w:p>
    <w:p w14:paraId="32C7D4F8" w14:textId="77777777" w:rsidR="00A8138F" w:rsidRDefault="00A8138F" w:rsidP="00A8138F">
      <w:pPr>
        <w:pStyle w:val="TextoNormal"/>
      </w:pPr>
      <w:r>
        <w:t>En atención a todo lo expuesto, el Tribunal Constitucional, por la autoridad que le confiere la Constitución de la Nación española, ha decidido:</w:t>
      </w:r>
    </w:p>
    <w:p w14:paraId="7B3A0D5D" w14:textId="77777777" w:rsidR="00A8138F" w:rsidRDefault="00A8138F" w:rsidP="00A8138F">
      <w:pPr>
        <w:pStyle w:val="TextoNormal"/>
      </w:pPr>
    </w:p>
    <w:p w14:paraId="32748901" w14:textId="77777777" w:rsidR="00A8138F" w:rsidRDefault="00A8138F" w:rsidP="00A8138F">
      <w:pPr>
        <w:pStyle w:val="TextoNormal"/>
      </w:pPr>
      <w:r>
        <w:t>1º Estimar la demanda presentada por doña Núria Samper París por vulneración del derecho fundamental de igualdad ante la ley sin discriminación por razón de nacimiento (art. 14 CE) de hija menor en familia monoparental.</w:t>
      </w:r>
    </w:p>
    <w:p w14:paraId="3AD6C909" w14:textId="77777777" w:rsidR="00A8138F" w:rsidRDefault="00A8138F" w:rsidP="00A8138F">
      <w:pPr>
        <w:pStyle w:val="TextoNormal"/>
      </w:pPr>
    </w:p>
    <w:p w14:paraId="0C8D6766" w14:textId="4202AC11" w:rsidR="00A8138F" w:rsidRDefault="00A8138F" w:rsidP="00A8138F">
      <w:pPr>
        <w:pStyle w:val="TextoNormal"/>
      </w:pPr>
      <w:r>
        <w:t>2º Restablecerla en su derecho y, a tal fin, declarar la nulidad de la sentencia núm. 708/2024, de 22 de mayo, de la Sala de lo Social del Tribunal Supremo, recaída en el recurso de casación para la unificación de doctrina núm. 2127-2023, declarando la firmeza de la sentencia dictada por la Sala de lo Social del Tribunal Superior de Justicia de Cataluña el 22 de febrero de 2023, en el recurso de suplicación núm. 5958-2022.</w:t>
      </w:r>
    </w:p>
    <w:p w14:paraId="58F2CFBA" w14:textId="77777777" w:rsidR="00A8138F" w:rsidRDefault="00A8138F" w:rsidP="00A8138F">
      <w:pPr>
        <w:pStyle w:val="TextoNormal"/>
      </w:pPr>
    </w:p>
    <w:p w14:paraId="5D87741F" w14:textId="77777777" w:rsidR="00A8138F" w:rsidRDefault="00A8138F" w:rsidP="00A8138F">
      <w:pPr>
        <w:pStyle w:val="TextoNormal"/>
      </w:pPr>
      <w:r>
        <w:t>Publíquese esta sentencia en el “Boletín Oficial del Estado”.</w:t>
      </w:r>
    </w:p>
    <w:p w14:paraId="05103073" w14:textId="77777777" w:rsidR="00A8138F" w:rsidRDefault="00A8138F" w:rsidP="00A8138F">
      <w:pPr>
        <w:pStyle w:val="TextoNormal"/>
      </w:pPr>
      <w:r>
        <w:t>Dada en Cádiz, a dieciocho de marzo de dos mil veinticinco.</w:t>
      </w:r>
    </w:p>
    <w:p w14:paraId="23231776" w14:textId="1447C849" w:rsidR="00A8138F" w:rsidRDefault="00A8138F">
      <w:pPr>
        <w:spacing w:after="160" w:line="278" w:lineRule="auto"/>
        <w:rPr>
          <w:rFonts w:ascii="Times New Roman" w:eastAsia="Times New Roman" w:hAnsi="Times New Roman" w:cs="Times New Roman"/>
          <w:sz w:val="24"/>
          <w:szCs w:val="24"/>
          <w:lang w:eastAsia="es-ES"/>
        </w:rPr>
      </w:pPr>
      <w:r>
        <w:br w:type="page"/>
      </w:r>
    </w:p>
    <w:p w14:paraId="588E6BEC" w14:textId="77777777" w:rsidR="00A8138F" w:rsidRDefault="00A8138F" w:rsidP="00A8138F">
      <w:pPr>
        <w:pStyle w:val="TtuloResolucin"/>
      </w:pPr>
      <w:bookmarkStart w:id="69" w:name="SENTENCIA_2025_67"/>
      <w:r>
        <w:lastRenderedPageBreak/>
        <w:t>SENTENCIA 67/2025, de 18 de marzo de 2025</w:t>
      </w:r>
    </w:p>
    <w:bookmarkEnd w:id="69"/>
    <w:p w14:paraId="3A317C66" w14:textId="77777777" w:rsidR="00A8138F" w:rsidRDefault="00A8138F" w:rsidP="00A8138F">
      <w:pPr>
        <w:pStyle w:val="TtuloResolucin"/>
      </w:pPr>
      <w:r>
        <w:t>Pleno</w:t>
      </w:r>
    </w:p>
    <w:p w14:paraId="729E1963" w14:textId="77777777" w:rsidR="00A8138F" w:rsidRDefault="00A8138F" w:rsidP="00A8138F">
      <w:pPr>
        <w:pStyle w:val="TtuloBOE"/>
      </w:pPr>
      <w:r>
        <w:t>(BOE núm. 88, de 11 de abril de 2025)</w:t>
      </w:r>
    </w:p>
    <w:p w14:paraId="63E2D57B" w14:textId="77777777" w:rsidR="00A8138F" w:rsidRDefault="00A8138F" w:rsidP="00A8138F">
      <w:pPr>
        <w:pStyle w:val="TextoNormalCentrado"/>
      </w:pPr>
      <w:r>
        <w:t>ECLI:ES:TC:2025:67</w:t>
      </w:r>
    </w:p>
    <w:p w14:paraId="738AA25D" w14:textId="2883D082" w:rsidR="00A8138F" w:rsidRDefault="00A8138F" w:rsidP="00A8138F">
      <w:pPr>
        <w:pStyle w:val="TextoNormalCentrado"/>
      </w:pPr>
    </w:p>
    <w:p w14:paraId="434720B0" w14:textId="77777777" w:rsidR="00A8138F" w:rsidRDefault="00A8138F" w:rsidP="00A8138F">
      <w:pPr>
        <w:pStyle w:val="SntesisDescriptiva"/>
      </w:pPr>
      <w:r>
        <w:t>Recurso de amparo 6298-2024. Promovido por doña Noelia Ortego Muzás en relación con las resoluciones administrativas y judiciales que desestimaron su petición de revisión y ampliación de la prestación por nacimiento y cuidado de hijo menor, como madre biológica de familia monoparental.</w:t>
      </w:r>
    </w:p>
    <w:p w14:paraId="56AC2BD3" w14:textId="5414F6A6" w:rsidR="00A8138F" w:rsidRDefault="00A8138F" w:rsidP="00A8138F">
      <w:pPr>
        <w:pStyle w:val="SntesisDescriptiva"/>
      </w:pPr>
    </w:p>
    <w:p w14:paraId="424C351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AD5D01F" w14:textId="3465D940" w:rsidR="00A8138F" w:rsidRDefault="00A8138F" w:rsidP="00A8138F">
      <w:pPr>
        <w:pStyle w:val="SntesisAnaltica"/>
      </w:pPr>
    </w:p>
    <w:p w14:paraId="068DDB38" w14:textId="0B1FA4B0"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39AEC7E0" w14:textId="77777777" w:rsidR="00A8138F" w:rsidRDefault="00A8138F" w:rsidP="00A8138F">
      <w:pPr>
        <w:pStyle w:val="Extracto"/>
      </w:pPr>
    </w:p>
    <w:p w14:paraId="27A37410" w14:textId="77777777" w:rsidR="00A8138F" w:rsidRDefault="00A8138F" w:rsidP="00A8138F">
      <w:pPr>
        <w:pStyle w:val="Extracto"/>
      </w:pPr>
    </w:p>
    <w:p w14:paraId="631CE1E3"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0A65C1F5" w14:textId="1BCB58DD" w:rsidR="00A8138F" w:rsidRDefault="00A8138F" w:rsidP="00A8138F">
      <w:pPr>
        <w:pStyle w:val="TextoNormal"/>
      </w:pPr>
    </w:p>
    <w:p w14:paraId="2086B1CF" w14:textId="77777777" w:rsidR="00A8138F" w:rsidRDefault="00A8138F" w:rsidP="00A8138F">
      <w:pPr>
        <w:pStyle w:val="TextoNormalCentrado"/>
        <w:keepNext/>
      </w:pPr>
      <w:r>
        <w:t>EN NOMBRE DEL REY</w:t>
      </w:r>
    </w:p>
    <w:p w14:paraId="583160DD" w14:textId="795DDA25" w:rsidR="00A8138F" w:rsidRDefault="00A8138F" w:rsidP="00A8138F">
      <w:pPr>
        <w:pStyle w:val="TextoNormalCentrado"/>
        <w:keepNext/>
      </w:pPr>
    </w:p>
    <w:p w14:paraId="014AC993" w14:textId="77777777" w:rsidR="00A8138F" w:rsidRDefault="00A8138F" w:rsidP="00A8138F">
      <w:pPr>
        <w:pStyle w:val="TextoNormalCentrado"/>
        <w:keepNext/>
      </w:pPr>
    </w:p>
    <w:p w14:paraId="2F476622" w14:textId="77777777" w:rsidR="00A8138F" w:rsidRDefault="00A8138F" w:rsidP="00A8138F">
      <w:pPr>
        <w:pStyle w:val="TextoNormal"/>
      </w:pPr>
      <w:r>
        <w:t>la siguiente</w:t>
      </w:r>
    </w:p>
    <w:p w14:paraId="291B840C" w14:textId="1FA59B66" w:rsidR="00A8138F" w:rsidRDefault="00A8138F" w:rsidP="00A8138F">
      <w:pPr>
        <w:pStyle w:val="TextoNormal"/>
      </w:pPr>
    </w:p>
    <w:p w14:paraId="02965F5D" w14:textId="77777777" w:rsidR="00A8138F" w:rsidRDefault="00A8138F" w:rsidP="00A8138F">
      <w:pPr>
        <w:pStyle w:val="TextoNormalCentrado"/>
        <w:keepNext/>
      </w:pPr>
      <w:r>
        <w:t>SENTENCIA</w:t>
      </w:r>
    </w:p>
    <w:p w14:paraId="0EF758BA" w14:textId="421389B3" w:rsidR="00A8138F" w:rsidRDefault="00A8138F" w:rsidP="00A8138F">
      <w:pPr>
        <w:pStyle w:val="TextoNormalCentrado"/>
        <w:keepNext/>
      </w:pPr>
    </w:p>
    <w:p w14:paraId="05AD9B62" w14:textId="77777777" w:rsidR="00A8138F" w:rsidRDefault="00A8138F" w:rsidP="00A8138F">
      <w:pPr>
        <w:pStyle w:val="TextoNormal"/>
      </w:pPr>
      <w:r>
        <w:t xml:space="preserve">En el recurso de amparo núm. 6298-2024, promovido por doña Noelia Ortego Muzás, representada por la procuradora de los tribunales doña Alicia Suau Casado y, asistida por la letrada doña Aida Casanova Pérez, contra las resoluciones administrativas del Instituto Nacional de la Seguridad Social (INSS) denegatorias de la solicitud de ampliación de la prestación por nacimiento y cuidado de hijo menor a la madre biológica de familia monoparental; la sentencia de 9 de septiembre de 2022 del Juzgado de lo Social núm. 29 de Madrid, (autos núm. 630-2022); la sentencia de 29 de mayo de 2023 de la Sala de lo Social del Tribunal Superior de Justicia de Madrid, (recurso de suplicación núm.1-2023) y el auto de 29 de mayo de 2024 de la Sala de lo Social del Tribunal Supremo, (recurso de casación en unificación de doctrina núm. 3525-2023). Han intervenido la letrada de la administración </w:t>
      </w:r>
      <w:r>
        <w:lastRenderedPageBreak/>
        <w:t>de la Seguridad Social, y el Ministerio Fiscal. Ha sido ponente el presidente, don Cándido Conde-Pumpido Tourón.</w:t>
      </w:r>
    </w:p>
    <w:p w14:paraId="5DFA4318" w14:textId="4B368588" w:rsidR="00A8138F" w:rsidRDefault="00A8138F" w:rsidP="00A8138F">
      <w:pPr>
        <w:pStyle w:val="TextoNormal"/>
      </w:pPr>
    </w:p>
    <w:p w14:paraId="6E1FD9CC" w14:textId="77777777" w:rsidR="00A8138F" w:rsidRDefault="00A8138F" w:rsidP="00A8138F">
      <w:pPr>
        <w:pStyle w:val="TextoNormalNegritaCentrado"/>
        <w:keepNext/>
      </w:pPr>
      <w:r>
        <w:t>I. Antecedentes</w:t>
      </w:r>
    </w:p>
    <w:p w14:paraId="60BDF78A" w14:textId="72CE4451" w:rsidR="00A8138F" w:rsidRDefault="00A8138F" w:rsidP="00A8138F">
      <w:pPr>
        <w:pStyle w:val="TextoNormalNegritaCentrado"/>
        <w:keepNext/>
      </w:pPr>
    </w:p>
    <w:p w14:paraId="6333EFBB" w14:textId="0005FD68" w:rsidR="00A8138F" w:rsidRDefault="00A8138F" w:rsidP="00A8138F">
      <w:pPr>
        <w:pStyle w:val="TextoNormal"/>
      </w:pPr>
      <w:r w:rsidRPr="00A8138F">
        <w:rPr>
          <w:rStyle w:val="NumeroAFNegritaCaracter"/>
        </w:rPr>
        <w:t>1</w:t>
      </w:r>
      <w:r>
        <w:t>. El día 2 de septiembre de 2024, la procuradora de los tribunales doña Alicia Suau Casado, en nombre de la recurrente y bajo la dirección de la letrada doña Aida Casanova Pérez, interpuso recurso de amparo contra la sentencia de la Sala de lo Social del Tribunal Superior de Justicia de Madrid núm. 397/2023, de 29 de mayo, desestimatoria del recurso de suplicación núm. 1-2023 interpuesto por la demandante, contra la sentencia del Juzgado de lo Social núm. 29 de Madrid, de 9 de septiembre de 2022, desestimatoria de las pretensiones de la demanda, confirmando las resoluciones administrativas denegatorias de la ampliación del permiso por nacimiento y cuidado de hijo menor en las semanas que hubieran correspondido al otro progenitor, solicitado por la madre biológica de familia monoparental. La sentencia dictada en suplicación devino firme tras la inadmisión del recurso de casación en unificación de doctrina por auto de la Sala de lo Social del Tribunal Supremo de 29 de mayo de 2024 (recurso núm. 3525-2023).</w:t>
      </w:r>
    </w:p>
    <w:p w14:paraId="5C08D021" w14:textId="77777777" w:rsidR="00A8138F" w:rsidRDefault="00A8138F" w:rsidP="00A8138F">
      <w:pPr>
        <w:pStyle w:val="TextoNormal"/>
      </w:pPr>
    </w:p>
    <w:p w14:paraId="7DB68616" w14:textId="77777777" w:rsidR="00A8138F" w:rsidRDefault="00A8138F" w:rsidP="00A8138F">
      <w:pPr>
        <w:pStyle w:val="TextoNormal"/>
      </w:pPr>
      <w:r w:rsidRPr="00A8138F">
        <w:rPr>
          <w:rStyle w:val="NumeroAFNegritaCaracter"/>
        </w:rPr>
        <w:t>2</w:t>
      </w:r>
      <w:r>
        <w:t>. El presente recurso de amparo trae causa de los siguientes antecedentes:</w:t>
      </w:r>
    </w:p>
    <w:p w14:paraId="4976EE11" w14:textId="77777777" w:rsidR="00A8138F" w:rsidRDefault="00A8138F" w:rsidP="00A8138F">
      <w:pPr>
        <w:pStyle w:val="TextoNormal"/>
      </w:pPr>
    </w:p>
    <w:p w14:paraId="24AE3569" w14:textId="77777777" w:rsidR="00A8138F" w:rsidRDefault="00A8138F" w:rsidP="00A8138F">
      <w:pPr>
        <w:pStyle w:val="TextoNormal"/>
      </w:pPr>
      <w:r>
        <w:t>a) La recurrente, es madre biológica de un menor, nacido el día 12 de diciembre de 2021, que constituye una familia monoparental —única progenitora y de estado civil soltera—, presentando solicitud de prestación de maternidad telemáticamente, el día 18 de diciembre de 2022, en la que reclama la acumulación del permiso que hubiese correspondido al otro progenitor por nacimiento y cuidado del menor, de haber nacido en una familia biparental, debiendo ser ampliado a treinta y dos semanas. Por resolución de la dirección provincial de Madrid del INSS de 19 de enero de 2022, se le reconoció un permiso por nacimiento y cuidado del menor de dieciséis semanas de duración, en el periodo comprendido desde el 12 de septiembre de 2021 al 2 de abril de 2022, devengando una prestación del 100 por 100 de la base reguladora diaria reconocida de 132,89 €, negando la ampliación del permiso que ya pedía en la solicitud inicial.</w:t>
      </w:r>
    </w:p>
    <w:p w14:paraId="223A882C" w14:textId="77777777" w:rsidR="00A8138F" w:rsidRDefault="00A8138F" w:rsidP="00A8138F">
      <w:pPr>
        <w:pStyle w:val="TextoNormal"/>
      </w:pPr>
    </w:p>
    <w:p w14:paraId="18476AEF" w14:textId="77777777" w:rsidR="00A8138F" w:rsidRDefault="00A8138F" w:rsidP="00A8138F">
      <w:pPr>
        <w:pStyle w:val="TextoNormal"/>
      </w:pPr>
      <w:r>
        <w:t>El 25 de febrero de 2022, por la recurrente se presentó escrito de reclamación previa que fue desestimada presuntamente por silencio administrativo.</w:t>
      </w:r>
    </w:p>
    <w:p w14:paraId="12DA7926" w14:textId="77777777" w:rsidR="00A8138F" w:rsidRDefault="00A8138F" w:rsidP="00A8138F">
      <w:pPr>
        <w:pStyle w:val="TextoNormal"/>
      </w:pPr>
    </w:p>
    <w:p w14:paraId="7824C45C" w14:textId="77777777" w:rsidR="00A8138F" w:rsidRDefault="00A8138F" w:rsidP="00A8138F">
      <w:pPr>
        <w:pStyle w:val="TextoNormal"/>
      </w:pPr>
      <w:r>
        <w:t xml:space="preserve">b) Interpuesta demanda, se tramitó procedimiento especial de Seguridad Social por prestaciones (autos núm. 630-2022) ante el Juzgado de lo Social núm. 29 de Madrid, alegando sufrir discriminación proscrita en el art. 14 CE, por negar la entidad gestora de Seguridad Social la ampliación del permiso, recayendo sentencia núm. 340/2022, de 9 de septiembre, desestimatoria de la demanda interpuesta frente a la Tesorería General de la Seguridad Social (TGSS) y el INSS, siendo confirmadas las resoluciones administrativas impugnadas denegatorias de la ampliación del permiso por nacimiento y cuidado de menor, al ser progenitora en familia monoparental y entendiendo que no le corresponde el disfrute del que correspondería al otro progenitor. Se motiva dicha desestimación en el fundamento jurídico segundo de la sentencia, apreciando la magistrada que “se reclama una prestación que requiere la concurrencia de requisitos en cada progenitor, requisitos contemplados en los artículos 42.1, 177 y siguientes de la Ley general de la Seguridad Social (tras la redacción </w:t>
      </w:r>
      <w:r>
        <w:lastRenderedPageBreak/>
        <w:t>otorgada por Real Decreto-ley 6/2019, de 1 de marzo, de medidas urgentes para garantía de la igualdad de trato y de oportunidades entre mujeres y hombres en el empleo y la ocupación; “BOE” de 7 de marzo de 2019) así como el Real Decreto 295/2009, de 6 de marzo, por el que se regulan las prestaciones económicas del sistema de la Seguridad Social por maternidad, paternidad, riesgo durante el embarazo y riesgo durante la lactancia natural, incluidos los relativos a la cotización realizada a la Seguridad Social, atendiendo a la naturaleza contributiva de dicha prestación, sin que se aprecie la concurrencia de los mismos en el supuesto de hecho examinado, encontrándose huérfana de amparo normativo tal pretensión de ampliación y, por tanto, el derecho de acrecer lo de uno a favor del otro, lo que conduce a la desestimación integra de la demanda”.</w:t>
      </w:r>
    </w:p>
    <w:p w14:paraId="20E6504B" w14:textId="77777777" w:rsidR="00A8138F" w:rsidRDefault="00A8138F" w:rsidP="00A8138F">
      <w:pPr>
        <w:pStyle w:val="TextoNormal"/>
      </w:pPr>
    </w:p>
    <w:p w14:paraId="3FF548A3" w14:textId="77777777" w:rsidR="00A8138F" w:rsidRDefault="00A8138F" w:rsidP="00A8138F">
      <w:pPr>
        <w:pStyle w:val="TextoNormal"/>
      </w:pPr>
      <w:r>
        <w:t>c) Interpuesto recurso de suplicación por la demandante contra la sentencia anterior, la Sala de lo Social del Tribunal Superior de Justicia de Madrid (rec.núm.1-2023), resuelve en sentencia núm. 397/2023, de 29 de mayo, siendo desestimado el recurso y, confirmando la sentencia del Juzgado de lo Social núm. 29 de Madrid, desestimatoria de la pretensión de ampliación del permiso, absolviendo a las demandadas de los pedimentos en su contra. La sentencia acoge la doctrina fijada por la sentencia de Pleno de la Sala de lo Social del Tribunal Supremo, de 2 de marzo de 2023 (ECLI:ES:TS:2023:783), que sostuvo que la función de jueces y tribunales es la interpretación y aplicación de la norma y no la creación del Derecho; considera que lo pretendido por la actora en la instancia solo le corresponde al legislador, no pudiendo ser suplida su función por resoluciones judiciales, ya que supondría modificar el régimen prestacional de la Seguridad Social y la regulación de la suspensión del contrato de trabajo, por causas no previstas en la ley. Concluye, que la norma impugnada no es contraria a la Constitución, sino expresión de la voluntad legislativa tendente al cumplimiento estricto y completo de los principios que rigen esta materia. Que, no solo es el interés del menor el que está en juego,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Considera, que la perspectiva de género no resulta determinante porque lo que se pide se sitúa en el ámbito de la creación del Derecho, y en el caso, se estaría ante un eventual déficit de protección querido y consentido por el legislador.</w:t>
      </w:r>
    </w:p>
    <w:p w14:paraId="03351C8B" w14:textId="77777777" w:rsidR="00A8138F" w:rsidRDefault="00A8138F" w:rsidP="00A8138F">
      <w:pPr>
        <w:pStyle w:val="TextoNormal"/>
      </w:pPr>
    </w:p>
    <w:p w14:paraId="0BDC342C" w14:textId="0C39C69F" w:rsidR="00A8138F" w:rsidRDefault="00A8138F" w:rsidP="00A8138F">
      <w:pPr>
        <w:pStyle w:val="TextoNormal"/>
      </w:pPr>
      <w:r>
        <w:t>d) Formalizado recurso de casación para la unificación de doctrina por la recurrente (rec. núm. 3525-2023), por auto de la Sala de lo Social del Tribunal Supremo de 29 de mayo de 2024, se dispone la inadmisión del recurso por falta de interés casacional, declarando la firmeza de la sentencia recurrida. Es notificado el auto por lexNet a la representación letrada de la demandante, el día 5 de julio de 2024.</w:t>
      </w:r>
    </w:p>
    <w:p w14:paraId="5E655187" w14:textId="77777777" w:rsidR="00A8138F" w:rsidRDefault="00A8138F" w:rsidP="00A8138F">
      <w:pPr>
        <w:pStyle w:val="TextoNormal"/>
      </w:pPr>
    </w:p>
    <w:p w14:paraId="39E0CD4D" w14:textId="77777777" w:rsidR="00A8138F" w:rsidRDefault="00A8138F" w:rsidP="00A8138F">
      <w:pPr>
        <w:pStyle w:val="TextoNormal"/>
      </w:pPr>
      <w:r w:rsidRPr="00A8138F">
        <w:rPr>
          <w:rStyle w:val="NumeroAFNegritaCaracter"/>
        </w:rPr>
        <w:t>3</w:t>
      </w:r>
      <w:r>
        <w:t xml:space="preserve">. En la demanda de amparo la recurrente invoca la vulneración del derecho de igualdad del art 14 CE, en relación con los arts. 39, 9.2, 10.2, 24.1 y 96.1 CE, en una triple vertiente: a) vulneración del art. 14 CE, en su primer inciso, por discriminación directa por desigualdad entre madres y menores integrantes de familias monoparentales y de los integrantes de familias biparentales. Las resoluciones administrativas y judiciales impugnadas provocan una diferencia de trato entre la recurrente y las progenitoras de familias biparentales, en relación con el derecho al permiso por nacimiento y cuidado de hijos, provocando efectos perjudiciales de esa discriminación en el menor; b) discriminación directa por circunstancias personales y familiares que resulta de su decisión de formar una familia monoparental, es </w:t>
      </w:r>
      <w:r>
        <w:lastRenderedPageBreak/>
        <w:t>decir, de su condición familiar, con vulneración del art. 14 CE, segundo inciso, en relación con el art. 39 CE; y c) alega, que con dicha negativa, se ha provocado una discriminación indirecta por razón de sexo de la demandante de amparo, ya que en su mayoría las familias monoparentales, estadísticamente están configuradas por mujeres, perjudicándolas sin justificación objetiva, afectándoles en el ejercicio de su libre autodeterminación de formar familias monoparentales (art 14 CE, segundo inciso, en relación con el art. 10.1 CE). Cita doctrina constitucional recogida en la STC 11/2023, de 23 de febrero, reiterando lo dicho en su STC 71/2020, de 29 de junio, sobre distintas formas de discriminación por razón de sexo abordadas por el Tribunal Constitucional, desde la STC 145/1991, de 1 de julio, incluyendo en la prohibición de discriminación del art. 14 CE, tanto la discriminación directa como la discriminación indirecta. Respecto de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[de 22 de diciembre], ya citada, FJ 7)’ (FJ 3)”.</w:t>
      </w:r>
    </w:p>
    <w:p w14:paraId="6A2170EF" w14:textId="77777777" w:rsidR="00A8138F" w:rsidRDefault="00A8138F" w:rsidP="00A8138F">
      <w:pPr>
        <w:pStyle w:val="TextoNormal"/>
      </w:pPr>
    </w:p>
    <w:p w14:paraId="3BE0061B" w14:textId="3B6B5013" w:rsidR="00A8138F" w:rsidRDefault="00A8138F" w:rsidP="00A8138F">
      <w:pPr>
        <w:pStyle w:val="TextoNormal"/>
      </w:pPr>
      <w:r>
        <w:t>En atención a ello, la demanda de amparo, entendiendo que es palmaria la discriminación denunciada, solicita que se declare la nulidad de las resoluciones administrativas del INSS, la expresa de fecha 19 de enero de 2022 denegatoria de la ampliación del permiso y prestación por nacimiento y cuidado del menor, y tras la interposición de la reclamación previa, la presunta siendo denegada la solicitud por silencio administrativo. Así mismo, suplica, se declare la nulidad de las resoluciones judiciales dictadas en el procedimiento judicial, sentencia del Juzgado de lo Social núm. 29 de Madrid recaída en los autos núm. 630-2022, sentencia de la Sala de lo Social del Tribunal Superior de Justicia de Madrid, Sección Sexta, en el recurso de suplicación 1-2023 y, auto de inadmisión de la Sala de lo Social del Tribunal Supremo, en el recurso de casación para la unificación de doctrina, que declara la firmeza de la sentencia recurrida sin imposición de costas de la parte recurrente (recurso 3525-2023).</w:t>
      </w:r>
    </w:p>
    <w:p w14:paraId="542235A3" w14:textId="77777777" w:rsidR="00A8138F" w:rsidRDefault="00A8138F" w:rsidP="00A8138F">
      <w:pPr>
        <w:pStyle w:val="TextoNormal"/>
      </w:pPr>
    </w:p>
    <w:p w14:paraId="582B1891" w14:textId="77777777" w:rsidR="00A8138F" w:rsidRDefault="00A8138F" w:rsidP="00A8138F">
      <w:pPr>
        <w:pStyle w:val="TextoNormal"/>
      </w:pPr>
      <w:r w:rsidRPr="00A8138F">
        <w:rPr>
          <w:rStyle w:val="NumeroAFNegritaCaracter"/>
        </w:rPr>
        <w:t>4</w:t>
      </w:r>
      <w:r>
        <w:t>. Por providencia de 2 de diciembre de 2024, la Sección Primera de la Sala Primera de este Tribunal Constitucional acordó admitir a trámite la demanda de amparo, al apreciar que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w:t>
      </w:r>
    </w:p>
    <w:p w14:paraId="0B24F668" w14:textId="77777777" w:rsidR="00A8138F" w:rsidRDefault="00A8138F" w:rsidP="00A8138F">
      <w:pPr>
        <w:pStyle w:val="TextoNormal"/>
      </w:pPr>
    </w:p>
    <w:p w14:paraId="5B796EBF" w14:textId="68E74035" w:rsidR="00A8138F" w:rsidRDefault="00A8138F" w:rsidP="00A8138F">
      <w:pPr>
        <w:pStyle w:val="TextoNormal"/>
      </w:pPr>
      <w:r>
        <w:t>En aplicación de lo previsto en el art. 51 LOTC, dispuso requerir a la Sala de lo Social del Tribunal Supremo y a la Sala de lo Social del Tribunal Superior de Justicia de Madrid, a fin de que, en el plazo que no excediera de diez días, remitiesen certificación o fotocopia adverada de las actuaciones correspondientes al recurso de casación para la unificación de doctrina núm. 3525-2023, y al recurso de suplicación núm. 1-2023, respectivamente. Asimismo, acordó dirigir atenta comunicación al Juzgado de lo Social núm. 29 de Madrid a fin de que, en plazo que no excediera de diez días, remitiese certificación o fotocopia adverada de las actuaciones correspondientes a los autos núm. 630-2022, emplazando a quienes hubieran sido parte en el procedimiento, excepto la parte recurrente en amparo, para que, si lo deseaban, pudieran comparecer en el presente recurso en el plazo de diez días.</w:t>
      </w:r>
    </w:p>
    <w:p w14:paraId="631AE0A7" w14:textId="77777777" w:rsidR="00A8138F" w:rsidRDefault="00A8138F" w:rsidP="00A8138F">
      <w:pPr>
        <w:pStyle w:val="TextoNormal"/>
      </w:pPr>
    </w:p>
    <w:p w14:paraId="5F79E2F0" w14:textId="150A4528" w:rsidR="00A8138F" w:rsidRDefault="00A8138F" w:rsidP="00A8138F">
      <w:pPr>
        <w:pStyle w:val="TextoNormal"/>
      </w:pPr>
      <w:r w:rsidRPr="00A8138F">
        <w:rPr>
          <w:rStyle w:val="NumeroAFNegritaCaracter"/>
        </w:rPr>
        <w:t>5</w:t>
      </w:r>
      <w:r>
        <w:t>. Por diligencia de ordenación de la Secretaría de Justicia de la Sala Primera de este tribunal, de 30 de enero de 2025, se tuvieron por recibidos los testimonios de actuaciones remitidos por la Sala de lo Social del Tribunal Supremo, por la Sala de lo Social del Tribunal Superior de Justicia de Madrid y por el Juzgado de lo Social núm. 29 de Madrid, y escrito de la letrada de la administración de la Seguridad Social y acordó tener por personada y parte en el presente procedimiento a la letrada de la administración de la Seguridad Social, en nombre y representación del Instituto Nacional de la Seguridad Social y de la Tesorería General de la Seguridad Social. Asimismo, de conformidad con lo establecido en el art. 52.1 LOTC se dispuso a dar vista de las actuaciones en la sede electrónica de este tribunal a la recurrente, al Ministerio Fiscal y a la parte personada, por plazo común de veinte días, para que pudieran presentar las alegaciones que estimaran pertinentes.</w:t>
      </w:r>
    </w:p>
    <w:p w14:paraId="4BF19926" w14:textId="77777777" w:rsidR="00A8138F" w:rsidRDefault="00A8138F" w:rsidP="00A8138F">
      <w:pPr>
        <w:pStyle w:val="TextoNormal"/>
      </w:pPr>
    </w:p>
    <w:p w14:paraId="2F26108C" w14:textId="77777777" w:rsidR="00A8138F" w:rsidRDefault="00A8138F" w:rsidP="00A8138F">
      <w:pPr>
        <w:pStyle w:val="TextoNormal"/>
      </w:pPr>
      <w:r w:rsidRPr="00A8138F">
        <w:rPr>
          <w:rStyle w:val="NumeroAFNegritaCaracter"/>
        </w:rPr>
        <w:t>6</w:t>
      </w:r>
      <w:r>
        <w:t>. Mediante escrito presentado el día 13 de enero de 2025, la letrada de la administración de la Seguridad Social, actuando en nombre y representación del Instituto Nacional de la Seguridad Social y de la Tesorería General de la Seguridad Social interesó su personación en el presente recurso de amparo. Formuló alegaciones en el mismo escrito, allanándose a la demanda de amparo. Alega que, conociendo la reciente STC 140/2024, de 6 de noviembre, que estima la cuestión de inconstitucionalidad núm. 6694-2023, que ha declarado inconstitucional el art. 48.4 del texto refundido de la Ley del estatuto de los trabajadores, aprobado por Real Decreto Legislativo 2/2015, de 23 de octubre (LET) y el art. 177 del texto refundido de la Ley general de la Seguridad Social, aprobado por el Real Decreto Legislativo 8/2015, de 30 de octubre (LGSS), con el alcance que señala en su fundamento jurídico séptimo, lo procedente es el allanamiento.</w:t>
      </w:r>
    </w:p>
    <w:p w14:paraId="07F0177C" w14:textId="77777777" w:rsidR="00A8138F" w:rsidRDefault="00A8138F" w:rsidP="00A8138F">
      <w:pPr>
        <w:pStyle w:val="TextoNormal"/>
      </w:pPr>
    </w:p>
    <w:p w14:paraId="23B5E8F8" w14:textId="77777777" w:rsidR="00A8138F" w:rsidRDefault="00A8138F" w:rsidP="00A8138F">
      <w:pPr>
        <w:pStyle w:val="TextoNormal"/>
      </w:pPr>
      <w:r>
        <w:t>Añade además que, posteriormente, el Tribunal Constitucional ha dictado, con fecha 2 de diciembre de 2024, sentencias otorgando el amparo (en los recursos de amparo núm. 1084-2024, 1880-2024, 1845-2024 y 6078-2023) que resuelven recursos interpuestos por madres biológicas de familia monoparental, contra sentencias dictadas en esta materia por la Sala de lo Social del Tribunal Supremo estimatorias de recursos de casación para la unificación de doctrina, o contra autos del Tribunal Supremo que inadmitieron a trámite los recursos de casación para la unificación de doctrina presentados contra sentencias de distintos tribunales superiores de justicia que confirmaban las resoluciones administrativas del INSS, denegatorias de la ampliación de los permisos de maternidad en familias monoparentales.</w:t>
      </w:r>
    </w:p>
    <w:p w14:paraId="51BBBD1D" w14:textId="77777777" w:rsidR="00A8138F" w:rsidRDefault="00A8138F" w:rsidP="00A8138F">
      <w:pPr>
        <w:pStyle w:val="TextoNormal"/>
      </w:pPr>
    </w:p>
    <w:p w14:paraId="57C284C2" w14:textId="3742A0B6" w:rsidR="00A8138F" w:rsidRDefault="00A8138F" w:rsidP="00A8138F">
      <w:pPr>
        <w:pStyle w:val="TextoNormal"/>
      </w:pPr>
      <w:r>
        <w:t>Concluye la letrada de la Seguridad Social en sus alegaciones que la dirección del servicio jurídico de la Seguridad Social dictó instrucción 10/2024, de 23 de diciembre, autorizando al Servicio Jurídico delegado central en el Instituto Nacional de la Seguridad Social, para allanarse en los recursos de amparo pendientes ante el Tribunal Constitucional en los casos, como el presente, en los que sea de aplicación la doctrina establecida en la STC 140/2024, de 6 de noviembre.</w:t>
      </w:r>
    </w:p>
    <w:p w14:paraId="62389B61" w14:textId="77777777" w:rsidR="00A8138F" w:rsidRDefault="00A8138F" w:rsidP="00A8138F">
      <w:pPr>
        <w:pStyle w:val="TextoNormal"/>
      </w:pPr>
    </w:p>
    <w:p w14:paraId="15305CF0" w14:textId="6F0BEAA1" w:rsidR="00A8138F" w:rsidRDefault="00A8138F" w:rsidP="00A8138F">
      <w:pPr>
        <w:pStyle w:val="TextoNormal"/>
      </w:pPr>
      <w:r w:rsidRPr="00A8138F">
        <w:rPr>
          <w:rStyle w:val="NumeroAFNegritaCaracter"/>
        </w:rPr>
        <w:t>7</w:t>
      </w:r>
      <w:r>
        <w:t>. A través de escrito presentado el 17 de febrero de 2025, la letrada de la administración de Seguridad Social aportó instrucción 10/2024 de 23 de diciembre, de autorización del secretario de Estado de la Seguridad Social y Pensiones, al servicio jurídico delegado central de la Seguridad Social, de allanamiento en los recursos de amparo pendientes ante el Tribu</w:t>
      </w:r>
      <w:r>
        <w:lastRenderedPageBreak/>
        <w:t>nal Constitucional, afectados por la sentencia del Pleno del Tribunal Constitucional de 6 de noviembre de 2024 y, según los términos indicados en ella, reiterando el sentido de la súplica del escrito de personación, de tener por realizado el allanamiento a la demanda en el presente recurso de amparo.</w:t>
      </w:r>
    </w:p>
    <w:p w14:paraId="0CABD030" w14:textId="77777777" w:rsidR="00A8138F" w:rsidRDefault="00A8138F" w:rsidP="00A8138F">
      <w:pPr>
        <w:pStyle w:val="TextoNormal"/>
      </w:pPr>
    </w:p>
    <w:p w14:paraId="4F94A934" w14:textId="77777777" w:rsidR="00A8138F" w:rsidRDefault="00A8138F" w:rsidP="00A8138F">
      <w:pPr>
        <w:pStyle w:val="TextoNormal"/>
      </w:pPr>
      <w:r w:rsidRPr="00A8138F">
        <w:rPr>
          <w:rStyle w:val="NumeroAFNegritaCaracter"/>
        </w:rPr>
        <w:t>8</w:t>
      </w:r>
      <w:r>
        <w:t>. El fiscal ante este Tribunal Constitucional presentó escrito el día 19 de febrero de 2025, en el que vierte sus alegaciones interesando la estimación del recurso de amparo.</w:t>
      </w:r>
    </w:p>
    <w:p w14:paraId="54954714" w14:textId="77777777" w:rsidR="00A8138F" w:rsidRDefault="00A8138F" w:rsidP="00A8138F">
      <w:pPr>
        <w:pStyle w:val="TextoNormal"/>
      </w:pPr>
    </w:p>
    <w:p w14:paraId="41644841" w14:textId="77777777" w:rsidR="00A8138F" w:rsidRDefault="00A8138F" w:rsidP="00A8138F">
      <w:pPr>
        <w:pStyle w:val="TextoNormal"/>
      </w:pPr>
      <w:r>
        <w:t>a) En seis apartados, resume los antecedentes más relevantes del procedimiento laboral de los que trae causa el recurso de amparo, entre los que destaca los hechos probados de la sentencia del Juzgado de lo Social núm. 29 de Madrid y el fallo desestimatorio de la pretensión actora, confirmado por sentencia de la Sala de lo Social del Tribunal Superior de Justicia de Madrid, que desestima el recurso de la demandante. Formalizado recurso de casación para la unificación de doctrina por esta, se inadmite por auto de la Sala de lo Social del Tribunal Supremo motivado en falta de interés casacional, deviniendo firme la sentencia de suplicación, confirmando la denegación de la ampliación del permiso de la madre por nacimiento y cuidado de menor en familia monoparental, que se desprende de las resoluciones administrativas, cuya impugnación era el objeto del procedimiento laboral.</w:t>
      </w:r>
    </w:p>
    <w:p w14:paraId="62D01745" w14:textId="77777777" w:rsidR="00A8138F" w:rsidRDefault="00A8138F" w:rsidP="00A8138F">
      <w:pPr>
        <w:pStyle w:val="TextoNormal"/>
      </w:pPr>
    </w:p>
    <w:p w14:paraId="05FD0219" w14:textId="77777777" w:rsidR="00A8138F" w:rsidRDefault="00A8138F" w:rsidP="00A8138F">
      <w:pPr>
        <w:pStyle w:val="TextoNormal"/>
      </w:pPr>
      <w:r>
        <w:t>b) Centrando el objeto de la demanda de amparo, señala que la recurrente se queja de que se ha producido una vulneración del derecho fundamental a la igualdad y a no sufrir trato discriminatorio directo por razón de circunstancias personales y familiares, e indirecto por razón de sexo. Y, la vulneración del interés superior del menor, lesionando el derecho de igualdad del art. 14 CE en relación con el art. 39 CE. Por otro lado, en los fundamentos de Derecho, en el apartado B, relativo a los de índole sustantiva o material cita como precepto constitucional infringido: “el art. 14 CE, en relación con los arts. 39, 9.2, 10.2, 24.1 y 96.1 CE, bien que el único precepto directamente susceptible de amparo constitucional sea el art. 14 CE. Parece olvidar que la tutela judicial efectiva del art. 24.1 también es susceptible de sustentar un recurso de amparo, tal como se desprende del art. 53.2 CE. Tal vez lo que pretende [la recurrente], es aclarar que la [lesión del derecho a] la tutela judicial efectiva no tiene en este caso más que un mero valor instrumental, al servir de medio para vulnerar el derecho de igualdad”.</w:t>
      </w:r>
    </w:p>
    <w:p w14:paraId="5C5944EE" w14:textId="77777777" w:rsidR="00A8138F" w:rsidRDefault="00A8138F" w:rsidP="00A8138F">
      <w:pPr>
        <w:pStyle w:val="TextoNormal"/>
      </w:pPr>
    </w:p>
    <w:p w14:paraId="007B6822" w14:textId="77777777" w:rsidR="00A8138F" w:rsidRDefault="00A8138F" w:rsidP="00A8138F">
      <w:pPr>
        <w:pStyle w:val="TextoNormal"/>
      </w:pPr>
      <w:r>
        <w:t>Ya en el desarrollo de los motivos del amparo, denuncia en primer lugar la desigualdad, que afecta tanto a la madre como al recién nacido, de las familias monoparentales frente a las biparentales. Entiende que las resoluciones impugnadas en amparo no pueden hacer una interpretación de las normas aplicables, sin tener en cuenta la diferencia de trato que provocan. Lo que supone una violación del art. 14, primer inciso, de la CE, en relación con el art. 39 CE.</w:t>
      </w:r>
    </w:p>
    <w:p w14:paraId="278953AD" w14:textId="77777777" w:rsidR="00A8138F" w:rsidRDefault="00A8138F" w:rsidP="00A8138F">
      <w:pPr>
        <w:pStyle w:val="TextoNormal"/>
      </w:pPr>
    </w:p>
    <w:p w14:paraId="2266C43A" w14:textId="77777777" w:rsidR="00A8138F" w:rsidRDefault="00A8138F" w:rsidP="00A8138F">
      <w:pPr>
        <w:pStyle w:val="TextoNormal"/>
      </w:pPr>
      <w:r>
        <w:t>Denuncia a continuación como segunda vulneración la discriminación directa por circunstancias personales y familiares, entiende que el artículo 14, segundo inciso de la Constitución, prohíbe la discriminación, con una cláusula abierta.</w:t>
      </w:r>
    </w:p>
    <w:p w14:paraId="410E0BE3" w14:textId="77777777" w:rsidR="00A8138F" w:rsidRDefault="00A8138F" w:rsidP="00A8138F">
      <w:pPr>
        <w:pStyle w:val="TextoNormal"/>
      </w:pPr>
    </w:p>
    <w:p w14:paraId="577FFFEB" w14:textId="77777777" w:rsidR="00A8138F" w:rsidRDefault="00A8138F" w:rsidP="00A8138F">
      <w:pPr>
        <w:pStyle w:val="TextoNormal"/>
      </w:pPr>
      <w:r>
        <w:t xml:space="preserve">c) En relación a la doctrina constitucional sobre los permisos por nacimiento y cuidado del menor en familia monoparental, considera que no es necesario hacer referencia a la doctrina general sobre el derecho a la igualdad y a la no discriminación por razón de sexo, habida cuenta que, además de ser sobradamente conocida por el Tribunal, en la citada STC </w:t>
      </w:r>
      <w:r>
        <w:lastRenderedPageBreak/>
        <w:t>140/2024, de 6 de noviembre, se ha establecido una doctrina constitucional específica para la cuestión debatida en el presente recurso de amparo, declarando inconstitucional el art. 48.4 LET y el art. 177 LGSS, precisamente por la vulneración del derecho reconocido en el art. 14 CE en relación con el art. 39 CE que se alegaba en el presente recurso. Es notorio, asimismo, que, tal y como resulta de la remisión del fallo al fundamento jurídico séptimo de la propia sentencia, el Tribunal Constitucional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 En virtud de ello, modifica su posición de conformidad con la interpretación constitucional que emana de dicha sentencia, en aplicación a la nueva doctrina.</w:t>
      </w:r>
    </w:p>
    <w:p w14:paraId="14FB08F4" w14:textId="77777777" w:rsidR="00A8138F" w:rsidRDefault="00A8138F" w:rsidP="00A8138F">
      <w:pPr>
        <w:pStyle w:val="TextoNormal"/>
      </w:pPr>
    </w:p>
    <w:p w14:paraId="0FCCD6D1" w14:textId="77777777" w:rsidR="00A8138F" w:rsidRDefault="00A8138F" w:rsidP="00A8138F">
      <w:pPr>
        <w:pStyle w:val="TextoNormal"/>
      </w:pPr>
      <w:r>
        <w:t>Al aplicar los mencionados artículos, recientemente declarados inconstitucionales, la sentencia del Juzgado de lo Social de Madrid, confirmada por la Sala de lo Social del Tribunal Superior de Justicia de Madrid, así como, el auto de inadmisión del recurso de casación para la unificación de doctrina de la Sala de lo Social del Tribunal Supremo por falta de interés casacional, resoluciones judiciales que se impugnan, y las resoluciones del INSS, han producido la discriminación prohibida por el art. 14 CE, tanto de la demandante de amparo por constituir una familia monoparental, como del hijo por razón de nacimiento, por haber nacido en una familia monoparental.</w:t>
      </w:r>
    </w:p>
    <w:p w14:paraId="4E11BEF2" w14:textId="77777777" w:rsidR="00A8138F" w:rsidRDefault="00A8138F" w:rsidP="00A8138F">
      <w:pPr>
        <w:pStyle w:val="TextoNormal"/>
      </w:pPr>
    </w:p>
    <w:p w14:paraId="304EB03B" w14:textId="77777777" w:rsidR="00A8138F" w:rsidRDefault="00A8138F" w:rsidP="00A8138F">
      <w:pPr>
        <w:pStyle w:val="TextoNormal"/>
      </w:pPr>
      <w:r>
        <w:t>Con arreglo al criterio adoptado en la citada STC 140/2024, la reparación del derecho a la igualdad de la recurrente no incluye las seis primeras semanas, por las razones que la propia sentencia expone, lo que, en definitiva, conduce a la conclusión de que dicha reparación ha de concretarse en el disfrute de diez semanas de prestación adicionales.</w:t>
      </w:r>
    </w:p>
    <w:p w14:paraId="0097C4DD" w14:textId="77777777" w:rsidR="00A8138F" w:rsidRDefault="00A8138F" w:rsidP="00A8138F">
      <w:pPr>
        <w:pStyle w:val="TextoNormal"/>
      </w:pPr>
    </w:p>
    <w:p w14:paraId="7772C4DD" w14:textId="77777777" w:rsidR="00A8138F" w:rsidRDefault="00A8138F" w:rsidP="00A8138F">
      <w:pPr>
        <w:pStyle w:val="TextoNormal"/>
      </w:pPr>
      <w:r>
        <w:t>Al denegar la ampliación de la prestación confirmando las resoluciones del INSS por aplicación de los mencionados preceptos que luego se han declarado inconstitucionales la decisión resulta inconstitucional y por tanto nula. Advierte que, no se trata de la interpretación y aplicación de los mencionados preceptos se haya realizado de manera ilógica o arbitraria, pues cuando se aplicaron eran normas con rango de ley y no se había declarado su inconstitucionalidad; y el Tribunal Constitucional, en la sentencia mencionada, no mantiene que los preceptos sean constitucionales con una interpretación conforme a la Constitución, sino que los declara directamente contrarios al art. 14 CE por omisión, estableciendo una interpretación provisional para que su aplicación, ya que no los declara nulos, no siga produciendo una vulneración del art. 14 CE. Es la inconstitucionalidad de las normas la que produce la nulidad de la resolución.</w:t>
      </w:r>
    </w:p>
    <w:p w14:paraId="10025B2B" w14:textId="77777777" w:rsidR="00A8138F" w:rsidRDefault="00A8138F" w:rsidP="00A8138F">
      <w:pPr>
        <w:pStyle w:val="TextoNormal"/>
      </w:pPr>
    </w:p>
    <w:p w14:paraId="5F39B7E1" w14:textId="316A33D5" w:rsidR="00A8138F" w:rsidRDefault="00A8138F" w:rsidP="00A8138F">
      <w:pPr>
        <w:pStyle w:val="TextoNormal"/>
      </w:pPr>
      <w:r>
        <w:t>d) Concluye, que procede estimar el presente recurso de amparo, declarando vulnerado el derecho del hijo de la demandante a no ser discriminado por razón de nacimiento y, tomando en consideración lo solicitado en la demanda declarar la nulidad de las resoluciones impugnadas, tanto las judiciales como las administrativas dictadas por el INSS. A consecuencia de ello, la entidad gestora de la Seguridad Social deberá contestar a la petición de ampliación del permiso expresamente, respetando el derecho fundamental vulnerado y ampliando (el permiso) de acuerdo con el criterio de la STC 140/2024, de 6 de noviembre, que resuelve la cuestión de inconstitucionalidad núm. 6694-2023.</w:t>
      </w:r>
    </w:p>
    <w:p w14:paraId="5E191A9D" w14:textId="77777777" w:rsidR="00A8138F" w:rsidRDefault="00A8138F" w:rsidP="00A8138F">
      <w:pPr>
        <w:pStyle w:val="TextoNormal"/>
      </w:pPr>
    </w:p>
    <w:p w14:paraId="30A8E93A" w14:textId="5FB92224" w:rsidR="00A8138F" w:rsidRDefault="00A8138F" w:rsidP="00A8138F">
      <w:pPr>
        <w:pStyle w:val="TextoNormal"/>
      </w:pPr>
      <w:r w:rsidRPr="00A8138F">
        <w:rPr>
          <w:rStyle w:val="NumeroAFNegritaCaracter"/>
        </w:rPr>
        <w:lastRenderedPageBreak/>
        <w:t>9</w:t>
      </w:r>
      <w:r>
        <w:t>. La recurrente presentó escrito el 3 de marzo de 2025, ratificando la pretensión de la demanda de amparo, dando por reproducidas las argumentaciones vertidas en ella sobre los motivos de fondo del asunto. Invoca para confirmar sus pretensiones, la STC 140/2024, de 6 de noviembre, suplicando el dictado de sentencia otorgando el amparo.</w:t>
      </w:r>
    </w:p>
    <w:p w14:paraId="5BA81376" w14:textId="77777777" w:rsidR="00A8138F" w:rsidRDefault="00A8138F" w:rsidP="00A8138F">
      <w:pPr>
        <w:pStyle w:val="TextoNormal"/>
      </w:pPr>
    </w:p>
    <w:p w14:paraId="3B80B57B" w14:textId="53BF094C" w:rsidR="00A8138F" w:rsidRDefault="00A8138F" w:rsidP="00A8138F">
      <w:pPr>
        <w:pStyle w:val="TextoNormal"/>
      </w:pPr>
      <w:r w:rsidRPr="00A8138F">
        <w:rPr>
          <w:rStyle w:val="NumeroAFNegritaCaracter"/>
        </w:rPr>
        <w:t>10</w:t>
      </w:r>
      <w:r>
        <w:t>. El Pleno del Tribunal Constitucional, el día 18 de marzo de 2025, dictó providencia en la que acuerda, a propuesta del presidente, recabar para sí el conocimiento de este recurso, conforme a lo establecido en el art. 10.1 n) LOTC.</w:t>
      </w:r>
    </w:p>
    <w:p w14:paraId="0F01B76B" w14:textId="77777777" w:rsidR="00A8138F" w:rsidRDefault="00A8138F" w:rsidP="00A8138F">
      <w:pPr>
        <w:pStyle w:val="TextoNormal"/>
      </w:pPr>
    </w:p>
    <w:p w14:paraId="4BFD78FD" w14:textId="56176557" w:rsidR="00A8138F" w:rsidRDefault="00A8138F" w:rsidP="00A8138F">
      <w:pPr>
        <w:pStyle w:val="TextoNormal"/>
      </w:pPr>
      <w:r w:rsidRPr="00A8138F">
        <w:rPr>
          <w:rStyle w:val="NumeroAFNegritaCaracter"/>
        </w:rPr>
        <w:t>11</w:t>
      </w:r>
      <w:r>
        <w:t>. Mediante providencia de 18 de marzo de 2025 se señaló ese mismo día para la deliberación y votación de la presente sentencia.</w:t>
      </w:r>
    </w:p>
    <w:p w14:paraId="045D48A2" w14:textId="77777777" w:rsidR="00A8138F" w:rsidRDefault="00A8138F" w:rsidP="00A8138F">
      <w:pPr>
        <w:pStyle w:val="TextoNormal"/>
      </w:pPr>
    </w:p>
    <w:p w14:paraId="43C711EB" w14:textId="77777777" w:rsidR="00A8138F" w:rsidRDefault="00A8138F" w:rsidP="00A8138F">
      <w:pPr>
        <w:pStyle w:val="TextoNormalNegritaCentrado"/>
        <w:keepNext/>
      </w:pPr>
      <w:r>
        <w:t>II. Fundamentos jurídicos</w:t>
      </w:r>
    </w:p>
    <w:p w14:paraId="77BC25AD" w14:textId="07FE59C8" w:rsidR="00A8138F" w:rsidRDefault="00A8138F" w:rsidP="00A8138F">
      <w:pPr>
        <w:pStyle w:val="TextoNormalNegritaCentrado"/>
        <w:keepNext/>
      </w:pPr>
    </w:p>
    <w:p w14:paraId="5BFFE72A"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4B425486" w14:textId="77777777" w:rsidR="00A8138F" w:rsidRDefault="00A8138F" w:rsidP="00A8138F">
      <w:pPr>
        <w:pStyle w:val="TextoNormal"/>
      </w:pPr>
    </w:p>
    <w:p w14:paraId="393D5C1D" w14:textId="14E4FC99" w:rsidR="00A8138F" w:rsidRDefault="00A8138F" w:rsidP="00A8138F">
      <w:pPr>
        <w:pStyle w:val="TextoNormal"/>
      </w:pPr>
      <w:r>
        <w:t>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3B4F0387" w14:textId="77777777" w:rsidR="00A8138F" w:rsidRDefault="00A8138F" w:rsidP="00A8138F">
      <w:pPr>
        <w:pStyle w:val="TextoNormal"/>
      </w:pPr>
    </w:p>
    <w:p w14:paraId="5E4D0445"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465EC77F" w14:textId="77777777" w:rsidR="00A8138F" w:rsidRDefault="00A8138F" w:rsidP="00A8138F">
      <w:pPr>
        <w:pStyle w:val="TextoNormal"/>
      </w:pPr>
    </w:p>
    <w:p w14:paraId="5BCAF702"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16EB01D9" w14:textId="77777777" w:rsidR="00A8138F" w:rsidRDefault="00A8138F" w:rsidP="00A8138F">
      <w:pPr>
        <w:pStyle w:val="TextoNormal"/>
      </w:pPr>
    </w:p>
    <w:p w14:paraId="215C483D" w14:textId="77777777" w:rsidR="00A8138F" w:rsidRDefault="00A8138F" w:rsidP="00A8138F">
      <w:pPr>
        <w:pStyle w:val="TextoNormal"/>
      </w:pPr>
      <w:r>
        <w:t>Aclarado este punto,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provocada por nacer en familia monoparental (FJ 6), al tiempo que precisamos el alcance de la declaración de inconstitucionalidad realizada (FJ 7).</w:t>
      </w:r>
    </w:p>
    <w:p w14:paraId="3B5E5918" w14:textId="77777777" w:rsidR="00A8138F" w:rsidRDefault="00A8138F" w:rsidP="00A8138F">
      <w:pPr>
        <w:pStyle w:val="TextoNormal"/>
      </w:pPr>
    </w:p>
    <w:p w14:paraId="35099CA6"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w:t>
      </w:r>
      <w:r>
        <w:lastRenderedPageBreak/>
        <w:t>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029217D" w14:textId="77777777" w:rsidR="00A8138F" w:rsidRDefault="00A8138F" w:rsidP="00A8138F">
      <w:pPr>
        <w:pStyle w:val="TextoNormal"/>
      </w:pPr>
    </w:p>
    <w:p w14:paraId="0D9CD166"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370FD71" w14:textId="77777777" w:rsidR="00A8138F" w:rsidRDefault="00A8138F" w:rsidP="00A8138F">
      <w:pPr>
        <w:pStyle w:val="TextoNormal"/>
      </w:pPr>
    </w:p>
    <w:p w14:paraId="7F99CF3B" w14:textId="2E73F659" w:rsidR="00A8138F" w:rsidRDefault="00A8138F" w:rsidP="00A8138F">
      <w:pPr>
        <w:pStyle w:val="TextoNormal"/>
      </w:pPr>
      <w:r>
        <w:t>En consecuencia, debe estimarse la demanda y otorgar el amparo solicitado, con nulidad de las sentencias dictadas, en instancia y suplicación y, del auto de inadmisión del recurso de casación para la unificación de doctrina. Así como, declarar la nulidad de las resoluciones de la administración competente.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14:paraId="726A4D4E" w14:textId="77777777" w:rsidR="00A8138F" w:rsidRDefault="00A8138F" w:rsidP="00A8138F">
      <w:pPr>
        <w:pStyle w:val="TextoNormal"/>
      </w:pPr>
    </w:p>
    <w:p w14:paraId="541681A3" w14:textId="77777777" w:rsidR="00A8138F" w:rsidRDefault="00A8138F" w:rsidP="00A8138F">
      <w:pPr>
        <w:pStyle w:val="TextoNormalCentrado"/>
        <w:keepNext/>
      </w:pPr>
      <w:r>
        <w:t>FALLO</w:t>
      </w:r>
    </w:p>
    <w:p w14:paraId="6001CAE2" w14:textId="3FD11B71" w:rsidR="00A8138F" w:rsidRDefault="00A8138F" w:rsidP="00A8138F">
      <w:pPr>
        <w:pStyle w:val="TextoNormalCentrado"/>
        <w:keepNext/>
      </w:pPr>
    </w:p>
    <w:p w14:paraId="0BD22FB7" w14:textId="77777777" w:rsidR="00A8138F" w:rsidRDefault="00A8138F" w:rsidP="00A8138F">
      <w:pPr>
        <w:pStyle w:val="TextoNormal"/>
      </w:pPr>
      <w:r>
        <w:t>En atención a todo lo expuesto, el Tribunal Constitucional, por la autoridad que le confiere la Constitución de la Nación española, ha decidido:</w:t>
      </w:r>
    </w:p>
    <w:p w14:paraId="752F5A9E" w14:textId="77777777" w:rsidR="00A8138F" w:rsidRDefault="00A8138F" w:rsidP="00A8138F">
      <w:pPr>
        <w:pStyle w:val="TextoNormal"/>
      </w:pPr>
    </w:p>
    <w:p w14:paraId="710AD638" w14:textId="77777777" w:rsidR="00A8138F" w:rsidRDefault="00A8138F" w:rsidP="00A8138F">
      <w:pPr>
        <w:pStyle w:val="TextoNormal"/>
      </w:pPr>
      <w:r>
        <w:t>1º Estimar la demanda de amparo presentada por doña Noelia Ortego Muzás declarando que se ha vulnerado el derecho fundamental de igualdad ante la ley sin discriminación por razón de nacimiento (art. 14 CE) de un hijo menor integrante de una familia monoparental.</w:t>
      </w:r>
    </w:p>
    <w:p w14:paraId="081CFF2F" w14:textId="77777777" w:rsidR="00A8138F" w:rsidRDefault="00A8138F" w:rsidP="00A8138F">
      <w:pPr>
        <w:pStyle w:val="TextoNormal"/>
      </w:pPr>
    </w:p>
    <w:p w14:paraId="0C44CD8E" w14:textId="77777777" w:rsidR="00A8138F" w:rsidRDefault="00A8138F" w:rsidP="00A8138F">
      <w:pPr>
        <w:pStyle w:val="TextoNormal"/>
      </w:pPr>
      <w:r>
        <w:t xml:space="preserve">2º Restablecer a la demandante de amparo en su derecho y, a tal fin, declarar la nulidad de las siguientes resoluciones: (i) resolución de la dirección provincial de Madrid del INSS, de 19 de enero de 2022 denegatoria de la solicitud de ampliación del permiso por nacimiento </w:t>
      </w:r>
      <w:r>
        <w:lastRenderedPageBreak/>
        <w:t>y cuidado de menor; (ii) sentencia núm. 340/2022, de 9 de septiembre, del Juzgado de lo Social núm. 29 de Madrid recaída en el procedimiento de Seguridad Social (autos núm. 630-2022); (iii) sentencia núm. 397/2023, de 29 de mayo, de la Sala de lo Social del Tribunal Superior de Justicia de Madrid (recurso 1-2023) y (iv) auto de la Sala de lo Social del Tribunal Supremo que inadmite el recurso de casación para la unificación de doctrina, declarando la firmeza de la sentencia impugnada (recurso 3525-2023).</w:t>
      </w:r>
    </w:p>
    <w:p w14:paraId="63BF27B2" w14:textId="77777777" w:rsidR="00A8138F" w:rsidRDefault="00A8138F" w:rsidP="00A8138F">
      <w:pPr>
        <w:pStyle w:val="TextoNormal"/>
      </w:pPr>
    </w:p>
    <w:p w14:paraId="7BC92F3E" w14:textId="0B743738" w:rsidR="00A8138F" w:rsidRDefault="00A8138F" w:rsidP="00A8138F">
      <w:pPr>
        <w:pStyle w:val="TextoNormal"/>
      </w:pPr>
      <w:r>
        <w:t>3º Retrotraer las actuaciones al momento previo al dictado de las resoluciones administrativas del Instituto Nacional de la Seguridad Social recurridas, a fin de que, dicte resolución expresa que resulte ser respetuosa con el derecho fundamental reconocido a la recurrente, con el alcance fijado en el último párrafo del fundamento jurídico 2 de esta sentencia.</w:t>
      </w:r>
    </w:p>
    <w:p w14:paraId="69C03570" w14:textId="77777777" w:rsidR="00A8138F" w:rsidRDefault="00A8138F" w:rsidP="00A8138F">
      <w:pPr>
        <w:pStyle w:val="TextoNormal"/>
      </w:pPr>
    </w:p>
    <w:p w14:paraId="4C6C4757" w14:textId="77777777" w:rsidR="00A8138F" w:rsidRDefault="00A8138F" w:rsidP="00A8138F">
      <w:pPr>
        <w:pStyle w:val="TextoNormal"/>
      </w:pPr>
      <w:r>
        <w:t>Publíquese esta sentencia en el “Boletín Oficial del Estado”.</w:t>
      </w:r>
    </w:p>
    <w:p w14:paraId="33F6F07C" w14:textId="77777777" w:rsidR="00A8138F" w:rsidRDefault="00A8138F" w:rsidP="00A8138F">
      <w:pPr>
        <w:pStyle w:val="TextoNormal"/>
      </w:pPr>
      <w:r>
        <w:t>Dada en Cádiz, a dieciocho de marzo de dos mil veinticinco.</w:t>
      </w:r>
    </w:p>
    <w:p w14:paraId="4C95B569" w14:textId="265D666C" w:rsidR="00A8138F" w:rsidRDefault="00A8138F">
      <w:pPr>
        <w:spacing w:after="160" w:line="278" w:lineRule="auto"/>
        <w:rPr>
          <w:rFonts w:ascii="Times New Roman" w:eastAsia="Times New Roman" w:hAnsi="Times New Roman" w:cs="Times New Roman"/>
          <w:sz w:val="24"/>
          <w:szCs w:val="24"/>
          <w:lang w:eastAsia="es-ES"/>
        </w:rPr>
      </w:pPr>
      <w:r>
        <w:br w:type="page"/>
      </w:r>
    </w:p>
    <w:p w14:paraId="2B11584B" w14:textId="77777777" w:rsidR="00A8138F" w:rsidRDefault="00A8138F" w:rsidP="00A8138F">
      <w:pPr>
        <w:pStyle w:val="TtuloResolucin"/>
      </w:pPr>
      <w:bookmarkStart w:id="70" w:name="SENTENCIA_2025_68"/>
      <w:r>
        <w:lastRenderedPageBreak/>
        <w:t>SENTENCIA 68/2025, de 18 de marzo de 2025</w:t>
      </w:r>
    </w:p>
    <w:bookmarkEnd w:id="70"/>
    <w:p w14:paraId="14A5DAA5" w14:textId="77777777" w:rsidR="00A8138F" w:rsidRDefault="00A8138F" w:rsidP="00A8138F">
      <w:pPr>
        <w:pStyle w:val="TtuloResolucin"/>
      </w:pPr>
      <w:r>
        <w:t>Pleno</w:t>
      </w:r>
    </w:p>
    <w:p w14:paraId="569FA2FA" w14:textId="77777777" w:rsidR="00A8138F" w:rsidRDefault="00A8138F" w:rsidP="00A8138F">
      <w:pPr>
        <w:pStyle w:val="TtuloBOE"/>
      </w:pPr>
      <w:r>
        <w:t>(BOE núm. 88, de 11 de abril de 2025)</w:t>
      </w:r>
    </w:p>
    <w:p w14:paraId="66B3CB1C" w14:textId="77777777" w:rsidR="00A8138F" w:rsidRDefault="00A8138F" w:rsidP="00A8138F">
      <w:pPr>
        <w:pStyle w:val="TextoNormalCentrado"/>
      </w:pPr>
      <w:r>
        <w:t>ECLI:ES:TC:2025:68</w:t>
      </w:r>
    </w:p>
    <w:p w14:paraId="2F79EFDD" w14:textId="73F3AFFF" w:rsidR="00A8138F" w:rsidRDefault="00A8138F" w:rsidP="00A8138F">
      <w:pPr>
        <w:pStyle w:val="TextoNormalCentrado"/>
      </w:pPr>
    </w:p>
    <w:p w14:paraId="188390BD" w14:textId="77777777" w:rsidR="00A8138F" w:rsidRDefault="00A8138F" w:rsidP="00A8138F">
      <w:pPr>
        <w:pStyle w:val="SntesisDescriptiva"/>
      </w:pPr>
      <w:r>
        <w:t>Recurso de amparo 7723-2024. Promovido por doña Vanesa Pérez Gil en relación con las resoluciones administrativas y judiciales que desestimaron su petición de revisión y ampliación de la prestación por nacimiento y cuidado de hijo menor, como madre biológica de familia monoparental.</w:t>
      </w:r>
    </w:p>
    <w:p w14:paraId="0E5FE580" w14:textId="247430DF" w:rsidR="00A8138F" w:rsidRDefault="00A8138F" w:rsidP="00A8138F">
      <w:pPr>
        <w:pStyle w:val="SntesisDescriptiva"/>
      </w:pPr>
    </w:p>
    <w:p w14:paraId="0509B45B"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F092AD2" w14:textId="03D10717" w:rsidR="00A8138F" w:rsidRDefault="00A8138F" w:rsidP="00A8138F">
      <w:pPr>
        <w:pStyle w:val="SntesisAnaltica"/>
      </w:pPr>
    </w:p>
    <w:p w14:paraId="580AE9EF" w14:textId="35BD5ECD"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10AE2944" w14:textId="77777777" w:rsidR="00A8138F" w:rsidRDefault="00A8138F" w:rsidP="00A8138F">
      <w:pPr>
        <w:pStyle w:val="Extracto"/>
      </w:pPr>
    </w:p>
    <w:p w14:paraId="2019AF07" w14:textId="77777777" w:rsidR="00A8138F" w:rsidRDefault="00A8138F" w:rsidP="00A8138F">
      <w:pPr>
        <w:pStyle w:val="Extracto"/>
      </w:pPr>
    </w:p>
    <w:p w14:paraId="241882CB"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14:paraId="35BB8F0C" w14:textId="76B8A17F" w:rsidR="00A8138F" w:rsidRDefault="00A8138F" w:rsidP="00A8138F">
      <w:pPr>
        <w:pStyle w:val="TextoNormal"/>
      </w:pPr>
    </w:p>
    <w:p w14:paraId="28667B66" w14:textId="77777777" w:rsidR="00A8138F" w:rsidRDefault="00A8138F" w:rsidP="00A8138F">
      <w:pPr>
        <w:pStyle w:val="TextoNormalCentrado"/>
        <w:keepNext/>
      </w:pPr>
      <w:r>
        <w:t>EN NOMBRE DEL REY</w:t>
      </w:r>
    </w:p>
    <w:p w14:paraId="164EE163" w14:textId="6B293F18" w:rsidR="00A8138F" w:rsidRDefault="00A8138F" w:rsidP="00A8138F">
      <w:pPr>
        <w:pStyle w:val="TextoNormalCentrado"/>
        <w:keepNext/>
      </w:pPr>
    </w:p>
    <w:p w14:paraId="44F02FF0" w14:textId="77777777" w:rsidR="00A8138F" w:rsidRDefault="00A8138F" w:rsidP="00A8138F">
      <w:pPr>
        <w:pStyle w:val="TextoNormalCentrado"/>
        <w:keepNext/>
      </w:pPr>
    </w:p>
    <w:p w14:paraId="5E5C1126" w14:textId="77777777" w:rsidR="00A8138F" w:rsidRDefault="00A8138F" w:rsidP="00A8138F">
      <w:pPr>
        <w:pStyle w:val="TextoNormal"/>
      </w:pPr>
      <w:r>
        <w:t>la siguiente</w:t>
      </w:r>
    </w:p>
    <w:p w14:paraId="7D28419D" w14:textId="0C6A200C" w:rsidR="00A8138F" w:rsidRDefault="00A8138F" w:rsidP="00A8138F">
      <w:pPr>
        <w:pStyle w:val="TextoNormal"/>
      </w:pPr>
    </w:p>
    <w:p w14:paraId="12FAE5E0" w14:textId="77777777" w:rsidR="00A8138F" w:rsidRDefault="00A8138F" w:rsidP="00A8138F">
      <w:pPr>
        <w:pStyle w:val="TextoNormalCentrado"/>
        <w:keepNext/>
      </w:pPr>
      <w:r>
        <w:t>SENTENCIA</w:t>
      </w:r>
    </w:p>
    <w:p w14:paraId="1CF48217" w14:textId="6B2F5C75" w:rsidR="00A8138F" w:rsidRDefault="00A8138F" w:rsidP="00A8138F">
      <w:pPr>
        <w:pStyle w:val="TextoNormalCentrado"/>
        <w:keepNext/>
      </w:pPr>
    </w:p>
    <w:p w14:paraId="5C766D55" w14:textId="77777777" w:rsidR="00A8138F" w:rsidRDefault="00A8138F" w:rsidP="00A8138F">
      <w:pPr>
        <w:pStyle w:val="TextoNormal"/>
      </w:pPr>
      <w:r>
        <w:t xml:space="preserve">En el recurso de amparo núm. 7723-2024, promovido por doña Vanesa Pérez Gil, representada por la procuradora de los tribunales doña María Isabel Torres Ruiz y asistida por la letrada doña Susana Fuentes Gómez, contra la denegación de la solicitud de ampliación de la prestación por nacimiento y cuidado de hijo menor, como madre biológica de familia monoparental, adoptada por silencio administrativo por el Instituto Nacional de la Seguridad Social (INSS), así como, contra la sentencia núm. 337/2022, de 7 de septiembre, del Juzgado de lo Social núm. 29 de Madrid (autos núm. 1102-2021); la sentencia núm. 554/2023, de 14 de septiembre, de la Sala de lo Social del Tribunal Superior de Justicia de Madrid, (recurso de suplicación núm. 960-2022) y el auto de 11 de septiembre de 2024, de la Sala de lo Social del Tribunal Supremo, dictado en el recurso de casación para la unificación de doctrina núm. 4789-2023, por los que se desestimaron las pretensiones formuladas en vía judicial. Han </w:t>
      </w:r>
      <w:r>
        <w:lastRenderedPageBreak/>
        <w:t>intervenido la letrada de la administración de la Seguridad Social, en nombre del INSS y la Tesorería General de la Seguridad Social, y el Ministerio Fiscal. Ha sido ponente el magistrado don Juan Carlos Campo Moreno.</w:t>
      </w:r>
    </w:p>
    <w:p w14:paraId="63B0A69B" w14:textId="28D708B9" w:rsidR="00A8138F" w:rsidRDefault="00A8138F" w:rsidP="00A8138F">
      <w:pPr>
        <w:pStyle w:val="TextoNormal"/>
      </w:pPr>
    </w:p>
    <w:p w14:paraId="78C57026" w14:textId="77777777" w:rsidR="00A8138F" w:rsidRDefault="00A8138F" w:rsidP="00A8138F">
      <w:pPr>
        <w:pStyle w:val="TextoNormalNegritaCentrado"/>
        <w:keepNext/>
      </w:pPr>
      <w:r>
        <w:t>I. Antecedentes</w:t>
      </w:r>
    </w:p>
    <w:p w14:paraId="1316A2F9" w14:textId="6676DB3C" w:rsidR="00A8138F" w:rsidRDefault="00A8138F" w:rsidP="00A8138F">
      <w:pPr>
        <w:pStyle w:val="TextoNormalNegritaCentrado"/>
        <w:keepNext/>
      </w:pPr>
    </w:p>
    <w:p w14:paraId="4BB9F086" w14:textId="2719A927" w:rsidR="00A8138F" w:rsidRDefault="00A8138F" w:rsidP="00A8138F">
      <w:pPr>
        <w:pStyle w:val="TextoNormal"/>
      </w:pPr>
      <w:r w:rsidRPr="00A8138F">
        <w:rPr>
          <w:rStyle w:val="NumeroAFNegritaCaracter"/>
        </w:rPr>
        <w:t>1</w:t>
      </w:r>
      <w:r>
        <w:t>. Mediante escrito registrado en este tribunal el 15 de octubre de 2024, la representante procesal de doña Vanesa Pérez Gil, bajo la dirección letrada de doña Susana Fuentes Gómez, interpuso recurso de amparo contra la denegación de la solicitud de ampliación de la prestación por nacimiento y cuidado de hijo menor y las resoluciones judiciales a las que se ha hecho referencia en el encabezamiento de esta sentencia.</w:t>
      </w:r>
    </w:p>
    <w:p w14:paraId="6D9F996A" w14:textId="77777777" w:rsidR="00A8138F" w:rsidRDefault="00A8138F" w:rsidP="00A8138F">
      <w:pPr>
        <w:pStyle w:val="TextoNormal"/>
      </w:pPr>
    </w:p>
    <w:p w14:paraId="7E632EF2"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13150060" w14:textId="77777777" w:rsidR="00A8138F" w:rsidRDefault="00A8138F" w:rsidP="00A8138F">
      <w:pPr>
        <w:pStyle w:val="TextoNormal"/>
      </w:pPr>
    </w:p>
    <w:p w14:paraId="443BFC30" w14:textId="77777777" w:rsidR="00A8138F" w:rsidRDefault="00A8138F" w:rsidP="00A8138F">
      <w:pPr>
        <w:pStyle w:val="TextoNormal"/>
      </w:pPr>
      <w:r>
        <w:t>a) La señora Pérez Gil es madre biológica de un menor, nacido en julio de 2020, con quien forma una familia monoparental. Por resolución del INSS de fecha 10 de julio de 2020 (según el registro de salida) le fue reconocido el derecho a la prestación económica por nacimiento para cuidado del menor por el período de dieciséis semanas, desde el 3 de julio al 22 de octubre de 2020.</w:t>
      </w:r>
    </w:p>
    <w:p w14:paraId="4B3A6F8F" w14:textId="77777777" w:rsidR="00A8138F" w:rsidRDefault="00A8138F" w:rsidP="00A8138F">
      <w:pPr>
        <w:pStyle w:val="TextoNormal"/>
      </w:pPr>
    </w:p>
    <w:p w14:paraId="25DBFA15" w14:textId="77777777" w:rsidR="00A8138F" w:rsidRDefault="00A8138F" w:rsidP="00A8138F">
      <w:pPr>
        <w:pStyle w:val="TextoNormal"/>
      </w:pPr>
      <w:r>
        <w:t>b) Solicitó después, a lo largo de 2021, la revisión y ampliación de la prestación para añadir al período ya reconocido el que consideraba le hubiera correspondido al segundo progenitor distinto de la madre biológica en el supuesto de que constituyeran una familia biparental (doce semanas más). No consta que, dentro del plazo legal, obtuviera respuesta expresa sobre esta solicitud ni sobre la posterior reclamación previa formulada en el mismo sentido, debiendo entenderse desestimadas por silencio administrativo.</w:t>
      </w:r>
    </w:p>
    <w:p w14:paraId="745739B0" w14:textId="77777777" w:rsidR="00A8138F" w:rsidRDefault="00A8138F" w:rsidP="00A8138F">
      <w:pPr>
        <w:pStyle w:val="TextoNormal"/>
      </w:pPr>
    </w:p>
    <w:p w14:paraId="499C15E2" w14:textId="77777777" w:rsidR="00A8138F" w:rsidRDefault="00A8138F" w:rsidP="00A8138F">
      <w:pPr>
        <w:pStyle w:val="TextoNormal"/>
      </w:pPr>
      <w:r>
        <w:t>c) Sintiéndose discriminada tras la falta de respuesta recibida, la demandante cuestionó la desestimación presunta de su reclamación previa ante el Juzgado de lo Social núm. 29 de los de Madrid (procedimiento núm. 1102-2021), solicitando la ampliación de la prestación en doce semanas adicionales. Su reclamación fue desestimada mediante sentencia de 7 de septiembre de 2022, con apoyo en la doctrina fijada por el Tribunal Superior de Justicia de Madrid en sentencia de 4 de abril de 2022, a cuyas consideraciones literales se remite expresamente en cuanto valoran la falta de cobertura legal de la pretensión de ampliación y el carácter personal e intransferible del premiso legalmente reconocido en favor del otro progenitor biológico en los casos de familia biparentales.</w:t>
      </w:r>
    </w:p>
    <w:p w14:paraId="1D131F35" w14:textId="77777777" w:rsidR="00A8138F" w:rsidRDefault="00A8138F" w:rsidP="00A8138F">
      <w:pPr>
        <w:pStyle w:val="TextoNormal"/>
      </w:pPr>
    </w:p>
    <w:p w14:paraId="009187D3" w14:textId="77777777" w:rsidR="00A8138F" w:rsidRDefault="00A8138F" w:rsidP="00A8138F">
      <w:pPr>
        <w:pStyle w:val="TextoNormal"/>
      </w:pPr>
      <w:r>
        <w:t>d) La demandante recurrió en suplicación la sentencia desestimatoria de instancia, reiterando su pretensión. El recurso fue desestimado mediante sentencia núm. 554/2023, de 14 de septiembre (recurso de suplicación núm. 960-2022). Al justificar su decisión, la Sala de lo Social del Tribunal Superior de Justicia de Madrid se remitió íntegra y literalmente a lo resuelto por la Sala de lo Social del Tribunal Supremo en la sentencia núm. 169/2023, de 2 de marzo.</w:t>
      </w:r>
    </w:p>
    <w:p w14:paraId="27ECC7B1" w14:textId="77777777" w:rsidR="00A8138F" w:rsidRDefault="00A8138F" w:rsidP="00A8138F">
      <w:pPr>
        <w:pStyle w:val="TextoNormal"/>
      </w:pPr>
    </w:p>
    <w:p w14:paraId="46A52A6B" w14:textId="1B7139C3" w:rsidR="00A8138F" w:rsidRDefault="00A8138F" w:rsidP="00A8138F">
      <w:pPr>
        <w:pStyle w:val="TextoNormal"/>
      </w:pPr>
      <w:r>
        <w:lastRenderedPageBreak/>
        <w:t>e) Frente a la anterior sentencia de suplicación se formalizó por la parte actora recurso de casación para la unificación de doctrina que, registrado con el núm. 4789-2023, fue inadmitido por medio de auto de 11 de septiembre de 2024 al apreciar falta de contenido casacional del recurso por adecuarse la sentencia recurrida a la doctrina sentada en Pleno por la propia Sala de lo Social del Tribunal Supremo en la sentencia de 2 de marzo de 2023, en la que se basaba el Tribunal de suplicación. Según dicha doctrina jurisprudencial, la naturaleza y finalidad del permiso a los progenitores por nacimiento de un hijo, la taxativa regulación normativa de este en la Ley del estatuto de los trabajadores (LET) y la Ley general de la Seguridad Social (LGSS), su carácter personal e intransferible, las consecuencias que la extensión pretendida tiene sobre el empleador, su concordancia con las exigencias de igualdad y no discriminación que derivan de la Constitución, según ha interpretado la doctrina constitucional (STC 75/2011),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14:paraId="6013A708" w14:textId="77777777" w:rsidR="00A8138F" w:rsidRDefault="00A8138F" w:rsidP="00A8138F">
      <w:pPr>
        <w:pStyle w:val="TextoNormal"/>
      </w:pPr>
    </w:p>
    <w:p w14:paraId="3145B835" w14:textId="77777777" w:rsidR="00A8138F" w:rsidRDefault="00A8138F" w:rsidP="00A8138F">
      <w:pPr>
        <w:pStyle w:val="TextoNormal"/>
      </w:pPr>
      <w:r w:rsidRPr="00A8138F">
        <w:rPr>
          <w:rStyle w:val="NumeroAFNegritaCaracter"/>
        </w:rPr>
        <w:t>3</w:t>
      </w:r>
      <w:r>
        <w:t>. En la demanda de amparo invoca la recurrente la vulneración del derecho de igualdad del art. 14 CE, en relación con el art. 39 CE, en una doble vertiente: (i) discriminación indirecta por razón de sexo de la recurrente, ya que, en su mayoría, las familias monoparentales estadísticamente están integradas por mujeres, perjudicándolas sin justificación objetiva, afectándoles en el ejercicio de su libre autodeterminación de formar familias monoparentales (art. 14 CE, segundo inciso, en relación con el art. 9.2 CE). Pese a su aparente neutralidad, de forma mayoritaria, es en las mujeres en las que recae toda la responsabilidad del sustento y cuidados de los nacidos, mermando su desarrollo profesional y realizando un mayor gasto que una familia biparental, al contar con menor número de semanas de prestación; (ii) vulneración por discriminación directa del menor por razón de nacimiento, proscrita en el art. 14 CE. Se estaría discriminando al menor nacido en familia monoparental dado que, al contar con menor número de semanas de atención personal y prestación, se quebranta su desarrollo, quedando atendido menos tiempo que el nacido en una familia biparental.</w:t>
      </w:r>
    </w:p>
    <w:p w14:paraId="76DFF233" w14:textId="77777777" w:rsidR="00A8138F" w:rsidRDefault="00A8138F" w:rsidP="00A8138F">
      <w:pPr>
        <w:pStyle w:val="TextoNormal"/>
      </w:pPr>
    </w:p>
    <w:p w14:paraId="0EB90248" w14:textId="77777777" w:rsidR="00A8138F" w:rsidRDefault="00A8138F" w:rsidP="00A8138F">
      <w:pPr>
        <w:pStyle w:val="TextoNormal"/>
      </w:pPr>
      <w:r>
        <w:t>Entiende la demandante que su recurso presenta especial trascendencia constitucional, en cuanto la vulneración del derecho fundamental que se denuncia pudiera provenir de la ley (art. 48.4 LET) [STC 155/2009, 25 de junio, FJ 2 c)] y plantea un problema o se refiere una faceta de un derecho fundamental susceptible de amparo sobre el que no hay doctrina del Tribunal Constitucional.</w:t>
      </w:r>
    </w:p>
    <w:p w14:paraId="1214FDBE" w14:textId="77777777" w:rsidR="00A8138F" w:rsidRDefault="00A8138F" w:rsidP="00A8138F">
      <w:pPr>
        <w:pStyle w:val="TextoNormal"/>
      </w:pPr>
    </w:p>
    <w:p w14:paraId="1103FDB5" w14:textId="0C9B21C0" w:rsidR="00A8138F" w:rsidRDefault="00A8138F" w:rsidP="00A8138F">
      <w:pPr>
        <w:pStyle w:val="TextoNormal"/>
      </w:pPr>
      <w:r>
        <w:t>En atención a ello, solicita que se declare la nulidad de las resoluciones administrativas presuntas del INSS, denegatorias por silencio administrativo de la ampliación del permiso y prestación por nacimiento y cuidado del menor. Asimismo, suplica que se declare la nulidad de las resoluciones judiciales dictadas en la vía judicial, que han sido reseñadas en el preámbulo de esta resolución.</w:t>
      </w:r>
    </w:p>
    <w:p w14:paraId="2C9CC860" w14:textId="77777777" w:rsidR="00A8138F" w:rsidRDefault="00A8138F" w:rsidP="00A8138F">
      <w:pPr>
        <w:pStyle w:val="TextoNormal"/>
      </w:pPr>
    </w:p>
    <w:p w14:paraId="79D65EC4" w14:textId="458AEBB3" w:rsidR="00A8138F" w:rsidRDefault="00A8138F" w:rsidP="00A8138F">
      <w:pPr>
        <w:pStyle w:val="TextoNormal"/>
      </w:pPr>
      <w:r w:rsidRPr="00A8138F">
        <w:rPr>
          <w:rStyle w:val="NumeroAFNegritaCaracter"/>
        </w:rPr>
        <w:t>4</w:t>
      </w:r>
      <w:r>
        <w:t xml:space="preserve">. Mediante providencia de 2 de diciembre de 2024, la Sección Segunda de la Sala Primera de este tribunal acordó admitir a trámite el presente recurso de amparo apreciando que concurría en él la especial trascendencia constitucional que exige el 50.1 de la Ley Orgánica del Tribunal Constitucional, dado que la posible vulneración del derecho fundamental que se denuncia pudiera provenir de la ley o de otra disposición de carácter general [STC </w:t>
      </w:r>
      <w:r>
        <w:lastRenderedPageBreak/>
        <w:t>155/2009, FJ 2 c)]. En la misma providencia se acordó recabar de los órganos judiciales certificación o fotocopia adverada de las actuaciones, ordenando se procediera a emplazar a quienes fueron parte en las distintas instancias (Juzgado de lo Social núm. 29 de Madrid, Sala de lo Social del Tribunal Superior de Justicia de Madrid y Sala de lo Social del Tribunal Supremo) para que, en el plazo de diez días, si lo desearan, pudieran comparecer en este proceso constitucional.</w:t>
      </w:r>
    </w:p>
    <w:p w14:paraId="5CA25EF2" w14:textId="77777777" w:rsidR="00A8138F" w:rsidRDefault="00A8138F" w:rsidP="00A8138F">
      <w:pPr>
        <w:pStyle w:val="TextoNormal"/>
      </w:pPr>
    </w:p>
    <w:p w14:paraId="0586F9E4" w14:textId="0D0E4305" w:rsidR="00A8138F" w:rsidRDefault="00A8138F" w:rsidP="00A8138F">
      <w:pPr>
        <w:pStyle w:val="TextoNormal"/>
      </w:pPr>
      <w:r w:rsidRPr="00A8138F">
        <w:rPr>
          <w:rStyle w:val="NumeroAFNegritaCaracter"/>
        </w:rPr>
        <w:t>5</w:t>
      </w:r>
      <w:r>
        <w:t>. Una vez la letrada de la administración de la Seguridad Social, previamente emplazada, solicitó su personación en nombre del INSS y la Tesorería General de la Seguridad Social (escrito presentado el 16 de diciembre de 2024), la Secretaría de Justicia de la Sala Primera del Tribunal Constitucional acordó mediante diligencia de ordenación de 21 de enero de 2025: (i) tenerla por personada y parte en el procedimiento y (ii) dar vista de las actuaciones recibidas a las partes personadas y al Ministerio Fiscal, por plazo común de veinte días, dentro de los cuales podrían presentar las alegaciones que a su derecho convenga, conforme determina el artículo 52.1 de la Ley Orgánica de este tribunal.</w:t>
      </w:r>
    </w:p>
    <w:p w14:paraId="32409639" w14:textId="77777777" w:rsidR="00A8138F" w:rsidRDefault="00A8138F" w:rsidP="00A8138F">
      <w:pPr>
        <w:pStyle w:val="TextoNormal"/>
      </w:pPr>
    </w:p>
    <w:p w14:paraId="28B7CEA0" w14:textId="2D827B9E" w:rsidR="00A8138F" w:rsidRDefault="00A8138F" w:rsidP="00A8138F">
      <w:pPr>
        <w:pStyle w:val="TextoNormal"/>
      </w:pPr>
      <w:r w:rsidRPr="00A8138F">
        <w:rPr>
          <w:rStyle w:val="NumeroAFNegritaCaracter"/>
        </w:rPr>
        <w:t>6</w:t>
      </w:r>
      <w:r>
        <w:t>. La demandante de amparo formuló sus alegaciones mediante escrito registrado el pasado 19 de febrero de 2025. A través de ellas ratificó los fundamentos de su inicial pretensión de amparo mediante remisión a la demanda, exponiendo un extracto de su contenido y solicitando el reconocimiento de la vulneración de derechos fundamentales aducida, la declaración de nulidad de las resoluciones impugnadas y la retroacción de actuaciones al momento previo a pronunciarse la administración sobre su pretensión de extensión de la prestación económica reconocida en el art. 177 LGSS. Considera que así debe hacerse una vez tomada en consideración la STC 140/2024, de 6 de noviembre, a cuya fundamentación íntegra se remite expresamente, en cuanto a su contenido y efectos, poniendo de relieve el perjuicio que para el cuidado del hijo menor produciría el mantenimiento de la doctrina jurídica que se cuestiona.</w:t>
      </w:r>
    </w:p>
    <w:p w14:paraId="38EB90BB" w14:textId="77777777" w:rsidR="00A8138F" w:rsidRDefault="00A8138F" w:rsidP="00A8138F">
      <w:pPr>
        <w:pStyle w:val="TextoNormal"/>
      </w:pPr>
    </w:p>
    <w:p w14:paraId="5D161628" w14:textId="77777777" w:rsidR="00A8138F" w:rsidRDefault="00A8138F" w:rsidP="00A8138F">
      <w:pPr>
        <w:pStyle w:val="TextoNormal"/>
      </w:pPr>
      <w:r w:rsidRPr="00A8138F">
        <w:rPr>
          <w:rStyle w:val="NumeroAFNegritaCaracter"/>
        </w:rPr>
        <w:t>7</w:t>
      </w:r>
      <w:r>
        <w:t>. En sus alegaciones, registradas el 19 de febrero de 2025, el Ministerio Fiscal interesó la estimación del recurso de amparo tras apreciar que, en el sentido expresado en la STC 140/2024, de 6 de noviembre, se han producido en este caso las vulneraciones denunciadas. Justifica sus alegaciones con base en los siguientes argumentos que ahora se exponen de forma sintética:</w:t>
      </w:r>
    </w:p>
    <w:p w14:paraId="0F6A2037" w14:textId="77777777" w:rsidR="00A8138F" w:rsidRDefault="00A8138F" w:rsidP="00A8138F">
      <w:pPr>
        <w:pStyle w:val="TextoNormal"/>
      </w:pPr>
    </w:p>
    <w:p w14:paraId="10FD8EAA" w14:textId="4E06BE0E" w:rsidR="00A8138F" w:rsidRDefault="00A8138F" w:rsidP="00A8138F">
      <w:pPr>
        <w:pStyle w:val="TextoNormal"/>
      </w:pPr>
      <w:r>
        <w:t xml:space="preserve">Tras determinar el objeto del recurso de amparo y apreciar que no concurren óbices procesales que impidan un pronunciamiento sobre el fondo, el fiscal identifica el art. 48.4 LET (en relación con el art. 177 LGSS) como preceptos legales aplicados y aplicables a la cuestión planteada en el recurso de amparo y se remite expresamente al pronunciamiento expresado en la STC 140/2024, de 6 de noviembre, cuyo razonamiento considera aplicable al presente supuesto. Considera, por tanto, que la </w:t>
      </w:r>
      <w:r w:rsidRPr="00A8138F">
        <w:rPr>
          <w:i/>
        </w:rPr>
        <w:t>ratio</w:t>
      </w:r>
      <w:r>
        <w:t xml:space="preserve"> de esta última sentencia es directamente aplicable al caso presente, como lo ha sido ya en anteriores pronunciamientos de amparo (SSTC 17/2025 a 24/2025) por lo que la pretensión de amparo que fundamenta el recurso debe ser estimada. En relación con los efectos de la estimación del recurso, considera el fiscal que ha de conllevar la nulidad de las resoluciones judiciales cuestionadas, ordenando la retroacción de las actuaciones para que por el Instituto Nacional de la Seguridad Social se resuelva la pretensión de ampliación de los derechos ya reconocidos, deducida por la </w:t>
      </w:r>
      <w:r>
        <w:lastRenderedPageBreak/>
        <w:t>demandante, de forma respetuosa con el derecho fundamental vulnerado, en los términos que resultan de la citada STC 140/2024.</w:t>
      </w:r>
    </w:p>
    <w:p w14:paraId="25FBFAB4" w14:textId="77777777" w:rsidR="00A8138F" w:rsidRDefault="00A8138F" w:rsidP="00A8138F">
      <w:pPr>
        <w:pStyle w:val="TextoNormal"/>
      </w:pPr>
    </w:p>
    <w:p w14:paraId="29DBB55A" w14:textId="77777777" w:rsidR="00A8138F" w:rsidRDefault="00A8138F" w:rsidP="00A8138F">
      <w:pPr>
        <w:pStyle w:val="TextoNormal"/>
      </w:pPr>
      <w:r w:rsidRPr="00A8138F">
        <w:rPr>
          <w:rStyle w:val="NumeroAFNegritaCaracter"/>
        </w:rPr>
        <w:t>8</w:t>
      </w:r>
      <w:r>
        <w:t>. El 24 de febrero de 2025, la letrada de la administración de la Seguridad Social registro sus alegaciones postulando la desestimación de la demanda de amparo y, subsidiariamente que, en el caso de estimarse, se dicte sentencia de acuerdo con lo señalado en la STC 140/2024, de 6 de noviembre, dictada al resolver la correspondiente cuestión de inconstitucionalidad sobre los preceptos legales aplicables, especificando que, dada la fecha de nacimiento del menor, la ampliación solicitada debe serlo de ocho semanas adicionales, dado en la fecha del nacimiento del menor, al progenitor biológico le correspondían doce semanas de permiso laboral y prestación económica, las cuatro primeras conjuntas con la madre.</w:t>
      </w:r>
    </w:p>
    <w:p w14:paraId="76FDD271" w14:textId="77777777" w:rsidR="00A8138F" w:rsidRDefault="00A8138F" w:rsidP="00A8138F">
      <w:pPr>
        <w:pStyle w:val="TextoNormal"/>
      </w:pPr>
    </w:p>
    <w:p w14:paraId="41652A98" w14:textId="77777777" w:rsidR="00A8138F" w:rsidRDefault="00A8138F" w:rsidP="00A8138F">
      <w:pPr>
        <w:pStyle w:val="TextoNormal"/>
      </w:pPr>
      <w:r>
        <w:t>Su pretensión viene apoyada en los siguientes argumentos, sintéticamente expuestos:</w:t>
      </w:r>
    </w:p>
    <w:p w14:paraId="1DF4F808" w14:textId="77777777" w:rsidR="00A8138F" w:rsidRDefault="00A8138F" w:rsidP="00A8138F">
      <w:pPr>
        <w:pStyle w:val="TextoNormal"/>
      </w:pPr>
    </w:p>
    <w:p w14:paraId="06975919" w14:textId="77777777" w:rsidR="00A8138F" w:rsidRDefault="00A8138F" w:rsidP="00A8138F">
      <w:pPr>
        <w:pStyle w:val="TextoNormal"/>
      </w:pPr>
      <w:r>
        <w:t>a) En primer lugar, identifica y describe el contenido de las normas legales aplicables para la resolución de su pretensión (Ley general de la Seguridad Social, Ley del estatuto de los trabajadores y Ley del estatuto básico del empleado público) para señalar cual es la regulación, el sentido y el alcance del permiso y la prestación por nacimiento y cuidado posterior del menor, poniendo especial atención en su finalidad (voluntad del legislador),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14:paraId="32CADC87" w14:textId="77777777" w:rsidR="00A8138F" w:rsidRDefault="00A8138F" w:rsidP="00A8138F">
      <w:pPr>
        <w:pStyle w:val="TextoNormal"/>
      </w:pPr>
    </w:p>
    <w:p w14:paraId="40C1ABB2" w14:textId="5CD78565" w:rsidR="00A8138F" w:rsidRDefault="00A8138F" w:rsidP="00A8138F">
      <w:pPr>
        <w:pStyle w:val="TextoNormal"/>
      </w:pPr>
      <w:r>
        <w:t>b) No obstante, la letrada se hace eco de la reciente STC 140/2024, de 6 de noviembre, estimatoria de la cuestión de inconstitucionalidad planteada sobre las normas reguladoras aplicables, deteniéndose en recoger el alcance y justificación del fallo estimatorio (FJ 7). En tal medida, pese a mantener su petición desestimatoria considera que, en caso de dictarse sentencia parcialmente estimatoria esta habrá de estar a los pronunciamientos de la ya citada STC 140/2024, de 6 de noviembre y supeditada al cumplimiento en el caso concreto de los requisitos legalmente establecidos para su percibo que, según propone, son los que le corresponderían al progenitor distinto de la madre en el momento del nacimiento del menor, esto es, en el año 2020.</w:t>
      </w:r>
    </w:p>
    <w:p w14:paraId="5B7D90A9" w14:textId="77777777" w:rsidR="00A8138F" w:rsidRDefault="00A8138F" w:rsidP="00A8138F">
      <w:pPr>
        <w:pStyle w:val="TextoNormal"/>
      </w:pPr>
    </w:p>
    <w:p w14:paraId="1CC46A3F" w14:textId="6AF40413" w:rsidR="00A8138F" w:rsidRDefault="00A8138F" w:rsidP="00A8138F">
      <w:pPr>
        <w:pStyle w:val="TextoNormal"/>
      </w:pPr>
      <w:r w:rsidRPr="00A8138F">
        <w:rPr>
          <w:rStyle w:val="NumeroAFNegritaCaracter"/>
        </w:rPr>
        <w:t>9</w:t>
      </w:r>
      <w:r>
        <w:t>. El Pleno del Tribunal Constitucional, con fecha 18 de marzo de 2025, dictó providencia en la que acordó, a propuesta de su presidente, recabar para sí el conocimiento de este recurso, conforme a lo establecido en el art. 10.1 n) de la Ley Orgánica del Tribunal Constitucional.</w:t>
      </w:r>
    </w:p>
    <w:p w14:paraId="63E7B555" w14:textId="77777777" w:rsidR="00A8138F" w:rsidRDefault="00A8138F" w:rsidP="00A8138F">
      <w:pPr>
        <w:pStyle w:val="TextoNormal"/>
      </w:pPr>
    </w:p>
    <w:p w14:paraId="5081AEC2" w14:textId="1A1A3520" w:rsidR="00A8138F" w:rsidRDefault="00A8138F" w:rsidP="00A8138F">
      <w:pPr>
        <w:pStyle w:val="TextoNormal"/>
      </w:pPr>
      <w:r w:rsidRPr="00A8138F">
        <w:rPr>
          <w:rStyle w:val="NumeroAFNegritaCaracter"/>
        </w:rPr>
        <w:t>10</w:t>
      </w:r>
      <w:r>
        <w:t>. Mediante providencia de 18 de marzo de 2025 se señaló ese mismo día para la deliberación y votación de la presente sentencia.</w:t>
      </w:r>
    </w:p>
    <w:p w14:paraId="6E281E07" w14:textId="77777777" w:rsidR="00A8138F" w:rsidRDefault="00A8138F" w:rsidP="00A8138F">
      <w:pPr>
        <w:pStyle w:val="TextoNormal"/>
      </w:pPr>
    </w:p>
    <w:p w14:paraId="6FF602F6" w14:textId="77777777" w:rsidR="00A8138F" w:rsidRDefault="00A8138F" w:rsidP="00A8138F">
      <w:pPr>
        <w:pStyle w:val="TextoNormalNegritaCentrado"/>
        <w:keepNext/>
      </w:pPr>
      <w:r>
        <w:lastRenderedPageBreak/>
        <w:t>II. Fundamentos jurídicos</w:t>
      </w:r>
    </w:p>
    <w:p w14:paraId="7DCC1384" w14:textId="1915AF62" w:rsidR="00A8138F" w:rsidRDefault="00A8138F" w:rsidP="00A8138F">
      <w:pPr>
        <w:pStyle w:val="TextoNormalNegritaCentrado"/>
        <w:keepNext/>
      </w:pPr>
    </w:p>
    <w:p w14:paraId="7A5F1980"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CE34CB0" w14:textId="77777777" w:rsidR="00A8138F" w:rsidRDefault="00A8138F" w:rsidP="00A8138F">
      <w:pPr>
        <w:pStyle w:val="TextoNormal"/>
      </w:pPr>
    </w:p>
    <w:p w14:paraId="7B41C845" w14:textId="54FF7C2B" w:rsidR="00A8138F" w:rsidRDefault="00A8138F" w:rsidP="00A8138F">
      <w:pPr>
        <w:pStyle w:val="TextoNormal"/>
      </w:pPr>
      <w:r>
        <w:t>El objeto del presente proceso es dilucidar si la actuación administrativas y decisiones judiciales cuestionadas en el recurso de amparo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2D2D9E21" w14:textId="77777777" w:rsidR="00A8138F" w:rsidRDefault="00A8138F" w:rsidP="00A8138F">
      <w:pPr>
        <w:pStyle w:val="TextoNormal"/>
      </w:pPr>
    </w:p>
    <w:p w14:paraId="7F8D5B1D"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6BE241B2" w14:textId="77777777" w:rsidR="00A8138F" w:rsidRDefault="00A8138F" w:rsidP="00A8138F">
      <w:pPr>
        <w:pStyle w:val="TextoNormal"/>
      </w:pPr>
    </w:p>
    <w:p w14:paraId="7D67B48D"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579D10A8" w14:textId="77777777" w:rsidR="00A8138F" w:rsidRDefault="00A8138F" w:rsidP="00A8138F">
      <w:pPr>
        <w:pStyle w:val="TextoNormal"/>
      </w:pPr>
    </w:p>
    <w:p w14:paraId="0DF490FC" w14:textId="77777777" w:rsidR="00A8138F" w:rsidRDefault="00A8138F" w:rsidP="00A8138F">
      <w:pPr>
        <w:pStyle w:val="TextoNormal"/>
      </w:pPr>
      <w:r>
        <w:t>La citada STC 140/2024, al estimar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E9B54C1" w14:textId="77777777" w:rsidR="00A8138F" w:rsidRDefault="00A8138F" w:rsidP="00A8138F">
      <w:pPr>
        <w:pStyle w:val="TextoNormal"/>
      </w:pPr>
    </w:p>
    <w:p w14:paraId="01D6503E"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w:t>
      </w:r>
      <w:r>
        <w:lastRenderedPageBreak/>
        <w:t>con el art. 39 CE, en tanto esos menores podrán disfrutar de un período de cuidado de sus progenitores significativamente inferior a los nacidos en familias biparentales” (FJ 6).</w:t>
      </w:r>
    </w:p>
    <w:p w14:paraId="113DDA3A" w14:textId="77777777" w:rsidR="00A8138F" w:rsidRDefault="00A8138F" w:rsidP="00A8138F">
      <w:pPr>
        <w:pStyle w:val="TextoNormal"/>
      </w:pPr>
    </w:p>
    <w:p w14:paraId="61F37C55" w14:textId="77777777"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6E92BCF6" w14:textId="77777777" w:rsidR="00A8138F" w:rsidRDefault="00A8138F" w:rsidP="00A8138F">
      <w:pPr>
        <w:pStyle w:val="TextoNormal"/>
      </w:pPr>
    </w:p>
    <w:p w14:paraId="1845DCDA" w14:textId="13E32738" w:rsidR="00A8138F" w:rsidRDefault="00A8138F" w:rsidP="00A8138F">
      <w:pPr>
        <w:pStyle w:val="TextoNormal"/>
      </w:pPr>
      <w:r>
        <w:t>De conformidad con lo expuesto por el fiscal, la estimación de la demanda, con reconocimiento de la vulneración de derechos denunciada, ha de conllevar la declaración de nulidad de las resoluciones judiciales impugnadas, con retroacción de las actuaciones al momento en el que el INSS había de pronunciarse sobre la solicitud de ampliación de la prestación por nacimiento y cuidado del hijo que fue presentada por la demandante.</w:t>
      </w:r>
    </w:p>
    <w:p w14:paraId="7DE2BE44" w14:textId="77777777" w:rsidR="00A8138F" w:rsidRDefault="00A8138F" w:rsidP="00A8138F">
      <w:pPr>
        <w:pStyle w:val="TextoNormal"/>
      </w:pPr>
    </w:p>
    <w:p w14:paraId="13D8D311" w14:textId="77777777" w:rsidR="00A8138F" w:rsidRDefault="00A8138F" w:rsidP="00A8138F">
      <w:pPr>
        <w:pStyle w:val="TextoNormalCentrado"/>
        <w:keepNext/>
      </w:pPr>
      <w:r>
        <w:t>FALLO</w:t>
      </w:r>
    </w:p>
    <w:p w14:paraId="648A62B2" w14:textId="2BF93E53" w:rsidR="00A8138F" w:rsidRDefault="00A8138F" w:rsidP="00A8138F">
      <w:pPr>
        <w:pStyle w:val="TextoNormalCentrado"/>
        <w:keepNext/>
      </w:pPr>
    </w:p>
    <w:p w14:paraId="2715E978"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Vanesa Pérez Gil y, en consecuencia:</w:t>
      </w:r>
    </w:p>
    <w:p w14:paraId="37FD817D" w14:textId="77777777" w:rsidR="00A8138F" w:rsidRDefault="00A8138F" w:rsidP="00A8138F">
      <w:pPr>
        <w:pStyle w:val="TextoNormal"/>
      </w:pPr>
    </w:p>
    <w:p w14:paraId="3521EE95" w14:textId="77777777" w:rsidR="00A8138F" w:rsidRDefault="00A8138F" w:rsidP="00A8138F">
      <w:pPr>
        <w:pStyle w:val="TextoNormal"/>
      </w:pPr>
      <w:r>
        <w:t>1º Declarar que se ha vulnerado el derecho fundamental a la igualdad ante la ley sin que pueda prevalecer discriminación por razón de nacimiento (art. 14 CE).</w:t>
      </w:r>
    </w:p>
    <w:p w14:paraId="0457C5E9" w14:textId="77777777" w:rsidR="00A8138F" w:rsidRDefault="00A8138F" w:rsidP="00A8138F">
      <w:pPr>
        <w:pStyle w:val="TextoNormal"/>
      </w:pPr>
    </w:p>
    <w:p w14:paraId="1C69D3DA" w14:textId="77777777" w:rsidR="00A8138F" w:rsidRDefault="00A8138F" w:rsidP="00A8138F">
      <w:pPr>
        <w:pStyle w:val="TextoNormal"/>
      </w:pPr>
      <w:r>
        <w:t>2º Restablecer en amparo dicho derecho y, para ello, declarar la nulidad de la sentencia núm. 337/2022, de 7 de septiembre, del Juzgado de lo Social núm. 29 de Madrid (autos núm. 1102-2021); la sentencia núm. 554/2023, de 14 de septiembre, de la Sala de lo Social del Tribunal Superior de Justicia de Madrid (recurso de suplicación núm. 960-2022); y el auto de 11 de septiembre de 2024, de la Sala de lo Social del Tribunal Supremo (recurso de casación para la unificación de doctrina núm. 4789-2023).</w:t>
      </w:r>
    </w:p>
    <w:p w14:paraId="17E5B5F2" w14:textId="77777777" w:rsidR="00A8138F" w:rsidRDefault="00A8138F" w:rsidP="00A8138F">
      <w:pPr>
        <w:pStyle w:val="TextoNormal"/>
      </w:pPr>
    </w:p>
    <w:p w14:paraId="6E87DB94" w14:textId="0CAF4A3F" w:rsidR="00A8138F" w:rsidRDefault="00A8138F" w:rsidP="00A8138F">
      <w:pPr>
        <w:pStyle w:val="TextoNormal"/>
      </w:pPr>
      <w:r>
        <w:t>3º Retrotraer las actuaciones al momento inmediatamente anterior a resolver la reclamación administrativa de revisión de la prestación reconocida a la demandante, a fin de que, en los términos expuestos en el fundamento jurídico segundo de la presente sentencia, se dicte por el Instituto Nacional de la Seguridad Social una resolución expresa respetuosa con el derecho fundamental vulnerado.</w:t>
      </w:r>
    </w:p>
    <w:p w14:paraId="506D9335" w14:textId="77777777" w:rsidR="00A8138F" w:rsidRDefault="00A8138F" w:rsidP="00A8138F">
      <w:pPr>
        <w:pStyle w:val="TextoNormal"/>
      </w:pPr>
    </w:p>
    <w:p w14:paraId="6F6E90D0" w14:textId="77777777" w:rsidR="00A8138F" w:rsidRDefault="00A8138F" w:rsidP="00A8138F">
      <w:pPr>
        <w:pStyle w:val="TextoNormal"/>
      </w:pPr>
      <w:r>
        <w:t>Publíquese esta sentencia en el “Boletín Oficial del Estado”.</w:t>
      </w:r>
    </w:p>
    <w:p w14:paraId="1560CF45" w14:textId="77777777" w:rsidR="00A8138F" w:rsidRDefault="00A8138F" w:rsidP="00A8138F">
      <w:pPr>
        <w:pStyle w:val="TextoNormal"/>
      </w:pPr>
      <w:r>
        <w:t>Dada en Cádiz, a dieciocho de marzo de dos mil veinticinco.</w:t>
      </w:r>
    </w:p>
    <w:p w14:paraId="0F845E2C" w14:textId="641D82B1" w:rsidR="00A8138F" w:rsidRDefault="00A8138F">
      <w:pPr>
        <w:spacing w:after="160" w:line="278" w:lineRule="auto"/>
        <w:rPr>
          <w:rFonts w:ascii="Times New Roman" w:eastAsia="Times New Roman" w:hAnsi="Times New Roman" w:cs="Times New Roman"/>
          <w:sz w:val="24"/>
          <w:szCs w:val="24"/>
          <w:lang w:eastAsia="es-ES"/>
        </w:rPr>
      </w:pPr>
      <w:r>
        <w:br w:type="page"/>
      </w:r>
    </w:p>
    <w:p w14:paraId="4E36B18A" w14:textId="77777777" w:rsidR="00A8138F" w:rsidRDefault="00A8138F" w:rsidP="00A8138F">
      <w:pPr>
        <w:pStyle w:val="TtuloResolucin"/>
      </w:pPr>
      <w:bookmarkStart w:id="71" w:name="SENTENCIA_2025_69"/>
      <w:r>
        <w:lastRenderedPageBreak/>
        <w:t>SENTENCIA 69/2025, de 24 de marzo de 2025</w:t>
      </w:r>
    </w:p>
    <w:bookmarkEnd w:id="71"/>
    <w:p w14:paraId="37734266" w14:textId="77777777" w:rsidR="00A8138F" w:rsidRDefault="00A8138F" w:rsidP="00A8138F">
      <w:pPr>
        <w:pStyle w:val="TtuloResolucin"/>
      </w:pPr>
      <w:r>
        <w:t>Sala Segunda</w:t>
      </w:r>
    </w:p>
    <w:p w14:paraId="2DC5CAC9" w14:textId="77777777" w:rsidR="00A8138F" w:rsidRDefault="00A8138F" w:rsidP="00A8138F">
      <w:pPr>
        <w:pStyle w:val="TtuloBOE"/>
      </w:pPr>
      <w:r>
        <w:t>(BOE núm. 109, de 6 de mayo de 2025)</w:t>
      </w:r>
    </w:p>
    <w:p w14:paraId="3E100CD4" w14:textId="77777777" w:rsidR="00A8138F" w:rsidRDefault="00A8138F" w:rsidP="00A8138F">
      <w:pPr>
        <w:pStyle w:val="TextoNormalCentrado"/>
      </w:pPr>
      <w:r>
        <w:t>ECLI:ES:TC:2025:69</w:t>
      </w:r>
    </w:p>
    <w:p w14:paraId="06BF9ED5" w14:textId="003CF859" w:rsidR="00A8138F" w:rsidRDefault="00A8138F" w:rsidP="00A8138F">
      <w:pPr>
        <w:pStyle w:val="TextoNormalCentrado"/>
      </w:pPr>
    </w:p>
    <w:p w14:paraId="2DBEE008" w14:textId="77777777" w:rsidR="00A8138F" w:rsidRDefault="00A8138F" w:rsidP="00A8138F">
      <w:pPr>
        <w:pStyle w:val="SntesisDescriptiva"/>
      </w:pPr>
      <w:r>
        <w:t>Recurso de amparo 8334-2021. Promovido por la asociación Gurasos Elkartea respecto de la sentencia de la Sección Segunda de la Sala de lo Contencioso-Administrativo del Tribunal Superior de Justicia del País Vasco que inadmitió su recurso contra la autorización ambiental de instalación de una incineradora.</w:t>
      </w:r>
    </w:p>
    <w:p w14:paraId="475E0D62" w14:textId="3558E110" w:rsidR="00A8138F" w:rsidRDefault="00A8138F" w:rsidP="00A8138F">
      <w:pPr>
        <w:pStyle w:val="SntesisDescriptiva"/>
      </w:pPr>
    </w:p>
    <w:p w14:paraId="224CC7A1" w14:textId="77777777" w:rsidR="00A8138F" w:rsidRDefault="00A8138F" w:rsidP="00A8138F">
      <w:pPr>
        <w:pStyle w:val="SntesisAnaltica"/>
      </w:pPr>
      <w:r>
        <w:t>Vulneración del derecho a la tutela judicial efectiva (acceso a la jurisdicción): resolución judicial que niega legitimación activa a una asociación que no interviene al amparo de una acción pública ambiental sino en defensa de los intereses de los asociados residentes en las inmediaciones de la incineradora proyectada (STC 252/2000).</w:t>
      </w:r>
    </w:p>
    <w:p w14:paraId="7D46653A" w14:textId="5B1A7D7B" w:rsidR="00A8138F" w:rsidRDefault="00A8138F" w:rsidP="00A8138F">
      <w:pPr>
        <w:pStyle w:val="SntesisAnaltica"/>
      </w:pPr>
    </w:p>
    <w:p w14:paraId="237654F4" w14:textId="2D14ABE6" w:rsidR="00A8138F" w:rsidRDefault="00A8138F" w:rsidP="00A8138F">
      <w:pPr>
        <w:pStyle w:val="Extracto"/>
      </w:pPr>
      <w:r>
        <w:t>1.</w:t>
      </w:r>
      <w:r>
        <w:tab/>
        <w:t>En materia de legitimación activa de una asociación en el orden jurisdiccional contencioso-administrativo, el interés legítimo referido individualmente a cada vecino puede ser apreciado también en relación con las asociaciones de vecinos legalmente constituidas para defender los intereses de sus asociados, si así lo disponen los términos de los estatutos reguladores de la razón de ser de las asociaciones vecinales (STC 252/2000) [FJ 2].</w:t>
      </w:r>
    </w:p>
    <w:p w14:paraId="3AB2480F" w14:textId="77777777" w:rsidR="00A8138F" w:rsidRDefault="00A8138F" w:rsidP="00A8138F">
      <w:pPr>
        <w:pStyle w:val="Extracto"/>
      </w:pPr>
    </w:p>
    <w:p w14:paraId="1855DD9D" w14:textId="3A4B0C55" w:rsidR="00A8138F" w:rsidRDefault="00A8138F" w:rsidP="00A8138F">
      <w:pPr>
        <w:pStyle w:val="Extracto"/>
      </w:pPr>
      <w:r>
        <w:t>2.</w:t>
      </w:r>
      <w:r>
        <w:tab/>
        <w:t>Dada la trascendencia que para la tutela judicial efectiva tienen las decisiones que deniegan el acceso a la jurisdicción, la argumentación del órgano judicial debe responder a una interpretación de las normas legales de conformidad con la Constitución y en el sentido más favorable para la efectividad del derecho fundamental (STC 203/2002) [FJ 2].</w:t>
      </w:r>
    </w:p>
    <w:p w14:paraId="5ED121EA" w14:textId="77777777" w:rsidR="00A8138F" w:rsidRDefault="00A8138F" w:rsidP="00A8138F">
      <w:pPr>
        <w:pStyle w:val="Extracto"/>
      </w:pPr>
    </w:p>
    <w:p w14:paraId="0F76BAC8" w14:textId="5C13A50B" w:rsidR="00A8138F" w:rsidRDefault="00A8138F" w:rsidP="00A8138F">
      <w:pPr>
        <w:pStyle w:val="Extracto"/>
      </w:pPr>
      <w:r>
        <w:t>3.</w:t>
      </w:r>
      <w:r>
        <w:tab/>
        <w:t xml:space="preserve">En las resoluciones judiciales que cierran el acceso a la jurisdicción y, por tanto, impeditivas de la obtención de una primera respuesta judicial sobre el fondo de los derechos e intereses sometidos a tutela, despliega su máxima eficacia el principio </w:t>
      </w:r>
      <w:r w:rsidRPr="00A8138F">
        <w:rPr>
          <w:i/>
        </w:rPr>
        <w:t>pro actione</w:t>
      </w:r>
      <w:r>
        <w:t xml:space="preserve">, exigiendo que los órganos judiciales, al interpretar los requisitos procesales legalmente previstos, tengan presente la </w:t>
      </w:r>
      <w:r w:rsidRPr="00A8138F">
        <w:rPr>
          <w:i/>
        </w:rPr>
        <w:t xml:space="preserve">ratio </w:t>
      </w:r>
      <w:r>
        <w:t>de la norma con el fin de evitar que los meros formalismos o entendimientos no razonables de las normas procesales impidan un enjuiciamiento de fondo del asunto, vulnerando las exigencias del principio de proporcionalidad (STC 220/2003) [FJ 2].</w:t>
      </w:r>
    </w:p>
    <w:p w14:paraId="019C0479" w14:textId="77777777" w:rsidR="00A8138F" w:rsidRDefault="00A8138F" w:rsidP="00A8138F">
      <w:pPr>
        <w:pStyle w:val="Extracto"/>
      </w:pPr>
    </w:p>
    <w:p w14:paraId="775C3941" w14:textId="1CF385DB" w:rsidR="00A8138F" w:rsidRDefault="00A8138F" w:rsidP="00A8138F">
      <w:pPr>
        <w:pStyle w:val="Extracto"/>
      </w:pPr>
      <w:r>
        <w:t>4.</w:t>
      </w:r>
      <w:r>
        <w:tab/>
        <w:t>La STC 252/2000 admitió el interés legítimo de una asociación de vecinos constituida para denunciar los problemas que aquejaban al servicio público de saneamiento de aguas, reconociendo su legitimación activa para impugnar la exigencia y el pago de precio público por el alcantarillado que debía dar servicio a una urbanización o barriada y al que quedaba obligado cada vecino a título individual Este mismo título de legitimación ha de extenderse también a los vecinos que deciden asociarse para impugnar de forma colectiva una disposición general o un acto administrativo de efectos ambientales, localizados en el área geográfica en que se hallan ubicados sus  domicilios [FJ 3].</w:t>
      </w:r>
    </w:p>
    <w:p w14:paraId="7CEA9B3B" w14:textId="77777777" w:rsidR="00A8138F" w:rsidRDefault="00A8138F" w:rsidP="00A8138F">
      <w:pPr>
        <w:pStyle w:val="Extracto"/>
      </w:pPr>
    </w:p>
    <w:p w14:paraId="1B56A759" w14:textId="77777777" w:rsidR="00A8138F" w:rsidRDefault="00A8138F" w:rsidP="00A8138F">
      <w:pPr>
        <w:pStyle w:val="Extracto"/>
      </w:pPr>
    </w:p>
    <w:p w14:paraId="54C9618F" w14:textId="77777777" w:rsidR="00A8138F" w:rsidRDefault="00A8138F" w:rsidP="00A8138F">
      <w:pPr>
        <w:pStyle w:val="TextoNormal"/>
      </w:pPr>
      <w:r>
        <w:lastRenderedPageBreak/>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14:paraId="5AC6D54F" w14:textId="1BB6F45D" w:rsidR="00A8138F" w:rsidRDefault="00A8138F" w:rsidP="00A8138F">
      <w:pPr>
        <w:pStyle w:val="TextoNormal"/>
      </w:pPr>
    </w:p>
    <w:p w14:paraId="28A3E401" w14:textId="77777777" w:rsidR="00A8138F" w:rsidRDefault="00A8138F" w:rsidP="00A8138F">
      <w:pPr>
        <w:pStyle w:val="TextoNormalCentrado"/>
        <w:keepNext/>
      </w:pPr>
      <w:r>
        <w:t>EN NOMBRE DEL REY</w:t>
      </w:r>
    </w:p>
    <w:p w14:paraId="3CBABBEA" w14:textId="62C7DE31" w:rsidR="00A8138F" w:rsidRDefault="00A8138F" w:rsidP="00A8138F">
      <w:pPr>
        <w:pStyle w:val="TextoNormalCentrado"/>
        <w:keepNext/>
      </w:pPr>
    </w:p>
    <w:p w14:paraId="5F6B3099" w14:textId="77777777" w:rsidR="00A8138F" w:rsidRDefault="00A8138F" w:rsidP="00A8138F">
      <w:pPr>
        <w:pStyle w:val="TextoNormalCentrado"/>
        <w:keepNext/>
      </w:pPr>
    </w:p>
    <w:p w14:paraId="42EBDF35" w14:textId="77777777" w:rsidR="00A8138F" w:rsidRDefault="00A8138F" w:rsidP="00A8138F">
      <w:pPr>
        <w:pStyle w:val="TextoNormal"/>
      </w:pPr>
      <w:r>
        <w:t>la siguiente</w:t>
      </w:r>
    </w:p>
    <w:p w14:paraId="4F9C30BF" w14:textId="3606EE2C" w:rsidR="00A8138F" w:rsidRDefault="00A8138F" w:rsidP="00A8138F">
      <w:pPr>
        <w:pStyle w:val="TextoNormal"/>
      </w:pPr>
    </w:p>
    <w:p w14:paraId="32232A3D" w14:textId="77777777" w:rsidR="00A8138F" w:rsidRDefault="00A8138F" w:rsidP="00A8138F">
      <w:pPr>
        <w:pStyle w:val="TextoNormalCentrado"/>
        <w:keepNext/>
      </w:pPr>
      <w:r>
        <w:t>SENTENCIA</w:t>
      </w:r>
    </w:p>
    <w:p w14:paraId="5ED77744" w14:textId="0B074D0A" w:rsidR="00A8138F" w:rsidRDefault="00A8138F" w:rsidP="00A8138F">
      <w:pPr>
        <w:pStyle w:val="TextoNormalCentrado"/>
        <w:keepNext/>
      </w:pPr>
    </w:p>
    <w:p w14:paraId="41388676" w14:textId="77777777" w:rsidR="00A8138F" w:rsidRDefault="00A8138F" w:rsidP="00A8138F">
      <w:pPr>
        <w:pStyle w:val="TextoNormal"/>
      </w:pPr>
      <w:r>
        <w:t>En el recurso de amparo núm. 8334-2021, interpuesto por la procuradora de los tribunales doña Ana Isabel Lobera Argüelles, en nombre y representación de la asociación Gurasos Elkartea, bajo la dirección técnica del letrado don Joseba Andoni Belaustegi Cuesta, contra la sentencia de 29 de marzo de 2021 de la Sección Segunda de la Sala de lo Contencioso-Administrativo del Tribunal Superior de Justicia del País Vasco, dictada en el procedimiento ordinario núm. 821-2016. Han comparecido el Consorcio de Residuos de Guipúzcoa, la Diputación Foral de Guipúzcoa y el letrado de los servicios jurídicos de la Comunidad Autónoma del País Vasco, en la representación que ostenta. Ha intervenido el Ministerio Fiscal. Ha sido ponente la magistrada doña Inmaculada Montalbán Huertas.</w:t>
      </w:r>
    </w:p>
    <w:p w14:paraId="41958D55" w14:textId="7C0AB116" w:rsidR="00A8138F" w:rsidRDefault="00A8138F" w:rsidP="00A8138F">
      <w:pPr>
        <w:pStyle w:val="TextoNormal"/>
      </w:pPr>
    </w:p>
    <w:p w14:paraId="0BEF3A6D" w14:textId="77777777" w:rsidR="00A8138F" w:rsidRDefault="00A8138F" w:rsidP="00A8138F">
      <w:pPr>
        <w:pStyle w:val="TextoNormalNegritaCentrado"/>
        <w:keepNext/>
      </w:pPr>
      <w:r>
        <w:t>I. Antecedentes</w:t>
      </w:r>
    </w:p>
    <w:p w14:paraId="1EA67C79" w14:textId="7402010D" w:rsidR="00A8138F" w:rsidRDefault="00A8138F" w:rsidP="00A8138F">
      <w:pPr>
        <w:pStyle w:val="TextoNormalNegritaCentrado"/>
        <w:keepNext/>
      </w:pPr>
    </w:p>
    <w:p w14:paraId="65B13706" w14:textId="33989A78" w:rsidR="00A8138F" w:rsidRDefault="00A8138F" w:rsidP="00A8138F">
      <w:pPr>
        <w:pStyle w:val="TextoNormal"/>
      </w:pPr>
      <w:r w:rsidRPr="00A8138F">
        <w:rPr>
          <w:rStyle w:val="NumeroAFNegritaCaracter"/>
        </w:rPr>
        <w:t>1</w:t>
      </w:r>
      <w:r>
        <w:t>. La asociación Gurasos Elkartea, representada por la procuradora de los tribunales doña Ana Isabel Lobera Argüelles, ha interpuesto recurso de amparo contra la resolución judicial indicada en el encabezamiento mediante escrito presentado en el registro de este tribunal el 29 de diciembre de 2021.</w:t>
      </w:r>
    </w:p>
    <w:p w14:paraId="1807E650" w14:textId="77777777" w:rsidR="00A8138F" w:rsidRDefault="00A8138F" w:rsidP="00A8138F">
      <w:pPr>
        <w:pStyle w:val="TextoNormal"/>
      </w:pPr>
    </w:p>
    <w:p w14:paraId="0CE73C78" w14:textId="77777777" w:rsidR="00A8138F" w:rsidRDefault="00A8138F" w:rsidP="00A8138F">
      <w:pPr>
        <w:pStyle w:val="TextoNormal"/>
      </w:pPr>
      <w:r w:rsidRPr="00A8138F">
        <w:rPr>
          <w:rStyle w:val="NumeroAFNegritaCaracter"/>
        </w:rPr>
        <w:t>2</w:t>
      </w:r>
      <w:r>
        <w:t>. Los hechos de los que trae causa la presente demanda de amparo son, en síntesis, los siguientes:</w:t>
      </w:r>
    </w:p>
    <w:p w14:paraId="2125C669" w14:textId="77777777" w:rsidR="00A8138F" w:rsidRDefault="00A8138F" w:rsidP="00A8138F">
      <w:pPr>
        <w:pStyle w:val="TextoNormal"/>
      </w:pPr>
    </w:p>
    <w:p w14:paraId="03C538BC" w14:textId="77777777" w:rsidR="00A8138F" w:rsidRDefault="00A8138F" w:rsidP="00A8138F">
      <w:pPr>
        <w:pStyle w:val="TextoNormal"/>
      </w:pPr>
      <w:r>
        <w:t>a) La asociación Gurasos Elkartea interpuso recurso contencioso-administrativo contra la desestimación presunta del recurso de alzada interpuesto contra: (i) la resolución de 11 de abril de 2016, del viceconsejero de Medio Ambiente del Gobierno Vasco, por la que se modificaba la declaración de impacto ambiental y la autorización ambiental integrada concedida a Gipuzkoako Hondakinen Kutdeaketa, S.A.U., para el proyecto de valorización energética de residuos promovido en el término municipal de Donostia-San Sebastián; y (ii) la resolución de 7 de marzo de 2016, del viceconsejero de Medio Ambiente del Gobierno Vasco, que concede una segunda prórroga de doce meses del plazo para acreditar el cumplimiento de las condiciones recogidas en el apartado cuarto de la resolución de 23 de abril de 2010, de concesión de la autorización ambiental integrada y formulación de la declaración de impacto ambiental del citado proyecto. El recurso fue posteriormente ampliado a la orden de 14 de diciembre de 2016, del consejero de Medio Ambiente, Planificación Territorial y Vivienda, por la que se desestiman los recursos de alzada interpuestos contra las citadas resoluciones de 11 de abril y de 7 de marzo de 2016.</w:t>
      </w:r>
    </w:p>
    <w:p w14:paraId="611246D3" w14:textId="77777777" w:rsidR="00A8138F" w:rsidRDefault="00A8138F" w:rsidP="00A8138F">
      <w:pPr>
        <w:pStyle w:val="TextoNormal"/>
      </w:pPr>
    </w:p>
    <w:p w14:paraId="47E48D2E" w14:textId="77777777" w:rsidR="00A8138F" w:rsidRDefault="00A8138F" w:rsidP="00A8138F">
      <w:pPr>
        <w:pStyle w:val="TextoNormal"/>
      </w:pPr>
      <w:r>
        <w:t xml:space="preserve">Por lo que a este proceso interesa, la recurrente esgrimía en su escrito de demanda varias razones para fundar su legitimación </w:t>
      </w:r>
      <w:r w:rsidRPr="00A8138F">
        <w:rPr>
          <w:i/>
        </w:rPr>
        <w:t>ad causam</w:t>
      </w:r>
      <w:r>
        <w:t xml:space="preserve"> en el proceso contencioso-administrativo: (i) un derecho o interés legítimo al amparo del art. 19.1 a) de la Ley de la jurisdicción contencioso-administrativa (LJCA) en relación con el art. 20 de la Ley 27/2006, de 18 de julio, por la que se regulan los derechos de acceso a la información, de participación pública y de acceso a la justicia en materia de medio ambiente; (ii) su habilitación legal para la defensa de derechos e intereses legítimos colectivos </w:t>
      </w:r>
      <w:r w:rsidRPr="00A8138F">
        <w:rPr>
          <w:i/>
        </w:rPr>
        <w:t>ex</w:t>
      </w:r>
      <w:r>
        <w:t xml:space="preserve"> art. 19.1 b) LJCA; (iii) la legitimación que le confiere la acción pública reconocida en la legislación urbanística y de ordenación del territorio, en concreto el art. 5 f) del Real Decreto Legislativo 7/2015, de 30 de octubre, por el que se aprueba el texto refundido de la Ley de suelo y rehabilitación urbana; y (iv) el art. 3.4 de la Ley 3/1998, de 27 de febrero, general de protección del medio ambiente del País Vasco.</w:t>
      </w:r>
    </w:p>
    <w:p w14:paraId="43D3ADF3" w14:textId="77777777" w:rsidR="00A8138F" w:rsidRDefault="00A8138F" w:rsidP="00A8138F">
      <w:pPr>
        <w:pStyle w:val="TextoNormal"/>
      </w:pPr>
    </w:p>
    <w:p w14:paraId="04B0D6FC" w14:textId="77777777" w:rsidR="00A8138F" w:rsidRDefault="00A8138F" w:rsidP="00A8138F">
      <w:pPr>
        <w:pStyle w:val="TextoNormal"/>
      </w:pPr>
      <w:r>
        <w:t xml:space="preserve">b) La Diputación Foral de Guipúzcoa planteó, en trámite de alegaciones previas, la inadmisibilidad del recurso contencioso-administrativo por falta de legitimación activa de la asociación recurrente. La Sala de lo Contencioso-Administrativo del Tribunal Superior de Justicia del País Vasco rechazó la objeción por auto de 25 de septiembre de 2018, acogiendo los argumentos esgrimidos por la recurrente para fundar su legitimación </w:t>
      </w:r>
      <w:r w:rsidRPr="00A8138F">
        <w:rPr>
          <w:i/>
        </w:rPr>
        <w:t>ad causam</w:t>
      </w:r>
      <w:r>
        <w:t xml:space="preserve"> en el proceso contencioso-administrativo. En concreto, la Sala consideró que la actora esgrimía “un concreto y específico interés legítimo que le vincula con la actividad objeto de impugnación, en el que sustentar su legitimación” </w:t>
      </w:r>
      <w:r w:rsidRPr="00A8138F">
        <w:rPr>
          <w:i/>
        </w:rPr>
        <w:t>ex</w:t>
      </w:r>
      <w:r>
        <w:t xml:space="preserve"> art. 19.1 b) LJCA. En cuanto a la aplicabilidad de la Ley 27/2006, de 18 de julio, afirmó que la legitimación de Gurasos Elkartea para la impugnación de los actos relacionados con la autorización ambiental del proyecto de la incineradora no puede ser contemplada exclusivamente desde un plano sectorial de defensa del medioambiente, sino desde el general que marca la relación entre los fines de la asociación, que no se reducen a la protección medioambiental, y los actos objeto de recurso.</w:t>
      </w:r>
    </w:p>
    <w:p w14:paraId="5E5C35F3" w14:textId="77777777" w:rsidR="00A8138F" w:rsidRDefault="00A8138F" w:rsidP="00A8138F">
      <w:pPr>
        <w:pStyle w:val="TextoNormal"/>
      </w:pPr>
    </w:p>
    <w:p w14:paraId="378BF128" w14:textId="77777777" w:rsidR="00A8138F" w:rsidRDefault="00A8138F" w:rsidP="00A8138F">
      <w:pPr>
        <w:pStyle w:val="TextoNormal"/>
      </w:pPr>
      <w:r>
        <w:t>c) Concluso el procedimiento y dentro del plazo para dictar sentencia, por providencia de 12 de febrero de 2020, con suspensión del plazo para resolver, se dio traslado a las partes para que pudieran presentar alegaciones sobre la pertinencia de plantear cuestión de inconstitucionalidad con respecto al art. 3.4 de la Ley 3/1998, de 27 de febrero, general de protección del medio ambiente del País Vasco. Por auto de 9 de marzo de 2020 se acordó el planteamiento de la cuestión, al entender la Sala que el precepto pudiera ser contrario al art. 149.1.6 CE, que atribuye al Estado competencia exclusiva sobre la legislación procesal, en relación con los arts. 22 y 23 de la Ley 27/2006, de 18 de julio, por la que se regulan los derechos de acceso a la información, de participación pública y de acceso a la justicia en materia de medio ambiente (incorpora las Directivas 2003/4/CE y 2003/35/CE).</w:t>
      </w:r>
    </w:p>
    <w:p w14:paraId="76DFA110" w14:textId="77777777" w:rsidR="00A8138F" w:rsidRDefault="00A8138F" w:rsidP="00A8138F">
      <w:pPr>
        <w:pStyle w:val="TextoNormal"/>
      </w:pPr>
    </w:p>
    <w:p w14:paraId="17CFFA92" w14:textId="77777777" w:rsidR="00A8138F" w:rsidRDefault="00A8138F" w:rsidP="00A8138F">
      <w:pPr>
        <w:pStyle w:val="TextoNormal"/>
      </w:pPr>
      <w:r>
        <w:t>Al efectuar los juicios de aplicabilidad y relevancia, el auto de planteamiento descartaba la posibilidad de que la legitimación de la asociación recurrente se fundamentase en el art. 20 de la Ley 27/2006, de 18 de julio, habida cuenta de que su constitución fue posterior al dictado de las resoluciones del viceconsejero de Medioambiente recurridas, con lo que no cumplía con lo exigido en el art. 23.1 b) de la referida Ley. Subrayaba que las cuestiones planteadas en relación con el plan territorial sectorial de infraestructuras de residuos urbanos de Gipuzkoa se enmarcaban en materia de medio ambiente, de residuos, y no en materia urbanística. Frente a las razones expresadas en su auto de 25 de septiembre de 2018, en el que apreciaba un interés legítimo “evidente”, “concreto y específico” de la asociación recu</w:t>
      </w:r>
      <w:r>
        <w:lastRenderedPageBreak/>
        <w:t>rrente, la Sala entendía que el interés legítimo invocado por la asociación se limitaba a la defensa de la salud de sus hijos, y afirmaba que el concepto de “interés legítimo” requería mayor concreción que la alegación del interés general que comparte toda la sociedad sobre la defensa de la salud ambiental de todos los ciudadanos. Concluía, en consecuencia, que el planteamiento de la cuestión de inconstitucionalidad resultaba justificado porque lo impugnado eran resoluciones dictadas por la autoridad medioambiental por vulneración de normas legales medioambientales, lo que constituye objeto de la Ley 3/1998, de 27 de febrero, general de protección del medio ambiente del País Vasco, y su art. 3.4 no exige ningún requisito para el ejercicio de la acción pública en esta materia a las personas jurídicas sin ánimo de lucro.</w:t>
      </w:r>
    </w:p>
    <w:p w14:paraId="5BBC70AD" w14:textId="77777777" w:rsidR="00A8138F" w:rsidRDefault="00A8138F" w:rsidP="00A8138F">
      <w:pPr>
        <w:pStyle w:val="TextoNormal"/>
      </w:pPr>
    </w:p>
    <w:p w14:paraId="3BA181D5" w14:textId="77777777" w:rsidR="00A8138F" w:rsidRDefault="00A8138F" w:rsidP="00A8138F">
      <w:pPr>
        <w:pStyle w:val="TextoNormal"/>
      </w:pPr>
      <w:r>
        <w:t>d) Solicitada aclaración por la asociación recurrente sobre las razones que sustentarían el cambio de criterio de la Sala acerca de su legitimación activa en el proceso, así como un pronunciamiento expreso sobre otros títulos de legitimación invocados en la demanda, la Sala declaró, por auto de 21 de abril de 2020, que no procedía aclaración o complemento al respecto, remitiendo al trámite de alegaciones previsto al efecto ante el Tribunal Constitucional por el art. 37 de la Ley Orgánica del Tribunal Constitucional (LOTC).</w:t>
      </w:r>
    </w:p>
    <w:p w14:paraId="6C547381" w14:textId="77777777" w:rsidR="00A8138F" w:rsidRDefault="00A8138F" w:rsidP="00A8138F">
      <w:pPr>
        <w:pStyle w:val="TextoNormal"/>
      </w:pPr>
    </w:p>
    <w:p w14:paraId="2C0FF00F" w14:textId="77777777" w:rsidR="00A8138F" w:rsidRDefault="00A8138F" w:rsidP="00A8138F">
      <w:pPr>
        <w:pStyle w:val="TextoNormal"/>
      </w:pPr>
      <w:r>
        <w:t>e) La STC 15/2021, de 28 de enero, declaró inconstitucional y nulo el inciso “como jurisdiccional” del art. 3.4 de la Ley del Parlamento Vasco 3/1998, de 27 de febrero, general de protección del medio ambiente del País Vasco. Como cuestión previa abordó el óbice procesal alegado por la fiscal general del Estado, el Parlamento Vasco y la propia asociación recurrente relativo a la incorrecta formulación del juicio de relevancia por la Sala proponente de la cuestión, y, con remisión al ATC 73/2020, de 14 de julio, concluyó que conforme al control “meramente externo” que debe realizar este tribunal sobre los juicios de aplicabilidad y relevancia, el auto de planteamiento de la cuestión había cumplido el requisito de “especificar o justificar en qué medida la decisión del proceso depende de la validez de la norma en cuestión” (FJ 2).</w:t>
      </w:r>
    </w:p>
    <w:p w14:paraId="17BE876C" w14:textId="77777777" w:rsidR="00A8138F" w:rsidRDefault="00A8138F" w:rsidP="00A8138F">
      <w:pPr>
        <w:pStyle w:val="TextoNormal"/>
      </w:pPr>
    </w:p>
    <w:p w14:paraId="1DB4E052" w14:textId="77777777" w:rsidR="00A8138F" w:rsidRDefault="00A8138F" w:rsidP="00A8138F">
      <w:pPr>
        <w:pStyle w:val="TextoNormal"/>
      </w:pPr>
      <w:r>
        <w:t xml:space="preserve">f) A la vista de la STC 15/2021, de 28 de enero, la recurrente en amparo solicitó a la Sala sentenciadora que subsanara en el proceso </w:t>
      </w:r>
      <w:r w:rsidRPr="00A8138F">
        <w:rPr>
          <w:i/>
        </w:rPr>
        <w:t>a quo</w:t>
      </w:r>
      <w:r>
        <w:t xml:space="preserve"> la falta de motivación respecto de la contradicción en que habría incurrido al formular el juicio de relevancia en el auto de planteamiento de la cuestión de inconstitucionalidad en relación con su auto anterior de 25 de septiembre de 2018; y que se pronunciase expresamente sobre las alegaciones de la demandante relativas a otros títulos de legitimación activa en el proceso, aparte de la acción pública en materia de protección ambiental reconocida por el inciso declarado inconstitucional. Esta solicitud fue rechazada mediante auto de la Sala de lo Contencioso-Administrativo del Tribunal Superior de Justicia del País Vasco de 26 de febrero de 2021, confirmado en reposición por auto de 29 de marzo de 2021.</w:t>
      </w:r>
    </w:p>
    <w:p w14:paraId="287844B5" w14:textId="77777777" w:rsidR="00A8138F" w:rsidRDefault="00A8138F" w:rsidP="00A8138F">
      <w:pPr>
        <w:pStyle w:val="TextoNormal"/>
      </w:pPr>
    </w:p>
    <w:p w14:paraId="7D988952" w14:textId="77777777" w:rsidR="00A8138F" w:rsidRDefault="00A8138F" w:rsidP="00A8138F">
      <w:pPr>
        <w:pStyle w:val="TextoNormal"/>
      </w:pPr>
      <w:r>
        <w:t xml:space="preserve">g) El recurso contencioso-administrativo resultó finalmente inadmitido por el Tribunal Superior de Justicia del País Vasco mediante sentencia de 29 de marzo de 2021 por falta de legitimación activa de la asociación recurrente. La Sala entendió que se estaba ejercitando una acción popular prevista en el art. 22 de la Ley 27/2006, de 18 de julio, por la que se regulan los derechos de acceso a la información, de participación pública y de acceso a la justicia en materia de medio ambiente (incorpora las Directivas 2003/4/CE y 2003/35/CE), sin que la entidad recurrente cumpliera con el requisito previsto en el art. 23.1, b) de la misma ley, esto es, su constitución legal al menos dos años antes del ejercicio de la acción. </w:t>
      </w:r>
      <w:r>
        <w:lastRenderedPageBreak/>
        <w:t>A tal efecto argumentó que “se están impugnando resoluciones dictadas por la autoridad medioambiental, por vulneración de normas legales medioambientales y en materias claramente incluidas en el ámbito del art. 18 de la Ley 27/2006, de 18 de julio. Y también dentro del ámbito de la Ley 3/1998, de 27 de febrero, general de protección del medio ambiente del País Vasco”. Afirmó que, tras la declaración de inconstitucionalidad del inciso “como jurisdiccional” del art. 3.4 de la Ley del Parlamento Vasco 3/1998, de 27 de febrero, resultaba aplicable el art. 23.1 b) de la Ley 27/2006, y la asociación recurrente no cumplía con el requisito exigido por este precepto. Por todo ello, falló que “concurre la causa de inadmisibilidad prevista en el art. 69 b) LJCA”.</w:t>
      </w:r>
    </w:p>
    <w:p w14:paraId="243B025E" w14:textId="77777777" w:rsidR="00A8138F" w:rsidRDefault="00A8138F" w:rsidP="00A8138F">
      <w:pPr>
        <w:pStyle w:val="TextoNormal"/>
      </w:pPr>
    </w:p>
    <w:p w14:paraId="15A14D02" w14:textId="77777777" w:rsidR="00A8138F" w:rsidRDefault="00A8138F" w:rsidP="00A8138F">
      <w:pPr>
        <w:pStyle w:val="TextoNormal"/>
      </w:pPr>
      <w:r>
        <w:t>h) Interesada por la asociación recurrente la “corrección, aclaración y cumplimentación” de la sentencia, la misma fue denegada por auto del Tribunal Superior de Justicia del País Vasco de 12 de abril de 2021, que mantuvo que “[l]a finalidad de las aclaraciones a que se refiere el art. 267 LOPJ, no es dar respuesta a la discrepancia de la parte recurrente con la sentencia” por considerarla insuficientemente motivada y/o errónea.</w:t>
      </w:r>
    </w:p>
    <w:p w14:paraId="658D808C" w14:textId="77777777" w:rsidR="00A8138F" w:rsidRDefault="00A8138F" w:rsidP="00A8138F">
      <w:pPr>
        <w:pStyle w:val="TextoNormal"/>
      </w:pPr>
    </w:p>
    <w:p w14:paraId="12858701" w14:textId="77777777" w:rsidR="00A8138F" w:rsidRDefault="00A8138F" w:rsidP="00A8138F">
      <w:pPr>
        <w:pStyle w:val="TextoNormal"/>
      </w:pPr>
      <w:r>
        <w:t>i) El 27 de mayo de 2021, la representación procesal de la asociación Gurasos Elkartea presentó escrito de preparación del recurso de casación contra la sentencia de 29 de marzo de 2021 ante la Sala de lo Contencioso-Administrativo del Tribunal Superior de Justicia del País Vasco, que tuvo la casación por preparada mediante auto de 14 de junio de 2021.</w:t>
      </w:r>
    </w:p>
    <w:p w14:paraId="31B65503" w14:textId="77777777" w:rsidR="00A8138F" w:rsidRDefault="00A8138F" w:rsidP="00A8138F">
      <w:pPr>
        <w:pStyle w:val="TextoNormal"/>
      </w:pPr>
    </w:p>
    <w:p w14:paraId="6DEFA6A0" w14:textId="564B599D" w:rsidR="00A8138F" w:rsidRDefault="00A8138F" w:rsidP="00A8138F">
      <w:pPr>
        <w:pStyle w:val="TextoNormal"/>
      </w:pPr>
      <w:r>
        <w:t xml:space="preserve">j) Por providencia de 11 de noviembre de 2021 de la Sección Primera de la Sala de lo Contencioso-Administrativo del Tribunal Supremo, se inadmitió el recurso de casación por incumplimiento de lo establecido en el art. 89.2 LJCA —en aplicación de lo dispuesto en el art. 90.4, apartados b) y d), del mismo texto legal— al carecer el escrito de preparación de fundamentación suficiente, con singular referencia al caso, de la concurrencia de los supuestos que permiten apreciar el interés casacional objetivo y la conveniencia de un pronunciamiento de la Sala de lo Contencioso-Administrativo del Tribunal Supremo. Supuestos que, en el presente asunto, no cabe apreciar, en los términos en que ha sido preparado el recurso, en tanto lo que realmente se pretende, dado el casuismo que preside lo suscitado, es la obtención de un pronunciamiento </w:t>
      </w:r>
      <w:r w:rsidRPr="00A8138F">
        <w:rPr>
          <w:i/>
        </w:rPr>
        <w:t>ad casum</w:t>
      </w:r>
      <w:r>
        <w:t xml:space="preserve"> incompatible con la vocación nomofiláctica del vigente sistema casacional.</w:t>
      </w:r>
    </w:p>
    <w:p w14:paraId="2ACD32A5" w14:textId="77777777" w:rsidR="00A8138F" w:rsidRDefault="00A8138F" w:rsidP="00A8138F">
      <w:pPr>
        <w:pStyle w:val="TextoNormal"/>
      </w:pPr>
    </w:p>
    <w:p w14:paraId="7264766E" w14:textId="50165D46" w:rsidR="00A8138F" w:rsidRDefault="00A8138F" w:rsidP="00A8138F">
      <w:pPr>
        <w:pStyle w:val="TextoNormal"/>
      </w:pPr>
      <w:r w:rsidRPr="00A8138F">
        <w:rPr>
          <w:rStyle w:val="NumeroAFNegritaCaracter"/>
        </w:rPr>
        <w:t>3</w:t>
      </w:r>
      <w:r>
        <w:t>. La demanda de amparo se interpuso el 29 de diciembre de 2021 contra la sentencia dictada por el Tribunal Superior de Justicia del País Vasco el 29 de marzo de 2021. La asociación recurrente imputa a la sentencia una vulneración del derecho a la tutela judicial efectiva sin indefensión, en su vertiente de derecho de acceso a la jurisdicción (art. 24.1 CE). Se argumenta que la decisión de inadmisión resulta desproporcionada, en tanto se funda sobre una interpretación excesivamente rigorista y formalista de la ley. Se arguye que la selección de la norma aplicable al caso es arbitraria, manifiestamente irrazonable o fruto de un error patente y que la resolución vulnera la doctrina constitucional sobre la legitimación activa para recurrir ante la jurisdicción contencioso-administrativa, impidiendo un pronunciamiento sobre el fondo de las pretensiones deducidas en el recurso. Por ello, interesa que se declare la nulidad de la resolución judicial recurrida, restituyendo a la asociación recurrente y a sus miembros en su derecho a la tutela judicial efectiva, y se ordene la retroacción de actuaciones al momento anterior al de la sentencia impugnada, para que se dicte otra respetuosa con el derecho fundamental vulnerado.</w:t>
      </w:r>
    </w:p>
    <w:p w14:paraId="2F7796F7" w14:textId="77777777" w:rsidR="00A8138F" w:rsidRDefault="00A8138F" w:rsidP="00A8138F">
      <w:pPr>
        <w:pStyle w:val="TextoNormal"/>
      </w:pPr>
    </w:p>
    <w:p w14:paraId="5A914EA4" w14:textId="1EC2C12D" w:rsidR="00A8138F" w:rsidRDefault="00A8138F" w:rsidP="00A8138F">
      <w:pPr>
        <w:pStyle w:val="TextoNormal"/>
      </w:pPr>
      <w:r w:rsidRPr="00A8138F">
        <w:rPr>
          <w:rStyle w:val="NumeroAFNegritaCaracter"/>
        </w:rPr>
        <w:lastRenderedPageBreak/>
        <w:t>4</w:t>
      </w:r>
      <w:r>
        <w:t>. Mediante auto de 1 de febrero de 2024, la Sección Tercera del Tribunal Constitucional estimó justificada la abstención formulada por el magistrado don César Tolosa Tribiño en el presente recurso de amparo, y acordó apartarle definitivamente de su conocimiento y de todas sus incidencias.</w:t>
      </w:r>
    </w:p>
    <w:p w14:paraId="4714D086" w14:textId="77777777" w:rsidR="00A8138F" w:rsidRDefault="00A8138F" w:rsidP="00A8138F">
      <w:pPr>
        <w:pStyle w:val="TextoNormal"/>
      </w:pPr>
    </w:p>
    <w:p w14:paraId="0514AB42" w14:textId="77777777" w:rsidR="00A8138F" w:rsidRDefault="00A8138F" w:rsidP="00A8138F">
      <w:pPr>
        <w:pStyle w:val="TextoNormal"/>
      </w:pPr>
      <w:r w:rsidRPr="00A8138F">
        <w:rPr>
          <w:rStyle w:val="NumeroAFNegritaCaracter"/>
        </w:rPr>
        <w:t>5</w:t>
      </w:r>
      <w:r>
        <w:t>. La Sección Tercera de este tribunal, por providencia de 6 de mayo de 2024,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de 25 de junio, FJ 2 a)]”.</w:t>
      </w:r>
    </w:p>
    <w:p w14:paraId="22DCDECE" w14:textId="77777777" w:rsidR="00A8138F" w:rsidRDefault="00A8138F" w:rsidP="00A8138F">
      <w:pPr>
        <w:pStyle w:val="TextoNormal"/>
      </w:pPr>
    </w:p>
    <w:p w14:paraId="380D3213" w14:textId="47479AA5" w:rsidR="00A8138F" w:rsidRDefault="00A8138F" w:rsidP="00A8138F">
      <w:pPr>
        <w:pStyle w:val="TextoNormal"/>
      </w:pPr>
      <w:r>
        <w:t>Acordó igualmente dirigir atenta comunicación al Tribunal Superior de Justicia del País Vasco y al Tribunal Supremo, a fin de que remitiesen copia de las actuaciones correspondientes al procedimiento ordinario núm. 821-2016 y al recurso de casación núm. 4679-2021, respectivamente. En la misma resolución se emplazó a quienes hubieran sido parte en el procedimiento, a excepción de la recurrente, para que pudiesen comparecer en el plazo de diez días en el presente proceso de amparo.</w:t>
      </w:r>
    </w:p>
    <w:p w14:paraId="43BB7047" w14:textId="77777777" w:rsidR="00A8138F" w:rsidRDefault="00A8138F" w:rsidP="00A8138F">
      <w:pPr>
        <w:pStyle w:val="TextoNormal"/>
      </w:pPr>
    </w:p>
    <w:p w14:paraId="115557A9" w14:textId="0FBCFFC2" w:rsidR="00A8138F" w:rsidRDefault="00A8138F" w:rsidP="00A8138F">
      <w:pPr>
        <w:pStyle w:val="TextoNormal"/>
      </w:pPr>
      <w:r w:rsidRPr="00A8138F">
        <w:rPr>
          <w:rStyle w:val="NumeroAFNegritaCaracter"/>
        </w:rPr>
        <w:t>6</w:t>
      </w:r>
      <w:r>
        <w:t>. Mediante diligencia de ordenación de 24 de junio de 2024, la Sección Tercera de este tribunal acordó tener por personados y parte en el procedimiento a la procuradora doña Teresa de Jesús Castro Rodríguez, en nombre y representación del Consorcio de Residuos de Guipúzcoa; al procurador don Jesús López Gracia, en nombre y representación de la Diputación Foral de Guipúzcoa, y al letrado de los servicios jurídicos de la Administración General de la Comunidad Autónoma del País Vasco, en el nombre y representación que le corresponden, así como dar vista de las actuaciones recibidas a las partes personadas y al Ministerio Fiscal por plazo común de veinte días para presentar las alegaciones que estimasen pertinentes, de conformidad con el art. 52.1 LOTC.</w:t>
      </w:r>
    </w:p>
    <w:p w14:paraId="52823BF5" w14:textId="77777777" w:rsidR="00A8138F" w:rsidRDefault="00A8138F" w:rsidP="00A8138F">
      <w:pPr>
        <w:pStyle w:val="TextoNormal"/>
      </w:pPr>
    </w:p>
    <w:p w14:paraId="4ABCAEDF" w14:textId="5A681C96" w:rsidR="00A8138F" w:rsidRDefault="00A8138F" w:rsidP="00A8138F">
      <w:pPr>
        <w:pStyle w:val="TextoNormal"/>
      </w:pPr>
      <w:r w:rsidRPr="00A8138F">
        <w:rPr>
          <w:rStyle w:val="NumeroAFNegritaCaracter"/>
        </w:rPr>
        <w:t>7</w:t>
      </w:r>
      <w:r>
        <w:t>. Por escrito presentado en el registro general de este tribunal el 22 de julio de 2024, doña Teresa de Jesús Castro Rodríguez, en nombre y representación del Consorcio de Residuos de Guipúzcoa, evacuó el trámite de alegaciones conferido, mostrando su oposición al recurso de amparo. Afirma que la sentencia recurrida en modo alguno vulnera el derecho a la tutela judicial efectiva de la actora ni le causa indefensión, al haber resuelto sobre todos los títulos de legitimación activa alegados por la asociación recurrente, que fundamenta su demanda de amparo en un interés legítimo derivado de la vecindad de los socios que ni se alegó en la demanda inicial del recurso contencioso-administrativo ni fue objeto de debate o prueba durante el proceso seguido ante la jurisdicción ordinaria. Suplica que se inadmita el recurso o, subsidiariamente, que se dicte sentencia desestimatoria del amparo pretendido, dado que el Tribunal Constitucional debe atenerse a la declaración fáctica consolidada en el proceso y la sociación recurrente no propuso ni practicó prueba alguna en la instancia tendente a acreditar el alegato fáctico del recurso de amparo en el sentido de que fue constituida por “numerosas familias en su calidad de afectadas por la actividad” y que sus socios “en su mayoría son residentes de las cercanías de la misma”.</w:t>
      </w:r>
    </w:p>
    <w:p w14:paraId="735ADCD5" w14:textId="77777777" w:rsidR="00A8138F" w:rsidRDefault="00A8138F" w:rsidP="00A8138F">
      <w:pPr>
        <w:pStyle w:val="TextoNormal"/>
      </w:pPr>
    </w:p>
    <w:p w14:paraId="711F5FDF" w14:textId="77777777" w:rsidR="00A8138F" w:rsidRDefault="00A8138F" w:rsidP="00A8138F">
      <w:pPr>
        <w:pStyle w:val="TextoNormal"/>
      </w:pPr>
      <w:r w:rsidRPr="00A8138F">
        <w:rPr>
          <w:rStyle w:val="NumeroAFNegritaCaracter"/>
        </w:rPr>
        <w:t>8</w:t>
      </w:r>
      <w:r>
        <w:t xml:space="preserve">. El letrado de los servicios jurídicos centrales de la Administración General de la Comunidad Autónoma del País Vasco presentó su escrito de alegaciones el día 22 de julio de </w:t>
      </w:r>
      <w:r>
        <w:lastRenderedPageBreak/>
        <w:t>2024 suplicando la inadmisión o, de forma subsidiaria, la desestimación del recurso de amparo.</w:t>
      </w:r>
    </w:p>
    <w:p w14:paraId="38DDD9A5" w14:textId="77777777" w:rsidR="00A8138F" w:rsidRDefault="00A8138F" w:rsidP="00A8138F">
      <w:pPr>
        <w:pStyle w:val="TextoNormal"/>
      </w:pPr>
    </w:p>
    <w:p w14:paraId="6BE91130" w14:textId="74B86D12" w:rsidR="00A8138F" w:rsidRDefault="00A8138F" w:rsidP="00A8138F">
      <w:pPr>
        <w:pStyle w:val="TextoNormal"/>
      </w:pPr>
      <w:r>
        <w:t xml:space="preserve">Tras afirmar que el recurso carece de especial trascendencia constitucional, en tanto la doctrina constitucional se ha pronunciado ya acerca de la incidencia de la acción popular sobre el derecho a la tutela judicial efectiva en su vertiente de acceso a la jurisdicción, y no cabe apreciar que la resolución impugnada se aparte deliberadamente de la jurisprudencia constitucional existente en esta materia, sostiene que la sentencia tampoco produce indefensión ya que está debidamente motivada, fundada en Derecho y resuelve todas las cuestiones planteadas por la recurrente. Afirma que el Tribunal Superior de Justicia del País Vasco ha dado respuesta a todas las alegaciones que la recurrente hizo, tanto en la demanda inicial como en el trámite de contestación a las alegaciones previas, en torno a su legitimación para recurrir, y ha justificado adecuadamente la conformidad a Derecho de la inadmisión a trámite por falta de legitimación activa. A continuación, reproduce el razonamiento del ATC 73/2020, de 14 de julio, FJ 2, desestimatorio del recurso de súplica interpuesto por la asociación recurrente frente a la admisión a trámite de la cuestión de inconstitucionalidad planteada en el proceso </w:t>
      </w:r>
      <w:r w:rsidRPr="00A8138F">
        <w:rPr>
          <w:i/>
        </w:rPr>
        <w:t>a quo</w:t>
      </w:r>
      <w:r>
        <w:t xml:space="preserve"> en relación con el art. 3.4 de la Ley 3/1998, de 27 de febrero, general de protección del medio ambiente del País Vasco, y mantiene que este tribunal reconoció entonces la adecuada motivación y razonabilidad del órgano judicial en la elección de la normativa de aplicación a la determinación de su eventual legitimación activa.</w:t>
      </w:r>
    </w:p>
    <w:p w14:paraId="60B875FF" w14:textId="77777777" w:rsidR="00A8138F" w:rsidRDefault="00A8138F" w:rsidP="00A8138F">
      <w:pPr>
        <w:pStyle w:val="TextoNormal"/>
      </w:pPr>
    </w:p>
    <w:p w14:paraId="00796ADC" w14:textId="56328EA8" w:rsidR="00A8138F" w:rsidRDefault="00A8138F" w:rsidP="00A8138F">
      <w:pPr>
        <w:pStyle w:val="TextoNormal"/>
      </w:pPr>
      <w:r w:rsidRPr="00A8138F">
        <w:rPr>
          <w:rStyle w:val="NumeroAFNegritaCaracter"/>
        </w:rPr>
        <w:t>9</w:t>
      </w:r>
      <w:r>
        <w:t>. El 24 de julio de 2024 presentó alegaciones en el registro general de este tribunal don Jesús López Gracia, en nombre y representación de la Diputación Foral de Guipúzcoa, instando la inadmisión o, de forma subsidiaria, la desestimación del recurso de amparo promovido por la asociación recurrente. Mantiene la falta de especial trascendencia constitucional del recurso de amparo, así como la inexistencia de vulneración del derecho fundamental a la tutela judicial efectiva sin indefensión, en su vertiente de derecho de acceso a la jurisdicción, dado que la decisión judicial de inadmisión por falta de legitimación activa de la parte fue proporcionada y debidamente razonada a la luz no solo del citado ATC 73/2020, de 14 de julio, FJ 2, sino también de la STC 15/2021, de 28 de enero, por la que se declaró inconstitucional y nulo el cuestionado art. 3.4 de la Ley 3/1998, de 27 de febrero, general de protección del medio ambiente del País Vasco.</w:t>
      </w:r>
    </w:p>
    <w:p w14:paraId="1204CAAF" w14:textId="77777777" w:rsidR="00A8138F" w:rsidRDefault="00A8138F" w:rsidP="00A8138F">
      <w:pPr>
        <w:pStyle w:val="TextoNormal"/>
      </w:pPr>
    </w:p>
    <w:p w14:paraId="24ACF2BE" w14:textId="19E91B26" w:rsidR="00A8138F" w:rsidRDefault="00A8138F" w:rsidP="00A8138F">
      <w:pPr>
        <w:pStyle w:val="TextoNormal"/>
      </w:pPr>
      <w:r w:rsidRPr="00A8138F">
        <w:rPr>
          <w:rStyle w:val="NumeroAFNegritaCaracter"/>
        </w:rPr>
        <w:t>10</w:t>
      </w:r>
      <w:r>
        <w:t>. El 24 de julio de 2024 la asociación recurrente presentó alegaciones en las que afirmó y ratificó íntegramente el escrito de demanda.</w:t>
      </w:r>
    </w:p>
    <w:p w14:paraId="42015C98" w14:textId="77777777" w:rsidR="00A8138F" w:rsidRDefault="00A8138F" w:rsidP="00A8138F">
      <w:pPr>
        <w:pStyle w:val="TextoNormal"/>
      </w:pPr>
    </w:p>
    <w:p w14:paraId="1D9D9264" w14:textId="77777777" w:rsidR="00A8138F" w:rsidRDefault="00A8138F" w:rsidP="00A8138F">
      <w:pPr>
        <w:pStyle w:val="TextoNormal"/>
      </w:pPr>
      <w:r w:rsidRPr="00A8138F">
        <w:rPr>
          <w:rStyle w:val="NumeroAFNegritaCaracter"/>
        </w:rPr>
        <w:t>11</w:t>
      </w:r>
      <w:r>
        <w:t>. El día 6 de septiembre de 2024 el fiscal ante el Tribunal Constitucional ha presentado su escrito de alegaciones solicitando la estimación del recurso al considerar que se ha lesionado el derecho fundamental de la actora a la tutela judicial efectiva sin indefensión (art. 24.1 CE), en su vertiente del derecho de acceso a la jurisdicción, y la retroacción de actuaciones al momento anterior al dictado de la sentencia de 29 de marzo de 2021, con el fin de que se dicte nueva resolución respetuosa con el derecho fundamental vulnerado.</w:t>
      </w:r>
    </w:p>
    <w:p w14:paraId="180893B8" w14:textId="77777777" w:rsidR="00A8138F" w:rsidRDefault="00A8138F" w:rsidP="00A8138F">
      <w:pPr>
        <w:pStyle w:val="TextoNormal"/>
      </w:pPr>
    </w:p>
    <w:p w14:paraId="631190D7" w14:textId="77777777" w:rsidR="00A8138F" w:rsidRDefault="00A8138F" w:rsidP="00A8138F">
      <w:pPr>
        <w:pStyle w:val="TextoNormal"/>
      </w:pPr>
      <w:r>
        <w:t xml:space="preserve">Tras extractar los antecedentes de hecho y las alegaciones de la asociación recurrente, el Ministerio Fiscal recuerda la doctrina constitucional en relación con el derecho a la tutela judicial efectiva sin indefensión (art. 24.1 CE) en su vertiente del derecho de acceso a la jurisdicción (por todas, reproduce la STC 139/2010, de 21 de diciembre, FJ 4) y analiza su </w:t>
      </w:r>
      <w:r>
        <w:lastRenderedPageBreak/>
        <w:t xml:space="preserve">aplicación al caso. Así, afirma que, en el caso de autos, la parte actora justificó extensamente en su demanda contencioso-administrativa hasta cinco fuentes distintas de su legitimación procesal: (i) un derecho o interés legítimo al amparo del art. 19.1 a) LJCA; (ii) la defensa como asociación de un derecho o interés legítimo colectivo </w:t>
      </w:r>
      <w:r w:rsidRPr="00A8138F">
        <w:rPr>
          <w:i/>
        </w:rPr>
        <w:t>ex</w:t>
      </w:r>
      <w:r>
        <w:t xml:space="preserve"> art. 19.1 b) LJCA; (iii) la acción pública urbanística; (iv) la acción pública medioambiental; y (v) la amplia doctrina que, a juicio de la recurrente, permite sostenerla por habérsele reconocido legitimación procesal </w:t>
      </w:r>
      <w:r w:rsidRPr="00A8138F">
        <w:rPr>
          <w:i/>
        </w:rPr>
        <w:t>ad causam</w:t>
      </w:r>
      <w:r>
        <w:t xml:space="preserve"> en la previa vía administrativa. En este sentido, asevera que la sentencia impugnada no contiene justificación alguna que permita apreciar el proceso racional conducente al cambio sustancial de criterio entre la argumentación desarrollada por el órgano judicial para rechazar en el trámite de alegaciones previas el óbice procesal de falta de legitimación y la empleada más tarde para plantear la cuestión de inconstitucionalidad y motivar la sentencia, pese a que la entidad recurrente así lo instó reiteradamente. Con esa omisión la sentencia carece de una verdadera fundamentación en Derecho, y su argumentación jurídica resulta arbitraria. Para inadmitir el recurso contencioso-administrativo la sentencia realiza un cambio de criterio judicial respecto del que existe un absoluto déficit de justificación que vulnera el derecho garantizado por el art. 24.1 CE.</w:t>
      </w:r>
    </w:p>
    <w:p w14:paraId="60B0D337" w14:textId="77777777" w:rsidR="00A8138F" w:rsidRDefault="00A8138F" w:rsidP="00A8138F">
      <w:pPr>
        <w:pStyle w:val="TextoNormal"/>
      </w:pPr>
    </w:p>
    <w:p w14:paraId="19382A05" w14:textId="77777777" w:rsidR="00A8138F" w:rsidRDefault="00A8138F" w:rsidP="00A8138F">
      <w:pPr>
        <w:pStyle w:val="TextoNormal"/>
      </w:pPr>
      <w:r>
        <w:t xml:space="preserve">En relación con los argumentos que acoge la sentencia del Tribunal Superior de Justicia del País Vasco para inadmitir el recurso, el Ministerio Fiscal considera que se caracterizan por un rigorismo y formalismo excesivos. Estima que el razonamiento que emplea la sentencia para sustentar que no existía legitimación activa </w:t>
      </w:r>
      <w:r w:rsidRPr="00A8138F">
        <w:rPr>
          <w:i/>
        </w:rPr>
        <w:t>ad causam</w:t>
      </w:r>
      <w:r>
        <w:t xml:space="preserve"> de la asociación recurrente es contradictorio e integra afirmaciones no debidamente justificadas e interpretaciones incompatibles con el sentido propio de los conceptos jurídicos empleados por el órgano judicial, por lo que resultan incompatibles con el principio </w:t>
      </w:r>
      <w:r w:rsidRPr="00A8138F">
        <w:rPr>
          <w:i/>
        </w:rPr>
        <w:t>pro actione</w:t>
      </w:r>
      <w:r>
        <w:t xml:space="preserve"> y las exigencias de la doctrina constitucional en relación con el derecho de acceso a la jurisdicción.</w:t>
      </w:r>
    </w:p>
    <w:p w14:paraId="0897EAE1" w14:textId="77777777" w:rsidR="00A8138F" w:rsidRDefault="00A8138F" w:rsidP="00A8138F">
      <w:pPr>
        <w:pStyle w:val="TextoNormal"/>
      </w:pPr>
    </w:p>
    <w:p w14:paraId="3AA15614" w14:textId="0E81F299" w:rsidR="00A8138F" w:rsidRDefault="00A8138F" w:rsidP="00A8138F">
      <w:pPr>
        <w:pStyle w:val="TextoNormal"/>
      </w:pPr>
      <w:r>
        <w:t xml:space="preserve">Por último, en relación con la incidencia en el recurso de amparo de las resoluciones adoptadas por este Tribunal Constitucional en la cuestión de inconstitucionalidad planteada en el procedimiento judicial </w:t>
      </w:r>
      <w:r w:rsidRPr="00A8138F">
        <w:rPr>
          <w:i/>
        </w:rPr>
        <w:t>a quo</w:t>
      </w:r>
      <w:r>
        <w:t xml:space="preserve">, el Ministerio Fiscal considera que cuando este Tribunal sometió a examen el juicio de relevancia llevado a cabo por el órgano judicial en el auto de planteamiento de la cuestión de constitucionalidad, se limitó a descartar, mediante un control externo y negativo, la evidencia de una argumentación judicial notoriamente inconsistente y equivocada. Este control externo y negativo no puede equipararse al control constitucional, especialmente intenso, que ha de llevar a cabo para resolver este recurso, a través de los criterios proporcionados por el principio </w:t>
      </w:r>
      <w:r w:rsidRPr="00A8138F">
        <w:rPr>
          <w:i/>
        </w:rPr>
        <w:t>pro actione</w:t>
      </w:r>
      <w:r>
        <w:t xml:space="preserve"> ante una pretensión de amparo que invoca la vulneración del derecho fundamental a la tutela judicial efectiva en su vertiente de acceso a la jurisdicción.</w:t>
      </w:r>
    </w:p>
    <w:p w14:paraId="225E12B6" w14:textId="77777777" w:rsidR="00A8138F" w:rsidRDefault="00A8138F" w:rsidP="00A8138F">
      <w:pPr>
        <w:pStyle w:val="TextoNormal"/>
      </w:pPr>
    </w:p>
    <w:p w14:paraId="458E66D6" w14:textId="030C0B91" w:rsidR="00A8138F" w:rsidRDefault="00A8138F" w:rsidP="00A8138F">
      <w:pPr>
        <w:pStyle w:val="TextoNormal"/>
      </w:pPr>
      <w:r w:rsidRPr="00A8138F">
        <w:rPr>
          <w:rStyle w:val="NumeroAFNegritaCaracter"/>
        </w:rPr>
        <w:t>12</w:t>
      </w:r>
      <w:r>
        <w:t>. Por providencia de 20 de marzo de 2025 se señaló para deliberación y votación de la presente sentencia el día 24 del mismo mes y año.</w:t>
      </w:r>
    </w:p>
    <w:p w14:paraId="12ACC9A0" w14:textId="77777777" w:rsidR="00A8138F" w:rsidRDefault="00A8138F" w:rsidP="00A8138F">
      <w:pPr>
        <w:pStyle w:val="TextoNormal"/>
      </w:pPr>
    </w:p>
    <w:p w14:paraId="6AA540D2" w14:textId="77777777" w:rsidR="00A8138F" w:rsidRDefault="00A8138F" w:rsidP="00A8138F">
      <w:pPr>
        <w:pStyle w:val="TextoNormalNegritaCentrado"/>
        <w:keepNext/>
      </w:pPr>
      <w:r>
        <w:t>II. Fundamentos jurídicos</w:t>
      </w:r>
    </w:p>
    <w:p w14:paraId="1DE22E94" w14:textId="0921A435" w:rsidR="00A8138F" w:rsidRDefault="00A8138F" w:rsidP="00A8138F">
      <w:pPr>
        <w:pStyle w:val="TextoNormalNegritaCentrado"/>
        <w:keepNext/>
      </w:pPr>
    </w:p>
    <w:p w14:paraId="3DF59357" w14:textId="77777777" w:rsidR="00A8138F" w:rsidRDefault="00A8138F" w:rsidP="00A8138F">
      <w:pPr>
        <w:pStyle w:val="TextoNormal"/>
      </w:pPr>
      <w:r w:rsidRPr="00A8138F">
        <w:rPr>
          <w:rStyle w:val="NumeroAFNegritaCaracter"/>
        </w:rPr>
        <w:t>1</w:t>
      </w:r>
      <w:r>
        <w:t xml:space="preserve">. </w:t>
      </w:r>
      <w:r w:rsidRPr="00A8138F">
        <w:rPr>
          <w:i/>
        </w:rPr>
        <w:t>Objeto del recurso de amparo, pretensiones de las partes y especial trascendencia constitucional</w:t>
      </w:r>
    </w:p>
    <w:p w14:paraId="699216FA" w14:textId="77777777" w:rsidR="00A8138F" w:rsidRDefault="00A8138F" w:rsidP="00A8138F">
      <w:pPr>
        <w:pStyle w:val="TextoNormal"/>
      </w:pPr>
    </w:p>
    <w:p w14:paraId="58709C62" w14:textId="77777777" w:rsidR="00A8138F" w:rsidRDefault="00A8138F" w:rsidP="00A8138F">
      <w:pPr>
        <w:pStyle w:val="TextoNormal"/>
      </w:pPr>
      <w:r>
        <w:lastRenderedPageBreak/>
        <w:t>a) El objeto del presente recurso de amparo es la sentencia de 29 de marzo de 2021 dictada por la Sección Segunda de la Sala de lo Contencioso-Administrativo del Tribunal Superior de Justicia del País Vasco en procedimiento ordinario núm. 821-2016, que inadmite el recurso contencioso-administrativo interpuesto por la asociación recurrente, Gurasos Elkartea, contra actos administrativos relacionados con la autorización medioambiental para la instalación de una incineradora.</w:t>
      </w:r>
    </w:p>
    <w:p w14:paraId="05C556CA" w14:textId="77777777" w:rsidR="00A8138F" w:rsidRDefault="00A8138F" w:rsidP="00A8138F">
      <w:pPr>
        <w:pStyle w:val="TextoNormal"/>
      </w:pPr>
    </w:p>
    <w:p w14:paraId="091DEC6C" w14:textId="77777777" w:rsidR="00A8138F" w:rsidRDefault="00A8138F" w:rsidP="00A8138F">
      <w:pPr>
        <w:pStyle w:val="TextoNormal"/>
      </w:pPr>
      <w:r>
        <w:t xml:space="preserve">b) La asociación solicita de este tribunal la declaración de nulidad de la resolución judicial citada, así como el reconocimiento de su derecho fundamental de acceso a la jurisdicción, como vertiente del derecho a la tutela judicial efectiva (art. 24.1 CE). Considera que la inadmisión, por falta de legitimación activa, del recurso contencioso-administrativo que entabló contra las resoluciones dictadas por los órganos administrativos competentes en materia de medio ambiente del País Vasco vulnera aquel derecho fundamental. Alega, en concreto, como motivos de impugnación: (i) que la sentencia recurrida en amparo realiza una interpretación excesivamente rigorista y restrictiva del requisito procesal de la legitimación activa; (ii) que se aparta o deja de aplicar varias normas con rango de ley que sí resultan de aplicación al caso, convirtiéndose el órgano judicial en legislador negativo; (iii) que se ha llevado a cabo una interpretación y aplicación del Derecho de la Unión Europea contrarias a la jurisprudencia del Tribunal de Justicia de la Unión Europea y (iv) por último, el error de la sentencia en relación a la naturaleza y efectos del debate sustanciado ante este Tribunal Constitucional en torno al juicio de relevancia de la cuestión de inconstitucionalidad planteada en el proceso </w:t>
      </w:r>
      <w:r w:rsidRPr="00A8138F">
        <w:rPr>
          <w:i/>
        </w:rPr>
        <w:t>a quo</w:t>
      </w:r>
      <w:r>
        <w:t>.</w:t>
      </w:r>
    </w:p>
    <w:p w14:paraId="10123322" w14:textId="77777777" w:rsidR="00A8138F" w:rsidRDefault="00A8138F" w:rsidP="00A8138F">
      <w:pPr>
        <w:pStyle w:val="TextoNormal"/>
      </w:pPr>
    </w:p>
    <w:p w14:paraId="210E6BF0" w14:textId="77777777" w:rsidR="00A8138F" w:rsidRDefault="00A8138F" w:rsidP="00A8138F">
      <w:pPr>
        <w:pStyle w:val="TextoNormal"/>
      </w:pPr>
      <w:r>
        <w:t>El Consorcio de Residuos de Guipúzcoa, la Administración General de la Comunidad Autónoma del País Vasco y la Diputación Foral de Guipúzcoa, personadas en el procedimiento de amparo, interesan la inadmisión del recurso o, subsidiariamente, su desestimación, por las razones apuntadas en los antecedentes. La Fiscalía ante el Tribunal Constitucional, finalmente, interesa la estimación del recurso de amparo, de modo que se declare la vulneración del derecho fundamental a la tutela judicial efectiva sin indefensión del art. 24.1 CE.</w:t>
      </w:r>
    </w:p>
    <w:p w14:paraId="241BE807" w14:textId="77777777" w:rsidR="00A8138F" w:rsidRDefault="00A8138F" w:rsidP="00A8138F">
      <w:pPr>
        <w:pStyle w:val="TextoNormal"/>
      </w:pPr>
    </w:p>
    <w:p w14:paraId="73C5B837" w14:textId="5A9A3C4E" w:rsidR="00A8138F" w:rsidRDefault="00A8138F" w:rsidP="00A8138F">
      <w:pPr>
        <w:pStyle w:val="TextoNormal"/>
      </w:pPr>
      <w:r>
        <w:t>c) Las partes personadas —a excepción del Ministerio Fiscal— oponen la inadmisibilidad del recurso de amparo por carecer de especial trascendencia constitucional. Esta alegación debe desestimarse.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(SSTC 80/2020, de 15 de julio, FJ 2; 155/2020, de 4 de noviembre, FJ 2; 2/2022, de 24 de enero, FJ 2; 65/2023, de 6 de junio, FJ 2, y 53/2024, de 8 de abril, FJ 2, entre otras muchas).</w:t>
      </w:r>
    </w:p>
    <w:p w14:paraId="5EECD65A" w14:textId="77777777" w:rsidR="00A8138F" w:rsidRDefault="00A8138F" w:rsidP="00A8138F">
      <w:pPr>
        <w:pStyle w:val="TextoNormal"/>
      </w:pPr>
    </w:p>
    <w:p w14:paraId="670C9C8B" w14:textId="77777777" w:rsidR="00A8138F" w:rsidRDefault="00A8138F" w:rsidP="00A8138F">
      <w:pPr>
        <w:pStyle w:val="TextoNormal"/>
      </w:pPr>
      <w:r w:rsidRPr="00A8138F">
        <w:rPr>
          <w:rStyle w:val="NumeroAFNegritaCaracter"/>
        </w:rPr>
        <w:t>2</w:t>
      </w:r>
      <w:r>
        <w:t xml:space="preserve">. </w:t>
      </w:r>
      <w:r w:rsidRPr="00A8138F">
        <w:rPr>
          <w:i/>
        </w:rPr>
        <w:t>Doctrina constitucional sobre el derecho fundamental a la tutela judicial efectiva en su vertiente del derecho de acceso a la jurisdicción contencioso-administrativa</w:t>
      </w:r>
    </w:p>
    <w:p w14:paraId="12EBBF07" w14:textId="77777777" w:rsidR="00A8138F" w:rsidRDefault="00A8138F" w:rsidP="00A8138F">
      <w:pPr>
        <w:pStyle w:val="TextoNormal"/>
      </w:pPr>
    </w:p>
    <w:p w14:paraId="7E16A4F8" w14:textId="77777777" w:rsidR="00A8138F" w:rsidRDefault="00A8138F" w:rsidP="00A8138F">
      <w:pPr>
        <w:pStyle w:val="TextoNormal"/>
      </w:pPr>
      <w:r>
        <w:t xml:space="preserve">Es doctrina consolidada de este tribunal (entre otras, SSTC 62/2006, de 27 de febrero, FJ 2; 52/2007, de 12 de marzo, FJ 2; 25/2008, de 11 de febrero, FJ 4; 144/2008, de 10 de noviembre, FJ 3; 38/2010, de 19 de julio, FJ 2, y 60/2017, de 22 de mayo, FJ 3) que uno de los contenidos esenciales del derecho a la tutela judicial efectiva (art. 24.1 CE) es el de </w:t>
      </w:r>
      <w:r>
        <w:lastRenderedPageBreak/>
        <w:t>obtener una resolución razonada y fundada en Derecho sobre el fondo de las pretensiones oportunamente planteadas ante los órganos judiciales, si bien al ser un derecho prestacional de configuración legal su ejercicio y dispensación están supeditados a la concurrencia de los presupuestos y requisitos que haya establecido el legislador para cada sector del ordenamiento procesal, por lo que queda igualmente satisfecho cuando el órgano judicial dicta una resolución de inadmisión por apreciar la concurrencia de una causa legal que, a su vez, sea respetuosa con el contenido esencial del derecho fundamental.</w:t>
      </w:r>
    </w:p>
    <w:p w14:paraId="014B7CA7" w14:textId="77777777" w:rsidR="00A8138F" w:rsidRDefault="00A8138F" w:rsidP="00A8138F">
      <w:pPr>
        <w:pStyle w:val="TextoNormal"/>
      </w:pPr>
    </w:p>
    <w:p w14:paraId="20B0FCA0" w14:textId="77777777" w:rsidR="00A8138F" w:rsidRDefault="00A8138F" w:rsidP="00A8138F">
      <w:pPr>
        <w:pStyle w:val="TextoNormal"/>
      </w:pPr>
      <w:r>
        <w:t xml:space="preserve">Dada la trascendencia que para la tutela judicial efectiva tienen las decisiones que deniegan el acceso a la jurisdicción, su argumentación debe responder a una interpretación de las normas legales de conformidad con la Constitución y en el sentido más favorable para la efectividad del derecho fundamental, en tanto en estos supuestos “el canon de enjuiciamiento constitucional de las decisiones de inadmisión es más severo o estricto que el que rige el derecho de acceso a los recursos” (por todas, STC 203/2002, de 28 de octubre, FJ 3), situándonos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w:t>
      </w:r>
      <w:r w:rsidRPr="00A8138F">
        <w:rPr>
          <w:i/>
        </w:rPr>
        <w:t>pro actione</w:t>
      </w:r>
      <w:r>
        <w:t xml:space="preserve">, exigiendo que los órganos judiciales, al interpretar los requisitos procesales legalmente previstos, tengan presente la </w:t>
      </w:r>
      <w:r w:rsidRPr="00A8138F">
        <w:rPr>
          <w:i/>
        </w:rPr>
        <w:t>ratio</w:t>
      </w:r>
      <w:r>
        <w:t xml:space="preserve"> de la norma con el fin de evitar que los meros formalismos o entendimientos no razonables de las normas procesales impidan un enjuiciamiento de fondo del asunto, vulnerando las exigencias del principio de proporcionalidad” (STC 220/2003, de 15 de diciembre, FJ 3).</w:t>
      </w:r>
    </w:p>
    <w:p w14:paraId="43EFA60E" w14:textId="77777777" w:rsidR="00A8138F" w:rsidRDefault="00A8138F" w:rsidP="00A8138F">
      <w:pPr>
        <w:pStyle w:val="TextoNormal"/>
      </w:pPr>
    </w:p>
    <w:p w14:paraId="6805EEB2" w14:textId="77777777" w:rsidR="00A8138F" w:rsidRDefault="00A8138F" w:rsidP="00A8138F">
      <w:pPr>
        <w:pStyle w:val="TextoNormal"/>
      </w:pPr>
      <w:r>
        <w:t xml:space="preserve">Destacando las peculiaridades propias del proceso contencioso-administrativo desde la perspectiva constitucional, hemos declarado que la eficacia del control judicial de la actividad administrativa se anuda “a la necesidad de que no se entorpezca injustificadamente la promoción de las correspondientes acciones por quienes, en cada caso concreto, ostenten título de legitimación activa para impetrarlas </w:t>
      </w:r>
      <w:r w:rsidRPr="00A8138F">
        <w:rPr>
          <w:i/>
        </w:rPr>
        <w:t>ex</w:t>
      </w:r>
      <w:r>
        <w:t xml:space="preserve"> art. 19 de la Ley reguladora de la jurisdicción contencioso-administrativa (LJCA) 29/1998” (STC 140/2016, de 21 de julio, FJ 3).</w:t>
      </w:r>
    </w:p>
    <w:p w14:paraId="7B2FD3CF" w14:textId="77777777" w:rsidR="00A8138F" w:rsidRDefault="00A8138F" w:rsidP="00A8138F">
      <w:pPr>
        <w:pStyle w:val="TextoNormal"/>
      </w:pPr>
    </w:p>
    <w:p w14:paraId="0A2A72E3" w14:textId="77777777" w:rsidR="00A8138F" w:rsidRDefault="00A8138F" w:rsidP="00A8138F">
      <w:pPr>
        <w:pStyle w:val="TextoNormal"/>
      </w:pPr>
      <w:r>
        <w:t>En concreto, por lo que hace al interés legítimo, que es el concepto que usa el art. 19.1 a) LJCA para delimitar la legitimación activa ante la jurisdicción contencioso-administrativa, la doctrina constitucional ha precisado que se caracteriza como una relación material unívoca entre el sujeto y el objeto de la pretensión (acto o disposición impugnados) de tal forma que su anulación produzca automáticamente un efecto positivo (beneficio) o negativo (perjuicio) sobre la esfera de derechos e intereses del sujeto. Este efecto positivo o negativo puede ser actual o futuro, pero debe ser, en todo caso, cierto, y debe ir referido a un interés en sentido propio, cualificado y específico, actual y real (no potencial o hipotético). Luego,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(por todas, STC 73/2006 de 13 de marzo, FJ 3, y las allí citadas).</w:t>
      </w:r>
    </w:p>
    <w:p w14:paraId="4CA54BA2" w14:textId="77777777" w:rsidR="00A8138F" w:rsidRDefault="00A8138F" w:rsidP="00A8138F">
      <w:pPr>
        <w:pStyle w:val="TextoNormal"/>
      </w:pPr>
    </w:p>
    <w:p w14:paraId="6A4E6795" w14:textId="4371FC70" w:rsidR="00A8138F" w:rsidRDefault="00A8138F" w:rsidP="00A8138F">
      <w:pPr>
        <w:pStyle w:val="TextoNormal"/>
      </w:pPr>
      <w:r>
        <w:t xml:space="preserve">Por otra parte, en los supuestos en los que, como ocurre en el presente recurso, lo que está en cuestión es la legitimación activa de una asociación en el orden jurisdiccional contencioso-administrativo, este tribunal ha admitido que ese posible interés legítimo, pese a </w:t>
      </w:r>
      <w:r>
        <w:lastRenderedPageBreak/>
        <w:t>referirse individualmente a cada vecino, pueda ser apreciado también en relación con las asociaciones de vecinos “legalmente constituidas para defender los intereses de sus asociados […] dados los términos de los estatutos y la razón de ser de las asociaciones vecinales” (STC 252/2000, de 30 de octubre, FJ 7).</w:t>
      </w:r>
    </w:p>
    <w:p w14:paraId="7C224FB3" w14:textId="77777777" w:rsidR="00A8138F" w:rsidRDefault="00A8138F" w:rsidP="00A8138F">
      <w:pPr>
        <w:pStyle w:val="TextoNormal"/>
      </w:pPr>
    </w:p>
    <w:p w14:paraId="2B82973C" w14:textId="77777777" w:rsidR="00A8138F" w:rsidRDefault="00A8138F" w:rsidP="00A8138F">
      <w:pPr>
        <w:pStyle w:val="TextoNormal"/>
      </w:pPr>
      <w:r w:rsidRPr="00A8138F">
        <w:rPr>
          <w:rStyle w:val="NumeroAFNegritaCaracter"/>
        </w:rPr>
        <w:t>3</w:t>
      </w:r>
      <w:r>
        <w:t xml:space="preserve">. </w:t>
      </w:r>
      <w:r w:rsidRPr="00A8138F">
        <w:rPr>
          <w:i/>
        </w:rPr>
        <w:t>Enjuiciamiento del caso</w:t>
      </w:r>
    </w:p>
    <w:p w14:paraId="6855F32D" w14:textId="77777777" w:rsidR="00A8138F" w:rsidRDefault="00A8138F" w:rsidP="00A8138F">
      <w:pPr>
        <w:pStyle w:val="TextoNormal"/>
      </w:pPr>
    </w:p>
    <w:p w14:paraId="074E9E7C" w14:textId="77777777" w:rsidR="00A8138F" w:rsidRDefault="00A8138F" w:rsidP="00A8138F">
      <w:pPr>
        <w:pStyle w:val="TextoNormal"/>
      </w:pPr>
      <w:r>
        <w:t>a) Cuestiones previas</w:t>
      </w:r>
    </w:p>
    <w:p w14:paraId="418B9380" w14:textId="77777777" w:rsidR="00A8138F" w:rsidRDefault="00A8138F" w:rsidP="00A8138F">
      <w:pPr>
        <w:pStyle w:val="TextoNormal"/>
      </w:pPr>
    </w:p>
    <w:p w14:paraId="674C1FCA" w14:textId="77777777" w:rsidR="00A8138F" w:rsidRDefault="00A8138F" w:rsidP="00A8138F">
      <w:pPr>
        <w:pStyle w:val="TextoNormal"/>
      </w:pPr>
      <w:r>
        <w:t>Antes de pronunciarnos sobre el fondo, han de hacerse las siguientes precisiones:</w:t>
      </w:r>
    </w:p>
    <w:p w14:paraId="54817702" w14:textId="77777777" w:rsidR="00A8138F" w:rsidRDefault="00A8138F" w:rsidP="00A8138F">
      <w:pPr>
        <w:pStyle w:val="TextoNormal"/>
      </w:pPr>
    </w:p>
    <w:p w14:paraId="01B85B15" w14:textId="77777777" w:rsidR="00A8138F" w:rsidRDefault="00A8138F" w:rsidP="00A8138F">
      <w:pPr>
        <w:pStyle w:val="TextoNormal"/>
      </w:pPr>
      <w:r>
        <w:t>(i) Según se desprende de la demanda y de las actuaciones judiciales, las partes en el proceso contencioso-administrativo discrepan acerca del alcance de las resoluciones dictadas en la cuestión de inconstitucionalidad núm. 1772-2020, planteada por la Sala de lo Contencioso-Administrativo del Tribunal Superior de Justicia del País Vasco respecto del art. 3.4 de la Ley 3/1998, de 27 de febrero, general de protección del medio ambiente del País Vasco. Su admisión a trámite por providencia del Pleno de 6 de mayo de 2020 motivó la interposición por la asociación ahora recurrente en amparo de recurso de súplica, en el que se dictó el ATC 73/2020, de 14 de julio, con un pronunciamiento desfavorable a la actora, pues entendió este tribunal que, “conforme al control meramente externo que nos corresponde realizar”, el auto de planteamiento de la cuestión había cumplido el requisito procesal de “especificar o justificar en qué medida la decisión del proceso depende de la validez de la norma en cuestión”. Tras este pronunciamiento, la STC 15/2021, de 28 de enero, estimó la cuestión de inconstitucionalidad planteada, declarando inconstitucional y nulo el inciso “como jurisdiccional” del art. 3.4 de la Ley del Parlamento Vasco 3/1998, de 27 de febrero.</w:t>
      </w:r>
    </w:p>
    <w:p w14:paraId="24C05C6F" w14:textId="77777777" w:rsidR="00A8138F" w:rsidRDefault="00A8138F" w:rsidP="00A8138F">
      <w:pPr>
        <w:pStyle w:val="TextoNormal"/>
      </w:pPr>
    </w:p>
    <w:p w14:paraId="763D3AB3" w14:textId="77777777" w:rsidR="00A8138F" w:rsidRDefault="00A8138F" w:rsidP="00A8138F">
      <w:pPr>
        <w:pStyle w:val="TextoNormal"/>
      </w:pPr>
      <w:r>
        <w:t>En la sentencia ahora impugnada en amparo, la Sala argumenta la inadmisibilidad del recurso contencioso-administrativo por falta de legitimación activa de la recurrente basándose en la confirmación por ATC 73/2020, de 14 de julio, del juicio de relevancia desarrollado en el auto de planteamiento de la cuestión de inconstitucionalidad, para concluir que allí se razonó “suficientemente por qué, a juicio de la Sala, en la Asociación Gurasos Elkartea no concurre otro título de legitimación activa que el otorgado por el art. 3.4 de la Ley [3/1998]”.</w:t>
      </w:r>
    </w:p>
    <w:p w14:paraId="32D20E06" w14:textId="77777777" w:rsidR="00A8138F" w:rsidRDefault="00A8138F" w:rsidP="00A8138F">
      <w:pPr>
        <w:pStyle w:val="TextoNormal"/>
      </w:pPr>
    </w:p>
    <w:p w14:paraId="09015BFA" w14:textId="77777777" w:rsidR="00A8138F" w:rsidRDefault="00A8138F" w:rsidP="00A8138F">
      <w:pPr>
        <w:pStyle w:val="TextoNormal"/>
      </w:pPr>
      <w:r>
        <w:t xml:space="preserve">El art. 37.1 LOTC establece que este tribunal podrá rechazar, en trámite de admisión, mediante auto y sin otra audiencia que la del fiscal general del Estado, la cuestión de inconstitucionalidad cuando faltaren las condiciones procesales o fuere notoriamente infundada. El art. 35.1 LOTC exige, en tal sentido, que la norma con rango de ley de la que tenga dudas un juez o tribunal sea aplicable al caso y que de su validez dependa el fallo. Como hemos señalado reiteradamente (por todas, STC 72/2017, de 5 de junio, FJ 1), es función exclusiva de los órganos judiciales (art. 117.3 CE) la de formular el pertinente juicio de aplicabilidad, de la misma manera que, una vez seleccionada la norma aplicable, les corresponde la función de exteriorizar el juicio de relevancia, que hemos definido como el “esquema argumental dirigido a probar que el fallo del proceso judicial depende de la validez de la norma cuestionada” (por todos, AATC 93/1999, de 13 de abril, FJ 3, y 21/2001, de 30 de enero, FJ 1). Sobre este “juicio de relevancia” como requisito de procedibilidad ejerce el Tribunal Constitucional un “control meramente externo” (ATC 159/2016, de 20 de septiembre, FJ 2), lo que significa que debe verificar su concurrencia a fin de que no se haga un uso </w:t>
      </w:r>
      <w:r>
        <w:lastRenderedPageBreak/>
        <w:t>de la cuestión de inconstitucionalidad “no acomodado a su naturaleza y finalidad propias” (ATC 9/2019, de 12 de febrero, FJ 2, y los que en él se citan), pero no sustituir al órgano judicial en la determinación de ese nexo causal (STC 41/1990, de 15 de marzo, FJ 2) que es una tarea propiamente jurisdiccional y por tanto reservada a aquel (art. 117.3 CE).</w:t>
      </w:r>
    </w:p>
    <w:p w14:paraId="67766E22" w14:textId="77777777" w:rsidR="00A8138F" w:rsidRDefault="00A8138F" w:rsidP="00A8138F">
      <w:pPr>
        <w:pStyle w:val="TextoNormal"/>
      </w:pPr>
    </w:p>
    <w:p w14:paraId="3519EA8D" w14:textId="77777777" w:rsidR="00A8138F" w:rsidRDefault="00A8138F" w:rsidP="00A8138F">
      <w:pPr>
        <w:pStyle w:val="TextoNormal"/>
      </w:pPr>
      <w:r>
        <w:t xml:space="preserve">Con arreglo a lo anterior, el auto de planteamiento de la cuestión de inconstitucionalidad de la Sección Segunda de la Sala de lo Contencioso-Administrativo del Tribunal Superior de Justicia del País Vasco razonó suficientemente en su momento por qué, a juicio de la Sala, la validez del art. 3.4 de la Ley general de protección del medio ambiente del País Vasco resultaba determinante para la resolución del proceso </w:t>
      </w:r>
      <w:r w:rsidRPr="00A8138F">
        <w:rPr>
          <w:i/>
        </w:rPr>
        <w:t>a quo</w:t>
      </w:r>
      <w:r>
        <w:t>, exponiendo motivadamente que la acción ejercida por la recurrente era de naturaleza medioambiental y no urbanística, con lo que quedaba sujeta a la citada Ley del Parlamento Vasco cuyo art. 3.4 le reconocía el posible ejercicio de la acción pública medioambiental en vía jurisdiccional sin requisito adicional alguno. En el ejercicio de su control meramente externo no correspondía a este Tribunal Constitucional revisar, desde el plano de la legalidad ordinaria, el criterio del órgano judicial, salvo que su argumentación resultara notoriamente inconsistente o equivocada (por todas, SSTC 38/2014, de 11 de marzo, FJ 3); lo que no fue, considerado el caso. De haberse declarado la constitucionalidad del precepto, la legitimación activa de la asociación recurrente habría resultado incontrovertida.</w:t>
      </w:r>
    </w:p>
    <w:p w14:paraId="691D937E" w14:textId="77777777" w:rsidR="00A8138F" w:rsidRDefault="00A8138F" w:rsidP="00A8138F">
      <w:pPr>
        <w:pStyle w:val="TextoNormal"/>
      </w:pPr>
    </w:p>
    <w:p w14:paraId="2AEF9406" w14:textId="77777777" w:rsidR="00A8138F" w:rsidRDefault="00A8138F" w:rsidP="00A8138F">
      <w:pPr>
        <w:pStyle w:val="TextoNormal"/>
      </w:pPr>
      <w:r>
        <w:t xml:space="preserve">Distinta es, en cambio, la función de este tribunal en el caso del recurso de amparo, que constituye un remedio jurisdiccional para la reparación de lesiones singulares y efectivas de los derechos fundamentales y libertades públicas reconocidos en los arts. 14 a 30 CE, sin que puedan hacerse valer por medio de dicha vía, conforme al art. 41.3 LOTC, otras pretensiones que las dirigidas a su restablecimiento o preservación (por todos, AATC 286/2006, de 24 de julio, FJ 2, y 107/2018, de 8 de octubre, FJ 1). Nuestro análisis del presente caso ha de entrar, en consecuencia, en un enjuiciamiento de fondo sobre la lesión que la recurrente en amparo imputa a la resolución judicial finalmente dictada en el proceso </w:t>
      </w:r>
      <w:r w:rsidRPr="00A8138F">
        <w:rPr>
          <w:i/>
        </w:rPr>
        <w:t>a quo</w:t>
      </w:r>
      <w:r>
        <w:t xml:space="preserve"> de su derecho fundamental a la tutela judicial efectiva, en la vertiente de acceso a la jurisdicción (art. 24.1 CE), a causa de la preterición, por la resolución judicial impugnada, de otros títulos de legitimación activa ajenos a la acción pública medioambiental y urbanística una vez declarado inconstitucional el precepto cuestionado.</w:t>
      </w:r>
    </w:p>
    <w:p w14:paraId="79FFFB9A" w14:textId="77777777" w:rsidR="00A8138F" w:rsidRDefault="00A8138F" w:rsidP="00A8138F">
      <w:pPr>
        <w:pStyle w:val="TextoNormal"/>
      </w:pPr>
    </w:p>
    <w:p w14:paraId="1F4CF10A" w14:textId="77777777" w:rsidR="00A8138F" w:rsidRDefault="00A8138F" w:rsidP="00A8138F">
      <w:pPr>
        <w:pStyle w:val="TextoNormal"/>
      </w:pPr>
      <w:r>
        <w:t xml:space="preserve">(ii) Las partes difieren también acerca de la incidencia en el proceso contencioso administrativo de la aplicación del Derecho de la Unión Europea. Asegura la demanda que la Sala interpreta y aplica en la sentencia impugnada los arts. 20 a 23 de la Ley 27/2006, de 18 de julio, por la que se regulan los derechos de acceso a la información, de participación pública y de acceso a la justicia en materia de medio ambiente (incorpora las Directivas 2003/4/CE y 2003/35/CE), en contradicción con la jurisprudencia del Tribunal de Justicia de la Unión Europea, en concreto, con las SSTJUE de 12 de mayo de 2011, asunto C-115/09, </w:t>
      </w:r>
      <w:r w:rsidRPr="00A8138F">
        <w:rPr>
          <w:i/>
        </w:rPr>
        <w:t>Federación Alemana de Medio Ambiente y Conservación de la Naturaleza</w:t>
      </w:r>
      <w:r>
        <w:t xml:space="preserve">, y de 16 de abril de 2015, asunto C-570/13, </w:t>
      </w:r>
      <w:r w:rsidRPr="00A8138F">
        <w:rPr>
          <w:i/>
        </w:rPr>
        <w:t>Gruber</w:t>
      </w:r>
      <w:r>
        <w:t>. De acuerdo con esta última, la falta de legitimación de un gran número de particulares, entre ellos los vecinos, resulta contraria al objetivo del Convenio sobre el acceso a la información, la participación del público en la toma de decisiones y el acceso a la justicia en materia de medio ambiente, hecho en Aarhus (Dinamarca), el 25 de junio de 1998, y de la Directiva 2011/92/UE del Parlamento Europeo y del Consejo, de 13 de diciembre de 2011, relativa a la evaluación de las repercusiones de determinados pro</w:t>
      </w:r>
      <w:r>
        <w:lastRenderedPageBreak/>
        <w:t>yectos públicos y privados sobre el medio ambiente, y, por lo tanto, incompatible con el art. 11.1 de esta última Directiva.</w:t>
      </w:r>
    </w:p>
    <w:p w14:paraId="3E635E57" w14:textId="77777777" w:rsidR="00A8138F" w:rsidRDefault="00A8138F" w:rsidP="00A8138F">
      <w:pPr>
        <w:pStyle w:val="TextoNormal"/>
      </w:pPr>
    </w:p>
    <w:p w14:paraId="747937C5" w14:textId="77777777" w:rsidR="00A8138F" w:rsidRDefault="00A8138F" w:rsidP="00A8138F">
      <w:pPr>
        <w:pStyle w:val="TextoNormal"/>
      </w:pPr>
      <w:r>
        <w:t>Al respecto debemos advertir desde este momento que, conforme a nuestra reiterada doctrina, el Derecho de la Unión Europea, incluyendo el principio de primacía que rige las relaciones con nuestro ordenamiento interno, no constituye canon de constitucionalidad que pueda ser invocado para fundamentar por sí solo un recurso de amparo, sin perjuicio de que sea tenido en cuenta como fuente de interpretación de nuestros derechos fundamentales por la vía del art. 10.2 CE (por todas, STC 66/2024, de 23 de abril, FJ 1, y las que allí se citan). Asimismo, la jurisprudencia tanto del Tribunal Europeo de Derechos Humanos, como del Tribunal de Justicia de la Unión Europea sirven como criterio de interpretación de las normas constitucionales sobre libertades y derechos fundamentales por la citada vía del art. 10.2 CE [entre otras, SSTC 66/2022, de 2 de junio, FJ 4 A) c), y 87/2022, de 28 de junio, FJ 3.3 A)].</w:t>
      </w:r>
    </w:p>
    <w:p w14:paraId="41BD675A" w14:textId="77777777" w:rsidR="00A8138F" w:rsidRDefault="00A8138F" w:rsidP="00A8138F">
      <w:pPr>
        <w:pStyle w:val="TextoNormal"/>
      </w:pPr>
    </w:p>
    <w:p w14:paraId="7B46DB3C" w14:textId="77777777" w:rsidR="00A8138F" w:rsidRDefault="00A8138F" w:rsidP="00A8138F">
      <w:pPr>
        <w:pStyle w:val="TextoNormal"/>
      </w:pPr>
      <w:r>
        <w:t>Por esta razón, desde nuestra perspectiva constitucional, al dirigirse el recurso de amparo contra una resolución judicial que acuerda la inadmisión de una demanda por ausencia de legitimación activa, el derecho fundamental concernido es el derecho a la tutela judicial efectiva en su vertiente de derecho de acceso a la jurisdicción (art. 24.1 CE), que, por lo demás, es el que reputa vulnerado la demanda de amparo y el que ha sido identificado como objeto del recurso tanto por el Consorcio de Residuos de Guipúzcoa como por la administración general de la Comunidad Autónoma del País Vasco, la Diputación Foral de Guipúzcoa y el Ministerio Fiscal. Por lo tanto, es el que debemos tomar en consideración para nuestro enjuiciamiento.</w:t>
      </w:r>
    </w:p>
    <w:p w14:paraId="340C5663" w14:textId="77777777" w:rsidR="00A8138F" w:rsidRDefault="00A8138F" w:rsidP="00A8138F">
      <w:pPr>
        <w:pStyle w:val="TextoNormal"/>
      </w:pPr>
    </w:p>
    <w:p w14:paraId="30C8CFCC" w14:textId="77777777" w:rsidR="00A8138F" w:rsidRDefault="00A8138F" w:rsidP="00A8138F">
      <w:pPr>
        <w:pStyle w:val="TextoNormal"/>
      </w:pPr>
      <w:r>
        <w:t>b) Con base en las consideraciones precedentes, estamos ya en disposición de examinar si, en el caso enjuiciado, la sentencia de inadmisión del recurso contencioso-administrativo por falta de legitimación activa de la recurrente vulneró o no el derecho a la tutela judicial efectiva, en su vertiente de derecho de acceso a la jurisdicción (art. 24.1 CE) de la ahora demandante en amparo.</w:t>
      </w:r>
    </w:p>
    <w:p w14:paraId="6709B37B" w14:textId="77777777" w:rsidR="00A8138F" w:rsidRDefault="00A8138F" w:rsidP="00A8138F">
      <w:pPr>
        <w:pStyle w:val="TextoNormal"/>
      </w:pPr>
    </w:p>
    <w:p w14:paraId="18849228" w14:textId="77777777" w:rsidR="00A8138F" w:rsidRDefault="00A8138F" w:rsidP="00A8138F">
      <w:pPr>
        <w:pStyle w:val="TextoNormal"/>
      </w:pPr>
      <w:r>
        <w:t xml:space="preserve">Tanto la doctrina constitucional como la propia jurisprudencia del Tribunal Supremo [por todas, STC 203/2002, de 28 de octubre, FJ 3, y STS de 31 de octubre de 2000, FJ 3 (ECLI:ES:TS:2000:7927)] han afirmado la aplicación más intensa del principio </w:t>
      </w:r>
      <w:r w:rsidRPr="00A8138F">
        <w:rPr>
          <w:i/>
        </w:rPr>
        <w:t>pro actione</w:t>
      </w:r>
      <w:r>
        <w:t xml:space="preserve"> en el derecho de acceso a la jurisdicción y el carácter restrictivo con que han de interpretarse las causas de inadmisibilidad. Cierto es que la STC 15/2021, de 28 de enero, FJ 3, afirma de forma categórica, al resolver la cuestión de inconstitucionalidad planteada en relación con este proceso, que “la acción ‘pública’ o ‘popular’ en vía judicial que instituye el inciso cuestionado es una acción </w:t>
      </w:r>
      <w:r w:rsidRPr="00A8138F">
        <w:rPr>
          <w:i/>
        </w:rPr>
        <w:t>quivis ex populo</w:t>
      </w:r>
      <w:r>
        <w:t xml:space="preserve">, reconocida a cualquier ciudadano sin legitimación especial, como especialidad frente a la regla general de legitimación basada en un derecho o interés legítimo del art. 19.1 a) de la Ley 29/1998, de 13 de julio, reguladora de la jurisdicción contencioso-administrativa (LJCA)”. Ahora bien, esta afirmación en modo alguno puede interpretarse como exclusión, por parte de este tribunal y en este caso concreto, de la existencia de un título de legitimación basado en la norma general que recoge ese art. 19.1 a) LJCA. Por el contrario, este tribunal aprecia que en este caso concurren circunstancias particulares que hacen que la interpretación de nuestra propia sentencia que lleva a cabo la resolución impugnada resulte excesivamente rigurosa y formalista, provocando la desproporcionada consecuencia de impedir materialmente el ejercicio del derecho de acceso a </w:t>
      </w:r>
      <w:r>
        <w:lastRenderedPageBreak/>
        <w:t>la jurisdicción para obtener la tutela de intereses legítimos frente a la actuación de las administraciones públicas.</w:t>
      </w:r>
    </w:p>
    <w:p w14:paraId="452FE9E2" w14:textId="77777777" w:rsidR="00A8138F" w:rsidRDefault="00A8138F" w:rsidP="00A8138F">
      <w:pPr>
        <w:pStyle w:val="TextoNormal"/>
      </w:pPr>
    </w:p>
    <w:p w14:paraId="448F3ACB" w14:textId="77777777" w:rsidR="00A8138F" w:rsidRDefault="00A8138F" w:rsidP="00A8138F">
      <w:pPr>
        <w:pStyle w:val="TextoNormal"/>
      </w:pPr>
      <w:r>
        <w:t xml:space="preserve">En su auto inicial de 25 de septiembre de 2018 el Tribunal Superior de Justicia del País Vasco había considerado acreditado que Gurasos Elkartea es una asociación constituida el 7 de mayo de 2016 para promover y participar en el debate sobre la oportunidad y conveniencia de construir una incineradora en Guipúzcoa, que había expresado en el art. 2 de sus estatutos su oposición a la construcción de la planta incineradora de Zubieta por entender que no garantiza la salud de los hijos de los asociados y que se debe despolitizar el debate sobre la gestión de los residuos en la zona en busca de una solución consensuada que garantice la salud. Sobre estos fundamentos, y haciéndose eco del interés alegado por la asociación “en la defensa colectiva de la integridad y bienestar de los hijos/as de los socios que la componen”, así como del hecho de que “la asociación tiene su sede a menos de 1 000 metros de la incineradora y que los socios residen en sus inmediaciones”, el órgano judicial declaró no haber lugar a declarar la inadmisibilidad del recurso por falta de legitimación activa en trámite de alegaciones previas, en tanto “la actora esgrime un concreto y específico interés legítimo que le vincula con la actividad objeto de impugnación, en el que sustentar su legitimación; haciendo evidente su legitimación ante este orden jurisdiccional </w:t>
      </w:r>
      <w:r w:rsidRPr="00A8138F">
        <w:rPr>
          <w:i/>
        </w:rPr>
        <w:t>ex</w:t>
      </w:r>
      <w:r>
        <w:t xml:space="preserve"> artículo 19.1 b) LJCA”.</w:t>
      </w:r>
    </w:p>
    <w:p w14:paraId="3F685B44" w14:textId="77777777" w:rsidR="00A8138F" w:rsidRDefault="00A8138F" w:rsidP="00A8138F">
      <w:pPr>
        <w:pStyle w:val="TextoNormal"/>
      </w:pPr>
    </w:p>
    <w:p w14:paraId="5A9BCBA2" w14:textId="77777777" w:rsidR="00A8138F" w:rsidRDefault="00A8138F" w:rsidP="00A8138F">
      <w:pPr>
        <w:pStyle w:val="TextoNormal"/>
      </w:pPr>
      <w:r>
        <w:t>En su posterior auto de 9 de marzo de 2020 afirma, en cambio, que “el hecho de que la Sala desestimara la alegación en el trámite de alegaciones previas, no es óbice para que las partes puedan alegar la concurrencia de la causa de inadmisibilidad, y la Sala resolver la cuestión planteada”. Respecto del interés legítimo invocado por la asociación, aprecia ahora que se limita a “la defensa de la salud de sus hijos”, declarando que el concepto de interés legítimo “requiere mayor concreción, que la alegación de interés general que comparte toda la sociedad sobre la defensa de la salud ambiental, de todos los ciudadanos”. No dedica consideración alguna al hecho de que no se hubiera invocado por la demandante el interés difuso de la salud ambiental de toda la sociedad o de las generaciones futuras sin más, sino, en particular, la de los asociados y sus hijos, residentes todos ellos en las inmediaciones de la incineradora proyectada, ámbito territorial en el que tiene su domicilio, por lo demás, la recurrente.</w:t>
      </w:r>
    </w:p>
    <w:p w14:paraId="1D4CA4A8" w14:textId="77777777" w:rsidR="00A8138F" w:rsidRDefault="00A8138F" w:rsidP="00A8138F">
      <w:pPr>
        <w:pStyle w:val="TextoNormal"/>
      </w:pPr>
    </w:p>
    <w:p w14:paraId="628CD9A1" w14:textId="77777777" w:rsidR="00A8138F" w:rsidRDefault="00A8138F" w:rsidP="00A8138F">
      <w:pPr>
        <w:pStyle w:val="TextoNormal"/>
      </w:pPr>
      <w:r>
        <w:t>Este tribunal entiende que, del mismo modo que la STC 252/2000, de 30 de octubre, FJ 7, admitió el interés legítimo de una asociación de vecinos constituida para denunciar los problemas que aquejaban al servicio público de saneamiento de aguas, reconociendo su legitimación activa para impugnar la exigencia y el pago de precio público por el alcantarillado que debía dar servicio a una urbanización o barriada y al que quedaba obligado cada vecino a título individual, este mismo título de legitimación ha de extenderse también a casos como el presente en el que los vecinos deciden asociarse para impugnar de forma colectiva una disposición general o un acto administrativo de efectos ambientales localizados precisamente en el área geográfica en que se hallan ubicados sus respectivos domicilios. Sin duda defienden con ello un interés específico, una ventaja o utilidad pública como residentes en la zona, que va más allá del interés público o general que se atribuye a la acción colectiva para la defensa del cumplimiento de la legalidad medioambiental vigente.</w:t>
      </w:r>
    </w:p>
    <w:p w14:paraId="38361DC6" w14:textId="77777777" w:rsidR="00A8138F" w:rsidRDefault="00A8138F" w:rsidP="00A8138F">
      <w:pPr>
        <w:pStyle w:val="TextoNormal"/>
      </w:pPr>
    </w:p>
    <w:p w14:paraId="44995BA5" w14:textId="77777777" w:rsidR="00A8138F" w:rsidRDefault="00A8138F" w:rsidP="00A8138F">
      <w:pPr>
        <w:pStyle w:val="TextoNormal"/>
      </w:pPr>
      <w:r>
        <w:t xml:space="preserve">La sentencia ahora impugnada no dedica, a pesar de ello, consideración alguna al hecho de que la asociación recurrente no invoca de forma expresa la salud ambiental de todos los </w:t>
      </w:r>
      <w:r>
        <w:lastRenderedPageBreak/>
        <w:t>ciudadanos, sino tan solo la concreta y específica de los asociados residentes en las inmediaciones de la incineradora proyectada que incluye, pero va más allá, de aquel interés colectivo, público o general, propio de la acción pública medioambiental, común a toda la ciudadanía sin perjuicio de su lugar concreto de residencia.</w:t>
      </w:r>
    </w:p>
    <w:p w14:paraId="041E1123" w14:textId="77777777" w:rsidR="00A8138F" w:rsidRDefault="00A8138F" w:rsidP="00A8138F">
      <w:pPr>
        <w:pStyle w:val="TextoNormal"/>
      </w:pPr>
    </w:p>
    <w:p w14:paraId="65FAA86C" w14:textId="77777777" w:rsidR="00A8138F" w:rsidRDefault="00A8138F" w:rsidP="00A8138F">
      <w:pPr>
        <w:pStyle w:val="TextoNormal"/>
      </w:pPr>
      <w:r>
        <w:t xml:space="preserve">En definitiva, el órgano judicial no valoró, al interpretar los requisitos procesales legalmente previstos para la admisión a trámite de la demanda, el resultado desproporcionado que derivaba de su decisión a la vista de la </w:t>
      </w:r>
      <w:r w:rsidRPr="00A8138F">
        <w:rPr>
          <w:i/>
        </w:rPr>
        <w:t>ratio</w:t>
      </w:r>
      <w:r>
        <w:t xml:space="preserve"> del art. 19.1 b) LJCA, impidiendo el enjuiciamiento de fondo del asunto y vulnerando, en consecuencia, las exigencias del principio de proporcionalidad (así, SSTC 112/2019, de 3 de octubre, FJ 4; 80/2020, de 15 de julio, FJ 3, y 89/2020, de 20 de julio, FJ 3).</w:t>
      </w:r>
    </w:p>
    <w:p w14:paraId="3DCD404C" w14:textId="77777777" w:rsidR="00A8138F" w:rsidRDefault="00A8138F" w:rsidP="00A8138F">
      <w:pPr>
        <w:pStyle w:val="TextoNormal"/>
      </w:pPr>
    </w:p>
    <w:p w14:paraId="1F44AA0C" w14:textId="3B1452A1" w:rsidR="00A8138F" w:rsidRDefault="00A8138F" w:rsidP="00A8138F">
      <w:pPr>
        <w:pStyle w:val="TextoNormal"/>
      </w:pPr>
      <w:r>
        <w:t xml:space="preserve">Por todo cuanto antecede, este tribunal concluye que, a la hora de proceder a determinar la legitimación activa de la recurrente ante el orden jurisdiccional contencioso-administrativo, la sentencia impugnada incurrió en una interpretación excesivamente formalista del referido presupuesto procesal, que no satisface el canon de control constitucional reforzado que impone el principio </w:t>
      </w:r>
      <w:r w:rsidRPr="00A8138F">
        <w:rPr>
          <w:i/>
        </w:rPr>
        <w:t>pro actione</w:t>
      </w:r>
      <w:r>
        <w:t>, lesionando con ello el derecho a la tutela judicial efectiva (art. 24.1 CE) de la recurrente en amparo.</w:t>
      </w:r>
    </w:p>
    <w:p w14:paraId="05E63EE8" w14:textId="77777777" w:rsidR="00A8138F" w:rsidRDefault="00A8138F" w:rsidP="00A8138F">
      <w:pPr>
        <w:pStyle w:val="TextoNormal"/>
      </w:pPr>
    </w:p>
    <w:p w14:paraId="10C0C99C" w14:textId="77777777" w:rsidR="00A8138F" w:rsidRDefault="00A8138F" w:rsidP="00A8138F">
      <w:pPr>
        <w:pStyle w:val="TextoNormalCentrado"/>
        <w:keepNext/>
      </w:pPr>
      <w:r>
        <w:t>FALLO</w:t>
      </w:r>
    </w:p>
    <w:p w14:paraId="68061CFB" w14:textId="4D92B89A" w:rsidR="00A8138F" w:rsidRDefault="00A8138F" w:rsidP="00A8138F">
      <w:pPr>
        <w:pStyle w:val="TextoNormalCentrado"/>
        <w:keepNext/>
      </w:pPr>
    </w:p>
    <w:p w14:paraId="61E8F0C0"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la asociación Gurasos Elkartea y, en su virtud:</w:t>
      </w:r>
    </w:p>
    <w:p w14:paraId="128B8787" w14:textId="77777777" w:rsidR="00A8138F" w:rsidRDefault="00A8138F" w:rsidP="00A8138F">
      <w:pPr>
        <w:pStyle w:val="TextoNormal"/>
      </w:pPr>
    </w:p>
    <w:p w14:paraId="498EB795" w14:textId="77777777" w:rsidR="00A8138F" w:rsidRDefault="00A8138F" w:rsidP="00A8138F">
      <w:pPr>
        <w:pStyle w:val="TextoNormal"/>
      </w:pPr>
      <w:r>
        <w:t>1º Declarar que ha sido vulnerado su derecho a la tutela judicial efectiva (art. 24.1 CE), en su vertiente del derecho de acceso a la jurisdicción.</w:t>
      </w:r>
    </w:p>
    <w:p w14:paraId="56FB21D3" w14:textId="77777777" w:rsidR="00A8138F" w:rsidRDefault="00A8138F" w:rsidP="00A8138F">
      <w:pPr>
        <w:pStyle w:val="TextoNormal"/>
      </w:pPr>
    </w:p>
    <w:p w14:paraId="24F48E9E" w14:textId="1AEE2027" w:rsidR="00A8138F" w:rsidRDefault="00A8138F" w:rsidP="00A8138F">
      <w:pPr>
        <w:pStyle w:val="TextoNormal"/>
      </w:pPr>
      <w:r>
        <w:t>2º Restablecerla en su derecho y, a tal fin, declarar la nulidad de la sentencia de 29 de marzo de 2021 de la Sección Segunda de la Sala de lo Contencioso-Administrativo del Tribunal Superior de Justicia del País Vasco, dictada en el procedimiento ordinario núm. 821-2016), con retroacción de actuaciones al momento inmediatamente anterior a su dictado, para que el órgano judicial decida sobre la admisión a trámite del recurso contencioso-administrativo con pleno respeto al derecho fundamental vulnerado.</w:t>
      </w:r>
    </w:p>
    <w:p w14:paraId="03EA4CD1" w14:textId="77777777" w:rsidR="00A8138F" w:rsidRDefault="00A8138F" w:rsidP="00A8138F">
      <w:pPr>
        <w:pStyle w:val="TextoNormal"/>
      </w:pPr>
    </w:p>
    <w:p w14:paraId="47B11759" w14:textId="77777777" w:rsidR="00A8138F" w:rsidRDefault="00A8138F" w:rsidP="00A8138F">
      <w:pPr>
        <w:pStyle w:val="TextoNormal"/>
      </w:pPr>
      <w:r>
        <w:t>Publíquese esta sentencia en el “Boletín Oficial del Estado”.</w:t>
      </w:r>
    </w:p>
    <w:p w14:paraId="09C53140" w14:textId="77777777" w:rsidR="00A8138F" w:rsidRDefault="00A8138F" w:rsidP="00A8138F">
      <w:pPr>
        <w:pStyle w:val="TextoNormal"/>
      </w:pPr>
      <w:r>
        <w:t>Dada en Madrid, a veinticuatro de marzo de dos mil veinticinco.</w:t>
      </w:r>
    </w:p>
    <w:p w14:paraId="1462E809" w14:textId="316C5173" w:rsidR="00A8138F" w:rsidRDefault="00A8138F">
      <w:pPr>
        <w:spacing w:after="160" w:line="278" w:lineRule="auto"/>
        <w:rPr>
          <w:rFonts w:ascii="Times New Roman" w:eastAsia="Times New Roman" w:hAnsi="Times New Roman" w:cs="Times New Roman"/>
          <w:sz w:val="24"/>
          <w:szCs w:val="24"/>
          <w:lang w:eastAsia="es-ES"/>
        </w:rPr>
      </w:pPr>
      <w:r>
        <w:br w:type="page"/>
      </w:r>
    </w:p>
    <w:p w14:paraId="2BCF5269" w14:textId="77777777" w:rsidR="00A8138F" w:rsidRDefault="00A8138F" w:rsidP="00A8138F">
      <w:pPr>
        <w:pStyle w:val="TtuloResolucin"/>
      </w:pPr>
      <w:bookmarkStart w:id="72" w:name="SENTENCIA_2025_70"/>
      <w:r>
        <w:lastRenderedPageBreak/>
        <w:t>SENTENCIA 70/2025, de 24 de marzo de 2025</w:t>
      </w:r>
    </w:p>
    <w:bookmarkEnd w:id="72"/>
    <w:p w14:paraId="65C85975" w14:textId="77777777" w:rsidR="00A8138F" w:rsidRDefault="00A8138F" w:rsidP="00A8138F">
      <w:pPr>
        <w:pStyle w:val="TtuloResolucin"/>
      </w:pPr>
      <w:r>
        <w:t>Sala Primera</w:t>
      </w:r>
    </w:p>
    <w:p w14:paraId="79DA55FE" w14:textId="77777777" w:rsidR="00A8138F" w:rsidRDefault="00A8138F" w:rsidP="00A8138F">
      <w:pPr>
        <w:pStyle w:val="TtuloBOE"/>
      </w:pPr>
      <w:r>
        <w:t>(BOE núm. 109, de 6 de mayo de 2025)</w:t>
      </w:r>
    </w:p>
    <w:p w14:paraId="5ADCB35C" w14:textId="77777777" w:rsidR="00A8138F" w:rsidRDefault="00A8138F" w:rsidP="00A8138F">
      <w:pPr>
        <w:pStyle w:val="TextoNormalCentrado"/>
      </w:pPr>
      <w:r>
        <w:t>ECLI:ES:TC:2025:70</w:t>
      </w:r>
    </w:p>
    <w:p w14:paraId="5995A2ED" w14:textId="5C985409" w:rsidR="00A8138F" w:rsidRDefault="00A8138F" w:rsidP="00A8138F">
      <w:pPr>
        <w:pStyle w:val="TextoNormalCentrado"/>
      </w:pPr>
    </w:p>
    <w:p w14:paraId="4B7D109F" w14:textId="77777777" w:rsidR="00A8138F" w:rsidRDefault="00A8138F" w:rsidP="00A8138F">
      <w:pPr>
        <w:pStyle w:val="SntesisDescriptiva"/>
      </w:pPr>
      <w:r>
        <w:t>Recurso de amparo 2426-2024. Promovido por doña Silvia Traba Gilgado en relación con las resoluciones administrativas y judiciales que desestimaron su petición de revisión y ampliación de la prestación por nacimiento y cuidado de hijo menor, como madre biológica de familia monoparental.</w:t>
      </w:r>
    </w:p>
    <w:p w14:paraId="6248001B" w14:textId="47A62242" w:rsidR="00A8138F" w:rsidRDefault="00A8138F" w:rsidP="00A8138F">
      <w:pPr>
        <w:pStyle w:val="SntesisDescriptiva"/>
      </w:pPr>
    </w:p>
    <w:p w14:paraId="612BC7EE"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45913E8" w14:textId="72311CD3" w:rsidR="00A8138F" w:rsidRDefault="00A8138F" w:rsidP="00A8138F">
      <w:pPr>
        <w:pStyle w:val="SntesisAnaltica"/>
      </w:pPr>
    </w:p>
    <w:p w14:paraId="62123919" w14:textId="70256466"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673E0E84" w14:textId="77777777" w:rsidR="00A8138F" w:rsidRDefault="00A8138F" w:rsidP="00A8138F">
      <w:pPr>
        <w:pStyle w:val="Extracto"/>
      </w:pPr>
    </w:p>
    <w:p w14:paraId="25AC16DA" w14:textId="77777777" w:rsidR="00A8138F" w:rsidRDefault="00A8138F" w:rsidP="00A8138F">
      <w:pPr>
        <w:pStyle w:val="Extracto"/>
      </w:pPr>
    </w:p>
    <w:p w14:paraId="08707962"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2426-2024 ha pronunciado</w:t>
      </w:r>
    </w:p>
    <w:p w14:paraId="43F6415E" w14:textId="1D52B182" w:rsidR="00A8138F" w:rsidRDefault="00A8138F" w:rsidP="00A8138F">
      <w:pPr>
        <w:pStyle w:val="TextoNormal"/>
      </w:pPr>
    </w:p>
    <w:p w14:paraId="1E9881EE" w14:textId="77777777" w:rsidR="00A8138F" w:rsidRDefault="00A8138F" w:rsidP="00A8138F">
      <w:pPr>
        <w:pStyle w:val="TextoNormalCentrado"/>
        <w:keepNext/>
      </w:pPr>
      <w:r>
        <w:t>EN NOMBRE DEL REY</w:t>
      </w:r>
    </w:p>
    <w:p w14:paraId="28F4A44A" w14:textId="4C4F706A" w:rsidR="00A8138F" w:rsidRDefault="00A8138F" w:rsidP="00A8138F">
      <w:pPr>
        <w:pStyle w:val="TextoNormalCentrado"/>
        <w:keepNext/>
      </w:pPr>
    </w:p>
    <w:p w14:paraId="061D7445" w14:textId="77777777" w:rsidR="00A8138F" w:rsidRDefault="00A8138F" w:rsidP="00A8138F">
      <w:pPr>
        <w:pStyle w:val="TextoNormalCentrado"/>
        <w:keepNext/>
      </w:pPr>
    </w:p>
    <w:p w14:paraId="7E5259F3" w14:textId="77777777" w:rsidR="00A8138F" w:rsidRDefault="00A8138F" w:rsidP="00A8138F">
      <w:pPr>
        <w:pStyle w:val="TextoNormal"/>
      </w:pPr>
      <w:r>
        <w:t>la siguiente</w:t>
      </w:r>
    </w:p>
    <w:p w14:paraId="2E531992" w14:textId="4508D14D" w:rsidR="00A8138F" w:rsidRDefault="00A8138F" w:rsidP="00A8138F">
      <w:pPr>
        <w:pStyle w:val="TextoNormal"/>
      </w:pPr>
    </w:p>
    <w:p w14:paraId="47797F67" w14:textId="77777777" w:rsidR="00A8138F" w:rsidRDefault="00A8138F" w:rsidP="00A8138F">
      <w:pPr>
        <w:pStyle w:val="TextoNormalCentrado"/>
        <w:keepNext/>
      </w:pPr>
      <w:r>
        <w:t>SENTENCIA</w:t>
      </w:r>
    </w:p>
    <w:p w14:paraId="0AB29B88" w14:textId="01056828" w:rsidR="00A8138F" w:rsidRDefault="00A8138F" w:rsidP="00A8138F">
      <w:pPr>
        <w:pStyle w:val="TextoNormalCentrado"/>
        <w:keepNext/>
      </w:pPr>
    </w:p>
    <w:p w14:paraId="2FDD97C0" w14:textId="77777777" w:rsidR="00A8138F" w:rsidRDefault="00A8138F" w:rsidP="00A8138F">
      <w:pPr>
        <w:pStyle w:val="TextoNormal"/>
      </w:pPr>
      <w:r>
        <w:t xml:space="preserve">En el recurso de amparo núm. 2426-2024, promovido por doña Silvia Traba Gilgado, representada por la procuradora de los tribunales doña Virginia Camacho Villar y asistida por la letrada doña Carolina Gómez de José, contra las resoluciones del Instituto Nacional de la Seguridad Social de 17 de diciembre de 2021 y de 18 de enero de 2022 que denegaron su solicitud de ampliación de la duración de la prestación por nacimiento y cuidado de hijo menor, confirmadas por la sentencia núm. 247/2024 de la Sala de lo Social del Tribunal Supremo, de 8 de febrero de 2024 dictada en el recurso de casación para la unificación de doctrina núm. 4489-2022 interpuesto por el Instituto Nacional de la Seguridad Social (INSS) y por la Tesorería General de la Seguridad Social (TGSS) contra la sentencia núm. 1557/2022 de la Sala de lo Social del Tribunal Superior de Justicia del País Vasco, de 19 de julio de 2022 que, desestimando el recurso de suplicación formulado por el INSS y la TGSS, confirmó la sentencia núm. 104/2022 del Juzgado de lo Social núm. 3 de Donostia-San </w:t>
      </w:r>
      <w:r>
        <w:lastRenderedPageBreak/>
        <w:t>Sebastián, de 28 de marzo de 2022 (autos núm. 132-2022). Han intervenido el letrado de la administración de la Seguridad Social y el Ministerio Fiscal. Ha sido ponente el magistrado don Ricardo Enríquez Sancho.</w:t>
      </w:r>
    </w:p>
    <w:p w14:paraId="1129942C" w14:textId="5C186B6A" w:rsidR="00A8138F" w:rsidRDefault="00A8138F" w:rsidP="00A8138F">
      <w:pPr>
        <w:pStyle w:val="TextoNormal"/>
      </w:pPr>
    </w:p>
    <w:p w14:paraId="740B5C64" w14:textId="77777777" w:rsidR="00A8138F" w:rsidRDefault="00A8138F" w:rsidP="00A8138F">
      <w:pPr>
        <w:pStyle w:val="TextoNormalNegritaCentrado"/>
        <w:keepNext/>
      </w:pPr>
      <w:r>
        <w:t>I. Antecedentes</w:t>
      </w:r>
    </w:p>
    <w:p w14:paraId="0F388FA6" w14:textId="07EB96F8" w:rsidR="00A8138F" w:rsidRDefault="00A8138F" w:rsidP="00A8138F">
      <w:pPr>
        <w:pStyle w:val="TextoNormalNegritaCentrado"/>
        <w:keepNext/>
      </w:pPr>
    </w:p>
    <w:p w14:paraId="11E459B7" w14:textId="7A0102C5" w:rsidR="00A8138F" w:rsidRDefault="00A8138F" w:rsidP="00A8138F">
      <w:pPr>
        <w:pStyle w:val="TextoNormal"/>
      </w:pPr>
      <w:r w:rsidRPr="00A8138F">
        <w:rPr>
          <w:rStyle w:val="NumeroAFNegritaCaracter"/>
        </w:rPr>
        <w:t>1</w:t>
      </w:r>
      <w:r>
        <w:t>. Mediante escrito presentado en el registro general de este tribunal el día 19 de abril de 2024, la procuradora de los tribunales doña Virginia Camacho Villar, actuando en nombre y representación de doña Silvia Traba Gilgado, con la asistencia letrada de doña Carolina Gómez de José, interpuso recurso de amparo frente a las resoluciones administrativas y judicial que la confirmó, y que han sido señaladas anteriormente en el encabezamiento de esta sentencia.</w:t>
      </w:r>
    </w:p>
    <w:p w14:paraId="51AD7C8B" w14:textId="77777777" w:rsidR="00A8138F" w:rsidRDefault="00A8138F" w:rsidP="00A8138F">
      <w:pPr>
        <w:pStyle w:val="TextoNormal"/>
      </w:pPr>
    </w:p>
    <w:p w14:paraId="096499CF" w14:textId="77777777" w:rsidR="00A8138F" w:rsidRDefault="00A8138F" w:rsidP="00A8138F">
      <w:pPr>
        <w:pStyle w:val="TextoNormal"/>
      </w:pPr>
      <w:r w:rsidRPr="00A8138F">
        <w:rPr>
          <w:rStyle w:val="NumeroAFNegritaCaracter"/>
        </w:rPr>
        <w:t>2</w:t>
      </w:r>
      <w:r>
        <w:t>. El presente recurso de amparo trae causa de los siguientes antecedentes:</w:t>
      </w:r>
    </w:p>
    <w:p w14:paraId="43F07005" w14:textId="77777777" w:rsidR="00A8138F" w:rsidRDefault="00A8138F" w:rsidP="00A8138F">
      <w:pPr>
        <w:pStyle w:val="TextoNormal"/>
      </w:pPr>
    </w:p>
    <w:p w14:paraId="36BD8AE1" w14:textId="77777777" w:rsidR="00A8138F" w:rsidRDefault="00A8138F" w:rsidP="00A8138F">
      <w:pPr>
        <w:pStyle w:val="TextoNormal"/>
      </w:pPr>
      <w:r>
        <w:t>a) La recurrente en amparo, madre biológica de un menor nacido el 29 de noviembre de 2021, con el que forma una familia monoparental, solicitó que se le ampliase la prestación por nacimiento y cuidado de hijo en doce semanas adicionales (las que le hubieran correspondido al otro progenitor de haberse tratado de una familia biparental). Por resolución INSS de 17 de diciembre de 2021 se le reconocieron dieciséis semanas de prestación, guardándose silencio sobre la pretensión de que se ampliaran en doce semanas adicionales. Interpuesta reclamación administrativa previa fue desestimada mediante resolución de 18 de enero de 2022, rechazándose la ampliación solicitada al no estar prevista en la legislación vigente.</w:t>
      </w:r>
    </w:p>
    <w:p w14:paraId="45C5553D" w14:textId="77777777" w:rsidR="00A8138F" w:rsidRDefault="00A8138F" w:rsidP="00A8138F">
      <w:pPr>
        <w:pStyle w:val="TextoNormal"/>
      </w:pPr>
    </w:p>
    <w:p w14:paraId="68BCA793" w14:textId="77777777" w:rsidR="00A8138F" w:rsidRDefault="00A8138F" w:rsidP="00A8138F">
      <w:pPr>
        <w:pStyle w:val="TextoNormal"/>
      </w:pPr>
      <w:r>
        <w:t>b) Disconforme con la duración de la prestación formuló demanda en la vía judicial frente al INSS y la TGSS, que dio lugar a los autos núm. 133-2022 seguidos ante el Juzgado de lo Social núm. 3 de Donostia-San Sebastián. Con la demanda se solicitó la medida cautelar del disfrute del permiso adicional con el fin de garantizar la atención y el cuidado del menor que fue estimada por auto de 28 de marzo de 2022, reconociéndose a la actora el disfrute de las dieciséis semanas en concepto de prestación por maternidad, adicionales a las que ya le había reconocido el INSS.</w:t>
      </w:r>
    </w:p>
    <w:p w14:paraId="44776B52" w14:textId="77777777" w:rsidR="00A8138F" w:rsidRDefault="00A8138F" w:rsidP="00A8138F">
      <w:pPr>
        <w:pStyle w:val="TextoNormal"/>
      </w:pPr>
    </w:p>
    <w:p w14:paraId="667CAC5B" w14:textId="77777777" w:rsidR="00A8138F" w:rsidRDefault="00A8138F" w:rsidP="00A8138F">
      <w:pPr>
        <w:pStyle w:val="TextoNormal"/>
      </w:pPr>
      <w:r>
        <w:t>c) La demanda fue estimada por sentencia núm. 104/2022 del Juzgado de lo Social núm. 3 de Donostia-San Sebastián, de 28 de marzo de 2022 que reconoció a la actora el derecho al disfrute de la prestación adicional de dieciséis semanas.</w:t>
      </w:r>
    </w:p>
    <w:p w14:paraId="3A9C4FA4" w14:textId="77777777" w:rsidR="00A8138F" w:rsidRDefault="00A8138F" w:rsidP="00A8138F">
      <w:pPr>
        <w:pStyle w:val="TextoNormal"/>
      </w:pPr>
    </w:p>
    <w:p w14:paraId="662276A7" w14:textId="77777777" w:rsidR="00A8138F" w:rsidRDefault="00A8138F" w:rsidP="00A8138F">
      <w:pPr>
        <w:pStyle w:val="TextoNormal"/>
      </w:pPr>
      <w:r>
        <w:t>d) Frente a la anterior sentencia interpuso recurso de suplicación (núm. 1855-2022) el INSS y la TGSS siendo desestimado por la sentencia núm. 1557/2022, de 19 de julio de 2022, de la Sala de lo Social del Tribunal Superior de Justicia del País Vasco, aplicando lo resuelto por esa Sala en la sentencia de 6 de octubre de 2020.</w:t>
      </w:r>
    </w:p>
    <w:p w14:paraId="46B64BB6" w14:textId="77777777" w:rsidR="00A8138F" w:rsidRDefault="00A8138F" w:rsidP="00A8138F">
      <w:pPr>
        <w:pStyle w:val="TextoNormal"/>
      </w:pPr>
    </w:p>
    <w:p w14:paraId="2F9EAA68" w14:textId="60AD4B6C" w:rsidR="00A8138F" w:rsidRDefault="00A8138F" w:rsidP="00A8138F">
      <w:pPr>
        <w:pStyle w:val="TextoNormal"/>
      </w:pPr>
      <w:r>
        <w:t xml:space="preserve">e) Interpuesto recurso de casación para la unificación de doctrina (núm. 4489-2022) por el INSS y la TGSS, fue estimado mediante sentencia núm. 247/2024, de 8 de febrero de 2024 de la Sala de lo Social del Tribunal Supremo, que revocó la sentencia impugnada desestimando la pretensión de la parte actora, en aplicación de lo decidido en su sentencia de Pleno, de 2 de marzo de 2020 (recurso núm. 3972-2020) en la que había descartado que </w:t>
      </w:r>
      <w:r>
        <w:lastRenderedPageBreak/>
        <w:t>la normativa aplicada resultase contraria a la letra o al espíritu de la Constitución Española, se situase al margen de la normativa internacional, o fuera contraria a los acuerdos, pactos o convenios internacionales suscritos por España. En definitiva,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w:t>
      </w:r>
    </w:p>
    <w:p w14:paraId="11D98D25" w14:textId="77777777" w:rsidR="00A8138F" w:rsidRDefault="00A8138F" w:rsidP="00A8138F">
      <w:pPr>
        <w:pStyle w:val="TextoNormal"/>
      </w:pPr>
    </w:p>
    <w:p w14:paraId="7CAAA47C" w14:textId="02EDE25D" w:rsidR="00A8138F" w:rsidRDefault="00A8138F" w:rsidP="00A8138F">
      <w:pPr>
        <w:pStyle w:val="TextoNormal"/>
      </w:pPr>
      <w:r w:rsidRPr="00A8138F">
        <w:rPr>
          <w:rStyle w:val="NumeroAFNegritaCaracter"/>
        </w:rPr>
        <w:t>3</w:t>
      </w:r>
      <w:r>
        <w:t>. En la demanda de amparo la recurrente denuncia la infracción del art. 14 CE en relación con el art. 39 CE por los siguientes motivos: (i) alega una desigualdad entre las madres biológicas de las familias monoparentales y de las de las familias biparentales en cuanto al derecho al permiso por nacimiento y cuidado de hijos, lo que resulta contrario a las exigencias del derecho a la igualdad proclamado en el art. 14 CE. Reprocha al INSS y a los órganos judiciales el haber ignorado la dimensión constitucional de la cuestión suscitada, limitándose a interpretar la ley sin realizar la ponderación que les era exigible teniendo en cuenta el interés superior del menor; (ii) señala que ha sufrido una discriminación directa por circunstancias personales y familiares con motivo de haber formado una familia monoparental, o lo que es lo mismo, por haber tomado la libre decisión (en ejercicio del libre desarrollo de su personalidad conforme al art. 10.1 CE) de formar tal tipo de familia. Esa decisión se vincula, además, con las convicciones y creencias más íntimas de la persona (art. 16 CE). Tales convicciones le han provocado un trato peyorativo, al no reconocérsele la ampliación del permiso, operando su condición personal y familiar como criterio diferenciador absolutamente irrazonable e inconstitucional; (iii) denuncia también una discriminación indirecta por razón de sexo, en tanto que, aunque la norma en principio es neutra, afecta primordialmente a las mujeres dado que la mayor parte de las familias monoparentales están configuradas por ellas. Por todo ello, solicita la anulación de las resoluciones administrativas y judicial que se impugnan, con retroacción al momento previo al dictado de la resolución del INSS de 17 de diciembre de 2021 para que dicte otra que respete los derechos fundamentales de la recurrente.</w:t>
      </w:r>
    </w:p>
    <w:p w14:paraId="704EFF44" w14:textId="77777777" w:rsidR="00A8138F" w:rsidRDefault="00A8138F" w:rsidP="00A8138F">
      <w:pPr>
        <w:pStyle w:val="TextoNormal"/>
      </w:pPr>
    </w:p>
    <w:p w14:paraId="218A251F" w14:textId="396B5536" w:rsidR="00A8138F" w:rsidRDefault="00A8138F" w:rsidP="00A8138F">
      <w:pPr>
        <w:pStyle w:val="TextoNormal"/>
      </w:pPr>
      <w:r w:rsidRPr="00A8138F">
        <w:rPr>
          <w:rStyle w:val="NumeroAFNegritaCaracter"/>
        </w:rPr>
        <w:t>4</w:t>
      </w:r>
      <w:r>
        <w:t>. Por providencia de fecha 9 de septiembre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4489-2022 y al recurso de suplicación núm. 1855-2022, respectivamente. Asimismo, acordó dirigir atenta comunicación al Juzgado de lo Social núm. 3 de San Sebastián a fin de que, en plazo que no excediera de diez días, remitiese certificación o fotocopia adverada de las actuaciones correspondientes a los autos núm. 132-2022, emplazando a quienes hubieran sido parte en el procedimiento, excepto la parte recurrente en amparo, para que, si lo deseaban, pudieran comparecer en el presente recurso.</w:t>
      </w:r>
    </w:p>
    <w:p w14:paraId="4B5B861E" w14:textId="77777777" w:rsidR="00A8138F" w:rsidRDefault="00A8138F" w:rsidP="00A8138F">
      <w:pPr>
        <w:pStyle w:val="TextoNormal"/>
      </w:pPr>
    </w:p>
    <w:p w14:paraId="38030CD8" w14:textId="5F24CBB9" w:rsidR="00A8138F" w:rsidRDefault="00A8138F" w:rsidP="00A8138F">
      <w:pPr>
        <w:pStyle w:val="TextoNormal"/>
      </w:pPr>
      <w:r w:rsidRPr="00A8138F">
        <w:rPr>
          <w:rStyle w:val="NumeroAFNegritaCaracter"/>
        </w:rPr>
        <w:lastRenderedPageBreak/>
        <w:t>5</w:t>
      </w:r>
      <w:r>
        <w:t>. Con fecha de 19 de noviembre de 2024 se presentó ante el registro de este tribunal un escrito en virtud del cual la letrada de la Administración de la Seguridad Social, en nombre y representación del INSS y de la TGSS interesa su personación en el presente recurso de amparo.</w:t>
      </w:r>
    </w:p>
    <w:p w14:paraId="53F86A28" w14:textId="77777777" w:rsidR="00A8138F" w:rsidRDefault="00A8138F" w:rsidP="00A8138F">
      <w:pPr>
        <w:pStyle w:val="TextoNormal"/>
      </w:pPr>
    </w:p>
    <w:p w14:paraId="285094AD" w14:textId="662898FC" w:rsidR="00A8138F" w:rsidRDefault="00A8138F" w:rsidP="00A8138F">
      <w:pPr>
        <w:pStyle w:val="TextoNormal"/>
      </w:pPr>
      <w:r w:rsidRPr="00A8138F">
        <w:rPr>
          <w:rStyle w:val="NumeroAFNegritaCaracter"/>
        </w:rPr>
        <w:t>6</w:t>
      </w:r>
      <w:r>
        <w:t>. Por diligencia de ordenación de la secretaría de Justicia de la Sección Primera de este tribunal, de fecha 21 de noviembre de 2024, se tuvo por personado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1AC0B0A4" w14:textId="77777777" w:rsidR="00A8138F" w:rsidRDefault="00A8138F" w:rsidP="00A8138F">
      <w:pPr>
        <w:pStyle w:val="TextoNormal"/>
      </w:pPr>
    </w:p>
    <w:p w14:paraId="16186656" w14:textId="31EA0584" w:rsidR="00A8138F" w:rsidRDefault="00A8138F" w:rsidP="00A8138F">
      <w:pPr>
        <w:pStyle w:val="TextoNormal"/>
      </w:pPr>
      <w:r w:rsidRPr="00A8138F">
        <w:rPr>
          <w:rStyle w:val="NumeroAFNegritaCaracter"/>
        </w:rPr>
        <w:t>7</w:t>
      </w:r>
      <w:r>
        <w:t>. Por medio de escrito presentado el 17 de diciembre de 2024 en el registro de este tribunal, la letrada de la Administración de la Seguridad Social realizó sus alegaciones en la representación que ostenta, ratificándose en lo mantenido a lo largo de todo el procedimiento e interesando por ello la desestimación de la demanda de amparo. No obstante, añade que de estimarse el recurso a la vista de lo resuelto en la sentencia del Pleno del Tribunal Constitucional de 6 de noviembre de 2024 [declarando la inconstitucionalidad de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 habrá de tenerse en cuenta, en todo caso,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14:paraId="7E271541" w14:textId="77777777" w:rsidR="00A8138F" w:rsidRDefault="00A8138F" w:rsidP="00A8138F">
      <w:pPr>
        <w:pStyle w:val="TextoNormal"/>
      </w:pPr>
    </w:p>
    <w:p w14:paraId="61B66BD0" w14:textId="0FED051E" w:rsidR="00A8138F" w:rsidRDefault="00A8138F" w:rsidP="00A8138F">
      <w:pPr>
        <w:pStyle w:val="TextoNormal"/>
      </w:pPr>
      <w:r w:rsidRPr="00A8138F">
        <w:rPr>
          <w:rStyle w:val="NumeroAFNegritaCaracter"/>
        </w:rPr>
        <w:t>8</w:t>
      </w:r>
      <w:r>
        <w:t>. Con fecha de 18 de diciembre de 2024 la representación procesal de la recurrente en amparo evacuó el trámite de alegaciones conferido interesando la estimación de su recurso, teniendo en cuenta lo resuelto recientemente por este tribunal al haber declarado la inconstitucional de los preceptos legales cuestionados (STC 140/2024, de 6 de noviembre). Con base a esta sentencia solicita que se otorgue el amparo pretendido dada la identidad de razón entre el recurso presentado y la cuestión resuelta por este tribunal.</w:t>
      </w:r>
    </w:p>
    <w:p w14:paraId="388A34C9" w14:textId="77777777" w:rsidR="00A8138F" w:rsidRDefault="00A8138F" w:rsidP="00A8138F">
      <w:pPr>
        <w:pStyle w:val="TextoNormal"/>
      </w:pPr>
    </w:p>
    <w:p w14:paraId="13F9702A" w14:textId="331E4F54" w:rsidR="00A8138F" w:rsidRDefault="00A8138F" w:rsidP="00A8138F">
      <w:pPr>
        <w:pStyle w:val="TextoNormal"/>
      </w:pPr>
      <w:r w:rsidRPr="00A8138F">
        <w:rPr>
          <w:rStyle w:val="NumeroAFNegritaCaracter"/>
        </w:rPr>
        <w:t>9</w:t>
      </w:r>
      <w:r>
        <w:t>. Por escrito de 16 de enero de 2025 el fiscal ante este tribunal, evacuando el trámite conferido para realizar alegaciones, interesó la estimación parcial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LET y 177 LGSS. Se aclara en cuanto al alcance de la estimación que pese a lo solicitado en la demanda de amparo, que no procede la retroacción de las actuaciones hasta la primera resolución dictada por el INSS, teniendo en cuenta que —en lo relativo a la infracción del derecho fundamental del art. 14 CE— la argumentación de la existencia de discriminación o diferencia de trato vulneradora del derecho a la igualdad por la sentencia del juzgado y del Tribunal Superior de Justicia, fueron coincidentes en lo esencial con la STC 140/2024 citada, por lo que el fiscal estima que aquellas sentencias no habrían vulne</w:t>
      </w:r>
      <w:r>
        <w:lastRenderedPageBreak/>
        <w:t>rado el derecho a la no discriminación de la actora y de su hijo. Sin embargo, por otra parte, no procedería acordar la firmeza de la sentencia del Tribunal Superior de Justicia ya que la misma concedió a la demandante una ampliación de la prestación en dieciséis semanas, lo que supone un exceso de seis semanas respecto de las que procede otorgar a las progenitoras de una familia monoparental con arreglo a lo establecido por la STC 140/2024. En suma, las seis semanas más de las reconocidas en esa sentencia no estarían amparadas por el derecho fundamental de la demandante en amparo. Por consiguiente, parece procedente mantener el derecho del INSS a que se resuelva su recurso de casación, sin perjuicio de que la decisión que se adopte deba respetar el derecho fundamental de la demandante de amparo según la doctrina del Tribunal Constitucional señalada. Interesa, en definitiva, que se declare la nulidad de la sentencia del Tribunal Supremo y que se retrotraigan las actuaciones para que su Sala de lo Social dicte una nueva resolución respetando el derecho fundamental vulnerado según resulta de la doctrina contenida en la STC 140/2024, de 6 de noviembre citada.</w:t>
      </w:r>
    </w:p>
    <w:p w14:paraId="2F283F72" w14:textId="77777777" w:rsidR="00A8138F" w:rsidRDefault="00A8138F" w:rsidP="00A8138F">
      <w:pPr>
        <w:pStyle w:val="TextoNormal"/>
      </w:pPr>
    </w:p>
    <w:p w14:paraId="234DC7A4" w14:textId="79F0B50B" w:rsidR="00A8138F" w:rsidRDefault="00A8138F" w:rsidP="00A8138F">
      <w:pPr>
        <w:pStyle w:val="TextoNormal"/>
      </w:pPr>
      <w:r w:rsidRPr="00A8138F">
        <w:rPr>
          <w:rStyle w:val="NumeroAFNegritaCaracter"/>
        </w:rPr>
        <w:t>10</w:t>
      </w:r>
      <w:r>
        <w:t>. Mediante providencia de 20 de marzo de 2025, se señaló para deliberación y votación de la presente sentencia el día 24 del mismo mes y año.</w:t>
      </w:r>
    </w:p>
    <w:p w14:paraId="1870BAE2" w14:textId="77777777" w:rsidR="00A8138F" w:rsidRDefault="00A8138F" w:rsidP="00A8138F">
      <w:pPr>
        <w:pStyle w:val="TextoNormal"/>
      </w:pPr>
    </w:p>
    <w:p w14:paraId="21BE0B1E" w14:textId="77777777" w:rsidR="00A8138F" w:rsidRDefault="00A8138F" w:rsidP="00A8138F">
      <w:pPr>
        <w:pStyle w:val="TextoNormalNegritaCentrado"/>
        <w:keepNext/>
      </w:pPr>
      <w:r>
        <w:t>II. Fundamentos jurídicos</w:t>
      </w:r>
    </w:p>
    <w:p w14:paraId="16EE7958" w14:textId="55B1D17A" w:rsidR="00A8138F" w:rsidRDefault="00A8138F" w:rsidP="00A8138F">
      <w:pPr>
        <w:pStyle w:val="TextoNormalNegritaCentrado"/>
        <w:keepNext/>
      </w:pPr>
    </w:p>
    <w:p w14:paraId="562D1EB0"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9471ADE" w14:textId="77777777" w:rsidR="00A8138F" w:rsidRDefault="00A8138F" w:rsidP="00A8138F">
      <w:pPr>
        <w:pStyle w:val="TextoNormal"/>
      </w:pPr>
    </w:p>
    <w:p w14:paraId="104AC066" w14:textId="1CA827A2"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345BA355" w14:textId="77777777" w:rsidR="00A8138F" w:rsidRDefault="00A8138F" w:rsidP="00A8138F">
      <w:pPr>
        <w:pStyle w:val="TextoNormal"/>
      </w:pPr>
    </w:p>
    <w:p w14:paraId="1D6FAF2A"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66A09435" w14:textId="77777777" w:rsidR="00A8138F" w:rsidRDefault="00A8138F" w:rsidP="00A8138F">
      <w:pPr>
        <w:pStyle w:val="TextoNormal"/>
      </w:pPr>
    </w:p>
    <w:p w14:paraId="66C11EF0"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022DBDB" w14:textId="77777777" w:rsidR="00A8138F" w:rsidRDefault="00A8138F" w:rsidP="00A8138F">
      <w:pPr>
        <w:pStyle w:val="TextoNormal"/>
      </w:pPr>
    </w:p>
    <w:p w14:paraId="654FD5B1" w14:textId="77777777" w:rsidR="00A8138F" w:rsidRDefault="00A8138F" w:rsidP="00A8138F">
      <w:pPr>
        <w:pStyle w:val="TextoNormal"/>
      </w:pPr>
      <w: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w:t>
      </w:r>
      <w:r>
        <w:lastRenderedPageBreak/>
        <w:t>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CF315AD" w14:textId="77777777" w:rsidR="00A8138F" w:rsidRDefault="00A8138F" w:rsidP="00A8138F">
      <w:pPr>
        <w:pStyle w:val="TextoNormal"/>
      </w:pPr>
    </w:p>
    <w:p w14:paraId="2CAC6EE7"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77127B05" w14:textId="77777777" w:rsidR="00A8138F" w:rsidRDefault="00A8138F" w:rsidP="00A8138F">
      <w:pPr>
        <w:pStyle w:val="TextoNormal"/>
      </w:pPr>
    </w:p>
    <w:p w14:paraId="1F106862" w14:textId="0ED82416" w:rsidR="00A8138F" w:rsidRDefault="00A8138F" w:rsidP="00A8138F">
      <w:pPr>
        <w:pStyle w:val="TextoNormal"/>
      </w:pPr>
      <w:r>
        <w:t>En consecuencia, debe estimarse la demanda y otorgar el amparo solicitado. De conformidad con lo expuesto por el fiscal, debemos anular y dejar sin efecto la sentencia núm. 247/2024 de la Sala de lo Social del Tribunal Supremo, de 8 de febrero de 2024, (ECLI:ES:TS:2024:1102) dictada en el recurso de casación para la unificación de doctrina núm. 4489-2022, sin que proceda declarar la firmeza de la sentencia núm. 1557/2022 de la Sala de lo Social del Tribunal Superior de Justicia del País Vasco, de 19 de julio de 2022 (recurso de suplicación núm. 1855-2022), dado que aunque su fundamentación jurídica resulta acorde con lo decidido en la STC 140/2024, de 6 de noviembre, concedió a la demandante un tiempo de disfrute de la prestación superior al reconocido en ella. Por consiguiente, procede la retroacción de las actuaciones al momento previo al dictado de la sentencia recurrida para que la Sala de lo Social del Tribunal Supremo dicte una nueva resolución respetuosa con el derecho fundamental reconocido a la recurrente en los términos previstos en la citada STC 140/2024.</w:t>
      </w:r>
    </w:p>
    <w:p w14:paraId="678C2331" w14:textId="77777777" w:rsidR="00A8138F" w:rsidRDefault="00A8138F" w:rsidP="00A8138F">
      <w:pPr>
        <w:pStyle w:val="TextoNormal"/>
      </w:pPr>
    </w:p>
    <w:p w14:paraId="5F6D9ABF" w14:textId="77777777" w:rsidR="00A8138F" w:rsidRDefault="00A8138F" w:rsidP="00A8138F">
      <w:pPr>
        <w:pStyle w:val="TextoNormalCentrado"/>
        <w:keepNext/>
      </w:pPr>
      <w:r>
        <w:t>FALLO</w:t>
      </w:r>
    </w:p>
    <w:p w14:paraId="5545B7B5" w14:textId="6EA5885F" w:rsidR="00A8138F" w:rsidRDefault="00A8138F" w:rsidP="00A8138F">
      <w:pPr>
        <w:pStyle w:val="TextoNormalCentrado"/>
        <w:keepNext/>
      </w:pPr>
    </w:p>
    <w:p w14:paraId="19747F64"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Silvia Traba Gilgado y, en su virtud:</w:t>
      </w:r>
    </w:p>
    <w:p w14:paraId="4F74BA40" w14:textId="77777777" w:rsidR="00A8138F" w:rsidRDefault="00A8138F" w:rsidP="00A8138F">
      <w:pPr>
        <w:pStyle w:val="TextoNormal"/>
      </w:pPr>
    </w:p>
    <w:p w14:paraId="13C9F99E" w14:textId="77777777" w:rsidR="00A8138F" w:rsidRDefault="00A8138F" w:rsidP="00A8138F">
      <w:pPr>
        <w:pStyle w:val="TextoNormal"/>
      </w:pPr>
      <w:r>
        <w:t>1º Declarar vulnerado el derecho fundamental a la igualdad ante la ley sin discriminación por razón de nacimiento (art. 14 CE).</w:t>
      </w:r>
    </w:p>
    <w:p w14:paraId="4E4D7EAC" w14:textId="77777777" w:rsidR="00A8138F" w:rsidRDefault="00A8138F" w:rsidP="00A8138F">
      <w:pPr>
        <w:pStyle w:val="TextoNormal"/>
      </w:pPr>
    </w:p>
    <w:p w14:paraId="566C2C36" w14:textId="77777777" w:rsidR="00A8138F" w:rsidRDefault="00A8138F" w:rsidP="00A8138F">
      <w:pPr>
        <w:pStyle w:val="TextoNormal"/>
      </w:pPr>
      <w:r>
        <w:t>2º Reestablecerla en su derecho y, a tal fin, declarar la nulidad de la sentencia núm. 247/2024 de la Sala de lo Social del Tribunal Supremo, de 8 de febrero de 2024 dictada en el recurso de casación para la unificación de doctrina núm. 4489-2022.</w:t>
      </w:r>
    </w:p>
    <w:p w14:paraId="1B4BD7C3" w14:textId="77777777" w:rsidR="00A8138F" w:rsidRDefault="00A8138F" w:rsidP="00A8138F">
      <w:pPr>
        <w:pStyle w:val="TextoNormal"/>
      </w:pPr>
    </w:p>
    <w:p w14:paraId="5586256E" w14:textId="08DEB1E0" w:rsidR="00A8138F" w:rsidRDefault="00A8138F" w:rsidP="00A8138F">
      <w:pPr>
        <w:pStyle w:val="TextoNormal"/>
      </w:pPr>
      <w:r>
        <w:lastRenderedPageBreak/>
        <w:t>3º Retrotraer las actuaciones al momento previo al dictado de la anterior resolución, para que la Sala de lo Social del Tribunal Supremo dicte una nueva resolución que resulte respetuosa con el derecho fundamental reconocido a la recurrente, de acuerdo con lo señalado en el fundamento jurídico 2 de esta sentencia.</w:t>
      </w:r>
    </w:p>
    <w:p w14:paraId="48971E7C" w14:textId="77777777" w:rsidR="00A8138F" w:rsidRDefault="00A8138F" w:rsidP="00A8138F">
      <w:pPr>
        <w:pStyle w:val="TextoNormal"/>
      </w:pPr>
    </w:p>
    <w:p w14:paraId="4DA41397" w14:textId="77777777" w:rsidR="00A8138F" w:rsidRDefault="00A8138F" w:rsidP="00A8138F">
      <w:pPr>
        <w:pStyle w:val="TextoNormal"/>
      </w:pPr>
      <w:r>
        <w:t>Publíquese esta sentencia en el “Boletín Oficial del Estado”.</w:t>
      </w:r>
    </w:p>
    <w:p w14:paraId="02C3DB87" w14:textId="77777777" w:rsidR="00A8138F" w:rsidRDefault="00A8138F" w:rsidP="00A8138F">
      <w:pPr>
        <w:pStyle w:val="TextoNormal"/>
      </w:pPr>
      <w:r>
        <w:t>Dada en Madrid, a veinticuatro de marzo de dos mil veinticinco.</w:t>
      </w:r>
    </w:p>
    <w:p w14:paraId="005D45F7" w14:textId="1551BACC" w:rsidR="00A8138F" w:rsidRDefault="00A8138F">
      <w:pPr>
        <w:spacing w:after="160" w:line="278" w:lineRule="auto"/>
        <w:rPr>
          <w:rFonts w:ascii="Times New Roman" w:eastAsia="Times New Roman" w:hAnsi="Times New Roman" w:cs="Times New Roman"/>
          <w:sz w:val="24"/>
          <w:szCs w:val="24"/>
          <w:lang w:eastAsia="es-ES"/>
        </w:rPr>
      </w:pPr>
      <w:r>
        <w:br w:type="page"/>
      </w:r>
    </w:p>
    <w:p w14:paraId="58A9A7A2" w14:textId="77777777" w:rsidR="00A8138F" w:rsidRDefault="00A8138F" w:rsidP="00A8138F">
      <w:pPr>
        <w:pStyle w:val="TtuloResolucin"/>
      </w:pPr>
      <w:bookmarkStart w:id="73" w:name="SENTENCIA_2025_71"/>
      <w:r>
        <w:lastRenderedPageBreak/>
        <w:t>SENTENCIA 71/2025, de 24 de marzo de 2025</w:t>
      </w:r>
    </w:p>
    <w:bookmarkEnd w:id="73"/>
    <w:p w14:paraId="34DC95FC" w14:textId="77777777" w:rsidR="00A8138F" w:rsidRDefault="00A8138F" w:rsidP="00A8138F">
      <w:pPr>
        <w:pStyle w:val="TtuloResolucin"/>
      </w:pPr>
      <w:r>
        <w:t>Sala Segunda</w:t>
      </w:r>
    </w:p>
    <w:p w14:paraId="16F067E8" w14:textId="77777777" w:rsidR="00A8138F" w:rsidRDefault="00A8138F" w:rsidP="00A8138F">
      <w:pPr>
        <w:pStyle w:val="TtuloBOE"/>
      </w:pPr>
      <w:r>
        <w:t>(BOE núm. 109, de 6 de mayo de 2025)</w:t>
      </w:r>
    </w:p>
    <w:p w14:paraId="4C568CD6" w14:textId="77777777" w:rsidR="00A8138F" w:rsidRDefault="00A8138F" w:rsidP="00A8138F">
      <w:pPr>
        <w:pStyle w:val="TextoNormalCentrado"/>
      </w:pPr>
      <w:r>
        <w:t>ECLI:ES:TC:2025:71</w:t>
      </w:r>
    </w:p>
    <w:p w14:paraId="5F0EDBF3" w14:textId="5818D956" w:rsidR="00A8138F" w:rsidRDefault="00A8138F" w:rsidP="00A8138F">
      <w:pPr>
        <w:pStyle w:val="TextoNormalCentrado"/>
      </w:pPr>
    </w:p>
    <w:p w14:paraId="2A3465F5" w14:textId="77777777" w:rsidR="00A8138F" w:rsidRDefault="00A8138F" w:rsidP="00A8138F">
      <w:pPr>
        <w:pStyle w:val="SntesisDescriptiva"/>
      </w:pPr>
      <w:r>
        <w:t>Recurso de amparo 3385-2024. Promovido por doña Ángela María Tapia Raya en relación con las resoluciones administrativas y judiciales que desestimaron su petición de revisión y ampliación de la prestación por nacimiento y cuidado de hijo menor, como madre biológica de familia monoparental.</w:t>
      </w:r>
    </w:p>
    <w:p w14:paraId="3CED212A" w14:textId="4CC48523" w:rsidR="00A8138F" w:rsidRDefault="00A8138F" w:rsidP="00A8138F">
      <w:pPr>
        <w:pStyle w:val="SntesisDescriptiva"/>
      </w:pPr>
    </w:p>
    <w:p w14:paraId="6EDF3BBE"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362E3BEB" w14:textId="4B96AFB3" w:rsidR="00A8138F" w:rsidRDefault="00A8138F" w:rsidP="00A8138F">
      <w:pPr>
        <w:pStyle w:val="SntesisAnaltica"/>
      </w:pPr>
    </w:p>
    <w:p w14:paraId="33C1E98A" w14:textId="3129195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64135206" w14:textId="77777777" w:rsidR="00A8138F" w:rsidRDefault="00A8138F" w:rsidP="00A8138F">
      <w:pPr>
        <w:pStyle w:val="Extracto"/>
      </w:pPr>
    </w:p>
    <w:p w14:paraId="7F0DCA4D" w14:textId="77777777" w:rsidR="00A8138F" w:rsidRDefault="00A8138F" w:rsidP="00A8138F">
      <w:pPr>
        <w:pStyle w:val="Extracto"/>
      </w:pPr>
    </w:p>
    <w:p w14:paraId="096CDDB4"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F831418" w14:textId="715FF5FD" w:rsidR="00A8138F" w:rsidRDefault="00A8138F" w:rsidP="00A8138F">
      <w:pPr>
        <w:pStyle w:val="TextoNormal"/>
      </w:pPr>
    </w:p>
    <w:p w14:paraId="490C326E" w14:textId="77777777" w:rsidR="00A8138F" w:rsidRDefault="00A8138F" w:rsidP="00A8138F">
      <w:pPr>
        <w:pStyle w:val="TextoNormalCentrado"/>
        <w:keepNext/>
      </w:pPr>
      <w:r>
        <w:t>EN NOMBRE DEL REY</w:t>
      </w:r>
    </w:p>
    <w:p w14:paraId="2C825553" w14:textId="1F10229A" w:rsidR="00A8138F" w:rsidRDefault="00A8138F" w:rsidP="00A8138F">
      <w:pPr>
        <w:pStyle w:val="TextoNormalCentrado"/>
        <w:keepNext/>
      </w:pPr>
    </w:p>
    <w:p w14:paraId="790B6BD9" w14:textId="77777777" w:rsidR="00A8138F" w:rsidRDefault="00A8138F" w:rsidP="00A8138F">
      <w:pPr>
        <w:pStyle w:val="TextoNormalCentrado"/>
        <w:keepNext/>
      </w:pPr>
    </w:p>
    <w:p w14:paraId="6E6B84D2" w14:textId="77777777" w:rsidR="00A8138F" w:rsidRDefault="00A8138F" w:rsidP="00A8138F">
      <w:pPr>
        <w:pStyle w:val="TextoNormal"/>
      </w:pPr>
      <w:r>
        <w:t>la siguiente</w:t>
      </w:r>
    </w:p>
    <w:p w14:paraId="27F2D8BF" w14:textId="2A71E504" w:rsidR="00A8138F" w:rsidRDefault="00A8138F" w:rsidP="00A8138F">
      <w:pPr>
        <w:pStyle w:val="TextoNormal"/>
      </w:pPr>
    </w:p>
    <w:p w14:paraId="28007170" w14:textId="77777777" w:rsidR="00A8138F" w:rsidRDefault="00A8138F" w:rsidP="00A8138F">
      <w:pPr>
        <w:pStyle w:val="TextoNormalCentrado"/>
        <w:keepNext/>
      </w:pPr>
      <w:r>
        <w:t>SENTENCIA</w:t>
      </w:r>
    </w:p>
    <w:p w14:paraId="48DB19BB" w14:textId="1876FE24" w:rsidR="00A8138F" w:rsidRDefault="00A8138F" w:rsidP="00A8138F">
      <w:pPr>
        <w:pStyle w:val="TextoNormalCentrado"/>
        <w:keepNext/>
      </w:pPr>
    </w:p>
    <w:p w14:paraId="5B667AC6" w14:textId="77777777" w:rsidR="00A8138F" w:rsidRDefault="00A8138F" w:rsidP="00A8138F">
      <w:pPr>
        <w:pStyle w:val="TextoNormal"/>
      </w:pPr>
      <w:r>
        <w:t>En el recurso de amparo núm. 3385-2024, promovido por doña Ángela María Tapia Raya, representada por la procuradora de los tribunales doña María Isabel Torres Ruiz y bajo la dirección de la letrada doña Susana Fuentes Gómez, contra las resoluciones del Instituto Nacional de la Seguridad Social que desestimaron por silencio negativo tanto la solicitud de revisión de prestación por nacimiento y cuidado del menor como la posterior reclamación previa; así como contra la sentencia 181/2022, de 26 de abril, dictada por el Juzgado de lo Social núm. 29 de Madrid —autos núm. 718-2021—, y la sentencia 304/2023, de 22 de marzo, dictada por la Sala de lo Social del Tribunal Superior de Justicia de Madrid, —rollo de suplicación núm. 1291-2022—, que confirmaron las resoluciones administrativas; y contra el auto de 3 de abril de 2024, dictado por la Sala de lo Social del Tribunal Supremo —recurso de casación para la unificación de doctrina núm. 2274-2023—, que inadmitió el recurso de casación. Han intervenido la letrada de la administración de la Seguridad Social y el Ministerio Fiscal. Ha sido ponente el magistrado don César Tolosa Tribiño.</w:t>
      </w:r>
    </w:p>
    <w:p w14:paraId="5DC0A39D" w14:textId="536817D0" w:rsidR="00A8138F" w:rsidRDefault="00A8138F" w:rsidP="00A8138F">
      <w:pPr>
        <w:pStyle w:val="TextoNormal"/>
      </w:pPr>
    </w:p>
    <w:p w14:paraId="2D34389F" w14:textId="77777777" w:rsidR="00A8138F" w:rsidRDefault="00A8138F" w:rsidP="00A8138F">
      <w:pPr>
        <w:pStyle w:val="TextoNormalNegritaCentrado"/>
        <w:keepNext/>
      </w:pPr>
      <w:r>
        <w:t>I. Antecedentes</w:t>
      </w:r>
    </w:p>
    <w:p w14:paraId="753A95AC" w14:textId="638CD780" w:rsidR="00A8138F" w:rsidRDefault="00A8138F" w:rsidP="00A8138F">
      <w:pPr>
        <w:pStyle w:val="TextoNormalNegritaCentrado"/>
        <w:keepNext/>
      </w:pPr>
    </w:p>
    <w:p w14:paraId="1AEC1686" w14:textId="2DD9579C" w:rsidR="00A8138F" w:rsidRDefault="00A8138F" w:rsidP="00A8138F">
      <w:pPr>
        <w:pStyle w:val="TextoNormal"/>
      </w:pPr>
      <w:r w:rsidRPr="00A8138F">
        <w:rPr>
          <w:rStyle w:val="NumeroAFNegritaCaracter"/>
        </w:rPr>
        <w:t>1</w:t>
      </w:r>
      <w:r>
        <w:t>. El 9 de mayo de 2024, doña Ángela María Tapia Raya, con la representación y defensa indicadas, interpuso recurso de amparo contra las resoluciones del Instituto Nacional de la Seguridad Social (INSS) y las resoluciones judiciales referidas en el encabezamiento.</w:t>
      </w:r>
    </w:p>
    <w:p w14:paraId="32F73498" w14:textId="77777777" w:rsidR="00A8138F" w:rsidRDefault="00A8138F" w:rsidP="00A8138F">
      <w:pPr>
        <w:pStyle w:val="TextoNormal"/>
      </w:pPr>
    </w:p>
    <w:p w14:paraId="30F47CAC"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27403F61" w14:textId="77777777" w:rsidR="00A8138F" w:rsidRDefault="00A8138F" w:rsidP="00A8138F">
      <w:pPr>
        <w:pStyle w:val="TextoNormal"/>
      </w:pPr>
    </w:p>
    <w:p w14:paraId="271B4B09" w14:textId="77777777" w:rsidR="00A8138F" w:rsidRDefault="00A8138F" w:rsidP="00A8138F">
      <w:pPr>
        <w:pStyle w:val="TextoNormal"/>
      </w:pPr>
      <w:r>
        <w:t>a) La demandante de amparo, con motivo del nacimiento de su hija el 20 de octubre de 2020 en el seno de una familia monoparental, solicitó la prestación por nacimiento y cuidado de menor que le fue reconocida desde el 20 de octubre de 2020 hasta el 8 de febrero de 2021 (dieciséis semanas).</w:t>
      </w:r>
    </w:p>
    <w:p w14:paraId="55544A7F" w14:textId="77777777" w:rsidR="00A8138F" w:rsidRDefault="00A8138F" w:rsidP="00A8138F">
      <w:pPr>
        <w:pStyle w:val="TextoNormal"/>
      </w:pPr>
    </w:p>
    <w:p w14:paraId="13AA2B80" w14:textId="77777777" w:rsidR="00A8138F" w:rsidRDefault="00A8138F" w:rsidP="00A8138F">
      <w:pPr>
        <w:pStyle w:val="TextoNormal"/>
      </w:pPr>
      <w:r>
        <w:t>b) Posteriormente solicitó la revisión de dicha prestación y su ampliación a otras doce semanas adicionales. Dicha solicitud fue desestimada por la entidad gestora por silencio administrativo. Frente a dicha resolución presentó reclamación previa administrativa que fue desestimada también por silencio administrativo.</w:t>
      </w:r>
    </w:p>
    <w:p w14:paraId="5BA6E48A" w14:textId="77777777" w:rsidR="00A8138F" w:rsidRDefault="00A8138F" w:rsidP="00A8138F">
      <w:pPr>
        <w:pStyle w:val="TextoNormal"/>
      </w:pPr>
    </w:p>
    <w:p w14:paraId="58CB98DF" w14:textId="77777777" w:rsidR="00A8138F" w:rsidRDefault="00A8138F" w:rsidP="00A8138F">
      <w:pPr>
        <w:pStyle w:val="TextoNormal"/>
      </w:pPr>
      <w:r>
        <w:t>c) La demandante de amparo, en fecha 23 de junio de 2021, interpuso demanda frente al INSS y la Tesorería General de la Seguridad Social (TGSS), interesando la ampliación del reconocimiento del permiso por nacimiento y cuidado de menor en otras doce semanas adicionales que le hubieran correspondido al otro progenitor distinto de la madre biológica.</w:t>
      </w:r>
    </w:p>
    <w:p w14:paraId="4C7EF6D1" w14:textId="77777777" w:rsidR="00A8138F" w:rsidRDefault="00A8138F" w:rsidP="00A8138F">
      <w:pPr>
        <w:pStyle w:val="TextoNormal"/>
      </w:pPr>
    </w:p>
    <w:p w14:paraId="60493A54" w14:textId="77777777" w:rsidR="00A8138F" w:rsidRDefault="00A8138F" w:rsidP="00A8138F">
      <w:pPr>
        <w:pStyle w:val="TextoNormal"/>
      </w:pPr>
      <w:r>
        <w:t>d) El Juzgado de lo Social núm. 29 de Madrid dictó sentencia, el 26 de abril de 2022, en la que desestimó la demanda.</w:t>
      </w:r>
    </w:p>
    <w:p w14:paraId="29E6C79F" w14:textId="77777777" w:rsidR="00A8138F" w:rsidRDefault="00A8138F" w:rsidP="00A8138F">
      <w:pPr>
        <w:pStyle w:val="TextoNormal"/>
      </w:pPr>
    </w:p>
    <w:p w14:paraId="56DDD325" w14:textId="77777777" w:rsidR="00A8138F" w:rsidRDefault="00A8138F" w:rsidP="00A8138F">
      <w:pPr>
        <w:pStyle w:val="TextoNormal"/>
      </w:pPr>
      <w:r>
        <w:t>En su fundamentación, tras reconocer la existencia de posiciones discrepantes sobre la pretensión planteada por la demandante, considera que sin desconocer la “solución afirmativa aducida por la letrada de la demandante y reflejada en el escrito rector del Tribunal Superior de Justicia del País Vasco de fecha de 6 de octubre de 2020 lo cierto es que tras estudiar el asunto y las resoluciones existentes convence a esta juzgadora una posición diversa a la allí mantenida, en concreto lo resuelto por la Sala de lo Social del Tribunal Superior de Justicia de Madrid de fecha de 4 de abril de 2022, recurso de suplicación 892-2021”, y cuyo contenido transcribe en la sentencia.</w:t>
      </w:r>
    </w:p>
    <w:p w14:paraId="14427A79" w14:textId="77777777" w:rsidR="00A8138F" w:rsidRDefault="00A8138F" w:rsidP="00A8138F">
      <w:pPr>
        <w:pStyle w:val="TextoNormal"/>
      </w:pPr>
    </w:p>
    <w:p w14:paraId="2123BCDC" w14:textId="77777777" w:rsidR="00A8138F" w:rsidRDefault="00A8138F" w:rsidP="00A8138F">
      <w:pPr>
        <w:pStyle w:val="TextoNormal"/>
      </w:pPr>
      <w:r>
        <w:t>Tras ello indica que comparte la argumentación de dicha sentencia, en tanto que se reclama una prestación que requiere la concurrencia de requisitos en cada progenitor, requisitos contemplados en los artículos 42.1, 177 y ss. del texto refundido de la Ley general de la Seguridad Social, aprobado por el Real Decreto Legislativo 8/2015, de 30 de octubre (LGSS) —tras la redacción otorgada por el Real Decreto-ley 6/2019, de 1 de marzo, de medidas urgentes para garantía de la igualdad de trato y de oportunidades entre mujeres y hombres en el empleo y la ocupación (en adelante, Real Decreto-ley 6/2019); así como en el Real Decreto 295/2009, de 6 de marzo, por el que se regulan las prestaciones económicas del sistema de la Seguridad Social por maternidad, paternidad, riesgo durante el embarazo y riego durante la lactancia natural— atendiendo a la naturaleza contributiva de dicha prestación, “sin que se aprecie la concurrencia de los mismos en el supuesto de hecho exami</w:t>
      </w:r>
      <w:r>
        <w:lastRenderedPageBreak/>
        <w:t>nado, encontrándose huérfana de amparo normativo tal pretensión de ampliación y por tanto el derecho de acrecer lo de uno a favor del otro, lo que conduce a la desestimación íntegra de la demanda”.</w:t>
      </w:r>
    </w:p>
    <w:p w14:paraId="6E82439E" w14:textId="77777777" w:rsidR="00A8138F" w:rsidRDefault="00A8138F" w:rsidP="00A8138F">
      <w:pPr>
        <w:pStyle w:val="TextoNormal"/>
      </w:pPr>
    </w:p>
    <w:p w14:paraId="10FDCE49" w14:textId="77777777" w:rsidR="00A8138F" w:rsidRDefault="00A8138F" w:rsidP="00A8138F">
      <w:pPr>
        <w:pStyle w:val="TextoNormal"/>
      </w:pPr>
      <w:r>
        <w:t>e) La demandante de amparo interpuso recurso de suplicación y por sentencia 304/2023, de 22 de marzo, dictada por la Sección Segunda de la Sala de lo Social del Tribunal Superior de Justicia de Madrid, se desestimó el recurso de suplicación y se confirmó la sentencia de instancia.</w:t>
      </w:r>
    </w:p>
    <w:p w14:paraId="616325C5" w14:textId="77777777" w:rsidR="00A8138F" w:rsidRDefault="00A8138F" w:rsidP="00A8138F">
      <w:pPr>
        <w:pStyle w:val="TextoNormal"/>
      </w:pPr>
    </w:p>
    <w:p w14:paraId="63DCBB0D" w14:textId="77777777" w:rsidR="00A8138F" w:rsidRDefault="00A8138F" w:rsidP="00A8138F">
      <w:pPr>
        <w:pStyle w:val="TextoNormal"/>
      </w:pPr>
      <w:r>
        <w:t>La sentencia fundamenta su decisión en que “la cuestión planteada ya ha sido resuelta por sentencias anteriores de esta Sección de la Sala, fijando finalmente un criterio en sentencias como la dictada el 6 de abril de 2022 en el recurso de suplicación 172-2022”, y cuyos argumentos reproduce.</w:t>
      </w:r>
    </w:p>
    <w:p w14:paraId="058FDBCC" w14:textId="77777777" w:rsidR="00A8138F" w:rsidRDefault="00A8138F" w:rsidP="00A8138F">
      <w:pPr>
        <w:pStyle w:val="TextoNormal"/>
      </w:pPr>
    </w:p>
    <w:p w14:paraId="5D39F5FB" w14:textId="77777777" w:rsidR="00A8138F" w:rsidRDefault="00A8138F" w:rsidP="00A8138F">
      <w:pPr>
        <w:pStyle w:val="TextoNormal"/>
      </w:pPr>
      <w:r>
        <w:t>f) Contra dicha sentencia la recurrente de amparo interpuso recurso de casación para la unificación de doctrina, que fue inadmitido por auto de la Sala de lo Social del Tribunal Supremo de 3 de abril de 2024.</w:t>
      </w:r>
    </w:p>
    <w:p w14:paraId="462C5947" w14:textId="77777777" w:rsidR="00A8138F" w:rsidRDefault="00A8138F" w:rsidP="00A8138F">
      <w:pPr>
        <w:pStyle w:val="TextoNormal"/>
      </w:pPr>
    </w:p>
    <w:p w14:paraId="117C6C78" w14:textId="5F246203" w:rsidR="00A8138F" w:rsidRDefault="00A8138F" w:rsidP="00A8138F">
      <w:pPr>
        <w:pStyle w:val="TextoNormal"/>
      </w:pPr>
      <w:r>
        <w:t>Indica el auto del Tribunal Supremo que procede la inadmisión por falta de contenido casacional al haberse pronunciado la Sala, en su STS 169/2023, de 2 de marzo de 2023(ECLI:ES:TS:2023:783), seguida de muchas otras, a las que se refiere, en las que ha resuelto que las familias monoparentales no tienen derecho a la acumulación de prestaciones solicitada, ya que ni se establece en la ley vigente [arts. 48.4 del texto refundido de la Ley del estatuto de los trabajadores, aprobado por el Real Decreto Legislativo 2/2015, de 23 de octubre (LET) y 177 y ss. LGSS] que cumple las exigencias del derecho de la Unión Europea ni tampoco se deduce de la Constitución ni de los acuerdos y tratados internacionales firmados por España, correspondiendo al legislador —y no a los tribunales— determinar el alcance y contenido de la protección que deba dispensarse a este tipo de familias.</w:t>
      </w:r>
    </w:p>
    <w:p w14:paraId="17321EE2" w14:textId="77777777" w:rsidR="00A8138F" w:rsidRDefault="00A8138F" w:rsidP="00A8138F">
      <w:pPr>
        <w:pStyle w:val="TextoNormal"/>
      </w:pPr>
    </w:p>
    <w:p w14:paraId="08D4B852" w14:textId="77777777" w:rsidR="00A8138F" w:rsidRDefault="00A8138F" w:rsidP="00A8138F">
      <w:pPr>
        <w:pStyle w:val="TextoNormal"/>
      </w:pPr>
      <w:r w:rsidRPr="00A8138F">
        <w:rPr>
          <w:rStyle w:val="NumeroAFNegritaCaracter"/>
        </w:rPr>
        <w:t>3</w:t>
      </w:r>
      <w:r>
        <w:t>. En la demanda de amparo se solicita que se declare vulnerado el derecho a la igualdad ante la ley y a la no discriminación por razón de sexo y nacimiento, así como la nulidad de las resoluciones del INSS y de las sentencias y del auto que las confirmaron, restableciendo a la recurrente en los derechos fundamentales vulnerados.</w:t>
      </w:r>
    </w:p>
    <w:p w14:paraId="6D6FAE09" w14:textId="77777777" w:rsidR="00A8138F" w:rsidRDefault="00A8138F" w:rsidP="00A8138F">
      <w:pPr>
        <w:pStyle w:val="TextoNormal"/>
      </w:pPr>
    </w:p>
    <w:p w14:paraId="0673282D" w14:textId="77777777" w:rsidR="00A8138F" w:rsidRDefault="00A8138F" w:rsidP="00A8138F">
      <w:pPr>
        <w:pStyle w:val="TextoNormal"/>
      </w:pPr>
      <w:r>
        <w:t>La demandante, tras justificar la especial trascendencia constitucional de la demanda y citar la normativa aplicable, sostiene que, en el caso de la prestación contributiva por nacimiento y cuidado de menor, la legislación española no ha indicado expresamente nada sobre las familias monoparentales. Afirma que la STS 169/2023, de la Sala de lo Social del Tribunal Supremo, viene a contradecir la doctrina judicial que se venía entendiendo aplicable por la mayoría de las salas de lo social de los tribunales superiores de justicia.</w:t>
      </w:r>
    </w:p>
    <w:p w14:paraId="41D51B3D" w14:textId="77777777" w:rsidR="00A8138F" w:rsidRDefault="00A8138F" w:rsidP="00A8138F">
      <w:pPr>
        <w:pStyle w:val="TextoNormal"/>
      </w:pPr>
    </w:p>
    <w:p w14:paraId="2F44940C" w14:textId="77777777" w:rsidR="00A8138F" w:rsidRDefault="00A8138F" w:rsidP="00A8138F">
      <w:pPr>
        <w:pStyle w:val="TextoNormal"/>
      </w:pPr>
      <w:r>
        <w:t>Afirma que se produce una discriminación indirecta por razón de género, puesto que de forma mayoritaria son las mujeres quienes constituyen el modelo de familia monoparental, excluidas por omisión del art. 48.4 LET y que, ante su aparente neutralidad, no considera que es sobre estas mujeres donde recae toda la responsabilidad del sustento y cuidados del menor, mermando su desarrollo profesional y realizando mayor gasto que una familia biparental, al contar con menor número de semanas de prestación.</w:t>
      </w:r>
    </w:p>
    <w:p w14:paraId="461B78B7" w14:textId="77777777" w:rsidR="00A8138F" w:rsidRDefault="00A8138F" w:rsidP="00A8138F">
      <w:pPr>
        <w:pStyle w:val="TextoNormal"/>
      </w:pPr>
    </w:p>
    <w:p w14:paraId="5F048558" w14:textId="77777777" w:rsidR="00A8138F" w:rsidRDefault="00A8138F" w:rsidP="00A8138F">
      <w:pPr>
        <w:pStyle w:val="TextoNormal"/>
      </w:pPr>
      <w:r>
        <w:lastRenderedPageBreak/>
        <w:t xml:space="preserve">En segundo lugar, sostiene que se ha ocasionado una vulneración del derecho a no ser discriminado por razón de nacimiento, al discriminarse al menor nacido en una familia monoparental, sin tener en cuenta la situación de necesidad del menor, quien depende económicamente de su único progenitor, no garantizándole las prestaciones sociales suficientes. Se ha producido una aplicación de la norma sin perspectiva de género y del interés superior del menor, ocasionando una discriminación por razón de nacimiento, al no justificarse el perjuicio causado a los derechos del menor nacido en familia monoparental, citando en su apoyo la STC 197/2003 de 30 de octubre, y la STJUE, de 16 de septiembre de 2010, </w:t>
      </w:r>
      <w:r w:rsidRPr="00A8138F">
        <w:rPr>
          <w:i/>
        </w:rPr>
        <w:t>Zoi Chatzi c. Ypourgos Oikonomikon</w:t>
      </w:r>
      <w:r>
        <w:t xml:space="preserve"> (asunto C-149-10).</w:t>
      </w:r>
    </w:p>
    <w:p w14:paraId="00497F9F" w14:textId="77777777" w:rsidR="00A8138F" w:rsidRDefault="00A8138F" w:rsidP="00A8138F">
      <w:pPr>
        <w:pStyle w:val="TextoNormal"/>
      </w:pPr>
    </w:p>
    <w:p w14:paraId="00C4EFE5" w14:textId="137350F8" w:rsidR="00A8138F" w:rsidRDefault="00A8138F" w:rsidP="00A8138F">
      <w:pPr>
        <w:pStyle w:val="TextoNormal"/>
      </w:pPr>
      <w:r>
        <w:t>Destaca que existe discriminación contra los menores nacidos en las familias monoparentales, que solo pueden ser cuidados dieciséis semanas, en relación con el tiempo que tienen los menores nacidos en familias biparentales. La interpretación efectuada obliga a las familias monoparentales, a quienes se les deniega la prestación, a optar para poder cuidar a sus hijos tras las dieciséis semanas iniciales, por una excedencia (con una reducción total de su sueldo) o a una reducción de su jornada (con una reducción proporcional de su sueldo y de sus oportunidades laborales) o a dejar a su bebé al cuidado de una tercera persona (con el coste económico que ello implica, además del perjuicio para el propio menor), mientras que en las familias de dos progenitores el menor sigue siendo cuidado por su progenitor.</w:t>
      </w:r>
    </w:p>
    <w:p w14:paraId="7B6E22C9" w14:textId="77777777" w:rsidR="00A8138F" w:rsidRDefault="00A8138F" w:rsidP="00A8138F">
      <w:pPr>
        <w:pStyle w:val="TextoNormal"/>
      </w:pPr>
    </w:p>
    <w:p w14:paraId="747C8D97" w14:textId="60597383" w:rsidR="00A8138F" w:rsidRDefault="00A8138F" w:rsidP="00A8138F">
      <w:pPr>
        <w:pStyle w:val="TextoNormal"/>
      </w:pPr>
      <w:r w:rsidRPr="00A8138F">
        <w:rPr>
          <w:rStyle w:val="NumeroAFNegritaCaracter"/>
        </w:rPr>
        <w:t>4</w:t>
      </w:r>
      <w:r>
        <w:t>. La Sección Tercera de este tribunal, mediante providencia de 21 de octubre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igualmente dirigir atenta comunicación a la Sala de lo Social del Tribunal Supremo y del Tribunal Superior de Justicia del Madrid, y al Juzgado de lo Social núm. 29 de Madrid,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w:t>
      </w:r>
    </w:p>
    <w:p w14:paraId="47762ECD" w14:textId="77777777" w:rsidR="00A8138F" w:rsidRDefault="00A8138F" w:rsidP="00A8138F">
      <w:pPr>
        <w:pStyle w:val="TextoNormal"/>
      </w:pPr>
    </w:p>
    <w:p w14:paraId="46BC43AA" w14:textId="77777777" w:rsidR="00A8138F" w:rsidRDefault="00A8138F" w:rsidP="00A8138F">
      <w:pPr>
        <w:pStyle w:val="TextoNormal"/>
      </w:pPr>
      <w:r w:rsidRPr="00A8138F">
        <w:rPr>
          <w:rStyle w:val="NumeroAFNegritaCaracter"/>
        </w:rPr>
        <w:t>5</w:t>
      </w:r>
      <w:r>
        <w:t>. La letrada de la administración de la Seguridad Social, con fecha 13 de febrero de 2025, presentó sus alegaciones en las que solicitaba que se desestimara el recurso de amparo y en el supuesto de estimación del recurso, se retrotrajeran las actuaciones para que el INSS dictase una nueva resolución administrativa, que resultase respetuosa con el derecho de la recurrente y con la normativa aplicable, limitando la ampliación del permiso y de la correspondiente prestación por nacimiento y cuidado del menor a ocho semanas.</w:t>
      </w:r>
    </w:p>
    <w:p w14:paraId="2E306FAB" w14:textId="77777777" w:rsidR="00A8138F" w:rsidRDefault="00A8138F" w:rsidP="00A8138F">
      <w:pPr>
        <w:pStyle w:val="TextoNormal"/>
      </w:pPr>
    </w:p>
    <w:p w14:paraId="1AD18ECB" w14:textId="77777777" w:rsidR="00A8138F" w:rsidRDefault="00A8138F" w:rsidP="00A8138F">
      <w:pPr>
        <w:pStyle w:val="TextoNormal"/>
      </w:pPr>
      <w:r>
        <w:t>La letrada de la administración de la Seguridad Social se refiere a los antecedentes del proceso de los que trae causa el recurso de amparo y a la regulación de la prestación de nacimiento y cuidado del menor en la Ley general de la Seguridad Social y en la Ley del estatuto de los trabajadores tras la reforma efectuada por el Real Decreto-ley 6/2019.</w:t>
      </w:r>
    </w:p>
    <w:p w14:paraId="1A1F21B3" w14:textId="77777777" w:rsidR="00A8138F" w:rsidRDefault="00A8138F" w:rsidP="00A8138F">
      <w:pPr>
        <w:pStyle w:val="TextoNormal"/>
      </w:pPr>
    </w:p>
    <w:p w14:paraId="7FDBBABF" w14:textId="77777777" w:rsidR="00A8138F" w:rsidRDefault="00A8138F" w:rsidP="00A8138F">
      <w:pPr>
        <w:pStyle w:val="TextoNormal"/>
      </w:pPr>
      <w:r>
        <w:t xml:space="preserve">Se refiere a la STC 140/2024, de 6 de noviembre, por la que el Tribunal ha decidido estimar la cuestión de inconstitucionalidad núm. 6694-2023 y ha declarado inconstitucionales los arts. 48.4 LET y 177 LGSS. Se detiene en la reproducción del fundamento jurídico </w:t>
      </w:r>
      <w:r>
        <w:lastRenderedPageBreak/>
        <w:t>séptimo, relativo al alcance del fallo y, a la vista de las sentencias posteriores que resuelven los recursos de amparo núm. 1084-2024, 1880-2024, 1845-2024 y 6078-2023 indica que, en el presente caso, al producirse el nacimiento del menor en el año 2020, conforme al artículo 2.18 del Real Decreto-Ley 6/2019, el otro progenitor contará con un periodo de suspensión total de doce semanas (no las dieciséis actuales), de las cuales las cuatro primeras deberá disfrutarlas de forma ininterrumpida inmediatamente tras el parto.</w:t>
      </w:r>
    </w:p>
    <w:p w14:paraId="0903BBFC" w14:textId="77777777" w:rsidR="00A8138F" w:rsidRDefault="00A8138F" w:rsidP="00A8138F">
      <w:pPr>
        <w:pStyle w:val="TextoNormal"/>
      </w:pPr>
    </w:p>
    <w:p w14:paraId="216F9EAF" w14:textId="7B21CA6A" w:rsidR="00A8138F" w:rsidRDefault="00A8138F" w:rsidP="00A8138F">
      <w:pPr>
        <w:pStyle w:val="TextoNormal"/>
      </w:pPr>
      <w:r>
        <w:t>Por tanto, a su juicio, la aplicación de la doctrina establecida en la STC 140/2024 conduce a que se amplíe la duración del permiso y de la prestación de nacimiento y cuidado del menor de la madre monoparental, no a la totalidad del período reconocido al otro progenitor distinto a la madre, doce semanas adicionales, sino a ocho semanas adicionales, al excluirse las cuatro primeras, que han de disfrutarse de forma ininterrumpida inmediatamente tras el parto, que se superponen necesariamente con el periodo de seis semanas inmediatamente posteriores al parto que la madre biológica debe disfrutar obligatoriamente de forma ininterrumpida.</w:t>
      </w:r>
    </w:p>
    <w:p w14:paraId="1351D213" w14:textId="77777777" w:rsidR="00A8138F" w:rsidRDefault="00A8138F" w:rsidP="00A8138F">
      <w:pPr>
        <w:pStyle w:val="TextoNormal"/>
      </w:pPr>
    </w:p>
    <w:p w14:paraId="01B12351" w14:textId="5B2C855C" w:rsidR="00A8138F" w:rsidRDefault="00A8138F" w:rsidP="00A8138F">
      <w:pPr>
        <w:pStyle w:val="TextoNormal"/>
      </w:pPr>
      <w:r w:rsidRPr="00A8138F">
        <w:rPr>
          <w:rStyle w:val="NumeroAFNegritaCaracter"/>
        </w:rPr>
        <w:t>6</w:t>
      </w:r>
      <w:r>
        <w:t>. El 19 de febrero de 2025, la representación procesal de la demandante presentó sus alegaciones en las que añade al fundamento de su pretensión de amparo la referencia a la STC 140/2024, que considera plenamente trasladable para resolver el recurso de amparo.</w:t>
      </w:r>
    </w:p>
    <w:p w14:paraId="168B6A78" w14:textId="77777777" w:rsidR="00A8138F" w:rsidRDefault="00A8138F" w:rsidP="00A8138F">
      <w:pPr>
        <w:pStyle w:val="TextoNormal"/>
      </w:pPr>
    </w:p>
    <w:p w14:paraId="6B8AADBC" w14:textId="77777777" w:rsidR="00A8138F" w:rsidRDefault="00A8138F" w:rsidP="00A8138F">
      <w:pPr>
        <w:pStyle w:val="TextoNormal"/>
      </w:pPr>
      <w:r w:rsidRPr="00A8138F">
        <w:rPr>
          <w:rStyle w:val="NumeroAFNegritaCaracter"/>
        </w:rPr>
        <w:t>7</w:t>
      </w:r>
      <w:r>
        <w:t>. El Ministerio Fiscal, con fecha 27 de febrero de 2025, interesó el otorgamiento del amparo, que se declarase la vulneración del derecho a no sufrir discriminación y restablecer a la demandante en su derecho anulando las resoluciones judiciales y administrativas. Añade que el INSS deberá contestar a la petición de ampliación efectuada por la recurrente respetando el derecho fundamental vulnerado y aplicando la normativa de acuerdo con el criterio de la STC 140/2024.</w:t>
      </w:r>
    </w:p>
    <w:p w14:paraId="797739D5" w14:textId="77777777" w:rsidR="00A8138F" w:rsidRDefault="00A8138F" w:rsidP="00A8138F">
      <w:pPr>
        <w:pStyle w:val="TextoNormal"/>
      </w:pPr>
    </w:p>
    <w:p w14:paraId="760F3D6C" w14:textId="77777777" w:rsidR="00A8138F" w:rsidRDefault="00A8138F" w:rsidP="00A8138F">
      <w:pPr>
        <w:pStyle w:val="TextoNormal"/>
      </w:pPr>
      <w:r>
        <w:t>En sus alegaciones se refiere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 CE, por haber nacido su hijo en una familia monoparental.</w:t>
      </w:r>
    </w:p>
    <w:p w14:paraId="3DB49DD1" w14:textId="77777777" w:rsidR="00A8138F" w:rsidRDefault="00A8138F" w:rsidP="00A8138F">
      <w:pPr>
        <w:pStyle w:val="TextoNormal"/>
      </w:pPr>
    </w:p>
    <w:p w14:paraId="3BA7BD09" w14:textId="5627D9DE" w:rsidR="00A8138F" w:rsidRDefault="00A8138F" w:rsidP="00A8138F">
      <w:pPr>
        <w:pStyle w:val="TextoNormal"/>
      </w:pPr>
      <w:r>
        <w:t>Afirma que el motivo de la vulneración del art. 14 CE de acuerdo con la STC 140/2024 es el derecho a la no discriminación, porque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el cuidado del hijo de hasta doce meses de edad, por la regulación de la suspensión del contrato de trabajo (art. 48.4 LET).</w:t>
      </w:r>
    </w:p>
    <w:p w14:paraId="49BEE07F" w14:textId="77777777" w:rsidR="00A8138F" w:rsidRDefault="00A8138F" w:rsidP="00A8138F">
      <w:pPr>
        <w:pStyle w:val="TextoNormal"/>
      </w:pPr>
    </w:p>
    <w:p w14:paraId="25259194" w14:textId="3C4314B6" w:rsidR="00A8138F" w:rsidRDefault="00A8138F" w:rsidP="00A8138F">
      <w:pPr>
        <w:pStyle w:val="TextoNormal"/>
      </w:pPr>
      <w:r w:rsidRPr="00A8138F">
        <w:rPr>
          <w:rStyle w:val="NumeroAFNegritaCaracter"/>
        </w:rPr>
        <w:t>8</w:t>
      </w:r>
      <w:r>
        <w:t>. Mediante diligencia del secretario de justicia de la Sección Tercera de 3 de marzo de 2025, se hizo constar haber recibido los precedentes escritos de alegaciones y que quedaba el presente recurso de amparo pendiente para deliberación cuando por turno corresponda.</w:t>
      </w:r>
    </w:p>
    <w:p w14:paraId="2CE7E10B" w14:textId="77777777" w:rsidR="00A8138F" w:rsidRDefault="00A8138F" w:rsidP="00A8138F">
      <w:pPr>
        <w:pStyle w:val="TextoNormal"/>
      </w:pPr>
    </w:p>
    <w:p w14:paraId="66C2C312" w14:textId="58C26F84" w:rsidR="00A8138F" w:rsidRDefault="00A8138F" w:rsidP="00A8138F">
      <w:pPr>
        <w:pStyle w:val="TextoNormal"/>
      </w:pPr>
      <w:r w:rsidRPr="00A8138F">
        <w:rPr>
          <w:rStyle w:val="NumeroAFNegritaCaracter"/>
        </w:rPr>
        <w:t>9</w:t>
      </w:r>
      <w:r>
        <w:t>. Mediante providencia de 20 de marzo de 2025, se señaló para deliberación y votación de la presente sentencia el día 24 del mismo mes y año.</w:t>
      </w:r>
    </w:p>
    <w:p w14:paraId="5CC13352" w14:textId="77777777" w:rsidR="00A8138F" w:rsidRDefault="00A8138F" w:rsidP="00A8138F">
      <w:pPr>
        <w:pStyle w:val="TextoNormal"/>
      </w:pPr>
    </w:p>
    <w:p w14:paraId="1817059D" w14:textId="77777777" w:rsidR="00A8138F" w:rsidRDefault="00A8138F" w:rsidP="00A8138F">
      <w:pPr>
        <w:pStyle w:val="TextoNormalNegritaCentrado"/>
        <w:keepNext/>
      </w:pPr>
      <w:r>
        <w:t>II. Fundamentos jurídicos</w:t>
      </w:r>
    </w:p>
    <w:p w14:paraId="336BC1AB" w14:textId="47F188B9" w:rsidR="00A8138F" w:rsidRDefault="00A8138F" w:rsidP="00A8138F">
      <w:pPr>
        <w:pStyle w:val="TextoNormalNegritaCentrado"/>
        <w:keepNext/>
      </w:pPr>
    </w:p>
    <w:p w14:paraId="67FB8C16"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w:t>
      </w:r>
    </w:p>
    <w:p w14:paraId="25482FD6" w14:textId="77777777" w:rsidR="00A8138F" w:rsidRDefault="00A8138F" w:rsidP="00A8138F">
      <w:pPr>
        <w:pStyle w:val="TextoNormal"/>
      </w:pPr>
    </w:p>
    <w:p w14:paraId="072EF6BF" w14:textId="77777777" w:rsidR="00A8138F" w:rsidRDefault="00A8138F" w:rsidP="00A8138F">
      <w:pPr>
        <w:pStyle w:val="TextoNormal"/>
      </w:pPr>
      <w:r>
        <w:t>El objeto del presente proceso es dilucidar si las resoluciones administrativas y judiciales impugnadas han ocasionado a la demandante una discriminación por razón de nacimiento contraria al art. 14 CE en relación con el art. 39 CE, al aplicar el art. 48.4 LET en relación con el art. 177 LGSS, en la redacción dada a los mismos por el Real Decreto-ley 6/2019.</w:t>
      </w:r>
    </w:p>
    <w:p w14:paraId="760A923F" w14:textId="77777777" w:rsidR="00A8138F" w:rsidRDefault="00A8138F" w:rsidP="00A8138F">
      <w:pPr>
        <w:pStyle w:val="TextoNormal"/>
      </w:pPr>
    </w:p>
    <w:p w14:paraId="5CC21B93" w14:textId="77777777" w:rsidR="00A8138F" w:rsidRDefault="00A8138F" w:rsidP="00A8138F">
      <w:pPr>
        <w:pStyle w:val="TextoNormal"/>
      </w:pPr>
      <w:r>
        <w:t>El Ministerio Fiscal interesa la estimación del recurso en aplicación de la doctrina constitucional fijada en la STC 140/2024; la letrada de la administración de la Seguridad Social su desestimación y añade que en caso de estimación se retrotraigan las actuaciones para que el INSS dicte una nueva resolución administrativa que resulte respetuosa con el derecho de la recurrente y con la normativa aplicable.</w:t>
      </w:r>
    </w:p>
    <w:p w14:paraId="6D9D53C0" w14:textId="77777777" w:rsidR="00A8138F" w:rsidRDefault="00A8138F" w:rsidP="00A8138F">
      <w:pPr>
        <w:pStyle w:val="TextoNormal"/>
      </w:pPr>
    </w:p>
    <w:p w14:paraId="7D9F1BE5" w14:textId="77777777" w:rsidR="00A8138F" w:rsidRDefault="00A8138F" w:rsidP="00A8138F">
      <w:pPr>
        <w:pStyle w:val="TextoNormal"/>
      </w:pPr>
      <w:r>
        <w:t>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3EC61918" w14:textId="77777777" w:rsidR="00A8138F" w:rsidRDefault="00A8138F" w:rsidP="00A8138F">
      <w:pPr>
        <w:pStyle w:val="TextoNormal"/>
      </w:pPr>
    </w:p>
    <w:p w14:paraId="104EB839"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del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4E802568" w14:textId="77777777" w:rsidR="00A8138F" w:rsidRDefault="00A8138F" w:rsidP="00A8138F">
      <w:pPr>
        <w:pStyle w:val="TextoNormal"/>
      </w:pPr>
    </w:p>
    <w:p w14:paraId="4B743C52"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w:t>
      </w:r>
      <w:r>
        <w:lastRenderedPageBreak/>
        <w:t>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01C57CA1" w14:textId="77777777" w:rsidR="00A8138F" w:rsidRDefault="00A8138F" w:rsidP="00A8138F">
      <w:pPr>
        <w:pStyle w:val="TextoNormal"/>
      </w:pPr>
    </w:p>
    <w:p w14:paraId="382FB699" w14:textId="2B23C12E" w:rsidR="00A8138F" w:rsidRDefault="00A8138F" w:rsidP="00A8138F">
      <w:pPr>
        <w:pStyle w:val="TextoNormal"/>
      </w:pPr>
      <w:r>
        <w:t>En consecuencia, debe estimarse la demanda y otorgar el amparo solicitado, con nulidad de las resoluciones impugnadas y, como concretamos en la referida STC 140/2024, FJ 7, en tanto el legislador no lleve a cabo la consiguiente reforma normativa, en las familias monoparentales el permiso al que hace referencia el art. 48.4 LET, y la prestación regulada en el art. 177 LGSS, han de ser interpretados en el sentido de adicionarse al permiso del primer párrafo para la madre biológica el previsto en el segundo para progenitor distinto, al excluirse las primeras semanas que necesariamente deben disfrutarse de forma ininterrumpida e inmediatamente posterior al parto.</w:t>
      </w:r>
    </w:p>
    <w:p w14:paraId="1FCA27A9" w14:textId="77777777" w:rsidR="00A8138F" w:rsidRDefault="00A8138F" w:rsidP="00A8138F">
      <w:pPr>
        <w:pStyle w:val="TextoNormal"/>
      </w:pPr>
    </w:p>
    <w:p w14:paraId="331271EF" w14:textId="77777777" w:rsidR="00A8138F" w:rsidRDefault="00A8138F" w:rsidP="00A8138F">
      <w:pPr>
        <w:pStyle w:val="TextoNormalCentrado"/>
        <w:keepNext/>
      </w:pPr>
      <w:r>
        <w:t>FALLO</w:t>
      </w:r>
    </w:p>
    <w:p w14:paraId="6C713225" w14:textId="4D9DA010" w:rsidR="00A8138F" w:rsidRDefault="00A8138F" w:rsidP="00A8138F">
      <w:pPr>
        <w:pStyle w:val="TextoNormalCentrado"/>
        <w:keepNext/>
      </w:pPr>
    </w:p>
    <w:p w14:paraId="2BE31530" w14:textId="77777777" w:rsidR="00A8138F" w:rsidRDefault="00A8138F" w:rsidP="00A8138F">
      <w:pPr>
        <w:pStyle w:val="TextoNormal"/>
      </w:pPr>
      <w:r>
        <w:t>En atención a todo lo expuesto, el Tribunal Constitucional, por la autoridad que le confiere la Constitución de la Nación española, ha decidido:</w:t>
      </w:r>
    </w:p>
    <w:p w14:paraId="317A9537" w14:textId="77777777" w:rsidR="00A8138F" w:rsidRDefault="00A8138F" w:rsidP="00A8138F">
      <w:pPr>
        <w:pStyle w:val="TextoNormal"/>
      </w:pPr>
    </w:p>
    <w:p w14:paraId="6B091FF6" w14:textId="77777777" w:rsidR="00A8138F" w:rsidRDefault="00A8138F" w:rsidP="00A8138F">
      <w:pPr>
        <w:pStyle w:val="TextoNormal"/>
      </w:pPr>
      <w:r>
        <w:t>1º Estimar la demanda presentada por doña Ángela María Tapia Raya por vulneración del derecho fundamental a la igualdad ante la ley sin discriminación por razón de nacimiento (art. 14 CE), con reconocimiento de tal derecho.</w:t>
      </w:r>
    </w:p>
    <w:p w14:paraId="4596C6C6" w14:textId="77777777" w:rsidR="00A8138F" w:rsidRDefault="00A8138F" w:rsidP="00A8138F">
      <w:pPr>
        <w:pStyle w:val="TextoNormal"/>
      </w:pPr>
    </w:p>
    <w:p w14:paraId="66B91B0F" w14:textId="77777777" w:rsidR="00A8138F" w:rsidRDefault="00A8138F" w:rsidP="00A8138F">
      <w:pPr>
        <w:pStyle w:val="TextoNormal"/>
      </w:pPr>
      <w:r>
        <w:t>2º Declarar la nulidad de las resoluciones del INSS que desestimaron por silencio administrativo la solicitud y la reclamación previa de ampliación de la prestación por nacimiento y cuidado de su hija menor; de la sentencia núm. 181/2022 del Juzgado de lo Social núm. 29 de Madrid, de 26 de abril de 2022 —autos núm. 718-2021—; de la sentencia núm. 304/2023 de la Sala de lo Social del Tribunal Superior de Justicia de Madrid, de 22 de marzo de 2023 que desestimó el recurso de suplicación núm. 1291-2022, y del auto de 3 de abril de 2024, de la Sala de lo Social del Tribunal Supremo que inadmitió el recurso de casación para la unificación de doctrina núm. 2274-2023.</w:t>
      </w:r>
    </w:p>
    <w:p w14:paraId="23BFE2D9" w14:textId="77777777" w:rsidR="00A8138F" w:rsidRDefault="00A8138F" w:rsidP="00A8138F">
      <w:pPr>
        <w:pStyle w:val="TextoNormal"/>
      </w:pPr>
    </w:p>
    <w:p w14:paraId="787DDD12" w14:textId="0DCDCA8B" w:rsidR="00A8138F" w:rsidRDefault="00A8138F" w:rsidP="00A8138F">
      <w:pPr>
        <w:pStyle w:val="TextoNormal"/>
      </w:pPr>
      <w:r>
        <w:t>3º Retrotraer las actuaciones al momento previo al dictado de las resoluciones del INSS, a fin de que, en los términos expuestos en el último párrafo del fundamento jurídico único se dicte otra respetuosa con el derecho de la recurrente cuya vulneración ha sido declarada.</w:t>
      </w:r>
    </w:p>
    <w:p w14:paraId="6A900D98" w14:textId="77777777" w:rsidR="00A8138F" w:rsidRDefault="00A8138F" w:rsidP="00A8138F">
      <w:pPr>
        <w:pStyle w:val="TextoNormal"/>
      </w:pPr>
    </w:p>
    <w:p w14:paraId="1ABF5B48" w14:textId="77777777" w:rsidR="00A8138F" w:rsidRDefault="00A8138F" w:rsidP="00A8138F">
      <w:pPr>
        <w:pStyle w:val="TextoNormal"/>
      </w:pPr>
      <w:r>
        <w:t>Publíquese esta sentencia en el “Boletín Oficial del Estado”.</w:t>
      </w:r>
    </w:p>
    <w:p w14:paraId="1A38E512" w14:textId="77777777" w:rsidR="00A8138F" w:rsidRDefault="00A8138F" w:rsidP="00A8138F">
      <w:pPr>
        <w:pStyle w:val="TextoNormal"/>
      </w:pPr>
      <w:r>
        <w:t>Dada en Madrid, a veinticuatro de marzo de dos mil veinticinco.</w:t>
      </w:r>
    </w:p>
    <w:p w14:paraId="2EBF4103" w14:textId="7A2DC9A2" w:rsidR="00A8138F" w:rsidRDefault="00A8138F">
      <w:pPr>
        <w:spacing w:after="160" w:line="278" w:lineRule="auto"/>
        <w:rPr>
          <w:rFonts w:ascii="Times New Roman" w:eastAsia="Times New Roman" w:hAnsi="Times New Roman" w:cs="Times New Roman"/>
          <w:sz w:val="24"/>
          <w:szCs w:val="24"/>
          <w:lang w:eastAsia="es-ES"/>
        </w:rPr>
      </w:pPr>
      <w:r>
        <w:br w:type="page"/>
      </w:r>
    </w:p>
    <w:p w14:paraId="018695BB" w14:textId="77777777" w:rsidR="00A8138F" w:rsidRDefault="00A8138F" w:rsidP="00A8138F">
      <w:pPr>
        <w:pStyle w:val="TtuloResolucin"/>
      </w:pPr>
      <w:bookmarkStart w:id="74" w:name="SENTENCIA_2025_72"/>
      <w:r>
        <w:lastRenderedPageBreak/>
        <w:t>SENTENCIA 72/2025, de 24 de marzo de 2025</w:t>
      </w:r>
    </w:p>
    <w:bookmarkEnd w:id="74"/>
    <w:p w14:paraId="0AA02D2B" w14:textId="77777777" w:rsidR="00A8138F" w:rsidRDefault="00A8138F" w:rsidP="00A8138F">
      <w:pPr>
        <w:pStyle w:val="TtuloResolucin"/>
      </w:pPr>
      <w:r>
        <w:t>Sala Segunda</w:t>
      </w:r>
    </w:p>
    <w:p w14:paraId="64CD1B61" w14:textId="77777777" w:rsidR="00A8138F" w:rsidRDefault="00A8138F" w:rsidP="00A8138F">
      <w:pPr>
        <w:pStyle w:val="TtuloBOE"/>
      </w:pPr>
      <w:r>
        <w:t>(BOE núm. 109, de 6 de mayo de 2025)</w:t>
      </w:r>
    </w:p>
    <w:p w14:paraId="4B28215D" w14:textId="77777777" w:rsidR="00A8138F" w:rsidRDefault="00A8138F" w:rsidP="00A8138F">
      <w:pPr>
        <w:pStyle w:val="TextoNormalCentrado"/>
      </w:pPr>
      <w:r>
        <w:t>ECLI:ES:TC:2025:72</w:t>
      </w:r>
    </w:p>
    <w:p w14:paraId="3D32097B" w14:textId="43A279D1" w:rsidR="00A8138F" w:rsidRDefault="00A8138F" w:rsidP="00A8138F">
      <w:pPr>
        <w:pStyle w:val="TextoNormalCentrado"/>
      </w:pPr>
    </w:p>
    <w:p w14:paraId="731B2AC2" w14:textId="77777777" w:rsidR="00A8138F" w:rsidRDefault="00A8138F" w:rsidP="00A8138F">
      <w:pPr>
        <w:pStyle w:val="SntesisDescriptiva"/>
      </w:pPr>
      <w:r>
        <w:t>Recurso de amparo 4734-2024. Promovido por doña Raquel García Pérez en relación con las resoluciones administrativas y judiciales que desestimaron su petición de revisión y ampliación de la prestación por nacimiento y cuidado de hijo menor, como madre biológica de familia monoparental.</w:t>
      </w:r>
    </w:p>
    <w:p w14:paraId="30CCA5AB" w14:textId="2BDA5C7E" w:rsidR="00A8138F" w:rsidRDefault="00A8138F" w:rsidP="00A8138F">
      <w:pPr>
        <w:pStyle w:val="SntesisDescriptiva"/>
      </w:pPr>
    </w:p>
    <w:p w14:paraId="7A6366B3"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6F60652" w14:textId="4D34B728" w:rsidR="00A8138F" w:rsidRDefault="00A8138F" w:rsidP="00A8138F">
      <w:pPr>
        <w:pStyle w:val="SntesisAnaltica"/>
      </w:pPr>
    </w:p>
    <w:p w14:paraId="336FA59C" w14:textId="5D31158E"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1DB53BC4" w14:textId="77777777" w:rsidR="00A8138F" w:rsidRDefault="00A8138F" w:rsidP="00A8138F">
      <w:pPr>
        <w:pStyle w:val="Extracto"/>
      </w:pPr>
    </w:p>
    <w:p w14:paraId="61C40A88" w14:textId="77777777" w:rsidR="00A8138F" w:rsidRDefault="00A8138F" w:rsidP="00A8138F">
      <w:pPr>
        <w:pStyle w:val="Extracto"/>
      </w:pPr>
    </w:p>
    <w:p w14:paraId="02465480"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949CAC8" w14:textId="21E5A70D" w:rsidR="00A8138F" w:rsidRDefault="00A8138F" w:rsidP="00A8138F">
      <w:pPr>
        <w:pStyle w:val="TextoNormal"/>
      </w:pPr>
    </w:p>
    <w:p w14:paraId="763E9B58" w14:textId="77777777" w:rsidR="00A8138F" w:rsidRDefault="00A8138F" w:rsidP="00A8138F">
      <w:pPr>
        <w:pStyle w:val="TextoNormalCentrado"/>
        <w:keepNext/>
      </w:pPr>
      <w:r>
        <w:t>EN NOMBRE DEL REY</w:t>
      </w:r>
    </w:p>
    <w:p w14:paraId="755F9ADD" w14:textId="6FC51189" w:rsidR="00A8138F" w:rsidRDefault="00A8138F" w:rsidP="00A8138F">
      <w:pPr>
        <w:pStyle w:val="TextoNormalCentrado"/>
        <w:keepNext/>
      </w:pPr>
    </w:p>
    <w:p w14:paraId="0964E2B8" w14:textId="77777777" w:rsidR="00A8138F" w:rsidRDefault="00A8138F" w:rsidP="00A8138F">
      <w:pPr>
        <w:pStyle w:val="TextoNormalCentrado"/>
        <w:keepNext/>
      </w:pPr>
    </w:p>
    <w:p w14:paraId="715CB547" w14:textId="77777777" w:rsidR="00A8138F" w:rsidRDefault="00A8138F" w:rsidP="00A8138F">
      <w:pPr>
        <w:pStyle w:val="TextoNormal"/>
      </w:pPr>
      <w:r>
        <w:t>la siguiente</w:t>
      </w:r>
    </w:p>
    <w:p w14:paraId="7DAB49F5" w14:textId="2F412607" w:rsidR="00A8138F" w:rsidRDefault="00A8138F" w:rsidP="00A8138F">
      <w:pPr>
        <w:pStyle w:val="TextoNormal"/>
      </w:pPr>
    </w:p>
    <w:p w14:paraId="0E21CA31" w14:textId="77777777" w:rsidR="00A8138F" w:rsidRDefault="00A8138F" w:rsidP="00A8138F">
      <w:pPr>
        <w:pStyle w:val="TextoNormalCentrado"/>
        <w:keepNext/>
      </w:pPr>
      <w:r>
        <w:t>SENTENCIA</w:t>
      </w:r>
    </w:p>
    <w:p w14:paraId="12EDED11" w14:textId="4CAC6EC1" w:rsidR="00A8138F" w:rsidRDefault="00A8138F" w:rsidP="00A8138F">
      <w:pPr>
        <w:pStyle w:val="TextoNormalCentrado"/>
        <w:keepNext/>
      </w:pPr>
    </w:p>
    <w:p w14:paraId="441A3403" w14:textId="77777777" w:rsidR="00A8138F" w:rsidRDefault="00A8138F" w:rsidP="00A8138F">
      <w:pPr>
        <w:pStyle w:val="TextoNormal"/>
      </w:pPr>
      <w:r>
        <w:t>En el recurso de amparo núm. 4734-2024, promovido por doña Raquel García Pérez, representada por la procuradora de los tribunales doña María Isabel Torres Ruiz y bajo la dirección de la letrada doña Olga Georgina Marquina Pompido, contra la sentencia núm. 704/2024, de 22 de mayo, de la Sala de lo Social del Tribunal Supremo, que estima el recurso de casación para unificación de doctrina núm. 1063-2023, interpuesto contra la sentencia núm. 6472/2022, de 2 de diciembre, dictada por la Sala de lo Social del Tribunal Superior de Justicia de Cataluña, en el recurso de suplicación núm. 1645-2022, que confirmó la sentencia núm. 426 /2021, de 20 de diciembre, dictada por el Juzgado de lo Social núm. 22 de Barcelona, autos 854-2021, que a su vez había estimado la demanda interpuesta contra las resoluciones de 7 de septiembre y 7 de octubre de 2021 dictadas por el Instituto Nacional de la Seguridad Social por las que se denegaba la ampliación de la prestación de nacimiento y cuidado de menor. Ha intervenido el Ministerio Fiscal. Ha sido ponente el magistrado don César Tolosa Tribiño.</w:t>
      </w:r>
    </w:p>
    <w:p w14:paraId="005DC504" w14:textId="4C9D2827" w:rsidR="00A8138F" w:rsidRDefault="00A8138F" w:rsidP="00A8138F">
      <w:pPr>
        <w:pStyle w:val="TextoNormal"/>
      </w:pPr>
    </w:p>
    <w:p w14:paraId="66124615" w14:textId="77777777" w:rsidR="00A8138F" w:rsidRDefault="00A8138F" w:rsidP="00A8138F">
      <w:pPr>
        <w:pStyle w:val="TextoNormalNegritaCentrado"/>
        <w:keepNext/>
      </w:pPr>
      <w:r>
        <w:t>I. Antecedentes</w:t>
      </w:r>
    </w:p>
    <w:p w14:paraId="26112AD0" w14:textId="7BA43856" w:rsidR="00A8138F" w:rsidRDefault="00A8138F" w:rsidP="00A8138F">
      <w:pPr>
        <w:pStyle w:val="TextoNormalNegritaCentrado"/>
        <w:keepNext/>
      </w:pPr>
    </w:p>
    <w:p w14:paraId="52E57B5E" w14:textId="3C0A4F38" w:rsidR="00A8138F" w:rsidRDefault="00A8138F" w:rsidP="00A8138F">
      <w:pPr>
        <w:pStyle w:val="TextoNormal"/>
      </w:pPr>
      <w:r w:rsidRPr="00A8138F">
        <w:rPr>
          <w:rStyle w:val="NumeroAFNegritaCaracter"/>
        </w:rPr>
        <w:t>1</w:t>
      </w:r>
      <w:r>
        <w:t>. El 20 de junio de 2024, doña Raquel García Pérez, con la representación y defensa indicadas, interpuso recurso de amparo contra la sentencia núm. 704/2024, de 22 de mayo, de la Sala de lo Social del Tribunal Supremo, que anuló las sentencias de la Sala de lo Social del Tribunal Superior de Justicia de Cataluña y del Juzgado de lo Social núm. 22 de Barcelona y, consecuentemente, desestimó la demanda y confirmó las resoluciones del Instituto Nacional de la Seguridad Social (INSS).</w:t>
      </w:r>
    </w:p>
    <w:p w14:paraId="48E37B56" w14:textId="77777777" w:rsidR="00A8138F" w:rsidRDefault="00A8138F" w:rsidP="00A8138F">
      <w:pPr>
        <w:pStyle w:val="TextoNormal"/>
      </w:pPr>
    </w:p>
    <w:p w14:paraId="1519D6A6"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5BFB1F88" w14:textId="77777777" w:rsidR="00A8138F" w:rsidRDefault="00A8138F" w:rsidP="00A8138F">
      <w:pPr>
        <w:pStyle w:val="TextoNormal"/>
      </w:pPr>
    </w:p>
    <w:p w14:paraId="3F2556E0" w14:textId="77777777" w:rsidR="00A8138F" w:rsidRDefault="00A8138F" w:rsidP="00A8138F">
      <w:pPr>
        <w:pStyle w:val="TextoNormal"/>
      </w:pPr>
      <w:r>
        <w:t>A) La demandante de amparo, con motivo del nacimiento de su hija el 17 de mayo de 2021, en el seno de una familia monoparental, solicitó prestación por nacimiento y cuidado de la menor que le fue reconocida con una duración de dieciséis semanas.</w:t>
      </w:r>
    </w:p>
    <w:p w14:paraId="2C8BA133" w14:textId="77777777" w:rsidR="00A8138F" w:rsidRDefault="00A8138F" w:rsidP="00A8138F">
      <w:pPr>
        <w:pStyle w:val="TextoNormal"/>
      </w:pPr>
    </w:p>
    <w:p w14:paraId="3439A700" w14:textId="77777777" w:rsidR="00A8138F" w:rsidRDefault="00A8138F" w:rsidP="00A8138F">
      <w:pPr>
        <w:pStyle w:val="TextoNormal"/>
      </w:pPr>
      <w:r>
        <w:t>B) Tras ser desestimada por el INSS la solicitud de que se revisara la anterior prestación y se le reconocieran otras doce o dieciséis semanas adicionales, así como la reclamación previa en vía administrativa por resoluciones de 7 de septiembre y 7 de octubre de 2021, interpuso una demanda contra el INSS y la Tesorería General de la Seguridad Social (TGSS). Alegaba que la desestimación de la acumulación solicitada constituía una discriminación de los derechos de la mujer y del niño con relación a la situación regulada para la familia biparental cuando el menor está a cargo y cuidado de sus dos progenitores.</w:t>
      </w:r>
    </w:p>
    <w:p w14:paraId="7E72623E" w14:textId="77777777" w:rsidR="00A8138F" w:rsidRDefault="00A8138F" w:rsidP="00A8138F">
      <w:pPr>
        <w:pStyle w:val="TextoNormal"/>
      </w:pPr>
    </w:p>
    <w:p w14:paraId="614F8A52" w14:textId="77777777" w:rsidR="00A8138F" w:rsidRDefault="00A8138F" w:rsidP="00A8138F">
      <w:pPr>
        <w:pStyle w:val="TextoNormal"/>
      </w:pPr>
      <w:r>
        <w:t>C) A la demanda se opuso el INSS con el argumento que no se prevé la suma de los dos períodos que solicita la demandante, pues la ley lo prohíbe expresamente por tratarse de un derecho intransferible y que la inexistencia de otro progenitor determina el incumplimiento de los requisitos de afiliación, alta y cotización exigido al progenitor distinto de la madre biológica y que no puede atenerse a la protección del menor como criterio decisivo.</w:t>
      </w:r>
    </w:p>
    <w:p w14:paraId="473DC719" w14:textId="77777777" w:rsidR="00A8138F" w:rsidRDefault="00A8138F" w:rsidP="00A8138F">
      <w:pPr>
        <w:pStyle w:val="TextoNormal"/>
      </w:pPr>
    </w:p>
    <w:p w14:paraId="24217D37" w14:textId="77777777" w:rsidR="00A8138F" w:rsidRDefault="00A8138F" w:rsidP="00A8138F">
      <w:pPr>
        <w:pStyle w:val="TextoNormal"/>
      </w:pPr>
      <w:r>
        <w:t>D) El Juzgado de lo Social núm. 22 de Barcelona dictó sentencia núm. 426/2021, de 20 de diciembre, en la que estimó la demanda y declaró el derecho de la actora a percibir la prestación por nacimiento de hija durante treinta y dos semanas, de las cuales ya había disfrutado dieciséis.</w:t>
      </w:r>
    </w:p>
    <w:p w14:paraId="6892867C" w14:textId="77777777" w:rsidR="00A8138F" w:rsidRDefault="00A8138F" w:rsidP="00A8138F">
      <w:pPr>
        <w:pStyle w:val="TextoNormal"/>
      </w:pPr>
    </w:p>
    <w:p w14:paraId="43001F34" w14:textId="77777777" w:rsidR="00A8138F" w:rsidRDefault="00A8138F" w:rsidP="00A8138F">
      <w:pPr>
        <w:pStyle w:val="TextoNormal"/>
      </w:pPr>
      <w:r>
        <w:t>E) Frente a dicha sentencia el INSS interpuso recurso de suplicación en el que alegaba la infracción de los arts. 177 y 178 del texto refundido de la Ley general de la Seguridad Social aprobado por el Real Decreto Legislativo 8/2015 (LGSS) así como del art. 48.4 del texto refundido de la Ley del estatuto de los trabajadores aprobado por el Real Decreto Legislativo 2/2015 (LET) y solicitó que se revocara la sentencia y en su caso que se descontaran las cuatro semanas que debía disfrutar el otro progenitor inmediatamente después del parto. Dicho recurso fue impugnado por la demandante.</w:t>
      </w:r>
    </w:p>
    <w:p w14:paraId="56E46C9E" w14:textId="77777777" w:rsidR="00A8138F" w:rsidRDefault="00A8138F" w:rsidP="00A8138F">
      <w:pPr>
        <w:pStyle w:val="TextoNormal"/>
      </w:pPr>
    </w:p>
    <w:p w14:paraId="1E05C019" w14:textId="77777777" w:rsidR="00A8138F" w:rsidRDefault="00A8138F" w:rsidP="00A8138F">
      <w:pPr>
        <w:pStyle w:val="TextoNormal"/>
      </w:pPr>
      <w:r>
        <w:t>F) Por sentencia núm. 6472/2022, de 2 de diciembre, dictada por la Sala de lo Social del Tribunal Superior de Cataluña, se desestimó el recurso de suplicación interpuesto por el INSS y se confirmó la sentencia dictada por el Juzgado de lo Social núm. 22 de Barcelona.</w:t>
      </w:r>
    </w:p>
    <w:p w14:paraId="743133C3" w14:textId="77777777" w:rsidR="00A8138F" w:rsidRDefault="00A8138F" w:rsidP="00A8138F">
      <w:pPr>
        <w:pStyle w:val="TextoNormal"/>
      </w:pPr>
    </w:p>
    <w:p w14:paraId="29D1A2B9" w14:textId="77777777" w:rsidR="00A8138F" w:rsidRDefault="00A8138F" w:rsidP="00A8138F">
      <w:pPr>
        <w:pStyle w:val="TextoNormal"/>
      </w:pPr>
      <w:r>
        <w:lastRenderedPageBreak/>
        <w:t>G) Contra dicha sentencia se interpuso por el INSS recurso de casación para la unificación de doctrina, invocando como sentencia contradictoria la 3020/2021, de 19 de octubre, dictada por la Sala de lo Social del Tribunal Superior de Justicia de la Comunidad Valenciana (ECLI:ES:TSJCV:2021:4451) y como infringidos los arts. 177 a 180 LGSS y 48.4 LET. El recurso fue estimado por la sentencia núm. 704/2024, de 22 de mayo, de la Sala de lo Social del Tribunal Supremo, anulando la sentencia recurrida y revocando la sentencia del Juzgado de lo Social núm. 22 de Barcelona y, consecuentemente, desestimando la demanda y absolviendo al INSS y a la TGSS de las pretensiones en su contra deducidas.</w:t>
      </w:r>
    </w:p>
    <w:p w14:paraId="71B17200" w14:textId="77777777" w:rsidR="00A8138F" w:rsidRDefault="00A8138F" w:rsidP="00A8138F">
      <w:pPr>
        <w:pStyle w:val="TextoNormal"/>
      </w:pPr>
    </w:p>
    <w:p w14:paraId="5748F5AB" w14:textId="77777777" w:rsidR="00A8138F" w:rsidRDefault="00A8138F" w:rsidP="00A8138F">
      <w:pPr>
        <w:pStyle w:val="TextoNormal"/>
      </w:pPr>
      <w:r>
        <w:t>La sentencia indica que sobre dicha cuestión el Pleno de la Sala de lo Social del Tribunal Supremo ya ha tenido ocasión de pronunciarse en la STS 169/2023, de 2 de marzo (ECLI:ES:TS:2023:783), reiterada luego por las SSTS 434/2023, de 14 de junio (ECLI:ES:TS:2023:3053), 1136/2023 (ECLI:ES:TS:2023:5495) y 1139/2023 (ECLI:ES:TS:2023:6000), ambas de 12 de diciembre o las núm. 325/2024 (ECLI:ES:TS:2024:1274) y 326/2024 (ECLI:ES:TS:2024:1457), ambas de 21 de febrero. Recuerda las razones expuestas en dicha sentencia:</w:t>
      </w:r>
    </w:p>
    <w:p w14:paraId="5DE0A5D3" w14:textId="77777777" w:rsidR="00A8138F" w:rsidRDefault="00A8138F" w:rsidP="00A8138F">
      <w:pPr>
        <w:pStyle w:val="TextoNormal"/>
      </w:pPr>
    </w:p>
    <w:p w14:paraId="3C27C736" w14:textId="77777777" w:rsidR="00A8138F" w:rsidRDefault="00A8138F" w:rsidP="00A8138F">
      <w:pPr>
        <w:pStyle w:val="TextoNormal"/>
      </w:pPr>
      <w:r>
        <w:t>a)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 48.4 LET.</w:t>
      </w:r>
    </w:p>
    <w:p w14:paraId="1C114670" w14:textId="77777777" w:rsidR="00A8138F" w:rsidRDefault="00A8138F" w:rsidP="00A8138F">
      <w:pPr>
        <w:pStyle w:val="TextoNormal"/>
      </w:pPr>
    </w:p>
    <w:p w14:paraId="2C49CAAE" w14:textId="77777777" w:rsidR="00A8138F" w:rsidRDefault="00A8138F" w:rsidP="00A8138F">
      <w:pPr>
        <w:pStyle w:val="TextoNormal"/>
      </w:pPr>
      <w:r>
        <w:t>b)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 48.4 LET en el siguiente sentido: “en el supuesto de familias monoparentales, la persona trabajadora podrá acumular el tiempo de permiso que correspondería a la otra persona trabajadora si la hubiera. (‘Diario Oficial del Senado’, de 8 de febrero de 2023)”.</w:t>
      </w:r>
    </w:p>
    <w:p w14:paraId="313F67C3" w14:textId="77777777" w:rsidR="00A8138F" w:rsidRDefault="00A8138F" w:rsidP="00A8138F">
      <w:pPr>
        <w:pStyle w:val="TextoNormal"/>
      </w:pPr>
    </w:p>
    <w:p w14:paraId="0E0E96C0" w14:textId="77777777" w:rsidR="00A8138F" w:rsidRDefault="00A8138F" w:rsidP="00A8138F">
      <w:pPr>
        <w:pStyle w:val="TextoNormal"/>
      </w:pPr>
      <w:r>
        <w:t>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14:paraId="5C509B15" w14:textId="77777777" w:rsidR="00A8138F" w:rsidRDefault="00A8138F" w:rsidP="00A8138F">
      <w:pPr>
        <w:pStyle w:val="TextoNormal"/>
      </w:pPr>
    </w:p>
    <w:p w14:paraId="098E78B4" w14:textId="77777777" w:rsidR="00A8138F" w:rsidRDefault="00A8138F" w:rsidP="00A8138F">
      <w:pPr>
        <w:pStyle w:val="TextoNormal"/>
      </w:pPr>
      <w:r>
        <w:t>d) Interpretar con perspectiva de género implica añadir un criterio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14:paraId="162BCC73" w14:textId="77777777" w:rsidR="00A8138F" w:rsidRDefault="00A8138F" w:rsidP="00A8138F">
      <w:pPr>
        <w:pStyle w:val="TextoNormal"/>
      </w:pPr>
    </w:p>
    <w:p w14:paraId="3497CDAF" w14:textId="212D302E" w:rsidR="00A8138F" w:rsidRDefault="00A8138F" w:rsidP="00A8138F">
      <w:pPr>
        <w:pStyle w:val="TextoNormal"/>
      </w:pPr>
      <w:r>
        <w:t xml:space="preserve">e) Por último se refiere al criterio adoptado por la STJUE de 16 de mayo de 2024, </w:t>
      </w:r>
      <w:r w:rsidRPr="00A8138F">
        <w:rPr>
          <w:i/>
        </w:rPr>
        <w:t>CCC c. INSS</w:t>
      </w:r>
      <w:r>
        <w:t>, asunto C-673/22 (ECLI:EU:C:2024:407), e indica que en el supuesto de autos en el que la solicitud de la ampliación se produce por escrito de 13 de julio de 2021, es decir, antes de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14:paraId="15EE859C" w14:textId="77777777" w:rsidR="00A8138F" w:rsidRDefault="00A8138F" w:rsidP="00A8138F">
      <w:pPr>
        <w:pStyle w:val="TextoNormal"/>
      </w:pPr>
    </w:p>
    <w:p w14:paraId="01E75583" w14:textId="77777777" w:rsidR="00A8138F" w:rsidRDefault="00A8138F" w:rsidP="00A8138F">
      <w:pPr>
        <w:pStyle w:val="TextoNormal"/>
      </w:pPr>
      <w:r w:rsidRPr="00A8138F">
        <w:rPr>
          <w:rStyle w:val="NumeroAFNegritaCaracter"/>
        </w:rPr>
        <w:t>3</w:t>
      </w:r>
      <w:r>
        <w:t>. En la demanda de amparo se impugnan las resoluciones administrativas y judiciales dictadas y se solicita que se declare vulnerado el derecho a la igualdad y la prohibición de discriminación por razón de sexo y nacimiento (art. 14 CE), así como la nulidad de la resolución administrativa y de la sentencia núm. 704/2024, de 22 de mayo de la Sala de lo Social del Tribunal Supremo, que estima el recurso de casación para unificación de doctrina núm. 1063-2023.</w:t>
      </w:r>
    </w:p>
    <w:p w14:paraId="74846AB8" w14:textId="77777777" w:rsidR="00A8138F" w:rsidRDefault="00A8138F" w:rsidP="00A8138F">
      <w:pPr>
        <w:pStyle w:val="TextoNormal"/>
      </w:pPr>
    </w:p>
    <w:p w14:paraId="3A5C6672" w14:textId="77777777" w:rsidR="00A8138F" w:rsidRDefault="00A8138F" w:rsidP="00A8138F">
      <w:pPr>
        <w:pStyle w:val="TextoNormal"/>
      </w:pPr>
      <w:r>
        <w:t>La demandante, tras referirse al contenido de las resoluciones recaídas en el procedimiento, sostiene que las resoluciones impugnadas han conculcado su derecho fundamental a no ser discriminada por razón de sexo y el del menor a no ser discriminado por razón de nacimiento (art 14 CE).</w:t>
      </w:r>
    </w:p>
    <w:p w14:paraId="0BFF64A2" w14:textId="77777777" w:rsidR="00A8138F" w:rsidRDefault="00A8138F" w:rsidP="00A8138F">
      <w:pPr>
        <w:pStyle w:val="TextoNormal"/>
      </w:pPr>
    </w:p>
    <w:p w14:paraId="0B34AF0E" w14:textId="77777777" w:rsidR="00A8138F" w:rsidRDefault="00A8138F" w:rsidP="00A8138F">
      <w:pPr>
        <w:pStyle w:val="TextoNormal"/>
      </w:pPr>
      <w:r>
        <w:t>a) Considera que las decisiones denegatorias de la ampliación de permiso a la familia monoparental producen una discriminación indirecta por razón de sexo, puesto que, de forma mayoritaria son las mujeres quienes constituyen el modelo de familia monoparental, excluidas por omisión en el precepto aplicado y que, ante su aparente neutralidad, no considera que es sobre estas mujeres donde recae toda la responsabilidad del sustento y cuidados del menor, mermando su desarrollo profesional y realizando mayor gasto que una familia biparental, al contar con menor número de semanas de prestación. La mujer se ve perjudicada durante su carrera profesional, de forma directa (teniendo que reducir su vida laboral) o indirecta (encontrándose con mayores dificultades para conciliar vida laboral con cuidado de menores).</w:t>
      </w:r>
    </w:p>
    <w:p w14:paraId="628EFDAD" w14:textId="77777777" w:rsidR="00A8138F" w:rsidRDefault="00A8138F" w:rsidP="00A8138F">
      <w:pPr>
        <w:pStyle w:val="TextoNormal"/>
      </w:pPr>
    </w:p>
    <w:p w14:paraId="7A2CFCC4" w14:textId="77777777" w:rsidR="00A8138F" w:rsidRDefault="00A8138F" w:rsidP="00A8138F">
      <w:pPr>
        <w:pStyle w:val="TextoNormal"/>
      </w:pPr>
      <w:r>
        <w:t>Afirma que el diseño de los permisos del Real Decreto-ley 6/2019 que reforma la Ley del estatuto de los trabajadores, olvida la necesidad de que el sistema de Seguridad Social ayude al sostenimiento de la igualdad de oportunidades de estas mujeres, vulnerables al desempleo y a la reducción en el tiempo de dedicación a la formación y promoción profesional. Esa especial vulnerabilidad de las familias monoparentales propicia la discriminación indirecta por razón de género, que atenta contra el art. 14 CE.</w:t>
      </w:r>
    </w:p>
    <w:p w14:paraId="67585039" w14:textId="77777777" w:rsidR="00A8138F" w:rsidRDefault="00A8138F" w:rsidP="00A8138F">
      <w:pPr>
        <w:pStyle w:val="TextoNormal"/>
      </w:pPr>
    </w:p>
    <w:p w14:paraId="5CABBF57" w14:textId="2A16E324" w:rsidR="00A8138F" w:rsidRDefault="00A8138F" w:rsidP="00A8138F">
      <w:pPr>
        <w:pStyle w:val="TextoNormal"/>
      </w:pPr>
      <w:r>
        <w:t>b) Afirma que además produce una discriminación en el menor por razón de nacimiento. Considera que se discrimina a un menor por el único hecho de nacer en una familia monoparental y se vulnera el principio de igualdad y el interés superior de este, apreciando la existencia de una situación de vulnerabilidad de los menores nacidos en familias monoparentales, que cuentan con menor número de semanas de prestación y cuidados frente al menor nacido en familia biparental.</w:t>
      </w:r>
    </w:p>
    <w:p w14:paraId="7074D981" w14:textId="77777777" w:rsidR="00A8138F" w:rsidRDefault="00A8138F" w:rsidP="00A8138F">
      <w:pPr>
        <w:pStyle w:val="TextoNormal"/>
      </w:pPr>
    </w:p>
    <w:p w14:paraId="35FE66ED" w14:textId="71124696" w:rsidR="00A8138F" w:rsidRDefault="00A8138F" w:rsidP="00A8138F">
      <w:pPr>
        <w:pStyle w:val="TextoNormal"/>
      </w:pPr>
      <w:r w:rsidRPr="00A8138F">
        <w:rPr>
          <w:rStyle w:val="NumeroAFNegritaCaracter"/>
        </w:rPr>
        <w:t>4</w:t>
      </w:r>
      <w:r>
        <w:t xml:space="preserve">. La Sección Tercera de este tribunal, mediante providencia de 2 de diciembre de 2024 acordó la admisión a trámite del recurso al apreciar que su contenido justificaba una decisión </w:t>
      </w:r>
      <w:r>
        <w:lastRenderedPageBreak/>
        <w:t>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comunicación al Juzgado de lo Social núm. 22 de Barcelona para que, en plazo que no excediera de diez días, emplazara a quienes hubieran sido parte en el procedimiento núm. 854-2021, excepto la parte recurrente en amparo, para que pudieran comparecer en el presente recurso, si lo deseaban.</w:t>
      </w:r>
    </w:p>
    <w:p w14:paraId="3739C859" w14:textId="77777777" w:rsidR="00A8138F" w:rsidRDefault="00A8138F" w:rsidP="00A8138F">
      <w:pPr>
        <w:pStyle w:val="TextoNormal"/>
      </w:pPr>
    </w:p>
    <w:p w14:paraId="151E71C1" w14:textId="02E55D67" w:rsidR="00A8138F" w:rsidRDefault="00A8138F" w:rsidP="00A8138F">
      <w:pPr>
        <w:pStyle w:val="TextoNormal"/>
      </w:pPr>
      <w:r w:rsidRPr="00A8138F">
        <w:rPr>
          <w:rStyle w:val="NumeroAFNegritaCaracter"/>
        </w:rPr>
        <w:t>5</w:t>
      </w:r>
      <w:r>
        <w:t>. El 14 de febrero de 2025, la representación procesal de la demandante presentó sus alegaciones en las que tras referirse a la cuestión de inconstitucionalidad núm. 6694-2023 promovida por la Sala de lo Social del Tribunal Superior de Justicia de Cataluña y al contenido de la STC 140/2024, de 6 de noviembre, cuya resolución considera determinante para el enjuiciamiento del recurso de amparo, reitera los argumentos expuestos en la demanda.</w:t>
      </w:r>
    </w:p>
    <w:p w14:paraId="22298B3C" w14:textId="77777777" w:rsidR="00A8138F" w:rsidRDefault="00A8138F" w:rsidP="00A8138F">
      <w:pPr>
        <w:pStyle w:val="TextoNormal"/>
      </w:pPr>
    </w:p>
    <w:p w14:paraId="3194A403" w14:textId="77777777" w:rsidR="00A8138F" w:rsidRDefault="00A8138F" w:rsidP="00A8138F">
      <w:pPr>
        <w:pStyle w:val="TextoNormal"/>
      </w:pPr>
      <w:r w:rsidRPr="00A8138F">
        <w:rPr>
          <w:rStyle w:val="NumeroAFNegritaCaracter"/>
        </w:rPr>
        <w:t>6</w:t>
      </w:r>
      <w:r>
        <w:t>. El Ministerio Fiscal, mediante escrito presentado el 19 de febrero de 2025, interesó la estimación del recurso de amparo por vulneración del derecho a la igualdad y a la no discriminación por razón de nacimiento (art. 14 CE). Asimismo, que se declare la nulidad de la sentencia núm. 704/2024 de 22 de mayo de 2024, dictada por la Sala de lo Social del Tribunal Supremo en recurso de casación núm. 1063-2023, con retroacción para que por la misma Sala se dicte una nueva resolución respetando el derecho fundamental vulnerado.</w:t>
      </w:r>
    </w:p>
    <w:p w14:paraId="6E91A214" w14:textId="77777777" w:rsidR="00A8138F" w:rsidRDefault="00A8138F" w:rsidP="00A8138F">
      <w:pPr>
        <w:pStyle w:val="TextoNormal"/>
      </w:pPr>
    </w:p>
    <w:p w14:paraId="4B0BDFE6" w14:textId="77777777" w:rsidR="00A8138F" w:rsidRDefault="00A8138F" w:rsidP="00A8138F">
      <w:pPr>
        <w:pStyle w:val="TextoNormal"/>
      </w:pPr>
      <w:r>
        <w:t>El fiscal considera que procede la estimación del recurso, pues al aplicar los arts. 48.4 LET y 177 LGSS, recientemente declarados inconstitucionales (STC 140/2024) las resoluciones impugnadas han producido la discriminación prohibida por el art. 14 CE, tanto de la demandante de amparo por constituir a una familia monoparental, (por razón del modelo de familia), como del hijo por razón de nacimiento.</w:t>
      </w:r>
    </w:p>
    <w:p w14:paraId="13A63F97" w14:textId="77777777" w:rsidR="00A8138F" w:rsidRDefault="00A8138F" w:rsidP="00A8138F">
      <w:pPr>
        <w:pStyle w:val="TextoNormal"/>
      </w:pPr>
    </w:p>
    <w:p w14:paraId="62050ADA" w14:textId="2EB66CEF" w:rsidR="00A8138F" w:rsidRDefault="00A8138F" w:rsidP="00A8138F">
      <w:pPr>
        <w:pStyle w:val="TextoNormal"/>
      </w:pPr>
      <w:r>
        <w:t>El escrito se detiene a examinar el alcance del pronunciamiento e indica que considera que procede otorgar el amparo al considerar vulnerado el derecho a no ser discriminada por razón de nacimiento (art. 14 CE) de la recurrente, si bien se considera que no procede acceder a la petición de la demandante, que solicita la retroacción de las actuaciones hasta la primera resolución dictada por el INSS, habida cuenta de que dichas resoluciones administrativas fueron anuladas por la sentencia núm. 426/2021, de 20 de diciembre, dictada por Juzgado de lo Social núm. 22 de Barcelona, autos 854-2021 y confirmada por la sentencia núm. 6472/2022, de 2 de diciembre, de la Sala de lo Social del Tribunal Superior de Justicia de Cataluña en el recurso de suplicación núm. 1645-2022. Indica que tomando en consideración lo solicitado en la demanda de amparo, procede declarar la nulidad de la sentencia de 22 de mayo de 2024 de la Sala de lo Social del Tribunal Supremo, dictada en el recurso de casación núm. 1063-2023 por ser lesiva del derecho de la demandante a la no discriminación. Considera asimismo que como consecuencia de ello el Tribunal Supremo deberá resolver el recurso de casación para unificación de doctrina respetando el derecho fundamental vulnerado y aplicando la normativa de acuerdo con el criterio de la STC 140/2024, de 6 de noviembre.</w:t>
      </w:r>
    </w:p>
    <w:p w14:paraId="1FBCCAD6" w14:textId="77777777" w:rsidR="00A8138F" w:rsidRDefault="00A8138F" w:rsidP="00A8138F">
      <w:pPr>
        <w:pStyle w:val="TextoNormal"/>
      </w:pPr>
    </w:p>
    <w:p w14:paraId="2215DF77" w14:textId="3C2AA688" w:rsidR="00A8138F" w:rsidRDefault="00A8138F" w:rsidP="00A8138F">
      <w:pPr>
        <w:pStyle w:val="TextoNormal"/>
      </w:pPr>
      <w:r w:rsidRPr="00A8138F">
        <w:rPr>
          <w:rStyle w:val="NumeroAFNegritaCaracter"/>
        </w:rPr>
        <w:lastRenderedPageBreak/>
        <w:t>7</w:t>
      </w:r>
      <w:r>
        <w:t>. Mediante diligencia del secretario de la Sección Tercera de 20 de febrero de 2025, se hizo constar haberse recibido los precedentes escritos de alegaciones quedando el presente recurso de amparo pendiente para deliberación cuando por turno corresponda.</w:t>
      </w:r>
    </w:p>
    <w:p w14:paraId="77E3F3D7" w14:textId="77777777" w:rsidR="00A8138F" w:rsidRDefault="00A8138F" w:rsidP="00A8138F">
      <w:pPr>
        <w:pStyle w:val="TextoNormal"/>
      </w:pPr>
    </w:p>
    <w:p w14:paraId="6B535EB7" w14:textId="786587E4" w:rsidR="00A8138F" w:rsidRDefault="00A8138F" w:rsidP="00A8138F">
      <w:pPr>
        <w:pStyle w:val="TextoNormal"/>
      </w:pPr>
      <w:r w:rsidRPr="00A8138F">
        <w:rPr>
          <w:rStyle w:val="NumeroAFNegritaCaracter"/>
        </w:rPr>
        <w:t>8</w:t>
      </w:r>
      <w:r>
        <w:t>. Mediante providencia de 20 de marzo de 2025, se señaló para deliberación y votación de la presente sentencia el día 24 del mismo mes y año.</w:t>
      </w:r>
    </w:p>
    <w:p w14:paraId="2ED83AF8" w14:textId="77777777" w:rsidR="00A8138F" w:rsidRDefault="00A8138F" w:rsidP="00A8138F">
      <w:pPr>
        <w:pStyle w:val="TextoNormal"/>
      </w:pPr>
    </w:p>
    <w:p w14:paraId="31328F5F" w14:textId="77777777" w:rsidR="00A8138F" w:rsidRDefault="00A8138F" w:rsidP="00A8138F">
      <w:pPr>
        <w:pStyle w:val="TextoNormalNegritaCentrado"/>
        <w:keepNext/>
      </w:pPr>
      <w:r>
        <w:t>II. Fundamentos jurídicos</w:t>
      </w:r>
    </w:p>
    <w:p w14:paraId="15BF0D88" w14:textId="5D76CA0F" w:rsidR="00A8138F" w:rsidRDefault="00A8138F" w:rsidP="00A8138F">
      <w:pPr>
        <w:pStyle w:val="TextoNormalNegritaCentrado"/>
        <w:keepNext/>
      </w:pPr>
    </w:p>
    <w:p w14:paraId="6064AC11"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133192B1" w14:textId="77777777" w:rsidR="00A8138F" w:rsidRDefault="00A8138F" w:rsidP="00A8138F">
      <w:pPr>
        <w:pStyle w:val="TextoNormal"/>
      </w:pPr>
    </w:p>
    <w:p w14:paraId="5ACAEAA8" w14:textId="77777777" w:rsidR="00A8138F" w:rsidRDefault="00A8138F" w:rsidP="00A8138F">
      <w:pPr>
        <w:pStyle w:val="TextoNormal"/>
      </w:pPr>
      <w:r>
        <w:t>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14:paraId="4A43ECB4" w14:textId="77777777" w:rsidR="00A8138F" w:rsidRDefault="00A8138F" w:rsidP="00A8138F">
      <w:pPr>
        <w:pStyle w:val="TextoNormal"/>
      </w:pPr>
    </w:p>
    <w:p w14:paraId="686A3362" w14:textId="77777777" w:rsidR="00A8138F" w:rsidRDefault="00A8138F" w:rsidP="00A8138F">
      <w:pPr>
        <w:pStyle w:val="TextoNormal"/>
      </w:pPr>
      <w:r>
        <w:t>El Ministerio Fiscal interesa la estimación en aplicación de la doctrina constitucional fijada en la STC 140/2024, de 6 de noviembre.</w:t>
      </w:r>
    </w:p>
    <w:p w14:paraId="7C5ABB40" w14:textId="77777777" w:rsidR="00A8138F" w:rsidRDefault="00A8138F" w:rsidP="00A8138F">
      <w:pPr>
        <w:pStyle w:val="TextoNormal"/>
      </w:pPr>
    </w:p>
    <w:p w14:paraId="4E1E1CF0"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3241C322" w14:textId="77777777" w:rsidR="00A8138F" w:rsidRDefault="00A8138F" w:rsidP="00A8138F">
      <w:pPr>
        <w:pStyle w:val="TextoNormal"/>
      </w:pPr>
    </w:p>
    <w:p w14:paraId="7E31FF92"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w:t>
      </w:r>
      <w:r>
        <w:lastRenderedPageBreak/>
        <w:t>secuencias negativas que produce tal medida en los niños y niñas nacidos en familias monoparentales” (FJ 6).</w:t>
      </w:r>
    </w:p>
    <w:p w14:paraId="653B9E5E" w14:textId="77777777" w:rsidR="00A8138F" w:rsidRDefault="00A8138F" w:rsidP="00A8138F">
      <w:pPr>
        <w:pStyle w:val="TextoNormal"/>
      </w:pPr>
    </w:p>
    <w:p w14:paraId="434F2D95"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0F65F2A" w14:textId="77777777" w:rsidR="00A8138F" w:rsidRDefault="00A8138F" w:rsidP="00A8138F">
      <w:pPr>
        <w:pStyle w:val="TextoNormal"/>
      </w:pPr>
    </w:p>
    <w:p w14:paraId="4A7B4321" w14:textId="77777777" w:rsidR="00A8138F" w:rsidRDefault="00A8138F" w:rsidP="00A8138F">
      <w:pPr>
        <w:pStyle w:val="TextoNormal"/>
      </w:pPr>
      <w:r>
        <w:t>En consecuencia, debe estimarse la demanda y otorgar el amparo solicitado, declarando la nulidad de las resoluciones de 7 de septiembre y 7 de octubre de 2021 dictadas por el Instituto Nacional de la Seguridad Social por las que se denegaba la ampliación de la prestación de nacimiento y cuidado de menor; de la sentencia núm. 426/2021, de 20 de diciembre, dictada por el Juzgado de lo Social núm. 22 de Barcelona, autos 854-2021; de la sentencia núm. 6472/2022, de 2 de diciembre, de la Sala de lo Social del Tribunal Superior de Justicia de Cataluña —recurso de suplicación núm. 1645—2022— y de la sentencia núm. 704/2024, de 22 de mayo, de la Sala de lo Social del Tribunal Supremo, que estima el recurso de casación para unificación de doctrina núm. 1063-2023.</w:t>
      </w:r>
    </w:p>
    <w:p w14:paraId="0E4E98D2" w14:textId="77777777" w:rsidR="00A8138F" w:rsidRDefault="00A8138F" w:rsidP="00A8138F">
      <w:pPr>
        <w:pStyle w:val="TextoNormal"/>
      </w:pPr>
    </w:p>
    <w:p w14:paraId="08CA12E1" w14:textId="1973F79D" w:rsidR="00A8138F" w:rsidRDefault="00A8138F" w:rsidP="00A8138F">
      <w:pPr>
        <w:pStyle w:val="TextoNormal"/>
      </w:pPr>
      <w:r>
        <w:t>Como concretamos en la referida STC 140/2024,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3A9B10C5" w14:textId="77777777" w:rsidR="00A8138F" w:rsidRDefault="00A8138F" w:rsidP="00A8138F">
      <w:pPr>
        <w:pStyle w:val="TextoNormal"/>
      </w:pPr>
    </w:p>
    <w:p w14:paraId="4BB481C1" w14:textId="77777777" w:rsidR="00A8138F" w:rsidRDefault="00A8138F" w:rsidP="00A8138F">
      <w:pPr>
        <w:pStyle w:val="TextoNormalCentrado"/>
        <w:keepNext/>
      </w:pPr>
      <w:r>
        <w:t>FALLO</w:t>
      </w:r>
    </w:p>
    <w:p w14:paraId="32ABD4A2" w14:textId="05092A9D" w:rsidR="00A8138F" w:rsidRDefault="00A8138F" w:rsidP="00A8138F">
      <w:pPr>
        <w:pStyle w:val="TextoNormalCentrado"/>
        <w:keepNext/>
      </w:pPr>
    </w:p>
    <w:p w14:paraId="715C0BCB" w14:textId="77777777" w:rsidR="00A8138F" w:rsidRDefault="00A8138F" w:rsidP="00A8138F">
      <w:pPr>
        <w:pStyle w:val="TextoNormal"/>
      </w:pPr>
      <w:r>
        <w:t>En atención a todo lo expuesto, el Tribunal Constitucional, por la autoridad que le confiere la Constitución de la Nación española, ha decidido:</w:t>
      </w:r>
    </w:p>
    <w:p w14:paraId="15202AC1" w14:textId="77777777" w:rsidR="00A8138F" w:rsidRDefault="00A8138F" w:rsidP="00A8138F">
      <w:pPr>
        <w:pStyle w:val="TextoNormal"/>
      </w:pPr>
    </w:p>
    <w:p w14:paraId="69738471" w14:textId="77777777" w:rsidR="00A8138F" w:rsidRDefault="00A8138F" w:rsidP="00A8138F">
      <w:pPr>
        <w:pStyle w:val="TextoNormal"/>
      </w:pPr>
      <w:r>
        <w:t>1º Estimar la demanda presentada por doña Raquel García Pérez por vulneración del derecho fundamental a la igualdad ante la ley sin discriminación por razón de nacimiento (art. 14 CE), con reconocimiento de tal derecho.</w:t>
      </w:r>
    </w:p>
    <w:p w14:paraId="7591720D" w14:textId="77777777" w:rsidR="00A8138F" w:rsidRDefault="00A8138F" w:rsidP="00A8138F">
      <w:pPr>
        <w:pStyle w:val="TextoNormal"/>
      </w:pPr>
    </w:p>
    <w:p w14:paraId="4F575BF1" w14:textId="77777777" w:rsidR="00A8138F" w:rsidRDefault="00A8138F" w:rsidP="00A8138F">
      <w:pPr>
        <w:pStyle w:val="TextoNormal"/>
      </w:pPr>
      <w:r>
        <w:t>2º Declarar la nulidad de las resoluciones de 7 de septiembre y de 7 de octubre de 2021 dictadas por el Instituto Nacional de la Seguridad Social por las que se denegaba la ampliación de la prestación de nacimiento y cuidado de menor; de la sentencia núm. 426/2021, de 20 de diciembre, dictada por el Juzgado de lo Social núm. 22 de Barcelona, autos 854-2021; de la sentencia núm. 6472/2022, de 2 de diciembre, de la Sala de lo Social del Tribunal Superior de Justicia de Cataluña —recurso de suplicación núm. 1645-202— y de la sentencia núm. 704/2024, de 22 de mayo de la Sala de lo Social del Tribunal Supremo, que estima el recurso de casación para unificación de doctrina núm. 1063-2023.</w:t>
      </w:r>
    </w:p>
    <w:p w14:paraId="71E45E83" w14:textId="77777777" w:rsidR="00A8138F" w:rsidRDefault="00A8138F" w:rsidP="00A8138F">
      <w:pPr>
        <w:pStyle w:val="TextoNormal"/>
      </w:pPr>
    </w:p>
    <w:p w14:paraId="76A18E79" w14:textId="72B9E9DB" w:rsidR="00A8138F" w:rsidRDefault="00A8138F" w:rsidP="00A8138F">
      <w:pPr>
        <w:pStyle w:val="TextoNormal"/>
      </w:pPr>
      <w:r>
        <w:t>3º Retrotraer las actuaciones al momento previo al dictado de la resolución 7 de septiembre de 2021 del INSS, a fin de que, en los términos expuestos en el último párrafo del fundamento jurídico único, se dicte otra respetuosa con el derecho de la recurrente cuya vulneración ha sido declarada.</w:t>
      </w:r>
    </w:p>
    <w:p w14:paraId="73285024" w14:textId="77777777" w:rsidR="00A8138F" w:rsidRDefault="00A8138F" w:rsidP="00A8138F">
      <w:pPr>
        <w:pStyle w:val="TextoNormal"/>
      </w:pPr>
    </w:p>
    <w:p w14:paraId="3DD263B4" w14:textId="77777777" w:rsidR="00A8138F" w:rsidRDefault="00A8138F" w:rsidP="00A8138F">
      <w:pPr>
        <w:pStyle w:val="TextoNormal"/>
      </w:pPr>
      <w:r>
        <w:t>Publíquese esta sentencia en el “Boletín Oficial del Estado”.</w:t>
      </w:r>
    </w:p>
    <w:p w14:paraId="1D623CE2" w14:textId="77777777" w:rsidR="00A8138F" w:rsidRDefault="00A8138F" w:rsidP="00A8138F">
      <w:pPr>
        <w:pStyle w:val="TextoNormal"/>
      </w:pPr>
      <w:r>
        <w:t>Dada en Madrid, a veinticuatro de marzo de dos mil veinticinco.</w:t>
      </w:r>
    </w:p>
    <w:p w14:paraId="41FDBD0F" w14:textId="3E4AB075" w:rsidR="00A8138F" w:rsidRDefault="00A8138F">
      <w:pPr>
        <w:spacing w:after="160" w:line="278" w:lineRule="auto"/>
        <w:rPr>
          <w:rFonts w:ascii="Times New Roman" w:eastAsia="Times New Roman" w:hAnsi="Times New Roman" w:cs="Times New Roman"/>
          <w:sz w:val="24"/>
          <w:szCs w:val="24"/>
          <w:lang w:eastAsia="es-ES"/>
        </w:rPr>
      </w:pPr>
      <w:r>
        <w:br w:type="page"/>
      </w:r>
    </w:p>
    <w:p w14:paraId="7F7846C9" w14:textId="77777777" w:rsidR="00A8138F" w:rsidRDefault="00A8138F" w:rsidP="00A8138F">
      <w:pPr>
        <w:pStyle w:val="TtuloResolucin"/>
      </w:pPr>
      <w:bookmarkStart w:id="75" w:name="SENTENCIA_2025_73"/>
      <w:r>
        <w:lastRenderedPageBreak/>
        <w:t>SENTENCIA 73/2025, de 24 de marzo de 2025</w:t>
      </w:r>
    </w:p>
    <w:bookmarkEnd w:id="75"/>
    <w:p w14:paraId="2CBA99AB" w14:textId="77777777" w:rsidR="00A8138F" w:rsidRDefault="00A8138F" w:rsidP="00A8138F">
      <w:pPr>
        <w:pStyle w:val="TtuloResolucin"/>
      </w:pPr>
      <w:r>
        <w:t>Sala Primera</w:t>
      </w:r>
    </w:p>
    <w:p w14:paraId="1C67BCE5" w14:textId="77777777" w:rsidR="00A8138F" w:rsidRDefault="00A8138F" w:rsidP="00A8138F">
      <w:pPr>
        <w:pStyle w:val="TtuloBOE"/>
      </w:pPr>
      <w:r>
        <w:t>(BOE núm. 109, de 6 de mayo de 2025)</w:t>
      </w:r>
    </w:p>
    <w:p w14:paraId="7A22EF1F" w14:textId="77777777" w:rsidR="00A8138F" w:rsidRDefault="00A8138F" w:rsidP="00A8138F">
      <w:pPr>
        <w:pStyle w:val="TextoNormalCentrado"/>
      </w:pPr>
      <w:r>
        <w:t>ECLI:ES:TC:2025:73</w:t>
      </w:r>
    </w:p>
    <w:p w14:paraId="2110D3C1" w14:textId="1D986337" w:rsidR="00A8138F" w:rsidRDefault="00A8138F" w:rsidP="00A8138F">
      <w:pPr>
        <w:pStyle w:val="TextoNormalCentrado"/>
      </w:pPr>
    </w:p>
    <w:p w14:paraId="7CE2BB23" w14:textId="77777777" w:rsidR="00A8138F" w:rsidRDefault="00A8138F" w:rsidP="00A8138F">
      <w:pPr>
        <w:pStyle w:val="SntesisDescriptiva"/>
      </w:pPr>
      <w:r>
        <w:t>Recurso de amparo 4976-2024. Promovido por doña Saioa Loizaga Irigoyen en relación con las resoluciones administrativas y judiciales que desestimaron su petición de revisión y ampliación de la prestación por nacimiento y cuidado de hijo menor, como madre biológica de familia monoparental.</w:t>
      </w:r>
    </w:p>
    <w:p w14:paraId="5FAC72F2" w14:textId="47BB70C9" w:rsidR="00A8138F" w:rsidRDefault="00A8138F" w:rsidP="00A8138F">
      <w:pPr>
        <w:pStyle w:val="SntesisDescriptiva"/>
      </w:pPr>
    </w:p>
    <w:p w14:paraId="3EA7AC6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EAAC820" w14:textId="6E7FFA06" w:rsidR="00A8138F" w:rsidRDefault="00A8138F" w:rsidP="00A8138F">
      <w:pPr>
        <w:pStyle w:val="SntesisAnaltica"/>
      </w:pPr>
    </w:p>
    <w:p w14:paraId="0E76F9DF" w14:textId="055CA613"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33E137E7" w14:textId="77777777" w:rsidR="00A8138F" w:rsidRDefault="00A8138F" w:rsidP="00A8138F">
      <w:pPr>
        <w:pStyle w:val="Extracto"/>
      </w:pPr>
    </w:p>
    <w:p w14:paraId="1230A643" w14:textId="77777777" w:rsidR="00A8138F" w:rsidRDefault="00A8138F" w:rsidP="00A8138F">
      <w:pPr>
        <w:pStyle w:val="Extracto"/>
      </w:pPr>
    </w:p>
    <w:p w14:paraId="38381081"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61BE25C2" w14:textId="6D2B7BC4" w:rsidR="00A8138F" w:rsidRDefault="00A8138F" w:rsidP="00A8138F">
      <w:pPr>
        <w:pStyle w:val="TextoNormal"/>
      </w:pPr>
    </w:p>
    <w:p w14:paraId="4FB437A2" w14:textId="77777777" w:rsidR="00A8138F" w:rsidRDefault="00A8138F" w:rsidP="00A8138F">
      <w:pPr>
        <w:pStyle w:val="TextoNormalCentrado"/>
        <w:keepNext/>
      </w:pPr>
      <w:r>
        <w:t>EN NOMBRE DEL REY</w:t>
      </w:r>
    </w:p>
    <w:p w14:paraId="11C7C824" w14:textId="3855D409" w:rsidR="00A8138F" w:rsidRDefault="00A8138F" w:rsidP="00A8138F">
      <w:pPr>
        <w:pStyle w:val="TextoNormalCentrado"/>
        <w:keepNext/>
      </w:pPr>
    </w:p>
    <w:p w14:paraId="24D46318" w14:textId="77777777" w:rsidR="00A8138F" w:rsidRDefault="00A8138F" w:rsidP="00A8138F">
      <w:pPr>
        <w:pStyle w:val="TextoNormalCentrado"/>
        <w:keepNext/>
      </w:pPr>
    </w:p>
    <w:p w14:paraId="1298520E" w14:textId="77777777" w:rsidR="00A8138F" w:rsidRDefault="00A8138F" w:rsidP="00A8138F">
      <w:pPr>
        <w:pStyle w:val="TextoNormal"/>
      </w:pPr>
      <w:r>
        <w:t>la siguiente</w:t>
      </w:r>
    </w:p>
    <w:p w14:paraId="30508211" w14:textId="1B9A8977" w:rsidR="00A8138F" w:rsidRDefault="00A8138F" w:rsidP="00A8138F">
      <w:pPr>
        <w:pStyle w:val="TextoNormal"/>
      </w:pPr>
    </w:p>
    <w:p w14:paraId="3CE447D3" w14:textId="77777777" w:rsidR="00A8138F" w:rsidRDefault="00A8138F" w:rsidP="00A8138F">
      <w:pPr>
        <w:pStyle w:val="TextoNormalCentrado"/>
        <w:keepNext/>
      </w:pPr>
      <w:r>
        <w:t>SENTENCIA</w:t>
      </w:r>
    </w:p>
    <w:p w14:paraId="1F833DBE" w14:textId="08E46430" w:rsidR="00A8138F" w:rsidRDefault="00A8138F" w:rsidP="00A8138F">
      <w:pPr>
        <w:pStyle w:val="TextoNormalCentrado"/>
        <w:keepNext/>
      </w:pPr>
    </w:p>
    <w:p w14:paraId="021EF10A" w14:textId="77777777" w:rsidR="00A8138F" w:rsidRDefault="00A8138F" w:rsidP="00A8138F">
      <w:pPr>
        <w:pStyle w:val="TextoNormal"/>
      </w:pPr>
      <w:r>
        <w:t xml:space="preserve">En el recurso de amparo núm. 4976-2024, promovido por doña Saioa Loizaga Irigoyen, representada por la procuradora de los tribunales doña María Esperanza Azpeitia Calvin y asistida por la letrada doña Rebeca Gondra Krug, contra las resoluciones del Instituto Nacional de la Seguridad Social (INSS) de 17 de junio de 2021 y de 8 de julio de 2021 que denegaron su solicitud de ampliación de la duración de la prestación por nacimiento y cuidado de hijo menor como madre biológica de familia monoparental, y contra la sentencia núm. 711/2024 de la Sala de lo Social del Tribunal Supremo de 22 de mayo de 2024, que estimó el recurso de casación para la unificación de doctrina núm. 4132-2022 interpuesto por el INSS; contra la sentencia núm. 1357/2022, de 21 de junio de 2022, de la Sala de lo Social del Tribunal Superior de Justicia del País Vasco, que desestimó el recurso de suplicación núm. 2615-2021 formulado frente a la sentencia núm. 547/2021 del Juzgado de lo Social núm. 11 de Bilbao (autos núm. 747-2021), de 28 de octubre de 2021 y contra esta última sentencia que estimó parcialmente su pretensión. Han intervenido el letrado de la </w:t>
      </w:r>
      <w:r>
        <w:lastRenderedPageBreak/>
        <w:t>administración de la Seguridad Social y el Ministerio Fiscal. Ha sido ponente el magistrado don Ricardo Enríquez Sancho.</w:t>
      </w:r>
    </w:p>
    <w:p w14:paraId="52D4562B" w14:textId="06C3018B" w:rsidR="00A8138F" w:rsidRDefault="00A8138F" w:rsidP="00A8138F">
      <w:pPr>
        <w:pStyle w:val="TextoNormal"/>
      </w:pPr>
    </w:p>
    <w:p w14:paraId="3C1C0BF5" w14:textId="77777777" w:rsidR="00A8138F" w:rsidRDefault="00A8138F" w:rsidP="00A8138F">
      <w:pPr>
        <w:pStyle w:val="TextoNormalNegritaCentrado"/>
        <w:keepNext/>
      </w:pPr>
      <w:r>
        <w:t>I. Antecedentes</w:t>
      </w:r>
    </w:p>
    <w:p w14:paraId="6BEA378E" w14:textId="136245CA" w:rsidR="00A8138F" w:rsidRDefault="00A8138F" w:rsidP="00A8138F">
      <w:pPr>
        <w:pStyle w:val="TextoNormalNegritaCentrado"/>
        <w:keepNext/>
      </w:pPr>
    </w:p>
    <w:p w14:paraId="7E476DA3" w14:textId="3823C335" w:rsidR="00A8138F" w:rsidRDefault="00A8138F" w:rsidP="00A8138F">
      <w:pPr>
        <w:pStyle w:val="TextoNormal"/>
      </w:pPr>
      <w:r w:rsidRPr="00A8138F">
        <w:rPr>
          <w:rStyle w:val="NumeroAFNegritaCaracter"/>
        </w:rPr>
        <w:t>1</w:t>
      </w:r>
      <w:r>
        <w:t>. Mediante escrito presentado en el registro general de este tribunal el día 27 de junio de 2024, la procuradora de los tribunales doña María Esperanza Azpeitia Calvin, actuando en nombre y representación de doña Saioa Loizaga Irigoyen, con la asistencia letrada de doña Rebeca Gondra Krug, interpuso recurso de amparo frente a las resoluciones administrativas y judiciales que han sido señaladas anteriormente en el encabezamiento de esta sentencia.</w:t>
      </w:r>
    </w:p>
    <w:p w14:paraId="7C308DE7" w14:textId="77777777" w:rsidR="00A8138F" w:rsidRDefault="00A8138F" w:rsidP="00A8138F">
      <w:pPr>
        <w:pStyle w:val="TextoNormal"/>
      </w:pPr>
    </w:p>
    <w:p w14:paraId="67C8A020" w14:textId="77777777" w:rsidR="00A8138F" w:rsidRDefault="00A8138F" w:rsidP="00A8138F">
      <w:pPr>
        <w:pStyle w:val="TextoNormal"/>
      </w:pPr>
      <w:r w:rsidRPr="00A8138F">
        <w:rPr>
          <w:rStyle w:val="NumeroAFNegritaCaracter"/>
        </w:rPr>
        <w:t>2</w:t>
      </w:r>
      <w:r>
        <w:t>. El presente recurso de amparo trae causa de los siguientes antecedentes:</w:t>
      </w:r>
    </w:p>
    <w:p w14:paraId="0BFB5D44" w14:textId="77777777" w:rsidR="00A8138F" w:rsidRDefault="00A8138F" w:rsidP="00A8138F">
      <w:pPr>
        <w:pStyle w:val="TextoNormal"/>
      </w:pPr>
    </w:p>
    <w:p w14:paraId="16F8FEE7" w14:textId="77777777" w:rsidR="00A8138F" w:rsidRDefault="00A8138F" w:rsidP="00A8138F">
      <w:pPr>
        <w:pStyle w:val="TextoNormal"/>
      </w:pPr>
      <w:r>
        <w:t>a) La recurrente en amparo, madre biológica de una menor nacida el 27 de febrero de 2021, con la que forma una familia monoparental, solicitó que se le ampliase la prestación por nacimiento y cuidado de hijo reconocida en dieciséis semanas adicionales (las que le hubieran correspondido al otro progenitor de haberse tratado de una familia biparental). Por resolución del INSS de 17 de junio de 2021 se desestimó su pretensión de revisión, y formulada reclamación previa, fue desestimada por resolución de 8 de julio de 2021, al apreciarse que no cabía la acumulación pretendida al tratarse de un derecho de carácter individual.</w:t>
      </w:r>
    </w:p>
    <w:p w14:paraId="61BC3F53" w14:textId="77777777" w:rsidR="00A8138F" w:rsidRDefault="00A8138F" w:rsidP="00A8138F">
      <w:pPr>
        <w:pStyle w:val="TextoNormal"/>
      </w:pPr>
    </w:p>
    <w:p w14:paraId="2BC8DCE9" w14:textId="77777777" w:rsidR="00A8138F" w:rsidRDefault="00A8138F" w:rsidP="00A8138F">
      <w:pPr>
        <w:pStyle w:val="TextoNormal"/>
      </w:pPr>
      <w:r>
        <w:t>b) Disconforme con la duración de la prestación formuló demanda en la vía judicial frente al INSS y la Tesorería General de la Seguridad Social (TGSS), que dio lugar a los autos núm. 747-2021, seguidos ante el Juzgado de lo Social núm. 11 de Bilbao.</w:t>
      </w:r>
    </w:p>
    <w:p w14:paraId="61EBD421" w14:textId="77777777" w:rsidR="00A8138F" w:rsidRDefault="00A8138F" w:rsidP="00A8138F">
      <w:pPr>
        <w:pStyle w:val="TextoNormal"/>
      </w:pPr>
    </w:p>
    <w:p w14:paraId="1282A1EF" w14:textId="77777777" w:rsidR="00A8138F" w:rsidRDefault="00A8138F" w:rsidP="00A8138F">
      <w:pPr>
        <w:pStyle w:val="TextoNormal"/>
      </w:pPr>
      <w:r>
        <w:t>c) La demanda fue estimada parcialmente por sentencia núm. 547/2021 de 28 de octubre de 2021 por aplicación de lo resuelto en la sentencia de la Sala de lo Social del Tribunal Superior de Justicia del País Vasco, de 6 de octubre de 2020, que teniendo en cuenta la protección que merecía el menor de la familia monoparental y la tutela que del mismo se llevaba a cabo en la normativa internacional, había reconocido el derecho a la ampliación en otras diez semanas adicionales, añadidas a las dieciséis semanas que le correspondían a la actora por derecho propio.</w:t>
      </w:r>
    </w:p>
    <w:p w14:paraId="48A96E0A" w14:textId="77777777" w:rsidR="00A8138F" w:rsidRDefault="00A8138F" w:rsidP="00A8138F">
      <w:pPr>
        <w:pStyle w:val="TextoNormal"/>
      </w:pPr>
    </w:p>
    <w:p w14:paraId="6B18239E" w14:textId="77777777" w:rsidR="00A8138F" w:rsidRDefault="00A8138F" w:rsidP="00A8138F">
      <w:pPr>
        <w:pStyle w:val="TextoNormal"/>
      </w:pPr>
      <w:r>
        <w:t>d) La anterior resolución fue recurrida por ambas partes (recurso de suplicación núm. 2615-2021). La parte actora con el objeto de que se le reconocieran dieciséis semanas adicionales, en lugar de diez; la parte demandada para que no se le reconociera el derecho a la ampliación. Por medio de sentencia núm. 1357/2022, de 21 de junio de 2022, de la Sala de lo Social del Tribunal Superior de Justicia del País Vasco, se confirmó lo decidido en la instancia.</w:t>
      </w:r>
    </w:p>
    <w:p w14:paraId="69436F7D" w14:textId="77777777" w:rsidR="00A8138F" w:rsidRDefault="00A8138F" w:rsidP="00A8138F">
      <w:pPr>
        <w:pStyle w:val="TextoNormal"/>
      </w:pPr>
    </w:p>
    <w:p w14:paraId="16FE94FC" w14:textId="40D6B42F" w:rsidR="00A8138F" w:rsidRDefault="00A8138F" w:rsidP="00A8138F">
      <w:pPr>
        <w:pStyle w:val="TextoNormal"/>
      </w:pPr>
      <w:r>
        <w:t xml:space="preserve">e) Interpuesto recurso de casación para la unificación de doctrina (núm.4132-2022) por el INSS y la TGSS, fue estimado mediante sentencia núm. 711/2024, de 22 de mayo de 2024 de la Sala de lo Social del Tribunal Supremo (ECLI:ES:TS:2024:2907), que revocó la sentencia impugnada desestimando la pretensión de la parte actora ateniéndose a la doctrina sentada por esa Sala en Pleno, en la STS de 2 de marzo de 2023 (ECLI:ES:TS:2023:783), </w:t>
      </w:r>
      <w:r>
        <w:lastRenderedPageBreak/>
        <w:t>reiterada en otras posteriores, y en la que había descartado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w:t>
      </w:r>
    </w:p>
    <w:p w14:paraId="1A8883E7" w14:textId="77777777" w:rsidR="00A8138F" w:rsidRDefault="00A8138F" w:rsidP="00A8138F">
      <w:pPr>
        <w:pStyle w:val="TextoNormal"/>
      </w:pPr>
    </w:p>
    <w:p w14:paraId="5BD960A1" w14:textId="4D8D9976" w:rsidR="00A8138F" w:rsidRDefault="00A8138F" w:rsidP="00A8138F">
      <w:pPr>
        <w:pStyle w:val="TextoNormal"/>
      </w:pPr>
      <w:r w:rsidRPr="00A8138F">
        <w:rPr>
          <w:rStyle w:val="NumeroAFNegritaCaracter"/>
        </w:rPr>
        <w:t>3</w:t>
      </w:r>
      <w:r>
        <w:t>. En la demanda de amparo la recurrente denuncia la infracción del art. 14 CE en relación con el art. 39 CE por los siguientes motivos: (i) alega una desigualdad entre las madres biológicas de las familias monoparentales y de las de las familias biparentales en cuanto al derecho al permiso por nacimiento y cuidado de hijos, lo que resulta contrario a las exigencias del derecho a la igualdad proclamado en el art. 14 CE. Reprocha al INSS y a los órganos judiciales el haber ignorado la dimensión constitucional de la cuestión suscitada, limitándose a interpretar la ley sin realizar la ponderación que les era exigible teniendo en cuenta el interés superior del menor; (ii) señala que ha sufrido una discriminación directa por circunstancias personales y familiares con motivo de haber formado una familia monoparental, o lo que es lo mismo, por haber tomado la libre decisión (en ejercicio del libre desarrollo de su personalidad conforme al art. 10.1 CE) de formar tal tipo de familia. Esa decisión se vincula, además, con las convicciones y creencias más íntimas de la persona (art. 16 CE). Tales convicciones le han provocado un trato peyorativo, al no reconocérsele la ampliación del permiso, operando su condición personal y familiar como criterio diferenciador absolutamente irrazonable e inconstitucional; (iii) denuncia también una discriminación indirecta por razón de sexo, en tanto que, aunque la norma en principio es neutra, afecta primordialmente a las mujeres dado que la mayor parte de las familias monoparentales están configuradas por ellas. Por todo ello, solicita la anulación de las resoluciones administrativas y judicial que se impugnan, con retroacción al momento previo al dictado de la resolución del INSS de 17 de junio de 2021 para que dicte otra que respete los derechos fundamentales de la recurrente.</w:t>
      </w:r>
    </w:p>
    <w:p w14:paraId="161811D2" w14:textId="77777777" w:rsidR="00A8138F" w:rsidRDefault="00A8138F" w:rsidP="00A8138F">
      <w:pPr>
        <w:pStyle w:val="TextoNormal"/>
      </w:pPr>
    </w:p>
    <w:p w14:paraId="568597CE" w14:textId="4CA11B55" w:rsidR="00A8138F" w:rsidRDefault="00A8138F" w:rsidP="00A8138F">
      <w:pPr>
        <w:pStyle w:val="TextoNormal"/>
      </w:pPr>
      <w:r w:rsidRPr="00A8138F">
        <w:rPr>
          <w:rStyle w:val="NumeroAFNegritaCaracter"/>
        </w:rPr>
        <w:t>4</w:t>
      </w:r>
      <w:r>
        <w:t>. Por providencia de fecha 21 de octubre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4132-2022 y al recurso de suplicación núm. 2615-2021, respectivamente. Asimismo, acordó dirigir atenta comunicación al Juzgado de lo Social núm. 11 de Bilbao a fin de que, en plazo que no excediera de diez días, remitiese certificación o fotocopia adverada de las actuaciones correspondientes a los autos núm. 747-2021, emplazando a quienes hubieran sido parte en el procedimiento, excepto la parte recurrente en amparo, para que, si lo deseaban, pudieran comparecer en el presente recurso.</w:t>
      </w:r>
    </w:p>
    <w:p w14:paraId="026F7B23" w14:textId="77777777" w:rsidR="00A8138F" w:rsidRDefault="00A8138F" w:rsidP="00A8138F">
      <w:pPr>
        <w:pStyle w:val="TextoNormal"/>
      </w:pPr>
    </w:p>
    <w:p w14:paraId="1748E190" w14:textId="0566AD97" w:rsidR="00A8138F" w:rsidRDefault="00A8138F" w:rsidP="00A8138F">
      <w:pPr>
        <w:pStyle w:val="TextoNormal"/>
      </w:pPr>
      <w:r w:rsidRPr="00A8138F">
        <w:rPr>
          <w:rStyle w:val="NumeroAFNegritaCaracter"/>
        </w:rPr>
        <w:t>5</w:t>
      </w:r>
      <w:r>
        <w:t>. Con fecha de 25 de noviembre de 2024 se presentó ante el registro de este tribunal un escrito en virtud del cual la letrada de la Administración de la Seguridad Social, en nombre y representación del INSS y de la TGSS interesa su personación en el presente recurso de amparo.</w:t>
      </w:r>
    </w:p>
    <w:p w14:paraId="52061B56" w14:textId="77777777" w:rsidR="00A8138F" w:rsidRDefault="00A8138F" w:rsidP="00A8138F">
      <w:pPr>
        <w:pStyle w:val="TextoNormal"/>
      </w:pPr>
    </w:p>
    <w:p w14:paraId="55A1973C" w14:textId="245CADEB" w:rsidR="00A8138F" w:rsidRDefault="00A8138F" w:rsidP="00A8138F">
      <w:pPr>
        <w:pStyle w:val="TextoNormal"/>
      </w:pPr>
      <w:r w:rsidRPr="00A8138F">
        <w:rPr>
          <w:rStyle w:val="NumeroAFNegritaCaracter"/>
        </w:rPr>
        <w:t>6</w:t>
      </w:r>
      <w:r>
        <w:t>. Por diligencia de ordenación de la secretaría de Justicia de la Sección Primera de este tribunal, de fecha 26 de noviembre de 2024, se tuvo por personado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244CA7D1" w14:textId="77777777" w:rsidR="00A8138F" w:rsidRDefault="00A8138F" w:rsidP="00A8138F">
      <w:pPr>
        <w:pStyle w:val="TextoNormal"/>
      </w:pPr>
    </w:p>
    <w:p w14:paraId="34D35FC3" w14:textId="08B58701" w:rsidR="00A8138F" w:rsidRDefault="00A8138F" w:rsidP="00A8138F">
      <w:pPr>
        <w:pStyle w:val="TextoNormal"/>
      </w:pPr>
      <w:r w:rsidRPr="00A8138F">
        <w:rPr>
          <w:rStyle w:val="NumeroAFNegritaCaracter"/>
        </w:rPr>
        <w:t>7</w:t>
      </w:r>
      <w:r>
        <w:t>. Por medio de escrito presentado el 17 de diciembre de 2024 en el registro de este tribunal, el letrado de la Administración de la Seguridad Social realizó sus alegaciones en la representación que ostenta, ratificándose en lo mantenido a lo largo de todo el procedimiento e interesando por ello la desestimación de la demanda de amparo. No obstante, añade que de estimarse el recurso a la vista de lo resuelto en la sentencia del Pleno del Tribunal Constitucional de 6 de noviembre de 2024 [declarando la inconstitucionalidad de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 habrá de tenerse en cuenta, en todo caso,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14:paraId="6D4DE61C" w14:textId="77777777" w:rsidR="00A8138F" w:rsidRDefault="00A8138F" w:rsidP="00A8138F">
      <w:pPr>
        <w:pStyle w:val="TextoNormal"/>
      </w:pPr>
    </w:p>
    <w:p w14:paraId="68E400E7" w14:textId="65244608" w:rsidR="00A8138F" w:rsidRDefault="00A8138F" w:rsidP="00A8138F">
      <w:pPr>
        <w:pStyle w:val="TextoNormal"/>
      </w:pPr>
      <w:r w:rsidRPr="00A8138F">
        <w:rPr>
          <w:rStyle w:val="NumeroAFNegritaCaracter"/>
        </w:rPr>
        <w:t>8</w:t>
      </w:r>
      <w:r>
        <w:t>. Con fecha de 17 de diciembre de 2024 el fiscal ante este tribunal, evacuando el trámite conferido para realizar alegaciones, interesó la estimación parcial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LET y 177 LGSS. Se aclara en cuanto al alcance de la estimación que pese a lo solicitado en la demanda de amparo, el fiscal considera que no procede la retroacción de las actuaciones hasta la primera resolución dictada por el INSS, teniendo en cuenta que —en lo relativo a la infracción del derecho fundamental del art. 14 CE— la argumentación de la existencia de discriminación o diferencia de trato vulneradora del derecho a la igualdad por la sentencia del juzgado y del Tribunal Superior de Justicia, fueron coincidentes en lo esencial con la STC 140/2024 citada, por lo que el fiscal estima que aquellas sentencias no habrían vulnerado el derecho a la no discriminación de la actora y de su hija. Por lo expuesto, considera que procede estimar el recurso, declarando la nulidad de la sentencia núm. 711/2024, de la Sala de lo Social del Tribunal Supremo, de 22 de mayo de 2024 (recurso de casación para la unificación de doctrina núm. 4132-2022), dejando firme la sentencia de la Sala de lo Social del Tribunal Superior de Justicia del País Vaco, de 21 de junio de 2022 dictada en el recurso de suplicación 2615-2021.</w:t>
      </w:r>
    </w:p>
    <w:p w14:paraId="754AE879" w14:textId="77777777" w:rsidR="00A8138F" w:rsidRDefault="00A8138F" w:rsidP="00A8138F">
      <w:pPr>
        <w:pStyle w:val="TextoNormal"/>
      </w:pPr>
    </w:p>
    <w:p w14:paraId="0DA6C556" w14:textId="777E46C6" w:rsidR="00A8138F" w:rsidRDefault="00A8138F" w:rsidP="00A8138F">
      <w:pPr>
        <w:pStyle w:val="TextoNormal"/>
      </w:pPr>
      <w:r w:rsidRPr="00A8138F">
        <w:rPr>
          <w:rStyle w:val="NumeroAFNegritaCaracter"/>
        </w:rPr>
        <w:t>9</w:t>
      </w:r>
      <w:r>
        <w:t>. Con fecha de 7 de enero de 2025, evacuó el trámite de alegaciones conferido la recurrente en amparo, interesando la estimación del recurso dando por reproducidos los argumentos de la demanda de amparo y haciendo mención de lo resuelto en la STC 140/2024, de 6 de noviembre de 2024, que ha venido a confirmar sus pretensiones declarando inconstitucional que las madres biológicas de familias monoparentales, trabajadoras por cuenta ajena, no puedan ampliar su permiso por nacimiento y cuidado de hijo o hija más allá de las dieciséis semanas. Interesa además que se le estime totalmente su pretensión con reconocimiento de una ampliación en dieciséis semanas, sin descontar de las mismas las seis primeras inmediatamente posteriores al parto, discrepando la parte en este extremo con lo decidido en la citada STC 140/2024 (reconocimiento de diez semanas adicionales) porque entiende que significaría que el menor de la familia monoparental dispondría un tiempo de cuidado más reducido y menos implicación personal de su progenitor.</w:t>
      </w:r>
    </w:p>
    <w:p w14:paraId="10F3C9E2" w14:textId="77777777" w:rsidR="00A8138F" w:rsidRDefault="00A8138F" w:rsidP="00A8138F">
      <w:pPr>
        <w:pStyle w:val="TextoNormal"/>
      </w:pPr>
    </w:p>
    <w:p w14:paraId="2783D061" w14:textId="06DDD21D" w:rsidR="00A8138F" w:rsidRDefault="00A8138F" w:rsidP="00A8138F">
      <w:pPr>
        <w:pStyle w:val="TextoNormal"/>
      </w:pPr>
      <w:r w:rsidRPr="00A8138F">
        <w:rPr>
          <w:rStyle w:val="NumeroAFNegritaCaracter"/>
        </w:rPr>
        <w:t>10</w:t>
      </w:r>
      <w:r>
        <w:t>. Mediante providencia de 20 de marzo de 2025, se señaló para deliberación y votación de la presente sentencia el día 24 del mismo mes y año.</w:t>
      </w:r>
    </w:p>
    <w:p w14:paraId="4D742BAF" w14:textId="77777777" w:rsidR="00A8138F" w:rsidRDefault="00A8138F" w:rsidP="00A8138F">
      <w:pPr>
        <w:pStyle w:val="TextoNormal"/>
      </w:pPr>
    </w:p>
    <w:p w14:paraId="5ABCA12F" w14:textId="77777777" w:rsidR="00A8138F" w:rsidRDefault="00A8138F" w:rsidP="00A8138F">
      <w:pPr>
        <w:pStyle w:val="TextoNormalNegritaCentrado"/>
        <w:keepNext/>
      </w:pPr>
      <w:r>
        <w:t>II. Fundamentos jurídicos</w:t>
      </w:r>
    </w:p>
    <w:p w14:paraId="7062A3AA" w14:textId="132DAFC4" w:rsidR="00A8138F" w:rsidRDefault="00A8138F" w:rsidP="00A8138F">
      <w:pPr>
        <w:pStyle w:val="TextoNormalNegritaCentrado"/>
        <w:keepNext/>
      </w:pPr>
    </w:p>
    <w:p w14:paraId="31686CD8"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37E3B30" w14:textId="77777777" w:rsidR="00A8138F" w:rsidRDefault="00A8138F" w:rsidP="00A8138F">
      <w:pPr>
        <w:pStyle w:val="TextoNormal"/>
      </w:pPr>
    </w:p>
    <w:p w14:paraId="6A0E199C" w14:textId="7EF4CFBD"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769D0A15" w14:textId="77777777" w:rsidR="00A8138F" w:rsidRDefault="00A8138F" w:rsidP="00A8138F">
      <w:pPr>
        <w:pStyle w:val="TextoNormal"/>
      </w:pPr>
    </w:p>
    <w:p w14:paraId="5E70C5FC"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62E51C57" w14:textId="77777777" w:rsidR="00A8138F" w:rsidRDefault="00A8138F" w:rsidP="00A8138F">
      <w:pPr>
        <w:pStyle w:val="TextoNormal"/>
      </w:pPr>
    </w:p>
    <w:p w14:paraId="76EE8F18"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14CEBAC5" w14:textId="77777777" w:rsidR="00A8138F" w:rsidRDefault="00A8138F" w:rsidP="00A8138F">
      <w:pPr>
        <w:pStyle w:val="TextoNormal"/>
      </w:pPr>
    </w:p>
    <w:p w14:paraId="2A79FF31" w14:textId="77777777" w:rsidR="00A8138F" w:rsidRDefault="00A8138F" w:rsidP="00A8138F">
      <w:pPr>
        <w:pStyle w:val="TextoNormal"/>
      </w:pPr>
      <w: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w:t>
      </w:r>
      <w:r>
        <w:lastRenderedPageBreak/>
        <w:t>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C157188" w14:textId="77777777" w:rsidR="00A8138F" w:rsidRDefault="00A8138F" w:rsidP="00A8138F">
      <w:pPr>
        <w:pStyle w:val="TextoNormal"/>
      </w:pPr>
    </w:p>
    <w:p w14:paraId="0FD80261"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68646C80" w14:textId="77777777" w:rsidR="00A8138F" w:rsidRDefault="00A8138F" w:rsidP="00A8138F">
      <w:pPr>
        <w:pStyle w:val="TextoNormal"/>
      </w:pPr>
    </w:p>
    <w:p w14:paraId="5B6DFC9D" w14:textId="57392DD3" w:rsidR="00A8138F" w:rsidRDefault="00A8138F" w:rsidP="00A8138F">
      <w:pPr>
        <w:pStyle w:val="TextoNormal"/>
      </w:pPr>
      <w:r>
        <w:t>En consecuencia, debe estimarse la demanda y otorgar el amparo solicitado. De conformidad con lo expuesto por el fiscal, debemos anular y dejar sin efecto la sentencia núm. 711/2024 de la Sala de lo Social del Tribunal Supremo de 22 de mayo de 2024, que estimó el recurso de casación para la unificación de doctrina núm. 4132-2022 interpuesto por el INSS, y declarar la firmeza de la sentencia núm. 1357/2022, de 21 de junio de 2022, de la Sala de lo Social del Tribunal Superior de Justicia del País Vasco, que desestimó el recurso de suplicación núm. 2615-2021 realizando una interpretación respetuosa con el derecho fundamental a la igualdad y no discriminación, en los términos señalados en la STC 140/2024 (también en cuanto al alcance temporal de la ampliación de la prestación), por lo que, en contra de lo interesado por la parte recurrente, no procede la retroacción hasta el dictado de la resolución administrativa.</w:t>
      </w:r>
    </w:p>
    <w:p w14:paraId="5D39B225" w14:textId="77777777" w:rsidR="00A8138F" w:rsidRDefault="00A8138F" w:rsidP="00A8138F">
      <w:pPr>
        <w:pStyle w:val="TextoNormal"/>
      </w:pPr>
    </w:p>
    <w:p w14:paraId="2ACEFF29" w14:textId="77777777" w:rsidR="00A8138F" w:rsidRDefault="00A8138F" w:rsidP="00A8138F">
      <w:pPr>
        <w:pStyle w:val="TextoNormalCentrado"/>
        <w:keepNext/>
      </w:pPr>
      <w:r>
        <w:t>FALLO</w:t>
      </w:r>
    </w:p>
    <w:p w14:paraId="4788EBA7" w14:textId="6AC536AA" w:rsidR="00A8138F" w:rsidRDefault="00A8138F" w:rsidP="00A8138F">
      <w:pPr>
        <w:pStyle w:val="TextoNormalCentrado"/>
        <w:keepNext/>
      </w:pPr>
    </w:p>
    <w:p w14:paraId="62C715E7"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Saioa Loizaga Irigoyen y, en su virtud:</w:t>
      </w:r>
    </w:p>
    <w:p w14:paraId="3ED66EA0" w14:textId="77777777" w:rsidR="00A8138F" w:rsidRDefault="00A8138F" w:rsidP="00A8138F">
      <w:pPr>
        <w:pStyle w:val="TextoNormal"/>
      </w:pPr>
    </w:p>
    <w:p w14:paraId="7D66B4F7" w14:textId="77777777" w:rsidR="00A8138F" w:rsidRDefault="00A8138F" w:rsidP="00A8138F">
      <w:pPr>
        <w:pStyle w:val="TextoNormal"/>
      </w:pPr>
      <w:r>
        <w:t>1º Declarar vulnerado el derecho fundamental a la igualdad ante la ley sin discriminación por razón de nacimiento (art. 14 CE).</w:t>
      </w:r>
    </w:p>
    <w:p w14:paraId="7AE549B5" w14:textId="77777777" w:rsidR="00A8138F" w:rsidRDefault="00A8138F" w:rsidP="00A8138F">
      <w:pPr>
        <w:pStyle w:val="TextoNormal"/>
      </w:pPr>
    </w:p>
    <w:p w14:paraId="15AB22E6" w14:textId="77777777" w:rsidR="00A8138F" w:rsidRDefault="00A8138F" w:rsidP="00A8138F">
      <w:pPr>
        <w:pStyle w:val="TextoNormal"/>
      </w:pPr>
      <w:r>
        <w:t>2º Reestablecerla en su derecho y, a tal fin, declarar la nulidad de la sentencia núm. 711/2024 de la Sala de lo Social del Tribunal Supremo de 22 de mayo de 2024, que estimó el recurso de casación para la unificación de doctrina núm. 4132-2022.</w:t>
      </w:r>
    </w:p>
    <w:p w14:paraId="33D9A34A" w14:textId="77777777" w:rsidR="00A8138F" w:rsidRDefault="00A8138F" w:rsidP="00A8138F">
      <w:pPr>
        <w:pStyle w:val="TextoNormal"/>
      </w:pPr>
    </w:p>
    <w:p w14:paraId="5DD46178" w14:textId="7D1ADF42" w:rsidR="00A8138F" w:rsidRDefault="00A8138F" w:rsidP="00A8138F">
      <w:pPr>
        <w:pStyle w:val="TextoNormal"/>
      </w:pPr>
      <w:r>
        <w:t>3º Declarar la firmeza de la sentencia núm. 1357/2022, de 21 de junio de 2022, de la Sala de lo Social del Tribunal Superior de Justicia del País Vasco, que desestimó el recurso de suplicación núm. 2615/2021.</w:t>
      </w:r>
    </w:p>
    <w:p w14:paraId="4C0F4967" w14:textId="77777777" w:rsidR="00A8138F" w:rsidRDefault="00A8138F" w:rsidP="00A8138F">
      <w:pPr>
        <w:pStyle w:val="TextoNormal"/>
      </w:pPr>
    </w:p>
    <w:p w14:paraId="0F204210" w14:textId="77777777" w:rsidR="00A8138F" w:rsidRDefault="00A8138F" w:rsidP="00A8138F">
      <w:pPr>
        <w:pStyle w:val="TextoNormal"/>
      </w:pPr>
      <w:r>
        <w:t>Publíquese esta sentencia en el “Boletín Oficial del Estado”.</w:t>
      </w:r>
    </w:p>
    <w:p w14:paraId="1CFBA82F" w14:textId="77777777" w:rsidR="00A8138F" w:rsidRDefault="00A8138F" w:rsidP="00A8138F">
      <w:pPr>
        <w:pStyle w:val="TextoNormal"/>
      </w:pPr>
      <w:r>
        <w:t>Dada en Madrid, a veinticuatro de marzo de dos mil veinticinco.</w:t>
      </w:r>
    </w:p>
    <w:p w14:paraId="491A479A" w14:textId="1039C839" w:rsidR="00A8138F" w:rsidRDefault="00A8138F">
      <w:pPr>
        <w:spacing w:after="160" w:line="278" w:lineRule="auto"/>
        <w:rPr>
          <w:rFonts w:ascii="Times New Roman" w:eastAsia="Times New Roman" w:hAnsi="Times New Roman" w:cs="Times New Roman"/>
          <w:sz w:val="24"/>
          <w:szCs w:val="24"/>
          <w:lang w:eastAsia="es-ES"/>
        </w:rPr>
      </w:pPr>
      <w:r>
        <w:br w:type="page"/>
      </w:r>
    </w:p>
    <w:p w14:paraId="20BE694C" w14:textId="77777777" w:rsidR="00A8138F" w:rsidRDefault="00A8138F" w:rsidP="00A8138F">
      <w:pPr>
        <w:pStyle w:val="TtuloResolucin"/>
      </w:pPr>
      <w:bookmarkStart w:id="76" w:name="SENTENCIA_2025_74"/>
      <w:r>
        <w:lastRenderedPageBreak/>
        <w:t>SENTENCIA 74/2025, de 24 de marzo de 2025</w:t>
      </w:r>
    </w:p>
    <w:bookmarkEnd w:id="76"/>
    <w:p w14:paraId="7ACF830D" w14:textId="77777777" w:rsidR="00A8138F" w:rsidRDefault="00A8138F" w:rsidP="00A8138F">
      <w:pPr>
        <w:pStyle w:val="TtuloResolucin"/>
      </w:pPr>
      <w:r>
        <w:t>Sala Segunda</w:t>
      </w:r>
    </w:p>
    <w:p w14:paraId="3F503CA7" w14:textId="77777777" w:rsidR="00A8138F" w:rsidRDefault="00A8138F" w:rsidP="00A8138F">
      <w:pPr>
        <w:pStyle w:val="TtuloBOE"/>
      </w:pPr>
      <w:r>
        <w:t>(BOE núm. 109, de 6 de mayo de 2025)</w:t>
      </w:r>
    </w:p>
    <w:p w14:paraId="0FDABA54" w14:textId="77777777" w:rsidR="00A8138F" w:rsidRDefault="00A8138F" w:rsidP="00A8138F">
      <w:pPr>
        <w:pStyle w:val="TextoNormalCentrado"/>
      </w:pPr>
      <w:r>
        <w:t>ECLI:ES:TC:2025:74</w:t>
      </w:r>
    </w:p>
    <w:p w14:paraId="4C8D92FC" w14:textId="6E4CB578" w:rsidR="00A8138F" w:rsidRDefault="00A8138F" w:rsidP="00A8138F">
      <w:pPr>
        <w:pStyle w:val="TextoNormalCentrado"/>
      </w:pPr>
    </w:p>
    <w:p w14:paraId="0248D3FE" w14:textId="77777777" w:rsidR="00A8138F" w:rsidRDefault="00A8138F" w:rsidP="00A8138F">
      <w:pPr>
        <w:pStyle w:val="SntesisDescriptiva"/>
      </w:pPr>
      <w:r>
        <w:t>Recurso de amparo 5169-2024. Promovido por doña Izaskun Jiménez Burgos en relación con las resoluciones administrativas y judiciales que desestimaron su petición de revisión y ampliación de la prestación por nacimiento y cuidado de hijo menor, como madre biológica de familia monoparental.</w:t>
      </w:r>
    </w:p>
    <w:p w14:paraId="5F3B6279" w14:textId="4AB0F8E2" w:rsidR="00A8138F" w:rsidRDefault="00A8138F" w:rsidP="00A8138F">
      <w:pPr>
        <w:pStyle w:val="SntesisDescriptiva"/>
      </w:pPr>
    </w:p>
    <w:p w14:paraId="5F11AB9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16FEFC0" w14:textId="7B434742" w:rsidR="00A8138F" w:rsidRDefault="00A8138F" w:rsidP="00A8138F">
      <w:pPr>
        <w:pStyle w:val="SntesisAnaltica"/>
      </w:pPr>
    </w:p>
    <w:p w14:paraId="6D23C3D1" w14:textId="101C1653"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7BE36239" w14:textId="77777777" w:rsidR="00A8138F" w:rsidRDefault="00A8138F" w:rsidP="00A8138F">
      <w:pPr>
        <w:pStyle w:val="Extracto"/>
      </w:pPr>
    </w:p>
    <w:p w14:paraId="68CB0018" w14:textId="77777777" w:rsidR="00A8138F" w:rsidRDefault="00A8138F" w:rsidP="00A8138F">
      <w:pPr>
        <w:pStyle w:val="Extracto"/>
      </w:pPr>
    </w:p>
    <w:p w14:paraId="5A59C95E"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B10DF98" w14:textId="4179024B" w:rsidR="00A8138F" w:rsidRDefault="00A8138F" w:rsidP="00A8138F">
      <w:pPr>
        <w:pStyle w:val="TextoNormal"/>
      </w:pPr>
    </w:p>
    <w:p w14:paraId="1B8F037D" w14:textId="77777777" w:rsidR="00A8138F" w:rsidRDefault="00A8138F" w:rsidP="00A8138F">
      <w:pPr>
        <w:pStyle w:val="TextoNormalCentrado"/>
        <w:keepNext/>
      </w:pPr>
      <w:r>
        <w:t>EN NOMBRE DEL REY</w:t>
      </w:r>
    </w:p>
    <w:p w14:paraId="19D134A8" w14:textId="09DDC303" w:rsidR="00A8138F" w:rsidRDefault="00A8138F" w:rsidP="00A8138F">
      <w:pPr>
        <w:pStyle w:val="TextoNormalCentrado"/>
        <w:keepNext/>
      </w:pPr>
    </w:p>
    <w:p w14:paraId="16375E16" w14:textId="77777777" w:rsidR="00A8138F" w:rsidRDefault="00A8138F" w:rsidP="00A8138F">
      <w:pPr>
        <w:pStyle w:val="TextoNormalCentrado"/>
        <w:keepNext/>
      </w:pPr>
    </w:p>
    <w:p w14:paraId="23FE7EA5" w14:textId="77777777" w:rsidR="00A8138F" w:rsidRDefault="00A8138F" w:rsidP="00A8138F">
      <w:pPr>
        <w:pStyle w:val="TextoNormal"/>
      </w:pPr>
      <w:r>
        <w:t>la siguiente</w:t>
      </w:r>
    </w:p>
    <w:p w14:paraId="4E8BE79B" w14:textId="68411639" w:rsidR="00A8138F" w:rsidRDefault="00A8138F" w:rsidP="00A8138F">
      <w:pPr>
        <w:pStyle w:val="TextoNormal"/>
      </w:pPr>
    </w:p>
    <w:p w14:paraId="6DDDE1D6" w14:textId="77777777" w:rsidR="00A8138F" w:rsidRDefault="00A8138F" w:rsidP="00A8138F">
      <w:pPr>
        <w:pStyle w:val="TextoNormalCentrado"/>
        <w:keepNext/>
      </w:pPr>
      <w:r>
        <w:t>SENTENCIA</w:t>
      </w:r>
    </w:p>
    <w:p w14:paraId="49C4925E" w14:textId="15300288" w:rsidR="00A8138F" w:rsidRDefault="00A8138F" w:rsidP="00A8138F">
      <w:pPr>
        <w:pStyle w:val="TextoNormalCentrado"/>
        <w:keepNext/>
      </w:pPr>
    </w:p>
    <w:p w14:paraId="7D5EF48B" w14:textId="77777777" w:rsidR="00A8138F" w:rsidRDefault="00A8138F" w:rsidP="00A8138F">
      <w:pPr>
        <w:pStyle w:val="TextoNormal"/>
      </w:pPr>
      <w:r>
        <w:t>En el recurso de amparo núm. 5169-2024, promovido por doña Izaskun Jiménez Burgos, representada por la procuradora de los tribunales doña María Isabel Torres Ruiz y bajo la dirección de la letrada doña Nerea Lekue Tolosa, contra la sentencia núm. 867/2024 dictada el 4 de junio de 2024 por la Sala de lo Social del Tribunal Supremo, que estimó el recurso de casación para unificación de doctrina núm. 1199-2023 interpuesto contra la sentencia núm. 266/2023, dictada el 31 de enero por la Sala de lo Social del Tribunal Superior de Justicia del País Vasco —recurso de suplicación 1756-2022—, y revocó la sentencia núm. 108/2022, de 7 de abril, dictada por el Juzgado de lo Social núm. 11 de Bilbao, en autos de Seguridad Social en materia prestacional núm. 19-2022, que a su vez había estimado parcialmente la demanda interpuesta contra la resolución de 30 de diciembre de 2021 del Instituto Nacional de la Seguridad Social (INSS) y la Tesorería General de la Seguridad Social (TGSS). Ha intervenido la letrada de la administración de la Seguridad Social y el Ministerio Fiscal. Ha sido ponente el magistrado don César Tolosa Tribiño.</w:t>
      </w:r>
    </w:p>
    <w:p w14:paraId="09254554" w14:textId="1BD60A89" w:rsidR="00A8138F" w:rsidRDefault="00A8138F" w:rsidP="00A8138F">
      <w:pPr>
        <w:pStyle w:val="TextoNormal"/>
      </w:pPr>
    </w:p>
    <w:p w14:paraId="306B1ACE" w14:textId="77777777" w:rsidR="00A8138F" w:rsidRDefault="00A8138F" w:rsidP="00A8138F">
      <w:pPr>
        <w:pStyle w:val="TextoNormalNegritaCentrado"/>
        <w:keepNext/>
      </w:pPr>
      <w:r>
        <w:t>I. Antecedentes</w:t>
      </w:r>
    </w:p>
    <w:p w14:paraId="50D755C7" w14:textId="7002A46F" w:rsidR="00A8138F" w:rsidRDefault="00A8138F" w:rsidP="00A8138F">
      <w:pPr>
        <w:pStyle w:val="TextoNormalNegritaCentrado"/>
        <w:keepNext/>
      </w:pPr>
    </w:p>
    <w:p w14:paraId="76012DA9" w14:textId="3B11BC0D" w:rsidR="00A8138F" w:rsidRDefault="00A8138F" w:rsidP="00A8138F">
      <w:pPr>
        <w:pStyle w:val="TextoNormal"/>
      </w:pPr>
      <w:r w:rsidRPr="00A8138F">
        <w:rPr>
          <w:rStyle w:val="NumeroAFNegritaCaracter"/>
        </w:rPr>
        <w:t>1</w:t>
      </w:r>
      <w:r>
        <w:t>. El 3 de julio de 2024, doña Izaskun Jiménez Burgos, con la representación y defensa indicadas, interpuso recurso de amparo contra todas las resoluciones judiciales y administrativas identificadas en el encabezamiento, a excepción de la sentencia núm. 266/2023, dictada el 31 de enero de 2023 por la Sala de lo Social del Tribunal Superior de Justicia del País Vasco que había estimado íntegramente la demanda interpuesta y declarado el derecho de la recurrente a complementar la prestación de maternidad con dieciséis semanas.</w:t>
      </w:r>
    </w:p>
    <w:p w14:paraId="5DE7E4F7" w14:textId="77777777" w:rsidR="00A8138F" w:rsidRDefault="00A8138F" w:rsidP="00A8138F">
      <w:pPr>
        <w:pStyle w:val="TextoNormal"/>
      </w:pPr>
    </w:p>
    <w:p w14:paraId="76125571"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0D069144" w14:textId="77777777" w:rsidR="00A8138F" w:rsidRDefault="00A8138F" w:rsidP="00A8138F">
      <w:pPr>
        <w:pStyle w:val="TextoNormal"/>
      </w:pPr>
    </w:p>
    <w:p w14:paraId="61B78A79" w14:textId="77777777" w:rsidR="00A8138F" w:rsidRDefault="00A8138F" w:rsidP="00A8138F">
      <w:pPr>
        <w:pStyle w:val="TextoNormal"/>
      </w:pPr>
      <w:r>
        <w:t>A) La demandante de amparo, con motivo del nacimiento de su hija el 29 de noviembre de 2021, en el seno de una familia monoparental, solicitó la prestación por nacimiento y cuidado de la menor que le fue reconocida por un periodo de dieciséis semanas por resolución de 22 de diciembre de 2021 y con efectos de la fecha de nacimiento.</w:t>
      </w:r>
    </w:p>
    <w:p w14:paraId="4060D920" w14:textId="77777777" w:rsidR="00A8138F" w:rsidRDefault="00A8138F" w:rsidP="00A8138F">
      <w:pPr>
        <w:pStyle w:val="TextoNormal"/>
      </w:pPr>
    </w:p>
    <w:p w14:paraId="1B61D709" w14:textId="77777777" w:rsidR="00A8138F" w:rsidRDefault="00A8138F" w:rsidP="00A8138F">
      <w:pPr>
        <w:pStyle w:val="TextoNormal"/>
      </w:pPr>
      <w:r>
        <w:t>B) Frente a la anterior resolución interpuso reclamación previa en vía administrativa que fue desestimada por resolución de 30 de diciembre de 2021 por la que reclamaba la ampliación en dieciséis semanas del disfrute del permiso por ser familia monoparental, interpuso una demanda contra el Instituto Nacional de la Seguridad Social y la Tesorería General de la Seguridad Social. Alegaba que la desestimación de la acumulación solicitada constituye una discriminación de los derechos del niño con relación a la situación regulada para la familia biparental cuando el menor está a cargo y cuidado de sus dos progenitores.</w:t>
      </w:r>
    </w:p>
    <w:p w14:paraId="296D7E00" w14:textId="77777777" w:rsidR="00A8138F" w:rsidRDefault="00A8138F" w:rsidP="00A8138F">
      <w:pPr>
        <w:pStyle w:val="TextoNormal"/>
      </w:pPr>
    </w:p>
    <w:p w14:paraId="03CC193C" w14:textId="77777777" w:rsidR="00A8138F" w:rsidRDefault="00A8138F" w:rsidP="00A8138F">
      <w:pPr>
        <w:pStyle w:val="TextoNormal"/>
      </w:pPr>
      <w:r>
        <w:t>C) A la demanda se opuso el INSS quien afirmaba que la regulación no prevé la ampliación del permiso que se pretende, siendo la finalidad de la prestación de paternidad la de garantizar la igualdad de trato entre hombres y mujeres y favorecer la vida familiar y laboral. Subsidiariamente, para el caso de estimación de la demanda, señaló que seis semanas deben ser inmediatamente posteriores al nacimiento de manera interrumpida, por lo que en su caso, solo se le podrían conceder diez semanas más.</w:t>
      </w:r>
    </w:p>
    <w:p w14:paraId="7D8B3F39" w14:textId="77777777" w:rsidR="00A8138F" w:rsidRDefault="00A8138F" w:rsidP="00A8138F">
      <w:pPr>
        <w:pStyle w:val="TextoNormal"/>
      </w:pPr>
    </w:p>
    <w:p w14:paraId="328EAE16" w14:textId="77777777" w:rsidR="00A8138F" w:rsidRDefault="00A8138F" w:rsidP="00A8138F">
      <w:pPr>
        <w:pStyle w:val="TextoNormal"/>
      </w:pPr>
      <w:r>
        <w:t>D) El Juzgado de lo Social núm. 11 de Bilbao dictó la sentencia núm. 108/2022 el día 7 de abril en la que estimó parcialmente la demanda y declaró el derecho de la demandante al abono de la prestación por nacimiento y cuidado de menor durante diez semanas que se añadían a las que ya disfrutó.</w:t>
      </w:r>
    </w:p>
    <w:p w14:paraId="2D86A8C3" w14:textId="77777777" w:rsidR="00A8138F" w:rsidRDefault="00A8138F" w:rsidP="00A8138F">
      <w:pPr>
        <w:pStyle w:val="TextoNormal"/>
      </w:pPr>
    </w:p>
    <w:p w14:paraId="6F4036AC" w14:textId="77777777" w:rsidR="00A8138F" w:rsidRDefault="00A8138F" w:rsidP="00A8138F">
      <w:pPr>
        <w:pStyle w:val="TextoNormal"/>
      </w:pPr>
      <w:r>
        <w:t>E) Frente a dicha sentencia la demandante y el INSS interpusieron recurso de suplicación. El INSS solicitaba que se le absolviera de la demanda interpuesta y la demandante de amparo que se le reconociera el derecho a disfrutar de dieciséis semanas adicionales de prestación por nacimiento y cuidado de menor, en lugar de las diez semanas adicionales reconocidas.</w:t>
      </w:r>
    </w:p>
    <w:p w14:paraId="44346DC2" w14:textId="77777777" w:rsidR="00A8138F" w:rsidRDefault="00A8138F" w:rsidP="00A8138F">
      <w:pPr>
        <w:pStyle w:val="TextoNormal"/>
      </w:pPr>
    </w:p>
    <w:p w14:paraId="7BC5F4D5" w14:textId="77777777" w:rsidR="00A8138F" w:rsidRDefault="00A8138F" w:rsidP="00A8138F">
      <w:pPr>
        <w:pStyle w:val="TextoNormal"/>
      </w:pPr>
      <w:r>
        <w:t xml:space="preserve">F) Por sentencia 266/2023, de 31 de enero, dictada por la Sala de lo Social del Tribunal Superior del País Vasco, se desestimó el recurso interpuesto por el INSS y se estimó el recurso de suplicación promovido por la recurrente en amparo revocando la sentencia dictada por el Juzgado de lo Social núm.11 de Bilbao y estimando íntegramente la demanda </w:t>
      </w:r>
      <w:r>
        <w:lastRenderedPageBreak/>
        <w:t>declarando el derecho de la actora a complementar la prestación de maternidad no con diez sino con dieciséis semanas.</w:t>
      </w:r>
    </w:p>
    <w:p w14:paraId="058531D7" w14:textId="77777777" w:rsidR="00A8138F" w:rsidRDefault="00A8138F" w:rsidP="00A8138F">
      <w:pPr>
        <w:pStyle w:val="TextoNormal"/>
      </w:pPr>
    </w:p>
    <w:p w14:paraId="46C9C9EF" w14:textId="77777777" w:rsidR="00A8138F" w:rsidRDefault="00A8138F" w:rsidP="00A8138F">
      <w:pPr>
        <w:pStyle w:val="TextoNormal"/>
      </w:pPr>
      <w:r>
        <w:t>G) Contra dicha sentencia se interpuso por el INSS y la TGSS recurso de casación para la unificación de doctrina, que fue estimado por sentencia núm. 867/2024 de la Sala de lo Social del Tribunal Supremo de 4 de junio.</w:t>
      </w:r>
    </w:p>
    <w:p w14:paraId="3973C379" w14:textId="77777777" w:rsidR="00A8138F" w:rsidRDefault="00A8138F" w:rsidP="00A8138F">
      <w:pPr>
        <w:pStyle w:val="TextoNormal"/>
      </w:pPr>
    </w:p>
    <w:p w14:paraId="55E44F18" w14:textId="77777777" w:rsidR="00A8138F" w:rsidRDefault="00A8138F" w:rsidP="00A8138F">
      <w:pPr>
        <w:pStyle w:val="TextoNormal"/>
      </w:pPr>
      <w:r>
        <w:t>Indica que sobre dicha cuestión el Pleno de la Sala de lo Social del Tribunal Supremo ya ha tenido ocasión de pronunciarse en la STS 169/2023, de 2 de marzo, reiterada luego por la STS núm. 434/2023, de 14 de junio (ECLI:ES:TS:2023:3053). Recuerda las razones expuestas en dicha sentencia:</w:t>
      </w:r>
    </w:p>
    <w:p w14:paraId="53FB09D3" w14:textId="77777777" w:rsidR="00A8138F" w:rsidRDefault="00A8138F" w:rsidP="00A8138F">
      <w:pPr>
        <w:pStyle w:val="TextoNormal"/>
      </w:pPr>
    </w:p>
    <w:p w14:paraId="723B2652" w14:textId="77777777" w:rsidR="00A8138F" w:rsidRDefault="00A8138F" w:rsidP="00A8138F">
      <w:pPr>
        <w:pStyle w:val="TextoNormal"/>
      </w:pPr>
      <w:r>
        <w:t>a)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 48.4 del texto refundido de la Ley del estatuto de los trabajadores aprobado por el Real Decreto Legislativo 2/2015 (LET).</w:t>
      </w:r>
    </w:p>
    <w:p w14:paraId="68C5C7E2" w14:textId="77777777" w:rsidR="00A8138F" w:rsidRDefault="00A8138F" w:rsidP="00A8138F">
      <w:pPr>
        <w:pStyle w:val="TextoNormal"/>
      </w:pPr>
    </w:p>
    <w:p w14:paraId="3B8AF5FC" w14:textId="77777777" w:rsidR="00A8138F" w:rsidRDefault="00A8138F" w:rsidP="00A8138F">
      <w:pPr>
        <w:pStyle w:val="TextoNormal"/>
      </w:pPr>
      <w:r>
        <w:t>b)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 48.4 LET en el siguiente sentido: “en el supuesto de familias monoparentales, la persona trabajadora podrá acumular el tiempo de permiso que correspondería a la otra persona trabajadora si la hubiera. (‘Diario Oficial del Senado’, de 8 de febrero de 2023)”.</w:t>
      </w:r>
    </w:p>
    <w:p w14:paraId="1EB47113" w14:textId="77777777" w:rsidR="00A8138F" w:rsidRDefault="00A8138F" w:rsidP="00A8138F">
      <w:pPr>
        <w:pStyle w:val="TextoNormal"/>
      </w:pPr>
    </w:p>
    <w:p w14:paraId="23DF4598" w14:textId="77777777" w:rsidR="00A8138F" w:rsidRDefault="00A8138F" w:rsidP="00A8138F">
      <w:pPr>
        <w:pStyle w:val="TextoNormal"/>
      </w:pPr>
      <w:r>
        <w:t>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14:paraId="39F9F415" w14:textId="77777777" w:rsidR="00A8138F" w:rsidRDefault="00A8138F" w:rsidP="00A8138F">
      <w:pPr>
        <w:pStyle w:val="TextoNormal"/>
      </w:pPr>
    </w:p>
    <w:p w14:paraId="1B965FF3" w14:textId="77777777" w:rsidR="00A8138F" w:rsidRDefault="00A8138F" w:rsidP="00A8138F">
      <w:pPr>
        <w:pStyle w:val="TextoNormal"/>
      </w:pPr>
      <w:r>
        <w:t>d)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14:paraId="58E10B7A" w14:textId="77777777" w:rsidR="00A8138F" w:rsidRDefault="00A8138F" w:rsidP="00A8138F">
      <w:pPr>
        <w:pStyle w:val="TextoNormal"/>
      </w:pPr>
    </w:p>
    <w:p w14:paraId="71FD4B76" w14:textId="51ADDFB2" w:rsidR="00A8138F" w:rsidRDefault="00A8138F" w:rsidP="00A8138F">
      <w:pPr>
        <w:pStyle w:val="TextoNormal"/>
      </w:pPr>
      <w:r>
        <w:t xml:space="preserve">e) Por último se refiere al criterio adoptado por la STJUE de 16 de mayo de 2024, </w:t>
      </w:r>
      <w:r w:rsidRPr="00A8138F">
        <w:rPr>
          <w:i/>
        </w:rPr>
        <w:t>CCC c. INSS</w:t>
      </w:r>
      <w:r>
        <w:t xml:space="preserve">, asunto C-673/2022 (ECLI:EU:C:2024:407), e indica que tampoco en el caso de </w:t>
      </w:r>
      <w:r>
        <w:lastRenderedPageBreak/>
        <w:t>autos, en el que el eventual período de disfrute se iniciaría a continuación del permiso de maternidad reconocido por el INSS, estaríamos en un tiempo posterior a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14:paraId="34E05E8C" w14:textId="77777777" w:rsidR="00A8138F" w:rsidRDefault="00A8138F" w:rsidP="00A8138F">
      <w:pPr>
        <w:pStyle w:val="TextoNormal"/>
      </w:pPr>
    </w:p>
    <w:p w14:paraId="4B26EF36" w14:textId="77777777" w:rsidR="00A8138F" w:rsidRDefault="00A8138F" w:rsidP="00A8138F">
      <w:pPr>
        <w:pStyle w:val="TextoNormal"/>
      </w:pPr>
      <w:r w:rsidRPr="00A8138F">
        <w:rPr>
          <w:rStyle w:val="NumeroAFNegritaCaracter"/>
        </w:rPr>
        <w:t>3</w:t>
      </w:r>
      <w:r>
        <w:t>. En la demanda de amparo se solicita que se declare vulnerado el derecho a la igualdad y la prohibición de discriminación (art. 14 CE) así como la nulidad de la totalidad de las resoluciones judiciales y administrativas dictadas a excepción de la sentencia dictada por la Sala de lo Social del País Vasco y que se retrotraigan las actuaciones al momento previo del dictado de la resolución del INSS de 22 de diciembre de 2021, para que dicte otra que respete los derechos fundamentales de la recurrente.</w:t>
      </w:r>
    </w:p>
    <w:p w14:paraId="21788C2A" w14:textId="77777777" w:rsidR="00A8138F" w:rsidRDefault="00A8138F" w:rsidP="00A8138F">
      <w:pPr>
        <w:pStyle w:val="TextoNormal"/>
      </w:pPr>
    </w:p>
    <w:p w14:paraId="231AC74C" w14:textId="77777777" w:rsidR="00A8138F" w:rsidRDefault="00A8138F" w:rsidP="00A8138F">
      <w:pPr>
        <w:pStyle w:val="TextoNormal"/>
      </w:pPr>
      <w:r>
        <w:t>La demandante, tras referirse al contenido de las resoluciones recaídas en el procedimiento, sostiene que las resoluciones administrativas impugnadas , que deniegan la ampliación del derecho de permiso por nacimiento y cuidado de hijos de la recurrente de amparo, madre biológica de una hija que, por su libre decisión, ha constituido una familia monoparental, y las resoluciones judiciales que no reparan esa denegación, igualmente recurridas, han conculcado su derecho fundamental a la igualdad, proclamado en el primer inciso del art 14 CE en relación con el art 39 CE, y a no ser discriminada por causas personales y familiares y por razón de sexo establecido en el segundo inciso del art 14 CE.</w:t>
      </w:r>
    </w:p>
    <w:p w14:paraId="596A1B45" w14:textId="77777777" w:rsidR="00A8138F" w:rsidRDefault="00A8138F" w:rsidP="00A8138F">
      <w:pPr>
        <w:pStyle w:val="TextoNormal"/>
      </w:pPr>
    </w:p>
    <w:p w14:paraId="71601DFA" w14:textId="77777777" w:rsidR="00A8138F" w:rsidRDefault="00A8138F" w:rsidP="00A8138F">
      <w:pPr>
        <w:pStyle w:val="TextoNormal"/>
      </w:pPr>
      <w:r>
        <w:t>Considera que las decisiones denegatorias de la ampliación de permiso a la familia monoparental ocasionan tres tipos de discriminación:</w:t>
      </w:r>
    </w:p>
    <w:p w14:paraId="15D3049A" w14:textId="77777777" w:rsidR="00A8138F" w:rsidRDefault="00A8138F" w:rsidP="00A8138F">
      <w:pPr>
        <w:pStyle w:val="TextoNormal"/>
      </w:pPr>
    </w:p>
    <w:p w14:paraId="10FE9D1A" w14:textId="77777777" w:rsidR="00A8138F" w:rsidRDefault="00A8138F" w:rsidP="00A8138F">
      <w:pPr>
        <w:pStyle w:val="TextoNormal"/>
      </w:pPr>
      <w:r>
        <w:t>a) Desigualdad entre madres biológicas de familias monoparentales y madres biológicas de familias biparentales (arts. 14 y 39 CE), en tanto que el permiso por nacimiento y cuidado de hijos e hijas menores de doce meses atiende al mandato constitucional de garantizar la protección de los niños, de modo que las decisiones recurridas provocan una desigualdad entre madres biológicas de familias biparentales y monoparentales contraria a los principios y valores constitucionales contenidos en el art 39 CE.</w:t>
      </w:r>
    </w:p>
    <w:p w14:paraId="5ACD9596" w14:textId="77777777" w:rsidR="00A8138F" w:rsidRDefault="00A8138F" w:rsidP="00A8138F">
      <w:pPr>
        <w:pStyle w:val="TextoNormal"/>
      </w:pPr>
    </w:p>
    <w:p w14:paraId="7D7F9E21" w14:textId="77777777" w:rsidR="00A8138F" w:rsidRDefault="00A8138F" w:rsidP="00A8138F">
      <w:pPr>
        <w:pStyle w:val="TextoNormal"/>
      </w:pPr>
      <w:r>
        <w:t>b) Discriminación directa de la recurrente en amparo por circunstancias personales y familiares (arts. 14 y 32 CE). Afirma que la decisión de la recurrente de ser la única progenitora de su hija ha sido el criterio que ha servido al INSS, y después a los órganos judiciales, para denegar las semanas adicionales de la prestación por nacimiento y cuidado de menor de doce meses por ella interesada. Dicha condición personal y familiar de la recurrente en amparo es un criterio diferenciador absolutamente irrazonable, de una inadmisibilidad constitucional análoga a las causas de discriminación contempladas expresamente en el art 14 CE.</w:t>
      </w:r>
    </w:p>
    <w:p w14:paraId="3BBD5460" w14:textId="77777777" w:rsidR="00A8138F" w:rsidRDefault="00A8138F" w:rsidP="00A8138F">
      <w:pPr>
        <w:pStyle w:val="TextoNormal"/>
      </w:pPr>
    </w:p>
    <w:p w14:paraId="4634A550" w14:textId="3C4F5FAC" w:rsidR="00A8138F" w:rsidRDefault="00A8138F" w:rsidP="00A8138F">
      <w:pPr>
        <w:pStyle w:val="TextoNormal"/>
      </w:pPr>
      <w:r>
        <w:t xml:space="preserve">c) Discriminación indirecta por razón de sexo de la demandante en amparo (arts. 14 y 9.2 CE). Sostiene que, según datos del Instituto Nacional de Estadística, en el año 2020 existían 1 944 800 familias monoparentales, de las cuales 1 582 100 eran mujeres (81 por 100) y 362 800 eran hombres (19 por 100). De modo que las familias monoparentales están formadas mayoritariamente por mujeres con lo que la norma aun siendo neutra comporta un </w:t>
      </w:r>
      <w:r>
        <w:lastRenderedPageBreak/>
        <w:t>trato peyorativo que afecta mayoritariamente a las mujeres, en el ejercicio de su libre autodeterminación de formar familias “monomarentales”.</w:t>
      </w:r>
    </w:p>
    <w:p w14:paraId="0883F6C2" w14:textId="77777777" w:rsidR="00A8138F" w:rsidRDefault="00A8138F" w:rsidP="00A8138F">
      <w:pPr>
        <w:pStyle w:val="TextoNormal"/>
      </w:pPr>
    </w:p>
    <w:p w14:paraId="5462C777" w14:textId="12283EBB" w:rsidR="00A8138F" w:rsidRDefault="00A8138F" w:rsidP="00A8138F">
      <w:pPr>
        <w:pStyle w:val="TextoNormal"/>
      </w:pPr>
      <w:r w:rsidRPr="00A8138F">
        <w:rPr>
          <w:rStyle w:val="NumeroAFNegritaCaracter"/>
        </w:rPr>
        <w:t>4</w:t>
      </w:r>
      <w:r>
        <w:t>. La Sección Tercera de este tribunal, mediante providencia de 2 de diciembre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comunicación al Juzgado de lo Social núm.11 de Bilbao, a fin de que, en plazo que no excediera de diez días, emplazara a quienes hubieran sido parte en el procedimiento —autos núm. 19-2022—, excepto a la parte recurrente en amparo, para que pudieran comparecer en el presente recurso, si así lo deseaban.</w:t>
      </w:r>
    </w:p>
    <w:p w14:paraId="3C0D4437" w14:textId="77777777" w:rsidR="00A8138F" w:rsidRDefault="00A8138F" w:rsidP="00A8138F">
      <w:pPr>
        <w:pStyle w:val="TextoNormal"/>
      </w:pPr>
    </w:p>
    <w:p w14:paraId="5AF9913F" w14:textId="77777777" w:rsidR="00A8138F" w:rsidRDefault="00A8138F" w:rsidP="00A8138F">
      <w:pPr>
        <w:pStyle w:val="TextoNormal"/>
      </w:pPr>
      <w:r w:rsidRPr="00A8138F">
        <w:rPr>
          <w:rStyle w:val="NumeroAFNegritaCaracter"/>
        </w:rPr>
        <w:t>5</w:t>
      </w:r>
      <w:r>
        <w:t>. La letrada de la administración de la Seguridad Social presentó sus alegaciones el día 18 de febrero de 2025 en las que solicita que se tenga por realizado el allanamiento a la demanda.</w:t>
      </w:r>
    </w:p>
    <w:p w14:paraId="1D6E758E" w14:textId="77777777" w:rsidR="00A8138F" w:rsidRDefault="00A8138F" w:rsidP="00A8138F">
      <w:pPr>
        <w:pStyle w:val="TextoNormal"/>
      </w:pPr>
    </w:p>
    <w:p w14:paraId="54BE2E29" w14:textId="77777777" w:rsidR="00A8138F" w:rsidRDefault="00A8138F" w:rsidP="00A8138F">
      <w:pPr>
        <w:pStyle w:val="TextoNormal"/>
      </w:pPr>
      <w:r>
        <w:t>En tal sentido se hace eco de los recientes pronunciamientos del Tribunal Constitucional por los que tras estimar la cuestión de inconstitucionalidad núm. 6694-2023 planteada por la Sala de lo Social del Tribunal Superior de Justicia de Cataluña en relación con el art. 48, apartados 4, 5 y 6 LET en conexión con el art. 177 LGSS que declaró inconstitucionales los citados preceptos, se dictaron sentencias en los recursos de amparo núm. 1084-2024, 1880-2024, 1845-2024 y 6078-2023 estimando las demandas presentadas conforme al pronunciamiento de la STC 140/2024,  del Pleno, de 6 de noviembre.</w:t>
      </w:r>
    </w:p>
    <w:p w14:paraId="04EBEEE8" w14:textId="77777777" w:rsidR="00A8138F" w:rsidRDefault="00A8138F" w:rsidP="00A8138F">
      <w:pPr>
        <w:pStyle w:val="TextoNormal"/>
      </w:pPr>
    </w:p>
    <w:p w14:paraId="4173823C" w14:textId="23794EFF" w:rsidR="00A8138F" w:rsidRDefault="00A8138F" w:rsidP="00A8138F">
      <w:pPr>
        <w:pStyle w:val="TextoNormal"/>
      </w:pPr>
      <w:r>
        <w:t>A la vista de dichas sentencias, la dirección del servicio jurídico de la Seguridad Social dictó la instrucción 10/2024, de 23 de diciembre de 2024, autorizó al servicio jurídico delegado central en el INSS para allanarse en los recursos de amparo pendientes ante el Tribunal Constitucional que resulten afectados por lo establecido en el fundamento jurídico séptimo de la STC 140/2024, de 6 de noviembre, lo que sucede en el presente recurso.</w:t>
      </w:r>
    </w:p>
    <w:p w14:paraId="2ACC3469" w14:textId="77777777" w:rsidR="00A8138F" w:rsidRDefault="00A8138F" w:rsidP="00A8138F">
      <w:pPr>
        <w:pStyle w:val="TextoNormal"/>
      </w:pPr>
    </w:p>
    <w:p w14:paraId="32A09E01" w14:textId="77777777" w:rsidR="00A8138F" w:rsidRDefault="00A8138F" w:rsidP="00A8138F">
      <w:pPr>
        <w:pStyle w:val="TextoNormal"/>
      </w:pPr>
      <w:r w:rsidRPr="00A8138F">
        <w:rPr>
          <w:rStyle w:val="NumeroAFNegritaCaracter"/>
        </w:rPr>
        <w:t>6</w:t>
      </w:r>
      <w:r>
        <w:t>. El Ministerio Fiscal, el día 6 de marzo de 2025, interesó el otorgamiento del amparo y la nulidad de la sentencia núm. 867/2024, de 4 de junio, de la Sala de lo Social del Tribunal Supremo (recurso de casación para unificación de doctrina núm. 1199-2023), y la retroacción de las actuaciones para que dicte otra plenamente respetuosa con el derecho fundamental vulnerado.</w:t>
      </w:r>
    </w:p>
    <w:p w14:paraId="0F25FD64" w14:textId="77777777" w:rsidR="00A8138F" w:rsidRDefault="00A8138F" w:rsidP="00A8138F">
      <w:pPr>
        <w:pStyle w:val="TextoNormal"/>
      </w:pPr>
    </w:p>
    <w:p w14:paraId="2EF60CEA" w14:textId="77777777" w:rsidR="00A8138F" w:rsidRDefault="00A8138F" w:rsidP="00A8138F">
      <w:pPr>
        <w:pStyle w:val="TextoNormal"/>
      </w:pPr>
      <w:r>
        <w:t>En sus alegaciones se remite a la doctrina constitucional establecida en la STC 140/2024 y en las posteriores sentencias de aplicación de dicha doctrina en recursos de amparo de contenido similar al que promueve la parte actora en este procedimiento (así, entre las más recientes, SSTC 17/2025 a 24/2025, todas ellas de 27 de enero, y SSTC 29/2025 a 36/2025, 38/2025 y 39/2025, de 10 de febrero).</w:t>
      </w:r>
    </w:p>
    <w:p w14:paraId="125704C4" w14:textId="77777777" w:rsidR="00A8138F" w:rsidRDefault="00A8138F" w:rsidP="00A8138F">
      <w:pPr>
        <w:pStyle w:val="TextoNormal"/>
      </w:pPr>
    </w:p>
    <w:p w14:paraId="576C3842" w14:textId="598C856F" w:rsidR="00A8138F" w:rsidRDefault="00A8138F" w:rsidP="00A8138F">
      <w:pPr>
        <w:pStyle w:val="TextoNormal"/>
      </w:pPr>
      <w:r>
        <w:t xml:space="preserve">Entiende que su aplicación al caso determina la estimación del recurso. De este modo, considera que al aplicar los arts. 48.4 LET y 177 LGSS, declarados inconstitucionales, las </w:t>
      </w:r>
      <w:r>
        <w:lastRenderedPageBreak/>
        <w:t>resoluciones impugnadas han producido la discriminación recogida en el art. 14 CE, por razón de nacimiento de la menor en una familia monoparental.</w:t>
      </w:r>
    </w:p>
    <w:p w14:paraId="1CA86217" w14:textId="77777777" w:rsidR="00A8138F" w:rsidRDefault="00A8138F" w:rsidP="00A8138F">
      <w:pPr>
        <w:pStyle w:val="TextoNormal"/>
      </w:pPr>
    </w:p>
    <w:p w14:paraId="44959A5C" w14:textId="1B9F42B0" w:rsidR="00A8138F" w:rsidRDefault="00A8138F" w:rsidP="00A8138F">
      <w:pPr>
        <w:pStyle w:val="TextoNormal"/>
      </w:pPr>
      <w:r w:rsidRPr="00A8138F">
        <w:rPr>
          <w:rStyle w:val="NumeroAFNegritaCaracter"/>
        </w:rPr>
        <w:t>7</w:t>
      </w:r>
      <w:r>
        <w:t>. Mediante diligencia del secretario de la Sección Tercera de 10 de marzo de 2025, se hizo constar que se habían recibido los precedentes escritos de alegaciones y que quedaba el presente recurso de amparo pendiente para deliberación cuando por turno corresponda.</w:t>
      </w:r>
    </w:p>
    <w:p w14:paraId="48F37583" w14:textId="77777777" w:rsidR="00A8138F" w:rsidRDefault="00A8138F" w:rsidP="00A8138F">
      <w:pPr>
        <w:pStyle w:val="TextoNormal"/>
      </w:pPr>
    </w:p>
    <w:p w14:paraId="1999A3C8" w14:textId="362CDCC4" w:rsidR="00A8138F" w:rsidRDefault="00A8138F" w:rsidP="00A8138F">
      <w:pPr>
        <w:pStyle w:val="TextoNormal"/>
      </w:pPr>
      <w:r w:rsidRPr="00A8138F">
        <w:rPr>
          <w:rStyle w:val="NumeroAFNegritaCaracter"/>
        </w:rPr>
        <w:t>8</w:t>
      </w:r>
      <w:r>
        <w:t>. Mediante providencia de 20 de marzo de 2025, se señaló para deliberación y votación de la presente sentencia el día 24 del mismo mes y año.</w:t>
      </w:r>
    </w:p>
    <w:p w14:paraId="05BFD3DE" w14:textId="77777777" w:rsidR="00A8138F" w:rsidRDefault="00A8138F" w:rsidP="00A8138F">
      <w:pPr>
        <w:pStyle w:val="TextoNormal"/>
      </w:pPr>
    </w:p>
    <w:p w14:paraId="29870970" w14:textId="77777777" w:rsidR="00A8138F" w:rsidRDefault="00A8138F" w:rsidP="00A8138F">
      <w:pPr>
        <w:pStyle w:val="TextoNormalNegritaCentrado"/>
        <w:keepNext/>
      </w:pPr>
      <w:r>
        <w:t>II. Fundamentos jurídicos</w:t>
      </w:r>
    </w:p>
    <w:p w14:paraId="5C34E917" w14:textId="74DEFC6E" w:rsidR="00A8138F" w:rsidRDefault="00A8138F" w:rsidP="00A8138F">
      <w:pPr>
        <w:pStyle w:val="TextoNormalNegritaCentrado"/>
        <w:keepNext/>
      </w:pPr>
    </w:p>
    <w:p w14:paraId="52D7B6F9"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05A55926" w14:textId="77777777" w:rsidR="00A8138F" w:rsidRDefault="00A8138F" w:rsidP="00A8138F">
      <w:pPr>
        <w:pStyle w:val="TextoNormal"/>
      </w:pPr>
    </w:p>
    <w:p w14:paraId="5F06DC9C" w14:textId="77777777" w:rsidR="00A8138F" w:rsidRDefault="00A8138F" w:rsidP="00A8138F">
      <w:pPr>
        <w:pStyle w:val="TextoNormal"/>
      </w:pPr>
      <w:r>
        <w:t>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14:paraId="29B415C1" w14:textId="77777777" w:rsidR="00A8138F" w:rsidRDefault="00A8138F" w:rsidP="00A8138F">
      <w:pPr>
        <w:pStyle w:val="TextoNormal"/>
      </w:pPr>
    </w:p>
    <w:p w14:paraId="0F275491" w14:textId="77777777" w:rsidR="00A8138F" w:rsidRDefault="00A8138F" w:rsidP="00A8138F">
      <w:pPr>
        <w:pStyle w:val="TextoNormal"/>
      </w:pPr>
      <w:r>
        <w:t>El Ministerio Fiscal interesa la estimación del recurso en aplicación de la doctrina constitucional fijada en la STC 140/2024, de 6 de noviembre y la letrada de la administración de la Seguridad Social se allana a la demanda y añade que se retrotraigan las actuaciones para que el Instituto Nacional de la Seguridad Social (INSS) dicte nueva resolución administrativa que resulte respetuosa con el derecho de la recurrente y de la normativa aplicable</w:t>
      </w:r>
    </w:p>
    <w:p w14:paraId="2DE772AD" w14:textId="77777777" w:rsidR="00A8138F" w:rsidRDefault="00A8138F" w:rsidP="00A8138F">
      <w:pPr>
        <w:pStyle w:val="TextoNormal"/>
      </w:pPr>
    </w:p>
    <w:p w14:paraId="5573F6D0"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429ECB49" w14:textId="77777777" w:rsidR="00A8138F" w:rsidRDefault="00A8138F" w:rsidP="00A8138F">
      <w:pPr>
        <w:pStyle w:val="TextoNormal"/>
      </w:pPr>
    </w:p>
    <w:p w14:paraId="1B4CAE98" w14:textId="77777777" w:rsidR="00A8138F" w:rsidRDefault="00A8138F" w:rsidP="00A8138F">
      <w:pPr>
        <w:pStyle w:val="TextoNormal"/>
      </w:pPr>
      <w: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w:t>
      </w:r>
      <w:r>
        <w:lastRenderedPageBreak/>
        <w:t>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C46C682" w14:textId="77777777" w:rsidR="00A8138F" w:rsidRDefault="00A8138F" w:rsidP="00A8138F">
      <w:pPr>
        <w:pStyle w:val="TextoNormal"/>
      </w:pPr>
    </w:p>
    <w:p w14:paraId="38681934"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4A488E1A" w14:textId="77777777" w:rsidR="00A8138F" w:rsidRDefault="00A8138F" w:rsidP="00A8138F">
      <w:pPr>
        <w:pStyle w:val="TextoNormal"/>
      </w:pPr>
    </w:p>
    <w:p w14:paraId="56C92C42" w14:textId="50AE0B88" w:rsidR="00A8138F" w:rsidRDefault="00A8138F" w:rsidP="00A8138F">
      <w:pPr>
        <w:pStyle w:val="TextoNormal"/>
      </w:pPr>
      <w:r>
        <w:t>En consecuencia, debe estimarse la demanda y otorgar el amparo solicitado, con nulidad de la sentencia núm. 266/2023, de 31 de enero, de la Sala de lo Social del Tribunal Superior de Justicia del País Vasco —recurso de suplicación 1756-2022— y de la sentencia núm. 867/2024, de 4 de junio, de la Sala de lo Social del Tribunal Supremo que estimó el recurso de casación para la unificación de doctrina núm. 1199-2023 y declarar la firmeza de la sentencia núm. 108/2022, de 7 de abril, del Juzgado de lo Social núm. 11 de Bilbao (autos núm. 19-2022), pues la misma se acomoda al pronunciamiento de la referida STC 140/2024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72A47E0E" w14:textId="77777777" w:rsidR="00A8138F" w:rsidRDefault="00A8138F" w:rsidP="00A8138F">
      <w:pPr>
        <w:pStyle w:val="TextoNormal"/>
      </w:pPr>
    </w:p>
    <w:p w14:paraId="4B2B08F1" w14:textId="77777777" w:rsidR="00A8138F" w:rsidRDefault="00A8138F" w:rsidP="00A8138F">
      <w:pPr>
        <w:pStyle w:val="TextoNormalCentrado"/>
        <w:keepNext/>
      </w:pPr>
      <w:r>
        <w:t>FALLO</w:t>
      </w:r>
    </w:p>
    <w:p w14:paraId="1F6C1A30" w14:textId="11357736" w:rsidR="00A8138F" w:rsidRDefault="00A8138F" w:rsidP="00A8138F">
      <w:pPr>
        <w:pStyle w:val="TextoNormalCentrado"/>
        <w:keepNext/>
      </w:pPr>
    </w:p>
    <w:p w14:paraId="093FE293" w14:textId="77777777" w:rsidR="00A8138F" w:rsidRDefault="00A8138F" w:rsidP="00A8138F">
      <w:pPr>
        <w:pStyle w:val="TextoNormal"/>
      </w:pPr>
      <w:r>
        <w:t>En atención a todo lo expuesto, el Tribunal Constitucional, por la autoridad que le confiere la Constitución de la Nación española, ha decidido:</w:t>
      </w:r>
    </w:p>
    <w:p w14:paraId="287ED804" w14:textId="77777777" w:rsidR="00A8138F" w:rsidRDefault="00A8138F" w:rsidP="00A8138F">
      <w:pPr>
        <w:pStyle w:val="TextoNormal"/>
      </w:pPr>
    </w:p>
    <w:p w14:paraId="1C16A522" w14:textId="77777777" w:rsidR="00A8138F" w:rsidRDefault="00A8138F" w:rsidP="00A8138F">
      <w:pPr>
        <w:pStyle w:val="TextoNormal"/>
      </w:pPr>
      <w:r>
        <w:t>1º Estimar la demanda presentada por doña Izaskun Jiménez Burgos por vulneración del derecho fundamental a la igualdad ante la ley sin discriminación por razón de nacimiento (art. 14 CE), con reconocimiento de tal derecho.</w:t>
      </w:r>
    </w:p>
    <w:p w14:paraId="7949158D" w14:textId="77777777" w:rsidR="00A8138F" w:rsidRDefault="00A8138F" w:rsidP="00A8138F">
      <w:pPr>
        <w:pStyle w:val="TextoNormal"/>
      </w:pPr>
    </w:p>
    <w:p w14:paraId="58C7E850" w14:textId="78CC1F4B" w:rsidR="00A8138F" w:rsidRDefault="00A8138F" w:rsidP="00A8138F">
      <w:pPr>
        <w:pStyle w:val="TextoNormal"/>
      </w:pPr>
      <w:r>
        <w:t>2º Declarar la nulidad de la sentencia núm. 867/2024, de 4 de junio, de la Sala de lo Social del Tribunal Supremo que estimó el recurso de casación para la unificación de doctrina núm. 1199-2023 y de la sentencia núm. 266/2023, de 31 de enero, de la Sala de lo Social del Tribunal Superior de Justicia del País Vasco —recurso de suplicación 1756-2022— y declarar firme la sentencia núm. 108/2022, de 7 de abril, del Juzgado de lo Social núm. 11 de Bilbao (autos núm. 19-2022).</w:t>
      </w:r>
    </w:p>
    <w:p w14:paraId="37F94F56" w14:textId="77777777" w:rsidR="00A8138F" w:rsidRDefault="00A8138F" w:rsidP="00A8138F">
      <w:pPr>
        <w:pStyle w:val="TextoNormal"/>
      </w:pPr>
    </w:p>
    <w:p w14:paraId="08426206" w14:textId="77777777" w:rsidR="00A8138F" w:rsidRDefault="00A8138F" w:rsidP="00A8138F">
      <w:pPr>
        <w:pStyle w:val="TextoNormal"/>
      </w:pPr>
      <w:r>
        <w:t>Publíquese esta sentencia en el “Boletín Oficial del Estado”.</w:t>
      </w:r>
    </w:p>
    <w:p w14:paraId="0F70CF47" w14:textId="77777777" w:rsidR="00A8138F" w:rsidRDefault="00A8138F" w:rsidP="00A8138F">
      <w:pPr>
        <w:pStyle w:val="TextoNormal"/>
      </w:pPr>
      <w:r>
        <w:t>Dada en Madrid, a veinticuatro de marzo de dos mil veinticinco.</w:t>
      </w:r>
    </w:p>
    <w:p w14:paraId="42854EE0" w14:textId="0F2FD1B4" w:rsidR="00A8138F" w:rsidRDefault="00A8138F">
      <w:pPr>
        <w:spacing w:after="160" w:line="278" w:lineRule="auto"/>
        <w:rPr>
          <w:rFonts w:ascii="Times New Roman" w:eastAsia="Times New Roman" w:hAnsi="Times New Roman" w:cs="Times New Roman"/>
          <w:sz w:val="24"/>
          <w:szCs w:val="24"/>
          <w:lang w:eastAsia="es-ES"/>
        </w:rPr>
      </w:pPr>
      <w:r>
        <w:br w:type="page"/>
      </w:r>
    </w:p>
    <w:p w14:paraId="1AF8E649" w14:textId="77777777" w:rsidR="00A8138F" w:rsidRDefault="00A8138F" w:rsidP="00A8138F">
      <w:pPr>
        <w:pStyle w:val="TtuloResolucin"/>
      </w:pPr>
      <w:bookmarkStart w:id="77" w:name="SENTENCIA_2025_75"/>
      <w:r>
        <w:lastRenderedPageBreak/>
        <w:t>SENTENCIA 75/2025, de 24 de marzo de 2025</w:t>
      </w:r>
    </w:p>
    <w:bookmarkEnd w:id="77"/>
    <w:p w14:paraId="41739B00" w14:textId="77777777" w:rsidR="00A8138F" w:rsidRDefault="00A8138F" w:rsidP="00A8138F">
      <w:pPr>
        <w:pStyle w:val="TtuloResolucin"/>
      </w:pPr>
      <w:r>
        <w:t>Sala Segunda</w:t>
      </w:r>
    </w:p>
    <w:p w14:paraId="4D348653" w14:textId="77777777" w:rsidR="00A8138F" w:rsidRDefault="00A8138F" w:rsidP="00A8138F">
      <w:pPr>
        <w:pStyle w:val="TtuloBOE"/>
      </w:pPr>
      <w:r>
        <w:t>(BOE núm. 109, de 6 de mayo de 2025)</w:t>
      </w:r>
    </w:p>
    <w:p w14:paraId="37749794" w14:textId="77777777" w:rsidR="00A8138F" w:rsidRDefault="00A8138F" w:rsidP="00A8138F">
      <w:pPr>
        <w:pStyle w:val="TextoNormalCentrado"/>
      </w:pPr>
      <w:r>
        <w:t>ECLI:ES:TC:2025:75</w:t>
      </w:r>
    </w:p>
    <w:p w14:paraId="14831004" w14:textId="030A2686" w:rsidR="00A8138F" w:rsidRDefault="00A8138F" w:rsidP="00A8138F">
      <w:pPr>
        <w:pStyle w:val="TextoNormalCentrado"/>
      </w:pPr>
    </w:p>
    <w:p w14:paraId="483B88E9" w14:textId="77777777" w:rsidR="00A8138F" w:rsidRDefault="00A8138F" w:rsidP="00A8138F">
      <w:pPr>
        <w:pStyle w:val="SntesisDescriptiva"/>
      </w:pPr>
      <w:r>
        <w:t>Recurso de amparo 5760-2024. Promovido por doña Cristina Victoria Asenjo Gismero en relación con las resoluciones administrativas y judiciales que desestimaron su petición de revisión y ampliación de la prestación por nacimiento y cuidado de hijo menor, como madre biológica de familia monoparental.</w:t>
      </w:r>
    </w:p>
    <w:p w14:paraId="244DF5F3" w14:textId="24F78F27" w:rsidR="00A8138F" w:rsidRDefault="00A8138F" w:rsidP="00A8138F">
      <w:pPr>
        <w:pStyle w:val="SntesisDescriptiva"/>
      </w:pPr>
    </w:p>
    <w:p w14:paraId="0DCA0669"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340E57F5" w14:textId="365C4B85" w:rsidR="00A8138F" w:rsidRDefault="00A8138F" w:rsidP="00A8138F">
      <w:pPr>
        <w:pStyle w:val="SntesisAnaltica"/>
      </w:pPr>
    </w:p>
    <w:p w14:paraId="21DCD4AB" w14:textId="2FD757F9"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611B5A74" w14:textId="77777777" w:rsidR="00A8138F" w:rsidRDefault="00A8138F" w:rsidP="00A8138F">
      <w:pPr>
        <w:pStyle w:val="Extracto"/>
      </w:pPr>
    </w:p>
    <w:p w14:paraId="0C2B5633" w14:textId="77777777" w:rsidR="00A8138F" w:rsidRDefault="00A8138F" w:rsidP="00A8138F">
      <w:pPr>
        <w:pStyle w:val="Extracto"/>
      </w:pPr>
    </w:p>
    <w:p w14:paraId="00DCF398"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B8A071C" w14:textId="42CE5699" w:rsidR="00A8138F" w:rsidRDefault="00A8138F" w:rsidP="00A8138F">
      <w:pPr>
        <w:pStyle w:val="TextoNormal"/>
      </w:pPr>
    </w:p>
    <w:p w14:paraId="424359CC" w14:textId="77777777" w:rsidR="00A8138F" w:rsidRDefault="00A8138F" w:rsidP="00A8138F">
      <w:pPr>
        <w:pStyle w:val="TextoNormalCentrado"/>
        <w:keepNext/>
      </w:pPr>
      <w:r>
        <w:t>EN NOMBRE DEL REY</w:t>
      </w:r>
    </w:p>
    <w:p w14:paraId="1DA3C244" w14:textId="2E605FAE" w:rsidR="00A8138F" w:rsidRDefault="00A8138F" w:rsidP="00A8138F">
      <w:pPr>
        <w:pStyle w:val="TextoNormalCentrado"/>
        <w:keepNext/>
      </w:pPr>
    </w:p>
    <w:p w14:paraId="1183468F" w14:textId="77777777" w:rsidR="00A8138F" w:rsidRDefault="00A8138F" w:rsidP="00A8138F">
      <w:pPr>
        <w:pStyle w:val="TextoNormalCentrado"/>
        <w:keepNext/>
      </w:pPr>
    </w:p>
    <w:p w14:paraId="399CA4F1" w14:textId="77777777" w:rsidR="00A8138F" w:rsidRDefault="00A8138F" w:rsidP="00A8138F">
      <w:pPr>
        <w:pStyle w:val="TextoNormal"/>
      </w:pPr>
      <w:r>
        <w:t>la siguiente</w:t>
      </w:r>
    </w:p>
    <w:p w14:paraId="37275B75" w14:textId="7BEC76F6" w:rsidR="00A8138F" w:rsidRDefault="00A8138F" w:rsidP="00A8138F">
      <w:pPr>
        <w:pStyle w:val="TextoNormal"/>
      </w:pPr>
    </w:p>
    <w:p w14:paraId="7393F7A7" w14:textId="77777777" w:rsidR="00A8138F" w:rsidRDefault="00A8138F" w:rsidP="00A8138F">
      <w:pPr>
        <w:pStyle w:val="TextoNormalCentrado"/>
        <w:keepNext/>
      </w:pPr>
      <w:r>
        <w:t>SENTENCIA</w:t>
      </w:r>
    </w:p>
    <w:p w14:paraId="558F6DBC" w14:textId="7A719CA9" w:rsidR="00A8138F" w:rsidRDefault="00A8138F" w:rsidP="00A8138F">
      <w:pPr>
        <w:pStyle w:val="TextoNormalCentrado"/>
        <w:keepNext/>
      </w:pPr>
    </w:p>
    <w:p w14:paraId="62C61315" w14:textId="77777777" w:rsidR="00A8138F" w:rsidRDefault="00A8138F" w:rsidP="00A8138F">
      <w:pPr>
        <w:pStyle w:val="TextoNormal"/>
      </w:pPr>
      <w:r>
        <w:t>En el recurso de amparo núm. 5760-2024, promovido por doña Cristina Victoria Asenjo Gismero, representada por la procuradora de los tribunales doña Alicia Suau Casado y asistida por la letrada doña Aída Casanova Pérez, contra las resoluciones presuntas del Instituto Nacional de la Seguridad Social (INSS) y la Tesorería General de la seguridad Social (TGSS) que le denegaron la solicitud de ampliación de la prestación por nacimiento y cuidado de su hija menor como madre biológica de familia monoparental; la sentencia núm. 409/2022, de 24 de noviembre de 2022, del Juzgado de lo Social núm. 45 de Madrid (autos núm. 671-2022), que desestimó la demanda interpuesta contra el INSS y TGSS en reclamación de tal ampliación; la sentencia núm. 551/2023-C, de la Sala de lo Social del Tribunal Superior de Justicia de Madrid, de 16 de junio de 2023 que desestimó el recurso de suplicación núm. 76-2023 y el auto. por el que la Sala de lo Social del Tribunal Supremo lo inadmite en fecha de 22 de mayo de 2024 (recurso de casación para unificación de doctrina núm 4188-2023). Han intervenido el letrado de la administración de la Seguridad Social, en nom</w:t>
      </w:r>
      <w:r>
        <w:lastRenderedPageBreak/>
        <w:t>bre del INSS y de la TGSS y el Ministerio Fiscal. Ha sido ponente la magistrada doña Laura Díez Bueso.</w:t>
      </w:r>
    </w:p>
    <w:p w14:paraId="52981696" w14:textId="46E1E2C9" w:rsidR="00A8138F" w:rsidRDefault="00A8138F" w:rsidP="00A8138F">
      <w:pPr>
        <w:pStyle w:val="TextoNormal"/>
      </w:pPr>
    </w:p>
    <w:p w14:paraId="4E07E045" w14:textId="77777777" w:rsidR="00A8138F" w:rsidRDefault="00A8138F" w:rsidP="00A8138F">
      <w:pPr>
        <w:pStyle w:val="TextoNormalNegritaCentrado"/>
        <w:keepNext/>
      </w:pPr>
      <w:r>
        <w:t>I. Antecedentes</w:t>
      </w:r>
    </w:p>
    <w:p w14:paraId="7302BE69" w14:textId="4B4FC365" w:rsidR="00A8138F" w:rsidRDefault="00A8138F" w:rsidP="00A8138F">
      <w:pPr>
        <w:pStyle w:val="TextoNormalNegritaCentrado"/>
        <w:keepNext/>
      </w:pPr>
    </w:p>
    <w:p w14:paraId="56A2BD75" w14:textId="27E4CAC9" w:rsidR="00A8138F" w:rsidRDefault="00A8138F" w:rsidP="00A8138F">
      <w:pPr>
        <w:pStyle w:val="TextoNormal"/>
      </w:pPr>
      <w:r w:rsidRPr="00A8138F">
        <w:rPr>
          <w:rStyle w:val="NumeroAFNegritaCaracter"/>
        </w:rPr>
        <w:t>1</w:t>
      </w:r>
      <w:r>
        <w:t>. Mediante escrito registrado en este tribunal el 22 de julio de 2024, la representante procesal de doña Cristina Victoria Asenjo Gismero, bajo la dirección letrada de doña Aída Casanova Pérez, interpuso recurso de amparo contra las resoluciones administrativas y judiciales a las que se ha hecho referencia en el encabezamiento de esta sentencia.</w:t>
      </w:r>
    </w:p>
    <w:p w14:paraId="4B6A2696" w14:textId="77777777" w:rsidR="00A8138F" w:rsidRDefault="00A8138F" w:rsidP="00A8138F">
      <w:pPr>
        <w:pStyle w:val="TextoNormal"/>
      </w:pPr>
    </w:p>
    <w:p w14:paraId="45F16BA1"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70611AFC" w14:textId="77777777" w:rsidR="00A8138F" w:rsidRDefault="00A8138F" w:rsidP="00A8138F">
      <w:pPr>
        <w:pStyle w:val="TextoNormal"/>
      </w:pPr>
    </w:p>
    <w:p w14:paraId="4B43E47B" w14:textId="77777777" w:rsidR="00A8138F" w:rsidRDefault="00A8138F" w:rsidP="00A8138F">
      <w:pPr>
        <w:pStyle w:val="TextoNormal"/>
      </w:pPr>
      <w:r>
        <w:t>a) La señora Asenjo Gismero es madre biológica de una niña nacida el 27 de febrero de 2022, siendo su única progenitora registral. Por resolución de 4 de marzo de 2022 le fue reconocido por el INSS el derecho a la prestación de nacimiento y cuidado de la menor por el período que va desde el 27 de febrero al 18 de junio de 2022 (dieciséis semanas). Posteriormente, la actora solicitó la ampliación de su permiso, añadiendo al período ya reconocido el que consideraba hubiera correspondido al segundo progenitor en el supuesto de una familia biparental (dieciséis semanas).</w:t>
      </w:r>
    </w:p>
    <w:p w14:paraId="6D181AA0" w14:textId="77777777" w:rsidR="00A8138F" w:rsidRDefault="00A8138F" w:rsidP="00A8138F">
      <w:pPr>
        <w:pStyle w:val="TextoNormal"/>
      </w:pPr>
    </w:p>
    <w:p w14:paraId="17E38A5B" w14:textId="77777777" w:rsidR="00A8138F" w:rsidRDefault="00A8138F" w:rsidP="00A8138F">
      <w:pPr>
        <w:pStyle w:val="TextoNormal"/>
      </w:pPr>
      <w:r>
        <w:t>b) La solicitud de revisión y ampliación de la prestación no fue resuelta por el INSS, lo que dio lugar a que la demandante formulase reclamación administrativa, que tampoco fue resuelta, por lo que la entendió denegada por silencio administrativo.</w:t>
      </w:r>
    </w:p>
    <w:p w14:paraId="1075F7A7" w14:textId="77777777" w:rsidR="00A8138F" w:rsidRDefault="00A8138F" w:rsidP="00A8138F">
      <w:pPr>
        <w:pStyle w:val="TextoNormal"/>
      </w:pPr>
    </w:p>
    <w:p w14:paraId="0C1C73D6" w14:textId="77777777" w:rsidR="00A8138F" w:rsidRDefault="00A8138F" w:rsidP="00A8138F">
      <w:pPr>
        <w:pStyle w:val="TextoNormal"/>
      </w:pPr>
      <w:r>
        <w:t>c) La recurrente presentó demanda contra el INSS y TGSS denunciando una discriminación por indiferenciación del art. 48.4 de la Ley del estatuto de los trabajadores (en adelante LET), solicitando que se le reconociera el derecho a ampliar su permiso por nacimiento y cuidado de menor al tiempo que le hubiera correspondido al otro progenitor de haberse tratado de una familia biparental.</w:t>
      </w:r>
    </w:p>
    <w:p w14:paraId="723E1635" w14:textId="77777777" w:rsidR="00A8138F" w:rsidRDefault="00A8138F" w:rsidP="00A8138F">
      <w:pPr>
        <w:pStyle w:val="TextoNormal"/>
      </w:pPr>
    </w:p>
    <w:p w14:paraId="6DCD5AA9" w14:textId="77777777" w:rsidR="00A8138F" w:rsidRDefault="00A8138F" w:rsidP="00A8138F">
      <w:pPr>
        <w:pStyle w:val="TextoNormal"/>
      </w:pPr>
      <w:r>
        <w:t>d) Mediante sentencia de 24 de noviembre de 2022 (autos núm. 671-2022), el Juzgado de lo Social núm. 45 de Madrid, tras la cita de la normativa legal aplicable, la doctrina jurisprudencial existente sobre la materia y advertir que “sería conveniente que se reformara próximamente dicha norma a fin de recoger de forma expresa los términos en que debería reconocerse este derecho, dado que gran parte de la sociedad y de los grupos parlamentarios consideran que debe ser objeto de una especial protección, atendiendo al interés del menor”, declaró que la pretensión de la actora no tenía amparo legal y la demanda debía ser desestimada.</w:t>
      </w:r>
    </w:p>
    <w:p w14:paraId="1FDBD2A9" w14:textId="77777777" w:rsidR="00A8138F" w:rsidRDefault="00A8138F" w:rsidP="00A8138F">
      <w:pPr>
        <w:pStyle w:val="TextoNormal"/>
      </w:pPr>
    </w:p>
    <w:p w14:paraId="6959050F" w14:textId="77777777" w:rsidR="00A8138F" w:rsidRDefault="00A8138F" w:rsidP="00A8138F">
      <w:pPr>
        <w:pStyle w:val="TextoNormal"/>
      </w:pPr>
      <w:r>
        <w:t>e) Formulado recurso de suplicación frente a la anterior resolución fue desestimado por sentencia núm. 551/2023-C, de 16 de junio, de la Sección Tercera de la Sala de lo Social del Tribunal Superior de Justicia de Madrid (recurso de suplicación núm. 76-2023), trasladando como argumento la sentencia núm. 169/2023, de 2 de marzo de la Sala de lo Social del Tribunal Supremo.</w:t>
      </w:r>
    </w:p>
    <w:p w14:paraId="592A7BAE" w14:textId="77777777" w:rsidR="00A8138F" w:rsidRDefault="00A8138F" w:rsidP="00A8138F">
      <w:pPr>
        <w:pStyle w:val="TextoNormal"/>
      </w:pPr>
    </w:p>
    <w:p w14:paraId="247C40AA" w14:textId="17755B3D" w:rsidR="00A8138F" w:rsidRDefault="00A8138F" w:rsidP="00A8138F">
      <w:pPr>
        <w:pStyle w:val="TextoNormal"/>
      </w:pPr>
      <w:r>
        <w:lastRenderedPageBreak/>
        <w:t>f) La actora interpuso recurso de casación para la unificación de doctrina la sentencia de la Sala de lo Social antes citada, que fue inadmitido por la Sala de lo Social del Tribunal Supremo (autos núm. 4188-2023) por auto de 22 de mayo de 2024 (ECLI:ES:TS:2024:8216A), al ser coincidente la sentencia recurrida con la doctrina mantenida por esa misma Sala en sus sentencias de 2 de marzo de 2023, de Pleno (recurso de unificación de doctrina núm. 3972-2020, ECLI:ES:TS:2023:783) aclarada por auto de 11 de enero de 2024 (ECLI:ES:TS:2024:199AA), seguida por otras muchas de 14 de junio de 2023 (recurso de unificación de doctrina núm. 1642-2022, ECLI:ES:TS:2023:3053), o más recientemente de 12 de diciembre de 2023 [recurso de unificación de doctrina núm. 2065-2022 (ECLI:ES:TS:2023:5732) y 5054-2022 (ECLI:ES:TS:2023:5746)] y de 21 de febrero de 2024 [recurso de unificación de doctrina núm. 576-2023 (ECLI:ES:TS:2024:1105), 3649-2022 (ECLI:ES:TS:2024:1106), y 4074-2021(ECLI:ES:TS:2024:1107)].</w:t>
      </w:r>
    </w:p>
    <w:p w14:paraId="24C4C7B7" w14:textId="77777777" w:rsidR="00A8138F" w:rsidRDefault="00A8138F" w:rsidP="00A8138F">
      <w:pPr>
        <w:pStyle w:val="TextoNormal"/>
      </w:pPr>
    </w:p>
    <w:p w14:paraId="4FEDAD48" w14:textId="77777777" w:rsidR="00A8138F" w:rsidRDefault="00A8138F" w:rsidP="00A8138F">
      <w:pPr>
        <w:pStyle w:val="TextoNormal"/>
      </w:pPr>
      <w:r w:rsidRPr="00A8138F">
        <w:rPr>
          <w:rStyle w:val="NumeroAFNegritaCaracter"/>
        </w:rPr>
        <w:t>3</w:t>
      </w:r>
      <w:r>
        <w:t>. Los motivos por los que la demandante solicita el amparo, se basan en la vulneración de los derechos fundamentales a la igualdad en la ley y a la no discriminación directa por circunstancia personal y familiar e indirecta por razón de sexo (art. 14 CE en relación con los arts. 39 y 9.2 CE), dado que las resoluciones administrativas y judiciales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alcanzando ese resultado peyorativo y discriminatorio a su hija, nacida en dicha familia monoparental, sin que las resoluciones impugnadas hayan tenido en cuenta el interés superior del menor a cuyo respeto estaban obligadas por el art. 39. 4 CE y por la Convención sobre los derechos del niño (art. 10.2 CE).</w:t>
      </w:r>
    </w:p>
    <w:p w14:paraId="4381C69A" w14:textId="77777777" w:rsidR="00A8138F" w:rsidRDefault="00A8138F" w:rsidP="00A8138F">
      <w:pPr>
        <w:pStyle w:val="TextoNormal"/>
      </w:pPr>
    </w:p>
    <w:p w14:paraId="0FC39CE6" w14:textId="4B1DA529" w:rsidR="00A8138F" w:rsidRDefault="00A8138F" w:rsidP="00A8138F">
      <w:pPr>
        <w:pStyle w:val="TextoNormal"/>
      </w:pPr>
      <w:r>
        <w:t>En virtud de todo ello interesa de este tribunal que, además del reconocimiento de la vulneración de los derechos fundamentales invocados, declare su derecho a la ampliación del permiso por nacimiento de hijo, y la nulidad de (i) las resoluciones presuntas del INSS que deniegan la ampliación solicitada; (ii) la sentencia núm. 409/2022, de 24 de noviembre de 2022, del Juzgado de lo Social núm. 45 de Madrid (autos núm. 671-2022); (iii) la sentencia núm. 551/2023-C, de la Sala de lo Social del Tribunal Superior de Justicia de Madrid, de 16 de junio de 2023; y (iv) el auto, por el que la Sala de lo Social del Tribunal Supremo de 22 de mayo de 2024 (recurso de unificación de doctrina núm 4188-2023), retrotrayendo las actuaciones al momento previo a resolver la reclamación administrativa de revisión de la prestación reconocida a la demandante, para que se dicte otra que respete los derechos fundamentales de la recurrente.</w:t>
      </w:r>
    </w:p>
    <w:p w14:paraId="3CEBB92C" w14:textId="77777777" w:rsidR="00A8138F" w:rsidRDefault="00A8138F" w:rsidP="00A8138F">
      <w:pPr>
        <w:pStyle w:val="TextoNormal"/>
      </w:pPr>
    </w:p>
    <w:p w14:paraId="38F36F95" w14:textId="6F410CD6" w:rsidR="00A8138F" w:rsidRDefault="00A8138F" w:rsidP="00A8138F">
      <w:pPr>
        <w:pStyle w:val="TextoNormal"/>
      </w:pPr>
      <w:r w:rsidRPr="00A8138F">
        <w:rPr>
          <w:rStyle w:val="NumeroAFNegritaCaracter"/>
        </w:rPr>
        <w:t>4</w:t>
      </w:r>
      <w:r>
        <w:t>. Con fecha de 24 de julio de 2024, el secretario de Justicia de la Sala Segunda de este tribunal dictó diligencia de ordenación teniendo por recibidos el escrito de demanda y los documentos adjuntos y ordenando su notificación al Ministerio Fiscal y a la representación de la demandante.</w:t>
      </w:r>
    </w:p>
    <w:p w14:paraId="7A41E57E" w14:textId="77777777" w:rsidR="00A8138F" w:rsidRDefault="00A8138F" w:rsidP="00A8138F">
      <w:pPr>
        <w:pStyle w:val="TextoNormal"/>
      </w:pPr>
    </w:p>
    <w:p w14:paraId="2E5A0565" w14:textId="4E8DCAC2" w:rsidR="00A8138F" w:rsidRDefault="00A8138F" w:rsidP="00A8138F">
      <w:pPr>
        <w:pStyle w:val="TextoNormal"/>
      </w:pPr>
      <w:r w:rsidRPr="00A8138F">
        <w:rPr>
          <w:rStyle w:val="NumeroAFNegritaCaracter"/>
        </w:rPr>
        <w:t>5</w:t>
      </w:r>
      <w:r>
        <w:t>. Solicitado por la recurrente la rectificación de un error material respecto a su segundo apellido, el 2 de septiembre de 2024, se dictó diligencia de ordenación procediendo a su subsanación.</w:t>
      </w:r>
    </w:p>
    <w:p w14:paraId="443306B3" w14:textId="77777777" w:rsidR="00A8138F" w:rsidRDefault="00A8138F" w:rsidP="00A8138F">
      <w:pPr>
        <w:pStyle w:val="TextoNormal"/>
      </w:pPr>
    </w:p>
    <w:p w14:paraId="0F8BB214" w14:textId="4AE46280" w:rsidR="00A8138F" w:rsidRDefault="00A8138F" w:rsidP="00A8138F">
      <w:pPr>
        <w:pStyle w:val="TextoNormal"/>
      </w:pPr>
      <w:r w:rsidRPr="00A8138F">
        <w:rPr>
          <w:rStyle w:val="NumeroAFNegritaCaracter"/>
        </w:rPr>
        <w:lastRenderedPageBreak/>
        <w:t>6</w:t>
      </w:r>
      <w:r>
        <w:t>. Mediante providencia de 4 de noviembre de 2024, la Sección Tercera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 Madrid, a fin de que, en plazo que no excediera de diez días, remitiera testimonio de lo actuado en el recurso de casación para unificación de doctrina núm. 4188-2023; y en el recurso de suplicación núm. 76-2023, respectivamente y al Juzgado de lo Social núm. 45 de Madrid, a fin de que, en el mismo plazo, remitiera testimonio de las actuaciones correspondientes al procedimiento sobre Seguridad Social núm. 671-2022; debiendo previamente emplazarse, para que en el plazo de diez días pudieran comparecer, si lo deseaban, en el recurso de amparo a quienes hubieran sido parte en el procedimiento, excepto la parte recurrente en amparo.</w:t>
      </w:r>
    </w:p>
    <w:p w14:paraId="3E051BE0" w14:textId="77777777" w:rsidR="00A8138F" w:rsidRDefault="00A8138F" w:rsidP="00A8138F">
      <w:pPr>
        <w:pStyle w:val="TextoNormal"/>
      </w:pPr>
    </w:p>
    <w:p w14:paraId="77B464F5" w14:textId="1BC54ADE" w:rsidR="00A8138F" w:rsidRDefault="00A8138F" w:rsidP="00A8138F">
      <w:pPr>
        <w:pStyle w:val="TextoNormal"/>
      </w:pPr>
      <w:r w:rsidRPr="00A8138F">
        <w:rPr>
          <w:rStyle w:val="NumeroAFNegritaCaracter"/>
        </w:rPr>
        <w:t>7</w:t>
      </w:r>
      <w:r>
        <w:t>. Con fecha de 19 de diciembre de 2024, la Secretaría de Justicia de la Sala Segunda del Tribunal Constitucional dictó diligencia de ordenación en la que se acordaba tener por personada y parte en el procedimiento al letrado de la administración de la Seguridad Social en nombre y representación del INSS y TGSS, acordándose entender con ella ésta y las sucesivas actuaciones y, a tenor de lo dispuesto en el art. 52.1 LOTC, dar vista de actuaciones recibidas a las partes personadas y al Ministerio Fiscal por un plazo común de veinte días, para que dentro de dicho término pudieran presentar las alegaciones que estimasen pertinentes.</w:t>
      </w:r>
    </w:p>
    <w:p w14:paraId="7AAA7D72" w14:textId="77777777" w:rsidR="00A8138F" w:rsidRDefault="00A8138F" w:rsidP="00A8138F">
      <w:pPr>
        <w:pStyle w:val="TextoNormal"/>
      </w:pPr>
    </w:p>
    <w:p w14:paraId="3FAA7CDC" w14:textId="77777777" w:rsidR="00A8138F" w:rsidRDefault="00A8138F" w:rsidP="00A8138F">
      <w:pPr>
        <w:pStyle w:val="TextoNormal"/>
      </w:pPr>
      <w:r w:rsidRPr="00A8138F">
        <w:rPr>
          <w:rStyle w:val="NumeroAFNegritaCaracter"/>
        </w:rPr>
        <w:t>8</w:t>
      </w:r>
      <w:r>
        <w:t>. El letrado de la administración de la Seguridad Social presentó sus alegaciones con fecha 30 de diciembre de 2024. En ellas identifica y describe el contenido de las normas legales aplicables para la resolución de su pretensión (LGSS y LET) para señalar cuál es el sentido y alcance del permiso y la prestación por nacimiento y cuidado del menor.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14:paraId="25AF79DA" w14:textId="77777777" w:rsidR="00A8138F" w:rsidRDefault="00A8138F" w:rsidP="00A8138F">
      <w:pPr>
        <w:pStyle w:val="TextoNormal"/>
      </w:pPr>
    </w:p>
    <w:p w14:paraId="325158B9" w14:textId="77777777" w:rsidR="00A8138F" w:rsidRDefault="00A8138F" w:rsidP="00A8138F">
      <w:pPr>
        <w:pStyle w:val="TextoNormal"/>
      </w:pPr>
      <w:r>
        <w:t>Consigna a continuación la decisión del Pleno del Tribunal Constitucional en la sentencia de 6 de noviembre de 2024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w:t>
      </w:r>
      <w:r>
        <w:lastRenderedPageBreak/>
        <w:t>visto para progenitor distinto (diez semanas, al excluirse las seis primeras, que necesariamente deben disfrutarse de forma ininterrumpida e inmediatamente posterior al parto).</w:t>
      </w:r>
    </w:p>
    <w:p w14:paraId="32B9C7F8" w14:textId="77777777" w:rsidR="00A8138F" w:rsidRDefault="00A8138F" w:rsidP="00A8138F">
      <w:pPr>
        <w:pStyle w:val="TextoNormal"/>
      </w:pPr>
    </w:p>
    <w:p w14:paraId="5E46BA48" w14:textId="68ABD7E0" w:rsidR="00A8138F" w:rsidRDefault="00A8138F" w:rsidP="00A8138F">
      <w:pPr>
        <w:pStyle w:val="TextoNormal"/>
      </w:pPr>
      <w:r>
        <w:t>El letrado, a la vista de lo anterior, “para evitar reiteraciones innecesarias, se ratifica en las alegaciones realizadas a lo largo de todo el procedimiento” al tiempo que sostiene que “[e]n todo caso, se habrá de tener en cuenta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servicios por cuenta ajena ni percibir las correspondientes retribuciones.”. Por lo expuesto, suplica que el Tribunal “se sirva tener por contestado el recurso de amparo presentado y, en el supuesto de estimación del recurso se dicte sentencia conforme con lo señalado en la sentencia de 6 de noviembre de 2024, dictada en la cuestión de inconstitucionalidad núm. 6694-2023”.</w:t>
      </w:r>
    </w:p>
    <w:p w14:paraId="5574D266" w14:textId="77777777" w:rsidR="00A8138F" w:rsidRDefault="00A8138F" w:rsidP="00A8138F">
      <w:pPr>
        <w:pStyle w:val="TextoNormal"/>
      </w:pPr>
    </w:p>
    <w:p w14:paraId="2AE81451" w14:textId="71D08AF1" w:rsidR="00A8138F" w:rsidRDefault="00A8138F" w:rsidP="00A8138F">
      <w:pPr>
        <w:pStyle w:val="TextoNormal"/>
      </w:pPr>
      <w:r w:rsidRPr="00A8138F">
        <w:rPr>
          <w:rStyle w:val="NumeroAFNegritaCaracter"/>
        </w:rPr>
        <w:t>9</w:t>
      </w:r>
      <w:r>
        <w:t>. El 31 de enero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hijo menor.</w:t>
      </w:r>
    </w:p>
    <w:p w14:paraId="0E9484CC" w14:textId="77777777" w:rsidR="00A8138F" w:rsidRDefault="00A8138F" w:rsidP="00A8138F">
      <w:pPr>
        <w:pStyle w:val="TextoNormal"/>
      </w:pPr>
    </w:p>
    <w:p w14:paraId="21A3DFDF" w14:textId="77777777" w:rsidR="00A8138F" w:rsidRDefault="00A8138F" w:rsidP="00A8138F">
      <w:pPr>
        <w:pStyle w:val="TextoNormal"/>
      </w:pPr>
      <w:r w:rsidRPr="00A8138F">
        <w:rPr>
          <w:rStyle w:val="NumeroAFNegritaCaracter"/>
        </w:rPr>
        <w:t>10</w:t>
      </w:r>
      <w:r>
        <w:t>. Con fecha 16 de enero de 2025, el Ministerio Fiscal interesó la estimación del recurso de amparo, por considerar vulnerado el derecho fundamental de la hija menor de la demandante a no ser discriminada por razón de su nacimiento en una familia monoparental. Advierte que en aplicación de la doctrina constitucional establecida en la STC 140/2024, 6 de noviembre, dictada en la cuestión de inconstitucionalidad núm. 6694-2023 y de la que reproduce amplios extractos, la “Fiscalía tiene necesariamente que cambiar el sentido del informe emitido en aquellos [recursos ya informados], en tanto que procede aplicar la nueva doctrina constitucional emanada de la mencionada sentencia”. Así, subraya cómo tras el dictado de la STC 140/2024, “[n]o se trata que la interpretación y aplicación de los mencionados preceptos se haya realizado de manera ilógica o arbitraria, pues cuando se aplicaron eran normas con rango de ley y no se había declarado su inconstitucionalidad; y el Tribunal Constitucional, en la mencionada sentencia, no mantiene que los preceptos sean constitucionales con una interpretación conforme a la Constitución, sino que los declara directamente contrarios al art. 14 CE, en relación con el art. 39 CE, por omisión, estableciendo una interpretación provisional para que su aplicación —ya que no los declara nulos— no siga produciendo una vulneración del art. 14 CE. Es la inconstitucionalidad de las normas la que produce la nulidad de la resolución”.</w:t>
      </w:r>
    </w:p>
    <w:p w14:paraId="19A18A16" w14:textId="77777777" w:rsidR="00A8138F" w:rsidRDefault="00A8138F" w:rsidP="00A8138F">
      <w:pPr>
        <w:pStyle w:val="TextoNormal"/>
      </w:pPr>
    </w:p>
    <w:p w14:paraId="7BFD8C15" w14:textId="33D8F0C0" w:rsidR="00A8138F" w:rsidRDefault="00A8138F" w:rsidP="00A8138F">
      <w:pPr>
        <w:pStyle w:val="TextoNormal"/>
      </w:pPr>
      <w:r>
        <w:t>Respecto a los efectos de la estimación del recurso de amparo entiende que al haber sido denegatorias por silencio las resoluciones administrativas denegatorias y también las judiciales recaídas en el proceso a quo, procede declarar la nulidad de todas ellas con retroacción al momento en que la demandante presentó la solicitud de reconocimiento de la prestación acumulada de treinta y dos semanas, para que por el INSS se dicte resolución que dé una respuesta respetuosa con el derecho.</w:t>
      </w:r>
    </w:p>
    <w:p w14:paraId="134CDD75" w14:textId="77777777" w:rsidR="00A8138F" w:rsidRDefault="00A8138F" w:rsidP="00A8138F">
      <w:pPr>
        <w:pStyle w:val="TextoNormal"/>
      </w:pPr>
    </w:p>
    <w:p w14:paraId="3AA64C0A" w14:textId="18BFE6B7" w:rsidR="00A8138F" w:rsidRDefault="00A8138F" w:rsidP="00A8138F">
      <w:pPr>
        <w:pStyle w:val="TextoNormal"/>
      </w:pPr>
      <w:r w:rsidRPr="00A8138F">
        <w:rPr>
          <w:rStyle w:val="NumeroAFNegritaCaracter"/>
        </w:rPr>
        <w:lastRenderedPageBreak/>
        <w:t>11</w:t>
      </w:r>
      <w:r>
        <w:t>. Mediante providencia de 20 de marzo de 2025, se señaló para deliberación y votación de la presente sentencia el día 24 del mismo mes y año.</w:t>
      </w:r>
    </w:p>
    <w:p w14:paraId="22DE216B" w14:textId="77777777" w:rsidR="00A8138F" w:rsidRDefault="00A8138F" w:rsidP="00A8138F">
      <w:pPr>
        <w:pStyle w:val="TextoNormal"/>
      </w:pPr>
    </w:p>
    <w:p w14:paraId="4AE972A2" w14:textId="77777777" w:rsidR="00A8138F" w:rsidRDefault="00A8138F" w:rsidP="00A8138F">
      <w:pPr>
        <w:pStyle w:val="TextoNormalNegritaCentrado"/>
        <w:keepNext/>
      </w:pPr>
      <w:r>
        <w:t>II. Fundamentos jurídicos</w:t>
      </w:r>
    </w:p>
    <w:p w14:paraId="3AA9A9CB" w14:textId="19E39575" w:rsidR="00A8138F" w:rsidRDefault="00A8138F" w:rsidP="00A8138F">
      <w:pPr>
        <w:pStyle w:val="TextoNormalNegritaCentrado"/>
        <w:keepNext/>
      </w:pPr>
    </w:p>
    <w:p w14:paraId="639599CD"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3B30F7AA" w14:textId="77777777" w:rsidR="00A8138F" w:rsidRDefault="00A8138F" w:rsidP="00A8138F">
      <w:pPr>
        <w:pStyle w:val="TextoNormal"/>
      </w:pPr>
    </w:p>
    <w:p w14:paraId="118F9045" w14:textId="77777777" w:rsidR="00A8138F" w:rsidRDefault="00A8138F" w:rsidP="00A8138F">
      <w:pPr>
        <w:pStyle w:val="TextoNormal"/>
      </w:pPr>
      <w:r>
        <w:t>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LET, en relación con el art. 177 LGSS, en la redacción dada a los mismos por el Real Decreto-ley 6/2019, de 1 de marzo, de medidas urgentes para garantía de la igualdad de trato y de oportunidades entre mujeres y hombres en el empleo y la ocupación, en relación el permiso y la correspondiente prestación económica por nacimiento y cuidado del menor previstos.</w:t>
      </w:r>
    </w:p>
    <w:p w14:paraId="1790DAD0" w14:textId="77777777" w:rsidR="00A8138F" w:rsidRDefault="00A8138F" w:rsidP="00A8138F">
      <w:pPr>
        <w:pStyle w:val="TextoNormal"/>
      </w:pPr>
    </w:p>
    <w:p w14:paraId="297832E2" w14:textId="77777777" w:rsidR="00A8138F" w:rsidRDefault="00A8138F" w:rsidP="00A8138F">
      <w:pPr>
        <w:pStyle w:val="TextoNormal"/>
      </w:pPr>
      <w:r>
        <w:t>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2B9C1F4" w14:textId="77777777" w:rsidR="00A8138F" w:rsidRDefault="00A8138F" w:rsidP="00A8138F">
      <w:pPr>
        <w:pStyle w:val="TextoNormal"/>
      </w:pPr>
    </w:p>
    <w:p w14:paraId="34F9606F" w14:textId="77777777" w:rsidR="00A8138F" w:rsidRDefault="00A8138F" w:rsidP="00A8138F">
      <w:pPr>
        <w:pStyle w:val="TextoNormal"/>
      </w:pPr>
      <w:r>
        <w:t>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4B5F8C8" w14:textId="77777777" w:rsidR="00A8138F" w:rsidRDefault="00A8138F" w:rsidP="00A8138F">
      <w:pPr>
        <w:pStyle w:val="TextoNormal"/>
      </w:pPr>
    </w:p>
    <w:p w14:paraId="060C42FC" w14:textId="77777777" w:rsidR="00A8138F" w:rsidRDefault="00A8138F" w:rsidP="00A8138F">
      <w:pPr>
        <w:pStyle w:val="TextoNormal"/>
      </w:pPr>
      <w:r>
        <w:t xml:space="preserve">Los arts. 48.4 LET y 177 LGSS, al no prever la posibilidad de que “las madres biológicas de familias monoparentales, trabajadoras por cuenta ajena, puedan ampliar su permiso por </w:t>
      </w:r>
      <w:r>
        <w:lastRenderedPageBreak/>
        <w:t xml:space="preserve">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2B4B862" w14:textId="77777777" w:rsidR="00A8138F" w:rsidRDefault="00A8138F" w:rsidP="00A8138F">
      <w:pPr>
        <w:pStyle w:val="TextoNormal"/>
      </w:pPr>
    </w:p>
    <w:p w14:paraId="4DBB15FF" w14:textId="2C8400FC"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66797BC2" w14:textId="77777777" w:rsidR="00A8138F" w:rsidRDefault="00A8138F" w:rsidP="00A8138F">
      <w:pPr>
        <w:pStyle w:val="TextoNormal"/>
      </w:pPr>
    </w:p>
    <w:p w14:paraId="199FE3B5" w14:textId="77777777" w:rsidR="00A8138F" w:rsidRDefault="00A8138F" w:rsidP="00A8138F">
      <w:pPr>
        <w:pStyle w:val="TextoNormalCentrado"/>
        <w:keepNext/>
      </w:pPr>
      <w:r>
        <w:t>FALLO</w:t>
      </w:r>
    </w:p>
    <w:p w14:paraId="1DD9B519" w14:textId="440547CA" w:rsidR="00A8138F" w:rsidRDefault="00A8138F" w:rsidP="00A8138F">
      <w:pPr>
        <w:pStyle w:val="TextoNormalCentrado"/>
        <w:keepNext/>
      </w:pPr>
    </w:p>
    <w:p w14:paraId="624EEA5F"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Cristina Victoria Asenjo Gismero y, en su virtud:</w:t>
      </w:r>
    </w:p>
    <w:p w14:paraId="067C11DD" w14:textId="77777777" w:rsidR="00A8138F" w:rsidRDefault="00A8138F" w:rsidP="00A8138F">
      <w:pPr>
        <w:pStyle w:val="TextoNormal"/>
      </w:pPr>
    </w:p>
    <w:p w14:paraId="15ABF5FD" w14:textId="77777777" w:rsidR="00A8138F" w:rsidRDefault="00A8138F" w:rsidP="00A8138F">
      <w:pPr>
        <w:pStyle w:val="TextoNormal"/>
      </w:pPr>
      <w:r>
        <w:t>1º. Declarar vulnerado el derecho fundamental a la igualdad ante la ley, sin que pueda prevalecer discriminación alguna (art. 14 CE).</w:t>
      </w:r>
    </w:p>
    <w:p w14:paraId="45FB47BF" w14:textId="77777777" w:rsidR="00A8138F" w:rsidRDefault="00A8138F" w:rsidP="00A8138F">
      <w:pPr>
        <w:pStyle w:val="TextoNormal"/>
      </w:pPr>
    </w:p>
    <w:p w14:paraId="36112784" w14:textId="77777777" w:rsidR="00A8138F" w:rsidRDefault="00A8138F" w:rsidP="00A8138F">
      <w:pPr>
        <w:pStyle w:val="TextoNormal"/>
      </w:pPr>
      <w:r>
        <w:t>2º. Restablecerla en su derecho y, en consecuencia, declarar la nulidad de la sentencia núm. 409/2022 de 24 de noviembre de 2022 dictada por el Juzgado de lo Social núm. 45 de Madrid en los autos núm. 671-2022; de la sentencia núm. 551/2023-C, de 16 de junio dictada por la Sala de lo Social del Tribunal Superior de Justicia de Madrid en el recurso de suplicación núm. 76-2023, y del auto de 22 de mayo de 2024 de la Sala de lo Social del Tribunal Supremo, que inadmite el recurso de casación para la unificación de doctrina núm. 4188-2023, presentado contra la anterior sentencia.</w:t>
      </w:r>
    </w:p>
    <w:p w14:paraId="04175A75" w14:textId="77777777" w:rsidR="00A8138F" w:rsidRDefault="00A8138F" w:rsidP="00A8138F">
      <w:pPr>
        <w:pStyle w:val="TextoNormal"/>
      </w:pPr>
    </w:p>
    <w:p w14:paraId="5E164521" w14:textId="016F727B" w:rsidR="00A8138F" w:rsidRDefault="00A8138F" w:rsidP="00A8138F">
      <w:pPr>
        <w:pStyle w:val="TextoNormal"/>
      </w:pPr>
      <w:r>
        <w:t>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presente sentencia, se dicte una resolución expresa respetuosa con el derecho fundamental vulnerado.</w:t>
      </w:r>
    </w:p>
    <w:p w14:paraId="09B9F6D7" w14:textId="77777777" w:rsidR="00A8138F" w:rsidRDefault="00A8138F" w:rsidP="00A8138F">
      <w:pPr>
        <w:pStyle w:val="TextoNormal"/>
      </w:pPr>
    </w:p>
    <w:p w14:paraId="46B9BA1C" w14:textId="77777777" w:rsidR="00A8138F" w:rsidRDefault="00A8138F" w:rsidP="00A8138F">
      <w:pPr>
        <w:pStyle w:val="TextoNormal"/>
      </w:pPr>
      <w:r>
        <w:t>Publíquese esta sentencia en el “Boletín Oficial del Estado”.</w:t>
      </w:r>
    </w:p>
    <w:p w14:paraId="63C14F8B" w14:textId="77777777" w:rsidR="00A8138F" w:rsidRDefault="00A8138F" w:rsidP="00A8138F">
      <w:pPr>
        <w:pStyle w:val="TextoNormal"/>
      </w:pPr>
      <w:r>
        <w:t>Dada en Madrid, a veinticuatro de marzo de dos mil veinticinco.</w:t>
      </w:r>
    </w:p>
    <w:p w14:paraId="76CD1227" w14:textId="343E637F" w:rsidR="00A8138F" w:rsidRDefault="00A8138F">
      <w:pPr>
        <w:spacing w:after="160" w:line="278" w:lineRule="auto"/>
        <w:rPr>
          <w:rFonts w:ascii="Times New Roman" w:eastAsia="Times New Roman" w:hAnsi="Times New Roman" w:cs="Times New Roman"/>
          <w:sz w:val="24"/>
          <w:szCs w:val="24"/>
          <w:lang w:eastAsia="es-ES"/>
        </w:rPr>
      </w:pPr>
      <w:r>
        <w:br w:type="page"/>
      </w:r>
    </w:p>
    <w:p w14:paraId="2E91E648" w14:textId="77777777" w:rsidR="00A8138F" w:rsidRDefault="00A8138F" w:rsidP="00A8138F">
      <w:pPr>
        <w:pStyle w:val="TtuloResolucin"/>
      </w:pPr>
      <w:bookmarkStart w:id="78" w:name="SENTENCIA_2025_76"/>
      <w:r>
        <w:lastRenderedPageBreak/>
        <w:t>SENTENCIA 76/2025, de 24 de marzo de 2025</w:t>
      </w:r>
    </w:p>
    <w:bookmarkEnd w:id="78"/>
    <w:p w14:paraId="25FE325B" w14:textId="77777777" w:rsidR="00A8138F" w:rsidRDefault="00A8138F" w:rsidP="00A8138F">
      <w:pPr>
        <w:pStyle w:val="TtuloResolucin"/>
      </w:pPr>
      <w:r>
        <w:t>Sala Segunda</w:t>
      </w:r>
    </w:p>
    <w:p w14:paraId="47165DDA" w14:textId="77777777" w:rsidR="00A8138F" w:rsidRDefault="00A8138F" w:rsidP="00A8138F">
      <w:pPr>
        <w:pStyle w:val="TtuloBOE"/>
      </w:pPr>
      <w:r>
        <w:t>(BOE núm. 109, de 6 de mayo de 2025)</w:t>
      </w:r>
    </w:p>
    <w:p w14:paraId="2AF871A7" w14:textId="77777777" w:rsidR="00A8138F" w:rsidRDefault="00A8138F" w:rsidP="00A8138F">
      <w:pPr>
        <w:pStyle w:val="TextoNormalCentrado"/>
      </w:pPr>
      <w:r>
        <w:t>ECLI:ES:TC:2025:76</w:t>
      </w:r>
    </w:p>
    <w:p w14:paraId="73DDD1CF" w14:textId="1FC6DC26" w:rsidR="00A8138F" w:rsidRDefault="00A8138F" w:rsidP="00A8138F">
      <w:pPr>
        <w:pStyle w:val="TextoNormalCentrado"/>
      </w:pPr>
    </w:p>
    <w:p w14:paraId="57D7DF17" w14:textId="77777777" w:rsidR="00A8138F" w:rsidRDefault="00A8138F" w:rsidP="00A8138F">
      <w:pPr>
        <w:pStyle w:val="SntesisDescriptiva"/>
      </w:pPr>
      <w:r>
        <w:t>Recurso de amparo 5788-2024. Promovido por doña Nuria Pérez Agapito en relación con las resoluciones administrativas y judiciales que desestimaron su petición de revisión y ampliación de la prestación por nacimiento y cuidado de hijo menor, como madre biológica de familia monoparental.</w:t>
      </w:r>
    </w:p>
    <w:p w14:paraId="5A2E11E2" w14:textId="6D89BB00" w:rsidR="00A8138F" w:rsidRDefault="00A8138F" w:rsidP="00A8138F">
      <w:pPr>
        <w:pStyle w:val="SntesisDescriptiva"/>
      </w:pPr>
    </w:p>
    <w:p w14:paraId="154D9E3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847A3D2" w14:textId="09DA431E" w:rsidR="00A8138F" w:rsidRDefault="00A8138F" w:rsidP="00A8138F">
      <w:pPr>
        <w:pStyle w:val="SntesisAnaltica"/>
      </w:pPr>
    </w:p>
    <w:p w14:paraId="4590F6CE" w14:textId="65590A9C"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04F7B50" w14:textId="77777777" w:rsidR="00A8138F" w:rsidRDefault="00A8138F" w:rsidP="00A8138F">
      <w:pPr>
        <w:pStyle w:val="Extracto"/>
      </w:pPr>
    </w:p>
    <w:p w14:paraId="6F27FA86" w14:textId="77777777" w:rsidR="00A8138F" w:rsidRDefault="00A8138F" w:rsidP="00A8138F">
      <w:pPr>
        <w:pStyle w:val="Extracto"/>
      </w:pPr>
    </w:p>
    <w:p w14:paraId="749B40B3"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FC6F659" w14:textId="4735C389" w:rsidR="00A8138F" w:rsidRDefault="00A8138F" w:rsidP="00A8138F">
      <w:pPr>
        <w:pStyle w:val="TextoNormal"/>
      </w:pPr>
    </w:p>
    <w:p w14:paraId="1E7A0B69" w14:textId="77777777" w:rsidR="00A8138F" w:rsidRDefault="00A8138F" w:rsidP="00A8138F">
      <w:pPr>
        <w:pStyle w:val="TextoNormalCentrado"/>
        <w:keepNext/>
      </w:pPr>
      <w:r>
        <w:t>EN NOMBRE DEL REY</w:t>
      </w:r>
    </w:p>
    <w:p w14:paraId="70BC10B1" w14:textId="79D94005" w:rsidR="00A8138F" w:rsidRDefault="00A8138F" w:rsidP="00A8138F">
      <w:pPr>
        <w:pStyle w:val="TextoNormalCentrado"/>
        <w:keepNext/>
      </w:pPr>
    </w:p>
    <w:p w14:paraId="6C2F010C" w14:textId="77777777" w:rsidR="00A8138F" w:rsidRDefault="00A8138F" w:rsidP="00A8138F">
      <w:pPr>
        <w:pStyle w:val="TextoNormalCentrado"/>
        <w:keepNext/>
      </w:pPr>
    </w:p>
    <w:p w14:paraId="6E61D500" w14:textId="77777777" w:rsidR="00A8138F" w:rsidRDefault="00A8138F" w:rsidP="00A8138F">
      <w:pPr>
        <w:pStyle w:val="TextoNormal"/>
      </w:pPr>
      <w:r>
        <w:t>la siguiente</w:t>
      </w:r>
    </w:p>
    <w:p w14:paraId="0F58DD03" w14:textId="5F23758F" w:rsidR="00A8138F" w:rsidRDefault="00A8138F" w:rsidP="00A8138F">
      <w:pPr>
        <w:pStyle w:val="TextoNormal"/>
      </w:pPr>
    </w:p>
    <w:p w14:paraId="144FD464" w14:textId="77777777" w:rsidR="00A8138F" w:rsidRDefault="00A8138F" w:rsidP="00A8138F">
      <w:pPr>
        <w:pStyle w:val="TextoNormalCentrado"/>
        <w:keepNext/>
      </w:pPr>
      <w:r>
        <w:t>SENTENCIA</w:t>
      </w:r>
    </w:p>
    <w:p w14:paraId="2AE20CA7" w14:textId="3D0C1A0A" w:rsidR="00A8138F" w:rsidRDefault="00A8138F" w:rsidP="00A8138F">
      <w:pPr>
        <w:pStyle w:val="TextoNormalCentrado"/>
        <w:keepNext/>
      </w:pPr>
    </w:p>
    <w:p w14:paraId="4063DAF0" w14:textId="77777777" w:rsidR="00A8138F" w:rsidRDefault="00A8138F" w:rsidP="00A8138F">
      <w:pPr>
        <w:pStyle w:val="TextoNormal"/>
      </w:pPr>
      <w:r>
        <w:t>En el recurso de amparo núm. 5788-2024, promovido por doña Nuria Pérez Agapito, representada por la procuradora de los tribunales doña María Isabel Torres Ruiz y asistida por la letrada doña Silvia Montserrat Vázquez Rigual, contra las resoluciones administrativas del Instituto Nacional de la Seguridad Social (INSS) denegatorias de la solicitud de ampliación de la prestación por nacimiento y cuidado de hija menor a la madre biológica de familia monoparental, confirmadas por sentencia núm. 856/2024, de 4 de junio, de la Sala de lo Social del Tribunal Supremo dictada en el recurso de casación para unificación de doctrina núm. 2462-2023, interpuesto por el INSS contra la sentencia núm. 1652/2023, de 13 de marzo, de la Sala de lo Social del Tribunal Superior de Justicia de Cataluña, en recurso de suplicación núm. 5882-2022, interpuesto a su vez por las entidades gestoras de Seguridad Social, contra la sentencia núm. 122/2022, de 4 de mayo, recaída en procedimiento especial de Seguridad Social en los autos núm. 63-2022, del Juzgado de lo Social núm. 13 de Barcelona, promovido por la demandante de amparo contra el Instituto Nacional de la Seguri</w:t>
      </w:r>
      <w:r>
        <w:lastRenderedPageBreak/>
        <w:t>dad Social (INSS) y la Tesorería General de la Seguridad Social (TGSS). Han intervenido la letrada de la administración de la Seguridad Social y el Ministerio Fiscal. Ha sido ponente la magistrada doña María Luisa Balaguer Callejón.</w:t>
      </w:r>
    </w:p>
    <w:p w14:paraId="68BB3864" w14:textId="0E9D376C" w:rsidR="00A8138F" w:rsidRDefault="00A8138F" w:rsidP="00A8138F">
      <w:pPr>
        <w:pStyle w:val="TextoNormal"/>
      </w:pPr>
    </w:p>
    <w:p w14:paraId="0745C94F" w14:textId="77777777" w:rsidR="00A8138F" w:rsidRDefault="00A8138F" w:rsidP="00A8138F">
      <w:pPr>
        <w:pStyle w:val="TextoNormalNegritaCentrado"/>
        <w:keepNext/>
      </w:pPr>
      <w:r>
        <w:t>I. Antecedentes</w:t>
      </w:r>
    </w:p>
    <w:p w14:paraId="0C9169A2" w14:textId="418E32F5" w:rsidR="00A8138F" w:rsidRDefault="00A8138F" w:rsidP="00A8138F">
      <w:pPr>
        <w:pStyle w:val="TextoNormalNegritaCentrado"/>
        <w:keepNext/>
      </w:pPr>
    </w:p>
    <w:p w14:paraId="24B11F42" w14:textId="064EA527" w:rsidR="00A8138F" w:rsidRDefault="00A8138F" w:rsidP="00A8138F">
      <w:pPr>
        <w:pStyle w:val="TextoNormal"/>
      </w:pPr>
      <w:r w:rsidRPr="00A8138F">
        <w:rPr>
          <w:rStyle w:val="NumeroAFNegritaCaracter"/>
        </w:rPr>
        <w:t>1</w:t>
      </w:r>
      <w:r>
        <w:t>. Mediante escrito presentado en el registro general de este tribunal el día 22 de julio de 2024, la procuradora de los tribunales doña María Isabel Torres Ruiz, actuando en nombre y representación de doña Nuria Pérez Agapito, y bajo la dirección de la letrada doña Silvia Montserrat Vázquez Rigual, interpuso recurso de amparo frente a las resoluciones administrativas y judiciales que las confirmaron, y que han sido señaladas anteriormente en el encabezamiento de esta sentencia.</w:t>
      </w:r>
    </w:p>
    <w:p w14:paraId="51ACC540" w14:textId="77777777" w:rsidR="00A8138F" w:rsidRDefault="00A8138F" w:rsidP="00A8138F">
      <w:pPr>
        <w:pStyle w:val="TextoNormal"/>
      </w:pPr>
    </w:p>
    <w:p w14:paraId="40B7624A" w14:textId="77777777" w:rsidR="00A8138F" w:rsidRDefault="00A8138F" w:rsidP="00A8138F">
      <w:pPr>
        <w:pStyle w:val="TextoNormal"/>
      </w:pPr>
      <w:r w:rsidRPr="00A8138F">
        <w:rPr>
          <w:rStyle w:val="NumeroAFNegritaCaracter"/>
        </w:rPr>
        <w:t>2</w:t>
      </w:r>
      <w:r>
        <w:t>. El presente recurso de amparo trae causa de los siguientes antecedentes:</w:t>
      </w:r>
    </w:p>
    <w:p w14:paraId="524C4751" w14:textId="77777777" w:rsidR="00A8138F" w:rsidRDefault="00A8138F" w:rsidP="00A8138F">
      <w:pPr>
        <w:pStyle w:val="TextoNormal"/>
      </w:pPr>
    </w:p>
    <w:p w14:paraId="7A2234F8" w14:textId="77777777" w:rsidR="00A8138F" w:rsidRDefault="00A8138F" w:rsidP="00A8138F">
      <w:pPr>
        <w:pStyle w:val="TextoNormal"/>
      </w:pPr>
      <w:r>
        <w:t>a) A la recurrente en amparo, madre biológica de una menor nacida el 17 de julio de 2021, con la que forma una familia monoparental, le fue reconocido por resolución de la dirección provincial de Barcelona del Instituto Nacional de la Seguridad Social, un permiso por nacimiento y cuidado de aquella menor, de dieciséis semanas de duración (para el periodo comprendido entre el 17 de julio y el 5 de noviembre de 2021, percibiendo la prestación correspondiente del 100 por 100 de la base reguladora reconocida, de 93,94 €/diarios). La recurrente dirigió escrito a la entidad gestora de la Seguridad Social, solicitando la ampliación del permiso, en el sentido de sumar a las semanas que le fueron reconocidas como madre biológica, las dieciséis semanas que correspondería al progenitor distinto de la madre del art. 48.4 del del texto refundido de la Ley del estatuto de los trabajadores aprobado por el Real Decreto Legislativo 2/2015 (LET), alegando que dicha ampliación tenía por fin el cuidado de la menor en igualdad de condiciones que las familias biparentales. Su solicitud fue desestimada por resolución de la dirección provincial de Barcelona del INSS de 5 de agosto de 2021. Interpuesta reclamación previa por la recurrente, la misma es desestimada por la administración competente, en resolución expresa de 16 de noviembre de 2021, confirmándose así la denegación.</w:t>
      </w:r>
    </w:p>
    <w:p w14:paraId="5F2592DB" w14:textId="77777777" w:rsidR="00A8138F" w:rsidRDefault="00A8138F" w:rsidP="00A8138F">
      <w:pPr>
        <w:pStyle w:val="TextoNormal"/>
      </w:pPr>
    </w:p>
    <w:p w14:paraId="4891B029" w14:textId="77777777" w:rsidR="00A8138F" w:rsidRDefault="00A8138F" w:rsidP="00A8138F">
      <w:pPr>
        <w:pStyle w:val="TextoNormal"/>
      </w:pPr>
      <w:r>
        <w:t>b) Disconforme con la duración de la prestación, formuló demanda en la vía judicial, que dio lugar a los autos núm. 63-2022 ante el Juzgado de lo Social núm. 13 de Barcelona, recayendo sentencia estimatoria de las pretensiones de la actora el 4 de mayo de 2022. La parte dispositiva de la sentencia declaró el derecho de la madre biológica a la ampliación del permiso en dieciséis semanas adicionales que habrían correspondido al otro progenitor, con derecho a percibir una prestación del 100 por 100 de la base reguladora de 93,94 euros diarios.</w:t>
      </w:r>
    </w:p>
    <w:p w14:paraId="1B056042" w14:textId="77777777" w:rsidR="00A8138F" w:rsidRDefault="00A8138F" w:rsidP="00A8138F">
      <w:pPr>
        <w:pStyle w:val="TextoNormal"/>
      </w:pPr>
    </w:p>
    <w:p w14:paraId="481334F1" w14:textId="77777777" w:rsidR="00A8138F" w:rsidRDefault="00A8138F" w:rsidP="00A8138F">
      <w:pPr>
        <w:pStyle w:val="TextoNormal"/>
      </w:pPr>
      <w:r>
        <w:t>c) La sentencia del Juzgado de lo Social fue recurrida en suplicación por el INSS, conociendo del recurso (núm. 5882-2022) la Sala de lo Social del Tribunal Superior de Justicia de Cataluña, que dicta sentencia desestimatoria del recurso el 2 de diciembre, confirmando la ampliación del permiso en dieciséis semanas adicionales.</w:t>
      </w:r>
    </w:p>
    <w:p w14:paraId="4E699B22" w14:textId="77777777" w:rsidR="00A8138F" w:rsidRDefault="00A8138F" w:rsidP="00A8138F">
      <w:pPr>
        <w:pStyle w:val="TextoNormal"/>
      </w:pPr>
    </w:p>
    <w:p w14:paraId="6E8E0F9D" w14:textId="7F65B9BB" w:rsidR="00A8138F" w:rsidRDefault="00A8138F" w:rsidP="00A8138F">
      <w:pPr>
        <w:pStyle w:val="TextoNormal"/>
      </w:pPr>
      <w:r>
        <w:t xml:space="preserve">d) Formalizado recurso de casación en unificación de doctrina por el INSS (núm. 2462-2023), el mismo fue estimado por sentencia núm. 856/2024, de 4 de junio, de la Sala de lo </w:t>
      </w:r>
      <w:r>
        <w:lastRenderedPageBreak/>
        <w:t>Social del Tribunal Supremo. En consecuencia, se casa y anula la sentencia de la Sala de lo Social del Tribunal Superior de Justicia de Cataluña, revocando la sentencia del Juzgado de lo Social núm. 13 de Barcelona. La sentencia de casación aplica la doctrina fijada por la sentencia de Pleno de la Sala de lo Social del Tribunal Supremo de 2 de marzo de 2023 (recurso de casación para la unificación de doctrina núm. 3972-2020, ECLI:ES:TS:2023:783), aclarada por auto de 22 de marzo de 2023 (ECLI:ES:TS:2023:3279AA), y seguidas por otras posteriores, en las que se plantea cuestión idéntica. Razona la Sala del Alto Tribunal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biparentales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 Resuelve, en definitiva, este caso con la misma doctrina aplicada en supuestos anteriormente resueltos, y sustancialmente iguales.</w:t>
      </w:r>
    </w:p>
    <w:p w14:paraId="35B571E2" w14:textId="77777777" w:rsidR="00A8138F" w:rsidRDefault="00A8138F" w:rsidP="00A8138F">
      <w:pPr>
        <w:pStyle w:val="TextoNormal"/>
      </w:pPr>
    </w:p>
    <w:p w14:paraId="557BCE28" w14:textId="08687F42" w:rsidR="00A8138F" w:rsidRDefault="00A8138F" w:rsidP="00A8138F">
      <w:pPr>
        <w:pStyle w:val="TextoNormal"/>
      </w:pPr>
      <w:r w:rsidRPr="00A8138F">
        <w:rPr>
          <w:rStyle w:val="NumeroAFNegritaCaracter"/>
        </w:rPr>
        <w:t>3</w:t>
      </w:r>
      <w:r>
        <w:t>. En la demanda de amparo la recurrente invoca la vulneración del derecho de igualdad del art. 14 CE, en una doble vertiente: (a) vulneración del derecho de igualdad del art. 14 CE en su vertiente de la interdicción de discriminación indirecta por razón de sexo, por constituir la recurrente una familia monoparental que, estadísticamente, están configuradas en su mayoría por mujeres, perjudicando a estas sin justificación objetiva; (b) trato discriminatorio por razón de nacimiento, atendiendo a circunstancias personales y familiares puesto que se está discriminando al menor nacido en familia monoparental, al contar con menor número de semanas de prestación (se mantiene en dieciséis semanas, frente a la posible ampliación en las biparentales para su disfrute, al poder ser cedido por el otro progenitor), quedando el menor atendido menos tiempo que el nacido en familia biparental.</w:t>
      </w:r>
    </w:p>
    <w:p w14:paraId="4E6EDB98" w14:textId="77777777" w:rsidR="00A8138F" w:rsidRDefault="00A8138F" w:rsidP="00A8138F">
      <w:pPr>
        <w:pStyle w:val="TextoNormal"/>
      </w:pPr>
    </w:p>
    <w:p w14:paraId="3684C9C7" w14:textId="77777777" w:rsidR="00A8138F" w:rsidRDefault="00A8138F" w:rsidP="00A8138F">
      <w:pPr>
        <w:pStyle w:val="TextoNormal"/>
      </w:pPr>
      <w:r w:rsidRPr="00A8138F">
        <w:rPr>
          <w:rStyle w:val="NumeroAFNegritaCaracter"/>
        </w:rPr>
        <w:t>4</w:t>
      </w:r>
      <w:r>
        <w:t>. Por providencia de 2 de diciembre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14:paraId="1A76D169" w14:textId="77777777" w:rsidR="00A8138F" w:rsidRDefault="00A8138F" w:rsidP="00A8138F">
      <w:pPr>
        <w:pStyle w:val="TextoNormal"/>
      </w:pPr>
    </w:p>
    <w:p w14:paraId="15823FE3" w14:textId="62E5D50E" w:rsidR="00A8138F" w:rsidRDefault="00A8138F" w:rsidP="00A8138F">
      <w:pPr>
        <w:pStyle w:val="TextoNormal"/>
      </w:pPr>
      <w:r>
        <w:t>En aplicación de lo previsto en el art. 51 LOTC dispuso requerir a la Sala de lo Social del Tribunal Supremo y a la Sala de lo Social del Tribunal Superior de Justicia de Cataluña, a fin de que, en el plazo que no excediera de diez días, remitiesen certificación o fotocopia adverada de las actuaciones correspondientes al recurso de casación para la unificación de doctrina núm. 2462-2023, y al recurso de suplicación núm. 5882-2022, respectivamente. Asimismo, acordó dirigir atenta comunicación al Juzgado de lo Social núm. 13 de Barcelona a fin de que, en plazo que no excediera de diez días, remitiese certificación o fotocopia adverada de las actuaciones del procedimiento núm. 63-2022-A, emplazando a quienes hubieran sido parte en el procedimiento, excepto la parte recurrente en amparo, para que, si lo deseaban, pudieran comparecer en el presente recurso.</w:t>
      </w:r>
    </w:p>
    <w:p w14:paraId="6A199BEB" w14:textId="77777777" w:rsidR="00A8138F" w:rsidRDefault="00A8138F" w:rsidP="00A8138F">
      <w:pPr>
        <w:pStyle w:val="TextoNormal"/>
      </w:pPr>
    </w:p>
    <w:p w14:paraId="0B86255A" w14:textId="77777777" w:rsidR="00A8138F" w:rsidRDefault="00A8138F" w:rsidP="00A8138F">
      <w:pPr>
        <w:pStyle w:val="TextoNormal"/>
      </w:pPr>
      <w:r w:rsidRPr="00A8138F">
        <w:rPr>
          <w:rStyle w:val="NumeroAFNegritaCaracter"/>
        </w:rPr>
        <w:lastRenderedPageBreak/>
        <w:t>5</w:t>
      </w:r>
      <w:r>
        <w:t>. Mediante escrito presentado el día 10 de enero 2025, la letrada de la administración de la Seguridad Social, actuando en nombre y representación del Instituto Nacional de la Seguridad Social y la Tesorería General de la Seguridad Social interesó su personación en el presente recurso de amparo.</w:t>
      </w:r>
    </w:p>
    <w:p w14:paraId="097FEDF5" w14:textId="77777777" w:rsidR="00A8138F" w:rsidRDefault="00A8138F" w:rsidP="00A8138F">
      <w:pPr>
        <w:pStyle w:val="TextoNormal"/>
      </w:pPr>
    </w:p>
    <w:p w14:paraId="4BF44719" w14:textId="77777777" w:rsidR="00A8138F" w:rsidRDefault="00A8138F" w:rsidP="00A8138F">
      <w:pPr>
        <w:pStyle w:val="TextoNormal"/>
      </w:pPr>
      <w:r>
        <w:t>Formuló alegaciones en el mismo escrito de personación, en el que se allana a la demanda en el presente recurso de amparo, basando su pretensión en el conocimiento del contenido de la STC 140/2024, de 6 de noviembre, que estima la cuestión de inconstitucionalidad núm. 6694-2023, que ha declarado inconstitucional el art. 48.4 LET y el art. 177 LGSS, con el alcance que señala en su fundamento jurídico séptimo.</w:t>
      </w:r>
    </w:p>
    <w:p w14:paraId="5B48E30B" w14:textId="77777777" w:rsidR="00A8138F" w:rsidRDefault="00A8138F" w:rsidP="00A8138F">
      <w:pPr>
        <w:pStyle w:val="TextoNormal"/>
      </w:pPr>
    </w:p>
    <w:p w14:paraId="6C5EEE2D" w14:textId="77777777" w:rsidR="00A8138F" w:rsidRDefault="00A8138F" w:rsidP="00A8138F">
      <w:pPr>
        <w:pStyle w:val="TextoNormal"/>
      </w:pPr>
      <w:r>
        <w:t>Añade esta parte que, además del pronunciamiento de inconstitucionalidad, el Tribunal Constitucional ha estimado el 2 de diciembre de 2024 varios recursos de amparo interpuestos por madres biológicas de familia monoparental, contra sentencias dictadas en esta materia por la Sala de lo Social del Tribunal Supremo, estimatorias de recursos de casación para la unificación de doctrina, o contra autos del Tribunal Supremo que inadmitieron a trámite los recursos de casación para la unificación de doctrina presentados contra sentencias de distintos tribunales superiores de justicia que confirmaban las resoluciones administrativas del INSS, denegatorias de la ampliación de los permisos de maternidad en familias monoparentales (con cita de los recursos de amparo núm. 1084-2024, 1880-2024, 1845-2024 y 6078-2023).</w:t>
      </w:r>
    </w:p>
    <w:p w14:paraId="1CB862DF" w14:textId="77777777" w:rsidR="00A8138F" w:rsidRDefault="00A8138F" w:rsidP="00A8138F">
      <w:pPr>
        <w:pStyle w:val="TextoNormal"/>
      </w:pPr>
    </w:p>
    <w:p w14:paraId="7CA59ABA" w14:textId="1DEEF385" w:rsidR="00A8138F" w:rsidRDefault="00A8138F" w:rsidP="00A8138F">
      <w:pPr>
        <w:pStyle w:val="TextoNormal"/>
      </w:pPr>
      <w:r>
        <w:t>A la vista de lo cual, concluye la letrada en sus alegaciones que, la dirección del servicio jurídico de la Seguridad Social dictó la instrucción núm. 10/2024, de 23 de diciembre, autorizando al servicio jurídico delegado central en el Instituto Nacional de la Seguridad Social, a allanarse en los recursos de amparo pendientes ante el Tribunal Constitucional que resulten afectados por lo establecido en el fundamento jurídico séptimo de la STC 140/2024, de 6 de noviembre, del Pleno del Tribunal Constitucional, lo que entiende ocurre en el presente supuesto.</w:t>
      </w:r>
    </w:p>
    <w:p w14:paraId="05D57B13" w14:textId="77777777" w:rsidR="00A8138F" w:rsidRDefault="00A8138F" w:rsidP="00A8138F">
      <w:pPr>
        <w:pStyle w:val="TextoNormal"/>
      </w:pPr>
    </w:p>
    <w:p w14:paraId="36402F87" w14:textId="5D436F2A" w:rsidR="00A8138F" w:rsidRDefault="00A8138F" w:rsidP="00A8138F">
      <w:pPr>
        <w:pStyle w:val="TextoNormal"/>
      </w:pPr>
      <w:r w:rsidRPr="00A8138F">
        <w:rPr>
          <w:rStyle w:val="NumeroAFNegritaCaracter"/>
        </w:rPr>
        <w:t>6</w:t>
      </w:r>
      <w:r>
        <w:t>. Por diligencia de ordenación de la Secretaría de Justicia de la Sala Segunda, Sección Cuarta, de 21 de enero de 2025, se acordó: (i) tener por personada y parte en el presente procedimiento a la letrada de la administración de la Seguridad Social, en nombre y representación del Instituto Nacional de la Seguridad Social y de la Tesorería General de la Seguridad Social y (ii) de conformidad con lo establecido en el art. 52.1 LOTC, dar vista de las actuaciones en la sede electrónica de este tribunal a la recurrente, al Ministerio Fiscal y a la parte personada, por plazo común de veinte días, para que pudieran presentar las alegaciones que estimaran pertinentes.</w:t>
      </w:r>
    </w:p>
    <w:p w14:paraId="1CCFA41A" w14:textId="77777777" w:rsidR="00A8138F" w:rsidRDefault="00A8138F" w:rsidP="00A8138F">
      <w:pPr>
        <w:pStyle w:val="TextoNormal"/>
      </w:pPr>
    </w:p>
    <w:p w14:paraId="2E9B2321" w14:textId="53118930" w:rsidR="00A8138F" w:rsidRDefault="00A8138F" w:rsidP="00A8138F">
      <w:pPr>
        <w:pStyle w:val="TextoNormal"/>
      </w:pPr>
      <w:r w:rsidRPr="00A8138F">
        <w:rPr>
          <w:rStyle w:val="NumeroAFNegritaCaracter"/>
        </w:rPr>
        <w:t>7</w:t>
      </w:r>
      <w:r>
        <w:t>. La recurrente presentó escrito el 6 de febrero de 2025, ratificando la pretensión de la demanda de amparo, dando por reproducidas las argumentaciones vertidas en ella sobre los motivos del fondo del asunto, suplicando se dicte sentencia otorgando el amparo pretendido por la demandante. Invoca en su escrito, la STC 140/2024 de 6 de diciembre, recaída en la cuestión de inconstitucionalidad núm. 6694-2023 abordando la controversia suscitada en el presente recurso de amparo.</w:t>
      </w:r>
    </w:p>
    <w:p w14:paraId="4B869580" w14:textId="77777777" w:rsidR="00A8138F" w:rsidRDefault="00A8138F" w:rsidP="00A8138F">
      <w:pPr>
        <w:pStyle w:val="TextoNormal"/>
      </w:pPr>
    </w:p>
    <w:p w14:paraId="0C5EEBD9" w14:textId="4FF28256" w:rsidR="00A8138F" w:rsidRDefault="00A8138F" w:rsidP="00A8138F">
      <w:pPr>
        <w:pStyle w:val="TextoNormal"/>
      </w:pPr>
      <w:r w:rsidRPr="00A8138F">
        <w:rPr>
          <w:rStyle w:val="NumeroAFNegritaCaracter"/>
        </w:rPr>
        <w:lastRenderedPageBreak/>
        <w:t>8</w:t>
      </w:r>
      <w:r>
        <w:t>. A través de escrito presentado el 14 de febrero de 2025, la letrada de la administración de Seguridad Social aportó la instrucción 10/2024, de 23 de diciembre, de autorización del secretario de Estado de la Seguridad Social y Pensiones, al servicio jurídico delegado central en el INSS, de allanamiento en los recursos de amparo pendientes ante el Tribunal Constitucional, afectados por la sentencia del Pleno del Tribunal Constitucional de 6 de noviembre de 2024.</w:t>
      </w:r>
    </w:p>
    <w:p w14:paraId="139769C5" w14:textId="77777777" w:rsidR="00A8138F" w:rsidRDefault="00A8138F" w:rsidP="00A8138F">
      <w:pPr>
        <w:pStyle w:val="TextoNormal"/>
      </w:pPr>
    </w:p>
    <w:p w14:paraId="5C9E1F49" w14:textId="77777777" w:rsidR="00A8138F" w:rsidRDefault="00A8138F" w:rsidP="00A8138F">
      <w:pPr>
        <w:pStyle w:val="TextoNormal"/>
      </w:pPr>
      <w:r w:rsidRPr="00A8138F">
        <w:rPr>
          <w:rStyle w:val="NumeroAFNegritaCaracter"/>
        </w:rPr>
        <w:t>9</w:t>
      </w:r>
      <w:r>
        <w:t>. La fiscal ante este Tribunal Constitucional presentó escrito el 27 de febrero de 2025 interesando la estimación del recurso de amparo, por vulneración del derecho a la igualdad ante la ley sin discriminación por razón de nacimiento (art. 14 CE), con reconocimiento de tal derecho, de conformidad con lo resuelto en la STC 140/2024, de 6 de noviembre, que declaró la inconstitucionalidad de los arts. 48.4 LET y 177 LGSS. La fiscal entiende que, en este caso, se ha vulnerado el derecho de la demandante y el de su hija menor a la no discriminación proscrita en el art. 14 CE, debiéndose estimar el recurso de amparo declarando vulnerado el derecho a la igualdad y no discriminación por razón de nacimiento, en relación con la protección integral de los hijos, con independencia de su filiación y conforme a lo previsto en los convenios internacionales que velan por sus derechos (art. 14 CE, en relación con el art. 39 CE).</w:t>
      </w:r>
    </w:p>
    <w:p w14:paraId="14F483DC" w14:textId="77777777" w:rsidR="00A8138F" w:rsidRDefault="00A8138F" w:rsidP="00A8138F">
      <w:pPr>
        <w:pStyle w:val="TextoNormal"/>
      </w:pPr>
    </w:p>
    <w:p w14:paraId="3EAC2465" w14:textId="22C6B55A" w:rsidR="00A8138F" w:rsidRDefault="00A8138F" w:rsidP="00A8138F">
      <w:pPr>
        <w:pStyle w:val="TextoNormal"/>
      </w:pPr>
      <w:r>
        <w:t>Concluye en sus alegaciones, sosteniendo que procede estimar el recurso, restableciendo a la recurrente en su derecho y acordando la nulidad de la sentencia dictada por la Sala de lo Social del Tribunal Supremo en el recurso de casación para la unificación de doctrina y, retrotrayéndose las actuaciones al momento previo a su dictado para que por la misma Sala, se dicte una nueva sentencia respetuosa con el derecho fundamental vulnerado, solución que se estima conforme con el principio de subsidiariedad del recurso de amparo, correspondiendo la tutela de los derechos fundamentales, en primer lugar, a los tribunales ordinarios, la cual se ha otorgado por el Juzgado de lo Social y la Sala del Tribunal Superior de Justicia de Cataluña, de conformidad con la doctrina establecida en lo que se refiere al contenido constitucional de las demandas presentadas, siendo la concreta determinación de la extensión del permiso, siempre que se respete como mínimo contenido del derecho fundamental invocado, la duración establecida en el fundamento jurídico séptimo de la STC 140/2024, una cuestión de legalidad ordinaria que corresponde resolver en el ámbito jurisdiccional social conforme al sistema de recursos establecidos.</w:t>
      </w:r>
    </w:p>
    <w:p w14:paraId="6416CE40" w14:textId="77777777" w:rsidR="00A8138F" w:rsidRDefault="00A8138F" w:rsidP="00A8138F">
      <w:pPr>
        <w:pStyle w:val="TextoNormal"/>
      </w:pPr>
    </w:p>
    <w:p w14:paraId="6503AEA3" w14:textId="594F969A" w:rsidR="00A8138F" w:rsidRDefault="00A8138F" w:rsidP="00A8138F">
      <w:pPr>
        <w:pStyle w:val="TextoNormal"/>
      </w:pPr>
      <w:r w:rsidRPr="00A8138F">
        <w:rPr>
          <w:rStyle w:val="NumeroAFNegritaCaracter"/>
        </w:rPr>
        <w:t>10</w:t>
      </w:r>
      <w:r>
        <w:t>. Por providencia de 20 de marzo de 2025, se señaló para deliberación y votación del presente recurso el día 24 del mismo mes y año.</w:t>
      </w:r>
    </w:p>
    <w:p w14:paraId="1BCE1F96" w14:textId="77777777" w:rsidR="00A8138F" w:rsidRDefault="00A8138F" w:rsidP="00A8138F">
      <w:pPr>
        <w:pStyle w:val="TextoNormal"/>
      </w:pPr>
    </w:p>
    <w:p w14:paraId="0D1B9349" w14:textId="77777777" w:rsidR="00A8138F" w:rsidRDefault="00A8138F" w:rsidP="00A8138F">
      <w:pPr>
        <w:pStyle w:val="TextoNormalNegritaCentrado"/>
        <w:keepNext/>
      </w:pPr>
      <w:r>
        <w:t>II. Fundamentos jurídicos</w:t>
      </w:r>
    </w:p>
    <w:p w14:paraId="5288E9F4" w14:textId="6984220F" w:rsidR="00A8138F" w:rsidRDefault="00A8138F" w:rsidP="00A8138F">
      <w:pPr>
        <w:pStyle w:val="TextoNormalNegritaCentrado"/>
        <w:keepNext/>
      </w:pPr>
    </w:p>
    <w:p w14:paraId="6A3BEC7F"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71886B86" w14:textId="77777777" w:rsidR="00A8138F" w:rsidRDefault="00A8138F" w:rsidP="00A8138F">
      <w:pPr>
        <w:pStyle w:val="TextoNormal"/>
      </w:pPr>
    </w:p>
    <w:p w14:paraId="6BA76EAC" w14:textId="0A3DC02C" w:rsidR="00A8138F" w:rsidRDefault="00A8138F" w:rsidP="00A8138F">
      <w:pPr>
        <w:pStyle w:val="TextoNormal"/>
      </w:pPr>
      <w: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Real Decreto Legislativo 2/2015, de 23 de octubre (LET), en relación con el art. 177 del texto refundido de la Ley general de la Seguridad Social, aprobado por </w:t>
      </w:r>
      <w:r>
        <w:lastRenderedPageBreak/>
        <w:t>el Real Decreto Legislativo 8/2015, de 30 de octubre (LGSS), con la redacción dada a los mismos por el Real Decreto-ley 6/2019, de 1 de marzo, de medidas urgentes para garantía de la igualdad de trato y de oportunidades entre mujeres y hombres en el empleo y la ocupación.</w:t>
      </w:r>
    </w:p>
    <w:p w14:paraId="2E9E49A1" w14:textId="77777777" w:rsidR="00A8138F" w:rsidRDefault="00A8138F" w:rsidP="00A8138F">
      <w:pPr>
        <w:pStyle w:val="TextoNormal"/>
      </w:pPr>
    </w:p>
    <w:p w14:paraId="36B6D68C"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13DDD816" w14:textId="77777777" w:rsidR="00A8138F" w:rsidRDefault="00A8138F" w:rsidP="00A8138F">
      <w:pPr>
        <w:pStyle w:val="TextoNormal"/>
      </w:pPr>
    </w:p>
    <w:p w14:paraId="030A9A4E"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2D3DAF91" w14:textId="77777777" w:rsidR="00A8138F" w:rsidRDefault="00A8138F" w:rsidP="00A8138F">
      <w:pPr>
        <w:pStyle w:val="TextoNormal"/>
      </w:pPr>
    </w:p>
    <w:p w14:paraId="1D11AC83"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4AD11D4" w14:textId="77777777" w:rsidR="00A8138F" w:rsidRDefault="00A8138F" w:rsidP="00A8138F">
      <w:pPr>
        <w:pStyle w:val="TextoNormal"/>
      </w:pPr>
    </w:p>
    <w:p w14:paraId="38610AD8"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0DE4CBD5" w14:textId="77777777" w:rsidR="00A8138F" w:rsidRDefault="00A8138F" w:rsidP="00A8138F">
      <w:pPr>
        <w:pStyle w:val="TextoNormal"/>
      </w:pPr>
    </w:p>
    <w:p w14:paraId="5E2D3516" w14:textId="76C40C7A" w:rsidR="00A8138F" w:rsidRDefault="00A8138F" w:rsidP="00A8138F">
      <w:pPr>
        <w:pStyle w:val="TextoNormal"/>
      </w:pPr>
      <w:r>
        <w:t xml:space="preserve">En consecuencia, debe estimarse la demanda y otorgar el amparo solicitado. Aunque el Ministerio Fiscal interesa la estimación del recurso, con retroacción al momento inmediatamente anterior al dictado de la sentencia de la Sala de lo Social del Tribunal Supremo que estimó el recurso de casación para la unificación de doctrina interpuesto por el INSS, para que se dicte una nueva resolución respetuosa con el derecho fundamental vulnerado, lo </w:t>
      </w:r>
      <w:r>
        <w:lastRenderedPageBreak/>
        <w:t>cierto es que, habida cuenta del sentido de las sentencias de instancia casadas por la resolución del Tribunal Supremo, la retroacción ha de hacerse al momento previo a las resoluciones administrativas que denegaron la pretensión de la parte actora, para que sea el Instituto Nacional de la Seguridad Social el que dicte resolución expresa que resulte acorde con lo declarado en el fundamento jurídico séptimo de la STC 140/2024, de 6 de noviembre.</w:t>
      </w:r>
    </w:p>
    <w:p w14:paraId="06E12981" w14:textId="77777777" w:rsidR="00A8138F" w:rsidRDefault="00A8138F" w:rsidP="00A8138F">
      <w:pPr>
        <w:pStyle w:val="TextoNormal"/>
      </w:pPr>
    </w:p>
    <w:p w14:paraId="77C7627B" w14:textId="77777777" w:rsidR="00A8138F" w:rsidRDefault="00A8138F" w:rsidP="00A8138F">
      <w:pPr>
        <w:pStyle w:val="TextoNormalCentrado"/>
        <w:keepNext/>
      </w:pPr>
      <w:r>
        <w:t>FALLO</w:t>
      </w:r>
    </w:p>
    <w:p w14:paraId="718A824C" w14:textId="69B59FFB" w:rsidR="00A8138F" w:rsidRDefault="00A8138F" w:rsidP="00A8138F">
      <w:pPr>
        <w:pStyle w:val="TextoNormalCentrado"/>
        <w:keepNext/>
      </w:pPr>
    </w:p>
    <w:p w14:paraId="341E68C2"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promovido por doña Nuria Pérez Agapito y, en su virtud:</w:t>
      </w:r>
    </w:p>
    <w:p w14:paraId="28C13C13" w14:textId="77777777" w:rsidR="00A8138F" w:rsidRDefault="00A8138F" w:rsidP="00A8138F">
      <w:pPr>
        <w:pStyle w:val="TextoNormal"/>
      </w:pPr>
    </w:p>
    <w:p w14:paraId="2255C258" w14:textId="77777777" w:rsidR="00A8138F" w:rsidRDefault="00A8138F" w:rsidP="00A8138F">
      <w:pPr>
        <w:pStyle w:val="TextoNormal"/>
      </w:pPr>
      <w:r>
        <w:t>1º Declarar vulnerado el derecho a la igualdad ante la ley sin discriminación por razón de nacimiento (art. 14 CE).</w:t>
      </w:r>
    </w:p>
    <w:p w14:paraId="4EBB309A" w14:textId="77777777" w:rsidR="00A8138F" w:rsidRDefault="00A8138F" w:rsidP="00A8138F">
      <w:pPr>
        <w:pStyle w:val="TextoNormal"/>
      </w:pPr>
    </w:p>
    <w:p w14:paraId="44A05211" w14:textId="77777777" w:rsidR="00A8138F" w:rsidRDefault="00A8138F" w:rsidP="00A8138F">
      <w:pPr>
        <w:pStyle w:val="TextoNormal"/>
      </w:pPr>
      <w:r>
        <w:t>2º Restablecerla en su derecho y, a tal fin, declarar la nulidad de las siguientes resoluciones: (i) la sentencia núm. 856/2024, de 4 de junio, de la Sala de lo Social del Tribunal Supremo, recaída en el recurso de casación para la unificación de doctrina núm. 2462-2023, confirmatoria de las resoluciones de la dirección provincial de Barcelona del INSS que denegaron la solicitud de la recurrente; (ii) la sentencia núm. 1652/2023, de 13 de marzo, de la Sala de lo Social del Tribunal Superior de Justicia de Cataluña (recurso de suplicación núm. 5882-2022); (iii) la sentencia núm. 122/2022, de 4 de mayo, recaída en procedimiento especial de Seguridad Social en los autos núm. 63-2022, del Juzgado de lo Social núm. 13 de Barcelona y (iv) las resoluciones administrativas de la dirección provincial del INSS de Barcelona, de 5 de agosto de 2021 y de 16 de noviembre de 2021, denegatorias de la ampliación del permiso por nacimiento y cuidado de hija menor a la recurrente.</w:t>
      </w:r>
    </w:p>
    <w:p w14:paraId="23177371" w14:textId="77777777" w:rsidR="00A8138F" w:rsidRDefault="00A8138F" w:rsidP="00A8138F">
      <w:pPr>
        <w:pStyle w:val="TextoNormal"/>
      </w:pPr>
    </w:p>
    <w:p w14:paraId="3DE636C9" w14:textId="064F6590" w:rsidR="00A8138F" w:rsidRDefault="00A8138F" w:rsidP="00A8138F">
      <w:pPr>
        <w:pStyle w:val="TextoNormal"/>
      </w:pPr>
      <w:r>
        <w:t>3º Retrotraer las actuaciones al momento previo a las resoluciones administrativas mencionadas en el apartado anterior, para que el Instituto Nacional de la Seguridad Social dicte resolución expresa que resulte respetuosa con el derecho fundamental reconocido a la recurrente, con el alcance fijado en el fundamento jurídico 2 de esta sentencia.</w:t>
      </w:r>
    </w:p>
    <w:p w14:paraId="796F364B" w14:textId="77777777" w:rsidR="00A8138F" w:rsidRDefault="00A8138F" w:rsidP="00A8138F">
      <w:pPr>
        <w:pStyle w:val="TextoNormal"/>
      </w:pPr>
    </w:p>
    <w:p w14:paraId="6ED56724" w14:textId="77777777" w:rsidR="00A8138F" w:rsidRDefault="00A8138F" w:rsidP="00A8138F">
      <w:pPr>
        <w:pStyle w:val="TextoNormal"/>
      </w:pPr>
      <w:r>
        <w:t>Publíquese esta sentencia en el “Boletín Oficial del Estado”.</w:t>
      </w:r>
    </w:p>
    <w:p w14:paraId="1440EFCE" w14:textId="77777777" w:rsidR="00A8138F" w:rsidRDefault="00A8138F" w:rsidP="00A8138F">
      <w:pPr>
        <w:pStyle w:val="TextoNormal"/>
      </w:pPr>
      <w:r>
        <w:t>Dada en Madrid, a veinticuatro de marzo de dos mil veinticinco.</w:t>
      </w:r>
    </w:p>
    <w:p w14:paraId="1AA598A0" w14:textId="5DDCE8AC" w:rsidR="00A8138F" w:rsidRDefault="00A8138F">
      <w:pPr>
        <w:spacing w:after="160" w:line="278" w:lineRule="auto"/>
        <w:rPr>
          <w:rFonts w:ascii="Times New Roman" w:eastAsia="Times New Roman" w:hAnsi="Times New Roman" w:cs="Times New Roman"/>
          <w:sz w:val="24"/>
          <w:szCs w:val="24"/>
          <w:lang w:eastAsia="es-ES"/>
        </w:rPr>
      </w:pPr>
      <w:r>
        <w:br w:type="page"/>
      </w:r>
    </w:p>
    <w:p w14:paraId="3C04E012" w14:textId="77777777" w:rsidR="00A8138F" w:rsidRDefault="00A8138F" w:rsidP="00A8138F">
      <w:pPr>
        <w:pStyle w:val="TtuloResolucin"/>
      </w:pPr>
      <w:bookmarkStart w:id="79" w:name="SENTENCIA_2025_77"/>
      <w:r>
        <w:lastRenderedPageBreak/>
        <w:t>SENTENCIA 77/2025, de 24 de marzo de 2025</w:t>
      </w:r>
    </w:p>
    <w:bookmarkEnd w:id="79"/>
    <w:p w14:paraId="41ADE9A0" w14:textId="77777777" w:rsidR="00A8138F" w:rsidRDefault="00A8138F" w:rsidP="00A8138F">
      <w:pPr>
        <w:pStyle w:val="TtuloResolucin"/>
      </w:pPr>
      <w:r>
        <w:t>Sala Segunda</w:t>
      </w:r>
    </w:p>
    <w:p w14:paraId="3862E237" w14:textId="77777777" w:rsidR="00A8138F" w:rsidRDefault="00A8138F" w:rsidP="00A8138F">
      <w:pPr>
        <w:pStyle w:val="TtuloBOE"/>
      </w:pPr>
      <w:r>
        <w:t>(BOE núm. 109, de 6 de mayo de 2025)</w:t>
      </w:r>
    </w:p>
    <w:p w14:paraId="57B6AD20" w14:textId="77777777" w:rsidR="00A8138F" w:rsidRDefault="00A8138F" w:rsidP="00A8138F">
      <w:pPr>
        <w:pStyle w:val="TextoNormalCentrado"/>
      </w:pPr>
      <w:r>
        <w:t>ECLI:ES:TC:2025:77</w:t>
      </w:r>
    </w:p>
    <w:p w14:paraId="73C6649C" w14:textId="1D0EB15B" w:rsidR="00A8138F" w:rsidRDefault="00A8138F" w:rsidP="00A8138F">
      <w:pPr>
        <w:pStyle w:val="TextoNormalCentrado"/>
      </w:pPr>
    </w:p>
    <w:p w14:paraId="25B954CE" w14:textId="77777777" w:rsidR="00A8138F" w:rsidRDefault="00A8138F" w:rsidP="00A8138F">
      <w:pPr>
        <w:pStyle w:val="SntesisDescriptiva"/>
      </w:pPr>
      <w:r>
        <w:t>Recurso de amparo 5807-2024. Promovido por doña Elena Peinado García en relación con las resoluciones administrativas y judiciales que desestimaron su petición de revisión y ampliación de la prestación por nacimiento y cuidado de hijo menor, como madre biológica de familia monoparental.</w:t>
      </w:r>
    </w:p>
    <w:p w14:paraId="16479FC8" w14:textId="4E156465" w:rsidR="00A8138F" w:rsidRDefault="00A8138F" w:rsidP="00A8138F">
      <w:pPr>
        <w:pStyle w:val="SntesisDescriptiva"/>
      </w:pPr>
    </w:p>
    <w:p w14:paraId="647B412D"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AD5B9C4" w14:textId="0AA12E56" w:rsidR="00A8138F" w:rsidRDefault="00A8138F" w:rsidP="00A8138F">
      <w:pPr>
        <w:pStyle w:val="SntesisAnaltica"/>
      </w:pPr>
    </w:p>
    <w:p w14:paraId="7B1A6A17" w14:textId="3F64DBC2"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53742183" w14:textId="77777777" w:rsidR="00A8138F" w:rsidRDefault="00A8138F" w:rsidP="00A8138F">
      <w:pPr>
        <w:pStyle w:val="Extracto"/>
      </w:pPr>
    </w:p>
    <w:p w14:paraId="28CB303D" w14:textId="77777777" w:rsidR="00A8138F" w:rsidRDefault="00A8138F" w:rsidP="00A8138F">
      <w:pPr>
        <w:pStyle w:val="Extracto"/>
      </w:pPr>
    </w:p>
    <w:p w14:paraId="407E9E53"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E8BD520" w14:textId="1D3CCC84" w:rsidR="00A8138F" w:rsidRDefault="00A8138F" w:rsidP="00A8138F">
      <w:pPr>
        <w:pStyle w:val="TextoNormal"/>
      </w:pPr>
    </w:p>
    <w:p w14:paraId="62D44032" w14:textId="77777777" w:rsidR="00A8138F" w:rsidRDefault="00A8138F" w:rsidP="00A8138F">
      <w:pPr>
        <w:pStyle w:val="TextoNormalCentrado"/>
        <w:keepNext/>
      </w:pPr>
      <w:r>
        <w:t>EN NOMBRE DEL REY</w:t>
      </w:r>
    </w:p>
    <w:p w14:paraId="0D289774" w14:textId="6946F93B" w:rsidR="00A8138F" w:rsidRDefault="00A8138F" w:rsidP="00A8138F">
      <w:pPr>
        <w:pStyle w:val="TextoNormalCentrado"/>
        <w:keepNext/>
      </w:pPr>
    </w:p>
    <w:p w14:paraId="060D6602" w14:textId="77777777" w:rsidR="00A8138F" w:rsidRDefault="00A8138F" w:rsidP="00A8138F">
      <w:pPr>
        <w:pStyle w:val="TextoNormalCentrado"/>
        <w:keepNext/>
      </w:pPr>
    </w:p>
    <w:p w14:paraId="4BA67C7F" w14:textId="77777777" w:rsidR="00A8138F" w:rsidRDefault="00A8138F" w:rsidP="00A8138F">
      <w:pPr>
        <w:pStyle w:val="TextoNormal"/>
      </w:pPr>
      <w:r>
        <w:t>la siguiente</w:t>
      </w:r>
    </w:p>
    <w:p w14:paraId="360D5A86" w14:textId="3956A28B" w:rsidR="00A8138F" w:rsidRDefault="00A8138F" w:rsidP="00A8138F">
      <w:pPr>
        <w:pStyle w:val="TextoNormal"/>
      </w:pPr>
    </w:p>
    <w:p w14:paraId="43BBA03D" w14:textId="77777777" w:rsidR="00A8138F" w:rsidRDefault="00A8138F" w:rsidP="00A8138F">
      <w:pPr>
        <w:pStyle w:val="TextoNormalCentrado"/>
        <w:keepNext/>
      </w:pPr>
      <w:r>
        <w:t>SENTENCIA</w:t>
      </w:r>
    </w:p>
    <w:p w14:paraId="129F4A9C" w14:textId="03FE0968" w:rsidR="00A8138F" w:rsidRDefault="00A8138F" w:rsidP="00A8138F">
      <w:pPr>
        <w:pStyle w:val="TextoNormalCentrado"/>
        <w:keepNext/>
      </w:pPr>
    </w:p>
    <w:p w14:paraId="11ECBB62" w14:textId="77777777" w:rsidR="00A8138F" w:rsidRDefault="00A8138F" w:rsidP="00A8138F">
      <w:pPr>
        <w:pStyle w:val="TextoNormal"/>
      </w:pPr>
      <w:r>
        <w:t>En el recurso de amparo núm. 5807-2024, promovido por doña Elena Peinado García, representada por la procuradora de los tribunales doña María Esperanza Azpeitia Calvín y bajo la dirección de la letrada doña Helena Unanue Aguirreche, contra la sentencia núm. 846/2024, de 4 de junio, dictada por la Sala de lo Social del Tribunal Supremo, que estimó el recurso de casación para unificación de doctrina núm. 745-2023 interpuesto contra la sentencia núm. 196/2023, de 24 de enero, dictada por la Sala de lo Social del Tribunal Superior de Justicia del País Vasco en el recurso de suplicación núm. 1555-2022, y revocó la sentencia núm. 87/2022, de 7 de marzo, dictada por el Juzgado de lo Social núm. 4 de San Sebastián, en autos de Seguridad Social en materia prestacional núm. 805-2021, que a su vez había desestimado la demanda interpuesta contra las resoluciones de 29 de octubre y 19 de septiembre de 2021 dictadas por el Instituto Nacional de la Seguridad Social. Han intervenido la letrada de la administración de la Seguridad Social y el Ministerio Fiscal. Ha sido ponente el magistrado don César Tolosa Tribiño.</w:t>
      </w:r>
    </w:p>
    <w:p w14:paraId="32B9E924" w14:textId="3B8FAD00" w:rsidR="00A8138F" w:rsidRDefault="00A8138F" w:rsidP="00A8138F">
      <w:pPr>
        <w:pStyle w:val="TextoNormal"/>
      </w:pPr>
    </w:p>
    <w:p w14:paraId="4A2FC0D9" w14:textId="77777777" w:rsidR="00A8138F" w:rsidRDefault="00A8138F" w:rsidP="00A8138F">
      <w:pPr>
        <w:pStyle w:val="TextoNormalNegritaCentrado"/>
        <w:keepNext/>
      </w:pPr>
      <w:r>
        <w:t>I. Antecedentes</w:t>
      </w:r>
    </w:p>
    <w:p w14:paraId="6086B94A" w14:textId="2B7F3562" w:rsidR="00A8138F" w:rsidRDefault="00A8138F" w:rsidP="00A8138F">
      <w:pPr>
        <w:pStyle w:val="TextoNormalNegritaCentrado"/>
        <w:keepNext/>
      </w:pPr>
    </w:p>
    <w:p w14:paraId="3A005CB9" w14:textId="78FE3184" w:rsidR="00A8138F" w:rsidRDefault="00A8138F" w:rsidP="00A8138F">
      <w:pPr>
        <w:pStyle w:val="TextoNormal"/>
      </w:pPr>
      <w:r w:rsidRPr="00A8138F">
        <w:rPr>
          <w:rStyle w:val="NumeroAFNegritaCaracter"/>
        </w:rPr>
        <w:t>1</w:t>
      </w:r>
      <w:r>
        <w:t>. El 22 de julio de 2024, doña Elena Peinado García, con la representación y defensa indicadas, interpuso recurso de amparo contra todas las resoluciones judiciales y administrativas identificadas en el encabezamiento, a excepción de la sentencia núm. 196/2023, de 24 de enero, dictada por la Sala de lo Social del Tribunal Superior de Justicia del País Vasco, que había estimado íntegramente el recurso de suplicación interpuesto y declarado el derecho de la recurrente a complementar la prestación de maternidad con dieciséis semanas.</w:t>
      </w:r>
    </w:p>
    <w:p w14:paraId="0A5C0914" w14:textId="77777777" w:rsidR="00A8138F" w:rsidRDefault="00A8138F" w:rsidP="00A8138F">
      <w:pPr>
        <w:pStyle w:val="TextoNormal"/>
      </w:pPr>
    </w:p>
    <w:p w14:paraId="0BA62BA0"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4F6A37FD" w14:textId="77777777" w:rsidR="00A8138F" w:rsidRDefault="00A8138F" w:rsidP="00A8138F">
      <w:pPr>
        <w:pStyle w:val="TextoNormal"/>
      </w:pPr>
    </w:p>
    <w:p w14:paraId="0CCF0FCE" w14:textId="77777777" w:rsidR="00A8138F" w:rsidRDefault="00A8138F" w:rsidP="00A8138F">
      <w:pPr>
        <w:pStyle w:val="TextoNormal"/>
      </w:pPr>
      <w:r>
        <w:t>a) La demandante de amparo, con motivo del nacimiento de su hijo el 24 de agosto de 2021, en el seno de una familia monoparental, solicitó prestación por nacimiento y cuidado del menor que le fue reconocida en virtud de la resolución de 19 de septiembre de 2021 dictada por el Instituto Nacional de la Seguridad Social (INSS) por un periodo únicamente de dieciséis semanas.</w:t>
      </w:r>
    </w:p>
    <w:p w14:paraId="0FF3B797" w14:textId="77777777" w:rsidR="00A8138F" w:rsidRDefault="00A8138F" w:rsidP="00A8138F">
      <w:pPr>
        <w:pStyle w:val="TextoNormal"/>
      </w:pPr>
    </w:p>
    <w:p w14:paraId="40DEAE4F" w14:textId="77777777" w:rsidR="00A8138F" w:rsidRDefault="00A8138F" w:rsidP="00A8138F">
      <w:pPr>
        <w:pStyle w:val="TextoNormal"/>
      </w:pPr>
      <w:r>
        <w:t>b) Tras ser desestimada en virtud de resolución del INSS de 29 de octubre de 2021 la reclamación previa en vía administrativa, por la que solicitaba la ampliación en dieciséis semanas del disfrute del permiso por ser familia monoparental, interpuso una demanda contra el INSS y la Tesorería General de la Seguridad Social (TGSS). Alegaba que la desestimación de la acumulación solicitada constituye una discriminación de los derechos del niño con relación a la situación regulada para la familia biparental cuando el menor está a cargo y cuidado de sus dos progenitores.</w:t>
      </w:r>
    </w:p>
    <w:p w14:paraId="4335BCF0" w14:textId="77777777" w:rsidR="00A8138F" w:rsidRDefault="00A8138F" w:rsidP="00A8138F">
      <w:pPr>
        <w:pStyle w:val="TextoNormal"/>
      </w:pPr>
    </w:p>
    <w:p w14:paraId="47309D44" w14:textId="77777777" w:rsidR="00A8138F" w:rsidRDefault="00A8138F" w:rsidP="00A8138F">
      <w:pPr>
        <w:pStyle w:val="TextoNormal"/>
      </w:pPr>
      <w:r>
        <w:t>c) A la demanda se opuso el INSS, quien afirmaba que la regulación no prevé la ampliación del permiso que se pretende y que ya disfrutó del descanso que le correspondía, tratándose de un derecho personal que no puede ser acumulado con el que le hubiera podido corresponder a otra persona.</w:t>
      </w:r>
    </w:p>
    <w:p w14:paraId="48222369" w14:textId="77777777" w:rsidR="00A8138F" w:rsidRDefault="00A8138F" w:rsidP="00A8138F">
      <w:pPr>
        <w:pStyle w:val="TextoNormal"/>
      </w:pPr>
    </w:p>
    <w:p w14:paraId="7F7E7CB5" w14:textId="77777777" w:rsidR="00A8138F" w:rsidRDefault="00A8138F" w:rsidP="00A8138F">
      <w:pPr>
        <w:pStyle w:val="TextoNormal"/>
      </w:pPr>
      <w:r>
        <w:t>d) El Juzgado de lo Social núm. 4 de San Sebastián dictó la sentencia núm. 87/2022, de 7 de marzo, en la que desestimó la demanda. Argumentaba que el objeto de la prestación es facilitar el descanso de los padres, tratándose de un derecho individual y no transferible y descarta que la denegación sea discriminatoria pues existen supuestos de familias no monoparentales en que no se reconoce dicha prestación a alguno o a los dos progenitores.</w:t>
      </w:r>
    </w:p>
    <w:p w14:paraId="6D59C667" w14:textId="77777777" w:rsidR="00A8138F" w:rsidRDefault="00A8138F" w:rsidP="00A8138F">
      <w:pPr>
        <w:pStyle w:val="TextoNormal"/>
      </w:pPr>
    </w:p>
    <w:p w14:paraId="64C265EC" w14:textId="77777777" w:rsidR="00A8138F" w:rsidRDefault="00A8138F" w:rsidP="00A8138F">
      <w:pPr>
        <w:pStyle w:val="TextoNormal"/>
      </w:pPr>
      <w:r>
        <w:t>e) Frente a dicha sentencia la demandante interpuso recurso de suplicación y solicitó que se revocara la sentencia concediéndole el derecho a disfrutar de otras dieciséis semanas adicionales.</w:t>
      </w:r>
    </w:p>
    <w:p w14:paraId="21EBCB17" w14:textId="77777777" w:rsidR="00A8138F" w:rsidRDefault="00A8138F" w:rsidP="00A8138F">
      <w:pPr>
        <w:pStyle w:val="TextoNormal"/>
      </w:pPr>
    </w:p>
    <w:p w14:paraId="60B366EE" w14:textId="77777777" w:rsidR="00A8138F" w:rsidRDefault="00A8138F" w:rsidP="00A8138F">
      <w:pPr>
        <w:pStyle w:val="TextoNormal"/>
      </w:pPr>
      <w:r>
        <w:t xml:space="preserve">f) Por sentencia núm. 196/2023, de 24 de enero, dictada por la Sala de lo Social del Tribunal Superior del País Vasco, se estimó el recurso de suplicación interpuesto por la recurrente en amparo, se revocó la sentencia dictada por el Juzgado de lo Social núm. 4 de San Sebastián y se declaró el derecho de la actora a complementar la prestación de maternidad con dieciséis semanas adicionales. La sentencia contenía un voto particular en el que </w:t>
      </w:r>
      <w:r>
        <w:lastRenderedPageBreak/>
        <w:t>se indicaba que lo procedente era adicionar a la prestación ya disfrutada únicamente diez semanas más.</w:t>
      </w:r>
    </w:p>
    <w:p w14:paraId="2A0613CD" w14:textId="77777777" w:rsidR="00A8138F" w:rsidRDefault="00A8138F" w:rsidP="00A8138F">
      <w:pPr>
        <w:pStyle w:val="TextoNormal"/>
      </w:pPr>
    </w:p>
    <w:p w14:paraId="6BFCD37B" w14:textId="77777777" w:rsidR="00A8138F" w:rsidRDefault="00A8138F" w:rsidP="00A8138F">
      <w:pPr>
        <w:pStyle w:val="TextoNormal"/>
      </w:pPr>
      <w:r>
        <w:t>g) Contra dicha sentencia se interpuso por el INSS y la TGSS recurso de casación para la unificación de doctrina, que fue estimado por sentencia núm. 846/2024, de 4 de junio, dictada por la Sala de lo Social del Tribunal Supremo.</w:t>
      </w:r>
    </w:p>
    <w:p w14:paraId="7B707714" w14:textId="77777777" w:rsidR="00A8138F" w:rsidRDefault="00A8138F" w:rsidP="00A8138F">
      <w:pPr>
        <w:pStyle w:val="TextoNormal"/>
      </w:pPr>
    </w:p>
    <w:p w14:paraId="2831320D" w14:textId="77777777" w:rsidR="00A8138F" w:rsidRDefault="00A8138F" w:rsidP="00A8138F">
      <w:pPr>
        <w:pStyle w:val="TextoNormal"/>
      </w:pPr>
      <w:r>
        <w:t>La sentencia indica que sobre dicha cuestión el Pleno de la Sala de lo Social ya ha tenido ocasión de pronunciarse en la STS 169/2023, de 2 de marzo (ECLI:ES:TS:2023:783), reiterada luego por las SSTS 434/2023, de 14 de junio (ECLI:ES:TS:2023:3053); 1296/2023, 1297/2023 y 1299/2023, todas de 21 diciembre (ECLI:ES:TS:2023:5979, ECLI:ES:TS:2023:5965 y ECLI:ES:TS:2023:5964, respectivamente), o 325/2024 y 326/2024, ambas de 21 de febrero (ECLI:ES:TS:2024:1274 y ECLI:ES:TS:2024:1457, respectivamente). Recuerda las razones expuestas en dicha sentencia:</w:t>
      </w:r>
    </w:p>
    <w:p w14:paraId="4B66DCC2" w14:textId="77777777" w:rsidR="00A8138F" w:rsidRDefault="00A8138F" w:rsidP="00A8138F">
      <w:pPr>
        <w:pStyle w:val="TextoNormal"/>
      </w:pPr>
    </w:p>
    <w:p w14:paraId="58AB38E6" w14:textId="77777777" w:rsidR="00A8138F" w:rsidRDefault="00A8138F" w:rsidP="00A8138F">
      <w:pPr>
        <w:pStyle w:val="TextoNormal"/>
      </w:pPr>
      <w:r>
        <w:t>(i) No procede la ampliación del disfrute del derecho a favor del progenitor monoparental pues tal solución no solo afectará al ámbito de las prestaciones contributivas de la Seguridad Social, sino que también producirá efectos en el ámbito de su relación contractual con el empleador, dado que para el disfrute de la prestación solicitada resultaría ineludible la ampliación de la duración de la suspensión del contrato prevista en el artículo 48.4 de la Ley del estatuto de los trabajadores (LET).</w:t>
      </w:r>
    </w:p>
    <w:p w14:paraId="4FB1DE05" w14:textId="77777777" w:rsidR="00A8138F" w:rsidRDefault="00A8138F" w:rsidP="00A8138F">
      <w:pPr>
        <w:pStyle w:val="TextoNormal"/>
      </w:pPr>
    </w:p>
    <w:p w14:paraId="21705681" w14:textId="77777777" w:rsidR="00A8138F" w:rsidRDefault="00A8138F" w:rsidP="00A8138F">
      <w:pPr>
        <w:pStyle w:val="TextoNormal"/>
      </w:pPr>
      <w:r>
        <w:t>(ii)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artículo 48.4 LET en el siguiente sentido: “en el supuesto de familias monoparentales, la persona trabajadora podrá acumular el tiempo de permiso que correspondería a la otra persona trabajadora si la hubiera” (“Cortes Generales. Diarios de Sesiones. Senado”, de 8 de febrero de 2023).</w:t>
      </w:r>
    </w:p>
    <w:p w14:paraId="114AED08" w14:textId="77777777" w:rsidR="00A8138F" w:rsidRDefault="00A8138F" w:rsidP="00A8138F">
      <w:pPr>
        <w:pStyle w:val="TextoNormal"/>
      </w:pPr>
    </w:p>
    <w:p w14:paraId="49D4CA77" w14:textId="77777777" w:rsidR="00A8138F" w:rsidRDefault="00A8138F" w:rsidP="00A8138F">
      <w:pPr>
        <w:pStyle w:val="TextoNormal"/>
      </w:pPr>
      <w:r>
        <w:t>(iii)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14:paraId="4CEA741D" w14:textId="77777777" w:rsidR="00A8138F" w:rsidRDefault="00A8138F" w:rsidP="00A8138F">
      <w:pPr>
        <w:pStyle w:val="TextoNormal"/>
      </w:pPr>
    </w:p>
    <w:p w14:paraId="3F59C89E" w14:textId="77777777" w:rsidR="00A8138F" w:rsidRDefault="00A8138F" w:rsidP="00A8138F">
      <w:pPr>
        <w:pStyle w:val="TextoNormal"/>
      </w:pPr>
      <w:r>
        <w:t>(iv)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14:paraId="2287FD74" w14:textId="77777777" w:rsidR="00A8138F" w:rsidRDefault="00A8138F" w:rsidP="00A8138F">
      <w:pPr>
        <w:pStyle w:val="TextoNormal"/>
      </w:pPr>
    </w:p>
    <w:p w14:paraId="0FD229F7" w14:textId="628546C0" w:rsidR="00A8138F" w:rsidRDefault="00A8138F" w:rsidP="00A8138F">
      <w:pPr>
        <w:pStyle w:val="TextoNormal"/>
      </w:pPr>
      <w:r>
        <w:lastRenderedPageBreak/>
        <w:t>(v) Por último, se refiere al criterio adoptado por la STJUE de 16 de mayo de 2024, asunto C-673/22, e indica que “[t]ampoco en el caso de autos, en el que el eventual período de disfrute se iniciaría a continuación del permiso de maternidad reconocido por el INSS, estaríamos en un tiempo posterior a la fecha de agotamiento del plazo de transposición”, de la Directiva (UE) 2019/1158.</w:t>
      </w:r>
    </w:p>
    <w:p w14:paraId="226FF189" w14:textId="77777777" w:rsidR="00A8138F" w:rsidRDefault="00A8138F" w:rsidP="00A8138F">
      <w:pPr>
        <w:pStyle w:val="TextoNormal"/>
      </w:pPr>
    </w:p>
    <w:p w14:paraId="1549A957" w14:textId="77777777" w:rsidR="00A8138F" w:rsidRDefault="00A8138F" w:rsidP="00A8138F">
      <w:pPr>
        <w:pStyle w:val="TextoNormal"/>
      </w:pPr>
      <w:r w:rsidRPr="00A8138F">
        <w:rPr>
          <w:rStyle w:val="NumeroAFNegritaCaracter"/>
        </w:rPr>
        <w:t>3</w:t>
      </w:r>
      <w:r>
        <w:t>. En la demanda de amparo se solicita que se declaren vulnerados el derecho a la igualdad y la prohibición de discriminación (art. 14 CE) en relación con los arts. 39 y 9.2 CE, así como la nulidad de la totalidad de las resoluciones judiciales y administrativas dictadas a excepción de la sentencia dictada por la Sala de lo Social Tribunal Superior de Justicia del País Vasco y que se retrotraigan las actuaciones al momento previo al dictado de la resolución del INSS de 19 de septiembre de 2021, para que dicte otra que respete los derechos fundamentales de la recurrente.</w:t>
      </w:r>
    </w:p>
    <w:p w14:paraId="7911A342" w14:textId="77777777" w:rsidR="00A8138F" w:rsidRDefault="00A8138F" w:rsidP="00A8138F">
      <w:pPr>
        <w:pStyle w:val="TextoNormal"/>
      </w:pPr>
    </w:p>
    <w:p w14:paraId="0B4E6308" w14:textId="77777777" w:rsidR="00A8138F" w:rsidRDefault="00A8138F" w:rsidP="00A8138F">
      <w:pPr>
        <w:pStyle w:val="TextoNormal"/>
      </w:pPr>
      <w:r>
        <w:t>La demandante, tras referirse al contenido de las resoluciones recaídas en el procedimiento, sostiene que las resoluciones administrativas impugnadas, que deniegan la ampliación del permiso por nacimiento y cuidado de hijos de la recurrente de amparo, madre biológica de un hijo que por su libre decisión ha constituido una familia monoparental, y las resoluciones judiciales que no reparan esa denegación, igualmente recurridas, han conculcado sus derechos fundamentales a la igualdad, proclamado en el primer inciso del art. 14 CE en relación con el art 39 CE, y a no ser discriminada por causas personales y familiares y por razón de sexo, establecido en el segundo inciso del art. 14 CE.</w:t>
      </w:r>
    </w:p>
    <w:p w14:paraId="1F3EC420" w14:textId="77777777" w:rsidR="00A8138F" w:rsidRDefault="00A8138F" w:rsidP="00A8138F">
      <w:pPr>
        <w:pStyle w:val="TextoNormal"/>
      </w:pPr>
    </w:p>
    <w:p w14:paraId="713CA78F" w14:textId="77777777" w:rsidR="00A8138F" w:rsidRDefault="00A8138F" w:rsidP="00A8138F">
      <w:pPr>
        <w:pStyle w:val="TextoNormal"/>
      </w:pPr>
      <w:r>
        <w:t>Considera que las decisiones denegatorias de la ampliación del permiso a la familia monoparental ocasionan tres tipos de discriminación:</w:t>
      </w:r>
    </w:p>
    <w:p w14:paraId="572CB474" w14:textId="77777777" w:rsidR="00A8138F" w:rsidRDefault="00A8138F" w:rsidP="00A8138F">
      <w:pPr>
        <w:pStyle w:val="TextoNormal"/>
      </w:pPr>
    </w:p>
    <w:p w14:paraId="157F8637" w14:textId="77777777" w:rsidR="00A8138F" w:rsidRDefault="00A8138F" w:rsidP="00A8138F">
      <w:pPr>
        <w:pStyle w:val="TextoNormal"/>
      </w:pPr>
      <w:r>
        <w:t>a) Desigualdad entre madres biológicas de familias monoparentales y madres biológicas de familias biparentales (arts. 14 y 39 CE), en tanto que el permiso por nacimiento y cuidado de hijos e hijas menores de doce meses atiende al mandato constitucional de garantizar la protección de los niños, de modo que las decisiones recurridas provocan una desigualdad entre madres biológicas de familias biparentales y monoparentales contraria a los principios y valores constitucionales contenidos en el art. 39 CE.</w:t>
      </w:r>
    </w:p>
    <w:p w14:paraId="11096099" w14:textId="77777777" w:rsidR="00A8138F" w:rsidRDefault="00A8138F" w:rsidP="00A8138F">
      <w:pPr>
        <w:pStyle w:val="TextoNormal"/>
      </w:pPr>
    </w:p>
    <w:p w14:paraId="61908CCE" w14:textId="77777777" w:rsidR="00A8138F" w:rsidRDefault="00A8138F" w:rsidP="00A8138F">
      <w:pPr>
        <w:pStyle w:val="TextoNormal"/>
      </w:pPr>
      <w:r>
        <w:t>b) Discriminación directa de la recurrente en amparo por circunstancias personales y familiares (arts. 14 y 32 CE). Afirma que la decisión de la recurrente de ser la única progenitora de su hija ha sido el criterio que ha servido al INSS, y después a los órganos judiciales, para denegar las semanas adicionales de la prestación por nacimiento y cuidado de menor de doce meses por ella interesada. Dicha condición personal y familiar de la recurrente en amparo es un criterio diferenciador absolutamente irrazonable, de una inadmisibilidad constitucional análoga a las causas de discriminación contempladas expresamente en el art. 14 CE.</w:t>
      </w:r>
    </w:p>
    <w:p w14:paraId="3FAAE611" w14:textId="77777777" w:rsidR="00A8138F" w:rsidRDefault="00A8138F" w:rsidP="00A8138F">
      <w:pPr>
        <w:pStyle w:val="TextoNormal"/>
      </w:pPr>
    </w:p>
    <w:p w14:paraId="6503704E" w14:textId="60062C54" w:rsidR="00A8138F" w:rsidRDefault="00A8138F" w:rsidP="00A8138F">
      <w:pPr>
        <w:pStyle w:val="TextoNormal"/>
      </w:pPr>
      <w:r>
        <w:t>c) Discriminación indirecta por razón de sexo de la demandante en amparo (arts. 14 y 9.2 CE). Sostiene que, según datos del INE en el año 2020, existían 1 944 800 familias monoparentales, de las cuales 1 582 100 eran encabezadas por mujeres (81 por 100) y 362 800 eran encabezadas por hombres (19 por 100). De modo que las familias monoparentales están formadas mayoritariamente por mujeres, con lo que la norma, aun siendo neutra, com</w:t>
      </w:r>
      <w:r>
        <w:lastRenderedPageBreak/>
        <w:t>porta un trato peyorativo que afecta mayoritariamente a las mujeres en el ejercicio de su libre autodeterminación de formar una familia “monomarental”.</w:t>
      </w:r>
    </w:p>
    <w:p w14:paraId="01862E26" w14:textId="77777777" w:rsidR="00A8138F" w:rsidRDefault="00A8138F" w:rsidP="00A8138F">
      <w:pPr>
        <w:pStyle w:val="TextoNormal"/>
      </w:pPr>
    </w:p>
    <w:p w14:paraId="3F28B56F" w14:textId="60D2F467" w:rsidR="00A8138F" w:rsidRDefault="00A8138F" w:rsidP="00A8138F">
      <w:pPr>
        <w:pStyle w:val="TextoNormal"/>
      </w:pPr>
      <w:r w:rsidRPr="00A8138F">
        <w:rPr>
          <w:rStyle w:val="NumeroAFNegritaCaracter"/>
        </w:rPr>
        <w:t>4</w:t>
      </w:r>
      <w:r>
        <w:t>. La Sección Tercera de este tribunal, mediante providencia de 2 de diciembre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comunicaciones a los diferentes órganos judiciales a fin de que remitieran copia de las actuaciones y al Juzgado de lo Social núm. 4 de San Sebastián para que, en plazo que no excediera de diez días, emplazara a quienes hubieran sido parte en el procedimiento núm. 805-2021, excepto la parte recurrente en amparo, para que pudieran comparecer en el recurso de amparo, si lo deseaban.</w:t>
      </w:r>
    </w:p>
    <w:p w14:paraId="7782C870" w14:textId="77777777" w:rsidR="00A8138F" w:rsidRDefault="00A8138F" w:rsidP="00A8138F">
      <w:pPr>
        <w:pStyle w:val="TextoNormal"/>
      </w:pPr>
    </w:p>
    <w:p w14:paraId="7B1077B2" w14:textId="6983E873" w:rsidR="00A8138F" w:rsidRDefault="00A8138F" w:rsidP="00A8138F">
      <w:pPr>
        <w:pStyle w:val="TextoNormal"/>
      </w:pPr>
      <w:r w:rsidRPr="00A8138F">
        <w:rPr>
          <w:rStyle w:val="NumeroAFNegritaCaracter"/>
        </w:rPr>
        <w:t>5</w:t>
      </w:r>
      <w:r>
        <w:t>. El 27 de enero de 2025, la representación procesal de la demandante presentó sus alegaciones, en las que insiste en el razonamiento que sustenta su pretensión de amparo refriéndose al contenido de la nota informativa del Tribunal Constitucional núm. 109/2024, que daba cuenta de la sentencia que declaró la inconstitucionalidad por omisión del art. 48 LET, en relación con el art. 177 de la Ley general de la Seguridad Social (LGSS).</w:t>
      </w:r>
    </w:p>
    <w:p w14:paraId="428CFF97" w14:textId="77777777" w:rsidR="00A8138F" w:rsidRDefault="00A8138F" w:rsidP="00A8138F">
      <w:pPr>
        <w:pStyle w:val="TextoNormal"/>
      </w:pPr>
    </w:p>
    <w:p w14:paraId="0EF30A4D" w14:textId="77777777" w:rsidR="00A8138F" w:rsidRDefault="00A8138F" w:rsidP="00A8138F">
      <w:pPr>
        <w:pStyle w:val="TextoNormal"/>
      </w:pPr>
      <w:r w:rsidRPr="00A8138F">
        <w:rPr>
          <w:rStyle w:val="NumeroAFNegritaCaracter"/>
        </w:rPr>
        <w:t>6</w:t>
      </w:r>
      <w:r>
        <w:t>. La letrada de la administración de la Seguridad Social, el 17 de febrero de 2025, presentó sus alegaciones postulando la desestimación de la demanda de amparo y, para el supuesto de estimación, se dicte sentencia ordenando se retrotraigan las actuaciones para que el INSS dicte nueva resolución administrativa que resulte respetuosa con el derecho de la recurrente y de la normativa aplicable, limitando la ampliación del permiso y de la correspondiente prestación por nacimiento y cuidado del menor a diez semanas.</w:t>
      </w:r>
    </w:p>
    <w:p w14:paraId="2EFDDBA1" w14:textId="77777777" w:rsidR="00A8138F" w:rsidRDefault="00A8138F" w:rsidP="00A8138F">
      <w:pPr>
        <w:pStyle w:val="TextoNormal"/>
      </w:pPr>
    </w:p>
    <w:p w14:paraId="35F0236B" w14:textId="77777777" w:rsidR="00A8138F" w:rsidRDefault="00A8138F" w:rsidP="00A8138F">
      <w:pPr>
        <w:pStyle w:val="TextoNormal"/>
      </w:pPr>
      <w:r>
        <w:t>Su pretensión se apoya en la exposición de la regulación de la prestación de nacimiento y cuidado del menor en el texto refundido de la Ley general de la Seguridad Social, en el texto refundido de la Ley del estatuto de los trabajadores y en el texto refundido de la Ley del estatuto básico del empleado público (TREEP), así como en la modificación introducida en el art. 48.4 LET por el art. 2.12 del Real Decreto-ley 6/2019, de 1 de marzo, de la que concluye que en ningún caso podrían reconocerse dieciséis semanas adicionales a las dieciséis primeras, so pena de infringirse lo dispuesto en el art. 48.4 LET, que establece que las seis semanas inmediatamente posteriores al parto obligatoriamente deben disfrutarse por ambos progenitores ininterrumpidamente a jornada completa, según establece el art. 48.4 LET, por lo que solo podrían reconocerse diez semanas más y no dieciséis, como pretende la recurrente en la demanda.</w:t>
      </w:r>
    </w:p>
    <w:p w14:paraId="7F6C4316" w14:textId="77777777" w:rsidR="00A8138F" w:rsidRDefault="00A8138F" w:rsidP="00A8138F">
      <w:pPr>
        <w:pStyle w:val="TextoNormal"/>
      </w:pPr>
    </w:p>
    <w:p w14:paraId="4127645A" w14:textId="77777777" w:rsidR="00A8138F" w:rsidRDefault="00A8138F" w:rsidP="00A8138F">
      <w:pPr>
        <w:pStyle w:val="TextoNormal"/>
      </w:pPr>
      <w:r>
        <w:t>Se refiere al contenido y alcance que a su juicio tiene el permiso y la prestación por nacimiento y cuidado del menor. Afirma que no existe un derecho absoluto a la suspensión de la relación laboral durante más tiempo del establecido legalmente, ni mucho menos a la prestación de Seguridad Social si no se cumplen los requisitos para ello.</w:t>
      </w:r>
    </w:p>
    <w:p w14:paraId="33B6ECC6" w14:textId="77777777" w:rsidR="00A8138F" w:rsidRDefault="00A8138F" w:rsidP="00A8138F">
      <w:pPr>
        <w:pStyle w:val="TextoNormal"/>
      </w:pPr>
    </w:p>
    <w:p w14:paraId="57378F27" w14:textId="52FA6C60" w:rsidR="00A8138F" w:rsidRDefault="00A8138F" w:rsidP="00A8138F">
      <w:pPr>
        <w:pStyle w:val="TextoNormal"/>
      </w:pPr>
      <w:r>
        <w:t xml:space="preserve">Finalmente, se hace eco de la STC 140/2024, de 6 de noviembre, deteniéndose en su fundamento jurídico séptimo, y añade que “[a] la vista de lo resuelto por este tribunal, esta </w:t>
      </w:r>
      <w:r>
        <w:lastRenderedPageBreak/>
        <w:t>parte, para evitar reiteraciones innecesarias, se ratifica en las alegaciones realizadas a lo largo de todo el procedimiento”. Finaliza su escrito refiriendo que, “[e]n todo caso, se habrá de tener en cuenta que el reconocimiento de diez semanas adicionales al permiso disfrutado por la progenitora de la familia monoparental (excluyendo las primeras seis semanas que deben ser concurrentes para ambos progenitores) quedará supeditado al cumplimiento del resto de los requisitos legalmente establecidos para el percibo de la prestación, en los que se incluye el haber hecho efectivo el descanso, sin prestación servicios por cuenta ajena, ni percibir las correspondientes retribuciones”.</w:t>
      </w:r>
    </w:p>
    <w:p w14:paraId="1AF7FC21" w14:textId="77777777" w:rsidR="00A8138F" w:rsidRDefault="00A8138F" w:rsidP="00A8138F">
      <w:pPr>
        <w:pStyle w:val="TextoNormal"/>
      </w:pPr>
    </w:p>
    <w:p w14:paraId="046DFFF9" w14:textId="77777777" w:rsidR="00A8138F" w:rsidRDefault="00A8138F" w:rsidP="00A8138F">
      <w:pPr>
        <w:pStyle w:val="TextoNormal"/>
      </w:pPr>
      <w:r w:rsidRPr="00A8138F">
        <w:rPr>
          <w:rStyle w:val="NumeroAFNegritaCaracter"/>
        </w:rPr>
        <w:t>7</w:t>
      </w:r>
      <w:r>
        <w:t>. El Ministerio Fiscal, el 13 de marzo de 2025, interesó el otorgamiento del amparo, que se declare la vulneración del derecho a no sufrir discriminación, se restablezca a la demandante en su derecho anulando la sentencia núm. 846/2023, de 4 de junio, de la Sala de lo Social del Tribunal Supremo, que estima el recurso de casación para unificación de doctrina 745-2023 interpuesto por el INSS, y se retrotraigan las actuaciones para que por el Tribunal Supremo se dicte una sentencia conforme con el derecho fundamental vulnerado, acomodada a la doctrina del Tribunal Constitucional.</w:t>
      </w:r>
    </w:p>
    <w:p w14:paraId="5793A5D5" w14:textId="77777777" w:rsidR="00A8138F" w:rsidRDefault="00A8138F" w:rsidP="00A8138F">
      <w:pPr>
        <w:pStyle w:val="TextoNormal"/>
      </w:pPr>
    </w:p>
    <w:p w14:paraId="3E8CF0EF" w14:textId="77777777" w:rsidR="00A8138F" w:rsidRDefault="00A8138F" w:rsidP="00A8138F">
      <w:pPr>
        <w:pStyle w:val="TextoNormal"/>
      </w:pPr>
      <w:r>
        <w:t>En sus alegaciones se refiere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 CE, por haber nacido su hijo en una familia monoparental.</w:t>
      </w:r>
    </w:p>
    <w:p w14:paraId="7069C31A" w14:textId="77777777" w:rsidR="00A8138F" w:rsidRDefault="00A8138F" w:rsidP="00A8138F">
      <w:pPr>
        <w:pStyle w:val="TextoNormal"/>
      </w:pPr>
    </w:p>
    <w:p w14:paraId="6646F44D" w14:textId="77777777" w:rsidR="00A8138F" w:rsidRDefault="00A8138F" w:rsidP="00A8138F">
      <w:pPr>
        <w:pStyle w:val="TextoNormal"/>
      </w:pPr>
      <w:r>
        <w:t>Afirma que el motivo de la vulneración del art. 14 CE, de acuerdo con la STC 140/2024, es el derecho a la no discriminación, porque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14:paraId="4F933137" w14:textId="77777777" w:rsidR="00A8138F" w:rsidRDefault="00A8138F" w:rsidP="00A8138F">
      <w:pPr>
        <w:pStyle w:val="TextoNormal"/>
      </w:pPr>
    </w:p>
    <w:p w14:paraId="59893D11" w14:textId="41E575EA" w:rsidR="00A8138F" w:rsidRDefault="00A8138F" w:rsidP="00A8138F">
      <w:pPr>
        <w:pStyle w:val="TextoNormal"/>
      </w:pPr>
      <w:r>
        <w:t>Se detiene a examinar los efectos de la vulneración. De este modo, pese a lo solicitado en la demanda de amparo, el fiscal considera que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LGSS, que realiza la sentencia 196/2023 del Tribunal Superior de Justicia del País Vasco es coincidente en lo esencial con la de la STC 140/2024. Sin embargo, reconoce en sus alegaciones que dicha sentencia fijó, en orden a su reparación, una duración de la prestación mayor que la que señala la citada STC 140/2024.</w:t>
      </w:r>
    </w:p>
    <w:p w14:paraId="07233DC9" w14:textId="77777777" w:rsidR="00A8138F" w:rsidRDefault="00A8138F" w:rsidP="00A8138F">
      <w:pPr>
        <w:pStyle w:val="TextoNormal"/>
      </w:pPr>
    </w:p>
    <w:p w14:paraId="75C4D1DC" w14:textId="7F956EF5" w:rsidR="00A8138F" w:rsidRDefault="00A8138F" w:rsidP="00A8138F">
      <w:pPr>
        <w:pStyle w:val="TextoNormal"/>
      </w:pPr>
      <w:r w:rsidRPr="00A8138F">
        <w:rPr>
          <w:rStyle w:val="NumeroAFNegritaCaracter"/>
        </w:rPr>
        <w:t>8</w:t>
      </w:r>
      <w:r>
        <w:t>. Mediante diligencia del secretario de justicia de la Sección Tercera de este tribunal, de 14 de marzo de 2025, se hizo constar haberse recibido los precedentes escritos de alegaciones y que quedaba el presente recurso de amparo pendiente para deliberación cuando por turno correspondiera.</w:t>
      </w:r>
    </w:p>
    <w:p w14:paraId="6F392C2A" w14:textId="77777777" w:rsidR="00A8138F" w:rsidRDefault="00A8138F" w:rsidP="00A8138F">
      <w:pPr>
        <w:pStyle w:val="TextoNormal"/>
      </w:pPr>
    </w:p>
    <w:p w14:paraId="2C6E6282" w14:textId="21C5E494" w:rsidR="00A8138F" w:rsidRDefault="00A8138F" w:rsidP="00A8138F">
      <w:pPr>
        <w:pStyle w:val="TextoNormal"/>
      </w:pPr>
      <w:r w:rsidRPr="00A8138F">
        <w:rPr>
          <w:rStyle w:val="NumeroAFNegritaCaracter"/>
        </w:rPr>
        <w:lastRenderedPageBreak/>
        <w:t>9</w:t>
      </w:r>
      <w:r>
        <w:t>. Mediante providencia de 20 de marzo de 2025, se señaló para deliberación y votación de la presente sentencia el día 24 del mismo mes y año.</w:t>
      </w:r>
    </w:p>
    <w:p w14:paraId="5FE9E587" w14:textId="77777777" w:rsidR="00A8138F" w:rsidRDefault="00A8138F" w:rsidP="00A8138F">
      <w:pPr>
        <w:pStyle w:val="TextoNormal"/>
      </w:pPr>
    </w:p>
    <w:p w14:paraId="3AE11B48" w14:textId="77777777" w:rsidR="00A8138F" w:rsidRDefault="00A8138F" w:rsidP="00A8138F">
      <w:pPr>
        <w:pStyle w:val="TextoNormalNegritaCentrado"/>
        <w:keepNext/>
      </w:pPr>
      <w:r>
        <w:t>II. Fundamentos jurídicos</w:t>
      </w:r>
    </w:p>
    <w:p w14:paraId="38C68AEB" w14:textId="33CC2CD8" w:rsidR="00A8138F" w:rsidRDefault="00A8138F" w:rsidP="00A8138F">
      <w:pPr>
        <w:pStyle w:val="TextoNormalNegritaCentrado"/>
        <w:keepNext/>
      </w:pPr>
    </w:p>
    <w:p w14:paraId="724C803D"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745ED1E8" w14:textId="77777777" w:rsidR="00A8138F" w:rsidRDefault="00A8138F" w:rsidP="00A8138F">
      <w:pPr>
        <w:pStyle w:val="TextoNormal"/>
      </w:pPr>
    </w:p>
    <w:p w14:paraId="3CA42DD1" w14:textId="77777777" w:rsidR="00A8138F" w:rsidRDefault="00A8138F" w:rsidP="00A8138F">
      <w:pPr>
        <w:pStyle w:val="TextoNormal"/>
      </w:pPr>
      <w:r>
        <w:t>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Real-Decreto-ley 6/2019, de 1 de marzo, de medidas urgentes para garantía de la igualdad de trato y de oportunidades entre mujeres y hombres en el empleo y la ocupación.</w:t>
      </w:r>
    </w:p>
    <w:p w14:paraId="6CB57083" w14:textId="77777777" w:rsidR="00A8138F" w:rsidRDefault="00A8138F" w:rsidP="00A8138F">
      <w:pPr>
        <w:pStyle w:val="TextoNormal"/>
      </w:pPr>
    </w:p>
    <w:p w14:paraId="7AE365ED" w14:textId="77777777" w:rsidR="00A8138F" w:rsidRDefault="00A8138F" w:rsidP="00A8138F">
      <w:pPr>
        <w:pStyle w:val="TextoNormal"/>
      </w:pPr>
      <w:r>
        <w:t>El Ministerio Fiscal interesa la estimación del recurso en aplicación de la doctrina constitucional fijada en la STC 140/2024, de 6 de noviembre; la letrada de la administración de la Seguridad Social interesa su desestimación y, en caso de estimación, que se retrotraigan las actuaciones para que el INSS dicte nueva resolución administrativa que resulte respetuosa con el derecho de la recurrente y de la normativa aplicable.</w:t>
      </w:r>
    </w:p>
    <w:p w14:paraId="6A2928BF" w14:textId="77777777" w:rsidR="00A8138F" w:rsidRDefault="00A8138F" w:rsidP="00A8138F">
      <w:pPr>
        <w:pStyle w:val="TextoNormal"/>
      </w:pPr>
    </w:p>
    <w:p w14:paraId="26DA998B"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070BB0D" w14:textId="77777777" w:rsidR="00A8138F" w:rsidRDefault="00A8138F" w:rsidP="00A8138F">
      <w:pPr>
        <w:pStyle w:val="TextoNormal"/>
      </w:pPr>
    </w:p>
    <w:p w14:paraId="66BA0D82"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w:t>
      </w:r>
      <w:r>
        <w:lastRenderedPageBreak/>
        <w:t>secuencias negativas que produce tal medida en los niños y niñas nacidos en familias monoparentales” (FJ 6).</w:t>
      </w:r>
    </w:p>
    <w:p w14:paraId="7A08091C" w14:textId="77777777" w:rsidR="00A8138F" w:rsidRDefault="00A8138F" w:rsidP="00A8138F">
      <w:pPr>
        <w:pStyle w:val="TextoNormal"/>
      </w:pPr>
    </w:p>
    <w:p w14:paraId="13F44478"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435716BE" w14:textId="77777777" w:rsidR="00A8138F" w:rsidRDefault="00A8138F" w:rsidP="00A8138F">
      <w:pPr>
        <w:pStyle w:val="TextoNormal"/>
      </w:pPr>
    </w:p>
    <w:p w14:paraId="41C2CEF3" w14:textId="10575808" w:rsidR="00A8138F" w:rsidRDefault="00A8138F" w:rsidP="00A8138F">
      <w:pPr>
        <w:pStyle w:val="TextoNormal"/>
      </w:pPr>
      <w:r>
        <w:t>En consecuencia, debe estimarse la demanda y otorgar el amparo solicitado, con nulidad de las resoluciones administrativas y judiciales dictadas y, como concretamos en la referida STC 140/2024, de 6 de noviembre,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7656F89A" w14:textId="77777777" w:rsidR="00A8138F" w:rsidRDefault="00A8138F" w:rsidP="00A8138F">
      <w:pPr>
        <w:pStyle w:val="TextoNormal"/>
      </w:pPr>
    </w:p>
    <w:p w14:paraId="37F7D03E" w14:textId="77777777" w:rsidR="00A8138F" w:rsidRDefault="00A8138F" w:rsidP="00A8138F">
      <w:pPr>
        <w:pStyle w:val="TextoNormalCentrado"/>
        <w:keepNext/>
      </w:pPr>
      <w:r>
        <w:t>FALLO</w:t>
      </w:r>
    </w:p>
    <w:p w14:paraId="75FA3F58" w14:textId="1C5D0790" w:rsidR="00A8138F" w:rsidRDefault="00A8138F" w:rsidP="00A8138F">
      <w:pPr>
        <w:pStyle w:val="TextoNormalCentrado"/>
        <w:keepNext/>
      </w:pPr>
    </w:p>
    <w:p w14:paraId="207B38B9" w14:textId="77777777" w:rsidR="00A8138F" w:rsidRDefault="00A8138F" w:rsidP="00A8138F">
      <w:pPr>
        <w:pStyle w:val="TextoNormal"/>
      </w:pPr>
      <w:r>
        <w:t>En atención a todo lo expuesto, el Tribunal Constitucional, por la autoridad que le confiere la Constitución de la Nación española, ha decidido:</w:t>
      </w:r>
    </w:p>
    <w:p w14:paraId="3CA44056" w14:textId="77777777" w:rsidR="00A8138F" w:rsidRDefault="00A8138F" w:rsidP="00A8138F">
      <w:pPr>
        <w:pStyle w:val="TextoNormal"/>
      </w:pPr>
    </w:p>
    <w:p w14:paraId="34CB5BC3" w14:textId="77777777" w:rsidR="00A8138F" w:rsidRDefault="00A8138F" w:rsidP="00A8138F">
      <w:pPr>
        <w:pStyle w:val="TextoNormal"/>
      </w:pPr>
      <w:r>
        <w:t>1º Estimar la demanda presentada por doña Elena Peinado García por vulneración del derecho fundamental a la igualdad ante la ley sin discriminación por razón de nacimiento (art. 14 CE), con reconocimiento de tal derecho.</w:t>
      </w:r>
    </w:p>
    <w:p w14:paraId="2EC1D241" w14:textId="77777777" w:rsidR="00A8138F" w:rsidRDefault="00A8138F" w:rsidP="00A8138F">
      <w:pPr>
        <w:pStyle w:val="TextoNormal"/>
      </w:pPr>
    </w:p>
    <w:p w14:paraId="23F4F879" w14:textId="77777777" w:rsidR="00A8138F" w:rsidRDefault="00A8138F" w:rsidP="00A8138F">
      <w:pPr>
        <w:pStyle w:val="TextoNormal"/>
      </w:pPr>
      <w:r>
        <w:t>2º Declarar la nulidad de las resoluciones de 19 de septiembre y 29 de octubre de 2021, del Instituto Nacional de la Seguridad Social, que concedieron dieciséis semanas de prestación por nacimiento y cuidado de su hijo menor y desestimaron la solicitud de otras tantas semanas adicionales; de la sentencia núm. 87/2022, de 7 de marzo, dictada por el Juzgado de lo Social núm. 4 de San Sebastián en los autos núm. 805-2021; de la sentencia núm. 196/2023, de 24 de enero, dictada por la Sala de lo Social del Tribunal Superior de Justicia del País Vasco en el recurso de suplicación núm. 1555-2022; y de la sentencia núm. 846/2024, de 4 de junio, dictada por la Sala de lo Social del Tribunal Supremo, que estimó el recurso de casación para unificación de doctrina núm. 745-2023.</w:t>
      </w:r>
    </w:p>
    <w:p w14:paraId="2A5D0A78" w14:textId="77777777" w:rsidR="00A8138F" w:rsidRDefault="00A8138F" w:rsidP="00A8138F">
      <w:pPr>
        <w:pStyle w:val="TextoNormal"/>
      </w:pPr>
    </w:p>
    <w:p w14:paraId="545A1111" w14:textId="6E613CE7" w:rsidR="00A8138F" w:rsidRDefault="00A8138F" w:rsidP="00A8138F">
      <w:pPr>
        <w:pStyle w:val="TextoNormal"/>
      </w:pPr>
      <w:r>
        <w:t>3º Retrotraer las actuaciones al momento previo al dictado de la resolución de 19 de septiembre de 2021 del INSS a fin de que, en los términos expuestos en el último párrafo del fundamento único, se dicte otra respetuosa con el derecho de la recurrente cuya vulneración ha sido declarada.</w:t>
      </w:r>
    </w:p>
    <w:p w14:paraId="452B10F0" w14:textId="77777777" w:rsidR="00A8138F" w:rsidRDefault="00A8138F" w:rsidP="00A8138F">
      <w:pPr>
        <w:pStyle w:val="TextoNormal"/>
      </w:pPr>
    </w:p>
    <w:p w14:paraId="2B4D1D8D" w14:textId="77777777" w:rsidR="00A8138F" w:rsidRDefault="00A8138F" w:rsidP="00A8138F">
      <w:pPr>
        <w:pStyle w:val="TextoNormal"/>
      </w:pPr>
      <w:r>
        <w:t>Publíquese esta sentencia en el “Boletín Oficial del Estado”.</w:t>
      </w:r>
    </w:p>
    <w:p w14:paraId="0DEF816B" w14:textId="77777777" w:rsidR="00A8138F" w:rsidRDefault="00A8138F" w:rsidP="00A8138F">
      <w:pPr>
        <w:pStyle w:val="TextoNormal"/>
      </w:pPr>
      <w:r>
        <w:lastRenderedPageBreak/>
        <w:t>Dada en Madrid, a veinticuatro de marzo de dos mil veinticinco.</w:t>
      </w:r>
    </w:p>
    <w:p w14:paraId="397CAB5C" w14:textId="7EC6BEE3" w:rsidR="00A8138F" w:rsidRDefault="00A8138F">
      <w:pPr>
        <w:spacing w:after="160" w:line="278" w:lineRule="auto"/>
        <w:rPr>
          <w:rFonts w:ascii="Times New Roman" w:eastAsia="Times New Roman" w:hAnsi="Times New Roman" w:cs="Times New Roman"/>
          <w:sz w:val="24"/>
          <w:szCs w:val="24"/>
          <w:lang w:eastAsia="es-ES"/>
        </w:rPr>
      </w:pPr>
      <w:r>
        <w:br w:type="page"/>
      </w:r>
    </w:p>
    <w:p w14:paraId="44A525A8" w14:textId="77777777" w:rsidR="00A8138F" w:rsidRDefault="00A8138F" w:rsidP="00A8138F">
      <w:pPr>
        <w:pStyle w:val="TtuloResolucin"/>
      </w:pPr>
      <w:bookmarkStart w:id="80" w:name="SENTENCIA_2025_78"/>
      <w:r>
        <w:lastRenderedPageBreak/>
        <w:t>SENTENCIA 78/2025, de 24 de marzo de 2025</w:t>
      </w:r>
    </w:p>
    <w:bookmarkEnd w:id="80"/>
    <w:p w14:paraId="0955A746" w14:textId="77777777" w:rsidR="00A8138F" w:rsidRDefault="00A8138F" w:rsidP="00A8138F">
      <w:pPr>
        <w:pStyle w:val="TtuloResolucin"/>
      </w:pPr>
      <w:r>
        <w:t>Sala Segunda</w:t>
      </w:r>
    </w:p>
    <w:p w14:paraId="3BFAF13C" w14:textId="77777777" w:rsidR="00A8138F" w:rsidRDefault="00A8138F" w:rsidP="00A8138F">
      <w:pPr>
        <w:pStyle w:val="TtuloBOE"/>
      </w:pPr>
      <w:r>
        <w:t>(BOE núm. 109, de 6 de mayo de 2025)</w:t>
      </w:r>
    </w:p>
    <w:p w14:paraId="5F17DBBE" w14:textId="77777777" w:rsidR="00A8138F" w:rsidRDefault="00A8138F" w:rsidP="00A8138F">
      <w:pPr>
        <w:pStyle w:val="TextoNormalCentrado"/>
      </w:pPr>
      <w:r>
        <w:t>ECLI:ES:TC:2025:78</w:t>
      </w:r>
    </w:p>
    <w:p w14:paraId="5857B0E4" w14:textId="3729F139" w:rsidR="00A8138F" w:rsidRDefault="00A8138F" w:rsidP="00A8138F">
      <w:pPr>
        <w:pStyle w:val="TextoNormalCentrado"/>
      </w:pPr>
    </w:p>
    <w:p w14:paraId="69A28123" w14:textId="77777777" w:rsidR="00A8138F" w:rsidRDefault="00A8138F" w:rsidP="00A8138F">
      <w:pPr>
        <w:pStyle w:val="SntesisDescriptiva"/>
      </w:pPr>
      <w:r>
        <w:t>Recurso de amparo 6011-2024. Promovido por doña Raquel Lloré Justribó en relación con las resoluciones administrativas y judiciales que desestimaron su petición de revisión y ampliación de la prestación por nacimiento y cuidado de hijo menor, como madre biológica de familia monoparental.</w:t>
      </w:r>
    </w:p>
    <w:p w14:paraId="73BB059D" w14:textId="0E90F20C" w:rsidR="00A8138F" w:rsidRDefault="00A8138F" w:rsidP="00A8138F">
      <w:pPr>
        <w:pStyle w:val="SntesisDescriptiva"/>
      </w:pPr>
    </w:p>
    <w:p w14:paraId="03F9D8EC"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79A7742A" w14:textId="7D10AE40" w:rsidR="00A8138F" w:rsidRDefault="00A8138F" w:rsidP="00A8138F">
      <w:pPr>
        <w:pStyle w:val="SntesisAnaltica"/>
      </w:pPr>
    </w:p>
    <w:p w14:paraId="1F8F6DDC" w14:textId="5C765614"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6E332D27" w14:textId="77777777" w:rsidR="00A8138F" w:rsidRDefault="00A8138F" w:rsidP="00A8138F">
      <w:pPr>
        <w:pStyle w:val="Extracto"/>
      </w:pPr>
    </w:p>
    <w:p w14:paraId="1E6DBB0E" w14:textId="77777777" w:rsidR="00A8138F" w:rsidRDefault="00A8138F" w:rsidP="00A8138F">
      <w:pPr>
        <w:pStyle w:val="Extracto"/>
      </w:pPr>
    </w:p>
    <w:p w14:paraId="7C433491"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311BAA9" w14:textId="753E90BA" w:rsidR="00A8138F" w:rsidRDefault="00A8138F" w:rsidP="00A8138F">
      <w:pPr>
        <w:pStyle w:val="TextoNormal"/>
      </w:pPr>
    </w:p>
    <w:p w14:paraId="1348B6BF" w14:textId="77777777" w:rsidR="00A8138F" w:rsidRDefault="00A8138F" w:rsidP="00A8138F">
      <w:pPr>
        <w:pStyle w:val="TextoNormalCentrado"/>
        <w:keepNext/>
      </w:pPr>
      <w:r>
        <w:t>EN NOMBRE DEL REY</w:t>
      </w:r>
    </w:p>
    <w:p w14:paraId="20EF8B0F" w14:textId="20B678E5" w:rsidR="00A8138F" w:rsidRDefault="00A8138F" w:rsidP="00A8138F">
      <w:pPr>
        <w:pStyle w:val="TextoNormalCentrado"/>
        <w:keepNext/>
      </w:pPr>
    </w:p>
    <w:p w14:paraId="37CEC016" w14:textId="77777777" w:rsidR="00A8138F" w:rsidRDefault="00A8138F" w:rsidP="00A8138F">
      <w:pPr>
        <w:pStyle w:val="TextoNormalCentrado"/>
        <w:keepNext/>
      </w:pPr>
    </w:p>
    <w:p w14:paraId="1DA0F59D" w14:textId="77777777" w:rsidR="00A8138F" w:rsidRDefault="00A8138F" w:rsidP="00A8138F">
      <w:pPr>
        <w:pStyle w:val="TextoNormal"/>
      </w:pPr>
      <w:r>
        <w:t>la siguiente</w:t>
      </w:r>
    </w:p>
    <w:p w14:paraId="06417AB3" w14:textId="190CDDAD" w:rsidR="00A8138F" w:rsidRDefault="00A8138F" w:rsidP="00A8138F">
      <w:pPr>
        <w:pStyle w:val="TextoNormal"/>
      </w:pPr>
    </w:p>
    <w:p w14:paraId="038A3A8F" w14:textId="77777777" w:rsidR="00A8138F" w:rsidRDefault="00A8138F" w:rsidP="00A8138F">
      <w:pPr>
        <w:pStyle w:val="TextoNormalCentrado"/>
        <w:keepNext/>
      </w:pPr>
      <w:r>
        <w:t>SENTENCIA</w:t>
      </w:r>
    </w:p>
    <w:p w14:paraId="697D28F9" w14:textId="0199C794" w:rsidR="00A8138F" w:rsidRDefault="00A8138F" w:rsidP="00A8138F">
      <w:pPr>
        <w:pStyle w:val="TextoNormalCentrado"/>
        <w:keepNext/>
      </w:pPr>
    </w:p>
    <w:p w14:paraId="48109415" w14:textId="77777777" w:rsidR="00A8138F" w:rsidRDefault="00A8138F" w:rsidP="00A8138F">
      <w:pPr>
        <w:pStyle w:val="TextoNormal"/>
      </w:pPr>
      <w:r>
        <w:t>En el recurso de amparo núm. 6011-2024, promovido por doña Raquel Lloré Justribó, representada por la procuradora de los tribunales doña María Isabel Torres Ruiz y bajo la dirección del letrado don Pau Estévez Fortuny, contra el auto de 15 de noviembre de 2023 y la sentencia 914/2024, de 11 de junio, dictados por la Sala de lo Social del Tribunal Supremo, que respectivamente inadmitió el recurso de casación para unificación de doctrina núm. 5837-2022 interpuesto por la recurrente y estimó el interpuesto por el Instituto Nacional de la Seguridad Social contra la sentencia 5362/2022, de 17 de octubre, dictada por la Sala de lo Social del Tribunal Superior de Justicia de Cataluña, en el recurso de suplicación núm. 2958-2022, que revocó parcialmente la sentencia 440/2021, de 10 de diciembre, dictada por el Juzgado de lo Social núm. 32 de Barcelona, en autos núm. 793-2021, que a su vez había estimado la demanda interpuesta contra las resoluciones de 20 de julio y 16 de noviembre de 2021 dictadas por el Instituto Nacional de la Seguridad Social. Han interve</w:t>
      </w:r>
      <w:r>
        <w:lastRenderedPageBreak/>
        <w:t>nido el letrado de la administración de la Seguridad Social y el Ministerio Fiscal. Ha sido ponente el magistrado don César Tolosa Tribiño.</w:t>
      </w:r>
    </w:p>
    <w:p w14:paraId="1D050C5B" w14:textId="62ADFEB0" w:rsidR="00A8138F" w:rsidRDefault="00A8138F" w:rsidP="00A8138F">
      <w:pPr>
        <w:pStyle w:val="TextoNormal"/>
      </w:pPr>
    </w:p>
    <w:p w14:paraId="5E9B9C89" w14:textId="77777777" w:rsidR="00A8138F" w:rsidRDefault="00A8138F" w:rsidP="00A8138F">
      <w:pPr>
        <w:pStyle w:val="TextoNormalNegritaCentrado"/>
        <w:keepNext/>
      </w:pPr>
      <w:r>
        <w:t>I. Antecedentes</w:t>
      </w:r>
    </w:p>
    <w:p w14:paraId="21D9AE2A" w14:textId="36FB37E2" w:rsidR="00A8138F" w:rsidRDefault="00A8138F" w:rsidP="00A8138F">
      <w:pPr>
        <w:pStyle w:val="TextoNormalNegritaCentrado"/>
        <w:keepNext/>
      </w:pPr>
    </w:p>
    <w:p w14:paraId="3334D133" w14:textId="1AAA4D7E" w:rsidR="00A8138F" w:rsidRDefault="00A8138F" w:rsidP="00A8138F">
      <w:pPr>
        <w:pStyle w:val="TextoNormal"/>
      </w:pPr>
      <w:r w:rsidRPr="00A8138F">
        <w:rPr>
          <w:rStyle w:val="NumeroAFNegritaCaracter"/>
        </w:rPr>
        <w:t>1</w:t>
      </w:r>
      <w:r>
        <w:t>. El 29 de julio de 2024, doña Raquel Lloré Justribó, con la representación y defensa indicadas, interpuso recurso de amparo contra todas las resoluciones judiciales identificadas en el encabezamiento, a excepción de la sentencia dictada por el Juzgado de lo Social núm. 32 de Barcelona.</w:t>
      </w:r>
    </w:p>
    <w:p w14:paraId="43DB17CF" w14:textId="77777777" w:rsidR="00A8138F" w:rsidRDefault="00A8138F" w:rsidP="00A8138F">
      <w:pPr>
        <w:pStyle w:val="TextoNormal"/>
      </w:pPr>
    </w:p>
    <w:p w14:paraId="64DE061B"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0E06BF6E" w14:textId="77777777" w:rsidR="00A8138F" w:rsidRDefault="00A8138F" w:rsidP="00A8138F">
      <w:pPr>
        <w:pStyle w:val="TextoNormal"/>
      </w:pPr>
    </w:p>
    <w:p w14:paraId="24CF826D" w14:textId="77777777" w:rsidR="00A8138F" w:rsidRDefault="00A8138F" w:rsidP="00A8138F">
      <w:pPr>
        <w:pStyle w:val="TextoNormal"/>
      </w:pPr>
      <w:r>
        <w:t>A) La demandante de amparo, con motivo del nacimiento de su hija el 2 de noviembre de 2020 en el seno de una familia monoparental, solicitó prestación por nacimiento y cuidado de la menor que le fue reconocida con una duración de dieciséis semanas.</w:t>
      </w:r>
    </w:p>
    <w:p w14:paraId="5F70D830" w14:textId="77777777" w:rsidR="00A8138F" w:rsidRDefault="00A8138F" w:rsidP="00A8138F">
      <w:pPr>
        <w:pStyle w:val="TextoNormal"/>
      </w:pPr>
    </w:p>
    <w:p w14:paraId="0388A3A9" w14:textId="77777777" w:rsidR="00A8138F" w:rsidRDefault="00A8138F" w:rsidP="00A8138F">
      <w:pPr>
        <w:pStyle w:val="TextoNormal"/>
      </w:pPr>
      <w:r>
        <w:t>B) Tras ser desestimadas por el Instituto Nacional de la Seguridad Social (INSS) la solicitud de que se revisara la anterior prestación y se le reconocieran otras doce semanas adicionales, así como la reclamación previa en vía administrativa por resoluciones de 20 de julio y 16 de noviembre de 2021, interpuso una demanda contra el INSS y la Tesorería General de la Seguridad Social (TGSS). Alegaba que la desestimación de la acumulación solicitada constituía una discriminación de los derechos de la mujer y del niño con relación a la situación regulada para la familia biparental cuando el menor está a cargo y cuidado de sus dos progenitores.</w:t>
      </w:r>
    </w:p>
    <w:p w14:paraId="5F67C959" w14:textId="77777777" w:rsidR="00A8138F" w:rsidRDefault="00A8138F" w:rsidP="00A8138F">
      <w:pPr>
        <w:pStyle w:val="TextoNormal"/>
      </w:pPr>
    </w:p>
    <w:p w14:paraId="256B4DF5" w14:textId="77777777" w:rsidR="00A8138F" w:rsidRDefault="00A8138F" w:rsidP="00A8138F">
      <w:pPr>
        <w:pStyle w:val="TextoNormal"/>
      </w:pPr>
      <w:r>
        <w:t>C) A la demanda se opuso el INSS con el argumento de que no se ha previsto la suma de los dos períodos que solicitaba la demandante y en el caso de existir únicamente una progenitora, esta se estaría apropiando del derecho del otro. En el supuesto de que se estimara la tesis de la actora solo le corresponderían ocho semanas y no doce porque las otras cuatro primeras semanas se solaparían con el período que obligatoriamente debe disfrutarse tras el nacimiento y este ya lo disfrutó la demandante.</w:t>
      </w:r>
    </w:p>
    <w:p w14:paraId="5F00EAAE" w14:textId="77777777" w:rsidR="00A8138F" w:rsidRDefault="00A8138F" w:rsidP="00A8138F">
      <w:pPr>
        <w:pStyle w:val="TextoNormal"/>
      </w:pPr>
    </w:p>
    <w:p w14:paraId="7D17FEB4" w14:textId="77777777" w:rsidR="00A8138F" w:rsidRDefault="00A8138F" w:rsidP="00A8138F">
      <w:pPr>
        <w:pStyle w:val="TextoNormal"/>
      </w:pPr>
      <w:r>
        <w:t>D) El Juzgado de lo Social núm. 32 de Barcelona dictó sentencia el 10 de diciembre de 2021, en la que considerando como fecha de nacimiento el 20 de noviembre de 2021 estimó íntegramente la demanda y declaró el derecho de la actora a percibir la prestación por nacimiento de hija durante veintiocho semanas, de las cuales, dieciséis semanas ya habían sido reconocidas. Añadía por tanto doce semanas más a las ya concedidas.</w:t>
      </w:r>
    </w:p>
    <w:p w14:paraId="57CD7E09" w14:textId="77777777" w:rsidR="00A8138F" w:rsidRDefault="00A8138F" w:rsidP="00A8138F">
      <w:pPr>
        <w:pStyle w:val="TextoNormal"/>
      </w:pPr>
    </w:p>
    <w:p w14:paraId="4B603C17" w14:textId="77777777" w:rsidR="00A8138F" w:rsidRDefault="00A8138F" w:rsidP="00A8138F">
      <w:pPr>
        <w:pStyle w:val="TextoNormal"/>
      </w:pPr>
      <w:r>
        <w:t>E) Frente a dicha sentencia, el INSS interpuso recurso de suplicación y solicitó que se revocara la sentencia atendida la naturaleza intransferible de la prestación, siendo impugnado el recurso por la demandante.</w:t>
      </w:r>
    </w:p>
    <w:p w14:paraId="5CAB3AB5" w14:textId="77777777" w:rsidR="00A8138F" w:rsidRDefault="00A8138F" w:rsidP="00A8138F">
      <w:pPr>
        <w:pStyle w:val="TextoNormal"/>
      </w:pPr>
    </w:p>
    <w:p w14:paraId="6CB0698F" w14:textId="77777777" w:rsidR="00A8138F" w:rsidRDefault="00A8138F" w:rsidP="00A8138F">
      <w:pPr>
        <w:pStyle w:val="TextoNormal"/>
      </w:pPr>
      <w:r>
        <w:t xml:space="preserve">F) Por la sentencia 5362/2022 dictada por la Sala de lo Social del Tribunal Superior de Cataluña, se estimó parcialmente el recurso de suplicación interpuesto por el INSS y se revocó en parte la sentencia dictada por el Juzgado de lo Social núm. 32 de Barcelona y se declaró el derecho de la actora a complementar la prestación de maternidad con ocho semanas adicionales a las dieciséis ya disfrutadas, alcanzando un total de veinticuatro semanas. </w:t>
      </w:r>
      <w:r>
        <w:lastRenderedPageBreak/>
        <w:t>La sentencia justifica la diferencia de semanas adicionales reconocidas en la existencia de un error material en la fecha de nacimiento apreciada por el Juzgado de lo Social, al deber considerarse como fecha el 20 de noviembre de 2020.</w:t>
      </w:r>
    </w:p>
    <w:p w14:paraId="7C7D41AB" w14:textId="77777777" w:rsidR="00A8138F" w:rsidRDefault="00A8138F" w:rsidP="00A8138F">
      <w:pPr>
        <w:pStyle w:val="TextoNormal"/>
      </w:pPr>
    </w:p>
    <w:p w14:paraId="5C20FC28" w14:textId="77777777" w:rsidR="00A8138F" w:rsidRDefault="00A8138F" w:rsidP="00A8138F">
      <w:pPr>
        <w:pStyle w:val="TextoNormal"/>
      </w:pPr>
      <w:r>
        <w:t>G) Contra dicha sentencia se interpusieron por la recurrente y por el INSS recursos de casación para la unificación de doctrina, inadmitiéndose el primero por auto de 15 de noviembre de 2023 y estimándose el segundo por la sentencia 914/2024, de 11 de junio, de la Sala de lo Social del Tribunal Supremo.</w:t>
      </w:r>
    </w:p>
    <w:p w14:paraId="750BB31B" w14:textId="77777777" w:rsidR="00A8138F" w:rsidRDefault="00A8138F" w:rsidP="00A8138F">
      <w:pPr>
        <w:pStyle w:val="TextoNormal"/>
      </w:pPr>
    </w:p>
    <w:p w14:paraId="1284D133" w14:textId="77777777" w:rsidR="00A8138F" w:rsidRDefault="00A8138F" w:rsidP="00A8138F">
      <w:pPr>
        <w:pStyle w:val="TextoNormal"/>
      </w:pPr>
      <w:r>
        <w:t>La sentencia indica que sobre dicha cuestión, el Pleno de la Sala de lo Social ya ha tenido ocasión de pronunciarse en la STS 169/2023, de 2 de marzo (ECLI:ES:TS:2023:783), reiterada luego por las SSTS 434/2023, de 14 de junio (ECLI:ES:TS:2023:3053); 1136/2023 y 1139/2023, de 12 de diciembre (ECLI:ES:TS:2023:5495 y ECLI:ES:TS:2023:6000, respectivamente), o las SSTS 325/2024 y 326/2024, de 21 de febrero (ECLI:ES:TS:2024:1274 y ECLI:ES:TS:2024:1457, respectivamente). Recuerda las razones expuestas en dicha sentencia:</w:t>
      </w:r>
    </w:p>
    <w:p w14:paraId="7CD6F763" w14:textId="77777777" w:rsidR="00A8138F" w:rsidRDefault="00A8138F" w:rsidP="00A8138F">
      <w:pPr>
        <w:pStyle w:val="TextoNormal"/>
      </w:pPr>
    </w:p>
    <w:p w14:paraId="377E6419" w14:textId="77777777" w:rsidR="00A8138F" w:rsidRDefault="00A8138F" w:rsidP="00A8138F">
      <w:pPr>
        <w:pStyle w:val="TextoNormal"/>
      </w:pPr>
      <w:r>
        <w:t>a) No procede la ampliación del disfrute del derecho a favor del progenitor monoparental pues tal solución no solo afectaría al ámbito de las prestaciones contributivas de la Seguridad Social, sino que también produciría efectos en el ámbito de su relación contractual con el empleador, dado que para el disfrute de la prestación solicitada resultaría ineludible la ampliación de la duración de la suspensión del contrato de trabajo prevista en el art. 48.4 del texto refundido de la Ley del estatuto de los trabajadores, aprobado por el Real Decreto Legislativo 2/2015, de 23 de octubre (LET).</w:t>
      </w:r>
    </w:p>
    <w:p w14:paraId="6398D9C2" w14:textId="77777777" w:rsidR="00A8138F" w:rsidRDefault="00A8138F" w:rsidP="00A8138F">
      <w:pPr>
        <w:pStyle w:val="TextoNormal"/>
      </w:pPr>
    </w:p>
    <w:p w14:paraId="6DCF0409" w14:textId="77777777" w:rsidR="00A8138F" w:rsidRDefault="00A8138F" w:rsidP="00A8138F">
      <w:pPr>
        <w:pStyle w:val="TextoNormal"/>
      </w:pPr>
      <w:r>
        <w:t>b) Esta realidad era conocida por el legislador. Consta que el Parlamento no ha aprobado una proposición de ley orientada a ampliar el permiso a treinta y dos semanas en el caso de las familias monoparentales y que, en fecha recientísima, el Senado ha desestimado por abrumadora mayoría una enmienda, la núm. 93, al proyecto de ley orgánica por la que se modifica la Ley Orgánica 2/2010, de 3 de marzo, de salud sexual y reproductiva y de la interrupción voluntaria del embarazo, consistente en la modificación del art. 48.4 LET en el siguiente sentido: “en el supuesto de familias monoparentales, la persona trabajadora podrá acumular el tiempo de permiso que correspondería a la otra persona trabajadora si la hubiera (‘Diario Oficial del Senado’ de 8 de febrero de 2023)”.</w:t>
      </w:r>
    </w:p>
    <w:p w14:paraId="18FE18CF" w14:textId="77777777" w:rsidR="00A8138F" w:rsidRDefault="00A8138F" w:rsidP="00A8138F">
      <w:pPr>
        <w:pStyle w:val="TextoNormal"/>
      </w:pPr>
    </w:p>
    <w:p w14:paraId="1F432083" w14:textId="77777777" w:rsidR="00A8138F" w:rsidRDefault="00A8138F" w:rsidP="00A8138F">
      <w:pPr>
        <w:pStyle w:val="TextoNormal"/>
      </w:pPr>
      <w:r>
        <w:t>c) 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14:paraId="4074F42C" w14:textId="77777777" w:rsidR="00A8138F" w:rsidRDefault="00A8138F" w:rsidP="00A8138F">
      <w:pPr>
        <w:pStyle w:val="TextoNormal"/>
      </w:pPr>
    </w:p>
    <w:p w14:paraId="66B190DE" w14:textId="77777777" w:rsidR="00A8138F" w:rsidRDefault="00A8138F" w:rsidP="00A8138F">
      <w:pPr>
        <w:pStyle w:val="TextoNormal"/>
      </w:pPr>
      <w:r>
        <w:t>d)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w:t>
      </w:r>
      <w:r>
        <w:lastRenderedPageBreak/>
        <w:t>tado por una situación de discriminación, sino ante un eventual déficit de protección concreto, querido y consentido por el legislador.</w:t>
      </w:r>
    </w:p>
    <w:p w14:paraId="7DC36F6C" w14:textId="77777777" w:rsidR="00A8138F" w:rsidRDefault="00A8138F" w:rsidP="00A8138F">
      <w:pPr>
        <w:pStyle w:val="TextoNormal"/>
      </w:pPr>
    </w:p>
    <w:p w14:paraId="2D8E3E01" w14:textId="6D048DB4" w:rsidR="00A8138F" w:rsidRDefault="00A8138F" w:rsidP="00A8138F">
      <w:pPr>
        <w:pStyle w:val="TextoNormal"/>
      </w:pPr>
      <w:r>
        <w:t xml:space="preserve">e) Por último, se refiere al criterio adoptado por la STJUE de 16 de mayo de 2024, </w:t>
      </w:r>
      <w:r w:rsidRPr="00A8138F">
        <w:rPr>
          <w:i/>
        </w:rPr>
        <w:t xml:space="preserve">CCC c. Tesorería General de la Seguridad Social (TGSS) e Instituto Nacional de la Seguridad Social (INSS) </w:t>
      </w:r>
      <w:r>
        <w:t>, asunto C- 673/22 (ECLI:EU:C:2024:407), e indica que “en el supuesto de autos en el que la solicitud de la ampliación se produce por escrito de 13 de julio de 2021, es decir, antes de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14:paraId="0EA9CA36" w14:textId="77777777" w:rsidR="00A8138F" w:rsidRDefault="00A8138F" w:rsidP="00A8138F">
      <w:pPr>
        <w:pStyle w:val="TextoNormal"/>
      </w:pPr>
    </w:p>
    <w:p w14:paraId="4E3CB358" w14:textId="77777777" w:rsidR="00A8138F" w:rsidRDefault="00A8138F" w:rsidP="00A8138F">
      <w:pPr>
        <w:pStyle w:val="TextoNormal"/>
      </w:pPr>
      <w:r w:rsidRPr="00A8138F">
        <w:rPr>
          <w:rStyle w:val="NumeroAFNegritaCaracter"/>
        </w:rPr>
        <w:t>3</w:t>
      </w:r>
      <w:r>
        <w:t>. En la demanda de amparo se solicita que se declare vulnerado el derecho a la igualdad y la prohibición de discriminación (art. 14 CE) en relación con los arts. 39 y 9.2 CE, así como la nulidad de la totalidad de las resoluciones judiciales a excepción de la sentencia 440/2021 de 10 de diciembre, del Juzgado Social núm. 32 de Barcelona.</w:t>
      </w:r>
    </w:p>
    <w:p w14:paraId="1F4D3E44" w14:textId="77777777" w:rsidR="00A8138F" w:rsidRDefault="00A8138F" w:rsidP="00A8138F">
      <w:pPr>
        <w:pStyle w:val="TextoNormal"/>
      </w:pPr>
    </w:p>
    <w:p w14:paraId="10D67AB6" w14:textId="77777777" w:rsidR="00A8138F" w:rsidRDefault="00A8138F" w:rsidP="00A8138F">
      <w:pPr>
        <w:pStyle w:val="TextoNormal"/>
      </w:pPr>
      <w:r>
        <w:t>La demandante, tras referirse al contenido de las resoluciones recaídas en el procedimiento, sostiene que las resoluciones impugnadas han conculcado su derecho fundamental a no ser discriminada por razón de sexo y el derecho de la menor a no ser discriminada por razón de nacimiento (art 14 CE).</w:t>
      </w:r>
    </w:p>
    <w:p w14:paraId="001960BF" w14:textId="77777777" w:rsidR="00A8138F" w:rsidRDefault="00A8138F" w:rsidP="00A8138F">
      <w:pPr>
        <w:pStyle w:val="TextoNormal"/>
      </w:pPr>
    </w:p>
    <w:p w14:paraId="204D8DD7" w14:textId="77777777" w:rsidR="00A8138F" w:rsidRDefault="00A8138F" w:rsidP="00A8138F">
      <w:pPr>
        <w:pStyle w:val="TextoNormal"/>
      </w:pPr>
      <w:r>
        <w:t>a) Considera que las decisiones denegatorias de la ampliación de permiso a la familia monoparental producen una discriminación indirecta por razón de sexo, puesto que, de forma mayoritaria son las mujeres quienes constituyen el modelo de familia monoparental, excluidas por omisión en el precepto aplicado y que, ante su aparente neutralidad, no considera que es sobre estas mujeres donde recae toda la responsabilidad del sustento y cuidados del menor, mermando su desarrollo profesional y realizando mayor gasto que una familia biparental, al contar con menor número de semanas de prestación. La mujer se ve perjudicada durante su carrera profesional, de forma directa (teniendo que reducir su vida laboral) o indirecta (encontrándose con mayores dificultades para conciliar la vida laboral con el cuidado de menores).</w:t>
      </w:r>
    </w:p>
    <w:p w14:paraId="791659FC" w14:textId="77777777" w:rsidR="00A8138F" w:rsidRDefault="00A8138F" w:rsidP="00A8138F">
      <w:pPr>
        <w:pStyle w:val="TextoNormal"/>
      </w:pPr>
    </w:p>
    <w:p w14:paraId="512A60BC" w14:textId="77777777" w:rsidR="00A8138F" w:rsidRDefault="00A8138F" w:rsidP="00A8138F">
      <w:pPr>
        <w:pStyle w:val="TextoNormal"/>
      </w:pPr>
      <w:r>
        <w:t>Afirma que el diseño de los permisos del Real Decreto-ley 6/2019, de 1 de marzo, de medidas urgentes para garantía de la igualdad de trato y de oportunidades entre mujeres y hombres en el empleo y la ocupación, que reforma la Ley del estatuto de los trabajadores, olvida la necesidad de que el sistema de la Seguridad Social ayude al sostenimiento de la igualdad de oportunidades de estas mujeres, vulnerables al desempleo y a la reducción en el tiempo de dedicación a la formación y promoción profesional. Esa especial vulnerabilidad de las familias monoparentales propicia la discriminación indirecta por razón de género, que atenta contra el artículo 14 CE.</w:t>
      </w:r>
    </w:p>
    <w:p w14:paraId="36B733B6" w14:textId="77777777" w:rsidR="00A8138F" w:rsidRDefault="00A8138F" w:rsidP="00A8138F">
      <w:pPr>
        <w:pStyle w:val="TextoNormal"/>
      </w:pPr>
    </w:p>
    <w:p w14:paraId="1C42D71B" w14:textId="7A3AE60A" w:rsidR="00A8138F" w:rsidRDefault="00A8138F" w:rsidP="00A8138F">
      <w:pPr>
        <w:pStyle w:val="TextoNormal"/>
      </w:pPr>
      <w:r>
        <w:t>b) Considera que además produce una discriminación en la menor por razón de nacimiento. Considera que se discrimina a una menor por el único hecho de nacer en una familia monoparental y se vulnera el principio de igualdad y el interés superior de esta, apreciando la existencia de una situación de vulnerabilidad de los menores nacidos en familias monoparentales, que cuentan con menor número de semanas de prestación y cuidados frente al menor nacido en familia biparental.</w:t>
      </w:r>
    </w:p>
    <w:p w14:paraId="20D9A4A3" w14:textId="77777777" w:rsidR="00A8138F" w:rsidRDefault="00A8138F" w:rsidP="00A8138F">
      <w:pPr>
        <w:pStyle w:val="TextoNormal"/>
      </w:pPr>
    </w:p>
    <w:p w14:paraId="51A141B8" w14:textId="13A346E1" w:rsidR="00A8138F" w:rsidRDefault="00A8138F" w:rsidP="00A8138F">
      <w:pPr>
        <w:pStyle w:val="TextoNormal"/>
      </w:pPr>
      <w:r w:rsidRPr="00A8138F">
        <w:rPr>
          <w:rStyle w:val="NumeroAFNegritaCaracter"/>
        </w:rPr>
        <w:t>4</w:t>
      </w:r>
      <w:r>
        <w:t>. La Sección Tercera de este tribunal, mediante providencia de 2 de diciembre de 2024 acordó la admisión a trámite del recurso al apreciar que su contenido justificaba una decisión sobre el fondo por parte del Tribunal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comunicaciones a los diferentes órganos judiciales a fin de que remitieran copia de las actuaciones y, además, al Juzgado de lo Social núm. 32 de Barcelona para que, en plazo que no excediera de diez días, emplazara a quienes hubieran sido parte en el procedimiento núm. 793-2021, excepto la parte recurrente en amparo, para que pudieran comparecer en el recurso de amparo, si lo deseaban.</w:t>
      </w:r>
    </w:p>
    <w:p w14:paraId="0F40BE52" w14:textId="77777777" w:rsidR="00A8138F" w:rsidRDefault="00A8138F" w:rsidP="00A8138F">
      <w:pPr>
        <w:pStyle w:val="TextoNormal"/>
      </w:pPr>
    </w:p>
    <w:p w14:paraId="45248F8A" w14:textId="77777777" w:rsidR="00A8138F" w:rsidRDefault="00A8138F" w:rsidP="00A8138F">
      <w:pPr>
        <w:pStyle w:val="TextoNormal"/>
      </w:pPr>
      <w:r w:rsidRPr="00A8138F">
        <w:rPr>
          <w:rStyle w:val="NumeroAFNegritaCaracter"/>
        </w:rPr>
        <w:t>5</w:t>
      </w:r>
      <w:r>
        <w:t>. El letrado de la administración de la Seguridad Social presentó sus alegaciones con fecha 12 de febrero de 2025 en las que solicitaba que se tuviera por realizado el allanamiento a la demanda.</w:t>
      </w:r>
    </w:p>
    <w:p w14:paraId="6B7A540E" w14:textId="77777777" w:rsidR="00A8138F" w:rsidRDefault="00A8138F" w:rsidP="00A8138F">
      <w:pPr>
        <w:pStyle w:val="TextoNormal"/>
      </w:pPr>
    </w:p>
    <w:p w14:paraId="139C7722" w14:textId="77777777" w:rsidR="00A8138F" w:rsidRDefault="00A8138F" w:rsidP="00A8138F">
      <w:pPr>
        <w:pStyle w:val="TextoNormal"/>
      </w:pPr>
      <w:r>
        <w:t>En tal sentido se hace eco de los recientes pronunciamientos del Tribunal Constitucional por los que tras estimar la cuestión de inconstitucionalidad núm. 6694-2023 planteada por la Sala de lo Social del Tribunal Superior de Justicia de Cataluña en relación con el artículo 48, apartados 4, 5 y 6 LET en conexión con el artículo 177 del texto refundido de la Ley general de la Seguridad Social aprobado por el Real Decreto Legislativo 8/2015, de 30 de octubre (LGSS) que declaró inconstitucionales los citados preceptos, se dictaron las SSTC 147/2024, 149/2024, 150/2024 y 151/20242, de 2 de diciembre, en los recursos de amparo núm. 6078-2023, 1084-2024, 1845-2024 y 1880-2024, respectivamente y estimando las demandas presentadas conforme al pronunciamiento de la STC 140/2024, de 6 de noviembre, del Pleno del Tribunal Constitucional.</w:t>
      </w:r>
    </w:p>
    <w:p w14:paraId="496B0E50" w14:textId="77777777" w:rsidR="00A8138F" w:rsidRDefault="00A8138F" w:rsidP="00A8138F">
      <w:pPr>
        <w:pStyle w:val="TextoNormal"/>
      </w:pPr>
    </w:p>
    <w:p w14:paraId="01942282" w14:textId="77777777" w:rsidR="00A8138F" w:rsidRDefault="00A8138F" w:rsidP="00A8138F">
      <w:pPr>
        <w:pStyle w:val="TextoNormal"/>
      </w:pPr>
      <w:r>
        <w:t>A la vista de dichas sentencias, la dirección del servicio jurídico de la administración de la Seguridad Social dictó la instrucción 10/2024, de 23 de diciembre, que autorizó al servicio jurídico delegado central en el INSS para allanarse en los recursos de amparo pendientes ante el Tribunal Constitucional que resultasen afectados por lo establecido en el fundamento jurídico séptimo de la STC 140/2024, lo que sucede en el presente recurso.</w:t>
      </w:r>
    </w:p>
    <w:p w14:paraId="3385A50B" w14:textId="77777777" w:rsidR="00A8138F" w:rsidRDefault="00A8138F" w:rsidP="00A8138F">
      <w:pPr>
        <w:pStyle w:val="TextoNormal"/>
      </w:pPr>
    </w:p>
    <w:p w14:paraId="2F41AB7B" w14:textId="283DFF90" w:rsidR="00A8138F" w:rsidRDefault="00A8138F" w:rsidP="00A8138F">
      <w:pPr>
        <w:pStyle w:val="TextoNormal"/>
      </w:pPr>
      <w:r>
        <w:t>Añade finalmente que “habiendo nacido la hija de la accionante el 2 de noviembre de 2020, en ningún caso podrían reconocerse doce semanas adicionales a las dieciséis primeras, ya que al progenitor distinto a la madre, en el año 2020, se le reconoce un periodo de suspensión del contrato de trabajo de doce semanas, de las cuales las cuatro primeras debe disfrutarlas de forma ininterrumpida inmediatamente tras el parto; de manera que estas cuatro primeras semanas se superponen necesariamente con el periodo de seis semanas inmediatamente posteriores al parto que la madre biológica debe disfrutar obligatoriamente de forma ininterrumpida, por lo que la ampliación solo podría extenderse a ocho semanas. En este sentido ya se pronunciaba la sentencia del Tribunal Superior de Justicia de Cataluña de 17 de octubre de 2022”.</w:t>
      </w:r>
    </w:p>
    <w:p w14:paraId="2DA2E757" w14:textId="77777777" w:rsidR="00A8138F" w:rsidRDefault="00A8138F" w:rsidP="00A8138F">
      <w:pPr>
        <w:pStyle w:val="TextoNormal"/>
      </w:pPr>
    </w:p>
    <w:p w14:paraId="397C6D32" w14:textId="4860C866" w:rsidR="00A8138F" w:rsidRDefault="00A8138F" w:rsidP="00A8138F">
      <w:pPr>
        <w:pStyle w:val="TextoNormal"/>
      </w:pPr>
      <w:r w:rsidRPr="00A8138F">
        <w:rPr>
          <w:rStyle w:val="NumeroAFNegritaCaracter"/>
        </w:rPr>
        <w:t>6</w:t>
      </w:r>
      <w:r>
        <w:t xml:space="preserve">. El día 20 de febrero de 2025, la representación procesal de la demandante presentó sus alegaciones en las que reiteró el fundamento de su pretensión de amparo, completando </w:t>
      </w:r>
      <w:r>
        <w:lastRenderedPageBreak/>
        <w:t>sus alegaciones mediante la referencia a la STC 140/2024, que considera plenamente aplicable para resolver la demanda de amparo.</w:t>
      </w:r>
    </w:p>
    <w:p w14:paraId="1FD6935A" w14:textId="77777777" w:rsidR="00A8138F" w:rsidRDefault="00A8138F" w:rsidP="00A8138F">
      <w:pPr>
        <w:pStyle w:val="TextoNormal"/>
      </w:pPr>
    </w:p>
    <w:p w14:paraId="3F7CB741" w14:textId="77777777" w:rsidR="00A8138F" w:rsidRDefault="00A8138F" w:rsidP="00A8138F">
      <w:pPr>
        <w:pStyle w:val="TextoNormal"/>
      </w:pPr>
      <w:r w:rsidRPr="00A8138F">
        <w:rPr>
          <w:rStyle w:val="NumeroAFNegritaCaracter"/>
        </w:rPr>
        <w:t>7</w:t>
      </w:r>
      <w:r>
        <w:t>. El Ministerio Fiscal, con fecha 13 de marzo de 2025, interesó el otorgamiento del amparo y que se declarara la nulidad de la sentencia de la Sala de lo Social del Tribunal Supremo, que se confirmara la sentencia de la Sala de lo Social del Tribunal Superior de Justicia de Cataluña e inadmitiera la demanda de amparo frente al auto de 15 de noviembre de 2023 de la Sala de lo Social del Tribunal Supremo.</w:t>
      </w:r>
    </w:p>
    <w:p w14:paraId="43BDA70D" w14:textId="77777777" w:rsidR="00A8138F" w:rsidRDefault="00A8138F" w:rsidP="00A8138F">
      <w:pPr>
        <w:pStyle w:val="TextoNormal"/>
      </w:pPr>
    </w:p>
    <w:p w14:paraId="296BC948" w14:textId="77777777" w:rsidR="00A8138F" w:rsidRDefault="00A8138F" w:rsidP="00A8138F">
      <w:pPr>
        <w:pStyle w:val="TextoNormal"/>
      </w:pPr>
      <w:r>
        <w:t>Entiende que procede inadmitir el recurso de amparo contra el auto de la Sala de lo Social del Tribunal Supremo que inadmitió el recurso de casación para la unificación de doctrina interpuesto por la recurrente, en tanto que esta ya interpuso contra dicho auto otro recurso de amparo anterior —registrado con el núm. 11-2024— que fue inadmitido por providencia de 17 de abril de 2024 dictada por la Sección Primera “por no haber concluido el proceso abierto en la vía judicial” con arreglo a lo previsto en el art. 50.1 a) LOTC, en relación con su art. 44.1 a). Afirma, por tanto, que la recurrente no habría agotado adecuadamente la vía judicial precedente al no haber interpuesto el incidente de nulidad de actuaciones del art. 241 de la Ley Orgánica del Poder Judicial, frente al auto de 15 de noviembre de 2023 de la Sala de lo Social del Tribunal Supremo. por la no admisión a trámite del recurso de casación, lo que determinó la inadmisión del recurso de amparo frente al auto de 15 de noviembre de 2023 conforme a los arts. 50.1 a) y 44.1 a) LOTC.</w:t>
      </w:r>
    </w:p>
    <w:p w14:paraId="00A8A25D" w14:textId="77777777" w:rsidR="00A8138F" w:rsidRDefault="00A8138F" w:rsidP="00A8138F">
      <w:pPr>
        <w:pStyle w:val="TextoNormal"/>
      </w:pPr>
    </w:p>
    <w:p w14:paraId="1FF75480" w14:textId="77777777" w:rsidR="00A8138F" w:rsidRDefault="00A8138F" w:rsidP="00A8138F">
      <w:pPr>
        <w:pStyle w:val="TextoNormal"/>
      </w:pPr>
      <w:r>
        <w:t>En cuanto al fondo, en sus alegaciones se refiere de modo extenso a la doctrina constitucional establecida en la STC 140/2024 y entiende que su aplicación al caso determina la estimación del recurso. Considera que al aplicar los arts. 48.4 LET y 177 LGSS, declarados inconstitucionales, las resoluciones impugnadas han producido la discriminación prohibida por el art. 14 CE, tanto de la demandante de amparo y de su hija por razón de nacimiento por haber nacido en una familia monoparental.</w:t>
      </w:r>
    </w:p>
    <w:p w14:paraId="1447411C" w14:textId="77777777" w:rsidR="00A8138F" w:rsidRDefault="00A8138F" w:rsidP="00A8138F">
      <w:pPr>
        <w:pStyle w:val="TextoNormal"/>
      </w:pPr>
    </w:p>
    <w:p w14:paraId="01E98925" w14:textId="77777777" w:rsidR="00A8138F" w:rsidRDefault="00A8138F" w:rsidP="00A8138F">
      <w:pPr>
        <w:pStyle w:val="TextoNormal"/>
      </w:pPr>
      <w:r>
        <w:t>Afirma que el motivo de la vulneración del art. 14 CE de acuerdo con la STC 140/2024, es el derecho a la no discriminación, porque la regulación cuestionada (art. 48.4 LET en relación con el art. 177 LGSS) provoca una desigualdad de trato perjudicial para los menores nacidos en familias monoparentales frente a los nacidos en familias biparentales en cuanto al menor tiempo que las familias monoparentales, al estar formadas por un único progenitor, tienen para cuidado del hijo de hasta doce meses de edad, por la regulación de la suspensión del contrato de trabajo (art. 48.4 LET).</w:t>
      </w:r>
    </w:p>
    <w:p w14:paraId="447B2318" w14:textId="77777777" w:rsidR="00A8138F" w:rsidRDefault="00A8138F" w:rsidP="00A8138F">
      <w:pPr>
        <w:pStyle w:val="TextoNormal"/>
      </w:pPr>
    </w:p>
    <w:p w14:paraId="6DD4035C" w14:textId="0A670DFE" w:rsidR="00A8138F" w:rsidRDefault="00A8138F" w:rsidP="00A8138F">
      <w:pPr>
        <w:pStyle w:val="TextoNormal"/>
      </w:pPr>
      <w:r>
        <w:t>Añade que la doctrina expuesta es aplicable al presente supuesto de amparo y en consecuencia debe estimarse el amparo por vulneración del derecho a la igualdad ante la ley sin discriminación por razón de nacimiento (art. 14 CE) y declarar la nulidad de la sentencia 914/2024, de la Sala de lo Social del Tribunal Supremo y confirmar la sentencia 5362/2022, de la Sala de lo Social del Tribunal Superior de Justicia de Cataluña.</w:t>
      </w:r>
    </w:p>
    <w:p w14:paraId="792B369E" w14:textId="77777777" w:rsidR="00A8138F" w:rsidRDefault="00A8138F" w:rsidP="00A8138F">
      <w:pPr>
        <w:pStyle w:val="TextoNormal"/>
      </w:pPr>
    </w:p>
    <w:p w14:paraId="3938AF6D" w14:textId="1EC8527F" w:rsidR="00A8138F" w:rsidRDefault="00A8138F" w:rsidP="00A8138F">
      <w:pPr>
        <w:pStyle w:val="TextoNormal"/>
      </w:pPr>
      <w:r w:rsidRPr="00A8138F">
        <w:rPr>
          <w:rStyle w:val="NumeroAFNegritaCaracter"/>
        </w:rPr>
        <w:t>8</w:t>
      </w:r>
      <w:r>
        <w:t>. Mediante diligencia del secretario de justicia de la Sección Tercera de 14 de marzo de 2025, se hizo constar que se habían recibido los precedentes escritos de alegaciones y que quedaba el presente recurso de amparo pendiente para deliberación cuando por turno corresponda.</w:t>
      </w:r>
    </w:p>
    <w:p w14:paraId="6959888A" w14:textId="77777777" w:rsidR="00A8138F" w:rsidRDefault="00A8138F" w:rsidP="00A8138F">
      <w:pPr>
        <w:pStyle w:val="TextoNormal"/>
      </w:pPr>
    </w:p>
    <w:p w14:paraId="3EFD517E" w14:textId="172C2133" w:rsidR="00A8138F" w:rsidRDefault="00A8138F" w:rsidP="00A8138F">
      <w:pPr>
        <w:pStyle w:val="TextoNormal"/>
      </w:pPr>
      <w:r w:rsidRPr="00A8138F">
        <w:rPr>
          <w:rStyle w:val="NumeroAFNegritaCaracter"/>
        </w:rPr>
        <w:lastRenderedPageBreak/>
        <w:t>9</w:t>
      </w:r>
      <w:r>
        <w:t>. Mediante providencia de 20 de marzo de 2025, se señaló para deliberación y votación de la presente sentencia el día 24 del mismo mes y año</w:t>
      </w:r>
    </w:p>
    <w:p w14:paraId="5A6465F7" w14:textId="77777777" w:rsidR="00A8138F" w:rsidRDefault="00A8138F" w:rsidP="00A8138F">
      <w:pPr>
        <w:pStyle w:val="TextoNormal"/>
      </w:pPr>
    </w:p>
    <w:p w14:paraId="6CAD4049" w14:textId="77777777" w:rsidR="00A8138F" w:rsidRDefault="00A8138F" w:rsidP="00A8138F">
      <w:pPr>
        <w:pStyle w:val="TextoNormalNegritaCentrado"/>
        <w:keepNext/>
      </w:pPr>
      <w:r>
        <w:t>II. Fundamentos jurídicos</w:t>
      </w:r>
    </w:p>
    <w:p w14:paraId="59A55857" w14:textId="373AFA9E" w:rsidR="00A8138F" w:rsidRDefault="00A8138F" w:rsidP="00A8138F">
      <w:pPr>
        <w:pStyle w:val="TextoNormalNegritaCentrado"/>
        <w:keepNext/>
      </w:pPr>
    </w:p>
    <w:p w14:paraId="06964A25"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w:t>
      </w:r>
    </w:p>
    <w:p w14:paraId="7C3F2DB2" w14:textId="77777777" w:rsidR="00A8138F" w:rsidRDefault="00A8138F" w:rsidP="00A8138F">
      <w:pPr>
        <w:pStyle w:val="TextoNormal"/>
      </w:pPr>
    </w:p>
    <w:p w14:paraId="34E103D3" w14:textId="77777777" w:rsidR="00A8138F" w:rsidRDefault="00A8138F" w:rsidP="00A8138F">
      <w:pPr>
        <w:pStyle w:val="TextoNormal"/>
      </w:pPr>
      <w:r>
        <w:t>El objeto del presente proceso es dilucidar si las resoluciones administrativas y judiciales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71BAEBD1" w14:textId="77777777" w:rsidR="00A8138F" w:rsidRDefault="00A8138F" w:rsidP="00A8138F">
      <w:pPr>
        <w:pStyle w:val="TextoNormal"/>
      </w:pPr>
    </w:p>
    <w:p w14:paraId="13CE04EE" w14:textId="77777777" w:rsidR="00A8138F" w:rsidRDefault="00A8138F" w:rsidP="00A8138F">
      <w:pPr>
        <w:pStyle w:val="TextoNormal"/>
      </w:pPr>
      <w:r>
        <w:t>El Ministerio Fiscal interesa la inadmisión del recurso de amparo interpuesto contra el auto de 15 de noviembre de 2023 dictado por la Sala de lo Social del Tribunal Supremo y la estimación del recurso frente a las restantes resoluciones en aplicación de la doctrina constitucional fijada en la STC 140/2024. El letrado de la administración de la Seguridad Social manifiesta allanarse a la demanda de amparo.</w:t>
      </w:r>
    </w:p>
    <w:p w14:paraId="4A7C7EE9" w14:textId="77777777" w:rsidR="00A8138F" w:rsidRDefault="00A8138F" w:rsidP="00A8138F">
      <w:pPr>
        <w:pStyle w:val="TextoNormal"/>
      </w:pPr>
    </w:p>
    <w:p w14:paraId="3907DDBE" w14:textId="77777777" w:rsidR="00A8138F" w:rsidRDefault="00A8138F" w:rsidP="00A8138F">
      <w:pPr>
        <w:pStyle w:val="TextoNormal"/>
      </w:pPr>
      <w:r>
        <w:t>Con carácter previo procede indicar que por providencia de 17 de abril de 2024 se inadmitió por la Sección Primera de este tribunal el recurso de amparo núm. 11-2024 interpuesto previamente por la recurrente frente al auto de 15 de noviembre de 2023 del Tribunal Supremo “por no haber concluido el proceso abierto en la vía judicial” con arreglo a lo previsto en el art. 50.1 a) LOTC, en relación con su art. 44.1 a). De modo que una vez concluida la vía judicial con el dictado de la sentencia 914/2024, de la Sala de lo Social del Tribunal Supremo, se han desvanecido las razones para inadmitir el recurso frente a dicha resolución por vulneración del derecho a no sufrir discriminación al haber finalizado el procedimiento ante la jurisdicción ordinaria.</w:t>
      </w:r>
    </w:p>
    <w:p w14:paraId="1305C6B8" w14:textId="77777777" w:rsidR="00A8138F" w:rsidRDefault="00A8138F" w:rsidP="00A8138F">
      <w:pPr>
        <w:pStyle w:val="TextoNormal"/>
      </w:pPr>
    </w:p>
    <w:p w14:paraId="5E3D764C" w14:textId="77777777" w:rsidR="00A8138F" w:rsidRDefault="00A8138F" w:rsidP="00A8138F">
      <w:pPr>
        <w:pStyle w:val="TextoNormal"/>
      </w:pPr>
      <w:r>
        <w:t>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7639E6D9" w14:textId="77777777" w:rsidR="00A8138F" w:rsidRDefault="00A8138F" w:rsidP="00A8138F">
      <w:pPr>
        <w:pStyle w:val="TextoNormal"/>
      </w:pPr>
    </w:p>
    <w:p w14:paraId="7244FB0B" w14:textId="77777777" w:rsidR="00A8138F" w:rsidRDefault="00A8138F" w:rsidP="00A8138F">
      <w:pPr>
        <w:pStyle w:val="TextoNormal"/>
      </w:pPr>
      <w:r>
        <w:t xml:space="preserve">La citada STC 140/2024, estimando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w:t>
      </w:r>
      <w:r>
        <w:lastRenderedPageBreak/>
        <w:t>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66058D4" w14:textId="77777777" w:rsidR="00A8138F" w:rsidRDefault="00A8138F" w:rsidP="00A8138F">
      <w:pPr>
        <w:pStyle w:val="TextoNormal"/>
      </w:pPr>
    </w:p>
    <w:p w14:paraId="60548B47"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3A2C8D9" w14:textId="77777777" w:rsidR="00A8138F" w:rsidRDefault="00A8138F" w:rsidP="00A8138F">
      <w:pPr>
        <w:pStyle w:val="TextoNormal"/>
      </w:pPr>
    </w:p>
    <w:p w14:paraId="65EFF883" w14:textId="1230723E" w:rsidR="00A8138F" w:rsidRDefault="00A8138F" w:rsidP="00A8138F">
      <w:pPr>
        <w:pStyle w:val="TextoNormal"/>
      </w:pPr>
      <w:r>
        <w:t>En consecuencia, debe estimarse la demanda y otorgar el amparo solicitado, con nulidad del auto de 15 de noviembre de 2023 y de la sentencia 914/2024, dictados por la Sala de lo Social del Tribunal Supremo, que inadmitieron el recurso de casación para unificación de doctrina núm. 5837-2022 de la recurrente y estimaron el presentado por el INSS, y declarar firme la sentencia 5362/2022, de la Sala de lo Social del Tribunal Superior de Justicia de Cataluña —recurso de suplicación núm. 2958-2022— al reparar la vulneración invocada tal y como concretamos en la referida STC 140/2024, FJ 7, pues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en el segundo para progenitor distinto debiendo excluirse las semanas que necesariamente deben disfrutarse de forma ininterrumpida e inmediatamente posterior al parto.</w:t>
      </w:r>
    </w:p>
    <w:p w14:paraId="50FFCD84" w14:textId="77777777" w:rsidR="00A8138F" w:rsidRDefault="00A8138F" w:rsidP="00A8138F">
      <w:pPr>
        <w:pStyle w:val="TextoNormal"/>
      </w:pPr>
    </w:p>
    <w:p w14:paraId="2E27D9B7" w14:textId="77777777" w:rsidR="00A8138F" w:rsidRDefault="00A8138F" w:rsidP="00A8138F">
      <w:pPr>
        <w:pStyle w:val="TextoNormalCentrado"/>
        <w:keepNext/>
      </w:pPr>
      <w:r>
        <w:t>FALLO</w:t>
      </w:r>
    </w:p>
    <w:p w14:paraId="337BB6A9" w14:textId="2C1B4B63" w:rsidR="00A8138F" w:rsidRDefault="00A8138F" w:rsidP="00A8138F">
      <w:pPr>
        <w:pStyle w:val="TextoNormalCentrado"/>
        <w:keepNext/>
      </w:pPr>
    </w:p>
    <w:p w14:paraId="3FCF46C8" w14:textId="77777777" w:rsidR="00A8138F" w:rsidRDefault="00A8138F" w:rsidP="00A8138F">
      <w:pPr>
        <w:pStyle w:val="TextoNormal"/>
      </w:pPr>
      <w:r>
        <w:t>En atención a todo lo expuesto, el Tribunal Constitucional, por la autoridad que le confiere la Constitución de la Nación española, ha decidido:</w:t>
      </w:r>
    </w:p>
    <w:p w14:paraId="2FE9F270" w14:textId="77777777" w:rsidR="00A8138F" w:rsidRDefault="00A8138F" w:rsidP="00A8138F">
      <w:pPr>
        <w:pStyle w:val="TextoNormal"/>
      </w:pPr>
    </w:p>
    <w:p w14:paraId="5877036A" w14:textId="77777777" w:rsidR="00A8138F" w:rsidRDefault="00A8138F" w:rsidP="00A8138F">
      <w:pPr>
        <w:pStyle w:val="TextoNormal"/>
      </w:pPr>
      <w:r>
        <w:t>1º Estimar parcialmente la demanda presentada por doña por doña Raquel Lloré Justribó por vulneración del derecho fundamental a la igualdad ante la ley sin discriminación por razón de nacimiento (art. 14 CE), con reconocimiento de tal derecho.</w:t>
      </w:r>
    </w:p>
    <w:p w14:paraId="483D4D74" w14:textId="77777777" w:rsidR="00A8138F" w:rsidRDefault="00A8138F" w:rsidP="00A8138F">
      <w:pPr>
        <w:pStyle w:val="TextoNormal"/>
      </w:pPr>
    </w:p>
    <w:p w14:paraId="26E4E492" w14:textId="081DC1CA" w:rsidR="00A8138F" w:rsidRDefault="00A8138F" w:rsidP="00A8138F">
      <w:pPr>
        <w:pStyle w:val="TextoNormal"/>
      </w:pPr>
      <w:r>
        <w:t>2º Declarar la nulidad del auto de 15 de noviembre de 2023 y de la sentencia núm. 914/2024, de 11 de junio, dictados por la Sala de lo Social del Tribunal Supremo, que inadmitieron el recurso de casación para unificación de doctrina núm. 5837-2022 de la recurrente y estimaron el presentado por el INSS, y declarar firme la sentencia núm. 5362/2022, de 17 de octubre, de la Sala de lo Social del Tribunal Superior de Justicia de Cataluña —recurso de suplicación núm. 2958-2022—.</w:t>
      </w:r>
    </w:p>
    <w:p w14:paraId="318FFDCB" w14:textId="77777777" w:rsidR="00A8138F" w:rsidRDefault="00A8138F" w:rsidP="00A8138F">
      <w:pPr>
        <w:pStyle w:val="TextoNormal"/>
      </w:pPr>
    </w:p>
    <w:p w14:paraId="53FDF19E" w14:textId="77777777" w:rsidR="00A8138F" w:rsidRDefault="00A8138F" w:rsidP="00A8138F">
      <w:pPr>
        <w:pStyle w:val="TextoNormal"/>
      </w:pPr>
      <w:r>
        <w:t>Publíquese esta sentencia en el “Boletín Oficial del Estado”.</w:t>
      </w:r>
    </w:p>
    <w:p w14:paraId="1F46FEC0" w14:textId="77777777" w:rsidR="00A8138F" w:rsidRDefault="00A8138F" w:rsidP="00A8138F">
      <w:pPr>
        <w:pStyle w:val="TextoNormal"/>
      </w:pPr>
      <w:r>
        <w:t>Dada en Madrid, a veinticuatro de marzo de dos mil veinticinco.</w:t>
      </w:r>
    </w:p>
    <w:p w14:paraId="1BC76117" w14:textId="4AE4677A" w:rsidR="00A8138F" w:rsidRDefault="00A8138F">
      <w:pPr>
        <w:spacing w:after="160" w:line="278" w:lineRule="auto"/>
        <w:rPr>
          <w:rFonts w:ascii="Times New Roman" w:eastAsia="Times New Roman" w:hAnsi="Times New Roman" w:cs="Times New Roman"/>
          <w:sz w:val="24"/>
          <w:szCs w:val="24"/>
          <w:lang w:eastAsia="es-ES"/>
        </w:rPr>
      </w:pPr>
      <w:r>
        <w:br w:type="page"/>
      </w:r>
    </w:p>
    <w:p w14:paraId="171B0C9E" w14:textId="77777777" w:rsidR="00A8138F" w:rsidRDefault="00A8138F" w:rsidP="00A8138F">
      <w:pPr>
        <w:pStyle w:val="TtuloResolucin"/>
      </w:pPr>
      <w:bookmarkStart w:id="81" w:name="SENTENCIA_2025_79"/>
      <w:r>
        <w:lastRenderedPageBreak/>
        <w:t>SENTENCIA 79/2025, de 24 de marzo de 2025</w:t>
      </w:r>
    </w:p>
    <w:bookmarkEnd w:id="81"/>
    <w:p w14:paraId="5735FB84" w14:textId="77777777" w:rsidR="00A8138F" w:rsidRDefault="00A8138F" w:rsidP="00A8138F">
      <w:pPr>
        <w:pStyle w:val="TtuloResolucin"/>
      </w:pPr>
      <w:r>
        <w:t>Sala Segunda</w:t>
      </w:r>
    </w:p>
    <w:p w14:paraId="500673C0" w14:textId="77777777" w:rsidR="00A8138F" w:rsidRDefault="00A8138F" w:rsidP="00A8138F">
      <w:pPr>
        <w:pStyle w:val="TtuloBOE"/>
      </w:pPr>
      <w:r>
        <w:t>(BOE núm. 109, de 6 de mayo de 2025)</w:t>
      </w:r>
    </w:p>
    <w:p w14:paraId="7748D75E" w14:textId="77777777" w:rsidR="00A8138F" w:rsidRDefault="00A8138F" w:rsidP="00A8138F">
      <w:pPr>
        <w:pStyle w:val="TextoNormalCentrado"/>
      </w:pPr>
      <w:r>
        <w:t>ECLI:ES:TC:2025:79</w:t>
      </w:r>
    </w:p>
    <w:p w14:paraId="0B18A8F0" w14:textId="4C15B18A" w:rsidR="00A8138F" w:rsidRDefault="00A8138F" w:rsidP="00A8138F">
      <w:pPr>
        <w:pStyle w:val="TextoNormalCentrado"/>
      </w:pPr>
    </w:p>
    <w:p w14:paraId="6CE4A02E" w14:textId="77777777" w:rsidR="00A8138F" w:rsidRDefault="00A8138F" w:rsidP="00A8138F">
      <w:pPr>
        <w:pStyle w:val="SntesisDescriptiva"/>
      </w:pPr>
      <w:r>
        <w:t>Recurso de amparo 6315-2024. Promovido por doña Susana Sáiz Sánchez en relación con las resoluciones administrativas y judiciales que desestimaron su petición de revisión y ampliación de la prestación por nacimiento y cuidado de hijo menor, como madre biológica de familia monoparental.</w:t>
      </w:r>
    </w:p>
    <w:p w14:paraId="74C21C92" w14:textId="0030D83F" w:rsidR="00A8138F" w:rsidRDefault="00A8138F" w:rsidP="00A8138F">
      <w:pPr>
        <w:pStyle w:val="SntesisDescriptiva"/>
      </w:pPr>
    </w:p>
    <w:p w14:paraId="5FF001F2"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69221E57" w14:textId="69EA634A" w:rsidR="00A8138F" w:rsidRDefault="00A8138F" w:rsidP="00A8138F">
      <w:pPr>
        <w:pStyle w:val="SntesisAnaltica"/>
      </w:pPr>
    </w:p>
    <w:p w14:paraId="34F25EE2" w14:textId="512ED087"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3].</w:t>
      </w:r>
    </w:p>
    <w:p w14:paraId="5E0EB1AB" w14:textId="77777777" w:rsidR="00A8138F" w:rsidRDefault="00A8138F" w:rsidP="00A8138F">
      <w:pPr>
        <w:pStyle w:val="Extracto"/>
      </w:pPr>
    </w:p>
    <w:p w14:paraId="6F0CE066" w14:textId="77777777" w:rsidR="00A8138F" w:rsidRDefault="00A8138F" w:rsidP="00A8138F">
      <w:pPr>
        <w:pStyle w:val="Extracto"/>
      </w:pPr>
    </w:p>
    <w:p w14:paraId="3D84E233"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86D2934" w14:textId="44E26D38" w:rsidR="00A8138F" w:rsidRDefault="00A8138F" w:rsidP="00A8138F">
      <w:pPr>
        <w:pStyle w:val="TextoNormal"/>
      </w:pPr>
    </w:p>
    <w:p w14:paraId="773DFC6E" w14:textId="77777777" w:rsidR="00A8138F" w:rsidRDefault="00A8138F" w:rsidP="00A8138F">
      <w:pPr>
        <w:pStyle w:val="TextoNormalCentrado"/>
        <w:keepNext/>
      </w:pPr>
      <w:r>
        <w:t>EN NOMBRE DEL REY</w:t>
      </w:r>
    </w:p>
    <w:p w14:paraId="00179064" w14:textId="230AFAA3" w:rsidR="00A8138F" w:rsidRDefault="00A8138F" w:rsidP="00A8138F">
      <w:pPr>
        <w:pStyle w:val="TextoNormalCentrado"/>
        <w:keepNext/>
      </w:pPr>
    </w:p>
    <w:p w14:paraId="3A80B53F" w14:textId="77777777" w:rsidR="00A8138F" w:rsidRDefault="00A8138F" w:rsidP="00A8138F">
      <w:pPr>
        <w:pStyle w:val="TextoNormalCentrado"/>
        <w:keepNext/>
      </w:pPr>
    </w:p>
    <w:p w14:paraId="35162FFA" w14:textId="77777777" w:rsidR="00A8138F" w:rsidRDefault="00A8138F" w:rsidP="00A8138F">
      <w:pPr>
        <w:pStyle w:val="TextoNormal"/>
      </w:pPr>
      <w:r>
        <w:t>la siguiente</w:t>
      </w:r>
    </w:p>
    <w:p w14:paraId="4E863F31" w14:textId="0F3310BF" w:rsidR="00A8138F" w:rsidRDefault="00A8138F" w:rsidP="00A8138F">
      <w:pPr>
        <w:pStyle w:val="TextoNormal"/>
      </w:pPr>
    </w:p>
    <w:p w14:paraId="33505ADC" w14:textId="77777777" w:rsidR="00A8138F" w:rsidRDefault="00A8138F" w:rsidP="00A8138F">
      <w:pPr>
        <w:pStyle w:val="TextoNormalCentrado"/>
        <w:keepNext/>
      </w:pPr>
      <w:r>
        <w:t>SENTENCIA</w:t>
      </w:r>
    </w:p>
    <w:p w14:paraId="6980E9B2" w14:textId="1192443C" w:rsidR="00A8138F" w:rsidRDefault="00A8138F" w:rsidP="00A8138F">
      <w:pPr>
        <w:pStyle w:val="TextoNormalCentrado"/>
        <w:keepNext/>
      </w:pPr>
    </w:p>
    <w:p w14:paraId="3DAA413D" w14:textId="77777777" w:rsidR="00A8138F" w:rsidRDefault="00A8138F" w:rsidP="00A8138F">
      <w:pPr>
        <w:pStyle w:val="TextoNormal"/>
      </w:pPr>
      <w:r>
        <w:t xml:space="preserve">En el recurso de amparo núm. 6315-2024, promovido por doña Susana Sáiz Sánchez, representada por la procuradora de los tribunales doña Alicia Suau Casado y asistida por la letrada doña Aída Casanova Pérez, contra las resoluciones presuntas del Instituto Nacional de la Seguridad Social (INSS) y la Tesorería General de la seguridad Social (TGSS) que le denegaron la solicitud de ampliación de la prestación por nacimiento y cuidado de su hijo menor como madre biológica de familia monoparental; la sentencia núm. 343/2022, de 13 de octubre de 2022, del Juzgado de lo Social núm. 1 de Valencia (autos núm. 200-2022), que desestimó la demanda interpuesta contra el INSS y TGSS en reclamación de tal ampliación; la sentencia núm. 2929/2023, de la Sala de lo Social del Tribunal Superior de Justicia de la Comunidad Valenciana, de 16 de junio de 2023 que desestimó el recurso de suplicación núm. 3813-2023 y el auto de 10 de junio de 2024 por el que la Sala de lo Social del Tribunal Supremo inadmitió el recurso de casación para unificación de doctrina que interpuso frente a la anterior resolución (recurso de unificación de doctrina núm. 123-2024). Han </w:t>
      </w:r>
      <w:r>
        <w:lastRenderedPageBreak/>
        <w:t>intervenido la letrada de la administración de la Seguridad Social, en nombre del INSS y de la TGSS y el Ministerio Fiscal. Ha sido ponente la magistrada doña Laura Díez Bueso.</w:t>
      </w:r>
    </w:p>
    <w:p w14:paraId="2021368F" w14:textId="1B6CF2C5" w:rsidR="00A8138F" w:rsidRDefault="00A8138F" w:rsidP="00A8138F">
      <w:pPr>
        <w:pStyle w:val="TextoNormal"/>
      </w:pPr>
    </w:p>
    <w:p w14:paraId="284AE291" w14:textId="77777777" w:rsidR="00A8138F" w:rsidRDefault="00A8138F" w:rsidP="00A8138F">
      <w:pPr>
        <w:pStyle w:val="TextoNormalNegritaCentrado"/>
        <w:keepNext/>
      </w:pPr>
      <w:r>
        <w:t>I. Antecedentes</w:t>
      </w:r>
    </w:p>
    <w:p w14:paraId="4A676162" w14:textId="7B0FCD7B" w:rsidR="00A8138F" w:rsidRDefault="00A8138F" w:rsidP="00A8138F">
      <w:pPr>
        <w:pStyle w:val="TextoNormalNegritaCentrado"/>
        <w:keepNext/>
      </w:pPr>
    </w:p>
    <w:p w14:paraId="080C38D4" w14:textId="31B9D273" w:rsidR="00A8138F" w:rsidRDefault="00A8138F" w:rsidP="00A8138F">
      <w:pPr>
        <w:pStyle w:val="TextoNormal"/>
      </w:pPr>
      <w:r w:rsidRPr="00A8138F">
        <w:rPr>
          <w:rStyle w:val="NumeroAFNegritaCaracter"/>
        </w:rPr>
        <w:t>1</w:t>
      </w:r>
      <w:r>
        <w:t>. Mediante escrito registrado en este tribunal el 2 de septiembre de 2024, la representante procesal de doña Susana Sáiz Sánchez, bajo la dirección letrada de doña Aída Casanova Pérez, interpuso recurso de amparo contra las resoluciones administrativas y judiciales a las que se ha hecho referencia en el encabezamiento de esta sentencia.</w:t>
      </w:r>
    </w:p>
    <w:p w14:paraId="51F5668A" w14:textId="77777777" w:rsidR="00A8138F" w:rsidRDefault="00A8138F" w:rsidP="00A8138F">
      <w:pPr>
        <w:pStyle w:val="TextoNormal"/>
      </w:pPr>
    </w:p>
    <w:p w14:paraId="0E99CEAA"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5ADC4B0D" w14:textId="77777777" w:rsidR="00A8138F" w:rsidRDefault="00A8138F" w:rsidP="00A8138F">
      <w:pPr>
        <w:pStyle w:val="TextoNormal"/>
      </w:pPr>
    </w:p>
    <w:p w14:paraId="3DD939DA" w14:textId="77777777" w:rsidR="00A8138F" w:rsidRDefault="00A8138F" w:rsidP="00A8138F">
      <w:pPr>
        <w:pStyle w:val="TextoNormal"/>
      </w:pPr>
      <w:r>
        <w:t>a) La señora Sáiz Sánchez es madre biológica de un niño, nacido el 1 de enero de 2022, siendo su única progenitora registral. Por resolución de 14 de enero de 2022 le fue reconocido por el INSS el derecho a la prestación de nacimiento y cuidado del menor por el período que va desde el 1 de enero de 2022 al 22 de abril de 2022 (dieciséis semanas). Posteriormente, la actora solicitó la ampliación de su permiso, añadiendo al período ya reconocido el que consideraba hubiera correspondido al segundo progenitor en el supuesto de una familia biparental (dieciséis semanas).</w:t>
      </w:r>
    </w:p>
    <w:p w14:paraId="2F6BBA4D" w14:textId="77777777" w:rsidR="00A8138F" w:rsidRDefault="00A8138F" w:rsidP="00A8138F">
      <w:pPr>
        <w:pStyle w:val="TextoNormal"/>
      </w:pPr>
    </w:p>
    <w:p w14:paraId="43FB5649" w14:textId="77777777" w:rsidR="00A8138F" w:rsidRDefault="00A8138F" w:rsidP="00A8138F">
      <w:pPr>
        <w:pStyle w:val="TextoNormal"/>
      </w:pPr>
      <w:r>
        <w:t>b) La solicitud de revisión y ampliación de la prestación fue rechazada por el INSS mediante resolución de su directora provincial de 16 de febrero de 2022 (fecha registro de salida), por entender que “es criterio de esta entidad que la ampliación de la duración del descanso que se solicita en la reclamación previa solo procede en el único progenitor existente en los casos de familia monoparental y en los supuestos de discapacidad del hijo o hija”.</w:t>
      </w:r>
    </w:p>
    <w:p w14:paraId="110BA011" w14:textId="77777777" w:rsidR="00A8138F" w:rsidRDefault="00A8138F" w:rsidP="00A8138F">
      <w:pPr>
        <w:pStyle w:val="TextoNormal"/>
      </w:pPr>
    </w:p>
    <w:p w14:paraId="14C5B328" w14:textId="77777777" w:rsidR="00A8138F" w:rsidRDefault="00A8138F" w:rsidP="00A8138F">
      <w:pPr>
        <w:pStyle w:val="TextoNormal"/>
      </w:pPr>
      <w:r>
        <w:t>c) Contra la anterior resolución interpuso reclamación administrativa previa el 4 de marzo de 2022, y fue dictada resolución desestimatoria con fecha de 29 de marzo de 2022, con base en el mismo argumento ofrecido con anterioridad.</w:t>
      </w:r>
    </w:p>
    <w:p w14:paraId="085C76A3" w14:textId="77777777" w:rsidR="00A8138F" w:rsidRDefault="00A8138F" w:rsidP="00A8138F">
      <w:pPr>
        <w:pStyle w:val="TextoNormal"/>
      </w:pPr>
    </w:p>
    <w:p w14:paraId="40CE7B66" w14:textId="77777777" w:rsidR="00A8138F" w:rsidRDefault="00A8138F" w:rsidP="00A8138F">
      <w:pPr>
        <w:pStyle w:val="TextoNormal"/>
      </w:pPr>
      <w:r>
        <w:t>d) La recurrente presentó demanda contra el INSS y TGSS denunciando una discriminación por indiferenciación del art. 48.4 de la Ley del estatuto de los trabajadores (en adelante LET), solicitando que se le reconociera el derecho a ampliar su permiso por nacimiento y cuidado de menor al tiempo que le hubiera correspondido al otro progenitor de haberse tratado de una familia biparental.</w:t>
      </w:r>
    </w:p>
    <w:p w14:paraId="38A35866" w14:textId="77777777" w:rsidR="00A8138F" w:rsidRDefault="00A8138F" w:rsidP="00A8138F">
      <w:pPr>
        <w:pStyle w:val="TextoNormal"/>
      </w:pPr>
    </w:p>
    <w:p w14:paraId="74FDE131" w14:textId="77777777" w:rsidR="00A8138F" w:rsidRDefault="00A8138F" w:rsidP="00A8138F">
      <w:pPr>
        <w:pStyle w:val="TextoNormal"/>
      </w:pPr>
      <w:r>
        <w:t>e) Mediante sentencia de 13 de octubre de 2022 (autos núm. 200-2022), el Juzgado de lo Social núm. 1 de Valencia, tras la cita de la normativa legal aplicable, la doctrina jurisprudencial existente sobre la materia, concretamente las sentencias de la Sala de lo Social del Tribunal de Justicia de la Comunidad Valenciana, de 19 de octubre de 2021, núm. 3020/2021 (recurso núm. 1563-2021) y la de 30 de noviembre de 2021, núm. 3471/2021 (recurso núm. 2089/2021), y subrayar que “el trato diferenciado que, en suma, supone que el progenitor de la familia monoparental tenga acceso a una prestación superior y distinta a la que se reconoce a cada uno de los que conforman la familia biparental, reclama una re</w:t>
      </w:r>
      <w:r>
        <w:lastRenderedPageBreak/>
        <w:t>gulación que así lo establezca de manera explícita, lo que no se desprende de la en vigor al tiempo de la solicitud actora”, desestimó la demanda.</w:t>
      </w:r>
    </w:p>
    <w:p w14:paraId="20F36D87" w14:textId="77777777" w:rsidR="00A8138F" w:rsidRDefault="00A8138F" w:rsidP="00A8138F">
      <w:pPr>
        <w:pStyle w:val="TextoNormal"/>
      </w:pPr>
    </w:p>
    <w:p w14:paraId="35A8659B" w14:textId="77777777" w:rsidR="00A8138F" w:rsidRDefault="00A8138F" w:rsidP="00A8138F">
      <w:pPr>
        <w:pStyle w:val="TextoNormal"/>
      </w:pPr>
      <w:r>
        <w:t>f) Formulado recurso de suplicación frente a la anterior resolución fue desestimado por sentencia de 2 de noviembre de 2023, de la Sala de lo Social del Tribunal Superior de Justicia de Valencia (recurso de suplicación núm. 3813-2022), trasladando como argumento sus propias resoluciones en las que hace aplicación de la doctrina de la Sala de lo Social del Tribunal Supremo, concretamente la sentencia núm. 169/2023, de 2 de marzo (recurso de unificación de doctrina núm. 3972-2020).</w:t>
      </w:r>
    </w:p>
    <w:p w14:paraId="1E396208" w14:textId="77777777" w:rsidR="00A8138F" w:rsidRDefault="00A8138F" w:rsidP="00A8138F">
      <w:pPr>
        <w:pStyle w:val="TextoNormal"/>
      </w:pPr>
    </w:p>
    <w:p w14:paraId="12033082" w14:textId="2E9A71C5" w:rsidR="00A8138F" w:rsidRDefault="00A8138F" w:rsidP="00A8138F">
      <w:pPr>
        <w:pStyle w:val="TextoNormal"/>
      </w:pPr>
      <w:r>
        <w:t>g) La actora interpuso recurso de casación para la unificación de doctrina la sentencia de la Sala de lo Social antes citada, que fue inadmitido por la Sala de lo Social del Tribunal Supremo (autos núm. 123-2024) por auto de 10 de julio de 2024, al ser coincidente la sentencia recurrida con la doctrina mantenida por esa misma Sala en sus sentencias de 2 de marzo de 2023, de Pleno (recurso de unificación de doctrina núm. 3972-2020, ECLI:ES:TS:2023:783), seguida por otras muchas [SSTS de 13 de octubre de 2020, recurso núm. 4337-2018; 29 de abril de 2021, recurso núm. 2238-2018; 6 de abril de 2022, recurso núm. 4408-2018; 26 de enero de 2022, recurso núm. 1373-2019, y AATS de 15 de marzo de 2022, recurso núm. 2705-2021; 26 de abril de 2022 (dos), recurso núm. 2407-2021 y recurso núm. 3104-2021; 27 de abril de 2022 (dos), recurso núm. 3492-2021, recurso núm. 1681-2021, y 10 de mayo de 2022, recurso núm. 3131-2021, entre otras].</w:t>
      </w:r>
    </w:p>
    <w:p w14:paraId="2E702D49" w14:textId="77777777" w:rsidR="00A8138F" w:rsidRDefault="00A8138F" w:rsidP="00A8138F">
      <w:pPr>
        <w:pStyle w:val="TextoNormal"/>
      </w:pPr>
    </w:p>
    <w:p w14:paraId="2966A92C" w14:textId="77777777" w:rsidR="00A8138F" w:rsidRDefault="00A8138F" w:rsidP="00A8138F">
      <w:pPr>
        <w:pStyle w:val="TextoNormal"/>
      </w:pPr>
      <w:r w:rsidRPr="00A8138F">
        <w:rPr>
          <w:rStyle w:val="NumeroAFNegritaCaracter"/>
        </w:rPr>
        <w:t>3</w:t>
      </w:r>
      <w:r>
        <w:t>. Los motivos por los que la demandante solicita el amparo, se basan en la vulneración de los derechos fundamentales a la igualdad en la ley y a la no discriminación directa por circunstancia personal y familiar e indirecta por razón de sexo (art. 14 CE en relación con los arts. 39 y 9.2 CE), dado que las resoluciones administrativas y judiciales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alcanzando ese resultado peyorativo y discriminatorio a su hijo, nacido en dicha familia monoparental, sin que las resoluciones impugnadas hayan tenido en cuenta el interés superior del menor a cuyo respeto estaban obligadas por el art. 39. 4 CE y por la Convención sobre los derechos del niño (art.10.2 CE).</w:t>
      </w:r>
    </w:p>
    <w:p w14:paraId="37A72B39" w14:textId="77777777" w:rsidR="00A8138F" w:rsidRDefault="00A8138F" w:rsidP="00A8138F">
      <w:pPr>
        <w:pStyle w:val="TextoNormal"/>
      </w:pPr>
    </w:p>
    <w:p w14:paraId="502D89F6" w14:textId="314A101A" w:rsidR="00A8138F" w:rsidRDefault="00A8138F" w:rsidP="00A8138F">
      <w:pPr>
        <w:pStyle w:val="TextoNormal"/>
      </w:pPr>
      <w:r>
        <w:t>En virtud de todo ello interesa de este tribunal que, además del reconocimiento de la vulneración de los derechos fundamentales invocados, declare su derecho a la ampliación del permiso por nacimiento de hijo, y la nulidad de (i) las resoluciones del INSS que deniegan la ampliación solicitada; (ii) a sentencia 343/2022, del Juzgado de lo Social núm. 1 de Valencia de 13 de octubre de 2022 y (autos 200-2022); (iii) la sentencia de la Sala de lo Social del Tribunal Superior de Justicia de Valencia de 16 de junio de 2023 (recurso de suplicación 3813-2022); y (iv) el auto por el que la Sala de lo Social del Tribunal Supremo de 10 de julio de 2024 (recurso de unificación de doctrina núm. 123-2024), retrotrayendo las actuaciones al momento previo a resolver la reclamación administrativa de revisión de la prestación reconocida a la demandante, para que se dicte otra que respete los derechos fundamentales de la recurrente.</w:t>
      </w:r>
    </w:p>
    <w:p w14:paraId="39C91FDF" w14:textId="77777777" w:rsidR="00A8138F" w:rsidRDefault="00A8138F" w:rsidP="00A8138F">
      <w:pPr>
        <w:pStyle w:val="TextoNormal"/>
      </w:pPr>
    </w:p>
    <w:p w14:paraId="51A4B894" w14:textId="2676219B" w:rsidR="00A8138F" w:rsidRDefault="00A8138F" w:rsidP="00A8138F">
      <w:pPr>
        <w:pStyle w:val="TextoNormal"/>
      </w:pPr>
      <w:r w:rsidRPr="00A8138F">
        <w:rPr>
          <w:rStyle w:val="NumeroAFNegritaCaracter"/>
        </w:rPr>
        <w:lastRenderedPageBreak/>
        <w:t>4</w:t>
      </w:r>
      <w:r>
        <w:t>. Con fecha de 5 de septiembre de 2024, el secretario de Justicia de la Sala Segunda de este tribunal dictó diligencia de ordenación teniendo por recibidos el escrito de demanda y los documentos adjuntos y ordenando su notificación al Ministerio Fiscal y a la representación de la demandante.</w:t>
      </w:r>
    </w:p>
    <w:p w14:paraId="5723946E" w14:textId="77777777" w:rsidR="00A8138F" w:rsidRDefault="00A8138F" w:rsidP="00A8138F">
      <w:pPr>
        <w:pStyle w:val="TextoNormal"/>
      </w:pPr>
    </w:p>
    <w:p w14:paraId="69CA28F9" w14:textId="59EB3811" w:rsidR="00A8138F" w:rsidRDefault="00A8138F" w:rsidP="00A8138F">
      <w:pPr>
        <w:pStyle w:val="TextoNormal"/>
      </w:pPr>
      <w:r w:rsidRPr="00A8138F">
        <w:rPr>
          <w:rStyle w:val="NumeroAFNegritaCaracter"/>
        </w:rPr>
        <w:t>5</w:t>
      </w:r>
      <w:r>
        <w:t>. Mediante providencia de 4 de diciembre de 2024, la Sección Tercera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 la Comunidad Valenciana, a fin de que, en plazo que no excediera de diez días, remitiera testimonio de lo actuado en el recurso de casación para unificación de doctrina núm. 123-2024; y en el recurso de suplicación núm. 3813-2022, respectivamente y al Juzgado de lo Social núm. 1 de Valencia, a fin de que, en el mismo plazo, remitiera testimonio de las actuaciones correspondientes al procedimiento sobre Seguridad Social núm. 200-2022; debiendo previamente emplazarse, para que en el plazo de diez días pudieran comparecer, si lo deseaban, en el recurso de amparo a quienes hubieran sido parte en el procedimiento, excepto la parte recurrente en amparo.</w:t>
      </w:r>
    </w:p>
    <w:p w14:paraId="42C4F1A4" w14:textId="77777777" w:rsidR="00A8138F" w:rsidRDefault="00A8138F" w:rsidP="00A8138F">
      <w:pPr>
        <w:pStyle w:val="TextoNormal"/>
      </w:pPr>
    </w:p>
    <w:p w14:paraId="5867C166" w14:textId="77777777" w:rsidR="00A8138F" w:rsidRDefault="00A8138F" w:rsidP="00A8138F">
      <w:pPr>
        <w:pStyle w:val="TextoNormal"/>
      </w:pPr>
      <w:r w:rsidRPr="00A8138F">
        <w:rPr>
          <w:rStyle w:val="NumeroAFNegritaCaracter"/>
        </w:rPr>
        <w:t>6</w:t>
      </w:r>
      <w:r>
        <w:t>. La letrada de la administración de la Seguridad Social, el día 10 de enero de 2025, presentó en el registro de este tribunal escrito de personación y allanamiento a las pretensiones de la demandante de amparo. En sus alegaciones pone de manifiesto que a la vista de la sentencia del Pleno del Tribunal Constitucional de 6 de noviembre de 2024 (STC 140/2024) y de las posteriores sentencias de las Salas que resuelven los recursos de amparo que resuelven supuestos semejantes al que dio lugar a la STC 140/2024, la Dirección del Servicio Jurídico de la Seguridad Social dictó la instrucción 10-2024, de 23 de diciembre de 2024, de la que se acompaña copia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14:paraId="2691A165" w14:textId="77777777" w:rsidR="00A8138F" w:rsidRDefault="00A8138F" w:rsidP="00A8138F">
      <w:pPr>
        <w:pStyle w:val="TextoNormal"/>
      </w:pPr>
    </w:p>
    <w:p w14:paraId="29D8D0DE" w14:textId="606DD9B6" w:rsidR="00A8138F" w:rsidRDefault="00A8138F" w:rsidP="00A8138F">
      <w:pPr>
        <w:pStyle w:val="TextoNormal"/>
      </w:pPr>
      <w:r>
        <w:t>La letrada, a la vista de lo anterior, suplica que el Tribunal se sirva admitir su escrito, tener por realizado el allanamiento a la demanda en el presente recurso de amparo, según los términos indicados en las sentencias apuntadas, en la representación que ostento, en nombre del INSS y de la TGSS.</w:t>
      </w:r>
    </w:p>
    <w:p w14:paraId="24D3012B" w14:textId="77777777" w:rsidR="00A8138F" w:rsidRDefault="00A8138F" w:rsidP="00A8138F">
      <w:pPr>
        <w:pStyle w:val="TextoNormal"/>
      </w:pPr>
    </w:p>
    <w:p w14:paraId="3B642E4E" w14:textId="62CFA949" w:rsidR="00A8138F" w:rsidRDefault="00A8138F" w:rsidP="00A8138F">
      <w:pPr>
        <w:pStyle w:val="TextoNormal"/>
      </w:pPr>
      <w:r w:rsidRPr="00A8138F">
        <w:rPr>
          <w:rStyle w:val="NumeroAFNegritaCaracter"/>
        </w:rPr>
        <w:t>7</w:t>
      </w:r>
      <w:r>
        <w:t xml:space="preserve">. Con fecha de 14 de enero de 2025, la Secretaría de Justicia de la Sala Segunda del Tribunal Constitucional dictó diligencia de ordenación en la que se acordaba tener por personada y parte en el procedimiento al letrado de la administración de la Seguridad Social en nombre y representación del INSS y TGSS, acordándose entender con ella esta y las sucesivas actuaciones y, a tenor de lo dispuesto en el art. 52.1 LOTC, dar vista de actuaciones recibidas a las partes personadas y al Ministerio Fiscal por un plazo común de veinte días, </w:t>
      </w:r>
      <w:r>
        <w:lastRenderedPageBreak/>
        <w:t>para que dentro de dicho término pudieran presentar las alegaciones que estimasen pertinentes.</w:t>
      </w:r>
    </w:p>
    <w:p w14:paraId="79490E89" w14:textId="77777777" w:rsidR="00A8138F" w:rsidRDefault="00A8138F" w:rsidP="00A8138F">
      <w:pPr>
        <w:pStyle w:val="TextoNormal"/>
      </w:pPr>
    </w:p>
    <w:p w14:paraId="0AD479F3" w14:textId="145722B8" w:rsidR="00A8138F" w:rsidRDefault="00A8138F" w:rsidP="00A8138F">
      <w:pPr>
        <w:pStyle w:val="TextoNormal"/>
      </w:pPr>
      <w:r w:rsidRPr="00A8138F">
        <w:rPr>
          <w:rStyle w:val="NumeroAFNegritaCaracter"/>
        </w:rPr>
        <w:t>8</w:t>
      </w:r>
      <w:r>
        <w:t>. Con fecha de 17 de enero de 2025, la letrada del INSS y de la TGSS presentó ante este tribunal escrito de alegaciones, reiterando los argumentos expuestos en el anterior escrito de personación y allanamiento.</w:t>
      </w:r>
    </w:p>
    <w:p w14:paraId="1E11FA72" w14:textId="77777777" w:rsidR="00A8138F" w:rsidRDefault="00A8138F" w:rsidP="00A8138F">
      <w:pPr>
        <w:pStyle w:val="TextoNormal"/>
      </w:pPr>
    </w:p>
    <w:p w14:paraId="4A4E5841" w14:textId="1846324F" w:rsidR="00A8138F" w:rsidRDefault="00A8138F" w:rsidP="00A8138F">
      <w:pPr>
        <w:pStyle w:val="TextoNormal"/>
      </w:pPr>
      <w:r w:rsidRPr="00A8138F">
        <w:rPr>
          <w:rStyle w:val="NumeroAFNegritaCaracter"/>
        </w:rPr>
        <w:t>9</w:t>
      </w:r>
      <w:r>
        <w:t>. El 31 de enero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hijo menor.</w:t>
      </w:r>
    </w:p>
    <w:p w14:paraId="48F98314" w14:textId="77777777" w:rsidR="00A8138F" w:rsidRDefault="00A8138F" w:rsidP="00A8138F">
      <w:pPr>
        <w:pStyle w:val="TextoNormal"/>
      </w:pPr>
    </w:p>
    <w:p w14:paraId="3DF20B69" w14:textId="77777777" w:rsidR="00A8138F" w:rsidRDefault="00A8138F" w:rsidP="00A8138F">
      <w:pPr>
        <w:pStyle w:val="TextoNormal"/>
      </w:pPr>
      <w:r w:rsidRPr="00A8138F">
        <w:rPr>
          <w:rStyle w:val="NumeroAFNegritaCaracter"/>
        </w:rPr>
        <w:t>10</w:t>
      </w:r>
      <w:r>
        <w:t>. Con fecha 28 de febrero de 2025, el Ministerio Fiscal realizó sus alegaciones.</w:t>
      </w:r>
    </w:p>
    <w:p w14:paraId="3A725506" w14:textId="77777777" w:rsidR="00A8138F" w:rsidRDefault="00A8138F" w:rsidP="00A8138F">
      <w:pPr>
        <w:pStyle w:val="TextoNormal"/>
      </w:pPr>
    </w:p>
    <w:p w14:paraId="2296741A" w14:textId="77777777" w:rsidR="00A8138F" w:rsidRDefault="00A8138F" w:rsidP="00A8138F">
      <w:pPr>
        <w:pStyle w:val="TextoNormal"/>
      </w:pPr>
      <w:r>
        <w:t>Como cuestión previa, indica que procede la inadmisión de la demanda de amparo respecto del auto dictado por la Sala de lo Social del Tribunal Supremo ya que la recurrente no habría agotado debidamente la vía judicial al no haber promovido incidente de nulidad frente al mismo por la inadmisión del recurso de casación para unificación de doctrina de conformidad con el art. 50.1 a) en relación con el art. 44.1 a) LOTC.</w:t>
      </w:r>
    </w:p>
    <w:p w14:paraId="2F38F3A6" w14:textId="77777777" w:rsidR="00A8138F" w:rsidRDefault="00A8138F" w:rsidP="00A8138F">
      <w:pPr>
        <w:pStyle w:val="TextoNormal"/>
      </w:pPr>
    </w:p>
    <w:p w14:paraId="6F72E67A" w14:textId="77777777" w:rsidR="00A8138F" w:rsidRDefault="00A8138F" w:rsidP="00A8138F">
      <w:pPr>
        <w:pStyle w:val="TextoNormal"/>
      </w:pPr>
      <w:r>
        <w:t>A continuación advierte que, en aplicación de la doctrina constitucional establecida en la STC 140/2024, 6 de noviembre, dictada en la cuestión de inconstitucionalidad núm. 6694-2023 y de la que reproduce amplios extractos, las resoluciones impugnadas han ocasionado a la demandante de amparo una desigualdad carente de justificación objetiva y razonable, causándola un daño desproporcionado en su deber constitucional de cuidado y en el derecho a la protección de su hijo recién nacido (art. 14, primer inciso, CE en relación con el art. 39.1, 3 y 4 CE), por lo que debe estimarse el amparo por vulneración del derecho a la igualdad ante la ley sin discriminación por razón de nacimiento (art. 14 CE).</w:t>
      </w:r>
    </w:p>
    <w:p w14:paraId="0949A365" w14:textId="77777777" w:rsidR="00A8138F" w:rsidRDefault="00A8138F" w:rsidP="00A8138F">
      <w:pPr>
        <w:pStyle w:val="TextoNormal"/>
      </w:pPr>
    </w:p>
    <w:p w14:paraId="082BF30C" w14:textId="59666740" w:rsidR="00A8138F" w:rsidRDefault="00A8138F" w:rsidP="00A8138F">
      <w:pPr>
        <w:pStyle w:val="TextoNormal"/>
      </w:pPr>
      <w:r>
        <w:t>Respecto a los efectos de la estimación del recurso de amparo entiende que al haber sido denegatorias las resoluciones administrativas denegatorias y también las judiciales recaídas en el proceso a quo, procede declarar la nulidad de todas ellas con retroacción al momento en que la demandante presentó la solicitud de reconocimiento de la prestación de dieciséis semanas adicionales que el art. 48.4 LET reconoce al progenitor distinto de la madre biológica, para que por el INSS se dicte resolución que dé una respuesta respetuosa con el derecho.</w:t>
      </w:r>
    </w:p>
    <w:p w14:paraId="6CDF1F79" w14:textId="77777777" w:rsidR="00A8138F" w:rsidRDefault="00A8138F" w:rsidP="00A8138F">
      <w:pPr>
        <w:pStyle w:val="TextoNormal"/>
      </w:pPr>
    </w:p>
    <w:p w14:paraId="661F9A14" w14:textId="6566CD93" w:rsidR="00A8138F" w:rsidRDefault="00A8138F" w:rsidP="00A8138F">
      <w:pPr>
        <w:pStyle w:val="TextoNormal"/>
      </w:pPr>
      <w:r w:rsidRPr="00A8138F">
        <w:rPr>
          <w:rStyle w:val="NumeroAFNegritaCaracter"/>
        </w:rPr>
        <w:t>11</w:t>
      </w:r>
      <w:r>
        <w:t>. Mediante providencia de 20 de marzo de 2025, se señaló para deliberación y votación de la presente sentencia el día 24 del mismo mes y año.</w:t>
      </w:r>
    </w:p>
    <w:p w14:paraId="1EB59A78" w14:textId="77777777" w:rsidR="00A8138F" w:rsidRDefault="00A8138F" w:rsidP="00A8138F">
      <w:pPr>
        <w:pStyle w:val="TextoNormal"/>
      </w:pPr>
    </w:p>
    <w:p w14:paraId="7E9692FA" w14:textId="77777777" w:rsidR="00A8138F" w:rsidRDefault="00A8138F" w:rsidP="00A8138F">
      <w:pPr>
        <w:pStyle w:val="TextoNormalNegritaCentrado"/>
        <w:keepNext/>
      </w:pPr>
      <w:r>
        <w:t>II. Fundamentos jurídicos</w:t>
      </w:r>
    </w:p>
    <w:p w14:paraId="1893BFEC" w14:textId="773670E9" w:rsidR="00A8138F" w:rsidRDefault="00A8138F" w:rsidP="00A8138F">
      <w:pPr>
        <w:pStyle w:val="TextoNormalNegritaCentrado"/>
        <w:keepNext/>
      </w:pPr>
    </w:p>
    <w:p w14:paraId="5292BEA5"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7888062E" w14:textId="77777777" w:rsidR="00A8138F" w:rsidRDefault="00A8138F" w:rsidP="00A8138F">
      <w:pPr>
        <w:pStyle w:val="TextoNormal"/>
      </w:pPr>
    </w:p>
    <w:p w14:paraId="6E1F9D5A" w14:textId="55255945" w:rsidR="00A8138F" w:rsidRDefault="00A8138F" w:rsidP="00A8138F">
      <w:pPr>
        <w:pStyle w:val="TextoNormal"/>
      </w:pPr>
      <w:r>
        <w:t>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LET, en relación con el art. 177 LGSS, en la redacción dada a los mismos por el Real Decreto-ley 6/2019, de 1 de marzo, de medidas urgentes para garantía de la igualdad de trato y de oportunidades entre mujeres y hombres en el empleo y la ocupación, en relación el permiso y la correspondiente prestación económica por nacimiento y cuidado de menor previstos.</w:t>
      </w:r>
    </w:p>
    <w:p w14:paraId="378A698A" w14:textId="77777777" w:rsidR="00A8138F" w:rsidRDefault="00A8138F" w:rsidP="00A8138F">
      <w:pPr>
        <w:pStyle w:val="TextoNormal"/>
      </w:pPr>
    </w:p>
    <w:p w14:paraId="5D6712A8" w14:textId="77777777" w:rsidR="00A8138F" w:rsidRDefault="00A8138F" w:rsidP="00A8138F">
      <w:pPr>
        <w:pStyle w:val="TextoNormal"/>
      </w:pPr>
      <w:r w:rsidRPr="00A8138F">
        <w:rPr>
          <w:rStyle w:val="NumeroAFNegritaCaracter"/>
        </w:rPr>
        <w:t>2</w:t>
      </w:r>
      <w:r>
        <w:t xml:space="preserve">. </w:t>
      </w:r>
      <w:r w:rsidRPr="00A8138F">
        <w:rPr>
          <w:i/>
        </w:rPr>
        <w:t>Óbices procesales</w:t>
      </w:r>
    </w:p>
    <w:p w14:paraId="7A4A3EF9" w14:textId="77777777" w:rsidR="00A8138F" w:rsidRDefault="00A8138F" w:rsidP="00A8138F">
      <w:pPr>
        <w:pStyle w:val="TextoNormal"/>
      </w:pPr>
    </w:p>
    <w:p w14:paraId="6EC35ABD" w14:textId="77777777" w:rsidR="00A8138F" w:rsidRDefault="00A8138F" w:rsidP="00A8138F">
      <w:pPr>
        <w:pStyle w:val="TextoNormal"/>
      </w:pPr>
      <w:r>
        <w:t>Antes de entrar en el enjuiciamiento del recurso de amparo sometido a la consideración de este tribunal conviene dar respuesta al óbice procesal advertido por el fiscal en su escrito de alegaciones, relativo a la falta de agotamiento de la vía judicial previa, necesaria para su admisibilidad [art. 50.1 a) en relación con el art. 44.1 a), ambos de la LOTC].</w:t>
      </w:r>
    </w:p>
    <w:p w14:paraId="6FE03EAC" w14:textId="77777777" w:rsidR="00A8138F" w:rsidRDefault="00A8138F" w:rsidP="00A8138F">
      <w:pPr>
        <w:pStyle w:val="TextoNormal"/>
      </w:pPr>
    </w:p>
    <w:p w14:paraId="5B38C23E" w14:textId="77777777" w:rsidR="00A8138F" w:rsidRDefault="00A8138F" w:rsidP="00A8138F">
      <w:pPr>
        <w:pStyle w:val="TextoNormal"/>
      </w:pPr>
      <w:r>
        <w:t>En tal sentido, debemos destacar que a pesar de que el Ministerio fiscal apunta la falta de promoción por la demandante de amparo de un incidente excepcional de nulidad de actuaciones frente al auto de inadmisión del recurso de casación para unificación de doctrina de 10 de julio de 2024 (recurso de unificación de doctrina núm. 123-2024), lo cierto es que no solicita en el suplico de su escrito tal inadmisión, sino la estimación del recurso de amparo.</w:t>
      </w:r>
    </w:p>
    <w:p w14:paraId="03A96089" w14:textId="77777777" w:rsidR="00A8138F" w:rsidRDefault="00A8138F" w:rsidP="00A8138F">
      <w:pPr>
        <w:pStyle w:val="TextoNormal"/>
      </w:pPr>
    </w:p>
    <w:p w14:paraId="1364D514" w14:textId="6AEC8CF9" w:rsidR="00A8138F" w:rsidRDefault="00A8138F" w:rsidP="00A8138F">
      <w:pPr>
        <w:pStyle w:val="TextoNormal"/>
      </w:pPr>
      <w:r>
        <w:t>A mayor abundamiento, debe también desecharse que la falta de promoción de un incidente excepcional de nulidad de actuaciones deba causar la inadmisión de este amparo, dado que dicho remedio extraordinario no era necesario para el correcto agotamiento de la vía judicial previa por dos razones. En primer lugar, porque a la inadmisión del recurso de casación para la unificación de doctrina no se le ha imputado una lesión constitucional autónoma e independiente de la denunciada con respecto a la sentencia del Tribunal Superior de Justicia de la Comunidad Valenciana. En segundo lugar, porque en el orden social la doctrina constitucional clásica establecía la preceptiva interposición del incidente de nulidad de actuaciones ante el órgano judicial de suplicación al que se imputa la lesión tras la inadmisión del recurso de casación en unificación de doctrina antes de impetrar el amparo constitucional (ver, por todas, las SSTC 39/2003, de 27 de febrero, FJ 3, y 95/2018, de 17 de septiembre, FJ 2), pero lo cierto es que este tribunal cambió de criterio en la STC 112/2019, de 3 de octubre, FJ 3, afirmando que 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aunque también advierte que de plantearse tal incidente excepcional “ha de considerarse un cauce idóneo para obtener la tutela de los derechos fundamentales cuya vulneración se imputa a la resolución frente a la que se interpuso el recurso inadmitido y, por tanto, no podrá considerarse un recurso manifiestamente improcedente que pueda conllevar la extemporaneidad del recurso de amparo por alargar indebidamente la vía judicial”. En consecuencia, ha de rechazarse este segundo obstáculo procesal y concluir que la vía judicial previa al amparo ha sido agotada correctamente (STC 3/2024, de 15 de enero, FJ 2).</w:t>
      </w:r>
    </w:p>
    <w:p w14:paraId="7F68E0E1" w14:textId="77777777" w:rsidR="00A8138F" w:rsidRDefault="00A8138F" w:rsidP="00A8138F">
      <w:pPr>
        <w:pStyle w:val="TextoNormal"/>
      </w:pPr>
    </w:p>
    <w:p w14:paraId="3054A684"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fijada en la STC 140/2024, de 6 de noviembre</w:t>
      </w:r>
    </w:p>
    <w:p w14:paraId="189134B0" w14:textId="77777777" w:rsidR="00A8138F" w:rsidRDefault="00A8138F" w:rsidP="00A8138F">
      <w:pPr>
        <w:pStyle w:val="TextoNormal"/>
      </w:pPr>
    </w:p>
    <w:p w14:paraId="606D9E0C" w14:textId="77777777" w:rsidR="00A8138F" w:rsidRDefault="00A8138F" w:rsidP="00A8138F">
      <w:pPr>
        <w:pStyle w:val="TextoNormal"/>
      </w:pPr>
      <w:r>
        <w:t>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22D8A5A8" w14:textId="77777777" w:rsidR="00A8138F" w:rsidRDefault="00A8138F" w:rsidP="00A8138F">
      <w:pPr>
        <w:pStyle w:val="TextoNormal"/>
      </w:pPr>
    </w:p>
    <w:p w14:paraId="2718C896" w14:textId="77777777" w:rsidR="00A8138F" w:rsidRDefault="00A8138F" w:rsidP="00A8138F">
      <w:pPr>
        <w:pStyle w:val="TextoNormal"/>
      </w:pPr>
      <w:r>
        <w:t>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7E0C473" w14:textId="77777777" w:rsidR="00A8138F" w:rsidRDefault="00A8138F" w:rsidP="00A8138F">
      <w:pPr>
        <w:pStyle w:val="TextoNormal"/>
      </w:pPr>
    </w:p>
    <w:p w14:paraId="34B3393E" w14:textId="77777777" w:rsidR="00A8138F" w:rsidRDefault="00A8138F" w:rsidP="00A8138F">
      <w:pPr>
        <w:pStyle w:val="TextoNormal"/>
      </w:pPr>
      <w: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7167D7B1" w14:textId="77777777" w:rsidR="00A8138F" w:rsidRDefault="00A8138F" w:rsidP="00A8138F">
      <w:pPr>
        <w:pStyle w:val="TextoNormal"/>
      </w:pPr>
    </w:p>
    <w:p w14:paraId="00C92D34" w14:textId="39ED514C" w:rsidR="00A8138F" w:rsidRDefault="00A8138F" w:rsidP="00A8138F">
      <w:pPr>
        <w:pStyle w:val="TextoNormal"/>
      </w:pPr>
      <w:r>
        <w:t>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B18EF95" w14:textId="77777777" w:rsidR="00A8138F" w:rsidRDefault="00A8138F" w:rsidP="00A8138F">
      <w:pPr>
        <w:pStyle w:val="TextoNormal"/>
      </w:pPr>
    </w:p>
    <w:p w14:paraId="7DB0D26E" w14:textId="77777777" w:rsidR="00A8138F" w:rsidRDefault="00A8138F" w:rsidP="00A8138F">
      <w:pPr>
        <w:pStyle w:val="TextoNormalCentrado"/>
        <w:keepNext/>
      </w:pPr>
      <w:r>
        <w:t>FALLO</w:t>
      </w:r>
    </w:p>
    <w:p w14:paraId="3A7B17A5" w14:textId="1F46E44B" w:rsidR="00A8138F" w:rsidRDefault="00A8138F" w:rsidP="00A8138F">
      <w:pPr>
        <w:pStyle w:val="TextoNormalCentrado"/>
        <w:keepNext/>
      </w:pPr>
    </w:p>
    <w:p w14:paraId="347FC1F3"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Susana Sáiz Sánchez y, en su virtud:</w:t>
      </w:r>
    </w:p>
    <w:p w14:paraId="510379CD" w14:textId="77777777" w:rsidR="00A8138F" w:rsidRDefault="00A8138F" w:rsidP="00A8138F">
      <w:pPr>
        <w:pStyle w:val="TextoNormal"/>
      </w:pPr>
    </w:p>
    <w:p w14:paraId="47D6F1FE" w14:textId="77777777" w:rsidR="00A8138F" w:rsidRDefault="00A8138F" w:rsidP="00A8138F">
      <w:pPr>
        <w:pStyle w:val="TextoNormal"/>
      </w:pPr>
      <w:r>
        <w:t>1º. Declarar vulnerado el derecho fundamental a la igualdad ante la ley, sin que pueda prevalecer discriminación alguna (art. 14 CE).</w:t>
      </w:r>
    </w:p>
    <w:p w14:paraId="73E22F59" w14:textId="77777777" w:rsidR="00A8138F" w:rsidRDefault="00A8138F" w:rsidP="00A8138F">
      <w:pPr>
        <w:pStyle w:val="TextoNormal"/>
      </w:pPr>
    </w:p>
    <w:p w14:paraId="6F60B495" w14:textId="77777777" w:rsidR="00A8138F" w:rsidRDefault="00A8138F" w:rsidP="00A8138F">
      <w:pPr>
        <w:pStyle w:val="TextoNormal"/>
      </w:pPr>
      <w:r>
        <w:t>2º. Restablecerla en su derecho y, en consecuencia, declarar la nulidad de las resoluciones del Instituto Nacional de la Seguridad Social de 16 de febrero de 2022 (fecha registro de salida) y de 29 de marzo de 2022 ,la sentencia núm. 343/2022, de 13 de octubre de 2022, del Juzgado de lo Social núm. 1 de Valencia (autos 200-2022); la sentencia núm. 2929/2023, de la Sala de lo Social del Tribunal Superior de Justicia de la Comunidad Valenciana, de 16 de junio de 2023 (recurso de suplicación núm. 3813-2023) y el auto de 10 de junio de 2024 por el que la Sala de lo Social del Tribunal Supremo inadmitió el recurso de casación para unificación de doctrina que interpuso frente a la anterior resolución (recurso de unificación de doctrina núm. 123-2024).</w:t>
      </w:r>
    </w:p>
    <w:p w14:paraId="59D95F62" w14:textId="77777777" w:rsidR="00A8138F" w:rsidRDefault="00A8138F" w:rsidP="00A8138F">
      <w:pPr>
        <w:pStyle w:val="TextoNormal"/>
      </w:pPr>
    </w:p>
    <w:p w14:paraId="53ABB726" w14:textId="09B2D5DB" w:rsidR="00A8138F" w:rsidRDefault="00A8138F" w:rsidP="00A8138F">
      <w:pPr>
        <w:pStyle w:val="TextoNormal"/>
      </w:pPr>
      <w:r>
        <w:t>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tercero de la presente sentencia, se dicte una resolución expresa respetuosa con el derecho fundamental vulnerado.</w:t>
      </w:r>
    </w:p>
    <w:p w14:paraId="4C72B3C5" w14:textId="77777777" w:rsidR="00A8138F" w:rsidRDefault="00A8138F" w:rsidP="00A8138F">
      <w:pPr>
        <w:pStyle w:val="TextoNormal"/>
      </w:pPr>
    </w:p>
    <w:p w14:paraId="61D1FB98" w14:textId="77777777" w:rsidR="00A8138F" w:rsidRDefault="00A8138F" w:rsidP="00A8138F">
      <w:pPr>
        <w:pStyle w:val="TextoNormal"/>
      </w:pPr>
      <w:r>
        <w:t>Publíquese esta sentencia en el “Boletín Oficial del Estado”.</w:t>
      </w:r>
    </w:p>
    <w:p w14:paraId="5E4F505D" w14:textId="77777777" w:rsidR="00A8138F" w:rsidRDefault="00A8138F" w:rsidP="00A8138F">
      <w:pPr>
        <w:pStyle w:val="TextoNormal"/>
      </w:pPr>
      <w:r>
        <w:t>Dada en Madrid, a veinticuatro de marzo de dos mil veinticinco.</w:t>
      </w:r>
    </w:p>
    <w:p w14:paraId="3ADD2056" w14:textId="502E5E0E" w:rsidR="00A8138F" w:rsidRDefault="00A8138F">
      <w:pPr>
        <w:spacing w:after="160" w:line="278" w:lineRule="auto"/>
        <w:rPr>
          <w:rFonts w:ascii="Times New Roman" w:eastAsia="Times New Roman" w:hAnsi="Times New Roman" w:cs="Times New Roman"/>
          <w:sz w:val="24"/>
          <w:szCs w:val="24"/>
          <w:lang w:eastAsia="es-ES"/>
        </w:rPr>
      </w:pPr>
      <w:r>
        <w:br w:type="page"/>
      </w:r>
    </w:p>
    <w:p w14:paraId="7EFC87A5" w14:textId="77777777" w:rsidR="00A8138F" w:rsidRDefault="00A8138F" w:rsidP="00A8138F">
      <w:pPr>
        <w:pStyle w:val="TtuloResolucin"/>
      </w:pPr>
      <w:bookmarkStart w:id="82" w:name="SENTENCIA_2025_80"/>
      <w:r>
        <w:lastRenderedPageBreak/>
        <w:t>SENTENCIA 80/2025, de 24 de marzo de 2025</w:t>
      </w:r>
    </w:p>
    <w:bookmarkEnd w:id="82"/>
    <w:p w14:paraId="6555CD38" w14:textId="77777777" w:rsidR="00A8138F" w:rsidRDefault="00A8138F" w:rsidP="00A8138F">
      <w:pPr>
        <w:pStyle w:val="TtuloResolucin"/>
      </w:pPr>
      <w:r>
        <w:t>Sala Primera</w:t>
      </w:r>
    </w:p>
    <w:p w14:paraId="3890A4DE" w14:textId="77777777" w:rsidR="00A8138F" w:rsidRDefault="00A8138F" w:rsidP="00A8138F">
      <w:pPr>
        <w:pStyle w:val="TtuloBOE"/>
      </w:pPr>
      <w:r>
        <w:t>(BOE núm. 109, de 6 de mayo de 2025)</w:t>
      </w:r>
    </w:p>
    <w:p w14:paraId="0B184543" w14:textId="77777777" w:rsidR="00A8138F" w:rsidRDefault="00A8138F" w:rsidP="00A8138F">
      <w:pPr>
        <w:pStyle w:val="TextoNormalCentrado"/>
      </w:pPr>
      <w:r>
        <w:t>ECLI:ES:TC:2025:80</w:t>
      </w:r>
    </w:p>
    <w:p w14:paraId="5F9AB25E" w14:textId="4CB9B317" w:rsidR="00A8138F" w:rsidRDefault="00A8138F" w:rsidP="00A8138F">
      <w:pPr>
        <w:pStyle w:val="TextoNormalCentrado"/>
      </w:pPr>
    </w:p>
    <w:p w14:paraId="5CD06B37" w14:textId="77777777" w:rsidR="00A8138F" w:rsidRDefault="00A8138F" w:rsidP="00A8138F">
      <w:pPr>
        <w:pStyle w:val="SntesisDescriptiva"/>
      </w:pPr>
      <w:r>
        <w:t>Recurso de amparo 6644-2024. Promovido por doña María del Castellar García García en relación con las resoluciones administrativas y judiciales que desestimaron su petición de revisión y ampliación de la prestación por nacimiento y cuidado de hijo menor, como madre biológica de familia monoparental.</w:t>
      </w:r>
    </w:p>
    <w:p w14:paraId="570CDE09" w14:textId="053EFF2F" w:rsidR="00A8138F" w:rsidRDefault="00A8138F" w:rsidP="00A8138F">
      <w:pPr>
        <w:pStyle w:val="SntesisDescriptiva"/>
      </w:pPr>
    </w:p>
    <w:p w14:paraId="7388D40D"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4E03469" w14:textId="1B24F2F1" w:rsidR="00A8138F" w:rsidRDefault="00A8138F" w:rsidP="00A8138F">
      <w:pPr>
        <w:pStyle w:val="SntesisAnaltica"/>
      </w:pPr>
    </w:p>
    <w:p w14:paraId="286DCDA9" w14:textId="1777893D" w:rsidR="00A8138F" w:rsidRDefault="00A8138F" w:rsidP="00A8138F">
      <w:pPr>
        <w:pStyle w:val="Extracto"/>
      </w:pPr>
      <w:r>
        <w:t>1.</w:t>
      </w:r>
      <w:r>
        <w:tab/>
        <w:t>1.</w:t>
      </w:r>
      <w:r>
        <w:tab/>
        <w:t>Aplicación de la doctrina recogida en la STC 140/2024 en materias de permiso por nacimiento y cuidado de menor y de la correspondiente prestación de la Seguridad Social, para familias monoparentales [FJ 2].</w:t>
      </w:r>
    </w:p>
    <w:p w14:paraId="16D24A4D" w14:textId="77777777" w:rsidR="00A8138F" w:rsidRDefault="00A8138F" w:rsidP="00A8138F">
      <w:pPr>
        <w:pStyle w:val="Extracto"/>
      </w:pPr>
    </w:p>
    <w:p w14:paraId="6D3F95E1" w14:textId="77777777" w:rsidR="00A8138F" w:rsidRDefault="00A8138F" w:rsidP="00A8138F">
      <w:pPr>
        <w:pStyle w:val="Extracto"/>
      </w:pPr>
    </w:p>
    <w:p w14:paraId="29D85445"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6644-2024 ha pronunciado</w:t>
      </w:r>
    </w:p>
    <w:p w14:paraId="4A608868" w14:textId="4D3FF64A" w:rsidR="00A8138F" w:rsidRDefault="00A8138F" w:rsidP="00A8138F">
      <w:pPr>
        <w:pStyle w:val="TextoNormal"/>
      </w:pPr>
    </w:p>
    <w:p w14:paraId="6B51E3F1" w14:textId="77777777" w:rsidR="00A8138F" w:rsidRDefault="00A8138F" w:rsidP="00A8138F">
      <w:pPr>
        <w:pStyle w:val="TextoNormalCentrado"/>
        <w:keepNext/>
      </w:pPr>
      <w:r>
        <w:t>EN NOMBRE DEL REY</w:t>
      </w:r>
    </w:p>
    <w:p w14:paraId="47BA23E9" w14:textId="4B00733E" w:rsidR="00A8138F" w:rsidRDefault="00A8138F" w:rsidP="00A8138F">
      <w:pPr>
        <w:pStyle w:val="TextoNormalCentrado"/>
        <w:keepNext/>
      </w:pPr>
    </w:p>
    <w:p w14:paraId="5A120ECB" w14:textId="77777777" w:rsidR="00A8138F" w:rsidRDefault="00A8138F" w:rsidP="00A8138F">
      <w:pPr>
        <w:pStyle w:val="TextoNormalCentrado"/>
        <w:keepNext/>
      </w:pPr>
    </w:p>
    <w:p w14:paraId="6F19E041" w14:textId="77777777" w:rsidR="00A8138F" w:rsidRDefault="00A8138F" w:rsidP="00A8138F">
      <w:pPr>
        <w:pStyle w:val="TextoNormal"/>
      </w:pPr>
      <w:r>
        <w:t>la siguiente</w:t>
      </w:r>
    </w:p>
    <w:p w14:paraId="06FA336A" w14:textId="47930B00" w:rsidR="00A8138F" w:rsidRDefault="00A8138F" w:rsidP="00A8138F">
      <w:pPr>
        <w:pStyle w:val="TextoNormal"/>
      </w:pPr>
    </w:p>
    <w:p w14:paraId="20E20BE7" w14:textId="77777777" w:rsidR="00A8138F" w:rsidRDefault="00A8138F" w:rsidP="00A8138F">
      <w:pPr>
        <w:pStyle w:val="TextoNormalCentrado"/>
        <w:keepNext/>
      </w:pPr>
      <w:r>
        <w:t>SENTENCIA</w:t>
      </w:r>
    </w:p>
    <w:p w14:paraId="67868AA5" w14:textId="2F81C7FD" w:rsidR="00A8138F" w:rsidRDefault="00A8138F" w:rsidP="00A8138F">
      <w:pPr>
        <w:pStyle w:val="TextoNormalCentrado"/>
        <w:keepNext/>
      </w:pPr>
    </w:p>
    <w:p w14:paraId="750EFCE3" w14:textId="77777777" w:rsidR="00A8138F" w:rsidRDefault="00A8138F" w:rsidP="00A8138F">
      <w:pPr>
        <w:pStyle w:val="TextoNormal"/>
      </w:pPr>
      <w:r>
        <w:t xml:space="preserve">En el recurso de amparo núm. 6644-2024, promovido por doña María del Castellar García García, representada por la procuradora de los tribunales doña Alicia Suau Casado y, asistida por la letrada doña Aida Casanova Pérez, contra la denegación por silencio administrativo del Instituto Nacional de la Seguridad Social (INSS) de su solicitud de ampliación de la prestación por nacimiento y cuidado de hijo menor a la madre biológica de familia monoparental, y de la reclamación administrativa previa que formuló; contra la sentencia núm. 425/2022, de 22 de noviembre, dictada en el procedimiento especial de Seguridad Social núm. 802-2022, tramitado en el Juzgado de lo Social núm. 23 de Madrid, desestimatoria de la demanda que interpuso frente al INSS y la Tesorería General de la Seguridad Social (TGSS); contra la sentencia núm. 779/2023, de 15 de septiembre, dictada por la Sección Primera de la Sala de lo Social del Tribunal Superior de Justicia de Madrid en el recurso núm. 80-2023, desestimatoria del recurso de suplicación interpuesto por la demandante </w:t>
      </w:r>
      <w:r>
        <w:lastRenderedPageBreak/>
        <w:t>frente a la sentencia de primera instancia; y contra el auto de inadmisión de 10 de julio de 2024, dictado por la Sala de lo Social del Tribunal Supremo en el recurso de casación para unificación de la doctrina núm. 4549-2023. Han intervenido el letrado de la administración de la Seguridad Social en representación del INSS y la TGSS, y el Ministerio Fiscal. Ha sido ponente la magistrada doña Concepción Espejel Jorquera.</w:t>
      </w:r>
    </w:p>
    <w:p w14:paraId="28F1A194" w14:textId="13E5E1AA" w:rsidR="00A8138F" w:rsidRDefault="00A8138F" w:rsidP="00A8138F">
      <w:pPr>
        <w:pStyle w:val="TextoNormal"/>
      </w:pPr>
    </w:p>
    <w:p w14:paraId="542139B7" w14:textId="77777777" w:rsidR="00A8138F" w:rsidRDefault="00A8138F" w:rsidP="00A8138F">
      <w:pPr>
        <w:pStyle w:val="TextoNormalNegritaCentrado"/>
        <w:keepNext/>
      </w:pPr>
      <w:r>
        <w:t>I. Antecedentes</w:t>
      </w:r>
    </w:p>
    <w:p w14:paraId="17F7929B" w14:textId="0FC00234" w:rsidR="00A8138F" w:rsidRDefault="00A8138F" w:rsidP="00A8138F">
      <w:pPr>
        <w:pStyle w:val="TextoNormalNegritaCentrado"/>
        <w:keepNext/>
      </w:pPr>
    </w:p>
    <w:p w14:paraId="2F304A15" w14:textId="39296C35" w:rsidR="00A8138F" w:rsidRDefault="00A8138F" w:rsidP="00A8138F">
      <w:pPr>
        <w:pStyle w:val="TextoNormal"/>
      </w:pPr>
      <w:r w:rsidRPr="00A8138F">
        <w:rPr>
          <w:rStyle w:val="NumeroAFNegritaCaracter"/>
        </w:rPr>
        <w:t>1</w:t>
      </w:r>
      <w:r>
        <w:t>. El día 11 de septiembre de 2024 la procuradora de los tribunales doña Alicia Suau Casado, en nombre de doña María Castellar García García, y bajo la dirección letrada de doña Aida Casanova Pérez, interpuso recurso de amparo contra las resoluciones reseñadas en el preámbulo de la presente resolución.</w:t>
      </w:r>
    </w:p>
    <w:p w14:paraId="0FB4AFE8" w14:textId="77777777" w:rsidR="00A8138F" w:rsidRDefault="00A8138F" w:rsidP="00A8138F">
      <w:pPr>
        <w:pStyle w:val="TextoNormal"/>
      </w:pPr>
    </w:p>
    <w:p w14:paraId="35F99267" w14:textId="77777777" w:rsidR="00A8138F" w:rsidRDefault="00A8138F" w:rsidP="00A8138F">
      <w:pPr>
        <w:pStyle w:val="TextoNormal"/>
      </w:pPr>
      <w:r w:rsidRPr="00A8138F">
        <w:rPr>
          <w:rStyle w:val="NumeroAFNegritaCaracter"/>
        </w:rPr>
        <w:t>2</w:t>
      </w:r>
      <w:r>
        <w:t>. El presente recurso de amparo trae causa de los siguientes antecedentes:</w:t>
      </w:r>
    </w:p>
    <w:p w14:paraId="37F0B124" w14:textId="77777777" w:rsidR="00A8138F" w:rsidRDefault="00A8138F" w:rsidP="00A8138F">
      <w:pPr>
        <w:pStyle w:val="TextoNormal"/>
      </w:pPr>
    </w:p>
    <w:p w14:paraId="5AC0C3C7" w14:textId="77777777" w:rsidR="00A8138F" w:rsidRDefault="00A8138F" w:rsidP="00A8138F">
      <w:pPr>
        <w:pStyle w:val="TextoNormal"/>
      </w:pPr>
      <w:r>
        <w:t>a) La recurrente es madre biológica de un menor nacido el día 24 de abril de 2022, con quien constituye una familia monoparental. Presentada solicitud de prestación de maternidad, el INSS mediante resolución de 12 de mayo de 2022 le reconoció un permiso por nacimiento y cuidado del menor de dieciséis semanas de duración, en el periodo comprendido entre el 24 de abril y el 13 de agosto de 2022, con una prestación del 100 por 100 de la base reguladora diaria reconocida de 137,98 €.</w:t>
      </w:r>
    </w:p>
    <w:p w14:paraId="60757DF9" w14:textId="77777777" w:rsidR="00A8138F" w:rsidRDefault="00A8138F" w:rsidP="00A8138F">
      <w:pPr>
        <w:pStyle w:val="TextoNormal"/>
      </w:pPr>
    </w:p>
    <w:p w14:paraId="60990874" w14:textId="77777777" w:rsidR="00A8138F" w:rsidRDefault="00A8138F" w:rsidP="00A8138F">
      <w:pPr>
        <w:pStyle w:val="TextoNormal"/>
      </w:pPr>
      <w:r>
        <w:t>La recurrente presentó el 18 de mayo de 2022 ante el INSS solicitud de revisión de prestaciones, a fin de que se ampliara el permiso ya reconocido a las semanas que hubieran correspondido al progenitor distinto de la madre biológica. Esta solicitud fue denegada por silencio administrativo.</w:t>
      </w:r>
    </w:p>
    <w:p w14:paraId="3D77E06D" w14:textId="77777777" w:rsidR="00A8138F" w:rsidRDefault="00A8138F" w:rsidP="00A8138F">
      <w:pPr>
        <w:pStyle w:val="TextoNormal"/>
      </w:pPr>
    </w:p>
    <w:p w14:paraId="48F5011D" w14:textId="77777777" w:rsidR="00A8138F" w:rsidRDefault="00A8138F" w:rsidP="00A8138F">
      <w:pPr>
        <w:pStyle w:val="TextoNormal"/>
      </w:pPr>
      <w:r>
        <w:t>El 4 de julio de 2022 la recurrente presentó reclamación previa ante el INSS, en la que advertía que la falta de reconocimiento de la ampliación de la prestación suponía una discriminación por indiferenciación. Esta reclamación fue desestimada por silencio administrativo.</w:t>
      </w:r>
    </w:p>
    <w:p w14:paraId="6757023E" w14:textId="77777777" w:rsidR="00A8138F" w:rsidRDefault="00A8138F" w:rsidP="00A8138F">
      <w:pPr>
        <w:pStyle w:val="TextoNormal"/>
      </w:pPr>
    </w:p>
    <w:p w14:paraId="7BF0383E" w14:textId="77777777" w:rsidR="00A8138F" w:rsidRDefault="00A8138F" w:rsidP="00A8138F">
      <w:pPr>
        <w:pStyle w:val="TextoNormal"/>
      </w:pPr>
      <w:r>
        <w:t>b) El 8 de septiembre de 2022 la ahora recurrente interpuso demanda frente al INSS y la TGSS, tramitada como procedimiento especial de Seguridad Social núm. 802-2022, ante el Juzgado de lo Social núm. 23 de Madrid. En la demanda alegó discriminación de su hijo por haber nacido en el seno de una familia monoparental, pues, a diferencia de los nacidos en familia biparental, le ha sido denegada la protección que se dispensa cuando son ambos progenitores quienes disfrutan del permiso, lo que redunda en el cuidado y atención del menor.</w:t>
      </w:r>
    </w:p>
    <w:p w14:paraId="32BB851C" w14:textId="77777777" w:rsidR="00A8138F" w:rsidRDefault="00A8138F" w:rsidP="00A8138F">
      <w:pPr>
        <w:pStyle w:val="TextoNormal"/>
      </w:pPr>
    </w:p>
    <w:p w14:paraId="30CCCE9F" w14:textId="77777777" w:rsidR="00A8138F" w:rsidRDefault="00A8138F" w:rsidP="00A8138F">
      <w:pPr>
        <w:pStyle w:val="TextoNormal"/>
      </w:pPr>
      <w:r>
        <w:t xml:space="preserve">El Juzgado de lo Social dictó la sentencia núm. 425/2022, de 22 de noviembre, que desestimó la demanda y absolvió al INSS y a la TGSS. La sentencia se fundamenta, en síntesis, en que al ser la demandante la progenitora en familia monoparental, no le corresponde el disfrute de la ampliación del permiso por nacimiento y cuidado de menor que correspondería al otro progenitor. Declara la sentencia que “no es correcta la comparación que se realiza entre ‛familia monoparental’ y ‘familia biparental’. Tampoco esta última va a tener derecho en todos los casos a dos prestaciones de dieciséis semanas de duración, como parece darse </w:t>
      </w:r>
      <w:r>
        <w:lastRenderedPageBreak/>
        <w:t>por supuesto, pues ello va a depender del cumplimiento de los requisitos de alta y cotización, y suspensión del contrato de trabajo, que establecen los arts. 178 LGSS [Ley general de la Seguridad Social] y 48 LET [Ley del estatuto de los trabajadores]”. En apoyo de la decisión adoptada, se citan sentencias de la Sala de lo Social del Tribunal Superior de Justicia de Madrid fechadas el 4 de abril (ECLI:ES:TSJM:2022:4148), 7 de septiembre (ECLI:ES:TSJM:2022:10492) y 24 de octubre del año 2022 (ECLI:ES:TSJM:2022:14139).</w:t>
      </w:r>
    </w:p>
    <w:p w14:paraId="1E0313E6" w14:textId="77777777" w:rsidR="00A8138F" w:rsidRDefault="00A8138F" w:rsidP="00A8138F">
      <w:pPr>
        <w:pStyle w:val="TextoNormal"/>
      </w:pPr>
    </w:p>
    <w:p w14:paraId="63587C8F" w14:textId="77777777" w:rsidR="00A8138F" w:rsidRDefault="00A8138F" w:rsidP="00A8138F">
      <w:pPr>
        <w:pStyle w:val="TextoNormal"/>
      </w:pPr>
      <w:r>
        <w:t>c) La demandante interpuso recurso de suplicación frente a la sentencia dictada en primera instancia, que fue desestimado por la Sección Primera de la Sala de lo Social del Tribunal Superior de Justicia de Madrid mediante la sentencia núm. 779/2023, de 15 de septiembre, dictada en el recurso núm. 80-2023, que confirma la sentencia impugnada. La Sala declara que atiende a la doctrina sentada por el Pleno de la Sala de lo Social del Tribunal Supremo en sentencia de 2 de marzo de 2023, dictada en el recurso núm. 3972-2020 (ECLI:ES:TS:2023:783), según la cual “el/la cabeza de una familia monoparental no tiene derecho a disfrutar la prestación que le hubiera correspondido al otro progenitor de haber existido, sin que ello suponga dispensar un trato discriminatorio a los niños nacidos en familias monoparentales respecto del dado a los nacidos en familias biparentales”. Añade la Sala que lo pretendido por la actora solo le corresponde al legislador, no pudiendo ser suplida su función por resoluciones judiciales, ya que supondría modificar el régimen prestacional de la Seguridad Social y la regulación de la suspensión del contrato de trabajo por causas no previstas en la ley. Razona que la norma impugnada no es contraria a la Constitución, sino expresión de la voluntad legislativa tendente al cumplimiento estricto y completo de los principios que rigen esta materia, señalando que lo que está en juego no solo es el interés del menor, sino que el derecho de los hijos de las familias monoparentales a ser cuidados en condiciones iguales con respecto a las parentales exige tener en cuenta que, en estas, la prestación del otro progenitor, que en las monoparentales no existe, precisa del alta en la Seguridad Social y cubrir un periodo mínimo de carencia. Y concluye el Tribunal que la perspectiva de género no resulta determinante, porque lo que se pide se sitúa en el ámbito de la creación del Derecho y, en estos casos, se estaría ante un eventual déficit de protección querido y consentido por el legislador.</w:t>
      </w:r>
    </w:p>
    <w:p w14:paraId="68D753E4" w14:textId="77777777" w:rsidR="00A8138F" w:rsidRDefault="00A8138F" w:rsidP="00A8138F">
      <w:pPr>
        <w:pStyle w:val="TextoNormal"/>
      </w:pPr>
    </w:p>
    <w:p w14:paraId="5230E580" w14:textId="74BA1282" w:rsidR="00A8138F" w:rsidRDefault="00A8138F" w:rsidP="00A8138F">
      <w:pPr>
        <w:pStyle w:val="TextoNormal"/>
      </w:pPr>
      <w:r>
        <w:t>d) La recurrente formalizó recurso de casación para la unificación de doctrina, que dio lugar al recurso núm. 4549-2023, en el que la Sala de lo Social del Tribunal Supremo dictó el 10 de julio de 2024 auto de inadmisión del recurso por falta de interés casacional, con declaración de firmeza de la sentencia recurrida. Declara la Sala que la sentencia recurrida acoge su doctrina fijada por el Pleno en sentencia de 2 de marzo de 2023, dictada en el recurso núm. 3972-2020, conforme a la cual no procede el reconocimiento de una nueva prestación distinta a la ya reconocida y coincidente con la que hubiera correspondido al otro progenitor, dado que la normativa vigente cumple las exigencias derivadas del Derecho de la Unión Europea, de la Constitución y de los acuerdos y tratados internacionales de aplicación, y que es al legislador a quien corresponde, en su caso, determinar el alcance y contenido de la protección que debe dispensarse a este tipo de familias.</w:t>
      </w:r>
    </w:p>
    <w:p w14:paraId="3C2397FC" w14:textId="77777777" w:rsidR="00A8138F" w:rsidRDefault="00A8138F" w:rsidP="00A8138F">
      <w:pPr>
        <w:pStyle w:val="TextoNormal"/>
      </w:pPr>
    </w:p>
    <w:p w14:paraId="68D3CFBF" w14:textId="77777777" w:rsidR="00A8138F" w:rsidRDefault="00A8138F" w:rsidP="00A8138F">
      <w:pPr>
        <w:pStyle w:val="TextoNormal"/>
      </w:pPr>
      <w:r w:rsidRPr="00A8138F">
        <w:rPr>
          <w:rStyle w:val="NumeroAFNegritaCaracter"/>
        </w:rPr>
        <w:t>3</w:t>
      </w:r>
      <w:r>
        <w:t xml:space="preserve">. La recurrente alega en la demanda de amparo la vulneración del derecho de igualdad del art 14 CE, en relación con los arts. 39, 9.2, 10.2, 24.1 y 96.1 CE, en una triple vertiente: (i) vulneración del art. 14 CE, primer inciso, por discriminación directa por desigualdad entre madres y menores integrantes de familias monoparentales, por un lado, y los integrantes de familias biparentales, por otro. Las resoluciones impugnadas provocan una diferencia </w:t>
      </w:r>
      <w:r>
        <w:lastRenderedPageBreak/>
        <w:t>de trato entre la recurrente y las progenitoras de familias biparentales respecto al permiso por nacimiento y cuidado de hijos, con efectos perjudiciales para el menor; (ii) discriminación directa por circunstancias personales y familiares que resulta de su decisión de formar una familia monoparental, lo que vulnera el art. 14 CE, segundo inciso, en relación con el art. 39 CE y (iii) discriminación indirecta por razón de sexo de la demandante de amparo ya que, en su mayoría, las familias monoparentales están formadas por mujeres, que se ven perjudicadas sin justificación objetiva en el ejercicio de su libre autodeterminación de formar familias monoparentales (art 14 CE, segundo inciso, en relación con el art. 10.1 CE). En apoyo de su pretensión, la demandante cita la doctrina contenida en la STC 11/2023, de 23 de febrero.</w:t>
      </w:r>
    </w:p>
    <w:p w14:paraId="43C39622" w14:textId="77777777" w:rsidR="00A8138F" w:rsidRDefault="00A8138F" w:rsidP="00A8138F">
      <w:pPr>
        <w:pStyle w:val="TextoNormal"/>
      </w:pPr>
    </w:p>
    <w:p w14:paraId="24D4FB2F" w14:textId="41637A15" w:rsidR="00A8138F" w:rsidRDefault="00A8138F" w:rsidP="00A8138F">
      <w:pPr>
        <w:pStyle w:val="TextoNormal"/>
      </w:pPr>
      <w:r>
        <w:t>La demandante solicita que se declare la nulidad de las resoluciones del INSS, así como la de las resoluciones judiciales impugnadas.</w:t>
      </w:r>
    </w:p>
    <w:p w14:paraId="1C9969EB" w14:textId="77777777" w:rsidR="00A8138F" w:rsidRDefault="00A8138F" w:rsidP="00A8138F">
      <w:pPr>
        <w:pStyle w:val="TextoNormal"/>
      </w:pPr>
    </w:p>
    <w:p w14:paraId="0C4CAA5A" w14:textId="77777777" w:rsidR="00A8138F" w:rsidRDefault="00A8138F" w:rsidP="00A8138F">
      <w:pPr>
        <w:pStyle w:val="TextoNormal"/>
      </w:pPr>
      <w:r w:rsidRPr="00A8138F">
        <w:rPr>
          <w:rStyle w:val="NumeroAFNegritaCaracter"/>
        </w:rPr>
        <w:t>4</w:t>
      </w:r>
      <w:r>
        <w:t>. Por providencia de 16 de diciembre de 2024, la Sala Primera, Sección Primera, de este tribunal acordó admitir a trámite la demanda de amparo, al apreciar que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w:t>
      </w:r>
    </w:p>
    <w:p w14:paraId="71C00D3E" w14:textId="77777777" w:rsidR="00A8138F" w:rsidRDefault="00A8138F" w:rsidP="00A8138F">
      <w:pPr>
        <w:pStyle w:val="TextoNormal"/>
      </w:pPr>
    </w:p>
    <w:p w14:paraId="2635AA69" w14:textId="1D67EDE2" w:rsidR="00A8138F" w:rsidRDefault="00A8138F" w:rsidP="00A8138F">
      <w:pPr>
        <w:pStyle w:val="TextoNormal"/>
      </w:pPr>
      <w:r>
        <w:t>En aplicación de lo previsto en el art. 51 LOTC, dispuso requerir a la Sala de lo Social del Tribunal Supremo y a la Sección Primera de Sala de lo Social del Tribunal Superior de Justicia de Madrid a fin de que, en el plazo que no excediera de diez días, remitiesen certificación o fotocopia adverada de las actuaciones correspondientes al recurso de casación para la unificación de doctrina núm. 4549-2023 y al recurso de suplicación núm. 80-2023, respectivamente. Asimismo, acordó dirigir comunicación al Juzgado de lo Social núm. 23 de Madrid a fin de que, en el mismo plazo, remitiese certificación o fotocopia adverada de las actuaciones correspondientes a los autos núm. 802-2022, con emplazamiento a quienes hubieran sido parte en el procedimiento, excepto la parte recurrente en amparo, para que, si así lo desean, puedan comparecer en el presente recurso en el plazo de diez días.</w:t>
      </w:r>
    </w:p>
    <w:p w14:paraId="07B5A67C" w14:textId="77777777" w:rsidR="00A8138F" w:rsidRDefault="00A8138F" w:rsidP="00A8138F">
      <w:pPr>
        <w:pStyle w:val="TextoNormal"/>
      </w:pPr>
    </w:p>
    <w:p w14:paraId="22ECE977" w14:textId="77777777" w:rsidR="00A8138F" w:rsidRDefault="00A8138F" w:rsidP="00A8138F">
      <w:pPr>
        <w:pStyle w:val="TextoNormal"/>
      </w:pPr>
      <w:r w:rsidRPr="00A8138F">
        <w:rPr>
          <w:rStyle w:val="NumeroAFNegritaCaracter"/>
        </w:rPr>
        <w:t>5</w:t>
      </w:r>
      <w:r>
        <w:t>. Mediante escrito presentado el día 27 de enero de 2025, el letrado de la administración de la Seguridad Social, actuando en nombre y representación del INSS y la TGSS, interesó su personación en el presente recurso de amparo y se allana en el mismo. Su pretensión se funda, en síntesis, en que la reciente STC 140/2024, de 6 de noviembre, estimatoria de la cuestión de inconstitucionalidad núm. 6694-2023 y que declara inconstitucional el art. 48.4 LET y el art. 177 LGSS, con el alcance que señala en su fundamento jurídico séptimo, en el sentido de adicionar al permiso de dieciséis semanas reconocido a la madre biológica, el permiso de diez semanas previsto para el progenitor distinto, al excluirse las seis primeras semanas que necesariamente deben disfrutarse de forma ininterrumpida e inmediatamente posterior al parto.</w:t>
      </w:r>
    </w:p>
    <w:p w14:paraId="2A0C9831" w14:textId="77777777" w:rsidR="00A8138F" w:rsidRDefault="00A8138F" w:rsidP="00A8138F">
      <w:pPr>
        <w:pStyle w:val="TextoNormal"/>
      </w:pPr>
    </w:p>
    <w:p w14:paraId="2D4F3C12" w14:textId="77777777" w:rsidR="00A8138F" w:rsidRDefault="00A8138F" w:rsidP="00A8138F">
      <w:pPr>
        <w:pStyle w:val="TextoNormal"/>
      </w:pPr>
      <w:r>
        <w:t>Añade que con posterioridad este tribunal ha dictado, en fecha 2 de diciembre de 2024, varias sentencias en casos similares al resuelto por el Pleno del Tribunal Constitucional, con otorgamiento del amparo en los recursos de amparo núm. 1084-2024, 1880-2024, 1845-2024 y 6078-2023, que resuelven recursos interpuestos por madres biológicas en familia monoparental, contra sentencias dictadas en esta materia por la Sala de lo Social del Tribu</w:t>
      </w:r>
      <w:r>
        <w:lastRenderedPageBreak/>
        <w:t>nal Supremo, estimatorias de recursos de casación para la unificación de doctrina interpuestos por el INSS, o contra autos de la misma Sala de inadmisión a trámite de los recursos de casación para la unificación de doctrina presentados por demandantes contra sentencias de distintos tribunales superiores de justicia, que confirmaban las resoluciones administrativas del INSS denegatorias de la ampliación de los permisos de maternidad en familias monoparentales.</w:t>
      </w:r>
    </w:p>
    <w:p w14:paraId="12C98CE8" w14:textId="77777777" w:rsidR="00A8138F" w:rsidRDefault="00A8138F" w:rsidP="00A8138F">
      <w:pPr>
        <w:pStyle w:val="TextoNormal"/>
      </w:pPr>
    </w:p>
    <w:p w14:paraId="1E60F896" w14:textId="044263BA" w:rsidR="00A8138F" w:rsidRDefault="00A8138F" w:rsidP="00A8138F">
      <w:pPr>
        <w:pStyle w:val="TextoNormal"/>
      </w:pPr>
      <w:r>
        <w:t>Concluye el letrado de la Seguridad Social en sus alegaciones que la dirección del servicio jurídico de la Seguridad Social dictó la instrucción 10/2024, de 23 de diciembre, por la que autoriza al servicio jurídico delegado central en el INSS a allanarse en los recursos de amparo pendientes ante este tribunal, que resulten afectados por lo establecido en el fundamento jurídico séptimo de la STC 140/2024, lo que entiende ocurre en el presente supuesto.</w:t>
      </w:r>
    </w:p>
    <w:p w14:paraId="34849AAC" w14:textId="77777777" w:rsidR="00A8138F" w:rsidRDefault="00A8138F" w:rsidP="00A8138F">
      <w:pPr>
        <w:pStyle w:val="TextoNormal"/>
      </w:pPr>
    </w:p>
    <w:p w14:paraId="3C5CDB11" w14:textId="7F4FD1D8" w:rsidR="00A8138F" w:rsidRDefault="00A8138F" w:rsidP="00A8138F">
      <w:pPr>
        <w:pStyle w:val="TextoNormal"/>
      </w:pPr>
      <w:r w:rsidRPr="00A8138F">
        <w:rPr>
          <w:rStyle w:val="NumeroAFNegritaCaracter"/>
        </w:rPr>
        <w:t>6</w:t>
      </w:r>
      <w:r>
        <w:t>. Por diligencia de ordenación de 4 de febrero de 2025, se tuvieron por recibidos los testimonios de actuaciones solicitados y el escrito del letrado de la administración de la Seguridad Social, y se acordó tener por personada y parte en el presente procedimiento al letrado de la administración de la Seguridad Social, en nombre y representación del INSS y de la TGSS, así como, de conformidad con lo establecido en el art. 52.1 LOTC, dar vista de las actuaciones en la sede electrónica de este tribunal a la recurrente, al Ministerio Fiscal y a las partes personadas, por un plazo común de veinte días para que puedan presentar las alegaciones que estimen pertinentes.</w:t>
      </w:r>
    </w:p>
    <w:p w14:paraId="09E107F9" w14:textId="77777777" w:rsidR="00A8138F" w:rsidRDefault="00A8138F" w:rsidP="00A8138F">
      <w:pPr>
        <w:pStyle w:val="TextoNormal"/>
      </w:pPr>
    </w:p>
    <w:p w14:paraId="087E77C8" w14:textId="76C5DFDC" w:rsidR="00A8138F" w:rsidRDefault="00A8138F" w:rsidP="00A8138F">
      <w:pPr>
        <w:pStyle w:val="TextoNormal"/>
      </w:pPr>
      <w:r w:rsidRPr="00A8138F">
        <w:rPr>
          <w:rStyle w:val="NumeroAFNegritaCaracter"/>
        </w:rPr>
        <w:t>7</w:t>
      </w:r>
      <w:r>
        <w:t>. En el trámite de alegaciones, el letrado de la administración de la Seguridad Social solicitó que se le tuviera por allanado en la representación que ostenta.</w:t>
      </w:r>
    </w:p>
    <w:p w14:paraId="068B0141" w14:textId="77777777" w:rsidR="00A8138F" w:rsidRDefault="00A8138F" w:rsidP="00A8138F">
      <w:pPr>
        <w:pStyle w:val="TextoNormal"/>
      </w:pPr>
    </w:p>
    <w:p w14:paraId="48797E8E" w14:textId="77F8DDC2" w:rsidR="00A8138F" w:rsidRDefault="00A8138F" w:rsidP="00A8138F">
      <w:pPr>
        <w:pStyle w:val="TextoNormal"/>
      </w:pPr>
      <w:r w:rsidRPr="00A8138F">
        <w:rPr>
          <w:rStyle w:val="NumeroAFNegritaCaracter"/>
        </w:rPr>
        <w:t>8</w:t>
      </w:r>
      <w:r>
        <w:t>. La representación procesal de la demandante de amparo presentó escrito de alegaciones el 5 de marzo de 2025, en el que, en esencia, reitera los argumentos ya expuestos y la petición de estimación de la demanda.</w:t>
      </w:r>
    </w:p>
    <w:p w14:paraId="04F55EA4" w14:textId="77777777" w:rsidR="00A8138F" w:rsidRDefault="00A8138F" w:rsidP="00A8138F">
      <w:pPr>
        <w:pStyle w:val="TextoNormal"/>
      </w:pPr>
    </w:p>
    <w:p w14:paraId="780D23CE" w14:textId="77777777" w:rsidR="00A8138F" w:rsidRDefault="00A8138F" w:rsidP="00A8138F">
      <w:pPr>
        <w:pStyle w:val="TextoNormal"/>
      </w:pPr>
      <w:r w:rsidRPr="00A8138F">
        <w:rPr>
          <w:rStyle w:val="NumeroAFNegritaCaracter"/>
        </w:rPr>
        <w:t>9</w:t>
      </w:r>
      <w:r>
        <w:t>. El fiscal ante el Tribunal Constitucional presentó escrito en fecha 5 de marzo de 2025, en el que vierte sus alegaciones e interesa la estimación del recurso de amparo. Tras el resumen de los antecedentes más relevantes del caso y afirmar la inexistencia de óbices procesales, señala, en síntesis, que en relación a la doctrina constitucional sobre los permisos por nacimiento y cuidado del menor en familia monoparental, la STC 140/2024, de 6 de noviembre, ha establecido una doctrina constitucional específica para la cuestión debatida en el presente recurso de amparo, reiterada en las sentencias del Tribunal dictadas en los recursos de amparo núm. 1880-2024, 874-2024, 2226-2024, 612-2024 y 1845-2024, que ha declarado inconstitucional el art. 48.4 LET y el art. 177 LGSS, precisamente por la vulneración del derecho establecido en el art. 14 CE que se alega en el presente recurso, y ha establecido, mientras el legislador no reforme dichos artículos, una interpretación acorde a la Constitución de la normativa sobre suspensión del contrato de trabajo allí establecida y de la prestación de la Seguridad Social anudada a la misma, todo lo cual es directamente aplicable al presente recurso. En consecuencia, con arreglo al criterio adoptado en la citada STC 140/2024, la reparación del derecho a la igualdad de la recurrente no incluye las seis primeras semanas, por las razones que la propia sentencia expone, lo que, en definitiva, conduce a la conclusión de que dicha reparación ha de concretarse en el disfrute de diez semanas de prestación adicionales.</w:t>
      </w:r>
    </w:p>
    <w:p w14:paraId="0E319B8A" w14:textId="77777777" w:rsidR="00A8138F" w:rsidRDefault="00A8138F" w:rsidP="00A8138F">
      <w:pPr>
        <w:pStyle w:val="TextoNormal"/>
      </w:pPr>
    </w:p>
    <w:p w14:paraId="2AFFFCFA" w14:textId="655D7A6D" w:rsidR="00A8138F" w:rsidRDefault="00A8138F" w:rsidP="00A8138F">
      <w:pPr>
        <w:pStyle w:val="TextoNormal"/>
      </w:pPr>
      <w:r>
        <w:t>Aduce el fiscal que al denegarse la ampliación de la prestación por aplicación de los mencionados preceptos que luego se han declarado inconstitucionales, la denegación resulta discriminatoria y por tanto, nula, para concluir solicitando la estimación del presente recurso de amparo, con declaración de vulneración del derecho del hijo de la demandante a no ser discriminado por razón de nacimiento, y que se declare la nulidad de las resoluciones impugnadas, tanto las judiciales como las administrativas presuntas por silencio administrativo, al no contestar el INSS a la solicitud de ampliación. En consecuencia, insta que la entidad gestora de la Seguridad Social conteste a la petición de ampliación del permiso dictando resolución expresa que resulte respetuosa con el derecho fundamental vulnerado, de acuerdo con el criterio establecido en la STC 140/2024, de 6 de noviembre.</w:t>
      </w:r>
    </w:p>
    <w:p w14:paraId="697EB37A" w14:textId="77777777" w:rsidR="00A8138F" w:rsidRDefault="00A8138F" w:rsidP="00A8138F">
      <w:pPr>
        <w:pStyle w:val="TextoNormal"/>
      </w:pPr>
    </w:p>
    <w:p w14:paraId="0476A8E0" w14:textId="57394834" w:rsidR="00A8138F" w:rsidRDefault="00A8138F" w:rsidP="00A8138F">
      <w:pPr>
        <w:pStyle w:val="TextoNormal"/>
      </w:pPr>
      <w:r w:rsidRPr="00A8138F">
        <w:rPr>
          <w:rStyle w:val="NumeroAFNegritaCaracter"/>
        </w:rPr>
        <w:t>10</w:t>
      </w:r>
      <w:r>
        <w:t>. Por providencia de 20 de marzo de 2025 se señaló para deliberación y votación del presente recurso el día 24 del mismo mes y año.</w:t>
      </w:r>
    </w:p>
    <w:p w14:paraId="032730D2" w14:textId="77777777" w:rsidR="00A8138F" w:rsidRDefault="00A8138F" w:rsidP="00A8138F">
      <w:pPr>
        <w:pStyle w:val="TextoNormal"/>
      </w:pPr>
    </w:p>
    <w:p w14:paraId="188A9842" w14:textId="77777777" w:rsidR="00A8138F" w:rsidRDefault="00A8138F" w:rsidP="00A8138F">
      <w:pPr>
        <w:pStyle w:val="TextoNormalNegritaCentrado"/>
        <w:keepNext/>
      </w:pPr>
      <w:r>
        <w:t>II. Fundamentos jurídicos</w:t>
      </w:r>
    </w:p>
    <w:p w14:paraId="415399CD" w14:textId="3F4015A1" w:rsidR="00A8138F" w:rsidRDefault="00A8138F" w:rsidP="00A8138F">
      <w:pPr>
        <w:pStyle w:val="TextoNormalNegritaCentrado"/>
        <w:keepNext/>
      </w:pPr>
    </w:p>
    <w:p w14:paraId="1BE1AD1E"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1598868B" w14:textId="77777777" w:rsidR="00A8138F" w:rsidRDefault="00A8138F" w:rsidP="00A8138F">
      <w:pPr>
        <w:pStyle w:val="TextoNormal"/>
      </w:pPr>
    </w:p>
    <w:p w14:paraId="52B96C25" w14:textId="7D947B09" w:rsidR="00A8138F" w:rsidRDefault="00A8138F" w:rsidP="00A8138F">
      <w:pPr>
        <w:pStyle w:val="TextoNormal"/>
      </w:pPr>
      <w:r>
        <w:t>El objeto del presente proceso es dilucidar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0C22F066" w14:textId="77777777" w:rsidR="00A8138F" w:rsidRDefault="00A8138F" w:rsidP="00A8138F">
      <w:pPr>
        <w:pStyle w:val="TextoNormal"/>
      </w:pPr>
    </w:p>
    <w:p w14:paraId="11BEAF5E"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35D33FFB" w14:textId="77777777" w:rsidR="00A8138F" w:rsidRDefault="00A8138F" w:rsidP="00A8138F">
      <w:pPr>
        <w:pStyle w:val="TextoNormal"/>
      </w:pPr>
    </w:p>
    <w:p w14:paraId="33E3CA03"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08850F6C" w14:textId="77777777" w:rsidR="00A8138F" w:rsidRDefault="00A8138F" w:rsidP="00A8138F">
      <w:pPr>
        <w:pStyle w:val="TextoNormal"/>
      </w:pPr>
    </w:p>
    <w:p w14:paraId="5246AA9F" w14:textId="77777777" w:rsidR="00A8138F" w:rsidRDefault="00A8138F" w:rsidP="00A8138F">
      <w:pPr>
        <w:pStyle w:val="TextoNormal"/>
      </w:pPr>
      <w:r>
        <w:t>Dicho lo anterior,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057B291A" w14:textId="77777777" w:rsidR="00A8138F" w:rsidRDefault="00A8138F" w:rsidP="00A8138F">
      <w:pPr>
        <w:pStyle w:val="TextoNormal"/>
      </w:pPr>
    </w:p>
    <w:p w14:paraId="44461C53" w14:textId="77777777" w:rsidR="00A8138F" w:rsidRDefault="00A8138F" w:rsidP="00A8138F">
      <w:pPr>
        <w:pStyle w:val="TextoNormal"/>
      </w:pPr>
      <w:r>
        <w:lastRenderedPageBreak/>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5E7C355" w14:textId="77777777" w:rsidR="00A8138F" w:rsidRDefault="00A8138F" w:rsidP="00A8138F">
      <w:pPr>
        <w:pStyle w:val="TextoNormal"/>
      </w:pPr>
    </w:p>
    <w:p w14:paraId="6A2FB924"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498A5F1A" w14:textId="77777777" w:rsidR="00A8138F" w:rsidRDefault="00A8138F" w:rsidP="00A8138F">
      <w:pPr>
        <w:pStyle w:val="TextoNormal"/>
      </w:pPr>
    </w:p>
    <w:p w14:paraId="0060376A" w14:textId="03709E6F" w:rsidR="00A8138F" w:rsidRDefault="00A8138F" w:rsidP="00A8138F">
      <w:pPr>
        <w:pStyle w:val="TextoNormal"/>
      </w:pPr>
      <w:r>
        <w:t>En consecuencia, debe estimarse la demanda y otorgar el amparo solicitado, con nulidad de las sentencias dictadas en primera instancia, en el recurso de suplicación y en el recurso de casación para la unificación de doctrina, con retroacción de las actuaciones para que el INSS dicte de forma expresa una resolución en respuesta a la solicitud de revisión de la prestación concedida, que resulte ser respetuosa con el derecho fundamental reconocido a la recurrente.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14:paraId="07FC8ABD" w14:textId="77777777" w:rsidR="00A8138F" w:rsidRDefault="00A8138F" w:rsidP="00A8138F">
      <w:pPr>
        <w:pStyle w:val="TextoNormal"/>
      </w:pPr>
    </w:p>
    <w:p w14:paraId="56E8D283" w14:textId="77777777" w:rsidR="00A8138F" w:rsidRDefault="00A8138F" w:rsidP="00A8138F">
      <w:pPr>
        <w:pStyle w:val="TextoNormalCentrado"/>
        <w:keepNext/>
      </w:pPr>
      <w:r>
        <w:t>FALLO</w:t>
      </w:r>
    </w:p>
    <w:p w14:paraId="3AB77307" w14:textId="2AC4B1E1" w:rsidR="00A8138F" w:rsidRDefault="00A8138F" w:rsidP="00A8138F">
      <w:pPr>
        <w:pStyle w:val="TextoNormalCentrado"/>
        <w:keepNext/>
      </w:pPr>
    </w:p>
    <w:p w14:paraId="08402BD6" w14:textId="77777777" w:rsidR="00A8138F" w:rsidRDefault="00A8138F" w:rsidP="00A8138F">
      <w:pPr>
        <w:pStyle w:val="TextoNormal"/>
      </w:pPr>
      <w:r>
        <w:t>En atención a todo lo expuesto, el Tribunal Constitucional, por la autoridad que le confiere la Constitución de la Nación española, ha decidido:</w:t>
      </w:r>
    </w:p>
    <w:p w14:paraId="0D531A0E" w14:textId="77777777" w:rsidR="00A8138F" w:rsidRDefault="00A8138F" w:rsidP="00A8138F">
      <w:pPr>
        <w:pStyle w:val="TextoNormal"/>
      </w:pPr>
    </w:p>
    <w:p w14:paraId="1D4E56AA" w14:textId="77777777" w:rsidR="00A8138F" w:rsidRDefault="00A8138F" w:rsidP="00A8138F">
      <w:pPr>
        <w:pStyle w:val="TextoNormal"/>
      </w:pPr>
      <w:r>
        <w:lastRenderedPageBreak/>
        <w:t>1º Estimar la demanda de amparo presentada por doña María del Castellar García García por vulneración del derecho fundamental de igualdad ante la ley sin discriminación por razón de nacimiento (art. 14 CE) de hijo menor en familia monoparental.</w:t>
      </w:r>
    </w:p>
    <w:p w14:paraId="26033E90" w14:textId="77777777" w:rsidR="00A8138F" w:rsidRDefault="00A8138F" w:rsidP="00A8138F">
      <w:pPr>
        <w:pStyle w:val="TextoNormal"/>
      </w:pPr>
    </w:p>
    <w:p w14:paraId="7D5C710A" w14:textId="77777777" w:rsidR="00A8138F" w:rsidRDefault="00A8138F" w:rsidP="00A8138F">
      <w:pPr>
        <w:pStyle w:val="TextoNormal"/>
      </w:pPr>
      <w:r>
        <w:t>2º Restablecer a la demandante de amparo en su derecho y, a tal fin, declarar la nulidad de las siguientes resoluciones: (i) la sentencia núm. 452/2022, de 22 de noviembre, del Juzgado de lo Social núm. 23 de Madrid, recaída en el procedimiento de Seguridad Social núm. 808-2022; (ii) la sentencia núm. 779-2023, de la Sección Primera de la Sala de lo Social del Tribunal Superior de Justicia de Madrid dictada en el recurso núm. 80-2023; y (iii) el auto de 10 de julio de 2024, dictado por la Sala de lo Social del Tribunal Supremo en el recurso de casación para la unificación de doctrina núm. 4549-2023.</w:t>
      </w:r>
    </w:p>
    <w:p w14:paraId="136392DF" w14:textId="77777777" w:rsidR="00A8138F" w:rsidRDefault="00A8138F" w:rsidP="00A8138F">
      <w:pPr>
        <w:pStyle w:val="TextoNormal"/>
      </w:pPr>
    </w:p>
    <w:p w14:paraId="17581F1F" w14:textId="44DBFE47" w:rsidR="00A8138F" w:rsidRDefault="00A8138F" w:rsidP="00A8138F">
      <w:pPr>
        <w:pStyle w:val="TextoNormal"/>
      </w:pPr>
      <w:r>
        <w:t>3º Retrotraer las actuaciones a fin de que el Instituto Nacional de la Seguridad Social dicte en respuesta a la solicitud de la recurrente de revisión de la prestación concedida, una resolución expresa respetuosa con el derecho fundamental reconocido a la recurrente, con el alcance fijado en el último párrafo del fundamento jurídico 2 de esta sentencia.</w:t>
      </w:r>
    </w:p>
    <w:p w14:paraId="6AE0ED7B" w14:textId="77777777" w:rsidR="00A8138F" w:rsidRDefault="00A8138F" w:rsidP="00A8138F">
      <w:pPr>
        <w:pStyle w:val="TextoNormal"/>
      </w:pPr>
    </w:p>
    <w:p w14:paraId="199DCBB6" w14:textId="77777777" w:rsidR="00A8138F" w:rsidRDefault="00A8138F" w:rsidP="00A8138F">
      <w:pPr>
        <w:pStyle w:val="TextoNormal"/>
      </w:pPr>
      <w:r>
        <w:t>Publíquese esta sentencia en el “Boletín Oficial del Estado”.</w:t>
      </w:r>
    </w:p>
    <w:p w14:paraId="78934EB0" w14:textId="77777777" w:rsidR="00A8138F" w:rsidRDefault="00A8138F" w:rsidP="00A8138F">
      <w:pPr>
        <w:pStyle w:val="TextoNormal"/>
      </w:pPr>
      <w:r>
        <w:t>Dada en Madrid, a veinticuatro de marzo de dos mil veinticinco.</w:t>
      </w:r>
    </w:p>
    <w:p w14:paraId="6FCCEA2A" w14:textId="234037CF" w:rsidR="00A8138F" w:rsidRDefault="00A8138F">
      <w:pPr>
        <w:spacing w:after="160" w:line="278" w:lineRule="auto"/>
        <w:rPr>
          <w:rFonts w:ascii="Times New Roman" w:eastAsia="Times New Roman" w:hAnsi="Times New Roman" w:cs="Times New Roman"/>
          <w:sz w:val="24"/>
          <w:szCs w:val="24"/>
          <w:lang w:eastAsia="es-ES"/>
        </w:rPr>
      </w:pPr>
      <w:r>
        <w:br w:type="page"/>
      </w:r>
    </w:p>
    <w:p w14:paraId="469B383D" w14:textId="77777777" w:rsidR="00A8138F" w:rsidRDefault="00A8138F" w:rsidP="00A8138F">
      <w:pPr>
        <w:pStyle w:val="TtuloResolucin"/>
      </w:pPr>
      <w:bookmarkStart w:id="83" w:name="SENTENCIA_2025_81"/>
      <w:r>
        <w:lastRenderedPageBreak/>
        <w:t>SENTENCIA 81/2025, de 24 de marzo de 2025</w:t>
      </w:r>
    </w:p>
    <w:bookmarkEnd w:id="83"/>
    <w:p w14:paraId="7DD6EA5A" w14:textId="77777777" w:rsidR="00A8138F" w:rsidRDefault="00A8138F" w:rsidP="00A8138F">
      <w:pPr>
        <w:pStyle w:val="TtuloResolucin"/>
      </w:pPr>
      <w:r>
        <w:t>Sala Primera</w:t>
      </w:r>
    </w:p>
    <w:p w14:paraId="3E46AC41" w14:textId="77777777" w:rsidR="00A8138F" w:rsidRDefault="00A8138F" w:rsidP="00A8138F">
      <w:pPr>
        <w:pStyle w:val="TtuloBOE"/>
      </w:pPr>
      <w:r>
        <w:t>(BOE núm. 109, de 6 de mayo de 2025)</w:t>
      </w:r>
    </w:p>
    <w:p w14:paraId="19582D7A" w14:textId="77777777" w:rsidR="00A8138F" w:rsidRDefault="00A8138F" w:rsidP="00A8138F">
      <w:pPr>
        <w:pStyle w:val="TextoNormalCentrado"/>
      </w:pPr>
      <w:r>
        <w:t>ECLI:ES:TC:2025:81</w:t>
      </w:r>
    </w:p>
    <w:p w14:paraId="333EBA6D" w14:textId="0882B4A1" w:rsidR="00A8138F" w:rsidRDefault="00A8138F" w:rsidP="00A8138F">
      <w:pPr>
        <w:pStyle w:val="TextoNormalCentrado"/>
      </w:pPr>
    </w:p>
    <w:p w14:paraId="255F6C6F" w14:textId="77777777" w:rsidR="00A8138F" w:rsidRDefault="00A8138F" w:rsidP="00A8138F">
      <w:pPr>
        <w:pStyle w:val="SntesisDescriptiva"/>
      </w:pPr>
      <w:r>
        <w:t>Recurso de amparo 7671-2024. Promovido por doña Susana Ferrero Rodríguez en relación con las resoluciones administrativas y judiciales que desestimaron su petición de revisión y ampliación de la prestación por nacimiento y cuidado de hijo menor, como madre biológica de familia monoparental.</w:t>
      </w:r>
    </w:p>
    <w:p w14:paraId="524898B1" w14:textId="6AE319BE" w:rsidR="00A8138F" w:rsidRDefault="00A8138F" w:rsidP="00A8138F">
      <w:pPr>
        <w:pStyle w:val="SntesisDescriptiva"/>
      </w:pPr>
    </w:p>
    <w:p w14:paraId="120D19FF"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3C7556A2" w14:textId="3C4A8640" w:rsidR="00A8138F" w:rsidRDefault="00A8138F" w:rsidP="00A8138F">
      <w:pPr>
        <w:pStyle w:val="SntesisAnaltica"/>
      </w:pPr>
    </w:p>
    <w:p w14:paraId="7833BC61" w14:textId="73CEDBA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BF7A457" w14:textId="77777777" w:rsidR="00A8138F" w:rsidRDefault="00A8138F" w:rsidP="00A8138F">
      <w:pPr>
        <w:pStyle w:val="Extracto"/>
      </w:pPr>
    </w:p>
    <w:p w14:paraId="7DB5E4DF" w14:textId="77777777" w:rsidR="00A8138F" w:rsidRDefault="00A8138F" w:rsidP="00A8138F">
      <w:pPr>
        <w:pStyle w:val="Extracto"/>
      </w:pPr>
    </w:p>
    <w:p w14:paraId="0E852893"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7671-2024 ha pronunciado</w:t>
      </w:r>
    </w:p>
    <w:p w14:paraId="774E5A48" w14:textId="21D1F3DD" w:rsidR="00A8138F" w:rsidRDefault="00A8138F" w:rsidP="00A8138F">
      <w:pPr>
        <w:pStyle w:val="TextoNormal"/>
      </w:pPr>
    </w:p>
    <w:p w14:paraId="6E5A43E0" w14:textId="77777777" w:rsidR="00A8138F" w:rsidRDefault="00A8138F" w:rsidP="00A8138F">
      <w:pPr>
        <w:pStyle w:val="TextoNormalCentrado"/>
        <w:keepNext/>
      </w:pPr>
      <w:r>
        <w:t>EN NOMBRE DEL REY</w:t>
      </w:r>
    </w:p>
    <w:p w14:paraId="40657DC1" w14:textId="10963ACB" w:rsidR="00A8138F" w:rsidRDefault="00A8138F" w:rsidP="00A8138F">
      <w:pPr>
        <w:pStyle w:val="TextoNormalCentrado"/>
        <w:keepNext/>
      </w:pPr>
    </w:p>
    <w:p w14:paraId="2A00467B" w14:textId="77777777" w:rsidR="00A8138F" w:rsidRDefault="00A8138F" w:rsidP="00A8138F">
      <w:pPr>
        <w:pStyle w:val="TextoNormalCentrado"/>
        <w:keepNext/>
      </w:pPr>
    </w:p>
    <w:p w14:paraId="1F8D153D" w14:textId="77777777" w:rsidR="00A8138F" w:rsidRDefault="00A8138F" w:rsidP="00A8138F">
      <w:pPr>
        <w:pStyle w:val="TextoNormal"/>
      </w:pPr>
      <w:r>
        <w:t>la siguiente</w:t>
      </w:r>
    </w:p>
    <w:p w14:paraId="770CE4A3" w14:textId="44AC42D7" w:rsidR="00A8138F" w:rsidRDefault="00A8138F" w:rsidP="00A8138F">
      <w:pPr>
        <w:pStyle w:val="TextoNormal"/>
      </w:pPr>
    </w:p>
    <w:p w14:paraId="438BA248" w14:textId="77777777" w:rsidR="00A8138F" w:rsidRDefault="00A8138F" w:rsidP="00A8138F">
      <w:pPr>
        <w:pStyle w:val="TextoNormalCentrado"/>
        <w:keepNext/>
      </w:pPr>
      <w:r>
        <w:t>SENTENCIA</w:t>
      </w:r>
    </w:p>
    <w:p w14:paraId="7F71D606" w14:textId="4D2C9CE4" w:rsidR="00A8138F" w:rsidRDefault="00A8138F" w:rsidP="00A8138F">
      <w:pPr>
        <w:pStyle w:val="TextoNormalCentrado"/>
        <w:keepNext/>
      </w:pPr>
    </w:p>
    <w:p w14:paraId="6406AC7B" w14:textId="77777777" w:rsidR="00A8138F" w:rsidRDefault="00A8138F" w:rsidP="00A8138F">
      <w:pPr>
        <w:pStyle w:val="TextoNormal"/>
      </w:pPr>
      <w:r>
        <w:t xml:space="preserve">En el recurso de amparo núm. 7671-2024, promovido por doña Susana Ferrero Rodríguez, representada por la procuradora de los Tribunales doña Alicia Suau Casado y asistida por la letrada doña Aida Casanova Pérez, contra contra la denegación por silencio administrativo del Instituto Nacional de la Seguridad Social (INSS) de su solicitud de ampliación de la prestación por nacimiento y cuidado de hijo menor a la madre biológica de familia monoparental, y de la reclamación administrativa previa que formuló; contra la sentencia núm. 359/2023, de 16 de mayo, dictada por la Sección Sexta de la Sala de lo Social del Tribunal Superior de Justicia de Madrid en el recurso de suplicación núm. 1026-2022, revocatoria de la sentencia núm. 306/2022, de 18 de octubre, dictada por el Juzgado de lo Social núm. 2 de Móstoles en autos núm. 314-2022, que estimó la demanda interpuesta por la ahora demandante de amparo frente al INSS y a la Tesorería General de la Seguridad Social (TGSS) y contra el auto de 11 de septiembre de 2024, dictado por la Sala de lo Social </w:t>
      </w:r>
      <w:r>
        <w:lastRenderedPageBreak/>
        <w:t>del Tribunal Supremo en el recurso de casación para unificación de doctrina núm. 3618-2023, que inadmitió el recurso interpuesto por la demandante. Han intervenido la letrada de la administración de la Seguridad Social, y el Ministerio Fiscal. Ha sido ponente la magistrada doña Concepción Espejel Jorquera.</w:t>
      </w:r>
    </w:p>
    <w:p w14:paraId="73B2D074" w14:textId="36653749" w:rsidR="00A8138F" w:rsidRDefault="00A8138F" w:rsidP="00A8138F">
      <w:pPr>
        <w:pStyle w:val="TextoNormal"/>
      </w:pPr>
    </w:p>
    <w:p w14:paraId="2E062B28" w14:textId="77777777" w:rsidR="00A8138F" w:rsidRDefault="00A8138F" w:rsidP="00A8138F">
      <w:pPr>
        <w:pStyle w:val="TextoNormalNegritaCentrado"/>
        <w:keepNext/>
      </w:pPr>
      <w:r>
        <w:t>I. Antecedentes</w:t>
      </w:r>
    </w:p>
    <w:p w14:paraId="642F042B" w14:textId="7ABFE020" w:rsidR="00A8138F" w:rsidRDefault="00A8138F" w:rsidP="00A8138F">
      <w:pPr>
        <w:pStyle w:val="TextoNormalNegritaCentrado"/>
        <w:keepNext/>
      </w:pPr>
    </w:p>
    <w:p w14:paraId="3E7170F0" w14:textId="0E85BE44" w:rsidR="00A8138F" w:rsidRDefault="00A8138F" w:rsidP="00A8138F">
      <w:pPr>
        <w:pStyle w:val="TextoNormal"/>
      </w:pPr>
      <w:r w:rsidRPr="00A8138F">
        <w:rPr>
          <w:rStyle w:val="NumeroAFNegritaCaracter"/>
        </w:rPr>
        <w:t>1</w:t>
      </w:r>
      <w:r>
        <w:t>. En fecha 14 de octubre de 2024 la procuradora de los tribunales doña Alicia Suau Casado, en representación de la recurrente y bajo la dirección de la letrada doña Aida Casanova Pérez, interpuso recurso de amparo contra las resoluciones reseñadas en el preámbulo de la presente resolución.</w:t>
      </w:r>
    </w:p>
    <w:p w14:paraId="3F1751CA" w14:textId="77777777" w:rsidR="00A8138F" w:rsidRDefault="00A8138F" w:rsidP="00A8138F">
      <w:pPr>
        <w:pStyle w:val="TextoNormal"/>
      </w:pPr>
    </w:p>
    <w:p w14:paraId="3E34BDB1" w14:textId="77777777" w:rsidR="00A8138F" w:rsidRDefault="00A8138F" w:rsidP="00A8138F">
      <w:pPr>
        <w:pStyle w:val="TextoNormal"/>
      </w:pPr>
      <w:r w:rsidRPr="00A8138F">
        <w:rPr>
          <w:rStyle w:val="NumeroAFNegritaCaracter"/>
        </w:rPr>
        <w:t>2</w:t>
      </w:r>
      <w:r>
        <w:t>. El presente recurso de amparo trae causa de los siguientes antecedentes:</w:t>
      </w:r>
    </w:p>
    <w:p w14:paraId="18191834" w14:textId="77777777" w:rsidR="00A8138F" w:rsidRDefault="00A8138F" w:rsidP="00A8138F">
      <w:pPr>
        <w:pStyle w:val="TextoNormal"/>
      </w:pPr>
    </w:p>
    <w:p w14:paraId="4DB75BEA" w14:textId="77777777" w:rsidR="00A8138F" w:rsidRDefault="00A8138F" w:rsidP="00A8138F">
      <w:pPr>
        <w:pStyle w:val="TextoNormal"/>
      </w:pPr>
      <w:r>
        <w:t>a) La recurrente es madre biológica de un menor nacido el día 1 de octubre de 2021, con el que constituye una familia monoparental. En fecha 7 de octubre de 2021 solicitó la prestación por nacimiento y cuidado de menor. Por resolución del INSS de 24 de noviembre de 2021, le fue reconocido el derecho a la prestación por nacimiento y cuidado del menor del 100 por 100 de la base reguladora diaria reconocida de 118,65 €, con una duración de dieciséis semanas comprendidas entre el 1 de octubre 2021 hasta el 20 de enero de 2022.</w:t>
      </w:r>
    </w:p>
    <w:p w14:paraId="63006E46" w14:textId="77777777" w:rsidR="00A8138F" w:rsidRDefault="00A8138F" w:rsidP="00A8138F">
      <w:pPr>
        <w:pStyle w:val="TextoNormal"/>
      </w:pPr>
    </w:p>
    <w:p w14:paraId="0721B941" w14:textId="77777777" w:rsidR="00A8138F" w:rsidRDefault="00A8138F" w:rsidP="00A8138F">
      <w:pPr>
        <w:pStyle w:val="TextoNormal"/>
      </w:pPr>
      <w:r>
        <w:t>La recurrente presentó el 11 de diciembre de 2021 ante el INSS solicitud de revisión de prestaciones, a fin de que se ampliara el permiso ya reconocido a las semanas que hubieran correspondido al progenitor distinto de la madre biológica. Esta solicitud fue denegada por silencio administrativo.</w:t>
      </w:r>
    </w:p>
    <w:p w14:paraId="4E7F6158" w14:textId="77777777" w:rsidR="00A8138F" w:rsidRDefault="00A8138F" w:rsidP="00A8138F">
      <w:pPr>
        <w:pStyle w:val="TextoNormal"/>
      </w:pPr>
    </w:p>
    <w:p w14:paraId="0EA7AF14" w14:textId="77777777" w:rsidR="00A8138F" w:rsidRDefault="00A8138F" w:rsidP="00A8138F">
      <w:pPr>
        <w:pStyle w:val="TextoNormal"/>
      </w:pPr>
      <w:r>
        <w:t>El 29 de enero de 2022 la recurrente presentó reclamación previa ante el INSS, en la que advertía que la falta de reconocimiento de la ampliación de la prestación suponía una discriminación por indiferenciación. Esta reclamación fue desestimada por silencio administrativo.</w:t>
      </w:r>
    </w:p>
    <w:p w14:paraId="2529C46B" w14:textId="77777777" w:rsidR="00A8138F" w:rsidRDefault="00A8138F" w:rsidP="00A8138F">
      <w:pPr>
        <w:pStyle w:val="TextoNormal"/>
      </w:pPr>
    </w:p>
    <w:p w14:paraId="2CC31924" w14:textId="77777777" w:rsidR="00A8138F" w:rsidRDefault="00A8138F" w:rsidP="00A8138F">
      <w:pPr>
        <w:pStyle w:val="TextoNormal"/>
      </w:pPr>
      <w:r>
        <w:t>b) La recurrente en amparo interpuso en fecha 18 de abril de 2022 demanda frente al INSS y la TGSS, que dio lugar a los autos núm. 314-2022 del Juzgado de lo Social núm. 2 de Móstoles. En la demanda alegó la vulneración del art. 14 CE, al haber sufrido discriminación por la negativa del INSS a concederle la ampliación del permiso por nacimiento y cuidado del hijo.</w:t>
      </w:r>
    </w:p>
    <w:p w14:paraId="76CB880A" w14:textId="77777777" w:rsidR="00A8138F" w:rsidRDefault="00A8138F" w:rsidP="00A8138F">
      <w:pPr>
        <w:pStyle w:val="TextoNormal"/>
      </w:pPr>
    </w:p>
    <w:p w14:paraId="2D97EEF2" w14:textId="77777777" w:rsidR="00A8138F" w:rsidRDefault="00A8138F" w:rsidP="00A8138F">
      <w:pPr>
        <w:pStyle w:val="TextoNormal"/>
      </w:pPr>
      <w:r>
        <w:t>El Juzgado de lo Social dictó la sentencia núm. 306/2022, de 18 de octubre, que estimó la demanda y declaró el derecho de la actora a disfrutar, percibir y acumular la prestación por nacimiento y cuidado de hijo con dieciséis semanas adicionales a las inicialmente reconocidas, condenando a las entidades demandadas a estar y pasar por esta declaración, así como a abonar a la actora la referida prestación durante un total de treinta y dos semanas, sobre una base reguladora diaria de 118,65 €.</w:t>
      </w:r>
    </w:p>
    <w:p w14:paraId="4EF328EC" w14:textId="77777777" w:rsidR="00A8138F" w:rsidRDefault="00A8138F" w:rsidP="00A8138F">
      <w:pPr>
        <w:pStyle w:val="TextoNormal"/>
      </w:pPr>
    </w:p>
    <w:p w14:paraId="7F5AAA74" w14:textId="77777777" w:rsidR="00A8138F" w:rsidRDefault="00A8138F" w:rsidP="00A8138F">
      <w:pPr>
        <w:pStyle w:val="TextoNormal"/>
      </w:pPr>
      <w:r>
        <w:t xml:space="preserve">c) El letrado de la Seguridad Social, en nombre y representación del INSS y de la TGSS, interpuso recurso de suplicación contra la sentencia de primera instancia, que dio lugar al recurso de suplicación núm. 1026-2022 en el que la Sección Sexta de la Sala de lo Social </w:t>
      </w:r>
      <w:r>
        <w:lastRenderedPageBreak/>
        <w:t>del Tribunal Superior de Justicia de Madrid dictó la sentencia núm. 359/2023, de 16 de mayo, que estimó el recurso, revocó la sentencia impugnada y absolvió a las demandadas.</w:t>
      </w:r>
    </w:p>
    <w:p w14:paraId="3A642119" w14:textId="77777777" w:rsidR="00A8138F" w:rsidRDefault="00A8138F" w:rsidP="00A8138F">
      <w:pPr>
        <w:pStyle w:val="TextoNormal"/>
      </w:pPr>
    </w:p>
    <w:p w14:paraId="1F944A3B" w14:textId="77777777" w:rsidR="00A8138F" w:rsidRDefault="00A8138F" w:rsidP="00A8138F">
      <w:pPr>
        <w:pStyle w:val="TextoNormal"/>
      </w:pPr>
      <w:r>
        <w:t>Tras citar precedentes de la misma Sala, la sentencia acoge la doctrina fijada por el Pleno de la Sala de lo Social del Tribunal Supremo en sentencia de 2 de marzo de 2023, dictada en el recurso para unificación de doctrina núm. 3972-2020, la cual concluye que en las familias monoparentales la progenitora trabajadora no tiene derecho a acumular al permiso por maternidad las semanas de permiso que corresponderían al otro progenitor, ya que no hay norma que ampare el derecho reclamado por la demandante, no hay laguna legal sino omisión consciente, el derecho es individual de cada trabajador y rechaza la existencia de discriminación y que se vea afectado el derecho del menor.</w:t>
      </w:r>
    </w:p>
    <w:p w14:paraId="2354F860" w14:textId="77777777" w:rsidR="00A8138F" w:rsidRDefault="00A8138F" w:rsidP="00A8138F">
      <w:pPr>
        <w:pStyle w:val="TextoNormal"/>
      </w:pPr>
    </w:p>
    <w:p w14:paraId="0CA3B8D8" w14:textId="653EC40F" w:rsidR="00A8138F" w:rsidRDefault="00A8138F" w:rsidP="00A8138F">
      <w:pPr>
        <w:pStyle w:val="TextoNormal"/>
      </w:pPr>
      <w:r>
        <w:t>d) La actora interpuso recurso de casación para unificación de doctrina, que dio lugar al recurso de esa clase núm. 3618-2023, que fue inadmitido por falta de interés casacional mediante auto de la Sala de lo Social del Tribunal Supremo de fecha 11 de septiembre de 2024, que declaró la firmeza de la sentencia recurrida. El auto se fundamenta en que la sentencia recurrida es coincidente con la sentencia ya reseñada del Pleno de la Sala de 2 de marzo de 2023, dictada en el recurso para unificación de doctrina núm. 3972-2020.</w:t>
      </w:r>
    </w:p>
    <w:p w14:paraId="43E320E4" w14:textId="77777777" w:rsidR="00A8138F" w:rsidRDefault="00A8138F" w:rsidP="00A8138F">
      <w:pPr>
        <w:pStyle w:val="TextoNormal"/>
      </w:pPr>
    </w:p>
    <w:p w14:paraId="67455F83" w14:textId="77777777" w:rsidR="00A8138F" w:rsidRDefault="00A8138F" w:rsidP="00A8138F">
      <w:pPr>
        <w:pStyle w:val="TextoNormal"/>
      </w:pPr>
      <w:r w:rsidRPr="00A8138F">
        <w:rPr>
          <w:rStyle w:val="NumeroAFNegritaCaracter"/>
        </w:rPr>
        <w:t>3</w:t>
      </w:r>
      <w:r>
        <w:t>. La recurrente alega en la demanda de amparo la vulneración del derecho a la igualdad (art. 14 CE), en relación con los arts. 39, 9.2, 10.2, 24.1 y 96.1 CE, en una triple vertiente: (i) discriminación directa (art. 14 CE, en su primer inciso) ante la desigualdad generada entre madres y menores integrantes de familias monoparentales, y los integrantes de familias biparentales, ya que las resoluciones impugnadas provocan una diferencia de trato entre la recurrente y las progenitoras de familias biparentales en relación con el derecho al permiso por nacimiento y cuidado de hijos, lo que provocando efectos perjudiciales en la esfera del menor; (ii) discriminación directa (art. 14 CE, segundo inciso, en relación con el art. 39 CE) a causa de las circunstancias personales y familiares que resultan de su decisión de formar una familia monoparental; y (iii) discriminación indirecta por razón de sexo (art. 14 CE, segundo inciso, en relación con el art. 10.1 CE), ya que en su mayoría las familias monoparentales están formadas por mujeres, a las que se perjudica sin justificación objetiva, con afectación del libre ejercicio de su autodeterminación a la hora de formar familias monoparentales.</w:t>
      </w:r>
    </w:p>
    <w:p w14:paraId="78E5AFAD" w14:textId="77777777" w:rsidR="00A8138F" w:rsidRDefault="00A8138F" w:rsidP="00A8138F">
      <w:pPr>
        <w:pStyle w:val="TextoNormal"/>
      </w:pPr>
    </w:p>
    <w:p w14:paraId="535F336E" w14:textId="03205ABA" w:rsidR="00A8138F" w:rsidRDefault="00A8138F" w:rsidP="00A8138F">
      <w:pPr>
        <w:pStyle w:val="TextoNormal"/>
      </w:pPr>
      <w:r>
        <w:t>En su demanda la recurrente solicita que se declare la nulidad de las resoluciones administrativas del INSS, denegatorias por silencio administrativo de la ampliación del permiso y prestación por nacimiento y cuidado del menor; así mismo, que se declare la nulidad de las resoluciones judiciales impugnadas antes reseñadas: la sentencia dictada por la Sección Sexta de la Sala de lo Social del Tribunal Superior de Justicia de Madrid en el recurso de suplicación núm. 1026-2022, y el auto de la Sala de lo Social del Tribunal Supremo dictado en el recurso de casación para unificación de doctrina núm. 3618-2023.</w:t>
      </w:r>
    </w:p>
    <w:p w14:paraId="7A209E6C" w14:textId="77777777" w:rsidR="00A8138F" w:rsidRDefault="00A8138F" w:rsidP="00A8138F">
      <w:pPr>
        <w:pStyle w:val="TextoNormal"/>
      </w:pPr>
    </w:p>
    <w:p w14:paraId="6A651186" w14:textId="77777777" w:rsidR="00A8138F" w:rsidRDefault="00A8138F" w:rsidP="00A8138F">
      <w:pPr>
        <w:pStyle w:val="TextoNormal"/>
      </w:pPr>
      <w:r w:rsidRPr="00A8138F">
        <w:rPr>
          <w:rStyle w:val="NumeroAFNegritaCaracter"/>
        </w:rPr>
        <w:t>4</w:t>
      </w:r>
      <w:r>
        <w:t>. Mediante providencia de fecha 13 de enero de 2024, la Sala Primera, Sección Primera, de este tribunal acordó admitir a trámite la demanda de amparo, al apreciar que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w:t>
      </w:r>
    </w:p>
    <w:p w14:paraId="309A403F" w14:textId="77777777" w:rsidR="00A8138F" w:rsidRDefault="00A8138F" w:rsidP="00A8138F">
      <w:pPr>
        <w:pStyle w:val="TextoNormal"/>
      </w:pPr>
    </w:p>
    <w:p w14:paraId="2055C911" w14:textId="34B659D8" w:rsidR="00A8138F" w:rsidRDefault="00A8138F" w:rsidP="00A8138F">
      <w:pPr>
        <w:pStyle w:val="TextoNormal"/>
      </w:pPr>
      <w:r>
        <w:t>En aplicación de lo previsto en el art. 51 LOTC, la Sección dispuso requerir a la Sala de lo Social del Tribunal Supremo y a la Sección Sexta Sala de lo Social del Tribunal Superior de Justicia de Madrid, a fin de que, en el plazo que no excediera de diez días, remitiesen certificación o fotocopia adverada de las actuaciones correspondientes al recurso de casación para la unificación de doctrina núm. 3618-2023 y al recurso de suplicación núm. 1026-2022, respectivamente. Asimismo, acordó dirigir comunicación al Juzgado de lo Social núm. 2 de Móstoles a fin de que, en el mismo plazo, remita certificación o fotocopia adverada de las actuaciones correspondientes a los autos núm. 314-2022, emplazando a quienes hubieran sido parte en el procedimiento, excepto a la parte recurrente en amparo, para que si lo desean puedan comparecer en el presente recurso en el plazo de diez días.</w:t>
      </w:r>
    </w:p>
    <w:p w14:paraId="180DA006" w14:textId="77777777" w:rsidR="00A8138F" w:rsidRDefault="00A8138F" w:rsidP="00A8138F">
      <w:pPr>
        <w:pStyle w:val="TextoNormal"/>
      </w:pPr>
    </w:p>
    <w:p w14:paraId="48317616" w14:textId="2C8C12BE" w:rsidR="00A8138F" w:rsidRDefault="00A8138F" w:rsidP="00A8138F">
      <w:pPr>
        <w:pStyle w:val="TextoNormal"/>
      </w:pPr>
      <w:r w:rsidRPr="00A8138F">
        <w:rPr>
          <w:rStyle w:val="NumeroAFNegritaCaracter"/>
        </w:rPr>
        <w:t>5</w:t>
      </w:r>
      <w:r>
        <w:t>. El 28 de enero de 2025, la letrada de la administración de la Seguridad Social, en nombre y representación del INSS y la TGSS, presentó escrito en el que solicitó que se la tuviera por personada en el presente recurso de amparo.</w:t>
      </w:r>
    </w:p>
    <w:p w14:paraId="6C3F205A" w14:textId="77777777" w:rsidR="00A8138F" w:rsidRDefault="00A8138F" w:rsidP="00A8138F">
      <w:pPr>
        <w:pStyle w:val="TextoNormal"/>
      </w:pPr>
    </w:p>
    <w:p w14:paraId="58558D19" w14:textId="1A96F4C8" w:rsidR="00A8138F" w:rsidRDefault="00A8138F" w:rsidP="00A8138F">
      <w:pPr>
        <w:pStyle w:val="TextoNormal"/>
      </w:pPr>
      <w:r w:rsidRPr="00A8138F">
        <w:rPr>
          <w:rStyle w:val="NumeroAFNegritaCaracter"/>
        </w:rPr>
        <w:t>6</w:t>
      </w:r>
      <w:r>
        <w:t>. Mediante diligencia de ordenación de 6 de febrero de 2025 se tuvieron por recibidos los testimonios de actuaciones solicitados y se acordó tener por personada y parte en el presente procedimiento a la letrada de la administración de la Seguridad Social, en nombre y representación del INSS y la TGSS, así como, de conformidad con lo establecido en el art. 52.1 LOTC, dar vista de las actuaciones a la recurrente, al Ministerio Fiscal y a la parte personada, por plazo común de veinte días, para que pudieran presentar las alegaciones que estimaran pertinentes.</w:t>
      </w:r>
    </w:p>
    <w:p w14:paraId="2FEBE132" w14:textId="77777777" w:rsidR="00A8138F" w:rsidRDefault="00A8138F" w:rsidP="00A8138F">
      <w:pPr>
        <w:pStyle w:val="TextoNormal"/>
      </w:pPr>
    </w:p>
    <w:p w14:paraId="4F7E00A1" w14:textId="77777777" w:rsidR="00A8138F" w:rsidRDefault="00A8138F" w:rsidP="00A8138F">
      <w:pPr>
        <w:pStyle w:val="TextoNormal"/>
      </w:pPr>
      <w:r w:rsidRPr="00A8138F">
        <w:rPr>
          <w:rStyle w:val="NumeroAFNegritaCaracter"/>
        </w:rPr>
        <w:t>7</w:t>
      </w:r>
      <w:r>
        <w:t>. Mediante escrito presentado el día 3 de marzo de 2025, la letrada de la administración de la Seguridad Social presentó escrito en el que se allana a la demanda ante la sentencia dictada por el Pleno de este tribunal de fecha 6 de noviembre de 2024, que estimó la cuestión de inconstitucionalidad núm. 6694-2023 y declaró inconstitucionales los arts. 48.4, 5 y 6 del texto refundido de la Ley del estatuto de los trabajadores, aprobado por el Real Decreto Legislativo 2/2015, de 23 de octubre (LET) y 177 del texto refundido de la Ley general de la Seguridad Social (LGSS), aprobado por el Real Decreto Legislativo 8/2015, de 30 de octubre, añade que con fecha 2 de diciembre de 2024, este tribunal ha dictado sentencias que resuelven los recursos de amparo números 6078-2023, 1084-2024, 1845-2024 y 1880-2024, interpuestos por las recurrentes contra las sentencias dictadas en esta materia por la Sala de lo Social del Tribunal Supremo o contra autos del Tribunal Supremo que inadmitieron a trámite los recursos de casación para la unificación de doctrina presentados.</w:t>
      </w:r>
    </w:p>
    <w:p w14:paraId="67CB3512" w14:textId="77777777" w:rsidR="00A8138F" w:rsidRDefault="00A8138F" w:rsidP="00A8138F">
      <w:pPr>
        <w:pStyle w:val="TextoNormal"/>
      </w:pPr>
    </w:p>
    <w:p w14:paraId="6D7B46C9" w14:textId="77777777" w:rsidR="00A8138F" w:rsidRDefault="00A8138F" w:rsidP="00A8138F">
      <w:pPr>
        <w:pStyle w:val="TextoNormal"/>
      </w:pPr>
      <w:r>
        <w:t>Añade que, a la vista de dichas sentencias, la Dirección General del Servicio Jurídico de la Seguridad Social ha dictado la instrucción 10/2024, de 23 de diciembre,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 este tribunal, lo que sucede en el presente recurso.</w:t>
      </w:r>
    </w:p>
    <w:p w14:paraId="1355CF82" w14:textId="77777777" w:rsidR="00A8138F" w:rsidRDefault="00A8138F" w:rsidP="00A8138F">
      <w:pPr>
        <w:pStyle w:val="TextoNormal"/>
      </w:pPr>
    </w:p>
    <w:p w14:paraId="17288333" w14:textId="21DE6BD7" w:rsidR="00A8138F" w:rsidRDefault="00A8138F" w:rsidP="00A8138F">
      <w:pPr>
        <w:pStyle w:val="TextoNormal"/>
      </w:pPr>
      <w:r>
        <w:t xml:space="preserve">No obstante, matiza, se debe de tener en cuenta que el reconocimiento de las diez semanas adicionales al permiso disfrutado por la progenitora de la familia monoparental con hijo nacido a partir del 1 de enero de 2021 —periodo máximo de disfrute, en su caso, al excluirse </w:t>
      </w:r>
      <w:r>
        <w:lastRenderedPageBreak/>
        <w:t>las seis primeras semanas, que necesariamente deben disfrutarse de forma ininterrumpida e inmediatamente posterior al parto— habrá de quedar supeditado al cumplimiento del resto de los requisitos legalmente establecidos para el percibo de la prestación, en los que se incluye el haber hecho efectivo el descanso sin prestación de servicios por cuenta ajena ni percepción de las correspondientes retribuciones, así como que el menor no hubiera cumplido un año para disfrutar del descanso (artículos 177 LGSS, en relación con el artículo 48.4 LET).</w:t>
      </w:r>
    </w:p>
    <w:p w14:paraId="4C192CB3" w14:textId="77777777" w:rsidR="00A8138F" w:rsidRDefault="00A8138F" w:rsidP="00A8138F">
      <w:pPr>
        <w:pStyle w:val="TextoNormal"/>
      </w:pPr>
    </w:p>
    <w:p w14:paraId="04C9A50D" w14:textId="46CD8704" w:rsidR="00A8138F" w:rsidRDefault="00A8138F" w:rsidP="00A8138F">
      <w:pPr>
        <w:pStyle w:val="TextoNormal"/>
      </w:pPr>
      <w:r w:rsidRPr="00A8138F">
        <w:rPr>
          <w:rStyle w:val="NumeroAFNegritaCaracter"/>
        </w:rPr>
        <w:t>8</w:t>
      </w:r>
      <w:r>
        <w:t>. La recurrente presentó escrito el 4 de marzo de 2025 en el que ratificó la pretensión formulada en la demanda de amparo.</w:t>
      </w:r>
    </w:p>
    <w:p w14:paraId="78849288" w14:textId="77777777" w:rsidR="00A8138F" w:rsidRDefault="00A8138F" w:rsidP="00A8138F">
      <w:pPr>
        <w:pStyle w:val="TextoNormal"/>
      </w:pPr>
    </w:p>
    <w:p w14:paraId="35709E6E" w14:textId="77777777" w:rsidR="00A8138F" w:rsidRDefault="00A8138F" w:rsidP="00A8138F">
      <w:pPr>
        <w:pStyle w:val="TextoNormal"/>
      </w:pPr>
      <w:r w:rsidRPr="00A8138F">
        <w:rPr>
          <w:rStyle w:val="NumeroAFNegritaCaracter"/>
        </w:rPr>
        <w:t>9</w:t>
      </w:r>
      <w:r>
        <w:t>. El Fiscal ante el Tribunal Constitucional presentó escrito en fecha 5 de marzo de 2025, en el que vierte sus alegaciones e interesa la estimación del recurso de amparo. Tras resumir los antecedentes del caso y las quejas de la recurrente, afirma, en síntesis, que la STC 140/2024, de 6 de noviembre, ha establecido una doctrina constitucional específica para la cuestión debatida en el presente recurso de amparo, declarando inconstitucional el art. 48.4 LET y el art. 177 LGSS, precisamente por la vulneración del derecho reconocido en el art. 14 CE en relación con el art. 39 CE, alegado en el presente recurso. Aduce que es notorio que este Tribunal Constitucional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w:t>
      </w:r>
    </w:p>
    <w:p w14:paraId="48DFF789" w14:textId="77777777" w:rsidR="00A8138F" w:rsidRDefault="00A8138F" w:rsidP="00A8138F">
      <w:pPr>
        <w:pStyle w:val="TextoNormal"/>
      </w:pPr>
    </w:p>
    <w:p w14:paraId="64916858" w14:textId="77777777" w:rsidR="00A8138F" w:rsidRDefault="00A8138F" w:rsidP="00A8138F">
      <w:pPr>
        <w:pStyle w:val="TextoNormal"/>
      </w:pPr>
      <w:r>
        <w:t>Para el fiscal la plena analogía de las cuestiones planteadas en el presente recurso de amparo con las que fueron abordadas en la citada STC 140/2024 y con las resueltas en posteriores sentencias de aplicación de su doctrina en recursos de amparo (entre las más recientes, las SSTC 17/2025 a 24/2025, todas ellas de 27 de enero) excluye la necesidad de una exposición más detallada de esa doctrina.</w:t>
      </w:r>
    </w:p>
    <w:p w14:paraId="3DDA8AF8" w14:textId="77777777" w:rsidR="00A8138F" w:rsidRDefault="00A8138F" w:rsidP="00A8138F">
      <w:pPr>
        <w:pStyle w:val="TextoNormal"/>
      </w:pPr>
    </w:p>
    <w:p w14:paraId="44BD7A8D" w14:textId="77777777" w:rsidR="00A8138F" w:rsidRDefault="00A8138F" w:rsidP="00A8138F">
      <w:pPr>
        <w:pStyle w:val="TextoNormal"/>
      </w:pPr>
      <w:r>
        <w:t>Al denegar la ampliación de la prestación confirmando las resoluciones del INSS por aplicación de los mencionados preceptos que luego se han declarado inconstitucionales, la decisión resulta inconstitucional y por tanto nula. Advierte que, no se trata de la interpretación y aplicación de los mencionados preceptos se haya realizado de manera ilógica o arbitraria, pues cuando se aplicaron eran normas con rango de ley y no se había declarado su inconstitucionalidad, y el Tribunal Constitucional, en la sentencia mencionada, no mantiene que los preceptos sean constitucionales con una interpretación conforme a la Constitución, sino que los declara directamente contrarios al art. 14 CE por omisión, estableciendo una interpretación provisional para que su aplicación, ya que no los declara nulos, no siga produciendo una vulneración del art. 14 CE. Es la inconstitucionalidad de las normas la que produce la nulidad de la resolución.</w:t>
      </w:r>
    </w:p>
    <w:p w14:paraId="64F01FEE" w14:textId="77777777" w:rsidR="00A8138F" w:rsidRDefault="00A8138F" w:rsidP="00A8138F">
      <w:pPr>
        <w:pStyle w:val="TextoNormal"/>
      </w:pPr>
    </w:p>
    <w:p w14:paraId="6036A19B" w14:textId="77777777" w:rsidR="00A8138F" w:rsidRDefault="00A8138F" w:rsidP="00A8138F">
      <w:pPr>
        <w:pStyle w:val="TextoNormal"/>
      </w:pPr>
      <w:r>
        <w:t xml:space="preserve">Concluye el fiscal que procede estimar el presente recurso de amparo, otorgando amparo a la demandante y a su hijo menor, declarando vulnerado el derecho de la recurrente y de su hijo menor a no ser discriminado por razón de nacimiento. No obstante, tomando en consideración lo solicitado en la demanda, considera que no procede acceder a la petición de la demandante, que interesa la retroacción de las actuaciones hasta la primera resolución dictada por el INSS, teniendo en cuenta que dichas resoluciones ya han sido anuladas por la </w:t>
      </w:r>
      <w:r>
        <w:lastRenderedPageBreak/>
        <w:t>sentencia dictada por el Juzgado de lo Social núm. 2 de Móstoles. En dicha sentencia, se estimó la demanda de la recurrente y se declaró su derecho a la ampliación de la prestación en términos correspondientes a los que se recogen en el citado fundamento jurídico 7 de la STC 140/2024, argumentando, además, en lo relativo a la infracción del derecho fundamental del art. 14 CE y la existencia de discriminación o diferencia de trato vulneradora del derecho a la igualdad en el tenor literal del art. 48.4 LET en relación con el art. 177 LGSS, de modo coincidente en lo esencial con la de la doctrina constitucional emanada de la citada sentencia del Tribunal Constitucional.</w:t>
      </w:r>
    </w:p>
    <w:p w14:paraId="55E0972F" w14:textId="77777777" w:rsidR="00A8138F" w:rsidRDefault="00A8138F" w:rsidP="00A8138F">
      <w:pPr>
        <w:pStyle w:val="TextoNormal"/>
      </w:pPr>
    </w:p>
    <w:p w14:paraId="562C8CA1" w14:textId="4D608B2B" w:rsidR="00A8138F" w:rsidRDefault="00A8138F" w:rsidP="00A8138F">
      <w:pPr>
        <w:pStyle w:val="TextoNormal"/>
      </w:pPr>
      <w:r>
        <w:t>Por consiguiente, a juicio del Fiscal, procede acordar la anulación de la sentencia dictada por el Tribunal Superior de Justicia de Madrid, y que se retrotraigan las actuaciones al momento previo para el dictado de una sentencia respetuosa con el derecho fundamental vulnerado, solución que se estima conforme con el principio de subsidiariedad del recurso de amparo.</w:t>
      </w:r>
    </w:p>
    <w:p w14:paraId="0A7E04BE" w14:textId="77777777" w:rsidR="00A8138F" w:rsidRDefault="00A8138F" w:rsidP="00A8138F">
      <w:pPr>
        <w:pStyle w:val="TextoNormal"/>
      </w:pPr>
    </w:p>
    <w:p w14:paraId="56710C75" w14:textId="49F7C5C3" w:rsidR="00A8138F" w:rsidRDefault="00A8138F" w:rsidP="00A8138F">
      <w:pPr>
        <w:pStyle w:val="TextoNormal"/>
      </w:pPr>
      <w:r w:rsidRPr="00A8138F">
        <w:rPr>
          <w:rStyle w:val="NumeroAFNegritaCaracter"/>
        </w:rPr>
        <w:t>10</w:t>
      </w:r>
      <w:r>
        <w:t>. Por providencia de 20 de marzo de 2025 se señaló para deliberación y votación del presente recurso el día 24 del mismo mes y año.</w:t>
      </w:r>
    </w:p>
    <w:p w14:paraId="31C2EB25" w14:textId="77777777" w:rsidR="00A8138F" w:rsidRDefault="00A8138F" w:rsidP="00A8138F">
      <w:pPr>
        <w:pStyle w:val="TextoNormal"/>
      </w:pPr>
    </w:p>
    <w:p w14:paraId="4C6A6E34" w14:textId="77777777" w:rsidR="00A8138F" w:rsidRDefault="00A8138F" w:rsidP="00A8138F">
      <w:pPr>
        <w:pStyle w:val="TextoNormalNegritaCentrado"/>
        <w:keepNext/>
      </w:pPr>
      <w:r>
        <w:t>II. Fundamentos jurídicos</w:t>
      </w:r>
    </w:p>
    <w:p w14:paraId="785F6612" w14:textId="7EDBAC35" w:rsidR="00A8138F" w:rsidRDefault="00A8138F" w:rsidP="00A8138F">
      <w:pPr>
        <w:pStyle w:val="TextoNormalNegritaCentrado"/>
        <w:keepNext/>
      </w:pPr>
    </w:p>
    <w:p w14:paraId="4C258D32"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EF863CD" w14:textId="77777777" w:rsidR="00A8138F" w:rsidRDefault="00A8138F" w:rsidP="00A8138F">
      <w:pPr>
        <w:pStyle w:val="TextoNormal"/>
      </w:pPr>
    </w:p>
    <w:p w14:paraId="7BF6781B" w14:textId="4241E90A" w:rsidR="00A8138F" w:rsidRDefault="00A8138F" w:rsidP="00A8138F">
      <w:pPr>
        <w:pStyle w:val="TextoNormal"/>
      </w:pPr>
      <w:r>
        <w:t>El objeto del presente proceso es dilucidar si el auto dictado por la Sala de lo Social del Tribunal Supremo, que inadmitió el recurso de casación para unificación de doctrina interpuesto por la demandante frente a la sentencia dictada en recurso de suplicación por la Sección Sexta de la Sala de lo Social del Tribunal Superior de Justicia de Madrid, que revocó la sentencia del Juzgado de lo Social núm. 2 de Móstoles, que estimó íntegramente la demanda y declaro el derecho de la actora a disfrutar de dieciséis semanas adicionales a las inicialmente reconocidas de la prestación por nacimiento y cuidado de hijo (un total de treinta y dos semanas), han causado una discriminación por razón de nacimiento, al ser lo definitivamente resuelto contrario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15C08019" w14:textId="77777777" w:rsidR="00A8138F" w:rsidRDefault="00A8138F" w:rsidP="00A8138F">
      <w:pPr>
        <w:pStyle w:val="TextoNormal"/>
      </w:pPr>
    </w:p>
    <w:p w14:paraId="6B5E55B3"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3D359E40" w14:textId="77777777" w:rsidR="00A8138F" w:rsidRDefault="00A8138F" w:rsidP="00A8138F">
      <w:pPr>
        <w:pStyle w:val="TextoNormal"/>
      </w:pPr>
    </w:p>
    <w:p w14:paraId="49A07B58"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60EEC18C" w14:textId="77777777" w:rsidR="00A8138F" w:rsidRDefault="00A8138F" w:rsidP="00A8138F">
      <w:pPr>
        <w:pStyle w:val="TextoNormal"/>
      </w:pPr>
    </w:p>
    <w:p w14:paraId="1B59945F" w14:textId="77777777" w:rsidR="00A8138F" w:rsidRDefault="00A8138F" w:rsidP="00A8138F">
      <w:pPr>
        <w:pStyle w:val="TextoNormal"/>
      </w:pPr>
      <w:r>
        <w:t>Dicho lo anterior, la cuestión de fondo planteada en este recurso de amparo es coincidente con la resuelta por la STC 140/2024, de 6 de noviembre, por lo que debemos remitir</w:t>
      </w:r>
      <w:r>
        <w:lastRenderedPageBreak/>
        <w:t>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14:paraId="7E6D1BC8" w14:textId="77777777" w:rsidR="00A8138F" w:rsidRDefault="00A8138F" w:rsidP="00A8138F">
      <w:pPr>
        <w:pStyle w:val="TextoNormal"/>
      </w:pPr>
    </w:p>
    <w:p w14:paraId="024EFCCC"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99F3F61" w14:textId="77777777" w:rsidR="00A8138F" w:rsidRDefault="00A8138F" w:rsidP="00A8138F">
      <w:pPr>
        <w:pStyle w:val="TextoNormal"/>
      </w:pPr>
    </w:p>
    <w:p w14:paraId="33F478AE"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0DB1C37F" w14:textId="77777777" w:rsidR="00A8138F" w:rsidRDefault="00A8138F" w:rsidP="00A8138F">
      <w:pPr>
        <w:pStyle w:val="TextoNormal"/>
      </w:pPr>
    </w:p>
    <w:p w14:paraId="15BD11D4" w14:textId="31822F92" w:rsidR="00A8138F" w:rsidRDefault="00A8138F" w:rsidP="00A8138F">
      <w:pPr>
        <w:pStyle w:val="TextoNormal"/>
      </w:pPr>
      <w:r>
        <w:t>En consecuencia, debe estimarse la demanda y otorgar el amparo solicitado, con nulidad de las sentencias dictadas en primera instancia —al conceder a la demandante dieciséis semanas adicionales en lugar de las diez que le corresponden, al no haber descontado las seis primeras semanas que necesariamente deben disfrutarse de forma ininterrumpida e inmediatamente posterior al parto— y en suplicación, así como el auto de inadmisión del recurso de casación para unificación de doctrina. Como concretamos en nuestra STC 140/2024, de 6 de noviembre, FJ 7, en tanto el legislador no lleve a cabo la consiguiente reforma normativa, en las familias monoparentales el permiso a que hace referencia el art. 48.4 LET, y en relación con el art. 177 LGSS, ha de ser interpretado para evitar la discriminación de los menores recién nacidos y teniendo en cuenta el interés superior de los mismos reconocido constitucionalmente, en el sentido de adicionarse al permiso del primer párrafo para la madre biológica (dieciséis semanas), el previsto en el segundo para el progenitor distinto, de diez semanas, al excluirse las seis primeras que necesariamente deben disfrutarse de forma ininterrumpida e inmediatamente posterior al parto.</w:t>
      </w:r>
    </w:p>
    <w:p w14:paraId="2ABF6902" w14:textId="77777777" w:rsidR="00A8138F" w:rsidRDefault="00A8138F" w:rsidP="00A8138F">
      <w:pPr>
        <w:pStyle w:val="TextoNormal"/>
      </w:pPr>
    </w:p>
    <w:p w14:paraId="3E357614" w14:textId="77777777" w:rsidR="00A8138F" w:rsidRDefault="00A8138F" w:rsidP="00A8138F">
      <w:pPr>
        <w:pStyle w:val="TextoNormalCentrado"/>
        <w:keepNext/>
      </w:pPr>
      <w:r>
        <w:t>FALLO</w:t>
      </w:r>
    </w:p>
    <w:p w14:paraId="174B0EA8" w14:textId="357E0292" w:rsidR="00A8138F" w:rsidRDefault="00A8138F" w:rsidP="00A8138F">
      <w:pPr>
        <w:pStyle w:val="TextoNormalCentrado"/>
        <w:keepNext/>
      </w:pPr>
    </w:p>
    <w:p w14:paraId="643344D6" w14:textId="77777777" w:rsidR="00A8138F" w:rsidRDefault="00A8138F" w:rsidP="00A8138F">
      <w:pPr>
        <w:pStyle w:val="TextoNormal"/>
      </w:pPr>
      <w:r>
        <w:t>En atención a todo lo expuesto, el Tribunal Constitucional, por la autoridad que le confiere la Constitución de la Nación española, ha decidido:</w:t>
      </w:r>
    </w:p>
    <w:p w14:paraId="6BDB4E79" w14:textId="77777777" w:rsidR="00A8138F" w:rsidRDefault="00A8138F" w:rsidP="00A8138F">
      <w:pPr>
        <w:pStyle w:val="TextoNormal"/>
      </w:pPr>
    </w:p>
    <w:p w14:paraId="66AAF5C2" w14:textId="77777777" w:rsidR="00A8138F" w:rsidRDefault="00A8138F" w:rsidP="00A8138F">
      <w:pPr>
        <w:pStyle w:val="TextoNormal"/>
      </w:pPr>
      <w:r>
        <w:t>1º Estimar la demanda de amparo presentada por doña Susana Ferrero Rodríguez por vulneración del derecho fundamental de igualdad ante la ley sin discriminación por razón de nacimiento (art. 14 CE) de hijo menor en familia monoparental.</w:t>
      </w:r>
    </w:p>
    <w:p w14:paraId="52C73375" w14:textId="77777777" w:rsidR="00A8138F" w:rsidRDefault="00A8138F" w:rsidP="00A8138F">
      <w:pPr>
        <w:pStyle w:val="TextoNormal"/>
      </w:pPr>
    </w:p>
    <w:p w14:paraId="75D0FBB7" w14:textId="77777777" w:rsidR="00A8138F" w:rsidRDefault="00A8138F" w:rsidP="00A8138F">
      <w:pPr>
        <w:pStyle w:val="TextoNormal"/>
      </w:pPr>
      <w:r>
        <w:t>2º Restablecer a la demandante de amparo en su derecho y, a tal fin, declarar la nulidad de las siguientes resoluciones: (i) la sentencia núm. 306/2022, de 18 de octubre, del Juzgado de lo Social núm. 2 de Móstoles, en los autos núm. 314-2022; (ii) la sentencia núm. 359/2023, de 16 de mayo, de la Sección Sexta de la Sala de lo Social del Tribunal Superior de Justicia de Madrid, dictada en el recurso de suplicación núm. 1026-2022; y (iii) del auto de la Sala de lo Social del Tribunal Supremo de fecha 11 de septiembre de 2024, dictado en el recurso de casación para unificación de doctrina núm. 3618-2023.</w:t>
      </w:r>
    </w:p>
    <w:p w14:paraId="09A6CA4A" w14:textId="77777777" w:rsidR="00A8138F" w:rsidRDefault="00A8138F" w:rsidP="00A8138F">
      <w:pPr>
        <w:pStyle w:val="TextoNormal"/>
      </w:pPr>
    </w:p>
    <w:p w14:paraId="7AACB74A" w14:textId="66F720EC" w:rsidR="00A8138F" w:rsidRDefault="00A8138F" w:rsidP="00A8138F">
      <w:pPr>
        <w:pStyle w:val="TextoNormal"/>
      </w:pPr>
      <w:r>
        <w:t>3º Retrotraer las actuaciones para que el Juzgado de lo Social núm. 2 de Móstoles dicte sentencia con el alcance fijado en el último párrafo del fundamento jurídico 2 de esta sentencia.</w:t>
      </w:r>
    </w:p>
    <w:p w14:paraId="4F5929FC" w14:textId="77777777" w:rsidR="00A8138F" w:rsidRDefault="00A8138F" w:rsidP="00A8138F">
      <w:pPr>
        <w:pStyle w:val="TextoNormal"/>
      </w:pPr>
    </w:p>
    <w:p w14:paraId="1203DECD" w14:textId="77777777" w:rsidR="00A8138F" w:rsidRDefault="00A8138F" w:rsidP="00A8138F">
      <w:pPr>
        <w:pStyle w:val="TextoNormal"/>
      </w:pPr>
      <w:r>
        <w:t>Publíquese esta sentencia en el “Boletín Oficial del Estado”.</w:t>
      </w:r>
    </w:p>
    <w:p w14:paraId="0DBCE978" w14:textId="77777777" w:rsidR="00A8138F" w:rsidRDefault="00A8138F" w:rsidP="00A8138F">
      <w:pPr>
        <w:pStyle w:val="TextoNormal"/>
      </w:pPr>
      <w:r>
        <w:t>Dada en Madrid, a veinticuatro de marzo de dos mil veinticinco.</w:t>
      </w:r>
    </w:p>
    <w:p w14:paraId="1DEE2C8A" w14:textId="552F5D9C" w:rsidR="00A8138F" w:rsidRDefault="00A8138F">
      <w:pPr>
        <w:spacing w:after="160" w:line="278" w:lineRule="auto"/>
        <w:rPr>
          <w:rFonts w:ascii="Times New Roman" w:eastAsia="Times New Roman" w:hAnsi="Times New Roman" w:cs="Times New Roman"/>
          <w:sz w:val="24"/>
          <w:szCs w:val="24"/>
          <w:lang w:eastAsia="es-ES"/>
        </w:rPr>
      </w:pPr>
      <w:r>
        <w:br w:type="page"/>
      </w:r>
    </w:p>
    <w:p w14:paraId="78CFEFA5" w14:textId="77777777" w:rsidR="00A8138F" w:rsidRDefault="00A8138F" w:rsidP="00A8138F">
      <w:pPr>
        <w:pStyle w:val="TtuloResolucin"/>
      </w:pPr>
      <w:bookmarkStart w:id="84" w:name="SENTENCIA_2025_82"/>
      <w:r>
        <w:lastRenderedPageBreak/>
        <w:t>SENTENCIA 82/2025, de 26 de marzo de 2025</w:t>
      </w:r>
    </w:p>
    <w:bookmarkEnd w:id="84"/>
    <w:p w14:paraId="2CFC6918" w14:textId="77777777" w:rsidR="00A8138F" w:rsidRDefault="00A8138F" w:rsidP="00A8138F">
      <w:pPr>
        <w:pStyle w:val="TtuloResolucin"/>
      </w:pPr>
      <w:r>
        <w:t>Pleno</w:t>
      </w:r>
    </w:p>
    <w:p w14:paraId="1A453F42" w14:textId="77777777" w:rsidR="00A8138F" w:rsidRDefault="00A8138F" w:rsidP="00A8138F">
      <w:pPr>
        <w:pStyle w:val="TtuloBOE"/>
      </w:pPr>
      <w:r>
        <w:t>(BOE núm. 109, de 6 de mayo de 2025)</w:t>
      </w:r>
    </w:p>
    <w:p w14:paraId="6F69F6FB" w14:textId="77777777" w:rsidR="00A8138F" w:rsidRDefault="00A8138F" w:rsidP="00A8138F">
      <w:pPr>
        <w:pStyle w:val="TextoNormalCentrado"/>
      </w:pPr>
      <w:r>
        <w:t>ECLI:ES:TC:2025:82</w:t>
      </w:r>
    </w:p>
    <w:p w14:paraId="0EE63713" w14:textId="30DB7D7D" w:rsidR="00A8138F" w:rsidRDefault="00A8138F" w:rsidP="00A8138F">
      <w:pPr>
        <w:pStyle w:val="TextoNormalCentrado"/>
      </w:pPr>
    </w:p>
    <w:p w14:paraId="6A8D8618" w14:textId="77777777" w:rsidR="00A8138F" w:rsidRDefault="00A8138F" w:rsidP="00A8138F">
      <w:pPr>
        <w:pStyle w:val="SntesisDescriptiva"/>
      </w:pPr>
      <w:r>
        <w:t>Conflicto positivo de competencia 7212-2023. Planteado por el Gobierno de la Generalitat de Cataluña en relación con diversos preceptos del Real Decreto 659/2023, de 18 de julio, por el que se desarrolla la ordenación del sistema de formación profesional.</w:t>
      </w:r>
    </w:p>
    <w:p w14:paraId="0E7D700D" w14:textId="26C4E4E2" w:rsidR="00A8138F" w:rsidRDefault="00A8138F" w:rsidP="00A8138F">
      <w:pPr>
        <w:pStyle w:val="SntesisDescriptiva"/>
      </w:pPr>
    </w:p>
    <w:p w14:paraId="489E1AC3" w14:textId="77777777" w:rsidR="00A8138F" w:rsidRDefault="00A8138F" w:rsidP="00A8138F">
      <w:pPr>
        <w:pStyle w:val="SntesisAnaltica"/>
      </w:pPr>
      <w:r>
        <w:t>Competencias en materia de educación: inadmisión y pérdida parcial de objeto del conflicto; nulidad parcial de los preceptos reglamentarios estatales relativos al carácter e identificación de otras modalidades de formación profesional; asignación del alumnado para la formación en empresas; funciones, perfiles, equipos docentes y régimen de funcionamiento de los centros del sistema de formación profesional y aspectos básicos del régimen de funcionamiento de los centros privados no sostenidos con fondos públicos.</w:t>
      </w:r>
    </w:p>
    <w:p w14:paraId="1ACFE6AC" w14:textId="7875572C" w:rsidR="00A8138F" w:rsidRDefault="00A8138F" w:rsidP="00A8138F">
      <w:pPr>
        <w:pStyle w:val="SntesisAnaltica"/>
      </w:pPr>
    </w:p>
    <w:p w14:paraId="208E76CC" w14:textId="4DD4BB91" w:rsidR="00A8138F" w:rsidRDefault="00A8138F" w:rsidP="00A8138F">
      <w:pPr>
        <w:pStyle w:val="Extracto"/>
      </w:pPr>
      <w:r>
        <w:t>1.</w:t>
      </w:r>
      <w:r>
        <w:tab/>
        <w:t>De acuerdo con la doctrina específica sobre la posibilidad de que el Estado dicte normas básicas de rango reglamentario en el ámbito educativo, los criterios a considerar pueden sintetizarse del modo siguiente: (i) que dicha regulación resulte de una habilitación legal que remita al reglamento para completar los aspectos básicos; y (ii) que su rango reglamentario esté justificado por tratarse de materias cuya naturaleza exija un tratamiento para el que las normas legales resultaran inadecuadas, por sus mismas características (SSTC 77/1985 o 14/2018) [FJ 4].</w:t>
      </w:r>
    </w:p>
    <w:p w14:paraId="474855ED" w14:textId="77777777" w:rsidR="00A8138F" w:rsidRDefault="00A8138F" w:rsidP="00A8138F">
      <w:pPr>
        <w:pStyle w:val="Extracto"/>
      </w:pPr>
    </w:p>
    <w:p w14:paraId="7560F4BC" w14:textId="5ACA3F52" w:rsidR="00A8138F" w:rsidRDefault="00A8138F" w:rsidP="00A8138F">
      <w:pPr>
        <w:pStyle w:val="Extracto"/>
      </w:pPr>
      <w:r>
        <w:t>2.</w:t>
      </w:r>
      <w:r>
        <w:tab/>
        <w:t>Corresponde al Estado la competencia para la fijación de las que en las sucesivas leyes educativas han sido denominadas “enseñanzas mínimas”, posteriormente “enseñanzas comunes” o “aspectos básicos del currículo”. Con estas diferentes denominaciones, el concepto comprende la fijación de objetivos por bloques temáticos en relación con cada disciplina, materia o asignatura, así como los horarios mínimos que se consideren necesarios para su enseñanza efectiva y completa (SSTC 14/2018 o 34/2023) [FJ 5].</w:t>
      </w:r>
    </w:p>
    <w:p w14:paraId="4A56AE2F" w14:textId="77777777" w:rsidR="00A8138F" w:rsidRDefault="00A8138F" w:rsidP="00A8138F">
      <w:pPr>
        <w:pStyle w:val="Extracto"/>
      </w:pPr>
    </w:p>
    <w:p w14:paraId="1419B0EF" w14:textId="38A56F81" w:rsidR="00A8138F" w:rsidRDefault="00A8138F" w:rsidP="00A8138F">
      <w:pPr>
        <w:pStyle w:val="Extracto"/>
      </w:pPr>
      <w:r>
        <w:t>3.</w:t>
      </w:r>
      <w:r>
        <w:tab/>
        <w:t>Es competencia estatal el establecimiento de criterios prioritarios de selección para admisión de alumnos en los centros sostenidos con fondos públicos, en caso de no existir plazas suficientes (SSTC 77/1985 o 271/2015) [FJ 5].</w:t>
      </w:r>
    </w:p>
    <w:p w14:paraId="2B723D54" w14:textId="77777777" w:rsidR="00A8138F" w:rsidRDefault="00A8138F" w:rsidP="00A8138F">
      <w:pPr>
        <w:pStyle w:val="Extracto"/>
      </w:pPr>
    </w:p>
    <w:p w14:paraId="311D64F2" w14:textId="45FB3FA5" w:rsidR="00A8138F" w:rsidRDefault="00A8138F" w:rsidP="00A8138F">
      <w:pPr>
        <w:pStyle w:val="Extracto"/>
      </w:pPr>
      <w:r>
        <w:t>4.</w:t>
      </w:r>
      <w:r>
        <w:tab/>
        <w:t>La función de ordenación propia de las bases estatales impide, caso de insuficiencia de plazas, una selección arbitraria de alumnos, correspondiendo la ponderación concreta de los criterios establecidos por el legislador básico a las administraciones educativas en el ejercicio de sus competencias en la materia. Y la regulación última de los criterios incumbe a la administración educativa que podrá concretar cómo pondera cada uno e, incluso, podrá adicionar otros en el margen de decisión (STC 184/2012 o 214/2012) [FJ 5].</w:t>
      </w:r>
    </w:p>
    <w:p w14:paraId="7B11B7D8" w14:textId="77777777" w:rsidR="00A8138F" w:rsidRDefault="00A8138F" w:rsidP="00A8138F">
      <w:pPr>
        <w:pStyle w:val="Extracto"/>
      </w:pPr>
    </w:p>
    <w:p w14:paraId="73E7353F" w14:textId="03AFB93A" w:rsidR="00A8138F" w:rsidRDefault="00A8138F" w:rsidP="00A8138F">
      <w:pPr>
        <w:pStyle w:val="Extracto"/>
      </w:pPr>
      <w:r>
        <w:t>5.</w:t>
      </w:r>
      <w:r>
        <w:tab/>
        <w:t>Habida cuenta del principio que sienta la legislación educativa para regular el funcionamiento de los órganos de coordinación docente y de orientación, remitiendo tal cuestión a las decisiones de la administración educativa, materialmente los preceptos sobre esta materia no pueden ser considerados básicos [FJ 5].</w:t>
      </w:r>
    </w:p>
    <w:p w14:paraId="48A52680" w14:textId="77777777" w:rsidR="00A8138F" w:rsidRDefault="00A8138F" w:rsidP="00A8138F">
      <w:pPr>
        <w:pStyle w:val="Extracto"/>
      </w:pPr>
    </w:p>
    <w:p w14:paraId="0ABC15B7" w14:textId="063BC3A3" w:rsidR="00A8138F" w:rsidRDefault="00A8138F" w:rsidP="00A8138F">
      <w:pPr>
        <w:pStyle w:val="Extracto"/>
      </w:pPr>
      <w:r>
        <w:t>6.</w:t>
      </w:r>
      <w:r>
        <w:tab/>
        <w:t>Es competencia del Gobierno estatal la aprobación de las normas reglamentarias relativas a las condiciones y los requisitos básicos del régimen dual y las del desarrollo de la fase práctica dual de la formación profesional. Sin embargo, ni entre tales condiciones y requisitos básicos y tampoco en cuanto al desarrollo de la formación profesional dual, ambos susceptibles de desarrollo reglamentario, podemos considerar que se encuentran las relativas a los aspectos procedimentales relativos a cómo deben documentarse las solicitudes mediante las cuales se ha de proceder a la asignación del alumnado para las estancias en empresas [FJ 5].</w:t>
      </w:r>
    </w:p>
    <w:p w14:paraId="7CCB2183" w14:textId="77777777" w:rsidR="00A8138F" w:rsidRDefault="00A8138F" w:rsidP="00A8138F">
      <w:pPr>
        <w:pStyle w:val="Extracto"/>
      </w:pPr>
    </w:p>
    <w:p w14:paraId="5CD1A56E" w14:textId="72F72E6A" w:rsidR="00A8138F" w:rsidRDefault="00A8138F" w:rsidP="00A8138F">
      <w:pPr>
        <w:pStyle w:val="Extracto"/>
      </w:pPr>
      <w:r>
        <w:t>7.</w:t>
      </w:r>
      <w:r>
        <w:tab/>
        <w:t>Puede entenderse que el reglamento impugnado cuenta con habilitación legal si la propia Ley Orgánica 3/2022, de ordenación e integración de la Formación Profesional, atribuye al Gobierno la aprobación de las normas reglamentarias del sistema de formación profesional y las relativas a las condiciones y los requisitos básicos del régimen dual y del desarrollo de las modalidades semipresencial y virtual de la formación profesional, la calidad de los programas y la fase práctica dual de la formación profesional. Así como la concreción de cualesquiera otros elementos básicos del sistema de formación profesional, sin perjuicio de su desarrollo correspondiente por las comunidades autónomas competentes. Se trata, por tanto, de previsiones básicas en sentido formal [FJ 5].</w:t>
      </w:r>
    </w:p>
    <w:p w14:paraId="4CD4828F" w14:textId="77777777" w:rsidR="00A8138F" w:rsidRDefault="00A8138F" w:rsidP="00A8138F">
      <w:pPr>
        <w:pStyle w:val="Extracto"/>
      </w:pPr>
    </w:p>
    <w:p w14:paraId="43980190" w14:textId="3980BCD7" w:rsidR="00A8138F" w:rsidRDefault="00A8138F" w:rsidP="00A8138F">
      <w:pPr>
        <w:pStyle w:val="Extracto"/>
      </w:pPr>
      <w:r>
        <w:t>8.</w:t>
      </w:r>
      <w:r>
        <w:tab/>
        <w:t>Exceden de lo básico los preceptos reglamentarios estatales cuando su grado de detalle no se justifica en la necesidad de asegurar las finalidades perseguidas por la legislación educativa (STC 100/2019) [FJ 5].</w:t>
      </w:r>
    </w:p>
    <w:p w14:paraId="207FD861" w14:textId="77777777" w:rsidR="00A8138F" w:rsidRDefault="00A8138F" w:rsidP="00A8138F">
      <w:pPr>
        <w:pStyle w:val="Extracto"/>
      </w:pPr>
    </w:p>
    <w:p w14:paraId="12962B10" w14:textId="393E318E" w:rsidR="00A8138F" w:rsidRDefault="00A8138F" w:rsidP="00A8138F">
      <w:pPr>
        <w:pStyle w:val="Extracto"/>
      </w:pPr>
      <w:r>
        <w:t>9.</w:t>
      </w:r>
      <w:r>
        <w:tab/>
        <w:t>Los centros privados no sostenidos con fondos públicos, pero que forman parte del sistema educativo español y prestan servicios relacionados con el ejercicio del derecho a la educación, están sujetos a una serie de obligaciones cuyo cumplimiento ha de ser controlado por los poderes públicos [FJ 5].</w:t>
      </w:r>
    </w:p>
    <w:p w14:paraId="6FB2FC90" w14:textId="77777777" w:rsidR="00A8138F" w:rsidRDefault="00A8138F" w:rsidP="00A8138F">
      <w:pPr>
        <w:pStyle w:val="Extracto"/>
      </w:pPr>
    </w:p>
    <w:p w14:paraId="74253ABB" w14:textId="53DF4B74" w:rsidR="00A8138F" w:rsidRDefault="00A8138F" w:rsidP="00A8138F">
      <w:pPr>
        <w:pStyle w:val="Extracto"/>
      </w:pPr>
      <w:r>
        <w:t>10.</w:t>
      </w:r>
      <w:r>
        <w:tab/>
        <w:t>Los centros de referencia nacional en el ámbito de la formación profesional son centros públicos que realizan acciones de innovación y experimentación en materia de formación profesional, especializados en los diferentes sectores productivos. Estos centros forman parte de una red única de ámbito estatal, y el Estado puede realizar a través de ellos actividades innovadoras experimentales en ámbitos de su competencia educativa, en todo el territorio nacional, previos los oportunos instrumentos de colaboración con las comunidades autónomas para desarrollar tales actividades en los centros de titularidad de estas (STC 111/2012) [FJ 6].</w:t>
      </w:r>
    </w:p>
    <w:p w14:paraId="1F3E6E38" w14:textId="77777777" w:rsidR="00A8138F" w:rsidRDefault="00A8138F" w:rsidP="00A8138F">
      <w:pPr>
        <w:pStyle w:val="Extracto"/>
      </w:pPr>
    </w:p>
    <w:p w14:paraId="4568983A" w14:textId="44409188" w:rsidR="00A8138F" w:rsidRDefault="00A8138F" w:rsidP="00A8138F">
      <w:pPr>
        <w:pStyle w:val="Extracto"/>
      </w:pPr>
      <w:r>
        <w:t>11.</w:t>
      </w:r>
      <w:r>
        <w:tab/>
        <w:t>El Estado puede fijar criterios de coordinación como facultad que guarda estrecha conexión con la normativa básica de educación (SSTC 26/2016 y 14/2018). No obstante, el ejercicio de las competencias propias del Estado no puede suponer una sustitución en la definición autonómica de sus propias políticas en el ámbito de su competencia [FJ 6].</w:t>
      </w:r>
    </w:p>
    <w:p w14:paraId="55BDA9A7" w14:textId="77777777" w:rsidR="00A8138F" w:rsidRDefault="00A8138F" w:rsidP="00A8138F">
      <w:pPr>
        <w:pStyle w:val="Extracto"/>
      </w:pPr>
    </w:p>
    <w:p w14:paraId="07300E20" w14:textId="599A909B" w:rsidR="00A8138F" w:rsidRDefault="00A8138F" w:rsidP="00A8138F">
      <w:pPr>
        <w:pStyle w:val="Extracto"/>
      </w:pPr>
      <w:r>
        <w:t>12.</w:t>
      </w:r>
      <w:r>
        <w:tab/>
        <w:t>Se aplica la doctrina sobre la “lesión por menoscabo” (STC 216/2016) [FJ 7].</w:t>
      </w:r>
    </w:p>
    <w:p w14:paraId="382CFED9" w14:textId="77777777" w:rsidR="00A8138F" w:rsidRDefault="00A8138F" w:rsidP="00A8138F">
      <w:pPr>
        <w:pStyle w:val="Extracto"/>
      </w:pPr>
    </w:p>
    <w:p w14:paraId="0C1304CA" w14:textId="5AB5AE84" w:rsidR="00A8138F" w:rsidRDefault="00A8138F" w:rsidP="00A8138F">
      <w:pPr>
        <w:pStyle w:val="Extracto"/>
      </w:pPr>
      <w:r>
        <w:lastRenderedPageBreak/>
        <w:t>13.</w:t>
      </w:r>
      <w:r>
        <w:tab/>
        <w:t>La educación es una materia compartida entre el Estado y las comunidades autónomas; y las competencias del Estado en materia educativa derivan, sobre todo, de lo dispuesto en las cláusulas 1 y 30 del art. 149.1 CE, arraigando dichas competencias en el derecho fundamental a la educación (art. 27 CE), cuyo ejercicio igualitario debe garantizar el Estado (STC 107/2014) [FJ 8].</w:t>
      </w:r>
    </w:p>
    <w:p w14:paraId="7C549DE7" w14:textId="77777777" w:rsidR="00A8138F" w:rsidRDefault="00A8138F" w:rsidP="00A8138F">
      <w:pPr>
        <w:pStyle w:val="Extracto"/>
      </w:pPr>
    </w:p>
    <w:p w14:paraId="45F94448" w14:textId="29EB378B" w:rsidR="00A8138F" w:rsidRDefault="00A8138F" w:rsidP="00A8138F">
      <w:pPr>
        <w:pStyle w:val="Extracto"/>
      </w:pPr>
      <w:r>
        <w:t>14.</w:t>
      </w:r>
      <w:r>
        <w:tab/>
        <w:t xml:space="preserve">Establecido que el Estado ostenta competencias en relación con la formación profesional que se integra en el sistema educativo, ningún reproche puede dirigirse a una disposición reglamentaria por el hecho de que afirme el carácter básico de la norma </w:t>
      </w:r>
      <w:r w:rsidRPr="00A8138F">
        <w:rPr>
          <w:i/>
        </w:rPr>
        <w:t>ex</w:t>
      </w:r>
      <w:r>
        <w:t xml:space="preserve"> art. 149.1.30 CE [FJ 8].</w:t>
      </w:r>
    </w:p>
    <w:p w14:paraId="0BECAE09" w14:textId="77777777" w:rsidR="00A8138F" w:rsidRDefault="00A8138F" w:rsidP="00A8138F">
      <w:pPr>
        <w:pStyle w:val="Extracto"/>
      </w:pPr>
    </w:p>
    <w:p w14:paraId="71F17890" w14:textId="77777777" w:rsidR="00A8138F" w:rsidRDefault="00A8138F" w:rsidP="00A8138F">
      <w:pPr>
        <w:pStyle w:val="Extracto"/>
      </w:pPr>
    </w:p>
    <w:p w14:paraId="527C12FC"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AB28E53" w14:textId="32286373" w:rsidR="00A8138F" w:rsidRDefault="00A8138F" w:rsidP="00A8138F">
      <w:pPr>
        <w:pStyle w:val="TextoNormal"/>
      </w:pPr>
    </w:p>
    <w:p w14:paraId="5EC31135" w14:textId="77777777" w:rsidR="00A8138F" w:rsidRDefault="00A8138F" w:rsidP="00A8138F">
      <w:pPr>
        <w:pStyle w:val="TextoNormalCentrado"/>
        <w:keepNext/>
      </w:pPr>
      <w:r>
        <w:t>EN NOMBRE DEL REY</w:t>
      </w:r>
    </w:p>
    <w:p w14:paraId="46DB6FCC" w14:textId="6B5CB61B" w:rsidR="00A8138F" w:rsidRDefault="00A8138F" w:rsidP="00A8138F">
      <w:pPr>
        <w:pStyle w:val="TextoNormalCentrado"/>
        <w:keepNext/>
      </w:pPr>
    </w:p>
    <w:p w14:paraId="2546D66C" w14:textId="77777777" w:rsidR="00A8138F" w:rsidRDefault="00A8138F" w:rsidP="00A8138F">
      <w:pPr>
        <w:pStyle w:val="TextoNormalCentrado"/>
        <w:keepNext/>
      </w:pPr>
    </w:p>
    <w:p w14:paraId="293E68CE" w14:textId="77777777" w:rsidR="00A8138F" w:rsidRDefault="00A8138F" w:rsidP="00A8138F">
      <w:pPr>
        <w:pStyle w:val="TextoNormal"/>
      </w:pPr>
      <w:r>
        <w:t>la siguiente</w:t>
      </w:r>
    </w:p>
    <w:p w14:paraId="1957BFE5" w14:textId="566985CA" w:rsidR="00A8138F" w:rsidRDefault="00A8138F" w:rsidP="00A8138F">
      <w:pPr>
        <w:pStyle w:val="TextoNormal"/>
      </w:pPr>
    </w:p>
    <w:p w14:paraId="122376D2" w14:textId="77777777" w:rsidR="00A8138F" w:rsidRDefault="00A8138F" w:rsidP="00A8138F">
      <w:pPr>
        <w:pStyle w:val="TextoNormalCentrado"/>
        <w:keepNext/>
      </w:pPr>
      <w:r>
        <w:t>SENTENCIA</w:t>
      </w:r>
    </w:p>
    <w:p w14:paraId="56E192B4" w14:textId="26C5ED0B" w:rsidR="00A8138F" w:rsidRDefault="00A8138F" w:rsidP="00A8138F">
      <w:pPr>
        <w:pStyle w:val="TextoNormalCentrado"/>
        <w:keepNext/>
      </w:pPr>
    </w:p>
    <w:p w14:paraId="78AB54A1" w14:textId="77777777" w:rsidR="00A8138F" w:rsidRDefault="00A8138F" w:rsidP="00A8138F">
      <w:pPr>
        <w:pStyle w:val="TextoNormal"/>
      </w:pPr>
      <w:r>
        <w:t>En el conflicto positivo de competencia núm. 7212-2023, promovido por el Gobierno de la Generalitat de Cataluña, contra los artículos 9.3 y 9.5; 25.1 b); 47.1 b); 84.1 b); 96.1 b) y 96.2 c); 97.3 a), último inciso; 102.1; 103.2 a) y b); 105 b) y c); 108.1 d); 109.1 y 4; 111.2, segundo inciso; 112.1 d); 113.4; 117.2; 130; 154.6 y 7; 155.2; 157.3; 160.1, segundo inciso; 166.2, 3, 4 y 6; 203.2, 3 y 4; 205.1 a) y c) y 205.2; las disposiciones finales segunda y sexta; y los anexos IV y XI del Real Decreto 659/2023, de 18 de julio, por el que se desarrolla la ordenación del sistema de formación profesional. Ha comparecido y formulado alegaciones el abogado del Estado. Ha sido ponente la magistrada doña Concepción Espejel Jorquera.</w:t>
      </w:r>
    </w:p>
    <w:p w14:paraId="16671DC2" w14:textId="21A95840" w:rsidR="00A8138F" w:rsidRDefault="00A8138F" w:rsidP="00A8138F">
      <w:pPr>
        <w:pStyle w:val="TextoNormal"/>
      </w:pPr>
    </w:p>
    <w:p w14:paraId="6C65E8B1" w14:textId="77777777" w:rsidR="00A8138F" w:rsidRDefault="00A8138F" w:rsidP="00A8138F">
      <w:pPr>
        <w:pStyle w:val="TextoNormalNegritaCentrado"/>
        <w:keepNext/>
      </w:pPr>
      <w:r>
        <w:t>I. Antecedentes</w:t>
      </w:r>
    </w:p>
    <w:p w14:paraId="4EAE19A1" w14:textId="081A1A0C" w:rsidR="00A8138F" w:rsidRDefault="00A8138F" w:rsidP="00A8138F">
      <w:pPr>
        <w:pStyle w:val="TextoNormalNegritaCentrado"/>
        <w:keepNext/>
      </w:pPr>
    </w:p>
    <w:p w14:paraId="776F082A" w14:textId="77777777" w:rsidR="00A8138F" w:rsidRDefault="00A8138F" w:rsidP="00A8138F">
      <w:pPr>
        <w:pStyle w:val="TextoNormal"/>
      </w:pPr>
      <w:r w:rsidRPr="00A8138F">
        <w:rPr>
          <w:rStyle w:val="NumeroAFNegritaCaracter"/>
        </w:rPr>
        <w:t>1</w:t>
      </w:r>
      <w:r>
        <w:t>. Mediante escrito registrado en este tribunal el día 17 de noviembre de 2023, las abogadas de la Generalitat de Cataluña, en la representación que legalmente ostentan del Gobierno de esa comunidad autónoma, promueven conflicto positivo de competencia contra los arts. 9.3 y 9.5; 25.1 b); 47.1 b); 84.1 b); 96.1 b) y 96.2 c); 97.3 a), último inciso; 102.1; 103.2 a) y b); 105 b) y c); 108.1 d); 109.1 y 4; 111.2, segundo inciso; 112.1 d); 113.4; 117.2; 130; 154.6 y 7; 155.2; 157.3; 160.1, segundo inciso; 166.2, 3, 4 y 6; 203.2, 3 y 4; 205.1 a) y c) y 205.2; las disposiciones finales segunda y sexta; y los anexos IV y XI del Real Decreto 659/2023, de 18 de julio, por el que se desarrolla la ordenación del sistema de formación profesional (en adelante, Real Decreto 659/2023).</w:t>
      </w:r>
    </w:p>
    <w:p w14:paraId="054108A7" w14:textId="77777777" w:rsidR="00A8138F" w:rsidRDefault="00A8138F" w:rsidP="00A8138F">
      <w:pPr>
        <w:pStyle w:val="TextoNormal"/>
      </w:pPr>
    </w:p>
    <w:p w14:paraId="2C88350C" w14:textId="77777777" w:rsidR="00A8138F" w:rsidRDefault="00A8138F" w:rsidP="00A8138F">
      <w:pPr>
        <w:pStyle w:val="TextoNormal"/>
      </w:pPr>
      <w:r>
        <w:t>Los motivos del conflicto son, resumidamente expuestos, los siguientes:</w:t>
      </w:r>
    </w:p>
    <w:p w14:paraId="28EA5192" w14:textId="77777777" w:rsidR="00A8138F" w:rsidRDefault="00A8138F" w:rsidP="00A8138F">
      <w:pPr>
        <w:pStyle w:val="TextoNormal"/>
      </w:pPr>
    </w:p>
    <w:p w14:paraId="1D2BA926" w14:textId="77777777" w:rsidR="00A8138F" w:rsidRDefault="00A8138F" w:rsidP="00A8138F">
      <w:pPr>
        <w:pStyle w:val="TextoNormal"/>
      </w:pPr>
      <w:r>
        <w:t>El Real Decreto 659/2023 tiene por objeto el desarrollo del sistema único e integrado de formación profesional regulado por la Ley Orgánica 3/2022, de 31 de marzo, de ordenación e integración de la formación profesional (en adelante, Ley Orgánica 3/2022). Los preceptos objeto del conflicto, que se encuadrarían en materia de formación profesional inicial o reglada, vulnerarían, a juicio de la demanda, las competencias de la comunidad autónoma en materia de educación [arts. 131 y 172 del Estatuto de Autonomía de Cataluña (EAC)]. Se aduce que dicha regulación excede de la configuración constitucional de las bases en materia de educación, tanto desde un punto de vista formal por no tener habilitación legal suficiente y no ser materia propia de norma reglamentaria, como desde un punto de vista material como principio o mínimo común normativo, ya que no dejan margen de desarrollo normativo autonómico por contener previsiones excesivamente detalladas o porque inciden en aspectos de la potestad reglamentaria ejecutiva o meramente organizativa. Ello determina, en consecuencia, una extralimitación competencial del Real Decreto 659/2023, en detrimento de la competencia de la Generalitat de Cataluña en materia de educación y universidades.</w:t>
      </w:r>
    </w:p>
    <w:p w14:paraId="69BC30B1" w14:textId="77777777" w:rsidR="00A8138F" w:rsidRDefault="00A8138F" w:rsidP="00A8138F">
      <w:pPr>
        <w:pStyle w:val="TextoNormal"/>
      </w:pPr>
    </w:p>
    <w:p w14:paraId="5A54E0EE" w14:textId="77777777" w:rsidR="00A8138F" w:rsidRDefault="00A8138F" w:rsidP="00A8138F">
      <w:pPr>
        <w:pStyle w:val="TextoNormal"/>
      </w:pPr>
      <w:r>
        <w:t>La demanda señala que el contenido y la finalidad principal de todos los preceptos cuestionados en este conflicto se refieren a la formación profesional inicial o reglada, modalidad que se incluye en el sistema educativo y, por ello, con carácter prevalente en el ámbito de las competencias relativas a la educación (STC 111/2012, de 24 de mayo, FFJJ 3 y 4). Alude, a continuación, que la educación es una materia compartida entre el Estado y las comunidades autónomas, cuya distribución competencial se encuentra regulada en los arts. 149.1.30 CE y 131 EAC. El art. 149.1.30 CE atribuye al Estado dos competencias diferenciadas, pero estrechamente relacionadas entre sí. De un lado, el primer inciso del citado precepto asigna al Estado la competencia para la “[r]egulación de las condiciones de obtención, expedición y homologación de títulos académicos y profesionales”, que comprende la función normativa plena, de modo que corresponde a las comunidades autónomas su ejecución (STC 77/1985, de 27 de junio). De otro, el segundo inciso del art. 149.1.30 CE atribuye al Estado “[la competencia para establecer las] normas básicas para el desarrollo del artículo 27 de la Constitución”, de manera que corresponde al Estado fijar su legislación básica y se reserva a las comunidades autónomas el desarrollo normativo y la ejecución. Por su parte, el Estatuto de Autonomía de Cataluña contiene el mandato dirigido a la Generalitat de Cataluña de establecer un modelo educativo público que garantice el derecho de todas las personas a una educación de calidad a la que se pueda acceder en condiciones de igualdad y recoge el derecho de toda persona a la formación profesional y a la formación permanente en los términos que establezcan las leyes. De acuerdo con ello, el art. 131 EAC prevé que es competencia de la Generalitat de Cataluña la regulación y la administración de la enseñanza no universitaria, distinguiendo entre los ámbitos en los que la competencia es exclusiva y en los que la competencia es compartida. La demanda menciona doctrina constitucional respecto a los títulos citados, en especial la STC 111/2012, relativa a la formación profesional reglada y de la que deduce que las bases deben ser interpretadas restrictivamente para permitir a la Generalitat de Cataluña la capacidad de actuar y de adoptar todas las decisiones que le corresponden como administración educativa. Recuerda también la doctrina sobre el carácter formal de las bases y acerca de la limitada capacidad de las normas reglamentarias para colaborar en la fijación de esas bases, de manera que dichas bases re</w:t>
      </w:r>
      <w:r>
        <w:lastRenderedPageBreak/>
        <w:t>glamentarias únicamente serían posibles con habilitación legal que haya acotado previamente el alcance general de lo que es básico.</w:t>
      </w:r>
    </w:p>
    <w:p w14:paraId="69AF7D77" w14:textId="77777777" w:rsidR="00A8138F" w:rsidRDefault="00A8138F" w:rsidP="00A8138F">
      <w:pPr>
        <w:pStyle w:val="TextoNormal"/>
      </w:pPr>
    </w:p>
    <w:p w14:paraId="012517BC" w14:textId="77777777" w:rsidR="00A8138F" w:rsidRDefault="00A8138F" w:rsidP="00A8138F">
      <w:pPr>
        <w:pStyle w:val="TextoNormal"/>
      </w:pPr>
      <w:r>
        <w:t>En concreto, la demanda argumenta lo siguiente:</w:t>
      </w:r>
    </w:p>
    <w:p w14:paraId="7C991FB1" w14:textId="77777777" w:rsidR="00A8138F" w:rsidRDefault="00A8138F" w:rsidP="00A8138F">
      <w:pPr>
        <w:pStyle w:val="TextoNormal"/>
      </w:pPr>
    </w:p>
    <w:p w14:paraId="4A3DB903" w14:textId="77777777" w:rsidR="00A8138F" w:rsidRDefault="00A8138F" w:rsidP="00A8138F">
      <w:pPr>
        <w:pStyle w:val="TextoNormal"/>
      </w:pPr>
      <w:r>
        <w:t>a) La obligación de proporcionar una plataforma virtual vulnera la competencia de la comunidad autónoma [art. 131.3 h) EAC], en materia de organización de las enseñanzas en régimen no presencial dirigidas al alumnado de edad superior a la escolarización obligatoria, en este caso, de los centros privados de formación profesional sostenidos con fondos públicos. Esta obligación viene impuesta en el art. 25.1 b) del Real Decreto 659/2023 e incide en un aspecto organizativo de esta tipología de centros que limita el margen de actuación de la Generalitat de Cataluña para decidir libremente cuál es la manera más idónea para asegurar a estos centros los materiales y los recursos necesarios para que puedan prestar las modalidades virtual y semipresencial. Asimismo, se trata de una regulación que excede de la habilitación legal, ya que el art. 68.6 de la Ley Orgánica 3/2022 establece esta exigencia tan solo en relación con los centros públicos, de modo que ahora se amplía, de manera improcedente, vía reglamentaria, a los centros concertados.</w:t>
      </w:r>
    </w:p>
    <w:p w14:paraId="4D0D457A" w14:textId="77777777" w:rsidR="00A8138F" w:rsidRDefault="00A8138F" w:rsidP="00A8138F">
      <w:pPr>
        <w:pStyle w:val="TextoNormal"/>
      </w:pPr>
    </w:p>
    <w:p w14:paraId="4B32BC60" w14:textId="77777777" w:rsidR="00A8138F" w:rsidRDefault="00A8138F" w:rsidP="00A8138F">
      <w:pPr>
        <w:pStyle w:val="TextoNormal"/>
      </w:pPr>
      <w:r>
        <w:t>b) La regulación del porcentaje mínimo de horas escolares vulnera el art. 131.3 c) EAC. El Real Decreto 659/2023 contiene diversos preceptos que exceden, ostensiblemente, de la competencia del Estado para fijar las enseñanzas y el porcentaje mínimo de horarios escolares que forman parte de las bases. Es el caso de los arts. 47.1 b); 84.1 b); 96.1 b); 97.3 a), último inciso, y 102.1. Se trata de unos horarios mínimos que, por razón del tiempo asignado, no dejan ningún margen de actuación a la comunidad autónoma en materia de ordenación de las enseñanzas, vaciando de contenido práctico la competencia de desarrollo normativo de la Generalitat de Cataluña prevista en el art. 131.3 c) EAC en materia de establecimiento de los planes de estudios, incluida la organización del currículo de las enseñanzas. La demanda destaca que el art. 6.4 de la Ley Orgánica 2/2006, de 3 de mayo, de educación (LOE), al que se remite tanto el art. 13.2 de la Ley Orgánica 3/2022 como el art. 39.4 LOE, atribuye a las comunidades autónomas con lengua cooficial la determinación del 50 por 100 de los horarios escolares de las enseñanzas mínimas. Asimismo, el art. 73 de la Ley Orgánica 3/2022 no contiene ninguna distribución de porcentajes de horarios escolares.</w:t>
      </w:r>
    </w:p>
    <w:p w14:paraId="41015863" w14:textId="77777777" w:rsidR="00A8138F" w:rsidRDefault="00A8138F" w:rsidP="00A8138F">
      <w:pPr>
        <w:pStyle w:val="TextoNormal"/>
      </w:pPr>
    </w:p>
    <w:p w14:paraId="62B6F2D3" w14:textId="77777777" w:rsidR="00A8138F" w:rsidRDefault="00A8138F" w:rsidP="00A8138F">
      <w:pPr>
        <w:pStyle w:val="TextoNormal"/>
      </w:pPr>
      <w:r>
        <w:t xml:space="preserve">El art. 47.1 b) del Real Decreto 659/2023, que dispone que las ofertas relativas a otros programas formativos en el grado D del grado medio estén compuestas en al menos el 75 por 100 de su duración por uno o más módulos profesionales del </w:t>
      </w:r>
      <w:r w:rsidRPr="00A8138F">
        <w:rPr>
          <w:i/>
        </w:rPr>
        <w:t>Catálogo modular de formación profesional</w:t>
      </w:r>
      <w:r>
        <w:t xml:space="preserve">, es un precepto que no cumple los requisitos para ser considerado como una norma básica. En primer lugar, no está habilitado por la LOE, a la que no respeta, al resultar incompatible con la previsión de su art. 6.4. Asimismo, supone una regulación </w:t>
      </w:r>
      <w:r w:rsidRPr="00A8138F">
        <w:rPr>
          <w:i/>
        </w:rPr>
        <w:t>ex novo</w:t>
      </w:r>
      <w:r>
        <w:t xml:space="preserve"> que delimita la competencia de la Generalitat de Cataluña restringiendo su capacidad de configuración. Lo mismo sucede con el art. 84.1 b) del Real Decreto 659/2023, en la medida en que determina cómo se ha de distribuir la parte optativa a lo largo de los ciclos formativos, en un módulo de duración anual o dos de duración cuatrimestral, con lo que no cumple tampoco los criterios que ha de tener una norma básica y vulnera la competencia de la Generalitat de Cataluña en materia de ordenación del currículo del art.131.3 c) EAC. Se trata de una condición de carácter organizativo que no se desprende de la Ley Orgánica 3/2022 y que cuenta con un grado de detalle que prácticamente agota la capacidad de configuración de la Generalitat de Cataluña. En el mismo exceso competencial incurren los arts. </w:t>
      </w:r>
      <w:r>
        <w:lastRenderedPageBreak/>
        <w:t>96.1 b) y 96.2 c), 102.1 y el anexo IV del Real Decreto 659/2023, y también el art. 97.3 a), último inciso y el art. 103.2 a) y b), habida cuenta de que se trata un tipo de formación (complementos formativos) cuyo establecimiento optativo depende de que la administración educativa competente así lo considere conveniente para poder ampliar la flexibilidad en el diseño de las ofertas formativas, de manera que se puedan incorporar los elementos que permitan su ajuste a las necesidades de los sectores productivos y de servicios de su entorno.</w:t>
      </w:r>
    </w:p>
    <w:p w14:paraId="3872FEC2" w14:textId="77777777" w:rsidR="00A8138F" w:rsidRDefault="00A8138F" w:rsidP="00A8138F">
      <w:pPr>
        <w:pStyle w:val="TextoNormal"/>
      </w:pPr>
    </w:p>
    <w:p w14:paraId="64C31DC5" w14:textId="77777777" w:rsidR="00A8138F" w:rsidRDefault="00A8138F" w:rsidP="00A8138F">
      <w:pPr>
        <w:pStyle w:val="TextoNormal"/>
      </w:pPr>
      <w:r>
        <w:t>c) La regulación del desarrollo e impartición del currículo en la fase de formación en empresa u organismo equiparado vulnera el art. 131.3 c) EAC. Esta queja se formula respecto de los arts. 105 b) y c); 154.6 y 7 y 160.1; y por conexión, también de los arts. 9.3 y 9.5.</w:t>
      </w:r>
    </w:p>
    <w:p w14:paraId="1479FE50" w14:textId="77777777" w:rsidR="00A8138F" w:rsidRDefault="00A8138F" w:rsidP="00A8138F">
      <w:pPr>
        <w:pStyle w:val="TextoNormal"/>
      </w:pPr>
    </w:p>
    <w:p w14:paraId="6B168AD4" w14:textId="77777777" w:rsidR="00A8138F" w:rsidRDefault="00A8138F" w:rsidP="00A8138F">
      <w:pPr>
        <w:pStyle w:val="TextoNormal"/>
      </w:pPr>
      <w:r>
        <w:t>El art. 105 b) del Real Decreto 659/2023 limita la forma en la que se han de desarrollar los módulos profesionales del currículo básico de los grados medio y superior, ya que prevé que en ningún caso “podrá desarrollarse un módulo profesional del currículo básico, en su totalidad, en la empresa, ni asignarse a la estancia el equivalente a más del 65 por 100 de las horas de duración total de un módulo profesional”. Este precepto no tiene habilitación legal y materialmente incide en un aspecto de carácter organizativo de las enseñanzas que restringe el margen de apreciación y la decisión pedagógica de la Generalitat de Cataluña en la configuración del itinerario del ciclo formativo y, en consecuencia, excede de las bases reguladas en la Ley Orgánica 3/2022. Una tacha similar se imputa al art. 105 c), en la medida en que determina cómo se ha de distribuir la parte optativa a lo largo de los ciclos formativos en un módulo de duración anual o dos cuatrimestrales. Y lo mismo sucede con los arts. 9.3 y 154.6, en relación con la previsión de que en ningún caso se podrá desarrollar un módulo profesional del currículo básico totalmente en la empresa ni asignarse a la estancia el equivalente de más del 65 por 100 de la duración de un módulo. En cuanto a los arts. 154.7 y 9.5, así como al art. 160.1 se les reprocha que se refieren a la determinación del momento de realización de la fase de formación en la empresa, previsión que no se desprende de la Ley Orgánica 3/2022 y que materialmente, por su contenido, no es un componente estructural del sistema de formación profesional, sino que es una cuestión claramente organizativa que forma parte de la competencia autonómica sobre organización curricular.</w:t>
      </w:r>
    </w:p>
    <w:p w14:paraId="4A934A79" w14:textId="77777777" w:rsidR="00A8138F" w:rsidRDefault="00A8138F" w:rsidP="00A8138F">
      <w:pPr>
        <w:pStyle w:val="TextoNormal"/>
      </w:pPr>
    </w:p>
    <w:p w14:paraId="0DAFB58B" w14:textId="77777777" w:rsidR="00A8138F" w:rsidRDefault="00A8138F" w:rsidP="00A8138F">
      <w:pPr>
        <w:pStyle w:val="TextoNormal"/>
      </w:pPr>
      <w:r>
        <w:t>d) La previsión de un mecanismo de aprobación o autorización en relación con el desarrollo del currículo o con su complementación, en el caso de los cursos de especialización o con las modificaciones del plan de formación, vulnera las competencias de la comunidad autónoma en materia de ordenación curricular [art. 131.3 c) EAC] y de organización de los centros educativos [art. 131.3 h) EAC].</w:t>
      </w:r>
    </w:p>
    <w:p w14:paraId="756D2E31" w14:textId="77777777" w:rsidR="00A8138F" w:rsidRDefault="00A8138F" w:rsidP="00A8138F">
      <w:pPr>
        <w:pStyle w:val="TextoNormal"/>
      </w:pPr>
    </w:p>
    <w:p w14:paraId="1C18BFA2" w14:textId="77777777" w:rsidR="00A8138F" w:rsidRDefault="00A8138F" w:rsidP="00A8138F">
      <w:pPr>
        <w:pStyle w:val="TextoNormal"/>
      </w:pPr>
      <w:r>
        <w:t xml:space="preserve">Los arts. 105 c), 117.2 y 157.3 regulan un régimen de autorización o de aprobación por parte de las administraciones competentes. En concreto, el art. 105 c) impone que la organización del desarrollo del currículo de ciclos formativos de grado medio o superior se haga, necesariamente, sobre la base de módulos profesionales cuatrimestrales o anuales. Y, a continuación, somete este tipo de organización a la decisión o aprobación de la administración competente (en el segundo caso previa solicitud de los centros educativos), sin la cual no será posible su implementación. En el caso del art. 117.2 se exige la aprobación, también por parte de la administración competente, de la concreción que hagan los centros educativos del currículum de los cursos de especialización del grado E, a fin de que la puedan </w:t>
      </w:r>
      <w:r>
        <w:lastRenderedPageBreak/>
        <w:t>incorporar en su proyecto educativo; y, finalmente, el art. 157.3 exige que la administración competente autorice las modificaciones del plan de formación del que ha de disponer cada alumno, para garantizar la calidad y el contenido de la formación en estancias, en empresas u organismos equiparados.</w:t>
      </w:r>
    </w:p>
    <w:p w14:paraId="494BFA3D" w14:textId="77777777" w:rsidR="00A8138F" w:rsidRDefault="00A8138F" w:rsidP="00A8138F">
      <w:pPr>
        <w:pStyle w:val="TextoNormal"/>
      </w:pPr>
    </w:p>
    <w:p w14:paraId="6829D752" w14:textId="77777777" w:rsidR="00A8138F" w:rsidRDefault="00A8138F" w:rsidP="00A8138F">
      <w:pPr>
        <w:pStyle w:val="TextoNormal"/>
      </w:pPr>
      <w:r>
        <w:t>Esta exigencia de una aprobación o de una autorización por parte de las administraciones competentes como requisito para implementar los contenidos que prescribe no cuenta con habilitación legal y no cumple tampoco los requisitos materiales exigidos a las normas básicas, ya que incide en el ámbito organizativo, sin relación alguna con las finalidades establecidas en la ley. Se trata de cuestiones que han de ser decididas por la administración educativa competente.</w:t>
      </w:r>
    </w:p>
    <w:p w14:paraId="4718751D" w14:textId="77777777" w:rsidR="00A8138F" w:rsidRDefault="00A8138F" w:rsidP="00A8138F">
      <w:pPr>
        <w:pStyle w:val="TextoNormal"/>
      </w:pPr>
    </w:p>
    <w:p w14:paraId="4C9E5FD3" w14:textId="77777777" w:rsidR="00A8138F" w:rsidRDefault="00A8138F" w:rsidP="00A8138F">
      <w:pPr>
        <w:pStyle w:val="TextoNormal"/>
      </w:pPr>
      <w:r>
        <w:t>e) La regulación del procedimiento que han de seguir los centros para asignar las estancias en empresa y de los criterios que han de aplicar los centros para hacer estas asignaciones previstas en el art. 155.2 vulnera las competencias autonómicas en materia de acceso a la educación y las de establecimiento y regulación de los criterios de admisión y escolarización del alumnado en los centros docentes [art. 131.3 c) EAC]. La vulneración se produce por falta de habilitación legal, en la determinación de los aspectos concretos a considerar en la asignación de las estancias, y por tener un contenido claramente organizativo, lo que hace que tenga un detalle excesivo y que no cumpla los requisitos exigidos para ser consideradas normas básicas, limitando, además, la capacidad de la Generalitat de Cataluña para regular sus propios procedimientos.</w:t>
      </w:r>
    </w:p>
    <w:p w14:paraId="0C5042E5" w14:textId="77777777" w:rsidR="00A8138F" w:rsidRDefault="00A8138F" w:rsidP="00A8138F">
      <w:pPr>
        <w:pStyle w:val="TextoNormal"/>
      </w:pPr>
    </w:p>
    <w:p w14:paraId="586B9FC2" w14:textId="77777777" w:rsidR="00A8138F" w:rsidRDefault="00A8138F" w:rsidP="00A8138F">
      <w:pPr>
        <w:pStyle w:val="TextoNormal"/>
      </w:pPr>
      <w:r>
        <w:t>f) La imposición de la gratuidad de los cursos de formación específicos preparatorios para el acceso a la formación de grados medio y superior vulnera la competencia de la comunidad autónoma en materia de acceso a la educación y de establecimiento y regulación de los criterios de admisión y escolarización del alumnado [art. 131.3 e) EAC], pues no puede encontrar amparo en el primer inciso del art. 149.1.30 CE, ni se encuentra prevista en la legislación estatal que no prevé la gratuidad de los cursos formativos preparatorios en los centros concertados. De ello se infiere claramente que no existe habilitación legal para introducir la condición de la gratuidad, ni tampoco se puede considerar, materialmente, un complemento imprescindible para la regulación de la accesibilidad de los cursos formativos preparatorios. Esta tacha se formula a los arts. 108.1 d); 109.1 y 4; 112.1 d) y 113.4.</w:t>
      </w:r>
    </w:p>
    <w:p w14:paraId="332D7462" w14:textId="77777777" w:rsidR="00A8138F" w:rsidRDefault="00A8138F" w:rsidP="00A8138F">
      <w:pPr>
        <w:pStyle w:val="TextoNormal"/>
      </w:pPr>
    </w:p>
    <w:p w14:paraId="6D7A125F" w14:textId="77777777" w:rsidR="00A8138F" w:rsidRDefault="00A8138F" w:rsidP="00A8138F">
      <w:pPr>
        <w:pStyle w:val="TextoNormal"/>
      </w:pPr>
      <w:r>
        <w:t>g) La regulación de los criterios de desempate para el cálculo de las notas medias en el caso de cuota de reserva, fijada en el segundo inciso del art. 111.2, vulnera la competencia autonómica en materia de acceso a la educación y de establecimiento y regulación de los criterios de admisión y escolarización del alumnado [art. 131.3 e) EAC]. Lo hace con un grado excesivo de detalle, de modo que impide la intervención de la administración autonómica, cuando toda modificación del sistema de cálculo dirigido a la mejora del cálculo de la media, por su carácter esencialmente organizativo, habría de ser responsabilidad y potestad de la administración de la Generalitat de Cataluña.</w:t>
      </w:r>
    </w:p>
    <w:p w14:paraId="7E11EF16" w14:textId="77777777" w:rsidR="00A8138F" w:rsidRDefault="00A8138F" w:rsidP="00A8138F">
      <w:pPr>
        <w:pStyle w:val="TextoNormal"/>
      </w:pPr>
    </w:p>
    <w:p w14:paraId="3E60E3F4" w14:textId="77777777" w:rsidR="00A8138F" w:rsidRDefault="00A8138F" w:rsidP="00A8138F">
      <w:pPr>
        <w:pStyle w:val="TextoNormal"/>
      </w:pPr>
      <w:r>
        <w:t xml:space="preserve">h) La regulación de funciones, perfiles o equipos docentes en los centros de formación profesional vulnera la competencia de la comunidad autónoma para la ordenación del sector de la enseñanza y de la actividad docente y educativa [art. 131.3 b) EAC]. Los apartados segundo, tercero y cuarto del art. 166 precisan de manera detallada y sin habilitación legal para ello las funciones, perfiles o equipos tanto del coordinador o responsable de innovación </w:t>
      </w:r>
      <w:r>
        <w:lastRenderedPageBreak/>
        <w:t>de formación profesional (apartado segundo); como del coordinador o responsable de internacionalización de formación profesional (apartado tercero) o del tutor dual (apartado cuarto). Esta regulación también incide en las competencias de la Generalitat de Cataluña en materia de organización de los centros docentes y en relación con las funciones de los centros docentes.</w:t>
      </w:r>
    </w:p>
    <w:p w14:paraId="2F4D0ACF" w14:textId="77777777" w:rsidR="00A8138F" w:rsidRDefault="00A8138F" w:rsidP="00A8138F">
      <w:pPr>
        <w:pStyle w:val="TextoNormal"/>
      </w:pPr>
    </w:p>
    <w:p w14:paraId="698D3BA9" w14:textId="77777777" w:rsidR="00A8138F" w:rsidRDefault="00A8138F" w:rsidP="00A8138F">
      <w:pPr>
        <w:pStyle w:val="TextoNormal"/>
      </w:pPr>
      <w:r>
        <w:t>i) La regulación de un consejo social sin contar con la habilitación legal necesaria vulnera las competencias de la Generalitat de Cataluña del art. 131.3 h) e i) EAC. Los apartados segundo, tercero y cuarto del art. 203 del Real Decreto 659/2023 establecen la obligación de crear un consejo social como órgano de participación en los centros especializados y en los centros integrados de formación profesional sostenidos con fondos públicos que impartan, al menos, ofertas de grados D y E. También determina en el apartado tercero, los criterios que las administraciones han de tener en cuenta sobre la composición del órgano y la distribución de los representantes, con fijación de los límites mínimos y máximos de miembros para cada sector. Finalmente, el apartado cuarto enumera, sin carácter exhaustivo, las funciones del citado consejo social. Todos ellos incurren en un exceso en la configuración de las bases, ya que no existe una habilitación legal expresa, ni tampoco se puede inferir de sus principios que el Gobierno pueda establecer por reglamento un consejo social como aspecto básico del régimen de funcionamiento de los centros, así como regular su composición y fijar sus funciones con carácter obligatorio. Asimismo, sus funciones están reguladas con un excesivo detalle y materialmente inciden de manera intensa en la competencia de la Generalitat de Cataluña para la organización de los centros públicos y de los centros privados sostenidos con fondos públicos.</w:t>
      </w:r>
    </w:p>
    <w:p w14:paraId="4CE09249" w14:textId="77777777" w:rsidR="00A8138F" w:rsidRDefault="00A8138F" w:rsidP="00A8138F">
      <w:pPr>
        <w:pStyle w:val="TextoNormal"/>
      </w:pPr>
    </w:p>
    <w:p w14:paraId="131BCBB3" w14:textId="77777777" w:rsidR="00A8138F" w:rsidRDefault="00A8138F" w:rsidP="00A8138F">
      <w:pPr>
        <w:pStyle w:val="TextoNormal"/>
      </w:pPr>
      <w:r>
        <w:t>j) La regulación de la manera de ejercer la competencia de supervisión y autorización de los centros privados no sostenidos con fondos públicos vulnera el art. 131.3 g) EAC. El art. 205.1 a) y c) del Real Decreto 659/2023 regula de manera excesivamente detallada el régimen de comunicación de los centros privados con la administración educativa en relación con los aspectos de las acciones formativas que esta ha de autorizar, mediante la comprobación de las condiciones establecidas en el art. 199 del Real Decreto 659/2023. De esta manera, este precepto no se limita a prescribir que se supervise el cumplimiento de los requisitos, sino que incide en el plazo y en el contenido que ha de tener la comunicación de los centros y también en la documentación que se ha de aportar cuando finalice la acción formativa. Determina así la forma en la que la administración educativa ha de ejercer sus competencias de supervisión y autorización de las actividades formativas y dispone sobre aspectos organizativos y procedimentales sin habilitación legal y sin que sea complemento indispensable de las finalidades de la ley.</w:t>
      </w:r>
    </w:p>
    <w:p w14:paraId="50D7BA1F" w14:textId="77777777" w:rsidR="00A8138F" w:rsidRDefault="00A8138F" w:rsidP="00A8138F">
      <w:pPr>
        <w:pStyle w:val="TextoNormal"/>
      </w:pPr>
    </w:p>
    <w:p w14:paraId="244A9EC2" w14:textId="77777777" w:rsidR="00A8138F" w:rsidRDefault="00A8138F" w:rsidP="00A8138F">
      <w:pPr>
        <w:pStyle w:val="TextoNormal"/>
      </w:pPr>
      <w:r>
        <w:t>k) La modificación, en la disposición final segunda del Real Decreto 659/2023, del Real Decreto 229/2008, de 15 de febrero, por el que se regulan los centros de referencia nacional en el ámbito de la formación profesional (en adelante, Real Decreto 229/2008), vulnera la competencia de la Generalitat de Cataluña del art. 131.3 b) y g) EAC. La modificación supone la incorporación de un régimen de intervención previa y vinculante del Ministerio de Educación y Formación Profesional en relación con los centros de referencia nacional que sean de titularidad de las comunidades autónomas. Este régimen de intervención previa y vinculante del ministerio competente constituye un mecanismo de tutela o control y, en la medida que es un acto de supervisión de naturaleza claramente ejecutiva, como es el acuerdo previo o la autorización, vulnera las competencias autonómicas.</w:t>
      </w:r>
    </w:p>
    <w:p w14:paraId="24173E78" w14:textId="77777777" w:rsidR="00A8138F" w:rsidRDefault="00A8138F" w:rsidP="00A8138F">
      <w:pPr>
        <w:pStyle w:val="TextoNormal"/>
      </w:pPr>
    </w:p>
    <w:p w14:paraId="202B1679" w14:textId="77777777" w:rsidR="00A8138F" w:rsidRDefault="00A8138F" w:rsidP="00A8138F">
      <w:pPr>
        <w:pStyle w:val="TextoNormal"/>
      </w:pPr>
      <w:r>
        <w:t>l) La regulación en el art. 130 y en el anexo XI del Real Decreto 659/2023, del reconocimiento de títulos entre el sistema de formación profesional y el sistema universitario afecta a las competencias de coordinación universitaria de la Generalitat de Cataluña y exigía su participación en el proceso de elaboración de la norma al amparo del art. 174 EAC. El Real Decreto 659/2023, de acuerdo con su exposición de motivos, no fue sometido ni a informe del Consejo de Universidades ni a informe de la Conferencia General de Política Universitaria, pese a ser preceptivos. Al omitir esos informes ha impedido materialmente a la Generalitat de Cataluña el ejercicio de sus competencias en materia de coordinación universitaria.</w:t>
      </w:r>
    </w:p>
    <w:p w14:paraId="0865086F" w14:textId="77777777" w:rsidR="00A8138F" w:rsidRDefault="00A8138F" w:rsidP="00A8138F">
      <w:pPr>
        <w:pStyle w:val="TextoNormal"/>
      </w:pPr>
    </w:p>
    <w:p w14:paraId="30F53564" w14:textId="79748698" w:rsidR="00A8138F" w:rsidRDefault="00A8138F" w:rsidP="00A8138F">
      <w:pPr>
        <w:pStyle w:val="TextoNormal"/>
      </w:pPr>
      <w:r>
        <w:t>m) La disposición final sexta del Real Decreto 659/2023 es contraria a la Constitución y al Estatuto de Autonomía de Cataluña en la referencia a los arts. 149.1.1 y 149.1.30 CE como títulos habilitantes de la norma. En el caso del art. 149.1.1 CE por no ser el título aplicable en la materia educación y, en cuanto al art. 149.1.30 CE, por cuanto no proporciona cobertura a los preceptos incursos en inconstitucionalidad, por incompetencias identificadas en la demanda.</w:t>
      </w:r>
    </w:p>
    <w:p w14:paraId="21F51A4C" w14:textId="77777777" w:rsidR="00A8138F" w:rsidRDefault="00A8138F" w:rsidP="00A8138F">
      <w:pPr>
        <w:pStyle w:val="TextoNormal"/>
      </w:pPr>
    </w:p>
    <w:p w14:paraId="0BF76A7C" w14:textId="1A9286D5" w:rsidR="00A8138F" w:rsidRDefault="00A8138F" w:rsidP="00A8138F">
      <w:pPr>
        <w:pStyle w:val="TextoNormal"/>
      </w:pPr>
      <w:r w:rsidRPr="00A8138F">
        <w:rPr>
          <w:rStyle w:val="NumeroAFNegritaCaracter"/>
        </w:rPr>
        <w:t>2</w:t>
      </w:r>
      <w:r>
        <w:t>. Por providencia de 12 de diciembre de 2023, el Pleno del Tribunal Constitucional, a propuesta de la Sección Primera, acordó admitir a trámite el conflicto positivo de competencia promovido por el Gobierno de la Generalitat de Cataluña y, en su representación y defensa, por las abogadas de la Generalitat de Cataluña, frente al Gobierno de la Nación, en relación con los arts. 9.3 y 9.5; 25.1 b); 47.1 b); 84.1 b); 96.1 b) y 96.2 c); 97.3 a), último inciso; 102.1; 103.2 a) y b); 105.b) y c); 108.1 d); 109.1 y 4; 111.2, segundo inciso; 112.1 d); 113.4; 117.2; 130; 154.6 y 7; 155.2; 157.3; 160.1, segundo inciso; 166.2, 3, 4 y 6; 203.2, 3 y 4; 205.1 a) y c); las disposiciones finales segunda y sexta; y los anexos IV y XI del Real Decreto 659/2023; dar traslado de la demanda y documentos presentados al Gobierno, por conducto de su presidente, al objeto de que en el plazo de veinte días y, por medio de la representación procesal que determina el art. 82.2 de la Ley Orgánica del Tribunal Constitucional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“Diari Oficial de la Generalitat de Catalunya”.</w:t>
      </w:r>
    </w:p>
    <w:p w14:paraId="21CCB152" w14:textId="77777777" w:rsidR="00A8138F" w:rsidRDefault="00A8138F" w:rsidP="00A8138F">
      <w:pPr>
        <w:pStyle w:val="TextoNormal"/>
      </w:pPr>
    </w:p>
    <w:p w14:paraId="459CB3F9" w14:textId="77777777" w:rsidR="00A8138F" w:rsidRDefault="00A8138F" w:rsidP="00A8138F">
      <w:pPr>
        <w:pStyle w:val="TextoNormal"/>
      </w:pPr>
      <w:r w:rsidRPr="00A8138F">
        <w:rPr>
          <w:rStyle w:val="NumeroAFNegritaCaracter"/>
        </w:rPr>
        <w:t>3</w:t>
      </w:r>
      <w:r>
        <w:t>. Mediante escrito registrado el 26 de enero de 2024, el abogado del Estado presenta sus alegaciones solicitando que se dicte sentencia en la que se desestime el conflicto.</w:t>
      </w:r>
    </w:p>
    <w:p w14:paraId="50F4225A" w14:textId="77777777" w:rsidR="00A8138F" w:rsidRDefault="00A8138F" w:rsidP="00A8138F">
      <w:pPr>
        <w:pStyle w:val="TextoNormal"/>
      </w:pPr>
    </w:p>
    <w:p w14:paraId="7490725C" w14:textId="77777777" w:rsidR="00A8138F" w:rsidRDefault="00A8138F" w:rsidP="00A8138F">
      <w:pPr>
        <w:pStyle w:val="TextoNormal"/>
      </w:pPr>
      <w:r>
        <w:t>Señala, en primer lugar, las divergencias existentes entre el requerimiento previo y el escrito de planteamiento del conflicto lo que le lleva a solicitar la inadmisibilidad del conflicto por falta de requerimiento previo respecto a los arts. 9.3 y 9.5; 96.2 c); 103.2 a) y b); 109.1 y 4; 112.1 d), y al anexo XI del Real Decreto 659/2023 pues, conforme a la doctrina constitucional, no es posible el planteamiento de un conflicto positivo sin que previamente se haya planteado requerimiento de incompetencia, con lo que el conflicto es inadmisible en relación con los artículos no comprendidos en el requerimiento previo.</w:t>
      </w:r>
    </w:p>
    <w:p w14:paraId="2380475D" w14:textId="77777777" w:rsidR="00A8138F" w:rsidRDefault="00A8138F" w:rsidP="00A8138F">
      <w:pPr>
        <w:pStyle w:val="TextoNormal"/>
      </w:pPr>
    </w:p>
    <w:p w14:paraId="79A662C1" w14:textId="77777777" w:rsidR="00A8138F" w:rsidRDefault="00A8138F" w:rsidP="00A8138F">
      <w:pPr>
        <w:pStyle w:val="TextoNormal"/>
      </w:pPr>
      <w:r>
        <w:t xml:space="preserve">Alude, a continuación, al marco normativo de la formación profesional y, en concreto, al Real Decreto 659/2023. Indica que la regulación contenida en el Real Decreto 659/2023 </w:t>
      </w:r>
      <w:r>
        <w:lastRenderedPageBreak/>
        <w:t>implica a las competencias educativas de la Generalitat de Cataluña exclusivamente en lo referido a los grados D y E del sistema de formación profesional, que asimismo forman parte de las enseñanzas del sistema educativo español no universitario. La Ley Orgánica 3/2022 establece, en su art. 13.2, que el currículo de las ofertas de grados D y E se regirá por lo dispuesto en la LOE. Esta misma dependencia se confirma, en los diversos aspectos regulados, en los arts. 23.3; 39.1; 44.2; 46.1; 47.1; 52.2; 68.5; 79.1; 85.1; 110.2, y disposición adicional octava, entre otros. Esta regulación permite, según el abogado del Estado, mayor capacidad regulatoria y de adaptación en la ejecución de las políticas en materia de formación profesional a las necesidades propias de cada comunidad autónoma, manteniendo la garantía de las condiciones de obtención, expedición y homologación de títulos académicos y profesionales, así como las normas básicas para el desarrollo del art. 27 CE.</w:t>
      </w:r>
    </w:p>
    <w:p w14:paraId="29BA8A36" w14:textId="77777777" w:rsidR="00A8138F" w:rsidRDefault="00A8138F" w:rsidP="00A8138F">
      <w:pPr>
        <w:pStyle w:val="TextoNormal"/>
      </w:pPr>
    </w:p>
    <w:p w14:paraId="79A138AE" w14:textId="77777777" w:rsidR="00A8138F" w:rsidRDefault="00A8138F" w:rsidP="00A8138F">
      <w:pPr>
        <w:pStyle w:val="TextoNormal"/>
      </w:pPr>
      <w:r>
        <w:t>Recuerda también que la doctrina constitucional ha reconocido siempre un amplio margen para fijar unas u otras bases, que impliquen una mayor o menor participación de las administraciones educativas, pero respetando su competencia de desarrollo normativo, lo que es un reflejo de la capacidad legítima del Estado de establecer las bases, determinando al hacerlo, su existencia que, por mayor o menor que fuere, siempre ha de dejar un espacio al desarrollo autonómico. Menciona la doctrina constitucional sobre la delimitación de competencias en materia de educación, así como acerca de la posibilidad de fijar bases en normas de rango reglamentario (con cita de la STC 14/2018, de 20 de febrero), lo que exige una valoración en cada caso.</w:t>
      </w:r>
    </w:p>
    <w:p w14:paraId="1016B566" w14:textId="77777777" w:rsidR="00A8138F" w:rsidRDefault="00A8138F" w:rsidP="00A8138F">
      <w:pPr>
        <w:pStyle w:val="TextoNormal"/>
      </w:pPr>
    </w:p>
    <w:p w14:paraId="40147463" w14:textId="77777777" w:rsidR="00A8138F" w:rsidRDefault="00A8138F" w:rsidP="00A8138F">
      <w:pPr>
        <w:pStyle w:val="TextoNormal"/>
      </w:pPr>
      <w:r>
        <w:t>En cuanto a la competencia estatal para configurar el sistema educativo a través de la normativa básica en el Real Decreto 659/2023, el abogado del Estado indica que la norma ha de enmarcarse en el desarrollo de la Ley Orgánica 3/2022, siendo su motivación principal la de establecer la ordenación general del sistema de formación profesional, desarrollando las diferentes modalidades de formación, grados, certificaciones, acreditaciones y titulaciones, así como otros aspectos de relevancia en relación con los docentes y formadores, los centros de formación profesional y diversos elementos dirigidos a garantizar la calidad del propio sistema. En el esquema existente en nuestro sistema educativo eso implica que el Gobierno fija las enseñanzas mínimas que constituyen los aspectos básicos del currículo y las administraciones educativas competentes establecen el currículo de los distintos niveles, etapas, ciclos, grados y modalidades del sistema educativo, respetando esas enseñanzas mínimas. Por otra parte, ese esquema ha sido reiteradamente empleado en la doctrina constitucional que ha reconocido la capacidad del legislador estatal para modular la intensidad de las bases educativas en educación y, consecuentemente, su capacidad para legislar con un mayor o menor grado de participación de las administraciones autonómicas en su desarrollo.</w:t>
      </w:r>
    </w:p>
    <w:p w14:paraId="02E4FA2C" w14:textId="77777777" w:rsidR="00A8138F" w:rsidRDefault="00A8138F" w:rsidP="00A8138F">
      <w:pPr>
        <w:pStyle w:val="TextoNormal"/>
      </w:pPr>
    </w:p>
    <w:p w14:paraId="32B58FC6" w14:textId="77777777" w:rsidR="00A8138F" w:rsidRDefault="00A8138F" w:rsidP="00A8138F">
      <w:pPr>
        <w:pStyle w:val="TextoNormal"/>
      </w:pPr>
      <w:r>
        <w:t>A partir de lo anterior, el abogado del Estado examina cada uno de los preceptos impugnados.</w:t>
      </w:r>
    </w:p>
    <w:p w14:paraId="51D79924" w14:textId="77777777" w:rsidR="00A8138F" w:rsidRDefault="00A8138F" w:rsidP="00A8138F">
      <w:pPr>
        <w:pStyle w:val="TextoNormal"/>
      </w:pPr>
    </w:p>
    <w:p w14:paraId="56F3621A" w14:textId="77777777" w:rsidR="00A8138F" w:rsidRDefault="00A8138F" w:rsidP="00A8138F">
      <w:pPr>
        <w:pStyle w:val="TextoNormal"/>
      </w:pPr>
      <w:r>
        <w:t>El art. 25.1 b), que exige la puesta a disposición de los centros concertados de una plataforma virtual de formación profesional, establece condiciones y requisitos básicos en una modalidad formativa de la oferta de formación profesional que se fundamenta en el marco previsto por las leyes educativas donde se modula el alcance material de las bases y se habilita el desarrollo reglamentario, como sucede en los arts. 42.8 LOE y 68.3 y 6 de la Ley Orgánica 3/2022.</w:t>
      </w:r>
    </w:p>
    <w:p w14:paraId="00018B4C" w14:textId="77777777" w:rsidR="00A8138F" w:rsidRDefault="00A8138F" w:rsidP="00A8138F">
      <w:pPr>
        <w:pStyle w:val="TextoNormal"/>
      </w:pPr>
    </w:p>
    <w:p w14:paraId="3CCAAE53" w14:textId="77777777" w:rsidR="00A8138F" w:rsidRDefault="00A8138F" w:rsidP="00A8138F">
      <w:pPr>
        <w:pStyle w:val="TextoNormal"/>
      </w:pPr>
      <w:r>
        <w:lastRenderedPageBreak/>
        <w:t xml:space="preserve">Con respecto a los arts. 47.1 b); 84.1 b); 96.1 b); 97.3 a), último inciso, y 102.1 del Real Decreto 659/2023, sobre los que se afirma que establecen unas previsiones que exceden de la fijación del porcentaje mínimo de los horarios escolares que forma parte de las bases estatales, el abogado del Estado estima, en cuanto al art. 47.1 b), que posibilita que la población más vulnerable pueda obtener una formación de educación secundaria postobligatoria de carácter profesional o equivalente, con lo que el establecimiento del referente mínimo del 75 por 100 en módulos profesionales del </w:t>
      </w:r>
      <w:r w:rsidRPr="00A8138F">
        <w:rPr>
          <w:i/>
        </w:rPr>
        <w:t>Catálogo modular de formación profesional</w:t>
      </w:r>
      <w:r>
        <w:t xml:space="preserve"> no invade competencias autonómicas en cuanto al diseño, sino que garantiza que la persona que los cursa pueda tener una acreditación del sistema. Respecto a los arts. 84.1 b), 96.1 b) y 102.1 dedicados a la regulación de la parte de optatividad en dobles titulaciones y en los ciclos formativos de grados medio y superior, defiende que cuentan con habilitación legal para su desarrollo normativo básico por el Gobierno tanto en lo relativo a la regulación de las dobles titulaciones (arts. 39.3 y 113.1 i) de la Ley Orgánica 3/2022) como en cuanto a la regulación de la optatividad en los ciclos formativos (arts. 40 y 42 de la Ley Orgánica 3/2022), sin que pueda inferirse que se agotan las competencias de desarrollo normativo de las administraciones educativas. Se regula la ordenación básica de ciclos formativos, dejando la competencia para la definición de las materias optativas, su ubicación y organización a las administraciones autonómicas, en términos similares a cualquier otra enseñanza o etapa del sistema educativo. Finalmente, el art. 97.3 a), último inciso, se vincula a la posibilidad de incluir complementos formativos dentro de los límites que pueda suponer el correspondiente currículo y la duración mínima de las enseñanzas.</w:t>
      </w:r>
    </w:p>
    <w:p w14:paraId="621C189A" w14:textId="77777777" w:rsidR="00A8138F" w:rsidRDefault="00A8138F" w:rsidP="00A8138F">
      <w:pPr>
        <w:pStyle w:val="TextoNormal"/>
      </w:pPr>
    </w:p>
    <w:p w14:paraId="09876303" w14:textId="77777777" w:rsidR="00A8138F" w:rsidRDefault="00A8138F" w:rsidP="00A8138F">
      <w:pPr>
        <w:pStyle w:val="TextoNormal"/>
      </w:pPr>
      <w:r>
        <w:t>Sobre los arts. 105 b) y c); 117.2; 154.6 y 7; 155.2; 157.3 y 160.1 del Real Decreto 659/2023, a los que se les imputa la tacha de incurrir en un exceso de detalle que sería incompatible con su carácter básico, el abogado del Estado alega, en cuanto a los arts. 105 b) y 154.6 y 7, que existe habilitación legal en los arts. 66.5 y 113.1.1 de la Ley Orgánica 3/2022. Por su parte, el art. 105 c) se limita a concretar unos elementos básicos del currículo que pueden perfectamente ser desarrollados por las administraciones educativas y que son respetuosos con las previsiones de la ley. El art. 154.6 establece características de la formación profesional dual que se enmarcan en la habilitación que otorga la ley para la impartición del régimen de carácter dual de la formación profesional, sin que se aprecie exceso en el contenido de la regulación básica. En cuanto al art. 117.2, relativo a la concreción del currículo de cursos de especialización, la posibilidad que tienen las administraciones educativas hace que no se agoten las bases en la materia. Los arts. 154.6 y 7, y 160.1 tienen habilitación legal en el art. 113.1.1 de la Ley Orgánica 3/2022 y conforme a esa habilitación se han recogido, como bases, aquellos elementos definidores del régimen común mínimo para todo el sistema educativo. El art. 155.2 se limita a establecer criterios generales, previamente acordados en los órganos de cooperación territorial, respecto a la asignación de empresas, en punto a la formación del alumnado.</w:t>
      </w:r>
    </w:p>
    <w:p w14:paraId="301C07E6" w14:textId="77777777" w:rsidR="00A8138F" w:rsidRDefault="00A8138F" w:rsidP="00A8138F">
      <w:pPr>
        <w:pStyle w:val="TextoNormal"/>
      </w:pPr>
    </w:p>
    <w:p w14:paraId="457C590B" w14:textId="77777777" w:rsidR="00A8138F" w:rsidRDefault="00A8138F" w:rsidP="00A8138F">
      <w:pPr>
        <w:pStyle w:val="TextoNormal"/>
      </w:pPr>
      <w:r>
        <w:t>Las exigencias de autorizaciones administrativas de los arts. 157.3, 105 c) y 117.2 son una consecuencia directa y lógica de las bases estatales en la programación general de la enseñanza y están enmarcadas en lo previsto en el art. 58.4 de la Ley Orgánica 3/2022. Los arts. 108.1 d) y 113.4, que imponen la gratuidad del curso de formación específico preparatorio para acceder a los ciclos formativos de grados medio y superior respectivamente, forman parte de la competencia legislativa plena del art. 149.1.30 CE, primer inciso, del mismo modo que los arts. 44.1 y 2 LOE y 46 de la Ley Orgánica 3/2022, que enmarcan la regulación del acceso a ciclos de formación profesional. El art. 111.2, segundo inciso, recoge los crite</w:t>
      </w:r>
      <w:r>
        <w:lastRenderedPageBreak/>
        <w:t>rios de admisión a los ciclos formativos de grado medio y de grado superior. Tales criterios de admisión de las normas educativas estatales garantizan los derechos del alumnado, requieren posteriormente concreción por las administraciones educativas y no suponen ningún exceso competencial.</w:t>
      </w:r>
    </w:p>
    <w:p w14:paraId="5BCF8E53" w14:textId="77777777" w:rsidR="00A8138F" w:rsidRDefault="00A8138F" w:rsidP="00A8138F">
      <w:pPr>
        <w:pStyle w:val="TextoNormal"/>
      </w:pPr>
    </w:p>
    <w:p w14:paraId="1C0721F0" w14:textId="77777777" w:rsidR="00A8138F" w:rsidRDefault="00A8138F" w:rsidP="00A8138F">
      <w:pPr>
        <w:pStyle w:val="TextoNormal"/>
      </w:pPr>
      <w:r>
        <w:t>En cuanto a los arts. 166.2, 3, 4 y 6; 203.2, 3 y 4 y 205.1 a) y c), el abogado del Estado señala lo siguiente: El art. 166 incorpora, en los centros especializados o integrados de formación profesional, las funciones de innovación e internacionalización, que ya figuran en su propia regulación [Real Decreto 1558/2005, de 23 de diciembre, por el que se regulan los requisitos básicos de los centros integrados de formación profesional (en adelante, Real Decreto 1558/2005)]. El art. 203 recoge también lo establecido en la normativa en vigor respecto de los centros integrados de formación profesional. El art. 205 no incurriría en exceso competencial, en tanto que forma parte de las competencias de las administraciones educativas comprobar el cumplimiento de las condiciones de impartición de los centros o efectuar el seguimiento del proceso de evaluación y la evaluación de la calidad de las acciones formativas en los términos que las administraciones establezcan.</w:t>
      </w:r>
    </w:p>
    <w:p w14:paraId="18791CC5" w14:textId="77777777" w:rsidR="00A8138F" w:rsidRDefault="00A8138F" w:rsidP="00A8138F">
      <w:pPr>
        <w:pStyle w:val="TextoNormal"/>
      </w:pPr>
    </w:p>
    <w:p w14:paraId="650522DC" w14:textId="5A065D7B" w:rsidR="00A8138F" w:rsidRDefault="00A8138F" w:rsidP="00A8138F">
      <w:pPr>
        <w:pStyle w:val="TextoNormal"/>
      </w:pPr>
      <w:r>
        <w:t>Respecto al art. 130 en conexión con el anexo XI señala que un presunto defecto formal de tramitación no parece ser objeto de conflicto positivo de competencias ante el Tribunal Constitucional y en cuanto a la disposición final segunda, en la modificación que efectúa de los arts. 7.6 y 8.2 del Real Decreto 229/2008, defiende que tal modificación afecta a la catalogación de centros como “centros de referencia nacional”, cuya propuesta siempre corresponde a la administración titular del centro, quedando su catalogación como centro de referencia nacional como competencia estatal, en atención a su estructura y funciones concretas.</w:t>
      </w:r>
    </w:p>
    <w:p w14:paraId="5FA22A2B" w14:textId="77777777" w:rsidR="00A8138F" w:rsidRDefault="00A8138F" w:rsidP="00A8138F">
      <w:pPr>
        <w:pStyle w:val="TextoNormal"/>
      </w:pPr>
    </w:p>
    <w:p w14:paraId="75AB819C" w14:textId="4F98425F" w:rsidR="00A8138F" w:rsidRDefault="00A8138F" w:rsidP="00A8138F">
      <w:pPr>
        <w:pStyle w:val="TextoNormal"/>
      </w:pPr>
      <w:r w:rsidRPr="00A8138F">
        <w:rPr>
          <w:rStyle w:val="NumeroAFNegritaCaracter"/>
        </w:rPr>
        <w:t>4</w:t>
      </w:r>
      <w:r>
        <w:t>. Por providencia de 25 de marzo de 2025 se acordó señalar para deliberación y votación de la presente sentencia el día 26 del mismo mes y año.</w:t>
      </w:r>
    </w:p>
    <w:p w14:paraId="1CAF3310" w14:textId="77777777" w:rsidR="00A8138F" w:rsidRDefault="00A8138F" w:rsidP="00A8138F">
      <w:pPr>
        <w:pStyle w:val="TextoNormal"/>
      </w:pPr>
    </w:p>
    <w:p w14:paraId="6A9A5F4B" w14:textId="77777777" w:rsidR="00A8138F" w:rsidRDefault="00A8138F" w:rsidP="00A8138F">
      <w:pPr>
        <w:pStyle w:val="TextoNormalNegritaCentrado"/>
        <w:keepNext/>
      </w:pPr>
      <w:r>
        <w:t>II. Fundamentos jurídicos</w:t>
      </w:r>
    </w:p>
    <w:p w14:paraId="1982BCEB" w14:textId="47964323" w:rsidR="00A8138F" w:rsidRDefault="00A8138F" w:rsidP="00A8138F">
      <w:pPr>
        <w:pStyle w:val="TextoNormalNegritaCentrado"/>
        <w:keepNext/>
      </w:pPr>
    </w:p>
    <w:p w14:paraId="57BA6B98" w14:textId="77777777" w:rsidR="00A8138F" w:rsidRDefault="00A8138F" w:rsidP="00A8138F">
      <w:pPr>
        <w:pStyle w:val="TextoNormal"/>
      </w:pPr>
      <w:r w:rsidRPr="00A8138F">
        <w:rPr>
          <w:rStyle w:val="NumeroAFNegritaCaracter"/>
        </w:rPr>
        <w:t>1</w:t>
      </w:r>
      <w:r>
        <w:t xml:space="preserve">. </w:t>
      </w:r>
      <w:r w:rsidRPr="00A8138F">
        <w:rPr>
          <w:i/>
        </w:rPr>
        <w:t>Objeto del conflicto y posiciones de las partes</w:t>
      </w:r>
    </w:p>
    <w:p w14:paraId="1AE9F29A" w14:textId="77777777" w:rsidR="00A8138F" w:rsidRDefault="00A8138F" w:rsidP="00A8138F">
      <w:pPr>
        <w:pStyle w:val="TextoNormal"/>
      </w:pPr>
    </w:p>
    <w:p w14:paraId="4C3B34D0" w14:textId="77777777" w:rsidR="00A8138F" w:rsidRDefault="00A8138F" w:rsidP="00A8138F">
      <w:pPr>
        <w:pStyle w:val="TextoNormal"/>
      </w:pPr>
      <w:r>
        <w:t>Este proceso constitucional tiene por objeto resolver el conflicto positivo de competencia promovido por el Gobierno de la Generalitat de Cataluña, contra los arts. 9.3 y 9.5; 25.1 b); 47.1 b); 84.1 b); 96.1 b) y 96.2 c); 97.3 a), último inciso; 102.1; 103.2 a) y b); 105 b) y c); 108.1 d); 109.1 y 4; 111.2, segundo inciso; 112.1 d); 113.4; 117.2; 130; 154.6 y 7; 155.2; 157.3; 160.1, segundo inciso; 166.2, 3, 4 y 6; 203.2, 3 y 4; 205.1 a) y c) y 205.2; las disposiciones finales segunda y sexta; y los anexos IV y XI del Real Decreto 659/2023.</w:t>
      </w:r>
    </w:p>
    <w:p w14:paraId="5D08B97D" w14:textId="77777777" w:rsidR="00A8138F" w:rsidRDefault="00A8138F" w:rsidP="00A8138F">
      <w:pPr>
        <w:pStyle w:val="TextoNormal"/>
      </w:pPr>
    </w:p>
    <w:p w14:paraId="61C4EC22" w14:textId="77777777" w:rsidR="00A8138F" w:rsidRDefault="00A8138F" w:rsidP="00A8138F">
      <w:pPr>
        <w:pStyle w:val="TextoNormal"/>
      </w:pPr>
      <w:r>
        <w:t xml:space="preserve">Los preceptos objeto del conflicto vulnerarían, a juicio de la demanda, las competencias de la comunidad autónoma en materia de educación (arts. 131 y 172 EAC). Se aduce, en la mayor parte de los casos, que dicha regulación excede de la configuración constitucional de las bases, tanto desde un punto de vista formal por no tener habilitación legal y no ser materia propia de norma reglamentaria, como desde un punto de vista material, ya que no deja margen de desarrollo normativo autonómico por contener previsiones excesivamente detalladas o porque inciden en aspectos de la potestad reglamentaria ejecutiva o meramente </w:t>
      </w:r>
      <w:r>
        <w:lastRenderedPageBreak/>
        <w:t>organizativa. Otros de los preceptos impugnados establecerían mecanismos de tutela estatal sobre decisiones que deberían ser autonómicas o han incurrido en defectos en su elaboración y que se entienden lesivos de las competencias autonómicas.</w:t>
      </w:r>
    </w:p>
    <w:p w14:paraId="5871D087" w14:textId="77777777" w:rsidR="00A8138F" w:rsidRDefault="00A8138F" w:rsidP="00A8138F">
      <w:pPr>
        <w:pStyle w:val="TextoNormal"/>
      </w:pPr>
    </w:p>
    <w:p w14:paraId="35B4F48E" w14:textId="070EA42A" w:rsidR="00A8138F" w:rsidRDefault="00A8138F" w:rsidP="00A8138F">
      <w:pPr>
        <w:pStyle w:val="TextoNormal"/>
      </w:pPr>
      <w:r>
        <w:t>El abogado del Estado ha negado las vulneraciones denunciadas defendiendo la adecuación de los preceptos impugnados al orden constitucional de distribución de competencias.</w:t>
      </w:r>
    </w:p>
    <w:p w14:paraId="7A1F1367" w14:textId="77777777" w:rsidR="00A8138F" w:rsidRDefault="00A8138F" w:rsidP="00A8138F">
      <w:pPr>
        <w:pStyle w:val="TextoNormal"/>
      </w:pPr>
    </w:p>
    <w:p w14:paraId="01FD6B2E" w14:textId="77777777" w:rsidR="00A8138F" w:rsidRDefault="00A8138F" w:rsidP="00A8138F">
      <w:pPr>
        <w:pStyle w:val="TextoNormal"/>
      </w:pPr>
      <w:r w:rsidRPr="00A8138F">
        <w:rPr>
          <w:rStyle w:val="NumeroAFNegritaCaracter"/>
        </w:rPr>
        <w:t>2</w:t>
      </w:r>
      <w:r>
        <w:t xml:space="preserve">. </w:t>
      </w:r>
      <w:r w:rsidRPr="00A8138F">
        <w:rPr>
          <w:i/>
        </w:rPr>
        <w:t>Precisiones previas</w:t>
      </w:r>
    </w:p>
    <w:p w14:paraId="566CA19A" w14:textId="77777777" w:rsidR="00A8138F" w:rsidRDefault="00A8138F" w:rsidP="00A8138F">
      <w:pPr>
        <w:pStyle w:val="TextoNormal"/>
      </w:pPr>
    </w:p>
    <w:p w14:paraId="7C5C125B" w14:textId="77777777" w:rsidR="00A8138F" w:rsidRDefault="00A8138F" w:rsidP="00A8138F">
      <w:pPr>
        <w:pStyle w:val="TextoNormal"/>
      </w:pPr>
      <w:r>
        <w:t>Antes de abordar el examen de las concretas vulneraciones competenciales debemos realizar una serie de consideraciones preliminares.</w:t>
      </w:r>
    </w:p>
    <w:p w14:paraId="744DAC4A" w14:textId="77777777" w:rsidR="00A8138F" w:rsidRDefault="00A8138F" w:rsidP="00A8138F">
      <w:pPr>
        <w:pStyle w:val="TextoNormal"/>
      </w:pPr>
    </w:p>
    <w:p w14:paraId="79670673" w14:textId="77777777" w:rsidR="00A8138F" w:rsidRDefault="00A8138F" w:rsidP="00A8138F">
      <w:pPr>
        <w:pStyle w:val="TextoNormal"/>
      </w:pPr>
      <w:r>
        <w:t xml:space="preserve">a) </w:t>
      </w:r>
      <w:r w:rsidRPr="00A8138F">
        <w:rPr>
          <w:i/>
        </w:rPr>
        <w:t>En primer lugar, debe precisarse el objeto del conflicto, delimitado en los términos formulados en el previo requerimiento de incompetencia (STC 100/2019, de 18 de julio, FJ 2, por todas)</w:t>
      </w:r>
    </w:p>
    <w:p w14:paraId="4CD46FC6" w14:textId="77777777" w:rsidR="00A8138F" w:rsidRDefault="00A8138F" w:rsidP="00A8138F">
      <w:pPr>
        <w:pStyle w:val="TextoNormal"/>
      </w:pPr>
    </w:p>
    <w:p w14:paraId="5660F730" w14:textId="77777777" w:rsidR="00A8138F" w:rsidRDefault="00A8138F" w:rsidP="00A8138F">
      <w:pPr>
        <w:pStyle w:val="TextoNormal"/>
      </w:pPr>
      <w:r>
        <w:t>En la documentación adjunta a la demanda figura la certificación del acuerdo del Gobierno de la Generalitat de Cataluña por el que se plantea el correspondiente requerimiento de incompetencia en relación con diferentes preceptos del Real Decreto 659/2023. Los preceptos objeto del requerimiento son los siguientes: arts. 25.1 b); 47.1 b); 84.1 b); 96.1 b); 97.3 a), último inciso; 102.1; 105 b) y c); 108.1 d); 111.1 y 2; 113.4; 115.1 y 2; 117.2; 130; 154.6 y 7; 155.2; 157.3; 160.1, segundo inciso; 166.2, 3, 4 y 6; 203.2, 3 y 4; 205.1 a) y c) y 205.2; disposiciones finales segunda y sexta, y anexo XI. Sin embargo, el conflicto de competencia se ha planteado respecto de preceptos que no han sido mencionados en el requerimiento previo. En concreto, no se han incluido en el requerimiento previo los arts. 9.3 y 9.5; 96.2 c); 103.2 a) y b); 109.1 y 4; 112.1 d), y anexo IV del Real Decreto 659/2023.</w:t>
      </w:r>
    </w:p>
    <w:p w14:paraId="1DEE52EA" w14:textId="77777777" w:rsidR="00A8138F" w:rsidRDefault="00A8138F" w:rsidP="00A8138F">
      <w:pPr>
        <w:pStyle w:val="TextoNormal"/>
      </w:pPr>
    </w:p>
    <w:p w14:paraId="4EC9D063" w14:textId="77777777" w:rsidR="00A8138F" w:rsidRDefault="00A8138F" w:rsidP="00A8138F">
      <w:pPr>
        <w:pStyle w:val="TextoNormal"/>
      </w:pPr>
      <w:r>
        <w:t>Por lo tanto, y atendiendo también a lo alegado por el abogado del Estado, es necesario delimitar el objeto del proceso ya que, de conformidad con una doctrina constante de este tribunal, el art. 63.3 LOTC exige que el requerimiento de incompetencia especifique con claridad los preceptos de la disposición o los puntos concretos de la resolución o acto viciados de incompetencia, así como las disposiciones legales o constitucionales de las que el vicio resulte. La finalidad de esta exigencia es que el Gobierno al que se imputa la extralimitación competencial pueda conocer la invasión denunciada y, en su caso, corregirla. Por eso, el art. 63.3 LOTC obliga a entender que el conflicto competencial no se ha planteado respecto de los preceptos no mencionados en el requerimiento previo [por todas, STC 45/2015, de 5 de marzo, FJ 2 a), a la que se remite la STC 100/2019, FJ 2].</w:t>
      </w:r>
    </w:p>
    <w:p w14:paraId="1C078A33" w14:textId="77777777" w:rsidR="00A8138F" w:rsidRDefault="00A8138F" w:rsidP="00A8138F">
      <w:pPr>
        <w:pStyle w:val="TextoNormal"/>
      </w:pPr>
    </w:p>
    <w:p w14:paraId="460549DA" w14:textId="77777777" w:rsidR="00A8138F" w:rsidRDefault="00A8138F" w:rsidP="00A8138F">
      <w:pPr>
        <w:pStyle w:val="TextoNormal"/>
      </w:pPr>
      <w:r>
        <w:t>Así pues, en aplicación de dicha doctrina, el objeto del conflicto queda limitado a los arts. 25.1 b); 47.1 b); 84.1 b); 96.1 b); 97.3 a), último inciso; 102.1; 105 b) y c); 108.1 d); 111.2, segundo inciso; 113.4; 117.2; 130; 154.6 y 7; 155.2; 157.3; 160.1, segundo inciso; 166.2, 3, 4 y 6; 203.2, 3 y 4; 205.1 a) y c) y 205.2; las disposiciones finales segunda y sexta, y el anexo XI del Real Decreto 659/2023, en la medida en que son los que fueron objeto del preceptivo y previo requerimiento de incompetencia al Gobierno de la Nación. Sin que proceda, por tanto, pronunciamiento alguno sobre los arts. 9.3 y 9.5; 96.2 c); 103.2 a) y b); 109.1 y 4; 112.1 d), y el anexo IV del Real Decreto 659/2023, respecto de los que también pretende plantearse el conflicto positivo de competencia, pues, como se ha señalado, no se incluyeron en el requerimiento de incompetencia planteado por el Gobierno de la Generali</w:t>
      </w:r>
      <w:r>
        <w:lastRenderedPageBreak/>
        <w:t>tat de Cataluña y han de quedar, por tanto, excluidos del objeto de este proceso constitucional.</w:t>
      </w:r>
    </w:p>
    <w:p w14:paraId="144F8DB8" w14:textId="77777777" w:rsidR="00A8138F" w:rsidRDefault="00A8138F" w:rsidP="00A8138F">
      <w:pPr>
        <w:pStyle w:val="TextoNormal"/>
      </w:pPr>
    </w:p>
    <w:p w14:paraId="05BF49E7" w14:textId="77777777" w:rsidR="00A8138F" w:rsidRDefault="00A8138F" w:rsidP="00A8138F">
      <w:pPr>
        <w:pStyle w:val="TextoNormal"/>
      </w:pPr>
      <w:r>
        <w:t>Por otra parte, tampoco procede pronunciarse sobre el art. 115.1 y 2 del Real Decreto 659/2023, pues, aunque han sido incluidos en el previo requerimiento de incompetencia, no han sido objeto del conflicto al no haberse incluido en la demanda formulada al efecto. Ni tampoco sobre el art. 205.2, pues, pese a haber sido objeto de requerimiento previo y mencionarse en el suplico y en el cuerpo de la demanda, resulta que no hay alegación alguna sobre el mismo, incurriendo con ello en un incumplimiento de la inexcusable carga alegatoria, que exime de su examen a este tribunal (STC 141/2024, de 19 de noviembre, FJ 4).</w:t>
      </w:r>
    </w:p>
    <w:p w14:paraId="33C6B99B" w14:textId="77777777" w:rsidR="00A8138F" w:rsidRDefault="00A8138F" w:rsidP="00A8138F">
      <w:pPr>
        <w:pStyle w:val="TextoNormal"/>
      </w:pPr>
    </w:p>
    <w:p w14:paraId="5135F9BF" w14:textId="77777777" w:rsidR="00A8138F" w:rsidRDefault="00A8138F" w:rsidP="00A8138F">
      <w:pPr>
        <w:pStyle w:val="TextoNormal"/>
      </w:pPr>
      <w:r>
        <w:t>En suma, en el presente conflicto positivo de competencias debemos pronunciarnos sobre la adecuación al orden constitucional y estatutario de distribución de competencias de los arts. 25.1 b); 47.1 b); 84.1 b); 96.1 b); 97.3 a), último inciso; 102.1; 105 b) y c); 108.1 d); 111.1 y 2; 113.4; 117.2; 130; 154.6 y 7; 155.2; 157.3; 160.1, segundo inciso; 166.2, 3, 4 y 6; 203.2, 3 y 4; 205.1 a) y c); las disposiciones finales segunda y sexta; y el anexo XI del Real Decreto 659/2023.</w:t>
      </w:r>
    </w:p>
    <w:p w14:paraId="06E71B00" w14:textId="77777777" w:rsidR="00A8138F" w:rsidRDefault="00A8138F" w:rsidP="00A8138F">
      <w:pPr>
        <w:pStyle w:val="TextoNormal"/>
      </w:pPr>
    </w:p>
    <w:p w14:paraId="024F4160" w14:textId="77777777" w:rsidR="00A8138F" w:rsidRDefault="00A8138F" w:rsidP="00A8138F">
      <w:pPr>
        <w:pStyle w:val="TextoNormal"/>
      </w:pPr>
      <w:r>
        <w:t xml:space="preserve">b) </w:t>
      </w:r>
      <w:r w:rsidRPr="00A8138F">
        <w:rPr>
          <w:i/>
        </w:rPr>
        <w:t>Modificaciones normativas sobrevenidas</w:t>
      </w:r>
    </w:p>
    <w:p w14:paraId="48AEF4ED" w14:textId="77777777" w:rsidR="00A8138F" w:rsidRDefault="00A8138F" w:rsidP="00A8138F">
      <w:pPr>
        <w:pStyle w:val="TextoNormal"/>
      </w:pPr>
    </w:p>
    <w:p w14:paraId="5F571664" w14:textId="77777777" w:rsidR="00A8138F" w:rsidRDefault="00A8138F" w:rsidP="00A8138F">
      <w:pPr>
        <w:pStyle w:val="TextoNormal"/>
      </w:pPr>
      <w:r>
        <w:t>Durante la pendencia del proceso, el Real Decreto 659/2023 ha sido modificado por el Real Decreto 658/2024, de 9 de julio, por el que se modifican el Real Decreto 132/2010, de 12 de febrero, por el que se establecen los requisitos mínimos de los centros que impartan las enseñanzas del segundo ciclo de la educación infantil, la educación primaria y la educación secundaria, y el Real Decreto 659/2023, de 18 de julio, por el que se desarrolla la ordenación del sistema de formación profesional. En concreto, en lo que afecta al objeto del presente conflicto positivo de competencias, se han modificado los arts. 96.1 b), 102.1, 108.1 d) y 113.4.</w:t>
      </w:r>
    </w:p>
    <w:p w14:paraId="293B88A5" w14:textId="77777777" w:rsidR="00A8138F" w:rsidRDefault="00A8138F" w:rsidP="00A8138F">
      <w:pPr>
        <w:pStyle w:val="TextoNormal"/>
      </w:pPr>
    </w:p>
    <w:p w14:paraId="28750541" w14:textId="77777777" w:rsidR="00A8138F" w:rsidRDefault="00A8138F" w:rsidP="00A8138F">
      <w:pPr>
        <w:pStyle w:val="TextoNormal"/>
      </w:pPr>
      <w:r>
        <w:t>De acuerdo con la doctrina de este tribunal, la regla general en los recursos de inconstitucionalidad es que la modificación, derogación o pérdida de vigencia de la norma que se recurre produce la extinción del procedimiento, ya que la finalidad de este proceso abstracto no es otra que la depuración del ordenamiento jurídico, algo innecesario cuando el propio legislador ha expulsado la norma de dicho ordenamiento [por todas, STC 82/2020, de 15 de julio, FJ 2 b)]. Ahora bien, cuando se trata de modificaciones normativas que inciden en procesos constitucionales de naturaleza competencial, como el que ahora nos ocupa, este tribunal ha afirmado reiteradamente que la eventual apreciación de la pérdida de objeto del proceso dependerá de la incidencia real que sobre el mismo tenga la derogación, sustitución o modificación de la norma, y que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De modo que si la normativa en torno a la cual se trabó el conflicto resulta sustituida por otra que viene a plantear los mismos problemas competenciales, la consecuencia será la no desaparición del conflicto [entre otras, STC 38/2021, de 18 de febrero, FJ 2 a)].</w:t>
      </w:r>
    </w:p>
    <w:p w14:paraId="2B7533AF" w14:textId="77777777" w:rsidR="00A8138F" w:rsidRDefault="00A8138F" w:rsidP="00A8138F">
      <w:pPr>
        <w:pStyle w:val="TextoNormal"/>
      </w:pPr>
    </w:p>
    <w:p w14:paraId="77CBD1FE" w14:textId="77777777" w:rsidR="00A8138F" w:rsidRDefault="00A8138F" w:rsidP="00A8138F">
      <w:pPr>
        <w:pStyle w:val="TextoNormal"/>
      </w:pPr>
      <w:r>
        <w:lastRenderedPageBreak/>
        <w:t>En el presente caso nos encontramos ante el supuesto de un proceso constitucional de naturaleza competencial, pues es objeto de discusión la vulneración de las competencias autonómicas en relación con la formación profesional del sistema educativo. Ello supone que se debe examinar si la controversia puede entenderse resuelta en parte o no con la modificación que se ha producido de varios de los preceptos impugnados.</w:t>
      </w:r>
    </w:p>
    <w:p w14:paraId="067D18CC" w14:textId="77777777" w:rsidR="00A8138F" w:rsidRDefault="00A8138F" w:rsidP="00A8138F">
      <w:pPr>
        <w:pStyle w:val="TextoNormal"/>
      </w:pPr>
    </w:p>
    <w:p w14:paraId="6BBA7351" w14:textId="77777777" w:rsidR="00A8138F" w:rsidRDefault="00A8138F" w:rsidP="00A8138F">
      <w:pPr>
        <w:pStyle w:val="TextoNormal"/>
      </w:pPr>
      <w:r>
        <w:t>Los dos primeros preceptos afectados por modificaciones son los arts. 96.1 b) y 102.1, recurridos ambos por la misma razón, consistente tanto en la falta de habilitación legal como en tener un contenido material excesivamente detallado y lesivo de las competencias autonómicas en la materia, especialmente en la regulación de la denominada parte de optatividad, esto es, la existencia de módulos profesionales optativos en los diferentes ciclos formativos de grados medio y superior. Al respecto, el art. 96.1 b) en su redacción inicial disponía que tales ciclos debían tener “[u]na parte de optatividad integrada por, al menos, un módulo optativo durante la formación con duración anual o dos módulos cuatrimestrales, cuyo cómputo horario estará entre 80 y 160 horas”. Por su parte, el art. 102.1 prescribía que “[e]l currículo del ciclo formativo debe incorporar una parte de optatividad, integrada bien por un módulo de duración anual, bien por dos módulos cuatrimestrales a lo largo del ciclo formativo, cuyo cómputo horario estará entre 80 y 160 horas”. La modificación operada por el Real Decreto 658/2024 ha consistido en señalar que el cómputo horario de tales módulos optativos será de ochenta horas. Dicha modificación no afecta a la controversia, que pervive en los términos en los que fue planteada, por cuanto la Generalitat de Cataluña cuestiona la distribución de la parte optativa a lo largo de los ciclos en un módulo de duración anual o dos cuatrimestrales, aspecto que no ha sido modificado en ninguno de los dos preceptos examinados. Es forzoso concluir que, respecto de los arts. 96.1 b) y 102.1 del Real Decreto 659/2023, la controversia pervive en los mismos términos en los que fue planteada.</w:t>
      </w:r>
    </w:p>
    <w:p w14:paraId="3620471E" w14:textId="77777777" w:rsidR="00A8138F" w:rsidRDefault="00A8138F" w:rsidP="00A8138F">
      <w:pPr>
        <w:pStyle w:val="TextoNormal"/>
      </w:pPr>
    </w:p>
    <w:p w14:paraId="23C9BD7D" w14:textId="77777777" w:rsidR="00A8138F" w:rsidRDefault="00A8138F" w:rsidP="00A8138F">
      <w:pPr>
        <w:pStyle w:val="TextoNormal"/>
      </w:pPr>
      <w:r>
        <w:t xml:space="preserve">Distinta es la conclusión que se alcanza respecto a los arts. 108.1 d) y 113.4 del Real Decreto 659/2023. En su redacción inicial el art. 108.1 d) disponía que podrá accederse a un ciclo de grado medio, entre otras formas, por haber superado un curso de formación específico preparatorio y gratuito en centros expresamente autorizados, sean públicos o concertados, mientras que el art. 113.4, cuando regulaba los cursos de formación preparatorios para el acceso a un ciclo formativo de grado superior, disponía que los podrán impartir también las administraciones locales y los centros privados siempre que se mantuviera su carácter gratuito. Es precisamente dicho carácter gratuito lo que es discutido por la Generalitat de Cataluña. Tras su modificación, el art. 108.1 d) está redactado como sigue: “Haber superado un curso de formación específico preparatorio para el acceso a ciclos formativos de grado medio en centros expresamente autorizados por la administración educativa, en los términos previstos en el art. 109”, mientras que el art. 113.4 tiene la siguiente redacción: “Asimismo, podrán impartirlos las administraciones locales y los centros privados del sistema de formación profesional, ambos expresamente autorizados para ello por la administración competente, en los términos que cada administración determine”. La queja de la Generalitat de Cataluña se centraba, como ya se ha mencionado, en la imposición del carácter gratuito de los citados cursos cuando no se ofrezcan directamente en los centros públicos, aspecto que ya no se regula expresamente en ninguno de los dos preceptos impugnados. Así, el art. 108.1 d) remite al art. 109 en cuanto a la regulación del curso de formación preparatorio para acceder a ciclos formativos de grado medio y también, por tanto, a su carácter gratuito, pero cuando se imparten en los centros públicos, pues especifica que tales cursos “se ofertarán en centros públicos, preferentemente centros del sistema de formación </w:t>
      </w:r>
      <w:r>
        <w:lastRenderedPageBreak/>
        <w:t>profesional y de personas adultas”. En el caso del art. 113.4 es evidente que el precepto no hace ya referencia alguna a la gratuidad o no de los mencionados cursos, a diferencia de la mención expresa que a tal gratuidad se contiene en el ya mencionado art. 109.1 y, en los mismos términos, en el art. 113.1 para el caso de que estos cursos se oferten en centros docentes públicos. Y también que la referencia del art. 113.4, “en los términos que cada administración determine” otorga un margen de decisión propio a la administración educativa en torno a esta cuestión. Todo lo expuesto permite excluir la pervivencia de la controversia planteada respecto a estos preceptos, por cuanto ya no imponen la gratuidad en el caso de que los cursos se impartan en centros distintos a los públicos, único extremo discutido por la Generalitat de Cataluña.</w:t>
      </w:r>
    </w:p>
    <w:p w14:paraId="2EDEB9FD" w14:textId="77777777" w:rsidR="00A8138F" w:rsidRDefault="00A8138F" w:rsidP="00A8138F">
      <w:pPr>
        <w:pStyle w:val="TextoNormal"/>
      </w:pPr>
    </w:p>
    <w:p w14:paraId="6181BB12" w14:textId="77777777" w:rsidR="00A8138F" w:rsidRDefault="00A8138F" w:rsidP="00A8138F">
      <w:pPr>
        <w:pStyle w:val="TextoNormal"/>
      </w:pPr>
      <w:r>
        <w:t>Por tanto, debemos concluir que el presente conflicto ha perdido sobrevenidamente objeto en lo que respecta a los arts. 108.1 d) y 113.4 del Real Decreto 659/2023.</w:t>
      </w:r>
    </w:p>
    <w:p w14:paraId="1C4E2910" w14:textId="77777777" w:rsidR="00A8138F" w:rsidRDefault="00A8138F" w:rsidP="00A8138F">
      <w:pPr>
        <w:pStyle w:val="TextoNormal"/>
      </w:pPr>
    </w:p>
    <w:p w14:paraId="35F80000" w14:textId="77777777" w:rsidR="00A8138F" w:rsidRDefault="00A8138F" w:rsidP="00A8138F">
      <w:pPr>
        <w:pStyle w:val="TextoNormal"/>
      </w:pPr>
      <w:r>
        <w:t xml:space="preserve">c) </w:t>
      </w:r>
      <w:r w:rsidRPr="00A8138F">
        <w:rPr>
          <w:i/>
        </w:rPr>
        <w:t>Orden de examen de los motivos de impugnación</w:t>
      </w:r>
    </w:p>
    <w:p w14:paraId="4ADD8BC8" w14:textId="77777777" w:rsidR="00A8138F" w:rsidRDefault="00A8138F" w:rsidP="00A8138F">
      <w:pPr>
        <w:pStyle w:val="TextoNormal"/>
      </w:pPr>
    </w:p>
    <w:p w14:paraId="5992919B" w14:textId="77777777" w:rsidR="00A8138F" w:rsidRDefault="00A8138F" w:rsidP="00A8138F">
      <w:pPr>
        <w:pStyle w:val="TextoNormal"/>
      </w:pPr>
      <w:r>
        <w:t xml:space="preserve">La demanda formula una doble queja respecto de los preceptos objeto del presente conflicto. Se trata de la falta de habilitación legal para la aprobación </w:t>
      </w:r>
      <w:r w:rsidRPr="00A8138F">
        <w:rPr>
          <w:i/>
        </w:rPr>
        <w:t>ex novo</w:t>
      </w:r>
      <w:r>
        <w:t xml:space="preserve"> de los preceptos impugnados, sin que tampoco la necesidad de esas normas reglamentarias de carácter básico pueda deducirse de los principios informadores de la Ley Orgánica 3/2022. Unida a ella se plantea la cuestión de la limitación de las competencias autonómicas por lo que se considera un carácter excesivamente detallado de las normas estatales que sería incompatible con su proclamado carácter básico.</w:t>
      </w:r>
    </w:p>
    <w:p w14:paraId="0B6053CE" w14:textId="77777777" w:rsidR="00A8138F" w:rsidRDefault="00A8138F" w:rsidP="00A8138F">
      <w:pPr>
        <w:pStyle w:val="TextoNormal"/>
      </w:pPr>
    </w:p>
    <w:p w14:paraId="71E95BE0" w14:textId="77777777" w:rsidR="00A8138F" w:rsidRDefault="00A8138F" w:rsidP="00A8138F">
      <w:pPr>
        <w:pStyle w:val="TextoNormal"/>
      </w:pPr>
      <w:r>
        <w:t>La excepción al anterior planteamiento viene dada por las tachas que se plantean a la disposición final segunda, en la referencia que efectúan los apartados séptimo y octavo al acuerdo y autorización del Ministerio de Educación y Formación Profesional, incluidos en la nueva regulación de los denominados centros de referencia nacional de formación profesional, en cuanto que la demanda considera que se trata de un mecanismo de control preventivo que supone una tutela en el ámbito competencial propio de la Generalitat de Cataluña. Y también en lo que respecta a la queja planteada acerca del art. 130 y el anexo XI del Real Decreto 659/2023, por la carencia de los informes previos y preceptivos del Consejo de Universidades y de la Conferencia General de Política Universitaria, carencia que determinaría la vulneración del art. 174.3 EAC en relación con las competencias autonómicas en materia de universidades del art. 172 EAC.</w:t>
      </w:r>
    </w:p>
    <w:p w14:paraId="005A5258" w14:textId="77777777" w:rsidR="00A8138F" w:rsidRDefault="00A8138F" w:rsidP="00A8138F">
      <w:pPr>
        <w:pStyle w:val="TextoNormal"/>
      </w:pPr>
    </w:p>
    <w:p w14:paraId="2CD8C983" w14:textId="6E4164DF" w:rsidR="00A8138F" w:rsidRDefault="00A8138F" w:rsidP="00A8138F">
      <w:pPr>
        <w:pStyle w:val="TextoNormal"/>
      </w:pPr>
      <w:r>
        <w:t>Examinaremos las quejas planteadas en el orden que se acaba de exponer comenzando por el examen de los preceptos a los que se imputa un exceso en la determinación de lo básico.</w:t>
      </w:r>
    </w:p>
    <w:p w14:paraId="4F30FE7E" w14:textId="77777777" w:rsidR="00A8138F" w:rsidRDefault="00A8138F" w:rsidP="00A8138F">
      <w:pPr>
        <w:pStyle w:val="TextoNormal"/>
      </w:pPr>
    </w:p>
    <w:p w14:paraId="6EABC5A3" w14:textId="77777777" w:rsidR="00A8138F" w:rsidRDefault="00A8138F" w:rsidP="00A8138F">
      <w:pPr>
        <w:pStyle w:val="TextoNormal"/>
      </w:pPr>
      <w:r w:rsidRPr="00A8138F">
        <w:rPr>
          <w:rStyle w:val="NumeroAFNegritaCaracter"/>
        </w:rPr>
        <w:t>3</w:t>
      </w:r>
      <w:r>
        <w:t xml:space="preserve">. </w:t>
      </w:r>
      <w:r w:rsidRPr="00A8138F">
        <w:rPr>
          <w:i/>
        </w:rPr>
        <w:t>Breve referencia a la regulación de la formación profesional: la Ley Orgánica 3/2022 y contenido del Real Decreto 659/2023</w:t>
      </w:r>
    </w:p>
    <w:p w14:paraId="3415B8EF" w14:textId="77777777" w:rsidR="00A8138F" w:rsidRDefault="00A8138F" w:rsidP="00A8138F">
      <w:pPr>
        <w:pStyle w:val="TextoNormal"/>
      </w:pPr>
    </w:p>
    <w:p w14:paraId="1874C706" w14:textId="77777777" w:rsidR="00A8138F" w:rsidRDefault="00A8138F" w:rsidP="00A8138F">
      <w:pPr>
        <w:pStyle w:val="TextoNormal"/>
      </w:pPr>
      <w:r>
        <w:t>En la necesaria operación de encuadramiento competencial que debemos llevar a cabo puede resultar útil partir del examen de la norma reglamentaria de la que forman parte los preceptos impugnados en el presente proceso, de suerte que, antes de abordar el mencionado examen, resulta conveniente hacer alguna sucinta referencia al contenido del Real Decreto 659/2023 y al contexto normativo en el que se inserta, esto es, la Ley Orgánica 3/2022.</w:t>
      </w:r>
    </w:p>
    <w:p w14:paraId="5A16D3CB" w14:textId="77777777" w:rsidR="00A8138F" w:rsidRDefault="00A8138F" w:rsidP="00A8138F">
      <w:pPr>
        <w:pStyle w:val="TextoNormal"/>
      </w:pPr>
    </w:p>
    <w:p w14:paraId="2A638DED" w14:textId="77777777" w:rsidR="00A8138F" w:rsidRDefault="00A8138F" w:rsidP="00A8138F">
      <w:pPr>
        <w:pStyle w:val="TextoNormal"/>
      </w:pPr>
      <w:r>
        <w:t>El Real Decreto 659/2023 desarrolla la ordenación del sistema de formación profesional, único e integrado, que fue objeto de la Ley Orgánica 3/2022, norma en la que se configura el marco regulador en materia de formación profesional entendida como sistema único. Se supera así el sistema de formación profesional ligado al sistema nacional de las cualificaciones y la formación profesional que creó la Ley Orgánica 5/2002, de 19 de junio, basado en el establecimiento de dos subsistemas: la formación profesional del sistema educativo, con los correspondientes ciclos formativos, y la formación profesional para el empleo, a través de los certificados de profesionalidad. Los mencionados dos subsistemas son ahora reemplazados por un sistema único e integrado que pueda responder con flexibilidad a los intereses, expectativas y aspiraciones de cualificación profesional de las personas a lo largo de su vida. En efecto, como destacó la STC 63/2024, de 10 de abril, FJ 3 b), “[l]a pretensión de la Ley Orgánica 3/2022, de 31 de marzo, es que las dos vertientes ya aludidas de la formación profesional, la que se desarrolla dentro del sistema educativo y la que tiene lugar dentro del ámbito laboral (que es, como se ha explicado, la única que constituye el objeto de este proceso, en cuanto regulada específicamente en la Ley 30/2015[, de 9 de septiembre, por la que se regula el sistema de formación profesional para el empleo en el ámbito laboral]) respondan a una perspectiva integrada, de modo que una y otra configuren sus contenidos en función de unos mismos criterios rectores de la capacitación profesional. Como señala el preámbulo de la Ley Orgánica 3/2022, se trata de “[l]ograr una cualificación y recualificación permanente de toda la población, desde los jóvenes antes de abandonar la escolaridad obligatoria hasta el final de la trayectoria profesional” lo que requiere “un sistema integral de formación profesional”, especialmente a efectos de que el contenido de la formación sea ‘acreditable, acumulable y capitalizable’, generando los correspondientes itinerarios formativos”.</w:t>
      </w:r>
    </w:p>
    <w:p w14:paraId="1FDF7462" w14:textId="77777777" w:rsidR="00A8138F" w:rsidRDefault="00A8138F" w:rsidP="00A8138F">
      <w:pPr>
        <w:pStyle w:val="TextoNormal"/>
      </w:pPr>
    </w:p>
    <w:p w14:paraId="65456084" w14:textId="77777777" w:rsidR="00A8138F" w:rsidRDefault="00A8138F" w:rsidP="00A8138F">
      <w:pPr>
        <w:pStyle w:val="TextoNormal"/>
      </w:pPr>
      <w:r>
        <w:t xml:space="preserve">La Ley Orgánica 3/2022 organiza la tipología de las ofertas del sistema de formación profesional, de manera secuencial, en cinco grados identificados con las letras A hasta E. Se trata de un modelo de formación profesional, de reconocimiento y acreditación de competencias y de orientación profesional basado en itinerarios formativos facilitadores de la progresión en la formación. Está estructurado en esos cinco grados ascendentes: A (acreditación parcial de competencia), B (certificado de competencia), C (certificado profesional), D (ciclo formativo) y E (curso de especialización), descriptivos de las ofertas formativas organizadas en unidades diseñadas según el </w:t>
      </w:r>
      <w:r w:rsidRPr="00A8138F">
        <w:rPr>
          <w:i/>
        </w:rPr>
        <w:t>Catálogo nacional de estándares de competencias profesionales</w:t>
      </w:r>
      <w:r>
        <w:t xml:space="preserve"> y clasificados en función de la amplitud de cada oferta formativa. El mencionado catálogo es el instrumento del sistema nacional de formación profesional que ordena los estándares de competencias profesionales identificados en el sistema productivo por niveles y familias profesionales, en función de las competencias apropiadas y el estándar de calidad requerido para el ejercicio profesional, susceptibles de reconocimiento y acreditación. En ese sentido, las ofertas se organizan gradualmente, en función de la amplitud de la formación a proporcionar, desde las “microformaciones” a los títulos de formación profesional, según incluyan un único resultado de aprendizaje, uno o varios módulos profesionales, o un paquete completo de módulos profesionales, manteniendo en todo momento su carácter acumulativo y permitiendo progresar en itinerarios de formación conducentes a acreditaciones, certificados y titulaciones.</w:t>
      </w:r>
    </w:p>
    <w:p w14:paraId="2DF5A45C" w14:textId="77777777" w:rsidR="00A8138F" w:rsidRDefault="00A8138F" w:rsidP="00A8138F">
      <w:pPr>
        <w:pStyle w:val="TextoNormal"/>
      </w:pPr>
    </w:p>
    <w:p w14:paraId="4D1C70D4" w14:textId="77777777" w:rsidR="00A8138F" w:rsidRDefault="00A8138F" w:rsidP="00A8138F">
      <w:pPr>
        <w:pStyle w:val="TextoNormal"/>
      </w:pPr>
      <w:r>
        <w:t xml:space="preserve">En lo que al presente conflicto interesa, el denominado grado D “ciclo formativo” se corresponde, según dispone el art. 39.1 de la Ley Orgánica 3/2022, con los ciclos formativos </w:t>
      </w:r>
      <w:r>
        <w:lastRenderedPageBreak/>
        <w:t>de formación profesional que forman parte del sistema educativo español en los términos establecidos en la LOE. Por su parte, lo mismo sucede en el caso del grado E “cursos de especialización”, conforme a lo dispuesto en el art. 51 y ss. de la Ley Orgánica 3/2022.</w:t>
      </w:r>
    </w:p>
    <w:p w14:paraId="3744D1EB" w14:textId="77777777" w:rsidR="00A8138F" w:rsidRDefault="00A8138F" w:rsidP="00A8138F">
      <w:pPr>
        <w:pStyle w:val="TextoNormal"/>
      </w:pPr>
    </w:p>
    <w:p w14:paraId="08BDBAF1" w14:textId="6A1E92FE" w:rsidR="00A8138F" w:rsidRDefault="00A8138F" w:rsidP="00A8138F">
      <w:pPr>
        <w:pStyle w:val="TextoNormal"/>
      </w:pPr>
      <w:r>
        <w:t>Según afirma su preámbulo, el Real Decreto 659/2023 concreta “la flexibilización y accesibilidad del sistema planteadas, para que las administraciones responsables del desarrollo de las políticas en materia de formación profesional y su gestión desde cada comunidad autónoma trabajen conjuntamente, garantizando una oferta suficiente y adecuada de formación profesional, tanto para estudiantes como para personas trabajadoras, en todos y cada uno de los grados previstos en el sistema, permitiendo el establecimiento de itinerarios formativos, que les acompañen, desde antes de acabar su escolaridad obligatoria y a lo largo de su vida laboral, y que concluya en la generalización de una nueva cultura del aprendizaje”. Así, se viene a “establecer la ordenación del sistema de formación profesional, que garantice un régimen de formación y acompañamiento profesionales, sirva al fortalecimiento y sostenibilidad de la economía, sea capaz de responder con flexibilidad a los intereses, las expectativas y las aspiraciones de cualificación profesional de las personas a lo largo de su vida y a las competencias demandadas por el mundo laboral, desde la necesaria confluencia y trabajo conjunto y compartido de las administraciones responsables en esta materia en cada una de las comunidades y ciudades autónomas”.</w:t>
      </w:r>
    </w:p>
    <w:p w14:paraId="5FDFAE22" w14:textId="77777777" w:rsidR="00A8138F" w:rsidRDefault="00A8138F" w:rsidP="00A8138F">
      <w:pPr>
        <w:pStyle w:val="TextoNormal"/>
      </w:pPr>
    </w:p>
    <w:p w14:paraId="1CCF10A7" w14:textId="77777777" w:rsidR="00A8138F" w:rsidRDefault="00A8138F" w:rsidP="00A8138F">
      <w:pPr>
        <w:pStyle w:val="TextoNormal"/>
      </w:pPr>
      <w:r w:rsidRPr="00A8138F">
        <w:rPr>
          <w:rStyle w:val="NumeroAFNegritaCaracter"/>
        </w:rPr>
        <w:t>4</w:t>
      </w:r>
      <w:r>
        <w:t xml:space="preserve">. </w:t>
      </w:r>
      <w:r w:rsidRPr="00A8138F">
        <w:rPr>
          <w:i/>
        </w:rPr>
        <w:t>Encuadramiento competencial. Carácter material y formal de las normas básicas</w:t>
      </w:r>
    </w:p>
    <w:p w14:paraId="0075ABB8" w14:textId="77777777" w:rsidR="00A8138F" w:rsidRDefault="00A8138F" w:rsidP="00A8138F">
      <w:pPr>
        <w:pStyle w:val="TextoNormal"/>
      </w:pPr>
    </w:p>
    <w:p w14:paraId="68FE0570" w14:textId="77777777" w:rsidR="00A8138F" w:rsidRDefault="00A8138F" w:rsidP="00A8138F">
      <w:pPr>
        <w:pStyle w:val="TextoNormal"/>
      </w:pPr>
      <w:r>
        <w:t>Expuesto lo anterior, dado que lo que se plantea es una controversia competencial, hemos de considerar ahora la cuestión relativa al encuadramiento de los preceptos controvertidos en el sistema material de distribución de competencias entre las enumeradas en la Constitución y en el Estatuto de Autonomía de Cataluña, lo que obliga a atender “al contenido de los preceptos controvertidos”, así como “al carácter, sentido y finalidad de las disposiciones traídas en conflicto” (por todas, STC 178/2019, de 18 de diciembre, FJ 2).</w:t>
      </w:r>
    </w:p>
    <w:p w14:paraId="0F7E2EEF" w14:textId="77777777" w:rsidR="00A8138F" w:rsidRDefault="00A8138F" w:rsidP="00A8138F">
      <w:pPr>
        <w:pStyle w:val="TextoNormal"/>
      </w:pPr>
    </w:p>
    <w:p w14:paraId="74A67B9A" w14:textId="77777777" w:rsidR="00A8138F" w:rsidRDefault="00A8138F" w:rsidP="00A8138F">
      <w:pPr>
        <w:pStyle w:val="TextoNormal"/>
      </w:pPr>
      <w:r>
        <w:t>Como tuvimos ocasión de poner de manifiesto en la STC 111/2012, FJ 3, la “formación profesional” es un “concepto unitario” que “trata de la capacitación para el desempeño de una profesión y el acceso al mercado laboral”. No obstante, su específica articulación en nuestro ordenamiento jurídico “cubre una multiplicidad de figuras con perfiles propios y diferenciados”.</w:t>
      </w:r>
    </w:p>
    <w:p w14:paraId="17777172" w14:textId="77777777" w:rsidR="00A8138F" w:rsidRDefault="00A8138F" w:rsidP="00A8138F">
      <w:pPr>
        <w:pStyle w:val="TextoNormal"/>
      </w:pPr>
    </w:p>
    <w:p w14:paraId="548DAF94" w14:textId="77777777" w:rsidR="00A8138F" w:rsidRDefault="00A8138F" w:rsidP="00A8138F">
      <w:pPr>
        <w:pStyle w:val="TextoNormal"/>
      </w:pPr>
      <w:r>
        <w:t xml:space="preserve">Ya se ha expuesto anteriormente que la Ley Orgánica 3/2022 regula un sistema único e integrado en el que se incluyen la tipología de ofertas garantizadas en los cinco grados de formación (A, B, C, D y E) ya mencionados. De esos cinco grados que configuran el sistema de formación profesional, hay algunos de ellos (los identificados con las letras A a C) que se relacionan directamente con la acreditación de las competencias profesionales adquiridas a través de la experiencia laboral u otras vías, mientras que los otros dos, identificados con las letras D y E, se refieren específicamente a las ofertas de formación que el sistema pone a disposición de los interesados en el ámbito propio del sistema educativo. Como dispone el no impugnado art. 82.3 del Real Decreto 659/2023, “[l]as ofertas de grado D forman parte, además del sistema de formación profesional, de las enseñanzas de formación profesional del sistema educativo, en los términos establecidos en la Ley Orgánica 2/2006, de 3 de mayo, de educación, debiendo contribuir, además de a los objetivos del sistema de formación profesional, a los previstos para este tipo de enseñanzas en dicha ley orgánica para </w:t>
      </w:r>
      <w:r>
        <w:lastRenderedPageBreak/>
        <w:t>cada uno de los grados básico, medio y superior”. Respecto a las ofertas de grado E, su propia regulación (arts. 116 y ss. del Real Decreto 659/2023) pone claramente de relieve su vinculación con el sistema educativo, en cuanto que son las administraciones educativas las que implantan el correspondiente curso de especialización de formación profesional (art. 117 del Real Decreto 659/2023).</w:t>
      </w:r>
    </w:p>
    <w:p w14:paraId="3B867962" w14:textId="77777777" w:rsidR="00A8138F" w:rsidRDefault="00A8138F" w:rsidP="00A8138F">
      <w:pPr>
        <w:pStyle w:val="TextoNormal"/>
      </w:pPr>
    </w:p>
    <w:p w14:paraId="0DBFDA5D" w14:textId="77777777" w:rsidR="00A8138F" w:rsidRDefault="00A8138F" w:rsidP="00A8138F">
      <w:pPr>
        <w:pStyle w:val="TextoNormal"/>
      </w:pPr>
      <w:r>
        <w:t>Lo anterior contribuye a explicar el planteamiento de la demanda y, por tanto, la respuesta que se solicita de este tribunal, por cuanto se controvierten determinados aspectos de la regulación reglamentaria del sistema de formación profesional en cuanto se refieren o se proyectan a lo que la doctrina constitucional ha denominado formación profesional reglada integrada en el sistema educativo, que se corresponde, según hemos expuesto, con los grados D y E de los cinco que define la Ley Orgánica 3/2022. En suma, los preceptos impugnados, o bien se refieren a la formación profesional reglada, o bien se impugnan únicamente en su proyección a dicha formación profesional reglada, como es el caso de los arts. 25.1 b); 47.1 b); 154.6 y 7; 155.2; 157.3; 160 y 205.1 a) y c) del Real Decreto 659/2023, que se examinarán únicamente desde esa perspectiva, en cuanto que es la que ha sido planteada por la comunidad autónoma promotora del conflicto.</w:t>
      </w:r>
    </w:p>
    <w:p w14:paraId="7CDDC4C5" w14:textId="77777777" w:rsidR="00A8138F" w:rsidRDefault="00A8138F" w:rsidP="00A8138F">
      <w:pPr>
        <w:pStyle w:val="TextoNormal"/>
      </w:pPr>
    </w:p>
    <w:p w14:paraId="2B5492BA" w14:textId="77777777" w:rsidR="00A8138F" w:rsidRDefault="00A8138F" w:rsidP="00A8138F">
      <w:pPr>
        <w:pStyle w:val="TextoNormal"/>
      </w:pPr>
      <w:r>
        <w:t>En este caso, por tanto, y atendiendo a lo discutido en este proceso, es patente que el ámbito natural de encuadramiento de los preceptos objeto del presente conflicto es, como coinciden ambas partes procesales, la materia educación no universitaria y, en concreto, la formación profesional reglada, en tanto que integrante del sistema educativo en los términos definidos por la Ley Orgánica 3/2022. Se trata de la formación profesional en la que “los saberes o cualificación con base en aptitudes específicas se imparten en ciclos formativos dirigidos, previa estratificación en niveles y grados, a la obtención de títulos académicos o profesionales que habilitan para el ejercicio de determinadas profesiones u oficios” [STC 63/2024, FJ 3 a)].</w:t>
      </w:r>
    </w:p>
    <w:p w14:paraId="639A9256" w14:textId="77777777" w:rsidR="00A8138F" w:rsidRDefault="00A8138F" w:rsidP="00A8138F">
      <w:pPr>
        <w:pStyle w:val="TextoNormal"/>
      </w:pPr>
    </w:p>
    <w:p w14:paraId="4027F489" w14:textId="77777777" w:rsidR="00A8138F" w:rsidRDefault="00A8138F" w:rsidP="00A8138F">
      <w:pPr>
        <w:pStyle w:val="TextoNormal"/>
      </w:pPr>
      <w:r>
        <w:t>La discrepancia planteada en el proceso gira, en consecuencia, en torno a la delimitación de las competencias estatales y autonómicas en dicha materia.</w:t>
      </w:r>
    </w:p>
    <w:p w14:paraId="53753721" w14:textId="77777777" w:rsidR="00A8138F" w:rsidRDefault="00A8138F" w:rsidP="00A8138F">
      <w:pPr>
        <w:pStyle w:val="TextoNormal"/>
      </w:pPr>
    </w:p>
    <w:p w14:paraId="7466EF99" w14:textId="77777777" w:rsidR="00A8138F" w:rsidRDefault="00A8138F" w:rsidP="00A8138F">
      <w:pPr>
        <w:pStyle w:val="TextoNormal"/>
      </w:pPr>
      <w:r>
        <w:t>La educación es una materia compartida entre el Estado y las comunidades autónomas en cuya regulación deben participar necesariamente los niveles de gobierno estatal y autonómico (STC 134/1997, de 17 de julio, FJ 4). La distribución competencial en materia de educación se encuentra regulada en los arts. 149.1.30 CE y 131 EAC.</w:t>
      </w:r>
    </w:p>
    <w:p w14:paraId="7F9C7CEB" w14:textId="77777777" w:rsidR="00A8138F" w:rsidRDefault="00A8138F" w:rsidP="00A8138F">
      <w:pPr>
        <w:pStyle w:val="TextoNormal"/>
      </w:pPr>
    </w:p>
    <w:p w14:paraId="13BD0896" w14:textId="77777777" w:rsidR="00A8138F" w:rsidRDefault="00A8138F" w:rsidP="00A8138F">
      <w:pPr>
        <w:pStyle w:val="TextoNormal"/>
      </w:pPr>
      <w:r>
        <w:t>En lo que se refiere a las competencias estatales, basta por ahora con remitirse, en relación con el alcance general de las competencias del Estado (art. 149.1.30 CE) a la STC 212/2012, de 14 de noviembre, FJ 3, y, por esa vía, a la STC 184/2012, de 17 de octubre, en cuyo fundamento jurídico 3 sintetizamos nuestra doctrina sobre el artículo 149.1.30 CE, en su doble contenido relativo a la competencia exclusiva para la “regulación de las condiciones de obtención, expedición y homologación de títulos académicos y profesionales”, y a la competencia sobre las “normas básicas para el desarrollo del art. 27 de la Constitución, a fin de garantizar el cumplimiento de las obligaciones de los poderes públicos en esta materia”. En cuanto a esta última, la STC 184/2012, FJ 3, indica que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w:t>
      </w:r>
      <w:r>
        <w:lastRenderedPageBreak/>
        <w:t>formes de ordenación de las materias enunciadas en tal art. 27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 (STC 111/2012, FJ 5)”.</w:t>
      </w:r>
    </w:p>
    <w:p w14:paraId="396FF4EF" w14:textId="77777777" w:rsidR="00A8138F" w:rsidRDefault="00A8138F" w:rsidP="00A8138F">
      <w:pPr>
        <w:pStyle w:val="TextoNormal"/>
      </w:pPr>
    </w:p>
    <w:p w14:paraId="4FBA9DE9" w14:textId="77777777" w:rsidR="00A8138F" w:rsidRDefault="00A8138F" w:rsidP="00A8138F">
      <w:pPr>
        <w:pStyle w:val="TextoNormal"/>
      </w:pPr>
      <w:r>
        <w:t>Por su parte, respecto a las competencias de la comunidad autónoma en materia de educación, en la STC 213/2013, de 19 de diciembre, FJ 3, con cita de la STC 212/2012, FJ 3, hemos señalado que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autonómicas como exclusivas’. Por último, el apartado tercero del mismo precepto atribuye a la Generalitat una competencia compartida ‘[e]n lo no regulado en el apartado segundo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w:t>
      </w:r>
    </w:p>
    <w:p w14:paraId="157E5A08" w14:textId="77777777" w:rsidR="00A8138F" w:rsidRDefault="00A8138F" w:rsidP="00A8138F">
      <w:pPr>
        <w:pStyle w:val="TextoNormal"/>
      </w:pPr>
    </w:p>
    <w:p w14:paraId="1084C0B0" w14:textId="77777777" w:rsidR="00A8138F" w:rsidRDefault="00A8138F" w:rsidP="00A8138F">
      <w:pPr>
        <w:pStyle w:val="TextoNormal"/>
      </w:pPr>
      <w:r>
        <w:t>Por último, dado que en el presente conflicto se ha discutido el carácter formalmente básico de las previsiones impugnadas, en cuanto normas reglamentarias carentes de habilitación legal, así como la extralimitación competencial en la que incurrirían por su contenido material con la consiguiente vulneración de las competencias autonómicas, no resulta impertinente recordar la doctrina constitucional sobre las exigencias materiales y formales que ha de cumplir la normativa básica dictada en este ámbito.</w:t>
      </w:r>
    </w:p>
    <w:p w14:paraId="01040533" w14:textId="77777777" w:rsidR="00A8138F" w:rsidRDefault="00A8138F" w:rsidP="00A8138F">
      <w:pPr>
        <w:pStyle w:val="TextoNormal"/>
      </w:pPr>
    </w:p>
    <w:p w14:paraId="1EBF5F2B" w14:textId="77777777" w:rsidR="00A8138F" w:rsidRDefault="00A8138F" w:rsidP="00A8138F">
      <w:pPr>
        <w:pStyle w:val="TextoNormal"/>
      </w:pPr>
      <w:r>
        <w:t xml:space="preserve">Así, en cuanto a los requisitos formales de las normas básicas, este tribunal ha recordado (STC 31/2010, FJ 60) que, si bien su definición legal es “el contenido que mejor se acomoda a la función estructural y homogeneizadora de las bases y esta la forma normativa que, por razones de estabilidad y certeza, le resulta más adecuada (por todas, STC 69/1988, de 19 de </w:t>
      </w:r>
      <w:r>
        <w:lastRenderedPageBreak/>
        <w:t>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este es el titular de la potestad de dictar las bases de la disciplina de una materia determinada”.</w:t>
      </w:r>
    </w:p>
    <w:p w14:paraId="171B566E" w14:textId="77777777" w:rsidR="00A8138F" w:rsidRDefault="00A8138F" w:rsidP="00A8138F">
      <w:pPr>
        <w:pStyle w:val="TextoNormal"/>
      </w:pPr>
    </w:p>
    <w:p w14:paraId="2511E2B0" w14:textId="77777777" w:rsidR="00A8138F" w:rsidRDefault="00A8138F" w:rsidP="00A8138F">
      <w:pPr>
        <w:pStyle w:val="TextoNormal"/>
      </w:pPr>
      <w:r>
        <w:t>Al respecto, cabe recordar nuestra doctrina específica sobre “la posibilidad de dictar normas básicas de rango reglamentario en el ámbito educativo (STC 77/1985, FJ 15; confirmada en la STC 184/2012, de 17 de octubre, FJ 3, y reiterada en las SSTC 212/2012, 213/2012 y 214/2012, todas ellas de 14 de noviembre; 25/2013, de 31 de enero, FJ 4; 162/2013, de 26 de septiembre, FJ 5, y 213/2013, FJ 4)” (STC 17/2014, de 30 de enero, FJ 6). Como indica la STC 14/2018, FJ 8 a), “los criterios a considerar, de acuerdo con la doctrina específica sobre la posibilidad de dictar normas básicas de rango reglamentario en el ámbito educativo, pueden sintetizarse del modo siguiente: (i) que dicha regulación resulte de una habilitación legal que remita al reglamento para completar los aspectos básicos y (ii) que su rango reglamentario esté justificado por tratarse de materias cuya naturaleza exija un tratamiento para el que las normas legales resultaran inadecuadas, por sus mismas características”.</w:t>
      </w:r>
    </w:p>
    <w:p w14:paraId="3612BE7E" w14:textId="77777777" w:rsidR="00A8138F" w:rsidRDefault="00A8138F" w:rsidP="00A8138F">
      <w:pPr>
        <w:pStyle w:val="TextoNormal"/>
      </w:pPr>
    </w:p>
    <w:p w14:paraId="589A5A74" w14:textId="776A315C" w:rsidR="00A8138F" w:rsidRDefault="00A8138F" w:rsidP="00A8138F">
      <w:pPr>
        <w:pStyle w:val="TextoNormal"/>
      </w:pPr>
      <w:r>
        <w:t>Desde el punto de vista material, la STC 184/2012, FJ 3, afirma que “la normativa básica que ha de establecer el Estado en el ámbito educativo cumple (STC 77/1985, FJ 15, citada en la STC 111/2012, FJ 5) la función de ‘definir los principios normativos y generales y uniformes de ordenación de las materias enunciadas en tal art. 27 CE’, lo que es plenamente coherente con la finalidad material de las bases en el sentido de asegurar (STC 14/2004, de 13 de febrero, FJ 11) ‘una orientación unitaria y dotada de cierta estabilidad en todo aquello que el legislador considera en cada momento aspectos esenciales de dicho sector material (STC 223/2000, de 21 de septiembre, FJ 6, con cita de las SSTC 1/1982, de 28 de enero; 48/1988, de 22 de marzo; 147/1991, de 4 de julio, y 197/1996, de 28 de noviembre)’”.</w:t>
      </w:r>
    </w:p>
    <w:p w14:paraId="242F564A" w14:textId="77777777" w:rsidR="00A8138F" w:rsidRDefault="00A8138F" w:rsidP="00A8138F">
      <w:pPr>
        <w:pStyle w:val="TextoNormal"/>
      </w:pPr>
    </w:p>
    <w:p w14:paraId="1270A77C" w14:textId="77777777" w:rsidR="00A8138F" w:rsidRDefault="00A8138F" w:rsidP="00A8138F">
      <w:pPr>
        <w:pStyle w:val="TextoNormal"/>
      </w:pPr>
      <w:r w:rsidRPr="00A8138F">
        <w:rPr>
          <w:rStyle w:val="NumeroAFNegritaCaracter"/>
        </w:rPr>
        <w:t>5</w:t>
      </w:r>
      <w:r>
        <w:t xml:space="preserve">. </w:t>
      </w:r>
      <w:r w:rsidRPr="00A8138F">
        <w:rPr>
          <w:i/>
        </w:rPr>
        <w:t>Primera queja planteada. Falta de carácter básico de las normas estatales por la carencia de habilitación legal y por su contenido incompatible con su proclamado carácter básico</w:t>
      </w:r>
    </w:p>
    <w:p w14:paraId="5C22485D" w14:textId="77777777" w:rsidR="00A8138F" w:rsidRDefault="00A8138F" w:rsidP="00A8138F">
      <w:pPr>
        <w:pStyle w:val="TextoNormal"/>
      </w:pPr>
    </w:p>
    <w:p w14:paraId="756BA4A0" w14:textId="77777777" w:rsidR="00A8138F" w:rsidRDefault="00A8138F" w:rsidP="00A8138F">
      <w:pPr>
        <w:pStyle w:val="TextoNormal"/>
      </w:pPr>
      <w:r>
        <w:t>Podemos comenzar ya el examen de la primera queja que se formula, enjuiciando los preceptos impugnados agrupados en la forma en la que aparecen en la demanda.</w:t>
      </w:r>
    </w:p>
    <w:p w14:paraId="7A615C81" w14:textId="77777777" w:rsidR="00A8138F" w:rsidRDefault="00A8138F" w:rsidP="00A8138F">
      <w:pPr>
        <w:pStyle w:val="TextoNormal"/>
      </w:pPr>
    </w:p>
    <w:p w14:paraId="0E03FCD1" w14:textId="77777777" w:rsidR="00A8138F" w:rsidRDefault="00A8138F" w:rsidP="00A8138F">
      <w:pPr>
        <w:pStyle w:val="TextoNormal"/>
      </w:pPr>
      <w:r>
        <w:t>En el enjuiciamiento de esta tacha debemos realizar, en la mayor parte de los casos, un doble análisis de cada uno de los preceptos impugnados por esta razón, de acuerdo con los planteamientos realizados en el escrito de interposición del presente conflicto.</w:t>
      </w:r>
    </w:p>
    <w:p w14:paraId="7B8E90DC" w14:textId="77777777" w:rsidR="00A8138F" w:rsidRDefault="00A8138F" w:rsidP="00A8138F">
      <w:pPr>
        <w:pStyle w:val="TextoNormal"/>
      </w:pPr>
    </w:p>
    <w:p w14:paraId="0BC7B042" w14:textId="77777777" w:rsidR="00A8138F" w:rsidRDefault="00A8138F" w:rsidP="00A8138F">
      <w:pPr>
        <w:pStyle w:val="TextoNormal"/>
      </w:pPr>
      <w:r>
        <w:t xml:space="preserve">El primero es de carácter formal y requiere comprobar si existe habilitación legal para que, en los casos cuestionados, la norma reglamentaria intervenga en la delimitación de lo básico en materia de formación profesional integrada en el sistema educativo. En el examen de tal cuestión habremos de tener presente lo dispuesto en el art. 113.1 de la Ley Orgánica </w:t>
      </w:r>
      <w:r>
        <w:lastRenderedPageBreak/>
        <w:t>3/2022, en la medida en que, en los términos y con el alcance que allí se especifican, este precepto habilita al Gobierno para que lleve a cabo el desarrollo reglamentario de los elementos básicos del sistema de formación profesional.</w:t>
      </w:r>
    </w:p>
    <w:p w14:paraId="4CDD37A0" w14:textId="77777777" w:rsidR="00A8138F" w:rsidRDefault="00A8138F" w:rsidP="00A8138F">
      <w:pPr>
        <w:pStyle w:val="TextoNormal"/>
      </w:pPr>
    </w:p>
    <w:p w14:paraId="0F9AF161" w14:textId="77777777" w:rsidR="00A8138F" w:rsidRDefault="00A8138F" w:rsidP="00A8138F">
      <w:pPr>
        <w:pStyle w:val="TextoNormal"/>
      </w:pPr>
      <w:r>
        <w:t>Asimismo, caso de existir habilitación legal, debemos analizar el contenido de los distintos preceptos impugnados para comprobar si, en este caso, la normativa cuestionada persigue la finalidad de garantizar en todo el territorio del Estado un común denominador normativo dirigido a asegurar, de manera unitaria y en condiciones de igualdad, los intereses generales, pero dejando, al mismo tiempo, el espacio correspondiente a las comunidades autónomas para su ulterior desarrollo. Y ello, porque, según tenemos declarado, “es innegable la amplitud de las competencias del Estado en materia educativa, pero también lo es que su ejercicio debe dejar siempre un margen para que las comunidades autónomas puedan desarrollar las facultades que les reconocen sus estatutos” [STC 111/2012, FJ 12 b)].</w:t>
      </w:r>
    </w:p>
    <w:p w14:paraId="7152D11E" w14:textId="77777777" w:rsidR="00A8138F" w:rsidRDefault="00A8138F" w:rsidP="00A8138F">
      <w:pPr>
        <w:pStyle w:val="TextoNormal"/>
      </w:pPr>
    </w:p>
    <w:p w14:paraId="0EF3A21F" w14:textId="77777777" w:rsidR="00A8138F" w:rsidRDefault="00A8138F" w:rsidP="00A8138F">
      <w:pPr>
        <w:pStyle w:val="TextoNormal"/>
      </w:pPr>
      <w:r>
        <w:t>A) El primer precepto impugnado es el art. 25.1 b) relativo a las condiciones y requisitos básicos para el desarrollo de las modalidades presencial, semipresencial y virtual de la formación profesional.</w:t>
      </w:r>
    </w:p>
    <w:p w14:paraId="0083AAA4" w14:textId="77777777" w:rsidR="00A8138F" w:rsidRDefault="00A8138F" w:rsidP="00A8138F">
      <w:pPr>
        <w:pStyle w:val="TextoNormal"/>
      </w:pPr>
    </w:p>
    <w:p w14:paraId="1A6EA85F" w14:textId="77777777" w:rsidR="00A8138F" w:rsidRDefault="00A8138F" w:rsidP="00A8138F">
      <w:pPr>
        <w:pStyle w:val="TextoNormal"/>
      </w:pPr>
      <w:r>
        <w:t>Este precepto prevé, para cada uno de los grados de formación profesional, la obligación de las administraciones competentes de “[p]oner a disposición de los centros públicos y privados que cuenten con concierto para las ofertas de formación profesional o que ejecuten la oferta con financiación pública, una plataforma virtual de formación profesional accesible, y asegurando los materiales y recursos necesarios para las modalidades virtual y semipresencial, así como su actualización permanente”.</w:t>
      </w:r>
    </w:p>
    <w:p w14:paraId="3FAA07B6" w14:textId="77777777" w:rsidR="00A8138F" w:rsidRDefault="00A8138F" w:rsidP="00A8138F">
      <w:pPr>
        <w:pStyle w:val="TextoNormal"/>
      </w:pPr>
    </w:p>
    <w:p w14:paraId="08678B9C" w14:textId="77777777" w:rsidR="00A8138F" w:rsidRDefault="00A8138F" w:rsidP="00A8138F">
      <w:pPr>
        <w:pStyle w:val="TextoNormal"/>
      </w:pPr>
      <w:r>
        <w:t>La demanda sostiene que la obligación de proporcionar a los centros concertados una plataforma virtual es una obligación nueva carente de habilitación legal y que vulnera la competencia de la comunidad autónoma [art. 131.3 h) EAC], en materia de organización de las enseñanzas en régimen no presencial dirigidas al alumnado de edad superior a la escolarización obligatoria, en este caso, de los centros privados de formación profesional sostenidos con fondos públicos. El abogado del Estado defiende que el precepto establece condiciones y requisitos básicos en una concreta modalidad formativa de la oferta de formación profesional que se fundamenta en el marco previsto por las leyes educativas, en las que se modula el alcance material de las bases y se habilita el desarrollo reglamentario.</w:t>
      </w:r>
    </w:p>
    <w:p w14:paraId="129244A9" w14:textId="77777777" w:rsidR="00A8138F" w:rsidRDefault="00A8138F" w:rsidP="00A8138F">
      <w:pPr>
        <w:pStyle w:val="TextoNormal"/>
      </w:pPr>
    </w:p>
    <w:p w14:paraId="10A32E1E" w14:textId="77777777" w:rsidR="00A8138F" w:rsidRDefault="00A8138F" w:rsidP="00A8138F">
      <w:pPr>
        <w:pStyle w:val="TextoNormal"/>
      </w:pPr>
      <w:r>
        <w:t>Examinaremos en primer lugar lo relativo a la habilitación legal del precepto cuestionado. Al respecto, hay que señalar que el art. 68.1 a) de la Ley Orgánica 3/2022 dispone que las ofertas de formación profesional de grados A, B, C, D y E podrán impartirse en cualquiera de las modalidades presencial, semipresencial, virtual o mixta. El apartado tercero de este mismo precepto somete a autorización administrativa la impartición de la formación en cualquiera de las modalidades y remite al reglamento el establecimiento de “los requisitos mínimos específicos para las ofertas en las modalidades semipresencial y virtual”. En el apartado quinto se determina que las enseñanzas de formación profesional pertenecientes al sistema educativo en las modalidades semipresencial y virtual se adaptarán a lo dispuesto en el apartado octavo del art. 42 LOE, el cual, a su vez, habilita al Gobierno para regular las condiciones y requisitos básicos que permitan el desarrollo de las citadas modalidades. De lo hasta aquí expuesto podemos concluir, por tanto, que existe habilitación legal suficiente para la aprobación de la regulación reglamentaria aquí cuestionada.</w:t>
      </w:r>
    </w:p>
    <w:p w14:paraId="5C5F3411" w14:textId="77777777" w:rsidR="00A8138F" w:rsidRDefault="00A8138F" w:rsidP="00A8138F">
      <w:pPr>
        <w:pStyle w:val="TextoNormal"/>
      </w:pPr>
    </w:p>
    <w:p w14:paraId="5A7F4A36" w14:textId="77777777" w:rsidR="00A8138F" w:rsidRDefault="00A8138F" w:rsidP="00A8138F">
      <w:pPr>
        <w:pStyle w:val="TextoNormal"/>
      </w:pPr>
      <w:r>
        <w:t>En segundo lugar, desde el punto de vista material, debe tenerse en cuenta que el apartado sexto del art. 68 de la Ley Orgánica 3/2022 prescribe que las administraciones públicas deberán establecer y mantener una oferta pública, tanto presencial como virtual o mixta, que garantice el acceso a la formación profesional [letra a)] y establecer y mantener una plataforma digital que asegure la oferta de formación virtual [letra b)]. El precepto cuestionado se relaciona con dicha obligación y lo hace de una forma conforme con el orden competencial, en tanto que se limita a exigir la puesta a disposición de una plataforma, sin que determine o imponga una concreta tipología. Plataforma que supone el único modo a través del cual es técnicamente posible la impartición de formación virtual. No se limita, por tanto, la capacidad autonómica para hacer efectivo el acceso a las ofertas de formación virtual mediante el uso de la plataforma que estime conveniente, lo que permite excluir la vulneración competencial denunciada.</w:t>
      </w:r>
    </w:p>
    <w:p w14:paraId="4CE1CC5B" w14:textId="77777777" w:rsidR="00A8138F" w:rsidRDefault="00A8138F" w:rsidP="00A8138F">
      <w:pPr>
        <w:pStyle w:val="TextoNormal"/>
      </w:pPr>
    </w:p>
    <w:p w14:paraId="25583588" w14:textId="77777777" w:rsidR="00A8138F" w:rsidRDefault="00A8138F" w:rsidP="00A8138F">
      <w:pPr>
        <w:pStyle w:val="TextoNormal"/>
      </w:pPr>
      <w:r>
        <w:t>Consecuentemente, la impugnación del art. 25.1 b) del Real Decreto 659/2023 debe ser desestimada.</w:t>
      </w:r>
    </w:p>
    <w:p w14:paraId="6075B842" w14:textId="77777777" w:rsidR="00A8138F" w:rsidRDefault="00A8138F" w:rsidP="00A8138F">
      <w:pPr>
        <w:pStyle w:val="TextoNormal"/>
      </w:pPr>
    </w:p>
    <w:p w14:paraId="0321FE76" w14:textId="77777777" w:rsidR="00A8138F" w:rsidRDefault="00A8138F" w:rsidP="00A8138F">
      <w:pPr>
        <w:pStyle w:val="TextoNormal"/>
      </w:pPr>
      <w:r>
        <w:t>B) El segundo grupo de preceptos impugnados son los arts. 47.1 b); 84.1 b); 96.1 b); 97.3 a), último inciso, y 102.1 del Real Decreto 659/2023.</w:t>
      </w:r>
    </w:p>
    <w:p w14:paraId="07730ED2" w14:textId="77777777" w:rsidR="00A8138F" w:rsidRDefault="00A8138F" w:rsidP="00A8138F">
      <w:pPr>
        <w:pStyle w:val="TextoNormal"/>
      </w:pPr>
    </w:p>
    <w:p w14:paraId="7FC12876" w14:textId="77777777" w:rsidR="00A8138F" w:rsidRDefault="00A8138F" w:rsidP="00A8138F">
      <w:pPr>
        <w:pStyle w:val="TextoNormal"/>
      </w:pPr>
      <w:r>
        <w:t>La demanda considera que todos ellos exceden de la competencia del Estado para fijar las enseñanzas mínimas y el 50 por 100 de los horarios escolares y, en consecuencia, limitan las competencias autonómicas en cuanto al establecimiento de los planes de estudios, incluyendo la organización del currículo de las enseñanzas. El abogado del Estado, por el contrario, ha defendido que se trata de un ejercicio adecuado de las competencias estatales en la materia.</w:t>
      </w:r>
    </w:p>
    <w:p w14:paraId="44AA3BEC" w14:textId="77777777" w:rsidR="00A8138F" w:rsidRDefault="00A8138F" w:rsidP="00A8138F">
      <w:pPr>
        <w:pStyle w:val="TextoNormal"/>
      </w:pPr>
    </w:p>
    <w:p w14:paraId="04D337E6" w14:textId="77777777" w:rsidR="00A8138F" w:rsidRDefault="00A8138F" w:rsidP="00A8138F">
      <w:pPr>
        <w:pStyle w:val="TextoNormal"/>
      </w:pPr>
      <w:r>
        <w:t xml:space="preserve">a) El art. 47.1 b) relativo al carácter y la identificación de la modalidad de oferta de formación denominada “otros programas formativos” (aquellos que, pudiendo incluir formación complementaria adaptada a las características especiales del colectivo beneficiario que favorezca la adquisición de las competencias básicas de la educación básica y el inicio de un itinerario formativo personal, tengan una duración variable), dispone que estos deben estar compuestos, en al menos el 75 por 100 de su duración, por uno o más módulos profesionales del </w:t>
      </w:r>
      <w:r w:rsidRPr="00A8138F">
        <w:rPr>
          <w:i/>
        </w:rPr>
        <w:t>Catálogo modular de formación profesional</w:t>
      </w:r>
      <w:r>
        <w:t xml:space="preserve">, módulos definidos como las unidades coherentes de formación cuya superación garantiza la consecución de las competencias asociadas o es considerado imprescindible para la consecución de las competencias profesionales previstas (arts. 2.17 y 18 de la Ley Orgánica 3/2022). Conforme al art. 46 del Real Decreto 659/2023, el objetivo de esta modalidad es el logro por toda la población activa de, al menos, una formación de educación secundaria postobligatoria de carácter profesional o equivalente, mediante ofertas reconocidas y acreditadas en el marco del sistema de formación profesional en los grados A, B, C y D de grado medio. El diseño específico de cada uno de los programas corresponde a la administración educativa competente con dos condiciones: no coincidir en su estructura con alguna oferta formativa de cualquier grado ya contemplada en el </w:t>
      </w:r>
      <w:r w:rsidRPr="00A8138F">
        <w:rPr>
          <w:i/>
        </w:rPr>
        <w:t>Catálogo modular de formación profesional</w:t>
      </w:r>
      <w:r>
        <w:t xml:space="preserve"> y estar compuestos, en al menos el 75 por 100 de su duración, por uno o más módulos profesionales del </w:t>
      </w:r>
      <w:r w:rsidRPr="00A8138F">
        <w:rPr>
          <w:i/>
        </w:rPr>
        <w:t>Catálogo modular de formación profesional</w:t>
      </w:r>
      <w:r>
        <w:t>. La superación de los programas formativos conducirá a la obtención de una acreditación, certificado o título, que deberá ser expedido por la admi</w:t>
      </w:r>
      <w:r>
        <w:lastRenderedPageBreak/>
        <w:t>nistración competente en materia de formación profesional y tendrá valor acreditable y acumulable en el sistema de formación profesional.</w:t>
      </w:r>
    </w:p>
    <w:p w14:paraId="3EA1EB77" w14:textId="77777777" w:rsidR="00A8138F" w:rsidRDefault="00A8138F" w:rsidP="00A8138F">
      <w:pPr>
        <w:pStyle w:val="TextoNormal"/>
      </w:pPr>
    </w:p>
    <w:p w14:paraId="53A2D886" w14:textId="77777777" w:rsidR="00A8138F" w:rsidRDefault="00A8138F" w:rsidP="00A8138F">
      <w:pPr>
        <w:pStyle w:val="TextoNormal"/>
      </w:pPr>
      <w:r>
        <w:t xml:space="preserve">Lo cuestionado es únicamente el requisito de que estos programas formativos, referidos al grado D, estén compuestos en el 75 por 100 de su duración por módulos profesionales del </w:t>
      </w:r>
      <w:r w:rsidRPr="00A8138F">
        <w:rPr>
          <w:i/>
        </w:rPr>
        <w:t>Catálogo modular de formación profesional</w:t>
      </w:r>
      <w:r>
        <w:t>.</w:t>
      </w:r>
    </w:p>
    <w:p w14:paraId="664E8785" w14:textId="77777777" w:rsidR="00A8138F" w:rsidRDefault="00A8138F" w:rsidP="00A8138F">
      <w:pPr>
        <w:pStyle w:val="TextoNormal"/>
      </w:pPr>
    </w:p>
    <w:p w14:paraId="63CE5B32" w14:textId="77777777" w:rsidR="00A8138F" w:rsidRDefault="00A8138F" w:rsidP="00A8138F">
      <w:pPr>
        <w:pStyle w:val="TextoNormal"/>
      </w:pPr>
      <w:r>
        <w:t>El problema que aquí se plantea ha de entenderse, conforme a la demanda, limitada a la formación profesional que forma parte del sistema educativo, esto es, al denominado grado D, sin que exista controversia en relación con estos “otros programas formativos” de los grados A, B, y C que dan lugar a una acreditación parcial de competencia, un certificado de competencia o un certificado profesional, respectivamente.</w:t>
      </w:r>
    </w:p>
    <w:p w14:paraId="141107E1" w14:textId="77777777" w:rsidR="00A8138F" w:rsidRDefault="00A8138F" w:rsidP="00A8138F">
      <w:pPr>
        <w:pStyle w:val="TextoNormal"/>
      </w:pPr>
    </w:p>
    <w:p w14:paraId="057FAF1A" w14:textId="77777777" w:rsidR="00A8138F" w:rsidRDefault="00A8138F" w:rsidP="00A8138F">
      <w:pPr>
        <w:pStyle w:val="TextoNormal"/>
      </w:pPr>
      <w:r>
        <w:t>Por tanto, la cuestión, circunscrita al ámbito del sistema educativo y en tanto que regla aplicable al diseño de estos programas, se relaciona con las competencias relativas a la fijación de las enseñanzas mínimas o comunes que, conforme a consolidada doctrina constitucional (por todas, STC 34/2023, de 18 de abril, FJ 10, y las que cita) corresponde fijar al Estado dejando un margen de desarrollo a las comunidades autónomas. Con las diferentes denominaciones que ha recibido, el concepto comprende la fijación de objetivos por bloques temáticos con relación a cada disciplina, materia o asignatura, así como los horarios mínimos que se consideren necesarios para su enseñanza efectiva y completa (STC 14/2018, FJ 5).</w:t>
      </w:r>
    </w:p>
    <w:p w14:paraId="0F8DD3A4" w14:textId="77777777" w:rsidR="00A8138F" w:rsidRDefault="00A8138F" w:rsidP="00A8138F">
      <w:pPr>
        <w:pStyle w:val="TextoNormal"/>
      </w:pPr>
    </w:p>
    <w:p w14:paraId="29EC5400" w14:textId="77777777" w:rsidR="00A8138F" w:rsidRDefault="00A8138F" w:rsidP="00A8138F">
      <w:pPr>
        <w:pStyle w:val="TextoNormal"/>
      </w:pPr>
      <w:r>
        <w:t>El art. 13.2 de la Ley Orgánica 3/2022 remite, en punto a la determinación del currículo de la formación profesional de las ofertas de grado D, que son las aquí concernidas en tanto que forman parte del sistema educativo (art. 39.1 de la Ley Orgánica 3/2022), a lo dispuesto en la LOE. El art. 6 LOE dispone que el currículo, que está integrado por el conjunto de objetivos, competencias, contenidos, métodos pedagógicos, criterios de evaluación y, en el caso de la formación profesional, también los resultados del aprendizaje (art. 6.1), será fijado en sus aspectos básicos que constituyen las enseñanzas mínimas, por el Gobierno, previa consulta a las comunidades autónomas, con la finalidad de asegurar una formación común y garantizar la validez de los títulos correspondientes (art. 6.3); enseñanzas mínimas que requerirán el 50 por 100 de los horarios escolares para las comunidades autónomas que tengan lengua cooficial (art. 6.4). Dichas previsiones se aplican a las enseñanzas de formación profesional, con la excepción, que aquí no es relevante, de los cursos de especialización, para las que cada administración educativa podrá decidir aplicar o no la previsión del art. 6.4 (art. 39.4 LOE).</w:t>
      </w:r>
    </w:p>
    <w:p w14:paraId="62C04AE7" w14:textId="77777777" w:rsidR="00A8138F" w:rsidRDefault="00A8138F" w:rsidP="00A8138F">
      <w:pPr>
        <w:pStyle w:val="TextoNormal"/>
      </w:pPr>
    </w:p>
    <w:p w14:paraId="3FB8807F" w14:textId="77777777" w:rsidR="00A8138F" w:rsidRDefault="00A8138F" w:rsidP="00A8138F">
      <w:pPr>
        <w:pStyle w:val="TextoNormal"/>
      </w:pPr>
      <w:r>
        <w:t xml:space="preserve">Siendo esta la regulación legal, es claro que el precepto que examinamos ha sido introducido novedosamente por la norma reglamentaria, y dicha norma no cuenta con habilitación para establecer una previsión como la enjuiciada, a la vista de la regulación del currículo de las enseñanzas de formación profesional que se contiene en la LOE, norma aplicable por la remisión expresa que efectúa la Ley Orgánica 3/2022. Tampoco el art. 73 de la Ley Orgánica 3/2022, que regula este tipo de programas, contiene referencia alguna a la exigencia que venimos examinando, ni habilita a la norma reglamentaria para establecerla. Conforme al canon de enjuiciamiento que ha de aplicarse, dicha falta de habilitación legal determina que la previsión del art. 47.1 b), en cuanto aplicada a las ofertas de otros programas formativos en el ámbito del grado D de la formación profesional, sea contraria al orden </w:t>
      </w:r>
      <w:r>
        <w:lastRenderedPageBreak/>
        <w:t>competencial pues, ya que no hay una remisión al reglamento para completar los aspectos básicos de esta materia, no puede considerarse básica en sentido formal. Tampoco, a la vista de la regulación legal acerca de la fijación del currículo de estas enseñanzas conducentes a la obtención de un título, puede considerarse que ese rango reglamentario, que en este caso sirve para incluir una regulación no prevista en la legislación educativa, ni tampoco en la específica regulación legal de este tipo de programas y que se aparta excepcionalmente de los criterios generales allí fijados, esté justificado por tratarse de materias cuya naturaleza exija un tratamiento para el que las normas legales resultaran inadecuadas.</w:t>
      </w:r>
    </w:p>
    <w:p w14:paraId="6F0B0B2E" w14:textId="77777777" w:rsidR="00A8138F" w:rsidRDefault="00A8138F" w:rsidP="00A8138F">
      <w:pPr>
        <w:pStyle w:val="TextoNormal"/>
      </w:pPr>
    </w:p>
    <w:p w14:paraId="1DB3BD70" w14:textId="77777777" w:rsidR="00A8138F" w:rsidRDefault="00A8138F" w:rsidP="00A8138F">
      <w:pPr>
        <w:pStyle w:val="TextoNormal"/>
      </w:pPr>
      <w:r>
        <w:t>En suma, por lo expuesto, el art. 47.1 b) del Real Decreto 659/2023 es contrario al orden constitucional de distribución de competencias y, por tanto, inconstitucional y nulo, en cuanto aplicable a los programas formativos en el grado D.</w:t>
      </w:r>
    </w:p>
    <w:p w14:paraId="5DCB0311" w14:textId="77777777" w:rsidR="00A8138F" w:rsidRDefault="00A8138F" w:rsidP="00A8138F">
      <w:pPr>
        <w:pStyle w:val="TextoNormal"/>
      </w:pPr>
    </w:p>
    <w:p w14:paraId="4B9436FB" w14:textId="77777777" w:rsidR="00A8138F" w:rsidRDefault="00A8138F" w:rsidP="00A8138F">
      <w:pPr>
        <w:pStyle w:val="TextoNormal"/>
      </w:pPr>
      <w:r>
        <w:t>b) Por conveniencia de la argumentación examinaremos ahora la impugnación de los arts. 84.1 b); 96.1 b) y 102.1, dejando para un momento posterior la del art. 97.3 a), último inciso.</w:t>
      </w:r>
    </w:p>
    <w:p w14:paraId="0A4BB632" w14:textId="77777777" w:rsidR="00A8138F" w:rsidRDefault="00A8138F" w:rsidP="00A8138F">
      <w:pPr>
        <w:pStyle w:val="TextoNormal"/>
      </w:pPr>
    </w:p>
    <w:p w14:paraId="3C1F1F3A" w14:textId="77777777" w:rsidR="00A8138F" w:rsidRDefault="00A8138F" w:rsidP="00A8138F">
      <w:pPr>
        <w:pStyle w:val="TextoNormal"/>
      </w:pPr>
      <w:r>
        <w:t>(i) Los tres preceptos se refieren a la denominada parte de optatividad bien en dobles titulaciones de formación profesional, bien en los ciclos formativos de grado medio y superior. En el primer caso, el art. 84.1 b) dispone que la parte de optatividad será “equivalente a la de un ciclo formativo, compuesta de, al menos, un módulo optativo de duración anual o dos módulos cuatrimestrales”. Los otros dos preceptos, arts. 96.1 b) y 102.1, en la redacción inicial que es la que ha sido impugnada, disponen que el currículo de los ciclos formativos de grado medio y superior ha de incorporar una parte de optatividad integrada por, al menos, un módulo optativo durante la formación con una duración anual o dos módulos cuatrimestrales, cuyo cómputo horario “estará entre 80 y 160 horas”.</w:t>
      </w:r>
    </w:p>
    <w:p w14:paraId="72F99F03" w14:textId="77777777" w:rsidR="00A8138F" w:rsidRDefault="00A8138F" w:rsidP="00A8138F">
      <w:pPr>
        <w:pStyle w:val="TextoNormal"/>
      </w:pPr>
    </w:p>
    <w:p w14:paraId="3F82CB62" w14:textId="77777777" w:rsidR="00A8138F" w:rsidRDefault="00A8138F" w:rsidP="00A8138F">
      <w:pPr>
        <w:pStyle w:val="TextoNormal"/>
      </w:pPr>
      <w:r>
        <w:t>Los preceptos mencionados incurrirían, según la demanda, en el mismo exceso competencial consistente tanto en la falta de habilitación legal como en tener un contenido material excesivamente detallado y lesivo de las competencias autonómicas en la materia. Ambos extremos son negados por el abogado del Estado, para el cual, los preceptos cuentan con la necesaria habilitación legal y son materialmente básicos.</w:t>
      </w:r>
    </w:p>
    <w:p w14:paraId="69C34E3A" w14:textId="77777777" w:rsidR="00A8138F" w:rsidRDefault="00A8138F" w:rsidP="00A8138F">
      <w:pPr>
        <w:pStyle w:val="TextoNormal"/>
      </w:pPr>
    </w:p>
    <w:p w14:paraId="061F29FD" w14:textId="77777777" w:rsidR="00A8138F" w:rsidRDefault="00A8138F" w:rsidP="00A8138F">
      <w:pPr>
        <w:pStyle w:val="TextoNormal"/>
      </w:pPr>
      <w:r>
        <w:t xml:space="preserve">El art. 40 de la Ley Orgánica 3/2022 hace referencia tanto a la posible existencia en la organización modular de los ciclos formativos de módulos específicos, vinculados a la optatividad en grado medio y superior [apartado 1 c)], como a la posibilidad de que reglamentariamente puedan preverse ofertas de grado D basadas en dobles titulaciones del </w:t>
      </w:r>
      <w:r w:rsidRPr="00A8138F">
        <w:rPr>
          <w:i/>
        </w:rPr>
        <w:t>Catálogo modular de ofertas de formación profesional</w:t>
      </w:r>
      <w:r>
        <w:t xml:space="preserve">. A la mencionada optatividad también se refiere el art. 45.2 b) de la Ley Orgánica 3/2022 prescribiendo que ha de estar “integrada por módulos profesionales que doten de mayor flexibilidad a la configuración y capacidad de adaptación de la oferta, para atender la diversidad de la realidad productiva del territorio correspondiente y los intereses y motivaciones personales en la construcción de cada itinerario formativo y profesional, permitiendo la profundización en determinados elementos del ciclo formativo”. También se prevé que las administraciones competentes determinarán, en su caso, módulos profesionales optativos que profundicen en el desarrollo de las competencias transversales tales como, entre otras, la profundización en digitalización aplicada al sector, en iniciativa empresarial y emprendimiento, lenguas extranjeras y el desarrollo sostenible aplicado al sector o bien que aporten los complementos de formación general para </w:t>
      </w:r>
      <w:r>
        <w:lastRenderedPageBreak/>
        <w:t>facilitar el seguimiento del itinerario formativo individual tales como, entre otras, la ampliación de conocimientos humanísticos, científico-técnicos o habilidades sociales.</w:t>
      </w:r>
    </w:p>
    <w:p w14:paraId="63D700AC" w14:textId="77777777" w:rsidR="00A8138F" w:rsidRDefault="00A8138F" w:rsidP="00A8138F">
      <w:pPr>
        <w:pStyle w:val="TextoNormal"/>
      </w:pPr>
    </w:p>
    <w:p w14:paraId="5773D4CB" w14:textId="77777777" w:rsidR="00A8138F" w:rsidRDefault="00A8138F" w:rsidP="00A8138F">
      <w:pPr>
        <w:pStyle w:val="TextoNormal"/>
      </w:pPr>
      <w:r>
        <w:t>A la vista de la regulación de la Ley Orgánica 3/2022 hemos de desestimar la queja basada en la falta de habilitación legal para establecer una regulación como la que aquí se cuestiona, en la medida en que las normas reglamentarias constituyen un complemento necesario para la consecución de los objetivos que persigue el legislador básico. Y desde la perspectiva material, la regulación de elementos optativos en las dobles titulaciones o en los ciclos formativos de grado medio y superior cabe ser considerada como un elemento estructural de la regulación del currículo que ha de ser establecida por el Estado, el cual al ejercer la competencia “sobre las ‘enseñanzas mínimas’” o ‘aspectos básicos del currículo’ (STC 14/2018, FJ 5), trata de garantizar una homogeneidad en la formación que permita la homologación de los títulos y la garantía de una igualdad básica en el ejercicio del derecho a la educación (entre otras, STC 24/2013, de 31 de enero, FJ 5)” [STC 53/2018, de 24 de mayo, FJ 4 b)]. En consecuencia, ha de ser considerada básica la fijación de una parte de optatividad en los ciclos formativos y también en relación con el currículo de las dobles titulaciones.</w:t>
      </w:r>
    </w:p>
    <w:p w14:paraId="428B6EC3" w14:textId="77777777" w:rsidR="00A8138F" w:rsidRDefault="00A8138F" w:rsidP="00A8138F">
      <w:pPr>
        <w:pStyle w:val="TextoNormal"/>
      </w:pPr>
    </w:p>
    <w:p w14:paraId="325081CD" w14:textId="77777777" w:rsidR="00A8138F" w:rsidRDefault="00A8138F" w:rsidP="00A8138F">
      <w:pPr>
        <w:pStyle w:val="TextoNormal"/>
      </w:pPr>
      <w:r>
        <w:t>La demanda alude especialmente a que la vulneración competencial que denuncia viene dada por la regulación de cómo se organiza esta parte de optatividad, por cuanto los preceptos impugnados disponen que deberá estar integrada bien por un módulo de duración anual o bien por dos módulos cuatrimestrales a lo largo del ciclo formativo.</w:t>
      </w:r>
    </w:p>
    <w:p w14:paraId="21D7388E" w14:textId="77777777" w:rsidR="00A8138F" w:rsidRDefault="00A8138F" w:rsidP="00A8138F">
      <w:pPr>
        <w:pStyle w:val="TextoNormal"/>
      </w:pPr>
    </w:p>
    <w:p w14:paraId="18B03207" w14:textId="77777777" w:rsidR="00A8138F" w:rsidRDefault="00A8138F" w:rsidP="00A8138F">
      <w:pPr>
        <w:pStyle w:val="TextoNormal"/>
      </w:pPr>
      <w:r>
        <w:t>Esta concreta tacha también ha de ser desestimada en la medida en que se limita a introducir un criterio rector que ha de ser tenido en cuenta por las administraciones educativas a la hora de establecer los currículos correspondientes. Tarea en la que, conforme al art. 45.3 de la Ley Orgánica 3/2022, pueden incorporar, respetando el currículo básico, módulos complementarios de carácter optativo o autorizar los propuestos por los centros de formación profesional, sin que, por la misma razón, el precepto que examinamos limite el margen de desarrollo autonómico, expresamente reconocido por el legislador orgánico, el cual puede, desde un punto de vista competencial en relación con la ordenación del currículo, “fijar unas u otras bases y dejar mayor o menor margen a las comunidades autónomas” (STC 34/2023, FJ 10).</w:t>
      </w:r>
    </w:p>
    <w:p w14:paraId="42193D88" w14:textId="77777777" w:rsidR="00A8138F" w:rsidRDefault="00A8138F" w:rsidP="00A8138F">
      <w:pPr>
        <w:pStyle w:val="TextoNormal"/>
      </w:pPr>
    </w:p>
    <w:p w14:paraId="6F883946" w14:textId="77777777" w:rsidR="00A8138F" w:rsidRDefault="00A8138F" w:rsidP="00A8138F">
      <w:pPr>
        <w:pStyle w:val="TextoNormal"/>
      </w:pPr>
      <w:r>
        <w:t>(ii) Resta por examinar la impugnación del último inciso del art. 97.3 a).</w:t>
      </w:r>
    </w:p>
    <w:p w14:paraId="15ECD493" w14:textId="77777777" w:rsidR="00A8138F" w:rsidRDefault="00A8138F" w:rsidP="00A8138F">
      <w:pPr>
        <w:pStyle w:val="TextoNormal"/>
      </w:pPr>
    </w:p>
    <w:p w14:paraId="3959324F" w14:textId="77777777" w:rsidR="00A8138F" w:rsidRDefault="00A8138F" w:rsidP="00A8138F">
      <w:pPr>
        <w:pStyle w:val="TextoNormal"/>
      </w:pPr>
      <w:r>
        <w:t xml:space="preserve">El art. 97 del Real Decreto 659/2023 regula los módulos profesionales de la parte troncal del currículo de los ciclos formativos de grado medio y superior. Según el art. 97.2 “[l]as administraciones educativas establecerán sus currículos, de acuerdo con lo regulado en la Ley Orgánica 2/2006, de 3 de mayo, de educación, en la Ley Orgánica 3/2022, en el presente real decreto y en las normas que regulen las diferentes ofertas formativas de formación profesional. Estas normas incluirán la aprobación de propuestas de ofertas formativas de formación profesional y [en] la definición del currículo todos los aspectos básicos del currículo”. En concreto, el apartado 3 a) establece, en el primer inciso, que podrán incorporarse complementos formativos en atención a la realidad socioeconómica del territorio de su competencia y las perspectivas de desarrollo económico y social, con la finalidad de que las enseñanzas respondan en todo momento a las necesidades de cualificación de los sectores socio-productivos de su entorno. De acordarse así, el controvertido último inciso del precepto fija que no podrán incrementar la duración inicialmente prevista para el grado en más </w:t>
      </w:r>
      <w:r>
        <w:lastRenderedPageBreak/>
        <w:t>de un 10 por 100, tratándose del régimen general, o del 40 por 100, tratándose del régimen intensivo.</w:t>
      </w:r>
    </w:p>
    <w:p w14:paraId="4C5F867B" w14:textId="77777777" w:rsidR="00A8138F" w:rsidRDefault="00A8138F" w:rsidP="00A8138F">
      <w:pPr>
        <w:pStyle w:val="TextoNormal"/>
      </w:pPr>
    </w:p>
    <w:p w14:paraId="3311995C" w14:textId="77777777" w:rsidR="00A8138F" w:rsidRDefault="00A8138F" w:rsidP="00A8138F">
      <w:pPr>
        <w:pStyle w:val="TextoNormal"/>
      </w:pPr>
      <w:r>
        <w:t>Las abogadas de la Generalitat de Cataluña consideran que este último inciso determina un incremento de la duración de estos complementos formativos, que tienen carácter optativo, de manera novedosa y careciendo de habilitación legal para ello, con lo que vulnera las competencias autonómicas al limitar su margen de actuación en esta materia. Por el contrario, el abogado del Estado ha estimado que el precepto cuenta con habilitación legal y permite ampliar en un margen concreto la duración del currículo, con lo que no vulnera las competencias autonómicas.</w:t>
      </w:r>
    </w:p>
    <w:p w14:paraId="26B928A2" w14:textId="77777777" w:rsidR="00A8138F" w:rsidRDefault="00A8138F" w:rsidP="00A8138F">
      <w:pPr>
        <w:pStyle w:val="TextoNormal"/>
      </w:pPr>
    </w:p>
    <w:p w14:paraId="6835ACC5" w14:textId="77777777" w:rsidR="00A8138F" w:rsidRDefault="00A8138F" w:rsidP="00A8138F">
      <w:pPr>
        <w:pStyle w:val="TextoNormal"/>
      </w:pPr>
      <w:r>
        <w:t>El art. 23.5 de la Ley Orgánica 3/2022 habilita a las administraciones educativas para “incluir, respetando el correspondiente currículo y la duración mínima de las enseñanzas, complementos formativos que se ajusten a las necesidades de cada sector productivo en el territorio o se adapten a ellas o a las del colectivo destinatario o faciliten la superación de las enseñanzas mediante la adquisición de competencias clave o cualquier otro tipo de formación específica que facilite la inserción sociolaboral”. Posibilidad que reitera el art. 45.3 de la misma Ley Orgánica 3/2022 cuando permite a las administraciones educativas incorporar tales módulos complementarios de carácter optativo “vinculados a la profundización en las competencias propias del ciclo formativo o a la adquisición de competencias adicionales que, complementando la formación, permitan adquirir un perfil profesional más amplio, bien durante el periodo de formación realizada en el centro, bien en la empresa. La duración de la formación podrá, en este caso, ampliarse en el marco de lo previsto en la normativa básica”.</w:t>
      </w:r>
    </w:p>
    <w:p w14:paraId="0A4D8FDC" w14:textId="77777777" w:rsidR="00A8138F" w:rsidRDefault="00A8138F" w:rsidP="00A8138F">
      <w:pPr>
        <w:pStyle w:val="TextoNormal"/>
      </w:pPr>
    </w:p>
    <w:p w14:paraId="5F41FAFF" w14:textId="77777777" w:rsidR="00A8138F" w:rsidRDefault="00A8138F" w:rsidP="00A8138F">
      <w:pPr>
        <w:pStyle w:val="TextoNormal"/>
      </w:pPr>
      <w:r>
        <w:t>Como se aprecia, la Ley Orgánica 3/2022 permite que la duración de la formación pueda ampliarse en el marco de lo previsto por la normativa básica que ha de referirse a la duración de esta formación, para así garantizar un mínimo de homogeneidad en la regulación a aplicar en estos casos a fin de que responda a unas pautas o criterios comunes en atención a las competencias básicas que en esta materia ostenta el Estado. El inciso impugnado cuenta, en tanto que relacionado con la parte de optatividad de los ciclos formativos de grado medio y superior, con la habilitación legal precisa y materialmente ostenta carácter básico ya que, aunque accesorios, los complementos formativos se imparten en el marco de un ciclo integrado en la formación reglada. De ahí la necesidad legalmente impuesta de respetar el correspondiente currículo y la duración mínima de las enseñanzas. Por otra parte, el propio art. 97.3 deja un margen que puede ser considerado suficiente para que las administraciones educativas ejerzan sus competencias estableciendo los complementos formativos y su organización en la forma que estimen conveniente.</w:t>
      </w:r>
    </w:p>
    <w:p w14:paraId="18540985" w14:textId="77777777" w:rsidR="00A8138F" w:rsidRDefault="00A8138F" w:rsidP="00A8138F">
      <w:pPr>
        <w:pStyle w:val="TextoNormal"/>
      </w:pPr>
    </w:p>
    <w:p w14:paraId="472FAB73" w14:textId="77777777" w:rsidR="00A8138F" w:rsidRDefault="00A8138F" w:rsidP="00A8138F">
      <w:pPr>
        <w:pStyle w:val="TextoNormal"/>
      </w:pPr>
      <w:r>
        <w:t>Consecuentemente, la impugnación del último inciso del art. 97.3 a) del Real Decreto 659/2023 ha de ser desestimada.</w:t>
      </w:r>
    </w:p>
    <w:p w14:paraId="1660C8A2" w14:textId="77777777" w:rsidR="00A8138F" w:rsidRDefault="00A8138F" w:rsidP="00A8138F">
      <w:pPr>
        <w:pStyle w:val="TextoNormal"/>
      </w:pPr>
    </w:p>
    <w:p w14:paraId="3707A8D3" w14:textId="77777777" w:rsidR="00A8138F" w:rsidRDefault="00A8138F" w:rsidP="00A8138F">
      <w:pPr>
        <w:pStyle w:val="TextoNormal"/>
      </w:pPr>
      <w:r>
        <w:t>C) El tercer grupo de preceptos impugnados son los arts. 105, letras b) y c); 154.6 y 7, y 160.1 del Real Decreto 659/2023, preceptos todos ellos que tienen relación con la distribución de la formación profesional entre los centros de formación profesional y las empresas u organismos equiparados, para así asegurar el carácter dual de la formación profesional.</w:t>
      </w:r>
    </w:p>
    <w:p w14:paraId="469B4509" w14:textId="77777777" w:rsidR="00A8138F" w:rsidRDefault="00A8138F" w:rsidP="00A8138F">
      <w:pPr>
        <w:pStyle w:val="TextoNormal"/>
      </w:pPr>
    </w:p>
    <w:p w14:paraId="73F9DF8B" w14:textId="77777777" w:rsidR="00A8138F" w:rsidRDefault="00A8138F" w:rsidP="00A8138F">
      <w:pPr>
        <w:pStyle w:val="TextoNormal"/>
      </w:pPr>
      <w:r>
        <w:lastRenderedPageBreak/>
        <w:t>a) El art. 105, relativo al desarrollo e impartición del currículo, fija las reglas para organizar el desarrollo de módulos entre los centros y las empresas respecto del currículo del grado medio y superior. La letra a) indica que la parte troncal de los módulos profesionales vinculados a estándares de competencia profesional deberá ser impartida entre el centro de formación profesional y la empresa, y la cuestionada letra b) prevé que: “En ningún caso podrá desarrollarse un módulo profesional del currículo básico, en su totalidad, en la empresa, ni asignarse a la estancia el equivalente a más del 65 por 100 de las horas de duración total de un módulo profesional”.</w:t>
      </w:r>
    </w:p>
    <w:p w14:paraId="61A0AF1B" w14:textId="77777777" w:rsidR="00A8138F" w:rsidRDefault="00A8138F" w:rsidP="00A8138F">
      <w:pPr>
        <w:pStyle w:val="TextoNormal"/>
      </w:pPr>
    </w:p>
    <w:p w14:paraId="14D6D410" w14:textId="77777777" w:rsidR="00A8138F" w:rsidRDefault="00A8138F" w:rsidP="00A8138F">
      <w:pPr>
        <w:pStyle w:val="TextoNormal"/>
      </w:pPr>
      <w:r>
        <w:t>A juicio de la demanda, esta última regulación carece de habilitación legal y, materialmente, incide en un aspecto organizativo de las enseñanzas que es competencia de la comunidad autónoma. Esta vulneración competencial es negada por el abogado del Estado que señala expresamente la existencia de habilitación legal al respecto.</w:t>
      </w:r>
    </w:p>
    <w:p w14:paraId="52437CFE" w14:textId="77777777" w:rsidR="00A8138F" w:rsidRDefault="00A8138F" w:rsidP="00A8138F">
      <w:pPr>
        <w:pStyle w:val="TextoNormal"/>
      </w:pPr>
    </w:p>
    <w:p w14:paraId="798FAF0C" w14:textId="77777777" w:rsidR="00A8138F" w:rsidRDefault="00A8138F" w:rsidP="00A8138F">
      <w:pPr>
        <w:pStyle w:val="TextoNormal"/>
      </w:pPr>
      <w:r>
        <w:t>La Ley Orgánica 3/2022 define en el art. 2.12 la formación profesional dual como aquella que “se realiza armonizando los procesos de enseñanza y aprendizaje entre el centro de formación profesional y la empresa u organismo equiparado, en corresponsabilidad entre ambos agentes, con la finalidad de la mejora de la empleabilidad de la persona en formación”. Los arts. 55 a 58 de la Ley Orgánica 3/2022 regulan la forma de desarrollo de este carácter dual de la formación profesional. De dicha regulación cabe destacar ahora que prevé el carácter dual de toda la oferta (art. 55.1), así como que exige “una distribución adecuada de los procesos formativos entre los centros de formación profesional y las empresas u organismos equiparados, contribuyendo ambos al logro de las competencias previstas en cada oferta de formación” (art. 55.2). También se establece la duración mínima de la formación en la empresa (el 25 por 100) y que deberá realizarse en el seno de una o varias empresas u organismos equiparados, públicos o privados, pertenecientes al sector productivo o de servicios que sirva de referencia a la formación (art. 55.5). Asimismo, se desarrollan las finalidades de la fase de formación en la empresa u organismo equiparado (art. 56) y, en el art. 57.3 se fijan las reglas de la organización de la formación en la empresa señalando expresamente que dicha formación en empresa u organismo equiparado tendrá consideración de formación curricular.</w:t>
      </w:r>
    </w:p>
    <w:p w14:paraId="36F95E11" w14:textId="77777777" w:rsidR="00A8138F" w:rsidRDefault="00A8138F" w:rsidP="00A8138F">
      <w:pPr>
        <w:pStyle w:val="TextoNormal"/>
      </w:pPr>
    </w:p>
    <w:p w14:paraId="46164C7F" w14:textId="77777777" w:rsidR="00A8138F" w:rsidRDefault="00A8138F" w:rsidP="00A8138F">
      <w:pPr>
        <w:pStyle w:val="TextoNormal"/>
      </w:pPr>
      <w:r>
        <w:t xml:space="preserve">En cuanto a la queja relativa a la falta de habilitación legal para la aprobación del art. 105 b) cabe señalar que el art. 57.4 de la Ley Orgánica 3/2022 prescribe que “[r]eglamentariamente se establecerán las normas que garanticen la calidad del plan de formación de cada persona en formación y de la formación en la empresa u organismo equiparado, así como la preparación adecuada de las personas en formación para esta última”. Este plan de formación se regula en el art. 58 de la Ley Orgánica 3/2022 y necesariamente ha de incluir, entre otros aspectos, el relativo a la duración de los periodos de formación en la empresa. Sobre esta discutida inexistencia de habilitación legal cabe recordar también que el art. 42 </w:t>
      </w:r>
      <w:r w:rsidRPr="00A8138F">
        <w:rPr>
          <w:i/>
        </w:rPr>
        <w:t>bis</w:t>
      </w:r>
      <w:r>
        <w:t xml:space="preserve">.2 LOE señala que “[e]l Gobierno, previa consulta a las comunidades autónomas, regulará las condiciones y requisitos básicos que permitan el desarrollo por las administraciones educativas de la formación profesional dual en el ámbito del sistema educativo”. Por su parte, el art. 113.1 b) de la Ley Orgánica 3/2022 dispone que corresponde al Gobierno la aprobación de “[l]as normas reglamentarias relativas a las condiciones y los requisitos básicos del régimen dual y del desarrollo de las modalidades semipresencial y virtual de la formación profesional, la calidad de los programas y la fase práctica dual de la formación profesional, los instrumentos de aseguramiento de la calidad y los sistemas de certificación </w:t>
      </w:r>
      <w:r>
        <w:lastRenderedPageBreak/>
        <w:t>y cuantas otras sean objeto de esta ley para la concreción de cualesquiera otros elementos básicos del sistema de formación profesional, sin perjuicio de su desarrollo correspondiente por las comunidades autónomas competentes”.</w:t>
      </w:r>
    </w:p>
    <w:p w14:paraId="633ACC72" w14:textId="77777777" w:rsidR="00A8138F" w:rsidRDefault="00A8138F" w:rsidP="00A8138F">
      <w:pPr>
        <w:pStyle w:val="TextoNormal"/>
      </w:pPr>
    </w:p>
    <w:p w14:paraId="6F415EF3" w14:textId="77777777" w:rsidR="00A8138F" w:rsidRDefault="00A8138F" w:rsidP="00A8138F">
      <w:pPr>
        <w:pStyle w:val="TextoNormal"/>
      </w:pPr>
      <w:r>
        <w:t>En el marco definido por la regulación legal antes descrita y el desarrollo reglamentario que esta habilita la “distribución del tiempo entre el centro de formación profesional y la empresa o entidad se establecerán por las administraciones en cada caso competentes, con la colaboración de los centros de formación y las empresas”, conforme dispone el art. 58.2 de la Ley Orgánica 3/2022.</w:t>
      </w:r>
    </w:p>
    <w:p w14:paraId="0D5FD4D9" w14:textId="77777777" w:rsidR="00A8138F" w:rsidRDefault="00A8138F" w:rsidP="00A8138F">
      <w:pPr>
        <w:pStyle w:val="TextoNormal"/>
      </w:pPr>
    </w:p>
    <w:p w14:paraId="1375AEBF" w14:textId="77777777" w:rsidR="00A8138F" w:rsidRDefault="00A8138F" w:rsidP="00A8138F">
      <w:pPr>
        <w:pStyle w:val="TextoNormal"/>
      </w:pPr>
      <w:r>
        <w:t>Por tanto, a la vista de lo expuesto, la queja relativa a la falta de carácter básico desde el punto de vista formal ha de ser desestimada, pues no se trata de una regulación novedosa introducida por el reglamento, en tanto existe habilitación legal suficiente para dictar la norma reglamentaria, ya que la Ley Orgánica 3/2022 habilita al Gobierno para regular, entre otros aspectos, las condiciones y los requisitos básicos del régimen dual y la fase práctica dual de la formación profesional. Así, la regulación examinada supone un complemento del régimen legal en punto a lo relativo a la duración máxima de la formación a adquirir en la empresa. Extremo que, en la medida que ha de integrar el plan de formación diseñada para cada persona que curse esta formación profesional dual, hace recomendable, a partir de la habilitación legal, que la norma reglamentaria fije criterios al respecto.</w:t>
      </w:r>
    </w:p>
    <w:p w14:paraId="16E1F054" w14:textId="77777777" w:rsidR="00A8138F" w:rsidRDefault="00A8138F" w:rsidP="00A8138F">
      <w:pPr>
        <w:pStyle w:val="TextoNormal"/>
      </w:pPr>
    </w:p>
    <w:p w14:paraId="4468A8D5" w14:textId="77777777" w:rsidR="00A8138F" w:rsidRDefault="00A8138F" w:rsidP="00A8138F">
      <w:pPr>
        <w:pStyle w:val="TextoNormal"/>
      </w:pPr>
      <w:r>
        <w:t>Por otra parte, en tanto en cuanto la formación en la empresa u organismo equiparado tiene la consideración de formación curricular, no ha de extrañar que la misma haya de prestarse en condiciones homologables en cualquier parte del territorio nacional. Con ello se garantiza la mínima igualdad en la realización de este tipo de enseñanzas conducentes a la obtención de un título oficial y se evita la producción de disparidades en las posibilidades de los estudiantes en cuanto a la realización de esta formación profesional dual. La norma cuestionada se ajusta a dicho objetivo, a la vez que no anula un margen de decisión propio a la comunidad autónoma en el uso de su competencia en materia de ordenación del currículo, por lo que la queja que se formula no puede ser estimada.</w:t>
      </w:r>
    </w:p>
    <w:p w14:paraId="70971CDA" w14:textId="77777777" w:rsidR="00A8138F" w:rsidRDefault="00A8138F" w:rsidP="00A8138F">
      <w:pPr>
        <w:pStyle w:val="TextoNormal"/>
      </w:pPr>
    </w:p>
    <w:p w14:paraId="5843B4D2" w14:textId="77777777" w:rsidR="00A8138F" w:rsidRDefault="00A8138F" w:rsidP="00A8138F">
      <w:pPr>
        <w:pStyle w:val="TextoNormal"/>
      </w:pPr>
      <w:r>
        <w:t>A su vez, por las mismas razones aquí expuestas, debe ser desestimada también la tacha que, con el mismo fundamento que el ahora desechado, la demanda formula al art. 154.6 del Real Decreto 659/2023, en su proyección a los grados de formación D y E, específicamente en lo relativo a que “[e]n ningún caso podrá desarrollarse la totalidad de un módulo profesional del currículo en su totalidad en la empresa”.</w:t>
      </w:r>
    </w:p>
    <w:p w14:paraId="27D06EB5" w14:textId="77777777" w:rsidR="00A8138F" w:rsidRDefault="00A8138F" w:rsidP="00A8138F">
      <w:pPr>
        <w:pStyle w:val="TextoNormal"/>
      </w:pPr>
    </w:p>
    <w:p w14:paraId="1B8D0223" w14:textId="77777777" w:rsidR="00A8138F" w:rsidRDefault="00A8138F" w:rsidP="00A8138F">
      <w:pPr>
        <w:pStyle w:val="TextoNormal"/>
      </w:pPr>
      <w:r>
        <w:t>En suma, no cabe sino desestimar las impugnaciones de los arts. 105 b) y 154.6 del Real Decreto 659/2023.</w:t>
      </w:r>
    </w:p>
    <w:p w14:paraId="5761DDB2" w14:textId="77777777" w:rsidR="00A8138F" w:rsidRDefault="00A8138F" w:rsidP="00A8138F">
      <w:pPr>
        <w:pStyle w:val="TextoNormal"/>
      </w:pPr>
    </w:p>
    <w:p w14:paraId="377CD462" w14:textId="77777777" w:rsidR="00A8138F" w:rsidRDefault="00A8138F" w:rsidP="00A8138F">
      <w:pPr>
        <w:pStyle w:val="TextoNormal"/>
      </w:pPr>
      <w:r>
        <w:t>b) El segundo precepto impugnado por esta razón es el art. 105 c), que establece que “[l]a organización del desarrollo del currículo de ciclos formativos de grado medio o superior sobre la base de módulos profesionales cuatrimestrales o anuales solo será posible previa decisión de la administración competente o, en su caso, aprobación por ella de la solicitud que formulen los centros del sistema de formación profesional”.</w:t>
      </w:r>
    </w:p>
    <w:p w14:paraId="6F7C7F69" w14:textId="77777777" w:rsidR="00A8138F" w:rsidRDefault="00A8138F" w:rsidP="00A8138F">
      <w:pPr>
        <w:pStyle w:val="TextoNormal"/>
      </w:pPr>
    </w:p>
    <w:p w14:paraId="1348F1B1" w14:textId="77777777" w:rsidR="00A8138F" w:rsidRDefault="00A8138F" w:rsidP="00A8138F">
      <w:pPr>
        <w:pStyle w:val="TextoNormal"/>
      </w:pPr>
      <w:r>
        <w:t xml:space="preserve">La demanda cuestiona que la distribución de la parte optativa a lo largo de los ciclos (un módulo optativo con duración anual o dos cuatrimestrales), además de ser una regulación </w:t>
      </w:r>
      <w:r>
        <w:lastRenderedPageBreak/>
        <w:t>nueva, es una prescripción organizativa y detallada en exceso, que incide en el margen de decisión y desarrollo normativo que corresponde al ámbito competencial de la Generalitat de Cataluña. Además, el establecimiento del régimen de autorización previsto también supone un exceso en las bases porque es un aspecto claramente organizativo que no es complemento indispensable de la finalidad de la norma. Por su parte, el abogado del Estado sostiene que el precepto se limita a concretar unos elementos básicos del currículo respetuosos con las previsiones legales y que pueden ser desarrollados por las administraciones educativas.</w:t>
      </w:r>
    </w:p>
    <w:p w14:paraId="17DED44C" w14:textId="77777777" w:rsidR="00A8138F" w:rsidRDefault="00A8138F" w:rsidP="00A8138F">
      <w:pPr>
        <w:pStyle w:val="TextoNormal"/>
      </w:pPr>
    </w:p>
    <w:p w14:paraId="39E47EC5" w14:textId="77777777" w:rsidR="00A8138F" w:rsidRDefault="00A8138F" w:rsidP="00A8138F">
      <w:pPr>
        <w:pStyle w:val="TextoNormal"/>
      </w:pPr>
      <w:r>
        <w:t>La primera queja que se formula se relaciona, como la propia demanda reconoce, con las planteadas respecto a los arts. 84.1 b), 96.1 b) y 102.1 por lo que ha de ser desestimada por las mismas razones ya expuestas en el apartado B) b) (i) de este mismo fundamento jurídico, al que procede ahora remitirse. A ello cabe añadir que el precepto se limita a regular una posibilidad de actuación que queda a disposición de la administración educativa, en la medida en que la organización del desarrollo del currículo de ciclos formativos de grado medio o superior sobre la base de módulos profesionales cuatrimestrales o anuales solo será posible previa decisión de la administración competente.</w:t>
      </w:r>
    </w:p>
    <w:p w14:paraId="6B1ED76B" w14:textId="77777777" w:rsidR="00A8138F" w:rsidRDefault="00A8138F" w:rsidP="00A8138F">
      <w:pPr>
        <w:pStyle w:val="TextoNormal"/>
      </w:pPr>
    </w:p>
    <w:p w14:paraId="63FF758F" w14:textId="77777777" w:rsidR="00A8138F" w:rsidRDefault="00A8138F" w:rsidP="00A8138F">
      <w:pPr>
        <w:pStyle w:val="TextoNormal"/>
      </w:pPr>
      <w:r>
        <w:t>La misma suerte desestimatoria ha de correr la tacha formulada respecto a la exigencia de autorización. Lo primero que cabe señalar es que el precepto no impone una autorización por parte de la administración educativa en lo relativo al desarrollo del currículo en cuanto a la formación profesional dual, sino que ofrece dos opciones: que el currículo se desarrolle en la forma prevista en la normativa básica a partir de la previa decisión de la administración educativa, o bien que lo haga con su aprobación, a partir de la solicitud que formulen los centros del sistema de formación profesional. Y en esta segunda opción la demanda equipara el término “aprobación” con la exigencia de una autorización expresa, cuando lo que la norma básica hace es, únicamente, exigir materialmente lo mismo que cuando la decisión inicial proviene de la propia administración educativa, esto es, asegurar materialmente su intervención y control sobre la decisión final. Intervención y control que no tiene necesariamente que desarrollarse mediante la técnica de la autorización administrativa, extremo en el que la demanda ha centrado su queja.</w:t>
      </w:r>
    </w:p>
    <w:p w14:paraId="797DCC9D" w14:textId="77777777" w:rsidR="00A8138F" w:rsidRDefault="00A8138F" w:rsidP="00A8138F">
      <w:pPr>
        <w:pStyle w:val="TextoNormal"/>
      </w:pPr>
    </w:p>
    <w:p w14:paraId="2CE97B64" w14:textId="77777777" w:rsidR="00A8138F" w:rsidRDefault="00A8138F" w:rsidP="00A8138F">
      <w:pPr>
        <w:pStyle w:val="TextoNormal"/>
      </w:pPr>
      <w:r>
        <w:t>c) Se impugnan finalmente en este grupo de preceptos los arts. 154.7 y 160.1, relativos a los aspectos relacionados con la organización de las estancias de formación en empresa u organismo equiparado.</w:t>
      </w:r>
    </w:p>
    <w:p w14:paraId="7E6AD069" w14:textId="77777777" w:rsidR="00A8138F" w:rsidRDefault="00A8138F" w:rsidP="00A8138F">
      <w:pPr>
        <w:pStyle w:val="TextoNormal"/>
      </w:pPr>
    </w:p>
    <w:p w14:paraId="5C85FD4F" w14:textId="77777777" w:rsidR="00A8138F" w:rsidRDefault="00A8138F" w:rsidP="00A8138F">
      <w:pPr>
        <w:pStyle w:val="TextoNormal"/>
      </w:pPr>
      <w:r>
        <w:t xml:space="preserve">El art. 154.7, en lo que ha sido objeto del presente conflicto, establece, respecto de las ofertas de grado D, esto es, aquel que se corresponde con los ciclos formativos de formación profesional que forman parte del sistema educativo español en los términos establecidos en la LOE, que existirá siempre, al menos, un periodo de formación en la empresa en cada uno de los dos años de duración mínima del ciclo, mientras que el art. 160.1 prescribe que “[c]ada administración regulará, con carácter general, los momentos en que la formación en empresa u organismo equiparado podrá realizarse durante el desarrollo de la oferta formativa, respetando la obligatoriedad de contar con periodos de formación en empresa en cada uno de los años de duración de la formación, en el caso de los ciclos formativos, con las excepciones contempladas en el apartado quinto del artículo 9 de esta norma”. De este precepto se cuestiona lo mismo que en el art. 154.7, esto es, que, en los casos de ofertas de </w:t>
      </w:r>
      <w:r>
        <w:lastRenderedPageBreak/>
        <w:t>grado D, exista siempre, al menos, un periodo de formación en la empresa en cada uno de los dos años de duración mínima del ciclo.</w:t>
      </w:r>
    </w:p>
    <w:p w14:paraId="712A9552" w14:textId="77777777" w:rsidR="00A8138F" w:rsidRDefault="00A8138F" w:rsidP="00A8138F">
      <w:pPr>
        <w:pStyle w:val="TextoNormal"/>
      </w:pPr>
    </w:p>
    <w:p w14:paraId="40FBD007" w14:textId="77777777" w:rsidR="00A8138F" w:rsidRDefault="00A8138F" w:rsidP="00A8138F">
      <w:pPr>
        <w:pStyle w:val="TextoNormal"/>
      </w:pPr>
      <w:r>
        <w:t>La demanda sostiene que la determinación del momento de realización de la fase de formación en la empresa es una previsión que no se desprende de la Ley Orgánica 3/2022 y que materialmente no es un componente estructural del sistema de formación profesional, sino que es una cuestión organizativa que forma parte de la competencia autonómica. El abogado del Estado se opone a las anteriores consideraciones argumentando que existe habilitación para dicha regulación en el art. 113.1 b) de la Ley Orgánica 3/2022 y que las estancias formativas previstas en estos preceptos implican la impartición de parte del currículo en la empresa, lo que justifica su carácter materialmente básico.</w:t>
      </w:r>
    </w:p>
    <w:p w14:paraId="1D8F7F68" w14:textId="77777777" w:rsidR="00A8138F" w:rsidRDefault="00A8138F" w:rsidP="00A8138F">
      <w:pPr>
        <w:pStyle w:val="TextoNormal"/>
      </w:pPr>
    </w:p>
    <w:p w14:paraId="503742D3" w14:textId="77777777" w:rsidR="00A8138F" w:rsidRDefault="00A8138F" w:rsidP="00A8138F">
      <w:pPr>
        <w:pStyle w:val="TextoNormal"/>
      </w:pPr>
      <w:r>
        <w:t>La queja relativa a la falta de habilitación legal ha de ser desestimada, pues ya hemos comprobado que el art. 113.1 b) de la Ley Orgánica 3/2022 permite al Gobierno aprobar las normas reglamentarias relativas a las condiciones y los requisitos básicos del régimen dual, así como la fase práctica dual de la formación profesional.</w:t>
      </w:r>
    </w:p>
    <w:p w14:paraId="19FD5465" w14:textId="77777777" w:rsidR="00A8138F" w:rsidRDefault="00A8138F" w:rsidP="00A8138F">
      <w:pPr>
        <w:pStyle w:val="TextoNormal"/>
      </w:pPr>
    </w:p>
    <w:p w14:paraId="56785D65" w14:textId="77777777" w:rsidR="00A8138F" w:rsidRDefault="00A8138F" w:rsidP="00A8138F">
      <w:pPr>
        <w:pStyle w:val="TextoNormal"/>
      </w:pPr>
      <w:r>
        <w:t>Por otro lado, desde un punto de vista material, esta regulación, en tanto que dispone que la formación en la empresa haya de desarrollarse durante todos los cursos que conforman la duración mínima del ciclo formativo de que se trate, puede considerarse básica.</w:t>
      </w:r>
    </w:p>
    <w:p w14:paraId="401A215D" w14:textId="77777777" w:rsidR="00A8138F" w:rsidRDefault="00A8138F" w:rsidP="00A8138F">
      <w:pPr>
        <w:pStyle w:val="TextoNormal"/>
      </w:pPr>
    </w:p>
    <w:p w14:paraId="4CB3F57A" w14:textId="77777777" w:rsidR="00A8138F" w:rsidRDefault="00A8138F" w:rsidP="00A8138F">
      <w:pPr>
        <w:pStyle w:val="TextoNormal"/>
      </w:pPr>
      <w:r>
        <w:t>Se trata de una regulación similar a la relativa a la ubicación de las áreas o materias en cada uno de los cursos académicos del resto de etapas del sistema educativo y, por otro lado, viene, de nuevo, a garantizar una mínima homogeneidad en la impartición del currículo de una modalidad formativa conducente a la obtención de un título oficial.</w:t>
      </w:r>
    </w:p>
    <w:p w14:paraId="76AB95C4" w14:textId="77777777" w:rsidR="00A8138F" w:rsidRDefault="00A8138F" w:rsidP="00A8138F">
      <w:pPr>
        <w:pStyle w:val="TextoNormal"/>
      </w:pPr>
    </w:p>
    <w:p w14:paraId="667E30AD" w14:textId="77777777" w:rsidR="00A8138F" w:rsidRDefault="00A8138F" w:rsidP="00A8138F">
      <w:pPr>
        <w:pStyle w:val="TextoNormal"/>
      </w:pPr>
      <w:r>
        <w:t>Además, la regulación no agota la materia. Por un lado, se limita únicamente a la fijación de dicho criterio general sin establecer previsión alguna respecto a su duración pues cada administración educativa ha de regular los momentos en que la formación en empresa u organismo equiparado se realizará durante el desarrollo de la oferta formativa. Por otro, viene acompañada, en el art. 9.5 del mismo Real Decreto 659/2023, de un elenco de excepciones que flexibilizan el anterior criterio y cuya concurrencia corresponde valorar a la administración educativa. Entre ellas se incluye una cláusula de cierre abierta y general que permite a las administraciones educativas modular este requisito sobre la determinación del momento de realización de la fase de formación en la empresa cuando el tejido productivo sea incompatible con ello (“[l]as administraciones competentes podrán establecer excepciones cuando el tejido productivo sea incompatible con el cumplimiento de lo contemplado en el primer párrafo de este apartado”). Las excepciones previstas incorporan así elementos que, en ejercicio de sus competencias, aplicaría la comunidad autónoma para decidir la distribución más adecuada de la formación en función de las propias necesidades y características del alumnado o del tejido productivo.</w:t>
      </w:r>
    </w:p>
    <w:p w14:paraId="2EF36F47" w14:textId="77777777" w:rsidR="00A8138F" w:rsidRDefault="00A8138F" w:rsidP="00A8138F">
      <w:pPr>
        <w:pStyle w:val="TextoNormal"/>
      </w:pPr>
    </w:p>
    <w:p w14:paraId="3A1216A3" w14:textId="77777777" w:rsidR="00A8138F" w:rsidRDefault="00A8138F" w:rsidP="00A8138F">
      <w:pPr>
        <w:pStyle w:val="TextoNormal"/>
      </w:pPr>
      <w:r>
        <w:t>Por consiguiente, la impugnación de los arts. 154.7 y 160.1 del Real Decreto 659/2023 ha de ser desestimada.</w:t>
      </w:r>
    </w:p>
    <w:p w14:paraId="58E9060C" w14:textId="77777777" w:rsidR="00A8138F" w:rsidRDefault="00A8138F" w:rsidP="00A8138F">
      <w:pPr>
        <w:pStyle w:val="TextoNormal"/>
      </w:pPr>
    </w:p>
    <w:p w14:paraId="098D378B" w14:textId="77777777" w:rsidR="00A8138F" w:rsidRDefault="00A8138F" w:rsidP="00A8138F">
      <w:pPr>
        <w:pStyle w:val="TextoNormal"/>
      </w:pPr>
      <w:r>
        <w:t xml:space="preserve">D) Se impugnan los arts. 117.2 y 157.3 del Real Decreto 659/2023, los cuales establecen un régimen de autorización o aprobación por parte de las administraciones educativas, en relación con la concreción por parte de los centros educativos del currículo de cursos de </w:t>
      </w:r>
      <w:r>
        <w:lastRenderedPageBreak/>
        <w:t>especialización del grado E y respecto al plan de formación del que debe disponer cada alumno, respectivamente.</w:t>
      </w:r>
    </w:p>
    <w:p w14:paraId="3D85FDDE" w14:textId="77777777" w:rsidR="00A8138F" w:rsidRDefault="00A8138F" w:rsidP="00A8138F">
      <w:pPr>
        <w:pStyle w:val="TextoNormal"/>
      </w:pPr>
    </w:p>
    <w:p w14:paraId="7E76C6B4" w14:textId="77777777" w:rsidR="00A8138F" w:rsidRDefault="00A8138F" w:rsidP="00A8138F">
      <w:pPr>
        <w:pStyle w:val="TextoNormal"/>
      </w:pPr>
      <w:r>
        <w:t>Según las letradas de la Generalitat de Cataluña la exigencia de una aprobación o autorización carece de habilitación legal y dichos preceptos no responden a los requisitos materiales de las normas básicas, ya que inciden en el ámbito organizativo, en tanto corresponde a la Generalitat de Cataluña decidir si somete las propuestas previstas en la norma a autorización u otros regímenes posibles, como la comunicación o poner la información a disposición de la inspección educativa para su control. El abogado del Estado entiende que el art. 117.2 no es sino una concreción de lo previsto en el art. 6.5 LOE en relación con el art. 52.2 de la Ley Orgánica 3/2022, mientras que el art. 157.3 concretaría la regulación del plan de formación prevista en el art. 58 de la Ley Orgánica 3/2022.</w:t>
      </w:r>
    </w:p>
    <w:p w14:paraId="19F247DE" w14:textId="77777777" w:rsidR="00A8138F" w:rsidRDefault="00A8138F" w:rsidP="00A8138F">
      <w:pPr>
        <w:pStyle w:val="TextoNormal"/>
      </w:pPr>
    </w:p>
    <w:p w14:paraId="09112640" w14:textId="77777777" w:rsidR="00A8138F" w:rsidRDefault="00A8138F" w:rsidP="00A8138F">
      <w:pPr>
        <w:pStyle w:val="TextoNormal"/>
      </w:pPr>
      <w:r>
        <w:t>a) Comenzaremos el examen que se nos demanda por el art. 117.2 del Real Decreto 659/2023, conforme al cual se habilita a los centros docentes, en el uso de su autonomía, para que complementen y organicen el currículo del curso de especialización, si bien la programación resultante deberá ser aprobada por la administración competente y pasará a formar parte de su proyecto educativo.</w:t>
      </w:r>
    </w:p>
    <w:p w14:paraId="657FC9AF" w14:textId="77777777" w:rsidR="00A8138F" w:rsidRDefault="00A8138F" w:rsidP="00A8138F">
      <w:pPr>
        <w:pStyle w:val="TextoNormal"/>
      </w:pPr>
    </w:p>
    <w:p w14:paraId="21A9050C" w14:textId="77777777" w:rsidR="00A8138F" w:rsidRDefault="00A8138F" w:rsidP="00A8138F">
      <w:pPr>
        <w:pStyle w:val="TextoNormal"/>
      </w:pPr>
      <w:r>
        <w:t>Según el art. 51 de la Ley Orgánica 3/2022, los cursos de especialización que integran el grado E del sistema de formación profesional “tienen por objeto complementar y profundizar en las competencias de quienes ya disponen de un título de formación profesional o cumplan las condiciones de acceso que para cada uno de los cursos se determinen”. Esos cursos de especialización podrán formar parte de la educación secundaria postobligatoria o de la educación superior, en función del nivel de las titulaciones previas exigidas para el acceso. Según el art. 113.1 g) de la Ley Orgánica 3/2022, corresponde al Gobierno la aprobación de los aspectos básicos de los currículos, así como los requisitos y procedimientos para su acreditación o titulación. Tales aspectos básicos del currículo se concretan en el no impugnado art. 116 del Real Decreto 659/2023. A las administraciones educativas les corresponde implantar el correspondiente curso de especialización conforme al art. 117, cosa que pueden hacer bien manteniendo de manera íntegra su diseño de acuerdo con los elementos básicos del currículo y duración, sin introducir modificaciones, o bien complementando el currículo básico y su duración en el marco de sus competencias. Este mismo precepto permite que los centros docentes, en el uso de su autonomía, puedan complementar y organizar, en su caso, el currículo del curso de especialización, si bien la programación resultante deberá ser aprobada por la administración competente, único extremo que se controvierte en la demanda.</w:t>
      </w:r>
    </w:p>
    <w:p w14:paraId="0C2BDFD1" w14:textId="77777777" w:rsidR="00A8138F" w:rsidRDefault="00A8138F" w:rsidP="00A8138F">
      <w:pPr>
        <w:pStyle w:val="TextoNormal"/>
      </w:pPr>
    </w:p>
    <w:p w14:paraId="51AA224A" w14:textId="77777777" w:rsidR="00A8138F" w:rsidRDefault="00A8138F" w:rsidP="00A8138F">
      <w:pPr>
        <w:pStyle w:val="TextoNormal"/>
      </w:pPr>
      <w:r>
        <w:t>Centrada así la cuestión discutida, cabe apreciar, en primer lugar, que puede entenderse que esta cuestión cuenta con habilitación legal en el ya mencionado art. 113.1 de la Ley Orgánica 3/2022, el cual atribuye al Gobierno la aprobación de “[l]as normas reglamentarias del sistema de formación profesional” [letra a)] y “[l]as normas reglamentarias relativas a las condiciones y los requisitos básicos del régimen dual y del desarrollo de las modalidades semipresencial y virtual de la formación profesional, la calidad de los programas y la fase práctica dual de la formación profesional”, así como la “concreción de cualesquiera otros elementos básicos del sistema de formación profesional, sin perjuicio de su desarrollo correspondiente por las comunidades autónomas competentes” [letra b)]. Se trata, por tanto, de una previsión básica en el sentido formal.</w:t>
      </w:r>
    </w:p>
    <w:p w14:paraId="1B56E848" w14:textId="77777777" w:rsidR="00A8138F" w:rsidRDefault="00A8138F" w:rsidP="00A8138F">
      <w:pPr>
        <w:pStyle w:val="TextoNormal"/>
      </w:pPr>
    </w:p>
    <w:p w14:paraId="121BBAEE" w14:textId="77777777" w:rsidR="00A8138F" w:rsidRDefault="00A8138F" w:rsidP="00A8138F">
      <w:pPr>
        <w:pStyle w:val="TextoNormal"/>
      </w:pPr>
      <w:r>
        <w:t>La regulación cuestionada puede ser considerada también materialmente básica en cuanto que supone precisamente una concreción que afecta a uno de los elementos esenciales del sistema de la formación profesional. Se trata de la determinación del currículo de los denominados cursos de especialización que forman parte, como hemos visto, de la educación secundaria postobligatoria o de la educación superior y cuya superación permite la obtención de los correspondientes títulos. De este modo, si dentro del marco establecido por las bases, las administraciones educativas han de establecer el currículo de las distintas enseñanzas, conforme a lo previsto en el art. 6 LOE, es de todo punto lógico que su intervención en las propuestas de modificación del currículo haya de tener la misma intensidad. En otro caso, esa capacidad de fijar currículos que viene exigida por la legislación orgánica en materia de educación podría quedar desvirtuada si las posibles modificaciones a introducir en el mencionado currículo no fueran sometidas a similar control por parte de quien es competente para establecerlo en desarrollo de la habilitación otorgada por las normas básicas en la materia.</w:t>
      </w:r>
    </w:p>
    <w:p w14:paraId="20A1B09C" w14:textId="77777777" w:rsidR="00A8138F" w:rsidRDefault="00A8138F" w:rsidP="00A8138F">
      <w:pPr>
        <w:pStyle w:val="TextoNormal"/>
      </w:pPr>
    </w:p>
    <w:p w14:paraId="4B88F2D0" w14:textId="77777777" w:rsidR="00A8138F" w:rsidRDefault="00A8138F" w:rsidP="00A8138F">
      <w:pPr>
        <w:pStyle w:val="TextoNormal"/>
      </w:pPr>
      <w:r>
        <w:t>b) El impugnado art. 157.3 dispone que “[e]l plan de formación estará sometido a las modificaciones necesarias a lo largo del desarrollo del periodo de la formación en empresa, que serán comunicadas y autorizadas por la administración competente”.</w:t>
      </w:r>
    </w:p>
    <w:p w14:paraId="7A8F2E02" w14:textId="77777777" w:rsidR="00A8138F" w:rsidRDefault="00A8138F" w:rsidP="00A8138F">
      <w:pPr>
        <w:pStyle w:val="TextoNormal"/>
      </w:pPr>
    </w:p>
    <w:p w14:paraId="40D8BD21" w14:textId="77777777" w:rsidR="00A8138F" w:rsidRDefault="00A8138F" w:rsidP="00A8138F">
      <w:pPr>
        <w:pStyle w:val="TextoNormal"/>
      </w:pPr>
      <w:r>
        <w:t>Lo discutido es únicamente, como ya hemos señalado, la exigencia de autorización de las modificaciones en el plan de formación del que obligatoriamente ha de disponer cada persona que curse una formación profesional dual.</w:t>
      </w:r>
    </w:p>
    <w:p w14:paraId="07BF6091" w14:textId="77777777" w:rsidR="00A8138F" w:rsidRDefault="00A8138F" w:rsidP="00A8138F">
      <w:pPr>
        <w:pStyle w:val="TextoNormal"/>
      </w:pPr>
    </w:p>
    <w:p w14:paraId="6DCA5026" w14:textId="77777777" w:rsidR="00A8138F" w:rsidRDefault="00A8138F" w:rsidP="00A8138F">
      <w:pPr>
        <w:pStyle w:val="TextoNormal"/>
      </w:pPr>
      <w:r>
        <w:t>En cuanto a la denunciada carencia de habilitación legal, es patente que no puede estimarse. La norma impugnada desarrolla la previsión del art. 58.2 de la Ley Orgánica 3/2022 cuando dispone que “[l]a concreción del plan de formación, el sistema de seguimiento y evaluación del aprendizaje, así como los procesos de asignación de las personas en formación y de distribución del tiempo entre el centro de formación profesional y la empresa o entidad se establecerán por las administraciones en cada caso competentes, con la colaboración de los centros de formación y las empresas”. Previsión que ha de ser puesta en relación con la del ya mencionado art. 57.4 de la Ley Orgánica 3/2022, en cuya virtud “[r]eglamentariamente se establecerán las normas que garanticen la calidad del plan de formación de cada persona en formación y de la formación en la empresa u organismo equiparado, así como la preparación adecuada de las personas en formación para esta última”.</w:t>
      </w:r>
    </w:p>
    <w:p w14:paraId="73447110" w14:textId="77777777" w:rsidR="00A8138F" w:rsidRDefault="00A8138F" w:rsidP="00A8138F">
      <w:pPr>
        <w:pStyle w:val="TextoNormal"/>
      </w:pPr>
    </w:p>
    <w:p w14:paraId="2E2DDA4A" w14:textId="77777777" w:rsidR="00A8138F" w:rsidRDefault="00A8138F" w:rsidP="00A8138F">
      <w:pPr>
        <w:pStyle w:val="TextoNormal"/>
      </w:pPr>
      <w:r>
        <w:t xml:space="preserve">Desde el punto de vista material hay que advertir que el no impugnado art. 156.2 d) del Real Decreto 659/2023 se refiere a la autorización del plan de formación, en el seno del modelo del acuerdo o convenio que las administraciones educativas han de establecer. Autorización que, en lo que implica de “intervención administrativa relacionada con una forma de impartición de los ciclos formativos de la formación profesional en tanto que acciones e iniciativas formativas que tienen por objeto llevar a cabo la formación del alumnado de formación profesional del sistema educativo en colaboración con empresas” (STC 27/2014, de 13 de febrero, FJ 8) puede considerarse que responde al objetivo legalmente establecido de garantizar “la calidad del plan de formación de cada persona en formación y de la formación en la empresa u organismo equiparado” (art. 57.4 de la Ley Orgánica 3/2022). Esto es, el concreto plan de formación ha de ser autorizado por la administración educativa a fin de valorar si, como garantía de su calidad, se ajusta a los términos que la administración </w:t>
      </w:r>
      <w:r>
        <w:lastRenderedPageBreak/>
        <w:t>competente, respetando el marco básico, ha estimado conveniente definir en el modelo de acuerdo o convenio. Siendo así no puede extrañar que lo propio suceda, en cuanto ordenado a la misma finalidad, respecto a las posibles modificaciones del mencionado plan, lo que hace necesario su autorización por la administración competente como mecanismo tanto para asegurar que el mencionado plan de formación cumpla con su finalidad sin merma de la calidad exigible, como para que no quede desvirtuado por modificaciones sobrevenidas.</w:t>
      </w:r>
    </w:p>
    <w:p w14:paraId="4007307E" w14:textId="77777777" w:rsidR="00A8138F" w:rsidRDefault="00A8138F" w:rsidP="00A8138F">
      <w:pPr>
        <w:pStyle w:val="TextoNormal"/>
      </w:pPr>
    </w:p>
    <w:p w14:paraId="0C308DE4" w14:textId="77777777" w:rsidR="00A8138F" w:rsidRDefault="00A8138F" w:rsidP="00A8138F">
      <w:pPr>
        <w:pStyle w:val="TextoNormal"/>
      </w:pPr>
      <w:r>
        <w:t>Consecuentemente, se desestima la impugnación de los arts. 117.2 y 157.3 del Real Decreto 659/2023.</w:t>
      </w:r>
    </w:p>
    <w:p w14:paraId="0B39F4CF" w14:textId="77777777" w:rsidR="00A8138F" w:rsidRDefault="00A8138F" w:rsidP="00A8138F">
      <w:pPr>
        <w:pStyle w:val="TextoNormal"/>
      </w:pPr>
    </w:p>
    <w:p w14:paraId="70ACEB7B" w14:textId="77777777" w:rsidR="00A8138F" w:rsidRDefault="00A8138F" w:rsidP="00A8138F">
      <w:pPr>
        <w:pStyle w:val="TextoNormal"/>
      </w:pPr>
      <w:r>
        <w:t>E) El siguiente precepto cuestionado es el art. 155.2 del Real Decreto 659/2023 que regula los criterios de asignación del alumnado de formación profesional dual para la formación en empresa u organismo equiparado.</w:t>
      </w:r>
    </w:p>
    <w:p w14:paraId="13209298" w14:textId="77777777" w:rsidR="00A8138F" w:rsidRDefault="00A8138F" w:rsidP="00A8138F">
      <w:pPr>
        <w:pStyle w:val="TextoNormal"/>
      </w:pPr>
    </w:p>
    <w:p w14:paraId="73B91645" w14:textId="77777777" w:rsidR="00A8138F" w:rsidRDefault="00A8138F" w:rsidP="00A8138F">
      <w:pPr>
        <w:pStyle w:val="TextoNormal"/>
      </w:pPr>
      <w:r>
        <w:t>De tales criterios se cuestiona el segundo inciso del primer párrafo del art. 155.2, según el cual “[l]os centros recogerán las solicitudes de cada alumno o alumna con indicación de la preferencia en participar en el régimen general o intensivo, en el caso de ofertar una misma especialidad en ambos regímenes, así como de la preferencia de las empresas. La asignación se realizará conjuntamente por un representante de la empresa y los representantes del centro, en base a criterios objetivos de competencia e idoneidad establecidos en el centro y acordados con la empresa” y también el tercer párrafo de este art. 155.2 que dispone que “[l]os criterios contemplarán, al menos, el rendimiento y la asistencia a las actividades lectivas en el centro de formación profesional, así como las competencias personales de cada persona en formación, como su capacidad para el trabajo en equipo, la capacidad para toma de decisiones y la capacidad para la innovación y la creatividad”. En ambos casos tales criterios se cuestionan en su aplicación a los grados de formación D y, en su caso, E.</w:t>
      </w:r>
    </w:p>
    <w:p w14:paraId="56341C91" w14:textId="77777777" w:rsidR="00A8138F" w:rsidRDefault="00A8138F" w:rsidP="00A8138F">
      <w:pPr>
        <w:pStyle w:val="TextoNormal"/>
      </w:pPr>
    </w:p>
    <w:p w14:paraId="4CFA41B5" w14:textId="77777777" w:rsidR="00A8138F" w:rsidRDefault="00A8138F" w:rsidP="00A8138F">
      <w:pPr>
        <w:pStyle w:val="TextoNormal"/>
      </w:pPr>
      <w:r>
        <w:t>La demanda sostiene que los incisos cuestionados carecen de habilitación legal y, en la medida que regulan el procedimiento que han de seguir los centros para asignar las estancias en empresa y que establecen los criterios que han de aplicar los centros para hacer estas asignaciones, vulneran las competencias de la Generalitat de Cataluña en materia de acceso a la educación y el establecimiento y la regulación de los criterios de admisión y escolarización del alumnado en los centros docentes. El abogado del Estado indica que las normas estatales establecen un sistema básico para todas las administraciones educativas, que no agota, en ningún caso, su capacidad normativa de desarrollo.</w:t>
      </w:r>
    </w:p>
    <w:p w14:paraId="17476BD8" w14:textId="77777777" w:rsidR="00A8138F" w:rsidRDefault="00A8138F" w:rsidP="00A8138F">
      <w:pPr>
        <w:pStyle w:val="TextoNormal"/>
      </w:pPr>
    </w:p>
    <w:p w14:paraId="40F2A411" w14:textId="77777777" w:rsidR="00A8138F" w:rsidRDefault="00A8138F" w:rsidP="00A8138F">
      <w:pPr>
        <w:pStyle w:val="TextoNormal"/>
      </w:pPr>
      <w:r>
        <w:t>a) En cuanto a la denunciada falta de habilitación legal, ya hemos señalado que el art. 113 de la Ley Orgánica 3/2022 atribuye al Gobierno la aprobación de las normas reglamentarias relativas a las condiciones y los requisitos básicos del régimen dual y las del desarrollo de la fase práctica dual de la formación profesional. Sin embargo, ni entre tales condiciones y requisitos básicos y tampoco en cuanto al desarrollo de la formación profesional dual, ambos susceptibles de desarrollo reglamentario, podemos considerar que se encuentran las relativas a los aspectos procedimentales relativos a cómo deben documentarse las solicitudes mediante las cuales se ha de proceder a la asignación del alumnado para las estancias en empresas, con lo que el precepto carece de habilitación legal en este punto.</w:t>
      </w:r>
    </w:p>
    <w:p w14:paraId="379F4EC5" w14:textId="77777777" w:rsidR="00A8138F" w:rsidRDefault="00A8138F" w:rsidP="00A8138F">
      <w:pPr>
        <w:pStyle w:val="TextoNormal"/>
      </w:pPr>
    </w:p>
    <w:p w14:paraId="1EC03667" w14:textId="77777777" w:rsidR="00A8138F" w:rsidRDefault="00A8138F" w:rsidP="00A8138F">
      <w:pPr>
        <w:pStyle w:val="TextoNormal"/>
      </w:pPr>
      <w:r>
        <w:t xml:space="preserve">Aspecto que, desde el punto de vista material y precisamente por dicho carácter procedimental, ha de corresponder desarrollar a las administraciones educativas, respetando una </w:t>
      </w:r>
      <w:r>
        <w:lastRenderedPageBreak/>
        <w:t>serie de directrices básicas, como la obligación de informar del régimen en que podrán realizar su formación en empresa, la duración de la formación, las características de cada régimen y la comunicación previa de los criterios de adjudicación de empresa y condiciones, tal como prevé el no impugnado art. 155.1 del Real Decreto 659/2023, o también la necesidad de que la asignación de la o las estancias en empresa se realice con transparencia y objetividad. En la STC 27/2014, FJ 6, este tribunal ya consideró que el Estado podía regular la información y orientación sobre este tipo de formación, pero respetando que “la administración autonómica establezca la forma de llevar a cabo dichas tareas en la forma que estime más conveniente para la consecución de la finalidad pretendida”.</w:t>
      </w:r>
    </w:p>
    <w:p w14:paraId="7C46B44D" w14:textId="77777777" w:rsidR="00A8138F" w:rsidRDefault="00A8138F" w:rsidP="00A8138F">
      <w:pPr>
        <w:pStyle w:val="TextoNormal"/>
      </w:pPr>
    </w:p>
    <w:p w14:paraId="75683537" w14:textId="77777777" w:rsidR="00A8138F" w:rsidRDefault="00A8138F" w:rsidP="00A8138F">
      <w:pPr>
        <w:pStyle w:val="TextoNormal"/>
      </w:pPr>
      <w:r>
        <w:t>En suma, por lo expuesto, el segundo inciso del primer párrafo del art. 155.2 cuando dispone que “[l]os centros recogerán las solicitudes de cada alumno o alumna con indicación de la preferencia en participar en el régimen general o intensivo, en el caso de ofertar una misma especialidad en ambos regímenes, así como de la preferencia de las empresas”, en su aplicación a los grados de formación D y, en su caso, E, es contrario al orden competencial e inconstitucional y nulo.</w:t>
      </w:r>
    </w:p>
    <w:p w14:paraId="40A1BA6B" w14:textId="77777777" w:rsidR="00A8138F" w:rsidRDefault="00A8138F" w:rsidP="00A8138F">
      <w:pPr>
        <w:pStyle w:val="TextoNormal"/>
      </w:pPr>
    </w:p>
    <w:p w14:paraId="6CC7115A" w14:textId="77777777" w:rsidR="00A8138F" w:rsidRDefault="00A8138F" w:rsidP="00A8138F">
      <w:pPr>
        <w:pStyle w:val="TextoNormal"/>
      </w:pPr>
      <w:r>
        <w:t>b) También se cuestiona la determinación estatal de los aspectos o elementos que, como mínimo, deben contemplar los criterios que apliquen los centros para hacer las asignaciones de los alumnos a la empresa. En concreto, que la asignación se realice conjuntamente por un representante de la empresa y los representantes del centro, en base a criterios objetivos de competencia e idoneidad establecidos en el centro y acordados con la empresa y también que los mencionados criterios contemplen, al menos, el rendimiento y la asistencia a las actividades lectivas en el centro de formación profesional, así como las competencias personales de cada persona en formación, como su capacidad para el trabajo en equipo, la capacidad para toma de decisiones y la capacidad para la innovación y la creatividad.</w:t>
      </w:r>
    </w:p>
    <w:p w14:paraId="718868DE" w14:textId="77777777" w:rsidR="00A8138F" w:rsidRDefault="00A8138F" w:rsidP="00A8138F">
      <w:pPr>
        <w:pStyle w:val="TextoNormal"/>
      </w:pPr>
    </w:p>
    <w:p w14:paraId="156B332D" w14:textId="77777777" w:rsidR="00A8138F" w:rsidRDefault="00A8138F" w:rsidP="00A8138F">
      <w:pPr>
        <w:pStyle w:val="TextoNormal"/>
      </w:pPr>
      <w:r>
        <w:t>Al respecto, puede considerarse que tales cuestiones cuentan con una habilitación legal previa, en tanto que los criterios de asignación de alumnos pueden entenderse relacionados con las condiciones y requisitos básicos de la formación profesional dual susceptibles de desarrollo reglamentario, en los términos del art. 113.1 de la Ley Orgánica 3/2022.</w:t>
      </w:r>
    </w:p>
    <w:p w14:paraId="56C34919" w14:textId="77777777" w:rsidR="00A8138F" w:rsidRDefault="00A8138F" w:rsidP="00A8138F">
      <w:pPr>
        <w:pStyle w:val="TextoNormal"/>
      </w:pPr>
    </w:p>
    <w:p w14:paraId="23DFB2E8" w14:textId="77777777" w:rsidR="00A8138F" w:rsidRDefault="00A8138F" w:rsidP="00A8138F">
      <w:pPr>
        <w:pStyle w:val="TextoNormal"/>
      </w:pPr>
      <w:r>
        <w:t>Desde un punto de vista material se trata de un aspecto que guarda cierta similitud con la regulación de un proceso de admisión a las enseñanzas regladas, en el que la competencia estatal para el establecimiento de criterios prioritarios de selección para admisión de alumnos en los centros sostenidos con fondos públicos en caso de no existir plazas suficientes, fue ya declarada en la STC 77/1985, y reiterada posteriormente en las SSTC 184/2012, FJ 4 b); 214/2012, FJ 7, y 271/2015, de 17 de diciembre, FJ 3.</w:t>
      </w:r>
    </w:p>
    <w:p w14:paraId="2B3DA62D" w14:textId="77777777" w:rsidR="00A8138F" w:rsidRDefault="00A8138F" w:rsidP="00A8138F">
      <w:pPr>
        <w:pStyle w:val="TextoNormal"/>
      </w:pPr>
    </w:p>
    <w:p w14:paraId="7FAED310" w14:textId="77777777" w:rsidR="00A8138F" w:rsidRDefault="00A8138F" w:rsidP="00A8138F">
      <w:pPr>
        <w:pStyle w:val="TextoNormal"/>
      </w:pPr>
      <w:r>
        <w:t>En este caso, la asignación de alumnos se atiene a unas reglas mínimas comunes para el reparto de plazas escolares en el ámbito del sistema público de enseñanza, integrado por los centros docentes públicos y por los centros sostenidos por la administración con fondos públicos. Reparto que, si bien se produce en el marco de una formación a la que ya se ha accedido, trata de fijar los criterios de acceso a una parte de esa formación que necesariamente ha de realizarse de un modo determinado mediante estancias en empresas. Por tanto, puede considerarse materialmente básico, pues, además, la concreción de los aspectos o elementos que, como mínimo, deben contemplar los criterios que apliquen los centros para hacer las asignaciones (rendimiento, asistencia a actividades lectivas, competencias perso</w:t>
      </w:r>
      <w:r>
        <w:lastRenderedPageBreak/>
        <w:t>nales como la capacidad para trabajar en equipo, para tomar decisiones y para la innovación y creatividad), reúne las condiciones que debe cumplir la normativa reglamentaria con carácter básico tanto en lo que respecta a su contenido material como a su exhaustividad. El aseguramiento del mínimo común normativo en cada materia requiere del dictado de disposiciones reguladoras que pueden tener distinto alcance, teniendo todas en común la exigencia de dejar margen suficiente para el ejercicio de sus competencias por parte de las comunidades autónomas (STC 271/2015, FJ 4), margen que aquí existe. El precepto, al señalar que los criterios han de ser al menos los que indica, no impide la posible existencia de otros criterios adicionales formulados por la administración educativa. Finalmente, esta previsión relativa a la objetividad en los criterios para la asignación de estancias en empresas al alumnado es coherente con el hecho de que uno de los contenidos necesarios del modelo de acuerdo o convenio diseñado por la administración educativa para que sea suscrito entre el centro docente y la empresa sea precisamente el relativo a “[l]os criterios objetivos para la adjudicación de estancias en empresa al alumnado”, conforme al art. 156.2 e) del Real Decreto 659/2023.</w:t>
      </w:r>
    </w:p>
    <w:p w14:paraId="7475CAFF" w14:textId="77777777" w:rsidR="00A8138F" w:rsidRDefault="00A8138F" w:rsidP="00A8138F">
      <w:pPr>
        <w:pStyle w:val="TextoNormal"/>
      </w:pPr>
    </w:p>
    <w:p w14:paraId="7666B03B" w14:textId="77777777" w:rsidR="00A8138F" w:rsidRDefault="00A8138F" w:rsidP="00A8138F">
      <w:pPr>
        <w:pStyle w:val="TextoNormal"/>
      </w:pPr>
      <w:r>
        <w:t>Por lo expuesto, el segundo inciso del primer párrafo del art. 155.2, en la parte que dispone que “[l]a asignación se realizará conjuntamente por un representante de la empresa y los representantes del centro, en base a criterios objetivos de competencia e idoneidad establecidos en el centro y acordados con la empresa” y también el tercer párrafo de este art. 155.2 que dispone que “[l]os criterios contemplarán, al menos, el rendimiento y la asistencia a las actividades lectivas en el centro de formación profesional, así como las competencias personales de cada persona en formación, como su capacidad para el trabajo en equipo, la capacidad para toma de decisiones y la capacidad para la innovación y la creatividad” no son contrarios al orden constitucional de distribución de competencias.</w:t>
      </w:r>
    </w:p>
    <w:p w14:paraId="444CC408" w14:textId="77777777" w:rsidR="00A8138F" w:rsidRDefault="00A8138F" w:rsidP="00A8138F">
      <w:pPr>
        <w:pStyle w:val="TextoNormal"/>
      </w:pPr>
    </w:p>
    <w:p w14:paraId="0DB254D0" w14:textId="77777777" w:rsidR="00A8138F" w:rsidRDefault="00A8138F" w:rsidP="00A8138F">
      <w:pPr>
        <w:pStyle w:val="TextoNormal"/>
      </w:pPr>
      <w:r>
        <w:t>F) El siguiente precepto impugnado en la demanda es el art. 111.2 del Real Decreto 659/2023, en cuanto al régimen de admisión de alumnos en ciclos formativos de grado medio.</w:t>
      </w:r>
    </w:p>
    <w:p w14:paraId="12B8A174" w14:textId="77777777" w:rsidR="00A8138F" w:rsidRDefault="00A8138F" w:rsidP="00A8138F">
      <w:pPr>
        <w:pStyle w:val="TextoNormal"/>
      </w:pPr>
    </w:p>
    <w:p w14:paraId="3B66D74E" w14:textId="77777777" w:rsidR="00A8138F" w:rsidRDefault="00A8138F" w:rsidP="00A8138F">
      <w:pPr>
        <w:pStyle w:val="TextoNormal"/>
      </w:pPr>
      <w:r>
        <w:t>Este precepto determina que, si hubiera más solicitudes que plazas ofertadas, las administraciones precisarán los criterios de admisión respetando como criterio prioritario la nota media de la persona solicitante y también especifica el modo de efectuar dicho cálculo. En concreto, la demanda cuestiona este último aspecto, previsto en el segundo inciso del art. 111.2, conforme al cual:</w:t>
      </w:r>
    </w:p>
    <w:p w14:paraId="0FA33027" w14:textId="77777777" w:rsidR="00A8138F" w:rsidRDefault="00A8138F" w:rsidP="00A8138F">
      <w:pPr>
        <w:pStyle w:val="TextoNormal"/>
      </w:pPr>
    </w:p>
    <w:p w14:paraId="4B6DBED1" w14:textId="77777777" w:rsidR="00A8138F" w:rsidRDefault="00A8138F" w:rsidP="00A8138F">
      <w:pPr>
        <w:pStyle w:val="TextoNormal"/>
      </w:pPr>
      <w:r>
        <w:t>“A estos efectos, en el caso del cupo de reserva a) del apartado anterior, la nota media se calculará utilizando la media aritmética de las materias que figuren en el expediente académico de tercero y cuarto de la ESO o de los ámbitos, los módulos profesionales y proyecto incluidos en el ciclo formativo de grado básico. La traslación de las calificaciones numéricas se realizará con dos decimales por redondeo. Cuando no exista calificación numérica se realizará atendiendo al siguiente criterio: ‘insuficiente (IN)’, 3; ‘suficiente (SU)’, 5; ‘bien (BI)’, 6; ‘notable (NT)’, 7,5; y ‘sobresaliente (SB)’, 9. En caso de empate, las administraciones regularán los criterios de ordenación”.</w:t>
      </w:r>
    </w:p>
    <w:p w14:paraId="09D9D470" w14:textId="77777777" w:rsidR="00A8138F" w:rsidRDefault="00A8138F" w:rsidP="00A8138F">
      <w:pPr>
        <w:pStyle w:val="TextoNormal"/>
      </w:pPr>
    </w:p>
    <w:p w14:paraId="4A13EFA9" w14:textId="77777777" w:rsidR="00A8138F" w:rsidRDefault="00A8138F" w:rsidP="00A8138F">
      <w:pPr>
        <w:pStyle w:val="TextoNormal"/>
      </w:pPr>
      <w:r>
        <w:t xml:space="preserve">La representación procesal de la Generalitat de Cataluña considera que el inciso transcrito, con la excepción de su parte final (“[e]n caso de empate, las administraciones regularán los criterios de ordenación”) regula con un grado excesivo de detalle la manera en la </w:t>
      </w:r>
      <w:r>
        <w:lastRenderedPageBreak/>
        <w:t>que se ha de hacer el citado cálculo para el caso de la reserva de entre el 75 y el 85 por 100 de las plazas para el alumnado que tenga el título de graduado en Educación Secundaria Obligatoria (ESO) o técnico básico de Formación Profesional, de modo que agota la materia e impide la intervención de la administración autonómica. Para el abogado del Estado, los criterios de admisión de las normas educativas estatales garantizan los derechos del alumnado y no suponen ningún exceso competencial.</w:t>
      </w:r>
    </w:p>
    <w:p w14:paraId="56C6F7EE" w14:textId="77777777" w:rsidR="00A8138F" w:rsidRDefault="00A8138F" w:rsidP="00A8138F">
      <w:pPr>
        <w:pStyle w:val="TextoNormal"/>
      </w:pPr>
    </w:p>
    <w:p w14:paraId="6C83C0D6" w14:textId="77777777" w:rsidR="00A8138F" w:rsidRDefault="00A8138F" w:rsidP="00A8138F">
      <w:pPr>
        <w:pStyle w:val="TextoNormal"/>
      </w:pPr>
      <w:r>
        <w:t>La regulación de la admisión de alumnos en centros públicos y concertados está prevista en la LOE (art. 41, al que se remite el art. 85.2). La STC 14/2018, FJ 8 d), recuerda la doctrina constitucional en la materia:</w:t>
      </w:r>
    </w:p>
    <w:p w14:paraId="629E75C1" w14:textId="77777777" w:rsidR="00A8138F" w:rsidRDefault="00A8138F" w:rsidP="00A8138F">
      <w:pPr>
        <w:pStyle w:val="TextoNormal"/>
      </w:pPr>
    </w:p>
    <w:p w14:paraId="1FA39300" w14:textId="77777777" w:rsidR="00A8138F" w:rsidRDefault="00A8138F" w:rsidP="00A8138F">
      <w:pPr>
        <w:pStyle w:val="TextoNormal"/>
      </w:pPr>
      <w:r>
        <w:t>“La STC 184/2012, de 17 de octubre, señala en relación con esta cuestión: ‘Respecto a los criterios de admisión de alumnos, ya establecimos en la STC 77/1985, FJ 5, la conformidad constitucional de la fijación por el legislador estatal de una serie de criterios objetivos de selección de los alumnos en los casos de insuficiencia de plazas en los centros públicos y concertados, competencia estatal para el establecimiento de criterios prioritarios de selección que no ha sido cuestionada por el recurrente, quien se ha limitado a discutir la forma en que dos de ellos han sido regulados. Señalado lo anterior, es de apreciar que, al igual que sucede con los restantes criterios previstos en el precepto —renta per cápita de la unidad familiar, proximidad del domicilio, existencia de hermanos matriculados en el centro, y expediente académico en el caso de las enseñanzas no obligatorias—, el legislador estatal se ha limitado a la fijación de unos criterios que, como reza la propia disposición adicional quinta, han de ser concretados por la regulación de la administración educativa competente. Se cumple así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[FJ 4 b)]. Este criterio se ha reiterado en la STC 214/2012, de 14 de noviembre: ‘la regulación última de los criterios incumbe a la administración educativa, la cual, si bien tendrá que incorporar aquellos que con carácter prioritario recoge el precepto impugnado, podrá concretar cómo pondera cada uno e, incluso, podrá adicionar otros, en el margen de decisión, lo que nos lleva a descartar que la disposición impugnada impida la competencia autonómica de desarrollo normativo y, en consecuencia, a desestimar el recurso en cuanto a este extremo’ (FJ 7)”.</w:t>
      </w:r>
    </w:p>
    <w:p w14:paraId="19632A92" w14:textId="77777777" w:rsidR="00A8138F" w:rsidRDefault="00A8138F" w:rsidP="00A8138F">
      <w:pPr>
        <w:pStyle w:val="TextoNormal"/>
      </w:pPr>
    </w:p>
    <w:p w14:paraId="2CA5EFEC" w14:textId="77777777" w:rsidR="00A8138F" w:rsidRDefault="00A8138F" w:rsidP="00A8138F">
      <w:pPr>
        <w:pStyle w:val="TextoNormal"/>
      </w:pPr>
      <w:r>
        <w:t>De acuerdo con esta doctrina, la STC 14/2018, FJ 8 d), afirma que “la función de ordenación propia de las bases estatales estriba en este caso en la fijación de criterios prioritarios y objetivos, a fin de impedir una selección arbitraria de alumnos en caso de insuficiencia de plazas”.</w:t>
      </w:r>
    </w:p>
    <w:p w14:paraId="02F16D92" w14:textId="77777777" w:rsidR="00A8138F" w:rsidRDefault="00A8138F" w:rsidP="00A8138F">
      <w:pPr>
        <w:pStyle w:val="TextoNormal"/>
      </w:pPr>
    </w:p>
    <w:p w14:paraId="1A7E48D6" w14:textId="77777777" w:rsidR="00A8138F" w:rsidRDefault="00A8138F" w:rsidP="00A8138F">
      <w:pPr>
        <w:pStyle w:val="TextoNormal"/>
      </w:pPr>
      <w:r>
        <w:t>Siendo esa la finalidad que en esta materia han de cumplir las bases, es claro que el no cuestionado primer inciso del artículo 111.2 tiene el carácter de regulación básica, en cuanto que impone como criterio prioritario atender a la nota media obtenida por cada persona solicitante.</w:t>
      </w:r>
    </w:p>
    <w:p w14:paraId="6007CD76" w14:textId="77777777" w:rsidR="00A8138F" w:rsidRDefault="00A8138F" w:rsidP="00A8138F">
      <w:pPr>
        <w:pStyle w:val="TextoNormal"/>
      </w:pPr>
    </w:p>
    <w:p w14:paraId="361A6DA0" w14:textId="77777777" w:rsidR="00A8138F" w:rsidRDefault="00A8138F" w:rsidP="00A8138F">
      <w:pPr>
        <w:pStyle w:val="TextoNormal"/>
      </w:pPr>
      <w:r>
        <w:t xml:space="preserve">También ha de considerarse básico el precepto cuando establece cómo deben calcularse las notas medias en cuanto que las bases en esta materia “tienen en común la fijación de un núcleo de criterios prioritarios para la ordenación de las solicitudes de puestos escolares en </w:t>
      </w:r>
      <w:r>
        <w:lastRenderedPageBreak/>
        <w:t>centros públicos y concertados, aplicables cuando la oferta disponible sea insuficiente para atender las preferencias de todos los interesados” (STC 271/2015, FJ 4).</w:t>
      </w:r>
    </w:p>
    <w:p w14:paraId="4056634E" w14:textId="77777777" w:rsidR="00A8138F" w:rsidRDefault="00A8138F" w:rsidP="00A8138F">
      <w:pPr>
        <w:pStyle w:val="TextoNormal"/>
      </w:pPr>
    </w:p>
    <w:p w14:paraId="23B5411A" w14:textId="77777777" w:rsidR="00A8138F" w:rsidRDefault="00A8138F" w:rsidP="00A8138F">
      <w:pPr>
        <w:pStyle w:val="TextoNormal"/>
      </w:pPr>
      <w:r>
        <w:t>En este caso, el modo de cómputo impugnado está compuesto por dos variables como son, por un lado, los cursos que se tomarán como referencia para hallar la nota media —en el caso de graduado de la ESO, las materias de tercero y cuarto; y en el caso de técnico básico de Formación Profesional, los ámbitos, los módulos profesionales y proyecto incluidos en el ciclo formativo de grado básico— y, por otro, la cuantificación de las notas obtenidas —en el caso de ser numéricas con dos decimales por redondeo y en caso de no ser numéricas estableciendo una equivalencia—. Esta regulación garantiza una cierta homogeneidad a la hora de calcular la nota media, la cual constituye, como se ha expuesto, el criterio prioritario para el acceso a una formación reglada. Lo que, a su vez y en los términos reiterados en la doctrina constitucional, permite cumplir “la función de ordenación propia de las bases estatales, por cuanto es su consideración como prioritarios y su carácter objetivo, lo que impide, caso de insuficiencia de plazas, una selección arbitraria de alumnos, correspondiendo la ponderación concreta de los criterios establecidos por el legislador básico a las administraciones educativas en el ejercicio de sus competencias en la materia” [SSTC 184/2012, FJ 4 b); 214/2012, FJ 8, y 271/2015, FJ 3].</w:t>
      </w:r>
    </w:p>
    <w:p w14:paraId="450257A2" w14:textId="77777777" w:rsidR="00A8138F" w:rsidRDefault="00A8138F" w:rsidP="00A8138F">
      <w:pPr>
        <w:pStyle w:val="TextoNormal"/>
      </w:pPr>
    </w:p>
    <w:p w14:paraId="4B7E1218" w14:textId="77777777" w:rsidR="00A8138F" w:rsidRDefault="00A8138F" w:rsidP="00A8138F">
      <w:pPr>
        <w:pStyle w:val="TextoNormal"/>
      </w:pPr>
      <w:r>
        <w:t>Por tanto, en lo que ha sido objeto del presente conflicto, el segundo inciso del art. 111.2 del Real Decreto 659/2023 no es contrario al orden competencial.</w:t>
      </w:r>
    </w:p>
    <w:p w14:paraId="299B3C9F" w14:textId="77777777" w:rsidR="00A8138F" w:rsidRDefault="00A8138F" w:rsidP="00A8138F">
      <w:pPr>
        <w:pStyle w:val="TextoNormal"/>
      </w:pPr>
    </w:p>
    <w:p w14:paraId="0365B31D" w14:textId="77777777" w:rsidR="00A8138F" w:rsidRDefault="00A8138F" w:rsidP="00A8138F">
      <w:pPr>
        <w:pStyle w:val="TextoNormal"/>
      </w:pPr>
      <w:r>
        <w:t>G) Se impugna el art. 166 del Real Decreto 659/2023, precepto que está dedicado a la regulación de las funciones, perfiles o equipos docentes del sistema de formación profesional que promuevan y desarrollen las funciones de innovación, internacionalización, orientación profesional, emprendimiento y coordinación del procedimiento de acreditación de competencias, en su caso. A tales efectos, el apartado primero determina que las funciones a desempeñar, así como los perfiles o equipos, según determine cada administración, se corresponderán con los siguientes: (a) coordinación o responsable de innovación de formación profesional; (b) coordinación o responsable de internacionalización de formación profesional; (c) al menos un tutor o tutora dual del centro para cada grupo, en función del número de alumnado y (d) coordinación o responsable coordinador del servicio de orientación profesional, emprendimiento y del procedimiento de acreditación de competencias profesionales en el centro, en caso de no disponer de un departamento de orientación al efecto. Las funciones de cada una de estas figuras vienen detalladas en los apartados segundo, tercero, cuarto y sexto, respectivamente, de este mismo art. 166.</w:t>
      </w:r>
    </w:p>
    <w:p w14:paraId="4421361C" w14:textId="77777777" w:rsidR="00A8138F" w:rsidRDefault="00A8138F" w:rsidP="00A8138F">
      <w:pPr>
        <w:pStyle w:val="TextoNormal"/>
      </w:pPr>
    </w:p>
    <w:p w14:paraId="1A6F259F" w14:textId="77777777" w:rsidR="00A8138F" w:rsidRDefault="00A8138F" w:rsidP="00A8138F">
      <w:pPr>
        <w:pStyle w:val="TextoNormal"/>
      </w:pPr>
      <w:r>
        <w:t>Las letradas de la Generalitat de Cataluña sostienen que los citados apartados segundo, tercero, cuarto y sexto del art. 166 del Real Decreto 659/2023 regulan unas figuras de coordinación en diversos ámbitos que exceden de lo previsto en la Ley Orgánica 3/2022, que solo prevé, en su art. 62, la figura del tutor o tutora dual del centro de formación profesional, pero no menciona las restantes figuras de coordinación o responsable referidas en los apartados cuestionados. Concluyen que esta regulación carece de habilitación legal e incide en las competencias autonómicas en materia de organización de los centros docentes, obviando que el art. 130 LOE remite a las administraciones educativas la regulación del funcionamiento de los órganos de coordinación docente y de orientación. El abogado del Estado argumenta que el precepto incorpora, en los centros especializados o integrados de forma</w:t>
      </w:r>
      <w:r>
        <w:lastRenderedPageBreak/>
        <w:t>ción profesional, las funciones de innovación e internacionalización, que ya figuran en su propia regulación, aludiendo al Real Decreto 1558/2005.</w:t>
      </w:r>
    </w:p>
    <w:p w14:paraId="4D02D8F4" w14:textId="77777777" w:rsidR="00A8138F" w:rsidRDefault="00A8138F" w:rsidP="00A8138F">
      <w:pPr>
        <w:pStyle w:val="TextoNormal"/>
      </w:pPr>
    </w:p>
    <w:p w14:paraId="7F408507" w14:textId="77777777" w:rsidR="00A8138F" w:rsidRDefault="00A8138F" w:rsidP="00A8138F">
      <w:pPr>
        <w:pStyle w:val="TextoNormal"/>
      </w:pPr>
      <w:r>
        <w:t>Con respecto a la cuestión de los diferentes órganos de coordinación docente que las administraciones públicas pueden establecer, cabe señalar que el art. 130 LOE dispone que “[c]orresponde a las administraciones educativas regular el funcionamiento de los órganos de coordinación docente y de orientación y potenciar los equipos de profesores que impartan clase en el mismo curso, así como la colaboración y el trabajo en equipo de los profesores que impartan clase a un mismo grupo de alumnos”, remitiendo, sin más concreción, a las decisiones que sobre estas materias puedan adoptar las administraciones educativas en uso de la habilitación que les otorga el legislador estatal, remisión que se formula con el suficiente grado de generalidad a fin de permitir el desarrollo autonómico.</w:t>
      </w:r>
    </w:p>
    <w:p w14:paraId="4A7B0A6E" w14:textId="77777777" w:rsidR="00A8138F" w:rsidRDefault="00A8138F" w:rsidP="00A8138F">
      <w:pPr>
        <w:pStyle w:val="TextoNormal"/>
      </w:pPr>
    </w:p>
    <w:p w14:paraId="1FFBC31F" w14:textId="77777777" w:rsidR="00A8138F" w:rsidRDefault="00A8138F" w:rsidP="00A8138F">
      <w:pPr>
        <w:pStyle w:val="TextoNormal"/>
      </w:pPr>
      <w:r>
        <w:t>Por el contrario, este tipo de figuras de coordinación docente no se contemplan en la Ley Orgánica 3/2022 cuando establece las responsabilidades del equipo docente del centro de formación profesional (art. 62), entre las cuales se encuentra asegurar la coordinación con el entorno de trabajo [art. 62 c)]. La Ley Orgánica 3/2022, sí prevé específicamente la figura del tutor o tutora dual del centro de formación profesional, que deberá existir en cada centro, al menos, para cada una de las familias profesionales que en él se impartan y que se coordinará y colaborará con el tutor o tutora dual de las empresas (art. 60) previsto para cada centro de trabajo (art. 61). A dichos tutores del centro de formación profesional se les asignan unas funciones en relación con la persona en formación, en colaboración con los tutores duales de la empresa, de modo que se han de coordinar con el resto del equipo docente para llevar a cabo el plan de formación [art. 60.3 a)].</w:t>
      </w:r>
    </w:p>
    <w:p w14:paraId="004B07BF" w14:textId="77777777" w:rsidR="00A8138F" w:rsidRDefault="00A8138F" w:rsidP="00A8138F">
      <w:pPr>
        <w:pStyle w:val="TextoNormal"/>
      </w:pPr>
    </w:p>
    <w:p w14:paraId="332A6F4E" w14:textId="77777777" w:rsidR="00A8138F" w:rsidRDefault="00A8138F" w:rsidP="00A8138F">
      <w:pPr>
        <w:pStyle w:val="TextoNormal"/>
      </w:pPr>
      <w:r>
        <w:t>Del régimen legal que se ha expuesto, puede alcanzarse ya una primera conclusión como es que la concreta regulación cuestionada del art. 166 del Real Decreto 659/2023 no cuenta con habilitación legal expresa para fijar tales contenidos, sin que tampoco pueda ser considerado un complemento indispensable para el cumplimiento de sus finalidades o la concreción de cualesquiera otros elementos básicos del sistema de formación profesional, al que alude el art. 113.1 b) de la Ley Orgánica 3/2022. Consideración que queda confirmada por la remisión que hace la LOE a las figuras de coordinación, en los términos anteriormente expuestos, y también por la falta de previsión explícita de estas figuras en la Ley Orgánica 3/2022, con excepción de los tutores duales, a los que la citada norma atribuye determinadas competencias a la vez que se remite a las administraciones para garantizar la formación y las condiciones para el desarrollo de sus funciones (arts. 60.4 y 61.4 de la Ley Orgánica 3/2022).</w:t>
      </w:r>
    </w:p>
    <w:p w14:paraId="68172085" w14:textId="77777777" w:rsidR="00A8138F" w:rsidRDefault="00A8138F" w:rsidP="00A8138F">
      <w:pPr>
        <w:pStyle w:val="TextoNormal"/>
      </w:pPr>
    </w:p>
    <w:p w14:paraId="2C713009" w14:textId="77777777" w:rsidR="00A8138F" w:rsidRDefault="00A8138F" w:rsidP="00A8138F">
      <w:pPr>
        <w:pStyle w:val="TextoNormal"/>
      </w:pPr>
      <w:r>
        <w:t>Materialmente, estos preceptos tampoco pueden ser considerados básicos habida cuenta del principio que sienta la legislación educativa para regular el funcionamiento de los órganos de coordinación docente y de orientación, remitiendo tal cuestión a las decisiones de la administración educativa.</w:t>
      </w:r>
    </w:p>
    <w:p w14:paraId="4EE6BFAF" w14:textId="77777777" w:rsidR="00A8138F" w:rsidRDefault="00A8138F" w:rsidP="00A8138F">
      <w:pPr>
        <w:pStyle w:val="TextoNormal"/>
      </w:pPr>
    </w:p>
    <w:p w14:paraId="124FE654" w14:textId="77777777" w:rsidR="00A8138F" w:rsidRDefault="00A8138F" w:rsidP="00A8138F">
      <w:pPr>
        <w:pStyle w:val="TextoNormal"/>
      </w:pPr>
      <w:r>
        <w:t>En consecuencia, los apartados segundo, tercero, cuarto y sexto del art. 166 del Real Decreto 659/2023 carecen de habilitación legal y no se ajustan al canon de enjuiciamiento que antes hemos expuesto desde el punto de vista material. Son, por ello, contrarios al orden competencial y, por tanto, inconstitucionales y nulos.</w:t>
      </w:r>
    </w:p>
    <w:p w14:paraId="2B57A1BB" w14:textId="77777777" w:rsidR="00A8138F" w:rsidRDefault="00A8138F" w:rsidP="00A8138F">
      <w:pPr>
        <w:pStyle w:val="TextoNormal"/>
      </w:pPr>
    </w:p>
    <w:p w14:paraId="7B1FB669" w14:textId="77777777" w:rsidR="00A8138F" w:rsidRDefault="00A8138F" w:rsidP="00A8138F">
      <w:pPr>
        <w:pStyle w:val="TextoNormal"/>
      </w:pPr>
      <w:r>
        <w:lastRenderedPageBreak/>
        <w:t>H) La demanda cuestiona parcialmente el art. 203 del Real Decreto 659/2023 dedicado al régimen de funcionamiento de los centros.</w:t>
      </w:r>
    </w:p>
    <w:p w14:paraId="14E7BA6A" w14:textId="77777777" w:rsidR="00A8138F" w:rsidRDefault="00A8138F" w:rsidP="00A8138F">
      <w:pPr>
        <w:pStyle w:val="TextoNormal"/>
      </w:pPr>
    </w:p>
    <w:p w14:paraId="5981F64E" w14:textId="77777777" w:rsidR="00A8138F" w:rsidRDefault="00A8138F" w:rsidP="00A8138F">
      <w:pPr>
        <w:pStyle w:val="TextoNormal"/>
      </w:pPr>
      <w:r>
        <w:t>Se controvierte, en concreto, la obligación prevista en su apartado segundo de crear un consejo social como órgano de participación en los centros especializados y en los centros integrados de formación profesional sostenidos con fondos públicos que impartan, al menos, ofertas de grados D y E, así como la determinación, en el apartado tercero, de los criterios que las administraciones han de tener en cuenta sobre la composición del órgano y la distribución de los representantes, con fijación de los límites mínimos y máximos de miembros para cada sector y, finalmente, la enumeración en el apartado cuarto de las funciones del citado consejo social.</w:t>
      </w:r>
    </w:p>
    <w:p w14:paraId="5FBF42DD" w14:textId="77777777" w:rsidR="00A8138F" w:rsidRDefault="00A8138F" w:rsidP="00A8138F">
      <w:pPr>
        <w:pStyle w:val="TextoNormal"/>
      </w:pPr>
    </w:p>
    <w:p w14:paraId="481A8F46" w14:textId="77777777" w:rsidR="00A8138F" w:rsidRDefault="00A8138F" w:rsidP="00A8138F">
      <w:pPr>
        <w:pStyle w:val="TextoNormal"/>
      </w:pPr>
      <w:r>
        <w:t>Las letradas de la Generalitat de Cataluña consideran que estos aspectos incurren en un exceso en la configuración de las bases. Por un lado, no existe una habilitación legal expresa, ni tampoco se puede inferir de sus principios que el Gobierno pueda establecer por reglamento un consejo social como aspecto básico del régimen de funcionamiento de los centros, así como regular su composición y fijar sus funciones con carácter obligatorio. Por otro lado, las funciones del aludido consejo social están reguladas con un excesivo detalle e inciden de manera intensa en la competencia de la Generalitat de Cataluña para la organización de los centros públicos y de los centros privados sostenidos con fondos públicos. El abogado del Estado ha sostenido que la referencia al consejo social recoge lo establecido en la normativa en vigor respecto de los centros integrados de formación profesional (art. 12 del Real Decreto 1558/2005).</w:t>
      </w:r>
    </w:p>
    <w:p w14:paraId="53C940A6" w14:textId="77777777" w:rsidR="00A8138F" w:rsidRDefault="00A8138F" w:rsidP="00A8138F">
      <w:pPr>
        <w:pStyle w:val="TextoNormal"/>
      </w:pPr>
    </w:p>
    <w:p w14:paraId="602D5E9D" w14:textId="77777777" w:rsidR="00A8138F" w:rsidRDefault="00A8138F" w:rsidP="00A8138F">
      <w:pPr>
        <w:pStyle w:val="TextoNormal"/>
      </w:pPr>
      <w:r>
        <w:t>La previsión del consejo social en los centros integrados de formación profesional no es una innovación de la norma cuestionada, pues ya se citaba, como ha señalado el abogado del Estado, en el art. 12 del Real Decreto 1558/2005 que los menciona como órgano colegiado de participación en el centro, regulado en virtud de lo dispuesto en el art. 11.6 de la derogada Ley Orgánica 5/2002, de 19 de junio, de las cualificaciones y de la formación profesional. Ahora bien, señalado lo anterior, es de advertir que ya hemos comprobado que la legislación educativa remite la cuestión de la organización y participación de la comunidad educativa en los centros integrados y de referencia nacional de formación profesional a lo dispuesto en la legislación específica en materia de formación profesional (arts. 107.2 y 118.5 LOE), sin que haga mención alguna a la existencia del mencionado consejo social. Tampoco lo hace la mencionada legislación específica en la materia, constituida por la vigente Ley Orgánica 3/2022, norma que fija en su art. 59 la participación de los agentes sociales en el sistema de formación profesional, señalando, sin hacer referencia a consejo social alguno, que tales agentes sociales podrán asumir funciones de impulso, promoción y asistencia a proyectos de formación profesional y estableciendo el deber de facilitar el papel de los agentes sociales y organismos intermedios que favorezcan la participación de las empresas y organismos equiparados en la formación profesional y promuevan la agrupación de empresas y entidades para facilitar la rotación de personas en formación. Por tanto, la legislación en materia de formación profesional guarda silencio sobre la cuestión de la existencia de un consejo social en cada centro docente.</w:t>
      </w:r>
    </w:p>
    <w:p w14:paraId="06335CCE" w14:textId="77777777" w:rsidR="00A8138F" w:rsidRDefault="00A8138F" w:rsidP="00A8138F">
      <w:pPr>
        <w:pStyle w:val="TextoNormal"/>
      </w:pPr>
    </w:p>
    <w:p w14:paraId="55F07285" w14:textId="77777777" w:rsidR="00A8138F" w:rsidRDefault="00A8138F" w:rsidP="00A8138F">
      <w:pPr>
        <w:pStyle w:val="TextoNormal"/>
      </w:pPr>
      <w:r>
        <w:t>De la regulación expuesta no se desprende una habilitación expresa de la ley o que pueda inferirse de sus principios para que el reglamento establezca, a falta de previsión legal, un consejo social como aspecto básico del régimen de funcionamiento de los centros, ni tam</w:t>
      </w:r>
      <w:r>
        <w:lastRenderedPageBreak/>
        <w:t>poco para que regule su composición y fije determinadas funciones con carácter obligatorio y con el grado de detalle con el que lo hace el art. 203 del Real Decreto 659/2023. En consecuencia, los preceptos examinados no pueden considerarse básicos al carecer de la habilitación legal necesaria y porque, a falta de dicha habilitación, resulta que la normación material que contienen afecta, sin fundamento suficiente, a las competencias de la Generalitat de Cataluña en materia de organización de los centros docentes.</w:t>
      </w:r>
    </w:p>
    <w:p w14:paraId="621A3D9F" w14:textId="77777777" w:rsidR="00A8138F" w:rsidRDefault="00A8138F" w:rsidP="00A8138F">
      <w:pPr>
        <w:pStyle w:val="TextoNormal"/>
      </w:pPr>
    </w:p>
    <w:p w14:paraId="27CB45E7" w14:textId="77777777" w:rsidR="00A8138F" w:rsidRDefault="00A8138F" w:rsidP="00A8138F">
      <w:pPr>
        <w:pStyle w:val="TextoNormal"/>
      </w:pPr>
      <w:r>
        <w:t>Por ello, los apartados segundo, tercero y cuarto del art. 203 del Real Decreto 659/2023 son inconstitucionales y nulos.</w:t>
      </w:r>
    </w:p>
    <w:p w14:paraId="52405049" w14:textId="77777777" w:rsidR="00A8138F" w:rsidRDefault="00A8138F" w:rsidP="00A8138F">
      <w:pPr>
        <w:pStyle w:val="TextoNormal"/>
      </w:pPr>
    </w:p>
    <w:p w14:paraId="3CBC70E7" w14:textId="77777777" w:rsidR="00A8138F" w:rsidRDefault="00A8138F" w:rsidP="00A8138F">
      <w:pPr>
        <w:pStyle w:val="TextoNormal"/>
      </w:pPr>
      <w:r>
        <w:t>I) El art. 205 del Real Decreto 659/2023 regula los centros privados no sostenidos con fondos públicos y detalla una serie de obligaciones que tienen por objeto facilitar el ejercicio del control de aquellos por las administraciones competentes.</w:t>
      </w:r>
    </w:p>
    <w:p w14:paraId="633DAB99" w14:textId="77777777" w:rsidR="00A8138F" w:rsidRDefault="00A8138F" w:rsidP="00A8138F">
      <w:pPr>
        <w:pStyle w:val="TextoNormal"/>
      </w:pPr>
    </w:p>
    <w:p w14:paraId="51E2A5C8" w14:textId="77777777" w:rsidR="00A8138F" w:rsidRDefault="00A8138F" w:rsidP="00A8138F">
      <w:pPr>
        <w:pStyle w:val="TextoNormal"/>
      </w:pPr>
      <w:r>
        <w:t>Se cuestiona la letra a) del apartado primero, que establece el deber de comunicar las acciones formativas a la administración competente, con carácter previo a su autorización, en los términos siguientes:</w:t>
      </w:r>
    </w:p>
    <w:p w14:paraId="0DA1BC31" w14:textId="77777777" w:rsidR="00A8138F" w:rsidRDefault="00A8138F" w:rsidP="00A8138F">
      <w:pPr>
        <w:pStyle w:val="TextoNormal"/>
      </w:pPr>
    </w:p>
    <w:p w14:paraId="7B9CCDB0" w14:textId="77777777" w:rsidR="00A8138F" w:rsidRDefault="00A8138F" w:rsidP="00A8138F">
      <w:pPr>
        <w:pStyle w:val="TextoNormal"/>
      </w:pPr>
      <w:r>
        <w:t>“Comunicar, con una antelación no inferior a treinta días a la fecha de inicio, las acciones formativas que desean impartir, para su autorización por la administración competente, que comprobará el cumplimiento de las condiciones de impartición a las que se refiere el artículo 199.</w:t>
      </w:r>
    </w:p>
    <w:p w14:paraId="14A5F0CC" w14:textId="77777777" w:rsidR="00A8138F" w:rsidRDefault="00A8138F" w:rsidP="00A8138F">
      <w:pPr>
        <w:pStyle w:val="TextoNormal"/>
      </w:pPr>
    </w:p>
    <w:p w14:paraId="03DD41B4" w14:textId="77777777" w:rsidR="00A8138F" w:rsidRDefault="00A8138F" w:rsidP="00A8138F">
      <w:pPr>
        <w:pStyle w:val="TextoNormal"/>
      </w:pPr>
      <w:r>
        <w:t>La comunicación de inicio de dichas acciones formativas, como mínimo, especificará:</w:t>
      </w:r>
    </w:p>
    <w:p w14:paraId="3A7336BD" w14:textId="77777777" w:rsidR="00A8138F" w:rsidRDefault="00A8138F" w:rsidP="00A8138F">
      <w:pPr>
        <w:pStyle w:val="TextoNormal"/>
      </w:pPr>
    </w:p>
    <w:p w14:paraId="5191B1F3" w14:textId="77777777" w:rsidR="00A8138F" w:rsidRDefault="00A8138F" w:rsidP="00A8138F">
      <w:pPr>
        <w:pStyle w:val="TextoNormal"/>
      </w:pPr>
      <w:r>
        <w:t>(1) Las fechas de inicio y finalización de cada acción formativa conducente a título, certificado o acreditación del sistema de formación profesional.</w:t>
      </w:r>
    </w:p>
    <w:p w14:paraId="76A9F75C" w14:textId="77777777" w:rsidR="00A8138F" w:rsidRDefault="00A8138F" w:rsidP="00A8138F">
      <w:pPr>
        <w:pStyle w:val="TextoNormal"/>
      </w:pPr>
    </w:p>
    <w:p w14:paraId="16BD1BDA" w14:textId="77777777" w:rsidR="00A8138F" w:rsidRDefault="00A8138F" w:rsidP="00A8138F">
      <w:pPr>
        <w:pStyle w:val="TextoNormal"/>
      </w:pPr>
      <w:r>
        <w:t>(2) La relación de personas participantes, con indicación del detalle del horario de las personas en formación, la formación en empresa de cada una de ellas, identificación de la o las empresas y fechas de realización, así como de las personas que se encontraran exentas de su realización.</w:t>
      </w:r>
    </w:p>
    <w:p w14:paraId="529A55AF" w14:textId="77777777" w:rsidR="00A8138F" w:rsidRDefault="00A8138F" w:rsidP="00A8138F">
      <w:pPr>
        <w:pStyle w:val="TextoNormal"/>
      </w:pPr>
    </w:p>
    <w:p w14:paraId="7A9E68BB" w14:textId="77777777" w:rsidR="00A8138F" w:rsidRDefault="00A8138F" w:rsidP="00A8138F">
      <w:pPr>
        <w:pStyle w:val="TextoNormal"/>
      </w:pPr>
      <w:r>
        <w:t>(3) La documentación justificativa de la acreditación requerida por profesorado, personas formadoras y personas expertas intervinientes en la acción formativa.</w:t>
      </w:r>
    </w:p>
    <w:p w14:paraId="5F83B7CA" w14:textId="77777777" w:rsidR="00A8138F" w:rsidRDefault="00A8138F" w:rsidP="00A8138F">
      <w:pPr>
        <w:pStyle w:val="TextoNormal"/>
      </w:pPr>
    </w:p>
    <w:p w14:paraId="004C4309" w14:textId="77777777" w:rsidR="00A8138F" w:rsidRDefault="00A8138F" w:rsidP="00A8138F">
      <w:pPr>
        <w:pStyle w:val="TextoNormal"/>
      </w:pPr>
      <w:r>
        <w:t>(4) Una planificación del proceso de evaluación, con indicación de las fechas de realización de las pruebas finales cuando proceda, de los instrumentos que se van a utilizar, de los espacios destinados a las pruebas y de la duración de las mismas.</w:t>
      </w:r>
    </w:p>
    <w:p w14:paraId="08A047E1" w14:textId="77777777" w:rsidR="00A8138F" w:rsidRDefault="00A8138F" w:rsidP="00A8138F">
      <w:pPr>
        <w:pStyle w:val="TextoNormal"/>
      </w:pPr>
    </w:p>
    <w:p w14:paraId="57933FA1" w14:textId="77777777" w:rsidR="00A8138F" w:rsidRDefault="00A8138F" w:rsidP="00A8138F">
      <w:pPr>
        <w:pStyle w:val="TextoNormal"/>
      </w:pPr>
      <w:r>
        <w:t>(5) El convenio o acuerdo entre el o los centros formativos y las empresas u organismos equiparados para la realización de la formación en empresa”.</w:t>
      </w:r>
    </w:p>
    <w:p w14:paraId="6E98679D" w14:textId="77777777" w:rsidR="00A8138F" w:rsidRDefault="00A8138F" w:rsidP="00A8138F">
      <w:pPr>
        <w:pStyle w:val="TextoNormal"/>
      </w:pPr>
    </w:p>
    <w:p w14:paraId="16525D53" w14:textId="77777777" w:rsidR="00A8138F" w:rsidRDefault="00A8138F" w:rsidP="00A8138F">
      <w:pPr>
        <w:pStyle w:val="TextoNormal"/>
      </w:pPr>
      <w:r>
        <w:t>Y se controvierte también la letra c) del apartado primero, relativa a la obligación de:</w:t>
      </w:r>
    </w:p>
    <w:p w14:paraId="66EC4CBC" w14:textId="77777777" w:rsidR="00A8138F" w:rsidRDefault="00A8138F" w:rsidP="00A8138F">
      <w:pPr>
        <w:pStyle w:val="TextoNormal"/>
      </w:pPr>
    </w:p>
    <w:p w14:paraId="4D8BF017" w14:textId="77777777" w:rsidR="00A8138F" w:rsidRDefault="00A8138F" w:rsidP="00A8138F">
      <w:pPr>
        <w:pStyle w:val="TextoNormal"/>
      </w:pPr>
      <w:r>
        <w:t xml:space="preserve">“Remitir a la administración competente, en un plazo no superior a dos meses desde la finalización de la acción formativa, la documentación relativa al proceso de evaluación y la </w:t>
      </w:r>
      <w:r>
        <w:lastRenderedPageBreak/>
        <w:t>evaluación de la calidad de las acciones formativas, en los términos que las administraciones establezcan”.</w:t>
      </w:r>
    </w:p>
    <w:p w14:paraId="1CD90D0A" w14:textId="77777777" w:rsidR="00A8138F" w:rsidRDefault="00A8138F" w:rsidP="00A8138F">
      <w:pPr>
        <w:pStyle w:val="TextoNormal"/>
      </w:pPr>
    </w:p>
    <w:p w14:paraId="7D26F4BB" w14:textId="77777777" w:rsidR="00A8138F" w:rsidRDefault="00A8138F" w:rsidP="00A8138F">
      <w:pPr>
        <w:pStyle w:val="TextoNormal"/>
      </w:pPr>
      <w:r>
        <w:t>En ambos casos, la controversia se ciñe a los centros que imparten ofertas formativas conducentes a la obtención de un título de formación profesional de los grados D y E. Según las letradas de la Generalitat de Cataluña ambas previsiones carecen de habilitación legal y determinan, de forma contraria a la distribución de competencias, la forma en la que la administración educativa ha de ejercer sus competencias de supervisión y autorización de las actividades formativas, a la vez que disponen sobre aspectos organizativos y procedimentales que son propios de la comunidad autónoma. El abogado del Estado considera que no se incurre en un exceso competencial, en tanto que forma parte de las competencias de las administraciones educativas comprobar el cumplimiento de impartición de los centros o efectuar el seguimiento del proceso de evaluación y la evaluación de la calidad de las acciones formativas en los términos que las administraciones establezcan.</w:t>
      </w:r>
    </w:p>
    <w:p w14:paraId="21FB6E03" w14:textId="77777777" w:rsidR="00A8138F" w:rsidRDefault="00A8138F" w:rsidP="00A8138F">
      <w:pPr>
        <w:pStyle w:val="TextoNormal"/>
      </w:pPr>
    </w:p>
    <w:p w14:paraId="3BE8F000" w14:textId="77777777" w:rsidR="00A8138F" w:rsidRDefault="00A8138F" w:rsidP="00A8138F">
      <w:pPr>
        <w:pStyle w:val="TextoNormal"/>
      </w:pPr>
      <w:r>
        <w:t>El art. 205 del Real Decreto 659/2023 regula los centros privados no sostenidos con fondos públicos, que forman parte del sistema educativo español y prestan servicios relacionados con el ejercicio del derecho a la educación, lo que justifica que estén sujetos a una serie de obligaciones cuyo cumplimiento ha de ser controlado por los poderes públicos. El precepto cuestionado detalla obligaciones que tienen por objeto facilitar el ejercicio del control por parte de las administraciones competentes, obligaciones de las que se cuestionan las ya transcritas en las letras a) y c) del apartado primero. Ambas regulan de forma detallada el régimen de comunicación de los centros privados con la administración educativa en lo referente a los aspectos de las formaciones que esta debe autorizar, una vez comprobado el cumplimiento de las obligaciones establecidas en el art. 199 del propio Real Decreto 659/2023 por los centros y entidades autorizados para impartir ofertas de formación profesional. La norma no se limita a prescribir que se supervise el cumplimiento de tales obligaciones, tal como hace el art. 199 del Real Decreto 659/2023 (“[c]orresponde a las administraciones competentes, en su respectivo ámbito de gestión, el seguimiento, control y supervisión de las acciones formativas impartidas”), sino que va más allá e incide en el plazo y contenido que deberá tener la comunicación de los centros y también en la documentación que se ha de aportar cuando finalice la acción formativa.</w:t>
      </w:r>
    </w:p>
    <w:p w14:paraId="6B1C6386" w14:textId="77777777" w:rsidR="00A8138F" w:rsidRDefault="00A8138F" w:rsidP="00A8138F">
      <w:pPr>
        <w:pStyle w:val="TextoNormal"/>
      </w:pPr>
    </w:p>
    <w:p w14:paraId="17F8A52B" w14:textId="77777777" w:rsidR="00A8138F" w:rsidRDefault="00A8138F" w:rsidP="00A8138F">
      <w:pPr>
        <w:pStyle w:val="TextoNormal"/>
      </w:pPr>
      <w:r>
        <w:t>La legislación educativa parte del principio del reconocimiento de facultades de inspección o supervisión a “los poderes públicos” (art. 148.1 LOE) o a la “administración educativa” (disposición adicional cuarta, apartado tercero, LOE). El art. 110.2 de la Ley Orgánica 3/2022 impone a todas las administraciones públicas con competencia en la materia la obligación de velar “por la calidad de todas las acciones y los servicios del sistema de formación profesional, en especial la orientación profesional, la formación impartida en los dos regímenes, en todos sus entornos de aprendizaje y en todas sus modalidades, y la acreditación de competencias profesionales. A estos efectos, se contará con la alta inspección de educación y la inspección educativa para las actuaciones de inspección, supervisión y evaluación del sistema de formación profesional, en los términos establecidos en la Ley Orgánica 2/2006, de 3 de mayo, de educación, y sin perjuicio de las competencias de otros órganos”. De esta forma, es la propia legislación educativa y más específicamente, la legislación en materia de formación profesional, la que reconoce el importante papel que en este ámbito juegan las administraciones educativas, lo que es de todo punto coincidente con lo que este tribunal tiene declarado en el sentido de que la supervisión e inspección del sistema educa</w:t>
      </w:r>
      <w:r>
        <w:lastRenderedPageBreak/>
        <w:t>tivo por las comunidades autónomas “forma parte de su competencia en materia de desarrollo y ejecución de las bases estatales sobre educación (art. 149.1.30, segundo inciso, CE)” [STC 34/2023, FJ 16 d)]. Además, el propio abogado del Estado ha destacado también que forma parte de las competencias de las administraciones educativas comprobar el cumplimiento de impartición de los centros o efectuar el seguimiento del proceso de evaluación y la evaluación de la calidad de las acciones formativas en los términos que las administraciones establezcan.</w:t>
      </w:r>
    </w:p>
    <w:p w14:paraId="4A760D42" w14:textId="77777777" w:rsidR="00A8138F" w:rsidRDefault="00A8138F" w:rsidP="00A8138F">
      <w:pPr>
        <w:pStyle w:val="TextoNormal"/>
      </w:pPr>
    </w:p>
    <w:p w14:paraId="1B994CAE" w14:textId="77777777" w:rsidR="00A8138F" w:rsidRDefault="00A8138F" w:rsidP="00A8138F">
      <w:pPr>
        <w:pStyle w:val="TextoNormal"/>
      </w:pPr>
      <w:r>
        <w:t>Constatado lo anterior podemos ya afrontar el enjuiciamiento que se nos demanda.</w:t>
      </w:r>
    </w:p>
    <w:p w14:paraId="4921E8B1" w14:textId="77777777" w:rsidR="00A8138F" w:rsidRDefault="00A8138F" w:rsidP="00A8138F">
      <w:pPr>
        <w:pStyle w:val="TextoNormal"/>
      </w:pPr>
    </w:p>
    <w:p w14:paraId="613B6A86" w14:textId="77777777" w:rsidR="00A8138F" w:rsidRDefault="00A8138F" w:rsidP="00A8138F">
      <w:pPr>
        <w:pStyle w:val="TextoNormal"/>
      </w:pPr>
      <w:r>
        <w:t>La previsión del apartado a), en el sentido de comunicar por el centro privado no sostenido con fondos públicos las acciones formativas que desea impartir, a efectos de su autorización por la administración competente, ha de considerarse básica pues sirve al control del cumplimiento de las obligaciones y condiciones de impartición a las que se refiere el art. 199, control que corresponde a la administración educativa. Ahora bien, excede de lo básico, por su grado de detalle que no se justifica en la necesidad de asegurar las finalidades perseguidas por la legislación educativa en este punto, tanto el hecho de que la comunicación haya de efectuarse con una antelación no inferior a treinta días a la fecha de inicio, así como las especificaciones concretas de dicha comunicación. Corresponde a cada administración materialmente competente determinar el plazo de remisión de la información, así como especificar la que estima necesaria para controlar el cumplimiento de lo dispuesto en el art. 199 del Real Decreto 659/2023, (en un sentido similar, STC 100/2019, FJ 5). Tampoco, por otra parte, se ha justificado en modo alguno a qué finalidad básica serviría la detallada fijación por una administración pública, diferente de la que resulta ser titular de la competencia material, tanto de un plazo concreto de remisión de información como de la concreción de una información que debe remitirse a la administración pública materialmente competente y no a aquella que pretende fijar en detalle el contenido de la obligación. Concreción, además, que contrasta con lo dispuesto en el cuestionado apartado c), en el que la remisión de la documentación relativa al proceso de evaluación y la evaluación de la calidad de las acciones formativas queda en manos de lo que las administraciones establezcan. Mención esta última que también excluye que el mencionado apartado c) incurra en la vulneración denunciada, con la única excepción de la fijación de un plazo de dos meses desde la finalización de la acción formativa para la remisión de la información a la administración competente.</w:t>
      </w:r>
    </w:p>
    <w:p w14:paraId="27756BE8" w14:textId="77777777" w:rsidR="00A8138F" w:rsidRDefault="00A8138F" w:rsidP="00A8138F">
      <w:pPr>
        <w:pStyle w:val="TextoNormal"/>
      </w:pPr>
    </w:p>
    <w:p w14:paraId="03298327" w14:textId="7C72663A" w:rsidR="00A8138F" w:rsidRDefault="00A8138F" w:rsidP="00A8138F">
      <w:pPr>
        <w:pStyle w:val="TextoNormal"/>
      </w:pPr>
      <w:r>
        <w:t>Así pues, de acuerdo con cuanto se ha expuesto, son contrarios al orden competencial e inconstitucionales y nulos, en su aplicación a los centros que imparten ofertas formativas conducentes a la obtención de un título de formación profesional de los grados D y E, el inciso “con una antelación no inferior a treinta días a la fecha de inicio” del primer párrafo, el segundo párrafo y los números (1) a (5), todos ellos de la letra a) del art. 205.1 del Real Decreto 659/2023, así como el inciso “en un plazo no superior a dos meses desde la finalización de la acción formativa”, de la letra c) del art. 205.1 del Real Decreto 659/2023.</w:t>
      </w:r>
    </w:p>
    <w:p w14:paraId="6E228066" w14:textId="77777777" w:rsidR="00A8138F" w:rsidRDefault="00A8138F" w:rsidP="00A8138F">
      <w:pPr>
        <w:pStyle w:val="TextoNormal"/>
      </w:pPr>
    </w:p>
    <w:p w14:paraId="24F08879" w14:textId="77777777" w:rsidR="00A8138F" w:rsidRDefault="00A8138F" w:rsidP="00A8138F">
      <w:pPr>
        <w:pStyle w:val="TextoNormal"/>
      </w:pPr>
      <w:r w:rsidRPr="00A8138F">
        <w:rPr>
          <w:rStyle w:val="NumeroAFNegritaCaracter"/>
        </w:rPr>
        <w:t>6</w:t>
      </w:r>
      <w:r>
        <w:t xml:space="preserve">. </w:t>
      </w:r>
      <w:r w:rsidRPr="00A8138F">
        <w:rPr>
          <w:i/>
        </w:rPr>
        <w:t>Intervención estatal en relación con los centros de referencia nacional de formación profesional</w:t>
      </w:r>
    </w:p>
    <w:p w14:paraId="17C6EAC4" w14:textId="77777777" w:rsidR="00A8138F" w:rsidRDefault="00A8138F" w:rsidP="00A8138F">
      <w:pPr>
        <w:pStyle w:val="TextoNormal"/>
      </w:pPr>
    </w:p>
    <w:p w14:paraId="66E4BE58" w14:textId="77777777" w:rsidR="00A8138F" w:rsidRDefault="00A8138F" w:rsidP="00A8138F">
      <w:pPr>
        <w:pStyle w:val="TextoNormal"/>
      </w:pPr>
      <w:r>
        <w:t>La disposición final segunda del Real Decreto 659/2023, en sus apartados séptimo y octavo, modifica respectivamente los arts. 7.6 y 8.2 del Real Decreto 229/2008.</w:t>
      </w:r>
    </w:p>
    <w:p w14:paraId="420C0DDD" w14:textId="77777777" w:rsidR="00A8138F" w:rsidRDefault="00A8138F" w:rsidP="00A8138F">
      <w:pPr>
        <w:pStyle w:val="TextoNormal"/>
      </w:pPr>
    </w:p>
    <w:p w14:paraId="427E6078" w14:textId="77777777" w:rsidR="00A8138F" w:rsidRDefault="00A8138F" w:rsidP="00A8138F">
      <w:pPr>
        <w:pStyle w:val="TextoNormal"/>
      </w:pPr>
      <w:r>
        <w:lastRenderedPageBreak/>
        <w:t>El apartado sexto del art. 7 ha quedado redactado como sigue:</w:t>
      </w:r>
    </w:p>
    <w:p w14:paraId="2A0580A3" w14:textId="77777777" w:rsidR="00A8138F" w:rsidRDefault="00A8138F" w:rsidP="00A8138F">
      <w:pPr>
        <w:pStyle w:val="TextoNormal"/>
      </w:pPr>
    </w:p>
    <w:p w14:paraId="767AEB2F" w14:textId="77777777" w:rsidR="00A8138F" w:rsidRDefault="00A8138F" w:rsidP="00A8138F">
      <w:pPr>
        <w:pStyle w:val="TextoNormal"/>
      </w:pPr>
      <w:r>
        <w:t>“Las comunidades autónomas podrán desarrollar, en los centros de referencia nacional de los que sean titulares, cuantas otras actividades consideren adecuadas, siempre que sean compatibles con el desarrollo de los fines y las funciones que tienen asignados, y cuenten con el acuerdo del Ministerio de Educación y Formación Profesional. Estas actividades serán financiadas con cargo a sus propios presupuestos de gasto y no estarán incluidas en el plan de trabajo”.</w:t>
      </w:r>
    </w:p>
    <w:p w14:paraId="04CC8583" w14:textId="77777777" w:rsidR="00A8138F" w:rsidRDefault="00A8138F" w:rsidP="00A8138F">
      <w:pPr>
        <w:pStyle w:val="TextoNormal"/>
      </w:pPr>
    </w:p>
    <w:p w14:paraId="3EE15AFB" w14:textId="77777777" w:rsidR="00A8138F" w:rsidRDefault="00A8138F" w:rsidP="00A8138F">
      <w:pPr>
        <w:pStyle w:val="TextoNormal"/>
      </w:pPr>
      <w:r>
        <w:t>Por su parte, el apartado segundo del art. 8 tiene la siguiente redacción:</w:t>
      </w:r>
    </w:p>
    <w:p w14:paraId="5BE21A35" w14:textId="77777777" w:rsidR="00A8138F" w:rsidRDefault="00A8138F" w:rsidP="00A8138F">
      <w:pPr>
        <w:pStyle w:val="TextoNormal"/>
      </w:pPr>
    </w:p>
    <w:p w14:paraId="16443DD6" w14:textId="77777777" w:rsidR="00A8138F" w:rsidRDefault="00A8138F" w:rsidP="00A8138F">
      <w:pPr>
        <w:pStyle w:val="TextoNormal"/>
      </w:pPr>
      <w:r>
        <w:t xml:space="preserve">“Las administraciones competentes podrán regular el procedimiento que permita a los centros de referencia nacional obtener recursos complementarios mediante la oferta de servicios, de acuerdo con su normativa presupuestaria y con la autorización del Ministerio </w:t>
      </w:r>
      <w:r>
        <w:tab/>
        <w:t>de Educación y Formación Profesional”.</w:t>
      </w:r>
    </w:p>
    <w:p w14:paraId="026F9246" w14:textId="77777777" w:rsidR="00A8138F" w:rsidRDefault="00A8138F" w:rsidP="00A8138F">
      <w:pPr>
        <w:pStyle w:val="TextoNormal"/>
      </w:pPr>
    </w:p>
    <w:p w14:paraId="39F535F2" w14:textId="77777777" w:rsidR="00A8138F" w:rsidRDefault="00A8138F" w:rsidP="00A8138F">
      <w:pPr>
        <w:pStyle w:val="TextoNormal"/>
      </w:pPr>
      <w:r>
        <w:t>La demanda sostiene que las modificaciones mencionadas, que aluden al acuerdo o a la autorización del Ministerio de Educación y Formación Profesional (actualmente, Ministerio de Educación, Formación Profesional y Deportes), suponen la incorporación a los citados preceptos de un régimen de intervención previa y vinculante del citado ministerio en relación a los centros de referencia nacional que sean de titularidad de las comunidades autónomas, lo que constituye un mecanismo de tutela o control de naturaleza ejecutiva, que vulnera las competencias de la Generalitat de Cataluña. El abogado del Estado sostiene que “no se considera que haya exceso en la regulación básica estatal por dicha regulación”.</w:t>
      </w:r>
    </w:p>
    <w:p w14:paraId="5B5B7F42" w14:textId="77777777" w:rsidR="00A8138F" w:rsidRDefault="00A8138F" w:rsidP="00A8138F">
      <w:pPr>
        <w:pStyle w:val="TextoNormal"/>
      </w:pPr>
    </w:p>
    <w:p w14:paraId="41545D95" w14:textId="77777777" w:rsidR="00A8138F" w:rsidRDefault="00A8138F" w:rsidP="00A8138F">
      <w:pPr>
        <w:pStyle w:val="TextoNormal"/>
      </w:pPr>
      <w:r>
        <w:t>Los centros de referencia nacional en el ámbito de la formación profesional, de acuerdo con su normativa reguladora constituida por el Real Decreto 229/2008, son aquellos centros públicos que, reuniendo las condiciones establecidas, realicen acciones de innovación y experimentación en materia de formación profesional, especializados en los diferentes sectores productivos. Estos centros forman parte de una red única de ámbito estatal, coordinada por la administración general del Estado, elaborada con la colaboración de las comunidades autónomas y las organizaciones empresariales y sindicales más representativas. Existirá, al menos, un centro de referencia nacional en cada comunidad autónoma. La creación de los centros de referencia nacional o la calificación de los ya existentes se realizará por real decreto, a propuesta del Ministerio de Educación y Formación Profesional, en el que se publicará como anexo el convenio de colaboración con la comunidad autónoma en la que vayan a estar o estén ubicados. La titularidad del centro corresponde a la administración autonómica o, en su caso, a la administración general del Estado. Para el desarrollo de las funciones de los centros de referencia nacional se prevé la existencia de un plan de actuación plurianual, de carácter estatal, en colaboración con las comunidades autónomas y las organizaciones empresariales y sindicales más representativas. Para cada uno de los centros de referencia nacional se acordará también un plan de actuación plurianual, que será reflejado en un convenio de colaboración entre la administración general del Estado y la administración autonómica. Igualmente, se aprobará un plan de trabajo anual en el que se concretarán las actuaciones a realizar y la aportación económica de la administración general del Estado. En el desarrollo y ejecución del plan de trabajo, los centros dispondrán de autonomía organizativa, pedagógica y de gestión económica.</w:t>
      </w:r>
    </w:p>
    <w:p w14:paraId="247F516F" w14:textId="77777777" w:rsidR="00A8138F" w:rsidRDefault="00A8138F" w:rsidP="00A8138F">
      <w:pPr>
        <w:pStyle w:val="TextoNormal"/>
      </w:pPr>
    </w:p>
    <w:p w14:paraId="05F2E4B9" w14:textId="77777777" w:rsidR="00A8138F" w:rsidRDefault="00A8138F" w:rsidP="00A8138F">
      <w:pPr>
        <w:pStyle w:val="TextoNormal"/>
      </w:pPr>
      <w:r>
        <w:lastRenderedPageBreak/>
        <w:t>La doctrina constitucional ha hecho referencia a tales centros, señalando que el Estado puede realizar a través de ellos actividades innovadoras experimentales en ámbitos de su competencia, en este caso educativa, en todo el territorio nacional, previos los oportunos instrumentos de colaboración con las comunidades autónomas para desarrollar tales actividades en los centros de titularidad de estas (STC 111/2012, FJ 11).</w:t>
      </w:r>
    </w:p>
    <w:p w14:paraId="14545AD3" w14:textId="77777777" w:rsidR="00A8138F" w:rsidRDefault="00A8138F" w:rsidP="00A8138F">
      <w:pPr>
        <w:pStyle w:val="TextoNormal"/>
      </w:pPr>
    </w:p>
    <w:p w14:paraId="4C3EA336" w14:textId="77777777" w:rsidR="00A8138F" w:rsidRDefault="00A8138F" w:rsidP="00A8138F">
      <w:pPr>
        <w:pStyle w:val="TextoNormal"/>
      </w:pPr>
      <w:r>
        <w:t>Los dos preceptos cuestionados están relacionados entre sí en la medida en que se refieren a la posibilidad de que las comunidades autónomas desarrollen, en los aludidos centros de referencia nacional de los que sean titulares, otras actividades que consideren adecuadas y permitan obtener recursos complementarios mediante la oferta de servicios. La controversia se centra en que ambos preceptos prevén la intervención estatal, en forma de acuerdo o autorización ministerial, como condición para el desarrollo de esas actividades.</w:t>
      </w:r>
    </w:p>
    <w:p w14:paraId="47EAAC52" w14:textId="77777777" w:rsidR="00A8138F" w:rsidRDefault="00A8138F" w:rsidP="00A8138F">
      <w:pPr>
        <w:pStyle w:val="TextoNormal"/>
      </w:pPr>
    </w:p>
    <w:p w14:paraId="4A929694" w14:textId="77777777" w:rsidR="00A8138F" w:rsidRDefault="00A8138F" w:rsidP="00A8138F">
      <w:pPr>
        <w:pStyle w:val="TextoNormal"/>
      </w:pPr>
      <w:r>
        <w:t>Planteada en tales términos la impugnación ha de ser desestimada, pues, considerado en el conjunto de la regulación, la intervención estatal no supone, como alega la comunidad autónoma, un control inconstitucional sobre la actividad autonómica.</w:t>
      </w:r>
    </w:p>
    <w:p w14:paraId="58F9E5C6" w14:textId="77777777" w:rsidR="00A8138F" w:rsidRDefault="00A8138F" w:rsidP="00A8138F">
      <w:pPr>
        <w:pStyle w:val="TextoNormal"/>
      </w:pPr>
    </w:p>
    <w:p w14:paraId="0B5CECFB" w14:textId="77777777" w:rsidR="00A8138F" w:rsidRDefault="00A8138F" w:rsidP="00A8138F">
      <w:pPr>
        <w:pStyle w:val="TextoNormal"/>
      </w:pPr>
      <w:r>
        <w:t>La doctrina constitucional ha subrayado que “[l]a autonomía de las comunidades autónomas no llega a excluir, sin embargo, toda intervención de la administración general del Estado sobre las comunidades autónomas que no esté específicamente prevista en la Constitución [SSTC 134/2011, FJ 8 a); 215/2014, FJ 7 a); 101/2016, FJ 5, y 79/2017, FJ 17]. Es el caso de las competencias estatales de coordinación en determinadas materias y, con ello, la capacidad de regular y ejercer facultades que implican un ‘cierto poder de dirección’ sobre algunos ámbitos de actividad autonómica, ‘consecuencia de la posición de superioridad en que se encuentra el que coordina respecto al coordinado’ (STC 214/1989, de 21 de diciembre, FJ 18); un poder que, en todo caso, debe respetar la garantía constitucional de la autonomía de las comunidades autónomas [STC 79/2017, FJ 17 a), citando la STC 27/1987, de 27 de febrero, FJ 6], que, naturalmente, es más cualificada que la de los entes locales (STC 32/1981, de 28 de julio, FJ 3). La jurisprudencia constitucional también ha reconocido que el Estado puede fijar criterios de coordinación como facultad que guarda estrecha conexión con la normativa básica de educación (STC 26/2016, de 18 de febrero, FJ 6)” [STC 14/2018, FJ 10 c)]. No obstante, en esa misma sentencia y fundamento jurídico hemos advertido que “[e]l ejercicio de las competencias propias del Estado no puede suponer una sustitución en la definición autonómica de sus propias políticas en el ámbito de su competencia. En este sentido, la STC 101/2016, de 25 de mayo, traza el límite de lo constitucionalmente admisible en la necesaria preservación de la definición de las políticas autonómicas: si a los órganos estatales ‘se les habilitara para formular en positivo las medidas a aplicar y, además, estas fuesen ejecutivas por su sola autoridad, resulta claro que se estaría sustituyendo a la comunidad autónoma de que se trate en la configuración de qué políticas deben desarrollarse en ámbitos de su competencia […]. Este límite no supone una sustitución en la definición autonómica de sus propias políticas en el ámbito de su competencia, no resultando alcanzado por tanto por la doctrina constitucional establecida en las SSTC 134/2011 y 215/2014 sobre la compatibilidad entre la autonomía reconocida a las comunidades autónomas y los controles estatales que supongan sustituir a aquellas en el ejercicio de sus competencias’ (FJ 7). En fin, tampoco la supletoriedad ‘puede justificar una actuación administrativa en ámbitos de competencia autonómica’ [STC 103/1989, de 8 de junio, FJ 4 c), reiterada en la STC 228/2012, de 29 de noviembre, FJ 6]”.</w:t>
      </w:r>
    </w:p>
    <w:p w14:paraId="118F3DC3" w14:textId="77777777" w:rsidR="00A8138F" w:rsidRDefault="00A8138F" w:rsidP="00A8138F">
      <w:pPr>
        <w:pStyle w:val="TextoNormal"/>
      </w:pPr>
    </w:p>
    <w:p w14:paraId="1B22D1D5" w14:textId="77777777" w:rsidR="00A8138F" w:rsidRDefault="00A8138F" w:rsidP="00A8138F">
      <w:pPr>
        <w:pStyle w:val="TextoNormal"/>
      </w:pPr>
      <w:r>
        <w:lastRenderedPageBreak/>
        <w:t>En este caso no puede obviarse que se trata de centros que son coordinados y financiados por el Estado y sometidos a un plan de actuación plurianual articulado mediante un convenio de colaboración entre la administración general del Estado y la administración autonómica, así como a un plan de trabajo anual en el que se concretarán las actuaciones a realizar y la aportación económica de la administración general del Estado. Esta planificación busca en buena medida la coordinación funcional y, a su través, la eficacia, eficiencia y racionalidad en el desarrollo de la política o actividad concreta que se planifica. Por ello, la intervención estatal, denominada acuerdo o autorización, ha de entenderse necesariamente en ese previo contexto de coordinación estatal y colaboración con las comunidades autónomas en relación con las actividades a desarrollar en este tipo de centros. De manera que esa intervención estatal que ahora se cuestiona no puede ser entendida como puramente discrecional, sino, por el contrario, estrictamente vinculada a la necesidad de cohonestar dichas actividades con los anteriores instrumentos de planificación y colaboración a los que se acaba de hacer referencia y, en ese sentido, ligadas a las atribuciones estatales en relación con este tipo de centros, entre las que se encuentran la concreción de las actuaciones a realizar y la participación en su financiación. Esto es, la mención al acuerdo o la autorización ha de entenderse en el sentido de que esa intervención de un órgano estatal únicamente puede tener lugar a los solos efectos de comprobar la compatibilidad de esas otras actividades con los compromisos previamente asumidos por el Estado y la comunidad autónoma al planificar la actividad de los centros, tanto en el plan de actuación plurianual, en los términos del necesario convenio de colaboración, como en el plan de trabajo anual.</w:t>
      </w:r>
    </w:p>
    <w:p w14:paraId="0DA7C925" w14:textId="77777777" w:rsidR="00A8138F" w:rsidRDefault="00A8138F" w:rsidP="00A8138F">
      <w:pPr>
        <w:pStyle w:val="TextoNormal"/>
      </w:pPr>
    </w:p>
    <w:p w14:paraId="18B59B8E" w14:textId="5926CF39" w:rsidR="00A8138F" w:rsidRDefault="00A8138F" w:rsidP="00A8138F">
      <w:pPr>
        <w:pStyle w:val="TextoNormal"/>
      </w:pPr>
      <w:r>
        <w:t>En suma, entendidos en tales términos, como una intervención estatal estrictamente limitada a la necesidad de cohonestar dichas actividades con la planificación aplicable a este tipo de centros, los arts. 7.6 y 8.2 del Real Decreto 229/2008, en la redacción dada por los apartados séptimo y octavo de la disposición final segunda del Real Decreto 659/2023, son conformes con el orden constitucional de distribución de competencias.</w:t>
      </w:r>
    </w:p>
    <w:p w14:paraId="3AA81261" w14:textId="77777777" w:rsidR="00A8138F" w:rsidRDefault="00A8138F" w:rsidP="00A8138F">
      <w:pPr>
        <w:pStyle w:val="TextoNormal"/>
      </w:pPr>
    </w:p>
    <w:p w14:paraId="0D507C2A" w14:textId="77777777" w:rsidR="00A8138F" w:rsidRDefault="00A8138F" w:rsidP="00A8138F">
      <w:pPr>
        <w:pStyle w:val="TextoNormal"/>
      </w:pPr>
      <w:r w:rsidRPr="00A8138F">
        <w:rPr>
          <w:rStyle w:val="NumeroAFNegritaCaracter"/>
        </w:rPr>
        <w:t>7</w:t>
      </w:r>
      <w:r>
        <w:t xml:space="preserve">. </w:t>
      </w:r>
      <w:r w:rsidRPr="00A8138F">
        <w:rPr>
          <w:i/>
        </w:rPr>
        <w:t>Examen de la impugnación del art. 130 y el anexo XI del Real Decreto 659/2023</w:t>
      </w:r>
    </w:p>
    <w:p w14:paraId="27F36F4A" w14:textId="77777777" w:rsidR="00A8138F" w:rsidRDefault="00A8138F" w:rsidP="00A8138F">
      <w:pPr>
        <w:pStyle w:val="TextoNormal"/>
      </w:pPr>
    </w:p>
    <w:p w14:paraId="42733CC8" w14:textId="77777777" w:rsidR="00A8138F" w:rsidRDefault="00A8138F" w:rsidP="00A8138F">
      <w:pPr>
        <w:pStyle w:val="TextoNormal"/>
      </w:pPr>
      <w:r>
        <w:t>El art. 130 del Real Decreto 659/2023 regula el sistema de reconocimiento de estudios y créditos entre el sistema de formación profesional y el sistema universitario. Asimismo, el anexo XI establece la tabla de reconocimiento entre los títulos de formación profesional de grado superior y los títulos universitarios oficiales de grado.</w:t>
      </w:r>
    </w:p>
    <w:p w14:paraId="5AA5A887" w14:textId="77777777" w:rsidR="00A8138F" w:rsidRDefault="00A8138F" w:rsidP="00A8138F">
      <w:pPr>
        <w:pStyle w:val="TextoNormal"/>
      </w:pPr>
    </w:p>
    <w:p w14:paraId="3B92CE73" w14:textId="77777777" w:rsidR="00A8138F" w:rsidRDefault="00A8138F" w:rsidP="00A8138F">
      <w:pPr>
        <w:pStyle w:val="TextoNormal"/>
      </w:pPr>
      <w:r>
        <w:t>La demanda entiende que la regulación del reconocimiento entre el sistema de formación profesional y el sistema universitario vulnera la competencia autonómica en materia de universidades prevista en el art. 172.1 EAC y hubiera exigido su participación en la elaboración de la norma conforme a la regla de participación prevista en el art. 174 EAC. Precepto que habría sido vulnerado ya que en la elaboración del Real Decreto 659/2023 no se han solicitado los preceptivos informes del Consejo de Universidades ni de la Conferencia General de Política Universitaria. El abogado del Estado ha sostenido que tales informes solo son necesarios cuando afecten al conjunto del sistema universitario.</w:t>
      </w:r>
    </w:p>
    <w:p w14:paraId="47F40DC6" w14:textId="77777777" w:rsidR="00A8138F" w:rsidRDefault="00A8138F" w:rsidP="00A8138F">
      <w:pPr>
        <w:pStyle w:val="TextoNormal"/>
      </w:pPr>
    </w:p>
    <w:p w14:paraId="648CBFD3" w14:textId="77777777" w:rsidR="00A8138F" w:rsidRDefault="00A8138F" w:rsidP="00A8138F">
      <w:pPr>
        <w:pStyle w:val="TextoNormal"/>
      </w:pPr>
      <w:r>
        <w:t>El reconocimiento de créditos es una materia que ha de encuadrarse en la competencia sobre la regulación de las condiciones de obtención de títulos académicos del art. 149.1.30 CE, regulación que corresponde en su totalidad al Estado. La Ley Orgánica 2/2023, de 22 de marzo, del sistema universitario, y la propia Ley Orgánica 3/2022 [arts. 48 y 49 en rela</w:t>
      </w:r>
      <w:r>
        <w:lastRenderedPageBreak/>
        <w:t>ción con el art. 113.1 i)] disponen que corresponde al Estado regular el régimen de convalidaciones y de reconocimiento de créditos. En el caso de la Ley Orgánica 2/2023, de 22 de marzo, del sistema universitario, se precisa que esta regulación tiene que hacerse previo informe del Consejo de Universidades [art. 10 e)]. Esta ley, además, atribuye a la Conferencia General de Política Universitaria, órgano de cooperación y coordinación de la política universitaria entre las distintas administraciones públicas, la función de informar las disposiciones legales y reglamentarias que afecten al conjunto del sistema universitario [art. 15.1 b)].</w:t>
      </w:r>
    </w:p>
    <w:p w14:paraId="7142FAF1" w14:textId="77777777" w:rsidR="00A8138F" w:rsidRDefault="00A8138F" w:rsidP="00A8138F">
      <w:pPr>
        <w:pStyle w:val="TextoNormal"/>
      </w:pPr>
    </w:p>
    <w:p w14:paraId="4F08431E" w14:textId="77777777" w:rsidR="00A8138F" w:rsidRDefault="00A8138F" w:rsidP="00A8138F">
      <w:pPr>
        <w:pStyle w:val="TextoNormal"/>
      </w:pPr>
      <w:r>
        <w:t>La queja que se formula es que el Estado, al haber aprobado el Real Decreto 659/2023 sin haber solicitado el informe preceptivo del Consejo de Universidades ni el de la Conferencia General de Política Universitaria, impidió la participación de la Generalitat de Cataluña en su procedimiento de elaboración y afectó así a su ámbito de autonomía, menoscabando su competencia en materia de programación y coordinación del sistema universitario.</w:t>
      </w:r>
    </w:p>
    <w:p w14:paraId="279F15A7" w14:textId="77777777" w:rsidR="00A8138F" w:rsidRDefault="00A8138F" w:rsidP="00A8138F">
      <w:pPr>
        <w:pStyle w:val="TextoNormal"/>
      </w:pPr>
    </w:p>
    <w:p w14:paraId="7E56C2CB" w14:textId="77777777" w:rsidR="00A8138F" w:rsidRDefault="00A8138F" w:rsidP="00A8138F">
      <w:pPr>
        <w:pStyle w:val="TextoNormal"/>
      </w:pPr>
      <w:r>
        <w:t>Así formulada la queja hay que advertir, en primer lugar, que, en cuanto a los efectos de la ausencia de los informes preceptivos dentro del procedimiento de elaboración de la norma, no le corresponde a este tribunal pronunciarse sobre los vicios de legalidad ordinaria en los que puedan incurrir las normas, pues, desde esa perspectiva, “la pretensión examinada carece, no ya de contenido competencial, sino de contenido propiamente constitucional” (STC 100/2019, FJ 2).</w:t>
      </w:r>
    </w:p>
    <w:p w14:paraId="673783C9" w14:textId="77777777" w:rsidR="00A8138F" w:rsidRDefault="00A8138F" w:rsidP="00A8138F">
      <w:pPr>
        <w:pStyle w:val="TextoNormal"/>
      </w:pPr>
    </w:p>
    <w:p w14:paraId="59DDE507" w14:textId="77777777" w:rsidR="00A8138F" w:rsidRDefault="00A8138F" w:rsidP="00A8138F">
      <w:pPr>
        <w:pStyle w:val="TextoNormal"/>
      </w:pPr>
      <w:r>
        <w:t>Por otra parte, a la vista del planteamiento de la Generalitat de Cataluña, es claro que nos hallamos en un supuesto de lo que nuestra doctrina denomina lesión por menoscabo. En tales supuestos recuerda la STC 216/2016, de 15 de diciembre, FJ 4, que «desde las SSTC 11/1984 y 104/1988, hemos admitido los llamados conflictos de “lesión por menoscabo” que hemos diferenciado de los conflictos basados en la reivindicación competencial y que, obviamente, exigen para su correcto planteamiento, que se afirme por su promotora una afección negativa del propio ámbito competencial. Como ya dijimos en la STC 104/1988, FJ 1: “no resulta indispensable que el ente que plantea el conflicto recabe para sí la competencia ejercida por otro” pero sí que: “la actuación del otro afecte a su propio ámbito de autonomía ‘condicionando o configurando de forma que juzga inadecuadas las competencias que en virtud de esa autonomía ostenta’ (STC 11/1984)”».</w:t>
      </w:r>
    </w:p>
    <w:p w14:paraId="3C173674" w14:textId="77777777" w:rsidR="00A8138F" w:rsidRDefault="00A8138F" w:rsidP="00A8138F">
      <w:pPr>
        <w:pStyle w:val="TextoNormal"/>
      </w:pPr>
    </w:p>
    <w:p w14:paraId="6BB9311F" w14:textId="77777777" w:rsidR="00A8138F" w:rsidRDefault="00A8138F" w:rsidP="00A8138F">
      <w:pPr>
        <w:pStyle w:val="TextoNormal"/>
      </w:pPr>
      <w:r>
        <w:t xml:space="preserve">En este caso, tal lesión por menoscabo se produciría, en su caso, por la falta de consulta a la Conferencia General de Política Universitaria, pues es claro que el Consejo de Universidades cumple funciones distintas relacionadas con la coordinación académica y no con la cooperación y coordinación de la política universitaria entre las distintas administraciones públicas (art. 16 de la Ley Orgánica 2/2023, de 22 de marzo, del sistema universitario). Sin embargo, la demanda, más allá de denunciar la falta de intervención de la mencionada Conferencia General de Política Universitaria, lo que, en el fondo, remite a una queja de legalidad ordinaria relativa a la tramitación de la norma, no acierta a concretar en qué ha consistido el supuesto menoscabo en la competencia autonómica, como consecuencia del procedimiento de aprobación del Real Decreto 659/2023. Se limita a reclamar que esa participación hubiera debido tener lugar en el seno de la Conferencia General de Política Universitaria, pero en ningún momento la demanda expone que haya existido limitación o condicionamiento alguno para el ejercicio de las competencias autonómicas. Teniendo en cuenta que se trata del ejercicio de una indiscutida competencia estatal, lo que es reconocido por la </w:t>
      </w:r>
      <w:r>
        <w:lastRenderedPageBreak/>
        <w:t>propia demanda, no puede considerarse que tal alegación permita el examen por este tribunal de la lesión así alegada y, mucho menos, llegar a una conclusión de inconstitucionalidad por este motivo.</w:t>
      </w:r>
    </w:p>
    <w:p w14:paraId="698928C5" w14:textId="77777777" w:rsidR="00A8138F" w:rsidRDefault="00A8138F" w:rsidP="00A8138F">
      <w:pPr>
        <w:pStyle w:val="TextoNormal"/>
      </w:pPr>
    </w:p>
    <w:p w14:paraId="78F46B20" w14:textId="77777777" w:rsidR="00A8138F" w:rsidRDefault="00A8138F" w:rsidP="00A8138F">
      <w:pPr>
        <w:pStyle w:val="TextoNormal"/>
      </w:pPr>
      <w:r>
        <w:t>Por otra parte, la doctrina sobre la participación autonómica en la adopción de decisiones estatales ha reiterado que es el Estado el único competente para establecer los casos y los modos en que dicha participación haya de verificarse, por proyectarse la participación en ámbitos que le corresponden constitucionalmente y sin perjuicio de su posible incidencia en competencias o intereses de la comunidad autónoma (por todas, STC 217/2016, de 15 de diciembre, FJ 5). En ese sentido, como en otro contexto ya señaló la STC 101/2016, FJ 10, “no es función de las comunidades autónomas la de elegir en cada momento cuál es la fórmula de colaboración que mejor se adecúa a sus intereses”, en cuanto que tales fórmulas no sustituyen, impiden o menoscaban el libre y pleno ejercicio por el Estado de sus propias competencias. Por el contrario, es el Estado el que tiene que determinar los concretos términos, formas y condiciones de la participación de la comunidad autónoma, debiendo en todo caso quedar a salvo la titularidad de las competencias estatales eventualmente implicadas y la perfecta libertad que en su ejercicio corresponde a los organismos e instituciones del Estado (STC 31/2010, FJ 11</w:t>
      </w:r>
      <w:r w:rsidRPr="00A8138F">
        <w:rPr>
          <w:i/>
        </w:rPr>
        <w:t>1 in fi</w:t>
      </w:r>
      <w:r>
        <w:t>ne)”.</w:t>
      </w:r>
    </w:p>
    <w:p w14:paraId="537BA678" w14:textId="77777777" w:rsidR="00A8138F" w:rsidRDefault="00A8138F" w:rsidP="00A8138F">
      <w:pPr>
        <w:pStyle w:val="TextoNormal"/>
      </w:pPr>
    </w:p>
    <w:p w14:paraId="150654AD" w14:textId="49AE38C9" w:rsidR="00A8138F" w:rsidRDefault="00A8138F" w:rsidP="00A8138F">
      <w:pPr>
        <w:pStyle w:val="TextoNormal"/>
      </w:pPr>
      <w:r>
        <w:t>Consecuentemente, el motivo de inconstitucionalidad alegado debe ser desestimado.</w:t>
      </w:r>
    </w:p>
    <w:p w14:paraId="1EEC34DE" w14:textId="77777777" w:rsidR="00A8138F" w:rsidRDefault="00A8138F" w:rsidP="00A8138F">
      <w:pPr>
        <w:pStyle w:val="TextoNormal"/>
      </w:pPr>
    </w:p>
    <w:p w14:paraId="3D639A1B" w14:textId="77777777" w:rsidR="00A8138F" w:rsidRDefault="00A8138F" w:rsidP="00A8138F">
      <w:pPr>
        <w:pStyle w:val="TextoNormal"/>
      </w:pPr>
      <w:r w:rsidRPr="00A8138F">
        <w:rPr>
          <w:rStyle w:val="NumeroAFNegritaCaracter"/>
        </w:rPr>
        <w:t>8</w:t>
      </w:r>
      <w:r>
        <w:t xml:space="preserve">. </w:t>
      </w:r>
      <w:r w:rsidRPr="00A8138F">
        <w:rPr>
          <w:i/>
        </w:rPr>
        <w:t>Examen de la impugnación de la disposición final sexta</w:t>
      </w:r>
    </w:p>
    <w:p w14:paraId="1477899E" w14:textId="77777777" w:rsidR="00A8138F" w:rsidRDefault="00A8138F" w:rsidP="00A8138F">
      <w:pPr>
        <w:pStyle w:val="TextoNormal"/>
      </w:pPr>
    </w:p>
    <w:p w14:paraId="6FE906D0" w14:textId="77777777" w:rsidR="00A8138F" w:rsidRDefault="00A8138F" w:rsidP="00A8138F">
      <w:pPr>
        <w:pStyle w:val="TextoNormal"/>
      </w:pPr>
      <w:r>
        <w:t>La disposición final sexta del Real Decreto 659/2023 se refiere a los títulos competenciales habilitantes de la norma, entre los cuales señala los de los arts. 149.1.1, 7, 18 y 30 CE. El mismo precepto expone que el título competencial del art. 149.1.7 CE se aplica en lo que se refiere a la formación en el trabajo y que la invocación del art. 149.1.30 CE es aplicable a la formación profesional como parte del sistema educativo.</w:t>
      </w:r>
    </w:p>
    <w:p w14:paraId="681B7B78" w14:textId="77777777" w:rsidR="00A8138F" w:rsidRDefault="00A8138F" w:rsidP="00A8138F">
      <w:pPr>
        <w:pStyle w:val="TextoNormal"/>
      </w:pPr>
    </w:p>
    <w:p w14:paraId="71AC7ECD" w14:textId="77777777" w:rsidR="00A8138F" w:rsidRDefault="00A8138F" w:rsidP="00A8138F">
      <w:pPr>
        <w:pStyle w:val="TextoNormal"/>
      </w:pPr>
      <w:r>
        <w:t>La demanda sostiene que es incorrecta la referencia al art. 149.1.1 CE, porque, según doctrina constitucional reiterada, en el ámbito de la educación, es un artículo que debe descartarse como título competencial por ser la competencia del art. 149.1.30 CE más específica, ya que se trata directamente de derechos educativos. También incurre en vulneración competencial la referencia al art. 149.1.30 CE, al extender indebidamente esta cobertura competencial a los preceptos incursos en inconstitucionalidad por incompetencia que han sido objeto del presente conflicto.</w:t>
      </w:r>
    </w:p>
    <w:p w14:paraId="133D9FA1" w14:textId="77777777" w:rsidR="00A8138F" w:rsidRDefault="00A8138F" w:rsidP="00A8138F">
      <w:pPr>
        <w:pStyle w:val="TextoNormal"/>
      </w:pPr>
    </w:p>
    <w:p w14:paraId="77690F0B" w14:textId="77777777" w:rsidR="00A8138F" w:rsidRDefault="00A8138F" w:rsidP="00A8138F">
      <w:pPr>
        <w:pStyle w:val="TextoNormal"/>
      </w:pPr>
      <w:r>
        <w:t>Procede, en primer lugar, desestimar la impugnación respecto a la invocación del art. 149.1.1 CE en la disposición final sexta. Es cierto que el título específico que ostenta el Estado en esta materia es el del art. 149.1.30 CE, pero eso no impide apreciar que en la reserva al Estado de la competencia enunciada en el art. 149.1.30 CE subyace el principio de igualdad de derechos de todos los españoles en cualquier parte del territorio (STC 201/2013, de 5 de diciembre, FJ 4, con cita de la STC 122/1989, de 6 de julio, FJ 5), así como que “[h]emos reiterado que la educación es una materia compartida entre el Estado y las comunidades autónomas y que las competencias del Estado en materia educativa derivan, sobre todo, de lo dispuesto en las cláusulas 1 y 30 del art. 149.1 CE, arraigando dichas competencias en el derecho fundamental a la educación (art. 27 CE), cuyo ejercicio igualitario debe garantizar el Estado” (STC 107/2014, de 26 de junio, FJ 3).</w:t>
      </w:r>
    </w:p>
    <w:p w14:paraId="1E780CD4" w14:textId="77777777" w:rsidR="00A8138F" w:rsidRDefault="00A8138F" w:rsidP="00A8138F">
      <w:pPr>
        <w:pStyle w:val="TextoNormal"/>
      </w:pPr>
    </w:p>
    <w:p w14:paraId="5D119E2F" w14:textId="77777777" w:rsidR="00A8138F" w:rsidRDefault="00A8138F" w:rsidP="00A8138F">
      <w:pPr>
        <w:pStyle w:val="TextoNormal"/>
      </w:pPr>
      <w:r>
        <w:t>En suma, por lo expuesto, no cabe descartar que el art. 149.1.1 CE proporcione fundamento competencial a la norma objeto de este proceso y es, en esa medida, constitucional.</w:t>
      </w:r>
    </w:p>
    <w:p w14:paraId="5CBC992B" w14:textId="77777777" w:rsidR="00A8138F" w:rsidRDefault="00A8138F" w:rsidP="00A8138F">
      <w:pPr>
        <w:pStyle w:val="TextoNormal"/>
      </w:pPr>
    </w:p>
    <w:p w14:paraId="34946A50" w14:textId="77777777" w:rsidR="00A8138F" w:rsidRDefault="00A8138F" w:rsidP="00A8138F">
      <w:pPr>
        <w:pStyle w:val="TextoNormal"/>
      </w:pPr>
      <w:r>
        <w:t xml:space="preserve">También debemos desechar la impugnación de la disposición final sexta del Real Decreto 659/2023, en lo que se refiere a la invocación del art. 149.1.30 CE, pues, establecido que el Estado ostenta competencias en relación con la formación profesional que se integra en el sistema educativo, ningún reproche puede dirigirse a la referida disposición por el hecho de que afirme el carácter básico de la norma </w:t>
      </w:r>
      <w:r w:rsidRPr="00A8138F">
        <w:rPr>
          <w:i/>
        </w:rPr>
        <w:t>ex</w:t>
      </w:r>
      <w:r>
        <w:t xml:space="preserve"> art. 149.1.30 CE.</w:t>
      </w:r>
    </w:p>
    <w:p w14:paraId="110DA6C3" w14:textId="77777777" w:rsidR="00A8138F" w:rsidRDefault="00A8138F" w:rsidP="00A8138F">
      <w:pPr>
        <w:pStyle w:val="TextoNormal"/>
      </w:pPr>
    </w:p>
    <w:p w14:paraId="4630A97C" w14:textId="53C33598" w:rsidR="00A8138F" w:rsidRDefault="00A8138F" w:rsidP="00A8138F">
      <w:pPr>
        <w:pStyle w:val="TextoNormal"/>
      </w:pPr>
      <w:r>
        <w:t>En suma, la impugnación de la disposición final sexta ha de ser desestimada.</w:t>
      </w:r>
    </w:p>
    <w:p w14:paraId="3046145C" w14:textId="77777777" w:rsidR="00A8138F" w:rsidRDefault="00A8138F" w:rsidP="00A8138F">
      <w:pPr>
        <w:pStyle w:val="TextoNormal"/>
      </w:pPr>
    </w:p>
    <w:p w14:paraId="45B03D02" w14:textId="77777777" w:rsidR="00A8138F" w:rsidRDefault="00A8138F" w:rsidP="00A8138F">
      <w:pPr>
        <w:pStyle w:val="TextoNormalCentrado"/>
        <w:keepNext/>
      </w:pPr>
      <w:r>
        <w:t>FALLO</w:t>
      </w:r>
    </w:p>
    <w:p w14:paraId="78389894" w14:textId="2E426F2F" w:rsidR="00A8138F" w:rsidRDefault="00A8138F" w:rsidP="00A8138F">
      <w:pPr>
        <w:pStyle w:val="TextoNormalCentrado"/>
        <w:keepNext/>
      </w:pPr>
    </w:p>
    <w:p w14:paraId="5D8BA899" w14:textId="77777777" w:rsidR="00A8138F" w:rsidRDefault="00A8138F" w:rsidP="00A8138F">
      <w:pPr>
        <w:pStyle w:val="TextoNormal"/>
      </w:pPr>
      <w:r>
        <w:t>En atención a todo lo expuesto, el Tribunal Constitucional, por la autoridad que le confiere la Constitución de la Nación española, ha decidido:</w:t>
      </w:r>
    </w:p>
    <w:p w14:paraId="301548B6" w14:textId="77777777" w:rsidR="00A8138F" w:rsidRDefault="00A8138F" w:rsidP="00A8138F">
      <w:pPr>
        <w:pStyle w:val="TextoNormal"/>
      </w:pPr>
    </w:p>
    <w:p w14:paraId="70CA171D" w14:textId="77777777" w:rsidR="00A8138F" w:rsidRDefault="00A8138F" w:rsidP="00A8138F">
      <w:pPr>
        <w:pStyle w:val="TextoNormal"/>
      </w:pPr>
      <w:r>
        <w:t>1º Inadmitir el conflicto positivo de competencia respecto de los arts. 9.3; 9.5; 96.2 c); 103.2 a) y b); 109.1 y 4; 112.1 d) y anexo IV del Real Decreto 659/2023, de 18 de julio, por el que se desarrolla la ordenación del sistema de formación profesional.</w:t>
      </w:r>
    </w:p>
    <w:p w14:paraId="69D4BD61" w14:textId="77777777" w:rsidR="00A8138F" w:rsidRDefault="00A8138F" w:rsidP="00A8138F">
      <w:pPr>
        <w:pStyle w:val="TextoNormal"/>
      </w:pPr>
    </w:p>
    <w:p w14:paraId="53278332" w14:textId="77777777" w:rsidR="00A8138F" w:rsidRDefault="00A8138F" w:rsidP="00A8138F">
      <w:pPr>
        <w:pStyle w:val="TextoNormal"/>
      </w:pPr>
      <w:r>
        <w:t>2º Declarar la pérdida sobrevenida de objeto del conflicto positivo de competencia en lo que respecta a los arts. 108.1 d) y 113.4 del Real Decreto 659/2023, de 18 de julio, por el que se desarrolla la ordenación del sistema de formación profesional.</w:t>
      </w:r>
    </w:p>
    <w:p w14:paraId="2C1DA9EE" w14:textId="77777777" w:rsidR="00A8138F" w:rsidRDefault="00A8138F" w:rsidP="00A8138F">
      <w:pPr>
        <w:pStyle w:val="TextoNormal"/>
      </w:pPr>
    </w:p>
    <w:p w14:paraId="405203CD" w14:textId="77777777" w:rsidR="00A8138F" w:rsidRDefault="00A8138F" w:rsidP="00A8138F">
      <w:pPr>
        <w:pStyle w:val="TextoNormal"/>
      </w:pPr>
      <w:r>
        <w:t>3º Estimar parcialmente el conflicto positivo de competencia interpuesto por el Gobierno de la Generalitat de Cataluña y, en consecuencia, declarar que son inconstitucionales y nulos: el art. 47.1 b), en los términos del fundamento jurídico 5 B) a), el segundo inciso del primer párrafo del art. 155.2 (“[l]os centros recogerán las solicitudes de cada alumno o alumna con indicación de la preferencia en participar en el régimen general o intensivo, en el caso de ofertar una misma especialidad en ambos regímenes, así como de la preferencia de las empresas”), en los términos del fundamento jurídico 5 E) a); los apartados segundo, tercero, cuarto y sexto del art. 166; los apartados segundo, tercero y cuarto del art. 203; el inciso “con una antelación no inferior a treinta días a la fecha de inicio” del primer párrafo, el segundo párrafo y los números (1) a (5) de la letra a) y el inciso “en un plazo no superior a dos meses desde la finalización de la acción formativa” de la letra c), todos ellos del art. 205.1 del Real Decreto 659/2023, en los términos del fundamento jurídico 5 I).</w:t>
      </w:r>
    </w:p>
    <w:p w14:paraId="3D7319DF" w14:textId="77777777" w:rsidR="00A8138F" w:rsidRDefault="00A8138F" w:rsidP="00A8138F">
      <w:pPr>
        <w:pStyle w:val="TextoNormal"/>
      </w:pPr>
    </w:p>
    <w:p w14:paraId="10AA4FD5" w14:textId="360DB2B8" w:rsidR="00A8138F" w:rsidRDefault="00A8138F" w:rsidP="00A8138F">
      <w:pPr>
        <w:pStyle w:val="TextoNormal"/>
      </w:pPr>
      <w:r>
        <w:t>4º Desestimar el conflicto en todo lo demás.</w:t>
      </w:r>
    </w:p>
    <w:p w14:paraId="4FDBB95B" w14:textId="77777777" w:rsidR="00A8138F" w:rsidRDefault="00A8138F" w:rsidP="00A8138F">
      <w:pPr>
        <w:pStyle w:val="TextoNormal"/>
      </w:pPr>
    </w:p>
    <w:p w14:paraId="2CE83FD2" w14:textId="77777777" w:rsidR="00A8138F" w:rsidRDefault="00A8138F" w:rsidP="00A8138F">
      <w:pPr>
        <w:pStyle w:val="TextoNormal"/>
      </w:pPr>
      <w:r>
        <w:t>Publíquese esta sentencia en el “Boletín Oficial del Estado”.</w:t>
      </w:r>
    </w:p>
    <w:p w14:paraId="4850C35E" w14:textId="77777777" w:rsidR="00A8138F" w:rsidRDefault="00A8138F" w:rsidP="00A8138F">
      <w:pPr>
        <w:pStyle w:val="TextoNormal"/>
      </w:pPr>
      <w:r>
        <w:t>Dada en Madrid, a veintiséis de marzo de dos mil veinticinco.</w:t>
      </w:r>
    </w:p>
    <w:p w14:paraId="57572F45" w14:textId="46BD5F54" w:rsidR="00A8138F" w:rsidRDefault="00A8138F">
      <w:pPr>
        <w:spacing w:after="160" w:line="278" w:lineRule="auto"/>
        <w:rPr>
          <w:rFonts w:ascii="Times New Roman" w:eastAsia="Times New Roman" w:hAnsi="Times New Roman" w:cs="Times New Roman"/>
          <w:sz w:val="24"/>
          <w:szCs w:val="24"/>
          <w:lang w:eastAsia="es-ES"/>
        </w:rPr>
      </w:pPr>
      <w:r>
        <w:br w:type="page"/>
      </w:r>
    </w:p>
    <w:p w14:paraId="243F7959" w14:textId="77777777" w:rsidR="00A8138F" w:rsidRDefault="00A8138F" w:rsidP="00A8138F">
      <w:pPr>
        <w:pStyle w:val="TtuloResolucin"/>
      </w:pPr>
      <w:bookmarkStart w:id="85" w:name="SENTENCIA_2025_83"/>
      <w:r>
        <w:lastRenderedPageBreak/>
        <w:t>SENTENCIA 83/2025, de 26 de marzo de 2025</w:t>
      </w:r>
    </w:p>
    <w:bookmarkEnd w:id="85"/>
    <w:p w14:paraId="026D31B4" w14:textId="77777777" w:rsidR="00A8138F" w:rsidRDefault="00A8138F" w:rsidP="00A8138F">
      <w:pPr>
        <w:pStyle w:val="TtuloResolucin"/>
      </w:pPr>
      <w:r>
        <w:t>Pleno</w:t>
      </w:r>
    </w:p>
    <w:p w14:paraId="7648F024" w14:textId="77777777" w:rsidR="00A8138F" w:rsidRDefault="00A8138F" w:rsidP="00A8138F">
      <w:pPr>
        <w:pStyle w:val="TtuloBOE"/>
      </w:pPr>
      <w:r>
        <w:t>(BOE núm. 109, de 6 de mayo de 2025)</w:t>
      </w:r>
    </w:p>
    <w:p w14:paraId="315E7ED3" w14:textId="77777777" w:rsidR="00A8138F" w:rsidRDefault="00A8138F" w:rsidP="00A8138F">
      <w:pPr>
        <w:pStyle w:val="TextoNormalCentrado"/>
      </w:pPr>
      <w:r>
        <w:t>ECLI:ES:TC:2025:83</w:t>
      </w:r>
    </w:p>
    <w:p w14:paraId="7560CFA8" w14:textId="1E0B44E3" w:rsidR="00A8138F" w:rsidRDefault="00A8138F" w:rsidP="00A8138F">
      <w:pPr>
        <w:pStyle w:val="TextoNormalCentrado"/>
      </w:pPr>
    </w:p>
    <w:p w14:paraId="7EECAB42" w14:textId="77777777" w:rsidR="00A8138F" w:rsidRDefault="00A8138F" w:rsidP="00A8138F">
      <w:pPr>
        <w:pStyle w:val="SntesisDescriptiva"/>
      </w:pPr>
      <w:r>
        <w:t>Recurso de amparo 4403-2024. Promovido por don Alejandro Fernández Álvarez y otros catorce diputados del Parlamento de Cataluña en relación con el acuerdo de la mesa de edad que, en la sesión constitutiva de la Cámara, aceptó la delegación de voto de los diputados don Carles Puigdemont i Casamajó y don Lluís Puig i Gordi en favor del diputado don Albert Batet i Canadell, y otros actos de la misma mesa y del presidente de dicho Parlamento.</w:t>
      </w:r>
    </w:p>
    <w:p w14:paraId="00CC6671" w14:textId="7E6189B4" w:rsidR="00A8138F" w:rsidRDefault="00A8138F" w:rsidP="00A8138F">
      <w:pPr>
        <w:pStyle w:val="SntesisDescriptiva"/>
      </w:pPr>
    </w:p>
    <w:p w14:paraId="13DB74DA" w14:textId="77777777" w:rsidR="00A8138F" w:rsidRDefault="00A8138F" w:rsidP="00A8138F">
      <w:pPr>
        <w:pStyle w:val="SntesisAnaltica"/>
      </w:pPr>
      <w:r>
        <w:t>Vulneración del derecho al ejercicio de las funciones representativas en conexión con el derecho de los ciudadanos a participar en los asuntos públicos a través de sus representantes: aceptación de la delegación de voto que excepciona el principio de presencialidad de quien voluntariamente ha decidido eludir la acción de la jurisdicción penal española y está sujeto a una orden judicial de busca y captura (SSTC 85/2022 y 86/2024).</w:t>
      </w:r>
    </w:p>
    <w:p w14:paraId="22C4BDB0" w14:textId="54E29784" w:rsidR="00A8138F" w:rsidRDefault="00A8138F" w:rsidP="00A8138F">
      <w:pPr>
        <w:pStyle w:val="SntesisAnaltica"/>
      </w:pPr>
    </w:p>
    <w:p w14:paraId="6E01B050" w14:textId="148697B3" w:rsidR="00A8138F" w:rsidRDefault="00A8138F" w:rsidP="00A8138F">
      <w:pPr>
        <w:pStyle w:val="Extracto"/>
      </w:pPr>
      <w:r>
        <w:t>1.</w:t>
      </w:r>
      <w:r>
        <w:tab/>
        <w:t xml:space="preserve">El principio en virtud del cual el voto de los representantes políticos es personal e indelegable, previsto en el art. 79.3 CE, resulta de aplicación a todos los cargos públicos representativos, incluyendo a los parlamentarios autonómicos. Y los acuerdos que admiten la delegación del voto de los parlamentarios pueden afectar al </w:t>
      </w:r>
      <w:r w:rsidRPr="00A8138F">
        <w:rPr>
          <w:i/>
        </w:rPr>
        <w:t xml:space="preserve">ius in officium </w:t>
      </w:r>
      <w:r>
        <w:t>del resto de los miembros de la Cámara (STC 65/2022) [FJ 2].</w:t>
      </w:r>
    </w:p>
    <w:p w14:paraId="7D7B6185" w14:textId="77777777" w:rsidR="00A8138F" w:rsidRDefault="00A8138F" w:rsidP="00A8138F">
      <w:pPr>
        <w:pStyle w:val="Extracto"/>
      </w:pPr>
    </w:p>
    <w:p w14:paraId="53635072" w14:textId="48A992AE" w:rsidR="00A8138F" w:rsidRDefault="00A8138F" w:rsidP="00A8138F">
      <w:pPr>
        <w:pStyle w:val="Extracto"/>
      </w:pPr>
      <w:r>
        <w:t>2.</w:t>
      </w:r>
      <w:r>
        <w:tab/>
        <w:t>Las normas parlamentarias que introducen excepciones al carácter personal e indelegable del voto de los representantes políticos sólo son constitucionalmente admisibles cuando se encuentran justificadas en la necesidad de salvaguardar otros bienes o valores constitucionales que se consideren merecedores de protección y respetan el principio de proporcionalidad, lo que no concurre en el caso de quien voluntariamente ha decidido eludir la acción de la jurisdicción penal española y sobre el que pesa una orden judicial de busca y captura (STC 65/2022) [FJ 2].</w:t>
      </w:r>
    </w:p>
    <w:p w14:paraId="69A7F267" w14:textId="77777777" w:rsidR="00A8138F" w:rsidRDefault="00A8138F" w:rsidP="00A8138F">
      <w:pPr>
        <w:pStyle w:val="Extracto"/>
      </w:pPr>
    </w:p>
    <w:p w14:paraId="2C35290D" w14:textId="77777777" w:rsidR="00A8138F" w:rsidRDefault="00A8138F" w:rsidP="00A8138F">
      <w:pPr>
        <w:pStyle w:val="Extracto"/>
      </w:pPr>
    </w:p>
    <w:p w14:paraId="4ED2FEB1"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28CAACAA" w14:textId="23E978FB" w:rsidR="00A8138F" w:rsidRDefault="00A8138F" w:rsidP="00A8138F">
      <w:pPr>
        <w:pStyle w:val="TextoNormal"/>
      </w:pPr>
    </w:p>
    <w:p w14:paraId="61FF6453" w14:textId="77777777" w:rsidR="00A8138F" w:rsidRDefault="00A8138F" w:rsidP="00A8138F">
      <w:pPr>
        <w:pStyle w:val="TextoNormalCentrado"/>
        <w:keepNext/>
      </w:pPr>
      <w:r>
        <w:t>EN NOMBRE DEL REY</w:t>
      </w:r>
    </w:p>
    <w:p w14:paraId="28FBC47B" w14:textId="5DAD721B" w:rsidR="00A8138F" w:rsidRDefault="00A8138F" w:rsidP="00A8138F">
      <w:pPr>
        <w:pStyle w:val="TextoNormalCentrado"/>
        <w:keepNext/>
      </w:pPr>
    </w:p>
    <w:p w14:paraId="53DBCE08" w14:textId="77777777" w:rsidR="00A8138F" w:rsidRDefault="00A8138F" w:rsidP="00A8138F">
      <w:pPr>
        <w:pStyle w:val="TextoNormalCentrado"/>
        <w:keepNext/>
      </w:pPr>
    </w:p>
    <w:p w14:paraId="09B08BE6" w14:textId="77777777" w:rsidR="00A8138F" w:rsidRDefault="00A8138F" w:rsidP="00A8138F">
      <w:pPr>
        <w:pStyle w:val="TextoNormal"/>
      </w:pPr>
      <w:r>
        <w:t>la siguiente</w:t>
      </w:r>
    </w:p>
    <w:p w14:paraId="0A15DA17" w14:textId="035C5EE1" w:rsidR="00A8138F" w:rsidRDefault="00A8138F" w:rsidP="00A8138F">
      <w:pPr>
        <w:pStyle w:val="TextoNormal"/>
      </w:pPr>
    </w:p>
    <w:p w14:paraId="36DF9BA7" w14:textId="77777777" w:rsidR="00A8138F" w:rsidRDefault="00A8138F" w:rsidP="00A8138F">
      <w:pPr>
        <w:pStyle w:val="TextoNormalCentrado"/>
        <w:keepNext/>
      </w:pPr>
      <w:r>
        <w:lastRenderedPageBreak/>
        <w:t>SENTENCIA</w:t>
      </w:r>
    </w:p>
    <w:p w14:paraId="27AC4267" w14:textId="167C3A91" w:rsidR="00A8138F" w:rsidRDefault="00A8138F" w:rsidP="00A8138F">
      <w:pPr>
        <w:pStyle w:val="TextoNormalCentrado"/>
        <w:keepNext/>
      </w:pPr>
    </w:p>
    <w:p w14:paraId="3877B4C1" w14:textId="77777777" w:rsidR="00A8138F" w:rsidRDefault="00A8138F" w:rsidP="00A8138F">
      <w:pPr>
        <w:pStyle w:val="TextoNormal"/>
      </w:pPr>
      <w:r>
        <w:t>En el recurso de amparo núm. 4403-2024, interpuesto por don Alejandro Fernández Álvarez y otros catorce diputados del Parlamento de Cataluña, contra el acuerdo de la mesa de edad de dicho Parlamento, de 10 de junio de 2024, que decidió aceptar la delegación del voto de los diputados don Carles Puigdemont i Casamajó y don Lluís Puig i Gordi en favor del diputado don Albert Batet i Canadell, y otros actos de la misma mesa y del presidente de dicho Parlamento. Han intervenido el Parlamento de Cataluña y el Ministerio Fiscal. Ha sido ponente el magistrado Enríquez Sancho.</w:t>
      </w:r>
    </w:p>
    <w:p w14:paraId="1A505FF6" w14:textId="40CAA062" w:rsidR="00A8138F" w:rsidRDefault="00A8138F" w:rsidP="00A8138F">
      <w:pPr>
        <w:pStyle w:val="TextoNormal"/>
      </w:pPr>
    </w:p>
    <w:p w14:paraId="1620BB9B" w14:textId="77777777" w:rsidR="00A8138F" w:rsidRDefault="00A8138F" w:rsidP="00A8138F">
      <w:pPr>
        <w:pStyle w:val="TextoNormalNegritaCentrado"/>
        <w:keepNext/>
      </w:pPr>
      <w:r>
        <w:t>I. Antecedentes</w:t>
      </w:r>
    </w:p>
    <w:p w14:paraId="46B123AC" w14:textId="14B2457E" w:rsidR="00A8138F" w:rsidRDefault="00A8138F" w:rsidP="00A8138F">
      <w:pPr>
        <w:pStyle w:val="TextoNormalNegritaCentrado"/>
        <w:keepNext/>
      </w:pPr>
    </w:p>
    <w:p w14:paraId="09F22EB8" w14:textId="77777777" w:rsidR="00A8138F" w:rsidRDefault="00A8138F" w:rsidP="00A8138F">
      <w:pPr>
        <w:pStyle w:val="TextoNormal"/>
      </w:pPr>
      <w:r w:rsidRPr="00A8138F">
        <w:rPr>
          <w:rStyle w:val="NumeroAFNegritaCaracter"/>
        </w:rPr>
        <w:t>1</w:t>
      </w:r>
      <w:r>
        <w:t>. El 12 de junio de 2024 se registró el recurso de amparo interpuesto por el procurador don Manuel Sánchez Puelles, en nombre y representación de don Alejandro Fernández Álvarez, don Manuel Reyes López, doña María Ángeles Esteller Ruedas, doña Rosa del Amo Hernández, don Hugo Alberto Manchón García, don Juan Fernández Benítez, doña Eva García Rodríguez, doña Miriam Casanova Domenech, don Alberto Villagrasa Gil, don Cristian Escribano Ramírez, don Pau Ferrán Navarro, don Jaime Veray Cama, doña Montserrat Berenguer Messeguer, don Pedro Luis Huguet Tous y doña Lorena Roldán Suárez, todos ellos diputados miembros del Grupo Parlamentario Popular en el Parlamento de Cataluña, contra los siguientes actos y acuerdos parlamentarios:</w:t>
      </w:r>
    </w:p>
    <w:p w14:paraId="5FCD6C60" w14:textId="77777777" w:rsidR="00A8138F" w:rsidRDefault="00A8138F" w:rsidP="00A8138F">
      <w:pPr>
        <w:pStyle w:val="TextoNormal"/>
      </w:pPr>
    </w:p>
    <w:p w14:paraId="7ADD539E" w14:textId="77777777" w:rsidR="00A8138F" w:rsidRDefault="00A8138F" w:rsidP="00A8138F">
      <w:pPr>
        <w:pStyle w:val="TextoNormal"/>
      </w:pPr>
      <w:r>
        <w:t>a) El acuerdo de la mesa de edad del Parlamento de Cataluña, de 10 de junio de 2024, por el que se decide aceptar la delegación del voto de los diputados don Carles Puigdemont i Casamajó y don Lluís Puig i Gordi en favor del diputado don Albert Batet i Canadell.</w:t>
      </w:r>
    </w:p>
    <w:p w14:paraId="347CA655" w14:textId="77777777" w:rsidR="00A8138F" w:rsidRDefault="00A8138F" w:rsidP="00A8138F">
      <w:pPr>
        <w:pStyle w:val="TextoNormal"/>
      </w:pPr>
    </w:p>
    <w:p w14:paraId="5CDB0638" w14:textId="77777777" w:rsidR="00A8138F" w:rsidRDefault="00A8138F" w:rsidP="00A8138F">
      <w:pPr>
        <w:pStyle w:val="TextoNormal"/>
      </w:pPr>
      <w:r>
        <w:t>b) El acuerdo de elección de la mesa del Parlamento de Cataluña, contabilizando los votos delegados y emitidos por dichos diputados.</w:t>
      </w:r>
    </w:p>
    <w:p w14:paraId="31BDB235" w14:textId="77777777" w:rsidR="00A8138F" w:rsidRDefault="00A8138F" w:rsidP="00A8138F">
      <w:pPr>
        <w:pStyle w:val="TextoNormal"/>
      </w:pPr>
    </w:p>
    <w:p w14:paraId="28783E08" w14:textId="77777777" w:rsidR="00A8138F" w:rsidRDefault="00A8138F" w:rsidP="00A8138F">
      <w:pPr>
        <w:pStyle w:val="TextoNormal"/>
      </w:pPr>
      <w:r>
        <w:t>c) El acto del Presidente del Parlamento de Cataluña, por el que se declara constituido el Parlamento y se levanta la sesión; y, en fin, según los demandantes,</w:t>
      </w:r>
    </w:p>
    <w:p w14:paraId="50D356BC" w14:textId="77777777" w:rsidR="00A8138F" w:rsidRDefault="00A8138F" w:rsidP="00A8138F">
      <w:pPr>
        <w:pStyle w:val="TextoNormal"/>
      </w:pPr>
    </w:p>
    <w:p w14:paraId="362745F1" w14:textId="77777777" w:rsidR="00A8138F" w:rsidRDefault="00A8138F" w:rsidP="00A8138F">
      <w:pPr>
        <w:pStyle w:val="TextoNormal"/>
      </w:pPr>
      <w:r>
        <w:t>d) “Cuantos otros actos y resoluciones deriven de los anteriores”.</w:t>
      </w:r>
    </w:p>
    <w:p w14:paraId="3A2E25DA" w14:textId="77777777" w:rsidR="00A8138F" w:rsidRDefault="00A8138F" w:rsidP="00A8138F">
      <w:pPr>
        <w:pStyle w:val="TextoNormal"/>
      </w:pPr>
    </w:p>
    <w:p w14:paraId="1CEF9894" w14:textId="155A9A88" w:rsidR="00A8138F" w:rsidRDefault="00A8138F" w:rsidP="00A8138F">
      <w:pPr>
        <w:pStyle w:val="TextoNormal"/>
      </w:pPr>
      <w:r>
        <w:t xml:space="preserve">Frente a dichos acuerdos, subrayan los recurrentes, “no existe recurso interno posible”, por lo que han de entenderse firmes, y por tanto únicamente impugnables por vía de amparo parlamentario </w:t>
      </w:r>
      <w:r w:rsidRPr="00A8138F">
        <w:rPr>
          <w:i/>
        </w:rPr>
        <w:t>ex</w:t>
      </w:r>
      <w:r>
        <w:t xml:space="preserve"> art. 42 de la Ley Orgánica del Tribunal Constitucional (LOTC).</w:t>
      </w:r>
    </w:p>
    <w:p w14:paraId="706F7632" w14:textId="77777777" w:rsidR="00A8138F" w:rsidRDefault="00A8138F" w:rsidP="00A8138F">
      <w:pPr>
        <w:pStyle w:val="TextoNormal"/>
      </w:pPr>
    </w:p>
    <w:p w14:paraId="076C8F5E" w14:textId="77777777" w:rsidR="00A8138F" w:rsidRDefault="00A8138F" w:rsidP="00A8138F">
      <w:pPr>
        <w:pStyle w:val="TextoNormal"/>
      </w:pPr>
      <w:r w:rsidRPr="00A8138F">
        <w:rPr>
          <w:rStyle w:val="NumeroAFNegritaCaracter"/>
        </w:rPr>
        <w:t>2</w:t>
      </w:r>
      <w:r>
        <w:t>. Según resulta de la demanda y de los documentos aportados con la misma, el presente recurso de amparo trae causa de los siguientes hechos:</w:t>
      </w:r>
    </w:p>
    <w:p w14:paraId="18AD55FD" w14:textId="77777777" w:rsidR="00A8138F" w:rsidRDefault="00A8138F" w:rsidP="00A8138F">
      <w:pPr>
        <w:pStyle w:val="TextoNormal"/>
      </w:pPr>
    </w:p>
    <w:p w14:paraId="33A2747D" w14:textId="77777777" w:rsidR="00A8138F" w:rsidRDefault="00A8138F" w:rsidP="00A8138F">
      <w:pPr>
        <w:pStyle w:val="TextoNormal"/>
      </w:pPr>
      <w:r>
        <w:t>a) El día 10 de junio de 2024 se celebró la sesión constitutiva de la XV legislatura del Parlamento de Cataluña inicialmente presidida, según dispone el artículo 2 de su Reglamento, por la mesa de edad, conformada “por el diputado o diputada electo de más edad entre los presentes, asistido por los dos diputados más jóvenes, en calidad de secretarios”.</w:t>
      </w:r>
    </w:p>
    <w:p w14:paraId="2C8DF609" w14:textId="77777777" w:rsidR="00A8138F" w:rsidRDefault="00A8138F" w:rsidP="00A8138F">
      <w:pPr>
        <w:pStyle w:val="TextoNormal"/>
      </w:pPr>
    </w:p>
    <w:p w14:paraId="188ECC23" w14:textId="3E1EC049" w:rsidR="00A8138F" w:rsidRDefault="00A8138F" w:rsidP="00A8138F">
      <w:pPr>
        <w:pStyle w:val="TextoNormal"/>
      </w:pPr>
      <w:r>
        <w:lastRenderedPageBreak/>
        <w:t>b) Según consta en el “Diario de Sesiones del Parlamento de Cataluña”, XV legislatura, primer período, serie P, núm. 1, de 10 de junio de 2024 (publicado con posterioridad a la presentación de la demanda, por lo que esta solo recoge la transcripción provisional de esta sesión), dicha mesa de edad decidió, antes de proceder a la votación para elegir al presidente o presidenta del Parlamento, y con el voto en contra de la secretaria doña Júlia Calvet Puig, aceptar la delegación del voto “para la sesión constitutiva” en favor del diputado don Albert Batet i Canadell de “los diputados Carles Puigdemont i Casamajó y Lluís Puig i Gordi, de acuerdo con el artículo 95 del Reglamento, ‘con motivo de las circunstancias actuales que me incapacitan para poder ejercer de forma presencial el derecho al voto’” (“Diario de Sesiones” citado, página 12).</w:t>
      </w:r>
    </w:p>
    <w:p w14:paraId="3682A75E" w14:textId="77777777" w:rsidR="00A8138F" w:rsidRDefault="00A8138F" w:rsidP="00A8138F">
      <w:pPr>
        <w:pStyle w:val="TextoNormal"/>
      </w:pPr>
    </w:p>
    <w:p w14:paraId="21A28476" w14:textId="77777777" w:rsidR="00A8138F" w:rsidRDefault="00A8138F" w:rsidP="00A8138F">
      <w:pPr>
        <w:pStyle w:val="TextoNormal"/>
      </w:pPr>
      <w:r w:rsidRPr="00A8138F">
        <w:rPr>
          <w:rStyle w:val="NumeroAFNegritaCaracter"/>
        </w:rPr>
        <w:t>3</w:t>
      </w:r>
      <w:r>
        <w:t>. La demanda denuncia la vulneración del derecho de los recurrentes al ejercicio pleno de su función representativa, e indirectamente del derecho de los ciudadanos a la representación política (art. 23.2 y 1 CE).</w:t>
      </w:r>
    </w:p>
    <w:p w14:paraId="59F66608" w14:textId="77777777" w:rsidR="00A8138F" w:rsidRDefault="00A8138F" w:rsidP="00A8138F">
      <w:pPr>
        <w:pStyle w:val="TextoNormal"/>
      </w:pPr>
    </w:p>
    <w:p w14:paraId="707C2965" w14:textId="77777777" w:rsidR="00A8138F" w:rsidRDefault="00A8138F" w:rsidP="00A8138F">
      <w:pPr>
        <w:pStyle w:val="TextoNormal"/>
      </w:pPr>
      <w:r>
        <w:t>a) Subrayan los recurrentes que los diputados delegantes “optaron por no concurrir presencialmente a la sesión habida cuenta de su notoria condición de prófugos de la Justicia, habiendo sido declarados rebeldes mediante auto de la Sala Segunda del Tribunal Supremo, de 9 de julio de 2018, dictado en la causa especial 20907-2017”; y que el diputado en quien recae la delegación “acudiría a depositar el voto en la urna (a los efectos de lo dispuesto en el art. 101.2 del Reglamento) en su lugar, siguiendo el pertinente llamamiento nominal”. Asimismo, señalan que uno de los diputados recurrentes, don Alejandro Fernández Álvarez, advirtió expresamente antes de la votación que “si se permite y se autoriza la votación de personas que la justicia ha dejado clarísimo que no pueden hoy participar en la votación, presentaremos un recurso de amparo ante el Tribunal Constitucional”.</w:t>
      </w:r>
    </w:p>
    <w:p w14:paraId="3514E3DA" w14:textId="77777777" w:rsidR="00A8138F" w:rsidRDefault="00A8138F" w:rsidP="00A8138F">
      <w:pPr>
        <w:pStyle w:val="TextoNormal"/>
      </w:pPr>
    </w:p>
    <w:p w14:paraId="0CBB1675" w14:textId="77777777" w:rsidR="00A8138F" w:rsidRDefault="00A8138F" w:rsidP="00A8138F">
      <w:pPr>
        <w:pStyle w:val="TextoNormal"/>
      </w:pPr>
      <w:r>
        <w:t>b) De ese acuerdo inicial, apunta el escrito, “derivan todos los demás actos adoptados en la sesión constitutiva” que aquí se combaten. En particular, los recurrentes exponen que en esa votación, que consideran “visiblemente viciada”, resultaron electos los siete miembros de la mesa del Parlamento (presidente, dos vicepresidentes y cuatro secretarios), que fueron pues proclamados como tales como consecuencia de un acuerdo dictado en evidente conculcación de los derechos fundamentales de los diputados del Parlamento, entre ellos los aquí recurrentes, por lo cual procede su declaración de nulidad por este Tribunal Constitucional, “sin perjuicio de su previa suspensión para evitar los perjuicios irreparables” derivados de dichos actos. Posteriormente, “el señor Rull Andreu, actuando como presidente, declaró constituido” el Parlamento y levantó la sesión.</w:t>
      </w:r>
    </w:p>
    <w:p w14:paraId="7AC17BF7" w14:textId="77777777" w:rsidR="00A8138F" w:rsidRDefault="00A8138F" w:rsidP="00A8138F">
      <w:pPr>
        <w:pStyle w:val="TextoNormal"/>
      </w:pPr>
    </w:p>
    <w:p w14:paraId="79506F5A" w14:textId="77777777" w:rsidR="00A8138F" w:rsidRDefault="00A8138F" w:rsidP="00A8138F">
      <w:pPr>
        <w:pStyle w:val="TextoNormal"/>
      </w:pPr>
      <w:r>
        <w:t xml:space="preserve">c) La demanda aduce que el acuerdo de admisión del voto delegado de los diputados señores Puigdemont i Casamajó y Puig i Gordi “se dictó en palmaria e inequívoca vulneración del derecho fundamental de [los recurrentes] al </w:t>
      </w:r>
      <w:r w:rsidRPr="00A8138F">
        <w:rPr>
          <w:i/>
        </w:rPr>
        <w:t>ius in officium</w:t>
      </w:r>
      <w:r>
        <w:t xml:space="preserve"> o ejercicio del cargo representativo de conformidad con lo establecido en las leyes (art. 23.2 CE), acometiéndose un claro supuesto de frontal desacato de lo sentado por el Tribunal Constitucional” en su STC 65/2022, de 31 de mayo, reiterado pocos días antes de estos hechos en la STC 86/2024, de 3 de junio (publicada en el “Boletín Oficial del Estado” en fecha posterior a la presentación de esta demanda), con referencia a uno de los diputados ahora afectados, don Lluís Puig i Gordi, y a una regulación del voto telemático cuya aprobación fue instrumental para eludir los efectos del anterior pronunciamiento.</w:t>
      </w:r>
    </w:p>
    <w:p w14:paraId="547BC5DF" w14:textId="77777777" w:rsidR="00A8138F" w:rsidRDefault="00A8138F" w:rsidP="00A8138F">
      <w:pPr>
        <w:pStyle w:val="TextoNormal"/>
      </w:pPr>
    </w:p>
    <w:p w14:paraId="7CA2ED41" w14:textId="77777777" w:rsidR="00A8138F" w:rsidRDefault="00A8138F" w:rsidP="00A8138F">
      <w:pPr>
        <w:pStyle w:val="TextoNormal"/>
      </w:pPr>
      <w:r>
        <w:lastRenderedPageBreak/>
        <w:t xml:space="preserve">Recuerdan los recurrentes que la citada STC 65/2022 estableció “con total claridad” (en línea con la doctrina sentada en las posteriores SSTC 85/2022, de 27 de junio, y 92/2022 y 93/2022, de 11 de julio) la necesidad de una “interpretación restrictiva del art. 95.2 del Reglamento”, que impedía extenderlo a un supuesto como aquel, en el que uno de los delegantes también aquí concernido, el señor Puigdemont, “voluntariamente ha decidido eludir la acción de la jurisdicción penal española y sobre el que pesa una orden judicial de busca y captura e ingreso en prisión”. En consecuencia, concluyen, la aceptación de tal delegación por los órganos parlamentarios, plenamente conocedores de esa jurisprudencia y de su plena aplicabilidad a este supuesto, infringió “el derecho fundamental del resto de diputados </w:t>
      </w:r>
      <w:r w:rsidRPr="00A8138F">
        <w:rPr>
          <w:i/>
        </w:rPr>
        <w:t>ex</w:t>
      </w:r>
      <w:r>
        <w:t xml:space="preserve"> art. 23.2 CE, así como el de los ciudadanos a la representación política </w:t>
      </w:r>
      <w:r w:rsidRPr="00A8138F">
        <w:rPr>
          <w:i/>
        </w:rPr>
        <w:t>ex</w:t>
      </w:r>
      <w:r>
        <w:t xml:space="preserve"> art. 23.1 CE”.</w:t>
      </w:r>
    </w:p>
    <w:p w14:paraId="4AB53DD9" w14:textId="77777777" w:rsidR="00A8138F" w:rsidRDefault="00A8138F" w:rsidP="00A8138F">
      <w:pPr>
        <w:pStyle w:val="TextoNormal"/>
      </w:pPr>
    </w:p>
    <w:p w14:paraId="66B49735" w14:textId="77777777" w:rsidR="00A8138F" w:rsidRDefault="00A8138F" w:rsidP="00A8138F">
      <w:pPr>
        <w:pStyle w:val="TextoNormal"/>
      </w:pPr>
      <w:r>
        <w:t>d) La demanda justifica la especial trascendencia constitucional del recurso por considerar que suscita una “cuestión jurídica con relevante y general repercusión social y, muy especialmente, con consecuencias políticas generales, que trasciende por tanto el caso concreto”, como admite este tribunal que ocurre “con carácter general respecto de los amparos parlamentarios”, invocando pues el supuesto previsto en la STC 155/2009, de 25 de junio, FJ 2, letra g). Este motivo fue además aceptado por este tribunal en el examen de asuntos muy próximos al aquí planteado, “cuya doctrina [dicen los recurrentes] ha de salvaguardarse”, como son los resueltos en las SSTC 65/2022 y la entonces recentísima —y aún no publicada oficialmente— STC 86/2024.</w:t>
      </w:r>
    </w:p>
    <w:p w14:paraId="2C3BA7E5" w14:textId="77777777" w:rsidR="00A8138F" w:rsidRDefault="00A8138F" w:rsidP="00A8138F">
      <w:pPr>
        <w:pStyle w:val="TextoNormal"/>
      </w:pPr>
    </w:p>
    <w:p w14:paraId="54B40BAA" w14:textId="77777777" w:rsidR="00A8138F" w:rsidRDefault="00A8138F" w:rsidP="00A8138F">
      <w:pPr>
        <w:pStyle w:val="TextoNormal"/>
      </w:pPr>
      <w:r>
        <w:t>Finalmente, el escrito subraya que los acuerdos impugnados “gozan […] de la mayor trascendencia política, al encontrarse vinculados a la propia constitución del Parlamento de Cataluña, cuya válida producción podría verse afectada por su nulidad”.</w:t>
      </w:r>
    </w:p>
    <w:p w14:paraId="4C253A83" w14:textId="77777777" w:rsidR="00A8138F" w:rsidRDefault="00A8138F" w:rsidP="00A8138F">
      <w:pPr>
        <w:pStyle w:val="TextoNormal"/>
      </w:pPr>
    </w:p>
    <w:p w14:paraId="4DFF7176" w14:textId="23DF2C31" w:rsidR="00A8138F" w:rsidRDefault="00A8138F" w:rsidP="00A8138F">
      <w:pPr>
        <w:pStyle w:val="TextoNormal"/>
      </w:pPr>
      <w:r>
        <w:t xml:space="preserve">e) La demanda pretende que se dicte en su día sentencia por la que se otorgue el amparo solicitado, declarando que las resoluciones combatidas vulneran el derecho de los recurrentes al </w:t>
      </w:r>
      <w:r w:rsidRPr="00A8138F">
        <w:rPr>
          <w:i/>
        </w:rPr>
        <w:t>ius in officium</w:t>
      </w:r>
      <w:r>
        <w:t xml:space="preserve"> o ejercicio pleno de su función representativa, e indirectamente el derecho de los ciudadanos a la representación política (art. 23.2 y 1 CE), restableciéndoles en dichos derechos y acordando, en consecuencia, “la revocación de los acuerdos recurridos y cuantos de los mismos deriven, ordenando la retroacción de la sesión constitutiva de la XV legislatura del Parlamento de Cataluña al momento inmediatamente anterior al primero de ellos”. En primer otrosí, los demandantes solicitan la suspensión </w:t>
      </w:r>
      <w:r w:rsidRPr="00A8138F">
        <w:rPr>
          <w:i/>
        </w:rPr>
        <w:t>inaudita parte</w:t>
      </w:r>
      <w:r>
        <w:t>, según lo previsto en el art. 56 LOTC y como garantía de la efectividad del derecho a la tutela judicial efectiva del art. 24.1 CE, de la ejecutividad de “todas las resoluciones recurridas, así como cuantas de las mismas deriven”, en los términos recogidos en el ATC 134/2017, de 5 de octubre, y por tanto “la advertencia expresa […] de que incurrirá en nulidad radical y consiguiente ineficacia cualquier acto, resolución, acuerdo o vía de hecho que contravenga la suspensión acordada”.</w:t>
      </w:r>
    </w:p>
    <w:p w14:paraId="30F58F95" w14:textId="77777777" w:rsidR="00A8138F" w:rsidRDefault="00A8138F" w:rsidP="00A8138F">
      <w:pPr>
        <w:pStyle w:val="TextoNormal"/>
      </w:pPr>
    </w:p>
    <w:p w14:paraId="6FFEA05E" w14:textId="77777777" w:rsidR="00A8138F" w:rsidRDefault="00A8138F" w:rsidP="00A8138F">
      <w:pPr>
        <w:pStyle w:val="TextoNormal"/>
      </w:pPr>
      <w:r w:rsidRPr="00A8138F">
        <w:rPr>
          <w:rStyle w:val="NumeroAFNegritaCaracter"/>
        </w:rPr>
        <w:t>4</w:t>
      </w:r>
      <w:r>
        <w:t>. El Pleno del Tribunal acordó, en providencia de 18 de junio de 2024, recabar para sí el conocimiento del presente recurso de amparo.</w:t>
      </w:r>
    </w:p>
    <w:p w14:paraId="4230043D" w14:textId="77777777" w:rsidR="00A8138F" w:rsidRDefault="00A8138F" w:rsidP="00A8138F">
      <w:pPr>
        <w:pStyle w:val="TextoNormal"/>
      </w:pPr>
    </w:p>
    <w:p w14:paraId="3D229D85" w14:textId="77777777" w:rsidR="00A8138F" w:rsidRDefault="00A8138F" w:rsidP="00A8138F">
      <w:pPr>
        <w:pStyle w:val="TextoNormal"/>
      </w:pPr>
      <w:r>
        <w:t xml:space="preserve">En una segunda providencia de la misma fecha, se acordó admitirlo a trámite, apreciando la concurrencia en el mismo de una especial trascendencia constitucional (art. 50.1 LOTC) porque el asunto suscitado trasciende del caso concreto y porque pudiera tener unas consecuencias políticas generales. Por ello, y en aplicación de lo dispuesto en el art. 51 LOTC, se acordó dirigir atenta comunicación al Parlamento de Cataluña a fin de que en plazo que no </w:t>
      </w:r>
      <w:r>
        <w:lastRenderedPageBreak/>
        <w:t>exceda de diez días, remita certificación o fotocopia adverada de las actuaciones correspondientes a los acuerdos y acto impugnados, previo emplazamiento a quienes hubieran sido parte en el procedimiento, a efectos de su posible personación en el recurso de amparo en ese mismo plazo.</w:t>
      </w:r>
    </w:p>
    <w:p w14:paraId="06D86527" w14:textId="77777777" w:rsidR="00A8138F" w:rsidRDefault="00A8138F" w:rsidP="00A8138F">
      <w:pPr>
        <w:pStyle w:val="TextoNormal"/>
      </w:pPr>
    </w:p>
    <w:p w14:paraId="5AD3A2FC" w14:textId="77777777" w:rsidR="00A8138F" w:rsidRDefault="00A8138F" w:rsidP="00A8138F">
      <w:pPr>
        <w:pStyle w:val="TextoNormal"/>
      </w:pPr>
      <w:r>
        <w:t xml:space="preserve">Al mismo tiempo, y en relación con la solicitud de suspensión formulada en la demanda, el Pleno no apreció la urgencia excepcional a la que se refiere el art. 56.6 LOTC, que justificaría su adopción </w:t>
      </w:r>
      <w:r w:rsidRPr="00A8138F">
        <w:rPr>
          <w:i/>
        </w:rPr>
        <w:t>inaudita parte</w:t>
      </w:r>
      <w:r>
        <w:t xml:space="preserve"> de forma inmotivada, “ya que los dos votos delegados no fueron determinantes del resultado de las votaciones celebradas el pasado 10 de junio”.</w:t>
      </w:r>
    </w:p>
    <w:p w14:paraId="70CC91E1" w14:textId="77777777" w:rsidR="00A8138F" w:rsidRDefault="00A8138F" w:rsidP="00A8138F">
      <w:pPr>
        <w:pStyle w:val="TextoNormal"/>
      </w:pPr>
    </w:p>
    <w:p w14:paraId="187B44A3" w14:textId="2E100521" w:rsidR="00A8138F" w:rsidRDefault="00A8138F" w:rsidP="00A8138F">
      <w:pPr>
        <w:pStyle w:val="TextoNormal"/>
      </w:pPr>
      <w:r>
        <w:t>Finalmente, y mediante una tercera providencia también de 18 de junio de 2024, se acordó formar la oportuna pieza separada a fin de resolver sobre la suspensión, concediendo un plazo de tres días al Ministerio Fiscal y a los solicitantes de amparo para efectuar alegaciones a tal efecto.</w:t>
      </w:r>
    </w:p>
    <w:p w14:paraId="4A896B09" w14:textId="77777777" w:rsidR="00A8138F" w:rsidRDefault="00A8138F" w:rsidP="00A8138F">
      <w:pPr>
        <w:pStyle w:val="TextoNormal"/>
      </w:pPr>
    </w:p>
    <w:p w14:paraId="5C952C7A" w14:textId="3C9C4A76" w:rsidR="00A8138F" w:rsidRDefault="00A8138F" w:rsidP="00A8138F">
      <w:pPr>
        <w:pStyle w:val="TextoNormal"/>
      </w:pPr>
      <w:r w:rsidRPr="00A8138F">
        <w:rPr>
          <w:rStyle w:val="NumeroAFNegritaCaracter"/>
        </w:rPr>
        <w:t>5</w:t>
      </w:r>
      <w:r>
        <w:t>. Apreciado y rectificado el día 9 de julio de 2024 un error en el envío inicial de las citadas providencias y oficio de 18 de junio, el 23 de julio de 2024 tuvo entrada en el Tribunal el escrito de la representación del Parlamento de Cataluña solicitando que se tenga por personada a dicha Cámara y aportando la documentación requerida a tal efecto, en particular la certificación del acuerdo adoptado en ese sentido el 16 de julio de 2024 por la mesa del Parlamento.</w:t>
      </w:r>
    </w:p>
    <w:p w14:paraId="2C7CB6CA" w14:textId="77777777" w:rsidR="00A8138F" w:rsidRDefault="00A8138F" w:rsidP="00A8138F">
      <w:pPr>
        <w:pStyle w:val="TextoNormal"/>
      </w:pPr>
    </w:p>
    <w:p w14:paraId="1676FFE9" w14:textId="77777777" w:rsidR="00A8138F" w:rsidRDefault="00A8138F" w:rsidP="00A8138F">
      <w:pPr>
        <w:pStyle w:val="TextoNormal"/>
      </w:pPr>
      <w:r w:rsidRPr="00A8138F">
        <w:rPr>
          <w:rStyle w:val="NumeroAFNegritaCaracter"/>
        </w:rPr>
        <w:t>6</w:t>
      </w:r>
      <w:r>
        <w:t>. El 4 de septiembre de 2024, mediante diligencia de ordenación de la secretaría de justicia del Pleno, se tuvo por recibida dicha documentación y por personado al letrado del Parlamento de Cataluña, en nombre y representación de la Cámara, concediéndole un plazo de tres días para formular alegaciones respecto a la petición de suspensión interesada por los recurrentes.</w:t>
      </w:r>
    </w:p>
    <w:p w14:paraId="4A554183" w14:textId="77777777" w:rsidR="00A8138F" w:rsidRDefault="00A8138F" w:rsidP="00A8138F">
      <w:pPr>
        <w:pStyle w:val="TextoNormal"/>
      </w:pPr>
    </w:p>
    <w:p w14:paraId="296093DD" w14:textId="16A5B3CA" w:rsidR="00A8138F" w:rsidRDefault="00A8138F" w:rsidP="00A8138F">
      <w:pPr>
        <w:pStyle w:val="TextoNormal"/>
      </w:pPr>
      <w:r>
        <w:t>En esa misma fecha, una segunda diligencia de ordenación dispuso que se diese vista de las actuaciones, por un plazo común de veinte días, a la parte recurrente en amparo, al Parlamento de Cataluña y al Ministerio Fiscal, para que pudieran presentar las alegaciones que estimaran pertinentes.</w:t>
      </w:r>
    </w:p>
    <w:p w14:paraId="05CBE1BC" w14:textId="77777777" w:rsidR="00A8138F" w:rsidRDefault="00A8138F" w:rsidP="00A8138F">
      <w:pPr>
        <w:pStyle w:val="TextoNormal"/>
      </w:pPr>
    </w:p>
    <w:p w14:paraId="7B202BAB" w14:textId="1C38343D" w:rsidR="00A8138F" w:rsidRDefault="00A8138F" w:rsidP="00A8138F">
      <w:pPr>
        <w:pStyle w:val="TextoNormal"/>
      </w:pPr>
      <w:r w:rsidRPr="00A8138F">
        <w:rPr>
          <w:rStyle w:val="NumeroAFNegritaCaracter"/>
        </w:rPr>
        <w:t>7</w:t>
      </w:r>
      <w:r>
        <w:t>. El día 22 de octubre de 2024, formada la pieza separada de medidas cautelares y despachado el oportuno trámite de audiencia, el Pleno dictó el ATC 104/2024, por el que denegó la suspensión cautelar de los acuerdos parlamentarios impugnados.</w:t>
      </w:r>
    </w:p>
    <w:p w14:paraId="21F93419" w14:textId="77777777" w:rsidR="00A8138F" w:rsidRDefault="00A8138F" w:rsidP="00A8138F">
      <w:pPr>
        <w:pStyle w:val="TextoNormal"/>
      </w:pPr>
    </w:p>
    <w:p w14:paraId="109CC3C1" w14:textId="77777777" w:rsidR="00A8138F" w:rsidRDefault="00A8138F" w:rsidP="00A8138F">
      <w:pPr>
        <w:pStyle w:val="TextoNormal"/>
      </w:pPr>
      <w:r w:rsidRPr="00A8138F">
        <w:rPr>
          <w:rStyle w:val="NumeroAFNegritaCaracter"/>
        </w:rPr>
        <w:t>8</w:t>
      </w:r>
      <w:r>
        <w:t>. Mediante escrito registrado el 10 de octubre de 2024, el letrado del Parlamento de Cataluña, actuando en representación y defensa de la Cámara, manifestó su oposición al recurso, interesando la denegación del amparo solicitado conforme a las siguientes alegaciones:</w:t>
      </w:r>
    </w:p>
    <w:p w14:paraId="6A4A37A3" w14:textId="77777777" w:rsidR="00A8138F" w:rsidRDefault="00A8138F" w:rsidP="00A8138F">
      <w:pPr>
        <w:pStyle w:val="TextoNormal"/>
      </w:pPr>
    </w:p>
    <w:p w14:paraId="48DA5A06" w14:textId="77777777" w:rsidR="00A8138F" w:rsidRDefault="00A8138F" w:rsidP="00A8138F">
      <w:pPr>
        <w:pStyle w:val="TextoNormal"/>
      </w:pPr>
      <w:r>
        <w:t xml:space="preserve">a) En primer lugar, subraya que el amparo se solicita frente a la actuación de la mesa de edad, un órgano excepcional por su composición y por su temporalidad cuya existencia se agota en una sola sesión y cuya actuación se orienta esencialmente a la elección de la mesa de la Cámara, en la que los votos delegados aquí controvertidos “no fueron en caso alguno determinantes”. Señala, con referencia a diversas decisiones de este tribunal, y en particular </w:t>
      </w:r>
      <w:r>
        <w:lastRenderedPageBreak/>
        <w:t>a la STC 35/2022, de 9 de marzo, que sus funciones y, en consecuencia, sus decisiones son, pues, “inmediatas en el sentido que se toman en el marco de una única sesión y son mediatas, en el sentido que se dirigen a la consecución de un único fin, la elección de la mesa del Parlamento”; y que su actuación debe respetar “la pluralidad propia de la Cámara de forma garantista y respetuosa con la jurisprudencia constitucional”, siempre “con el margen de apreciación dentro del marco de las leyes y la interpretación constitucional de las mismas de que los órganos parlamentarios disponen”.</w:t>
      </w:r>
    </w:p>
    <w:p w14:paraId="051BF643" w14:textId="77777777" w:rsidR="00A8138F" w:rsidRDefault="00A8138F" w:rsidP="00A8138F">
      <w:pPr>
        <w:pStyle w:val="TextoNormal"/>
      </w:pPr>
    </w:p>
    <w:p w14:paraId="4465AC4A" w14:textId="77777777" w:rsidR="00A8138F" w:rsidRDefault="00A8138F" w:rsidP="00A8138F">
      <w:pPr>
        <w:pStyle w:val="TextoNormal"/>
      </w:pPr>
      <w:r>
        <w:t xml:space="preserve">b) En ese contexto, defiende que la mesa de edad ha aplicado correctamente la doctrina constitucional. Ciertamente, como afirman los recurrentes, el derecho al voto es uno de los que se integran en el </w:t>
      </w:r>
      <w:r w:rsidRPr="00A8138F">
        <w:rPr>
          <w:i/>
        </w:rPr>
        <w:t>ius in officium</w:t>
      </w:r>
      <w:r>
        <w:t xml:space="preserve"> de los parlamentarios; y, conforme a dicha doctrina, debe ejercerse “de forma presencial y personal” salvo en ciertos supuestos excepcionales.</w:t>
      </w:r>
    </w:p>
    <w:p w14:paraId="1750B222" w14:textId="77777777" w:rsidR="00A8138F" w:rsidRDefault="00A8138F" w:rsidP="00A8138F">
      <w:pPr>
        <w:pStyle w:val="TextoNormal"/>
      </w:pPr>
    </w:p>
    <w:p w14:paraId="22B9245D" w14:textId="77777777" w:rsidR="00A8138F" w:rsidRDefault="00A8138F" w:rsidP="00A8138F">
      <w:pPr>
        <w:pStyle w:val="TextoNormal"/>
      </w:pPr>
      <w:r>
        <w:t>A este último respecto, alude a diversos ordenamientos que admiten expresamente la posibilidad de votaciones en ausencia, ya sean telemáticas o delegadas; y sostiene que “[l]a tradicional personalidad e indelegabilidad del voto” parlamentario se ha flexibilizado ante “nuevas realidades y necesidades” como las derivadas de la conciliación familiar u otros motivos, como los de salud, según mostró la reciente situación pandémica. Revisa la regulación de esta materia en las Cámaras de las Cortes Generales y la doctrina constitucional sentada en diversas sentencias específicamente referidas al Parlamento de Cataluña, que confirma la exigencia de personalidad y presencialidad, salvo excepciones reglamentariamente previstas “cuando concurran circunstancias excepcionales o de fuerza mayor”, y asegurando en todo caso que el voto del ausente exprese su voluntad “y no la de un tercero que pueda actuar en su nombre” (STC 19/2019, de 12 de febrero, FJ 4). Asimismo, resalta que los supuestos en que tal situación se admita han de interpretarse restrictivamente, siempre justificados por “la necesidad de salvaguardar otros bienes o valores constitucionales que se consideren merecedores de protección” y respetando las exigencias derivadas del principio de proporcionalidad (STC 65/2022, de 31 de mayo, FJ 6).</w:t>
      </w:r>
    </w:p>
    <w:p w14:paraId="390F3E2F" w14:textId="77777777" w:rsidR="00A8138F" w:rsidRDefault="00A8138F" w:rsidP="00A8138F">
      <w:pPr>
        <w:pStyle w:val="TextoNormal"/>
      </w:pPr>
    </w:p>
    <w:p w14:paraId="04929424" w14:textId="77777777" w:rsidR="00A8138F" w:rsidRDefault="00A8138F" w:rsidP="00A8138F">
      <w:pPr>
        <w:pStyle w:val="TextoNormal"/>
      </w:pPr>
      <w:r>
        <w:t>A su juicio, dicha doctrina debe cohonestarse con aquella según la cual los parlamentarios “son representantes del pueblo español considerado como unidad, pero el mandato que cada uno de ellos ha obtenido es producto de la voluntad de quienes los eligieron determinada por la exposición de un programa político” (STC 119/1990, de 21 de junio, FJ 7). Una interpretación combinada de esas exigencias implica que “el contenido constitucional del mandato parlamentario instituido por el artículo 23 CE solo puede satisfacerse si los representantes políticos participan de una manera efectiva y plena en la formación de la voluntad parlamentaria”, lo cual no puede producirse “si los representantes políticos, por distintas circunstancias ajenas a su voluntad, se ven imposibilitados para ejercer las funciones inherentes al ejercicio de su cargo”.</w:t>
      </w:r>
    </w:p>
    <w:p w14:paraId="5C25F3AB" w14:textId="77777777" w:rsidR="00A8138F" w:rsidRDefault="00A8138F" w:rsidP="00A8138F">
      <w:pPr>
        <w:pStyle w:val="TextoNormal"/>
      </w:pPr>
    </w:p>
    <w:p w14:paraId="2890EAD0" w14:textId="77777777" w:rsidR="00A8138F" w:rsidRDefault="00A8138F" w:rsidP="00A8138F">
      <w:pPr>
        <w:pStyle w:val="TextoNormal"/>
      </w:pPr>
      <w:r>
        <w:t>Adicionalmente, apunta el escrito que el Parlamento catalán, como otros, admitió de forma “pacífica” e “incuestionada” la votación en ausencia durante la vigencia de la pandemia del covid-19; y recuerda que la jurisprudencia constitucional también ha afirmado que “los usos parlamentarios han constituido tradicionalmente, y siguen constituyendo, un importante instrumento normativo dentro del ámbito de organización y funcionamiento de las cámaras” (STC 177/2002, de 14 de octubre).</w:t>
      </w:r>
    </w:p>
    <w:p w14:paraId="6D09071E" w14:textId="77777777" w:rsidR="00A8138F" w:rsidRDefault="00A8138F" w:rsidP="00A8138F">
      <w:pPr>
        <w:pStyle w:val="TextoNormal"/>
      </w:pPr>
    </w:p>
    <w:p w14:paraId="289B2A9C" w14:textId="77777777" w:rsidR="00A8138F" w:rsidRDefault="00A8138F" w:rsidP="00A8138F">
      <w:pPr>
        <w:pStyle w:val="TextoNormal"/>
      </w:pPr>
      <w:r>
        <w:lastRenderedPageBreak/>
        <w:t xml:space="preserve">A la vista de esa doctrina, el escrito del letrado del Parlamento se centra en analizar qué circunstancias pueden considerarse válidamente como “excepcionales o de fuerza mayor”. Algo difícilmente definible </w:t>
      </w:r>
      <w:r w:rsidRPr="00A8138F">
        <w:rPr>
          <w:i/>
        </w:rPr>
        <w:t>a priori</w:t>
      </w:r>
      <w:r>
        <w:t xml:space="preserve"> pero, por ejemplo, comúnmente admitido con referencia a la pandemia del covid-19. En este sentido, la misma STC 65/2022 anteriormente citada aludía a “situaciones que, por la excepcionalidad que suponen a la regla general de voto personal, han de ser interpretadas siempre con criterio restrictivo”; descartando en varias ocasiones que pueda considerarse como tal “a los efectos de excepcionar el voto presencial la [situación] de quien voluntariamente ha decidido eludir la acción de la jurisdicción penal española y sobre el que pesa una orden judicial de busca y captura” (SSTC 85/2022, de 27 de junio; 24/2023, de 27 de marzo, y 86/2024, de 3 de junio). De cualquier modo, tales excepciones habrán de analizarse “casuísticamente una por una primeramente por quien tenga la autoridad para hacerlo en sede parlamentaria y a quién deberá concederse tal autoridad con deferencia al enjuiciar sus actos”; solo “en segundo lugar, cabrá analizar si tal excepcionalidad puede venir tasada y predefinida de forma exógena por la ley u otras formas de reconocimiento de tal excepcionalidad”.</w:t>
      </w:r>
    </w:p>
    <w:p w14:paraId="1BAD76EE" w14:textId="77777777" w:rsidR="00A8138F" w:rsidRDefault="00A8138F" w:rsidP="00A8138F">
      <w:pPr>
        <w:pStyle w:val="TextoNormal"/>
      </w:pPr>
    </w:p>
    <w:p w14:paraId="68BAAC85" w14:textId="77777777" w:rsidR="00A8138F" w:rsidRDefault="00A8138F" w:rsidP="00A8138F">
      <w:pPr>
        <w:pStyle w:val="TextoNormal"/>
      </w:pPr>
      <w:r>
        <w:t>Llegados a este punto, el escrito del letrado invoca la Ley Orgánica 1/2024, de 10 de junio, de amnistía para la normalización institucional, política y social en Cataluña. Esa ley debía ser aplicable a los diputados cuya delegación de voto se discute en el presente recurso, aunque no haya “desplegado los efectos jurídicos aparentemente esperados”, generando así una “incertidumbre” ante la cual “parece adecuado considerar que la voluntad expresada por la Cortes Generales de utilizar cuantos instrumentos estén en manos del Estado para procurar la normalización institucional tras un periodo de grave perturbación, así como seguir favoreciendo el diálogo, el entendimiento y la convivencia” supone reconocer “una circunstancia excepcional”. Por ello, “[l]a Ley Orgánica de amnistía constituye […], a los efectos del presente amparo, un reconocimiento expreso de una excepcionalidad fundada en principios, bienes y valores constitucionales merecedores de protección” y, por tanto, constitucionalmente hábil para exceptuar “la presencialidad o personalidad del voto parlamentario”.</w:t>
      </w:r>
    </w:p>
    <w:p w14:paraId="3554EBE4" w14:textId="77777777" w:rsidR="00A8138F" w:rsidRDefault="00A8138F" w:rsidP="00A8138F">
      <w:pPr>
        <w:pStyle w:val="TextoNormal"/>
      </w:pPr>
    </w:p>
    <w:p w14:paraId="67104D30" w14:textId="77777777" w:rsidR="00A8138F" w:rsidRDefault="00A8138F" w:rsidP="00A8138F">
      <w:pPr>
        <w:pStyle w:val="TextoNormal"/>
      </w:pPr>
      <w:r>
        <w:t>Así lo entendió también el Parlamento de Cataluña, en un momento posterior al acuerdo aquí impugnado, al modificar su Reglamento para admitir de forma excepcional la delegación del voto a fin de “garantizar el ejercicio de la función parlamentaria de los diputados afectados por las causas judiciales incluidas en la Ley Orgánica de amnistía”; posibilidad validada por la junta de letrados del Parlamento y por el Consejo de Garantías Estatutarias. Este último señalaba, en su dictamen 2/2024, que la pendencia de “las decisiones judiciales sobre la aplicabilidad de la Ley Orgánica 1/2024” determina una situación “completamente diferente” a la voluntaria elusión de la acción de la justicia a la que aludía el Tribunal Constitucional en anteriores decisiones, cuya doctrina no sería pues aplicable a este caso.</w:t>
      </w:r>
    </w:p>
    <w:p w14:paraId="55F12392" w14:textId="77777777" w:rsidR="00A8138F" w:rsidRDefault="00A8138F" w:rsidP="00A8138F">
      <w:pPr>
        <w:pStyle w:val="TextoNormal"/>
      </w:pPr>
    </w:p>
    <w:p w14:paraId="6B4EE7CD" w14:textId="77777777" w:rsidR="00A8138F" w:rsidRDefault="00A8138F" w:rsidP="00A8138F">
      <w:pPr>
        <w:pStyle w:val="TextoNormal"/>
      </w:pPr>
      <w:r>
        <w:t xml:space="preserve">En conclusión, y de acuerdo con esa interpretación, para el letrado “nos hallamos ante un supuesto de hecho no examinado con carácter previo por el Tribunal ni por el propio Parlamento de Cataluña que, sin duda alguna, cabe reputar como excepcional y se justifica en la necesidad de salvaguardar los bienes y valores constitucionales enunciados por la propia Ley Orgánica de amnistía, merecedores estos de especial protección”. Solo aquí se menciona que la Ley Orgánica de amnistía aún no había sido publicada en el “Boletín Oficial del Estado” el día de la sesión constitutiva aquí analizada (pues lo fue al día siguiente, 11 </w:t>
      </w:r>
      <w:r>
        <w:lastRenderedPageBreak/>
        <w:t>de junio de 2024); ese dato “no obsta en ningún caso [a] que la excepcionalidad existiera y que las Cortes ya la hubieran admitido y reconocido”.</w:t>
      </w:r>
    </w:p>
    <w:p w14:paraId="50EE2025" w14:textId="77777777" w:rsidR="00A8138F" w:rsidRDefault="00A8138F" w:rsidP="00A8138F">
      <w:pPr>
        <w:pStyle w:val="TextoNormal"/>
      </w:pPr>
    </w:p>
    <w:p w14:paraId="51560B7B" w14:textId="77777777" w:rsidR="00A8138F" w:rsidRDefault="00A8138F" w:rsidP="00A8138F">
      <w:pPr>
        <w:pStyle w:val="TextoNormal"/>
      </w:pPr>
      <w:r>
        <w:t>En ese contexto, y “[a]nte tales circunstancias, cambiantes e inciertas”, correspondía a la mesa de edad, condicionada por “la temporalidad de sus funciones y la inmediatez” de su decisión, “ponderar y validar si […] las nuevas circunstancias excepcionales son subsumibles dentro de los requisitos fijados por el Tribunal Constitucional”. Así lo hizo, concluyendo que “las nuevas circunstancias jurídicas” justificaban la decisión adoptada “con pleno respeto” a la doctrina constitucional.</w:t>
      </w:r>
    </w:p>
    <w:p w14:paraId="32BEC723" w14:textId="77777777" w:rsidR="00A8138F" w:rsidRDefault="00A8138F" w:rsidP="00A8138F">
      <w:pPr>
        <w:pStyle w:val="TextoNormal"/>
      </w:pPr>
    </w:p>
    <w:p w14:paraId="6DE807E6" w14:textId="77777777" w:rsidR="00A8138F" w:rsidRDefault="00A8138F" w:rsidP="00A8138F">
      <w:pPr>
        <w:pStyle w:val="TextoNormal"/>
      </w:pPr>
      <w:r>
        <w:t xml:space="preserve">Tal conclusión se refuerza, según el escrito, si se analizan las consecuencias de una eventual decisión de la mesa en sentido contrario: en efecto, “[d]enegar la delegación del voto, habida cuenta de que nos hallamos ante una circunstancia excepcional que justifica la necesidad de salvaguardar otros bienes o valores constitucionales merecedores de protección, habría impedido, en beneficio de la personalidad e indelegabilidad del voto parlamentario, el mejor ‘conocimiento de la auténtica voluntad de la Cámara’”, lesionando así “los derechos de los diputados individuales asistidos por su </w:t>
      </w:r>
      <w:r w:rsidRPr="00A8138F">
        <w:rPr>
          <w:i/>
        </w:rPr>
        <w:t>ius in officium</w:t>
      </w:r>
      <w:r>
        <w:t xml:space="preserve"> y por los ciudadanos que los eligieron determinados por la exposición de un programa político”. En definitiva, la decisión controvertida “fue acertada y garantista de los derechos de los diputados de la Cámara individualmente y de la Cámara en su conjunto”.</w:t>
      </w:r>
    </w:p>
    <w:p w14:paraId="58C979E1" w14:textId="77777777" w:rsidR="00A8138F" w:rsidRDefault="00A8138F" w:rsidP="00A8138F">
      <w:pPr>
        <w:pStyle w:val="TextoNormal"/>
      </w:pPr>
    </w:p>
    <w:p w14:paraId="55EA340D" w14:textId="2478CA26" w:rsidR="00A8138F" w:rsidRDefault="00A8138F" w:rsidP="00A8138F">
      <w:pPr>
        <w:pStyle w:val="TextoNormal"/>
      </w:pPr>
      <w:r>
        <w:t>Finalmente, señala el letrado del Parlamento de Cataluña que la autonomía parlamentaria otorga a los órganos rectores de las cámaras “un margen en la interpretación de la legalidad parlamentaria que este tribunal no puede desconocer” (ATC 262/2007, de 25 de mayo, FJ 2); de modo que la mesa de edad “al aplicar la doctrina del Tribunal Constitucional en relación a la delegación de voto en el caso que nos ocupa […] ha tenido en cuenta la modificación que ha habido en el supuesto de hecho y ha tomado una solución adecuada”.</w:t>
      </w:r>
    </w:p>
    <w:p w14:paraId="370C89A8" w14:textId="77777777" w:rsidR="00A8138F" w:rsidRDefault="00A8138F" w:rsidP="00A8138F">
      <w:pPr>
        <w:pStyle w:val="TextoNormal"/>
      </w:pPr>
    </w:p>
    <w:p w14:paraId="7994D146" w14:textId="77777777" w:rsidR="00A8138F" w:rsidRDefault="00A8138F" w:rsidP="00A8138F">
      <w:pPr>
        <w:pStyle w:val="TextoNormal"/>
      </w:pPr>
      <w:r w:rsidRPr="00A8138F">
        <w:rPr>
          <w:rStyle w:val="NumeroAFNegritaCaracter"/>
        </w:rPr>
        <w:t>9</w:t>
      </w:r>
      <w:r>
        <w:t>. Mediante escrito registrado el 24 de octubre de 2024, el Ministerio Fiscal interesa que se dicte sentencia estimando parcialmente el recurso de amparo interpuesto.</w:t>
      </w:r>
    </w:p>
    <w:p w14:paraId="335D8F38" w14:textId="77777777" w:rsidR="00A8138F" w:rsidRDefault="00A8138F" w:rsidP="00A8138F">
      <w:pPr>
        <w:pStyle w:val="TextoNormal"/>
      </w:pPr>
    </w:p>
    <w:p w14:paraId="009A7C1F" w14:textId="77777777" w:rsidR="00A8138F" w:rsidRDefault="00A8138F" w:rsidP="00A8138F">
      <w:pPr>
        <w:pStyle w:val="TextoNormal"/>
      </w:pPr>
      <w:r>
        <w:t>a) Tras exponer los antecedentes y el contenido de la demanda, el análisis comienza sintetizando la doctrina constitucional relevante, en gran parte establecida en la STC 65/2022, de 31 de mayo, y en las posteriores SSTC 92/2022 y 93/2022, ambas de 11 de julio. Doctrina que la STC 24/2023, de 27 de marzo, FJ 3, resume en los siguientes términos:</w:t>
      </w:r>
    </w:p>
    <w:p w14:paraId="0E0A1C16" w14:textId="77777777" w:rsidR="00A8138F" w:rsidRDefault="00A8138F" w:rsidP="00A8138F">
      <w:pPr>
        <w:pStyle w:val="TextoNormal"/>
      </w:pPr>
    </w:p>
    <w:p w14:paraId="2A5E29D4" w14:textId="77777777" w:rsidR="00A8138F" w:rsidRDefault="00A8138F" w:rsidP="00A8138F">
      <w:pPr>
        <w:pStyle w:val="TextoNormal"/>
      </w:pPr>
      <w:r>
        <w:t xml:space="preserve">“(i) este tipo de acuerdos de delegación de voto pueden incidir en el derecho al </w:t>
      </w:r>
      <w:r w:rsidRPr="00A8138F">
        <w:rPr>
          <w:i/>
        </w:rPr>
        <w:t>ius in officium</w:t>
      </w:r>
      <w:r>
        <w:t xml:space="preserve"> de los recurrentes (FJ 3); (ii) el principio de personalidad del voto de los parlamentarios establecido en el art. 79.3 CE resulta de aplicación a todos los cargos públicos representativos incluyendo a los parlamentarios autonómicos (FJ 5); y (iii) la interpretación del art. 95.2 [del Reglamento del Parlamento de Cataluña], que prevé la delegación de voto en los supuestos de hospitalización, enfermedad grave e incapacidad prolongada, solo es constitucionalmente admisible cuando, por un lado, el diputado delegante haya manifestado previamente de forma fehaciente el sentido de su voto y, por otro, se encuentra justificada en la necesidad de salvaguardar otros bienes o valores constitucionales y respete el principio de proporcionalidad, lo que no concurre en los casos en quien voluntariamente ha decidido eludir la acción de la jurisdicción penal española y sobre el que pesa una orden judicial de busca y captura”.</w:t>
      </w:r>
    </w:p>
    <w:p w14:paraId="74AEEC68" w14:textId="77777777" w:rsidR="00A8138F" w:rsidRDefault="00A8138F" w:rsidP="00A8138F">
      <w:pPr>
        <w:pStyle w:val="TextoNormal"/>
      </w:pPr>
    </w:p>
    <w:p w14:paraId="09E62A98" w14:textId="77777777" w:rsidR="00A8138F" w:rsidRDefault="00A8138F" w:rsidP="00A8138F">
      <w:pPr>
        <w:pStyle w:val="TextoNormal"/>
      </w:pPr>
      <w:r>
        <w:t>A juicio del fiscal, el acuerdo de la mesa de edad aquí impugnado autorizó la delegación del voto de los diputados concernidos, cuyo ejercicio se concretó en las votaciones para elegir a los miembros de la mesa del Parlamento de Cataluña, sin que conste el sentido del voto de los diputados delegantes, lo que rompe el principio de personalidad del voto. Además, la causa de la delegación alegada por los diputados delegantes (“las circunstancias actuales que me incapacitan para poder ejercer de forma presencial el derecho al voto”) no encajan en los supuestos previstos en el artículo 95.2 del Reglamento de la Cámara, que han de interpretarse restrictivamente. Por lo cual concluye que “procede otorgar el amparo solicitado por esta causa y declarar la nulidad del acuerdo que admitió la delegación del voto” de los diputados concernidos, “por haberse lesionado el derecho fundamental de los recurrentes a ejercer sus funciones representativas en condiciones de igualdad (art. 23.2 CE), en relación con el derecho de los ciudadanos a participar en los asuntos públicos a través de sus representantes (art. 23.1 CE)”.</w:t>
      </w:r>
    </w:p>
    <w:p w14:paraId="45E5330F" w14:textId="77777777" w:rsidR="00A8138F" w:rsidRDefault="00A8138F" w:rsidP="00A8138F">
      <w:pPr>
        <w:pStyle w:val="TextoNormal"/>
      </w:pPr>
    </w:p>
    <w:p w14:paraId="2FEC2C2B" w14:textId="77777777" w:rsidR="00A8138F" w:rsidRDefault="00A8138F" w:rsidP="00A8138F">
      <w:pPr>
        <w:pStyle w:val="TextoNormal"/>
      </w:pPr>
      <w:r>
        <w:t>b) En cuanto al resto de los acuerdos y actos impugnados, se recuerda (nuevamente, conforme a la doctrina previamente establecida por el Tribunal, en los términos en que la resume la citada STC 24/2023, FJ 3) que por razones de seguridad jurídica y presunción de legitimidad y validez de los acuerdos parlamentarios “la nulidad de estos acuerdos parlamentarios no puede comunicarse a los actos que hayan podido adoptarse con el voto delegado”; tanto más cuanto que el análisis de los resultados de las votaciones para elegir a los miembros de la mesa pone de manifiesto que los dos votos delegados no fueron determinantes de los mismos, de modo que no pudieron alterar dicha elección ni, por tanto, la composición de la mesa. Por consiguiente, no se vulneró el derecho de los recurrentes a ejercer sus funciones representativas en condiciones de igualdad, ni se ve afectada la proclamación del presidente del Parlamento de Cataluña declarando constituida la Cámara.</w:t>
      </w:r>
    </w:p>
    <w:p w14:paraId="1C41ED2B" w14:textId="77777777" w:rsidR="00A8138F" w:rsidRDefault="00A8138F" w:rsidP="00A8138F">
      <w:pPr>
        <w:pStyle w:val="TextoNormal"/>
      </w:pPr>
    </w:p>
    <w:p w14:paraId="4EE48FEA" w14:textId="32CB6419" w:rsidR="00A8138F" w:rsidRDefault="00A8138F" w:rsidP="00A8138F">
      <w:pPr>
        <w:pStyle w:val="TextoNormal"/>
      </w:pPr>
      <w:r>
        <w:t>Por último, tampoco puede estimarse el amparo solicitado “respecto de la declaración de nulidad de ‘cuantos otros actos y resoluciones deriven de los anteriores acuerdos’”. Primeramente, por la mencionada doctrina que niega que la nulidad de la delegación se comunique a los actos adoptados. Pero, además, por la falta de concreción de dichos “actos y resoluciones” y porque la delegación se otorga solo para la sesión constitutiva y caduca con su celebración; sin que el acta de dicha sesión recoja “acto o acuerdo distinto alguno” a los ya analizados.</w:t>
      </w:r>
    </w:p>
    <w:p w14:paraId="09369A7C" w14:textId="77777777" w:rsidR="00A8138F" w:rsidRDefault="00A8138F" w:rsidP="00A8138F">
      <w:pPr>
        <w:pStyle w:val="TextoNormal"/>
      </w:pPr>
    </w:p>
    <w:p w14:paraId="0C433268" w14:textId="3224798C" w:rsidR="00A8138F" w:rsidRDefault="00A8138F" w:rsidP="00A8138F">
      <w:pPr>
        <w:pStyle w:val="TextoNormal"/>
      </w:pPr>
      <w:r w:rsidRPr="00A8138F">
        <w:rPr>
          <w:rStyle w:val="NumeroAFNegritaCaracter"/>
        </w:rPr>
        <w:t>10</w:t>
      </w:r>
      <w:r>
        <w:t>. Por medio de diligencia de 25 de noviembre de 2024 de la secretaría de justicia del Pleno, se hace constar que han formulado escrito de alegaciones el Parlamento de Cataluña y el Ministerio Fiscal, quedando el recurso de amparo pendiente para deliberación cuando por turno corresponda.</w:t>
      </w:r>
    </w:p>
    <w:p w14:paraId="0B7D90C2" w14:textId="77777777" w:rsidR="00A8138F" w:rsidRDefault="00A8138F" w:rsidP="00A8138F">
      <w:pPr>
        <w:pStyle w:val="TextoNormal"/>
      </w:pPr>
    </w:p>
    <w:p w14:paraId="57FA66DC" w14:textId="3C48ED8C" w:rsidR="00A8138F" w:rsidRDefault="00A8138F" w:rsidP="00A8138F">
      <w:pPr>
        <w:pStyle w:val="TextoNormal"/>
      </w:pPr>
      <w:r w:rsidRPr="00A8138F">
        <w:rPr>
          <w:rStyle w:val="NumeroAFNegritaCaracter"/>
        </w:rPr>
        <w:t>11</w:t>
      </w:r>
      <w:r>
        <w:t>. Por providencia de 25 de marzo de 2025, se señaló para deliberación y votación de la presente sentencia el día 26 del mismo mes y año.</w:t>
      </w:r>
    </w:p>
    <w:p w14:paraId="7C584FDC" w14:textId="77777777" w:rsidR="00A8138F" w:rsidRDefault="00A8138F" w:rsidP="00A8138F">
      <w:pPr>
        <w:pStyle w:val="TextoNormal"/>
      </w:pPr>
    </w:p>
    <w:p w14:paraId="5FF86EB5" w14:textId="77777777" w:rsidR="00A8138F" w:rsidRDefault="00A8138F" w:rsidP="00A8138F">
      <w:pPr>
        <w:pStyle w:val="TextoNormalNegritaCentrado"/>
        <w:keepNext/>
      </w:pPr>
      <w:r>
        <w:t>II. Fundamentos jurídicos</w:t>
      </w:r>
    </w:p>
    <w:p w14:paraId="0F553DCC" w14:textId="54306751" w:rsidR="00A8138F" w:rsidRDefault="00A8138F" w:rsidP="00A8138F">
      <w:pPr>
        <w:pStyle w:val="TextoNormalNegritaCentrado"/>
        <w:keepNext/>
      </w:pPr>
    </w:p>
    <w:p w14:paraId="14191B2D"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4A87E63D" w14:textId="77777777" w:rsidR="00A8138F" w:rsidRDefault="00A8138F" w:rsidP="00A8138F">
      <w:pPr>
        <w:pStyle w:val="TextoNormal"/>
      </w:pPr>
    </w:p>
    <w:p w14:paraId="498A58E6" w14:textId="77777777" w:rsidR="00A8138F" w:rsidRDefault="00A8138F" w:rsidP="00A8138F">
      <w:pPr>
        <w:pStyle w:val="TextoNormal"/>
      </w:pPr>
      <w:r>
        <w:lastRenderedPageBreak/>
        <w:t>El presente recurso de amparo, interpuesto de conformidad con el art. 42 LOTC por don Alejandro Fernández Álvarez y otros catorce diputados del Parlamento de Cataluña, se dirige, en primer lugar, contra el acuerdo de la mesa de edad de dicho Parlamento, de 10 de junio de 2024, que decidió aceptar la delegación del voto de los diputados don Carles Puigdemont i Casamajó y don Lluís Puig i Gordi en favor del diputado don Albert Batet i Canadell; y adicionalmente contra el acuerdo de elección de la mesa del Parlamento de Cataluña, contabilizando los votos de dichos diputados; el acto del presidente del Parlamento de Cataluña por el que se declara constituido el Parlamento y se levanta la sesión; y, en fin, “cuantos otros actos y resoluciones deriven de los anteriores”.</w:t>
      </w:r>
    </w:p>
    <w:p w14:paraId="0A42955C" w14:textId="77777777" w:rsidR="00A8138F" w:rsidRDefault="00A8138F" w:rsidP="00A8138F">
      <w:pPr>
        <w:pStyle w:val="TextoNormal"/>
      </w:pPr>
    </w:p>
    <w:p w14:paraId="51FB2D9C" w14:textId="77777777" w:rsidR="00A8138F" w:rsidRDefault="00A8138F" w:rsidP="00A8138F">
      <w:pPr>
        <w:pStyle w:val="TextoNormal"/>
      </w:pPr>
      <w:r>
        <w:t>En síntesis, y como se ha expuesto pormenorizadamente en los antecedentes, el recurso considera que la aceptación de la delegación del voto de los citados diputados supone un frontal desacato de la consolidada doctrina de este tribunal sobre la personalidad y presencialidad del voto parlamentario, vulnerando así el derecho de los recurrentes al ejercicio pleno de su función representativa e, indirectamente, el derecho de los ciudadanos a la representación política (art. 23.2 y 1 CE). De ese acuerdo inicial, apunta el escrito, “derivan todos los demás actos adoptados en la sesión constitutiva” que aquí se combaten.</w:t>
      </w:r>
    </w:p>
    <w:p w14:paraId="379A2E2E" w14:textId="77777777" w:rsidR="00A8138F" w:rsidRDefault="00A8138F" w:rsidP="00A8138F">
      <w:pPr>
        <w:pStyle w:val="TextoNormal"/>
      </w:pPr>
    </w:p>
    <w:p w14:paraId="78F8ADFE" w14:textId="77777777" w:rsidR="00A8138F" w:rsidRDefault="00A8138F" w:rsidP="00A8138F">
      <w:pPr>
        <w:pStyle w:val="TextoNormal"/>
      </w:pPr>
      <w:r>
        <w:t>Por su parte, el letrado del Parlamento de Cataluña solicita la desestimación del recurso. Entiende que la mesa de edad de la Cámara, en el ejercicio de sus funciones y conforme al principio de autonomía parlamentaria, ha aplicado correctamente la doctrina constitucional, flexibilizando la exigencia de presencialidad y personalidad del voto parlamentario ante una circunstancia excepcional aún no contemplada por esa doctrina, como es la aprobación de una ley orgánica de amnistía que, aunque aún no publicada ni por tanto vigente, debía ser de aplicación a los recurrentes. Con ello, se salvaguardaban otros bienes merecedores de protección constitucional, como la participación efectiva de todos los parlamentarios en la formación de la “auténtica” voluntad de la Cámara, y con ella el derecho de los ciudadanos que los eligieron en función de un programa político determinado. En definitiva, la decisión garantizó los derechos de los diputados individualmente y de la Cámara en su conjunto.</w:t>
      </w:r>
    </w:p>
    <w:p w14:paraId="33F12281" w14:textId="77777777" w:rsidR="00A8138F" w:rsidRDefault="00A8138F" w:rsidP="00A8138F">
      <w:pPr>
        <w:pStyle w:val="TextoNormal"/>
      </w:pPr>
    </w:p>
    <w:p w14:paraId="309D23F3" w14:textId="02FA3E29" w:rsidR="00A8138F" w:rsidRDefault="00A8138F" w:rsidP="00A8138F">
      <w:pPr>
        <w:pStyle w:val="TextoNormal"/>
      </w:pPr>
      <w:r>
        <w:t>El Ministerio Fiscal interesa el otorgamiento del amparo y la declaración de nulidad del acuerdo de la mesa de edad que autorizó la delegación del voto ya que, a su juicio, lesiona el derecho fundamental de los recurrentes a ejercer sus funciones representativas en condiciones de igualdad, en relación con el derecho de los ciudadanos a participar en los asuntos públicos a través de sus representantes (art. 23.2 y 1 CE), al romper el principio de personalidad del voto sin que concurran los supuestos excepcionales que podrían justificarlo, conforme a reiterada doctrina constitucional; solicita la desestimación del recurso en todo lo demás.</w:t>
      </w:r>
    </w:p>
    <w:p w14:paraId="1646E88D" w14:textId="77777777" w:rsidR="00A8138F" w:rsidRDefault="00A8138F" w:rsidP="00A8138F">
      <w:pPr>
        <w:pStyle w:val="TextoNormal"/>
      </w:pPr>
    </w:p>
    <w:p w14:paraId="2F8DCAC9" w14:textId="77777777" w:rsidR="00A8138F" w:rsidRDefault="00A8138F" w:rsidP="00A8138F">
      <w:pPr>
        <w:pStyle w:val="TextoNormal"/>
      </w:pPr>
      <w:r w:rsidRPr="00A8138F">
        <w:rPr>
          <w:rStyle w:val="NumeroAFNegritaCaracter"/>
        </w:rPr>
        <w:t>2</w:t>
      </w:r>
      <w:r>
        <w:t xml:space="preserve">. </w:t>
      </w:r>
      <w:r w:rsidRPr="00A8138F">
        <w:rPr>
          <w:i/>
        </w:rPr>
        <w:t>Síntesis de la doctrina constitucional relevante en la materia</w:t>
      </w:r>
    </w:p>
    <w:p w14:paraId="1197438F" w14:textId="77777777" w:rsidR="00A8138F" w:rsidRDefault="00A8138F" w:rsidP="00A8138F">
      <w:pPr>
        <w:pStyle w:val="TextoNormal"/>
      </w:pPr>
    </w:p>
    <w:p w14:paraId="7610A65F" w14:textId="77777777" w:rsidR="00A8138F" w:rsidRDefault="00A8138F" w:rsidP="00A8138F">
      <w:pPr>
        <w:pStyle w:val="TextoNormal"/>
      </w:pPr>
      <w:r>
        <w:t xml:space="preserve">El primero de los problemas constitucionales que plantea el presente recurso, referido a la alegada vulneración del art. 23.2 CE de los demandantes de amparo derivada de la decisión de la mesa de edad del Parlamento de Cataluña de aceptar la delegación del voto de los diputados don Carles Puigdemont i Casamajó y don Lluís Puig i Gordi en favor del diputado don Albert Batet i Canadell, es sustancialmente coincidente con el ya resuelto en las SSTC 85/2022, de 27 de junio; 92/2022 y 93/2022, de 11 de julio; 24/2023, de 27 de marzo, y 86/2024, de 3 de junio, todos ellos a raíz de diversos recursos de amparo interpuestos por </w:t>
      </w:r>
      <w:r>
        <w:lastRenderedPageBreak/>
        <w:t>diputados del Parlamento de Cataluña contra decisiones de los órganos parlamentarios que, por una u otra vía, admitían el voto no presencial de los mismos diputados aquí concernidos.</w:t>
      </w:r>
    </w:p>
    <w:p w14:paraId="5616E5EB" w14:textId="77777777" w:rsidR="00A8138F" w:rsidRDefault="00A8138F" w:rsidP="00A8138F">
      <w:pPr>
        <w:pStyle w:val="TextoNormal"/>
      </w:pPr>
    </w:p>
    <w:p w14:paraId="2FE2451F" w14:textId="77777777" w:rsidR="00A8138F" w:rsidRDefault="00A8138F" w:rsidP="00A8138F">
      <w:pPr>
        <w:pStyle w:val="TextoNormal"/>
      </w:pPr>
      <w:r>
        <w:t xml:space="preserve">Todas estas sentencias concluyeron declarando, en los términos que utiliza la última de ellas, “que se había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se declaró la nulidad de los acuerdos parlamentarios admitiendo la delegación de voto [o habilitando su ejercicio por vía telemática]. En todos los casos la estimación del recurso tuvo como fundamento la STC 65/2022, de 31 de mayo, en la que se razonaba, entre otros extremos y por lo que es relevante a este recurso, que (i) este tipo de acuerdos en los que se excepciona la presencialidad en el ejercicio del derecho de voto de los representantes políticos pueden incidir en el derecho al </w:t>
      </w:r>
      <w:r w:rsidRPr="00A8138F">
        <w:rPr>
          <w:i/>
        </w:rPr>
        <w:t>ius in officium</w:t>
      </w:r>
      <w:r>
        <w:t xml:space="preserve"> de los recurrentes (FJ 3); (ii) el principio de personalidad del voto de los parlamentarios establecido en el art. 79.3 CE resulta de aplicación a todos los cargos públicos representativos incluyendo a los parlamentarios autonómicos (FJ 5); y (iii) la interpretación de la normativa parlamentaria en lo referente a los supuestos en los que se permite excepcionar la presencialidad en el ejercicio del derecho de voto de los representantes políticos solo son constitucionalmente admisibles cuando se encuentran justificados en la necesidad de salvaguardar otros bienes o valores constitucionales y respetan el principio de proporcionalidad, lo que no concurre en los casos en quien voluntariamente ha decidido eludir la acción de la jurisdicción penal española y sobre el que pesa una orden judicial de busca y captura (FFJJ 6 y 7)” (STC 86/2024, de 3 de junio, FJ 3).</w:t>
      </w:r>
    </w:p>
    <w:p w14:paraId="2707C7D7" w14:textId="77777777" w:rsidR="00A8138F" w:rsidRDefault="00A8138F" w:rsidP="00A8138F">
      <w:pPr>
        <w:pStyle w:val="TextoNormal"/>
      </w:pPr>
    </w:p>
    <w:p w14:paraId="6A67F600" w14:textId="025118D0" w:rsidR="00A8138F" w:rsidRDefault="00A8138F" w:rsidP="00A8138F">
      <w:pPr>
        <w:pStyle w:val="TextoNormal"/>
      </w:pPr>
      <w:r>
        <w:t>La aplicación de tal doctrina desembocó en todas esas sentencias en sendos fallos estimatorios que declararon la nulidad de los acuerdos impugnados, limitando su alcance en virtud del principio de seguridad jurídica (art. 9.3 CE) en el sentido de que dicha nulidad no puede comunicarse a los actos que hubieren podido adoptarse con el voto no presencial de los diputados delegantes.</w:t>
      </w:r>
    </w:p>
    <w:p w14:paraId="14AD359F" w14:textId="77777777" w:rsidR="00A8138F" w:rsidRDefault="00A8138F" w:rsidP="00A8138F">
      <w:pPr>
        <w:pStyle w:val="TextoNormal"/>
      </w:pPr>
    </w:p>
    <w:p w14:paraId="1009CE74"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al presente recurso de amparo</w:t>
      </w:r>
    </w:p>
    <w:p w14:paraId="753D83F2" w14:textId="77777777" w:rsidR="00A8138F" w:rsidRDefault="00A8138F" w:rsidP="00A8138F">
      <w:pPr>
        <w:pStyle w:val="TextoNormal"/>
      </w:pPr>
    </w:p>
    <w:p w14:paraId="7BD0C306" w14:textId="77777777" w:rsidR="00A8138F" w:rsidRDefault="00A8138F" w:rsidP="00A8138F">
      <w:pPr>
        <w:pStyle w:val="TextoNormal"/>
      </w:pPr>
      <w:r>
        <w:t>La doctrina expuesta conduce derechamente a la estimación del presente recurso en lo que hace al primero y fundamental de los acuerdos impugnados, que es el adoptado por la mesa de edad al aceptar la delegación del voto de los dos diputados afectados, excepcionando así el principio de presencialidad en el ejercicio de ese derecho. Dicha decisión, como las que examinaron antes las SSTC 65/2022, 85/2022, 92/2022, 93/2022, 24/2023 y 86/2024, no se ajusta a la interpretación restrictiva que conforme a la Constitución permite excepcionar ese principio, al aceptar a tal efecto una circunstancia constitucionalmente inadmisible, como es la de quien voluntariamente elude la acción de la jurisdicción penal española y sobre quien pesa una orden judicial de busca y captura. Una situación que es, cabalmente, aquella en que se encuentran los diputados cuya delegación de voto fue aceptada por la mesa de edad, por más que se alegue, como hace aquí la representación procesal del Parlamento de Cataluña, que la mera adopción por las Cortes Generales de una ley orgánica de amnistía supone, por sí misma (y aún antes de su publicación y, por tanto, de su vigencia), la concurrencia de una circunstancia excepcional que, además, según se afirma sin aportar razonamiento específico alguno al respecto, habría de aplicarse a los diputados delegantes.</w:t>
      </w:r>
    </w:p>
    <w:p w14:paraId="51717E44" w14:textId="77777777" w:rsidR="00A8138F" w:rsidRDefault="00A8138F" w:rsidP="00A8138F">
      <w:pPr>
        <w:pStyle w:val="TextoNormal"/>
      </w:pPr>
    </w:p>
    <w:p w14:paraId="367FD203" w14:textId="77777777" w:rsidR="00A8138F" w:rsidRDefault="00A8138F" w:rsidP="00A8138F">
      <w:pPr>
        <w:pStyle w:val="TextoNormal"/>
      </w:pPr>
      <w:r>
        <w:lastRenderedPageBreak/>
        <w:t>Esto determina asimismo el otorgamiento del amparo solicitado con declaración de la nulidad del citado acuerdo de aceptación de la delegación de los votos, por haber lesionado el derecho fundamental de los demandantes a ejercer sus funciones representativas en condiciones de igualdad (art. 23.2 CE), en relación con el derecho de los ciudadanos a participar en los asuntos públicos a través de sus representantes (art. 23.1 CE). Ahora bien, la misma doctrina constitucional lleva a limitar el alcance de tal estimación en virtud del principio de seguridad jurídica (art. 9.3 CE): la nulidad de ese acuerdo parlamentario no puede comunicarse a los actos que hayan podido adoptarse con los votos delegados durante el tiempo en que estuvo vigente dicha habilitación, lo que comporta desestimar las demás pretensiones del recurso de amparo.</w:t>
      </w:r>
    </w:p>
    <w:p w14:paraId="3D686901" w14:textId="77777777" w:rsidR="00A8138F" w:rsidRDefault="00A8138F" w:rsidP="00A8138F">
      <w:pPr>
        <w:pStyle w:val="TextoNormal"/>
      </w:pPr>
    </w:p>
    <w:p w14:paraId="0C61C85E" w14:textId="5E3EEAB8" w:rsidR="00A8138F" w:rsidRDefault="00A8138F" w:rsidP="00A8138F">
      <w:pPr>
        <w:pStyle w:val="TextoNormal"/>
      </w:pPr>
      <w:r>
        <w:t>En este punto cabe recordar que, como se ha expuesto en los antecedentes, ya la providencia que acordó admitir a trámite este recurso señaló que dichos “votos delegados no fueron determinantes del resultado de las votaciones” celebradas durante la sesión parlamentaria del día 10 de junio de 2024. Por tanto, como acertadamente apunta el Ministerio Fiscal, la emisión de esos votos no alteró la elección de los miembros de la mesa ni, por tanto, su composición; ni afectó pues a la proclamación del presidente del Parlamento de Cataluña declarando constituida la Cámara. Finalmente, tampoco cabe estimar el amparo solicitado frente a “otros actos y resoluciones” que ni siquiera se identifican, y cuya existencia parece difícilmente compatible con los precisos términos de la delegación (limitada a la sesión constitutiva), cuya anulación en todo caso no se comunicaría a tales actos.</w:t>
      </w:r>
    </w:p>
    <w:p w14:paraId="0115D094" w14:textId="77777777" w:rsidR="00A8138F" w:rsidRDefault="00A8138F" w:rsidP="00A8138F">
      <w:pPr>
        <w:pStyle w:val="TextoNormal"/>
      </w:pPr>
    </w:p>
    <w:p w14:paraId="770A98E5" w14:textId="77777777" w:rsidR="00A8138F" w:rsidRDefault="00A8138F" w:rsidP="00A8138F">
      <w:pPr>
        <w:pStyle w:val="TextoNormalCentrado"/>
        <w:keepNext/>
      </w:pPr>
      <w:r>
        <w:t>FALLO</w:t>
      </w:r>
    </w:p>
    <w:p w14:paraId="45E70B14" w14:textId="4BA0E8AA" w:rsidR="00A8138F" w:rsidRDefault="00A8138F" w:rsidP="00A8138F">
      <w:pPr>
        <w:pStyle w:val="TextoNormalCentrado"/>
        <w:keepNext/>
      </w:pPr>
    </w:p>
    <w:p w14:paraId="2FB02A37" w14:textId="77777777" w:rsidR="00A8138F" w:rsidRDefault="00A8138F" w:rsidP="00A8138F">
      <w:pPr>
        <w:pStyle w:val="TextoNormal"/>
      </w:pPr>
      <w:r>
        <w:t>En atención a todo lo expuesto, el Tribunal Constitucional, por la autoridad que le confiere la Constitución de la Nación española, ha decidido estimar en parte el recurso de amparo interpuesto por don Alejandro Fernández Álvarez, don Manuel Reyes López, doña María Ángeles Esteller Ruedas, doña Rosa del Amo Hernández, don Hugo Alberto Manchón García, don Juan Fernández Benítez, doña Eva García Rodríguez, doña Miriam Casanova Domenech, don Alberto Villagrasa Gil, don Cristian Escribano Ramírez, don Pau Ferrán Navarro, don Jaime Veray Cama, doña Montserrat Berenguer Messeguer, don Pedro Luis Huguet Tous y doña Lorena Roldán Suárez, diputados del Parlamento de Cataluña; y, en consecuencia:</w:t>
      </w:r>
    </w:p>
    <w:p w14:paraId="6A5EB5C7" w14:textId="77777777" w:rsidR="00A8138F" w:rsidRDefault="00A8138F" w:rsidP="00A8138F">
      <w:pPr>
        <w:pStyle w:val="TextoNormal"/>
      </w:pPr>
    </w:p>
    <w:p w14:paraId="33ECDC58" w14:textId="77777777" w:rsidR="00A8138F" w:rsidRDefault="00A8138F" w:rsidP="00A8138F">
      <w:pPr>
        <w:pStyle w:val="TextoNormal"/>
      </w:pPr>
      <w:r>
        <w:t>1º Declarar que se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14:paraId="1581B8B9" w14:textId="77777777" w:rsidR="00A8138F" w:rsidRDefault="00A8138F" w:rsidP="00A8138F">
      <w:pPr>
        <w:pStyle w:val="TextoNormal"/>
      </w:pPr>
    </w:p>
    <w:p w14:paraId="48C82768" w14:textId="77777777" w:rsidR="00A8138F" w:rsidRDefault="00A8138F" w:rsidP="00A8138F">
      <w:pPr>
        <w:pStyle w:val="TextoNormal"/>
      </w:pPr>
      <w:r>
        <w:t>2º Restablecer a los demandantes de amparo en su derecho y, a tal fin, declarar la nulidad del acuerdo de la mesa de edad de 10 de junio de 2024 del Parlamento de Cataluña por el que se admitió la delegación de voto de los diputados señores Puigdemont i Casamajó y Puig i Gordi en favor del diputado don Albert Batet i Canadell.</w:t>
      </w:r>
    </w:p>
    <w:p w14:paraId="2EA2A5EB" w14:textId="77777777" w:rsidR="00A8138F" w:rsidRDefault="00A8138F" w:rsidP="00A8138F">
      <w:pPr>
        <w:pStyle w:val="TextoNormal"/>
      </w:pPr>
    </w:p>
    <w:p w14:paraId="1A294FFB" w14:textId="30C402F6" w:rsidR="00A8138F" w:rsidRDefault="00A8138F" w:rsidP="00A8138F">
      <w:pPr>
        <w:pStyle w:val="TextoNormal"/>
      </w:pPr>
      <w:r>
        <w:t>3º Desestimar el recurso en todo lo demás.</w:t>
      </w:r>
    </w:p>
    <w:p w14:paraId="58664A2D" w14:textId="77777777" w:rsidR="00A8138F" w:rsidRDefault="00A8138F" w:rsidP="00A8138F">
      <w:pPr>
        <w:pStyle w:val="TextoNormal"/>
      </w:pPr>
    </w:p>
    <w:p w14:paraId="2DA0A111" w14:textId="77777777" w:rsidR="00A8138F" w:rsidRDefault="00A8138F" w:rsidP="00A8138F">
      <w:pPr>
        <w:pStyle w:val="TextoNormal"/>
      </w:pPr>
      <w:r>
        <w:t>Publíquese esta sentencia en el “Boletín Oficial del Estado”.</w:t>
      </w:r>
    </w:p>
    <w:p w14:paraId="3F523E52" w14:textId="77777777" w:rsidR="00A8138F" w:rsidRDefault="00A8138F" w:rsidP="00A8138F">
      <w:pPr>
        <w:pStyle w:val="TextoNormal"/>
      </w:pPr>
      <w:r>
        <w:t>Dada en Madrid, a veintiséis de marzo de dos mil veinticinco.</w:t>
      </w:r>
    </w:p>
    <w:p w14:paraId="5C677E79" w14:textId="096BDA87" w:rsidR="00A8138F" w:rsidRDefault="00A8138F">
      <w:pPr>
        <w:spacing w:after="160" w:line="278" w:lineRule="auto"/>
        <w:rPr>
          <w:rFonts w:ascii="Times New Roman" w:eastAsia="Times New Roman" w:hAnsi="Times New Roman" w:cs="Times New Roman"/>
          <w:sz w:val="24"/>
          <w:szCs w:val="24"/>
          <w:lang w:eastAsia="es-ES"/>
        </w:rPr>
      </w:pPr>
      <w:r>
        <w:lastRenderedPageBreak/>
        <w:br w:type="page"/>
      </w:r>
    </w:p>
    <w:p w14:paraId="4032C77F" w14:textId="77777777" w:rsidR="00A8138F" w:rsidRDefault="00A8138F" w:rsidP="00A8138F">
      <w:pPr>
        <w:pStyle w:val="TtuloResolucin"/>
      </w:pPr>
      <w:bookmarkStart w:id="86" w:name="SENTENCIA_2025_84"/>
      <w:r>
        <w:lastRenderedPageBreak/>
        <w:t>SENTENCIA 84/2025, de 7 de abril de 2025</w:t>
      </w:r>
    </w:p>
    <w:bookmarkEnd w:id="86"/>
    <w:p w14:paraId="34C9EFC4" w14:textId="77777777" w:rsidR="00A8138F" w:rsidRDefault="00A8138F" w:rsidP="00A8138F">
      <w:pPr>
        <w:pStyle w:val="TtuloResolucin"/>
      </w:pPr>
      <w:r>
        <w:t>Sala Primera</w:t>
      </w:r>
    </w:p>
    <w:p w14:paraId="5CC88C88" w14:textId="77777777" w:rsidR="00A8138F" w:rsidRDefault="00A8138F" w:rsidP="00A8138F">
      <w:pPr>
        <w:pStyle w:val="TtuloBOE"/>
      </w:pPr>
      <w:r>
        <w:t>(BOE núm. 117, de 15 de mayo de 2025)</w:t>
      </w:r>
    </w:p>
    <w:p w14:paraId="1219A719" w14:textId="77777777" w:rsidR="00A8138F" w:rsidRDefault="00A8138F" w:rsidP="00A8138F">
      <w:pPr>
        <w:pStyle w:val="TextoNormalCentrado"/>
      </w:pPr>
      <w:r>
        <w:t>ECLI:ES:TC:2025:84</w:t>
      </w:r>
    </w:p>
    <w:p w14:paraId="453D7535" w14:textId="61C65E39" w:rsidR="00A8138F" w:rsidRDefault="00A8138F" w:rsidP="00A8138F">
      <w:pPr>
        <w:pStyle w:val="TextoNormalCentrado"/>
      </w:pPr>
    </w:p>
    <w:p w14:paraId="2D5FC955" w14:textId="77777777" w:rsidR="00A8138F" w:rsidRDefault="00A8138F" w:rsidP="00A8138F">
      <w:pPr>
        <w:pStyle w:val="SntesisDescriptiva"/>
      </w:pPr>
      <w:r>
        <w:t>Recurso de amparo 6194-2020. Promovido por don Miguel Ángel González Ortiz respecto de los acuerdos del letrado de la administración de justicia de un juzgado de primera instancia de Badajoz y de la Sala de Gobierno del Tribunal Superior de Justicia de Extremadura.</w:t>
      </w:r>
    </w:p>
    <w:p w14:paraId="42D30653" w14:textId="7019EB2B" w:rsidR="00A8138F" w:rsidRDefault="00A8138F" w:rsidP="00A8138F">
      <w:pPr>
        <w:pStyle w:val="SntesisDescriptiva"/>
      </w:pPr>
    </w:p>
    <w:p w14:paraId="01B57F82" w14:textId="77777777" w:rsidR="00A8138F" w:rsidRDefault="00A8138F" w:rsidP="00A8138F">
      <w:pPr>
        <w:pStyle w:val="SntesisAnaltica"/>
      </w:pPr>
      <w:r>
        <w:t>Vulneración del derecho a un proceso con todas las garantías en relación con el derecho al juez ordinario predeterminado por la ley: acuerdo corrector adoptado en un ámbito, como son las manifestaciones vertidas en escritos procesales, ajeno a la potestad disciplinaria de los letrados de la administración de justicia (STC 12/2025). Voto particular.</w:t>
      </w:r>
    </w:p>
    <w:p w14:paraId="70EADF43" w14:textId="49C41063" w:rsidR="00A8138F" w:rsidRDefault="00A8138F" w:rsidP="00A8138F">
      <w:pPr>
        <w:pStyle w:val="SntesisAnaltica"/>
      </w:pPr>
    </w:p>
    <w:p w14:paraId="259CA2B3" w14:textId="649B10FE" w:rsidR="00A8138F" w:rsidRDefault="00A8138F" w:rsidP="00A8138F">
      <w:pPr>
        <w:pStyle w:val="Extracto"/>
      </w:pPr>
      <w:r>
        <w:t>1.</w:t>
      </w:r>
      <w:r>
        <w:tab/>
        <w:t>El legislador atribuye a los letrados de la administración de justicia la facultad de corregir a abogados y procuradores; no obstante, únicamente puede ejercerse en las actuaciones que se celebren ante él en las dependencias de la oficina judicial (STC 12/2025) [FFJJ 3 y 4].</w:t>
      </w:r>
    </w:p>
    <w:p w14:paraId="76D29A10" w14:textId="77777777" w:rsidR="00A8138F" w:rsidRDefault="00A8138F" w:rsidP="00A8138F">
      <w:pPr>
        <w:pStyle w:val="Extracto"/>
      </w:pPr>
    </w:p>
    <w:p w14:paraId="63B43BC5" w14:textId="2401F70C" w:rsidR="00A8138F" w:rsidRDefault="00A8138F" w:rsidP="00A8138F">
      <w:pPr>
        <w:pStyle w:val="Extracto"/>
      </w:pPr>
      <w:r>
        <w:t>2.</w:t>
      </w:r>
      <w:r>
        <w:tab/>
        <w:t xml:space="preserve">Por quedar al margen de las actuaciones celebradas ante el letrado de la administración de justicia en las dependencias de la oficina judicial (arts. 190.3 LOPJ y 186 LEC), frente a las manifestaciones vertidas en “escritos procesales” el letrado de la administración de justicia carece de competencia para dictar acuerdos correctores; y, por ende, estos acuerdos vulneran el derecho fundamental al juez ordinario predeterminado por la ley </w:t>
      </w:r>
      <w:r w:rsidRPr="00A8138F">
        <w:rPr>
          <w:i/>
        </w:rPr>
        <w:t>ex</w:t>
      </w:r>
      <w:r>
        <w:t xml:space="preserve"> art. 24.2 CE (STC 12/2025) [FJ 4].</w:t>
      </w:r>
    </w:p>
    <w:p w14:paraId="18AC8FDB" w14:textId="77777777" w:rsidR="00A8138F" w:rsidRDefault="00A8138F" w:rsidP="00A8138F">
      <w:pPr>
        <w:pStyle w:val="Extracto"/>
      </w:pPr>
    </w:p>
    <w:p w14:paraId="3486EA5F" w14:textId="77777777" w:rsidR="00A8138F" w:rsidRDefault="00A8138F" w:rsidP="00A8138F">
      <w:pPr>
        <w:pStyle w:val="Extracto"/>
      </w:pPr>
    </w:p>
    <w:p w14:paraId="38B8AE79"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6578224D" w14:textId="4D40598F" w:rsidR="00A8138F" w:rsidRDefault="00A8138F" w:rsidP="00A8138F">
      <w:pPr>
        <w:pStyle w:val="TextoNormal"/>
      </w:pPr>
    </w:p>
    <w:p w14:paraId="19519C6D" w14:textId="77777777" w:rsidR="00A8138F" w:rsidRDefault="00A8138F" w:rsidP="00A8138F">
      <w:pPr>
        <w:pStyle w:val="TextoNormalCentrado"/>
        <w:keepNext/>
      </w:pPr>
      <w:r>
        <w:t>EN NOMBRE DEL REY</w:t>
      </w:r>
    </w:p>
    <w:p w14:paraId="40A820B2" w14:textId="0CFB21F0" w:rsidR="00A8138F" w:rsidRDefault="00A8138F" w:rsidP="00A8138F">
      <w:pPr>
        <w:pStyle w:val="TextoNormalCentrado"/>
        <w:keepNext/>
      </w:pPr>
    </w:p>
    <w:p w14:paraId="4C4DA7C0" w14:textId="77777777" w:rsidR="00A8138F" w:rsidRDefault="00A8138F" w:rsidP="00A8138F">
      <w:pPr>
        <w:pStyle w:val="TextoNormalCentrado"/>
        <w:keepNext/>
      </w:pPr>
    </w:p>
    <w:p w14:paraId="1034AD77" w14:textId="77777777" w:rsidR="00A8138F" w:rsidRDefault="00A8138F" w:rsidP="00A8138F">
      <w:pPr>
        <w:pStyle w:val="TextoNormal"/>
      </w:pPr>
      <w:r>
        <w:t>la siguiente</w:t>
      </w:r>
    </w:p>
    <w:p w14:paraId="757C40F4" w14:textId="3AD4C920" w:rsidR="00A8138F" w:rsidRDefault="00A8138F" w:rsidP="00A8138F">
      <w:pPr>
        <w:pStyle w:val="TextoNormal"/>
      </w:pPr>
    </w:p>
    <w:p w14:paraId="2A89640C" w14:textId="77777777" w:rsidR="00A8138F" w:rsidRDefault="00A8138F" w:rsidP="00A8138F">
      <w:pPr>
        <w:pStyle w:val="TextoNormalCentrado"/>
        <w:keepNext/>
      </w:pPr>
      <w:r>
        <w:t>SENTENCIA</w:t>
      </w:r>
    </w:p>
    <w:p w14:paraId="476B019C" w14:textId="6F299D6D" w:rsidR="00A8138F" w:rsidRDefault="00A8138F" w:rsidP="00A8138F">
      <w:pPr>
        <w:pStyle w:val="TextoNormalCentrado"/>
        <w:keepNext/>
      </w:pPr>
    </w:p>
    <w:p w14:paraId="417127F5" w14:textId="77777777" w:rsidR="00A8138F" w:rsidRDefault="00A8138F" w:rsidP="00A8138F">
      <w:pPr>
        <w:pStyle w:val="TextoNormal"/>
      </w:pPr>
      <w:r>
        <w:t>En el recurso de amparo núm. 6194-2020, promovido por don Miguel Ángel González Ortiz contra los acuerdos núm. 1/2020, de 22 de octubre, del letrado de la administración de justicia del Juzgado de Primera Instancia núm. 7 de Badajoz (pieza separada por mala fe procesal núm. 1-2020), y de 23 de noviembre de 2020, de la Sala de Gobierno del Tribunal Superior de Justicia de Extremadura, por el que se desestimó el subsiguiente recurso de alzada núm. 2-2020 interpuesto frente al anterior. Ha intervenido el Ministerio Fiscal. Ha sido ponente el magistrado don Juan Carlos Campo Moreno.</w:t>
      </w:r>
    </w:p>
    <w:p w14:paraId="6B066317" w14:textId="78571FF0" w:rsidR="00A8138F" w:rsidRDefault="00A8138F" w:rsidP="00A8138F">
      <w:pPr>
        <w:pStyle w:val="TextoNormal"/>
      </w:pPr>
    </w:p>
    <w:p w14:paraId="17BC98ED" w14:textId="77777777" w:rsidR="00A8138F" w:rsidRDefault="00A8138F" w:rsidP="00A8138F">
      <w:pPr>
        <w:pStyle w:val="TextoNormalNegritaCentrado"/>
        <w:keepNext/>
      </w:pPr>
      <w:r>
        <w:lastRenderedPageBreak/>
        <w:t>I. Antecedentes</w:t>
      </w:r>
    </w:p>
    <w:p w14:paraId="1F8091C5" w14:textId="2264FFF8" w:rsidR="00A8138F" w:rsidRDefault="00A8138F" w:rsidP="00A8138F">
      <w:pPr>
        <w:pStyle w:val="TextoNormalNegritaCentrado"/>
        <w:keepNext/>
      </w:pPr>
    </w:p>
    <w:p w14:paraId="4E656ED1" w14:textId="0AE428B5" w:rsidR="00A8138F" w:rsidRDefault="00A8138F" w:rsidP="00A8138F">
      <w:pPr>
        <w:pStyle w:val="TextoNormal"/>
      </w:pPr>
      <w:r w:rsidRPr="00A8138F">
        <w:rPr>
          <w:rStyle w:val="NumeroAFNegritaCaracter"/>
        </w:rPr>
        <w:t>1</w:t>
      </w:r>
      <w:r>
        <w:t>. Mediante escrito registrado en este tribunal el 15 de diciembre de 2020, don Miguel Ángel González Ortiz, abogado que actúa en su propia defensa representado por la procuradora de los tribunales doña María Esther Martín Castizo, interpuso demanda de amparo contra las resoluciones que se citan en el encabezamiento.</w:t>
      </w:r>
    </w:p>
    <w:p w14:paraId="36C48C8A" w14:textId="77777777" w:rsidR="00A8138F" w:rsidRDefault="00A8138F" w:rsidP="00A8138F">
      <w:pPr>
        <w:pStyle w:val="TextoNormal"/>
      </w:pPr>
    </w:p>
    <w:p w14:paraId="571E737B" w14:textId="77777777" w:rsidR="00A8138F" w:rsidRDefault="00A8138F" w:rsidP="00A8138F">
      <w:pPr>
        <w:pStyle w:val="TextoNormal"/>
      </w:pPr>
      <w:r w:rsidRPr="00A8138F">
        <w:rPr>
          <w:rStyle w:val="NumeroAFNegritaCaracter"/>
        </w:rPr>
        <w:t>2</w:t>
      </w:r>
      <w:r>
        <w:t>. Son antecedentes relevantes que sirven de sustento a la demanda de amparo, según se desprende de la misma, de la documentación que la acompaña, de las actuaciones recibidas y de las alegaciones de las partes, los que a continuación se exponen:</w:t>
      </w:r>
    </w:p>
    <w:p w14:paraId="4CBA8E49" w14:textId="77777777" w:rsidR="00A8138F" w:rsidRDefault="00A8138F" w:rsidP="00A8138F">
      <w:pPr>
        <w:pStyle w:val="TextoNormal"/>
      </w:pPr>
    </w:p>
    <w:p w14:paraId="5281421D" w14:textId="77777777" w:rsidR="00A8138F" w:rsidRDefault="00A8138F" w:rsidP="00A8138F">
      <w:pPr>
        <w:pStyle w:val="TextoNormal"/>
      </w:pPr>
      <w:r>
        <w:t>a) En relación con las afirmaciones incluidas como abogado por quien hoy es demandante de amparo en el recurso de revisión presentado contra el decreto de 21 de septiembre de 2020, por el que resolvió sobre la impugnación de la tasación de costas causadas en el procedimiento ordinario núm. 687-2018, el letrado de la administración de justicia del Juzgado de Primera Instancia núm. 7 de Badajoz, acordó mediante diligencia de ordenación de 8 de octubre de 2020 formar pieza separada de sanciones por mala fe procesal núm. 1-2020 y darle audiencia para que, en el plazo improrrogable de cinco días, pudiese alegar lo que a su derecho conviniese. La incoación del procedimiento vino justificada en que dichas expresiones pudieran “ser constitutivas de una clara falta de respeto a este letrado de la administración de justicia, tipificada en el artículo 553.1 de la LOPJ [Ley Orgánica del Poder Judicial] y susceptible de alguna de las sanciones previstas en el artículo 554 del mismo cuerpo legal, de conformidad con lo establecido en dicho precepto y el artículo 555 de la LOPJ”.</w:t>
      </w:r>
    </w:p>
    <w:p w14:paraId="7502423F" w14:textId="77777777" w:rsidR="00A8138F" w:rsidRDefault="00A8138F" w:rsidP="00A8138F">
      <w:pPr>
        <w:pStyle w:val="TextoNormal"/>
      </w:pPr>
    </w:p>
    <w:p w14:paraId="0BCB4225" w14:textId="77777777" w:rsidR="00A8138F" w:rsidRDefault="00A8138F" w:rsidP="00A8138F">
      <w:pPr>
        <w:pStyle w:val="TextoNormal"/>
      </w:pPr>
      <w:r>
        <w:t>Dichas expresiones, según se recoge en las actuaciones, son las siguientes:</w:t>
      </w:r>
    </w:p>
    <w:p w14:paraId="36106426" w14:textId="77777777" w:rsidR="00A8138F" w:rsidRDefault="00A8138F" w:rsidP="00A8138F">
      <w:pPr>
        <w:pStyle w:val="TextoNormal"/>
      </w:pPr>
    </w:p>
    <w:p w14:paraId="58FA22B2" w14:textId="77777777" w:rsidR="00A8138F" w:rsidRDefault="00A8138F" w:rsidP="00A8138F">
      <w:pPr>
        <w:pStyle w:val="TextoNormal"/>
      </w:pPr>
      <w:r>
        <w:t>“Falla el [letrado de la administración de justicia] en su argumentación y ello porque desconoce el trabajo de letrado totalmente y lo desvalora sin motivo alguno.</w:t>
      </w:r>
    </w:p>
    <w:p w14:paraId="3EE9837D" w14:textId="77777777" w:rsidR="00A8138F" w:rsidRDefault="00A8138F" w:rsidP="00A8138F">
      <w:pPr>
        <w:pStyle w:val="TextoNormal"/>
      </w:pPr>
    </w:p>
    <w:p w14:paraId="2D074D12" w14:textId="77777777" w:rsidR="00A8138F" w:rsidRDefault="00A8138F" w:rsidP="00A8138F">
      <w:pPr>
        <w:pStyle w:val="TextoNormal"/>
      </w:pPr>
      <w:r>
        <w:t>[…]</w:t>
      </w:r>
    </w:p>
    <w:p w14:paraId="6EB65C13" w14:textId="77777777" w:rsidR="00A8138F" w:rsidRDefault="00A8138F" w:rsidP="00A8138F">
      <w:pPr>
        <w:pStyle w:val="TextoNormal"/>
      </w:pPr>
    </w:p>
    <w:p w14:paraId="73E610C3" w14:textId="77777777" w:rsidR="00A8138F" w:rsidRDefault="00A8138F" w:rsidP="00A8138F">
      <w:pPr>
        <w:pStyle w:val="TextoNormal"/>
      </w:pPr>
      <w:r>
        <w:t>Nosotros tenemos una labor comercial, una labor jurídica (la primera demanda de suelo me costó un mes su elaboración) que debe estar actualizada permanentemente y tenemos una responsabilidad con el cliente si hacemos mal nuestro trabajo y despreciar de esta manera todo eso reduciéndolo a la cuarta parte es desconocer y despreciar este trabajo.</w:t>
      </w:r>
    </w:p>
    <w:p w14:paraId="060BCB3B" w14:textId="77777777" w:rsidR="00A8138F" w:rsidRDefault="00A8138F" w:rsidP="00A8138F">
      <w:pPr>
        <w:pStyle w:val="TextoNormal"/>
      </w:pPr>
    </w:p>
    <w:p w14:paraId="364B348E" w14:textId="77777777" w:rsidR="00A8138F" w:rsidRDefault="00A8138F" w:rsidP="00A8138F">
      <w:pPr>
        <w:pStyle w:val="TextoNormal"/>
      </w:pPr>
      <w:r>
        <w:t>El [letrado de la administración de justicia] no tiene en su trabajo labor comercial, la jurídica se limita casi a tareas administrativas y la responsabilidad con el cliente ninguna y sin embargo no le bajan el sueldo, sino que en pandemia, sin trabajar le pagan.</w:t>
      </w:r>
    </w:p>
    <w:p w14:paraId="78240BED" w14:textId="77777777" w:rsidR="00A8138F" w:rsidRDefault="00A8138F" w:rsidP="00A8138F">
      <w:pPr>
        <w:pStyle w:val="TextoNormal"/>
      </w:pPr>
    </w:p>
    <w:p w14:paraId="61A36B40" w14:textId="77777777" w:rsidR="00A8138F" w:rsidRDefault="00A8138F" w:rsidP="00A8138F">
      <w:pPr>
        <w:pStyle w:val="TextoNormal"/>
      </w:pPr>
      <w:r>
        <w:t>¿Y no es repetitivo su trabajo? ¿Cuántas tasaciones de costas iguales hace al año? ¿Cuántas diligencias de ordenación iguales?</w:t>
      </w:r>
    </w:p>
    <w:p w14:paraId="6C65075A" w14:textId="77777777" w:rsidR="00A8138F" w:rsidRDefault="00A8138F" w:rsidP="00A8138F">
      <w:pPr>
        <w:pStyle w:val="TextoNormal"/>
      </w:pPr>
    </w:p>
    <w:p w14:paraId="499A77FF" w14:textId="77777777" w:rsidR="00A8138F" w:rsidRDefault="00A8138F" w:rsidP="00A8138F">
      <w:pPr>
        <w:pStyle w:val="TextoNormal"/>
      </w:pPr>
      <w:r>
        <w:t>¿Qué diría si le bajaran su sueldo a la cuarta parte?</w:t>
      </w:r>
    </w:p>
    <w:p w14:paraId="2D25E4E4" w14:textId="77777777" w:rsidR="00A8138F" w:rsidRDefault="00A8138F" w:rsidP="00A8138F">
      <w:pPr>
        <w:pStyle w:val="TextoNormal"/>
      </w:pPr>
    </w:p>
    <w:p w14:paraId="307C9D5A" w14:textId="77777777" w:rsidR="00A8138F" w:rsidRDefault="00A8138F" w:rsidP="00A8138F">
      <w:pPr>
        <w:pStyle w:val="TextoNormal"/>
      </w:pPr>
      <w:r>
        <w:lastRenderedPageBreak/>
        <w:t>Y su señoría tampoco hace labor comercial, la jurídica sí y además es compleja y debe de estar actualizada, pero no tiene ninguna responsabilidad con el cliente por lo que diga en ellas.</w:t>
      </w:r>
    </w:p>
    <w:p w14:paraId="118758D3" w14:textId="77777777" w:rsidR="00A8138F" w:rsidRDefault="00A8138F" w:rsidP="00A8138F">
      <w:pPr>
        <w:pStyle w:val="TextoNormal"/>
      </w:pPr>
    </w:p>
    <w:p w14:paraId="1D86FAE1" w14:textId="77777777" w:rsidR="00A8138F" w:rsidRDefault="00A8138F" w:rsidP="00A8138F">
      <w:pPr>
        <w:pStyle w:val="TextoNormal"/>
      </w:pPr>
      <w:r>
        <w:t>La sentencias [</w:t>
      </w:r>
      <w:r w:rsidRPr="00A8138F">
        <w:rPr>
          <w:i/>
        </w:rPr>
        <w:t>sic</w:t>
      </w:r>
      <w:r>
        <w:t>] son reflejo de los procedimientos interpuestos por el letrado, por lo que, si se desvalora el trabajo del letrado, también habría que desvalorar el del juez. Y ¿qué le parecería a su señoría que le bajaran el sueldo a la cuarta parte?”.</w:t>
      </w:r>
    </w:p>
    <w:p w14:paraId="3DD2B0F3" w14:textId="77777777" w:rsidR="00A8138F" w:rsidRDefault="00A8138F" w:rsidP="00A8138F">
      <w:pPr>
        <w:pStyle w:val="TextoNormal"/>
      </w:pPr>
    </w:p>
    <w:p w14:paraId="7D2CAFE1" w14:textId="77777777" w:rsidR="00A8138F" w:rsidRDefault="00A8138F" w:rsidP="00A8138F">
      <w:pPr>
        <w:pStyle w:val="TextoNormal"/>
      </w:pPr>
      <w:r>
        <w:t>b) El abogado presentó sus alegaciones mediante escrito de 16 de octubre de 2020. En ellas puso de manifiesto la supuesta falta de competencia del letrado de la administración de justicia para sancionar, por entender que dicha potestad correspondía al juez de la causa, así como la falta de concreción y determinación de las manifestaciones vertidas, supuestamente irrespetuosas.</w:t>
      </w:r>
    </w:p>
    <w:p w14:paraId="3F26221C" w14:textId="77777777" w:rsidR="00A8138F" w:rsidRDefault="00A8138F" w:rsidP="00A8138F">
      <w:pPr>
        <w:pStyle w:val="TextoNormal"/>
      </w:pPr>
    </w:p>
    <w:p w14:paraId="42BF2FA6" w14:textId="77777777" w:rsidR="00A8138F" w:rsidRDefault="00A8138F" w:rsidP="00A8138F">
      <w:pPr>
        <w:pStyle w:val="TextoNormal"/>
      </w:pPr>
      <w:r>
        <w:t>c) Mediante el acuerdo núm. 1/2020, de 22 de octubre, el letrado de la administración de justicia impuso al recurrente una multa de 1000 €. En dicho acuerdo concretó las expresiones en las que consideró que se había cometido la falta de respeto y, tras justificar su competencia para la resolución de la pieza separada, consideró acreditada la infracción y acordó imponer la corrección disciplinaria de multa ya reseñada.</w:t>
      </w:r>
    </w:p>
    <w:p w14:paraId="31EC8233" w14:textId="77777777" w:rsidR="00A8138F" w:rsidRDefault="00A8138F" w:rsidP="00A8138F">
      <w:pPr>
        <w:pStyle w:val="TextoNormal"/>
      </w:pPr>
    </w:p>
    <w:p w14:paraId="2EA4B8A6" w14:textId="77777777" w:rsidR="00A8138F" w:rsidRDefault="00A8138F" w:rsidP="00A8138F">
      <w:pPr>
        <w:pStyle w:val="TextoNormal"/>
      </w:pPr>
      <w:r>
        <w:t>En el acuerdo argumentó también que las expresiones del demandante de amparo sobrepasaban los límites del derecho a la libertad de expresión en el ejercicio del derecho de defensa, poniendo de manifiesto que los letrado de la administración de justicia tienen competencia para imponer sanciones por una infracción del art. 553.1 LOPJ —referida a la actuación forense en que se falta por escrito el respeto debido a los secretarios judiciales— con fundamento en que, según el art. 440 LOPJ, “los letrados de la administración de justicia son funcionarios públicos […] que ejercen sus funciones con carácter de autoridad”, y el art. 555.1 LOPJ declara que “la corrección se impondrá por la autoridad ante la que se sigan las actuaciones”.</w:t>
      </w:r>
    </w:p>
    <w:p w14:paraId="0FD81D6F" w14:textId="77777777" w:rsidR="00A8138F" w:rsidRDefault="00A8138F" w:rsidP="00A8138F">
      <w:pPr>
        <w:pStyle w:val="TextoNormal"/>
      </w:pPr>
    </w:p>
    <w:p w14:paraId="1F0A5A39" w14:textId="77777777" w:rsidR="00A8138F" w:rsidRDefault="00A8138F" w:rsidP="00A8138F">
      <w:pPr>
        <w:pStyle w:val="TextoNormal"/>
      </w:pPr>
      <w:r>
        <w:t>El acuerdo incluye un último párrafo en el que se indica que contra el mismo cabe interponer recurso de audiencia en justicia ante el letrado de la administración de justicia o recurso directo de alzada ante la Sala de Gobierno del Tribunal Superior de Justicia de Extremadura.</w:t>
      </w:r>
    </w:p>
    <w:p w14:paraId="477D141A" w14:textId="77777777" w:rsidR="00A8138F" w:rsidRDefault="00A8138F" w:rsidP="00A8138F">
      <w:pPr>
        <w:pStyle w:val="TextoNormal"/>
      </w:pPr>
    </w:p>
    <w:p w14:paraId="67EEC9B0" w14:textId="77777777" w:rsidR="00A8138F" w:rsidRDefault="00A8138F" w:rsidP="00A8138F">
      <w:pPr>
        <w:pStyle w:val="TextoNormal"/>
      </w:pPr>
      <w:r>
        <w:t>d) Frente a dicho acuerdo sancionador el demandante de amparo presentó directamente recurso de alzada ante la Sala de Gobierno del Tribunal Superior de Justicia de Extremadura, en el que alegó la vulneración de su derecho a la tutela judicial efectiva y a la libertad de expresión (arts. 24 y 20 CE, respectivamente).</w:t>
      </w:r>
    </w:p>
    <w:p w14:paraId="28F7707D" w14:textId="77777777" w:rsidR="00A8138F" w:rsidRDefault="00A8138F" w:rsidP="00A8138F">
      <w:pPr>
        <w:pStyle w:val="TextoNormal"/>
      </w:pPr>
    </w:p>
    <w:p w14:paraId="7FDE9BB6" w14:textId="236B5BDB" w:rsidR="00A8138F" w:rsidRDefault="00A8138F" w:rsidP="00A8138F">
      <w:pPr>
        <w:pStyle w:val="TextoNormal"/>
      </w:pPr>
      <w:r>
        <w:t>El 30 de octubre siguiente, el letrado de la administración de justicia emitió el informe legalmente preceptivo en el que contestó y rebatió las razones expresadas en el recurso. La Sala de Gobierno resolvió la alzada en la sesión celebrada el 23 de noviembre de 2020, tras asumir la propuesta de la magistrada ponente y su fundamentación, por lo que desestimó el recurso y confirmó íntegramente el acuerdo inicial. Ni en el acuerdo ni en su notificación se incluye indicación alguna del eventual régimen de recursos o su firmeza.</w:t>
      </w:r>
    </w:p>
    <w:p w14:paraId="3791B81C" w14:textId="77777777" w:rsidR="00A8138F" w:rsidRDefault="00A8138F" w:rsidP="00A8138F">
      <w:pPr>
        <w:pStyle w:val="TextoNormal"/>
      </w:pPr>
    </w:p>
    <w:p w14:paraId="7C4DEE7B" w14:textId="77777777" w:rsidR="00A8138F" w:rsidRDefault="00A8138F" w:rsidP="00A8138F">
      <w:pPr>
        <w:pStyle w:val="TextoNormal"/>
      </w:pPr>
      <w:r w:rsidRPr="00A8138F">
        <w:rPr>
          <w:rStyle w:val="NumeroAFNegritaCaracter"/>
        </w:rPr>
        <w:lastRenderedPageBreak/>
        <w:t>3</w:t>
      </w:r>
      <w:r>
        <w:t>. El demandante de amparo solicita que, previa declaración de vulneración de sus derechos a la tutela judicial efectiva y/o a la libertad de expresión, se estime su recurso declarándose la nulidad del acuerdo sancionador 1/2020, de 22 de octubre, ratificado por la Sala de Gobierno del Tribunal Superior de Justicia de Extremadura en posterior decisión de 23 de noviembre de 2020.</w:t>
      </w:r>
    </w:p>
    <w:p w14:paraId="54A860A4" w14:textId="77777777" w:rsidR="00A8138F" w:rsidRDefault="00A8138F" w:rsidP="00A8138F">
      <w:pPr>
        <w:pStyle w:val="TextoNormal"/>
      </w:pPr>
    </w:p>
    <w:p w14:paraId="01331289" w14:textId="77777777" w:rsidR="00A8138F" w:rsidRDefault="00A8138F" w:rsidP="00A8138F">
      <w:pPr>
        <w:pStyle w:val="TextoNormal"/>
      </w:pPr>
      <w:r>
        <w:t>Alega el recurrente que la sanción que le fue impuesta vulnera la libertad de expresión en el ejercicio del derecho de defensa (arts. 20.1 y 24.2 CE), y el derecho a la tutela judicial efectiva “en todas sus vertientes” (art. 24.1 y 2 CE), lo que fundamenta con las siguientes alegaciones:</w:t>
      </w:r>
    </w:p>
    <w:p w14:paraId="772E607D" w14:textId="77777777" w:rsidR="00A8138F" w:rsidRDefault="00A8138F" w:rsidP="00A8138F">
      <w:pPr>
        <w:pStyle w:val="TextoNormal"/>
      </w:pPr>
    </w:p>
    <w:p w14:paraId="34CA67A5" w14:textId="77777777" w:rsidR="00A8138F" w:rsidRDefault="00A8138F" w:rsidP="00A8138F">
      <w:pPr>
        <w:pStyle w:val="TextoNormal"/>
      </w:pPr>
      <w:r>
        <w:t>(i) En relación con el derecho al juez predeterminado por la ley afirma que, según la dicción del art. 555.1 LOPJ, la potestad sancionadora en el contexto de la policía de estrados la tiene atribuida “la autoridad ante la que se sigan las actuaciones”; por ello, en tanto el recurso de revisión que contiene las expresiones que han dado lugar a su sanción iba dirigido al juez del caso, la posibilidad de corregirle correspondía al propio juzgador civil que dirimía el litigio principal.</w:t>
      </w:r>
    </w:p>
    <w:p w14:paraId="46E68154" w14:textId="77777777" w:rsidR="00A8138F" w:rsidRDefault="00A8138F" w:rsidP="00A8138F">
      <w:pPr>
        <w:pStyle w:val="TextoNormal"/>
      </w:pPr>
    </w:p>
    <w:p w14:paraId="3E67054F" w14:textId="77777777" w:rsidR="00A8138F" w:rsidRDefault="00A8138F" w:rsidP="00A8138F">
      <w:pPr>
        <w:pStyle w:val="TextoNormal"/>
      </w:pPr>
      <w:r>
        <w:t>(ii) Señala que el letrado de la administración de justicia no es ajeno al conflicto que dirimió, dado que era el supuestamente agraviado en el escrito de recurso; de ello deduce que, al ser parte interesada, se constituye en juez y parte, lo que viene vedado por el contenido del derecho a un juez imparcial que debe presidir la actuación de cualquier autoridad sancionadora.</w:t>
      </w:r>
    </w:p>
    <w:p w14:paraId="64ED26E4" w14:textId="77777777" w:rsidR="00A8138F" w:rsidRDefault="00A8138F" w:rsidP="00A8138F">
      <w:pPr>
        <w:pStyle w:val="TextoNormal"/>
      </w:pPr>
    </w:p>
    <w:p w14:paraId="42CDF7BB" w14:textId="77777777" w:rsidR="00A8138F" w:rsidRDefault="00A8138F" w:rsidP="00A8138F">
      <w:pPr>
        <w:pStyle w:val="TextoNormal"/>
      </w:pPr>
      <w:r>
        <w:t xml:space="preserve">(iii) Denuncia que se ha vulnerado su derecho a la tutela judicial efectiva, en tanto le garantiza ser debida y específicamente informado de la acusación: aduce que no fueron concretados </w:t>
      </w:r>
      <w:r w:rsidRPr="00A8138F">
        <w:rPr>
          <w:i/>
        </w:rPr>
        <w:t>ab initio</w:t>
      </w:r>
      <w:r>
        <w:t>, cuando se le dio trámite para alegaciones, las expresiones incluidas en el escrito de recurso que justificaban la apertura del expediente disciplinario.</w:t>
      </w:r>
    </w:p>
    <w:p w14:paraId="55971674" w14:textId="77777777" w:rsidR="00A8138F" w:rsidRDefault="00A8138F" w:rsidP="00A8138F">
      <w:pPr>
        <w:pStyle w:val="TextoNormal"/>
      </w:pPr>
    </w:p>
    <w:p w14:paraId="33706FA2" w14:textId="77777777" w:rsidR="00A8138F" w:rsidRDefault="00A8138F" w:rsidP="00A8138F">
      <w:pPr>
        <w:pStyle w:val="TextoNormal"/>
      </w:pPr>
      <w:r>
        <w:t>(iv) Por último, alega su derecho a la libertad de expresión en ejercicio del derecho de defensa [arts. 20.1 a) y 24 CE], destacando que las alegaciones por las que ha sido sancionado son normal ejercicio de su derecho de defensa, se encuentran relacionadas con la discrepancia expresada en la revisión y, dado su carácter genérico, no se personalizan en el letrado de administración de justicia del caso. A partir de esta consideración, afirma el demandante que la sanción impuesta (máxima de las legalmente posibles) deviene insuficientemente motivada en su cuantía y desproporcionada en relación con sus ingresos y a la entidad de la infracción que le es imputada, además de que ha sido impuesta sin audiencia previa sobre la posibilidad de imponerle una corrección de tal entidad. Añade que la Ley Orgánica del Poder Judicial remite a las sanciones previstas para las faltas y, al haber estas quedado derogadas, no hay previsión legal alguna que ampare la decisión sancionatoria cuestionada.</w:t>
      </w:r>
    </w:p>
    <w:p w14:paraId="2C70CF15" w14:textId="77777777" w:rsidR="00A8138F" w:rsidRDefault="00A8138F" w:rsidP="00A8138F">
      <w:pPr>
        <w:pStyle w:val="TextoNormal"/>
      </w:pPr>
    </w:p>
    <w:p w14:paraId="1DD9D7DE" w14:textId="77777777" w:rsidR="00A8138F" w:rsidRDefault="00A8138F" w:rsidP="00A8138F">
      <w:pPr>
        <w:pStyle w:val="TextoNormal"/>
      </w:pPr>
      <w:r>
        <w:t>En la demanda se afirma que el recurso de amparo presenta especial transcendencia constitucional porque trasciende del caso concreto al cuestionar, en el contexto en que ha sido ejercida en el presente caso, la potestad sancionadora de los letrados de la administración justicia.</w:t>
      </w:r>
    </w:p>
    <w:p w14:paraId="7F1C4D76" w14:textId="77777777" w:rsidR="00A8138F" w:rsidRDefault="00A8138F" w:rsidP="00A8138F">
      <w:pPr>
        <w:pStyle w:val="TextoNormal"/>
      </w:pPr>
    </w:p>
    <w:p w14:paraId="7311FDBF" w14:textId="7BD492A3" w:rsidR="00A8138F" w:rsidRDefault="00A8138F" w:rsidP="00A8138F">
      <w:pPr>
        <w:pStyle w:val="TextoNormal"/>
      </w:pPr>
      <w:r>
        <w:lastRenderedPageBreak/>
        <w:t>Por medio de otrosí el demandante solicitó la suspensión cautelar de los acuerdos impugnados.</w:t>
      </w:r>
    </w:p>
    <w:p w14:paraId="1CA8603A" w14:textId="77777777" w:rsidR="00A8138F" w:rsidRDefault="00A8138F" w:rsidP="00A8138F">
      <w:pPr>
        <w:pStyle w:val="TextoNormal"/>
      </w:pPr>
    </w:p>
    <w:p w14:paraId="25A65714" w14:textId="77777777" w:rsidR="00A8138F" w:rsidRDefault="00A8138F" w:rsidP="00A8138F">
      <w:pPr>
        <w:pStyle w:val="TextoNormal"/>
      </w:pPr>
      <w:r w:rsidRPr="00A8138F">
        <w:rPr>
          <w:rStyle w:val="NumeroAFNegritaCaracter"/>
        </w:rPr>
        <w:t>4</w:t>
      </w:r>
      <w:r>
        <w:t>. La Sección Segunda de la Sala Primera de este tribunal acordó la admisión a trámite del recurso de amparo por providencia de 13 de diciembre de 2021, apreciando que concurre en él una especial trascendencia constitucional porque plantea un problema o afecta a una faceta de un derecho fundamental sobre el que no hay doctrina de este tribunal [STC 155/2009, de 25 de junio, FJ 2 a)]; y, asimismo, puede darle ocasión para aclarar o cambiar su doctrina como consecuencia de un proceso de reflexión interna [STC 155/2009, FJ 2 b)].</w:t>
      </w:r>
    </w:p>
    <w:p w14:paraId="0ED898C3" w14:textId="77777777" w:rsidR="00A8138F" w:rsidRDefault="00A8138F" w:rsidP="00A8138F">
      <w:pPr>
        <w:pStyle w:val="TextoNormal"/>
      </w:pPr>
    </w:p>
    <w:p w14:paraId="0DB2E1F5" w14:textId="29D65B1B" w:rsidR="00A8138F" w:rsidRDefault="00A8138F" w:rsidP="00A8138F">
      <w:pPr>
        <w:pStyle w:val="TextoNormal"/>
      </w:pPr>
      <w:r>
        <w:t>En aplicación de lo dispuesto por el art. 51 de la Ley Orgánica del Tribunal Constitucional (LOTC), resolvió requerir atentamente del órgano judicial y de la Sala de Gobierno del Tribunal Superior de Justicia de Extremadura la remisión de certificación o fotocopia adverada de las actuaciones y, además, el emplazamiento de quienes hubieran sido parte en el procedimiento, a excepción del recurrente, para que, en el plazo de diez días, pudiesen comparecer en el presente proceso de amparo.</w:t>
      </w:r>
    </w:p>
    <w:p w14:paraId="6DF4E1D1" w14:textId="77777777" w:rsidR="00A8138F" w:rsidRDefault="00A8138F" w:rsidP="00A8138F">
      <w:pPr>
        <w:pStyle w:val="TextoNormal"/>
      </w:pPr>
    </w:p>
    <w:p w14:paraId="094C7E42" w14:textId="157B952F" w:rsidR="00A8138F" w:rsidRDefault="00A8138F" w:rsidP="00A8138F">
      <w:pPr>
        <w:pStyle w:val="TextoNormal"/>
      </w:pPr>
      <w:r w:rsidRPr="00A8138F">
        <w:rPr>
          <w:rStyle w:val="NumeroAFNegritaCaracter"/>
        </w:rPr>
        <w:t>5</w:t>
      </w:r>
      <w:r>
        <w:t>. La Secretaría de Justicia de la Sala Primera del Tribunal, por diligencia de ordenación de 4 de enero de 2022, acordó dar vista de las actuaciones al Ministerio Fiscal y a la parte recurrente por un plazo común de veinte días para presentar las alegaciones que estimasen pertinentes (art. 52.1 LOTC).</w:t>
      </w:r>
    </w:p>
    <w:p w14:paraId="29482AD5" w14:textId="77777777" w:rsidR="00A8138F" w:rsidRDefault="00A8138F" w:rsidP="00A8138F">
      <w:pPr>
        <w:pStyle w:val="TextoNormal"/>
      </w:pPr>
    </w:p>
    <w:p w14:paraId="21C114E1" w14:textId="074AB1B1" w:rsidR="00A8138F" w:rsidRDefault="00A8138F" w:rsidP="00A8138F">
      <w:pPr>
        <w:pStyle w:val="TextoNormal"/>
      </w:pPr>
      <w:r w:rsidRPr="00A8138F">
        <w:rPr>
          <w:rStyle w:val="NumeroAFNegritaCaracter"/>
        </w:rPr>
        <w:t>6</w:t>
      </w:r>
      <w:r>
        <w:t>. Una vez oídas las partes personadas, la pretensión de suspensión cautelar de los acuerdos recurridos en amparo que había sido instada por el demandante fue desestimada mediante el ATC 33/2022, de 7 de febrero.</w:t>
      </w:r>
    </w:p>
    <w:p w14:paraId="36F06073" w14:textId="77777777" w:rsidR="00A8138F" w:rsidRDefault="00A8138F" w:rsidP="00A8138F">
      <w:pPr>
        <w:pStyle w:val="TextoNormal"/>
      </w:pPr>
    </w:p>
    <w:p w14:paraId="25E83EC7" w14:textId="59BD2ED5" w:rsidR="00A8138F" w:rsidRDefault="00A8138F" w:rsidP="00A8138F">
      <w:pPr>
        <w:pStyle w:val="TextoNormal"/>
      </w:pPr>
      <w:r w:rsidRPr="00A8138F">
        <w:rPr>
          <w:rStyle w:val="NumeroAFNegritaCaracter"/>
        </w:rPr>
        <w:t>7</w:t>
      </w:r>
      <w:r>
        <w:t>. En escrito registrado el 16 de febrero de 2022, la representación procesal del recurrente dio por reproducidas las alegaciones formuladas en la demanda.</w:t>
      </w:r>
    </w:p>
    <w:p w14:paraId="16A7D062" w14:textId="77777777" w:rsidR="00A8138F" w:rsidRDefault="00A8138F" w:rsidP="00A8138F">
      <w:pPr>
        <w:pStyle w:val="TextoNormal"/>
      </w:pPr>
    </w:p>
    <w:p w14:paraId="353C0F94" w14:textId="77777777" w:rsidR="00A8138F" w:rsidRDefault="00A8138F" w:rsidP="00A8138F">
      <w:pPr>
        <w:pStyle w:val="TextoNormal"/>
      </w:pPr>
      <w:r w:rsidRPr="00A8138F">
        <w:rPr>
          <w:rStyle w:val="NumeroAFNegritaCaracter"/>
        </w:rPr>
        <w:t>8</w:t>
      </w:r>
      <w:r>
        <w:t>. La representante del Ministerio Fiscal formuló alegaciones en escrito registrado el 25 de febrero de 2022. En él interesa la estimación del recurso de amparo por entender que ha sido vulnerado el derecho fundamental a la tutela judicial efectiva, debido a la falta de competencia del órgano sancionador, así como por la vulneración del derecho a la libertad de expresión; en consecuencia, solicita la declaración de nulidad de los acuerdos impugnados.</w:t>
      </w:r>
    </w:p>
    <w:p w14:paraId="7E72DA5B" w14:textId="77777777" w:rsidR="00A8138F" w:rsidRDefault="00A8138F" w:rsidP="00A8138F">
      <w:pPr>
        <w:pStyle w:val="TextoNormal"/>
      </w:pPr>
    </w:p>
    <w:p w14:paraId="78153271" w14:textId="77777777" w:rsidR="00A8138F" w:rsidRDefault="00A8138F" w:rsidP="00A8138F">
      <w:pPr>
        <w:pStyle w:val="TextoNormal"/>
      </w:pPr>
      <w:r>
        <w:t>Expresados en síntesis, desarrolla los siguientes argumentos en relación con la pretensión de amparo ejercitada:</w:t>
      </w:r>
    </w:p>
    <w:p w14:paraId="201345FD" w14:textId="77777777" w:rsidR="00A8138F" w:rsidRDefault="00A8138F" w:rsidP="00A8138F">
      <w:pPr>
        <w:pStyle w:val="TextoNormal"/>
      </w:pPr>
    </w:p>
    <w:p w14:paraId="626A4ED4" w14:textId="77777777" w:rsidR="00A8138F" w:rsidRDefault="00A8138F" w:rsidP="00A8138F">
      <w:pPr>
        <w:pStyle w:val="TextoNormal"/>
      </w:pPr>
      <w:r>
        <w:t>a) Sin plantearlo directamente como causa de inadmisión, expresa dudas sobre el debido agotamiento de la vía judicial previa por parte del recurrente. Considera que la respuesta a esta cuestión viene condicionada por la que se dé a la cuestión de inconstitucionalidad núm. 6596-2021 (resuelta posteriormente por la STC 12/2025, de 15 de enero) que fue planteada por la Sala Segunda de este tribunal en el recurso de amparo núm. 4986-2016 (ya resuelto por la STC 13/2025, de 27 de enero). Para la fiscal, en la medida en que únicamente se intentó el recurso de alzada ante la Sala de Gobierno del Tribunal Superior de Justicia de Extremadura, podría o no haberse agotado la vía judicial, por no haber acudido el demandante a la jurisdicción contencioso-administrativa a cuestionar la sanción impuesta, en fun</w:t>
      </w:r>
      <w:r>
        <w:lastRenderedPageBreak/>
        <w:t>ción de si se declarase que el ejercicio de la potestad de corrección disciplinaria prevista en la Ley Orgánica del Poder Judicial tiene o no naturaleza jurisdiccional. En relación con el resto de los requisitos de procedibilidad del recurso de amparo, aprecia que han sido debidamente cumplidos.</w:t>
      </w:r>
    </w:p>
    <w:p w14:paraId="113135B4" w14:textId="77777777" w:rsidR="00A8138F" w:rsidRDefault="00A8138F" w:rsidP="00A8138F">
      <w:pPr>
        <w:pStyle w:val="TextoNormal"/>
      </w:pPr>
    </w:p>
    <w:p w14:paraId="24DD5CCB" w14:textId="77777777" w:rsidR="00A8138F" w:rsidRDefault="00A8138F" w:rsidP="00A8138F">
      <w:pPr>
        <w:pStyle w:val="TextoNormal"/>
      </w:pPr>
      <w:r>
        <w:t>b) Para la fiscal, el recurrente ha basado su recurso en la alegada la vulneración del derecho a la tutela judicial efectiva en relación con diversas garantías procesales reconocidas en el art. 24.2 CE, concretamente el derecho al juez predeterminado por la ley (por falta de competencia sancionadora del letrado de la administración de justicia, dado que el recurso de revisión se presentó ante el juez del caso) y del derecho a un juez imparcial, lesión que asocia al hecho de haber sido iniciado, tramitado y resuelto por quien se consideraba agraviado por las expresiones identificadas como irrespetuosas. Destaca, además, que el recurrente denuncia no haber conocido suficientemente los hechos que se le imputan, pues solo habrían sido debidamente concretados en la inicial decisión sancionatoria.</w:t>
      </w:r>
    </w:p>
    <w:p w14:paraId="637A56B9" w14:textId="77777777" w:rsidR="00A8138F" w:rsidRDefault="00A8138F" w:rsidP="00A8138F">
      <w:pPr>
        <w:pStyle w:val="TextoNormal"/>
      </w:pPr>
    </w:p>
    <w:p w14:paraId="4FB31D68" w14:textId="77777777" w:rsidR="00A8138F" w:rsidRDefault="00A8138F" w:rsidP="00A8138F">
      <w:pPr>
        <w:pStyle w:val="TextoNormal"/>
      </w:pPr>
      <w:r>
        <w:t>Desde un punto sustantivo, identifica como vulneraciones alegadas las del derecho a la libertad de expresión y al derecho de defensa, en tanto el recurrente afirma que su escrito de revisión fue formulado en estrictos términos de defensa, en abstracto, y con relación al motivo de impugnación planteado al pedir al juez la revisión de la decisión sobre costas adoptada por el letrado de la administración de justicia.</w:t>
      </w:r>
    </w:p>
    <w:p w14:paraId="1FA78151" w14:textId="77777777" w:rsidR="00A8138F" w:rsidRDefault="00A8138F" w:rsidP="00A8138F">
      <w:pPr>
        <w:pStyle w:val="TextoNormal"/>
      </w:pPr>
    </w:p>
    <w:p w14:paraId="7AD1CCC0" w14:textId="77777777" w:rsidR="00A8138F" w:rsidRDefault="00A8138F" w:rsidP="00A8138F">
      <w:pPr>
        <w:pStyle w:val="TextoNormal"/>
      </w:pPr>
      <w:r>
        <w:t>c) Inicia la fiscal sus alegaciones señalando que, en aplicación de la doctrina expuesta en la STC 15/2020, de 28 de enero, FFJJ 2 y 3, por existir reserva jurisdiccional, la atribución legal de competencia sancionadora a los letrados de la administración de justicia pudiera ser contraria al art. 24.1 CE puesto en relación con el art. 117 CE, alegación esta que entonces constituía el objeto no resuelto de la cuestión de inconstitucionalidad núm. 6596-2021.</w:t>
      </w:r>
    </w:p>
    <w:p w14:paraId="3017003D" w14:textId="77777777" w:rsidR="00A8138F" w:rsidRDefault="00A8138F" w:rsidP="00A8138F">
      <w:pPr>
        <w:pStyle w:val="TextoNormal"/>
      </w:pPr>
    </w:p>
    <w:p w14:paraId="74C43E82" w14:textId="77777777" w:rsidR="00A8138F" w:rsidRDefault="00A8138F" w:rsidP="00A8138F">
      <w:pPr>
        <w:pStyle w:val="TextoNormal"/>
      </w:pPr>
      <w:r>
        <w:t>No obstante esta protesta, señala que “dado que las expresiones supuestamente vulneradoras del respeto debido, se producen en el escrito del recurso de revisión contra el decreto [dictado por el] letrado de la administración de justicia en el procedimiento de tasación de costas, acto que, como hemos visto también tiene naturaleza jurisdiccional y cuya competencia para su resolución le corresponde al juez de primera instancia”, el letrado de la administración de justicia carecería de legitimidad para la incoación del expediente de corrección disciplinaria, por no tratarse de “la autoridad ante la que se sigue el procedimiento”, como exige el art. 555 LOPJ. Razón esta por la que procede estimar el primer motivo de amparo y acordar la nulidad de los actos recurridos.</w:t>
      </w:r>
    </w:p>
    <w:p w14:paraId="168B92CD" w14:textId="77777777" w:rsidR="00A8138F" w:rsidRDefault="00A8138F" w:rsidP="00A8138F">
      <w:pPr>
        <w:pStyle w:val="TextoNormal"/>
      </w:pPr>
    </w:p>
    <w:p w14:paraId="32344F87" w14:textId="77777777" w:rsidR="00A8138F" w:rsidRDefault="00A8138F" w:rsidP="00A8138F">
      <w:pPr>
        <w:pStyle w:val="TextoNormal"/>
      </w:pPr>
      <w:r>
        <w:t xml:space="preserve">d) Subsidiariamente, en relación con el resto de los motivos de amparo, añade que: (i) no se ha vulnerado la garantía de imparcialidad, dada la naturaleza directa, sin fase de investigación, de la potestad correctora, por lo que ha de ser competente para sancionar la propia autoridad ante la que se produzca la infracción imputada (STC 197/2004, de 15 de noviembre, FJ 4); (ii) tampoco aprecia que al letrado recurrente no le hayan sido suficientemente concretados los hechos que motivaban la apertura del expediente sancionador “habida cuenta de que el propio recurrente es el autor del escrito en el que se contienen las expresiones consideradas irrespetuosas, por lo que es necesariamente conocedor de su contenido, sin que podamos considerar que se le ha causado una efectiva indefensión”; (iii) no comparte la alegada vulneración de los principios de legalidad y proporcionalidad de las sanciones, dado que la conducta sancionable y la sanción imponible aparecen recogidas en la Ley </w:t>
      </w:r>
      <w:r>
        <w:lastRenderedPageBreak/>
        <w:t>Orgánica del Poder Judicial, con una remisión suficiente a las previsiones del Código penal donde se fija el límite máximo de la sanción de multa en los delitos leves, límite que, en el caso concreto, fue respetado en el acuerdo sancionador del letrado de la administración de justicia ratificado por la Sala de Gobierno; y (iv) por último, considera la fiscal que, a partir del contexto de ejercicio del derecho de defensa en el que se vierten las expresiones consideradas irrespetuosas e innecesarias, “las expresiones mencionadas no constituyen un exceso que sobrepase el límite del ejercicio del derecho a la libertad de expresión, que sean innecesarias o marcadas por un ánimo vejatorio o de menosprecio a la actividad de la institución” dado que “tienen relación directa con la pretensión deducida, y [han sido incluidas] en apoyo para discrepar de su decisión”.</w:t>
      </w:r>
    </w:p>
    <w:p w14:paraId="566B1EFC" w14:textId="77777777" w:rsidR="00A8138F" w:rsidRDefault="00A8138F" w:rsidP="00A8138F">
      <w:pPr>
        <w:pStyle w:val="TextoNormal"/>
      </w:pPr>
    </w:p>
    <w:p w14:paraId="6490E638" w14:textId="2982DCE3" w:rsidR="00A8138F" w:rsidRDefault="00A8138F" w:rsidP="00A8138F">
      <w:pPr>
        <w:pStyle w:val="TextoNormal"/>
      </w:pPr>
      <w:r>
        <w:t>Por todo lo expuesto, la fiscal solicita que se otorgue el amparo solicitado, se declare que ha sido vulnerado el derecho fundamental a la tutela judicial efectiva (art. 24.1 CE), con reconocimiento de tal derecho por haberse dictado el acto sancionador por un órgano carente de competencia; así como por vulneración del derecho a la libertad de expresión del art. 20 CE, conectada con el derecho de defensa reconocido en el art. 24 CE. Para su reparación, la fiscal solicita la nulidad de lo actuado en el expediente gubernativo dejando sin efecto la sanción impuesta.</w:t>
      </w:r>
    </w:p>
    <w:p w14:paraId="48690211" w14:textId="77777777" w:rsidR="00A8138F" w:rsidRDefault="00A8138F" w:rsidP="00A8138F">
      <w:pPr>
        <w:pStyle w:val="TextoNormal"/>
      </w:pPr>
    </w:p>
    <w:p w14:paraId="19E0D22B" w14:textId="60EB78FC" w:rsidR="00A8138F" w:rsidRDefault="00A8138F" w:rsidP="00A8138F">
      <w:pPr>
        <w:pStyle w:val="TextoNormal"/>
      </w:pPr>
      <w:r w:rsidRPr="00A8138F">
        <w:rPr>
          <w:rStyle w:val="NumeroAFNegritaCaracter"/>
        </w:rPr>
        <w:t>9</w:t>
      </w:r>
      <w:r>
        <w:t>. Por providencia de 3 de abril de 2025 se señaló para deliberación y votación de la presente sentencia el día 7 del mismo mes y año.</w:t>
      </w:r>
    </w:p>
    <w:p w14:paraId="7CA9D611" w14:textId="77777777" w:rsidR="00A8138F" w:rsidRDefault="00A8138F" w:rsidP="00A8138F">
      <w:pPr>
        <w:pStyle w:val="TextoNormal"/>
      </w:pPr>
    </w:p>
    <w:p w14:paraId="07C54614" w14:textId="77777777" w:rsidR="00A8138F" w:rsidRDefault="00A8138F" w:rsidP="00A8138F">
      <w:pPr>
        <w:pStyle w:val="TextoNormalNegritaCentrado"/>
        <w:keepNext/>
      </w:pPr>
      <w:r>
        <w:t>II. Fundamentos jurídicos</w:t>
      </w:r>
    </w:p>
    <w:p w14:paraId="2CCC1DD1" w14:textId="2DA0AACD" w:rsidR="00A8138F" w:rsidRDefault="00A8138F" w:rsidP="00A8138F">
      <w:pPr>
        <w:pStyle w:val="TextoNormalNegritaCentrado"/>
        <w:keepNext/>
      </w:pPr>
    </w:p>
    <w:p w14:paraId="76C58694"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3E720D6D" w14:textId="77777777" w:rsidR="00A8138F" w:rsidRDefault="00A8138F" w:rsidP="00A8138F">
      <w:pPr>
        <w:pStyle w:val="TextoNormal"/>
      </w:pPr>
    </w:p>
    <w:p w14:paraId="322709F2" w14:textId="77777777" w:rsidR="00A8138F" w:rsidRDefault="00A8138F" w:rsidP="00A8138F">
      <w:pPr>
        <w:pStyle w:val="TextoNormal"/>
      </w:pPr>
      <w:r>
        <w:t>Como con más detalle se ha recogido en los antecedentes, es objeto del presente recurso de amparo el acuerdo disciplinario por el que, en ejercicio de la potestad correctora que reconoce la policía de estrados (art. 555.1 LOPJ), el letrado de la administración de justicia del Juzgado de Primera Instancia núm. 7, de Badajoz, impuso al demandante, en su condición de abogado, una multa de 1000 €, tras considerar que había incurrido en una falta de respeto al ejercicio de su función procesal como consecuencia de las expresiones vertidas en un escrito por el que solicitó la revisión judicial del decreto del letrado de la administración de justicia que resolvió sobre la impugnación por excesivos de los honorarios profesionales presentados en la tasación de costas causadas en un juicio ordinario civil. La impugnación se extiende al subsiguiente acuerdo por el que, la Sala de Gobierno del Tribunal Superior de Justicia de Extremadura, ratificó íntegramente dicha sanción en alzada.</w:t>
      </w:r>
    </w:p>
    <w:p w14:paraId="2CDFD736" w14:textId="77777777" w:rsidR="00A8138F" w:rsidRDefault="00A8138F" w:rsidP="00A8138F">
      <w:pPr>
        <w:pStyle w:val="TextoNormal"/>
      </w:pPr>
    </w:p>
    <w:p w14:paraId="5159178F" w14:textId="77777777" w:rsidR="00A8138F" w:rsidRDefault="00A8138F" w:rsidP="00A8138F">
      <w:pPr>
        <w:pStyle w:val="TextoNormal"/>
      </w:pPr>
      <w:r>
        <w:t>a) Entiende el demandante que, en su caso concreto, se ha producido la vulneración de diversos derechos fundamentales: (i) del derecho a la tutela judicial efectiva en varias vertientes, por iniciarse, tramitarse y resolverse un procedimiento sancionador por alguien que es parte interesada en su resolución, en tanto que supuesto agraviado, vulnerando de esta forma el principio de imparcialidad que debe presidir toda actuación jurisdiccional (</w:t>
      </w:r>
      <w:r w:rsidRPr="00A8138F">
        <w:rPr>
          <w:i/>
        </w:rPr>
        <w:t>sic</w:t>
      </w:r>
      <w:r>
        <w:t xml:space="preserve">), resultando además que dicha persona no es la predeterminada por la ley para dictar la resolución y no tiene competencias legales al efecto, habiendo dictado una resolución sin motivación suficiente y desproporcionada para las circunstancias del caso y, (ii) en cuanto al </w:t>
      </w:r>
      <w:r>
        <w:lastRenderedPageBreak/>
        <w:t>fondo de la decisión, del derecho a la libertad de expresión en el ejercicio del derecho de defensa (arts. 20.1 y 24 CE).</w:t>
      </w:r>
    </w:p>
    <w:p w14:paraId="5D5B96EE" w14:textId="77777777" w:rsidR="00A8138F" w:rsidRDefault="00A8138F" w:rsidP="00A8138F">
      <w:pPr>
        <w:pStyle w:val="TextoNormal"/>
      </w:pPr>
    </w:p>
    <w:p w14:paraId="2630CD1E" w14:textId="77777777" w:rsidR="00A8138F" w:rsidRDefault="00A8138F" w:rsidP="00A8138F">
      <w:pPr>
        <w:pStyle w:val="TextoNormal"/>
      </w:pPr>
      <w:r>
        <w:t>b) En sus alegaciones, la representante del Ministerio Fiscal ha destacado la conexión que el presente recurso de amparo presenta con la cuestión interna de inconstitucionalidad que, sobre la potestad sancionadora reconocida a los letrados de la administración de justicia en los arts. 555.1 y 556 LOPJ, había sido planteada por la Sala Segunda de este tribunal en el ATC 76/2021, de 13 de septiembre. Dicha relación procesal le lleva a formular dos consideraciones:</w:t>
      </w:r>
    </w:p>
    <w:p w14:paraId="74B55071" w14:textId="77777777" w:rsidR="00A8138F" w:rsidRDefault="00A8138F" w:rsidP="00A8138F">
      <w:pPr>
        <w:pStyle w:val="TextoNormal"/>
      </w:pPr>
    </w:p>
    <w:p w14:paraId="4773E8E0" w14:textId="77777777" w:rsidR="00A8138F" w:rsidRDefault="00A8138F" w:rsidP="00A8138F">
      <w:pPr>
        <w:pStyle w:val="TextoNormal"/>
      </w:pPr>
      <w:r>
        <w:t>De una parte, aunque no plantea expresamente una objeción de procedibilidad por dicho motivo, la reseñada conexión procesal le hizo expresar dudas sobre si el recurrente llegó o no agotar debidamente la vía judicial previa por no acudir a la vía jurisdiccional contencioso-administrativa, lo que dependería de la naturaleza jurídica que se atribuya a la facultad disciplinaria cuestionada.</w:t>
      </w:r>
    </w:p>
    <w:p w14:paraId="2217826C" w14:textId="77777777" w:rsidR="00A8138F" w:rsidRDefault="00A8138F" w:rsidP="00A8138F">
      <w:pPr>
        <w:pStyle w:val="TextoNormal"/>
      </w:pPr>
    </w:p>
    <w:p w14:paraId="0AB3B21F" w14:textId="77777777" w:rsidR="00A8138F" w:rsidRDefault="00A8138F" w:rsidP="00A8138F">
      <w:pPr>
        <w:pStyle w:val="TextoNormal"/>
      </w:pPr>
      <w:r>
        <w:t>De otra, en cuanto al fondo del recurso de amparo afirma que, cualquiera que sea la decisión a que se llegara al resolver dicha cuestión interna de inconstitucionalidad sobre la naturaleza jurídica de la potestad sancionadora en que consiste la policía de estrados, en el caso concreto el recurrente fue sancionado por quien carece legalmente de competencia, por lo que su pretensión de amparo ha de ser estimada por haber sido vulnerado el derecho fundamental a la tutela judicial efectiva del demandante debido a la falta de competencia del órgano sancionador. A tenor del contenido y finalidad del escrito remitido, apoya también, de forma subsidiaria, la alegada vulneración del derecho a la libertad de expresión, puesto en conexión con el derecho de defensa. En consecuencia, solicita la declaración de nulidad de los acuerdos impugnados.</w:t>
      </w:r>
    </w:p>
    <w:p w14:paraId="6415122C" w14:textId="77777777" w:rsidR="00A8138F" w:rsidRDefault="00A8138F" w:rsidP="00A8138F">
      <w:pPr>
        <w:pStyle w:val="TextoNormal"/>
      </w:pPr>
    </w:p>
    <w:p w14:paraId="23FA7BE7" w14:textId="17671DFE" w:rsidR="00A8138F" w:rsidRDefault="00A8138F" w:rsidP="00A8138F">
      <w:pPr>
        <w:pStyle w:val="TextoNormal"/>
      </w:pPr>
      <w:r>
        <w:t>Así expuestas las pretensiones de las partes, debemos analizar en primer lugar la duda de procedibilidad expuesta por el Ministerio Fiscal.</w:t>
      </w:r>
    </w:p>
    <w:p w14:paraId="2C74AAB0" w14:textId="77777777" w:rsidR="00A8138F" w:rsidRDefault="00A8138F" w:rsidP="00A8138F">
      <w:pPr>
        <w:pStyle w:val="TextoNormal"/>
      </w:pPr>
    </w:p>
    <w:p w14:paraId="57125648" w14:textId="77777777" w:rsidR="00A8138F" w:rsidRDefault="00A8138F" w:rsidP="00A8138F">
      <w:pPr>
        <w:pStyle w:val="TextoNormal"/>
      </w:pPr>
      <w:r w:rsidRPr="00A8138F">
        <w:rPr>
          <w:rStyle w:val="NumeroAFNegritaCaracter"/>
        </w:rPr>
        <w:t>2</w:t>
      </w:r>
      <w:r>
        <w:t xml:space="preserve">. </w:t>
      </w:r>
      <w:r w:rsidRPr="00A8138F">
        <w:rPr>
          <w:i/>
        </w:rPr>
        <w:t>Sobre la eventual concurrencia de un óbice procesal</w:t>
      </w:r>
    </w:p>
    <w:p w14:paraId="091D7FF0" w14:textId="77777777" w:rsidR="00A8138F" w:rsidRDefault="00A8138F" w:rsidP="00A8138F">
      <w:pPr>
        <w:pStyle w:val="TextoNormal"/>
      </w:pPr>
    </w:p>
    <w:p w14:paraId="33F50E28" w14:textId="77777777" w:rsidR="00A8138F" w:rsidRDefault="00A8138F" w:rsidP="00A8138F">
      <w:pPr>
        <w:pStyle w:val="TextoNormal"/>
      </w:pPr>
      <w:r>
        <w:t>Como se dijo, la fiscal alega que el demandante habría o no agotado debidamente la vía judicial previa al acudir al amparo directamente, contra la resolución por la Sala de Gobierno del Tribunal Superior de Justicia, en función de que se considerase o no que el ejercicio de la potestad de corrección disciplinaria prevista en la Ley Orgánica del Poder Judicial como policía de estrados (arts. 190 y 552 y ss. LOPJ) tiene exclusivamente naturaleza jurisdiccional o puede ser legalmente atribuida a los letrados de la administración de justicia, y también, en función de la posición que se mantenga sobre la naturaleza de la decisión que, en alzada, adopte la sala de gobierno. Ambas cuestiones han sido abordadas y resueltas recientemente por el Pleno en la STC 12/2025, de 15 de enero, a cuyos pronunciamientos nos referiremos más adelante.</w:t>
      </w:r>
    </w:p>
    <w:p w14:paraId="63E73985" w14:textId="77777777" w:rsidR="00A8138F" w:rsidRDefault="00A8138F" w:rsidP="00A8138F">
      <w:pPr>
        <w:pStyle w:val="TextoNormal"/>
      </w:pPr>
    </w:p>
    <w:p w14:paraId="3EAB4764" w14:textId="77777777" w:rsidR="00A8138F" w:rsidRDefault="00A8138F" w:rsidP="00A8138F">
      <w:pPr>
        <w:pStyle w:val="TextoNormal"/>
      </w:pPr>
      <w:r>
        <w:t>En esa medida, resulta evidente que (como ha señalado este tribunal en la STC 13/2025, de 27 de enero, FJ 2), la necesidad de haber acudido, o no, ante la jurisdicción contencioso-administrativa previamente es una cuestión directamente relacionada con la cuestión de fondo planteada en la cuestión interna de inconstitucionalidad resuelta por la STC 12/2025, del Pleno (cuestión de inconstitucionalidad 6596-2021).</w:t>
      </w:r>
    </w:p>
    <w:p w14:paraId="379497E3" w14:textId="77777777" w:rsidR="00A8138F" w:rsidRDefault="00A8138F" w:rsidP="00A8138F">
      <w:pPr>
        <w:pStyle w:val="TextoNormal"/>
      </w:pPr>
    </w:p>
    <w:p w14:paraId="40F94D5B" w14:textId="77777777" w:rsidR="00A8138F" w:rsidRDefault="00A8138F" w:rsidP="00A8138F">
      <w:pPr>
        <w:pStyle w:val="TextoNormal"/>
      </w:pPr>
      <w:r>
        <w:t>En unas circunstancias tan singulares como las expuestas, que se mantenían vigentes en el momento de formularse la presente demanda de amparo (15 de diciembre de 2020), el Tribunal debe reiterar que no puede apreciar que para acceder por la vía del recurso de amparo ante la jurisdicción constitucional el recurrente debiera haber intentado un remedio cuya procedencia no era incontrovertida ni evidente en estrictos términos de legalidad ordinaria (así, STC 112/2019, de 3 de octubre, FJ 3). A ello ha de unirse la doble circunstancia de que, al igual que en el supuesto analizado en la citada STC 13/2025, la decisión resolutoria del recurso de alzada acordada por la Sala de Gobierno tampoco incluía ningún tipo de pie de recurso en relación con su firmeza o con su impugnabilidad ante la jurisdicción contencioso-administrativa y, además, la jurisprudencia constitucional en supuestos previos de ejercicio de esta potestad por parte de los órganos judiciales había establecido que se configuraba como una función netamente jurisdiccional contra la que no cabía recurso contencioso-administrativo (así, por ejemplo, SSTC 190/1991, de 14 de octubre, FJ 5; 205/1994, de 11 de julio, FJ 3, o 148/1997, de 29 de septiembre, FJ 2) o bien no ha controvertido que no resulta preciso acudir a la vía judicial para agotar la vía judicial (así, por ejemplo, SSTC 79/2002, de 8 de abril; 197/2004, de 15 de noviembre; 155/2006, de 22 de mayo; 24/2007, de 12 de febrero, o 145/2007, de 18 de junio), lo que, en definitiva, podría haber generado una confianza legítima en el recurrente de que se trataba del ejercicio de una potestad sancionadora de carácter jurisdiccional no susceptible de impugnación en la vía judicial.</w:t>
      </w:r>
    </w:p>
    <w:p w14:paraId="65F533ED" w14:textId="77777777" w:rsidR="00A8138F" w:rsidRDefault="00A8138F" w:rsidP="00A8138F">
      <w:pPr>
        <w:pStyle w:val="TextoNormal"/>
      </w:pPr>
    </w:p>
    <w:p w14:paraId="25196B39" w14:textId="64E168F3" w:rsidR="00A8138F" w:rsidRDefault="00A8138F" w:rsidP="00A8138F">
      <w:pPr>
        <w:pStyle w:val="TextoNormal"/>
      </w:pPr>
      <w:r>
        <w:t>Desestimado así el óbice procesal planteado por el Ministerio Fiscal, pasamos al análisis de las quejas de amparo, que debe estar precedido por el examen de la STC 12/2025, del Pleno (cuestión de inconstitucionalidad 6596-2021), cuyo pronunciamiento condiciona necesariamente el examen de las vulneraciones denunciadas en la medida en que se pronuncia sobre la constitucionalidad de los arts. 555.1 y 556 LOPJ desde la perspectiva del derecho fundamental a la tutela judicial efectiva (art. 24.1 CE), en relación con la exclusividad de la potestad jurisdiccional de los juzgados y tribunales (art. 117.3 CE).</w:t>
      </w:r>
    </w:p>
    <w:p w14:paraId="05D12A0B" w14:textId="77777777" w:rsidR="00A8138F" w:rsidRDefault="00A8138F" w:rsidP="00A8138F">
      <w:pPr>
        <w:pStyle w:val="TextoNormal"/>
      </w:pPr>
    </w:p>
    <w:p w14:paraId="2B8CFCCD" w14:textId="77777777" w:rsidR="00A8138F" w:rsidRDefault="00A8138F" w:rsidP="00A8138F">
      <w:pPr>
        <w:pStyle w:val="TextoNormal"/>
      </w:pPr>
      <w:r w:rsidRPr="00A8138F">
        <w:rPr>
          <w:rStyle w:val="NumeroAFNegritaCaracter"/>
        </w:rPr>
        <w:t>3</w:t>
      </w:r>
      <w:r>
        <w:t xml:space="preserve">. </w:t>
      </w:r>
      <w:r w:rsidRPr="00A8138F">
        <w:rPr>
          <w:i/>
        </w:rPr>
        <w:t>Los pronunciamientos relevantes de la STC 12/2025, de 15 de enero: conformidad a la Constitución de la regulación legal vigente de la policía de estrados (arts. 555.1 y 556 LOPJ</w:t>
      </w:r>
      <w:r>
        <w:t>)</w:t>
      </w:r>
    </w:p>
    <w:p w14:paraId="38DBC856" w14:textId="77777777" w:rsidR="00A8138F" w:rsidRDefault="00A8138F" w:rsidP="00A8138F">
      <w:pPr>
        <w:pStyle w:val="TextoNormal"/>
      </w:pPr>
    </w:p>
    <w:p w14:paraId="28A77D66" w14:textId="77777777" w:rsidR="00A8138F" w:rsidRDefault="00A8138F" w:rsidP="00A8138F">
      <w:pPr>
        <w:pStyle w:val="TextoNormal"/>
      </w:pPr>
      <w:r>
        <w:t>En sus alegaciones, la representante del Ministerio Fiscal se ha referido a diversos pronunciamientos jurisprudenciales previos en los que este tribunal analizó la potestad sancionadora que, con la finalidad de garantizar el normal desarrollo de los procesos judiciales, venía reconocida a los órganos judiciales en la Ley Orgánica del Poder Judicial entonces vigente. Y ha destacado también la pendencia de la cuestión interna de inconstitucionalidad sobre la regulación legal de la facultad disciplinaria puesta en cuestión (arts. 555.1 y 556 LOPJ).</w:t>
      </w:r>
    </w:p>
    <w:p w14:paraId="7585D5A6" w14:textId="77777777" w:rsidR="00A8138F" w:rsidRDefault="00A8138F" w:rsidP="00A8138F">
      <w:pPr>
        <w:pStyle w:val="TextoNormal"/>
      </w:pPr>
    </w:p>
    <w:p w14:paraId="40CEEA0D" w14:textId="77777777" w:rsidR="00A8138F" w:rsidRDefault="00A8138F" w:rsidP="00A8138F">
      <w:pPr>
        <w:pStyle w:val="TextoNormal"/>
      </w:pPr>
      <w:r>
        <w:t xml:space="preserve">Dicha cuestión interna (referida a las modificaciones introducidas en la Ley Orgánica del Poder Judicial por la Ley Orgánica 19/2003, de 19 de diciembre, y la Ley Orgánica 7/2015, de 21 de julio), ha sido resuelta por el Pleno en la reciente STC 12/2025, de 15 de enero, a cuyos pronunciamientos nos referiremos a continuación, en cuanto sitúan en contexto los motivos de amparo aducidos y las alegaciones formuladas en este recurso, o guardan relación con su contenido. La duda interna de inconstitucionalidad se preguntaba sobre la supuesta naturaleza estrictamente jurisdiccional de la policía de estrados que, en caso de ser </w:t>
      </w:r>
      <w:r>
        <w:lastRenderedPageBreak/>
        <w:t>afirmada, excluiría de su ejercicio, aún en primera instancia, a los letrados de la administración de justicia.</w:t>
      </w:r>
    </w:p>
    <w:p w14:paraId="5E8C0A44" w14:textId="77777777" w:rsidR="00A8138F" w:rsidRDefault="00A8138F" w:rsidP="00A8138F">
      <w:pPr>
        <w:pStyle w:val="TextoNormal"/>
      </w:pPr>
    </w:p>
    <w:p w14:paraId="66940977" w14:textId="77777777" w:rsidR="00A8138F" w:rsidRDefault="00A8138F" w:rsidP="00A8138F">
      <w:pPr>
        <w:pStyle w:val="TextoNormal"/>
      </w:pPr>
      <w:r>
        <w:t>La STC 12/2025, tras analizar la jurisprudencia constitucional precedente (SSTC 190/1991, de 14 de octubre;,y 205/1994, de 11 de julio, entre otras), destacó cómo, conforme a la legislación orgánica anterior a la reforma de la Ley Orgánica del Poder Judicial por la Ley Orgánica 7/2015, la policía de estrados era ejercida de forma exclusiva y autosuficiente por los órganos judiciales y revisada por las Salas de Gobierno de los Tribunales, por lo que se había concluido que su regulación satisfacía las exigencias derivadas del derecho a la tutela judicial efectiva.</w:t>
      </w:r>
    </w:p>
    <w:p w14:paraId="14B2274B" w14:textId="77777777" w:rsidR="00A8138F" w:rsidRDefault="00A8138F" w:rsidP="00A8138F">
      <w:pPr>
        <w:pStyle w:val="TextoNormal"/>
      </w:pPr>
    </w:p>
    <w:p w14:paraId="02DD54B5" w14:textId="77777777" w:rsidR="00A8138F" w:rsidRDefault="00A8138F" w:rsidP="00A8138F">
      <w:pPr>
        <w:pStyle w:val="TextoNormal"/>
      </w:pPr>
      <w:r>
        <w:t>No obstante esta constatación, el Pleno ha descartado la naturaleza materialmente jurisdiccional de la policía de estrados señalando que el art. 117.4 CE prevé que “los juzgados y tribunales ejercerán también aquellas funciones no jurisdiccionales que disponga la ley en garantía de cualquier derecho” y, además “el ejercicio de la función sancionadora sobre abogados y procuradores está desligado de la función decisoria en el proceso, en tanto no comporta la resolución de una cuestión controvertida sobre el fondo o sobre la situación jurídico-procesal de las partes” [FJ 4 b)]. En tal medida, aunque solo los jueces y magistrados ejercen jurisdicción, no puede identificarse decisión judicial con decisión jurisdiccional.</w:t>
      </w:r>
    </w:p>
    <w:p w14:paraId="32E9EF48" w14:textId="77777777" w:rsidR="00A8138F" w:rsidRDefault="00A8138F" w:rsidP="00A8138F">
      <w:pPr>
        <w:pStyle w:val="TextoNormal"/>
      </w:pPr>
    </w:p>
    <w:p w14:paraId="1E6D9CD9" w14:textId="77777777" w:rsidR="00A8138F" w:rsidRDefault="00A8138F" w:rsidP="00A8138F">
      <w:pPr>
        <w:pStyle w:val="TextoNormal"/>
      </w:pPr>
      <w:r>
        <w:t>De esta manera, se concluye que la función correctora sancionadora se orienta a la tutela del interés general, de la función de la administración de justicia, y pone el acento en la dignidad del Poder Judicial y en el respeto debido al resto de intervinientes en el procedimiento, por lo que no existe conexión entre la sanción impuesta y el proceso en que actúa el abogado o el procurador, en cuya resolución y sobre cuyas partes no puede tener efectos la corrección al profesional que las representa o defiende.</w:t>
      </w:r>
    </w:p>
    <w:p w14:paraId="688F7426" w14:textId="77777777" w:rsidR="00A8138F" w:rsidRDefault="00A8138F" w:rsidP="00A8138F">
      <w:pPr>
        <w:pStyle w:val="TextoNormal"/>
      </w:pPr>
    </w:p>
    <w:p w14:paraId="0B64CC08" w14:textId="77777777" w:rsidR="00A8138F" w:rsidRDefault="00A8138F" w:rsidP="00A8138F">
      <w:pPr>
        <w:pStyle w:val="TextoNormal"/>
      </w:pPr>
      <w:r>
        <w:t>Como consecuencia, al desestimar la duda de inconstitucionalidad, el Pleno señala que “el ejercicio de la función correctora intraprocesal sobre los abogados y procuradores no consiste en actos jurisdiccionales en sentido estricto ni, tampoco, constituye actos materialmente administrativos.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 [FJ 4 b)]. Y, a continuación, añade que “no puede afirmarse la naturaleza jurisdiccional material de una actuación correctora sobre abogados y procuradores porque proceda de un órgano judicial ni por el hecho de que se adopta en el marco de un proceso. Si el legislador atribuye a los letrados de la administración de justicia funciones procesales no jurisdiccionales en el marco del modelo de oficina judicial, así como la obligación de mantener el orden y amparar los derechos de los presentes ‘en todas aquellas actuaciones que se celebren únicamente ante él en las dependencias de la oficina judicial’ (art. 190 LOPJ), resulta congruente y compatible con los arts. 117.3 y 24.1 CE que le confiera facultad correctora como función aneja y al servicio de dicha competencia” [FJ 4 c)].</w:t>
      </w:r>
    </w:p>
    <w:p w14:paraId="0DBC15EB" w14:textId="77777777" w:rsidR="00A8138F" w:rsidRDefault="00A8138F" w:rsidP="00A8138F">
      <w:pPr>
        <w:pStyle w:val="TextoNormal"/>
      </w:pPr>
    </w:p>
    <w:p w14:paraId="658A8E53" w14:textId="605260B1" w:rsidR="00A8138F" w:rsidRDefault="00A8138F" w:rsidP="00A8138F">
      <w:pPr>
        <w:pStyle w:val="TextoNormal"/>
      </w:pPr>
      <w:r>
        <w:t xml:space="preserve">Esta conclusión es relevante para abordar la queja de amparo planteada en este proceso, dado que la interpretación integrada de los arts. 190, 555 y 556 LOPJ conduce a entender limitadas las facultades disciplinarias de los letrados de la administración de justicia sobre </w:t>
      </w:r>
      <w:r>
        <w:lastRenderedPageBreak/>
        <w:t>abogados y procuradores exclusivamente a las actuaciones que se celebren ante ellos en las dependencias de la oficina judicial, y con la finalidad de mantener el orden y el normal desarrollo de las actuaciones procesales que dirija.</w:t>
      </w:r>
    </w:p>
    <w:p w14:paraId="63CE43FF" w14:textId="77777777" w:rsidR="00A8138F" w:rsidRDefault="00A8138F" w:rsidP="00A8138F">
      <w:pPr>
        <w:pStyle w:val="TextoNormal"/>
      </w:pPr>
    </w:p>
    <w:p w14:paraId="1FDC8BA4" w14:textId="77777777" w:rsidR="00A8138F" w:rsidRDefault="00A8138F" w:rsidP="00A8138F">
      <w:pPr>
        <w:pStyle w:val="TextoNormal"/>
      </w:pPr>
      <w:r w:rsidRPr="00A8138F">
        <w:rPr>
          <w:rStyle w:val="NumeroAFNegritaCaracter"/>
        </w:rPr>
        <w:t>4</w:t>
      </w:r>
      <w:r>
        <w:t xml:space="preserve">. </w:t>
      </w:r>
      <w:r w:rsidRPr="00A8138F">
        <w:rPr>
          <w:i/>
        </w:rPr>
        <w:t>Aplicación al caso de la doctrina expuesta</w:t>
      </w:r>
    </w:p>
    <w:p w14:paraId="0CD1CE6A" w14:textId="77777777" w:rsidR="00A8138F" w:rsidRDefault="00A8138F" w:rsidP="00A8138F">
      <w:pPr>
        <w:pStyle w:val="TextoNormal"/>
      </w:pPr>
    </w:p>
    <w:p w14:paraId="5E327AB5" w14:textId="77777777" w:rsidR="00A8138F" w:rsidRDefault="00A8138F" w:rsidP="00A8138F">
      <w:pPr>
        <w:pStyle w:val="TextoNormal"/>
      </w:pPr>
      <w:r>
        <w:t xml:space="preserve">4.1. A la luz de la doctrina sentada en la STC 12/2025 que acabamos de examinar, cabe anticipar que el recurso de amparo debe ser ya estimado en atención al primero de sus motivos. Si bien en la citada resolución se descarta la duda de inconstitucionalidad sobre los arts. 555.1 y 556 LOPJ, dicha conformidad a la Constitución ha sido reconocida “en los términos del FJ 4 b), </w:t>
      </w:r>
      <w:r w:rsidRPr="00A8138F">
        <w:rPr>
          <w:i/>
        </w:rPr>
        <w:t>in fine</w:t>
      </w:r>
      <w:r>
        <w:t>” donde se efectúa una interpretación sistemática y conjunta de los preceptos cuestionados y los arts. 190.3 LOPJ y 186 Ley de enjuiciamiento civil (LEC) estableciendo que “la limitada atribución que el legislador ha hecho a los letrados de la administración de justicia […] de la facultad de corregir a abogados y procuradores, […] exclusivamente puede ejercerse en las actuaciones que se celebren ante él en las dependencias de la oficina judicial”.</w:t>
      </w:r>
    </w:p>
    <w:p w14:paraId="27B7735E" w14:textId="77777777" w:rsidR="00A8138F" w:rsidRDefault="00A8138F" w:rsidP="00A8138F">
      <w:pPr>
        <w:pStyle w:val="TextoNormal"/>
      </w:pPr>
    </w:p>
    <w:p w14:paraId="1010ED30" w14:textId="77777777" w:rsidR="00A8138F" w:rsidRDefault="00A8138F" w:rsidP="00A8138F">
      <w:pPr>
        <w:pStyle w:val="TextoNormal"/>
      </w:pPr>
      <w:r>
        <w:t>En el presente caso, como se ha expuesto más ampliamente en los antecedentes, la sanción impuesta al recurrente tiene su origen en las afirmaciones expresadas en el escrito por el que se instó la revisión judicial del decreto del letrado de la administración de justicia que, durante la tasación de costas, redujo los honorarios del letrado recurrente tras ser impugnada su cuantía. Dicho escrito procesal iba dirigido al juez del caso, y las pretensiones de impugnación en él incluidas habían de ser resueltas por el propio juez. No se trata, por tanto, de actuaciones celebradas ante el letrado de la administración de justicia en las dependencias de la oficina judicial (arts. 190.3 LOPJ y 186 LEC). De este modo, y con arreglo a la interpretación de los arts. 555 y 556 LOPJ establecida en la STC 12/2025, de 15 de enero, el letrado de la administración de justicia carecía incuestionablemente de competencia para acordar la iniciación del procedimiento sancionador y para resolverlo en primera instancia.</w:t>
      </w:r>
    </w:p>
    <w:p w14:paraId="53EC7288" w14:textId="77777777" w:rsidR="00A8138F" w:rsidRDefault="00A8138F" w:rsidP="00A8138F">
      <w:pPr>
        <w:pStyle w:val="TextoNormal"/>
      </w:pPr>
    </w:p>
    <w:p w14:paraId="054654E1" w14:textId="77777777" w:rsidR="00A8138F" w:rsidRDefault="00A8138F" w:rsidP="00A8138F">
      <w:pPr>
        <w:pStyle w:val="TextoNormal"/>
      </w:pPr>
      <w:r>
        <w:t>Sin mayor desarrollo argumental, el demandante alega que, debido a esa falta manifiesta de competencia, el acuerdo impugnado, ratificado después por la Sala de Gobierno, supone una vulneración de su derecho al juez predeterminado por la ley. La representante del Ministerio Fiscal apoya dicha pretensión de amparo, aun encuadrando la vulneración denunciada en el contenido del derecho a la tutela judicial efectiva, que pone también en relación con el derecho al juez predeterminado por la ley.</w:t>
      </w:r>
    </w:p>
    <w:p w14:paraId="1941177A" w14:textId="77777777" w:rsidR="00A8138F" w:rsidRDefault="00A8138F" w:rsidP="00A8138F">
      <w:pPr>
        <w:pStyle w:val="TextoNormal"/>
      </w:pPr>
    </w:p>
    <w:p w14:paraId="0BA7B316" w14:textId="77777777" w:rsidR="00A8138F" w:rsidRDefault="00A8138F" w:rsidP="00A8138F">
      <w:pPr>
        <w:pStyle w:val="TextoNormal"/>
      </w:pPr>
      <w:r>
        <w:t>4.2. Por tanto, la cuestión suscitada en este recurso de amparo, en consonancia con las alegaciones y el recurso de alzada planteado en la vía previa puede desdoblarse, a efectos expositivos, en dos ámbitos bien diferenciados.</w:t>
      </w:r>
    </w:p>
    <w:p w14:paraId="5350131E" w14:textId="77777777" w:rsidR="00A8138F" w:rsidRDefault="00A8138F" w:rsidP="00A8138F">
      <w:pPr>
        <w:pStyle w:val="TextoNormal"/>
      </w:pPr>
    </w:p>
    <w:p w14:paraId="7D714B67" w14:textId="77777777" w:rsidR="00A8138F" w:rsidRDefault="00A8138F" w:rsidP="00A8138F">
      <w:pPr>
        <w:pStyle w:val="TextoNormal"/>
      </w:pPr>
      <w:r>
        <w:t>En el primero de ellos, bajo la pretendida lesión del art. 24 1 y 2 CE, se sitúan las quejas relativas a la tramitación y resolución del expediente disciplinario núm. 1-2020, que le fue incoado al entender que había faltado al respeto debido al letrado de la administración de justicia en un escrito procesal dirigido al juez del caso para que revisase una previa decisión del primero. Dichas quejas se dirigen tanto contra la actuación del letrado de la administración de justicia como contra la posterior fiscalización de esta efectuada por la Sala de Gobierno. Todas las quejas del recurrente presentan un sustrato común: la aplicabilidad al pro</w:t>
      </w:r>
      <w:r>
        <w:lastRenderedPageBreak/>
        <w:t>cedimiento disciplinario de las garantías constitucionales de carácter procesal previstas en el art. 24 CE para el enjuiciamiento penal. En opinión del recurrente, su inobservancia habría generado la lesión de sus derechos a la tutela judicial efectiva, al juez predeterminado por la ley, al juez imparcial, y a conocer la acusación.</w:t>
      </w:r>
    </w:p>
    <w:p w14:paraId="428E0F5F" w14:textId="77777777" w:rsidR="00A8138F" w:rsidRDefault="00A8138F" w:rsidP="00A8138F">
      <w:pPr>
        <w:pStyle w:val="TextoNormal"/>
      </w:pPr>
    </w:p>
    <w:p w14:paraId="2C892A59" w14:textId="77777777" w:rsidR="00A8138F" w:rsidRDefault="00A8138F" w:rsidP="00A8138F">
      <w:pPr>
        <w:pStyle w:val="TextoNormal"/>
      </w:pPr>
      <w:r>
        <w:t>El segundo ámbito, relacionado ya con la concreta sanción impuesta, tiene que ver con su motivación, proporcionalidad y legitimidad, en cuanto encuentra su conducta justificada al venir garantizada por su derecho a la libertad de expresión en ejercicio del derecho de defensa.</w:t>
      </w:r>
    </w:p>
    <w:p w14:paraId="665CCB52" w14:textId="77777777" w:rsidR="00A8138F" w:rsidRDefault="00A8138F" w:rsidP="00A8138F">
      <w:pPr>
        <w:pStyle w:val="TextoNormal"/>
      </w:pPr>
    </w:p>
    <w:p w14:paraId="4A714418" w14:textId="77777777" w:rsidR="00A8138F" w:rsidRDefault="00A8138F" w:rsidP="00A8138F">
      <w:pPr>
        <w:pStyle w:val="TextoNormal"/>
      </w:pPr>
      <w:r>
        <w:t>4.3. Al igual que en casos relacionados con el presente, en los que se cuestiona el ejercicio de otras potestades disciplinarias públicas, el examen de las irregularidades denunciadas en las fases de tramitación y resolución del expediente disciplinario debe partir de algunas consideraciones previas necesarias para centrar el debate y exponer los criterios aplicables a su resolución (STC 14/1999, de 22 de febrero):</w:t>
      </w:r>
    </w:p>
    <w:p w14:paraId="2EC29247" w14:textId="77777777" w:rsidR="00A8138F" w:rsidRDefault="00A8138F" w:rsidP="00A8138F">
      <w:pPr>
        <w:pStyle w:val="TextoNormal"/>
      </w:pPr>
    </w:p>
    <w:p w14:paraId="4FF7792B" w14:textId="77777777" w:rsidR="00A8138F" w:rsidRDefault="00A8138F" w:rsidP="00A8138F">
      <w:pPr>
        <w:pStyle w:val="TextoNormal"/>
      </w:pPr>
      <w:r>
        <w:t>El recurrente cuestiona el modo en que se ha ejercido la singular potestad disciplinaria reconocida por el art. 552 y ss. LOPJ, de la que hemos afirmado que no da lugar a actos materialmente administrativos, sino que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w:t>
      </w:r>
    </w:p>
    <w:p w14:paraId="14CB8AB0" w14:textId="77777777" w:rsidR="00A8138F" w:rsidRDefault="00A8138F" w:rsidP="00A8138F">
      <w:pPr>
        <w:pStyle w:val="TextoNormal"/>
      </w:pPr>
    </w:p>
    <w:p w14:paraId="68AA0DDF" w14:textId="77777777" w:rsidR="00A8138F" w:rsidRDefault="00A8138F" w:rsidP="00A8138F">
      <w:pPr>
        <w:pStyle w:val="TextoNormal"/>
      </w:pPr>
      <w:r>
        <w:t xml:space="preserve">Pues bien, pese a dicha singularidad, no parece ocioso traer aquí a colación la reiterada doctrina de este tribunal, asentada desde sus primeras sentencias que, a partir de la consideración de los derechos fundamentales como derechos subjetivos y elementos esenciales de un ordenamiento objetivo de la comunidad nacional constituida en Estado de Derecho, ha extendido la aplicación de las garantías procesales constitucionalizadas en el art. 24.2 CE al ámbito administrativo sancionador, “en la medida necesaria para preservar los valores esenciales que se encuentran en la base del precepto, y la seguridad jurídica que garantiza el art. 9 de la Constitución. No se trata, por tanto, de una aplicación literal, dadas las diferencias apuntadas, sino con el alcance que requiere la finalidad que justifica la previsión constitucional” (STC 18/1981, de 8 de junio, FJ </w:t>
      </w:r>
      <w:r w:rsidRPr="00A8138F">
        <w:rPr>
          <w:i/>
        </w:rPr>
        <w:t>2 in fi</w:t>
      </w:r>
      <w:r>
        <w:t>ne).</w:t>
      </w:r>
    </w:p>
    <w:p w14:paraId="46E09278" w14:textId="77777777" w:rsidR="00A8138F" w:rsidRDefault="00A8138F" w:rsidP="00A8138F">
      <w:pPr>
        <w:pStyle w:val="TextoNormal"/>
      </w:pPr>
    </w:p>
    <w:p w14:paraId="380443CB" w14:textId="77777777" w:rsidR="00A8138F" w:rsidRDefault="00A8138F" w:rsidP="00A8138F">
      <w:pPr>
        <w:pStyle w:val="TextoNormal"/>
      </w:pPr>
      <w:r>
        <w:t>Dicha traslación limitada y modulada, atenta a la singularidad de la facultad disciplinaria aplicada, a su finalidad, a su específico grupo de destinatarios, y a la menor gravedad de las consecuencias sancionatorias que la caracterizan, debe también hacerse efectiva en el ejercicio de la policía de estrados. Traslación que habrá de hacerse de forma casuística, atendiendo al contenido, fundamento y ámbito de protección de cada garantía procesal constitucionalizada, siempre que estas resulten compatibles con su naturaleza y finalidad.</w:t>
      </w:r>
    </w:p>
    <w:p w14:paraId="011498C2" w14:textId="77777777" w:rsidR="00A8138F" w:rsidRDefault="00A8138F" w:rsidP="00A8138F">
      <w:pPr>
        <w:pStyle w:val="TextoNormal"/>
      </w:pPr>
    </w:p>
    <w:p w14:paraId="2BD687E8" w14:textId="77777777" w:rsidR="00A8138F" w:rsidRDefault="00A8138F" w:rsidP="00A8138F">
      <w:pPr>
        <w:pStyle w:val="TextoNormal"/>
      </w:pPr>
      <w:r>
        <w:t xml:space="preserve">En el ámbito de la potestad disciplinaria pública nuestra doctrina ha concretado este principio general con diversos pronunciamientos, resumidos, entre otras muchas, en la STC 9/2018, de 5 de febrero, FJ 2, que, sin ánimo de exhaustividad, se refiere a los siguientes derechos: “a la defensa, que proscribe cualquier indefensión; a la asistencia letrada, trasladable con ciertas condiciones; a ser informado de la acusación, con la ineludible consecuencia de la inalterabilidad de los hechos imputados; a la presunción de inocencia, que implica </w:t>
      </w:r>
      <w:r>
        <w:lastRenderedPageBreak/>
        <w:t>que la carga de la prueba de los hechos constitutivos de la infracción recaiga sobre la administración, con la prohibición de la utilización de pruebas obtenidas con vulneración de derechos fundamentales; a no declarar contra sí mismo y, en fin, a utilizar los medios de prueba adecuados para la defensa, del que se deriva que vulnera el artículo 24.2 CE la denegación inmotivada de medios de prueba” [por todas, SSTC 7/1998, de 13 de enero, FJ 5; 3/1999, de 25 de enero, FJ 4; 14/1999, de 22 de febrero, FJ 3 a); 276/2000, de 16 de noviembre, FJ 7; 117/2002, de 20 de mayo, FJ 5, y 54/2015, de 16 de marzo, FJ 7].</w:t>
      </w:r>
    </w:p>
    <w:p w14:paraId="0DFC14D7" w14:textId="77777777" w:rsidR="00A8138F" w:rsidRDefault="00A8138F" w:rsidP="00A8138F">
      <w:pPr>
        <w:pStyle w:val="TextoNormal"/>
      </w:pPr>
    </w:p>
    <w:p w14:paraId="1EA57850" w14:textId="77777777" w:rsidR="00A8138F" w:rsidRDefault="00A8138F" w:rsidP="00A8138F">
      <w:pPr>
        <w:pStyle w:val="TextoNormal"/>
      </w:pPr>
      <w:r>
        <w:t>4.4. En el caso presente el demandante denuncia en primer lugar que ha sido sancionado por un órgano que carece manifiesta y materialmente de competencia para hacerlo, en tanto ha sido sancionado por el letrado de la administración de justicia en un supuesto en el que la supuesta falta de respeto que fundamenta su corrección no se ha producido en una actuación que se celebre ante el mismo en las dependencias de la oficina judicial. A partir de dicha relevante circunstancia, se denuncia la vulneración de su derecho al juez predeterminado por la ley, queja esta que únicamente podría ser estimada mediante la limitada posibilidad de traslación de esta garantía a la policía de estrados.</w:t>
      </w:r>
    </w:p>
    <w:p w14:paraId="636B51E0" w14:textId="77777777" w:rsidR="00A8138F" w:rsidRDefault="00A8138F" w:rsidP="00A8138F">
      <w:pPr>
        <w:pStyle w:val="TextoNormal"/>
      </w:pPr>
    </w:p>
    <w:p w14:paraId="52E470BF" w14:textId="77777777" w:rsidR="00A8138F" w:rsidRDefault="00A8138F" w:rsidP="00A8138F">
      <w:pPr>
        <w:pStyle w:val="TextoNormal"/>
      </w:pPr>
      <w:r>
        <w:t>La doctrina precedente no ha sido proclive a reconocer la vigencia del derecho al juez predeterminado por la ley en los procedimientos no judiciales. Así, dicha pretensión fue desestimada en los AATC 320/1986, de 9 de abril, FJ 5, y 170/1987, de 11 de febrero, así como en la STC 22/1990, de 15 de febrero. En cada uno de estos supuestos se justificó la desestimación de la queja en la imposibilidad de que los órganos sancionadores disciplinarios gozaran de las garantías propias de los órganos jurisdiccionales (singularmente, de la estricta independencia e imparcialidad que caracteriza el ejercicio de la función jurisdiccional y fundamenta el derecho alegado).</w:t>
      </w:r>
    </w:p>
    <w:p w14:paraId="704A63A8" w14:textId="77777777" w:rsidR="00A8138F" w:rsidRDefault="00A8138F" w:rsidP="00A8138F">
      <w:pPr>
        <w:pStyle w:val="TextoNormal"/>
      </w:pPr>
    </w:p>
    <w:p w14:paraId="61F88277" w14:textId="77777777" w:rsidR="00A8138F" w:rsidRDefault="00A8138F" w:rsidP="00A8138F">
      <w:pPr>
        <w:pStyle w:val="TextoNormal"/>
      </w:pPr>
      <w:r>
        <w:t>No obstante, cuando se le ha planteado la incompetencia del órgano administrativo sancionador, hemos señalado que la no aplicabilidad en sus estrictos términos del derecho al juez predeterminado por la ley no obvia, en su determinación, la obligación de respeto a la proscripción de toda arbitrariedad, a la legalidad de su determinación y a la objetividad de su actuación (ATC 170/1987, FJ 1, y STC 22/1990, FJ 4).</w:t>
      </w:r>
    </w:p>
    <w:p w14:paraId="694C3AE9" w14:textId="77777777" w:rsidR="00A8138F" w:rsidRDefault="00A8138F" w:rsidP="00A8138F">
      <w:pPr>
        <w:pStyle w:val="TextoNormal"/>
      </w:pPr>
    </w:p>
    <w:p w14:paraId="6B60AC5A" w14:textId="77777777" w:rsidR="00A8138F" w:rsidRDefault="00A8138F" w:rsidP="00A8138F">
      <w:pPr>
        <w:pStyle w:val="TextoNormal"/>
      </w:pPr>
      <w:r>
        <w:t>En esa medida resulta justificado, como hemos apuntado en un caso similar en la reciente STC 13/2025, de 27 de enero, trasladar las garantías de legalidad y proscripción de la arbitrariedad en la determinación del órgano sancionador a la facultad disciplinaria en que la policía de estrados consiste. De esta forma, en casos como el presente, en el que resulta manifiesto que las expresiones supuestamente irrespetuosas que justificaron la corrección disciplinaria no fueron vertidas en una actuación que se celebrara ante el letrado de la administración de justicia en las dependencias de la oficina judicial, sino en un escrito dirigido al juez que formalizaba un recurso de revisión que este había de resolver, cabe concluir que la incoación y resolución inicial del expediente disciplinario fue protagonizada por un órgano manifiestamente incompetente, lo que permite justificar la estimación de la queja, apoyada por el Ministerio Fiscal, por no haber sido impuesta la sanción en un procedimiento con todas las garantías (art. 24.2 CE), del que es presupuesto constitutivo la competencia del órgano sancionador.</w:t>
      </w:r>
    </w:p>
    <w:p w14:paraId="6105C4BC" w14:textId="77777777" w:rsidR="00A8138F" w:rsidRDefault="00A8138F" w:rsidP="00A8138F">
      <w:pPr>
        <w:pStyle w:val="TextoNormal"/>
      </w:pPr>
    </w:p>
    <w:p w14:paraId="34D409B5" w14:textId="3E933A4C" w:rsidR="00A8138F" w:rsidRDefault="00A8138F" w:rsidP="00A8138F">
      <w:pPr>
        <w:pStyle w:val="TextoNormal"/>
      </w:pPr>
      <w:r>
        <w:lastRenderedPageBreak/>
        <w:t>La estimación de este primer motivo de recurso conlleva como reparación la nulidad de los acuerdos impugnados, lo que hace innecesario abordar el resto de las invocaciones efectuadas.</w:t>
      </w:r>
    </w:p>
    <w:p w14:paraId="2398D525" w14:textId="77777777" w:rsidR="00A8138F" w:rsidRDefault="00A8138F" w:rsidP="00A8138F">
      <w:pPr>
        <w:pStyle w:val="TextoNormal"/>
      </w:pPr>
    </w:p>
    <w:p w14:paraId="54AE2570" w14:textId="77777777" w:rsidR="00A8138F" w:rsidRDefault="00A8138F" w:rsidP="00A8138F">
      <w:pPr>
        <w:pStyle w:val="TextoNormalCentrado"/>
        <w:keepNext/>
      </w:pPr>
      <w:r>
        <w:t>FALLO</w:t>
      </w:r>
    </w:p>
    <w:p w14:paraId="5A478067" w14:textId="0415D58D" w:rsidR="00A8138F" w:rsidRDefault="00A8138F" w:rsidP="00A8138F">
      <w:pPr>
        <w:pStyle w:val="TextoNormalCentrado"/>
        <w:keepNext/>
      </w:pPr>
    </w:p>
    <w:p w14:paraId="31E594F4" w14:textId="77777777" w:rsidR="00A8138F" w:rsidRDefault="00A8138F" w:rsidP="00A8138F">
      <w:pPr>
        <w:pStyle w:val="TextoNormal"/>
      </w:pPr>
      <w:r>
        <w:t>En atención a todo lo expuesto, el Tribunal Constitucional, por la autoridad que le confiere la Constitución de la Nación española, ha decidido otorgar el amparo a don Miguel Ángel González Ortiz y, en su virtud:</w:t>
      </w:r>
    </w:p>
    <w:p w14:paraId="64FE6846" w14:textId="77777777" w:rsidR="00A8138F" w:rsidRDefault="00A8138F" w:rsidP="00A8138F">
      <w:pPr>
        <w:pStyle w:val="TextoNormal"/>
      </w:pPr>
    </w:p>
    <w:p w14:paraId="2E1901AF" w14:textId="77777777" w:rsidR="00A8138F" w:rsidRDefault="00A8138F" w:rsidP="00A8138F">
      <w:pPr>
        <w:pStyle w:val="TextoNormal"/>
      </w:pPr>
      <w:r>
        <w:t>1º Declarar que ha sido vulnerado el derecho del demandante de amparo a un proceso con todas las garantías, puesto en relación con el derecho al juez ordinario predeterminado por la ley (art. 24.2 CE).</w:t>
      </w:r>
    </w:p>
    <w:p w14:paraId="2B48C6A3" w14:textId="77777777" w:rsidR="00A8138F" w:rsidRDefault="00A8138F" w:rsidP="00A8138F">
      <w:pPr>
        <w:pStyle w:val="TextoNormal"/>
      </w:pPr>
    </w:p>
    <w:p w14:paraId="13B29BC4" w14:textId="503CBF3A" w:rsidR="00A8138F" w:rsidRDefault="00A8138F" w:rsidP="00A8138F">
      <w:pPr>
        <w:pStyle w:val="TextoNormal"/>
      </w:pPr>
      <w:r>
        <w:t>2º Restablecerle en su derecho y, en consecuencia, declarar la nulidad del acuerdo del letrado de la administración de justicia del Juzgado de Primera Instancia núm. 7 de Badajoz de 22 de octubre de 2020, pronunciado en el expediente de responsabilidad disciplinaria núm. 1-2020; y del acuerdo de la Sala de Gobierno del Tribunal Superior de Justicia de Extremadura de 23 de noviembre de 2020, pronunciado en el recurso de alzada núm. 2-2020.</w:t>
      </w:r>
    </w:p>
    <w:p w14:paraId="7D4DDFA9" w14:textId="77777777" w:rsidR="00A8138F" w:rsidRDefault="00A8138F" w:rsidP="00A8138F">
      <w:pPr>
        <w:pStyle w:val="TextoNormal"/>
      </w:pPr>
    </w:p>
    <w:p w14:paraId="101ED317" w14:textId="77777777" w:rsidR="00A8138F" w:rsidRDefault="00A8138F" w:rsidP="00A8138F">
      <w:pPr>
        <w:pStyle w:val="TextoNormal"/>
      </w:pPr>
      <w:r>
        <w:t>Publíquese esta sentencia en el “Boletín Oficial del Estado”.</w:t>
      </w:r>
    </w:p>
    <w:p w14:paraId="2E29660B" w14:textId="77777777" w:rsidR="00A8138F" w:rsidRDefault="00A8138F" w:rsidP="00A8138F">
      <w:pPr>
        <w:pStyle w:val="TextoNormal"/>
      </w:pPr>
      <w:r>
        <w:t>Dada en Madrid, a siete de abril de dos mil veinticinco.</w:t>
      </w:r>
    </w:p>
    <w:p w14:paraId="66C1D901" w14:textId="0994D7D9" w:rsidR="00A8138F" w:rsidRDefault="00A8138F" w:rsidP="00A8138F">
      <w:pPr>
        <w:pStyle w:val="ParrafoNormal"/>
      </w:pPr>
    </w:p>
    <w:p w14:paraId="33C3E94E" w14:textId="77777777" w:rsidR="00A8138F" w:rsidRDefault="00A8138F" w:rsidP="00A8138F">
      <w:pPr>
        <w:pStyle w:val="TextoNormalNegritaCentrado"/>
        <w:keepNext/>
      </w:pPr>
      <w:r>
        <w:t>Voto particular que formula la magistrada doña Concepción Espejel Jorquera a la sentencia dictada por la Sala Primera en el recurso de amparo núm. 6194-2020, interpuesto por don Miguel Ángel González Ortiz contra los acuerdos núm. 1/2020, de 22 de octubre, del letrado de la administración de justicia del Juzgado de Primera Instancia núm. 7 de Badajoz en la pieza separada por mala fe procesal núm. 1-2020, y de 23 de noviembre de 2020, de la Sala de Gobierno del Tribunal Superior de Justicia de Extremadura, por el que se desestimó el subsiguiente recurso de alzada núm. 2-2020 interpuesto frente al anterior acuerdo</w:t>
      </w:r>
    </w:p>
    <w:p w14:paraId="63086D97" w14:textId="0670E312" w:rsidR="00A8138F" w:rsidRDefault="00A8138F" w:rsidP="00A8138F">
      <w:pPr>
        <w:pStyle w:val="TextoNormalNegritaCentrado"/>
        <w:keepNext/>
      </w:pPr>
    </w:p>
    <w:p w14:paraId="4CE4095D" w14:textId="77777777" w:rsidR="00A8138F" w:rsidRDefault="00A8138F" w:rsidP="00A8138F">
      <w:pPr>
        <w:pStyle w:val="TextoNormal"/>
      </w:pPr>
      <w:r>
        <w:t>En el ejercicio de la facultad conferida por el artículo 90.2 LOTC y con respeto a la opinión de mis compañeros, formulo el presente voto particular concurrente, al disentir en su mayor parte de la fundamentación de la sentencia y, sin embargo, compartir el sentido estimatorio del fallo.</w:t>
      </w:r>
    </w:p>
    <w:p w14:paraId="5D57ADF4" w14:textId="77777777" w:rsidR="00A8138F" w:rsidRDefault="00A8138F" w:rsidP="00A8138F">
      <w:pPr>
        <w:pStyle w:val="TextoNormal"/>
      </w:pPr>
    </w:p>
    <w:p w14:paraId="2D026DED" w14:textId="77777777" w:rsidR="00A8138F" w:rsidRDefault="00A8138F" w:rsidP="00A8138F">
      <w:pPr>
        <w:pStyle w:val="TextoNormal"/>
      </w:pPr>
      <w:r>
        <w:t>Traslado al presente voto particular, en lo concerniente, lo que manifesté en el que formulé a la STC 12/2025, de 15 de enero, del Pleno, que desestimó la auto cuestión de inconstitucionalidad núm. 6596-2021, planteada por la Sala Segunda de este tribunal respecto de los arts. 555.1 y 556 de la Ley Orgánica 6/1985, de 1 de julio, del Poder Judicial, en la redacción dada a los mismos en la Ley Orgánica 19/2003, de 23 de diciembre, sentencia que sienta la doctrina aplicada en la sentencia objeto del presente voto particular.</w:t>
      </w:r>
    </w:p>
    <w:p w14:paraId="1B9B41C3" w14:textId="77777777" w:rsidR="00A8138F" w:rsidRDefault="00A8138F" w:rsidP="00A8138F">
      <w:pPr>
        <w:pStyle w:val="TextoNormal"/>
      </w:pPr>
    </w:p>
    <w:p w14:paraId="7F27641C" w14:textId="77777777" w:rsidR="00A8138F" w:rsidRDefault="00A8138F" w:rsidP="00A8138F">
      <w:pPr>
        <w:pStyle w:val="TextoNormal"/>
      </w:pPr>
      <w:r>
        <w:lastRenderedPageBreak/>
        <w:t>1. Consideración de la imposición de correcciones disciplinarias en el seno del proceso como una categoría distinta de los actos jurisdiccionales y administrativos</w:t>
      </w:r>
    </w:p>
    <w:p w14:paraId="02F574BB" w14:textId="77777777" w:rsidR="00A8138F" w:rsidRDefault="00A8138F" w:rsidP="00A8138F">
      <w:pPr>
        <w:pStyle w:val="TextoNormal"/>
      </w:pPr>
    </w:p>
    <w:p w14:paraId="20E1429F" w14:textId="77777777" w:rsidR="00A8138F" w:rsidRDefault="00A8138F" w:rsidP="00A8138F">
      <w:pPr>
        <w:pStyle w:val="TextoNormal"/>
      </w:pPr>
      <w:r>
        <w:t>La jurisprudencia de este tribunal ha venido reiterando que el ejercicio de la denominada “policía de estrados” por parte de jueces y tribunales, tiene un indudable carácter jurisdiccional.</w:t>
      </w:r>
    </w:p>
    <w:p w14:paraId="42E45156" w14:textId="77777777" w:rsidR="00A8138F" w:rsidRDefault="00A8138F" w:rsidP="00A8138F">
      <w:pPr>
        <w:pStyle w:val="TextoNormal"/>
      </w:pPr>
    </w:p>
    <w:p w14:paraId="216E7694" w14:textId="77777777" w:rsidR="00A8138F" w:rsidRDefault="00A8138F" w:rsidP="00A8138F">
      <w:pPr>
        <w:pStyle w:val="TextoNormal"/>
      </w:pPr>
      <w:r>
        <w:t>La sentencia aprobada por la Sala en el día de hoy se hace eco de la citada STC 12/2025, FJ 4 b), para señalar que “el ejercicio de la función correctora intraprocesal sobre los abogados y procuradores no consiste en actos jurisdiccionales en sentido estricto ni, tampoco, constituye actos materialmente administrativos. Estamos ante decisiones de disciplina dentro del proceso judicial —que gozan de autonomía propia entre las funciones públicas—, que tienen por objeto a los profesionales del Derecho que acompañan y asesoran a las partes, en el marco de la función correctora que el legislador aneja a la dirección de los pleitos y causas, con la finalidad de garantizar su integridad y adecuado desarrollo”.</w:t>
      </w:r>
    </w:p>
    <w:p w14:paraId="7D92D894" w14:textId="77777777" w:rsidR="00A8138F" w:rsidRDefault="00A8138F" w:rsidP="00A8138F">
      <w:pPr>
        <w:pStyle w:val="TextoNormal"/>
      </w:pPr>
    </w:p>
    <w:p w14:paraId="0F8117F0" w14:textId="77777777" w:rsidR="00A8138F" w:rsidRDefault="00A8138F" w:rsidP="00A8138F">
      <w:pPr>
        <w:pStyle w:val="TextoNormal"/>
      </w:pPr>
      <w:r>
        <w:t>Estimo que esa especie de tercera categoría, no jurisdiccional ni administrativa, carece de base alguna en nuestro ordenamiento y se aparta injustificadamente de nuestra doctrina, contenida no solo en la STC 205/1994, sino en otras muchas, algunas de las cuales se citan en la STC 12/2025 (SSTC 110/1990 y 190/1991).</w:t>
      </w:r>
    </w:p>
    <w:p w14:paraId="5A6B8526" w14:textId="77777777" w:rsidR="00A8138F" w:rsidRDefault="00A8138F" w:rsidP="00A8138F">
      <w:pPr>
        <w:pStyle w:val="TextoNormal"/>
      </w:pPr>
    </w:p>
    <w:p w14:paraId="317D168C" w14:textId="77777777" w:rsidR="00A8138F" w:rsidRDefault="00A8138F" w:rsidP="00A8138F">
      <w:pPr>
        <w:pStyle w:val="TextoNormal"/>
      </w:pPr>
      <w:r>
        <w:t>Mediante la creación de “las decisiones de disciplina” en los términos mencionados, se viene a permitir la asunción por los letrados de la administración de justicia de funciones claramente jurisdiccionales y, al mismo tiempo, se mantiene la doctrina de este tribunal que les ha venido negando la consideración de decisiones administrativas, al no quedar sujetas a los requisitos propios de los actos de imposición de sanciones ni al control de la jurisdicción contencioso-administrativa.</w:t>
      </w:r>
    </w:p>
    <w:p w14:paraId="1A3B7041" w14:textId="77777777" w:rsidR="00A8138F" w:rsidRDefault="00A8138F" w:rsidP="00A8138F">
      <w:pPr>
        <w:pStyle w:val="TextoNormal"/>
      </w:pPr>
    </w:p>
    <w:p w14:paraId="52F06EAA" w14:textId="77777777" w:rsidR="00A8138F" w:rsidRDefault="00A8138F" w:rsidP="00A8138F">
      <w:pPr>
        <w:pStyle w:val="TextoNormal"/>
      </w:pPr>
      <w:r>
        <w:t>2. Carácter jurisdiccional de las correcciones disciplinarias impuestas en el ámbito del proceso</w:t>
      </w:r>
    </w:p>
    <w:p w14:paraId="58D755D7" w14:textId="77777777" w:rsidR="00A8138F" w:rsidRDefault="00A8138F" w:rsidP="00A8138F">
      <w:pPr>
        <w:pStyle w:val="TextoNormal"/>
      </w:pPr>
    </w:p>
    <w:p w14:paraId="29DF164E" w14:textId="77777777" w:rsidR="00A8138F" w:rsidRDefault="00A8138F" w:rsidP="00A8138F">
      <w:pPr>
        <w:pStyle w:val="TextoNormal"/>
      </w:pPr>
      <w:r>
        <w:t>La naturaleza jurisdiccional de las correcciones disciplinarias en el ámbito judicial fue declarada en la citada STC 205/1994 en estos términos: “[e]n estas sentencias [SSTC 110/1990 y 190/1991]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 Por consiguiente, la resolución judicial en la que se declara la inadmisibilidad del recurso contencioso-administrativo no atenta contra el derecho fundamental a obtener tutela judicial efectiva ‛ni desde la perspectiva a obtener una resolución razonada con base en la legalidad ordinaria, ni como medio necesario para acceder a la revisión judicial’ (STC 190/1991, FJ 6)”.</w:t>
      </w:r>
    </w:p>
    <w:p w14:paraId="11761F56" w14:textId="77777777" w:rsidR="00A8138F" w:rsidRDefault="00A8138F" w:rsidP="00A8138F">
      <w:pPr>
        <w:pStyle w:val="TextoNormal"/>
      </w:pPr>
    </w:p>
    <w:p w14:paraId="23FAFF41" w14:textId="77777777" w:rsidR="00A8138F" w:rsidRDefault="00A8138F" w:rsidP="00A8138F">
      <w:pPr>
        <w:pStyle w:val="TextoNormal"/>
      </w:pPr>
      <w:r>
        <w:t>En otras muchas resoluciones posteriores el Tribunal ha reiterado que las decisiones de imposición de sanciones disciplinarias a un abogado constituyen actos jurisdiccionales, así, las SSTC 157/1996, de 15 de octubre, y 148/1997, de 29 de septiembre —que cita las SSTC 110/1990, 190/1991 y 205/1994—; 79/2002, de 8 de abril, y 197/2004, de 15 de noviembre.</w:t>
      </w:r>
    </w:p>
    <w:p w14:paraId="1BBC09B2" w14:textId="77777777" w:rsidR="00A8138F" w:rsidRDefault="00A8138F" w:rsidP="00A8138F">
      <w:pPr>
        <w:pStyle w:val="TextoNormal"/>
      </w:pPr>
    </w:p>
    <w:p w14:paraId="473378F1" w14:textId="77777777" w:rsidR="00A8138F" w:rsidRDefault="00A8138F" w:rsidP="00A8138F">
      <w:pPr>
        <w:pStyle w:val="TextoNormal"/>
      </w:pPr>
      <w:r>
        <w:t>Igualmente, la STC 155/2006, de 22 de mayo, FJ 2, afirma que “[a]l respecto debemos recordar que, conforme a reiterada doctrina de este tribunal, la misma razón de ser y la lógica de la ‛policía en estrados’ regulada en los arts. 448 y ss. de la Ley Orgánica del Poder Judicial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w:t>
      </w:r>
    </w:p>
    <w:p w14:paraId="2D717972" w14:textId="77777777" w:rsidR="00A8138F" w:rsidRDefault="00A8138F" w:rsidP="00A8138F">
      <w:pPr>
        <w:pStyle w:val="TextoNormal"/>
      </w:pPr>
    </w:p>
    <w:p w14:paraId="675E9AAC" w14:textId="77777777" w:rsidR="00A8138F" w:rsidRDefault="00A8138F" w:rsidP="00A8138F">
      <w:pPr>
        <w:pStyle w:val="TextoNormal"/>
      </w:pPr>
      <w:r>
        <w:t>De ello se infiere que la STC 205/1994 no fue en modo alguno episódica, sino que su doctrina ha sido reiterada en otras muchas, incluso posteriores a la reforma de la Ley Orgánica del Poder Judicial de 2003.</w:t>
      </w:r>
    </w:p>
    <w:p w14:paraId="1CC5D5B6" w14:textId="77777777" w:rsidR="00A8138F" w:rsidRDefault="00A8138F" w:rsidP="00A8138F">
      <w:pPr>
        <w:pStyle w:val="TextoNormal"/>
      </w:pPr>
    </w:p>
    <w:p w14:paraId="165B05A3" w14:textId="77777777" w:rsidR="00A8138F" w:rsidRDefault="00A8138F" w:rsidP="00A8138F">
      <w:pPr>
        <w:pStyle w:val="TextoNormal"/>
      </w:pPr>
      <w:r>
        <w:t>3. Necesaria intervención del titular del órgano jurisdiccional en la decisión final de imposición de la sanción en el propio proceso</w:t>
      </w:r>
    </w:p>
    <w:p w14:paraId="75696686" w14:textId="77777777" w:rsidR="00A8138F" w:rsidRDefault="00A8138F" w:rsidP="00A8138F">
      <w:pPr>
        <w:pStyle w:val="TextoNormal"/>
      </w:pPr>
    </w:p>
    <w:p w14:paraId="3179F8E2" w14:textId="77777777" w:rsidR="00A8138F" w:rsidRDefault="00A8138F" w:rsidP="00A8138F">
      <w:pPr>
        <w:pStyle w:val="TextoNormal"/>
      </w:pPr>
      <w:r>
        <w:t>La jurisprudencia constitucional recuerda que el bien tutelado en el procedimiento de imposición de sanciones a abogados y procuradores en el proceso no es el honor o la dignidad de la persona titular de un órgano judicial, sino el respeto debido al Poder Judicial en tanto que institución y que, por ello “el límite de la libertad de expresión en el ejercicio del derecho de defensa lo constituye, en este caso, el mínimo respeto debido a la autoridad e imparcialidad del Poder Judicial” (SSTC 157/1996, de 15 de octubre; 226/2001, de 26 de noviembre; 79/2002, de 8 de abril; 235/2002, de 9 de enero; 117/2003, de 16 de junio; 65/2004, de 19 de abril; 197/2004, de 15 de noviembre; 22/2005, de 1 de febrero, y 155/2006, de 22 de mayo).</w:t>
      </w:r>
    </w:p>
    <w:p w14:paraId="54ED5C37" w14:textId="77777777" w:rsidR="00A8138F" w:rsidRDefault="00A8138F" w:rsidP="00A8138F">
      <w:pPr>
        <w:pStyle w:val="TextoNormal"/>
      </w:pPr>
    </w:p>
    <w:p w14:paraId="7B9DEAEC" w14:textId="77777777" w:rsidR="00A8138F" w:rsidRDefault="00A8138F" w:rsidP="00A8138F">
      <w:pPr>
        <w:pStyle w:val="TextoNormal"/>
      </w:pPr>
      <w:r>
        <w:t>Por tanto, considero que la debida ponderación de los bienes constitucionales afectados y salvaguarda del debido respeto al Poder Judicial, tutelado por la norma, no permiten excluir en ningún caso de la decisión última sobre la procedencia de la sanción al titular del propio órgano jurisdiccional afectado por la infracción disciplinaria.</w:t>
      </w:r>
    </w:p>
    <w:p w14:paraId="60AED5A1" w14:textId="77777777" w:rsidR="00A8138F" w:rsidRDefault="00A8138F" w:rsidP="00A8138F">
      <w:pPr>
        <w:pStyle w:val="TextoNormal"/>
      </w:pPr>
    </w:p>
    <w:p w14:paraId="04FCDF58" w14:textId="77777777" w:rsidR="00A8138F" w:rsidRDefault="00A8138F" w:rsidP="00A8138F">
      <w:pPr>
        <w:pStyle w:val="TextoNormal"/>
      </w:pPr>
      <w:r>
        <w:t>A lo expuesto debo añadir que el único recurso previsto en el ámbito del órgano jurisdiccional en el que el letrado de la administración de justicia impone la sanción, es el de audiencia en justicia ante el propio letrado (art. 556 LOPJ), cuando para las resoluciones de naturaleza procesal —siendo la materia disciplinaria eminentemente sustantiva o de fondo— se contempla el recurso de revisión ante el juez o tribunal.</w:t>
      </w:r>
    </w:p>
    <w:p w14:paraId="482BCC2A" w14:textId="77777777" w:rsidR="00A8138F" w:rsidRDefault="00A8138F" w:rsidP="00A8138F">
      <w:pPr>
        <w:pStyle w:val="TextoNormal"/>
      </w:pPr>
    </w:p>
    <w:p w14:paraId="012BAB48" w14:textId="77777777" w:rsidR="00A8138F" w:rsidRDefault="00A8138F" w:rsidP="00A8138F">
      <w:pPr>
        <w:pStyle w:val="TextoNormal"/>
      </w:pPr>
      <w:r>
        <w:t>Este tribunal, en las SSTC 58/2016, de 17 de marzo; 72/2018, de 21 de junio; 34/2019, de 14 de marzo; 15/2020, de 28 de enero, y 151/2020, de 22 de octubre, ha resuelto cuestiones internas de inconstitucionalidad planteadas sobre diversas normas que, en directa conexión con la articulación procesal del modelo de oficina judicial que diseñó la Ley Orgánica 19/2003 y desarrolló la Ley 13/2009 —una de cuyas claves es potenciar la intervención de los letrados de la administración de justicia—, atribuían a estos últimos determinadas competencias resolutorias sin previsión de recurso ante la autoridad judicial, en procesos seguidos ante las jurisdicciones contencioso-administrativa, social, civil y penal.</w:t>
      </w:r>
    </w:p>
    <w:p w14:paraId="2A28E288" w14:textId="77777777" w:rsidR="00A8138F" w:rsidRDefault="00A8138F" w:rsidP="00A8138F">
      <w:pPr>
        <w:pStyle w:val="TextoNormal"/>
      </w:pPr>
    </w:p>
    <w:p w14:paraId="4862DAE1" w14:textId="77777777" w:rsidR="00A8138F" w:rsidRDefault="00A8138F" w:rsidP="00A8138F">
      <w:pPr>
        <w:pStyle w:val="TextoNormal"/>
      </w:pPr>
      <w:r>
        <w:t>La totalidad de las cuestiones de inconstitucionalidad fueron estimadas al concluir que las previsiones legales no eran compatibles con el derecho a la tutela judicial efectiva sin indefensión que garantiza el art. 24.1 CE y con el principio de exclusividad de la potestad jurisdiccional, o principio de “reserva de jurisdicción”, consagrado por el art. 117.3 CE y derivado del principio de independencia judicial garantizado por el art. 117.1 CE.</w:t>
      </w:r>
    </w:p>
    <w:p w14:paraId="5C5F0836" w14:textId="77777777" w:rsidR="00A8138F" w:rsidRDefault="00A8138F" w:rsidP="00A8138F">
      <w:pPr>
        <w:pStyle w:val="TextoNormal"/>
      </w:pPr>
    </w:p>
    <w:p w14:paraId="01B174BC" w14:textId="77777777" w:rsidR="00A8138F" w:rsidRDefault="00A8138F" w:rsidP="00A8138F">
      <w:pPr>
        <w:pStyle w:val="TextoNormal"/>
      </w:pPr>
      <w:r>
        <w:t>Considero que las razones que dieron lugar a la anulación de las normas cuestionadas son extrapolables, con mayor razón, a aquellos casos, como el actual, en que pueden verse afectados derechos fundamentales. Me resulta evidente que la resolución de este tipo de expedientes disciplinarios no tiene un contenido meramente procesal, sino sustantivo de naturaleza sancionadora y que, en el caso de los abogados, afecta a su derecho a la libertad de expresión y al de defensa de la parte, por lo que considero ineludible en todo caso preservar la garantía de control a cargo del titular de la potestad jurisdiccional.</w:t>
      </w:r>
    </w:p>
    <w:p w14:paraId="6A863217" w14:textId="77777777" w:rsidR="00A8138F" w:rsidRDefault="00A8138F" w:rsidP="00A8138F">
      <w:pPr>
        <w:pStyle w:val="TextoNormal"/>
      </w:pPr>
    </w:p>
    <w:p w14:paraId="3C2539A6" w14:textId="77777777" w:rsidR="00A8138F" w:rsidRDefault="00A8138F" w:rsidP="00A8138F">
      <w:pPr>
        <w:pStyle w:val="TextoNormal"/>
      </w:pPr>
      <w:r>
        <w:t>4. Conformidad con el sentido estimatorio del fallo</w:t>
      </w:r>
    </w:p>
    <w:p w14:paraId="4D4169A5" w14:textId="77777777" w:rsidR="00A8138F" w:rsidRDefault="00A8138F" w:rsidP="00A8138F">
      <w:pPr>
        <w:pStyle w:val="TextoNormal"/>
      </w:pPr>
    </w:p>
    <w:p w14:paraId="590FF976" w14:textId="77777777" w:rsidR="00A8138F" w:rsidRDefault="00A8138F" w:rsidP="00A8138F">
      <w:pPr>
        <w:pStyle w:val="TextoNormal"/>
      </w:pPr>
      <w:r>
        <w:t>Las precedentes consideraciones no son incompatibles con que comparta la estimación del recurso de amparo, con los efectos anulatorios que conlleva de las resoluciones impugnadas.</w:t>
      </w:r>
    </w:p>
    <w:p w14:paraId="7D0E1794" w14:textId="77777777" w:rsidR="00A8138F" w:rsidRDefault="00A8138F" w:rsidP="00A8138F">
      <w:pPr>
        <w:pStyle w:val="TextoNormal"/>
      </w:pPr>
    </w:p>
    <w:p w14:paraId="3BCE3FA9" w14:textId="77777777" w:rsidR="00A8138F" w:rsidRDefault="00A8138F" w:rsidP="00A8138F">
      <w:pPr>
        <w:pStyle w:val="TextoNormal"/>
      </w:pPr>
      <w:r>
        <w:t xml:space="preserve">La </w:t>
      </w:r>
      <w:r w:rsidRPr="00A8138F">
        <w:rPr>
          <w:i/>
        </w:rPr>
        <w:t>ratio decidendi</w:t>
      </w:r>
      <w:r>
        <w:t xml:space="preserve"> de la sentencia puede condensarse en el siguiente pasaje conclusivo (FJ 4.4): “en casos como el presente, en el que resulta manifiesto que las expresiones supuestamente irrespetuosas que justificaron la corrección disciplinaria no fueron vertidas en una actuación que se celebrara ante el letrado de la administración de justicia en las dependencias de la oficina judicial, sino en un escrito dirigido al juez que formalizaba un recurso de revisión que este había de resolver, cabe concluir que la incoación y resolución inicial del expediente disciplinario fue protagonizada por un órgano manifiestamente incompetente, lo que permite justificar la estimación de la queja, apoyada por el Ministerio Fiscal, por no haber sido impuesta la sanción en un procedimiento con todas las garantías (art. 24.2 CE), del que es presupuesto constitutivo la competencia del órgano sancionador”.</w:t>
      </w:r>
    </w:p>
    <w:p w14:paraId="596E6980" w14:textId="77777777" w:rsidR="00A8138F" w:rsidRDefault="00A8138F" w:rsidP="00A8138F">
      <w:pPr>
        <w:pStyle w:val="TextoNormal"/>
      </w:pPr>
    </w:p>
    <w:p w14:paraId="42816C29" w14:textId="77777777" w:rsidR="00A8138F" w:rsidRDefault="00A8138F" w:rsidP="00A8138F">
      <w:pPr>
        <w:pStyle w:val="TextoNormal"/>
      </w:pPr>
      <w:r>
        <w:t xml:space="preserve">Si he venido afirmando que la imposición de correcciones disciplinarias en el ámbito judicial, dada su naturaleza jurisdiccional, ha de ser de la competencia exclusiva de los titulares de la función jurisdiccional, </w:t>
      </w:r>
      <w:r w:rsidRPr="00A8138F">
        <w:rPr>
          <w:i/>
        </w:rPr>
        <w:t>a fortiori</w:t>
      </w:r>
      <w:r>
        <w:t xml:space="preserve"> tengo que admitir que vulneró los derechos del recurrente a un proceso con todas las garantías, en relación con el derecho al juez ordinario predeterminado por la ley (art. 24.2 CE), la imposición por el letrado de la administración de justicia de una corrección disciplinaria a un abogado por unas manifestaciones vertidas en un escrito forense dirigido al juez en forma de recurso de revisión.</w:t>
      </w:r>
    </w:p>
    <w:p w14:paraId="1C64C13A" w14:textId="77777777" w:rsidR="00A8138F" w:rsidRDefault="00A8138F" w:rsidP="00A8138F">
      <w:pPr>
        <w:pStyle w:val="TextoNormal"/>
      </w:pPr>
    </w:p>
    <w:p w14:paraId="2D94CE40" w14:textId="77777777" w:rsidR="00A8138F" w:rsidRDefault="00A8138F" w:rsidP="00A8138F">
      <w:pPr>
        <w:pStyle w:val="TextoNormal"/>
      </w:pPr>
      <w:r>
        <w:t>En tal sentido emito el presente voto particular concurrente.</w:t>
      </w:r>
    </w:p>
    <w:p w14:paraId="1B821637" w14:textId="77777777" w:rsidR="00A8138F" w:rsidRDefault="00A8138F" w:rsidP="00A8138F">
      <w:pPr>
        <w:pStyle w:val="TextoNormal"/>
      </w:pPr>
    </w:p>
    <w:p w14:paraId="72B53359" w14:textId="689B040F" w:rsidR="00A8138F" w:rsidRDefault="00A8138F" w:rsidP="00A8138F">
      <w:pPr>
        <w:pStyle w:val="TextoNormal"/>
      </w:pPr>
      <w:r>
        <w:t>Madrid, a siete de abril de dos mil veinticinco.</w:t>
      </w:r>
    </w:p>
    <w:p w14:paraId="4132B0AB" w14:textId="50B078A5" w:rsidR="00A8138F" w:rsidRDefault="00A8138F">
      <w:pPr>
        <w:spacing w:after="160" w:line="278" w:lineRule="auto"/>
        <w:rPr>
          <w:rFonts w:ascii="Times New Roman" w:eastAsia="Times New Roman" w:hAnsi="Times New Roman" w:cs="Times New Roman"/>
          <w:sz w:val="24"/>
          <w:szCs w:val="24"/>
          <w:lang w:eastAsia="es-ES"/>
        </w:rPr>
      </w:pPr>
      <w:r>
        <w:br w:type="page"/>
      </w:r>
    </w:p>
    <w:p w14:paraId="2096E526" w14:textId="77777777" w:rsidR="00A8138F" w:rsidRDefault="00A8138F" w:rsidP="00A8138F">
      <w:pPr>
        <w:pStyle w:val="TtuloResolucin"/>
      </w:pPr>
      <w:bookmarkStart w:id="87" w:name="SENTENCIA_2025_85"/>
      <w:r>
        <w:lastRenderedPageBreak/>
        <w:t>SENTENCIA 85/2025, de 7 de abril de 2025</w:t>
      </w:r>
    </w:p>
    <w:bookmarkEnd w:id="87"/>
    <w:p w14:paraId="421C2D84" w14:textId="77777777" w:rsidR="00A8138F" w:rsidRDefault="00A8138F" w:rsidP="00A8138F">
      <w:pPr>
        <w:pStyle w:val="TtuloResolucin"/>
      </w:pPr>
      <w:r>
        <w:t>Sala Segunda</w:t>
      </w:r>
    </w:p>
    <w:p w14:paraId="04E74818" w14:textId="77777777" w:rsidR="00A8138F" w:rsidRDefault="00A8138F" w:rsidP="00A8138F">
      <w:pPr>
        <w:pStyle w:val="TtuloBOE"/>
      </w:pPr>
      <w:r>
        <w:t>(BOE núm. 117, de 15 de mayo de 2025)</w:t>
      </w:r>
    </w:p>
    <w:p w14:paraId="01CA93D3" w14:textId="77777777" w:rsidR="00A8138F" w:rsidRDefault="00A8138F" w:rsidP="00A8138F">
      <w:pPr>
        <w:pStyle w:val="TextoNormalCentrado"/>
      </w:pPr>
      <w:r>
        <w:t>ECLI:ES:TC:2025:85</w:t>
      </w:r>
    </w:p>
    <w:p w14:paraId="2D3571C5" w14:textId="765A5061" w:rsidR="00A8138F" w:rsidRDefault="00A8138F" w:rsidP="00A8138F">
      <w:pPr>
        <w:pStyle w:val="TextoNormalCentrado"/>
      </w:pPr>
    </w:p>
    <w:p w14:paraId="1E6F96D2" w14:textId="77777777" w:rsidR="00A8138F" w:rsidRDefault="00A8138F" w:rsidP="00A8138F">
      <w:pPr>
        <w:pStyle w:val="SntesisDescriptiva"/>
      </w:pPr>
      <w:r>
        <w:t>Recurso de amparo 6729-2021. Promovido por don Ignacio López Gacio en relación con la sentencia de la Audiencia Provincial de Asturias que anuló la sentencia absolutoria previamente dictada por un juzgado de instrucción de Gijón.</w:t>
      </w:r>
    </w:p>
    <w:p w14:paraId="2B6B6A93" w14:textId="52E46124" w:rsidR="00A8138F" w:rsidRDefault="00A8138F" w:rsidP="00A8138F">
      <w:pPr>
        <w:pStyle w:val="SntesisDescriptiva"/>
      </w:pPr>
    </w:p>
    <w:p w14:paraId="1BCE5C14" w14:textId="77777777" w:rsidR="00A8138F" w:rsidRDefault="00A8138F" w:rsidP="00A8138F">
      <w:pPr>
        <w:pStyle w:val="SntesisAnaltica"/>
      </w:pPr>
      <w:r>
        <w:t>Vulneración de los derechos a la tutela judicial efectiva (resolución fundada en Derecho), a un proceso con todas las garantías y a la presunción de inocencia: revocación de la sentencia absolutoria basada en una discrepancia en la valoración de la prueba que supone una extralimitación de las facultades del tribunal de apelación (STC 72/2024).</w:t>
      </w:r>
    </w:p>
    <w:p w14:paraId="1AA20C06" w14:textId="789589A4" w:rsidR="00A8138F" w:rsidRDefault="00A8138F" w:rsidP="00A8138F">
      <w:pPr>
        <w:pStyle w:val="SntesisAnaltica"/>
      </w:pPr>
    </w:p>
    <w:p w14:paraId="3D74966B" w14:textId="7AFB7D7A" w:rsidR="00A8138F" w:rsidRDefault="00A8138F" w:rsidP="00A8138F">
      <w:pPr>
        <w:pStyle w:val="Extracto"/>
      </w:pPr>
      <w:r>
        <w:t>1.</w:t>
      </w:r>
      <w:r>
        <w:tab/>
        <w:t>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ese contexto impugnatorio de las acusaciones, una valoración alternativa de las inferencias fácticas ni una reconstrucción del hecho probado (STC 72/2024) [FJ 2].</w:t>
      </w:r>
    </w:p>
    <w:p w14:paraId="16488650" w14:textId="77777777" w:rsidR="00A8138F" w:rsidRDefault="00A8138F" w:rsidP="00A8138F">
      <w:pPr>
        <w:pStyle w:val="Extracto"/>
      </w:pPr>
    </w:p>
    <w:p w14:paraId="20410F82" w14:textId="77777777" w:rsidR="00A8138F" w:rsidRDefault="00A8138F" w:rsidP="00A8138F">
      <w:pPr>
        <w:pStyle w:val="Extracto"/>
      </w:pPr>
    </w:p>
    <w:p w14:paraId="19C4C34A"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91944F5" w14:textId="21FA48BA" w:rsidR="00A8138F" w:rsidRDefault="00A8138F" w:rsidP="00A8138F">
      <w:pPr>
        <w:pStyle w:val="TextoNormal"/>
      </w:pPr>
    </w:p>
    <w:p w14:paraId="04B67131" w14:textId="77777777" w:rsidR="00A8138F" w:rsidRDefault="00A8138F" w:rsidP="00A8138F">
      <w:pPr>
        <w:pStyle w:val="TextoNormalCentrado"/>
        <w:keepNext/>
      </w:pPr>
      <w:r>
        <w:t>EN NOMBRE DEL REY</w:t>
      </w:r>
    </w:p>
    <w:p w14:paraId="31CF623C" w14:textId="7BF86E8F" w:rsidR="00A8138F" w:rsidRDefault="00A8138F" w:rsidP="00A8138F">
      <w:pPr>
        <w:pStyle w:val="TextoNormalCentrado"/>
        <w:keepNext/>
      </w:pPr>
    </w:p>
    <w:p w14:paraId="20F1D358" w14:textId="77777777" w:rsidR="00A8138F" w:rsidRDefault="00A8138F" w:rsidP="00A8138F">
      <w:pPr>
        <w:pStyle w:val="TextoNormalCentrado"/>
        <w:keepNext/>
      </w:pPr>
    </w:p>
    <w:p w14:paraId="349C271A" w14:textId="77777777" w:rsidR="00A8138F" w:rsidRDefault="00A8138F" w:rsidP="00A8138F">
      <w:pPr>
        <w:pStyle w:val="TextoNormal"/>
      </w:pPr>
      <w:r>
        <w:t>la siguiente</w:t>
      </w:r>
    </w:p>
    <w:p w14:paraId="5FCC1D93" w14:textId="34978A29" w:rsidR="00A8138F" w:rsidRDefault="00A8138F" w:rsidP="00A8138F">
      <w:pPr>
        <w:pStyle w:val="TextoNormal"/>
      </w:pPr>
    </w:p>
    <w:p w14:paraId="593AC7BC" w14:textId="77777777" w:rsidR="00A8138F" w:rsidRDefault="00A8138F" w:rsidP="00A8138F">
      <w:pPr>
        <w:pStyle w:val="TextoNormalCentrado"/>
        <w:keepNext/>
      </w:pPr>
      <w:r>
        <w:t>SENTENCIA</w:t>
      </w:r>
    </w:p>
    <w:p w14:paraId="2DDE2E8C" w14:textId="3FAC8A19" w:rsidR="00A8138F" w:rsidRDefault="00A8138F" w:rsidP="00A8138F">
      <w:pPr>
        <w:pStyle w:val="TextoNormalCentrado"/>
        <w:keepNext/>
      </w:pPr>
    </w:p>
    <w:p w14:paraId="52FB7D5F" w14:textId="77777777" w:rsidR="00A8138F" w:rsidRDefault="00A8138F" w:rsidP="00A8138F">
      <w:pPr>
        <w:pStyle w:val="TextoNormal"/>
      </w:pPr>
      <w:r>
        <w:t>En el recurso de amparo núm. 6729-2021, promovido por don Ignacio López Gacio, contra la sentencia dictada el 1 de julio de 2021 por la Audiencia Provincial de Asturias, Sección Octava, constituida en órgano unipersonal, en los autos de recurso de apelación por delitos leves núm. 60-2021, así como contra la providencia dictada el 10 de septiembre de 2021 por el mismo órgano judicial por la que se inadmite el incidente de nulidad de actuaciones interpuesto contra aquella. Ha intervenido el Ministerio Fiscal. Ha sido ponente la magistrada doña Inmaculada Montalbán Huertas.</w:t>
      </w:r>
    </w:p>
    <w:p w14:paraId="7B6BB98A" w14:textId="343AE8A3" w:rsidR="00A8138F" w:rsidRDefault="00A8138F" w:rsidP="00A8138F">
      <w:pPr>
        <w:pStyle w:val="TextoNormal"/>
      </w:pPr>
    </w:p>
    <w:p w14:paraId="2DC4532A" w14:textId="77777777" w:rsidR="00A8138F" w:rsidRDefault="00A8138F" w:rsidP="00A8138F">
      <w:pPr>
        <w:pStyle w:val="TextoNormalNegritaCentrado"/>
        <w:keepNext/>
      </w:pPr>
      <w:r>
        <w:t>I. Antecedentes</w:t>
      </w:r>
    </w:p>
    <w:p w14:paraId="32BC300C" w14:textId="788BFF0B" w:rsidR="00A8138F" w:rsidRDefault="00A8138F" w:rsidP="00A8138F">
      <w:pPr>
        <w:pStyle w:val="TextoNormalNegritaCentrado"/>
        <w:keepNext/>
      </w:pPr>
    </w:p>
    <w:p w14:paraId="70777A69" w14:textId="3CBE72D8" w:rsidR="00A8138F" w:rsidRDefault="00A8138F" w:rsidP="00A8138F">
      <w:pPr>
        <w:pStyle w:val="TextoNormal"/>
      </w:pPr>
      <w:r w:rsidRPr="00A8138F">
        <w:rPr>
          <w:rStyle w:val="NumeroAFNegritaCaracter"/>
        </w:rPr>
        <w:t>1</w:t>
      </w:r>
      <w:r>
        <w:t xml:space="preserve">. Mediante escrito registrado en este tribunal el 25 de octubre de 2021, doña Cristina García-Bernardo Pendás, procuradora de los tribunales, en nombre y representación de don </w:t>
      </w:r>
      <w:r>
        <w:lastRenderedPageBreak/>
        <w:t>Ignacio López Gacio, y bajo la dirección de la abogada doña María Rosa Alonso Cuervo, interpuso recurso de amparo contra las resoluciones a las que se ha hecho referencia en el encabezamiento de esta sentencia.</w:t>
      </w:r>
    </w:p>
    <w:p w14:paraId="0A84A281" w14:textId="77777777" w:rsidR="00A8138F" w:rsidRDefault="00A8138F" w:rsidP="00A8138F">
      <w:pPr>
        <w:pStyle w:val="TextoNormal"/>
      </w:pPr>
    </w:p>
    <w:p w14:paraId="30644970" w14:textId="77777777" w:rsidR="00A8138F" w:rsidRDefault="00A8138F" w:rsidP="00A8138F">
      <w:pPr>
        <w:pStyle w:val="TextoNormal"/>
      </w:pPr>
      <w:r w:rsidRPr="00A8138F">
        <w:rPr>
          <w:rStyle w:val="NumeroAFNegritaCaracter"/>
        </w:rPr>
        <w:t>2</w:t>
      </w:r>
      <w:r>
        <w:t>. Los antecedentes de hecho relevantes para la resolución del recurso son los siguientes:</w:t>
      </w:r>
    </w:p>
    <w:p w14:paraId="5AD274DE" w14:textId="77777777" w:rsidR="00A8138F" w:rsidRDefault="00A8138F" w:rsidP="00A8138F">
      <w:pPr>
        <w:pStyle w:val="TextoNormal"/>
      </w:pPr>
    </w:p>
    <w:p w14:paraId="7E0A47E0" w14:textId="77777777" w:rsidR="00A8138F" w:rsidRDefault="00A8138F" w:rsidP="00A8138F">
      <w:pPr>
        <w:pStyle w:val="TextoNormal"/>
      </w:pPr>
      <w:r>
        <w:t>a) Don Ignacio López Gacio y don José Antonio Moreno Florencio formularon denuncias recíprocas que dieron lugar a la incoación, en el Juzgado de Instrucción núm. 3 de Gijón, del procedimiento por delito leve núm. 1095-2020. El día 5 de febrero de 2021 se celebró el juicio oral, al que ambos asistieron en la doble condición de denunciante-denunciado. En dicho acto se recibió declaración como testigos a don Ricardo Alonso García y doña Mónica Reimundez Ordas, citados de oficio por el propio juzgado, y, a instancias del hoy recurrente en amparo, a don Roberto Suárez León. El juzgado inadmitió la testifical de doña Andrada Carmen Jecan, propuesta por la representación procesal de don José Antonio Moreno Florencio, atendidas las dudas que podría presentar su testimonio por ser la pareja este. En dicho acto, el Ministerio Fiscal solicitó la libre absolución de ambos denunciados; la representación de don José Antonio Moreno Florencio interesó su libre absolución y la condena del hoy recurrente en amparo como autor de un delito leve de lesiones; y la representación del señor López Gacio interesó la libre absolución de este y la condena de don José Antonio Moreno Florencio como autor de un delito leve de amenazas.</w:t>
      </w:r>
    </w:p>
    <w:p w14:paraId="69FF2C49" w14:textId="77777777" w:rsidR="00A8138F" w:rsidRDefault="00A8138F" w:rsidP="00A8138F">
      <w:pPr>
        <w:pStyle w:val="TextoNormal"/>
      </w:pPr>
    </w:p>
    <w:p w14:paraId="70421308" w14:textId="77777777" w:rsidR="00A8138F" w:rsidRDefault="00A8138F" w:rsidP="00A8138F">
      <w:pPr>
        <w:pStyle w:val="TextoNormal"/>
      </w:pPr>
      <w:r>
        <w:t>b) El Juzgado de Instrucción núm. 3 de Gijón dictó sentencia el 5 de febrero de 2021 en la que se consideraron probados los siguientes hechos:</w:t>
      </w:r>
    </w:p>
    <w:p w14:paraId="2431F03B" w14:textId="77777777" w:rsidR="00A8138F" w:rsidRDefault="00A8138F" w:rsidP="00A8138F">
      <w:pPr>
        <w:pStyle w:val="TextoNormal"/>
      </w:pPr>
    </w:p>
    <w:p w14:paraId="2D2A082E" w14:textId="77777777" w:rsidR="00A8138F" w:rsidRDefault="00A8138F" w:rsidP="00A8138F">
      <w:pPr>
        <w:pStyle w:val="TextoNormal"/>
      </w:pPr>
      <w:r>
        <w:t>“El día 22 de julio de 2020 en el interior de la urbanización El Mirador de Viesques […] José Antonio Moreno Florencio iba con un grupo de personas, por la noche, que hablaban en voz muy alta, siéndoles llamada la atención por Ignacio López Gacio, a quien José Antonio lanzó una patada dirigida al cuerpo, que no llegó a alcanzarle, provocando que el propio José Antonio cayera al suelo sufriendo lesiones”.</w:t>
      </w:r>
    </w:p>
    <w:p w14:paraId="55F5939E" w14:textId="77777777" w:rsidR="00A8138F" w:rsidRDefault="00A8138F" w:rsidP="00A8138F">
      <w:pPr>
        <w:pStyle w:val="TextoNormal"/>
      </w:pPr>
    </w:p>
    <w:p w14:paraId="30D86D04" w14:textId="77777777" w:rsidR="00A8138F" w:rsidRDefault="00A8138F" w:rsidP="00A8138F">
      <w:pPr>
        <w:pStyle w:val="TextoNormal"/>
      </w:pPr>
      <w:r>
        <w:t>La sentencia absolvió al hoy recurrente en amparo del delito leve del que venía siendo acusado y condenó a don José Antonio Moreno Florencio como autor de un delito leve de amenazas a la pena de multa de cuarenta y cinco días con cuota diaria de diez euros, así como al abono de la mitad de las costas.</w:t>
      </w:r>
    </w:p>
    <w:p w14:paraId="5F3A9B8B" w14:textId="77777777" w:rsidR="00A8138F" w:rsidRDefault="00A8138F" w:rsidP="00A8138F">
      <w:pPr>
        <w:pStyle w:val="TextoNormal"/>
      </w:pPr>
    </w:p>
    <w:p w14:paraId="79F2A03B" w14:textId="77777777" w:rsidR="00A8138F" w:rsidRDefault="00A8138F" w:rsidP="00A8138F">
      <w:pPr>
        <w:pStyle w:val="TextoNormal"/>
      </w:pPr>
      <w:r>
        <w:t>c) Contra la referida sentencia se interpuso recurso de apelación por parte de don José Antonio Moreno Florencio, en el que interesó: (i) su absolución del delito leve por el que fue condenado; (ii) la condena del hoy recurrente en amparo como autor responsable de un delito leve de lesiones (art. 147.2 del Código penal: CP) a la pena de un mes de multa con seis euros de cuota diaria, así como al pago de una indemnización de 600 € por las lesiones sufridas. Por medio de otrosí y al amparo de lo establecido en el art. 790.3 de la Ley de enjuiciamiento criminal (LECrim), se interesó la práctica en segunda instancia de la prueba testifical de doña Andrada Carmen Jecan, pareja sentimental del señor Moreno Florencio. Tanto el Ministerio Fiscal como el hoy recurrente en amparo se opusieron a la estimación del recurso.</w:t>
      </w:r>
    </w:p>
    <w:p w14:paraId="6BF7C411" w14:textId="77777777" w:rsidR="00A8138F" w:rsidRDefault="00A8138F" w:rsidP="00A8138F">
      <w:pPr>
        <w:pStyle w:val="TextoNormal"/>
      </w:pPr>
    </w:p>
    <w:p w14:paraId="3581626D" w14:textId="77777777" w:rsidR="00A8138F" w:rsidRDefault="00A8138F" w:rsidP="00A8138F">
      <w:pPr>
        <w:pStyle w:val="TextoNormal"/>
      </w:pPr>
      <w:r>
        <w:t xml:space="preserve">d) Una vez elevadas las actuaciones a la Sección Octava de la Audiencia Provincial de Asturias (recurso de apelación sobre delitos leves núm. 60-2021), se dictó auto el 8 de junio </w:t>
      </w:r>
      <w:r>
        <w:lastRenderedPageBreak/>
        <w:t>de 2021 por el que se acordó la admisión de la prueba testifical propuesta, así como la celebración de vista a los solos efectos de la práctica de la mencionada prueba. La vista fue celebrada el 1 de julio de 2021 con la asistencia de todas las partes con sus respectivos letrados, y de la testigo propuesta. En el acto se practicó la prueba testifical, los letrados expusieron sus conclusiones en relación con la prueba, y seguidamente se dio la última palabra a cada uno de los denunciantes-denunciados para que alegasen lo que tuvieran por conveniente.</w:t>
      </w:r>
    </w:p>
    <w:p w14:paraId="6DCD1470" w14:textId="77777777" w:rsidR="00A8138F" w:rsidRDefault="00A8138F" w:rsidP="00A8138F">
      <w:pPr>
        <w:pStyle w:val="TextoNormal"/>
      </w:pPr>
    </w:p>
    <w:p w14:paraId="54EB654D" w14:textId="77777777" w:rsidR="00A8138F" w:rsidRDefault="00A8138F" w:rsidP="00A8138F">
      <w:pPr>
        <w:pStyle w:val="TextoNormal"/>
      </w:pPr>
      <w:r>
        <w:t>e) El día 1 de julio de 2021 se dictó sentencia en la que se acordó: (i) estimar el recurso de apelación; (ii) absolver al señor Moreno Florencio del delito de amenazas por el que había sido condenado en la instancia; (iii) condenar al hoy recurrente en amparo, señor López Gacio, como autor responsable de un delito leve de lesiones del art. 147.2 CP, a la pena de un mes de multa con cuota diaria de seis euros, con responsabilidad penal subsidiaria en caso de impago de un día de privación de libertad por cada dos cuotas impagadas, a abonar a don José Antonio Moreno Florencio la cantidad de 450 € más intereses en concepto de responsabilidad civil, y al pago de la mitad de las costas procesales, incluyendo la parte correspondiente de la acusación particular.</w:t>
      </w:r>
    </w:p>
    <w:p w14:paraId="65FFFFFF" w14:textId="77777777" w:rsidR="00A8138F" w:rsidRDefault="00A8138F" w:rsidP="00A8138F">
      <w:pPr>
        <w:pStyle w:val="TextoNormal"/>
      </w:pPr>
    </w:p>
    <w:p w14:paraId="3AF73258" w14:textId="77777777" w:rsidR="00A8138F" w:rsidRDefault="00A8138F" w:rsidP="00A8138F">
      <w:pPr>
        <w:pStyle w:val="TextoNormal"/>
      </w:pPr>
      <w:r>
        <w:t>La sentencia dictada en apelación no aceptó la declaración de hechos probados de la sentencia recurrida, y la sustituyó por la siguiente:</w:t>
      </w:r>
    </w:p>
    <w:p w14:paraId="68ACF840" w14:textId="77777777" w:rsidR="00A8138F" w:rsidRDefault="00A8138F" w:rsidP="00A8138F">
      <w:pPr>
        <w:pStyle w:val="TextoNormal"/>
      </w:pPr>
    </w:p>
    <w:p w14:paraId="30A39EBB" w14:textId="77777777" w:rsidR="00A8138F" w:rsidRDefault="00A8138F" w:rsidP="00A8138F">
      <w:pPr>
        <w:pStyle w:val="TextoNormal"/>
      </w:pPr>
      <w:r>
        <w:t>“El día 22/07/2020, sobre las 23:45 horas Ignacio López Gacio (en adelante, Ignacio), encontrándose en las inmediaciones de la puerta de acceso a la urbanización […] y con ánimo de menoscabar la integridad corporal de José Antonio Moreno Florencio (en adelante, José Antonio), propinó a este una patada en su brazo izquierdo, a resultas de lo cual José Antonio sufrió un detrimento en su integridad corporal en forma de dolor de muñeca y en el tendón flexor del dedo 1 y erosiones a nivel de la zona dorsal, detrimento que requirió, para su curación, exploración, colocación de un vendaje funcional e inyección antiinflamatoria, precisando para alcanzar aquella curación un período de quince días.</w:t>
      </w:r>
    </w:p>
    <w:p w14:paraId="63C28212" w14:textId="77777777" w:rsidR="00A8138F" w:rsidRDefault="00A8138F" w:rsidP="00A8138F">
      <w:pPr>
        <w:pStyle w:val="TextoNormal"/>
      </w:pPr>
    </w:p>
    <w:p w14:paraId="6FEE1A7C" w14:textId="77777777" w:rsidR="00A8138F" w:rsidRDefault="00A8138F" w:rsidP="00A8138F">
      <w:pPr>
        <w:pStyle w:val="TextoNormal"/>
      </w:pPr>
      <w:r>
        <w:t>El día 23/07/2020, sobre las 02:48 horas, José Antonio fue sanitariamente atendido en relación con el menoscabo corporal reseñado en el punto 1 del relato de hechos probados en el servicio de urgencias del Hospital de Begoña de Gijón”.</w:t>
      </w:r>
    </w:p>
    <w:p w14:paraId="336AFB1C" w14:textId="77777777" w:rsidR="00A8138F" w:rsidRDefault="00A8138F" w:rsidP="00A8138F">
      <w:pPr>
        <w:pStyle w:val="TextoNormal"/>
      </w:pPr>
    </w:p>
    <w:p w14:paraId="4339AED0" w14:textId="006B4EB3" w:rsidR="00A8138F" w:rsidRDefault="00A8138F" w:rsidP="00A8138F">
      <w:pPr>
        <w:pStyle w:val="TextoNormal"/>
      </w:pPr>
      <w:r>
        <w:t>f) Contra la sentencia dictada en apelación se interpuso, por la representación procesal del señor López Gacio, incidente de nulidad de actuaciones que fue inadmitido a trámite mediante providencia dictada el 10 de septiembre de 2021 por la Sección Octava de la Audiencia Provincial de Asturias, que argumentó que “la pretendida vulneración en la que se sustenta aquel pudo haber ya sido planteada con ocasión de la notificación del auto de admisión prueba […], dado que, desde entonces, ya tuvo conocimiento que iba a ser practicada determinada prueba de cargo”. Según la Sala, si el señor López Gacio estimaba que no era procesalmente viable un pronunciamiento condenatorio en segunda instancia, debió haber interpuesto el correspondiente recurso de súplica, poniendo de manifiesto la inutilidad y correlativa improcedencia de la prueba admitida y pendiente de práctica.</w:t>
      </w:r>
    </w:p>
    <w:p w14:paraId="14D456F0" w14:textId="77777777" w:rsidR="00A8138F" w:rsidRDefault="00A8138F" w:rsidP="00A8138F">
      <w:pPr>
        <w:pStyle w:val="TextoNormal"/>
      </w:pPr>
    </w:p>
    <w:p w14:paraId="63904E89" w14:textId="77777777" w:rsidR="00A8138F" w:rsidRDefault="00A8138F" w:rsidP="00A8138F">
      <w:pPr>
        <w:pStyle w:val="TextoNormal"/>
      </w:pPr>
      <w:r w:rsidRPr="00A8138F">
        <w:rPr>
          <w:rStyle w:val="NumeroAFNegritaCaracter"/>
        </w:rPr>
        <w:t>3</w:t>
      </w:r>
      <w:r>
        <w:t xml:space="preserve">. El demandante solicita que se le otorgue el amparo porque las resoluciones judiciales impugnadas son vulneradoras de los derechos a la tutela judicial efectiva, en su dimensión de derecho a obtener una resolución fundada en Derecho sobre el fondo de las cuestiones </w:t>
      </w:r>
      <w:r>
        <w:lastRenderedPageBreak/>
        <w:t>planteadas (art. 24.1 CE), a un proceso con todas las garantías y a la presunción de inocencia (art. 24.2 CE).</w:t>
      </w:r>
    </w:p>
    <w:p w14:paraId="577E7470" w14:textId="77777777" w:rsidR="00A8138F" w:rsidRDefault="00A8138F" w:rsidP="00A8138F">
      <w:pPr>
        <w:pStyle w:val="TextoNormal"/>
      </w:pPr>
    </w:p>
    <w:p w14:paraId="2AB5E466" w14:textId="77777777" w:rsidR="00A8138F" w:rsidRDefault="00A8138F" w:rsidP="00A8138F">
      <w:pPr>
        <w:pStyle w:val="TextoNormal"/>
      </w:pPr>
      <w:r>
        <w:t>Por lo que se refiere a la primera de las quejas, el demandante aduce que el órgano judicial ha incurrido en arbitrariedad al sustituir, en la sentencia de apelación, el relato de hechos probados de la sentencia de primera instancia con fundamento en la sola prueba testifical practicada en la vista celebrada el 1 de julio de 2021, sin hacer la más mínima referencia a las restantes pruebas personales practicadas en el juicio celebrado en primera instancia, bajo los principios de inmediación y contradicción. La revocación del pronunciamiento absolutorio se basa así de manera exclusiva en la testifical de la pareja sentimental del recurrente en apelación que, “a lo sumo podría ser utilizada para amparar un pronunciamiento absolutorio en segunda instancia, pero nunca para revocar en grado de apelación un pronunciamiento previo absolutorio”. Tras la reforma de la Ley de enjuiciamiento criminal por la Ley 41/2015, de 5 de octubre, la única opción existente para revocar un pronunciamiento absolutorio dictado en la instancia, cuando no se trate de cuestiones jurídicas, consiste en declarar la nulidad de la sentencia de instancia y devolver las actuaciones al juzgado de origen para que, en su caso, pueda celebrarse un nuevo juicio en el que habrá de practicarse toda la prueba, incluido el interrogatorio de las partes. Estima el demandante que esta actuación deja sin efecto la doble instancia penal, que constituye una garantía esencial del proceso penal, constituyendo a su vez una infracción del art. 792.2 LECrim, en su nueva redacción tras la reforma operada en la Ley de enjuiciamiento criminal por la Ley 41/2015.</w:t>
      </w:r>
    </w:p>
    <w:p w14:paraId="0DDFB4A7" w14:textId="77777777" w:rsidR="00A8138F" w:rsidRDefault="00A8138F" w:rsidP="00A8138F">
      <w:pPr>
        <w:pStyle w:val="TextoNormal"/>
      </w:pPr>
    </w:p>
    <w:p w14:paraId="2054F5AD" w14:textId="77777777" w:rsidR="00A8138F" w:rsidRDefault="00A8138F" w:rsidP="00A8138F">
      <w:pPr>
        <w:pStyle w:val="TextoNormal"/>
      </w:pPr>
      <w:r>
        <w:t xml:space="preserve">En cuanto a la segunda queja, el demandante fundamenta la infracción del derecho a un proceso con todas las garantías argumentando que ha existido una condena en segunda instancia sin respetar las exigencias de la doctrina constitucional (SSTC 88/2013, de 11 de abril; 105/2016, de 6 de junio; 125/2017, de 13 de noviembre, y 59/2018, de 4 de junio, entre otras) y con clara infracción del art. 792.2 LECrim. Y ello porque la condena del recurrente se ha producido a partir de una nueva valoración de pruebas personales, sin que se haya convocado y celebrado una vista en la que se haya oído personal y directamente a cuantos declararon en el juicio oral de primera instancia, y, ante todo, al acusado, con plenas garantías de publicidad, inmediación y contradicción. La sola reproducción y visionado de la grabación de la vista celebrada en primera instancia no es suficiente para entender colmadas tales garantías. Insiste el recurrente en que, de acuerdo con el art. 792.2 LECrim, su condena solo podría haberse llevado a cabo tras la declaración de nulidad en el recurso de apelación de la sentencia de instancia y previa celebración de un nuevo juicio ante el juez </w:t>
      </w:r>
      <w:r w:rsidRPr="00A8138F">
        <w:rPr>
          <w:i/>
        </w:rPr>
        <w:t>a quo</w:t>
      </w:r>
      <w:r>
        <w:t>, en el que se garantizaran los principios de inmediación y contradicción.</w:t>
      </w:r>
    </w:p>
    <w:p w14:paraId="1AFAF8E1" w14:textId="77777777" w:rsidR="00A8138F" w:rsidRDefault="00A8138F" w:rsidP="00A8138F">
      <w:pPr>
        <w:pStyle w:val="TextoNormal"/>
      </w:pPr>
    </w:p>
    <w:p w14:paraId="220C18AE" w14:textId="77777777" w:rsidR="00A8138F" w:rsidRDefault="00A8138F" w:rsidP="00A8138F">
      <w:pPr>
        <w:pStyle w:val="TextoNormal"/>
      </w:pPr>
      <w:r>
        <w:t xml:space="preserve">El recurso de amparo fundamenta finalmente la lesión del derecho a la presunción de inocencia en que se ha condenado al señor López Gacio con base en una actividad probatoria lesiva de derechos fundamentales y carente de garantías. En primer lugar, porque se le ha condenado sin tener en cuenta ninguna de las pruebas practicadas durante la primera instancia. Pero además, y ante todo, porque, aun cuando la sentencia hubiera valorado esas pruebas, habría incurrido en vulneración al estarle vedado al órgano de apelación condenar a quien ha sido absuelto en la instancia, pudiendo, a lo sumo, declarar la nulidad de la sentencia de instancia y devolver las actuaciones al órgano </w:t>
      </w:r>
      <w:r w:rsidRPr="00A8138F">
        <w:rPr>
          <w:i/>
        </w:rPr>
        <w:t>a quo</w:t>
      </w:r>
      <w:r>
        <w:t>, para la celebración de un nuevo juicio donde se garantice la práctica de toda la prueba incluida la declaración del acusado bajo los principios de inmediación y contradicción.</w:t>
      </w:r>
    </w:p>
    <w:p w14:paraId="4CE32012" w14:textId="77777777" w:rsidR="00A8138F" w:rsidRDefault="00A8138F" w:rsidP="00A8138F">
      <w:pPr>
        <w:pStyle w:val="TextoNormal"/>
      </w:pPr>
    </w:p>
    <w:p w14:paraId="7CEDE75F" w14:textId="4D2D0EEA" w:rsidR="00A8138F" w:rsidRDefault="00A8138F" w:rsidP="00A8138F">
      <w:pPr>
        <w:pStyle w:val="TextoNormal"/>
      </w:pPr>
      <w:r>
        <w:lastRenderedPageBreak/>
        <w:t>El demandante termina suplicando que se dicte sentencia estimatoria del amparo con los siguientes pronunciamientos: (i) que se reconozca la vulneración de los derechos fundamentales antes enunciados; (ii) que se declare la nulidad de la sentencia dictada por la Audiencia Provincial de Asturias el 1 de julio de 2021 “exclusivamente en lo relativo a la condena del recurrente como autor de un delito leve de lesiones y las condenas impuestas, manteniendo el resto de los pronunciamientos, dejando por consiguiente subsistente el fallo absolutorio del recurrente recaído en la Sentencia dictada, en su día, por el Juzgado de Instrucción núm. 3 de Gijón en autos por delito leve núm. 1095-2020 de fecha 05/02/2021”; y (iii) que se declare la nulidad de la providencia que inadmitió el recurso excepcional de nulidad de actuaciones de 10 de septiembre de 2021.</w:t>
      </w:r>
    </w:p>
    <w:p w14:paraId="666EDF7C" w14:textId="77777777" w:rsidR="00A8138F" w:rsidRDefault="00A8138F" w:rsidP="00A8138F">
      <w:pPr>
        <w:pStyle w:val="TextoNormal"/>
      </w:pPr>
    </w:p>
    <w:p w14:paraId="49A6573D" w14:textId="0BC0B6F5" w:rsidR="00A8138F" w:rsidRDefault="00A8138F" w:rsidP="00A8138F">
      <w:pPr>
        <w:pStyle w:val="TextoNormal"/>
      </w:pPr>
      <w:r w:rsidRPr="00A8138F">
        <w:rPr>
          <w:rStyle w:val="NumeroAFNegritaCaracter"/>
        </w:rPr>
        <w:t>4</w:t>
      </w:r>
      <w:r>
        <w:t>. Mediante providencia de 24 de enero de 2022, la Sección Segunda de este tribunal admitió a trámite el recurso de amparo, apreciando como motivos de especial trascendencia constitucional (art. 50.1 de la Ley Orgánica del Tribunal Constitucional: LOTC) que el recurso puede dar ocasión al Tribunal para aclarar o cambiar su doctrina, como consecuencia de un proceso de reflexión interna [STC 155/2009, de 25 de junio, FJ 2 b)] y el órgano judicial pudiera haber incurrido en una negativa manifiesta del deber de acatamiento de la doctrina de este tribunal [STC 155/2009, FJ 2 f)]. De conformidad con lo dispuesto en el art. 51 LOTC, acordó dirigir atenta comunicación a la Sección Octava de la Audiencia Provincial de Asturias a fin de que, en plazo no superior a diez días, remitiera certificado o fotocopia adverada de las actuaciones correspondientes al recurso de apelación núm. 60-2021 y, asimismo, al Juzgado de Instrucción núm. 3 de Gijón a fin de que, en el mismo plazo, remitiera certificación o fotocopia adverada de las actuaciones correspondientes al juicio sobre delito leve núm. 989-2016, debiendo previamente emplazarse a quienes hubieran sido parte en el procedimiento —excepto la parte recurrente en amparo— para que en el plazo de diez días pudieran comparecer en el recurso de amparo.</w:t>
      </w:r>
    </w:p>
    <w:p w14:paraId="1B733442" w14:textId="77777777" w:rsidR="00A8138F" w:rsidRDefault="00A8138F" w:rsidP="00A8138F">
      <w:pPr>
        <w:pStyle w:val="TextoNormal"/>
      </w:pPr>
    </w:p>
    <w:p w14:paraId="32DCEB17" w14:textId="10D6ECCA" w:rsidR="00A8138F" w:rsidRDefault="00A8138F" w:rsidP="00A8138F">
      <w:pPr>
        <w:pStyle w:val="TextoNormal"/>
      </w:pPr>
      <w:r w:rsidRPr="00A8138F">
        <w:rPr>
          <w:rStyle w:val="NumeroAFNegritaCaracter"/>
        </w:rPr>
        <w:t>5</w:t>
      </w:r>
      <w:r>
        <w:t>. Por diligencia de ordenación del secretario de justicia de la Sala Primera del Tribunal Constitucional de 4 de marzo de 2022 se tuvieron por recibidas las actuaciones solicitadas en su día al Juzgado de Instrucción núm. 3 de Gijón y a la Sección Octava de la Audiencia Provincial de Asturias. Asimismo, de conformidad con lo dispuesto en el art. 52.1 LOTC, y se acordó dar vista de las actuaciones recibidas a la parte recurrente y al Ministerio Fiscal por plazo común de veinte días para que, dentro de dicho término, pudieran presentar las alegaciones que tuvieran por convenientes.</w:t>
      </w:r>
    </w:p>
    <w:p w14:paraId="53A94CB0" w14:textId="77777777" w:rsidR="00A8138F" w:rsidRDefault="00A8138F" w:rsidP="00A8138F">
      <w:pPr>
        <w:pStyle w:val="TextoNormal"/>
      </w:pPr>
    </w:p>
    <w:p w14:paraId="2D44D551" w14:textId="6FF6C905" w:rsidR="00A8138F" w:rsidRDefault="00A8138F" w:rsidP="00A8138F">
      <w:pPr>
        <w:pStyle w:val="TextoNormal"/>
      </w:pPr>
      <w:r w:rsidRPr="00A8138F">
        <w:rPr>
          <w:rStyle w:val="NumeroAFNegritaCaracter"/>
        </w:rPr>
        <w:t>6</w:t>
      </w:r>
      <w:r>
        <w:t>. El 1 de abril de 2022 la representación procesal del recurrente en amparo presentó su escrito de alegaciones. Tras reproducir íntegramente el contenido de la demanda, insistió en que las consecuencias derivadas de la estimación del recurso de amparo deberían limitarse a la nulidad de la sentencia impugnada en lo relativo a la condena del recurrente, dejando subsistente el fallo absolutorio recaído en la instancia.</w:t>
      </w:r>
    </w:p>
    <w:p w14:paraId="08FAA1EB" w14:textId="77777777" w:rsidR="00A8138F" w:rsidRDefault="00A8138F" w:rsidP="00A8138F">
      <w:pPr>
        <w:pStyle w:val="TextoNormal"/>
      </w:pPr>
    </w:p>
    <w:p w14:paraId="70D8845E" w14:textId="77777777" w:rsidR="00A8138F" w:rsidRDefault="00A8138F" w:rsidP="00A8138F">
      <w:pPr>
        <w:pStyle w:val="TextoNormal"/>
      </w:pPr>
      <w:r w:rsidRPr="00A8138F">
        <w:rPr>
          <w:rStyle w:val="NumeroAFNegritaCaracter"/>
        </w:rPr>
        <w:t>7</w:t>
      </w:r>
      <w:r>
        <w:t>. El Ministerio Fiscal formuló el trámite de alegaciones mediante escrito presentado en el registro del Tribunal Constitucional el día 27 de abril de 2022 que, en lo sustancial, se resume a continuación.</w:t>
      </w:r>
    </w:p>
    <w:p w14:paraId="64C09D72" w14:textId="77777777" w:rsidR="00A8138F" w:rsidRDefault="00A8138F" w:rsidP="00A8138F">
      <w:pPr>
        <w:pStyle w:val="TextoNormal"/>
      </w:pPr>
    </w:p>
    <w:p w14:paraId="33133831" w14:textId="77777777" w:rsidR="00A8138F" w:rsidRDefault="00A8138F" w:rsidP="00A8138F">
      <w:pPr>
        <w:pStyle w:val="TextoNormal"/>
      </w:pPr>
      <w:r>
        <w:t xml:space="preserve">a) Tras referirse a los antecedentes fácticos que han dado lugar al presente recurso de amparo, y con carácter previo al análisis del caso concreto, el Ministerio Fiscal efectúa una </w:t>
      </w:r>
      <w:r>
        <w:lastRenderedPageBreak/>
        <w:t>síntesis de la evolución de la doctrina constitucional relativa al recurso de apelación penal, a las garantías constitucionales que son aplicables a quien resulta condenado en segunda instancia tras la revisión de una previa absolución, así como un repaso a las disposiciones de la Ley de enjuiciamiento criminal que deberán ser tomadas en cuenta para analizar si las resoluciones judiciales impugnadas son vulneradoras de los derechos fundamentales del recurrente en amparo.</w:t>
      </w:r>
    </w:p>
    <w:p w14:paraId="0119824F" w14:textId="77777777" w:rsidR="00A8138F" w:rsidRDefault="00A8138F" w:rsidP="00A8138F">
      <w:pPr>
        <w:pStyle w:val="TextoNormal"/>
      </w:pPr>
    </w:p>
    <w:p w14:paraId="6DF55603" w14:textId="77777777" w:rsidR="00A8138F" w:rsidRDefault="00A8138F" w:rsidP="00A8138F">
      <w:pPr>
        <w:pStyle w:val="TextoNormal"/>
      </w:pPr>
      <w:r>
        <w:t xml:space="preserve">b) Por lo que se refiere a la primera de las cuestiones apuntadas, el Ministerio Fiscal afirma que con anterioridad a la STC 167/2002, de 18 de septiembre, el recurso de apelación en el proceso penal abreviado otorgaba plenas facultades al tribunal </w:t>
      </w:r>
      <w:r w:rsidRPr="00A8138F">
        <w:rPr>
          <w:i/>
        </w:rPr>
        <w:t>ad quem</w:t>
      </w:r>
      <w:r>
        <w:t xml:space="preserve"> para resolver tantas cuestiones como le fueran presentadas, ya de hecho o de Derecho, constituyendo en consecuencia, un </w:t>
      </w:r>
      <w:r w:rsidRPr="00A8138F">
        <w:rPr>
          <w:i/>
        </w:rPr>
        <w:t>novum iudicium</w:t>
      </w:r>
      <w:r>
        <w:t xml:space="preserve"> que permitía a los órganos de apelación, no solo revocar pronunciamientos absolutorios dictados en la instancia, sino también sustituirlos por otros de signo condenatorio. A partir de la STC 167/2002, de 18 de septiembre, inspirado en la doctrina del Tribunal Europeo de Derechos Humanos, se produjo una importante evolución que quedó sintetizada en la STC 59/2018, de 4 de junio. Según esa doctrina, los principios de publicidad, inmediación y contradicción, que forman parte del derecho a un proceso con todas las garantías, exigen que toda condena articulada sobre pruebas personales se fundamente en una actividad probatoria que el órgano judicial haya examinado directa y personalmente en un debate público y contradictorio. Con base en lo anterior, es contrario a un proceso con todas las garantías que un órgano judicial, conociendo a través de recurso, condene a quien resultó absuelto en la instancia, o empeore su situación, como consecuencia de una nueva fijación de los hechos probados, cuyo origen sea la reconsideración de pruebas cuya correcta y adecuada apreciación exija necesariamente que se practiquen en presencia del órgano judicial que las valora, sin haber celebrado una vista pública en que se haya desarrollado dicha actividad probatoria con todas las garantías.</w:t>
      </w:r>
    </w:p>
    <w:p w14:paraId="0A516848" w14:textId="77777777" w:rsidR="00A8138F" w:rsidRDefault="00A8138F" w:rsidP="00A8138F">
      <w:pPr>
        <w:pStyle w:val="TextoNormal"/>
      </w:pPr>
    </w:p>
    <w:p w14:paraId="679DA8CD" w14:textId="77777777" w:rsidR="00A8138F" w:rsidRDefault="00A8138F" w:rsidP="00A8138F">
      <w:pPr>
        <w:pStyle w:val="TextoNormal"/>
      </w:pPr>
      <w:r>
        <w:t>c) El Ministerio Fiscal examina en segundo término las disposiciones de la Ley de enjuiciamiento criminal que resultan aplicables. Comienza subrayando que la Ley 41/2015, de 5 de octubre, de modificación de la Ley de enjuiciamiento criminal para la agilización de la justicia penal y el fortalecimiento de las garantías procesales, ha acogido la doctrina constitucional anteriormente expuesta, tal y como se afirma en el apartado IV de su exposición de motivos. Analiza a continuación las normas reguladoras del recurso de apelación contra las sentencias recaídas respecto de delitos leves que resultan de aplicación, concretamente los arts. 790 a 792 LECrim, por remitirse expresamente a ellas el art. 976.2 LECrim. De conformidad con lo previsto en el primer párrafo del art. 790.2 LECrim, el recurso de apelación podrá fundarse —al igual que en la anterior regulación— en quebrantamiento de las normas y garantías procesales, error en la apreciación de la prueba e infracción de las normas del ordenamiento jurídico. Cuando se alega error en la apreciación de la prueba, el art. 790.2 LECrim exige que se justifique la concurrencia de alguno de los siguientes motivos: (i) la insuficiencia o falta de racionalidad en la motivación fáctica; (ii) el apartamiento manifiesto de las máximas de la experiencia; o la omisión de todo razonamiento sobre alguna o algunas de las pruebas practicadas que pudieran tener relevancia o cuya nulidad haya sido improcedentemente declarada. En tales casos y por disponerlo así el art. 792.2 LECrim, la sentencia de apelación no podrá condenar al que resultó absuelto en la instancia ni tampoco agravar la condena, sino acordar, en su caso, la nulidad de la sentencia recurrida y la devolución de las actuaciones al órgano que la dictó.</w:t>
      </w:r>
    </w:p>
    <w:p w14:paraId="09F97A46" w14:textId="77777777" w:rsidR="00A8138F" w:rsidRDefault="00A8138F" w:rsidP="00A8138F">
      <w:pPr>
        <w:pStyle w:val="TextoNormal"/>
      </w:pPr>
    </w:p>
    <w:p w14:paraId="17B14515" w14:textId="77777777" w:rsidR="00A8138F" w:rsidRDefault="00A8138F" w:rsidP="00A8138F">
      <w:pPr>
        <w:pStyle w:val="TextoNormal"/>
      </w:pPr>
      <w:r>
        <w:lastRenderedPageBreak/>
        <w:t>d) Aplicando estas consideraciones de alcance general al caso examinado, el Ministerio Fiscal estima que la Audiencia Provincial de Asturias, tras acoger la solicitud de práctica de la prueba en segunda instancia, estimó la pretensión de condena del hoy recurrente en amparo en contra de una prohibición legal expresa (art. 792.2 LECrim), lo que, a su juicio, constituye una actuación irrazonable vulneradora del art. 24.1 CE. Las resoluciones impugnadas vulneran también el derecho a un proceso con todas las garantías toda vez que órgano judicial, al acoger la pretensión de práctica de la prueba en segunda instancia, ignoró las previsiones legales contenidas en el art. 791.1 y 791.2 LECrim que establecen que, una vez admitida la prueba, el letrado de la administración de justicia señalará vista a la que serán citadas todas las partes. Sin embargo, con desconocimiento de dichas normas legales, el hoy recurrente en amparo no fue citado ni oído en dicha vista a pesar de existir una pretensión de condena en su contra. La única actuación practicada en la instancia —la testifical de doña Andrada Carmen Jecan— determinó por sí sola, sin contradicción alguna, que la sentencia dictada por la Audiencia Provincial modificara por completo el relato fáctico de la sentencia dictada en primera instancia, vulnerando así el derecho a un proceso con todas las garantías.</w:t>
      </w:r>
    </w:p>
    <w:p w14:paraId="42CC3594" w14:textId="77777777" w:rsidR="00A8138F" w:rsidRDefault="00A8138F" w:rsidP="00A8138F">
      <w:pPr>
        <w:pStyle w:val="TextoNormal"/>
      </w:pPr>
    </w:p>
    <w:p w14:paraId="4D7DDB6D" w14:textId="4C9E31C3" w:rsidR="00A8138F" w:rsidRDefault="00A8138F" w:rsidP="00A8138F">
      <w:pPr>
        <w:pStyle w:val="TextoNormal"/>
      </w:pPr>
      <w:r>
        <w:t xml:space="preserve">Termina sus alegaciones solicitando la estimación del amparo por entender que el tribunal </w:t>
      </w:r>
      <w:r w:rsidRPr="00A8138F">
        <w:rPr>
          <w:i/>
        </w:rPr>
        <w:t>ad quem</w:t>
      </w:r>
      <w:r>
        <w:t xml:space="preserve"> vulneró: (i) el derecho a la tutela judicial efectiva (art. 24.1 CE) en su vertiente a obtener una resolución fundada en Derecho, no arbitraria ni irrazonable, al condenar a pesar de la prohibición legal de hacerlo; y (ii) el derecho a un proceso con todas las garantías (art. 24.2 CE) en la medida en la que no se ajustó a las exigencias del art. 791 LECrim en la celebración de la vista, que se llevó a cabo sin contradicción. En consecuencia, solicita que se declare la nulidad de todo lo actuado a partir de ese momento y se retrotraigan las actuaciones para que, por la Audiencia Provincial, se proceda a la nueva celebración de vista con respeto a los derechos y garantías que entiende vulnerados.</w:t>
      </w:r>
    </w:p>
    <w:p w14:paraId="3A8DFB99" w14:textId="77777777" w:rsidR="00A8138F" w:rsidRDefault="00A8138F" w:rsidP="00A8138F">
      <w:pPr>
        <w:pStyle w:val="TextoNormal"/>
      </w:pPr>
    </w:p>
    <w:p w14:paraId="56332D22" w14:textId="045743B4" w:rsidR="00A8138F" w:rsidRDefault="00A8138F" w:rsidP="00A8138F">
      <w:pPr>
        <w:pStyle w:val="TextoNormal"/>
      </w:pPr>
      <w:r w:rsidRPr="00A8138F">
        <w:rPr>
          <w:rStyle w:val="NumeroAFNegritaCaracter"/>
        </w:rPr>
        <w:t>8</w:t>
      </w:r>
      <w:r>
        <w:t>. Por providencia de 3 de abril de 2025 se señaló para deliberación y votación de la presente sentencia el día 7 del mismo mes y año.</w:t>
      </w:r>
    </w:p>
    <w:p w14:paraId="2BEF6648" w14:textId="77777777" w:rsidR="00A8138F" w:rsidRDefault="00A8138F" w:rsidP="00A8138F">
      <w:pPr>
        <w:pStyle w:val="TextoNormal"/>
      </w:pPr>
    </w:p>
    <w:p w14:paraId="0DCB2097" w14:textId="77777777" w:rsidR="00A8138F" w:rsidRDefault="00A8138F" w:rsidP="00A8138F">
      <w:pPr>
        <w:pStyle w:val="TextoNormalNegritaCentrado"/>
        <w:keepNext/>
      </w:pPr>
      <w:r>
        <w:t>II. Fundamentos jurídicos</w:t>
      </w:r>
    </w:p>
    <w:p w14:paraId="4AA547CD" w14:textId="41C06AB9" w:rsidR="00A8138F" w:rsidRDefault="00A8138F" w:rsidP="00A8138F">
      <w:pPr>
        <w:pStyle w:val="TextoNormalNegritaCentrado"/>
        <w:keepNext/>
      </w:pPr>
    </w:p>
    <w:p w14:paraId="0F796E35" w14:textId="77777777" w:rsidR="00A8138F" w:rsidRDefault="00A8138F" w:rsidP="00A8138F">
      <w:pPr>
        <w:pStyle w:val="TextoNormal"/>
      </w:pPr>
      <w:r w:rsidRPr="00A8138F">
        <w:rPr>
          <w:rStyle w:val="NumeroAFNegritaCaracter"/>
        </w:rPr>
        <w:t>1</w:t>
      </w:r>
      <w:r>
        <w:t xml:space="preserve">. </w:t>
      </w:r>
      <w:r w:rsidRPr="00A8138F">
        <w:rPr>
          <w:i/>
        </w:rPr>
        <w:t>Objeto del recurso de amparo</w:t>
      </w:r>
    </w:p>
    <w:p w14:paraId="61935DD6" w14:textId="77777777" w:rsidR="00A8138F" w:rsidRDefault="00A8138F" w:rsidP="00A8138F">
      <w:pPr>
        <w:pStyle w:val="TextoNormal"/>
      </w:pPr>
    </w:p>
    <w:p w14:paraId="1924308F" w14:textId="77777777" w:rsidR="00A8138F" w:rsidRDefault="00A8138F" w:rsidP="00A8138F">
      <w:pPr>
        <w:pStyle w:val="TextoNormal"/>
      </w:pPr>
      <w:r>
        <w:t>El recurso de amparo tiene por objeto la sentencia de fecha 1 de julio de 2021 —dictada por la Sección Octava de la Audiencia Provincial de Asturias en recurso de apelación núm. 60-2021— que revocó la sentencia del Juzgado de Instrucción núm. 3 de Gijón (juicios sobre delitos leves núm. 1095-2020) y condenó al ahora demandante como autor de un delito leve de lesiones del art. 147.2 CP. Asimismo, es objeto del recurso la providencia de fecha 10 de septiembre de 2021, de la misma Audiencia Provincial, que inadmitió a trámite el incidente excepcional de nulidad del recurrente, quien se queja de la falta de reparación de los derechos fundamentales que se citan seguidamente.</w:t>
      </w:r>
    </w:p>
    <w:p w14:paraId="504AC5D7" w14:textId="77777777" w:rsidR="00A8138F" w:rsidRDefault="00A8138F" w:rsidP="00A8138F">
      <w:pPr>
        <w:pStyle w:val="TextoNormal"/>
      </w:pPr>
    </w:p>
    <w:p w14:paraId="6AB3CD92" w14:textId="77777777" w:rsidR="00A8138F" w:rsidRDefault="00A8138F" w:rsidP="00A8138F">
      <w:pPr>
        <w:pStyle w:val="TextoNormal"/>
      </w:pPr>
      <w:r>
        <w:t>La demanda de amparo atribuye a la sentencia de apelación la vulneración de los derechos fundamentales del recurrente a la tutela judicial efectiva (art. 24.1 CE), a un proceso con todas las garantías (art. 24.2 CE) y a la presunción de inocencia (art. 24.2 CE); y ello, en base a los siguientes argumentos: (i) La sentencia de la audiencia revocó el pronunciamiento absolutorio de la sentencia de instancia y lo sustituyó por un pronunciamiento con</w:t>
      </w:r>
      <w:r>
        <w:lastRenderedPageBreak/>
        <w:t xml:space="preserve">denatorio —en lugar de acordar su nulidad y devolver las actuaciones al juzgado </w:t>
      </w:r>
      <w:r w:rsidRPr="00A8138F">
        <w:rPr>
          <w:i/>
        </w:rPr>
        <w:t>a quo</w:t>
      </w:r>
      <w:r>
        <w:t xml:space="preserve"> para la celebración de nuevo juicio y dictado de nueva sentencia— en contra de lo establecido por la doctrina de este tribunal y de lo ordenado por el art. 792.2 LECrim; (ii) sustituyó el relato de hechos probados de la sentencia de instancia por otro nuevo sin la previa celebración de un juicio en que se desarrollase toda la actividad probatoria, en particular el interrogatorio del acusado, con respeto a los principios de contradicción e inmediación; y (iii) condenó al demandante en amparo teniendo en cuenta única y exclusivamente una de las pruebas, la testifical practicada el mismo día 1 de julio de 2020 ante la propia Audiencia Provincial, e ignorando por completo todo el material probatorio practicado en el juicio celebrado en la primera instancia, incluido el interrogatorio de las partes.</w:t>
      </w:r>
    </w:p>
    <w:p w14:paraId="17A7E802" w14:textId="77777777" w:rsidR="00A8138F" w:rsidRDefault="00A8138F" w:rsidP="00A8138F">
      <w:pPr>
        <w:pStyle w:val="TextoNormal"/>
      </w:pPr>
    </w:p>
    <w:p w14:paraId="5CD9E052" w14:textId="7D56DF5F" w:rsidR="00A8138F" w:rsidRDefault="00A8138F" w:rsidP="00A8138F">
      <w:pPr>
        <w:pStyle w:val="TextoNormal"/>
      </w:pPr>
      <w:r>
        <w:t>Con carácter previo al examen de los motivos de impugnación articulados en la demanda, ha de precisarse que todos ellos se refieren exclusivamente a las decisiones judiciales y no al desarrollo de la vista oral, celebrada el día 1 de julio de 2020 ante la audiencia Provincial, por lo que ajustaremos el contenido de nuestro examen y fallo a las resoluciones recurridas y a los tres motivos de impugnación que han sido invocadas en la demanda de amparo. Y dado que los argumentos que los sustentan se encuentran íntimamente enlazados entre sí, examinaremos tales vulneraciones de manera conjunta.</w:t>
      </w:r>
    </w:p>
    <w:p w14:paraId="6A3AB355" w14:textId="77777777" w:rsidR="00A8138F" w:rsidRDefault="00A8138F" w:rsidP="00A8138F">
      <w:pPr>
        <w:pStyle w:val="TextoNormal"/>
      </w:pPr>
    </w:p>
    <w:p w14:paraId="4DEB95E4" w14:textId="77777777" w:rsidR="00A8138F" w:rsidRDefault="00A8138F" w:rsidP="00A8138F">
      <w:pPr>
        <w:pStyle w:val="TextoNormal"/>
      </w:pPr>
      <w:r w:rsidRPr="00A8138F">
        <w:rPr>
          <w:rStyle w:val="NumeroAFNegritaCaracter"/>
        </w:rPr>
        <w:t>2</w:t>
      </w:r>
      <w:r>
        <w:t xml:space="preserve">. </w:t>
      </w:r>
      <w:r w:rsidRPr="00A8138F">
        <w:rPr>
          <w:i/>
        </w:rPr>
        <w:t>Doctrina aplicable</w:t>
      </w:r>
    </w:p>
    <w:p w14:paraId="3AB50F57" w14:textId="77777777" w:rsidR="00A8138F" w:rsidRDefault="00A8138F" w:rsidP="00A8138F">
      <w:pPr>
        <w:pStyle w:val="TextoNormal"/>
      </w:pPr>
    </w:p>
    <w:p w14:paraId="5F4CAA94" w14:textId="77777777" w:rsidR="00A8138F" w:rsidRDefault="00A8138F" w:rsidP="00A8138F">
      <w:pPr>
        <w:pStyle w:val="TextoNormal"/>
      </w:pPr>
      <w:r>
        <w:t>a) Es doctrina reiterada de este tribunal que el derecho a la tutela judicial efectiva (art. 24.1 CE) no se agota en el derecho a acceder al proceso y a solicitar a los órganos judiciales la tutela de los derechos e intereses legítimos; sino que comprende, además,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(STC 48/2024, de 8 de abril, FJ 3, y cuantas se citan en ella). El recurso de amparo no es cauce idóneo para corregir posibles errores en la selección, interpretación y aplicación del ordenamiento jurídico al caso, so pena de desvirtuar su naturaleza (STC 226/2000, de 2 de octubre, FJ 3); pero el derecho a la tutela judicial efectiva sí conlleva la garantía de que la decisión que se adopte esté fundada en una interpretación y aplicación del ordenamiento jurídico que no resulte arbitraria, pues tanto si la aplicación de la legalidad es fruto de un error patente, como si fuera arbitraria, manifiestamente irrazonada o irrazonable no podría considerarse fundada en Derecho, y la aplicación de la legalidad sería tan solo una mera apariencia.</w:t>
      </w:r>
    </w:p>
    <w:p w14:paraId="6C3F151E" w14:textId="77777777" w:rsidR="00A8138F" w:rsidRDefault="00A8138F" w:rsidP="00A8138F">
      <w:pPr>
        <w:pStyle w:val="TextoNormal"/>
      </w:pPr>
    </w:p>
    <w:p w14:paraId="5A67F3A4" w14:textId="77777777" w:rsidR="00A8138F" w:rsidRDefault="00A8138F" w:rsidP="00A8138F">
      <w:pPr>
        <w:pStyle w:val="TextoNormal"/>
      </w:pPr>
      <w:r>
        <w:t>b) También hemos venido declarando desde la STC 167/2002, de 18 de septiembre, que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(STC 88/2013, de 11 de abril, por todas).</w:t>
      </w:r>
    </w:p>
    <w:p w14:paraId="0F88E049" w14:textId="77777777" w:rsidR="00A8138F" w:rsidRDefault="00A8138F" w:rsidP="00A8138F">
      <w:pPr>
        <w:pStyle w:val="TextoNormal"/>
      </w:pPr>
    </w:p>
    <w:p w14:paraId="670D9068" w14:textId="77777777" w:rsidR="00A8138F" w:rsidRDefault="00A8138F" w:rsidP="00A8138F">
      <w:pPr>
        <w:pStyle w:val="TextoNormal"/>
      </w:pPr>
      <w:r>
        <w:lastRenderedPageBreak/>
        <w:t>La Ley 41/2015, de 5 de octubre, incorporó esta doctrina constitucional a la Ley de enjuiciamiento criminal al modificar su art. 792, que en su apartado 2 establece la prohibición expresa y taxativa de que la sentencia dictada en apelación en un juicio penal condene al encausado que hubiera resultado absuelto en primera instancia, o agrave la condena que le hubiera sido impuesta, con fundamento en un error en la apreciación de las pruebas. La reforma ha limitado también la posibilidad de revocar los fallos absolutorios por error en la valoración de las pruebas a aquellos supuestos en que quede justificada la insuficiencia o falta de racionalidad en la motivación fáctica de la sentencia de instancia, el apartamiento manifiesto de las máximas de experiencia o la omisión de todo razonamiento sobre alguna o algunas de las pruebas practicadas que pudieran tener relevancia o cuya nulidad hubiera sido improcedentemente declarada. Ha dispuesto, finalmente, que en caso de revocación del fallo absolutorio lo más que puede ordenar el tribunal de apelación es la nulidad de la sentencia dictada en la instancia y la devolución de las actuaciones las actuaciones al órgano que dictó la resolución recurrida, para el dictado de nueva sentencia, con o sin previo juicio oral.</w:t>
      </w:r>
    </w:p>
    <w:p w14:paraId="0E30372A" w14:textId="77777777" w:rsidR="00A8138F" w:rsidRDefault="00A8138F" w:rsidP="00A8138F">
      <w:pPr>
        <w:pStyle w:val="TextoNormal"/>
      </w:pPr>
    </w:p>
    <w:p w14:paraId="79834017" w14:textId="77777777" w:rsidR="00A8138F" w:rsidRDefault="00A8138F" w:rsidP="00A8138F">
      <w:pPr>
        <w:pStyle w:val="TextoNormal"/>
      </w:pPr>
      <w:r>
        <w:t>Tras esta reforma el Tribunal ha mantenido y precisado su doctrina en los términos que se recogen en la STC 72/2024, de 7 de mayo, y se reiteran en las SSTC 77/2024, de 20 de mayo, y 108/2024, de 9 de septiembre, que, en lo que resulta de aplicación al presente caso, puede sintetizarse del siguiente modo:</w:t>
      </w:r>
    </w:p>
    <w:p w14:paraId="6F54E9B2" w14:textId="77777777" w:rsidR="00A8138F" w:rsidRDefault="00A8138F" w:rsidP="00A8138F">
      <w:pPr>
        <w:pStyle w:val="TextoNormal"/>
      </w:pPr>
    </w:p>
    <w:p w14:paraId="6D508B85" w14:textId="77777777" w:rsidR="00A8138F" w:rsidRDefault="00A8138F" w:rsidP="00A8138F">
      <w:pPr>
        <w:pStyle w:val="TextoNormal"/>
      </w:pPr>
      <w:r>
        <w:t>(i) El modelo limitado de revisión en segundo grado de sentencias absolutorias autoriza que la misma se sustente en un error en la valoración de la prueba, permitiendo a las partes acusadoras denunciar la manifiesta irrazonabilidad de las conclusiones probatorias que han llevado a dicho pronunciamiento, en tanto que vulneración de una de las garantías constitucionales integrantes de su derecho a la tutela judicial efectiva (art. 24.1 CE). Ahora bien, lo que no resulta posible, conforme a una interpretación constitucionalmente asumible de este motivo de recurso, es que a su amparo se vuelvan a valorar las pruebas practicadas en el juicio oral de instancia para, a partir de ellas, extraer una conclusión probatoria alternativa que confronte y pretenda sustituir la alcanzada en la instancia.</w:t>
      </w:r>
    </w:p>
    <w:p w14:paraId="57B4EB2B" w14:textId="77777777" w:rsidR="00A8138F" w:rsidRDefault="00A8138F" w:rsidP="00A8138F">
      <w:pPr>
        <w:pStyle w:val="TextoNormal"/>
      </w:pPr>
    </w:p>
    <w:p w14:paraId="467CF784" w14:textId="77777777" w:rsidR="00A8138F" w:rsidRDefault="00A8138F" w:rsidP="00A8138F">
      <w:pPr>
        <w:pStyle w:val="TextoNormal"/>
      </w:pPr>
      <w:r>
        <w:t>(ii) La revisión que es posible en segundo grado no se refiere a las pruebas en sí mismas sino a la sentencia recurrida y a la fundamentación de su valoración. De este modo, el vicio de justificación que posibilita la anulación de la sentencia absolutoria debe emerger del texto de la decisión, confrontado con el desarrollo del juicio y la prueba documental que a él ha accedido, que siempre puede ser tomada en consideración a estos efectos (STC 120/2009, de 18 de mayo, FJ 4). Todo ello sin perjuicio de que las omisiones valorativas probatoriamente relevantes denunciadas por la acusación sean verificadas por el órgano revisor, en todo caso, sin prejuzgar el resultado de un nuevo enjuiciamiento.</w:t>
      </w:r>
    </w:p>
    <w:p w14:paraId="325BDE4C" w14:textId="77777777" w:rsidR="00A8138F" w:rsidRDefault="00A8138F" w:rsidP="00A8138F">
      <w:pPr>
        <w:pStyle w:val="TextoNormal"/>
      </w:pPr>
    </w:p>
    <w:p w14:paraId="5960955A" w14:textId="77777777" w:rsidR="00A8138F" w:rsidRDefault="00A8138F" w:rsidP="00A8138F">
      <w:pPr>
        <w:pStyle w:val="TextoNormal"/>
      </w:pPr>
      <w:r>
        <w:t>(iii) El control que es posible en apelación para controvertir el juicio fáctico de una sentencia absolutoria no consiente el acceso a las fuentes de prueba para reevaluarlas dado que en nuestro modelo de revisión sería contrario a las garantías del juicio justo, que no permiten en el contexto impugnatorio de las acusaciones una valoración alternativa de las inferencias fácticas ni una reconstrucción del hecho probado. De este modo, el tribunal de apelación incurrirá en una extralimitación de sus facultades de revisión en el caso de que pretenda imponer su valoración de la prueba sobre la realizada por el juzgador de instancia, en vez de limitar su control a realizar un juicio externo sobre la coherencia, suficiencia y razonabi</w:t>
      </w:r>
      <w:r>
        <w:lastRenderedPageBreak/>
        <w:t>lidad de la decisión absolutoria recurrida, para constatar si esa decisión incurre en arbitrariedad, manifiesta irrazonabilidad, o error fáctico patente.</w:t>
      </w:r>
    </w:p>
    <w:p w14:paraId="04889AB6" w14:textId="77777777" w:rsidR="00A8138F" w:rsidRDefault="00A8138F" w:rsidP="00A8138F">
      <w:pPr>
        <w:pStyle w:val="TextoNormal"/>
      </w:pPr>
    </w:p>
    <w:p w14:paraId="73172B59" w14:textId="77777777" w:rsidR="00A8138F" w:rsidRDefault="00A8138F" w:rsidP="00A8138F">
      <w:pPr>
        <w:pStyle w:val="TextoNormal"/>
      </w:pPr>
      <w:r>
        <w:t xml:space="preserve">c) Este tribunal ha reiterado finalmente que el derecho a la presunción de inocencia (art. 24.2 CE) se configura como el derecho a no ser condenado sin prueba de cargo válida, lo que determina que quepa considerar vulnerado este derecho cuando los órganos judiciales hayan sustentado la condena valorando una actividad probatoria lesiva de otros derechos fundamentales o carente de garantías, o cuando no se motive el resultado de dicha valoración, o cuando por ilógico o insuficiente no sea razonable el </w:t>
      </w:r>
      <w:r w:rsidRPr="00A8138F">
        <w:rPr>
          <w:i/>
        </w:rPr>
        <w:t>iter</w:t>
      </w:r>
      <w:r>
        <w:t xml:space="preserve"> discursivo que conduce de la prueba al hecho probado (por todas, STC 16/2012, de 13 de febrero, FJ 3). También se ha puesto de manifiesto que el control que le corresponde realizar a este tribunal sobre la eventual vulneración de este derecho se extiende a verificar si se ha dejado de someter a valoración la versión o la prueba de descargo aportada por el acusado, exigiéndose que se ponderen los distintos elementos probatorios, de modo que, aunque no sea necesario que esa ponderación se realice de modo pormenorizado ni que la ponderación se lleve a cabo del modo pretendido por el recurrente, sí es preciso que se ofrezca una explicación para su rechazo (STC 104/2011, de 20 de junio, FJ 2, reiterado en la STC 88/2013, de 11 de abril, FJ 12).</w:t>
      </w:r>
    </w:p>
    <w:p w14:paraId="6A8B8D53" w14:textId="77777777" w:rsidR="00A8138F" w:rsidRDefault="00A8138F" w:rsidP="00A8138F">
      <w:pPr>
        <w:pStyle w:val="TextoNormal"/>
      </w:pPr>
    </w:p>
    <w:p w14:paraId="0C28FFAE" w14:textId="2CFB60AA" w:rsidR="00A8138F" w:rsidRDefault="00A8138F" w:rsidP="00A8138F">
      <w:pPr>
        <w:pStyle w:val="TextoNormal"/>
      </w:pPr>
      <w:r>
        <w:t xml:space="preserve">La vulneración consecutiva de los derechos a un proceso con todas las garantías y a la presunción de inocencia determinará la anulación de la sentencia condenatoria sin retroacción de actuaciones (SSTC 88/2013, de 11 de abril, FJ 12, y 59/2018, de 4 de junio, FJ 5). En términos de la más reciente STC 72/2024, de 7 de mayo, FJ 7, “[l]as sentencias que vulneran la presunción de inocencia, en cualquiera de sus contenidos, expresan un juicio contrario al art. 24.2 CE que, por ello, deviene insubsanablemente nulo. No expresan un mero quebrantamiento de forma que haya de subsanarse, sino que integran un vicio </w:t>
      </w:r>
      <w:r w:rsidRPr="00A8138F">
        <w:rPr>
          <w:i/>
        </w:rPr>
        <w:t>in iudicando</w:t>
      </w:r>
      <w:r>
        <w:t>, una infracción de ley que va más allá de una defectuosa o insuficiente motivación”.</w:t>
      </w:r>
    </w:p>
    <w:p w14:paraId="2D7B3EF5" w14:textId="77777777" w:rsidR="00A8138F" w:rsidRDefault="00A8138F" w:rsidP="00A8138F">
      <w:pPr>
        <w:pStyle w:val="TextoNormal"/>
      </w:pPr>
    </w:p>
    <w:p w14:paraId="4E7D0A64" w14:textId="77777777" w:rsidR="00A8138F" w:rsidRDefault="00A8138F" w:rsidP="00A8138F">
      <w:pPr>
        <w:pStyle w:val="TextoNormal"/>
      </w:pPr>
      <w:r w:rsidRPr="00A8138F">
        <w:rPr>
          <w:rStyle w:val="NumeroAFNegritaCaracter"/>
        </w:rPr>
        <w:t>3</w:t>
      </w:r>
      <w:r>
        <w:t xml:space="preserve">. </w:t>
      </w:r>
      <w:r w:rsidRPr="00A8138F">
        <w:rPr>
          <w:i/>
        </w:rPr>
        <w:t>Resolución del recurso y estimación del amparo</w:t>
      </w:r>
    </w:p>
    <w:p w14:paraId="7B12EBD8" w14:textId="77777777" w:rsidR="00A8138F" w:rsidRDefault="00A8138F" w:rsidP="00A8138F">
      <w:pPr>
        <w:pStyle w:val="TextoNormal"/>
      </w:pPr>
    </w:p>
    <w:p w14:paraId="236E1290" w14:textId="77777777" w:rsidR="00A8138F" w:rsidRDefault="00A8138F" w:rsidP="00A8138F">
      <w:pPr>
        <w:pStyle w:val="TextoNormal"/>
      </w:pPr>
      <w:r>
        <w:t>La aplicación al caso de la doctrina expuesta conduce a la estimación de la demanda.</w:t>
      </w:r>
    </w:p>
    <w:p w14:paraId="131DBEAF" w14:textId="77777777" w:rsidR="00A8138F" w:rsidRDefault="00A8138F" w:rsidP="00A8138F">
      <w:pPr>
        <w:pStyle w:val="TextoNormal"/>
      </w:pPr>
    </w:p>
    <w:p w14:paraId="30BDDB5F" w14:textId="77777777" w:rsidR="00A8138F" w:rsidRDefault="00A8138F" w:rsidP="00A8138F">
      <w:pPr>
        <w:pStyle w:val="TextoNormal"/>
      </w:pPr>
      <w:r>
        <w:t>a) En primer término, la sentencia impugnada, dictada por la Sección Octava de la Audiencia Provincial de Asturias el 1 de julio de 2021, no se limitó a revocar y anular el pronunciamiento absolutorio recogido en sentencia dictada en primera instancia por el Juzgado de Instrucción núm. 3 de Gijón, devolviendo las actuaciones al órgano de procedencia, sino que lo sustituyó de forma directa por otro pronunciamiento condenatorio, en contra de la expresa prohibición contenida en el art. 792.2 LECrim, aplicable al juicio por delitos leves en virtud de la remisión que efectúa el art. 976.2 LECrim. Desde este punto de vista, el pronunciamiento de condena directa recogido en la sentencia impugnada no puede considerarse fundado en Derecho, y resulta, por ello, vulnerador del derecho a la tutela judicial efectiva (art. 24.1 CE).</w:t>
      </w:r>
    </w:p>
    <w:p w14:paraId="4EA1B79B" w14:textId="77777777" w:rsidR="00A8138F" w:rsidRDefault="00A8138F" w:rsidP="00A8138F">
      <w:pPr>
        <w:pStyle w:val="TextoNormal"/>
      </w:pPr>
    </w:p>
    <w:p w14:paraId="009175A0" w14:textId="77777777" w:rsidR="00A8138F" w:rsidRDefault="00A8138F" w:rsidP="00A8138F">
      <w:pPr>
        <w:pStyle w:val="TextoNormal"/>
      </w:pPr>
      <w:r>
        <w:t xml:space="preserve">b) En segundo lugar, la sentencia impugnada llevó a cabo una profunda revisión, en realidad una sustitución completa, del relato de hechos probados de la dictada en primera instancia, a efectos de revocar el pronunciamiento absolutorio recogido en ella respecto del señor López Gacio. Esta revisión completa —tanto del relato de hechos probados como del fallo absolutorio de la sentencia de primera instancia— se hizo sin la previa celebración de </w:t>
      </w:r>
      <w:r>
        <w:lastRenderedPageBreak/>
        <w:t>un juicio con cognición plena, en que las partes hubieran podido desplegar libremente todas sus posibilidades de defensa y prueba. La vista celebrada el mismo día 1 de julio de 2020 por la Sección Octava de la Audiencia Provincial no reúne en absoluto las condiciones exigidas por este Tribunal Constitucional para hacer viable la revisión de un pronunciamiento absolutorio basada en una alteración del relato fáctico, habida cuenta de que la misma tuvo exclusivamente por objeto la práctica de una determinada testifical, con lo que las facultades de alegación y prueba de las partes —y consiguientemente las posibilidades de defensa de sus respectivas posiciones— se encontraban profundamente limitadas. En otras palabras, la revisión del relato de hechos y consiguiente revocación del fallo absolutorio de la sentencia de instancia no estuvo precedida por “una audiencia pública en que se desarrolle la necesaria actividad probatoria, con las garantías de publicidad, inmediación y contradicción que le son propias, y se dé al acusado la posibilidad de defenderse exponiendo su testimonio personal” (SSTC 88/2013, de 11 de abril, y 72/2024, de 7 de mayo), lo que constituye una vulneración del derecho a un proceso con todas las garantías (art. 24.2 CE).</w:t>
      </w:r>
    </w:p>
    <w:p w14:paraId="09DD1A12" w14:textId="77777777" w:rsidR="00A8138F" w:rsidRDefault="00A8138F" w:rsidP="00A8138F">
      <w:pPr>
        <w:pStyle w:val="TextoNormal"/>
      </w:pPr>
    </w:p>
    <w:p w14:paraId="4940EEDC" w14:textId="1193B221" w:rsidR="00A8138F" w:rsidRDefault="00A8138F" w:rsidP="00A8138F">
      <w:pPr>
        <w:pStyle w:val="TextoNormal"/>
      </w:pPr>
      <w:r>
        <w:t>c) Finalmente, el pronunciamiento condenatorio recogido en la sentencia impugnada se fundó única y exclusivamente en una de las pruebas —la testifical practicada durante la segunda instancia— con preterición total del resto de pruebas llevadas a cabo durante el juicio celebrado en la primera instancia, en particular, de toda la prueba de descargo presentada en dicho juicio por el señor López Gacio, a la que no se hizo la menor referencia, lo que constituye una vulneración del derecho a la presunción de inocencia (art. 24.2 CE) del demandante en amparo.</w:t>
      </w:r>
    </w:p>
    <w:p w14:paraId="360CE6E4" w14:textId="77777777" w:rsidR="00A8138F" w:rsidRDefault="00A8138F" w:rsidP="00A8138F">
      <w:pPr>
        <w:pStyle w:val="TextoNormal"/>
      </w:pPr>
    </w:p>
    <w:p w14:paraId="54DC556B" w14:textId="77777777" w:rsidR="00A8138F" w:rsidRDefault="00A8138F" w:rsidP="00A8138F">
      <w:pPr>
        <w:pStyle w:val="TextoNormal"/>
      </w:pPr>
      <w:r w:rsidRPr="00A8138F">
        <w:rPr>
          <w:rStyle w:val="NumeroAFNegritaCaracter"/>
        </w:rPr>
        <w:t>4</w:t>
      </w:r>
      <w:r>
        <w:t xml:space="preserve">. </w:t>
      </w:r>
      <w:r w:rsidRPr="00A8138F">
        <w:rPr>
          <w:i/>
        </w:rPr>
        <w:t>Efectos de la estimación del amparo</w:t>
      </w:r>
    </w:p>
    <w:p w14:paraId="770896BB" w14:textId="77777777" w:rsidR="00A8138F" w:rsidRDefault="00A8138F" w:rsidP="00A8138F">
      <w:pPr>
        <w:pStyle w:val="TextoNormal"/>
      </w:pPr>
    </w:p>
    <w:p w14:paraId="7B72D2FB" w14:textId="77777777" w:rsidR="00A8138F" w:rsidRDefault="00A8138F" w:rsidP="00A8138F">
      <w:pPr>
        <w:pStyle w:val="TextoNormal"/>
      </w:pPr>
      <w:r>
        <w:t xml:space="preserve">En coherencia con lo afirmado por este tribunal en la STC 72/2024, de 7 de mayo, FJ 7, y en las posteriores que aplican la doctrina en ella contenida, las vulneraciones de derechos fundamentales que han sido declaradas en este supuesto radican en la propia sentencia de apelación, en su fundamentación y fallo, y no en un momento anterior que tenga que ver con el desarrollo de la causa penal. Se trata, por tanto, como se dijo en la citada sentencia, de un vicio </w:t>
      </w:r>
      <w:r w:rsidRPr="00A8138F">
        <w:rPr>
          <w:i/>
        </w:rPr>
        <w:t>in iudicando</w:t>
      </w:r>
      <w:r>
        <w:t>, que ha sido protagonizado por el órgano de apelación, y no constituye un vicio de forma que pueda o deba subsanarse mediante la vuelta atrás del procedimiento que otorgue una nueva posibilidad de pronunciamiento sobre el recurso de apelación.</w:t>
      </w:r>
    </w:p>
    <w:p w14:paraId="6192E066" w14:textId="77777777" w:rsidR="00A8138F" w:rsidRDefault="00A8138F" w:rsidP="00A8138F">
      <w:pPr>
        <w:pStyle w:val="TextoNormal"/>
      </w:pPr>
    </w:p>
    <w:p w14:paraId="06E3CEBC" w14:textId="7C5BBE0F" w:rsidR="00A8138F" w:rsidRDefault="00A8138F" w:rsidP="00A8138F">
      <w:pPr>
        <w:pStyle w:val="TextoNormal"/>
      </w:pPr>
      <w:r>
        <w:t>En consecuencia, la vulneración de los derechos del demandante a la tutela judicial efectiva, a un proceso con todas las garantías y a la presunción de inocencia que ahora se reconoce (art. 24.1 y 2 CE) comporta la nulidad de la sentencia impugnada sin retroacción de actuaciones, en los términos recogidos en el suplico de la demanda de amparo, esto es, “exclusivamente en lo relativo a la condena del recurrente como autor de un delito leve de lesiones y las condenas impuestas, manteniendo el resto de los pronunciamientos”. Medida que debe también proyectarse a la providencia de inadmisión del incidente de nulidad de actuaciones que trae causa de aquella. Es por ello que procede declarar la firmeza del fallo absolutorio del recurrente recaído en la sentencia dictada el 5 de febrero de 2021 por el Juzgado de Instrucción núm. 3 de Gijón en los autos por delito leve núm. 1095-2020.</w:t>
      </w:r>
    </w:p>
    <w:p w14:paraId="5216237C" w14:textId="77777777" w:rsidR="00A8138F" w:rsidRDefault="00A8138F" w:rsidP="00A8138F">
      <w:pPr>
        <w:pStyle w:val="TextoNormal"/>
      </w:pPr>
    </w:p>
    <w:p w14:paraId="62073B27" w14:textId="77777777" w:rsidR="00A8138F" w:rsidRDefault="00A8138F" w:rsidP="00A8138F">
      <w:pPr>
        <w:pStyle w:val="TextoNormalCentrado"/>
        <w:keepNext/>
      </w:pPr>
      <w:r>
        <w:lastRenderedPageBreak/>
        <w:t>FALLO</w:t>
      </w:r>
    </w:p>
    <w:p w14:paraId="07D2EAE4" w14:textId="4189E446" w:rsidR="00A8138F" w:rsidRDefault="00A8138F" w:rsidP="00A8138F">
      <w:pPr>
        <w:pStyle w:val="TextoNormalCentrado"/>
        <w:keepNext/>
      </w:pPr>
    </w:p>
    <w:p w14:paraId="75B95299"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formulado por don Ignacio López Gacio y, en su virtud:</w:t>
      </w:r>
    </w:p>
    <w:p w14:paraId="3746D03D" w14:textId="77777777" w:rsidR="00A8138F" w:rsidRDefault="00A8138F" w:rsidP="00A8138F">
      <w:pPr>
        <w:pStyle w:val="TextoNormal"/>
      </w:pPr>
    </w:p>
    <w:p w14:paraId="39DD4AF1" w14:textId="77777777" w:rsidR="00A8138F" w:rsidRDefault="00A8138F" w:rsidP="00A8138F">
      <w:pPr>
        <w:pStyle w:val="TextoNormal"/>
      </w:pPr>
      <w:r>
        <w:t>1º Declarar que han sido vulnerados los derechos del demandante de amparo a la tutela judicial efectiva (art. 24.1 CE), a un proceso con todas las garantías y a la presunción de inocencia (art. 24.2 CE).</w:t>
      </w:r>
    </w:p>
    <w:p w14:paraId="4501E239" w14:textId="77777777" w:rsidR="00A8138F" w:rsidRDefault="00A8138F" w:rsidP="00A8138F">
      <w:pPr>
        <w:pStyle w:val="TextoNormal"/>
      </w:pPr>
    </w:p>
    <w:p w14:paraId="207DF7C4" w14:textId="77777777" w:rsidR="00A8138F" w:rsidRDefault="00A8138F" w:rsidP="00A8138F">
      <w:pPr>
        <w:pStyle w:val="TextoNormal"/>
      </w:pPr>
      <w:r>
        <w:t>2º Restablecerlo en sus derechos y, a tal fin, declarar la nulidad de la sentencia dictada el 1 de julio de 2021 por la Audiencia Provincial de Asturias, Sección Octava, en los autos de recurso de apelación por delitos leves núm. 60-2021, exclusivamente en lo relativo a la condena del recurrente como autor de un delito leve de lesiones, manteniendo el resto de pronunciamientos; y declarar asimismo la nulidad de la providencia de 10 de septiembre de 2021, que inadmitió el incidente de nulidad de actuaciones.</w:t>
      </w:r>
    </w:p>
    <w:p w14:paraId="04DE8C8F" w14:textId="77777777" w:rsidR="00A8138F" w:rsidRDefault="00A8138F" w:rsidP="00A8138F">
      <w:pPr>
        <w:pStyle w:val="TextoNormal"/>
      </w:pPr>
    </w:p>
    <w:p w14:paraId="0AE9BF43" w14:textId="192B2B2C" w:rsidR="00A8138F" w:rsidRDefault="00A8138F" w:rsidP="00A8138F">
      <w:pPr>
        <w:pStyle w:val="TextoNormal"/>
      </w:pPr>
      <w:r>
        <w:t>3º Declarar la firmeza del fallo absolutorio del recurrente recaído en la sentencia dictada el 5 de febrero de 2021 por el Juzgado de Instrucción núm. 3 de Gijón en los autos por delito leve núm. 1095-2020.</w:t>
      </w:r>
    </w:p>
    <w:p w14:paraId="06CF2C8F" w14:textId="77777777" w:rsidR="00A8138F" w:rsidRDefault="00A8138F" w:rsidP="00A8138F">
      <w:pPr>
        <w:pStyle w:val="TextoNormal"/>
      </w:pPr>
    </w:p>
    <w:p w14:paraId="4CE71A57" w14:textId="77777777" w:rsidR="00A8138F" w:rsidRDefault="00A8138F" w:rsidP="00A8138F">
      <w:pPr>
        <w:pStyle w:val="TextoNormal"/>
      </w:pPr>
      <w:r>
        <w:t>Publíquese esta sentencia en el “Boletín Oficial del Estado”.</w:t>
      </w:r>
    </w:p>
    <w:p w14:paraId="33A5A804" w14:textId="77777777" w:rsidR="00A8138F" w:rsidRDefault="00A8138F" w:rsidP="00A8138F">
      <w:pPr>
        <w:pStyle w:val="TextoNormal"/>
      </w:pPr>
      <w:r>
        <w:t>Dada en Madrid, a siete de abril de dos mil veinticinco.</w:t>
      </w:r>
    </w:p>
    <w:p w14:paraId="1C65A91E" w14:textId="03159248" w:rsidR="00A8138F" w:rsidRDefault="00A8138F">
      <w:pPr>
        <w:spacing w:after="160" w:line="278" w:lineRule="auto"/>
        <w:rPr>
          <w:rFonts w:ascii="Times New Roman" w:eastAsia="Times New Roman" w:hAnsi="Times New Roman" w:cs="Times New Roman"/>
          <w:sz w:val="24"/>
          <w:szCs w:val="24"/>
          <w:lang w:eastAsia="es-ES"/>
        </w:rPr>
      </w:pPr>
      <w:r>
        <w:br w:type="page"/>
      </w:r>
    </w:p>
    <w:p w14:paraId="27B6F9B1" w14:textId="77777777" w:rsidR="00A8138F" w:rsidRDefault="00A8138F" w:rsidP="00A8138F">
      <w:pPr>
        <w:pStyle w:val="TtuloResolucin"/>
      </w:pPr>
      <w:bookmarkStart w:id="88" w:name="SENTENCIA_2025_86"/>
      <w:r>
        <w:lastRenderedPageBreak/>
        <w:t>SENTENCIA 86/2025, de 7 de abril de 2025</w:t>
      </w:r>
    </w:p>
    <w:bookmarkEnd w:id="88"/>
    <w:p w14:paraId="57248FCA" w14:textId="77777777" w:rsidR="00A8138F" w:rsidRDefault="00A8138F" w:rsidP="00A8138F">
      <w:pPr>
        <w:pStyle w:val="TtuloResolucin"/>
      </w:pPr>
      <w:r>
        <w:t>Sala Segunda</w:t>
      </w:r>
    </w:p>
    <w:p w14:paraId="42F91EDD" w14:textId="77777777" w:rsidR="00A8138F" w:rsidRDefault="00A8138F" w:rsidP="00A8138F">
      <w:pPr>
        <w:pStyle w:val="TtuloBOE"/>
      </w:pPr>
      <w:r>
        <w:t>(BOE núm. 117, de 15 de mayo de 2025)</w:t>
      </w:r>
    </w:p>
    <w:p w14:paraId="2C3C8E27" w14:textId="77777777" w:rsidR="00A8138F" w:rsidRDefault="00A8138F" w:rsidP="00A8138F">
      <w:pPr>
        <w:pStyle w:val="TextoNormalCentrado"/>
      </w:pPr>
      <w:r>
        <w:t>ECLI:ES:TC:2025:86</w:t>
      </w:r>
    </w:p>
    <w:p w14:paraId="2F36B01A" w14:textId="600EA0D2" w:rsidR="00A8138F" w:rsidRDefault="00A8138F" w:rsidP="00A8138F">
      <w:pPr>
        <w:pStyle w:val="TextoNormalCentrado"/>
      </w:pPr>
    </w:p>
    <w:p w14:paraId="01EAB73D" w14:textId="77777777" w:rsidR="00A8138F" w:rsidRDefault="00A8138F" w:rsidP="00A8138F">
      <w:pPr>
        <w:pStyle w:val="SntesisDescriptiva"/>
      </w:pPr>
      <w:r>
        <w:t>Recurso de amparo 120-2023. Promovido por doña Katherin Velásquez Rodríguez respecto del auto de un juzgado de instrucción de Madrid que desestimó su solitud de habeas corpus.</w:t>
      </w:r>
    </w:p>
    <w:p w14:paraId="2B3366A5" w14:textId="6DF59890" w:rsidR="00A8138F" w:rsidRDefault="00A8138F" w:rsidP="00A8138F">
      <w:pPr>
        <w:pStyle w:val="SntesisDescriptiva"/>
      </w:pPr>
    </w:p>
    <w:p w14:paraId="05E2E083" w14:textId="77777777" w:rsidR="00A8138F" w:rsidRDefault="00A8138F" w:rsidP="00A8138F">
      <w:pPr>
        <w:pStyle w:val="SntesisAnaltica"/>
      </w:pPr>
      <w:r>
        <w:t>Vulneración del derecho a la libertad personal: desestimación de una petición de habeas corpus sin audiencia del solicitante y sin proporcionarle los elementos de las actuaciones que sean esenciales para impugnar la legalidad de la detención policial (SSTC 13/2017 y 85/2024).</w:t>
      </w:r>
    </w:p>
    <w:p w14:paraId="081E3E2C" w14:textId="4465866D" w:rsidR="00A8138F" w:rsidRDefault="00A8138F" w:rsidP="00A8138F">
      <w:pPr>
        <w:pStyle w:val="SntesisAnaltica"/>
      </w:pPr>
    </w:p>
    <w:p w14:paraId="2B6B6502" w14:textId="1E766717" w:rsidR="00A8138F" w:rsidRDefault="00A8138F" w:rsidP="00A8138F">
      <w:pPr>
        <w:pStyle w:val="Extracto"/>
      </w:pPr>
      <w:r>
        <w:t>1.</w:t>
      </w:r>
      <w:r>
        <w:tab/>
        <w:t>El derecho a la libertad personal y a no ser privado de ella sino en la forma legalmente prevista (art. 17.1 CE) se concreta en el ámbito penal de la detención en los arts. 520.2 d) y 527.1 d) de la Ley de enjuiciamiento criminal, que garantizan los derechos a ser informado de los hechos y de los motivos de la detención y al acceso a los elementos de las actuaciones que sean esenciales para impugnar su legalidad en sede policial (SSTC 13/2017 o 181/2020) [FJ 2].</w:t>
      </w:r>
    </w:p>
    <w:p w14:paraId="07FC59D7" w14:textId="77777777" w:rsidR="00A8138F" w:rsidRDefault="00A8138F" w:rsidP="00A8138F">
      <w:pPr>
        <w:pStyle w:val="Extracto"/>
      </w:pPr>
    </w:p>
    <w:p w14:paraId="21C2880F" w14:textId="414CF526" w:rsidR="00A8138F" w:rsidRDefault="00A8138F" w:rsidP="00A8138F">
      <w:pPr>
        <w:pStyle w:val="Extracto"/>
      </w:pPr>
      <w:r>
        <w:t>2.</w:t>
      </w:r>
      <w:r>
        <w:tab/>
        <w:t>El detenido y su letrado deben conocer con precisión los indicios y conjeturas, que sobre su participación en unos hechos delictivos consten en las actuaciones policiales, así como las circunstancias que han determinado la necesidad de la detención, y de esa manera permitir el examen de su legalidad, es decir del fin que persigue la medida cautelar y de su proporcionalidad [FJ 2].</w:t>
      </w:r>
    </w:p>
    <w:p w14:paraId="100E476E" w14:textId="77777777" w:rsidR="00A8138F" w:rsidRDefault="00A8138F" w:rsidP="00A8138F">
      <w:pPr>
        <w:pStyle w:val="Extracto"/>
      </w:pPr>
    </w:p>
    <w:p w14:paraId="6AB3D0F1" w14:textId="798A0AC5" w:rsidR="00A8138F" w:rsidRDefault="00A8138F" w:rsidP="00A8138F">
      <w:pPr>
        <w:pStyle w:val="Extracto"/>
      </w:pPr>
      <w:r>
        <w:t>3.</w:t>
      </w:r>
      <w:r>
        <w:tab/>
        <w:t>La garantía de acceso a los elementos de las actuaciones no implica una obligación de dar traslado de todo el expediente; tiene por objeto los datos y elementos informativos que sustenten la imputación objetiva y subjetiva, y, en su caso, las inferencias y argumentos de respaldo, es decir aquello que permite al investigado y a su letrado impugnar la privación de libertad con conocimiento de causa [FJ 2].</w:t>
      </w:r>
    </w:p>
    <w:p w14:paraId="171B76EF" w14:textId="77777777" w:rsidR="00A8138F" w:rsidRDefault="00A8138F" w:rsidP="00A8138F">
      <w:pPr>
        <w:pStyle w:val="Extracto"/>
      </w:pPr>
    </w:p>
    <w:p w14:paraId="281CE62F" w14:textId="513F4985" w:rsidR="00A8138F" w:rsidRDefault="00A8138F" w:rsidP="00A8138F">
      <w:pPr>
        <w:pStyle w:val="Extracto"/>
      </w:pPr>
      <w:r>
        <w:t>4.</w:t>
      </w:r>
      <w:r>
        <w:tab/>
        <w:t xml:space="preserve">Se vulnera el derecho a la libertad del detenido, en su vertiente del derecho al control judicial de la detención (art. 17.1 y 4 CE), cuando el órgano judicial dicta auto por el que se desestima la solicitud de </w:t>
      </w:r>
      <w:r w:rsidRPr="00A8138F">
        <w:rPr>
          <w:i/>
        </w:rPr>
        <w:t xml:space="preserve">habeas corpus </w:t>
      </w:r>
      <w:r>
        <w:t xml:space="preserve">por motivos de fondo (art. 8 LOHC) sin haber respetado el procedimiento regulado en la Ley Orgánica de regulación del procedimiento de </w:t>
      </w:r>
      <w:r w:rsidRPr="00A8138F">
        <w:rPr>
          <w:i/>
        </w:rPr>
        <w:t xml:space="preserve">habeas corpus </w:t>
      </w:r>
      <w:r>
        <w:t xml:space="preserve">y, en particular, el requisito de la audiencia del detenido </w:t>
      </w:r>
      <w:r w:rsidRPr="00A8138F">
        <w:rPr>
          <w:i/>
        </w:rPr>
        <w:t>ex</w:t>
      </w:r>
      <w:r>
        <w:t xml:space="preserve"> art. 7 LOHC (STC 85/2024) [FJ 2].</w:t>
      </w:r>
    </w:p>
    <w:p w14:paraId="4DF04CD3" w14:textId="77777777" w:rsidR="00A8138F" w:rsidRDefault="00A8138F" w:rsidP="00A8138F">
      <w:pPr>
        <w:pStyle w:val="Extracto"/>
      </w:pPr>
    </w:p>
    <w:p w14:paraId="61D937B4" w14:textId="77777777" w:rsidR="00A8138F" w:rsidRDefault="00A8138F" w:rsidP="00A8138F">
      <w:pPr>
        <w:pStyle w:val="Extracto"/>
      </w:pPr>
    </w:p>
    <w:p w14:paraId="0C87E83F"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D3171A8" w14:textId="5712EFD7" w:rsidR="00A8138F" w:rsidRDefault="00A8138F" w:rsidP="00A8138F">
      <w:pPr>
        <w:pStyle w:val="TextoNormal"/>
      </w:pPr>
    </w:p>
    <w:p w14:paraId="40680AD3" w14:textId="77777777" w:rsidR="00A8138F" w:rsidRDefault="00A8138F" w:rsidP="00A8138F">
      <w:pPr>
        <w:pStyle w:val="TextoNormalCentrado"/>
        <w:keepNext/>
      </w:pPr>
      <w:r>
        <w:lastRenderedPageBreak/>
        <w:t>EN NOMBRE DEL REY</w:t>
      </w:r>
    </w:p>
    <w:p w14:paraId="73489A80" w14:textId="435C20ED" w:rsidR="00A8138F" w:rsidRDefault="00A8138F" w:rsidP="00A8138F">
      <w:pPr>
        <w:pStyle w:val="TextoNormalCentrado"/>
        <w:keepNext/>
      </w:pPr>
    </w:p>
    <w:p w14:paraId="6B544381" w14:textId="77777777" w:rsidR="00A8138F" w:rsidRDefault="00A8138F" w:rsidP="00A8138F">
      <w:pPr>
        <w:pStyle w:val="TextoNormalCentrado"/>
        <w:keepNext/>
      </w:pPr>
    </w:p>
    <w:p w14:paraId="339857BC" w14:textId="77777777" w:rsidR="00A8138F" w:rsidRDefault="00A8138F" w:rsidP="00A8138F">
      <w:pPr>
        <w:pStyle w:val="TextoNormal"/>
      </w:pPr>
      <w:r>
        <w:t>la siguiente</w:t>
      </w:r>
    </w:p>
    <w:p w14:paraId="4581A958" w14:textId="1A4A6884" w:rsidR="00A8138F" w:rsidRDefault="00A8138F" w:rsidP="00A8138F">
      <w:pPr>
        <w:pStyle w:val="TextoNormal"/>
      </w:pPr>
    </w:p>
    <w:p w14:paraId="55DED1E3" w14:textId="77777777" w:rsidR="00A8138F" w:rsidRDefault="00A8138F" w:rsidP="00A8138F">
      <w:pPr>
        <w:pStyle w:val="TextoNormalCentrado"/>
        <w:keepNext/>
      </w:pPr>
      <w:r>
        <w:t>SENTENCIA</w:t>
      </w:r>
    </w:p>
    <w:p w14:paraId="7BC89A92" w14:textId="59DEDD5B" w:rsidR="00A8138F" w:rsidRDefault="00A8138F" w:rsidP="00A8138F">
      <w:pPr>
        <w:pStyle w:val="TextoNormalCentrado"/>
        <w:keepNext/>
      </w:pPr>
    </w:p>
    <w:p w14:paraId="5A86EF44" w14:textId="77777777" w:rsidR="00A8138F" w:rsidRDefault="00A8138F" w:rsidP="00A8138F">
      <w:pPr>
        <w:pStyle w:val="TextoNormal"/>
      </w:pPr>
      <w:r>
        <w:t>En el recurso de amparo núm. 120-2023, promovido por doña Katherin Velásquez Rodríguez contra el auto núm. 1733/2022, de 12 de noviembre, dictado por el Juzgado de Instrucción núm. 3 de Madrid, que desestimó la solicitud de habeas corpus núm. 2159-2022. Ha intervenido el Ministerio Fiscal. Ha sido ponente el magistrado don Ramón Sáez Valcárcel.</w:t>
      </w:r>
    </w:p>
    <w:p w14:paraId="411A0483" w14:textId="14D56B6D" w:rsidR="00A8138F" w:rsidRDefault="00A8138F" w:rsidP="00A8138F">
      <w:pPr>
        <w:pStyle w:val="TextoNormal"/>
      </w:pPr>
    </w:p>
    <w:p w14:paraId="7D3630ED" w14:textId="77777777" w:rsidR="00A8138F" w:rsidRDefault="00A8138F" w:rsidP="00A8138F">
      <w:pPr>
        <w:pStyle w:val="TextoNormalNegritaCentrado"/>
        <w:keepNext/>
      </w:pPr>
      <w:r>
        <w:t>I. Antecedentes</w:t>
      </w:r>
    </w:p>
    <w:p w14:paraId="20082EA3" w14:textId="74F1D99C" w:rsidR="00A8138F" w:rsidRDefault="00A8138F" w:rsidP="00A8138F">
      <w:pPr>
        <w:pStyle w:val="TextoNormalNegritaCentrado"/>
        <w:keepNext/>
      </w:pPr>
    </w:p>
    <w:p w14:paraId="115E9E51" w14:textId="02F1DB35" w:rsidR="00A8138F" w:rsidRDefault="00A8138F" w:rsidP="00A8138F">
      <w:pPr>
        <w:pStyle w:val="TextoNormal"/>
      </w:pPr>
      <w:r w:rsidRPr="00A8138F">
        <w:rPr>
          <w:rStyle w:val="NumeroAFNegritaCaracter"/>
        </w:rPr>
        <w:t>1</w:t>
      </w:r>
      <w:r>
        <w:t>. Doña Katherin Velásquez Rodríguez, representada por la procuradora de los tribunales doña Pilar Rodríguez Buesa y asistida del abogado don Antonio Agúndez López, interpuso recurso de amparo contra la resolución del encabezamiento, mediante escrito del abogado presentado en el registro de este tribunal, el 11 de enero de 2023, ratificado por la procuradora el 6 de febrero de 2023.</w:t>
      </w:r>
    </w:p>
    <w:p w14:paraId="43ABB498" w14:textId="77777777" w:rsidR="00A8138F" w:rsidRDefault="00A8138F" w:rsidP="00A8138F">
      <w:pPr>
        <w:pStyle w:val="TextoNormal"/>
      </w:pPr>
    </w:p>
    <w:p w14:paraId="7DB5ED47" w14:textId="77777777" w:rsidR="00A8138F" w:rsidRDefault="00A8138F" w:rsidP="00A8138F">
      <w:pPr>
        <w:pStyle w:val="TextoNormal"/>
      </w:pPr>
      <w:r w:rsidRPr="00A8138F">
        <w:rPr>
          <w:rStyle w:val="NumeroAFNegritaCaracter"/>
        </w:rPr>
        <w:t>2</w:t>
      </w:r>
      <w:r>
        <w:t>. Los antecedentes relevantes para resolver el recurso son los siguientes:</w:t>
      </w:r>
    </w:p>
    <w:p w14:paraId="4A13883F" w14:textId="77777777" w:rsidR="00A8138F" w:rsidRDefault="00A8138F" w:rsidP="00A8138F">
      <w:pPr>
        <w:pStyle w:val="TextoNormal"/>
      </w:pPr>
    </w:p>
    <w:p w14:paraId="63515B54" w14:textId="77777777" w:rsidR="00A8138F" w:rsidRDefault="00A8138F" w:rsidP="00A8138F">
      <w:pPr>
        <w:pStyle w:val="TextoNormal"/>
      </w:pPr>
      <w:r>
        <w:t>a) Sobre las 22:50 horas del día 11 de noviembre de 2022, agentes de la Policía Local de Madrid, cuando realizaban un operativo estático de control, interceptaron un vehículo en el que la recurrente viajaba como acompañante. Los agentes procedieron a identificarla y comprobaron que existía sobre ella una orden de búsqueda, detención y personación en vigor emitida por la policía judicial de Albacete el 8 de noviembre de 2022, con motivo de unos hechos calificados como hurto y pertenencia a grupo criminal. Por esta razón fue detenida, “informada en el lugar de los hechos de forma clara y comprensible de los motivos de la [detención] y de los derechos que le asisten conforme a la legislación vigente” y trasladada a las dependencias de la comisaría de Madrid-Latina del Cuerpo Nacional de Policía que instruyó el atestado núm. 23547-2022.</w:t>
      </w:r>
    </w:p>
    <w:p w14:paraId="2B15CB93" w14:textId="77777777" w:rsidR="00A8138F" w:rsidRDefault="00A8138F" w:rsidP="00A8138F">
      <w:pPr>
        <w:pStyle w:val="TextoNormal"/>
      </w:pPr>
    </w:p>
    <w:p w14:paraId="017ED40D" w14:textId="77777777" w:rsidR="00A8138F" w:rsidRDefault="00A8138F" w:rsidP="00A8138F">
      <w:pPr>
        <w:pStyle w:val="TextoNormal"/>
      </w:pPr>
      <w:r>
        <w:t>b) Según resulta del “[a]cta de detención e información de derechos y de los elementos esenciales de las actuaciones para impugnar la detención” del atestado, la recurrente firmó dicho acta, cuyo contenido recogía como resumen de hechos: “Reclamación policial, orden de búsqueda detención y personación por el Grupo 1 UDEV [unidad central de delincuencia especializada y violenta] de la Brigada Provincial de Albacete, por el motivo de hurto y pertenencia a grupo criminal, con fecha en vigor 8-11-2022”. Tales hechos se calificaban provisionalmente como “delito de hurto y pertenencia a grupo criminal”. En el apartado de indicios de los que se deducía la participación de la persona detenida en los hechos el acta reiteraba “[r]eclamación policial en vigor, orden de búsqueda detención y personación por el Grupo 1 UDEV de la Brigada Provincial de Albacete, por el motivo de hurto y pertenencia a grupo criminal, con fecha en vigor 8-11-2022”. El apartado del acta dedicado al “[a]cceso a los elementos esenciales de las actuaciones” aparecía sin rellenar.</w:t>
      </w:r>
    </w:p>
    <w:p w14:paraId="18AA269D" w14:textId="77777777" w:rsidR="00A8138F" w:rsidRDefault="00A8138F" w:rsidP="00A8138F">
      <w:pPr>
        <w:pStyle w:val="TextoNormal"/>
      </w:pPr>
    </w:p>
    <w:p w14:paraId="7168FDB8" w14:textId="77777777" w:rsidR="00A8138F" w:rsidRDefault="00A8138F" w:rsidP="00A8138F">
      <w:pPr>
        <w:pStyle w:val="TextoNormal"/>
      </w:pPr>
      <w:r>
        <w:t>c) Sobre las 07:00 horas del 12 de noviembre se produjo el traspaso de las actuaciones al siguiente turno de guardia, se incorporaron al atestado los antecedentes policiales de la detenida, se registró una comunicación con la comisaría de Albacete y se unió copia de las diligencias de esta comisaría que motivó la emisión de la busca policial (diligencias 18834-2022 y ampliatorias 16998-2022). En las diligencias de la comisaría de Albacete se reflejaba la investigación policial llevada a cabo a partir de la denuncia de una persona que el día 7 de octubre de 2022 había sufrido la sustracción de una cantidad de dinero en efectivo que acababa de sacar del banco; la recurrente era identificada como uno de los seis partícipes en el hecho y se contenía una descripción de la intervención que se atribuía a cada uno y de los medios de investigación desarrollados.</w:t>
      </w:r>
    </w:p>
    <w:p w14:paraId="50D85E77" w14:textId="77777777" w:rsidR="00A8138F" w:rsidRDefault="00A8138F" w:rsidP="00A8138F">
      <w:pPr>
        <w:pStyle w:val="TextoNormal"/>
      </w:pPr>
    </w:p>
    <w:p w14:paraId="47BB99A0" w14:textId="77777777" w:rsidR="00A8138F" w:rsidRDefault="00A8138F" w:rsidP="00A8138F">
      <w:pPr>
        <w:pStyle w:val="TextoNormal"/>
      </w:pPr>
      <w:r>
        <w:t xml:space="preserve">d) El 12 de noviembre de 2022, a las 12:10 horas, en la comisaría de Madrid-Latina, en presencia de su abogado, se tomó declaración a la detenida, quien manifestó su deseo de no declarar. En ese mismo acto el abogado solicitó acceder a las actuaciones de la investigación relacionadas con la detención de su defendida, lo que le fue denegado. En ese momento el letrado, en nombre de la detenida, solicitó acogerse al procedimiento de </w:t>
      </w:r>
      <w:r w:rsidRPr="00A8138F">
        <w:rPr>
          <w:i/>
        </w:rPr>
        <w:t>habeas corpus</w:t>
      </w:r>
      <w:r>
        <w:t xml:space="preserve">. En el escrito se solicitaba la inmediata puesta a disposición judicial y se alegaba: (i) que la detenida contaba con domicilio conocido; (ii) que, solicitado el acceso a los elementos esenciales que justificaban la detención, el acceso había sido denegado; y (iii) que la detenida, informada de que pasaría la noche en dependencias policiales, necesitaba medicación para poder dormir, por lo que se comprometía a acudir personalmente al juzgado a la mañana siguiente. La solicitud de </w:t>
      </w:r>
      <w:r w:rsidRPr="00A8138F">
        <w:rPr>
          <w:i/>
        </w:rPr>
        <w:t>habeas corpus</w:t>
      </w:r>
      <w:r>
        <w:t xml:space="preserve"> fue remitida al Juzgado de Instrucción núm. 3 de Madrid, de guardia.</w:t>
      </w:r>
    </w:p>
    <w:p w14:paraId="669ADA95" w14:textId="77777777" w:rsidR="00A8138F" w:rsidRDefault="00A8138F" w:rsidP="00A8138F">
      <w:pPr>
        <w:pStyle w:val="TextoNormal"/>
      </w:pPr>
    </w:p>
    <w:p w14:paraId="71BD8C14" w14:textId="54194E24" w:rsidR="00A8138F" w:rsidRDefault="00A8138F" w:rsidP="00A8138F">
      <w:pPr>
        <w:pStyle w:val="TextoNormal"/>
      </w:pPr>
      <w:r>
        <w:t xml:space="preserve">e) El mismo día 12 de noviembre de 2022, el Juzgado de Instrucción, previo informe del Ministerio Fiscal, sin ningún otro trámite, dictó auto en el que desestimó la solicitud de </w:t>
      </w:r>
      <w:r w:rsidRPr="00A8138F">
        <w:rPr>
          <w:i/>
        </w:rPr>
        <w:t>habeas corpus</w:t>
      </w:r>
      <w:r>
        <w:t xml:space="preserve">. En el fundamento jurídico segundo de la resolución se afirmaba que la detención no se encontraba comprendida en ninguno de los supuestos previstos en el art. 1 de la Ley Orgánica 6/1984, de 24 de mayo, reguladora del procedimiento de </w:t>
      </w:r>
      <w:r w:rsidRPr="00A8138F">
        <w:rPr>
          <w:i/>
        </w:rPr>
        <w:t>habeas corpus</w:t>
      </w:r>
      <w:r>
        <w:t xml:space="preserve"> (LOHC). El juzgado entendía justificada la detención en virtud de la orden que pesaba sobre la recurrente en las bases policiales; señalaba que no se había prolongado en el tiempo por encima de los plazos legalmente establecidos, que los agentes de custodia estaban realizando gestiones con el grupo de extranjería y, respecto de la alegación de denegación de acceso a las actuaciones se respondía que la detenida había sido informada convenientemente “de sus derechos y de los motivos de su detención —en concreto, de la existencia de la orden de búsqueda y detención emitida por el Grupo 1 UDEV-Robos de Albacete—”.</w:t>
      </w:r>
    </w:p>
    <w:p w14:paraId="0EA6CAFA" w14:textId="77777777" w:rsidR="00A8138F" w:rsidRDefault="00A8138F" w:rsidP="00A8138F">
      <w:pPr>
        <w:pStyle w:val="TextoNormal"/>
      </w:pPr>
    </w:p>
    <w:p w14:paraId="590EB874" w14:textId="77777777" w:rsidR="00A8138F" w:rsidRDefault="00A8138F" w:rsidP="00A8138F">
      <w:pPr>
        <w:pStyle w:val="TextoNormal"/>
      </w:pPr>
      <w:r w:rsidRPr="00A8138F">
        <w:rPr>
          <w:rStyle w:val="NumeroAFNegritaCaracter"/>
        </w:rPr>
        <w:t>3</w:t>
      </w:r>
      <w:r>
        <w:t xml:space="preserve">. La demanda de amparo denuncia la vulneración del derecho a la impugnación de la legalidad de la detención (art. 17.4 CE) en relación con el derecho a la libertad personal (art. 17.1 CE), la asistencia letrada (art. 17.3 CE) y el derecho de defensa (art. 24.2 CE), todos ellos en conexión directa con el derecho a la tutela judicial efectiva (art. 24.1 CE). Estas vulneraciones se concretan en: (i) la infracción del derecho de información y de acceso a los elementos esenciales de las actuaciones que motivan la detención y (ii) la denegación por el Juzgado de Instrucción núm. 3 de Madrid del </w:t>
      </w:r>
      <w:r w:rsidRPr="00A8138F">
        <w:rPr>
          <w:i/>
        </w:rPr>
        <w:t>habeas corpus</w:t>
      </w:r>
      <w:r>
        <w:t xml:space="preserve"> con incumplimiento de las normas esenciales del procedimiento y la jurisprudencia constitucional.</w:t>
      </w:r>
    </w:p>
    <w:p w14:paraId="03E35B08" w14:textId="77777777" w:rsidR="00A8138F" w:rsidRDefault="00A8138F" w:rsidP="00A8138F">
      <w:pPr>
        <w:pStyle w:val="TextoNormal"/>
      </w:pPr>
    </w:p>
    <w:p w14:paraId="4A30BF6F" w14:textId="437C4112" w:rsidR="00A8138F" w:rsidRDefault="00A8138F" w:rsidP="00A8138F">
      <w:pPr>
        <w:pStyle w:val="TextoNormal"/>
      </w:pPr>
      <w:r>
        <w:lastRenderedPageBreak/>
        <w:t xml:space="preserve">Alega que tales infracciones se originan en la denegación de acceso a los elementos esenciales de las actuaciones para impugnar la detención que decidieron los agentes policiales que instruyeron el atestado, actuaciones que procedían de la investigación realizada por el grupo 1 de la UDEV-robos de Albacete. Añade en su queja que tales vulneraciones no fueron reparadas posteriormente en sede judicial cuando se desestimó la solicitud de </w:t>
      </w:r>
      <w:r w:rsidRPr="00A8138F">
        <w:rPr>
          <w:i/>
        </w:rPr>
        <w:t>habeas corpus</w:t>
      </w:r>
      <w:r>
        <w:t xml:space="preserve">, pues se consideró que la detenida había sido informada adecuadamente. Se queja también la demandante de la vulneración del procedimiento previsto en la Ley de </w:t>
      </w:r>
      <w:r w:rsidRPr="00A8138F">
        <w:rPr>
          <w:i/>
        </w:rPr>
        <w:t>habeas corpus</w:t>
      </w:r>
      <w:r>
        <w:t xml:space="preserve"> y de la jurisprudencia constitucional que proscribe una resolución judicial desestimatoria del procedimiento sin haberse sustanciado y sin haber oído a la persona detenida o a su abogado defensor con intervención del Ministerio Fiscal. El caso, a su juicio, plantea una cuestión novedosa porque se trata del derecho de acceso a las actuaciones en sede policial “en aquellos casos en que la detención preventiva obedezca a una reclamación policial o gubernativa, en vigor en las distintas bases de datos policiales”.</w:t>
      </w:r>
    </w:p>
    <w:p w14:paraId="77E12B37" w14:textId="77777777" w:rsidR="00A8138F" w:rsidRDefault="00A8138F" w:rsidP="00A8138F">
      <w:pPr>
        <w:pStyle w:val="TextoNormal"/>
      </w:pPr>
    </w:p>
    <w:p w14:paraId="0963F304" w14:textId="69726C6D" w:rsidR="00A8138F" w:rsidRDefault="00A8138F" w:rsidP="00A8138F">
      <w:pPr>
        <w:pStyle w:val="TextoNormal"/>
      </w:pPr>
      <w:r w:rsidRPr="00A8138F">
        <w:rPr>
          <w:rStyle w:val="NumeroAFNegritaCaracter"/>
        </w:rPr>
        <w:t>4</w:t>
      </w:r>
      <w:r>
        <w:t xml:space="preserve">. La Sección Cuarta de la Sala Segunda de este tribunal, mediante providencia de 6 de mayo de 2024, admitió a trámite la demanda, apreciando que concurre en el recurso una especial trascendencia constitucional [art. 50.1 de la Ley Orgánica del Tribunal Constitucional (LOTC)], porque puede dar ocasión al Tribunal para aclarar o cambiar su doctrina, como consecuencia de un proceso de reflexión interna [STC 155/2009, de 25 de junio, FJ 2 b)]. Asimismo, constando ya remitidas, por haber sido requeridas por diligencia de ordenación de 5 de septiembre de 2023, las actuaciones de </w:t>
      </w:r>
      <w:r w:rsidRPr="00A8138F">
        <w:rPr>
          <w:i/>
        </w:rPr>
        <w:t>habeas corpus</w:t>
      </w:r>
      <w:r>
        <w:t xml:space="preserve"> núm. 2159-2022, acordó dirigirse al Juzgado de Instrucción núm. 3 de Madrid para que emplazase a quienes hubiesen sido parte en el procedimiento, excepto a la recurrente en amparo, a fin de que pudieran comparecer en el recurso en el plazo de diez días.</w:t>
      </w:r>
    </w:p>
    <w:p w14:paraId="261B8D22" w14:textId="77777777" w:rsidR="00A8138F" w:rsidRDefault="00A8138F" w:rsidP="00A8138F">
      <w:pPr>
        <w:pStyle w:val="TextoNormal"/>
      </w:pPr>
    </w:p>
    <w:p w14:paraId="0BEFFA23" w14:textId="2CE10DB2" w:rsidR="00A8138F" w:rsidRDefault="00A8138F" w:rsidP="00A8138F">
      <w:pPr>
        <w:pStyle w:val="TextoNormal"/>
      </w:pPr>
      <w:r w:rsidRPr="00A8138F">
        <w:rPr>
          <w:rStyle w:val="NumeroAFNegritaCaracter"/>
        </w:rPr>
        <w:t>5</w:t>
      </w:r>
      <w:r>
        <w:t>. El secretario de Justicia de la Sección Cuarta de la Sala Segunda de este tribunal, mediante diligencia de ordenación de 7 de junio de 2024, acordó, conforme a lo dispuesto en el art. 52.1 LOTC, conferir a la parte recurrente y al Ministerio Fiscal un plazo común de veinte días para presentar las alegaciones que estimasen pertinentes.</w:t>
      </w:r>
    </w:p>
    <w:p w14:paraId="6BFF914B" w14:textId="77777777" w:rsidR="00A8138F" w:rsidRDefault="00A8138F" w:rsidP="00A8138F">
      <w:pPr>
        <w:pStyle w:val="TextoNormal"/>
      </w:pPr>
    </w:p>
    <w:p w14:paraId="316E7508" w14:textId="758C73BE" w:rsidR="00A8138F" w:rsidRDefault="00A8138F" w:rsidP="00A8138F">
      <w:pPr>
        <w:pStyle w:val="TextoNormal"/>
      </w:pPr>
      <w:r w:rsidRPr="00A8138F">
        <w:rPr>
          <w:rStyle w:val="NumeroAFNegritaCaracter"/>
        </w:rPr>
        <w:t>6</w:t>
      </w:r>
      <w:r>
        <w:t>. La recurrente presentó escrito el 9 de julio de 2024 reproduciendo los argumentos de su demanda de amparo con cita expresa de la reciente STC 85/2024, de 3 de junio.</w:t>
      </w:r>
    </w:p>
    <w:p w14:paraId="68E552DA" w14:textId="77777777" w:rsidR="00A8138F" w:rsidRDefault="00A8138F" w:rsidP="00A8138F">
      <w:pPr>
        <w:pStyle w:val="TextoNormal"/>
      </w:pPr>
    </w:p>
    <w:p w14:paraId="509955DA" w14:textId="77777777" w:rsidR="00A8138F" w:rsidRDefault="00A8138F" w:rsidP="00A8138F">
      <w:pPr>
        <w:pStyle w:val="TextoNormal"/>
      </w:pPr>
      <w:r w:rsidRPr="00A8138F">
        <w:rPr>
          <w:rStyle w:val="NumeroAFNegritaCaracter"/>
        </w:rPr>
        <w:t>7</w:t>
      </w:r>
      <w:r>
        <w:t xml:space="preserve">. El fiscal ante el Tribunal Constitucional, en su escrito presentado el 24 de julio de 2024, interesa la estimación parcial del recurso de amparo al entender vulnerado el derecho a la libertad personal de la recurrente en sus vertientes de derecho a ser informada de las razones de su detención y al control judicial de la privación de libertad (art. 17.1, 3 y 4 CE). Para su restablecimiento interesa la declaración de nulidad del auto que desestimó la solicitud de </w:t>
      </w:r>
      <w:r w:rsidRPr="00A8138F">
        <w:rPr>
          <w:i/>
        </w:rPr>
        <w:t>habeas corpus</w:t>
      </w:r>
      <w:r>
        <w:t xml:space="preserve"> sin retroacción de actuaciones.</w:t>
      </w:r>
    </w:p>
    <w:p w14:paraId="2600FBD8" w14:textId="77777777" w:rsidR="00A8138F" w:rsidRDefault="00A8138F" w:rsidP="00A8138F">
      <w:pPr>
        <w:pStyle w:val="TextoNormal"/>
      </w:pPr>
    </w:p>
    <w:p w14:paraId="2C2A2EB7" w14:textId="77777777" w:rsidR="00A8138F" w:rsidRDefault="00A8138F" w:rsidP="00A8138F">
      <w:pPr>
        <w:pStyle w:val="TextoNormal"/>
      </w:pPr>
      <w:r>
        <w:t>El fiscal comienza por abordar la vulneración del derecho a ser informado de las razones de la detención y del acceso a los elementos de las actuaciones que sean esenciales para impugnar su legalidad (art. 17.1 y 3 CE). Expone a la luz de la jurisprudencia constitucional el contenido de estos derechos, así como la conexión existente entre ellos, con cita principalmente de las SSTC 13/2017, de 30 de enero, y 21/2018, de 5 de marzo. Argumenta, en primer lugar, que existió una vulneración del derecho de la demandante a ser informada de las razones de su detención porque se le imposibilitó absolutamente cuestionar su participa</w:t>
      </w:r>
      <w:r>
        <w:lastRenderedPageBreak/>
        <w:t>ción material en los hechos fundamento de su detención y, en segundo lugar, como consecuencia de lo anterior, ni la recurrente ni su abogado pudieron tener acceso a los “indicios de los que se deduce la participación del detenido en el hecho delictivo”, ni a información alguna sobre la procedencia de tales indicios. Concluye, por tanto, que existió una vulneración del derecho fundamental a ser informado de las razones de la detención y del derecho de acceso a los elementos esenciales que la Constitución proclama en su art. 17.3.</w:t>
      </w:r>
    </w:p>
    <w:p w14:paraId="1386863E" w14:textId="77777777" w:rsidR="00A8138F" w:rsidRDefault="00A8138F" w:rsidP="00A8138F">
      <w:pPr>
        <w:pStyle w:val="TextoNormal"/>
      </w:pPr>
    </w:p>
    <w:p w14:paraId="5FB56A6F" w14:textId="77777777" w:rsidR="00A8138F" w:rsidRDefault="00A8138F" w:rsidP="00A8138F">
      <w:pPr>
        <w:pStyle w:val="TextoNormal"/>
      </w:pPr>
      <w:r>
        <w:t xml:space="preserve">A continuación, examina la vulneración del derecho al control judicial de la detención y, en particular, del control del cumplimiento en sede policial del derecho a ser informado de las razones de la detención y del derecho de acceso (art. 17.1 y 4 CE), donde el fiscal centra la novedad del caso, y concluye que la resolución judicial impugnada incurrió en una palmaria vulneración del derecho a un real y efectivo control judicial de la privación de libertad reconocido por el art. 17.4 en relación con el 17.1 CE. El juzgado vulneró el derecho a la libertad de la recurrente en su vertiente de derecho al control judicial de la detención, al haberse desestimado la solicitud de </w:t>
      </w:r>
      <w:r w:rsidRPr="00A8138F">
        <w:rPr>
          <w:i/>
        </w:rPr>
        <w:t>habeas corpus</w:t>
      </w:r>
      <w:r>
        <w:t xml:space="preserve"> basándose en motivos de fondo, sin haber llevado a cabo ninguna de las actuaciones —en especial la audiencia de la persona privada de libertad— que establece el art. 7 LOHC.</w:t>
      </w:r>
    </w:p>
    <w:p w14:paraId="002E1F92" w14:textId="77777777" w:rsidR="00A8138F" w:rsidRDefault="00A8138F" w:rsidP="00A8138F">
      <w:pPr>
        <w:pStyle w:val="TextoNormal"/>
      </w:pPr>
    </w:p>
    <w:p w14:paraId="16BE5D7C" w14:textId="57BC2523" w:rsidR="00A8138F" w:rsidRDefault="00A8138F" w:rsidP="00A8138F">
      <w:pPr>
        <w:pStyle w:val="TextoNormal"/>
      </w:pPr>
      <w:r>
        <w:t xml:space="preserve">Finalmente, el fiscal sostiene que “la alegada vulneración específica del derecho de asistencia letrada que, como infracción autónoma, denuncia el escrito de demanda, carece en realidad de relevancia para el otorgamiento del amparo”. Sin embargo, considera oportuno puntualizar que no existe una vulneración autónoma del derecho de asistencia letrada al detenido del art. 17.3 CE, dado que “el derecho a ser informado de las razones de la detención y el derecho a acceder a los elementos esenciales obrantes en el procedimiento que la justifiquen, son derechos de la persona detenida, no de su abogado”. Además, “un pronunciamiento expreso sobre las eventuales consecuencias ulteriores de una supuesta restricción de la eficacia de la asistencia letrada que derive de la denegación de acceso a los elementos esenciales que justifican la detención, anticiparía […] un aspecto de la tutela del derecho de defensa del recurrente que no corresponde al ámbito material ni temporal del </w:t>
      </w:r>
      <w:r w:rsidRPr="00A8138F">
        <w:rPr>
          <w:i/>
        </w:rPr>
        <w:t>habeas corpus</w:t>
      </w:r>
      <w:r>
        <w:t>”. “[L]a invocación del ‘artículo 17.1 y 3 CE’ que se contiene en el fallo estimatorio de la citada STC 21/2018 no se refería a una vulneración autónoma del derecho a una asistencia letrada eficaz —que también allí alegaba el recurrente (FJ 9)— sino al derecho ‘a la libertad y seguridad personal, como consecuencia de no haber sido informado de modo suficiente sobre las razones de su detención gubernativa de naturaleza penal ni habérsele permitido el acceso a los elementos de las actuaciones que eran esenciales para impugnar su legalidad’ (FJ 10)”.</w:t>
      </w:r>
    </w:p>
    <w:p w14:paraId="045D6920" w14:textId="77777777" w:rsidR="00A8138F" w:rsidRDefault="00A8138F" w:rsidP="00A8138F">
      <w:pPr>
        <w:pStyle w:val="TextoNormal"/>
      </w:pPr>
    </w:p>
    <w:p w14:paraId="44338A57" w14:textId="084F12A3" w:rsidR="00A8138F" w:rsidRDefault="00A8138F" w:rsidP="00A8138F">
      <w:pPr>
        <w:pStyle w:val="TextoNormal"/>
      </w:pPr>
      <w:r w:rsidRPr="00A8138F">
        <w:rPr>
          <w:rStyle w:val="NumeroAFNegritaCaracter"/>
        </w:rPr>
        <w:t>8</w:t>
      </w:r>
      <w:r>
        <w:t>. Mediante providencia de 3 de abril de 2025 se señaló para deliberación y votación de la presente sentencia el día 7 del mismo mes y año.</w:t>
      </w:r>
    </w:p>
    <w:p w14:paraId="4D5BCA23" w14:textId="77777777" w:rsidR="00A8138F" w:rsidRDefault="00A8138F" w:rsidP="00A8138F">
      <w:pPr>
        <w:pStyle w:val="TextoNormal"/>
      </w:pPr>
    </w:p>
    <w:p w14:paraId="7A754B8F" w14:textId="77777777" w:rsidR="00A8138F" w:rsidRDefault="00A8138F" w:rsidP="00A8138F">
      <w:pPr>
        <w:pStyle w:val="TextoNormalNegritaCentrado"/>
        <w:keepNext/>
      </w:pPr>
      <w:r>
        <w:t>II. Fundamentos jurídicos</w:t>
      </w:r>
    </w:p>
    <w:p w14:paraId="59DCAFB6" w14:textId="024DB715" w:rsidR="00A8138F" w:rsidRDefault="00A8138F" w:rsidP="00A8138F">
      <w:pPr>
        <w:pStyle w:val="TextoNormalNegritaCentrado"/>
        <w:keepNext/>
      </w:pPr>
    </w:p>
    <w:p w14:paraId="3E000432" w14:textId="77777777" w:rsidR="00A8138F" w:rsidRDefault="00A8138F" w:rsidP="00A8138F">
      <w:pPr>
        <w:pStyle w:val="TextoNormal"/>
      </w:pPr>
      <w:r w:rsidRPr="00A8138F">
        <w:rPr>
          <w:rStyle w:val="NumeroAFNegritaCaracter"/>
        </w:rPr>
        <w:t>1</w:t>
      </w:r>
      <w:r>
        <w:t xml:space="preserve">. </w:t>
      </w:r>
      <w:r w:rsidRPr="00A8138F">
        <w:rPr>
          <w:i/>
        </w:rPr>
        <w:t>Objeto del recurso, pretensiones de las partes y naturaleza del amparo</w:t>
      </w:r>
    </w:p>
    <w:p w14:paraId="24E8037C" w14:textId="77777777" w:rsidR="00A8138F" w:rsidRDefault="00A8138F" w:rsidP="00A8138F">
      <w:pPr>
        <w:pStyle w:val="TextoNormal"/>
      </w:pPr>
    </w:p>
    <w:p w14:paraId="7557F1BE" w14:textId="77777777" w:rsidR="00A8138F" w:rsidRDefault="00A8138F" w:rsidP="00A8138F">
      <w:pPr>
        <w:pStyle w:val="TextoNormal"/>
      </w:pPr>
      <w:r>
        <w:t xml:space="preserve">a) El objeto del presente recurso de amparo es determinar si las decisiones policiales que negaron a la recurrente información sobre los hechos y los motivos de su detención, así </w:t>
      </w:r>
      <w:r>
        <w:lastRenderedPageBreak/>
        <w:t xml:space="preserve">como acceso al atestado, y la resolución judicial que desestimó la demanda de </w:t>
      </w:r>
      <w:r w:rsidRPr="00A8138F">
        <w:rPr>
          <w:i/>
        </w:rPr>
        <w:t>habeas corpus</w:t>
      </w:r>
      <w:r>
        <w:t xml:space="preserve"> vulneraron su derecho fundamental a la libertad personal (art. 17.1, 3 y 4 CE).</w:t>
      </w:r>
    </w:p>
    <w:p w14:paraId="7E71D843" w14:textId="77777777" w:rsidR="00A8138F" w:rsidRDefault="00A8138F" w:rsidP="00A8138F">
      <w:pPr>
        <w:pStyle w:val="TextoNormal"/>
      </w:pPr>
    </w:p>
    <w:p w14:paraId="00A6CD6D" w14:textId="77777777" w:rsidR="00A8138F" w:rsidRDefault="00A8138F" w:rsidP="00A8138F">
      <w:pPr>
        <w:pStyle w:val="TextoNormal"/>
      </w:pPr>
      <w:r>
        <w:t xml:space="preserve">b) La demandante de amparo, como se ha expuesto, denuncia nominalmente una pluralidad de vulneraciones que, en realidad, concreta en: (i) la infracción del derecho de información y acceso a los elementos esenciales de las actuaciones que motivan la detención y (ii) la denegación por el Juzgado de Instrucción núm. 3 de Madrid del </w:t>
      </w:r>
      <w:r w:rsidRPr="00A8138F">
        <w:rPr>
          <w:i/>
        </w:rPr>
        <w:t>habeas corpus</w:t>
      </w:r>
      <w:r>
        <w:t xml:space="preserve"> con incumplimiento de las normas esenciales del procedimiento y de la jurisprudencia constitucional.</w:t>
      </w:r>
    </w:p>
    <w:p w14:paraId="60A094CC" w14:textId="77777777" w:rsidR="00A8138F" w:rsidRDefault="00A8138F" w:rsidP="00A8138F">
      <w:pPr>
        <w:pStyle w:val="TextoNormal"/>
      </w:pPr>
    </w:p>
    <w:p w14:paraId="1C67B662" w14:textId="77777777" w:rsidR="00A8138F" w:rsidRDefault="00A8138F" w:rsidP="00A8138F">
      <w:pPr>
        <w:pStyle w:val="TextoNormal"/>
      </w:pPr>
      <w:r>
        <w:t>El fiscal ante el Tribunal Constitucional interesa la estimación parcial del recurso de amparo al considerar vulnerado el derecho a la libertad personal de la recurrente en sus vertientes de derecho a ser informada de las razones de su detención y al control judicial de la privación de libertad (art. 17.1, 3 y 4 CE).</w:t>
      </w:r>
    </w:p>
    <w:p w14:paraId="2DD40A30" w14:textId="77777777" w:rsidR="00A8138F" w:rsidRDefault="00A8138F" w:rsidP="00A8138F">
      <w:pPr>
        <w:pStyle w:val="TextoNormal"/>
      </w:pPr>
    </w:p>
    <w:p w14:paraId="20EC5F77" w14:textId="49A7B8CF" w:rsidR="00A8138F" w:rsidRDefault="00A8138F" w:rsidP="00A8138F">
      <w:pPr>
        <w:pStyle w:val="TextoNormal"/>
      </w:pPr>
      <w:r>
        <w:t xml:space="preserve">c) El presente recurso se configura como un “amparo mixto”, al igual que el recurso que fue objeto de la STC 181/2020, de 14 de diciembre, FJ 1, “al haber invocado violaciones de derechos fundamentales, tanto referidas a la actuación de los funcionarios policiales que realizaron el atestado (art. 43 LOTC), como a las resoluciones judiciales que revisaron la regularidad de esa actividad previa (art. 44 LOTC)”. Para resolverlo se abordará primero la queja dirigida contra la actuación denegatoria de información y de acceso al atestado durante la detención de la recurrente en sede policial y, seguidamente, se enjuiciará la queja contra la respuesta judicial desestimatoria de la solicitud de </w:t>
      </w:r>
      <w:r w:rsidRPr="00A8138F">
        <w:rPr>
          <w:i/>
        </w:rPr>
        <w:t>habeas corpus</w:t>
      </w:r>
      <w:r>
        <w:t>.</w:t>
      </w:r>
    </w:p>
    <w:p w14:paraId="6A5566AF" w14:textId="77777777" w:rsidR="00A8138F" w:rsidRDefault="00A8138F" w:rsidP="00A8138F">
      <w:pPr>
        <w:pStyle w:val="TextoNormal"/>
      </w:pPr>
    </w:p>
    <w:p w14:paraId="3CF4706D" w14:textId="77777777" w:rsidR="00A8138F" w:rsidRDefault="00A8138F" w:rsidP="00A8138F">
      <w:pPr>
        <w:pStyle w:val="TextoNormal"/>
      </w:pPr>
      <w:r w:rsidRPr="00A8138F">
        <w:rPr>
          <w:rStyle w:val="NumeroAFNegritaCaracter"/>
        </w:rPr>
        <w:t>2</w:t>
      </w:r>
      <w:r>
        <w:t xml:space="preserve">. </w:t>
      </w:r>
      <w:r w:rsidRPr="00A8138F">
        <w:rPr>
          <w:i/>
        </w:rPr>
        <w:t>Doctrina constitucional aplicable</w:t>
      </w:r>
    </w:p>
    <w:p w14:paraId="28E3C4AD" w14:textId="77777777" w:rsidR="00A8138F" w:rsidRDefault="00A8138F" w:rsidP="00A8138F">
      <w:pPr>
        <w:pStyle w:val="TextoNormal"/>
      </w:pPr>
    </w:p>
    <w:p w14:paraId="59C69C22" w14:textId="77777777" w:rsidR="00A8138F" w:rsidRDefault="00A8138F" w:rsidP="00A8138F">
      <w:pPr>
        <w:pStyle w:val="TextoNormal"/>
      </w:pPr>
      <w:r>
        <w:t>a) La doctrina constitucional sobre el derecho a la libertad personal y a no ser privado de ella sino en la forma legalmente prevista (art. 17.1 CE), concretado aquí en el derecho de los arts. 520.2 d) y 527.1 d) de la Ley de enjuiciamiento criminal (LECrim) a ser informado de los hechos y de los motivos de la detención y en el derecho de acceso a los elementos de las actuaciones que sean esenciales para impugnar su legalidad en sede policial, aparece recogida en las SSTC 13/2017, de 30 de enero, FFJJ 5 y 7; 21/2018, de 5 de marzo, FFJJ 6 y 7, y 181/2020, de 14 de diciembre, FFJJ 4 y 5.</w:t>
      </w:r>
    </w:p>
    <w:p w14:paraId="1E95B8F9" w14:textId="77777777" w:rsidR="00A8138F" w:rsidRDefault="00A8138F" w:rsidP="00A8138F">
      <w:pPr>
        <w:pStyle w:val="TextoNormal"/>
      </w:pPr>
    </w:p>
    <w:p w14:paraId="6C452B22" w14:textId="77777777" w:rsidR="00A8138F" w:rsidRDefault="00A8138F" w:rsidP="00A8138F">
      <w:pPr>
        <w:pStyle w:val="TextoNormal"/>
      </w:pPr>
      <w:r>
        <w:t xml:space="preserve">La doctrina establece que la garantía de acceso a los elementos esenciales del atestado policial para impugnar la legalidad de la detención —derecho complementario e instrumental del derecho a ser informado de las razones de la detención y del derecho a impugnar su legalidad— tiene como finalidad contrastar objetivamente la veracidad y consistencia de la información recibida y es, además, relevante para decidir la estrategia de defensa. La garantía de acceso no opera de oficio, a diferencia de lo que sucede con el derecho a la información, pues requiere que la persona interesada o su defensa lo solicite. El momento hábil para pedir el acceso a las actuaciones es uno anterior a la finalización del atestado, y podrá permitir que la declaración de la persona detenida sea una oportunidad para defenderse. El acceso debe producirse de forma efectiva, mediante exhibición de la documentación, entrega de copia del atestado o por cualquier otro método que, garantizando la integridad de las actuaciones, permita a la persona detenida conocer y comprobar por sí, o a través de su abogado, las bases objetivas de su privación de libertad. La garantía de acceso se limita a los elementos de las actuaciones esenciales para impugnar la legalidad de la privación de </w:t>
      </w:r>
      <w:r>
        <w:lastRenderedPageBreak/>
        <w:t>libertad. No obstante, la concreción de estos elementos es necesariamente casuística, pues depende de las circunstancias que hayan justificado la detención.</w:t>
      </w:r>
    </w:p>
    <w:p w14:paraId="4716628F" w14:textId="77777777" w:rsidR="00A8138F" w:rsidRDefault="00A8138F" w:rsidP="00A8138F">
      <w:pPr>
        <w:pStyle w:val="TextoNormal"/>
      </w:pPr>
    </w:p>
    <w:p w14:paraId="0DBE1E09" w14:textId="77777777" w:rsidR="00A8138F" w:rsidRDefault="00A8138F" w:rsidP="00A8138F">
      <w:pPr>
        <w:pStyle w:val="TextoNormal"/>
      </w:pPr>
      <w:r>
        <w:t>Se trata, en definitiva, de que el detenido y su letrado puedan conocer con precisión los indicios y conjeturas que sobre su participación en unos hechos delictivos consten en las actuaciones policiales, así como las circunstancias que han determinado la necesidad de la detención, y de esa manera permitir el examen de su legalidad, es decir del fin que persigue la medida cautelar y de su proporcionalidad. La garantía de acceso no implica una obligación de dar traslado de todo el expediente; tiene por objeto los datos y elementos informativos que sustenten la imputación objetiva y subjetiva, y, en su caso, las inferencias y argumentos de respaldo, es decir aquello que permite al investigado y a su letrado impugnar la privación de libertad con conocimiento de causa.</w:t>
      </w:r>
    </w:p>
    <w:p w14:paraId="0E68D033" w14:textId="77777777" w:rsidR="00A8138F" w:rsidRDefault="00A8138F" w:rsidP="00A8138F">
      <w:pPr>
        <w:pStyle w:val="TextoNormal"/>
      </w:pPr>
    </w:p>
    <w:p w14:paraId="7B8BC59C" w14:textId="77777777" w:rsidR="00A8138F" w:rsidRDefault="00A8138F" w:rsidP="00A8138F">
      <w:pPr>
        <w:pStyle w:val="TextoNormal"/>
      </w:pPr>
      <w:r>
        <w:t xml:space="preserve">b) La doctrina constitucional sobre la institución de </w:t>
      </w:r>
      <w:r w:rsidRPr="00A8138F">
        <w:rPr>
          <w:i/>
        </w:rPr>
        <w:t>habeas corpus</w:t>
      </w:r>
      <w:r>
        <w:t xml:space="preserve"> y la prohibición de su inadmisión o su desestimación </w:t>
      </w:r>
      <w:r w:rsidRPr="00A8138F">
        <w:rPr>
          <w:i/>
        </w:rPr>
        <w:t>a limine</w:t>
      </w:r>
      <w:r>
        <w:t xml:space="preserve"> por motivos de fondo aparece detallada en la STC 85/2024, de 3 de junio, FJ 2, a la que nos remitimos, haciendo notar el parámetro de control que establece: “la vulneración del derecho a la libertad del detenido en su vertiente del derecho al control judicial de la detención (art. 17.1 y 4 CE) por incumplimiento del procedimiento de </w:t>
      </w:r>
      <w:r w:rsidRPr="00A8138F">
        <w:rPr>
          <w:i/>
        </w:rPr>
        <w:t>habeas corpus</w:t>
      </w:r>
      <w:r>
        <w:t xml:space="preserve"> se produce tanto cuando se inadmite </w:t>
      </w:r>
      <w:r w:rsidRPr="00A8138F">
        <w:rPr>
          <w:i/>
        </w:rPr>
        <w:t>a limine</w:t>
      </w:r>
      <w:r>
        <w:t xml:space="preserve"> la incoación de dicho procedimiento fuera de los supuestos admitidos (falta del presupuesto necesario de una situación de privación de libertad no acordada judicialmente o incumplimiento de los requisitos formales a los que se refiere el art. 4 LOHC); como cuando se dicta auto por el que se desestima la solicitud de </w:t>
      </w:r>
      <w:r w:rsidRPr="00A8138F">
        <w:rPr>
          <w:i/>
        </w:rPr>
        <w:t>habeas corpus</w:t>
      </w:r>
      <w:r>
        <w:t xml:space="preserve"> por motivos de fondo (art. 8 LOHC) sin haber respetado el procedimiento regulado en la Ley Orgánica de regulación del procedimiento de </w:t>
      </w:r>
      <w:r w:rsidRPr="00A8138F">
        <w:rPr>
          <w:i/>
        </w:rPr>
        <w:t>habeas corpus</w:t>
      </w:r>
      <w:r>
        <w:t xml:space="preserve"> y, en particular, el requisito de la audiencia del detenido (art. 7 LOHC)” (FJ 3).</w:t>
      </w:r>
    </w:p>
    <w:p w14:paraId="0B945BF3" w14:textId="77777777" w:rsidR="00A8138F" w:rsidRDefault="00A8138F" w:rsidP="00A8138F">
      <w:pPr>
        <w:pStyle w:val="TextoNormal"/>
      </w:pPr>
    </w:p>
    <w:p w14:paraId="6DABB56E" w14:textId="42C40233" w:rsidR="00A8138F" w:rsidRDefault="00A8138F" w:rsidP="00A8138F">
      <w:pPr>
        <w:pStyle w:val="TextoNormal"/>
      </w:pPr>
      <w:r>
        <w:t xml:space="preserve">No en balde el procedimiento de </w:t>
      </w:r>
      <w:r w:rsidRPr="00A8138F">
        <w:rPr>
          <w:i/>
        </w:rPr>
        <w:t>habeas corpus</w:t>
      </w:r>
      <w:r>
        <w:t xml:space="preserve"> es una garantía específica del derecho fundamental a la libertad personal frente a la restricción que supone la detención, garantía que consiste en evitar y hacer cesar de manera inmediata la vulneración del derecho mediante la puesta a disposición del juez de la persona detenida. La esencia de la garantía constitucional es que el juez compruebe personalmente la situación del detenido y le escuche, haciendo efectivo el derecho de quien ha impetrado el amparo judicial a ser oído y alegar sobre la legalidad de la privación de libertad que sufre. La inadmisión o desestimación </w:t>
      </w:r>
      <w:r w:rsidRPr="00A8138F">
        <w:rPr>
          <w:i/>
        </w:rPr>
        <w:t>a limine</w:t>
      </w:r>
      <w:r>
        <w:t xml:space="preserve"> de la demanda por razones de fondo —aquellas que versan sobre la regularidad de la detención—, sin previa puesta a disposición judicial de la persona privada de libertad y sin ser escuchada, supone la vulneración del derecho fundamental por parte de la autoridad judicial a la que la Constitución confía su protección.</w:t>
      </w:r>
    </w:p>
    <w:p w14:paraId="18B20194" w14:textId="77777777" w:rsidR="00A8138F" w:rsidRDefault="00A8138F" w:rsidP="00A8138F">
      <w:pPr>
        <w:pStyle w:val="TextoNormal"/>
      </w:pPr>
    </w:p>
    <w:p w14:paraId="41D445A6" w14:textId="77777777" w:rsidR="00A8138F" w:rsidRDefault="00A8138F" w:rsidP="00A8138F">
      <w:pPr>
        <w:pStyle w:val="TextoNormal"/>
      </w:pPr>
      <w:r w:rsidRPr="00A8138F">
        <w:rPr>
          <w:rStyle w:val="NumeroAFNegritaCaracter"/>
        </w:rPr>
        <w:t>3</w:t>
      </w:r>
      <w:r>
        <w:t xml:space="preserve">. </w:t>
      </w:r>
      <w:r w:rsidRPr="00A8138F">
        <w:rPr>
          <w:i/>
        </w:rPr>
        <w:t>Resolución del caso: estimación de los motivos relativos a la denegación del derecho de información y de acceso a las actuaciones en sede policial y al control judicial de la detención</w:t>
      </w:r>
    </w:p>
    <w:p w14:paraId="74FDC517" w14:textId="77777777" w:rsidR="00A8138F" w:rsidRDefault="00A8138F" w:rsidP="00A8138F">
      <w:pPr>
        <w:pStyle w:val="TextoNormal"/>
      </w:pPr>
    </w:p>
    <w:p w14:paraId="254CC99E" w14:textId="77777777" w:rsidR="00A8138F" w:rsidRDefault="00A8138F" w:rsidP="00A8138F">
      <w:pPr>
        <w:pStyle w:val="TextoNormal"/>
      </w:pPr>
      <w:r>
        <w:t xml:space="preserve">a) La recurrente denuncia que en sede policial se le denegó la información y el acceso al atestado que había solicitado para impugnar la legalidad de la detención. Atendiendo al contenido de las diligencias policiales resulta que no se le facilitó información alguna que le permitiera conocer las causas por las que había sido detenida. Se le trasladó únicamente que había una orden policial de búsqueda que estaba vigente. En el “Acta de detención e </w:t>
      </w:r>
      <w:r>
        <w:lastRenderedPageBreak/>
        <w:t>información de derechos y de los elementos esenciales de las actuaciones para impugnar la detención”, tanto en el apartado “Breve resumen de los hechos”, como en el epígrafe “Relación de indicios de los que se deduce la participación de la persona detenida en el hecho”, se reseñó: “orden de búsqueda detención y personación por el Grupo 1 UDEV de la Brigada Provincial de Albacete por el motivo de hurto y pertenencia a grupo criminal, con fecha en vigor”. Además, cuando el abogado solicitó examinar “las actuaciones de investigación realizadas por el Grupo 1 de UDEV-Robos de Albacete”, la respuesta de la policía fue negativa, tal y como aparece recogido en el atestado con la expresión: “se le niega el acceso”.</w:t>
      </w:r>
    </w:p>
    <w:p w14:paraId="4F0C0BC5" w14:textId="77777777" w:rsidR="00A8138F" w:rsidRDefault="00A8138F" w:rsidP="00A8138F">
      <w:pPr>
        <w:pStyle w:val="TextoNormal"/>
      </w:pPr>
    </w:p>
    <w:p w14:paraId="1B70DCC8" w14:textId="77777777" w:rsidR="00A8138F" w:rsidRDefault="00A8138F" w:rsidP="00A8138F">
      <w:pPr>
        <w:pStyle w:val="TextoNormal"/>
      </w:pPr>
      <w:r>
        <w:t>De este modo, se privó a la recurrente de la mínima información necesaria para que pudiera inferir los hechos con los que se la relacionaba y la participación que se le atribuía en el delito investigado, con carácter previo a su interrogatorio policial, impidiéndole impugnar, como pretendía, la legalidad de la detención. Los únicos datos con los que su defensa contaba eran los relativos al lugar, fecha y hora de la detención, la calificación policial del supuesto delito cometido, la existencia de la reclamación policial y la localización de la unidad que había emitido la orden. No se le ofreció ninguna información sobre las circunstancias de la comisión del delito, ni sobre su participación en los hechos, ni tampoco sobre la existencia de indicios delictivos o de alguna fuente de prueba acerca de su autoría. No se le facilitó información útil, ya directamente o mediante el acceso al atestado, que le permitiera impugnar con datos y razones la legalidad de su detención, contraviniendo el mandato constitucional de que la detención tenga lugar “en la forma” prevista en la ley (art. 17.1 CE), que es la establecida en el art. 520.2 d) LECrim, que reconoce el derecho de toda persona detenida “a acceder a los elementos esenciales de las actuaciones que sean esenciales para impugnar la legalidad de la detención o privación de libertad”. La garantía instrumental del derecho fundamental a la libertad personal quedó así frustrada al no facilitársele la mínima información ni poderla obtener mediante el acceso a las diligencias.</w:t>
      </w:r>
    </w:p>
    <w:p w14:paraId="50FDC3B4" w14:textId="77777777" w:rsidR="00A8138F" w:rsidRDefault="00A8138F" w:rsidP="00A8138F">
      <w:pPr>
        <w:pStyle w:val="TextoNormal"/>
      </w:pPr>
    </w:p>
    <w:p w14:paraId="589BC18F" w14:textId="77777777" w:rsidR="00A8138F" w:rsidRDefault="00A8138F" w:rsidP="00A8138F">
      <w:pPr>
        <w:pStyle w:val="TextoNormal"/>
      </w:pPr>
      <w:r>
        <w:t>Se incumplió la obligación de informar, ya de manera directa, ya por escrito, a la persona detenida acerca de los hechos que se le atribuían [art. 520.2 d) LECrim]. Sin embargo, los agentes encargados de la detención y de tramitar el atestado pudieron y debieron observar dicha garantía, para respetar el derecho fundamental a la libertad personal, una vez que recibieron de la comisaría de Albacete noticia sobre la investigación de los hechos en los que habría intervenido la recurrente. En este punto resulta irrelevante que los agentes que gestionaban el atestado tras la detención de la recurrente pertenecieran a unidades policiales diferentes a la que había investigado los hechos y emitido la orden de detención.</w:t>
      </w:r>
    </w:p>
    <w:p w14:paraId="1AF37670" w14:textId="77777777" w:rsidR="00A8138F" w:rsidRDefault="00A8138F" w:rsidP="00A8138F">
      <w:pPr>
        <w:pStyle w:val="TextoNormal"/>
      </w:pPr>
    </w:p>
    <w:p w14:paraId="53FB9C3F" w14:textId="77777777" w:rsidR="00A8138F" w:rsidRDefault="00A8138F" w:rsidP="00A8138F">
      <w:pPr>
        <w:pStyle w:val="TextoNormal"/>
      </w:pPr>
      <w:r>
        <w:t xml:space="preserve">La ausencia de información sobre los hechos y las razones de la detención y la denegación posterior del acceso a las actuaciones supuso, en conclusión, una vulneración de las garantías que el art. 17 CE, en sus apartados 1 y 3, reconocen a la demandante en cuanto titular del derecho a la libertad personal. La lesión del derecho fundamental se confirmó y agravó con la resolución del juez de guardia que inadmitió la solicitud de </w:t>
      </w:r>
      <w:r w:rsidRPr="00A8138F">
        <w:rPr>
          <w:i/>
        </w:rPr>
        <w:t>habeas corpus</w:t>
      </w:r>
      <w:r>
        <w:t>, quien, sin comprobar personalmente la situación de la persona privada de libertad ni escucharla, consideró que la detenida estaba “convenientemente” informada.</w:t>
      </w:r>
    </w:p>
    <w:p w14:paraId="575056BE" w14:textId="77777777" w:rsidR="00A8138F" w:rsidRDefault="00A8138F" w:rsidP="00A8138F">
      <w:pPr>
        <w:pStyle w:val="TextoNormal"/>
      </w:pPr>
    </w:p>
    <w:p w14:paraId="1B72CEA1" w14:textId="77777777" w:rsidR="00A8138F" w:rsidRDefault="00A8138F" w:rsidP="00A8138F">
      <w:pPr>
        <w:pStyle w:val="TextoNormal"/>
      </w:pPr>
      <w:r>
        <w:t xml:space="preserve">b) Según se desprende de las actuaciones del procedimiento de </w:t>
      </w:r>
      <w:r w:rsidRPr="00A8138F">
        <w:rPr>
          <w:i/>
        </w:rPr>
        <w:t>habeas corpus</w:t>
      </w:r>
      <w:r>
        <w:t xml:space="preserve"> núm. 2159-2022, el Juzgado de Instrucción núm. 3 de Madrid que recibió la demanda, solo con el informe del Ministerio Fiscal, sin decretar la admisión del proceso, ni traer a su presencia a la detenida para escucharla, emitió un auto desestimatorio de la petición. El juzgado de </w:t>
      </w:r>
      <w:r>
        <w:lastRenderedPageBreak/>
        <w:t>guardia entendió justificada la privación cautelar de libertad debido a que existía una reclamación policial, no se había superado el plazo legal, la policía estaba realizando diligencias y se había informado de la reclamación a la detenida.</w:t>
      </w:r>
    </w:p>
    <w:p w14:paraId="7223A31F" w14:textId="77777777" w:rsidR="00A8138F" w:rsidRDefault="00A8138F" w:rsidP="00A8138F">
      <w:pPr>
        <w:pStyle w:val="TextoNormal"/>
      </w:pPr>
    </w:p>
    <w:p w14:paraId="6DD7BD5F" w14:textId="77777777" w:rsidR="00A8138F" w:rsidRDefault="00A8138F" w:rsidP="00A8138F">
      <w:pPr>
        <w:pStyle w:val="TextoNormal"/>
      </w:pPr>
      <w:r>
        <w:t xml:space="preserve">El supuesto examinado es análogo al que fue objeto de la STC 85/2024, citada al exponer la doctrina aplicable, y a otros muchos precedentes en los que la autoridad judicial inadmite o desestima </w:t>
      </w:r>
      <w:r w:rsidRPr="00A8138F">
        <w:rPr>
          <w:i/>
        </w:rPr>
        <w:t>a limine</w:t>
      </w:r>
      <w:r>
        <w:t xml:space="preserve"> por motivos de fondo, como aquí sucede, la solicitud de </w:t>
      </w:r>
      <w:r w:rsidRPr="00A8138F">
        <w:rPr>
          <w:i/>
        </w:rPr>
        <w:t>habeas corpus</w:t>
      </w:r>
      <w:r>
        <w:t>, sin poner a disposición judicial a la persona detenida, ni comprobar personalmente su situación, ni permitirle hablar, lo que ha sido proscrito reiteradamente por la doctrina constitucional. Por lo que procede declarar vulnerado el derecho a la libertad de la recurrente en su vertiente de garantía judicial de la detención (art. 17.1 y 4 CE).</w:t>
      </w:r>
    </w:p>
    <w:p w14:paraId="0201E75C" w14:textId="77777777" w:rsidR="00A8138F" w:rsidRDefault="00A8138F" w:rsidP="00A8138F">
      <w:pPr>
        <w:pStyle w:val="TextoNormal"/>
      </w:pPr>
    </w:p>
    <w:p w14:paraId="31CFE063" w14:textId="350C2211" w:rsidR="00A8138F" w:rsidRDefault="00A8138F" w:rsidP="00A8138F">
      <w:pPr>
        <w:pStyle w:val="TextoNormal"/>
      </w:pPr>
      <w:r>
        <w:t>c) La estimación del recurso de amparo conlleva la declaración de nulidad del auto 1733/2022, de 12 de noviembre, del Juzgado de Instrucción núm. 3 de Madrid, sin retroacción de las actuaciones al carecer de objeto por haber cesado la situación de privación de libertad de la recurrente (SSTC 181/2020, FJ 7, y 85/2024, FJ 4).</w:t>
      </w:r>
    </w:p>
    <w:p w14:paraId="32E2E5B2" w14:textId="77777777" w:rsidR="00A8138F" w:rsidRDefault="00A8138F" w:rsidP="00A8138F">
      <w:pPr>
        <w:pStyle w:val="TextoNormal"/>
      </w:pPr>
    </w:p>
    <w:p w14:paraId="28D6A2C8" w14:textId="77777777" w:rsidR="00A8138F" w:rsidRDefault="00A8138F" w:rsidP="00A8138F">
      <w:pPr>
        <w:pStyle w:val="TextoNormalCentrado"/>
        <w:keepNext/>
      </w:pPr>
      <w:r>
        <w:t>FALLO</w:t>
      </w:r>
    </w:p>
    <w:p w14:paraId="25944432" w14:textId="44090376" w:rsidR="00A8138F" w:rsidRDefault="00A8138F" w:rsidP="00A8138F">
      <w:pPr>
        <w:pStyle w:val="TextoNormalCentrado"/>
        <w:keepNext/>
      </w:pPr>
    </w:p>
    <w:p w14:paraId="75E77740"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Katherin Velásquez Rodríguez y, en su virtud:</w:t>
      </w:r>
    </w:p>
    <w:p w14:paraId="0B93BB0C" w14:textId="77777777" w:rsidR="00A8138F" w:rsidRDefault="00A8138F" w:rsidP="00A8138F">
      <w:pPr>
        <w:pStyle w:val="TextoNormal"/>
      </w:pPr>
    </w:p>
    <w:p w14:paraId="140C91B5" w14:textId="77777777" w:rsidR="00A8138F" w:rsidRDefault="00A8138F" w:rsidP="00A8138F">
      <w:pPr>
        <w:pStyle w:val="TextoNormal"/>
      </w:pPr>
      <w:r>
        <w:t>1º Declarar y reconocer que ha sido vulnerado su derecho a la libertad personal en la forma prevista en la ley de ser informada de los hechos y de los motivos de la detención y de acceso a los elementos de las actuaciones que sean esenciales para impugnar la legalidad de la detención policial (art. 17.1 y 3 CE).</w:t>
      </w:r>
    </w:p>
    <w:p w14:paraId="19F1B942" w14:textId="77777777" w:rsidR="00A8138F" w:rsidRDefault="00A8138F" w:rsidP="00A8138F">
      <w:pPr>
        <w:pStyle w:val="TextoNormal"/>
      </w:pPr>
    </w:p>
    <w:p w14:paraId="2980BFC7" w14:textId="77777777" w:rsidR="00A8138F" w:rsidRDefault="00A8138F" w:rsidP="00A8138F">
      <w:pPr>
        <w:pStyle w:val="TextoNormal"/>
      </w:pPr>
      <w:r>
        <w:t>2º Declarar y reconocer que ha sido vulnerado su derecho a la libertad personal, en su vertiente de la garantía del control judicial de la detención (art. 17.1 y 4 CE).</w:t>
      </w:r>
    </w:p>
    <w:p w14:paraId="714AB302" w14:textId="77777777" w:rsidR="00A8138F" w:rsidRDefault="00A8138F" w:rsidP="00A8138F">
      <w:pPr>
        <w:pStyle w:val="TextoNormal"/>
      </w:pPr>
    </w:p>
    <w:p w14:paraId="2AB10299" w14:textId="0ACAD4DF" w:rsidR="00A8138F" w:rsidRDefault="00A8138F" w:rsidP="00A8138F">
      <w:pPr>
        <w:pStyle w:val="TextoNormal"/>
      </w:pPr>
      <w:r>
        <w:t xml:space="preserve">3º Restablecerla en su derecho y, a tal fin, declarar la nulidad del auto núm. 1733/2022, de 12 de noviembre, del Juzgado de Instrucción núm. 3 de Madrid, recaído en el procedimiento de </w:t>
      </w:r>
      <w:r w:rsidRPr="00A8138F">
        <w:rPr>
          <w:i/>
        </w:rPr>
        <w:t>habeas corpus</w:t>
      </w:r>
      <w:r>
        <w:t xml:space="preserve"> núm. 2159-2022.</w:t>
      </w:r>
    </w:p>
    <w:p w14:paraId="3982EB47" w14:textId="77777777" w:rsidR="00A8138F" w:rsidRDefault="00A8138F" w:rsidP="00A8138F">
      <w:pPr>
        <w:pStyle w:val="TextoNormal"/>
      </w:pPr>
    </w:p>
    <w:p w14:paraId="275BBF7C" w14:textId="77777777" w:rsidR="00A8138F" w:rsidRDefault="00A8138F" w:rsidP="00A8138F">
      <w:pPr>
        <w:pStyle w:val="TextoNormal"/>
      </w:pPr>
      <w:r>
        <w:t>Publíquese esta sentencia en el “Boletín Oficial del Estado”.</w:t>
      </w:r>
    </w:p>
    <w:p w14:paraId="41871F54" w14:textId="77777777" w:rsidR="00A8138F" w:rsidRDefault="00A8138F" w:rsidP="00A8138F">
      <w:pPr>
        <w:pStyle w:val="TextoNormal"/>
      </w:pPr>
      <w:r>
        <w:t>Dada en Madrid, a siete de abril de dos mil veinticinco.</w:t>
      </w:r>
    </w:p>
    <w:p w14:paraId="124860D5" w14:textId="7DB797BA" w:rsidR="00A8138F" w:rsidRDefault="00A8138F">
      <w:pPr>
        <w:spacing w:after="160" w:line="278" w:lineRule="auto"/>
        <w:rPr>
          <w:rFonts w:ascii="Times New Roman" w:eastAsia="Times New Roman" w:hAnsi="Times New Roman" w:cs="Times New Roman"/>
          <w:sz w:val="24"/>
          <w:szCs w:val="24"/>
          <w:lang w:eastAsia="es-ES"/>
        </w:rPr>
      </w:pPr>
      <w:r>
        <w:br w:type="page"/>
      </w:r>
    </w:p>
    <w:p w14:paraId="3F5C90F0" w14:textId="77777777" w:rsidR="00A8138F" w:rsidRDefault="00A8138F" w:rsidP="00A8138F">
      <w:pPr>
        <w:pStyle w:val="TtuloResolucin"/>
      </w:pPr>
      <w:bookmarkStart w:id="89" w:name="SENTENCIA_2025_87"/>
      <w:r>
        <w:lastRenderedPageBreak/>
        <w:t>SENTENCIA 87/2025, de 7 de abril de 2025</w:t>
      </w:r>
    </w:p>
    <w:bookmarkEnd w:id="89"/>
    <w:p w14:paraId="3A5C930F" w14:textId="77777777" w:rsidR="00A8138F" w:rsidRDefault="00A8138F" w:rsidP="00A8138F">
      <w:pPr>
        <w:pStyle w:val="TtuloResolucin"/>
      </w:pPr>
      <w:r>
        <w:t>Sala Primera</w:t>
      </w:r>
    </w:p>
    <w:p w14:paraId="14F22223" w14:textId="77777777" w:rsidR="00A8138F" w:rsidRDefault="00A8138F" w:rsidP="00A8138F">
      <w:pPr>
        <w:pStyle w:val="TtuloBOE"/>
      </w:pPr>
      <w:r>
        <w:t>(BOE núm. 117, de 15 de mayo de 2025)</w:t>
      </w:r>
    </w:p>
    <w:p w14:paraId="2399C97B" w14:textId="77777777" w:rsidR="00A8138F" w:rsidRDefault="00A8138F" w:rsidP="00A8138F">
      <w:pPr>
        <w:pStyle w:val="TextoNormalCentrado"/>
      </w:pPr>
      <w:r>
        <w:t>ECLI:ES:TC:2025:87</w:t>
      </w:r>
    </w:p>
    <w:p w14:paraId="2E3A3FC9" w14:textId="0BADBF8A" w:rsidR="00A8138F" w:rsidRDefault="00A8138F" w:rsidP="00A8138F">
      <w:pPr>
        <w:pStyle w:val="TextoNormalCentrado"/>
      </w:pPr>
    </w:p>
    <w:p w14:paraId="4AE6C585" w14:textId="77777777" w:rsidR="00A8138F" w:rsidRDefault="00A8138F" w:rsidP="00A8138F">
      <w:pPr>
        <w:pStyle w:val="SntesisDescriptiva"/>
      </w:pPr>
      <w:r>
        <w:t>Recurso de amparo 7510-2023. Promovido por La Opinión de Málaga, S.L., en relación con la sentencia de la Sala de lo Civil del Tribunal Supremo que estimó, en casación, una demanda por vulneración de los derechos al honor y a la propia imagen.</w:t>
      </w:r>
    </w:p>
    <w:p w14:paraId="3F4F450B" w14:textId="5F188658" w:rsidR="00A8138F" w:rsidRDefault="00A8138F" w:rsidP="00A8138F">
      <w:pPr>
        <w:pStyle w:val="SntesisDescriptiva"/>
      </w:pPr>
    </w:p>
    <w:p w14:paraId="4E59F19E" w14:textId="77777777" w:rsidR="00A8138F" w:rsidRDefault="00A8138F" w:rsidP="00A8138F">
      <w:pPr>
        <w:pStyle w:val="SntesisAnaltica"/>
      </w:pPr>
      <w:r>
        <w:t>Supuesta vulneración del derecho a la libertad de información: difusión de un vídeo en el que aparecen imágenes de quien no es sujeto de la noticia; doctrina del reportaje neutral (STC 62/2025). Votos particulares.</w:t>
      </w:r>
    </w:p>
    <w:p w14:paraId="20FE9C4C" w14:textId="62BED764" w:rsidR="00A8138F" w:rsidRDefault="00A8138F" w:rsidP="00A8138F">
      <w:pPr>
        <w:pStyle w:val="SntesisAnaltica"/>
      </w:pPr>
    </w:p>
    <w:p w14:paraId="32726BE4" w14:textId="5BAE6213" w:rsidR="00A8138F" w:rsidRDefault="00A8138F" w:rsidP="00A8138F">
      <w:pPr>
        <w:pStyle w:val="Extracto"/>
      </w:pPr>
      <w:r>
        <w:t>1.</w:t>
      </w:r>
      <w:r>
        <w:tab/>
        <w:t>En el juicio de ponderación entre el derecho a comunicar información veraz y los derechos al honor y a la propia imagen, se aplica la doctrina expresada en la STC 62/2025 por la que, atendidas las circunstancias del caso, el medio de comunicación debe cumplir con la diligencia exigible antes de proceder a la transmisión del material informativo, evitando la intromisión ilegítima en el derecho a la imagen [FJ 2].</w:t>
      </w:r>
    </w:p>
    <w:p w14:paraId="1ED56C72" w14:textId="77777777" w:rsidR="00A8138F" w:rsidRDefault="00A8138F" w:rsidP="00A8138F">
      <w:pPr>
        <w:pStyle w:val="Extracto"/>
      </w:pPr>
    </w:p>
    <w:p w14:paraId="3C09C479" w14:textId="240D76C9" w:rsidR="00A8138F" w:rsidRDefault="00A8138F" w:rsidP="00A8138F">
      <w:pPr>
        <w:pStyle w:val="Extracto"/>
      </w:pPr>
      <w:r>
        <w:t>2.</w:t>
      </w:r>
      <w:r>
        <w:tab/>
        <w:t>para conciliar las exigencias de agilidad en la transmisión de la información en la realidad actual, cuando la noticia que se transmita proceda de una agencia de información y se publique tal y como fue elaborada por la agencia con indicación de la fuente, la diligencia exigible al medio de comunicación en relación con el deber de respeto de los otros derechos fundamentales concernidos debe modularse en relación con las noticias obtenidas de fuentes con solvencia profesional [FJ 2].</w:t>
      </w:r>
    </w:p>
    <w:p w14:paraId="1D788A96" w14:textId="77777777" w:rsidR="00A8138F" w:rsidRDefault="00A8138F" w:rsidP="00A8138F">
      <w:pPr>
        <w:pStyle w:val="Extracto"/>
      </w:pPr>
    </w:p>
    <w:p w14:paraId="4AD104DD" w14:textId="77777777" w:rsidR="00A8138F" w:rsidRDefault="00A8138F" w:rsidP="00A8138F">
      <w:pPr>
        <w:pStyle w:val="Extracto"/>
      </w:pPr>
    </w:p>
    <w:p w14:paraId="4D308982"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8B30D24" w14:textId="2D91CB49" w:rsidR="00A8138F" w:rsidRDefault="00A8138F" w:rsidP="00A8138F">
      <w:pPr>
        <w:pStyle w:val="TextoNormal"/>
      </w:pPr>
    </w:p>
    <w:p w14:paraId="4820B28A" w14:textId="77777777" w:rsidR="00A8138F" w:rsidRDefault="00A8138F" w:rsidP="00A8138F">
      <w:pPr>
        <w:pStyle w:val="TextoNormalCentrado"/>
        <w:keepNext/>
      </w:pPr>
      <w:r>
        <w:t>EN NOMBRE DEL REY</w:t>
      </w:r>
    </w:p>
    <w:p w14:paraId="32FA258C" w14:textId="417F34FD" w:rsidR="00A8138F" w:rsidRDefault="00A8138F" w:rsidP="00A8138F">
      <w:pPr>
        <w:pStyle w:val="TextoNormalCentrado"/>
        <w:keepNext/>
      </w:pPr>
    </w:p>
    <w:p w14:paraId="032C92E2" w14:textId="77777777" w:rsidR="00A8138F" w:rsidRDefault="00A8138F" w:rsidP="00A8138F">
      <w:pPr>
        <w:pStyle w:val="TextoNormalCentrado"/>
        <w:keepNext/>
      </w:pPr>
    </w:p>
    <w:p w14:paraId="12A3B550" w14:textId="77777777" w:rsidR="00A8138F" w:rsidRDefault="00A8138F" w:rsidP="00A8138F">
      <w:pPr>
        <w:pStyle w:val="TextoNormal"/>
      </w:pPr>
      <w:r>
        <w:t>la siguiente</w:t>
      </w:r>
    </w:p>
    <w:p w14:paraId="252DF889" w14:textId="6FA47184" w:rsidR="00A8138F" w:rsidRDefault="00A8138F" w:rsidP="00A8138F">
      <w:pPr>
        <w:pStyle w:val="TextoNormal"/>
      </w:pPr>
    </w:p>
    <w:p w14:paraId="7424DD51" w14:textId="77777777" w:rsidR="00A8138F" w:rsidRDefault="00A8138F" w:rsidP="00A8138F">
      <w:pPr>
        <w:pStyle w:val="TextoNormalCentrado"/>
        <w:keepNext/>
      </w:pPr>
      <w:r>
        <w:t>SENTENCIA</w:t>
      </w:r>
    </w:p>
    <w:p w14:paraId="416B80F0" w14:textId="543E4689" w:rsidR="00A8138F" w:rsidRDefault="00A8138F" w:rsidP="00A8138F">
      <w:pPr>
        <w:pStyle w:val="TextoNormalCentrado"/>
        <w:keepNext/>
      </w:pPr>
    </w:p>
    <w:p w14:paraId="2E3BA032" w14:textId="77777777" w:rsidR="00A8138F" w:rsidRDefault="00A8138F" w:rsidP="00A8138F">
      <w:pPr>
        <w:pStyle w:val="TextoNormal"/>
      </w:pPr>
      <w:r>
        <w:t>En el recurso de amparo núm. 7510-2023 interpuesto por la procuradora de los tribunales doña Patricia Gómez Martínez, en nombre y representación de La Opinión de Málaga, S.L., bajo la dirección letrada de don Ramón Luis García García, contra la sentencia 1035/2023, de 27 de junio, dictada por la Sala de lo Civil del Tribunal Supremo, que estimó el recurso de casación núm. 4628-2022 interpuesto por don Cristian Opazos Menor contra la sentencia 180/2022, de 28 de marzo, dictada por la Sección Decimoséptima de la Audiencia Provincial de Barcelona, que casó, acordando en su lugar la estimación parcial del recurso de ape</w:t>
      </w:r>
      <w:r>
        <w:lastRenderedPageBreak/>
        <w:t>lación que había interpuesto el señor Opazos Menor contra la sentencia 59/2021, de 11 de febrero, del Juzgado de Primera Instancia núm. 6 de L’Hospitalet de Llobregat, que había desestimado íntegramente su demanda de protección del derecho al honor y a la propia imagen. El recurso de amparo también se dirige contra la providencia de la Sala de lo Civil del Tribunal Supremo de 9 de octubre de 2023 que inadmitió el incidente de nulidad de actuaciones interpuesto contra la sentencia de casación. Se ha personado y formulado alegaciones don Cristian Opazos Menor. Ha intervenido el Ministerio Fiscal. Ha sido ponente el presidente, don Cándido Conde-Pumpido Tourón.</w:t>
      </w:r>
    </w:p>
    <w:p w14:paraId="4EA9EF79" w14:textId="5781EBB0" w:rsidR="00A8138F" w:rsidRDefault="00A8138F" w:rsidP="00A8138F">
      <w:pPr>
        <w:pStyle w:val="TextoNormal"/>
      </w:pPr>
    </w:p>
    <w:p w14:paraId="282FF2F9" w14:textId="77777777" w:rsidR="00A8138F" w:rsidRDefault="00A8138F" w:rsidP="00A8138F">
      <w:pPr>
        <w:pStyle w:val="TextoNormalNegritaCentrado"/>
        <w:keepNext/>
      </w:pPr>
      <w:r>
        <w:t>I. Antecedentes</w:t>
      </w:r>
    </w:p>
    <w:p w14:paraId="0E0763B2" w14:textId="4C8868F9" w:rsidR="00A8138F" w:rsidRDefault="00A8138F" w:rsidP="00A8138F">
      <w:pPr>
        <w:pStyle w:val="TextoNormalNegritaCentrado"/>
        <w:keepNext/>
      </w:pPr>
    </w:p>
    <w:p w14:paraId="051D4525" w14:textId="40DF7CD2" w:rsidR="00A8138F" w:rsidRDefault="00A8138F" w:rsidP="00A8138F">
      <w:pPr>
        <w:pStyle w:val="TextoNormal"/>
      </w:pPr>
      <w:r w:rsidRPr="00A8138F">
        <w:rPr>
          <w:rStyle w:val="NumeroAFNegritaCaracter"/>
        </w:rPr>
        <w:t>1</w:t>
      </w:r>
      <w:r>
        <w:t>. Por escrito presentado en el registro de este tribunal el día 28 de noviembre de 2023, la procuradora de los tribunales doña Patricia Gómez Martínez, actuando en nombre y representación de La Opinión de Málaga, S.L., bajo la dirección letrada de don Ramón Luis García García, interpuso recurso de amparo contra la sentencia y la providencia dictadas por la Sala de lo Civil del Tribunal Supremo indicadas en el encabezamiento de esta resolución.</w:t>
      </w:r>
    </w:p>
    <w:p w14:paraId="7E3F81F8" w14:textId="77777777" w:rsidR="00A8138F" w:rsidRDefault="00A8138F" w:rsidP="00A8138F">
      <w:pPr>
        <w:pStyle w:val="TextoNormal"/>
      </w:pPr>
    </w:p>
    <w:p w14:paraId="5EE29D09" w14:textId="77777777" w:rsidR="00A8138F" w:rsidRDefault="00A8138F" w:rsidP="00A8138F">
      <w:pPr>
        <w:pStyle w:val="TextoNormal"/>
      </w:pPr>
      <w:r w:rsidRPr="00A8138F">
        <w:rPr>
          <w:rStyle w:val="NumeroAFNegritaCaracter"/>
        </w:rPr>
        <w:t>2</w:t>
      </w:r>
      <w:r>
        <w:t>. Los hechos en los que se fundamenta la demanda de amparo son, en síntesis, los siguientes:</w:t>
      </w:r>
    </w:p>
    <w:p w14:paraId="7BB5EEEF" w14:textId="77777777" w:rsidR="00A8138F" w:rsidRDefault="00A8138F" w:rsidP="00A8138F">
      <w:pPr>
        <w:pStyle w:val="TextoNormal"/>
      </w:pPr>
    </w:p>
    <w:p w14:paraId="1F8EFF46" w14:textId="77777777" w:rsidR="00A8138F" w:rsidRDefault="00A8138F" w:rsidP="00A8138F">
      <w:pPr>
        <w:pStyle w:val="TextoNormal"/>
      </w:pPr>
      <w:r>
        <w:t>a) Don Cristian Opazos Menor formuló demanda de juicio ordinario contra el diario “La Opinión de Málaga, S.L.”, en la que solicitó que se declarara que había sufrido una intromisión ilegítima en su derecho al honor y a la propia imagen y que se condenara a la parte demandada a satisfacer una indemnización de 60 000 €, así como la adopción de otras medidas reparadoras (publicación del fallo de la sentencia a costa de la parte demandada y que se le ordenase retirar la imágenes en las que aparecía el demandante y no volver a publicarlas en cualquier soporte).</w:t>
      </w:r>
    </w:p>
    <w:p w14:paraId="014A7A2B" w14:textId="77777777" w:rsidR="00A8138F" w:rsidRDefault="00A8138F" w:rsidP="00A8138F">
      <w:pPr>
        <w:pStyle w:val="TextoNormal"/>
      </w:pPr>
    </w:p>
    <w:p w14:paraId="35638530" w14:textId="77777777" w:rsidR="00A8138F" w:rsidRDefault="00A8138F" w:rsidP="00A8138F">
      <w:pPr>
        <w:pStyle w:val="TextoNormal"/>
      </w:pPr>
      <w:r>
        <w:t>b) Los hechos en los que basó su petición se concretan en la publicación de unas imágenes del demandante con ocasión de la noticia sobre la muerte de un preso en el centro penitenciario Madrid V-Soto del Real a manos de otro preso, boxeador, apodado “el Nene”. La noticia llevaba por título: “‘El Nene’ mata a golpes a un traficante de drogas por una litera’”. En el vídeo que ilustraba esta noticia se insertaron imágenes de otra grabación o vídeo correspondiente a una entrevista realizada al demandante, también boxeador, con motivo de un campeonato celebrado en el año 2012. Alegó el demandante que tales imágenes se habían utilizado sin su consentimiento ni autorización, y que se habían publicado indebidamente en el contexto de una noticia de gran impacto mediático, con más de 2260 visualizaciones (contabilizadas en la red social YouTube) durante los más de cinco meses que llevaba publicada. Reprochaba al medio de comunicación demandado que hubiera publicado las imágenes del actor sin la más mínima diligencia de comprobación y contraste de sus archivos e información, pese a la grave imputación que conllevaba, y sin que fuera el autor de un hecho tan grave y macabro, apareciendo su imagen de forma clara y nítida. La demandada, por otra parte, no había rectificado la noticia. Y el demandante consideraba que las imágenes así publicadas no eran veraces y resultaban absolutamente innecesarias para la información, por lo que constituían una clara vulneración de sus derechos al honor y a la propia imagen.</w:t>
      </w:r>
    </w:p>
    <w:p w14:paraId="0A056517" w14:textId="77777777" w:rsidR="00A8138F" w:rsidRDefault="00A8138F" w:rsidP="00A8138F">
      <w:pPr>
        <w:pStyle w:val="TextoNormal"/>
      </w:pPr>
    </w:p>
    <w:p w14:paraId="190D355C" w14:textId="77777777" w:rsidR="00A8138F" w:rsidRDefault="00A8138F" w:rsidP="00A8138F">
      <w:pPr>
        <w:pStyle w:val="TextoNormal"/>
      </w:pPr>
      <w:r>
        <w:lastRenderedPageBreak/>
        <w:t>Resaltaba, además, que las aseveraciones vertidas en la noticia habían provocado continuos y reiterados comentarios contra su persona y actividad profesional por parte de familiares, de personas de su entorno y de fuera de él, y por personalidades del mundo del deporte, lo que ponía en peligro su reputación, y para añadir, la publicación había generado un estado de ansiedad y angustia a su pareja, que se encontraba en su quinto mes de gestación.</w:t>
      </w:r>
    </w:p>
    <w:p w14:paraId="57A7BE62" w14:textId="77777777" w:rsidR="00A8138F" w:rsidRDefault="00A8138F" w:rsidP="00A8138F">
      <w:pPr>
        <w:pStyle w:val="TextoNormal"/>
      </w:pPr>
    </w:p>
    <w:p w14:paraId="3A32A665" w14:textId="77777777" w:rsidR="00A8138F" w:rsidRDefault="00A8138F" w:rsidP="00A8138F">
      <w:pPr>
        <w:pStyle w:val="TextoNormal"/>
      </w:pPr>
      <w:r>
        <w:t>Sobre la base de estos hechos, afirmó que se había producido una intromisión ilegítima en su derecho a la propia imagen, porque se habían tomado imágenes del demandante sin su consentimiento, obtenidas de una red social accesible al público y, además, teniendo en cuenta el contexto de tan macabra e impactante noticia. Sostuvo que el carácter accesible de los datos e imágenes de una red social no puede conllevar la autorización para hacer uso de esas imágenes y publicarlas o divulgarlas de una forma distinta, sin el consentimiento expreso previsto en el art. 2.2 de la Ley Orgánica 1/1982, de 5 de mayo, de protección civil del derecho al honor, a la intimidad personal y familiar y a la propia imagen (LODH), con cita de las SSTS 746/2016, de 21 de diciembre (ECLI:ES:TS:2016:5527), y 91/2017, de 15 de febrero (ECLI:ES:TS:2017:363). A efectos de necesidad de consentimiento expreso, señaló que no se trataba de un personaje con proyección pública.</w:t>
      </w:r>
    </w:p>
    <w:p w14:paraId="08404089" w14:textId="77777777" w:rsidR="00A8138F" w:rsidRDefault="00A8138F" w:rsidP="00A8138F">
      <w:pPr>
        <w:pStyle w:val="TextoNormal"/>
      </w:pPr>
    </w:p>
    <w:p w14:paraId="4D7933BF" w14:textId="77777777" w:rsidR="00A8138F" w:rsidRDefault="00A8138F" w:rsidP="00A8138F">
      <w:pPr>
        <w:pStyle w:val="TextoNormal"/>
      </w:pPr>
      <w:r>
        <w:t xml:space="preserve">Asimismo, adujo que se había vulnerado su derecho al honor porque se mostraba al demandante como autor de los hechos graves a los que se refería la noticia, ya que, al tiempo de aparecer su imagen en el vídeo, se afirmaba lo siguiente: “Así se presenta ‘el Nene’, este campeón de </w:t>
      </w:r>
      <w:r w:rsidRPr="00A8138F">
        <w:rPr>
          <w:i/>
        </w:rPr>
        <w:t>muay thai</w:t>
      </w:r>
      <w:r>
        <w:t xml:space="preserve"> que mató a golpes a su compañero de celda por una litera”.</w:t>
      </w:r>
    </w:p>
    <w:p w14:paraId="7D8A9BA0" w14:textId="77777777" w:rsidR="00A8138F" w:rsidRDefault="00A8138F" w:rsidP="00A8138F">
      <w:pPr>
        <w:pStyle w:val="TextoNormal"/>
      </w:pPr>
    </w:p>
    <w:p w14:paraId="6BA484C7" w14:textId="77777777" w:rsidR="00A8138F" w:rsidRDefault="00A8138F" w:rsidP="00A8138F">
      <w:pPr>
        <w:pStyle w:val="TextoNormal"/>
      </w:pPr>
      <w:r>
        <w:t>Atendidas las circunstancias, el demandante sostuvo que los hechos no podían quedar amparados por la libertad de expresión ni el derecho a la información, teniendo en cuenta que el interés público no justificaba que se publicara su imagen en el contexto de aquel suceso. Señaló también que, en el juicio de ponderación al que se refiere la jurisprudencia del Tribunal Supremo y del Tribunal Constitucional, debe tenerse en cuenta: (i) el interés general y relevancia pública de la información divulgada; (ii) que el derecho a informar se vea disminuido si no se refiere a personalidades públicas, cuando en este caso se trata de un sujeto privado y (iii) que la información sea veraz, comprobada y contrastada.</w:t>
      </w:r>
    </w:p>
    <w:p w14:paraId="4792B95A" w14:textId="77777777" w:rsidR="00A8138F" w:rsidRDefault="00A8138F" w:rsidP="00A8138F">
      <w:pPr>
        <w:pStyle w:val="TextoNormal"/>
      </w:pPr>
    </w:p>
    <w:p w14:paraId="6869F680" w14:textId="77777777" w:rsidR="00A8138F" w:rsidRDefault="00A8138F" w:rsidP="00A8138F">
      <w:pPr>
        <w:pStyle w:val="TextoNormal"/>
      </w:pPr>
      <w:r>
        <w:t>El demandante concluyó a la luz de estos planteamientos que la utilización de sus imágenes constituía una vulneración de sus derechos al honor y a la propia imagen.</w:t>
      </w:r>
    </w:p>
    <w:p w14:paraId="78E7B050" w14:textId="77777777" w:rsidR="00A8138F" w:rsidRDefault="00A8138F" w:rsidP="00A8138F">
      <w:pPr>
        <w:pStyle w:val="TextoNormal"/>
      </w:pPr>
    </w:p>
    <w:p w14:paraId="4C26BC38" w14:textId="77777777" w:rsidR="00A8138F" w:rsidRDefault="00A8138F" w:rsidP="00A8138F">
      <w:pPr>
        <w:pStyle w:val="TextoNormal"/>
      </w:pPr>
      <w:r>
        <w:t>c) La demanda fue repartida al Juzgado de Primera Instancia núm. 6 de L’Hospitalet de Llobregat, que incoó el procedimiento ordinario núm. 810-2019. Por decreto de 15 de enero de 2020 fue admitida a trámite y se acordó su traslado, con emplazamiento para contestación, a la parte demandada y al Ministerio Fiscal.</w:t>
      </w:r>
    </w:p>
    <w:p w14:paraId="3E7D3289" w14:textId="77777777" w:rsidR="00A8138F" w:rsidRDefault="00A8138F" w:rsidP="00A8138F">
      <w:pPr>
        <w:pStyle w:val="TextoNormal"/>
      </w:pPr>
    </w:p>
    <w:p w14:paraId="0C0D69D6" w14:textId="77777777" w:rsidR="00A8138F" w:rsidRDefault="00A8138F" w:rsidP="00A8138F">
      <w:pPr>
        <w:pStyle w:val="TextoNormal"/>
      </w:pPr>
      <w:r>
        <w:t>d) El fiscal contestó a la demanda alegando que para concretar la existencia o no de intromisión ilegítima en el derecho fundamental invocado se habrían de valorar las pruebas que se presentasen en el acto del juicio, careciendo en esos momentos de elementos suficientes para pronunciarse, por lo que suplicaba del juzgado que se convocase a las partes a la audiencia previa, a fin de que pudieran llegar a un acuerdo transaccional o, en caso negativo, proponer las pruebas de las que quisieran valerse en el juicio oral, y, en su caso, que se señalase vista pública con citación de las partes a los efectos legales oportunos.</w:t>
      </w:r>
    </w:p>
    <w:p w14:paraId="51FCAB07" w14:textId="77777777" w:rsidR="00A8138F" w:rsidRDefault="00A8138F" w:rsidP="00A8138F">
      <w:pPr>
        <w:pStyle w:val="TextoNormal"/>
      </w:pPr>
    </w:p>
    <w:p w14:paraId="3AE6CFE1" w14:textId="77777777" w:rsidR="00A8138F" w:rsidRDefault="00A8138F" w:rsidP="00A8138F">
      <w:pPr>
        <w:pStyle w:val="TextoNormal"/>
      </w:pPr>
      <w:r>
        <w:t>e) La Opinión de Málaga, S.L., en su escrito de contestación, cuestionó en primer lugar la válida constitución de la relación jurídico procesal al oponer las excepciones de falta de legitimación activa del demandante, por no ser titular de la relación jurídica litigiosa, dado que la noticia en ningún caso se estaba refiriendo a su persona, y de falta de legitimación pasiva de la demandada, porque la demanda se dirigía contra el “diario ‘La Opinión de Málaga’”, que es un mero nombre comercial, y no a la empresa editora La Opinión de Málaga, S.L., que es la que ostenta la personalidad jurídica.</w:t>
      </w:r>
    </w:p>
    <w:p w14:paraId="7C2C0D19" w14:textId="77777777" w:rsidR="00A8138F" w:rsidRDefault="00A8138F" w:rsidP="00A8138F">
      <w:pPr>
        <w:pStyle w:val="TextoNormal"/>
      </w:pPr>
    </w:p>
    <w:p w14:paraId="06CCC76A" w14:textId="77777777" w:rsidR="00A8138F" w:rsidRDefault="00A8138F" w:rsidP="00A8138F">
      <w:pPr>
        <w:pStyle w:val="TextoNormal"/>
      </w:pPr>
      <w:r>
        <w:t xml:space="preserve">Interesaba la desestimación de la pretensión y su absolución argumentando que el diario quedaba exento de responsabilidad conforme a la doctrina sobre reportaje neutral, dado que el artículo publicado en el diario digital </w:t>
      </w:r>
      <w:r w:rsidRPr="00A8138F">
        <w:rPr>
          <w:i/>
        </w:rPr>
        <w:t>La Nueva España</w:t>
      </w:r>
      <w:r>
        <w:t xml:space="preserve"> [“lne.es” (en realidad se refiere al diario digital </w:t>
      </w:r>
      <w:r w:rsidRPr="00A8138F">
        <w:rPr>
          <w:i/>
        </w:rPr>
        <w:t>La Opinión de Málaga</w:t>
      </w:r>
      <w:r>
        <w:t xml:space="preserve"> “laopiniondemalaga.es”)] reproducía de manera neutral y con cita expresa de su procedencia un soporte audiovisual facilitado por una fuente de acreditada solvencia, la agencia nacional de noticias Atlas, que había sido difundido también por multitud de medios de comunicación regionales y nacionales. La información se refería a un suceso real, de interés general y de evidente trascendencia social, por lo que la responsabilidad del medio, conforme a la jurisprudencia de la Sala de lo Civil del Tribunal Supremo y del Tribunal Constitucional [cita, entre otras, las SSTS 499/2005, de 22 de junio (ECLI:ES:TS:2005:4093), y 605/2014, de 3 de noviembre (ECLI:ES:TS:2014:4252), y la STC 178/1993, de 31 de mayo] se debía limitar a acreditar la realidad de lo expresado por la fuente de información.</w:t>
      </w:r>
    </w:p>
    <w:p w14:paraId="2F88CAB0" w14:textId="77777777" w:rsidR="00A8138F" w:rsidRDefault="00A8138F" w:rsidP="00A8138F">
      <w:pPr>
        <w:pStyle w:val="TextoNormal"/>
      </w:pPr>
    </w:p>
    <w:p w14:paraId="43EFB92E" w14:textId="77777777" w:rsidR="00A8138F" w:rsidRDefault="00A8138F" w:rsidP="00A8138F">
      <w:pPr>
        <w:pStyle w:val="TextoNormal"/>
      </w:pPr>
      <w:r>
        <w:t>Reprocha al demandante haber actuado de forma sesgada porque no aportó con su demanda el vídeo completo de la noticia, del que se desprendía que se refería a otra persona, sino un fragmento y varias capturas en las que solo aparecía su imagen, y en las que se había recortado el pie de la noticia en el que constaba que procedía de la agencia Atlas.</w:t>
      </w:r>
    </w:p>
    <w:p w14:paraId="38272737" w14:textId="77777777" w:rsidR="00A8138F" w:rsidRDefault="00A8138F" w:rsidP="00A8138F">
      <w:pPr>
        <w:pStyle w:val="TextoNormal"/>
      </w:pPr>
    </w:p>
    <w:p w14:paraId="23FD0F2E" w14:textId="77777777" w:rsidR="00A8138F" w:rsidRDefault="00A8138F" w:rsidP="00A8138F">
      <w:pPr>
        <w:pStyle w:val="TextoNormal"/>
      </w:pPr>
      <w:r>
        <w:t>Afirma que el diario “La Opinión de Málaga” ejerció legítimamente el derecho y el deber de informar sobre unos hechos veraces de transcendencia e interés público y social [art. 20.1 d) CE], y que la forma accesoria en la que supuestamente aparece la imagen del demandante no desvirtúa la licitud del ejercicio de tal derecho. Concluye que el ejercicio legítimo de dicho derecho fundamental ha de prevalecer, conforme a reiterada doctrina constitucional, sobre el derecho al honor garantizado en el art. 18.1 CE.</w:t>
      </w:r>
    </w:p>
    <w:p w14:paraId="21692365" w14:textId="77777777" w:rsidR="00A8138F" w:rsidRDefault="00A8138F" w:rsidP="00A8138F">
      <w:pPr>
        <w:pStyle w:val="TextoNormal"/>
      </w:pPr>
    </w:p>
    <w:p w14:paraId="706F814A" w14:textId="77777777" w:rsidR="00A8138F" w:rsidRDefault="00A8138F" w:rsidP="00A8138F">
      <w:pPr>
        <w:pStyle w:val="TextoNormal"/>
      </w:pPr>
      <w:r>
        <w:t>f) El Juzgado de Primera Instancia núm. 6 de L’Hospitalet de Llobregat desestimó la demanda en sentencia 59/2021, de 11 de febrero. La resolución desecha la excepción procesal de falta de legitimación activa del demandante porque tenía capacidad procesal y era titular del interés afectado, y la de falta de legitimación pasiva de la demandada porque, aunque hubiera sido identificada por el nombre comercial del diario “La Opinión de Málaga”, tal deficiencia quedó subsanada al personarse en el procedimiento su empresa editora.</w:t>
      </w:r>
    </w:p>
    <w:p w14:paraId="5F4B9E6E" w14:textId="77777777" w:rsidR="00A8138F" w:rsidRDefault="00A8138F" w:rsidP="00A8138F">
      <w:pPr>
        <w:pStyle w:val="TextoNormal"/>
      </w:pPr>
    </w:p>
    <w:p w14:paraId="072852A4" w14:textId="77777777" w:rsidR="00A8138F" w:rsidRDefault="00A8138F" w:rsidP="00A8138F">
      <w:pPr>
        <w:pStyle w:val="TextoNormal"/>
      </w:pPr>
      <w:r>
        <w:t>La sentencia declara que el supuesto relatado en la demanda sería en principio susceptible de constituir una infracción del derecho al honor porque en casos semejantes de errónea utilización de la imagen de una persona para ilustrar noticias relativas a la comisión de un delito, la Sala de lo Civil del Tribunal Supremo ha declarado vulnerado tal derecho, refiriéndose a las SSTS 360/2015, de 1 de julio (ECLI:ES:TS:2015:2978), y 618/2016, de 10 de octubre (ECLI:ES:TS:2016:4620). La transmisión de noticias que redundan en descré</w:t>
      </w:r>
      <w:r>
        <w:lastRenderedPageBreak/>
        <w:t>dito de una persona exige una razonable diligencia por parte del informador para contrastar la noticia, de acuerdo con pautas profesionales ajustadas a las circunstancias del caso, aunque el grado de diligencia varía en función de que presente la noticia como una comunicación neutra, o reportaje neutral, en cuanto la información proceda de otro medio de comunicación o fuente informativa de la que el informador simplemente da traslado, o que lo haga como información asumida por el medio y su autor como propia. En el primer caso, el deber de diligencia del informador se cumple con la simple constatación de la verdad del hecho de la declaración, pero no se extiende en principio a la necesidad de constatar la verdad de lo declarado, pues tal responsabilidad solo sería exigible por lo general al autor de la declaración.</w:t>
      </w:r>
    </w:p>
    <w:p w14:paraId="144A15C0" w14:textId="77777777" w:rsidR="00A8138F" w:rsidRDefault="00A8138F" w:rsidP="00A8138F">
      <w:pPr>
        <w:pStyle w:val="TextoNormal"/>
      </w:pPr>
    </w:p>
    <w:p w14:paraId="16ACE521" w14:textId="77777777" w:rsidR="00A8138F" w:rsidRDefault="00A8138F" w:rsidP="00A8138F">
      <w:pPr>
        <w:pStyle w:val="TextoNormal"/>
      </w:pPr>
      <w:r>
        <w:t>La sentencia, con cita de jurisprudencia del Tribunal Supremo, enuncia los requisitos que deben darse para poder apreciar la doctrina del reportaje neutral: (i) el objeto de la noticia ha de hallarse constituido por declaraciones que imputan hechos lesivos del honor y que han de ser por sí mismas noticia y ponerse en boca de personas determinadas; (ii) el medio informativo ha de ser mero transmisor de tales declaraciones y (iii) la veracidad exigible se limita a la verdad objetiva de la existencia de la declaración [STS 231/2020, de 2 de junio (ECLI:ES:TS:2020:1525)]. También es exigible la ausencia de indicios racionales de falsedad evidente de lo transcrito para evitar que el reportaje neutro sirva indebidamente a la divulgación de simples rumores o insidias [SSTS 57/2012, de 13 de febrero (ECLI:ES:TS:2012:550), y 617/2016, de 10 de octubre (ECLI:ES:TS:2016:4544)].</w:t>
      </w:r>
    </w:p>
    <w:p w14:paraId="5DBF3A6D" w14:textId="77777777" w:rsidR="00A8138F" w:rsidRDefault="00A8138F" w:rsidP="00A8138F">
      <w:pPr>
        <w:pStyle w:val="TextoNormal"/>
      </w:pPr>
    </w:p>
    <w:p w14:paraId="42BE7B39" w14:textId="77777777" w:rsidR="00A8138F" w:rsidRDefault="00A8138F" w:rsidP="00A8138F">
      <w:pPr>
        <w:pStyle w:val="TextoNormal"/>
      </w:pPr>
      <w:r>
        <w:t>Afirma que, en el presente caso, la entidad demandada ha acreditado que se limitó a reproducir, en términos prácticamente idénticos, la noticia que le remitió la agencia de noticias Atlas, perteneciente al grupo Mediaset España, S.A., constando al pie de la noticia expresa indicación del medio de procedencia. La demandada se hizo eco, sin reelaborarla, de una noticia con apariencia de veracidad, procedente de una agencia solvente, sin que pueda imputarse al medio receptor falta de diligencia por haber existido indicios racionales y evidentes de que la noticia podía ser falsa en cuanto a la identidad del autor del hecho; era una noticia creíble y no consta, ni hay razón para pensarlo, que la demandada conociera o fuera consciente del error en cuanto al equívoco respecto de la persona que la ilustraba. En atención a ello, la sentencia desestimó la demanda al no haberse acreditado una falta de diligencia imputable a la demandada.</w:t>
      </w:r>
    </w:p>
    <w:p w14:paraId="690ED6B5" w14:textId="77777777" w:rsidR="00A8138F" w:rsidRDefault="00A8138F" w:rsidP="00A8138F">
      <w:pPr>
        <w:pStyle w:val="TextoNormal"/>
      </w:pPr>
    </w:p>
    <w:p w14:paraId="1F9FBEBA" w14:textId="77777777" w:rsidR="00A8138F" w:rsidRDefault="00A8138F" w:rsidP="00A8138F">
      <w:pPr>
        <w:pStyle w:val="TextoNormal"/>
      </w:pPr>
      <w:r>
        <w:t xml:space="preserve">g) Frente a esta sentencia, el demandante en el proceso judicial interpuso recurso de apelación en el que interesó su revocación y que en su lugar se dictase una sentencia que declarase la intromisión en el derecho al honor y a la propia imagen. Alegó que la doctrina del reportaje neutral no era aplicable porque se trataba de una elaboración de la noticia en la que se utilizaba por error la imagen del demandante, quien no había dado consentimiento para que fuera utilizada para ese fin. La doctrina del Tribunal Constitucional y la jurisprudencia del Tribunal Supremo han apreciado la intromisión ilegítima en el honor en casos de informaciones no debidamente contrastadas que comportaban una falsa imputación penal. En el ámbito de la responsabilidad civil extracontractual, el causante del daño tiene que responder del mismo, aunque sea por culpa leve, que, en todo caso, no puede oponer al perjudicado, sino que se tendrá que hacer valer en las relaciones internas o comerciales que existan entre los medios informativos implicados. La información veraz bajo el amparo del reportaje neutral no puede ser una patente de corso en la que el perjudicado tenga que soportar las consecuencias gravemente dañosas derivadas de la publicación de su imagen, que </w:t>
      </w:r>
      <w:r>
        <w:lastRenderedPageBreak/>
        <w:t>crea una apariencia de atribución de responsabilidad por una muerte violenta, tratándose además de una persona que no es famosa ni se beneficia de su imagen. Reprocha asimismo a la sentencia que ni siquiera acuerde la retirada de las imágenes del demandante de la página de la noticia, pese a haberse solicitado en la demanda rectora, máxime cuando la propia sentencia reconoce que la imagen es ajena a la noticia y su contexto.</w:t>
      </w:r>
    </w:p>
    <w:p w14:paraId="0597E44B" w14:textId="77777777" w:rsidR="00A8138F" w:rsidRDefault="00A8138F" w:rsidP="00A8138F">
      <w:pPr>
        <w:pStyle w:val="TextoNormal"/>
      </w:pPr>
    </w:p>
    <w:p w14:paraId="5528FD8F" w14:textId="77777777" w:rsidR="00A8138F" w:rsidRDefault="00A8138F" w:rsidP="00A8138F">
      <w:pPr>
        <w:pStyle w:val="TextoNormal"/>
      </w:pPr>
      <w:r>
        <w:t>h) El fiscal presentó escrito en el que se opuso al recurso de apelación, en el que aducía que la sentencia impugnada era ajustada a Derecho al acoger la jurisprudencia sobre reportaje neutral.</w:t>
      </w:r>
    </w:p>
    <w:p w14:paraId="72794C06" w14:textId="77777777" w:rsidR="00A8138F" w:rsidRDefault="00A8138F" w:rsidP="00A8138F">
      <w:pPr>
        <w:pStyle w:val="TextoNormal"/>
      </w:pPr>
    </w:p>
    <w:p w14:paraId="3086FD79" w14:textId="77777777" w:rsidR="00A8138F" w:rsidRDefault="00A8138F" w:rsidP="00A8138F">
      <w:pPr>
        <w:pStyle w:val="TextoNormal"/>
      </w:pPr>
      <w:r>
        <w:t>i) La entidad La Opinión de Málaga, S.L., presentó escrito de oposición al recurso de apelación en el que interesó la íntegra confirmación de la sentencia recurrida, adhiriéndose a los razonamientos de la sentencia en los que se apreciaba la aplicabilidad al caso de la doctrina del reportaje neutral.</w:t>
      </w:r>
    </w:p>
    <w:p w14:paraId="156B6CAA" w14:textId="77777777" w:rsidR="00A8138F" w:rsidRDefault="00A8138F" w:rsidP="00A8138F">
      <w:pPr>
        <w:pStyle w:val="TextoNormal"/>
      </w:pPr>
    </w:p>
    <w:p w14:paraId="053DFB57" w14:textId="77777777" w:rsidR="00A8138F" w:rsidRDefault="00A8138F" w:rsidP="00A8138F">
      <w:pPr>
        <w:pStyle w:val="TextoNormal"/>
      </w:pPr>
      <w:r>
        <w:t>j) La Sección Decimoséptima de la Audiencia Provincial de Barcelona dictó la sentencia 180/2022, de 28 de marzo, en la que desestimó el recurso de apelación (rollo núm. 338-2021) confirmando los razonamientos de la sentencia de instancia. La Sala señala que el litigio se origina en un error consistente en colocar, en una información verídica, la imagen de quien ha interpuesto la demanda en el procedimiento judicial, que nada tiene que ver con dicha información. La parte demandada en el proceso no hizo propia la noticia, se limitó a transmitir el reportaje elaborado por otra agencia (doctrina del reportaje neutral), careciendo de autoría en la negligencia, dado que la confusión dimana de otra persona. El reportaje procede de la agencia de noticias Atlas, empresa solvente, perteneciente al grupo Mediaset España, S.A., y se hace constar su fuente. La noticia tiene apariencia de verosimilitud, y en la imagen se muestra un cuadrilátero en el que hay boxeadores en actitud de combate, no figurando el que mató a su compañero de celda, pero sí el nombre, apellidos y apodo de este.</w:t>
      </w:r>
    </w:p>
    <w:p w14:paraId="6834AD09" w14:textId="77777777" w:rsidR="00A8138F" w:rsidRDefault="00A8138F" w:rsidP="00A8138F">
      <w:pPr>
        <w:pStyle w:val="TextoNormal"/>
      </w:pPr>
    </w:p>
    <w:p w14:paraId="1239146A" w14:textId="77777777" w:rsidR="00A8138F" w:rsidRDefault="00A8138F" w:rsidP="00A8138F">
      <w:pPr>
        <w:pStyle w:val="TextoNormal"/>
      </w:pPr>
      <w:r>
        <w:t>k) El señor Opazos Menor interpuso recurso de casación en el que, con fundamento en los arts. 477.1, 2 y 3 de la Ley de enjuiciamiento civil, alegó interés casacional por estimar que en dicha resolución se habían infringido los arts. 18.1 y 53 CE en relación con el art. 1.1 LODH, así como reiterada jurisprudencia del Tribunal Supremo elaborada en la interpretación de dichos preceptos.</w:t>
      </w:r>
    </w:p>
    <w:p w14:paraId="1449C790" w14:textId="77777777" w:rsidR="00A8138F" w:rsidRDefault="00A8138F" w:rsidP="00A8138F">
      <w:pPr>
        <w:pStyle w:val="TextoNormal"/>
      </w:pPr>
    </w:p>
    <w:p w14:paraId="5509243B" w14:textId="77777777" w:rsidR="00A8138F" w:rsidRDefault="00A8138F" w:rsidP="00A8138F">
      <w:pPr>
        <w:pStyle w:val="TextoNormal"/>
      </w:pPr>
      <w:r>
        <w:t>En su escrito de interposición alegó que en modo alguno consintió que se publicara su imagen como ilustración del macabro suceso al que se refería la noticia. El deber de veracidad se impone a quien no solo publica la noticia, sino que además se beneficia de ello, estando obligado a desplegar la diligencia propia de un medio de comunicación general, pues estamos ante una responsabilidad civil contractual, que exige tratar con rigor las imágenes en las que aparecen personas distintas. La sentencia impugnada incurre en un desenfoque jurídico al no apreciar la vulneración del derecho fundamental por el hecho de haber sido adquiridos la noticia y el vídeo de una agencia solvente, pues tal planteamiento lleva al absurdo de que cualquier persona tiene el deber de soportar tal intromisión, tratándose además de una persona que no tiene relevancia pública y, lo que es más grave, que tenga que pasar porque ni siquiera se condene al medio a retirar el vídeo, y que además tenga que correr con los gastos del juicio.</w:t>
      </w:r>
    </w:p>
    <w:p w14:paraId="0A619BB5" w14:textId="77777777" w:rsidR="00A8138F" w:rsidRDefault="00A8138F" w:rsidP="00A8138F">
      <w:pPr>
        <w:pStyle w:val="TextoNormal"/>
      </w:pPr>
    </w:p>
    <w:p w14:paraId="4AA0ED89" w14:textId="77777777" w:rsidR="00A8138F" w:rsidRDefault="00A8138F" w:rsidP="00A8138F">
      <w:pPr>
        <w:pStyle w:val="TextoNormal"/>
      </w:pPr>
      <w:r>
        <w:lastRenderedPageBreak/>
        <w:t>l) La entidad La Opinión de Málaga, S.L., presentó escrito de oposición al recurso de casación en el que interesó que se dictase una sentencia confirmatoria de aquella dictada por la Audiencia Provincial, que, a su vez, había confirmado la del juzgado de primera instancia, por entender que en ambas resoluciones se había verificado una ponderación adecuada y razonada de los derechos fundamentales en conflicto. Insiste en que el diario estaría amparado en la doctrina del reportaje neutral porque se limitó a recoger una noticia, sobre un hecho de interés general y evidente trascendencia social, que le facilita un tercero, como fuente fiable y pública, de acreditada solvencia y perfectamente identificada, por lo que había realizado un ejercicio de la libertad de información amparado en el art. 20.1 d) CE; apunta que la forma meramente accesoria en la que aparece —supuestamente— el demandante no desvirtúa el legítimo ejercicio de tal derecho.</w:t>
      </w:r>
    </w:p>
    <w:p w14:paraId="229C1FC3" w14:textId="77777777" w:rsidR="00A8138F" w:rsidRDefault="00A8138F" w:rsidP="00A8138F">
      <w:pPr>
        <w:pStyle w:val="TextoNormal"/>
      </w:pPr>
    </w:p>
    <w:p w14:paraId="29919F43" w14:textId="77777777" w:rsidR="00A8138F" w:rsidRDefault="00A8138F" w:rsidP="00A8138F">
      <w:pPr>
        <w:pStyle w:val="TextoNormal"/>
      </w:pPr>
      <w:r>
        <w:t>m) El fiscal presentó escrito de alegaciones en el que apoyó el recurso de casación, interesando su estimación, si bien solicitó que se redujese la cuantía indemnizatoria a conceder a 3000 €. Argumenta por remisión a lo ya resuelto por la STS 748/2022, de 3 de noviembre (ECLI:ES:TS:2022:3944) en un supuesto idéntico, en el que la única diferencia era el sujeto demandado, y en el que el fiscal mantuvo esta misma postura, que fue asumida por la Sala.</w:t>
      </w:r>
    </w:p>
    <w:p w14:paraId="1DFE2C82" w14:textId="77777777" w:rsidR="00A8138F" w:rsidRDefault="00A8138F" w:rsidP="00A8138F">
      <w:pPr>
        <w:pStyle w:val="TextoNormal"/>
      </w:pPr>
    </w:p>
    <w:p w14:paraId="251EF385" w14:textId="77777777" w:rsidR="00A8138F" w:rsidRDefault="00A8138F" w:rsidP="00A8138F">
      <w:pPr>
        <w:pStyle w:val="TextoNormal"/>
      </w:pPr>
      <w:r>
        <w:t>n) La Sala de lo Civil del Tribunal Supremo dictó la sentencia 1035/2023, de 27 de junio, en la que estimó, parcialmente, el recurso de casación núm. 4628-2022. La resolución se remite en gran medida a los fundamentos de una sentencia anterior, la STS 748/2022, en la que dirimió el recurso de casación interpuesto por el señor Opazos Menor contra otro medio de comunicación que difundió la misma noticia, en el que se suscitaban cuestiones sustancialmente idénticas.</w:t>
      </w:r>
    </w:p>
    <w:p w14:paraId="1E652E75" w14:textId="77777777" w:rsidR="00A8138F" w:rsidRDefault="00A8138F" w:rsidP="00A8138F">
      <w:pPr>
        <w:pStyle w:val="TextoNormal"/>
      </w:pPr>
    </w:p>
    <w:p w14:paraId="7E44F42A" w14:textId="77777777" w:rsidR="00A8138F" w:rsidRDefault="00A8138F" w:rsidP="00A8138F">
      <w:pPr>
        <w:pStyle w:val="TextoNormal"/>
      </w:pPr>
      <w:r>
        <w:t>En estos fundamentos se recapitulaba la jurisprudencia de la propia Sala, destacando que en reiteradas ocasiones ha declarado que la libertad de información es de tal importancia en una sociedad democrática que, desde un punto de vista axiológico, goza de una protección reforzada que la hace prevalecer en supuestos de colisión con otros derechos fundamentales, como el derecho al honor, a la intimidad personal y familiar y a la propia imagen, pero que en cualquier caso no se trata de un derecho absoluto, por lo que en caso de colisión con otros derechos fundamentales es necesario hacer un juicio de ponderación que es de naturaleza circunstancial. En caso de conflicto con el derecho al honor, la prevalencia de la libertad de información requiere un juicio de ponderación basado en tres presupuestos: (i) el interés público informativo; (ii) la veracidad de la información, entendida como diligencia en la averiguación de los hechos y (iii) proporcionalidad, en el sentido de que se prescinda de insultos o expresiones inequívocamente injuriosas o vejatorias y, por tanto, innecesarias, lo que exige estar al contexto.</w:t>
      </w:r>
    </w:p>
    <w:p w14:paraId="68B23AC8" w14:textId="77777777" w:rsidR="00A8138F" w:rsidRDefault="00A8138F" w:rsidP="00A8138F">
      <w:pPr>
        <w:pStyle w:val="TextoNormal"/>
      </w:pPr>
    </w:p>
    <w:p w14:paraId="4C2652A7" w14:textId="77777777" w:rsidR="00A8138F" w:rsidRDefault="00A8138F" w:rsidP="00A8138F">
      <w:pPr>
        <w:pStyle w:val="TextoNormal"/>
      </w:pPr>
      <w:r>
        <w:t>Sobre el derecho a la propia imagen, la Sala recuerda que otorga a su titular la facultad de poder impedir su obtención, reproducción o publicación y a defenderse frente a los usos no consentidos que no encuentren amparo en ningún otro derecho fundamental. Sobre el reportaje o información neutral, cuya aplicación exige la ausencia de indicios racionales de falsedad evidente de lo transcrito, a fin de evitar que el reportaje neutro sirva indebidamente a la divulgación de simples rumores o insidias.</w:t>
      </w:r>
    </w:p>
    <w:p w14:paraId="59E2AD79" w14:textId="77777777" w:rsidR="00A8138F" w:rsidRDefault="00A8138F" w:rsidP="00A8138F">
      <w:pPr>
        <w:pStyle w:val="TextoNormal"/>
      </w:pPr>
    </w:p>
    <w:p w14:paraId="2629091B" w14:textId="77777777" w:rsidR="00A8138F" w:rsidRDefault="00A8138F" w:rsidP="00A8138F">
      <w:pPr>
        <w:pStyle w:val="TextoNormal"/>
      </w:pPr>
      <w:r>
        <w:t xml:space="preserve">En aplicación de esta jurisprudencia, la Sala considera que procede estimar el recurso de casación destacando: (i) que a pesar del poco tiempo en que se muestra la imagen del señor </w:t>
      </w:r>
      <w:r>
        <w:lastRenderedPageBreak/>
        <w:t xml:space="preserve">Opazos Menor (cuatro segundos en un vídeo de un minuto y veintidós segundos), dado el contexto en el que se inserta su imagen, una información videográfica sobre la muerte de un recluso a consecuencia de una paliza propinada por su compañero de celda, la asociación del señor Opazos Menor con el autor de los hechos presuntamente delictivos es una consecuencia lógica e inmediata; (ii) que la imagen es clara y permite ver al recurrente, su figura y su rostro, que resultan reconocibles sin ninguna dificultad; (iii) que la representación del recurrente no es accesoria, sino que aparece claramente como protagonista de la información, presentándole la voz en </w:t>
      </w:r>
      <w:r w:rsidRPr="00A8138F">
        <w:rPr>
          <w:i/>
        </w:rPr>
        <w:t>off</w:t>
      </w:r>
      <w:r>
        <w:t xml:space="preserve"> como “‘el Nene’, este campeón de </w:t>
      </w:r>
      <w:r w:rsidRPr="00A8138F">
        <w:rPr>
          <w:i/>
        </w:rPr>
        <w:t>muay thai</w:t>
      </w:r>
      <w:r>
        <w:t xml:space="preserve"> que mató a golpes a su compañero de celda por una litera”; (iv) que la imagen ha sido extraída de un contexto ajeno y desvinculado de la noticia, tratándose de una entrevista realizada al recurrente con motivo de un campeonato de boxeo en el que resultó campeón, siendo utilizada sin su consentimiento y para unos fines totalmente diferentes y para los que en absoluto era necesaria y (v) que el texto escrito de la información es veraz, pero su contenido videográfico no, al haberse introducido la imagen del recurrente, presentándole, pese a que nada tiene que ver con ella, como el verdadero protagonista de la noticia, que es “el Nene”, el recluso “campeón de </w:t>
      </w:r>
      <w:r w:rsidRPr="00A8138F">
        <w:rPr>
          <w:i/>
        </w:rPr>
        <w:t>muay thai</w:t>
      </w:r>
      <w:r>
        <w:t xml:space="preserve"> que mató a golpes a su compañero de celda por una litera”, y haciéndolo, además, en unas circunstancias (en el interior de un </w:t>
      </w:r>
      <w:r w:rsidRPr="00A8138F">
        <w:rPr>
          <w:i/>
        </w:rPr>
        <w:t>ring</w:t>
      </w:r>
      <w:r>
        <w:t>, con atuendo de boxeador y el puño levantado en signo de victoria) que hacen que su asociación con aquel resulte lógica e inmediata. A la vista de estas circunstancias, la Sala concluye que no cabe atribuir prevalencia a la libertad de información sobre los derechos al honor y a la propia imagen del recurrente.</w:t>
      </w:r>
    </w:p>
    <w:p w14:paraId="6A99FA2F" w14:textId="77777777" w:rsidR="00A8138F" w:rsidRDefault="00A8138F" w:rsidP="00A8138F">
      <w:pPr>
        <w:pStyle w:val="TextoNormal"/>
      </w:pPr>
    </w:p>
    <w:p w14:paraId="5FAD3A74" w14:textId="77777777" w:rsidR="00A8138F" w:rsidRDefault="00A8138F" w:rsidP="00A8138F">
      <w:pPr>
        <w:pStyle w:val="TextoNormal"/>
      </w:pPr>
      <w:r>
        <w:t>Se desecha asimismo la aplicabilidad de la doctrina del reportaje neutral argumentando que dicha doctrina no puede aplicarse en relación con el derecho a la imagen para pretender que, por el mero hecho de haber sido publicada con anterioridad, pueda volver a serlo en otro medio de comunicación, desvinculada por completo del contexto en que se obtuvo y para unos fines totalmente diferentes, para los que no resultaba necesaria y sin el consentimiento de la persona afectada. Por otra parte, dicha doctrina no puede amparar, en un supuesto de tanta gravedad como este, que en el vídeo que ilustra la noticia se difunda la imagen del recurrente y se le presente como el protagonista de la noticia y el que mató a golpes al fallecido, sin llevar a cabo la más mínima comprobación sobre la veracidad de tal información gráfica, lo que no se puede aceptar so pena de convertir el reportaje neutral en la coartada para eludir toda responsabilidad por intromisión ilegítima en un derecho fundamental.</w:t>
      </w:r>
    </w:p>
    <w:p w14:paraId="3E1D0151" w14:textId="77777777" w:rsidR="00A8138F" w:rsidRDefault="00A8138F" w:rsidP="00A8138F">
      <w:pPr>
        <w:pStyle w:val="TextoNormal"/>
      </w:pPr>
    </w:p>
    <w:p w14:paraId="2C1A1C3D" w14:textId="77777777" w:rsidR="00A8138F" w:rsidRDefault="00A8138F" w:rsidP="00A8138F">
      <w:pPr>
        <w:pStyle w:val="TextoNormal"/>
      </w:pPr>
      <w:r>
        <w:t>En consecuencia, la Sala declaró que la parte demandada en el procedimiento incurrió en intromisión ilegítima en los derechos al honor y a la imagen del demandante y fijó, conforme a lo solicitado por el fiscal, la indemnización a pagar en 3000 €. Ordenó asimismo la eliminación de las imágenes determinantes de la intromisión y la publicación del fallo de esta resolución en la misma sección del medio demandado en que lo fueron las imágenes determinantes de la intromisión.</w:t>
      </w:r>
    </w:p>
    <w:p w14:paraId="7E26F37C" w14:textId="77777777" w:rsidR="00A8138F" w:rsidRDefault="00A8138F" w:rsidP="00A8138F">
      <w:pPr>
        <w:pStyle w:val="TextoNormal"/>
      </w:pPr>
    </w:p>
    <w:p w14:paraId="1D0617FE" w14:textId="77777777" w:rsidR="00A8138F" w:rsidRDefault="00A8138F" w:rsidP="00A8138F">
      <w:pPr>
        <w:pStyle w:val="TextoNormal"/>
      </w:pPr>
      <w:r>
        <w:t xml:space="preserve">ñ) Contra esta sentencia, la entidad recurrente en amparo promovió incidente de nulidad de actuaciones en el que reprochaba a la sentencia del Tribunal Supremo haber vulnerado sus derechos a la tutela judicial efectiva sin indefensión (art. 24.1 CE) y a comunicar y recibir libremente información veraz por cualquier medio de difusión [art. 20.1 d) CE]. Alegó que la sentencia de casación hizo una incorrecta ponderación de los derechos fundamentales en conflicto (los derechos al honor y a la propia imagen del señor Opazos Menor) </w:t>
      </w:r>
      <w:r>
        <w:lastRenderedPageBreak/>
        <w:t xml:space="preserve">y de las circunstancias del caso, al que era aplicable la doctrina jurisprudencial sobre el reportaje neutral, que, en términos de veracidad, limita la responsabilidad del medio de comunicación a la comprobación de la existencia de la declaración de un tercero, pues se había limitado a difundir de manera fiel y neutral una información que le había facilitado en vídeo, la agencia nacional de noticias Atlas. La noticia, cierta, real y de interés general, se refiere en todo momento a J.M.R.H., boxeador de </w:t>
      </w:r>
      <w:r w:rsidRPr="00A8138F">
        <w:rPr>
          <w:i/>
        </w:rPr>
        <w:t>muay thay</w:t>
      </w:r>
      <w:r>
        <w:t>, apodado “el Nene”, y se contextualiza con la inclusión de imágenes del centro penitenciario y de combates de esa disciplina de boxeo, entre las que figuran unas imágenes de apenas cuatro segundos de duración de quien, según se afirma, es el demandante, señor Opazos Menor, con un carácter meramente accesorio. Alega que es, por ello, manifiestamente erróneo afirmar que en la noticia difundida se le atribuía el homicidio a este, pues ni se le identifica ni se le menciona como tal.</w:t>
      </w:r>
    </w:p>
    <w:p w14:paraId="79B98D1D" w14:textId="77777777" w:rsidR="00A8138F" w:rsidRDefault="00A8138F" w:rsidP="00A8138F">
      <w:pPr>
        <w:pStyle w:val="TextoNormal"/>
      </w:pPr>
    </w:p>
    <w:p w14:paraId="30B4F433" w14:textId="47E2AF33" w:rsidR="00A8138F" w:rsidRDefault="00A8138F" w:rsidP="00A8138F">
      <w:pPr>
        <w:pStyle w:val="TextoNormal"/>
      </w:pPr>
      <w:r>
        <w:t>Por providencia de 9 de octubre de 2023, la Sala de lo Civil del Tribunal Supremo inadmitió a trámite el incidente de nulidad de actuaciones por considerar que era una mera expresión de discrepancia con el criterio de enjuiciamiento del tribunal.</w:t>
      </w:r>
    </w:p>
    <w:p w14:paraId="595AF5B9" w14:textId="77777777" w:rsidR="00A8138F" w:rsidRDefault="00A8138F" w:rsidP="00A8138F">
      <w:pPr>
        <w:pStyle w:val="TextoNormal"/>
      </w:pPr>
    </w:p>
    <w:p w14:paraId="618D3CAE" w14:textId="77777777" w:rsidR="00A8138F" w:rsidRDefault="00A8138F" w:rsidP="00A8138F">
      <w:pPr>
        <w:pStyle w:val="TextoNormal"/>
      </w:pPr>
      <w:r w:rsidRPr="00A8138F">
        <w:rPr>
          <w:rStyle w:val="NumeroAFNegritaCaracter"/>
        </w:rPr>
        <w:t>3</w:t>
      </w:r>
      <w:r>
        <w:t>. La entidad La Opinión de Málaga, S.L., interpuso el 28 de noviembre de 2023 recurso de amparo.</w:t>
      </w:r>
    </w:p>
    <w:p w14:paraId="6567E1A7" w14:textId="77777777" w:rsidR="00A8138F" w:rsidRDefault="00A8138F" w:rsidP="00A8138F">
      <w:pPr>
        <w:pStyle w:val="TextoNormal"/>
      </w:pPr>
    </w:p>
    <w:p w14:paraId="50A9ADA5" w14:textId="77777777" w:rsidR="00A8138F" w:rsidRDefault="00A8138F" w:rsidP="00A8138F">
      <w:pPr>
        <w:pStyle w:val="TextoNormal"/>
      </w:pPr>
      <w:r>
        <w:t>Alegaba la infracción del artículo 20.1 d) de la Constitución Española, que garantiza el derecho a comunicar o recibir libremente información veraz por cualquier medio de difusión.</w:t>
      </w:r>
    </w:p>
    <w:p w14:paraId="39895B56" w14:textId="77777777" w:rsidR="00A8138F" w:rsidRDefault="00A8138F" w:rsidP="00A8138F">
      <w:pPr>
        <w:pStyle w:val="TextoNormal"/>
      </w:pPr>
    </w:p>
    <w:p w14:paraId="0E823C6E" w14:textId="77777777" w:rsidR="00A8138F" w:rsidRDefault="00A8138F" w:rsidP="00A8138F">
      <w:pPr>
        <w:pStyle w:val="TextoNormal"/>
      </w:pPr>
      <w:r>
        <w:t>Explicaba que la noticia a la que se refiere la demanda está publicada exclusivamente en el diario digital de la demandada, y se trata más específicamente de un soporte audiovisual en el que se desarrolla la información, cuyo titular dice: “‘El Nene’ mata a golpes a un traficante por una litera. Jesús María Romero Hernández, ‘el Nene’, de veintiocho años, golpeó hasta la muerte a su compañero de celda por una litera. Ocurrió el día 26 de diciembre dentro del penal madrileño de Soto del Real”. Recuerda que, como ya se razonó en la vía judicial previa, se trata de una información facilitada a los distintos medios digitales por la Agencia Nacional de Noticias Atlas. Se trata de la fiel reproducción del vídeo que dicha agencia de noticias Atlas le había facilitado a la demandada. Por tanto, el diario “La Opinión de Málaga”, se había limitado a recoger de manera neutral una noticia que facilitaba una agencia nacional, y que también fue recogida por multitud de medios de comunicación regionales y nacionales digitales. Así pues, el periódico se limitó a reproducir el vídeo remitido.</w:t>
      </w:r>
    </w:p>
    <w:p w14:paraId="1824EA87" w14:textId="77777777" w:rsidR="00A8138F" w:rsidRDefault="00A8138F" w:rsidP="00A8138F">
      <w:pPr>
        <w:pStyle w:val="TextoNormal"/>
      </w:pPr>
    </w:p>
    <w:p w14:paraId="463812D0" w14:textId="77777777" w:rsidR="00A8138F" w:rsidRDefault="00A8138F" w:rsidP="00A8138F">
      <w:pPr>
        <w:pStyle w:val="TextoNormal"/>
      </w:pPr>
      <w:r>
        <w:t>Siendo ello así, difícilmente se puede colegir responsabilidad alguna, puesto que no ha fabricado la noticia, no ha intervenido en ella, no ha creado su redacción, no la ha interpretado ni extendido ni apostillado, etc., sino que exclusivamente ha reproducido una noticia neutral proveniente de una fuente de acreditada solvencia y perfectamente identificada.</w:t>
      </w:r>
    </w:p>
    <w:p w14:paraId="7ADFD4CA" w14:textId="77777777" w:rsidR="00A8138F" w:rsidRDefault="00A8138F" w:rsidP="00A8138F">
      <w:pPr>
        <w:pStyle w:val="TextoNormal"/>
      </w:pPr>
    </w:p>
    <w:p w14:paraId="3D004A08" w14:textId="77777777" w:rsidR="00A8138F" w:rsidRDefault="00A8138F" w:rsidP="00A8138F">
      <w:pPr>
        <w:pStyle w:val="TextoNormal"/>
      </w:pPr>
      <w:r>
        <w:t xml:space="preserve">Entiende que la sentencia del Tribunal Supremo que se recurre contradice de forma injustificada la doctrina del reportaje neutral y no pondera debidamente los derechos fundamentales en conflicto, honor y propia imagen </w:t>
      </w:r>
      <w:r w:rsidRPr="00A8138F">
        <w:rPr>
          <w:i/>
        </w:rPr>
        <w:t>versus</w:t>
      </w:r>
      <w:r>
        <w:t xml:space="preserve"> libertad de información.</w:t>
      </w:r>
    </w:p>
    <w:p w14:paraId="555E18C6" w14:textId="77777777" w:rsidR="00A8138F" w:rsidRDefault="00A8138F" w:rsidP="00A8138F">
      <w:pPr>
        <w:pStyle w:val="TextoNormal"/>
      </w:pPr>
    </w:p>
    <w:p w14:paraId="47F971A5" w14:textId="77777777" w:rsidR="00A8138F" w:rsidRDefault="00A8138F" w:rsidP="00A8138F">
      <w:pPr>
        <w:pStyle w:val="TextoNormal"/>
      </w:pPr>
      <w:r>
        <w:t xml:space="preserve">Considera la parte recurrente, irrazonable que una secuencia de imagen de apenas tres segundos de duración, en la que se refleja la actuación de un deportista anónimo, de forma </w:t>
      </w:r>
      <w:r>
        <w:lastRenderedPageBreak/>
        <w:t>claramente accesoria al núcleo de la videonoticia de un minuto y medio de duración, en un acto deportivo abierto al público, en el contexto de una noticia de evidente interés público, pueda por sí misma considerarse atentatoria del derecho al honor o a la imagen de la persona que manifiesta ser quien aparece en la imagen.</w:t>
      </w:r>
    </w:p>
    <w:p w14:paraId="08C1299D" w14:textId="77777777" w:rsidR="00A8138F" w:rsidRDefault="00A8138F" w:rsidP="00A8138F">
      <w:pPr>
        <w:pStyle w:val="TextoNormal"/>
      </w:pPr>
    </w:p>
    <w:p w14:paraId="46DBAD5C" w14:textId="77777777" w:rsidR="00A8138F" w:rsidRDefault="00A8138F" w:rsidP="00A8138F">
      <w:pPr>
        <w:pStyle w:val="TextoNormal"/>
      </w:pPr>
      <w:r>
        <w:t>Además, entiende que la noticia es cierta y real y se corresponde con la realidad de lo ocurrido, y que con la publicación de la noticia objeto de demanda no se vulneran derecho alguno al honor o a la propia imagen del demandante, conclusión amparada en las pruebas practicadas en el presente juicio, y cotejada con la abundantísima jurisprudencia que hemos traído a colación a este respecto.</w:t>
      </w:r>
    </w:p>
    <w:p w14:paraId="4EA24B8F" w14:textId="77777777" w:rsidR="00A8138F" w:rsidRDefault="00A8138F" w:rsidP="00A8138F">
      <w:pPr>
        <w:pStyle w:val="TextoNormal"/>
      </w:pPr>
    </w:p>
    <w:p w14:paraId="5BD49F5B" w14:textId="77777777" w:rsidR="00A8138F" w:rsidRDefault="00A8138F" w:rsidP="00A8138F">
      <w:pPr>
        <w:pStyle w:val="TextoNormal"/>
      </w:pPr>
      <w:r>
        <w:t>En definitiva, la noticia es absolutamente cierta y veraz y todo su contenido se corresponde con la realidad a la que se refiere la noticia, en un asunto de innegable interés público y proyección social, propio del llamado “reportaje neutral”. Por tanto, el diario no hizo otra cosa que ejercer de forma lícita y legítima el constitucional derecho a informar verazmente consagrado en el art. 20.1 d) CE.</w:t>
      </w:r>
    </w:p>
    <w:p w14:paraId="19616B82" w14:textId="77777777" w:rsidR="00A8138F" w:rsidRDefault="00A8138F" w:rsidP="00A8138F">
      <w:pPr>
        <w:pStyle w:val="TextoNormal"/>
      </w:pPr>
    </w:p>
    <w:p w14:paraId="5084DBD4" w14:textId="77777777" w:rsidR="00A8138F" w:rsidRDefault="00A8138F" w:rsidP="00A8138F">
      <w:pPr>
        <w:pStyle w:val="TextoNormal"/>
      </w:pPr>
      <w:r>
        <w:t>La relevancia de los hechos, el interés general y la justificación de su publicación suponen que se realizó un ejercicio lícito y legítimo del derecho a informar verazmente del art. 20.1 d) CE.</w:t>
      </w:r>
    </w:p>
    <w:p w14:paraId="4B660CC9" w14:textId="77777777" w:rsidR="00A8138F" w:rsidRDefault="00A8138F" w:rsidP="00A8138F">
      <w:pPr>
        <w:pStyle w:val="TextoNormal"/>
      </w:pPr>
    </w:p>
    <w:p w14:paraId="1D2AD105" w14:textId="40F5C8BA" w:rsidR="00A8138F" w:rsidRDefault="00A8138F" w:rsidP="00A8138F">
      <w:pPr>
        <w:pStyle w:val="TextoNormal"/>
      </w:pPr>
      <w:r>
        <w:t>En conclusión, solicita que se declare la vulneración de los derechos de tutela judicial efectiva, proscripción de la indefensión y a la libertad de información constitucionalmente consagrados en los arts. 24 y 20.1 d) del texto constitucional, y que se restablezca la integridad de los mismos mediante un pronunciamiento consistente en que se anule la sentencia 1035/2023, de 27 de junio, dictada por la Sala de lo Civil del Tribunal Supremo en el recurso de casación núm. 4628-2022, y se acuerde la confirmación íntegra de las sentencias dictadas en la primera instancia y en apelación, en las que se contenía un pronunciamiento desestimatorio de la demanda sobre la protección del derecho al honor y a la propia imagen.</w:t>
      </w:r>
    </w:p>
    <w:p w14:paraId="319E0F37" w14:textId="77777777" w:rsidR="00A8138F" w:rsidRDefault="00A8138F" w:rsidP="00A8138F">
      <w:pPr>
        <w:pStyle w:val="TextoNormal"/>
      </w:pPr>
    </w:p>
    <w:p w14:paraId="3D1F5640" w14:textId="77777777" w:rsidR="00A8138F" w:rsidRDefault="00A8138F" w:rsidP="00A8138F">
      <w:pPr>
        <w:pStyle w:val="TextoNormal"/>
      </w:pPr>
      <w:r w:rsidRPr="00A8138F">
        <w:rPr>
          <w:rStyle w:val="NumeroAFNegritaCaracter"/>
        </w:rPr>
        <w:t>4</w:t>
      </w:r>
      <w:r>
        <w:t>. Mediante providencia de 8 de abril de 2024, la Sección Primera de este tribunal acordó admitir a trámite el recurso de amparo, al apreciar que concurría en el mismo una especial trascendencia constitucional porque el recurso plantea un problema o afecta a una faceta de un derecho fundamental sobre el que no hay doctrina de este tribunal [STC 155/2009, de 25 de junio, FJ 2 a)].</w:t>
      </w:r>
    </w:p>
    <w:p w14:paraId="0E07FA35" w14:textId="77777777" w:rsidR="00A8138F" w:rsidRDefault="00A8138F" w:rsidP="00A8138F">
      <w:pPr>
        <w:pStyle w:val="TextoNormal"/>
      </w:pPr>
    </w:p>
    <w:p w14:paraId="182E362A" w14:textId="77777777" w:rsidR="00A8138F" w:rsidRDefault="00A8138F" w:rsidP="00A8138F">
      <w:pPr>
        <w:pStyle w:val="TextoNormal"/>
      </w:pPr>
      <w:r>
        <w:t>En aplicación del art. 51 de la Ley Orgánica del Tribunal Constitucional (LOTC) se acordó dirigir atenta comunicación a la Sala de lo Civil del Tribunal Supremo y a la Sección Decimoséptima de la Audiencia Provincial de Barcelona, a fin de que, en plazo que no excediera de diez días, remitieran certificación o fotocopia adverada de las actuaciones correspondientes al recurso de casación núm. 4628-2022 y al rollo de apelación núm. 338-2021, así como al Juzgado de Primera Instancia núm. 6 de L’Hospitalet de Llobregat para la remisión, en el mismo plazo, de certificación o fotocopia adverada de las actuaciones correspondientes al juicio ordinario núm. 810-2019, debiendo previamente emplazarse, para que en el plazo de diez días pudieran comparecer, si lo desearan, en el recurso de amparo a quienes hubieran sido parte en el procedimiento, excepto la parte recurrente en amparo.</w:t>
      </w:r>
    </w:p>
    <w:p w14:paraId="2AF75B49" w14:textId="77777777" w:rsidR="00A8138F" w:rsidRDefault="00A8138F" w:rsidP="00A8138F">
      <w:pPr>
        <w:pStyle w:val="TextoNormal"/>
      </w:pPr>
    </w:p>
    <w:p w14:paraId="685B83C1" w14:textId="35944479" w:rsidR="00A8138F" w:rsidRDefault="00A8138F" w:rsidP="00A8138F">
      <w:pPr>
        <w:pStyle w:val="TextoNormal"/>
      </w:pPr>
      <w:r>
        <w:lastRenderedPageBreak/>
        <w:t>También se acordó, de conformidad con la solicitud de la parte actora, la formación de la correspondiente pieza separada de suspensión.</w:t>
      </w:r>
    </w:p>
    <w:p w14:paraId="4F665826" w14:textId="77777777" w:rsidR="00A8138F" w:rsidRDefault="00A8138F" w:rsidP="00A8138F">
      <w:pPr>
        <w:pStyle w:val="TextoNormal"/>
      </w:pPr>
    </w:p>
    <w:p w14:paraId="3E223645" w14:textId="3A481701" w:rsidR="00A8138F" w:rsidRDefault="00A8138F" w:rsidP="00A8138F">
      <w:pPr>
        <w:pStyle w:val="TextoNormal"/>
      </w:pPr>
      <w:r w:rsidRPr="00A8138F">
        <w:rPr>
          <w:rStyle w:val="NumeroAFNegritaCaracter"/>
        </w:rPr>
        <w:t>5</w:t>
      </w:r>
      <w:r>
        <w:t>. Por providencia de 8 de abril de 2024 se acordó formar pieza separada de suspensión y, de conformidad con lo prevenido en el art. 56 LOTC, conceder un plazo común de tres días al Ministerio Fiscal y al solicitante del amparo, para que dentro de dicho término alegasen lo que estimasen pertinente en relación con la petición de suspensión interesada.</w:t>
      </w:r>
    </w:p>
    <w:p w14:paraId="7F0146FA" w14:textId="77777777" w:rsidR="00A8138F" w:rsidRDefault="00A8138F" w:rsidP="00A8138F">
      <w:pPr>
        <w:pStyle w:val="TextoNormal"/>
      </w:pPr>
    </w:p>
    <w:p w14:paraId="5B61F872" w14:textId="02D01627" w:rsidR="00A8138F" w:rsidRDefault="00A8138F" w:rsidP="00A8138F">
      <w:pPr>
        <w:pStyle w:val="TextoNormal"/>
      </w:pPr>
      <w:r w:rsidRPr="00A8138F">
        <w:rPr>
          <w:rStyle w:val="NumeroAFNegritaCaracter"/>
        </w:rPr>
        <w:t>6</w:t>
      </w:r>
      <w:r>
        <w:t>. Por escrito presentado el 12 de abril de 2024 en la pieza separada, la representación procesal de la entidad recurrente en amparo ratificó su petición de suspensión del fallo de la sentencia impugnada. Alegaba que su ejecución podría irrogarle un perjuicio irreparable ante el riesgo de no poder recuperar el importe de la condena dineraria una vez pagada, lo que pudiera hacer perder al recurso de amparo su finalidad.</w:t>
      </w:r>
    </w:p>
    <w:p w14:paraId="6E8E2E5C" w14:textId="77777777" w:rsidR="00A8138F" w:rsidRDefault="00A8138F" w:rsidP="00A8138F">
      <w:pPr>
        <w:pStyle w:val="TextoNormal"/>
      </w:pPr>
    </w:p>
    <w:p w14:paraId="013FE1A0" w14:textId="6F731F06" w:rsidR="00A8138F" w:rsidRDefault="00A8138F" w:rsidP="00A8138F">
      <w:pPr>
        <w:pStyle w:val="TextoNormal"/>
      </w:pPr>
      <w:r w:rsidRPr="00A8138F">
        <w:rPr>
          <w:rStyle w:val="NumeroAFNegritaCaracter"/>
        </w:rPr>
        <w:t>7</w:t>
      </w:r>
      <w:r>
        <w:t>. Por escrito presentado el 26 de abril de 2024, el fiscal ante el Tribunal Constitucional presentó alegaciones en las que interesó la denegación de la medida cautelar solicitada porque: (i) según la doctrina constitucional los perjuicios de contenido patrimonial no pueden considerarse, en principio, causa suficiente para acordar la suspensión de una resolución judicial firme, salvo que se trate de perjuicios difícilmente reparables por su entidad o por la irreversibilidad de las situaciones jurídicas que puedan producirse, y (ii) la demandante no ha levantado la carga de acreditar que la ejecución de la resolución judicial vaya a producirle un perjuicio que haga perder al amparo su finalidad.</w:t>
      </w:r>
    </w:p>
    <w:p w14:paraId="1C790A0B" w14:textId="77777777" w:rsidR="00A8138F" w:rsidRDefault="00A8138F" w:rsidP="00A8138F">
      <w:pPr>
        <w:pStyle w:val="TextoNormal"/>
      </w:pPr>
    </w:p>
    <w:p w14:paraId="42AA8C71" w14:textId="23DAA411" w:rsidR="00A8138F" w:rsidRDefault="00A8138F" w:rsidP="00A8138F">
      <w:pPr>
        <w:pStyle w:val="TextoNormal"/>
      </w:pPr>
      <w:r w:rsidRPr="00A8138F">
        <w:rPr>
          <w:rStyle w:val="NumeroAFNegritaCaracter"/>
        </w:rPr>
        <w:t>8</w:t>
      </w:r>
      <w:r>
        <w:t>. Por ATC 55/2024, de 3 de junio, la Sala Primera de este tribunal denegó la suspensión cautelar.</w:t>
      </w:r>
    </w:p>
    <w:p w14:paraId="2551CB18" w14:textId="77777777" w:rsidR="00A8138F" w:rsidRDefault="00A8138F" w:rsidP="00A8138F">
      <w:pPr>
        <w:pStyle w:val="TextoNormal"/>
      </w:pPr>
    </w:p>
    <w:p w14:paraId="03C367C9" w14:textId="62B620CF" w:rsidR="00A8138F" w:rsidRDefault="00A8138F" w:rsidP="00A8138F">
      <w:pPr>
        <w:pStyle w:val="TextoNormal"/>
      </w:pPr>
      <w:r w:rsidRPr="00A8138F">
        <w:rPr>
          <w:rStyle w:val="NumeroAFNegritaCaracter"/>
        </w:rPr>
        <w:t>9</w:t>
      </w:r>
      <w:r>
        <w:t>. Por escrito de 6 de junio de 2024, la procuradora de los tribunales doña María Isabel Beramendi Marturet, actuando en representación de don Cristian Opazos Menor, manifestó su voluntad de personarse en este procedimiento de amparo bajo la dirección letrada de don Ignacio Hernando Acero.</w:t>
      </w:r>
    </w:p>
    <w:p w14:paraId="58F8B7C7" w14:textId="77777777" w:rsidR="00A8138F" w:rsidRDefault="00A8138F" w:rsidP="00A8138F">
      <w:pPr>
        <w:pStyle w:val="TextoNormal"/>
      </w:pPr>
    </w:p>
    <w:p w14:paraId="56993353" w14:textId="5E5B8193" w:rsidR="00A8138F" w:rsidRDefault="00A8138F" w:rsidP="00A8138F">
      <w:pPr>
        <w:pStyle w:val="TextoNormal"/>
      </w:pPr>
      <w:r w:rsidRPr="00A8138F">
        <w:rPr>
          <w:rStyle w:val="NumeroAFNegritaCaracter"/>
        </w:rPr>
        <w:t>10</w:t>
      </w:r>
      <w:r>
        <w:t>. Por diligencia de ordenación de 19 de junio de 2024 se tuvo por recibido el testimonio del procedimiento ordinario núm. 810-2019, solicitado al Juzgado de Primera Instancia núm. 6 de L’Hospitalet de Llobregat, aunque dejando constancia de que en el cedé adjunto no se había grabado ningún archivo digital, por lo que se interesaba telefónicamente del órgano judicial su urgente remisión por el mismo medio.</w:t>
      </w:r>
    </w:p>
    <w:p w14:paraId="0BE8EC66" w14:textId="77777777" w:rsidR="00A8138F" w:rsidRDefault="00A8138F" w:rsidP="00A8138F">
      <w:pPr>
        <w:pStyle w:val="TextoNormal"/>
      </w:pPr>
    </w:p>
    <w:p w14:paraId="019176E8" w14:textId="09CCAFF2" w:rsidR="00A8138F" w:rsidRDefault="00A8138F" w:rsidP="00A8138F">
      <w:pPr>
        <w:pStyle w:val="TextoNormal"/>
      </w:pPr>
      <w:r w:rsidRPr="00A8138F">
        <w:rPr>
          <w:rStyle w:val="NumeroAFNegritaCaracter"/>
        </w:rPr>
        <w:t>11</w:t>
      </w:r>
      <w:r>
        <w:t xml:space="preserve">. Por diligencia de ordenación de 25 de junio de 2024 se tuvieron por recibidos los testimonios de las actuaciones remitidos por la Sala de lo Civil del Tribunal Supremo, Sección Decimoséptima; la Sala de lo Civil de la Audiencia Provincial de Barcelona, y el Juzgado de Primera Instancia núm. 6 de L’Hospitalet de Llobregat, así como tres documentos en soporte digital, y escrito de la procuradora doña María Isabel Beramendi Marturet, a quien se tuvo por personada y parte en nombre y representación de don Cristian Opazos Menor, con quien se entenderían la presente y sucesivas diligencias, aunque a los solos efectos de evacuar el trámite de alegaciones del art. 52 LOTC. A tenor de lo dispuesto en el art. 52 LOTC, se dio vista de todas las actuaciones del presente recurso de amparo, en la </w:t>
      </w:r>
      <w:r>
        <w:lastRenderedPageBreak/>
        <w:t>Secretaría de la Sala, por un plazo común de veinte días, al Ministerio Fiscal y a las partes personadas, para que dentro de dicho término pudieran presentar las alegaciones que a su derecho conviniera.</w:t>
      </w:r>
    </w:p>
    <w:p w14:paraId="2191A354" w14:textId="77777777" w:rsidR="00A8138F" w:rsidRDefault="00A8138F" w:rsidP="00A8138F">
      <w:pPr>
        <w:pStyle w:val="TextoNormal"/>
      </w:pPr>
    </w:p>
    <w:p w14:paraId="348EC36D" w14:textId="63EBF8A6" w:rsidR="00A8138F" w:rsidRDefault="00A8138F" w:rsidP="00A8138F">
      <w:pPr>
        <w:pStyle w:val="TextoNormal"/>
      </w:pPr>
      <w:r w:rsidRPr="00A8138F">
        <w:rPr>
          <w:rStyle w:val="NumeroAFNegritaCaracter"/>
        </w:rPr>
        <w:t>12</w:t>
      </w:r>
      <w:r>
        <w:t>. Mediante escrito de 2 de julio de 2024, don Cristian Opazos Menor formuló alegaciones en las que expresaba su oposición a la admisión del recurso de amparo.</w:t>
      </w:r>
    </w:p>
    <w:p w14:paraId="45DA2EEE" w14:textId="77777777" w:rsidR="00A8138F" w:rsidRDefault="00A8138F" w:rsidP="00A8138F">
      <w:pPr>
        <w:pStyle w:val="TextoNormal"/>
      </w:pPr>
    </w:p>
    <w:p w14:paraId="6D04B41C" w14:textId="687E7DCC" w:rsidR="00A8138F" w:rsidRDefault="00A8138F" w:rsidP="00A8138F">
      <w:pPr>
        <w:pStyle w:val="TextoNormal"/>
      </w:pPr>
      <w:r w:rsidRPr="00A8138F">
        <w:rPr>
          <w:rStyle w:val="NumeroAFNegritaCaracter"/>
        </w:rPr>
        <w:t>13</w:t>
      </w:r>
      <w:r>
        <w:t>. Mediante escrito de 22 de julio de 2024, la mercantil recurrente formuló alegaciones remitiéndose a los argumentado en su demanda de amparo.</w:t>
      </w:r>
    </w:p>
    <w:p w14:paraId="1DA8B1FC" w14:textId="77777777" w:rsidR="00A8138F" w:rsidRDefault="00A8138F" w:rsidP="00A8138F">
      <w:pPr>
        <w:pStyle w:val="TextoNormal"/>
      </w:pPr>
    </w:p>
    <w:p w14:paraId="700DC7DD" w14:textId="77777777" w:rsidR="00A8138F" w:rsidRDefault="00A8138F" w:rsidP="00A8138F">
      <w:pPr>
        <w:pStyle w:val="TextoNormal"/>
      </w:pPr>
      <w:r w:rsidRPr="00A8138F">
        <w:rPr>
          <w:rStyle w:val="NumeroAFNegritaCaracter"/>
        </w:rPr>
        <w:t>14</w:t>
      </w:r>
      <w:r>
        <w:t>. En escrito de 9 de septiembre de 2024, el Ministerio Fiscal formuló sus alegaciones solicitando la estimación del recurso de amparo y la declaración de que el derecho a la información veraz de la empresa recurrente había sido violado.</w:t>
      </w:r>
    </w:p>
    <w:p w14:paraId="6FF1961B" w14:textId="77777777" w:rsidR="00A8138F" w:rsidRDefault="00A8138F" w:rsidP="00A8138F">
      <w:pPr>
        <w:pStyle w:val="TextoNormal"/>
      </w:pPr>
    </w:p>
    <w:p w14:paraId="4904991B" w14:textId="77777777" w:rsidR="00A8138F" w:rsidRDefault="00A8138F" w:rsidP="00A8138F">
      <w:pPr>
        <w:pStyle w:val="TextoNormal"/>
      </w:pPr>
      <w:r>
        <w:t>Argumentaba que la sentencia del Tribunal Supremo habría vulnerado el derecho a la libertad de información de la entidad La Opinión de Málaga, S.L., y llegaba a tal conclusión revisando el juicio de ponderación entre los derechos en conflicto y en la aplicación al caso de la doctrina del reportaje neutral.</w:t>
      </w:r>
    </w:p>
    <w:p w14:paraId="53425F31" w14:textId="77777777" w:rsidR="00A8138F" w:rsidRDefault="00A8138F" w:rsidP="00A8138F">
      <w:pPr>
        <w:pStyle w:val="TextoNormal"/>
      </w:pPr>
    </w:p>
    <w:p w14:paraId="0A225AE1" w14:textId="77777777" w:rsidR="00A8138F" w:rsidRDefault="00A8138F" w:rsidP="00A8138F">
      <w:pPr>
        <w:pStyle w:val="TextoNormal"/>
      </w:pPr>
      <w:r>
        <w:t>Respecto a la primera cuestión y en lo que concierne a la ponderación entre el derecho de información y el derecho a la propia imagen, recordaba que la publicación de la imagen de una persona se supedita a su autorización, pero matizaba que ningún derecho es absoluto y que tampoco lo es el uso de la imagen, de manera que aun cuando se carezca de autorización, puede haber circunstancias que hagan viable tal uso.</w:t>
      </w:r>
    </w:p>
    <w:p w14:paraId="54E5A82C" w14:textId="77777777" w:rsidR="00A8138F" w:rsidRDefault="00A8138F" w:rsidP="00A8138F">
      <w:pPr>
        <w:pStyle w:val="TextoNormal"/>
      </w:pPr>
    </w:p>
    <w:p w14:paraId="4EE88015" w14:textId="77777777" w:rsidR="00A8138F" w:rsidRDefault="00A8138F" w:rsidP="00A8138F">
      <w:pPr>
        <w:pStyle w:val="TextoNormal"/>
      </w:pPr>
      <w:r>
        <w:t xml:space="preserve">En este caso, para el fiscal, las imágenes en el vídeo del señor Opazos Menor reúnen las siguientes características: (i) son neutras, es decir, no comportan un matiz peyorativo para quien aparece en ellas, sino que, por el contrario, representan un éxito deportivo; (ii) se obtuvieron en un acto público y no de forma clandestina, y deben encontrarse en los archivos de numerosos medios de comunicación que se hicieron eco de la victoria de aquel y (iii) aunque no eran imprescindibles para elaborar el reportaje, se incluyeron en él para ilustrar en qué consiste el </w:t>
      </w:r>
      <w:r w:rsidRPr="00A8138F">
        <w:rPr>
          <w:i/>
        </w:rPr>
        <w:t>muay thai</w:t>
      </w:r>
      <w:r>
        <w:t xml:space="preserve"> o boxeo tailandés.</w:t>
      </w:r>
    </w:p>
    <w:p w14:paraId="6A7BD446" w14:textId="77777777" w:rsidR="00A8138F" w:rsidRDefault="00A8138F" w:rsidP="00A8138F">
      <w:pPr>
        <w:pStyle w:val="TextoNormal"/>
      </w:pPr>
    </w:p>
    <w:p w14:paraId="2B68B9A3" w14:textId="77777777" w:rsidR="00A8138F" w:rsidRDefault="00A8138F" w:rsidP="00A8138F">
      <w:pPr>
        <w:pStyle w:val="TextoNormal"/>
      </w:pPr>
      <w:r>
        <w:t>El fiscal, no obstante, reconoció que no se sabe con qué finalidad se introdujeron estas imágenes en el vídeo, si fue para ilustrar al espectador sobre un deporte poco conocido o si, como consideró el señor Opazos Menor desde la interposición de la demanda, el autor del reportaje se equivocó al incluir su imagen en el vídeo, lo que en su opinión provocó que se le pudiera confundir con el autor de los hechos como consecuencia de la falta de diligencia debida. Señaló el fiscal que, al no haber sido oído el autor del reportaje, se desconoce la razón de la inclusión de la imagen del señor Opazos Menor en el vídeo, pero se inclinó por considerar que fue la primera razón de las antes indicadas. Y concluyó que, a pesar de la ausencia de autorización para el uso de la imagen, esta debe ceder ante el derecho a informar de un hecho que es en sí mismo noticiable. Las circunstancias antes enumeradas determinaban, a juicio del fiscal, la aplicación de las excepciones de las letras a) y c) del apartado segundo del art. 8 LODH.</w:t>
      </w:r>
    </w:p>
    <w:p w14:paraId="6806EF66" w14:textId="77777777" w:rsidR="00A8138F" w:rsidRDefault="00A8138F" w:rsidP="00A8138F">
      <w:pPr>
        <w:pStyle w:val="TextoNormal"/>
      </w:pPr>
    </w:p>
    <w:p w14:paraId="33FD2E5E" w14:textId="77777777" w:rsidR="00A8138F" w:rsidRDefault="00A8138F" w:rsidP="00A8138F">
      <w:pPr>
        <w:pStyle w:val="TextoNormal"/>
      </w:pPr>
      <w:r>
        <w:lastRenderedPageBreak/>
        <w:t xml:space="preserve">En cuanto al juicio de ponderación entre el derecho al honor y el derecho a la información que, a criterio del fiscal, es la verdadera denuncia formulada en la demanda que dio origen al proceso judicial, pues el entonces demandante entendió que la errónea utilización de su imagen producía una afectación en su consideración pública, mientras que la vulneración del derecho a la imagen tenía un carácter instrumental. En el análisis del vídeo, el fiscal observó que en él parece claro que la presunta autoría del homicidio no se atribuye al señor Opazos Menor, sino al apodado “el Nene”, identificado con nombre y apellidos, el cual aparece en las tres partes de la entrevista, frente a los cuatro segundos en que se muestran las imágenes del señor Opazos Menor, aun cuando en ese momento se diga en el vídeo “así se presenta ‘el Nene’, este campeón de </w:t>
      </w:r>
      <w:r w:rsidRPr="00A8138F">
        <w:rPr>
          <w:i/>
        </w:rPr>
        <w:t>muay thai</w:t>
      </w:r>
      <w:r>
        <w:t xml:space="preserve"> que mató a golpes a su compañero”, lo que para el Tribunal Supremo significó asociarle a la autoría de los hechos al estimar que la imagen no era accesoria, al aparecer como protagonista de la información. El fiscal discrepó de esta valoración, dado que el supuesto autor de los hechos está identificado en el vídeo por su nombre y apellidos y por su imagen, que aparece mucho más tiempo. Respecto a la falta de comprobación de la información gráfica, afirmó el fiscal que “depende también de la hipótesis en que nos movamos, si creemos que la imagen se introdujo por la confusión de ambas personas, no cabía tal comprobación porque no tendría razones para pensar que no era el mismo, y si la imagen se introdujo como apoyo gráfico, al igual que las otras, es decir a sabiendas de que no era la imagen de ‘el Nene’, es que no haría falta comprobación de veracidad”.</w:t>
      </w:r>
    </w:p>
    <w:p w14:paraId="00E45BB8" w14:textId="77777777" w:rsidR="00A8138F" w:rsidRDefault="00A8138F" w:rsidP="00A8138F">
      <w:pPr>
        <w:pStyle w:val="TextoNormal"/>
      </w:pPr>
    </w:p>
    <w:p w14:paraId="0B734528" w14:textId="77777777" w:rsidR="00A8138F" w:rsidRDefault="00A8138F" w:rsidP="00A8138F">
      <w:pPr>
        <w:pStyle w:val="TextoNormal"/>
      </w:pPr>
      <w:r>
        <w:t>Posteriormente, el fiscal invocó la doctrina del reportaje neutral, por considerar que por sí sola es suficiente para rechazar la responsabilidad de la entidad La Opinión de Málaga, S.L. Con apoyo en la STC 171/2004, de 18 de octubre, FJ 3, afirmó el fiscal que se está ante la figura del reportaje neutral cuando “un periodista actúa como mera correa de transmisión de una noticia que se contiene en unas declaraciones prestadas por una persona que se identifica, y por ello se responsabiliza si se ha producido una vulneración de alguno de los derechos individuales de otra persona, la obligación del medio, respecto a la veracidad de la noticia se limita a la propia existencia de la declaración”.</w:t>
      </w:r>
    </w:p>
    <w:p w14:paraId="4A0951A6" w14:textId="77777777" w:rsidR="00A8138F" w:rsidRDefault="00A8138F" w:rsidP="00A8138F">
      <w:pPr>
        <w:pStyle w:val="TextoNormal"/>
      </w:pPr>
    </w:p>
    <w:p w14:paraId="086B8EED" w14:textId="77777777" w:rsidR="00A8138F" w:rsidRDefault="00A8138F" w:rsidP="00A8138F">
      <w:pPr>
        <w:pStyle w:val="TextoNormal"/>
      </w:pPr>
      <w:r>
        <w:t>Junto a esta noción de reportaje neutral en sentido propio, el fiscal señaló que en otros supuestos también se habla de reportaje neutral, cuando la noticia presentada por el periodista proviene de una nota de prensa de un organismo público o de otro medio de comunicación de solvencia, incluidas las agencias de información. En estos casos, debido a la solvencia de aquellos, la comprobación de la veracidad se modula de manera importante (STC 178/1993, FJ 5). La solvencia profesional adquiere capital importancia, pues también es habitual en la actualidad que los medios de comunicación se surtan de noticias o vídeos obtenidos de redes sociales, sin solvencia profesional, lo que exige en el periodista una precisa constatación de la noticia o verosimilitud del vídeo.</w:t>
      </w:r>
    </w:p>
    <w:p w14:paraId="1BEAFD20" w14:textId="77777777" w:rsidR="00A8138F" w:rsidRDefault="00A8138F" w:rsidP="00A8138F">
      <w:pPr>
        <w:pStyle w:val="TextoNormal"/>
      </w:pPr>
    </w:p>
    <w:p w14:paraId="48D5249F" w14:textId="77777777" w:rsidR="00A8138F" w:rsidRDefault="00A8138F" w:rsidP="00A8138F">
      <w:pPr>
        <w:pStyle w:val="TextoNormal"/>
      </w:pPr>
      <w:r>
        <w:t>Para concluir, el fiscal señaló que en este caso concurren los requisitos del reportaje neutral: (i) se trata de hechos noticiables en relación con el homicidio cometido en una prisión; (ii) el diario “La Opinión de Málaga, S.L.”, fue un mero transmisor del vídeo elaborado por la agencia Atlas, cuya solvencia no se discute; (iii) no se ha variado el contenido del vídeo; (iv) no se discute la veracidad de la noticia y (v) el periódico identifica la procedencia de la noticia. En su caso, si se considerase que en la ponderación de los derechos debiera prevalecer el honor del señor Opazos Menor, debería responder la agencia Atlas, que no ha sido demandada en el proceso judicial.</w:t>
      </w:r>
    </w:p>
    <w:p w14:paraId="52FA811F" w14:textId="77777777" w:rsidR="00A8138F" w:rsidRDefault="00A8138F" w:rsidP="00A8138F">
      <w:pPr>
        <w:pStyle w:val="TextoNormal"/>
      </w:pPr>
    </w:p>
    <w:p w14:paraId="5F66123E" w14:textId="6F386278" w:rsidR="00A8138F" w:rsidRDefault="00A8138F" w:rsidP="00A8138F">
      <w:pPr>
        <w:pStyle w:val="TextoNormal"/>
      </w:pPr>
      <w:r>
        <w:t>El Ministerio Fiscal, en definitiva, solicita la estimación de la demanda de amparo.</w:t>
      </w:r>
    </w:p>
    <w:p w14:paraId="1BDB3812" w14:textId="77777777" w:rsidR="00A8138F" w:rsidRDefault="00A8138F" w:rsidP="00A8138F">
      <w:pPr>
        <w:pStyle w:val="TextoNormal"/>
      </w:pPr>
    </w:p>
    <w:p w14:paraId="3C53E22E" w14:textId="7918D852" w:rsidR="00A8138F" w:rsidRDefault="00A8138F" w:rsidP="00A8138F">
      <w:pPr>
        <w:pStyle w:val="TextoNormal"/>
      </w:pPr>
      <w:r w:rsidRPr="00A8138F">
        <w:rPr>
          <w:rStyle w:val="NumeroAFNegritaCaracter"/>
        </w:rPr>
        <w:t>15</w:t>
      </w:r>
      <w:r>
        <w:t>. Por providencia de 3 de abril de 2025 se señaló para deliberación y votación del presente recurso el día 7 del mismo mes y año.</w:t>
      </w:r>
    </w:p>
    <w:p w14:paraId="49966EFC" w14:textId="77777777" w:rsidR="00A8138F" w:rsidRDefault="00A8138F" w:rsidP="00A8138F">
      <w:pPr>
        <w:pStyle w:val="TextoNormal"/>
      </w:pPr>
    </w:p>
    <w:p w14:paraId="21D654EC" w14:textId="77777777" w:rsidR="00A8138F" w:rsidRDefault="00A8138F" w:rsidP="00A8138F">
      <w:pPr>
        <w:pStyle w:val="TextoNormalNegritaCentrado"/>
        <w:keepNext/>
      </w:pPr>
      <w:r>
        <w:t>II. Fundamentos jurídicos</w:t>
      </w:r>
    </w:p>
    <w:p w14:paraId="6741B898" w14:textId="5F538306" w:rsidR="00A8138F" w:rsidRDefault="00A8138F" w:rsidP="00A8138F">
      <w:pPr>
        <w:pStyle w:val="TextoNormalNegritaCentrado"/>
        <w:keepNext/>
      </w:pPr>
    </w:p>
    <w:p w14:paraId="5BC99368"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40D7943B" w14:textId="77777777" w:rsidR="00A8138F" w:rsidRDefault="00A8138F" w:rsidP="00A8138F">
      <w:pPr>
        <w:pStyle w:val="TextoNormal"/>
      </w:pPr>
    </w:p>
    <w:p w14:paraId="6CA6CF0D" w14:textId="77777777" w:rsidR="00A8138F" w:rsidRDefault="00A8138F" w:rsidP="00A8138F">
      <w:pPr>
        <w:pStyle w:val="TextoNormal"/>
      </w:pPr>
      <w:r>
        <w:t>El presente recurso de amparo tiene por objeto la sentencia 1035/2023, de 27 de junio, de la Sala de lo Civil del Tribunal Supremo, que estimó el recurso de casación núm. 4628-2022 al declarar que se produjo una intromisión ilegítima en los derechos al honor y a la propia imagen de don Cristian Opazos Menor por parte de La Opinión de Málaga, S.L., al haber difundido en su versión digital un vídeo elaborado por una agencia de noticias, citada como fuente, en el que se habían introducido imágenes de aquel, pese a no ser el sujeto de la noticia.</w:t>
      </w:r>
    </w:p>
    <w:p w14:paraId="0E5E6689" w14:textId="77777777" w:rsidR="00A8138F" w:rsidRDefault="00A8138F" w:rsidP="00A8138F">
      <w:pPr>
        <w:pStyle w:val="TextoNormal"/>
      </w:pPr>
    </w:p>
    <w:p w14:paraId="449D94DF" w14:textId="77777777" w:rsidR="00A8138F" w:rsidRDefault="00A8138F" w:rsidP="00A8138F">
      <w:pPr>
        <w:pStyle w:val="TextoNormal"/>
      </w:pPr>
      <w:r>
        <w:t>Recurre en amparo la citada entidad difusora del vídeo, al considerar que la sentencia habría vulnerado su derecho a la libertad de información (art. 20 CE) y que debería aplicarse en este caso la doctrina del reportaje neutral, tanto en lo referente a la intromisión en el derecho al honor, como a la intromisión en el derecho a la propia imagen del señor Opazos Menor. Alegó, además, que no se habría vulnerado el derecho a la propia imagen del señor Opazos Menor, porque la utilización de su imagen en el vídeo carecía de entidad suficiente, y tampoco se habría vulnerado su derecho al honor porque no cabía duda de que la noticia se refería a otra persona.</w:t>
      </w:r>
    </w:p>
    <w:p w14:paraId="7C89F3EC" w14:textId="77777777" w:rsidR="00A8138F" w:rsidRDefault="00A8138F" w:rsidP="00A8138F">
      <w:pPr>
        <w:pStyle w:val="TextoNormal"/>
      </w:pPr>
    </w:p>
    <w:p w14:paraId="1037BDC7" w14:textId="77777777" w:rsidR="00A8138F" w:rsidRDefault="00A8138F" w:rsidP="00A8138F">
      <w:pPr>
        <w:pStyle w:val="TextoNormal"/>
      </w:pPr>
      <w:r>
        <w:t>Para don Cristian Opazos Menor, las alegaciones de la recurrente en amparo revelan únicamente su discrepancia con el criterio del Tribunal Supremo, y que el primero hace suyo.</w:t>
      </w:r>
    </w:p>
    <w:p w14:paraId="2FAF8157" w14:textId="77777777" w:rsidR="00A8138F" w:rsidRDefault="00A8138F" w:rsidP="00A8138F">
      <w:pPr>
        <w:pStyle w:val="TextoNormal"/>
      </w:pPr>
    </w:p>
    <w:p w14:paraId="1EDCCE73" w14:textId="1E5DB7B2" w:rsidR="00A8138F" w:rsidRDefault="00A8138F" w:rsidP="00A8138F">
      <w:pPr>
        <w:pStyle w:val="TextoNormal"/>
      </w:pPr>
      <w:r>
        <w:t>El Ministerio Fiscal, por su parte, interesó la estimación del recurso de amparo desde la consideración, en primer lugar, de que no se habría vulnerado el derecho a la propia imagen del señor Opazos Menor, pese a la falta de autorización para la utilización de las imágenes, debido al carácter neutro de las mismas, ya que no se habían obtenido de forma clandestina, sino en un acto público. Tampoco apreció la vulneración del derecho al honor, porque la presunta autoría del homicidio no se atribuyó en el vídeo al señor Opazos Menor, sino al apodado “el Nene”, identificado con nombre y apellidos, al no ser preciso comprobar la veracidad. En todo caso, para el fiscal debería excluirse la intromisión ilegítima en estos derechos mediante la aplicación de la doctrina del reportaje neutral, teniendo en cuenta la solvencia profesional de la agencia que grabó el vídeo y, finalmente, descartó la falta de diligencia exigible en la actuación de la recurrente en amparo.</w:t>
      </w:r>
    </w:p>
    <w:p w14:paraId="64F5FBB8" w14:textId="77777777" w:rsidR="00A8138F" w:rsidRDefault="00A8138F" w:rsidP="00A8138F">
      <w:pPr>
        <w:pStyle w:val="TextoNormal"/>
      </w:pPr>
    </w:p>
    <w:p w14:paraId="008C35EE" w14:textId="77777777" w:rsidR="00A8138F" w:rsidRDefault="00A8138F" w:rsidP="00A8138F">
      <w:pPr>
        <w:pStyle w:val="TextoNormal"/>
      </w:pPr>
      <w:r w:rsidRPr="00A8138F">
        <w:rPr>
          <w:rStyle w:val="NumeroAFNegritaCaracter"/>
        </w:rPr>
        <w:t>2</w:t>
      </w:r>
      <w:r>
        <w:t xml:space="preserve">. </w:t>
      </w:r>
      <w:r w:rsidRPr="00A8138F">
        <w:rPr>
          <w:i/>
        </w:rPr>
        <w:t>Aplicación de la doctrina establecida en la STC 62/2025, de 11 de marzo</w:t>
      </w:r>
    </w:p>
    <w:p w14:paraId="2614CB5F" w14:textId="77777777" w:rsidR="00A8138F" w:rsidRDefault="00A8138F" w:rsidP="00A8138F">
      <w:pPr>
        <w:pStyle w:val="TextoNormal"/>
      </w:pPr>
    </w:p>
    <w:p w14:paraId="360B7ECB" w14:textId="77777777" w:rsidR="00A8138F" w:rsidRDefault="00A8138F" w:rsidP="00A8138F">
      <w:pPr>
        <w:pStyle w:val="TextoNormal"/>
      </w:pPr>
      <w:r>
        <w:t xml:space="preserve">El presente recurso de amparo se refiere al mismo problema constitucional que el planteado y resuelto en la reciente STC 62/2025. En aquella ocasión el demandante de amparo </w:t>
      </w:r>
      <w:r>
        <w:lastRenderedPageBreak/>
        <w:t>era otro medio de comunicación, el diario “ABC, S.L.”, que había difundido el mismo vídeo en relación con la misma noticia. Por tanto, tratándose de los mismos hechos y siendo el mismo vídeo el objeto del problema constitucional que se plantea, procede remitirse a lo declarado en la referida STC 62/2025.</w:t>
      </w:r>
    </w:p>
    <w:p w14:paraId="4FC41217" w14:textId="77777777" w:rsidR="00A8138F" w:rsidRDefault="00A8138F" w:rsidP="00A8138F">
      <w:pPr>
        <w:pStyle w:val="TextoNormal"/>
      </w:pPr>
    </w:p>
    <w:p w14:paraId="24087C3D" w14:textId="77777777" w:rsidR="00A8138F" w:rsidRDefault="00A8138F" w:rsidP="00A8138F">
      <w:pPr>
        <w:pStyle w:val="TextoNormal"/>
      </w:pPr>
      <w:r>
        <w:t>En síntesis, en dicha sentencia, tras recordar la doctrina constitucional sobre el derecho a la libertad de información, art. 20 CE, y el requisito de la veracidad de la noticia dada, descartábamos que la circunstancia de que tanto el diario “ABC, S.L.”, en el caso de la STC 62/2025, como el diario “La Opinión de Málaga, S.L.”, en el presente caso, adquirieran el vídeo controvertido de una agencia de noticias, no confería a la noticia litigiosa el carácter de reportaje neutral.</w:t>
      </w:r>
    </w:p>
    <w:p w14:paraId="44785BC3" w14:textId="77777777" w:rsidR="00A8138F" w:rsidRDefault="00A8138F" w:rsidP="00A8138F">
      <w:pPr>
        <w:pStyle w:val="TextoNormal"/>
      </w:pPr>
    </w:p>
    <w:p w14:paraId="64FF3202" w14:textId="77777777" w:rsidR="00A8138F" w:rsidRDefault="00A8138F" w:rsidP="00A8138F">
      <w:pPr>
        <w:pStyle w:val="TextoNormal"/>
      </w:pPr>
      <w:r>
        <w:t>El Tribunal asumía que es un “fenómeno cotidiano en el modo de operar de los medios de comunicación que, junto al periodismo de investigación y la elaboración propia de noticias, se difundan otras adquiridas de agencias de noticias, también conocidas como agencias de información o agencias de prensa”. Tal forma de proceder, decíamos, “responde a la necesidad de cubrir los sucesos que puedan producirse en cualquier momento y lugar, cuando para los medios de comunicación no resulta posible cumplir por sí solos con esa cobertura, por razones técnicas y económicas, a lo que se suman las exigencias de celeridad que se imponen en este sector y que se han acentuado en los últimos tiempos con el desarrollo del entorno digital”.</w:t>
      </w:r>
    </w:p>
    <w:p w14:paraId="651A993E" w14:textId="77777777" w:rsidR="00A8138F" w:rsidRDefault="00A8138F" w:rsidP="00A8138F">
      <w:pPr>
        <w:pStyle w:val="TextoNormal"/>
      </w:pPr>
    </w:p>
    <w:p w14:paraId="6491BE74" w14:textId="77777777" w:rsidR="00A8138F" w:rsidRDefault="00A8138F" w:rsidP="00A8138F">
      <w:pPr>
        <w:pStyle w:val="TextoNormal"/>
      </w:pPr>
      <w:r>
        <w:t>Afirmábamos que en las noticias procedentes de agencias de información “pueden concurrir algunos de los elementos caracterizadores del reportaje neutral”, pero que “[m]ientras que la doctrina del reportaje neutral excluye la responsabilidad del medio por el contenido de la declaración, que forma parte de una noticia y contribuye a la formación de una opinión pública libre, una doctrina que excluyera siempre toda responsabilidad del medio de comunicación por el contenido de las noticias que difunde y que han sido elaboradas por agencias de información, aun cuando se cite la fuente y no se modifiquen, significaría amparar constitucionalmente la divulgación de cualquier información que se publique en tales circunstancias, lo que podría llegar a poner en riesgo el rigor informativo”.</w:t>
      </w:r>
    </w:p>
    <w:p w14:paraId="4627EEE3" w14:textId="77777777" w:rsidR="00A8138F" w:rsidRDefault="00A8138F" w:rsidP="00A8138F">
      <w:pPr>
        <w:pStyle w:val="TextoNormal"/>
      </w:pPr>
    </w:p>
    <w:p w14:paraId="06369C46" w14:textId="77777777" w:rsidR="00A8138F" w:rsidRDefault="00A8138F" w:rsidP="00A8138F">
      <w:pPr>
        <w:pStyle w:val="TextoNormal"/>
      </w:pPr>
      <w:r>
        <w:t>Entendíamos también que, si bien, la fiabilidad de la fuente y la confianza derivada de su profesionalidad pueden justificar que el deber de comprobación sea menos exhaustivo que cuando la noticia procede de fuentes menos fiables, tal credibilidad de la fuente no puede llevar a eximir, en estos casos, a los medios de su deber de diligencia, atendidas las circunstancias que en cada caso concurran.</w:t>
      </w:r>
    </w:p>
    <w:p w14:paraId="7BA88C5A" w14:textId="77777777" w:rsidR="00A8138F" w:rsidRDefault="00A8138F" w:rsidP="00A8138F">
      <w:pPr>
        <w:pStyle w:val="TextoNormal"/>
      </w:pPr>
    </w:p>
    <w:p w14:paraId="1DBF7534" w14:textId="0844C87E" w:rsidR="00A8138F" w:rsidRDefault="00A8138F" w:rsidP="00A8138F">
      <w:pPr>
        <w:pStyle w:val="TextoNormal"/>
      </w:pPr>
      <w:r>
        <w:t>En definitiva, para conciliar las exigencias de agilidad en la transmisión de la información en la realidad actual, cuando la noticia que se transmita proceda de una agencia de información y se publique tal y como fue elaborada por la agencia con indicación de la fuente, la diligencia exigible al medio de comunicación en relación con el deber de respeto de los otros derechos fundamentales concernidos debe modularse en relación con las noticias obtenidas de fuentes con solvencia profesional, pero ello no puede llevar a prescindir absolutamente de dicho deber sobre las noticias publicadas.</w:t>
      </w:r>
    </w:p>
    <w:p w14:paraId="22709C45" w14:textId="77777777" w:rsidR="00A8138F" w:rsidRDefault="00A8138F" w:rsidP="00A8138F">
      <w:pPr>
        <w:pStyle w:val="TextoNormal"/>
      </w:pPr>
    </w:p>
    <w:p w14:paraId="55F6C0D0" w14:textId="77777777" w:rsidR="00A8138F" w:rsidRDefault="00A8138F" w:rsidP="00A8138F">
      <w:pPr>
        <w:pStyle w:val="TextoNormal"/>
      </w:pPr>
      <w:r w:rsidRPr="00A8138F">
        <w:rPr>
          <w:rStyle w:val="NumeroAFNegritaCaracter"/>
        </w:rPr>
        <w:t>3</w:t>
      </w:r>
      <w:r>
        <w:t xml:space="preserve">. </w:t>
      </w:r>
      <w:r w:rsidRPr="00A8138F">
        <w:rPr>
          <w:i/>
        </w:rPr>
        <w:t>Aplicación al caso concreto</w:t>
      </w:r>
    </w:p>
    <w:p w14:paraId="6FF853B2" w14:textId="77777777" w:rsidR="00A8138F" w:rsidRDefault="00A8138F" w:rsidP="00A8138F">
      <w:pPr>
        <w:pStyle w:val="TextoNormal"/>
      </w:pPr>
    </w:p>
    <w:p w14:paraId="327D8B2D" w14:textId="77777777" w:rsidR="00A8138F" w:rsidRDefault="00A8138F" w:rsidP="00A8138F">
      <w:pPr>
        <w:pStyle w:val="TextoNormal"/>
      </w:pPr>
      <w:r>
        <w:lastRenderedPageBreak/>
        <w:t xml:space="preserve">En el caso sometido a nuestro enjuiciamiento, los hechos, que quedaron establecidos desde la sentencia dictada por el Juzgado de Primera Instancia núm. 6 de L’Hospitalet de Llobregat, consistieron en que por el medio “La Opinión de Málaga”, se difundieron unas imágenes del señor Opazos Menor, boxeador </w:t>
      </w:r>
      <w:r w:rsidRPr="00A8138F">
        <w:rPr>
          <w:i/>
        </w:rPr>
        <w:t>amateur</w:t>
      </w:r>
      <w:r>
        <w:t>, ilustrando la noticia del asesinato de un recluso en la cárcel de Soto del Real, cometido por otro boxeador apodado “el Nene” (de nombre Jesús María Romero Hernández), también recluso en dicha prisión, ocurrido el día 26 de diciembre de 2018. El titular de la noticia era el siguiente: “ՙEl Nene՚ mata a golpes a un traficante de drogas por una litera”; la noticia se transmitió mientras se exhibía la imagen del señor Opazos Menor.</w:t>
      </w:r>
    </w:p>
    <w:p w14:paraId="5F55C7C0" w14:textId="77777777" w:rsidR="00A8138F" w:rsidRDefault="00A8138F" w:rsidP="00A8138F">
      <w:pPr>
        <w:pStyle w:val="TextoNormal"/>
      </w:pPr>
    </w:p>
    <w:p w14:paraId="4F8DA838" w14:textId="77777777" w:rsidR="00A8138F" w:rsidRDefault="00A8138F" w:rsidP="00A8138F">
      <w:pPr>
        <w:pStyle w:val="TextoNormal"/>
      </w:pPr>
      <w:r>
        <w:t>A ello se debe añadir como hechos no controvertidos: (i) que el señor Opazos Menor no prestó su consentimiento para la utilización de su imagen; (ii) que la noticia transmitida por el diario “La Opinión de Málaga, S.L.” fue elaborada, montada y locutada, por una agencia de noticias cuya profesionalidad no se cuestiona y finalmente, (iii) que el material informativo editado contenía dos imágenes: la del señor Opazos Menor y la de don Jesús María Romero Hernández.</w:t>
      </w:r>
    </w:p>
    <w:p w14:paraId="7BF86DFA" w14:textId="77777777" w:rsidR="00A8138F" w:rsidRDefault="00A8138F" w:rsidP="00A8138F">
      <w:pPr>
        <w:pStyle w:val="TextoNormal"/>
      </w:pPr>
    </w:p>
    <w:p w14:paraId="0E474EFA" w14:textId="77777777" w:rsidR="00A8138F" w:rsidRDefault="00A8138F" w:rsidP="00A8138F">
      <w:pPr>
        <w:pStyle w:val="TextoNormal"/>
      </w:pPr>
      <w:r>
        <w:t>En este caso, la sentencia recurrida en amparo apreció la vulneración de los derechos al honor y a la propia imagen, art. 18 CE, por parte de quien ahora recurre en amparo, indicando que la misma no podía excusarse con sustento en la aplicación del reportaje neutral. Basó su decisión en la ponderación de varias circunstancias: (i) la extraordinaria gravedad del error que supuso identificar al señor Opazos Menor con un homicida; (ii) el carácter innecesario de la utilización de la imagen del señor Opazos Menor para difundir el contenido sustancial de la información y (iii) la utilización de la imagen desvinculada del contexto en el que se obtuvo y para fines totalmente diferentes y sin autorización del afectado.</w:t>
      </w:r>
    </w:p>
    <w:p w14:paraId="7D0E1F09" w14:textId="77777777" w:rsidR="00A8138F" w:rsidRDefault="00A8138F" w:rsidP="00A8138F">
      <w:pPr>
        <w:pStyle w:val="TextoNormal"/>
      </w:pPr>
    </w:p>
    <w:p w14:paraId="01BBBA71" w14:textId="77777777" w:rsidR="00A8138F" w:rsidRDefault="00A8138F" w:rsidP="00A8138F">
      <w:pPr>
        <w:pStyle w:val="TextoNormal"/>
      </w:pPr>
      <w:r>
        <w:t xml:space="preserve">En tal sentido, el Tribunal Supremo razonó que, pese a la brevedad de las imágenes, se mostraba en ellas al señor Opazos Menor en el interior de un </w:t>
      </w:r>
      <w:r w:rsidRPr="00A8138F">
        <w:rPr>
          <w:i/>
        </w:rPr>
        <w:t>ring</w:t>
      </w:r>
      <w:r>
        <w:t xml:space="preserve"> con atuendo de boxeador y el puño en alto, levantado en signo de victoria, y tales imágenes se insertaron en el contexto de la muerte de un recluso por una paliza propinada por otro preso, al tiempo que se oía una voz en </w:t>
      </w:r>
      <w:r w:rsidRPr="00A8138F">
        <w:rPr>
          <w:i/>
        </w:rPr>
        <w:t>off</w:t>
      </w:r>
      <w:r>
        <w:t xml:space="preserve"> diciendo “así se presenta ‘el Nene’, este campeón de </w:t>
      </w:r>
      <w:r w:rsidRPr="00A8138F">
        <w:rPr>
          <w:i/>
        </w:rPr>
        <w:t>muay thai</w:t>
      </w:r>
      <w:r>
        <w:t xml:space="preserve"> que mató a golpes a su compañero de celda por una litera”, siendo una imagen clara, no accesoria y 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w:t>
      </w:r>
    </w:p>
    <w:p w14:paraId="14A53C5C" w14:textId="77777777" w:rsidR="00A8138F" w:rsidRDefault="00A8138F" w:rsidP="00A8138F">
      <w:pPr>
        <w:pStyle w:val="TextoNormal"/>
      </w:pPr>
    </w:p>
    <w:p w14:paraId="4EEE62A7" w14:textId="77777777" w:rsidR="00A8138F" w:rsidRDefault="00A8138F" w:rsidP="00A8138F">
      <w:pPr>
        <w:pStyle w:val="TextoNormal"/>
      </w:pPr>
      <w:r>
        <w:t>Basándonos en los hechos probados, como hicimos en nuestra STC 62/2025, debemos confirmar el juicio de ponderación entre el derecho a “comunicar información veraz”, reconocido en el art. 20.1 d) de la Constitución Española, y los derechos al honor y a la propia imagen protegidos por el art. 18.1 CE, realizado en la sentencia del Tribunal Supremo ahora impugnada.</w:t>
      </w:r>
    </w:p>
    <w:p w14:paraId="302596AE" w14:textId="77777777" w:rsidR="00A8138F" w:rsidRDefault="00A8138F" w:rsidP="00A8138F">
      <w:pPr>
        <w:pStyle w:val="TextoNormal"/>
      </w:pPr>
    </w:p>
    <w:p w14:paraId="647B0EFA" w14:textId="77777777" w:rsidR="00A8138F" w:rsidRDefault="00A8138F" w:rsidP="00A8138F">
      <w:pPr>
        <w:pStyle w:val="TextoNormal"/>
      </w:pPr>
      <w:r>
        <w:t xml:space="preserve">En tal sentido, varios son los elementos que deben tomarse en consideración para validar la valoración efectuada en la sentencia recurrida y apreciar que la falta de diligencia del diario “La Opinión de Málaga” derivó en una intromisión ilegítima en el derecho a la imagen y el honor del señor Opazos Menor, lo que justifica su reparación conforme a la Ley Orgánica 1/1982: (i) Ausencia de consentimiento para la utilización de la imagen del señor </w:t>
      </w:r>
      <w:r>
        <w:lastRenderedPageBreak/>
        <w:t>Opazos Menor en el vídeo; (ii) falta de diligencia al comprobar la vinculación entre la imagen y el contenido de la noticia; (iii) naturaleza y gravedad de la intromisión y repercusiones de la publicación de la imagen para el interesado y (iv) inexistencia de efecto disuasorio para el ejercicio del derecho de la libertad de información.</w:t>
      </w:r>
    </w:p>
    <w:p w14:paraId="24EDAB4F" w14:textId="77777777" w:rsidR="00A8138F" w:rsidRDefault="00A8138F" w:rsidP="00A8138F">
      <w:pPr>
        <w:pStyle w:val="TextoNormal"/>
      </w:pPr>
    </w:p>
    <w:p w14:paraId="595A6804" w14:textId="77777777" w:rsidR="00A8138F" w:rsidRDefault="00A8138F" w:rsidP="00A8138F">
      <w:pPr>
        <w:pStyle w:val="TextoNormal"/>
      </w:pPr>
      <w:r>
        <w:t xml:space="preserve">En consecuencia, el Tribunal, como ya hizo en la STC 62/2025, concluye que atendidas las circunstancias del caso, el medio de comunicación no cumplió con la diligencia exigible antes de proceder a la transmisión del material informativo. Al medio de información, por razones obvias, le bastaba el mero visionado del contenido del vídeo para prever tanto que el señor Opazos Menor no había prestado su consentimiento para la incorporación de su imagen en la elaboración de la noticia, como para representarse que la asociación del titular: “ՙEl Nene՚ mata a golpes a un traficante de drogas por una litera” a la imagen del señor Opazos Menor en un </w:t>
      </w:r>
      <w:r w:rsidRPr="00A8138F">
        <w:rPr>
          <w:i/>
        </w:rPr>
        <w:t>ring</w:t>
      </w:r>
      <w:r>
        <w:t xml:space="preserve"> de boxeo afectaba seria e injustificadamente a su reputación. En definitiva, la actuación del medio de comunicación no puede entenderse amparada en su derecho fundamental a la libertad de información, art. 20 CE.</w:t>
      </w:r>
    </w:p>
    <w:p w14:paraId="6EAAC894" w14:textId="77777777" w:rsidR="00A8138F" w:rsidRDefault="00A8138F" w:rsidP="00A8138F">
      <w:pPr>
        <w:pStyle w:val="TextoNormal"/>
      </w:pPr>
    </w:p>
    <w:p w14:paraId="72EB5DA0" w14:textId="5D2D8D77" w:rsidR="00A8138F" w:rsidRDefault="00A8138F" w:rsidP="00A8138F">
      <w:pPr>
        <w:pStyle w:val="TextoNormal"/>
      </w:pPr>
      <w:r>
        <w:t>Por todo lo expuesto, ha de desestimarse el amparo solicitado por la entidad La Opinión de Málaga, S.L.</w:t>
      </w:r>
    </w:p>
    <w:p w14:paraId="0344C719" w14:textId="77777777" w:rsidR="00A8138F" w:rsidRDefault="00A8138F" w:rsidP="00A8138F">
      <w:pPr>
        <w:pStyle w:val="TextoNormal"/>
      </w:pPr>
    </w:p>
    <w:p w14:paraId="1CAB469C" w14:textId="77777777" w:rsidR="00A8138F" w:rsidRDefault="00A8138F" w:rsidP="00A8138F">
      <w:pPr>
        <w:pStyle w:val="TextoNormalCentrado"/>
        <w:keepNext/>
      </w:pPr>
      <w:r>
        <w:t>FALLO</w:t>
      </w:r>
    </w:p>
    <w:p w14:paraId="32DBBE26" w14:textId="331A8D4B" w:rsidR="00A8138F" w:rsidRDefault="00A8138F" w:rsidP="00A8138F">
      <w:pPr>
        <w:pStyle w:val="TextoNormalCentrado"/>
        <w:keepNext/>
      </w:pPr>
    </w:p>
    <w:p w14:paraId="4CB36E4A" w14:textId="1A9AE78C"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la entidad La Opinión de Málaga, S.L.</w:t>
      </w:r>
    </w:p>
    <w:p w14:paraId="13D7D5EE" w14:textId="77777777" w:rsidR="00A8138F" w:rsidRDefault="00A8138F" w:rsidP="00A8138F">
      <w:pPr>
        <w:pStyle w:val="TextoNormal"/>
      </w:pPr>
    </w:p>
    <w:p w14:paraId="346B2203" w14:textId="77777777" w:rsidR="00A8138F" w:rsidRDefault="00A8138F" w:rsidP="00A8138F">
      <w:pPr>
        <w:pStyle w:val="TextoNormal"/>
      </w:pPr>
      <w:r>
        <w:t>Publíquese esta sentencia en el “Boletín Oficial del Estado”.</w:t>
      </w:r>
    </w:p>
    <w:p w14:paraId="0798BDB9" w14:textId="77777777" w:rsidR="00A8138F" w:rsidRDefault="00A8138F" w:rsidP="00A8138F">
      <w:pPr>
        <w:pStyle w:val="TextoNormal"/>
      </w:pPr>
      <w:r>
        <w:t>Dada en Madrid, a siete de abril de dos mil veinticinco.</w:t>
      </w:r>
    </w:p>
    <w:p w14:paraId="00285BCC" w14:textId="0D04AE20" w:rsidR="00A8138F" w:rsidRDefault="00A8138F" w:rsidP="00A8138F">
      <w:pPr>
        <w:pStyle w:val="ParrafoNormal"/>
      </w:pPr>
    </w:p>
    <w:p w14:paraId="0864BCB3" w14:textId="77777777" w:rsidR="00A8138F" w:rsidRDefault="00A8138F" w:rsidP="00A8138F">
      <w:pPr>
        <w:pStyle w:val="TextoNormalNegritaCentrado"/>
        <w:keepNext/>
      </w:pPr>
      <w:r>
        <w:t>Voto particular que formula la magistrada doña Concepción Espejel Jorquera a la sentencia de 7 de abril de 2025 dictada por la Sala Primera en el recurso de amparo núm. 7510-2023, que desestima el recurso interpuesto por la entidad La Opinión de Málaga, S.L., contra la sentencia 1035/2023, de 27 de junio, dictada por la Sala de lo Civil del Tribunal Supremo</w:t>
      </w:r>
    </w:p>
    <w:p w14:paraId="5F5E5E5B" w14:textId="15B6298D" w:rsidR="00A8138F" w:rsidRDefault="00A8138F" w:rsidP="00A8138F">
      <w:pPr>
        <w:pStyle w:val="TextoNormalNegritaCentrado"/>
        <w:keepNext/>
      </w:pPr>
    </w:p>
    <w:p w14:paraId="5E74AB03" w14:textId="77777777" w:rsidR="00A8138F" w:rsidRDefault="00A8138F" w:rsidP="00A8138F">
      <w:pPr>
        <w:pStyle w:val="TextoNormal"/>
      </w:pPr>
      <w:r>
        <w:t>En el ejercicio de la facultad conferida por el artículo 90.2 LOTC y con respeto a la opinión de mis compañeros, formulo el presente voto particular por discrepar del fallo y de parte de la fundamentación de la sentencia, por cuanto, como expuse durante la deliberación en la Sala, considero que el recurso debió de ser estimado por haber vulnerado la sentencia recurrida en amparo, el derecho a la libertad de información [art. 20.1 d) CE] del medio de comunicación recurrente.</w:t>
      </w:r>
    </w:p>
    <w:p w14:paraId="4BD83C18" w14:textId="77777777" w:rsidR="00A8138F" w:rsidRDefault="00A8138F" w:rsidP="00A8138F">
      <w:pPr>
        <w:pStyle w:val="TextoNormal"/>
      </w:pPr>
    </w:p>
    <w:p w14:paraId="202261E3" w14:textId="77777777" w:rsidR="00A8138F" w:rsidRDefault="00A8138F" w:rsidP="00A8138F">
      <w:pPr>
        <w:pStyle w:val="TextoNormal"/>
      </w:pPr>
      <w:r>
        <w:t>La sentencia aprobada por la Sala en el día de hoy aplica la doctrina sentada por el Pleno en la STC 62/2025, a la cual formulé un voto particular junto a los magistrados don Enrique Arnaldo Alcubilla y doña Laura Díez Bueso, en virtud de consideraciones que ahora mantengo y procedo a resumir.</w:t>
      </w:r>
    </w:p>
    <w:p w14:paraId="6B1E9779" w14:textId="77777777" w:rsidR="00A8138F" w:rsidRDefault="00A8138F" w:rsidP="00A8138F">
      <w:pPr>
        <w:pStyle w:val="TextoNormal"/>
      </w:pPr>
    </w:p>
    <w:p w14:paraId="6A3F0A0F" w14:textId="77777777" w:rsidR="00A8138F" w:rsidRDefault="00A8138F" w:rsidP="00A8138F">
      <w:pPr>
        <w:pStyle w:val="TextoNormal"/>
      </w:pPr>
      <w:r>
        <w:t xml:space="preserve">1. </w:t>
      </w:r>
      <w:r w:rsidRPr="00A8138F">
        <w:rPr>
          <w:i/>
        </w:rPr>
        <w:t>Hechos probados destacados en la sentencia de la que discrepo</w:t>
      </w:r>
    </w:p>
    <w:p w14:paraId="1B7DDCC9" w14:textId="77777777" w:rsidR="00A8138F" w:rsidRDefault="00A8138F" w:rsidP="00A8138F">
      <w:pPr>
        <w:pStyle w:val="TextoNormal"/>
      </w:pPr>
    </w:p>
    <w:p w14:paraId="502CCA4B" w14:textId="77777777" w:rsidR="00A8138F" w:rsidRDefault="00A8138F" w:rsidP="00A8138F">
      <w:pPr>
        <w:pStyle w:val="TextoNormal"/>
      </w:pPr>
      <w:r>
        <w:t>Para llegar a la conclusión desestimatoria del amparo, la sentencia destaca una serie de hechos no controvertidos: (i) el señor Opazos Menor no prestó su consentimiento en la utilización de su imagen; (ii) la noticia transmitida por el diario “La Opinión de Málaga” fue elaborada, montada y locutada, por una agencia de noticias cuya profesionalidad no se cuestiona y (iii) el material informativo editado contenía dos imágenes: la del señor Opazos Menor y la de don Jesús María Romero Hernández (apodado “el Nene”).</w:t>
      </w:r>
    </w:p>
    <w:p w14:paraId="444A0757" w14:textId="77777777" w:rsidR="00A8138F" w:rsidRDefault="00A8138F" w:rsidP="00A8138F">
      <w:pPr>
        <w:pStyle w:val="TextoNormal"/>
      </w:pPr>
    </w:p>
    <w:p w14:paraId="4984BCF5" w14:textId="77777777" w:rsidR="00A8138F" w:rsidRDefault="00A8138F" w:rsidP="00A8138F">
      <w:pPr>
        <w:pStyle w:val="TextoNormal"/>
      </w:pPr>
      <w:r>
        <w:t>Entiendo que junto a estos hechos existen otros relevantes para determinar el grado de diligencia exigible al medio de comunicación:</w:t>
      </w:r>
    </w:p>
    <w:p w14:paraId="52E2C407" w14:textId="77777777" w:rsidR="00A8138F" w:rsidRDefault="00A8138F" w:rsidP="00A8138F">
      <w:pPr>
        <w:pStyle w:val="TextoNormal"/>
      </w:pPr>
    </w:p>
    <w:p w14:paraId="49B13188" w14:textId="77777777" w:rsidR="00A8138F" w:rsidRDefault="00A8138F" w:rsidP="00A8138F">
      <w:pPr>
        <w:pStyle w:val="TextoNormal"/>
      </w:pPr>
      <w:r>
        <w:t>(i) Las imágenes del señor Opazos Menor que aparecen en el vídeo duran escasamente cuatro segundos, mientras que en el resto de la grabación —de un minuto y veintidós segundos de duración total— aparecen las imágenes del protagonista de la noticia.</w:t>
      </w:r>
    </w:p>
    <w:p w14:paraId="23874FEB" w14:textId="77777777" w:rsidR="00A8138F" w:rsidRDefault="00A8138F" w:rsidP="00A8138F">
      <w:pPr>
        <w:pStyle w:val="TextoNormal"/>
      </w:pPr>
    </w:p>
    <w:p w14:paraId="111FB126" w14:textId="77777777" w:rsidR="00A8138F" w:rsidRDefault="00A8138F" w:rsidP="00A8138F">
      <w:pPr>
        <w:pStyle w:val="TextoNormal"/>
      </w:pPr>
      <w:r>
        <w:t>(ii) La recurrente en amparo se limitó a reproducir sin reelaborar la noticia, ya montada y locutada para su inmediata emisión, que le remitió la agencia de noticias Atlas, perteneciente al grupo Mediaset España, S.A., dejando constancia de la fuente de la información.</w:t>
      </w:r>
    </w:p>
    <w:p w14:paraId="124AA638" w14:textId="77777777" w:rsidR="00A8138F" w:rsidRDefault="00A8138F" w:rsidP="00A8138F">
      <w:pPr>
        <w:pStyle w:val="TextoNormal"/>
      </w:pPr>
    </w:p>
    <w:p w14:paraId="7F4BB0CF" w14:textId="77777777" w:rsidR="00A8138F" w:rsidRDefault="00A8138F" w:rsidP="00A8138F">
      <w:pPr>
        <w:pStyle w:val="TextoNormal"/>
      </w:pPr>
      <w:r>
        <w:t>(iii) La sentencia dictada en primera instancia concluyó que se trata de una “[n]oticia con apariencia de veracidad, procedente de una agencia solvente, sin que pueda imputarse al medio receptor falta de diligencia por haber podido existir indicios racionales y evidentes de que la noticia podía ser falsa en cuanto a la identidad del autor del hecho. La noticia resultaba completamente creíble (de hecho, el autor real del delito y el actor son boxeadores de la misma modalidad). Sin que conste tampoco, ni haya razón para pensarlo, que la demandada conociera o fuera consciente de la falsedad, por error, del contenido de la noticia en cuanto al equívoco respecto de la persona que la ilustraba”.</w:t>
      </w:r>
    </w:p>
    <w:p w14:paraId="2793F264" w14:textId="77777777" w:rsidR="00A8138F" w:rsidRDefault="00A8138F" w:rsidP="00A8138F">
      <w:pPr>
        <w:pStyle w:val="TextoNormal"/>
      </w:pPr>
    </w:p>
    <w:p w14:paraId="48160C15" w14:textId="77777777" w:rsidR="00A8138F" w:rsidRDefault="00A8138F" w:rsidP="00A8138F">
      <w:pPr>
        <w:pStyle w:val="TextoNormal"/>
      </w:pPr>
      <w:r>
        <w:t xml:space="preserve">2. </w:t>
      </w:r>
      <w:r w:rsidRPr="00A8138F">
        <w:rPr>
          <w:i/>
        </w:rPr>
        <w:t>Consideraciones de la sentencia de la Sala de lo Civil del Tribunal Supremo que hace suya la resolución de la que discrepo</w:t>
      </w:r>
    </w:p>
    <w:p w14:paraId="251ECED1" w14:textId="77777777" w:rsidR="00A8138F" w:rsidRDefault="00A8138F" w:rsidP="00A8138F">
      <w:pPr>
        <w:pStyle w:val="TextoNormal"/>
      </w:pPr>
    </w:p>
    <w:p w14:paraId="613D8707" w14:textId="77777777" w:rsidR="00A8138F" w:rsidRDefault="00A8138F" w:rsidP="00A8138F">
      <w:pPr>
        <w:pStyle w:val="TextoNormal"/>
      </w:pPr>
      <w:r>
        <w:t>En línea con la STC 62/2025, la sentencia confirma el juicio de ponderación entre el derecho a “comunicar información veraz” reconocido en el art. 20.1 d) CE, y los derechos al honor y a la propia imagen protegidos por el art. 18.1 CE, efectuado en la sentencia de la Sala de lo Civil del Tribunal Supremo recurrida en amparo, que basó su decisión en la ponderación de circunstancias que, a mi juicio, no justifican la limitación del derecho a la libertad de información en el caso examinado: (i) la extraordinaria gravedad del error que supuso identificar al señor Opazos Menor con un homicida; (ii) el carácter innecesario de la utilización de la imagen del señor Opazos Menor para difundir el contenido sustancial de la información y (iii) el uso de la imagen desvinculada del contexto en el que se obtuvo y para fines totalmente diferentes, y sin contar con la autorización del afectado.</w:t>
      </w:r>
    </w:p>
    <w:p w14:paraId="7F00E5DD" w14:textId="77777777" w:rsidR="00A8138F" w:rsidRDefault="00A8138F" w:rsidP="00A8138F">
      <w:pPr>
        <w:pStyle w:val="TextoNormal"/>
      </w:pPr>
    </w:p>
    <w:p w14:paraId="21DAA543" w14:textId="77777777" w:rsidR="00A8138F" w:rsidRDefault="00A8138F" w:rsidP="00A8138F">
      <w:pPr>
        <w:pStyle w:val="TextoNormal"/>
      </w:pPr>
      <w:r>
        <w:t xml:space="preserve">En primer término, reconociendo que un acto homicida constituye un delito de extraordinaria gravedad, ello no equivale a “la extraordinaria gravedad del error que supuso identificar al señor Opazos Menor con un homicida”, mencionada en la sentencia de la que discrepo. En ningún momento se cita en el vídeo, el nombre y apellidos del señor Opazos Menor, ni se le atribuye la comisión del hecho, aunque una imagen suya aparezca durante un lapso temporal muy breve de escasos cuatro segundos. Por el contrario, en el reportaje </w:t>
      </w:r>
      <w:r>
        <w:lastRenderedPageBreak/>
        <w:t>videográfico se reitera que el homicidio se atribuye a otra persona identificada con nombre, apellidos y apodo, cuyas imágenes aparecen en la práctica totalidad del vídeo.</w:t>
      </w:r>
    </w:p>
    <w:p w14:paraId="72D321BA" w14:textId="77777777" w:rsidR="00A8138F" w:rsidRDefault="00A8138F" w:rsidP="00A8138F">
      <w:pPr>
        <w:pStyle w:val="TextoNormal"/>
      </w:pPr>
    </w:p>
    <w:p w14:paraId="021E99F8" w14:textId="77777777" w:rsidR="00A8138F" w:rsidRDefault="00A8138F" w:rsidP="00A8138F">
      <w:pPr>
        <w:pStyle w:val="TextoNormal"/>
      </w:pPr>
      <w:r>
        <w:t xml:space="preserve">En segundo lugar, respecto al “carácter innecesario de la utilización de la imagen del señor Opazos Menor para difundir el contenido sustancial de la información”, considero que no es demostrativo de falta de diligencia estimar que la imagen del señor Opazos Menor en el </w:t>
      </w:r>
      <w:r w:rsidRPr="00A8138F">
        <w:rPr>
          <w:i/>
        </w:rPr>
        <w:t>ring</w:t>
      </w:r>
      <w:r>
        <w:t xml:space="preserve"> sí tenía relación con la noticia, pues tanto el protagonista de la noticia como aquel compartían el ejercicio de la misma disciplina deportiva que, además, de ser de lucha, tiene directa relación con la presunta forma de comisión del homicidio (“matar a golpes” al compañero de celda).</w:t>
      </w:r>
    </w:p>
    <w:p w14:paraId="4CAFA9B4" w14:textId="77777777" w:rsidR="00A8138F" w:rsidRDefault="00A8138F" w:rsidP="00A8138F">
      <w:pPr>
        <w:pStyle w:val="TextoNormal"/>
      </w:pPr>
    </w:p>
    <w:p w14:paraId="6A02D7AA" w14:textId="77777777" w:rsidR="00A8138F" w:rsidRDefault="00A8138F" w:rsidP="00A8138F">
      <w:pPr>
        <w:pStyle w:val="TextoNormal"/>
      </w:pPr>
      <w:r>
        <w:t>En cualquier caso y según mi criterio, la declarada “utilización de la imagen desvinculada del contexto en el que se obtuvo y para fines totalmente diferentes y sin autorización del afectado”, no permiten imputar la lesión a quienes lo difundieron citando la fuente y sin alterar su contenido, en la razonable confianza y buena fe que la práctica del sector de la comunicación deposita en la profesionalidad de las agencias de información de reconocida solvencia.</w:t>
      </w:r>
    </w:p>
    <w:p w14:paraId="6760295B" w14:textId="77777777" w:rsidR="00A8138F" w:rsidRDefault="00A8138F" w:rsidP="00A8138F">
      <w:pPr>
        <w:pStyle w:val="TextoNormal"/>
      </w:pPr>
    </w:p>
    <w:p w14:paraId="0C338E8F" w14:textId="77777777" w:rsidR="00A8138F" w:rsidRDefault="00A8138F" w:rsidP="00A8138F">
      <w:pPr>
        <w:pStyle w:val="TextoNormal"/>
      </w:pPr>
      <w:r>
        <w:t xml:space="preserve">3. </w:t>
      </w:r>
      <w:r w:rsidRPr="00A8138F">
        <w:rPr>
          <w:i/>
        </w:rPr>
        <w:t>Elementos a partir de los cuales la sentencia concluye que el medio de comunicación recurrente en amparo incumplió el deber de diligencia que le era exigible, con el efecto de incurrir en la intromisión ilegítima en los derechos al honor y a la propia imagen del señor Opazos Menor</w:t>
      </w:r>
    </w:p>
    <w:p w14:paraId="1F043366" w14:textId="77777777" w:rsidR="00A8138F" w:rsidRDefault="00A8138F" w:rsidP="00A8138F">
      <w:pPr>
        <w:pStyle w:val="TextoNormal"/>
      </w:pPr>
    </w:p>
    <w:p w14:paraId="4507A932" w14:textId="77777777" w:rsidR="00A8138F" w:rsidRDefault="00A8138F" w:rsidP="00A8138F">
      <w:pPr>
        <w:pStyle w:val="TextoNormal"/>
      </w:pPr>
      <w:r>
        <w:t>Con remisión a la STC 62/2025, la sentencia dictada por la Sala concluye que, atendidas las circunstancias del caso, el medio de comunicación no cumplió con la diligencia exigible antes de proceder a la transmisión del material informativo.</w:t>
      </w:r>
    </w:p>
    <w:p w14:paraId="68973D8B" w14:textId="77777777" w:rsidR="00A8138F" w:rsidRDefault="00A8138F" w:rsidP="00A8138F">
      <w:pPr>
        <w:pStyle w:val="TextoNormal"/>
      </w:pPr>
    </w:p>
    <w:p w14:paraId="5ECD9183" w14:textId="77777777" w:rsidR="00A8138F" w:rsidRDefault="00A8138F" w:rsidP="00A8138F">
      <w:pPr>
        <w:pStyle w:val="TextoNormal"/>
      </w:pPr>
      <w:r>
        <w:t>No puedo compartir esta conclusión. Acreditada en el proceso judicial la inclusión en el vídeo de imágenes que no eran del presunto autor de los hechos, ello no implica que el error fuera previsible por el medio de información que, amparado en la legítima confianza que rige en el sector, adquirió el reportaje de una agencia de noticias de indiscutida profesionalidad, “[s]in que conste tampoco, ni haya razón para pensarlo, que la demandada conociera o fuera consciente de la falsedad, por error, del contenido de la noticia en cuanto al equívoco respecto de la persona que la ilustraba”, como apuntó la sentencia de primera instancia, pues nada hacía presumir tal error.</w:t>
      </w:r>
    </w:p>
    <w:p w14:paraId="2D51B699" w14:textId="77777777" w:rsidR="00A8138F" w:rsidRDefault="00A8138F" w:rsidP="00A8138F">
      <w:pPr>
        <w:pStyle w:val="TextoNormal"/>
      </w:pPr>
    </w:p>
    <w:p w14:paraId="2498E477" w14:textId="77777777" w:rsidR="00A8138F" w:rsidRDefault="00A8138F" w:rsidP="00A8138F">
      <w:pPr>
        <w:pStyle w:val="TextoNormal"/>
      </w:pPr>
      <w:r>
        <w:t>En las imágenes del apodado “el Nene” participando en combates, su figura ofrece notables diferencias con la que el mismo sujeto presenta en la entrevista inicial, lo cual, unido a la brevedad de la exposición de la imagen de quien interpuso la demanda judicial respecto a las mucho más extensas en el tiempo del protagonista real de la noticia, no hacen posible compartir la conclusión de que la entidad La Opinión de Málaga, S.L., no observara la diligencia exigible al medio que recibió el vídeo editado por una agencia fiable, cuando no había razones para presumir que pudiera existir otro boxeador de características físicas análogas a las de “el Nene”, ni facilidad para detectar el error.</w:t>
      </w:r>
    </w:p>
    <w:p w14:paraId="3649F7DE" w14:textId="77777777" w:rsidR="00A8138F" w:rsidRDefault="00A8138F" w:rsidP="00A8138F">
      <w:pPr>
        <w:pStyle w:val="TextoNormal"/>
      </w:pPr>
    </w:p>
    <w:p w14:paraId="3461FE56" w14:textId="77777777" w:rsidR="00A8138F" w:rsidRDefault="00A8138F" w:rsidP="00A8138F">
      <w:pPr>
        <w:pStyle w:val="TextoNormal"/>
      </w:pPr>
      <w:r>
        <w:t xml:space="preserve">4. </w:t>
      </w:r>
      <w:r w:rsidRPr="00A8138F">
        <w:rPr>
          <w:i/>
        </w:rPr>
        <w:t>Aplicación del canon constitucional de veracidad al presente caso</w:t>
      </w:r>
    </w:p>
    <w:p w14:paraId="3E4D6C90" w14:textId="77777777" w:rsidR="00A8138F" w:rsidRDefault="00A8138F" w:rsidP="00A8138F">
      <w:pPr>
        <w:pStyle w:val="TextoNormal"/>
      </w:pPr>
    </w:p>
    <w:p w14:paraId="3B266390" w14:textId="77777777" w:rsidR="00A8138F" w:rsidRDefault="00A8138F" w:rsidP="00A8138F">
      <w:pPr>
        <w:pStyle w:val="TextoNormal"/>
      </w:pPr>
      <w:r>
        <w:lastRenderedPageBreak/>
        <w:t>Considero que la aplicación del canon constitucional de veracidad debería haber conducido a un resultado estimatorio de la demanda de amparo y, en consecuencia, opuesto al alcanzado en la sentencia de la que discrepo.</w:t>
      </w:r>
    </w:p>
    <w:p w14:paraId="38CA1357" w14:textId="77777777" w:rsidR="00A8138F" w:rsidRDefault="00A8138F" w:rsidP="00A8138F">
      <w:pPr>
        <w:pStyle w:val="TextoNormal"/>
      </w:pPr>
    </w:p>
    <w:p w14:paraId="2F592204" w14:textId="77777777" w:rsidR="00A8138F" w:rsidRDefault="00A8138F" w:rsidP="00A8138F">
      <w:pPr>
        <w:pStyle w:val="TextoNormal"/>
      </w:pPr>
      <w:r>
        <w:t>Para el adecuado enfoque de la cuestión deben hacerse algunas precisiones sobre el derecho al honor en las circunstancias de este caso. En particular, ha de tenerse en cuenta que el conflicto no se ha planteado frente a la agencia de noticias que elaboró el reportaje, sino frente al medio de comunicación que lo difundió citando la fuente de origen y sin introducir ninguna modificación. Aunque la eventual responsabilidad del medio de comunicación por la intromisión ilegítima en los derechos al honor y a la propia imagen no se puede determinar únicamente por ajenidad de la conducta observada en la elaboración de la noticia, a la hora de determinar si, en este caso, la actuación del medio recurrente estaba amparada por la libertad de información, hay que atender a la diligencia que le era exigible en la comprobación y contraste de la veracidad de la noticia con anterioridad a su publicación.</w:t>
      </w:r>
    </w:p>
    <w:p w14:paraId="42C45A3A" w14:textId="77777777" w:rsidR="00A8138F" w:rsidRDefault="00A8138F" w:rsidP="00A8138F">
      <w:pPr>
        <w:pStyle w:val="TextoNormal"/>
      </w:pPr>
    </w:p>
    <w:p w14:paraId="487F80C8" w14:textId="77777777" w:rsidR="00A8138F" w:rsidRDefault="00A8138F" w:rsidP="00A8138F">
      <w:pPr>
        <w:pStyle w:val="TextoNormal"/>
      </w:pPr>
      <w:r>
        <w:t xml:space="preserve">En relación con el derecho al honor del señor Opazos Menor, del análisis del vídeo resulta claro que la presunta autoría del homicidio no se le atribuye, sino a un recluso apodado “el Nene”, perfectamente identificado y que aparece entrevistado, frente a los cuatro segundos en los que se muestran las imágenes del señor Opazos Menor, aun cuando en ese momento la voz en </w:t>
      </w:r>
      <w:r w:rsidRPr="00A8138F">
        <w:rPr>
          <w:i/>
        </w:rPr>
        <w:t>off</w:t>
      </w:r>
      <w:r>
        <w:t xml:space="preserve"> del vídeo dijera “así se presenta ‘el Nene’, este campeón de </w:t>
      </w:r>
      <w:r w:rsidRPr="00A8138F">
        <w:rPr>
          <w:i/>
        </w:rPr>
        <w:t>muay thai</w:t>
      </w:r>
      <w:r>
        <w:t xml:space="preserve"> que mató a golpes a su compañero”, porque no cabe duda de que a quien se atribuyen los hechos es al primero y no al señor Opazos Menor y la inserción de unas concretas imágenes de una persona distinta al autor de los hechos no era fácilmente perceptible en el mínimo tiempo de duración de las imágenes controvertidas.</w:t>
      </w:r>
    </w:p>
    <w:p w14:paraId="64EB277C" w14:textId="77777777" w:rsidR="00A8138F" w:rsidRDefault="00A8138F" w:rsidP="00A8138F">
      <w:pPr>
        <w:pStyle w:val="TextoNormal"/>
      </w:pPr>
    </w:p>
    <w:p w14:paraId="6BFCFF30" w14:textId="77777777" w:rsidR="00A8138F" w:rsidRDefault="00A8138F" w:rsidP="00A8138F">
      <w:pPr>
        <w:pStyle w:val="TextoNormal"/>
      </w:pPr>
      <w:r>
        <w:t>Por tanto, si la noticia no se refería al señor Opazos Menor y la inserción de las imágenes de este no eran fácilmente perceptibles, de modo que con dificultad se le podía identificar, considero que su honor no se vio afectado y la noticia así publicada queda amparada, desde esta perspectiva, por la libertad de información.</w:t>
      </w:r>
    </w:p>
    <w:p w14:paraId="43B9A88D" w14:textId="77777777" w:rsidR="00A8138F" w:rsidRDefault="00A8138F" w:rsidP="00A8138F">
      <w:pPr>
        <w:pStyle w:val="TextoNormal"/>
      </w:pPr>
    </w:p>
    <w:p w14:paraId="73E5A9A3" w14:textId="77777777" w:rsidR="00A8138F" w:rsidRDefault="00A8138F" w:rsidP="00A8138F">
      <w:pPr>
        <w:pStyle w:val="TextoNormal"/>
      </w:pPr>
      <w:r>
        <w:t>La inclusión de aquellas imágenes en el vídeo constituye un mero error circunstancial que no afecta a la esencia de lo informado ni a su veracidad. El deber de diligencia del medio de comunicación al contrastar la noticia no alcanza, en este caso y dadas las circunstancias, al extremo de tener que realizar una comprobación individualizada, exhaustiva y específica de las imágenes controvertidas, a falta de indicios que permitieran advertir que se trataba de una persona distinta al sujeto de la noticia.</w:t>
      </w:r>
    </w:p>
    <w:p w14:paraId="29A1088E" w14:textId="77777777" w:rsidR="00A8138F" w:rsidRDefault="00A8138F" w:rsidP="00A8138F">
      <w:pPr>
        <w:pStyle w:val="TextoNormal"/>
      </w:pPr>
    </w:p>
    <w:p w14:paraId="4808109D" w14:textId="77777777" w:rsidR="00A8138F" w:rsidRDefault="00A8138F" w:rsidP="00A8138F">
      <w:pPr>
        <w:pStyle w:val="TextoNormal"/>
      </w:pPr>
      <w:r>
        <w:t>A mi juicio, debería haberse tenido por cumplido el requisito de veracidad a efectos del art. 20.1 d) CE, sin que pudiera apreciarse una intromisión ilegítima en el derecho al honor del señor Opazos Menor.</w:t>
      </w:r>
    </w:p>
    <w:p w14:paraId="51733FE8" w14:textId="77777777" w:rsidR="00A8138F" w:rsidRDefault="00A8138F" w:rsidP="00A8138F">
      <w:pPr>
        <w:pStyle w:val="TextoNormal"/>
      </w:pPr>
    </w:p>
    <w:p w14:paraId="24C1ABF8" w14:textId="77777777" w:rsidR="00A8138F" w:rsidRDefault="00A8138F" w:rsidP="00A8138F">
      <w:pPr>
        <w:pStyle w:val="TextoNormal"/>
      </w:pPr>
      <w:r>
        <w:t xml:space="preserve">5. </w:t>
      </w:r>
      <w:r w:rsidRPr="00A8138F">
        <w:rPr>
          <w:i/>
        </w:rPr>
        <w:t>Sobre la declarada vulneración del derecho a la propia imagen por la difusión de las imágenes y la omisión de puesta en conocimiento del medio de comunicación, antes del inicio del procedimiento civil, por quien figura en el vídeo</w:t>
      </w:r>
    </w:p>
    <w:p w14:paraId="505093B8" w14:textId="77777777" w:rsidR="00A8138F" w:rsidRDefault="00A8138F" w:rsidP="00A8138F">
      <w:pPr>
        <w:pStyle w:val="TextoNormal"/>
      </w:pPr>
    </w:p>
    <w:p w14:paraId="721E1FA1" w14:textId="77777777" w:rsidR="00A8138F" w:rsidRDefault="00A8138F" w:rsidP="00A8138F">
      <w:pPr>
        <w:pStyle w:val="TextoNormal"/>
      </w:pPr>
      <w:r>
        <w:t xml:space="preserve">Las circunstancias en las que se obtuvieron las imágenes del señor Opazos Menor insertadas en el vídeo y, en particular, la ausencia de su consentimiento para ser utilizadas, deberían haber quedado fuera del objeto de este recurso de amparo, al responder a conductas </w:t>
      </w:r>
      <w:r>
        <w:lastRenderedPageBreak/>
        <w:t>atribuibles en exclusiva al autor del reportaje, en este caso, la agencia de noticias que aparece identificada en la publicación difundida por la entidad recurrente en amparo. Como he expuesto, tampoco considero razonable declarar que el medio de comunicación hubiera podido apercibirse de que las imágenes en cuestión no se correspondían con el sujeto de la noticia, conforme al nivel de diligencia exigible en este caso.</w:t>
      </w:r>
    </w:p>
    <w:p w14:paraId="710D1922" w14:textId="77777777" w:rsidR="00A8138F" w:rsidRDefault="00A8138F" w:rsidP="00A8138F">
      <w:pPr>
        <w:pStyle w:val="TextoNormal"/>
      </w:pPr>
    </w:p>
    <w:p w14:paraId="4CFA0A14" w14:textId="77777777" w:rsidR="00A8138F" w:rsidRDefault="00A8138F" w:rsidP="00A8138F">
      <w:pPr>
        <w:pStyle w:val="TextoNormal"/>
      </w:pPr>
      <w:r>
        <w:t>Observo, además, que el señor Opazos Menor no afirmó en su demanda civil que hubiera puesto en conocimiento del medio de comunicación que determinadas imágenes correspondían a su persona y que no autorizaba su uso y difusión, sino que se limitó a señalar un hecho: “a la fecha de interposición de la presente demanda, la demandada no ha rectificado la noticia”. Si, por el contrario, hubiera puesto en conocimiento del medio de comunicación en momento anterior al inicio del procedimiento civil, que determinadas imágenes correspondían a su persona, que no autorizaba su uso y difusión, y que, solicitada su supresión en el vídeo, las imágenes no se hubieran suprimido, la diligencia inicial en la comprobación de la noticia podría haberse visto desvanecida por este acontecimiento posterior. Sin embargo, desde que se publicó el vídeo hasta que se presentó la demanda, nada permitió al medio de comunicación advertir, en el contexto del deber de diligencia que le era exigible, que no todas las imágenes se referían al autor del hecho noticiable.</w:t>
      </w:r>
    </w:p>
    <w:p w14:paraId="493292B0" w14:textId="77777777" w:rsidR="00A8138F" w:rsidRDefault="00A8138F" w:rsidP="00A8138F">
      <w:pPr>
        <w:pStyle w:val="TextoNormal"/>
      </w:pPr>
    </w:p>
    <w:p w14:paraId="42294B07" w14:textId="77777777" w:rsidR="00A8138F" w:rsidRDefault="00A8138F" w:rsidP="00A8138F">
      <w:pPr>
        <w:pStyle w:val="TextoNormal"/>
      </w:pPr>
      <w:r>
        <w:t>En estas circunstancias, la conducta de la ahora demandante de amparo debió entenderse amparada por la libertad de información y, en consecuencia, debió desestimarse la alegada intromisión ilegítima en el derecho a la propia imagen del señor Opazos Menor.</w:t>
      </w:r>
    </w:p>
    <w:p w14:paraId="6580F677" w14:textId="77777777" w:rsidR="00A8138F" w:rsidRDefault="00A8138F" w:rsidP="00A8138F">
      <w:pPr>
        <w:pStyle w:val="TextoNormal"/>
      </w:pPr>
    </w:p>
    <w:p w14:paraId="7A2FE21B" w14:textId="77777777" w:rsidR="00A8138F" w:rsidRDefault="00A8138F" w:rsidP="00A8138F">
      <w:pPr>
        <w:pStyle w:val="TextoNormal"/>
      </w:pPr>
      <w:r>
        <w:t xml:space="preserve">6. </w:t>
      </w:r>
      <w:r w:rsidRPr="00A8138F">
        <w:rPr>
          <w:i/>
        </w:rPr>
        <w:t>Sobre la declarada inexistencia de efecto disuasorio para el ejercicio de la libertad de información</w:t>
      </w:r>
    </w:p>
    <w:p w14:paraId="5EE0B9C4" w14:textId="77777777" w:rsidR="00A8138F" w:rsidRDefault="00A8138F" w:rsidP="00A8138F">
      <w:pPr>
        <w:pStyle w:val="TextoNormal"/>
      </w:pPr>
    </w:p>
    <w:p w14:paraId="2E660E5A" w14:textId="77777777" w:rsidR="00A8138F" w:rsidRDefault="00A8138F" w:rsidP="00A8138F">
      <w:pPr>
        <w:pStyle w:val="TextoNormal"/>
      </w:pPr>
      <w:r>
        <w:t>La sentencia afirma la “[i]nexistencia de efecto disuasorio para el ejercicio del derecho de la libertad de información”, en aplicación de lo declarado en la STC 62/2025: “En este caso, la cantidad indemnizatoria fijada, muy alejada de la peticionada por el afectado, carece de efecto disuasorio alguno. No se aprecia que la indemnización fijada, atendida su cuantía, pueda tener un impacto en la función que le corresponde a los medios de comunicación en general de difundir informaciones”.</w:t>
      </w:r>
    </w:p>
    <w:p w14:paraId="118F3C3E" w14:textId="77777777" w:rsidR="00A8138F" w:rsidRDefault="00A8138F" w:rsidP="00A8138F">
      <w:pPr>
        <w:pStyle w:val="TextoNormal"/>
      </w:pPr>
    </w:p>
    <w:p w14:paraId="6D8CA6D8" w14:textId="77777777" w:rsidR="00A8138F" w:rsidRDefault="00A8138F" w:rsidP="00A8138F">
      <w:pPr>
        <w:pStyle w:val="TextoNormal"/>
      </w:pPr>
      <w:r>
        <w:t>En modo alguno puedo aceptar que la indemnización a cuyo abono fue condenada la demandante de amparo, sea el único elemento potencialmente disuasorio del derecho a la información de los medios de comunicación en casos como este.</w:t>
      </w:r>
    </w:p>
    <w:p w14:paraId="6941C36F" w14:textId="77777777" w:rsidR="00A8138F" w:rsidRDefault="00A8138F" w:rsidP="00A8138F">
      <w:pPr>
        <w:pStyle w:val="TextoNormal"/>
      </w:pPr>
    </w:p>
    <w:p w14:paraId="6529AD5A" w14:textId="77777777" w:rsidR="00A8138F" w:rsidRDefault="00A8138F" w:rsidP="00A8138F">
      <w:pPr>
        <w:pStyle w:val="TextoNormal"/>
      </w:pPr>
      <w:r>
        <w:t>En primer lugar y en términos generales, el ejercicio profesional de los medios de información no se encuentra únicamente condicionado por las posibles responsabilidades pecuniarias en que pudieran incurrir, sin tomar en consideración el riesgo, aun remoto, de vulneración de derechos fundamentales ajenos.</w:t>
      </w:r>
    </w:p>
    <w:p w14:paraId="239D58C9" w14:textId="77777777" w:rsidR="00A8138F" w:rsidRDefault="00A8138F" w:rsidP="00A8138F">
      <w:pPr>
        <w:pStyle w:val="TextoNormal"/>
      </w:pPr>
    </w:p>
    <w:p w14:paraId="01C24C9F" w14:textId="77777777" w:rsidR="00A8138F" w:rsidRDefault="00A8138F" w:rsidP="00A8138F">
      <w:pPr>
        <w:pStyle w:val="TextoNormal"/>
      </w:pPr>
      <w:r>
        <w:t>El efecto disuasorio del ejercicio de la libertad de información no se reduce al pago de una posible indemnización, sino que asimismo han de considerarse disuasorias otras circunstancias, tales como el coste reputacional para el medio de comunicación al que se condena como causante de una vulneración de los derechos fundamentales al honor y a la propia imagen de terceros.</w:t>
      </w:r>
    </w:p>
    <w:p w14:paraId="68CA06F5" w14:textId="77777777" w:rsidR="00A8138F" w:rsidRDefault="00A8138F" w:rsidP="00A8138F">
      <w:pPr>
        <w:pStyle w:val="TextoNormal"/>
      </w:pPr>
    </w:p>
    <w:p w14:paraId="1380C3A1" w14:textId="77777777" w:rsidR="00A8138F" w:rsidRDefault="00A8138F" w:rsidP="00A8138F">
      <w:pPr>
        <w:pStyle w:val="TextoNormal"/>
      </w:pPr>
      <w:r>
        <w:lastRenderedPageBreak/>
        <w:t>Por otro lado, la extrema dificultad que pueda suponer, en determinados casos, cumplir con el deber de diligencia tal como viene impuesto por la STC 62/2025, puede comportar el efecto disuasorio de optar por no hacer uso de las agencias de información de profesionalidad no discutida, o de retrasar en exceso la publicación mientras se desarrollan tareas de comprobación en casos, como el ahora analizado, en que no haya indicios de error o inveracidad de las noticias facilitadas por las agencias, lo que redunda en perjuicio de la inmediatez en la transmisión de la información.</w:t>
      </w:r>
    </w:p>
    <w:p w14:paraId="4CC0AE38" w14:textId="77777777" w:rsidR="00A8138F" w:rsidRDefault="00A8138F" w:rsidP="00A8138F">
      <w:pPr>
        <w:pStyle w:val="TextoNormal"/>
      </w:pPr>
    </w:p>
    <w:p w14:paraId="3B11FE8D" w14:textId="77777777" w:rsidR="00A8138F" w:rsidRDefault="00A8138F" w:rsidP="00A8138F">
      <w:pPr>
        <w:pStyle w:val="TextoNormal"/>
      </w:pPr>
      <w:r>
        <w:t>En ambos supuestos no solo se distorsiona el normal funcionamiento entre agencias de noticias y medios de comunicación, sino también se limita la difusión de noticias en detrimento de la libertad de informar y del derecho a ser informado en una sociedad democrática.</w:t>
      </w:r>
    </w:p>
    <w:p w14:paraId="2A7B7513" w14:textId="77777777" w:rsidR="00A8138F" w:rsidRDefault="00A8138F" w:rsidP="00A8138F">
      <w:pPr>
        <w:pStyle w:val="TextoNormal"/>
      </w:pPr>
    </w:p>
    <w:p w14:paraId="0FEF0DD2" w14:textId="77777777" w:rsidR="00A8138F" w:rsidRDefault="00A8138F" w:rsidP="00A8138F">
      <w:pPr>
        <w:pStyle w:val="TextoNormal"/>
      </w:pPr>
      <w:r>
        <w:t>7</w:t>
      </w:r>
      <w:r w:rsidRPr="00A8138F">
        <w:rPr>
          <w:i/>
        </w:rPr>
        <w:t>. Conclusi</w:t>
      </w:r>
      <w:r>
        <w:t>ón</w:t>
      </w:r>
    </w:p>
    <w:p w14:paraId="39891465" w14:textId="77777777" w:rsidR="00A8138F" w:rsidRDefault="00A8138F" w:rsidP="00A8138F">
      <w:pPr>
        <w:pStyle w:val="TextoNormal"/>
      </w:pPr>
    </w:p>
    <w:p w14:paraId="129551B0" w14:textId="77777777" w:rsidR="00A8138F" w:rsidRDefault="00A8138F" w:rsidP="00A8138F">
      <w:pPr>
        <w:pStyle w:val="TextoNormal"/>
      </w:pPr>
      <w:r>
        <w:t>Es sabido que la doctrina constitucional reconoce al derecho a la libertad de información una posición especial en nuestro ordenamiento, por cuanto a través de este derecho no solo se protege un interés individual, sino que entraña también el reconocimiento y garantía de la posibilidad de existencia de una opinión pública libre, indisolublemente unida al pluralismo político propio del Estado democrático.</w:t>
      </w:r>
    </w:p>
    <w:p w14:paraId="0A075EB7" w14:textId="77777777" w:rsidR="00A8138F" w:rsidRDefault="00A8138F" w:rsidP="00A8138F">
      <w:pPr>
        <w:pStyle w:val="TextoNormal"/>
      </w:pPr>
    </w:p>
    <w:p w14:paraId="788B119A" w14:textId="77777777" w:rsidR="00A8138F" w:rsidRDefault="00A8138F" w:rsidP="00A8138F">
      <w:pPr>
        <w:pStyle w:val="TextoNormal"/>
      </w:pPr>
      <w:r>
        <w:t>Estimo que las circunstancias del caso justifican que se modulara la diligencia exigible al medio de comunicación y que, en esa operación, se rechazara que la recurrente en amparo actuara de forma negligente o irresponsable por no haber contrastado las concretas imágenes en las que aparecía, en escasos cuatro segundos, el señor Opazos Menor junto a las del protagonista de la noticia, perfectamente identificado como aparente autor de los hechos y cuya imagen aparecía en la práctica totalidad del reportaje, sin olvidar que el primero reconoció en el proceso civil la dificultad de distinguir entre ambos.</w:t>
      </w:r>
    </w:p>
    <w:p w14:paraId="538C8D69" w14:textId="77777777" w:rsidR="00A8138F" w:rsidRDefault="00A8138F" w:rsidP="00A8138F">
      <w:pPr>
        <w:pStyle w:val="TextoNormal"/>
      </w:pPr>
    </w:p>
    <w:p w14:paraId="20829EBA" w14:textId="77777777" w:rsidR="00A8138F" w:rsidRDefault="00A8138F" w:rsidP="00A8138F">
      <w:pPr>
        <w:pStyle w:val="TextoNormal"/>
      </w:pPr>
      <w:r>
        <w:t>Considero que no cabe estimar, por tanto, un incumplimiento del deber de comprobación de la noticia por parte del medio de comunicación, ya que en su conjunto era veraz; el error en la inserción de las imágenes no era fácilmente perceptible y el vídeo procedía de una fuente fiable, como era una agencia de noticias solvente. A ello se añade que, una vez publicadas las imágenes, el demandante en el proceso civil no se dirigió al medio de comunicación para advertirle sobre la inexactitud de determinadas imágenes que aparecían publicadas y, de este modo, intentar su supresión antes de interponer la demanda que dio lugar al procedimiento del que trae causa este recurso de amparo.</w:t>
      </w:r>
    </w:p>
    <w:p w14:paraId="55B55453" w14:textId="77777777" w:rsidR="00A8138F" w:rsidRDefault="00A8138F" w:rsidP="00A8138F">
      <w:pPr>
        <w:pStyle w:val="TextoNormal"/>
      </w:pPr>
    </w:p>
    <w:p w14:paraId="5B33B80C" w14:textId="77777777" w:rsidR="00A8138F" w:rsidRDefault="00A8138F" w:rsidP="00A8138F">
      <w:pPr>
        <w:pStyle w:val="TextoNormal"/>
      </w:pPr>
      <w:r>
        <w:t>En consecuencia, el Tribunal debería haber concluido que se cumple en este caso el canon constitucional de veracidad en atención a la diligencia exigible en la comprobación y contraste de la noticia, al tener en cuenta: (i) la dificultad en percibir que unas concretas imágenes, que tan solo aparecían en un breve lapso de tiempo en el conjunto del vídeo, se referían a una persona distinta aunque de gran parecido físico al sujeto de la noticia, por lo que no era un error fácilmente perceptible y (ii) la confianza en la fuente, al tratarse de una agencia de información cuya solvencia y fiabilidad no se ha negado en las resoluciones judiciales.</w:t>
      </w:r>
    </w:p>
    <w:p w14:paraId="327D8E29" w14:textId="77777777" w:rsidR="00A8138F" w:rsidRDefault="00A8138F" w:rsidP="00A8138F">
      <w:pPr>
        <w:pStyle w:val="TextoNormal"/>
      </w:pPr>
    </w:p>
    <w:p w14:paraId="496548EA" w14:textId="77777777" w:rsidR="00A8138F" w:rsidRDefault="00A8138F" w:rsidP="00A8138F">
      <w:pPr>
        <w:pStyle w:val="TextoNormal"/>
      </w:pPr>
      <w:r>
        <w:t>En definitiva, la actuación de la entidad La Opinión de Málaga, S.L., debería haberse estimado amparada en su derecho fundamental a la libertad de información y, en consecuen</w:t>
      </w:r>
      <w:r>
        <w:lastRenderedPageBreak/>
        <w:t>cia, otorgado el amparo solicitado con declaración de nulidad de la sentencia impugnada, en restablecimiento del derecho a la libertad de información que entiendo ha sido lesionado.</w:t>
      </w:r>
    </w:p>
    <w:p w14:paraId="34867CF5" w14:textId="77777777" w:rsidR="00A8138F" w:rsidRDefault="00A8138F" w:rsidP="00A8138F">
      <w:pPr>
        <w:pStyle w:val="TextoNormal"/>
      </w:pPr>
    </w:p>
    <w:p w14:paraId="62489598" w14:textId="26748E4F" w:rsidR="00A8138F" w:rsidRDefault="00A8138F" w:rsidP="00A8138F">
      <w:pPr>
        <w:pStyle w:val="TextoNormal"/>
      </w:pPr>
      <w:r>
        <w:t>Madrid, a siete de abril de dos mil veinticinco.</w:t>
      </w:r>
    </w:p>
    <w:p w14:paraId="4AFAEBAE" w14:textId="77777777" w:rsidR="00A8138F" w:rsidRDefault="00A8138F" w:rsidP="00A8138F">
      <w:pPr>
        <w:pStyle w:val="TextoNormal"/>
      </w:pPr>
    </w:p>
    <w:p w14:paraId="03243B61" w14:textId="77777777" w:rsidR="00A8138F" w:rsidRDefault="00A8138F" w:rsidP="00A8138F">
      <w:pPr>
        <w:pStyle w:val="TextoNormalNegritaCentrado"/>
        <w:keepNext/>
      </w:pPr>
      <w:r>
        <w:t>Voto particular que formula el magistrado don Juan Carlos Campo Moreno a la sentencia dictada en el recurso de amparo núm. 7510-2023</w:t>
      </w:r>
    </w:p>
    <w:p w14:paraId="31C00D75" w14:textId="2FD11520" w:rsidR="00A8138F" w:rsidRDefault="00A8138F" w:rsidP="00A8138F">
      <w:pPr>
        <w:pStyle w:val="TextoNormalNegritaCentrado"/>
        <w:keepNext/>
      </w:pPr>
    </w:p>
    <w:p w14:paraId="2FFC7100" w14:textId="77777777" w:rsidR="00A8138F" w:rsidRDefault="00A8138F" w:rsidP="00A8138F">
      <w:pPr>
        <w:pStyle w:val="TextoNormal"/>
      </w:pPr>
      <w:r>
        <w:t>En ejercicio de la facultad que me confiere el art. 90.2 LOTC, y con total respeto a la opinión de la mayoría reflejada en la sentencia, formulo el presente voto particular.</w:t>
      </w:r>
    </w:p>
    <w:p w14:paraId="2F347FDF" w14:textId="77777777" w:rsidR="00A8138F" w:rsidRDefault="00A8138F" w:rsidP="00A8138F">
      <w:pPr>
        <w:pStyle w:val="TextoNormal"/>
      </w:pPr>
    </w:p>
    <w:p w14:paraId="4A35F122" w14:textId="77777777" w:rsidR="00A8138F" w:rsidRDefault="00A8138F" w:rsidP="00A8138F">
      <w:pPr>
        <w:pStyle w:val="TextoNormal"/>
      </w:pPr>
      <w:r>
        <w:t>En la medida en que la ponencia es de remisión a la sentencia que resolvió el recurso de amparo núm. 6890-2023, este voto, parcialmente discrepante, se remite en su integridad al que formulé a la STC 62/2025 (del Pleno).</w:t>
      </w:r>
    </w:p>
    <w:p w14:paraId="01BDC19D" w14:textId="77777777" w:rsidR="00A8138F" w:rsidRDefault="00A8138F" w:rsidP="00A8138F">
      <w:pPr>
        <w:pStyle w:val="TextoNormal"/>
      </w:pPr>
    </w:p>
    <w:p w14:paraId="2A21AC8A" w14:textId="67B95629" w:rsidR="00A8138F" w:rsidRDefault="00A8138F" w:rsidP="00A8138F">
      <w:pPr>
        <w:pStyle w:val="TextoNormal"/>
      </w:pPr>
      <w:r>
        <w:t>Madrid, a siete de abril de dos mil veinticinco.</w:t>
      </w:r>
    </w:p>
    <w:p w14:paraId="34BF9EB4" w14:textId="36381DCF" w:rsidR="00A8138F" w:rsidRDefault="00A8138F">
      <w:pPr>
        <w:spacing w:after="160" w:line="278" w:lineRule="auto"/>
        <w:rPr>
          <w:rFonts w:ascii="Times New Roman" w:eastAsia="Times New Roman" w:hAnsi="Times New Roman" w:cs="Times New Roman"/>
          <w:sz w:val="24"/>
          <w:szCs w:val="24"/>
          <w:lang w:eastAsia="es-ES"/>
        </w:rPr>
      </w:pPr>
      <w:r>
        <w:br w:type="page"/>
      </w:r>
    </w:p>
    <w:p w14:paraId="0A82C78B" w14:textId="77777777" w:rsidR="00A8138F" w:rsidRDefault="00A8138F" w:rsidP="00A8138F">
      <w:pPr>
        <w:pStyle w:val="TtuloResolucin"/>
      </w:pPr>
      <w:bookmarkStart w:id="90" w:name="SENTENCIA_2025_88"/>
      <w:r>
        <w:lastRenderedPageBreak/>
        <w:t>SENTENCIA 88/2025, de 7 de abril de 2025</w:t>
      </w:r>
    </w:p>
    <w:bookmarkEnd w:id="90"/>
    <w:p w14:paraId="664CDA63" w14:textId="77777777" w:rsidR="00A8138F" w:rsidRDefault="00A8138F" w:rsidP="00A8138F">
      <w:pPr>
        <w:pStyle w:val="TtuloResolucin"/>
      </w:pPr>
      <w:r>
        <w:t>Sala Primera</w:t>
      </w:r>
    </w:p>
    <w:p w14:paraId="0D1FA82B" w14:textId="77777777" w:rsidR="00A8138F" w:rsidRDefault="00A8138F" w:rsidP="00A8138F">
      <w:pPr>
        <w:pStyle w:val="TtuloBOE"/>
      </w:pPr>
      <w:r>
        <w:t>(BOE núm. 117, de 15 de mayo de 2025)</w:t>
      </w:r>
    </w:p>
    <w:p w14:paraId="48F5919F" w14:textId="77777777" w:rsidR="00A8138F" w:rsidRDefault="00A8138F" w:rsidP="00A8138F">
      <w:pPr>
        <w:pStyle w:val="TextoNormalCentrado"/>
      </w:pPr>
      <w:r>
        <w:t>ECLI:ES:TC:2025:88</w:t>
      </w:r>
    </w:p>
    <w:p w14:paraId="4C51F62B" w14:textId="7F5DB4FF" w:rsidR="00A8138F" w:rsidRDefault="00A8138F" w:rsidP="00A8138F">
      <w:pPr>
        <w:pStyle w:val="TextoNormalCentrado"/>
      </w:pPr>
    </w:p>
    <w:p w14:paraId="6AD62480" w14:textId="77777777" w:rsidR="00A8138F" w:rsidRDefault="00A8138F" w:rsidP="00A8138F">
      <w:pPr>
        <w:pStyle w:val="SntesisDescriptiva"/>
      </w:pPr>
      <w:r>
        <w:t>Recurso de amparo 5220-2024. Promovido por doña Ana Migallón Fernández en relación con las resoluciones administrativas y judiciales que desestimaron su petición de revisión y ampliación de la prestación por nacimiento y cuidado de hijo menor, como madre biológica de familia monoparental.</w:t>
      </w:r>
    </w:p>
    <w:p w14:paraId="413CBED7" w14:textId="7C58843D" w:rsidR="00A8138F" w:rsidRDefault="00A8138F" w:rsidP="00A8138F">
      <w:pPr>
        <w:pStyle w:val="SntesisDescriptiva"/>
      </w:pPr>
    </w:p>
    <w:p w14:paraId="05EB50A4"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266A17F" w14:textId="0500ACA1" w:rsidR="00A8138F" w:rsidRDefault="00A8138F" w:rsidP="00A8138F">
      <w:pPr>
        <w:pStyle w:val="SntesisAnaltica"/>
      </w:pPr>
    </w:p>
    <w:p w14:paraId="00A48AAD" w14:textId="4368BAD5"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1F81571" w14:textId="77777777" w:rsidR="00A8138F" w:rsidRDefault="00A8138F" w:rsidP="00A8138F">
      <w:pPr>
        <w:pStyle w:val="Extracto"/>
      </w:pPr>
    </w:p>
    <w:p w14:paraId="5C2B81D4" w14:textId="77777777" w:rsidR="00A8138F" w:rsidRDefault="00A8138F" w:rsidP="00A8138F">
      <w:pPr>
        <w:pStyle w:val="Extracto"/>
      </w:pPr>
    </w:p>
    <w:p w14:paraId="38F9F8E6"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A161A5C" w14:textId="5DDB1679" w:rsidR="00A8138F" w:rsidRDefault="00A8138F" w:rsidP="00A8138F">
      <w:pPr>
        <w:pStyle w:val="TextoNormal"/>
      </w:pPr>
    </w:p>
    <w:p w14:paraId="69352B50" w14:textId="77777777" w:rsidR="00A8138F" w:rsidRDefault="00A8138F" w:rsidP="00A8138F">
      <w:pPr>
        <w:pStyle w:val="TextoNormalCentrado"/>
        <w:keepNext/>
      </w:pPr>
      <w:r>
        <w:t>EN NOMBRE DEL REY</w:t>
      </w:r>
    </w:p>
    <w:p w14:paraId="27E039D2" w14:textId="6016E3FC" w:rsidR="00A8138F" w:rsidRDefault="00A8138F" w:rsidP="00A8138F">
      <w:pPr>
        <w:pStyle w:val="TextoNormalCentrado"/>
        <w:keepNext/>
      </w:pPr>
    </w:p>
    <w:p w14:paraId="15963826" w14:textId="77777777" w:rsidR="00A8138F" w:rsidRDefault="00A8138F" w:rsidP="00A8138F">
      <w:pPr>
        <w:pStyle w:val="TextoNormalCentrado"/>
        <w:keepNext/>
      </w:pPr>
    </w:p>
    <w:p w14:paraId="1415CCD3" w14:textId="77777777" w:rsidR="00A8138F" w:rsidRDefault="00A8138F" w:rsidP="00A8138F">
      <w:pPr>
        <w:pStyle w:val="TextoNormal"/>
      </w:pPr>
      <w:r>
        <w:t>la siguiente</w:t>
      </w:r>
    </w:p>
    <w:p w14:paraId="2CCF252E" w14:textId="21D21900" w:rsidR="00A8138F" w:rsidRDefault="00A8138F" w:rsidP="00A8138F">
      <w:pPr>
        <w:pStyle w:val="TextoNormal"/>
      </w:pPr>
    </w:p>
    <w:p w14:paraId="16EF24FE" w14:textId="77777777" w:rsidR="00A8138F" w:rsidRDefault="00A8138F" w:rsidP="00A8138F">
      <w:pPr>
        <w:pStyle w:val="TextoNormalCentrado"/>
        <w:keepNext/>
      </w:pPr>
      <w:r>
        <w:t>SENTENCIA</w:t>
      </w:r>
    </w:p>
    <w:p w14:paraId="0676DBB4" w14:textId="18D74E9A" w:rsidR="00A8138F" w:rsidRDefault="00A8138F" w:rsidP="00A8138F">
      <w:pPr>
        <w:pStyle w:val="TextoNormalCentrado"/>
        <w:keepNext/>
      </w:pPr>
    </w:p>
    <w:p w14:paraId="723A17C0" w14:textId="77777777" w:rsidR="00A8138F" w:rsidRDefault="00A8138F" w:rsidP="00A8138F">
      <w:pPr>
        <w:pStyle w:val="TextoNormal"/>
      </w:pPr>
      <w:r>
        <w:t>En el recurso de amparo núm. 5220-2024, promovido por doña Ana Migallón Fernández contra la resolución de la Dirección Provincial de Madrid del Instituto Nacional de la Seguridad Social de 12 de enero de 2022, sobre prestación por nacimiento y cuidado de hijo como madre biológica de familia monoparental, expediente núm. 28-2022-004701-42, confirmada por desestimación presunta de la reclamación previa formulada; la sentencia núm. 326/2022, de 18 de octubre, del Juzgado de lo Social núm. 18 de Madrid dictada en los autos núm. 413-2022; la sentencia núm. 376/2023, de 28 de abril, de la Sección Tercera de la Sala de lo Social del Tribunal Superior de Justicia de Madrid dictada en el recurso de suplicación núm. 1409-2022; y el auto de la Sala de lo Social del Tribunal Supremo de 29 de mayo de 2024 dictado en el recurso de casación para la unificación de doctrina núm. 3177-2023. Ha comparecido la letrada de la administración de la Seguridad Social, en nombre del Instituto Nacional de la Seguridad Social y la Tesorería General de la Seguridad Social. Ha interve</w:t>
      </w:r>
      <w:r>
        <w:lastRenderedPageBreak/>
        <w:t>nido el Ministerio Fiscal. Ha sido ponente la magistrada doña María Luisa Segoviano Astaburuaga.</w:t>
      </w:r>
    </w:p>
    <w:p w14:paraId="2F5C7FF5" w14:textId="1F4341A5" w:rsidR="00A8138F" w:rsidRDefault="00A8138F" w:rsidP="00A8138F">
      <w:pPr>
        <w:pStyle w:val="TextoNormal"/>
      </w:pPr>
    </w:p>
    <w:p w14:paraId="3DF99830" w14:textId="77777777" w:rsidR="00A8138F" w:rsidRDefault="00A8138F" w:rsidP="00A8138F">
      <w:pPr>
        <w:pStyle w:val="TextoNormalNegritaCentrado"/>
        <w:keepNext/>
      </w:pPr>
      <w:r>
        <w:t>I. Antecedentes</w:t>
      </w:r>
    </w:p>
    <w:p w14:paraId="629D9CBC" w14:textId="5392B369" w:rsidR="00A8138F" w:rsidRDefault="00A8138F" w:rsidP="00A8138F">
      <w:pPr>
        <w:pStyle w:val="TextoNormalNegritaCentrado"/>
        <w:keepNext/>
      </w:pPr>
    </w:p>
    <w:p w14:paraId="3C9104D1" w14:textId="227EF2D8" w:rsidR="00A8138F" w:rsidRDefault="00A8138F" w:rsidP="00A8138F">
      <w:pPr>
        <w:pStyle w:val="TextoNormal"/>
      </w:pPr>
      <w:r w:rsidRPr="00A8138F">
        <w:rPr>
          <w:rStyle w:val="NumeroAFNegritaCaracter"/>
        </w:rPr>
        <w:t>1</w:t>
      </w:r>
      <w:r>
        <w:t>. Mediante escrito registrado en el Tribunal el 4 de julio de 2024, la procuradora de los tribunales doña Ana María Gallardo Roncero, en nombre y representación de doña Ana Migallón Fernández, bajo la dirección letrada de don Roberto Mangas Moreno, interpuso recurso de amparo contra la decisión administrativa y las resoluciones judiciales a las que se ha hecho referencia en el encabezamiento de esta sentencia.</w:t>
      </w:r>
    </w:p>
    <w:p w14:paraId="0829FC0E" w14:textId="77777777" w:rsidR="00A8138F" w:rsidRDefault="00A8138F" w:rsidP="00A8138F">
      <w:pPr>
        <w:pStyle w:val="TextoNormal"/>
      </w:pPr>
    </w:p>
    <w:p w14:paraId="2B222BDF" w14:textId="77777777" w:rsidR="00A8138F" w:rsidRDefault="00A8138F" w:rsidP="00A8138F">
      <w:pPr>
        <w:pStyle w:val="TextoNormal"/>
      </w:pPr>
      <w:r w:rsidRPr="00A8138F">
        <w:rPr>
          <w:rStyle w:val="NumeroAFNegritaCaracter"/>
        </w:rPr>
        <w:t>2</w:t>
      </w:r>
      <w:r>
        <w:t>. El recurso tiene su origen en los siguientes antecedentes:</w:t>
      </w:r>
    </w:p>
    <w:p w14:paraId="023D1B30" w14:textId="77777777" w:rsidR="00A8138F" w:rsidRDefault="00A8138F" w:rsidP="00A8138F">
      <w:pPr>
        <w:pStyle w:val="TextoNormal"/>
      </w:pPr>
    </w:p>
    <w:p w14:paraId="01B09FE8" w14:textId="77777777" w:rsidR="00A8138F" w:rsidRDefault="00A8138F" w:rsidP="00A8138F">
      <w:pPr>
        <w:pStyle w:val="TextoNormal"/>
      </w:pPr>
      <w:r>
        <w:t>a) La demandante fue madre de una niña el 12 de noviembre de 2021 con la que formaba una familia monoparental. Mediante resolución de la Dirección Provincial de Madrid del Instituto Nacional de la Seguridad Social (INSS) de 12 de enero de 2022, pronunciada en el expediente núm. 28-2022-004701-42, obtuvo la prestación por nacimiento y cuidado de su hija menor durante dieciséis semanas [art. 177 de la Ley general de la Seguridad Social (LGSS)]. La demandante formuló reclamación previa contra dicha resolución alegando que era precisa la ampliación de la prestación por dieciséis semanas adicionales, que es el plazo que hubiera correspondido al segundo progenitor en el supuesto de una familia biparental. La reclamación previa no fue resuelta en plazo.</w:t>
      </w:r>
    </w:p>
    <w:p w14:paraId="636F52A2" w14:textId="77777777" w:rsidR="00A8138F" w:rsidRDefault="00A8138F" w:rsidP="00A8138F">
      <w:pPr>
        <w:pStyle w:val="TextoNormal"/>
      </w:pPr>
    </w:p>
    <w:p w14:paraId="6EC6D4E3" w14:textId="77777777" w:rsidR="00A8138F" w:rsidRDefault="00A8138F" w:rsidP="00A8138F">
      <w:pPr>
        <w:pStyle w:val="TextoNormal"/>
      </w:pPr>
      <w:r>
        <w:t>b) La demandante formuló demanda ante el Juzgado de lo Social núm. 18 de Madrid, dando lugar al procedimiento núm. 413-2022, invocando, entre otros motivos, la vulneración del art. 14 CE. Fue desestimada por la sentencia núm. 326/2022, de 18 de octubre, por considerar que lo que se estaba planteando era una discriminación por indiferenciación, lo que es ajeno al ámbito de protección del art. 14 CE.</w:t>
      </w:r>
    </w:p>
    <w:p w14:paraId="62DB8340" w14:textId="77777777" w:rsidR="00A8138F" w:rsidRDefault="00A8138F" w:rsidP="00A8138F">
      <w:pPr>
        <w:pStyle w:val="TextoNormal"/>
      </w:pPr>
    </w:p>
    <w:p w14:paraId="2F02C49F" w14:textId="77777777" w:rsidR="00A8138F" w:rsidRDefault="00A8138F" w:rsidP="00A8138F">
      <w:pPr>
        <w:pStyle w:val="TextoNormal"/>
      </w:pPr>
      <w:r>
        <w:t>c) La demandante interpuso recurso de suplicación, con invocación del art. 14 CE, ante la Sección Tercera de la Sala de lo Social del Tribunal Superior de Justicia de Madrid, tramitado con el núm. 1409-2022. Fue desestimado por la sentencia núm. 376/2023, de 28 de abril, que confirmó en su integridad la sentencia de instancia.</w:t>
      </w:r>
    </w:p>
    <w:p w14:paraId="19244132" w14:textId="77777777" w:rsidR="00A8138F" w:rsidRDefault="00A8138F" w:rsidP="00A8138F">
      <w:pPr>
        <w:pStyle w:val="TextoNormal"/>
      </w:pPr>
    </w:p>
    <w:p w14:paraId="0D37E4B6" w14:textId="75D865D6" w:rsidR="00A8138F" w:rsidRDefault="00A8138F" w:rsidP="00A8138F">
      <w:pPr>
        <w:pStyle w:val="TextoNormal"/>
      </w:pPr>
      <w:r>
        <w:t>d) La demandante interpuso recurso de casación para la unificación de doctrina, con invocación del art. 14 CE, ante la Sala de lo Social del Tribunal Supremo, tramitado con el núm. 3177-2023. Fue inadmitido mediante auto de 29 de mayo de 2024 por falta de contenido casacional.</w:t>
      </w:r>
    </w:p>
    <w:p w14:paraId="4D63C8B2" w14:textId="77777777" w:rsidR="00A8138F" w:rsidRDefault="00A8138F" w:rsidP="00A8138F">
      <w:pPr>
        <w:pStyle w:val="TextoNormal"/>
      </w:pPr>
    </w:p>
    <w:p w14:paraId="549B59E1" w14:textId="77777777" w:rsidR="00A8138F" w:rsidRDefault="00A8138F" w:rsidP="00A8138F">
      <w:pPr>
        <w:pStyle w:val="TextoNormal"/>
      </w:pPr>
      <w:r w:rsidRPr="00A8138F">
        <w:rPr>
          <w:rStyle w:val="NumeroAFNegritaCaracter"/>
        </w:rPr>
        <w:t>3</w:t>
      </w:r>
      <w:r>
        <w:t>. La demandante, con invocación del art. 14 CE, recurre en amparo la decisión administrativa de denegar la ampliación de la prestación por nacimiento y cuidado de hija menor, como madre biológica de familia monoparental, y la confirmación judicial de esa decisión en todas las instancias, solicitando la nulidad de todas ellas con retroacción de actuaciones al momento previo al dictado de la resolución del INSS de 12 de enero de 2022 para que se dicte otra respetuosa con el derecho fundamental invocado.</w:t>
      </w:r>
    </w:p>
    <w:p w14:paraId="6D60A97C" w14:textId="77777777" w:rsidR="00A8138F" w:rsidRDefault="00A8138F" w:rsidP="00A8138F">
      <w:pPr>
        <w:pStyle w:val="TextoNormal"/>
      </w:pPr>
    </w:p>
    <w:p w14:paraId="11AD3753" w14:textId="77777777" w:rsidR="00A8138F" w:rsidRDefault="00A8138F" w:rsidP="00A8138F">
      <w:pPr>
        <w:pStyle w:val="TextoNormal"/>
      </w:pPr>
      <w:r>
        <w:lastRenderedPageBreak/>
        <w:t>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14:paraId="78E045FF" w14:textId="77777777" w:rsidR="00A8138F" w:rsidRDefault="00A8138F" w:rsidP="00A8138F">
      <w:pPr>
        <w:pStyle w:val="TextoNormal"/>
      </w:pPr>
    </w:p>
    <w:p w14:paraId="7CDB76F9" w14:textId="09D91734" w:rsidR="00A8138F" w:rsidRDefault="00A8138F" w:rsidP="00A8138F">
      <w:pPr>
        <w:pStyle w:val="TextoNormal"/>
      </w:pPr>
      <w:r>
        <w:t>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w:t>
      </w:r>
    </w:p>
    <w:p w14:paraId="25A368D9" w14:textId="77777777" w:rsidR="00A8138F" w:rsidRDefault="00A8138F" w:rsidP="00A8138F">
      <w:pPr>
        <w:pStyle w:val="TextoNormal"/>
      </w:pPr>
    </w:p>
    <w:p w14:paraId="7F8AC793" w14:textId="1CB993CE" w:rsidR="00A8138F" w:rsidRDefault="00A8138F" w:rsidP="00A8138F">
      <w:pPr>
        <w:pStyle w:val="TextoNormal"/>
      </w:pPr>
      <w:r w:rsidRPr="00A8138F">
        <w:rPr>
          <w:rStyle w:val="NumeroAFNegritaCaracter"/>
        </w:rPr>
        <w:t>4</w:t>
      </w:r>
      <w:r>
        <w:t>. La Sección Primera del Tribunal, por providencia de 2 de diciembre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14:paraId="2FBCEDC0" w14:textId="77777777" w:rsidR="00A8138F" w:rsidRDefault="00A8138F" w:rsidP="00A8138F">
      <w:pPr>
        <w:pStyle w:val="TextoNormal"/>
      </w:pPr>
    </w:p>
    <w:p w14:paraId="6E98DCA1" w14:textId="3572AF0B" w:rsidR="00A8138F" w:rsidRDefault="00A8138F" w:rsidP="00A8138F">
      <w:pPr>
        <w:pStyle w:val="TextoNormal"/>
      </w:pPr>
      <w:r w:rsidRPr="00A8138F">
        <w:rPr>
          <w:rStyle w:val="NumeroAFNegritaCaracter"/>
        </w:rPr>
        <w:t>5</w:t>
      </w:r>
      <w:r>
        <w:t>. La Secretaría de Justicia de la Sala Primera del Tribunal, por diligencia de ordenación de 3 de febrero de 2025, tuvo por recibido el testimonio de las actuaciones y por personada y parte a la letrada de la Administración de la Seguridad Social en nombre del INSS y la Tesorería General de la Seguridad Social; y acordó dar vista de las actuaciones a las partes personadas y al Ministerio Fiscal, por plazo común de veinte días, a fin de que, conforme con lo previsto en el art. 52 de la Ley Orgánica del Tribunal Constitucional, pudieran presentar alegaciones.</w:t>
      </w:r>
    </w:p>
    <w:p w14:paraId="491F1233" w14:textId="77777777" w:rsidR="00A8138F" w:rsidRDefault="00A8138F" w:rsidP="00A8138F">
      <w:pPr>
        <w:pStyle w:val="TextoNormal"/>
      </w:pPr>
    </w:p>
    <w:p w14:paraId="1B17C4CF" w14:textId="77777777" w:rsidR="00A8138F" w:rsidRDefault="00A8138F" w:rsidP="00A8138F">
      <w:pPr>
        <w:pStyle w:val="TextoNormal"/>
      </w:pPr>
      <w:r w:rsidRPr="00A8138F">
        <w:rPr>
          <w:rStyle w:val="NumeroAFNegritaCaracter"/>
        </w:rPr>
        <w:t>6</w:t>
      </w:r>
      <w:r>
        <w:t>. El Ministerio Fiscal, mediante escrito registrado el 19 de marzo de 2025, presentó alegaciones interesando la estimación del recurso de amparo por vulneración del derecho fundamental a la igualdad ante la ley sin discriminación por razón de nacimiento (art. 14 CE), para cuyo restablecimiento insta que se declare la nulidad de las resoluciones administrativas y judiciales impugnadas en amparo con retroacción de actuaciones al momento de dictar la resolución administrativa a fin de que, en los términos expuestos en la STC 140/2024, de 6 de noviembre, se dicte otra respetuosa con el derecho fundamental vulnerado.</w:t>
      </w:r>
    </w:p>
    <w:p w14:paraId="062E0995" w14:textId="77777777" w:rsidR="00A8138F" w:rsidRDefault="00A8138F" w:rsidP="00A8138F">
      <w:pPr>
        <w:pStyle w:val="TextoNormal"/>
      </w:pPr>
    </w:p>
    <w:p w14:paraId="43B93247" w14:textId="6B3DAA1C" w:rsidR="00A8138F" w:rsidRDefault="00A8138F" w:rsidP="00A8138F">
      <w:pPr>
        <w:pStyle w:val="TextoNormal"/>
      </w:pPr>
      <w: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que “procede la estimación del recurso, pues al aplicar los mencionados artículos luego declarados inconstitucionales, negando la ampliación de la prestación para el cuidado de su </w:t>
      </w:r>
      <w:r>
        <w:lastRenderedPageBreak/>
        <w:t>hija recién nacida, las resoluciones impugnadas, tanto administrativas como judiciales confirmatorias de aquellas, han vulnerado el derecho de la recurrente a la igualdad ante la ley sin discriminación (art. 14 CE) por razón del nacimiento de su hija menor en el seno de una familia monoparental”.</w:t>
      </w:r>
    </w:p>
    <w:p w14:paraId="0AC1BA82" w14:textId="77777777" w:rsidR="00A8138F" w:rsidRDefault="00A8138F" w:rsidP="00A8138F">
      <w:pPr>
        <w:pStyle w:val="TextoNormal"/>
      </w:pPr>
    </w:p>
    <w:p w14:paraId="7CE8563D" w14:textId="1A033FE1" w:rsidR="00A8138F" w:rsidRDefault="00A8138F" w:rsidP="00A8138F">
      <w:pPr>
        <w:pStyle w:val="TextoNormal"/>
      </w:pPr>
      <w:r w:rsidRPr="00A8138F">
        <w:rPr>
          <w:rStyle w:val="NumeroAFNegritaCaracter"/>
        </w:rPr>
        <w:t>7</w:t>
      </w:r>
      <w:r>
        <w:t>. La administración de la Seguridad Social, por escrito registrado el 26 de febrero de 2025, presentó alegaciones solicitando, a la vista de la jurisprudencia establecida en la STC 140/2024, de 6 de noviembre, en la que se acuerda la inconstitucionalidad —sin nulidad— de los arts. 48.4 LET y 177 LGSS, que en caso de estimación del amparo “se habrá de tener en cuenta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presta[r] servicios por cuenta ajena ni percibir las correspondientes retribuciones”.</w:t>
      </w:r>
    </w:p>
    <w:p w14:paraId="32A6DCDC" w14:textId="77777777" w:rsidR="00A8138F" w:rsidRDefault="00A8138F" w:rsidP="00A8138F">
      <w:pPr>
        <w:pStyle w:val="TextoNormal"/>
      </w:pPr>
    </w:p>
    <w:p w14:paraId="5F720876" w14:textId="34BB7FB1" w:rsidR="00A8138F" w:rsidRDefault="00A8138F" w:rsidP="00A8138F">
      <w:pPr>
        <w:pStyle w:val="TextoNormal"/>
      </w:pPr>
      <w:r w:rsidRPr="00A8138F">
        <w:rPr>
          <w:rStyle w:val="NumeroAFNegritaCaracter"/>
        </w:rPr>
        <w:t>8</w:t>
      </w:r>
      <w:r>
        <w:t>. La demandante de amparo no presentó alegaciones.</w:t>
      </w:r>
    </w:p>
    <w:p w14:paraId="6643661E" w14:textId="77777777" w:rsidR="00A8138F" w:rsidRDefault="00A8138F" w:rsidP="00A8138F">
      <w:pPr>
        <w:pStyle w:val="TextoNormal"/>
      </w:pPr>
    </w:p>
    <w:p w14:paraId="2E7C6745" w14:textId="75927DDB" w:rsidR="00A8138F" w:rsidRDefault="00A8138F" w:rsidP="00A8138F">
      <w:pPr>
        <w:pStyle w:val="TextoNormal"/>
      </w:pPr>
      <w:r w:rsidRPr="00A8138F">
        <w:rPr>
          <w:rStyle w:val="NumeroAFNegritaCaracter"/>
        </w:rPr>
        <w:t>9</w:t>
      </w:r>
      <w:r>
        <w:t>. Por providencia de 3 de abril de 2025 se señaló para deliberación y votación de la presente sentencia el día 7 del mismo mes y año.</w:t>
      </w:r>
    </w:p>
    <w:p w14:paraId="00D75FF4" w14:textId="77777777" w:rsidR="00A8138F" w:rsidRDefault="00A8138F" w:rsidP="00A8138F">
      <w:pPr>
        <w:pStyle w:val="TextoNormal"/>
      </w:pPr>
    </w:p>
    <w:p w14:paraId="6230678B" w14:textId="77777777" w:rsidR="00A8138F" w:rsidRDefault="00A8138F" w:rsidP="00A8138F">
      <w:pPr>
        <w:pStyle w:val="TextoNormalNegritaCentrado"/>
        <w:keepNext/>
      </w:pPr>
      <w:r>
        <w:t>II. Fundamentos jurídicos</w:t>
      </w:r>
    </w:p>
    <w:p w14:paraId="5714FE07" w14:textId="5B6238F8" w:rsidR="00A8138F" w:rsidRDefault="00A8138F" w:rsidP="00A8138F">
      <w:pPr>
        <w:pStyle w:val="TextoNormalNegritaCentrado"/>
        <w:keepNext/>
      </w:pPr>
    </w:p>
    <w:p w14:paraId="49F9A187"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61CD5CD4" w14:textId="77777777" w:rsidR="00A8138F" w:rsidRDefault="00A8138F" w:rsidP="00A8138F">
      <w:pPr>
        <w:pStyle w:val="TextoNormal"/>
      </w:pPr>
    </w:p>
    <w:p w14:paraId="1F8EEC04" w14:textId="279E0719" w:rsidR="00A8138F" w:rsidRDefault="00A8138F" w:rsidP="00A8138F">
      <w:pPr>
        <w:pStyle w:val="TextoNormal"/>
      </w:pPr>
      <w:r>
        <w:t>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65C9891F" w14:textId="77777777" w:rsidR="00A8138F" w:rsidRDefault="00A8138F" w:rsidP="00A8138F">
      <w:pPr>
        <w:pStyle w:val="TextoNormal"/>
      </w:pPr>
    </w:p>
    <w:p w14:paraId="727659BB"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312E5120" w14:textId="77777777" w:rsidR="00A8138F" w:rsidRDefault="00A8138F" w:rsidP="00A8138F">
      <w:pPr>
        <w:pStyle w:val="TextoNormal"/>
      </w:pPr>
    </w:p>
    <w:p w14:paraId="4E726642" w14:textId="77777777" w:rsidR="00A8138F" w:rsidRDefault="00A8138F" w:rsidP="00A8138F">
      <w:pPr>
        <w:pStyle w:val="TextoNormal"/>
      </w:pPr>
      <w:r>
        <w:t>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7A8897FD" w14:textId="77777777" w:rsidR="00A8138F" w:rsidRDefault="00A8138F" w:rsidP="00A8138F">
      <w:pPr>
        <w:pStyle w:val="TextoNormal"/>
      </w:pPr>
    </w:p>
    <w:p w14:paraId="26BD2932"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w:t>
      </w:r>
      <w:r>
        <w:lastRenderedPageBreak/>
        <w:t>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D7975FD" w14:textId="77777777" w:rsidR="00A8138F" w:rsidRDefault="00A8138F" w:rsidP="00A8138F">
      <w:pPr>
        <w:pStyle w:val="TextoNormal"/>
      </w:pPr>
    </w:p>
    <w:p w14:paraId="06DF3453"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2A5B8ECE" w14:textId="77777777" w:rsidR="00A8138F" w:rsidRDefault="00A8138F" w:rsidP="00A8138F">
      <w:pPr>
        <w:pStyle w:val="TextoNormal"/>
      </w:pPr>
    </w:p>
    <w:p w14:paraId="77119AD2" w14:textId="709D43AB" w:rsidR="00A8138F" w:rsidRDefault="00A8138F" w:rsidP="00A8138F">
      <w:pPr>
        <w:pStyle w:val="TextoNormal"/>
      </w:pPr>
      <w:r>
        <w:t>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348A7714" w14:textId="77777777" w:rsidR="00A8138F" w:rsidRDefault="00A8138F" w:rsidP="00A8138F">
      <w:pPr>
        <w:pStyle w:val="TextoNormal"/>
      </w:pPr>
    </w:p>
    <w:p w14:paraId="14F9D2D7" w14:textId="77777777" w:rsidR="00A8138F" w:rsidRDefault="00A8138F" w:rsidP="00A8138F">
      <w:pPr>
        <w:pStyle w:val="TextoNormalCentrado"/>
        <w:keepNext/>
      </w:pPr>
      <w:r>
        <w:t>FALLO</w:t>
      </w:r>
    </w:p>
    <w:p w14:paraId="0C6D4F10" w14:textId="587ED68D" w:rsidR="00A8138F" w:rsidRDefault="00A8138F" w:rsidP="00A8138F">
      <w:pPr>
        <w:pStyle w:val="TextoNormalCentrado"/>
        <w:keepNext/>
      </w:pPr>
    </w:p>
    <w:p w14:paraId="67C54FF0"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Ana Migallón Fernández y, en su virtud:</w:t>
      </w:r>
    </w:p>
    <w:p w14:paraId="56A271F0" w14:textId="77777777" w:rsidR="00A8138F" w:rsidRDefault="00A8138F" w:rsidP="00A8138F">
      <w:pPr>
        <w:pStyle w:val="TextoNormal"/>
      </w:pPr>
    </w:p>
    <w:p w14:paraId="4B9907CE" w14:textId="77777777" w:rsidR="00A8138F" w:rsidRDefault="00A8138F" w:rsidP="00A8138F">
      <w:pPr>
        <w:pStyle w:val="TextoNormal"/>
      </w:pPr>
      <w:r>
        <w:t>1º Declarar que se ha vulnerado el derecho fundamental a la igualdad ante la ley sin que proceda discriminación por razón de nacimiento (art. 14 CE).</w:t>
      </w:r>
    </w:p>
    <w:p w14:paraId="03E9B816" w14:textId="77777777" w:rsidR="00A8138F" w:rsidRDefault="00A8138F" w:rsidP="00A8138F">
      <w:pPr>
        <w:pStyle w:val="TextoNormal"/>
      </w:pPr>
    </w:p>
    <w:p w14:paraId="5FC94A14" w14:textId="77777777" w:rsidR="00A8138F" w:rsidRDefault="00A8138F" w:rsidP="00A8138F">
      <w:pPr>
        <w:pStyle w:val="TextoNormal"/>
      </w:pPr>
      <w:r>
        <w:t>2º Restablecer a la recurrente en su derecho y, a tal fin, declarar la nulidad de la resolución de la Dirección Provincial de Madrid del Instituto Nacional de la Seguridad Social de 12 de enero de 2022, pronunciada en el expediente núm. 28-2022-004701-42; la sentencia núm. 326/2022, de 18 de octubre, del Juzgado de lo Social núm. 18 de Madrid, pronunciada en el procedimiento núm. 413-2022; la sentencia de la Sección Tercera de la Sala de lo Social del Tribunal Superior de Justicia de Madrid núm. 376/2023, de 28 de abril, pronun</w:t>
      </w:r>
      <w:r>
        <w:lastRenderedPageBreak/>
        <w:t>ciada en el recurso de suplicación núm. 1409-2022; y el auto de la Sala de lo Social del Tribunal Supremo de 29 de mayo de 2024, pronunciado en el recurso de casación para la unificación de doctrina núm. 3177-2023.</w:t>
      </w:r>
    </w:p>
    <w:p w14:paraId="5586F500" w14:textId="77777777" w:rsidR="00A8138F" w:rsidRDefault="00A8138F" w:rsidP="00A8138F">
      <w:pPr>
        <w:pStyle w:val="TextoNormal"/>
      </w:pPr>
    </w:p>
    <w:p w14:paraId="4BCB3BB2" w14:textId="6B58621D" w:rsidR="00A8138F" w:rsidRDefault="00A8138F" w:rsidP="00A8138F">
      <w:pPr>
        <w:pStyle w:val="TextoNormal"/>
      </w:pPr>
      <w:r>
        <w:t>3º Retrotraer las actuaciones al momento previo al pronunciamiento de la resolución administrativa anulada, a fin de que, en los términos expuestos en el último párrafo del fundamento jurídico 2, se dicte otra respetuosa con el derecho fundamental reconocido.</w:t>
      </w:r>
    </w:p>
    <w:p w14:paraId="25F81FDE" w14:textId="77777777" w:rsidR="00A8138F" w:rsidRDefault="00A8138F" w:rsidP="00A8138F">
      <w:pPr>
        <w:pStyle w:val="TextoNormal"/>
      </w:pPr>
    </w:p>
    <w:p w14:paraId="5B4F60CF" w14:textId="77777777" w:rsidR="00A8138F" w:rsidRDefault="00A8138F" w:rsidP="00A8138F">
      <w:pPr>
        <w:pStyle w:val="TextoNormal"/>
      </w:pPr>
      <w:r>
        <w:t>Publíquese esta sentencia en el “Boletín Oficial del Estado”.</w:t>
      </w:r>
    </w:p>
    <w:p w14:paraId="6B10B45C" w14:textId="77777777" w:rsidR="00A8138F" w:rsidRDefault="00A8138F" w:rsidP="00A8138F">
      <w:pPr>
        <w:pStyle w:val="TextoNormal"/>
      </w:pPr>
      <w:r>
        <w:t>Dada en Madrid, a siete de abril de dos mil veinticinco.</w:t>
      </w:r>
    </w:p>
    <w:p w14:paraId="1B9528E2" w14:textId="444E1814" w:rsidR="00A8138F" w:rsidRDefault="00A8138F">
      <w:pPr>
        <w:spacing w:after="160" w:line="278" w:lineRule="auto"/>
        <w:rPr>
          <w:rFonts w:ascii="Times New Roman" w:eastAsia="Times New Roman" w:hAnsi="Times New Roman" w:cs="Times New Roman"/>
          <w:sz w:val="24"/>
          <w:szCs w:val="24"/>
          <w:lang w:eastAsia="es-ES"/>
        </w:rPr>
      </w:pPr>
      <w:r>
        <w:br w:type="page"/>
      </w:r>
    </w:p>
    <w:p w14:paraId="72B5176F" w14:textId="77777777" w:rsidR="00A8138F" w:rsidRDefault="00A8138F" w:rsidP="00A8138F">
      <w:pPr>
        <w:pStyle w:val="TtuloResolucin"/>
      </w:pPr>
      <w:bookmarkStart w:id="91" w:name="SENTENCIA_2025_89"/>
      <w:r>
        <w:lastRenderedPageBreak/>
        <w:t>SENTENCIA 89/2025, de 7 de abril de 2025</w:t>
      </w:r>
    </w:p>
    <w:bookmarkEnd w:id="91"/>
    <w:p w14:paraId="151A586E" w14:textId="77777777" w:rsidR="00A8138F" w:rsidRDefault="00A8138F" w:rsidP="00A8138F">
      <w:pPr>
        <w:pStyle w:val="TtuloResolucin"/>
      </w:pPr>
      <w:r>
        <w:t>Sala Primera</w:t>
      </w:r>
    </w:p>
    <w:p w14:paraId="129AB405" w14:textId="77777777" w:rsidR="00A8138F" w:rsidRDefault="00A8138F" w:rsidP="00A8138F">
      <w:pPr>
        <w:pStyle w:val="TtuloBOE"/>
      </w:pPr>
      <w:r>
        <w:t>(BOE núm. 117, de 15 de mayo de 2025)</w:t>
      </w:r>
    </w:p>
    <w:p w14:paraId="1BA38408" w14:textId="77777777" w:rsidR="00A8138F" w:rsidRDefault="00A8138F" w:rsidP="00A8138F">
      <w:pPr>
        <w:pStyle w:val="TextoNormalCentrado"/>
      </w:pPr>
      <w:r>
        <w:t>ECLI:ES:TC:2025:89</w:t>
      </w:r>
    </w:p>
    <w:p w14:paraId="0D11C24B" w14:textId="7D575D4E" w:rsidR="00A8138F" w:rsidRDefault="00A8138F" w:rsidP="00A8138F">
      <w:pPr>
        <w:pStyle w:val="TextoNormalCentrado"/>
      </w:pPr>
    </w:p>
    <w:p w14:paraId="61509E05" w14:textId="77777777" w:rsidR="00A8138F" w:rsidRDefault="00A8138F" w:rsidP="00A8138F">
      <w:pPr>
        <w:pStyle w:val="SntesisDescriptiva"/>
      </w:pPr>
      <w:r>
        <w:t>Recurso de amparo 5437-2024. Promovido por doña Maite Narciso Agustín en relación con las resoluciones administrativas y judiciales que desestimaron su petición de revisión y ampliación de la prestación por nacimiento y cuidado de hijo menor, como madre biológica de familia monoparental.</w:t>
      </w:r>
    </w:p>
    <w:p w14:paraId="0038E5F8" w14:textId="6C99BF66" w:rsidR="00A8138F" w:rsidRDefault="00A8138F" w:rsidP="00A8138F">
      <w:pPr>
        <w:pStyle w:val="SntesisDescriptiva"/>
      </w:pPr>
    </w:p>
    <w:p w14:paraId="332BF57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79ABF6AC" w14:textId="3DF32053" w:rsidR="00A8138F" w:rsidRDefault="00A8138F" w:rsidP="00A8138F">
      <w:pPr>
        <w:pStyle w:val="SntesisAnaltica"/>
      </w:pPr>
    </w:p>
    <w:p w14:paraId="17344086" w14:textId="4A9C19D7"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31E1A7B" w14:textId="77777777" w:rsidR="00A8138F" w:rsidRDefault="00A8138F" w:rsidP="00A8138F">
      <w:pPr>
        <w:pStyle w:val="Extracto"/>
      </w:pPr>
    </w:p>
    <w:p w14:paraId="46459A70" w14:textId="77777777" w:rsidR="00A8138F" w:rsidRDefault="00A8138F" w:rsidP="00A8138F">
      <w:pPr>
        <w:pStyle w:val="Extracto"/>
      </w:pPr>
    </w:p>
    <w:p w14:paraId="1DC4FA4C"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F99789A" w14:textId="249C5DBE" w:rsidR="00A8138F" w:rsidRDefault="00A8138F" w:rsidP="00A8138F">
      <w:pPr>
        <w:pStyle w:val="TextoNormal"/>
      </w:pPr>
    </w:p>
    <w:p w14:paraId="6C39EB80" w14:textId="77777777" w:rsidR="00A8138F" w:rsidRDefault="00A8138F" w:rsidP="00A8138F">
      <w:pPr>
        <w:pStyle w:val="TextoNormalCentrado"/>
        <w:keepNext/>
      </w:pPr>
      <w:r>
        <w:t>EN NOMBRE DEL REY</w:t>
      </w:r>
    </w:p>
    <w:p w14:paraId="451D13D0" w14:textId="078DF698" w:rsidR="00A8138F" w:rsidRDefault="00A8138F" w:rsidP="00A8138F">
      <w:pPr>
        <w:pStyle w:val="TextoNormalCentrado"/>
        <w:keepNext/>
      </w:pPr>
    </w:p>
    <w:p w14:paraId="4A12ED43" w14:textId="77777777" w:rsidR="00A8138F" w:rsidRDefault="00A8138F" w:rsidP="00A8138F">
      <w:pPr>
        <w:pStyle w:val="TextoNormalCentrado"/>
        <w:keepNext/>
      </w:pPr>
    </w:p>
    <w:p w14:paraId="0F4E4BC8" w14:textId="77777777" w:rsidR="00A8138F" w:rsidRDefault="00A8138F" w:rsidP="00A8138F">
      <w:pPr>
        <w:pStyle w:val="TextoNormal"/>
      </w:pPr>
      <w:r>
        <w:t>la siguiente</w:t>
      </w:r>
    </w:p>
    <w:p w14:paraId="5DFD0FC4" w14:textId="5052B09D" w:rsidR="00A8138F" w:rsidRDefault="00A8138F" w:rsidP="00A8138F">
      <w:pPr>
        <w:pStyle w:val="TextoNormal"/>
      </w:pPr>
    </w:p>
    <w:p w14:paraId="1F0BE3C5" w14:textId="77777777" w:rsidR="00A8138F" w:rsidRDefault="00A8138F" w:rsidP="00A8138F">
      <w:pPr>
        <w:pStyle w:val="TextoNormalCentrado"/>
        <w:keepNext/>
      </w:pPr>
      <w:r>
        <w:t>SENTENCIA</w:t>
      </w:r>
    </w:p>
    <w:p w14:paraId="6B15407B" w14:textId="29578EBE" w:rsidR="00A8138F" w:rsidRDefault="00A8138F" w:rsidP="00A8138F">
      <w:pPr>
        <w:pStyle w:val="TextoNormalCentrado"/>
        <w:keepNext/>
      </w:pPr>
    </w:p>
    <w:p w14:paraId="428168B4" w14:textId="77777777" w:rsidR="00A8138F" w:rsidRDefault="00A8138F" w:rsidP="00A8138F">
      <w:pPr>
        <w:pStyle w:val="TextoNormal"/>
      </w:pPr>
      <w:r>
        <w:t>En el recurso de amparo núm. 5437-2024, promovido por doña Maite Narciso Agustín, representada por la procuradora de los tribunales doña María de la Concepción Moreno de Barreda Rovira, y asistida del letrado don Manuel María Ariza Brugarolas, contra la sentencia núm. 702/2024, de 22 de mayo, de la Sala de lo Social del Tribunal Supremo, que estimó el recurso de casación para la unificación de doctrina núm. 196-2023 interpuesto por el Instituto Nacional de la Seguridad Social y la Tesorería General de la Seguridad Social frente a la sentencia núm. 2319/2022, de 8 de noviembre, de la Sala de lo Social del Tribunal Superior de Justicia del País Vasco, que desestimó el recurso de suplicación núm. 895-2022 interpuesto frente a la sentencia núm. 23/2022, de 10 de febrero, del Juzgado de lo Social núm. 2 de San Sebastián, dictada en los autos núm. 444-2021. Han intervenido el letrado de la administración de la Seguridad Social y el Ministerio Fiscal. Ha sido ponente el magistrado don Ricardo Enríquez Sancho.</w:t>
      </w:r>
    </w:p>
    <w:p w14:paraId="43252108" w14:textId="402ABC2A" w:rsidR="00A8138F" w:rsidRDefault="00A8138F" w:rsidP="00A8138F">
      <w:pPr>
        <w:pStyle w:val="TextoNormal"/>
      </w:pPr>
    </w:p>
    <w:p w14:paraId="2E90A298" w14:textId="77777777" w:rsidR="00A8138F" w:rsidRDefault="00A8138F" w:rsidP="00A8138F">
      <w:pPr>
        <w:pStyle w:val="TextoNormalNegritaCentrado"/>
        <w:keepNext/>
      </w:pPr>
      <w:r>
        <w:lastRenderedPageBreak/>
        <w:t>I. Antecedentes</w:t>
      </w:r>
    </w:p>
    <w:p w14:paraId="21C759A7" w14:textId="77C72984" w:rsidR="00A8138F" w:rsidRDefault="00A8138F" w:rsidP="00A8138F">
      <w:pPr>
        <w:pStyle w:val="TextoNormalNegritaCentrado"/>
        <w:keepNext/>
      </w:pPr>
    </w:p>
    <w:p w14:paraId="3324858C" w14:textId="7C52FAC7" w:rsidR="00A8138F" w:rsidRDefault="00A8138F" w:rsidP="00A8138F">
      <w:pPr>
        <w:pStyle w:val="TextoNormal"/>
      </w:pPr>
      <w:r w:rsidRPr="00A8138F">
        <w:rPr>
          <w:rStyle w:val="NumeroAFNegritaCaracter"/>
        </w:rPr>
        <w:t>1</w:t>
      </w:r>
      <w:r>
        <w:t>. Mediante escrito presentado en el registro general de este tribunal el día 11 de julio de 2024, don Manuel María Ariza Brugarolas, actuando en nombre y representación de doña Maite Narciso Agustín, interpuso recurso de amparo frente a la sentencia núm. 702/2024, de 22 de mayo, de la Sala de lo Social del Tribunal Supremo, que estimó el recurso de casación para la unificación de doctrina núm. 196-2023 interpuesto por el Instituto Nacional de la Seguridad Social (INSS) y la Tesorería General de la Seguridad Social (TGSS) frente a la sentencia núm. 2319/2022, de 8 de noviembre, de la Sala de lo Social del Tribunal Superior de Justicia del País Vasco, dictada en el recurso de suplicación núm. 895-2022.</w:t>
      </w:r>
    </w:p>
    <w:p w14:paraId="37849110" w14:textId="77777777" w:rsidR="00A8138F" w:rsidRDefault="00A8138F" w:rsidP="00A8138F">
      <w:pPr>
        <w:pStyle w:val="TextoNormal"/>
      </w:pPr>
    </w:p>
    <w:p w14:paraId="531F2344" w14:textId="77777777" w:rsidR="00A8138F" w:rsidRDefault="00A8138F" w:rsidP="00A8138F">
      <w:pPr>
        <w:pStyle w:val="TextoNormal"/>
      </w:pPr>
      <w:r w:rsidRPr="00A8138F">
        <w:rPr>
          <w:rStyle w:val="NumeroAFNegritaCaracter"/>
        </w:rPr>
        <w:t>2</w:t>
      </w:r>
      <w:r>
        <w:t>. El presente recurso de amparo trae causa de los siguientes antecedentes:</w:t>
      </w:r>
    </w:p>
    <w:p w14:paraId="3CC13219" w14:textId="77777777" w:rsidR="00A8138F" w:rsidRDefault="00A8138F" w:rsidP="00A8138F">
      <w:pPr>
        <w:pStyle w:val="TextoNormal"/>
      </w:pPr>
    </w:p>
    <w:p w14:paraId="47B656BE" w14:textId="77777777" w:rsidR="00A8138F" w:rsidRDefault="00A8138F" w:rsidP="00A8138F">
      <w:pPr>
        <w:pStyle w:val="TextoNormal"/>
      </w:pPr>
      <w:r>
        <w:t>a) La recurrente en amparo, madre biológica de una menor nacida el 21 de marzo de 2020, con la que forma una familia monoparental, solicitó que se le ampliase la prestación por nacimiento y cuidado de hijo en doce semanas adicionales (las que le hubieran correspondido al otro progenitor de haberse tratado de una familia biparental). Por resolución del INSS de 11 de marzo de 2021 se desestimó su pretensión de revisión al no estar prevista tal posibilidad en la legislación vigente.</w:t>
      </w:r>
    </w:p>
    <w:p w14:paraId="3393A279" w14:textId="77777777" w:rsidR="00A8138F" w:rsidRDefault="00A8138F" w:rsidP="00A8138F">
      <w:pPr>
        <w:pStyle w:val="TextoNormal"/>
      </w:pPr>
    </w:p>
    <w:p w14:paraId="15BD4E42" w14:textId="77777777" w:rsidR="00A8138F" w:rsidRDefault="00A8138F" w:rsidP="00A8138F">
      <w:pPr>
        <w:pStyle w:val="TextoNormal"/>
      </w:pPr>
      <w:r>
        <w:t>b) Disconforme con la duración de la prestación, formuló demanda en la vía judicial frente al INSS y la TGSS, que dio lugar a los autos núm. 444-2021 seguidos ante el Juzgado de lo Social núm. 2 de San Sebastián.</w:t>
      </w:r>
    </w:p>
    <w:p w14:paraId="53FAE10B" w14:textId="77777777" w:rsidR="00A8138F" w:rsidRDefault="00A8138F" w:rsidP="00A8138F">
      <w:pPr>
        <w:pStyle w:val="TextoNormal"/>
      </w:pPr>
    </w:p>
    <w:p w14:paraId="3F53C6A1" w14:textId="77777777" w:rsidR="00A8138F" w:rsidRDefault="00A8138F" w:rsidP="00A8138F">
      <w:pPr>
        <w:pStyle w:val="TextoNormal"/>
      </w:pPr>
      <w:r>
        <w:t>c) La demanda fue estimada por la sentencia núm. 23/2022, de 10 de febrero, aplicando al caso lo resuelto en la sentencia de la Sala de lo Social del Tribunal Superior de Justicia del País Vasco, de 6 de octubre de 2020 (ECLI:ES:TSJPV:2020:396), que teniendo en cuenta la protección que merecía el menor de la familia monoparental y la tutela que del mismo se llevaba a cabo en la normativa internacional, reconoció el derecho a la ampliación de la prestación en el caso de familia monoparental. No obstante, y apartándose del criterio mantenido en esa Sala (que reconoció una ampliación de diez semanas), en el caso de autos se reconocieron a la actora las doce semanas adicionales solicitadas, esto es, no se descontaron las semanas que, según la normativa entonces vigente, habían de disfrutarse con carácter inmediatamente posterior al parto.</w:t>
      </w:r>
    </w:p>
    <w:p w14:paraId="4122A9FB" w14:textId="77777777" w:rsidR="00A8138F" w:rsidRDefault="00A8138F" w:rsidP="00A8138F">
      <w:pPr>
        <w:pStyle w:val="TextoNormal"/>
      </w:pPr>
    </w:p>
    <w:p w14:paraId="76DB28FC" w14:textId="77777777" w:rsidR="00A8138F" w:rsidRDefault="00A8138F" w:rsidP="00A8138F">
      <w:pPr>
        <w:pStyle w:val="TextoNormal"/>
      </w:pPr>
      <w:r>
        <w:t>d) La anterior resolución fue recurrida por el INSS y la TGSS en el recurso de suplicación núm. 895-2022. Por medio de la sentencia núm. 2319/2022, de 8 de noviembre, de la Sala de lo Social del Tribunal Superior de Justicia del País Vasco, se desestimó el recurso, confirmándose lo decidido en la instancia.</w:t>
      </w:r>
    </w:p>
    <w:p w14:paraId="7B550002" w14:textId="77777777" w:rsidR="00A8138F" w:rsidRDefault="00A8138F" w:rsidP="00A8138F">
      <w:pPr>
        <w:pStyle w:val="TextoNormal"/>
      </w:pPr>
    </w:p>
    <w:p w14:paraId="54A8DCD1" w14:textId="0F316AFD" w:rsidR="00A8138F" w:rsidRDefault="00A8138F" w:rsidP="00A8138F">
      <w:pPr>
        <w:pStyle w:val="TextoNormal"/>
      </w:pPr>
      <w:r>
        <w:t xml:space="preserve">e) Interpuesto el recurso de casación para la unificación de doctrina núm. 196-2023 por el INSS y la TGSS, fue estimado mediante sentencia núm. 702/2024, de 22 de mayo, de la Sala de lo Social del Tribunal Supremo, que revocó la sentencia impugnada desestimando la pretensión de la parte actora y ateniéndose a la doctrina sentada por esa Sala en Pleno, en la STS de 2 de marzo de 2023 (ECLI:ES:TS:2023:783), reiterada en otras posteriores. En tal resolución se descartó que la normativa aplicada resultase contraria a la letra o al espíritu de la Constitución Española, se situase al margen de la normativa internacional, o fuera </w:t>
      </w:r>
      <w:r>
        <w:lastRenderedPageBreak/>
        <w:t>contraria a los acuerdos, pactos o convenios internacionales suscritos por España. En definitiva, la discusión sobre si el sistema resultante de protección a las familias monoparentales era o no el mejor de los posibles excedía con mucho de las funciones de los órganos jurisdiccionales que, por el contrario, sí estaban obligados a comprobar el respeto y la adecuación del concreto régimen jurídico cuestionado a las exigencias de las normas nacionales o internacionales que pudieran condicionar la configuración legal. Correspondía, pues, al legislador, determinar el nivel y las condiciones de las prestaciones o las modificaciones para adaptarlas a las necesidades del momento.</w:t>
      </w:r>
    </w:p>
    <w:p w14:paraId="00AF7590" w14:textId="77777777" w:rsidR="00A8138F" w:rsidRDefault="00A8138F" w:rsidP="00A8138F">
      <w:pPr>
        <w:pStyle w:val="TextoNormal"/>
      </w:pPr>
    </w:p>
    <w:p w14:paraId="68502174" w14:textId="67C402BA" w:rsidR="00A8138F" w:rsidRDefault="00A8138F" w:rsidP="00A8138F">
      <w:pPr>
        <w:pStyle w:val="TextoNormal"/>
      </w:pPr>
      <w:r w:rsidRPr="00A8138F">
        <w:rPr>
          <w:rStyle w:val="NumeroAFNegritaCaracter"/>
        </w:rPr>
        <w:t>3</w:t>
      </w:r>
      <w:r>
        <w:t>. En la demanda de amparo la recurrente denuncia la infracción del derecho a la igualdad y prohibición de discriminación (art. 14 CE). Considera que procede la estimación de su pretensión de ampliación de la prestación por nacimiento y cuidado de hijo (en doce semanas adicionales) teniendo en cuenta los principios y derechos de conciliación de la vida personal, familiar y laboral, así como la prohibición de discriminación por razón de la condición familiar del progenitor y por razón de sexo. Respalda su pretensión en el art. 10.2 CE y en la normativa internacional, específicamente en la Convención sobre los derechos del niño.</w:t>
      </w:r>
    </w:p>
    <w:p w14:paraId="3682D258" w14:textId="77777777" w:rsidR="00A8138F" w:rsidRDefault="00A8138F" w:rsidP="00A8138F">
      <w:pPr>
        <w:pStyle w:val="TextoNormal"/>
      </w:pPr>
    </w:p>
    <w:p w14:paraId="5F6A8CDF" w14:textId="52F5934E" w:rsidR="00A8138F" w:rsidRDefault="00A8138F" w:rsidP="00A8138F">
      <w:pPr>
        <w:pStyle w:val="TextoNormal"/>
      </w:pPr>
      <w:r w:rsidRPr="00A8138F">
        <w:rPr>
          <w:rStyle w:val="NumeroAFNegritaCaracter"/>
        </w:rPr>
        <w:t>4</w:t>
      </w:r>
      <w:r>
        <w:t>. Por providencia de 4 de noviembre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196-2023 y al recurso de suplicación núm.895-2022, respectivamente. Asimismo, acordó dirigir atenta comunicación al Juzgado de lo Social núm. 2 de San Sebastián a fin de que, en plazo que no excediera de diez días, remitiese certificación o fotocopia adverada de las actuaciones correspondientes a los autos núm. 444-2021, emplazando a quienes hubieran sido parte en el procedimiento, excepto la parte recurrente en amparo, para que, si lo deseaban, pudieran comparecer en el presente recurso.</w:t>
      </w:r>
    </w:p>
    <w:p w14:paraId="3732819A" w14:textId="77777777" w:rsidR="00A8138F" w:rsidRDefault="00A8138F" w:rsidP="00A8138F">
      <w:pPr>
        <w:pStyle w:val="TextoNormal"/>
      </w:pPr>
    </w:p>
    <w:p w14:paraId="2C868478" w14:textId="453DAFD5" w:rsidR="00A8138F" w:rsidRDefault="00A8138F" w:rsidP="00A8138F">
      <w:pPr>
        <w:pStyle w:val="TextoNormal"/>
      </w:pPr>
      <w:r w:rsidRPr="00A8138F">
        <w:rPr>
          <w:rStyle w:val="NumeroAFNegritaCaracter"/>
        </w:rPr>
        <w:t>5</w:t>
      </w:r>
      <w:r>
        <w:t>. El 26 de noviembre de 2024 se presentó ante el registro de este tribunal un escrito en virtud del cual la letrada de la administración de la Seguridad Social, en nombre y representación del INSS y de la TGSS, interesa su personación en el presente recurso de amparo.</w:t>
      </w:r>
    </w:p>
    <w:p w14:paraId="158C0CCC" w14:textId="77777777" w:rsidR="00A8138F" w:rsidRDefault="00A8138F" w:rsidP="00A8138F">
      <w:pPr>
        <w:pStyle w:val="TextoNormal"/>
      </w:pPr>
    </w:p>
    <w:p w14:paraId="2D1B2470" w14:textId="134D80F5" w:rsidR="00A8138F" w:rsidRDefault="00A8138F" w:rsidP="00A8138F">
      <w:pPr>
        <w:pStyle w:val="TextoNormal"/>
      </w:pPr>
      <w:r w:rsidRPr="00A8138F">
        <w:rPr>
          <w:rStyle w:val="NumeroAFNegritaCaracter"/>
        </w:rPr>
        <w:t>6</w:t>
      </w:r>
      <w:r>
        <w:t>. Por diligencia de ordenación de la Secretaría de Justicia de la Sección Primera de este tribunal, de 28 de noviembre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31BADBC3" w14:textId="77777777" w:rsidR="00A8138F" w:rsidRDefault="00A8138F" w:rsidP="00A8138F">
      <w:pPr>
        <w:pStyle w:val="TextoNormal"/>
      </w:pPr>
    </w:p>
    <w:p w14:paraId="19AEE259" w14:textId="1DC0FB2F" w:rsidR="00A8138F" w:rsidRDefault="00A8138F" w:rsidP="00A8138F">
      <w:pPr>
        <w:pStyle w:val="TextoNormal"/>
      </w:pPr>
      <w:r w:rsidRPr="00A8138F">
        <w:rPr>
          <w:rStyle w:val="NumeroAFNegritaCaracter"/>
        </w:rPr>
        <w:lastRenderedPageBreak/>
        <w:t>7</w:t>
      </w:r>
      <w:r>
        <w:t>. Por medio de escrito presentado el 17 de diciembre de 2024 en el registro de este tribunal, el fiscal interesó la estimación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de la Ley del estatuto de los trabajadores (LET) y 177 de la Ley general de la Seguridad Social (LGSS). Precisa, no obstante, que aunque la sentencia dictada por el Tribunal Superior de Justicia del País Vasco resulta coincidente en lo esencial con la citada sentencia constitucional, no procedería acordar su firmeza al haber concedido a la demandante una prestación de doce semanas, lo que supondría un exceso de cuatro semanas respecto de las que procede otorgar con arreglo a lo resuelto por el Tribunal Constitucional y teniendo en cuenta la normativa entonces vigente (disposición transitoria decimotercera de la Ley del estatuto de los trabajadores, añadida por el Real Decreto-ley 6/2019, de 1 de marzo, de medidas urgentes para garantía de la igualdad de trato y de oportunidades entre mujeres y hombres en el empleo y la ocupación, que no reconocía dieciséis semanas de prestación, sino doce). Pues bien, teniendo en cuenta la normativa aplicable al caso, la sentencia de suplicación concedió a la actora cuatro semanas más de las establecidas en la STC 140/2024, que no estaban amparadas por el derecho fundamental de la demandante de amparo. Habiendo recurrido el INSS la sentencia recaída en suplicación, parece procedente mantener, por lo tanto, su derecho a que se resuelva su recurso y se dicte por el Tribunal Supremo una sentencia que respete el derecho fundamental conforme a la doctrina sentada por el Tribunal Constitucional.</w:t>
      </w:r>
    </w:p>
    <w:p w14:paraId="79E31110" w14:textId="77777777" w:rsidR="00A8138F" w:rsidRDefault="00A8138F" w:rsidP="00A8138F">
      <w:pPr>
        <w:pStyle w:val="TextoNormal"/>
      </w:pPr>
    </w:p>
    <w:p w14:paraId="40427F52" w14:textId="46698B50" w:rsidR="00A8138F" w:rsidRDefault="00A8138F" w:rsidP="00A8138F">
      <w:pPr>
        <w:pStyle w:val="TextoNormal"/>
      </w:pPr>
      <w:r w:rsidRPr="00A8138F">
        <w:rPr>
          <w:rStyle w:val="NumeroAFNegritaCaracter"/>
        </w:rPr>
        <w:t>8</w:t>
      </w:r>
      <w:r>
        <w:t>. El 10 de enero de 2025 la letrada de la Administración de la Seguridad Social formula sus alegaciones en la representación que ostenta, ratificándose en lo mantenido a lo largo de todo el procedimiento e interesando por ello la desestimación de la demanda de amparo. No obstante, añade que, de estimarse el recurso a la vista de lo resuelto en la sentencia de Pleno del Tribunal Constitucional de 6 de noviembre de 2024 (declarando la inconstitucionalidad de los arts. 48.4 LET y 177 LGSS), habrá de tenerse en cuenta, en todo caso, que al producirse el nacimiento del menor en el año 2020, era de aplicación lo dispuesto en la disposición transitoria decimotercera de la Ley del estatuto de los trabajadores añadida por el art. 2.18 del Real Decreto-ley 6/2019, según la cual el otro progenitor contará con un periodo de suspensión total de doce semanas, de las cuales las cuatro primeras deberán disfrutarse de forma ininterrumpida inmediatamente tras el parto. Por tanto, la aplicación de la doctrina establecida en la STC 140/2024 conduce a que en el caso de autos se amplíe la duración del permiso y de la prestación de nacimiento y cuidado del menor de la madre monoparental, no a la totalidad del período reconocido al otro progenitor distinto de la madre (doce semanas adicionales), sino a ocho semanas adicionales, al excluirse las cuatro primeras que han de disfrutarse de forma ininterrumpida después del parto.</w:t>
      </w:r>
    </w:p>
    <w:p w14:paraId="0DEBFFC8" w14:textId="77777777" w:rsidR="00A8138F" w:rsidRDefault="00A8138F" w:rsidP="00A8138F">
      <w:pPr>
        <w:pStyle w:val="TextoNormal"/>
      </w:pPr>
    </w:p>
    <w:p w14:paraId="39CB1B79" w14:textId="055B19B4" w:rsidR="00A8138F" w:rsidRDefault="00A8138F" w:rsidP="00A8138F">
      <w:pPr>
        <w:pStyle w:val="TextoNormal"/>
      </w:pPr>
      <w:r w:rsidRPr="00A8138F">
        <w:rPr>
          <w:rStyle w:val="NumeroAFNegritaCaracter"/>
        </w:rPr>
        <w:t>9</w:t>
      </w:r>
      <w:r>
        <w:t>. El 10 de enero de 2025 evacuó el trámite de alegaciones conferido la representación procesal de la recurrente en amparo, interesando la estimación del recurso, dando por reproducidos los argumentos de la demanda de amparo y de acuerdo con lo resuelto por este tribunal en su STC 140/2024, de 6 de noviembre. Por tal motivo, solicita que se declare la nulidad de la sentencia de la Sala de lo Social del Tribunal Supremo impugnada.</w:t>
      </w:r>
    </w:p>
    <w:p w14:paraId="7669525B" w14:textId="77777777" w:rsidR="00A8138F" w:rsidRDefault="00A8138F" w:rsidP="00A8138F">
      <w:pPr>
        <w:pStyle w:val="TextoNormal"/>
      </w:pPr>
    </w:p>
    <w:p w14:paraId="4EDE4459" w14:textId="3FF0DE41" w:rsidR="00A8138F" w:rsidRDefault="00A8138F" w:rsidP="00A8138F">
      <w:pPr>
        <w:pStyle w:val="TextoNormal"/>
      </w:pPr>
      <w:r w:rsidRPr="00A8138F">
        <w:rPr>
          <w:rStyle w:val="NumeroAFNegritaCaracter"/>
        </w:rPr>
        <w:t>10</w:t>
      </w:r>
      <w:r>
        <w:t>. Mediante providencia de 3 de abril de 2025, se señaló para deliberación y votación de la presente sentencia el día 7 del mismo mes y año.</w:t>
      </w:r>
    </w:p>
    <w:p w14:paraId="7385820E" w14:textId="77777777" w:rsidR="00A8138F" w:rsidRDefault="00A8138F" w:rsidP="00A8138F">
      <w:pPr>
        <w:pStyle w:val="TextoNormal"/>
      </w:pPr>
    </w:p>
    <w:p w14:paraId="31782E3B" w14:textId="77777777" w:rsidR="00A8138F" w:rsidRDefault="00A8138F" w:rsidP="00A8138F">
      <w:pPr>
        <w:pStyle w:val="TextoNormalNegritaCentrado"/>
        <w:keepNext/>
      </w:pPr>
      <w:r>
        <w:t>II. Fundamentos jurídicos</w:t>
      </w:r>
    </w:p>
    <w:p w14:paraId="6FA9D48B" w14:textId="614BBC00" w:rsidR="00A8138F" w:rsidRDefault="00A8138F" w:rsidP="00A8138F">
      <w:pPr>
        <w:pStyle w:val="TextoNormalNegritaCentrado"/>
        <w:keepNext/>
      </w:pPr>
    </w:p>
    <w:p w14:paraId="75147B8A"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43EB81FF" w14:textId="77777777" w:rsidR="00A8138F" w:rsidRDefault="00A8138F" w:rsidP="00A8138F">
      <w:pPr>
        <w:pStyle w:val="TextoNormal"/>
      </w:pPr>
    </w:p>
    <w:p w14:paraId="0F62ED8E" w14:textId="28B763F6"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en relación con el art. 177 del texto refundido de la Ley general de la Seguridad Social, aprobado por el Real Decreto Legislativo 8/2015, de 30 de octubre, con la redacción dada a los mismos por el Real Decreto-ley 6/2019, de 1 de marzo, de medidas urgentes para garantía de la igualdad de trato y de oportunidades entre mujeres y hombres en el empleo y la ocupación.</w:t>
      </w:r>
    </w:p>
    <w:p w14:paraId="1376B18E" w14:textId="77777777" w:rsidR="00A8138F" w:rsidRDefault="00A8138F" w:rsidP="00A8138F">
      <w:pPr>
        <w:pStyle w:val="TextoNormal"/>
      </w:pPr>
    </w:p>
    <w:p w14:paraId="5C527AD4"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006E75F3" w14:textId="77777777" w:rsidR="00A8138F" w:rsidRDefault="00A8138F" w:rsidP="00A8138F">
      <w:pPr>
        <w:pStyle w:val="TextoNormal"/>
      </w:pPr>
    </w:p>
    <w:p w14:paraId="2CF7A89E"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5EBAE188" w14:textId="77777777" w:rsidR="00A8138F" w:rsidRDefault="00A8138F" w:rsidP="00A8138F">
      <w:pPr>
        <w:pStyle w:val="TextoNormal"/>
      </w:pPr>
    </w:p>
    <w:p w14:paraId="32F8484B"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04A610E" w14:textId="77777777" w:rsidR="00A8138F" w:rsidRDefault="00A8138F" w:rsidP="00A8138F">
      <w:pPr>
        <w:pStyle w:val="TextoNormal"/>
      </w:pPr>
    </w:p>
    <w:p w14:paraId="4C55A84D"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w:t>
      </w:r>
      <w:r>
        <w:lastRenderedPageBreak/>
        <w:t xml:space="preserve">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144B1006" w14:textId="77777777" w:rsidR="00A8138F" w:rsidRDefault="00A8138F" w:rsidP="00A8138F">
      <w:pPr>
        <w:pStyle w:val="TextoNormal"/>
      </w:pPr>
    </w:p>
    <w:p w14:paraId="7D729259" w14:textId="24FDDC3C" w:rsidR="00A8138F" w:rsidRDefault="00A8138F" w:rsidP="00A8138F">
      <w:pPr>
        <w:pStyle w:val="TextoNormal"/>
      </w:pPr>
      <w:r>
        <w:t>En consecuencia, debe estimarse la demanda y otorgar el amparo solicitado. De conformidad con lo expuesto por el fiscal, debemos anular y dejar sin efecto la sentencia núm. 702/2024, de 22 de mayo, de la Sala de lo Social del Tribunal Supremo, que estimó el recurso de casación para la unificación de doctrina núm. 196-2023 interpuesto por el INSS y la TGSS, sin que proceda declarar la firmeza de la sentencia núm. 2319/2022, de 8 de noviembre, de la Sala de lo Social del Tribunal Superior de Justicia del País Vasco, dictada en el recurso de suplicación núm. 895-2022). En efecto, aunque su fundamentación jurídica resulta acorde con lo decidido en la STC 140/2024, de 6 de noviembre, concedió a la demandante un tiempo de disfrute de la prestación superior al reconocido en nuestra sentencia, al no restar de las semanas que según la legislación entonces vigente correspondían al otro progenitor, las cuatro primeras inmediatamente posteriores al parto. Por consiguiente, procede la retroacción de las actuaciones al momento previo al dictado de la sentencia recurrida para que la Sala de lo Social del Tribunal Supremo dicte una nueva resolución respetuosa con el derecho fundamental reconocido a la recurrente en los términos previstos en la citada STC 140/2024.</w:t>
      </w:r>
    </w:p>
    <w:p w14:paraId="49774480" w14:textId="77777777" w:rsidR="00A8138F" w:rsidRDefault="00A8138F" w:rsidP="00A8138F">
      <w:pPr>
        <w:pStyle w:val="TextoNormal"/>
      </w:pPr>
    </w:p>
    <w:p w14:paraId="25241E5A" w14:textId="77777777" w:rsidR="00A8138F" w:rsidRDefault="00A8138F" w:rsidP="00A8138F">
      <w:pPr>
        <w:pStyle w:val="TextoNormalCentrado"/>
        <w:keepNext/>
      </w:pPr>
      <w:r>
        <w:t>FALLO</w:t>
      </w:r>
    </w:p>
    <w:p w14:paraId="2F7FFEDF" w14:textId="5C618B26" w:rsidR="00A8138F" w:rsidRDefault="00A8138F" w:rsidP="00A8138F">
      <w:pPr>
        <w:pStyle w:val="TextoNormalCentrado"/>
        <w:keepNext/>
      </w:pPr>
    </w:p>
    <w:p w14:paraId="0B088AFC"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Maite Narciso Agustín y, en su virtud:</w:t>
      </w:r>
    </w:p>
    <w:p w14:paraId="687DC305" w14:textId="77777777" w:rsidR="00A8138F" w:rsidRDefault="00A8138F" w:rsidP="00A8138F">
      <w:pPr>
        <w:pStyle w:val="TextoNormal"/>
      </w:pPr>
    </w:p>
    <w:p w14:paraId="562A96A4" w14:textId="77777777" w:rsidR="00A8138F" w:rsidRDefault="00A8138F" w:rsidP="00A8138F">
      <w:pPr>
        <w:pStyle w:val="TextoNormal"/>
      </w:pPr>
      <w:r>
        <w:t>1º Declarar vulnerado el derecho fundamental a la igualdad ante la ley sin discriminación por razón de nacimiento (art. 14 CE).</w:t>
      </w:r>
    </w:p>
    <w:p w14:paraId="0705E593" w14:textId="77777777" w:rsidR="00A8138F" w:rsidRDefault="00A8138F" w:rsidP="00A8138F">
      <w:pPr>
        <w:pStyle w:val="TextoNormal"/>
      </w:pPr>
    </w:p>
    <w:p w14:paraId="5AEF50BC" w14:textId="77777777" w:rsidR="00A8138F" w:rsidRDefault="00A8138F" w:rsidP="00A8138F">
      <w:pPr>
        <w:pStyle w:val="TextoNormal"/>
      </w:pPr>
      <w:r>
        <w:t>2º Restablecerla en su derecho y, a tal fin, declarar la nulidad de la sentencia núm. 702/2024, de 22 de mayo, de la Sala de lo Social del Tribunal Supremo, dictada en el recurso de casación para la unificación de doctrina núm. 196-2023.</w:t>
      </w:r>
    </w:p>
    <w:p w14:paraId="57372754" w14:textId="77777777" w:rsidR="00A8138F" w:rsidRDefault="00A8138F" w:rsidP="00A8138F">
      <w:pPr>
        <w:pStyle w:val="TextoNormal"/>
      </w:pPr>
    </w:p>
    <w:p w14:paraId="6166A473" w14:textId="08359F86" w:rsidR="00A8138F" w:rsidRDefault="00A8138F" w:rsidP="00A8138F">
      <w:pPr>
        <w:pStyle w:val="TextoNormal"/>
      </w:pPr>
      <w:r>
        <w:t>3º Retrotraer las actuaciones al momento previo al dictado de la anterior resolución, para que la Sala de lo Social del Tribunal Supremo dicte una nueva resolución que resulte respetuosa con el derecho fundamental reconocido a la recurrente, de acuerdo con lo señalado en el fundamento jurídico 2 de esta sentencia.</w:t>
      </w:r>
    </w:p>
    <w:p w14:paraId="7CA9D4E4" w14:textId="77777777" w:rsidR="00A8138F" w:rsidRDefault="00A8138F" w:rsidP="00A8138F">
      <w:pPr>
        <w:pStyle w:val="TextoNormal"/>
      </w:pPr>
    </w:p>
    <w:p w14:paraId="3702130B" w14:textId="77777777" w:rsidR="00A8138F" w:rsidRDefault="00A8138F" w:rsidP="00A8138F">
      <w:pPr>
        <w:pStyle w:val="TextoNormal"/>
      </w:pPr>
      <w:r>
        <w:t>Publíquese esta sentencia en el “Boletín Oficial del Estado”.</w:t>
      </w:r>
    </w:p>
    <w:p w14:paraId="7C350E70" w14:textId="77777777" w:rsidR="00A8138F" w:rsidRDefault="00A8138F" w:rsidP="00A8138F">
      <w:pPr>
        <w:pStyle w:val="TextoNormal"/>
      </w:pPr>
      <w:r>
        <w:t>Dada en Madrid, a siete de abril de dos mil veinticinco.</w:t>
      </w:r>
    </w:p>
    <w:p w14:paraId="00E8A273" w14:textId="77ACB6E5" w:rsidR="00A8138F" w:rsidRDefault="00A8138F">
      <w:pPr>
        <w:spacing w:after="160" w:line="278" w:lineRule="auto"/>
        <w:rPr>
          <w:rFonts w:ascii="Times New Roman" w:eastAsia="Times New Roman" w:hAnsi="Times New Roman" w:cs="Times New Roman"/>
          <w:sz w:val="24"/>
          <w:szCs w:val="24"/>
          <w:lang w:eastAsia="es-ES"/>
        </w:rPr>
      </w:pPr>
      <w:r>
        <w:br w:type="page"/>
      </w:r>
    </w:p>
    <w:p w14:paraId="700FBC25" w14:textId="77777777" w:rsidR="00A8138F" w:rsidRDefault="00A8138F" w:rsidP="00A8138F">
      <w:pPr>
        <w:pStyle w:val="TtuloResolucin"/>
      </w:pPr>
      <w:bookmarkStart w:id="92" w:name="SENTENCIA_2025_90"/>
      <w:r>
        <w:lastRenderedPageBreak/>
        <w:t>SENTENCIA 90/2025, de 7 de abril de 2025</w:t>
      </w:r>
    </w:p>
    <w:bookmarkEnd w:id="92"/>
    <w:p w14:paraId="74E82CF7" w14:textId="77777777" w:rsidR="00A8138F" w:rsidRDefault="00A8138F" w:rsidP="00A8138F">
      <w:pPr>
        <w:pStyle w:val="TtuloResolucin"/>
      </w:pPr>
      <w:r>
        <w:t>Sala Primera</w:t>
      </w:r>
    </w:p>
    <w:p w14:paraId="54ABFBCA" w14:textId="77777777" w:rsidR="00A8138F" w:rsidRDefault="00A8138F" w:rsidP="00A8138F">
      <w:pPr>
        <w:pStyle w:val="TtuloBOE"/>
      </w:pPr>
      <w:r>
        <w:t>(BOE núm. 117, de 15 de mayo de 2025)</w:t>
      </w:r>
    </w:p>
    <w:p w14:paraId="17AB81CB" w14:textId="77777777" w:rsidR="00A8138F" w:rsidRDefault="00A8138F" w:rsidP="00A8138F">
      <w:pPr>
        <w:pStyle w:val="TextoNormalCentrado"/>
      </w:pPr>
      <w:r>
        <w:t>ECLI:ES:TC:2025:90</w:t>
      </w:r>
    </w:p>
    <w:p w14:paraId="18323812" w14:textId="599DD970" w:rsidR="00A8138F" w:rsidRDefault="00A8138F" w:rsidP="00A8138F">
      <w:pPr>
        <w:pStyle w:val="TextoNormalCentrado"/>
      </w:pPr>
    </w:p>
    <w:p w14:paraId="42C72F18" w14:textId="77777777" w:rsidR="00A8138F" w:rsidRDefault="00A8138F" w:rsidP="00A8138F">
      <w:pPr>
        <w:pStyle w:val="SntesisDescriptiva"/>
      </w:pPr>
      <w:r>
        <w:t>Recurso de amparo 7364-2024. Promovido por doña Vanesa Grandal Formoso en relación con las resoluciones administrativas y judiciales que desestimaron su petición de revisión y ampliación de la prestación por nacimiento y cuidado de hijo menor, como madre biológica de familia monoparental.</w:t>
      </w:r>
    </w:p>
    <w:p w14:paraId="58DB7677" w14:textId="57ED3997" w:rsidR="00A8138F" w:rsidRDefault="00A8138F" w:rsidP="00A8138F">
      <w:pPr>
        <w:pStyle w:val="SntesisDescriptiva"/>
      </w:pPr>
    </w:p>
    <w:p w14:paraId="586EC531"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35F0204" w14:textId="406E097D" w:rsidR="00A8138F" w:rsidRDefault="00A8138F" w:rsidP="00A8138F">
      <w:pPr>
        <w:pStyle w:val="SntesisAnaltica"/>
      </w:pPr>
    </w:p>
    <w:p w14:paraId="0E17D643" w14:textId="438391B2"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8B9D90C" w14:textId="77777777" w:rsidR="00A8138F" w:rsidRDefault="00A8138F" w:rsidP="00A8138F">
      <w:pPr>
        <w:pStyle w:val="Extracto"/>
      </w:pPr>
    </w:p>
    <w:p w14:paraId="2F932313" w14:textId="77777777" w:rsidR="00A8138F" w:rsidRDefault="00A8138F" w:rsidP="00A8138F">
      <w:pPr>
        <w:pStyle w:val="Extracto"/>
      </w:pPr>
    </w:p>
    <w:p w14:paraId="5BE6F3EA"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B86FCA0" w14:textId="7C1F6808" w:rsidR="00A8138F" w:rsidRDefault="00A8138F" w:rsidP="00A8138F">
      <w:pPr>
        <w:pStyle w:val="TextoNormal"/>
      </w:pPr>
    </w:p>
    <w:p w14:paraId="3792820F" w14:textId="77777777" w:rsidR="00A8138F" w:rsidRDefault="00A8138F" w:rsidP="00A8138F">
      <w:pPr>
        <w:pStyle w:val="TextoNormalCentrado"/>
        <w:keepNext/>
      </w:pPr>
      <w:r>
        <w:t>EN NOMBRE DEL REY</w:t>
      </w:r>
    </w:p>
    <w:p w14:paraId="2F6B2156" w14:textId="3BEABE47" w:rsidR="00A8138F" w:rsidRDefault="00A8138F" w:rsidP="00A8138F">
      <w:pPr>
        <w:pStyle w:val="TextoNormalCentrado"/>
        <w:keepNext/>
      </w:pPr>
    </w:p>
    <w:p w14:paraId="7723D15D" w14:textId="77777777" w:rsidR="00A8138F" w:rsidRDefault="00A8138F" w:rsidP="00A8138F">
      <w:pPr>
        <w:pStyle w:val="TextoNormalCentrado"/>
        <w:keepNext/>
      </w:pPr>
    </w:p>
    <w:p w14:paraId="68943AEB" w14:textId="77777777" w:rsidR="00A8138F" w:rsidRDefault="00A8138F" w:rsidP="00A8138F">
      <w:pPr>
        <w:pStyle w:val="TextoNormal"/>
      </w:pPr>
      <w:r>
        <w:t>la siguiente</w:t>
      </w:r>
    </w:p>
    <w:p w14:paraId="74D229B6" w14:textId="3D971883" w:rsidR="00A8138F" w:rsidRDefault="00A8138F" w:rsidP="00A8138F">
      <w:pPr>
        <w:pStyle w:val="TextoNormal"/>
      </w:pPr>
    </w:p>
    <w:p w14:paraId="40595D4E" w14:textId="77777777" w:rsidR="00A8138F" w:rsidRDefault="00A8138F" w:rsidP="00A8138F">
      <w:pPr>
        <w:pStyle w:val="TextoNormalCentrado"/>
        <w:keepNext/>
      </w:pPr>
      <w:r>
        <w:t>SENTENCIA</w:t>
      </w:r>
    </w:p>
    <w:p w14:paraId="2D97AE67" w14:textId="2F0A7C90" w:rsidR="00A8138F" w:rsidRDefault="00A8138F" w:rsidP="00A8138F">
      <w:pPr>
        <w:pStyle w:val="TextoNormalCentrado"/>
        <w:keepNext/>
      </w:pPr>
    </w:p>
    <w:p w14:paraId="211AE198" w14:textId="77777777" w:rsidR="00A8138F" w:rsidRDefault="00A8138F" w:rsidP="00A8138F">
      <w:pPr>
        <w:pStyle w:val="TextoNormal"/>
      </w:pPr>
      <w:r>
        <w:t>En el recurso de amparo núm. 7364-2024, promovido por doña Vanesa Grandal Formoso, representada por la procuradora de los tribunales doña Patricia Rodríguez Gómez y asistida por la letrada doña Margarita Luz Grueiro Galego, frente al auto de la Sala de lo Social del Tribunal Supremo de 9 de julio de 2024, que inadmitió el recurso de casación para la unificación de doctrina núm. 3811-2023, y la sentencia núm. 5297/2022, de 23 de noviembre, de la Sala de lo Social del Tribunal Superior de Justicia de Galicia que, estimando el recurso de suplicación núm. 1679-2022 interpuesto por el Instituto Nacional de la Seguridad Social revocó la sentencia núm. 400/2021, de 25 de noviembre, del Juzgado de lo Social núm. 1 de Ferrol, que estimó su pretensión de ampliación de la prestación por nacimiento y cuidado de hijo en los autos núm. 649-2021. Han intervenido el letrado de la administración de la Seguridad Social y el Ministerio Fiscal. Ha sido ponente el magistrado don José María Macías Castaño.</w:t>
      </w:r>
    </w:p>
    <w:p w14:paraId="3202D48D" w14:textId="78DBBE27" w:rsidR="00A8138F" w:rsidRDefault="00A8138F" w:rsidP="00A8138F">
      <w:pPr>
        <w:pStyle w:val="TextoNormal"/>
      </w:pPr>
    </w:p>
    <w:p w14:paraId="230A25DF" w14:textId="77777777" w:rsidR="00A8138F" w:rsidRDefault="00A8138F" w:rsidP="00A8138F">
      <w:pPr>
        <w:pStyle w:val="TextoNormalNegritaCentrado"/>
        <w:keepNext/>
      </w:pPr>
      <w:r>
        <w:lastRenderedPageBreak/>
        <w:t>I. Antecedentes</w:t>
      </w:r>
    </w:p>
    <w:p w14:paraId="7DB8E09A" w14:textId="388D628A" w:rsidR="00A8138F" w:rsidRDefault="00A8138F" w:rsidP="00A8138F">
      <w:pPr>
        <w:pStyle w:val="TextoNormalNegritaCentrado"/>
        <w:keepNext/>
      </w:pPr>
    </w:p>
    <w:p w14:paraId="3B90F92C" w14:textId="65FEB197" w:rsidR="00A8138F" w:rsidRDefault="00A8138F" w:rsidP="00A8138F">
      <w:pPr>
        <w:pStyle w:val="TextoNormal"/>
      </w:pPr>
      <w:r w:rsidRPr="00A8138F">
        <w:rPr>
          <w:rStyle w:val="NumeroAFNegritaCaracter"/>
        </w:rPr>
        <w:t>1</w:t>
      </w:r>
      <w:r>
        <w:t>. Mediante escrito presentado en el registro general de este tribunal el día 2 de octubre de 2024, doña Margarita Luz Grueiro Galego, actuando en nombre y representación de doña Vanesa Grandal Formoso, interpuso recurso de amparo frente a las resoluciones judiciales a las que se ha hecho mención en el encabezamiento.</w:t>
      </w:r>
    </w:p>
    <w:p w14:paraId="6D83E782" w14:textId="77777777" w:rsidR="00A8138F" w:rsidRDefault="00A8138F" w:rsidP="00A8138F">
      <w:pPr>
        <w:pStyle w:val="TextoNormal"/>
      </w:pPr>
    </w:p>
    <w:p w14:paraId="61E32E36" w14:textId="77777777" w:rsidR="00A8138F" w:rsidRDefault="00A8138F" w:rsidP="00A8138F">
      <w:pPr>
        <w:pStyle w:val="TextoNormal"/>
      </w:pPr>
      <w:r w:rsidRPr="00A8138F">
        <w:rPr>
          <w:rStyle w:val="NumeroAFNegritaCaracter"/>
        </w:rPr>
        <w:t>2</w:t>
      </w:r>
      <w:r>
        <w:t>. El presente recurso de amparo trae causa de los siguientes antecedentes:</w:t>
      </w:r>
    </w:p>
    <w:p w14:paraId="7400233C" w14:textId="77777777" w:rsidR="00A8138F" w:rsidRDefault="00A8138F" w:rsidP="00A8138F">
      <w:pPr>
        <w:pStyle w:val="TextoNormal"/>
      </w:pPr>
    </w:p>
    <w:p w14:paraId="6C24D411" w14:textId="77777777" w:rsidR="00A8138F" w:rsidRDefault="00A8138F" w:rsidP="00A8138F">
      <w:pPr>
        <w:pStyle w:val="TextoNormal"/>
      </w:pPr>
      <w:r>
        <w:t>a) La recurrente en amparo, madre biológica de un menor nacido el día 22 de julio de 2021, con el que forma una familia monoparental, solicitó que se le ampliase la prestación por nacimiento y cuidado de hijo en las semanas que le hubieran correspondido al otro progenitor de haberse tratado de una familia biparental. Por resolución del Instituto Nacional de la Seguridad Social (INSS) de 30 de agosto de 2021 le fue desestimada su pretensión.</w:t>
      </w:r>
    </w:p>
    <w:p w14:paraId="7FD2FAC7" w14:textId="77777777" w:rsidR="00A8138F" w:rsidRDefault="00A8138F" w:rsidP="00A8138F">
      <w:pPr>
        <w:pStyle w:val="TextoNormal"/>
      </w:pPr>
    </w:p>
    <w:p w14:paraId="1071B692" w14:textId="77777777" w:rsidR="00A8138F" w:rsidRDefault="00A8138F" w:rsidP="00A8138F">
      <w:pPr>
        <w:pStyle w:val="TextoNormal"/>
      </w:pPr>
      <w:r>
        <w:t>b) Disconforme con la duración de la prestación formuló demanda en la vía judicial frente al INSS y la Tesorería General de la Seguridad Social (TGSS), lo que dio lugar a los autos de Seguridad Social núm. 649-2021 seguidos ante el Juzgado de lo Social núm. 1 de Ferrol. Por sentencia núm. 400/2021, de 25 de noviembre, se estimó la demanda reconociéndose la ampliación solicitada teniendo en cuenta la primacía del interés del menor y la igualdad de todos los hijos ante la ley con independencia del núcleo familiar del que formen parte, atendiéndose, en todo caso, a la realidad social del tiempo en que las normas se aplican (art. 3 del Código civil). Se subrayó, además, que estadísticamente la mayoría de los hogares monoparentales están formados por mujeres, de modo que la denegación de la pretensión incidía en la igualdad entre mujeres y hombres, ocasionando una discriminación indirecta por razón de sexo. Se declaró, por todo ello, el derecho de la demandante a la prestación de nacimiento y cuidado de menor por el periodo que hubiera correspondido al otro progenitor para el caso de ser una familia biparental.</w:t>
      </w:r>
    </w:p>
    <w:p w14:paraId="3EA4AB41" w14:textId="77777777" w:rsidR="00A8138F" w:rsidRDefault="00A8138F" w:rsidP="00A8138F">
      <w:pPr>
        <w:pStyle w:val="TextoNormal"/>
      </w:pPr>
    </w:p>
    <w:p w14:paraId="5CC94564" w14:textId="77777777" w:rsidR="00A8138F" w:rsidRDefault="00A8138F" w:rsidP="00A8138F">
      <w:pPr>
        <w:pStyle w:val="TextoNormal"/>
      </w:pPr>
      <w:r>
        <w:t>c) Frente a la referida sentencia se interpuso por el INSS recurso de suplicación núm. 1679-2022, que fue impugnado de contrario por la actora. El recurso fue estimado por medio de la sentencia núm. 5297/2022, de 23 de noviembre, de la Sala de lo Social del Tribunal Superior de Justicia de Galicia, que aplicando lo decidido en su anterior sentencia de 4 de mayo de 2022 (ECLI:ES:TSJGAL:2022:3415), cuyos argumentos se transcribieron, revocó la sentencia de instancia absolviendo a la demandada de las peticiones formuladas en su contra al descartar que la denegación de la ampliación de la prestación vulnerase el art. 14 CE por cuanto que el interés superior del menor no podía erigirse en principio para alterar el contenido de las normas.</w:t>
      </w:r>
    </w:p>
    <w:p w14:paraId="053F3387" w14:textId="77777777" w:rsidR="00A8138F" w:rsidRDefault="00A8138F" w:rsidP="00A8138F">
      <w:pPr>
        <w:pStyle w:val="TextoNormal"/>
      </w:pPr>
    </w:p>
    <w:p w14:paraId="5A903E9E" w14:textId="77777777" w:rsidR="00A8138F" w:rsidRDefault="00A8138F" w:rsidP="00A8138F">
      <w:pPr>
        <w:pStyle w:val="TextoNormal"/>
      </w:pPr>
      <w:r>
        <w:t>d) Frente a la anterior sentencia la parte actora interpuso recurso de casación para la unificación de doctrina núm. 3811-2023. Por providencia de 4 de abril de 2024 la Sala de lo Social abrió trámite de alegaciones para que, conforme a lo previsto en el art. 225.3 de la Ley 36/2011, de 10 de octubre, reguladora de la jurisdicción social, las partes pudieran alegar sobre posibles causas de inadmisión, en concreto sobre la falta de contenido casacional, al haber sido ya resuelto el asunto por esa Sala [sentencia de Pleno de 2 de marzo de 2023 (ECLI:ES:TS:2023:783), seguida por otras muchas]. La parte recurrente solicitó la suspensión del trámite del recurso de casación para la unificación de doctrina planteado por enten</w:t>
      </w:r>
      <w:r>
        <w:lastRenderedPageBreak/>
        <w:t>der que podría existir prejudicialidad respecto de la cuestión prejudicial, planteada por el Juzgado de lo Social núm. 1 de Sevilla el 27 de octubre de 2022, asunto C-673/22, y por la cuestión de inconstitucionalidad núm. 6694-2023, planteada por la Sala de lo Social del Tribunal Superior de Justicia de Cataluña respecto de los preceptos legales aplicados en el caso de autos. Por diligencia de ordenación de 16 de abril de 2024 se tuvo por realizada la petición de suspensión acordándose que, una vez se resolviese el trámite de admisión, en caso de admitirse el recurso, se acordaría sobre la suspensión interesada.</w:t>
      </w:r>
    </w:p>
    <w:p w14:paraId="3F51A47C" w14:textId="77777777" w:rsidR="00A8138F" w:rsidRDefault="00A8138F" w:rsidP="00A8138F">
      <w:pPr>
        <w:pStyle w:val="TextoNormal"/>
      </w:pPr>
    </w:p>
    <w:p w14:paraId="3504F605" w14:textId="77777777" w:rsidR="00A8138F" w:rsidRDefault="00A8138F" w:rsidP="00A8138F">
      <w:pPr>
        <w:pStyle w:val="TextoNormal"/>
      </w:pPr>
      <w:r>
        <w:t>e) La parte recurrente interpuso recurso de reposición frente a la citada diligencia de ordenación que, por decreto de la letrada de la administración de justicia de la Sala de lo Social, de 9 de mayo de 2024, fue objeto de desestimación.</w:t>
      </w:r>
    </w:p>
    <w:p w14:paraId="466CCF6E" w14:textId="77777777" w:rsidR="00A8138F" w:rsidRDefault="00A8138F" w:rsidP="00A8138F">
      <w:pPr>
        <w:pStyle w:val="TextoNormal"/>
      </w:pPr>
    </w:p>
    <w:p w14:paraId="2CFB9DB4" w14:textId="77777777" w:rsidR="00A8138F" w:rsidRDefault="00A8138F" w:rsidP="00A8138F">
      <w:pPr>
        <w:pStyle w:val="TextoNormal"/>
      </w:pPr>
      <w:r>
        <w:t>f) Frente al anterior decreto se interpuso recurso directo de revisión, que fue desestimado mediante auto de la Sala de lo Social del Tribunal Supremo de 12 de junio de 2024 dado que, de un lado, la cuestión prejudicial había sido inadmitida por el Tribunal de Justicia de la Unión Europea por resolución de 16 de mayo de 2024, no teniendo, en consecuencia, repercusión sobre el fondo del asunto planteado; y de otro lado, respecto de la cuestión de inconstitucionalidad señalada ya había descartado su repercusión sobre la decisión de la Sala, entre otros, en los AATS de 8 de mayo (ECLI:ES:TS:2024:6071A) y de 20 de marzo de 2024 (ECLI:ES:TS:2024:4023A) y, más recientemente en el de 3 de abril de 2024 (ECLI:ES:TS:2024:4711A), al no alegarse precepto alguno que impusiera la suspensión ni invocarse norma que sustentase la petición.</w:t>
      </w:r>
    </w:p>
    <w:p w14:paraId="192E56EB" w14:textId="77777777" w:rsidR="00A8138F" w:rsidRDefault="00A8138F" w:rsidP="00A8138F">
      <w:pPr>
        <w:pStyle w:val="TextoNormal"/>
      </w:pPr>
    </w:p>
    <w:p w14:paraId="7B53893A" w14:textId="242510B4" w:rsidR="00A8138F" w:rsidRDefault="00A8138F" w:rsidP="00A8138F">
      <w:pPr>
        <w:pStyle w:val="TextoNormal"/>
      </w:pPr>
      <w:r>
        <w:t>g) Finalmente, por medio de auto de la Sala de lo Social del Tribunal Supremo de 9 de julio de 2024 fue inadmitido el recurso de casación para la unificación de doctrina por falta de contenido casacional al ser la decisión de la sentencia recurrida coincidente con la doctrina unificada por esa Sala en sentencia de 2 de marzo de 2023, recurso núm. 3972-2020, reiterada en otras posteriores.</w:t>
      </w:r>
    </w:p>
    <w:p w14:paraId="0AF1F7D9" w14:textId="77777777" w:rsidR="00A8138F" w:rsidRDefault="00A8138F" w:rsidP="00A8138F">
      <w:pPr>
        <w:pStyle w:val="TextoNormal"/>
      </w:pPr>
    </w:p>
    <w:p w14:paraId="36D27C5C" w14:textId="2381127E" w:rsidR="00A8138F" w:rsidRDefault="00A8138F" w:rsidP="00A8138F">
      <w:pPr>
        <w:pStyle w:val="TextoNormal"/>
      </w:pPr>
      <w:r w:rsidRPr="00A8138F">
        <w:rPr>
          <w:rStyle w:val="NumeroAFNegritaCaracter"/>
        </w:rPr>
        <w:t>3</w:t>
      </w:r>
      <w:r>
        <w:t>. En la demanda de amparo la recurrente denuncia la infracción del derecho a la igualdad y a la no discriminación (art. 14 CE) y del derecho a la tutela judicial efectiva (art. 24 CE). En primer lugar, en cuanto a la vulneración del art. 14 CE se denuncia la existencia de: (i) discriminación del menor por haber nacido en el seno de una familia monoparental integrada por una madre soltera sin otro progenitor, lo que le genera una merma en su cuidado y desarrollo con relación a los que nacen en familias con dos progenitores; y (ii) discriminación de la madre por razón de sexo y de estado civil al ser titular de una familia monoparental. No existe justificación objetiva y razonable que fundamente el trato desigual que uno y otra reciben por el hecho de constituir una familia monoparental. En segundo lugar, se denuncia también la vulneración del derecho a la tutela judicial efectiva (art. 24 CE) imputable al auto de la Sala de lo Social del Tribunal Supremo de 9 de julio de 2024, que inadmitió su recurso de casación para la unificación de doctrina al no acordar la suspensión de la tramitación de ese recurso, lo que supuso la adquisición de firmeza de la sentencia recurrida privando a esa parte de esa instancia y de una nueva sentencia, que habría de dictarse una vez que el Tribunal Constitucional se pronunciase sobre la cuestión de inconstitucionalidad núm. 6694-2023 planteada por el Tribunal Superior de Justicia de Cataluña.</w:t>
      </w:r>
    </w:p>
    <w:p w14:paraId="3F40210F" w14:textId="77777777" w:rsidR="00A8138F" w:rsidRDefault="00A8138F" w:rsidP="00A8138F">
      <w:pPr>
        <w:pStyle w:val="TextoNormal"/>
      </w:pPr>
    </w:p>
    <w:p w14:paraId="4DCD28E2" w14:textId="4E7CD765" w:rsidR="00A8138F" w:rsidRDefault="00A8138F" w:rsidP="00A8138F">
      <w:pPr>
        <w:pStyle w:val="TextoNormal"/>
      </w:pPr>
      <w:r w:rsidRPr="00A8138F">
        <w:rPr>
          <w:rStyle w:val="NumeroAFNegritaCaracter"/>
        </w:rPr>
        <w:t>4</w:t>
      </w:r>
      <w:r>
        <w:t>. El 16 de octubre de 2024 la recurrente en amparo presentó escrito de ratificación de la demanda de amparo y el 11 de noviembre siguiente se aportó el escrito de demanda sus</w:t>
      </w:r>
      <w:r>
        <w:lastRenderedPageBreak/>
        <w:t>crito por la procuradora designada en el turno de oficio con acreditación de la representación procesal de la recurrente.</w:t>
      </w:r>
    </w:p>
    <w:p w14:paraId="51173B32" w14:textId="77777777" w:rsidR="00A8138F" w:rsidRDefault="00A8138F" w:rsidP="00A8138F">
      <w:pPr>
        <w:pStyle w:val="TextoNormal"/>
      </w:pPr>
    </w:p>
    <w:p w14:paraId="4F0DAEDC" w14:textId="501775C6" w:rsidR="00A8138F" w:rsidRDefault="00A8138F" w:rsidP="00A8138F">
      <w:pPr>
        <w:pStyle w:val="TextoNormal"/>
      </w:pPr>
      <w:r w:rsidRPr="00A8138F">
        <w:rPr>
          <w:rStyle w:val="NumeroAFNegritaCaracter"/>
        </w:rPr>
        <w:t>5</w:t>
      </w:r>
      <w:r>
        <w:t>. Por providencia de 16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 Galicia, a fin de que, en un plazo que no excediera de diez días, remitiesen certificación o fotocopia adverada de las actuaciones correspondientes al recurso de casación para la unificación de doctrina núm. 3811-2023 y al recurso de suplicación núm. 1679-2022, respectivamente. Asimismo, acordó dirigir atenta comunicación al Juzgado de lo Social núm. 1 de Ferrol a fin de que, en plazo que no excediera de diez días, remitiese certificación o fotocopia adverada de las actuaciones correspondientes a los autos núm. 649-2021, emplazando a quienes hubieran sido parte en el procedimiento, excepto la parte recurrente en amparo, para que, si lo deseaban, pudieran comparecer en el presente recurso.</w:t>
      </w:r>
    </w:p>
    <w:p w14:paraId="487421BF" w14:textId="77777777" w:rsidR="00A8138F" w:rsidRDefault="00A8138F" w:rsidP="00A8138F">
      <w:pPr>
        <w:pStyle w:val="TextoNormal"/>
      </w:pPr>
    </w:p>
    <w:p w14:paraId="6028BAEC" w14:textId="6454C37D" w:rsidR="00A8138F" w:rsidRDefault="00A8138F" w:rsidP="00A8138F">
      <w:pPr>
        <w:pStyle w:val="TextoNormal"/>
      </w:pPr>
      <w:r w:rsidRPr="00A8138F">
        <w:rPr>
          <w:rStyle w:val="NumeroAFNegritaCaracter"/>
        </w:rPr>
        <w:t>6</w:t>
      </w:r>
      <w:r>
        <w:t>. El 4 de febrero de 2025 la letrada de la administración de la Seguridad Social en la representación que ostenta se personó como parte recurrida, manifestando que se allanaba a las pretensiones del recurso de amparo. En tal sentido, señaló que a la vista de lo resuelto por el Pleno de este tribunal en su sentencia de 6 de noviembre de 2024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7 de la STC 140/2024, de 6 de noviembre, lo que sucedía en el presente caso.</w:t>
      </w:r>
    </w:p>
    <w:p w14:paraId="7F622BB3" w14:textId="77777777" w:rsidR="00A8138F" w:rsidRDefault="00A8138F" w:rsidP="00A8138F">
      <w:pPr>
        <w:pStyle w:val="TextoNormal"/>
      </w:pPr>
    </w:p>
    <w:p w14:paraId="74EE7063" w14:textId="7C5302F4" w:rsidR="00A8138F" w:rsidRDefault="00A8138F" w:rsidP="00A8138F">
      <w:pPr>
        <w:pStyle w:val="TextoNormal"/>
      </w:pPr>
      <w:r w:rsidRPr="00A8138F">
        <w:rPr>
          <w:rStyle w:val="NumeroAFNegritaCaracter"/>
        </w:rPr>
        <w:t>7</w:t>
      </w:r>
      <w:r>
        <w:t>. Por diligencia de ordenación de 11 de febrero de 2025 la Secretaría de Justicia de la Sala Primera de este tribunal tuvo por personada y parte a la letrada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w:t>
      </w:r>
    </w:p>
    <w:p w14:paraId="39F320B3" w14:textId="77777777" w:rsidR="00A8138F" w:rsidRDefault="00A8138F" w:rsidP="00A8138F">
      <w:pPr>
        <w:pStyle w:val="TextoNormal"/>
      </w:pPr>
    </w:p>
    <w:p w14:paraId="3BCBC500" w14:textId="350C70D2" w:rsidR="00A8138F" w:rsidRDefault="00A8138F" w:rsidP="00A8138F">
      <w:pPr>
        <w:pStyle w:val="TextoNormal"/>
      </w:pPr>
      <w:r w:rsidRPr="00A8138F">
        <w:rPr>
          <w:rStyle w:val="NumeroAFNegritaCaracter"/>
        </w:rPr>
        <w:t>8</w:t>
      </w:r>
      <w:r>
        <w:t>. Por escrito registrado en este tribunal el día 25 de febrero de 2025 la letrada de la administración de la Seguridad Social suplicó que se tuviera por realizado el allanamiento a la demanda en el presente recurso de amparo en los mismos términos expresados en su anterior escrito de 4 de febrero.</w:t>
      </w:r>
    </w:p>
    <w:p w14:paraId="74D111E3" w14:textId="77777777" w:rsidR="00A8138F" w:rsidRDefault="00A8138F" w:rsidP="00A8138F">
      <w:pPr>
        <w:pStyle w:val="TextoNormal"/>
      </w:pPr>
    </w:p>
    <w:p w14:paraId="37BF90B2" w14:textId="7AB2F20A" w:rsidR="00A8138F" w:rsidRDefault="00A8138F" w:rsidP="00A8138F">
      <w:pPr>
        <w:pStyle w:val="TextoNormal"/>
      </w:pPr>
      <w:r w:rsidRPr="00A8138F">
        <w:rPr>
          <w:rStyle w:val="NumeroAFNegritaCaracter"/>
        </w:rPr>
        <w:t>9</w:t>
      </w:r>
      <w:r>
        <w:t>. Por escrito de 6 de marzo de 2025 la representación procesal de la recurrente en amparo evacuó el trámite de alegaciones conferido, y con mención de la STC 140/2024, de 6 de noviembre, solicitó que se dictase sentencia estimando la pretensión en los términos interesados en la demanda de amparo.</w:t>
      </w:r>
    </w:p>
    <w:p w14:paraId="1550011E" w14:textId="77777777" w:rsidR="00A8138F" w:rsidRDefault="00A8138F" w:rsidP="00A8138F">
      <w:pPr>
        <w:pStyle w:val="TextoNormal"/>
      </w:pPr>
    </w:p>
    <w:p w14:paraId="0C3CA60E" w14:textId="6B2C70B3" w:rsidR="00A8138F" w:rsidRDefault="00A8138F" w:rsidP="00A8138F">
      <w:pPr>
        <w:pStyle w:val="TextoNormal"/>
      </w:pPr>
      <w:r w:rsidRPr="00A8138F">
        <w:rPr>
          <w:rStyle w:val="NumeroAFNegritaCaracter"/>
        </w:rPr>
        <w:t>10</w:t>
      </w:r>
      <w:r>
        <w:t>. El 12 de marzo de 2025 el fiscal ante este tribunal presentó escrito de alegaciones interesando la estimación del recurso de amparo por vulneración del derecho a la igualdad y a la no discriminación por razón de nacimiento, en relación con la protección integral de los hijos con independencia de su filiación y conforme a los convenios internacionales que velan por sus derechos (art. 14 en relación con el art. 39 CE), señalando que debía ganar vigencia la sentencia dictada por el Juzgado de lo Social núm. 1 de Ferrol, que estimó la demanda de la recurrente declarando su derecho a la ampliación de la prestación en los términos recogidos en el FJ 7 de la STC 140/2024, y argumentando la infracción del art. 14 CE de modo coincidente, en lo esencial, con la doctrina sentada en la citada sentencia. Dicho esto, el fiscal interesa que se acuerde la anulación de la sentencia núm. 5297/2022, de 23 de noviembre, de la Sala de lo Social del Tribunal Superior de Justicia de Galicia, con retroacción de actuaciones para que por la misma Sala se dicte una nueva resolución respetando el derecho fundamental vulnerado según resulta de la doctrina constitucional establecida en la STC 140/2024, de 6 de noviembre.</w:t>
      </w:r>
    </w:p>
    <w:p w14:paraId="61A7D753" w14:textId="77777777" w:rsidR="00A8138F" w:rsidRDefault="00A8138F" w:rsidP="00A8138F">
      <w:pPr>
        <w:pStyle w:val="TextoNormal"/>
      </w:pPr>
    </w:p>
    <w:p w14:paraId="38A91D2C" w14:textId="4AD0F461" w:rsidR="00A8138F" w:rsidRDefault="00A8138F" w:rsidP="00A8138F">
      <w:pPr>
        <w:pStyle w:val="TextoNormal"/>
      </w:pPr>
      <w:r w:rsidRPr="00A8138F">
        <w:rPr>
          <w:rStyle w:val="NumeroAFNegritaCaracter"/>
        </w:rPr>
        <w:t>11</w:t>
      </w:r>
      <w:r>
        <w:t>. Mediante providencia de 3 de abril de 2025 se acordó señalar el día 7 de los corrientes para deliberación y votación de la presente sentencia.</w:t>
      </w:r>
    </w:p>
    <w:p w14:paraId="13DCB0F3" w14:textId="77777777" w:rsidR="00A8138F" w:rsidRDefault="00A8138F" w:rsidP="00A8138F">
      <w:pPr>
        <w:pStyle w:val="TextoNormal"/>
      </w:pPr>
    </w:p>
    <w:p w14:paraId="60AD6991" w14:textId="77777777" w:rsidR="00A8138F" w:rsidRDefault="00A8138F" w:rsidP="00A8138F">
      <w:pPr>
        <w:pStyle w:val="TextoNormalNegritaCentrado"/>
        <w:keepNext/>
      </w:pPr>
      <w:r>
        <w:t>II. Fundamentos jurídicos</w:t>
      </w:r>
    </w:p>
    <w:p w14:paraId="1BB3A03A" w14:textId="5516A464" w:rsidR="00A8138F" w:rsidRDefault="00A8138F" w:rsidP="00A8138F">
      <w:pPr>
        <w:pStyle w:val="TextoNormalNegritaCentrado"/>
        <w:keepNext/>
      </w:pPr>
    </w:p>
    <w:p w14:paraId="1A02A56A"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31DB9213" w14:textId="77777777" w:rsidR="00A8138F" w:rsidRDefault="00A8138F" w:rsidP="00A8138F">
      <w:pPr>
        <w:pStyle w:val="TextoNormal"/>
      </w:pPr>
    </w:p>
    <w:p w14:paraId="017B6DBA" w14:textId="7F6E6A6E"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14:paraId="7A9AC03B" w14:textId="77777777" w:rsidR="00A8138F" w:rsidRDefault="00A8138F" w:rsidP="00A8138F">
      <w:pPr>
        <w:pStyle w:val="TextoNormal"/>
      </w:pPr>
    </w:p>
    <w:p w14:paraId="03A4E08E"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375AC809" w14:textId="77777777" w:rsidR="00A8138F" w:rsidRDefault="00A8138F" w:rsidP="00A8138F">
      <w:pPr>
        <w:pStyle w:val="TextoNormal"/>
      </w:pPr>
    </w:p>
    <w:p w14:paraId="715FDFF0"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6B287AB7" w14:textId="77777777" w:rsidR="00A8138F" w:rsidRDefault="00A8138F" w:rsidP="00A8138F">
      <w:pPr>
        <w:pStyle w:val="TextoNormal"/>
      </w:pPr>
    </w:p>
    <w:p w14:paraId="73F81ED7" w14:textId="77777777" w:rsidR="00A8138F" w:rsidRDefault="00A8138F" w:rsidP="00A8138F">
      <w:pPr>
        <w:pStyle w:val="TextoNormal"/>
      </w:pPr>
      <w:r>
        <w:t xml:space="preserve">Aclarado este punto, la cuestión de fondo planteada en este recurso de amparo es coincidente con la resuelta por la STC 140/2024, de 6 de noviembre, por lo que debemos remitirnos a sus fundamentos jurídicos, en los que respectivamente expusimos la evolución de la </w:t>
      </w:r>
      <w:r>
        <w:lastRenderedPageBreak/>
        <w:t>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A76005E" w14:textId="77777777" w:rsidR="00A8138F" w:rsidRDefault="00A8138F" w:rsidP="00A8138F">
      <w:pPr>
        <w:pStyle w:val="TextoNormal"/>
      </w:pPr>
    </w:p>
    <w:p w14:paraId="1C68AB12"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6304E57" w14:textId="77777777" w:rsidR="00A8138F" w:rsidRDefault="00A8138F" w:rsidP="00A8138F">
      <w:pPr>
        <w:pStyle w:val="TextoNormal"/>
      </w:pPr>
    </w:p>
    <w:p w14:paraId="65777183"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719167EC" w14:textId="77777777" w:rsidR="00A8138F" w:rsidRDefault="00A8138F" w:rsidP="00A8138F">
      <w:pPr>
        <w:pStyle w:val="TextoNormal"/>
      </w:pPr>
    </w:p>
    <w:p w14:paraId="7450763A" w14:textId="77777777" w:rsidR="00A8138F" w:rsidRDefault="00A8138F" w:rsidP="00A8138F">
      <w:pPr>
        <w:pStyle w:val="TextoNormal"/>
      </w:pPr>
      <w:r>
        <w:t>En consecuencia, debe estimarse la demanda y otorgar el amparo solicitado. La estimación de la demanda ha de conllevar la declaración de nulidad de la sentencia núm. 5297/2022, de 23 de noviembre, de la Sala de lo Social del Tribunal Superior de Justicia de Galicia, así como del auto de la Sala de lo Social del Tribunal Supremo de 9 de julio de 2024 que declaró su firmeza. En contra de lo interesado por la parte recurrente y lo manifestado por el fiscal, no procede en el presente caso, sin embargo, la retroacción hasta el momento anterior al dictado de la sentencia del Tribunal Superior de Justicia de Galicia para que su Sala de lo Social dicte otra respetuosa con el derecho fundamental, bastando con declarar la firmeza de la sentencia núm. 400/2021, de 25 de noviembre, del Juzgado de lo Social núm. 1 de Ferrol, que estimó la pretensión de ampliación de la prestación por nacimiento y cuidado de hijo en términos concordantes, en lo esencial, con lo declarado en la STC 140/2024. La sentencia del juzgado de lo social habrá de ejecutarse de conformidad con lo expuesto en el FJ 7 de la ya citada STC 140/2024 que, en lo que interesa ahora destacar, establece que la ampliación del permiso supone el disfrute de diez semanas adi</w:t>
      </w:r>
      <w:r>
        <w:lastRenderedPageBreak/>
        <w:t>cionales, al excluirse las seis primeras que, al ser de disfrute obligatorio, coincidirían con las del otro progenitor.</w:t>
      </w:r>
    </w:p>
    <w:p w14:paraId="6EB1805D" w14:textId="77777777" w:rsidR="00A8138F" w:rsidRDefault="00A8138F" w:rsidP="00A8138F">
      <w:pPr>
        <w:pStyle w:val="TextoNormal"/>
      </w:pPr>
    </w:p>
    <w:p w14:paraId="70119E7C" w14:textId="2C5A8837" w:rsidR="00A8138F" w:rsidRDefault="00A8138F" w:rsidP="00A8138F">
      <w:pPr>
        <w:pStyle w:val="TextoNormal"/>
      </w:pPr>
      <w:r>
        <w:t>A la vista de la estimación de este recurso de amparo por la vulneración del art. 14 CE, se hace innecesario un pronunciamiento sobre la queja de la recurrente relativa a la infracción del art. 24 CE dirigida al auto de la Sala de lo Social del Tribunal Supremo de 22 de mayo de 2024, por no accederse a la suspensión de la tramitación del recurso de casación para la unificación de doctrina interesada por la parte.</w:t>
      </w:r>
    </w:p>
    <w:p w14:paraId="34E4AB27" w14:textId="77777777" w:rsidR="00A8138F" w:rsidRDefault="00A8138F" w:rsidP="00A8138F">
      <w:pPr>
        <w:pStyle w:val="TextoNormal"/>
      </w:pPr>
    </w:p>
    <w:p w14:paraId="710C2B1B" w14:textId="77777777" w:rsidR="00A8138F" w:rsidRDefault="00A8138F" w:rsidP="00A8138F">
      <w:pPr>
        <w:pStyle w:val="TextoNormalCentrado"/>
        <w:keepNext/>
      </w:pPr>
      <w:r>
        <w:t>FALLO</w:t>
      </w:r>
    </w:p>
    <w:p w14:paraId="23162D8B" w14:textId="24DDEE50" w:rsidR="00A8138F" w:rsidRDefault="00A8138F" w:rsidP="00A8138F">
      <w:pPr>
        <w:pStyle w:val="TextoNormalCentrado"/>
        <w:keepNext/>
      </w:pPr>
    </w:p>
    <w:p w14:paraId="70E3DCB7"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Vanesa Grandal Formoso y, en su virtud:</w:t>
      </w:r>
    </w:p>
    <w:p w14:paraId="74CB3604" w14:textId="77777777" w:rsidR="00A8138F" w:rsidRDefault="00A8138F" w:rsidP="00A8138F">
      <w:pPr>
        <w:pStyle w:val="TextoNormal"/>
      </w:pPr>
    </w:p>
    <w:p w14:paraId="113DEFE4" w14:textId="77777777" w:rsidR="00A8138F" w:rsidRDefault="00A8138F" w:rsidP="00A8138F">
      <w:pPr>
        <w:pStyle w:val="TextoNormal"/>
      </w:pPr>
      <w:r>
        <w:t>1º Declarar vulnerado el derecho fundamental a la igualdad ante la ley sin discriminación por razón de nacimiento (art. 14 CE).</w:t>
      </w:r>
    </w:p>
    <w:p w14:paraId="0426CF03" w14:textId="77777777" w:rsidR="00A8138F" w:rsidRDefault="00A8138F" w:rsidP="00A8138F">
      <w:pPr>
        <w:pStyle w:val="TextoNormal"/>
      </w:pPr>
    </w:p>
    <w:p w14:paraId="06416238" w14:textId="77777777" w:rsidR="00A8138F" w:rsidRDefault="00A8138F" w:rsidP="00A8138F">
      <w:pPr>
        <w:pStyle w:val="TextoNormal"/>
      </w:pPr>
      <w:r>
        <w:t>2º Restablecerla en su derecho y, a tal fin, declarar la nulidad de la sentencia núm. 5297/2022, de 23 de noviembre, de la Sala de lo Social del Tribunal Superior de Justicia de Galicia, dictada en el recurso de suplicación núm. 1679-2022, y del auto de la Sala de lo Social del Tribunal Supremo de 9 de julio de 2024, dictado en el recurso de casación para la unificación de doctrina núm. 3811-2023 que declaró su firmeza.</w:t>
      </w:r>
    </w:p>
    <w:p w14:paraId="60FDCACD" w14:textId="77777777" w:rsidR="00A8138F" w:rsidRDefault="00A8138F" w:rsidP="00A8138F">
      <w:pPr>
        <w:pStyle w:val="TextoNormal"/>
      </w:pPr>
    </w:p>
    <w:p w14:paraId="579DE6A1" w14:textId="321D37C3" w:rsidR="00A8138F" w:rsidRDefault="00A8138F" w:rsidP="00A8138F">
      <w:pPr>
        <w:pStyle w:val="TextoNormal"/>
      </w:pPr>
      <w:r>
        <w:t>3º Declarar la firmeza de la sentencia núm. 400/2021, de 25 de noviembre, del Juzgado de lo Social núm. 1 de Ferrol, dictada en los autos núm. 649-2021, que habrá de ejecutarse de conformidad con lo expuesto en el FJ 7 de la STC 140/2024, de 6 de noviembre.</w:t>
      </w:r>
    </w:p>
    <w:p w14:paraId="2BAC5DA0" w14:textId="77777777" w:rsidR="00A8138F" w:rsidRDefault="00A8138F" w:rsidP="00A8138F">
      <w:pPr>
        <w:pStyle w:val="TextoNormal"/>
      </w:pPr>
    </w:p>
    <w:p w14:paraId="0EA1ECE8" w14:textId="77777777" w:rsidR="00A8138F" w:rsidRDefault="00A8138F" w:rsidP="00A8138F">
      <w:pPr>
        <w:pStyle w:val="TextoNormal"/>
      </w:pPr>
      <w:r>
        <w:t>Publíquese esta sentencia en el “Boletín Oficial del Estado”.</w:t>
      </w:r>
    </w:p>
    <w:p w14:paraId="250E6407" w14:textId="77777777" w:rsidR="00A8138F" w:rsidRDefault="00A8138F" w:rsidP="00A8138F">
      <w:pPr>
        <w:pStyle w:val="TextoNormal"/>
      </w:pPr>
      <w:r>
        <w:t>Dada en Madrid, a siete de abril de dos mil veinticinco.</w:t>
      </w:r>
    </w:p>
    <w:p w14:paraId="52DCD9BD" w14:textId="7D9A0F48" w:rsidR="00A8138F" w:rsidRDefault="00A8138F">
      <w:pPr>
        <w:spacing w:after="160" w:line="278" w:lineRule="auto"/>
        <w:rPr>
          <w:rFonts w:ascii="Times New Roman" w:eastAsia="Times New Roman" w:hAnsi="Times New Roman" w:cs="Times New Roman"/>
          <w:sz w:val="24"/>
          <w:szCs w:val="24"/>
          <w:lang w:eastAsia="es-ES"/>
        </w:rPr>
      </w:pPr>
      <w:r>
        <w:br w:type="page"/>
      </w:r>
    </w:p>
    <w:p w14:paraId="36BAA827" w14:textId="77777777" w:rsidR="00A8138F" w:rsidRDefault="00A8138F" w:rsidP="00A8138F">
      <w:pPr>
        <w:pStyle w:val="TtuloResolucin"/>
      </w:pPr>
      <w:bookmarkStart w:id="93" w:name="SENTENCIA_2025_91"/>
      <w:r>
        <w:lastRenderedPageBreak/>
        <w:t>SENTENCIA 91/2025, de 7 de abril de 2025</w:t>
      </w:r>
    </w:p>
    <w:bookmarkEnd w:id="93"/>
    <w:p w14:paraId="72199C91" w14:textId="77777777" w:rsidR="00A8138F" w:rsidRDefault="00A8138F" w:rsidP="00A8138F">
      <w:pPr>
        <w:pStyle w:val="TtuloResolucin"/>
      </w:pPr>
      <w:r>
        <w:t>Sala Segunda</w:t>
      </w:r>
    </w:p>
    <w:p w14:paraId="75000011" w14:textId="77777777" w:rsidR="00A8138F" w:rsidRDefault="00A8138F" w:rsidP="00A8138F">
      <w:pPr>
        <w:pStyle w:val="TtuloBOE"/>
      </w:pPr>
      <w:r>
        <w:t>(BOE núm. 117, de 15 de mayo de 2025)</w:t>
      </w:r>
    </w:p>
    <w:p w14:paraId="578AF0CC" w14:textId="77777777" w:rsidR="00A8138F" w:rsidRDefault="00A8138F" w:rsidP="00A8138F">
      <w:pPr>
        <w:pStyle w:val="TextoNormalCentrado"/>
      </w:pPr>
      <w:r>
        <w:t>ECLI:ES:TC:2025:91</w:t>
      </w:r>
    </w:p>
    <w:p w14:paraId="1A66E420" w14:textId="784A5AD1" w:rsidR="00A8138F" w:rsidRDefault="00A8138F" w:rsidP="00A8138F">
      <w:pPr>
        <w:pStyle w:val="TextoNormalCentrado"/>
      </w:pPr>
    </w:p>
    <w:p w14:paraId="1D662D1C" w14:textId="77777777" w:rsidR="00A8138F" w:rsidRDefault="00A8138F" w:rsidP="00A8138F">
      <w:pPr>
        <w:pStyle w:val="SntesisDescriptiva"/>
      </w:pPr>
      <w:r>
        <w:t>Recurso de amparo 7473-2024. Promovido por doña Carolina Oliveras Humanes en relación con las resoluciones administrativas y judiciales que desestimaron su petición de revisión y ampliación de la prestación por nacimiento y cuidado de hijo menor, como madre biológica de familia monoparental.</w:t>
      </w:r>
    </w:p>
    <w:p w14:paraId="094F37A5" w14:textId="5A62DA86" w:rsidR="00A8138F" w:rsidRDefault="00A8138F" w:rsidP="00A8138F">
      <w:pPr>
        <w:pStyle w:val="SntesisDescriptiva"/>
      </w:pPr>
    </w:p>
    <w:p w14:paraId="1FC435C5"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C7A9424" w14:textId="2F3BAF63" w:rsidR="00A8138F" w:rsidRDefault="00A8138F" w:rsidP="00A8138F">
      <w:pPr>
        <w:pStyle w:val="SntesisAnaltica"/>
      </w:pPr>
    </w:p>
    <w:p w14:paraId="15DD58AD" w14:textId="679F9BFE"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65FFB1AF" w14:textId="77777777" w:rsidR="00A8138F" w:rsidRDefault="00A8138F" w:rsidP="00A8138F">
      <w:pPr>
        <w:pStyle w:val="Extracto"/>
      </w:pPr>
    </w:p>
    <w:p w14:paraId="30980848" w14:textId="77777777" w:rsidR="00A8138F" w:rsidRDefault="00A8138F" w:rsidP="00A8138F">
      <w:pPr>
        <w:pStyle w:val="Extracto"/>
      </w:pPr>
    </w:p>
    <w:p w14:paraId="2189A0F6"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52DCC053" w14:textId="7E5F1A87" w:rsidR="00A8138F" w:rsidRDefault="00A8138F" w:rsidP="00A8138F">
      <w:pPr>
        <w:pStyle w:val="TextoNormal"/>
      </w:pPr>
    </w:p>
    <w:p w14:paraId="73DE4CF8" w14:textId="77777777" w:rsidR="00A8138F" w:rsidRDefault="00A8138F" w:rsidP="00A8138F">
      <w:pPr>
        <w:pStyle w:val="TextoNormalCentrado"/>
        <w:keepNext/>
      </w:pPr>
      <w:r>
        <w:t>EN NOMBRE DEL REY</w:t>
      </w:r>
    </w:p>
    <w:p w14:paraId="5A116FD1" w14:textId="69FB970A" w:rsidR="00A8138F" w:rsidRDefault="00A8138F" w:rsidP="00A8138F">
      <w:pPr>
        <w:pStyle w:val="TextoNormalCentrado"/>
        <w:keepNext/>
      </w:pPr>
    </w:p>
    <w:p w14:paraId="3B415733" w14:textId="77777777" w:rsidR="00A8138F" w:rsidRDefault="00A8138F" w:rsidP="00A8138F">
      <w:pPr>
        <w:pStyle w:val="TextoNormalCentrado"/>
        <w:keepNext/>
      </w:pPr>
    </w:p>
    <w:p w14:paraId="47DF2491" w14:textId="77777777" w:rsidR="00A8138F" w:rsidRDefault="00A8138F" w:rsidP="00A8138F">
      <w:pPr>
        <w:pStyle w:val="TextoNormal"/>
      </w:pPr>
      <w:r>
        <w:t>la siguiente</w:t>
      </w:r>
    </w:p>
    <w:p w14:paraId="7427C1F0" w14:textId="3447F718" w:rsidR="00A8138F" w:rsidRDefault="00A8138F" w:rsidP="00A8138F">
      <w:pPr>
        <w:pStyle w:val="TextoNormal"/>
      </w:pPr>
    </w:p>
    <w:p w14:paraId="733398AC" w14:textId="77777777" w:rsidR="00A8138F" w:rsidRDefault="00A8138F" w:rsidP="00A8138F">
      <w:pPr>
        <w:pStyle w:val="TextoNormalCentrado"/>
        <w:keepNext/>
      </w:pPr>
      <w:r>
        <w:t>SENTENCIA</w:t>
      </w:r>
    </w:p>
    <w:p w14:paraId="5ED8152A" w14:textId="22B0C99F" w:rsidR="00A8138F" w:rsidRDefault="00A8138F" w:rsidP="00A8138F">
      <w:pPr>
        <w:pStyle w:val="TextoNormalCentrado"/>
        <w:keepNext/>
      </w:pPr>
    </w:p>
    <w:p w14:paraId="5387C16E" w14:textId="77777777" w:rsidR="00A8138F" w:rsidRDefault="00A8138F" w:rsidP="00A8138F">
      <w:pPr>
        <w:pStyle w:val="TextoNormal"/>
      </w:pPr>
      <w:r>
        <w:t>En el recurso de amparo núm. 7473-2024, promovido por doña Carolina Oliveras Humanes contra la sentencia núm. 468/2023, de 25 de mayo, de la Sección Tercera de la Sala de lo Social del Tribunal Superior de Justicia de Madrid, dictada en el recurso de suplicación núm. 90-2023, y contra el auto de 2 de julio de 2024 de la Sala de lo Social del Tribunal Supremo, dictado en el recurso de casación para unificación de doctrina núm. 3522-2023. Ha sido parte el Instituto Nacional de la Seguridad Social (INSS) y la Tesorería General de la Seguridad Social (TGSS). Ha intervenido el Ministerio Fiscal. Ha sido ponente el magistrado don Ramón Sáez Valcárcel.</w:t>
      </w:r>
    </w:p>
    <w:p w14:paraId="1541FEC1" w14:textId="33620C89" w:rsidR="00A8138F" w:rsidRDefault="00A8138F" w:rsidP="00A8138F">
      <w:pPr>
        <w:pStyle w:val="TextoNormal"/>
      </w:pPr>
    </w:p>
    <w:p w14:paraId="7551945B" w14:textId="77777777" w:rsidR="00A8138F" w:rsidRDefault="00A8138F" w:rsidP="00A8138F">
      <w:pPr>
        <w:pStyle w:val="TextoNormalNegritaCentrado"/>
        <w:keepNext/>
      </w:pPr>
      <w:r>
        <w:t>I. Antecedentes</w:t>
      </w:r>
    </w:p>
    <w:p w14:paraId="62FAC6E0" w14:textId="49AC62A8" w:rsidR="00A8138F" w:rsidRDefault="00A8138F" w:rsidP="00A8138F">
      <w:pPr>
        <w:pStyle w:val="TextoNormalNegritaCentrado"/>
        <w:keepNext/>
      </w:pPr>
    </w:p>
    <w:p w14:paraId="4E6C4906" w14:textId="77736B98" w:rsidR="00A8138F" w:rsidRDefault="00A8138F" w:rsidP="00A8138F">
      <w:pPr>
        <w:pStyle w:val="TextoNormal"/>
      </w:pPr>
      <w:r w:rsidRPr="00A8138F">
        <w:rPr>
          <w:rStyle w:val="NumeroAFNegritaCaracter"/>
        </w:rPr>
        <w:t>1</w:t>
      </w:r>
      <w:r>
        <w:t xml:space="preserve">. Doña Carolina Oliveras Humanes, representada por la procuradora de los tribunales doña Alicia Suau Casado y asistida de la abogada doña Aida Casanova Pérez, interpuso </w:t>
      </w:r>
      <w:r>
        <w:lastRenderedPageBreak/>
        <w:t>recurso de amparo contra la sentencia y el auto que se mencionan en el encabezamiento, mediante escrito presentado en el registro electrónico de este tribunal el 7 de octubre de 2024.</w:t>
      </w:r>
    </w:p>
    <w:p w14:paraId="1B1EF0BD" w14:textId="77777777" w:rsidR="00A8138F" w:rsidRDefault="00A8138F" w:rsidP="00A8138F">
      <w:pPr>
        <w:pStyle w:val="TextoNormal"/>
      </w:pPr>
    </w:p>
    <w:p w14:paraId="239C9FF2" w14:textId="77777777" w:rsidR="00A8138F" w:rsidRDefault="00A8138F" w:rsidP="00A8138F">
      <w:pPr>
        <w:pStyle w:val="TextoNormal"/>
      </w:pPr>
      <w:r w:rsidRPr="00A8138F">
        <w:rPr>
          <w:rStyle w:val="NumeroAFNegritaCaracter"/>
        </w:rPr>
        <w:t>2</w:t>
      </w:r>
      <w:r>
        <w:t>. Los antecedentes relevantes para resolver el recurso son los siguientes:</w:t>
      </w:r>
    </w:p>
    <w:p w14:paraId="7BA5E092" w14:textId="77777777" w:rsidR="00A8138F" w:rsidRDefault="00A8138F" w:rsidP="00A8138F">
      <w:pPr>
        <w:pStyle w:val="TextoNormal"/>
      </w:pPr>
    </w:p>
    <w:p w14:paraId="692CE18B" w14:textId="77777777" w:rsidR="00A8138F" w:rsidRDefault="00A8138F" w:rsidP="00A8138F">
      <w:pPr>
        <w:pStyle w:val="TextoNormal"/>
      </w:pPr>
      <w:r>
        <w:t>a) El 14 de febrero de 2022 la demandante de amparo, madre de un niño, nacido el 28 de enero de 2022, con el que forma una familia monoparental al ser la única progenitora, solicitó del INSS la prestación de nacimiento y cuidado de menor. El INSS, por resolución de 16 de febrero de 2022, recaída en el expediente núm. 28202202240592, le reconoció el derecho a la prestación de nacimiento y cuidado de menor por dieciséis semanas con efectos desde el nacimiento hasta el 19 de mayo de 2022. El 19 de febrero de 2022 solicitó del INSS que dicha prestación se le ampliase en las dieciséis semanas que legalmente habrían correspondido al otro progenitor si se hubiera tratado de una familia biparental. Ante la falta de respuesta, la recurrente presentó el 4 de abril de 2022 reclamación previa al INSS, que fue desestimada por silencio administrativo.</w:t>
      </w:r>
    </w:p>
    <w:p w14:paraId="0D667E31" w14:textId="77777777" w:rsidR="00A8138F" w:rsidRDefault="00A8138F" w:rsidP="00A8138F">
      <w:pPr>
        <w:pStyle w:val="TextoNormal"/>
      </w:pPr>
    </w:p>
    <w:p w14:paraId="78A7865A" w14:textId="77777777" w:rsidR="00A8138F" w:rsidRDefault="00A8138F" w:rsidP="00A8138F">
      <w:pPr>
        <w:pStyle w:val="TextoNormal"/>
      </w:pPr>
      <w:r>
        <w:t>b) La señora Oliveras demandó al INSS y a la TGSS por vulneración de los arts. 14 y 39 CE, alegando, entre otros motivos, discriminación del menor y de las familias monoparentales y solicitó la ampliación de la prestación en dieciséis semanas. La sentencia núm. 388/2022, de 1 de diciembre, del Juzgado de lo Social núm. 18 de Madrid, dictada en el procedimiento de Seguridad Social núm. 648-2022, estimó parcialmente la demanda y le reconoció el derecho a disfrutar diez semanas adicionales de prestación por nacimiento y cuidado de menor, no siendo procedente conceder dieciséis, dado que las seis primeras semanas inmediatamente posteriores al parto, de conformidad con el art. 48.4 del texto refundido de la Ley del estatuto de los trabajadores, aprobado por el Real Decreto Legislativo 2/2015, de 23 de octubre (LET), se debían disfrutar conjuntamente por ambos progenitores.</w:t>
      </w:r>
    </w:p>
    <w:p w14:paraId="449E5775" w14:textId="77777777" w:rsidR="00A8138F" w:rsidRDefault="00A8138F" w:rsidP="00A8138F">
      <w:pPr>
        <w:pStyle w:val="TextoNormal"/>
      </w:pPr>
    </w:p>
    <w:p w14:paraId="6AB119FC" w14:textId="77777777" w:rsidR="00A8138F" w:rsidRDefault="00A8138F" w:rsidP="00A8138F">
      <w:pPr>
        <w:pStyle w:val="TextoNormal"/>
      </w:pPr>
      <w:r>
        <w:t>c) El INSS y la TGSS interpusieron recurso de suplicación y la sentencia núm. 468/2023, de 25 de mayo, de la Sección Tercera de la Sala de lo Social del Tribunal Superior de Justicia de Madrid, estimando el recurso por carecer tal acumulación de previsión legal, revocó la sentencia de instancia y absolvió a las entidades demandadas.</w:t>
      </w:r>
    </w:p>
    <w:p w14:paraId="3141CD18" w14:textId="77777777" w:rsidR="00A8138F" w:rsidRDefault="00A8138F" w:rsidP="00A8138F">
      <w:pPr>
        <w:pStyle w:val="TextoNormal"/>
      </w:pPr>
    </w:p>
    <w:p w14:paraId="46A49CDB" w14:textId="6327A817" w:rsidR="00A8138F" w:rsidRDefault="00A8138F" w:rsidP="00A8138F">
      <w:pPr>
        <w:pStyle w:val="TextoNormal"/>
      </w:pPr>
      <w:r>
        <w:t>d) La demandante interpuso recurso de casación para unificación de doctrina, reiterando la argumentación esgrimida ante el juzgado de lo social. La Sala de lo Social del Tribunal Supremo, mediante auto de 2 de julio de 2024, inadmitió el recurso por falta de contenido casacional al coincidir la cuestión planteada con la doctrina unificada por la sentencia núm. 169/2023, de 2 de marzo, del Pleno de la Sala de lo Social del Tribunal Supremo (ECLI:ES:TS:2023:783), que resolvió que no se podía acumular la prestación por nacimiento y cuidado de menor en las familias monoparentales.</w:t>
      </w:r>
    </w:p>
    <w:p w14:paraId="5447B5C6" w14:textId="77777777" w:rsidR="00A8138F" w:rsidRDefault="00A8138F" w:rsidP="00A8138F">
      <w:pPr>
        <w:pStyle w:val="TextoNormal"/>
      </w:pPr>
    </w:p>
    <w:p w14:paraId="088F61AA" w14:textId="77777777" w:rsidR="00A8138F" w:rsidRDefault="00A8138F" w:rsidP="00A8138F">
      <w:pPr>
        <w:pStyle w:val="TextoNormal"/>
      </w:pPr>
      <w:r w:rsidRPr="00A8138F">
        <w:rPr>
          <w:rStyle w:val="NumeroAFNegritaCaracter"/>
        </w:rPr>
        <w:t>3</w:t>
      </w:r>
      <w:r>
        <w:t>. La demanda de amparo denuncia que la desestimación por silencio administrativo de la acumulación de la prestación, así como la revocación de su reconocimiento vulneró “los derechos fundamentales de la demandante de amparo a la igualdad en la ley y a la no discriminación directa por circunstancia personal y familiar e indirecta por razón de sexo (art. 14 CE en relación con el art. 39 y 9.2 CE)”. Se solicita que se reconozca la vulneración, que se anulen aquellas resoluciones y que se retrotraigan las actuaciones al INSS.</w:t>
      </w:r>
    </w:p>
    <w:p w14:paraId="15D225F6" w14:textId="77777777" w:rsidR="00A8138F" w:rsidRDefault="00A8138F" w:rsidP="00A8138F">
      <w:pPr>
        <w:pStyle w:val="TextoNormal"/>
      </w:pPr>
    </w:p>
    <w:p w14:paraId="74BB3D88" w14:textId="6B03CD38" w:rsidR="00A8138F" w:rsidRDefault="00A8138F" w:rsidP="00A8138F">
      <w:pPr>
        <w:pStyle w:val="TextoNormal"/>
      </w:pPr>
      <w:r>
        <w:lastRenderedPageBreak/>
        <w:t>Se alega que tales resoluciones incurren en: (i) discriminación directa por generar con su interpretación literal de los arts. 48.4 LET y 177 de la Ley general de la Seguridad Social (LGSS) una desigualdad entre las madres y menores nacidos en familias monoparentales y los nacidos en familias biparentales, al contar los primeros con un menor número de semanas de prestación y cuidados que los segundos; (ii) discriminación directa por circunstancias personales y familiares, al no haber salvado por vía interpretativa la omisión del legislador para evitar que se produjera ese trato discriminatorio y desconsiderado hacia la decisión de la recurrente “de constituir una [familia monoparental, que] le ha causado un incuestionable perjuicio, que extiende sus efectos a la inobservancia del interés superior de la menor”; y (iii) discriminación indirecta por razón de sexo debido a que, en la mayoría de las familias monoparentales, la progenitora única es una mujer que resulta perjudicada en comparación con las familias biparentales en cuanto a la duración de las prestaciones por nacimiento de hijo.</w:t>
      </w:r>
    </w:p>
    <w:p w14:paraId="6311B843" w14:textId="77777777" w:rsidR="00A8138F" w:rsidRDefault="00A8138F" w:rsidP="00A8138F">
      <w:pPr>
        <w:pStyle w:val="TextoNormal"/>
      </w:pPr>
    </w:p>
    <w:p w14:paraId="038162E3" w14:textId="0CC046A8" w:rsidR="00A8138F" w:rsidRDefault="00A8138F" w:rsidP="00A8138F">
      <w:pPr>
        <w:pStyle w:val="TextoNormal"/>
      </w:pPr>
      <w:r w:rsidRPr="00A8138F">
        <w:rPr>
          <w:rStyle w:val="NumeroAFNegritaCaracter"/>
        </w:rPr>
        <w:t>4</w:t>
      </w:r>
      <w:r>
        <w:t>. La Sección Cuarta de la Sala Segunda del Tribunal Constitucional, mediante providencia de 16 de diciembre de 2024: (i) admitió a trámite la demanda al apreciar que concurre en el recurso una especial trascendencia constitucional (art. 50.1 de la Ley Orgánica del Tribunal Constitucional) como consecuencia de que la posible vulneración del derecho fundamental que se denuncia pudiera provenir de la ley o de otra disposición de carácter general [STC 155/2009, de 25 de junio, FJ 2 c)]; y acordó dirigirse a Sala de lo Social del Tribunal Supremo, a la Sección Tercera de la Sala de lo Social del Tribunal Superior de Justicia de Madrid y al Juzgado de lo Social núm. 18 de Madrid, para que remitiesen, en plazo que no excediera de diez días, certificación o fotocopia adverada de sus respectivas actuaciones, con indicación al juzgado de que emplazase a quienes hubiesen sido parte en el procedimiento, excepto al recurrente en amparo, a fin de que pudieran comparecer en el recurso en el plazo de diez días.</w:t>
      </w:r>
    </w:p>
    <w:p w14:paraId="48B0786C" w14:textId="77777777" w:rsidR="00A8138F" w:rsidRDefault="00A8138F" w:rsidP="00A8138F">
      <w:pPr>
        <w:pStyle w:val="TextoNormal"/>
      </w:pPr>
    </w:p>
    <w:p w14:paraId="28BEB491" w14:textId="276A1F74" w:rsidR="00A8138F" w:rsidRDefault="00A8138F" w:rsidP="00A8138F">
      <w:pPr>
        <w:pStyle w:val="TextoNormal"/>
      </w:pPr>
      <w:r w:rsidRPr="00A8138F">
        <w:rPr>
          <w:rStyle w:val="NumeroAFNegritaCaracter"/>
        </w:rPr>
        <w:t>5</w:t>
      </w:r>
      <w:r>
        <w:t>. La letrada de la administración de la Seguridad Social, en representación del INSS y de la TGSS, presentó el 24 de enero de 2025 escrito de allanamiento a la demanda de amparo, alegando que la dirección del servicio jurídico de la Seguridad Social dictó la Instrucción 10/2024, de 23 de diciembre, autorizando al Servicio Jurídico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 La citada letrada reiteró su petición de allanamiento en el trámite de alegaciones mediante escrito presentado el 10 de marzo de 2025.</w:t>
      </w:r>
    </w:p>
    <w:p w14:paraId="5C5389CE" w14:textId="77777777" w:rsidR="00A8138F" w:rsidRDefault="00A8138F" w:rsidP="00A8138F">
      <w:pPr>
        <w:pStyle w:val="TextoNormal"/>
      </w:pPr>
    </w:p>
    <w:p w14:paraId="5A530DA7" w14:textId="280DC5BD" w:rsidR="00A8138F" w:rsidRDefault="00A8138F" w:rsidP="00A8138F">
      <w:pPr>
        <w:pStyle w:val="TextoNormal"/>
      </w:pPr>
      <w:r w:rsidRPr="00A8138F">
        <w:rPr>
          <w:rStyle w:val="NumeroAFNegritaCaracter"/>
        </w:rPr>
        <w:t>6</w:t>
      </w:r>
      <w:r>
        <w:t>. El secretario de Justicia de la Sección Cuarta de la Sala Segunda de este tribunal, recibidas las actuaciones, mediante diligencia de ordenación de 25 de febrero de 2025, tuvo por personada y parte a las entidades gestoras de la Seguridad Social, y acordó, conforme a lo dispuesto en el art. 52.1 de la Ley Orgánica del Tribunal Constitucional, dar vista de las actuaciones a las partes personadas y al Ministerio Fiscal por un plazo común de veinte días para presentar las alegaciones que estimasen pertinentes.</w:t>
      </w:r>
    </w:p>
    <w:p w14:paraId="295CFD09" w14:textId="77777777" w:rsidR="00A8138F" w:rsidRDefault="00A8138F" w:rsidP="00A8138F">
      <w:pPr>
        <w:pStyle w:val="TextoNormal"/>
      </w:pPr>
    </w:p>
    <w:p w14:paraId="69364DCA" w14:textId="6353294E" w:rsidR="00A8138F" w:rsidRDefault="00A8138F" w:rsidP="00A8138F">
      <w:pPr>
        <w:pStyle w:val="TextoNormal"/>
      </w:pPr>
      <w:r w:rsidRPr="00A8138F">
        <w:rPr>
          <w:rStyle w:val="NumeroAFNegritaCaracter"/>
        </w:rPr>
        <w:t>7</w:t>
      </w:r>
      <w:r>
        <w:t>. La recurrente presentó escrito el 10 de marzo de 2025 en el que dio por reproducida la argumentación de su demanda de amparo con cita de la STC 140/2024, de 6 de noviembre, por estimar que resolvía su pretensión de amparo.</w:t>
      </w:r>
    </w:p>
    <w:p w14:paraId="1131F5B4" w14:textId="77777777" w:rsidR="00A8138F" w:rsidRDefault="00A8138F" w:rsidP="00A8138F">
      <w:pPr>
        <w:pStyle w:val="TextoNormal"/>
      </w:pPr>
    </w:p>
    <w:p w14:paraId="074AC22F" w14:textId="77777777" w:rsidR="00A8138F" w:rsidRDefault="00A8138F" w:rsidP="00A8138F">
      <w:pPr>
        <w:pStyle w:val="TextoNormal"/>
      </w:pPr>
      <w:r w:rsidRPr="00A8138F">
        <w:rPr>
          <w:rStyle w:val="NumeroAFNegritaCaracter"/>
        </w:rPr>
        <w:t>8</w:t>
      </w:r>
      <w:r>
        <w:t>. La fiscal ante el Tribunal Constitucional, en su escrito presentado el 18 de marzo de 2025, interesa la estimación del recurso de amparo, por vulneración del “derecho [de] la recurrente y de su hijo menor a la igualdad y a la no discriminación por razón de nacimiento, en relación con la protección integral de los hijos, con independencia de su filiación y conforme a lo previsto en los convenios internacionales que velan por sus derechos (art. 14 CE en relación con el artículo 39 CE)”. Solicita que se declare la vulneración del derecho con anulación de las resoluciones impugnadas, declarando la firmeza de la sentencia del Juzgado de lo Social núm. 18 de Madrid, al igual que se acordó en la STC 39/2025, de 10 de febrero.</w:t>
      </w:r>
    </w:p>
    <w:p w14:paraId="07BC12EB" w14:textId="77777777" w:rsidR="00A8138F" w:rsidRDefault="00A8138F" w:rsidP="00A8138F">
      <w:pPr>
        <w:pStyle w:val="TextoNormal"/>
      </w:pPr>
    </w:p>
    <w:p w14:paraId="12D07450" w14:textId="77777777" w:rsidR="00A8138F" w:rsidRDefault="00A8138F" w:rsidP="00A8138F">
      <w:pPr>
        <w:pStyle w:val="TextoNormal"/>
      </w:pPr>
      <w:r>
        <w:t>Alega que la doctrina aplicable al caso es la contenida en la STC 140/2024, de 6 de noviembre, que declaró la inconstitucionalidad de los arts. 48.4 LET y 177 LGSS, “precisamente por la vulneración del derecho establecido en el art. 14 CE en relación con el art. 39 CE que se alegaba en el presente recurso, y ha establecido una interpretación provisional, acorde con la Constitución, de la normativa sobre suspensión del contrato de trabajo allí establecida y de la prestación de la Seguridad Social anudada a la misma, mientras el legislador no reforme dichos artículos, todo lo cual es directamente aplicable al presente recurso”.</w:t>
      </w:r>
    </w:p>
    <w:p w14:paraId="55BEF5D6" w14:textId="77777777" w:rsidR="00A8138F" w:rsidRDefault="00A8138F" w:rsidP="00A8138F">
      <w:pPr>
        <w:pStyle w:val="TextoNormal"/>
      </w:pPr>
    </w:p>
    <w:p w14:paraId="08C9D45E" w14:textId="18CA3537" w:rsidR="00A8138F" w:rsidRDefault="00A8138F" w:rsidP="00A8138F">
      <w:pPr>
        <w:pStyle w:val="TextoNormal"/>
      </w:pPr>
      <w:r>
        <w:t>La citada doctrina —continúa— ha sido aplicada en las SSTC 147/2024, 149/2024, 150/2024 y 151/2024, de 2 de diciembre, 4/2025, 5/2025, 6/2025, 8/2025, 9/2025 y 10/2025, de 13 de enero, y 17 a 24/2025, de 27 de enero, en las que “se acuerda el otorgamiento del amparo por considerar que la aplicación de la normativa declarada inconstitucional ha vulnerado el derecho fundamental a la igualdad ante la ley sin discriminación por razón de nacimiento (art. 14 CE) de los hijos menores nacidos en el seno de una familia monoparental”.</w:t>
      </w:r>
    </w:p>
    <w:p w14:paraId="5C04FA67" w14:textId="77777777" w:rsidR="00A8138F" w:rsidRDefault="00A8138F" w:rsidP="00A8138F">
      <w:pPr>
        <w:pStyle w:val="TextoNormal"/>
      </w:pPr>
    </w:p>
    <w:p w14:paraId="1B59D162" w14:textId="5FC24F67" w:rsidR="00A8138F" w:rsidRDefault="00A8138F" w:rsidP="00A8138F">
      <w:pPr>
        <w:pStyle w:val="TextoNormal"/>
      </w:pPr>
      <w:r w:rsidRPr="00A8138F">
        <w:rPr>
          <w:rStyle w:val="NumeroAFNegritaCaracter"/>
        </w:rPr>
        <w:t>9</w:t>
      </w:r>
      <w:r>
        <w:t>. Por providencia de 3 de abril de 2025 se señaló para la deliberación y votación de la presente sentencia el día 7 del mismo mes y año.</w:t>
      </w:r>
    </w:p>
    <w:p w14:paraId="3CF67790" w14:textId="77777777" w:rsidR="00A8138F" w:rsidRDefault="00A8138F" w:rsidP="00A8138F">
      <w:pPr>
        <w:pStyle w:val="TextoNormal"/>
      </w:pPr>
    </w:p>
    <w:p w14:paraId="1D8658D0" w14:textId="77777777" w:rsidR="00A8138F" w:rsidRDefault="00A8138F" w:rsidP="00A8138F">
      <w:pPr>
        <w:pStyle w:val="TextoNormalNegritaCentrado"/>
        <w:keepNext/>
      </w:pPr>
      <w:r>
        <w:t>II. Fundamentos jurídicos</w:t>
      </w:r>
    </w:p>
    <w:p w14:paraId="2D0828B5" w14:textId="2D0E6D5D" w:rsidR="00A8138F" w:rsidRDefault="00A8138F" w:rsidP="00A8138F">
      <w:pPr>
        <w:pStyle w:val="TextoNormalNegritaCentrado"/>
        <w:keepNext/>
      </w:pPr>
    </w:p>
    <w:p w14:paraId="03089473"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08DB1D04" w14:textId="77777777" w:rsidR="00A8138F" w:rsidRDefault="00A8138F" w:rsidP="00A8138F">
      <w:pPr>
        <w:pStyle w:val="TextoNormal"/>
      </w:pPr>
    </w:p>
    <w:p w14:paraId="1B956F5D" w14:textId="77777777" w:rsidR="00A8138F" w:rsidRDefault="00A8138F" w:rsidP="00A8138F">
      <w:pPr>
        <w:pStyle w:val="TextoNormal"/>
      </w:pPr>
      <w:r>
        <w:t>El objeto del presente proceso es dilucidar si la sentencia de la Sección Tercera de la Sala de lo Social del Tribunal Superior de Justicia de Madrid, que revocó la sentencia de instancia, que había reconocido la ampliación en diez semanas de la prestación de nacimiento y cuidado de hijo menor en familia monoparental, y el auto de la Sala de lo Social del Tribunal Supremo, que inadmitió el recurso de casación para unificación de doctrina, han ocasionado a la demandante una discriminación por razón de nacimiento, contraria al art. 14 CE, en relación con el art. 39 CE, al aplicar el art. 48.4 LET, en relación con el art. 177 LGSS, en la redacción dada por el Real Decreto-ley 6/2019, de 1 de marzo, de medidas urgentes para garantía de la igualdad de trato y de oportunidades entre mujeres y hombres en el empleo y la ocupación.</w:t>
      </w:r>
    </w:p>
    <w:p w14:paraId="380E8E0B" w14:textId="77777777" w:rsidR="00A8138F" w:rsidRDefault="00A8138F" w:rsidP="00A8138F">
      <w:pPr>
        <w:pStyle w:val="TextoNormal"/>
      </w:pPr>
    </w:p>
    <w:p w14:paraId="03F4B94F" w14:textId="77777777" w:rsidR="00A8138F" w:rsidRDefault="00A8138F" w:rsidP="00A8138F">
      <w:pPr>
        <w:pStyle w:val="TextoNormal"/>
      </w:pPr>
      <w:r>
        <w:lastRenderedPageBreak/>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51A3FB1" w14:textId="77777777" w:rsidR="00A8138F" w:rsidRDefault="00A8138F" w:rsidP="00A8138F">
      <w:pPr>
        <w:pStyle w:val="TextoNormal"/>
      </w:pPr>
    </w:p>
    <w:p w14:paraId="457DDF69"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EC868A4" w14:textId="77777777" w:rsidR="00A8138F" w:rsidRDefault="00A8138F" w:rsidP="00A8138F">
      <w:pPr>
        <w:pStyle w:val="TextoNormal"/>
      </w:pPr>
    </w:p>
    <w:p w14:paraId="655B9842"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71AA218C" w14:textId="77777777" w:rsidR="00A8138F" w:rsidRDefault="00A8138F" w:rsidP="00A8138F">
      <w:pPr>
        <w:pStyle w:val="TextoNormal"/>
      </w:pPr>
    </w:p>
    <w:p w14:paraId="54430341" w14:textId="77777777" w:rsidR="00A8138F" w:rsidRDefault="00A8138F" w:rsidP="00A8138F">
      <w:pPr>
        <w:pStyle w:val="TextoNormal"/>
      </w:pPr>
      <w:r>
        <w:t>En consecuencia, debe estimarse la demanda y otorgar el amparo solicitado, con los efectos que se indican en el párrafo siguiente,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D12987C" w14:textId="77777777" w:rsidR="00A8138F" w:rsidRDefault="00A8138F" w:rsidP="00A8138F">
      <w:pPr>
        <w:pStyle w:val="TextoNormal"/>
      </w:pPr>
    </w:p>
    <w:p w14:paraId="0C6AFDFD" w14:textId="17A422D9" w:rsidR="00A8138F" w:rsidRDefault="00A8138F" w:rsidP="00A8138F">
      <w:pPr>
        <w:pStyle w:val="TextoNormal"/>
      </w:pPr>
      <w:r>
        <w:t xml:space="preserve">Así pues, de acuerdo con las SSTC 29/2025 y 39/2025, de 10 de febrero, y 58/2025, de 10 de marzo (recurso de amparo núm. 1991-2024), la estimación del recurso conlleva la </w:t>
      </w:r>
      <w:r>
        <w:lastRenderedPageBreak/>
        <w:t>declaración de nulidad de las resoluciones judiciales impugnadas, con declaración de firmeza de la sentencia del Juzgado de lo Social núm. 18 de Madrid.</w:t>
      </w:r>
    </w:p>
    <w:p w14:paraId="4FA2E645" w14:textId="77777777" w:rsidR="00A8138F" w:rsidRDefault="00A8138F" w:rsidP="00A8138F">
      <w:pPr>
        <w:pStyle w:val="TextoNormal"/>
      </w:pPr>
    </w:p>
    <w:p w14:paraId="55238B3D" w14:textId="77777777" w:rsidR="00A8138F" w:rsidRDefault="00A8138F" w:rsidP="00A8138F">
      <w:pPr>
        <w:pStyle w:val="TextoNormalCentrado"/>
        <w:keepNext/>
      </w:pPr>
      <w:r>
        <w:t>FALLO</w:t>
      </w:r>
    </w:p>
    <w:p w14:paraId="4A7EA449" w14:textId="77716B05" w:rsidR="00A8138F" w:rsidRDefault="00A8138F" w:rsidP="00A8138F">
      <w:pPr>
        <w:pStyle w:val="TextoNormalCentrado"/>
        <w:keepNext/>
      </w:pPr>
    </w:p>
    <w:p w14:paraId="6442A11B"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Carolina Oliveras Humanes y, en su virtud:</w:t>
      </w:r>
    </w:p>
    <w:p w14:paraId="7E2041AF" w14:textId="77777777" w:rsidR="00A8138F" w:rsidRDefault="00A8138F" w:rsidP="00A8138F">
      <w:pPr>
        <w:pStyle w:val="TextoNormal"/>
      </w:pPr>
    </w:p>
    <w:p w14:paraId="30ED05A5" w14:textId="77777777" w:rsidR="00A8138F" w:rsidRDefault="00A8138F" w:rsidP="00A8138F">
      <w:pPr>
        <w:pStyle w:val="TextoNormal"/>
      </w:pPr>
      <w:r>
        <w:t>1º Declarar vulnerado su derecho fundamental a la igualdad ante la ley, sin que pueda prevalecer discriminación alguna (art. 14 CE).</w:t>
      </w:r>
    </w:p>
    <w:p w14:paraId="2CE3248A" w14:textId="77777777" w:rsidR="00A8138F" w:rsidRDefault="00A8138F" w:rsidP="00A8138F">
      <w:pPr>
        <w:pStyle w:val="TextoNormal"/>
      </w:pPr>
    </w:p>
    <w:p w14:paraId="32A596A7" w14:textId="77777777" w:rsidR="00A8138F" w:rsidRDefault="00A8138F" w:rsidP="00A8138F">
      <w:pPr>
        <w:pStyle w:val="TextoNormal"/>
      </w:pPr>
      <w:r>
        <w:t>2º Restablecerla en su derecho y, en consecuencia, declarar la nulidad de la sentencia núm. 468/2023, de 25 de mayo, de la Sección Tercera de la Sala de lo Social del Tribunal Superior de Justicia de Madrid, dictada en el recurso de suplicación núm. 90-2023, y del auto de 2 de julio de 2024 de la Sala de lo Social del Tribunal Supremo, dictado en el recurso de casación para unificación de doctrina núm. 3522-2023.</w:t>
      </w:r>
    </w:p>
    <w:p w14:paraId="03F7BD82" w14:textId="77777777" w:rsidR="00A8138F" w:rsidRDefault="00A8138F" w:rsidP="00A8138F">
      <w:pPr>
        <w:pStyle w:val="TextoNormal"/>
      </w:pPr>
    </w:p>
    <w:p w14:paraId="7FF25B91" w14:textId="522DCFE9" w:rsidR="00A8138F" w:rsidRDefault="00A8138F" w:rsidP="00A8138F">
      <w:pPr>
        <w:pStyle w:val="TextoNormal"/>
      </w:pPr>
      <w:r>
        <w:t>3º Declarar la firmeza de la sentencia núm. 388/2022, de 1 de diciembre, del Juzgado de lo Social núm. 18 de Madrid, dictada en el procedimiento de Seguridad Social núm. 648-2022.</w:t>
      </w:r>
    </w:p>
    <w:p w14:paraId="5AC3C892" w14:textId="77777777" w:rsidR="00A8138F" w:rsidRDefault="00A8138F" w:rsidP="00A8138F">
      <w:pPr>
        <w:pStyle w:val="TextoNormal"/>
      </w:pPr>
    </w:p>
    <w:p w14:paraId="71A548C2" w14:textId="77777777" w:rsidR="00A8138F" w:rsidRDefault="00A8138F" w:rsidP="00A8138F">
      <w:pPr>
        <w:pStyle w:val="TextoNormal"/>
      </w:pPr>
      <w:r>
        <w:t>Publíquese esta sentencia en el “Boletín Oficial del Estado”.</w:t>
      </w:r>
    </w:p>
    <w:p w14:paraId="2EB608BC" w14:textId="77777777" w:rsidR="00A8138F" w:rsidRDefault="00A8138F" w:rsidP="00A8138F">
      <w:pPr>
        <w:pStyle w:val="TextoNormal"/>
      </w:pPr>
      <w:r>
        <w:t>Dada en Madrid, a siete de abril de dos mil veinticinco.</w:t>
      </w:r>
    </w:p>
    <w:p w14:paraId="13EEBD39" w14:textId="48DDFBB7" w:rsidR="00A8138F" w:rsidRDefault="00A8138F">
      <w:pPr>
        <w:spacing w:after="160" w:line="278" w:lineRule="auto"/>
        <w:rPr>
          <w:rFonts w:ascii="Times New Roman" w:eastAsia="Times New Roman" w:hAnsi="Times New Roman" w:cs="Times New Roman"/>
          <w:sz w:val="24"/>
          <w:szCs w:val="24"/>
          <w:lang w:eastAsia="es-ES"/>
        </w:rPr>
      </w:pPr>
      <w:r>
        <w:br w:type="page"/>
      </w:r>
    </w:p>
    <w:p w14:paraId="668A4F13" w14:textId="77777777" w:rsidR="00A8138F" w:rsidRDefault="00A8138F" w:rsidP="00A8138F">
      <w:pPr>
        <w:pStyle w:val="TtuloResolucin"/>
      </w:pPr>
      <w:bookmarkStart w:id="94" w:name="SENTENCIA_2025_92"/>
      <w:r>
        <w:lastRenderedPageBreak/>
        <w:t>SENTENCIA 92/2025, de 7 de abril de 2025</w:t>
      </w:r>
    </w:p>
    <w:bookmarkEnd w:id="94"/>
    <w:p w14:paraId="43C2BA31" w14:textId="77777777" w:rsidR="00A8138F" w:rsidRDefault="00A8138F" w:rsidP="00A8138F">
      <w:pPr>
        <w:pStyle w:val="TtuloResolucin"/>
      </w:pPr>
      <w:r>
        <w:t>Sala Primera</w:t>
      </w:r>
    </w:p>
    <w:p w14:paraId="7F165312" w14:textId="77777777" w:rsidR="00A8138F" w:rsidRDefault="00A8138F" w:rsidP="00A8138F">
      <w:pPr>
        <w:pStyle w:val="TtuloBOE"/>
      </w:pPr>
      <w:r>
        <w:t>(BOE núm. 117, de 15 de mayo de 2025)</w:t>
      </w:r>
    </w:p>
    <w:p w14:paraId="062ECFC1" w14:textId="77777777" w:rsidR="00A8138F" w:rsidRDefault="00A8138F" w:rsidP="00A8138F">
      <w:pPr>
        <w:pStyle w:val="TextoNormalCentrado"/>
      </w:pPr>
      <w:r>
        <w:t>ECLI:ES:TC:2025:92</w:t>
      </w:r>
    </w:p>
    <w:p w14:paraId="76814F79" w14:textId="59D2C726" w:rsidR="00A8138F" w:rsidRDefault="00A8138F" w:rsidP="00A8138F">
      <w:pPr>
        <w:pStyle w:val="TextoNormalCentrado"/>
      </w:pPr>
    </w:p>
    <w:p w14:paraId="4689AA43" w14:textId="77777777" w:rsidR="00A8138F" w:rsidRDefault="00A8138F" w:rsidP="00A8138F">
      <w:pPr>
        <w:pStyle w:val="SntesisDescriptiva"/>
      </w:pPr>
      <w:r>
        <w:t>Recurso de amparo 7500-2024. Promovido por doña Elena Gorrotxategui Iparraguirre en relación con las resoluciones administrativas y judiciales que desestimaron su petición de revisión y ampliación de la prestación por nacimiento y cuidado de hijo menor, como madre biológica de familia monoparental.</w:t>
      </w:r>
    </w:p>
    <w:p w14:paraId="42408876" w14:textId="1C821C70" w:rsidR="00A8138F" w:rsidRDefault="00A8138F" w:rsidP="00A8138F">
      <w:pPr>
        <w:pStyle w:val="SntesisDescriptiva"/>
      </w:pPr>
    </w:p>
    <w:p w14:paraId="22D6D8B3"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D370D51" w14:textId="33FD98AC" w:rsidR="00A8138F" w:rsidRDefault="00A8138F" w:rsidP="00A8138F">
      <w:pPr>
        <w:pStyle w:val="SntesisAnaltica"/>
      </w:pPr>
    </w:p>
    <w:p w14:paraId="1FC88462" w14:textId="6A8B5C3F"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716C3A08" w14:textId="77777777" w:rsidR="00A8138F" w:rsidRDefault="00A8138F" w:rsidP="00A8138F">
      <w:pPr>
        <w:pStyle w:val="Extracto"/>
      </w:pPr>
    </w:p>
    <w:p w14:paraId="41FF3E4E" w14:textId="77777777" w:rsidR="00A8138F" w:rsidRDefault="00A8138F" w:rsidP="00A8138F">
      <w:pPr>
        <w:pStyle w:val="Extracto"/>
      </w:pPr>
    </w:p>
    <w:p w14:paraId="47CC035A"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9099E28" w14:textId="5B93951B" w:rsidR="00A8138F" w:rsidRDefault="00A8138F" w:rsidP="00A8138F">
      <w:pPr>
        <w:pStyle w:val="TextoNormal"/>
      </w:pPr>
    </w:p>
    <w:p w14:paraId="0C1FD7DE" w14:textId="77777777" w:rsidR="00A8138F" w:rsidRDefault="00A8138F" w:rsidP="00A8138F">
      <w:pPr>
        <w:pStyle w:val="TextoNormalCentrado"/>
        <w:keepNext/>
      </w:pPr>
      <w:r>
        <w:t>EN NOMBRE DEL REY</w:t>
      </w:r>
    </w:p>
    <w:p w14:paraId="68B061DB" w14:textId="51A6EEB1" w:rsidR="00A8138F" w:rsidRDefault="00A8138F" w:rsidP="00A8138F">
      <w:pPr>
        <w:pStyle w:val="TextoNormalCentrado"/>
        <w:keepNext/>
      </w:pPr>
    </w:p>
    <w:p w14:paraId="3D1BC6A0" w14:textId="77777777" w:rsidR="00A8138F" w:rsidRDefault="00A8138F" w:rsidP="00A8138F">
      <w:pPr>
        <w:pStyle w:val="TextoNormalCentrado"/>
        <w:keepNext/>
      </w:pPr>
    </w:p>
    <w:p w14:paraId="703416D1" w14:textId="77777777" w:rsidR="00A8138F" w:rsidRDefault="00A8138F" w:rsidP="00A8138F">
      <w:pPr>
        <w:pStyle w:val="TextoNormal"/>
      </w:pPr>
      <w:r>
        <w:t>la siguiente</w:t>
      </w:r>
    </w:p>
    <w:p w14:paraId="3883350E" w14:textId="1C973760" w:rsidR="00A8138F" w:rsidRDefault="00A8138F" w:rsidP="00A8138F">
      <w:pPr>
        <w:pStyle w:val="TextoNormal"/>
      </w:pPr>
    </w:p>
    <w:p w14:paraId="4A4F7CAE" w14:textId="77777777" w:rsidR="00A8138F" w:rsidRDefault="00A8138F" w:rsidP="00A8138F">
      <w:pPr>
        <w:pStyle w:val="TextoNormalCentrado"/>
        <w:keepNext/>
      </w:pPr>
      <w:r>
        <w:t>SENTENCIA</w:t>
      </w:r>
    </w:p>
    <w:p w14:paraId="48358300" w14:textId="47EF81B3" w:rsidR="00A8138F" w:rsidRDefault="00A8138F" w:rsidP="00A8138F">
      <w:pPr>
        <w:pStyle w:val="TextoNormalCentrado"/>
        <w:keepNext/>
      </w:pPr>
    </w:p>
    <w:p w14:paraId="71A35FCF" w14:textId="77777777" w:rsidR="00A8138F" w:rsidRDefault="00A8138F" w:rsidP="00A8138F">
      <w:pPr>
        <w:pStyle w:val="TextoNormal"/>
      </w:pPr>
      <w:r>
        <w:t xml:space="preserve">En el recurso de amparo núm. 7500-2024, promovido por doña Elena Gorrotxategui Iparraguirre, representada por la procuradora de los tribunales doña María Esperanza Azpeitia Calvín y asistida por el letrado don Xabier Illarreta Isasa frente a las resoluciones de 5 de enero de 2021 y de 4 de mayo de 2021 del Instituto Nacional de la Seguridad Social (INSS) que desestimaron la solicitud de ampliación del permiso por nacimiento de hijo y cuidado de menor en una familia monoparental y frente a la sentencia núm. 1256/2023 de la Sala de lo Social del Tribunal Superior de Justicia del País Vasco, de 18 de mayo, que las confirmó al estimar el recurso de suplicación núm. 2980-2022 interpuesto por el INSS frente a la sentencia núm. 207/2022, del Juzgado de lo Social núm. 1 de Donostia-San Sebastián, de 28 de junio, así como frente al auto de la Sala de lo Social del Tribunal Supremo, de 11 de septiembre de 2024 que declaró su firmeza al inadmitir a trámite el recurso de casación para la unificación de doctrina núm. 4707-2023. Han intervenido el letrado de la administración </w:t>
      </w:r>
      <w:r>
        <w:lastRenderedPageBreak/>
        <w:t>de la Seguridad Social y el Ministerio Fiscal. Ha sido ponente el magistrado don Ricardo Enríquez Sancho.</w:t>
      </w:r>
    </w:p>
    <w:p w14:paraId="37E81DFF" w14:textId="4ABDE267" w:rsidR="00A8138F" w:rsidRDefault="00A8138F" w:rsidP="00A8138F">
      <w:pPr>
        <w:pStyle w:val="TextoNormal"/>
      </w:pPr>
    </w:p>
    <w:p w14:paraId="10FCD297" w14:textId="77777777" w:rsidR="00A8138F" w:rsidRDefault="00A8138F" w:rsidP="00A8138F">
      <w:pPr>
        <w:pStyle w:val="TextoNormalNegritaCentrado"/>
        <w:keepNext/>
      </w:pPr>
      <w:r>
        <w:t>I. Antecedentes</w:t>
      </w:r>
    </w:p>
    <w:p w14:paraId="2C01329C" w14:textId="44FF4B69" w:rsidR="00A8138F" w:rsidRDefault="00A8138F" w:rsidP="00A8138F">
      <w:pPr>
        <w:pStyle w:val="TextoNormalNegritaCentrado"/>
        <w:keepNext/>
      </w:pPr>
    </w:p>
    <w:p w14:paraId="21D4A8A0" w14:textId="55E48FE9" w:rsidR="00A8138F" w:rsidRDefault="00A8138F" w:rsidP="00A8138F">
      <w:pPr>
        <w:pStyle w:val="TextoNormal"/>
      </w:pPr>
      <w:r w:rsidRPr="00A8138F">
        <w:rPr>
          <w:rStyle w:val="NumeroAFNegritaCaracter"/>
        </w:rPr>
        <w:t>1</w:t>
      </w:r>
      <w:r>
        <w:t>. Mediante escrito presentado en el registro general de este tribunal el día 7 de octubre de 2024, doña María Esperanza Azpeitia Calvín, actuando en nombre y representación de doña Elena Gorrotxategui Iparraguirre, interpuso recurso de amparo frente a las resoluciones administrativas y judiciales que se han identificado en el encabezamiento de esta sentencia.</w:t>
      </w:r>
    </w:p>
    <w:p w14:paraId="74C37D3F" w14:textId="77777777" w:rsidR="00A8138F" w:rsidRDefault="00A8138F" w:rsidP="00A8138F">
      <w:pPr>
        <w:pStyle w:val="TextoNormal"/>
      </w:pPr>
    </w:p>
    <w:p w14:paraId="3696004F" w14:textId="77777777" w:rsidR="00A8138F" w:rsidRDefault="00A8138F" w:rsidP="00A8138F">
      <w:pPr>
        <w:pStyle w:val="TextoNormal"/>
      </w:pPr>
      <w:r w:rsidRPr="00A8138F">
        <w:rPr>
          <w:rStyle w:val="NumeroAFNegritaCaracter"/>
        </w:rPr>
        <w:t>2</w:t>
      </w:r>
      <w:r>
        <w:t>. El presente recurso de amparo trae causa de los siguientes antecedentes:</w:t>
      </w:r>
    </w:p>
    <w:p w14:paraId="36C8D243" w14:textId="77777777" w:rsidR="00A8138F" w:rsidRDefault="00A8138F" w:rsidP="00A8138F">
      <w:pPr>
        <w:pStyle w:val="TextoNormal"/>
      </w:pPr>
    </w:p>
    <w:p w14:paraId="322222CA" w14:textId="77777777" w:rsidR="00A8138F" w:rsidRDefault="00A8138F" w:rsidP="00A8138F">
      <w:pPr>
        <w:pStyle w:val="TextoNormal"/>
      </w:pPr>
      <w:r>
        <w:t>a) La recurrente en amparo, madre biológica de un menor nacido el 8 de marzo de 2020, con el que forma una familia monoparental, solicitó que se le ampliase la prestación por nacimiento y cuidado de hijo en las semanas que le hubieran correspondido al otro progenitor de haberse tratado de una familia biparental. Por resolución del Instituto Nacional de la Seguridad Social (INSS) de 5 de enero de 2021 le fue desestimada su pretensión al no encontrarse en ninguna de las situaciones protegidas en la ley. Interpuesta reclamación previa se desestimó por resolución de 4 de mayo siguiente por entender el INSS que había transcurrido el plazo de treinta días hábiles para la interposición de la reclamación.</w:t>
      </w:r>
    </w:p>
    <w:p w14:paraId="4BDEECCC" w14:textId="77777777" w:rsidR="00A8138F" w:rsidRDefault="00A8138F" w:rsidP="00A8138F">
      <w:pPr>
        <w:pStyle w:val="TextoNormal"/>
      </w:pPr>
    </w:p>
    <w:p w14:paraId="303ECC22" w14:textId="77777777" w:rsidR="00A8138F" w:rsidRDefault="00A8138F" w:rsidP="00A8138F">
      <w:pPr>
        <w:pStyle w:val="TextoNormal"/>
      </w:pPr>
      <w:r>
        <w:t>b) Disconforme con la duración de la prestación formuló demanda en la vía judicial frente al Instituto Nacional de la Seguridad Social (INSS) y la Tesorería General de la Seguridad Social (TGSS) lo que dio lugar a los autos de Seguridad Social núm. 424-2021 seguidos ante el Juzgado de lo Social núm. 1 de Donostia-San Sebastián. Por sentencia núm. 207/2022, de 28 de junio, tras descartarse que la reclamación previa formulada por la actora se hubiera realizado fuera de plazo, se estimó la pretensión de la actora siguiendo el criterio de la sentencia de la Sala de lo Social del Tribunal Superior de Justicia del País Vasco, en su sentencia de 6 de octubre de 2020 (ECLI:ES:TSJPV:2020:396). En efecto, teniendo en cuenta el interés superior del menor, se estimó la demanda reconociendo la ampliación solicitada (doce semanas adicionales de la prestación) señalando que lo contrario hubiera supuesto una clara merma de los derechos de atención y cuidado del menor de la familia monoparental en comparación con los que disfruta el que se encuadra en una familia biparental, y que la norma introducía un elemento importante de discriminación respecto de la mujer y su derecho de conciliación de la vida familiar, siendo aquella la que primordialmente constituye la familia monoparental.</w:t>
      </w:r>
    </w:p>
    <w:p w14:paraId="0B9D68EB" w14:textId="77777777" w:rsidR="00A8138F" w:rsidRDefault="00A8138F" w:rsidP="00A8138F">
      <w:pPr>
        <w:pStyle w:val="TextoNormal"/>
      </w:pPr>
    </w:p>
    <w:p w14:paraId="3F285067" w14:textId="77777777" w:rsidR="00A8138F" w:rsidRDefault="00A8138F" w:rsidP="00A8138F">
      <w:pPr>
        <w:pStyle w:val="TextoNormal"/>
      </w:pPr>
      <w:r>
        <w:t>c) Frente a la referida sentencia se interpuso por el INSS y la TGSS recurso de suplicación (núm. 2980-2022), que fue impugnado de contrario por la actora. El recurso fue estimado por medio de la sentencia núm. 1256/2023 de la Sala de lo Social del Tribunal Superior de Justicia del País Vasco, de 18 de mayo, que revocó la sentencia de instancia en aplicación de la doctrina mantenida por la Sala de lo Social del Tribunal Supremo, dictada en Pleno, en sentencia 783/2023, de 2 de marzo de 2023 (recurso núm. 3972-2020, ECLI:ES:TS:2023:783), cuyos argumentos principales se transcribieron.</w:t>
      </w:r>
    </w:p>
    <w:p w14:paraId="2E3269F2" w14:textId="77777777" w:rsidR="00A8138F" w:rsidRDefault="00A8138F" w:rsidP="00A8138F">
      <w:pPr>
        <w:pStyle w:val="TextoNormal"/>
      </w:pPr>
    </w:p>
    <w:p w14:paraId="09030A48" w14:textId="39C6BA50" w:rsidR="00A8138F" w:rsidRDefault="00A8138F" w:rsidP="00A8138F">
      <w:pPr>
        <w:pStyle w:val="TextoNormal"/>
      </w:pPr>
      <w:r>
        <w:lastRenderedPageBreak/>
        <w:t>d) Frente a la anterior sentencia la parte actora interpuso recurso de casación para la unificación de doctrina núm. 4707-2023, siendo inadmitido por medio de auto de la Sala de lo Social del Tribunal Supremo de 11 de septiembre de 2024 por falta de contenido casacional al ser la decisión de la sentencia recurrida coincidente con la doctrina unificada de esa sala contenida en la sentencia de 2 de marzo de 2023 (recurso núm. 3972-2020), reiterada en otras posteriores, según la cual las familias monoparentales no tienen derecho a la acumulación de prestaciones ya que tal posibilidad no se establecía en la ley vigente [art. 48.4 de la Ley del estatuto de los trabajadores (LET) y art. 177 del texto refundido de la Ley general de la Seguridad Social (LGSS)] que cumplía las exigencias del Derecho de la Unión Europea, ni tampoco se deducía de nuestra Constitución, ni de los acuerdos y tratados internacionales firmados por España, correspondiendo al legislador —y no a los tribunales— determinar el alcance y contenido de la protección que deba dispensarse a todo tipo de familias.</w:t>
      </w:r>
    </w:p>
    <w:p w14:paraId="7CF45BDB" w14:textId="77777777" w:rsidR="00A8138F" w:rsidRDefault="00A8138F" w:rsidP="00A8138F">
      <w:pPr>
        <w:pStyle w:val="TextoNormal"/>
      </w:pPr>
    </w:p>
    <w:p w14:paraId="2D30696C" w14:textId="2C5D4679" w:rsidR="00A8138F" w:rsidRDefault="00A8138F" w:rsidP="00A8138F">
      <w:pPr>
        <w:pStyle w:val="TextoNormal"/>
      </w:pPr>
      <w:r w:rsidRPr="00A8138F">
        <w:rPr>
          <w:rStyle w:val="NumeroAFNegritaCaracter"/>
        </w:rPr>
        <w:t>3</w:t>
      </w:r>
      <w:r>
        <w:t>. En la demanda de amparo la recurrente denuncia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las que lo son en familias biparentales en materia de permisos por nacimiento y cuidado de hijos.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ni toma como parámetro interpretativo el interés del menor. Después alega la existencia de una discriminación directa de la recurrente por circunstancia personales y familiares, indicando qua la discriminación de la recurrente resulta de su decisión de formar una familia monoparental, es decir, deriva de su condición familiar tomada en ejercicio del libre desarrollo de la personalidad (art. 10.1 CE) y se vincula con las convicciones y creencias más íntimas (art. 16 CE). Esas convicciones le han causado a la recurrente, sin embargo, un trato peyorativo tanto a ella como a su hijo. Además, se denuncia una discriminación indirecta por razón de sexo de la demandante por cuanto que, aunque la norma aplicada en principio es neutra, perjudica en mayor grado a las mujeres que son las que mayoritariamente constituyen las familias monoparentales. Por todo ello, solicita que se anulen las resoluciones del INSS y las judiciales que las confirmaron, con retroacción de las actuaciones al momento previo al dictado de las primeras para que el INSS dicte otra que resulte respetuosa con los derechos fundamentales de la recurrente.</w:t>
      </w:r>
    </w:p>
    <w:p w14:paraId="7723309C" w14:textId="77777777" w:rsidR="00A8138F" w:rsidRDefault="00A8138F" w:rsidP="00A8138F">
      <w:pPr>
        <w:pStyle w:val="TextoNormal"/>
      </w:pPr>
    </w:p>
    <w:p w14:paraId="33232E35" w14:textId="6767AECB" w:rsidR="00A8138F" w:rsidRDefault="00A8138F" w:rsidP="00A8138F">
      <w:pPr>
        <w:pStyle w:val="TextoNormal"/>
      </w:pPr>
      <w:r w:rsidRPr="00A8138F">
        <w:rPr>
          <w:rStyle w:val="NumeroAFNegritaCaracter"/>
        </w:rPr>
        <w:t>4</w:t>
      </w:r>
      <w:r>
        <w:t xml:space="preserve">. Por providencia de 2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con carácter general [STC 155/2009, de 25 de junio,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4707-2023 y al recurso de suplicación núm. 2980-2022, respectivamente. Asimismo, acordó dirigir atenta comunicación al Juzgado de lo Social núm. 1 de Donostia-San Sebastián a fin de que, en </w:t>
      </w:r>
      <w:r>
        <w:lastRenderedPageBreak/>
        <w:t>plazo que no excediera de diez días, remitiese certificación o fotocopia adverada de las actuaciones correspondientes a los autos núm. 424-2021, emplazando a quienes hubieran sido parte en el procedimiento, excepto la parte recurrente en amparo, para que, si lo deseaban, pudieran comparecer en el presente recurso.</w:t>
      </w:r>
    </w:p>
    <w:p w14:paraId="764440A6" w14:textId="77777777" w:rsidR="00A8138F" w:rsidRDefault="00A8138F" w:rsidP="00A8138F">
      <w:pPr>
        <w:pStyle w:val="TextoNormal"/>
      </w:pPr>
    </w:p>
    <w:p w14:paraId="15C80F40" w14:textId="36FDC48C" w:rsidR="00A8138F" w:rsidRDefault="00A8138F" w:rsidP="00A8138F">
      <w:pPr>
        <w:pStyle w:val="TextoNormal"/>
      </w:pPr>
      <w:r w:rsidRPr="00A8138F">
        <w:rPr>
          <w:rStyle w:val="NumeroAFNegritaCaracter"/>
        </w:rPr>
        <w:t>5</w:t>
      </w:r>
      <w:r>
        <w:t>. El día 30 de diciembre de 2024 el letrado de la administración de la Seguridad Social en la representación que ostenta se personó como parte recurrida.</w:t>
      </w:r>
    </w:p>
    <w:p w14:paraId="3AEE79F7" w14:textId="77777777" w:rsidR="00A8138F" w:rsidRDefault="00A8138F" w:rsidP="00A8138F">
      <w:pPr>
        <w:pStyle w:val="TextoNormal"/>
      </w:pPr>
    </w:p>
    <w:p w14:paraId="7C3E9820" w14:textId="7FE27B88" w:rsidR="00A8138F" w:rsidRDefault="00A8138F" w:rsidP="00A8138F">
      <w:pPr>
        <w:pStyle w:val="TextoNormal"/>
      </w:pPr>
      <w:r w:rsidRPr="00A8138F">
        <w:rPr>
          <w:rStyle w:val="NumeroAFNegritaCaracter"/>
        </w:rPr>
        <w:t>6</w:t>
      </w:r>
      <w:r>
        <w:t>. Por diligencia de ordenación de 8 de enero de 2024 la Secretaría de Justicia de la Sala Primera de este tribunal tuvo por personada y parte al letrado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 de conformidad con lo preceptuado en el art. 52 LOTC.</w:t>
      </w:r>
    </w:p>
    <w:p w14:paraId="4F966809" w14:textId="77777777" w:rsidR="00A8138F" w:rsidRDefault="00A8138F" w:rsidP="00A8138F">
      <w:pPr>
        <w:pStyle w:val="TextoNormal"/>
      </w:pPr>
    </w:p>
    <w:p w14:paraId="2C23C1E7" w14:textId="13260DB6" w:rsidR="00A8138F" w:rsidRDefault="00A8138F" w:rsidP="00A8138F">
      <w:pPr>
        <w:pStyle w:val="TextoNormal"/>
      </w:pPr>
      <w:r w:rsidRPr="00A8138F">
        <w:rPr>
          <w:rStyle w:val="NumeroAFNegritaCaracter"/>
        </w:rPr>
        <w:t>7</w:t>
      </w:r>
      <w:r>
        <w:t>. Por escrito registrado en este tribunal el día 15 de enero de 2025 la representación procesal de la recurrente en amparo evacuó el trámite de alegaciones conferido. Dando por reproducidos los argumentos contenidos en su demanda y desarrollando los mismos con mención de la STC 140/2024, de 6 de noviembre, solicitó que se dictase sentencia estimando su pretensión.</w:t>
      </w:r>
    </w:p>
    <w:p w14:paraId="3E991A8B" w14:textId="77777777" w:rsidR="00A8138F" w:rsidRDefault="00A8138F" w:rsidP="00A8138F">
      <w:pPr>
        <w:pStyle w:val="TextoNormal"/>
      </w:pPr>
    </w:p>
    <w:p w14:paraId="078937D6" w14:textId="5530FD39" w:rsidR="00A8138F" w:rsidRDefault="00A8138F" w:rsidP="00A8138F">
      <w:pPr>
        <w:pStyle w:val="TextoNormal"/>
      </w:pPr>
      <w:r w:rsidRPr="00A8138F">
        <w:rPr>
          <w:rStyle w:val="NumeroAFNegritaCaracter"/>
        </w:rPr>
        <w:t>8</w:t>
      </w:r>
      <w:r>
        <w:t>. El día 3 de febrero de 2025 presentó sus alegaciones el letrado de la administración de la Seguridad Social en la representación que ostenta, negando la discriminación denunciada y advirtiendo que, en todo caso, no procedería la ampliación a doce semanas más como postula la recurrente teniendo en cuenta la aplicación al caso de la disposición transitoria decimotercera de la Ley del estatuto de los trabajadores añadida por el art. 2.18 del Real Decreto-ley 6/2019, sino solo ocho semanas más. Aunque se ratifica en las alegaciones realizadas a lo largo de todo el procedimiento (negando que la ley aplicada al caso resulte discriminatoria) la aplicación de la doctrina establecida en la sentencia de Pleno de este tribunal (STC 140/2024, de 6 de noviembre) conduce a que se amplíe la duración del permiso y de la prestación de nacimiento y cuidado del menor de la madre monoparental, pero no a la totalidad del periodo reconocido al otro progenitor (doce semanas), sino en ocho semanas adicionales. En suma, se interesa la desestimación del recurso y para el caso de su estimación, que se retrotraigan las actuaciones para que el INSS dicte una nueva resolución administrativa que resulte respetuosa con el derecho de la recurrente y con la normativa aplicable, limitando la ampliación del permiso y de la correspondiente prestación por nacimiento y cuidado del menor a ocho semanas.</w:t>
      </w:r>
    </w:p>
    <w:p w14:paraId="6FED864E" w14:textId="77777777" w:rsidR="00A8138F" w:rsidRDefault="00A8138F" w:rsidP="00A8138F">
      <w:pPr>
        <w:pStyle w:val="TextoNormal"/>
      </w:pPr>
    </w:p>
    <w:p w14:paraId="52893E31" w14:textId="5EA3F37B" w:rsidR="00A8138F" w:rsidRDefault="00A8138F" w:rsidP="00A8138F">
      <w:pPr>
        <w:pStyle w:val="TextoNormal"/>
      </w:pPr>
      <w:r w:rsidRPr="00A8138F">
        <w:rPr>
          <w:rStyle w:val="NumeroAFNegritaCaracter"/>
        </w:rPr>
        <w:t>9</w:t>
      </w:r>
      <w:r>
        <w:t xml:space="preserve">. El 27 de febrero de 2025 presenta sus alegaciones el fiscal ante este tribunal interesando la estimación del recurso de amparo por vulneración del derecho a la igualdad y a la no discriminación por razón de nacimiento en aplicación de lo decidido en la STC 140/2024, de 6 de noviembre, que declaró la inconstitucionalidad de los arts. 48.4 LET y 177 LGSS. Subraya el fiscal que no procedería acceder a la petición de la demandante que interesa la retroacción de las actuaciones hasta la primera resolución dictada por el INSS, teniendo en cuenta que dichas resoluciones ya han sido anuladas por la sentencia del Juzgado de lo Social, que estimó la demanda de la recurrente y declaró su derecho a la ampliación en los términos recogidos en el fundamento jurídico séptimo de la STC 140/2024, argumentando </w:t>
      </w:r>
      <w:r>
        <w:lastRenderedPageBreak/>
        <w:t>sobre la infracción del art. 14 CE en modo coincidente con la citada sentencia constitucional. Por consiguiente, a juicio de la Fiscalía procedería acordar la anulación de la sentencia recaída en suplicación y que se retrotraigan las actuaciones al momento previo para el dictado por la Sala de lo Social de una sentencia respetuosa con el derecho fundamental vulnerado.</w:t>
      </w:r>
    </w:p>
    <w:p w14:paraId="418276FA" w14:textId="77777777" w:rsidR="00A8138F" w:rsidRDefault="00A8138F" w:rsidP="00A8138F">
      <w:pPr>
        <w:pStyle w:val="TextoNormal"/>
      </w:pPr>
    </w:p>
    <w:p w14:paraId="407D882F" w14:textId="2ADE589B" w:rsidR="00A8138F" w:rsidRDefault="00A8138F" w:rsidP="00A8138F">
      <w:pPr>
        <w:pStyle w:val="TextoNormal"/>
      </w:pPr>
      <w:r w:rsidRPr="00A8138F">
        <w:rPr>
          <w:rStyle w:val="NumeroAFNegritaCaracter"/>
        </w:rPr>
        <w:t>10</w:t>
      </w:r>
      <w:r>
        <w:t>. Mediante providencia de 3 de abril de 2025, se señaló para deliberación y votación de la presente sentencia el día 7 del mismo mes y año.</w:t>
      </w:r>
    </w:p>
    <w:p w14:paraId="44A6398B" w14:textId="77777777" w:rsidR="00A8138F" w:rsidRDefault="00A8138F" w:rsidP="00A8138F">
      <w:pPr>
        <w:pStyle w:val="TextoNormal"/>
      </w:pPr>
    </w:p>
    <w:p w14:paraId="683DC331" w14:textId="77777777" w:rsidR="00A8138F" w:rsidRDefault="00A8138F" w:rsidP="00A8138F">
      <w:pPr>
        <w:pStyle w:val="TextoNormalNegritaCentrado"/>
        <w:keepNext/>
      </w:pPr>
      <w:r>
        <w:t>II. Fundamentos jurídicos</w:t>
      </w:r>
    </w:p>
    <w:p w14:paraId="1D067D4D" w14:textId="1D01C70B" w:rsidR="00A8138F" w:rsidRDefault="00A8138F" w:rsidP="00A8138F">
      <w:pPr>
        <w:pStyle w:val="TextoNormalNegritaCentrado"/>
        <w:keepNext/>
      </w:pPr>
    </w:p>
    <w:p w14:paraId="6D932763"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596E55C8" w14:textId="77777777" w:rsidR="00A8138F" w:rsidRDefault="00A8138F" w:rsidP="00A8138F">
      <w:pPr>
        <w:pStyle w:val="TextoNormal"/>
      </w:pPr>
    </w:p>
    <w:p w14:paraId="490D31C5" w14:textId="6CABFBC3"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4D0D0CEF" w14:textId="77777777" w:rsidR="00A8138F" w:rsidRDefault="00A8138F" w:rsidP="00A8138F">
      <w:pPr>
        <w:pStyle w:val="TextoNormal"/>
      </w:pPr>
    </w:p>
    <w:p w14:paraId="036E8A1B"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2E47F54F" w14:textId="77777777" w:rsidR="00A8138F" w:rsidRDefault="00A8138F" w:rsidP="00A8138F">
      <w:pPr>
        <w:pStyle w:val="TextoNormal"/>
      </w:pPr>
    </w:p>
    <w:p w14:paraId="2698FDF7"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63358BE7" w14:textId="77777777" w:rsidR="00A8138F" w:rsidRDefault="00A8138F" w:rsidP="00A8138F">
      <w:pPr>
        <w:pStyle w:val="TextoNormal"/>
      </w:pPr>
    </w:p>
    <w:p w14:paraId="55D405C5"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A2E32AA" w14:textId="77777777" w:rsidR="00A8138F" w:rsidRDefault="00A8138F" w:rsidP="00A8138F">
      <w:pPr>
        <w:pStyle w:val="TextoNormal"/>
      </w:pPr>
    </w:p>
    <w:p w14:paraId="7372081D" w14:textId="77777777" w:rsidR="00A8138F" w:rsidRDefault="00A8138F" w:rsidP="00A8138F">
      <w:pPr>
        <w:pStyle w:val="TextoNormal"/>
      </w:pPr>
      <w:r>
        <w:lastRenderedPageBreak/>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4F442C6D" w14:textId="77777777" w:rsidR="00A8138F" w:rsidRDefault="00A8138F" w:rsidP="00A8138F">
      <w:pPr>
        <w:pStyle w:val="TextoNormal"/>
      </w:pPr>
    </w:p>
    <w:p w14:paraId="4AE55106" w14:textId="47A27B67" w:rsidR="00A8138F" w:rsidRDefault="00A8138F" w:rsidP="00A8138F">
      <w:pPr>
        <w:pStyle w:val="TextoNormal"/>
      </w:pPr>
      <w:r>
        <w:t>En consecuencia, debe estimarse la demanda y otorgar el amparo solicitado. De conformidad con lo expuesto por el fiscal, debemos anular y dejar sin efecto la sentencia núm. 1256/2023, de la Sala de lo Social del Tribunal Superior de Justicia del País Vasco, de 18 de mayo (así como el auto de la Sala de lo Social del Tribunal Supremo, de 11 de septiembre de 2024 que declaró su firmeza) a los efectos de que aquella Sala dicte otra resolución que resulte respetuosa con el derecho fundamental reconocido en los términos previstos en la STC 140/2024, de 6 de noviembre. En efecto, en este caso, no procede declarar la firmeza de la sentencia núm. 207/2022, del Juzgado de lo Social núm. 1 de Donostia-San Sebastián, de 28 de junio, dado que, aunque su fundamentación jurídica resulta acorde con lo decidido por este tribunal en la citada sentencia, concedió a la demandante un tiempo de disfrute de la prestación superior al reconocido en ella.</w:t>
      </w:r>
    </w:p>
    <w:p w14:paraId="1E9AB8E7" w14:textId="77777777" w:rsidR="00A8138F" w:rsidRDefault="00A8138F" w:rsidP="00A8138F">
      <w:pPr>
        <w:pStyle w:val="TextoNormal"/>
      </w:pPr>
    </w:p>
    <w:p w14:paraId="18418540" w14:textId="77777777" w:rsidR="00A8138F" w:rsidRDefault="00A8138F" w:rsidP="00A8138F">
      <w:pPr>
        <w:pStyle w:val="TextoNormalCentrado"/>
        <w:keepNext/>
      </w:pPr>
      <w:r>
        <w:t>FALLO</w:t>
      </w:r>
    </w:p>
    <w:p w14:paraId="0C906341" w14:textId="1A3C597B" w:rsidR="00A8138F" w:rsidRDefault="00A8138F" w:rsidP="00A8138F">
      <w:pPr>
        <w:pStyle w:val="TextoNormalCentrado"/>
        <w:keepNext/>
      </w:pPr>
    </w:p>
    <w:p w14:paraId="32931870"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Elena Gorrotxategui Iparraguirre y, en su virtud:</w:t>
      </w:r>
    </w:p>
    <w:p w14:paraId="10CAC2DB" w14:textId="77777777" w:rsidR="00A8138F" w:rsidRDefault="00A8138F" w:rsidP="00A8138F">
      <w:pPr>
        <w:pStyle w:val="TextoNormal"/>
      </w:pPr>
    </w:p>
    <w:p w14:paraId="3FFC9C1B" w14:textId="77777777" w:rsidR="00A8138F" w:rsidRDefault="00A8138F" w:rsidP="00A8138F">
      <w:pPr>
        <w:pStyle w:val="TextoNormal"/>
      </w:pPr>
      <w:r>
        <w:t>1º Declarar vulnerado el derecho fundamental a la igualdad ante la ley sin discriminación por razón de nacimiento (art. 14 CE).</w:t>
      </w:r>
    </w:p>
    <w:p w14:paraId="11C98A7D" w14:textId="77777777" w:rsidR="00A8138F" w:rsidRDefault="00A8138F" w:rsidP="00A8138F">
      <w:pPr>
        <w:pStyle w:val="TextoNormal"/>
      </w:pPr>
    </w:p>
    <w:p w14:paraId="16C72175" w14:textId="77777777" w:rsidR="00A8138F" w:rsidRDefault="00A8138F" w:rsidP="00A8138F">
      <w:pPr>
        <w:pStyle w:val="TextoNormal"/>
      </w:pPr>
      <w:r>
        <w:t>2º Restablecerla en su derecho y, a tal fin, declarar la nulidad de la sentencia núm. 1256/2023 de la Sala de lo Social del Tribunal Superior de Justicia del País Vasco, de 18 de mayo (recurso de suplicación núm. 2980-2022) y del auto de la Sala de lo Social del Tribunal Supremo, de 11 de septiembre de 2024 (recurso de casación para la unificación de doctrina núm. 4707-2023).</w:t>
      </w:r>
    </w:p>
    <w:p w14:paraId="7A3ABD99" w14:textId="77777777" w:rsidR="00A8138F" w:rsidRDefault="00A8138F" w:rsidP="00A8138F">
      <w:pPr>
        <w:pStyle w:val="TextoNormal"/>
      </w:pPr>
    </w:p>
    <w:p w14:paraId="74763F8A" w14:textId="64507916" w:rsidR="00A8138F" w:rsidRDefault="00A8138F" w:rsidP="00A8138F">
      <w:pPr>
        <w:pStyle w:val="TextoNormal"/>
      </w:pPr>
      <w:r>
        <w:t>3º Retrotraer las actuaciones al momento previo al dictado de la sentencia núm. 1256/2023, de la Sala de lo Social del Tribunal Superior de Justicia del País Vasco, de 18 de mayo, para que esa Sala dicte una nueva resolución que resulte respetuosa con el derecho fundamental reconocido a la recurrente.</w:t>
      </w:r>
    </w:p>
    <w:p w14:paraId="4A37219A" w14:textId="77777777" w:rsidR="00A8138F" w:rsidRDefault="00A8138F" w:rsidP="00A8138F">
      <w:pPr>
        <w:pStyle w:val="TextoNormal"/>
      </w:pPr>
    </w:p>
    <w:p w14:paraId="0E2D06E0" w14:textId="77777777" w:rsidR="00A8138F" w:rsidRDefault="00A8138F" w:rsidP="00A8138F">
      <w:pPr>
        <w:pStyle w:val="TextoNormal"/>
      </w:pPr>
      <w:r>
        <w:t>Publíquese esta sentencia en el “Boletín Oficial del Estado”.</w:t>
      </w:r>
    </w:p>
    <w:p w14:paraId="324EE1B2" w14:textId="77777777" w:rsidR="00A8138F" w:rsidRDefault="00A8138F" w:rsidP="00A8138F">
      <w:pPr>
        <w:pStyle w:val="TextoNormal"/>
      </w:pPr>
      <w:r>
        <w:t>Dada en Madrid, a siete de abril de dos mil veinticinco.</w:t>
      </w:r>
    </w:p>
    <w:p w14:paraId="6FAB11B5" w14:textId="10D34338" w:rsidR="00A8138F" w:rsidRDefault="00A8138F">
      <w:pPr>
        <w:spacing w:after="160" w:line="278" w:lineRule="auto"/>
        <w:rPr>
          <w:rFonts w:ascii="Times New Roman" w:eastAsia="Times New Roman" w:hAnsi="Times New Roman" w:cs="Times New Roman"/>
          <w:sz w:val="24"/>
          <w:szCs w:val="24"/>
          <w:lang w:eastAsia="es-ES"/>
        </w:rPr>
      </w:pPr>
      <w:r>
        <w:br w:type="page"/>
      </w:r>
    </w:p>
    <w:p w14:paraId="69E1D3EA" w14:textId="77777777" w:rsidR="00A8138F" w:rsidRDefault="00A8138F" w:rsidP="00A8138F">
      <w:pPr>
        <w:pStyle w:val="TtuloResolucin"/>
      </w:pPr>
      <w:bookmarkStart w:id="95" w:name="SENTENCIA_2025_93"/>
      <w:r>
        <w:lastRenderedPageBreak/>
        <w:t>SENTENCIA 93/2025, de 7 de abril de 2025</w:t>
      </w:r>
    </w:p>
    <w:bookmarkEnd w:id="95"/>
    <w:p w14:paraId="04A408A9" w14:textId="77777777" w:rsidR="00A8138F" w:rsidRDefault="00A8138F" w:rsidP="00A8138F">
      <w:pPr>
        <w:pStyle w:val="TtuloResolucin"/>
      </w:pPr>
      <w:r>
        <w:t>Sala Primera</w:t>
      </w:r>
    </w:p>
    <w:p w14:paraId="0A41AFBA" w14:textId="77777777" w:rsidR="00A8138F" w:rsidRDefault="00A8138F" w:rsidP="00A8138F">
      <w:pPr>
        <w:pStyle w:val="TtuloBOE"/>
      </w:pPr>
      <w:r>
        <w:t>(BOE núm. 117, de 15 de mayo de 2025)</w:t>
      </w:r>
    </w:p>
    <w:p w14:paraId="36A0943B" w14:textId="77777777" w:rsidR="00A8138F" w:rsidRDefault="00A8138F" w:rsidP="00A8138F">
      <w:pPr>
        <w:pStyle w:val="TextoNormalCentrado"/>
      </w:pPr>
      <w:r>
        <w:t>ECLI:ES:TC:2025:93</w:t>
      </w:r>
    </w:p>
    <w:p w14:paraId="1E9F46CA" w14:textId="5F6B68CE" w:rsidR="00A8138F" w:rsidRDefault="00A8138F" w:rsidP="00A8138F">
      <w:pPr>
        <w:pStyle w:val="TextoNormalCentrado"/>
      </w:pPr>
    </w:p>
    <w:p w14:paraId="6F4B6B87" w14:textId="77777777" w:rsidR="00A8138F" w:rsidRDefault="00A8138F" w:rsidP="00A8138F">
      <w:pPr>
        <w:pStyle w:val="SntesisDescriptiva"/>
      </w:pPr>
      <w:r>
        <w:t>Recurso de amparo 7610-2024. Promovido por doña Andreia Daniela da Graca Pereira en relación con las resoluciones administrativas y judiciales que desestimaron su petición de revisión y ampliación de la prestación por nacimiento y cuidado de hijo menor, como madre biológica de familia monoparental.</w:t>
      </w:r>
    </w:p>
    <w:p w14:paraId="333E8A3F" w14:textId="1C151175" w:rsidR="00A8138F" w:rsidRDefault="00A8138F" w:rsidP="00A8138F">
      <w:pPr>
        <w:pStyle w:val="SntesisDescriptiva"/>
      </w:pPr>
    </w:p>
    <w:p w14:paraId="5A3E8F8B"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BC3E73B" w14:textId="234647D6" w:rsidR="00A8138F" w:rsidRDefault="00A8138F" w:rsidP="00A8138F">
      <w:pPr>
        <w:pStyle w:val="SntesisAnaltica"/>
      </w:pPr>
    </w:p>
    <w:p w14:paraId="20C70219" w14:textId="0DA83EB2"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000635B2" w14:textId="77777777" w:rsidR="00A8138F" w:rsidRDefault="00A8138F" w:rsidP="00A8138F">
      <w:pPr>
        <w:pStyle w:val="Extracto"/>
      </w:pPr>
    </w:p>
    <w:p w14:paraId="75F9CFBD" w14:textId="77777777" w:rsidR="00A8138F" w:rsidRDefault="00A8138F" w:rsidP="00A8138F">
      <w:pPr>
        <w:pStyle w:val="Extracto"/>
      </w:pPr>
    </w:p>
    <w:p w14:paraId="2057D8B4"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B681814" w14:textId="0CB895CF" w:rsidR="00A8138F" w:rsidRDefault="00A8138F" w:rsidP="00A8138F">
      <w:pPr>
        <w:pStyle w:val="TextoNormal"/>
      </w:pPr>
    </w:p>
    <w:p w14:paraId="681CD7DF" w14:textId="77777777" w:rsidR="00A8138F" w:rsidRDefault="00A8138F" w:rsidP="00A8138F">
      <w:pPr>
        <w:pStyle w:val="TextoNormalCentrado"/>
        <w:keepNext/>
      </w:pPr>
      <w:r>
        <w:t>EN NOMBRE DEL REY</w:t>
      </w:r>
    </w:p>
    <w:p w14:paraId="4E96B023" w14:textId="05F02089" w:rsidR="00A8138F" w:rsidRDefault="00A8138F" w:rsidP="00A8138F">
      <w:pPr>
        <w:pStyle w:val="TextoNormalCentrado"/>
        <w:keepNext/>
      </w:pPr>
    </w:p>
    <w:p w14:paraId="4EFA9742" w14:textId="77777777" w:rsidR="00A8138F" w:rsidRDefault="00A8138F" w:rsidP="00A8138F">
      <w:pPr>
        <w:pStyle w:val="TextoNormalCentrado"/>
        <w:keepNext/>
      </w:pPr>
    </w:p>
    <w:p w14:paraId="5B10D6C3" w14:textId="77777777" w:rsidR="00A8138F" w:rsidRDefault="00A8138F" w:rsidP="00A8138F">
      <w:pPr>
        <w:pStyle w:val="TextoNormal"/>
      </w:pPr>
      <w:r>
        <w:t>la siguiente</w:t>
      </w:r>
    </w:p>
    <w:p w14:paraId="41E29A31" w14:textId="2D421448" w:rsidR="00A8138F" w:rsidRDefault="00A8138F" w:rsidP="00A8138F">
      <w:pPr>
        <w:pStyle w:val="TextoNormal"/>
      </w:pPr>
    </w:p>
    <w:p w14:paraId="73CF3C9F" w14:textId="77777777" w:rsidR="00A8138F" w:rsidRDefault="00A8138F" w:rsidP="00A8138F">
      <w:pPr>
        <w:pStyle w:val="TextoNormalCentrado"/>
        <w:keepNext/>
      </w:pPr>
      <w:r>
        <w:t>SENTENCIA</w:t>
      </w:r>
    </w:p>
    <w:p w14:paraId="3957D003" w14:textId="78D3E398" w:rsidR="00A8138F" w:rsidRDefault="00A8138F" w:rsidP="00A8138F">
      <w:pPr>
        <w:pStyle w:val="TextoNormalCentrado"/>
        <w:keepNext/>
      </w:pPr>
    </w:p>
    <w:p w14:paraId="337C702F" w14:textId="77777777" w:rsidR="00A8138F" w:rsidRDefault="00A8138F" w:rsidP="00A8138F">
      <w:pPr>
        <w:pStyle w:val="TextoNormal"/>
      </w:pPr>
      <w:r>
        <w:t>En el recurso de amparo núm. 7610-2024, promovido por doña Andreia Daniela da Graca Pereira, representada por la procuradora de los tribunales doña María Esperanza Azpeitia Calvín y asistida por el letrado don Oskar Urretxo Fernández de Betoño, frente a las resoluciones del Instituto Nacional de la Seguridad Social de 23 de diciembre de 2020 y de 2 de junio de 2021 que desestimaron la petición y reclamación previa dirigidas a la revisión y ampliación de la prestación por nacimiento y cuidado de hijo; contra la sentencia núm. 1278/2023, de 23 de mayo, de la Sala de lo Social del Tribunal Superior de Justicia del País Vasco, que estimó el recurso de suplicación núm. 2469-2022 interpuesto por el Instituto Nacional de la Seguridad Social frente a la sentencia núm. 185/2022, de 29 de julio, del Juzgado de lo Social núm. 2 de Vitoria-Gasteiz dictada en los autos núm. 593-2021; y contra el auto de 18 de septiembre de 2024, de la Sala de lo Social del Tribunal Supremo, que inadmitió el recurso de casación para la unificación de doctrina núm. 4059-2023. Han in</w:t>
      </w:r>
      <w:r>
        <w:lastRenderedPageBreak/>
        <w:t>tervenido la letrada de la administración de la Seguridad Social y el Ministerio Fiscal. Ha sido ponente la magistrada doña Concepción Espejel Jorquera.</w:t>
      </w:r>
    </w:p>
    <w:p w14:paraId="04A521FB" w14:textId="54EA16E0" w:rsidR="00A8138F" w:rsidRDefault="00A8138F" w:rsidP="00A8138F">
      <w:pPr>
        <w:pStyle w:val="TextoNormal"/>
      </w:pPr>
    </w:p>
    <w:p w14:paraId="7C92CCFA" w14:textId="77777777" w:rsidR="00A8138F" w:rsidRDefault="00A8138F" w:rsidP="00A8138F">
      <w:pPr>
        <w:pStyle w:val="TextoNormalNegritaCentrado"/>
        <w:keepNext/>
      </w:pPr>
      <w:r>
        <w:t>I. Antecedentes</w:t>
      </w:r>
    </w:p>
    <w:p w14:paraId="0A0992EC" w14:textId="2C560F39" w:rsidR="00A8138F" w:rsidRDefault="00A8138F" w:rsidP="00A8138F">
      <w:pPr>
        <w:pStyle w:val="TextoNormalNegritaCentrado"/>
        <w:keepNext/>
      </w:pPr>
    </w:p>
    <w:p w14:paraId="081F66DC" w14:textId="6D3AD681" w:rsidR="00A8138F" w:rsidRDefault="00A8138F" w:rsidP="00A8138F">
      <w:pPr>
        <w:pStyle w:val="TextoNormal"/>
      </w:pPr>
      <w:r w:rsidRPr="00A8138F">
        <w:rPr>
          <w:rStyle w:val="NumeroAFNegritaCaracter"/>
        </w:rPr>
        <w:t>1</w:t>
      </w:r>
      <w:r>
        <w:t>. Mediante escrito presentado en el registro general de este tribunal el día 10 de octubre de 2024, la procuradora de los tribunales doña María Esperanza Azpeitia Calvín, actuando en nombre y representación de doña Andreia Daniela da Graca Pereira y bajo la dirección letrada de don Oskar Urretxo Fernández de Betoño, interpuso recurso de amparo frente a las resoluciones administrativas y judiciales a las que se ha hecho mención en el encabezamiento de esta sentencia.</w:t>
      </w:r>
    </w:p>
    <w:p w14:paraId="1FD8A222" w14:textId="77777777" w:rsidR="00A8138F" w:rsidRDefault="00A8138F" w:rsidP="00A8138F">
      <w:pPr>
        <w:pStyle w:val="TextoNormal"/>
      </w:pPr>
    </w:p>
    <w:p w14:paraId="725394C7" w14:textId="77777777" w:rsidR="00A8138F" w:rsidRDefault="00A8138F" w:rsidP="00A8138F">
      <w:pPr>
        <w:pStyle w:val="TextoNormal"/>
      </w:pPr>
      <w:r w:rsidRPr="00A8138F">
        <w:rPr>
          <w:rStyle w:val="NumeroAFNegritaCaracter"/>
        </w:rPr>
        <w:t>2</w:t>
      </w:r>
      <w:r>
        <w:t>. El presente recurso de amparo trae causa de los siguientes antecedentes:</w:t>
      </w:r>
    </w:p>
    <w:p w14:paraId="34312C56" w14:textId="77777777" w:rsidR="00A8138F" w:rsidRDefault="00A8138F" w:rsidP="00A8138F">
      <w:pPr>
        <w:pStyle w:val="TextoNormal"/>
      </w:pPr>
    </w:p>
    <w:p w14:paraId="5A8F2D58" w14:textId="77777777" w:rsidR="00A8138F" w:rsidRDefault="00A8138F" w:rsidP="00A8138F">
      <w:pPr>
        <w:pStyle w:val="TextoNormal"/>
      </w:pPr>
      <w:r>
        <w:t>a) La recurrente en amparo, madre biológica de una menor nacida el día 18 de noviembre de 2020, con la que forma una familia monoparental, solicitó ante la Dirección Provincial de la Seguridad Social de Álava la prestación por nacimiento y cuidado de menor, que le fue reconocida por resolución del Instituto Nacional de la Seguridad Social (INSS) de 23 de diciembre de 2020.</w:t>
      </w:r>
    </w:p>
    <w:p w14:paraId="328371E8" w14:textId="77777777" w:rsidR="00A8138F" w:rsidRDefault="00A8138F" w:rsidP="00A8138F">
      <w:pPr>
        <w:pStyle w:val="TextoNormal"/>
      </w:pPr>
    </w:p>
    <w:p w14:paraId="17B65B65" w14:textId="77777777" w:rsidR="00A8138F" w:rsidRDefault="00A8138F" w:rsidP="00A8138F">
      <w:pPr>
        <w:pStyle w:val="TextoNormal"/>
      </w:pPr>
      <w:r>
        <w:t>El día 26 de enero de 2021 presentó escrito de reclamación previa en el que solicitó el permiso de paternidad, al tratarse de una familia monoparental. Por resolución de 2 de junio de 2021 del INSS fue desestimada su pretensión, al no preverse legalmente la ampliación de la prestación en supuestos de familias monoparentales y ser el derecho en cuestión personal e intransferible.</w:t>
      </w:r>
    </w:p>
    <w:p w14:paraId="391FC201" w14:textId="77777777" w:rsidR="00A8138F" w:rsidRDefault="00A8138F" w:rsidP="00A8138F">
      <w:pPr>
        <w:pStyle w:val="TextoNormal"/>
      </w:pPr>
    </w:p>
    <w:p w14:paraId="3957C913" w14:textId="77777777" w:rsidR="00A8138F" w:rsidRDefault="00A8138F" w:rsidP="00A8138F">
      <w:pPr>
        <w:pStyle w:val="TextoNormal"/>
      </w:pPr>
      <w:r>
        <w:t>b) Disconforme con la duración de la prestación reconocida, la ahora recurrente presentó demanda frente al INSS y la Tesorería General de la Seguridad Social (TGSS), en reclamación inicialmente de ocho semanas adicionales, ampliadas a doce semanas en el acto del juicio. La demanda dio lugar a los autos núm. 593-2021, seguidos ante el Juzgado de lo Social núm. 2 de Vitoria-Gasteiz, que la estimó en la sentencia núm. 185/2022, de 29 de julio, que reconoció a la actora el derecho a disfrutar de ocho semanas adicionales de prestación por nacimiento y cuidado de su hija, de conformidad con lo dispuesto en la disposición transitoria decimotercera de la Ley del Estatuto de los Trabajadores, aplicable al caso teniendo en cuenta la fecha del nacimiento de su hija.</w:t>
      </w:r>
    </w:p>
    <w:p w14:paraId="0DCF05E7" w14:textId="77777777" w:rsidR="00A8138F" w:rsidRDefault="00A8138F" w:rsidP="00A8138F">
      <w:pPr>
        <w:pStyle w:val="TextoNormal"/>
      </w:pPr>
    </w:p>
    <w:p w14:paraId="0056F30D" w14:textId="77777777" w:rsidR="00A8138F" w:rsidRDefault="00A8138F" w:rsidP="00A8138F">
      <w:pPr>
        <w:pStyle w:val="TextoNormal"/>
      </w:pPr>
      <w:r>
        <w:t>c) Frente a la referida sentencia el INSS y la TGSS interpusieron recurso de suplicación registrado con el núm. 2469-2022, que fue impugnado de contrario por la actora. El recurso fue estimado por medio de la sentencia núm. 1278/2023, de 23 de mayo, dictada por la Sala de lo Social del Tribunal Superior de Justicia del País Vasco, en aplicación de lo resuelto por la sentencia de la Sala de lo Social del Tribunal Supremo de 2 de marzo de 2023, dictada en el recurso de casación para la unificación de doctrina núm. 3972-2020 (ECLI:ES:TS:2023:783), que desestimó la pretensión ampliatoria de la prestación teniendo en cuenta: (i) la falta de previsión legal de la extensión en casos de existencia de un único progenitor; (ii) las múltiples formas que podía adoptar la familia monoparental, que podía estar constituida no solo por madres biológicas, sino también por viudas, separadas, divorciadas y adoptantes; y (iii) la inviabilidad de imponer a la parte empleadora las consecuen</w:t>
      </w:r>
      <w:r>
        <w:lastRenderedPageBreak/>
        <w:t>cias de la extensión o ampliación de la prestación de forma duplicada por la circunstancia, ajena a la empresa, de que la trabajadora constituyese una familia monoparental.</w:t>
      </w:r>
    </w:p>
    <w:p w14:paraId="5CA5A6FF" w14:textId="77777777" w:rsidR="00A8138F" w:rsidRDefault="00A8138F" w:rsidP="00A8138F">
      <w:pPr>
        <w:pStyle w:val="TextoNormal"/>
      </w:pPr>
    </w:p>
    <w:p w14:paraId="67AC7730" w14:textId="11A2EC87" w:rsidR="00A8138F" w:rsidRDefault="00A8138F" w:rsidP="00A8138F">
      <w:pPr>
        <w:pStyle w:val="TextoNormal"/>
      </w:pPr>
      <w:r>
        <w:t>d) Frente a la anterior sentencia, la parte actora interpuso recurso de casación para la unificación de doctrina, registrado con el núm. 4059-2023, que fue inadmitido por la Sala de lo Social del Tribunal Supremo ante la falta de contenido casacional del recurso, dado que la sentencia recurrida se basaba, precisamente, en la doctrina unificada de esa Sala sentada en sentencia del Pleno de 2 de marzo de 2023, que había sido seguida de otras muchas y en la que se había resuelto que las familias monoparentales no tenían derecho a la acumulación de prestaciones solicitada, ya que no se establecía en la ley vigente, que cumplía las exigencias de la Unión Europea, ni se deducía de la Constitución ni de los acuerdos y tratados internacionales firmados por España, correspondiendo al legislador —y no a los tribunales— determinar el alcance y contenido de la protección que debe dispensarse a ese tipo de familias.</w:t>
      </w:r>
    </w:p>
    <w:p w14:paraId="0F10FC4D" w14:textId="77777777" w:rsidR="00A8138F" w:rsidRDefault="00A8138F" w:rsidP="00A8138F">
      <w:pPr>
        <w:pStyle w:val="TextoNormal"/>
      </w:pPr>
    </w:p>
    <w:p w14:paraId="6FDD411E" w14:textId="6D878BE7" w:rsidR="00A8138F" w:rsidRDefault="00A8138F" w:rsidP="00A8138F">
      <w:pPr>
        <w:pStyle w:val="TextoNormal"/>
      </w:pPr>
      <w:r w:rsidRPr="00A8138F">
        <w:rPr>
          <w:rStyle w:val="NumeroAFNegritaCaracter"/>
        </w:rPr>
        <w:t>3</w:t>
      </w:r>
      <w:r>
        <w:t>. En la demanda de amparo la recurrente denuncia la infracción del derecho a la igualdad y a la no discriminación directa por circunstancias personales y familiares, e indirecta por razón de sexo (art. 14 CE), en relación con los arts. 39 y 9.2 CE. Se alega, en tal sentido: (i) una desigualdad entre madres biológicas de familias monoparentales y de familias biparentales, en relación con el disfrute del permiso por nacimiento y cuidado de hijos que resulta contraria al art. 14 CE y que carece de justificación objetiva y razonable, lo que causa perjuicios en el ámbito familiar y una merma sustancial en los cuidados del menor; (ii) una discriminación directa por circunstancias personales y familiares (art. 14, en conexión con el art. 39 CE), esto es, por haber adoptado la recurrente la libre decisión de formar una familia monoparental, decisión que vincula al libre desarrollo de la personalidad (art. 10.1 CE) y al ejercicio del derecho de libertad ideológica (art. 16 CE); y (iii) una discriminación indirecta por razón de sexo (art. 14 en conexión con el art. 9.2 CE), por cuanto, aunque la norma es en principio neutra, su efecto reductor del permiso afecta en mayor medida a las mujeres, que son las que mayoritariamente forman familias monoparentales. Por todo ello, solicita la nulidad de todas las resoluciones recurridas, para que el INSS vuelva a dictar una resolución favorable a su pretensión.</w:t>
      </w:r>
    </w:p>
    <w:p w14:paraId="4FF1A1A2" w14:textId="77777777" w:rsidR="00A8138F" w:rsidRDefault="00A8138F" w:rsidP="00A8138F">
      <w:pPr>
        <w:pStyle w:val="TextoNormal"/>
      </w:pPr>
    </w:p>
    <w:p w14:paraId="428AFA61" w14:textId="4E830EE0" w:rsidR="00A8138F" w:rsidRDefault="00A8138F" w:rsidP="00A8138F">
      <w:pPr>
        <w:pStyle w:val="TextoNormal"/>
      </w:pPr>
      <w:r w:rsidRPr="00A8138F">
        <w:rPr>
          <w:rStyle w:val="NumeroAFNegritaCaracter"/>
        </w:rPr>
        <w:t>4</w:t>
      </w:r>
      <w:r>
        <w:t>. Mediante providencia de 13 de enero de 2025, la Sección Primera, Sala Primera,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4059-2023 y al recurso de suplicación núm. 2469-2022, respectivamente. Asimismo, acordó dirigir comunicación al Juzgado de lo Social núm. 2 de Vitoria-Gasteiz a fin de que, en el mismo plazo, remitiese certificación o fotocopia adverada de las actuaciones correspondientes a los autos núm. 593-2021, emplazando a quienes hubieran sido parte en el procedimiento, excepto la parte recurrente en amparo, para que, si lo desearan, pudieran comparecer en el presente recurso.</w:t>
      </w:r>
    </w:p>
    <w:p w14:paraId="3607788D" w14:textId="77777777" w:rsidR="00A8138F" w:rsidRDefault="00A8138F" w:rsidP="00A8138F">
      <w:pPr>
        <w:pStyle w:val="TextoNormal"/>
      </w:pPr>
    </w:p>
    <w:p w14:paraId="7860E704" w14:textId="388B87A7" w:rsidR="00A8138F" w:rsidRDefault="00A8138F" w:rsidP="00A8138F">
      <w:pPr>
        <w:pStyle w:val="TextoNormal"/>
      </w:pPr>
      <w:r w:rsidRPr="00A8138F">
        <w:rPr>
          <w:rStyle w:val="NumeroAFNegritaCaracter"/>
        </w:rPr>
        <w:t>5</w:t>
      </w:r>
      <w:r>
        <w:t>. El 5 de febrero de 2025 la letrada de la administración de la Seguridad Social en la representación que ostenta se personó como parte recurrida.</w:t>
      </w:r>
    </w:p>
    <w:p w14:paraId="38AB2847" w14:textId="77777777" w:rsidR="00A8138F" w:rsidRDefault="00A8138F" w:rsidP="00A8138F">
      <w:pPr>
        <w:pStyle w:val="TextoNormal"/>
      </w:pPr>
    </w:p>
    <w:p w14:paraId="22092AD2" w14:textId="5C27C5BC" w:rsidR="00A8138F" w:rsidRDefault="00A8138F" w:rsidP="00A8138F">
      <w:pPr>
        <w:pStyle w:val="TextoNormal"/>
      </w:pPr>
      <w:r w:rsidRPr="00A8138F">
        <w:rPr>
          <w:rStyle w:val="NumeroAFNegritaCaracter"/>
        </w:rPr>
        <w:t>6</w:t>
      </w:r>
      <w:r>
        <w:t>. Por diligencia de ordenación de 12 de febrero de 2025 se tuvo por personada y parte a la letrada de la administración de la Seguridad Social. en nombre y representación del INSS y de la TGSS, y se dio vista de las actuaciones del presente recurso de amparo a todas las partes por un plazo común de veinte días, para que pudieran presentar las alegaciones que a su derecho conviniera.</w:t>
      </w:r>
    </w:p>
    <w:p w14:paraId="45B286EB" w14:textId="77777777" w:rsidR="00A8138F" w:rsidRDefault="00A8138F" w:rsidP="00A8138F">
      <w:pPr>
        <w:pStyle w:val="TextoNormal"/>
      </w:pPr>
    </w:p>
    <w:p w14:paraId="1C69E077" w14:textId="1B4007C4" w:rsidR="00A8138F" w:rsidRDefault="00A8138F" w:rsidP="00A8138F">
      <w:pPr>
        <w:pStyle w:val="TextoNormal"/>
      </w:pPr>
      <w:r w:rsidRPr="00A8138F">
        <w:rPr>
          <w:rStyle w:val="NumeroAFNegritaCaracter"/>
        </w:rPr>
        <w:t>7</w:t>
      </w:r>
      <w:r>
        <w:t>. Mediante escrito presentado el 14 de febrero de 2025, la representación procesal de la recurrente en amparo evacuó el trámite de alegaciones conferido, y con mención de la STC 140/2024, de 6 de noviembre, solicitó que se dictase sentencia estimatoria en los términos interesados en la demanda de amparo.</w:t>
      </w:r>
    </w:p>
    <w:p w14:paraId="1FCA7D00" w14:textId="77777777" w:rsidR="00A8138F" w:rsidRDefault="00A8138F" w:rsidP="00A8138F">
      <w:pPr>
        <w:pStyle w:val="TextoNormal"/>
      </w:pPr>
    </w:p>
    <w:p w14:paraId="3EFA4AB6" w14:textId="77777777" w:rsidR="00A8138F" w:rsidRDefault="00A8138F" w:rsidP="00A8138F">
      <w:pPr>
        <w:pStyle w:val="TextoNormal"/>
      </w:pPr>
      <w:r w:rsidRPr="00A8138F">
        <w:rPr>
          <w:rStyle w:val="NumeroAFNegritaCaracter"/>
        </w:rPr>
        <w:t>8</w:t>
      </w:r>
      <w:r>
        <w:t>. Por escrito presentado el 7 de marzo de 2025, la letrada de la administración de la Seguridad Social suplicó que se le tuviera por allanada a la demanda en el presente recurso de amparo, ante la estimación de la cuestión de inconstitucionalidad núm. 6694-2023 en la sentencia de Pleno de este tribunal de 6 de noviembre de 2024, que declaró la inconstitucionalidad de los preceptos legales cuestionados: el art. 48.4 del texto refundido de la Ley del estatuto de los trabajadores, aprobado por Real Decreto Legislativo 2/2015, de 23 de octubre (LET); y el art. 177 del texto refundido de la Ley general de la Seguridad Social, aprobado por el Real Decreto Legislativo 8/2015, de 30 de octubre (LGSS). Afirma que, con posterioridad, el Tribunal ha venido dictando sentencias en procesos de amparo estimatorias de la pretensión en casos similares al presente.</w:t>
      </w:r>
    </w:p>
    <w:p w14:paraId="5DE3ECEB" w14:textId="77777777" w:rsidR="00A8138F" w:rsidRDefault="00A8138F" w:rsidP="00A8138F">
      <w:pPr>
        <w:pStyle w:val="TextoNormal"/>
      </w:pPr>
    </w:p>
    <w:p w14:paraId="0AC6C3A7" w14:textId="04B20E10" w:rsidR="00A8138F" w:rsidRDefault="00A8138F" w:rsidP="00A8138F">
      <w:pPr>
        <w:pStyle w:val="TextoNormal"/>
      </w:pPr>
      <w:r>
        <w:t>A la vista de todo ello, la dirección del servicio jurídico de la Seguridad Social dictó la instrucción núm. 10/2024, de 23 de diciembre, por la que autorizó al servicio jurídico delegado central en el INSS para allanarse en los recursos de amparo pendientes ante el Tribunal Constitucional que resulten afectados por lo establecido en el fundamento jurídico 7 de la STC 140/2024, de 6 de noviembre, lo que sucedía en el presente caso. Se añade que, de dictarse sentencia estimatoria de este recurso, se precise la forma de su ejecución dadas las dificultades para llevarla a cabo por los motivos expresados en los incidentes de ejecución planteados por esa parte contra sentencias de este tribunal recaídas sobre idéntica controversia y que en ese escrito se reproducen.</w:t>
      </w:r>
    </w:p>
    <w:p w14:paraId="46021DCF" w14:textId="77777777" w:rsidR="00A8138F" w:rsidRDefault="00A8138F" w:rsidP="00A8138F">
      <w:pPr>
        <w:pStyle w:val="TextoNormal"/>
      </w:pPr>
    </w:p>
    <w:p w14:paraId="71544755" w14:textId="77777777" w:rsidR="00A8138F" w:rsidRDefault="00A8138F" w:rsidP="00A8138F">
      <w:pPr>
        <w:pStyle w:val="TextoNormal"/>
      </w:pPr>
      <w:r w:rsidRPr="00A8138F">
        <w:rPr>
          <w:rStyle w:val="NumeroAFNegritaCaracter"/>
        </w:rPr>
        <w:t>9</w:t>
      </w:r>
      <w:r>
        <w:t>. El 12 de marzo de 2025, el fiscal ante este tribunal presentó escrito de alegaciones interesando la estimación del recurso de amparo por vulneración del derecho a la igualdad y a la no discriminación, en relación con la protección integral de los hijos con independencia de su filiación y conforme a los convenios internacionales que velan por sus derechos (art. 14 en relación con el art. 39 CE). Señala que en aplicación del criterio constitucional establecido en la STC 140/2024, de 6 de noviembre, procede la estimación del recurso pues, al haberse aplicado los mencionados artículos recientemente declarados inconstitucionales y negada la ampliación de la prestación para el cuidado de la recién nacida, las resoluciones impugnadas han producido la discriminación, prohibida por el art. 14 CE, de la demandante y de su hija. La reparación de su derecho habrá de producirse, consiguientemente, con arreglo a lo dispuesto en el fundamento jurídico 7 de la STC 140/2024.</w:t>
      </w:r>
    </w:p>
    <w:p w14:paraId="701A35E0" w14:textId="77777777" w:rsidR="00A8138F" w:rsidRDefault="00A8138F" w:rsidP="00A8138F">
      <w:pPr>
        <w:pStyle w:val="TextoNormal"/>
      </w:pPr>
    </w:p>
    <w:p w14:paraId="28C806AF" w14:textId="20FF0A54" w:rsidR="00A8138F" w:rsidRDefault="00A8138F" w:rsidP="00A8138F">
      <w:pPr>
        <w:pStyle w:val="TextoNormal"/>
      </w:pPr>
      <w:r>
        <w:t>Asimismo aclara que, tras otorgar el amparo, no procedería acceder a la petición de la recurrente, que interesa la retroacción de las actuaciones hasta la primera resolución dictada por el INSS, teniendo en cuenta que dichas resoluciones ya han sido anuladas por la sentencia dictada por el juzgado. En su resolución se estimó íntegramente la demanda de la recurrente y se declaró su derecho a la ampliación de la prestación en términos acordes con lo recogido en el citado fundamento jurídico 7, argumentando, además, en los relativo a la infracción del derecho fundamental, la existencia de discriminación o diferencia de trato en torno a los preceptos legales aplicados, de modo coincidente en lo esencial a la citada doctrina constitucional. Por consiguiente, procedería acordar la anulación del auto del Tribunal Supremo y de la sentencia del Tribunal Superior de Justicia del País Vasco y declarar la firmeza de la sentencia de instancia.</w:t>
      </w:r>
    </w:p>
    <w:p w14:paraId="614B8DBB" w14:textId="77777777" w:rsidR="00A8138F" w:rsidRDefault="00A8138F" w:rsidP="00A8138F">
      <w:pPr>
        <w:pStyle w:val="TextoNormal"/>
      </w:pPr>
    </w:p>
    <w:p w14:paraId="6B231798" w14:textId="3C4D24F8" w:rsidR="00A8138F" w:rsidRDefault="00A8138F" w:rsidP="00A8138F">
      <w:pPr>
        <w:pStyle w:val="TextoNormal"/>
      </w:pPr>
      <w:r w:rsidRPr="00A8138F">
        <w:rPr>
          <w:rStyle w:val="NumeroAFNegritaCaracter"/>
        </w:rPr>
        <w:t>10</w:t>
      </w:r>
      <w:r>
        <w:t>. Mediante providencia de 3 de abril de 2025 se señaló para deliberación y votación de la presente sentencia el día 7 del mismo mes y año.</w:t>
      </w:r>
    </w:p>
    <w:p w14:paraId="10BF3FD4" w14:textId="77777777" w:rsidR="00A8138F" w:rsidRDefault="00A8138F" w:rsidP="00A8138F">
      <w:pPr>
        <w:pStyle w:val="TextoNormal"/>
      </w:pPr>
    </w:p>
    <w:p w14:paraId="4E96ED06" w14:textId="77777777" w:rsidR="00A8138F" w:rsidRDefault="00A8138F" w:rsidP="00A8138F">
      <w:pPr>
        <w:pStyle w:val="TextoNormalNegritaCentrado"/>
        <w:keepNext/>
      </w:pPr>
      <w:r>
        <w:t>II. Fundamentos jurídicos</w:t>
      </w:r>
    </w:p>
    <w:p w14:paraId="6C4FC79E" w14:textId="4BA9DD2D" w:rsidR="00A8138F" w:rsidRDefault="00A8138F" w:rsidP="00A8138F">
      <w:pPr>
        <w:pStyle w:val="TextoNormalNegritaCentrado"/>
        <w:keepNext/>
      </w:pPr>
    </w:p>
    <w:p w14:paraId="00D1721F"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59366668" w14:textId="77777777" w:rsidR="00A8138F" w:rsidRDefault="00A8138F" w:rsidP="00A8138F">
      <w:pPr>
        <w:pStyle w:val="TextoNormal"/>
      </w:pPr>
    </w:p>
    <w:p w14:paraId="53616356" w14:textId="7E5E32C1"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433AF32C" w14:textId="77777777" w:rsidR="00A8138F" w:rsidRDefault="00A8138F" w:rsidP="00A8138F">
      <w:pPr>
        <w:pStyle w:val="TextoNormal"/>
      </w:pPr>
    </w:p>
    <w:p w14:paraId="608541A3"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2CFC6E01" w14:textId="77777777" w:rsidR="00A8138F" w:rsidRDefault="00A8138F" w:rsidP="00A8138F">
      <w:pPr>
        <w:pStyle w:val="TextoNormal"/>
      </w:pPr>
    </w:p>
    <w:p w14:paraId="514EF5A3"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6EA6BFE0" w14:textId="77777777" w:rsidR="00A8138F" w:rsidRDefault="00A8138F" w:rsidP="00A8138F">
      <w:pPr>
        <w:pStyle w:val="TextoNormal"/>
      </w:pPr>
    </w:p>
    <w:p w14:paraId="6CAF585D" w14:textId="77777777" w:rsidR="00A8138F" w:rsidRDefault="00A8138F" w:rsidP="00A8138F">
      <w:pPr>
        <w:pStyle w:val="TextoNormal"/>
      </w:pPr>
      <w:r>
        <w:t>Dicho lo anterior, la cuestión de fondo planteada en este recurso de amparo es coincidente con la resuelta por la STC 140/2024, de 6 de noviembre. Debemos remitirnos, pues, a los fundamentos jurídicos de esa resolución,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3B536B1" w14:textId="77777777" w:rsidR="00A8138F" w:rsidRDefault="00A8138F" w:rsidP="00A8138F">
      <w:pPr>
        <w:pStyle w:val="TextoNormal"/>
      </w:pPr>
    </w:p>
    <w:p w14:paraId="3A5C8088"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0114853" w14:textId="77777777" w:rsidR="00A8138F" w:rsidRDefault="00A8138F" w:rsidP="00A8138F">
      <w:pPr>
        <w:pStyle w:val="TextoNormal"/>
      </w:pPr>
    </w:p>
    <w:p w14:paraId="09191D04"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987E77B" w14:textId="77777777" w:rsidR="00A8138F" w:rsidRDefault="00A8138F" w:rsidP="00A8138F">
      <w:pPr>
        <w:pStyle w:val="TextoNormal"/>
      </w:pPr>
    </w:p>
    <w:p w14:paraId="6915095E" w14:textId="77777777" w:rsidR="00A8138F" w:rsidRDefault="00A8138F" w:rsidP="00A8138F">
      <w:pPr>
        <w:pStyle w:val="TextoNormal"/>
      </w:pPr>
      <w:r>
        <w:t>En consecuencia, debe estimarse la demanda y otorgar el amparo solicitado. La estimación de la demanda ha de conllevar la declaración de la nulidad de la sentencia núm. 1278/2023, de 23 de mayo, de la Sala de lo Social del Tribunal Superior de Justicia del País Vasco, y del auto de 18 de septiembre de 2024, dictado por la Sala de lo Social del Tribunal Supremo, que declaró su firmeza al inadmitir el recurso de casación para la unificación de doctrina interpuesto frente a ella. Asimismo, procede declarar la firmeza de la sentencia núm. 185/2022, de 29 de julio, del Juzgado de lo Social núm. 2 de Vitoria-Gasteiz, dictada en los autos núm. 593-2021) que estimó la pretensión de la recurrente en términos concordantes con lo declarado en la STC 140/2024, pero teniendo en cuenta para determinar el número de semanas adicionales de la prestación por nacimiento y cuidado de hija la normativa transitoria aplicable al caso, debido a la fecha en la que se produjo el nacimiento de la menor —18 de noviembre de 2020— [disposición transitoria decimotercera, apartado 1, letra d) LET, sobre aplicación paulatina del art. 48 en la redacción dada por el Real Decreto-ley 6/2019, de 1 de marzo, de medidas urgentes para garantía de la igualdad de trato y de oportunidades entre mujeres y hombres en el empleo y la ocupación].</w:t>
      </w:r>
    </w:p>
    <w:p w14:paraId="39613D3D" w14:textId="77777777" w:rsidR="00A8138F" w:rsidRDefault="00A8138F" w:rsidP="00A8138F">
      <w:pPr>
        <w:pStyle w:val="TextoNormal"/>
      </w:pPr>
    </w:p>
    <w:p w14:paraId="70AF3CF1" w14:textId="3FF8D444" w:rsidR="00A8138F" w:rsidRDefault="00A8138F" w:rsidP="00A8138F">
      <w:pPr>
        <w:pStyle w:val="TextoNormal"/>
      </w:pPr>
      <w:r>
        <w:t xml:space="preserve">Finalmente, dado que la letrada de la administración de la Seguridad Social solicita que, de estimarse el recurso de amparo, este tribunal especifique el modo en que se ha de ejecutar la sentencia, hay que señalar que los incidentes de ejecución a los que hace referencia en su escrito de alegaciones están pendientes de resolución. Por consiguiente, y mientras se resuelvan, se habrá de ejecutar el fallo de esta sentencia de conformidad a lo resuelto por este </w:t>
      </w:r>
      <w:r>
        <w:lastRenderedPageBreak/>
        <w:t>tribunal en el fundamento jurídico 7 de la citada STC 140/2024, de 6 de noviembre, que reconoce en el caso de las familias monoparentales el derecho a que a las semanas de permiso correspondientes a la madre biológica (art. 48.4 LET, en relación con el art. 177 LGSS) se adicione el previsto legalmente para el segundo progenitor distinto de la madre (restándole las semanas de permiso obligatorio inmediatamente posteriores al parto), teniendo en cuenta, en todo caso, la normativa transitoria que pudiera resultar aplicable a la vista de la fecha en que se produjo el nacimiento.</w:t>
      </w:r>
    </w:p>
    <w:p w14:paraId="767A77B6" w14:textId="77777777" w:rsidR="00A8138F" w:rsidRDefault="00A8138F" w:rsidP="00A8138F">
      <w:pPr>
        <w:pStyle w:val="TextoNormal"/>
      </w:pPr>
    </w:p>
    <w:p w14:paraId="255FD49E" w14:textId="77777777" w:rsidR="00A8138F" w:rsidRDefault="00A8138F" w:rsidP="00A8138F">
      <w:pPr>
        <w:pStyle w:val="TextoNormalCentrado"/>
        <w:keepNext/>
      </w:pPr>
      <w:r>
        <w:t>FALLO</w:t>
      </w:r>
    </w:p>
    <w:p w14:paraId="2B606121" w14:textId="2B7AE995" w:rsidR="00A8138F" w:rsidRDefault="00A8138F" w:rsidP="00A8138F">
      <w:pPr>
        <w:pStyle w:val="TextoNormalCentrado"/>
        <w:keepNext/>
      </w:pPr>
    </w:p>
    <w:p w14:paraId="7C38A5DC"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Andreia Daniela da Graca Pereira y, en su virtud, acuerda:</w:t>
      </w:r>
    </w:p>
    <w:p w14:paraId="418651E4" w14:textId="77777777" w:rsidR="00A8138F" w:rsidRDefault="00A8138F" w:rsidP="00A8138F">
      <w:pPr>
        <w:pStyle w:val="TextoNormal"/>
      </w:pPr>
    </w:p>
    <w:p w14:paraId="0B34DDC0" w14:textId="77777777" w:rsidR="00A8138F" w:rsidRDefault="00A8138F" w:rsidP="00A8138F">
      <w:pPr>
        <w:pStyle w:val="TextoNormal"/>
      </w:pPr>
      <w:r>
        <w:t>1º Declarar vulnerado el derecho fundamental a la igualdad ante la ley sin discriminación por razón de nacimiento (art. 14 CE).</w:t>
      </w:r>
    </w:p>
    <w:p w14:paraId="57C7083E" w14:textId="77777777" w:rsidR="00A8138F" w:rsidRDefault="00A8138F" w:rsidP="00A8138F">
      <w:pPr>
        <w:pStyle w:val="TextoNormal"/>
      </w:pPr>
    </w:p>
    <w:p w14:paraId="2481B4CA" w14:textId="77777777" w:rsidR="00A8138F" w:rsidRDefault="00A8138F" w:rsidP="00A8138F">
      <w:pPr>
        <w:pStyle w:val="TextoNormal"/>
      </w:pPr>
      <w:r>
        <w:t>2º Restablecerla en su derecho y, a tal fin, declarar la nulidad de la sentencia núm. 1278/2023, de 23 de mayo, de la Sala de lo Social del Tribunal Superior de Justicia del País Vasco, dictada en el recurso de suplicación núm. 2469-2022, y del auto de 18 de septiembre de 2024, de la Sala de lo Social del Tribunal Supremo, recaído en el recurso de casación para la unificación de doctrina núm. 4059-2023, que declaró su firmeza.</w:t>
      </w:r>
    </w:p>
    <w:p w14:paraId="13B8A58F" w14:textId="77777777" w:rsidR="00A8138F" w:rsidRDefault="00A8138F" w:rsidP="00A8138F">
      <w:pPr>
        <w:pStyle w:val="TextoNormal"/>
      </w:pPr>
    </w:p>
    <w:p w14:paraId="5E43D548" w14:textId="2DB42C0D" w:rsidR="00A8138F" w:rsidRDefault="00A8138F" w:rsidP="00A8138F">
      <w:pPr>
        <w:pStyle w:val="TextoNormal"/>
      </w:pPr>
      <w:r>
        <w:t>3º Declarar la firmeza de la sentencia núm. 185/2022, de 29 de julio, dictada por el Juzgado de lo Social núm. 2 de Vitoria-Gasteiz en los autos núm. 593-2021.</w:t>
      </w:r>
    </w:p>
    <w:p w14:paraId="5C35F410" w14:textId="77777777" w:rsidR="00A8138F" w:rsidRDefault="00A8138F" w:rsidP="00A8138F">
      <w:pPr>
        <w:pStyle w:val="TextoNormal"/>
      </w:pPr>
    </w:p>
    <w:p w14:paraId="510769FE" w14:textId="77777777" w:rsidR="00A8138F" w:rsidRDefault="00A8138F" w:rsidP="00A8138F">
      <w:pPr>
        <w:pStyle w:val="TextoNormal"/>
      </w:pPr>
      <w:r>
        <w:t>Publíquese esta sentencia en el “Boletín Oficial del Estado”.</w:t>
      </w:r>
    </w:p>
    <w:p w14:paraId="7982FEA0" w14:textId="77777777" w:rsidR="00A8138F" w:rsidRDefault="00A8138F" w:rsidP="00A8138F">
      <w:pPr>
        <w:pStyle w:val="TextoNormal"/>
      </w:pPr>
      <w:r>
        <w:t>Dada en Madrid, a siete de abril de dos mil veinticinco.</w:t>
      </w:r>
    </w:p>
    <w:p w14:paraId="14FDBD17" w14:textId="654BCF0E" w:rsidR="00A8138F" w:rsidRDefault="00A8138F">
      <w:pPr>
        <w:spacing w:after="160" w:line="278" w:lineRule="auto"/>
        <w:rPr>
          <w:rFonts w:ascii="Times New Roman" w:eastAsia="Times New Roman" w:hAnsi="Times New Roman" w:cs="Times New Roman"/>
          <w:sz w:val="24"/>
          <w:szCs w:val="24"/>
          <w:lang w:eastAsia="es-ES"/>
        </w:rPr>
      </w:pPr>
      <w:r>
        <w:br w:type="page"/>
      </w:r>
    </w:p>
    <w:p w14:paraId="09B29E5F" w14:textId="77777777" w:rsidR="00A8138F" w:rsidRDefault="00A8138F" w:rsidP="00A8138F">
      <w:pPr>
        <w:pStyle w:val="TtuloResolucin"/>
      </w:pPr>
      <w:bookmarkStart w:id="96" w:name="SENTENCIA_2025_94"/>
      <w:r>
        <w:lastRenderedPageBreak/>
        <w:t>SENTENCIA 94/2025, de 7 de abril de 2025</w:t>
      </w:r>
    </w:p>
    <w:bookmarkEnd w:id="96"/>
    <w:p w14:paraId="76AAE6A5" w14:textId="77777777" w:rsidR="00A8138F" w:rsidRDefault="00A8138F" w:rsidP="00A8138F">
      <w:pPr>
        <w:pStyle w:val="TtuloResolucin"/>
      </w:pPr>
      <w:r>
        <w:t>Sala Primera</w:t>
      </w:r>
    </w:p>
    <w:p w14:paraId="281BBEE0" w14:textId="77777777" w:rsidR="00A8138F" w:rsidRDefault="00A8138F" w:rsidP="00A8138F">
      <w:pPr>
        <w:pStyle w:val="TtuloBOE"/>
      </w:pPr>
      <w:r>
        <w:t>(BOE núm. 117, de 15 de mayo de 2025)</w:t>
      </w:r>
    </w:p>
    <w:p w14:paraId="7FFDC788" w14:textId="77777777" w:rsidR="00A8138F" w:rsidRDefault="00A8138F" w:rsidP="00A8138F">
      <w:pPr>
        <w:pStyle w:val="TextoNormalCentrado"/>
      </w:pPr>
      <w:r>
        <w:t>ECLI:ES:TC:2025:94</w:t>
      </w:r>
    </w:p>
    <w:p w14:paraId="1472DB40" w14:textId="1551D8FB" w:rsidR="00A8138F" w:rsidRDefault="00A8138F" w:rsidP="00A8138F">
      <w:pPr>
        <w:pStyle w:val="TextoNormalCentrado"/>
      </w:pPr>
    </w:p>
    <w:p w14:paraId="72A8EB54" w14:textId="77777777" w:rsidR="00A8138F" w:rsidRDefault="00A8138F" w:rsidP="00A8138F">
      <w:pPr>
        <w:pStyle w:val="SntesisDescriptiva"/>
      </w:pPr>
      <w:r>
        <w:t>Recurso de amparo 7745-2024. Promovido por doña Mercedes Serna Marquina en relación con las resoluciones administrativas y judiciales que desestimaron su petición de revisión y ampliación de la prestación por nacimiento y cuidado de hijo menor, como madre biológica de familia monoparental.</w:t>
      </w:r>
    </w:p>
    <w:p w14:paraId="06BAEB08" w14:textId="1ADB85CE" w:rsidR="00A8138F" w:rsidRDefault="00A8138F" w:rsidP="00A8138F">
      <w:pPr>
        <w:pStyle w:val="SntesisDescriptiva"/>
      </w:pPr>
    </w:p>
    <w:p w14:paraId="019EB8BC"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752B8161" w14:textId="67DF6E7E" w:rsidR="00A8138F" w:rsidRDefault="00A8138F" w:rsidP="00A8138F">
      <w:pPr>
        <w:pStyle w:val="SntesisAnaltica"/>
      </w:pPr>
    </w:p>
    <w:p w14:paraId="7DE13323" w14:textId="4373CCBC"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393BD52E" w14:textId="77777777" w:rsidR="00A8138F" w:rsidRDefault="00A8138F" w:rsidP="00A8138F">
      <w:pPr>
        <w:pStyle w:val="Extracto"/>
      </w:pPr>
    </w:p>
    <w:p w14:paraId="631F9F89" w14:textId="77777777" w:rsidR="00A8138F" w:rsidRDefault="00A8138F" w:rsidP="00A8138F">
      <w:pPr>
        <w:pStyle w:val="Extracto"/>
      </w:pPr>
    </w:p>
    <w:p w14:paraId="0F5DFB49"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3B342010" w14:textId="0BB08EAB" w:rsidR="00A8138F" w:rsidRDefault="00A8138F" w:rsidP="00A8138F">
      <w:pPr>
        <w:pStyle w:val="TextoNormal"/>
      </w:pPr>
    </w:p>
    <w:p w14:paraId="39694CA4" w14:textId="77777777" w:rsidR="00A8138F" w:rsidRDefault="00A8138F" w:rsidP="00A8138F">
      <w:pPr>
        <w:pStyle w:val="TextoNormalCentrado"/>
        <w:keepNext/>
      </w:pPr>
      <w:r>
        <w:t>EN NOMBRE DEL REY</w:t>
      </w:r>
    </w:p>
    <w:p w14:paraId="68E31EB0" w14:textId="6C1D4191" w:rsidR="00A8138F" w:rsidRDefault="00A8138F" w:rsidP="00A8138F">
      <w:pPr>
        <w:pStyle w:val="TextoNormalCentrado"/>
        <w:keepNext/>
      </w:pPr>
    </w:p>
    <w:p w14:paraId="080B7DCF" w14:textId="77777777" w:rsidR="00A8138F" w:rsidRDefault="00A8138F" w:rsidP="00A8138F">
      <w:pPr>
        <w:pStyle w:val="TextoNormalCentrado"/>
        <w:keepNext/>
      </w:pPr>
    </w:p>
    <w:p w14:paraId="3C4AE841" w14:textId="77777777" w:rsidR="00A8138F" w:rsidRDefault="00A8138F" w:rsidP="00A8138F">
      <w:pPr>
        <w:pStyle w:val="TextoNormal"/>
      </w:pPr>
      <w:r>
        <w:t>la siguiente</w:t>
      </w:r>
    </w:p>
    <w:p w14:paraId="7CA618F4" w14:textId="0B183F8E" w:rsidR="00A8138F" w:rsidRDefault="00A8138F" w:rsidP="00A8138F">
      <w:pPr>
        <w:pStyle w:val="TextoNormal"/>
      </w:pPr>
    </w:p>
    <w:p w14:paraId="64E5CCD0" w14:textId="77777777" w:rsidR="00A8138F" w:rsidRDefault="00A8138F" w:rsidP="00A8138F">
      <w:pPr>
        <w:pStyle w:val="TextoNormalCentrado"/>
        <w:keepNext/>
      </w:pPr>
      <w:r>
        <w:t>SENTENCIA</w:t>
      </w:r>
    </w:p>
    <w:p w14:paraId="483E73F2" w14:textId="1EF2D518" w:rsidR="00A8138F" w:rsidRDefault="00A8138F" w:rsidP="00A8138F">
      <w:pPr>
        <w:pStyle w:val="TextoNormalCentrado"/>
        <w:keepNext/>
      </w:pPr>
    </w:p>
    <w:p w14:paraId="6612A6B6" w14:textId="77777777" w:rsidR="00A8138F" w:rsidRDefault="00A8138F" w:rsidP="00A8138F">
      <w:pPr>
        <w:pStyle w:val="TextoNormal"/>
      </w:pPr>
      <w:r>
        <w:t>En el recurso de amparo núm. 7745-2024, promovido por doña Mercedes Serna Marquina contra las resoluciones de la dirección provincial de Barcelona del Instituto Nacional de la Seguridad Social (INSS) de 23 de noviembre y 3 de diciembre de 2021, sobre prestación por nacimiento y cuidado de hijo como madre biológica de familia monoparental (expediente núm. 08-2021-106396-44); y la sentencia de la Sala de lo Social del Tribunal Supremo núm. 1080/2024, de 11 de septiembre (recurso de casación para la unificación de doctrina núm. 2463-2023). Ha comparecido la letrada de la administración de la Seguridad Social, en nombre del INSS y la Tesorería General de la Seguridad Social (TGSS). Ha intervenido el Ministerio Fiscal. Ha sido ponente la magistrada doña María Luisa Segoviano Astaburuaga.</w:t>
      </w:r>
    </w:p>
    <w:p w14:paraId="44E8D83C" w14:textId="1A23AF8E" w:rsidR="00A8138F" w:rsidRDefault="00A8138F" w:rsidP="00A8138F">
      <w:pPr>
        <w:pStyle w:val="TextoNormal"/>
      </w:pPr>
    </w:p>
    <w:p w14:paraId="79A37B07" w14:textId="77777777" w:rsidR="00A8138F" w:rsidRDefault="00A8138F" w:rsidP="00A8138F">
      <w:pPr>
        <w:pStyle w:val="TextoNormalNegritaCentrado"/>
        <w:keepNext/>
      </w:pPr>
      <w:r>
        <w:lastRenderedPageBreak/>
        <w:t>I. Antecedentes</w:t>
      </w:r>
    </w:p>
    <w:p w14:paraId="3B5D41E7" w14:textId="03B609D2" w:rsidR="00A8138F" w:rsidRDefault="00A8138F" w:rsidP="00A8138F">
      <w:pPr>
        <w:pStyle w:val="TextoNormalNegritaCentrado"/>
        <w:keepNext/>
      </w:pPr>
    </w:p>
    <w:p w14:paraId="05FBE64F" w14:textId="5F84CBB2" w:rsidR="00A8138F" w:rsidRDefault="00A8138F" w:rsidP="00A8138F">
      <w:pPr>
        <w:pStyle w:val="TextoNormal"/>
      </w:pPr>
      <w:r w:rsidRPr="00A8138F">
        <w:rPr>
          <w:rStyle w:val="NumeroAFNegritaCaracter"/>
        </w:rPr>
        <w:t>1</w:t>
      </w:r>
      <w:r>
        <w:t>. Mediante escrito registrado en el Tribunal el 15 de octubre de 2024, la procuradora de los tribunales doña María Isabel Torres Ruiz, en nombre y representación de doña Mercedes Serna Marquina, bajo la dirección letrada de doña Olga Georgina Marquina Pompido, interpuso recurso de amparo contra las decisiones administrativa y judicial a las que se ha hecho referencia en el encabezamiento de esta sentencia.</w:t>
      </w:r>
    </w:p>
    <w:p w14:paraId="572B78E2" w14:textId="77777777" w:rsidR="00A8138F" w:rsidRDefault="00A8138F" w:rsidP="00A8138F">
      <w:pPr>
        <w:pStyle w:val="TextoNormal"/>
      </w:pPr>
    </w:p>
    <w:p w14:paraId="6AFBFA41" w14:textId="77777777" w:rsidR="00A8138F" w:rsidRDefault="00A8138F" w:rsidP="00A8138F">
      <w:pPr>
        <w:pStyle w:val="TextoNormal"/>
      </w:pPr>
      <w:r w:rsidRPr="00A8138F">
        <w:rPr>
          <w:rStyle w:val="NumeroAFNegritaCaracter"/>
        </w:rPr>
        <w:t>2</w:t>
      </w:r>
      <w:r>
        <w:t>. El recurso tiene su origen en los siguientes antecedentes:</w:t>
      </w:r>
    </w:p>
    <w:p w14:paraId="5E81A6B5" w14:textId="77777777" w:rsidR="00A8138F" w:rsidRDefault="00A8138F" w:rsidP="00A8138F">
      <w:pPr>
        <w:pStyle w:val="TextoNormal"/>
      </w:pPr>
    </w:p>
    <w:p w14:paraId="2805137C" w14:textId="77777777" w:rsidR="00A8138F" w:rsidRDefault="00A8138F" w:rsidP="00A8138F">
      <w:pPr>
        <w:pStyle w:val="TextoNormal"/>
      </w:pPr>
      <w:r>
        <w:t>a) La demandante fue madre de un niño el 21 de octubre de 2021 con el que forma una familia monoparental. Mediante resolución de la dirección provincial de Barcelona del INSS de 22 de noviembre de 2021, pronunciada en el expediente núm. 08-2021-106396-44, obtuvo la prestación por nacimiento y cuidado de su hijo menor durante dieciséis semanas [art. 177 del texto refundido de la Ley general de la Seguridad Social (LGSS)]. La demandante formuló solicitud de revisión de prestaciones solicitando su ampliación por dieciséis semanas adicionales, que es el plazo que hubiera correspondido al segundo progenitor en el supuesto de una familia biparental; siendo desestimada por resolución de 23 de noviembre de 2021 y confirmada por resolución de 3 de diciembre de 2021, al desestimarse la reclamación previa presentada.</w:t>
      </w:r>
    </w:p>
    <w:p w14:paraId="77F956BF" w14:textId="77777777" w:rsidR="00A8138F" w:rsidRDefault="00A8138F" w:rsidP="00A8138F">
      <w:pPr>
        <w:pStyle w:val="TextoNormal"/>
      </w:pPr>
    </w:p>
    <w:p w14:paraId="45044821" w14:textId="77777777" w:rsidR="00A8138F" w:rsidRDefault="00A8138F" w:rsidP="00A8138F">
      <w:pPr>
        <w:pStyle w:val="TextoNormal"/>
      </w:pPr>
      <w:r>
        <w:t>b) La demandante formuló demanda ante el Juzgado de lo Social núm. 12 de Barcelona, dando lugar al procedimiento núm. 17-2022, invocando, entre otros motivos, la vulneración del art. 14 CE; siendo estimado parcialmente por la sentencia núm. 157/2022, de 29 de marzo, en el sentido de reconocer que la actora tiene el derecho a complementar la prestación de maternidad con otras diez semanas.</w:t>
      </w:r>
    </w:p>
    <w:p w14:paraId="26721BE1" w14:textId="77777777" w:rsidR="00A8138F" w:rsidRDefault="00A8138F" w:rsidP="00A8138F">
      <w:pPr>
        <w:pStyle w:val="TextoNormal"/>
      </w:pPr>
    </w:p>
    <w:p w14:paraId="7E0071F1" w14:textId="77777777" w:rsidR="00A8138F" w:rsidRDefault="00A8138F" w:rsidP="00A8138F">
      <w:pPr>
        <w:pStyle w:val="TextoNormal"/>
      </w:pPr>
      <w:r>
        <w:t>c) La demandante y el INSS formularon recurso de suplicación ante la Sala de lo Social del Tribunal Superior de Justicia de Cataluña, que fue tramitado con el núm. 4980-2022, siendo estimado en cuanto a la impugnación de la demandante por la sentencia núm. 1149/2023, de 20 de febrero, que reconoció que la ampliación de la prestación lo era en dieciséis semanas adicionales, por lo que quedaba por reconocerle y disfrutar de seis semanas.</w:t>
      </w:r>
    </w:p>
    <w:p w14:paraId="5577127B" w14:textId="77777777" w:rsidR="00A8138F" w:rsidRDefault="00A8138F" w:rsidP="00A8138F">
      <w:pPr>
        <w:pStyle w:val="TextoNormal"/>
      </w:pPr>
    </w:p>
    <w:p w14:paraId="7E179F2C" w14:textId="051ECABB" w:rsidR="00A8138F" w:rsidRDefault="00A8138F" w:rsidP="00A8138F">
      <w:pPr>
        <w:pStyle w:val="TextoNormal"/>
      </w:pPr>
      <w:r>
        <w:t>d) El INSS formuló recurso de casación para la unificación de doctrina ante la Sala de lo Social del Tribunal Supremo, que fue tramitado con el núm. 2463-2023; siendo estimado por sentencia núm. 1080/2024, de 11 de septiembre, reiterando lo ya establecido en la sentencia de esa Sala núm. 169/2023, de 2 de marzo, recaída en el recurso para la unificación de doctrina núm. 3972-2020 (ECLI:ES:TS:2023:783), en el sentido de que la normativa de aplicación no resulta discriminatoria. Como consecuencia se revocaron las sentencias del Juzgado de lo Social y del Tribunal Superior de Justicia y se confirmó la resolución administrativa.</w:t>
      </w:r>
    </w:p>
    <w:p w14:paraId="77EEFC5E" w14:textId="77777777" w:rsidR="00A8138F" w:rsidRDefault="00A8138F" w:rsidP="00A8138F">
      <w:pPr>
        <w:pStyle w:val="TextoNormal"/>
      </w:pPr>
    </w:p>
    <w:p w14:paraId="08613005" w14:textId="77777777" w:rsidR="00A8138F" w:rsidRDefault="00A8138F" w:rsidP="00A8138F">
      <w:pPr>
        <w:pStyle w:val="TextoNormal"/>
      </w:pPr>
      <w:r w:rsidRPr="00A8138F">
        <w:rPr>
          <w:rStyle w:val="NumeroAFNegritaCaracter"/>
        </w:rPr>
        <w:t>3</w:t>
      </w:r>
      <w:r>
        <w:t>. La demandante, con invocación del art. 14 CE, recurre en amparo la decisión administrativa de denegar la ampliación de la prestación por nacimiento y cuidado de hijo menor, como madre biológica de familia monoparental, y la confirmación judicial de esa decisión en la sentencia de casación, solicitando la nulidad de ambas.</w:t>
      </w:r>
    </w:p>
    <w:p w14:paraId="11729571" w14:textId="77777777" w:rsidR="00A8138F" w:rsidRDefault="00A8138F" w:rsidP="00A8138F">
      <w:pPr>
        <w:pStyle w:val="TextoNormal"/>
      </w:pPr>
    </w:p>
    <w:p w14:paraId="63D61808" w14:textId="77777777" w:rsidR="00A8138F" w:rsidRDefault="00A8138F" w:rsidP="00A8138F">
      <w:pPr>
        <w:pStyle w:val="TextoNormal"/>
      </w:pPr>
      <w:r>
        <w:t>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14:paraId="654626B9" w14:textId="77777777" w:rsidR="00A8138F" w:rsidRDefault="00A8138F" w:rsidP="00A8138F">
      <w:pPr>
        <w:pStyle w:val="TextoNormal"/>
      </w:pPr>
    </w:p>
    <w:p w14:paraId="190A5B41" w14:textId="2EF7477D" w:rsidR="00A8138F" w:rsidRDefault="00A8138F" w:rsidP="00A8138F">
      <w:pPr>
        <w:pStyle w:val="TextoNormal"/>
      </w:pPr>
      <w:r>
        <w:t>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 de medidas urgentes para garantía de la igualdad de trato y de oportunidades entre mujeres y hombres en el empleo y la ocupación.</w:t>
      </w:r>
    </w:p>
    <w:p w14:paraId="0CD2395A" w14:textId="77777777" w:rsidR="00A8138F" w:rsidRDefault="00A8138F" w:rsidP="00A8138F">
      <w:pPr>
        <w:pStyle w:val="TextoNormal"/>
      </w:pPr>
    </w:p>
    <w:p w14:paraId="20BB531A" w14:textId="0D9984C6" w:rsidR="00A8138F" w:rsidRDefault="00A8138F" w:rsidP="00A8138F">
      <w:pPr>
        <w:pStyle w:val="TextoNormal"/>
      </w:pPr>
      <w:r w:rsidRPr="00A8138F">
        <w:rPr>
          <w:rStyle w:val="NumeroAFNegritaCaracter"/>
        </w:rPr>
        <w:t>4</w:t>
      </w:r>
      <w:r>
        <w:t>. La Sección Primera del Tribunal, por providencia de 13 de enero de 2025,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14:paraId="448623B8" w14:textId="77777777" w:rsidR="00A8138F" w:rsidRDefault="00A8138F" w:rsidP="00A8138F">
      <w:pPr>
        <w:pStyle w:val="TextoNormal"/>
      </w:pPr>
    </w:p>
    <w:p w14:paraId="6B711D75" w14:textId="1696BA0A" w:rsidR="00A8138F" w:rsidRDefault="00A8138F" w:rsidP="00A8138F">
      <w:pPr>
        <w:pStyle w:val="TextoNormal"/>
      </w:pPr>
      <w:r w:rsidRPr="00A8138F">
        <w:rPr>
          <w:rStyle w:val="NumeroAFNegritaCaracter"/>
        </w:rPr>
        <w:t>5</w:t>
      </w:r>
      <w:r>
        <w:t>. La Secretaría de Justicia de la Sala Primera del Tribunal, por diligencia de ordenación de 11 de febrero de 2025, tuvo por recibido el testimonio de las actuaciones, por personada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(LOTC), pudieran presentar alegaciones.</w:t>
      </w:r>
    </w:p>
    <w:p w14:paraId="58AE6437" w14:textId="77777777" w:rsidR="00A8138F" w:rsidRDefault="00A8138F" w:rsidP="00A8138F">
      <w:pPr>
        <w:pStyle w:val="TextoNormal"/>
      </w:pPr>
    </w:p>
    <w:p w14:paraId="5B86420E" w14:textId="77777777" w:rsidR="00A8138F" w:rsidRDefault="00A8138F" w:rsidP="00A8138F">
      <w:pPr>
        <w:pStyle w:val="TextoNormal"/>
      </w:pPr>
      <w:r w:rsidRPr="00A8138F">
        <w:rPr>
          <w:rStyle w:val="NumeroAFNegritaCaracter"/>
        </w:rPr>
        <w:t>6</w:t>
      </w:r>
      <w:r>
        <w:t>. El Ministerio Fiscal, mediante escrito registrado el 11 de marzo de 2025,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con retroacción de actuaciones al momento del dictado de esa resolución para que se dicte otra respetuosa con el derecho fundamental vulnerado.</w:t>
      </w:r>
    </w:p>
    <w:p w14:paraId="624EDF04" w14:textId="77777777" w:rsidR="00A8138F" w:rsidRDefault="00A8138F" w:rsidP="00A8138F">
      <w:pPr>
        <w:pStyle w:val="TextoNormal"/>
      </w:pPr>
    </w:p>
    <w:p w14:paraId="136FC164" w14:textId="27F47481" w:rsidR="00A8138F" w:rsidRDefault="00A8138F" w:rsidP="00A8138F">
      <w:pPr>
        <w:pStyle w:val="TextoNormal"/>
      </w:pPr>
      <w: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procedente la estimación del recurso. En cuanto a los efectos de la estimación, argumenta que no resulta procedente ni la anulación de una resolución administrativa, que ya ha sido </w:t>
      </w:r>
      <w:r>
        <w:lastRenderedPageBreak/>
        <w:t>declarada judicialmente nula, ni la de la sentencia de instancia, que aplicó en términos plenamente coincidentes la doctrina de la STC 140/2024, incluyendo el número de semanas de ampliación, y de suplicación, que reconoció la vulneración del derecho, si bien reconociendo una prestación superior a la fijada en la STC 140/2024, pero cuya nulidad no ha sido instada por la demandante. A partir de ello, considera que solo procede la nulidad de la sentencia de casación con retroacción de actuaciones para que se pronuncie otra “plenamente respetuosa con la doctrina constitucional. Lo que, en la práctica, debería implicar que, reconociendo necesariamente los derechos de la actora en los mismos términos que fija el fundamento jurídico 7 de la STC 140/2024, pueda sin embargo el Alto Tribunal, en el caso de que lo considere objeto de la pretensión casacional formulada por el INSS, pronunciarse en el ámbito de su propia jurisdicción y en el marco de la legalidad ordinaria sobre el derecho de la demandante de amparo a disfrutar del tiempo adicional de prestación que le había reconocido en su sentencia el Tribunal Superior de Justicia de Cataluña”.</w:t>
      </w:r>
    </w:p>
    <w:p w14:paraId="1F094E8B" w14:textId="77777777" w:rsidR="00A8138F" w:rsidRDefault="00A8138F" w:rsidP="00A8138F">
      <w:pPr>
        <w:pStyle w:val="TextoNormal"/>
      </w:pPr>
    </w:p>
    <w:p w14:paraId="602BC12B" w14:textId="2B4F7D66" w:rsidR="00A8138F" w:rsidRDefault="00A8138F" w:rsidP="00A8138F">
      <w:pPr>
        <w:pStyle w:val="TextoNormal"/>
      </w:pPr>
      <w:r w:rsidRPr="00A8138F">
        <w:rPr>
          <w:rStyle w:val="NumeroAFNegritaCaracter"/>
        </w:rPr>
        <w:t>7</w:t>
      </w:r>
      <w:r>
        <w:t>. La letrada de la administración de la Seguridad Social, por escrito registrado el 4 de marzo de 2025, presentó alegaciones allanándose a la demanda, poniendo de manifiesto que, a la vista de la jurisprudencia establecida en la STC 140/2024, de 6 de noviembre, y en las diversas sentencias que la aplican, la dirección general del servicio jurídico de la Seguridad Social dictó la instrucción 10/2024, de 23 de diciembre, de la que se acompaña copia, en la que se autoriza para allanarse en los recursos de amparo pendientes ante el Tribunal Constitucional que resulten afectados por lo establecido en el fundamento jurídico 7 de la STC 140/2024, que es lo que sucede en el presente recurso.</w:t>
      </w:r>
    </w:p>
    <w:p w14:paraId="1103D175" w14:textId="77777777" w:rsidR="00A8138F" w:rsidRDefault="00A8138F" w:rsidP="00A8138F">
      <w:pPr>
        <w:pStyle w:val="TextoNormal"/>
      </w:pPr>
    </w:p>
    <w:p w14:paraId="11389475" w14:textId="42A40FDD" w:rsidR="00A8138F" w:rsidRDefault="00A8138F" w:rsidP="00A8138F">
      <w:pPr>
        <w:pStyle w:val="TextoNormal"/>
      </w:pPr>
      <w:r w:rsidRPr="00A8138F">
        <w:rPr>
          <w:rStyle w:val="NumeroAFNegritaCaracter"/>
        </w:rPr>
        <w:t>8</w:t>
      </w:r>
      <w:r>
        <w:t>. La demandante de amparo, por escrito registrado el 4 de marzo de 2025, presentó alegaciones instando la aplicación al caso de la STC 140/2024, de 6 de noviembre.</w:t>
      </w:r>
    </w:p>
    <w:p w14:paraId="722988C4" w14:textId="77777777" w:rsidR="00A8138F" w:rsidRDefault="00A8138F" w:rsidP="00A8138F">
      <w:pPr>
        <w:pStyle w:val="TextoNormal"/>
      </w:pPr>
    </w:p>
    <w:p w14:paraId="0648A1D9" w14:textId="2B75AC8B" w:rsidR="00A8138F" w:rsidRDefault="00A8138F" w:rsidP="00A8138F">
      <w:pPr>
        <w:pStyle w:val="TextoNormal"/>
      </w:pPr>
      <w:r w:rsidRPr="00A8138F">
        <w:rPr>
          <w:rStyle w:val="NumeroAFNegritaCaracter"/>
        </w:rPr>
        <w:t>9</w:t>
      </w:r>
      <w:r>
        <w:t>. Por providencia de 3 de abril de 2025 se señaló para deliberación y votación de la presente sentencia el día 7 del mismo mes y año.</w:t>
      </w:r>
    </w:p>
    <w:p w14:paraId="46DDD5B2" w14:textId="77777777" w:rsidR="00A8138F" w:rsidRDefault="00A8138F" w:rsidP="00A8138F">
      <w:pPr>
        <w:pStyle w:val="TextoNormal"/>
      </w:pPr>
    </w:p>
    <w:p w14:paraId="73311AE3" w14:textId="77777777" w:rsidR="00A8138F" w:rsidRDefault="00A8138F" w:rsidP="00A8138F">
      <w:pPr>
        <w:pStyle w:val="TextoNormalNegritaCentrado"/>
        <w:keepNext/>
      </w:pPr>
      <w:r>
        <w:t>II. Fundamentos jurídicos</w:t>
      </w:r>
    </w:p>
    <w:p w14:paraId="293DAF06" w14:textId="3E703F17" w:rsidR="00A8138F" w:rsidRDefault="00A8138F" w:rsidP="00A8138F">
      <w:pPr>
        <w:pStyle w:val="TextoNormalNegritaCentrado"/>
        <w:keepNext/>
      </w:pPr>
    </w:p>
    <w:p w14:paraId="7A9CB1A3"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06EB1FF7" w14:textId="77777777" w:rsidR="00A8138F" w:rsidRDefault="00A8138F" w:rsidP="00A8138F">
      <w:pPr>
        <w:pStyle w:val="TextoNormal"/>
      </w:pPr>
    </w:p>
    <w:p w14:paraId="0EBB616A" w14:textId="04DA9D43" w:rsidR="00A8138F" w:rsidRDefault="00A8138F" w:rsidP="00A8138F">
      <w:pPr>
        <w:pStyle w:val="TextoNormal"/>
      </w:pPr>
      <w:r>
        <w:t>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2CF0DBBE" w14:textId="77777777" w:rsidR="00A8138F" w:rsidRDefault="00A8138F" w:rsidP="00A8138F">
      <w:pPr>
        <w:pStyle w:val="TextoNormal"/>
      </w:pPr>
    </w:p>
    <w:p w14:paraId="2F48ABAF"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1D2F238F" w14:textId="77777777" w:rsidR="00A8138F" w:rsidRDefault="00A8138F" w:rsidP="00A8138F">
      <w:pPr>
        <w:pStyle w:val="TextoNormal"/>
      </w:pPr>
    </w:p>
    <w:p w14:paraId="136DF12E" w14:textId="77777777" w:rsidR="00A8138F" w:rsidRDefault="00A8138F" w:rsidP="00A8138F">
      <w:pPr>
        <w:pStyle w:val="TextoNormal"/>
      </w:pPr>
      <w: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w:t>
      </w:r>
      <w:r>
        <w:lastRenderedPageBreak/>
        <w:t>formulada por la parte demandante de amparo, pero nunca podrá dar lugar a la terminación anticipada del procedimiento, que deberá concluirse necesariamente mediante sentencia en la que este tribunal se pronuncie sobre las pretensiones del recurso de amparo”.</w:t>
      </w:r>
    </w:p>
    <w:p w14:paraId="156EAF33" w14:textId="77777777" w:rsidR="00A8138F" w:rsidRDefault="00A8138F" w:rsidP="00A8138F">
      <w:pPr>
        <w:pStyle w:val="TextoNormal"/>
      </w:pPr>
    </w:p>
    <w:p w14:paraId="57CC2FCD" w14:textId="77777777" w:rsidR="00A8138F" w:rsidRDefault="00A8138F" w:rsidP="00A8138F">
      <w:pPr>
        <w:pStyle w:val="TextoNormal"/>
      </w:pPr>
      <w:r>
        <w:t>Aclarado este punto, 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3306C3EE" w14:textId="77777777" w:rsidR="00A8138F" w:rsidRDefault="00A8138F" w:rsidP="00A8138F">
      <w:pPr>
        <w:pStyle w:val="TextoNormal"/>
      </w:pPr>
    </w:p>
    <w:p w14:paraId="2B553A46"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C13C8F9" w14:textId="77777777" w:rsidR="00A8138F" w:rsidRDefault="00A8138F" w:rsidP="00A8138F">
      <w:pPr>
        <w:pStyle w:val="TextoNormal"/>
      </w:pPr>
    </w:p>
    <w:p w14:paraId="7FC6BC48"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4B8AADFE" w14:textId="77777777" w:rsidR="00A8138F" w:rsidRDefault="00A8138F" w:rsidP="00A8138F">
      <w:pPr>
        <w:pStyle w:val="TextoNormal"/>
      </w:pPr>
    </w:p>
    <w:p w14:paraId="4B87CA7B" w14:textId="77777777" w:rsidR="00A8138F" w:rsidRDefault="00A8138F" w:rsidP="00A8138F">
      <w:pPr>
        <w:pStyle w:val="TextoNormal"/>
      </w:pPr>
      <w:r>
        <w:t xml:space="preserve">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w:t>
      </w:r>
      <w:r>
        <w:lastRenderedPageBreak/>
        <w:t>semanas que necesariamente deben disfrutarse de forma ininterrumpida e inmediatamente posterior al parto.</w:t>
      </w:r>
    </w:p>
    <w:p w14:paraId="5E15E68A" w14:textId="77777777" w:rsidR="00A8138F" w:rsidRDefault="00A8138F" w:rsidP="00A8138F">
      <w:pPr>
        <w:pStyle w:val="TextoNormal"/>
      </w:pPr>
    </w:p>
    <w:p w14:paraId="1A3357F4" w14:textId="5FA2E3BF" w:rsidR="00A8138F" w:rsidRDefault="00A8138F" w:rsidP="00A8138F">
      <w:pPr>
        <w:pStyle w:val="TextoNormal"/>
      </w:pPr>
      <w:r>
        <w:t>La estimación de la demanda ha de conllevar la declaración de nulidad de la sentencia de la Sala de lo Social del Tribunal Supremo núm. 1080/2024, de 11 de septiembre, pronunciada en el recurso de casación para la unificación de doctrina núm. 2463-2023, en la medida en que no ha reconocido la vulneración del art. 14 CE; así como la de la sentencia de la Sala de lo Social del Tribunal Superior de Justicia del Cataluña núm. 1149/2023, de 20 de febrero, pronunciada en el recurso de suplicación núm. 4980-2022, en la medida en la que, aun habiendo reconocido dicha vulneración, lo hace con un alcance distinto al establecido en la STC 140/2024; con la declaración de firmeza de la sentencia del Juzgado de lo Social núm. 12 de Barcelona núm. 157/2022, de 29 de marzo, pronunciada en el procedimiento núm. 17-2022, que anuló la resolución administrativa, reconociendo el derecho fundamental controvertido con el concreto alcance establecido en la STC 140/2024.</w:t>
      </w:r>
    </w:p>
    <w:p w14:paraId="5B93F952" w14:textId="77777777" w:rsidR="00A8138F" w:rsidRDefault="00A8138F" w:rsidP="00A8138F">
      <w:pPr>
        <w:pStyle w:val="TextoNormal"/>
      </w:pPr>
    </w:p>
    <w:p w14:paraId="46E7FD29" w14:textId="77777777" w:rsidR="00A8138F" w:rsidRDefault="00A8138F" w:rsidP="00A8138F">
      <w:pPr>
        <w:pStyle w:val="TextoNormalCentrado"/>
        <w:keepNext/>
      </w:pPr>
      <w:r>
        <w:t>FALLO</w:t>
      </w:r>
    </w:p>
    <w:p w14:paraId="1D2B56C4" w14:textId="22AC4BE3" w:rsidR="00A8138F" w:rsidRDefault="00A8138F" w:rsidP="00A8138F">
      <w:pPr>
        <w:pStyle w:val="TextoNormalCentrado"/>
        <w:keepNext/>
      </w:pPr>
    </w:p>
    <w:p w14:paraId="3E53ACA4"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Mercedes Serna Marquina y, en su virtud:</w:t>
      </w:r>
    </w:p>
    <w:p w14:paraId="105D965D" w14:textId="77777777" w:rsidR="00A8138F" w:rsidRDefault="00A8138F" w:rsidP="00A8138F">
      <w:pPr>
        <w:pStyle w:val="TextoNormal"/>
      </w:pPr>
    </w:p>
    <w:p w14:paraId="282AA754" w14:textId="77777777" w:rsidR="00A8138F" w:rsidRDefault="00A8138F" w:rsidP="00A8138F">
      <w:pPr>
        <w:pStyle w:val="TextoNormal"/>
      </w:pPr>
      <w:r>
        <w:t>1º Declarar que se ha vulnerado el derecho fundamental a la igualdad ante la ley sin que proceda discriminación por razón de nacimiento (art. 14 CE).</w:t>
      </w:r>
    </w:p>
    <w:p w14:paraId="57F1788D" w14:textId="77777777" w:rsidR="00A8138F" w:rsidRDefault="00A8138F" w:rsidP="00A8138F">
      <w:pPr>
        <w:pStyle w:val="TextoNormal"/>
      </w:pPr>
    </w:p>
    <w:p w14:paraId="69D00850" w14:textId="77777777" w:rsidR="00A8138F" w:rsidRDefault="00A8138F" w:rsidP="00A8138F">
      <w:pPr>
        <w:pStyle w:val="TextoNormal"/>
      </w:pPr>
      <w:r>
        <w:t>2º Restablecer a la recurrente en su derecho y, a tal fin, declarar la nulidad de la sentencia de la Sala de lo Social del Tribunal Supremo núm. 1080/2024, de 11 de septiembre, pronunciada en el recurso de casación para la unificación de doctrina núm. 2463-2023, y de la sentencia de la Sala de lo Social del Tribunal Superior de Justicia de Cataluña núm. 1149/2023, de 20 de febrero, pronunciada en el recurso de suplicación núm. 4980-2022.</w:t>
      </w:r>
    </w:p>
    <w:p w14:paraId="4711C040" w14:textId="77777777" w:rsidR="00A8138F" w:rsidRDefault="00A8138F" w:rsidP="00A8138F">
      <w:pPr>
        <w:pStyle w:val="TextoNormal"/>
      </w:pPr>
    </w:p>
    <w:p w14:paraId="6CD5B427" w14:textId="0F093B48" w:rsidR="00A8138F" w:rsidRDefault="00A8138F" w:rsidP="00A8138F">
      <w:pPr>
        <w:pStyle w:val="TextoNormal"/>
      </w:pPr>
      <w:r>
        <w:t>3º Declarar la firmeza de la sentencia del Juzgado de lo Social núm. 12 de Barcelona núm. 157/2022, de 29 de marzo, pronunciada en el procedimiento núm. 17-2022.</w:t>
      </w:r>
    </w:p>
    <w:p w14:paraId="15DB5411" w14:textId="77777777" w:rsidR="00A8138F" w:rsidRDefault="00A8138F" w:rsidP="00A8138F">
      <w:pPr>
        <w:pStyle w:val="TextoNormal"/>
      </w:pPr>
    </w:p>
    <w:p w14:paraId="56E0E8C6" w14:textId="77777777" w:rsidR="00A8138F" w:rsidRDefault="00A8138F" w:rsidP="00A8138F">
      <w:pPr>
        <w:pStyle w:val="TextoNormal"/>
      </w:pPr>
      <w:r>
        <w:t>Publíquese esta sentencia en el “Boletín Oficial del Estado”.</w:t>
      </w:r>
    </w:p>
    <w:p w14:paraId="2643CD31" w14:textId="77777777" w:rsidR="00A8138F" w:rsidRDefault="00A8138F" w:rsidP="00A8138F">
      <w:pPr>
        <w:pStyle w:val="TextoNormal"/>
      </w:pPr>
      <w:r>
        <w:t>Dada en Madrid, a siete de abril de dos mil veinticinco.</w:t>
      </w:r>
    </w:p>
    <w:p w14:paraId="7CA10F65" w14:textId="49D88C87" w:rsidR="00A8138F" w:rsidRDefault="00A8138F">
      <w:pPr>
        <w:spacing w:after="160" w:line="278" w:lineRule="auto"/>
        <w:rPr>
          <w:rFonts w:ascii="Times New Roman" w:eastAsia="Times New Roman" w:hAnsi="Times New Roman" w:cs="Times New Roman"/>
          <w:sz w:val="24"/>
          <w:szCs w:val="24"/>
          <w:lang w:eastAsia="es-ES"/>
        </w:rPr>
      </w:pPr>
      <w:r>
        <w:br w:type="page"/>
      </w:r>
    </w:p>
    <w:p w14:paraId="048BBB83" w14:textId="77777777" w:rsidR="00A8138F" w:rsidRDefault="00A8138F" w:rsidP="00A8138F">
      <w:pPr>
        <w:pStyle w:val="TtuloResolucin"/>
      </w:pPr>
      <w:bookmarkStart w:id="97" w:name="SENTENCIA_2025_95"/>
      <w:r>
        <w:lastRenderedPageBreak/>
        <w:t>SENTENCIA 95/2025, de 9 de abril de 2025</w:t>
      </w:r>
    </w:p>
    <w:bookmarkEnd w:id="97"/>
    <w:p w14:paraId="2DFB14FD" w14:textId="77777777" w:rsidR="00A8138F" w:rsidRDefault="00A8138F" w:rsidP="00A8138F">
      <w:pPr>
        <w:pStyle w:val="TtuloResolucin"/>
      </w:pPr>
      <w:r>
        <w:t>Pleno</w:t>
      </w:r>
    </w:p>
    <w:p w14:paraId="5FE55AF5" w14:textId="77777777" w:rsidR="00A8138F" w:rsidRDefault="00A8138F" w:rsidP="00A8138F">
      <w:pPr>
        <w:pStyle w:val="TtuloBOE"/>
      </w:pPr>
      <w:r>
        <w:t>(BOE núm. 117, de 15 de mayo de 2025)</w:t>
      </w:r>
    </w:p>
    <w:p w14:paraId="37E8CE2B" w14:textId="77777777" w:rsidR="00A8138F" w:rsidRDefault="00A8138F" w:rsidP="00A8138F">
      <w:pPr>
        <w:pStyle w:val="TextoNormalCentrado"/>
      </w:pPr>
      <w:r>
        <w:t>ECLI:ES:TC:2025:95</w:t>
      </w:r>
    </w:p>
    <w:p w14:paraId="1D367D15" w14:textId="4E694780" w:rsidR="00A8138F" w:rsidRDefault="00A8138F" w:rsidP="00A8138F">
      <w:pPr>
        <w:pStyle w:val="TextoNormalCentrado"/>
      </w:pPr>
    </w:p>
    <w:p w14:paraId="2887C0DA" w14:textId="77777777" w:rsidR="00A8138F" w:rsidRDefault="00A8138F" w:rsidP="00A8138F">
      <w:pPr>
        <w:pStyle w:val="SntesisDescriptiva"/>
      </w:pPr>
      <w:r>
        <w:t>Recurso de inconstitucionalidad 7767-2021. Interpuesto por más de cincuenta diputados del Grupo Parlamentario Vox en el Congreso de los Diputados, en relación con el Decreto-ley 11/2021, de 2 de septiembre, por el que se establece el régimen jurídico de alerta sanitaria y las medidas para el control y gestión de la pandemia de covid-19 en Canarias.</w:t>
      </w:r>
    </w:p>
    <w:p w14:paraId="6776CD43" w14:textId="40E19116" w:rsidR="00A8138F" w:rsidRDefault="00A8138F" w:rsidP="00A8138F">
      <w:pPr>
        <w:pStyle w:val="SntesisDescriptiva"/>
      </w:pPr>
    </w:p>
    <w:p w14:paraId="0503EA24" w14:textId="77777777" w:rsidR="00A8138F" w:rsidRDefault="00A8138F" w:rsidP="00A8138F">
      <w:pPr>
        <w:pStyle w:val="SntesisAnaltica"/>
      </w:pPr>
      <w:r>
        <w:t>Límites materiales de los decretos-leyes autonómicos: pérdida parcial de objeto del proceso, nulidad de los preceptos que habilitan a los órganos autonómicos para la adopción de medidas preventivas y tipifican infracciones en materia de salud (STC 136/2024); extensión, por conexión o consecuencia, de la declaración de nulidad a otros preceptos de la misma norma de urgencia.</w:t>
      </w:r>
    </w:p>
    <w:p w14:paraId="636418E8" w14:textId="64575279" w:rsidR="00A8138F" w:rsidRDefault="00A8138F" w:rsidP="00A8138F">
      <w:pPr>
        <w:pStyle w:val="SntesisAnaltica"/>
      </w:pPr>
    </w:p>
    <w:p w14:paraId="0B35FB34" w14:textId="6BDA3F53" w:rsidR="00A8138F" w:rsidRDefault="00A8138F" w:rsidP="00A8138F">
      <w:pPr>
        <w:pStyle w:val="Extracto"/>
      </w:pPr>
      <w:r>
        <w:t>1.</w:t>
      </w:r>
      <w:r>
        <w:tab/>
        <w:t>La derogación o pérdida de vigencia de un decreto-ley impugnado a través de un recurso de inconstitucionalidad no impide el control de aquellas cuestiones que, sin versar acerca de la infracción de los presupuestos formales y materiales de los decretos-leyes, inciden en la correcta utilización de este instrumento legislativo y en el papel que desempeña en el sistema de fuentes del Derecho (STC 38/2016) [FJ 2].</w:t>
      </w:r>
    </w:p>
    <w:p w14:paraId="050B32F5" w14:textId="77777777" w:rsidR="00A8138F" w:rsidRDefault="00A8138F" w:rsidP="00A8138F">
      <w:pPr>
        <w:pStyle w:val="Extracto"/>
      </w:pPr>
    </w:p>
    <w:p w14:paraId="58B12DCC" w14:textId="469B9A2E" w:rsidR="00A8138F" w:rsidRDefault="00A8138F" w:rsidP="00A8138F">
      <w:pPr>
        <w:pStyle w:val="Extracto"/>
      </w:pPr>
      <w:r>
        <w:t>2.</w:t>
      </w:r>
      <w:r>
        <w:tab/>
        <w:t>Las medidas que limitan o restringen la eficacia material del derecho fundamental previsto en el art. 17.1 CE, cuando alcanzan aspectos esenciales de la regulación del citado derecho fundamental, como ocurre con la regulación impugnada sobre medidas de aislamiento y cuarentena, constituyen una afectación del art. 17.1 CE, lo que debe conducir a apreciar la infracción del límite material del art. 86.1 CE -que impide que los decretos-leyes afecten a los derechos, deberes de los ciudadanos regulados en el Título I de la Constitución- (SSTC 136/2024 y 141/2024) [FJ 3].</w:t>
      </w:r>
    </w:p>
    <w:p w14:paraId="15856CBA" w14:textId="77777777" w:rsidR="00A8138F" w:rsidRDefault="00A8138F" w:rsidP="00A8138F">
      <w:pPr>
        <w:pStyle w:val="Extracto"/>
      </w:pPr>
    </w:p>
    <w:p w14:paraId="79FC06F1" w14:textId="7BF7AA25" w:rsidR="00A8138F" w:rsidRDefault="00A8138F" w:rsidP="00A8138F">
      <w:pPr>
        <w:pStyle w:val="Extracto"/>
      </w:pPr>
      <w:r>
        <w:t>3.</w:t>
      </w:r>
      <w:r>
        <w:tab/>
        <w:t xml:space="preserve">La manifestación más importante de los derechos fundamentales que pueden resultar afectados por una intervención médica es la de decidir libremente entre consentir el tratamiento o rehusarlo aun cuando pudiera conducir a un resultado fatal (STEDH de 29 de abril de 2002, caso </w:t>
      </w:r>
      <w:r w:rsidRPr="00A8138F">
        <w:rPr>
          <w:i/>
        </w:rPr>
        <w:t>Pretty c. Reino Unido</w:t>
      </w:r>
      <w:r>
        <w:t>, § 63). Y la vacunación es un acto sanitario que entra, con claridad, dentro de las facultades de autodeterminación garantizadas por el derecho a la integridad personal del art. 15 CE (SSTC 154/2002 o 136/2024) [FJ 3].</w:t>
      </w:r>
    </w:p>
    <w:p w14:paraId="3363DCBE" w14:textId="77777777" w:rsidR="00A8138F" w:rsidRDefault="00A8138F" w:rsidP="00A8138F">
      <w:pPr>
        <w:pStyle w:val="Extracto"/>
      </w:pPr>
    </w:p>
    <w:p w14:paraId="530DCC00" w14:textId="5EEB5389" w:rsidR="00A8138F" w:rsidRDefault="00A8138F" w:rsidP="00A8138F">
      <w:pPr>
        <w:pStyle w:val="Extracto"/>
      </w:pPr>
      <w:r>
        <w:t>4.</w:t>
      </w:r>
      <w:r>
        <w:tab/>
        <w:t>La realización de pruebas diagnósticas a personas que presenten síntomas compatibles con la enfermedad, y de pruebas diagnósticas de cribado, son medidas que inciden sobre los derechos a la integridad física (art. 15 CE) y a la intimidad personal (art. 18 CE). La utilización de medios más o menos intrusivos para la realización de la medida determinará, en el caso concreto, el derecho fundamental específicamente afectado; pues la integridad física (art. 15 CE) y la intimidad personal (art. 18 CE) también guardan en nuestra doctrina, de modo similar a lo que ocurre con la libertad deambulatoria y la libertad de circulación, una cierta relación de grado (STC 136/2024) [FJ 3].</w:t>
      </w:r>
    </w:p>
    <w:p w14:paraId="1C5387B9" w14:textId="77777777" w:rsidR="00A8138F" w:rsidRDefault="00A8138F" w:rsidP="00A8138F">
      <w:pPr>
        <w:pStyle w:val="Extracto"/>
      </w:pPr>
    </w:p>
    <w:p w14:paraId="1D1AE3D9" w14:textId="7EA4CB20" w:rsidR="00A8138F" w:rsidRDefault="00A8138F" w:rsidP="00A8138F">
      <w:pPr>
        <w:pStyle w:val="Extracto"/>
      </w:pPr>
      <w:r>
        <w:t>5.</w:t>
      </w:r>
      <w:r>
        <w:tab/>
        <w:t>Cuando el método en el que se concreten las pruebas diagnósticas suponga un riesgo, aunque sea sólo potencial, de lesión o menoscabo de la salud, existirá una intromisión en el derecho fundamental a la integridad física (STC 207/1996). Y lo mismo ocurrirá cuando la medida afecte a la incolumidad corporal, esto es, al derecho de la persona a no sufrir menoscabo en su cuerpo o en su apariencia externa sin su consentimiento, pues el hecho de que la intervención coactiva en el cuerpo pueda suponer un malestar (esto es, producir sensaciones de dolor o sufrimiento) o un riesgo o daño para la salud supone un plus de afectación; mas no es una condición</w:t>
      </w:r>
      <w:r w:rsidRPr="00A8138F">
        <w:rPr>
          <w:i/>
        </w:rPr>
        <w:t xml:space="preserve"> sine qua non </w:t>
      </w:r>
      <w:r>
        <w:t>para entender que existe una intromisión en el derecho fundamental a la integridad física (STC 207/1996) [FJ 3].</w:t>
      </w:r>
    </w:p>
    <w:p w14:paraId="2404AD62" w14:textId="77777777" w:rsidR="00A8138F" w:rsidRDefault="00A8138F" w:rsidP="00A8138F">
      <w:pPr>
        <w:pStyle w:val="Extracto"/>
      </w:pPr>
    </w:p>
    <w:p w14:paraId="57388D79" w14:textId="006D0269" w:rsidR="00A8138F" w:rsidRDefault="00A8138F" w:rsidP="00A8138F">
      <w:pPr>
        <w:pStyle w:val="Extracto"/>
      </w:pPr>
      <w:r>
        <w:t>6.</w:t>
      </w:r>
      <w:r>
        <w:tab/>
        <w:t>La afectación del art. 18 CE se producirá cuando el método empleado concierna el criterio dominante en nuestra cultura sobre el recato corporal (STC 37/1989) y, en todo caso, cuando responda a “la finalidad” de indagación de datos íntimos, como ocurre, evidentemente, cuando trata de averiguarse si una persona es portadora de una determinada enfermedad (SSTC 207/1996 o 206/2007) [FJ 3].</w:t>
      </w:r>
    </w:p>
    <w:p w14:paraId="7AB02E2F" w14:textId="77777777" w:rsidR="00A8138F" w:rsidRDefault="00A8138F" w:rsidP="00A8138F">
      <w:pPr>
        <w:pStyle w:val="Extracto"/>
      </w:pPr>
    </w:p>
    <w:p w14:paraId="1FE1B9DB" w14:textId="75E4A63C" w:rsidR="00A8138F" w:rsidRDefault="00A8138F" w:rsidP="00A8138F">
      <w:pPr>
        <w:pStyle w:val="Extracto"/>
      </w:pPr>
      <w:r>
        <w:t>7.</w:t>
      </w:r>
      <w:r>
        <w:tab/>
        <w:t>Inevitablemente, que la ley predetermine una serie de consecuencias a la decisión de una persona de someterse a una injerencia corporal implica una restricción o limitación a su capacidad de decisión respecto a la realización de la intervención médica correspondiente [FJ 3].</w:t>
      </w:r>
    </w:p>
    <w:p w14:paraId="6C3A6B8B" w14:textId="77777777" w:rsidR="00A8138F" w:rsidRDefault="00A8138F" w:rsidP="00A8138F">
      <w:pPr>
        <w:pStyle w:val="Extracto"/>
      </w:pPr>
    </w:p>
    <w:p w14:paraId="6AA458E9" w14:textId="5733B0F8" w:rsidR="00A8138F" w:rsidRDefault="00A8138F" w:rsidP="00A8138F">
      <w:pPr>
        <w:pStyle w:val="Extracto"/>
      </w:pPr>
      <w:r>
        <w:t>8.</w:t>
      </w:r>
      <w:r>
        <w:tab/>
        <w:t>Son elementos definidores del derecho de reunión, entre otros, el concierto de las personas que reúnen y la presencia de un fin lícito. En cuanto al elemento subjetivo de este derecho, la agrupación de personas se caracteriza por ser una concurrencia concertada en la cual existe un cierto grado de vinculación subjetiva de cada persona interviniente en la reunión con los restantes que participan en la misma. Y, respecto del elemento finalístico, que la finalidad de comunicación pública, en su consideración de elemento interno, común y consustancial a toda clase de reuniones en lugares públicos no es confundible con la concreta finalidad que tenga la reunión (STC 85/1988) [FJ 3].</w:t>
      </w:r>
    </w:p>
    <w:p w14:paraId="5D5DBAF0" w14:textId="77777777" w:rsidR="00A8138F" w:rsidRDefault="00A8138F" w:rsidP="00A8138F">
      <w:pPr>
        <w:pStyle w:val="Extracto"/>
      </w:pPr>
    </w:p>
    <w:p w14:paraId="03904002" w14:textId="0F9CC4B6" w:rsidR="00A8138F" w:rsidRDefault="00A8138F" w:rsidP="00A8138F">
      <w:pPr>
        <w:pStyle w:val="Extracto"/>
      </w:pPr>
      <w:r>
        <w:t>9.</w:t>
      </w:r>
      <w:r>
        <w:tab/>
        <w:t>No confluye el doble presupuesto necesario de concurrencia concertada y finalidad de comunicar ideas o reivindicaciones, presupuestos ambos imprescindibles para considerar que nos hallamos ante el ejercicio del derecho de reunión constitucionalmente protegido: en los espectáculos públicos, actividades culturales, recreativas, de ocio y esparcimiento; las acampadas, refugios, albergues y campamentos; los mercadillos; las atracciones de feria; los parques y las playas y otros espacios públicos susceptibles de aglomeraciones; los espectáculos con coros, bandas, orquestas o agrupaciones musicales; las residencias de estudiantes; los centros recreativos; y los congresos, encuentros, reuniones de negocios, conferencias y actos similares [FJ 3].</w:t>
      </w:r>
    </w:p>
    <w:p w14:paraId="25B32C00" w14:textId="77777777" w:rsidR="00A8138F" w:rsidRDefault="00A8138F" w:rsidP="00A8138F">
      <w:pPr>
        <w:pStyle w:val="Extracto"/>
      </w:pPr>
    </w:p>
    <w:p w14:paraId="096BAAFC" w14:textId="2095E95A" w:rsidR="00A8138F" w:rsidRDefault="00A8138F" w:rsidP="00A8138F">
      <w:pPr>
        <w:pStyle w:val="Extracto"/>
      </w:pPr>
      <w:r>
        <w:t>10.</w:t>
      </w:r>
      <w:r>
        <w:tab/>
        <w:t xml:space="preserve">Integrando la concepción del TEDH -que considera que las trabas u obstáculos al mantenimiento del contacto con familiares y amigos no se encuadran en el ámbito del art. 11 CEDH, relativo a la libertad de reunión, sino en el de su art. 8.1, que garantiza la vida privada y familiar [STEDH (Gran Sala) de 12 de septiembre de </w:t>
      </w:r>
      <w:r>
        <w:lastRenderedPageBreak/>
        <w:t>2012, asunto Nada c. Suiza, § 165]-, este ámbito ha de considerarse constitucionalmente protegido por el juego combinado de los arts. 21.1 y 18 CE: derechos de reunión e intimidad, en relación con las limitaciones a la permanencia de grupos de personas en todo tipo de espacios (SSTC 148/2021 o 141/2024) [FJ 3].</w:t>
      </w:r>
    </w:p>
    <w:p w14:paraId="70502C14" w14:textId="77777777" w:rsidR="00A8138F" w:rsidRDefault="00A8138F" w:rsidP="00A8138F">
      <w:pPr>
        <w:pStyle w:val="Extracto"/>
      </w:pPr>
    </w:p>
    <w:p w14:paraId="7E715360" w14:textId="5B4EB7FD" w:rsidR="00A8138F" w:rsidRDefault="00A8138F" w:rsidP="00A8138F">
      <w:pPr>
        <w:pStyle w:val="Extracto"/>
      </w:pPr>
      <w:r>
        <w:t>11.</w:t>
      </w:r>
      <w:r>
        <w:tab/>
        <w:t>Hay tres tipos de leyes singulares: 1º) la ley autoaplicativa: que contienen una actividad ejecutiva, de aplicación de la norma al caso concreto; las que encierran una actividad materialmente administrativa; o las que no requieren del dictado de un acto administrativo de aplicación (STC 129/2013). 2º) La ley de estructura singular en atención a los destinatarios a que va dirigida (STC 166/1986). Y 3º) las leyes dictadas en atención a un supuesto de hecho concreto y singular, que agotan su contenido y eficacia en la adopción y ejecución de la medida tomada por el legislador ante ese supuesto de hecho, aislado en la ley singular y no comunicable con ningún otro (STC 203/2013) [FJ 4].</w:t>
      </w:r>
    </w:p>
    <w:p w14:paraId="5F663B89" w14:textId="77777777" w:rsidR="00A8138F" w:rsidRDefault="00A8138F" w:rsidP="00A8138F">
      <w:pPr>
        <w:pStyle w:val="Extracto"/>
      </w:pPr>
    </w:p>
    <w:p w14:paraId="55578A79" w14:textId="1A683447" w:rsidR="00A8138F" w:rsidRDefault="00A8138F" w:rsidP="00A8138F">
      <w:pPr>
        <w:pStyle w:val="Extracto"/>
      </w:pPr>
      <w:r>
        <w:t>12.</w:t>
      </w:r>
      <w:r>
        <w:tab/>
        <w:t>Una disposición transitoria que responde al modelo arquetípico de las normas de transición no puede ser calificada como ley autoaplicativa (STC 170/2016) [FJ 4].</w:t>
      </w:r>
    </w:p>
    <w:p w14:paraId="614BA53E" w14:textId="77777777" w:rsidR="00A8138F" w:rsidRDefault="00A8138F" w:rsidP="00A8138F">
      <w:pPr>
        <w:pStyle w:val="Extracto"/>
      </w:pPr>
    </w:p>
    <w:p w14:paraId="174E18F2" w14:textId="1F80DF82" w:rsidR="00A8138F" w:rsidRDefault="00A8138F" w:rsidP="00A8138F">
      <w:pPr>
        <w:pStyle w:val="Extracto"/>
      </w:pPr>
      <w:r>
        <w:t>13.</w:t>
      </w:r>
      <w:r>
        <w:tab/>
        <w:t>Dada la inexistencia de reserva reglamentaria en nuestro ordenamiento (SSTC 120/2014 o 38/2016), la ley puede tener cualquier contenido y en modo alguno le está vedada la regulación de materias atribuidas al poder reglamentario (SSTC 73/2000 o 61/2016) [FJ 4].</w:t>
      </w:r>
    </w:p>
    <w:p w14:paraId="7F72ED11" w14:textId="77777777" w:rsidR="00A8138F" w:rsidRDefault="00A8138F" w:rsidP="00A8138F">
      <w:pPr>
        <w:pStyle w:val="Extracto"/>
      </w:pPr>
    </w:p>
    <w:p w14:paraId="7AEC757F" w14:textId="77777777" w:rsidR="00A8138F" w:rsidRDefault="00A8138F" w:rsidP="00A8138F">
      <w:pPr>
        <w:pStyle w:val="Extracto"/>
      </w:pPr>
    </w:p>
    <w:p w14:paraId="1A2AE0D5"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1915136C" w14:textId="2E3AA078" w:rsidR="00A8138F" w:rsidRDefault="00A8138F" w:rsidP="00A8138F">
      <w:pPr>
        <w:pStyle w:val="TextoNormal"/>
      </w:pPr>
    </w:p>
    <w:p w14:paraId="55AED00E" w14:textId="77777777" w:rsidR="00A8138F" w:rsidRDefault="00A8138F" w:rsidP="00A8138F">
      <w:pPr>
        <w:pStyle w:val="TextoNormalCentrado"/>
        <w:keepNext/>
      </w:pPr>
      <w:r>
        <w:t>EN NOMBRE DEL REY</w:t>
      </w:r>
    </w:p>
    <w:p w14:paraId="74C4BCA9" w14:textId="3A868526" w:rsidR="00A8138F" w:rsidRDefault="00A8138F" w:rsidP="00A8138F">
      <w:pPr>
        <w:pStyle w:val="TextoNormalCentrado"/>
        <w:keepNext/>
      </w:pPr>
    </w:p>
    <w:p w14:paraId="2EEB1DCB" w14:textId="77777777" w:rsidR="00A8138F" w:rsidRDefault="00A8138F" w:rsidP="00A8138F">
      <w:pPr>
        <w:pStyle w:val="TextoNormalCentrado"/>
        <w:keepNext/>
      </w:pPr>
    </w:p>
    <w:p w14:paraId="6B24A5E2" w14:textId="77777777" w:rsidR="00A8138F" w:rsidRDefault="00A8138F" w:rsidP="00A8138F">
      <w:pPr>
        <w:pStyle w:val="TextoNormal"/>
      </w:pPr>
      <w:r>
        <w:t>la siguiente</w:t>
      </w:r>
    </w:p>
    <w:p w14:paraId="75478A8F" w14:textId="549B76AD" w:rsidR="00A8138F" w:rsidRDefault="00A8138F" w:rsidP="00A8138F">
      <w:pPr>
        <w:pStyle w:val="TextoNormal"/>
      </w:pPr>
    </w:p>
    <w:p w14:paraId="79801ED8" w14:textId="77777777" w:rsidR="00A8138F" w:rsidRDefault="00A8138F" w:rsidP="00A8138F">
      <w:pPr>
        <w:pStyle w:val="TextoNormalCentrado"/>
        <w:keepNext/>
      </w:pPr>
      <w:r>
        <w:t>SENTENCIA</w:t>
      </w:r>
    </w:p>
    <w:p w14:paraId="0C1EBBF2" w14:textId="121CE4BF" w:rsidR="00A8138F" w:rsidRDefault="00A8138F" w:rsidP="00A8138F">
      <w:pPr>
        <w:pStyle w:val="TextoNormalCentrado"/>
        <w:keepNext/>
      </w:pPr>
    </w:p>
    <w:p w14:paraId="0A836134" w14:textId="77777777" w:rsidR="00A8138F" w:rsidRDefault="00A8138F" w:rsidP="00A8138F">
      <w:pPr>
        <w:pStyle w:val="TextoNormal"/>
      </w:pPr>
      <w:r>
        <w:t>En el recurso de inconstitucionalidad núm. 7767-2021, interpuesto por más de cincuenta diputados del Grupo Parlamentario Vox en el Congreso de los Diputados, contra el Decreto-ley 11/2021, de 2 de septiembre, por el que se establece el régimen jurídico de alerta sanitaria y las medidas para el control y gestión de la pandemia de covid-19 en Canarias. Han comparecido el Congreso de los Diputados, el Senado y el abogado del Estado. Han formulado alegaciones el Gobierno de Canarias y el Parlamento de Canarias. Ha sido ponente la magistrada doña Laura Díez Bueso.</w:t>
      </w:r>
    </w:p>
    <w:p w14:paraId="0CC35989" w14:textId="19CA8CAC" w:rsidR="00A8138F" w:rsidRDefault="00A8138F" w:rsidP="00A8138F">
      <w:pPr>
        <w:pStyle w:val="TextoNormal"/>
      </w:pPr>
    </w:p>
    <w:p w14:paraId="3AC6F462" w14:textId="77777777" w:rsidR="00A8138F" w:rsidRDefault="00A8138F" w:rsidP="00A8138F">
      <w:pPr>
        <w:pStyle w:val="TextoNormalNegritaCentrado"/>
        <w:keepNext/>
      </w:pPr>
      <w:r>
        <w:lastRenderedPageBreak/>
        <w:t>I. Antecedentes</w:t>
      </w:r>
    </w:p>
    <w:p w14:paraId="392487C1" w14:textId="4978CFC1" w:rsidR="00A8138F" w:rsidRDefault="00A8138F" w:rsidP="00A8138F">
      <w:pPr>
        <w:pStyle w:val="TextoNormalNegritaCentrado"/>
        <w:keepNext/>
      </w:pPr>
    </w:p>
    <w:p w14:paraId="3C32CD8A" w14:textId="77777777" w:rsidR="00A8138F" w:rsidRDefault="00A8138F" w:rsidP="00A8138F">
      <w:pPr>
        <w:pStyle w:val="TextoNormal"/>
      </w:pPr>
      <w:r w:rsidRPr="00A8138F">
        <w:rPr>
          <w:rStyle w:val="NumeroAFNegritaCaracter"/>
        </w:rPr>
        <w:t>1</w:t>
      </w:r>
      <w:r>
        <w:t>. Mediante escrito que tuvo entrada en el registro general de este tribunal el 7 de diciembre de 2021, el procurador de los tribunales don Antonio Ortega Fuentes, actuando en nombre y representación de don Santiago Abascal Conde y de otros cincuenta y un diputados del Grupo Parlamentario Vox en el Congreso de los Diputados, interpuso, con la firma como comisionado de don Juan José Aizcorbe Torra, recurso de inconstitucionalidad contra el Decreto-ley 11/2021, de 2 de septiembre, por el que se establece el régimen jurídico de alerta sanitaria y las medidas para el control y gestión de la pandemia de covid-19 en Canarias (en adelante, Decreto-ley 11/2021) y, subsidiariamente, contra los arts.: 1; 2; 3.4; 5.2; 6.1 y 2; 7.4; 9.1; 12.1 a) y b), 2, 5 y 6; 14.2; 15.7; 19.3 y 4; 21.3; 22.2, 3 y 4; 23.1, 2 y 3; 24.3; 25; 26; 27 y 28; las disposiciones transitoria segunda y final primera, en cuanto da nueva redacción a los apartados segundo y tercero del art. 28 de la Ley 11/1994, de 26 de julio, de ordenación sanitaria de Canarias (en adelante, Ley 11/1994), y el anexo III de dicho Decreto-ley 11/2021.</w:t>
      </w:r>
    </w:p>
    <w:p w14:paraId="2A0A9218" w14:textId="77777777" w:rsidR="00A8138F" w:rsidRDefault="00A8138F" w:rsidP="00A8138F">
      <w:pPr>
        <w:pStyle w:val="TextoNormal"/>
      </w:pPr>
    </w:p>
    <w:p w14:paraId="23A8DB60" w14:textId="77777777" w:rsidR="00A8138F" w:rsidRDefault="00A8138F" w:rsidP="00A8138F">
      <w:pPr>
        <w:pStyle w:val="TextoNormal"/>
      </w:pPr>
      <w:r>
        <w:t>La demanda dedica el apartado de antecedentes a transcribir los apartados de la exposición de motivos del Decreto-ley 11/2021 que considera pertinentes, así como a hacer referencia a su convalidación por el Parlamento de Canarias y a su tramitación como proyecto de ley por el procedimiento de urgencia. Finalmente, alude a los recursos de inconstitucionalidad núm. 2901-2021, 5403-2021 y 6174-2021, interpuestos, respectivamente, contra la legislación de medidas sanitarias para la gestión de la pandemia de covid-19 aprobadas por las comunidades autónomas de Galicia, Illes Balears y el País Vasco, indicando que en todos ellos se ha denunciado también la infracción de la reserva de ley orgánica (art. 81.1 CE), de acuerdo con lo afirmado por el dictamen núm. 213-2021, del Consejo de Estado, de 22 de marzo de 2021. También considera de interés la doctrina fijada en las SSTC 148/2021, de 14 de julio, y 183/2021, de 27 de octubre.</w:t>
      </w:r>
    </w:p>
    <w:p w14:paraId="07D71B1A" w14:textId="77777777" w:rsidR="00A8138F" w:rsidRDefault="00A8138F" w:rsidP="00A8138F">
      <w:pPr>
        <w:pStyle w:val="TextoNormal"/>
      </w:pPr>
    </w:p>
    <w:p w14:paraId="2EA1C13D" w14:textId="77777777" w:rsidR="00A8138F" w:rsidRDefault="00A8138F" w:rsidP="00A8138F">
      <w:pPr>
        <w:pStyle w:val="TextoNormal"/>
      </w:pPr>
      <w:r>
        <w:t>En el fundamento jurídico primero, la demanda delimita el objeto del recurso de inconstitucionalidad. Expone que se impugna el Decreto-ley 11/2021 porque “el Gobierno canario, a través de la regulación impugnada, declara de manera encubierta un estado de excepcionalidad que altera, además con carácter indefinido, el orden competencial establecido, imponiendo graves restricciones a los derechos fundamentales y permitiendo cercos perimetrales, cierres de fronteras territoriales y confinamientos autonómicos”.</w:t>
      </w:r>
    </w:p>
    <w:p w14:paraId="3C0DCE40" w14:textId="77777777" w:rsidR="00A8138F" w:rsidRDefault="00A8138F" w:rsidP="00A8138F">
      <w:pPr>
        <w:pStyle w:val="TextoNormal"/>
      </w:pPr>
    </w:p>
    <w:p w14:paraId="41FE0407" w14:textId="77777777" w:rsidR="00A8138F" w:rsidRDefault="00A8138F" w:rsidP="00A8138F">
      <w:pPr>
        <w:pStyle w:val="TextoNormal"/>
      </w:pPr>
      <w:r>
        <w:t>Concretamente, se impugnan también los arts. 1; 2; 3.4; 5.2; 6.1 y 2; 7.4; 9.1; 12.1 a) y b), 2, 5 y 6; 14.2; 15.7; 19.3 y 4; 21.3; 22.2, 3 y 4; 23.1, 2 y 3; 24.3; 25; 26; 27 y 28; las disposiciones transitoria segunda y final primera, en cuanto da nueva redacción a los apartados segundo y tercero del art. 28 de la Ley del Parlamento de Canarias 11/1994, y el anexo III del Decreto-ley 11/2021.</w:t>
      </w:r>
    </w:p>
    <w:p w14:paraId="55F044EB" w14:textId="77777777" w:rsidR="00A8138F" w:rsidRDefault="00A8138F" w:rsidP="00A8138F">
      <w:pPr>
        <w:pStyle w:val="TextoNormal"/>
      </w:pPr>
    </w:p>
    <w:p w14:paraId="7DA036D9" w14:textId="77777777" w:rsidR="00A8138F" w:rsidRDefault="00A8138F" w:rsidP="00A8138F">
      <w:pPr>
        <w:pStyle w:val="TextoNormal"/>
      </w:pPr>
      <w:r>
        <w:t xml:space="preserve">Por su parte, en el fundamento jurídico segundo se recoge lo que la demanda denomina como “[m]arco normativo de aplicación”, dentro del cual se hace referencia al dictamen núm. 213-2021 del Consejo de Estado; a las SSTC 148/2021 y 183/2021; a la sentencia 719/2021, de 24 de mayo, de la Sala de lo Contencioso-Administrativo del Tribunal Supremo (ECLI:ES:TS:2021:2178); a la Ley Orgánica 3/1986, de 14 de abril, de medidas-especiales en materia de salud pública (en adelante, Ley Orgánica 3/1986); a la Ley 14/1986, </w:t>
      </w:r>
      <w:r>
        <w:lastRenderedPageBreak/>
        <w:t>de 25 de abril, general de sanidad (LGS), y a la Ley 33/2011, de 4 de octubre, general de salud pública (en adelante, Ley 33/2011).</w:t>
      </w:r>
    </w:p>
    <w:p w14:paraId="708DC6FC" w14:textId="77777777" w:rsidR="00A8138F" w:rsidRDefault="00A8138F" w:rsidP="00A8138F">
      <w:pPr>
        <w:pStyle w:val="TextoNormal"/>
      </w:pPr>
    </w:p>
    <w:p w14:paraId="45237865" w14:textId="77777777" w:rsidR="00A8138F" w:rsidRDefault="00A8138F" w:rsidP="00A8138F">
      <w:pPr>
        <w:pStyle w:val="TextoNormal"/>
      </w:pPr>
      <w:r>
        <w:t>Una vez expuestos, en estos términos, el objeto del recurso de inconstitucionalidad y el marco jurídico aplicable, la demanda recoge los motivos de impugnación en los que se basa el recurso de inconstitucionalidad en los fundamentos jurídicos tercero a octavo, cuyo contenido se expone sintéticamente a continuación.</w:t>
      </w:r>
    </w:p>
    <w:p w14:paraId="1E471E82" w14:textId="77777777" w:rsidR="00A8138F" w:rsidRDefault="00A8138F" w:rsidP="00A8138F">
      <w:pPr>
        <w:pStyle w:val="TextoNormal"/>
      </w:pPr>
    </w:p>
    <w:p w14:paraId="231E21D7" w14:textId="77777777" w:rsidR="00A8138F" w:rsidRDefault="00A8138F" w:rsidP="00A8138F">
      <w:pPr>
        <w:pStyle w:val="TextoNormal"/>
      </w:pPr>
      <w:r>
        <w:t xml:space="preserve">A) </w:t>
      </w:r>
      <w:r w:rsidRPr="00A8138F">
        <w:rPr>
          <w:i/>
        </w:rPr>
        <w:t>Vulneración de los arts. 116, 55 y 38 CE, en cuanto el Decreto-ley 11/2021 regula un estado de excepción constitucional, fuera del marco establecido en la Constitución</w:t>
      </w:r>
    </w:p>
    <w:p w14:paraId="18BCA6E0" w14:textId="77777777" w:rsidR="00A8138F" w:rsidRDefault="00A8138F" w:rsidP="00A8138F">
      <w:pPr>
        <w:pStyle w:val="TextoNormal"/>
      </w:pPr>
    </w:p>
    <w:p w14:paraId="5815BD5D" w14:textId="77777777" w:rsidR="00A8138F" w:rsidRDefault="00A8138F" w:rsidP="00A8138F">
      <w:pPr>
        <w:pStyle w:val="TextoNormal"/>
      </w:pPr>
      <w:r>
        <w:t>Afirman los recurrentes que, habiendo finalizado los estados de alarma y no hallándose amparada por aquellos, la Comunidad Autónoma de Canarias ha venido a aprobar sus propios criterios y medidas restrictivas de derechos fundamentales. Esta regulación instaura un verdadero régimen excepcional al margen de la Constitución y de la Ley Orgánica 4/1981, de 1 de junio, de los estados de alarma, excepción y sitio (en adelante, Ley Orgánica 4/1981), resultando manifiestamente inconstitucionales las limitaciones de derechos que esta regulación conlleva. De este modo, el Decreto-ley del Gobierno de Canarias 11/2021 se concibe como un instrumento normativo análogo a la ley orgánica a la que remite el art. 116 CE, creando una situación de crisis sanitaria durante la cual se aplican automáticamente las medidas establecidas para cada nivel de alerta, desvinculándose de la vigencia de un estado de excepcionalidad de los previstos en el art. 116 CE.</w:t>
      </w:r>
    </w:p>
    <w:p w14:paraId="25AC5D2C" w14:textId="77777777" w:rsidR="00A8138F" w:rsidRDefault="00A8138F" w:rsidP="00A8138F">
      <w:pPr>
        <w:pStyle w:val="TextoNormal"/>
      </w:pPr>
    </w:p>
    <w:p w14:paraId="0B6E4F4B" w14:textId="77777777" w:rsidR="00A8138F" w:rsidRDefault="00A8138F" w:rsidP="00A8138F">
      <w:pPr>
        <w:pStyle w:val="TextoNormal"/>
      </w:pPr>
      <w:r>
        <w:t>En esta misma contravención del art. 116 CE incurren los arts. 1; 2; 7.4; 21.3; 22.2, 3 y 4; 23.2 y 3 y 24.3 y la disposición final primera, en relación con la nueva redacción que da al art. 28.3 de la Ley del Parlamento de Canarias 11/1994.</w:t>
      </w:r>
    </w:p>
    <w:p w14:paraId="5CDF7111" w14:textId="77777777" w:rsidR="00A8138F" w:rsidRDefault="00A8138F" w:rsidP="00A8138F">
      <w:pPr>
        <w:pStyle w:val="TextoNormal"/>
      </w:pPr>
    </w:p>
    <w:p w14:paraId="0A1E7F06" w14:textId="77777777" w:rsidR="00A8138F" w:rsidRDefault="00A8138F" w:rsidP="00A8138F">
      <w:pPr>
        <w:pStyle w:val="TextoNormal"/>
      </w:pPr>
      <w:r>
        <w:t>En particular, se refiere separadamente a esta última disposición final primera del Decreto-ley 11/2021, en cuanto que da nueva redacción al apartado tercero del art. 28 de la Ley 11/1994. En relación con este precepto, denuncia la vulneración del art. 38 CE. En este sentido, trae a colación lo dicho en la STC 148/2021 en relación con el art. 10 del Real Decreto 463/2020, de 14 de marzo, por el que se declara el estado de alarma para la gestión de la situación de crisis sanitaria ocasionada por el covid-19, en relación con la suspensión de apertura de establecimientos y realización de actividades, y señala que “si intensísima fue la suspensión, en estado de alarma, de determinadas actividades, resulta radicalmente inconstitucional la habilitación que el Decreto-ley 11/2021 hace a la autoridad sanitaria autonómica para suspender, con carácter general, fuera del estado de alarma, cualesquiera actividades o la apertura de cualesquiera establecimientos”.</w:t>
      </w:r>
    </w:p>
    <w:p w14:paraId="292B3A18" w14:textId="77777777" w:rsidR="00A8138F" w:rsidRDefault="00A8138F" w:rsidP="00A8138F">
      <w:pPr>
        <w:pStyle w:val="TextoNormal"/>
      </w:pPr>
    </w:p>
    <w:p w14:paraId="159EC28B" w14:textId="77777777" w:rsidR="00A8138F" w:rsidRDefault="00A8138F" w:rsidP="00A8138F">
      <w:pPr>
        <w:pStyle w:val="TextoNormal"/>
      </w:pPr>
      <w:r>
        <w:t>En fin, para los demandantes, el Decreto-ley 11/2021 pretende instaurar con carácter general y de forma permanente para Canarias una suerte de estado de alarma, que denomina “situación de crisis sanitaria”, en el que se habilita a las autoridades canarias para adoptar medidas que implican suspensiones/restricciones de derechos fundamentales que la jurisprudencia constitucional ha declarado que, en su caso, únicamente proceden en los supuestos de excepcionalidad constitucional previstos en el art. 116 CE.</w:t>
      </w:r>
    </w:p>
    <w:p w14:paraId="5ED16D8A" w14:textId="77777777" w:rsidR="00A8138F" w:rsidRDefault="00A8138F" w:rsidP="00A8138F">
      <w:pPr>
        <w:pStyle w:val="TextoNormal"/>
      </w:pPr>
    </w:p>
    <w:p w14:paraId="19F42FCE" w14:textId="77777777" w:rsidR="00A8138F" w:rsidRDefault="00A8138F" w:rsidP="00A8138F">
      <w:pPr>
        <w:pStyle w:val="TextoNormal"/>
      </w:pPr>
      <w:r>
        <w:t xml:space="preserve">B) </w:t>
      </w:r>
      <w:r w:rsidRPr="00A8138F">
        <w:rPr>
          <w:i/>
        </w:rPr>
        <w:t xml:space="preserve">Infracción de los límites materiales previstos para el decreto-ley y vulneración del contenido esencial de los derechos fundamentales a la libertad de circulación y residencia, </w:t>
      </w:r>
      <w:r w:rsidRPr="00A8138F">
        <w:rPr>
          <w:i/>
        </w:rPr>
        <w:lastRenderedPageBreak/>
        <w:t>a la libertad personal, a la integridad física, a la intimidad personal y al derecho de reunión, en relación con los arts. 6.1 y 2; 12.1 a) y b), 2, 5 y 6; 14.2, párrafos segundo y tercero; 15.7; 19.3 y 4; 25.2; 26.2; 27.2; 28.2, 10, 11 y 26 a 32, del Decreto-ley 11/2021</w:t>
      </w:r>
    </w:p>
    <w:p w14:paraId="29020B60" w14:textId="77777777" w:rsidR="00A8138F" w:rsidRDefault="00A8138F" w:rsidP="00A8138F">
      <w:pPr>
        <w:pStyle w:val="TextoNormal"/>
      </w:pPr>
    </w:p>
    <w:p w14:paraId="3FCCBDCD" w14:textId="77777777" w:rsidR="00A8138F" w:rsidRDefault="00A8138F" w:rsidP="00A8138F">
      <w:pPr>
        <w:pStyle w:val="TextoNormal"/>
      </w:pPr>
      <w:r>
        <w:t>El recurso de inconstitucionalidad denuncia que el Decreto-ley 11/2021 no ha respetado los límites materiales de los decretos-leyes, en lo que se refiere a la prohibición de afectar a los derechos reconocidos en el título I CE. Específicamente, predica esta queja respecto de los siguientes preceptos:</w:t>
      </w:r>
    </w:p>
    <w:p w14:paraId="33C29F28" w14:textId="77777777" w:rsidR="00A8138F" w:rsidRDefault="00A8138F" w:rsidP="00A8138F">
      <w:pPr>
        <w:pStyle w:val="TextoNormal"/>
      </w:pPr>
    </w:p>
    <w:p w14:paraId="6FAEBE18" w14:textId="77777777" w:rsidR="00A8138F" w:rsidRDefault="00A8138F" w:rsidP="00A8138F">
      <w:pPr>
        <w:pStyle w:val="TextoNormal"/>
      </w:pPr>
      <w:r>
        <w:t>a) En relación con el derecho fundamental a la libertad personal del art. 17 CE, su contenido esencial resulta vulnerado: (i) por el art. 12.1 a) y b) y 5 del Decreto-ley 11/2021, que impone el aislamiento de personas que se encuentren contagiadas por SARS-CoV-2 y (ii) por el art. 6.1 y 2 del Decreto-ley 11/2021, en cuanto que prescribe una obligación personal de confinamiento o cuarentena, permitiendo la privación de libertad de una persona sin autorización judicial ni consentimiento de la persona afectada.</w:t>
      </w:r>
    </w:p>
    <w:p w14:paraId="59384CF6" w14:textId="77777777" w:rsidR="00A8138F" w:rsidRDefault="00A8138F" w:rsidP="00A8138F">
      <w:pPr>
        <w:pStyle w:val="TextoNormal"/>
      </w:pPr>
    </w:p>
    <w:p w14:paraId="4D165BFD" w14:textId="77777777" w:rsidR="00A8138F" w:rsidRDefault="00A8138F" w:rsidP="00A8138F">
      <w:pPr>
        <w:pStyle w:val="TextoNormal"/>
      </w:pPr>
      <w:r>
        <w:t>b) Por su parte, las medidas previstas en los arts. 6.1 y 2 y 12.1, 2 y 6 incurren en una vulneración de los derechos a la libertad de circulación y de elección de residencia (art. 19 CE).</w:t>
      </w:r>
    </w:p>
    <w:p w14:paraId="7065F725" w14:textId="77777777" w:rsidR="00A8138F" w:rsidRDefault="00A8138F" w:rsidP="00A8138F">
      <w:pPr>
        <w:pStyle w:val="TextoNormal"/>
      </w:pPr>
    </w:p>
    <w:p w14:paraId="3F10FB1C" w14:textId="77777777" w:rsidR="00A8138F" w:rsidRDefault="00A8138F" w:rsidP="00A8138F">
      <w:pPr>
        <w:pStyle w:val="TextoNormal"/>
      </w:pPr>
      <w:r>
        <w:t>c) En lo que respecta al derecho de reunión, entiende que se ve afectado porque los arts. 25.2; 26.2; 27.2; 28.2, 10, 26, 27, 28, 29, 30, 31, 32 y 33, del Decreto-ley 11/2021, constituyen una suspensión del citado derecho fundamental al prohibir reuniones privadas o la “permanencia de grupos de personas tanto en espacios de uso público como privado, cerrados o al aire libre”.</w:t>
      </w:r>
    </w:p>
    <w:p w14:paraId="496E98FE" w14:textId="77777777" w:rsidR="00A8138F" w:rsidRDefault="00A8138F" w:rsidP="00A8138F">
      <w:pPr>
        <w:pStyle w:val="TextoNormal"/>
      </w:pPr>
    </w:p>
    <w:p w14:paraId="436B74D5" w14:textId="77777777" w:rsidR="00A8138F" w:rsidRDefault="00A8138F" w:rsidP="00A8138F">
      <w:pPr>
        <w:pStyle w:val="TextoNormal"/>
      </w:pPr>
      <w:r>
        <w:t>d) Por lo que se refiere a los derechos fundamentales a la integridad física (art. 15 CE) y a la intimidad personal (art. 18.1 CE), en relación con la noción de vida privada [art. 8 del Convenio europeo para la protección de los derechos humanos y de las libertades fundamentales (CEDH)], afirma la demanda su afectación por “las medidas profilácticas —entre ellas, la vacunación obligatoria— que pueden acordar las autoridades autonómicas al amparo de los arts. 14.2 y 15.1 [del] Decreto-ley 11/2021”. Llama la atención sobre la absoluta desproporción de la sanción prevista para el caso de no prestar el consentimiento para la realización de pruebas diagnósticas o la exigencia de vacunación, que pueden dar lugar a la imposibilidad de desempeñar el trabajo o actividad que se condicionó a la prueba diagnóstica y a la posibilidad de imposición de restricciones u obligaciones personalizadas en los términos dispuestos en el Decreto-ley. Indica también que estas sanciones se imponen sin cumplimiento de garantía alguna de procedimiento, con vulneración de la vertiente procedimental de los arts. 25.1 y 24 CE.</w:t>
      </w:r>
    </w:p>
    <w:p w14:paraId="715F0694" w14:textId="77777777" w:rsidR="00A8138F" w:rsidRDefault="00A8138F" w:rsidP="00A8138F">
      <w:pPr>
        <w:pStyle w:val="TextoNormal"/>
      </w:pPr>
    </w:p>
    <w:p w14:paraId="6FD5B2F4" w14:textId="77777777" w:rsidR="00A8138F" w:rsidRDefault="00A8138F" w:rsidP="00A8138F">
      <w:pPr>
        <w:pStyle w:val="TextoNormal"/>
      </w:pPr>
      <w:r>
        <w:t>Por ello, concluye el recurso que es claro que el Decreto-ley 11/2021 introduce medidas limitativas de derechos claramente vedadas a los decretos-leyes, en cuanto afectan, en el sentido constitucionalmente proscrito, a los derechos fundamentales de los arts. 15, 17.1, 18.1, 19 y 21 CE. Esta vulneración se agrava, además, si tenemos en cuenta el art. 19.4 del Decreto-ley, que establece que no será necesaria la ratificación judicial de las medidas generales aplicables por mandato de este decreto-ley en cada uno de los niveles de alerta previstos.</w:t>
      </w:r>
    </w:p>
    <w:p w14:paraId="383A2838" w14:textId="77777777" w:rsidR="00A8138F" w:rsidRDefault="00A8138F" w:rsidP="00A8138F">
      <w:pPr>
        <w:pStyle w:val="TextoNormal"/>
      </w:pPr>
    </w:p>
    <w:p w14:paraId="7A721692" w14:textId="77777777" w:rsidR="00A8138F" w:rsidRDefault="00A8138F" w:rsidP="00A8138F">
      <w:pPr>
        <w:pStyle w:val="TextoNormal"/>
      </w:pPr>
      <w:r>
        <w:lastRenderedPageBreak/>
        <w:t>También se impugna el art. 9.1, en relación con la imposición del uso de mascarilla a niños mayores de seis años y menores de once años, en cualquier espacio cerrado e incluso en cualquier espacio al aire libre en el que, por la aglomeración de personas no resulte posible mantener una distancia mínima de 1,5 metros entre las mismas, salvo grupos de convivientes. El incumplimiento de esta obligación puede dar lugar a sanciones conforme al art. 18.3 del Decreto-ley 11/2021.</w:t>
      </w:r>
    </w:p>
    <w:p w14:paraId="6ACE2CB8" w14:textId="77777777" w:rsidR="00A8138F" w:rsidRDefault="00A8138F" w:rsidP="00A8138F">
      <w:pPr>
        <w:pStyle w:val="TextoNormal"/>
      </w:pPr>
    </w:p>
    <w:p w14:paraId="1707CAE5" w14:textId="77777777" w:rsidR="00A8138F" w:rsidRDefault="00A8138F" w:rsidP="00A8138F">
      <w:pPr>
        <w:pStyle w:val="TextoNormal"/>
      </w:pPr>
      <w:r>
        <w:t>Según la demanda, la imposición del uso de mascarilla constituye una injerencia en la libertad del individuo (art. 1.1 CE), la dignidad de la persona y el libre desarrollo de la personalidad (art. 10.1 CE), la libertad personal (art. 17 CE), la libertad de circulación (art. 19 CE), el derecho de reunión (art. 21 CE), el derecho a la intimidad personal y familiar y a la propia imagen (art. 18 CE) “en cuanto se condiciona la proyección pública personal al uso de la mascarilla”. Asimismo, estima que supone la imposición de una prestación personal y patrimonial de carácter público, vulnerando el art. 31.3 CE. También añade que se impone esta obligación sin haber efectuado una ponderación sobre la afectación que supone al interés superior del menor (art. 39 CE). A su juicio, la injerencia en los derechos y libertades antes referidos resulta manifiestamente desproporcionada, al haberse impuesto el uso de mascarillas, de manera generalizada, a los niños mayores de seis años y menores de once años, sin ponderar circunstancia alguna.</w:t>
      </w:r>
    </w:p>
    <w:p w14:paraId="001E2ACA" w14:textId="77777777" w:rsidR="00A8138F" w:rsidRDefault="00A8138F" w:rsidP="00A8138F">
      <w:pPr>
        <w:pStyle w:val="TextoNormal"/>
      </w:pPr>
    </w:p>
    <w:p w14:paraId="0DFA33B6" w14:textId="77777777" w:rsidR="00A8138F" w:rsidRDefault="00A8138F" w:rsidP="00A8138F">
      <w:pPr>
        <w:pStyle w:val="TextoNormal"/>
      </w:pPr>
      <w:r>
        <w:t xml:space="preserve">C) </w:t>
      </w:r>
      <w:r w:rsidRPr="00A8138F">
        <w:rPr>
          <w:i/>
        </w:rPr>
        <w:t>Vulneración del art. 24 CE por tratarse de un decreto-ley autoaplicativo que vulnera las exigencias constitucionales para esta tipología normativa</w:t>
      </w:r>
    </w:p>
    <w:p w14:paraId="24A14570" w14:textId="77777777" w:rsidR="00A8138F" w:rsidRDefault="00A8138F" w:rsidP="00A8138F">
      <w:pPr>
        <w:pStyle w:val="TextoNormal"/>
      </w:pPr>
    </w:p>
    <w:p w14:paraId="3DB1FC34" w14:textId="77777777" w:rsidR="00A8138F" w:rsidRDefault="00A8138F" w:rsidP="00A8138F">
      <w:pPr>
        <w:pStyle w:val="TextoNormal"/>
      </w:pPr>
      <w:r>
        <w:t>Para la demanda el carácter autoaplicativo del Decreto-ley 11/2021 es evidente. De acuerdo con el tenor literal de los arts. 3.4, 22.2, 23.1, 25, 26, 27 y 28, la disposición transitoria segunda y el anexo III, resulta que el Decreto-ley 11/2021 define cuatro niveles de alerta en función del riesgo, para cuya declaración ha de atenderse a los niveles de transmisión, en los términos dispuestos por el Consejo Interterritorial del Sistema Nacional de Salud (art. 22). Una vez publicados estos niveles de alerta, se aplican automáticamente todas las restricciones y limitaciones de derechos previstas en el decreto-ley para cada nivel de alerta “sin necesidad de mediar disposición o acto alguno, salvo el acceso a los niveles 3 y 4 que se producirá a los cuatro días naturales de dicha publicación, también de forma automática”. Del mismo modo, tampoco la imposición de las medidas recogidas en el anexo III requiere de acto alguno de aplicación, pues obligarán de manera automática cualquiera que sea el nivel de alerta que se implante.</w:t>
      </w:r>
    </w:p>
    <w:p w14:paraId="5F6934FB" w14:textId="77777777" w:rsidR="00A8138F" w:rsidRDefault="00A8138F" w:rsidP="00A8138F">
      <w:pPr>
        <w:pStyle w:val="TextoNormal"/>
      </w:pPr>
    </w:p>
    <w:p w14:paraId="59CBA90F" w14:textId="77777777" w:rsidR="00A8138F" w:rsidRDefault="00A8138F" w:rsidP="00A8138F">
      <w:pPr>
        <w:pStyle w:val="TextoNormal"/>
      </w:pPr>
      <w:r>
        <w:t>A juicio de los recurrentes, se está utilizando la reserva de ley para operar una inconstitucional restricción del derecho a la tutela judicial efectiva, impidiendo la impugnación de las medidas ante la jurisdicción contencioso-administrativa y que esta pueda enjuiciar la concreta aplicación de las restricciones, el procedimiento para su aplicación o la proporcionalidad de las limitaciones de derechos fundamentales, dado que es la norma autoaplicativa la que las impone en cada caso.</w:t>
      </w:r>
    </w:p>
    <w:p w14:paraId="2124AC7D" w14:textId="77777777" w:rsidR="00A8138F" w:rsidRDefault="00A8138F" w:rsidP="00A8138F">
      <w:pPr>
        <w:pStyle w:val="TextoNormal"/>
      </w:pPr>
    </w:p>
    <w:p w14:paraId="5F5678CC" w14:textId="77777777" w:rsidR="00A8138F" w:rsidRDefault="00A8138F" w:rsidP="00A8138F">
      <w:pPr>
        <w:pStyle w:val="TextoNormal"/>
      </w:pPr>
      <w:r>
        <w:t xml:space="preserve">D) </w:t>
      </w:r>
      <w:r w:rsidRPr="00A8138F">
        <w:rPr>
          <w:i/>
        </w:rPr>
        <w:t>Inconstitucionalidad de los arts. 6.1 y 2; 9.1; 12.1 a) y b), 2, 5 y 6; 14.2 y 3; 15.7; 19.3 y 4; 25.2; 27.2 y 28.2, 10, 11 y 26 a 32, del Decreto-ley 11/2021, por infracción del art. 81 CE, en relación con los arts. 15, 17, 18, 19, 21, 24 y 25 CE</w:t>
      </w:r>
    </w:p>
    <w:p w14:paraId="25B42EAF" w14:textId="77777777" w:rsidR="00A8138F" w:rsidRDefault="00A8138F" w:rsidP="00A8138F">
      <w:pPr>
        <w:pStyle w:val="TextoNormal"/>
      </w:pPr>
    </w:p>
    <w:p w14:paraId="381FB0E2" w14:textId="77777777" w:rsidR="00A8138F" w:rsidRDefault="00A8138F" w:rsidP="00A8138F">
      <w:pPr>
        <w:pStyle w:val="TextoNormal"/>
      </w:pPr>
      <w:r>
        <w:lastRenderedPageBreak/>
        <w:t>Subsidiariamente, para el improbable supuesto de que no se estimara la infracción del art. 86.1 CE por vulneración de los límites materiales de los decretos-leyes, afirma la demanda que estos preceptos inciden de manera intensa en los elementos esenciales de los derechos fundamentales reconocidos en los arts. 15, 17, 18, 19 y 21 CE, fijando sus límites en atención a la protección del derecho a la salud (art. 43 CE), que su regulación está reservada al legislador orgánico (art. 81.1 CE).</w:t>
      </w:r>
    </w:p>
    <w:p w14:paraId="2EF6C7CE" w14:textId="77777777" w:rsidR="00A8138F" w:rsidRDefault="00A8138F" w:rsidP="00A8138F">
      <w:pPr>
        <w:pStyle w:val="TextoNormal"/>
      </w:pPr>
    </w:p>
    <w:p w14:paraId="4EB80BB5" w14:textId="77777777" w:rsidR="00A8138F" w:rsidRDefault="00A8138F" w:rsidP="00A8138F">
      <w:pPr>
        <w:pStyle w:val="TextoNormal"/>
      </w:pPr>
      <w:r>
        <w:t xml:space="preserve">E) </w:t>
      </w:r>
      <w:r w:rsidRPr="00A8138F">
        <w:rPr>
          <w:i/>
        </w:rPr>
        <w:t>Inconstitucionalidad de los arts. 5.2; 25.8; 26.8; 27.8 y 28.8 del Decreto-ley 11/2021, por vulneración de los arts. 18 y 38 CE</w:t>
      </w:r>
    </w:p>
    <w:p w14:paraId="4B782E4E" w14:textId="77777777" w:rsidR="00A8138F" w:rsidRDefault="00A8138F" w:rsidP="00A8138F">
      <w:pPr>
        <w:pStyle w:val="TextoNormal"/>
      </w:pPr>
    </w:p>
    <w:p w14:paraId="779AD22D" w14:textId="77777777" w:rsidR="00A8138F" w:rsidRDefault="00A8138F" w:rsidP="00A8138F">
      <w:pPr>
        <w:pStyle w:val="TextoNormal"/>
      </w:pPr>
      <w:r>
        <w:t>El art. 5.2 del Decreto-ley 11/2021 impone a los empresarios de las actividades o negocios que se determinen por las autoridades sanitarias la obligación de “recabar información de las personas empleadas, usuarias o participantes, que deberán facilitarla para la trazabilidad de contagios y contactos, como condición para la realización de tales actividades o negocios”. De igual manera, los arts. 25.8, 26.8, 27.8 y 28.8 del Decreto-ley 11/2021, con expresa remisión al art. 5.2 y para cada uno de los cuatro niveles de alerta previstos, imponen a las personas responsables de los establecimientos y actividades de ocio nocturno, la obligación de “recabar información de las personas empleadas, usuarias o participantes […] para la trazabilidad de contagios y contactos”.</w:t>
      </w:r>
    </w:p>
    <w:p w14:paraId="41464FFA" w14:textId="77777777" w:rsidR="00A8138F" w:rsidRDefault="00A8138F" w:rsidP="00A8138F">
      <w:pPr>
        <w:pStyle w:val="TextoNormal"/>
      </w:pPr>
    </w:p>
    <w:p w14:paraId="390AD1CA" w14:textId="77777777" w:rsidR="00A8138F" w:rsidRDefault="00A8138F" w:rsidP="00A8138F">
      <w:pPr>
        <w:pStyle w:val="TextoNormal"/>
      </w:pPr>
      <w:r>
        <w:t>En virtud de estos preceptos, se impone a los empresarios, como requisito para el ejercicio de la actividad o empresa propia: (i) recabar sin autorización de la persona afectada ni resolución judicial motivada, información personal relativa a la salud de sus empleados, usuarios o partícipes, con clara vulneración del art. 18.1 CE y (ii) mantener un registro de tales datos, igualmente sin el consentimiento de las personas afectadas ni resolución judicial motivada y sin que los titulares de tales datos tengan derecho a objetar su registro ni a obtener la modificación o supresión de los datos, todo ello con manifiesta infracción del art. 18.4 CE.</w:t>
      </w:r>
    </w:p>
    <w:p w14:paraId="16722961" w14:textId="77777777" w:rsidR="00A8138F" w:rsidRDefault="00A8138F" w:rsidP="00A8138F">
      <w:pPr>
        <w:pStyle w:val="TextoNormal"/>
      </w:pPr>
    </w:p>
    <w:p w14:paraId="2FA6A2D2" w14:textId="77777777" w:rsidR="00A8138F" w:rsidRDefault="00A8138F" w:rsidP="00A8138F">
      <w:pPr>
        <w:pStyle w:val="TextoNormal"/>
      </w:pPr>
      <w:r>
        <w:t>Estas inconstitucionales obligaciones se imponen al empresario con la amenaza del cierre de su empresa o establecimiento y, por lo tanto, con vulneración del art. 38 CE.</w:t>
      </w:r>
    </w:p>
    <w:p w14:paraId="580F55F8" w14:textId="77777777" w:rsidR="00A8138F" w:rsidRDefault="00A8138F" w:rsidP="00A8138F">
      <w:pPr>
        <w:pStyle w:val="TextoNormal"/>
      </w:pPr>
    </w:p>
    <w:p w14:paraId="51B4CCB1" w14:textId="77777777" w:rsidR="00A8138F" w:rsidRDefault="00A8138F" w:rsidP="00A8138F">
      <w:pPr>
        <w:pStyle w:val="TextoNormal"/>
      </w:pPr>
      <w:r>
        <w:t xml:space="preserve">F) </w:t>
      </w:r>
      <w:r w:rsidRPr="00A8138F">
        <w:rPr>
          <w:i/>
        </w:rPr>
        <w:t>Inconstitucionalidad del Decreto-ley 11/2021 por vulneración del marco constitucional de distribución de competencias</w:t>
      </w:r>
    </w:p>
    <w:p w14:paraId="2586AA62" w14:textId="77777777" w:rsidR="00A8138F" w:rsidRDefault="00A8138F" w:rsidP="00A8138F">
      <w:pPr>
        <w:pStyle w:val="TextoNormal"/>
      </w:pPr>
    </w:p>
    <w:p w14:paraId="3ED24C57" w14:textId="77777777" w:rsidR="00A8138F" w:rsidRDefault="00A8138F" w:rsidP="00A8138F">
      <w:pPr>
        <w:pStyle w:val="TextoNormal"/>
      </w:pPr>
      <w:r>
        <w:t>La demanda dedica su último motivo de impugnación a denunciar la inconstitucionalidad del Decreto-ley 11/2021, por vulneración de las competencias estatales previstas en el art. 149.1.1 y 149.1.16 CE.</w:t>
      </w:r>
    </w:p>
    <w:p w14:paraId="14B8E6DB" w14:textId="77777777" w:rsidR="00A8138F" w:rsidRDefault="00A8138F" w:rsidP="00A8138F">
      <w:pPr>
        <w:pStyle w:val="TextoNormal"/>
      </w:pPr>
    </w:p>
    <w:p w14:paraId="0F1D3235" w14:textId="77777777" w:rsidR="00A8138F" w:rsidRDefault="00A8138F" w:rsidP="00A8138F">
      <w:pPr>
        <w:pStyle w:val="TextoNormal"/>
      </w:pPr>
      <w:r>
        <w:t>En concreto, la definición de las medidas limitativas de derechos fundamentales ante una crisis sanitaria constituye legislación estatal que tiende a garantizar la igualdad en el acceso al derecho previsto en el art. 43 CE, cuya observancia se vería gravemente afectada si se admitiese la incidencia de la legislación autonómica sobre tal definición.</w:t>
      </w:r>
    </w:p>
    <w:p w14:paraId="3E29B2D6" w14:textId="77777777" w:rsidR="00A8138F" w:rsidRDefault="00A8138F" w:rsidP="00A8138F">
      <w:pPr>
        <w:pStyle w:val="TextoNormal"/>
      </w:pPr>
    </w:p>
    <w:p w14:paraId="450215F6" w14:textId="77777777" w:rsidR="00A8138F" w:rsidRDefault="00A8138F" w:rsidP="00A8138F">
      <w:pPr>
        <w:pStyle w:val="TextoNormal"/>
      </w:pPr>
      <w:r>
        <w:t xml:space="preserve">Por otra parte, se ha de tener en cuenta la competencia estatal en “sanidad exterior” y sobre las “bases y coordinación general de la sanidad”. Si se ponen en relación las facultades de coordinación en materia sanitaria que ostenta el Estado con la existencia de un interés nacional reflejado en el alcance y dimensión de la emergencia, se hace imprescindible una </w:t>
      </w:r>
      <w:r>
        <w:lastRenderedPageBreak/>
        <w:t>coordinación y actuación conjunta de las diversas administraciones implicadas, al objeto de proveer un modelo nacional mínimo que permita la fijación de unas líneas comunes de actuación por parte del Estado.</w:t>
      </w:r>
    </w:p>
    <w:p w14:paraId="4196EDBC" w14:textId="77777777" w:rsidR="00A8138F" w:rsidRDefault="00A8138F" w:rsidP="00A8138F">
      <w:pPr>
        <w:pStyle w:val="TextoNormal"/>
      </w:pPr>
    </w:p>
    <w:p w14:paraId="37F63287" w14:textId="77777777" w:rsidR="00A8138F" w:rsidRDefault="00A8138F" w:rsidP="00A8138F">
      <w:pPr>
        <w:pStyle w:val="TextoNormal"/>
      </w:pPr>
      <w:r>
        <w:t>Ya sea desde la perspectiva del apartado primero o del apartado decimosexto del art. 149.1 CE resulta evidente que el establecimiento por razones sanitarias de supuestos en los que cabría imponer fuertes restricciones o incluso la auténtica suspensión de derechos fundamentales tan nucleares como los previstos en los arts. 15, 17, 19, 18 y 21 CE, es una competencia exclusiva del Estado, que no puede abordarse desde una perspectiva puramente territorial.</w:t>
      </w:r>
    </w:p>
    <w:p w14:paraId="6153AAE9" w14:textId="77777777" w:rsidR="00A8138F" w:rsidRDefault="00A8138F" w:rsidP="00A8138F">
      <w:pPr>
        <w:pStyle w:val="TextoNormal"/>
      </w:pPr>
    </w:p>
    <w:p w14:paraId="0F1C6865" w14:textId="73F511FB" w:rsidR="00A8138F" w:rsidRDefault="00A8138F" w:rsidP="00A8138F">
      <w:pPr>
        <w:pStyle w:val="TextoNormal"/>
      </w:pPr>
      <w:r>
        <w:t>La demanda concluye suplicando que se dicte sentencia por la que se declare la inconstitucionalidad y nulidad del Decreto-ley 11/2021 y, subsidiariamente, la de los arts. 1; 2; 3.4; 5.2; 6.1 y 2; 7.4; 9.1; 12.1 a) y b), 2, 5 y 6; 14.2; 15.7; 19.3 y 4; 21.3; 22.2, 3 y 4; 23.1, 2 y 3; 24.3; 25; 26; 27 y 28; las disposiciones transitoria segunda y final primera, en cuanto da nueva redacción a los apartados segundo y tercero del art. 28 de la Ley del Parlamento de Canarias 11/1994, y el anexo III del citado Decreto-ley 11/2021.</w:t>
      </w:r>
    </w:p>
    <w:p w14:paraId="25208808" w14:textId="77777777" w:rsidR="00A8138F" w:rsidRDefault="00A8138F" w:rsidP="00A8138F">
      <w:pPr>
        <w:pStyle w:val="TextoNormal"/>
      </w:pPr>
    </w:p>
    <w:p w14:paraId="2394E7E3" w14:textId="31A74182" w:rsidR="00A8138F" w:rsidRDefault="00A8138F" w:rsidP="00A8138F">
      <w:pPr>
        <w:pStyle w:val="TextoNormal"/>
      </w:pPr>
      <w:r w:rsidRPr="00A8138F">
        <w:rPr>
          <w:rStyle w:val="NumeroAFNegritaCaracter"/>
        </w:rPr>
        <w:t>2</w:t>
      </w:r>
      <w:r>
        <w:t>. Por providencia de 27 de enero de 2022, el Pleno del Tribunal Constitucional acordó admitir a trámite el recurso de inconstitucionalidad y dar traslado de la demanda y de los documentos presentados, conforme establece el art. 34 de la Ley Orgánica 2/1979, de 3 de octubre, del Tribunal Constitucional (LOTC), al Congreso de los Diputados y al Senado, por conducto de sus presidentes, y al Gobierno, a través de la ministra de Justicia, así como al Parlamento de Canarias y al Gobierno de Canarias, por conducto de sus presidentes, al objeto de que, en el plazo de quince días, puedan personarse en el proceso y formular las alegaciones que estimaren convenientes. Asimismo, se acordó publicar la incoación del recurso en el “Boletín Oficial del Estado”.</w:t>
      </w:r>
    </w:p>
    <w:p w14:paraId="37317991" w14:textId="77777777" w:rsidR="00A8138F" w:rsidRDefault="00A8138F" w:rsidP="00A8138F">
      <w:pPr>
        <w:pStyle w:val="TextoNormal"/>
      </w:pPr>
    </w:p>
    <w:p w14:paraId="3A263206" w14:textId="6659EDEA" w:rsidR="00A8138F" w:rsidRDefault="00A8138F" w:rsidP="00A8138F">
      <w:pPr>
        <w:pStyle w:val="TextoNormal"/>
      </w:pPr>
      <w:r w:rsidRPr="00A8138F">
        <w:rPr>
          <w:rStyle w:val="NumeroAFNegritaCaracter"/>
        </w:rPr>
        <w:t>3</w:t>
      </w:r>
      <w:r>
        <w:t>. Por escrito presentado en este tribunal el día 10 de febrero de 2022, el presidente del Senado comunica el acuerdo de la mesa de la Cámara de personarse en el procedimiento, ofreciendo su colaboración a los efectos del artículo 88.1 LOTC.</w:t>
      </w:r>
    </w:p>
    <w:p w14:paraId="2F46A694" w14:textId="77777777" w:rsidR="00A8138F" w:rsidRDefault="00A8138F" w:rsidP="00A8138F">
      <w:pPr>
        <w:pStyle w:val="TextoNormal"/>
      </w:pPr>
    </w:p>
    <w:p w14:paraId="48F123DF" w14:textId="42428BBD" w:rsidR="00A8138F" w:rsidRDefault="00A8138F" w:rsidP="00A8138F">
      <w:pPr>
        <w:pStyle w:val="TextoNormal"/>
      </w:pPr>
      <w:r w:rsidRPr="00A8138F">
        <w:rPr>
          <w:rStyle w:val="NumeroAFNegritaCaracter"/>
        </w:rPr>
        <w:t>4</w:t>
      </w:r>
      <w:r>
        <w:t>. Por escrito presentado el día 15 de febrero de 2022, la letrada de la Viceconsejería de los Servicios Jurídicos del Gobierno de Canarias se personó en el procedimiento, solicitando la prórroga del plazo para formular alegaciones por ocho días a contar desde la expiración del plazo ordinario.</w:t>
      </w:r>
    </w:p>
    <w:p w14:paraId="70CBC70F" w14:textId="77777777" w:rsidR="00A8138F" w:rsidRDefault="00A8138F" w:rsidP="00A8138F">
      <w:pPr>
        <w:pStyle w:val="TextoNormal"/>
      </w:pPr>
    </w:p>
    <w:p w14:paraId="2B5078BC" w14:textId="7E39C935" w:rsidR="00A8138F" w:rsidRDefault="00A8138F" w:rsidP="00A8138F">
      <w:pPr>
        <w:pStyle w:val="TextoNormal"/>
      </w:pPr>
      <w:r w:rsidRPr="00A8138F">
        <w:rPr>
          <w:rStyle w:val="NumeroAFNegritaCaracter"/>
        </w:rPr>
        <w:t>5</w:t>
      </w:r>
      <w:r>
        <w:t>. Por diligencia de ordenación de 16 de febrero de 2022, se tuvo por personada a la letrada de la Viceconsejería de los Servicios Jurídicos del Gobierno de Canarias, en nombre del Gobierno de Canarias, y se acordó prorrogar en ocho días el plazo concedido para formular alegaciones.</w:t>
      </w:r>
    </w:p>
    <w:p w14:paraId="4A718A99" w14:textId="77777777" w:rsidR="00A8138F" w:rsidRDefault="00A8138F" w:rsidP="00A8138F">
      <w:pPr>
        <w:pStyle w:val="TextoNormal"/>
      </w:pPr>
    </w:p>
    <w:p w14:paraId="0101592E" w14:textId="2BC6ECF7" w:rsidR="00A8138F" w:rsidRDefault="00A8138F" w:rsidP="00A8138F">
      <w:pPr>
        <w:pStyle w:val="TextoNormal"/>
      </w:pPr>
      <w:r w:rsidRPr="00A8138F">
        <w:rPr>
          <w:rStyle w:val="NumeroAFNegritaCaracter"/>
        </w:rPr>
        <w:t>6</w:t>
      </w:r>
      <w:r>
        <w:t>. Mediante escrito registrado el día 17 de febrero de 2022, la presidenta del Congreso de los Diputados comunicó el acuerdo de la mesa de la Cámara de personarse en el procedimiento, ofreciendo su colaboración a los efectos del art. 88.1 LOTC.</w:t>
      </w:r>
    </w:p>
    <w:p w14:paraId="2FD71F09" w14:textId="77777777" w:rsidR="00A8138F" w:rsidRDefault="00A8138F" w:rsidP="00A8138F">
      <w:pPr>
        <w:pStyle w:val="TextoNormal"/>
      </w:pPr>
    </w:p>
    <w:p w14:paraId="0D18D779" w14:textId="121C1923" w:rsidR="00A8138F" w:rsidRDefault="00A8138F" w:rsidP="00A8138F">
      <w:pPr>
        <w:pStyle w:val="TextoNormal"/>
      </w:pPr>
      <w:r w:rsidRPr="00A8138F">
        <w:rPr>
          <w:rStyle w:val="NumeroAFNegritaCaracter"/>
        </w:rPr>
        <w:lastRenderedPageBreak/>
        <w:t>7</w:t>
      </w:r>
      <w:r>
        <w:t>. El abogado del Estado, en la representación que legalmente ostenta, por escrito registrado en este tribunal el día 18 de febrero de 2022, manifestó que se personaba en el presente procedimiento sin formular alegaciones, a los efectos exclusivamente de que en su día se le notificasen las resoluciones que en él se dictaran.</w:t>
      </w:r>
    </w:p>
    <w:p w14:paraId="37D5F6CD" w14:textId="77777777" w:rsidR="00A8138F" w:rsidRDefault="00A8138F" w:rsidP="00A8138F">
      <w:pPr>
        <w:pStyle w:val="TextoNormal"/>
      </w:pPr>
    </w:p>
    <w:p w14:paraId="48C203E8" w14:textId="561CC00F" w:rsidR="00A8138F" w:rsidRDefault="00A8138F" w:rsidP="00A8138F">
      <w:pPr>
        <w:pStyle w:val="TextoNormal"/>
      </w:pPr>
      <w:r w:rsidRPr="00A8138F">
        <w:rPr>
          <w:rStyle w:val="NumeroAFNegritaCaracter"/>
        </w:rPr>
        <w:t>8</w:t>
      </w:r>
      <w:r>
        <w:t>. Por escrito de 23 de febrero de 2022, el letrado-secretario general del Parlamento de Canarias, en representación de este, se personó en el procedimiento y solicitó la ampliación del plazo para formular alegaciones.</w:t>
      </w:r>
    </w:p>
    <w:p w14:paraId="45600940" w14:textId="77777777" w:rsidR="00A8138F" w:rsidRDefault="00A8138F" w:rsidP="00A8138F">
      <w:pPr>
        <w:pStyle w:val="TextoNormal"/>
      </w:pPr>
    </w:p>
    <w:p w14:paraId="5DBE79E1" w14:textId="6F568F0B" w:rsidR="00A8138F" w:rsidRDefault="00A8138F" w:rsidP="00A8138F">
      <w:pPr>
        <w:pStyle w:val="TextoNormal"/>
      </w:pPr>
      <w:r w:rsidRPr="00A8138F">
        <w:rPr>
          <w:rStyle w:val="NumeroAFNegritaCaracter"/>
        </w:rPr>
        <w:t>9</w:t>
      </w:r>
      <w:r>
        <w:t>. Por diligencia de ordenación de 23 de febrero de 2022, se tuvo por personado al letrado-secretario general del Parlamento de Canarias, en representación de dicha cámara, y se acordó prorrogar en ocho días el plazo concedido para formular alegaciones.</w:t>
      </w:r>
    </w:p>
    <w:p w14:paraId="1BA038CD" w14:textId="77777777" w:rsidR="00A8138F" w:rsidRDefault="00A8138F" w:rsidP="00A8138F">
      <w:pPr>
        <w:pStyle w:val="TextoNormal"/>
      </w:pPr>
    </w:p>
    <w:p w14:paraId="69D8D561" w14:textId="77777777" w:rsidR="00A8138F" w:rsidRDefault="00A8138F" w:rsidP="00A8138F">
      <w:pPr>
        <w:pStyle w:val="TextoNormal"/>
      </w:pPr>
      <w:r w:rsidRPr="00A8138F">
        <w:rPr>
          <w:rStyle w:val="NumeroAFNegritaCaracter"/>
        </w:rPr>
        <w:t>10</w:t>
      </w:r>
      <w:r>
        <w:t>. La letrada del Gobierno de Canarias presentó escrito de alegaciones el 9 de marzo de 2022, en el que suplica que se dicte sentencia en la que no sean objeto de enjuiciamiento, por insuficiente argumentación, los motivos de impugnación relacionados con los arts. 4, 8, 10, 11, 13, 14, 15, 16, 17, 18 y 20, las disposiciones adicional única, transitoria primera, final primera y derogatoria única, y los anexos I y II del Decreto-ley 11/2021, así como los relacionados con la infracción de los arts. 17, 21, 24, 25 y 55 CE, y que se desestime el recurso de inconstitucionalidad en todo lo demás o, alternativamente, se desestime íntegramente el recurso de inconstitucionalidad.</w:t>
      </w:r>
    </w:p>
    <w:p w14:paraId="246A3C7E" w14:textId="77777777" w:rsidR="00A8138F" w:rsidRDefault="00A8138F" w:rsidP="00A8138F">
      <w:pPr>
        <w:pStyle w:val="TextoNormal"/>
      </w:pPr>
    </w:p>
    <w:p w14:paraId="12A528AF" w14:textId="77777777" w:rsidR="00A8138F" w:rsidRDefault="00A8138F" w:rsidP="00A8138F">
      <w:pPr>
        <w:pStyle w:val="TextoNormal"/>
      </w:pPr>
      <w:r>
        <w:t>A) El Gobierno de Canarias comienza sus alegaciones exponiendo que lo relevante para resolver el presente recurso de inconstitucionalidad es que la legislación estatal en materia sanitaria autoriza la limitación de derechos fundamentales siempre que se den las condiciones previstas en la misma y que se concretan en la identificación con suficiente claridad del peligro grave para la salud pública derivado de una enfermedad transmisible que es preciso conjurar para preservar el derecho a la salud y a la vida; el establecimiento de la extensión de ese riesgo desde el punto de vista subjetivo, espacial y temporal; y la justificación de la idoneidad y proporcionalidad de los medios que se establezcan.</w:t>
      </w:r>
    </w:p>
    <w:p w14:paraId="2836952D" w14:textId="77777777" w:rsidR="00A8138F" w:rsidRDefault="00A8138F" w:rsidP="00A8138F">
      <w:pPr>
        <w:pStyle w:val="TextoNormal"/>
      </w:pPr>
    </w:p>
    <w:p w14:paraId="4C35FB74" w14:textId="77777777" w:rsidR="00A8138F" w:rsidRDefault="00A8138F" w:rsidP="00A8138F">
      <w:pPr>
        <w:pStyle w:val="TextoNormal"/>
      </w:pPr>
      <w:r>
        <w:t>Por ello, afirma que las disposiciones impugnadas tienen su fundamento en el art. 43 CE, así como en la Ley Orgánica 3/1986, la Ley 14/1986, de 25 de abril, y la Ley 33/2011. Además, defiende que la Comunidad Autónoma de Canarias actúa en el ejercicio de sus competencias con arreglo a lo previsto en el art. 148.1.21 CE y en el art. 141.2 b) de la Ley Orgánica 1/2018, de 5 de noviembre, de reforma del Estatuto de Autonomía de Canarias (EACan).</w:t>
      </w:r>
    </w:p>
    <w:p w14:paraId="68EE61DA" w14:textId="77777777" w:rsidR="00A8138F" w:rsidRDefault="00A8138F" w:rsidP="00A8138F">
      <w:pPr>
        <w:pStyle w:val="TextoNormal"/>
      </w:pPr>
    </w:p>
    <w:p w14:paraId="2E8BA499" w14:textId="77777777" w:rsidR="00A8138F" w:rsidRDefault="00A8138F" w:rsidP="00A8138F">
      <w:pPr>
        <w:pStyle w:val="TextoNormal"/>
      </w:pPr>
      <w:r>
        <w:t>A juicio del Gobierno autonómico, lo que ha de analizarse en este proceso es si las medidas contenidas en la norma impugnada exceden el alcance constitucionalmente posible en el ejercicio de la competencia legislativa autonómica o, en su caso, en el ejercicio que corresponde al legislador autonómico de urgencia, en un ámbito en el que la legislación estatal de rango ordinario y orgánico ofrece amplia cobertura para las determinaciones restrictivas de derechos fundamentales que las autoridades sanitarias puedan adoptar para afrontar la presente crisis sanitaria.</w:t>
      </w:r>
    </w:p>
    <w:p w14:paraId="46892DF7" w14:textId="77777777" w:rsidR="00A8138F" w:rsidRDefault="00A8138F" w:rsidP="00A8138F">
      <w:pPr>
        <w:pStyle w:val="TextoNormal"/>
      </w:pPr>
    </w:p>
    <w:p w14:paraId="2EBCF830" w14:textId="77777777" w:rsidR="00A8138F" w:rsidRDefault="00A8138F" w:rsidP="00A8138F">
      <w:pPr>
        <w:pStyle w:val="TextoNormal"/>
      </w:pPr>
      <w:r>
        <w:lastRenderedPageBreak/>
        <w:t>B) En segundo lugar, reprocha a los recurrentes que la demanda obvie que el Decreto-ley 11/2021 se adopta en el marco de la pandemia del coronavirus, una situación que carece de precedente alguno en nuestro sistema constitucional. En este contexto, la protección de la vida (art. 15 CE) y de la salud (art. 43 CE) es una finalidad constitucionalmente legítima para adoptar las medidas impugnadas, más aún en una situación extraordinaria como la existente a partir de marzo de 2020. Y, en relación con esta consideración, también destaca que los recurrentes no hayan cuestionado en ningún momento la concurrencia del presupuesto habilitante del citado decreto-ley.</w:t>
      </w:r>
    </w:p>
    <w:p w14:paraId="23A14435" w14:textId="77777777" w:rsidR="00A8138F" w:rsidRDefault="00A8138F" w:rsidP="00A8138F">
      <w:pPr>
        <w:pStyle w:val="TextoNormal"/>
      </w:pPr>
    </w:p>
    <w:p w14:paraId="6640FCEE" w14:textId="77777777" w:rsidR="00A8138F" w:rsidRDefault="00A8138F" w:rsidP="00A8138F">
      <w:pPr>
        <w:pStyle w:val="TextoNormal"/>
      </w:pPr>
      <w:r>
        <w:t>C) En tercer lugar, y antes de adentrarse en la oposición a los motivos de impugnación en los que se basa el recurso de inconstitucionalidad, señala que la demanda incurre en una falta de carga argumentativa en buena parte de sus impugnaciones. Apunta que este vicio unas veces afecta al sentido de las objeciones formuladas, en otras al parámetro de control que se propone y en otras al objeto de las objeciones formuladas, pues no se aprecia la conexión con muchos de los artículos y disposiciones que se impugnan de forma principal.</w:t>
      </w:r>
    </w:p>
    <w:p w14:paraId="76902993" w14:textId="77777777" w:rsidR="00A8138F" w:rsidRDefault="00A8138F" w:rsidP="00A8138F">
      <w:pPr>
        <w:pStyle w:val="TextoNormal"/>
      </w:pPr>
    </w:p>
    <w:p w14:paraId="5594EE56" w14:textId="77777777" w:rsidR="00A8138F" w:rsidRDefault="00A8138F" w:rsidP="00A8138F">
      <w:pPr>
        <w:pStyle w:val="TextoNormal"/>
      </w:pPr>
      <w:r>
        <w:t>D) Hechas las consideraciones anteriores, aborda en primer lugar la denunciada inconstitucionalidad del Decreto-ley 11/2021 por vulneración del marco constitucional de distribución de competencias. A este respecto, defiende la competencia incontrovertida de la Comunidad Autónoma de Canarias para legislar en materia sanitaria, en virtud del art. 141 EACan.</w:t>
      </w:r>
    </w:p>
    <w:p w14:paraId="7CC08270" w14:textId="77777777" w:rsidR="00A8138F" w:rsidRDefault="00A8138F" w:rsidP="00A8138F">
      <w:pPr>
        <w:pStyle w:val="TextoNormal"/>
      </w:pPr>
    </w:p>
    <w:p w14:paraId="7EDA7DF6" w14:textId="77777777" w:rsidR="00A8138F" w:rsidRDefault="00A8138F" w:rsidP="00A8138F">
      <w:pPr>
        <w:pStyle w:val="TextoNormal"/>
      </w:pPr>
      <w:r>
        <w:t>Dicho esto, defiende que los recurrentes no han identificado condición básica alguna adoptada en el ejercicio del art. 149.1.1 CE ni norma básica alguna adoptada en el ejercicio del art. 149.1.16 CE, que pueda contrastarse, en un análisis de constitucionalidad mediata, con alguna de las disposiciones contenidas en el Decreto-ley 11/2021. En consecuencia, solicita la inadmisión del motivo de impugnación por falta de la carga argumentativa mínima. Subsidiariamente, solicita la desestimación de la queja porque la Comunidad Autónoma de Canarias ejerce su competencia legislativa directamente a partir de la Constitución y de su estatuto de autonomía, con pleno respeto de las disposiciones estatales que resultan aplicables. De hecho, los recurrentes no han hecho un análisis de constitucionalidad mediata y ello se debe a que el Decreto-ley 11/2021 no incurre en contradicción alguna con la legislación estatal, sino que la complementa.</w:t>
      </w:r>
    </w:p>
    <w:p w14:paraId="0ED775B9" w14:textId="77777777" w:rsidR="00A8138F" w:rsidRDefault="00A8138F" w:rsidP="00A8138F">
      <w:pPr>
        <w:pStyle w:val="TextoNormal"/>
      </w:pPr>
    </w:p>
    <w:p w14:paraId="6D3EA364" w14:textId="77777777" w:rsidR="00A8138F" w:rsidRDefault="00A8138F" w:rsidP="00A8138F">
      <w:pPr>
        <w:pStyle w:val="TextoNormal"/>
      </w:pPr>
      <w:r>
        <w:t xml:space="preserve">E) A continuación, el escrito se centra en la impugnación del Decreto-ley 11/2021 por vulneración del art. 24 CE, en relación con el carácter autoaplicativo del mismo. En este punto, el Gobierno de Canarias defiende que los recurrentes parten de la premisa errónea de que toda ley autoaplicativa es una ley singular y, sin embargo, la doctrina constitucional sobre las leyes singulares se refiere a los actos materialmente administrativos que se adoptan bajo la forma de una norma con rango de ley. Para el Gobierno autonómico, no hay ninguna duda de que el Decreto-ley 11/2021 no constituye una ley singular, sino que contiene una regulación abstracta y general, por específica que sea la situación que la motiva. En fin, este mismo motivo de impugnación fue desestimado </w:t>
      </w:r>
      <w:r w:rsidRPr="00A8138F">
        <w:rPr>
          <w:i/>
        </w:rPr>
        <w:t>ab initio</w:t>
      </w:r>
      <w:r>
        <w:t xml:space="preserve"> por la STC 183/2021.</w:t>
      </w:r>
    </w:p>
    <w:p w14:paraId="3BC8CAB5" w14:textId="77777777" w:rsidR="00A8138F" w:rsidRDefault="00A8138F" w:rsidP="00A8138F">
      <w:pPr>
        <w:pStyle w:val="TextoNormal"/>
      </w:pPr>
    </w:p>
    <w:p w14:paraId="4235ED41" w14:textId="77777777" w:rsidR="00A8138F" w:rsidRDefault="00A8138F" w:rsidP="00A8138F">
      <w:pPr>
        <w:pStyle w:val="TextoNormal"/>
      </w:pPr>
      <w:r>
        <w:t xml:space="preserve">F) Acto seguido, aborda la impugnación basada en la vulneración de los arts. 116, 55 y 38 CE, por regular el Decreto-ley 11/2021 un estado de excepción, si bien con carácter preliminar apunta que la queja basada en el art. 38 CE será examinada más adelante, así como que la referencia a la vulneración del art. 25 CE se efectúa en el encabezamiento, </w:t>
      </w:r>
      <w:r>
        <w:lastRenderedPageBreak/>
        <w:t>después no se desarrolla fundamentación alguna sobre la misma, por lo que carece de argumentación suficiente.</w:t>
      </w:r>
    </w:p>
    <w:p w14:paraId="6E54A98F" w14:textId="77777777" w:rsidR="00A8138F" w:rsidRDefault="00A8138F" w:rsidP="00A8138F">
      <w:pPr>
        <w:pStyle w:val="TextoNormal"/>
      </w:pPr>
    </w:p>
    <w:p w14:paraId="4671E707" w14:textId="77777777" w:rsidR="00A8138F" w:rsidRDefault="00A8138F" w:rsidP="00A8138F">
      <w:pPr>
        <w:pStyle w:val="TextoNormal"/>
      </w:pPr>
      <w:r>
        <w:t>Sobre la infracción de los arts. 116 y 55 CE, el Gobierno de Canarias expone:</w:t>
      </w:r>
    </w:p>
    <w:p w14:paraId="3F428E67" w14:textId="77777777" w:rsidR="00A8138F" w:rsidRDefault="00A8138F" w:rsidP="00A8138F">
      <w:pPr>
        <w:pStyle w:val="TextoNormal"/>
      </w:pPr>
    </w:p>
    <w:p w14:paraId="5414D669" w14:textId="77777777" w:rsidR="00A8138F" w:rsidRDefault="00A8138F" w:rsidP="00A8138F">
      <w:pPr>
        <w:pStyle w:val="TextoNormal"/>
      </w:pPr>
      <w:r>
        <w:t>a) Ni la declaración del estado de alarma implica la exclusión de las comunidades autónomas en la lucha contra la pandemia, aun cuando el ejercicio ordinario de sus competencias pueda quedar afectado, ni tampoco la finalización del estado de alarma previamente declarado puede acarrear impedimento alguno para el ejercicio de las competencias autonómicas.</w:t>
      </w:r>
    </w:p>
    <w:p w14:paraId="451AC48D" w14:textId="77777777" w:rsidR="00A8138F" w:rsidRDefault="00A8138F" w:rsidP="00A8138F">
      <w:pPr>
        <w:pStyle w:val="TextoNormal"/>
      </w:pPr>
    </w:p>
    <w:p w14:paraId="7542992D" w14:textId="77777777" w:rsidR="00A8138F" w:rsidRDefault="00A8138F" w:rsidP="00A8138F">
      <w:pPr>
        <w:pStyle w:val="TextoNormal"/>
      </w:pPr>
      <w:r>
        <w:t>b) La circunstancia de que el Tribunal Constitucional haya declarado inconstitucional, en la STC 183/2021, la habilitación como “autoridades competentes delegadas” de los presidentes autonómicos en el estado de alarma, no implica que las comunidades autónomas no puedan ejercer sus competencias estatutarias tanto durante como, más aún, tras la finalización de los efectos de la declaración del estado de alarma.</w:t>
      </w:r>
    </w:p>
    <w:p w14:paraId="437351F4" w14:textId="77777777" w:rsidR="00A8138F" w:rsidRDefault="00A8138F" w:rsidP="00A8138F">
      <w:pPr>
        <w:pStyle w:val="TextoNormal"/>
      </w:pPr>
    </w:p>
    <w:p w14:paraId="5B9EE61B" w14:textId="77777777" w:rsidR="00A8138F" w:rsidRDefault="00A8138F" w:rsidP="00A8138F">
      <w:pPr>
        <w:pStyle w:val="TextoNormal"/>
      </w:pPr>
      <w:r>
        <w:t>c) Como subrayó la STC 183/2021, FFJJ 3 B) y 6 B), las determinaciones restrictivas de los derechos fundamentales se pueden justificar no solo en un estado de emergencia, sino también en situaciones de normalidad. De hecho, como es notorio, la legislación estatal proporciona amparo específico a restricciones de diversa intensidad con el fin de afrontar las crisis sanitarias (art. 3 de la Ley Orgánica 3/1986).</w:t>
      </w:r>
    </w:p>
    <w:p w14:paraId="4FB72C5C" w14:textId="77777777" w:rsidR="00A8138F" w:rsidRDefault="00A8138F" w:rsidP="00A8138F">
      <w:pPr>
        <w:pStyle w:val="TextoNormal"/>
      </w:pPr>
    </w:p>
    <w:p w14:paraId="49B63166" w14:textId="77777777" w:rsidR="00A8138F" w:rsidRDefault="00A8138F" w:rsidP="00A8138F">
      <w:pPr>
        <w:pStyle w:val="TextoNormal"/>
      </w:pPr>
      <w:r>
        <w:t>d) En suma, es plenamente constitucional que una comunidad autónoma ejerza sus competencias normativas en materia de sanidad en la pandemia. Por el mero hecho de ejercer sus competencias normativas y regular un sistema de alerta sanitaria, no puede considerarse que el Gobierno de Canarias esté sobrepasando o invadiendo el marco del art. 116 CE ni el marco establecido en la Ley Orgánica 4/1981, no procurándose con ello un estado de excepción alternativo o sustitutivo, so pena de vaciar completamente el alcance de las competencias autonómicas en la materia. Es evidente que la regulación incluida en el Decreto-ley 11/2021 no utiliza los conceptos o categorías constitucionales que aparecen en el art. 116 CE y se desarrollan en la Ley Orgánica 4/1981, sino otros conceptos y medidas, de naturaleza estrictamente sanitaria y preventiva, y plenamente acordes con su ámbito de competencias, por lo que difícilmente puede reprochársele haber creado una suerte de estado de alarma paralelo o sustitutivo.</w:t>
      </w:r>
    </w:p>
    <w:p w14:paraId="151F99AC" w14:textId="77777777" w:rsidR="00A8138F" w:rsidRDefault="00A8138F" w:rsidP="00A8138F">
      <w:pPr>
        <w:pStyle w:val="TextoNormal"/>
      </w:pPr>
    </w:p>
    <w:p w14:paraId="5815B23F" w14:textId="77777777" w:rsidR="00A8138F" w:rsidRDefault="00A8138F" w:rsidP="00A8138F">
      <w:pPr>
        <w:pStyle w:val="TextoNormal"/>
      </w:pPr>
      <w:r>
        <w:t>Por todo ello, este motivo de impugnación global del Decreto-ley debe ser íntegramente rechazado. Por lo demás, alega que ninguno de los restantes motivos de impugnación guarda relación alguna con los siguientes preceptos que, en ningún caso, podrían ser declarados inconstitucionales:</w:t>
      </w:r>
    </w:p>
    <w:p w14:paraId="3C2EFB10" w14:textId="77777777" w:rsidR="00A8138F" w:rsidRDefault="00A8138F" w:rsidP="00A8138F">
      <w:pPr>
        <w:pStyle w:val="TextoNormal"/>
      </w:pPr>
    </w:p>
    <w:p w14:paraId="67363A1B" w14:textId="77777777" w:rsidR="00A8138F" w:rsidRDefault="00A8138F" w:rsidP="00A8138F">
      <w:pPr>
        <w:pStyle w:val="TextoNormal"/>
      </w:pPr>
      <w:r>
        <w:t>- el art. 4, que establece el principio de precaución;</w:t>
      </w:r>
    </w:p>
    <w:p w14:paraId="4F133A48" w14:textId="77777777" w:rsidR="00A8138F" w:rsidRDefault="00A8138F" w:rsidP="00A8138F">
      <w:pPr>
        <w:pStyle w:val="TextoNormal"/>
      </w:pPr>
    </w:p>
    <w:p w14:paraId="02339155" w14:textId="77777777" w:rsidR="00A8138F" w:rsidRDefault="00A8138F" w:rsidP="00A8138F">
      <w:pPr>
        <w:pStyle w:val="TextoNormal"/>
      </w:pPr>
      <w:r>
        <w:t>- el art. 8, que establece las medidas generales de prevención e higiene;</w:t>
      </w:r>
    </w:p>
    <w:p w14:paraId="337C9503" w14:textId="77777777" w:rsidR="00A8138F" w:rsidRDefault="00A8138F" w:rsidP="00A8138F">
      <w:pPr>
        <w:pStyle w:val="TextoNormal"/>
      </w:pPr>
    </w:p>
    <w:p w14:paraId="48C07101" w14:textId="77777777" w:rsidR="00A8138F" w:rsidRDefault="00A8138F" w:rsidP="00A8138F">
      <w:pPr>
        <w:pStyle w:val="TextoNormal"/>
      </w:pPr>
      <w:r>
        <w:t>- el art. 10, que regula la distancia de seguridad interpersonal;</w:t>
      </w:r>
    </w:p>
    <w:p w14:paraId="602AC05A" w14:textId="77777777" w:rsidR="00A8138F" w:rsidRDefault="00A8138F" w:rsidP="00A8138F">
      <w:pPr>
        <w:pStyle w:val="TextoNormal"/>
      </w:pPr>
    </w:p>
    <w:p w14:paraId="2FE97EDF" w14:textId="77777777" w:rsidR="00A8138F" w:rsidRDefault="00A8138F" w:rsidP="00A8138F">
      <w:pPr>
        <w:pStyle w:val="TextoNormal"/>
      </w:pPr>
      <w:r>
        <w:t>- el art. 11, que establece el régimen de aforos;</w:t>
      </w:r>
    </w:p>
    <w:p w14:paraId="59013ACD" w14:textId="77777777" w:rsidR="00A8138F" w:rsidRDefault="00A8138F" w:rsidP="00A8138F">
      <w:pPr>
        <w:pStyle w:val="TextoNormal"/>
      </w:pPr>
    </w:p>
    <w:p w14:paraId="027B1611" w14:textId="77777777" w:rsidR="00A8138F" w:rsidRDefault="00A8138F" w:rsidP="00A8138F">
      <w:pPr>
        <w:pStyle w:val="TextoNormal"/>
      </w:pPr>
      <w:r>
        <w:lastRenderedPageBreak/>
        <w:t>- el art. 13, que establece el régimen de eventos multitudinarios;</w:t>
      </w:r>
    </w:p>
    <w:p w14:paraId="6BD2A509" w14:textId="77777777" w:rsidR="00A8138F" w:rsidRDefault="00A8138F" w:rsidP="00A8138F">
      <w:pPr>
        <w:pStyle w:val="TextoNormal"/>
      </w:pPr>
    </w:p>
    <w:p w14:paraId="535BE832" w14:textId="77777777" w:rsidR="00A8138F" w:rsidRDefault="00A8138F" w:rsidP="00A8138F">
      <w:pPr>
        <w:pStyle w:val="TextoNormal"/>
      </w:pPr>
      <w:r>
        <w:t>- el art. 14, que regula las pruebas diagnósticas, salvo el inciso relativo a la “exigencia de vacunación”, del apartado segundo;</w:t>
      </w:r>
    </w:p>
    <w:p w14:paraId="5BE3B8AE" w14:textId="77777777" w:rsidR="00A8138F" w:rsidRDefault="00A8138F" w:rsidP="00A8138F">
      <w:pPr>
        <w:pStyle w:val="TextoNormal"/>
      </w:pPr>
    </w:p>
    <w:p w14:paraId="3D4A21AB" w14:textId="77777777" w:rsidR="00A8138F" w:rsidRDefault="00A8138F" w:rsidP="00A8138F">
      <w:pPr>
        <w:pStyle w:val="TextoNormal"/>
      </w:pPr>
      <w:r>
        <w:t>- el art. 15, que regula la realización de cribados;</w:t>
      </w:r>
    </w:p>
    <w:p w14:paraId="288FB793" w14:textId="77777777" w:rsidR="00A8138F" w:rsidRDefault="00A8138F" w:rsidP="00A8138F">
      <w:pPr>
        <w:pStyle w:val="TextoNormal"/>
      </w:pPr>
    </w:p>
    <w:p w14:paraId="1B3FC011" w14:textId="77777777" w:rsidR="00A8138F" w:rsidRDefault="00A8138F" w:rsidP="00A8138F">
      <w:pPr>
        <w:pStyle w:val="TextoNormal"/>
      </w:pPr>
      <w:r>
        <w:t>- el art. 16, que regula la realización del rastreo de contagios y contactos;</w:t>
      </w:r>
    </w:p>
    <w:p w14:paraId="6B1C2137" w14:textId="77777777" w:rsidR="00A8138F" w:rsidRDefault="00A8138F" w:rsidP="00A8138F">
      <w:pPr>
        <w:pStyle w:val="TextoNormal"/>
      </w:pPr>
    </w:p>
    <w:p w14:paraId="10B50773" w14:textId="77777777" w:rsidR="00A8138F" w:rsidRDefault="00A8138F" w:rsidP="00A8138F">
      <w:pPr>
        <w:pStyle w:val="TextoNormal"/>
      </w:pPr>
      <w:r>
        <w:t>- el art. 17, que regula los tratamientos tasados de datos personales en relación con la situación epidemiológica y contactos;</w:t>
      </w:r>
    </w:p>
    <w:p w14:paraId="63F19EF5" w14:textId="77777777" w:rsidR="00A8138F" w:rsidRDefault="00A8138F" w:rsidP="00A8138F">
      <w:pPr>
        <w:pStyle w:val="TextoNormal"/>
      </w:pPr>
    </w:p>
    <w:p w14:paraId="143A0A86" w14:textId="77777777" w:rsidR="00A8138F" w:rsidRDefault="00A8138F" w:rsidP="00A8138F">
      <w:pPr>
        <w:pStyle w:val="TextoNormal"/>
      </w:pPr>
      <w:r>
        <w:t>- el art. 18, que regula la inspección, control y régimen sancionador;</w:t>
      </w:r>
    </w:p>
    <w:p w14:paraId="04829380" w14:textId="77777777" w:rsidR="00A8138F" w:rsidRDefault="00A8138F" w:rsidP="00A8138F">
      <w:pPr>
        <w:pStyle w:val="TextoNormal"/>
      </w:pPr>
    </w:p>
    <w:p w14:paraId="4F956C5A" w14:textId="77777777" w:rsidR="00A8138F" w:rsidRDefault="00A8138F" w:rsidP="00A8138F">
      <w:pPr>
        <w:pStyle w:val="TextoNormal"/>
      </w:pPr>
      <w:r>
        <w:t>- el art. 20, que se refiere al coste de adopción de las medidas;</w:t>
      </w:r>
    </w:p>
    <w:p w14:paraId="40AEFEF9" w14:textId="77777777" w:rsidR="00A8138F" w:rsidRDefault="00A8138F" w:rsidP="00A8138F">
      <w:pPr>
        <w:pStyle w:val="TextoNormal"/>
      </w:pPr>
    </w:p>
    <w:p w14:paraId="65184D9A" w14:textId="77777777" w:rsidR="00A8138F" w:rsidRDefault="00A8138F" w:rsidP="00A8138F">
      <w:pPr>
        <w:pStyle w:val="TextoNormal"/>
      </w:pPr>
      <w:r>
        <w:t>- la disposición adicional única, que habilita a la persona titular de la consejería competente en materia de hacienda para acordar las modificaciones presupuestarias que agilicen la gestión de los fondos europeos para paliar los efectos de la pandemia;</w:t>
      </w:r>
    </w:p>
    <w:p w14:paraId="1153532F" w14:textId="77777777" w:rsidR="00A8138F" w:rsidRDefault="00A8138F" w:rsidP="00A8138F">
      <w:pPr>
        <w:pStyle w:val="TextoNormal"/>
      </w:pPr>
    </w:p>
    <w:p w14:paraId="3531E187" w14:textId="77777777" w:rsidR="00A8138F" w:rsidRDefault="00A8138F" w:rsidP="00A8138F">
      <w:pPr>
        <w:pStyle w:val="TextoNormal"/>
      </w:pPr>
      <w:r>
        <w:t>- la disposición transitoria primera, que establece la continuidad temporal de las medidas anteriormente aplicables a los centros sanitarios, educativos y sociales, así como al transporte, hasta tanto sean modificadas o dejadas sin efecto conforme a las previsiones de este decreto-ley;</w:t>
      </w:r>
    </w:p>
    <w:p w14:paraId="549166DC" w14:textId="77777777" w:rsidR="00A8138F" w:rsidRDefault="00A8138F" w:rsidP="00A8138F">
      <w:pPr>
        <w:pStyle w:val="TextoNormal"/>
      </w:pPr>
    </w:p>
    <w:p w14:paraId="65A39B44" w14:textId="77777777" w:rsidR="00A8138F" w:rsidRDefault="00A8138F" w:rsidP="00A8138F">
      <w:pPr>
        <w:pStyle w:val="TextoNormal"/>
      </w:pPr>
      <w:r>
        <w:t>- la disposición derogatoria única, en cuyo apartado primero se contiene la cláusula derogatoria general y en cuyo apartado tercero se deroga la disposición adicional segunda de la Ley del Parlamento de Canarias 1/2021, de 29 de abril, por la que se establece el régimen sancionador por incumplimiento de las medidas de prevención y contención frente al covid-19 en la Comunidad Autónoma de Canarias, sobre la que la administración del Estado había planteado una posible tacha de inconstitucionalidad, promoviendo el procedimiento previsto en el art. 33.2 LOTC a fin de buscar una solución a la controversia suscitada;</w:t>
      </w:r>
    </w:p>
    <w:p w14:paraId="1DAE6F54" w14:textId="77777777" w:rsidR="00A8138F" w:rsidRDefault="00A8138F" w:rsidP="00A8138F">
      <w:pPr>
        <w:pStyle w:val="TextoNormal"/>
      </w:pPr>
    </w:p>
    <w:p w14:paraId="1E6AC80E" w14:textId="77777777" w:rsidR="00A8138F" w:rsidRDefault="00A8138F" w:rsidP="00A8138F">
      <w:pPr>
        <w:pStyle w:val="TextoNormal"/>
      </w:pPr>
      <w:r>
        <w:t>- el anexo I, que contiene las recomendaciones para la prevención de contagios por SARS-CoV-2;</w:t>
      </w:r>
    </w:p>
    <w:p w14:paraId="143D87FA" w14:textId="77777777" w:rsidR="00A8138F" w:rsidRDefault="00A8138F" w:rsidP="00A8138F">
      <w:pPr>
        <w:pStyle w:val="TextoNormal"/>
      </w:pPr>
    </w:p>
    <w:p w14:paraId="7703733D" w14:textId="77777777" w:rsidR="00A8138F" w:rsidRDefault="00A8138F" w:rsidP="00A8138F">
      <w:pPr>
        <w:pStyle w:val="TextoNormal"/>
      </w:pPr>
      <w:r>
        <w:t>- y el anexo II, que dispone las medidas específicas en materia de limpieza y desinfección, de aforo y distancia de seguridad.</w:t>
      </w:r>
    </w:p>
    <w:p w14:paraId="055DD8F8" w14:textId="77777777" w:rsidR="00A8138F" w:rsidRDefault="00A8138F" w:rsidP="00A8138F">
      <w:pPr>
        <w:pStyle w:val="TextoNormal"/>
      </w:pPr>
    </w:p>
    <w:p w14:paraId="30B55349" w14:textId="77777777" w:rsidR="00A8138F" w:rsidRDefault="00A8138F" w:rsidP="00A8138F">
      <w:pPr>
        <w:pStyle w:val="TextoNormal"/>
      </w:pPr>
      <w:r>
        <w:t>G) A continuación, aborda la denuncia relativa a la infracción de la reserva de ley orgánica. Con carácter previo, sostiene que la demanda no levanta la carga argumentativa respecto del art. 15.7 del Decreto-ley del Gobierno de Canarias 11/2021 y que tampoco se justifica de qué manera se vulneran los arts. 17, 24 y 25 CE, por lo que el contraste con estos preceptos debe excluirse del enjuiciamiento.</w:t>
      </w:r>
    </w:p>
    <w:p w14:paraId="050120DB" w14:textId="77777777" w:rsidR="00A8138F" w:rsidRDefault="00A8138F" w:rsidP="00A8138F">
      <w:pPr>
        <w:pStyle w:val="TextoNormal"/>
      </w:pPr>
    </w:p>
    <w:p w14:paraId="5C0999F0" w14:textId="77777777" w:rsidR="00A8138F" w:rsidRDefault="00A8138F" w:rsidP="00A8138F">
      <w:pPr>
        <w:pStyle w:val="TextoNormal"/>
      </w:pPr>
      <w:r>
        <w:t>Hecha esta precisión, argumenta que la jurisprudencia constitucional es clara cuando limita la reserva de ley orgánica a los supuestos en que se acometa un desarrollo directo, global o de los aspectos esenciales del ámbito subjetivo u objetivo de los derechos funda</w:t>
      </w:r>
      <w:r>
        <w:lastRenderedPageBreak/>
        <w:t>mentales. A juicio del Gobierno autonómico, el Decreto-ley 11/2021 no efectúa un desarrollo directo de los derechos fundamentales reconocidos en los arts. 15, 17, 18, 19 y 21 CE.</w:t>
      </w:r>
    </w:p>
    <w:p w14:paraId="3AD531A6" w14:textId="77777777" w:rsidR="00A8138F" w:rsidRDefault="00A8138F" w:rsidP="00A8138F">
      <w:pPr>
        <w:pStyle w:val="TextoNormal"/>
      </w:pPr>
    </w:p>
    <w:p w14:paraId="6C8415EA" w14:textId="77777777" w:rsidR="00A8138F" w:rsidRDefault="00A8138F" w:rsidP="00A8138F">
      <w:pPr>
        <w:pStyle w:val="TextoNormal"/>
      </w:pPr>
      <w:r>
        <w:t>H) En cuanto a la vulneración de los arts. 18 y 38 CE, el escrito distingue entre, por un lado, la impugnación de los arts. 5.2, 25.8, 26.8, 27.8 y 28.8; y, por otro lado, la impugnación de la disposición final primera del Decreto-ley 11/2021 en la medida en que da nueva redacción al apartado tercero del art. 28 de la Ley 11/1994.</w:t>
      </w:r>
    </w:p>
    <w:p w14:paraId="7BA92870" w14:textId="77777777" w:rsidR="00A8138F" w:rsidRDefault="00A8138F" w:rsidP="00A8138F">
      <w:pPr>
        <w:pStyle w:val="TextoNormal"/>
      </w:pPr>
    </w:p>
    <w:p w14:paraId="3189023B" w14:textId="77777777" w:rsidR="00A8138F" w:rsidRDefault="00A8138F" w:rsidP="00A8138F">
      <w:pPr>
        <w:pStyle w:val="TextoNormal"/>
      </w:pPr>
      <w:r>
        <w:t>a) En relación con lo primero, argumenta que las obligaciones de información de las empresas, sus productos o sus servicios son una medida habitual de policía administrativa. Es una técnica habitual y poco intrusiva que utiliza el legislador para lograr un equilibrio entre los derechos de los ciudadanos y la actividad de los operadores económicos, con el fin de evitar que las consecuencias del ejercicio de determinados derechos o actividades perjudiquen los derechos de terceros. Por lo tanto, no puede sorprender que en una situación de pandemia se establezca una obligación de esta naturaleza.</w:t>
      </w:r>
    </w:p>
    <w:p w14:paraId="3411852E" w14:textId="77777777" w:rsidR="00A8138F" w:rsidRDefault="00A8138F" w:rsidP="00A8138F">
      <w:pPr>
        <w:pStyle w:val="TextoNormal"/>
      </w:pPr>
    </w:p>
    <w:p w14:paraId="5D6C041B" w14:textId="77777777" w:rsidR="00A8138F" w:rsidRDefault="00A8138F" w:rsidP="00A8138F">
      <w:pPr>
        <w:pStyle w:val="TextoNormal"/>
      </w:pPr>
      <w:r>
        <w:t>Además, se niega que exista vulneración del art. 18.1 CE, porque el derecho a la intimidad no es un derecho absoluto, sino que puede ceder ante razones justificadas de interés general previstas en la ley, entre las que se encuentran la prevención y la evitación de riesgos y peligros para la salud pública. Y también niega que se produzca afectación de la libertad de empresa (art. 38 CE), en cuanto que no se influye sobre el poder de dirección del empresario sobre su actividad, ni se condicionan o prejuzgan sus decisiones económicas.</w:t>
      </w:r>
    </w:p>
    <w:p w14:paraId="0ACCFBA8" w14:textId="77777777" w:rsidR="00A8138F" w:rsidRDefault="00A8138F" w:rsidP="00A8138F">
      <w:pPr>
        <w:pStyle w:val="TextoNormal"/>
      </w:pPr>
    </w:p>
    <w:p w14:paraId="461B4936" w14:textId="77777777" w:rsidR="00A8138F" w:rsidRDefault="00A8138F" w:rsidP="00A8138F">
      <w:pPr>
        <w:pStyle w:val="TextoNormal"/>
      </w:pPr>
      <w:r>
        <w:t>Por lo demás, se trata de una obligación de información acotada a una información muy concreta y durante un período de tiempo limitado, por lo que está justificada constitucionalmente. En todo caso, apunta que la injerencia sobre el derecho reconocido en el art. 18.4 CE cumple con las exigencias establecidas en la STC 76/2019, de 22 de mayo, pues el derecho a la protección de datos de carácter personal puede ser restringido por ley, siempre que responda a un fin de interés general y los requisitos y el alcance de la restricción estén suficientemente precisados en la ley y respeten el principio de proporcionalidad.</w:t>
      </w:r>
    </w:p>
    <w:p w14:paraId="374F5B77" w14:textId="77777777" w:rsidR="00A8138F" w:rsidRDefault="00A8138F" w:rsidP="00A8138F">
      <w:pPr>
        <w:pStyle w:val="TextoNormal"/>
      </w:pPr>
    </w:p>
    <w:p w14:paraId="5D45505E" w14:textId="77777777" w:rsidR="00A8138F" w:rsidRDefault="00A8138F" w:rsidP="00A8138F">
      <w:pPr>
        <w:pStyle w:val="TextoNormal"/>
      </w:pPr>
      <w:r>
        <w:t>Por otro lado, como resulta del art. 17 del Decreto-ley 11/2021, el tratamiento de los datos personales está protegido conforme a las exigencias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de la Ley Orgánica 3/2018, de 5 de diciembre, de protección de datos personales y garantía de los derechos digitales.</w:t>
      </w:r>
    </w:p>
    <w:p w14:paraId="0AE2FF3B" w14:textId="77777777" w:rsidR="00A8138F" w:rsidRDefault="00A8138F" w:rsidP="00A8138F">
      <w:pPr>
        <w:pStyle w:val="TextoNormal"/>
      </w:pPr>
    </w:p>
    <w:p w14:paraId="637DDF8B" w14:textId="77777777" w:rsidR="00A8138F" w:rsidRDefault="00A8138F" w:rsidP="00A8138F">
      <w:pPr>
        <w:pStyle w:val="TextoNormal"/>
      </w:pPr>
      <w:r>
        <w:t>b) Por otro lado, en relación con las consecuencias del incumplimiento de esta obligación, el Gobierno de Canarias entiende que la queja va referida a la disposición final primera en relación con la redacción que se da al art. 28.3 de la Ley del Parlamento de Canarias 11/1994. A este respecto, señala que la clausura provisional o definitiva de una actividad o negocio como medida preventiva en caso de existencia o sospecha de un riesgo inminente para la salud o bien por incumplimiento grave o reiterado de las normas de policía administrativa constituye una previsión legislativa muy común. Si hubiera que declarar la inconstitucionalidad de la disposición final primera del Decreto-ley del Gobierno de Canarias 11/2021 en los términos indicados, la misma razón obligaría a declarar la inconstitucionali</w:t>
      </w:r>
      <w:r>
        <w:lastRenderedPageBreak/>
        <w:t>dad de otras muchas disposiciones legales en vigor que delimitan el ejercicio de la libertad de empresa.</w:t>
      </w:r>
    </w:p>
    <w:p w14:paraId="64758CD5" w14:textId="77777777" w:rsidR="00A8138F" w:rsidRDefault="00A8138F" w:rsidP="00A8138F">
      <w:pPr>
        <w:pStyle w:val="TextoNormal"/>
      </w:pPr>
    </w:p>
    <w:p w14:paraId="4A32A0E8" w14:textId="77777777" w:rsidR="00A8138F" w:rsidRDefault="00A8138F" w:rsidP="00A8138F">
      <w:pPr>
        <w:pStyle w:val="TextoNormal"/>
      </w:pPr>
      <w:r>
        <w:t>I) Por último, en relación con la pretendida vulneración del art. 86.1 CE, destaca que el recurso de inconstitucionalidad no cuestiona el presupuesto habilitante para adoptar el presente decreto-ley, sino que solo reprocha que las medidas “han ido —a su juicio— demasiado lejos”. En contra de lo que afirma la demanda, las medidas incluidas en el Decreto-ley del Gobierno de Canarias 11/2021 no suprimen ni hacen impracticable el contenido esencial de la libertad personal, la libertad de circulación, la libertad de reunión, la libertad de residencia o la integridad física. Tampoco introduce, ni lo pretende, una regulación u ordenación general del ejercicio de los derechos fundamentales ni siquiera para el período de duración de la pandemia o la situación de alerta sanitaria. Sus medidas tienen carácter individualizado, temporal y preventivo y solo persiguen conciliar el ejercicio de los derechos por los ciudadanos con la legítima pretensión de los demás ciudadanos a la protección de su salud e integridad física y la de sus familias.</w:t>
      </w:r>
    </w:p>
    <w:p w14:paraId="10DC43FA" w14:textId="77777777" w:rsidR="00A8138F" w:rsidRDefault="00A8138F" w:rsidP="00A8138F">
      <w:pPr>
        <w:pStyle w:val="TextoNormal"/>
      </w:pPr>
    </w:p>
    <w:p w14:paraId="53D35D4C" w14:textId="77777777" w:rsidR="00A8138F" w:rsidRDefault="00A8138F" w:rsidP="00A8138F">
      <w:pPr>
        <w:pStyle w:val="TextoNormal"/>
      </w:pPr>
      <w:r>
        <w:t>a) En relación con las medidas de aislamiento y cuarentena, defiende que solo pueden ser prescritas por un profesional sanitario (art. 6.1) y solo afectan a las personas contagiadas por SARS-CoV-2 y a las sospechosas de haber sido contagiadas (art. 12).</w:t>
      </w:r>
    </w:p>
    <w:p w14:paraId="4C8010F9" w14:textId="77777777" w:rsidR="00A8138F" w:rsidRDefault="00A8138F" w:rsidP="00A8138F">
      <w:pPr>
        <w:pStyle w:val="TextoNormal"/>
      </w:pPr>
    </w:p>
    <w:p w14:paraId="3FDB665D" w14:textId="77777777" w:rsidR="00A8138F" w:rsidRDefault="00A8138F" w:rsidP="00A8138F">
      <w:pPr>
        <w:pStyle w:val="TextoNormal"/>
      </w:pPr>
      <w:r>
        <w:t>b) Respecto de las restricciones en reuniones privadas, niega que esta medida afecte al derecho de reunión previsto en el art. 21 CE.</w:t>
      </w:r>
    </w:p>
    <w:p w14:paraId="261B9D3B" w14:textId="77777777" w:rsidR="00A8138F" w:rsidRDefault="00A8138F" w:rsidP="00A8138F">
      <w:pPr>
        <w:pStyle w:val="TextoNormal"/>
      </w:pPr>
    </w:p>
    <w:p w14:paraId="36D66B35" w14:textId="77777777" w:rsidR="00A8138F" w:rsidRDefault="00A8138F" w:rsidP="00A8138F">
      <w:pPr>
        <w:pStyle w:val="TextoNormal"/>
      </w:pPr>
      <w:r>
        <w:t>c) Por lo que se refiere a la vacunación obligatoria, niega que la misma esté contemplada en el Decreto-ley 11/2021. El art. 14.2, al que aluden los recurrentes, “se limit[a] a prever que el régimen aplicable a la realización de las pruebas diagnósticas en materia de consentimiento informado o de su denegación sería extensible a la exigencia de vacunación, en la medida en que esta exigencia derivase de una norma constitucionalmente idónea para establecerla. Mientras esa exigencia no se haya establecido, no resulta aplicable la previsión contemplada en el precepto impugnado”.</w:t>
      </w:r>
    </w:p>
    <w:p w14:paraId="36EE39D7" w14:textId="77777777" w:rsidR="00A8138F" w:rsidRDefault="00A8138F" w:rsidP="00A8138F">
      <w:pPr>
        <w:pStyle w:val="TextoNormal"/>
      </w:pPr>
    </w:p>
    <w:p w14:paraId="0CC255EB" w14:textId="77777777" w:rsidR="00A8138F" w:rsidRDefault="00A8138F" w:rsidP="00A8138F">
      <w:pPr>
        <w:pStyle w:val="TextoNormal"/>
      </w:pPr>
      <w:r>
        <w:t>d) Por lo que hace a la impugnación de la utilización de la mascarilla por los menores de entre seis y once años (art. 9.1), comienza señalando que “no basta con enumerar siete preceptos constitucionales para levantar la carga argumentativa de la vulneración alegada que compete a los recurrentes”.</w:t>
      </w:r>
    </w:p>
    <w:p w14:paraId="03841488" w14:textId="77777777" w:rsidR="00A8138F" w:rsidRDefault="00A8138F" w:rsidP="00A8138F">
      <w:pPr>
        <w:pStyle w:val="TextoNormal"/>
      </w:pPr>
    </w:p>
    <w:p w14:paraId="314ACDB7" w14:textId="77777777" w:rsidR="00A8138F" w:rsidRDefault="00A8138F" w:rsidP="00A8138F">
      <w:pPr>
        <w:pStyle w:val="TextoNormal"/>
      </w:pPr>
      <w:r>
        <w:t xml:space="preserve">Dicho esto, argumenta: (i) que los arts. 1.1 y 10 CE no declaran derechos fundamentales, por lo que no fundamentan contenidos esenciales indisponibles al legislador; (ii) que la invocación del art. 17 CE debe quedar excluida del enjuiciamiento; (iii) que también deben excluirse las impugnaciones basadas en los arts. 18, 19 y 21 CE, porque el uso obligatorio de una mascarilla no impide de forma alguna el ejercicio de los derechos que allí se reconocen, y (iv) que es evidente que la exigencia de mascarilla no encaja en el concepto constitucional de “prestación personal o patrimonial de carácter público” del art. 31.3 CE, porque no es una contraprestación ni una herramienta de financiación de los servicios públicos (STC 63/2019, de 9 de mayo). En suma, se ha de concluir que un menor de edad de entre seis y doce años no es privado de su dignidad o de la posibilidad de desarrollar su personalidad, ni de su libertad personal, ni de su libertad de circulación, ni de su intimidad personal </w:t>
      </w:r>
      <w:r>
        <w:lastRenderedPageBreak/>
        <w:t>y a la propia imagen, ni de la posibilidad de reunirse y, por lo tanto, la norma no incurre en afectación de ninguno de los derechos fundamentales invocados en la demanda.</w:t>
      </w:r>
    </w:p>
    <w:p w14:paraId="4F5E4A8F" w14:textId="77777777" w:rsidR="00A8138F" w:rsidRDefault="00A8138F" w:rsidP="00A8138F">
      <w:pPr>
        <w:pStyle w:val="TextoNormal"/>
      </w:pPr>
    </w:p>
    <w:p w14:paraId="2DE3341D" w14:textId="364D9DE4" w:rsidR="00A8138F" w:rsidRDefault="00A8138F" w:rsidP="00A8138F">
      <w:pPr>
        <w:pStyle w:val="TextoNormal"/>
      </w:pPr>
      <w:r>
        <w:t>Por último, aduce que la demanda se limita a calificar la medida como desproporcionada, sin que de su argumentación se deduzcan las razones que conducirían a tal conclusión. Y, en todo caso, pone de manifiesto que también el legislador estatal ha considerado necesario el uso de mascarillas a partir de los seis años [art. 6 de la Ley 2/2021, de 29 de marzo, de medidas urgentes de prevención, contención y coordinación para hacer frente a la crisis sanitaria ocasionada por el covid-19 (en adelante, Ley 2/2021, de 29 de marzo)], vigente en el momento en que se adoptó el Decreto-ley 11/2021).</w:t>
      </w:r>
    </w:p>
    <w:p w14:paraId="0886CC7A" w14:textId="77777777" w:rsidR="00A8138F" w:rsidRDefault="00A8138F" w:rsidP="00A8138F">
      <w:pPr>
        <w:pStyle w:val="TextoNormal"/>
      </w:pPr>
    </w:p>
    <w:p w14:paraId="677DCAAD" w14:textId="77777777" w:rsidR="00A8138F" w:rsidRDefault="00A8138F" w:rsidP="00A8138F">
      <w:pPr>
        <w:pStyle w:val="TextoNormal"/>
      </w:pPr>
      <w:r w:rsidRPr="00A8138F">
        <w:rPr>
          <w:rStyle w:val="NumeroAFNegritaCaracter"/>
        </w:rPr>
        <w:t>11</w:t>
      </w:r>
      <w:r>
        <w:t>. El 10 de marzo de 2022, formuló sus alegaciones el letrado-secretario general del Parlamento de Canarias, interesando la desestimación íntegra del recurso de inconstitucionalidad.</w:t>
      </w:r>
    </w:p>
    <w:p w14:paraId="14C51D38" w14:textId="77777777" w:rsidR="00A8138F" w:rsidRDefault="00A8138F" w:rsidP="00A8138F">
      <w:pPr>
        <w:pStyle w:val="TextoNormal"/>
      </w:pPr>
    </w:p>
    <w:p w14:paraId="09BFED41" w14:textId="77777777" w:rsidR="00A8138F" w:rsidRDefault="00A8138F" w:rsidP="00A8138F">
      <w:pPr>
        <w:pStyle w:val="TextoNormal"/>
      </w:pPr>
      <w:r>
        <w:t>Comienza sus alegaciones exponiendo sucintamente los antecedentes relativos a la tramitación del Decreto-ley 11/2021. En particular, destaca que, tras su convalidación por el Parlamento de Canarias, se acordó su tramitación como proyecto de ley, que se encuentra pendiente de debate en el Pleno de la Cámara, por lo que, una vez aprobada la ley pueda tener algún efecto en la eventual pérdida de objeto del recurso de inconstitucionalidad.</w:t>
      </w:r>
    </w:p>
    <w:p w14:paraId="739346EE" w14:textId="77777777" w:rsidR="00A8138F" w:rsidRDefault="00A8138F" w:rsidP="00A8138F">
      <w:pPr>
        <w:pStyle w:val="TextoNormal"/>
      </w:pPr>
    </w:p>
    <w:p w14:paraId="07E38F9C" w14:textId="77777777" w:rsidR="00A8138F" w:rsidRDefault="00A8138F" w:rsidP="00A8138F">
      <w:pPr>
        <w:pStyle w:val="TextoNormal"/>
      </w:pPr>
      <w:r>
        <w:t>También con carácter preliminar, procede a situar el contexto en el que se aprobó el Decreto-ley 11/2021, haciendo referencia a los pasajes que considera más reseñables de la exposición de motivos, al dictamen núm. 213-2021 del Consejo de Estado, a la Ley Orgánica 3/1986 y a las SSTC 148/2021 y 183/2021, dictadas en relación con los estados de alarma declarados y prorrogados en relación con la pandemia de la covid-19.</w:t>
      </w:r>
    </w:p>
    <w:p w14:paraId="33FF9E84" w14:textId="77777777" w:rsidR="00A8138F" w:rsidRDefault="00A8138F" w:rsidP="00A8138F">
      <w:pPr>
        <w:pStyle w:val="TextoNormal"/>
      </w:pPr>
    </w:p>
    <w:p w14:paraId="374B3633" w14:textId="77777777" w:rsidR="00A8138F" w:rsidRDefault="00A8138F" w:rsidP="00A8138F">
      <w:pPr>
        <w:pStyle w:val="TextoNormal"/>
      </w:pPr>
      <w:r>
        <w:t>Efectuadas estas consideraciones previas, procede a exponer los argumentos en los que se fundamenta su oposición al recurso de inconstitucionalidad.</w:t>
      </w:r>
    </w:p>
    <w:p w14:paraId="374312C9" w14:textId="77777777" w:rsidR="00A8138F" w:rsidRDefault="00A8138F" w:rsidP="00A8138F">
      <w:pPr>
        <w:pStyle w:val="TextoNormal"/>
      </w:pPr>
    </w:p>
    <w:p w14:paraId="1AF70465" w14:textId="77777777" w:rsidR="00A8138F" w:rsidRDefault="00A8138F" w:rsidP="00A8138F">
      <w:pPr>
        <w:pStyle w:val="TextoNormal"/>
      </w:pPr>
      <w:r>
        <w:t>A) Frente a la alegación de que el Decreto-ley 11/2021 ha establecido un estado de excepción constitucional, el letrado del Parlamento de Canarias defiende:</w:t>
      </w:r>
    </w:p>
    <w:p w14:paraId="1DD12EAA" w14:textId="77777777" w:rsidR="00A8138F" w:rsidRDefault="00A8138F" w:rsidP="00A8138F">
      <w:pPr>
        <w:pStyle w:val="TextoNormal"/>
      </w:pPr>
    </w:p>
    <w:p w14:paraId="79D9FB83" w14:textId="77777777" w:rsidR="00A8138F" w:rsidRDefault="00A8138F" w:rsidP="00A8138F">
      <w:pPr>
        <w:pStyle w:val="TextoNormal"/>
      </w:pPr>
      <w:r>
        <w:t>a) La Comunidad Autónoma de Canarias ha aprobado el Decreto-ley 11/2021 en el ejercicio de sus competencias y en modo alguno pretende suplantar al Gobierno de la Nación en la fijación encubierta de una situación de excepcionalidad constitucional. Afirma que se trata de hacer frente a una situación extraordinaria y urgente, que no tiene que ver, jurídicamente hablando, con la excepcionalidad constitucional que el Gobierno decidió afrontar mediante la declaración del estado de alarma. Añade que el propio Gobierno ha considerado que la lucha contra los efectos de la pandemia debe seguir desde el ordinario sistema de distribución de competencias, que posee medidas suficientes para hacer frente a esa situación “posalarma”.</w:t>
      </w:r>
    </w:p>
    <w:p w14:paraId="2CDF7364" w14:textId="77777777" w:rsidR="00A8138F" w:rsidRDefault="00A8138F" w:rsidP="00A8138F">
      <w:pPr>
        <w:pStyle w:val="TextoNormal"/>
      </w:pPr>
    </w:p>
    <w:p w14:paraId="596C1AEE" w14:textId="77777777" w:rsidR="00A8138F" w:rsidRDefault="00A8138F" w:rsidP="00A8138F">
      <w:pPr>
        <w:pStyle w:val="TextoNormal"/>
      </w:pPr>
      <w:r>
        <w:t>b) Por otro lado, aunque la pandemia exista y la situación pueda ser grave, la adopción de las medidas que correspondan en contexto de legalidad ordinaria no implica una suerte de estado de alarma. La legalidad ordinaria en situación de normalidad constitucional ofrece mecanismos tan intensos de intervención que, incluso, pueden ser compatibles con la declaración de un estado de alarma. Lo que significa que, en una situación de anormalidad sani</w:t>
      </w:r>
      <w:r>
        <w:lastRenderedPageBreak/>
        <w:t>taria, tales medidas, en cuanto que, previstas en la legislación básica, pueden ser aplicadas y/o desarrolladas por las comunidades autónomas en el ejercicio de sus competencias estatutarias. A su juicio, estamos ante una situación de emergencia sanitaria, pero no ante una situación de excepcionalidad constitucional.</w:t>
      </w:r>
    </w:p>
    <w:p w14:paraId="1DE9510A" w14:textId="77777777" w:rsidR="00A8138F" w:rsidRDefault="00A8138F" w:rsidP="00A8138F">
      <w:pPr>
        <w:pStyle w:val="TextoNormal"/>
      </w:pPr>
    </w:p>
    <w:p w14:paraId="03E196EB" w14:textId="77777777" w:rsidR="00A8138F" w:rsidRDefault="00A8138F" w:rsidP="00A8138F">
      <w:pPr>
        <w:pStyle w:val="TextoNormal"/>
      </w:pPr>
      <w:r>
        <w:t>c) Añade también que no es cierto que los derechos solo se puedan limitar en un estado de alarma y que tampoco comparte la tesis de los recurrentes de que no quepa control judicial alguno frente a las medidas adoptadas. Nada hay que objetar a que se declare una situación de alerta en función de criterios epidemiológicos objetivos y que el nivel de alerta se module, modifique, amplíe o restrinja debido a la evolución de tales criterios. Se respetan los principios de legalidad, motivación y proporcionalidad y no se trata de una declaración arbitraria, intempestiva ni infundada.</w:t>
      </w:r>
    </w:p>
    <w:p w14:paraId="17653E94" w14:textId="77777777" w:rsidR="00A8138F" w:rsidRDefault="00A8138F" w:rsidP="00A8138F">
      <w:pPr>
        <w:pStyle w:val="TextoNormal"/>
      </w:pPr>
    </w:p>
    <w:p w14:paraId="05E6C292" w14:textId="77777777" w:rsidR="00A8138F" w:rsidRDefault="00A8138F" w:rsidP="00A8138F">
      <w:pPr>
        <w:pStyle w:val="TextoNormal"/>
      </w:pPr>
      <w:r>
        <w:t>d) Finalmente, en relación con las medidas preventivas para establecimientos, actividades y espacios específicos, sostiene que la libertad de empresa admite limitaciones intensas por razones de seguridad, sanidad y salubridad y que así lo demuestra la legislación básica del Estado (cita, en concreto, las Leyes 14/1986, de 25 de abril, y 33/2011).</w:t>
      </w:r>
    </w:p>
    <w:p w14:paraId="57BA1C7C" w14:textId="77777777" w:rsidR="00A8138F" w:rsidRDefault="00A8138F" w:rsidP="00A8138F">
      <w:pPr>
        <w:pStyle w:val="TextoNormal"/>
      </w:pPr>
    </w:p>
    <w:p w14:paraId="15D9B906" w14:textId="77777777" w:rsidR="00A8138F" w:rsidRDefault="00A8138F" w:rsidP="00A8138F">
      <w:pPr>
        <w:pStyle w:val="TextoNormal"/>
      </w:pPr>
      <w:r>
        <w:t>B) Niega la vulneración de la reserva de ley orgánica. Sostiene que, con arreglo a la jurisprudencia constitucional, la reserva de ley orgánica es de interpretación restrictiva y que la ley orgánica solo es exigible cuando exista un desarrollo directo del ámbito subjetivo u objetivo de los derechos fundamentales, es decir, cuando se trate de la ordenación de los aspectos esenciales para la delimitación del derecho, la previsión de su ámbito y la fijación de sus límites en relación con otras libertades constitucionalmente protegidas; lo que, según afirma, no acontece en el caso examinado.</w:t>
      </w:r>
    </w:p>
    <w:p w14:paraId="5FB2DBF2" w14:textId="77777777" w:rsidR="00A8138F" w:rsidRDefault="00A8138F" w:rsidP="00A8138F">
      <w:pPr>
        <w:pStyle w:val="TextoNormal"/>
      </w:pPr>
    </w:p>
    <w:p w14:paraId="617E8130" w14:textId="77777777" w:rsidR="00A8138F" w:rsidRDefault="00A8138F" w:rsidP="00A8138F">
      <w:pPr>
        <w:pStyle w:val="TextoNormal"/>
      </w:pPr>
      <w:r>
        <w:t>Por ello, concluye alegando que el Decreto-ley 11/2021 “no procede a la suspensión de derecho alguno, ni a su privación, ablación o afección de su contenido esencial; y los derechos afectados siguen siendo reconocibles en sus aspectos definitorios esenciales”.</w:t>
      </w:r>
    </w:p>
    <w:p w14:paraId="1FB0AE01" w14:textId="77777777" w:rsidR="00A8138F" w:rsidRDefault="00A8138F" w:rsidP="00A8138F">
      <w:pPr>
        <w:pStyle w:val="TextoNormal"/>
      </w:pPr>
    </w:p>
    <w:p w14:paraId="76390D8C" w14:textId="77777777" w:rsidR="00A8138F" w:rsidRDefault="00A8138F" w:rsidP="00A8138F">
      <w:pPr>
        <w:pStyle w:val="TextoNormal"/>
      </w:pPr>
      <w:r>
        <w:t>C) También se opone a la impugnación basada en la infracción de los límites del decreto-ley. Tras una cita abundante de jurisprudencia constitucional, defiende que concurre el presupuesto habilitante para la adopción del Decreto-ley 11/2021, pues se trata de hacer frente a una situación sanitaria de extraordinaria y urgente necesidad. En cuanto a la vulneración de los límites materiales, se remite a las consideraciones efectuadas más adelante en las que se analiza “cómo la regulación del decreto-ley no incide en la esencialidad de los derechos presuntamente vulnerados sino en su delimitación, modulando los términos de su ejercicio, por razones justificadas y de forma proporcional”.</w:t>
      </w:r>
    </w:p>
    <w:p w14:paraId="22FCDEF1" w14:textId="77777777" w:rsidR="00A8138F" w:rsidRDefault="00A8138F" w:rsidP="00A8138F">
      <w:pPr>
        <w:pStyle w:val="TextoNormal"/>
      </w:pPr>
    </w:p>
    <w:p w14:paraId="3ACE3975" w14:textId="77777777" w:rsidR="00A8138F" w:rsidRDefault="00A8138F" w:rsidP="00A8138F">
      <w:pPr>
        <w:pStyle w:val="TextoNormal"/>
      </w:pPr>
      <w:r>
        <w:t>D) Acto seguido, se opone a la pretendida inconstitucionalidad del Decreto-ley 11/2021, basada en su carácter de ley autoaplicativa. Para ello, sostiene que cumple con los requisitos de razonabilidad, proporcionalidad y adecuación definidos por la doctrina constitucional. Indica también que se trata de una ley general y abstracta, cuyas normas aparecen expresadas en términos generales. Además, añade que existen factores que matizan el carácter autoaplicativo de la norma, toda vez que la aplicación de las medidas va precedida de una intensa actividad técnico-administrativa a través del seguimiento de la evolución de los indicadores epidemiológicos en el seno del Consejo Interterritorial del Sistema Nacional de Salud.</w:t>
      </w:r>
    </w:p>
    <w:p w14:paraId="682A09B6" w14:textId="77777777" w:rsidR="00A8138F" w:rsidRDefault="00A8138F" w:rsidP="00A8138F">
      <w:pPr>
        <w:pStyle w:val="TextoNormal"/>
      </w:pPr>
    </w:p>
    <w:p w14:paraId="679BF0BC" w14:textId="77777777" w:rsidR="00A8138F" w:rsidRDefault="00A8138F" w:rsidP="00A8138F">
      <w:pPr>
        <w:pStyle w:val="TextoNormal"/>
      </w:pPr>
      <w:r>
        <w:t>Se trata de una norma con rango de ley que puede delimitar, en la medida de lo indispensable y con proporcionalidad, el ejercicio de ciertos derechos en aras de la defensa y protección de otros intereses jurídicamente protegibles. Como toda ley, puede ser objeto de control a través del recurso y la cuestión de inconstitucionalidad. Y, además, las medidas se aplican a partir de la declaración del nivel de alerta que corresponda, acto que ha de ser objeto de publicación y que podría eventualmente ser impugnado en relación con determinada o concreta medida.</w:t>
      </w:r>
    </w:p>
    <w:p w14:paraId="1D22E45C" w14:textId="77777777" w:rsidR="00A8138F" w:rsidRDefault="00A8138F" w:rsidP="00A8138F">
      <w:pPr>
        <w:pStyle w:val="TextoNormal"/>
      </w:pPr>
    </w:p>
    <w:p w14:paraId="1C32B3DD" w14:textId="77777777" w:rsidR="00A8138F" w:rsidRDefault="00A8138F" w:rsidP="00A8138F">
      <w:pPr>
        <w:pStyle w:val="TextoNormal"/>
      </w:pPr>
      <w:r>
        <w:t>E) En cuanto a la vulneración por razones competenciales, el letrado-secretario general del Parlamento de Canarias considera que se trata de un motivo infundado y que no cumple con la mínima carga alegatoria. A su juicio, los recurrentes imputan al Decreto-ley 11/2021 un vicio genérico y global por haber sido dictado en ausencia de competencias, sin razonar qué preceptos incurren en ese vicio y por qué no pueden ser objeto de desarrollo con arreglo a las competencias autonómicas de desarrollo de las bases estatales, asumidas en el Estatuto de Autonomía.</w:t>
      </w:r>
    </w:p>
    <w:p w14:paraId="6AC414BA" w14:textId="77777777" w:rsidR="00A8138F" w:rsidRDefault="00A8138F" w:rsidP="00A8138F">
      <w:pPr>
        <w:pStyle w:val="TextoNormal"/>
      </w:pPr>
    </w:p>
    <w:p w14:paraId="512E1A27" w14:textId="77777777" w:rsidR="00A8138F" w:rsidRDefault="00A8138F" w:rsidP="00A8138F">
      <w:pPr>
        <w:pStyle w:val="TextoNormal"/>
      </w:pPr>
      <w:r>
        <w:t>Subsidiariamente, niega la supuesta invasión competencial. Llama la atención sobre el dato de que la legislación sanitaria estatal no se ha dictado al amparo de la competencia prevista en el art. 149.1.1 CE, sino en el título competencial contemplado en el art. 149.1.16 CE. Dicho esto, reafirma la competencia en materia sanitaria asumida en el art. 141 EACan y concluye que las medidas previstas en el Decreto-ley 11/2021 son compatibles con las normas básicas estatales que “constituyen el soporte normativo adecuado para que esta comunidad pueda ejercer sus competencias en los términos en que lo ha hecho el Decreto-ley 11/2021”.</w:t>
      </w:r>
    </w:p>
    <w:p w14:paraId="651DE196" w14:textId="77777777" w:rsidR="00A8138F" w:rsidRDefault="00A8138F" w:rsidP="00A8138F">
      <w:pPr>
        <w:pStyle w:val="TextoNormal"/>
      </w:pPr>
    </w:p>
    <w:p w14:paraId="3DE9E04D" w14:textId="77777777" w:rsidR="00A8138F" w:rsidRDefault="00A8138F" w:rsidP="00A8138F">
      <w:pPr>
        <w:pStyle w:val="TextoNormal"/>
      </w:pPr>
      <w:r>
        <w:t>F) A continuación, procede a rechazar las vulneraciones de los derechos fundamentales invocadas en el recurso de inconstitucionalidad.</w:t>
      </w:r>
    </w:p>
    <w:p w14:paraId="77A9C084" w14:textId="77777777" w:rsidR="00A8138F" w:rsidRDefault="00A8138F" w:rsidP="00A8138F">
      <w:pPr>
        <w:pStyle w:val="TextoNormal"/>
      </w:pPr>
    </w:p>
    <w:p w14:paraId="740DFC3C" w14:textId="77777777" w:rsidR="00A8138F" w:rsidRDefault="00A8138F" w:rsidP="00A8138F">
      <w:pPr>
        <w:pStyle w:val="TextoNormal"/>
      </w:pPr>
      <w:r>
        <w:t>a) Niega la lesión del derecho a la libertad personal (art. 17 CE), por cuanto que los sometidos a aislamiento o cuarentena tienen derecho a desplazarse y a comunicarse con terceras personas. Además, no son obligaciones generales para todo tipo de personas y situaciones y se deben adoptar por la autoridad sanitaria, previo procedimiento y sometidas a autorización o ratificación judicial. Se trata de una medida que cuenta con la cobertura de la Ley Orgánica 3/1986.</w:t>
      </w:r>
    </w:p>
    <w:p w14:paraId="2943F083" w14:textId="77777777" w:rsidR="00A8138F" w:rsidRDefault="00A8138F" w:rsidP="00A8138F">
      <w:pPr>
        <w:pStyle w:val="TextoNormal"/>
      </w:pPr>
    </w:p>
    <w:p w14:paraId="48496EDE" w14:textId="77777777" w:rsidR="00A8138F" w:rsidRDefault="00A8138F" w:rsidP="00A8138F">
      <w:pPr>
        <w:pStyle w:val="TextoNormal"/>
      </w:pPr>
      <w:r>
        <w:t>b) En relación con las libertades de circulación y de residencia (art. 19 CE), sostiene que los preceptos recurridos no contienen una suspensión del derecho generalizada por cuanto las obligaciones de cuarentena y aislamiento son el resultado de una previa resolución administrativa que debe estar fundada y motivada en razones tales que permitan amparar la limitación, atenuada, del citado derecho. Así interpretados tales artículos, decae la pretensión de inconstitucionalidad de los mismos por lesión de la libertad de circulación.</w:t>
      </w:r>
    </w:p>
    <w:p w14:paraId="5EE3DD8D" w14:textId="77777777" w:rsidR="00A8138F" w:rsidRDefault="00A8138F" w:rsidP="00A8138F">
      <w:pPr>
        <w:pStyle w:val="TextoNormal"/>
      </w:pPr>
    </w:p>
    <w:p w14:paraId="6E452F99" w14:textId="77777777" w:rsidR="00A8138F" w:rsidRDefault="00A8138F" w:rsidP="00A8138F">
      <w:pPr>
        <w:pStyle w:val="TextoNormal"/>
      </w:pPr>
      <w:r>
        <w:t xml:space="preserve">c) Por lo que hace al derecho de reunión (art. 21 CE), sostiene que los artículos recurridos solamente contienen una limitación del ejercicio del derecho, en razón de circunstancias extremas que hacen que el derecho individual de cada persona a reunirse con quien quiera y donde quiera pueda verse razonablemente constreñido. Frente a lo alegado en la demanda, </w:t>
      </w:r>
      <w:r>
        <w:lastRenderedPageBreak/>
        <w:t>niega que se haya producido una suspensión del derecho de reunión, sino que solo se delimita su ejercicio en casos y supuestos razonables, de forma proporcional y con un fin lícito.</w:t>
      </w:r>
    </w:p>
    <w:p w14:paraId="02DE6E0D" w14:textId="77777777" w:rsidR="00A8138F" w:rsidRDefault="00A8138F" w:rsidP="00A8138F">
      <w:pPr>
        <w:pStyle w:val="TextoNormal"/>
      </w:pPr>
    </w:p>
    <w:p w14:paraId="280D095F" w14:textId="77777777" w:rsidR="00A8138F" w:rsidRDefault="00A8138F" w:rsidP="00A8138F">
      <w:pPr>
        <w:pStyle w:val="TextoNormal"/>
      </w:pPr>
      <w:r>
        <w:t>d) En cuanto a la vulneración del derecho a la integridad física (art. 15 CE) y el derecho a la intimidad personal (art. 18.1 CE), razona lo siguiente:</w:t>
      </w:r>
    </w:p>
    <w:p w14:paraId="41DFBFD3" w14:textId="77777777" w:rsidR="00A8138F" w:rsidRDefault="00A8138F" w:rsidP="00A8138F">
      <w:pPr>
        <w:pStyle w:val="TextoNormal"/>
      </w:pPr>
    </w:p>
    <w:p w14:paraId="54B1D119" w14:textId="77777777" w:rsidR="00A8138F" w:rsidRDefault="00A8138F" w:rsidP="00A8138F">
      <w:pPr>
        <w:pStyle w:val="TextoNormal"/>
      </w:pPr>
      <w:r>
        <w:t>(i) De un lado, niega que haya pruebas diagnósticas o vacunaciones forzosas, por lo que ninguna lesión o atentado a la integridad física o a la intimidad puede existir si la persona afectada decide simplemente no someterse a las pruebas antes citadas. No es cierto que la vacuna sea obligatoria ni que la norma obligue a la realización de pruebas diagnósticas o a la administración de vacunas en contra de la voluntad de la persona afectada. Tal es así que el Decreto-ley 11/2021 reconoce el derecho de las personas a no prestar el consentimiento para la vacunación. Lo que la norma dice es que la negativa a la vacunación tendrá ciertos efectos en el ámbito laboral o actividad en los que su ejercicio profesional se condiciona a la vacunación previa, con los efectos limitados.</w:t>
      </w:r>
    </w:p>
    <w:p w14:paraId="200A19DF" w14:textId="77777777" w:rsidR="00A8138F" w:rsidRDefault="00A8138F" w:rsidP="00A8138F">
      <w:pPr>
        <w:pStyle w:val="TextoNormal"/>
      </w:pPr>
    </w:p>
    <w:p w14:paraId="678A8A52" w14:textId="77777777" w:rsidR="00A8138F" w:rsidRDefault="00A8138F" w:rsidP="00A8138F">
      <w:pPr>
        <w:pStyle w:val="TextoNormal"/>
      </w:pPr>
      <w:r>
        <w:t>(ii) De otro lado, en relación con el uso de mascarillas a partir de los seis años de edad, sostiene que el Decreto-ley 11/2021 se ha limitado a recoger la obligación prevista en el art. 6.1 de la Ley 2/2021, de 29 de marzo. A su juicio, calificar esta exigencia como una injerencia en la libertad, la dignidad, el libre desarrollo de la personalidad, así como lesiva de los derechos fundamentales reconocidos en los arts. 17, 18 19 y 21 CE “no deja de ser un exceso” y “desde luego, no es una prestación personal y patrimonial del art. 31.3 CE”. En todo caso, insiste en que se trata de una medida siempre sometida a la legislación básica del Estado.</w:t>
      </w:r>
    </w:p>
    <w:p w14:paraId="389C9D9A" w14:textId="77777777" w:rsidR="00A8138F" w:rsidRDefault="00A8138F" w:rsidP="00A8138F">
      <w:pPr>
        <w:pStyle w:val="TextoNormal"/>
      </w:pPr>
    </w:p>
    <w:p w14:paraId="7EA5D876" w14:textId="77777777" w:rsidR="00A8138F" w:rsidRDefault="00A8138F" w:rsidP="00A8138F">
      <w:pPr>
        <w:pStyle w:val="TextoNormal"/>
      </w:pPr>
      <w:r>
        <w:t>G) También rechaza la impugnación de la modificación operada en la Ley 11/1994:</w:t>
      </w:r>
    </w:p>
    <w:p w14:paraId="0A11C3FB" w14:textId="77777777" w:rsidR="00A8138F" w:rsidRDefault="00A8138F" w:rsidP="00A8138F">
      <w:pPr>
        <w:pStyle w:val="TextoNormal"/>
      </w:pPr>
    </w:p>
    <w:p w14:paraId="7100278E" w14:textId="77777777" w:rsidR="00A8138F" w:rsidRDefault="00A8138F" w:rsidP="00A8138F">
      <w:pPr>
        <w:pStyle w:val="TextoNormal"/>
      </w:pPr>
      <w:r>
        <w:t>a) Estima que las funciones asignadas al personal de inspección se encuentran detalladas con el mismo tenor en el art. 31.1 LGS, básica en materia sanitaria.</w:t>
      </w:r>
    </w:p>
    <w:p w14:paraId="791BA345" w14:textId="77777777" w:rsidR="00A8138F" w:rsidRDefault="00A8138F" w:rsidP="00A8138F">
      <w:pPr>
        <w:pStyle w:val="TextoNormal"/>
      </w:pPr>
    </w:p>
    <w:p w14:paraId="49AF4224" w14:textId="77777777" w:rsidR="00A8138F" w:rsidRDefault="00A8138F" w:rsidP="00A8138F">
      <w:pPr>
        <w:pStyle w:val="TextoNormal"/>
      </w:pPr>
      <w:r>
        <w:t>b) Precisamente la STC 148/2021 avalaría las medidas de suspensión y prohibición de actividades o clausura de establecimientos, impugnadas.</w:t>
      </w:r>
    </w:p>
    <w:p w14:paraId="23172F83" w14:textId="77777777" w:rsidR="00A8138F" w:rsidRDefault="00A8138F" w:rsidP="00A8138F">
      <w:pPr>
        <w:pStyle w:val="TextoNormal"/>
      </w:pPr>
    </w:p>
    <w:p w14:paraId="5E1E0828" w14:textId="77777777" w:rsidR="00A8138F" w:rsidRDefault="00A8138F" w:rsidP="00A8138F">
      <w:pPr>
        <w:pStyle w:val="TextoNormal"/>
      </w:pPr>
      <w:r>
        <w:t>c) La frontera entre las medidas que se pueden adoptar en un estado de alarma sanitaria y una situación sanitaria grave sin estado de alarma es sutil y hasta permeable, como lo acredita el hecho de que el estado de alarma puede hacer suyas medidas contempladas en la legalidad ordinaria. Y de todo ello se desprende que, dándose las debidas condiciones adecuadas, se pueden adoptar medidas limitativas de derechos sin que haya estado de alarma declarado.</w:t>
      </w:r>
    </w:p>
    <w:p w14:paraId="468B64AB" w14:textId="77777777" w:rsidR="00A8138F" w:rsidRDefault="00A8138F" w:rsidP="00A8138F">
      <w:pPr>
        <w:pStyle w:val="TextoNormal"/>
      </w:pPr>
    </w:p>
    <w:p w14:paraId="7B57054D" w14:textId="483302BB" w:rsidR="00A8138F" w:rsidRDefault="00A8138F" w:rsidP="00A8138F">
      <w:pPr>
        <w:pStyle w:val="TextoNormal"/>
      </w:pPr>
      <w:r>
        <w:t>H) Por último, rechaza que se incurra en una vulneración de la libertad de empresa (art. 38 CE) y del derecho a la protección de datos de carácter personal (art. 18.4 CE). Para ello, parte de la consideración de que los preceptos cuestionados hacen expresa remisión a lo dispuesto en la legislación de datos personales. También sostiene que la obligación contemplada en el art. 5.2 del Decreto-ley 11/2021 no afecta a toda clase de establecimientos, sino solamente a las actividades o negocios que determinen las autoridades sanitarias. Y añade, que la medida es conforme con el art. 9.1 de la Ley 33/2011, y con el art. 22.1 de la Ley 2/2021, de 29 de marzo.</w:t>
      </w:r>
    </w:p>
    <w:p w14:paraId="62D1B983" w14:textId="77777777" w:rsidR="00A8138F" w:rsidRDefault="00A8138F" w:rsidP="00A8138F">
      <w:pPr>
        <w:pStyle w:val="TextoNormal"/>
      </w:pPr>
    </w:p>
    <w:p w14:paraId="3C45B3CE" w14:textId="590FB8EE" w:rsidR="00A8138F" w:rsidRDefault="00A8138F" w:rsidP="00A8138F">
      <w:pPr>
        <w:pStyle w:val="TextoNormal"/>
      </w:pPr>
      <w:r w:rsidRPr="00A8138F">
        <w:rPr>
          <w:rStyle w:val="NumeroAFNegritaCaracter"/>
        </w:rPr>
        <w:t>12</w:t>
      </w:r>
      <w:r>
        <w:t>. Por diligencia del secretario de justicia del Pleno de 11 de marzo de 2022, se declaró el proceso concluso y pendiente para deliberación y votación de la sentencia, sin perjuicio de lo dispuesto en el art. 84 LOTC.</w:t>
      </w:r>
    </w:p>
    <w:p w14:paraId="02068A8D" w14:textId="77777777" w:rsidR="00A8138F" w:rsidRDefault="00A8138F" w:rsidP="00A8138F">
      <w:pPr>
        <w:pStyle w:val="TextoNormal"/>
      </w:pPr>
    </w:p>
    <w:p w14:paraId="5BE2AEBA" w14:textId="22560597" w:rsidR="00A8138F" w:rsidRDefault="00A8138F" w:rsidP="00A8138F">
      <w:pPr>
        <w:pStyle w:val="TextoNormal"/>
      </w:pPr>
      <w:r w:rsidRPr="00A8138F">
        <w:rPr>
          <w:rStyle w:val="NumeroAFNegritaCaracter"/>
        </w:rPr>
        <w:t>13</w:t>
      </w:r>
      <w:r>
        <w:t>. Por providencia de 8 de abril de 2025, se señaló para deliberación y votación de la presente sentencia el día 9 del mismo mes y año.</w:t>
      </w:r>
    </w:p>
    <w:p w14:paraId="6ACF7AF3" w14:textId="77777777" w:rsidR="00A8138F" w:rsidRDefault="00A8138F" w:rsidP="00A8138F">
      <w:pPr>
        <w:pStyle w:val="TextoNormal"/>
      </w:pPr>
    </w:p>
    <w:p w14:paraId="3647E738" w14:textId="77777777" w:rsidR="00A8138F" w:rsidRDefault="00A8138F" w:rsidP="00A8138F">
      <w:pPr>
        <w:pStyle w:val="TextoNormalNegritaCentrado"/>
        <w:keepNext/>
      </w:pPr>
      <w:r>
        <w:t>II. Fundamentos jurídicos</w:t>
      </w:r>
    </w:p>
    <w:p w14:paraId="5F6907A4" w14:textId="5B571184" w:rsidR="00A8138F" w:rsidRDefault="00A8138F" w:rsidP="00A8138F">
      <w:pPr>
        <w:pStyle w:val="TextoNormalNegritaCentrado"/>
        <w:keepNext/>
      </w:pPr>
    </w:p>
    <w:p w14:paraId="440B2CA0"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6FF4FF17" w14:textId="77777777" w:rsidR="00A8138F" w:rsidRDefault="00A8138F" w:rsidP="00A8138F">
      <w:pPr>
        <w:pStyle w:val="TextoNormal"/>
      </w:pPr>
    </w:p>
    <w:p w14:paraId="67DA116D" w14:textId="77777777" w:rsidR="00A8138F" w:rsidRDefault="00A8138F" w:rsidP="00A8138F">
      <w:pPr>
        <w:pStyle w:val="TextoNormal"/>
      </w:pPr>
      <w:r>
        <w:t>El presente recurso de inconstitucionalidad núm. 7767-2021, interpuesto por más de cincuenta diputados del Grupo Parlamentario Vox en el Congreso de los Diputados, tiene por objeto el Decreto-ley 11/2021, de 2 de septiembre, por el que se establece el régimen jurídico de alerta sanitaria y las medidas para el control y gestión de la pandemia de covid-19 en Canarias y, subsidiariamente, contra los arts. 1; 2; 3.4; 5.2; 6.1 y 2; 7.4; 9.1; 12.1 a) y b), 2, 5 y 6; 14.2; 15.7; 19.3 y 4; 21.3; 22.2, 3 y 4; 23.1, 2 y 3; 24.3; 25; 26; 27 y 28; las disposiciones transitoria segunda y final primera, en cuanto da nueva redacción a los apartados segundo y tercero del art. 28 de la Ley 11/1994, de 26 de julio, de ordenación sanitaria de Canarias, y el anexo III de dicho Decreto-ley 11/2021.</w:t>
      </w:r>
    </w:p>
    <w:p w14:paraId="05305B6D" w14:textId="77777777" w:rsidR="00A8138F" w:rsidRDefault="00A8138F" w:rsidP="00A8138F">
      <w:pPr>
        <w:pStyle w:val="TextoNormal"/>
      </w:pPr>
    </w:p>
    <w:p w14:paraId="5C762255" w14:textId="77777777" w:rsidR="00A8138F" w:rsidRDefault="00A8138F" w:rsidP="00A8138F">
      <w:pPr>
        <w:pStyle w:val="TextoNormal"/>
      </w:pPr>
      <w:r>
        <w:t>Como se ha expuesto en detalle en los antecedentes, el recurso se fundamenta en los siguientes motivos: (i) la vulneración de los arts. 116, 55 y 38 CE, por regular el Decreto-ley 11/2021 un estado de excepción constitucional, fuera del marco establecido en la Constitución; (ii) la infracción de los límites materiales previstos para el decreto-ley (art. 86.1 CE), así como la vulneración del contenido esencial (art. 53.1 CE) de diversos derechos fundamentales; (iii) la vulneración del art. 24 CE, por tratarse de un decreto-ley autoaplicativo que no cumple las exigencias constitucionales que rigen para este tipo de normas; (iv) la infracción de la reserva de ley orgánica (art. 81 CE); (v) la vulneración de los arts. 18 y 38 CE, y (vi) la invasión de las competencias estatales previstas en el art. 149.1.1 y 149.1.16 CE.</w:t>
      </w:r>
    </w:p>
    <w:p w14:paraId="6FB4BBF1" w14:textId="77777777" w:rsidR="00A8138F" w:rsidRDefault="00A8138F" w:rsidP="00A8138F">
      <w:pPr>
        <w:pStyle w:val="TextoNormal"/>
      </w:pPr>
    </w:p>
    <w:p w14:paraId="0CDCF198" w14:textId="7047B781" w:rsidR="00A8138F" w:rsidRDefault="00A8138F" w:rsidP="00A8138F">
      <w:pPr>
        <w:pStyle w:val="TextoNormal"/>
      </w:pPr>
      <w:r>
        <w:t>El Gobierno de Canarias ha solicitado expresamente en el suplico de su escrito de alegaciones que no sean objeto de enjuiciamiento, por insuficiente argumentación, los motivos de impugnación relacionados con los arts.: 4, 8, 10, 11, 13, 14, 15, 16, 17, 18 y 20; con las disposiciones: adicional única, transitoria primera, final primera y derogatoria única, y con los anexos I y II del Decreto-ley 11/2021, así como los relacionados con la infracción de los arts. 17, 21, 24, 25 y 55 CE. Tanto el Gobierno de Canarias como el Parlamento de Canarias han interesado la íntegra desestimación del recurso de inconstitucionalidad y, además, a lo largo de sus respectivos escritos de alegaciones, han puesto de manifiesto la ausencia de carga alegatoria del recurso de inconstitucionalidad en determinados apartados, tal y como se refleja en el relato de antecedentes de esta resolución.</w:t>
      </w:r>
    </w:p>
    <w:p w14:paraId="6215D91E" w14:textId="77777777" w:rsidR="00A8138F" w:rsidRDefault="00A8138F" w:rsidP="00A8138F">
      <w:pPr>
        <w:pStyle w:val="TextoNormal"/>
      </w:pPr>
    </w:p>
    <w:p w14:paraId="3B3A7D3B" w14:textId="77777777" w:rsidR="00A8138F" w:rsidRDefault="00A8138F" w:rsidP="00A8138F">
      <w:pPr>
        <w:pStyle w:val="TextoNormal"/>
      </w:pPr>
      <w:r w:rsidRPr="00A8138F">
        <w:rPr>
          <w:rStyle w:val="NumeroAFNegritaCaracter"/>
        </w:rPr>
        <w:t>2</w:t>
      </w:r>
      <w:r>
        <w:t xml:space="preserve">. </w:t>
      </w:r>
      <w:r w:rsidRPr="00A8138F">
        <w:rPr>
          <w:i/>
        </w:rPr>
        <w:t>Consideraciones previas</w:t>
      </w:r>
    </w:p>
    <w:p w14:paraId="1DC6F1D8" w14:textId="77777777" w:rsidR="00A8138F" w:rsidRDefault="00A8138F" w:rsidP="00A8138F">
      <w:pPr>
        <w:pStyle w:val="TextoNormal"/>
      </w:pPr>
    </w:p>
    <w:p w14:paraId="52D4DF17" w14:textId="77777777" w:rsidR="00A8138F" w:rsidRDefault="00A8138F" w:rsidP="00A8138F">
      <w:pPr>
        <w:pStyle w:val="TextoNormal"/>
      </w:pPr>
      <w:r>
        <w:lastRenderedPageBreak/>
        <w:t>A) El presente recurso de inconstitucionalidad se dirige contra el Decreto-ley 11/2021 de 2 de septiembre, del Gobierno de Canarias, por el que se establece el régimen jurídico de alerta sanitaria y las medidas para el control y gestión de la pandemia de covid-19 en Canarias. Una vez convalidado por el Parlamento de Canarias, su tramitación como proyecto de ley por el procedimiento de urgencia culminó con la aprobación de la Ley 2/2022, de 6 de junio, por la que se establece el régimen jurídico de alerta sanitaria y las medidas para el control y gestión de la pandemia de covid-19 en Canarias (en adelante, Ley 2/2022). La disposición derogatoria única, apartado cuarto, de la citada Ley del Parlamento de Canarias 2/2022 acordó la íntegra derogación del Decreto-ley 11/2021. Por lo tanto, con carácter previo a examinar el fondo del recurso, debemos examinar en qué medida afecta esta modificación legislativa a la subsistencia del presente proceso constitucional.</w:t>
      </w:r>
    </w:p>
    <w:p w14:paraId="6C72F554" w14:textId="77777777" w:rsidR="00A8138F" w:rsidRDefault="00A8138F" w:rsidP="00A8138F">
      <w:pPr>
        <w:pStyle w:val="TextoNormal"/>
      </w:pPr>
    </w:p>
    <w:p w14:paraId="0F55111E" w14:textId="77777777" w:rsidR="00A8138F" w:rsidRDefault="00A8138F" w:rsidP="00A8138F">
      <w:pPr>
        <w:pStyle w:val="TextoNormal"/>
      </w:pPr>
      <w:r>
        <w:t>a) Como tuvimos ocasión de recordar en la STC 141/2024, de 19 de noviembre, FJ 2 a), la doctrina constitucional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[SSTC 67/2024, de 23 de abril, FJ 2, y 88/2024, de 5 de junio, FJ 3 b)]. Ahora bien, esta regla general tiene varias excepciones en nuestra jurisprudencia, algunas de las cuales resultan de interés en relación con el presente procedimiento.</w:t>
      </w:r>
    </w:p>
    <w:p w14:paraId="02A2489F" w14:textId="77777777" w:rsidR="00A8138F" w:rsidRDefault="00A8138F" w:rsidP="00A8138F">
      <w:pPr>
        <w:pStyle w:val="TextoNormal"/>
      </w:pPr>
    </w:p>
    <w:p w14:paraId="746EB303" w14:textId="77777777" w:rsidR="00A8138F" w:rsidRDefault="00A8138F" w:rsidP="00A8138F">
      <w:pPr>
        <w:pStyle w:val="TextoNormal"/>
      </w:pPr>
      <w:r>
        <w:t>La primera de esas excepciones tiene que ver con el concreto supuesto de la impugnación de los decretos-leyes por la infracción del art. 86.1 CE, tanto en lo que se refiere a los límites formales (presupuesto habilitante y conexión de sentido) como a los límites materiales a los que está sujeta la utilización de este instrumento normativo propio de la legislación de urgencia.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Al respecto, este tribunal ha venido señalando que la infracción del art. 86.1 CE no pierde objeto, ya que la falta de vigencia en este momento del precepto recurrido no impide controlar si el ejercicio de la potestad reconocida al Gobierno por el art. 86.1 CE se realizó siguiendo los requisitos establecidos en dicho precepto constitucional, pues este control tiene por objeto velar por el recto ejercicio de la potestad para dictar decretos-leyes, dentro del marco constitucional, decidiendo la validez o invalidez de las normas impugnadas sin atender a su vigencia o derogación en el momento en que se pronuncia el fallo [STC 9/2023, de 22 de febrero, FJ 2 b), con cita de las SSTC 137/2011, de 14 de septiembre, FJ 2; 47/2015, de 5 de marzo, FJ 2 b); 48/2015, de 5 de marzo, FJ 2; 211/2015, de 8 de octubre, FJ 2, y 150/2017, de 21 de diciembre, FJ 3].</w:t>
      </w:r>
    </w:p>
    <w:p w14:paraId="1EB9F108" w14:textId="77777777" w:rsidR="00A8138F" w:rsidRDefault="00A8138F" w:rsidP="00A8138F">
      <w:pPr>
        <w:pStyle w:val="TextoNormal"/>
      </w:pPr>
    </w:p>
    <w:p w14:paraId="5C425865" w14:textId="77777777" w:rsidR="00A8138F" w:rsidRDefault="00A8138F" w:rsidP="00A8138F">
      <w:pPr>
        <w:pStyle w:val="TextoNormal"/>
      </w:pPr>
      <w:r>
        <w:t>La segunda excepción se refiere a las impugnaciones de carácter competencial. En estos casos, como recordamos en la STC 10/2023, de 23 de febrero, FJ 2,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la competencia para resolverlo del tribunal porque “la función de preservar los ámbitos respectivos de compe</w:t>
      </w:r>
      <w:r>
        <w:lastRenderedPageBreak/>
        <w:t>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14:paraId="336041ED" w14:textId="77777777" w:rsidR="00A8138F" w:rsidRDefault="00A8138F" w:rsidP="00A8138F">
      <w:pPr>
        <w:pStyle w:val="TextoNormal"/>
      </w:pPr>
    </w:p>
    <w:p w14:paraId="4CEFC061" w14:textId="77777777" w:rsidR="00A8138F" w:rsidRDefault="00A8138F" w:rsidP="00A8138F">
      <w:pPr>
        <w:pStyle w:val="TextoNormal"/>
      </w:pPr>
      <w:r>
        <w:t>La tercera excepción que hemos de tener en cuenta es la relativa a los recursos de inconstitucionalidad que denuncian la infracción del art. 81.1 CE, en cuanto se refiere a la reserva de ley orgánica. En estos casos, hemos venido afirmando que “el conflicto subyacente al recurso planteado ante este tribunal pervive ya que lo que se pide es un pronunciamiento sobre la atribución de la naturaleza de ley orgánica a ciertas normas, lo que puede y debe hacerse, con independencia de cuál sea su vigencia al tiempo de dictarse el presente fallo” [SSTC 124/2003, de 19 de junio, FJ 10, y 184/2012, de 17 de octubre, FJ 2 b)]. En idéntico sentido nos hemos pronunciado recientemente en la STC 136/2024, de 5 de noviembre, FJ 2 B) (i).</w:t>
      </w:r>
    </w:p>
    <w:p w14:paraId="2BDDFD05" w14:textId="77777777" w:rsidR="00A8138F" w:rsidRDefault="00A8138F" w:rsidP="00A8138F">
      <w:pPr>
        <w:pStyle w:val="TextoNormal"/>
      </w:pPr>
    </w:p>
    <w:p w14:paraId="2598DCF5" w14:textId="77777777" w:rsidR="00A8138F" w:rsidRDefault="00A8138F" w:rsidP="00A8138F">
      <w:pPr>
        <w:pStyle w:val="TextoNormal"/>
      </w:pPr>
      <w:r>
        <w:t>Por otro lado, como resolvimos en la STC 141/2024, FJ 2 a), tampoco pierden objeto, en este contexto, las quejas relativas a la infracción de los arts. 116 y 55 CE, por haberse regulado medidas de suspensión o restricción de derechos fundamentales que solo cabe adoptar a través de la legislación excepcional de los estados de crisis.</w:t>
      </w:r>
    </w:p>
    <w:p w14:paraId="575EC5E9" w14:textId="77777777" w:rsidR="00A8138F" w:rsidRDefault="00A8138F" w:rsidP="00A8138F">
      <w:pPr>
        <w:pStyle w:val="TextoNormal"/>
      </w:pPr>
    </w:p>
    <w:p w14:paraId="76721ED1" w14:textId="77777777" w:rsidR="00A8138F" w:rsidRDefault="00A8138F" w:rsidP="00A8138F">
      <w:pPr>
        <w:pStyle w:val="TextoNormal"/>
      </w:pPr>
      <w:r>
        <w:t>Finalmente, este tribunal ha entendido que la derogación o pérdida de vigencia de un decreto-ley no impide el control de aquellas cuestiones que, sin versar acerca de la infracción de los presupuestos formales y materiales de los decretos-leyes, inciden “en la correcta utilización de este instrumento legislativo y en el papel que desempeña en el sistema de fuentes del Derecho”. Así lo afirmó este tribunal en la STC 38/2016, de 3 de marzo, FJ 7, en relación con una queja dirigida contra un decreto-ley autonómico impugnado por una pretendida infracción del art. 24 CE, basada en la consideración de aquel como una ley singular dictada con la finalidad de impedir la ejecución de determinadas resoluciones judiciales.</w:t>
      </w:r>
    </w:p>
    <w:p w14:paraId="2DA757E0" w14:textId="77777777" w:rsidR="00A8138F" w:rsidRDefault="00A8138F" w:rsidP="00A8138F">
      <w:pPr>
        <w:pStyle w:val="TextoNormal"/>
      </w:pPr>
    </w:p>
    <w:p w14:paraId="77DAF7C3" w14:textId="77777777" w:rsidR="00A8138F" w:rsidRDefault="00A8138F" w:rsidP="00A8138F">
      <w:pPr>
        <w:pStyle w:val="TextoNormal"/>
      </w:pPr>
      <w:r>
        <w:t>b) Aplicando la doctrina constitucional al caso que nos ocupa, ha de afirmarse que, a pesar de la derogación del Decreto-ley 11/2021 por la Ley 2/2022, subsiste indudablemente el objeto del recurso de inconstitucionalidad en lo que se refiere a los siguientes motivos de impugnación: i) la vulneración de los arts. 116 y 55 CE, por regular el Decreto-ley 11/2021 un estado de excepción constitucional, fuera del marco establecido en la Constitución; (ii) la infracción de los límites materiales del decreto-ley (art. 86.1 CE) y (iii) la vulneración de la reserva de ley orgánica (art. 81 CE).</w:t>
      </w:r>
    </w:p>
    <w:p w14:paraId="479878F8" w14:textId="77777777" w:rsidR="00A8138F" w:rsidRDefault="00A8138F" w:rsidP="00A8138F">
      <w:pPr>
        <w:pStyle w:val="TextoNormal"/>
      </w:pPr>
    </w:p>
    <w:p w14:paraId="7C2C55F4" w14:textId="77777777" w:rsidR="00A8138F" w:rsidRDefault="00A8138F" w:rsidP="00A8138F">
      <w:pPr>
        <w:pStyle w:val="TextoNormal"/>
      </w:pPr>
      <w:r>
        <w:t xml:space="preserve">En relación con la queja de naturaleza competencial, por la pretendida invasión de las competencias estatales previstas en el art. 149.1.1 y 149.1.16 CE, la tesis de los recurrentes puede sintetizarse en que “el establecimiento por razones sanitarias de supuestos en los que cabría imponer fuertes restricciones o incluso la auténtica suspensión de derechos fundamentales tan nucleares como los previstos en los arts. 15, 17, 19, 18 y 21 CE, integra una competencia exclusiva del Estado”. Esta queja, si bien expuesta en términos globales —lo que, como luego se dirá, habrá de condicionar la forma de la respuesta que, en su caso, haya de recibir—, no se debe entender dirigida contra todo el Decreto-ley 11/2021 en su conjunto, </w:t>
      </w:r>
      <w:r>
        <w:lastRenderedPageBreak/>
        <w:t>pues no toda su regulación consiste en disposiciones que quepa calificar como restrictivas de los derechos fundamentales a los que específicamente alude la demanda, sino que la impugnación ha de entenderse limitada implícitamente a aquellos preceptos y apartados del mismo que regulan específicamente medidas de restricción de derechos fundamentales y que el recurso de inconstitucionalidad identifica como tales en el cuarto fundamento jurídico, en el que se desarrolla la tacha de inconstitucionalidad basada en la vulneración de los límites materiales de los decretos-leyes (art. 86.1 CE), por haber “afectado” el decreto-ley a derechos fundamentales.</w:t>
      </w:r>
    </w:p>
    <w:p w14:paraId="7AB40D82" w14:textId="77777777" w:rsidR="00A8138F" w:rsidRDefault="00A8138F" w:rsidP="00A8138F">
      <w:pPr>
        <w:pStyle w:val="TextoNormal"/>
      </w:pPr>
    </w:p>
    <w:p w14:paraId="7AAACFF7" w14:textId="77777777" w:rsidR="00A8138F" w:rsidRDefault="00A8138F" w:rsidP="00A8138F">
      <w:pPr>
        <w:pStyle w:val="TextoNormal"/>
      </w:pPr>
      <w:r>
        <w:t>Así delimitada la impugnación de índole competencial, el Tribunal constata que el contenido de la Ley 2/2022 reproduce con leves variaciones el contenido del Decreto-ley 11/2021. Por lo tanto, con arreglo a la doctrina expuesta, no es posible afirmar que haya perdido su objeto el recurso de inconstitucionalidad en este punto, sino que la queja pervive en los términos en los que fue inicialmente planteada. Sin embargo, la anterior conclusión no puede hacerse extensiva a la impugnación del art. 9.1 del Decreto-ley 11/2021 antes citado, en relación con la imposición del uso obligatorio de mascarillas, pues el art. 9.1 de la Ley 2/2022 ya no concreta, como hacía su predecesor, los supuestos en los que resulta obligatorio el uso de mascarillas, sino que en su redacción vigente ya simplemente dispone que “[e]l uso obligatorio de mascarillas y sus excepciones se ajustarán a lo previsto en la normativa básica estatal”. En consecuencia, en la medida en que el nuevo art. 9.1 de la Ley 2/2022 se limita a efectuar una mera remisión a la legislación estatal, la controversia de carácter competencial ha desaparecido.</w:t>
      </w:r>
    </w:p>
    <w:p w14:paraId="43A66D31" w14:textId="77777777" w:rsidR="00A8138F" w:rsidRDefault="00A8138F" w:rsidP="00A8138F">
      <w:pPr>
        <w:pStyle w:val="TextoNormal"/>
      </w:pPr>
    </w:p>
    <w:p w14:paraId="726260DB" w14:textId="77777777" w:rsidR="00A8138F" w:rsidRDefault="00A8138F" w:rsidP="00A8138F">
      <w:pPr>
        <w:pStyle w:val="TextoNormal"/>
      </w:pPr>
      <w:r>
        <w:t>Por otro lado, la derogación del decreto-ley autonómico recurrido tampoco ocasiona la pérdida de objeto del motivo de impugnación fundado en la alegada vulneración del art. 24 CE, por tratarse de un decreto-ley autoaplicativo, que los diputados recurrentes dirigen contra los arts. 3.4, 22.2, 23.1, 25, 26, 27 y 28, la disposición transitoria segunda y el anexo III. Si bien en este caso no se aduce que se trate de un decreto-ley dictado para eludir el cumplimiento de resoluciones judiciales, como se denunciaba en el supuesto examinado en la STC 38/2016, FJ 7, lo cierto es que el criterio seguido entonces es plenamente trasladable al caso que nos ocupa. En este recurso de inconstitucionalidad se denuncia que el decreto-ley —o, más propiamente, los concretos preceptos impugnados— opera como una ley singular autoaplicativa que impide el control jurisdiccional de los niveles de alerta sanitaria y de las medidas establecidas para cada uno de ellos y, con independencia de la respuesta que haya de darse a este motivo de impugnación, la cuestión planteada va más allá de una mera queja sustantiva por vulneración del derecho de acceso a la jurisdicción, sino que afecta a la correcta utilización del instrumento legislativo del decreto-ley y, en definitiva, al correcto funcionamiento del sistema de fuentes. Y, en cuanto que tal, ha de ser abordada.</w:t>
      </w:r>
    </w:p>
    <w:p w14:paraId="5637AB80" w14:textId="77777777" w:rsidR="00A8138F" w:rsidRDefault="00A8138F" w:rsidP="00A8138F">
      <w:pPr>
        <w:pStyle w:val="TextoNormal"/>
      </w:pPr>
    </w:p>
    <w:p w14:paraId="7972A965" w14:textId="77777777" w:rsidR="00A8138F" w:rsidRDefault="00A8138F" w:rsidP="00A8138F">
      <w:pPr>
        <w:pStyle w:val="TextoNormal"/>
      </w:pPr>
      <w:r>
        <w:t xml:space="preserve">Por el contrario, la derogación del Decreto-ley 11/2021 por la disposición derogatoria única de la Ley 2/2022 sí ocasiona la carencia sobrevenida de objeto de los motivos de impugnación de naturaleza material o sustantiva deducidos en el recurso de inconstitucionalidad, a saber: (i) la infracción del art. 38 CE, que se imputa a la disposición final primera del Decreto-ley 11/2021, en cuanto que da una nueva redacción al apartado tercero del art. 28 de la Ley 11/1994; (ii) la infracción de los arts. 18 y 38 CE, invocada en relación con los arts. 5.2, 25.8, 26.8, 27.8 y 28.8 del Decreto-ley 11/2021 y (iii) el resto de consideraciones de tipo sustantivo o material que el recurso de inconstitucionalidad alega, de manera entremezclada y algo confusa, al hilo de las quejas basadas en la vulneración de los arts. 86.1 y </w:t>
      </w:r>
      <w:r>
        <w:lastRenderedPageBreak/>
        <w:t>81.1 CE, como sería el caso de la impugnación del art. 9.1 del Decreto-ley 11/2021 por no haber efectuado una ponderación suficiente del interés superior del menor (art. 39.3 CE) y vulnerar el principio de proporcionalidad, así como la impugnación del art. 19 del citado Decreto-ley, que se recurre por “agrava[r]” las vulneraciones sustantivas de derechos fundamentales alegadas.</w:t>
      </w:r>
    </w:p>
    <w:p w14:paraId="3A47CDA0" w14:textId="77777777" w:rsidR="00A8138F" w:rsidRDefault="00A8138F" w:rsidP="00A8138F">
      <w:pPr>
        <w:pStyle w:val="TextoNormal"/>
      </w:pPr>
    </w:p>
    <w:p w14:paraId="77348A3D" w14:textId="77777777" w:rsidR="00A8138F" w:rsidRDefault="00A8138F" w:rsidP="00A8138F">
      <w:pPr>
        <w:pStyle w:val="TextoNormal"/>
      </w:pPr>
      <w:r>
        <w:t>B) Por otro lado, las representaciones procesales del Gobierno y del Parlamento de Canarias han solicitado la inadmisión parcial del recurso de inconstitucionalidad por carecer manifiestamente de carga argumentativa en alguno de sus puntos.</w:t>
      </w:r>
    </w:p>
    <w:p w14:paraId="13C58DC7" w14:textId="77777777" w:rsidR="00A8138F" w:rsidRDefault="00A8138F" w:rsidP="00A8138F">
      <w:pPr>
        <w:pStyle w:val="TextoNormal"/>
      </w:pPr>
    </w:p>
    <w:p w14:paraId="1DF84A45" w14:textId="77777777" w:rsidR="00A8138F" w:rsidRDefault="00A8138F" w:rsidP="00A8138F">
      <w:pPr>
        <w:pStyle w:val="TextoNormal"/>
      </w:pPr>
      <w:r>
        <w:t>En relación con las consecuencias que se puedan derivar del incumplimiento de la carga argumental del recurrente, este tribunal ha afirmado reiteradamente que “nuestro pronunciamiento debe centrarse en los aspectos señalados en la demanda ‘sin que este tribunal 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Ello supone que no debe estimarse una pretensión que solo descansa en la mera aseveración genérica, huérfana de toda argumentación, […] [STC 22/2012, de 16 de febrero, FJ 2 b)]” [STC 76/2024, de 8 de mayo, FJ 2 b) (i)].</w:t>
      </w:r>
    </w:p>
    <w:p w14:paraId="6B8A76EA" w14:textId="77777777" w:rsidR="00A8138F" w:rsidRDefault="00A8138F" w:rsidP="00A8138F">
      <w:pPr>
        <w:pStyle w:val="TextoNormal"/>
      </w:pPr>
    </w:p>
    <w:p w14:paraId="441F8A48" w14:textId="77777777" w:rsidR="00A8138F" w:rsidRDefault="00A8138F" w:rsidP="00A8138F">
      <w:pPr>
        <w:pStyle w:val="TextoNormal"/>
      </w:pPr>
      <w:r>
        <w:t>a) Pues bien, en primer lugar, la letrada del Gobierno de Canarias solicita que no sean objeto de enjuiciamiento, por insuficiente argumentación, los arts. 4, 8, 10, 11, 13, 14, 15, 16, 17, 18 y 20, las disposiciones adicional única, transitoria primera, derogatoria única y los anexos I y II del Decreto-ley 11/2021.</w:t>
      </w:r>
    </w:p>
    <w:p w14:paraId="301C5F42" w14:textId="77777777" w:rsidR="00A8138F" w:rsidRDefault="00A8138F" w:rsidP="00A8138F">
      <w:pPr>
        <w:pStyle w:val="TextoNormal"/>
      </w:pPr>
    </w:p>
    <w:p w14:paraId="14BA53B3" w14:textId="77777777" w:rsidR="00A8138F" w:rsidRDefault="00A8138F" w:rsidP="00A8138F">
      <w:pPr>
        <w:pStyle w:val="TextoNormal"/>
      </w:pPr>
      <w:r>
        <w:t>Esta pretensión no puede acogerse o, al menos, no en los términos en los que ha sido planteada. El examen de la demanda pone de manifiesto que no estamos ante un caso de ausencia de carga argumental del recurso de inconstitucionalidad en relación con los preceptos indicados por el Gobierno autonómico, sino que, en realidad, se trata de preceptos que, sencillamente, no han sido objeto de impugnación autónoma. La mayoría de los preceptos aludidos no se mencionan en el suplico de la demanda junto con el resto de los preceptos impugnados ni tampoco son objeto de consideración en la fundamentación jurídica de la misma. Esta conclusión, sin embargo, no alcanza a los arts. 14.2 y 15.7 del Decreto-ley 11/2021, que sí han sido objeto de impugnación y respecto de los cuales la demanda, al exponer la queja constitucional por vulneración de los límites materiales de los decretos-leyes (art. 86.1 CE), desarrolla una argumentación que no cabe calificar como insuficiente a los efectos que ahora nos ocupan.</w:t>
      </w:r>
    </w:p>
    <w:p w14:paraId="1BE03DC9" w14:textId="77777777" w:rsidR="00A8138F" w:rsidRDefault="00A8138F" w:rsidP="00A8138F">
      <w:pPr>
        <w:pStyle w:val="TextoNormal"/>
      </w:pPr>
    </w:p>
    <w:p w14:paraId="0D4C8804" w14:textId="77777777" w:rsidR="00A8138F" w:rsidRDefault="00A8138F" w:rsidP="00A8138F">
      <w:pPr>
        <w:pStyle w:val="TextoNormal"/>
      </w:pPr>
      <w:r>
        <w:t xml:space="preserve">b) En segundo lugar, en relación con la impugnación basada en la infracción de la reserva de ley orgánica (art. 81 CE), la letrada del Gobierno de Canarias solicita que se deje fuera </w:t>
      </w:r>
      <w:r>
        <w:lastRenderedPageBreak/>
        <w:t>del enjuiciamiento el art. 15.7 del Decreto-ley 11/2021 y las quejas relacionadas con los arts. 15, 17, 18, 19, 21, 24 y 25 CE.</w:t>
      </w:r>
    </w:p>
    <w:p w14:paraId="516184EB" w14:textId="77777777" w:rsidR="00A8138F" w:rsidRDefault="00A8138F" w:rsidP="00A8138F">
      <w:pPr>
        <w:pStyle w:val="TextoNormal"/>
      </w:pPr>
    </w:p>
    <w:p w14:paraId="7CF22C6C" w14:textId="77777777" w:rsidR="00A8138F" w:rsidRDefault="00A8138F" w:rsidP="00A8138F">
      <w:pPr>
        <w:pStyle w:val="TextoNormal"/>
      </w:pPr>
      <w:r>
        <w:t>En relación con el art. 15.7 del Decreto-ley 11/2021, este tribunal no aprecia que el recurso incurra en una ausencia de argumentación. Sucede que se trata de una impugnación planteada de forma subsidiaria respecto de la tacha de inconstitucionalidad fundada en la infracción del art. 86.1 CE, de manera que, siguiendo la lógica interna del escrito de demanda, los argumentos empleados para defender la inconstitucionalidad del precepto desde la perspectiva de los límites materiales de los decretos-leyes se hacen extensibles también a la queja relativa a la infracción de la reserva de ley orgánica. Ciertamente, esta forma de construir el discurso impugnatorio puede resultar cuestionable técnicamente, en la medida en que implica una especie de traslación argumental entre distintos apartados de la demanda, referidos a vulneraciones constitucionales distintas y, por ende, sujetas a cánones de enjuiciamiento que no resultan enteramente coincidentes entre sí. Sin embargo, con independencia de ello, no puede considerarse solo por este motivo que el presente recurso carezca absolutamente de contenido impugnatorio respecto del art. 15.7 del Decreto-ley 11/2021.</w:t>
      </w:r>
    </w:p>
    <w:p w14:paraId="03496E51" w14:textId="77777777" w:rsidR="00A8138F" w:rsidRDefault="00A8138F" w:rsidP="00A8138F">
      <w:pPr>
        <w:pStyle w:val="TextoNormal"/>
      </w:pPr>
    </w:p>
    <w:p w14:paraId="4F4FA9EB" w14:textId="77777777" w:rsidR="00A8138F" w:rsidRDefault="00A8138F" w:rsidP="00A8138F">
      <w:pPr>
        <w:pStyle w:val="TextoNormal"/>
      </w:pPr>
      <w:r>
        <w:t>Esto mismo acontece en el caso de los arts. 15, 17, 18, 19 y 21 CE, que solo se invocan de manera instrumental en relación con la vulneración de la reserva de ley orgánica (art. 81.1 CE), que es la verdadera tacha de inconstitucionalidad que se alega. Así delimitado el contenido de este motivo de impugnación, y atendiendo a la lógica interna del recurso de inconstitucionalidad antes indicada, no puede afirmarse que esta queja carezca de desarrollo argumentativo en la demanda y prueba de ello es que el escrito de alegaciones del Gobierno de Canarias ha dedicado varias páginas a desarrollar por qué, a su juicio, el decreto-ley impugnado no lleva a cabo el desarrollo directo de los referidos derechos fundamentales.</w:t>
      </w:r>
    </w:p>
    <w:p w14:paraId="48901C3D" w14:textId="77777777" w:rsidR="00A8138F" w:rsidRDefault="00A8138F" w:rsidP="00A8138F">
      <w:pPr>
        <w:pStyle w:val="TextoNormal"/>
      </w:pPr>
    </w:p>
    <w:p w14:paraId="3294B63B" w14:textId="77777777" w:rsidR="00A8138F" w:rsidRDefault="00A8138F" w:rsidP="00A8138F">
      <w:pPr>
        <w:pStyle w:val="TextoNormal"/>
      </w:pPr>
      <w:r>
        <w:t>Por el contrario, este tribunal ha de convenir con la letrada del Gobierno de Canarias en que los arts. 24 y 25 CE, aunque se citan en el encabezamiento del motivo de impugnación, luego no son objeto de consideración alguna en la argumentación que se desarrolla en relación con la alegada vulneración de la reserva de ley orgánica. Por lo tanto, en nuestro enjuiciamiento de este motivo, los arts. 24 y 25 CE no serán objeto de análisis.</w:t>
      </w:r>
    </w:p>
    <w:p w14:paraId="723D862E" w14:textId="77777777" w:rsidR="00A8138F" w:rsidRDefault="00A8138F" w:rsidP="00A8138F">
      <w:pPr>
        <w:pStyle w:val="TextoNormal"/>
      </w:pPr>
    </w:p>
    <w:p w14:paraId="3FB61B23" w14:textId="77777777" w:rsidR="00A8138F" w:rsidRDefault="00A8138F" w:rsidP="00A8138F">
      <w:pPr>
        <w:pStyle w:val="TextoNormal"/>
      </w:pPr>
      <w:r>
        <w:t>c) Por su parte, también se solicita por este motivo la inadmisión de la queja competencial. Sin embargo, este óbice, planteado tanto por el Gobierno como por el Parlamento de Canarias, no puede prosperar por cuanto que la lectura de la demanda revela que la carga alegatoria del recurso en este punto es suficiente, tanto para que las contrapartes puedan defenderse adecuadamente, y así lo han hecho en sus respectivos escritos de alegaciones, como para que este tribunal cuente con los debidos elementos de juicio para pronunciarse. No obstante, también ha de advertirse que, en la medida en que la impugnación no se formula a través de una argumentación exhaustiva respecto de cada uno de los preceptos afectados, sino que lo que se plantea es una queja estructural o común a todos ellos, nuestro enjuiciamiento, llegado el caso, habrá de seguir este mismo planteamiento [por todas, STC 111/2024, de 10 de septiembre, FJ 3 B) a)].</w:t>
      </w:r>
    </w:p>
    <w:p w14:paraId="3A6BE413" w14:textId="77777777" w:rsidR="00A8138F" w:rsidRDefault="00A8138F" w:rsidP="00A8138F">
      <w:pPr>
        <w:pStyle w:val="TextoNormal"/>
      </w:pPr>
    </w:p>
    <w:p w14:paraId="191D507C" w14:textId="77777777" w:rsidR="00A8138F" w:rsidRDefault="00A8138F" w:rsidP="00A8138F">
      <w:pPr>
        <w:pStyle w:val="TextoNormal"/>
      </w:pPr>
      <w:r>
        <w:t>d) Por otro lado, la letrada del Gobierno de Canarias estima que la demanda, al denunciar la infracción del art. 86.1 CE, por vulneración de los límites materiales de los decretos-leyes, no contiene argumentación suficiente en relación con la impugnación que dirige contra el art. 9.1 del Decreto-ley 11/2021.</w:t>
      </w:r>
    </w:p>
    <w:p w14:paraId="273ED2F9" w14:textId="77777777" w:rsidR="00A8138F" w:rsidRDefault="00A8138F" w:rsidP="00A8138F">
      <w:pPr>
        <w:pStyle w:val="TextoNormal"/>
      </w:pPr>
    </w:p>
    <w:p w14:paraId="18353BB5" w14:textId="77777777" w:rsidR="00A8138F" w:rsidRDefault="00A8138F" w:rsidP="00A8138F">
      <w:pPr>
        <w:pStyle w:val="TextoNormal"/>
      </w:pPr>
      <w:r>
        <w:t>A juicio de la demanda, la imposición del uso obligatorio de mascarilla a partir de los seis años de edad “supone una indudable injerencia (i) en la libertad del individuo (valor superior del ordenamiento jurídico de acuerdo con el artículo 1.1 CE, correspondiendo a los poderes públicos garantizar su realidad y efectividad de conformidad con el artículo 9.2 CE); (ii) la dignidad de la persona y el libre desarrollo de su personalidad, como fundamentos del orden político y de la paz social (artículo 10.1 CE); (iii) la libertad personal del artículo 17 CE y la libertad de circulación del artículo 19 CE, en cuanto el uso de mascarilla se impone como presupuesto del ejercicio de la libertad deambulatoria; (iv) el derecho de reunión del artículo 21 CE, que se condiciona al uso obligatorio de mascarilla; y (v) la intimidad personal y familiar y [a] la propia imagen (art. 18 CE) en cuanto se condiciona la proyección pública personal al uso de mascarilla. Asimismo, esta obligación supone la imposición de una prestación personal y patrimonial de carácter público, contrariamente al art. 31.3 CE”.</w:t>
      </w:r>
    </w:p>
    <w:p w14:paraId="3980D1D5" w14:textId="77777777" w:rsidR="00A8138F" w:rsidRDefault="00A8138F" w:rsidP="00A8138F">
      <w:pPr>
        <w:pStyle w:val="TextoNormal"/>
      </w:pPr>
    </w:p>
    <w:p w14:paraId="291B3481" w14:textId="77777777" w:rsidR="00A8138F" w:rsidRDefault="00A8138F" w:rsidP="00A8138F">
      <w:pPr>
        <w:pStyle w:val="TextoNormal"/>
      </w:pPr>
      <w:r>
        <w:t>Vistos los términos en los que se plantea la tacha de inconstitucionalidad, ha de acogerse el óbice planteado en este punto por la representación del Gobierno autonómico. La queja se limita a enumerar un listado de preceptos constitucionales, algunos de los cuales ni siquiera son derechos y libertades recogidos en el título I CE, sin desarrollar una mínima argumentación, ni siquiera sucinta, acerca de por qué los aludidos derechos han resultado “afectados”, en los términos a los que esta expresión se refiere en el marco de lo dispuesto en el art. 86.1 CE, por el apartado recurrido. Como tiene declarado este tribunal, “no basta la mera cita de preceptos constitucionales si el contenido de los mismos no se vincula o se enlaza de algún modo con el contenido de las disposiciones impugnadas” (STC 213/2016, de 15 de diciembre, FJ 6). De esta conclusión se deriva, dada la lógica interna a través de la cual la parte ha construido su argumentación, que la insuficiencia alegatoria advertida respecto de la impugnación por la infracción del art. 86.1 CE impide, por el mismo motivo, el examen del art. 9.1 del Decreto-ley 11/2021 desde la perspectiva de la infracción del art. 81 CE.</w:t>
      </w:r>
    </w:p>
    <w:p w14:paraId="624FED60" w14:textId="77777777" w:rsidR="00A8138F" w:rsidRDefault="00A8138F" w:rsidP="00A8138F">
      <w:pPr>
        <w:pStyle w:val="TextoNormal"/>
      </w:pPr>
    </w:p>
    <w:p w14:paraId="4B25D648" w14:textId="77777777" w:rsidR="00A8138F" w:rsidRDefault="00A8138F" w:rsidP="00A8138F">
      <w:pPr>
        <w:pStyle w:val="TextoNormal"/>
      </w:pPr>
      <w:r>
        <w:t>e) Aparte de las consideraciones de las partes demandadas ya abordadas, para terminar de delimitar adecuadamente el objeto de nuestro enjuiciamiento, resulta necesario efectuar una serie de precisiones adicionales en relación con la carga argumental del recurso de inconstitucionalidad.</w:t>
      </w:r>
    </w:p>
    <w:p w14:paraId="0C77FECA" w14:textId="77777777" w:rsidR="00A8138F" w:rsidRDefault="00A8138F" w:rsidP="00A8138F">
      <w:pPr>
        <w:pStyle w:val="TextoNormal"/>
      </w:pPr>
    </w:p>
    <w:p w14:paraId="709C8EFD" w14:textId="77777777" w:rsidR="00A8138F" w:rsidRDefault="00A8138F" w:rsidP="00A8138F">
      <w:pPr>
        <w:pStyle w:val="TextoNormal"/>
      </w:pPr>
      <w:r>
        <w:t xml:space="preserve">(i) En relación con la queja fundada en la infracción de los arts. 116 y 55 CE, a pesar de que la misma aparece formulada de manera global, resulta innegable que no todo el contenido del decreto-ley impugnado contiene reglas que quepa calificar como de limitación, restricción o suspensión de derechos fundamentales. El vicio de inconstitucionalidad alegado no puede aceptarse respecto de toda la norma con rango de ley impugnada, toda vez que el recurso de inconstitucionalidad no se establece en la Constitución como una impugnación dirigida contra un bloque o una parte del ordenamiento jurídico (STC 83/2020, de 15 de julio, FJ 2 </w:t>
      </w:r>
      <w:r w:rsidRPr="00A8138F">
        <w:rPr>
          <w:i/>
        </w:rPr>
        <w:t>in fine</w:t>
      </w:r>
      <w:r>
        <w:t xml:space="preserve">), sino que solo podría ser entendido razonablemente puesto en conexión con algunos preceptos concretos que la fundamentación que acompaña a este motivo de impugnación no especifica con la precisión requerida por nuestra jurisprudencia. Por ello, a pesar de su formulación aparentemente estructural, el motivo de impugnación debe reconducirse a aquellos preceptos específicos respecto de los cuales la demanda sí ha argumentado de manera suficiente la existencia de una incidencia </w:t>
      </w:r>
      <w:r w:rsidRPr="00A8138F">
        <w:rPr>
          <w:i/>
        </w:rPr>
        <w:t>iusfundamental</w:t>
      </w:r>
      <w:r>
        <w:t xml:space="preserve"> y que son </w:t>
      </w:r>
      <w:r>
        <w:lastRenderedPageBreak/>
        <w:t>aquellos a los que los diputados recurrentes imputan expresamente una infracción de los límites materiales de los decretos-leyes.</w:t>
      </w:r>
    </w:p>
    <w:p w14:paraId="7CF3CB84" w14:textId="77777777" w:rsidR="00A8138F" w:rsidRDefault="00A8138F" w:rsidP="00A8138F">
      <w:pPr>
        <w:pStyle w:val="TextoNormal"/>
      </w:pPr>
    </w:p>
    <w:p w14:paraId="43020437" w14:textId="77777777" w:rsidR="00A8138F" w:rsidRDefault="00A8138F" w:rsidP="00A8138F">
      <w:pPr>
        <w:pStyle w:val="TextoNormal"/>
      </w:pPr>
      <w:r>
        <w:t>En cambio, en relación con los arts. 1, 2, 7.4, 21.3, 22.2, 3 y 4, 23.2 y 3, y 24.3 del Decreto-ley del Gobierno de Canarias 11/2021, que se dicen impugnados en este punto de forma subsidiaria, este tribunal no halla en sus alegaciones una explicación clara y mínimamente razonada de por qué estos preceptos incurren en la vulneración constitucional denunciada. En consecuencia, al no haber cumplido el recurso de inconstitucionalidad con la inexcusable carga alegatoria que le incumbe, los citados preceptos no pueden ser objeto de examen.</w:t>
      </w:r>
    </w:p>
    <w:p w14:paraId="26FFBD87" w14:textId="77777777" w:rsidR="00A8138F" w:rsidRDefault="00A8138F" w:rsidP="00A8138F">
      <w:pPr>
        <w:pStyle w:val="TextoNormal"/>
      </w:pPr>
    </w:p>
    <w:p w14:paraId="3B0C104C" w14:textId="77777777" w:rsidR="00A8138F" w:rsidRDefault="00A8138F" w:rsidP="00A8138F">
      <w:pPr>
        <w:pStyle w:val="TextoNormal"/>
      </w:pPr>
      <w:r>
        <w:t>(ii) También se advierte que, aunque el art. 14.3 del Decreto-ley 11/2021 se cita en ocasiones dentro del elenco de preceptos impugnados, lo cierto es que la argumentación, en relación con la denunciada infracción de los límites materiales de los decretos-leyes, solo se refiere a los párrafos segundo y tercero del art. 14.2, a los que habremos de constreñir nuestro examen. Otro tanto de lo mismo acontece respecto del apartado undécimo del art. 28 del Decreto-ley 11/2021 que, por idéntica razón, ha de quedar fuera del objeto de nuestro enjuiciamiento.</w:t>
      </w:r>
    </w:p>
    <w:p w14:paraId="3CED0CDC" w14:textId="77777777" w:rsidR="00A8138F" w:rsidRDefault="00A8138F" w:rsidP="00A8138F">
      <w:pPr>
        <w:pStyle w:val="TextoNormal"/>
      </w:pPr>
    </w:p>
    <w:p w14:paraId="47FE447E" w14:textId="77777777" w:rsidR="00A8138F" w:rsidRDefault="00A8138F" w:rsidP="00A8138F">
      <w:pPr>
        <w:pStyle w:val="TextoNormal"/>
      </w:pPr>
      <w:r>
        <w:t>(iii) Y, para terminar de delimitar el objeto de nuestro enjuiciamiento, respecto de la impugnación del art. 19, apartados tercero y cuarto, del Decreto-ley 11/2021, cuya impugnación de índole sustantiva basada en la vulneración material de derechos fundamentales ha perdido objeto [</w:t>
      </w:r>
      <w:r w:rsidRPr="00A8138F">
        <w:rPr>
          <w:i/>
        </w:rPr>
        <w:t>supra</w:t>
      </w:r>
      <w:r>
        <w:t xml:space="preserve">, FJ 2 A) b) </w:t>
      </w:r>
      <w:r w:rsidRPr="00A8138F">
        <w:rPr>
          <w:i/>
        </w:rPr>
        <w:t>in fine</w:t>
      </w:r>
      <w:r>
        <w:t>], resta por indicar que este tribunal no halla en el relato de la demanda una argumentación clara y concisa sobre la razón por la que este precepto incurre en una infracción de los límites materiales del decreto-ley (art. 86.1 CE), lo que, por las razones ya expuestas en relación con la lógica interna del recurso de inconstitucionalidad, conduce inexorablemente a que tampoco pueda ser objeto de examen desde la perspectiva de la pretendida infracción de la reserva de ley orgánica (art. 81 CE).</w:t>
      </w:r>
    </w:p>
    <w:p w14:paraId="275B7F2A" w14:textId="77777777" w:rsidR="00A8138F" w:rsidRDefault="00A8138F" w:rsidP="00A8138F">
      <w:pPr>
        <w:pStyle w:val="TextoNormal"/>
      </w:pPr>
    </w:p>
    <w:p w14:paraId="0F2A5A1A" w14:textId="104FE365" w:rsidR="00A8138F" w:rsidRDefault="00A8138F" w:rsidP="00A8138F">
      <w:pPr>
        <w:pStyle w:val="TextoNormal"/>
      </w:pPr>
      <w:r>
        <w:t>C) Una vez delimitado el objeto de enjuiciamiento, corresponde a este tribunal, en función de las circunstancias concurrentes en cada caso, determinar el orden de examen de las distintas tachas de inconstitucionalidad planteadas [SSTC 37/2022, de 10 de marzo, FJ 3 b), y 146/2023, de 26 de octubre, FJ 2]. A la vista de cuanto viene de exponerse, en relación con la carga argumental del recurso, nuestro examen habrá de comenzar con el motivo de impugnación relativo a la vulneración de los límites materiales de los decretos-leyes por ser esta la alegación principal de la demanda, a cuya argumentación se remiten o deben reconducirse buena parte de las restantes. Acto seguido, se procederá al análisis de los demás motivos en los que se funda el recurso de inconstitucionalidad, salvo que la eventual estimación de alguna de las quejas hiciera innecesario el pronunciamiento sobre las restantes.</w:t>
      </w:r>
    </w:p>
    <w:p w14:paraId="3D2A31F3" w14:textId="77777777" w:rsidR="00A8138F" w:rsidRDefault="00A8138F" w:rsidP="00A8138F">
      <w:pPr>
        <w:pStyle w:val="TextoNormal"/>
      </w:pPr>
    </w:p>
    <w:p w14:paraId="72D4E253" w14:textId="77777777" w:rsidR="00A8138F" w:rsidRDefault="00A8138F" w:rsidP="00A8138F">
      <w:pPr>
        <w:pStyle w:val="TextoNormal"/>
      </w:pPr>
      <w:r w:rsidRPr="00A8138F">
        <w:rPr>
          <w:rStyle w:val="NumeroAFNegritaCaracter"/>
        </w:rPr>
        <w:t>3</w:t>
      </w:r>
      <w:r>
        <w:t xml:space="preserve">. </w:t>
      </w:r>
      <w:r w:rsidRPr="00A8138F">
        <w:rPr>
          <w:i/>
        </w:rPr>
        <w:t>Infracción del art. 86.1 CE en relación con los límites materiales de los decretos-leyes</w:t>
      </w:r>
    </w:p>
    <w:p w14:paraId="2C819099" w14:textId="77777777" w:rsidR="00A8138F" w:rsidRDefault="00A8138F" w:rsidP="00A8138F">
      <w:pPr>
        <w:pStyle w:val="TextoNormal"/>
      </w:pPr>
    </w:p>
    <w:p w14:paraId="50C99DCC" w14:textId="77777777" w:rsidR="00A8138F" w:rsidRDefault="00A8138F" w:rsidP="00A8138F">
      <w:pPr>
        <w:pStyle w:val="TextoNormal"/>
      </w:pPr>
      <w:r>
        <w:t xml:space="preserve">A) El recurso de inconstitucionalidad afirma que el Decreto-ley 11/2021 ha incurrido en afectación de los derechos fundamentales a la libertad personal (art. 17.1 CE), a la libertad de circulación y residencia (art. 19 CE), a la integridad física (art. 15 CE), a la intimidad personal (art. 18.1 CE) y de reunión (art. 21 CE). Los preceptos recurridos por esta razón, una vez delimitado el objeto de enjuiciamiento (fundamento jurídico 2, </w:t>
      </w:r>
      <w:r w:rsidRPr="00A8138F">
        <w:rPr>
          <w:i/>
        </w:rPr>
        <w:t>supra</w:t>
      </w:r>
      <w:r>
        <w:t xml:space="preserve">), son los arts. </w:t>
      </w:r>
      <w:r>
        <w:lastRenderedPageBreak/>
        <w:t>6.1 y 2; 12.1 a) y b), 2, 5 y 6; 14.2, párrafos segundo y tercero; 15.7; 25.2; 26.2; 27.2 y 28.2, 10 y 26 a 33, del Decreto-ley 11/2021.</w:t>
      </w:r>
    </w:p>
    <w:p w14:paraId="54455483" w14:textId="77777777" w:rsidR="00A8138F" w:rsidRDefault="00A8138F" w:rsidP="00A8138F">
      <w:pPr>
        <w:pStyle w:val="TextoNormal"/>
      </w:pPr>
    </w:p>
    <w:p w14:paraId="7922CA6A" w14:textId="77777777" w:rsidR="00A8138F" w:rsidRDefault="00A8138F" w:rsidP="00A8138F">
      <w:pPr>
        <w:pStyle w:val="TextoNormal"/>
      </w:pPr>
      <w:r>
        <w:t>a) El derecho fundamental a la libertad personal (art. 17.1 CE) estaría afectado por los siguientes artículos del Decreto-ley 11/2021:</w:t>
      </w:r>
    </w:p>
    <w:p w14:paraId="3D9103DD" w14:textId="77777777" w:rsidR="00A8138F" w:rsidRDefault="00A8138F" w:rsidP="00A8138F">
      <w:pPr>
        <w:pStyle w:val="TextoNormal"/>
      </w:pPr>
    </w:p>
    <w:p w14:paraId="71F1A16C" w14:textId="77777777" w:rsidR="00A8138F" w:rsidRDefault="00A8138F" w:rsidP="00A8138F">
      <w:pPr>
        <w:pStyle w:val="TextoNormal"/>
      </w:pPr>
      <w:r>
        <w:t>(i) El art. 6, apartados primero y segundo, que establecen:</w:t>
      </w:r>
    </w:p>
    <w:p w14:paraId="412F6E7D" w14:textId="77777777" w:rsidR="00A8138F" w:rsidRDefault="00A8138F" w:rsidP="00A8138F">
      <w:pPr>
        <w:pStyle w:val="TextoNormal"/>
      </w:pPr>
    </w:p>
    <w:p w14:paraId="1914139E" w14:textId="77777777" w:rsidR="00A8138F" w:rsidRDefault="00A8138F" w:rsidP="00A8138F">
      <w:pPr>
        <w:pStyle w:val="TextoNormal"/>
      </w:pPr>
      <w:r>
        <w:t>“1. Todas las personas que se encuentren en el territorio de la Comunidad Autónoma de Canarias deberán adoptar las medidas necesarias para evitar la generación de riesgos de propagación de la enfermedad covid-19, incluyendo el cumplimiento del aislamiento o cuarentena prescritos por un profesional sanitario, así como la propia exposición a dichos riesgos. Este deber de cautela y protección será igualmente exigible a las personas titulares de cualquier actividad.</w:t>
      </w:r>
    </w:p>
    <w:p w14:paraId="0D04D2D6" w14:textId="77777777" w:rsidR="00A8138F" w:rsidRDefault="00A8138F" w:rsidP="00A8138F">
      <w:pPr>
        <w:pStyle w:val="TextoNormal"/>
      </w:pPr>
    </w:p>
    <w:p w14:paraId="624BFBEB" w14:textId="77777777" w:rsidR="00A8138F" w:rsidRDefault="00A8138F" w:rsidP="00A8138F">
      <w:pPr>
        <w:pStyle w:val="TextoNormal"/>
      </w:pPr>
      <w:r>
        <w:t>2. Cualquier persona que experimente alguno de los síntomas compatibles con la covid-19 que establezca la autoridad sanitaria, permanecerá en su domicilio, lo comunicará a su servicio sanitario y seguirá las medidas que se le indiquen”.</w:t>
      </w:r>
    </w:p>
    <w:p w14:paraId="2BF94768" w14:textId="77777777" w:rsidR="00A8138F" w:rsidRDefault="00A8138F" w:rsidP="00A8138F">
      <w:pPr>
        <w:pStyle w:val="TextoNormal"/>
      </w:pPr>
    </w:p>
    <w:p w14:paraId="2A86DF76" w14:textId="77777777" w:rsidR="00A8138F" w:rsidRDefault="00A8138F" w:rsidP="00A8138F">
      <w:pPr>
        <w:pStyle w:val="TextoNormal"/>
      </w:pPr>
      <w:r>
        <w:t>La queja se limita a los incisos “incluyendo el cumplimiento del aislamiento o cuarentena prescritos por un profesional sanitario” del apartado primero, y “permanecerá en su domicilio” del apartado segundo, del art. 6.</w:t>
      </w:r>
    </w:p>
    <w:p w14:paraId="547BD5FC" w14:textId="77777777" w:rsidR="00A8138F" w:rsidRDefault="00A8138F" w:rsidP="00A8138F">
      <w:pPr>
        <w:pStyle w:val="TextoNormal"/>
      </w:pPr>
    </w:p>
    <w:p w14:paraId="2FC5E56B" w14:textId="77777777" w:rsidR="00A8138F" w:rsidRDefault="00A8138F" w:rsidP="00A8138F">
      <w:pPr>
        <w:pStyle w:val="TextoNormal"/>
      </w:pPr>
      <w:r>
        <w:t>(ii) El art. 12, apartados primero, letras a) y b), y quinto, que disponen:</w:t>
      </w:r>
    </w:p>
    <w:p w14:paraId="3339FA98" w14:textId="77777777" w:rsidR="00A8138F" w:rsidRDefault="00A8138F" w:rsidP="00A8138F">
      <w:pPr>
        <w:pStyle w:val="TextoNormal"/>
      </w:pPr>
    </w:p>
    <w:p w14:paraId="472CBFF3" w14:textId="77777777" w:rsidR="00A8138F" w:rsidRDefault="00A8138F" w:rsidP="00A8138F">
      <w:pPr>
        <w:pStyle w:val="TextoNormal"/>
      </w:pPr>
      <w:r>
        <w:t>“1. En virtud de las resoluciones que pudiera adoptar la autoridad sanitaria o de las actuaciones materiales desarrolladas por los servicios sanitarios para la contención de los brotes epidémicos de la pandemia de covid-19, las personas afectadas tendrán la siguiente obligación personal:</w:t>
      </w:r>
    </w:p>
    <w:p w14:paraId="38E073D0" w14:textId="77777777" w:rsidR="00A8138F" w:rsidRDefault="00A8138F" w:rsidP="00A8138F">
      <w:pPr>
        <w:pStyle w:val="TextoNormal"/>
      </w:pPr>
    </w:p>
    <w:p w14:paraId="29184A55" w14:textId="77777777" w:rsidR="00A8138F" w:rsidRDefault="00A8138F" w:rsidP="00A8138F">
      <w:pPr>
        <w:pStyle w:val="TextoNormal"/>
      </w:pPr>
      <w:r>
        <w:t>a) Aislamiento, en cuya virtud cualquier persona contagiada por SARS-CoV-2 permanecerá en el lugar que se le indique, durante el plazo establecido en cada caso, sin posibilidad de desplazarse ni de relacionarse presencialmente con otras personas.</w:t>
      </w:r>
    </w:p>
    <w:p w14:paraId="250AC372" w14:textId="77777777" w:rsidR="00A8138F" w:rsidRDefault="00A8138F" w:rsidP="00A8138F">
      <w:pPr>
        <w:pStyle w:val="TextoNormal"/>
      </w:pPr>
    </w:p>
    <w:p w14:paraId="6193AAD9" w14:textId="77777777" w:rsidR="00A8138F" w:rsidRDefault="00A8138F" w:rsidP="00A8138F">
      <w:pPr>
        <w:pStyle w:val="TextoNormal"/>
      </w:pPr>
      <w:r>
        <w:t>b) Cuarentena, en cuya virtud cualquier persona o grupo de personas sospechosas de haber sido contagiadas permanecerá en el lugar que se le indique, durante el plazo establecido en cada caso, sin posibilidad de desplazarse ni de relacionarse presencialmente con otras personas.</w:t>
      </w:r>
    </w:p>
    <w:p w14:paraId="2FCE63B9" w14:textId="77777777" w:rsidR="00A8138F" w:rsidRDefault="00A8138F" w:rsidP="00A8138F">
      <w:pPr>
        <w:pStyle w:val="TextoNormal"/>
      </w:pPr>
    </w:p>
    <w:p w14:paraId="43D7BEFF" w14:textId="77777777" w:rsidR="00A8138F" w:rsidRDefault="00A8138F" w:rsidP="00A8138F">
      <w:pPr>
        <w:pStyle w:val="TextoNormal"/>
      </w:pPr>
      <w:r>
        <w:t>[…]</w:t>
      </w:r>
    </w:p>
    <w:p w14:paraId="5F73CF74" w14:textId="77777777" w:rsidR="00A8138F" w:rsidRDefault="00A8138F" w:rsidP="00A8138F">
      <w:pPr>
        <w:pStyle w:val="TextoNormal"/>
      </w:pPr>
    </w:p>
    <w:p w14:paraId="037C5B85" w14:textId="77777777" w:rsidR="00A8138F" w:rsidRDefault="00A8138F" w:rsidP="00A8138F">
      <w:pPr>
        <w:pStyle w:val="TextoNormal"/>
      </w:pPr>
      <w:r>
        <w:t>5. El aislamiento o la cuarentena indicada se cumplirá, preferentemente, instando a la colaboración voluntaria de las personas obligadas. En caso de negativa o resistencia a su cumplimiento voluntario podrá imponerse mediante resoluciones específicas, que podrán dictarse de forma individual o colectiva, sin perjuicio en todo caso de la sujeción, cuando proceda, al régimen de autorización o ratificación judicial”.</w:t>
      </w:r>
    </w:p>
    <w:p w14:paraId="3FD7E0BF" w14:textId="77777777" w:rsidR="00A8138F" w:rsidRDefault="00A8138F" w:rsidP="00A8138F">
      <w:pPr>
        <w:pStyle w:val="TextoNormal"/>
      </w:pPr>
    </w:p>
    <w:p w14:paraId="7E77C396" w14:textId="77777777" w:rsidR="00A8138F" w:rsidRDefault="00A8138F" w:rsidP="00A8138F">
      <w:pPr>
        <w:pStyle w:val="TextoNormal"/>
      </w:pPr>
      <w:r>
        <w:lastRenderedPageBreak/>
        <w:t>b) El recurso considera que también afectan al derecho a la libertad de circulación y de residencia (art. 19 CE), además de los preceptos recién transcritos, el art. 12, apartados segundo y sexto del Decreto-ley del Gobierno de Canarias 11/2021, que establecen:</w:t>
      </w:r>
    </w:p>
    <w:p w14:paraId="6F28CB34" w14:textId="77777777" w:rsidR="00A8138F" w:rsidRDefault="00A8138F" w:rsidP="00A8138F">
      <w:pPr>
        <w:pStyle w:val="TextoNormal"/>
      </w:pPr>
    </w:p>
    <w:p w14:paraId="3E60657B" w14:textId="77777777" w:rsidR="00A8138F" w:rsidRDefault="00A8138F" w:rsidP="00A8138F">
      <w:pPr>
        <w:pStyle w:val="TextoNormal"/>
      </w:pPr>
      <w:r>
        <w:t>“2. Durante el periodo de aislamiento o cuarentena las personas deberán limitar sus desplazamientos y los accesos de terceras personas a dicho lugar a los imprescindibles y excepcionales para la asistencia a centros, servicios y establecimientos sanitarios y por causas de fuerza mayor o situación de necesidad debidamente justificadas. El acceso a los bienes o servicios indispensables para garantizar su alimentación, limpieza y, en su caso, cuidados sanitarios de primera necesidad se facilitará por la administración en los supuestos excepcionales en que no se dispusiera de familiares, allegados u otros medios para su provisión.</w:t>
      </w:r>
    </w:p>
    <w:p w14:paraId="1AE12AAC" w14:textId="77777777" w:rsidR="00A8138F" w:rsidRDefault="00A8138F" w:rsidP="00A8138F">
      <w:pPr>
        <w:pStyle w:val="TextoNormal"/>
      </w:pPr>
    </w:p>
    <w:p w14:paraId="21AA14FE" w14:textId="77777777" w:rsidR="00A8138F" w:rsidRDefault="00A8138F" w:rsidP="00A8138F">
      <w:pPr>
        <w:pStyle w:val="TextoNormal"/>
      </w:pPr>
      <w:r>
        <w:t>Tanto en sus desplazamientos como en su contacto con convivientes y con quienes les proporcionen los bienes o servicios indispensables para garantizar su alimentación, limpieza y en su caso cuidados sanitarios, se deberán observar todas las medidas de higiene y prevención de la transmisión de la enfermedad provocada por la covid-19, debiendo utilizar mascarillas filtrantes con una eficacia de filtración mínima del 90 por 100, tanto en espacios abiertos como cerrados.</w:t>
      </w:r>
    </w:p>
    <w:p w14:paraId="73A0227A" w14:textId="77777777" w:rsidR="00A8138F" w:rsidRDefault="00A8138F" w:rsidP="00A8138F">
      <w:pPr>
        <w:pStyle w:val="TextoNormal"/>
      </w:pPr>
    </w:p>
    <w:p w14:paraId="76E0C46E" w14:textId="77777777" w:rsidR="00A8138F" w:rsidRDefault="00A8138F" w:rsidP="00A8138F">
      <w:pPr>
        <w:pStyle w:val="TextoNormal"/>
      </w:pPr>
      <w:r>
        <w:t>[…]</w:t>
      </w:r>
    </w:p>
    <w:p w14:paraId="5822AFCB" w14:textId="77777777" w:rsidR="00A8138F" w:rsidRDefault="00A8138F" w:rsidP="00A8138F">
      <w:pPr>
        <w:pStyle w:val="TextoNormal"/>
      </w:pPr>
    </w:p>
    <w:p w14:paraId="7C07FCA4" w14:textId="77777777" w:rsidR="00A8138F" w:rsidRDefault="00A8138F" w:rsidP="00A8138F">
      <w:pPr>
        <w:pStyle w:val="TextoNormal"/>
      </w:pPr>
      <w:r>
        <w:t>6. La obligación personal de aislamiento o de cuarentena es independiente de las obligaciones derivadas de los confinamientos perimetrales territoriales que pudieran acordarse”.</w:t>
      </w:r>
    </w:p>
    <w:p w14:paraId="556D1EFE" w14:textId="77777777" w:rsidR="00A8138F" w:rsidRDefault="00A8138F" w:rsidP="00A8138F">
      <w:pPr>
        <w:pStyle w:val="TextoNormal"/>
      </w:pPr>
    </w:p>
    <w:p w14:paraId="7BC59EFF" w14:textId="77777777" w:rsidR="00A8138F" w:rsidRDefault="00A8138F" w:rsidP="00A8138F">
      <w:pPr>
        <w:pStyle w:val="TextoNormal"/>
      </w:pPr>
      <w:r>
        <w:t>c) Los derechos a la integridad física (art. 15 CE) y a la intimidad personal (art. 18 CE) estarían afectados por los arts. 14.2, párrafos segundo y tercero, y 15.7 del Decreto-ley, que establecen respectivamente:</w:t>
      </w:r>
    </w:p>
    <w:p w14:paraId="0A44D0C1" w14:textId="77777777" w:rsidR="00A8138F" w:rsidRDefault="00A8138F" w:rsidP="00A8138F">
      <w:pPr>
        <w:pStyle w:val="TextoNormal"/>
      </w:pPr>
    </w:p>
    <w:p w14:paraId="37678384" w14:textId="77777777" w:rsidR="00A8138F" w:rsidRDefault="00A8138F" w:rsidP="00A8138F">
      <w:pPr>
        <w:pStyle w:val="TextoNormal"/>
      </w:pPr>
      <w:r>
        <w:t>“Artículo 14. Realización de pruebas diagnósticas y vacunación</w:t>
      </w:r>
    </w:p>
    <w:p w14:paraId="756486E0" w14:textId="77777777" w:rsidR="00A8138F" w:rsidRDefault="00A8138F" w:rsidP="00A8138F">
      <w:pPr>
        <w:pStyle w:val="TextoNormal"/>
      </w:pPr>
    </w:p>
    <w:p w14:paraId="3E80A457" w14:textId="77777777" w:rsidR="00A8138F" w:rsidRDefault="00A8138F" w:rsidP="00A8138F">
      <w:pPr>
        <w:pStyle w:val="TextoNormal"/>
      </w:pPr>
      <w:r>
        <w:t>[…]</w:t>
      </w:r>
    </w:p>
    <w:p w14:paraId="3588285A" w14:textId="77777777" w:rsidR="00A8138F" w:rsidRDefault="00A8138F" w:rsidP="00A8138F">
      <w:pPr>
        <w:pStyle w:val="TextoNormal"/>
      </w:pPr>
    </w:p>
    <w:p w14:paraId="3FA9F92D" w14:textId="77777777" w:rsidR="00A8138F" w:rsidRDefault="00A8138F" w:rsidP="00A8138F">
      <w:pPr>
        <w:pStyle w:val="TextoNormal"/>
      </w:pPr>
      <w:r>
        <w:t>2. […]</w:t>
      </w:r>
    </w:p>
    <w:p w14:paraId="1C2543EE" w14:textId="77777777" w:rsidR="00A8138F" w:rsidRDefault="00A8138F" w:rsidP="00A8138F">
      <w:pPr>
        <w:pStyle w:val="TextoNormal"/>
      </w:pPr>
    </w:p>
    <w:p w14:paraId="07CB9A27" w14:textId="77777777" w:rsidR="00A8138F" w:rsidRDefault="00A8138F" w:rsidP="00A8138F">
      <w:pPr>
        <w:pStyle w:val="TextoNormal"/>
      </w:pPr>
      <w:r>
        <w:t>La denegación del consentimiento para la realización de las pruebas diagnósticas se recogerá por escrito y conllevará la imposibilidad de desempeñar el trabajo o la actividad a la que se condicionó la realización de la prueba diagnóstica, así como, en su caso, la posibilidad de imposición de restricciones u obligaciones personalizadas en los términos previstos por este decreto-ley.</w:t>
      </w:r>
    </w:p>
    <w:p w14:paraId="0859BCDE" w14:textId="77777777" w:rsidR="00A8138F" w:rsidRDefault="00A8138F" w:rsidP="00A8138F">
      <w:pPr>
        <w:pStyle w:val="TextoNormal"/>
      </w:pPr>
    </w:p>
    <w:p w14:paraId="6074DA1E" w14:textId="77777777" w:rsidR="00A8138F" w:rsidRDefault="00A8138F" w:rsidP="00A8138F">
      <w:pPr>
        <w:pStyle w:val="TextoNormal"/>
      </w:pPr>
      <w:r>
        <w:t>Este mismo precepto se aplicará a los efectos de la exigencia de vacunación”.</w:t>
      </w:r>
    </w:p>
    <w:p w14:paraId="2D3F636A" w14:textId="77777777" w:rsidR="00A8138F" w:rsidRDefault="00A8138F" w:rsidP="00A8138F">
      <w:pPr>
        <w:pStyle w:val="TextoNormal"/>
      </w:pPr>
    </w:p>
    <w:p w14:paraId="68373009" w14:textId="77777777" w:rsidR="00A8138F" w:rsidRDefault="00A8138F" w:rsidP="00A8138F">
      <w:pPr>
        <w:pStyle w:val="TextoNormal"/>
      </w:pPr>
      <w:r>
        <w:t>“Artículo 15. Realización de cribados</w:t>
      </w:r>
    </w:p>
    <w:p w14:paraId="71758274" w14:textId="77777777" w:rsidR="00A8138F" w:rsidRDefault="00A8138F" w:rsidP="00A8138F">
      <w:pPr>
        <w:pStyle w:val="TextoNormal"/>
      </w:pPr>
    </w:p>
    <w:p w14:paraId="4CCCE3A1" w14:textId="77777777" w:rsidR="00A8138F" w:rsidRDefault="00A8138F" w:rsidP="00A8138F">
      <w:pPr>
        <w:pStyle w:val="TextoNormal"/>
      </w:pPr>
      <w:r>
        <w:t>[…]</w:t>
      </w:r>
    </w:p>
    <w:p w14:paraId="60E5E306" w14:textId="77777777" w:rsidR="00A8138F" w:rsidRDefault="00A8138F" w:rsidP="00A8138F">
      <w:pPr>
        <w:pStyle w:val="TextoNormal"/>
      </w:pPr>
    </w:p>
    <w:p w14:paraId="022B05D7" w14:textId="77777777" w:rsidR="00A8138F" w:rsidRDefault="00A8138F" w:rsidP="00A8138F">
      <w:pPr>
        <w:pStyle w:val="TextoNormal"/>
      </w:pPr>
      <w:r>
        <w:lastRenderedPageBreak/>
        <w:t>7. La denegación del consentimiento para la realización de las pruebas diagnósticas programadas en relación con dichos cribados se tramitará en la forma prevista en el artículo anterior y conllevará las consecuencias que en él se establecen”.</w:t>
      </w:r>
    </w:p>
    <w:p w14:paraId="53D4B413" w14:textId="77777777" w:rsidR="00A8138F" w:rsidRDefault="00A8138F" w:rsidP="00A8138F">
      <w:pPr>
        <w:pStyle w:val="TextoNormal"/>
      </w:pPr>
    </w:p>
    <w:p w14:paraId="795B42FD" w14:textId="77777777" w:rsidR="00A8138F" w:rsidRDefault="00A8138F" w:rsidP="00A8138F">
      <w:pPr>
        <w:pStyle w:val="TextoNormal"/>
      </w:pPr>
      <w:r>
        <w:t>d) Finalmente, los diputados recurrentes estiman que afectan al derecho de reunión (art. 21 CE) los siguientes preceptos del Decreto-ley del Gobierno de Canarias 11/2021:</w:t>
      </w:r>
    </w:p>
    <w:p w14:paraId="7184C017" w14:textId="77777777" w:rsidR="00A8138F" w:rsidRDefault="00A8138F" w:rsidP="00A8138F">
      <w:pPr>
        <w:pStyle w:val="TextoNormal"/>
      </w:pPr>
    </w:p>
    <w:p w14:paraId="42225F38" w14:textId="77777777" w:rsidR="00A8138F" w:rsidRDefault="00A8138F" w:rsidP="00A8138F">
      <w:pPr>
        <w:pStyle w:val="TextoNormal"/>
      </w:pPr>
      <w:r>
        <w:t>(i) El art. 25.2, que establece, como medida aplicable en el nivel de alerta 1, lo siguiente:</w:t>
      </w:r>
    </w:p>
    <w:p w14:paraId="46B49E88" w14:textId="77777777" w:rsidR="00A8138F" w:rsidRDefault="00A8138F" w:rsidP="00A8138F">
      <w:pPr>
        <w:pStyle w:val="TextoNormal"/>
      </w:pPr>
    </w:p>
    <w:p w14:paraId="0366A5FB" w14:textId="77777777" w:rsidR="00A8138F" w:rsidRDefault="00A8138F" w:rsidP="00A8138F">
      <w:pPr>
        <w:pStyle w:val="TextoNormal"/>
      </w:pPr>
      <w:r>
        <w:t>“Grupos de personas: la permanencia de grupos de personas tanto en espacios de uso público como privado, cerrados o al aire libre, quedará supeditada a que no se supere el número máximo de doce personas, salvo que se trate de convivientes. En el caso de que el grupo esté constituido por convivientes y no convivientes, no se sobrepasará el número máximo de personas indicado. Se entiende como convivientes aquellas personas que residen bajo el mismo techo”.</w:t>
      </w:r>
    </w:p>
    <w:p w14:paraId="04E0891C" w14:textId="77777777" w:rsidR="00A8138F" w:rsidRDefault="00A8138F" w:rsidP="00A8138F">
      <w:pPr>
        <w:pStyle w:val="TextoNormal"/>
      </w:pPr>
    </w:p>
    <w:p w14:paraId="44300309" w14:textId="77777777" w:rsidR="00A8138F" w:rsidRDefault="00A8138F" w:rsidP="00A8138F">
      <w:pPr>
        <w:pStyle w:val="TextoNormal"/>
      </w:pPr>
      <w:r>
        <w:t>(ii) El art. 26.2 que regula, como medida aplicable en el nivel de alerta 2:</w:t>
      </w:r>
    </w:p>
    <w:p w14:paraId="43394B68" w14:textId="77777777" w:rsidR="00A8138F" w:rsidRDefault="00A8138F" w:rsidP="00A8138F">
      <w:pPr>
        <w:pStyle w:val="TextoNormal"/>
      </w:pPr>
    </w:p>
    <w:p w14:paraId="291A2D39" w14:textId="77777777" w:rsidR="00A8138F" w:rsidRDefault="00A8138F" w:rsidP="00A8138F">
      <w:pPr>
        <w:pStyle w:val="TextoNormal"/>
      </w:pPr>
      <w:r>
        <w:t>“Grupos de personas: la permanencia de grupos de personas tanto en espacios de uso público como privado, cerrados o al aire libre, quedará supeditada a que no se supere el número máximo de ocho personas, salvo que se trate de convivientes. En el caso de que el grupo esté constituido por convivientes y no convivientes, no se sobrepasará el número máximo de personas indicado. Se entiende como convivientes aquellas personas que residen bajo el mismo techo”.</w:t>
      </w:r>
    </w:p>
    <w:p w14:paraId="48189177" w14:textId="77777777" w:rsidR="00A8138F" w:rsidRDefault="00A8138F" w:rsidP="00A8138F">
      <w:pPr>
        <w:pStyle w:val="TextoNormal"/>
      </w:pPr>
    </w:p>
    <w:p w14:paraId="71A56347" w14:textId="77777777" w:rsidR="00A8138F" w:rsidRDefault="00A8138F" w:rsidP="00A8138F">
      <w:pPr>
        <w:pStyle w:val="TextoNormal"/>
      </w:pPr>
      <w:r>
        <w:t>(iii) El art. 27.2 que contempla, como medida aplicable en el nivel de alerta 3:</w:t>
      </w:r>
    </w:p>
    <w:p w14:paraId="229D2C0C" w14:textId="77777777" w:rsidR="00A8138F" w:rsidRDefault="00A8138F" w:rsidP="00A8138F">
      <w:pPr>
        <w:pStyle w:val="TextoNormal"/>
      </w:pPr>
    </w:p>
    <w:p w14:paraId="5E1F9994" w14:textId="77777777" w:rsidR="00A8138F" w:rsidRDefault="00A8138F" w:rsidP="00A8138F">
      <w:pPr>
        <w:pStyle w:val="TextoNormal"/>
      </w:pPr>
      <w:r>
        <w:t>“Grupos de personas: la permanencia de grupos de personas tanto en espacios de uso público como privado, cerrados o al aire libre, quedará supeditada a que no se supere el número máximo de seis personas, salvo que se trate de convivientes. En el caso de que el grupo esté constituido por convivientes y no convivientes, no se sobrepasará el número máximo de personas indicado. Se entiende como convivientes aquellas personas que residen bajo el mismo techo”.</w:t>
      </w:r>
    </w:p>
    <w:p w14:paraId="0EF0325A" w14:textId="77777777" w:rsidR="00A8138F" w:rsidRDefault="00A8138F" w:rsidP="00A8138F">
      <w:pPr>
        <w:pStyle w:val="TextoNormal"/>
      </w:pPr>
    </w:p>
    <w:p w14:paraId="32AB6D81" w14:textId="77777777" w:rsidR="00A8138F" w:rsidRDefault="00A8138F" w:rsidP="00A8138F">
      <w:pPr>
        <w:pStyle w:val="TextoNormal"/>
      </w:pPr>
      <w:r>
        <w:t>(iv) Los siguientes apartados del art. 28, que recogen medidas aplicables en el nivel de alerta 4:</w:t>
      </w:r>
    </w:p>
    <w:p w14:paraId="66AA227A" w14:textId="77777777" w:rsidR="00A8138F" w:rsidRDefault="00A8138F" w:rsidP="00A8138F">
      <w:pPr>
        <w:pStyle w:val="TextoNormal"/>
      </w:pPr>
    </w:p>
    <w:p w14:paraId="4B589008" w14:textId="77777777" w:rsidR="00A8138F" w:rsidRDefault="00A8138F" w:rsidP="00A8138F">
      <w:pPr>
        <w:pStyle w:val="TextoNormal"/>
      </w:pPr>
      <w:r>
        <w:t>“2. Grupos de personas: la permanencia de grupos de personas tanto en espacios de uso público como privado, cerrados o al aire libre, quedará supeditada a que no se supere el número máximo de seis personas, salvo que se trate de convivientes. En el caso de que el grupo esté constituido por convivientes y no convivientes, no se sobrepasará el número máximo de personas indicado. Se entiende como convivientes aquellas personas que residen bajo el mismo techo.</w:t>
      </w:r>
    </w:p>
    <w:p w14:paraId="01B0C85F" w14:textId="77777777" w:rsidR="00A8138F" w:rsidRDefault="00A8138F" w:rsidP="00A8138F">
      <w:pPr>
        <w:pStyle w:val="TextoNormal"/>
      </w:pPr>
    </w:p>
    <w:p w14:paraId="01C563C8" w14:textId="77777777" w:rsidR="00A8138F" w:rsidRDefault="00A8138F" w:rsidP="00A8138F">
      <w:pPr>
        <w:pStyle w:val="TextoNormal"/>
      </w:pPr>
      <w:r>
        <w:t>[…]</w:t>
      </w:r>
    </w:p>
    <w:p w14:paraId="47913F07" w14:textId="77777777" w:rsidR="00A8138F" w:rsidRDefault="00A8138F" w:rsidP="00A8138F">
      <w:pPr>
        <w:pStyle w:val="TextoNormal"/>
      </w:pPr>
    </w:p>
    <w:p w14:paraId="552C8DDA" w14:textId="77777777" w:rsidR="00A8138F" w:rsidRDefault="00A8138F" w:rsidP="00A8138F">
      <w:pPr>
        <w:pStyle w:val="TextoNormal"/>
      </w:pPr>
      <w:r>
        <w:t xml:space="preserve">10. Espectáculos públicos: las actividades culturales, recreativas, de ocio y esparcimiento, incluidos los deportes, que se desarrollen esporádicamente y en lugares distintos a </w:t>
      </w:r>
      <w:r>
        <w:lastRenderedPageBreak/>
        <w:t>los establecimientos destinados al ejercicio habitual de dicha actividad y, en su caso, las celebradas en instalaciones desmontables o a cielo abierto, que no tenga la consideración de eventos multitudinarios, no se podrán celebrar.</w:t>
      </w:r>
    </w:p>
    <w:p w14:paraId="33AB4DF8" w14:textId="77777777" w:rsidR="00A8138F" w:rsidRDefault="00A8138F" w:rsidP="00A8138F">
      <w:pPr>
        <w:pStyle w:val="TextoNormal"/>
      </w:pPr>
    </w:p>
    <w:p w14:paraId="62602E70" w14:textId="77777777" w:rsidR="00A8138F" w:rsidRDefault="00A8138F" w:rsidP="00A8138F">
      <w:pPr>
        <w:pStyle w:val="TextoNormal"/>
      </w:pPr>
      <w:r>
        <w:t>[…]</w:t>
      </w:r>
    </w:p>
    <w:p w14:paraId="6F6A822F" w14:textId="77777777" w:rsidR="00A8138F" w:rsidRDefault="00A8138F" w:rsidP="00A8138F">
      <w:pPr>
        <w:pStyle w:val="TextoNormal"/>
      </w:pPr>
    </w:p>
    <w:p w14:paraId="019F1461" w14:textId="77777777" w:rsidR="00A8138F" w:rsidRDefault="00A8138F" w:rsidP="00A8138F">
      <w:pPr>
        <w:pStyle w:val="TextoNormal"/>
      </w:pPr>
      <w:r>
        <w:t>26. Las acampadas, refugios, albergues no sociales y campamentos con pernoctación permanecerán cerrados.</w:t>
      </w:r>
    </w:p>
    <w:p w14:paraId="2354D602" w14:textId="77777777" w:rsidR="00A8138F" w:rsidRDefault="00A8138F" w:rsidP="00A8138F">
      <w:pPr>
        <w:pStyle w:val="TextoNormal"/>
      </w:pPr>
    </w:p>
    <w:p w14:paraId="45FE4E9E" w14:textId="77777777" w:rsidR="00A8138F" w:rsidRDefault="00A8138F" w:rsidP="00A8138F">
      <w:pPr>
        <w:pStyle w:val="TextoNormal"/>
      </w:pPr>
      <w:r>
        <w:t>27. No podrán celebrarse mercados que desarrollan su actividad en la vía pública (mercadillos) esporádicos o extraordinarios.</w:t>
      </w:r>
    </w:p>
    <w:p w14:paraId="4B584B4E" w14:textId="77777777" w:rsidR="00A8138F" w:rsidRDefault="00A8138F" w:rsidP="00A8138F">
      <w:pPr>
        <w:pStyle w:val="TextoNormal"/>
      </w:pPr>
    </w:p>
    <w:p w14:paraId="62D58468" w14:textId="77777777" w:rsidR="00A8138F" w:rsidRDefault="00A8138F" w:rsidP="00A8138F">
      <w:pPr>
        <w:pStyle w:val="TextoNormal"/>
      </w:pPr>
      <w:r>
        <w:t>28. Las atracciones de feria en espacios cerrados permanecerán cerradas.</w:t>
      </w:r>
    </w:p>
    <w:p w14:paraId="697B0959" w14:textId="77777777" w:rsidR="00A8138F" w:rsidRDefault="00A8138F" w:rsidP="00A8138F">
      <w:pPr>
        <w:pStyle w:val="TextoNormal"/>
      </w:pPr>
    </w:p>
    <w:p w14:paraId="1D9BEB43" w14:textId="77777777" w:rsidR="00A8138F" w:rsidRDefault="00A8138F" w:rsidP="00A8138F">
      <w:pPr>
        <w:pStyle w:val="TextoNormal"/>
      </w:pPr>
      <w:r>
        <w:t>29. Cierre de parques y playas y aquellos otros espacios públicos en los que sea previsible la celebración de “botellones” o en los que puedan producirse aglomeraciones en horario nocturno antes de las 22:00 horas.</w:t>
      </w:r>
    </w:p>
    <w:p w14:paraId="062A6FCA" w14:textId="77777777" w:rsidR="00A8138F" w:rsidRDefault="00A8138F" w:rsidP="00A8138F">
      <w:pPr>
        <w:pStyle w:val="TextoNormal"/>
      </w:pPr>
    </w:p>
    <w:p w14:paraId="2318EF3F" w14:textId="77777777" w:rsidR="00A8138F" w:rsidRDefault="00A8138F" w:rsidP="00A8138F">
      <w:pPr>
        <w:pStyle w:val="TextoNormal"/>
      </w:pPr>
      <w:r>
        <w:t>30. No se permite en espacios cerrados espectáculos con coros, bandas, orquestas u otras agrupaciones musicales en los que no puedan mantenerse el uso continuo de la mascarilla y la distancia de seguridad interpersonal de dos metros, permanentemente.</w:t>
      </w:r>
    </w:p>
    <w:p w14:paraId="037BDCD9" w14:textId="77777777" w:rsidR="00A8138F" w:rsidRDefault="00A8138F" w:rsidP="00A8138F">
      <w:pPr>
        <w:pStyle w:val="TextoNormal"/>
      </w:pPr>
    </w:p>
    <w:p w14:paraId="43E02684" w14:textId="77777777" w:rsidR="00A8138F" w:rsidRDefault="00A8138F" w:rsidP="00A8138F">
      <w:pPr>
        <w:pStyle w:val="TextoNormal"/>
      </w:pPr>
      <w:r>
        <w:t>31. No se permiten las visitas en las residencias de estudiantes y cerradas las zonas comunes garantizando la posibilidad de adquirir la comida para consumo en la habitación.</w:t>
      </w:r>
    </w:p>
    <w:p w14:paraId="70677FDD" w14:textId="77777777" w:rsidR="00A8138F" w:rsidRDefault="00A8138F" w:rsidP="00A8138F">
      <w:pPr>
        <w:pStyle w:val="TextoNormal"/>
      </w:pPr>
    </w:p>
    <w:p w14:paraId="39F91C98" w14:textId="77777777" w:rsidR="00A8138F" w:rsidRDefault="00A8138F" w:rsidP="00A8138F">
      <w:pPr>
        <w:pStyle w:val="TextoNormal"/>
      </w:pPr>
      <w:r>
        <w:t>32. Se suspenden las actividades en el resto de centros recreativos para niños y jóvenes, ludotecas infantiles o asociaciones, y similares, salvo necesidad justificada.</w:t>
      </w:r>
    </w:p>
    <w:p w14:paraId="138865DB" w14:textId="77777777" w:rsidR="00A8138F" w:rsidRDefault="00A8138F" w:rsidP="00A8138F">
      <w:pPr>
        <w:pStyle w:val="TextoNormal"/>
      </w:pPr>
    </w:p>
    <w:p w14:paraId="2E828432" w14:textId="77777777" w:rsidR="00A8138F" w:rsidRDefault="00A8138F" w:rsidP="00A8138F">
      <w:pPr>
        <w:pStyle w:val="TextoNormal"/>
      </w:pPr>
      <w:r>
        <w:t>33. La celebración de congresos, encuentros, reuniones de negocios, conferencias y eventos y actos similares promovidos por cualquier entidad, de naturaleza pública o privada solo se podrá realizar de manera telemática”.</w:t>
      </w:r>
    </w:p>
    <w:p w14:paraId="52FB6DB3" w14:textId="77777777" w:rsidR="00A8138F" w:rsidRDefault="00A8138F" w:rsidP="00A8138F">
      <w:pPr>
        <w:pStyle w:val="TextoNormal"/>
      </w:pPr>
    </w:p>
    <w:p w14:paraId="7711DC58" w14:textId="77777777" w:rsidR="00A8138F" w:rsidRDefault="00A8138F" w:rsidP="00A8138F">
      <w:pPr>
        <w:pStyle w:val="TextoNormal"/>
      </w:pPr>
      <w:r>
        <w:t>B) Una vez expuestos los preceptos legales sobre los que se proyecta la impugnación, hemos de recordar la doctrina constitucional sobre los límites materiales de los decretos-leyes, en lo que atañe a la prohibición de “afectar” a los derechos, deberes y libertades de los ciudadanos regulados en el título I CE que prevé el art. 86.1 CE.</w:t>
      </w:r>
    </w:p>
    <w:p w14:paraId="24B8D1DF" w14:textId="77777777" w:rsidR="00A8138F" w:rsidRDefault="00A8138F" w:rsidP="00A8138F">
      <w:pPr>
        <w:pStyle w:val="TextoNormal"/>
      </w:pPr>
    </w:p>
    <w:p w14:paraId="27765B17" w14:textId="77777777" w:rsidR="00A8138F" w:rsidRDefault="00A8138F" w:rsidP="00A8138F">
      <w:pPr>
        <w:pStyle w:val="TextoNormal"/>
      </w:pPr>
      <w:r>
        <w:t>Este límite, previsto en el art. 86.1 CE, rige también para los decretos-leyes autonómicos, como es el caso del aquí impugnado. Como tiene declarado este tribunal (por todas SSTC 93/2015, de 14 de mayo, FFJJ 3 a 6, y 107/2015, de 28 de mayo, FJ 3), la Constitución no impide que los estatutos de autonomía atribuyan a los gobiernos autonómicos la potestad normativa excepcional de aprobar decretos-leyes, si bien, por virtud del principio democrático (art. 1.1 CE) debe entenderse que los límites formales y materiales que afectan al decreto-ley autonómico son como mínimo los que la Constitución impone al decreto-ley estatal (art. 86.1 CE); el estatuto puede solo añadir “cautelas o exclusiones adicionales” con el fin de “preservar más intensamente la posición del Parlamento autonómico”. En todo caso, el art. 46.2 EACan dispone que los decretos-leyes “no podrán afectar […] a la regulación esencial de los derechos establecidos en este Estatuto”.</w:t>
      </w:r>
    </w:p>
    <w:p w14:paraId="19D247F7" w14:textId="77777777" w:rsidR="00A8138F" w:rsidRDefault="00A8138F" w:rsidP="00A8138F">
      <w:pPr>
        <w:pStyle w:val="TextoNormal"/>
      </w:pPr>
    </w:p>
    <w:p w14:paraId="4FD50D42" w14:textId="77777777" w:rsidR="00A8138F" w:rsidRDefault="00A8138F" w:rsidP="00A8138F">
      <w:pPr>
        <w:pStyle w:val="TextoNormal"/>
      </w:pPr>
      <w:r>
        <w:t>Pues bien, en lo que hace a esta limitación material constitucionalmente establecida, nuestro enjuiciamiento debe partir de que “afectar” derechos constitucionales es, según nuestra doctrina, una noción restringida. La STC 111/1983, de 2 de diciembre, FJ 8, sostuvo que “la cláusula restrictiva del art. 86.1 CE (‘no podrán afectar...’)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w:t>
      </w:r>
    </w:p>
    <w:p w14:paraId="020BD72F" w14:textId="77777777" w:rsidR="00A8138F" w:rsidRDefault="00A8138F" w:rsidP="00A8138F">
      <w:pPr>
        <w:pStyle w:val="TextoNormal"/>
      </w:pPr>
    </w:p>
    <w:p w14:paraId="67D189D5" w14:textId="77777777" w:rsidR="00A8138F" w:rsidRDefault="00A8138F" w:rsidP="00A8138F">
      <w:pPr>
        <w:pStyle w:val="TextoNormal"/>
      </w:pPr>
      <w:r>
        <w:t>De conformidad con ese criterio hermenéutico, lo que le está vedado al decreto-ley, por el juego del límite material ahora examinado, es la regulación del régimen general de los derechos, deberes y libertades del título I CE o que se vaya en contra del contenido o elementos esenciales de alguno de tales derechos de modo que de aquel límite se infiere que el decreto-ley no puede alterar ni el régimen general ni los elementos esenciales de los derechos, deberes y libertades del título I CE. La misma concepción estricta de la afectación de derechos constitucionales se ha reiterado, entre otras, en las SSTC 60/1986, de 20 de mayo, FJ 4; 182/1997, de 28 de octubre, FJ 6; 137/2003, de 3 de julio, FJ 6; 108/2004, de 30 de junio, FJ 7, y 329/2005, de 15 de diciembre, FJ 8. En todas ellas, de uno u otro modo, se añade que a lo que este tribunal debe atender al interpretar el límite material del art. 86.1 CE es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FJ 8; 329/2005, FJ 8; 100/2012, de 8 de mayo, FJ 9; 35/2017, de 1 de marzo, FJ 5; 134/2021, de 24 de junio, y 7/2024, de 16 de enero, FJ 5, entre otras).</w:t>
      </w:r>
    </w:p>
    <w:p w14:paraId="10DAE2FF" w14:textId="77777777" w:rsidR="00A8138F" w:rsidRDefault="00A8138F" w:rsidP="00A8138F">
      <w:pPr>
        <w:pStyle w:val="TextoNormal"/>
      </w:pPr>
    </w:p>
    <w:p w14:paraId="0F6B9BB5" w14:textId="77777777" w:rsidR="00A8138F" w:rsidRDefault="00A8138F" w:rsidP="00A8138F">
      <w:pPr>
        <w:pStyle w:val="TextoNormal"/>
      </w:pPr>
      <w:r>
        <w:t>A partir de estas premisas estamos ya en disposición de examinar si los preceptos enjuiciados “afecta[n]”, en el sentido constitucional de la expresión según el art. 86.1 CE, a los derechos fundamentales previstos en los arts. 15, 17.1, 18.1, 19 y 21 CE, tal y como sostienen los diputados recurrentes.</w:t>
      </w:r>
    </w:p>
    <w:p w14:paraId="163DA6EA" w14:textId="77777777" w:rsidR="00A8138F" w:rsidRDefault="00A8138F" w:rsidP="00A8138F">
      <w:pPr>
        <w:pStyle w:val="TextoNormal"/>
      </w:pPr>
    </w:p>
    <w:p w14:paraId="0DE67195" w14:textId="77777777" w:rsidR="00A8138F" w:rsidRDefault="00A8138F" w:rsidP="00A8138F">
      <w:pPr>
        <w:pStyle w:val="TextoNormal"/>
      </w:pPr>
      <w:r>
        <w:t xml:space="preserve">C) Comenzando nuestro examen por los derechos fundamentales a la libertad personal (art. 17.1 CE) y a la libertad de circulación (art. 19.1 CE) ha de partirse de que, como afirmamos en la STC 136/2024, «estos guardan, de acuerdo con nuestra doctrina, una relación de grado, de modo que el rigor de la afectación de la capacidad deambulatoria determina, en el caso concreto, si nos encontramos ante el ámbito protegido por uno u otro derecho. Tal y como hemos señalado en la STC 148/2021, de 14 de julio, FJ 4, la libertad garantizada por el art. 17 CE “es ‘la de quien orienta, en el marco de normas generales, la propia acción’ (STC 341/1993, de 18 de noviembre, FJ 4)”, de modo que esta libertad solo queda comprometida cuando “de cualquier modo, se impida u obstaculice la autodeterminación de la conducta lícita” (STC 98/1986, de 10 de julio, FJ 4). Por ello, cuando una norma únicamente afecta a los desplazamientos que el individuo puede realizar en supuestos determinados, es la libertad de circulación del art. 19 CE la que, en principio, queda concernida. En definitiva, tal y como ha señalado el Tribunal Europeo de Derechos Humanos en la decisión de 13 de abril de 2021, asunto </w:t>
      </w:r>
      <w:r w:rsidRPr="00A8138F">
        <w:rPr>
          <w:i/>
        </w:rPr>
        <w:t>Terheş c. Rumanía</w:t>
      </w:r>
      <w:r>
        <w:t xml:space="preserve">, para determinar si estamos ante una afectación de la libertad deambulatoria o de la libertad de circulación, es necesario partir de su situación concreta y tener en cuenta un conjunto de criterios como el tipo, la duración, los efectos y </w:t>
      </w:r>
      <w:r>
        <w:lastRenderedPageBreak/>
        <w:t>las modalidades de ejecución de la medida en cuestión, que deben examinarse de manera “acumulada y combinada” (§ 36)» [FJ 5.3 A) a)].</w:t>
      </w:r>
    </w:p>
    <w:p w14:paraId="032F5C66" w14:textId="77777777" w:rsidR="00A8138F" w:rsidRDefault="00A8138F" w:rsidP="00A8138F">
      <w:pPr>
        <w:pStyle w:val="TextoNormal"/>
      </w:pPr>
    </w:p>
    <w:p w14:paraId="1762E8FE" w14:textId="77777777" w:rsidR="00A8138F" w:rsidRDefault="00A8138F" w:rsidP="00A8138F">
      <w:pPr>
        <w:pStyle w:val="TextoNormal"/>
      </w:pPr>
      <w:r>
        <w:t>Pues bien, las medidas de aislamiento de las personas contagiadas por SARS-CoV-2 [art. 12.1 a) del Decreto-ley 11/2021] y de cuarentena de las personas sospechosas de haber sido contagiadas [art. 12.1 b) del Decreto-ley 11/2021], a las que también se refieren los incisos impugnados de los apartados primero y segundo del art. 6 (como parte integrante del deber de cautela), conllevan la “obligación personal” de sus destinatarios de permanecer en el lugar que se indique “sin posibilidad de desplazarse ni de relacionarse presencialmente con otras personas”. Frente a esta prohibición de desplazamiento, la norma no admite más excepciones que las establecidas en el art. 12.2, y que se concretan en “la asistencia a centros, servicios y establecimientos sanitarios” y los desplazamientos motivados “por causa de fuerza mayor o situación de necesidad debidamente justificadas”.</w:t>
      </w:r>
    </w:p>
    <w:p w14:paraId="7F099B97" w14:textId="77777777" w:rsidR="00A8138F" w:rsidRDefault="00A8138F" w:rsidP="00A8138F">
      <w:pPr>
        <w:pStyle w:val="TextoNormal"/>
      </w:pPr>
    </w:p>
    <w:p w14:paraId="6B10CB63" w14:textId="77777777" w:rsidR="00A8138F" w:rsidRDefault="00A8138F" w:rsidP="00A8138F">
      <w:pPr>
        <w:pStyle w:val="TextoNormal"/>
      </w:pPr>
      <w:r>
        <w:t>Así las cosas, partiendo de la doctrina constitucional antes citada, este tribunal constata que las obligaciones personales de aislamiento y cuarentena, dada su definición legal, pueden llegar a implicar una privación de la capacidad de autodeterminación de movimientos de la persona, casi en su totalidad, con incidencia en la libertad personal del art. 17.1 CE.</w:t>
      </w:r>
    </w:p>
    <w:p w14:paraId="7CA436BF" w14:textId="77777777" w:rsidR="00A8138F" w:rsidRDefault="00A8138F" w:rsidP="00A8138F">
      <w:pPr>
        <w:pStyle w:val="TextoNormal"/>
      </w:pPr>
    </w:p>
    <w:p w14:paraId="031C3AC0" w14:textId="77777777" w:rsidR="00A8138F" w:rsidRDefault="00A8138F" w:rsidP="00A8138F">
      <w:pPr>
        <w:pStyle w:val="TextoNormal"/>
      </w:pPr>
      <w:r>
        <w:t>Por otro lado, las medidas de aislamiento y cuarentena, aquí enjuiciadas, tienen carácter obligatorio y pueden ser objeto de imposición coactiva, incluso en contra de la voluntad de su destinatario. En efecto, el art. 12 del Decreto-ley del Gobierno de Canarias 11/2021 califica estas medidas como obligaciones personales (apartados primero y cuarto) y, aunque, en principio y preferentemente, para el cumplimiento de dicha obligación el decreto-ley autonómico apela a la “colaboración voluntaria de las personas obligadas”, también es cierto que, en caso de negativa al cumplimiento voluntario, el apartado quinto del art. 12 prevé que el cumplimiento pueda “imponerse mediante resoluciones específicas, que podrán dictarse de forma individual o colectiva”. Se trata, en definitiva, de medidas jurídicamente obligatorias, cuyo cumplimiento puede imponerse por la administración competente, aun sin el concurso del consentimiento de las personas afectadas por aquellas.</w:t>
      </w:r>
    </w:p>
    <w:p w14:paraId="2E600A06" w14:textId="77777777" w:rsidR="00A8138F" w:rsidRDefault="00A8138F" w:rsidP="00A8138F">
      <w:pPr>
        <w:pStyle w:val="TextoNormal"/>
      </w:pPr>
    </w:p>
    <w:p w14:paraId="0E8DC346" w14:textId="77777777" w:rsidR="00A8138F" w:rsidRDefault="00A8138F" w:rsidP="00A8138F">
      <w:pPr>
        <w:pStyle w:val="TextoNormal"/>
      </w:pPr>
      <w:r>
        <w:t>Además, el examen en conjunto del régimen jurídico autonómico desarrollado para la gestión de la pandemia pone de manifiesto que las medidas aquí examinadas no son solo jurídicamente obligatorias, en los términos a los que acabamos de referirnos, sino que pueden dar lugar a consecuencias de naturaleza sancionadora. En efecto, en virtud de la remisión efectuada por el art. 18.3 del Decreto-ley 11/2021, ha de tenerse en cuenta que, con arreglo a lo dispuesto en la Ley del Parlamento de Canarias 1/2021, de 29 de abril, por la que se establece el régimen sancionador por incumplimiento de las medidas de prevención y contención frente al covid-19 en la Comunidad Autónoma de Canarias, el incumplimiento del deber de observar cuarentena o aislamiento prescrito por profesional sanitario podría dar lugar a la imposición de sanciones administrativas por la comisión de una infracción leve [art. 6.2 A) 7] o grave [art. 6.2 B) 2], según los casos.</w:t>
      </w:r>
    </w:p>
    <w:p w14:paraId="75E1ADE2" w14:textId="77777777" w:rsidR="00A8138F" w:rsidRDefault="00A8138F" w:rsidP="00A8138F">
      <w:pPr>
        <w:pStyle w:val="TextoNormal"/>
      </w:pPr>
    </w:p>
    <w:p w14:paraId="35A66E4F" w14:textId="77777777" w:rsidR="00A8138F" w:rsidRDefault="00A8138F" w:rsidP="00A8138F">
      <w:pPr>
        <w:pStyle w:val="TextoNormal"/>
      </w:pPr>
      <w:r>
        <w:t xml:space="preserve">A la vista de lo hasta aquí dicho, es claro que nos encontramos ante medidas que limitan o restringen el alcance material del derecho fundamental previsto en el art. 17.1 CE y lo hacen en unos términos que alcanzan, como también acaecía en los casos examinados en las SSTC 136/2024, FJ 5.3, y 141/2024, FJ 3 D), a aspectos esenciales de la regulación del citado derecho fundamental. En conclusión, la regulación de las medidas de aislamiento y </w:t>
      </w:r>
      <w:r>
        <w:lastRenderedPageBreak/>
        <w:t>cuarentena constituyen una afectación del art. 17.1 CE, lo que debe conducir a apreciar la infracción del límite material del art. 86.1 CE, alegada por los recurrentes.</w:t>
      </w:r>
    </w:p>
    <w:p w14:paraId="2E388C83" w14:textId="77777777" w:rsidR="00A8138F" w:rsidRDefault="00A8138F" w:rsidP="00A8138F">
      <w:pPr>
        <w:pStyle w:val="TextoNormal"/>
      </w:pPr>
    </w:p>
    <w:p w14:paraId="21C6ED45" w14:textId="77777777" w:rsidR="00A8138F" w:rsidRDefault="00A8138F" w:rsidP="00A8138F">
      <w:pPr>
        <w:pStyle w:val="TextoNormal"/>
      </w:pPr>
      <w:r>
        <w:t>En consecuencia, procede declarar inconstitucionales y nulos el art. 12, apartados 1, 2 y 5, así como los incisos “incluyendo el cumplimiento del aislamiento o cuarentena prescritos por un profesional sanitario” del art. 6.1 y “permanecerá en su domicilio” del art. 6.2, todos ellos del Decreto-ley 11/2021. A su vez, en el ejercicio de la facultad prevista en el art. 39.1 LOTC, esta declaración de inconstitucionalidad y nulidad ha de extenderse a los apartados 3, 4, 6 y 7 del art. 12 del Decreto-ley 11/2021, que están íntimamente ligados con aquellas medidas y sin los cuales quedan despojados de su sentido y finalidad.</w:t>
      </w:r>
    </w:p>
    <w:p w14:paraId="14B4EB32" w14:textId="77777777" w:rsidR="00A8138F" w:rsidRDefault="00A8138F" w:rsidP="00A8138F">
      <w:pPr>
        <w:pStyle w:val="TextoNormal"/>
      </w:pPr>
    </w:p>
    <w:p w14:paraId="77773152" w14:textId="77777777" w:rsidR="00A8138F" w:rsidRDefault="00A8138F" w:rsidP="00A8138F">
      <w:pPr>
        <w:pStyle w:val="TextoNormal"/>
      </w:pPr>
      <w:r>
        <w:t>D) En siguiente lugar, cabe examinar las quejas que la demanda dirige contra los regímenes establecidos para la realización de pruebas diagnósticas y vacunación (art. 14) y de cribados (art. 15) del Decreto-ley del Gobierno de Canarias 11/2021 y que, a juicio de los recurrentes, incurren en afectación de los arts. 15 y 18.1 CE. Antes de continuar, es importante precisar que la demanda no impugna todo el contenido de estos artículos, sino solamente el art. 14.2, párrafos segundo y tercero, y el art. 15.7, esto es, aquellos apartados de los preceptos que establecen que la negativa a prestar consentimiento para someterse a las pruebas diagnósticas, a la vacunación o a las pruebas diagnósticas de cribado “conllevará la imposibilidad de desempeñar el trabajo o la actividad” condicionados a su realización, “así como, en su caso, la posibilidad de imposición de restricciones u obligaciones personalizadas en los términos previstos por este decreto-ley”.</w:t>
      </w:r>
    </w:p>
    <w:p w14:paraId="0C26809D" w14:textId="77777777" w:rsidR="00A8138F" w:rsidRDefault="00A8138F" w:rsidP="00A8138F">
      <w:pPr>
        <w:pStyle w:val="TextoNormal"/>
      </w:pPr>
    </w:p>
    <w:p w14:paraId="33726BD6" w14:textId="77777777" w:rsidR="00A8138F" w:rsidRDefault="00A8138F" w:rsidP="00A8138F">
      <w:pPr>
        <w:pStyle w:val="TextoNormal"/>
      </w:pPr>
      <w:r>
        <w:t xml:space="preserve">En relación con la vacunación, este tribunal afirmó en la STC 136/2024, FJ 5.3 A) c) que se trata de una medida que afecta con carácter general y sin necesidad de que conlleve riesgos especiales para la salud, al derecho a la integridad personal del art. 15 CE, en su dimensión positiva. Dijimos entonces, con cita de las SSTC 37/2011, de 28 de marzo, FJ 5, y 38/2023, de 20 de abril, FJ 4,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Esta es precisamente la manifestación más importante de los derechos fundamentales que pueden resultar afectados por una intervención médica: la de decidir libremente entre consentir el tratamiento o rehusarlo, posibilidad que ha sido admitida por el [Tribunal Europeo de Derechos Humanos], aun cuando pudiera conducir a un resultado fatal (STEDH de 29 de abril de 2002, caso </w:t>
      </w:r>
      <w:r w:rsidRPr="00A8138F">
        <w:rPr>
          <w:i/>
        </w:rPr>
        <w:t>Pretty c. Reino Unido</w:t>
      </w:r>
      <w:r>
        <w:t>, § 63), y también por este tribunal (STC 154/2002, de 18 de julio, FJ 9)”. E igualmente reconocimos que la vacunación es un acto sanitario que “entra, con claridad, dentro de las facultades de autodeterminación garantizadas por el derecho a la integridad personal del art. 15 CE”.</w:t>
      </w:r>
    </w:p>
    <w:p w14:paraId="562EBEB1" w14:textId="77777777" w:rsidR="00A8138F" w:rsidRDefault="00A8138F" w:rsidP="00A8138F">
      <w:pPr>
        <w:pStyle w:val="TextoNormal"/>
      </w:pPr>
    </w:p>
    <w:p w14:paraId="61170575" w14:textId="77777777" w:rsidR="00A8138F" w:rsidRDefault="00A8138F" w:rsidP="00A8138F">
      <w:pPr>
        <w:pStyle w:val="TextoNormal"/>
      </w:pPr>
      <w:r>
        <w:t xml:space="preserve">Por su parte, en la STC 136/2024, FJ 5.3 A) d), también nos referimos a la realización de pruebas diagnósticas a personas que presenten síntomas compatibles con la enfermedad y de pruebas diagnósticas de cribado, y afirmamos que tales medidas inciden sobre “los derechos a la integridad física (art. 15 CE) y a la intimidad personal (art. 18 CE)”. Continuamos </w:t>
      </w:r>
      <w:r>
        <w:lastRenderedPageBreak/>
        <w:t>diciendo entonces que “la utilización de medios más o menos intrusivos para la realización de la medida determinará, en el caso concreto, el derecho fundamental específicamente afectado, pues la integridad física (art. 15 CE) y la intimidad personal (art. 18 CE) también guardan en nuestra doctrina, de modo similar a lo que ocurre con la libertad deambulatoria y la libertad de circulación, una cierta relación de grado”.</w:t>
      </w:r>
    </w:p>
    <w:p w14:paraId="6D0901EA" w14:textId="77777777" w:rsidR="00A8138F" w:rsidRDefault="00A8138F" w:rsidP="00A8138F">
      <w:pPr>
        <w:pStyle w:val="TextoNormal"/>
      </w:pPr>
    </w:p>
    <w:p w14:paraId="4E5BE413" w14:textId="77777777" w:rsidR="00A8138F" w:rsidRDefault="00A8138F" w:rsidP="00A8138F">
      <w:pPr>
        <w:pStyle w:val="TextoNormal"/>
      </w:pPr>
      <w:r>
        <w:t xml:space="preserve">En particular, cuando el método en el que se concreten las referidas medidas suponga un riesgo, aunque sea meramente potencial, de lesión o menoscabo de la salud, existirá, de acuerdo con nuestra doctrina, “una intromisión en el derecho fundamental a la integridad física” (STC 207/1996, de 16 de diciembre, FFJJ 2 y 3). Y lo mismo ocurrirá cuando la medida afecte a “la incolumidad corporal”, esto es, al derecho de la persona a no sufrir menoscabo “en su cuerpo o en su apariencia externa sin su consentimiento”, pues el hecho “de que la intervención coactiva en el cuerpo pueda suponer un malestar (esto es, producir sensaciones de dolor o sufrimiento) o un riesgo o daño para la salud supone un plus de afectación, mas no es una condición </w:t>
      </w:r>
      <w:r w:rsidRPr="00A8138F">
        <w:rPr>
          <w:i/>
        </w:rPr>
        <w:t>sine qua non</w:t>
      </w:r>
      <w:r>
        <w:t xml:space="preserve"> para entender que existe una intromisión en el derecho fundamental a la integridad física” (STC 207/1996, FJ 2).</w:t>
      </w:r>
    </w:p>
    <w:p w14:paraId="3D333F29" w14:textId="77777777" w:rsidR="00A8138F" w:rsidRDefault="00A8138F" w:rsidP="00A8138F">
      <w:pPr>
        <w:pStyle w:val="TextoNormal"/>
      </w:pPr>
    </w:p>
    <w:p w14:paraId="4D91E952" w14:textId="77777777" w:rsidR="00A8138F" w:rsidRDefault="00A8138F" w:rsidP="00A8138F">
      <w:pPr>
        <w:pStyle w:val="TextoNormal"/>
      </w:pPr>
      <w:r>
        <w:t>En cambio, la afectación del art. 18 CE se producirá cuando el método empleado concierna el “criterio dominante en nuestra cultura sobre el recato corporal” (por todas, STC 37/1989, de 15 de febrero, FJ 7) y, en todo caso, cuando responda a “la finalidad” de indagación de datos íntimos, como ocurre, evidentemente, cuando trata de averiguarse si una persona es portadora de una determinada enfermedad [SSTC 207/1996, FJ 3; 234/1997, de 18 de diciembre, FJ 9 B), y 206/2007, de 24 de septiembre, FJ 4]”.</w:t>
      </w:r>
    </w:p>
    <w:p w14:paraId="2915B73E" w14:textId="77777777" w:rsidR="00A8138F" w:rsidRDefault="00A8138F" w:rsidP="00A8138F">
      <w:pPr>
        <w:pStyle w:val="TextoNormal"/>
      </w:pPr>
    </w:p>
    <w:p w14:paraId="7F62B2D9" w14:textId="77777777" w:rsidR="00A8138F" w:rsidRDefault="00A8138F" w:rsidP="00A8138F">
      <w:pPr>
        <w:pStyle w:val="TextoNormal"/>
      </w:pPr>
      <w:r>
        <w:t>Una vez determinados los derechos fundamentales concernidos por las medidas impugnadas, ha de examinarse el tipo de injerencia que las mismas suponen respecto de aquellos. En este punto, y a diferencia de lo que ocurría en las disposiciones examinadas en las SSTC 136/2024 y 141/2024, el Decreto-ley 11/2021 no contempla ni la vacunación ni la realización de pruebas diagnósticas o de cribado como medidas de carácter obligatorio, sino que todas ellas quedan sujetas a la regulación del consentimiento informado contenida en la Ley 41/2002, de 14 de noviembre, básica reguladora de la autonomía del paciente y de derechos y obligaciones en materia de información y documentación clínica, a la que remite el art. 14.2, primer párrafo, del Decreto-ley 11/2021, que no ha sido objeto de impugnación. Es decir, que la norma parte de la voluntariedad tanto de la vacunación frente a la covid-19 como del sometimiento a las pruebas diagnósticas y de cribado.</w:t>
      </w:r>
    </w:p>
    <w:p w14:paraId="6B0C8BB9" w14:textId="77777777" w:rsidR="00A8138F" w:rsidRDefault="00A8138F" w:rsidP="00A8138F">
      <w:pPr>
        <w:pStyle w:val="TextoNormal"/>
      </w:pPr>
    </w:p>
    <w:p w14:paraId="50DD3F9F" w14:textId="77777777" w:rsidR="00A8138F" w:rsidRDefault="00A8138F" w:rsidP="00A8138F">
      <w:pPr>
        <w:pStyle w:val="TextoNormal"/>
      </w:pPr>
      <w:r>
        <w:t>Ahora bien, aunque dicha voluntariedad sea la premisa o punto de partida de la regulación, no es menos cierto que a través de los apartados recurridos (párrafos segundo y tercero del art. 14.2, y el art. 15.7), se establecen una serie de consecuencias de diversa intensidad para el caso de que la persona se niegue a prestar el consentimiento para someterse a la vacunación o a las pruebas antedichas, tales como la imposibilidad de desempeñar el trabajo o actividad que se hubiera condicionado a tales intervenciones sanitarias o la posibilidad de ser objeto de restricciones u obligaciones personalizadas, según los casos.</w:t>
      </w:r>
    </w:p>
    <w:p w14:paraId="4212F673" w14:textId="77777777" w:rsidR="00A8138F" w:rsidRDefault="00A8138F" w:rsidP="00A8138F">
      <w:pPr>
        <w:pStyle w:val="TextoNormal"/>
      </w:pPr>
    </w:p>
    <w:p w14:paraId="4916216D" w14:textId="77777777" w:rsidR="00A8138F" w:rsidRDefault="00A8138F" w:rsidP="00A8138F">
      <w:pPr>
        <w:pStyle w:val="TextoNormal"/>
      </w:pPr>
      <w:r>
        <w:t xml:space="preserve">Estas consecuencias carecen de la naturaleza sancionadora que pretende atribuirles el recurso de inconstitucionalidad, pues no cabe advertir en ellas la “finalidad represiva, retributiva o de castigo” por la realización de una conducta antijurídica, que es lo que caracteriza a este tipo de normas (SSTC 148/2021, FJ 4, y 215/2016, de 15 de diciembre, FJ 8). Sin </w:t>
      </w:r>
      <w:r>
        <w:lastRenderedPageBreak/>
        <w:t>embargo, el hecho de que se trate de medidas no obligatorias o que la negativa a someterse a las mismas carezca de consecuencias sancionadoras no puede llevarnos sin más a la conclusión de que no se produce por ello una afectación a los derechos fundamentales concernidos. La previsión de unas consecuencias legales como las indicadas para el supuesto de denegación del consentimiento a la inmunización por medio de vacunas o la práctica de las pruebas diagnósticas o de cribado implica la introducción, aunque sea indirectamente, de un condicionamiento material al ejercicio del derecho a la integridad personal en su dimensión positiva. Inevitablemente, que la ley predetermine una serie de consecuencias a la decisión de una persona de someterse a una injerencia corporal implica una restricción o limitación a su capacidad de decisión respecto a la realización de la intervención médica correspondiente. En consecuencia, los párrafos segundo y tercero del art. 14.2 y el art. 15.7 del Decreto-ley participan de la naturaleza de normas restrictivas del derecho a la integridad personal (art. 15 CE), en su dimensión positiva.</w:t>
      </w:r>
    </w:p>
    <w:p w14:paraId="22576BE3" w14:textId="77777777" w:rsidR="00A8138F" w:rsidRDefault="00A8138F" w:rsidP="00A8138F">
      <w:pPr>
        <w:pStyle w:val="TextoNormal"/>
      </w:pPr>
    </w:p>
    <w:p w14:paraId="42F7D451" w14:textId="77777777" w:rsidR="00A8138F" w:rsidRDefault="00A8138F" w:rsidP="00A8138F">
      <w:pPr>
        <w:pStyle w:val="TextoNormal"/>
      </w:pPr>
      <w:r>
        <w:t>Una vez caracterizados los preceptos impugnados como normas limitativas o restrictivas del derecho fundamental a la integridad personal, que inciden sobre un aspecto esencial del mismo como es la libertad del individuo para decidir si consiente o no un tratamiento de inmunización o la realización de una prueba médica, se sigue la conclusión de que el legislador de urgencia ha incurrido en una afectación del art. 15 CE, en los términos constitucionalmente vedados por los arts. 86.1 CE y 46.2 EACan.</w:t>
      </w:r>
    </w:p>
    <w:p w14:paraId="61175C45" w14:textId="77777777" w:rsidR="00A8138F" w:rsidRDefault="00A8138F" w:rsidP="00A8138F">
      <w:pPr>
        <w:pStyle w:val="TextoNormal"/>
      </w:pPr>
    </w:p>
    <w:p w14:paraId="2E54E412" w14:textId="77777777" w:rsidR="00A8138F" w:rsidRDefault="00A8138F" w:rsidP="00A8138F">
      <w:pPr>
        <w:pStyle w:val="TextoNormal"/>
      </w:pPr>
      <w:r>
        <w:t>En consecuencia, procede declarar inconstitucionales y nulos, por infracción de los límites materiales de los decretos-leyes, el art. 14.2, párrafos segundo y tercero, y 15.7 del Decreto-ley del Gobierno de Canarias 11/2021.</w:t>
      </w:r>
    </w:p>
    <w:p w14:paraId="66116B97" w14:textId="77777777" w:rsidR="00A8138F" w:rsidRDefault="00A8138F" w:rsidP="00A8138F">
      <w:pPr>
        <w:pStyle w:val="TextoNormal"/>
      </w:pPr>
    </w:p>
    <w:p w14:paraId="2B1B7E4A" w14:textId="77777777" w:rsidR="00A8138F" w:rsidRDefault="00A8138F" w:rsidP="00A8138F">
      <w:pPr>
        <w:pStyle w:val="TextoNormal"/>
      </w:pPr>
      <w:r>
        <w:t>E) Es el momento de examinar la pretendida afectación del derecho de reunión del art. 21 CE. Los recurrentes imputan esta vulneración del art. 86.1 CE a un conjunto de apartados heterogéneos (arts. 25.2; 26.2; 27.2, y 28.2, 10 y 26 a 33, del Decreto-ley 11/2021), por lo que, antes de entrar en el fondo de la queja, es preciso determinar si todas estas medidas inciden sobre el derecho de reunión.</w:t>
      </w:r>
    </w:p>
    <w:p w14:paraId="26A96DCC" w14:textId="77777777" w:rsidR="00A8138F" w:rsidRDefault="00A8138F" w:rsidP="00A8138F">
      <w:pPr>
        <w:pStyle w:val="TextoNormal"/>
      </w:pPr>
    </w:p>
    <w:p w14:paraId="6DF8AA74" w14:textId="77777777" w:rsidR="00A8138F" w:rsidRDefault="00A8138F" w:rsidP="00A8138F">
      <w:pPr>
        <w:pStyle w:val="TextoNormal"/>
      </w:pPr>
      <w:r>
        <w:t xml:space="preserve">a) La doctrina constitucional ha destacado reiteradamente la relevancia del derecho de reunión como “expresión del principio democrático participativo […] al ser este derecho, en la práctica, para muchos grupos sociales ‘uno de los pocos medios de los que disponen para poder expresar públicamente sus ideas y reivindicaciones’ (SSTC 66/1995, de 8 de mayo, FJ 3; 196/2002, de 28 de octubre, FJ 4; 195/2003, de 27 de octubre, FJ 3; 110/2006, de 3 de abril, FJ 3; 301/2006, 23 de octubre, FJ 2)” (STC 172/2020, de 19 de noviembre). Esta vinculación entre la libertad de expresión y el derecho de reunión ha sido igualmente destacada por el Tribunal Europeo de Derechos Humanos, al recordar que “‘la protección de las opiniones y de la libertad de expresarlas constituye uno de los objetivos de la libertad de reunión’ (STEDH caso </w:t>
      </w:r>
      <w:r w:rsidRPr="00A8138F">
        <w:rPr>
          <w:i/>
        </w:rPr>
        <w:t>Stankov</w:t>
      </w:r>
      <w:r>
        <w:t>, de 2 de octubre de 2001, § 85), o también al afirmar que ‘la libertad de e expresión constituye uno de los medios principales que permite asegurar el disfrute efectivo del derecho a la libertad de reunión y de asociación’ (STEDH cas</w:t>
      </w:r>
      <w:r w:rsidRPr="00A8138F">
        <w:rPr>
          <w:i/>
        </w:rPr>
        <w:t>o Rekvén</w:t>
      </w:r>
      <w:r>
        <w:t>yi, de 20 de mayo de 1999, § 58)” (STC 195/2003, FJ 3).</w:t>
      </w:r>
    </w:p>
    <w:p w14:paraId="395E2D83" w14:textId="77777777" w:rsidR="00A8138F" w:rsidRDefault="00A8138F" w:rsidP="00A8138F">
      <w:pPr>
        <w:pStyle w:val="TextoNormal"/>
      </w:pPr>
    </w:p>
    <w:p w14:paraId="2FF2C659" w14:textId="77777777" w:rsidR="00A8138F" w:rsidRDefault="00A8138F" w:rsidP="00A8138F">
      <w:pPr>
        <w:pStyle w:val="TextoNormal"/>
      </w:pPr>
      <w:r>
        <w:t xml:space="preserve">b) Desde el punto de vista de su configuración constitucional, el derecho de reunión es una asociación transitoria de personas que opera a modo de técnica instrumental puesta al servicio del intercambio o exposición de ideas, la defensa de intereses o la publicidad de </w:t>
      </w:r>
      <w:r>
        <w:lastRenderedPageBreak/>
        <w:t>problemas y reivindicaciones. Se trata, pues, de un derecho individual en cuanto a sus titulares y colectivo en su ejercicio, que constituye un cauce del principio democrático participativo [SSTC 66/1995, FJ 3; 196/2002, FJ 4; 284/2005, de 7 de noviembre, FJ 3; 90/2006, de 27 de marzo, FJ 2 a); 170/2008, de 15 de diciembre, FJ 3; 38/2009, de 9 de febrero, FJ 2; 193/2011, de 12 de diciembre, FJ 3, y 172/2020, FJ 6 B) a)].</w:t>
      </w:r>
    </w:p>
    <w:p w14:paraId="710120FC" w14:textId="77777777" w:rsidR="00A8138F" w:rsidRDefault="00A8138F" w:rsidP="00A8138F">
      <w:pPr>
        <w:pStyle w:val="TextoNormal"/>
      </w:pPr>
    </w:p>
    <w:p w14:paraId="1FDB35CB" w14:textId="77777777" w:rsidR="00A8138F" w:rsidRDefault="00A8138F" w:rsidP="00A8138F">
      <w:pPr>
        <w:pStyle w:val="TextoNormal"/>
      </w:pPr>
      <w:r>
        <w:t>Así pues, como ya afirmó este tribunal tempranamente en su STC 85/1988, de 28 de abril, FJ 2, “son elementos delimitadores o definidores del derecho de reunión, entre otros, el concierto de las personas que reúnen y la presencia de un fin lícito”. Concretando esta idea, esta misma sentencia sostuvo “como ideas relevantes […] que, en cuanto al elemento subjetivo, la agrupación de personas en el derecho de reunión viene caracterizada por la nota esencial de ser una concurrencia concertada en la cual existe un cierto grado de vinculación subjetiva de cada persona interviniente en la reunión con los restantes que participan en la misma y, respecto del elemento finalístico, que la finalidad de comunicación pública, en su consideración de elemento interno, común y consustancial a toda clase de reuniones en lugares públicos […] no es confundible con la concreta finalidad que tenga la reunión”.</w:t>
      </w:r>
    </w:p>
    <w:p w14:paraId="44F3383E" w14:textId="77777777" w:rsidR="00A8138F" w:rsidRDefault="00A8138F" w:rsidP="00A8138F">
      <w:pPr>
        <w:pStyle w:val="TextoNormal"/>
      </w:pPr>
    </w:p>
    <w:p w14:paraId="707019CD" w14:textId="77777777" w:rsidR="00A8138F" w:rsidRDefault="00A8138F" w:rsidP="00A8138F">
      <w:pPr>
        <w:pStyle w:val="TextoNormal"/>
      </w:pPr>
      <w:r>
        <w:t xml:space="preserve">De este modo, por una parte, no toda aglomeración o confluencia de personas supone una manifestación del ejercicio del derecho de reunión, sino que este derecho viene caracterizado por una “concurrencia concertada en la cual existe un cierto grado de vinculación subjetiva de cada persona interviniente en la reunión con los restantes que participan en la misma”. Es decir, el derecho de reunión no solo implica una agrupación de personas, sino que exige un “concierto mutuo para concurrir” o “saberse participantes en una reunión” (STC 85/1988, FFJJ 2 y 3). La STC 172/2020, FJ 6 D) a), complementó esta doctrina aludiendo a la establecida por el Tribunal Europeo de Derechos Humanos, que ha afirmado que las manifestaciones pacíficas espontáneas o no comunicadas encuentran amparo en el art. 11 CEDH siempre que los participantes no hayan realizado ninguna conducta ilegal y que concurran especiales circunstancias, concretadas en que la manifestación en cuestión fuera necesaria para dar respuesta a un evento o acontecimiento político actual (SSTEDH de 17 de julio de 2007, asunto </w:t>
      </w:r>
      <w:r w:rsidRPr="00A8138F">
        <w:rPr>
          <w:i/>
        </w:rPr>
        <w:t>Bukta y otros c. Hungría</w:t>
      </w:r>
      <w:r>
        <w:t>, § 36; de 14 de octubre de 2014, asunt</w:t>
      </w:r>
      <w:r w:rsidRPr="00A8138F">
        <w:rPr>
          <w:i/>
        </w:rPr>
        <w:t>o Yilmaz Yildiz y otros c. Turqu</w:t>
      </w:r>
      <w:r>
        <w:t>ía, § 42 y 45, y de 15 de octubre de 2015, asunt</w:t>
      </w:r>
      <w:r w:rsidRPr="00A8138F">
        <w:rPr>
          <w:i/>
        </w:rPr>
        <w:t>o Kudrevičius y otros c. Lituan</w:t>
      </w:r>
      <w:r>
        <w:t>ia, § 155).</w:t>
      </w:r>
    </w:p>
    <w:p w14:paraId="2589DD5C" w14:textId="77777777" w:rsidR="00A8138F" w:rsidRDefault="00A8138F" w:rsidP="00A8138F">
      <w:pPr>
        <w:pStyle w:val="TextoNormal"/>
      </w:pPr>
    </w:p>
    <w:p w14:paraId="5CA9C3F2" w14:textId="77777777" w:rsidR="00A8138F" w:rsidRDefault="00A8138F" w:rsidP="00A8138F">
      <w:pPr>
        <w:pStyle w:val="TextoNormal"/>
      </w:pPr>
      <w:r>
        <w:t>Por otra parte, el elemento finalista de la reunión únicamente constituye un “elemento externo” que opera “como condición legitimadora del ejercicio del derecho, pero no como contenido del mismo, en el sentido de que cualquier actividad lícita pueda ser realizada por el cauce del derecho de reunión al margen del régimen legal y reglamentario al cual esté sometida, pues ello entraña una inaceptable desnaturalización del derecho en la que se invierten los términos que lo relacionen con su finalidad, en cuanto que es la licitud del fin la que legitima la reunión y no el derecho de reunión con fin lícito el que legaliza, por su sola invocación, la actividad a través de la cual se cumple dicho fin” (STC 85/1988, FJ 3).</w:t>
      </w:r>
    </w:p>
    <w:p w14:paraId="592EA62E" w14:textId="77777777" w:rsidR="00A8138F" w:rsidRDefault="00A8138F" w:rsidP="00A8138F">
      <w:pPr>
        <w:pStyle w:val="TextoNormal"/>
      </w:pPr>
    </w:p>
    <w:p w14:paraId="7DF60D9F" w14:textId="77777777" w:rsidR="00A8138F" w:rsidRDefault="00A8138F" w:rsidP="00A8138F">
      <w:pPr>
        <w:pStyle w:val="TextoNormal"/>
      </w:pPr>
      <w:r>
        <w:t xml:space="preserve">c) Sobre la base de tales consideraciones, estamos ya en disposición de señalar que buena parte de los apartados impugnados a los que los recurrentes imputan una afectación del derecho de reunión no pueden calificarse </w:t>
      </w:r>
      <w:r w:rsidRPr="00A8138F">
        <w:rPr>
          <w:i/>
        </w:rPr>
        <w:t>stricto sensu</w:t>
      </w:r>
      <w:r>
        <w:t xml:space="preserve"> como verdaderas manifestaciones del derecho de reunión ni, por lo tanto, pueden encontrar cobijo dentro del ámbito de tutela del art. 21 CE. En particular, así acontece en los supuestos a los que se refieren los apartados 10 y 26 a 33 del art. 28, que regulan las medidas aplicables en el nivel de alerta 4. Y ello </w:t>
      </w:r>
      <w:r>
        <w:lastRenderedPageBreak/>
        <w:t>porque en estos casos no confluye el doble presupuesto necesario de concurrencia concertada y finalidad de comunicar ideas o reivindicaciones, presupuestos ambos imprescindibles para considerar que nos hallamos ante el ejercicio del derecho de reunión constitucionalmente protegido.</w:t>
      </w:r>
    </w:p>
    <w:p w14:paraId="2CB9CA7F" w14:textId="77777777" w:rsidR="00A8138F" w:rsidRDefault="00A8138F" w:rsidP="00A8138F">
      <w:pPr>
        <w:pStyle w:val="TextoNormal"/>
      </w:pPr>
    </w:p>
    <w:p w14:paraId="0C26FCD3" w14:textId="77777777" w:rsidR="00A8138F" w:rsidRDefault="00A8138F" w:rsidP="00A8138F">
      <w:pPr>
        <w:pStyle w:val="TextoNormal"/>
      </w:pPr>
      <w:r>
        <w:t>Efectivamente, no confluyen, en principio, estas dos notas esenciales del derecho de reunión en los espectáculos públicos, actividades culturales, recreativas, de ocio y esparcimiento (apartado décimo), las acampadas, refugios, albergues y campamentos (apartado vigesimosexto), los mercadillos (apartado vigesimoséptimo), las atracciones de feria (apartado vigesimoctavo), los parques y las playas y otros espacios públicos susceptibles de aglomeraciones (apartado vigesimonoveno), los espectáculos con coros, bandas, orquestas o agrupaciones musicales (apartado trigésimo), las residencias de estudiantes (apartado trigésimo primero), los centros recreativos (apartado trigésimo segundo) y los congresos, encuentros, reuniones de negocios, conferencias y actos similares (apartado trigésimo tercero).</w:t>
      </w:r>
    </w:p>
    <w:p w14:paraId="62D4A29E" w14:textId="77777777" w:rsidR="00A8138F" w:rsidRDefault="00A8138F" w:rsidP="00A8138F">
      <w:pPr>
        <w:pStyle w:val="TextoNormal"/>
      </w:pPr>
    </w:p>
    <w:p w14:paraId="7898649C" w14:textId="77777777" w:rsidR="00A8138F" w:rsidRDefault="00A8138F" w:rsidP="00A8138F">
      <w:pPr>
        <w:pStyle w:val="TextoNormal"/>
      </w:pPr>
      <w:r>
        <w:t>En buena parte de estos casos no resulta posible apreciar la existencia de ese elemento subjetivo que nuestra doctrina ha identificado con el concierto mutuo de varias personas para concurrir, sino que simplemente cabe apreciar que se trata de actividades desarrolladas en espacios abiertos al público y caracterizadas por la posible afluencia de una multitud de personas, pero no necesariamente mediando concertación de ellas entre sí para concurrir.</w:t>
      </w:r>
    </w:p>
    <w:p w14:paraId="29BE36F5" w14:textId="77777777" w:rsidR="00A8138F" w:rsidRDefault="00A8138F" w:rsidP="00A8138F">
      <w:pPr>
        <w:pStyle w:val="TextoNormal"/>
      </w:pPr>
    </w:p>
    <w:p w14:paraId="306DCE5A" w14:textId="77777777" w:rsidR="00A8138F" w:rsidRDefault="00A8138F" w:rsidP="00A8138F">
      <w:pPr>
        <w:pStyle w:val="TextoNormal"/>
      </w:pPr>
      <w:r>
        <w:t>Tampoco se advierte, con carácter general, en la mayoría de estas actividades la presencia del elemento teleológico que caracteriza el derecho de reunión y que consiste en servir de cauce para la comunicación pública de ideas y de reivindicaciones, que es consustancial a la propia relevancia constitucional del derecho de reunión como expresión del principio democrático.</w:t>
      </w:r>
    </w:p>
    <w:p w14:paraId="25955783" w14:textId="77777777" w:rsidR="00A8138F" w:rsidRDefault="00A8138F" w:rsidP="00A8138F">
      <w:pPr>
        <w:pStyle w:val="TextoNormal"/>
      </w:pPr>
    </w:p>
    <w:p w14:paraId="36B52793" w14:textId="77777777" w:rsidR="00A8138F" w:rsidRDefault="00A8138F" w:rsidP="00A8138F">
      <w:pPr>
        <w:pStyle w:val="TextoNormal"/>
      </w:pPr>
      <w:r>
        <w:t>Ello no implica que en supuestos concretos no pudiera darse la presencia de tal elemento teleológico, lo que determinaría que nos encontráramos ante una actividad que sí pudiera incardinarse en el derecho de reunión, pero ello habrá que determinarlo en cada caso.</w:t>
      </w:r>
    </w:p>
    <w:p w14:paraId="6CFB118A" w14:textId="77777777" w:rsidR="00A8138F" w:rsidRDefault="00A8138F" w:rsidP="00A8138F">
      <w:pPr>
        <w:pStyle w:val="TextoNormal"/>
      </w:pPr>
    </w:p>
    <w:p w14:paraId="3008361F" w14:textId="77777777" w:rsidR="00A8138F" w:rsidRDefault="00A8138F" w:rsidP="00A8138F">
      <w:pPr>
        <w:pStyle w:val="TextoNormal"/>
      </w:pPr>
      <w:r>
        <w:t>A mayor abundamiento, en todos los casos antes indicados nos encontramos ante un conjunto de actividades cuyo ejercicio y desarrollo no queda dentro del ámbito de aplicación del régimen de comunicación previa propio del derecho de reunión, previsto en la Ley Orgánica 9/1983, de 15 de julio, reguladora del derecho de reunión, sino que su ordenación se lleva a cabo a través de la correspondiente regulación administrativa aplicable en cada caso. Por lo tanto, los apartados impugnados no afectan ni inciden sobre el contenido jurídico-constitucional del derecho de reunión (art. 21 CE), sino que, como afirmó este tribunal en la ya citada STC 85/1988, FJ 3, “las cuestiones que sobre tales limitaciones o impedimentos pudieran suscitarse serían cuestiones relativas a la aplicación de la legalidad ordinaria”.</w:t>
      </w:r>
    </w:p>
    <w:p w14:paraId="1817F152" w14:textId="77777777" w:rsidR="00A8138F" w:rsidRDefault="00A8138F" w:rsidP="00A8138F">
      <w:pPr>
        <w:pStyle w:val="TextoNormal"/>
      </w:pPr>
    </w:p>
    <w:p w14:paraId="65B2A2D9" w14:textId="77777777" w:rsidR="00A8138F" w:rsidRDefault="00A8138F" w:rsidP="00A8138F">
      <w:pPr>
        <w:pStyle w:val="TextoNormal"/>
      </w:pPr>
      <w:r>
        <w:t>En consecuencia, ha de desestimarse el motivo de impugnación respecto de los apartados 10 y 26 a 33 del art. 28 del Decreto-ley del Gobierno de Canarias 11/2021.</w:t>
      </w:r>
    </w:p>
    <w:p w14:paraId="4FDE2B3E" w14:textId="77777777" w:rsidR="00A8138F" w:rsidRDefault="00A8138F" w:rsidP="00A8138F">
      <w:pPr>
        <w:pStyle w:val="TextoNormal"/>
      </w:pPr>
    </w:p>
    <w:p w14:paraId="4A2DBF24" w14:textId="77777777" w:rsidR="00A8138F" w:rsidRDefault="00A8138F" w:rsidP="00A8138F">
      <w:pPr>
        <w:pStyle w:val="TextoNormal"/>
      </w:pPr>
      <w:r>
        <w:t>d) Distinta es la respuesta que ha de darse respecto de las limitaciones que se imponen, para cada uno de los distintos niveles de alerta, a la permanencia de grupos de personas con arreglo a lo dispuesto en el resto de los apartados controvertidos (arts. 25.2, 26.2, 27.2 y 28.2 del Decreto-ley 11/2021). Limitaciones a la permanencia cuya transgresión es suscep</w:t>
      </w:r>
      <w:r>
        <w:lastRenderedPageBreak/>
        <w:t>tible de sanciones administrativas con arreglo al régimen sancionador al que remite el ya citado art. 18.3 del Decreto-ley 11/2021.</w:t>
      </w:r>
    </w:p>
    <w:p w14:paraId="2C42D6EA" w14:textId="77777777" w:rsidR="00A8138F" w:rsidRDefault="00A8138F" w:rsidP="00A8138F">
      <w:pPr>
        <w:pStyle w:val="TextoNormal"/>
      </w:pPr>
    </w:p>
    <w:p w14:paraId="224A1359" w14:textId="77777777" w:rsidR="00A8138F" w:rsidRDefault="00A8138F" w:rsidP="00A8138F">
      <w:pPr>
        <w:pStyle w:val="TextoNormal"/>
      </w:pPr>
      <w:r>
        <w:t xml:space="preserve">En relación con todos estos casos, los términos de la proposición jurídica siguen una redacción que guarda una sustancial coincidencia con la del art. 7.1 del Real Decreto 926/2020, de 25 de octubre, por el que se declara el estado de alarma para contener la propagación de infecciones causadas por el SARS-CoV-2, sobre el que este tribunal se pronunció en la STC 183/2021, FJ 6 B). En aquella sentencia consideramos que estas “reuniones y encuentros de personas quedan en todo caso fuera del régimen de la Ley reguladora del derecho de reunión [art. 2 a) y b)] y al margen, incluso, del propio concepto constitucional de reunión (art. 21 CE), al que es de esencia un propósito o sentido de participar, de un modo u otro, en la esfera pública [por todas, STC 172/2020, de 19 de noviembre, FJ 6 B)]; algo que está ausente, por definición, en estos encuentros de índole privativa o íntima. Además, la STC 148/2021, integrando la concepción del Tribunal Europeo de Derechos Humanos, que considera, a este respecto, que las trabas u obstáculos al mantenimiento del contacto con familiares y amigos no se encuadran en el ámbito del art. 11 CEDH, relativo a la libertad de reunión, sino en el de su art. 8.1, que garantiza la vida privada y familiar [STEDH (Gran Sala) de 12 de septiembre de 2012, asunto </w:t>
      </w:r>
      <w:r w:rsidRPr="00A8138F">
        <w:rPr>
          <w:i/>
        </w:rPr>
        <w:t>Nada c. Suiza</w:t>
      </w:r>
      <w:r>
        <w:t>, § 165], ha declarado que este ámbito ha de considerarse ‘constitucionalmente protegid[o] por el juego combinado de los arts. 21.1 y 18 CE’ [FJ 5 a)]”. Esta doctrina constitucional y europea relativa a los derechos de reunión e intimidad en relación con las limitaciones a la permanencia de grupos de personas en todo tipo de espacios ha sido reiterada en nuestras recientes SSTC 136/2024, FJ 5.3 A) b), y 141/2024, FJ 3 D) b).</w:t>
      </w:r>
    </w:p>
    <w:p w14:paraId="1F73C9D5" w14:textId="77777777" w:rsidR="00A8138F" w:rsidRDefault="00A8138F" w:rsidP="00A8138F">
      <w:pPr>
        <w:pStyle w:val="TextoNormal"/>
      </w:pPr>
    </w:p>
    <w:p w14:paraId="3194447C" w14:textId="77777777" w:rsidR="00A8138F" w:rsidRDefault="00A8138F" w:rsidP="00A8138F">
      <w:pPr>
        <w:pStyle w:val="TextoNormal"/>
      </w:pPr>
      <w:r>
        <w:t>Por lo tanto, y siguiendo la doctrina expuesta, al tratarse de normas restrictivas de derechos fundamentales y que comportan una regulación de aspectos esenciales de la regulación de los mismos, cabe afirmar que los arts. 25.2, 26.2, 27.2 y 28.2 del Decreto-ley del Gobierno de Canarias 11/2021 afectan, en el sentido constitucional del término, a los derechos fundamentales previstos en los arts. 18 y 21.1 CE, incurriendo por ello en la vulneración del art. 86.1 CE.</w:t>
      </w:r>
    </w:p>
    <w:p w14:paraId="3B1EA317" w14:textId="77777777" w:rsidR="00A8138F" w:rsidRDefault="00A8138F" w:rsidP="00A8138F">
      <w:pPr>
        <w:pStyle w:val="TextoNormal"/>
      </w:pPr>
    </w:p>
    <w:p w14:paraId="4D22A7A3" w14:textId="77777777" w:rsidR="00A8138F" w:rsidRDefault="00A8138F" w:rsidP="00A8138F">
      <w:pPr>
        <w:pStyle w:val="TextoNormal"/>
      </w:pPr>
      <w:r>
        <w:t>En consecuencia, procede declarar inconstitucionales y nulos, por infracción de los límites materiales de los decretos-leyes, los arts. 25.2, 26.2, 27.2 y 28.2 del Decreto-ley 11/2021.</w:t>
      </w:r>
    </w:p>
    <w:p w14:paraId="4022238F" w14:textId="77777777" w:rsidR="00A8138F" w:rsidRDefault="00A8138F" w:rsidP="00A8138F">
      <w:pPr>
        <w:pStyle w:val="TextoNormal"/>
      </w:pPr>
    </w:p>
    <w:p w14:paraId="51627247" w14:textId="77777777" w:rsidR="00A8138F" w:rsidRDefault="00A8138F" w:rsidP="00A8138F">
      <w:pPr>
        <w:pStyle w:val="TextoNormal"/>
      </w:pPr>
      <w:r>
        <w:t>F) De lo resuelto hasta este punto se deriva la innecesariedad de examinar los motivos del recurso de inconstitucionalidad basados en la vulneración de reserva de ley orgánica (art. 81.1 CE), en la infracción de los arts. 116 y 55 CE y en la pretendida invasión de las competencias estatales previstas en el art. 149.1.1 y 149.1.16 CE.</w:t>
      </w:r>
    </w:p>
    <w:p w14:paraId="13E74A0D" w14:textId="77777777" w:rsidR="00A8138F" w:rsidRDefault="00A8138F" w:rsidP="00A8138F">
      <w:pPr>
        <w:pStyle w:val="TextoNormal"/>
      </w:pPr>
    </w:p>
    <w:p w14:paraId="1868DA8E" w14:textId="77777777" w:rsidR="00A8138F" w:rsidRDefault="00A8138F" w:rsidP="00A8138F">
      <w:pPr>
        <w:pStyle w:val="TextoNormal"/>
      </w:pPr>
      <w:r>
        <w:t>a) En relación con la infracción de la reserva de ley orgánica, este motivo del recurso se plantea de modo subsidiario respecto de la lesión del art. 86.1 CE. Pues bien, buena parte de los artículos y apartados del Decreto-ley 11/2021 que se impugnaban por este motivo han sido ya declarados inconstitucionales y nulos por afectar al contenido de los derechos fundamentales previstos en los arts. 15, 17, 18, 19 y 21 CE, vulnerando el límite material del art. 86.1 CE, por lo que se hace innecesario el examen de la alegación efectuada de modo subsidiario.</w:t>
      </w:r>
    </w:p>
    <w:p w14:paraId="39CC3D8C" w14:textId="77777777" w:rsidR="00A8138F" w:rsidRDefault="00A8138F" w:rsidP="00A8138F">
      <w:pPr>
        <w:pStyle w:val="TextoNormal"/>
      </w:pPr>
    </w:p>
    <w:p w14:paraId="58680919" w14:textId="77777777" w:rsidR="00A8138F" w:rsidRDefault="00A8138F" w:rsidP="00A8138F">
      <w:pPr>
        <w:pStyle w:val="TextoNormal"/>
      </w:pPr>
      <w:r>
        <w:lastRenderedPageBreak/>
        <w:t>En cuanto al resto de preceptos del Decreto-ley 11/2021, respecto de los que se ha descartado la vulneración del art. 86.1 CE, esto es, los apartados 10 y 26 a 33 del art. 28, la desestimación de la queja ha venido motivada por entender este tribunal que se trata de preceptos que no afectan ni inciden sobre el derecho de reunión (art. 21 CE). Por las mismas razones antes expuestas hemos de rechazar, sin necesidad de ulteriores consideraciones, que concurra la denunciada infracción del art. 81.1 CE, pues no tratándose de previsiones que incidan sobre el derecho de reunión (art. 21 CE), debe igualmente descartarse que constituyan “desarrollo directo” del referido derecho fundamental.</w:t>
      </w:r>
    </w:p>
    <w:p w14:paraId="576BC946" w14:textId="77777777" w:rsidR="00A8138F" w:rsidRDefault="00A8138F" w:rsidP="00A8138F">
      <w:pPr>
        <w:pStyle w:val="TextoNormal"/>
      </w:pPr>
    </w:p>
    <w:p w14:paraId="65A44C8A" w14:textId="77777777" w:rsidR="00A8138F" w:rsidRDefault="00A8138F" w:rsidP="00A8138F">
      <w:pPr>
        <w:pStyle w:val="TextoNormal"/>
      </w:pPr>
      <w:r>
        <w:t>b) Por idénticas razones, atendiendo a la delimitación del contenido impugnatorio del motivo basado en la vulneración de los arts. 116 y 55 CE [</w:t>
      </w:r>
      <w:r w:rsidRPr="00A8138F">
        <w:rPr>
          <w:i/>
        </w:rPr>
        <w:t>supra</w:t>
      </w:r>
      <w:r>
        <w:t xml:space="preserve"> FJ 2 B) e)], una vez declarados inconstitucionales y nulos aquellos preceptos y apartados del Decreto-ley 11/2021 respecto de los cuales la demanda justificaba de manera precisa la afectación de derechos fundamentales, el citado motivo de impugnación pierde objeto y deviene innecesaria su resolución.</w:t>
      </w:r>
    </w:p>
    <w:p w14:paraId="43B01DA4" w14:textId="77777777" w:rsidR="00A8138F" w:rsidRDefault="00A8138F" w:rsidP="00A8138F">
      <w:pPr>
        <w:pStyle w:val="TextoNormal"/>
      </w:pPr>
    </w:p>
    <w:p w14:paraId="44A3F7E4" w14:textId="77777777" w:rsidR="00A8138F" w:rsidRDefault="00A8138F" w:rsidP="00A8138F">
      <w:pPr>
        <w:pStyle w:val="TextoNormal"/>
      </w:pPr>
      <w:r>
        <w:t>c) Por lo que se refiere a la tacha competencial, la impugnación se fundamenta en que “ya sea desde la perspectiva del apartado 1 o del 16 del art. 149.1 CE resulta evidente que el establecimiento por razones sanitarias de supuestos en los que cabría imponer fuertes restricciones o incluso la auténtica suspensión de derechos fundamentales tan nucleares como los previstos en los artículos 15, 17, 19, 18 y 21 CE, integra una competencia exclusiva del Estado que, de ningún modo, puede abordarse desde un ámbito territorial, introduciendo insoportables desigualdades precisamente en el disfrute de derechos fundamentales en el territorio nacional”.</w:t>
      </w:r>
    </w:p>
    <w:p w14:paraId="33913646" w14:textId="77777777" w:rsidR="00A8138F" w:rsidRDefault="00A8138F" w:rsidP="00A8138F">
      <w:pPr>
        <w:pStyle w:val="TextoNormal"/>
      </w:pPr>
    </w:p>
    <w:p w14:paraId="03E165AA" w14:textId="22EE2163" w:rsidR="00A8138F" w:rsidRDefault="00A8138F" w:rsidP="00A8138F">
      <w:pPr>
        <w:pStyle w:val="TextoNormal"/>
      </w:pPr>
      <w:r>
        <w:t>Como quiera que los apartados de la regulación recurrida que comportaban restricciones a los derechos fundamentales reconocidos en los arts. 15, 17, 18, 19 y 21 CE han sido ya declarados inconstitucionales y nulos por infringir los límites materiales de los decretos-leyes contraviniendo la prohibición prevista en el art. 86.1 CE, resulta ya innecesario pronunciarse sobre la controversia de naturaleza competencial planteada acerca de los mismos.</w:t>
      </w:r>
    </w:p>
    <w:p w14:paraId="69D9D465" w14:textId="77777777" w:rsidR="00A8138F" w:rsidRDefault="00A8138F" w:rsidP="00A8138F">
      <w:pPr>
        <w:pStyle w:val="TextoNormal"/>
      </w:pPr>
    </w:p>
    <w:p w14:paraId="5FD0466C" w14:textId="77777777" w:rsidR="00A8138F" w:rsidRDefault="00A8138F" w:rsidP="00A8138F">
      <w:pPr>
        <w:pStyle w:val="TextoNormal"/>
      </w:pPr>
      <w:r w:rsidRPr="00A8138F">
        <w:rPr>
          <w:rStyle w:val="NumeroAFNegritaCaracter"/>
        </w:rPr>
        <w:t>4</w:t>
      </w:r>
      <w:r>
        <w:t xml:space="preserve">. </w:t>
      </w:r>
      <w:r w:rsidRPr="00A8138F">
        <w:rPr>
          <w:i/>
        </w:rPr>
        <w:t>Sobre el carácter de ley singular autoaplicativa del Decreto-ley 11/2021: desestimación</w:t>
      </w:r>
    </w:p>
    <w:p w14:paraId="7D54B7FE" w14:textId="77777777" w:rsidR="00A8138F" w:rsidRDefault="00A8138F" w:rsidP="00A8138F">
      <w:pPr>
        <w:pStyle w:val="TextoNormal"/>
      </w:pPr>
    </w:p>
    <w:p w14:paraId="475A6AA1" w14:textId="77777777" w:rsidR="00A8138F" w:rsidRDefault="00A8138F" w:rsidP="00A8138F">
      <w:pPr>
        <w:pStyle w:val="TextoNormal"/>
      </w:pPr>
      <w:r>
        <w:t>Finalmente, el recurso de inconstitucionalidad se dirige contra los arts. 3.4, 22.2, 23.1, 25, 26, 27 y 28, la disposición transitoria segunda y el anexo III del Decreto-ley 11/2021. Al impugnar este conjunto de preceptos, los diputados recurrentes reprochan al Decreto-ley 11/2021 su condición de ley autoaplicativa, por cuanto las restricciones y limitaciones de derechos previstas en el mismo operan de manera automática y sin necesidad de un acto administrativo de aplicación, restringiendo el derecho a la tutela judicial efectiva (art. 24.1 CE), al impedir a los ciudadanos el control de las medidas a través de la interposición del correspondiente recurso contencioso administrativo. Por su parte, el Gobierno y el Parlamento canarios han negado que se trate de una ley singular, defendiendo que se trata de una norma que contiene una regulación general y abstracta. En definitiva, lo que se plantea en este motivo de impugnación es el problema de la compatibilidad de las leyes singulares con el art. 24.1 CE, en su vertiente de derecho de acceso a la jurisdicción.</w:t>
      </w:r>
    </w:p>
    <w:p w14:paraId="4FEF1F2E" w14:textId="77777777" w:rsidR="00A8138F" w:rsidRDefault="00A8138F" w:rsidP="00A8138F">
      <w:pPr>
        <w:pStyle w:val="TextoNormal"/>
      </w:pPr>
    </w:p>
    <w:p w14:paraId="5F094897" w14:textId="77777777" w:rsidR="00A8138F" w:rsidRDefault="00A8138F" w:rsidP="00A8138F">
      <w:pPr>
        <w:pStyle w:val="TextoNormal"/>
      </w:pPr>
      <w:r>
        <w:lastRenderedPageBreak/>
        <w:t>a) La doctrina de este tribunal sobre las leyes singulares afirma que las mismas no son, por este mero hecho, inconstitucionales, si bien, al no constituir un ejercicio normal de la potestad legislativa, están sujetas a una serie de límites contenidos en la propia Constitución. Por ello, cuando la ley o una disposición con rango de ley objeto del proceso es calificada como “ley singular” por alguna de las partes, lo primero que ha de examinarse es su naturaleza, pues una vez determinada esta estaremos en condiciones de pronunciarnos sobre las vulneraciones que se le reprochan [STC 134/2019, de 13 de noviembre, FJ 5 a), con cita de las SSTC 129/2013, de 4 de junio, FJ 5, y 50/2015, de 5 de marzo, FJ 3]. O, dicho en otras palabras, cuando se invoca el carácter de ley singular de la norma impugnada, el enjuiciamiento de este tribunal ha de comenzar por comprobar si estamos o no ante alguno de los supuestos de ley singular sistematizados por nuestra jurisprudencia, pues de faltar tal presupuesto, sería infundada la consecuencia a la que llegan los recurrentes, consistente en la vulneración del art. 24.1 CE (en este sentido, STC 170/2016, de 6 de octubre, FJ 5).</w:t>
      </w:r>
    </w:p>
    <w:p w14:paraId="6DEE3D6F" w14:textId="77777777" w:rsidR="00A8138F" w:rsidRDefault="00A8138F" w:rsidP="00A8138F">
      <w:pPr>
        <w:pStyle w:val="TextoNormal"/>
      </w:pPr>
    </w:p>
    <w:p w14:paraId="45283898" w14:textId="77777777" w:rsidR="00A8138F" w:rsidRDefault="00A8138F" w:rsidP="00A8138F">
      <w:pPr>
        <w:pStyle w:val="TextoNormal"/>
      </w:pPr>
      <w:r>
        <w:t>Pues bien, la doctrina constitucional (desde la STC 203/2013, de 5 de diciembre, FJ 3, seguida por otras muchas como las SSTC 170/2016, FJ 4; 134/2019, FJ 5, y 148/2020, de 22 de octubre, FJ 5) ha identificado tres tipos de leyes singulares: (i) un primer tipo de ley singular es la ley autoaplicativa, término que hace alusión a “las leyes que contienen una actividad, típicamente ejecutiva, de aplicación de la norma al caso concreto”, a las que encierran “una actividad materialmente administrativa” o a “aquellas que no requieren del dictado de un acto administrativo de aplicación” (como era el supuesto enjuiciado en la STC 129/2013); (ii) un segundo tipo sería el de la ley “de estructura singular en atención a los destinatarios a que va dirigida”, caso de la norma examinada en la STC 166/1986, de 19 de diciembre; y (iii) finalmente, también se consideran como leyes singulares “aquellas dictadas en atención a un supuesto de hecho concreto y singular, que agotan su contenido y eficacia en la adopción y ejecución de la medida tomada por el legislador ante ese supuesto de hecho, aislado en la ley singular y no comunicable con ningún otro”, categoría en la que se encuadró, por ejemplo, el supuesto de la STC 203/2013, FJ 5.</w:t>
      </w:r>
    </w:p>
    <w:p w14:paraId="09116C42" w14:textId="77777777" w:rsidR="00A8138F" w:rsidRDefault="00A8138F" w:rsidP="00A8138F">
      <w:pPr>
        <w:pStyle w:val="TextoNormal"/>
      </w:pPr>
    </w:p>
    <w:p w14:paraId="23BFA9C1" w14:textId="77777777" w:rsidR="00A8138F" w:rsidRDefault="00A8138F" w:rsidP="00A8138F">
      <w:pPr>
        <w:pStyle w:val="TextoNormal"/>
      </w:pPr>
      <w:r>
        <w:t>b) El Decreto-ley del Gobierno de Canarias 11/2021 establece el régimen jurídico de la alerta sanitaria durante la pandemia de covid-19. Dentro de este régimen jurídico, la pieza clave del sistema son los denominados “niveles de alerta sanitaria” que se definen como “los estadios de gestión de la crisis sanitaria de covid-19 aplicables territorialmente en función de la evolución de los indicadores de riesgo” (art. 21.1). Estos niveles de alerta se determinan en función de la evolución del riesgo, lo que se verifica a partir del conjunto de indicadores epidemiológicos, de capacidad asistencial y de salud pública establecidos en el marco del Consejo Interterritorial del Sistema Nacional de Salud, así como aquellos otros que pueda establecer la autoridad sanitaria autonómica (art. 21.3).</w:t>
      </w:r>
    </w:p>
    <w:p w14:paraId="51926A34" w14:textId="77777777" w:rsidR="00A8138F" w:rsidRDefault="00A8138F" w:rsidP="00A8138F">
      <w:pPr>
        <w:pStyle w:val="TextoNormal"/>
      </w:pPr>
    </w:p>
    <w:p w14:paraId="08657C7C" w14:textId="77777777" w:rsidR="00A8138F" w:rsidRDefault="00A8138F" w:rsidP="00A8138F">
      <w:pPr>
        <w:pStyle w:val="TextoNormal"/>
      </w:pPr>
      <w:r>
        <w:t xml:space="preserve">Tal evaluación del riesgo de la situación sanitaria se lleva a cabo semanalmente. Con base en la evolución de los citados indicadores, la autoridad sanitaria autonómica determina el nivel de alerta que corresponde a cada isla o unidad territorial inferior, lo que es objeto de publicación en la página web “[p]ortal” covid del Gobierno de Canarias, momento a partir del cual son de aplicación las medidas correspondientes al nivel de alerta establecido (arts. 22.2 y 23.1). Con todo, la autoridad sanitaria autonómica conserva un margen de maniobra, toda vez que la normativa permite: (i) actualizaciones puntuales en períodos distintos del semanal en función de la evolución de los datos epidemiológicos (art. 22.2); (ii) activar, excepcionalmente y de forma motivada, un nivel de alerta distinto en caso de que </w:t>
      </w:r>
      <w:r>
        <w:lastRenderedPageBreak/>
        <w:t>la evolución de uno o algunos de los indicadores de valoración del riesgo así lo requiera (art. 22.3) y (iii) aplicar, también de forma motivada, un nivel de actuación inferior al que corresponda en función del sistema de evaluación del riesgo, siempre que no se pongan en peligro los intereses generales de intervención sanitaria contra la pandemia de covid-19 y la preservación de la capacidad asistencial del sistema de salud (art. 22.4).</w:t>
      </w:r>
    </w:p>
    <w:p w14:paraId="258A6646" w14:textId="77777777" w:rsidR="00A8138F" w:rsidRDefault="00A8138F" w:rsidP="00A8138F">
      <w:pPr>
        <w:pStyle w:val="TextoNormal"/>
      </w:pPr>
    </w:p>
    <w:p w14:paraId="0EEA6E4C" w14:textId="77777777" w:rsidR="00A8138F" w:rsidRDefault="00A8138F" w:rsidP="00A8138F">
      <w:pPr>
        <w:pStyle w:val="TextoNormal"/>
      </w:pPr>
      <w:r>
        <w:t>De esta manera, en función de la situación epidemiológica, se establecen cuatro niveles de alerta (art. 22.1): (i) el nivel de alerta 1, en el que la situación se caracteriza por implicar brotes complejos o transmisión comunitaria limitada; (ii) el nivel de alerta 2, en el que existe transmisión comunitaria sostenida generalizada con presión creciente sobre el sistema sanitario; (iii) el nivel de alerta 3, en el que los indicadores revelan una situación de transmisión comunitaria sostenida y de difícil control junto con una presión alta sobre el sistema sanitario y (iv) el nivel de alerta 4, en el que la transmisión comunitaria se califica como no controlada y sostenida y puede exceder o excede las capacidades de respuesta del sistema sanitario. Por su parte, los arts. 25, 26, 27 y 28 establecen el conjunto de medidas restrictivas que resultan aplicables en cada uno de los niveles de alerta sanitaria. No obstante, la autoridad sanitaria queda habilitada para establecer medidas limitativas adicionales a las que correspondan en cada nivel de alerta sanitaria con arreglo a la legislación sanitaria y de salud pública general, siempre que sean necesarias y proporcionales (art. 23.2). E igualmente se permite levantar temporalmente o modular la aplicación de algunas de estas medidas en algunas unidades territoriales, siempre que resulte posible en función de la concreta situación epidemiológica (art. 23.3).</w:t>
      </w:r>
    </w:p>
    <w:p w14:paraId="5FF42882" w14:textId="77777777" w:rsidR="00A8138F" w:rsidRDefault="00A8138F" w:rsidP="00A8138F">
      <w:pPr>
        <w:pStyle w:val="TextoNormal"/>
      </w:pPr>
    </w:p>
    <w:p w14:paraId="225A9A15" w14:textId="77777777" w:rsidR="00A8138F" w:rsidRDefault="00A8138F" w:rsidP="00A8138F">
      <w:pPr>
        <w:pStyle w:val="TextoNormal"/>
      </w:pPr>
      <w:r>
        <w:t>En todo caso, sea cual sea el nivel de alerta sanitaria vigente en cada momento y unidad territorial, el anexo I recoge las recomendaciones para la prevención de contagios, el anexo II regula un conjunto de medidas específicas en materia de limpieza y desinfección, aforo y distancias en establecimientos y el anexo III (el único de los tres anexos objeto de impugnación) contempla las medidas preventivas específicas aplicables en función del tipo de establecimiento o de actividad (centros docentes, hostelería y restauración, establecimientos turísticos, oficinas, actividades deportivas, etc.).</w:t>
      </w:r>
    </w:p>
    <w:p w14:paraId="0E088F09" w14:textId="77777777" w:rsidR="00A8138F" w:rsidRDefault="00A8138F" w:rsidP="00A8138F">
      <w:pPr>
        <w:pStyle w:val="TextoNormal"/>
      </w:pPr>
    </w:p>
    <w:p w14:paraId="05CE7B1F" w14:textId="77777777" w:rsidR="00A8138F" w:rsidRDefault="00A8138F" w:rsidP="00A8138F">
      <w:pPr>
        <w:pStyle w:val="TextoNormal"/>
      </w:pPr>
      <w:r>
        <w:t>c) Puesta la regulación contenida en los preceptos impugnados en contraste con la tipología normativa antes expuesta, debemos concluir que no nos hallamos ante ninguno de los casos de ley singular identificados en nuestra jurisprudencia, por los argumentos que a continuación se exponen:</w:t>
      </w:r>
    </w:p>
    <w:p w14:paraId="472EDDF2" w14:textId="77777777" w:rsidR="00A8138F" w:rsidRDefault="00A8138F" w:rsidP="00A8138F">
      <w:pPr>
        <w:pStyle w:val="TextoNormal"/>
      </w:pPr>
    </w:p>
    <w:p w14:paraId="26FEA361" w14:textId="77777777" w:rsidR="00A8138F" w:rsidRDefault="00A8138F" w:rsidP="00A8138F">
      <w:pPr>
        <w:pStyle w:val="TextoNormal"/>
      </w:pPr>
      <w:r>
        <w:t>(i) En primer lugar, hemos de descartar que el Decreto-ley 11/2021 pueda categorizarse como una ley singular ni en atención a sus destinatarios ni tampoco en atención al supuesto de hecho que regula.</w:t>
      </w:r>
    </w:p>
    <w:p w14:paraId="3E05426C" w14:textId="77777777" w:rsidR="00A8138F" w:rsidRDefault="00A8138F" w:rsidP="00A8138F">
      <w:pPr>
        <w:pStyle w:val="TextoNormal"/>
      </w:pPr>
    </w:p>
    <w:p w14:paraId="7BADB0BD" w14:textId="77777777" w:rsidR="00A8138F" w:rsidRDefault="00A8138F" w:rsidP="00A8138F">
      <w:pPr>
        <w:pStyle w:val="TextoNormal"/>
      </w:pPr>
      <w:r>
        <w:t xml:space="preserve">En efecto, aunque nada se ha razonado sobre estos dos supuestos de ley singular por parte de los diputados recurrentes, no es ocioso poner de manifiesto que el decreto-ley recurrido, tanto considerado en su conjunto como en lo que se refiere a los concretos preceptos impugnados, no contiene una regulación dirigida a uno o varios sujetos individualizados o individualizables, sino que contiene una regulación de carácter general y abstracta aplicable a todas las personas físicas y jurídicas que se encuentren dentro de su ámbito territorial de aplicación, esto es, todo el territorio de la Comunidad Autónoma de Canarias. Es decir, se </w:t>
      </w:r>
      <w:r>
        <w:lastRenderedPageBreak/>
        <w:t>trata de una norma aprobada con vocación de generalidad para cuya configuración y aplicación, la identidad de sus destinatarios no resulta un factor determinante.</w:t>
      </w:r>
    </w:p>
    <w:p w14:paraId="40391ACA" w14:textId="77777777" w:rsidR="00A8138F" w:rsidRDefault="00A8138F" w:rsidP="00A8138F">
      <w:pPr>
        <w:pStyle w:val="TextoNormal"/>
      </w:pPr>
    </w:p>
    <w:p w14:paraId="506539EA" w14:textId="77777777" w:rsidR="00A8138F" w:rsidRDefault="00A8138F" w:rsidP="00A8138F">
      <w:pPr>
        <w:pStyle w:val="TextoNormal"/>
      </w:pPr>
      <w:r>
        <w:t>Tampoco es posible apreciar que la norma se haya dictado en atención a un supuesto de hecho concreto y singular. Por más que el Decreto-ley 11/2021 tenga por finalidad establecer un régimen jurídico dirigido a afrontar la específica situación provocada por la pandemia de covid-19, su regulación no se agota en la aplicación de una medida concreta a un supuesto de hecho concreto, sino que tiene un contenido abstracto y con vocación para ser aplicado en todo tipo de supuestos y de relaciones jurídicas que puedan producirse durante su ámbito temporal de aplicación, es decir, hasta que se declare la finalización de la situación de crisis sanitaria ocasionada por la covid-19 en el ámbito nacional (art. 2); aspecto acerca del cual existía incertidumbre al tiempo de aprobarse la norma y que no se produjo hasta casi dos años después de su aprobación, con la publicación, por medio de la Orden SND/726/2023, de 4 de julio, por la que se publica el acuerdo del Consejo de Ministros de 4 de julio de 2023, por el que se declara la finalización de la situación de crisis sanitaria ocasionada por la covid-19.</w:t>
      </w:r>
    </w:p>
    <w:p w14:paraId="788FC8A2" w14:textId="77777777" w:rsidR="00A8138F" w:rsidRDefault="00A8138F" w:rsidP="00A8138F">
      <w:pPr>
        <w:pStyle w:val="TextoNormal"/>
      </w:pPr>
    </w:p>
    <w:p w14:paraId="339FAFB0" w14:textId="77777777" w:rsidR="00A8138F" w:rsidRDefault="00A8138F" w:rsidP="00A8138F">
      <w:pPr>
        <w:pStyle w:val="TextoNormal"/>
      </w:pPr>
      <w:r>
        <w:t>(ii) Por otro lado, tampoco cabe considerar que nos encontremos ante una norma encuadrable dentro del concepto de ley autoaplicativa, tal y como el mismo ha sido definido por nuestra jurisprudencia.</w:t>
      </w:r>
    </w:p>
    <w:p w14:paraId="4577225E" w14:textId="77777777" w:rsidR="00A8138F" w:rsidRDefault="00A8138F" w:rsidP="00A8138F">
      <w:pPr>
        <w:pStyle w:val="TextoNormal"/>
      </w:pPr>
    </w:p>
    <w:p w14:paraId="49D2DC11" w14:textId="77777777" w:rsidR="00A8138F" w:rsidRDefault="00A8138F" w:rsidP="00A8138F">
      <w:pPr>
        <w:pStyle w:val="TextoNormal"/>
      </w:pPr>
      <w:r>
        <w:t xml:space="preserve">Dentro de esta tipología normativa se engloban aquellas leyes que contienen una actividad puramente ejecutiva, de aplicación de una norma a un caso concreto, a través de la cual el legislador desarrolla una actividad materialmente propia de la administración, desplegando unos efectos </w:t>
      </w:r>
      <w:r w:rsidRPr="00A8138F">
        <w:rPr>
          <w:i/>
        </w:rPr>
        <w:t>ope legis</w:t>
      </w:r>
      <w:r>
        <w:t xml:space="preserve"> o por ministerio de la ley, sin necesidad de que se dicten actos administrativos de aplicación de la norma. Sin embargo, esta situación no se produce en el caso que nos ocupa. Si bien es cierto que la ley define unos supuestos de hecho (los distintos niveles de alerta) a los que anuda una determinada consecuencia jurídica (las medidas aplicables a cada nivel), ello no basta para apreciar que se trate de una norma autoaplicativa. En este punto, resulta relevante destacar que, para que las medidas previstas en los arts. 25, 26, 27 y 28 del Decreto-ley del Gobierno de Canarias 11/2021 resulten aplicables y su cumplimiento legalmente exigible, resulta preciso que por parte de la autoridad sanitaria autonómica (el centro directivo con competencias en materia de salud pública del Servicio Sanitario de Salud) se proceda a realizar, con la periodicidad prevista en la norma, la pertinente evaluación del riesgo y que, con base en dicha evaluación y a partir de los indicadores establecidos, se determine el nivel de alerta existente en cada unidad territorial. Es entonces cuando se procede a efectuar la publicación de la declaración de los niveles de alerta que correspondan a cada unidad territorial en el ya mencionado portal web. Y, a partir de ese momento, comienzan a resultar aplicables las previsiones de los arts. 25, 26, 27 y 28 del Decreto-ley 11/2021, salvo en el caso de los niveles 3 y 4 cuya vigencia comenzará a los cuatro días naturales a contar desde la publicación. Por más que el decreto-ley insista reiteradamente en que todo ello tiene lugar “sin necesidad de mediar disposición o acto alguno” y de manera “automática” (como se afirma, entre otros, en los arts. 22.2 y 23.1), resulta innegable que la publicación de la declaración de los niveles de alerta en el portal web es el resultado de una actuación administrativa de aplicación de la ley, consistente en la evaluación del riesgo de la situación epidemiológica de cada isla o unidad territorial y la subsunción de dicha realidad fáctica en uno de los niveles de alerta sanitaria establecidos normativamente. Esto es, se trata de un acto administrativo de aplicación de la norma al caso con</w:t>
      </w:r>
      <w:r>
        <w:lastRenderedPageBreak/>
        <w:t>creto. Tales actuaciones encomendadas a la autoridad sanitaria autonómica por la norma, por más que por mandato legal no revistan externamente la forma de acto o disposición administrativa, constituyen actos jurídicos que tienen el efecto de crear, modificar o extinguir, según los casos, derechos, obligaciones y situaciones jurídicas y, en cuanto que tales, constituyen actuaciones administrativas susceptibles de impugnación, a los efectos de lo dispuesto en el art. 25.1 de la Ley 29/1998, de 13 de julio, reguladora de la jurisdicción contencioso-administrativa , por los sujetos legitimados para ello con arreglo a la ley.</w:t>
      </w:r>
    </w:p>
    <w:p w14:paraId="0011D1A3" w14:textId="77777777" w:rsidR="00A8138F" w:rsidRDefault="00A8138F" w:rsidP="00A8138F">
      <w:pPr>
        <w:pStyle w:val="TextoNormal"/>
      </w:pPr>
    </w:p>
    <w:p w14:paraId="0D6C09A6" w14:textId="77777777" w:rsidR="00A8138F" w:rsidRDefault="00A8138F" w:rsidP="00A8138F">
      <w:pPr>
        <w:pStyle w:val="TextoNormal"/>
      </w:pPr>
      <w:r>
        <w:t>Además, como ya ha quedado indicado, por más que la norma insista en el automatismo, queda margen para que la autoridad sanitaria autonómica introduzca modulaciones en la configuración general de los niveles de alerta sanitaria, de manera que puede incorporar medidas adicionales a las previstas en la norma con carácter general o levantar o modular algunas de estas, siempre de manera motivada y atendiendo a las circunstancias concurrentes, lo que de nuevo impide calificar el Decreto-ley del Gobierno de Canarias 11/2021 como una ley singular autoaplicativa.</w:t>
      </w:r>
    </w:p>
    <w:p w14:paraId="0ED6456F" w14:textId="77777777" w:rsidR="00A8138F" w:rsidRDefault="00A8138F" w:rsidP="00A8138F">
      <w:pPr>
        <w:pStyle w:val="TextoNormal"/>
      </w:pPr>
    </w:p>
    <w:p w14:paraId="48B177A8" w14:textId="77777777" w:rsidR="00A8138F" w:rsidRDefault="00A8138F" w:rsidP="00A8138F">
      <w:pPr>
        <w:pStyle w:val="TextoNormal"/>
      </w:pPr>
      <w:r>
        <w:t>(iii) Por otro lado, las disposiciones del anexo III tampoco pueden considerarse como manifestaciones de la tipología normativa de las leyes autoaplicativas porque no contienen una actividad ejecutiva de aplicación de la norma al caso concreto, sino que establecen un nuevo conjunto de deberes y obligaciones para particulares y empresas que constituyen el régimen jurídico especial de ciertas actividades durante la pandemia de covid-19 y cuya eficacia exige que se dicten las disposiciones de desarrollo y los actos aplicativos que en cada caso corresponda. En este sentido, aunque nada se ha argumentado específicamente por los recurrentes acerca del contenido concreto del anexo III, no pueden dejar de destacarse, a título de ejemplo, las continuas remisiones que a lo largo del citado anexo se efectúan a los protocolos que, en cada uno de los casos, deberán precisar y detallar cada una de las medidas preventivas.</w:t>
      </w:r>
    </w:p>
    <w:p w14:paraId="000DC2ED" w14:textId="77777777" w:rsidR="00A8138F" w:rsidRDefault="00A8138F" w:rsidP="00A8138F">
      <w:pPr>
        <w:pStyle w:val="TextoNormal"/>
      </w:pPr>
    </w:p>
    <w:p w14:paraId="3C950A4F" w14:textId="77777777" w:rsidR="00A8138F" w:rsidRDefault="00A8138F" w:rsidP="00A8138F">
      <w:pPr>
        <w:pStyle w:val="TextoNormal"/>
      </w:pPr>
      <w:r>
        <w:t>(iv) Por último, en cuanto a la disposición transitoria segunda, la misma persigue solucionar el problema de la sucesión temporal de normas, arbitrando el abandono paulatino de un régimen jurídico hasta la plena implantación del nuevo sistema de alertas sanitarias. A estos efectos, la norma determina el mantenimiento del nivel de alerta declarado en cada isla hasta el momento en que se proceda a la revisión de su situación con arreglo al nuevo sistema implantado, al tiempo que incorpora algunas de las medidas establecidas conforme a la nueva normativa, facilitando con ello el paso de un régimen al siguiente. La disposición transitoria segunda responde así al modelo arquetípico de las normas de transición y, por ello, no puede ser calificada como ley autoaplicativa (en idéntico sentido, la STC 170/2016, FJ 5).</w:t>
      </w:r>
    </w:p>
    <w:p w14:paraId="2BCE733F" w14:textId="77777777" w:rsidR="00A8138F" w:rsidRDefault="00A8138F" w:rsidP="00A8138F">
      <w:pPr>
        <w:pStyle w:val="TextoNormal"/>
      </w:pPr>
    </w:p>
    <w:p w14:paraId="6DC36C72" w14:textId="77777777" w:rsidR="00A8138F" w:rsidRDefault="00A8138F" w:rsidP="00A8138F">
      <w:pPr>
        <w:pStyle w:val="TextoNormal"/>
      </w:pPr>
      <w:r>
        <w:t>d) En fin, una vez que hemos descartado que los preceptos impugnados pertenezcan a la categoría de leyes singulares, al constatarse que nos encontramos ante una norma general y abstracta, cuyo contenido es típicamente normativo y que no encierra una actuación materialmente ejecutiva o administrativa de mera aplicación de la ley al caso concreto, decae la queja fundada en la pretendida vulneración del derecho a la tutela judicial efectiva (art. 24.1 CE), en su vertiente del derecho de acceso a la jurisdicción. Pues, como advierte en estos casos nuestra jurisprudencia, negada la premisa o punto de partida, resulta infundada la infracción constitucional que se atribuye a la norma como consecuencia de aquella.</w:t>
      </w:r>
    </w:p>
    <w:p w14:paraId="71B8960B" w14:textId="77777777" w:rsidR="00A8138F" w:rsidRDefault="00A8138F" w:rsidP="00A8138F">
      <w:pPr>
        <w:pStyle w:val="TextoNormal"/>
      </w:pPr>
    </w:p>
    <w:p w14:paraId="385B6F41" w14:textId="41D5991C" w:rsidR="00A8138F" w:rsidRDefault="00A8138F" w:rsidP="00A8138F">
      <w:pPr>
        <w:pStyle w:val="TextoNormal"/>
      </w:pPr>
      <w:r>
        <w:lastRenderedPageBreak/>
        <w:t xml:space="preserve">A este respecto, ha de recordarse que, de acuerdo con reiterada doctrina de este Tribunal Constitucional, dada la inexistencia de reserva reglamentaria en nuestro ordenamiento (por todas, STC 38/2016, FJ 7 </w:t>
      </w:r>
      <w:r w:rsidRPr="00A8138F">
        <w:rPr>
          <w:i/>
        </w:rPr>
        <w:t>in fine</w:t>
      </w:r>
      <w:r>
        <w:t xml:space="preserve">, con cita de las SSTC 120/2014, de 17 de julio, FJ 8, y 12/2015, de 5 de febrero), la ley puede tener cualquier contenido y en modo alguno le está vedada la regulación de materias atribuidas al poder reglamentario (SSTC 73/2000, de 14 de marzo, FJ 15; 248/2000, de 19 de octubre, FJ 5, y 61/2016, de 17 de marzo, FJ 7). Cuestión distinta será que, dado el rango de esta norma, sus preceptos no puedan ser impugnados ante los tribunales, pero no estando ante una verdadera ley singular ni tampoco ante un uso arbitrario de tal tipología normativa, no puede sino concluirse que “pertenece a su propia naturaleza de ley el no poder ser enjuiciada por los jueces y tribunales ordinarios” (STC 248/2000, FJ 5 </w:t>
      </w:r>
      <w:r w:rsidRPr="00A8138F">
        <w:rPr>
          <w:i/>
        </w:rPr>
        <w:t>in fine</w:t>
      </w:r>
      <w:r>
        <w:t>), sin perjuicio de la facultad que a estos les asiste de plantear una cuestión de inconstitucionalidad ante el Tribunal Constitucional (arts. 163 CE y 35 y ss. LOTC), y sin que quepa apreciar por ello una vulneración del art. 24.1 CE.</w:t>
      </w:r>
    </w:p>
    <w:p w14:paraId="01A54248" w14:textId="77777777" w:rsidR="00A8138F" w:rsidRDefault="00A8138F" w:rsidP="00A8138F">
      <w:pPr>
        <w:pStyle w:val="TextoNormal"/>
      </w:pPr>
    </w:p>
    <w:p w14:paraId="354AF95F" w14:textId="77777777" w:rsidR="00A8138F" w:rsidRDefault="00A8138F" w:rsidP="00A8138F">
      <w:pPr>
        <w:pStyle w:val="TextoNormalCentrado"/>
        <w:keepNext/>
      </w:pPr>
      <w:r>
        <w:t>FALLO</w:t>
      </w:r>
    </w:p>
    <w:p w14:paraId="7C1D77D8" w14:textId="118BA523" w:rsidR="00A8138F" w:rsidRDefault="00A8138F" w:rsidP="00A8138F">
      <w:pPr>
        <w:pStyle w:val="TextoNormalCentrado"/>
        <w:keepNext/>
      </w:pPr>
    </w:p>
    <w:p w14:paraId="1D2E35C1" w14:textId="77777777" w:rsidR="00A8138F" w:rsidRDefault="00A8138F" w:rsidP="00A8138F">
      <w:pPr>
        <w:pStyle w:val="TextoNormal"/>
      </w:pPr>
      <w:r>
        <w:t>En atención a todo lo expuesto, el Tribunal Constitucional, por la autoridad que le confiere la Constitución de la Nación española, ha decidido estimar en parte el recurso de inconstitucionalidad y, en consecuencia:</w:t>
      </w:r>
    </w:p>
    <w:p w14:paraId="3847B266" w14:textId="77777777" w:rsidR="00A8138F" w:rsidRDefault="00A8138F" w:rsidP="00A8138F">
      <w:pPr>
        <w:pStyle w:val="TextoNormal"/>
      </w:pPr>
    </w:p>
    <w:p w14:paraId="72394257" w14:textId="77777777" w:rsidR="00A8138F" w:rsidRDefault="00A8138F" w:rsidP="00A8138F">
      <w:pPr>
        <w:pStyle w:val="TextoNormal"/>
      </w:pPr>
      <w:r>
        <w:t xml:space="preserve">1º Declarar la pérdida sobrevenida de objeto de la impugnación de carácter competencial del art. 9.1 del Decreto-ley 11/2021, y de los motivos de impugnación de carácter sustantivo en los términos indicados en el fundamento jurídico 2 A) b) </w:t>
      </w:r>
      <w:r w:rsidRPr="00A8138F">
        <w:rPr>
          <w:i/>
        </w:rPr>
        <w:t>in fine</w:t>
      </w:r>
      <w:r>
        <w:t>.</w:t>
      </w:r>
    </w:p>
    <w:p w14:paraId="043B673A" w14:textId="77777777" w:rsidR="00A8138F" w:rsidRDefault="00A8138F" w:rsidP="00A8138F">
      <w:pPr>
        <w:pStyle w:val="TextoNormal"/>
      </w:pPr>
    </w:p>
    <w:p w14:paraId="7FFDCE03" w14:textId="77777777" w:rsidR="00A8138F" w:rsidRDefault="00A8138F" w:rsidP="00A8138F">
      <w:pPr>
        <w:pStyle w:val="TextoNormal"/>
      </w:pPr>
      <w:r>
        <w:t>2º Declarar que son inconstitucionales y nulos el inciso “incluyendo el cumplimiento del aislamiento o cuarentena prescritos por un profesional sanitario” del art. 6.1; el inciso “permanecerá en su domicilio” del art. 6.2; el art. 12, apartados 1, 2 y 5; el art. 14.2, párrafos segundo y tercero; los arts. 15.7; 25.2; 26.2; 27.2 y 28.2 del Decreto-ley 11/2021.</w:t>
      </w:r>
    </w:p>
    <w:p w14:paraId="7FDC8ED1" w14:textId="77777777" w:rsidR="00A8138F" w:rsidRDefault="00A8138F" w:rsidP="00A8138F">
      <w:pPr>
        <w:pStyle w:val="TextoNormal"/>
      </w:pPr>
    </w:p>
    <w:p w14:paraId="389E3438" w14:textId="77777777" w:rsidR="00A8138F" w:rsidRDefault="00A8138F" w:rsidP="00A8138F">
      <w:pPr>
        <w:pStyle w:val="TextoNormal"/>
      </w:pPr>
      <w:r>
        <w:t>3º Extender, por conexión o consecuencia, la declaración de inconstitucionalidad y nulidad a los apartados 3, 4, 6 y 7 del art. 12 del Decreto-ley 11/2021.</w:t>
      </w:r>
    </w:p>
    <w:p w14:paraId="21C602D9" w14:textId="77777777" w:rsidR="00A8138F" w:rsidRDefault="00A8138F" w:rsidP="00A8138F">
      <w:pPr>
        <w:pStyle w:val="TextoNormal"/>
      </w:pPr>
    </w:p>
    <w:p w14:paraId="047985EE" w14:textId="6656C95F" w:rsidR="00A8138F" w:rsidRDefault="00A8138F" w:rsidP="00A8138F">
      <w:pPr>
        <w:pStyle w:val="TextoNormal"/>
      </w:pPr>
      <w:r>
        <w:t>4º Desestimar el recurso de inconstitucionalidad en todo lo demás.</w:t>
      </w:r>
    </w:p>
    <w:p w14:paraId="621EFF6B" w14:textId="77777777" w:rsidR="00A8138F" w:rsidRDefault="00A8138F" w:rsidP="00A8138F">
      <w:pPr>
        <w:pStyle w:val="TextoNormal"/>
      </w:pPr>
    </w:p>
    <w:p w14:paraId="4B268FA9" w14:textId="77777777" w:rsidR="00A8138F" w:rsidRDefault="00A8138F" w:rsidP="00A8138F">
      <w:pPr>
        <w:pStyle w:val="TextoNormal"/>
      </w:pPr>
      <w:r>
        <w:t>Publíquese esta sentencia en el “Boletín Oficial del Estado”.</w:t>
      </w:r>
    </w:p>
    <w:p w14:paraId="4C1C93BC" w14:textId="77777777" w:rsidR="00A8138F" w:rsidRDefault="00A8138F" w:rsidP="00A8138F">
      <w:pPr>
        <w:pStyle w:val="TextoNormal"/>
      </w:pPr>
      <w:r>
        <w:t>Dada en Madrid, a nueve de abril de dos mil veinticinco.</w:t>
      </w:r>
    </w:p>
    <w:p w14:paraId="1AE46615" w14:textId="472D0095" w:rsidR="00A8138F" w:rsidRDefault="00A8138F">
      <w:pPr>
        <w:spacing w:after="160" w:line="278" w:lineRule="auto"/>
        <w:rPr>
          <w:rFonts w:ascii="Times New Roman" w:eastAsia="Times New Roman" w:hAnsi="Times New Roman" w:cs="Times New Roman"/>
          <w:sz w:val="24"/>
          <w:szCs w:val="24"/>
          <w:lang w:eastAsia="es-ES"/>
        </w:rPr>
      </w:pPr>
      <w:r>
        <w:br w:type="page"/>
      </w:r>
    </w:p>
    <w:p w14:paraId="6F365C11" w14:textId="77777777" w:rsidR="00A8138F" w:rsidRDefault="00A8138F" w:rsidP="00A8138F">
      <w:pPr>
        <w:pStyle w:val="TtuloResolucin"/>
      </w:pPr>
      <w:bookmarkStart w:id="98" w:name="SENTENCIA_2025_96"/>
      <w:r>
        <w:lastRenderedPageBreak/>
        <w:t>SENTENCIA 96/2025, de 9 de abril de 2025</w:t>
      </w:r>
    </w:p>
    <w:bookmarkEnd w:id="98"/>
    <w:p w14:paraId="0B888B5F" w14:textId="77777777" w:rsidR="00A8138F" w:rsidRDefault="00A8138F" w:rsidP="00A8138F">
      <w:pPr>
        <w:pStyle w:val="TtuloResolucin"/>
      </w:pPr>
      <w:r>
        <w:t>Pleno</w:t>
      </w:r>
    </w:p>
    <w:p w14:paraId="13CD4B48" w14:textId="77777777" w:rsidR="00A8138F" w:rsidRDefault="00A8138F" w:rsidP="00A8138F">
      <w:pPr>
        <w:pStyle w:val="TtuloBOE"/>
      </w:pPr>
      <w:r>
        <w:t>(BOE núm. 117, de 15 de mayo de 2025)</w:t>
      </w:r>
    </w:p>
    <w:p w14:paraId="550B2F77" w14:textId="77777777" w:rsidR="00A8138F" w:rsidRDefault="00A8138F" w:rsidP="00A8138F">
      <w:pPr>
        <w:pStyle w:val="TextoNormalCentrado"/>
      </w:pPr>
      <w:r>
        <w:t>ECLI:ES:TC:2025:96</w:t>
      </w:r>
    </w:p>
    <w:p w14:paraId="02D2AD1F" w14:textId="67482047" w:rsidR="00A8138F" w:rsidRDefault="00A8138F" w:rsidP="00A8138F">
      <w:pPr>
        <w:pStyle w:val="TextoNormalCentrado"/>
      </w:pPr>
    </w:p>
    <w:p w14:paraId="6AE6451B" w14:textId="77777777" w:rsidR="00A8138F" w:rsidRDefault="00A8138F" w:rsidP="00A8138F">
      <w:pPr>
        <w:pStyle w:val="SntesisDescriptiva"/>
      </w:pPr>
      <w:r>
        <w:t>Recurso de inconstitucionalidad 4926-2024. Interpuesto por el presidente del Gobierno respecto del apartado décimo cuarto ter del artículo único de la Ley 18/2023, de 27 de diciembre, por la que se modifica la Ley 3/2016, de 22 de julio, de protección integral contra la LGTBIfobia y la discriminación por razón de orientación e identidad sexual en la Comunidad de Madrid.</w:t>
      </w:r>
    </w:p>
    <w:p w14:paraId="5AA01606" w14:textId="3F13851B" w:rsidR="00A8138F" w:rsidRDefault="00A8138F" w:rsidP="00A8138F">
      <w:pPr>
        <w:pStyle w:val="SntesisDescriptiva"/>
      </w:pPr>
    </w:p>
    <w:p w14:paraId="71E78416" w14:textId="77777777" w:rsidR="00A8138F" w:rsidRDefault="00A8138F" w:rsidP="00A8138F">
      <w:pPr>
        <w:pStyle w:val="SntesisAnaltica"/>
      </w:pPr>
      <w:r>
        <w:t>Competencias sobre legislación procesal y procedimiento administrativo: nulidad del precepto legal autonómico que niega la condición de interesados en los procedimientos administrativos sancionadores y procesos penales a asociaciones y agrupaciones titulares de intereses legítimos colectivos. Voto particular.</w:t>
      </w:r>
    </w:p>
    <w:p w14:paraId="2B8C7E54" w14:textId="2638F3A3" w:rsidR="00A8138F" w:rsidRDefault="00A8138F" w:rsidP="00A8138F">
      <w:pPr>
        <w:pStyle w:val="SntesisAnaltica"/>
      </w:pPr>
    </w:p>
    <w:p w14:paraId="5DFD6FF1" w14:textId="234CFC95" w:rsidR="00A8138F" w:rsidRDefault="00A8138F" w:rsidP="00A8138F">
      <w:pPr>
        <w:pStyle w:val="Extracto"/>
      </w:pPr>
      <w:r>
        <w:t>1.</w:t>
      </w:r>
      <w:r>
        <w:tab/>
        <w:t>Para realizar la justificación legislativa sobre la necesidad de alterar las reglas procesalmente comúnmente aplicables: 1º) ha de determinarse cuál es el Derecho sustantivo autonómico que presenta particularidades. 2º) hay que señalar respecto de qué legislación procesal estatal y, por tanto, general o común, se predican las eventuales especialidades de orden procesal incorporadas por el legislador autonómico. Y 3º) ha de probarse que, entre las peculiaridades del ordenamiento sustantivo autonómico y las singularidades procesales incorporadas por el legislador autonómico en la norma impugnada, existe una conexión directa tal que justifique las especialidades procesales (SSTC 2/2018 o 80/2018) [FJ 3].</w:t>
      </w:r>
    </w:p>
    <w:p w14:paraId="3C232A72" w14:textId="77777777" w:rsidR="00A8138F" w:rsidRDefault="00A8138F" w:rsidP="00A8138F">
      <w:pPr>
        <w:pStyle w:val="Extracto"/>
      </w:pPr>
    </w:p>
    <w:p w14:paraId="6978E302" w14:textId="2261EC94" w:rsidR="00A8138F" w:rsidRDefault="00A8138F" w:rsidP="00A8138F">
      <w:pPr>
        <w:pStyle w:val="Extracto"/>
      </w:pPr>
      <w:r>
        <w:t>2.</w:t>
      </w:r>
      <w:r>
        <w:tab/>
        <w:t>Para que exista inconstitucionalidad mediata o indirecta es preciso que exista contradicción entre la norma autonómica impugnada y la estatal invocada como parámetro de contraste, contradicción que ha de ser efectiva e insalvable por vía interpretativa. Si existiese una interpretación que eliminase la contradicción entre ambas normas, el principio de conservación de la ley (SSTC 63/1982 y 16/1998), habilita a este tribunal para concluir que, de esa manera interpretada, la norma impugnada no sería contraria al orden constitucional de competencias (STC 113/2010) [FJ 4].</w:t>
      </w:r>
    </w:p>
    <w:p w14:paraId="058A9F91" w14:textId="77777777" w:rsidR="00A8138F" w:rsidRDefault="00A8138F" w:rsidP="00A8138F">
      <w:pPr>
        <w:pStyle w:val="Extracto"/>
      </w:pPr>
    </w:p>
    <w:p w14:paraId="6392E8D0" w14:textId="08E63040" w:rsidR="00A8138F" w:rsidRDefault="00A8138F" w:rsidP="00A8138F">
      <w:pPr>
        <w:pStyle w:val="Extracto"/>
      </w:pPr>
      <w:r>
        <w:t>3.</w:t>
      </w:r>
      <w:r>
        <w:tab/>
        <w:t>La regulación de la condición de interesado en el procedimiento forma parte del núcleo del régimen del procedimiento administrativo común cuya regulación corresponde al Estado. Y ello porque ninguna cuestión más decisiva puede haber, en punto a establecer las garantías generales de los particulares en el seno del procedimiento (SSTC 227/1988 o 130/2013), que la relativa a la definición del concepto de interesado, esto es, de sujeto habilitado para ser parte en las relaciones jurídicas de carácter procedimental entabladas con la Administración [FJ 4].</w:t>
      </w:r>
    </w:p>
    <w:p w14:paraId="011E2F97" w14:textId="77777777" w:rsidR="00A8138F" w:rsidRDefault="00A8138F" w:rsidP="00A8138F">
      <w:pPr>
        <w:pStyle w:val="Extracto"/>
      </w:pPr>
    </w:p>
    <w:p w14:paraId="6DD8E70C" w14:textId="5FED47DE" w:rsidR="00A8138F" w:rsidRDefault="00A8138F" w:rsidP="00A8138F">
      <w:pPr>
        <w:pStyle w:val="Extracto"/>
      </w:pPr>
      <w:r>
        <w:t>4.</w:t>
      </w:r>
      <w:r>
        <w:tab/>
        <w:t>No resulta conforme con la Constitución la previsión autonómica que, en los procedimientos administrativos sancionadores relativos a situaciones de discriminación, impide que las asociaciones y agrupaciones sean titulares ex lege de intereses legítimos colectivos a los efectos de su consideración como interesados, si tal previsión contradice abiertamente lo establecido en la norma estatal que reconoce</w:t>
      </w:r>
      <w:r w:rsidRPr="00A8138F">
        <w:rPr>
          <w:i/>
        </w:rPr>
        <w:t xml:space="preserve"> ex </w:t>
      </w:r>
      <w:r w:rsidRPr="00A8138F">
        <w:rPr>
          <w:i/>
        </w:rPr>
        <w:lastRenderedPageBreak/>
        <w:t xml:space="preserve">lege </w:t>
      </w:r>
      <w:r>
        <w:t>la condición de interesados a tales asociaciones y agrupaciones en todos los procedimientos, incluidos los sancionadores, relativos a las situaciones de discriminación previstas en la propia ley [FJ 4].</w:t>
      </w:r>
    </w:p>
    <w:p w14:paraId="4CDDDD21" w14:textId="77777777" w:rsidR="00A8138F" w:rsidRDefault="00A8138F" w:rsidP="00A8138F">
      <w:pPr>
        <w:pStyle w:val="Extracto"/>
      </w:pPr>
    </w:p>
    <w:p w14:paraId="217F33E4" w14:textId="77777777" w:rsidR="00A8138F" w:rsidRDefault="00A8138F" w:rsidP="00A8138F">
      <w:pPr>
        <w:pStyle w:val="Extracto"/>
      </w:pPr>
    </w:p>
    <w:p w14:paraId="2A492E07"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37000050" w14:textId="5146F59B" w:rsidR="00A8138F" w:rsidRDefault="00A8138F" w:rsidP="00A8138F">
      <w:pPr>
        <w:pStyle w:val="TextoNormal"/>
      </w:pPr>
    </w:p>
    <w:p w14:paraId="11CC2C64" w14:textId="77777777" w:rsidR="00A8138F" w:rsidRDefault="00A8138F" w:rsidP="00A8138F">
      <w:pPr>
        <w:pStyle w:val="TextoNormalCentrado"/>
        <w:keepNext/>
      </w:pPr>
      <w:r>
        <w:t>EN NOMBRE DEL REY</w:t>
      </w:r>
    </w:p>
    <w:p w14:paraId="6DD82B3A" w14:textId="18FF3620" w:rsidR="00A8138F" w:rsidRDefault="00A8138F" w:rsidP="00A8138F">
      <w:pPr>
        <w:pStyle w:val="TextoNormalCentrado"/>
        <w:keepNext/>
      </w:pPr>
    </w:p>
    <w:p w14:paraId="1915F9FC" w14:textId="77777777" w:rsidR="00A8138F" w:rsidRDefault="00A8138F" w:rsidP="00A8138F">
      <w:pPr>
        <w:pStyle w:val="TextoNormalCentrado"/>
        <w:keepNext/>
      </w:pPr>
    </w:p>
    <w:p w14:paraId="095470BD" w14:textId="77777777" w:rsidR="00A8138F" w:rsidRDefault="00A8138F" w:rsidP="00A8138F">
      <w:pPr>
        <w:pStyle w:val="TextoNormal"/>
      </w:pPr>
      <w:r>
        <w:t>la siguiente</w:t>
      </w:r>
    </w:p>
    <w:p w14:paraId="2B74FF2B" w14:textId="426DCCBE" w:rsidR="00A8138F" w:rsidRDefault="00A8138F" w:rsidP="00A8138F">
      <w:pPr>
        <w:pStyle w:val="TextoNormal"/>
      </w:pPr>
    </w:p>
    <w:p w14:paraId="68FD2FB0" w14:textId="77777777" w:rsidR="00A8138F" w:rsidRDefault="00A8138F" w:rsidP="00A8138F">
      <w:pPr>
        <w:pStyle w:val="TextoNormalCentrado"/>
        <w:keepNext/>
      </w:pPr>
      <w:r>
        <w:t>SENTENCIA</w:t>
      </w:r>
    </w:p>
    <w:p w14:paraId="5EB2C459" w14:textId="0B236C44" w:rsidR="00A8138F" w:rsidRDefault="00A8138F" w:rsidP="00A8138F">
      <w:pPr>
        <w:pStyle w:val="TextoNormalCentrado"/>
        <w:keepNext/>
      </w:pPr>
    </w:p>
    <w:p w14:paraId="725DABF3" w14:textId="77777777" w:rsidR="00A8138F" w:rsidRDefault="00A8138F" w:rsidP="00A8138F">
      <w:pPr>
        <w:pStyle w:val="TextoNormal"/>
      </w:pPr>
      <w:r>
        <w:t>En el recurso de inconstitucionalidad núm. 4926-2024, interpuesto por el presidente del Gobierno contra el apartado décimo cuarto ter del artículo único de la Ley 18/2023, de 27 de diciembre, por la que se modifica la Ley 3/2016, de 22 de julio, de protección integral contra la LGTBIfobia y la discriminación por razón de orientación e identidad sexual en la Comunidad de Madrid. Han comparecido el Congreso de los Diputados y el Senado. Han comparecido y formulado alegaciones la Comunidad de Madrid y la Asamblea de Madrid. Ha sido ponente el magistrado don Ramón Sáez Valcárcel.</w:t>
      </w:r>
    </w:p>
    <w:p w14:paraId="77BC3BA2" w14:textId="16DE89EB" w:rsidR="00A8138F" w:rsidRDefault="00A8138F" w:rsidP="00A8138F">
      <w:pPr>
        <w:pStyle w:val="TextoNormal"/>
      </w:pPr>
    </w:p>
    <w:p w14:paraId="4AA12B25" w14:textId="77777777" w:rsidR="00A8138F" w:rsidRDefault="00A8138F" w:rsidP="00A8138F">
      <w:pPr>
        <w:pStyle w:val="TextoNormalNegritaCentrado"/>
        <w:keepNext/>
      </w:pPr>
      <w:r>
        <w:t>I. Antecedentes</w:t>
      </w:r>
    </w:p>
    <w:p w14:paraId="74124273" w14:textId="7B8C262B" w:rsidR="00A8138F" w:rsidRDefault="00A8138F" w:rsidP="00A8138F">
      <w:pPr>
        <w:pStyle w:val="TextoNormalNegritaCentrado"/>
        <w:keepNext/>
      </w:pPr>
    </w:p>
    <w:p w14:paraId="786B6D51" w14:textId="1DD746BD" w:rsidR="00A8138F" w:rsidRDefault="00A8138F" w:rsidP="00A8138F">
      <w:pPr>
        <w:pStyle w:val="TextoNormal"/>
      </w:pPr>
      <w:r w:rsidRPr="00A8138F">
        <w:rPr>
          <w:rStyle w:val="NumeroAFNegritaCaracter"/>
        </w:rPr>
        <w:t>1</w:t>
      </w:r>
      <w:r>
        <w:t xml:space="preserve">. El 26 de junio de 2024 tuvo entrada en el registro general del Tribunal Constitucional el recurso de inconstitucionalidad promovido por el presidente del Gobierno contra el apartado décimo cuarto </w:t>
      </w:r>
      <w:r w:rsidRPr="00A8138F">
        <w:rPr>
          <w:i/>
        </w:rPr>
        <w:t>ter</w:t>
      </w:r>
      <w:r>
        <w:t xml:space="preserve"> del artículo único de la Ley de la Asamblea de Madrid 18/2023, de 27 de diciembre, por la que se modifica la Ley 3/2016, de 22 de julio, de protección integral contra la LGTBIfobia y la discriminación por razón de orientación e identidad sexual en la Comunidad de Madrid (en adelante, Ley 18/2023), en lo que se refiere al apartado d) de la nueva redacción del art. 65 de la Ley 3/2016, de 22 de julio (en adelante, Ley 3/2016). Dicho apartado excluye que las asociaciones, entidades y organizaciones representativas de los colectivos LGTBI y aquellas que tengan por objeto la defensa y promoción de derechos humanos tengan la condición de interesadas en los procesos penales y en los procedimientos administrativos sancionadores, incluso si representan a una víctima o perjudicado con su permiso explícito.</w:t>
      </w:r>
    </w:p>
    <w:p w14:paraId="29C74F67" w14:textId="77777777" w:rsidR="00A8138F" w:rsidRDefault="00A8138F" w:rsidP="00A8138F">
      <w:pPr>
        <w:pStyle w:val="TextoNormal"/>
      </w:pPr>
    </w:p>
    <w:p w14:paraId="44C6ECA6" w14:textId="77777777" w:rsidR="00A8138F" w:rsidRDefault="00A8138F" w:rsidP="00A8138F">
      <w:pPr>
        <w:pStyle w:val="TextoNormal"/>
      </w:pPr>
      <w:r w:rsidRPr="00A8138F">
        <w:rPr>
          <w:rStyle w:val="NumeroAFNegritaCaracter"/>
        </w:rPr>
        <w:t>2</w:t>
      </w:r>
      <w:r>
        <w:t>. El recurso denuncia la invasión de las competencias del Estado sobre legislación procesal (art. 149.1.6 CE) y sobre procedimiento administrativo común (art. 149.1.18 CE).</w:t>
      </w:r>
    </w:p>
    <w:p w14:paraId="02A8B14A" w14:textId="77777777" w:rsidR="00A8138F" w:rsidRDefault="00A8138F" w:rsidP="00A8138F">
      <w:pPr>
        <w:pStyle w:val="TextoNormal"/>
      </w:pPr>
    </w:p>
    <w:p w14:paraId="195FCDD9" w14:textId="77777777" w:rsidR="00A8138F" w:rsidRDefault="00A8138F" w:rsidP="00A8138F">
      <w:pPr>
        <w:pStyle w:val="TextoNormal"/>
      </w:pPr>
      <w:r>
        <w:lastRenderedPageBreak/>
        <w:t xml:space="preserve">a) En cuanto a lo primero, la demanda hace alusión a la doctrina constitucional acerca de (i) la amplitud de la competencia exclusiva del Estado en materia de legislación procesal; (ii) el carácter limitado de la cláusula relativa a las “necesarias especialidades que en este orden se deriven de las particularidades del derecho sustantivo de las comunidades autónomas” y (iii) la especial intensidad de esta competencia del Estado en relación con la regulación del proceso penal (STC 142/1988, de 12 de julio, FJ 6). A la luz de esta doctrina, se argumenta que el apartado impugnado incurre en inconstitucionalidad por dos razones. Por una parte, porque infringe la prohibición de que las comunidades autónomas regulen la legitimación activa en el ámbito del proceso penal. De otro lado, porque su contenido es incompatible con el art. 109 </w:t>
      </w:r>
      <w:r w:rsidRPr="00A8138F">
        <w:rPr>
          <w:i/>
        </w:rPr>
        <w:t>bis</w:t>
      </w:r>
      <w:r>
        <w:t>, apartado 3, de la Ley de enjuiciamiento criminal (LECrim), calificada en la demanda como la legislación básica estatal sobre la materia.</w:t>
      </w:r>
    </w:p>
    <w:p w14:paraId="4DE7CD05" w14:textId="77777777" w:rsidR="00A8138F" w:rsidRDefault="00A8138F" w:rsidP="00A8138F">
      <w:pPr>
        <w:pStyle w:val="TextoNormal"/>
      </w:pPr>
    </w:p>
    <w:p w14:paraId="715E7B27" w14:textId="77777777" w:rsidR="00A8138F" w:rsidRDefault="00A8138F" w:rsidP="00A8138F">
      <w:pPr>
        <w:pStyle w:val="TextoNormal"/>
      </w:pPr>
      <w:r>
        <w:t xml:space="preserve">b) En cuanto a la competencia para regular el procedimiento administrativo común (art. 149.1.18 CE), el recurso invoca la doctrina constitucional sintetizada en la STC 166/2014, de 22 de octubre, FJ 5, conforme a la cual (i) corresponde al Estado el diseño del </w:t>
      </w:r>
      <w:r w:rsidRPr="00A8138F">
        <w:rPr>
          <w:i/>
        </w:rPr>
        <w:t>iter</w:t>
      </w:r>
      <w:r>
        <w:t xml:space="preserve"> procedimental al que deben ajustarse todas las administraciones públicas en todos sus procedimientos y que aseguren un tratamiento común de todos los administrados en los aspectos más importantes de sus relaciones con las distintas administraciones públicas, respetando en todo caso las competencias asumidas por las comunidades autónomas y (ii) aunque estas pueden establecer “especialidades derivadas de su organización propia”, los procedimientos especiales por razón de la materia que regulen de acuerdo con sus competencias deben respetar el modelo general de procedimiento definido por el Estado. A continuación, la demanda sostiene que el apartado impugnado es contrario al concepto de interesado que resulta del art. 4.2 de la Ley 39/2015, de 1 de octubre, del procedimiento administrativo común de las administraciones públicas (LPACAP), en conjunción con el art. 31.2 de la Ley 15/2022, de 12 de julio, integral para la igualdad de trato y la no discriminación (en adelante, Ley 15/2022); preceptos ambos aprobados por el legislador estatal invocando su competencia para la regulación del procedimiento administrativo común. Según el recurso, no excluyendo la legislación estatal a los procedimientos administrativos sancionadores a los efectos de atribuir la condición de interesado a asociaciones, entidades y organizaciones, debe colegirse que la legislación madrileña que sí los excluye contraviene la legislación básica estatal en materia de procedimiento administrativo común.</w:t>
      </w:r>
    </w:p>
    <w:p w14:paraId="44438D3B" w14:textId="77777777" w:rsidR="00A8138F" w:rsidRDefault="00A8138F" w:rsidP="00A8138F">
      <w:pPr>
        <w:pStyle w:val="TextoNormal"/>
      </w:pPr>
    </w:p>
    <w:p w14:paraId="06CA7247" w14:textId="534D8907" w:rsidR="00A8138F" w:rsidRDefault="00A8138F" w:rsidP="00A8138F">
      <w:pPr>
        <w:pStyle w:val="TextoNormal"/>
      </w:pPr>
      <w:r>
        <w:t>Mediante otrosí, en el recurso se invoca el art. 161.2 CE en relación con el art. 30 de la Ley Orgánica del Tribunal Constitucional (LOTC) que establece que la interposición del recurso de inconstitucionalidad producirá la suspensión de la vigencia de los correspondientes preceptos de la ley objeto de impugnación.</w:t>
      </w:r>
    </w:p>
    <w:p w14:paraId="5B886953" w14:textId="77777777" w:rsidR="00A8138F" w:rsidRDefault="00A8138F" w:rsidP="00A8138F">
      <w:pPr>
        <w:pStyle w:val="TextoNormal"/>
      </w:pPr>
    </w:p>
    <w:p w14:paraId="21C33653" w14:textId="520A675C" w:rsidR="00A8138F" w:rsidRDefault="00A8138F" w:rsidP="00A8138F">
      <w:pPr>
        <w:pStyle w:val="TextoNormal"/>
      </w:pPr>
      <w:r w:rsidRPr="00A8138F">
        <w:rPr>
          <w:rStyle w:val="NumeroAFNegritaCaracter"/>
        </w:rPr>
        <w:t>3</w:t>
      </w:r>
      <w:r>
        <w:t xml:space="preserve">. Por providencia de 16 de julio de 2024, a propuesta de la Sección Cuarta, el Pleno acordó admitir a trámite el recurso y dar traslado de la demanda y los documentos presentados, conforme establece el art. 34 LOTC, al Congreso de los Diputados y al Senado, por conducto de sus presidentes, así como a la Asamblea de Madrid y al Gobierno de la Comunidad de Madrid, igualmente por conducto de sus presidentes, al objeto de que, en el plazo de quince días, puedan personarse en el proceso y formular alegaciones; publicar la incoación del procedimiento en el “Boletín Oficial del Estado” y en el “Boletín Oficial de la Comunidad de Madrid”; y tener por invocado por el presidente del Gobierno el art. 161.2 CE, lo que, a su tenor y conforme dispone el art. 30 LOTC, produce la suspensión de la vigencia y aplicación del precepto impugnado, desde la fecha de interposición del recurso </w:t>
      </w:r>
      <w:r>
        <w:lastRenderedPageBreak/>
        <w:t>—26 de junio de 2024— para las partes del proceso y desde el día en que aparezca publicada la suspensión en el “Boletín Oficial del Estado” para los terceros, lo que se comunicará a los presidentes de la Asamblea de Madrid y del Gobierno de la Comunidad de Madrid.</w:t>
      </w:r>
    </w:p>
    <w:p w14:paraId="58881962" w14:textId="77777777" w:rsidR="00A8138F" w:rsidRDefault="00A8138F" w:rsidP="00A8138F">
      <w:pPr>
        <w:pStyle w:val="TextoNormal"/>
      </w:pPr>
    </w:p>
    <w:p w14:paraId="2F6BDF39" w14:textId="5DAFC791" w:rsidR="00A8138F" w:rsidRDefault="00A8138F" w:rsidP="00A8138F">
      <w:pPr>
        <w:pStyle w:val="TextoNormal"/>
      </w:pPr>
      <w:r w:rsidRPr="00A8138F">
        <w:rPr>
          <w:rStyle w:val="NumeroAFNegritaCaracter"/>
        </w:rPr>
        <w:t>4</w:t>
      </w:r>
      <w:r>
        <w:t>. La letrada de la Comunidad de Madrid se personó en el proceso mediante escrito registrado el día 24 de julio de 2024, en el que solicita una prórroga del plazo inicialmente concedido para formular alegaciones. La prórroga le fue concedida por diligencia de ordenación de la Secretaría de Justicia del Pleno de 29 de julio de 2024.</w:t>
      </w:r>
    </w:p>
    <w:p w14:paraId="685CC830" w14:textId="77777777" w:rsidR="00A8138F" w:rsidRDefault="00A8138F" w:rsidP="00A8138F">
      <w:pPr>
        <w:pStyle w:val="TextoNormal"/>
      </w:pPr>
    </w:p>
    <w:p w14:paraId="19593938" w14:textId="61201D6C" w:rsidR="00A8138F" w:rsidRDefault="00A8138F" w:rsidP="00A8138F">
      <w:pPr>
        <w:pStyle w:val="TextoNormal"/>
      </w:pPr>
      <w:r w:rsidRPr="00A8138F">
        <w:rPr>
          <w:rStyle w:val="NumeroAFNegritaCaracter"/>
        </w:rPr>
        <w:t>5</w:t>
      </w:r>
      <w:r>
        <w:t>. Mediante escrito registrado el 26 de julio de 2024, la presidenta del Congreso de los Diputados comunicó el acuerdo de la mesa de la Cámara por el que esta se persona en el proceso y ofrece su colaboración a los efectos del art. 88.1 LOTC. Lo mismo hizo el presidente del Senado mediante escrito que tuvo entrada en este tribunal el 5 de septiembre de 2024.</w:t>
      </w:r>
    </w:p>
    <w:p w14:paraId="63BBF915" w14:textId="77777777" w:rsidR="00A8138F" w:rsidRDefault="00A8138F" w:rsidP="00A8138F">
      <w:pPr>
        <w:pStyle w:val="TextoNormal"/>
      </w:pPr>
    </w:p>
    <w:p w14:paraId="04445D90" w14:textId="77777777" w:rsidR="00A8138F" w:rsidRDefault="00A8138F" w:rsidP="00A8138F">
      <w:pPr>
        <w:pStyle w:val="TextoNormal"/>
      </w:pPr>
      <w:r w:rsidRPr="00A8138F">
        <w:rPr>
          <w:rStyle w:val="NumeroAFNegritaCaracter"/>
        </w:rPr>
        <w:t>6</w:t>
      </w:r>
      <w:r>
        <w:t>. El letrado de la Asamblea de Madrid, en representación y defensa de esta, se personó en el proceso mediante escrito registrado el 10 de septiembre de 2024, solicitando la desestimación del recurso.</w:t>
      </w:r>
    </w:p>
    <w:p w14:paraId="4073BE98" w14:textId="77777777" w:rsidR="00A8138F" w:rsidRDefault="00A8138F" w:rsidP="00A8138F">
      <w:pPr>
        <w:pStyle w:val="TextoNormal"/>
      </w:pPr>
    </w:p>
    <w:p w14:paraId="0CA6470B" w14:textId="77777777" w:rsidR="00A8138F" w:rsidRDefault="00A8138F" w:rsidP="00A8138F">
      <w:pPr>
        <w:pStyle w:val="TextoNormal"/>
      </w:pPr>
      <w:r>
        <w:t>En sus alegaciones afirma que la Ley 18/2023 ha sido aprobada por la Asamblea de Madrid en el marco de su libertad de configuración normativa respecto de materias de su competencia, y sostiene que el apartado impugnado se ajusta al régimen constitucional de distribución de competencias de acuerdo con los arts. 148.1.20 CE y 26.1.23 del Estatuto de Autonomía de la Comunidad de Madrid (EAM).</w:t>
      </w:r>
    </w:p>
    <w:p w14:paraId="3C38F3F9" w14:textId="77777777" w:rsidR="00A8138F" w:rsidRDefault="00A8138F" w:rsidP="00A8138F">
      <w:pPr>
        <w:pStyle w:val="TextoNormal"/>
      </w:pPr>
    </w:p>
    <w:p w14:paraId="4EA7FF8A" w14:textId="77777777" w:rsidR="00A8138F" w:rsidRDefault="00A8138F" w:rsidP="00A8138F">
      <w:pPr>
        <w:pStyle w:val="TextoNormal"/>
      </w:pPr>
      <w:r>
        <w:t>Niega, por una parte, que se haya producido invasión alguna de la competencia estatal en materia de legislación procesal. A tal efecto argumenta que el apartado impugnado introduce una especialidad procesal permitida por el art. 149.1.6 CE, en tanto que ha sido dictado por la Comunidad de Madrid en ejercicio de sus competencias en materia de “[p]romoción y ayuda a la tercera edad, emigrantes, minusválidos y demás grupos sociales necesitados de especial atención, incluida la creación de centros de protección, reinserción y rehabilitación” (art. 26.1.23 EAM) de acuerdo con lo establecido por el art. 148.1.20 CE, que permite a las comunidades autónomas asumir competencias en materia de “asistencia social”; de modo tal que podría considerarse que el precepto impugnado guarda “conexión directa con las particularidades del derecho sustantivo autonómico”, tal y como exige el art. 149.1.6 CE.</w:t>
      </w:r>
    </w:p>
    <w:p w14:paraId="7B213DCA" w14:textId="77777777" w:rsidR="00A8138F" w:rsidRDefault="00A8138F" w:rsidP="00A8138F">
      <w:pPr>
        <w:pStyle w:val="TextoNormal"/>
      </w:pPr>
    </w:p>
    <w:p w14:paraId="2F810B3F" w14:textId="4C7064EE" w:rsidR="00A8138F" w:rsidRDefault="00A8138F" w:rsidP="00A8138F">
      <w:pPr>
        <w:pStyle w:val="TextoNormal"/>
      </w:pPr>
      <w:r>
        <w:t xml:space="preserve">De otro lado, niega que exista invasión de la competencia estatal en materia de procedimiento administrativo común. Reseña la doctrina constitucional acerca del alcance de esta competencia, subrayando que no incluye toda regla procedimental y que las comunidades autónomas pueden aprobar normas de procedimiento destinadas a ejecutar las previsiones que hayan aprobado en ejercicio de una competencia legislativa sectorial. El letrado de la Asamblea de Madrid argumenta que la demanda mantiene una interpretación extensiva del concepto de “procedimiento administrativo común” que vacía de contenido las competencias autonómicas, y sostiene que el apartado impugnado se limita a establecer una especialidad procedimental ligada a la regulación sustantiva dictada por la comunidad autónoma en ejercicio de la ya citada competencia del art. 26.1.23 EAM, en el marco de lo dispuesto </w:t>
      </w:r>
      <w:r>
        <w:lastRenderedPageBreak/>
        <w:t>en el art. 148.1.20 CE. A ello añade que, en todo caso, el apartado impugnado es constitucional si se interpreta de manera conjunta con el art. 68 de la misma Ley 3/2016, también modificado por la Ley 18/2023, conforme al cual “[l]a potestad sancionadora que corresponda según la normativa vigente se ejercerá de conformidad con lo que disponen la Ley 39/2015, del procedimiento administrativo común y la Ley 40/2015, de 1 de octubre, del régimen jurídico de las administraciones públicas”.</w:t>
      </w:r>
    </w:p>
    <w:p w14:paraId="4AF82169" w14:textId="77777777" w:rsidR="00A8138F" w:rsidRDefault="00A8138F" w:rsidP="00A8138F">
      <w:pPr>
        <w:pStyle w:val="TextoNormal"/>
      </w:pPr>
    </w:p>
    <w:p w14:paraId="0BEFECE2" w14:textId="77777777" w:rsidR="00A8138F" w:rsidRDefault="00A8138F" w:rsidP="00A8138F">
      <w:pPr>
        <w:pStyle w:val="TextoNormal"/>
      </w:pPr>
      <w:r w:rsidRPr="00A8138F">
        <w:rPr>
          <w:rStyle w:val="NumeroAFNegritaCaracter"/>
        </w:rPr>
        <w:t>7</w:t>
      </w:r>
      <w:r>
        <w:t>. La representación procesal de la Comunidad de Madrid formuló sus alegaciones mediante escrito registrado el 22 de septiembre de 2024, en el que se opone únicamente a la alegada invasión de la competencia estatal sobre el procedimiento administrativo común, relativa a los procedimientos administrativos sancionadores, instando a que el recurso se desestime en dicha parte y a que se proceda a la incoación del incidente para decidir sobre el mantenimiento o levantamiento de la suspensión del precepto impugnado, únicamente también por lo que se refiere a su alusión a los procedimientos administrativos sancionadores, sin necesidad de agotar el plazo de cinco meses al que hace referencia el art. 161.2 CE.</w:t>
      </w:r>
    </w:p>
    <w:p w14:paraId="7A80494E" w14:textId="77777777" w:rsidR="00A8138F" w:rsidRDefault="00A8138F" w:rsidP="00A8138F">
      <w:pPr>
        <w:pStyle w:val="TextoNormal"/>
      </w:pPr>
    </w:p>
    <w:p w14:paraId="25A125FF" w14:textId="77777777" w:rsidR="00A8138F" w:rsidRDefault="00A8138F" w:rsidP="00A8138F">
      <w:pPr>
        <w:pStyle w:val="TextoNormal"/>
      </w:pPr>
      <w:r>
        <w:t xml:space="preserve">Alega que la Comunidad de Madrid ostenta competencia exclusiva en materia de “[p]rocedimiento administrativo derivado de las especialidades de la organización propia” (art. 26.1.3 EAM). Reconoce que, como tal, la organización propia de la Comunidad de Madrid en materia de protección de las personas LGTBI carece </w:t>
      </w:r>
      <w:r w:rsidRPr="00A8138F">
        <w:rPr>
          <w:i/>
        </w:rPr>
        <w:t>a priori</w:t>
      </w:r>
      <w:r>
        <w:t xml:space="preserve"> de especialidades que justifiquen la introducción de un precepto como el impugnado. Ahora bien, recuerda que, según la doctrina constitucional, la competencia para la regulación del procedimiento administrativo es una competencia conexa con la competencia en la materia sustantiva correspondiente, de modo que el art. 149.1.18 CE permite que quien ostente la competencia </w:t>
      </w:r>
      <w:r w:rsidRPr="00A8138F">
        <w:rPr>
          <w:i/>
        </w:rPr>
        <w:t>ratione materiae</w:t>
      </w:r>
      <w:r>
        <w:t xml:space="preserve"> establezca normas procedimentales especiales en función de su regulación propia, siempre y cuando se respeten las reglas del procedimiento administrativo establecidas por el Estado en el marco de sus competencias. Señala, en este sentido, que la Ley 18/2023, a través de la cual se introduce en la Ley 3/2016 el apartado impugnado, ha sido aprobada en ejercicio de las competencias de la Comunidad de Madrid en materia de promoción y ayuda a grupos sociales necesitados de especial atención (art. 26.1.23 EAM), sanidad e higiene (art. 27.4 EAM), gestión de la asistencia sanitaria de la Seguridad Social (art. 28.1.1 EAM), materia laboral (art. 28.1.12 EAM) y enseñanza (art. 29 EAM). Deriva de ello que la Comunidad de Madrid ostenta suficiente competencia por razón de la materia para regular especialidades de carácter procedimental, que serán únicamente aplicables, como es obvio, a los procedimientos administrativos sancionadores que se susciten dentro del ámbito subjetivo, objetivo y territorial de aplicación de la Ley 3/2016, delimitado en sus arts. 1 y 2.</w:t>
      </w:r>
    </w:p>
    <w:p w14:paraId="2A37584E" w14:textId="77777777" w:rsidR="00A8138F" w:rsidRDefault="00A8138F" w:rsidP="00A8138F">
      <w:pPr>
        <w:pStyle w:val="TextoNormal"/>
      </w:pPr>
    </w:p>
    <w:p w14:paraId="2334A12A" w14:textId="77777777" w:rsidR="00A8138F" w:rsidRDefault="00A8138F" w:rsidP="00A8138F">
      <w:pPr>
        <w:pStyle w:val="TextoNormal"/>
      </w:pPr>
      <w:r>
        <w:t xml:space="preserve">Descartada así la existencia de vulneración directa del art. 149.1.18 CE, la representación procesal de la Comunidad de Madrid niega también la existencia de inconstitucionalidad mediata o indirecta, ya que, según argumenta, el precepto impugnado respeta la regulación del procedimiento administrativo común establecida por el Estado. Aduce en este sentido, en primer lugar, que el art. 68.2 de la Ley 3/2016, asimismo introducido por la Ley 18/2023, dispone que la potestad sancionadora se ejercerá de conformidad con lo dispuesto en las leyes 39/2015 y 40/2015, de 1 de octubre. En segundo lugar, indica que no hay contradicción con lo previsto en la Ley estatal 4/2023, de 28 de febrero, para la igualdad real y efectiva de las personas trans y para la garantía de los derechos de las personas LGTBI, a la que se remite el art. 68.1 de la Ley 3/2016, y que regula en sus arts. 76 a 82 el régimen sancionador en materia de protección de los derechos de las personas LGTBI, pues en tales preceptos no </w:t>
      </w:r>
      <w:r>
        <w:lastRenderedPageBreak/>
        <w:t>se incluye ninguna norma relativa a la condición de interesado en los procedimientos administrativos sancionadores y, por el contrario, se habilita expresamente a las comunidades autónomas para que desarrollen dicho régimen sancionador (art. 76.1). En tercer y último lugar, el letrado de la Comunidad de Madrid niega por extenso que exista contradicción con lo previsto en el art. 4.2 de la Ley 39/2015, de 1 de octubre, en conjunción con el art. 31.2 de la Ley 15/2022, de 12 de julio, integral para la igualdad de trato y no discriminación.</w:t>
      </w:r>
    </w:p>
    <w:p w14:paraId="665C2EA2" w14:textId="77777777" w:rsidR="00A8138F" w:rsidRDefault="00A8138F" w:rsidP="00A8138F">
      <w:pPr>
        <w:pStyle w:val="TextoNormal"/>
      </w:pPr>
    </w:p>
    <w:p w14:paraId="0E2F9438" w14:textId="77777777" w:rsidR="00A8138F" w:rsidRDefault="00A8138F" w:rsidP="00A8138F">
      <w:pPr>
        <w:pStyle w:val="TextoNormal"/>
      </w:pPr>
      <w:r>
        <w:t xml:space="preserve">Argumenta, en este último punto, que el art. 4.2 de la Ley 39/2015, de 1 de octubre, atribuye la condición de interesado a las asociaciones y organizaciones representativas de intereses económicos y sociales “en los términos que la Ley reconozca”; y que, por su parte, el art. 31.2 de la Ley 15/2022, de 12 de julio, no dice que las entidades defensoras de los derechos humanos tendrán en todo caso la condición de interesadas en los procedimientos administrativos relativos a la materia de igualdad y no discriminación, sino que “podrán tener” dicha condición, de lo cual se infiere que la misma dependerá de las circunstancias de cada caso concreto, además de que se refiere a todos los procedimientos administrativos relativos a la igualdad y no discriminación, mientras que el precepto impugnado se refiere única y exclusivamente a los procedimientos administrativos sancionadores. En cuanto a esto último, la representación procesal de la Comunidad de Madrid sostiene que los terceros distintos de las personas inculpadas no tienen por qué tener necesariamente la condición de interesado en los procedimientos administrativos sancionadores, ni siquiera cuando son denunciantes, perjudicados o víctimas de las presuntas infracciones administrativas, puesto que el ejercicio del </w:t>
      </w:r>
      <w:r w:rsidRPr="00A8138F">
        <w:rPr>
          <w:i/>
        </w:rPr>
        <w:t>ius puniendi</w:t>
      </w:r>
      <w:r>
        <w:t xml:space="preserve"> que se opera a través de ese procedimiento no les afecta, lo que encontraría reflejo en el art. 62.5 LPACAP. Cita a este respecto jurisprudencia reciente del Tribunal Supremo conforme a la cual la legitimación depende de un juicio casuístico acerca de la existencia de un interés legítimo en la pretensión ejercitada, sin que tal interés legítimo exista por el mero hecho de que el sujeto de que se trate haya actuado como denunciante.</w:t>
      </w:r>
    </w:p>
    <w:p w14:paraId="433DB4B1" w14:textId="77777777" w:rsidR="00A8138F" w:rsidRDefault="00A8138F" w:rsidP="00A8138F">
      <w:pPr>
        <w:pStyle w:val="TextoNormal"/>
      </w:pPr>
    </w:p>
    <w:p w14:paraId="51D64E18" w14:textId="77777777" w:rsidR="00A8138F" w:rsidRDefault="00A8138F" w:rsidP="00A8138F">
      <w:pPr>
        <w:pStyle w:val="TextoNormal"/>
      </w:pPr>
      <w:r>
        <w:t>Sostiene que, a la luz de esta jurisprudencia del Tribunal Supremo, el apartado impugnado puede interpretarse de manera conforme con el art. 4.2 de la Ley 39/2015 y con el art. 31.2 de la Ley 15/2022, entendiendo que dicho precepto autonómico se limita a aclarar que las asociaciones y organizaciones en él referidas no tienen, por el mero hecho de ser tales, la condición de interesado en los procedimientos administrativos sancionadores de manera general, automática e incondicionada por ministerio de la ley, sin perjuicio de que, de manera casuística, se les pueda reconocer dicha condición de interesado, previa justificación ante el órgano instructor del expediente sancionador del derecho o interés cualificado que les legitima para actuar en dicho procedimiento, ya sea en defensa del interés individual (para lo cual necesitarán tener expresamente otorgada la representación por la persona afectada) o del interés colectivo.</w:t>
      </w:r>
    </w:p>
    <w:p w14:paraId="0D6AB5E8" w14:textId="77777777" w:rsidR="00A8138F" w:rsidRDefault="00A8138F" w:rsidP="00A8138F">
      <w:pPr>
        <w:pStyle w:val="TextoNormal"/>
      </w:pPr>
    </w:p>
    <w:p w14:paraId="5DF8C9B1" w14:textId="671E4C99" w:rsidR="00A8138F" w:rsidRDefault="00A8138F" w:rsidP="00A8138F">
      <w:pPr>
        <w:pStyle w:val="TextoNormal"/>
      </w:pPr>
      <w:r>
        <w:t>Según la representación procesal de la Comunidad de Madrid, la matización que ha introducido la nueva letra d) del art. 65 de la Ley 3/2016, adicionada por la Ley 18/2023, no solo no es inconstitucional, sino que además es necesaria, porque, si no existiera, la interpretación extensiva que subyace en el recurso de inconstitucionalidad permitiría sobrepasar los límites actuales de la jurisprudencia del Tribunal Supremo y de la propia legislación estatal que regula la condición de interesado en los procedimientos administrativos sancionadores, reconociendo sistemáticamente a este tipo de entidades la posibilidad de personarse como interesados en cualquier procedimiento de este tipo, con o sin autorización de la per</w:t>
      </w:r>
      <w:r>
        <w:lastRenderedPageBreak/>
        <w:t>sona o personas afectadas, formular alegaciones, aportar documentos y pruebas, interponer recursos administrativos y judiciales contra la resolución que se dicte, etc., aun sin tener el interés cualificado que exige la jurisprudencia para ello. Desde este punto de vista, señala que el precepto tendría únicamente la finalidad de positivizar la jurisprudencia del Tribunal Supremo, previniendo así los posibles excesos de la actuación de dichas entidades en los procedimientos administrativos sancionadores de competencia de la Comunidad de Madrid que se puedan producir en la práctica.</w:t>
      </w:r>
    </w:p>
    <w:p w14:paraId="552097A1" w14:textId="77777777" w:rsidR="00A8138F" w:rsidRDefault="00A8138F" w:rsidP="00A8138F">
      <w:pPr>
        <w:pStyle w:val="TextoNormal"/>
      </w:pPr>
    </w:p>
    <w:p w14:paraId="51AE8A8F" w14:textId="77777777" w:rsidR="00A8138F" w:rsidRDefault="00A8138F" w:rsidP="00A8138F">
      <w:pPr>
        <w:pStyle w:val="TextoNormal"/>
      </w:pPr>
      <w:r w:rsidRPr="00A8138F">
        <w:rPr>
          <w:rStyle w:val="NumeroAFNegritaCaracter"/>
        </w:rPr>
        <w:t>8</w:t>
      </w:r>
      <w:r>
        <w:t>. Mediante diligencia de ordenación de la Secretaría del Pleno de 23 de septiembre de 2024 se acordó que, próximo a finalizar el plazo de los cinco meses que señala el art. 161.2 CE desde que se produjo la suspensión del precepto impugnado, se oyese a las partes personadas —abogado del Estado, letrado de la Comunidad de Madrid y letrada de la Asamblea de Madrid— para que, en el plazo de cinco días, expusieran lo que considerasen conveniente acerca del mantenimiento o levantamiento de dicha suspensión.</w:t>
      </w:r>
    </w:p>
    <w:p w14:paraId="7FA54C9B" w14:textId="77777777" w:rsidR="00A8138F" w:rsidRDefault="00A8138F" w:rsidP="00A8138F">
      <w:pPr>
        <w:pStyle w:val="TextoNormal"/>
      </w:pPr>
    </w:p>
    <w:p w14:paraId="0728417D" w14:textId="27F82341" w:rsidR="00A8138F" w:rsidRDefault="00A8138F" w:rsidP="00A8138F">
      <w:pPr>
        <w:pStyle w:val="TextoNormal"/>
      </w:pPr>
      <w:r>
        <w:t>Las representaciones procesales de la Comunidad de Madrid y de la Asamblea de Madrid interesaron el levantamiento de la suspensión mediante sendos escritos registrados el 1 de octubre de 2024. El abogado del Estado interesó el mantenimiento de la suspensión inicialmente acordada por escrito registrado el día 3 de octubre de 2024.</w:t>
      </w:r>
    </w:p>
    <w:p w14:paraId="7945B967" w14:textId="77777777" w:rsidR="00A8138F" w:rsidRDefault="00A8138F" w:rsidP="00A8138F">
      <w:pPr>
        <w:pStyle w:val="TextoNormal"/>
      </w:pPr>
    </w:p>
    <w:p w14:paraId="6288D910" w14:textId="01E1BA21" w:rsidR="00A8138F" w:rsidRDefault="00A8138F" w:rsidP="00A8138F">
      <w:pPr>
        <w:pStyle w:val="TextoNormal"/>
      </w:pPr>
      <w:r w:rsidRPr="00A8138F">
        <w:rPr>
          <w:rStyle w:val="NumeroAFNegritaCaracter"/>
        </w:rPr>
        <w:t>9</w:t>
      </w:r>
      <w:r>
        <w:t xml:space="preserve">. Por ATC 127/2024, de 19 de noviembre, el Pleno del Tribunal Constitucional acordó mantener la suspensión del apartado d) del art. 65 de la Ley 3/2016, de 22 de julio, en la redacción dada por el apartado décimo cuarto </w:t>
      </w:r>
      <w:r w:rsidRPr="00A8138F">
        <w:rPr>
          <w:i/>
        </w:rPr>
        <w:t>ter</w:t>
      </w:r>
      <w:r>
        <w:t xml:space="preserve"> del artículo único de la Ley de la Asamblea de Madrid 18/2023, de 27 de diciembre.</w:t>
      </w:r>
    </w:p>
    <w:p w14:paraId="74732ED6" w14:textId="77777777" w:rsidR="00A8138F" w:rsidRDefault="00A8138F" w:rsidP="00A8138F">
      <w:pPr>
        <w:pStyle w:val="TextoNormal"/>
      </w:pPr>
    </w:p>
    <w:p w14:paraId="70A16CF1" w14:textId="7BDD5362" w:rsidR="00A8138F" w:rsidRDefault="00A8138F" w:rsidP="00A8138F">
      <w:pPr>
        <w:pStyle w:val="TextoNormal"/>
      </w:pPr>
      <w:r w:rsidRPr="00A8138F">
        <w:rPr>
          <w:rStyle w:val="NumeroAFNegritaCaracter"/>
        </w:rPr>
        <w:t>10</w:t>
      </w:r>
      <w:r>
        <w:t>. Mediante providencia de 8 de abril de 2025 se señaló para deliberación y votación de la presente sentencia el día 9 del mismo mes y año.</w:t>
      </w:r>
    </w:p>
    <w:p w14:paraId="23F6B1F2" w14:textId="77777777" w:rsidR="00A8138F" w:rsidRDefault="00A8138F" w:rsidP="00A8138F">
      <w:pPr>
        <w:pStyle w:val="TextoNormal"/>
      </w:pPr>
    </w:p>
    <w:p w14:paraId="51B475B8" w14:textId="77777777" w:rsidR="00A8138F" w:rsidRDefault="00A8138F" w:rsidP="00A8138F">
      <w:pPr>
        <w:pStyle w:val="TextoNormalNegritaCentrado"/>
        <w:keepNext/>
      </w:pPr>
      <w:r>
        <w:t>II. Fundamentos jurídicos</w:t>
      </w:r>
    </w:p>
    <w:p w14:paraId="3279821D" w14:textId="7A816960" w:rsidR="00A8138F" w:rsidRDefault="00A8138F" w:rsidP="00A8138F">
      <w:pPr>
        <w:pStyle w:val="TextoNormalNegritaCentrado"/>
        <w:keepNext/>
      </w:pPr>
    </w:p>
    <w:p w14:paraId="3D59322C"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2390A662" w14:textId="77777777" w:rsidR="00A8138F" w:rsidRDefault="00A8138F" w:rsidP="00A8138F">
      <w:pPr>
        <w:pStyle w:val="TextoNormal"/>
      </w:pPr>
    </w:p>
    <w:p w14:paraId="2E15FD58" w14:textId="77777777" w:rsidR="00A8138F" w:rsidRDefault="00A8138F" w:rsidP="00A8138F">
      <w:pPr>
        <w:pStyle w:val="TextoNormal"/>
      </w:pPr>
      <w:r>
        <w:t xml:space="preserve">El presidente del Gobierno de la Nación ha interpuesto recurso de inconstitucionalidad contra el apartado décimo cuarto </w:t>
      </w:r>
      <w:r w:rsidRPr="00A8138F">
        <w:rPr>
          <w:i/>
        </w:rPr>
        <w:t>ter</w:t>
      </w:r>
      <w:r>
        <w:t xml:space="preserve"> del artículo único de la Ley de la Asamblea de Madrid 18/2023, de 27 de diciembre, por la que se modifica la Ley 3/2016, de 22 de julio, de protección integral contra la LGTBIfobia y la discriminación por razón de orientación e identidad sexual en la Comunidad de Madrid. En concreto, el recurso impugna el apartado d) de la nueva redacción del art. 65 de la Ley 3/2016, que establece lo siguiente (se reproduce en su contexto para facilitar su comprensión):</w:t>
      </w:r>
    </w:p>
    <w:p w14:paraId="7A917415" w14:textId="77777777" w:rsidR="00A8138F" w:rsidRDefault="00A8138F" w:rsidP="00A8138F">
      <w:pPr>
        <w:pStyle w:val="TextoNormal"/>
      </w:pPr>
    </w:p>
    <w:p w14:paraId="7DA8A16B" w14:textId="77777777" w:rsidR="00A8138F" w:rsidRDefault="00A8138F" w:rsidP="00A8138F">
      <w:pPr>
        <w:pStyle w:val="TextoNormal"/>
      </w:pPr>
      <w:r>
        <w:t>“Art. 65. Concepto de interesado</w:t>
      </w:r>
    </w:p>
    <w:p w14:paraId="0C29AD96" w14:textId="77777777" w:rsidR="00A8138F" w:rsidRDefault="00A8138F" w:rsidP="00A8138F">
      <w:pPr>
        <w:pStyle w:val="TextoNormal"/>
      </w:pPr>
    </w:p>
    <w:p w14:paraId="13475336" w14:textId="77777777" w:rsidR="00A8138F" w:rsidRDefault="00A8138F" w:rsidP="00A8138F">
      <w:pPr>
        <w:pStyle w:val="TextoNormal"/>
      </w:pPr>
      <w:r>
        <w:t>Tendrán la condición de interesados en el procedimiento administrativo:</w:t>
      </w:r>
    </w:p>
    <w:p w14:paraId="3F0D3FA4" w14:textId="77777777" w:rsidR="00A8138F" w:rsidRDefault="00A8138F" w:rsidP="00A8138F">
      <w:pPr>
        <w:pStyle w:val="TextoNormal"/>
      </w:pPr>
    </w:p>
    <w:p w14:paraId="2C576B44" w14:textId="77777777" w:rsidR="00A8138F" w:rsidRDefault="00A8138F" w:rsidP="00A8138F">
      <w:pPr>
        <w:pStyle w:val="TextoNormal"/>
      </w:pPr>
      <w:r>
        <w:t>a) Quienes lo promuevan como titulares de derechos o intereses legítimos individuales o colectivos.</w:t>
      </w:r>
    </w:p>
    <w:p w14:paraId="0B06490C" w14:textId="77777777" w:rsidR="00A8138F" w:rsidRDefault="00A8138F" w:rsidP="00A8138F">
      <w:pPr>
        <w:pStyle w:val="TextoNormal"/>
      </w:pPr>
    </w:p>
    <w:p w14:paraId="20A18FF1" w14:textId="77777777" w:rsidR="00A8138F" w:rsidRDefault="00A8138F" w:rsidP="00A8138F">
      <w:pPr>
        <w:pStyle w:val="TextoNormal"/>
      </w:pPr>
      <w:r>
        <w:t>b) Las asociaciones, entidades y organizaciones representativas de los colectivos LGTBI y aquellas que tengan por objeto la defensa y promoción de derechos humanos serán titulares de intereses legítimos colectivos. Estas últimas en caso de representar a una víctima o perjudicado en particular deberán contar con su permiso explícito.</w:t>
      </w:r>
    </w:p>
    <w:p w14:paraId="55526324" w14:textId="77777777" w:rsidR="00A8138F" w:rsidRDefault="00A8138F" w:rsidP="00A8138F">
      <w:pPr>
        <w:pStyle w:val="TextoNormal"/>
      </w:pPr>
    </w:p>
    <w:p w14:paraId="197D3783" w14:textId="77777777" w:rsidR="00A8138F" w:rsidRDefault="00A8138F" w:rsidP="00A8138F">
      <w:pPr>
        <w:pStyle w:val="TextoNormal"/>
      </w:pPr>
      <w:r>
        <w:t>c) Los que, sin haber iniciado el procedimiento, tengan derechos que puedan resultar afectados por la decisión que en el mismo se adopte.</w:t>
      </w:r>
    </w:p>
    <w:p w14:paraId="4134C3E4" w14:textId="77777777" w:rsidR="00A8138F" w:rsidRDefault="00A8138F" w:rsidP="00A8138F">
      <w:pPr>
        <w:pStyle w:val="TextoNormal"/>
      </w:pPr>
    </w:p>
    <w:p w14:paraId="1799136B" w14:textId="77777777" w:rsidR="00A8138F" w:rsidRDefault="00A8138F" w:rsidP="00A8138F">
      <w:pPr>
        <w:pStyle w:val="TextoNormal"/>
      </w:pPr>
      <w:r>
        <w:t>d) Lo previsto en el apartado b) de este artículo no será de aplicación a los procesos penales ni a los procedimientos administrativos sancionadores”.</w:t>
      </w:r>
    </w:p>
    <w:p w14:paraId="724A00BD" w14:textId="77777777" w:rsidR="00A8138F" w:rsidRDefault="00A8138F" w:rsidP="00A8138F">
      <w:pPr>
        <w:pStyle w:val="TextoNormal"/>
      </w:pPr>
    </w:p>
    <w:p w14:paraId="56E81C8C" w14:textId="77777777" w:rsidR="00A8138F" w:rsidRDefault="00A8138F" w:rsidP="00A8138F">
      <w:pPr>
        <w:pStyle w:val="TextoNormal"/>
      </w:pPr>
      <w:r>
        <w:t>Como con mayor detalle se ha expuesto en los antecedentes, el planteamiento del recurso de inconstitucionalidad es de naturaleza estrictamente competencial. La demanda reprocha al apartado impugnado la invasión de las competencias exclusivas del Estado para dictar legislación procesal (art. 149.1.6 CE) y para regular el procedimiento administrativo común (art. 149.1.18 CE).</w:t>
      </w:r>
    </w:p>
    <w:p w14:paraId="78B9C5DC" w14:textId="77777777" w:rsidR="00A8138F" w:rsidRDefault="00A8138F" w:rsidP="00A8138F">
      <w:pPr>
        <w:pStyle w:val="TextoNormal"/>
      </w:pPr>
    </w:p>
    <w:p w14:paraId="12A1F608" w14:textId="6C5DB48F" w:rsidR="00A8138F" w:rsidRDefault="00A8138F" w:rsidP="00A8138F">
      <w:pPr>
        <w:pStyle w:val="TextoNormal"/>
      </w:pPr>
      <w:r>
        <w:t xml:space="preserve">La Asamblea de Madrid y la Comunidad de Madrid niegan la infracción del art. 149.1.18 CE argumentando, de una parte, que la comunidad autónoma goza de competencias </w:t>
      </w:r>
      <w:r w:rsidRPr="00A8138F">
        <w:rPr>
          <w:i/>
        </w:rPr>
        <w:t>ratione materiae</w:t>
      </w:r>
      <w:r>
        <w:t xml:space="preserve"> que dan cobertura a la especialidad procedimental impugnada y, de otro lado, que no incurre en contradicción insalvable con la legislación estatal sobre procedimiento administrativo común. Además, la representación procesal de la Asamblea de Madrid se opone a la alegada infracción del art. 149.1.6 CE, argumentando que el precepto impugnado ha sido dictado en ejercicio de las competencias autonómicas en materia de promoción y ayuda de grupos sociales necesitados de especial protección (art. 26.1.23 EAM) y que, por lo tanto, ha de considerarse que guarda conexión directa con las particularidades del Derecho sustantivo de la Comunidad de Madrid, tal y como exige el art. 149.1.6 CE.</w:t>
      </w:r>
    </w:p>
    <w:p w14:paraId="20E664C9" w14:textId="77777777" w:rsidR="00A8138F" w:rsidRDefault="00A8138F" w:rsidP="00A8138F">
      <w:pPr>
        <w:pStyle w:val="TextoNormal"/>
      </w:pPr>
    </w:p>
    <w:p w14:paraId="39B4EA5E" w14:textId="77777777" w:rsidR="00A8138F" w:rsidRDefault="00A8138F" w:rsidP="00A8138F">
      <w:pPr>
        <w:pStyle w:val="TextoNormal"/>
      </w:pPr>
      <w:r w:rsidRPr="00A8138F">
        <w:rPr>
          <w:rStyle w:val="NumeroAFNegritaCaracter"/>
        </w:rPr>
        <w:t>2</w:t>
      </w:r>
      <w:r>
        <w:t xml:space="preserve">. </w:t>
      </w:r>
      <w:r w:rsidRPr="00A8138F">
        <w:rPr>
          <w:i/>
        </w:rPr>
        <w:t>Delimitación del alcance y sentido del apartado impugnado</w:t>
      </w:r>
    </w:p>
    <w:p w14:paraId="6809F6AD" w14:textId="77777777" w:rsidR="00A8138F" w:rsidRDefault="00A8138F" w:rsidP="00A8138F">
      <w:pPr>
        <w:pStyle w:val="TextoNormal"/>
      </w:pPr>
    </w:p>
    <w:p w14:paraId="3E205FEB" w14:textId="77777777" w:rsidR="00A8138F" w:rsidRDefault="00A8138F" w:rsidP="00A8138F">
      <w:pPr>
        <w:pStyle w:val="TextoNormal"/>
      </w:pPr>
      <w:r>
        <w:t>Antes de entrar a examinar las tachas de inconstitucionalidad denunciadas en el recurso es necesario, a los efectos de clarificar nuestra respuesta, delimitar el alcance y sentido del precepto impugnado, especialmente a la vista de que este último aspecto ha suscitado divergentes interpretaciones entre las partes.</w:t>
      </w:r>
    </w:p>
    <w:p w14:paraId="2DBB407D" w14:textId="77777777" w:rsidR="00A8138F" w:rsidRDefault="00A8138F" w:rsidP="00A8138F">
      <w:pPr>
        <w:pStyle w:val="TextoNormal"/>
      </w:pPr>
    </w:p>
    <w:p w14:paraId="102E882F" w14:textId="77777777" w:rsidR="00A8138F" w:rsidRDefault="00A8138F" w:rsidP="00A8138F">
      <w:pPr>
        <w:pStyle w:val="TextoNormal"/>
      </w:pPr>
      <w:r>
        <w:t>a) La Ley de la Asamblea de Madrid 3/2016, de 22 de julio, aprobada con invocación de las competencias previstas en los arts. 26.1.23, 27.4, 28.1, apartados 1 y 12, y 29 EAM, tiene por finalidad, a tenor de su preámbulo, “establecer un marco normativo adecuado para garantizar el derecho de toda persona en la Comunidad de Madrid a no ser discriminada por razón de su identidad o expresión de género”, así como garantizar “una protección efectiva por parte de la Administración de la Comunidad de Madrid a personas que sean víctimas de discriminación y delitos de odio, o sufran trato discriminatorio, vejatorio o degradante por razón de su orientación sexual e identidad y/o expresión de género”.</w:t>
      </w:r>
    </w:p>
    <w:p w14:paraId="65CC0865" w14:textId="77777777" w:rsidR="00A8138F" w:rsidRDefault="00A8138F" w:rsidP="00A8138F">
      <w:pPr>
        <w:pStyle w:val="TextoNormal"/>
      </w:pPr>
    </w:p>
    <w:p w14:paraId="634908F7" w14:textId="77777777" w:rsidR="00A8138F" w:rsidRDefault="00A8138F" w:rsidP="00A8138F">
      <w:pPr>
        <w:pStyle w:val="TextoNormal"/>
      </w:pPr>
      <w:r>
        <w:t xml:space="preserve">Con tal propósito, la ley establece en su título II una serie de “[m]edidas contra las agresiones y delitos de odio por orientación sexual e identidad o expresión de género”, dentro de las que incluye medidas de apoyo (capítulo I), de prevención (capitulo II), de formación </w:t>
      </w:r>
      <w:r>
        <w:lastRenderedPageBreak/>
        <w:t>y sensibilización (capítulo III) y de tutela administrativa (capítulo IV). En este último bloque es en el que se ubica el art. 65, referido al concepto de interesado, cuyo último apartado se encuentra ante nosotros impugnado.</w:t>
      </w:r>
    </w:p>
    <w:p w14:paraId="3C52AC6F" w14:textId="77777777" w:rsidR="00A8138F" w:rsidRDefault="00A8138F" w:rsidP="00A8138F">
      <w:pPr>
        <w:pStyle w:val="TextoNormal"/>
      </w:pPr>
    </w:p>
    <w:p w14:paraId="059F0F4F" w14:textId="77777777" w:rsidR="00A8138F" w:rsidRDefault="00A8138F" w:rsidP="00A8138F">
      <w:pPr>
        <w:pStyle w:val="TextoNormal"/>
      </w:pPr>
      <w:r>
        <w:t>El art. 65 d) no existía en la versión original de la Ley 3/2016, sino que fue introducido —como única modificación sustantiva del art. 65— en virtud de la modificación operada por la Ley de la Asamblea de Madrid 18/2023, de 27 de diciembre, dictada con invocación de los mismos títulos competenciales que aquella. Según el preámbulo de la Ley 18/2023, la modificación legislativa acometida pretende corregir ciertos “excesos” de la redacción original de la ley para “evitar que la causa de la igualdad ante la ley y la no discriminación se convierta en un instrumento de ‘ingeniería social’, que confunda ciertas doctrinas de parte con los derechos fundamentales, en cuya defensa están comprometidos todos los españoles”.</w:t>
      </w:r>
    </w:p>
    <w:p w14:paraId="21D9A8BA" w14:textId="77777777" w:rsidR="00A8138F" w:rsidRDefault="00A8138F" w:rsidP="00A8138F">
      <w:pPr>
        <w:pStyle w:val="TextoNormal"/>
      </w:pPr>
    </w:p>
    <w:p w14:paraId="577EF168" w14:textId="77777777" w:rsidR="00A8138F" w:rsidRDefault="00A8138F" w:rsidP="00A8138F">
      <w:pPr>
        <w:pStyle w:val="TextoNormal"/>
      </w:pPr>
      <w:r>
        <w:t>b) Sentado lo anterior, hemos de dilucidar cuál es el sentido del apartado d) impugnado. Este indica que “no será de aplicación a los procesos penales ni a los procedimientos administrativos sancionadores” lo previsto en el apartado b) del mismo art. 65. Dicho apartado b) establece que las asociaciones, entidades y organizaciones a las que alude “serán titulares de intereses legítimos colectivos” (aclarando además que, en caso de representar a una víctima o perjudicado en particular, deberán contar con su permiso explícito), resultando indiscutible, dada la rúbrica general del art. 65 (“Concepto de interesado”), que tal reconocimiento se hace precisamente a los efectos de atribuir a esos sujetos la condición de interesados en el procedimiento administrativo. Al mismo tiempo, ambos apartados coexisten con los apartados a) y c) del mismo art. 65, conforme a los cuales tendrán la condición de interesados en el procedimiento administrativo, respectivamente, “[q]uienes lo promuevan como titulares de derechos o intereses legítimos individuales o colectivos” y “[l]os que, sin haber iniciado el procedimiento, tengan derechos que puedan resultar afectados por la decisión que en el mismo se adopte”.</w:t>
      </w:r>
    </w:p>
    <w:p w14:paraId="697C4F8C" w14:textId="77777777" w:rsidR="00A8138F" w:rsidRDefault="00A8138F" w:rsidP="00A8138F">
      <w:pPr>
        <w:pStyle w:val="TextoNormal"/>
      </w:pPr>
    </w:p>
    <w:p w14:paraId="5DEBC3CC" w14:textId="6EEB8C3D" w:rsidR="00A8138F" w:rsidRDefault="00A8138F" w:rsidP="00A8138F">
      <w:pPr>
        <w:pStyle w:val="TextoNormal"/>
      </w:pPr>
      <w:r>
        <w:t xml:space="preserve">A la vista de lo anterior, resulta claro que la regla impugnada afecta a la determinación de si las asociaciones, entidades y organizaciones en cuestión son titulares de intereses legítimos colectivos a los efectos de ostentar la condición de interesadas en los procedimientos administrativos sancionadores y de parte en los procesos penales. Sin embargo, no lo hace, como sostiene la demanda, excluyendo radicalmente dicha posibilidad, sino —como postula el letrado de la Comunidad de Madrid— eliminando el reconocimiento </w:t>
      </w:r>
      <w:r w:rsidRPr="00A8138F">
        <w:rPr>
          <w:i/>
        </w:rPr>
        <w:t>ex lege</w:t>
      </w:r>
      <w:r>
        <w:t xml:space="preserve"> de intereses legítimos colectivos que realiza el apartado b) en su favor para el resto de los procedimientos, con la finalidad de que la decisión acerca de su legitimación se remita, en los términos de los apartados a) y c), a un juicio casuístico acerca de la existencia de derechos subjetivos o intereses legítimos (individuales o colectivos) en cada proceso penal o procedimiento administrativo sancionador concreto que se suscite dentro del ámbito subjetivo, objetivo y territorial de aplicación de la Ley 3/2016.</w:t>
      </w:r>
    </w:p>
    <w:p w14:paraId="2A88FB9A" w14:textId="77777777" w:rsidR="00A8138F" w:rsidRDefault="00A8138F" w:rsidP="00A8138F">
      <w:pPr>
        <w:pStyle w:val="TextoNormal"/>
      </w:pPr>
    </w:p>
    <w:p w14:paraId="2F7DBDA6" w14:textId="77777777" w:rsidR="00A8138F" w:rsidRDefault="00A8138F" w:rsidP="00A8138F">
      <w:pPr>
        <w:pStyle w:val="TextoNormal"/>
      </w:pPr>
      <w:r w:rsidRPr="00A8138F">
        <w:rPr>
          <w:rStyle w:val="NumeroAFNegritaCaracter"/>
        </w:rPr>
        <w:t>3</w:t>
      </w:r>
      <w:r>
        <w:t xml:space="preserve">. </w:t>
      </w:r>
      <w:r w:rsidRPr="00A8138F">
        <w:rPr>
          <w:i/>
        </w:rPr>
        <w:t>Sobre la alegada invasión de la competencia estatal en materia de legislación procesal (art. 149.1.6 CE)</w:t>
      </w:r>
    </w:p>
    <w:p w14:paraId="2E97A2CD" w14:textId="77777777" w:rsidR="00A8138F" w:rsidRDefault="00A8138F" w:rsidP="00A8138F">
      <w:pPr>
        <w:pStyle w:val="TextoNormal"/>
      </w:pPr>
    </w:p>
    <w:p w14:paraId="55EAFA20" w14:textId="77777777" w:rsidR="00A8138F" w:rsidRDefault="00A8138F" w:rsidP="00A8138F">
      <w:pPr>
        <w:pStyle w:val="TextoNormal"/>
      </w:pPr>
      <w:r>
        <w:t>a) Síntesis de la controversia</w:t>
      </w:r>
    </w:p>
    <w:p w14:paraId="03C5910A" w14:textId="77777777" w:rsidR="00A8138F" w:rsidRDefault="00A8138F" w:rsidP="00A8138F">
      <w:pPr>
        <w:pStyle w:val="TextoNormal"/>
      </w:pPr>
    </w:p>
    <w:p w14:paraId="40C090CC" w14:textId="77777777" w:rsidR="00A8138F" w:rsidRDefault="00A8138F" w:rsidP="00A8138F">
      <w:pPr>
        <w:pStyle w:val="TextoNormal"/>
      </w:pPr>
      <w:r>
        <w:lastRenderedPageBreak/>
        <w:t xml:space="preserve">Mediante el primer motivo del recurso, el abogado del Estado sostiene que el apartado impugnado está viciado de inconstitucionalidad, en lo que hace a su referencia a los “procesos penales”, porque invade las competencias exclusivas del Estado en materia de legislación procesal (art. 149.1.6 CE). Argumenta que el precepto viene a regular la legitimación activa en tales procesos y que, por lo tanto, contiene una regla de carácter procesal, cuya aprobación corresponde exclusivamente al Estado al no existir peculiaridad de Derecho sustantivo autonómico que la justifique. Adicionalmente, sostiene la demanda que el mismo motivo de inconstitucionalidad concurre porque el contenido del apartado impugnado es incompatible con el apartado 3 del art. 109 </w:t>
      </w:r>
      <w:r w:rsidRPr="00A8138F">
        <w:rPr>
          <w:i/>
        </w:rPr>
        <w:t>bis</w:t>
      </w:r>
      <w:r>
        <w:t xml:space="preserve"> LECrim.</w:t>
      </w:r>
    </w:p>
    <w:p w14:paraId="5AD647EB" w14:textId="77777777" w:rsidR="00A8138F" w:rsidRDefault="00A8138F" w:rsidP="00A8138F">
      <w:pPr>
        <w:pStyle w:val="TextoNormal"/>
      </w:pPr>
    </w:p>
    <w:p w14:paraId="3852DDED" w14:textId="77777777" w:rsidR="00A8138F" w:rsidRDefault="00A8138F" w:rsidP="00A8138F">
      <w:pPr>
        <w:pStyle w:val="TextoNormal"/>
      </w:pPr>
      <w:r>
        <w:t>Como ha quedado expuesto en los antecedentes, la Comunidad de Madrid no se opone en sus alegaciones a este motivo de impugnación. Sí lo hace la Asamblea de Madrid, argumentando que el apartado impugnado regula una especialidad procesal en términos permitidos por el art. 149.1.6 CE, en tanto que ha sido dictado en ejercicio de las competencias autonómicas en materia de promoción y ayuda de grupos sociales necesitados de especial protección (art. 26.1.23 EAM) y que, por lo tanto, ha de considerarse que guarda conexión directa con las particularidades del Derecho sustantivo de la Comunidad de Madrid.</w:t>
      </w:r>
    </w:p>
    <w:p w14:paraId="7439064E" w14:textId="77777777" w:rsidR="00A8138F" w:rsidRDefault="00A8138F" w:rsidP="00A8138F">
      <w:pPr>
        <w:pStyle w:val="TextoNormal"/>
      </w:pPr>
    </w:p>
    <w:p w14:paraId="040DB7BE" w14:textId="77777777" w:rsidR="00A8138F" w:rsidRDefault="00A8138F" w:rsidP="00A8138F">
      <w:pPr>
        <w:pStyle w:val="TextoNormal"/>
      </w:pPr>
      <w:r>
        <w:t>b) Doctrina constitucional sobre el reparto competencial en materia de legislación procesal</w:t>
      </w:r>
    </w:p>
    <w:p w14:paraId="6C3AB9A7" w14:textId="77777777" w:rsidR="00A8138F" w:rsidRDefault="00A8138F" w:rsidP="00A8138F">
      <w:pPr>
        <w:pStyle w:val="TextoNormal"/>
      </w:pPr>
    </w:p>
    <w:p w14:paraId="76DC7AC1" w14:textId="77777777" w:rsidR="00A8138F" w:rsidRDefault="00A8138F" w:rsidP="00A8138F">
      <w:pPr>
        <w:pStyle w:val="TextoNormal"/>
      </w:pPr>
      <w:r>
        <w:t xml:space="preserve">Como acaba de indicarse, existe acuerdo entre las partes acerca del carácter procesal del apartado impugnado. No alberga dudas al respecto este tribunal, teniendo en cuenta que, como hemos indicado en el fundamento jurídico 2, tal apartado contiene una regla atinente, por lo que ahora interesa, al reconocimiento (en realidad, al no reconocimiento) </w:t>
      </w:r>
      <w:r w:rsidRPr="00A8138F">
        <w:rPr>
          <w:i/>
        </w:rPr>
        <w:t>ex lege</w:t>
      </w:r>
      <w:r>
        <w:t xml:space="preserve"> de la titularidad de intereses legítimos colectivos a determinadas agrupaciones a los explícitos efectos de atribuirles la condición de parte (“interesado”, en la dicción del precepto) en determinados procesos penales. Estamos ante una norma llamada a surtir efectos en el proceso, como este tribunal ha indicado en otros supuestos —cercanos al presente— en los que las normas autonómicas impugnadas regulaban supuestos de legitimación procesal (SSTC 71/1982, de 30 de noviembre, FJ 20, y 83/1986, de 28 de abril, FJ 2). Por lo tanto, para resolver la impugnación deviene relevante la muy reiterada doctrina constitucional sobre la distribución de competencias en materia procesal, doctrina que parte de las SSTC 71/1982 y 83/1986 citadas, y que se ha mantenido esencialmente inalterada desde entonces.</w:t>
      </w:r>
    </w:p>
    <w:p w14:paraId="51B1B95C" w14:textId="77777777" w:rsidR="00A8138F" w:rsidRDefault="00A8138F" w:rsidP="00A8138F">
      <w:pPr>
        <w:pStyle w:val="TextoNormal"/>
      </w:pPr>
    </w:p>
    <w:p w14:paraId="0246B33B" w14:textId="77777777" w:rsidR="00A8138F" w:rsidRDefault="00A8138F" w:rsidP="00A8138F">
      <w:pPr>
        <w:pStyle w:val="TextoNormal"/>
      </w:pPr>
      <w:r>
        <w:t>De acuerdo con el artículo 149.1.6 CE, la legislación procesal es una “competencia general” del Estado [SSTC 80/2018, de 5 de julio, FJ 5 a), y 13/2019, de 31 de enero, FJ 2 b)], lo que responde a la necesidad de salvaguardar la uniformidad de los instrumentos jurisdiccionales (SSTC 71/1982, FJ 20; 83/1986, FJ 2; 47/2004, de 25 de marzo, FJ 4, y, entre las más recientes, 72/2021, de 18 de marzo, FJ 5). Al mismo tiempo, la legislación procesal puede ser asumida como competencia autonómica, si bien que “de orden limitado”, pues está “circunscrita a ‘las necesarias especialidades que en este orden se deriven de las particularidades del derecho sustantivo de las comunidades autónomas’” [SSTC 80/2018, FJ 5 a), y 13/2019, FJ 2 b)].</w:t>
      </w:r>
    </w:p>
    <w:p w14:paraId="2A318B76" w14:textId="77777777" w:rsidR="00A8138F" w:rsidRDefault="00A8138F" w:rsidP="00A8138F">
      <w:pPr>
        <w:pStyle w:val="TextoNormal"/>
      </w:pPr>
    </w:p>
    <w:p w14:paraId="60FA1A41" w14:textId="77777777" w:rsidR="00A8138F" w:rsidRDefault="00A8138F" w:rsidP="00A8138F">
      <w:pPr>
        <w:pStyle w:val="TextoNormal"/>
      </w:pPr>
      <w:r>
        <w:t xml:space="preserve">Este tribunal ha reiterado que dicha salvedad competencial en favor de las comunidades autónomas no puede ser interpretada de modo tal que quede vacía de contenido la competencia general del Estado sobre la legislación procesal. Así, “la competencia asumida por </w:t>
      </w:r>
      <w:r>
        <w:lastRenderedPageBreak/>
        <w:t>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47/2004, FJ 4; 2/2018, de 11 de enero, FJ 4; 80/2018, FJ 5 a), y 13/2019, FJ 2 b)].</w:t>
      </w:r>
    </w:p>
    <w:p w14:paraId="7C6307E0" w14:textId="77777777" w:rsidR="00A8138F" w:rsidRDefault="00A8138F" w:rsidP="00A8138F">
      <w:pPr>
        <w:pStyle w:val="TextoNormal"/>
      </w:pPr>
    </w:p>
    <w:p w14:paraId="79C11660" w14:textId="77777777" w:rsidR="00A8138F" w:rsidRDefault="00A8138F" w:rsidP="00A8138F">
      <w:pPr>
        <w:pStyle w:val="TextoNormal"/>
      </w:pPr>
      <w:r>
        <w:t>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21/2012, de 16 de febrero, FJ 7, y 80/2018, FJ 5 a)]. Para realizar tal justificación han de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y, finalmente, “ha de indagarse si, entre las peculiaridades del ordenamiento sustantivo autonómico y las singularidades procesales incorporadas por el legislador autonómico en la norma impugnada, existe una conexión directa tal que justifique las especialidades procesales” [STC 80/2018, FJ 5 a), citando las SSTC 47/2004, FJ 5, y 2/2018, FJ 4].</w:t>
      </w:r>
    </w:p>
    <w:p w14:paraId="15536504" w14:textId="77777777" w:rsidR="00A8138F" w:rsidRDefault="00A8138F" w:rsidP="00A8138F">
      <w:pPr>
        <w:pStyle w:val="TextoNormal"/>
      </w:pPr>
    </w:p>
    <w:p w14:paraId="16AB3EDB" w14:textId="77777777" w:rsidR="00A8138F" w:rsidRDefault="00A8138F" w:rsidP="00A8138F">
      <w:pPr>
        <w:pStyle w:val="TextoNormal"/>
      </w:pPr>
      <w:r>
        <w:t>c) Enjuiciamiento</w:t>
      </w:r>
    </w:p>
    <w:p w14:paraId="38A8DD45" w14:textId="77777777" w:rsidR="00A8138F" w:rsidRDefault="00A8138F" w:rsidP="00A8138F">
      <w:pPr>
        <w:pStyle w:val="TextoNormal"/>
      </w:pPr>
    </w:p>
    <w:p w14:paraId="6F8F653D" w14:textId="77777777" w:rsidR="00A8138F" w:rsidRDefault="00A8138F" w:rsidP="00A8138F">
      <w:pPr>
        <w:pStyle w:val="TextoNormal"/>
      </w:pPr>
      <w:r>
        <w:t>De acuerdo con la doctrina transcrita, hemos de determinar si la norma procesal recogida en el apartado impugnado constituye o no una especialidad derivada de las “particularidades del Derecho sustantivo” de la Comunidad de Madrid, teniendo en cuenta que la justificación de este extremo corresponde a quienes asuman la defensa de la ley impugnada, salvo que del propio examen de esta se puedan desprender o inferir esas necesarias especialidades.</w:t>
      </w:r>
    </w:p>
    <w:p w14:paraId="0C827881" w14:textId="77777777" w:rsidR="00A8138F" w:rsidRDefault="00A8138F" w:rsidP="00A8138F">
      <w:pPr>
        <w:pStyle w:val="TextoNormal"/>
      </w:pPr>
    </w:p>
    <w:p w14:paraId="17EEC072" w14:textId="0FFD4A81" w:rsidR="00A8138F" w:rsidRDefault="00A8138F" w:rsidP="00A8138F">
      <w:pPr>
        <w:pStyle w:val="TextoNormal"/>
      </w:pPr>
      <w:r>
        <w:t xml:space="preserve">La Asamblea de Madrid se ha limitado en este punto a defender que el apartado impugnado ha sido aprobado con suficiente cobertura en las competencias autonómicas en materia de “[p]romoción y ayuda a la tercera edad, emigrantes, minusválidos y demás grupos sociales necesitados de especial atención, incluida la creación de centros de protección, reinserción y rehabilitación” (art. 26.1.23 EAM) de acuerdo con lo establecido por el art. 148.1.20 CE, y argumenta que ello permitiría considerar que estamos ante una especialidad que guarda conexión directa con las “particularidades del Derecho sustantivo” autonómico, tal y como exige el art. 149.1.6 CE. Sin embargo, nada en absoluto ha indicado la Asamblea de Madrid acerca de la concreta particularidad de Derecho sustantivo propio que justificaría </w:t>
      </w:r>
      <w:r>
        <w:lastRenderedPageBreak/>
        <w:t xml:space="preserve">la aprobación de la regla que ahora enjuiciamos. Tampoco aprecia este tribunal que exista una particularidad sustantiva tal en la citada Ley 3/2016 ni en ninguna otra previsión del Derecho propio de la Comunidad de Madrid —que, si bien se mira, difícilmente podría contener particularidades sustantivas de relevancia a estos efectos, por corresponder la legislación penal al Estado sin excepción alguna </w:t>
      </w:r>
      <w:r w:rsidRPr="00A8138F">
        <w:rPr>
          <w:i/>
        </w:rPr>
        <w:t>ex</w:t>
      </w:r>
      <w:r>
        <w:t xml:space="preserve"> art. 149.1.6 CE—. Por esta razón hemos de concluir que, por lo que hace a su referencia a los procesos penales, el apartado impugnado incurre en incompetencia, pues está vedado al legislador autonómico decidir qué previsiones resultan o no de aplicación al proceso penal, lo que nos lleva a estimar el recurso en este punto.</w:t>
      </w:r>
    </w:p>
    <w:p w14:paraId="7A2BC040" w14:textId="77777777" w:rsidR="00A8138F" w:rsidRDefault="00A8138F" w:rsidP="00A8138F">
      <w:pPr>
        <w:pStyle w:val="TextoNormal"/>
      </w:pPr>
    </w:p>
    <w:p w14:paraId="3BAC0EE5" w14:textId="77777777" w:rsidR="00A8138F" w:rsidRDefault="00A8138F" w:rsidP="00A8138F">
      <w:pPr>
        <w:pStyle w:val="TextoNormal"/>
      </w:pPr>
      <w:r w:rsidRPr="00A8138F">
        <w:rPr>
          <w:rStyle w:val="NumeroAFNegritaCaracter"/>
        </w:rPr>
        <w:t>4</w:t>
      </w:r>
      <w:r>
        <w:t xml:space="preserve">. </w:t>
      </w:r>
      <w:r w:rsidRPr="00A8138F">
        <w:rPr>
          <w:i/>
        </w:rPr>
        <w:t>Sobre la alegada invasión de la competencia estatal en materia de procedimiento administrativo común (art. 149.1.18 CE)</w:t>
      </w:r>
    </w:p>
    <w:p w14:paraId="4DC6242A" w14:textId="77777777" w:rsidR="00A8138F" w:rsidRDefault="00A8138F" w:rsidP="00A8138F">
      <w:pPr>
        <w:pStyle w:val="TextoNormal"/>
      </w:pPr>
    </w:p>
    <w:p w14:paraId="7E727CB3" w14:textId="77777777" w:rsidR="00A8138F" w:rsidRDefault="00A8138F" w:rsidP="00A8138F">
      <w:pPr>
        <w:pStyle w:val="TextoNormal"/>
      </w:pPr>
      <w:r>
        <w:t>A) Síntesis de la controversia</w:t>
      </w:r>
    </w:p>
    <w:p w14:paraId="3040CF5C" w14:textId="77777777" w:rsidR="00A8138F" w:rsidRDefault="00A8138F" w:rsidP="00A8138F">
      <w:pPr>
        <w:pStyle w:val="TextoNormal"/>
      </w:pPr>
    </w:p>
    <w:p w14:paraId="25FFDDE7" w14:textId="77777777" w:rsidR="00A8138F" w:rsidRDefault="00A8138F" w:rsidP="00A8138F">
      <w:pPr>
        <w:pStyle w:val="TextoNormal"/>
      </w:pPr>
      <w:r>
        <w:t>La demanda sostiene que el apartado impugnado es contrario al concepto de interesado que resulta de la lectura conjunta del art. 4.2 de la Ley 39/2015, de 1 de octubre, y del art. 31.2 de la Ley 15/2022, de 12 de julio; preceptos ambos aprobados por el legislador estatal invocando su competencia para regular el procedimiento administrativo común y que, a diferencia del precepto impugnado, no excluyen a los procedimientos administrativos sancionadores cuando atribuyen la condición de interesado a asociaciones, entidades y organizaciones. Esa contradicción entre legislación autonómica y estatal determinaría, según el recurso, la inconstitucionalidad mediata de la primera por infracción de la competencia estatal sobre procedimiento administrativo común (art. 149.1.18 CE).</w:t>
      </w:r>
    </w:p>
    <w:p w14:paraId="24B57472" w14:textId="77777777" w:rsidR="00A8138F" w:rsidRDefault="00A8138F" w:rsidP="00A8138F">
      <w:pPr>
        <w:pStyle w:val="TextoNormal"/>
      </w:pPr>
    </w:p>
    <w:p w14:paraId="5974BF02" w14:textId="77777777" w:rsidR="00A8138F" w:rsidRDefault="00A8138F" w:rsidP="00A8138F">
      <w:pPr>
        <w:pStyle w:val="TextoNormal"/>
      </w:pPr>
      <w:r>
        <w:t xml:space="preserve">Se oponen a este motivo de impugnación tanto la Asamblea de Madrid como la Comunidad de Madrid. La primera sostiene que el apartado impugnado (i) se limita a establecer una especialidad procedimental ligada a la regulación sustantiva aprobada por la comunidad autónoma en ejercicio de sus competencias sobre asistencia social y (ii) que, en todo caso, resulta compatible con la legislación estatal si se interpreta de manera conjunta con el art. 68 de la misma Ley 3/2016, también modificado por la Ley 18/2023. Por su parte, la Comunidad de Madrid refuta el vicio competencial denunciado argumentando, como por extenso se ha indicado en los antecedentes, que (i) la comunidad autónoma goza de competencias </w:t>
      </w:r>
      <w:r w:rsidRPr="00A8138F">
        <w:rPr>
          <w:i/>
        </w:rPr>
        <w:t>ratione materiae</w:t>
      </w:r>
      <w:r>
        <w:t xml:space="preserve"> que dan cobertura a la especialidad procedimental impugnada y (ii) que no incurre en contradicción insalvable con el art. 31.2 de la Ley 15/2022 (leído en conjunción con el art. 4.2 de la Ley 39/2015), cuyo sentido y alcance discute.</w:t>
      </w:r>
    </w:p>
    <w:p w14:paraId="52C6FF80" w14:textId="77777777" w:rsidR="00A8138F" w:rsidRDefault="00A8138F" w:rsidP="00A8138F">
      <w:pPr>
        <w:pStyle w:val="TextoNormal"/>
      </w:pPr>
    </w:p>
    <w:p w14:paraId="615F6F6A" w14:textId="77777777" w:rsidR="00A8138F" w:rsidRDefault="00A8138F" w:rsidP="00A8138F">
      <w:pPr>
        <w:pStyle w:val="TextoNormal"/>
      </w:pPr>
      <w:r>
        <w:t>B) Doctrina constitucional sobre la inconstitucionalidad mediata por infracción de la regulación del procedimiento administrativo común</w:t>
      </w:r>
    </w:p>
    <w:p w14:paraId="721FDD54" w14:textId="77777777" w:rsidR="00A8138F" w:rsidRDefault="00A8138F" w:rsidP="00A8138F">
      <w:pPr>
        <w:pStyle w:val="TextoNormal"/>
      </w:pPr>
    </w:p>
    <w:p w14:paraId="781E9575" w14:textId="77777777" w:rsidR="00A8138F" w:rsidRDefault="00A8138F" w:rsidP="00A8138F">
      <w:pPr>
        <w:pStyle w:val="TextoNormal"/>
      </w:pPr>
      <w:r>
        <w:t>Según acaba de recordarse, este segundo motivo de impugnación se formula en términos de inconstitucionalidad mediata o indirecta, en la medida en que la posible infracción constitucional no derivaría de la incompatibilidad directa del precepto autonómico impugnado con la Constitución, sino de su eventual contradicción con la normativa estatal sobre procedimiento administrativo común. Como se deriva de nuestra doctrina, el examen de este tipo de supuestos —de los que son paradigma, pero no expresión única, los que afectan a títulos competenciales básicos del Estado— exige determinar, en primer lugar, si la norma estatal que se reputa infringida por el precepto autonómico cuestionado ha sido legítimamente dic</w:t>
      </w:r>
      <w:r>
        <w:lastRenderedPageBreak/>
        <w:t>tada por el Estado al amparo de sus competencias y, si así fuere, habrá entonces que determinar su concreto significado o alcance, con la finalidad de verificar si el precepto autonómico la contradice de modo efectivo e insalvable por vía interpretativa (por todas, STC 76/2022, de 15 de junio).</w:t>
      </w:r>
    </w:p>
    <w:p w14:paraId="0AB00AE2" w14:textId="77777777" w:rsidR="00A8138F" w:rsidRDefault="00A8138F" w:rsidP="00A8138F">
      <w:pPr>
        <w:pStyle w:val="TextoNormal"/>
      </w:pPr>
    </w:p>
    <w:p w14:paraId="68A2A3FF" w14:textId="77777777" w:rsidR="00A8138F" w:rsidRDefault="00A8138F" w:rsidP="00A8138F">
      <w:pPr>
        <w:pStyle w:val="TextoNormal"/>
      </w:pPr>
      <w:r>
        <w:t>El análisis de estos extremos debe abordarse a la luz de la doctrina constitucional sobre el reparto de competencias para la regulación del procedimiento administrativo, por ser esta la materia que regulan tanto la norma autonómica impugnada como los preceptos estatales invocados como parámetro de contraste. Nuestra doctrina al respecto ha sido sintetizada en la STC 55/2018, de 24 de mayo, FJ 4, en los términos siguientes:</w:t>
      </w:r>
    </w:p>
    <w:p w14:paraId="6AA167A2" w14:textId="77777777" w:rsidR="00A8138F" w:rsidRDefault="00A8138F" w:rsidP="00A8138F">
      <w:pPr>
        <w:pStyle w:val="TextoNormal"/>
      </w:pPr>
    </w:p>
    <w:p w14:paraId="1D53227C" w14:textId="77777777" w:rsidR="00A8138F" w:rsidRDefault="00A8138F" w:rsidP="00A8138F">
      <w:pPr>
        <w:pStyle w:val="TextoNormal"/>
      </w:pPr>
      <w:r>
        <w:t xml:space="preserve">«La competencia estatal relativa al “procedimiento administrativo común” (art. 149.1.18 CE) habilita la aprobación de “normas establecidas con carácter general y abstracto, para toda suerte de procedimientos” [STC 45/2015, FJ 6 c)]. En particular, los principios y reglas que “definen la estructura general del </w:t>
      </w:r>
      <w:r w:rsidRPr="00A8138F">
        <w:rPr>
          <w:i/>
        </w:rPr>
        <w:t>iter</w:t>
      </w:r>
      <w:r>
        <w:t xml:space="preserve">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También abarca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FJ 32). En cualquier caso, no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de la doctrina constitucional “no puede deducirse que forme parte de esta materia competencial toda regulación que de forma indirecta pueda tener alguna repercusión o incidencia en el procedimiento así entendido o cuyo incumplimiento pueda tener como consecuencia la invalidez del acto” (STC 50/1999, FJ 3).</w:t>
      </w:r>
    </w:p>
    <w:p w14:paraId="621CF75A" w14:textId="77777777" w:rsidR="00A8138F" w:rsidRDefault="00A8138F" w:rsidP="00A8138F">
      <w:pPr>
        <w:pStyle w:val="TextoNormal"/>
      </w:pPr>
    </w:p>
    <w:p w14:paraId="7D07AC66" w14:textId="77777777" w:rsidR="00A8138F" w:rsidRDefault="00A8138F" w:rsidP="00A8138F">
      <w:pPr>
        <w:pStyle w:val="TextoNormal"/>
      </w:pPr>
      <w:r>
        <w:t>La competencia en materia de procedimiento administrativo común incluye asimismo la aprobación de principios y reglas sobre cualquiera de aquellas cuestiones, pero establecidas con un grado intermedio de abstracción para alguna modalidad de actividad administrativa. Se trata de principios y “reglas de ‘procedimiento administrativo común singular’, entendido como el establecido también en la órbita del artículo 149.1.18 CE y de manera abstracta, pero para una forma específica de potestad o actividad de la administración (STC 45/2015, FJ 6 c), citando la STC 130/2013, de 4 de junio, FJ 8, en relación con las normas de procedimiento de la Ley 38/2003, de 4 de junio, general de subvenciones)”.</w:t>
      </w:r>
    </w:p>
    <w:p w14:paraId="4E43FD2C" w14:textId="77777777" w:rsidR="00A8138F" w:rsidRDefault="00A8138F" w:rsidP="00A8138F">
      <w:pPr>
        <w:pStyle w:val="TextoNormal"/>
      </w:pPr>
    </w:p>
    <w:p w14:paraId="28AF8333" w14:textId="77777777" w:rsidR="00A8138F" w:rsidRDefault="00A8138F" w:rsidP="00A8138F">
      <w:pPr>
        <w:pStyle w:val="TextoNormal"/>
      </w:pPr>
      <w:r>
        <w:t xml:space="preserve">De acuerdo con la STC 227/1988, FJ 32, la competencia para establecer el régimen de los “procedimientos administrativos especiales” aplicable a las diversas formas de la actividad administrativa </w:t>
      </w:r>
      <w:r w:rsidRPr="00A8138F">
        <w:rPr>
          <w:i/>
        </w:rPr>
        <w:t>ratione materiae</w:t>
      </w:r>
      <w:r>
        <w:t xml:space="preserve"> “es conexa a las que, respectivamente, el Estado o las comunidades autónomas ostentan para la regulación del régimen sustantivo de cada actividad o servicio de la administración”. En términos de la reciente STC 33/2018, de 12 de abril, “la regulación de estos procedimientos administrativos especiales no está, en nuestra Constitución, reservada al Estado… Por ello, en principio, ‘cuando la competencia legislativa sobre una materia ha sido atribuida a una comunidad autónoma, a esta cumple también la </w:t>
      </w:r>
      <w:r>
        <w:lastRenderedPageBreak/>
        <w:t xml:space="preserve">aprobación de las normas de procedimiento administrativo destinadas a ejecutarla, si bien deberán respetarse en todo caso las reglas de procedimiento establecidas en la legislación del Estado dentro del ámbito de sus competencias’” [STC 33/2018, FJ 5 b), con cita de la STC 227/1988, FJ 32]. Lo mismo ocurre cuando las comunidades autónomas cuentan solo con atribuciones de desarrollo legislativo y ejecución; serán competentes también, como regla general, para regular los correspondientes procedimientos administrativos especiales en el marco de las normas de procedimiento común (general o singular) que haya establecido el Estado </w:t>
      </w:r>
      <w:r w:rsidRPr="00A8138F">
        <w:rPr>
          <w:i/>
        </w:rPr>
        <w:t>ex</w:t>
      </w:r>
      <w:r>
        <w:t xml:space="preserve"> art. 149.1.18 CE [STC 45/2015, FJ 6 b)].</w:t>
      </w:r>
    </w:p>
    <w:p w14:paraId="3A367D54" w14:textId="77777777" w:rsidR="00A8138F" w:rsidRDefault="00A8138F" w:rsidP="00A8138F">
      <w:pPr>
        <w:pStyle w:val="TextoNormal"/>
      </w:pPr>
    </w:p>
    <w:p w14:paraId="0E6BA904" w14:textId="77777777" w:rsidR="00A8138F" w:rsidRDefault="00A8138F" w:rsidP="00A8138F">
      <w:pPr>
        <w:pStyle w:val="TextoNormal"/>
      </w:pPr>
      <w:r>
        <w:t>No obstante, las bases de una materia “pueden alcanzar algún aspecto de estos procedimientos especiales si imponen criterios directamente vinculados a los objetivos sustantivos” de esa legislación básica, “sin descender a la previsión de trámites de pura gestión; las normas ordinarias de tramitación no pueden considerarse básicas” [STC 54/2017, FJ 7 b), refiriéndose a la legislación básica, en general, y las SSTC 45/2015, FJ 6 c); 53/2017, de 17 de mayo, FFJJ 3 y 5 b), y 143/2017, FJ 23, refiriéndose a las “bases medioambientales”, en particular].</w:t>
      </w:r>
    </w:p>
    <w:p w14:paraId="4FAAB156" w14:textId="77777777" w:rsidR="00A8138F" w:rsidRDefault="00A8138F" w:rsidP="00A8138F">
      <w:pPr>
        <w:pStyle w:val="TextoNormal"/>
      </w:pPr>
    </w:p>
    <w:p w14:paraId="1D2CE4E9" w14:textId="77777777" w:rsidR="00A8138F" w:rsidRDefault="00A8138F" w:rsidP="00A8138F">
      <w:pPr>
        <w:pStyle w:val="TextoNormal"/>
      </w:pPr>
      <w:r>
        <w:t>Se sitúan extramuros del título “procedimiento administrativo común” (art. 149.1.18 CE) las regulaciones que, aun aplicables a clases enteras de procedimientos, se han adoptado en ejercicio de una competencia estatal más específica. Es el caso, por ejemplo, de los procedimientos de preparación y adjudicación de contratos públicos o de expropiación forzosa; respecto de estos el Estado cuenta con competencias normativas de diverso alcance en materia de contratación administrativa (art. 149.1.18 CE; STC 237/2015, de 19 de noviembre, FJ 7) y expropiación forzosa (art. 149.1.18 CE; STC 251/2006, de 25 de julio, FJ 5), respectivamente».</w:t>
      </w:r>
    </w:p>
    <w:p w14:paraId="39E58D13" w14:textId="77777777" w:rsidR="00A8138F" w:rsidRDefault="00A8138F" w:rsidP="00A8138F">
      <w:pPr>
        <w:pStyle w:val="TextoNormal"/>
      </w:pPr>
    </w:p>
    <w:p w14:paraId="651C4F83" w14:textId="77777777" w:rsidR="00A8138F" w:rsidRDefault="00A8138F" w:rsidP="00A8138F">
      <w:pPr>
        <w:pStyle w:val="TextoNormal"/>
      </w:pPr>
      <w:r>
        <w:t>C) Enjuiciamiento</w:t>
      </w:r>
    </w:p>
    <w:p w14:paraId="07732D31" w14:textId="77777777" w:rsidR="00A8138F" w:rsidRDefault="00A8138F" w:rsidP="00A8138F">
      <w:pPr>
        <w:pStyle w:val="TextoNormal"/>
      </w:pPr>
    </w:p>
    <w:p w14:paraId="49FDA6D9" w14:textId="77777777" w:rsidR="00A8138F" w:rsidRDefault="00A8138F" w:rsidP="00A8138F">
      <w:pPr>
        <w:pStyle w:val="TextoNormal"/>
      </w:pPr>
      <w:r>
        <w:t>La demanda invoca como parámetro de contraste el art. 4.2 de la Ley 39/2015 y el art. 31.2 de la Ley 15/2022, cuya interpretación conjunta propugna y cuyo tenor literal es el siguiente (se reproducen en su contexto para facilitar su comprensión):</w:t>
      </w:r>
    </w:p>
    <w:p w14:paraId="6F41F203" w14:textId="77777777" w:rsidR="00A8138F" w:rsidRDefault="00A8138F" w:rsidP="00A8138F">
      <w:pPr>
        <w:pStyle w:val="TextoNormal"/>
      </w:pPr>
    </w:p>
    <w:p w14:paraId="045BB092" w14:textId="77777777" w:rsidR="00A8138F" w:rsidRDefault="00A8138F" w:rsidP="00A8138F">
      <w:pPr>
        <w:pStyle w:val="TextoNormal"/>
      </w:pPr>
      <w:r>
        <w:t>Art. 4 de la Ley 39/2015, de 1 de octubre (“Concepto de interesado”):</w:t>
      </w:r>
    </w:p>
    <w:p w14:paraId="032B896F" w14:textId="77777777" w:rsidR="00A8138F" w:rsidRDefault="00A8138F" w:rsidP="00A8138F">
      <w:pPr>
        <w:pStyle w:val="TextoNormal"/>
      </w:pPr>
    </w:p>
    <w:p w14:paraId="28409696" w14:textId="77777777" w:rsidR="00A8138F" w:rsidRDefault="00A8138F" w:rsidP="00A8138F">
      <w:pPr>
        <w:pStyle w:val="TextoNormal"/>
      </w:pPr>
      <w:r>
        <w:t>“1. Se consideran interesados en el procedimiento administrativo:</w:t>
      </w:r>
    </w:p>
    <w:p w14:paraId="68ACDA9E" w14:textId="77777777" w:rsidR="00A8138F" w:rsidRDefault="00A8138F" w:rsidP="00A8138F">
      <w:pPr>
        <w:pStyle w:val="TextoNormal"/>
      </w:pPr>
    </w:p>
    <w:p w14:paraId="681FC330" w14:textId="77777777" w:rsidR="00A8138F" w:rsidRDefault="00A8138F" w:rsidP="00A8138F">
      <w:pPr>
        <w:pStyle w:val="TextoNormal"/>
      </w:pPr>
      <w:r>
        <w:t>a) Quienes lo promuevan como titulares de derechos o intereses legítimos individuales o colectivos.</w:t>
      </w:r>
    </w:p>
    <w:p w14:paraId="1D3EA014" w14:textId="77777777" w:rsidR="00A8138F" w:rsidRDefault="00A8138F" w:rsidP="00A8138F">
      <w:pPr>
        <w:pStyle w:val="TextoNormal"/>
      </w:pPr>
    </w:p>
    <w:p w14:paraId="57C2671D" w14:textId="77777777" w:rsidR="00A8138F" w:rsidRDefault="00A8138F" w:rsidP="00A8138F">
      <w:pPr>
        <w:pStyle w:val="TextoNormal"/>
      </w:pPr>
      <w:r>
        <w:t>b) Los que, sin haber iniciado el procedimiento, tengan derechos que puedan resultar afectados por la decisión que en el mismo se adopte.</w:t>
      </w:r>
    </w:p>
    <w:p w14:paraId="4887AE9A" w14:textId="77777777" w:rsidR="00A8138F" w:rsidRDefault="00A8138F" w:rsidP="00A8138F">
      <w:pPr>
        <w:pStyle w:val="TextoNormal"/>
      </w:pPr>
    </w:p>
    <w:p w14:paraId="0B51CD06" w14:textId="77777777" w:rsidR="00A8138F" w:rsidRDefault="00A8138F" w:rsidP="00A8138F">
      <w:pPr>
        <w:pStyle w:val="TextoNormal"/>
      </w:pPr>
      <w:r>
        <w:t>c) Aquellos cuyos intereses legítimos, individuales o colectivos, puedan resultar afectados por la resolución y se personen en el procedimiento en tanto no haya recaído resolución definitiva.</w:t>
      </w:r>
    </w:p>
    <w:p w14:paraId="2C76DEB1" w14:textId="77777777" w:rsidR="00A8138F" w:rsidRDefault="00A8138F" w:rsidP="00A8138F">
      <w:pPr>
        <w:pStyle w:val="TextoNormal"/>
      </w:pPr>
    </w:p>
    <w:p w14:paraId="74B91D1F" w14:textId="77777777" w:rsidR="00A8138F" w:rsidRDefault="00A8138F" w:rsidP="00A8138F">
      <w:pPr>
        <w:pStyle w:val="TextoNormal"/>
      </w:pPr>
      <w:r>
        <w:t>2. Las asociaciones y organizaciones representativas de intereses económicos y sociales serán titulares de intereses legítimos colectivos en los términos que la ley reconozca.</w:t>
      </w:r>
    </w:p>
    <w:p w14:paraId="0178C066" w14:textId="77777777" w:rsidR="00A8138F" w:rsidRDefault="00A8138F" w:rsidP="00A8138F">
      <w:pPr>
        <w:pStyle w:val="TextoNormal"/>
      </w:pPr>
    </w:p>
    <w:p w14:paraId="28A18653" w14:textId="77777777" w:rsidR="00A8138F" w:rsidRDefault="00A8138F" w:rsidP="00A8138F">
      <w:pPr>
        <w:pStyle w:val="TextoNormal"/>
      </w:pPr>
      <w:r>
        <w:t>3. Cuando la condición de interesado derivase de alguna relación jurídica transmisible, el derechohabiente sucederá en tal condición cualquiera que sea el estado del procedimiento”.</w:t>
      </w:r>
    </w:p>
    <w:p w14:paraId="50F7DB0D" w14:textId="77777777" w:rsidR="00A8138F" w:rsidRDefault="00A8138F" w:rsidP="00A8138F">
      <w:pPr>
        <w:pStyle w:val="TextoNormal"/>
      </w:pPr>
    </w:p>
    <w:p w14:paraId="5950D712" w14:textId="77777777" w:rsidR="00A8138F" w:rsidRDefault="00A8138F" w:rsidP="00A8138F">
      <w:pPr>
        <w:pStyle w:val="TextoNormal"/>
      </w:pPr>
      <w:r>
        <w:t>Art. 31 de la Ley 15/2022, de 12 de julio (“Actuación administrativa contra la discriminación”):</w:t>
      </w:r>
    </w:p>
    <w:p w14:paraId="7A439D4C" w14:textId="77777777" w:rsidR="00A8138F" w:rsidRDefault="00A8138F" w:rsidP="00A8138F">
      <w:pPr>
        <w:pStyle w:val="TextoNormal"/>
      </w:pPr>
    </w:p>
    <w:p w14:paraId="370FA052" w14:textId="77777777" w:rsidR="00A8138F" w:rsidRDefault="00A8138F" w:rsidP="00A8138F">
      <w:pPr>
        <w:pStyle w:val="TextoNormal"/>
      </w:pPr>
      <w:r>
        <w:t>“1. Cuando una autoridad pública, con ocasión del ejercicio de sus competencias, tenga conocimiento de un supuesto de discriminación de los previstos en esta ley, deberá, si es competente, incoar el correspondiente procedimiento administrativo, en el que se podrán acordar las medidas necesarias para investigar las circunstancias del caso y adoptar las medidas oportunas y proporcionadas para su eliminación o, en caso de no serlo, comunicar estos hechos de forma inmediata a la administración competente, de acuerdo con lo establecido en las leyes administrativas.</w:t>
      </w:r>
    </w:p>
    <w:p w14:paraId="5022C896" w14:textId="77777777" w:rsidR="00A8138F" w:rsidRDefault="00A8138F" w:rsidP="00A8138F">
      <w:pPr>
        <w:pStyle w:val="TextoNormal"/>
      </w:pPr>
    </w:p>
    <w:p w14:paraId="66D78747" w14:textId="77777777" w:rsidR="00A8138F" w:rsidRDefault="00A8138F" w:rsidP="00A8138F">
      <w:pPr>
        <w:pStyle w:val="TextoNormal"/>
      </w:pPr>
      <w:r>
        <w:t>2. A los efectos de lo establecido en el artículo 4.2 de la Ley 39/2015, de 1 de octubre, del procedimiento administrativo común de las administraciones públicas, los sindicatos, las asociaciones profesionales de trabajadores autónomos, las organizaciones de personas consumidoras y usuarias y las asociaciones y organizaciones legalmente constituidas que tengan entre sus fines la defensa y promoción de los derechos humanos y cumplan los requisitos fijados en el artículo 29 de la presente ley, podrán tener la consideración de interesado en los procedimientos administrativos en los que la administración tenga que pronunciarse en relación con una situación de discriminación prevista en esta ley, siempre que cuenten con la autorización de la persona o personas afectadas. No será necesaria esta autorización cuando las personas afectadas sean una pluralidad indeterminada o de difícil determinación, sin perjuicio de que quienes se consideren afectados puedan también participar en el procedimiento”.</w:t>
      </w:r>
    </w:p>
    <w:p w14:paraId="0A32F195" w14:textId="77777777" w:rsidR="00A8138F" w:rsidRDefault="00A8138F" w:rsidP="00A8138F">
      <w:pPr>
        <w:pStyle w:val="TextoNormal"/>
      </w:pPr>
    </w:p>
    <w:p w14:paraId="16CE103E" w14:textId="77777777" w:rsidR="00A8138F" w:rsidRDefault="00A8138F" w:rsidP="00A8138F">
      <w:pPr>
        <w:pStyle w:val="TextoNormal"/>
      </w:pPr>
      <w:r>
        <w:t>a) Legitimidad competencial de las normas estatales invocadas como parámetro de contraste</w:t>
      </w:r>
    </w:p>
    <w:p w14:paraId="30839A39" w14:textId="77777777" w:rsidR="00A8138F" w:rsidRDefault="00A8138F" w:rsidP="00A8138F">
      <w:pPr>
        <w:pStyle w:val="TextoNormal"/>
      </w:pPr>
    </w:p>
    <w:p w14:paraId="228379AF" w14:textId="77777777" w:rsidR="00A8138F" w:rsidRDefault="00A8138F" w:rsidP="00A8138F">
      <w:pPr>
        <w:pStyle w:val="TextoNormal"/>
      </w:pPr>
      <w:r>
        <w:t>La cobertura competencial propuesta por las partes o enunciada por la ley puede ser, desde luego, indicativa, pero, naturalmente, no vincula al Tribunal Constitucional (STC 45/2015, de 5 de marzo, FJ 3). De ahí que, aunque no haya sido discutido en este proceso, debamos comenzar el enjuiciamiento constatando que los arts. 4.2 de la Ley 39/2015 y 31.2 de la Ley 15/2022 han sido aprobados por el Estado con cobertura competencial suficiente en el art. 149.1.18 CE.</w:t>
      </w:r>
    </w:p>
    <w:p w14:paraId="3062D939" w14:textId="77777777" w:rsidR="00A8138F" w:rsidRDefault="00A8138F" w:rsidP="00A8138F">
      <w:pPr>
        <w:pStyle w:val="TextoNormal"/>
      </w:pPr>
    </w:p>
    <w:p w14:paraId="0F492A4A" w14:textId="77777777" w:rsidR="00A8138F" w:rsidRDefault="00A8138F" w:rsidP="00A8138F">
      <w:pPr>
        <w:pStyle w:val="TextoNormal"/>
      </w:pPr>
      <w:r>
        <w:t xml:space="preserve">Así sucede, en primer lugar, con el art. 4.2 de la Ley 39/2015, precepto que con toda evidencia contiene una regla de procedimiento administrativo común. Dicha cobertura competencial resulta no tanto de que el legislador estatal haya invocado, al aprobar esta previsión, el art. 149.1.18 (disposición final primera de la Ley 39/2015), como del hecho de que la regulación de la condición de interesado en el procedimiento forma parte del núcleo del régimen del procedimiento administrativo común cuya regulación corresponde al Estado. Y ello porque ninguna cuestión más decisiva puede haber, en punto a establecer “las garantías generales de los particulares en el seno del procedimiento” (SSTC 227/1988, 50/1999, y 130/2013, por todas), que la relativa a la definición del concepto de interesado, esto es, de </w:t>
      </w:r>
      <w:r>
        <w:lastRenderedPageBreak/>
        <w:t>sujeto habilitado para ser parte en las relaciones jurídicas de carácter procedimental entabladas con la administración.</w:t>
      </w:r>
    </w:p>
    <w:p w14:paraId="57EF3768" w14:textId="77777777" w:rsidR="00A8138F" w:rsidRDefault="00A8138F" w:rsidP="00A8138F">
      <w:pPr>
        <w:pStyle w:val="TextoNormal"/>
      </w:pPr>
    </w:p>
    <w:p w14:paraId="424FDF13" w14:textId="77777777" w:rsidR="00A8138F" w:rsidRDefault="00A8138F" w:rsidP="00A8138F">
      <w:pPr>
        <w:pStyle w:val="TextoNormal"/>
      </w:pPr>
      <w:r>
        <w:t xml:space="preserve">Por su parte, el art. 31.2 de la Ley 15/2022 contiene una norma de procedimiento administrativo especial por razón de la materia que encuentra también cobertura competencial en el art. 149.1.18 CE, pues en virtud de este título el Estado puede establecer normas comunes de procedimiento específicas para procedimientos administrativos </w:t>
      </w:r>
      <w:r w:rsidRPr="00A8138F">
        <w:rPr>
          <w:i/>
        </w:rPr>
        <w:t>ratione materiae</w:t>
      </w:r>
      <w:r>
        <w:t>, si impone criterios directamente vinculados a los objetivos sustantivos de esa legislación estatal, sin desarrollar o regular trámites de pura gestión o normas ordinarias de tramitación [STC 55/2018, FJ 4 b)]. En este sentido cabe señalar que el art. 31 de la Ley 15/2022, intitulado “Actuación administrativa contra la discriminación”, establece, invocando el art. 149.1.18 CE (disposición final octava, apartado décimo) normas de procedimiento administrativo concebidas por el legislador como “garantías del derecho a la igualdad de trato y no discriminación” (pues tal es la nomenclatura del capítulo I del título II de dicha Ley, en el que se encuadra el citado art. 31). A su vez, la Ley 15/2022 fue aprobada por el legislador estatal invocando, por lo que hace al grueso de su contenido, la competencia del Estado para regular las condiciones básicas que garantizan la igualdad de todos los españoles en el ejercicio de los derechos y el cumplimiento de los deberes constitucionales (art. 149.1.1 CE), sin que en este proceso se haya suscitado controversia respecto de esta cobertura competencial ni aprecie tampoco este tribunal razones para dudar de ella a los efectos de efectuar el juicio de inconstitucionalidad mediata que ahora nos incumbe. El art. 31.2 de la Ley 15/2022 ha de considerarse, en definitiva, una norma de procedimiento administrativo especial que es instrumental o conexa al régimen sustantivo de lucha contra la discriminación establecido por la Ley 15/2022.</w:t>
      </w:r>
    </w:p>
    <w:p w14:paraId="2FB2F3E7" w14:textId="77777777" w:rsidR="00A8138F" w:rsidRDefault="00A8138F" w:rsidP="00A8138F">
      <w:pPr>
        <w:pStyle w:val="TextoNormal"/>
      </w:pPr>
    </w:p>
    <w:p w14:paraId="6081DD9E" w14:textId="77777777" w:rsidR="00A8138F" w:rsidRDefault="00A8138F" w:rsidP="00A8138F">
      <w:pPr>
        <w:pStyle w:val="TextoNormal"/>
      </w:pPr>
      <w:r>
        <w:t>b) Contenido de las normas estatales invocadas como parámetro de contraste</w:t>
      </w:r>
    </w:p>
    <w:p w14:paraId="70C8D4AF" w14:textId="77777777" w:rsidR="00A8138F" w:rsidRDefault="00A8138F" w:rsidP="00A8138F">
      <w:pPr>
        <w:pStyle w:val="TextoNormal"/>
      </w:pPr>
    </w:p>
    <w:p w14:paraId="1B6A112E" w14:textId="77777777" w:rsidR="00A8138F" w:rsidRDefault="00A8138F" w:rsidP="00A8138F">
      <w:pPr>
        <w:pStyle w:val="TextoNormal"/>
      </w:pPr>
      <w:r>
        <w:t>Confirmada así la cobertura competencial de los preceptos estatales invocados en la demanda como parámetro de contraste, a continuación hemos de dilucidar cuál es su sentido y alcance. Según se ha detallado en los antecedentes de esta sentencia, el abogado del Estado considera que mediante el art. 31.2 de la Ley 15/2022, en conexión con el art. 4.2 de la Ley 39/2015, el legislador estatal ha pretendido atribuir la condición de interesado a las asociaciones, entidades y organizaciones que tengan entre sus fines la promoción de los derechos humanos en todos los procedimientos administrativos relativos a situaciones de discriminación previstas en la Ley 15/2022. Se opone a tal lectura el letrado de la Comunidad de Madrid, que afirma que el citado art. 31.2 no realiza dicha atribución de la condición de interesado en todo caso, sino que se limita a establecer que las asociaciones, entidades y organizaciones en cuestión “podrán tener” dicha condición, debiendo entenderse que ello dependerá de si, en las circunstancias del caso concreto, las agrupaciones de que se trate ostentan un derecho subjetivo o un interés legítimo (individual o colectivo), cosa que deberá apreciar el órgano administrativo tramitador del procedimiento.</w:t>
      </w:r>
    </w:p>
    <w:p w14:paraId="609331B5" w14:textId="77777777" w:rsidR="00A8138F" w:rsidRDefault="00A8138F" w:rsidP="00A8138F">
      <w:pPr>
        <w:pStyle w:val="TextoNormal"/>
      </w:pPr>
    </w:p>
    <w:p w14:paraId="4E8E314E" w14:textId="77777777" w:rsidR="00A8138F" w:rsidRDefault="00A8138F" w:rsidP="00A8138F">
      <w:pPr>
        <w:pStyle w:val="TextoNormal"/>
      </w:pPr>
      <w:r>
        <w:t xml:space="preserve">La interpretación propuesta por la representación procesal de la Comunidad de Madrid no puede ser acogida, pues la misma, además de vaciar de contenido lo previsto en el art. 31.2 de la Ley 15/2022 (que devendría una mera reiteración de lo ya previsto en el art. 4.2 de la Ley 39/2015), resulta claramente contraria a su espíritu y finalidad. La Ley 15/2022 ha pretendido, en garantía del derecho a la igualdad de trato y no discriminación, remover los obstáculos que pudiesen existir para la participación de determinadas asociaciones y </w:t>
      </w:r>
      <w:r>
        <w:lastRenderedPageBreak/>
        <w:t>organizaciones en los procedimientos administrativos relativos a situaciones de discriminación previstas en la propia ley. En este sentido debe leerse el preámbulo cuando afirma que “[e]l título II fija en su capítulo I las garantías del derecho a la igualdad de trato y no discriminación, definiendo qué medidas de protección comprende […] así como disposiciones relativas a la tutela judicial y actuación administrativa contra la discriminación, reconociendo en ambos ámbitos respectivamente, una legitimación colectiva a una serie de entidades y organizaciones que tengan entre sus fines la defensa y protección de los derechos humanos”. Resulta evidente, por lo demás, que la condición de interesado atribuida a estos colectivos se hace para cualesquiera procedimientos administrativos (incluidos los sancionadores), pues el art. 31.2 no se refiere a ellos para excluirlos, a diferencia de lo que hace, precisamente, el art. 30.3 de la misma Ley 15/2022 al establecer reglas relativas a la carga de la prueba; encontrándose estos dos preceptos dentro del capítulo I (“Garantías del derecho a la igualdad de trato y no discriminación”) del título II (“Defensa y promoción del derecho a la igualdad de trato y no discriminación) de la Ley 15/2022.</w:t>
      </w:r>
    </w:p>
    <w:p w14:paraId="4D0379C3" w14:textId="77777777" w:rsidR="00A8138F" w:rsidRDefault="00A8138F" w:rsidP="00A8138F">
      <w:pPr>
        <w:pStyle w:val="TextoNormal"/>
      </w:pPr>
    </w:p>
    <w:p w14:paraId="3314AD5F" w14:textId="77777777" w:rsidR="00A8138F" w:rsidRDefault="00A8138F" w:rsidP="00A8138F">
      <w:pPr>
        <w:pStyle w:val="TextoNormal"/>
      </w:pPr>
      <w:r>
        <w:t xml:space="preserve">En definitiva, el art. 31.2 de la Ley 15/2022, en conexión con el art. 4.2 de la Ley 39/2015, reconoce </w:t>
      </w:r>
      <w:r w:rsidRPr="00A8138F">
        <w:rPr>
          <w:i/>
        </w:rPr>
        <w:t>ex lege</w:t>
      </w:r>
      <w:r>
        <w:t xml:space="preserve"> la condición de interesados de las asociaciones y agrupaciones a los que se refiere para todos los procedimientos administrativos, incluidos los sancionadores, relativos a situaciones de discriminación previstas en la propia ley.</w:t>
      </w:r>
    </w:p>
    <w:p w14:paraId="6A698A08" w14:textId="77777777" w:rsidR="00A8138F" w:rsidRDefault="00A8138F" w:rsidP="00A8138F">
      <w:pPr>
        <w:pStyle w:val="TextoNormal"/>
      </w:pPr>
    </w:p>
    <w:p w14:paraId="62C78F86" w14:textId="77777777" w:rsidR="00A8138F" w:rsidRDefault="00A8138F" w:rsidP="00A8138F">
      <w:pPr>
        <w:pStyle w:val="TextoNormal"/>
      </w:pPr>
      <w:r>
        <w:t>c) Contradicción efectiva e insalvable entre la norma impugnada y la legislación estatal</w:t>
      </w:r>
    </w:p>
    <w:p w14:paraId="72538772" w14:textId="77777777" w:rsidR="00A8138F" w:rsidRDefault="00A8138F" w:rsidP="00A8138F">
      <w:pPr>
        <w:pStyle w:val="TextoNormal"/>
      </w:pPr>
    </w:p>
    <w:p w14:paraId="394A2E75" w14:textId="77777777" w:rsidR="00A8138F" w:rsidRDefault="00A8138F" w:rsidP="00A8138F">
      <w:pPr>
        <w:pStyle w:val="TextoNormal"/>
      </w:pPr>
      <w:r>
        <w:t>Para que exista inconstitucionalidad mediata o indirecta es preciso que exista contradicción entre la norma autonómica impugnada y la estatal invocada como parámetro de contraste, contradicción que ha de ser efectiva e insalvable por vía interpretativa. La doctrina constitucional ha reiterado, en cuanto a esto último, que si existiese una interpretación que eliminase la contradicción entre ambas normas “el principio de conservación de la ley (SSTC 63/1982, de 20 de octubre y 16/1998, de 26 de enero) habilita a este tribunal para concluir que, de esa manera interpretada, la norma impugnada no sería contraria al orden constitucional de competencias” (por todas, STC 113/2010, de 24 de noviembre, FJ 2).</w:t>
      </w:r>
    </w:p>
    <w:p w14:paraId="087F1E2C" w14:textId="77777777" w:rsidR="00A8138F" w:rsidRDefault="00A8138F" w:rsidP="00A8138F">
      <w:pPr>
        <w:pStyle w:val="TextoNormal"/>
      </w:pPr>
    </w:p>
    <w:p w14:paraId="597548F3" w14:textId="77777777" w:rsidR="00A8138F" w:rsidRDefault="00A8138F" w:rsidP="00A8138F">
      <w:pPr>
        <w:pStyle w:val="TextoNormal"/>
      </w:pPr>
      <w:r>
        <w:t xml:space="preserve">Según hemos indicado en el fundamento jurídico 2, el art. 65 d) de la Ley 3/2016, en la redacción dada por la Ley 18/2023, niega que en los procedimientos administrativos sancionadores relativos a situaciones de discriminación las asociaciones y agrupaciones a los que alude sean titulares </w:t>
      </w:r>
      <w:r w:rsidRPr="00A8138F">
        <w:rPr>
          <w:i/>
        </w:rPr>
        <w:t>ex lege</w:t>
      </w:r>
      <w:r>
        <w:t xml:space="preserve"> de intereses legítimos colectivos a los efectos de su consideración como interesados. Esta previsión contradice abiertamente lo establecido en el art. 31.2 de la Ley 15/2022, que, como acabamos de señalar, reconoce </w:t>
      </w:r>
      <w:r w:rsidRPr="00A8138F">
        <w:rPr>
          <w:i/>
        </w:rPr>
        <w:t>ex lege</w:t>
      </w:r>
      <w:r>
        <w:t xml:space="preserve"> la condición de interesados a tales asociaciones y agrupaciones en todos los procedimientos, incluidos los sancionadores, relativos a las situaciones de discriminación previstas en la propia ley.</w:t>
      </w:r>
    </w:p>
    <w:p w14:paraId="59800A39" w14:textId="77777777" w:rsidR="00A8138F" w:rsidRDefault="00A8138F" w:rsidP="00A8138F">
      <w:pPr>
        <w:pStyle w:val="TextoNormal"/>
      </w:pPr>
    </w:p>
    <w:p w14:paraId="015CCD23" w14:textId="77777777" w:rsidR="00A8138F" w:rsidRDefault="00A8138F" w:rsidP="00A8138F">
      <w:pPr>
        <w:pStyle w:val="TextoNormal"/>
      </w:pPr>
      <w:r>
        <w:t xml:space="preserve">Se trata de una contradicción real y efectiva que, a diferencia de lo que postulan la Asamblea de Madrid y el Consejo de Gobierno de la Comunidad de Madrid, no puede ser salvada a través de los instrumentos que proporciona la hermenéutica jurídica. En efecto, no elimina la contradicción el hecho de que el art. 68 de la Ley 3/2016, también modificado por la Ley 18/2023, establezca que “la potestad sancionadora que corresponda según la normativa vigente se ejercerá de conformidad con lo que disponen la Ley 39/2015, del procedimiento administrativo común y la Ley 40/2015, de 1 de octubre, del régimen jurídico de las administraciones públicas”. El art. 68 coexiste con la regla del art. 65 d) de la Ley 3/2016, sin </w:t>
      </w:r>
      <w:r>
        <w:lastRenderedPageBreak/>
        <w:t>que sea plausible entender que esta haya pretendido ser desactivada por el legislador autonómico a través de la citada remisión a la legislación estatal. Tampoco desaparece la contradicción detectada por el hecho, alegado por la representación procesal de la Comunidad de Madrid, de que el apartado impugnado no entre en contradicción con los arts. 76 a 82 de la Ley 4/2023, de 28 de febrero, para la igualdad real y efectiva de las personas trans y para la garantía de los derechos de las personas LGTBI, preceptos que nada dicen sobre la condición de interesado en los procedimientos administrativos sancionadores. Más aún, ha de señalarse que dicha cuestión sí se regula específicamente en el art. 63.2 de la citada ley estatal, en unos términos además muy similares a los del art. 31.1 de la Ley 15/2022. Por último, tampoco es relevante que, con carácter general, la jurisdicción ordinaria venga entendiendo —en aplicación, debemos puntualizar, del régimen general de legitimación del art. 4 de la Ley 39/2015— que los terceros distintos de las personas inculpadas solo ostentan la condición de interesadas en los procedimientos administrativos sancionadores cuando, en el caso concreto, estos ostenten un interés legítimo en la pretensión ejercitada. Que ello sea así en general en nada obsta a la existencia de una regla especial —la del art. 31.2 de la Ley 15/2022— que, aprobada por el Estado en el ámbito de sus competencias, establece una regla de legitimación más generosa que las comunidades autónomas han de respetar cuando establezcan sus propias normas de procedimiento administrativ</w:t>
      </w:r>
      <w:r w:rsidRPr="00A8138F">
        <w:rPr>
          <w:i/>
        </w:rPr>
        <w:t>o ratione materi</w:t>
      </w:r>
      <w:r>
        <w:t>ae.</w:t>
      </w:r>
    </w:p>
    <w:p w14:paraId="2250AD43" w14:textId="77777777" w:rsidR="00A8138F" w:rsidRDefault="00A8138F" w:rsidP="00A8138F">
      <w:pPr>
        <w:pStyle w:val="TextoNormal"/>
      </w:pPr>
    </w:p>
    <w:p w14:paraId="42BAA9B7" w14:textId="0C13A0DC" w:rsidR="00A8138F" w:rsidRDefault="00A8138F" w:rsidP="00A8138F">
      <w:pPr>
        <w:pStyle w:val="TextoNormal"/>
      </w:pPr>
      <w:r>
        <w:t>Por los motivos expuestos, procede declarar la inconstitucionalidad y nulidad del apartado impugnado en cuanto se refiere a los procedimientos administrativos sancionadores, y con ello del precepto en su totalidad.</w:t>
      </w:r>
    </w:p>
    <w:p w14:paraId="1B58B153" w14:textId="77777777" w:rsidR="00A8138F" w:rsidRDefault="00A8138F" w:rsidP="00A8138F">
      <w:pPr>
        <w:pStyle w:val="TextoNormal"/>
      </w:pPr>
    </w:p>
    <w:p w14:paraId="17B8275B" w14:textId="77777777" w:rsidR="00A8138F" w:rsidRDefault="00A8138F" w:rsidP="00A8138F">
      <w:pPr>
        <w:pStyle w:val="TextoNormalCentrado"/>
        <w:keepNext/>
      </w:pPr>
      <w:r>
        <w:t>FALLO</w:t>
      </w:r>
    </w:p>
    <w:p w14:paraId="30D141C6" w14:textId="66D515F4" w:rsidR="00A8138F" w:rsidRDefault="00A8138F" w:rsidP="00A8138F">
      <w:pPr>
        <w:pStyle w:val="TextoNormalCentrado"/>
        <w:keepNext/>
      </w:pPr>
    </w:p>
    <w:p w14:paraId="60CD2061" w14:textId="1ADB5AE5" w:rsidR="00A8138F" w:rsidRDefault="00A8138F" w:rsidP="00A8138F">
      <w:pPr>
        <w:pStyle w:val="TextoNormal"/>
      </w:pPr>
      <w:r>
        <w:t xml:space="preserve">En atención a todo lo expuesto, el Tribunal Constitucional, por la autoridad que le confiere la Constitución de la Nación española, ha decidido estimar el recurso de inconstitucionalidad promovido por el presidente del Gobierno y, en consecuencia, declarar la inconstitucionalidad y nulidad del apartado d) del art. 65 de la Ley 3/2016, de 22 de julio, de protección integral contra la LGTBIfobia y la discriminación por razón de orientación e identidad sexual en la Comunidad de Madrid, en la redacción dada por el apartado décimo cuarto </w:t>
      </w:r>
      <w:r w:rsidRPr="00A8138F">
        <w:rPr>
          <w:i/>
        </w:rPr>
        <w:t>ter</w:t>
      </w:r>
      <w:r>
        <w:t xml:space="preserve"> del artículo único de la Ley 18/2023, de 27 de diciembre, por la que se modifica la Ley 3/2016, de 22 de julio.</w:t>
      </w:r>
    </w:p>
    <w:p w14:paraId="22BB1897" w14:textId="77777777" w:rsidR="00A8138F" w:rsidRDefault="00A8138F" w:rsidP="00A8138F">
      <w:pPr>
        <w:pStyle w:val="TextoNormal"/>
      </w:pPr>
    </w:p>
    <w:p w14:paraId="0C8B3FD3" w14:textId="77777777" w:rsidR="00A8138F" w:rsidRDefault="00A8138F" w:rsidP="00A8138F">
      <w:pPr>
        <w:pStyle w:val="TextoNormal"/>
      </w:pPr>
      <w:r>
        <w:t>Publíquese esta sentencia en el “Boletín Oficial del Estado”.</w:t>
      </w:r>
    </w:p>
    <w:p w14:paraId="38DB25E2" w14:textId="77777777" w:rsidR="00A8138F" w:rsidRDefault="00A8138F" w:rsidP="00A8138F">
      <w:pPr>
        <w:pStyle w:val="TextoNormal"/>
      </w:pPr>
      <w:r>
        <w:t>Dada en Madrid, a nueve de abril de dos mil veinticinco.</w:t>
      </w:r>
    </w:p>
    <w:p w14:paraId="04B9D6E6" w14:textId="551C46F6" w:rsidR="00A8138F" w:rsidRDefault="00A8138F" w:rsidP="00A8138F">
      <w:pPr>
        <w:pStyle w:val="ParrafoNormal"/>
      </w:pPr>
    </w:p>
    <w:p w14:paraId="1A01C593" w14:textId="77777777" w:rsidR="00A8138F" w:rsidRDefault="00A8138F" w:rsidP="00A8138F">
      <w:pPr>
        <w:pStyle w:val="TextoNormalNegritaCentrado"/>
        <w:keepNext/>
      </w:pPr>
      <w:r>
        <w:t>Voto particular que formula el magistrado don José María Macías Castaño a la sentencia dictada en el recurso de inconstitucionalidad núm. 4926-2024</w:t>
      </w:r>
    </w:p>
    <w:p w14:paraId="2BFD945D" w14:textId="3A318D2D" w:rsidR="00A8138F" w:rsidRDefault="00A8138F" w:rsidP="00A8138F">
      <w:pPr>
        <w:pStyle w:val="TextoNormalNegritaCentrado"/>
        <w:keepNext/>
      </w:pPr>
    </w:p>
    <w:p w14:paraId="61267343" w14:textId="77777777" w:rsidR="00A8138F" w:rsidRDefault="00A8138F" w:rsidP="00A8138F">
      <w:pPr>
        <w:pStyle w:val="TextoNormal"/>
      </w:pPr>
      <w:r>
        <w:t>De conformidad con lo dispuesto en el art. 90.2 LOTC, y con el máximo respeto al criterio asumido por la mayoría del Pleno, me veo en la obligación de mostrar mi disconformidad con el sentido de la sentencia aprobada, por las razones que seguidamente expongo, que debieron determinar la desestimación de este recurso.</w:t>
      </w:r>
    </w:p>
    <w:p w14:paraId="50312B6D" w14:textId="77777777" w:rsidR="00A8138F" w:rsidRDefault="00A8138F" w:rsidP="00A8138F">
      <w:pPr>
        <w:pStyle w:val="TextoNormal"/>
      </w:pPr>
    </w:p>
    <w:p w14:paraId="206AA31D" w14:textId="77777777" w:rsidR="00A8138F" w:rsidRDefault="00A8138F" w:rsidP="00A8138F">
      <w:pPr>
        <w:pStyle w:val="TextoNormal"/>
      </w:pPr>
      <w:r>
        <w:t>I</w:t>
      </w:r>
    </w:p>
    <w:p w14:paraId="46565663" w14:textId="77777777" w:rsidR="00A8138F" w:rsidRDefault="00A8138F" w:rsidP="00A8138F">
      <w:pPr>
        <w:pStyle w:val="TextoNormal"/>
      </w:pPr>
    </w:p>
    <w:p w14:paraId="31286D42" w14:textId="77777777" w:rsidR="00A8138F" w:rsidRDefault="00A8138F" w:rsidP="00A8138F">
      <w:pPr>
        <w:pStyle w:val="TextoNormal"/>
      </w:pPr>
      <w:r>
        <w:lastRenderedPageBreak/>
        <w:t>1. Los términos de la controversia planteada en el recurso pueden expresarse de manera sintética.</w:t>
      </w:r>
    </w:p>
    <w:p w14:paraId="174E9A9E" w14:textId="77777777" w:rsidR="00A8138F" w:rsidRDefault="00A8138F" w:rsidP="00A8138F">
      <w:pPr>
        <w:pStyle w:val="TextoNormal"/>
      </w:pPr>
    </w:p>
    <w:p w14:paraId="39944566" w14:textId="77777777" w:rsidR="00A8138F" w:rsidRDefault="00A8138F" w:rsidP="00A8138F">
      <w:pPr>
        <w:pStyle w:val="TextoNormal"/>
      </w:pPr>
      <w:r>
        <w:t>2. Tras la reforma llevada a cabo por la Ley 18/2023, de 27 de diciembre, el art. 65 d) de la Ley 3/2016 de 22 de julio, de protección integral contra la LGTBIfobia y la discriminación por razón de orientación e identidad sexual en la Comunidad de Madrid, establece que: “d) Lo dispuesto en el apartado b) de este artículo no será de aplicación a los procesos penales ni a los procedimientos administrativos sancionadores”. Por su parte, el apartado b) de este precepto, que regula la condición de “interesados en el procedimiento administrativo”, dice expresamente lo siguiente: “b) Las asociaciones, entidades y organizaciones representativas de los colectivos LGTBI y aquellas que tengan por objeto la defensa y promoción de derechos humanos serán titulares de intereses legítimos colectivos. Estas últimas en caso de representar a una víctima o perjudicado deberán contar con su permiso explícito”.</w:t>
      </w:r>
    </w:p>
    <w:p w14:paraId="4816B224" w14:textId="77777777" w:rsidR="00A8138F" w:rsidRDefault="00A8138F" w:rsidP="00A8138F">
      <w:pPr>
        <w:pStyle w:val="TextoNormal"/>
      </w:pPr>
    </w:p>
    <w:p w14:paraId="6B0FDF1C" w14:textId="77777777" w:rsidR="00A8138F" w:rsidRDefault="00A8138F" w:rsidP="00A8138F">
      <w:pPr>
        <w:pStyle w:val="TextoNormal"/>
      </w:pPr>
      <w:r>
        <w:t xml:space="preserve">3. El Gobierno de España ha interpuesto este recurso por entender que la nueva redacción del art. 65 d) de la Ley 3/2016 invade competencias exclusivas del Estado en materia de legislación procesal (art. 149.1.6 CE) y de procedimiento administrativo común (art. 149.1.18 CE). En cuanto al ámbito procesal, considera que se trata de una norma que regula la legitimación activa en el proceso penal, es decir, que contiene una regla procesal cuya competencia exclusiva corresponde al Estado, además de ser contraria a lo dispuesto en el art. 109 </w:t>
      </w:r>
      <w:r w:rsidRPr="00A8138F">
        <w:rPr>
          <w:i/>
        </w:rPr>
        <w:t>bis</w:t>
      </w:r>
      <w:r>
        <w:t>.3 LECrim. En cuanto al ámbito administrativo, considera que el precepto impugnado contraviene lo dispuesto en el art. 4.2 de la Ley 39/2015, de 1 de octubre y en el art. 31.2 de la Ley 15/2022, de 12 de julio, que regulan el concepto de interesado en determinados procedimientos administrativos, pero que, en ningún caso, establecen excepción alguna sobre el concepto de interesado en el procedimiento administrativo sancionador, como sí hace la norma madrileña.</w:t>
      </w:r>
    </w:p>
    <w:p w14:paraId="24869387" w14:textId="77777777" w:rsidR="00A8138F" w:rsidRDefault="00A8138F" w:rsidP="00A8138F">
      <w:pPr>
        <w:pStyle w:val="TextoNormal"/>
      </w:pPr>
    </w:p>
    <w:p w14:paraId="13FC830B" w14:textId="77777777" w:rsidR="00A8138F" w:rsidRDefault="00A8138F" w:rsidP="00A8138F">
      <w:pPr>
        <w:pStyle w:val="TextoNormal"/>
      </w:pPr>
      <w:r>
        <w:t>4. La ponencia asume el criterio de la demanda, por los motivos expuestos en los fundamentos jurídicos 3 y 4, que damos por reproducidos.</w:t>
      </w:r>
    </w:p>
    <w:p w14:paraId="6E95E052" w14:textId="77777777" w:rsidR="00A8138F" w:rsidRDefault="00A8138F" w:rsidP="00A8138F">
      <w:pPr>
        <w:pStyle w:val="TextoNormal"/>
      </w:pPr>
    </w:p>
    <w:p w14:paraId="4C53FD78" w14:textId="77777777" w:rsidR="00A8138F" w:rsidRDefault="00A8138F" w:rsidP="00A8138F">
      <w:pPr>
        <w:pStyle w:val="TextoNormal"/>
      </w:pPr>
      <w:r>
        <w:t>II</w:t>
      </w:r>
    </w:p>
    <w:p w14:paraId="3B4A9E44" w14:textId="77777777" w:rsidR="00A8138F" w:rsidRDefault="00A8138F" w:rsidP="00A8138F">
      <w:pPr>
        <w:pStyle w:val="TextoNormal"/>
      </w:pPr>
    </w:p>
    <w:p w14:paraId="2BAC25DB" w14:textId="77777777" w:rsidR="00A8138F" w:rsidRDefault="00A8138F" w:rsidP="00A8138F">
      <w:pPr>
        <w:pStyle w:val="TextoNormal"/>
      </w:pPr>
      <w:r>
        <w:t>5. El fundamento de mi discrepancia se centra, sintéticamente, en que el precepto impugnado es manifiestamente inocuo para invadir competencias estatales ni entra en contradicción con la normativa del Estado. Subsidiariamente, y en todo caso, el precepto admite una interpretación conforme con la Constitución (SSTC 76/1996, de 30 de abril, FJ 5, y 233/1999, de 16 de diciembre, FJ 18, entre otras muchas) que, como es conocido, conllevaría igualmente la desestimación del recurso.</w:t>
      </w:r>
    </w:p>
    <w:p w14:paraId="3C1CA2EC" w14:textId="77777777" w:rsidR="00A8138F" w:rsidRDefault="00A8138F" w:rsidP="00A8138F">
      <w:pPr>
        <w:pStyle w:val="TextoNormal"/>
      </w:pPr>
    </w:p>
    <w:p w14:paraId="27680C89" w14:textId="77777777" w:rsidR="00A8138F" w:rsidRDefault="00A8138F" w:rsidP="00A8138F">
      <w:pPr>
        <w:pStyle w:val="TextoNormal"/>
      </w:pPr>
      <w:r>
        <w:t>6. Antes de desarrollar las razones concretas de mi discrepancia, debo señalar mi conformidad con lo expuesto en el último párrafo del fundamento jurídico 2 de la sentencia mayoritaria, que hubiera permitido alcanzar la conclusión que sostengo en este voto particular. Me refiero a que la norma impugnada no excluye de forma radical la consideración de interesado a las asociaciones y entidades a que se refiere el art. 65 b), sino que remite a un juicio casuístico acerca de la existencia de derechos subjetivos o intereses legítimos en cada proceso que se suscite en el ámbito de aplicación de la ya citada Ley 3/2016. Lo cual tiene una especial relevancia en el plano administrativo, como luego expondré.</w:t>
      </w:r>
    </w:p>
    <w:p w14:paraId="1FC200A6" w14:textId="77777777" w:rsidR="00A8138F" w:rsidRDefault="00A8138F" w:rsidP="00A8138F">
      <w:pPr>
        <w:pStyle w:val="TextoNormal"/>
      </w:pPr>
    </w:p>
    <w:p w14:paraId="679D7727" w14:textId="77777777" w:rsidR="00A8138F" w:rsidRDefault="00A8138F" w:rsidP="00A8138F">
      <w:pPr>
        <w:pStyle w:val="TextoNormal"/>
      </w:pPr>
      <w:r>
        <w:lastRenderedPageBreak/>
        <w:t xml:space="preserve">7. En cuanto a la competencia sobre la legislación procesal (art. 149.1.6 CE), hay que destacar que el art. 65 de la Ley 3/2016 no regula ninguna cuestión relativa al proceso penal. Como se expone en su encabezamiento, este precepto describe el concepto de interesado “en el procedimiento administrativo”. Por lo tanto, que el apartado d) excluya la aplicación de este precepto a los procesos penales puede resultar —sin duda lo es— superfluo o redundante, pero no es, ni mucho menos, contrario a la norma estatal, sencillamente porque la exclusión permite afirmar, sin lugar a dudas, que en esta materia debe regir la normativa procesal penal, es decir, el art. 109 </w:t>
      </w:r>
      <w:r w:rsidRPr="00A8138F">
        <w:rPr>
          <w:i/>
        </w:rPr>
        <w:t>bis</w:t>
      </w:r>
      <w:r>
        <w:t>.3 LECrim. Como es conocido, el juicio de constitucionalidad que corresponde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Además, la mera referencia a que el precepto no resulta de aplicación en materia de proceso penal no se puede interpretar como una norma reguladora de una cuestión procesal, cuando nada regula al respecto y, precisamente por ello, puede ser perfectamente interpretada en sentido contrario, es decir, como una norma que respeta la competencia estatal en la materia, lo que permitiría una interpretación conforme con la Constitución que descartaría su inconstitucionalidad.</w:t>
      </w:r>
    </w:p>
    <w:p w14:paraId="1CA44D2F" w14:textId="77777777" w:rsidR="00A8138F" w:rsidRDefault="00A8138F" w:rsidP="00A8138F">
      <w:pPr>
        <w:pStyle w:val="TextoNormal"/>
      </w:pPr>
    </w:p>
    <w:p w14:paraId="275D19A5" w14:textId="77777777" w:rsidR="00A8138F" w:rsidRDefault="00A8138F" w:rsidP="00A8138F">
      <w:pPr>
        <w:pStyle w:val="TextoNormal"/>
      </w:pPr>
      <w:r>
        <w:t xml:space="preserve">8. En cuanto a la competencia sobre procedimiento administrativo (art. 149.1.18 CE), no se observa la invasión competencial apreciada por la ponencia. Creo que nos encontramos ante un supuesto de normas de procedimiento administrativo destinadas a ejecutar una competencia legislativa sobre una materia atribuida a la comunidad autónoma (en relación con la promoción y ayuda a grupos sociales necesitados de especial atención, </w:t>
      </w:r>
      <w:r w:rsidRPr="00A8138F">
        <w:rPr>
          <w:i/>
        </w:rPr>
        <w:t>ex</w:t>
      </w:r>
      <w:r>
        <w:t xml:space="preserve"> art. 26.1.23 EAM), desarrollada a través de la propia Ley 3/2016. Se trata, por tanto, de uno de los supuestos admitidos por este tribunal, según se expone en el FJ 4 B) de la ponencia, con cita y reseña de la STC 33/2018, de 12 de abril, FJ 5 b). Pero, además, no se observa tampoco una contradicción insalvable con la normativa estatal, como se afirma en la posición mayoritaria.</w:t>
      </w:r>
    </w:p>
    <w:p w14:paraId="53E66CB6" w14:textId="77777777" w:rsidR="00A8138F" w:rsidRDefault="00A8138F" w:rsidP="00A8138F">
      <w:pPr>
        <w:pStyle w:val="TextoNormal"/>
      </w:pPr>
    </w:p>
    <w:p w14:paraId="3977DBA7" w14:textId="77777777" w:rsidR="00A8138F" w:rsidRDefault="00A8138F" w:rsidP="00A8138F">
      <w:pPr>
        <w:pStyle w:val="TextoNormal"/>
      </w:pPr>
      <w:r>
        <w:t xml:space="preserve">9. Así, el art. 4.2 de la Ley 39/2015, de 1 de octubre, del procedimiento administrativo común de las administraciones públicas, considera interesados en el procedimiento administrativo a las “asociaciones y organizaciones representativas de intereses económicos y sociales serán titulares de intereses legítimos colectivos en los términos que la ley reconozca”. Por lo tanto, habrá que estar a lo dispuesto en cada norma para el reconocimiento de un interés legítimo. Por su parte, el art. 31.2 de la Ley 15/2022, de 12 de julio, integral para la igualdad de trato y la no discriminación, cuando aborda la actuación administrativa contra la discriminación establece —en lo que ahora interesa— que estas asociaciones y entidades “podrán tener la consideración de interesado en los procedimientos administrativos en los que la administración tenga que pronunciarse en relación con una situación de discriminación prevista en esta ley, siempre que cuenten con la autorización de la persona o personas afectadas”. Por lo tanto, no existe una legitimación automática, </w:t>
      </w:r>
      <w:r w:rsidRPr="00A8138F">
        <w:rPr>
          <w:i/>
        </w:rPr>
        <w:t>ex lege</w:t>
      </w:r>
      <w:r>
        <w:t xml:space="preserve"> o imperativa, sino potestativa, y siempre que se cuente con la autorización de la persona o personas afectadas.</w:t>
      </w:r>
    </w:p>
    <w:p w14:paraId="164EB286" w14:textId="77777777" w:rsidR="00A8138F" w:rsidRDefault="00A8138F" w:rsidP="00A8138F">
      <w:pPr>
        <w:pStyle w:val="TextoNormal"/>
      </w:pPr>
    </w:p>
    <w:p w14:paraId="07AD5C96" w14:textId="77777777" w:rsidR="00A8138F" w:rsidRDefault="00A8138F" w:rsidP="00A8138F">
      <w:pPr>
        <w:pStyle w:val="TextoNormal"/>
      </w:pPr>
      <w:r>
        <w:t xml:space="preserve">10. Partiendo de lo anterior, se considera que el art. 65 b) no es contrario a los preceptos que se acaban de transcribir. No puede serlo respecto del art. 4.2 de la Ley 39/2015, que se remite a un desarrollo legal, al que habrá que estar en cada caso. Pero tampoco respecto del </w:t>
      </w:r>
      <w:r>
        <w:lastRenderedPageBreak/>
        <w:t xml:space="preserve">art. 31.2 de la Ley 15/2022. La ponencia aprobada afirma que este precepto “reconoce </w:t>
      </w:r>
      <w:r w:rsidRPr="00A8138F">
        <w:rPr>
          <w:i/>
        </w:rPr>
        <w:t>ex lege</w:t>
      </w:r>
      <w:r>
        <w:t xml:space="preserve"> la condición de interesados de las asociaciones y agrupaciones a los que se refiere para todos los procedimientos administrativos, incluidos los sancionadores, relativos a situaciones de discriminación previstas en la propia ley”. No puedo estar más en desacuerdo. Como se ha expuesto, no puede haber una legitimación </w:t>
      </w:r>
      <w:r w:rsidRPr="00A8138F">
        <w:rPr>
          <w:i/>
        </w:rPr>
        <w:t>ex lege</w:t>
      </w:r>
      <w:r>
        <w:t xml:space="preserve"> desde el mismo momento en que la norma emplea una fórmula claramente potestativa (“podrán”). Por lo tanto, habrá que estar al caso concreto para valorar si existe o no un interés legítimo que justifique la condición de interesado en el procedimiento administrativo correspondiente (que es la regla general descrita en el art. 4.1 de la Ley 39/2015). Desde este punto de vista, una vez más, el precepto impugnado resulta perfectamente inocuo. La exclusión del procedimiento administrativo sancionador no confiere ni elimina legitimación alguna, porque esta legitimación habrá de ser apreciada o no en el caso concreto. Por lo demás, la interpretación de la ponencia sobre el concepto de interesado no solo aborda una cuestión de legalidad ordinaria para fundamentar la inconstitucionalidad del precepto, sino que pudiera entenderse como contraria a la línea expuesta reiteradamente por el Tribunal Supremo.</w:t>
      </w:r>
    </w:p>
    <w:p w14:paraId="5A7970B1" w14:textId="77777777" w:rsidR="00A8138F" w:rsidRDefault="00A8138F" w:rsidP="00A8138F">
      <w:pPr>
        <w:pStyle w:val="TextoNormal"/>
      </w:pPr>
    </w:p>
    <w:p w14:paraId="0BD6F307" w14:textId="77777777" w:rsidR="00A8138F" w:rsidRDefault="00A8138F" w:rsidP="00A8138F">
      <w:pPr>
        <w:pStyle w:val="TextoNormal"/>
      </w:pPr>
      <w:r>
        <w:t>11. En efecto, como se señala, entre otras muchas, en las SSTS 572/2020, de 28 de mayo, FJ 6, y 68/2019, de 17 de enero, FJ 2, con cita de otras anteriores, la condición de interesado está íntimamente ligada a la existencia de un interés legítimo, es decir, cuando la resolución que se dicte produzca de modo inmediato un efecto positivo (beneficio) o negativo (perjuicio) actual o futuro, pero objetivable, para lo que habrá que acudir a cada supuesto concreto. En el ámbito del derecho administrativo sancionador, y como regla general, se ha negado la legitimación para la imposición de una sanción. Es decir, no existe un derecho subjetivo a obtener una sanción ni puede reconocerse un interés legítimo a que prospere una denuncia, sino, en su caso, a que el órgano administrativo desarrolle una actividad de investigación y comprobación suficiente a fin de constatar si se ha producido una conducta irregular que deba ser objeto de sanción. También se ha reconocido legitimación cuando existe un concreto interés o incidencia de carácter patrimonial (por ejemplo, para el reconocimiento de daños o indemnizaciones, o para la obtención de medidas correctoras en defensa de la competencia), pero no cuando se invoca un mero interés o satisfacción moral. Por lo tanto, no existe, con carácter general, una legitimación automática para el procedimiento administrativo sancionador, ni siquiera cuando se tiene la condición de denunciante, sino un eventual interés legítimo a valorar en cada caso concreto. En consecuencia, la exclusión contenida en el art. 65 d) de la Ley 3/2016 resulta de nuevo, como ya se señaló, perfectamente inocua, porque esa exclusión permite afirmar que, en esta materia, rigen las reglas generales ya expuestas.</w:t>
      </w:r>
    </w:p>
    <w:p w14:paraId="448FB2CA" w14:textId="77777777" w:rsidR="00A8138F" w:rsidRDefault="00A8138F" w:rsidP="00A8138F">
      <w:pPr>
        <w:pStyle w:val="TextoNormal"/>
      </w:pPr>
    </w:p>
    <w:p w14:paraId="519800B1" w14:textId="57CAC699" w:rsidR="00A8138F" w:rsidRDefault="00A8138F" w:rsidP="00A8138F">
      <w:pPr>
        <w:pStyle w:val="TextoNormal"/>
      </w:pPr>
      <w:r>
        <w:t>Madrid, a nueve de abril de dos mil veinticinco.</w:t>
      </w:r>
    </w:p>
    <w:p w14:paraId="25822575" w14:textId="0CE3BA9F" w:rsidR="00A8138F" w:rsidRDefault="00A8138F">
      <w:pPr>
        <w:spacing w:after="160" w:line="278" w:lineRule="auto"/>
        <w:rPr>
          <w:rFonts w:ascii="Times New Roman" w:eastAsia="Times New Roman" w:hAnsi="Times New Roman" w:cs="Times New Roman"/>
          <w:sz w:val="24"/>
          <w:szCs w:val="24"/>
          <w:lang w:eastAsia="es-ES"/>
        </w:rPr>
      </w:pPr>
      <w:r>
        <w:br w:type="page"/>
      </w:r>
    </w:p>
    <w:p w14:paraId="24E5B968" w14:textId="77777777" w:rsidR="00A8138F" w:rsidRDefault="00A8138F" w:rsidP="00A8138F">
      <w:pPr>
        <w:pStyle w:val="TtuloResolucin"/>
      </w:pPr>
      <w:bookmarkStart w:id="99" w:name="SENTENCIA_2025_97"/>
      <w:r>
        <w:lastRenderedPageBreak/>
        <w:t>SENTENCIA 97/2025, de 28 de abril de 2025</w:t>
      </w:r>
    </w:p>
    <w:bookmarkEnd w:id="99"/>
    <w:p w14:paraId="38A3C300" w14:textId="77777777" w:rsidR="00A8138F" w:rsidRDefault="00A8138F" w:rsidP="00A8138F">
      <w:pPr>
        <w:pStyle w:val="TtuloResolucin"/>
      </w:pPr>
      <w:r>
        <w:t>Sala Primera</w:t>
      </w:r>
    </w:p>
    <w:p w14:paraId="5575145F" w14:textId="77777777" w:rsidR="00A8138F" w:rsidRDefault="00A8138F" w:rsidP="00A8138F">
      <w:pPr>
        <w:pStyle w:val="TtuloBOE"/>
      </w:pPr>
      <w:r>
        <w:t>(BOE núm. 135, de 5 de junio de 2025)</w:t>
      </w:r>
    </w:p>
    <w:p w14:paraId="2808E95A" w14:textId="77777777" w:rsidR="00A8138F" w:rsidRDefault="00A8138F" w:rsidP="00A8138F">
      <w:pPr>
        <w:pStyle w:val="TextoNormalCentrado"/>
      </w:pPr>
      <w:r>
        <w:t>ECLI:ES:TC:2025:97</w:t>
      </w:r>
    </w:p>
    <w:p w14:paraId="6D8FC43F" w14:textId="3F6886D2" w:rsidR="00A8138F" w:rsidRDefault="00A8138F" w:rsidP="00A8138F">
      <w:pPr>
        <w:pStyle w:val="TextoNormalCentrado"/>
      </w:pPr>
    </w:p>
    <w:p w14:paraId="273ADE03" w14:textId="77777777" w:rsidR="00A8138F" w:rsidRDefault="00A8138F" w:rsidP="00A8138F">
      <w:pPr>
        <w:pStyle w:val="SntesisDescriptiva"/>
      </w:pPr>
      <w:r>
        <w:t>Recurso de amparo 7905-2021. Promovido por el Grupo Mixto del Parlamento Vasco y por doña Amaia Martínez Grisaleña, miembro de la citada Cámara, respecto de los acuerdos de la mesa y la junta de portavoces relativos al régimen de ejercicio de sus funciones parlamentarias.</w:t>
      </w:r>
    </w:p>
    <w:p w14:paraId="3C5DD056" w14:textId="1C9BFCB8" w:rsidR="00A8138F" w:rsidRDefault="00A8138F" w:rsidP="00A8138F">
      <w:pPr>
        <w:pStyle w:val="SntesisDescriptiva"/>
      </w:pPr>
    </w:p>
    <w:p w14:paraId="413DDBE1" w14:textId="77777777" w:rsidR="00A8138F" w:rsidRDefault="00A8138F" w:rsidP="00A8138F">
      <w:pPr>
        <w:pStyle w:val="SntesisAnaltica"/>
      </w:pPr>
      <w:r>
        <w:t>Vulneración del derecho de participación política: nulidad, por falta de justificación sobrevenida (STC 38/2022) del número de iniciativas que podía promover el grupo parlamentario; competencia de la junta de portavoces para la fijación del orden del día de las sesiones plenarias, no susceptible de revisión por la mesa de la Cámara.</w:t>
      </w:r>
    </w:p>
    <w:p w14:paraId="7F3C3F34" w14:textId="68B34A7F" w:rsidR="00A8138F" w:rsidRDefault="00A8138F" w:rsidP="00A8138F">
      <w:pPr>
        <w:pStyle w:val="SntesisAnaltica"/>
      </w:pPr>
    </w:p>
    <w:p w14:paraId="6C474282" w14:textId="21D3BD02" w:rsidR="00A8138F" w:rsidRDefault="00A8138F" w:rsidP="00A8138F">
      <w:pPr>
        <w:pStyle w:val="Extracto"/>
      </w:pPr>
      <w:r>
        <w:t>1.</w:t>
      </w:r>
      <w:r>
        <w:tab/>
        <w:t>La no inclusión de los puntos del orden del día necesarios para la sustanciación de las iniciativas parlamentarias de control e impulso de la acción del gobierno que hayan sido debidamente tramitadas por los diputados y por los grupos parlamentarios, podría imposibilitar el efectivo ejercicio de derechos o facultades de los diputados que pertenecen al núcleo de su función representativa protegida por el art. 23.2 CE (STC 173/2020) [FJ 3].</w:t>
      </w:r>
    </w:p>
    <w:p w14:paraId="4530B80D" w14:textId="77777777" w:rsidR="00A8138F" w:rsidRDefault="00A8138F" w:rsidP="00A8138F">
      <w:pPr>
        <w:pStyle w:val="Extracto"/>
      </w:pPr>
    </w:p>
    <w:p w14:paraId="320BBAB4" w14:textId="4C4329CB" w:rsidR="00A8138F" w:rsidRDefault="00A8138F" w:rsidP="00A8138F">
      <w:pPr>
        <w:pStyle w:val="Extracto"/>
      </w:pPr>
      <w:r>
        <w:t>2.</w:t>
      </w:r>
      <w:r>
        <w:tab/>
        <w:t>Se impone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de vulnerar el derecho fundamental del representante de los ciudadanos a ejercer su cargo (art. 23.2 CE), sino también de infringir el de estos a participar en los asuntos públicos ex art. 23.1 CE (SSTC 23/2015 o 47/2018) [FJ 3].</w:t>
      </w:r>
    </w:p>
    <w:p w14:paraId="76300A99" w14:textId="77777777" w:rsidR="00A8138F" w:rsidRDefault="00A8138F" w:rsidP="00A8138F">
      <w:pPr>
        <w:pStyle w:val="Extracto"/>
      </w:pPr>
    </w:p>
    <w:p w14:paraId="0252684B" w14:textId="2E77C7A2" w:rsidR="00A8138F" w:rsidRDefault="00A8138F" w:rsidP="00A8138F">
      <w:pPr>
        <w:pStyle w:val="Extracto"/>
      </w:pPr>
      <w:r>
        <w:t>3.</w:t>
      </w:r>
      <w:r>
        <w:tab/>
        <w:t>No es conforme a la Constitución que un Parlamento limite el número de iniciativas de un grupo parlamentario, cuando sí pueda presentarlas válidamente en virtud de acuerdos de la propia mesa parlamentaria [FJ 3].</w:t>
      </w:r>
    </w:p>
    <w:p w14:paraId="5CF8925F" w14:textId="77777777" w:rsidR="00A8138F" w:rsidRDefault="00A8138F" w:rsidP="00A8138F">
      <w:pPr>
        <w:pStyle w:val="Extracto"/>
      </w:pPr>
    </w:p>
    <w:p w14:paraId="6C7CF398" w14:textId="77777777" w:rsidR="00A8138F" w:rsidRDefault="00A8138F" w:rsidP="00A8138F">
      <w:pPr>
        <w:pStyle w:val="Extracto"/>
      </w:pPr>
    </w:p>
    <w:p w14:paraId="03A270C1"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7FBB0754" w14:textId="549C1A1B" w:rsidR="00A8138F" w:rsidRDefault="00A8138F" w:rsidP="00A8138F">
      <w:pPr>
        <w:pStyle w:val="TextoNormal"/>
      </w:pPr>
    </w:p>
    <w:p w14:paraId="3D90553E" w14:textId="77777777" w:rsidR="00A8138F" w:rsidRDefault="00A8138F" w:rsidP="00A8138F">
      <w:pPr>
        <w:pStyle w:val="TextoNormalCentrado"/>
        <w:keepNext/>
      </w:pPr>
      <w:r>
        <w:t>EN NOMBRE DEL REY</w:t>
      </w:r>
    </w:p>
    <w:p w14:paraId="6D5B7BE8" w14:textId="69AD6F36" w:rsidR="00A8138F" w:rsidRDefault="00A8138F" w:rsidP="00A8138F">
      <w:pPr>
        <w:pStyle w:val="TextoNormalCentrado"/>
        <w:keepNext/>
      </w:pPr>
    </w:p>
    <w:p w14:paraId="088C5540" w14:textId="77777777" w:rsidR="00A8138F" w:rsidRDefault="00A8138F" w:rsidP="00A8138F">
      <w:pPr>
        <w:pStyle w:val="TextoNormalCentrado"/>
        <w:keepNext/>
      </w:pPr>
    </w:p>
    <w:p w14:paraId="050B7081" w14:textId="77777777" w:rsidR="00A8138F" w:rsidRDefault="00A8138F" w:rsidP="00A8138F">
      <w:pPr>
        <w:pStyle w:val="TextoNormal"/>
      </w:pPr>
      <w:r>
        <w:t>la siguiente</w:t>
      </w:r>
    </w:p>
    <w:p w14:paraId="6579EA6B" w14:textId="1122F486" w:rsidR="00A8138F" w:rsidRDefault="00A8138F" w:rsidP="00A8138F">
      <w:pPr>
        <w:pStyle w:val="TextoNormal"/>
      </w:pPr>
    </w:p>
    <w:p w14:paraId="654CA11C" w14:textId="77777777" w:rsidR="00A8138F" w:rsidRDefault="00A8138F" w:rsidP="00A8138F">
      <w:pPr>
        <w:pStyle w:val="TextoNormalCentrado"/>
        <w:keepNext/>
      </w:pPr>
      <w:r>
        <w:lastRenderedPageBreak/>
        <w:t>SENTENCIA</w:t>
      </w:r>
    </w:p>
    <w:p w14:paraId="309C7EC2" w14:textId="7EB79E9B" w:rsidR="00A8138F" w:rsidRDefault="00A8138F" w:rsidP="00A8138F">
      <w:pPr>
        <w:pStyle w:val="TextoNormalCentrado"/>
        <w:keepNext/>
      </w:pPr>
    </w:p>
    <w:p w14:paraId="513F1672" w14:textId="77777777" w:rsidR="00A8138F" w:rsidRDefault="00A8138F" w:rsidP="00A8138F">
      <w:pPr>
        <w:pStyle w:val="TextoNormal"/>
      </w:pPr>
      <w:r>
        <w:t>En el recurso de amparo núm.7905-2021, promovido por el Grupo Mixto del Parlamento Vasco y por doña Amaia Martínez Grisaleña, miembro de la citada Cámara, contra el acuerdo de la junta de portavoces del Parlamento Vasco celebrada el 14 de septiembre de 2021, en cuyo apartado 3 se fija el orden del día de la sesión plenaria de 23 de septiembre de 2021; contra el acuerdo de la misma junta de portavoces de 21 de septiembre de 2021, en cuyo apartado 1 se rechaza la reconsideración del acuerdo de 14 de septiembre de 2021; y contra el acuerdo de 21 de septiembre de 2021 de la mesa en el que se considera incompetente para resolver sobre la decisión de otro órgano parlamentario. Ha sido parte el Parlamento Vasco. Ha intervenido el Ministerio Fiscal. Ha sido ponente el presidente, don Cándido Conde-Pumpido Tourón.</w:t>
      </w:r>
    </w:p>
    <w:p w14:paraId="7AAB19CC" w14:textId="71728401" w:rsidR="00A8138F" w:rsidRDefault="00A8138F" w:rsidP="00A8138F">
      <w:pPr>
        <w:pStyle w:val="TextoNormal"/>
      </w:pPr>
    </w:p>
    <w:p w14:paraId="4F0AC851" w14:textId="77777777" w:rsidR="00A8138F" w:rsidRDefault="00A8138F" w:rsidP="00A8138F">
      <w:pPr>
        <w:pStyle w:val="TextoNormalNegritaCentrado"/>
        <w:keepNext/>
      </w:pPr>
      <w:r>
        <w:t>I. Antecedentes</w:t>
      </w:r>
    </w:p>
    <w:p w14:paraId="1EA0D087" w14:textId="1A6C7D2C" w:rsidR="00A8138F" w:rsidRDefault="00A8138F" w:rsidP="00A8138F">
      <w:pPr>
        <w:pStyle w:val="TextoNormalNegritaCentrado"/>
        <w:keepNext/>
      </w:pPr>
    </w:p>
    <w:p w14:paraId="2CF1CD8F" w14:textId="029ED948" w:rsidR="00A8138F" w:rsidRDefault="00A8138F" w:rsidP="00A8138F">
      <w:pPr>
        <w:pStyle w:val="TextoNormal"/>
      </w:pPr>
      <w:r w:rsidRPr="00A8138F">
        <w:rPr>
          <w:rStyle w:val="NumeroAFNegritaCaracter"/>
        </w:rPr>
        <w:t>1</w:t>
      </w:r>
      <w:r>
        <w:t>. Mediante escrito que tuvo entrada en el registro de este tribunal el día 13 de diciembre de 2021, el procurador de los tribunales don Antonio Ortega Fuentes, en nombre y representación del Grupo Mixto del Parlamento Vasco y de doña Amaia Martínez Grisaleña, miembro de la citada Cámara, asistidos por la letrada doña Marta Castro Fuertes, interpusieron recurso de amparo contra el acuerdo de la junta de portavoces del Parlamento Vasco celebrada 14 de septiembre de 2021, en cuyo apartado 3 se fija el orden del día de la sesión plenaria de 23 de septiembre de 2021; contra el acuerdo de la misma junta de portavoces de 21 de septiembre de 2021, en cuyo apartado 1 se rechaza la reconsideración del acuerdo de 14 de septiembre de 2021; y contra el acuerdo de 21 de septiembre de 2021 de la mesa en el que se considera incompetente para resolver sobre la decisión de otro órgano parlamentario.</w:t>
      </w:r>
    </w:p>
    <w:p w14:paraId="2C765387" w14:textId="77777777" w:rsidR="00A8138F" w:rsidRDefault="00A8138F" w:rsidP="00A8138F">
      <w:pPr>
        <w:pStyle w:val="TextoNormal"/>
      </w:pPr>
    </w:p>
    <w:p w14:paraId="0A27EC62" w14:textId="77777777" w:rsidR="00A8138F" w:rsidRDefault="00A8138F" w:rsidP="00A8138F">
      <w:pPr>
        <w:pStyle w:val="TextoNormal"/>
      </w:pPr>
      <w:r w:rsidRPr="00A8138F">
        <w:rPr>
          <w:rStyle w:val="NumeroAFNegritaCaracter"/>
        </w:rPr>
        <w:t>2</w:t>
      </w:r>
      <w:r>
        <w:t>. Los hechos relevantes para la resolución del presente recurso son los siguientes:</w:t>
      </w:r>
    </w:p>
    <w:p w14:paraId="095D8A0E" w14:textId="77777777" w:rsidR="00A8138F" w:rsidRDefault="00A8138F" w:rsidP="00A8138F">
      <w:pPr>
        <w:pStyle w:val="TextoNormal"/>
      </w:pPr>
    </w:p>
    <w:p w14:paraId="2B68B986" w14:textId="77777777" w:rsidR="00A8138F" w:rsidRDefault="00A8138F" w:rsidP="00A8138F">
      <w:pPr>
        <w:pStyle w:val="TextoNormal"/>
      </w:pPr>
      <w:r>
        <w:t>a) En las elecciones al Parlamento Vasco celebradas el día 12 de julio de 2020, la candidatura del partido político Vox obtuvo un acta de diputado que correspondió a doña Amaia Martínez Grisaleña, lo que determinó que, una vez constituida la Cámara, la referida diputada quedara integrada en el Grupo Parlamentario Mixto al no alcanzar su formación política la cifra mínima de tres diputados para constituir un grupo parlamentario propio, de conformidad con lo dispuesto en el art. 24.1 del Reglamento del Parlamento Vasco (en adelante, RPV).</w:t>
      </w:r>
    </w:p>
    <w:p w14:paraId="42F7DC7E" w14:textId="77777777" w:rsidR="00A8138F" w:rsidRDefault="00A8138F" w:rsidP="00A8138F">
      <w:pPr>
        <w:pStyle w:val="TextoNormal"/>
      </w:pPr>
    </w:p>
    <w:p w14:paraId="3EF13EB1" w14:textId="77777777" w:rsidR="00A8138F" w:rsidRDefault="00A8138F" w:rsidP="00A8138F">
      <w:pPr>
        <w:pStyle w:val="TextoNormal"/>
      </w:pPr>
      <w:r>
        <w:t>b) En sesión celebrada el día 13 de agosto de 2020, la mesa del Parlamento acordó: (i) no acceder a la propuesta presentada por la diputada de Vox, ahora demandante de amparo, de cambio de denominación del “Grupo Parlamentario Mixto” por el de “Grupo Parlamentario Vox” o “Grupo Parlamentario Mixto-Vox” (acuerdo 2020-2075); (ii) aprobó la propuesta de otros grupos de la Cámara por el que se establecen los órdenes del día y los tiempos de debate en las sesiones plenarias (acuerdo 2020-2094), de tal manera que al Grupo Mixto le correspondería la posibilidad de incluir una iniciativa (proposiciones de ley o no de ley, mociones consecuencia de interpelación) cada tres plenos ordinarios, así como se limita el tiempo de intervención en los debates a un tercio del previsto para el resto de grupos, pudiendo, finalmente, incluir una interpelación y cuatro preguntas orales cada tres ple</w:t>
      </w:r>
      <w:r>
        <w:lastRenderedPageBreak/>
        <w:t>nos de control al gobierno; y (iii) poner a disposición del Grupo Mixto un asistente (personal técnico-administrativo) para el desarrollo de sus funciones parlamentarias (acuerdo 2020-2093).</w:t>
      </w:r>
    </w:p>
    <w:p w14:paraId="18234C83" w14:textId="77777777" w:rsidR="00A8138F" w:rsidRDefault="00A8138F" w:rsidP="00A8138F">
      <w:pPr>
        <w:pStyle w:val="TextoNormal"/>
      </w:pPr>
    </w:p>
    <w:p w14:paraId="1ED433F3" w14:textId="77777777" w:rsidR="00A8138F" w:rsidRDefault="00A8138F" w:rsidP="00A8138F">
      <w:pPr>
        <w:pStyle w:val="TextoNormal"/>
      </w:pPr>
      <w:r>
        <w:t>c) La junta de portavoces, mediante acuerdo de 14 de septiembre de 2021, aprobó el orden del día del Pleno de 23 de septiembre de 2021.</w:t>
      </w:r>
    </w:p>
    <w:p w14:paraId="368E985E" w14:textId="77777777" w:rsidR="00A8138F" w:rsidRDefault="00A8138F" w:rsidP="00A8138F">
      <w:pPr>
        <w:pStyle w:val="TextoNormal"/>
      </w:pPr>
    </w:p>
    <w:p w14:paraId="7836138A" w14:textId="77777777" w:rsidR="00A8138F" w:rsidRDefault="00A8138F" w:rsidP="00A8138F">
      <w:pPr>
        <w:pStyle w:val="TextoNormal"/>
      </w:pPr>
      <w:r>
        <w:t>d) Por escrito de 17 de septiembre de 2021, doña Amaia Martínez Grisaleña, en cuanto diputada electa por la formación política Vox e integrada en el Grupo Mixto de la Cámara vasca, solicitó la reconsideración de aquel acuerdo —en el que no se había incluido en el orden del día del Pleno de 23 de septiembre de 2021 la proposición no de ley formulada por el Grupo Mixto sobre la situación de los contenidos en el currículo de la educación secundaria obligatoria—, con fundamento en que únicamente tienen la consideración reglamentaria de iniciativas “las proposiciones de ley, las proposiciones no de ley y las mociones; y que las enmiendas de totalidad presentadas a los proyectos de ley no deben ser consideradas iniciativas de un grupo parlamentario”.</w:t>
      </w:r>
    </w:p>
    <w:p w14:paraId="71721850" w14:textId="77777777" w:rsidR="00A8138F" w:rsidRDefault="00A8138F" w:rsidP="00A8138F">
      <w:pPr>
        <w:pStyle w:val="TextoNormal"/>
      </w:pPr>
    </w:p>
    <w:p w14:paraId="72848EFF" w14:textId="77777777" w:rsidR="00A8138F" w:rsidRDefault="00A8138F" w:rsidP="00A8138F">
      <w:pPr>
        <w:pStyle w:val="TextoNormal"/>
      </w:pPr>
      <w:r>
        <w:t>e) La mesa del Parlamento Vasco, por acuerdo de 21 de septiembre de 2021, se declara incompetente para resolver la reconsideración sobre una decisión de otro órgano parlamentario y recuerda que “la mesa, en su acuerdo de 13 de agosto, aprobó la propuesta de ordenación de los órdenes del día y de los tiempos de debate en las sesiones plenarias. De acuerdo con la interpretación que ha realizado la junta de portavoces de este acuerdo, se han conformado los órdenes del día de los plenos atendiendo al principio de equidad y considerando de manera idéntica, para todos los grupos parlamentarios, que las enmiendas a la totalidad presentadas a los proyectos de ley constituyen una iniciativa del grupo parlamentario enmendante. Por lo tanto, la enmienda de totalidad debe ser contabilizada a la hora de establecer el cupo de iniciativas que corresponde a cada uno de los grupos parlamentarios, ya que la presentación de una enmienda supone la inclusión de un nuevo debate en la sesión plenaria”.</w:t>
      </w:r>
    </w:p>
    <w:p w14:paraId="4E67B4DA" w14:textId="77777777" w:rsidR="00A8138F" w:rsidRDefault="00A8138F" w:rsidP="00A8138F">
      <w:pPr>
        <w:pStyle w:val="TextoNormal"/>
      </w:pPr>
    </w:p>
    <w:p w14:paraId="41FEC4B3" w14:textId="77777777" w:rsidR="00A8138F" w:rsidRDefault="00A8138F" w:rsidP="00A8138F">
      <w:pPr>
        <w:pStyle w:val="TextoNormal"/>
      </w:pPr>
      <w:r>
        <w:t>f) La junta de portavoces por acuerdo de 21 de septiembre de 2021 rechaza la solicitud de reconsideración al considerar que las enmiendas a la totalidad presentadas a los proyectos de ley deben ser contabilizadas como una iniciativa del grupo parlamentario enmendante.</w:t>
      </w:r>
    </w:p>
    <w:p w14:paraId="000C5420" w14:textId="77777777" w:rsidR="00A8138F" w:rsidRDefault="00A8138F" w:rsidP="00A8138F">
      <w:pPr>
        <w:pStyle w:val="TextoNormal"/>
      </w:pPr>
    </w:p>
    <w:p w14:paraId="0B543896" w14:textId="767F90EC" w:rsidR="00A8138F" w:rsidRDefault="00A8138F" w:rsidP="00A8138F">
      <w:pPr>
        <w:pStyle w:val="TextoNormal"/>
      </w:pPr>
      <w:r>
        <w:t>g) Contra los referidos acuerdos de la junta de portavoces la parte recurrente en amparo interpuso, inicialmente, recurso contencioso-administrativo para la protección jurisdiccional de los derechos fundamentales ante la Sala de lo Contencioso-Administrativo del Tribunal Superior de Justicia del País Vasco, que fue inadmitido por falta de jurisdicción, por auto 104/2021, de 2 de noviembre (ECLI:ES:TSJPV:2021:439A), con fundamento en que contra los acuerdos impugnados solo cabía recurso de amparo ante el Tribunal Constitucional. Recurrido este auto en reposición, fue confirmado por auto de 1 de diciembre de 2021.</w:t>
      </w:r>
    </w:p>
    <w:p w14:paraId="4F95D2B1" w14:textId="77777777" w:rsidR="00A8138F" w:rsidRDefault="00A8138F" w:rsidP="00A8138F">
      <w:pPr>
        <w:pStyle w:val="TextoNormal"/>
      </w:pPr>
    </w:p>
    <w:p w14:paraId="168A800D" w14:textId="77777777" w:rsidR="00A8138F" w:rsidRDefault="00A8138F" w:rsidP="00A8138F">
      <w:pPr>
        <w:pStyle w:val="TextoNormal"/>
      </w:pPr>
      <w:r w:rsidRPr="00A8138F">
        <w:rPr>
          <w:rStyle w:val="NumeroAFNegritaCaracter"/>
        </w:rPr>
        <w:t>3</w:t>
      </w:r>
      <w:r>
        <w:t xml:space="preserve">. Interpuesto recurso de amparo el mismo identifica como impugnados el acuerdo de la junta de portavoces del Parlamento Vasco celebrada el 14 de septiembre de 2021, en cuyo apartado 3 se fija el orden del día de la sesión plenaria del 23 de septiembre de 2021; el acuerdo de la misma junta de portavoces de 21 de septiembre de 2021, en cuyo apartado 1 se rechaza la reconsideración del acuerdo de 14 de septiembre de 2021; y el acuerdo de 21 de septiembre de 2021 de la mesa del Parlamento Vasco en el que se considera incompetente </w:t>
      </w:r>
      <w:r>
        <w:lastRenderedPageBreak/>
        <w:t>para resolver sobre la decisión de otro órgano parlamentario. Después de hacer una descripción de los antecedentes, la impugnación queda asentada sobre la alegada vulneración del derecho de participación política reconocido en el art. 23 CE.</w:t>
      </w:r>
    </w:p>
    <w:p w14:paraId="13095902" w14:textId="77777777" w:rsidR="00A8138F" w:rsidRDefault="00A8138F" w:rsidP="00A8138F">
      <w:pPr>
        <w:pStyle w:val="TextoNormal"/>
      </w:pPr>
    </w:p>
    <w:p w14:paraId="7E1A0093" w14:textId="77777777" w:rsidR="00A8138F" w:rsidRDefault="00A8138F" w:rsidP="00A8138F">
      <w:pPr>
        <w:pStyle w:val="TextoNormal"/>
      </w:pPr>
      <w:r>
        <w:t>a) Comienza la demanda de amparo haciendo una exposición de la doctrina de este tribunal sobre el derecho fundamental del art. 23 CE y, en concreto, sobre el derecho de participación política de los parlamentarios autonómicos en cuanto representantes de los ciudadanos (art. 23.2 CE), con cita, entre otras, de la STC 199/2016, de 28 de noviembre, FJ 3.</w:t>
      </w:r>
    </w:p>
    <w:p w14:paraId="5FB8E6D0" w14:textId="77777777" w:rsidR="00A8138F" w:rsidRDefault="00A8138F" w:rsidP="00A8138F">
      <w:pPr>
        <w:pStyle w:val="TextoNormal"/>
      </w:pPr>
    </w:p>
    <w:p w14:paraId="3B780A5E" w14:textId="77777777" w:rsidR="00A8138F" w:rsidRDefault="00A8138F" w:rsidP="00A8138F">
      <w:pPr>
        <w:pStyle w:val="TextoNormal"/>
      </w:pPr>
      <w:r>
        <w:t>Seguidamente, se refiere la demanda de amparo a la doctrina de este tribunal sobre el respeto a las minorías en un régimen de democracia parlamentaria, con mención de la STC 115/2019, de 16 de octubre, FJ 3.</w:t>
      </w:r>
    </w:p>
    <w:p w14:paraId="373789B1" w14:textId="77777777" w:rsidR="00A8138F" w:rsidRDefault="00A8138F" w:rsidP="00A8138F">
      <w:pPr>
        <w:pStyle w:val="TextoNormal"/>
      </w:pPr>
    </w:p>
    <w:p w14:paraId="2EA2EAC9" w14:textId="77777777" w:rsidR="00A8138F" w:rsidRDefault="00A8138F" w:rsidP="00A8138F">
      <w:pPr>
        <w:pStyle w:val="TextoNormal"/>
      </w:pPr>
      <w:r>
        <w:t>Y finaliza la demanda con la referencia al “valor de los usos parlamentarios” señalando, al respecto, que la STC 124/2018, de 14 de noviembre, FJ 2 B), ha recordado que los citados usos parlamentarios “han constituido tradicionalmente, y siguen constituyendo, un importante instrumento normativo dentro del ámbito de organización y funcionamiento de las cámaras”.</w:t>
      </w:r>
    </w:p>
    <w:p w14:paraId="5611B269" w14:textId="77777777" w:rsidR="00A8138F" w:rsidRDefault="00A8138F" w:rsidP="00A8138F">
      <w:pPr>
        <w:pStyle w:val="TextoNormal"/>
      </w:pPr>
    </w:p>
    <w:p w14:paraId="26D630E8" w14:textId="77777777" w:rsidR="00A8138F" w:rsidRDefault="00A8138F" w:rsidP="00A8138F">
      <w:pPr>
        <w:pStyle w:val="TextoNormal"/>
      </w:pPr>
      <w:r>
        <w:t>b) A continuación, bajo la rúbrica “Aplicación al caso”, la demanda de amparo señala, a modo de introducción de sus impugnaciones, que “los acuerdos impugnados se enmarcan en una estrategia de la mayoría en el Parlamento Vasco para crear un ‘cordón sanitario’ en torno al partido político Vox, negándole el derecho fundamental de participación política y, de paso, privando de ese mismo derecho a los ciudadanos” que le votaron.</w:t>
      </w:r>
    </w:p>
    <w:p w14:paraId="79D2AAEF" w14:textId="77777777" w:rsidR="00A8138F" w:rsidRDefault="00A8138F" w:rsidP="00A8138F">
      <w:pPr>
        <w:pStyle w:val="TextoNormal"/>
      </w:pPr>
    </w:p>
    <w:p w14:paraId="3C5125D8" w14:textId="77777777" w:rsidR="00A8138F" w:rsidRDefault="00A8138F" w:rsidP="00A8138F">
      <w:pPr>
        <w:pStyle w:val="TextoNormal"/>
      </w:pPr>
      <w:r>
        <w:t>Como quiera que los acuerdos ahora impugnados pretenden ser ejecución de los acuerdos adoptados por la mesa del Parlamento Vasco el 13 de agosto de 2020, y que han sido objeto del recurso de amparo 4885-2020, divide la demanda en dos apartados, en el primero hace traslación de los argumentos por los que impugnaba los referidos acuerdos de 13 de agosto de 2020 a los aquí recurridos; y en el segundo recoge los específicos motivos de inconstitucionalidad referidos a los acuerdos de la junta de portavoces y de la mesa de septiembre de 2021 que son objeto de este proceso de amparo.</w:t>
      </w:r>
    </w:p>
    <w:p w14:paraId="0F057713" w14:textId="77777777" w:rsidR="00A8138F" w:rsidRDefault="00A8138F" w:rsidP="00A8138F">
      <w:pPr>
        <w:pStyle w:val="TextoNormal"/>
      </w:pPr>
    </w:p>
    <w:p w14:paraId="654C1D28" w14:textId="77777777" w:rsidR="00A8138F" w:rsidRDefault="00A8138F" w:rsidP="00A8138F">
      <w:pPr>
        <w:pStyle w:val="TextoNormal"/>
      </w:pPr>
      <w:r>
        <w:t>Puesto que los acuerdos impugnados en el presente recurso de amparo son ejecución del acuerdo de la mesa de 13 de agosto de 2020 en el que mientras a todos los grupos se les reconoce la facultad de incluir hasta dos iniciativas en el orden del día de cada pleno, al Grupo Mixto solo se le permite una iniciativa cada tres plenos ordinarios (seis veces menos iniciativas que al resto de grupos), le serían aplicables a los acuerdos recurridos de septiembre de 2021 los motivos de inconstitucionalidad predicables de aquel acuerdo de 13 de agosto de 2020.</w:t>
      </w:r>
    </w:p>
    <w:p w14:paraId="1D2EC8A8" w14:textId="77777777" w:rsidR="00A8138F" w:rsidRDefault="00A8138F" w:rsidP="00A8138F">
      <w:pPr>
        <w:pStyle w:val="TextoNormal"/>
      </w:pPr>
    </w:p>
    <w:p w14:paraId="43ECA5F9" w14:textId="77777777" w:rsidR="00A8138F" w:rsidRDefault="00A8138F" w:rsidP="00A8138F">
      <w:pPr>
        <w:pStyle w:val="TextoNormal"/>
      </w:pPr>
      <w:r>
        <w:t>c) En relación con el referido acuerdo por el que se establecieron los órdenes del día y los tiempos de debate en las sesiones plenarias (acuerdo 2020-2094), el recurso centra su argumentación en el texto del art. 25.1 RPV que prescribe que “la participación del Grupo Mixto en las actividades del Parlamento será idéntica a la de los restantes grupos”, para defender que el acuerdo adoptado por la mesa del Parlamento vulnera de forma directa y frontal el Reglamento del Parlamento Vasco.</w:t>
      </w:r>
    </w:p>
    <w:p w14:paraId="1570D5AC" w14:textId="77777777" w:rsidR="00A8138F" w:rsidRDefault="00A8138F" w:rsidP="00A8138F">
      <w:pPr>
        <w:pStyle w:val="TextoNormal"/>
      </w:pPr>
    </w:p>
    <w:p w14:paraId="03D492CC" w14:textId="77777777" w:rsidR="00A8138F" w:rsidRDefault="00A8138F" w:rsidP="00A8138F">
      <w:pPr>
        <w:pStyle w:val="TextoNormal"/>
      </w:pPr>
      <w:r>
        <w:t>El escrito continúa destacando que los arts. 24.1 y 25 RPV establecen, respectivamente, una regla para la constitución de los grupos parlamentarios y otra para el funcionamiento de estos, una vez constituidos. Y, a continuación, reitera que el texto del último de los preceptos citados prevé una participación en las actividades parlamentarias “idéntica” para todos los grupos, incluido el mixto, ya lo sea por uno o por dos diputados de un solo partido o por más diputados de varias formaciones, en garantía de los derechos de las minorías.</w:t>
      </w:r>
    </w:p>
    <w:p w14:paraId="441232F3" w14:textId="77777777" w:rsidR="00A8138F" w:rsidRDefault="00A8138F" w:rsidP="00A8138F">
      <w:pPr>
        <w:pStyle w:val="TextoNormal"/>
      </w:pPr>
    </w:p>
    <w:p w14:paraId="04A19602" w14:textId="77777777" w:rsidR="00A8138F" w:rsidRDefault="00A8138F" w:rsidP="00A8138F">
      <w:pPr>
        <w:pStyle w:val="TextoNormal"/>
      </w:pPr>
      <w:r>
        <w:t>En lo que respecta a la posibilidad de realizar intervenciones en el Parlamento, la demanda destaca que, a diferencia de lo que dispone el art. 25.1 RPV, los acuerdos impugnados hacen una interpretación del término “idéntica” en el sentido de que aquella sea proporcional a la representación de los diputados que integren el Grupo Mixto de la Cámara, pero, en el parecer de la parte recurrente, ni siquiera esta proporcionalidad se cumple, toda vez que “si bien los [grupos parlamentarios] pueden incluir hasta dos iniciativas [en] cada Pleno, el GP Mixto solo puede presentar una iniciativa cada tres plenos; lo que supone que el GP Mixto puede incluir seis veces menos iniciativas cada tres plenos que el resto de [grupos parlamentarios]”.</w:t>
      </w:r>
    </w:p>
    <w:p w14:paraId="34ACAB19" w14:textId="77777777" w:rsidR="00A8138F" w:rsidRDefault="00A8138F" w:rsidP="00A8138F">
      <w:pPr>
        <w:pStyle w:val="TextoNormal"/>
      </w:pPr>
    </w:p>
    <w:p w14:paraId="6E781121" w14:textId="77777777" w:rsidR="00A8138F" w:rsidRDefault="00A8138F" w:rsidP="00A8138F">
      <w:pPr>
        <w:pStyle w:val="TextoNormal"/>
      </w:pPr>
      <w:r>
        <w:t>En definitiva, según refiere la demanda de amparo, los acuerdos impugnados “manifiestamente innovan o contradicen lo dispuesto con toda claridad en el reglamento parlamentario, en una previsión parlamentaria establecida precisamente en defensa de las minorías, para garantizarles una voz en el Parlamento equivalente a la del resto de grupos parlamentarios”. Esta norma ha sido respetada durante las precedentes legislaturas y ha sido en la presente cuando “por primera vez y con la única finalidad de impedir el ejercicio del derecho fundamental de participación a mi representada y a todos los votantes que le otorgaron su confianza, cuando se conculca frontalmente el reglamento parlamentario”.</w:t>
      </w:r>
    </w:p>
    <w:p w14:paraId="257AC49F" w14:textId="77777777" w:rsidR="00A8138F" w:rsidRDefault="00A8138F" w:rsidP="00A8138F">
      <w:pPr>
        <w:pStyle w:val="TextoNormal"/>
      </w:pPr>
    </w:p>
    <w:p w14:paraId="6DFA357C" w14:textId="77777777" w:rsidR="00A8138F" w:rsidRDefault="00A8138F" w:rsidP="00A8138F">
      <w:pPr>
        <w:pStyle w:val="TextoNormal"/>
      </w:pPr>
      <w:r>
        <w:t xml:space="preserve">Señala la demanda que la presentación de iniciativas en los plenos forma parte de la esencial función parlamentaria de control al Ejecutivo y, por tanto, la restricción de las intervenciones en tales plenos incide directamente en el núcleo del </w:t>
      </w:r>
      <w:r w:rsidRPr="00A8138F">
        <w:rPr>
          <w:i/>
        </w:rPr>
        <w:t>ius in officium</w:t>
      </w:r>
      <w:r>
        <w:t>. Lo mismo ocurre con la facultad de presentar iniciativas en las sesiones plenarias, que pueden tener la finalidad de controlar la acción del Ejecutivo, presentar proposiciones de ley o no de ley o impulsar otras actuaciones que integran, sin duda, el núcleo de la función representativa.</w:t>
      </w:r>
    </w:p>
    <w:p w14:paraId="4273304F" w14:textId="77777777" w:rsidR="00A8138F" w:rsidRDefault="00A8138F" w:rsidP="00A8138F">
      <w:pPr>
        <w:pStyle w:val="TextoNormal"/>
      </w:pPr>
    </w:p>
    <w:p w14:paraId="6EEEF831" w14:textId="77777777" w:rsidR="00A8138F" w:rsidRDefault="00A8138F" w:rsidP="00A8138F">
      <w:pPr>
        <w:pStyle w:val="TextoNormal"/>
      </w:pPr>
      <w:r>
        <w:t>Para la demanda de amparo los acuerdos de la junta de portavoces y de la mesa aquí impugnados rechazan la inclusión en el orden del día plenario de una proposición no de ley del Grupo Parlamentario Mixto por aplicación de los referidos acuerdos de 13 de agosto de 2020, que, en franca contradicción con el Reglamento del Parlamento Vasco, restringen a una las iniciativas que puede presentar el Grupo Parlamentario Mixto cada tres sesiones plenarias. Señala la demanda de amparo que la justificación de la no inclusión de la proposición no de ley formulada por el Grupo Mixto sobre la situación de los contenidos en el currículo de la educación secundaria obligatoria en el pleno de 23 de septiembre de 2021 se fundaría en que, según los acuerdos de 13 de agosto de 2020 objeto del recurso de amparo 4885-2020, ese grupo parlamentario solo podría incluir una iniciativa cada tres plenos ordinarios, y habiendo ya presentado una enmienda a la totalidad al proyecto de ley del sector público vasco no era posible, según la junta de portavoces, la inclusión de la proposición de ley sobre la situación de los contenidos en el currículo de la educación secundaria obligatoria.</w:t>
      </w:r>
    </w:p>
    <w:p w14:paraId="03A45A6D" w14:textId="77777777" w:rsidR="00A8138F" w:rsidRDefault="00A8138F" w:rsidP="00A8138F">
      <w:pPr>
        <w:pStyle w:val="TextoNormal"/>
      </w:pPr>
    </w:p>
    <w:p w14:paraId="754536DB" w14:textId="77777777" w:rsidR="00A8138F" w:rsidRDefault="00A8138F" w:rsidP="00A8138F">
      <w:pPr>
        <w:pStyle w:val="TextoNormal"/>
      </w:pPr>
      <w:r>
        <w:t>Para la demanda de amparo siendo manifiestamente inconstitucional la restricción impuesta en aquellos acuerdos de 13 de agosto de 2020, es igualmente inconstitucional la exclusión por los acuerdos aquí impugnados, en el orden del día de la sesión plenaria de 23 de septiembre de 2021, de la proposición no de ley formalizada por el Grupo Parlamentario Mixto, por la simple excusa de haber presentado ese grupo una enmienda a la totalidad en esa misma sesión plenaria.</w:t>
      </w:r>
    </w:p>
    <w:p w14:paraId="3F54EECA" w14:textId="77777777" w:rsidR="00A8138F" w:rsidRDefault="00A8138F" w:rsidP="00A8138F">
      <w:pPr>
        <w:pStyle w:val="TextoNormal"/>
      </w:pPr>
    </w:p>
    <w:p w14:paraId="4821113C" w14:textId="77777777" w:rsidR="00A8138F" w:rsidRDefault="00A8138F" w:rsidP="00A8138F">
      <w:pPr>
        <w:pStyle w:val="TextoNormal"/>
      </w:pPr>
      <w:r>
        <w:t>d) Señala la demanda de amparo que los acuerdos aquí impugnados dan un paso más en la restricción de sus derechos. En efecto, los acuerdos de la mesa de 13 de agosto de 2020 aceptaron “la propuesta en sus propios términos” realizada por cuatro grupos parlamentarios sobre la “ordenación de los órdenes del día y de los tiempos de debate en las sesiones plenarias (2020-2094)”. La propuesta aceptada en sus propios términos era la siguiente: “[c]ada grupo parlamentario podrá incluir en el orden del día hasta dos iniciativas. En dicho cómputo se incluirán tanto proposiciones de ley y no de ley, como mociones consecuencia de interpelación”. “El grupo mixto, al contar con un solo miembro, podrá incluir una iniciativa cada tres plenos ordinarios”.</w:t>
      </w:r>
    </w:p>
    <w:p w14:paraId="686DEACF" w14:textId="77777777" w:rsidR="00A8138F" w:rsidRDefault="00A8138F" w:rsidP="00A8138F">
      <w:pPr>
        <w:pStyle w:val="TextoNormal"/>
      </w:pPr>
    </w:p>
    <w:p w14:paraId="5ADE9A37" w14:textId="77777777" w:rsidR="00A8138F" w:rsidRDefault="00A8138F" w:rsidP="00A8138F">
      <w:pPr>
        <w:pStyle w:val="TextoNormal"/>
      </w:pPr>
      <w:r>
        <w:t>Es decir, en esos acuerdos de 13 de agosto de 2020 únicamente se identifican como iniciativas, respecto de las que se fija para todos los grupos parlamentarios un máximo de dos iniciativas en cada orden del día y para el Grupo Mixto una cada tres plenos, las proposiciones de ley y no de ley y las mociones consecuencia de interpelación. Sin embargo, los acuerdos aquí impugnados de la junta de portavoces y de la mesa incluyen entre las iniciativas objeto de limitación también la presentación de enmiendas en el procedimiento legislativo.</w:t>
      </w:r>
    </w:p>
    <w:p w14:paraId="2A95E501" w14:textId="77777777" w:rsidR="00A8138F" w:rsidRDefault="00A8138F" w:rsidP="00A8138F">
      <w:pPr>
        <w:pStyle w:val="TextoNormal"/>
      </w:pPr>
    </w:p>
    <w:p w14:paraId="75BC6436" w14:textId="77777777" w:rsidR="00A8138F" w:rsidRDefault="00A8138F" w:rsidP="00A8138F">
      <w:pPr>
        <w:pStyle w:val="TextoNormal"/>
      </w:pPr>
      <w:r>
        <w:t>Para la demanda de amparo la presentación de enmiendas constituye una de las funciones nucleares de los parlamentarios. Con la finalidad de impedir al Grupo Mixto la presentación de una proposición no de ley, se infringe el reglamento parlamentario y el propio acuerdo de 13 de agosto de 2020, integrando, en contradicción con ambos, entre las iniciativas que se restringen al Grupo Mixto, la propia presentación de enmiendas en el procedimiento legislativo.</w:t>
      </w:r>
    </w:p>
    <w:p w14:paraId="35AACCDD" w14:textId="77777777" w:rsidR="00A8138F" w:rsidRDefault="00A8138F" w:rsidP="00A8138F">
      <w:pPr>
        <w:pStyle w:val="TextoNormal"/>
      </w:pPr>
    </w:p>
    <w:p w14:paraId="05605AFB" w14:textId="77777777" w:rsidR="00A8138F" w:rsidRDefault="00A8138F" w:rsidP="00A8138F">
      <w:pPr>
        <w:pStyle w:val="TextoNormal"/>
      </w:pPr>
      <w:r>
        <w:t>De acuerdo con la demanda si el argumento para restringir las enmiendas es que den lugar a un debate plenario, se integrarían también entre las iniciativas las enmiendas al articulado. En este sentido, señala la demanda que el Reglamento de la Cámara dispone, en relación con las enmiendas al articulado, su debate en comisión, previo informe motivado de una ponencia encargada del estudio del proyecto de ley y de las enmiendas parciales (arts. 138 y 139), y, las enmiendas no reflejadas en el dictamen de la comisión y los votos particulares al dictamen de la comisión presentadas por los grupos, serán objeto de debate en un plenario, en los términos de los arts. 141 y 142 RPV. En definitiva, también esas enmiendas al articulado dan lugar a un debate plenario que son precisamente las enmiendas más relevantes para que la Cámara no se desnaturalice y sea verdaderamente deliberante pues las presentan los grupos no integrados en la mayoría política.</w:t>
      </w:r>
    </w:p>
    <w:p w14:paraId="7700EC92" w14:textId="77777777" w:rsidR="00A8138F" w:rsidRDefault="00A8138F" w:rsidP="00A8138F">
      <w:pPr>
        <w:pStyle w:val="TextoNormal"/>
      </w:pPr>
    </w:p>
    <w:p w14:paraId="6A113437" w14:textId="77777777" w:rsidR="00A8138F" w:rsidRDefault="00A8138F" w:rsidP="00A8138F">
      <w:pPr>
        <w:pStyle w:val="TextoNormal"/>
      </w:pPr>
      <w:r>
        <w:t xml:space="preserve">Para la demanda de amparo, el Reglamento del Parlamento Vasco no restringe el número de enmiendas que pueden presentar los grupos parlamentarios. Las únicas limitaciones reglamentarias a la presentación de enmiendas son las siguientes: (i) formalmente, deben ir </w:t>
      </w:r>
      <w:r>
        <w:lastRenderedPageBreak/>
        <w:t xml:space="preserve">firmadas por “la portavoz o el portavoz del grupo al que pertenezca” (art. 135.1) y deben “estar justificados los motivos de su presentación” (art. 135.2); y (ii), por su contenido, el art. 136 introduce las clásicas limitaciones a aquellas enmiendas “que supongan aumento de los créditos o disminución de los ingresos presupuestarios”, que, “requerirán la conformidad del Gobierno para su tramitación” (art. 136). No hay otras restricciones, por lo que, para la demanda, resulta insostenible un supuesto uso parlamentario que introduzca tan intensa restricción a una función que se integra en el núcleo más básico del </w:t>
      </w:r>
      <w:r w:rsidRPr="00A8138F">
        <w:rPr>
          <w:i/>
        </w:rPr>
        <w:t>ius in officium</w:t>
      </w:r>
      <w:r>
        <w:t xml:space="preserve"> de los parlamentarios y los grupos.</w:t>
      </w:r>
    </w:p>
    <w:p w14:paraId="5D50147D" w14:textId="77777777" w:rsidR="00A8138F" w:rsidRDefault="00A8138F" w:rsidP="00A8138F">
      <w:pPr>
        <w:pStyle w:val="TextoNormal"/>
      </w:pPr>
    </w:p>
    <w:p w14:paraId="43AACB2E" w14:textId="77777777" w:rsidR="00A8138F" w:rsidRDefault="00A8138F" w:rsidP="00A8138F">
      <w:pPr>
        <w:pStyle w:val="TextoNormal"/>
      </w:pPr>
      <w:r>
        <w:t>Finaliza el recurso de amparo señalando que los acuerdos de la junta de portavoces y de la mesa recurridos en el presente amparo son manifiestamente inconstitucionales en cuanto son ejecución de los acuerdos de 13 de agosto de 2020, también inconstitucionales y objeto del recurso de amparo 4885-2020, por lo que aquellos participan de los mismos vicios de inconstitucionalidad que en ese recurso de amparo se imputaban a tales acuerdos. Los acuerdos impugnados son, adicionalmente, inconstitucionales en cuanto también vulneran los acuerdos de 13 de agosto de 2020 que dicen ejecutar, ya que estos solo incluían, entre las iniciativas objeto de restricción, las proposiciones de ley y no de ley y las mociones consecuencia de interpelación; mientras que los acuerdos aquí impugnados amplían el ámbito de la limitación también a las enmiendas en el procedimiento legislativo.</w:t>
      </w:r>
    </w:p>
    <w:p w14:paraId="0F51C6B0" w14:textId="77777777" w:rsidR="00A8138F" w:rsidRDefault="00A8138F" w:rsidP="00A8138F">
      <w:pPr>
        <w:pStyle w:val="TextoNormal"/>
      </w:pPr>
    </w:p>
    <w:p w14:paraId="48798254" w14:textId="77777777" w:rsidR="00A8138F" w:rsidRDefault="00A8138F" w:rsidP="00A8138F">
      <w:pPr>
        <w:pStyle w:val="TextoNormal"/>
      </w:pPr>
      <w:r>
        <w:t>e) La demanda justifica la especial trascendencia constitucional del recurso en los siguientes supuestos de entre los que destacó la STC 155/2009, de 25 de junio, FJ 2:</w:t>
      </w:r>
    </w:p>
    <w:p w14:paraId="51C6F458" w14:textId="77777777" w:rsidR="00A8138F" w:rsidRDefault="00A8138F" w:rsidP="00A8138F">
      <w:pPr>
        <w:pStyle w:val="TextoNormal"/>
      </w:pPr>
    </w:p>
    <w:p w14:paraId="3E096F14" w14:textId="77777777" w:rsidR="00A8138F" w:rsidRDefault="00A8138F" w:rsidP="00A8138F">
      <w:pPr>
        <w:pStyle w:val="TextoNormal"/>
      </w:pPr>
      <w:r>
        <w:t>(i) El recurso plantea un problema o una faceta de un derecho fundamental susceptible de amparo sobre el que no hay doctrina de este tribunal. Identifica la concurrencia de este motivo en que, a su parecer, no existe doctrina constitucional “en el que la mayoría parlamentaria llega a un acuerdo para aplicar un ‘cordón sanitario’ sobre una opción política minoritaria y, contrariando frontalmente las normas parlamentarias, impide el ejercicio del derecho de participación por el representante electo”, en la forma que se indica en la demanda (restringiendo tiempos de intervención en los debates, limitando iniciativas, impidiendo la utilización de las siglas propias que le identifican con su electorado y recortando los medios personales de los que pueda disponer el grupo parlamentario).</w:t>
      </w:r>
    </w:p>
    <w:p w14:paraId="448C9A33" w14:textId="77777777" w:rsidR="00A8138F" w:rsidRDefault="00A8138F" w:rsidP="00A8138F">
      <w:pPr>
        <w:pStyle w:val="TextoNormal"/>
      </w:pPr>
    </w:p>
    <w:p w14:paraId="5C5176CE" w14:textId="77777777" w:rsidR="00A8138F" w:rsidRDefault="00A8138F" w:rsidP="00A8138F">
      <w:pPr>
        <w:pStyle w:val="TextoNormal"/>
      </w:pPr>
      <w:r>
        <w:t>(ii) Y, en segundo término, el recurso “[p]lantea un problema o una faceta de un derecho fundamental susceptible de amparo sobre el que no hay doctrina del Tribunal Constitucional”, toda vez que, al tener la particularidad de que no interviene la jurisdicción en este tipo de recursos de amparo, estos se hallan “en una posición especial a la hora de determinar su dimensión objetiva respecto de la valoración de la especial trascendencia constitucional por parte de este tribunal […] dada la repercusión general que tiene el ejercicio de la función representativa y que excede del ámbito particular del parlamentario y del grupo en el que se integra”.</w:t>
      </w:r>
    </w:p>
    <w:p w14:paraId="25B92AFD" w14:textId="77777777" w:rsidR="00A8138F" w:rsidRDefault="00A8138F" w:rsidP="00A8138F">
      <w:pPr>
        <w:pStyle w:val="TextoNormal"/>
      </w:pPr>
    </w:p>
    <w:p w14:paraId="73282342" w14:textId="77777777" w:rsidR="00A8138F" w:rsidRDefault="00A8138F" w:rsidP="00A8138F">
      <w:pPr>
        <w:pStyle w:val="TextoNormal"/>
      </w:pPr>
      <w:r>
        <w:t>Por todo ello, la demanda solicita la estimación del recurso de amparo por la apreciada vulneración del derecho de participación política del art. 23 CE y la anulación del acuerdo de la junta de portavoces del Parlamento Vasco celebrada 14 de septiembre de 2021; del acuerdo de la misma junta de portavoces de 21 de septiembre de 2021 y del acuerdo de 21 de septiembre de 2021 de la mesa del Parlamento Vasco.</w:t>
      </w:r>
    </w:p>
    <w:p w14:paraId="0129CA60" w14:textId="77777777" w:rsidR="00A8138F" w:rsidRDefault="00A8138F" w:rsidP="00A8138F">
      <w:pPr>
        <w:pStyle w:val="TextoNormal"/>
      </w:pPr>
    </w:p>
    <w:p w14:paraId="187F8AEA" w14:textId="7499B5AF" w:rsidR="00A8138F" w:rsidRDefault="00A8138F" w:rsidP="00A8138F">
      <w:pPr>
        <w:pStyle w:val="TextoNormal"/>
      </w:pPr>
      <w:r>
        <w:lastRenderedPageBreak/>
        <w:t>f) Mediante otrosí, la demanda aduce que procede la acumulación del presente recurso de amparo al interpuesto también contra los acuerdos de la mesa del Parlamento Vasco de 13 de agosto de 2020 y de 8 de septiembre de 2020 y tramitado con el número 4885-2020.</w:t>
      </w:r>
    </w:p>
    <w:p w14:paraId="59E91BCD" w14:textId="77777777" w:rsidR="00A8138F" w:rsidRDefault="00A8138F" w:rsidP="00A8138F">
      <w:pPr>
        <w:pStyle w:val="TextoNormal"/>
      </w:pPr>
    </w:p>
    <w:p w14:paraId="2E2E4B7C" w14:textId="77777777" w:rsidR="00A8138F" w:rsidRDefault="00A8138F" w:rsidP="00A8138F">
      <w:pPr>
        <w:pStyle w:val="TextoNormal"/>
      </w:pPr>
      <w:r w:rsidRPr="00A8138F">
        <w:rPr>
          <w:rStyle w:val="NumeroAFNegritaCaracter"/>
        </w:rPr>
        <w:t>4</w:t>
      </w:r>
      <w:r>
        <w:t>. Por medio de providencia de 28 de noviembre de 2022, la Sección Tercera de la Sala Segunda de este tribunal acordó admitir a trámite el recurso de amparo apreciando que en el mismo concurre una especial trascendencia constitucional [art. 50.1 de la Ley Orgánica del Tribunal Constitucional (LOTC)], por cuanto “el asunto suscitado trasciende del caso concreto, toda vez que pudiera tener unas consecuencias políticas generales [STC 155/2009, FJ 2 g)]”.</w:t>
      </w:r>
    </w:p>
    <w:p w14:paraId="0443F38A" w14:textId="77777777" w:rsidR="00A8138F" w:rsidRDefault="00A8138F" w:rsidP="00A8138F">
      <w:pPr>
        <w:pStyle w:val="TextoNormal"/>
      </w:pPr>
    </w:p>
    <w:p w14:paraId="4AA4882B" w14:textId="590DFF7A" w:rsidR="00A8138F" w:rsidRDefault="00A8138F" w:rsidP="00A8138F">
      <w:pPr>
        <w:pStyle w:val="TextoNormal"/>
      </w:pPr>
      <w:r>
        <w:t>En la misma providencia se ordenaba remitir atenta comunicación al Parlamento Vasco, a fin de que, en el plazo de diez días, remitiera certificación o fotocopia adverada de las actuaciones correspondientes a los acuerdos de la junta de portavoces de 14 y 21 de septiembre de 2021 y del acuerdo de la mesa del Parlamento Vasco de 21 de septiembre de 2021. Del mismo modo, se debía emplazar a quienes hubieran intervenido en el procedimiento, excepto la parte recurrente en amparo, para que, en el plazo de diez días, pudieran comparecer en el recurso de amparo.</w:t>
      </w:r>
    </w:p>
    <w:p w14:paraId="161BEE2A" w14:textId="77777777" w:rsidR="00A8138F" w:rsidRDefault="00A8138F" w:rsidP="00A8138F">
      <w:pPr>
        <w:pStyle w:val="TextoNormal"/>
      </w:pPr>
    </w:p>
    <w:p w14:paraId="5216230F" w14:textId="175143BC" w:rsidR="00A8138F" w:rsidRDefault="00A8138F" w:rsidP="00A8138F">
      <w:pPr>
        <w:pStyle w:val="TextoNormal"/>
      </w:pPr>
      <w:r w:rsidRPr="00A8138F">
        <w:rPr>
          <w:rStyle w:val="NumeroAFNegritaCaracter"/>
        </w:rPr>
        <w:t>5</w:t>
      </w:r>
      <w:r>
        <w:t>. El día 16 de diciembre de 2022, tuvo entrada en el registro de este tribunal escrito presentado por el letrado don Andoni Iturbe March, en nombre y representación del Parlamento Vasco, aportando la documentación que había sido requerida por este tribunal.</w:t>
      </w:r>
    </w:p>
    <w:p w14:paraId="585E8DB1" w14:textId="77777777" w:rsidR="00A8138F" w:rsidRDefault="00A8138F" w:rsidP="00A8138F">
      <w:pPr>
        <w:pStyle w:val="TextoNormal"/>
      </w:pPr>
    </w:p>
    <w:p w14:paraId="331E3573" w14:textId="3D9DB86A" w:rsidR="00A8138F" w:rsidRDefault="00A8138F" w:rsidP="00A8138F">
      <w:pPr>
        <w:pStyle w:val="TextoNormal"/>
      </w:pPr>
      <w:r w:rsidRPr="00A8138F">
        <w:rPr>
          <w:rStyle w:val="NumeroAFNegritaCaracter"/>
        </w:rPr>
        <w:t>6</w:t>
      </w:r>
      <w:r>
        <w:t>. Mediante acuerdo del Pleno del Tribunal Constitucional de 17 de enero de 2023, el presente recurso de amparo es turnado a la Sección Primera de la Sala Primera. Por diligencia de ordenación de 23 de enero de 2023, el secretario de justicia de la Sala Primera tiene por recibidos los testimonios de las actuaciones remitidos por el Parlamento Vasco, y escrito del letrado de este, a quien se tiene por personado y parte en nombre y representación de la Cámara, con quien se entenderán las sucesivas diligencias. Asimismo, de conformidad con lo dispuesto en el art. 52.1 LOTC, se dispone dar vista de las actuaciones a las partes personadas y al Ministerio Fiscal, por plazo común de veinte días, para que puedan presentar las alegaciones que estimen pertinentes.</w:t>
      </w:r>
    </w:p>
    <w:p w14:paraId="51ACF12D" w14:textId="77777777" w:rsidR="00A8138F" w:rsidRDefault="00A8138F" w:rsidP="00A8138F">
      <w:pPr>
        <w:pStyle w:val="TextoNormal"/>
      </w:pPr>
    </w:p>
    <w:p w14:paraId="20B23338" w14:textId="77777777" w:rsidR="00A8138F" w:rsidRDefault="00A8138F" w:rsidP="00A8138F">
      <w:pPr>
        <w:pStyle w:val="TextoNormal"/>
      </w:pPr>
      <w:r w:rsidRPr="00A8138F">
        <w:rPr>
          <w:rStyle w:val="NumeroAFNegritaCaracter"/>
        </w:rPr>
        <w:t>7</w:t>
      </w:r>
      <w:r>
        <w:t>. El 15 de febrero de 2023, quedó registrado en este tribunal el escrito de alegaciones del letrado del Parlamento Vasco en el que solicita la desestimación del recurso de amparo.</w:t>
      </w:r>
    </w:p>
    <w:p w14:paraId="5E2F34AC" w14:textId="77777777" w:rsidR="00A8138F" w:rsidRDefault="00A8138F" w:rsidP="00A8138F">
      <w:pPr>
        <w:pStyle w:val="TextoNormal"/>
      </w:pPr>
    </w:p>
    <w:p w14:paraId="1989AAE2" w14:textId="77777777" w:rsidR="00A8138F" w:rsidRDefault="00A8138F" w:rsidP="00A8138F">
      <w:pPr>
        <w:pStyle w:val="TextoNormal"/>
      </w:pPr>
      <w:r>
        <w:t>Después de destacar los antecedentes de hecho que ha tenido por conveniente, el escrito del Parlamento Vasco analiza la STC 38/2022, de 11 de marzo —que ha resuelto el recurso de amparo 4885-2020 contra los acuerdos de la mesa del Parlamento Vasco de 13 de agosto de 2020 y de 8 de septiembre de 2020— y sus votos particulares y concluye señalando que el escrito de demanda trata de un tema ya resuelto por la referida sentencia, lo que manifiesta la íntima relación entre las situaciones de hecho que se someten al juicio de constitucionalidad del Tribunal.</w:t>
      </w:r>
    </w:p>
    <w:p w14:paraId="6C768C0D" w14:textId="77777777" w:rsidR="00A8138F" w:rsidRDefault="00A8138F" w:rsidP="00A8138F">
      <w:pPr>
        <w:pStyle w:val="TextoNormal"/>
      </w:pPr>
    </w:p>
    <w:p w14:paraId="6721E17C" w14:textId="77777777" w:rsidR="00A8138F" w:rsidRDefault="00A8138F" w:rsidP="00A8138F">
      <w:pPr>
        <w:pStyle w:val="TextoNormal"/>
      </w:pPr>
      <w:r>
        <w:t xml:space="preserve">A continuación, se refiere el escrito del letrado del Parlamento Vasco a la naturaleza jurídica de la junta de portavoces señalando que en sus decisiones cobra toda su fuerza el principio de autonomía de las cámaras legislativas por lo que la intromisión de un poder </w:t>
      </w:r>
      <w:r>
        <w:lastRenderedPageBreak/>
        <w:t>ajeno alteraría un principio nuclear de la organización política como es la división de poderes. Para el letrado del Parlamento Vasco la imposición desde una voluntad ajena a la Cámara de cuál debe ser el criterio para la inclusión de asuntos en el orden del día de las sesiones plenarias atentaría contra la autonomía de la Cámara de manera frontal.</w:t>
      </w:r>
    </w:p>
    <w:p w14:paraId="7D79000E" w14:textId="77777777" w:rsidR="00A8138F" w:rsidRDefault="00A8138F" w:rsidP="00A8138F">
      <w:pPr>
        <w:pStyle w:val="TextoNormal"/>
      </w:pPr>
    </w:p>
    <w:p w14:paraId="0CD038CA" w14:textId="77777777" w:rsidR="00A8138F" w:rsidRDefault="00A8138F" w:rsidP="00A8138F">
      <w:pPr>
        <w:pStyle w:val="TextoNormal"/>
      </w:pPr>
      <w:r>
        <w:t>Se señala a continuación en el escrito del letrado como objeto del amparo el criterio establecido por la junta de portavoces para la inclusión de asuntos en el orden del día de las sesiones plenarias. Así, destaca el escrito que la junta de portavoces en virtud de la competencia que le otorga el art. 41.7 RPV estableció los criterios para ordenar y facilitar los debates y tareas del Parlamento disponiéndose que cada grupo parlamentario pudiera incluir hasta dos iniciativas en una misma sesión plenaria. Para el escrito del Letrado del Parlamento Vasco el control puede ejercerse sobre la aplicación del criterio, pero no sobre el propio criterio que se decide por acuerdo de la Junta de portavoces. Es decir, se podría controlar si el criterio no fuera aplicado de igual modo a todos los grupos parlamentarios, considerando que para algunos grupos las enmiendas de totalidad no son contabilizadas como iniciativas y si lo son para otros, pues en este caso podría hablarse de discriminación.</w:t>
      </w:r>
    </w:p>
    <w:p w14:paraId="695CF163" w14:textId="77777777" w:rsidR="00A8138F" w:rsidRDefault="00A8138F" w:rsidP="00A8138F">
      <w:pPr>
        <w:pStyle w:val="TextoNormal"/>
      </w:pPr>
    </w:p>
    <w:p w14:paraId="54530A69" w14:textId="77777777" w:rsidR="00A8138F" w:rsidRDefault="00A8138F" w:rsidP="00A8138F">
      <w:pPr>
        <w:pStyle w:val="TextoNormal"/>
      </w:pPr>
      <w:r>
        <w:t>De acuerdo con el escrito del letrado del Parlamento Vasco, la presentación de una enmienda de totalidad a un proyecto de ley implica un debate en el Pleno que se propicia a instancias del grupo parlamentario que presenta la enmienda a la totalidad y por ello ese debate se contabiliza como una iniciativa del grupo parlamentario que presenta la enmienda a la totalidad. Este criterio se aplica a todos los grupos parlamentarios del mismo modo.</w:t>
      </w:r>
    </w:p>
    <w:p w14:paraId="2EF69150" w14:textId="77777777" w:rsidR="00A8138F" w:rsidRDefault="00A8138F" w:rsidP="00A8138F">
      <w:pPr>
        <w:pStyle w:val="TextoNormal"/>
      </w:pPr>
    </w:p>
    <w:p w14:paraId="791C2139" w14:textId="36AD13FC" w:rsidR="00A8138F" w:rsidRDefault="00A8138F" w:rsidP="00A8138F">
      <w:pPr>
        <w:pStyle w:val="TextoNormal"/>
      </w:pPr>
      <w:r>
        <w:t>Con fundamento en todas las consideraciones expuestas, el letrado del Parlamento Vasco solicita la desestimación de la solicitud de amparo.</w:t>
      </w:r>
    </w:p>
    <w:p w14:paraId="5FF44FF0" w14:textId="77777777" w:rsidR="00A8138F" w:rsidRDefault="00A8138F" w:rsidP="00A8138F">
      <w:pPr>
        <w:pStyle w:val="TextoNormal"/>
      </w:pPr>
    </w:p>
    <w:p w14:paraId="05698DAB" w14:textId="77777777" w:rsidR="00A8138F" w:rsidRDefault="00A8138F" w:rsidP="00A8138F">
      <w:pPr>
        <w:pStyle w:val="TextoNormal"/>
      </w:pPr>
      <w:r w:rsidRPr="00A8138F">
        <w:rPr>
          <w:rStyle w:val="NumeroAFNegritaCaracter"/>
        </w:rPr>
        <w:t>8</w:t>
      </w:r>
      <w:r>
        <w:t>. El día 20 de febrero de 2023 tuvo entrada en el registro de este tribunal el escrito de alegaciones de la representación de los recurrentes, Grupo Parlamentario Mixto en el Parlamento Vasco y la diputada en dicho Parlamento doña Amaia Martínez Grisaleña.</w:t>
      </w:r>
    </w:p>
    <w:p w14:paraId="07E7A06E" w14:textId="77777777" w:rsidR="00A8138F" w:rsidRDefault="00A8138F" w:rsidP="00A8138F">
      <w:pPr>
        <w:pStyle w:val="TextoNormal"/>
      </w:pPr>
    </w:p>
    <w:p w14:paraId="0B1E0665" w14:textId="77777777" w:rsidR="00A8138F" w:rsidRDefault="00A8138F" w:rsidP="00A8138F">
      <w:pPr>
        <w:pStyle w:val="TextoNormal"/>
      </w:pPr>
      <w:r>
        <w:t>En el citado escrito, se señala que se ha dictado por el Pleno de este tribunal la STC 38/2022, de 11 de marzo, por la que se estima parcialmente el recurso de amparo 4885-2020 interpuesto por sus representados contra los acuerdos de la mesa del Parlamento Vasco de 13 de agosto de 2020. La referida STC 38/2022 tiene indudable trascendencia en este recurso de amparo 7905-2021 ya que en este se impugnan acuerdos del Parlamento Vasco precisamente dictados en ejecución del previo acuerdo de 13 de agosto de 2020 referido a la propuesta 2020-2094.</w:t>
      </w:r>
    </w:p>
    <w:p w14:paraId="7647E808" w14:textId="77777777" w:rsidR="00A8138F" w:rsidRDefault="00A8138F" w:rsidP="00A8138F">
      <w:pPr>
        <w:pStyle w:val="TextoNormal"/>
      </w:pPr>
    </w:p>
    <w:p w14:paraId="65DCF9B3" w14:textId="641242DF" w:rsidR="00A8138F" w:rsidRDefault="00A8138F" w:rsidP="00A8138F">
      <w:pPr>
        <w:pStyle w:val="TextoNormal"/>
      </w:pPr>
      <w:r>
        <w:t xml:space="preserve">Tanto el acuerdo de la mesa del Parlamento Vasco como el acuerdo de la junta de portavoces, ambos de 21 de septiembre de 2021, expresamente señalan que el único motivo por el que se rechaza la inclusión en el orden del día de la sesión plenaria de 23 de septiembre de 2021 de la proposición no de ley presentada por el Grupo Mixto habría sido que “la mesa, en su acuerdo de 13 de agosto de 2020, aprobó la propuesta de ordenación de los órdenes del día y de los tiempos de debate en las sesiones plenarias”. Como quiera que los acuerdos aquí impugnados explícitamente se dicen ejecución del acuerdo de la mesa de 13 de septiembre de 2020 por el que, mientras a todos los grupos se les reconoce la facultad de incluir hasta dos iniciativas en el orden del día de cada Pleno, al Grupo Mixto solo se le permitía una iniciativa cada tres plenos ordinarios; a los acuerdos aquí impugnados le es directamente </w:t>
      </w:r>
      <w:r>
        <w:lastRenderedPageBreak/>
        <w:t>aplicable, la declaración de nulidad que la STC 38/2022 predicó del referido acuerdo de la mesa de 13 de agosto de 2020 relativo a los órdenes del día e intervenciones del Grupo Mixto en el Parlamento Vasco.</w:t>
      </w:r>
    </w:p>
    <w:p w14:paraId="27A4DA85" w14:textId="77777777" w:rsidR="00A8138F" w:rsidRDefault="00A8138F" w:rsidP="00A8138F">
      <w:pPr>
        <w:pStyle w:val="TextoNormal"/>
      </w:pPr>
    </w:p>
    <w:p w14:paraId="49F7C7A2" w14:textId="77777777" w:rsidR="00A8138F" w:rsidRDefault="00A8138F" w:rsidP="00A8138F">
      <w:pPr>
        <w:pStyle w:val="TextoNormal"/>
      </w:pPr>
      <w:r w:rsidRPr="00A8138F">
        <w:rPr>
          <w:rStyle w:val="NumeroAFNegritaCaracter"/>
        </w:rPr>
        <w:t>9</w:t>
      </w:r>
      <w:r>
        <w:t>. El día 10 de marzo de 2023 quedaron registradas en este tribunal las alegaciones del Ministerio Fiscal, en las que propugna la estimación del recurso de amparo y la anulación de los acuerdos impugnados.</w:t>
      </w:r>
    </w:p>
    <w:p w14:paraId="77415B4B" w14:textId="77777777" w:rsidR="00A8138F" w:rsidRDefault="00A8138F" w:rsidP="00A8138F">
      <w:pPr>
        <w:pStyle w:val="TextoNormal"/>
      </w:pPr>
    </w:p>
    <w:p w14:paraId="4DAFFBBD" w14:textId="77777777" w:rsidR="00A8138F" w:rsidRDefault="00A8138F" w:rsidP="00A8138F">
      <w:pPr>
        <w:pStyle w:val="TextoNormal"/>
      </w:pPr>
      <w:r>
        <w:t>Después de hacer una detallada exposición de los antecedentes y del objeto del recurso planteado, el fiscal señala que el mismo se ha presentado en plazo y destaca que ha sido planteado con anterioridad a que por el Tribunal Constitucional se dictara la STC 38/2022, de 11 de marzo, que resuelve el recurso de amparo núm. 4885-2020.</w:t>
      </w:r>
    </w:p>
    <w:p w14:paraId="440CE6B6" w14:textId="77777777" w:rsidR="00A8138F" w:rsidRDefault="00A8138F" w:rsidP="00A8138F">
      <w:pPr>
        <w:pStyle w:val="TextoNormal"/>
      </w:pPr>
    </w:p>
    <w:p w14:paraId="39BF650B" w14:textId="77777777" w:rsidR="00A8138F" w:rsidRDefault="00A8138F" w:rsidP="00A8138F">
      <w:pPr>
        <w:pStyle w:val="TextoNormal"/>
      </w:pPr>
      <w:r>
        <w:t>Tras examinar el contenido de la STC 38/2022, de 11 de marzo, analiza el contenido de los acuerdos que se impugnan en el presente proceso. En concreto, la junta de portavoces desestimó la petición de inclusión de la proposición no de ley con apoyo en el acuerdo de 13 de agosto de 2020 y por considerar la enmienda a la totalidad presentada como una iniciativa.</w:t>
      </w:r>
    </w:p>
    <w:p w14:paraId="12A73B82" w14:textId="77777777" w:rsidR="00A8138F" w:rsidRDefault="00A8138F" w:rsidP="00A8138F">
      <w:pPr>
        <w:pStyle w:val="TextoNormal"/>
      </w:pPr>
    </w:p>
    <w:p w14:paraId="3C094E20" w14:textId="77777777" w:rsidR="00A8138F" w:rsidRDefault="00A8138F" w:rsidP="00A8138F">
      <w:pPr>
        <w:pStyle w:val="TextoNormal"/>
      </w:pPr>
      <w:r>
        <w:t>La mesa del Parlamento Vasco, tras considerarse incompetente para revisar el acuerdo de la junta de portavoces, se apoyó en el acuerdo de 13 de agosto de 2020 para rechazar la petición que le formulaba el Grupo Mixto y añadió que “las enmiendas de totalidad presentadas a los proyectos de ley constituyen una iniciativa del grupo parlamentaría enmendante. Por lo tanto, la enmienda de totalidad debe ser contabilizada a la hora de establecer el cupo de iniciativas que corresponde a cada uno de los grupos parlamentarios, ya que la presentación de una enmienda supone la inclusión de un nuevo debate en la sesión plenaria”.</w:t>
      </w:r>
    </w:p>
    <w:p w14:paraId="432ED2CC" w14:textId="77777777" w:rsidR="00A8138F" w:rsidRDefault="00A8138F" w:rsidP="00A8138F">
      <w:pPr>
        <w:pStyle w:val="TextoNormal"/>
      </w:pPr>
    </w:p>
    <w:p w14:paraId="4BF66C00" w14:textId="77777777" w:rsidR="00A8138F" w:rsidRDefault="00A8138F" w:rsidP="00A8138F">
      <w:pPr>
        <w:pStyle w:val="TextoNormal"/>
      </w:pPr>
      <w:r>
        <w:t>En consecuencia, para el fiscal, se inadmite la proposición no de ley por aplicación de los acuerdos de 13 de agosto de 2020 y por considerarse la presentación de una enmienda a la totalidad a un proyecto de ley como una iniciativa ya que “supone la inclusión de un nuevo debate en la sesión plenaria”.</w:t>
      </w:r>
    </w:p>
    <w:p w14:paraId="005E0716" w14:textId="77777777" w:rsidR="00A8138F" w:rsidRDefault="00A8138F" w:rsidP="00A8138F">
      <w:pPr>
        <w:pStyle w:val="TextoNormal"/>
      </w:pPr>
    </w:p>
    <w:p w14:paraId="4E961A65" w14:textId="77777777" w:rsidR="00A8138F" w:rsidRDefault="00A8138F" w:rsidP="00A8138F">
      <w:pPr>
        <w:pStyle w:val="TextoNormal"/>
      </w:pPr>
      <w:r>
        <w:t>Continua señalando el escrito del fiscal que los demandantes discrepan de la equiparación que hace la mesa de la Cámara entre enmienda a la totalidad e iniciativa, pues el acuerdo de 13 de agosto de 2020 solo identifica como iniciativas las proposiciones de ley y no de ley y las mociones a consecuencia de la interpelación y no las enmiendas a la totalidad, lo que determina que el acuerdo sea contrario, incluso, al de 13 de agosto de 2020 y, además, esta restricción no está debidamente justificada pues la única razón que da la mesa es un supuesto criterio habitualmente empleado, es decir, un presunto uso parlamentario.</w:t>
      </w:r>
    </w:p>
    <w:p w14:paraId="06F3E6C1" w14:textId="77777777" w:rsidR="00A8138F" w:rsidRDefault="00A8138F" w:rsidP="00A8138F">
      <w:pPr>
        <w:pStyle w:val="TextoNormal"/>
      </w:pPr>
    </w:p>
    <w:p w14:paraId="2E451030" w14:textId="77777777" w:rsidR="00A8138F" w:rsidRDefault="00A8138F" w:rsidP="00A8138F">
      <w:pPr>
        <w:pStyle w:val="TextoNormal"/>
      </w:pPr>
      <w:r>
        <w:t xml:space="preserve">Considera el fiscal que de la dicción de dicho acuerdo se sigue que no se incluyen como iniciativas las enmiendas, cualquiera que sea su naturaleza, totales o parciales o al articulado, no aparece mención alguna a las mismas, lo que convertiría los acuerdos adoptados e impugnados contrarios al propio acuerdo de 13 de agosto de 2020 en el que se fundamenta la decisión de no inclusión de la proposición no de ley adoptada por la junta de portavoces del Parlamento Vasco y que justifica el acuerdo de la mesa de la Cámara. Señala el escrito del fiscal que las enmiendas forman parte del procedimiento legislativo. Es más, las enmiendas son una consecuencia de un proceso legislativo en curso con independencia de que su </w:t>
      </w:r>
      <w:r>
        <w:lastRenderedPageBreak/>
        <w:t>tramitación exija o no un debate en el Pleno de la Cámara vasca lo que conlleva, de aceptarse los acuerdos impugnados, que el ejercicio de un derecho que no puede hacerse valer si no es en un procedimiento parlamentario en curso, a iniciativa de los grupos parlamentarios o sus integrantes, se erija y tenga el mismo valor que una iniciativa que determina un proceso parlamentario en el que se prevé y regula el ejercicio del derecho de enmienda, derecho que no se puede ejercer al margen del mismo.</w:t>
      </w:r>
    </w:p>
    <w:p w14:paraId="2B7B4AEF" w14:textId="77777777" w:rsidR="00A8138F" w:rsidRDefault="00A8138F" w:rsidP="00A8138F">
      <w:pPr>
        <w:pStyle w:val="TextoNormal"/>
      </w:pPr>
    </w:p>
    <w:p w14:paraId="1B619A75" w14:textId="77777777" w:rsidR="00A8138F" w:rsidRDefault="00A8138F" w:rsidP="00A8138F">
      <w:pPr>
        <w:pStyle w:val="TextoNormal"/>
      </w:pPr>
      <w:r>
        <w:t>El hecho de que las enmiendas a la totalidad tengan su propio procedimiento de admisión o rechazo y de debate (art. 86.2 RPV), que le sirve a los acuerdos impugnados para justificar la equiparación con la iniciativa porque se razona que suponen un debate en el Pleno, no se pueden aislar del procedimiento en el que tienen lugar pues el derecho de enmienda se configura, dentro de este procedimiento, como una “función de garantizar la participación e intervención de los diputados y los grupos parlamentarios en el proceso de elaboración de la ley y, en último término, en la configuración del texto legislativo, contribuyendo de este modo a la formación de la voluntad de la Cámara” (STC 4/2018, de 22 de enero, FJ 4).</w:t>
      </w:r>
    </w:p>
    <w:p w14:paraId="6AECB22F" w14:textId="77777777" w:rsidR="00A8138F" w:rsidRDefault="00A8138F" w:rsidP="00A8138F">
      <w:pPr>
        <w:pStyle w:val="TextoNormal"/>
      </w:pPr>
    </w:p>
    <w:p w14:paraId="056E508D" w14:textId="77777777" w:rsidR="00A8138F" w:rsidRDefault="00A8138F" w:rsidP="00A8138F">
      <w:pPr>
        <w:pStyle w:val="TextoNormal"/>
      </w:pPr>
      <w:r>
        <w:t>Para el fiscal, el Reglamento de la Cámara vasca no pone límites al número de enmiendas totales o parciales o al articulado a presentar por los grupos o parlamentarios salvo los relativos a que sean acompañadas de la firma del portavoz del grupo parlamentario cuando se presentan por el parlamentario o la necesidad del plácet cuando se refieran a aumento de créditos o disminución de ingresos presupuestarios (arts. 136 y 137 RPV) o la necesidad de que sean homogéneas con el contenido del proyecto o proposición de ley como ha exigido la doctrina de este Alto Tribunal (en esta sentido la STC 4/2018, FJ 4).</w:t>
      </w:r>
    </w:p>
    <w:p w14:paraId="6328BB15" w14:textId="77777777" w:rsidR="00A8138F" w:rsidRDefault="00A8138F" w:rsidP="00A8138F">
      <w:pPr>
        <w:pStyle w:val="TextoNormal"/>
      </w:pPr>
    </w:p>
    <w:p w14:paraId="58174C7F" w14:textId="77777777" w:rsidR="00A8138F" w:rsidRDefault="00A8138F" w:rsidP="00A8138F">
      <w:pPr>
        <w:pStyle w:val="TextoNormal"/>
      </w:pPr>
      <w:r>
        <w:t>Como indica la STC 38/2022, FJ 3, en relación con la autonomía normativa de las cámaras legislativas “estas facultades de autodeterminación organizativa encuentran su límite en el respeto a los derechos de los parlamentarios. Como hemos reiterado en diversas ocasiones, aunque compete también a los reglamentos parlamentarios fijar y ordenar, en determinadas materias, los derechos y facultades que corresponden a los distintos cargos y funciones públicas y que integran el derecho garantizado por el art. 23.1 CE, una vez creados quedan integrados en el estatus representativo”.</w:t>
      </w:r>
    </w:p>
    <w:p w14:paraId="44261F63" w14:textId="77777777" w:rsidR="00A8138F" w:rsidRDefault="00A8138F" w:rsidP="00A8138F">
      <w:pPr>
        <w:pStyle w:val="TextoNormal"/>
      </w:pPr>
    </w:p>
    <w:p w14:paraId="12238B49" w14:textId="77777777" w:rsidR="00A8138F" w:rsidRDefault="00A8138F" w:rsidP="00A8138F">
      <w:pPr>
        <w:pStyle w:val="TextoNormal"/>
      </w:pPr>
      <w:r>
        <w:t xml:space="preserve">De acuerdo con el escrito del fiscal ello presupone que, si el Reglamento del Parlamento Vasco no contempla más límites a las enmiendas a la totalidad que los indicados y se integran en el </w:t>
      </w:r>
      <w:r w:rsidRPr="00A8138F">
        <w:rPr>
          <w:i/>
        </w:rPr>
        <w:t>ius in officium</w:t>
      </w:r>
      <w:r>
        <w:t>, la consideración que hace la mesa de la enmienda como una iniciativa supone convertir un derecho en un obstáculo para presentar iniciativas por el Grupo Mixto al otorgar al derecho de enmienda un carácter de iniciativa similar a una proposición de ley o no de ley, cuando la enmienda forma parte del procedimiento de tramitación de dichas iniciativas.</w:t>
      </w:r>
    </w:p>
    <w:p w14:paraId="28FA9A59" w14:textId="77777777" w:rsidR="00A8138F" w:rsidRDefault="00A8138F" w:rsidP="00A8138F">
      <w:pPr>
        <w:pStyle w:val="TextoNormal"/>
      </w:pPr>
    </w:p>
    <w:p w14:paraId="3E3A033B" w14:textId="77777777" w:rsidR="00A8138F" w:rsidRDefault="00A8138F" w:rsidP="00A8138F">
      <w:pPr>
        <w:pStyle w:val="TextoNormal"/>
      </w:pPr>
      <w:r>
        <w:t xml:space="preserve">En consecuencia , señala el fiscal que dado que el derecho de enmienda “entronca directamente con el derecho de participación política reconocido en el art. 23.2 CE, formando parte del contenido del </w:t>
      </w:r>
      <w:r w:rsidRPr="00A8138F">
        <w:rPr>
          <w:i/>
        </w:rPr>
        <w:t>ius in officium</w:t>
      </w:r>
      <w:r>
        <w:t xml:space="preserve"> de los parlamentarios que el citado derecho fundamental por sí mismo garantiza” (STC 4/2018, FJ 4), puede afirmarse que los acuerdos impugnados ignorarían esta facultad parlamentaria de presentación de enmiendas y limitan las facultades de participación en el proceso legislativo del Grupo Parlamentario Mixto. El hecho de que habitualmente los órganos de la Cámara hayan considerado la enmienda a la totalidad como una iniciativa, porque provoca un debate específico en el Pleno, no supone </w:t>
      </w:r>
      <w:r>
        <w:lastRenderedPageBreak/>
        <w:t xml:space="preserve">que “la habitualidad” que se predica no sea contraria al reglamento de la Cámara lo que determinaría su nulidad, más cuando restringe el ejercicio de derechos parlamentarios dado que el derecho de enmienda “entronca directamente con el derecho de participación política reconocido en el art. 23.2 CE, formando parte del contenido del </w:t>
      </w:r>
      <w:r w:rsidRPr="00A8138F">
        <w:rPr>
          <w:i/>
        </w:rPr>
        <w:t>ius in officium</w:t>
      </w:r>
      <w:r>
        <w:t xml:space="preserve"> de los parlamentarios que el citado derecho fundamental por sí mismo garantiza” (STC 4/2018, FJ 4).</w:t>
      </w:r>
    </w:p>
    <w:p w14:paraId="170D7696" w14:textId="77777777" w:rsidR="00A8138F" w:rsidRDefault="00A8138F" w:rsidP="00A8138F">
      <w:pPr>
        <w:pStyle w:val="TextoNormal"/>
      </w:pPr>
    </w:p>
    <w:p w14:paraId="08E7D170" w14:textId="77777777" w:rsidR="00A8138F" w:rsidRDefault="00A8138F" w:rsidP="00A8138F">
      <w:pPr>
        <w:pStyle w:val="TextoNormal"/>
      </w:pPr>
      <w:r>
        <w:t>Señala finalmente el escrito del fiscal que la STC 38/2022 ha considerado que el acuerdo de 13 de agosto de 2020 vulnera el derecho de participación política del art. 23.2 CE del Grupo Mixto, y la parlamentaria que se integra en este, por lo que la supresión de dicha limitación vacía parcialmente de contenido la motivación de los acuerdos de la junta de portavoces aquí impugnados.</w:t>
      </w:r>
    </w:p>
    <w:p w14:paraId="69AEE8D7" w14:textId="77777777" w:rsidR="00A8138F" w:rsidRDefault="00A8138F" w:rsidP="00A8138F">
      <w:pPr>
        <w:pStyle w:val="TextoNormal"/>
      </w:pPr>
    </w:p>
    <w:p w14:paraId="3A9745B9" w14:textId="77777777" w:rsidR="00A8138F" w:rsidRDefault="00A8138F" w:rsidP="00A8138F">
      <w:pPr>
        <w:pStyle w:val="TextoNormal"/>
      </w:pPr>
      <w:r>
        <w:t>Lo anterior conlleva, para el fiscal, analizar si la otra justificación que dan los acuerdos impugnados de la junta de portavoces y de la mesa de la Cámara, en sus respectivos acuerdos de 21 de septiembre de 2021, que se concreta en que las enmiendas han sido habitualmente consideradas como una iniciativa cuando dan lugar a un debate parlamentario, es suficiente para entender motivados dichos acuerdos.</w:t>
      </w:r>
    </w:p>
    <w:p w14:paraId="2731DF18" w14:textId="77777777" w:rsidR="00A8138F" w:rsidRDefault="00A8138F" w:rsidP="00A8138F">
      <w:pPr>
        <w:pStyle w:val="TextoNormal"/>
      </w:pPr>
    </w:p>
    <w:p w14:paraId="66D01D28" w14:textId="77777777" w:rsidR="00A8138F" w:rsidRDefault="00A8138F" w:rsidP="00A8138F">
      <w:pPr>
        <w:pStyle w:val="TextoNormal"/>
      </w:pPr>
      <w:r>
        <w:t>Sin embargo, la nulidad del acuerdo de 13 de agosto de 2020 hace, de acuerdo con el escrito del fiscal, que esta segunda razón, en que se apoyan los acuerdos, pierda su significado pues aquella nulidad conlleva que el número de iniciativas que puede presentar el Grupo Parlamentario Mixto deje de ser el impedimento que ha determinado que no se incluyera en el orden del día la proposición no de ley presentada por el Grupo Parlamentario Mixto. Desaparecido, por tanto, uno de los motivos que determinó la denegación de la inclusión en el orden del día del Pleno de 23 de septiembre de 2021, como era la limitación del número de iniciativas que podía presentar el Grupo Mixto y los demás grupos de la Cámara y que restringía el derecho de iniciativa de aquel, los acuerdos impugnados quedan despojados de cualquier motivación y, por tanto, son nulos.</w:t>
      </w:r>
    </w:p>
    <w:p w14:paraId="3F93E285" w14:textId="77777777" w:rsidR="00A8138F" w:rsidRDefault="00A8138F" w:rsidP="00A8138F">
      <w:pPr>
        <w:pStyle w:val="TextoNormal"/>
      </w:pPr>
    </w:p>
    <w:p w14:paraId="4C04851F" w14:textId="096E580B" w:rsidR="00A8138F" w:rsidRDefault="00A8138F" w:rsidP="00A8138F">
      <w:pPr>
        <w:pStyle w:val="TextoNormal"/>
      </w:pPr>
      <w:r>
        <w:t>Así, por las razones expuestas, señala el escrito del fiscal que debe estimarse la alegada vulneración del derecho de participación política invocado por los demandantes de amparo respecto de los acuerdos impugnados y, en consecuencia, declarar la nulidad de los citados acuerdos para que la junta de portavoces se pronuncie sobre la pertinencia de la inclusión en el orden del día del Pleno de la proposición no de ley propuesta por el Grupo Parlamentario Mixto.</w:t>
      </w:r>
    </w:p>
    <w:p w14:paraId="19EC60B0" w14:textId="77777777" w:rsidR="00A8138F" w:rsidRDefault="00A8138F" w:rsidP="00A8138F">
      <w:pPr>
        <w:pStyle w:val="TextoNormal"/>
      </w:pPr>
    </w:p>
    <w:p w14:paraId="4535BD0C" w14:textId="2288CBEB" w:rsidR="00A8138F" w:rsidRDefault="00A8138F" w:rsidP="00A8138F">
      <w:pPr>
        <w:pStyle w:val="TextoNormal"/>
      </w:pPr>
      <w:r w:rsidRPr="00A8138F">
        <w:rPr>
          <w:rStyle w:val="NumeroAFNegritaCaracter"/>
        </w:rPr>
        <w:t>10</w:t>
      </w:r>
      <w:r>
        <w:t>. Por medio de diligencia de 13 de marzo de 2023 de la Secretaría de Justicia, se hace constar que se han recibido los escritos de alegaciones del Ministerio Fiscal, del procurador señor Ortega Fuentes y del letrado del Parlamento Vasco en contestación al traslado conferido, quedando el recurso de amparo pendiente para deliberación cuando por turno corresponda.</w:t>
      </w:r>
    </w:p>
    <w:p w14:paraId="29FF0B57" w14:textId="77777777" w:rsidR="00A8138F" w:rsidRDefault="00A8138F" w:rsidP="00A8138F">
      <w:pPr>
        <w:pStyle w:val="TextoNormal"/>
      </w:pPr>
    </w:p>
    <w:p w14:paraId="42121E0E" w14:textId="4C17DADF" w:rsidR="00A8138F" w:rsidRDefault="00A8138F" w:rsidP="00A8138F">
      <w:pPr>
        <w:pStyle w:val="TextoNormal"/>
      </w:pPr>
      <w:r w:rsidRPr="00A8138F">
        <w:rPr>
          <w:rStyle w:val="NumeroAFNegritaCaracter"/>
        </w:rPr>
        <w:t>11</w:t>
      </w:r>
      <w:r>
        <w:t>. Por providencia de 24 de abril de 2025 se señaló para deliberación y votación de la presente sentencia el día 28 del mismo mes y año.</w:t>
      </w:r>
    </w:p>
    <w:p w14:paraId="5CAE991D" w14:textId="77777777" w:rsidR="00A8138F" w:rsidRDefault="00A8138F" w:rsidP="00A8138F">
      <w:pPr>
        <w:pStyle w:val="TextoNormal"/>
      </w:pPr>
    </w:p>
    <w:p w14:paraId="09A44B69" w14:textId="77777777" w:rsidR="00A8138F" w:rsidRDefault="00A8138F" w:rsidP="00A8138F">
      <w:pPr>
        <w:pStyle w:val="TextoNormalNegritaCentrado"/>
        <w:keepNext/>
      </w:pPr>
      <w:r>
        <w:lastRenderedPageBreak/>
        <w:t>II. Fundamentos jurídicos</w:t>
      </w:r>
    </w:p>
    <w:p w14:paraId="5089A2C8" w14:textId="4B369FFB" w:rsidR="00A8138F" w:rsidRDefault="00A8138F" w:rsidP="00A8138F">
      <w:pPr>
        <w:pStyle w:val="TextoNormalNegritaCentrado"/>
        <w:keepNext/>
      </w:pPr>
    </w:p>
    <w:p w14:paraId="758350A0" w14:textId="77777777" w:rsidR="00A8138F" w:rsidRDefault="00A8138F" w:rsidP="00A8138F">
      <w:pPr>
        <w:pStyle w:val="TextoNormal"/>
      </w:pPr>
      <w:r w:rsidRPr="00A8138F">
        <w:rPr>
          <w:rStyle w:val="NumeroAFNegritaCaracter"/>
        </w:rPr>
        <w:t>1</w:t>
      </w:r>
      <w:r>
        <w:t xml:space="preserve">. </w:t>
      </w:r>
      <w:r w:rsidRPr="00A8138F">
        <w:rPr>
          <w:i/>
        </w:rPr>
        <w:t>Pretensiones de las partes</w:t>
      </w:r>
    </w:p>
    <w:p w14:paraId="5BE1FDD9" w14:textId="77777777" w:rsidR="00A8138F" w:rsidRDefault="00A8138F" w:rsidP="00A8138F">
      <w:pPr>
        <w:pStyle w:val="TextoNormal"/>
      </w:pPr>
    </w:p>
    <w:p w14:paraId="751B9C2E" w14:textId="77777777" w:rsidR="00A8138F" w:rsidRDefault="00A8138F" w:rsidP="00A8138F">
      <w:pPr>
        <w:pStyle w:val="TextoNormal"/>
      </w:pPr>
      <w:r>
        <w:t>El presente recurso de amparo, interpuesto de conformidad con el art. 42 LOTC, por la representación conjunta de doña Amaia Martínez Grisaleña, diputada de la formación política Vox en el Parlamento Vasco, y por el Grupo Mixto de la citada Cámara, integrado por aquella en calidad de único miembro, tiene por objeto la impugnación del acuerdo de la junta de portavoces del Parlamento Vasco celebrada el 14 de septiembre de 2021, en cuyo apartado 3 se fija el orden del día de la sesión plenaria del 23 de septiembre de 2021; del acuerdo de la misma junta de portavoces de 21 de septiembre de 2021, en cuyo apartado 1 se rechaza la reconsideración del acuerdo de 14 de septiembre de 2021; y del acuerdo de 21 de septiembre de 2021 de la mesa del Parlamento Vasco en el que la mesa se considera incompetente para resolver sobre la decisión de otro órgano parlamentario.</w:t>
      </w:r>
    </w:p>
    <w:p w14:paraId="1D3AFCD8" w14:textId="77777777" w:rsidR="00A8138F" w:rsidRDefault="00A8138F" w:rsidP="00A8138F">
      <w:pPr>
        <w:pStyle w:val="TextoNormal"/>
      </w:pPr>
    </w:p>
    <w:p w14:paraId="72D366C5" w14:textId="77777777" w:rsidR="00A8138F" w:rsidRDefault="00A8138F" w:rsidP="00A8138F">
      <w:pPr>
        <w:pStyle w:val="TextoNormal"/>
      </w:pPr>
      <w:r>
        <w:t xml:space="preserve">El recurso considera que los referidos acuerdos de la junta de portavoces y de la mesa del Parlamento Vasco han vulnerado el derecho de participación política reconocido en el art. 23 CE, pues han afectado al </w:t>
      </w:r>
      <w:r w:rsidRPr="00A8138F">
        <w:rPr>
          <w:i/>
        </w:rPr>
        <w:t>ius in officium</w:t>
      </w:r>
      <w:r>
        <w:t xml:space="preserve"> de la actora, en cuanto integrante del Grupo Mixto de la Cámara vasca, porque le han reducido desproporcionadamente sus posibilidades de planteamiento de iniciativas e intervenciones parlamentarias cuando el reglamento parlamentario prevé que el Grupo Mixto disponga de “idénticas” posibilidades que el resto de grupos de aquella Cámara; y son, adicionalmente, inconstitucionales en cuanto también vulneran los acuerdos de la mesa del Parlamento Vasco de 13 de agosto de 2020 que dicen ejecutar, ya que estos solo incluían, entre las iniciativas objeto de restricción, las proposiciones de ley, las proposiciones no de ley y las mociones consecuencia de interpelación; mientras que los acuerdos impugnados en el presente proceso amplían el ámbito de la limitación también a las enmiendas a la totalidad en el procedimiento legislativo.</w:t>
      </w:r>
    </w:p>
    <w:p w14:paraId="1C5EED01" w14:textId="77777777" w:rsidR="00A8138F" w:rsidRDefault="00A8138F" w:rsidP="00A8138F">
      <w:pPr>
        <w:pStyle w:val="TextoNormal"/>
      </w:pPr>
    </w:p>
    <w:p w14:paraId="7734C53D" w14:textId="77777777" w:rsidR="00A8138F" w:rsidRDefault="00A8138F" w:rsidP="00A8138F">
      <w:pPr>
        <w:pStyle w:val="TextoNormal"/>
      </w:pPr>
      <w:r>
        <w:t>Por su parte, la representación del Parlamento Vasco interesa la desestimación del recurso mostrando su expresa conformidad con los acuerdos impugnados.</w:t>
      </w:r>
    </w:p>
    <w:p w14:paraId="4131771B" w14:textId="77777777" w:rsidR="00A8138F" w:rsidRDefault="00A8138F" w:rsidP="00A8138F">
      <w:pPr>
        <w:pStyle w:val="TextoNormal"/>
      </w:pPr>
    </w:p>
    <w:p w14:paraId="68462526" w14:textId="6DB68BF8" w:rsidR="00A8138F" w:rsidRDefault="00A8138F" w:rsidP="00A8138F">
      <w:pPr>
        <w:pStyle w:val="TextoNormal"/>
      </w:pPr>
      <w:r>
        <w:t>Finalmente, el Ministerio Fiscal interesa la estimación del recurso de amparo, porque entiende que la inconstitucionalidad y nulidad del acuerdo de 13 de agosto de 2020 declarada por la STC 38/2022, de 11 de marzo, y que restringía el derecho de iniciativa de los grupos parlamentarios y específicamente del Grupo Mixto, despoja a los acuerdos aquí impugnados de cualquier motivación y, por tanto, son nulos.</w:t>
      </w:r>
    </w:p>
    <w:p w14:paraId="0A159617" w14:textId="77777777" w:rsidR="00A8138F" w:rsidRDefault="00A8138F" w:rsidP="00A8138F">
      <w:pPr>
        <w:pStyle w:val="TextoNormal"/>
      </w:pPr>
    </w:p>
    <w:p w14:paraId="5E692F59" w14:textId="77777777" w:rsidR="00A8138F" w:rsidRDefault="00A8138F" w:rsidP="00A8138F">
      <w:pPr>
        <w:pStyle w:val="TextoNormal"/>
      </w:pPr>
      <w:r w:rsidRPr="00A8138F">
        <w:rPr>
          <w:rStyle w:val="NumeroAFNegritaCaracter"/>
        </w:rPr>
        <w:t>2</w:t>
      </w:r>
      <w:r>
        <w:t xml:space="preserve">. </w:t>
      </w:r>
      <w:r w:rsidRPr="00A8138F">
        <w:rPr>
          <w:i/>
        </w:rPr>
        <w:t>Delimitación del objeto y contenido de los acuerdos impugnados</w:t>
      </w:r>
    </w:p>
    <w:p w14:paraId="33529A60" w14:textId="77777777" w:rsidR="00A8138F" w:rsidRDefault="00A8138F" w:rsidP="00A8138F">
      <w:pPr>
        <w:pStyle w:val="TextoNormal"/>
      </w:pPr>
    </w:p>
    <w:p w14:paraId="4774DED8" w14:textId="77777777" w:rsidR="00A8138F" w:rsidRDefault="00A8138F" w:rsidP="00A8138F">
      <w:pPr>
        <w:pStyle w:val="TextoNormal"/>
      </w:pPr>
      <w:r>
        <w:t>De acuerdo con lo expuesto, el objeto del presente recurso de amparo se contrae a determinar la eventual vulneración del derecho fundamental de participación política recogido en el art. 23 CE por los referidos acuerdos de la junta de portavoces y de la mesa del Parlamento Vasco.</w:t>
      </w:r>
    </w:p>
    <w:p w14:paraId="36F3FD8F" w14:textId="77777777" w:rsidR="00A8138F" w:rsidRDefault="00A8138F" w:rsidP="00A8138F">
      <w:pPr>
        <w:pStyle w:val="TextoNormal"/>
      </w:pPr>
    </w:p>
    <w:p w14:paraId="572DF42A" w14:textId="77777777" w:rsidR="00A8138F" w:rsidRDefault="00A8138F" w:rsidP="00A8138F">
      <w:pPr>
        <w:pStyle w:val="TextoNormal"/>
      </w:pPr>
      <w:r>
        <w:t xml:space="preserve">a) En lo que se refiere a los acuerdos de la junta de portavoces impugnados estos han impedido que el Grupo Parlamentario Mixto pudiera sustanciar una proposición no de ley en la sesión plenaria de 23 de septiembre de 2021, al aplicar el acuerdo de la mesa de 13 de </w:t>
      </w:r>
      <w:r>
        <w:lastRenderedPageBreak/>
        <w:t>agosto de 2020 que le otorgó a aquel grupo la posibilidad de incluir una iniciativa cada tres plenos.</w:t>
      </w:r>
    </w:p>
    <w:p w14:paraId="33AA820A" w14:textId="77777777" w:rsidR="00A8138F" w:rsidRDefault="00A8138F" w:rsidP="00A8138F">
      <w:pPr>
        <w:pStyle w:val="TextoNormal"/>
      </w:pPr>
    </w:p>
    <w:p w14:paraId="3930C404" w14:textId="77777777" w:rsidR="00A8138F" w:rsidRDefault="00A8138F" w:rsidP="00A8138F">
      <w:pPr>
        <w:pStyle w:val="TextoNormal"/>
      </w:pPr>
      <w:r>
        <w:t>En este sentido, del contenido en el acta de reunión de la junta de portavoces celebrada el 21 de septiembre de 2021, así como de lo recogido tanto en la demanda de amparo como en el acta de la reunión de la mesa del Parlamento Vasco de 21 de septiembre de 2021, se deduce que la junta de portavoces, en su reunión de 14 de septiembre de 2021, habría excluido del orden del día de la sesión plenaria de 23 de septiembre, la proposición no de ley formulada por el Grupo Mixto sobre la situación de los contenidos en el currículo de la educación secundaria obligatoria por el hecho de haber incluido en una sesión plenaria ese mismo grupo una enmienda a la totalidad al proyecto de ley del sector público vasco.</w:t>
      </w:r>
    </w:p>
    <w:p w14:paraId="135B0ACA" w14:textId="77777777" w:rsidR="00A8138F" w:rsidRDefault="00A8138F" w:rsidP="00A8138F">
      <w:pPr>
        <w:pStyle w:val="TextoNormal"/>
      </w:pPr>
    </w:p>
    <w:p w14:paraId="382A7E1A" w14:textId="77777777" w:rsidR="00A8138F" w:rsidRDefault="00A8138F" w:rsidP="00A8138F">
      <w:pPr>
        <w:pStyle w:val="TextoNormal"/>
      </w:pPr>
      <w:r>
        <w:t>Tal exclusión habría sido confirmada por la reunión de la junta de portavoces celebrada el 21 de septiembre de 2021 al rechazar la reconsideración planteada ante la misma.</w:t>
      </w:r>
    </w:p>
    <w:p w14:paraId="65BF20A4" w14:textId="77777777" w:rsidR="00A8138F" w:rsidRDefault="00A8138F" w:rsidP="00A8138F">
      <w:pPr>
        <w:pStyle w:val="TextoNormal"/>
      </w:pPr>
    </w:p>
    <w:p w14:paraId="1AB48E7E" w14:textId="1B9E4CA9" w:rsidR="00A8138F" w:rsidRDefault="00A8138F" w:rsidP="00A8138F">
      <w:pPr>
        <w:pStyle w:val="TextoNormal"/>
      </w:pPr>
      <w:r>
        <w:t>b) En lo que se refiere al acuerdo de la mesa del Parlamento Vasco de 21 de septiembre de 2021, que resuelve la reconsideración planteada ante la mesa contra el acuerdo de la junta de portavoces de 14 de septiembre, se recuerda, en primer lugar, que el Reglamento de la Cámara en su art. 36.2, dispone que cualquier parlamentario que discrepe de una decisión adoptada por la mesa podrá solicitar su reconsideración. La mesa, sin embargo, entiende que no es competente para resolver sobre una decisión de otro órgano parlamentario y, considera que es la propia junta de portavoces quién debe decidir sobre la reconsideración o no de su acuerdo. No obstante lo anterior recuerda que “[l]a mesa, en su acuerdo de 13 de agosto de 2020, aprobó la propuesta de ordenación de los órdenes del día y de los tiempos de debate en las sesiones plenarias. De acuerdo con la interpretación que ha realizado la junta de portavoces de este acuerdo, se han conformado los órdenes del día de los plenos atendiendo al principio de equidad y considerando de manera idéntica, para todos los grupos parlamentarios, que las enmiendas a la totalidad presentadas a los proyectos de ley constituyen una iniciativa del grupo parlamentario enmendante. Por tanto, la enmienda a la totalidad debe ser contabilizada a la hora de establecer el cupo de iniciativas que corresponde a cada uno de los grupos parlamentarios, ya que la presentación de una enmienda supone la inclusión de un nuevo debate en la sesión plenaria”.</w:t>
      </w:r>
    </w:p>
    <w:p w14:paraId="5FB24663" w14:textId="77777777" w:rsidR="00A8138F" w:rsidRDefault="00A8138F" w:rsidP="00A8138F">
      <w:pPr>
        <w:pStyle w:val="TextoNormal"/>
      </w:pPr>
    </w:p>
    <w:p w14:paraId="25B86FAB" w14:textId="77777777" w:rsidR="00A8138F" w:rsidRDefault="00A8138F" w:rsidP="00A8138F">
      <w:pPr>
        <w:pStyle w:val="TextoNormal"/>
      </w:pPr>
      <w:r w:rsidRPr="00A8138F">
        <w:rPr>
          <w:rStyle w:val="NumeroAFNegritaCaracter"/>
        </w:rPr>
        <w:t>3</w:t>
      </w:r>
      <w:r>
        <w:t xml:space="preserve">. </w:t>
      </w:r>
      <w:r w:rsidRPr="00A8138F">
        <w:rPr>
          <w:i/>
        </w:rPr>
        <w:t>Consideraciones sobre la incidencia de lo resuelto en la STC 38/2022, de 11 de marzo, sobre el presente proceso. Estimación parcial del recurso</w:t>
      </w:r>
    </w:p>
    <w:p w14:paraId="43127703" w14:textId="77777777" w:rsidR="00A8138F" w:rsidRDefault="00A8138F" w:rsidP="00A8138F">
      <w:pPr>
        <w:pStyle w:val="TextoNormal"/>
      </w:pPr>
    </w:p>
    <w:p w14:paraId="292180A2" w14:textId="77777777" w:rsidR="00A8138F" w:rsidRDefault="00A8138F" w:rsidP="00A8138F">
      <w:pPr>
        <w:pStyle w:val="TextoNormal"/>
      </w:pPr>
      <w:r>
        <w:t>De acuerdo con lo afirmado en la STC 173/2020, de 19 de noviembre, FJ 4, “la no inclusión de los puntos del orden del día necesarios para la sustanciación de las iniciativas parlamentarias de control e impulso de la acción del gobierno que hayan sido debidamente tramitadas por los diputados y por los grupos parlamentarios, podría imposibilitar el efectivo ejercicio de derechos o facultades de los diputados que pertenecen al núcleo de su función representativa protegida por el art. 23.2 CE”.</w:t>
      </w:r>
    </w:p>
    <w:p w14:paraId="7FD5A79E" w14:textId="77777777" w:rsidR="00A8138F" w:rsidRDefault="00A8138F" w:rsidP="00A8138F">
      <w:pPr>
        <w:pStyle w:val="TextoNormal"/>
      </w:pPr>
    </w:p>
    <w:p w14:paraId="0E68B6D8" w14:textId="77777777" w:rsidR="00A8138F" w:rsidRDefault="00A8138F" w:rsidP="00A8138F">
      <w:pPr>
        <w:pStyle w:val="TextoNormal"/>
      </w:pPr>
      <w:r>
        <w:t xml:space="preserve">Ciertamente ello no excluye la posibilidad de establecer, por parte de los órganos de la Cámara, limitaciones a tal inclusión, pero impone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solo </w:t>
      </w:r>
      <w:r>
        <w:lastRenderedPageBreak/>
        <w:t xml:space="preserve">de vulnerar el derecho fundamental del representante de los ciudadanos a ejercer su cargo (art. 23.2 CE), sino también de infringir el de estos a participar en los asuntos públicos </w:t>
      </w:r>
      <w:r w:rsidRPr="00A8138F">
        <w:rPr>
          <w:i/>
        </w:rPr>
        <w:t>ex</w:t>
      </w:r>
      <w:r>
        <w:t xml:space="preserve"> art. 23.1 CE” [SSTC 23/2015, de 16 de febrero, FJ 3, y 47/2018, de 26 de abril, FJ 3 b), entre otras muchas].</w:t>
      </w:r>
    </w:p>
    <w:p w14:paraId="15F58E35" w14:textId="77777777" w:rsidR="00A8138F" w:rsidRDefault="00A8138F" w:rsidP="00A8138F">
      <w:pPr>
        <w:pStyle w:val="TextoNormal"/>
      </w:pPr>
    </w:p>
    <w:p w14:paraId="2FD55642" w14:textId="77777777" w:rsidR="00A8138F" w:rsidRDefault="00A8138F" w:rsidP="00A8138F">
      <w:pPr>
        <w:pStyle w:val="TextoNormal"/>
      </w:pPr>
      <w:r>
        <w:t>En el caso que nos ocupa, de los acuerdos impugnados en el presente recurso de amparo se desprende que la junta de portavoces de 14 de septiembre de 2021 decidió sobre el orden del día de la sesión ordinaria plenaria prevista para el día 23 de septiembre de 2021, excluyendo la inclusión de la proposición no de ley relativa a la situación de los contenidos en el currículo de la Educación Secundaria Obligatoria del Grupo Parlamentario Mixto. Y ello lo hizo con fundamento en lo dispuesto en el acuerdo de la mesa del Parlamento Vasco de 13 de agosto de 2020 por el que se establece que al Grupo Mixto le correspondería incluir una iniciativa cada tres plenos ordinarios, mientras que al resto de grupos parlamentarios les correspondería un máximo de dos iniciativas en cada orden del día.</w:t>
      </w:r>
    </w:p>
    <w:p w14:paraId="0C334A53" w14:textId="77777777" w:rsidR="00A8138F" w:rsidRDefault="00A8138F" w:rsidP="00A8138F">
      <w:pPr>
        <w:pStyle w:val="TextoNormal"/>
      </w:pPr>
    </w:p>
    <w:p w14:paraId="2EC2D2F2" w14:textId="77777777" w:rsidR="00A8138F" w:rsidRDefault="00A8138F" w:rsidP="00A8138F">
      <w:pPr>
        <w:pStyle w:val="TextoNormal"/>
      </w:pPr>
      <w:r>
        <w:t>Este tribunal en la STC 38/2022, de 11 de marzo, ha resuelto la impugnación planteada por el Grupo Mixto del Parlamento Vasco y por la parlamentaria doña Amaia Martínez Grisaleña, integrada en dicho grupo, frente a los acuerdos de la mesa del Parlamento Vasco de 13 de agosto y de 8 de septiembre de 2020.</w:t>
      </w:r>
    </w:p>
    <w:p w14:paraId="7C14798A" w14:textId="77777777" w:rsidR="00A8138F" w:rsidRDefault="00A8138F" w:rsidP="00A8138F">
      <w:pPr>
        <w:pStyle w:val="TextoNormal"/>
      </w:pPr>
    </w:p>
    <w:p w14:paraId="59A19D46" w14:textId="77777777" w:rsidR="00A8138F" w:rsidRDefault="00A8138F" w:rsidP="00A8138F">
      <w:pPr>
        <w:pStyle w:val="TextoNormal"/>
      </w:pPr>
      <w:r>
        <w:t>El primero de aquellos acuerdos estableció: (i) los órdenes del día y los tiempos de debate en las sesiones plenarias de la legislatura, asignando al Grupo Mixto, integrado por la citada diputada de Vox, un régimen de intervenciones e iniciativas parlamentarias inferior al que se atribuía al resto de grupos parlamentarios; (ii) le denegó la denominación de Grupo Parlamentario Mixto-Vox, que había solicitado, quedando únicamente con la referencia de Grupo Mixto; y (iii) rechazó el número solicitado de tres asistentes colaboradores, que limitó a uno.</w:t>
      </w:r>
    </w:p>
    <w:p w14:paraId="41C9B4E1" w14:textId="77777777" w:rsidR="00A8138F" w:rsidRDefault="00A8138F" w:rsidP="00A8138F">
      <w:pPr>
        <w:pStyle w:val="TextoNormal"/>
      </w:pPr>
    </w:p>
    <w:p w14:paraId="677B0512" w14:textId="77777777" w:rsidR="00A8138F" w:rsidRDefault="00A8138F" w:rsidP="00A8138F">
      <w:pPr>
        <w:pStyle w:val="TextoNormal"/>
      </w:pPr>
      <w:r>
        <w:t>El segundo de aquellos acuerdos desestimó la solicitud de reconsideración formulada contra el primero.</w:t>
      </w:r>
    </w:p>
    <w:p w14:paraId="0E57E6D1" w14:textId="77777777" w:rsidR="00A8138F" w:rsidRDefault="00A8138F" w:rsidP="00A8138F">
      <w:pPr>
        <w:pStyle w:val="TextoNormal"/>
      </w:pPr>
    </w:p>
    <w:p w14:paraId="76CC03F7" w14:textId="77777777" w:rsidR="00A8138F" w:rsidRDefault="00A8138F" w:rsidP="00A8138F">
      <w:pPr>
        <w:pStyle w:val="TextoNormal"/>
      </w:pPr>
      <w:r>
        <w:t xml:space="preserve">En lo que interesa al presente proceso —que sería aquello que se refiere a la ordenación de los órdenes del día y de los tiempos de debate de las sesiones plenarias—, la STC 38/2022 consideró que en el acuerdo de la mesa del Parlamento Vasco de 13 de agosto se había establecido un trato diferencial que quiebra la igualdad en el ejercicio del derecho de participación política de los recurrentes, tanto del Grupo Mixto como de la parlamentaria que lo integra por lo que estimó parcialmente el recurso de amparo interpuesto y, en su virtud decidió, por un lado, declarar que el acuerdo de la mesa del Parlamento Vasco en relación con la propuesta núm. 2020-2094, de 13 de agosto de 2020, relativa a los órdenes del día e intervenciones del Grupo Mixto en el Parlamento Vasco, había vulnerado el derecho de participación política de los recurrentes en su vertiente del </w:t>
      </w:r>
      <w:r w:rsidRPr="00A8138F">
        <w:rPr>
          <w:i/>
        </w:rPr>
        <w:t>ius in officium</w:t>
      </w:r>
      <w:r>
        <w:t xml:space="preserve"> (art. 23 CE); y, por otro, restablecer a los recurrentes en su derecho anulando en tal punto los acuerdos de la mesa de la Cámara de 13 de agosto y de 8 de septiembre de 2020.</w:t>
      </w:r>
    </w:p>
    <w:p w14:paraId="086CE902" w14:textId="77777777" w:rsidR="00A8138F" w:rsidRDefault="00A8138F" w:rsidP="00A8138F">
      <w:pPr>
        <w:pStyle w:val="TextoNormal"/>
      </w:pPr>
    </w:p>
    <w:p w14:paraId="3A27641F" w14:textId="77777777" w:rsidR="00A8138F" w:rsidRDefault="00A8138F" w:rsidP="00A8138F">
      <w:pPr>
        <w:pStyle w:val="TextoNormal"/>
      </w:pPr>
      <w:r>
        <w:t>La indicada STC 38/2022 cobra relevancia en el presente proceso bajo la siguiente perspectiva.</w:t>
      </w:r>
    </w:p>
    <w:p w14:paraId="63DEF46A" w14:textId="77777777" w:rsidR="00A8138F" w:rsidRDefault="00A8138F" w:rsidP="00A8138F">
      <w:pPr>
        <w:pStyle w:val="TextoNormal"/>
      </w:pPr>
    </w:p>
    <w:p w14:paraId="43A27DF9" w14:textId="77777777" w:rsidR="00A8138F" w:rsidRDefault="00A8138F" w:rsidP="00A8138F">
      <w:pPr>
        <w:pStyle w:val="TextoNormal"/>
      </w:pPr>
      <w:r>
        <w:lastRenderedPageBreak/>
        <w:t>a) De conformidad con lo señalado por el Ministerio Fiscal la declaración de nulidad de los referidos acuerdos de la mesa del año 2020 —en los que se determinaban las reglas relativas a la organización de los órdenes del día y los tiempos de debate en las sesiones plenarias del Grupo Parlamentario Mixto— por infringir el derecho de participación política del art. 23.2 CE, ha dejado sin sustento los acuerdos de la junta de portavoces de septiembre de 2021 aquí impugnados. En efecto, esa declaración de nulidad hace desaparecer la previsión que justificaba la limitación del número de iniciativas que podía presentar el Grupo Parlamentario Mixto en el Parlamento Vasco, por lo que los acuerdos de la junta de portavoces aquí impugnados quedan despojados de motivación e incurren en la misma vulneración del derecho de participación política que aquellos acuerdos de la mesa de 2020 en los que se amparaban, pues suponen un trato diferencial que quiebra la igualdad en el ejercicio del derecho de participación política de los recurrentes.</w:t>
      </w:r>
    </w:p>
    <w:p w14:paraId="449E02EF" w14:textId="77777777" w:rsidR="00A8138F" w:rsidRDefault="00A8138F" w:rsidP="00A8138F">
      <w:pPr>
        <w:pStyle w:val="TextoNormal"/>
      </w:pPr>
    </w:p>
    <w:p w14:paraId="0B655778" w14:textId="77777777" w:rsidR="00A8138F" w:rsidRDefault="00A8138F" w:rsidP="00A8138F">
      <w:pPr>
        <w:pStyle w:val="TextoNormal"/>
      </w:pPr>
      <w:r>
        <w:t>Así, la falta de justificación sobrevenida en relación con la no inclusión de la proposición de ley del Grupo Parlamentario Mixto en una concreta sesión plenaria ha imposibilitado el efectivo ejercicio de un derecho o facultad que pertenece al núcleo de su función representativa protegida por el art. 23.2 CE. En consecuencia procede declarar la inconstitucionalidad y nulidad del apartado 3 del acuerdo de la junta de portavoces del Parlamento Vasco de 14 de septiembre de 2021, en el que se fija el orden del día de la sesión plenaria del 23 de septiembre de 2021, y del acuerdo de la junta de portavoces de 21 de septiembre de 2021, en cuyo apartado 1 se rechaza la reconsideración del acuerdo de 14 de septiembre de 2021, pues esos acuerdos se han fundado en unas limitaciones a las iniciativas que podía presentar el Grupo Parlamentario Mixto en el Parlamento Vasco establecidas en unos acuerdos de la mesa de 2020 que han sido, en cuanto a esas limitaciones, declarados nulos por la STC 38/2022, por ser contrarias al derecho fundamental del art. 23.2 CE.</w:t>
      </w:r>
    </w:p>
    <w:p w14:paraId="320C4E6B" w14:textId="77777777" w:rsidR="00A8138F" w:rsidRDefault="00A8138F" w:rsidP="00A8138F">
      <w:pPr>
        <w:pStyle w:val="TextoNormal"/>
      </w:pPr>
    </w:p>
    <w:p w14:paraId="41A6D674" w14:textId="77777777" w:rsidR="00A8138F" w:rsidRDefault="00A8138F" w:rsidP="00A8138F">
      <w:pPr>
        <w:pStyle w:val="TextoNormal"/>
      </w:pPr>
      <w:r>
        <w:t>b) Distinta suerte ha de correr, sin embargo, la impugnación del acuerdo de la mesa del Parlamento Vasco de 21 de septiembre de 2021, que resuelve la reconsideración planteada ante ella contra el acuerdo de la junta de portavoces de 14 de septiembre, pues la causa que justifica su rechazo es la incompetencia de la mesa para resolver sobre una decisión de otro órgano parlamentario y la consideración de que es la propia junta de portavoces quién debe decidir sobre la reconsideración o no de su acuerdo.</w:t>
      </w:r>
    </w:p>
    <w:p w14:paraId="54E318BC" w14:textId="77777777" w:rsidR="00A8138F" w:rsidRDefault="00A8138F" w:rsidP="00A8138F">
      <w:pPr>
        <w:pStyle w:val="TextoNormal"/>
      </w:pPr>
    </w:p>
    <w:p w14:paraId="23853055" w14:textId="77777777" w:rsidR="00A8138F" w:rsidRDefault="00A8138F" w:rsidP="00A8138F">
      <w:pPr>
        <w:pStyle w:val="TextoNormal"/>
      </w:pPr>
      <w:r>
        <w:t>Así, si bien es cierto que el Reglamento del Parlamento Vasco en el apartado 2 del art. 36, dispone que cualquier parlamentario que discrepe de una decisión adoptada por la mesa en el ejercicio de las funciones a las que se refieren los puntos 5 y 6 del apartado 1 del art. 36, podrá solicitar su reconsideración, la competencia para la fijación del orden del día de las sesiones del Pleno no le corresponde a la mesa, sino que, de conformidad con el art. 63 RPV, el orden del día de tales sesiones se fijará por la Presidencia de acuerdo con la junta de portavoces.</w:t>
      </w:r>
    </w:p>
    <w:p w14:paraId="442E3B62" w14:textId="77777777" w:rsidR="00A8138F" w:rsidRDefault="00A8138F" w:rsidP="00A8138F">
      <w:pPr>
        <w:pStyle w:val="TextoNormal"/>
      </w:pPr>
    </w:p>
    <w:p w14:paraId="0D761B82" w14:textId="38EE1D1F" w:rsidR="00A8138F" w:rsidRDefault="00A8138F" w:rsidP="00A8138F">
      <w:pPr>
        <w:pStyle w:val="TextoNormal"/>
      </w:pPr>
      <w:r>
        <w:t>Por tanto, la negativa de la mesa a resolver la reconsideración frente a un acto de otro órgano de la Cámara se sustenta en una escrupulosa aplicación del art. 36.2 RPV, lo que debe conducir a la desestimación de la impugnación planteada frente al acuerdo de la mesa del Parlamento Vasco de 21 de septiembre de 2021.</w:t>
      </w:r>
    </w:p>
    <w:p w14:paraId="2892B6EA" w14:textId="77777777" w:rsidR="00A8138F" w:rsidRDefault="00A8138F" w:rsidP="00A8138F">
      <w:pPr>
        <w:pStyle w:val="TextoNormal"/>
      </w:pPr>
    </w:p>
    <w:p w14:paraId="51E2764A" w14:textId="77777777" w:rsidR="00A8138F" w:rsidRDefault="00A8138F" w:rsidP="00A8138F">
      <w:pPr>
        <w:pStyle w:val="TextoNormalCentrado"/>
        <w:keepNext/>
      </w:pPr>
      <w:r>
        <w:lastRenderedPageBreak/>
        <w:t>FALLO</w:t>
      </w:r>
    </w:p>
    <w:p w14:paraId="0C760ECD" w14:textId="28229608" w:rsidR="00A8138F" w:rsidRDefault="00A8138F" w:rsidP="00A8138F">
      <w:pPr>
        <w:pStyle w:val="TextoNormalCentrado"/>
        <w:keepNext/>
      </w:pPr>
    </w:p>
    <w:p w14:paraId="651F1811" w14:textId="77777777" w:rsidR="00A8138F" w:rsidRDefault="00A8138F" w:rsidP="00A8138F">
      <w:pPr>
        <w:pStyle w:val="TextoNormal"/>
      </w:pPr>
      <w:r>
        <w:t>En atención a todo lo expuesto, el Tribunal Constitucional, por la autoridad que le confiere la Constitución de la Nación española, ha decidido estimar parcialmente el recurso de amparo interpuesto por el Grupo Mixto del Parlamento Vasco y por la parlamentaria doña Amaia Martínez Grisaleña, integrada en dicho grupo y, en su virtud:</w:t>
      </w:r>
    </w:p>
    <w:p w14:paraId="7B2D6E26" w14:textId="77777777" w:rsidR="00A8138F" w:rsidRDefault="00A8138F" w:rsidP="00A8138F">
      <w:pPr>
        <w:pStyle w:val="TextoNormal"/>
      </w:pPr>
    </w:p>
    <w:p w14:paraId="228C6BA7" w14:textId="77777777" w:rsidR="00A8138F" w:rsidRDefault="00A8138F" w:rsidP="00A8138F">
      <w:pPr>
        <w:pStyle w:val="TextoNormal"/>
      </w:pPr>
      <w:r>
        <w:t xml:space="preserve">1º Declarar que el apartado 3 del acuerdo de la junta de portavoces del Parlamento Vasco de 14 de septiembre de 2021, en el que se fija el orden del día de la sesión plenaria del 23 de septiembre de 2021; y el acuerdo de la junta de portavoces de 21 de septiembre de 2021, en cuyo apartado 1 se rechaza la reconsideración del acuerdo de 14 de septiembre de 2021, han vulnerado el derecho de participación política de los recurrentes en su vertiente del </w:t>
      </w:r>
      <w:r w:rsidRPr="00A8138F">
        <w:rPr>
          <w:i/>
        </w:rPr>
        <w:t>ius in officium</w:t>
      </w:r>
      <w:r>
        <w:t xml:space="preserve"> (art. 23 CE).</w:t>
      </w:r>
    </w:p>
    <w:p w14:paraId="32EC833E" w14:textId="77777777" w:rsidR="00A8138F" w:rsidRDefault="00A8138F" w:rsidP="00A8138F">
      <w:pPr>
        <w:pStyle w:val="TextoNormal"/>
      </w:pPr>
    </w:p>
    <w:p w14:paraId="0ECE3648" w14:textId="77777777" w:rsidR="00A8138F" w:rsidRDefault="00A8138F" w:rsidP="00A8138F">
      <w:pPr>
        <w:pStyle w:val="TextoNormal"/>
      </w:pPr>
      <w:r>
        <w:t>2º Declarar la nulidad de los acuerdos anteriores en los extremos indicados.</w:t>
      </w:r>
    </w:p>
    <w:p w14:paraId="17C83E9A" w14:textId="77777777" w:rsidR="00A8138F" w:rsidRDefault="00A8138F" w:rsidP="00A8138F">
      <w:pPr>
        <w:pStyle w:val="TextoNormal"/>
      </w:pPr>
    </w:p>
    <w:p w14:paraId="0938187F" w14:textId="77777777" w:rsidR="00A8138F" w:rsidRDefault="00A8138F" w:rsidP="00A8138F">
      <w:pPr>
        <w:pStyle w:val="TextoNormal"/>
      </w:pPr>
      <w:r>
        <w:t>3º No proceder a adoptar medida de restablecimiento del derecho vulnerado, pues los acuerdos fueron aprobados en una legislatura ya finalizada.</w:t>
      </w:r>
    </w:p>
    <w:p w14:paraId="38CE8F9D" w14:textId="77777777" w:rsidR="00A8138F" w:rsidRDefault="00A8138F" w:rsidP="00A8138F">
      <w:pPr>
        <w:pStyle w:val="TextoNormal"/>
      </w:pPr>
    </w:p>
    <w:p w14:paraId="2DF4C1E6" w14:textId="67685B97" w:rsidR="00A8138F" w:rsidRDefault="00A8138F" w:rsidP="00A8138F">
      <w:pPr>
        <w:pStyle w:val="TextoNormal"/>
      </w:pPr>
      <w:r>
        <w:t>4º Denegar el amparo en todo lo demás.</w:t>
      </w:r>
    </w:p>
    <w:p w14:paraId="5F1F627C" w14:textId="77777777" w:rsidR="00A8138F" w:rsidRDefault="00A8138F" w:rsidP="00A8138F">
      <w:pPr>
        <w:pStyle w:val="TextoNormal"/>
      </w:pPr>
    </w:p>
    <w:p w14:paraId="21E28908" w14:textId="77777777" w:rsidR="00A8138F" w:rsidRDefault="00A8138F" w:rsidP="00A8138F">
      <w:pPr>
        <w:pStyle w:val="TextoNormal"/>
      </w:pPr>
      <w:r>
        <w:t>Publíquese esta sentencia en el “Boletín Oficial del Estado”.</w:t>
      </w:r>
    </w:p>
    <w:p w14:paraId="13ACF97B" w14:textId="77777777" w:rsidR="00A8138F" w:rsidRDefault="00A8138F" w:rsidP="00A8138F">
      <w:pPr>
        <w:pStyle w:val="TextoNormal"/>
      </w:pPr>
      <w:r>
        <w:t>Dada en Madrid, a veintiocho de abril de dos mil veinticinco.</w:t>
      </w:r>
    </w:p>
    <w:p w14:paraId="00B42159" w14:textId="19700A68" w:rsidR="00A8138F" w:rsidRDefault="00A8138F">
      <w:pPr>
        <w:spacing w:after="160" w:line="278" w:lineRule="auto"/>
        <w:rPr>
          <w:rFonts w:ascii="Times New Roman" w:eastAsia="Times New Roman" w:hAnsi="Times New Roman" w:cs="Times New Roman"/>
          <w:sz w:val="24"/>
          <w:szCs w:val="24"/>
          <w:lang w:eastAsia="es-ES"/>
        </w:rPr>
      </w:pPr>
      <w:r>
        <w:br w:type="page"/>
      </w:r>
    </w:p>
    <w:p w14:paraId="4B545BA3" w14:textId="77777777" w:rsidR="00A8138F" w:rsidRDefault="00A8138F" w:rsidP="00A8138F">
      <w:pPr>
        <w:pStyle w:val="TtuloResolucin"/>
      </w:pPr>
      <w:bookmarkStart w:id="100" w:name="SENTENCIA_2025_98"/>
      <w:r>
        <w:lastRenderedPageBreak/>
        <w:t>SENTENCIA 98/2025, de 28 de abril de 2025</w:t>
      </w:r>
    </w:p>
    <w:bookmarkEnd w:id="100"/>
    <w:p w14:paraId="16F04AC3" w14:textId="77777777" w:rsidR="00A8138F" w:rsidRDefault="00A8138F" w:rsidP="00A8138F">
      <w:pPr>
        <w:pStyle w:val="TtuloResolucin"/>
      </w:pPr>
      <w:r>
        <w:t>Sala Segunda</w:t>
      </w:r>
    </w:p>
    <w:p w14:paraId="500ED27B" w14:textId="77777777" w:rsidR="00A8138F" w:rsidRDefault="00A8138F" w:rsidP="00A8138F">
      <w:pPr>
        <w:pStyle w:val="TtuloBOE"/>
      </w:pPr>
      <w:r>
        <w:t>(BOE núm. 135, de 5 de junio de 2025)</w:t>
      </w:r>
    </w:p>
    <w:p w14:paraId="19906A49" w14:textId="77777777" w:rsidR="00A8138F" w:rsidRDefault="00A8138F" w:rsidP="00A8138F">
      <w:pPr>
        <w:pStyle w:val="TextoNormalCentrado"/>
      </w:pPr>
      <w:r>
        <w:t>ECLI:ES:TC:2025:98</w:t>
      </w:r>
    </w:p>
    <w:p w14:paraId="16BDDAA1" w14:textId="0C7903B8" w:rsidR="00A8138F" w:rsidRDefault="00A8138F" w:rsidP="00A8138F">
      <w:pPr>
        <w:pStyle w:val="TextoNormalCentrado"/>
      </w:pPr>
    </w:p>
    <w:p w14:paraId="775E9FF9" w14:textId="77777777" w:rsidR="00A8138F" w:rsidRDefault="00A8138F" w:rsidP="00A8138F">
      <w:pPr>
        <w:pStyle w:val="SntesisDescriptiva"/>
      </w:pPr>
      <w:r>
        <w:t>Cuestión de inconstitucionalidad 900-2023. Planteada por la Sala de lo Contencioso-Administrativo del Tribunal Superior de Justicia de Navarra, en relación con el artículo 175.2 de la Ley Foral 2/1995, de 10 de marzo, de haciendas locales de Navarra.</w:t>
      </w:r>
    </w:p>
    <w:p w14:paraId="12AE077C" w14:textId="3961C8BC" w:rsidR="00A8138F" w:rsidRDefault="00A8138F" w:rsidP="00A8138F">
      <w:pPr>
        <w:pStyle w:val="SntesisDescriptiva"/>
      </w:pPr>
    </w:p>
    <w:p w14:paraId="66C4DBB7" w14:textId="77777777" w:rsidR="00A8138F" w:rsidRDefault="00A8138F" w:rsidP="00A8138F">
      <w:pPr>
        <w:pStyle w:val="SntesisAnaltica"/>
      </w:pPr>
      <w:r>
        <w:t>Principio de capacidad contributiva: STC 182/2021 [nulidad del precepto regulador del impuesto sobre el incremento de valor de los terrenos de naturaleza urbana que establece un sistema objetivo y de imperativa aplicación para la determinación de la base imponible del tributo (SSTC 59/2017 y 126/2019)]. Voto particular.</w:t>
      </w:r>
    </w:p>
    <w:p w14:paraId="5417F76C" w14:textId="460C73D7" w:rsidR="00A8138F" w:rsidRDefault="00A8138F" w:rsidP="00A8138F">
      <w:pPr>
        <w:pStyle w:val="SntesisAnaltica"/>
      </w:pPr>
    </w:p>
    <w:p w14:paraId="76D1EAEB" w14:textId="1B4F855C" w:rsidR="00A8138F" w:rsidRDefault="00A8138F" w:rsidP="00A8138F">
      <w:pPr>
        <w:pStyle w:val="Extracto"/>
      </w:pPr>
      <w:r>
        <w:t>1.</w:t>
      </w:r>
      <w:r>
        <w:tab/>
        <w:t>Los preceptos estatales establecen un único método de determinación de toda la base imponible del impuesto sobre el incremento del valor de los terrenos de naturaleza urbana (IIVTNU), de carácter objetivo y de imperativa aplicación. Así, en cuanto a su carácter objetivo u objetivado, se fijan dos elementos objetivos para calcular el importe del incremento gravado: (i) el valor del terreno en el momento de devengo por referencia a su valor catastral; y (ii) el porcentaje anual de incremento según el número de años transcurridos desde su adquisición (STC 182/2021). No se alude al criterio de la población de derecho del municipio [FJ 3].</w:t>
      </w:r>
    </w:p>
    <w:p w14:paraId="474C1A65" w14:textId="77777777" w:rsidR="00A8138F" w:rsidRDefault="00A8138F" w:rsidP="00A8138F">
      <w:pPr>
        <w:pStyle w:val="Extracto"/>
      </w:pPr>
    </w:p>
    <w:p w14:paraId="2B166F8C" w14:textId="5EEA3347" w:rsidR="00A8138F" w:rsidRDefault="00A8138F" w:rsidP="00A8138F">
      <w:pPr>
        <w:pStyle w:val="Extracto"/>
      </w:pPr>
      <w:r>
        <w:t>2.</w:t>
      </w:r>
      <w:r>
        <w:tab/>
        <w:t xml:space="preserve">La renuncia a gravar según la capacidad económica (real) manifestada en el hecho imponible estableciendo bases objetivas o estimativas no puede ser arbitraria, sino que exige justificación objetiva y razonable; justificación que debe ser más sólida cuanto más se aleje de la realidad el método objetivo elegido normativamente. En suma, la falta de conexión entre el hecho imponible y la base imponible no sería inconstitucional </w:t>
      </w:r>
      <w:r w:rsidRPr="00A8138F">
        <w:rPr>
          <w:i/>
        </w:rPr>
        <w:t>per se</w:t>
      </w:r>
      <w:r>
        <w:t>, salvo que carezca de justificación objetiva y razonable (STC 182/2021) [FJ 3].</w:t>
      </w:r>
    </w:p>
    <w:p w14:paraId="6C9BCBCD" w14:textId="77777777" w:rsidR="00A8138F" w:rsidRDefault="00A8138F" w:rsidP="00A8138F">
      <w:pPr>
        <w:pStyle w:val="Extracto"/>
      </w:pPr>
    </w:p>
    <w:p w14:paraId="36732637" w14:textId="2F662A18" w:rsidR="00A8138F" w:rsidRDefault="00A8138F" w:rsidP="00A8138F">
      <w:pPr>
        <w:pStyle w:val="Extracto"/>
      </w:pPr>
      <w:r>
        <w:t>3.</w:t>
      </w:r>
      <w:r>
        <w:tab/>
        <w:t xml:space="preserve">El mantenimiento del sistema objetivo y obligatorio de determinación de la base imponible, si es ajeno a la realidad del mercado inmobiliario y de crisis económica y, por tanto, está al margen de la capacidad económica gravada por el impuesto y demostrada por el contribuyente, vulnera el principio de capacidad económica como criterio de imposición, </w:t>
      </w:r>
      <w:r w:rsidRPr="00A8138F">
        <w:rPr>
          <w:i/>
        </w:rPr>
        <w:t>ex</w:t>
      </w:r>
      <w:r>
        <w:t xml:space="preserve"> art. 31.1 CE (STC 182/2021) [FJ 3].</w:t>
      </w:r>
    </w:p>
    <w:p w14:paraId="58B700D9" w14:textId="77777777" w:rsidR="00A8138F" w:rsidRDefault="00A8138F" w:rsidP="00A8138F">
      <w:pPr>
        <w:pStyle w:val="Extracto"/>
      </w:pPr>
    </w:p>
    <w:p w14:paraId="7ACBAC91" w14:textId="21DF5FAF" w:rsidR="00A8138F" w:rsidRDefault="00A8138F" w:rsidP="00A8138F">
      <w:pPr>
        <w:pStyle w:val="Extracto"/>
      </w:pPr>
      <w:r>
        <w:t>4.</w:t>
      </w:r>
      <w:r>
        <w:tab/>
        <w:t>En relación con los efectos de sentencia, por exigencias del principio de seguridad jurídica (art. 9.3 CE), no pueden considerarse situaciones susceptibles de ser revisadas con fundamento en la presente sentencia aquellas obligaciones tributarias devengadas por el IIVTNU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a dicha fecha (SSTC 182/2021 y 46/2024) [FJ 4].</w:t>
      </w:r>
    </w:p>
    <w:p w14:paraId="25049072" w14:textId="77777777" w:rsidR="00A8138F" w:rsidRDefault="00A8138F" w:rsidP="00A8138F">
      <w:pPr>
        <w:pStyle w:val="Extracto"/>
      </w:pPr>
    </w:p>
    <w:p w14:paraId="404DAC39" w14:textId="77777777" w:rsidR="00A8138F" w:rsidRDefault="00A8138F" w:rsidP="00A8138F">
      <w:pPr>
        <w:pStyle w:val="Extracto"/>
      </w:pPr>
    </w:p>
    <w:p w14:paraId="4A68C065"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85DE508" w14:textId="02712A19" w:rsidR="00A8138F" w:rsidRDefault="00A8138F" w:rsidP="00A8138F">
      <w:pPr>
        <w:pStyle w:val="TextoNormal"/>
      </w:pPr>
    </w:p>
    <w:p w14:paraId="2EBCB8E6" w14:textId="77777777" w:rsidR="00A8138F" w:rsidRDefault="00A8138F" w:rsidP="00A8138F">
      <w:pPr>
        <w:pStyle w:val="TextoNormalCentrado"/>
        <w:keepNext/>
      </w:pPr>
      <w:r>
        <w:t>EN NOMBRE DEL REY</w:t>
      </w:r>
    </w:p>
    <w:p w14:paraId="178B292E" w14:textId="50B79ADC" w:rsidR="00A8138F" w:rsidRDefault="00A8138F" w:rsidP="00A8138F">
      <w:pPr>
        <w:pStyle w:val="TextoNormalCentrado"/>
        <w:keepNext/>
      </w:pPr>
    </w:p>
    <w:p w14:paraId="4C2C3DD5" w14:textId="77777777" w:rsidR="00A8138F" w:rsidRDefault="00A8138F" w:rsidP="00A8138F">
      <w:pPr>
        <w:pStyle w:val="TextoNormalCentrado"/>
        <w:keepNext/>
      </w:pPr>
    </w:p>
    <w:p w14:paraId="771B4173" w14:textId="77777777" w:rsidR="00A8138F" w:rsidRDefault="00A8138F" w:rsidP="00A8138F">
      <w:pPr>
        <w:pStyle w:val="TextoNormal"/>
      </w:pPr>
      <w:r>
        <w:t>la siguiente</w:t>
      </w:r>
    </w:p>
    <w:p w14:paraId="7CDEBFE4" w14:textId="0874778E" w:rsidR="00A8138F" w:rsidRDefault="00A8138F" w:rsidP="00A8138F">
      <w:pPr>
        <w:pStyle w:val="TextoNormal"/>
      </w:pPr>
    </w:p>
    <w:p w14:paraId="64986639" w14:textId="77777777" w:rsidR="00A8138F" w:rsidRDefault="00A8138F" w:rsidP="00A8138F">
      <w:pPr>
        <w:pStyle w:val="TextoNormalCentrado"/>
        <w:keepNext/>
      </w:pPr>
      <w:r>
        <w:t>SENTENCIA</w:t>
      </w:r>
    </w:p>
    <w:p w14:paraId="665B757F" w14:textId="5DB785E4" w:rsidR="00A8138F" w:rsidRDefault="00A8138F" w:rsidP="00A8138F">
      <w:pPr>
        <w:pStyle w:val="TextoNormalCentrado"/>
        <w:keepNext/>
      </w:pPr>
    </w:p>
    <w:p w14:paraId="3FC6654A" w14:textId="77777777" w:rsidR="00A8138F" w:rsidRDefault="00A8138F" w:rsidP="00A8138F">
      <w:pPr>
        <w:pStyle w:val="TextoNormal"/>
      </w:pPr>
      <w:r>
        <w:t>En la cuestión de inconstitucionalidad núm. 900-2023, planteada por la Sala de lo Contencioso-Administrativo del Tribunal Superior de Justicia de Navarra, en relación con el art. 175.2 de la Ley Foral 2/1995, de 10 de marzo, de haciendas locales de Navarra. Han comparecido y formulado alegaciones el abogado del Estado en representación del Gobierno de la Nación, la procuradora de los tribunales doña Leyre Ortega Abaurrea en representación del Ayuntamiento de Zizur Mayor, y el fiscal general del Estado. Ha sido ponente la magistrada doña Inmaculada Montalbán Huertas.</w:t>
      </w:r>
    </w:p>
    <w:p w14:paraId="56E3F8DA" w14:textId="21E74172" w:rsidR="00A8138F" w:rsidRDefault="00A8138F" w:rsidP="00A8138F">
      <w:pPr>
        <w:pStyle w:val="TextoNormal"/>
      </w:pPr>
    </w:p>
    <w:p w14:paraId="5FCA3A46" w14:textId="77777777" w:rsidR="00A8138F" w:rsidRDefault="00A8138F" w:rsidP="00A8138F">
      <w:pPr>
        <w:pStyle w:val="TextoNormalNegritaCentrado"/>
        <w:keepNext/>
      </w:pPr>
      <w:r>
        <w:t>I. Antecedentes</w:t>
      </w:r>
    </w:p>
    <w:p w14:paraId="5DC57EE3" w14:textId="7CA1A1D4" w:rsidR="00A8138F" w:rsidRDefault="00A8138F" w:rsidP="00A8138F">
      <w:pPr>
        <w:pStyle w:val="TextoNormalNegritaCentrado"/>
        <w:keepNext/>
      </w:pPr>
    </w:p>
    <w:p w14:paraId="1CCC0982" w14:textId="771ADE15" w:rsidR="00A8138F" w:rsidRDefault="00A8138F" w:rsidP="00A8138F">
      <w:pPr>
        <w:pStyle w:val="TextoNormal"/>
      </w:pPr>
      <w:r w:rsidRPr="00A8138F">
        <w:rPr>
          <w:rStyle w:val="NumeroAFNegritaCaracter"/>
        </w:rPr>
        <w:t>1</w:t>
      </w:r>
      <w:r>
        <w:t>. El 14 de febrero de 2023 tuvo entrada en el registro general de este Tribunal Constitucional un escrito de la Sala de lo Contencioso-Administrativo del Tribunal Superior de Justicia de Navarra al que se acompaña, junto al testimonio de las actuaciones correspondientes al recurso de casación autonómica núm. 12-2022, el auto de 27 de enero de 2023 por el que se acuerda plantear cuestión de inconstitucionalidad en relación con el art. 175.2 de la Ley Foral 2/1995, de 10 de marzo, de haciendas locales de Navarra, en la redacción vigente en abril de 2015, por posible vulneración del art. 31.1 CE.</w:t>
      </w:r>
    </w:p>
    <w:p w14:paraId="5235D429" w14:textId="77777777" w:rsidR="00A8138F" w:rsidRDefault="00A8138F" w:rsidP="00A8138F">
      <w:pPr>
        <w:pStyle w:val="TextoNormal"/>
      </w:pPr>
    </w:p>
    <w:p w14:paraId="1F3DE65D" w14:textId="77777777" w:rsidR="00A8138F" w:rsidRDefault="00A8138F" w:rsidP="00A8138F">
      <w:pPr>
        <w:pStyle w:val="TextoNormal"/>
      </w:pPr>
      <w:r w:rsidRPr="00A8138F">
        <w:rPr>
          <w:rStyle w:val="NumeroAFNegritaCaracter"/>
        </w:rPr>
        <w:t>2</w:t>
      </w:r>
      <w:r>
        <w:t>. Los antecedentes de hecho de la presente cuestión de inconstitucionalidad son, sucintamente expuestos, los siguientes:</w:t>
      </w:r>
    </w:p>
    <w:p w14:paraId="3CAE2564" w14:textId="77777777" w:rsidR="00A8138F" w:rsidRDefault="00A8138F" w:rsidP="00A8138F">
      <w:pPr>
        <w:pStyle w:val="TextoNormal"/>
      </w:pPr>
    </w:p>
    <w:p w14:paraId="33B5CEC0" w14:textId="77777777" w:rsidR="00A8138F" w:rsidRDefault="00A8138F" w:rsidP="00A8138F">
      <w:pPr>
        <w:pStyle w:val="TextoNormal"/>
      </w:pPr>
      <w:r>
        <w:t xml:space="preserve">a) La mercantil Abaigar Promociones, S.L., adquirió, mediante escritura pública de 30 de marzo de 2006, diversas parcelas que posteriormente fueron incluidas en la modificación del proyecto de reparcelación del sector Ardoi de Zizur Mayor, aprobado definitivamente por acuerdo de 8 de octubre de 2010, resultando adjudicataria, entre otras, de la finca H5A (edificable para cuarenta viviendas libres), siendo el precio 4 611 115,05 €. Con ocasión de la venta de tres inmuebles de esa finca los días 29 y 30 de diciembre de 2014 y 16 de febrero de 2015, respectivamente, por resolución de la Alcaldía del Ayuntamiento de Zizur Mayor de 14 de abril de 2015 se aprueban las correspondientes tres liquidaciones del impuesto sobre el incremento del valor de los terrenos de naturaleza urbana (IIVTNU) con unas cuotas de 4195,65 €, 2884,84 € y 3922,62 €. Dichas liquidaciones, según las tablas presentadas por el ayuntamiento (y no rebatidas en el proceso </w:t>
      </w:r>
      <w:r w:rsidRPr="00A8138F">
        <w:rPr>
          <w:i/>
        </w:rPr>
        <w:t>a quo</w:t>
      </w:r>
      <w:r>
        <w:t>), lo fueron del siguiente modo:</w:t>
      </w:r>
    </w:p>
    <w:p w14:paraId="29F087B4" w14:textId="77777777" w:rsidR="00A8138F" w:rsidRDefault="00A8138F" w:rsidP="00A8138F">
      <w:pPr>
        <w:pStyle w:val="TextoNormal"/>
      </w:pPr>
    </w:p>
    <w:p w14:paraId="4F79D269" w14:textId="77777777" w:rsidR="00A8138F" w:rsidRDefault="00A8138F" w:rsidP="00A8138F">
      <w:pPr>
        <w:pStyle w:val="TextoNormal"/>
      </w:pPr>
      <w:r>
        <w:lastRenderedPageBreak/>
        <w:t>(i) Expediente núm. 2015-88: incremento del valor del suelo por la diferencia entre el precio de compra (93 832,29 €) y el de venta (118 107,94 €), con un incremento real de 25 275,65 €, con una base imponible derivada de la normativa del tributo de 23 005,78 € y una cuota de 4191,65 €.</w:t>
      </w:r>
    </w:p>
    <w:p w14:paraId="39D81BE6" w14:textId="77777777" w:rsidR="00A8138F" w:rsidRDefault="00A8138F" w:rsidP="00A8138F">
      <w:pPr>
        <w:pStyle w:val="TextoNormal"/>
      </w:pPr>
    </w:p>
    <w:p w14:paraId="121ACD3F" w14:textId="77777777" w:rsidR="00A8138F" w:rsidRDefault="00A8138F" w:rsidP="00A8138F">
      <w:pPr>
        <w:pStyle w:val="TextoNormal"/>
      </w:pPr>
      <w:r>
        <w:t>(ii) Expediente núm. 2015-89: incremento del valor del suelo por la diferencia entre el precio de compra (72 336,31 €) y el de venta (95 989,15 €), con un incremento real de 23 652,84 €, con una base imponible derivada de la normativa del tributo de 15 833,35 € y una cuota de 2884,84 €.</w:t>
      </w:r>
    </w:p>
    <w:p w14:paraId="2EF309AF" w14:textId="77777777" w:rsidR="00A8138F" w:rsidRDefault="00A8138F" w:rsidP="00A8138F">
      <w:pPr>
        <w:pStyle w:val="TextoNormal"/>
      </w:pPr>
    </w:p>
    <w:p w14:paraId="074A3ED7" w14:textId="77777777" w:rsidR="00A8138F" w:rsidRDefault="00A8138F" w:rsidP="00A8138F">
      <w:pPr>
        <w:pStyle w:val="TextoNormal"/>
      </w:pPr>
      <w:r>
        <w:t>(iii) Expediente núm. 2015-161: incremento del valor del suelo por la diferencia entre el precio de compra (73 330,06 €) y el de venta (152 472,90 €), con un incremento real de 79 142,85 €, con una base imponible derivada de la normativa del tributo de 21 529,20 € y una cuota de 3922,62 €.</w:t>
      </w:r>
    </w:p>
    <w:p w14:paraId="72CB7740" w14:textId="77777777" w:rsidR="00A8138F" w:rsidRDefault="00A8138F" w:rsidP="00A8138F">
      <w:pPr>
        <w:pStyle w:val="TextoNormal"/>
      </w:pPr>
    </w:p>
    <w:p w14:paraId="67930944" w14:textId="77777777" w:rsidR="00A8138F" w:rsidRDefault="00A8138F" w:rsidP="00A8138F">
      <w:pPr>
        <w:pStyle w:val="TextoNormal"/>
      </w:pPr>
      <w:r>
        <w:t>b) La entidad contribuyente interpuso recurso de reposición contra dichas liquidaciones (e, indirectamente, contra la ordenanza reguladora del IIVTNU), que fue desestimado por decreto de la Alcaldía de 28 de mayo de 2015, contra el cual promovió recurso de alzada ante el Tribunal Administrativo de Navarra que fue estimado parcialmente mediante la resolución de 29 de octubre de 2015, manteniendo la ordenanza municipal y anulando las liquidaciones. Sobre este último particular el Tribunal Administrativo de Navarra consideró que dichas liquidaciones no habían sido dictadas conforme a Derecho al entender que el hecho imponible del IIVTNU no se había realizado ya que, según la ponencia de valores de 2013, en el periodo de generación (2006-2014) se había producido un decremento del valor de los bienes inmuebles.</w:t>
      </w:r>
    </w:p>
    <w:p w14:paraId="79D62255" w14:textId="77777777" w:rsidR="00A8138F" w:rsidRDefault="00A8138F" w:rsidP="00A8138F">
      <w:pPr>
        <w:pStyle w:val="TextoNormal"/>
      </w:pPr>
    </w:p>
    <w:p w14:paraId="045C4E84" w14:textId="77777777" w:rsidR="00A8138F" w:rsidRDefault="00A8138F" w:rsidP="00A8138F">
      <w:pPr>
        <w:pStyle w:val="TextoNormal"/>
      </w:pPr>
      <w:r>
        <w:t>c) El 14 de diciembre de 2015 el Ayuntamiento de Zizur Mayor interpuso recurso contencioso-administrativo contra la resolución del Tribunal Administrativo de Navarra ante el Juzgado de lo Contencioso-Administrativo núm. 3 de Pamplona; recurso que dio lugar al procedimiento abreviado 392-2015. El ayuntamiento solicitaba (i) la revocación de la resolución impugnada en su concreto pronunciamiento sobre la inexistencia del hecho imponible del IIVTNU alegando que su devengo es una realidad legal objetiva ligada indefectiblemente a la transmisión del inmueble; y (ii) la declaración de validez de las liquidaciones aprobadas por la resolución de 14 de abril de 2015 de la Alcaldía de Zizur Mayor.</w:t>
      </w:r>
    </w:p>
    <w:p w14:paraId="0D2CAFC6" w14:textId="77777777" w:rsidR="00A8138F" w:rsidRDefault="00A8138F" w:rsidP="00A8138F">
      <w:pPr>
        <w:pStyle w:val="TextoNormal"/>
      </w:pPr>
    </w:p>
    <w:p w14:paraId="4FC5367F" w14:textId="77777777" w:rsidR="00A8138F" w:rsidRDefault="00A8138F" w:rsidP="00A8138F">
      <w:pPr>
        <w:pStyle w:val="TextoNormal"/>
      </w:pPr>
      <w:r>
        <w:t>Durante la tramitación de este procedimiento se sucedieron las siguientes actuaciones:</w:t>
      </w:r>
    </w:p>
    <w:p w14:paraId="38E1E8F7" w14:textId="77777777" w:rsidR="00A8138F" w:rsidRDefault="00A8138F" w:rsidP="00A8138F">
      <w:pPr>
        <w:pStyle w:val="TextoNormal"/>
      </w:pPr>
    </w:p>
    <w:p w14:paraId="1082FF53" w14:textId="77777777" w:rsidR="00A8138F" w:rsidRDefault="00A8138F" w:rsidP="00A8138F">
      <w:pPr>
        <w:pStyle w:val="TextoNormal"/>
      </w:pPr>
      <w:r>
        <w:t>(i) Por auto de 14 de diciembre de 2016 se acordó la suspensión del procedimiento hasta la resolución de la cuestión de inconstitucionalidad núm. 686-2017, promovida por el Tribunal Superior de Justicia de Navarra, respecto del art. 175.2 de la Ley Foral 2/1995 aplicable en 2015; alzándose la suspensión mediante la providencia de 26 de septiembre de 2017 tras el dictado de la STC 72/2017, de 5 de junio.</w:t>
      </w:r>
    </w:p>
    <w:p w14:paraId="1DE910E7" w14:textId="77777777" w:rsidR="00A8138F" w:rsidRDefault="00A8138F" w:rsidP="00A8138F">
      <w:pPr>
        <w:pStyle w:val="TextoNormal"/>
      </w:pPr>
    </w:p>
    <w:p w14:paraId="6857EB17" w14:textId="77777777" w:rsidR="00A8138F" w:rsidRDefault="00A8138F" w:rsidP="00A8138F">
      <w:pPr>
        <w:pStyle w:val="TextoNormal"/>
      </w:pPr>
      <w:r>
        <w:t xml:space="preserve">(ii) Por auto de 18 de abril de 2018 se acordó nuevamente la suspensión del procedimiento hasta la resolución de la cuestión de inconstitucionalidad núm. 1319-2018, planteada por el Juzgado de lo Contencioso-Administrativo núm. 2 de Pamplona, sobre la disposición transitoria única, apartado cuarta, de la Ley Foral 19/2017, de 27 de diciembre, que modifica la Ley Foral 2/1995 y establece una nueva regulación del IIVTNU tras aprobarse la STC </w:t>
      </w:r>
      <w:r>
        <w:lastRenderedPageBreak/>
        <w:t>72/2017; alzándose la suspensión a través de la diligencia de ordenación de 10 de junio de 2019 tras el dictado de la STC 44/2019, de 27 de marzo.</w:t>
      </w:r>
    </w:p>
    <w:p w14:paraId="0689466F" w14:textId="77777777" w:rsidR="00A8138F" w:rsidRDefault="00A8138F" w:rsidP="00A8138F">
      <w:pPr>
        <w:pStyle w:val="TextoNormal"/>
      </w:pPr>
    </w:p>
    <w:p w14:paraId="77E02736" w14:textId="77777777" w:rsidR="00A8138F" w:rsidRDefault="00A8138F" w:rsidP="00A8138F">
      <w:pPr>
        <w:pStyle w:val="TextoNormal"/>
      </w:pPr>
      <w:r>
        <w:t>Mediante sentencia de 18 de octubre de 2021, el juzgado estimó el recurso anulando la resolución del Tribunal Administrativo de Navarra y confirmando las liquidaciones practicadas. Y ello porque la entidad contribuyente, a quien corresponde la carga de la prueba, no había logrado acreditar la inexistencia de incremento de valor de los terrenos urbanos transmitidos.</w:t>
      </w:r>
    </w:p>
    <w:p w14:paraId="44578EA9" w14:textId="77777777" w:rsidR="00A8138F" w:rsidRDefault="00A8138F" w:rsidP="00A8138F">
      <w:pPr>
        <w:pStyle w:val="TextoNormal"/>
      </w:pPr>
    </w:p>
    <w:p w14:paraId="74126CE6" w14:textId="77777777" w:rsidR="00A8138F" w:rsidRDefault="00A8138F" w:rsidP="00A8138F">
      <w:pPr>
        <w:pStyle w:val="TextoNormal"/>
      </w:pPr>
      <w:r>
        <w:t>d) El 1 de diciembre de 2021 la mercantil recurrió en casación autonómica ante la Sala de lo Contencioso-Administrativo del Tribunal Superior de Justicia de Navarra denunciando la no conformidad a Derecho de las liquidaciones del IIVTNU dictadas por el ayuntamiento debido a la inconstitucionalidad del precepto foral de determinación de la base imponible del IIVTNU, al configurar un sistema de cálculo objetivo y de imperativa aplicación. Adicionalmente, solicitaba el planteamiento de cuestión de inconstitucionalidad conforme a la doctrina de la STC 182/2021, de 26 de octubre, respecto del art. 175.1 y 2 de la Ley Foral 2/1995, en la redacción anterior a la modificación introducida por la Ley Foral 19/2017, de 27 de diciembre, vigente al momento del devengo.</w:t>
      </w:r>
    </w:p>
    <w:p w14:paraId="54176FBF" w14:textId="77777777" w:rsidR="00A8138F" w:rsidRDefault="00A8138F" w:rsidP="00A8138F">
      <w:pPr>
        <w:pStyle w:val="TextoNormal"/>
      </w:pPr>
    </w:p>
    <w:p w14:paraId="2B0DDD85" w14:textId="77777777" w:rsidR="00A8138F" w:rsidRDefault="00A8138F" w:rsidP="00A8138F">
      <w:pPr>
        <w:pStyle w:val="TextoNormal"/>
      </w:pPr>
      <w:r>
        <w:t>e) Mediante auto de 5 de abril de 2022 la Sala admitió a trámite el referido recurso entendiendo que la cuestión de interés casacional objetivo consistía en determinar el alcance de la STC 182/2021, de 26 de octubre, en relación a las liquidaciones del IIVTNU, anteriores a la reforma de la Ley Foral 2/1995 producida por la Ley Foral 20/2021, “referidas a hechos imponibles producidos antes del 26 de octubre de 2021 y que no sean firmes”; declarándose el recurso concluso y pendiente de votación y fallo, en un primer momento, el 27 de julio de 2022 y, posteriormente, el 6 de septiembre de 2022.</w:t>
      </w:r>
    </w:p>
    <w:p w14:paraId="3D0DE75D" w14:textId="77777777" w:rsidR="00A8138F" w:rsidRDefault="00A8138F" w:rsidP="00A8138F">
      <w:pPr>
        <w:pStyle w:val="TextoNormal"/>
      </w:pPr>
    </w:p>
    <w:p w14:paraId="20E522A6" w14:textId="77777777" w:rsidR="00A8138F" w:rsidRDefault="00A8138F" w:rsidP="00A8138F">
      <w:pPr>
        <w:pStyle w:val="TextoNormal"/>
      </w:pPr>
      <w:r>
        <w:t>f) Por providencia de 28 de noviembre de 2022 se acordó oír a las partes y al Ministerio Fiscal por un plazo común de diez días sobre la conveniencia de plantear cuestión de inconstitucionalidad respecto del art. 175.2 de la Ley Foral 2/1995, de 10 de marzo, de haciendas locales de Navarra, de cuya validez depende el fallo, por su eventual oposición a la prohibición de confiscatoriedad del art. 31.1 CE ante el dictado de la STC 182/2021, de 26 de octubre, que declaró la inconstitucionalidad total del método del cálculo de la base imponible del IIVTNU previsto en el art. 107.4 del texto refundido de la Ley reguladora de las haciendas locales, aprobado por Real Decreto Legislativo 2/2004, de 5 de marzo (TRLHL), precepto estatal semejante al establecido en el referido art. 175.2 de la Ley Foral 2/1995, en la redacción vigente en el momento de las liquidaciones tributarias objeto del presente procedimiento.</w:t>
      </w:r>
    </w:p>
    <w:p w14:paraId="69E0E997" w14:textId="77777777" w:rsidR="00A8138F" w:rsidRDefault="00A8138F" w:rsidP="00A8138F">
      <w:pPr>
        <w:pStyle w:val="TextoNormal"/>
      </w:pPr>
    </w:p>
    <w:p w14:paraId="4BE62E37" w14:textId="77777777" w:rsidR="00A8138F" w:rsidRDefault="00A8138F" w:rsidP="00A8138F">
      <w:pPr>
        <w:pStyle w:val="TextoNormal"/>
      </w:pPr>
      <w:r>
        <w:t xml:space="preserve">g) Evacuado el trámite de alegaciones conferido, el Ministerio Fiscal, por informe de 1 de diciembre de 2022, no se opuso al planteamiento de la cuestión, y la recurrente en el proceso </w:t>
      </w:r>
      <w:r w:rsidRPr="00A8138F">
        <w:rPr>
          <w:i/>
        </w:rPr>
        <w:t>a quo</w:t>
      </w:r>
      <w:r>
        <w:t xml:space="preserve">, por escrito de 20 de diciembre de 2022, suplicó su promoción. Por su parte, el Ayuntamiento de Zizur Mayor, por escrito de 19 de diciembre de 2022, se mostró contrario al planteamiento de la cuestión al no superar esta el juicio de relevancia. Y ello porque en nada alteraría el sentido del fallo a emitir por la Sala en el supuesto enjuiciado (en el que el incremento real de los inmuebles transmitidos es superior al determinado con el método objetivo de cálculo previsto en el art. 175.2 de la Ley Foral 2/1995) el hecho de que el Tribunal Constitucional declarara la inconstitucionalidad del citado precepto foral navarro </w:t>
      </w:r>
      <w:r>
        <w:lastRenderedPageBreak/>
        <w:t>en los términos de la STC 182/2021, que declaró la inconstitucionalidad parcial del sistema objetivo de determinación de la base imponible del IIVTNU solo en aquellos casos en los que dicho método legal arrojara un resultado superior al incremento real.</w:t>
      </w:r>
    </w:p>
    <w:p w14:paraId="6B89E319" w14:textId="77777777" w:rsidR="00A8138F" w:rsidRDefault="00A8138F" w:rsidP="00A8138F">
      <w:pPr>
        <w:pStyle w:val="TextoNormal"/>
      </w:pPr>
    </w:p>
    <w:p w14:paraId="3B0BBB21" w14:textId="66B31FAC" w:rsidR="00A8138F" w:rsidRDefault="00A8138F" w:rsidP="00A8138F">
      <w:pPr>
        <w:pStyle w:val="TextoNormal"/>
      </w:pPr>
      <w:r>
        <w:t>h) Por auto de 27 de enero de 2023, la Sala de lo Contencioso-Administrativo del Tribunal Superior de Justicia de Navarra acordó plantear cuestión de inconstitucionalidad respecto del art. 175.2 de la Ley Foral 2/1995, de 10 de marzo, de haciendas locales de Navarra, en la redacción vigente en abril de 2015, habida cuenta de su eventual oposición al art. 31.1 CE.</w:t>
      </w:r>
    </w:p>
    <w:p w14:paraId="3A52D72F" w14:textId="77777777" w:rsidR="00A8138F" w:rsidRDefault="00A8138F" w:rsidP="00A8138F">
      <w:pPr>
        <w:pStyle w:val="TextoNormal"/>
      </w:pPr>
    </w:p>
    <w:p w14:paraId="4EE1656B" w14:textId="77777777" w:rsidR="00A8138F" w:rsidRDefault="00A8138F" w:rsidP="00A8138F">
      <w:pPr>
        <w:pStyle w:val="TextoNormal"/>
      </w:pPr>
      <w:r w:rsidRPr="00A8138F">
        <w:rPr>
          <w:rStyle w:val="NumeroAFNegritaCaracter"/>
        </w:rPr>
        <w:t>3</w:t>
      </w:r>
      <w:r>
        <w:t>. En el auto de planteamiento de la cuestión de inconstitucionalidad el órgano judicial proponente, tras precisar los hechos que dieron lugar al planteamiento del recurso de casación autonómica, razona en los términos siguientes:</w:t>
      </w:r>
    </w:p>
    <w:p w14:paraId="70B87368" w14:textId="77777777" w:rsidR="00A8138F" w:rsidRDefault="00A8138F" w:rsidP="00A8138F">
      <w:pPr>
        <w:pStyle w:val="TextoNormal"/>
      </w:pPr>
    </w:p>
    <w:p w14:paraId="61C41CB4" w14:textId="77777777" w:rsidR="00A8138F" w:rsidRDefault="00A8138F" w:rsidP="00A8138F">
      <w:pPr>
        <w:pStyle w:val="TextoNormal"/>
      </w:pPr>
      <w:r>
        <w:t>a) Reproduce, por un lado, el contenido del citado art. 175.2 de la Ley Foral 2/1995, en la redacción vigente a la fecha de las liquidaciones (14 de abril de 2015) y, en concreto, el método de cálculo del incremento de valor del terreno urbano transmitido, de cuya constitucionalidad duda. Y, por otro lado, transcribe el fallo y los fundamentos jurídicos 5 y 6 de la STC 182/2021, que establecen los argumentos y el alcance de la declaración de inconstitucionalidad y nulidad de los arts. 107.1, segundo párrafo, 107.2 a) y 107.4 del TRLHL, que regulaban el método de cálculo de la base imponible del IIVTNU por vulnerar el principio de capacidad económica como criterio de imposición (art. 31.1 CE).</w:t>
      </w:r>
    </w:p>
    <w:p w14:paraId="53C1525E" w14:textId="77777777" w:rsidR="00A8138F" w:rsidRDefault="00A8138F" w:rsidP="00A8138F">
      <w:pPr>
        <w:pStyle w:val="TextoNormal"/>
      </w:pPr>
    </w:p>
    <w:p w14:paraId="26D943BF" w14:textId="77777777" w:rsidR="00A8138F" w:rsidRDefault="00A8138F" w:rsidP="00A8138F">
      <w:pPr>
        <w:pStyle w:val="TextoNormal"/>
      </w:pPr>
      <w:r>
        <w:t>b) Realiza los juicios de aplicabilidad y relevancia citando la doctrina expuesta en la STC 77/2018, de 5 de julio. Respecto del primero, explica las razones por las que considera que la modificación del referido art. 175.2 llevada a cabo por la Ley Foral 20/2021, de 29 de diciembre, como consecuencia de la STC 182/2021, no es aplicable a las liquidaciones practicadas con anterioridad al 26 de octubre de 2021 que no sean firmes, como ocurre en este caso. Adicionalmente, arguye que el hecho de que la redacción vigente en 2015 se halle actualmente derogada no impide plantear cuestión de inconstitucionalidad respecto de la misma, al ser de aplicación a situaciones jurídicas pendientes (en este sentido, STC 39/2011, de 31 de marzo), aunque las liquidaciones sean positivas y el método aplicado resulte más beneficioso para el contribuyente.</w:t>
      </w:r>
    </w:p>
    <w:p w14:paraId="026BB24D" w14:textId="77777777" w:rsidR="00A8138F" w:rsidRDefault="00A8138F" w:rsidP="00A8138F">
      <w:pPr>
        <w:pStyle w:val="TextoNormal"/>
      </w:pPr>
    </w:p>
    <w:p w14:paraId="4071861A" w14:textId="77777777" w:rsidR="00A8138F" w:rsidRDefault="00A8138F" w:rsidP="00A8138F">
      <w:pPr>
        <w:pStyle w:val="TextoNormal"/>
      </w:pPr>
      <w:r>
        <w:t xml:space="preserve">Verificado que tal precepto foral, </w:t>
      </w:r>
      <w:r w:rsidRPr="00A8138F">
        <w:rPr>
          <w:i/>
        </w:rPr>
        <w:t>ratione temporis</w:t>
      </w:r>
      <w:r>
        <w:t xml:space="preserve">, es aplicable al caso, procede a exteriorizar el juicio de relevancia. Para ello, afirma que la eventual inconstitucionalidad del art. 175.2 supone su expulsión del ordenamiento jurídico y su inaplicabilidad a todas las liquidaciones no firmes, como la que es objeto del proceso </w:t>
      </w:r>
      <w:r w:rsidRPr="00A8138F">
        <w:rPr>
          <w:i/>
        </w:rPr>
        <w:t>a quo</w:t>
      </w:r>
      <w:r>
        <w:t>, debiendo revocarse la sentencia de instancia que las confirma; por lo que de la validez de la misma depende el fallo de la sentencia que haya de dictarse.</w:t>
      </w:r>
    </w:p>
    <w:p w14:paraId="4F975B31" w14:textId="77777777" w:rsidR="00A8138F" w:rsidRDefault="00A8138F" w:rsidP="00A8138F">
      <w:pPr>
        <w:pStyle w:val="TextoNormal"/>
      </w:pPr>
    </w:p>
    <w:p w14:paraId="404FC4EE" w14:textId="7717E64B" w:rsidR="00A8138F" w:rsidRDefault="00A8138F" w:rsidP="00A8138F">
      <w:pPr>
        <w:pStyle w:val="TextoNormal"/>
      </w:pPr>
      <w:r>
        <w:t>c) Por último, manifiesta las dudas sobre la constitucionalidad del precepto foral cuestionado, puesto que la STC 182/2021 declaró inconstitucional y nulo, entre otros, el art. 107.4 TRLHL, de contenido similar. Así, siendo el sistema de determinación de la base imponible que resulta del art. 175.2 prácticamente análogo al contenido en los preceptos estatales declarados inconstitucionales, a su juicio, les son trasladables los argumentos de la STC 182/2021, FJ 5.</w:t>
      </w:r>
    </w:p>
    <w:p w14:paraId="4A780486" w14:textId="77777777" w:rsidR="00A8138F" w:rsidRDefault="00A8138F" w:rsidP="00A8138F">
      <w:pPr>
        <w:pStyle w:val="TextoNormal"/>
      </w:pPr>
    </w:p>
    <w:p w14:paraId="69E7CAFC" w14:textId="4F3C2B8A" w:rsidR="00A8138F" w:rsidRDefault="00A8138F" w:rsidP="00A8138F">
      <w:pPr>
        <w:pStyle w:val="TextoNormal"/>
      </w:pPr>
      <w:r w:rsidRPr="00A8138F">
        <w:rPr>
          <w:rStyle w:val="NumeroAFNegritaCaracter"/>
        </w:rPr>
        <w:lastRenderedPageBreak/>
        <w:t>4</w:t>
      </w:r>
      <w:r>
        <w:t>. Mediante providencia de 22 de octubre de 2024, el Pleno del Tribunal Constitucional, a propuesta de la Sección Tercera, acordó admitir a trámite la cuestión de inconstitucionalidad; deferir a la Sala Segunda, a la que por turno objetivo le había correspondido, el conocimiento de la presente cuestión; dar traslado de las actuaciones recibidas al Congreso de los Diputados, al Senado, al Gobierno y al fiscal general del Estado, así como al Parlamento de Navarra y al Gobierno de Navarra, al objeto de que, en el plazo improrrogable de quince días, pudieran personarse en el proceso y formular las alegaciones que estimasen convenientes, de acuerdo con lo establecido por el art. 37.3 de la Ley Orgánica del Tribunal Constitucional (LOTC); comunicar dicha resolución a la Sala de lo Contencioso-Administrativo del Tribunal Superior de Justicia de Navarra a fin de que, de conformidad con el art. 35.3 LOTC, permaneciese suspendido el proceso hasta la resolución de la cuestión; y publicar la incoación de la cuestión en el “Boletín Oficial del Estado” y en el “Boletín Oficial de Navarra”.</w:t>
      </w:r>
    </w:p>
    <w:p w14:paraId="2A0791DE" w14:textId="77777777" w:rsidR="00A8138F" w:rsidRDefault="00A8138F" w:rsidP="00A8138F">
      <w:pPr>
        <w:pStyle w:val="TextoNormal"/>
      </w:pPr>
    </w:p>
    <w:p w14:paraId="1777D5EA" w14:textId="63CECD5F" w:rsidR="00A8138F" w:rsidRDefault="00A8138F" w:rsidP="00A8138F">
      <w:pPr>
        <w:pStyle w:val="TextoNormal"/>
      </w:pPr>
      <w:r w:rsidRPr="00A8138F">
        <w:rPr>
          <w:rStyle w:val="NumeroAFNegritaCaracter"/>
        </w:rPr>
        <w:t>5</w:t>
      </w:r>
      <w:r>
        <w:t>. A través de sendos escritos registrados el 14 de noviembre de 2024, el presidente del Senado y la presidenta del Congreso de los Diputados, comunicaron los acuerdos adoptados por las mesas de las respectivas Cámaras de personación en el presente proceso constitucional y ofrecimiento de colaboración a los efectos del art. 88.1 LOTC.</w:t>
      </w:r>
    </w:p>
    <w:p w14:paraId="7937A6FB" w14:textId="77777777" w:rsidR="00A8138F" w:rsidRDefault="00A8138F" w:rsidP="00A8138F">
      <w:pPr>
        <w:pStyle w:val="TextoNormal"/>
      </w:pPr>
    </w:p>
    <w:p w14:paraId="1C7941CD" w14:textId="4B8B7E21" w:rsidR="00A8138F" w:rsidRDefault="00A8138F" w:rsidP="00A8138F">
      <w:pPr>
        <w:pStyle w:val="TextoNormal"/>
      </w:pPr>
      <w:r w:rsidRPr="00A8138F">
        <w:rPr>
          <w:rStyle w:val="NumeroAFNegritaCaracter"/>
        </w:rPr>
        <w:t>6</w:t>
      </w:r>
      <w:r>
        <w:t>. Por escrito registrado el 18 de noviembre de 2024, la procuradora de los tribunales doña Leyre Ortega Abaurrea, en nombre y representación del Ayuntamiento de Zizur Mayor, suplicó que se la tuviera por personada en esta cuestión de inconstitucionalidad.</w:t>
      </w:r>
    </w:p>
    <w:p w14:paraId="64373957" w14:textId="77777777" w:rsidR="00A8138F" w:rsidRDefault="00A8138F" w:rsidP="00A8138F">
      <w:pPr>
        <w:pStyle w:val="TextoNormal"/>
      </w:pPr>
    </w:p>
    <w:p w14:paraId="48ECC4F6" w14:textId="501F924E" w:rsidR="00A8138F" w:rsidRDefault="00A8138F" w:rsidP="00A8138F">
      <w:pPr>
        <w:pStyle w:val="TextoNormal"/>
      </w:pPr>
      <w:r w:rsidRPr="00A8138F">
        <w:rPr>
          <w:rStyle w:val="NumeroAFNegritaCaracter"/>
        </w:rPr>
        <w:t>7</w:t>
      </w:r>
      <w:r>
        <w:t>. El 21 de noviembre de 2024 tuvo entrada en el registro general de este tribunal el escrito de alegaciones del abogado del Estado interesando la estimación de la cuestión de inconstitucionalidad toda vez que, el apartado 2 del art. 175 cuestionado, en su redacción de marzo de 1995, reproducida en el auto de planteamiento, tiene un contenido muy similar a los preceptos estatales declarados inconstitucionales en la STC 182/2021; no siendo de aplicación al caso de autos, al carecer de efectos retroactivos, la modificación operada mediante la Ley Foral 20/2021.</w:t>
      </w:r>
    </w:p>
    <w:p w14:paraId="3DDF2A94" w14:textId="77777777" w:rsidR="00A8138F" w:rsidRDefault="00A8138F" w:rsidP="00A8138F">
      <w:pPr>
        <w:pStyle w:val="TextoNormal"/>
      </w:pPr>
    </w:p>
    <w:p w14:paraId="56F92748" w14:textId="490142D6" w:rsidR="00A8138F" w:rsidRDefault="00A8138F" w:rsidP="00A8138F">
      <w:pPr>
        <w:pStyle w:val="TextoNormal"/>
      </w:pPr>
      <w:r w:rsidRPr="00A8138F">
        <w:rPr>
          <w:rStyle w:val="NumeroAFNegritaCaracter"/>
        </w:rPr>
        <w:t>8</w:t>
      </w:r>
      <w:r>
        <w:t>. Por diligencia de ordenación de 25 de noviembre de 2024 se tuvo por personada y parte en el procedimiento a la procuradora de los tribunales doña Leyre Ortega Abaurrea, en nombre y representación del Ayuntamiento de Zizur Mayor y, conforme establece el art. 37.2 LOTC, se le concedió un plazo de quince días para que formulara las alegaciones que estimase convenientes.</w:t>
      </w:r>
    </w:p>
    <w:p w14:paraId="219A877C" w14:textId="77777777" w:rsidR="00A8138F" w:rsidRDefault="00A8138F" w:rsidP="00A8138F">
      <w:pPr>
        <w:pStyle w:val="TextoNormal"/>
      </w:pPr>
    </w:p>
    <w:p w14:paraId="6C713503" w14:textId="77777777" w:rsidR="00A8138F" w:rsidRDefault="00A8138F" w:rsidP="00A8138F">
      <w:pPr>
        <w:pStyle w:val="TextoNormal"/>
      </w:pPr>
      <w:r w:rsidRPr="00A8138F">
        <w:rPr>
          <w:rStyle w:val="NumeroAFNegritaCaracter"/>
        </w:rPr>
        <w:t>9</w:t>
      </w:r>
      <w:r>
        <w:t>. El 20 de diciembre de 2024 la representación del Ayuntamiento de Zizur Mayor presentó escrito de alegaciones solicitando la inadmisión o, subsidiariamente, la desestimación de la presente cuestión de inconstitucionalidad.</w:t>
      </w:r>
    </w:p>
    <w:p w14:paraId="3166DA8D" w14:textId="77777777" w:rsidR="00A8138F" w:rsidRDefault="00A8138F" w:rsidP="00A8138F">
      <w:pPr>
        <w:pStyle w:val="TextoNormal"/>
      </w:pPr>
    </w:p>
    <w:p w14:paraId="396C4219" w14:textId="77777777" w:rsidR="00A8138F" w:rsidRDefault="00A8138F" w:rsidP="00A8138F">
      <w:pPr>
        <w:pStyle w:val="TextoNormal"/>
      </w:pPr>
      <w:r>
        <w:t xml:space="preserve">Comienza resumiendo (i) los antecedentes de hecho del proceso </w:t>
      </w:r>
      <w:r w:rsidRPr="00A8138F">
        <w:rPr>
          <w:i/>
        </w:rPr>
        <w:t>a quo</w:t>
      </w:r>
      <w:r>
        <w:t xml:space="preserve"> (la sentencia objeto del recurso de casación, el procedimiento abreviado en que se dicta y las liquidaciones tributarias de que conoce y sobre las que resuelve); (ii) la STC 72/2017 que declaró inconstitucionales los preceptos forales navarros reguladores de la base imponible del IIVTNU “únicamente en la medida que someten a tributación situaciones de inexistencia de incre</w:t>
      </w:r>
      <w:r>
        <w:lastRenderedPageBreak/>
        <w:t>mentos de valor”, afirmando que el legislador foral adecuó su normativa sobre el IIVTNU a dicha doctrina constitucional con la Ley Foral 19/2017; y (iii) la STC 182/2021 y la pronta integración de su doctrina (aunque no fuera de directa aplicación) en el ordenamiento jurídico navarro (Ley Foral 2/1995) a través de la Ley Foral 20/2021, de 29 de diciembre.</w:t>
      </w:r>
    </w:p>
    <w:p w14:paraId="23B2C540" w14:textId="77777777" w:rsidR="00A8138F" w:rsidRDefault="00A8138F" w:rsidP="00A8138F">
      <w:pPr>
        <w:pStyle w:val="TextoNormal"/>
      </w:pPr>
    </w:p>
    <w:p w14:paraId="748111FB" w14:textId="77777777" w:rsidR="00A8138F" w:rsidRDefault="00A8138F" w:rsidP="00A8138F">
      <w:pPr>
        <w:pStyle w:val="TextoNormal"/>
      </w:pPr>
      <w:r>
        <w:t xml:space="preserve">De un lado, considera que ha fallado el trámite de audiencia exigido por el art. 35.2 LOTC porque en el auto de planteamiento no hay un pronunciamiento expreso sobre las alegaciones del ayuntamiento sobre la causa de inadmisión vinculada al juicio de relevancia; esto es, no se ha hecho mención alguna al hecho de que el incremento real en las tres liquidaciones enjuiciadas en el proceso </w:t>
      </w:r>
      <w:r w:rsidRPr="00A8138F">
        <w:rPr>
          <w:i/>
        </w:rPr>
        <w:t>a quo</w:t>
      </w:r>
      <w:r>
        <w:t xml:space="preserve"> sea superior al incremento que arroja la fórmula legal foral cuestionada y que la STC 182/2021 haya declarado la inconstitucionalidad de la regulación de la base imponible del IIVTNU únicamente en los supuestos en los que el incremento objetivo resulta superior al real. Así, adicionalmente, se alega que el auto de planteamiento no ha exteriorizado de forma suficiente dicho juicio de relevancia, pero tampoco el de aplicabilidad, al no explicar cómo resulta material y jurídicamente posible la expulsión del ordenamiento jurídico del art. 175.2 vigente en el momento de dictarse las liquidaciones cuando no lo integra desde la modificación de la Ley Foral 2/1995 por la Ley Foral 19/2017, que adaptó aquel precepto a la doctrina sentada por la STC 72/2017.</w:t>
      </w:r>
    </w:p>
    <w:p w14:paraId="6FB62078" w14:textId="77777777" w:rsidR="00A8138F" w:rsidRDefault="00A8138F" w:rsidP="00A8138F">
      <w:pPr>
        <w:pStyle w:val="TextoNormal"/>
      </w:pPr>
    </w:p>
    <w:p w14:paraId="5009B55A" w14:textId="0360B247" w:rsidR="00A8138F" w:rsidRDefault="00A8138F" w:rsidP="00A8138F">
      <w:pPr>
        <w:pStyle w:val="TextoNormal"/>
      </w:pPr>
      <w:r>
        <w:t>De otro lado, entrando en el fondo, considera que el juzgador de instancia no podía tener dudas de la constitucionalidad del meritado precepto legal al tiempo del dictado de su sentencia; que el legislador foral se apresuró a cambiar su regulación del IIVTNU tan pronto se promulgó la STC 72/2017. Invoca asimismo la doctrina contenida en el voto particular de la STC 182/2021, concluyendo que la solución más adecuada debería haber sido no declarar la nulidad de la norma reguladora de la base imponible sino dar un plazo al legislador para regular el sistema alternativo, de aplicación retroactiva, que hubiera permitido solicitar la devolución del IIVTNU en todos aquellos casos en los que la cantidad abonada no se adecuara a la plusvalía efectivamente obtenida.</w:t>
      </w:r>
    </w:p>
    <w:p w14:paraId="423EC0D3" w14:textId="77777777" w:rsidR="00A8138F" w:rsidRDefault="00A8138F" w:rsidP="00A8138F">
      <w:pPr>
        <w:pStyle w:val="TextoNormal"/>
      </w:pPr>
    </w:p>
    <w:p w14:paraId="5A5991A2" w14:textId="77777777" w:rsidR="00A8138F" w:rsidRDefault="00A8138F" w:rsidP="00A8138F">
      <w:pPr>
        <w:pStyle w:val="TextoNormal"/>
      </w:pPr>
      <w:r w:rsidRPr="00A8138F">
        <w:rPr>
          <w:rStyle w:val="NumeroAFNegritaCaracter"/>
        </w:rPr>
        <w:t>10</w:t>
      </w:r>
      <w:r>
        <w:t>. El fiscal general del Estado presentó sus alegaciones el día 23 de enero de 2025, interesando que se dicte sentencia por la que se declare la inconstitucionalidad y nulidad del art. 175.2 de la Ley Foral 2/1995, en la redacción anterior a la modificación operada por la Ley Foral 20/2021, de 29 de diciembre, por vulnerar el principio de capacidad económica como criterio de imposición (art. 31.1 CE), atendida la doctrina establecida en la STC 182/2021.</w:t>
      </w:r>
    </w:p>
    <w:p w14:paraId="3C4A93E0" w14:textId="77777777" w:rsidR="00A8138F" w:rsidRDefault="00A8138F" w:rsidP="00A8138F">
      <w:pPr>
        <w:pStyle w:val="TextoNormal"/>
      </w:pPr>
    </w:p>
    <w:p w14:paraId="510230FE" w14:textId="77777777" w:rsidR="00A8138F" w:rsidRDefault="00A8138F" w:rsidP="00A8138F">
      <w:pPr>
        <w:pStyle w:val="TextoNormal"/>
      </w:pPr>
      <w:r>
        <w:t xml:space="preserve">Tras concretar los hechos objeto de la presente cuestión, identificar el contenido del precepto foral cuestionado, precisar las dudas planteadas por el órgano judicial contra el principio de capacidad económica extractando el auto de planteamiento y examinar el cumplimiento de las condiciones procesales de admisión de la presente cuestión de inconstitucionalidad </w:t>
      </w:r>
      <w:r w:rsidRPr="00A8138F">
        <w:rPr>
          <w:i/>
        </w:rPr>
        <w:t>ex</w:t>
      </w:r>
      <w:r>
        <w:t xml:space="preserve"> art. 35.2 LOTC, entra a analizar el fondo de esta. Comienza repasando la doctrina constitucional reciente relativa al IIVTNU (SSTC 59/2017, de 11 de mayo; 72/2017, de 5 de junio; 126/2019, de 31 de octubre, y 182/2021, de 26 de octubre). En particular, se detiene en los cambios normativos introducidos en la normativa foral como consecuencia de la STC 182/2021, y que se materializaron en la aprobación de la Ley Foral 20/2021, de 29 de diciembre, aplicable a los hechos imponibles que se produzcan a partir del 26 de octubre de 2021. Sin embargo, la determinación de la base imponible del impuesto se lleva a cabo </w:t>
      </w:r>
      <w:r>
        <w:lastRenderedPageBreak/>
        <w:t>en el caso de autos conforme al art. 175.2 de la Ley Foral 2/1995 en una versión anterior a la Ley Foral 20/2021.</w:t>
      </w:r>
    </w:p>
    <w:p w14:paraId="155C91B0" w14:textId="77777777" w:rsidR="00A8138F" w:rsidRDefault="00A8138F" w:rsidP="00A8138F">
      <w:pPr>
        <w:pStyle w:val="TextoNormal"/>
      </w:pPr>
    </w:p>
    <w:p w14:paraId="618F1137" w14:textId="77777777" w:rsidR="00A8138F" w:rsidRDefault="00A8138F" w:rsidP="00A8138F">
      <w:pPr>
        <w:pStyle w:val="TextoNormal"/>
      </w:pPr>
      <w:r>
        <w:t>A continuación, pone de relieve que la redacción del art. 175 de la Ley Foral 2/1995 es sustancialmente coincidente con la de los arts. 107.1, párrafo segundo, 107.2 a) y 107.4 TRLHL, declarados inconstitucionales y nulos por la STC 182/2021, por lo que, tras reproducir los fundamentos jurídicos 3 y 4 de la STC 46/2024, de 12 de marzo, afirma que “hallándonos ante el mismo supuesto de inconstitucionalidad y por las mismas razones que el analizado en la sentencia en relación con preceptos forales fiscales sobre la determinación de la base imponible del IIVTNU del territorio histórico de Gipuzkoa que presentaban una sustancial identidad con los preceptos estatales declarados inconstitucionales por la STC 182/2021, como sucede en el supuesto del art. 175.2 de la Ley Foral 2/1995, de haciendas locales de Navarra, debe llegarse conforme a la doctrina expuesta a la misma conclusión de inconstitucionalidad por vulneración del principio de capacidad económica como criterio de imposición”.</w:t>
      </w:r>
    </w:p>
    <w:p w14:paraId="7B37FCEC" w14:textId="77777777" w:rsidR="00A8138F" w:rsidRDefault="00A8138F" w:rsidP="00A8138F">
      <w:pPr>
        <w:pStyle w:val="TextoNormal"/>
      </w:pPr>
    </w:p>
    <w:p w14:paraId="2A9211A8" w14:textId="715A96F7" w:rsidR="00A8138F" w:rsidRDefault="00A8138F" w:rsidP="00A8138F">
      <w:pPr>
        <w:pStyle w:val="TextoNormal"/>
      </w:pPr>
      <w:r>
        <w:t>Concluye señalando que la declaración de inconstitucionalidad “no debería permitir […] que se consideren situaciones susceptibles de ser revisadas, con fundamento en la declaración de inconstitucionalidad, ni las situaciones decididas mediante sentencia con fuerza de cosa juzgada (art. 40.1 LOTC), ni tampoco, por exigencia del principio de seguridad jurídica (art. 9.3 CE), las consolidadas en vía administrativa por no haber sido impugnadas en tiempo y forma [SSTC 73/2017, de 8 de junio, FJ 6; 151/2017, de 21 de diciembre, FJ 8; 61/2018, de 7 de junio, FJ 11; 76/2018, de 5 de julio, FJ 9, y 126/2019, de 31 de octubre, FJ 5 b)]”.</w:t>
      </w:r>
    </w:p>
    <w:p w14:paraId="2F44B245" w14:textId="77777777" w:rsidR="00A8138F" w:rsidRDefault="00A8138F" w:rsidP="00A8138F">
      <w:pPr>
        <w:pStyle w:val="TextoNormal"/>
      </w:pPr>
    </w:p>
    <w:p w14:paraId="01F117AE" w14:textId="19261374" w:rsidR="00A8138F" w:rsidRDefault="00A8138F" w:rsidP="00A8138F">
      <w:pPr>
        <w:pStyle w:val="TextoNormal"/>
      </w:pPr>
      <w:r w:rsidRPr="00A8138F">
        <w:rPr>
          <w:rStyle w:val="NumeroAFNegritaCaracter"/>
        </w:rPr>
        <w:t>11</w:t>
      </w:r>
      <w:r>
        <w:t>. Por providencia de 24 de abril de 2025 se señaló para deliberación y fallo de esta sentencia el día 28 del mismo mes y año.</w:t>
      </w:r>
    </w:p>
    <w:p w14:paraId="75B16FD6" w14:textId="77777777" w:rsidR="00A8138F" w:rsidRDefault="00A8138F" w:rsidP="00A8138F">
      <w:pPr>
        <w:pStyle w:val="TextoNormal"/>
      </w:pPr>
    </w:p>
    <w:p w14:paraId="641D6542" w14:textId="77777777" w:rsidR="00A8138F" w:rsidRDefault="00A8138F" w:rsidP="00A8138F">
      <w:pPr>
        <w:pStyle w:val="TextoNormalNegritaCentrado"/>
        <w:keepNext/>
      </w:pPr>
      <w:r>
        <w:t>II. Fundamentos jurídicos</w:t>
      </w:r>
    </w:p>
    <w:p w14:paraId="6114C3C8" w14:textId="74A7CAD6" w:rsidR="00A8138F" w:rsidRDefault="00A8138F" w:rsidP="00A8138F">
      <w:pPr>
        <w:pStyle w:val="TextoNormalNegritaCentrado"/>
        <w:keepNext/>
      </w:pPr>
    </w:p>
    <w:p w14:paraId="706B8966" w14:textId="77777777" w:rsidR="00A8138F" w:rsidRDefault="00A8138F" w:rsidP="00A8138F">
      <w:pPr>
        <w:pStyle w:val="TextoNormal"/>
      </w:pPr>
      <w:r w:rsidRPr="00A8138F">
        <w:rPr>
          <w:rStyle w:val="NumeroAFNegritaCaracter"/>
        </w:rPr>
        <w:t>1</w:t>
      </w:r>
      <w:r>
        <w:t xml:space="preserve">. </w:t>
      </w:r>
      <w:r w:rsidRPr="00A8138F">
        <w:rPr>
          <w:i/>
        </w:rPr>
        <w:t>Objeto de la cuestión de inconstitucionalidad y posiciones de las partes</w:t>
      </w:r>
    </w:p>
    <w:p w14:paraId="061773B1" w14:textId="77777777" w:rsidR="00A8138F" w:rsidRDefault="00A8138F" w:rsidP="00A8138F">
      <w:pPr>
        <w:pStyle w:val="TextoNormal"/>
      </w:pPr>
    </w:p>
    <w:p w14:paraId="1959C916" w14:textId="77777777" w:rsidR="00A8138F" w:rsidRDefault="00A8138F" w:rsidP="00A8138F">
      <w:pPr>
        <w:pStyle w:val="TextoNormal"/>
      </w:pPr>
      <w:r>
        <w:t xml:space="preserve">a) La Sala de lo Contencioso-Administrativo del Tribunal Superior de Justicia de Navarra ha elevado cuestión de inconstitucionalidad respecto al art. 175.2 de la Ley Foral 2/1995, de 10 de marzo, de haciendas locales de Navarra, en la redacción vigente en el momento de efectuarse las liquidaciones tributarias objeto del proceso </w:t>
      </w:r>
      <w:r w:rsidRPr="00A8138F">
        <w:rPr>
          <w:i/>
        </w:rPr>
        <w:t>a quo</w:t>
      </w:r>
      <w:r>
        <w:t xml:space="preserve"> (abril de 2015), por posible oposición al art. 31.1 CE. Entiende el órgano judicial que, por cuanto su redacción es análoga a la del art. 107.4 TRLHL, que fue declarado inconstitucional y nulo en la STC 182/2021, de 26 de octubre, el art. 175.2 de la Ley Foral 2/1995 regula “un método de cálculo objetivo y obligatorio de determinación de la base imponible, al margen de la capacidad económica gravada por el impuesto y demostrada por el contribuyente, que vulnera el principio de capacidad económica como criterio de imposición (art. 31.1 CE)”.</w:t>
      </w:r>
    </w:p>
    <w:p w14:paraId="776D041C" w14:textId="77777777" w:rsidR="00A8138F" w:rsidRDefault="00A8138F" w:rsidP="00A8138F">
      <w:pPr>
        <w:pStyle w:val="TextoNormal"/>
      </w:pPr>
    </w:p>
    <w:p w14:paraId="6234C4C4" w14:textId="77777777" w:rsidR="00A8138F" w:rsidRDefault="00A8138F" w:rsidP="00A8138F">
      <w:pPr>
        <w:pStyle w:val="TextoNormal"/>
      </w:pPr>
      <w:r>
        <w:t xml:space="preserve">b) Tanto el abogado del Estado como el fiscal general del Estado, en los términos sintetizados en los antecedentes, han solicitado la estimación de la cuestión y la declaración de inconstitucionalidad y nulidad del precepto foral cuestionado, dada su identidad sustancial con los preceptos estatales declarados inconstitucionales en la STC 182/2021. Por su parte, el Ayuntamiento de Zizur Mayor ha interesado la desestimación de la presente cuestión, si </w:t>
      </w:r>
      <w:r>
        <w:lastRenderedPageBreak/>
        <w:t>bien ha puesto también de manifiesto la posible inadmisión de la misma por la indebida formulación del trámite de audiencia y de los juicios de aplicabilidad y relevancia.</w:t>
      </w:r>
    </w:p>
    <w:p w14:paraId="0EF95740" w14:textId="77777777" w:rsidR="00A8138F" w:rsidRDefault="00A8138F" w:rsidP="00A8138F">
      <w:pPr>
        <w:pStyle w:val="TextoNormal"/>
      </w:pPr>
    </w:p>
    <w:p w14:paraId="5B5F4983" w14:textId="77777777" w:rsidR="00A8138F" w:rsidRDefault="00A8138F" w:rsidP="00A8138F">
      <w:pPr>
        <w:pStyle w:val="TextoNormal"/>
      </w:pPr>
      <w:r>
        <w:t>c) A fin de facilitar la comprensión de esta sentencia se trascribe a continuación el art. 175 de la Ley Foral 2/1995, titulado “Base imponible y cuota”, cuyo apartado 2 es objeto de la presente cuestión de inconstitucionalidad:</w:t>
      </w:r>
    </w:p>
    <w:p w14:paraId="56CFF9E7" w14:textId="77777777" w:rsidR="00A8138F" w:rsidRDefault="00A8138F" w:rsidP="00A8138F">
      <w:pPr>
        <w:pStyle w:val="TextoNormal"/>
      </w:pPr>
    </w:p>
    <w:p w14:paraId="15BEEC62" w14:textId="77777777" w:rsidR="00A8138F" w:rsidRDefault="00A8138F" w:rsidP="00A8138F">
      <w:pPr>
        <w:pStyle w:val="TextoNormal"/>
      </w:pPr>
      <w:r>
        <w:t>“1. La base imponible de este impuesto está constituida por el incremento real del valor de los terrenos de naturaleza urbana puesto de manifiesto en el momento del devengo y experimentado a lo largo de un período máximo de veinte años.</w:t>
      </w:r>
    </w:p>
    <w:p w14:paraId="1F230797" w14:textId="77777777" w:rsidR="00A8138F" w:rsidRDefault="00A8138F" w:rsidP="00A8138F">
      <w:pPr>
        <w:pStyle w:val="TextoNormal"/>
      </w:pPr>
    </w:p>
    <w:p w14:paraId="3DDEA85E" w14:textId="77777777" w:rsidR="00A8138F" w:rsidRDefault="00A8138F" w:rsidP="00A8138F">
      <w:pPr>
        <w:pStyle w:val="TextoNormal"/>
      </w:pPr>
      <w:r>
        <w:t>2. Para determinar el importe del incremento real se aplicará sobre el valor del terreno en el momento del devengo el porcentaje que resulte del cuadro siguiente:</w:t>
      </w:r>
    </w:p>
    <w:p w14:paraId="43633EA8" w14:textId="77777777" w:rsidR="00A8138F" w:rsidRDefault="00A8138F" w:rsidP="00A8138F">
      <w:pPr>
        <w:pStyle w:val="TextoNormal"/>
      </w:pPr>
    </w:p>
    <w:p w14:paraId="12BE3284" w14:textId="77777777" w:rsidR="00A8138F" w:rsidRDefault="00A8138F" w:rsidP="00A8138F">
      <w:pPr>
        <w:pStyle w:val="TextoNormal"/>
      </w:pPr>
      <w:r>
        <w:t>&amp;lt;table border=&amp;quot;1&amp;quot; cellspacing=&amp;quot;0&amp;quot; cellpadding=&amp;quot;5&amp;quot;&amp;gt;</w:t>
      </w:r>
    </w:p>
    <w:p w14:paraId="39FDAC87" w14:textId="77777777" w:rsidR="00A8138F" w:rsidRDefault="00A8138F" w:rsidP="00A8138F">
      <w:pPr>
        <w:pStyle w:val="TextoNormal"/>
      </w:pPr>
      <w:r>
        <w:t xml:space="preserve">  &amp;lt;tr&amp;gt;</w:t>
      </w:r>
    </w:p>
    <w:p w14:paraId="03084324" w14:textId="77777777" w:rsidR="00A8138F" w:rsidRDefault="00A8138F" w:rsidP="00A8138F">
      <w:pPr>
        <w:pStyle w:val="TextoNormal"/>
      </w:pPr>
      <w:r>
        <w:t xml:space="preserve">    &amp;lt;th rowspan=&amp;quot;2&amp;quot;&amp;gt;Poblaci&amp;#243;n de derecho&amp;lt;/th&amp;gt;</w:t>
      </w:r>
    </w:p>
    <w:p w14:paraId="16F67ABF" w14:textId="77777777" w:rsidR="00A8138F" w:rsidRDefault="00A8138F" w:rsidP="00A8138F">
      <w:pPr>
        <w:pStyle w:val="TextoNormal"/>
      </w:pPr>
      <w:r>
        <w:t xml:space="preserve">    &amp;lt;th colspan=&amp;quot;2&amp;quot; style=&amp;quot;text-align: center;&amp;quot;&amp;gt;Per&amp;#237;odo de uno hasta cinco a&amp;#241;os&amp;lt;br&amp;gt;Porcentaje anual&amp;lt;/th&amp;gt;</w:t>
      </w:r>
    </w:p>
    <w:p w14:paraId="5AEEB09F" w14:textId="77777777" w:rsidR="00A8138F" w:rsidRDefault="00A8138F" w:rsidP="00A8138F">
      <w:pPr>
        <w:pStyle w:val="TextoNormal"/>
      </w:pPr>
      <w:r>
        <w:t xml:space="preserve">    &amp;lt;th colspan=&amp;quot;2&amp;quot; style=&amp;quot;text-align: center;&amp;quot;&amp;gt;Per&amp;#237;odo de hasta diez a&amp;#241;os&amp;lt;br&amp;gt;Porcentaje anual&amp;lt;/th&amp;gt;</w:t>
      </w:r>
    </w:p>
    <w:p w14:paraId="1CE6FDDA" w14:textId="77777777" w:rsidR="00A8138F" w:rsidRDefault="00A8138F" w:rsidP="00A8138F">
      <w:pPr>
        <w:pStyle w:val="TextoNormal"/>
      </w:pPr>
      <w:r>
        <w:t xml:space="preserve">    &amp;lt;th colspan=&amp;quot;2&amp;quot; style=&amp;quot;text-align: center;&amp;quot;&amp;gt;Per&amp;#237;odo de hasta quince a&amp;#241;os&amp;lt;br&amp;gt;Porcentaje anual&amp;lt;/th&amp;gt;</w:t>
      </w:r>
    </w:p>
    <w:p w14:paraId="37D1B415" w14:textId="77777777" w:rsidR="00A8138F" w:rsidRDefault="00A8138F" w:rsidP="00A8138F">
      <w:pPr>
        <w:pStyle w:val="TextoNormal"/>
      </w:pPr>
      <w:r>
        <w:t xml:space="preserve">    &amp;lt;th colspan=&amp;quot;2&amp;quot; style=&amp;quot;text-align: center;&amp;quot;&amp;gt;Per&amp;#237;odo de hasta veinte a&amp;#241;os&amp;lt;br&amp;gt;Porcentaje anual&amp;lt;/th&amp;gt;</w:t>
      </w:r>
    </w:p>
    <w:p w14:paraId="40AC0BC4" w14:textId="77777777" w:rsidR="00A8138F" w:rsidRDefault="00A8138F" w:rsidP="00A8138F">
      <w:pPr>
        <w:pStyle w:val="TextoNormal"/>
      </w:pPr>
      <w:r>
        <w:t xml:space="preserve">  &amp;lt;/tr&amp;gt;</w:t>
      </w:r>
    </w:p>
    <w:p w14:paraId="3F50D830" w14:textId="77777777" w:rsidR="00A8138F" w:rsidRDefault="00A8138F" w:rsidP="00A8138F">
      <w:pPr>
        <w:pStyle w:val="TextoNormal"/>
      </w:pPr>
      <w:r>
        <w:t xml:space="preserve">  &amp;lt;tr&amp;gt;</w:t>
      </w:r>
    </w:p>
    <w:p w14:paraId="05DCE442" w14:textId="77777777" w:rsidR="00A8138F" w:rsidRDefault="00A8138F" w:rsidP="00A8138F">
      <w:pPr>
        <w:pStyle w:val="TextoNormal"/>
      </w:pPr>
      <w:r>
        <w:t xml:space="preserve">    &amp;lt;th style=&amp;quot;text-align: center;&amp;quot;&amp;gt;M&amp;#225;ximo&amp;lt;/th&amp;gt;</w:t>
      </w:r>
    </w:p>
    <w:p w14:paraId="19407EA4" w14:textId="77777777" w:rsidR="00A8138F" w:rsidRDefault="00A8138F" w:rsidP="00A8138F">
      <w:pPr>
        <w:pStyle w:val="TextoNormal"/>
      </w:pPr>
      <w:r>
        <w:t xml:space="preserve">    &amp;lt;th style=&amp;quot;text-align: center;&amp;quot;&amp;gt;M&amp;#237;nimo&amp;lt;/th&amp;gt;</w:t>
      </w:r>
    </w:p>
    <w:p w14:paraId="741FD47F" w14:textId="77777777" w:rsidR="00A8138F" w:rsidRDefault="00A8138F" w:rsidP="00A8138F">
      <w:pPr>
        <w:pStyle w:val="TextoNormal"/>
      </w:pPr>
      <w:r>
        <w:t xml:space="preserve">    &amp;lt;th style=&amp;quot;text-align: center;&amp;quot;&amp;gt;M&amp;#225;ximo&amp;lt;/th&amp;gt;</w:t>
      </w:r>
    </w:p>
    <w:p w14:paraId="717CBE89" w14:textId="77777777" w:rsidR="00A8138F" w:rsidRDefault="00A8138F" w:rsidP="00A8138F">
      <w:pPr>
        <w:pStyle w:val="TextoNormal"/>
      </w:pPr>
      <w:r>
        <w:t xml:space="preserve">    &amp;lt;th style=&amp;quot;text-align: center;&amp;quot;&amp;gt;M&amp;#237;nimo&amp;lt;/th&amp;gt;</w:t>
      </w:r>
    </w:p>
    <w:p w14:paraId="6681911D" w14:textId="77777777" w:rsidR="00A8138F" w:rsidRDefault="00A8138F" w:rsidP="00A8138F">
      <w:pPr>
        <w:pStyle w:val="TextoNormal"/>
      </w:pPr>
      <w:r>
        <w:t xml:space="preserve">    &amp;lt;th style=&amp;quot;text-align: center;&amp;quot;&amp;gt;M&amp;#225;ximo&amp;lt;/th&amp;gt;</w:t>
      </w:r>
    </w:p>
    <w:p w14:paraId="551A632B" w14:textId="77777777" w:rsidR="00A8138F" w:rsidRDefault="00A8138F" w:rsidP="00A8138F">
      <w:pPr>
        <w:pStyle w:val="TextoNormal"/>
      </w:pPr>
      <w:r>
        <w:t xml:space="preserve">    &amp;lt;th style=&amp;quot;text-align: center;&amp;quot;&amp;gt;M&amp;#237;nimo&amp;lt;/th&amp;gt;</w:t>
      </w:r>
    </w:p>
    <w:p w14:paraId="7AD77A98" w14:textId="77777777" w:rsidR="00A8138F" w:rsidRDefault="00A8138F" w:rsidP="00A8138F">
      <w:pPr>
        <w:pStyle w:val="TextoNormal"/>
      </w:pPr>
      <w:r>
        <w:t xml:space="preserve">    &amp;lt;th style=&amp;quot;text-align: center;&amp;quot;&amp;gt;M&amp;#225;ximo&amp;lt;/th&amp;gt;</w:t>
      </w:r>
    </w:p>
    <w:p w14:paraId="7FCC20EF" w14:textId="77777777" w:rsidR="00A8138F" w:rsidRDefault="00A8138F" w:rsidP="00A8138F">
      <w:pPr>
        <w:pStyle w:val="TextoNormal"/>
      </w:pPr>
      <w:r>
        <w:t xml:space="preserve">    &amp;lt;th style=&amp;quot;text-align: center;&amp;quot;&amp;gt;M&amp;#237;nimo&amp;lt;/th&amp;gt;</w:t>
      </w:r>
    </w:p>
    <w:p w14:paraId="24FCF392" w14:textId="77777777" w:rsidR="00A8138F" w:rsidRDefault="00A8138F" w:rsidP="00A8138F">
      <w:pPr>
        <w:pStyle w:val="TextoNormal"/>
      </w:pPr>
      <w:r>
        <w:t xml:space="preserve">  &amp;lt;/tr&amp;gt;</w:t>
      </w:r>
    </w:p>
    <w:p w14:paraId="2FEC45A7" w14:textId="77777777" w:rsidR="00A8138F" w:rsidRDefault="00A8138F" w:rsidP="00A8138F">
      <w:pPr>
        <w:pStyle w:val="TextoNormal"/>
      </w:pPr>
      <w:r>
        <w:t xml:space="preserve">  &amp;lt;tr&amp;gt;</w:t>
      </w:r>
    </w:p>
    <w:p w14:paraId="1ECFD9D8" w14:textId="77777777" w:rsidR="00A8138F" w:rsidRDefault="00A8138F" w:rsidP="00A8138F">
      <w:pPr>
        <w:pStyle w:val="TextoNormal"/>
      </w:pPr>
      <w:r>
        <w:t xml:space="preserve">    &amp;lt;td&amp;gt;Hasta 5.000 habitantes&amp;lt;/td&amp;gt;</w:t>
      </w:r>
    </w:p>
    <w:p w14:paraId="397C210E" w14:textId="77777777" w:rsidR="00A8138F" w:rsidRDefault="00A8138F" w:rsidP="00A8138F">
      <w:pPr>
        <w:pStyle w:val="TextoNormal"/>
      </w:pPr>
      <w:r>
        <w:t xml:space="preserve">    &amp;lt;td style=&amp;quot;text-align: center;&amp;quot;&amp;gt;3,3&amp;lt;/td&amp;gt;</w:t>
      </w:r>
    </w:p>
    <w:p w14:paraId="6B20D7CA" w14:textId="77777777" w:rsidR="00A8138F" w:rsidRDefault="00A8138F" w:rsidP="00A8138F">
      <w:pPr>
        <w:pStyle w:val="TextoNormal"/>
      </w:pPr>
      <w:r>
        <w:t xml:space="preserve">    &amp;lt;td style=&amp;quot;text-align: center;&amp;quot;&amp;gt;2,2&amp;lt;/td&amp;gt;</w:t>
      </w:r>
    </w:p>
    <w:p w14:paraId="26309F32" w14:textId="77777777" w:rsidR="00A8138F" w:rsidRDefault="00A8138F" w:rsidP="00A8138F">
      <w:pPr>
        <w:pStyle w:val="TextoNormal"/>
      </w:pPr>
      <w:r>
        <w:t xml:space="preserve">    &amp;lt;td style=&amp;quot;text-align: center;&amp;quot;&amp;gt;3,2&amp;lt;/td&amp;gt;</w:t>
      </w:r>
    </w:p>
    <w:p w14:paraId="76284887" w14:textId="77777777" w:rsidR="00A8138F" w:rsidRDefault="00A8138F" w:rsidP="00A8138F">
      <w:pPr>
        <w:pStyle w:val="TextoNormal"/>
      </w:pPr>
      <w:r>
        <w:t xml:space="preserve">    &amp;lt;td style=&amp;quot;text-align: center;&amp;quot;&amp;gt;2,1&amp;lt;/td&amp;gt;</w:t>
      </w:r>
    </w:p>
    <w:p w14:paraId="1E9C6641" w14:textId="77777777" w:rsidR="00A8138F" w:rsidRDefault="00A8138F" w:rsidP="00A8138F">
      <w:pPr>
        <w:pStyle w:val="TextoNormal"/>
      </w:pPr>
      <w:r>
        <w:t xml:space="preserve">    &amp;lt;td style=&amp;quot;text-align: center;&amp;quot;&amp;gt;3,1&amp;lt;/td&amp;gt;</w:t>
      </w:r>
    </w:p>
    <w:p w14:paraId="03F02C0C" w14:textId="77777777" w:rsidR="00A8138F" w:rsidRDefault="00A8138F" w:rsidP="00A8138F">
      <w:pPr>
        <w:pStyle w:val="TextoNormal"/>
      </w:pPr>
      <w:r>
        <w:lastRenderedPageBreak/>
        <w:t xml:space="preserve">    &amp;lt;td style=&amp;quot;text-align: center;&amp;quot;&amp;gt;2,0&amp;lt;/td&amp;gt;</w:t>
      </w:r>
    </w:p>
    <w:p w14:paraId="4FE9CE7A" w14:textId="77777777" w:rsidR="00A8138F" w:rsidRDefault="00A8138F" w:rsidP="00A8138F">
      <w:pPr>
        <w:pStyle w:val="TextoNormal"/>
      </w:pPr>
      <w:r>
        <w:t xml:space="preserve">    &amp;lt;td style=&amp;quot;text-align: center;&amp;quot;&amp;gt;3,1&amp;lt;/td&amp;gt;</w:t>
      </w:r>
    </w:p>
    <w:p w14:paraId="23CEDAC8" w14:textId="77777777" w:rsidR="00A8138F" w:rsidRDefault="00A8138F" w:rsidP="00A8138F">
      <w:pPr>
        <w:pStyle w:val="TextoNormal"/>
      </w:pPr>
      <w:r>
        <w:t xml:space="preserve">    &amp;lt;td style=&amp;quot;text-align: center;&amp;quot;&amp;gt;2,0&amp;lt;/td&amp;gt;</w:t>
      </w:r>
    </w:p>
    <w:p w14:paraId="4CA30B6C" w14:textId="77777777" w:rsidR="00A8138F" w:rsidRDefault="00A8138F" w:rsidP="00A8138F">
      <w:pPr>
        <w:pStyle w:val="TextoNormal"/>
      </w:pPr>
      <w:r>
        <w:t xml:space="preserve">  &amp;lt;/tr&amp;gt;</w:t>
      </w:r>
    </w:p>
    <w:p w14:paraId="0775CBA7" w14:textId="77777777" w:rsidR="00A8138F" w:rsidRDefault="00A8138F" w:rsidP="00A8138F">
      <w:pPr>
        <w:pStyle w:val="TextoNormal"/>
      </w:pPr>
      <w:r>
        <w:t xml:space="preserve">  &amp;lt;tr&amp;gt;</w:t>
      </w:r>
    </w:p>
    <w:p w14:paraId="56C18901" w14:textId="77777777" w:rsidR="00A8138F" w:rsidRDefault="00A8138F" w:rsidP="00A8138F">
      <w:pPr>
        <w:pStyle w:val="TextoNormal"/>
      </w:pPr>
      <w:r>
        <w:t xml:space="preserve">    &amp;lt;td&amp;gt;De 5.001 a 10.000&amp;lt;/td&amp;gt;</w:t>
      </w:r>
    </w:p>
    <w:p w14:paraId="15123098" w14:textId="77777777" w:rsidR="00A8138F" w:rsidRDefault="00A8138F" w:rsidP="00A8138F">
      <w:pPr>
        <w:pStyle w:val="TextoNormal"/>
      </w:pPr>
      <w:r>
        <w:t xml:space="preserve">    &amp;lt;td style=&amp;quot;text-align: center;&amp;quot;&amp;gt;3,4&amp;lt;/td&amp;gt;</w:t>
      </w:r>
    </w:p>
    <w:p w14:paraId="07EF1186" w14:textId="77777777" w:rsidR="00A8138F" w:rsidRDefault="00A8138F" w:rsidP="00A8138F">
      <w:pPr>
        <w:pStyle w:val="TextoNormal"/>
      </w:pPr>
      <w:r>
        <w:t xml:space="preserve">    &amp;lt;td style=&amp;quot;text-align: center;&amp;quot;&amp;gt;2,4&amp;lt;/td&amp;gt;</w:t>
      </w:r>
    </w:p>
    <w:p w14:paraId="3D824A7B" w14:textId="77777777" w:rsidR="00A8138F" w:rsidRDefault="00A8138F" w:rsidP="00A8138F">
      <w:pPr>
        <w:pStyle w:val="TextoNormal"/>
      </w:pPr>
      <w:r>
        <w:t xml:space="preserve">    &amp;lt;td style=&amp;quot;text-align: center;&amp;quot;&amp;gt;3,3&amp;lt;/td&amp;gt;</w:t>
      </w:r>
    </w:p>
    <w:p w14:paraId="48B24FAB" w14:textId="77777777" w:rsidR="00A8138F" w:rsidRDefault="00A8138F" w:rsidP="00A8138F">
      <w:pPr>
        <w:pStyle w:val="TextoNormal"/>
      </w:pPr>
      <w:r>
        <w:t xml:space="preserve">    &amp;lt;td style=&amp;quot;text-align: center;&amp;quot;&amp;gt;2,1&amp;lt;/td&amp;gt;</w:t>
      </w:r>
    </w:p>
    <w:p w14:paraId="4BC32FEC" w14:textId="77777777" w:rsidR="00A8138F" w:rsidRDefault="00A8138F" w:rsidP="00A8138F">
      <w:pPr>
        <w:pStyle w:val="TextoNormal"/>
      </w:pPr>
      <w:r>
        <w:t xml:space="preserve">    &amp;lt;td style=&amp;quot;text-align: center;&amp;quot;&amp;gt;3,3&amp;lt;/td&amp;gt;</w:t>
      </w:r>
    </w:p>
    <w:p w14:paraId="4A4DE060" w14:textId="77777777" w:rsidR="00A8138F" w:rsidRDefault="00A8138F" w:rsidP="00A8138F">
      <w:pPr>
        <w:pStyle w:val="TextoNormal"/>
      </w:pPr>
      <w:r>
        <w:t xml:space="preserve">    &amp;lt;td style=&amp;quot;text-align: center;&amp;quot;&amp;gt;2,0&amp;lt;/td&amp;gt;</w:t>
      </w:r>
    </w:p>
    <w:p w14:paraId="76BBB028" w14:textId="77777777" w:rsidR="00A8138F" w:rsidRDefault="00A8138F" w:rsidP="00A8138F">
      <w:pPr>
        <w:pStyle w:val="TextoNormal"/>
      </w:pPr>
      <w:r>
        <w:t xml:space="preserve">    &amp;lt;td style=&amp;quot;text-align: center;&amp;quot;&amp;gt;3,2&amp;lt;/td&amp;gt;</w:t>
      </w:r>
    </w:p>
    <w:p w14:paraId="59983C14" w14:textId="77777777" w:rsidR="00A8138F" w:rsidRDefault="00A8138F" w:rsidP="00A8138F">
      <w:pPr>
        <w:pStyle w:val="TextoNormal"/>
      </w:pPr>
      <w:r>
        <w:t xml:space="preserve">    &amp;lt;td style=&amp;quot;text-align: center;&amp;quot;&amp;gt;2,0&amp;lt;/td&amp;gt;</w:t>
      </w:r>
    </w:p>
    <w:p w14:paraId="1C4A8592" w14:textId="77777777" w:rsidR="00A8138F" w:rsidRDefault="00A8138F" w:rsidP="00A8138F">
      <w:pPr>
        <w:pStyle w:val="TextoNormal"/>
      </w:pPr>
      <w:r>
        <w:t xml:space="preserve">  &amp;lt;/tr&amp;gt;</w:t>
      </w:r>
    </w:p>
    <w:p w14:paraId="10C8AEB2" w14:textId="77777777" w:rsidR="00A8138F" w:rsidRDefault="00A8138F" w:rsidP="00A8138F">
      <w:pPr>
        <w:pStyle w:val="TextoNormal"/>
      </w:pPr>
      <w:r>
        <w:t xml:space="preserve">  &amp;lt;tr&amp;gt;</w:t>
      </w:r>
    </w:p>
    <w:p w14:paraId="777042B7" w14:textId="77777777" w:rsidR="00A8138F" w:rsidRDefault="00A8138F" w:rsidP="00A8138F">
      <w:pPr>
        <w:pStyle w:val="TextoNormal"/>
      </w:pPr>
      <w:r>
        <w:t xml:space="preserve">    &amp;lt;td&amp;gt;De 10.001 a 50.000&amp;lt;/td&amp;gt;</w:t>
      </w:r>
    </w:p>
    <w:p w14:paraId="5C663438" w14:textId="77777777" w:rsidR="00A8138F" w:rsidRDefault="00A8138F" w:rsidP="00A8138F">
      <w:pPr>
        <w:pStyle w:val="TextoNormal"/>
      </w:pPr>
      <w:r>
        <w:t xml:space="preserve">    &amp;lt;td style=&amp;quot;text-align: center;&amp;quot;&amp;gt;3,6&amp;lt;/td&amp;gt;</w:t>
      </w:r>
    </w:p>
    <w:p w14:paraId="689634BB" w14:textId="77777777" w:rsidR="00A8138F" w:rsidRDefault="00A8138F" w:rsidP="00A8138F">
      <w:pPr>
        <w:pStyle w:val="TextoNormal"/>
      </w:pPr>
      <w:r>
        <w:t xml:space="preserve">    &amp;lt;td style=&amp;quot;text-align: center;&amp;quot;&amp;gt;2,6&amp;lt;/td&amp;gt;</w:t>
      </w:r>
    </w:p>
    <w:p w14:paraId="4E1C621D" w14:textId="77777777" w:rsidR="00A8138F" w:rsidRDefault="00A8138F" w:rsidP="00A8138F">
      <w:pPr>
        <w:pStyle w:val="TextoNormal"/>
      </w:pPr>
      <w:r>
        <w:t xml:space="preserve">    &amp;lt;td style=&amp;quot;text-align: center;&amp;quot;&amp;gt;3,5&amp;lt;/td&amp;gt;</w:t>
      </w:r>
    </w:p>
    <w:p w14:paraId="6696F775" w14:textId="77777777" w:rsidR="00A8138F" w:rsidRDefault="00A8138F" w:rsidP="00A8138F">
      <w:pPr>
        <w:pStyle w:val="TextoNormal"/>
      </w:pPr>
      <w:r>
        <w:t xml:space="preserve">    &amp;lt;td style=&amp;quot;text-align: center;&amp;quot;&amp;gt;2,3&amp;lt;/td&amp;gt;</w:t>
      </w:r>
    </w:p>
    <w:p w14:paraId="426D00D0" w14:textId="77777777" w:rsidR="00A8138F" w:rsidRDefault="00A8138F" w:rsidP="00A8138F">
      <w:pPr>
        <w:pStyle w:val="TextoNormal"/>
      </w:pPr>
      <w:r>
        <w:t xml:space="preserve">    &amp;lt;td style=&amp;quot;text-align: center;&amp;quot;&amp;gt;3,4&amp;lt;/td&amp;gt;</w:t>
      </w:r>
    </w:p>
    <w:p w14:paraId="226A5DBB" w14:textId="77777777" w:rsidR="00A8138F" w:rsidRDefault="00A8138F" w:rsidP="00A8138F">
      <w:pPr>
        <w:pStyle w:val="TextoNormal"/>
      </w:pPr>
      <w:r>
        <w:t xml:space="preserve">    &amp;lt;td style=&amp;quot;text-align: center;&amp;quot;&amp;gt;2,1&amp;lt;/td&amp;gt;</w:t>
      </w:r>
    </w:p>
    <w:p w14:paraId="442E7194" w14:textId="77777777" w:rsidR="00A8138F" w:rsidRDefault="00A8138F" w:rsidP="00A8138F">
      <w:pPr>
        <w:pStyle w:val="TextoNormal"/>
      </w:pPr>
      <w:r>
        <w:t xml:space="preserve">    &amp;lt;td style=&amp;quot;text-align: center;&amp;quot;&amp;gt;3,4&amp;lt;/td&amp;gt;</w:t>
      </w:r>
    </w:p>
    <w:p w14:paraId="4AAE9146" w14:textId="77777777" w:rsidR="00A8138F" w:rsidRDefault="00A8138F" w:rsidP="00A8138F">
      <w:pPr>
        <w:pStyle w:val="TextoNormal"/>
      </w:pPr>
      <w:r>
        <w:t xml:space="preserve">    &amp;lt;td style=&amp;quot;text-align: center;&amp;quot;&amp;gt;2,1&amp;lt;/td&amp;gt;</w:t>
      </w:r>
    </w:p>
    <w:p w14:paraId="1CF4989A" w14:textId="77777777" w:rsidR="00A8138F" w:rsidRDefault="00A8138F" w:rsidP="00A8138F">
      <w:pPr>
        <w:pStyle w:val="TextoNormal"/>
      </w:pPr>
      <w:r>
        <w:t xml:space="preserve">  &amp;lt;/tr&amp;gt;</w:t>
      </w:r>
    </w:p>
    <w:p w14:paraId="02143F71" w14:textId="77777777" w:rsidR="00A8138F" w:rsidRDefault="00A8138F" w:rsidP="00A8138F">
      <w:pPr>
        <w:pStyle w:val="TextoNormal"/>
      </w:pPr>
      <w:r>
        <w:t xml:space="preserve">  &amp;lt;tr&amp;gt;</w:t>
      </w:r>
    </w:p>
    <w:p w14:paraId="6E98F1E4" w14:textId="77777777" w:rsidR="00A8138F" w:rsidRDefault="00A8138F" w:rsidP="00A8138F">
      <w:pPr>
        <w:pStyle w:val="TextoNormal"/>
      </w:pPr>
      <w:r>
        <w:t xml:space="preserve">    &amp;lt;td&amp;gt;M&amp;#225;s de 50.000&amp;lt;/td&amp;gt;</w:t>
      </w:r>
    </w:p>
    <w:p w14:paraId="06D1E7E8" w14:textId="77777777" w:rsidR="00A8138F" w:rsidRDefault="00A8138F" w:rsidP="00A8138F">
      <w:pPr>
        <w:pStyle w:val="TextoNormal"/>
      </w:pPr>
      <w:r>
        <w:t xml:space="preserve">    &amp;lt;td style=&amp;quot;text-align: center;&amp;quot;&amp;gt;3,8&amp;lt;/td&amp;gt;</w:t>
      </w:r>
    </w:p>
    <w:p w14:paraId="35865A82" w14:textId="77777777" w:rsidR="00A8138F" w:rsidRDefault="00A8138F" w:rsidP="00A8138F">
      <w:pPr>
        <w:pStyle w:val="TextoNormal"/>
      </w:pPr>
      <w:r>
        <w:t xml:space="preserve">    &amp;lt;td style=&amp;quot;text-align: center;&amp;quot;&amp;gt;2,7&amp;lt;/td&amp;gt;</w:t>
      </w:r>
    </w:p>
    <w:p w14:paraId="1CF0E4A8" w14:textId="77777777" w:rsidR="00A8138F" w:rsidRDefault="00A8138F" w:rsidP="00A8138F">
      <w:pPr>
        <w:pStyle w:val="TextoNormal"/>
      </w:pPr>
      <w:r>
        <w:t xml:space="preserve">    &amp;lt;td style=&amp;quot;text-align: center;&amp;quot;&amp;gt;3,7&amp;lt;/td&amp;gt;</w:t>
      </w:r>
    </w:p>
    <w:p w14:paraId="45182B35" w14:textId="77777777" w:rsidR="00A8138F" w:rsidRDefault="00A8138F" w:rsidP="00A8138F">
      <w:pPr>
        <w:pStyle w:val="TextoNormal"/>
      </w:pPr>
      <w:r>
        <w:t xml:space="preserve">    &amp;lt;td style=&amp;quot;text-align: center;&amp;quot;&amp;gt;2,5&amp;lt;/td&amp;gt;</w:t>
      </w:r>
    </w:p>
    <w:p w14:paraId="35FA1B10" w14:textId="77777777" w:rsidR="00A8138F" w:rsidRDefault="00A8138F" w:rsidP="00A8138F">
      <w:pPr>
        <w:pStyle w:val="TextoNormal"/>
      </w:pPr>
      <w:r>
        <w:t xml:space="preserve">    &amp;lt;td style=&amp;quot;text-align: center;&amp;quot;&amp;gt;3,6&amp;lt;/td&amp;gt;</w:t>
      </w:r>
    </w:p>
    <w:p w14:paraId="32294FBD" w14:textId="77777777" w:rsidR="00A8138F" w:rsidRDefault="00A8138F" w:rsidP="00A8138F">
      <w:pPr>
        <w:pStyle w:val="TextoNormal"/>
      </w:pPr>
      <w:r>
        <w:t xml:space="preserve">    &amp;lt;td style=&amp;quot;text-align: center;&amp;quot;&amp;gt;2,2&amp;lt;/td&amp;gt;</w:t>
      </w:r>
    </w:p>
    <w:p w14:paraId="66737949" w14:textId="77777777" w:rsidR="00A8138F" w:rsidRDefault="00A8138F" w:rsidP="00A8138F">
      <w:pPr>
        <w:pStyle w:val="TextoNormal"/>
      </w:pPr>
      <w:r>
        <w:t xml:space="preserve">    &amp;lt;td style=&amp;quot;text-align: center;&amp;quot;&amp;gt;3,6&amp;lt;/td&amp;gt;</w:t>
      </w:r>
    </w:p>
    <w:p w14:paraId="74CAE64B" w14:textId="77777777" w:rsidR="00A8138F" w:rsidRDefault="00A8138F" w:rsidP="00A8138F">
      <w:pPr>
        <w:pStyle w:val="TextoNormal"/>
      </w:pPr>
      <w:r>
        <w:t xml:space="preserve">    &amp;lt;td style=&amp;quot;text-align: center;&amp;quot;&amp;gt;2,2&amp;lt;/td&amp;gt;</w:t>
      </w:r>
    </w:p>
    <w:p w14:paraId="26643D86" w14:textId="77777777" w:rsidR="00A8138F" w:rsidRDefault="00A8138F" w:rsidP="00A8138F">
      <w:pPr>
        <w:pStyle w:val="TextoNormal"/>
      </w:pPr>
      <w:r>
        <w:t xml:space="preserve">  &amp;lt;/tr&amp;gt;</w:t>
      </w:r>
    </w:p>
    <w:p w14:paraId="007BCE43" w14:textId="77777777" w:rsidR="00A8138F" w:rsidRDefault="00A8138F" w:rsidP="00A8138F">
      <w:pPr>
        <w:pStyle w:val="TextoNormal"/>
      </w:pPr>
      <w:r>
        <w:t>&amp;lt;/table&amp;gt;</w:t>
      </w:r>
    </w:p>
    <w:p w14:paraId="4CC1CADB" w14:textId="77777777" w:rsidR="00A8138F" w:rsidRDefault="00A8138F" w:rsidP="00A8138F">
      <w:pPr>
        <w:pStyle w:val="TextoNormal"/>
      </w:pPr>
    </w:p>
    <w:p w14:paraId="12C252BE" w14:textId="77777777" w:rsidR="00A8138F" w:rsidRDefault="00A8138F" w:rsidP="00A8138F">
      <w:pPr>
        <w:pStyle w:val="TextoNormal"/>
      </w:pPr>
      <w:r>
        <w:t>Para determinar el porcentaje a que se refiere el párrafo primero de este número se aplicarán las reglas siguientes:</w:t>
      </w:r>
    </w:p>
    <w:p w14:paraId="78821296" w14:textId="77777777" w:rsidR="00A8138F" w:rsidRDefault="00A8138F" w:rsidP="00A8138F">
      <w:pPr>
        <w:pStyle w:val="TextoNormal"/>
      </w:pPr>
    </w:p>
    <w:p w14:paraId="35B8504B" w14:textId="77777777" w:rsidR="00A8138F" w:rsidRDefault="00A8138F" w:rsidP="00A8138F">
      <w:pPr>
        <w:pStyle w:val="TextoNormal"/>
      </w:pPr>
      <w:r>
        <w:t>Primera. Los ayuntamientos podrán fijar, dentro de los límites máximo y mínimo señalados en el cuadro para cada período, y según su población de derecho, el porcentaje anual que estimen conveniente.</w:t>
      </w:r>
    </w:p>
    <w:p w14:paraId="73A8AF33" w14:textId="77777777" w:rsidR="00A8138F" w:rsidRDefault="00A8138F" w:rsidP="00A8138F">
      <w:pPr>
        <w:pStyle w:val="TextoNormal"/>
      </w:pPr>
    </w:p>
    <w:p w14:paraId="2D333D92" w14:textId="77777777" w:rsidR="00A8138F" w:rsidRDefault="00A8138F" w:rsidP="00A8138F">
      <w:pPr>
        <w:pStyle w:val="TextoNormal"/>
      </w:pPr>
      <w:r>
        <w:t>Segunda. El incremento de valor de cada operación gravada por el impuesto se determinará con arreglo al porcentaje anual fijado por el Ayuntamiento para el período que com</w:t>
      </w:r>
      <w:r>
        <w:lastRenderedPageBreak/>
        <w:t>prenda el número de años a lo largo de los cuales se haya puesto de manifiesto dicho incremento.</w:t>
      </w:r>
    </w:p>
    <w:p w14:paraId="70561B4F" w14:textId="77777777" w:rsidR="00A8138F" w:rsidRDefault="00A8138F" w:rsidP="00A8138F">
      <w:pPr>
        <w:pStyle w:val="TextoNormal"/>
      </w:pPr>
    </w:p>
    <w:p w14:paraId="320EC383" w14:textId="77777777" w:rsidR="00A8138F" w:rsidRDefault="00A8138F" w:rsidP="00A8138F">
      <w:pPr>
        <w:pStyle w:val="TextoNormal"/>
      </w:pPr>
      <w:r>
        <w:t>Tercera. El porcentaje a aplicar sobre el valor del terreno en el momento del devengo será el resultante de multiplicar el porcentaje anual aplicable a cada caso concreto por el número de años a lo largo de los cuales se haya puesto de manifiesto el incremento del valor.</w:t>
      </w:r>
    </w:p>
    <w:p w14:paraId="746A494B" w14:textId="77777777" w:rsidR="00A8138F" w:rsidRDefault="00A8138F" w:rsidP="00A8138F">
      <w:pPr>
        <w:pStyle w:val="TextoNormal"/>
      </w:pPr>
    </w:p>
    <w:p w14:paraId="706D8275" w14:textId="77777777" w:rsidR="00A8138F" w:rsidRDefault="00A8138F" w:rsidP="00A8138F">
      <w:pPr>
        <w:pStyle w:val="TextoNormal"/>
      </w:pPr>
      <w:r>
        <w:t>Cuarta. Para determinar el porcentaje anual aplicable a cada operación concreta conforme a la regla segunda, y para determinar el número de años por los que se ha de multiplicar dicho porcentaje anual conforme a la regla tercera, solo se considerarán los años completos que integren el período de puesta de manifiesto del incremento de valor, sin que a tales efectos puedan considerarse las fracciones de años de dicho período.</w:t>
      </w:r>
    </w:p>
    <w:p w14:paraId="193F38B2" w14:textId="77777777" w:rsidR="00A8138F" w:rsidRDefault="00A8138F" w:rsidP="00A8138F">
      <w:pPr>
        <w:pStyle w:val="TextoNormal"/>
      </w:pPr>
    </w:p>
    <w:p w14:paraId="32729809" w14:textId="77777777" w:rsidR="00A8138F" w:rsidRDefault="00A8138F" w:rsidP="00A8138F">
      <w:pPr>
        <w:pStyle w:val="TextoNormal"/>
      </w:pPr>
      <w:r>
        <w:t>Los porcentajes anuales contenidos en el cuadro anterior podrán ser modificados por el procedimiento establecido en el artículo 58.2.</w:t>
      </w:r>
    </w:p>
    <w:p w14:paraId="2525CF13" w14:textId="77777777" w:rsidR="00A8138F" w:rsidRDefault="00A8138F" w:rsidP="00A8138F">
      <w:pPr>
        <w:pStyle w:val="TextoNormal"/>
      </w:pPr>
    </w:p>
    <w:p w14:paraId="4FD34C5C" w14:textId="77777777" w:rsidR="00A8138F" w:rsidRDefault="00A8138F" w:rsidP="00A8138F">
      <w:pPr>
        <w:pStyle w:val="TextoNormal"/>
      </w:pPr>
      <w:r>
        <w:t>3. En las transmisiones de terrenos el valor de los mismos en el momento del devengo será el valor que resulte de la aplicación de la ponencia de valores vigente, aun cuando aquellos fuesen parte integrante de un bien declarado especial o no se hubiera determinado aún el valor individualizado del bien inmueble transmitido.</w:t>
      </w:r>
    </w:p>
    <w:p w14:paraId="49DE8928" w14:textId="77777777" w:rsidR="00A8138F" w:rsidRDefault="00A8138F" w:rsidP="00A8138F">
      <w:pPr>
        <w:pStyle w:val="TextoNormal"/>
      </w:pPr>
    </w:p>
    <w:p w14:paraId="108C2B0C" w14:textId="77777777" w:rsidR="00A8138F" w:rsidRDefault="00A8138F" w:rsidP="00A8138F">
      <w:pPr>
        <w:pStyle w:val="TextoNormal"/>
      </w:pPr>
      <w:r>
        <w:t>No obstante lo anterior, cuando en el momento de la transmisión del terreno la ponencia de valores que se encuentre vigente no plasme la naturaleza urbana del mismo a los efectos de este impuesto o cuando las circunstancias urbanísticas del terreno hayan variado respecto de las contempladas en la ponencia, se practicará una liquidación provisional conforme al valor resultante de dicha ponencia. Una vez aprobada la nueva ponencia de valores en que se asigne el valor acorde con la nueva realidad urbanística del terreno en el momento del devengo, se girará la liquidación definitiva referida a la fecha de devengo del impuesto, con devolución, en su caso, del exceso satisfecho.</w:t>
      </w:r>
    </w:p>
    <w:p w14:paraId="23CD384A" w14:textId="77777777" w:rsidR="00A8138F" w:rsidRDefault="00A8138F" w:rsidP="00A8138F">
      <w:pPr>
        <w:pStyle w:val="TextoNormal"/>
      </w:pPr>
    </w:p>
    <w:p w14:paraId="71B73FDD" w14:textId="77777777" w:rsidR="00A8138F" w:rsidRDefault="00A8138F" w:rsidP="00A8138F">
      <w:pPr>
        <w:pStyle w:val="TextoNormal"/>
      </w:pPr>
      <w:r>
        <w:t>A tales efectos se corregirá el valor resultante de la nueva ponencia de valores multiplicándolo por un coeficiente igual al cociente entre la media ponderada del valor por metro cuadrado de todos los terrenos considerados como de naturaleza urbana por la ponencia vigente en el momento del devengo y la media ponderada por metro cuadrado asignada por la nueva ponencia a esos mismos terrenos.</w:t>
      </w:r>
    </w:p>
    <w:p w14:paraId="635C70C0" w14:textId="77777777" w:rsidR="00A8138F" w:rsidRDefault="00A8138F" w:rsidP="00A8138F">
      <w:pPr>
        <w:pStyle w:val="TextoNormal"/>
      </w:pPr>
    </w:p>
    <w:p w14:paraId="050FDCA7" w14:textId="77777777" w:rsidR="00A8138F" w:rsidRDefault="00A8138F" w:rsidP="00A8138F">
      <w:pPr>
        <w:pStyle w:val="TextoNormal"/>
      </w:pPr>
      <w:r>
        <w:t>4. En la constitución y transmisión de derechos reales de goce limitativos del dominio, el cuadro de porcentajes anuales, contenido en el número 2 de este artículo, se aplicará sobre la parte del valor definido en el número anterior que represente, respecto del mismo, el valor de los referidos derechos calculado mediante la aplicación de las normas fijadas a efectos del impuesto sobre transmisiones patrimoniales y actos jurídicos documentados.</w:t>
      </w:r>
    </w:p>
    <w:p w14:paraId="624BA1BE" w14:textId="77777777" w:rsidR="00A8138F" w:rsidRDefault="00A8138F" w:rsidP="00A8138F">
      <w:pPr>
        <w:pStyle w:val="TextoNormal"/>
      </w:pPr>
    </w:p>
    <w:p w14:paraId="56FAF6D4" w14:textId="77777777" w:rsidR="00A8138F" w:rsidRDefault="00A8138F" w:rsidP="00A8138F">
      <w:pPr>
        <w:pStyle w:val="TextoNormal"/>
      </w:pPr>
      <w:r>
        <w:t xml:space="preserve">5. En la constitución o transmisión del derecho a elevar una o más plantas sobre un edificio o terreno, o del derecho de realizar la construcción bajo suelo sin implicar la existencia de un derecho real de superficie, el cuadro de porcentajes anuales, contenido en el número 2 de este artículo, se aplicará sobre la parte del valor definido en el número 3 que represente, respecto del mismo, el módulo de proporcionalidad fijado en la escritura de transmisión o, en su defecto, el que resulte de establecer la proporción entre la superficie o volumen de las </w:t>
      </w:r>
      <w:r>
        <w:lastRenderedPageBreak/>
        <w:t>plantas a construir en vuelo o subsuelo y la total superficie o volumen edificados una vez construidas aquellas.</w:t>
      </w:r>
    </w:p>
    <w:p w14:paraId="378E6313" w14:textId="77777777" w:rsidR="00A8138F" w:rsidRDefault="00A8138F" w:rsidP="00A8138F">
      <w:pPr>
        <w:pStyle w:val="TextoNormal"/>
      </w:pPr>
    </w:p>
    <w:p w14:paraId="4D6DC139" w14:textId="5E8AB6F0" w:rsidR="00A8138F" w:rsidRDefault="00A8138F" w:rsidP="00A8138F">
      <w:pPr>
        <w:pStyle w:val="TextoNormal"/>
      </w:pPr>
      <w:r>
        <w:t>6. En los supuestos de expropiación forzosa, el cuadro de porcentajes anuales, contenido en el número 2 de este artículo, se aplicará sobre la parte del justiprecio que corresponda al valor del terreno”.</w:t>
      </w:r>
    </w:p>
    <w:p w14:paraId="282230B3" w14:textId="77777777" w:rsidR="00A8138F" w:rsidRDefault="00A8138F" w:rsidP="00A8138F">
      <w:pPr>
        <w:pStyle w:val="TextoNormal"/>
      </w:pPr>
    </w:p>
    <w:p w14:paraId="5BD56E1C" w14:textId="77777777" w:rsidR="00A8138F" w:rsidRDefault="00A8138F" w:rsidP="00A8138F">
      <w:pPr>
        <w:pStyle w:val="TextoNormal"/>
      </w:pPr>
      <w:r w:rsidRPr="00A8138F">
        <w:rPr>
          <w:rStyle w:val="NumeroAFNegritaCaracter"/>
        </w:rPr>
        <w:t>2</w:t>
      </w:r>
      <w:r>
        <w:t xml:space="preserve">. </w:t>
      </w:r>
      <w:r w:rsidRPr="00A8138F">
        <w:rPr>
          <w:i/>
        </w:rPr>
        <w:t>Examen de los presupuestos procesales para el válido planteamiento de la cuestión de inconstitucionalidad</w:t>
      </w:r>
    </w:p>
    <w:p w14:paraId="3903656A" w14:textId="77777777" w:rsidR="00A8138F" w:rsidRDefault="00A8138F" w:rsidP="00A8138F">
      <w:pPr>
        <w:pStyle w:val="TextoNormal"/>
      </w:pPr>
    </w:p>
    <w:p w14:paraId="53833F72" w14:textId="77777777" w:rsidR="00A8138F" w:rsidRDefault="00A8138F" w:rsidP="00A8138F">
      <w:pPr>
        <w:pStyle w:val="TextoNormal"/>
      </w:pPr>
      <w:r>
        <w:t>Antes de abordar el examen de constitucionalidad planteado, es preciso realizar varias consideraciones sobre el correcto cumplimiento por el órgano judicial de los requisitos procesales de promoción de la presente cuestión; requisitos que, al ser de orden público procesal, pueden ser examinados por este tribunal, de oficio o a instancia de parte, en la fase de resolución de este proceso constitucional (por todas, STC 27/2025, de 29 de enero, FJ 2, y las allí citadas).</w:t>
      </w:r>
    </w:p>
    <w:p w14:paraId="5D9B6952" w14:textId="77777777" w:rsidR="00A8138F" w:rsidRDefault="00A8138F" w:rsidP="00A8138F">
      <w:pPr>
        <w:pStyle w:val="TextoNormal"/>
      </w:pPr>
    </w:p>
    <w:p w14:paraId="42CF0578" w14:textId="77777777" w:rsidR="00A8138F" w:rsidRDefault="00A8138F" w:rsidP="00A8138F">
      <w:pPr>
        <w:pStyle w:val="TextoNormal"/>
      </w:pPr>
      <w:r>
        <w:t>A) Dos son las objeciones sobre el cumplimiento del trámite de audiencia previsto en el art. 35.2 LOTC que deben ser despejadas.</w:t>
      </w:r>
    </w:p>
    <w:p w14:paraId="0E058F31" w14:textId="77777777" w:rsidR="00A8138F" w:rsidRDefault="00A8138F" w:rsidP="00A8138F">
      <w:pPr>
        <w:pStyle w:val="TextoNormal"/>
      </w:pPr>
    </w:p>
    <w:p w14:paraId="712588DA" w14:textId="77777777" w:rsidR="00A8138F" w:rsidRDefault="00A8138F" w:rsidP="00A8138F">
      <w:pPr>
        <w:pStyle w:val="TextoNormal"/>
      </w:pPr>
      <w:r>
        <w:t>a) De un lado, por lo que se refiere a si su realización fue correcta o no, es doctrina constitucional consolidada que la providencia por la que se otorgue el trámite de audiencia a las partes y al Ministerio Fiscal ha de especificar los preceptos legales cuestionados y los preceptos constitucionales que se consideren vulnerados, o bien, a falta de cita concreta de los preceptos constitucionales supuestamente vulnerados, “[b]asta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del trámite’ (por todas, STC 166/2007, de 4 de julio, FJ 6)” [STC 112/2024, de 10 de septiembre, FJ 2 a), con cita de las SSTC 166/2012, de 1 de octubre, FJ 3, y 50/2015, de 5 de marzo, FJ 2 b)].</w:t>
      </w:r>
    </w:p>
    <w:p w14:paraId="444E74BD" w14:textId="77777777" w:rsidR="00A8138F" w:rsidRDefault="00A8138F" w:rsidP="00A8138F">
      <w:pPr>
        <w:pStyle w:val="TextoNormal"/>
      </w:pPr>
    </w:p>
    <w:p w14:paraId="625AD377" w14:textId="77777777" w:rsidR="00A8138F" w:rsidRDefault="00A8138F" w:rsidP="00A8138F">
      <w:pPr>
        <w:pStyle w:val="TextoNormal"/>
      </w:pPr>
      <w:r>
        <w:t xml:space="preserve">A la vista de los términos de la providencia de 28 de noviembre de 2022, puede concluirse que el órgano promotor de la cuestión ha cumplimentado adecuadamente el trámite de audiencia al identificar el precepto legal cuestionado (art. 175.2 de la Ley Foral 2/1995) y el precepto constitucional con el que entraría en contradicción (“prohibición de confiscatoriedad contenida en el art. 31.1 de la Constitución Española, atendida la doctrina establecida en la STC 182/2021, de 26 de octubre”). Y a ello no es obstáculo, como expresa el fiscal general del Estado, la circunstancia de que la providencia se refiera a la vulneración del principio de no confiscatoriedad y en el auto de planteamiento se declare la violación del principio de capacidad económica, ya que la citada providencia hace referencia específica a la doctrina de la STC 182/2021, lo que permitió que las partes y el Ministerio Fiscal, en sus alegaciones, identificaran como principio tributario infringido el de capacidad económica como criterio de imposición del art. 31.1 CE. Esto es, “el defecto en que incurre la providencia de apertura del trámite de audiencia no alcanza a producir confusión en los destinatarios, de modo que estos pueden superar ese defecto y entender correctamente cuál era la </w:t>
      </w:r>
      <w:r>
        <w:lastRenderedPageBreak/>
        <w:t>duda que se les plantea, pues en estos casos no se habrá impedido a las partes el efectivo ejercicio de su derecho de audiencia en el trámite previsto por el art. 35.2 LOTC’ (ATC 183/2015, de 3 noviembre, FJ 3)” [STC 123/2021, de 3 de junio, FJ 2 a), con cita de la STC 149/2020, de 22 de octubre, FJ 2 b)].</w:t>
      </w:r>
    </w:p>
    <w:p w14:paraId="38B5B1A8" w14:textId="77777777" w:rsidR="00A8138F" w:rsidRDefault="00A8138F" w:rsidP="00A8138F">
      <w:pPr>
        <w:pStyle w:val="TextoNormal"/>
      </w:pPr>
    </w:p>
    <w:p w14:paraId="2F5B23C6" w14:textId="77777777" w:rsidR="00A8138F" w:rsidRDefault="00A8138F" w:rsidP="00A8138F">
      <w:pPr>
        <w:pStyle w:val="TextoNormal"/>
      </w:pPr>
      <w:r>
        <w:t>b) De otro lado, tampoco puede prosperar la alegación del Ayuntamiento de Zizur Mayor de que no fue efectivamente oído en el trámite de audiencia en contra de lo que requiere el art. 35.2 LOTC. Considera su representación que, al no contener el auto de planteamiento pronunciamiento expreso sobre los argumentos que esta parte adujo en contra de su viabilidad (y en concreto sobre la no concurrencia del juicio de relevancia), estos no fueron tomados en consideración ni examinados por el órgano judicial promotor antes de decidir sobre la procedencia o no de la apertura de este proceso constitucional. Y prueba de ello es que la motivación del juicio de relevancia contenida en dicho auto resulta completamente extraña y ajena a tales alegaciones.</w:t>
      </w:r>
    </w:p>
    <w:p w14:paraId="5E63FBDD" w14:textId="77777777" w:rsidR="00A8138F" w:rsidRDefault="00A8138F" w:rsidP="00A8138F">
      <w:pPr>
        <w:pStyle w:val="TextoNormal"/>
      </w:pPr>
    </w:p>
    <w:p w14:paraId="44E8D04A" w14:textId="77777777" w:rsidR="00A8138F" w:rsidRDefault="00A8138F" w:rsidP="00A8138F">
      <w:pPr>
        <w:pStyle w:val="TextoNormal"/>
      </w:pPr>
      <w:r>
        <w:t>Así pues, como bien recuerda el propio ayuntamiento, “la audiencia previa del art. 35.2 LOTC no es un simple trámite carente de más trascendencia que la de su obligatoria concesión, sino que su exigencia persigue poner a disposición del juez un medio que le permita conocer con rigor la opinión de los sujetos interesados sobre la oportunidad o pertinencia de plantear una cuestión de inconstitucionalidad” (STC 204/2004, de 18 de noviembre, FJ 2) y que “[e]s del todo obvio que oír a las partes y al Ministerio Fiscal, como exige el artículo 35.2 LOTC, supone no solo abrir el trámite correspondiente y dar lugar a que se alegue, sino tomar conocimiento de las alegaciones que en tal trámite se hubieran presentado en tiempo y forma sobre la pertinencia de plantear la cuestión de inconstitucionalidad o sobre el fondo de esta [STC 157/2015, de 9 de julio, FJ 3 b)].</w:t>
      </w:r>
    </w:p>
    <w:p w14:paraId="2B1B5ECC" w14:textId="77777777" w:rsidR="00A8138F" w:rsidRDefault="00A8138F" w:rsidP="00A8138F">
      <w:pPr>
        <w:pStyle w:val="TextoNormal"/>
      </w:pPr>
    </w:p>
    <w:p w14:paraId="497F2E3B" w14:textId="77777777" w:rsidR="00A8138F" w:rsidRDefault="00A8138F" w:rsidP="00A8138F">
      <w:pPr>
        <w:pStyle w:val="TextoNormal"/>
      </w:pPr>
      <w:r>
        <w:t xml:space="preserve">Ahora bien, en estos dos pronunciamientos este tribunal inadmitió las cuestiones de inconstitucionalidad planteadas por ausencia efectiva del trámite de audiencia por no tomar en consideración, en un caso, las alegaciones formuladas por el Ministerio Fiscal al ser el auto de planteamiento de fecha anterior a la del trámite de audiencia al Ministerio Público (STC 204/2004, FJ 2) y, en el otro, las alegaciones vertidas por la parte demandada en el proceso </w:t>
      </w:r>
      <w:r w:rsidRPr="00A8138F">
        <w:rPr>
          <w:i/>
        </w:rPr>
        <w:t>a quo</w:t>
      </w:r>
      <w:r>
        <w:t xml:space="preserve"> (Xunta de Galicia), presentadas en tiempo y forma, dado que el auto de planteamiento afirmaba expresamente que únicamente el Ministerio Fiscal había presentado alegaciones [STC 157/2015, FJ 3 b)]. En cambio, nada de esto ocurre en el presente supuesto, pues puede afirmarse sin ambages que la Sala promotora ha examinado las alegaciones oportunamente deducidas por esta parte en oposición a la viabilidad y pertinencia de la presente cuestión. En los antecedentes del auto de planteamiento estas quedan plasmadas expresamente, para reconocer abiertamente después, en el fundamento jurídico quinto, que el método legal objetivo de cálculo de la base imponible del IIVTNU aplicado a las liquidaciones controvertidas, que ahora se cuestiona, resulta “más beneficioso para el contribuyente” que ser gravado por el incremento realmente obtenido puesto que, como revelan las tablas reproducidas en los antecedentes, en el proceso </w:t>
      </w:r>
      <w:r w:rsidRPr="00A8138F">
        <w:rPr>
          <w:i/>
        </w:rPr>
        <w:t>a quo</w:t>
      </w:r>
      <w:r>
        <w:t xml:space="preserve"> este último incremento es superior. Así, los argumentos que siguen para justificar el juicio de relevancia, que son calificados por el ente local de extraños y ajenos a sus alegaciones, no son fruto de un incumplimiento del art. 35.2 LOTC sino, como se verá al analizar las objeciones sobre el cumplimiento del juicio de relevancia y su debida exteriorización, de un entendimiento erróneo del contenido del fallo de la STC 182/2021 por parte del ayuntamiento.</w:t>
      </w:r>
    </w:p>
    <w:p w14:paraId="14D38855" w14:textId="77777777" w:rsidR="00A8138F" w:rsidRDefault="00A8138F" w:rsidP="00A8138F">
      <w:pPr>
        <w:pStyle w:val="TextoNormal"/>
      </w:pPr>
    </w:p>
    <w:p w14:paraId="2521DF74" w14:textId="77777777" w:rsidR="00A8138F" w:rsidRDefault="00A8138F" w:rsidP="00A8138F">
      <w:pPr>
        <w:pStyle w:val="TextoNormal"/>
      </w:pPr>
      <w:r>
        <w:lastRenderedPageBreak/>
        <w:t>B) En cuanto a la deficiente formulación en el auto de los juicios de aplicabilidad y relevancia, que alega el ayuntamiento, debe precisarse que es doctrina constitucional reiterada que “corresponde al órgano judicial proponente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38/2014, de 11 de marzo, FJ 3), o, como señala la STC 60/2013, de 13 de marzo, FJ 1 b), porque ‘de manera notoria, sin necesidad de examinar el fondo debatido y en aplicación de principios jurídicos básicos, se advierta que la argumentación judicial en relación con el juicio de relevancia resulta falta de consistencia’ (STC 43/2015, de 2 de marzo, FJ 3). En tales casos, solo mediante la revisión del juicio de aplicabilidad y relevancia es posible garantizar el control concreto de constitucionalidad que corresponde a la cuestión de inconstitucionalidad, en los términos en que esta es definida por el art. 163 CE [SSTC 87/2012, de 18 de abril, FJ 2; 146/2012, de 5 de julio, FJ 3; 60/2013, de 13 de marzo, FJ 1 b); 53/2014, de 10 de abril, FJ 1 b), y 82/2014, de 28 de mayo, FJ 2 a)]” (STC 123/2021, de 3 de junio, FJ 2, con cita de la STC 23/2017, de 16 de febrero, FJ 2).</w:t>
      </w:r>
    </w:p>
    <w:p w14:paraId="7908F8EF" w14:textId="77777777" w:rsidR="00A8138F" w:rsidRDefault="00A8138F" w:rsidP="00A8138F">
      <w:pPr>
        <w:pStyle w:val="TextoNormal"/>
      </w:pPr>
    </w:p>
    <w:p w14:paraId="6BB19AFB" w14:textId="77777777" w:rsidR="00A8138F" w:rsidRDefault="00A8138F" w:rsidP="00A8138F">
      <w:pPr>
        <w:pStyle w:val="TextoNormal"/>
      </w:pPr>
      <w:r>
        <w:t>a) En el presente asunto el auto de planteamiento razona de forma suficientemente motivada por qué, a juicio de la Sala, es aplicable el art. 175.2 de la Ley Foral 2/1995, en la redacción vigente a la fecha de dictarse las liquidaciones (14 de abril de 2015). De un lado, no cabe duda de que la redacción vigente a esa fecha ha sido la aplicada por el ayuntamiento a la hora de girar las tres liquidaciones del IIVTNU aquí controvertidas, al ser esa la redacción vigente a la fecha del devengo del impuesto (como obra en los antecedentes, el 29 y 30 de diciembre de 2014 y el 16 de febrero de 2015), siendo esta la redacción original del citado art. 175.2 de la Ley 2/1995, de 10 de marzo, reproducida en el auto de planteamiento. De otro lado, prueba de la correcta exteriorización del juicio de aplicabilidad es que el referido auto de 27 de enero de 2023: (i) identifica y transcribe el art. 175.2 de la Ley Foral 2/1995, en su redacción original, vigente a dicha fecha, como la norma aplicable al caso (fundamento jurídico segundo); (ii) recoge el pasaje de la exposición de motivos de la Ley Foral 20/2021, de 29 de diciembre, que adapta la normativa foral a lo establecido en la STC 182/2021, donde se afirma que esta no ha afectado a la Ley Foral de haciendas locales de Navarra (Ley Foral 2/1995), no siendo de aplicación directa (fundamento jurídico cuarto); (iii) argumenta que la modificación del art. 175.2 de la Ley Foral 2/1995 operada por la Ley Foral 20/2021 no es aplicable a las liquidaciones practicadas con anterioridad al 26 de octubre de 2021 que no sean firmes, como es el caso de autos, por expreso mandato del artículo único de la Ley Foral 20/2021, que transcribe (fundamento jurídico cuarto), y (iv) asevera que nada impide plantear cuestión de inconstitucionalidad contra el art. 175.2 de la Ley Foral 2/1995 vigente en abril de 2015 aunque actualmente esté derogado “por su aplicación a situaciones jurídicas pendientes”, con cita entre otras de la STC 39/2011, de 31 de marzo, FJ 5.</w:t>
      </w:r>
    </w:p>
    <w:p w14:paraId="11A60983" w14:textId="77777777" w:rsidR="00A8138F" w:rsidRDefault="00A8138F" w:rsidP="00A8138F">
      <w:pPr>
        <w:pStyle w:val="TextoNormal"/>
      </w:pPr>
    </w:p>
    <w:p w14:paraId="71152536" w14:textId="77777777" w:rsidR="00A8138F" w:rsidRDefault="00A8138F" w:rsidP="00A8138F">
      <w:pPr>
        <w:pStyle w:val="TextoNormal"/>
      </w:pPr>
      <w:r>
        <w:t xml:space="preserve">A esta conclusión se llega a pesar de que el ayuntamiento, sin oponerse a que en el caso de autos sea de aplicación el art. 175.2 de la Ley Foral 2/1995 vigente en abril de 2015, achaque al órgano judicial que no haya razonado “cómo resulta material y jurídicamente posible la expulsión del ordenamiento jurídico de dicho artículo [redacción vigente en 2015] </w:t>
      </w:r>
      <w:r>
        <w:lastRenderedPageBreak/>
        <w:t xml:space="preserve">dado que no lo integra desde la modificación de la Ley Foral 2/1995 por la Ley Foral 19/2017 que adaptó aquella a la doctrina sentada por la STC 72/2017”. Esta objeción debe ser desechada, en primer lugar, porque la alegada expulsión del art. 175.2 vigente en 2015 no se ha producido tras la entrada en vigor de la Ley Foral 19/2017 para el supuesto aquí enjuiciado, pues su disposición transitoria única dispuso la aplicación de la normativa vigente en el momento del devengo en el caso de liquidaciones no firmes correspondientes a hechos imponibles producidos antes del 31 de diciembre de 2017 en los supuestos en los que hubiera habido, como es el supuesto del proceso </w:t>
      </w:r>
      <w:r w:rsidRPr="00A8138F">
        <w:rPr>
          <w:i/>
        </w:rPr>
        <w:t>a quo</w:t>
      </w:r>
      <w:r>
        <w:t>, incremento real de valor en el suelo urbano transmitido. Y, en segundo lugar, porque el propio ayuntamiento no tiene duda alguna sobre la aplicabilidad del art. 175.2 de la Ley Foral 2/1995 vigente en abril de 2015 (“[n]ada opondremos en principio a ello”, aduce al respecto en el fundamento cuarto de sus alegaciones en el trámite del art. 37.2 LOTC), ni tampoco la albergan el abogado del Estado y el fiscal general del Estado. Es más, se trata del precepto aplicado por el propio ayuntamiento al dictar las liquidaciones y por el órgano judicial de instancia al confirmar la validez de las mismas.</w:t>
      </w:r>
    </w:p>
    <w:p w14:paraId="1316BE74" w14:textId="77777777" w:rsidR="00A8138F" w:rsidRDefault="00A8138F" w:rsidP="00A8138F">
      <w:pPr>
        <w:pStyle w:val="TextoNormal"/>
      </w:pPr>
    </w:p>
    <w:p w14:paraId="47BD1C2B" w14:textId="77777777" w:rsidR="00A8138F" w:rsidRDefault="00A8138F" w:rsidP="00A8138F">
      <w:pPr>
        <w:pStyle w:val="TextoNormal"/>
      </w:pPr>
      <w:r>
        <w:t xml:space="preserve">No siendo errada la argumentación judicial sobre la aplicabilidad al caso de la norma cuestionada, ni siendo dudosa o discutible la identificación de la norma merecedora de cuestionamiento por parte del Tribunal Superior de Justicia de Navarra, a la vista de los razonamientos ofrecidos en el auto de planteamiento arriba expuestos debe convenirse que, conforme al control meramente externo que corresponde realizar a este tribunal, se ha cumplido con el requisito de fundamentar adecuadamente el juicio de aplicabilidad. De ahí que no sea necesario un pronunciamiento específico del órgano judicial sobre la aplicación de la norma al caso, que solo es exigido por la doctrina constitucional “ante el carácter dudoso y discutible de la aplicabilidad de la norma cuestionada en el proceso </w:t>
      </w:r>
      <w:r w:rsidRPr="00A8138F">
        <w:rPr>
          <w:i/>
        </w:rPr>
        <w:t>a quo</w:t>
      </w:r>
      <w:r>
        <w:t>” [STC 27/2025, FJ 2 A), con cita de las SSTC 18/2014, de 30 de enero, FJ 4, y 50/2015, de 5 de marzo, FJ 2 c), y las allí citadas].</w:t>
      </w:r>
    </w:p>
    <w:p w14:paraId="24D10B60" w14:textId="77777777" w:rsidR="00A8138F" w:rsidRDefault="00A8138F" w:rsidP="00A8138F">
      <w:pPr>
        <w:pStyle w:val="TextoNormal"/>
      </w:pPr>
    </w:p>
    <w:p w14:paraId="64BC39CC" w14:textId="77777777" w:rsidR="00A8138F" w:rsidRDefault="00A8138F" w:rsidP="00A8138F">
      <w:pPr>
        <w:pStyle w:val="TextoNormal"/>
      </w:pPr>
      <w:r>
        <w:t xml:space="preserve">b) Respecto al incumplimiento del juicio de relevancia, el ente local demandado asevera que de la validez o invalidez del precepto foral cuestionado no depende la resolución del proceso </w:t>
      </w:r>
      <w:r w:rsidRPr="00A8138F">
        <w:rPr>
          <w:i/>
        </w:rPr>
        <w:t>a quo</w:t>
      </w:r>
      <w:r>
        <w:t xml:space="preserve">, atendidas las circunstancias concurrentes en este caso. Mantiene que un pronunciamiento de este tribunal sobre el referido art. 175.2 en los mismos términos que la STC 182/2021 no afectaría al proceso </w:t>
      </w:r>
      <w:r w:rsidRPr="00A8138F">
        <w:rPr>
          <w:i/>
        </w:rPr>
        <w:t>a quo</w:t>
      </w:r>
      <w:r>
        <w:t>, en el que los incrementos reales son superiores a los calculados mediante el método de estimación objetiva legalmente establecido en el precepto foral que pretende cuestionarse. Y ello porque considera que la STC 182/2021 no declara inconstitucional en términos absolutos el sistema objetivo de determinación de la base imponible del IIVTNU estatal, sino únicamente en aquellos casos en los que el resultado que arroja el sistema legal objetivo resulta superior al incremento del valor del suelo efectivamente obtenido con la transmisión.</w:t>
      </w:r>
    </w:p>
    <w:p w14:paraId="01E4AE60" w14:textId="77777777" w:rsidR="00A8138F" w:rsidRDefault="00A8138F" w:rsidP="00A8138F">
      <w:pPr>
        <w:pStyle w:val="TextoNormal"/>
      </w:pPr>
    </w:p>
    <w:p w14:paraId="67007CC7" w14:textId="77777777" w:rsidR="00A8138F" w:rsidRDefault="00A8138F" w:rsidP="00A8138F">
      <w:pPr>
        <w:pStyle w:val="TextoNormal"/>
      </w:pPr>
      <w:r>
        <w:t xml:space="preserve">Como ya se ha anticipado, el auto de planteamiento reconoce que el método legal objetivo de cálculo de la base imponible del IIVTNU, de cuya constitucionalidad se duda, y que ha sido aplicado a las liquidaciones controvertidas en el proceso </w:t>
      </w:r>
      <w:r w:rsidRPr="00A8138F">
        <w:rPr>
          <w:i/>
        </w:rPr>
        <w:t>a quo</w:t>
      </w:r>
      <w:r>
        <w:t xml:space="preserve">, resulta en este caso “más beneficioso para el contribuyente” que ser gravado por el incremento realmente obtenido, al ser este último incremento superior al calculado conforme al art. 175.2 de la Ley Foral 2/1995 aplicable en 2015. Pero, aun partiendo de ese dato, el juicio sobre la relevancia de la norma foral cuestionada realizado por el Tribunal Superior de Justicia de Navarra no </w:t>
      </w:r>
      <w:r>
        <w:lastRenderedPageBreak/>
        <w:t>puede verse enervado por lo argumentado por el ayuntamiento, puesto que el ente local entiende de forma errónea el contenido y alcance del fallo de la STC 182/2021.</w:t>
      </w:r>
    </w:p>
    <w:p w14:paraId="0E32E016" w14:textId="77777777" w:rsidR="00A8138F" w:rsidRDefault="00A8138F" w:rsidP="00A8138F">
      <w:pPr>
        <w:pStyle w:val="TextoNormal"/>
      </w:pPr>
    </w:p>
    <w:p w14:paraId="47E6688F" w14:textId="77777777" w:rsidR="00A8138F" w:rsidRDefault="00A8138F" w:rsidP="00A8138F">
      <w:pPr>
        <w:pStyle w:val="TextoNormal"/>
      </w:pPr>
      <w:r>
        <w:t xml:space="preserve">En efecto, en los primeros pronunciamientos de este tribunal sobre el IIVTNU aplicable en territorio común se declaró la inconstitucionalidad y nulidad parcial de los preceptos legales estatales reguladores del sistema de estimación objetiva de la base imponible del IIVTNU: “únicamente en la medida que someten a tributación situaciones de inexistencia de incrementos de valor” [STC 59/2017, de 11 de mayo, FJ 5 a) y fallo] y “únicamente en aquellos casos en los que la cuota a satisfacer es superior al incremento patrimonial realmente obtenido por el contribuyente” (STC 126/2019, de 31 de octubre, FJ 5 a)]. En cambio, la STC 182/2021, a propósito de una cuestión de inconstitucionalidad en la que en el proceso </w:t>
      </w:r>
      <w:r w:rsidRPr="00A8138F">
        <w:rPr>
          <w:i/>
        </w:rPr>
        <w:t>a quo</w:t>
      </w:r>
      <w:r>
        <w:t xml:space="preserve"> se enjuiciaba un supuesto donde el incremento de valor realmente obtenido era inferior al legalmente calculado debido a la aplicación obligatoria de la fórmula estimativa de cuantificación de la base imponible, declaró la inconstitucionalidad y nulidad total de dichos preceptos legales por establecer un método de cálculo “objetivo y obligatorio de determinación de la base imponible, […] al margen de la capacidad económica gravada por el impuesto y demostrada por el contribuyente, [que] vulnera el principio de capacidad económica como criterio de imposición (art. 31.1 CE)”. Esta declaración de inconstitucionalidad y nulidad total supuso la expulsión de los citados preceptos legales del ordenamiento jurídico y la consiguiente inexigibilidad de este impuesto local en cualquier supuesto.</w:t>
      </w:r>
    </w:p>
    <w:p w14:paraId="33852DCE" w14:textId="77777777" w:rsidR="00A8138F" w:rsidRDefault="00A8138F" w:rsidP="00A8138F">
      <w:pPr>
        <w:pStyle w:val="TextoNormal"/>
      </w:pPr>
    </w:p>
    <w:p w14:paraId="73A852C6" w14:textId="77777777" w:rsidR="00A8138F" w:rsidRDefault="00A8138F" w:rsidP="00A8138F">
      <w:pPr>
        <w:pStyle w:val="TextoNormal"/>
      </w:pPr>
      <w:r>
        <w:t>De ahí que en la presente cuestión no solo se cumpla el juicio de relevancia, sino que este se haya exteriorizado sobradamente en el auto de planteamiento. Tras reproducir el art. 175.2 de la Ley Foral 2/1995 y el contenido y alcance de la declaración de inconstitucionalidad total de la STC 182/2021, FFJJ 5 y 6 y fallo, se afirma que, siendo el precepto foral análogo al declarado inconstitucional y nulo por la STC 182/2021, aquel podría correr la misma suerte. Por lo que asevera, aun teniendo presente que en este caso el método foral cuestionado resulta más beneficioso para el contribuyente (al ser superior el incremento efectivamente obtenido con la transmisión), que la decisión del recurso de casación depende de la validez de la norma cuestionada. En este sentido, arguye que la eventual declaración de inconstitucionalidad (total) del art. 175.2 de la Ley Foral 2/1995 conforme a la doctrina emanada de la STC 182/2021 supondría su expulsión del ordenamiento jurídico y su inaplicabilidad a todas las liquidaciones no firmes, por lo que daría lugar a la nulidad de las liquidaciones recurridas y a la revocación de la sentencia de instancia; mientras que si el precepto foral se considera constitucional procedería la confirmación de la sentencia recurrida y de las liquidaciones impugnadas, al haberse verificado la existencia de un incremento patrimonial.</w:t>
      </w:r>
    </w:p>
    <w:p w14:paraId="11624160" w14:textId="77777777" w:rsidR="00A8138F" w:rsidRDefault="00A8138F" w:rsidP="00A8138F">
      <w:pPr>
        <w:pStyle w:val="TextoNormal"/>
      </w:pPr>
    </w:p>
    <w:p w14:paraId="69DD9F8C" w14:textId="0172C9C2" w:rsidR="00A8138F" w:rsidRDefault="00A8138F" w:rsidP="00A8138F">
      <w:pPr>
        <w:pStyle w:val="TextoNormal"/>
      </w:pPr>
      <w:r>
        <w:t>Queda, pues, descartado el óbice opuesto.</w:t>
      </w:r>
    </w:p>
    <w:p w14:paraId="05B07DDA" w14:textId="77777777" w:rsidR="00A8138F" w:rsidRDefault="00A8138F" w:rsidP="00A8138F">
      <w:pPr>
        <w:pStyle w:val="TextoNormal"/>
      </w:pPr>
    </w:p>
    <w:p w14:paraId="62FEC168" w14:textId="77777777" w:rsidR="00A8138F" w:rsidRDefault="00A8138F" w:rsidP="00A8138F">
      <w:pPr>
        <w:pStyle w:val="TextoNormal"/>
      </w:pPr>
      <w:r w:rsidRPr="00A8138F">
        <w:rPr>
          <w:rStyle w:val="NumeroAFNegritaCaracter"/>
        </w:rPr>
        <w:t>3</w:t>
      </w:r>
      <w:r>
        <w:t xml:space="preserve">. </w:t>
      </w:r>
      <w:r w:rsidRPr="00A8138F">
        <w:rPr>
          <w:i/>
        </w:rPr>
        <w:t>Aplicación del principio de capacidad económica como criterio o parámetro de imposición a la regla de cuantificación de la base imponible del IIVTNU</w:t>
      </w:r>
    </w:p>
    <w:p w14:paraId="7AF6DB9C" w14:textId="77777777" w:rsidR="00A8138F" w:rsidRDefault="00A8138F" w:rsidP="00A8138F">
      <w:pPr>
        <w:pStyle w:val="TextoNormal"/>
      </w:pPr>
    </w:p>
    <w:p w14:paraId="68ACF26F" w14:textId="77777777" w:rsidR="00A8138F" w:rsidRDefault="00A8138F" w:rsidP="00A8138F">
      <w:pPr>
        <w:pStyle w:val="TextoNormal"/>
      </w:pPr>
      <w:r>
        <w:t xml:space="preserve">Como señalan el fiscal general del Estado y el abogado del Estado, este tribunal se ha pronunciado sobre una duda de constitucionalidad sustancialmente idéntica en la STC 182/2021, respecto de los arts. 107.1, segundo párrafo, 107.2 a) y 107.4 TRLHL, cuya redacción vigente entonces era esencialmente coincidente con la del precepto foral objeto de esta cuestión. En dicha sentencia llegamos a la conclusión de que el mantenimiento de un </w:t>
      </w:r>
      <w:r>
        <w:lastRenderedPageBreak/>
        <w:t xml:space="preserve">sistema objetivo y obligatorio de determinación de base imponible, ajeno a la realidad del mercado inmobiliario y de la crisis económica y, por tanto, al margen de la capacidad económica gravada por el impuesto y demostrada por el contribuyente, vulnera el principio de capacidad económica como criterio de imposición </w:t>
      </w:r>
      <w:r w:rsidRPr="00A8138F">
        <w:rPr>
          <w:i/>
        </w:rPr>
        <w:t>ex</w:t>
      </w:r>
      <w:r>
        <w:t xml:space="preserve"> art. 31.1 CE [en este mismo sentido, la STC 46/2024, de 12 de marzo, respecto del método de determinación de la base imponible del IIVTNU establecido en los arts. 4.1, segundo párrafo, 4.2 a) y 4.3 de la Norma Foral 16/1989, de 5 de julio, del territorio histórico de Gipuzkoa, del impuesto sobre el incremento del valor de los terrenos de naturaleza urbana, en su redacción anterior a la modificación operada por el Decreto Foral-Norma 7/2021, de 16 de noviembre].</w:t>
      </w:r>
    </w:p>
    <w:p w14:paraId="44C726D9" w14:textId="77777777" w:rsidR="00A8138F" w:rsidRDefault="00A8138F" w:rsidP="00A8138F">
      <w:pPr>
        <w:pStyle w:val="TextoNormal"/>
      </w:pPr>
    </w:p>
    <w:p w14:paraId="49BA54F0" w14:textId="77777777" w:rsidR="00A8138F" w:rsidRDefault="00A8138F" w:rsidP="00A8138F">
      <w:pPr>
        <w:pStyle w:val="TextoNormal"/>
      </w:pPr>
      <w:r>
        <w:t>En efecto, en la STC 182/2021 tomamos en consideración que los preceptos estatales entonces cuestionados establecían un único método de determinación de toda la base imponible del IIVTNU de carácter objetivo y de imperativa aplicación [FJ 5 A)].</w:t>
      </w:r>
    </w:p>
    <w:p w14:paraId="58E38D71" w14:textId="77777777" w:rsidR="00A8138F" w:rsidRDefault="00A8138F" w:rsidP="00A8138F">
      <w:pPr>
        <w:pStyle w:val="TextoNormal"/>
      </w:pPr>
    </w:p>
    <w:p w14:paraId="5C5210C6" w14:textId="77777777" w:rsidR="00A8138F" w:rsidRDefault="00A8138F" w:rsidP="00A8138F">
      <w:pPr>
        <w:pStyle w:val="TextoNormal"/>
      </w:pPr>
      <w:r>
        <w:t>Así, en cuanto a su carácter objetivo u objetivado, señalamos, en el fundamento jurídico 5, que se fijaban dos elementos objetivos para calcular el importe del incremento gravado: (i) el valor del terreno en el momento de devengo por referencia a su valor catastral, lo que en el supuesto que ahora nos ocupa acontece en el art. 175.3 de la Ley Foral 2/1995, no cuestionado; y (ii) el porcentaje anual de incremento según el número de años transcurridos desde su adquisición (para cuyo cálculo el art. 175.2 de la Ley Foral 2/1995, aquí cuestionado, añade también el criterio de la población de derecho del municipio).</w:t>
      </w:r>
    </w:p>
    <w:p w14:paraId="50450270" w14:textId="77777777" w:rsidR="00A8138F" w:rsidRDefault="00A8138F" w:rsidP="00A8138F">
      <w:pPr>
        <w:pStyle w:val="TextoNormal"/>
      </w:pPr>
    </w:p>
    <w:p w14:paraId="560CD877" w14:textId="77777777" w:rsidR="00A8138F" w:rsidRDefault="00A8138F" w:rsidP="00A8138F">
      <w:pPr>
        <w:pStyle w:val="TextoNormal"/>
      </w:pPr>
      <w:r>
        <w:t>En relación con la obligatoriedad de la norma de cuantificación cuestionada, al no contemplarse en el art. 107 TRLHL (en este caso, el art. 175.2 de la Ley Foral 2/1995) la posibilidad de estimación directa de la base imponible sino solo una única estimación objetiva, señaló este tribunal que estábamos ante “una verdadera regla imperativa de valoración del ‘incremento de valor’ gravado” [FJ 5 A) b)].</w:t>
      </w:r>
    </w:p>
    <w:p w14:paraId="383AFE03" w14:textId="77777777" w:rsidR="00A8138F" w:rsidRDefault="00A8138F" w:rsidP="00A8138F">
      <w:pPr>
        <w:pStyle w:val="TextoNormal"/>
      </w:pPr>
    </w:p>
    <w:p w14:paraId="56D053B2" w14:textId="77777777" w:rsidR="00A8138F" w:rsidRDefault="00A8138F" w:rsidP="00A8138F">
      <w:pPr>
        <w:pStyle w:val="TextoNormal"/>
      </w:pPr>
      <w:r>
        <w:t xml:space="preserve">Por otro lado, aplicando la doctrina constitucional relativa al principio de capacidad económica como criterio de imposición al IIVTNU, afirmamos que “[s]i bien es cierto que la forma más adecuada de cuantificar esta plusvalía es acudir a la efectivamente operada, el legislador, a la hora de configurar el tributo, tiene libertad para administrar la intensidad con que el principio de capacidad económica debe manifestarse en ellos, para hacerlos compatibles con otros intereses jurídicos dignos de protección, como puedan ser, como ya se ha manifestado, el cumplimiento de fines de política social y económica, la lucha contra el fraude fiscal o razones de técnica tributaria” [STC 182/2021, FJ 5 B)]. Ahora bien, en dicha sentencia continuamos diciendo que aunque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dicha afirmación debía matizarse “porque la renuncia a gravar según la capacidad económica (real) manifestada en el hecho imponible estableciendo bases objetivas o estimativas no puede ser arbitraria, sino que exige justificación objetiva y razonable; justificación que debe ser más sólida cuanto más se aleje de la realidad el método objetivo elegido normativamente. En suma, la falta de conexión entre el hecho imponible y la base imponible no sería inconstitucional </w:t>
      </w:r>
      <w:r w:rsidRPr="00A8138F">
        <w:rPr>
          <w:i/>
        </w:rPr>
        <w:t>per se</w:t>
      </w:r>
      <w:r>
        <w:t>, salvo que carezca de justificación objetiva y razonable” [STC 182/2021, FJ 5 B)].</w:t>
      </w:r>
    </w:p>
    <w:p w14:paraId="3C656F26" w14:textId="77777777" w:rsidR="00A8138F" w:rsidRDefault="00A8138F" w:rsidP="00A8138F">
      <w:pPr>
        <w:pStyle w:val="TextoNormal"/>
      </w:pPr>
    </w:p>
    <w:p w14:paraId="207BC3F5" w14:textId="77777777" w:rsidR="00A8138F" w:rsidRDefault="00A8138F" w:rsidP="00A8138F">
      <w:pPr>
        <w:pStyle w:val="TextoNormal"/>
      </w:pPr>
      <w:r>
        <w:lastRenderedPageBreak/>
        <w:t>Asimismo, la STC 182/2021 afirmó que el hecho de que el legislador hubiera optado por un método de estimación objetiva de imperativa aplicación para la determinación de la base imponible del IIVTNU, renunciando a la valoración real de ese incremento “tiene como fin proporcionar un instrumento simplificado de cálculo que facilite la aplicación del impuesto a las dos partes de la obligación tributaria” [FJ 5 C)] y que para que ello fuera constitucionalmente legítimo debía: “(i) bien no erigirse en método único de determinación de la base imponible, permitiéndose legalmente las estimaciones directas del incremento de valor, (ii) bien gravar incrementos medios o presuntos (potenciales); esto es, aquellos que previsiblemente o ‘presumiblemente se produce[n] con el paso del tiempo en todo terreno de naturaleza urbana’ (SSTC 26/2017, FJ 3; 37/2017, FJ 3; 59/2017, FJ 3; 72/2017, FJ 3, y 126/2019, FJ 3)” [FJ 5 D)]. Así, en relación con esta última posibilidad, continuó este tribunal diciendo que una vez que “la realidad económica ha destruido la […] presunción de revalorización anual de los terrenos urbanos que operó en la mente del legislador para crear la norma objetiva de valoración ahora cuestionada, desaparece con ella la razonable aproximación o conexión que debe existir entre el incremento de valor efectivo y el objetivo o estimativo para que razones de técnica tributaria justifiquen el sacrificio del principio de capacidad económica como medida o parámetro del reparto de la carga tributaria en este impuesto. Con lo que la base imponible objetiva o estimativa deja de cuantificar incrementos de valor presuntos, medios o potenciales” [FJ 5 D)].</w:t>
      </w:r>
    </w:p>
    <w:p w14:paraId="330DEE06" w14:textId="77777777" w:rsidR="00A8138F" w:rsidRDefault="00A8138F" w:rsidP="00A8138F">
      <w:pPr>
        <w:pStyle w:val="TextoNormal"/>
      </w:pPr>
    </w:p>
    <w:p w14:paraId="7AA18FA1" w14:textId="77777777" w:rsidR="00A8138F" w:rsidRDefault="00A8138F" w:rsidP="00A8138F">
      <w:pPr>
        <w:pStyle w:val="TextoNormal"/>
      </w:pPr>
      <w:r>
        <w:t>En consecuencia, concluía la STC 182/2021, “el mantenimiento del actual sistema objetivo y obligatorio de determinación de la base imponible, por ser ajeno a la realidad del mercado inmobiliario y de la crisis económica y, por tanto, estar al margen de la capacidad económica gravada por el impuesto y demostrada por el contribuyente, vulnera el principio de capacidad económica como criterio de imposición (art. 31.1 CE)” [FJ 5 D)].</w:t>
      </w:r>
    </w:p>
    <w:p w14:paraId="3B20BB6D" w14:textId="77777777" w:rsidR="00A8138F" w:rsidRDefault="00A8138F" w:rsidP="00A8138F">
      <w:pPr>
        <w:pStyle w:val="TextoNormal"/>
      </w:pPr>
    </w:p>
    <w:p w14:paraId="3CF6B8A7" w14:textId="5BE477CF" w:rsidR="00A8138F" w:rsidRDefault="00A8138F" w:rsidP="00A8138F">
      <w:pPr>
        <w:pStyle w:val="TextoNormal"/>
      </w:pPr>
      <w:r>
        <w:t>Dada la sustancial identidad entre el precepto foral cuestionado y los preceptos estatales declarados inconstitucionales por la STC 182/2021, y por las mismas razones expuestas entonces, debemos ahora estimar la presente cuestión de inconstitucionalidad promovida por la Sala de lo Contencioso-Administrativo del Tribunal Superior de Justicia de Navarra y declarar inconstitucional y nulo el art. 175.2 de la Ley Foral 2/1995, en su redacción original, por contravenir injustificadamente el principio de capacidad económica como criterio de imposición.</w:t>
      </w:r>
    </w:p>
    <w:p w14:paraId="1C4B75A8" w14:textId="77777777" w:rsidR="00A8138F" w:rsidRDefault="00A8138F" w:rsidP="00A8138F">
      <w:pPr>
        <w:pStyle w:val="TextoNormal"/>
      </w:pPr>
    </w:p>
    <w:p w14:paraId="2192AA3D" w14:textId="77777777" w:rsidR="00A8138F" w:rsidRDefault="00A8138F" w:rsidP="00A8138F">
      <w:pPr>
        <w:pStyle w:val="TextoNormal"/>
      </w:pPr>
      <w:r w:rsidRPr="00A8138F">
        <w:rPr>
          <w:rStyle w:val="NumeroAFNegritaCaracter"/>
        </w:rPr>
        <w:t>4</w:t>
      </w:r>
      <w:r>
        <w:t xml:space="preserve">. </w:t>
      </w:r>
      <w:r w:rsidRPr="00A8138F">
        <w:rPr>
          <w:i/>
        </w:rPr>
        <w:t>Alcance y efectos de la declaración de inconstitucionalidad y nulidad</w:t>
      </w:r>
    </w:p>
    <w:p w14:paraId="2C11D815" w14:textId="77777777" w:rsidR="00A8138F" w:rsidRDefault="00A8138F" w:rsidP="00A8138F">
      <w:pPr>
        <w:pStyle w:val="TextoNormal"/>
      </w:pPr>
    </w:p>
    <w:p w14:paraId="4F27255F" w14:textId="000F15CC" w:rsidR="00A8138F" w:rsidRDefault="00A8138F" w:rsidP="00A8138F">
      <w:pPr>
        <w:pStyle w:val="TextoNormal"/>
      </w:pPr>
      <w:r>
        <w:t>Antes del fallo, es necesario realizar una última precisión, referida a los efectos de esta sentencia, al igual que hicimos en las SSTC 182/2021, FJ 6, y 46/2024, FJ 4. Por exigencias del principio de seguridad jurídica (art. 9.3 CE),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a dicha fecha.</w:t>
      </w:r>
    </w:p>
    <w:p w14:paraId="3DA02F1E" w14:textId="77777777" w:rsidR="00A8138F" w:rsidRDefault="00A8138F" w:rsidP="00A8138F">
      <w:pPr>
        <w:pStyle w:val="TextoNormal"/>
      </w:pPr>
    </w:p>
    <w:p w14:paraId="608D43EE" w14:textId="77777777" w:rsidR="00A8138F" w:rsidRDefault="00A8138F" w:rsidP="00A8138F">
      <w:pPr>
        <w:pStyle w:val="TextoNormalCentrado"/>
        <w:keepNext/>
      </w:pPr>
      <w:r>
        <w:lastRenderedPageBreak/>
        <w:t>FALLO</w:t>
      </w:r>
    </w:p>
    <w:p w14:paraId="38885425" w14:textId="6110E77B" w:rsidR="00A8138F" w:rsidRDefault="00A8138F" w:rsidP="00A8138F">
      <w:pPr>
        <w:pStyle w:val="TextoNormalCentrado"/>
        <w:keepNext/>
      </w:pPr>
    </w:p>
    <w:p w14:paraId="32AE86E8" w14:textId="47D4AF8F" w:rsidR="00A8138F" w:rsidRDefault="00A8138F" w:rsidP="00A8138F">
      <w:pPr>
        <w:pStyle w:val="TextoNormal"/>
      </w:pPr>
      <w:r>
        <w:t>En atención a todo lo expuesto, el Tribunal Constitucional, por la autoridad que le confiere la Constitución de la Nación española, ha decidido estimar la cuestión de inconstitucionalidad núm. 900-2023, promovida por la Sala de lo Contencioso-Administrativo del Tribunal Superior de Justicia de Navarra y, en consecuencia, declarar la inconstitucionalidad y nulidad del art. 175.2 de la Ley Foral 2/1995, de 10 de marzo, de haciendas locales de Navarra, en su redacción original, en los términos previstos en el fundamento jurídico 4.</w:t>
      </w:r>
    </w:p>
    <w:p w14:paraId="07F1F939" w14:textId="77777777" w:rsidR="00A8138F" w:rsidRDefault="00A8138F" w:rsidP="00A8138F">
      <w:pPr>
        <w:pStyle w:val="TextoNormal"/>
      </w:pPr>
    </w:p>
    <w:p w14:paraId="21232EB6" w14:textId="77777777" w:rsidR="00A8138F" w:rsidRDefault="00A8138F" w:rsidP="00A8138F">
      <w:pPr>
        <w:pStyle w:val="TextoNormal"/>
      </w:pPr>
      <w:r>
        <w:t>Publíquese esta sentencia en el “Boletín Oficial del Estado”.</w:t>
      </w:r>
    </w:p>
    <w:p w14:paraId="37AA0697" w14:textId="77777777" w:rsidR="00A8138F" w:rsidRDefault="00A8138F" w:rsidP="00A8138F">
      <w:pPr>
        <w:pStyle w:val="TextoNormal"/>
      </w:pPr>
      <w:r>
        <w:t>Dada en Madrid, a veintiocho de abril de dos mil veinticinco.</w:t>
      </w:r>
    </w:p>
    <w:p w14:paraId="44352833" w14:textId="5DC3B2AA" w:rsidR="00A8138F" w:rsidRDefault="00A8138F" w:rsidP="00A8138F">
      <w:pPr>
        <w:pStyle w:val="ParrafoNormal"/>
      </w:pPr>
    </w:p>
    <w:p w14:paraId="17B30E98" w14:textId="77777777" w:rsidR="00A8138F" w:rsidRDefault="00A8138F" w:rsidP="00A8138F">
      <w:pPr>
        <w:pStyle w:val="TextoNormalNegritaCentrado"/>
        <w:keepNext/>
      </w:pPr>
      <w:r>
        <w:t>Voto particular que formulan los magistrados don Enrique Arnaldo Alcubilla y don César Tolosa Tribiño a la sentencia que estima la cuestión de inconstitucionalidad deferida núm. 900-2023</w:t>
      </w:r>
    </w:p>
    <w:p w14:paraId="6A29DBE3" w14:textId="62E5747F" w:rsidR="00A8138F" w:rsidRDefault="00A8138F" w:rsidP="00A8138F">
      <w:pPr>
        <w:pStyle w:val="TextoNormalNegritaCentrado"/>
        <w:keepNext/>
      </w:pPr>
    </w:p>
    <w:p w14:paraId="4CCECF46" w14:textId="77777777" w:rsidR="00A8138F" w:rsidRDefault="00A8138F" w:rsidP="00A8138F">
      <w:pPr>
        <w:pStyle w:val="TextoNormal"/>
      </w:pPr>
      <w:r>
        <w:t>En el ejercicio de la facultad que nos confiere el art. 90.2 de la Ley Orgánica del Tribunal Constitucional (LOTC) y con respeto a la opinión de nuestros compañeros, formulamos este voto particular por las razones ya defendidas en su momento durante la deliberación y en los términos que exponemos a continuación.</w:t>
      </w:r>
    </w:p>
    <w:p w14:paraId="5775CD53" w14:textId="77777777" w:rsidR="00A8138F" w:rsidRDefault="00A8138F" w:rsidP="00A8138F">
      <w:pPr>
        <w:pStyle w:val="TextoNormal"/>
      </w:pPr>
    </w:p>
    <w:p w14:paraId="575968C1" w14:textId="77777777" w:rsidR="00A8138F" w:rsidRDefault="00A8138F" w:rsidP="00A8138F">
      <w:pPr>
        <w:pStyle w:val="TextoNormal"/>
      </w:pPr>
      <w:r>
        <w:t>Compartimos la fundamentación de la sentencia y las razones que la llevan a declarar la inconstitucionalidad del art. 175.2 de la Ley Foral 2/1995, de 10 de marzo, de haciendas locales de Navarra, en su redacción original. Disentimos únicamente de la decisión que se adopta en el último fundamento jurídico, el fundamento jurídico 4 (al que el fallo se remite), en el que se modulan los efectos de la nulidad del precepto legal cuestionado que, como regla, sigue a un pronunciamiento de declaración de inconstitucionalidad de ese precepto.</w:t>
      </w:r>
    </w:p>
    <w:p w14:paraId="5CC74D9A" w14:textId="77777777" w:rsidR="00A8138F" w:rsidRDefault="00A8138F" w:rsidP="00A8138F">
      <w:pPr>
        <w:pStyle w:val="TextoNormal"/>
      </w:pPr>
    </w:p>
    <w:p w14:paraId="5ED243FA" w14:textId="77777777" w:rsidR="00A8138F" w:rsidRDefault="00A8138F" w:rsidP="00A8138F">
      <w:pPr>
        <w:pStyle w:val="TextoNormal"/>
      </w:pPr>
      <w:r>
        <w:t>De acuerdo con el pronunciamiento contenido en ese fundamento jurídico, “[p]or exigencias del principio de seguridad jurídica (art. 9.3 CE)” se limitan los efectos de la nulidad del precepto declarado inconstitucional, de manera que no solo no podrán revisarse las obligaciones tributarias que, a la fecha de dictarse nuestra sentencia, hayan sido decididas mediante sentencia con fuerza de cosa juzgada [a lo que nada cabe objetar, conforme a los arts. 161.1 a) CE y 40 LOTC], sino tampoco las liquidaciones provisionales y definitivas que no hayan sido impugnadas a esa misma fecha y las autoliquidaciones cuya rectificación no haya sido solicitada en dicha fecha.</w:t>
      </w:r>
    </w:p>
    <w:p w14:paraId="21EBB846" w14:textId="77777777" w:rsidR="00A8138F" w:rsidRDefault="00A8138F" w:rsidP="00A8138F">
      <w:pPr>
        <w:pStyle w:val="TextoNormal"/>
      </w:pPr>
    </w:p>
    <w:p w14:paraId="746881AB" w14:textId="77777777" w:rsidR="00A8138F" w:rsidRDefault="00A8138F" w:rsidP="00A8138F">
      <w:pPr>
        <w:pStyle w:val="TextoNormal"/>
      </w:pPr>
      <w:r>
        <w:t xml:space="preserve">Pues bien, reiterando lo expuesto en los votos particulares formulados a la STC 133/2022, de 25 de octubre (sobre el devengo y liquidación del impuesto sobre construcciones, instalaciones y obras en relación con determinadas obras en la Comunidad Autónoma de Canarias) y a la STC 11/2024, de 18 de enero (sobre una reforma del impuesto de sociedades), así como a la STC 46/2024, de 12 de marzo (sobre determinados preceptos de la Norma Foral 16/1989, de 5 de julio, del territorio histórico de Gipuzkoa, del impuesto sobre el incremento del valor de los terrenos de naturaleza urbana), a los que es preciso remitirse para excusar reiteraciones innecesarias, nos vemos obligados a advertir que, aunque no tiene por qué ser absoluta la vinculación entre inconstitucionalidad y nulidad, tampoco se justifica que esa regla general (art. 39.1 LOTC) pueda ceder en el caso de las normas tributarias </w:t>
      </w:r>
      <w:r>
        <w:lastRenderedPageBreak/>
        <w:t>declaradas inconstitucionales mediante la genérica y solitaria invocación del principio de seguridad jurídica, que es exactamente lo que hace la sentencia en el fundamento jurídico 4 para decretar la inamovilidad de las situaciones administrativas “consolidadas”, siguiendo la pauta de interpretación extensiva que de sus facultades viene realizando el Tribunal Constitucional desde la STC 45/1989, de 20 de febrero (aunque no sin excepciones), y que se ha convertido en una suerte de cláusula de estilo en las sentencias que declaran la inconstitucionalidad de disposiciones tributarias, como la que ahora nos ocupa.</w:t>
      </w:r>
    </w:p>
    <w:p w14:paraId="7EAA7C3A" w14:textId="77777777" w:rsidR="00A8138F" w:rsidRDefault="00A8138F" w:rsidP="00A8138F">
      <w:pPr>
        <w:pStyle w:val="TextoNormal"/>
      </w:pPr>
    </w:p>
    <w:p w14:paraId="27648550" w14:textId="7D24F4F0" w:rsidR="00A8138F" w:rsidRDefault="00A8138F" w:rsidP="00A8138F">
      <w:pPr>
        <w:pStyle w:val="TextoNormal"/>
      </w:pPr>
      <w:r>
        <w:t>Madrid, a veintiocho de abril de dos mil veinticinco.</w:t>
      </w:r>
    </w:p>
    <w:p w14:paraId="5666A0B2" w14:textId="3A2FAD52" w:rsidR="00A8138F" w:rsidRDefault="00A8138F">
      <w:pPr>
        <w:spacing w:after="160" w:line="278" w:lineRule="auto"/>
        <w:rPr>
          <w:rFonts w:ascii="Times New Roman" w:eastAsia="Times New Roman" w:hAnsi="Times New Roman" w:cs="Times New Roman"/>
          <w:sz w:val="24"/>
          <w:szCs w:val="24"/>
          <w:lang w:eastAsia="es-ES"/>
        </w:rPr>
      </w:pPr>
      <w:r>
        <w:br w:type="page"/>
      </w:r>
    </w:p>
    <w:p w14:paraId="27A3C693" w14:textId="77777777" w:rsidR="00A8138F" w:rsidRDefault="00A8138F" w:rsidP="00A8138F">
      <w:pPr>
        <w:pStyle w:val="TtuloResolucin"/>
      </w:pPr>
      <w:bookmarkStart w:id="101" w:name="SENTENCIA_2025_99"/>
      <w:r>
        <w:lastRenderedPageBreak/>
        <w:t>SENTENCIA 99/2025, de 28 de abril de 2025</w:t>
      </w:r>
    </w:p>
    <w:bookmarkEnd w:id="101"/>
    <w:p w14:paraId="6C4D1CFD" w14:textId="77777777" w:rsidR="00A8138F" w:rsidRDefault="00A8138F" w:rsidP="00A8138F">
      <w:pPr>
        <w:pStyle w:val="TtuloResolucin"/>
      </w:pPr>
      <w:r>
        <w:t>Sala Segunda</w:t>
      </w:r>
    </w:p>
    <w:p w14:paraId="0252E2A7" w14:textId="77777777" w:rsidR="00A8138F" w:rsidRDefault="00A8138F" w:rsidP="00A8138F">
      <w:pPr>
        <w:pStyle w:val="TtuloBOE"/>
      </w:pPr>
      <w:r>
        <w:t>(BOE núm. 135, de 5 de junio de 2025)</w:t>
      </w:r>
    </w:p>
    <w:p w14:paraId="3565540D" w14:textId="77777777" w:rsidR="00A8138F" w:rsidRDefault="00A8138F" w:rsidP="00A8138F">
      <w:pPr>
        <w:pStyle w:val="TextoNormalCentrado"/>
      </w:pPr>
      <w:r>
        <w:t>ECLI:ES:TC:2025:99</w:t>
      </w:r>
    </w:p>
    <w:p w14:paraId="329E2923" w14:textId="789CE0B4" w:rsidR="00A8138F" w:rsidRDefault="00A8138F" w:rsidP="00A8138F">
      <w:pPr>
        <w:pStyle w:val="TextoNormalCentrado"/>
      </w:pPr>
    </w:p>
    <w:p w14:paraId="1BE30B08" w14:textId="77777777" w:rsidR="00A8138F" w:rsidRDefault="00A8138F" w:rsidP="00A8138F">
      <w:pPr>
        <w:pStyle w:val="SntesisDescriptiva"/>
      </w:pPr>
      <w:r>
        <w:t>Recurso de amparo 2667-2023. Promovido por doña Isabel Álvarez Fernández en relación con las resoluciones de la Audiencia Provincial de León y un juzgado de primera instancia e instrucción de Ponferrada en juicio verbal.</w:t>
      </w:r>
    </w:p>
    <w:p w14:paraId="56ECAAB0" w14:textId="505D0704" w:rsidR="00A8138F" w:rsidRDefault="00A8138F" w:rsidP="00A8138F">
      <w:pPr>
        <w:pStyle w:val="SntesisDescriptiva"/>
      </w:pPr>
    </w:p>
    <w:p w14:paraId="73A5B807" w14:textId="77777777" w:rsidR="00A8138F" w:rsidRDefault="00A8138F" w:rsidP="00A8138F">
      <w:pPr>
        <w:pStyle w:val="SntesisAnaltica"/>
      </w:pPr>
      <w:r>
        <w:t>Supuesta vulneración del derecho a la tutela judicial sin indefensión: intento infructuoso de emplazamiento a quien dice estar residiendo en Singapur, sin facilitar datos que acrediten este hecho ni haberse inscrito en el registro consular oportuno.</w:t>
      </w:r>
    </w:p>
    <w:p w14:paraId="16A7FB88" w14:textId="45694C6C" w:rsidR="00A8138F" w:rsidRDefault="00A8138F" w:rsidP="00A8138F">
      <w:pPr>
        <w:pStyle w:val="SntesisAnaltica"/>
      </w:pPr>
    </w:p>
    <w:p w14:paraId="1F15FA9C" w14:textId="7AAE2953" w:rsidR="00A8138F" w:rsidRDefault="00A8138F" w:rsidP="00A8138F">
      <w:pPr>
        <w:pStyle w:val="Extracto"/>
      </w:pPr>
      <w:r>
        <w:t>1.</w:t>
      </w:r>
      <w:r>
        <w:tab/>
        <w:t>En los supuestos en que el domicilio del demandado se encuentra en el extranjero, este tribunal ha amparado a aquellos solicitantes que residiendo fuera de España su localización no entrañaba un despliegue de actividad desmesurado y que excediera de lo razonable, por constar su domicilio real en la documentación que obraba en las actuaciones o cuya localización era factible a partir de los datos que constaban en la causa (SSTC 143/1998 o 50/2017) [FJ 2].</w:t>
      </w:r>
    </w:p>
    <w:p w14:paraId="3940271E" w14:textId="77777777" w:rsidR="00A8138F" w:rsidRDefault="00A8138F" w:rsidP="00A8138F">
      <w:pPr>
        <w:pStyle w:val="Extracto"/>
      </w:pPr>
    </w:p>
    <w:p w14:paraId="6BD2654A" w14:textId="71426959" w:rsidR="00A8138F" w:rsidRDefault="00A8138F" w:rsidP="00A8138F">
      <w:pPr>
        <w:pStyle w:val="Extracto"/>
      </w:pPr>
      <w:r>
        <w:t>2.</w:t>
      </w:r>
      <w:r>
        <w:tab/>
        <w:t>El proceder del órgano judicial no incurre en una situación de indefensión material si se confirma que era correcto el domicilio que constaba en las actuaciones; y que, además, la parte recurrente no acredita a lo largo del procedimiento judicial que viva en otro país, ni facilita su domicilio en ese país, ni la fecha de su traslado por motivos laborales, ni haberse inscrito en el registro consular oportuno; en definitiva, cuando no se acredita disponer de un segundo domicilio en el extranjero que pueda ser localizado por el órgano judicial [FJ 3].</w:t>
      </w:r>
    </w:p>
    <w:p w14:paraId="23829D99" w14:textId="77777777" w:rsidR="00A8138F" w:rsidRDefault="00A8138F" w:rsidP="00A8138F">
      <w:pPr>
        <w:pStyle w:val="Extracto"/>
      </w:pPr>
    </w:p>
    <w:p w14:paraId="3428E9F1" w14:textId="77777777" w:rsidR="00A8138F" w:rsidRDefault="00A8138F" w:rsidP="00A8138F">
      <w:pPr>
        <w:pStyle w:val="Extracto"/>
      </w:pPr>
    </w:p>
    <w:p w14:paraId="40E01EAD"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3C07844A" w14:textId="2B7EF740" w:rsidR="00A8138F" w:rsidRDefault="00A8138F" w:rsidP="00A8138F">
      <w:pPr>
        <w:pStyle w:val="TextoNormal"/>
      </w:pPr>
    </w:p>
    <w:p w14:paraId="5C05C38C" w14:textId="77777777" w:rsidR="00A8138F" w:rsidRDefault="00A8138F" w:rsidP="00A8138F">
      <w:pPr>
        <w:pStyle w:val="TextoNormalCentrado"/>
        <w:keepNext/>
      </w:pPr>
      <w:r>
        <w:t>EN NOMBRE DEL REY</w:t>
      </w:r>
    </w:p>
    <w:p w14:paraId="5D04B72B" w14:textId="18F3CCD5" w:rsidR="00A8138F" w:rsidRDefault="00A8138F" w:rsidP="00A8138F">
      <w:pPr>
        <w:pStyle w:val="TextoNormalCentrado"/>
        <w:keepNext/>
      </w:pPr>
    </w:p>
    <w:p w14:paraId="7994ED23" w14:textId="77777777" w:rsidR="00A8138F" w:rsidRDefault="00A8138F" w:rsidP="00A8138F">
      <w:pPr>
        <w:pStyle w:val="TextoNormalCentrado"/>
        <w:keepNext/>
      </w:pPr>
    </w:p>
    <w:p w14:paraId="288930B4" w14:textId="77777777" w:rsidR="00A8138F" w:rsidRDefault="00A8138F" w:rsidP="00A8138F">
      <w:pPr>
        <w:pStyle w:val="TextoNormal"/>
      </w:pPr>
      <w:r>
        <w:t>la siguiente</w:t>
      </w:r>
    </w:p>
    <w:p w14:paraId="2D62498D" w14:textId="2EAC7174" w:rsidR="00A8138F" w:rsidRDefault="00A8138F" w:rsidP="00A8138F">
      <w:pPr>
        <w:pStyle w:val="TextoNormal"/>
      </w:pPr>
    </w:p>
    <w:p w14:paraId="54AAE6B6" w14:textId="77777777" w:rsidR="00A8138F" w:rsidRDefault="00A8138F" w:rsidP="00A8138F">
      <w:pPr>
        <w:pStyle w:val="TextoNormalCentrado"/>
        <w:keepNext/>
      </w:pPr>
      <w:r>
        <w:t>SENTENCIA</w:t>
      </w:r>
    </w:p>
    <w:p w14:paraId="36154D10" w14:textId="6A3A2BB0" w:rsidR="00A8138F" w:rsidRDefault="00A8138F" w:rsidP="00A8138F">
      <w:pPr>
        <w:pStyle w:val="TextoNormalCentrado"/>
        <w:keepNext/>
      </w:pPr>
    </w:p>
    <w:p w14:paraId="38BFE645" w14:textId="77777777" w:rsidR="00A8138F" w:rsidRDefault="00A8138F" w:rsidP="00A8138F">
      <w:pPr>
        <w:pStyle w:val="TextoNormal"/>
      </w:pPr>
      <w:r>
        <w:t xml:space="preserve">En el recurso de amparo núm. 2667-2023, promovido por doña Isabel Álvarez Fernández, representada por el procurador de los tribunales don Jesús Manuel Morán Martínez y asistida por la letrada doña Mónica Buelta Pacios, contra la sentencia 33/2022, de 2 de marzo, dictada por el Juzgado de Primera Instancia e Instrucción núm. 6 de Ponferrada, recaída en el juicio verbal núm. 574-2019, y la sentencia 47/2023, de 8 de febrero, dictada por la Sección Segunda de la Audiencia Provincial de León en el rollo de apelación núm. </w:t>
      </w:r>
      <w:r>
        <w:lastRenderedPageBreak/>
        <w:t>201-2022. Han intervenido don Lorenzo de Brindis Prada Macías, representado por la procuradora de los tribunales doña Ángela Velasco Gil y asistido por la letrada doña Rosa Ana González Fernández, y el Ministerio Fiscal. Ha sido ponente el magistrado don Ramón Sáez Valcárcel.</w:t>
      </w:r>
    </w:p>
    <w:p w14:paraId="7243D4CB" w14:textId="7E12F7F8" w:rsidR="00A8138F" w:rsidRDefault="00A8138F" w:rsidP="00A8138F">
      <w:pPr>
        <w:pStyle w:val="TextoNormal"/>
      </w:pPr>
    </w:p>
    <w:p w14:paraId="1167EEC1" w14:textId="77777777" w:rsidR="00A8138F" w:rsidRDefault="00A8138F" w:rsidP="00A8138F">
      <w:pPr>
        <w:pStyle w:val="TextoNormalNegritaCentrado"/>
        <w:keepNext/>
      </w:pPr>
      <w:r>
        <w:t>I. Antecedentes</w:t>
      </w:r>
    </w:p>
    <w:p w14:paraId="6FEB058A" w14:textId="26407226" w:rsidR="00A8138F" w:rsidRDefault="00A8138F" w:rsidP="00A8138F">
      <w:pPr>
        <w:pStyle w:val="TextoNormalNegritaCentrado"/>
        <w:keepNext/>
      </w:pPr>
    </w:p>
    <w:p w14:paraId="475BD775" w14:textId="22231A05" w:rsidR="00A8138F" w:rsidRDefault="00A8138F" w:rsidP="00A8138F">
      <w:pPr>
        <w:pStyle w:val="TextoNormal"/>
      </w:pPr>
      <w:r w:rsidRPr="00A8138F">
        <w:rPr>
          <w:rStyle w:val="NumeroAFNegritaCaracter"/>
        </w:rPr>
        <w:t>1</w:t>
      </w:r>
      <w:r>
        <w:t>. Por escrito registrado en este tribunal el día 21 de abril de 2023, doña Isabel Álvarez Fernández, representada por el procurador de los tribunales don Jesús Manuel Morán Martínez y asistida por la letrada doña Mónica Buelta Pacios, interpuso recurso de amparo contra las resoluciones a las que se hace referencia en el encabezamiento, dictadas por el Juzgado de Primera Instancia e Instrucción núm. 6 de Ponferrada en el juicio verbal núm. 574-2019 y la Sección Segunda de la Audiencia Provincial de León en el rollo de apelación núm. 201-2022, alegando la vulneración del derecho a la tutela judicial efectiva sin indefensión (art. 24.1 CE), en su vertiente de derecho de acceso al proceso.</w:t>
      </w:r>
    </w:p>
    <w:p w14:paraId="0B94C282" w14:textId="77777777" w:rsidR="00A8138F" w:rsidRDefault="00A8138F" w:rsidP="00A8138F">
      <w:pPr>
        <w:pStyle w:val="TextoNormal"/>
      </w:pPr>
    </w:p>
    <w:p w14:paraId="6605154F" w14:textId="77777777" w:rsidR="00A8138F" w:rsidRDefault="00A8138F" w:rsidP="00A8138F">
      <w:pPr>
        <w:pStyle w:val="TextoNormal"/>
      </w:pPr>
      <w:r w:rsidRPr="00A8138F">
        <w:rPr>
          <w:rStyle w:val="NumeroAFNegritaCaracter"/>
        </w:rPr>
        <w:t>2</w:t>
      </w:r>
      <w:r>
        <w:t>. Los antecedentes relevantes para resolver el recurso son los siguientes:</w:t>
      </w:r>
    </w:p>
    <w:p w14:paraId="23E89F19" w14:textId="77777777" w:rsidR="00A8138F" w:rsidRDefault="00A8138F" w:rsidP="00A8138F">
      <w:pPr>
        <w:pStyle w:val="TextoNormal"/>
      </w:pPr>
    </w:p>
    <w:p w14:paraId="277D937A" w14:textId="77777777" w:rsidR="00A8138F" w:rsidRDefault="00A8138F" w:rsidP="00A8138F">
      <w:pPr>
        <w:pStyle w:val="TextoNormal"/>
      </w:pPr>
      <w:r>
        <w:t>a) La recurrente fue demandada en juicio verbal ejercitándose contra ella una acción negatoria de servidumbre, que fue turnada al Juzgado de Primera Instancia e Instrucción núm. 6 de Ponferrada.</w:t>
      </w:r>
    </w:p>
    <w:p w14:paraId="76DE8EF6" w14:textId="77777777" w:rsidR="00A8138F" w:rsidRDefault="00A8138F" w:rsidP="00A8138F">
      <w:pPr>
        <w:pStyle w:val="TextoNormal"/>
      </w:pPr>
    </w:p>
    <w:p w14:paraId="4C1776B1" w14:textId="77777777" w:rsidR="00A8138F" w:rsidRDefault="00A8138F" w:rsidP="00A8138F">
      <w:pPr>
        <w:pStyle w:val="TextoNormal"/>
      </w:pPr>
      <w:r>
        <w:t>b) Admitida a trámite la demanda se intentó emplazar a la demandada mediante carta certificada con acuse de recibo enviada al domicilio facilitado por el actor, sito en el municipio de Borrenes (León) y, al resultar ausente, se dejó aviso en el buzón domiciliario, no siendo la carta recogida en el servicio de correos, según consta en las actuaciones.</w:t>
      </w:r>
    </w:p>
    <w:p w14:paraId="6BBF3606" w14:textId="77777777" w:rsidR="00A8138F" w:rsidRDefault="00A8138F" w:rsidP="00A8138F">
      <w:pPr>
        <w:pStyle w:val="TextoNormal"/>
      </w:pPr>
    </w:p>
    <w:p w14:paraId="5718ED5B" w14:textId="77777777" w:rsidR="00A8138F" w:rsidRDefault="00A8138F" w:rsidP="00A8138F">
      <w:pPr>
        <w:pStyle w:val="TextoNormal"/>
      </w:pPr>
      <w:r>
        <w:t>c) Devuelta la carta con resultado negativo por el servicio de correos, a continuación se dictó la diligencia de ordenación de 15 de enero de 2020 en la que se señalaba que “[h]abiendo sido devuelto negativo el acuse de recibo remitido […], haciéndose constar por el funcionario de correos que la misma se encontraba ausente en la hora del reparto, líbrese exhorto al Juzgado de [Paz de] Puente [de] Domingo Flórez para que proceda a practicar la diligencia con la demandada de forma personal”.</w:t>
      </w:r>
    </w:p>
    <w:p w14:paraId="02F759BC" w14:textId="77777777" w:rsidR="00A8138F" w:rsidRDefault="00A8138F" w:rsidP="00A8138F">
      <w:pPr>
        <w:pStyle w:val="TextoNormal"/>
      </w:pPr>
    </w:p>
    <w:p w14:paraId="32F635BD" w14:textId="77777777" w:rsidR="00A8138F" w:rsidRDefault="00A8138F" w:rsidP="00A8138F">
      <w:pPr>
        <w:pStyle w:val="TextoNormal"/>
      </w:pPr>
      <w:r>
        <w:t>d) El mismo día 15 de enero de 2020 se dictó exhorto por el Juzgado de Primera Instancia e Instrucción núm. 6 de Ponferrada requiriendo al juzgado de paz referido para que procediera al emplazamiento de la demandada y contestase a la demanda, bajo apercibimiento de que de no hacerlo, sería declarada en rebeldía procesal y demás advertencias que se reseñaban en la cédula adjunta.</w:t>
      </w:r>
    </w:p>
    <w:p w14:paraId="6907D96E" w14:textId="77777777" w:rsidR="00A8138F" w:rsidRDefault="00A8138F" w:rsidP="00A8138F">
      <w:pPr>
        <w:pStyle w:val="TextoNormal"/>
      </w:pPr>
    </w:p>
    <w:p w14:paraId="7B7C8E81" w14:textId="77777777" w:rsidR="00A8138F" w:rsidRDefault="00A8138F" w:rsidP="00A8138F">
      <w:pPr>
        <w:pStyle w:val="TextoNormal"/>
      </w:pPr>
      <w:r>
        <w:t>e) En el juzgado de paz se dictó la diligencia de 19 de marzo de 2020 en la que se indicó que “[a] la vista de lo actuado en el precedente despacho y debido a la pandemia provocada por el covid-19 [y] ante la crisis generada, estese a la espera del desconfinamiento, para la práctica de la diligencia interesada”.</w:t>
      </w:r>
    </w:p>
    <w:p w14:paraId="1E5B5982" w14:textId="77777777" w:rsidR="00A8138F" w:rsidRDefault="00A8138F" w:rsidP="00A8138F">
      <w:pPr>
        <w:pStyle w:val="TextoNormal"/>
      </w:pPr>
    </w:p>
    <w:p w14:paraId="0100CFD7" w14:textId="77777777" w:rsidR="00A8138F" w:rsidRDefault="00A8138F" w:rsidP="00A8138F">
      <w:pPr>
        <w:pStyle w:val="TextoNormal"/>
      </w:pPr>
      <w:r>
        <w:t>Finalmente, el día 7 de julio de 2020, en el juzgado de paz se dictó una diligencia en la que se hizo constar el resultado negativo de la práctica del emplazamiento “[p]or estar ce</w:t>
      </w:r>
      <w:r>
        <w:lastRenderedPageBreak/>
        <w:t>rrado el domicilio de la demandada; […] manifestando el vecindario que hace meses marchó para Singapur. No obstante, se le deja nota para que se ponga en contacto con el juzgado”.</w:t>
      </w:r>
    </w:p>
    <w:p w14:paraId="78984E20" w14:textId="77777777" w:rsidR="00A8138F" w:rsidRDefault="00A8138F" w:rsidP="00A8138F">
      <w:pPr>
        <w:pStyle w:val="TextoNormal"/>
      </w:pPr>
    </w:p>
    <w:p w14:paraId="0BF8B298" w14:textId="77777777" w:rsidR="00A8138F" w:rsidRDefault="00A8138F" w:rsidP="00A8138F">
      <w:pPr>
        <w:pStyle w:val="TextoNormal"/>
      </w:pPr>
      <w:r>
        <w:t>f) Tras la devolución del exhorto, el día 14 de julio de 2020, el Juzgado de Primera Instancia e Instrucción núm. 6 de Ponferrada dictó diligencia de ordenación reflejando el resultado negativo del intento llevado a cabo por el juzgado de paz para notificar y emplazar a la demandada y acordando requerir al actor para que en el plazo de diez días procediera a facilitar un nuevo domicilio donde intentar el emplazamiento.</w:t>
      </w:r>
    </w:p>
    <w:p w14:paraId="0C27C314" w14:textId="77777777" w:rsidR="00A8138F" w:rsidRDefault="00A8138F" w:rsidP="00A8138F">
      <w:pPr>
        <w:pStyle w:val="TextoNormal"/>
      </w:pPr>
    </w:p>
    <w:p w14:paraId="300127B6" w14:textId="77777777" w:rsidR="00A8138F" w:rsidRDefault="00A8138F" w:rsidP="00A8138F">
      <w:pPr>
        <w:pStyle w:val="TextoNormal"/>
      </w:pPr>
      <w:r>
        <w:t>La parte actora, afirmando desconocer otra localización de la demandada, contestó al requerimiento interesando la práctica de los actos de averiguación domiciliaria a los que se refiere el art. 156 de la Ley de enjuiciamiento civil (LEC).</w:t>
      </w:r>
    </w:p>
    <w:p w14:paraId="0EE6A3A4" w14:textId="77777777" w:rsidR="00A8138F" w:rsidRDefault="00A8138F" w:rsidP="00A8138F">
      <w:pPr>
        <w:pStyle w:val="TextoNormal"/>
      </w:pPr>
    </w:p>
    <w:p w14:paraId="2E84B581" w14:textId="77777777" w:rsidR="00A8138F" w:rsidRDefault="00A8138F" w:rsidP="00A8138F">
      <w:pPr>
        <w:pStyle w:val="TextoNormal"/>
      </w:pPr>
      <w:r>
        <w:t>g) El 31 de julio de 2020, el juzgado dictó diligencia de ordenación por la que “habiendo resultado negativas las gestiones realizadas para conocer el domicilio o residencia actual de la parte demandada, y de conformidad con lo establecido en los artículos 156.4 y 164 LEC”, acuerda el emplazamiento de la demandada por medio de edictos, lo que se llevó a cabo ese mismo día.</w:t>
      </w:r>
    </w:p>
    <w:p w14:paraId="437A8C5C" w14:textId="77777777" w:rsidR="00A8138F" w:rsidRDefault="00A8138F" w:rsidP="00A8138F">
      <w:pPr>
        <w:pStyle w:val="TextoNormal"/>
      </w:pPr>
    </w:p>
    <w:p w14:paraId="0FBF3E8E" w14:textId="77777777" w:rsidR="00A8138F" w:rsidRDefault="00A8138F" w:rsidP="00A8138F">
      <w:pPr>
        <w:pStyle w:val="TextoNormal"/>
      </w:pPr>
      <w:r>
        <w:t>h) El día 16 de septiembre de 2020 compareció don Francisco Fernández Álvarez, quien manifestó que “es pareja de hecho de la demandada Isabel Álvarez Fernández […] [que] estaban de viaje en Singapur, donde a día de hoy continúa su pareja puesto que trabaja allí […]. Que la dirección es correcta […] (Borrenes)”.</w:t>
      </w:r>
    </w:p>
    <w:p w14:paraId="5126F987" w14:textId="77777777" w:rsidR="00A8138F" w:rsidRDefault="00A8138F" w:rsidP="00A8138F">
      <w:pPr>
        <w:pStyle w:val="TextoNormal"/>
      </w:pPr>
    </w:p>
    <w:p w14:paraId="3F89FF77" w14:textId="77777777" w:rsidR="00A8138F" w:rsidRDefault="00A8138F" w:rsidP="00A8138F">
      <w:pPr>
        <w:pStyle w:val="TextoNormal"/>
      </w:pPr>
      <w:r>
        <w:t>i) El día 21 de septiembre de 2020, la demandante de amparo promovió un incidente excepcional de nulidad de actuaciones alegando indefensión por el desconocimiento del proceso, falta de agotamiento de los actos de averiguación del domicilio e incumplimiento de los arts. 156, 161 y 164 LEC, con cita expresa de la STC 137/2017, de 27 de noviembre.</w:t>
      </w:r>
    </w:p>
    <w:p w14:paraId="0A665BB9" w14:textId="77777777" w:rsidR="00A8138F" w:rsidRDefault="00A8138F" w:rsidP="00A8138F">
      <w:pPr>
        <w:pStyle w:val="TextoNormal"/>
      </w:pPr>
    </w:p>
    <w:p w14:paraId="702E0EE2" w14:textId="77777777" w:rsidR="00A8138F" w:rsidRDefault="00A8138F" w:rsidP="00A8138F">
      <w:pPr>
        <w:pStyle w:val="TextoNormal"/>
      </w:pPr>
      <w:r>
        <w:t>La representación procesal de la parte actora en el proceso judicial se opuso a la nulidad argumentado que había sido la propia demandada quien, en algunos procedimientos recientes que había iniciado contra él, facilitó a este mismo juzgado como domicilio a efectos de notificaciones el mismo en el que se intentaba ahora emplazarla. Advertía que si, por razones laborales, sabía que no iba a hallarse durante largo tiempo en su domicilio habitual para recibir notificación alguna, debería haberse comportado con la diligencia debida y dejar constancia de ello. Por tal motivo, sostiene que el órgano judicial “ha observado escrupulosamente todas las normas procesales al efecto, y no existe vulneración alguna de las normas esenciales del procedimiento que justifique la petición de la parte demandada y luego pretenda ser notificada en un domicilio que no es el habitual y en el que permanece gran parte del tiempo ausente, con el riesgo implícito que conlleva el hecho de que cualquier acto de comunicación del juzgado, no sea recibido por la misma, como así ha ocurrido”.</w:t>
      </w:r>
    </w:p>
    <w:p w14:paraId="75C04F98" w14:textId="77777777" w:rsidR="00A8138F" w:rsidRDefault="00A8138F" w:rsidP="00A8138F">
      <w:pPr>
        <w:pStyle w:val="TextoNormal"/>
      </w:pPr>
    </w:p>
    <w:p w14:paraId="166879AC" w14:textId="77777777" w:rsidR="00A8138F" w:rsidRDefault="00A8138F" w:rsidP="00A8138F">
      <w:pPr>
        <w:pStyle w:val="TextoNormal"/>
      </w:pPr>
      <w:r>
        <w:t xml:space="preserve">j) El incidente excepcional de nulidad de actuaciones fue desestimado por auto de 12 de noviembre de 2020, por inexistencia de infracción alguna de las garantías procesales. Tras repasar el </w:t>
      </w:r>
      <w:r w:rsidRPr="00A8138F">
        <w:rPr>
          <w:i/>
        </w:rPr>
        <w:t>iter</w:t>
      </w:r>
      <w:r>
        <w:t xml:space="preserve"> procedimental que concluyó con la comparecencia ante el juzgado de la pareja de la demandada el día 16 de septiembre de 2020, el órgano jurisdiccional sostuvo que su proceder ha sido acorde a la legalidad y que “ha cumplido con el citado trámite del art. 156 LEC, se han observado las normas esenciales del procedimiento, habiéndose agotado los </w:t>
      </w:r>
      <w:r>
        <w:lastRenderedPageBreak/>
        <w:t>medios de averiguación del domicilio de la demandada, resultando negativas todas las gestiones para conocer su domicilio y por ende, acudiendo el juzgado a los edictos. Por todo ello, resulta que no se ha causado indefensión a la misma. A mayores, en la comparecencia de la pareja de la demandada se vuelve a reiterar que la dirección correcta es la de Borrenes”.</w:t>
      </w:r>
    </w:p>
    <w:p w14:paraId="2DA32EDF" w14:textId="77777777" w:rsidR="00A8138F" w:rsidRDefault="00A8138F" w:rsidP="00A8138F">
      <w:pPr>
        <w:pStyle w:val="TextoNormal"/>
      </w:pPr>
    </w:p>
    <w:p w14:paraId="7449C6FE" w14:textId="77777777" w:rsidR="00A8138F" w:rsidRDefault="00A8138F" w:rsidP="00A8138F">
      <w:pPr>
        <w:pStyle w:val="TextoNormal"/>
      </w:pPr>
      <w:r>
        <w:t>k) Frente a dicha resolución se presentó recurso de amparo, que se tramitó con el núm. 5943-2020, resultando no admitido a trámite por providencia de 24 de marzo de 2021 “por no haber concluido el proceso abierto en la vía judicial”.</w:t>
      </w:r>
    </w:p>
    <w:p w14:paraId="0DE779F0" w14:textId="77777777" w:rsidR="00A8138F" w:rsidRDefault="00A8138F" w:rsidP="00A8138F">
      <w:pPr>
        <w:pStyle w:val="TextoNormal"/>
      </w:pPr>
    </w:p>
    <w:p w14:paraId="06EC262E" w14:textId="77777777" w:rsidR="00A8138F" w:rsidRDefault="00A8138F" w:rsidP="00A8138F">
      <w:pPr>
        <w:pStyle w:val="TextoNormal"/>
      </w:pPr>
      <w:r>
        <w:t>l) Por diligencia de ordenación de 20 de noviembre de 2020, “[h]abiendo sido resuelto el incidente de nulidad planteado por la parte demandada, procede continuar con la tramitación de los presentes autos y a tal fin, emplazada que ha sido en legal forma la parte demandada, esta no ha comparecido en forma en el plazo señalado en autos, por lo que, de conformidad con lo establecido en el artículo 496 de la Ley de enjuiciamiento civil, se declara en rebeldía a la misma, la cual no se considera como allanamiento ni como admisión de los hechos, notificándosele la presente resolución a través de su representante legal en autos, conforme al artículo 497 de dicha ley”.</w:t>
      </w:r>
    </w:p>
    <w:p w14:paraId="798AE481" w14:textId="77777777" w:rsidR="00A8138F" w:rsidRDefault="00A8138F" w:rsidP="00A8138F">
      <w:pPr>
        <w:pStyle w:val="TextoNormal"/>
      </w:pPr>
    </w:p>
    <w:p w14:paraId="01DABA69" w14:textId="77777777" w:rsidR="00A8138F" w:rsidRDefault="00A8138F" w:rsidP="00A8138F">
      <w:pPr>
        <w:pStyle w:val="TextoNormal"/>
      </w:pPr>
      <w:r>
        <w:t>m) El 23 de noviembre de 2020, la recurrente solicitó al juzgado ser tenida por parte en el procedimiento y el traslado de todas las actuaciones. Esto último se acordó por diligencia de ordenación de 25 de noviembre de 2020, solicitándose por la demandada, el siguiente día 27 de noviembre, la celebración de la vista y la práctica de la prueba.</w:t>
      </w:r>
    </w:p>
    <w:p w14:paraId="6390BBF8" w14:textId="77777777" w:rsidR="00A8138F" w:rsidRDefault="00A8138F" w:rsidP="00A8138F">
      <w:pPr>
        <w:pStyle w:val="TextoNormal"/>
      </w:pPr>
    </w:p>
    <w:p w14:paraId="412D2EC7" w14:textId="77777777" w:rsidR="00A8138F" w:rsidRDefault="00A8138F" w:rsidP="00A8138F">
      <w:pPr>
        <w:pStyle w:val="TextoNormal"/>
      </w:pPr>
      <w:r>
        <w:t>n) El 2 de marzo de 2022, sin celebrarse la vista a solicitud de la parte actora, y a la vista de la documental aportada por esta, el juzgado dictó sentencia estimatoria de la demanda, declarando la procedencia de la acción negatoria de servidumbre de paso y que la titularidad dominical de la finca propiedad del demandante se hallaba libre de toda servidumbre de paso a favor de la finca propiedad de la demandada, reconociendo el derecho del actor a impedir el paso por su finca y la obligación de la señora Álvarez Fernández de abstenerse de transitar por ella.</w:t>
      </w:r>
    </w:p>
    <w:p w14:paraId="28A642BB" w14:textId="77777777" w:rsidR="00A8138F" w:rsidRDefault="00A8138F" w:rsidP="00A8138F">
      <w:pPr>
        <w:pStyle w:val="TextoNormal"/>
      </w:pPr>
    </w:p>
    <w:p w14:paraId="482A639F" w14:textId="77777777" w:rsidR="00A8138F" w:rsidRDefault="00A8138F" w:rsidP="00A8138F">
      <w:pPr>
        <w:pStyle w:val="TextoNormal"/>
      </w:pPr>
      <w:r>
        <w:t>ñ) Frente a dicha sentencia se interpuso recurso de apelación invocando, entre otras cuestiones, la vulneración del derecho a la tutela judicial (art. 24.1 CE) por la falta de emplazamiento personal de la demandada y la omisión de las averiguaciones domiciliarias correspondientes, de conformidad con la ley, invocando expresamente la doctrina contenida en el fundamento jurídico 3 de la STC 153/1987, de 13 de octubre, además de las SSTC 30/2014, de 24 de febrero; 181/2015, de 7 de septiembre; 137/2017, y 145/2021, de 12 de julio, sobre el carácter subsidiario de la notificación por edictos.</w:t>
      </w:r>
    </w:p>
    <w:p w14:paraId="39ABE351" w14:textId="77777777" w:rsidR="00A8138F" w:rsidRDefault="00A8138F" w:rsidP="00A8138F">
      <w:pPr>
        <w:pStyle w:val="TextoNormal"/>
      </w:pPr>
    </w:p>
    <w:p w14:paraId="667C0A02" w14:textId="3C17D598" w:rsidR="00A8138F" w:rsidRDefault="00A8138F" w:rsidP="00A8138F">
      <w:pPr>
        <w:pStyle w:val="TextoNormal"/>
      </w:pPr>
      <w:r>
        <w:t>o) El 8 de febrero de 2023, el magistrado ponente de la Sección Segunda de la Audiencia Provincial de León, constituido como órgano unipersonal, dictó sentencia desestimatoria del recurso de apelación. En su fundamentación, si bien advierte que de conformidad con el art. 455.1 LEC la admisión del recurso había sido improcedente por razón de la cuantía, respecto a la posible nulidad del procedimiento por la falta de emplazamiento personal hace suyos los razonamientos del auto desestimatorio del incidente de nulidad de actuaciones de 12 de noviembre de 2020 “que recogen con detalle lo sucedido en el procedimiento para emplazar a la demandada”.</w:t>
      </w:r>
    </w:p>
    <w:p w14:paraId="701D8ACE" w14:textId="77777777" w:rsidR="00A8138F" w:rsidRDefault="00A8138F" w:rsidP="00A8138F">
      <w:pPr>
        <w:pStyle w:val="TextoNormal"/>
      </w:pPr>
    </w:p>
    <w:p w14:paraId="44BF9BA0" w14:textId="77777777" w:rsidR="00A8138F" w:rsidRDefault="00A8138F" w:rsidP="00A8138F">
      <w:pPr>
        <w:pStyle w:val="TextoNormal"/>
      </w:pPr>
      <w:r w:rsidRPr="00A8138F">
        <w:rPr>
          <w:rStyle w:val="NumeroAFNegritaCaracter"/>
        </w:rPr>
        <w:lastRenderedPageBreak/>
        <w:t>3</w:t>
      </w:r>
      <w:r>
        <w:t>. El día 21 de abril de 2023 tuvo entrada en el registro del Tribunal Constitucional, la demanda de amparo formulada por doña Isabel Álvarez Fernández denunciando que las resoluciones judiciales impugnadas vulneraban su derecho a la tutela judicial efectiva (art. 24.1 CE), en su vertiente de derecho de acceso al proceso, por cuanto el Juzgado de Primera Instancia e Instrucción núm. 6 de Ponferrada, tras fracasar el primer emplazamiento en el domicilio identificado en la demanda, procedió a emplazarla por edictos, incumpliendo la doctrina del Tribunal relativa al carácter subsidiario de ese modo de notificación. Así subraya que ni se intentó la notificación a través de sus representantes procesales en dos procedimientos que se estaban tramitando ante ese mismo juzgado con la intervención de la ahora recurrente debidamente representada por procurador; ni se comprobó la información sobre el traslado de su residencia a Singapur, como tampoco se cercioró de si existía alguna otra persona que pudiera recoger la demanda en su nombre; ni, en definitiva, se desarrolló actividad de averiguación domiciliaria alguna. A tales efectos, recuerda que la doctrina constitucional exige del órgano jurisdiccional la debida diligencia, lo que no comporta una desmedida labor investigadora, pero sí requiere de aquel el empleo de cuantos medios obren al alcance, de suerte que a la vista de los efectivamente ordenados quepa cabalmente concluir que se han agotado las posibilidades de localización y, por tanto, de notificación personal al demandado (con cita, entre otras muchas, de las SSTC 90/2003, de 19 de mayo; 61/2010, de 18 de octubre, y 181/2015, así como de las SSTC 150/2016 y 151/2016, de 19 de septiembre; 6/2017, de 16 de enero, y otras, aplicables a aquellos casos en los que el domicilio se encuentra en el extranjero).</w:t>
      </w:r>
    </w:p>
    <w:p w14:paraId="0248C07A" w14:textId="77777777" w:rsidR="00A8138F" w:rsidRDefault="00A8138F" w:rsidP="00A8138F">
      <w:pPr>
        <w:pStyle w:val="TextoNormal"/>
      </w:pPr>
    </w:p>
    <w:p w14:paraId="45321C29" w14:textId="075545A6" w:rsidR="00A8138F" w:rsidRDefault="00A8138F" w:rsidP="00A8138F">
      <w:pPr>
        <w:pStyle w:val="TextoNormal"/>
      </w:pPr>
      <w:r>
        <w:t>Por todo ello, la señora Álvarez Fernández solicita la nulidad de las sentencias del Juzgado de Primera Instancia e Instrucción núm. 6 de Ponferrada y de la Sección Segunda de la Audiencia Provincial de León, dictadas, respectivamente, los días 2 de marzo de 2022 y 8 de febrero de 2023. Al objeto de dar cumplimiento a la doctrina constitucional y restablecerla en su derecho, la actora sostiene que esa declaración de nulidad deberá alcanzar a todo lo actuado en el juicio verbal núm. 574-2019 desde el emplazamiento edictal.</w:t>
      </w:r>
    </w:p>
    <w:p w14:paraId="3E420A6A" w14:textId="77777777" w:rsidR="00A8138F" w:rsidRDefault="00A8138F" w:rsidP="00A8138F">
      <w:pPr>
        <w:pStyle w:val="TextoNormal"/>
      </w:pPr>
    </w:p>
    <w:p w14:paraId="763E378F" w14:textId="77777777" w:rsidR="00A8138F" w:rsidRDefault="00A8138F" w:rsidP="00A8138F">
      <w:pPr>
        <w:pStyle w:val="TextoNormal"/>
      </w:pPr>
      <w:r w:rsidRPr="00A8138F">
        <w:rPr>
          <w:rStyle w:val="NumeroAFNegritaCaracter"/>
        </w:rPr>
        <w:t>4</w:t>
      </w:r>
      <w:r>
        <w:t>. Por providencia de 20 de noviembre de 2023, la Sección Cuarta de este Tribunal Constitucional admitió a trámite el recurso de amparo, apreciando que concurría especial trascendencia constitucional [art. 50.1 de la Ley Orgánica del Tribunal Constitucional (LOTC)] como consecuencia de que el órgano judicial podría haber incurrido en una negativa manifiesta del deber de acatamiento de la doctrina de este tribunal [STC 155/2009, de 25 de junio, FJ 2 f)].</w:t>
      </w:r>
    </w:p>
    <w:p w14:paraId="62626338" w14:textId="77777777" w:rsidR="00A8138F" w:rsidRDefault="00A8138F" w:rsidP="00A8138F">
      <w:pPr>
        <w:pStyle w:val="TextoNormal"/>
      </w:pPr>
    </w:p>
    <w:p w14:paraId="4E7DF2BB" w14:textId="00044936" w:rsidR="00A8138F" w:rsidRDefault="00A8138F" w:rsidP="00A8138F">
      <w:pPr>
        <w:pStyle w:val="TextoNormal"/>
      </w:pPr>
      <w:r>
        <w:t>Asimismo, en aplicación del art. 51 LOTC, se acordó dirigir atenta comunicación a la Sección Segunda de la Audiencia Provincial de León a fin de que, en un plazo que no excediera de diez días, remitiera testimonio de las actuaciones correspondientes al rollo de apelación núm. 201-2022; así como al Juzgado de Primera Instancia e Instrucción núm. 6 de Ponferrada a fin de que, en un plazo que no excediera de diez días, y en igual sentido, remitiera testimonio de las actuaciones correspondientes al juicio verbal núm. 574-2019, incluida la pieza de nulidad 1-2020, debiendo previamente emplazarse a quienes hubieran sido parte en el procedimiento, excepto a la parte recurrente en amparo, para que en el plazo de diez días pudieran comparecer, si lo deseasen, en este recurso.</w:t>
      </w:r>
    </w:p>
    <w:p w14:paraId="28D21F1F" w14:textId="77777777" w:rsidR="00A8138F" w:rsidRDefault="00A8138F" w:rsidP="00A8138F">
      <w:pPr>
        <w:pStyle w:val="TextoNormal"/>
      </w:pPr>
    </w:p>
    <w:p w14:paraId="57515A8F" w14:textId="5080774E" w:rsidR="00A8138F" w:rsidRDefault="00A8138F" w:rsidP="00A8138F">
      <w:pPr>
        <w:pStyle w:val="TextoNormal"/>
      </w:pPr>
      <w:r w:rsidRPr="00A8138F">
        <w:rPr>
          <w:rStyle w:val="NumeroAFNegritaCaracter"/>
        </w:rPr>
        <w:lastRenderedPageBreak/>
        <w:t>5</w:t>
      </w:r>
      <w:r>
        <w:t>. El 8 de diciembre de 2023 compareció en el procedimiento don Lorenzo de Brindis Prada Macías, parte demandante en el proceso judicial, representado por la procuradora de los tribunales doña Ángela Velasco Gil y asistido por la letrada doña Rosa Ana González Fernández.</w:t>
      </w:r>
    </w:p>
    <w:p w14:paraId="6F1DAAE7" w14:textId="77777777" w:rsidR="00A8138F" w:rsidRDefault="00A8138F" w:rsidP="00A8138F">
      <w:pPr>
        <w:pStyle w:val="TextoNormal"/>
      </w:pPr>
    </w:p>
    <w:p w14:paraId="0570B01A" w14:textId="2E3FF6C3" w:rsidR="00A8138F" w:rsidRDefault="00A8138F" w:rsidP="00A8138F">
      <w:pPr>
        <w:pStyle w:val="TextoNormal"/>
      </w:pPr>
      <w:r w:rsidRPr="00A8138F">
        <w:rPr>
          <w:rStyle w:val="NumeroAFNegritaCaracter"/>
        </w:rPr>
        <w:t>6</w:t>
      </w:r>
      <w:r>
        <w:t>. Por diligencia de ordenación de 4 de marzo de 2024 se tuvo por personado y parte en el procedimiento a don Lorenzo de Brindis Prada Macías, acordándose además dar vista de las actuaciones a las partes personadas y al Ministerio Fiscal por un plazo común de veinte días, dentro de los cuales podrían presentar las alegaciones que estimaran convenientes.</w:t>
      </w:r>
    </w:p>
    <w:p w14:paraId="47C9D939" w14:textId="77777777" w:rsidR="00A8138F" w:rsidRDefault="00A8138F" w:rsidP="00A8138F">
      <w:pPr>
        <w:pStyle w:val="TextoNormal"/>
      </w:pPr>
    </w:p>
    <w:p w14:paraId="696F5605" w14:textId="4CE47DE9" w:rsidR="00A8138F" w:rsidRDefault="00A8138F" w:rsidP="00A8138F">
      <w:pPr>
        <w:pStyle w:val="TextoNormal"/>
      </w:pPr>
      <w:r w:rsidRPr="00A8138F">
        <w:rPr>
          <w:rStyle w:val="NumeroAFNegritaCaracter"/>
        </w:rPr>
        <w:t>7</w:t>
      </w:r>
      <w:r>
        <w:t>. El 2 de abril de 2024, la recurrente en amparo formuló alegaciones reiterando los argumentos ya desplegados en su escrito de interposición de la demanda de amparo en cuanto a la inconstitucionalidad de las resoluciones recurridas y las razones para ello, haciendo hincapié en la doctrina que proclama la vinculación existente entre el derecho a la tutela judicial efectiva (art. 24.1 CE) y la correcta constitución de la relación jurídico-procesal a través de los actos de comunicación, y la preferencia, siempre que sea posible, por las notificaciones y emplazamientos personales, para lo cual se habrán de emplear los medios razonablemente existentes. Según reitera, tal doctrina constitucional se había visto conculcada en la presente causa.</w:t>
      </w:r>
    </w:p>
    <w:p w14:paraId="655A9E8E" w14:textId="77777777" w:rsidR="00A8138F" w:rsidRDefault="00A8138F" w:rsidP="00A8138F">
      <w:pPr>
        <w:pStyle w:val="TextoNormal"/>
      </w:pPr>
    </w:p>
    <w:p w14:paraId="6457B0B7" w14:textId="333AD21D" w:rsidR="00A8138F" w:rsidRDefault="00A8138F" w:rsidP="00A8138F">
      <w:pPr>
        <w:pStyle w:val="TextoNormal"/>
      </w:pPr>
      <w:r w:rsidRPr="00A8138F">
        <w:rPr>
          <w:rStyle w:val="NumeroAFNegritaCaracter"/>
        </w:rPr>
        <w:t>8</w:t>
      </w:r>
      <w:r>
        <w:t>. Esa misma fecha, don Lorenzo de Brindis Prada Macías formuló por escrito su oposición al recurso de amparo pues, según asevera, “es la propia parte, que ahora solicita el amparo constitucional, quien actuó y contribuyó de manera activa a causar su propia indefensión de la que ahora se queja”, al no haber designado en alguno de los otros dos procedimientos que tenía pendientes ante ese mismo juzgado y frente al mismo litigante, el cambio domiciliario producido con su traslado a Singapur; siendo además para el juzgado “una actividad ardua […] [que] no puede exigírsele” como es la localización del domicilio en dicho país, por lo que considera correcta la conducta del juzgado.</w:t>
      </w:r>
    </w:p>
    <w:p w14:paraId="531BD3BE" w14:textId="77777777" w:rsidR="00A8138F" w:rsidRDefault="00A8138F" w:rsidP="00A8138F">
      <w:pPr>
        <w:pStyle w:val="TextoNormal"/>
      </w:pPr>
    </w:p>
    <w:p w14:paraId="12BCC9D3" w14:textId="77777777" w:rsidR="00A8138F" w:rsidRDefault="00A8138F" w:rsidP="00A8138F">
      <w:pPr>
        <w:pStyle w:val="TextoNormal"/>
      </w:pPr>
      <w:r w:rsidRPr="00A8138F">
        <w:rPr>
          <w:rStyle w:val="NumeroAFNegritaCaracter"/>
        </w:rPr>
        <w:t>9</w:t>
      </w:r>
      <w:r>
        <w:t>. El Ministerio Fiscal presentó alegaciones por escrito de 23 de abril de 2024, en sentido favorable a la estimación de la demanda de amparo.</w:t>
      </w:r>
    </w:p>
    <w:p w14:paraId="1B8EE352" w14:textId="77777777" w:rsidR="00A8138F" w:rsidRDefault="00A8138F" w:rsidP="00A8138F">
      <w:pPr>
        <w:pStyle w:val="TextoNormal"/>
      </w:pPr>
    </w:p>
    <w:p w14:paraId="56E103A5" w14:textId="77777777" w:rsidR="00A8138F" w:rsidRDefault="00A8138F" w:rsidP="00A8138F">
      <w:pPr>
        <w:pStyle w:val="TextoNormal"/>
      </w:pPr>
      <w:r>
        <w:t>Una vez resumidos los acontecimientos procesales que consideró de interés al caso y concretar los aspectos más relevantes de la pretensión del demandante, el fiscal señala que el objeto del presente recurso consiste en dilucidar si el juez ha vulnerado el derecho a la tutela judicial efectiva sin indefensión de la recurrente (art. 24.1 CE), en su modalidad de derecho de acceso al procedimiento, al haberse acordado la notificación por edictos tras dos intentos de emplazamiento en un único domicilio, el identificado en la demanda, sin llevar a cabo averiguación domiciliaria alguna; y, por consiguiente, si de dicha circunstancia deben considerarse cumplidas las obligaciones del juzgador de conformidad con la ley y la doctrina constitucional aplicable.</w:t>
      </w:r>
    </w:p>
    <w:p w14:paraId="204E97C4" w14:textId="77777777" w:rsidR="00A8138F" w:rsidRDefault="00A8138F" w:rsidP="00A8138F">
      <w:pPr>
        <w:pStyle w:val="TextoNormal"/>
      </w:pPr>
    </w:p>
    <w:p w14:paraId="7ED84B04" w14:textId="77777777" w:rsidR="00A8138F" w:rsidRDefault="00A8138F" w:rsidP="00A8138F">
      <w:pPr>
        <w:pStyle w:val="TextoNormal"/>
      </w:pPr>
      <w:r>
        <w:t xml:space="preserve">Pues bien, repasada dicha doctrina constitucional, el fiscal concluye que “la actividad del órgano no colmó los cánones de ‘sacrificio’ que le eran exigibles”, ya que “lo único que hizo fue solicitar al demandante para que señalara nuevo domicilio de la demandada” y, ante la respuesta obtenida, mediante la que se instaba de la oficina judicial que se adoptaran las medidas necesarias para la averiguación del posible domicilio donde se encontrara la </w:t>
      </w:r>
      <w:r>
        <w:lastRenderedPageBreak/>
        <w:t>demandada, “el órgano judicial […] se limitó a realizar la citación por edictos, desoyendo la petición de la parte personada de acudir a los registros públicos procedentes, o al punto neutro judicial”, aun cuando, según añade, “poco gasto de energía laboral le habría supuesto oficiar a dichos organismos”. Indica el fiscal que tal actuación provocó la indefensión material de la recurrente, agravada por el hecho de que el juzgado, primero, y la audiencia, después, tuvieron la ocasión de salvaguardar los derechos de todos los interesados y dejaron pasar esa oportunidad.</w:t>
      </w:r>
    </w:p>
    <w:p w14:paraId="2F57BE48" w14:textId="77777777" w:rsidR="00A8138F" w:rsidRDefault="00A8138F" w:rsidP="00A8138F">
      <w:pPr>
        <w:pStyle w:val="TextoNormal"/>
      </w:pPr>
    </w:p>
    <w:p w14:paraId="56078D6B" w14:textId="3A6E4CA8" w:rsidR="00A8138F" w:rsidRDefault="00A8138F" w:rsidP="00A8138F">
      <w:pPr>
        <w:pStyle w:val="TextoNormal"/>
      </w:pPr>
      <w:r>
        <w:t>En conclusión, sostiene el fiscal, que “[e]n ambas instancias se ha incurrido en vulneración del derecho a la tutela judicial efectiva, sin indefensión de la señora Álvarez, recurrente en este amparo, ya que ambos órganos judiciales desconocieron la doctrina reiterada de este tribunal, y como hemos visto también del Tribunal Europeo de Derechos Humanos, a pesar de que tanto en el planteamiento del incidente de nulidad ante el Juzgado de Primera Instancia, como en el recurso de apelación ante la Audiencia Provincial, se citó dicha doctrina por la recurrente”.</w:t>
      </w:r>
    </w:p>
    <w:p w14:paraId="1DDD6A9A" w14:textId="77777777" w:rsidR="00A8138F" w:rsidRDefault="00A8138F" w:rsidP="00A8138F">
      <w:pPr>
        <w:pStyle w:val="TextoNormal"/>
      </w:pPr>
    </w:p>
    <w:p w14:paraId="49CE62BB" w14:textId="0DAE70EF" w:rsidR="00A8138F" w:rsidRDefault="00A8138F" w:rsidP="00A8138F">
      <w:pPr>
        <w:pStyle w:val="TextoNormal"/>
      </w:pPr>
      <w:r w:rsidRPr="00A8138F">
        <w:rPr>
          <w:rStyle w:val="NumeroAFNegritaCaracter"/>
        </w:rPr>
        <w:t>10</w:t>
      </w:r>
      <w:r>
        <w:t>. Por providencia de 24 de abril de 2025 se señaló para la deliberación y votación de la presente sentencia el día 28 del mismo mes y año.</w:t>
      </w:r>
    </w:p>
    <w:p w14:paraId="47FE883D" w14:textId="77777777" w:rsidR="00A8138F" w:rsidRDefault="00A8138F" w:rsidP="00A8138F">
      <w:pPr>
        <w:pStyle w:val="TextoNormal"/>
      </w:pPr>
    </w:p>
    <w:p w14:paraId="18678A90" w14:textId="77777777" w:rsidR="00A8138F" w:rsidRDefault="00A8138F" w:rsidP="00A8138F">
      <w:pPr>
        <w:pStyle w:val="TextoNormalNegritaCentrado"/>
        <w:keepNext/>
      </w:pPr>
      <w:r>
        <w:t>II. Fundamentos jurídicos</w:t>
      </w:r>
    </w:p>
    <w:p w14:paraId="1C63FDAE" w14:textId="4307AC3D" w:rsidR="00A8138F" w:rsidRDefault="00A8138F" w:rsidP="00A8138F">
      <w:pPr>
        <w:pStyle w:val="TextoNormalNegritaCentrado"/>
        <w:keepNext/>
      </w:pPr>
    </w:p>
    <w:p w14:paraId="43F7D461" w14:textId="77777777" w:rsidR="00A8138F" w:rsidRDefault="00A8138F" w:rsidP="00A8138F">
      <w:pPr>
        <w:pStyle w:val="TextoNormal"/>
      </w:pPr>
      <w:r w:rsidRPr="00A8138F">
        <w:rPr>
          <w:rStyle w:val="NumeroAFNegritaCaracter"/>
        </w:rPr>
        <w:t>1</w:t>
      </w:r>
      <w:r>
        <w:t xml:space="preserve">. </w:t>
      </w:r>
      <w:r w:rsidRPr="00A8138F">
        <w:rPr>
          <w:i/>
        </w:rPr>
        <w:t>Objeto del recurso de amparo y pretensiones de las partes</w:t>
      </w:r>
    </w:p>
    <w:p w14:paraId="0840DFC0" w14:textId="77777777" w:rsidR="00A8138F" w:rsidRDefault="00A8138F" w:rsidP="00A8138F">
      <w:pPr>
        <w:pStyle w:val="TextoNormal"/>
      </w:pPr>
    </w:p>
    <w:p w14:paraId="58CFFADF" w14:textId="77777777" w:rsidR="00A8138F" w:rsidRDefault="00A8138F" w:rsidP="00A8138F">
      <w:pPr>
        <w:pStyle w:val="TextoNormal"/>
      </w:pPr>
      <w:r>
        <w:t>La demanda de amparo impugna la sentencia 33/2022, de 2 de marzo, dictada por el Juzgado de Primera Instancia e Instrucción núm. 6 de Ponferrada, recaída en el juicio verbal núm. 574-2019; así como la sentencia 47/2023, de 8 de febrero, dictada por la Sección Segunda de la Audiencia Provincial de León en el rollo de apelación núm. 201-2022, por entender vulnerado el derecho a la tutela judicial efectiva (art. 24.1 CE), en su vertiente de derecho de acceso a la jurisdicción, al haberse acudido a la notificación edictal tras sendos intentos de emplazamiento en un mismo domicilio, sin desplegar las oportunas medidas de averiguación domiciliaria previstas en la ley al objeto de localizar a la demandante de amparo y llevar a cabo su efectiva notificación personal, tal y como exige nuestra jurisprudencia.</w:t>
      </w:r>
    </w:p>
    <w:p w14:paraId="24CF27EE" w14:textId="77777777" w:rsidR="00A8138F" w:rsidRDefault="00A8138F" w:rsidP="00A8138F">
      <w:pPr>
        <w:pStyle w:val="TextoNormal"/>
      </w:pPr>
    </w:p>
    <w:p w14:paraId="29BBB468" w14:textId="77777777" w:rsidR="00A8138F" w:rsidRDefault="00A8138F" w:rsidP="00A8138F">
      <w:pPr>
        <w:pStyle w:val="TextoNormal"/>
      </w:pPr>
      <w:r>
        <w:t>El Ministerio Fiscal considera que procede estimar el recurso y declarar que el citado derecho fundamental ha sido vulnerado, por las mismas razones expuestas por la recurrente.</w:t>
      </w:r>
    </w:p>
    <w:p w14:paraId="509093EF" w14:textId="77777777" w:rsidR="00A8138F" w:rsidRDefault="00A8138F" w:rsidP="00A8138F">
      <w:pPr>
        <w:pStyle w:val="TextoNormal"/>
      </w:pPr>
    </w:p>
    <w:p w14:paraId="27BED53F" w14:textId="615C69F2" w:rsidR="00A8138F" w:rsidRDefault="00A8138F" w:rsidP="00A8138F">
      <w:pPr>
        <w:pStyle w:val="TextoNormal"/>
      </w:pPr>
      <w:r>
        <w:t>Don Lorenzo de Brindis Prada Macías se opone a la estimación del recurso de amparo al considerar que la indefensión padecida por la recurrente fue resultado de su propia actitud negligente por no comunicar su cambio de residencia, al margen de que se está exigiendo del órgano judicial una tarea excesivamente ardua para la localización del domicilio de esta en Singapur.</w:t>
      </w:r>
    </w:p>
    <w:p w14:paraId="48237AA1" w14:textId="77777777" w:rsidR="00A8138F" w:rsidRDefault="00A8138F" w:rsidP="00A8138F">
      <w:pPr>
        <w:pStyle w:val="TextoNormal"/>
      </w:pPr>
    </w:p>
    <w:p w14:paraId="4168BDBD" w14:textId="77777777" w:rsidR="00A8138F" w:rsidRDefault="00A8138F" w:rsidP="00A8138F">
      <w:pPr>
        <w:pStyle w:val="TextoNormal"/>
      </w:pPr>
      <w:r w:rsidRPr="00A8138F">
        <w:rPr>
          <w:rStyle w:val="NumeroAFNegritaCaracter"/>
        </w:rPr>
        <w:t>2</w:t>
      </w:r>
      <w:r>
        <w:t xml:space="preserve">. </w:t>
      </w:r>
      <w:r w:rsidRPr="00A8138F">
        <w:rPr>
          <w:i/>
        </w:rPr>
        <w:t>Doctrina constitucional sobre los actos de comunicación procesal</w:t>
      </w:r>
    </w:p>
    <w:p w14:paraId="480359EE" w14:textId="77777777" w:rsidR="00A8138F" w:rsidRDefault="00A8138F" w:rsidP="00A8138F">
      <w:pPr>
        <w:pStyle w:val="TextoNormal"/>
      </w:pPr>
    </w:p>
    <w:p w14:paraId="01F4EA66" w14:textId="77777777" w:rsidR="00A8138F" w:rsidRDefault="00A8138F" w:rsidP="00A8138F">
      <w:pPr>
        <w:pStyle w:val="TextoNormal"/>
      </w:pPr>
      <w:r>
        <w:t xml:space="preserve">Este tribunal ha declarado en multitud de ocasiones que la prohibición de indefensión, que complementa al derecho a la tutela judicial efectiva del art. 24.1 CE, garantiza, en lo </w:t>
      </w:r>
      <w:r>
        <w:lastRenderedPageBreak/>
        <w:t>que aquí importa, el derecho a acceder a la jurisdicción en condiciones de poder ser oído y ejercer la defensa de los derechos e intereses legítimos en un proceso respetuoso con los principios de contradicción e igualdad de armas procesales. Por este motivo, para una correcta constitución de la relación jurídico-procesal es imprescindible la adecuada ejecución de los actos de comunicación procesal asegurando, en lo posible, su recepción por los destinatarios (SSTC 55/2003, de 24 de marzo, FJ 2; 78/2003, de 28 de abril, FJ 7; 162/2004, de 4 de octubre, FJ 4; 76/2006, de 13 de marzo, FJ 3, 245/2006, de 24 de julio, FJ 2, y 223/2007, de 22 de octubre).</w:t>
      </w:r>
    </w:p>
    <w:p w14:paraId="0CAA659B" w14:textId="77777777" w:rsidR="00A8138F" w:rsidRDefault="00A8138F" w:rsidP="00A8138F">
      <w:pPr>
        <w:pStyle w:val="TextoNormal"/>
      </w:pPr>
    </w:p>
    <w:p w14:paraId="567E1CCD" w14:textId="77777777" w:rsidR="00A8138F" w:rsidRDefault="00A8138F" w:rsidP="00A8138F">
      <w:pPr>
        <w:pStyle w:val="TextoNormal"/>
      </w:pPr>
      <w:r>
        <w:t>En aras, precisamente, de proteger a quienes hayan de ser parte en el proceso, hemos insistido en que el órgano judicial procure, siempre que sea posible, el emplazamiento personal de los demandados. En este sentido, ha de quedar claro que la modalidad de emplazamiento edictal, aun siendo constitucionalmente admisible, debe ser adoptada con carácter subsidiario y excepcional, lo que exige apurar previamente los medios de comunicación ordinarios, que ofrecen mayor garantía y certidumbre de la recepción por el destinatario. Dicho de otro modo, para recurrir al uso de los edictos, el órgano judicial debe haber concluido razonablemente que, por desconocerse el domicilio o ignorarse el paradero del interesado, resultan impracticables o infructuosas las otras formas de comunicación procesal, siendo preciso para llegar a esa convicción que el demandado no es localizable y que la oficina judicial haya agotado las gestiones de indagación del paradero por los medios ordinarios a su alcance (SSTC 191/2003, de 27 de octubre, FJ 3; 225/2004, de 29 de noviembre, FJ 2, y 117/2005, de 9 de mayo, FJ 3). Así sucede, por ejemplo, si del análisis de los autos o de la documentación aportada por las partes resulta la existencia de un domicilio o cualquier otro dato que haga viable la comunicación personal con el demandado [</w:t>
      </w:r>
      <w:r w:rsidRPr="00A8138F">
        <w:rPr>
          <w:i/>
        </w:rPr>
        <w:t>v. gr.</w:t>
      </w:r>
      <w:r>
        <w:t>, en las actuaciones aparecía un teléfono en el que la demandada podía ser localizada (STC 65/2000, de 13 de marzo)] o cuando un tercero ha señalado un posible domicilio del demandado (SSTC 232/2000, de 2 de octubre; 1/2002, de 14 de enero, FJ 2; 78/2003, FJ 7; 214/2005, de 12 de septiembre, FJ 4, y 245/2006, FJ 2). En síntesis, el órgano judicial habrá cumplido su especial deber de diligencia cuando la resolución por la que se tenga a la parte en ignorado paradero o con domicilio desconocido, se halle fundada en un criterio de razonabilidad que lleve a la convicción o certeza de la inutilidad de aquellos otros medios normales de comunicación.</w:t>
      </w:r>
    </w:p>
    <w:p w14:paraId="589C67F5" w14:textId="77777777" w:rsidR="00A8138F" w:rsidRDefault="00A8138F" w:rsidP="00A8138F">
      <w:pPr>
        <w:pStyle w:val="TextoNormal"/>
      </w:pPr>
    </w:p>
    <w:p w14:paraId="5A3760D0" w14:textId="77777777" w:rsidR="00A8138F" w:rsidRDefault="00A8138F" w:rsidP="00A8138F">
      <w:pPr>
        <w:pStyle w:val="TextoNormal"/>
      </w:pPr>
      <w:r>
        <w:t xml:space="preserve">Ahora bien, establecido este deber de diligencia que pesa sobre los órganos judiciales, también hemos venido subrayando que solo la indefensión material, esto es, la que irroga un perjuicio efectivo a la posibilidad de defensa del recurrente, es constitucionalmente relevante, así como que no existe infracción constitucional cuando el proceso se ha seguido </w:t>
      </w:r>
      <w:r w:rsidRPr="00A8138F">
        <w:rPr>
          <w:i/>
        </w:rPr>
        <w:t>inaudita parte</w:t>
      </w:r>
      <w:r>
        <w:t>, si la omisión o malogro de los actos de comunicación procesal se han originado por la indiligencia del interesado, sea porque ha buscado obtener alguna ventaja permaneciendo fuera del proceso con su actitud pasiva, sea porque ha quedado probado que tenía un conocimiento extraprocesal del litigio al que no fue personalmente emplazado. Y ello es así, porque si bien es cierto que los errores de los órganos judiciales no deben repercutir negativamente en la esfera del ciudadano, también lo es que a estos les es exigible una mínima diligencia, de forma que los posibles efectos dañosos resultantes de una actuación incorrecta de aquellos carecen de relevancia desde la perspectiva del amparo constitucional cuando el error sea asimismo achacable a la negligencia de la parte, bien porque se ha situado al margen del litigio por razón de una actitud pasiva con el objetivo de obtener una ventaja de esa marginación, o bien cuando se acredite que tenía un conocimiento extrapro</w:t>
      </w:r>
      <w:r>
        <w:lastRenderedPageBreak/>
        <w:t>cesal de la existencia del proceso al que no fue llamado personalmente (entre otras muchas, SSTC 41/2020, de 9 de marzo, FJ 3, y 43/2021, de 3 de marzo, FJ 2). Todo ello, teniendo siempre en consideración que la posible negligencia, descuido o impericia imputables a la parte no puede fundarse sin más en una presunción cimentada en simples conjeturas, sino que debe acreditarse fehacientemente para que surta su efecto invalidante de la tacha de indefensión, pues lo presumido, es justamente, el desconocimiento del proceso si así se alega (por todas, STC 181/2015, FJ 3).</w:t>
      </w:r>
    </w:p>
    <w:p w14:paraId="5DCD2893" w14:textId="77777777" w:rsidR="00A8138F" w:rsidRDefault="00A8138F" w:rsidP="00A8138F">
      <w:pPr>
        <w:pStyle w:val="TextoNormal"/>
      </w:pPr>
    </w:p>
    <w:p w14:paraId="51966CE8" w14:textId="21B8DE54" w:rsidR="00A8138F" w:rsidRDefault="00A8138F" w:rsidP="00A8138F">
      <w:pPr>
        <w:pStyle w:val="TextoNormal"/>
      </w:pPr>
      <w:r>
        <w:t>Como última precisión, para lo que al presente recurso de amparo importa, cabe destacar que, en aquellos supuestos en los que el domicilio del demandado se encontraba en el extranjero, este tribunal ha amparado a aquellos solicitantes que residiendo fuera de España su localización no entrañaba un despliegue de actividad “desmesurado y [que] excediera de lo razonable”, por constar su domicilio real en la documentación que obraba en las actuaciones o cuya localización era factible a partir de los datos que constaban en la causa (SSTC 143/1998, de 30 de junio; 268/2000, de 13 de noviembre; 214/2005; 150/2016; 151/2016; 6/2017, y 50/2017, de 8 de mayo, FJ 3).</w:t>
      </w:r>
    </w:p>
    <w:p w14:paraId="51329C2C" w14:textId="77777777" w:rsidR="00A8138F" w:rsidRDefault="00A8138F" w:rsidP="00A8138F">
      <w:pPr>
        <w:pStyle w:val="TextoNormal"/>
      </w:pPr>
    </w:p>
    <w:p w14:paraId="4B8A6715" w14:textId="77777777" w:rsidR="00A8138F" w:rsidRDefault="00A8138F" w:rsidP="00A8138F">
      <w:pPr>
        <w:pStyle w:val="TextoNormal"/>
      </w:pPr>
      <w:r w:rsidRPr="00A8138F">
        <w:rPr>
          <w:rStyle w:val="NumeroAFNegritaCaracter"/>
        </w:rPr>
        <w:t>3</w:t>
      </w:r>
      <w:r>
        <w:t xml:space="preserve">. </w:t>
      </w:r>
      <w:r w:rsidRPr="00A8138F">
        <w:rPr>
          <w:i/>
        </w:rPr>
        <w:t>Aplicación de la doctrina al caso</w:t>
      </w:r>
    </w:p>
    <w:p w14:paraId="244DC87C" w14:textId="77777777" w:rsidR="00A8138F" w:rsidRDefault="00A8138F" w:rsidP="00A8138F">
      <w:pPr>
        <w:pStyle w:val="TextoNormal"/>
      </w:pPr>
    </w:p>
    <w:p w14:paraId="1B6E75B7" w14:textId="77777777" w:rsidR="00A8138F" w:rsidRDefault="00A8138F" w:rsidP="00A8138F">
      <w:pPr>
        <w:pStyle w:val="TextoNormal"/>
      </w:pPr>
      <w:r>
        <w:t>En el presente caso, a la vista de las circunstancias concurrentes, debe rechazarse la vulneración del derecho fundamental a una tutela judicial efectiva reconocida en el art. 24.1 CE, por las razones que a continuación se exponen.</w:t>
      </w:r>
    </w:p>
    <w:p w14:paraId="50A18FD8" w14:textId="77777777" w:rsidR="00A8138F" w:rsidRDefault="00A8138F" w:rsidP="00A8138F">
      <w:pPr>
        <w:pStyle w:val="TextoNormal"/>
      </w:pPr>
    </w:p>
    <w:p w14:paraId="7AE2E31E" w14:textId="77777777" w:rsidR="00A8138F" w:rsidRDefault="00A8138F" w:rsidP="00A8138F">
      <w:pPr>
        <w:pStyle w:val="TextoNormal"/>
      </w:pPr>
      <w:r>
        <w:t xml:space="preserve">Del testimonio de las actuaciones se comprueba, en primer lugar, que el Juzgado de Primera Instancia e Instrucción núm. 6 de Ponferrada realizó dos diligencias de emplazamiento personal en el único domicilio que constaba en actuaciones. Así, en diciembre de 2019, intentó la comunicación por carta certificada en el domicilio de la ahora recurrente en amparo en la localidad de Borrenes (León) para hacer saber la admisión de la demanda, dejándose aviso en el buzón domiciliario, con resultado infructuoso por encontrarse “[a]usente reparto” y no haber sido retirada la notificación del servicio de correos. Ello llevó al órgano judicial a intentar el emplazamiento mediante exhorto al Juzgado de Paz de Puente de Domingo Flórez que, debido al confinamiento, lo realizó a principios de julio de 2020, con el mismo resultado negativo, dictándose diligencia de ordenación en la que se hacía constar la manifestación del “vecindario” de que “hace meses marchó para Singapur”, así como que “se le deja nota para que se ponga en contacto con el juzgado”. En segundo lugar, consta en las actuaciones que, acto seguido, el Juzgado de Primera Instancia e Instrucción núm. 6 de Ponferrada solicitó a la parte demandante que facilitara un nuevo domicilio donde intentar el emplazamiento y que esta, al no tener constancia de ningún otro, interesó la práctica de los actos de averiguación domiciliaria a los que se refiere el art. 156 LEC. En tercer lugar, consta en autos que por diligencia de ordenación de 31 de julio de 2020, el juzgado “habiendo resultado negativas las gestiones realizadas para conocer el domicilio o residencia actual de la parte demandada, y de conformidad con lo establecido en los artículos 156.4 y 164 LEC” acordó su emplazamiento por edictos, que se efectuó el mismo día. En cuarto lugar, el auto de 12 de noviembre de 2020, desestimatorio del incidente de nulidad de actuaciones, hace constar que “ha cumplido con el citado trámite del art. 156 LEC […] habiéndose agotado los medios de averiguación del domicilio de la demandada, resultando negativas todas las gestiones para conocer su domicilio” y que “[p]or todo ello, resulta que no se ha causado indefensión a la misma”, así como que “[a] mayores, en la comparecencia </w:t>
      </w:r>
      <w:r>
        <w:lastRenderedPageBreak/>
        <w:t>de la pareja de la demandada se vuelve a reiterar que la dirección correcta es la de Borrenes”. Por último, la sentencia de apelación señaló, respecto de la cuestión ahora controvertida, que “ya fue planteada en un previo incidente de nulidad de actuaciones resuelto por auto del juzgado de fecha 12 de noviembre de 2020, que la desestimó y con cuyos razonamientos, que recogen con detalle lo sucedido en el procedimiento para emplazar a la demandada y a los que nos remitimos, está de acuerdo quien dicta la presente”.</w:t>
      </w:r>
    </w:p>
    <w:p w14:paraId="617D3229" w14:textId="77777777" w:rsidR="00A8138F" w:rsidRDefault="00A8138F" w:rsidP="00A8138F">
      <w:pPr>
        <w:pStyle w:val="TextoNormal"/>
      </w:pPr>
    </w:p>
    <w:p w14:paraId="7DD82875" w14:textId="77777777" w:rsidR="00A8138F" w:rsidRDefault="00A8138F" w:rsidP="00A8138F">
      <w:pPr>
        <w:pStyle w:val="TextoNormal"/>
      </w:pPr>
      <w:r>
        <w:t xml:space="preserve">Entiende la recurrente en amparo, como también lo hace el Ministerio Fiscal, que del </w:t>
      </w:r>
      <w:r w:rsidRPr="00A8138F">
        <w:rPr>
          <w:i/>
        </w:rPr>
        <w:t>iter</w:t>
      </w:r>
      <w:r>
        <w:t xml:space="preserve"> procedimental descrito, tal y como aparece documentado en autos, se desprende que el Juzgado de Primera Instancia e Instrucción núm. 6 de Ponferrada no realizó, tras los dos intentos frustrados de notificación en el domicilio de la demandada y el requerimiento a la parte demandante para que aportase un domicilio alternativo en el que intentar el emplazamiento, actividad alguna dirigida a localizar a la demandada, a pesar de que así se lo imponían la doctrina constitucional relativa al derecho de acceso a la jurisdicción y el art. 156 LEC y que, incluso, tal actividad de averiguación le había sido instada expresamente por la parte demandante.</w:t>
      </w:r>
    </w:p>
    <w:p w14:paraId="3ABFD54A" w14:textId="77777777" w:rsidR="00A8138F" w:rsidRDefault="00A8138F" w:rsidP="00A8138F">
      <w:pPr>
        <w:pStyle w:val="TextoNormal"/>
      </w:pPr>
    </w:p>
    <w:p w14:paraId="62DEBB4A" w14:textId="77777777" w:rsidR="00A8138F" w:rsidRDefault="00A8138F" w:rsidP="00A8138F">
      <w:pPr>
        <w:pStyle w:val="TextoNormal"/>
      </w:pPr>
      <w:r>
        <w:t>El Tribunal considera que a este entendimiento puede haber contribuido el propio órgano judicial de instancia al no documentar en autos, como habría sido deseable, las “gestiones realizadas para conocer el domicilio o residencia actual de la parte demandada”, en cuya virtud hace constar que “ha cumplido con el citado trámite del art. 156 LEC […] habiéndose agotado los medios de averiguación del domicilio de la demandada, resultando negativas todas las gestiones para conocer su domicilio”.</w:t>
      </w:r>
    </w:p>
    <w:p w14:paraId="1A196376" w14:textId="77777777" w:rsidR="00A8138F" w:rsidRDefault="00A8138F" w:rsidP="00A8138F">
      <w:pPr>
        <w:pStyle w:val="TextoNormal"/>
      </w:pPr>
    </w:p>
    <w:p w14:paraId="54F0E493" w14:textId="27C1A897" w:rsidR="00A8138F" w:rsidRDefault="00A8138F" w:rsidP="00A8138F">
      <w:pPr>
        <w:pStyle w:val="TextoNormal"/>
      </w:pPr>
      <w:r>
        <w:t>En todo caso, en el supuesto enjuiciado hemos de concluir que el proceder del órgano judicial no redundó en una situación de indefensión material de la ahora recurrente en amparo, dado que su pareja de hecho compareció en el proceso confirmando que era correcto el domicilio que constaba en las actuaciones —cuestión que no se controvierte en la demanda— y que, pese a lo que afirma, la recurrente no acreditó a lo largo del procedimiento judicial que viviese en Singapur, ni facilitó su domicilio en ese país, ni la fecha de su traslado por motivos laborales, ni acreditó tampoco haberse inscrito en el registro consular oportuno; en definitiva, no acreditó disponer de un segundo domicilio en el extranjero que hubiese podido ser localizado por el órgano judicial.</w:t>
      </w:r>
    </w:p>
    <w:p w14:paraId="3EA12D5C" w14:textId="77777777" w:rsidR="00A8138F" w:rsidRDefault="00A8138F" w:rsidP="00A8138F">
      <w:pPr>
        <w:pStyle w:val="TextoNormal"/>
      </w:pPr>
    </w:p>
    <w:p w14:paraId="30ED8427" w14:textId="77777777" w:rsidR="00A8138F" w:rsidRDefault="00A8138F" w:rsidP="00A8138F">
      <w:pPr>
        <w:pStyle w:val="TextoNormalCentrado"/>
        <w:keepNext/>
      </w:pPr>
      <w:r>
        <w:t>FALLO</w:t>
      </w:r>
    </w:p>
    <w:p w14:paraId="25E965F2" w14:textId="05F8B2BC" w:rsidR="00A8138F" w:rsidRDefault="00A8138F" w:rsidP="00A8138F">
      <w:pPr>
        <w:pStyle w:val="TextoNormalCentrado"/>
        <w:keepNext/>
      </w:pPr>
    </w:p>
    <w:p w14:paraId="5F515ABF" w14:textId="4F132F32"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doña Isabel Álvarez Fernández.</w:t>
      </w:r>
    </w:p>
    <w:p w14:paraId="49A53B9E" w14:textId="77777777" w:rsidR="00A8138F" w:rsidRDefault="00A8138F" w:rsidP="00A8138F">
      <w:pPr>
        <w:pStyle w:val="TextoNormal"/>
      </w:pPr>
    </w:p>
    <w:p w14:paraId="203F2919" w14:textId="77777777" w:rsidR="00A8138F" w:rsidRDefault="00A8138F" w:rsidP="00A8138F">
      <w:pPr>
        <w:pStyle w:val="TextoNormal"/>
      </w:pPr>
      <w:r>
        <w:t>Publíquese esta sentencia en el “Boletín Oficial del Estado”.</w:t>
      </w:r>
    </w:p>
    <w:p w14:paraId="6DF7772F" w14:textId="77777777" w:rsidR="00A8138F" w:rsidRDefault="00A8138F" w:rsidP="00A8138F">
      <w:pPr>
        <w:pStyle w:val="TextoNormal"/>
      </w:pPr>
      <w:r>
        <w:t>Dada en Madrid, a veintiocho de abril de dos mil veinticinco.</w:t>
      </w:r>
    </w:p>
    <w:p w14:paraId="3B998107" w14:textId="0AF7B66C" w:rsidR="00A8138F" w:rsidRDefault="00A8138F">
      <w:pPr>
        <w:spacing w:after="160" w:line="278" w:lineRule="auto"/>
        <w:rPr>
          <w:rFonts w:ascii="Times New Roman" w:eastAsia="Times New Roman" w:hAnsi="Times New Roman" w:cs="Times New Roman"/>
          <w:sz w:val="24"/>
          <w:szCs w:val="24"/>
          <w:lang w:eastAsia="es-ES"/>
        </w:rPr>
      </w:pPr>
      <w:r>
        <w:br w:type="page"/>
      </w:r>
    </w:p>
    <w:p w14:paraId="04DC6971" w14:textId="77777777" w:rsidR="00A8138F" w:rsidRDefault="00A8138F" w:rsidP="00A8138F">
      <w:pPr>
        <w:pStyle w:val="TtuloResolucin"/>
      </w:pPr>
      <w:bookmarkStart w:id="102" w:name="SENTENCIA_2025_100"/>
      <w:r>
        <w:lastRenderedPageBreak/>
        <w:t>SENTENCIA 100/2025, de 28 de abril de 2025</w:t>
      </w:r>
    </w:p>
    <w:bookmarkEnd w:id="102"/>
    <w:p w14:paraId="5EF696BF" w14:textId="77777777" w:rsidR="00A8138F" w:rsidRDefault="00A8138F" w:rsidP="00A8138F">
      <w:pPr>
        <w:pStyle w:val="TtuloResolucin"/>
      </w:pPr>
      <w:r>
        <w:t>Sala Segunda</w:t>
      </w:r>
    </w:p>
    <w:p w14:paraId="244952D5" w14:textId="77777777" w:rsidR="00A8138F" w:rsidRDefault="00A8138F" w:rsidP="00A8138F">
      <w:pPr>
        <w:pStyle w:val="TtuloBOE"/>
      </w:pPr>
      <w:r>
        <w:t>(BOE núm. 135, de 5 de junio de 2025)</w:t>
      </w:r>
    </w:p>
    <w:p w14:paraId="18D293CA" w14:textId="77777777" w:rsidR="00A8138F" w:rsidRDefault="00A8138F" w:rsidP="00A8138F">
      <w:pPr>
        <w:pStyle w:val="TextoNormalCentrado"/>
      </w:pPr>
      <w:r>
        <w:t>ECLI:ES:TC:2025:100</w:t>
      </w:r>
    </w:p>
    <w:p w14:paraId="69D24A1F" w14:textId="437273D5" w:rsidR="00A8138F" w:rsidRDefault="00A8138F" w:rsidP="00A8138F">
      <w:pPr>
        <w:pStyle w:val="TextoNormalCentrado"/>
      </w:pPr>
    </w:p>
    <w:p w14:paraId="10F67F70" w14:textId="77777777" w:rsidR="00A8138F" w:rsidRDefault="00A8138F" w:rsidP="00A8138F">
      <w:pPr>
        <w:pStyle w:val="SntesisDescriptiva"/>
      </w:pPr>
      <w:r>
        <w:t>Recurso de amparo 4668-2023. Promovido por doña Ana Taboada Coma en relación con las sentencias de la Sala de lo Civil del Tribunal Supremo, la Audiencia Provincial de Oviedo y un juzgado de primera instancia de su capital, que la condenaron en procedimiento ordinario de protección del derecho al honor.</w:t>
      </w:r>
    </w:p>
    <w:p w14:paraId="1B1848C3" w14:textId="20DE7335" w:rsidR="00A8138F" w:rsidRDefault="00A8138F" w:rsidP="00A8138F">
      <w:pPr>
        <w:pStyle w:val="SntesisDescriptiva"/>
      </w:pPr>
    </w:p>
    <w:p w14:paraId="37005F86" w14:textId="77777777" w:rsidR="00A8138F" w:rsidRDefault="00A8138F" w:rsidP="00A8138F">
      <w:pPr>
        <w:pStyle w:val="SntesisAnaltica"/>
      </w:pPr>
      <w:r>
        <w:t>Supuesta vulneración del derecho a la libertad expresión: manifestaciones injustificadas y desproporcionadas, efectuadas durante la campaña electoral y referidas a quien fuera alcalde de Oviedo pero que había abandonado el primer plano de la actividad política.</w:t>
      </w:r>
    </w:p>
    <w:p w14:paraId="4AF7C169" w14:textId="79E3E620" w:rsidR="00A8138F" w:rsidRDefault="00A8138F" w:rsidP="00A8138F">
      <w:pPr>
        <w:pStyle w:val="SntesisAnaltica"/>
      </w:pPr>
    </w:p>
    <w:p w14:paraId="2B4E3106" w14:textId="418B5C98" w:rsidR="00A8138F" w:rsidRDefault="00A8138F" w:rsidP="00A8138F">
      <w:pPr>
        <w:pStyle w:val="Extracto"/>
      </w:pPr>
      <w:r>
        <w:t>1.</w:t>
      </w:r>
      <w:r>
        <w:tab/>
        <w:t>El derecho al honor constituye, no sólo un límite a las libertades de expresión y a las que garantiza el art. 20.1 a) y d) CE, expresamente citado como tal en el núm. 4 del mismo artículo; también es, en sí mismo considerado, un derecho fundamental protegido por el art. 18.1 CE que, derivado de la dignidad de la persona, confiere a su titular el derecho a no ser escarnecido o humillado ante uno mismo o ante los demás (SSTC 85/1992 o 204/2001) [FJ 4].</w:t>
      </w:r>
    </w:p>
    <w:p w14:paraId="3E6BC80D" w14:textId="77777777" w:rsidR="00A8138F" w:rsidRDefault="00A8138F" w:rsidP="00A8138F">
      <w:pPr>
        <w:pStyle w:val="Extracto"/>
      </w:pPr>
    </w:p>
    <w:p w14:paraId="709F3822" w14:textId="273976DA" w:rsidR="00A8138F" w:rsidRDefault="00A8138F" w:rsidP="00A8138F">
      <w:pPr>
        <w:pStyle w:val="Extracto"/>
      </w:pPr>
      <w:r>
        <w:t>2.</w:t>
      </w:r>
      <w:r>
        <w:tab/>
        <w:t>El derecho fundamental al honor protege frente al desmerecimiento en la consideración ajena (STC 52/2002), pues lo perseguido por el art. 18.1 CE es la indemnidad de la imagen que de una persona puedan tener los demás (STC 180/1999) [FJ 4].</w:t>
      </w:r>
    </w:p>
    <w:p w14:paraId="7916610D" w14:textId="77777777" w:rsidR="00A8138F" w:rsidRDefault="00A8138F" w:rsidP="00A8138F">
      <w:pPr>
        <w:pStyle w:val="Extracto"/>
      </w:pPr>
    </w:p>
    <w:p w14:paraId="1B554FE7" w14:textId="67241FE2" w:rsidR="00A8138F" w:rsidRDefault="00A8138F" w:rsidP="00A8138F">
      <w:pPr>
        <w:pStyle w:val="Extracto"/>
      </w:pPr>
      <w:r>
        <w:t>3.</w:t>
      </w:r>
      <w:r>
        <w:tab/>
        <w:t>Quedan fuera de la protección del art. 20.1 a) CE aquellas expresiones que en las concretas circunstancias del caso sean injuriosas, ultrajantes u oprobiosas; es decir, las expresiones ofensivas que no guardan relación con las ideas u opiniones que se expongan o que resulten innecesarias para la exposición de las mismas, toda vez que el referido precepto constitucional no reconoce un pretendido derecho al insulto (SSTC 6/2000, o 89/2018) [FJ 4].</w:t>
      </w:r>
    </w:p>
    <w:p w14:paraId="33AC490A" w14:textId="77777777" w:rsidR="00A8138F" w:rsidRDefault="00A8138F" w:rsidP="00A8138F">
      <w:pPr>
        <w:pStyle w:val="Extracto"/>
      </w:pPr>
    </w:p>
    <w:p w14:paraId="4B25E018" w14:textId="7A3571D2" w:rsidR="00A8138F" w:rsidRDefault="00A8138F" w:rsidP="00A8138F">
      <w:pPr>
        <w:pStyle w:val="Extracto"/>
      </w:pPr>
      <w:r>
        <w:t>4.</w:t>
      </w:r>
      <w:r>
        <w:tab/>
        <w:t>El ejercicio del derecho de crítica no permite emplear expresiones formalmente injuriosas o innecesarias para lo que se desea expresar, que bien pueden constituir intromisiones constitucionalmente ilegítimas en el honor o en la intimidad personal o familiar (SSTC 105/1990 o 112/2000) [FJ 4].</w:t>
      </w:r>
    </w:p>
    <w:p w14:paraId="4CC1B5C7" w14:textId="77777777" w:rsidR="00A8138F" w:rsidRDefault="00A8138F" w:rsidP="00A8138F">
      <w:pPr>
        <w:pStyle w:val="Extracto"/>
      </w:pPr>
    </w:p>
    <w:p w14:paraId="206547F1" w14:textId="6927058F" w:rsidR="00A8138F" w:rsidRDefault="00A8138F" w:rsidP="00A8138F">
      <w:pPr>
        <w:pStyle w:val="Extracto"/>
      </w:pPr>
      <w:r>
        <w:t>5.</w:t>
      </w:r>
      <w:r>
        <w:tab/>
        <w:t xml:space="preserve">El empleo de ‘frases vulgares o soeces’ queda fuera del ámbito de protección de la libertad de expresión que garantiza el art. 10 del Convenio Europeo de Derechos Humanos cuando aparezcan desvinculadas de la crítica que se trate de verter, o cuando supongan ‘una vejación gratuita’ (STEDH de 28 de septiembre de 2000, asunto </w:t>
      </w:r>
      <w:r w:rsidRPr="00A8138F">
        <w:rPr>
          <w:i/>
        </w:rPr>
        <w:t>Lopes Gomes Da Silva c. Portugal</w:t>
      </w:r>
      <w:r>
        <w:t xml:space="preserve">, § 34);  o cuando el único propósito de la declaración ofensiva sea insultar (STEDH de 27 de mayo de 2003, asunto </w:t>
      </w:r>
      <w:r w:rsidRPr="00A8138F">
        <w:rPr>
          <w:i/>
        </w:rPr>
        <w:t>Skalka c. Polonia</w:t>
      </w:r>
      <w:r>
        <w:t>, § 34) [FJ 4].</w:t>
      </w:r>
    </w:p>
    <w:p w14:paraId="272F070A" w14:textId="77777777" w:rsidR="00A8138F" w:rsidRDefault="00A8138F" w:rsidP="00A8138F">
      <w:pPr>
        <w:pStyle w:val="Extracto"/>
      </w:pPr>
    </w:p>
    <w:p w14:paraId="41C5F41E" w14:textId="6A371D8C" w:rsidR="00A8138F" w:rsidRDefault="00A8138F" w:rsidP="00A8138F">
      <w:pPr>
        <w:pStyle w:val="Extracto"/>
      </w:pPr>
      <w:r>
        <w:t>6.</w:t>
      </w:r>
      <w:r>
        <w:tab/>
        <w:t xml:space="preserve">Quienes participan voluntariamente en el debate político público quedan expuestos al escrutinio minucioso de sus acciones y manifestaciones, tanto por parte de </w:t>
      </w:r>
      <w:r>
        <w:lastRenderedPageBreak/>
        <w:t>los periodistas como del público en general, por lo que deben mostrar un mayor grado de tolerancia, especialmente, cuando hacen declaraciones públicas que son susceptibles de crítica. Tienen derecho a que se proteja su reputación, aun cuando no actúen en condición de particular, pero los requisitos de esta protección deben sopesarse frente a los intereses de la discusión abierta de cuestiones políticas (STEDH de 28 de septiembre de 2020, asunto Lopes Gomes Da Silva c. Portugal, § 30) [FJ 4].</w:t>
      </w:r>
    </w:p>
    <w:p w14:paraId="36EB72EE" w14:textId="77777777" w:rsidR="00A8138F" w:rsidRDefault="00A8138F" w:rsidP="00A8138F">
      <w:pPr>
        <w:pStyle w:val="Extracto"/>
      </w:pPr>
    </w:p>
    <w:p w14:paraId="2DE9C212" w14:textId="33EA3AF6" w:rsidR="00A8138F" w:rsidRDefault="00A8138F" w:rsidP="00A8138F">
      <w:pPr>
        <w:pStyle w:val="Extracto"/>
      </w:pPr>
      <w:r>
        <w:t>7.</w:t>
      </w:r>
      <w:r>
        <w:tab/>
        <w:t>La transformación derivada de las nuevas formas de comunicación y la generalización de su uso no produce un vaciamiento de la protección constitucional de los derechos fundamentales. Y tampoco altera los criterios asentados por nuestra doctrina para apreciar si ha existido vulneración del derecho al honor, ni modifica el contenido y alcance de los derechos fundamentales que deben ser ponderados cuando se invoca una vulneración, que resulta de la colisión entre la libertad de expresión y el derecho al honor. Si la conducta es lesiva del derecho al honor fuera de una red social, también lo es en ella (STC 93/2021) [FJ 4].</w:t>
      </w:r>
    </w:p>
    <w:p w14:paraId="50EE401C" w14:textId="77777777" w:rsidR="00A8138F" w:rsidRDefault="00A8138F" w:rsidP="00A8138F">
      <w:pPr>
        <w:pStyle w:val="Extracto"/>
      </w:pPr>
    </w:p>
    <w:p w14:paraId="28C6FBB8" w14:textId="4506619D" w:rsidR="00A8138F" w:rsidRDefault="00A8138F" w:rsidP="00A8138F">
      <w:pPr>
        <w:pStyle w:val="Extracto"/>
      </w:pPr>
      <w:r>
        <w:t>8.</w:t>
      </w:r>
      <w:r>
        <w:tab/>
        <w:t xml:space="preserve">Si bien no resulta aplicable a la libertad de expresión el canon de veracidad propio de la libertad de información, incluso desde el canon propio de la libertad de expresión, cuando una declaración equivale a un juicio de valor debe basarse en una base factual suficiente, tal como indica la STEDH de 22 de octubre de 2007, caso </w:t>
      </w:r>
      <w:r w:rsidRPr="00A8138F">
        <w:rPr>
          <w:i/>
        </w:rPr>
        <w:t>Lindon y otros contra Francia</w:t>
      </w:r>
      <w:r>
        <w:t>. Veracidad no debe justificarse con exactitud de la noticia, pero tampoco es aceptable una falta absoluta de sustentabilidad de los hechos (STC 79/2014) [FJ 5].</w:t>
      </w:r>
    </w:p>
    <w:p w14:paraId="23899475" w14:textId="77777777" w:rsidR="00A8138F" w:rsidRDefault="00A8138F" w:rsidP="00A8138F">
      <w:pPr>
        <w:pStyle w:val="Extracto"/>
      </w:pPr>
    </w:p>
    <w:p w14:paraId="570DF3CB" w14:textId="5CE98055" w:rsidR="00A8138F" w:rsidRDefault="00A8138F" w:rsidP="00A8138F">
      <w:pPr>
        <w:pStyle w:val="Extracto"/>
      </w:pPr>
      <w:r>
        <w:t>9.</w:t>
      </w:r>
      <w:r>
        <w:tab/>
        <w:t>Aun cuando los personajes públicos tengan la obligación de soportar un nivel más intenso de la crítica y del escrutinio público, ello no puede comportar que cualquier imputación que afecte a su reputación pueda ser amparada por la libertad de expresión [FJ 5].</w:t>
      </w:r>
    </w:p>
    <w:p w14:paraId="15FDA8FC" w14:textId="77777777" w:rsidR="00A8138F" w:rsidRDefault="00A8138F" w:rsidP="00A8138F">
      <w:pPr>
        <w:pStyle w:val="Extracto"/>
      </w:pPr>
    </w:p>
    <w:p w14:paraId="5D4EC30E" w14:textId="77777777" w:rsidR="00A8138F" w:rsidRDefault="00A8138F" w:rsidP="00A8138F">
      <w:pPr>
        <w:pStyle w:val="Extracto"/>
      </w:pPr>
    </w:p>
    <w:p w14:paraId="7E246C40"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EA00C08" w14:textId="16560C59" w:rsidR="00A8138F" w:rsidRDefault="00A8138F" w:rsidP="00A8138F">
      <w:pPr>
        <w:pStyle w:val="TextoNormal"/>
      </w:pPr>
    </w:p>
    <w:p w14:paraId="419F969D" w14:textId="77777777" w:rsidR="00A8138F" w:rsidRDefault="00A8138F" w:rsidP="00A8138F">
      <w:pPr>
        <w:pStyle w:val="TextoNormalCentrado"/>
        <w:keepNext/>
      </w:pPr>
      <w:r>
        <w:t>EN NOMBRE DEL REY</w:t>
      </w:r>
    </w:p>
    <w:p w14:paraId="046A0F6E" w14:textId="73DEB3AB" w:rsidR="00A8138F" w:rsidRDefault="00A8138F" w:rsidP="00A8138F">
      <w:pPr>
        <w:pStyle w:val="TextoNormalCentrado"/>
        <w:keepNext/>
      </w:pPr>
    </w:p>
    <w:p w14:paraId="214DF66D" w14:textId="77777777" w:rsidR="00A8138F" w:rsidRDefault="00A8138F" w:rsidP="00A8138F">
      <w:pPr>
        <w:pStyle w:val="TextoNormalCentrado"/>
        <w:keepNext/>
      </w:pPr>
    </w:p>
    <w:p w14:paraId="688FDAB5" w14:textId="77777777" w:rsidR="00A8138F" w:rsidRDefault="00A8138F" w:rsidP="00A8138F">
      <w:pPr>
        <w:pStyle w:val="TextoNormal"/>
      </w:pPr>
      <w:r>
        <w:t>la siguiente</w:t>
      </w:r>
    </w:p>
    <w:p w14:paraId="27696CE9" w14:textId="1283E25E" w:rsidR="00A8138F" w:rsidRDefault="00A8138F" w:rsidP="00A8138F">
      <w:pPr>
        <w:pStyle w:val="TextoNormal"/>
      </w:pPr>
    </w:p>
    <w:p w14:paraId="5CE590E5" w14:textId="77777777" w:rsidR="00A8138F" w:rsidRDefault="00A8138F" w:rsidP="00A8138F">
      <w:pPr>
        <w:pStyle w:val="TextoNormalCentrado"/>
        <w:keepNext/>
      </w:pPr>
      <w:r>
        <w:t>SENTENCIA</w:t>
      </w:r>
    </w:p>
    <w:p w14:paraId="11A42728" w14:textId="617EEA0B" w:rsidR="00A8138F" w:rsidRDefault="00A8138F" w:rsidP="00A8138F">
      <w:pPr>
        <w:pStyle w:val="TextoNormalCentrado"/>
        <w:keepNext/>
      </w:pPr>
    </w:p>
    <w:p w14:paraId="07B4D630" w14:textId="77777777" w:rsidR="00A8138F" w:rsidRDefault="00A8138F" w:rsidP="00A8138F">
      <w:pPr>
        <w:pStyle w:val="TextoNormal"/>
      </w:pPr>
      <w:r>
        <w:t xml:space="preserve">En el recurso de amparo núm. 4668-2023, interpuesto por la procuradora de los tribunales doña María Isabel Afonso Rodríguez en nombre y representación de doña Ana Taboada Coma, bajo la dirección técnica del letrado don Jaime Montero Román, contra la sentencia dictada por la Sala de lo Civil del Tribunal Supremo el 22 de mayo de 2023 en el recurso </w:t>
      </w:r>
      <w:r>
        <w:lastRenderedPageBreak/>
        <w:t>de casación núm. 7533-2021; contra la sentencia dictada por la Sección Sexta de la Audiencia Provincial de Oviedo el 23 de julio de 2021 en el recurso de apelación núm. 273-2021; y contra la sentencia dictada por el Juzgado de Primera Instancia núm. 5 de Oviedo el 5 de marzo de 2021 en el procedimiento ordinario de protección del derecho al honor núm. 135-2020. Se ha personado y ha formulado alegaciones don Agustín Iglesias Caunedo, representado por la procuradora doña Lucía Agulla Lanza y bajo la dirección letrada de don Pelayo Fernández-Mijares Sánchez. Ha intervenido el Ministerio Fiscal. Ha sido ponente el magistrado don Enrique Arnaldo Alcubilla.</w:t>
      </w:r>
    </w:p>
    <w:p w14:paraId="38FF4152" w14:textId="3F10EF30" w:rsidR="00A8138F" w:rsidRDefault="00A8138F" w:rsidP="00A8138F">
      <w:pPr>
        <w:pStyle w:val="TextoNormal"/>
      </w:pPr>
    </w:p>
    <w:p w14:paraId="033B3C73" w14:textId="77777777" w:rsidR="00A8138F" w:rsidRDefault="00A8138F" w:rsidP="00A8138F">
      <w:pPr>
        <w:pStyle w:val="TextoNormalNegritaCentrado"/>
        <w:keepNext/>
      </w:pPr>
      <w:r>
        <w:t>I. Antecedentes</w:t>
      </w:r>
    </w:p>
    <w:p w14:paraId="78F17BCF" w14:textId="6327A6EA" w:rsidR="00A8138F" w:rsidRDefault="00A8138F" w:rsidP="00A8138F">
      <w:pPr>
        <w:pStyle w:val="TextoNormalNegritaCentrado"/>
        <w:keepNext/>
      </w:pPr>
    </w:p>
    <w:p w14:paraId="38C7E0F1" w14:textId="063784FF" w:rsidR="00A8138F" w:rsidRDefault="00A8138F" w:rsidP="00A8138F">
      <w:pPr>
        <w:pStyle w:val="TextoNormal"/>
      </w:pPr>
      <w:r w:rsidRPr="00A8138F">
        <w:rPr>
          <w:rStyle w:val="NumeroAFNegritaCaracter"/>
        </w:rPr>
        <w:t>1</w:t>
      </w:r>
      <w:r>
        <w:t>. Doña Ana Taboada Coma, representada por la procuradora de los tribunales doña María Isabel Afonso Rodríguez, ha interpuesto recurso de amparo contra las resoluciones indicadas en el encabezamiento de esta sentencia mediante escrito presentado en el registro de este tribunal el día 5 de julio de 2023.</w:t>
      </w:r>
    </w:p>
    <w:p w14:paraId="635FC6D6" w14:textId="77777777" w:rsidR="00A8138F" w:rsidRDefault="00A8138F" w:rsidP="00A8138F">
      <w:pPr>
        <w:pStyle w:val="TextoNormal"/>
      </w:pPr>
    </w:p>
    <w:p w14:paraId="38E90519" w14:textId="77777777" w:rsidR="00A8138F" w:rsidRDefault="00A8138F" w:rsidP="00A8138F">
      <w:pPr>
        <w:pStyle w:val="TextoNormal"/>
      </w:pPr>
      <w:r w:rsidRPr="00A8138F">
        <w:rPr>
          <w:rStyle w:val="NumeroAFNegritaCaracter"/>
        </w:rPr>
        <w:t>2</w:t>
      </w:r>
      <w:r>
        <w:t>. Los hechos de los que trae causa la demanda de amparo son, en síntesis, los siguientes:</w:t>
      </w:r>
    </w:p>
    <w:p w14:paraId="56BB7372" w14:textId="77777777" w:rsidR="00A8138F" w:rsidRDefault="00A8138F" w:rsidP="00A8138F">
      <w:pPr>
        <w:pStyle w:val="TextoNormal"/>
      </w:pPr>
    </w:p>
    <w:p w14:paraId="7F81FB38" w14:textId="77777777" w:rsidR="00A8138F" w:rsidRDefault="00A8138F" w:rsidP="00A8138F">
      <w:pPr>
        <w:pStyle w:val="TextoNormal"/>
      </w:pPr>
      <w:r>
        <w:t>a) Convocadas elecciones municipales para el 26 de mayo de 2019, en el programa “Elecciones 26 M” de la Radio Televisión del Principado de Asturias del día 24 de mayo se emitió un debate en el que doña Ana Taboada Coma, entonces teniente de alcalde y portavoz de la agrupación electoral Somos Oviedo, manifestó lo siguiente: “Hace cuatro años conocimos que el antiguo alcalde de Oviedo se gastaba el dinero público para recorrer prostíbulos; ahora, ahora mismo, en Educación es el ayuntamiento que mayor excelencia tiene de gastos de España”. Además, al menos desde el 24 de mayo de 2019 hasta el 13 de febrero de 2020, en las cuentas de la red social Twitter @oviedotaboada y @somosuvieu se publicó el siguiente mensaje: “Hace cuatro años Oviedo era referencia en España porque tenía un alcalde que se gastaba el dinero público recorriendo prostíbulos […] ahora somos un referente en educación. Esa es la diferencia”.</w:t>
      </w:r>
    </w:p>
    <w:p w14:paraId="7736125D" w14:textId="77777777" w:rsidR="00A8138F" w:rsidRDefault="00A8138F" w:rsidP="00A8138F">
      <w:pPr>
        <w:pStyle w:val="TextoNormal"/>
      </w:pPr>
    </w:p>
    <w:p w14:paraId="5A0FFC9A" w14:textId="77777777" w:rsidR="00A8138F" w:rsidRDefault="00A8138F" w:rsidP="00A8138F">
      <w:pPr>
        <w:pStyle w:val="TextoNormal"/>
      </w:pPr>
      <w:r>
        <w:t>b) Don Agustín Iglesias Caunedo, que fue alcalde de Oviedo por el Partido Popular entre 2012 y 2015 y, hasta junio de 2019, concejal y portavoz de dicho partido en el Ayuntamiento de Oviedo, presentó el 17 de enero de 2020 una demanda de protección del derecho al honor frente a doña Ana Taboada Coma y a la agrupación electoral Somos Oviedo, tras un intento infructuoso de conciliación previa. Suplicó que se reconociera la vulneración de su derecho fundamental al honor y que se condenara a los demandados a cesar en su conducta y a eliminar los tuits; a publicar y difundir la sentencia en los mismos medios y redes sociales; y a indemnizarle con 15 000 €, o con la cantidad que el juzgado estimara oportuna.</w:t>
      </w:r>
    </w:p>
    <w:p w14:paraId="573220D5" w14:textId="77777777" w:rsidR="00A8138F" w:rsidRDefault="00A8138F" w:rsidP="00A8138F">
      <w:pPr>
        <w:pStyle w:val="TextoNormal"/>
      </w:pPr>
    </w:p>
    <w:p w14:paraId="5604CC6C" w14:textId="77777777" w:rsidR="00A8138F" w:rsidRDefault="00A8138F" w:rsidP="00A8138F">
      <w:pPr>
        <w:pStyle w:val="TextoNormal"/>
      </w:pPr>
      <w:r>
        <w:t>Fundó su pretensión en que los mensajes publicados y las afirmaciones realizadas por los demandados habían tenido por única finalidad lesionar su honor y carecían de los requisitos exigidos por la doctrina constitucional para poder entenderse amparadas por la libertad de expresión, ya que no trataban temas de interés general ni con trascendencia política; imputaban al actor hechos socialmente reprobables, incluso constitutivos de delito; y ofrecían una información falsa y no contrastada.</w:t>
      </w:r>
    </w:p>
    <w:p w14:paraId="0CE794DA" w14:textId="77777777" w:rsidR="00A8138F" w:rsidRDefault="00A8138F" w:rsidP="00A8138F">
      <w:pPr>
        <w:pStyle w:val="TextoNormal"/>
      </w:pPr>
    </w:p>
    <w:p w14:paraId="44CED2BB" w14:textId="77777777" w:rsidR="00A8138F" w:rsidRDefault="00A8138F" w:rsidP="00A8138F">
      <w:pPr>
        <w:pStyle w:val="TextoNormal"/>
      </w:pPr>
      <w:r>
        <w:lastRenderedPageBreak/>
        <w:t>c) Los demandados se opusieron a la demanda. En particular, doña Ana Taboada Coma alegó que las expresiones controvertidas se hallaban amparadas por el derecho a la libertad de expresión y a la libertad de información, destacando que, en concreto, la libertad de expresión —en su posible conflicto con el derecho al honor— debía ser priorizada con arreglo a la doctrina constitucional como garante de la formación de una opinión pública libre en una sociedad democrática, especialmente en el contexto de un debate político celebrado días antes de unas elecciones.</w:t>
      </w:r>
    </w:p>
    <w:p w14:paraId="6DF234F7" w14:textId="77777777" w:rsidR="00A8138F" w:rsidRDefault="00A8138F" w:rsidP="00A8138F">
      <w:pPr>
        <w:pStyle w:val="TextoNormal"/>
      </w:pPr>
    </w:p>
    <w:p w14:paraId="7AD5F123" w14:textId="77777777" w:rsidR="00A8138F" w:rsidRDefault="00A8138F" w:rsidP="00A8138F">
      <w:pPr>
        <w:pStyle w:val="TextoNormal"/>
      </w:pPr>
      <w:r>
        <w:t>Argumentó que, en ese contexto, sus manifestaciones no se habían realizado con el ánimo de vulnerar el derecho al honor del Sr. Iglesias Caunedo, y que, además, se habían sustentado en información veraz o con apariencia de veracidad, al hacerse eco de una realidad que había existido cuatro años atrás cuando la ciudad de Oviedo había saltado a los medios de comunicación, incluso de tirada nacional, por unas actividades que se estaban investigando en un juzgado de instrucción y que evidenciaban la presunta participación del entonces alcalde de Oviedo en hechos que pudieran ser delictivos, destacando dichas noticias la existencia de prebendas, pagos de viajes y otros gastos, incluidos los contabilizados por el conseguidor de la trama como “putas y varios” o “putiferios” durante varios de dichos viajes.</w:t>
      </w:r>
    </w:p>
    <w:p w14:paraId="57ACE1FB" w14:textId="77777777" w:rsidR="00A8138F" w:rsidRDefault="00A8138F" w:rsidP="00A8138F">
      <w:pPr>
        <w:pStyle w:val="TextoNormal"/>
      </w:pPr>
    </w:p>
    <w:p w14:paraId="5360CED9" w14:textId="77777777" w:rsidR="00A8138F" w:rsidRDefault="00A8138F" w:rsidP="00A8138F">
      <w:pPr>
        <w:pStyle w:val="TextoNormal"/>
      </w:pPr>
      <w:r>
        <w:t>Ambos demandados acompañaron a sus contestaciones a la demanda un bloque documental con titulares y extractos de noticias publicadas entre 2015 y 2016 en diversos medios de comunicación, tanto de ámbito nacional como local, acerca de esos supuestos gastos. La información difundida procedía de un informe policial, que había sido aludido en los medios de comunicación.</w:t>
      </w:r>
    </w:p>
    <w:p w14:paraId="578DDD94" w14:textId="77777777" w:rsidR="00A8138F" w:rsidRDefault="00A8138F" w:rsidP="00A8138F">
      <w:pPr>
        <w:pStyle w:val="TextoNormal"/>
      </w:pPr>
    </w:p>
    <w:p w14:paraId="5FF34222" w14:textId="77777777" w:rsidR="00A8138F" w:rsidRDefault="00A8138F" w:rsidP="00A8138F">
      <w:pPr>
        <w:pStyle w:val="TextoNormal"/>
      </w:pPr>
      <w:r>
        <w:t>d) La demanda fue parcialmente estimada por sentencia del Juzgado de Primera Instancia núm. 5 de Oviedo de 5 de marzo de 2021, que declaró vulnerado el derecho al honor del actor y condenó a los demandados a eliminar el tuit, a publicar y difundir el fallo de la sentencia, y a abonar a aquel la suma de 3000 €.</w:t>
      </w:r>
    </w:p>
    <w:p w14:paraId="4A6E153C" w14:textId="77777777" w:rsidR="00A8138F" w:rsidRDefault="00A8138F" w:rsidP="00A8138F">
      <w:pPr>
        <w:pStyle w:val="TextoNormal"/>
      </w:pPr>
    </w:p>
    <w:p w14:paraId="5FAC3125" w14:textId="77777777" w:rsidR="00A8138F" w:rsidRDefault="00A8138F" w:rsidP="00A8138F">
      <w:pPr>
        <w:pStyle w:val="TextoNormal"/>
      </w:pPr>
      <w:r>
        <w:t>La sentencia situó el debate en la existencia de un conflicto entre la libertad de expresión de los demandados y el derecho al honor del actor, invocando doctrina constitucional y jurisprudencia del Tribunal Supremo sobre los criterios a tener en cuenta en el necesario juicio de ponderación, y destacando la preeminencia que, en abstracto, tiene la libertad de expresión, siempre que concurran los requisitos de interés general o relevancia pública y de proporcionalidad. Indicó que, cuando se atribuye la imputación de hechos antijurídicos, la exposición de hechos y de valoraciones jurídicas aparecen indisolublemente unidas, por lo que ni siquiera la exposición de una opinión crítica y legítima justificaría la atribución al criticado de hechos no veraces que, objetivamente considerados, ofendieran gravemente su honor. También resaltó el mayor grado de tolerancia frente a la crítica que deben soportar quienes se dedican a la gestión de los asuntos públicos, especialmente cuando la crítica se realiza por un político a otro en un contexto de contienda política. Tras dichas consideraciones generales, y destacando la indudable condición pública del actor, la sentencia concluyó lo siguiente:</w:t>
      </w:r>
    </w:p>
    <w:p w14:paraId="7A65B757" w14:textId="77777777" w:rsidR="00A8138F" w:rsidRDefault="00A8138F" w:rsidP="00A8138F">
      <w:pPr>
        <w:pStyle w:val="TextoNormal"/>
      </w:pPr>
    </w:p>
    <w:p w14:paraId="33D53114" w14:textId="77777777" w:rsidR="00A8138F" w:rsidRDefault="00A8138F" w:rsidP="00A8138F">
      <w:pPr>
        <w:pStyle w:val="TextoNormal"/>
      </w:pPr>
      <w:r>
        <w:t xml:space="preserve">“Considerando el resultado de la prueba practicada y, de aplicar la doctrina jurisprudencial anteriormente expuesta al supuesto analizado se desprende la efectiva vulneración del derecho al honor del actor al considerar que las expresiones y manifestaciones vertidas tuvieron fundamentalmente una intención crítica y no una finalidad informativa o de simple </w:t>
      </w:r>
      <w:r>
        <w:lastRenderedPageBreak/>
        <w:t>comunicación pública de datos objetivos susceptibles de contraste y ello se aprecia así por más que los demandados insistan en que apoyaron su opinión en informaciones periodísticas sobre una investigación que se encontraba en curso cuando aquellas noticias fueron publicadas. Además, no puede dejar de señalarse a estos efectos que tales informaciones databan de varios años antes y que el ahora actor, por más que aún ocupara el cargo de portavoz del partido al que pertenecía, sin embargo, ni formaba parte del debate en que se hicieron las manifestaciones, ni se presentaba como candidato en aquel proceso electoral. De este modo y recordando que en el caso examinado la colisión o choque tiene lugar entre el derecho al honor y la libertad de expresión y no con respecto al derecho a la información, cabe concluir razonablemente que se trata, en definitiva, de expresiones que atribuyen conductas de carácter socialmente censurable a una persona, perfectamente identificable, que no encuentran justificación cuando son traídas al debate público con un claro ánimo de descrédito”.</w:t>
      </w:r>
    </w:p>
    <w:p w14:paraId="716B0209" w14:textId="77777777" w:rsidR="00A8138F" w:rsidRDefault="00A8138F" w:rsidP="00A8138F">
      <w:pPr>
        <w:pStyle w:val="TextoNormal"/>
      </w:pPr>
    </w:p>
    <w:p w14:paraId="1CE17115" w14:textId="77777777" w:rsidR="00A8138F" w:rsidRDefault="00A8138F" w:rsidP="00A8138F">
      <w:pPr>
        <w:pStyle w:val="TextoNormal"/>
      </w:pPr>
      <w:r>
        <w:t>e) Los demandados recurrieron la sentencia en apelación, oponiéndose a los recursos tanto el actor como el Ministerio Fiscal.</w:t>
      </w:r>
    </w:p>
    <w:p w14:paraId="382977F4" w14:textId="77777777" w:rsidR="00A8138F" w:rsidRDefault="00A8138F" w:rsidP="00A8138F">
      <w:pPr>
        <w:pStyle w:val="TextoNormal"/>
      </w:pPr>
    </w:p>
    <w:p w14:paraId="573B9086" w14:textId="77777777" w:rsidR="00A8138F" w:rsidRDefault="00A8138F" w:rsidP="00A8138F">
      <w:pPr>
        <w:pStyle w:val="TextoNormal"/>
      </w:pPr>
      <w:r>
        <w:t>La Sección Sexta de la Audiencia Provincial de Oviedo desestimó los recursos por sentencia de 23 de julio de 2021. Asumió que el conflicto se planteaba entre el derecho al honor del demandante y la libertad de expresión de los demandados, y, tras invocar doctrina jurisprudencial, también dio prevalencia al primero. Apreció que concurría el requisito de la relevancia pública puesto que el actor había sido años antes alcalde de Oviedo, si bien mitigado porque en este caso ya no se presentaba como candidato a la alcaldía ni había intervenido en el debate radiofónico en el que se hicieron las manifestaciones. Pero consideró que el interés público se presentaba absolutamente distorsionado y que los demandados habían dado un paso más en su derecho a la crítica, “pues las noticias publicadas, más de cuatro años antes en los medios de comunicación, en que pretenden justificar la grave imputación que hacen al actor, de gastar dinero público en prostíbulos, no recogían esa directa imputación del actor, de modo que aunque en el proceso penal a que se refieren esas noticias aparecía el mismo junto con otros, como investigado, no lo era por la actividad relacionada con tales afirmaciones […], lo que justifica que en su momento el mismo no hubiera demandado a los medios que se hicieron eco de esta noticia”. Aun reconociendo la Sala la prevalencia en abstracto de la libertad de expresión y que la crítica en relación con la gestión de los asuntos públicos es legítima y necesaria, razonó que en este caso dicha crítica conllevaba la imputación al actor de una “actividad ilícita que no reúne el requisito de veracidad ni estaba contrastada, y que objetivamente considerada, al margen del proceso de contienda política en que se efectuó, afecta negativamente a su honor, desacreditándolo públicamente tanto por el cargo que había desempeñado como personalmente”. Por ello, no podía “venir amparada en el derecho a la libertad de expresión, aun cuando se hubiera llevado a cabo en un contexto de contienda política en el marco de un proceso electoral, pues parece evidente que para criticar la gestión de un partido adversario no puede ser admisible todo y más concretamente la realización de imputaciones que, como es el caso, es claro que objetivamente suponen una intromisión ilegítima en el honor de una persona que ni siquiera participaba en tal proceso electoral, y por ello eran del todo innecesarias para exponer las ideas y opiniones que pudieran tener los demandados sobre la gestión de sus adversarios políticos”.</w:t>
      </w:r>
    </w:p>
    <w:p w14:paraId="44D643F7" w14:textId="77777777" w:rsidR="00A8138F" w:rsidRDefault="00A8138F" w:rsidP="00A8138F">
      <w:pPr>
        <w:pStyle w:val="TextoNormal"/>
      </w:pPr>
    </w:p>
    <w:p w14:paraId="568C6878" w14:textId="77777777" w:rsidR="00A8138F" w:rsidRDefault="00A8138F" w:rsidP="00A8138F">
      <w:pPr>
        <w:pStyle w:val="TextoNormal"/>
      </w:pPr>
      <w:r>
        <w:t xml:space="preserve">Para la Audiencia Provincial tampoco concurría el requisito de proporcionalidad puesto que, si bien en procesos de contienda de naturaleza política la jurisprudencia admitía que </w:t>
      </w:r>
      <w:r>
        <w:lastRenderedPageBreak/>
        <w:t>ciertas expresiones atentatorias al honor, proferidas en un contexto de acaloramiento verbal y abierto enfrentamiento, no fueran apreciadas como intromisiones ilegítimas al honor, “en el presente caso, la grave imputación se hizo reflexivamente y por escrito que se destina a su publicación, en un caso manteniéndose en el tiempo en la red social de ambos demandados y, en términos prácticamente literales, se reiteran en debate que la codemandada mantuvo con motivo de la contienda electoral, en el que no participaba el actor, ni tampoco era candidato, lo que permite inferir su reflexión y asunción consciente de su gravedad, circunstancias ambas que acaban proporcionando a la imputación un matiz claramente desproporcionado (STS núm. 511/2012, de 24 de julio), al tener como clara finalidad la crítica política con claro ánimo de descrédito, no una finalidad informativa o de simple comunicación pública de datos objetivos susceptibles de contraste”.</w:t>
      </w:r>
    </w:p>
    <w:p w14:paraId="3CE92906" w14:textId="77777777" w:rsidR="00A8138F" w:rsidRDefault="00A8138F" w:rsidP="00A8138F">
      <w:pPr>
        <w:pStyle w:val="TextoNormal"/>
      </w:pPr>
    </w:p>
    <w:p w14:paraId="5F336688" w14:textId="77777777" w:rsidR="00A8138F" w:rsidRDefault="00A8138F" w:rsidP="00A8138F">
      <w:pPr>
        <w:pStyle w:val="TextoNormal"/>
      </w:pPr>
      <w:r>
        <w:t>f) Los demandados interpusieron recurso de casación, alegando como motivo único la vulneración del derecho a la libertad de expresión, con infracción del art. 20.1 a) CE y de la jurisprudencia del Tribunal Supremo, del Tribunal Constitucional y del Tribunal Europeo de Derechos Humanos. En particular, la Sra. Taboada Coma argumentó que era incuestionable el carácter público tanto de ella como del actor, así como el interés general y la relevancia pública de la opinión que había expresado, que, se compartiera o no, no podía hurtarse al debate político puesto que estaba basada en información de aparente veracidad, abundantemente difundida en medios de comunicación de prestigio con carácter previo a sus manifestaciones, y que la ciudadanía tenía derecho a recordar y valorar para formar su opinión, pues, a su juicio y en ejercicio de su libertad de expresión, sus manifestaciones reflejaban la diferencia en la forma de hacer política, no habiendo sido su intención desacreditar personalmente al Sr. Iglesias Caunedo.</w:t>
      </w:r>
    </w:p>
    <w:p w14:paraId="33AD23DE" w14:textId="77777777" w:rsidR="00A8138F" w:rsidRDefault="00A8138F" w:rsidP="00A8138F">
      <w:pPr>
        <w:pStyle w:val="TextoNormal"/>
      </w:pPr>
    </w:p>
    <w:p w14:paraId="6F91A5F9" w14:textId="77777777" w:rsidR="00A8138F" w:rsidRDefault="00A8138F" w:rsidP="00A8138F">
      <w:pPr>
        <w:pStyle w:val="TextoNormal"/>
      </w:pPr>
      <w:r>
        <w:t>El actor y el Ministerio Fiscal solicitaron la confirmación de la sentencia recurrida por entender que había hecho un juicio correcto de valoración de los derechos enfrentados. En particular, el fiscal consideró que las expresiones controvertidas carecían de base fáctica suficiente y que debía prevalecer en este caso el derecho al honor ante la gravedad de los hechos imputados, objetivamente desmerecedores del público aprecio del actor.</w:t>
      </w:r>
    </w:p>
    <w:p w14:paraId="2C008A2E" w14:textId="77777777" w:rsidR="00A8138F" w:rsidRDefault="00A8138F" w:rsidP="00A8138F">
      <w:pPr>
        <w:pStyle w:val="TextoNormal"/>
      </w:pPr>
    </w:p>
    <w:p w14:paraId="4F5EB8E3" w14:textId="77777777" w:rsidR="00A8138F" w:rsidRDefault="00A8138F" w:rsidP="00A8138F">
      <w:pPr>
        <w:pStyle w:val="TextoNormal"/>
      </w:pPr>
      <w:r>
        <w:t>El Tribunal Supremo desestimó los recursos en sentencia de 22 de mayo de 2023, utilizando una argumentación conjunta para ambos. Comenzó recordando su jurisprudencia más reciente sobre la prevalencia general del derecho a la libertad de expresión e información pero sin ser un derecho absoluto, existiendo casos en los que, en atención a las concretas circunstancias concurrentes, el núcleo tuitivo del derecho al honor debe prevalecer [STS de 3 de mayo, núm. 648/2023 (ECLI:ES:TS:2023:1749), con cita de la STS de 20 de mayo, núm. 352/2021 (ECLI:ES:TS:2021:2099)]; y sobre los requisitos que deben concurrir para que no se revierta en el caso concreto la preeminencia de la que goza en abstracto la libertad de expresión: interés general o relevancia pública de lo expresado, sea por la materia, por razón de las personas o por las dos cosas; y necesaria proporcionalidad en su difusión. Además, señaló que la libertad de expresión no ampara la descalificación de una persona atribuyéndole hechos o conductas socialmente reprochables que puedan desacreditarla, lo que implica una exigencia de veracidad respecto de los hechos cuando puedan desacreditar a la persona criticada [STS de 18 de febrero, núm. 102/2019 (ECLI:ES:TS:2019:590, entre otras)]. Sentado lo anterior, rechazó las alegaciones de los recurrentes con la siguiente motivación:</w:t>
      </w:r>
    </w:p>
    <w:p w14:paraId="7AE1769F" w14:textId="77777777" w:rsidR="00A8138F" w:rsidRDefault="00A8138F" w:rsidP="00A8138F">
      <w:pPr>
        <w:pStyle w:val="TextoNormal"/>
      </w:pPr>
    </w:p>
    <w:p w14:paraId="3697663B" w14:textId="77777777" w:rsidR="00A8138F" w:rsidRDefault="00A8138F" w:rsidP="00A8138F">
      <w:pPr>
        <w:pStyle w:val="TextoNormal"/>
      </w:pPr>
      <w:r>
        <w:lastRenderedPageBreak/>
        <w:t>“Es cierto, que las informaciones difundidas decían que el recurrente estaba siendo investigado por su posible implicación en una presunta trama de corrupción en la adjudicación de contratos relacionados con el abastecimiento de aguas y el pago por una empresa concesionaria de gastos ocasionados en viajes en los que aquel había participado entre los que al parecer se incluían 450 euros en ‘putas y varios’ y 600 dólares en ‘putiferios’. Pero no lo es que dichas informaciones dijeran, ni directa ni indirectamente, que el recurrido se gastaba el dinero público recorriendo prostíbulos. Ni tampoco que aquel estuviera siendo investigado por gastarse el dinero público en tal cosa. Es más, en relación con uno de los tres viajes investigados, incluso se informó por algún medio de que el gasto de 450 € en ‘putas y varios’ se había producido después de que el recurrido hubiera abandonado el país visitado.</w:t>
      </w:r>
    </w:p>
    <w:p w14:paraId="66633DFF" w14:textId="77777777" w:rsidR="00A8138F" w:rsidRDefault="00A8138F" w:rsidP="00A8138F">
      <w:pPr>
        <w:pStyle w:val="TextoNormal"/>
      </w:pPr>
    </w:p>
    <w:p w14:paraId="2D17130A" w14:textId="77777777" w:rsidR="00A8138F" w:rsidRDefault="00A8138F" w:rsidP="00A8138F">
      <w:pPr>
        <w:pStyle w:val="TextoNormal"/>
      </w:pPr>
      <w:r>
        <w:t>Por lo tanto, lo que expresaron los recurrentes no era lo que recogían los medios de comunicación. Lo que dijeron no lo dijeron estos, sino ellos. Lo hicieron, además, tal y como señala la Audiencia, de forma reflexiva y con conciencia de su gravedad. Y que lo dijesen, como sostienen, sin la intención de denigrar al recurrente y con una finalidad exclusivamente política ni excluye que el contenido de lo que expresaron, apreciado objetivamente, deba calificarse como ultrajante y altamente atentatorio para la honorabilidad política y personal del recurrido, ni puede servir de excusa para justificarlo, puesto que una cosa es poner en contraste formas de hacer política y criticar la labor o la actuación de los partidos competidores o de sus integrantes, incluso con el amplio margen de libertad que es indispensable reconocer en los momentos de competición electoral y, por lo tanto, de máxima rivalidad y confrontación política, y otra considerar legítima cualquier manera de hacerlo.</w:t>
      </w:r>
    </w:p>
    <w:p w14:paraId="2D45D86A" w14:textId="77777777" w:rsidR="00A8138F" w:rsidRDefault="00A8138F" w:rsidP="00A8138F">
      <w:pPr>
        <w:pStyle w:val="TextoNormal"/>
      </w:pPr>
    </w:p>
    <w:p w14:paraId="0B83B56F" w14:textId="77777777" w:rsidR="00A8138F" w:rsidRDefault="00A8138F" w:rsidP="00A8138F">
      <w:pPr>
        <w:pStyle w:val="TextoNormal"/>
      </w:pPr>
      <w:r>
        <w:t>Los recurrentes dijeron de forma reflexiva, con conciencia de su gravedad, y sin base fáctica suficiente, que el recurrido, durante su etapa como alcalde de Oviedo, se gastaba el dinero público recorriendo prostíbulos. Dicen que lo hicieron sin intención de denigrar y con una finalidad puramente política. Pero la expresión que falta a la veracidad exigible y que, además, dada su intensidad atentatoria para el honor del afectado, resulta manifiesta, inequívoca y notoriamente desproporcionada no se puede considerar legítima ni justificar por el amplio margen de libertad que exige la confrontación política.</w:t>
      </w:r>
    </w:p>
    <w:p w14:paraId="24138A46" w14:textId="77777777" w:rsidR="00A8138F" w:rsidRDefault="00A8138F" w:rsidP="00A8138F">
      <w:pPr>
        <w:pStyle w:val="TextoNormal"/>
      </w:pPr>
    </w:p>
    <w:p w14:paraId="1F3D66AF" w14:textId="4BE9BD4C" w:rsidR="00A8138F" w:rsidRDefault="00A8138F" w:rsidP="00A8138F">
      <w:pPr>
        <w:pStyle w:val="TextoNormal"/>
      </w:pPr>
      <w:r>
        <w:t>En consecuencia, y coincidiendo con el parecer del fiscal, concluimos que el juicio de ponderación llevado a cabo por la Audiencia Provincial es correcto, puesto que se ajusta a la legalidad y respeta la doctrina jurisprudencial, por lo que los motivos y, con ellos, los recursos de casación deben desestimarse”.</w:t>
      </w:r>
    </w:p>
    <w:p w14:paraId="3D4A35F2" w14:textId="77777777" w:rsidR="00A8138F" w:rsidRDefault="00A8138F" w:rsidP="00A8138F">
      <w:pPr>
        <w:pStyle w:val="TextoNormal"/>
      </w:pPr>
    </w:p>
    <w:p w14:paraId="3F528C56" w14:textId="77777777" w:rsidR="00A8138F" w:rsidRDefault="00A8138F" w:rsidP="00A8138F">
      <w:pPr>
        <w:pStyle w:val="TextoNormal"/>
      </w:pPr>
      <w:r w:rsidRPr="00A8138F">
        <w:rPr>
          <w:rStyle w:val="NumeroAFNegritaCaracter"/>
        </w:rPr>
        <w:t>3</w:t>
      </w:r>
      <w:r>
        <w:t>. En la demanda de amparo se alega que las sentencias impugnadas han vulnerado el derecho de la recurrente a la libertad de expresión [art. 20.1 a) CE].</w:t>
      </w:r>
    </w:p>
    <w:p w14:paraId="649D758A" w14:textId="77777777" w:rsidR="00A8138F" w:rsidRDefault="00A8138F" w:rsidP="00A8138F">
      <w:pPr>
        <w:pStyle w:val="TextoNormal"/>
      </w:pPr>
    </w:p>
    <w:p w14:paraId="4CA7AA9F" w14:textId="77777777" w:rsidR="00A8138F" w:rsidRDefault="00A8138F" w:rsidP="00A8138F">
      <w:pPr>
        <w:pStyle w:val="TextoNormal"/>
      </w:pPr>
      <w:r>
        <w:t xml:space="preserve">Afirma que la sentencia del Tribunal Supremo reconoce la relevancia pública e interés general del asunto, pero considera que falta el presupuesto de veracidad. Sin embargo, soslaya la sentencia que, a diferencia de lo que sucede con la libertad de información en el caso de la libertad de expresión, si bien ha de contarse con cierta base fáctica, no resulta exigible la prueba de la verdad o diligencia en la averiguación de los hechos. Razona que, según la doctrina constitucional, la veracidad no debe identificarse con la exactitud de la noticia; y que parece cumplido dicho requisito cuando al menos en uno de los tres viajes consta contabilizado el gasto en “putiferios” durante el tiempo en que el Sr. Iglesias Caunedo disfrutó del viaje; estando permitido a toda persona que participa en el debate público recurrir a </w:t>
      </w:r>
      <w:r>
        <w:lastRenderedPageBreak/>
        <w:t>cierta dosis de exageración, incluso de provocación, pudiendo ser un poco inmoderado en sus declaraciones. Además, destaca la recurrente que las manifestaciones se produjeron en el marco de un debate electoral, en plena campaña para las elecciones municipales, y, aun cuando el actor no fuera candidato, ello no obsta a que pudiera confrontarse electoralmente el resultado de la gestión del equipo de gobierno del que formaba parte la Sra. Taboada Coma y que optaba a la reelección con la gestión del anterior alcalde, perteneciente a un partido político que era su oponente en la contienda electoral. En el especial contexto de campaña electoral es usual que los principales contendientes se crucen acusaciones de todo tipo, admitidas por el uso social, según tiene reconocido la jurisprudencia.</w:t>
      </w:r>
    </w:p>
    <w:p w14:paraId="3A02D952" w14:textId="77777777" w:rsidR="00A8138F" w:rsidRDefault="00A8138F" w:rsidP="00A8138F">
      <w:pPr>
        <w:pStyle w:val="TextoNormal"/>
      </w:pPr>
    </w:p>
    <w:p w14:paraId="38C26EA6" w14:textId="3BDE8AAE" w:rsidR="00A8138F" w:rsidRDefault="00A8138F" w:rsidP="00A8138F">
      <w:pPr>
        <w:pStyle w:val="TextoNormal"/>
      </w:pPr>
      <w:r>
        <w:t>En el escrito de demanda, por medio de otrosí, se solicitó la suspensión de la ejecución de la sentencia de primera instancia, después confirmada en apelación y casación.</w:t>
      </w:r>
    </w:p>
    <w:p w14:paraId="7FA49DEE" w14:textId="77777777" w:rsidR="00A8138F" w:rsidRDefault="00A8138F" w:rsidP="00A8138F">
      <w:pPr>
        <w:pStyle w:val="TextoNormal"/>
      </w:pPr>
    </w:p>
    <w:p w14:paraId="49F7B2B0" w14:textId="77777777" w:rsidR="00A8138F" w:rsidRDefault="00A8138F" w:rsidP="00A8138F">
      <w:pPr>
        <w:pStyle w:val="TextoNormal"/>
      </w:pPr>
      <w:r w:rsidRPr="00A8138F">
        <w:rPr>
          <w:rStyle w:val="NumeroAFNegritaCaracter"/>
        </w:rPr>
        <w:t>4</w:t>
      </w:r>
      <w:r>
        <w:t>. Mediante providencia de 26 de febrero de 2024, la Sección Cuarta del Tribunal acordó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de 25 de junio, FJ 2 b)].</w:t>
      </w:r>
    </w:p>
    <w:p w14:paraId="0DE9F6C2" w14:textId="77777777" w:rsidR="00A8138F" w:rsidRDefault="00A8138F" w:rsidP="00A8138F">
      <w:pPr>
        <w:pStyle w:val="TextoNormal"/>
      </w:pPr>
    </w:p>
    <w:p w14:paraId="18385282" w14:textId="69EE2213" w:rsidR="00A8138F" w:rsidRDefault="00A8138F" w:rsidP="00A8138F">
      <w:pPr>
        <w:pStyle w:val="TextoNormal"/>
      </w:pPr>
      <w:r>
        <w:t>En la misma providencia se acordó, en aplicación de lo dispuesto en el art. 51 de la Ley Orgánica del Tribunal Constitucional (LOTC), dirigir atenta comunicación a la Sección Sexta de la Audiencia Provincial de Oviedo a fin de que, en plazo que no excediera de diez días, remitiera testimonio de las actuaciones correspondientes al rollo de apelación núm. 273-2021, e igualmente y a los mismos efectos a la Sala de lo Civil del Tribunal Supremo en relación con el recurso de casación núm. 7533-2021. También se acordó dirigir atenta comunicación al Juzgado de Primera Instancia núm. 5 de Oviedo a fin de que, en plazo que no excediera de diez días, remitiera testimonio del procedimiento ordinario de protección del derecho al honor núm. 135-2020, debiendo emplazar previamente, para que en el plazo de diez días pudieran comparecer, si lo desearan, en el recurso de amparo, a quienes hubieran sido parte en el procedimiento, excepto la parte recurrente en amparo.</w:t>
      </w:r>
    </w:p>
    <w:p w14:paraId="216F17C1" w14:textId="77777777" w:rsidR="00A8138F" w:rsidRDefault="00A8138F" w:rsidP="00A8138F">
      <w:pPr>
        <w:pStyle w:val="TextoNormal"/>
      </w:pPr>
    </w:p>
    <w:p w14:paraId="577A7825" w14:textId="77777777" w:rsidR="00A8138F" w:rsidRDefault="00A8138F" w:rsidP="00A8138F">
      <w:pPr>
        <w:pStyle w:val="TextoNormal"/>
      </w:pPr>
      <w:r w:rsidRPr="00A8138F">
        <w:rPr>
          <w:rStyle w:val="NumeroAFNegritaCaracter"/>
        </w:rPr>
        <w:t>5</w:t>
      </w:r>
      <w:r>
        <w:t>. En la misma providencia de 26 de febrero de 2024 se acordó, a solicitud de la parte actora, la formación de pieza separada de suspensión, iniciándose su tramitación conforme al art. 56 LOTC.</w:t>
      </w:r>
    </w:p>
    <w:p w14:paraId="4C7C10BA" w14:textId="77777777" w:rsidR="00A8138F" w:rsidRDefault="00A8138F" w:rsidP="00A8138F">
      <w:pPr>
        <w:pStyle w:val="TextoNormal"/>
      </w:pPr>
    </w:p>
    <w:p w14:paraId="140A84CA" w14:textId="48CCA888" w:rsidR="00A8138F" w:rsidRDefault="00A8138F" w:rsidP="00A8138F">
      <w:pPr>
        <w:pStyle w:val="TextoNormal"/>
      </w:pPr>
      <w:r>
        <w:t>Por ATC 40/2024, de 6 de mayo, se acordó la suspensión de la ejecución de la sentencia dictada el 5 de marzo de 2021 por el Juzgado de Primera Instancia núm. 5 de Oviedo, “en lo que respecta a la publicación de su fallo en los mismos medios que difundieron las manifestaciones de la recurrente en amparo consideradas en dicha resolución judicial lesivas del derecho al honor”.</w:t>
      </w:r>
    </w:p>
    <w:p w14:paraId="7DF03610" w14:textId="77777777" w:rsidR="00A8138F" w:rsidRDefault="00A8138F" w:rsidP="00A8138F">
      <w:pPr>
        <w:pStyle w:val="TextoNormal"/>
      </w:pPr>
    </w:p>
    <w:p w14:paraId="3CC61940" w14:textId="674C42E5" w:rsidR="00A8138F" w:rsidRDefault="00A8138F" w:rsidP="00A8138F">
      <w:pPr>
        <w:pStyle w:val="TextoNormal"/>
      </w:pPr>
      <w:r w:rsidRPr="00A8138F">
        <w:rPr>
          <w:rStyle w:val="NumeroAFNegritaCaracter"/>
        </w:rPr>
        <w:t>6</w:t>
      </w:r>
      <w:r>
        <w:t>. Por diligencia de ordenación de 17 de mayo de 2024 se tuvo por personada y parte en el procedimiento a la procuradora doña Lucía Agulla Lanza en nombre y representación de don Agustín Iglesias Caunedo, y se acordó dar vista de las actuaciones recibidas a las partes personadas y al Ministerio Fiscal por plazo común de veinte días, dentro de los cuales podrían presentar las alegaciones que estimasen pertinentes conforme determina el art. 52.1 LOTC.</w:t>
      </w:r>
    </w:p>
    <w:p w14:paraId="239679C6" w14:textId="77777777" w:rsidR="00A8138F" w:rsidRDefault="00A8138F" w:rsidP="00A8138F">
      <w:pPr>
        <w:pStyle w:val="TextoNormal"/>
      </w:pPr>
    </w:p>
    <w:p w14:paraId="483A5EC1" w14:textId="77777777" w:rsidR="00A8138F" w:rsidRDefault="00A8138F" w:rsidP="00A8138F">
      <w:pPr>
        <w:pStyle w:val="TextoNormal"/>
      </w:pPr>
      <w:r w:rsidRPr="00A8138F">
        <w:rPr>
          <w:rStyle w:val="NumeroAFNegritaCaracter"/>
        </w:rPr>
        <w:t>7</w:t>
      </w:r>
      <w:r>
        <w:t>. Don Agustín Iglesias Caunedo presentó sus alegaciones mediante escrito registrado en este tribunal el 17 de junio de 2024, interesando la desestimación del recurso de amparo por entender que las sentencias recurridas han realizado una correcta ponderación de los derechos en conflicto.</w:t>
      </w:r>
    </w:p>
    <w:p w14:paraId="1BDE60ED" w14:textId="77777777" w:rsidR="00A8138F" w:rsidRDefault="00A8138F" w:rsidP="00A8138F">
      <w:pPr>
        <w:pStyle w:val="TextoNormal"/>
      </w:pPr>
    </w:p>
    <w:p w14:paraId="17F65B0D" w14:textId="77777777" w:rsidR="00A8138F" w:rsidRDefault="00A8138F" w:rsidP="00A8138F">
      <w:pPr>
        <w:pStyle w:val="TextoNormal"/>
      </w:pPr>
      <w:r>
        <w:t>Destaca que la circunstancia de que continuara como investigado en un procedimiento penal no amparaba la intromisión ilegal en su derecho al honor; y que en dicho procedimiento no estaba siendo investigado por actividades relacionadas con las afirmaciones y manifestaciones efectuadas por la Sra. Taboada Coma, no se había formulado acusación, y no existía condena alguna. Dichas manifestaciones incumplieron el deber de veracidad y, además, se basaron en noticias publicadas en medios de comunicación cuatro años antes y que no recogían la imputación al Sr. Caunedo de gastar dinero público recorriendo prostíbulos.</w:t>
      </w:r>
    </w:p>
    <w:p w14:paraId="348A2179" w14:textId="77777777" w:rsidR="00A8138F" w:rsidRDefault="00A8138F" w:rsidP="00A8138F">
      <w:pPr>
        <w:pStyle w:val="TextoNormal"/>
      </w:pPr>
    </w:p>
    <w:p w14:paraId="117C1854" w14:textId="77777777" w:rsidR="00A8138F" w:rsidRDefault="00A8138F" w:rsidP="00A8138F">
      <w:pPr>
        <w:pStyle w:val="TextoNormal"/>
      </w:pPr>
      <w:r>
        <w:t>Añade que él no formaba parte del debate en el que se produjeron las manifestaciones injuriosas, ni se presentaba como candidato en el proceso electoral, por lo que en ese momento no reunía la condición de político ni de oponente político de la Sra. Taboada Coma.</w:t>
      </w:r>
    </w:p>
    <w:p w14:paraId="76B2442C" w14:textId="77777777" w:rsidR="00A8138F" w:rsidRDefault="00A8138F" w:rsidP="00A8138F">
      <w:pPr>
        <w:pStyle w:val="TextoNormal"/>
      </w:pPr>
    </w:p>
    <w:p w14:paraId="18397039" w14:textId="62808F88" w:rsidR="00A8138F" w:rsidRDefault="00A8138F" w:rsidP="00A8138F">
      <w:pPr>
        <w:pStyle w:val="TextoNormal"/>
      </w:pPr>
      <w:r>
        <w:t>Por último, alega que el recurso carece de especial trascendencia constitucional porque las tres sentencias impugnadas han tenido en cuenta la jurisprudencia constitucional y, con base en ella, han concluido que la hoy recurrente se extralimitó en el ejercicio de su libertad de expresión.</w:t>
      </w:r>
    </w:p>
    <w:p w14:paraId="5A0E6EC9" w14:textId="77777777" w:rsidR="00A8138F" w:rsidRDefault="00A8138F" w:rsidP="00A8138F">
      <w:pPr>
        <w:pStyle w:val="TextoNormal"/>
      </w:pPr>
    </w:p>
    <w:p w14:paraId="6084C44F" w14:textId="77777777" w:rsidR="00A8138F" w:rsidRDefault="00A8138F" w:rsidP="00A8138F">
      <w:pPr>
        <w:pStyle w:val="TextoNormal"/>
      </w:pPr>
      <w:r w:rsidRPr="00A8138F">
        <w:rPr>
          <w:rStyle w:val="NumeroAFNegritaCaracter"/>
        </w:rPr>
        <w:t>8</w:t>
      </w:r>
      <w:r>
        <w:t>. El Ministerio Fiscal presentó sus alegaciones mediante escrito registrado el 12 de junio de 2024, interesando la estimación del recurso de amparo por entender que se ha vulnerado el derecho fundamental a la libertad de expresión de la recurrente.</w:t>
      </w:r>
    </w:p>
    <w:p w14:paraId="2B21DAA5" w14:textId="77777777" w:rsidR="00A8138F" w:rsidRDefault="00A8138F" w:rsidP="00A8138F">
      <w:pPr>
        <w:pStyle w:val="TextoNormal"/>
      </w:pPr>
    </w:p>
    <w:p w14:paraId="066112BE" w14:textId="77777777" w:rsidR="00A8138F" w:rsidRDefault="00A8138F" w:rsidP="00A8138F">
      <w:pPr>
        <w:pStyle w:val="TextoNormal"/>
      </w:pPr>
      <w:r>
        <w:t>Comienza el fiscal exponiendo los antecedentes del presente recurso de amparo e indicando que no aprecia en el mismo ningún óbice procesal. Delimita el objeto del recurso indicando que los derechos en conflicto son la libertad de expresión de la recurrente, doña Ana Taboada Coma [art. 20.1 a) CE], y el derecho al honor de don Agustín Iglesias Caunedo (art. 18.1 CE); y expone el marco normativo nacional e internacional aplicable a cada uno de ellos, así como la doctrina de este tribunal y del Tribunal Europeo de Derechos Humanos sobre los criterios a tener en cuenta a la hora de realizar el juicio de ponderación en los supuestos de conflicto entre dichos derechos fundamentales, con cita, en particular, de las recientes SSTC 8/2022, de 27 de enero, FJ 3, y 83/2023, de 4 de julio, FJ 4.</w:t>
      </w:r>
    </w:p>
    <w:p w14:paraId="2F71A5EF" w14:textId="77777777" w:rsidR="00A8138F" w:rsidRDefault="00A8138F" w:rsidP="00A8138F">
      <w:pPr>
        <w:pStyle w:val="TextoNormal"/>
      </w:pPr>
    </w:p>
    <w:p w14:paraId="072AB15A" w14:textId="77777777" w:rsidR="00A8138F" w:rsidRDefault="00A8138F" w:rsidP="00A8138F">
      <w:pPr>
        <w:pStyle w:val="TextoNormal"/>
      </w:pPr>
      <w:r>
        <w:t>El fiscal considera acreditado que “la demandante en amparo era candidata a la alcaldía de Oviedo por una agrupación política y que la persona aludida en los mensajes y las expresiones había sido alcalde de Oviedo”, así como que “tales expresiones y mensajes se vierten en la campaña de las elecciones municipales de 2019, en el marco de la actividad política y electoral en que se encontraban inmersos, particularmente, la demandante en amparo que era candidata a la alcaldía”. Igualmente considera acreditado “que la persona aludida había sido alcalde de la ciudad de Oviedo lo que por sí solo evidencia una evidente notoriedad y que estaba siendo investigado en sede judicial por hechos relacionados con su actividad política. Desconociéndose el resultado último de la investigación judicial”.</w:t>
      </w:r>
    </w:p>
    <w:p w14:paraId="0C97FF43" w14:textId="77777777" w:rsidR="00A8138F" w:rsidRDefault="00A8138F" w:rsidP="00A8138F">
      <w:pPr>
        <w:pStyle w:val="TextoNormal"/>
      </w:pPr>
    </w:p>
    <w:p w14:paraId="1FD342C6" w14:textId="77777777" w:rsidR="00A8138F" w:rsidRDefault="00A8138F" w:rsidP="00A8138F">
      <w:pPr>
        <w:pStyle w:val="TextoNormal"/>
      </w:pPr>
      <w:r>
        <w:lastRenderedPageBreak/>
        <w:t>Resalta el fiscal que debe precisarse que “el derecho fundamental cuyo amparo se solicita es el derecho a la libertad de expresión, que, si bien comparte similitudes, es distinto del derecho a la información y no son trasladables las mismas exigencias para su ejercicio, particularmente el canon de veracidad (distinción puesta de manifiesto desde la STC 6/1988) que comporta el derecho a la información. Precisión necesaria ante el debate del que se hacen eco las resoluciones judiciales sobre la precisión y exactitud de las expresiones configuradoras de la intromisión. Sin abundar más en esta cuestión, la investigación judicial en la que estaba concernida la persona aludida había tenido una amplia difusión en los medios de comunicación y era de dominio público”. Añade que “[e]l contenido de los mensajes no sólo se debe contextualizar en el marco de la contienda electoral, sino en sí mismos, ya que se hacen eco de las noticias aparecidas en prensa y contraponen las actividades supuestamente ilícitas llevadas a cabo por el aludido político con las inversiones en materia de educación que se atribuyen la demandada y su grupo político, y en este aspecto los mensajes y expresiones guardan estrecha relación con las ideas u opiniones que se exponen en el programa electoral, con inequívoco carácter político-electoral”.</w:t>
      </w:r>
    </w:p>
    <w:p w14:paraId="778F8CCD" w14:textId="77777777" w:rsidR="00A8138F" w:rsidRDefault="00A8138F" w:rsidP="00A8138F">
      <w:pPr>
        <w:pStyle w:val="TextoNormal"/>
      </w:pPr>
    </w:p>
    <w:p w14:paraId="329CB67F" w14:textId="77777777" w:rsidR="00A8138F" w:rsidRDefault="00A8138F" w:rsidP="00A8138F">
      <w:pPr>
        <w:pStyle w:val="TextoNormal"/>
      </w:pPr>
      <w:r>
        <w:t xml:space="preserve">Razona que corresponde a este tribunal examinar si las sentencias dictadas en el procedimiento </w:t>
      </w:r>
      <w:r w:rsidRPr="00A8138F">
        <w:rPr>
          <w:i/>
        </w:rPr>
        <w:t>a quo</w:t>
      </w:r>
      <w:r>
        <w:t xml:space="preserve"> han realizado una ponderación de los derechos fundamentales en conflicto acorde con la doctrina constitucional, y concluye que “las tres resoluciones judiciales realizan en juicio de ponderación, legítimamente, anteponiendo el derecho al honor sobre la libertad de expresión, con ciertas exigencias en su configuración más propios de la libertad de información que de expresión que se ejerce en este recurso”; refiriéndose, en particular, a la exigencia del canon de veracidad. Además, “[e]n las resoluciones impugnadas no se da el suficiente relieve al contexto de debate político electoral en el que se vierten, como manifestación del pluralismo político”.</w:t>
      </w:r>
    </w:p>
    <w:p w14:paraId="6B64F92E" w14:textId="77777777" w:rsidR="00A8138F" w:rsidRDefault="00A8138F" w:rsidP="00A8138F">
      <w:pPr>
        <w:pStyle w:val="TextoNormal"/>
      </w:pPr>
    </w:p>
    <w:p w14:paraId="4AD36C32" w14:textId="18929F00" w:rsidR="00A8138F" w:rsidRDefault="00A8138F" w:rsidP="00A8138F">
      <w:pPr>
        <w:pStyle w:val="TextoNormal"/>
      </w:pPr>
      <w:r>
        <w:t>A su juicio, las expresiones objeto de examen “no exceden los límites de la libertad de expresión en los términos establecidos por la jurisprudencia del Tribunal Europeo de Derechos Humanos y el Tribunal Constitucional ya que tales expresiones se emplearon en el debate político y por representante político, si bien molestaron, inquietaron y disgustaron a quien aludían —de hecho así fue con la interposición de la demanda—, y en estos supuestos debe prevalecer la libertad de expresión ya que ‘así lo requieren el pluralismo, la tolerancia y el espíritu de apertura, sin los cuales no existe sociedad democrática’. Más aún, insistimos, en el contexto electoral en el que se realizan”.</w:t>
      </w:r>
    </w:p>
    <w:p w14:paraId="7BB364CB" w14:textId="77777777" w:rsidR="00A8138F" w:rsidRDefault="00A8138F" w:rsidP="00A8138F">
      <w:pPr>
        <w:pStyle w:val="TextoNormal"/>
      </w:pPr>
    </w:p>
    <w:p w14:paraId="165BD810" w14:textId="5C7C9482" w:rsidR="00A8138F" w:rsidRDefault="00A8138F" w:rsidP="00A8138F">
      <w:pPr>
        <w:pStyle w:val="TextoNormal"/>
      </w:pPr>
      <w:r w:rsidRPr="00A8138F">
        <w:rPr>
          <w:rStyle w:val="NumeroAFNegritaCaracter"/>
        </w:rPr>
        <w:t>9</w:t>
      </w:r>
      <w:r>
        <w:t>. Por providencia de 24 de abril de 2025 se señaló para deliberación y votación de la presente sentencia el día 28 del mismo mes y año.</w:t>
      </w:r>
    </w:p>
    <w:p w14:paraId="48F00B46" w14:textId="77777777" w:rsidR="00A8138F" w:rsidRDefault="00A8138F" w:rsidP="00A8138F">
      <w:pPr>
        <w:pStyle w:val="TextoNormal"/>
      </w:pPr>
    </w:p>
    <w:p w14:paraId="09F79F1E" w14:textId="77777777" w:rsidR="00A8138F" w:rsidRDefault="00A8138F" w:rsidP="00A8138F">
      <w:pPr>
        <w:pStyle w:val="TextoNormalNegritaCentrado"/>
        <w:keepNext/>
      </w:pPr>
      <w:r>
        <w:t>II. Fundamentos jurídicos</w:t>
      </w:r>
    </w:p>
    <w:p w14:paraId="1BBFDEFB" w14:textId="2ADA0B7E" w:rsidR="00A8138F" w:rsidRDefault="00A8138F" w:rsidP="00A8138F">
      <w:pPr>
        <w:pStyle w:val="TextoNormalNegritaCentrado"/>
        <w:keepNext/>
      </w:pPr>
    </w:p>
    <w:p w14:paraId="100E104E"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7DF0AB9A" w14:textId="77777777" w:rsidR="00A8138F" w:rsidRDefault="00A8138F" w:rsidP="00A8138F">
      <w:pPr>
        <w:pStyle w:val="TextoNormal"/>
      </w:pPr>
    </w:p>
    <w:p w14:paraId="5A8328D2" w14:textId="77777777" w:rsidR="00A8138F" w:rsidRDefault="00A8138F" w:rsidP="00A8138F">
      <w:pPr>
        <w:pStyle w:val="TextoNormal"/>
      </w:pPr>
      <w:r>
        <w:t>El presente recurso de amparo se dirige contra la sentencia dictada por la Sala de lo Civil del Tribunal Supremo el 22 de mayo de 2023, en el recurso de casación núm. 7533-2021; contra la sentencia dictada por la Sección Sexta de la Audiencia Provincial de Oviedo el 23 de julio de 2021, en el recurso de apelación núm. 273-2021; y contra la sentencia dictada por el Juzgado de Primera Instancia núm. 5 de Oviedo el 5 de marzo de 2021, en el proce</w:t>
      </w:r>
      <w:r>
        <w:lastRenderedPageBreak/>
        <w:t>dimiento ordinario de protección del derecho al honor núm. 135-2020. Esta última sentencia, confirmada en apelación y en casación, estimó la demanda interpuesta por don Agustín Iglesias Caunedo frente a doña Ana Taboada Coma, aquí recurrente en amparo, y la agrupación electoral Somos Oviedo, al apreciar que determinadas manifestaciones realizadas por la primera en un debate emitido en el programa “Elecciones 26 M” de la Radio Televisión del Principado de Asturias el 24 de mayo de 2019, y publicadas en las cuentas de la red social Twitter @oviedotaboada y @somosuvieu al menos desde el 24 de mayo de 2019 hasta el 13 de febrero de 2020, habían vulnerado el derecho al honor del actor. En el citado debate doña Ana Taboada Coma manifestó lo siguiente: “Hace cuatro años conocimos que el antiguo alcalde de Oviedo se gastaba el dinero público para recorrer prostíbulos; ahora, ahora mismo, en Educación es el ayuntamiento que mayor excelencia tiene de gastos de España”. En términos semejantes, el mensaje publicado en la red social Twitter indicaba que “[h]ace cuatro años Oviedo era referencia en España porque tenía un alcalde que se gastaba el dinero público recorriendo prostíbulos … ahora somos un referente en educación. Esa es la diferencia”.</w:t>
      </w:r>
    </w:p>
    <w:p w14:paraId="50889FBB" w14:textId="77777777" w:rsidR="00A8138F" w:rsidRDefault="00A8138F" w:rsidP="00A8138F">
      <w:pPr>
        <w:pStyle w:val="TextoNormal"/>
      </w:pPr>
    </w:p>
    <w:p w14:paraId="5EC53EE5" w14:textId="77777777" w:rsidR="00A8138F" w:rsidRDefault="00A8138F" w:rsidP="00A8138F">
      <w:pPr>
        <w:pStyle w:val="TextoNormal"/>
      </w:pPr>
      <w:r>
        <w:t>La recurrente en amparo alega la vulneración de su derecho a la libertad de expresión [art. 20.1 a) CE], argumentando que se trata de un derecho fundamental que goza de una especial preeminencia como garantía para la formación y existencia de una opinión pública libre en el marco de una sociedad libre y democrática; y que debe ser especialmente protegido cuando las manifestaciones se han realizado en el marco de una contienda política, durante una campaña electoral. Afirma que la sentencia del Tribunal Supremo reconoce la relevancia pública e interés general del asunto, pero considera que falta el presupuesto de veracidad, soslayando que, a diferencia de lo que sucede con la libertad de información, en el caso de la libertad de expresión, si bien ha de contarse con cierta base fáctica, no resulta exigible la prueba de la verdad o diligencia en la averiguación de los hechos. Razona que, según la doctrina constitucional, la veracidad no debe identificarse con la exactitud de la noticia; y que parece cumplido dicho requisito cuando al menos en uno de los tres viajes consta contabilizado el gasto en “putiferios” durante el tiempo en que el Sr. Iglesias Caunedo disfrutó del viaje; estando permitido a toda persona que participa en el debate público recurrir a cierta dosis de exageración, incluso de provocación, pudiendo ser un poco inmoderado en sus declaraciones Alega que las manifestaciones controvertidas no se realizaron con la intención de ofender a la persona aludida, sino con el fin de comparar, en dicho contexto electoral, la actuación de quien anteriormente había sido alcalde por un partido político oponente, con la gestión de gobierno realizada por el partido de la recurrente, que se presentaba a la reelección. Además, alega que lo manifestado tenía suficiente apoyo en informaciones publicadas hacía más de cuatro años en los medios de comunicación.</w:t>
      </w:r>
    </w:p>
    <w:p w14:paraId="48276FB2" w14:textId="77777777" w:rsidR="00A8138F" w:rsidRDefault="00A8138F" w:rsidP="00A8138F">
      <w:pPr>
        <w:pStyle w:val="TextoNormal"/>
      </w:pPr>
    </w:p>
    <w:p w14:paraId="73E578E7" w14:textId="77777777" w:rsidR="00A8138F" w:rsidRDefault="00A8138F" w:rsidP="00A8138F">
      <w:pPr>
        <w:pStyle w:val="TextoNormal"/>
      </w:pPr>
      <w:r>
        <w:t xml:space="preserve">El actor en el procedimiento </w:t>
      </w:r>
      <w:r w:rsidRPr="00A8138F">
        <w:rPr>
          <w:i/>
        </w:rPr>
        <w:t>a quo</w:t>
      </w:r>
      <w:r>
        <w:t>, don Agustín Iglesias Caunedo, solicita la desestimación del recurso de amparo por considerar que el juicio de ponderación realizado por los órganos judiciales en las sentencias impugnadas —que concluyó que se había producido una intromisión ilegítima en su derecho al honor—, fue adecuado y se ajusta a la doctrina constitucional.</w:t>
      </w:r>
    </w:p>
    <w:p w14:paraId="7D197A7E" w14:textId="77777777" w:rsidR="00A8138F" w:rsidRDefault="00A8138F" w:rsidP="00A8138F">
      <w:pPr>
        <w:pStyle w:val="TextoNormal"/>
      </w:pPr>
    </w:p>
    <w:p w14:paraId="4939D331" w14:textId="78C489E1" w:rsidR="00A8138F" w:rsidRDefault="00A8138F" w:rsidP="00A8138F">
      <w:pPr>
        <w:pStyle w:val="TextoNormal"/>
      </w:pPr>
      <w:r>
        <w:t xml:space="preserve">El Ministerio Fiscal interesa la estimación del recurso de amparo al considerar que, atendidas las concretas circunstancias del caso y, en particular, el contexto de contienda electoral en el que se realizaron las manifestaciones controvertidas, debe otorgarse prevalencia a la </w:t>
      </w:r>
      <w:r>
        <w:lastRenderedPageBreak/>
        <w:t>libertad de expresión de la recurrente en amparo en la ponderación de los derechos fundamentales en conflicto.</w:t>
      </w:r>
    </w:p>
    <w:p w14:paraId="0A04DB1E" w14:textId="77777777" w:rsidR="00A8138F" w:rsidRDefault="00A8138F" w:rsidP="00A8138F">
      <w:pPr>
        <w:pStyle w:val="TextoNormal"/>
      </w:pPr>
    </w:p>
    <w:p w14:paraId="29600860" w14:textId="77777777" w:rsidR="00A8138F" w:rsidRDefault="00A8138F" w:rsidP="00A8138F">
      <w:pPr>
        <w:pStyle w:val="TextoNormal"/>
      </w:pPr>
      <w:r w:rsidRPr="00A8138F">
        <w:rPr>
          <w:rStyle w:val="NumeroAFNegritaCaracter"/>
        </w:rPr>
        <w:t>2</w:t>
      </w:r>
      <w:r>
        <w:t xml:space="preserve">. </w:t>
      </w:r>
      <w:r w:rsidRPr="00A8138F">
        <w:rPr>
          <w:i/>
        </w:rPr>
        <w:t>Cuestiones previas</w:t>
      </w:r>
    </w:p>
    <w:p w14:paraId="568BB173" w14:textId="77777777" w:rsidR="00A8138F" w:rsidRDefault="00A8138F" w:rsidP="00A8138F">
      <w:pPr>
        <w:pStyle w:val="TextoNormal"/>
      </w:pPr>
    </w:p>
    <w:p w14:paraId="10741A1C" w14:textId="77777777" w:rsidR="00A8138F" w:rsidRDefault="00A8138F" w:rsidP="00A8138F">
      <w:pPr>
        <w:pStyle w:val="TextoNormal"/>
      </w:pPr>
      <w:r>
        <w:t xml:space="preserve">a) </w:t>
      </w:r>
      <w:r w:rsidRPr="00A8138F">
        <w:rPr>
          <w:i/>
        </w:rPr>
        <w:t>Óbice procesal</w:t>
      </w:r>
    </w:p>
    <w:p w14:paraId="79C11710" w14:textId="77777777" w:rsidR="00A8138F" w:rsidRDefault="00A8138F" w:rsidP="00A8138F">
      <w:pPr>
        <w:pStyle w:val="TextoNormal"/>
      </w:pPr>
    </w:p>
    <w:p w14:paraId="42DAE863" w14:textId="77777777" w:rsidR="00A8138F" w:rsidRDefault="00A8138F" w:rsidP="00A8138F">
      <w:pPr>
        <w:pStyle w:val="TextoNormal"/>
      </w:pPr>
      <w:r>
        <w:t>En su escrito de alegaciones don Agustín Iglesias Caunedo alega que el recurso de amparo carece de especial trascendencia constitucional porque las tres sentencias impugnadas han tenido en cuenta la doctrina constitucional aplicable y, con base en ella, han concluido que la hoy recurrente se extralimitó en el ejercicio de su libertad de expresión vulnerando su derecho al honor.</w:t>
      </w:r>
    </w:p>
    <w:p w14:paraId="411AA581" w14:textId="77777777" w:rsidR="00A8138F" w:rsidRDefault="00A8138F" w:rsidP="00A8138F">
      <w:pPr>
        <w:pStyle w:val="TextoNormal"/>
      </w:pPr>
    </w:p>
    <w:p w14:paraId="2AB31E86" w14:textId="77777777" w:rsidR="00A8138F" w:rsidRDefault="00A8138F" w:rsidP="00A8138F">
      <w:pPr>
        <w:pStyle w:val="TextoNormal"/>
      </w:pPr>
      <w:r>
        <w:t>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(SSTC 80/2020, de 15 de julio, FJ 2; 155/2020, de 4 de noviembre, FJ 2; 2/2022, de 24 de enero, FJ 2, y 116/2023, de 25 de septiembre, FJ 2, por todas).</w:t>
      </w:r>
    </w:p>
    <w:p w14:paraId="7B934DC2" w14:textId="77777777" w:rsidR="00A8138F" w:rsidRDefault="00A8138F" w:rsidP="00A8138F">
      <w:pPr>
        <w:pStyle w:val="TextoNormal"/>
      </w:pPr>
    </w:p>
    <w:p w14:paraId="5ACCC948" w14:textId="77777777" w:rsidR="00A8138F" w:rsidRDefault="00A8138F" w:rsidP="00A8138F">
      <w:pPr>
        <w:pStyle w:val="TextoNormal"/>
      </w:pPr>
      <w:r>
        <w:t>En la providencia de 26 de febrero de 2024 se indicó que en este recurso de amparo concurre una especial trascendencia constitucional porque puede dar ocasión al Tribunal para aclarar o cambiar su doctrina, como consecuencia de un proceso de reflexión interna [STC 155/2009, FJ 2 b)], sin que de las alegaciones de la parte compareciente se adviertan razones suficientes para modificar la valoración realizada por este tribunal en la fase de admisión y sin que quepa ya revisar esta decisión en fase de sentencia.</w:t>
      </w:r>
    </w:p>
    <w:p w14:paraId="6BBBFBAC" w14:textId="77777777" w:rsidR="00A8138F" w:rsidRDefault="00A8138F" w:rsidP="00A8138F">
      <w:pPr>
        <w:pStyle w:val="TextoNormal"/>
      </w:pPr>
    </w:p>
    <w:p w14:paraId="5955230D" w14:textId="77777777" w:rsidR="00A8138F" w:rsidRDefault="00A8138F" w:rsidP="00A8138F">
      <w:pPr>
        <w:pStyle w:val="TextoNormal"/>
      </w:pPr>
      <w:r>
        <w:t xml:space="preserve">b) </w:t>
      </w:r>
      <w:r w:rsidRPr="00A8138F">
        <w:rPr>
          <w:i/>
        </w:rPr>
        <w:t>Alcance del control de constitucionalidad de los derechos invocados</w:t>
      </w:r>
    </w:p>
    <w:p w14:paraId="3F76C618" w14:textId="77777777" w:rsidR="00A8138F" w:rsidRDefault="00A8138F" w:rsidP="00A8138F">
      <w:pPr>
        <w:pStyle w:val="TextoNormal"/>
      </w:pPr>
    </w:p>
    <w:p w14:paraId="53F24C51" w14:textId="1030F79C" w:rsidR="00A8138F" w:rsidRDefault="00A8138F" w:rsidP="00A8138F">
      <w:pPr>
        <w:pStyle w:val="TextoNormal"/>
      </w:pPr>
      <w:r>
        <w:t>En supuestos como el presente, dada la naturaleza sustantiva de los derechos fundamentales alegados y el contenido de la jurisdicción de amparo, no resulta ocioso recordar que la naturaleza de nuestro juicio o ponderación no versa sobre la razonabilidad o la suficiente motivación de las valoraciones efectuadas por la jurisdicción ordinaria en las resoluciones impugnadas en amparo. En estos casos la función que corresponde a este tribunal no se circunscribe a realizar un simple juicio externo de las resoluciones dictadas por los jueces y tribunales, sino que, vinculados como lo estamos a los hechos declarados probados en la vía judicial [art. 44.1 b) LOTC y STC 25/2019, de 25 de febrero, FJ 2 g)], hemos de aplicar a los hechos de los que parten esas resoluciones judiciales las exigencias dimanantes de la Constitución para determinar si, al enjuiciarlos, tales exigencias han sido o no respetadas, aunque para este fin sea preciso utilizar criterios distintos de los aplicados por la jurisdicción ordinaria (entre otras muchas, SSTC 200/1998, de 14 de octubre, FJ 4; 136/1999, de 20 de julio, FJ 13; 110/2000, de 5 de mayo, FJ 3; 148/2001, de 27 de junio, FJ 3; 20/2002, de 28 de enero, FJ 3; 174/2006, de 5 de junio, FJ 2; 27/2020, de 24 de febrero, FJ 1; 93/2021, de 10 de mayo, FJ 3, y 8/2022, de 27 de enero, FJ 4).</w:t>
      </w:r>
    </w:p>
    <w:p w14:paraId="7B1A7222" w14:textId="77777777" w:rsidR="00A8138F" w:rsidRDefault="00A8138F" w:rsidP="00A8138F">
      <w:pPr>
        <w:pStyle w:val="TextoNormal"/>
      </w:pPr>
    </w:p>
    <w:p w14:paraId="59A6E7AD" w14:textId="77777777" w:rsidR="00A8138F" w:rsidRDefault="00A8138F" w:rsidP="00A8138F">
      <w:pPr>
        <w:pStyle w:val="TextoNormal"/>
      </w:pPr>
      <w:r w:rsidRPr="00A8138F">
        <w:rPr>
          <w:rStyle w:val="NumeroAFNegritaCaracter"/>
        </w:rPr>
        <w:t>3</w:t>
      </w:r>
      <w:r>
        <w:t xml:space="preserve">. </w:t>
      </w:r>
      <w:r w:rsidRPr="00A8138F">
        <w:rPr>
          <w:i/>
        </w:rPr>
        <w:t>Delimitación de los derechos concernidos</w:t>
      </w:r>
    </w:p>
    <w:p w14:paraId="2EC763A8" w14:textId="77777777" w:rsidR="00A8138F" w:rsidRDefault="00A8138F" w:rsidP="00A8138F">
      <w:pPr>
        <w:pStyle w:val="TextoNormal"/>
      </w:pPr>
    </w:p>
    <w:p w14:paraId="63CEDC00" w14:textId="77777777" w:rsidR="00A8138F" w:rsidRDefault="00A8138F" w:rsidP="00A8138F">
      <w:pPr>
        <w:pStyle w:val="TextoNormal"/>
      </w:pPr>
      <w:r>
        <w:lastRenderedPageBreak/>
        <w:t>Delimitadas las cuestiones previas, debemos a continuación concretar los derechos concernidos en el presente supuesto.</w:t>
      </w:r>
    </w:p>
    <w:p w14:paraId="117FD3CC" w14:textId="77777777" w:rsidR="00A8138F" w:rsidRDefault="00A8138F" w:rsidP="00A8138F">
      <w:pPr>
        <w:pStyle w:val="TextoNormal"/>
      </w:pPr>
    </w:p>
    <w:p w14:paraId="78A0250E" w14:textId="77777777" w:rsidR="00A8138F" w:rsidRDefault="00A8138F" w:rsidP="00A8138F">
      <w:pPr>
        <w:pStyle w:val="TextoNormal"/>
      </w:pPr>
      <w:r>
        <w:t xml:space="preserve">a) En un extremo del conflicto se sitúa el derecho al honor (art. 18.1 CE) del Sr. Iglesias Caunedo, demandante en el procedimiento </w:t>
      </w:r>
      <w:r w:rsidRPr="00A8138F">
        <w:rPr>
          <w:i/>
        </w:rPr>
        <w:t>a quo</w:t>
      </w:r>
      <w:r>
        <w:t>. En el otro se sitúa el derecho fundamental invocado por la Sra. Taboada Coma. En su escrito de contestación a la demanda de instancia y en su recurso de apelación, la Sra. Taboada Coma alegó la vulneración de sus derechos fundamentales a la libertad de expresión [art. 20.1 a) CE] y a la libertad de información [art. 20.1 d) CE]. Posteriormente, tanto en el recurso de casación como en el recurso de amparo ha invocado solo el primero de esos derechos; pero, en cualquier caso, resulta necesario dilucidar si estamos ante un supuesto de libertad de expresión o de libertad de información, pues, como indica la STC 8/2022, de 27 de enero, FJ 2, ello incidirá en la valoración de este tribunal sobre la legitimidad constitucional del ejercicio de uno u otro derecho.</w:t>
      </w:r>
    </w:p>
    <w:p w14:paraId="36FC65CA" w14:textId="77777777" w:rsidR="00A8138F" w:rsidRDefault="00A8138F" w:rsidP="00A8138F">
      <w:pPr>
        <w:pStyle w:val="TextoNormal"/>
      </w:pPr>
    </w:p>
    <w:p w14:paraId="3C865E5B" w14:textId="77777777" w:rsidR="00A8138F" w:rsidRDefault="00A8138F" w:rsidP="00A8138F">
      <w:pPr>
        <w:pStyle w:val="TextoNormal"/>
      </w:pPr>
      <w:r>
        <w:t>Esta sentencia, recuerda, invocando otras anteriores, la distinción entre ambos derechos fundamentales:</w:t>
      </w:r>
    </w:p>
    <w:p w14:paraId="3CA64888" w14:textId="77777777" w:rsidR="00A8138F" w:rsidRDefault="00A8138F" w:rsidP="00A8138F">
      <w:pPr>
        <w:pStyle w:val="TextoNormal"/>
      </w:pPr>
    </w:p>
    <w:p w14:paraId="61FC5E3A" w14:textId="77777777" w:rsidR="00A8138F" w:rsidRDefault="00A8138F" w:rsidP="00A8138F">
      <w:pPr>
        <w:pStyle w:val="TextoNormal"/>
      </w:pPr>
      <w:r>
        <w:t>«La STC 65/2015, de 13 de abril, por citar una sola de las muchas que se refieren a esta cuestión, hace hincapié en las dificultades para distinguir, en muchas ocasiones, entre libertad de expresión y libertad de información. A pesar de ello se insiste en que la Constitución y la jurisprudencia distinguen entre el derecho a expresar y difundir libremente pensamientos, ideas y opiniones mediante la palabra, el escrito o cualquier otro medio de reproducción, de una parte, y el que tiene por objeto, de otra, la libre comunicación de información veraz por cualquier medio de difusión [apartados a) y d), respectivamente, del art. 20.1 CE]. Y reconoce que por más que “una libertad y otra pueden llegar a entreverarse en los supuestos reales que la vida ofrece (STC 41/2011, FJ 2, y resoluciones allí citadas), este distingo entre derechos es de capital importancia, pues mientras el segundo de los citados se orienta, sobre todo, a la transmisión o comunicación de lo que se tienen por hechos —susceptibles, entonces, de contraste, prueba o mentís—, la libertad de expresión tiene su campo de proyección más propio en la manifestación de valoraciones o juicios que, es evidente, quedan al margen de toda confirmación o desmentido fácticos. Se trata de una diferencia relevante, como es obvio, para identificar el ámbito y los límites propios de cada una de estas libertades” [STC 65/2015, FJ 2].</w:t>
      </w:r>
    </w:p>
    <w:p w14:paraId="072A4AE6" w14:textId="77777777" w:rsidR="00A8138F" w:rsidRDefault="00A8138F" w:rsidP="00A8138F">
      <w:pPr>
        <w:pStyle w:val="TextoNormal"/>
      </w:pPr>
    </w:p>
    <w:p w14:paraId="4BB84A97" w14:textId="77777777" w:rsidR="00A8138F" w:rsidRDefault="00A8138F" w:rsidP="00A8138F">
      <w:pPr>
        <w:pStyle w:val="TextoNormal"/>
      </w:pPr>
      <w:r>
        <w:t>Sin perjuicio de lo anterior, también se ha advertido de que “el deslinde entre ambas libertades no siempre es nítido, ‘pues la expresión de la propia opinión necesita a menudo apoyarse en la narración de hechos y, a la inversa, la comunicación de hechos o noticias comprende casi siempre algún elemento valorativo, una vocación a la formación de una opinión (SSTC 6/1988, 107/1988, 143/1991, 190/1992 y 336/1993). Por ello, en los supuestos en que se mezclan elementos de una y otra significación debe atenderse al que aparezca como preponderante o predominante para subsumirlos en el correspondiente apartado del art. 20.1 CE (SSTC 6/1988, 105/1990, 172/1990, 123/1993, 76/1995 y 78/1995)’ (STC 4/1996, de 16 de enero, FJ 3)” [STC 172/2020, de 19 de noviembre, FJ 7 B) b)]».</w:t>
      </w:r>
    </w:p>
    <w:p w14:paraId="7275561A" w14:textId="77777777" w:rsidR="00A8138F" w:rsidRDefault="00A8138F" w:rsidP="00A8138F">
      <w:pPr>
        <w:pStyle w:val="TextoNormal"/>
      </w:pPr>
    </w:p>
    <w:p w14:paraId="60480567" w14:textId="77777777" w:rsidR="00A8138F" w:rsidRDefault="00A8138F" w:rsidP="00A8138F">
      <w:pPr>
        <w:pStyle w:val="TextoNormal"/>
      </w:pPr>
      <w:r>
        <w:t xml:space="preserve">b) Si la distinción entre ambas libertades no es siempre nítida, las dificultades se acrecientan cuando se contextualiza el ejercicio de una y de otra en el ámbito de las redes sociales, pues el uso de las herramientas digitales convierte a sus usuarios en creadores de contenidos, emisores, difusores y reproductores de esos contenidos. La STC 8/2022, de 27 de </w:t>
      </w:r>
      <w:r>
        <w:lastRenderedPageBreak/>
        <w:t xml:space="preserve">enero, recuerda la STEDH de 16 de junio de 2015, asunto </w:t>
      </w:r>
      <w:r w:rsidRPr="00A8138F">
        <w:rPr>
          <w:i/>
        </w:rPr>
        <w:t>Delfi AS c. Estonia</w:t>
      </w:r>
      <w:r>
        <w:t xml:space="preserve">, en la que la Gran Sala del Tribunal Europeo de Derechos Humanos expresa esta particularidad de forma clara: “la posibilidad de que los individuos se expresen en internet constituye una herramienta sin precedentes para el ejercicio de la libertad de expresión. Se trata de un hecho indiscutible, como ha reconocido en varias ocasiones [véanse </w:t>
      </w:r>
      <w:r w:rsidRPr="00A8138F">
        <w:rPr>
          <w:i/>
        </w:rPr>
        <w:t>Ahmet Yildirim c. Turquía</w:t>
      </w:r>
      <w:r>
        <w:t xml:space="preserve">, núm. 3111-10, § 48, TEDH 2012, y </w:t>
      </w:r>
      <w:r w:rsidRPr="00A8138F">
        <w:rPr>
          <w:i/>
        </w:rPr>
        <w:t xml:space="preserve">Times Newspapers Ltd. c. Reino Unido (núms. 1 y2) </w:t>
      </w:r>
      <w:r>
        <w:t>, núms. 3002-03 y 23676-03, § 27, TEDH 2009]. Sin embargo, las ventajas de este medio van acompañadas de una serie de riesgos. Contenidos claramente ilícitos, incluido el difamatorio, odioso o violento, pueden difundirse como nunca antes en todo el mundo, en cuestión de segundos, y a veces permanecer en línea durante mucho tiempo”. Por lo demás, aun cuando el art. 20 CE sí diferencia claramente libertad de expresión y derecho a la información, por más que su delimitación no sea siempre cristalina, no sucede lo mismo en el contexto del Consejo de Europa o de la Unión Europea, que se refieren a una genérica libertad de expresión que se concreta a través de la libertad de opinión, la libertad de transmitir información y la libertad de recibir información.</w:t>
      </w:r>
    </w:p>
    <w:p w14:paraId="2A72597B" w14:textId="77777777" w:rsidR="00A8138F" w:rsidRDefault="00A8138F" w:rsidP="00A8138F">
      <w:pPr>
        <w:pStyle w:val="TextoNormal"/>
      </w:pPr>
    </w:p>
    <w:p w14:paraId="43EAE994" w14:textId="77777777" w:rsidR="00A8138F" w:rsidRDefault="00A8138F" w:rsidP="00A8138F">
      <w:pPr>
        <w:pStyle w:val="TextoNormal"/>
      </w:pPr>
      <w:r>
        <w:t>Pues bien, el supuesto litigioso, es ejemplo de la difícil desagregación entre ambas libertades, y aunque, en efecto, nos encontramos ante el ejercicio de la libertad de expresión por la actora de este recurso de amparo, no es posible prescindir o dejar de lado la base fáctica en la que dicen basarse los tuits y las declaraciones objeto de juicio en la instancia.</w:t>
      </w:r>
    </w:p>
    <w:p w14:paraId="3F892892" w14:textId="77777777" w:rsidR="00A8138F" w:rsidRDefault="00A8138F" w:rsidP="00A8138F">
      <w:pPr>
        <w:pStyle w:val="TextoNormal"/>
      </w:pPr>
    </w:p>
    <w:p w14:paraId="27B2AC76" w14:textId="77777777" w:rsidR="00A8138F" w:rsidRDefault="00A8138F" w:rsidP="00A8138F">
      <w:pPr>
        <w:pStyle w:val="TextoNormal"/>
      </w:pPr>
      <w:r>
        <w:t>c) En atención a esta doctrina constitucional parece claro que las expresiones “[h]ace cuatro años conocimos que el antiguo alcalde de Oviedo se gastaba el dinero público para recorrer prostíbulos”, pronunciada en el debate electoral en la Radio Televisión del Principado, y “[h]ace cuatro años Oviedo era referencia en España porque tenía un alcalde que se gastaba el dinero público recorriendo prostíbulos”, difundida a través de Twitter, tienen un claro o marcado carácter de narración de hechos que, no obstante, al cohonestarlos con el final de la declaración y del tuit (“ahora mismo, en Educación, es el ayuntamiento que mayor excelencia tiene de gastos de España”, en el primer caso; “ahora somos un referente en educación. Esa es la diferencia”, en el segundo), sí contrastan con expresiones de carácter más valorativo, como las de “mayor excelencia” o “referente en educación”, en un contexto de campaña electoral.</w:t>
      </w:r>
    </w:p>
    <w:p w14:paraId="62F9E4DA" w14:textId="77777777" w:rsidR="00A8138F" w:rsidRDefault="00A8138F" w:rsidP="00A8138F">
      <w:pPr>
        <w:pStyle w:val="TextoNormal"/>
      </w:pPr>
    </w:p>
    <w:p w14:paraId="5B100078" w14:textId="72F42863" w:rsidR="00A8138F" w:rsidRDefault="00A8138F" w:rsidP="00A8138F">
      <w:pPr>
        <w:pStyle w:val="TextoNormal"/>
      </w:pPr>
      <w:r>
        <w:t>Sin desconocer el contexto político en el que se desenvuelven aquellas manifestaciones, en el que se puede apreciar una intención de ensalzar la gestión realizada por una formación política, que formaba parte de la mayoría de gobierno en el ayuntamiento, lo cierto es que la severa imputación de hechos que se realiza, no a un partido político que se ha implicado en la gestión municipal de un ayuntamiento sino a una concreta persona física de la que se sabía a ciencia cierta (pues no presentaba su candidatura a las elecciones municipales de 26 de mayo de 2019) que iba a abandonar sus tareas de responsabilidad política en primera línea (dejó efectivamente de ser concejal y portavoz del Grupo Popular en el Ayuntamiento de Oviedo en junio de 2019), exigen, aun cuando podamos hacer prevalecer, en estrecho margen, el derecho a la libertad de expresión [art. 20.1 a) CE], un claro rigor a la hora de examinar la correcta fiabilidad de la base fáctica en la que se basan estas declaraciones.</w:t>
      </w:r>
    </w:p>
    <w:p w14:paraId="6DBA1133" w14:textId="77777777" w:rsidR="00A8138F" w:rsidRDefault="00A8138F" w:rsidP="00A8138F">
      <w:pPr>
        <w:pStyle w:val="TextoNormal"/>
      </w:pPr>
    </w:p>
    <w:p w14:paraId="0E1FE2C8" w14:textId="77777777" w:rsidR="00A8138F" w:rsidRDefault="00A8138F" w:rsidP="00A8138F">
      <w:pPr>
        <w:pStyle w:val="TextoNormal"/>
      </w:pPr>
      <w:r w:rsidRPr="00A8138F">
        <w:rPr>
          <w:rStyle w:val="NumeroAFNegritaCaracter"/>
        </w:rPr>
        <w:t>4</w:t>
      </w:r>
      <w:r>
        <w:t xml:space="preserve">. </w:t>
      </w:r>
      <w:r w:rsidRPr="00A8138F">
        <w:rPr>
          <w:i/>
        </w:rPr>
        <w:t>Doctrina constitucional sobre la libertad de expresión y el derecho al honor</w:t>
      </w:r>
    </w:p>
    <w:p w14:paraId="11978E83" w14:textId="77777777" w:rsidR="00A8138F" w:rsidRDefault="00A8138F" w:rsidP="00A8138F">
      <w:pPr>
        <w:pStyle w:val="TextoNormal"/>
      </w:pPr>
    </w:p>
    <w:p w14:paraId="161D35F2" w14:textId="77777777" w:rsidR="00A8138F" w:rsidRDefault="00A8138F" w:rsidP="00A8138F">
      <w:pPr>
        <w:pStyle w:val="TextoNormal"/>
      </w:pPr>
      <w:r>
        <w:lastRenderedPageBreak/>
        <w:t>a) La STC 83/2023, de 4 de julio, FJ 4, expone la consolidada doctrina de este tribunal sobre el contenido de la libertad de expresión y sus límites, entre los que se encuentra el derecho al honor:</w:t>
      </w:r>
    </w:p>
    <w:p w14:paraId="3C147E2B" w14:textId="77777777" w:rsidR="00A8138F" w:rsidRDefault="00A8138F" w:rsidP="00A8138F">
      <w:pPr>
        <w:pStyle w:val="TextoNormal"/>
      </w:pPr>
    </w:p>
    <w:p w14:paraId="74414417" w14:textId="77777777" w:rsidR="00A8138F" w:rsidRDefault="00A8138F" w:rsidP="00A8138F">
      <w:pPr>
        <w:pStyle w:val="TextoNormal"/>
      </w:pPr>
      <w:r>
        <w:t>“Sobre el contenido de la libertad de expresión y sus límites existe una consolidada doctrina constitucional que se remonta a las tempranas SSTC 6/1981, de 16 de marzo, FJ 4, y 12/1982, de 31 de marzo, FJ 3, y que recuerdan, entre otras, las SSTC 177/2015, de 22 de julio, FJ 2; 112/2016, de 20 de junio, FJ 2, y 89/2018, de 6 de septiembre, FJ 3. Esta doctrina subraya repetidamente la ‘peculiar dimensión institucional de la libertad de expresión’, en cuanto que garantía para ‘la formación y existencia de una opinión pública libre’, que la convierte ‘en uno de los pilares de una sociedad libre y democrática’. De modo congruente, se ha insistido en la necesidad de que la libertad de expresión ha de gozar ‘de un amplio cauce para el intercambio de ideas y opiniones’, que ha de ser ‘lo suficientemente generoso como para que pueda desenvolverse sin angostura; esto es, sin timidez y sin temor’ (SSTC 9/2007, de 15 de enero, FJ 4; 50/2010, de 4 de octubre, FJ 7; 177/2015, de 22 de julio, FJ 2, y 112/2016, de 20 de junio, FJ 2). Tanto los límites a la libertad de expresión, como su contenido, han de ser ‘interpretados de tal modo que el derecho fundamental no resulte desnaturalizado’ (SSTC 20/1990, de 15 de febrero, FJ 4; 177/2015, de 22 de julio, FJ 2, y 112/2016, de 28 de junio, FJ 2)”.</w:t>
      </w:r>
    </w:p>
    <w:p w14:paraId="126EB9CD" w14:textId="77777777" w:rsidR="00A8138F" w:rsidRDefault="00A8138F" w:rsidP="00A8138F">
      <w:pPr>
        <w:pStyle w:val="TextoNormal"/>
      </w:pPr>
    </w:p>
    <w:p w14:paraId="58072698" w14:textId="77777777" w:rsidR="00A8138F" w:rsidRDefault="00A8138F" w:rsidP="00A8138F">
      <w:pPr>
        <w:pStyle w:val="TextoNormal"/>
      </w:pPr>
      <w:r>
        <w:t>En orden al necesario juicio de ponderación que ha de efectuarse cuando esta libertad entra en aparente contradicción con el derecho al honor, la sentencia ha recalcado que “el derecho al honor constituye no solo ‘un límite a las libertades del art. 20.1 a) y d) CE, expresamente citado como tal en el núm. 4 del mismo artículo, sino que también es, en sí mismo considerado, un derecho fundamental protegido por el art. 18.1 CE, que, derivado de la dignidad de la persona, confiere a su titular el derecho a no ser escarnecido o humillado ante uno mismo o ante los demás’ (SSTC 85/1992, de 8 de junio, FJ 4; 297/2000, de 11 de diciembre, FJ 7; y 204/2001, de 15 de octubre, FJ 7). En consecuencia, el mencionado derecho fundamental protege frente al ‘desmerecimiento en la consideración ajena’ (STC 52/2002, de 25 de febrero, FJ 4), pues lo perseguido por el art. 18.1 CE ‘es la indemnidad de la imagen que de una persona puedan tener los demás’ (STC 180/1999, de 11 de octubre, FJ 5).</w:t>
      </w:r>
    </w:p>
    <w:p w14:paraId="03C193E3" w14:textId="77777777" w:rsidR="00A8138F" w:rsidRDefault="00A8138F" w:rsidP="00A8138F">
      <w:pPr>
        <w:pStyle w:val="TextoNormal"/>
      </w:pPr>
    </w:p>
    <w:p w14:paraId="28810A53" w14:textId="77777777" w:rsidR="00A8138F" w:rsidRDefault="00A8138F" w:rsidP="00A8138F">
      <w:pPr>
        <w:pStyle w:val="TextoNormal"/>
      </w:pPr>
      <w:r>
        <w:t xml:space="preserve">A pesar de ello, este tribunal ha venido afirmado que la libertad de expresión puede comprender también la crítica de la conducta de otro, aun cuando la misma sea desabrida y pueda molestar, inquietar o disgustar a quien se dirige, pues ‘así lo requieren el pluralismo, la tolerancia y el espíritu de apertura, sin los cuales no existe sociedad democrática’ (SSTEDH de 23 de abril de 1992, asunto </w:t>
      </w:r>
      <w:r w:rsidRPr="00A8138F">
        <w:rPr>
          <w:i/>
        </w:rPr>
        <w:t>Castells c. España</w:t>
      </w:r>
      <w:r>
        <w:t xml:space="preserve">, § 42, y de 29 de febrero de 2000, asunto </w:t>
      </w:r>
      <w:r w:rsidRPr="00A8138F">
        <w:rPr>
          <w:i/>
        </w:rPr>
        <w:t>Fuentes Bobo c. España</w:t>
      </w:r>
      <w:r>
        <w:t>, § 43). De modo que, como subraya la STC 235/2007, de 7 de noviembre, FJ 4, la libertad de expresión vale no sólo para la difusión de ideas u opiniones ‘acogidas con favor o consideradas inofensivas o indiferentes, sino también para aquellas que contrarían, chocan o inquietan al Estado o a una parte cualquiera de la población’.</w:t>
      </w:r>
    </w:p>
    <w:p w14:paraId="39F71773" w14:textId="77777777" w:rsidR="00A8138F" w:rsidRDefault="00A8138F" w:rsidP="00A8138F">
      <w:pPr>
        <w:pStyle w:val="TextoNormal"/>
      </w:pPr>
    </w:p>
    <w:p w14:paraId="603A7EF1" w14:textId="77777777" w:rsidR="00A8138F" w:rsidRDefault="00A8138F" w:rsidP="00A8138F">
      <w:pPr>
        <w:pStyle w:val="TextoNormal"/>
      </w:pPr>
      <w:r>
        <w:t xml:space="preserve">No obstante, quedan fuera de la protección del art. 20.1 a) CE aquellas expresiones que en las concretas circunstancias del caso sean absolutamente injuriosas, ultrajantes u oprobiosas, es decir, las expresiones ofensivas que no guardan relación con las ideas u opiniones que se expongan o que resulten innecesarias para la exposición de las mismas, toda vez que el referido precepto constitucional ‘no reconoce un pretendido derecho al insulto’ (entre </w:t>
      </w:r>
      <w:r>
        <w:lastRenderedPageBreak/>
        <w:t>otras muchas, SSTC 6/2000, de 17 de enero, FJ 5; 177/2015, de 22 de julio, FJ 2; 112/2016, de 20 de junio, FJ 2, y 89/2018, de 6 de septiembre, FJ 3). En tal sentido hemos afirmado que ‘el ejercicio del derecho de crítica no permite emplear expresiones formalmente injuriosas o innecesarias para lo que se desea expresar, que bien pueden constituir intromisiones constitucionalmente ilegítimas en el honor o en la intimidad personal o familiar ajenas’ (SSTC 105/1990, de 6 de junio, FJ 4; 85/1992, de 8 de junio, FJ 4; 200/1998, de 14 de octubre, FJ 3; 192/1999, de 25 de octubre, FJ 3, y 112/2000, de 5 de mayo, FJ 6).</w:t>
      </w:r>
    </w:p>
    <w:p w14:paraId="03B9D67B" w14:textId="77777777" w:rsidR="00A8138F" w:rsidRDefault="00A8138F" w:rsidP="00A8138F">
      <w:pPr>
        <w:pStyle w:val="TextoNormal"/>
      </w:pPr>
    </w:p>
    <w:p w14:paraId="7261C276" w14:textId="77777777" w:rsidR="00A8138F" w:rsidRDefault="00A8138F" w:rsidP="00A8138F">
      <w:pPr>
        <w:pStyle w:val="TextoNormal"/>
      </w:pPr>
      <w:r>
        <w:t xml:space="preserve">Idéntica posición sostiene la jurisprudencia del Tribunal Europeo de Derechos Humanos que, a través de una reiterada doctrina, ha venido afirmando que el ejercicio de la libertad de expresión (art. 10 del Convenio europeo de derechos humanos: CEDH) puede amparar la utilización de ‘frases vulgares o soeces’ cuando estas se encuentran irremediablemente vinculadas al mensaje que se trata de transmitir. De esta manera, el empleo de este tipo de locuciones quedará fuera del ámbito de protección del art. 10 CEDH cuando aparezcan desvinculadas de la crítica que se trate de verter, cuando supongan ‘una vejación gratuita’ (STEDH de 28 de septiembre de 2000, asunto </w:t>
      </w:r>
      <w:r w:rsidRPr="00A8138F">
        <w:rPr>
          <w:i/>
        </w:rPr>
        <w:t>Lopes Gomes Da Silva c. Portugal</w:t>
      </w:r>
      <w:r>
        <w:t xml:space="preserve">, § 34) o ‘cuando el único propósito de la declaración ofensiva sea insultar’ (STEDH de 27 de mayo de 2003, asunto </w:t>
      </w:r>
      <w:r w:rsidRPr="00A8138F">
        <w:rPr>
          <w:i/>
        </w:rPr>
        <w:t>Skalka c. Polonia</w:t>
      </w:r>
      <w:r>
        <w:t>, § 34).</w:t>
      </w:r>
    </w:p>
    <w:p w14:paraId="39812803" w14:textId="77777777" w:rsidR="00A8138F" w:rsidRDefault="00A8138F" w:rsidP="00A8138F">
      <w:pPr>
        <w:pStyle w:val="TextoNormal"/>
      </w:pPr>
    </w:p>
    <w:p w14:paraId="2E602440" w14:textId="77777777" w:rsidR="00A8138F" w:rsidRDefault="00A8138F" w:rsidP="00A8138F">
      <w:pPr>
        <w:pStyle w:val="TextoNormal"/>
      </w:pPr>
      <w:r>
        <w:t xml:space="preserve">El nivel de tolerancia debe ser aún mayor cuando las expresiones críticas se dirigen a los representantes políticos, autoridades y cargos públicos. Respecto a estos, el Tribunal Europeo de Derechos Humanos ha señalado que ‘los límites a la crítica aceptable son más amplios con respecto a un político que actúa en su capacidad pública que en relación con un individuo privado. Quienes participan voluntariamente en el debate político público quedan expuestos, de forma inevitable y consciente, al escrutinio minucioso de sus acciones y manifestaciones, tanto por parte de los periodistas como del público en general, por lo que deben mostrar un mayor grado de tolerancia, especialmente, cuando hacen declaraciones públicas que son susceptibles de crítica. Ciertamente tienen derecho a que se proteja su reputación, aun cuando no actúe en condición de particular, pero los requisitos de esta protección deben sopesarse frente a los intereses de la discusión abierta de cuestiones políticas, ya que las excepciones a la libertad de expresión deben interpretarse estrictamente’ (STEDH de 28 de septiembre de 2020, asunto </w:t>
      </w:r>
      <w:r w:rsidRPr="00A8138F">
        <w:rPr>
          <w:i/>
        </w:rPr>
        <w:t>Lopes Gomes Da Silva c. Portugal</w:t>
      </w:r>
      <w:r>
        <w:t>, § 30)”.</w:t>
      </w:r>
    </w:p>
    <w:p w14:paraId="02450C20" w14:textId="77777777" w:rsidR="00A8138F" w:rsidRDefault="00A8138F" w:rsidP="00A8138F">
      <w:pPr>
        <w:pStyle w:val="TextoNormal"/>
      </w:pPr>
    </w:p>
    <w:p w14:paraId="2F2FD74A" w14:textId="77777777" w:rsidR="00A8138F" w:rsidRDefault="00A8138F" w:rsidP="00A8138F">
      <w:pPr>
        <w:pStyle w:val="TextoNormal"/>
      </w:pPr>
      <w:r>
        <w:t xml:space="preserve">b) Dado que en el caso sometido a nuestro enjuiciamiento uno de los medios utilizados para difundir el mensaje que el actor en el procedimiento </w:t>
      </w:r>
      <w:r w:rsidRPr="00A8138F">
        <w:rPr>
          <w:i/>
        </w:rPr>
        <w:t>a quo</w:t>
      </w:r>
      <w:r>
        <w:t xml:space="preserve"> consideró atentatorio de su derecho al honor fue la red social Twitter (hoy red social X), debe traerse a colación la reciente doctrina establecida por este tribunal sobre los parámetros en los que ha de desenvolverse el ejercicio de los derechos y libertades fundamentales de los arts. 18.1 y 20.1 CE en el marco de la nueva sociedad digital, contenida en las SSTC 27/2020, de 24 de febrero, FJ 3; 93/2021, de 10 de mayo, FJ 2; 8/2022, de 27 de enero, FJ 2, y 83/2023, de 4 de julio, FJ 5. Conforme a esa doctrina, “la transformación derivada de las nuevas formas de comunicación y la generalización de su uso, no produce un vaciamiento de la protección constitucional de los derechos fundamentales y tampoco altera, desde un punto de vista sustantivo o material, los criterios asentados por nuestra reiterada doctrina sobre la función de este tribunal para apreciar si ha existido una vulneración del derecho al honor, ni modifica el contenido y alcance de los derechos fundamentales que deben ser ponderados cuando se invoca una vulneración, que, como en este caso, resulta de la colisión entre la libertad de </w:t>
      </w:r>
      <w:r>
        <w:lastRenderedPageBreak/>
        <w:t>expresión y el derecho al honor. En efecto, si la conducta es lesiva del derecho al honor fuera de la red, también lo es en ella” (STC 93/2021, de 10 de mayo, FJ 2).</w:t>
      </w:r>
    </w:p>
    <w:p w14:paraId="48429441" w14:textId="77777777" w:rsidR="00A8138F" w:rsidRDefault="00A8138F" w:rsidP="00A8138F">
      <w:pPr>
        <w:pStyle w:val="TextoNormal"/>
      </w:pPr>
    </w:p>
    <w:p w14:paraId="58D7E1D4" w14:textId="77777777" w:rsidR="00A8138F" w:rsidRDefault="00A8138F" w:rsidP="00A8138F">
      <w:pPr>
        <w:pStyle w:val="TextoNormal"/>
      </w:pPr>
      <w:r>
        <w:t xml:space="preserve">c) Por último, en relación con el presupuesto de la proporcionalidad, la STC 93/2021, de 10 de mayo, FJ 4, recuerda que “es posible que, a pesar de producirse una intromisión en el derecho al honor, la misma no se considere ilegítima si se revela como necesaria para lograr un fin constitucionalmente legítimo, es proporcionada para alcanzarlo y se lleva a cabo de un modo necesario para procurar una mínima afectación del ámbito garantizado por este derecho. Es por ello por lo que nuestra doctrina ha amparado la crítica de la conducta de otros, aun cuando la misma sea desabrida y pueda molestar, inquietar o disgustar a quien se dirige, siempre que sea necesaria para transmitir la opinión y proporcionada para exteriorizarla”. La STC 79/2014, de 28 de mayo, FJ 7, destaca que “lo relevante para determinar el carácter meramente ofensivo de una expresión en su vinculación o desvinculación con el juicio de valor que se emite”. Y la STC 83/2023, de 4 de julio, FJ 4, recuerda que las expresiones que quedan fuera de la protección del art. 20.1 a) CE son aquellas “que en las concretas circunstancias del caso sean absolutamente injuriosas, ultrajantes u oprobiosas, es decir, las expresiones ofensivas que no guardan relación con las ideas u opiniones que se expongan o que resulten innecesarias para la exposición de las mismas, toda vez que el referido precepto constitucional ‘no reconoce un pretendido derecho al insulto’”. Esta última sentencia también invoca la jurisprudencia del Tribunal Europeo de Derechos Humanos que afirma que el ejercicio de la libertad de expresión “puede amparar la utilización de ‘frases vulgares o soeces’ cuando éstas se encuentran irremediablemente vinculadas al mensaje que se trata de transmitir. De esta manera, el empleo de este tipo de locuciones quedará fuera del ámbito de protección del art. 10 CEDH cuando aparezcan desvinculadas de la crítica que se trate de verter, cuando supongan ‘una vejación gratuita’ (STEDH de 28 de septiembre de 2020, asunto </w:t>
      </w:r>
      <w:r w:rsidRPr="00A8138F">
        <w:rPr>
          <w:i/>
        </w:rPr>
        <w:t>Lopes Gomes Da Silva c. Portugal</w:t>
      </w:r>
      <w:r>
        <w:t xml:space="preserve">, § 34) o ‘cuando el único propósito de la declaración ofensiva sea insultar’ (STEDH de 27 de mayo de 2003, asunto </w:t>
      </w:r>
      <w:r w:rsidRPr="00A8138F">
        <w:rPr>
          <w:i/>
        </w:rPr>
        <w:t>Skalka c. Polonia</w:t>
      </w:r>
      <w:r>
        <w:t>, § 34)”.</w:t>
      </w:r>
    </w:p>
    <w:p w14:paraId="1FF73E3E" w14:textId="77777777" w:rsidR="00A8138F" w:rsidRDefault="00A8138F" w:rsidP="00A8138F">
      <w:pPr>
        <w:pStyle w:val="TextoNormal"/>
      </w:pPr>
    </w:p>
    <w:p w14:paraId="325D9608" w14:textId="2B4E8282" w:rsidR="00A8138F" w:rsidRDefault="00A8138F" w:rsidP="00A8138F">
      <w:pPr>
        <w:pStyle w:val="TextoNormal"/>
      </w:pPr>
      <w:r>
        <w:t>Por otro lado, dado que el juicio de proporcionalidad debe realizarse en atención a “las concretas circunstancias del caso” (STC 83/2023, de 4 de julio, FJ 4), dicho juicio no puede desvincularse, en supuestos como el que se analiza, del particular contexto de contienda electoral en el que se enmarcaron las expresiones controvertidas, pues, como se ha expuesto anteriormente y se indica en la STC 136/1999, de 20 de julio, FJ 15, cuando la libertad de expresión opera como instrumento de participación política debe reconocérsele, si cabe, una mayor amplitud que cuando actúa en otros contextos, ya que el bien jurídico fundamental tutelado es también aquí el de la formación de la opinión pública libre, lo que la convierte en especialmente resistente, inmune, a las restricciones que es claro que en otro contexto habrían de operar. Y, como destaca la STC 226/2016, de 22 de diciembre, FJ 4, el Tribunal Europeo de Derechos Humanos tiene establecido que en el ámbito específico del “discurso político” el art. 10.2 CEDH “no deja apenas espacio para la restricción de la libertad de expresión”.</w:t>
      </w:r>
    </w:p>
    <w:p w14:paraId="3369DA9F" w14:textId="77777777" w:rsidR="00A8138F" w:rsidRDefault="00A8138F" w:rsidP="00A8138F">
      <w:pPr>
        <w:pStyle w:val="TextoNormal"/>
      </w:pPr>
    </w:p>
    <w:p w14:paraId="13E788E9" w14:textId="77777777" w:rsidR="00A8138F" w:rsidRDefault="00A8138F" w:rsidP="00A8138F">
      <w:pPr>
        <w:pStyle w:val="TextoNormal"/>
      </w:pPr>
      <w:r w:rsidRPr="00A8138F">
        <w:rPr>
          <w:rStyle w:val="NumeroAFNegritaCaracter"/>
        </w:rPr>
        <w:t>5</w:t>
      </w:r>
      <w:r>
        <w:t xml:space="preserve">. </w:t>
      </w:r>
      <w:r w:rsidRPr="00A8138F">
        <w:rPr>
          <w:i/>
        </w:rPr>
        <w:t>Aplicación al presente caso de la doctrina constitucional expuesta</w:t>
      </w:r>
    </w:p>
    <w:p w14:paraId="159EDDF4" w14:textId="77777777" w:rsidR="00A8138F" w:rsidRDefault="00A8138F" w:rsidP="00A8138F">
      <w:pPr>
        <w:pStyle w:val="TextoNormal"/>
      </w:pPr>
    </w:p>
    <w:p w14:paraId="73077D27" w14:textId="77777777" w:rsidR="00A8138F" w:rsidRDefault="00A8138F" w:rsidP="00A8138F">
      <w:pPr>
        <w:pStyle w:val="TextoNormal"/>
      </w:pPr>
      <w:r>
        <w:t>La aplicación de la doctrina expuesta ha de conducir a la desestimación de la demanda de amparo, en atención a las siguientes consideraciones:</w:t>
      </w:r>
    </w:p>
    <w:p w14:paraId="565080BA" w14:textId="77777777" w:rsidR="00A8138F" w:rsidRDefault="00A8138F" w:rsidP="00A8138F">
      <w:pPr>
        <w:pStyle w:val="TextoNormal"/>
      </w:pPr>
    </w:p>
    <w:p w14:paraId="154CB058" w14:textId="77777777" w:rsidR="00A8138F" w:rsidRDefault="00A8138F" w:rsidP="00A8138F">
      <w:pPr>
        <w:pStyle w:val="TextoNormal"/>
      </w:pPr>
      <w:r>
        <w:lastRenderedPageBreak/>
        <w:t>a) En primer lugar, es necesario analizar si las declaraciones realizadas y los tuits publicados por la recurrente en amparo pueden valorarse como apoyadas en una base fáctica razonable. En esta primera línea argumental, resulta cierto que unos años antes de esas manifestaciones, en concreto, cuatro años, se habían difundido noticias periodísticas que decían que el Sr. Iglesias Caunedo estaba siendo investigado por su posible participación en una presunta trama de corrupción en la adjudicación de contratos relacionados con el abastecimiento de aguas y el pago por una empresa concesionaria de gastos ocasionados en viajes en los que aquél había participado, entre los que, al parecer, se incluían 450 € en “putas y varios” y 600 $ en “putiferios”. Sin embargo, en estas informaciones no se decía, ni directa ni indirectamente, que el Sr. Iglesias se gastara el dinero público recorriendo prostíbulos, ni que estuviera siendo investigado por estas actividades; más aún, según esas mismas informaciones, uno de los gastos aludidos se habría producido cuando el demandante había abandonado el viaje.</w:t>
      </w:r>
    </w:p>
    <w:p w14:paraId="71A2B67D" w14:textId="77777777" w:rsidR="00A8138F" w:rsidRDefault="00A8138F" w:rsidP="00A8138F">
      <w:pPr>
        <w:pStyle w:val="TextoNormal"/>
      </w:pPr>
    </w:p>
    <w:p w14:paraId="4602ABB4" w14:textId="77777777" w:rsidR="00A8138F" w:rsidRDefault="00A8138F" w:rsidP="00A8138F">
      <w:pPr>
        <w:pStyle w:val="TextoNormal"/>
      </w:pPr>
      <w:r>
        <w:t xml:space="preserve">Por tanto, las manifestaciones realizadas por la Sra. Taboada Coma, tanto en el debate electoral como en los tuits publicados, no se ajustan a lo que habían publicado los medios de comunicación, sino que se corresponden con su propia versión subjetiva de los hechos, es decir a su peculiar interpretación de los mismos. En este sentido, resulta procedente recordar que la doctrina de este tribunal (STC 79/2014, de 28 de mayo, FFJJ 4 y 5) indica que, si bien no resulta aplicable a la libertad de expresión el canon de veracidad propio de la libertad de información, “incluso desde el canon propio de la libertad de expresión, cuando una declaración equivale a un juicio de valor, debe basarse en una base factual suficiente como indica la STEDH de 22 de octubre de 2007 (caso </w:t>
      </w:r>
      <w:r w:rsidRPr="00A8138F">
        <w:rPr>
          <w:i/>
        </w:rPr>
        <w:t>Lindon y otros contra Francia</w:t>
      </w:r>
      <w:r>
        <w:t>, ya citada)”. La propia recurrente en su demanda recuerda que veracidad no debe justificarse con exactitud de la noticia, pero es que en el caso se constata una falta absoluta de sustentabilidad de los hechos imputados por la Sra. Taboada y que relacionaba explícitamente el uso del dinero público para gastos personales en prostíbulos.</w:t>
      </w:r>
    </w:p>
    <w:p w14:paraId="647C1288" w14:textId="77777777" w:rsidR="00A8138F" w:rsidRDefault="00A8138F" w:rsidP="00A8138F">
      <w:pPr>
        <w:pStyle w:val="TextoNormal"/>
      </w:pPr>
    </w:p>
    <w:p w14:paraId="6FE15790" w14:textId="77777777" w:rsidR="00A8138F" w:rsidRDefault="00A8138F" w:rsidP="00A8138F">
      <w:pPr>
        <w:pStyle w:val="TextoNormal"/>
      </w:pPr>
      <w:r>
        <w:t>b) En orden a esta versión o valoración subjetiva de los hechos, considera este tribunal que las expresiones vertidas por la Sra. Taboada Coma, tanto en el debate electoral como en su cuenta de Twitter, presentan un alto grado de desproporción en su deseo de agraviar Sr. Iglesias, lo que permite valorar que su inclusión para tratar de comparar dos formas de hacer política resulta a todas luces innecesaria para cumplir esa finalidad perseguida en la contienda electoral.</w:t>
      </w:r>
    </w:p>
    <w:p w14:paraId="325E76D8" w14:textId="77777777" w:rsidR="00A8138F" w:rsidRDefault="00A8138F" w:rsidP="00A8138F">
      <w:pPr>
        <w:pStyle w:val="TextoNormal"/>
      </w:pPr>
    </w:p>
    <w:p w14:paraId="65B539C5" w14:textId="77777777" w:rsidR="00A8138F" w:rsidRDefault="00A8138F" w:rsidP="00A8138F">
      <w:pPr>
        <w:pStyle w:val="TextoNormal"/>
      </w:pPr>
      <w:r>
        <w:t>En este sentido, no se puede olvidar que la Sra. Taboada se refería a unas diligencias abiertas hace cuatro años, cuya investigación, en el contexto temporal en el que se vierten las manifestaciones, era perfectamente conocida al indagarse un presunto trato de favor a empresas concesionarias del servicio de abastecimiento del agua. Por otro lado, el que hubieran pasado cuatro años desde el inicio de esas diligencias, y el hecho de reiterarse las declaraciones en el tiempo a través de los tuits publicados y manifestadas en un debate electoral en el que no era parte Sr. Iglesias, demuestran que no fueron vertidas de forma espontánea en un momento de la contienda electoral, sino, al contrario, de forma totalmente reflexiva y con plena conciencia de su gravedad, al reprocharle una conducta socialmente censurable con afección no solo a su esfera profesional o de relevancia pública, sino también a su ámbito personal y familiar.</w:t>
      </w:r>
    </w:p>
    <w:p w14:paraId="735DEFE7" w14:textId="77777777" w:rsidR="00A8138F" w:rsidRDefault="00A8138F" w:rsidP="00A8138F">
      <w:pPr>
        <w:pStyle w:val="TextoNormal"/>
      </w:pPr>
    </w:p>
    <w:p w14:paraId="5B047E52" w14:textId="77777777" w:rsidR="00A8138F" w:rsidRDefault="00A8138F" w:rsidP="00A8138F">
      <w:pPr>
        <w:pStyle w:val="TextoNormal"/>
      </w:pPr>
      <w:r>
        <w:lastRenderedPageBreak/>
        <w:t>c) Debe asimismo tenerse en cuenta que en el llamado debate en la radiotelevisión pública autonómica intervino la Sra. Taboada en representación de su formación política (agrupación electoral Somos Oviedo) realizando las imputaciones reseñadas, y que dicho debate tuvo lugar el último día de campaña electoral. En ese programa televisivo no intervino el Sr. Iglesias, que, por tanto, no pudo ejercer su derecho de respuesta. Pero es que, además al emitirse las declaraciones y los tuits el viernes inmediatamente anterior a la jornada electoral del domingo 26 de mayo de 2019, no tuvo tampoco oportunidad de responder a la invectiva hecha pública.</w:t>
      </w:r>
    </w:p>
    <w:p w14:paraId="7A4A3D08" w14:textId="77777777" w:rsidR="00A8138F" w:rsidRDefault="00A8138F" w:rsidP="00A8138F">
      <w:pPr>
        <w:pStyle w:val="TextoNormal"/>
      </w:pPr>
    </w:p>
    <w:p w14:paraId="1F2D187B" w14:textId="77777777" w:rsidR="00A8138F" w:rsidRDefault="00A8138F" w:rsidP="00A8138F">
      <w:pPr>
        <w:pStyle w:val="TextoNormal"/>
      </w:pPr>
      <w:r>
        <w:t>d) Por último, esas manifestaciones desproporcionadas, e injustificadas desde la perspectiva de la libertad de expresión, van dirigidas a una persona que, si bien estuvo en la primera línea política al ser alcalde de la ciudad de Oviedo por el Partido Popular (del 10 de enero de 2012 al 13 de junio de 2015) y posteriormente concejal y portavoz de la misma formación política, lo cierto es que ya había abandonado el primer plano de la actividad política desde el punto y hora que no había presentado su candidatura a las elecciones municipales de 26 de mayo de 2019, cuya convocatoria motivó las declaraciones y los tuits de la demandada (pues, en efecto, el Sr. Iglesias dejó de ser concejal y portavoz de su grupo en el ayuntamiento ovetense el 15 de junio de 2019). Y es que el mayor grado de tolerancia al que están sujetos los representantes políticos, autoridades y cargos públicos, que los expone, de forma inevitable, al escrutinio minucioso de sus acciones y manifestaciones, no puede operar con la misma intensidad cuando se trata, como en este caso sucede, de una persona que no se encontraba ya en la primera línea de la política y que no se iba a presentar a las elecciones municipales convocadas para el 26 de mayo de 2019, a las que sí concurría la demandante de amparo, por entonces teniente de alcalde del Ayuntamiento de Oviedo y portavoz de la agrupación electoral Somos Oviedo.</w:t>
      </w:r>
    </w:p>
    <w:p w14:paraId="41630A82" w14:textId="77777777" w:rsidR="00A8138F" w:rsidRDefault="00A8138F" w:rsidP="00A8138F">
      <w:pPr>
        <w:pStyle w:val="TextoNormal"/>
      </w:pPr>
    </w:p>
    <w:p w14:paraId="1166FD50" w14:textId="4BCF63EF" w:rsidR="00A8138F" w:rsidRDefault="00A8138F" w:rsidP="00A8138F">
      <w:pPr>
        <w:pStyle w:val="TextoNormal"/>
      </w:pPr>
      <w:r>
        <w:t>e) Aun cuando los personajes públicos tengan la obligación de soportar un nivel más intenso de la crítica y del escrutinio público, ello no puede comportar que cualquier imputación que afecte a su reputación pueda ser amparada por la libertad de expresión. La innecesaridad y falta de proporcionalidad de la frase y del tuit de la demandante de amparo —en cuanto esos mensajes, de tono gravemente peyorativo para el Sr. Iglesias, responden a la peculiar interpretación que realiza la demandante de lo publicado en los medios de comunicación varios años antes y no resultan necesarios para cumplir con la pretendida finalidad de comparar dos formas diferentes de hacer política—, y la ausencia de toda relación con la contienda electoral —toda vez que el Sr. Iglesias ya no era candidato a las elecciones municipales que iban a celebrarse, lo que le situaba fuera del primer plano de la política, y la imputación era personal y no a su partido político, a lo que se añade que no tuvo oportunidad de responder a la invectiva hecha pública por la demandante en el debate televisivo celebrado el último día de campaña electoral— conducen a la desestimación del recurso de amparo.</w:t>
      </w:r>
    </w:p>
    <w:p w14:paraId="3286193E" w14:textId="77777777" w:rsidR="00A8138F" w:rsidRDefault="00A8138F" w:rsidP="00A8138F">
      <w:pPr>
        <w:pStyle w:val="TextoNormal"/>
      </w:pPr>
    </w:p>
    <w:p w14:paraId="030D7D8E" w14:textId="77777777" w:rsidR="00A8138F" w:rsidRDefault="00A8138F" w:rsidP="00A8138F">
      <w:pPr>
        <w:pStyle w:val="TextoNormalCentrado"/>
        <w:keepNext/>
      </w:pPr>
      <w:r>
        <w:t>FALLO</w:t>
      </w:r>
    </w:p>
    <w:p w14:paraId="0DF77990" w14:textId="69FF5284" w:rsidR="00A8138F" w:rsidRDefault="00A8138F" w:rsidP="00A8138F">
      <w:pPr>
        <w:pStyle w:val="TextoNormalCentrado"/>
        <w:keepNext/>
      </w:pPr>
    </w:p>
    <w:p w14:paraId="11E1D72E" w14:textId="2008C133"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doña Ana Taboada Coma.</w:t>
      </w:r>
    </w:p>
    <w:p w14:paraId="1733071E" w14:textId="77777777" w:rsidR="00A8138F" w:rsidRDefault="00A8138F" w:rsidP="00A8138F">
      <w:pPr>
        <w:pStyle w:val="TextoNormal"/>
      </w:pPr>
    </w:p>
    <w:p w14:paraId="1E5BE4D2" w14:textId="77777777" w:rsidR="00A8138F" w:rsidRDefault="00A8138F" w:rsidP="00A8138F">
      <w:pPr>
        <w:pStyle w:val="TextoNormal"/>
      </w:pPr>
      <w:r>
        <w:t>Publíquese esta sentencia en el “Boletín Oficial del Estado”.</w:t>
      </w:r>
    </w:p>
    <w:p w14:paraId="523FD1CE" w14:textId="77777777" w:rsidR="00A8138F" w:rsidRDefault="00A8138F" w:rsidP="00A8138F">
      <w:pPr>
        <w:pStyle w:val="TextoNormal"/>
      </w:pPr>
      <w:r>
        <w:lastRenderedPageBreak/>
        <w:t>Dada en Madrid, a veintiocho de abril de dos mil veinticinco.</w:t>
      </w:r>
    </w:p>
    <w:p w14:paraId="194D5DAD" w14:textId="480F6F9E" w:rsidR="00A8138F" w:rsidRDefault="00A8138F">
      <w:pPr>
        <w:spacing w:after="160" w:line="278" w:lineRule="auto"/>
        <w:rPr>
          <w:rFonts w:ascii="Times New Roman" w:eastAsia="Times New Roman" w:hAnsi="Times New Roman" w:cs="Times New Roman"/>
          <w:sz w:val="24"/>
          <w:szCs w:val="24"/>
          <w:lang w:eastAsia="es-ES"/>
        </w:rPr>
      </w:pPr>
      <w:r>
        <w:br w:type="page"/>
      </w:r>
    </w:p>
    <w:p w14:paraId="11367342" w14:textId="77777777" w:rsidR="00A8138F" w:rsidRDefault="00A8138F" w:rsidP="00A8138F">
      <w:pPr>
        <w:pStyle w:val="TtuloResolucin"/>
      </w:pPr>
      <w:bookmarkStart w:id="103" w:name="SENTENCIA_2025_101"/>
      <w:r>
        <w:lastRenderedPageBreak/>
        <w:t>SENTENCIA 101/2025, de 28 de abril de 2025</w:t>
      </w:r>
    </w:p>
    <w:bookmarkEnd w:id="103"/>
    <w:p w14:paraId="1A5EEB80" w14:textId="77777777" w:rsidR="00A8138F" w:rsidRDefault="00A8138F" w:rsidP="00A8138F">
      <w:pPr>
        <w:pStyle w:val="TtuloResolucin"/>
      </w:pPr>
      <w:r>
        <w:t>Sala Segunda</w:t>
      </w:r>
    </w:p>
    <w:p w14:paraId="75BFDA36" w14:textId="77777777" w:rsidR="00A8138F" w:rsidRDefault="00A8138F" w:rsidP="00A8138F">
      <w:pPr>
        <w:pStyle w:val="TtuloBOE"/>
      </w:pPr>
      <w:r>
        <w:t>(BOE núm. 135, de 5 de junio de 2025)</w:t>
      </w:r>
    </w:p>
    <w:p w14:paraId="517A7E1D" w14:textId="77777777" w:rsidR="00A8138F" w:rsidRDefault="00A8138F" w:rsidP="00A8138F">
      <w:pPr>
        <w:pStyle w:val="TextoNormalCentrado"/>
      </w:pPr>
      <w:r>
        <w:t>ECLI:ES:TC:2025:101</w:t>
      </w:r>
    </w:p>
    <w:p w14:paraId="52214009" w14:textId="60A267F1" w:rsidR="00A8138F" w:rsidRDefault="00A8138F" w:rsidP="00A8138F">
      <w:pPr>
        <w:pStyle w:val="TextoNormalCentrado"/>
      </w:pPr>
    </w:p>
    <w:p w14:paraId="42A99D29" w14:textId="77777777" w:rsidR="00A8138F" w:rsidRDefault="00A8138F" w:rsidP="00A8138F">
      <w:pPr>
        <w:pStyle w:val="SntesisDescriptiva"/>
      </w:pPr>
      <w:r>
        <w:t>Recurso de amparo 7511-2023. Promovido por Editorial Prensa Asturiana, S.A.U., respecto de la sentencia de la Sala de lo Civil del Tribunal Supremo que estimó, en casación, una demanda por vulneración de los derechos al honor y a la propia imagen.</w:t>
      </w:r>
    </w:p>
    <w:p w14:paraId="55CC24DE" w14:textId="13AF2EF8" w:rsidR="00A8138F" w:rsidRDefault="00A8138F" w:rsidP="00A8138F">
      <w:pPr>
        <w:pStyle w:val="SntesisDescriptiva"/>
      </w:pPr>
    </w:p>
    <w:p w14:paraId="7515DF5E" w14:textId="77777777" w:rsidR="00A8138F" w:rsidRDefault="00A8138F" w:rsidP="00A8138F">
      <w:pPr>
        <w:pStyle w:val="SntesisAnaltica"/>
      </w:pPr>
      <w:r>
        <w:t>Supuesta vulneración del derecho a la libertad de información: STC 62/2025 (difusión de un vídeo en el que aparecen imágenes de quien no es sujeto de la noticia; doctrina del reportaje neutral). Voto particular.</w:t>
      </w:r>
    </w:p>
    <w:p w14:paraId="02D41613" w14:textId="1D5F88F5" w:rsidR="00A8138F" w:rsidRDefault="00A8138F" w:rsidP="00A8138F">
      <w:pPr>
        <w:pStyle w:val="SntesisAnaltica"/>
      </w:pPr>
    </w:p>
    <w:p w14:paraId="6A8FEDB9" w14:textId="3F13B478" w:rsidR="00A8138F" w:rsidRDefault="00A8138F" w:rsidP="00A8138F">
      <w:pPr>
        <w:pStyle w:val="Extracto"/>
      </w:pPr>
      <w:r>
        <w:t>1.</w:t>
      </w:r>
      <w:r>
        <w:tab/>
        <w:t>En el juicio de ponderación entre el derecho a comunicar información veraz y los derechos al honor y a la propia imagen, se aplica la doctrina expresada en la STC 62/2025 por la que, atendidas las circunstancias del caso, el medio de comunicación debe cumplir con la diligencia exigible antes de proceder a la transmisión del material informativo, evitando la intromisión ilegítima en el derecho a la imagen [FJ 2].</w:t>
      </w:r>
    </w:p>
    <w:p w14:paraId="696A708D" w14:textId="77777777" w:rsidR="00A8138F" w:rsidRDefault="00A8138F" w:rsidP="00A8138F">
      <w:pPr>
        <w:pStyle w:val="Extracto"/>
      </w:pPr>
    </w:p>
    <w:p w14:paraId="6EDF28F6" w14:textId="77777777" w:rsidR="00A8138F" w:rsidRDefault="00A8138F" w:rsidP="00A8138F">
      <w:pPr>
        <w:pStyle w:val="Extracto"/>
      </w:pPr>
    </w:p>
    <w:p w14:paraId="5F035FAA"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40F5A5E" w14:textId="165892C5" w:rsidR="00A8138F" w:rsidRDefault="00A8138F" w:rsidP="00A8138F">
      <w:pPr>
        <w:pStyle w:val="TextoNormal"/>
      </w:pPr>
    </w:p>
    <w:p w14:paraId="5B4E1F31" w14:textId="77777777" w:rsidR="00A8138F" w:rsidRDefault="00A8138F" w:rsidP="00A8138F">
      <w:pPr>
        <w:pStyle w:val="TextoNormalCentrado"/>
        <w:keepNext/>
      </w:pPr>
      <w:r>
        <w:t>EN NOMBRE DEL REY</w:t>
      </w:r>
    </w:p>
    <w:p w14:paraId="54D8D6A2" w14:textId="1DAEF087" w:rsidR="00A8138F" w:rsidRDefault="00A8138F" w:rsidP="00A8138F">
      <w:pPr>
        <w:pStyle w:val="TextoNormalCentrado"/>
        <w:keepNext/>
      </w:pPr>
    </w:p>
    <w:p w14:paraId="71676D50" w14:textId="77777777" w:rsidR="00A8138F" w:rsidRDefault="00A8138F" w:rsidP="00A8138F">
      <w:pPr>
        <w:pStyle w:val="TextoNormalCentrado"/>
        <w:keepNext/>
      </w:pPr>
    </w:p>
    <w:p w14:paraId="5D0E199E" w14:textId="77777777" w:rsidR="00A8138F" w:rsidRDefault="00A8138F" w:rsidP="00A8138F">
      <w:pPr>
        <w:pStyle w:val="TextoNormal"/>
      </w:pPr>
      <w:r>
        <w:t>la siguiente</w:t>
      </w:r>
    </w:p>
    <w:p w14:paraId="285A3E84" w14:textId="291D1DD4" w:rsidR="00A8138F" w:rsidRDefault="00A8138F" w:rsidP="00A8138F">
      <w:pPr>
        <w:pStyle w:val="TextoNormal"/>
      </w:pPr>
    </w:p>
    <w:p w14:paraId="3A4C3CD8" w14:textId="77777777" w:rsidR="00A8138F" w:rsidRDefault="00A8138F" w:rsidP="00A8138F">
      <w:pPr>
        <w:pStyle w:val="TextoNormalCentrado"/>
        <w:keepNext/>
      </w:pPr>
      <w:r>
        <w:t>SENTENCIA</w:t>
      </w:r>
    </w:p>
    <w:p w14:paraId="506C28E1" w14:textId="606914B5" w:rsidR="00A8138F" w:rsidRDefault="00A8138F" w:rsidP="00A8138F">
      <w:pPr>
        <w:pStyle w:val="TextoNormalCentrado"/>
        <w:keepNext/>
      </w:pPr>
    </w:p>
    <w:p w14:paraId="3EB6B508" w14:textId="77777777" w:rsidR="00A8138F" w:rsidRDefault="00A8138F" w:rsidP="00A8138F">
      <w:pPr>
        <w:pStyle w:val="TextoNormal"/>
      </w:pPr>
      <w:r>
        <w:t>En el recurso de amparo núm. 7511-2023, promovido por la mercantil Editorial Prensa Asturiana, S.A.U., representada por la procuradora de los tribunales doña Patricia Gómez Martínez y bajo la dirección del letrado don Ramón Luis García García, contra la providencia de 13 de noviembre de 2023, desestimatoria del incidente excepcional de nulidad de actuaciones planteado contra la sentencia de 13 de septiembre de 2023 de la Sala de lo Civil del Tribunal Supremo, en el recurso de casación núm. 9338-2021 y contra esta última resolución. Ha intervenido el Ministerio Fiscal. Ha sido ponente la magistrada doña Laura Díez Bueso.</w:t>
      </w:r>
    </w:p>
    <w:p w14:paraId="6212561A" w14:textId="1D075E3B" w:rsidR="00A8138F" w:rsidRDefault="00A8138F" w:rsidP="00A8138F">
      <w:pPr>
        <w:pStyle w:val="TextoNormal"/>
      </w:pPr>
    </w:p>
    <w:p w14:paraId="005AE3EF" w14:textId="77777777" w:rsidR="00A8138F" w:rsidRDefault="00A8138F" w:rsidP="00A8138F">
      <w:pPr>
        <w:pStyle w:val="TextoNormalNegritaCentrado"/>
        <w:keepNext/>
      </w:pPr>
      <w:r>
        <w:t>I. Antecedentes</w:t>
      </w:r>
    </w:p>
    <w:p w14:paraId="2AD6D838" w14:textId="0F31B0DE" w:rsidR="00A8138F" w:rsidRDefault="00A8138F" w:rsidP="00A8138F">
      <w:pPr>
        <w:pStyle w:val="TextoNormalNegritaCentrado"/>
        <w:keepNext/>
      </w:pPr>
    </w:p>
    <w:p w14:paraId="20E97B55" w14:textId="36A2B186" w:rsidR="00A8138F" w:rsidRDefault="00A8138F" w:rsidP="00A8138F">
      <w:pPr>
        <w:pStyle w:val="TextoNormal"/>
      </w:pPr>
      <w:r w:rsidRPr="00A8138F">
        <w:rPr>
          <w:rStyle w:val="NumeroAFNegritaCaracter"/>
        </w:rPr>
        <w:t>1</w:t>
      </w:r>
      <w:r>
        <w:t xml:space="preserve">. El 28 de noviembre de 2023, la entidad Editorial Prensa Asturiana, S.A.U., representada por la procuradora de los tribunales Patricia Gómez Martínez y bajo la dirección del </w:t>
      </w:r>
      <w:r>
        <w:lastRenderedPageBreak/>
        <w:t>letrado don Ramón Luis García García, interpuso recurso de amparo contra las resoluciones mencionadas en el encabezamiento de esta sentencia.</w:t>
      </w:r>
    </w:p>
    <w:p w14:paraId="69DDFA1C" w14:textId="77777777" w:rsidR="00A8138F" w:rsidRDefault="00A8138F" w:rsidP="00A8138F">
      <w:pPr>
        <w:pStyle w:val="TextoNormal"/>
      </w:pPr>
    </w:p>
    <w:p w14:paraId="35C1412F"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424BEA19" w14:textId="77777777" w:rsidR="00A8138F" w:rsidRDefault="00A8138F" w:rsidP="00A8138F">
      <w:pPr>
        <w:pStyle w:val="TextoNormal"/>
      </w:pPr>
    </w:p>
    <w:p w14:paraId="6F827CD2" w14:textId="77777777" w:rsidR="00A8138F" w:rsidRDefault="00A8138F" w:rsidP="00A8138F">
      <w:pPr>
        <w:pStyle w:val="TextoNormal"/>
      </w:pPr>
      <w:r>
        <w:t xml:space="preserve">a) El diario “La Nueva España”, en su versión digital y con fecha de 26 de diciembre de 2018, difundió un vídeo-reportaje elaborado por la agencia de noticias Atlas en el que se informaba sobre la noticia del asesinato de un recluso en la cárcel de Soto del Real cometido por un boxeador apodado “el Nene”, también recluso de esta prisión. El titular de la noticia era; “‘El Nene’ mata a golpes a un traficante de drogas por una litera. Jesús María Romero Hernández, ‘el Nene’, de veintiochos años, golpeó hasta la muerte a su compañero de celda por una litera. Ocurrió el día 26 de diciembre dentro del penal madrileño de Soto del Real”, y la noticia se ilustraba con un vídeo de ochenta y dos segundos en el que, durante cuatro, aparecía por error la imagen de don Cristian Opazos Menor, boxeador </w:t>
      </w:r>
      <w:r w:rsidRPr="00A8138F">
        <w:rPr>
          <w:i/>
        </w:rPr>
        <w:t>amateur</w:t>
      </w:r>
      <w:r>
        <w:t>, y también recluso de la misma cárcel, en lugar de la imagen del autor de los hechos, que aparecía en el resto de la grabación y que a simple vista guardaba cierto parecido físico.</w:t>
      </w:r>
    </w:p>
    <w:p w14:paraId="79A6B812" w14:textId="77777777" w:rsidR="00A8138F" w:rsidRDefault="00A8138F" w:rsidP="00A8138F">
      <w:pPr>
        <w:pStyle w:val="TextoNormal"/>
      </w:pPr>
    </w:p>
    <w:p w14:paraId="4AE4164C" w14:textId="77777777" w:rsidR="00A8138F" w:rsidRDefault="00A8138F" w:rsidP="00A8138F">
      <w:pPr>
        <w:pStyle w:val="TextoNormal"/>
      </w:pPr>
      <w:r>
        <w:t>b) El señor Opazos formuló demanda contra el diario “La Nueva España”, de la que es titular la mercantil Editorial Prensa Asturiana S.A.U., en ejercicio de la acción de tutela civil del derecho al honor y a la propia imagen por la intromisión ilegítima en tales derechos, al haberse introducido erróneamente imágenes del demandante en el vídeo antes descrito.</w:t>
      </w:r>
    </w:p>
    <w:p w14:paraId="2872AF42" w14:textId="77777777" w:rsidR="00A8138F" w:rsidRDefault="00A8138F" w:rsidP="00A8138F">
      <w:pPr>
        <w:pStyle w:val="TextoNormal"/>
      </w:pPr>
    </w:p>
    <w:p w14:paraId="688609A2" w14:textId="77777777" w:rsidR="00A8138F" w:rsidRDefault="00A8138F" w:rsidP="00A8138F">
      <w:pPr>
        <w:pStyle w:val="TextoNormal"/>
      </w:pPr>
      <w:r>
        <w:t>c) El Juzgado de Primera Instancia núm. 6 de L’Hospitalet de Llobregat conoció del procedimiento ordinario 811-2019 instado, dictando sentencia el 11 de febrero de 2021, por la que desestimó la demanda y se absolvió a la demandada, con imposición de costas a la parte demandante. Para alcanzar este fallo razonó que, de conformidad con la doctrina del Tribunal Supremo, la libertad de información, cuando comporta la transmisión de noticias que redundan en descrédito de la persona, para que pueda prevalecer sobre el derecho al honor exige que se cumpla el requisito de veracidad. Sobre tal presupuesto recuerda que la veracidad va unida a una razonable diligencia por parte del informador para contrastar la noticia de acuerdo con pautas profesionales, ajustándose a las circunstancias del caso, aun cuando la información posteriormente sea desmentida (SSTC 139/2007, de 4 de junio, y 29/2009, de 26 de enero). Y sobre el deber de diligencia del informador subraya que varía en función de que presente la noticia como comunicación neutra (reportaje neutral), en cuanto procedente de la originaria información de otro medio de comunicación o fuente informativa, de la que simplemente da traslado, o que lo haga como una información asumida por el medio, y su autor como propia. En este segundo caso, la diligencia no admite atenuación, pero en el primer caso, basta con constatar la verdad del hecho de la declaración, sin necesidad de constatar la verdad de lo declarado, porque tal responsabilidad, en línea de principio, solo sería exigible al autor de la declaración. Tras exponer la jurisprudencia relativa al reportaje neutral, concluye que en este caso ha quedado acreditado que el diario se limitó a reproducir la noticia remitida por la agencia de noticias Atlas, perteneciente al grupo Mediaset España, S.A., indicando al pie de la noticia la fuente de la información. De este modo, la demandada se hizo eco, sin reelaborarla, de la noticia remitida por una agencia con expresa indicación de su procedencia y con apariencia de veracidad y no puede imputarse al medio receptor falta de diligencia por haber podido existir indicios racionales y evidentes de que la noticia podía ser falsa en cuanto a la identidad del autor del hecho. En tal sentido, afirma que la noticia resultaba completamente creíble y no consta ni hay razón para pen</w:t>
      </w:r>
      <w:r>
        <w:lastRenderedPageBreak/>
        <w:t>sarlo, que la demandada conociera o fuera consciente de la falsedad por error del contenido de la noticia en cuanto al equívoco respecto de la persona que ilustra.</w:t>
      </w:r>
    </w:p>
    <w:p w14:paraId="390674CC" w14:textId="77777777" w:rsidR="00A8138F" w:rsidRDefault="00A8138F" w:rsidP="00A8138F">
      <w:pPr>
        <w:pStyle w:val="TextoNormal"/>
      </w:pPr>
    </w:p>
    <w:p w14:paraId="72C17E2F" w14:textId="77777777" w:rsidR="00A8138F" w:rsidRDefault="00A8138F" w:rsidP="00A8138F">
      <w:pPr>
        <w:pStyle w:val="TextoNormal"/>
      </w:pPr>
      <w:r>
        <w:t>d) La Audiencia Provincial de Barcelona dictó sentencia el 4 de octubre de 2021 por la que desestimó el recurso. Respecto de la aplicación de la doctrina del reportaje neutral, matiza los razonamientos de la sentencia de primera instancia. Así, aclara que el deber de diligencia es diferente en función de que presente la noticia como una comunicación neutra (reportaje neutral) en cuanto procedente de la originaria información de otro medio de comunicación o fuente informativa con cierta credibilidad, de la que simplemente da traslado, o que lo haga como una información asumida por el medio y su autor como propia. No obstante, en el primer supuesto el deber de diligencia respecto de la veracidad no puede limitarse a la simple constatación de la veracidad del hecho (contenido), sino que, con mayor o menor intensidad, debe abarcar también al continente gráfico (fotografías, vídeo, etc.) que suele acompañar a aquel. Por tanto, el deber de diligencia del informador también es exigible respecto del continente gráfico porque puede afectar a derechos fundamentales. Ahora bien, en este caso, no aprecia una intromisión ilegítima en el derecho fundamental a la imagen y al honor del demandante porque aparecía inmerso en imágenes aleatorias y genéricas de esa modalidad deportiva, no advirtiéndose una vinculación directa entre el demandante y el presunto autor de la noticia que permita identificarlo con aquel porque el brevísimo lapso temporal de una secuencia videográfica no deja de ser sino una más de varias secuencias anónimas y genéricas de la actividad deportiva que practicaban (el boxeo). La ausencia de vinculación directa e identificable en los términos expuestos determina que no exista una vulneración de los derechos fundamentales invocados, porque no hay una identificación del actor con los hechos y sujetos contenidos en la noticia, con independencia de que sea cuestionable o no el enfoque periodístico de esta contextualización sobre el hecho noticioso.</w:t>
      </w:r>
    </w:p>
    <w:p w14:paraId="61329FB1" w14:textId="77777777" w:rsidR="00A8138F" w:rsidRDefault="00A8138F" w:rsidP="00A8138F">
      <w:pPr>
        <w:pStyle w:val="TextoNormal"/>
      </w:pPr>
    </w:p>
    <w:p w14:paraId="571952B0" w14:textId="77777777" w:rsidR="00A8138F" w:rsidRDefault="00A8138F" w:rsidP="00A8138F">
      <w:pPr>
        <w:pStyle w:val="TextoNormal"/>
      </w:pPr>
      <w:r>
        <w:t>e) El señor Opazos interpuso recurso de casación, que fue estimado por la STS 1223/2023, de 13 de septiembre (ECLI:ES:TS:2023:3680), siguiendo los razonamientos que ya hizo en la sentencia 748/2022, de 3 de noviembre (ECLI:ES:TS:2022:3944), que resolvió otro recurso de casación también formulado por el recurrente con relación a la publicación de este mismo vídeo en otro diario digital. Discrepa el Tribunal Supremo de la sentencia de apelación, en que pueda considerarse que la ínfima duración de la exposición de la imagen del demandante, unido a que se publican otras imágenes de rostros anónimos sin facilitar nombres ni identificar, impidan relacionar al actor con el homicida. Y aunque, a diferencia de la STS 748/2022, en este caso sí aparece en el vídeo litigioso el dato de la agencia origen de la noticia que fue difundida sin alterar por la demandada, no puede aplicarse la doctrina del reportaje neutral porque no es aplicable al derecho a la imagen y porque no puede servir para amparar un supuesto de tanta gravedad como el del caso, relativo a la muerte de un recluso por la paliza propinada por otro, sin llevar a cabo la más mínima comprobación sobre la veracidad de la información gráfica. En este sentido, para el alto Tribunal, el reportaje neutral no puede servir de coartada para eludir toda responsabilidad por intromisión ilegítima en un derecho fundamental, como tampoco exige la doctrina del reportaje neutral a los medios de comunicación la comprobación de todas las noticias que se reciben y tienen un interés público, porque hay casos y casos, y en esta ocasión el error gráfico producido es de extraordinaria gravedad y no se puede amparar en el reportaje neutral. En virtud de ello, se declaró la intromisión ilegítima en el derecho al honor del demandante, condenando a la demandada al pago de una indemnización de 3000 €.</w:t>
      </w:r>
    </w:p>
    <w:p w14:paraId="0C20C86B" w14:textId="77777777" w:rsidR="00A8138F" w:rsidRDefault="00A8138F" w:rsidP="00A8138F">
      <w:pPr>
        <w:pStyle w:val="TextoNormal"/>
      </w:pPr>
    </w:p>
    <w:p w14:paraId="002F5BC4" w14:textId="7F21783E" w:rsidR="00A8138F" w:rsidRDefault="00A8138F" w:rsidP="00A8138F">
      <w:pPr>
        <w:pStyle w:val="TextoNormal"/>
      </w:pPr>
      <w:r>
        <w:lastRenderedPageBreak/>
        <w:t>f) Frente a la sentencia de casación, Editorial Prensa Asturiana, S.A.U., presentó un escrito promoviendo incidente excepcional de nulidad de actuaciones, por vulneración del derecho a la tutela judicial efectiva y derecho a informar verazmente del art. 20.1 d) CE y por indefensión (art. 24 CE), que fue inadmitido por providencia de 13 de noviembre de 2023 por entender que el escrito presentado únicamente expresaba la discrepancia de la solicitante con el criterio de enjuiciamiento de la Sala, reiterando en lo esencial la posición mantenida durante el litigio y sin que se pudiera apreciar indefensión o privación de trámite alegatorio alguno ni incongruencia.</w:t>
      </w:r>
    </w:p>
    <w:p w14:paraId="5105A0C4" w14:textId="77777777" w:rsidR="00A8138F" w:rsidRDefault="00A8138F" w:rsidP="00A8138F">
      <w:pPr>
        <w:pStyle w:val="TextoNormal"/>
      </w:pPr>
    </w:p>
    <w:p w14:paraId="2BB118EC" w14:textId="77777777" w:rsidR="00A8138F" w:rsidRDefault="00A8138F" w:rsidP="00A8138F">
      <w:pPr>
        <w:pStyle w:val="TextoNormal"/>
      </w:pPr>
      <w:r w:rsidRPr="00A8138F">
        <w:rPr>
          <w:rStyle w:val="NumeroAFNegritaCaracter"/>
        </w:rPr>
        <w:t>3</w:t>
      </w:r>
      <w:r>
        <w:t>. La demanda de amparo alega que las resoluciones judiciales impugnadas causaron la vulneración de su libertad de información del art. 20.1 d) CE en relación con el principio de congruencia y tutela judicial efectiva del art. 24.1 CE y la jurisprudencia constitucional sobre el reportaje neutral.</w:t>
      </w:r>
    </w:p>
    <w:p w14:paraId="16C30107" w14:textId="77777777" w:rsidR="00A8138F" w:rsidRDefault="00A8138F" w:rsidP="00A8138F">
      <w:pPr>
        <w:pStyle w:val="TextoNormal"/>
      </w:pPr>
    </w:p>
    <w:p w14:paraId="11A400A0" w14:textId="77777777" w:rsidR="00A8138F" w:rsidRDefault="00A8138F" w:rsidP="00A8138F">
      <w:pPr>
        <w:pStyle w:val="TextoNormal"/>
      </w:pPr>
      <w:r>
        <w:t>Tras resumir los hechos, la parte recurrente sostiene que su actuación no merece reproche alguno, razonando en apoyo de esta afirmación que:</w:t>
      </w:r>
    </w:p>
    <w:p w14:paraId="59CE5D40" w14:textId="77777777" w:rsidR="00A8138F" w:rsidRDefault="00A8138F" w:rsidP="00A8138F">
      <w:pPr>
        <w:pStyle w:val="TextoNormal"/>
      </w:pPr>
    </w:p>
    <w:p w14:paraId="768D326F" w14:textId="77777777" w:rsidR="00A8138F" w:rsidRDefault="00A8138F" w:rsidP="00A8138F">
      <w:pPr>
        <w:pStyle w:val="TextoNormal"/>
      </w:pPr>
      <w:r>
        <w:t>a) En este caso, se trata de la fiel reproducción del vídeo facilitado por una agencia nacional de noticias de manera neutral, y al haberse condenado al medio de comunicación, se ha vulnerado la doctrina del reportaje neutral y no se ha realizado una correcta ponderación de los derechos fundamentales en conflicto. En tal sentido, afirma que “La Nueva España” se ha limitado a recoger una noticia que le facilita un tercero, como fuente fiable y pública, y sobre un hecho de interés general y evidente trascendencia social.</w:t>
      </w:r>
    </w:p>
    <w:p w14:paraId="7A753745" w14:textId="77777777" w:rsidR="00A8138F" w:rsidRDefault="00A8138F" w:rsidP="00A8138F">
      <w:pPr>
        <w:pStyle w:val="TextoNormal"/>
      </w:pPr>
    </w:p>
    <w:p w14:paraId="76C5B77B" w14:textId="77777777" w:rsidR="00A8138F" w:rsidRDefault="00A8138F" w:rsidP="00A8138F">
      <w:pPr>
        <w:pStyle w:val="TextoNormal"/>
      </w:pPr>
      <w:r>
        <w:t>b) Además, se trata de un suceso real, público, acontecido en un centro penitenciario. Es pues, inevitable enlazar este hecho con la pacífica y jurisprudencial teoría del reportaje neutral, es decir, aquel que se limita a recoger información proveniente de fuentes terceras de cuya existencia y publicidad hay constancia. Y donde la responsabilidad del medio informativo se debe constreñir a acreditar la realidad de lo expresado por la fuente de información citada a que se refiere la noticia.</w:t>
      </w:r>
    </w:p>
    <w:p w14:paraId="62CF7501" w14:textId="77777777" w:rsidR="00A8138F" w:rsidRDefault="00A8138F" w:rsidP="00A8138F">
      <w:pPr>
        <w:pStyle w:val="TextoNormal"/>
      </w:pPr>
    </w:p>
    <w:p w14:paraId="7AFA9308" w14:textId="77777777" w:rsidR="00A8138F" w:rsidRDefault="00A8138F" w:rsidP="00A8138F">
      <w:pPr>
        <w:pStyle w:val="TextoNormal"/>
      </w:pPr>
      <w:r>
        <w:t>c) Se trata de una secuencia de imagen de apenas tres segundos de duración, en la que se refleja la actuación de un deportista anónimo, de forma claramente accesoria al núcleo de la videonoticia de un minuto y medio de duración, en un acto deportivo abierto al público, en el contexto de una noticia de evidente interés público, por lo que no puede por sí mismo considerarse atentatoria del derecho al honor o la imagen de la persona que manifiesta ser quien aparece en la imagen.</w:t>
      </w:r>
    </w:p>
    <w:p w14:paraId="450196A4" w14:textId="77777777" w:rsidR="00A8138F" w:rsidRDefault="00A8138F" w:rsidP="00A8138F">
      <w:pPr>
        <w:pStyle w:val="TextoNormal"/>
      </w:pPr>
    </w:p>
    <w:p w14:paraId="7067AE7D" w14:textId="77777777" w:rsidR="00A8138F" w:rsidRDefault="00A8138F" w:rsidP="00A8138F">
      <w:pPr>
        <w:pStyle w:val="TextoNormal"/>
      </w:pPr>
      <w:r>
        <w:t xml:space="preserve">d) El demandante no estaba identificado en la noticia que trata exclusivamente las imágenes y audio referidos al objeto principal de la información, es decir al hecho del homicidio del apodado “el Nene”, pero se contextualiza incluyendo fragmentos de combates de boxeo en los que aparecen también algunos luchadores sin identificar. Entre esos fragmentos, se incluyó aquel de tres segundos de duración, sin que en ningún caso se haya identificado, ni mencionado, ni referido la persona que aparece en ese fragmento. El objetivo era únicamente el de contextualizar la noticia aportando fragmentos de combates de boxeo, semejantes a los de la modalidad que practica el protagonista de la noticia, “el Nene”. Y entre ellos se han incorporado esos tres segundos en los que aparece un boxeador que dice el señor Opazos corresponderse con él. Por tanto, no se trata de un error en la identificación del autor </w:t>
      </w:r>
      <w:r>
        <w:lastRenderedPageBreak/>
        <w:t xml:space="preserve">del crimen objeto de la noticia. Es más, cuando en la narración se menciona al autor de los hechos, claramente se sabe que no se está refiriendo a esos boxeadores anónimos, con cuyas secuencias se contextualiza la información, sino al que sale en primer término como entrevistado. Imágenes de boxeadores de </w:t>
      </w:r>
      <w:r w:rsidRPr="00A8138F">
        <w:rPr>
          <w:i/>
        </w:rPr>
        <w:t>muay thai</w:t>
      </w:r>
      <w:r>
        <w:t>, obtenidas de combates públicos, en lugares públicos. Es insuficiente la mera manifestación interesada de que esa persona anónima es el actor, cuando resulta inidentificable, y nadie más que él le ha podido identificar. Por esta razón es manifiestamente erróneo afirmar que la noticia le atribuye el homicidio al demandante, porque claramente se le atribuye a quien lo ha cometido.</w:t>
      </w:r>
    </w:p>
    <w:p w14:paraId="46291560" w14:textId="77777777" w:rsidR="00A8138F" w:rsidRDefault="00A8138F" w:rsidP="00A8138F">
      <w:pPr>
        <w:pStyle w:val="TextoNormal"/>
      </w:pPr>
    </w:p>
    <w:p w14:paraId="640C59A8" w14:textId="40B23AB8" w:rsidR="00A8138F" w:rsidRDefault="00A8138F" w:rsidP="00A8138F">
      <w:pPr>
        <w:pStyle w:val="TextoNormal"/>
      </w:pPr>
      <w:r>
        <w:t>e) En el pie de la noticia se identifica claramente a la agencia de noticias que ha elaborado el vídeo. Por tanto, si la doctrina del reportaje neutral ya ha sentado que es suficiente con demostrar la realidad de lo que se ha difundido por el tercero, matizar que eso no ocurre siempre puesto que el medio que difunde tiene una obligación de vigilancia añadida, supone vaciar de contenido tal doctrina constitucional. Quiere ello decir que, una vez demostrado que el periódico demandado se limitó a reproducir fielmente el reportaje que le facilitó su fuente de información, una agencia informativa, constando además incluso la cita de esta al pie del enlace por el que se difunde, queda exonerada de la responsabilidad por la eventual vulneración de los derechos al honor y propia imagen que se puedan derivar de la publicación del reportaje así remitido. Es la fuente la única responsable. El medio solo tiene que demostrar que se le facilitó esa información, por quien se dijo que se había facilitado, como así ha sucedido en este caso.</w:t>
      </w:r>
    </w:p>
    <w:p w14:paraId="1F9CF161" w14:textId="77777777" w:rsidR="00A8138F" w:rsidRDefault="00A8138F" w:rsidP="00A8138F">
      <w:pPr>
        <w:pStyle w:val="TextoNormal"/>
      </w:pPr>
    </w:p>
    <w:p w14:paraId="7EA81CD0" w14:textId="0342CE2C" w:rsidR="00A8138F" w:rsidRDefault="00A8138F" w:rsidP="00A8138F">
      <w:pPr>
        <w:pStyle w:val="TextoNormal"/>
      </w:pPr>
      <w:r w:rsidRPr="00A8138F">
        <w:rPr>
          <w:rStyle w:val="NumeroAFNegritaCaracter"/>
        </w:rPr>
        <w:t>4</w:t>
      </w:r>
      <w:r>
        <w:t>. La Sección Tercera de este tribunal dictó providencia el 6 de mayo de 2024 por la que acordó: (i) admitir a trámite el recurso, “apreciando que concurre en el mismo una especial trascendencia constitucional [art. 50.1 b) de la Ley Orgánica del Tribunal Constitucional (LOTC)] porque el recurso plantea un problema o afecta a una faceta de un derecho fundamental sobre el que no hay doctrina de este tribunal [STC 155/2009, de 25 de junio, FJ 2 a)]”; (ii) dirigir atenta comunicación a la Sección Cuarta de la Audiencia Provincial de Barcelona a fin de que, en plazo que no exceda de diez días, remita testimonio de las actuaciones correspondientes al rollo de apelación núm. 367-2021; (iii) igualmente, dirigir atenta comunicación al Juzgado de Primera Instancia núm. 6 de L’Hospitalet de Llobregat a fin de que, en plazo que no exceda de diez días, remita testimonio de las actuaciones correspondientes al procedimiento ordinario (Derecho al honor, art. 249.1.2 de la Ley de enjuiciamiento civil), debiendo previamente emplazarse, para que en el plazo de diez días puedan comparecer, si lo desean, en el recurso de amparo a quienes hubieran sido parte en el procedimiento, excepto la parte recurrente en amparo; y (iv) formar la correspondiente pieza separada de suspensión.</w:t>
      </w:r>
    </w:p>
    <w:p w14:paraId="6336AD3F" w14:textId="77777777" w:rsidR="00A8138F" w:rsidRDefault="00A8138F" w:rsidP="00A8138F">
      <w:pPr>
        <w:pStyle w:val="TextoNormal"/>
      </w:pPr>
    </w:p>
    <w:p w14:paraId="183204C1" w14:textId="0F96B3B6" w:rsidR="00A8138F" w:rsidRDefault="00A8138F" w:rsidP="00A8138F">
      <w:pPr>
        <w:pStyle w:val="TextoNormal"/>
      </w:pPr>
      <w:r w:rsidRPr="00A8138F">
        <w:rPr>
          <w:rStyle w:val="NumeroAFNegritaCaracter"/>
        </w:rPr>
        <w:t>5</w:t>
      </w:r>
      <w:r>
        <w:t>. El día 6 de mayo de 2024, la Sección Tercera de este tribunal, tras acordar formar la oportuna pieza de suspensión, dictó providencia concediendo, conforme determina el art. 56 LOTC, el plazo común de tres días a la parte recurrente y al Ministerio Fiscal para que alegasen lo que estimasen pertinente sobre dicha suspensión.</w:t>
      </w:r>
    </w:p>
    <w:p w14:paraId="74FBAEAC" w14:textId="77777777" w:rsidR="00A8138F" w:rsidRDefault="00A8138F" w:rsidP="00A8138F">
      <w:pPr>
        <w:pStyle w:val="TextoNormal"/>
      </w:pPr>
    </w:p>
    <w:p w14:paraId="31D5BE97" w14:textId="67B2A733" w:rsidR="00A8138F" w:rsidRDefault="00A8138F" w:rsidP="00A8138F">
      <w:pPr>
        <w:pStyle w:val="TextoNormal"/>
      </w:pPr>
      <w:r w:rsidRPr="00A8138F">
        <w:rPr>
          <w:rStyle w:val="NumeroAFNegritaCaracter"/>
        </w:rPr>
        <w:t>6</w:t>
      </w:r>
      <w:r>
        <w:t>. Por escrito presentado el 31 de mayo de 2024, el fiscal ante el Tribunal Constitucional presentó alegaciones en las que interesó la denegación de la medida cautelar solicitada, suspensión del procedimiento que resultó denegada por ATC 77/2024, de 9 de septiembre, de la Sala Segunda de este tribunal.</w:t>
      </w:r>
    </w:p>
    <w:p w14:paraId="6B348EBE" w14:textId="77777777" w:rsidR="00A8138F" w:rsidRDefault="00A8138F" w:rsidP="00A8138F">
      <w:pPr>
        <w:pStyle w:val="TextoNormal"/>
      </w:pPr>
    </w:p>
    <w:p w14:paraId="08E8DBD8" w14:textId="772C2602" w:rsidR="00A8138F" w:rsidRDefault="00A8138F" w:rsidP="00A8138F">
      <w:pPr>
        <w:pStyle w:val="TextoNormal"/>
      </w:pPr>
      <w:r w:rsidRPr="00A8138F">
        <w:rPr>
          <w:rStyle w:val="NumeroAFNegritaCaracter"/>
        </w:rPr>
        <w:t>7</w:t>
      </w:r>
      <w:r>
        <w:t>. El 19 de julio de 2024, la procuradora de los tribunales doña Isabel Beramendi Marturet con la asistencia letrada de don Ignacio Hernando Acero, actuando en nombre y representación de don Cristian Opazos Menor, presentó escrito ante este tribunal solicitando que se la tuviera por personada y parte recurrida, entendiéndose con dicha procuradora las actuaciones sucesivas de este proceso.</w:t>
      </w:r>
    </w:p>
    <w:p w14:paraId="69E5A6B9" w14:textId="77777777" w:rsidR="00A8138F" w:rsidRDefault="00A8138F" w:rsidP="00A8138F">
      <w:pPr>
        <w:pStyle w:val="TextoNormal"/>
      </w:pPr>
    </w:p>
    <w:p w14:paraId="0D412F95" w14:textId="422D44F7" w:rsidR="00A8138F" w:rsidRDefault="00A8138F" w:rsidP="00A8138F">
      <w:pPr>
        <w:pStyle w:val="TextoNormal"/>
      </w:pPr>
      <w:r w:rsidRPr="00A8138F">
        <w:rPr>
          <w:rStyle w:val="NumeroAFNegritaCaracter"/>
        </w:rPr>
        <w:t>8</w:t>
      </w:r>
      <w:r>
        <w:t>. Mediante providencia de este tribunal, de 23 de julio de 2024 se acordó dar vista de las actuaciones recibidas a las partes personadas y al Ministerio Fiscal por plazo común de veinte días para presentar alegaciones de conformidad con lo previsto en el art. 52. LOTC.</w:t>
      </w:r>
    </w:p>
    <w:p w14:paraId="7E95EDAD" w14:textId="77777777" w:rsidR="00A8138F" w:rsidRDefault="00A8138F" w:rsidP="00A8138F">
      <w:pPr>
        <w:pStyle w:val="TextoNormal"/>
      </w:pPr>
    </w:p>
    <w:p w14:paraId="48D01F19" w14:textId="77777777" w:rsidR="00A8138F" w:rsidRDefault="00A8138F" w:rsidP="00A8138F">
      <w:pPr>
        <w:pStyle w:val="TextoNormal"/>
      </w:pPr>
      <w:r w:rsidRPr="00A8138F">
        <w:rPr>
          <w:rStyle w:val="NumeroAFNegritaCaracter"/>
        </w:rPr>
        <w:t>9</w:t>
      </w:r>
      <w:r>
        <w:t>. El día 1 de septiembre de 2024, el demandante de amparo, don Cristian Opazos Menor presentó escrito de alegaciones solicitando la inadmisión de la demanda de amparo. En apoyo de esta solicitud argumenta que, tal como puso de manifiesto la impugnada providencia de la Sala de lo Civil del Tribunal Supremo, de 13 de noviembre de 2023, la solicitante de amparo no ha justificado la indefensión ni la vulneración de derechos a la que alude.</w:t>
      </w:r>
    </w:p>
    <w:p w14:paraId="5D123BE0" w14:textId="77777777" w:rsidR="00A8138F" w:rsidRDefault="00A8138F" w:rsidP="00A8138F">
      <w:pPr>
        <w:pStyle w:val="TextoNormal"/>
      </w:pPr>
    </w:p>
    <w:p w14:paraId="673962C5" w14:textId="77777777" w:rsidR="00A8138F" w:rsidRDefault="00A8138F" w:rsidP="00A8138F">
      <w:pPr>
        <w:pStyle w:val="TextoNormal"/>
      </w:pPr>
      <w:r>
        <w:t>Igualmente comparte lo que considera un exhaustivo razonamiento de la sentencia de la Sala de lo Civil del Tribunal Supremo, de 13 de septiembre de 2023, también impugnada, al margen de no haber existido vulneración del derecho de defensa porque no ha sido privada de trámite alegatorio o probatorio alguno. A su entender, lo único que manifiesta la demandante de amparo es su disconformidad con la decisión del fondo del asunto, respecto del que no cabe incongruencia ni reproche alguno, por cuanto ha sido resuelto en el marco de la controversia y de lo planteado en casación por las partes.</w:t>
      </w:r>
    </w:p>
    <w:p w14:paraId="4ED9F039" w14:textId="77777777" w:rsidR="00A8138F" w:rsidRDefault="00A8138F" w:rsidP="00A8138F">
      <w:pPr>
        <w:pStyle w:val="TextoNormal"/>
      </w:pPr>
    </w:p>
    <w:p w14:paraId="23B54DA1" w14:textId="7F7C7FF9" w:rsidR="00A8138F" w:rsidRDefault="00A8138F" w:rsidP="00A8138F">
      <w:pPr>
        <w:pStyle w:val="TextoNormal"/>
      </w:pPr>
      <w:r>
        <w:t>Por lo demás, el resto de los razonamientos son reiterativos, olvidando la recurrente que el derecho a la tutela judicial efectiva no comprende el derecho a una resolución favorable a las pretensiones de las partes siendo, además, una cuestión de legalidad ordinaria no susceptible de amparo alguno.</w:t>
      </w:r>
    </w:p>
    <w:p w14:paraId="392E9C5D" w14:textId="77777777" w:rsidR="00A8138F" w:rsidRDefault="00A8138F" w:rsidP="00A8138F">
      <w:pPr>
        <w:pStyle w:val="TextoNormal"/>
      </w:pPr>
    </w:p>
    <w:p w14:paraId="20D92888" w14:textId="56BFDE6A" w:rsidR="00A8138F" w:rsidRDefault="00A8138F" w:rsidP="00A8138F">
      <w:pPr>
        <w:pStyle w:val="TextoNormal"/>
      </w:pPr>
      <w:r w:rsidRPr="00A8138F">
        <w:rPr>
          <w:rStyle w:val="NumeroAFNegritaCaracter"/>
        </w:rPr>
        <w:t>10</w:t>
      </w:r>
      <w:r>
        <w:t>. El 24 de septiembre de 2024, doña Patricia Gómez Martínez, procuradora de los tribunales y de la mercantil Editorial Prensa Asturiana, S.A.U., presentó escrito de alegaciones, en el que tan solo se ratifica en el contenido, fundamentos y suplico de su escrito de demanda solicitando nuevamente que le otorgue el amparo.</w:t>
      </w:r>
    </w:p>
    <w:p w14:paraId="2175FA0B" w14:textId="77777777" w:rsidR="00A8138F" w:rsidRDefault="00A8138F" w:rsidP="00A8138F">
      <w:pPr>
        <w:pStyle w:val="TextoNormal"/>
      </w:pPr>
    </w:p>
    <w:p w14:paraId="45511F7D" w14:textId="77777777" w:rsidR="00A8138F" w:rsidRDefault="00A8138F" w:rsidP="00A8138F">
      <w:pPr>
        <w:pStyle w:val="TextoNormal"/>
      </w:pPr>
      <w:r w:rsidRPr="00A8138F">
        <w:rPr>
          <w:rStyle w:val="NumeroAFNegritaCaracter"/>
        </w:rPr>
        <w:t>11</w:t>
      </w:r>
      <w:r>
        <w:t>. El fiscal ante el Tribunal Constitucional presentó su escrito de alegaciones el 22 de octubre de 2024, interesando que se dicte sentencia otorgando el amparo a la recurrente.</w:t>
      </w:r>
    </w:p>
    <w:p w14:paraId="18D44ED2" w14:textId="77777777" w:rsidR="00A8138F" w:rsidRDefault="00A8138F" w:rsidP="00A8138F">
      <w:pPr>
        <w:pStyle w:val="TextoNormal"/>
      </w:pPr>
    </w:p>
    <w:p w14:paraId="3DBCBF3B" w14:textId="77777777" w:rsidR="00A8138F" w:rsidRDefault="00A8138F" w:rsidP="00A8138F">
      <w:pPr>
        <w:pStyle w:val="TextoNormal"/>
      </w:pPr>
      <w:r>
        <w:t>Tras revisar el cumplimiento de los requisitos procesales de la demanda de amparo, analiza la doctrina general sobre el derecho a la información y su colisión con el derecho al honor y la propia imagen. Argumenta que la sentencia del Tribunal Supremo habría vulnerado el derecho a la libertad de información de Editorial Prensa Asturiana, S.A.U., y llega a tal conclusión revisando el juicio de ponderación entre los derechos en conflicto y en la aplicación al caso de la doctrina del reportaje neutral.</w:t>
      </w:r>
    </w:p>
    <w:p w14:paraId="7E9BA5C7" w14:textId="77777777" w:rsidR="00A8138F" w:rsidRDefault="00A8138F" w:rsidP="00A8138F">
      <w:pPr>
        <w:pStyle w:val="TextoNormal"/>
      </w:pPr>
    </w:p>
    <w:p w14:paraId="60F80D2C" w14:textId="77777777" w:rsidR="00A8138F" w:rsidRDefault="00A8138F" w:rsidP="00A8138F">
      <w:pPr>
        <w:pStyle w:val="TextoNormal"/>
      </w:pPr>
      <w:r>
        <w:t xml:space="preserve">Respecto a la primera cuestión y en lo que concierne a la ponderación entre el derecho de información y el derecho a la propia imagen, recuerda que la publicación de la imagen </w:t>
      </w:r>
      <w:r>
        <w:lastRenderedPageBreak/>
        <w:t>de una persona se supedita a su autorización, pero matiza que ningún derecho es absoluto y que tampoco lo es el uso de la imagen, de manera que aun cuando se carezca de autorización, puede haber circunstancias que hagan viable tal uso.</w:t>
      </w:r>
    </w:p>
    <w:p w14:paraId="4C97043A" w14:textId="77777777" w:rsidR="00A8138F" w:rsidRDefault="00A8138F" w:rsidP="00A8138F">
      <w:pPr>
        <w:pStyle w:val="TextoNormal"/>
      </w:pPr>
    </w:p>
    <w:p w14:paraId="3DB10B26" w14:textId="77777777" w:rsidR="00A8138F" w:rsidRDefault="00A8138F" w:rsidP="00A8138F">
      <w:pPr>
        <w:pStyle w:val="TextoNormal"/>
      </w:pPr>
      <w:r>
        <w:t xml:space="preserve">En este caso, para el fiscal las imágenes en el vídeo del señor Opazos reúnen las siguientes características: (i) son neutras, es decir, no comportan un matiz peyorativo para quien aparece en ellas, sino que, por el contrario, representan un éxito deportivo; (ii) se obtuvieron en un acto público y no de forma clandestina, y deben encontrarse en los archivos de numerosos medios de comunicación que se hicieran eco de la victoria de aquel; y (iii) aunque no eran imprescindibles para elaborar el reportaje, se incluyeron en él para ilustrar en qué consiste el </w:t>
      </w:r>
      <w:r w:rsidRPr="00A8138F">
        <w:rPr>
          <w:i/>
        </w:rPr>
        <w:t>muay thai</w:t>
      </w:r>
      <w:r>
        <w:t xml:space="preserve"> o boxeo tailandés.</w:t>
      </w:r>
    </w:p>
    <w:p w14:paraId="08CD6E56" w14:textId="77777777" w:rsidR="00A8138F" w:rsidRDefault="00A8138F" w:rsidP="00A8138F">
      <w:pPr>
        <w:pStyle w:val="TextoNormal"/>
      </w:pPr>
    </w:p>
    <w:p w14:paraId="73567D3B" w14:textId="77777777" w:rsidR="00A8138F" w:rsidRDefault="00A8138F" w:rsidP="00A8138F">
      <w:pPr>
        <w:pStyle w:val="TextoNormal"/>
      </w:pPr>
      <w:r>
        <w:t>El fiscal, no obstante, reconoció que no se sabe con qué finalidad se introdujeron estas imágenes en el vídeo, si fue para ilustrar al espectador sobre un deporte poco conocido o si, como consideró el señor Opazos desde la interposición de la demanda, el autor del reportaje se equivocó al incluir su imagen en el vídeo, lo que en su opinión provocó que se le pudiera confundir con el autor de los hechos como consecuencia de la falta de diligencia debida. Señaló el fiscal que, al no haber sido oído el autor del reportaje, se desconoce la razón de la inclusión de la imagen de don Cristian Opazos Menor en el vídeo, pero se inclinó por considerar que fue la primera razón de las antes indicadas. Y concluyó que, a pesar de la ausencia de autorización para el uso de la imagen, esta debe ceder ante el derecho a informar de un hecho que es en sí mismo noticiable. Las circunstancias antes enumeradas determinan, a juicio del fiscal, la aplicación de las excepciones de las letras a) y c) del apartado segundo del art. 8.2 a) de la Ley Orgánica 1/1982, de 5 de mayo, de protección civil del derecho al honor, a la intimidad personal y familiar y a la propia imagen.</w:t>
      </w:r>
    </w:p>
    <w:p w14:paraId="5B5DA87A" w14:textId="77777777" w:rsidR="00A8138F" w:rsidRDefault="00A8138F" w:rsidP="00A8138F">
      <w:pPr>
        <w:pStyle w:val="TextoNormal"/>
      </w:pPr>
    </w:p>
    <w:p w14:paraId="428B795C" w14:textId="77777777" w:rsidR="00A8138F" w:rsidRDefault="00A8138F" w:rsidP="00A8138F">
      <w:pPr>
        <w:pStyle w:val="TextoNormal"/>
      </w:pPr>
      <w:r>
        <w:t xml:space="preserve">En cuanto al juicio de ponderación entre el derecho al honor y el derecho a la información que, a criterio del fiscal, es la verdadera denuncia formulada en la demanda que dio origen al proceso judicial, pues el entonces demandante entendió que la errónea utilización de su imagen producía una afectación en su consideración pública, mientras que la vulneración del derecho a la imagen tendría un carácter instrumental. En el análisis del vídeo el fiscal observó que en él parece claro que la presunta autoría del homicidio no se atribuye a don Cristian Opazos, sino al apodado “el Nene”, identificado con nombre y apellidos, el cual aparece en las tres partes de la entrevista, frente a los cuatro segundos en que se muestran las imágenes del señor Opazos, aun cuando en ese momento se diga en el vídeo “así se presenta ‘el Nene’, este campeón de </w:t>
      </w:r>
      <w:r w:rsidRPr="00A8138F">
        <w:rPr>
          <w:i/>
        </w:rPr>
        <w:t>muay thai</w:t>
      </w:r>
      <w:r>
        <w:t xml:space="preserve"> que mató a golpes a su compañero”, lo que para el Tribunal Supremo significó asociarle a la autoría de los hechos al estimar que la imagen no era accesoria, al aparecer como protagonista de la información. El fiscal discrepó de esta valoración, dado que el supuesto autor de los hechos está identificado en el vídeo por su nombre y apellidos y por su imagen, que aparece mucho más tiempo. Respecto a la falta de comprobación de la información gráfica, afirmó el fiscal que “depende también de la hipótesis en que nos movamos, si creemos que la imagen se introdujo por la confusión de ambas personas, no cabía tal comprobación porque no tendría razones para pensar que no era el mismo, y si la imagen se introdujo como apoyo gráfico, al igual que las otras, es decir a sabiendas de que no era la imagen de ‘el Nene’, es que no haría falta comprobación de veracidad”.</w:t>
      </w:r>
    </w:p>
    <w:p w14:paraId="666598AA" w14:textId="77777777" w:rsidR="00A8138F" w:rsidRDefault="00A8138F" w:rsidP="00A8138F">
      <w:pPr>
        <w:pStyle w:val="TextoNormal"/>
      </w:pPr>
    </w:p>
    <w:p w14:paraId="6A03DFE9" w14:textId="77777777" w:rsidR="00A8138F" w:rsidRDefault="00A8138F" w:rsidP="00A8138F">
      <w:pPr>
        <w:pStyle w:val="TextoNormal"/>
      </w:pPr>
      <w:r>
        <w:lastRenderedPageBreak/>
        <w:t>Posteriormente, el fiscal invocó la doctrina del reportaje neutral, por considerar que por sí sola es suficiente para rechazar la responsabilidad de Editorial Prensa Asturiana, S.A.U. Con apoyo en la STC 171/2004, de 18 de octubre, FJ 3, afirmó el fiscal que se está ante la figura del reportaje neutral cuando “un periodista actúa como mera correa de transmisión de una noticia que se contiene en unas declaraciones prestadas por una persona que se identifica, y por ello se responsabiliza si se ha producido una vulneración de alguno de los derechos individuales de otra persona, la obligación del medio, respecto a la veracidad de la noticia se limita a la propia existencia de la declaración”.</w:t>
      </w:r>
    </w:p>
    <w:p w14:paraId="0E74F83F" w14:textId="77777777" w:rsidR="00A8138F" w:rsidRDefault="00A8138F" w:rsidP="00A8138F">
      <w:pPr>
        <w:pStyle w:val="TextoNormal"/>
      </w:pPr>
    </w:p>
    <w:p w14:paraId="22A821C9" w14:textId="77777777" w:rsidR="00A8138F" w:rsidRDefault="00A8138F" w:rsidP="00A8138F">
      <w:pPr>
        <w:pStyle w:val="TextoNormal"/>
      </w:pPr>
      <w:r>
        <w:t>Junto a esta noción de reportaje neutral en sentido propio, el fiscal señaló que en otros supuestos también se habla de reportaje neutral, cuando la noticia presentada por el periodista proviene de una nota de prensa de un organismo público o de otro medio de comunicación de solvencia, incluidas las agencias de información. En estos casos, debido a la solvencia de aquellos, la comprobación de la veracidad se modula de manera importante (STC 178/1993, de 31 de mayo, FJ 5). La solvencia profesional adquiere capital importancia, pues también es habitual en la actualidad que los medios de comunicación se surtan de noticias o vídeos obtenidos de redes sociales, sin solvencia profesional, lo que exige en el periodista una precisa constatación de la noticia o verosimilitud del vídeo.</w:t>
      </w:r>
    </w:p>
    <w:p w14:paraId="4CC2AF95" w14:textId="77777777" w:rsidR="00A8138F" w:rsidRDefault="00A8138F" w:rsidP="00A8138F">
      <w:pPr>
        <w:pStyle w:val="TextoNormal"/>
      </w:pPr>
    </w:p>
    <w:p w14:paraId="104F1E8F" w14:textId="77777777" w:rsidR="00A8138F" w:rsidRDefault="00A8138F" w:rsidP="00A8138F">
      <w:pPr>
        <w:pStyle w:val="TextoNormal"/>
      </w:pPr>
      <w:r>
        <w:t>Para concluir, señaló que en este caso concurren los requisitos del reportaje neutral: (i) se trata de hechos noticiables en relación con el homicidio cometido en una prisión; (ii) Editorial Prensa Asturiana, S.A.U., fue un mero transmisor del vídeo elaborado por la agencia Atlas, cuya solvencia no se discute; (iii) no se ha variado el contenido del vídeo; (iv) no se discute la veracidad de la noticia; y (v) el periódico identifica la procedencia de la noticia. En su caso, si se considerase que en la ponderación de los derechos debiera prevalecer el honor del señor Opazos, debería responder la agencia Atlas, quien no ha sido demandada en el proceso judicial.</w:t>
      </w:r>
    </w:p>
    <w:p w14:paraId="216E499B" w14:textId="77777777" w:rsidR="00A8138F" w:rsidRDefault="00A8138F" w:rsidP="00A8138F">
      <w:pPr>
        <w:pStyle w:val="TextoNormal"/>
      </w:pPr>
    </w:p>
    <w:p w14:paraId="7A507DFD" w14:textId="1F0A9122" w:rsidR="00A8138F" w:rsidRDefault="00A8138F" w:rsidP="00A8138F">
      <w:pPr>
        <w:pStyle w:val="TextoNormal"/>
      </w:pPr>
      <w:r>
        <w:t>El Ministerio Fiscal, en definitiva, solicita la estimación de la demanda de amparo.</w:t>
      </w:r>
    </w:p>
    <w:p w14:paraId="72239768" w14:textId="77777777" w:rsidR="00A8138F" w:rsidRDefault="00A8138F" w:rsidP="00A8138F">
      <w:pPr>
        <w:pStyle w:val="TextoNormal"/>
      </w:pPr>
    </w:p>
    <w:p w14:paraId="3E255C0E" w14:textId="3A4961D9" w:rsidR="00A8138F" w:rsidRDefault="00A8138F" w:rsidP="00A8138F">
      <w:pPr>
        <w:pStyle w:val="TextoNormal"/>
      </w:pPr>
      <w:r w:rsidRPr="00A8138F">
        <w:rPr>
          <w:rStyle w:val="NumeroAFNegritaCaracter"/>
        </w:rPr>
        <w:t>12</w:t>
      </w:r>
      <w:r>
        <w:t>. Mediante providencia de 24 de abril de 2025, se señaló para deliberación y votación de la presente sentencia el día 28 del mismo mes y año.</w:t>
      </w:r>
    </w:p>
    <w:p w14:paraId="05122FB2" w14:textId="77777777" w:rsidR="00A8138F" w:rsidRDefault="00A8138F" w:rsidP="00A8138F">
      <w:pPr>
        <w:pStyle w:val="TextoNormal"/>
      </w:pPr>
    </w:p>
    <w:p w14:paraId="67682369" w14:textId="77777777" w:rsidR="00A8138F" w:rsidRDefault="00A8138F" w:rsidP="00A8138F">
      <w:pPr>
        <w:pStyle w:val="TextoNormalNegritaCentrado"/>
        <w:keepNext/>
      </w:pPr>
      <w:r>
        <w:t>II. Fundamentos jurídicos</w:t>
      </w:r>
    </w:p>
    <w:p w14:paraId="4A0CF894" w14:textId="6EA913C3" w:rsidR="00A8138F" w:rsidRDefault="00A8138F" w:rsidP="00A8138F">
      <w:pPr>
        <w:pStyle w:val="TextoNormalNegritaCentrado"/>
        <w:keepNext/>
      </w:pPr>
    </w:p>
    <w:p w14:paraId="6B63E045"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12B79853" w14:textId="77777777" w:rsidR="00A8138F" w:rsidRDefault="00A8138F" w:rsidP="00A8138F">
      <w:pPr>
        <w:pStyle w:val="TextoNormal"/>
      </w:pPr>
    </w:p>
    <w:p w14:paraId="584B598C" w14:textId="77777777" w:rsidR="00A8138F" w:rsidRDefault="00A8138F" w:rsidP="00A8138F">
      <w:pPr>
        <w:pStyle w:val="TextoNormal"/>
      </w:pPr>
      <w:r>
        <w:t>El presente recurso de amparo tiene por objeto la providencia de 13 de noviembre de 2023, desestimatoria del incidente excepcional de nulidad de actuaciones planteado contra la sentencia de 13 de septiembre de 2023 de la Sala de lo Civil del Tribunal Supremo, y también esta última resolución que estimó el recurso de casación núm. 9338-2021 al declarar que Editorial Prensa Asturiana, S.A.U., produjo una intromisión ilegítima en los derechos al honor y a la propia imagen (art. 18.1 CE) de don Cristian Opazos Menor al haber difundido en su versión digital un vídeo elaborado por una agencia de noticias, citada como fuente, en el que se habían introducido imágenes de aquel, pese a no ser el sujeto de la noticia.</w:t>
      </w:r>
    </w:p>
    <w:p w14:paraId="5AEC39FA" w14:textId="77777777" w:rsidR="00A8138F" w:rsidRDefault="00A8138F" w:rsidP="00A8138F">
      <w:pPr>
        <w:pStyle w:val="TextoNormal"/>
      </w:pPr>
    </w:p>
    <w:p w14:paraId="489D7432" w14:textId="77777777" w:rsidR="00A8138F" w:rsidRDefault="00A8138F" w:rsidP="00A8138F">
      <w:pPr>
        <w:pStyle w:val="TextoNormal"/>
      </w:pPr>
      <w:r>
        <w:lastRenderedPageBreak/>
        <w:t>Recurre en amparo la citada entidad difusora del vídeo, al considerar que la sentencia habría vulnerado su derecho a la libertad de información (art. 20 CE), y que debería aplicarse en este caso la doctrina del reportaje neutral, tanto en lo referente a la intromisión en el derecho al honor, como a la intromisión del derecho a la propia imagen del señor Opazos. Alegó, además, que no se habría vulnerado el derecho a la propia imagen del señor Opazos, porque la utilización de su imagen en el vídeo carece de entidad suficiente, y tampoco se habría vulnerado su derecho al honor porque no cabía duda de que la noticia se refería a otra persona.</w:t>
      </w:r>
    </w:p>
    <w:p w14:paraId="45ED16B7" w14:textId="77777777" w:rsidR="00A8138F" w:rsidRDefault="00A8138F" w:rsidP="00A8138F">
      <w:pPr>
        <w:pStyle w:val="TextoNormal"/>
      </w:pPr>
    </w:p>
    <w:p w14:paraId="61A39985" w14:textId="77777777" w:rsidR="00A8138F" w:rsidRDefault="00A8138F" w:rsidP="00A8138F">
      <w:pPr>
        <w:pStyle w:val="TextoNormal"/>
      </w:pPr>
      <w:r>
        <w:t>Para don Cristian Opazos Menor, las alegaciones de la recurrente en amparo revelan únicamente su discrepancia con el criterio del Tribunal Supremo, que el primero hace suyo.</w:t>
      </w:r>
    </w:p>
    <w:p w14:paraId="6DE54440" w14:textId="77777777" w:rsidR="00A8138F" w:rsidRDefault="00A8138F" w:rsidP="00A8138F">
      <w:pPr>
        <w:pStyle w:val="TextoNormal"/>
      </w:pPr>
    </w:p>
    <w:p w14:paraId="2A60C049" w14:textId="722953C4" w:rsidR="00A8138F" w:rsidRDefault="00A8138F" w:rsidP="00A8138F">
      <w:pPr>
        <w:pStyle w:val="TextoNormal"/>
      </w:pPr>
      <w:r>
        <w:t>El Ministerio Fiscal, por su parte, interesó la estimación del recurso de amparo desde la consideración, en primer lugar, de que no se habría vulnerado el derecho a la propia imagen del señor Opazos, pese a la falta de autorización para la utilización de las imágenes, debido al carácter neutro de las mismas, ya que no se habían obtenido de forma clandestina, sino en un acto público. Tampoco apreció la vulneración del derecho al honor, porque la presunta autoría del homicidio no se atribuyó en el vídeo al señor Opazos, sino al apodado “el Nene”, identificado con nombre y apellidos, al no ser preciso comprobar la veracidad. En todo caso, para el fiscal debería excluirse la intromisión ilegítima en estos derechos mediante la aplicación de la doctrina del reportaje neutral, teniendo en cuenta la solvencia profesional de la agencia que grabó el vídeo y, finalmente, descartó la falta de diligencia exigible en la actuación de la recurrente en amparo.</w:t>
      </w:r>
    </w:p>
    <w:p w14:paraId="55EC6E99" w14:textId="77777777" w:rsidR="00A8138F" w:rsidRDefault="00A8138F" w:rsidP="00A8138F">
      <w:pPr>
        <w:pStyle w:val="TextoNormal"/>
      </w:pPr>
    </w:p>
    <w:p w14:paraId="37FB9D54" w14:textId="77777777" w:rsidR="00A8138F" w:rsidRDefault="00A8138F" w:rsidP="00A8138F">
      <w:pPr>
        <w:pStyle w:val="TextoNormal"/>
      </w:pPr>
      <w:r w:rsidRPr="00A8138F">
        <w:rPr>
          <w:rStyle w:val="NumeroAFNegritaCaracter"/>
        </w:rPr>
        <w:t>2</w:t>
      </w:r>
      <w:r>
        <w:t xml:space="preserve">. </w:t>
      </w:r>
      <w:r w:rsidRPr="00A8138F">
        <w:rPr>
          <w:i/>
        </w:rPr>
        <w:t>Aplicación de la doctrina establecida en la STC 62/2025, de 11 de marzo</w:t>
      </w:r>
    </w:p>
    <w:p w14:paraId="131F18DD" w14:textId="77777777" w:rsidR="00A8138F" w:rsidRDefault="00A8138F" w:rsidP="00A8138F">
      <w:pPr>
        <w:pStyle w:val="TextoNormal"/>
      </w:pPr>
    </w:p>
    <w:p w14:paraId="7CAB8E32" w14:textId="77777777" w:rsidR="00A8138F" w:rsidRDefault="00A8138F" w:rsidP="00A8138F">
      <w:pPr>
        <w:pStyle w:val="TextoNormal"/>
      </w:pPr>
      <w:r>
        <w:t>El presente recurso de amparo se refiere al mismo problema constitucional que el planteado y resuelto en la reciente STC 62/2025, de 11 de marzo. En aquella ocasión el demandante de amparo era otro medio de comunicación, el diario “ABC”, que había difundido el mismo vídeo en relación con la misma noticia. Por tanto, tratándose de los mismos hechos y siendo el mismo vídeo el objeto del problema constitucional que se plantea, procede remitirse a lo declarado en la referida STC 62/2025, de 11 de marzo.</w:t>
      </w:r>
    </w:p>
    <w:p w14:paraId="75BE2EDD" w14:textId="77777777" w:rsidR="00A8138F" w:rsidRDefault="00A8138F" w:rsidP="00A8138F">
      <w:pPr>
        <w:pStyle w:val="TextoNormal"/>
      </w:pPr>
    </w:p>
    <w:p w14:paraId="4C72D82A" w14:textId="77777777" w:rsidR="00A8138F" w:rsidRDefault="00A8138F" w:rsidP="00A8138F">
      <w:pPr>
        <w:pStyle w:val="TextoNormal"/>
      </w:pPr>
      <w:r>
        <w:t>En síntesis, en dicha sentencia, tras recordar la doctrina constitucional sobre el derecho a la libertad de información reconocida en el art. 20 CE, y el requisito de la veracidad de la noticia dada, descartábamos que la circunstancia de que tanto Diario ABC, S.L., en el caso de la STC 62/2025, de 11 de marzo, como Editorial Prensa Asturiana, S.A.U., en el presente caso, adquirieran el vídeo controvertido de una agencia de noticias, no confería a la noticia litigiosa el carácter de reportaje neutral.</w:t>
      </w:r>
    </w:p>
    <w:p w14:paraId="422362DD" w14:textId="77777777" w:rsidR="00A8138F" w:rsidRDefault="00A8138F" w:rsidP="00A8138F">
      <w:pPr>
        <w:pStyle w:val="TextoNormal"/>
      </w:pPr>
    </w:p>
    <w:p w14:paraId="66E34243" w14:textId="77777777" w:rsidR="00A8138F" w:rsidRDefault="00A8138F" w:rsidP="00A8138F">
      <w:pPr>
        <w:pStyle w:val="TextoNormal"/>
      </w:pPr>
      <w:r>
        <w:t xml:space="preserve">El Tribunal asumía que es un “fenómeno cotidiano en el modo de operar de los medios de comunicación que, junto al periodismo de investigación y la elaboración propia de noticias, se difundan otras adquiridas de agencias de noticias, también conocidas como agencias de información o agencias de prensa”. Tal forma de proceder, decíamos, “responde a la necesidad de cubrir los sucesos que puedan producirse en cualquier momento y lugar, cuando para los medios de comunicación no resulta posible cumplir por sí solos con esa cobertura, por razones técnicas y económicas, a lo que se suman las exigencias de celeridad </w:t>
      </w:r>
      <w:r>
        <w:lastRenderedPageBreak/>
        <w:t>que se imponen en este sector y que se han acentuado en los últimos tiempos con el desarrollo del entorno digital”.</w:t>
      </w:r>
    </w:p>
    <w:p w14:paraId="2C029BB9" w14:textId="77777777" w:rsidR="00A8138F" w:rsidRDefault="00A8138F" w:rsidP="00A8138F">
      <w:pPr>
        <w:pStyle w:val="TextoNormal"/>
      </w:pPr>
    </w:p>
    <w:p w14:paraId="14E467F8" w14:textId="77777777" w:rsidR="00A8138F" w:rsidRDefault="00A8138F" w:rsidP="00A8138F">
      <w:pPr>
        <w:pStyle w:val="TextoNormal"/>
      </w:pPr>
      <w:r>
        <w:t>Afirmábamos que en las noticias procedentes de agencias de información “pueden concurrir algunos de los elementos caracterizadores del reportaje neutral”, pero que “[m]ientras que la doctrina del reportaje neutral excluye la responsabilidad del medio por el contenido de la declaración, que forma parte de una noticia y contribuye a la formación de una opinión pública libre, una doctrina que excluyera siempre toda responsabilidad del medio de comunicación por el contenido de las noticias que difunde y que han sido elaboradas por agencias de información, aun cuando se cite la fuente y no se modifiquen, significaría amparar constitucionalmente la divulgación de cualquier información que se publique en tales circunstancias, lo que podría llegar a poner en riesgo el rigor informativo”.</w:t>
      </w:r>
    </w:p>
    <w:p w14:paraId="458D2245" w14:textId="77777777" w:rsidR="00A8138F" w:rsidRDefault="00A8138F" w:rsidP="00A8138F">
      <w:pPr>
        <w:pStyle w:val="TextoNormal"/>
      </w:pPr>
    </w:p>
    <w:p w14:paraId="09464CA3" w14:textId="77777777" w:rsidR="00A8138F" w:rsidRDefault="00A8138F" w:rsidP="00A8138F">
      <w:pPr>
        <w:pStyle w:val="TextoNormal"/>
      </w:pPr>
      <w:r>
        <w:t>Entendíamos también que, si bien la fiabilidad de la fuente y la confianza derivada de su profesionalidad pueden justificar que el deber de comprobación sea menos exhaustivo que cuando la noticia procede de fuentes menos fiables, tal credibilidad de la fuente no puede llevar a eximir en estos casos a los medios de su deber de diligencia atendidas las circunstancias que en cada caso concurran.</w:t>
      </w:r>
    </w:p>
    <w:p w14:paraId="5D699BB2" w14:textId="77777777" w:rsidR="00A8138F" w:rsidRDefault="00A8138F" w:rsidP="00A8138F">
      <w:pPr>
        <w:pStyle w:val="TextoNormal"/>
      </w:pPr>
    </w:p>
    <w:p w14:paraId="5E30B660" w14:textId="07395AE2" w:rsidR="00A8138F" w:rsidRDefault="00A8138F" w:rsidP="00A8138F">
      <w:pPr>
        <w:pStyle w:val="TextoNormal"/>
      </w:pPr>
      <w:r>
        <w:t>En definitiva, para conciliar las exigencias de agilidad en la transmisión de la información en la realidad actual, cuando la noticia que se transmita proceda de una agencia de información y se publique tal y como fue elaborada por la agencia con indicación de la fuente, y la diligencia exigible al medio de comunicación en relación con el deber de respeto de los otros derechos fundamentales concernidos debe modularse en relación con las noticias obtenidas de fuentes con solvencia profesional, pero ello no puede llevar a prescindir absolutamente de dicho deber sobre las noticias publicadas.</w:t>
      </w:r>
    </w:p>
    <w:p w14:paraId="0FD38202" w14:textId="77777777" w:rsidR="00A8138F" w:rsidRDefault="00A8138F" w:rsidP="00A8138F">
      <w:pPr>
        <w:pStyle w:val="TextoNormal"/>
      </w:pPr>
    </w:p>
    <w:p w14:paraId="7FD0804F" w14:textId="77777777" w:rsidR="00A8138F" w:rsidRDefault="00A8138F" w:rsidP="00A8138F">
      <w:pPr>
        <w:pStyle w:val="TextoNormal"/>
      </w:pPr>
      <w:r w:rsidRPr="00A8138F">
        <w:rPr>
          <w:rStyle w:val="NumeroAFNegritaCaracter"/>
        </w:rPr>
        <w:t>3</w:t>
      </w:r>
      <w:r>
        <w:t xml:space="preserve">. </w:t>
      </w:r>
      <w:r w:rsidRPr="00A8138F">
        <w:rPr>
          <w:i/>
        </w:rPr>
        <w:t>Aplicación al caso concreto</w:t>
      </w:r>
    </w:p>
    <w:p w14:paraId="6CA6683B" w14:textId="77777777" w:rsidR="00A8138F" w:rsidRDefault="00A8138F" w:rsidP="00A8138F">
      <w:pPr>
        <w:pStyle w:val="TextoNormal"/>
      </w:pPr>
    </w:p>
    <w:p w14:paraId="113425C6" w14:textId="77777777" w:rsidR="00A8138F" w:rsidRDefault="00A8138F" w:rsidP="00A8138F">
      <w:pPr>
        <w:pStyle w:val="TextoNormal"/>
      </w:pPr>
      <w:r>
        <w:t xml:space="preserve">En el caso sometido a nuestro enjuiciamiento, los hechos, que quedaron establecidos desde la sentencia dictada por el Juzgado de Primera Instancia núm. 6 de L’Hospitalet de Llobregat, consistieron en que por el medio Editorial Prensa Asturiana, S,A,U., se difundieron unas imágenes del señor Opazos, boxeador </w:t>
      </w:r>
      <w:r w:rsidRPr="00A8138F">
        <w:rPr>
          <w:i/>
        </w:rPr>
        <w:t>amateur</w:t>
      </w:r>
      <w:r>
        <w:t>, ilustrando la noticia del asesinato de un recluso en la cárcel de Soto del Real, cometido por otro boxeador apodado “el Nene” (de nombre Jesús María Romero Hernández), también recluso en dicha prisión, ocurrido el 26 de diciembre de 2018. El titular de la noticia era el siguiente: “ՙEl Nene՚ mata a golpes a un traficante de drogas por una litera”; la noticia se transmitió mientras se exhibía la imagen del señor Opazos.</w:t>
      </w:r>
    </w:p>
    <w:p w14:paraId="5FE2B731" w14:textId="77777777" w:rsidR="00A8138F" w:rsidRDefault="00A8138F" w:rsidP="00A8138F">
      <w:pPr>
        <w:pStyle w:val="TextoNormal"/>
      </w:pPr>
    </w:p>
    <w:p w14:paraId="2702FA58" w14:textId="77777777" w:rsidR="00A8138F" w:rsidRDefault="00A8138F" w:rsidP="00A8138F">
      <w:pPr>
        <w:pStyle w:val="TextoNormal"/>
      </w:pPr>
      <w:r>
        <w:t>A ello se debe añadir como hechos no controvertidos: (i) que don Cristian Opazos Menor no prestó su consentimiento para la utilización de su imagen; (ii) que la noticia transmitida por Editorial Prensa Asturiana, S.A.U., fue elaborada, montada y locutada, por una agencia de noticias cuya profesionalidad no se cuestiona; y, finalmente (iii) que el material informativo editado contenía dos imágenes la del señor Opazos y la de don Jesús María Romero Hernández.</w:t>
      </w:r>
    </w:p>
    <w:p w14:paraId="285E62B6" w14:textId="77777777" w:rsidR="00A8138F" w:rsidRDefault="00A8138F" w:rsidP="00A8138F">
      <w:pPr>
        <w:pStyle w:val="TextoNormal"/>
      </w:pPr>
    </w:p>
    <w:p w14:paraId="6D324D04" w14:textId="77777777" w:rsidR="00A8138F" w:rsidRDefault="00A8138F" w:rsidP="00A8138F">
      <w:pPr>
        <w:pStyle w:val="TextoNormal"/>
      </w:pPr>
      <w:r>
        <w:t xml:space="preserve">En este caso, la sentencia de la Sala de lo Civil del Tribunal Supremo recurrida en amparo apreció la vulneración de los derechos al honor y a la propia imagen </w:t>
      </w:r>
      <w:r w:rsidRPr="00A8138F">
        <w:rPr>
          <w:i/>
        </w:rPr>
        <w:t>ex</w:t>
      </w:r>
      <w:r>
        <w:t xml:space="preserve"> art. 18 CE, por parte </w:t>
      </w:r>
      <w:r>
        <w:lastRenderedPageBreak/>
        <w:t>de la entidad demandante de amparo, indicando que la misma no podía excusarse con sustento en la aplicación del reportaje neutral. Basó su decisión en la ponderación de varias circunstancias: (i) la extraordinaria gravedad del error que supuso identificar al señor Opazos con un homicida; (ii) el carácter innecesario de la utilización de la imagen del señor Opazos para difundir el contenido sustancial de la información; (iii) la utilización de la imagen desvinculada del contexto en el que se obtuvo y para fines totalmente diferentes y sin autorización del afectado.</w:t>
      </w:r>
    </w:p>
    <w:p w14:paraId="41A07CC4" w14:textId="77777777" w:rsidR="00A8138F" w:rsidRDefault="00A8138F" w:rsidP="00A8138F">
      <w:pPr>
        <w:pStyle w:val="TextoNormal"/>
      </w:pPr>
    </w:p>
    <w:p w14:paraId="7F8D221F" w14:textId="77777777" w:rsidR="00A8138F" w:rsidRDefault="00A8138F" w:rsidP="00A8138F">
      <w:pPr>
        <w:pStyle w:val="TextoNormal"/>
      </w:pPr>
      <w:r>
        <w:t xml:space="preserve">En tal sentido el alto tribunal razonó que, pese a la brevedad de las imágenes, se mostraba en ellas al señor Opazos en el interior de un </w:t>
      </w:r>
      <w:r w:rsidRPr="00A8138F">
        <w:rPr>
          <w:i/>
        </w:rPr>
        <w:t>ring</w:t>
      </w:r>
      <w:r>
        <w:t xml:space="preserve"> con atuendo de boxeador y el puño en alto, levantado en signo de victoria, y tales imágenes se insertaron en el contexto de la muerte de un recluso por una paliza propinada por otro preso, al tiempo que se oía una voz en </w:t>
      </w:r>
      <w:r w:rsidRPr="00A8138F">
        <w:rPr>
          <w:i/>
        </w:rPr>
        <w:t>off</w:t>
      </w:r>
      <w:r>
        <w:t xml:space="preserve"> diciendo “así se presenta ‘el Nene’ este campeón de </w:t>
      </w:r>
      <w:r w:rsidRPr="00A8138F">
        <w:rPr>
          <w:i/>
        </w:rPr>
        <w:t>muay thai</w:t>
      </w:r>
      <w:r>
        <w:t xml:space="preserve"> que mató a golpes a su compañero de celda por una litera”, siendo una imagen clara, no accesoria y extraída de un contexto totalmente ajeno, utilizada sin su consentimiento y para unos fines totalmente distintos y, aunque el texto de la información era veraz, no lo era su contenido videográfico, al haber introducido la imagen del recurrente presentándolo como protagonista de la noticia.</w:t>
      </w:r>
    </w:p>
    <w:p w14:paraId="4470CFAB" w14:textId="77777777" w:rsidR="00A8138F" w:rsidRDefault="00A8138F" w:rsidP="00A8138F">
      <w:pPr>
        <w:pStyle w:val="TextoNormal"/>
      </w:pPr>
    </w:p>
    <w:p w14:paraId="1BF70BD2" w14:textId="77777777" w:rsidR="00A8138F" w:rsidRDefault="00A8138F" w:rsidP="00A8138F">
      <w:pPr>
        <w:pStyle w:val="TextoNormal"/>
      </w:pPr>
      <w:r>
        <w:t>Basándonos en los hechos probados, como hicimos en nuestra STC 62/2025, debemos confirmar el juicio de ponderación entre el derecho a “comunicar información veraz”, reconocido en el art. 20.1 d) de la Constitución Española, y los derechos al honor y a la propia imagen protegidos por el art. 18.1 de la misma norma, realizado en la sentencia del Tribunal Supremo ahora impugnada.</w:t>
      </w:r>
    </w:p>
    <w:p w14:paraId="16B6E6FB" w14:textId="77777777" w:rsidR="00A8138F" w:rsidRDefault="00A8138F" w:rsidP="00A8138F">
      <w:pPr>
        <w:pStyle w:val="TextoNormal"/>
      </w:pPr>
    </w:p>
    <w:p w14:paraId="7758AAA1" w14:textId="77777777" w:rsidR="00A8138F" w:rsidRDefault="00A8138F" w:rsidP="00A8138F">
      <w:pPr>
        <w:pStyle w:val="TextoNormal"/>
      </w:pPr>
      <w:r>
        <w:t>En tal sentido, varios son los elementos que deben tomarse en consideración para validar la valoración efectuada en la sentencia recurrida y apreciar que la falta de diligencia de Editorial Prensa Asturiana, S.A.U., derivó en una intromisión ilegítima en el derecho a la imagen y el honor del señor Opazos, lo que justifica su reparación conforme a la Ley Orgánica 1/1982: (i) ausencia de consentimiento para la utilización de la imagen del señor Opazos en el vídeo; (ii) falta de diligencia al comprobar la vinculación entre la imagen y el contenido de la noticia; (iii) naturaleza y gravedad de la intromisión y repercusiones de la publicación de la imagen para el interesado; (iv) inexistencia de efecto disuasorio para el ejercicio del derecho de la libertad de información.</w:t>
      </w:r>
    </w:p>
    <w:p w14:paraId="781C4DB8" w14:textId="77777777" w:rsidR="00A8138F" w:rsidRDefault="00A8138F" w:rsidP="00A8138F">
      <w:pPr>
        <w:pStyle w:val="TextoNormal"/>
      </w:pPr>
    </w:p>
    <w:p w14:paraId="7F080745" w14:textId="77777777" w:rsidR="00A8138F" w:rsidRDefault="00A8138F" w:rsidP="00A8138F">
      <w:pPr>
        <w:pStyle w:val="TextoNormal"/>
      </w:pPr>
      <w:r>
        <w:t xml:space="preserve">En consecuencia, este tribunal, como ya hizo en la STC 62/2025, concluye que atendidas las circunstancias del caso, el medio de comunicación no cumplió con la diligencia exigible antes de proceder a la transmisión del material informativo. Al medio de información, por razones obvias, le bastaba el mero visionado del contenido del vídeo para prever tanto que don Cristian Opazos Menor no había prestado su consentimiento para la incorporación de su imagen en la elaboración de la noticia, como para representarse que la asociación del titular “ՙEl Nene՚ mata a golpes a un traficante de drogas por una litera” a la imagen del señor Opazos en un </w:t>
      </w:r>
      <w:r w:rsidRPr="00A8138F">
        <w:rPr>
          <w:i/>
        </w:rPr>
        <w:t>ring</w:t>
      </w:r>
      <w:r>
        <w:t xml:space="preserve"> de boxeo afectaba seria e injustificadamente a su reputación. En definitiva, la actuación del medio de comunicación no puede entenderse amparada en su derecho fundamental a la libertad de información, art. 20 CE.</w:t>
      </w:r>
    </w:p>
    <w:p w14:paraId="4DC8F93E" w14:textId="77777777" w:rsidR="00A8138F" w:rsidRDefault="00A8138F" w:rsidP="00A8138F">
      <w:pPr>
        <w:pStyle w:val="TextoNormal"/>
      </w:pPr>
    </w:p>
    <w:p w14:paraId="6EEFAD86" w14:textId="766607B6" w:rsidR="00A8138F" w:rsidRDefault="00A8138F" w:rsidP="00A8138F">
      <w:pPr>
        <w:pStyle w:val="TextoNormal"/>
      </w:pPr>
      <w:r>
        <w:t>Por todo lo expuesto, ha de desestimarse el amparo solicitado por Editorial Prensa Asturiana, S.A.U.</w:t>
      </w:r>
    </w:p>
    <w:p w14:paraId="73E9999B" w14:textId="77777777" w:rsidR="00A8138F" w:rsidRDefault="00A8138F" w:rsidP="00A8138F">
      <w:pPr>
        <w:pStyle w:val="TextoNormal"/>
      </w:pPr>
    </w:p>
    <w:p w14:paraId="5A1F2191" w14:textId="77777777" w:rsidR="00A8138F" w:rsidRDefault="00A8138F" w:rsidP="00A8138F">
      <w:pPr>
        <w:pStyle w:val="TextoNormalCentrado"/>
        <w:keepNext/>
      </w:pPr>
      <w:r>
        <w:lastRenderedPageBreak/>
        <w:t>FALLO</w:t>
      </w:r>
    </w:p>
    <w:p w14:paraId="73867179" w14:textId="07BC33E2" w:rsidR="00A8138F" w:rsidRDefault="00A8138F" w:rsidP="00A8138F">
      <w:pPr>
        <w:pStyle w:val="TextoNormalCentrado"/>
        <w:keepNext/>
      </w:pPr>
    </w:p>
    <w:p w14:paraId="0E82BFC1" w14:textId="49030C8E"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Editorial Prensa Asturiana, S.A.U.</w:t>
      </w:r>
    </w:p>
    <w:p w14:paraId="0E5913E5" w14:textId="77777777" w:rsidR="00A8138F" w:rsidRDefault="00A8138F" w:rsidP="00A8138F">
      <w:pPr>
        <w:pStyle w:val="TextoNormal"/>
      </w:pPr>
    </w:p>
    <w:p w14:paraId="5D73CD88" w14:textId="77777777" w:rsidR="00A8138F" w:rsidRDefault="00A8138F" w:rsidP="00A8138F">
      <w:pPr>
        <w:pStyle w:val="TextoNormal"/>
      </w:pPr>
      <w:r>
        <w:t>Publíquese esta sentencia en el “Boletín Oficial del Estado”.</w:t>
      </w:r>
    </w:p>
    <w:p w14:paraId="3AE13080" w14:textId="77777777" w:rsidR="00A8138F" w:rsidRDefault="00A8138F" w:rsidP="00A8138F">
      <w:pPr>
        <w:pStyle w:val="TextoNormal"/>
      </w:pPr>
      <w:r>
        <w:t>Dada en Madrid, a veintiocho de abril de dos mil veinticinco.</w:t>
      </w:r>
    </w:p>
    <w:p w14:paraId="29C4110E" w14:textId="3EA0D391" w:rsidR="00A8138F" w:rsidRDefault="00A8138F" w:rsidP="00A8138F">
      <w:pPr>
        <w:pStyle w:val="ParrafoNormal"/>
      </w:pPr>
    </w:p>
    <w:p w14:paraId="64E1DA22" w14:textId="77777777" w:rsidR="00A8138F" w:rsidRDefault="00A8138F" w:rsidP="00A8138F">
      <w:pPr>
        <w:pStyle w:val="TextoNormalNegritaCentrado"/>
        <w:keepNext/>
      </w:pPr>
      <w:r>
        <w:t>Voto particular que formulan la magistrada doña Laura Díez Bueso y el magistrado don Enrique Arnaldo Alcubilla a la sentencia que desestima el recurso de amparo núm. 7511-2023</w:t>
      </w:r>
    </w:p>
    <w:p w14:paraId="155215F8" w14:textId="09217DC0" w:rsidR="00A8138F" w:rsidRDefault="00A8138F" w:rsidP="00A8138F">
      <w:pPr>
        <w:pStyle w:val="TextoNormalNegritaCentrado"/>
        <w:keepNext/>
      </w:pPr>
    </w:p>
    <w:p w14:paraId="11AAAE79" w14:textId="77777777" w:rsidR="00A8138F" w:rsidRDefault="00A8138F" w:rsidP="00A8138F">
      <w:pPr>
        <w:pStyle w:val="TextoNormal"/>
      </w:pPr>
      <w:r>
        <w:t>En el ejercicio de la facultad que nos confiere el art. 90.2 de la Ley Orgánica del Tribunal Constitucional (LOTC) y con respeto a la opinión de nuestros compañeros, formulamos este voto particular por las razones ya defendidas en su momento durante la deliberación y en los términos que exponemos a continuación.</w:t>
      </w:r>
    </w:p>
    <w:p w14:paraId="3BFFF7A7" w14:textId="77777777" w:rsidR="00A8138F" w:rsidRDefault="00A8138F" w:rsidP="00A8138F">
      <w:pPr>
        <w:pStyle w:val="TextoNormal"/>
      </w:pPr>
    </w:p>
    <w:p w14:paraId="7CC0A635" w14:textId="77777777" w:rsidR="00A8138F" w:rsidRDefault="00A8138F" w:rsidP="00A8138F">
      <w:pPr>
        <w:pStyle w:val="TextoNormal"/>
      </w:pPr>
      <w:r>
        <w:t>La sentencia, en aplicación de la doctrina sentada por el Pleno en la STC 62/2025, de 11 de marzo, desestima el recurso de amparo, por entender que, atendidas las circunstancias del caso, el medio de comunicación recurrente no cumplió con la diligencia exigible antes de proceder a la trasmisión del material informativo (procedente de una agencia de noticias, citada como fuente) lesivo para la reputación del señor Opazos, por lo que la actuación de aquel no puede entenderse amparada en el derecho fundamental a la libertad de información.</w:t>
      </w:r>
    </w:p>
    <w:p w14:paraId="130E8E40" w14:textId="77777777" w:rsidR="00A8138F" w:rsidRDefault="00A8138F" w:rsidP="00A8138F">
      <w:pPr>
        <w:pStyle w:val="TextoNormal"/>
      </w:pPr>
    </w:p>
    <w:p w14:paraId="388035EE" w14:textId="77777777" w:rsidR="00A8138F" w:rsidRDefault="00A8138F" w:rsidP="00A8138F">
      <w:pPr>
        <w:pStyle w:val="TextoNormal"/>
      </w:pPr>
      <w:r>
        <w:t>Por las razones expresadas en el voto particular que, junto a la magistrada doña Concepción Espejel Jorquera, formulamos a la referida STC 62/2025, al que nos remitimos íntegramente para excusar reiteraciones innecesarias, disentimos de la sentencia que desestima este recurso de amparo, por discrepar del fallo y de parte de la fundamentación. Consideramos que, al igual que debió suceder en aquel caso, el presente recurso debería haber sido estimado, apreciando que la sentencia estimatoria del recurso de casación impugnada en amparo vulneró el derecho a la libertad de información del medio de comunicación recurrente.</w:t>
      </w:r>
    </w:p>
    <w:p w14:paraId="3A18BAD1" w14:textId="77777777" w:rsidR="00A8138F" w:rsidRDefault="00A8138F" w:rsidP="00A8138F">
      <w:pPr>
        <w:pStyle w:val="TextoNormal"/>
      </w:pPr>
    </w:p>
    <w:p w14:paraId="67287A32" w14:textId="298565B8" w:rsidR="00A8138F" w:rsidRDefault="00A8138F" w:rsidP="00A8138F">
      <w:pPr>
        <w:pStyle w:val="TextoNormal"/>
      </w:pPr>
      <w:r>
        <w:t>Madrid, a veintiocho de abril de dos mil veinticinco.</w:t>
      </w:r>
    </w:p>
    <w:p w14:paraId="65BEDBB0" w14:textId="65FEE5B2" w:rsidR="00A8138F" w:rsidRDefault="00A8138F">
      <w:pPr>
        <w:spacing w:after="160" w:line="278" w:lineRule="auto"/>
        <w:rPr>
          <w:rFonts w:ascii="Times New Roman" w:eastAsia="Times New Roman" w:hAnsi="Times New Roman" w:cs="Times New Roman"/>
          <w:sz w:val="24"/>
          <w:szCs w:val="24"/>
          <w:lang w:eastAsia="es-ES"/>
        </w:rPr>
      </w:pPr>
      <w:r>
        <w:br w:type="page"/>
      </w:r>
    </w:p>
    <w:p w14:paraId="2A188DD5" w14:textId="77777777" w:rsidR="00A8138F" w:rsidRDefault="00A8138F" w:rsidP="00A8138F">
      <w:pPr>
        <w:pStyle w:val="TtuloResolucin"/>
      </w:pPr>
      <w:bookmarkStart w:id="104" w:name="SENTENCIA_2025_102"/>
      <w:r>
        <w:lastRenderedPageBreak/>
        <w:t>SENTENCIA 102/2025, de 28 de abril de 2025</w:t>
      </w:r>
    </w:p>
    <w:bookmarkEnd w:id="104"/>
    <w:p w14:paraId="51DBF2B2" w14:textId="77777777" w:rsidR="00A8138F" w:rsidRDefault="00A8138F" w:rsidP="00A8138F">
      <w:pPr>
        <w:pStyle w:val="TtuloResolucin"/>
      </w:pPr>
      <w:r>
        <w:t>Sala Primera</w:t>
      </w:r>
    </w:p>
    <w:p w14:paraId="0E2B938B" w14:textId="77777777" w:rsidR="00A8138F" w:rsidRDefault="00A8138F" w:rsidP="00A8138F">
      <w:pPr>
        <w:pStyle w:val="TtuloBOE"/>
      </w:pPr>
      <w:r>
        <w:t>(BOE núm. 135, de 5 de junio de 2025)</w:t>
      </w:r>
    </w:p>
    <w:p w14:paraId="7B8701E3" w14:textId="77777777" w:rsidR="00A8138F" w:rsidRDefault="00A8138F" w:rsidP="00A8138F">
      <w:pPr>
        <w:pStyle w:val="TextoNormalCentrado"/>
      </w:pPr>
      <w:r>
        <w:t>ECLI:ES:TC:2025:102</w:t>
      </w:r>
    </w:p>
    <w:p w14:paraId="68756025" w14:textId="79F65E27" w:rsidR="00A8138F" w:rsidRDefault="00A8138F" w:rsidP="00A8138F">
      <w:pPr>
        <w:pStyle w:val="TextoNormalCentrado"/>
      </w:pPr>
    </w:p>
    <w:p w14:paraId="1172DECE" w14:textId="77777777" w:rsidR="00A8138F" w:rsidRDefault="00A8138F" w:rsidP="00A8138F">
      <w:pPr>
        <w:pStyle w:val="SntesisDescriptiva"/>
      </w:pPr>
      <w:r>
        <w:t>Recurso de amparo 5381-2024. Promovido por doña Nagore Sánchez Amondarain en relación con las resoluciones administrativas y judiciales que desestimaron su petición de revisión y ampliación de la prestación por nacimiento y cuidado de hijo menor, como madre biológica de familia monoparental.</w:t>
      </w:r>
    </w:p>
    <w:p w14:paraId="59A8C7E5" w14:textId="7646B3F6" w:rsidR="00A8138F" w:rsidRDefault="00A8138F" w:rsidP="00A8138F">
      <w:pPr>
        <w:pStyle w:val="SntesisDescriptiva"/>
      </w:pPr>
    </w:p>
    <w:p w14:paraId="579A2759"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C9540A1" w14:textId="63C354D4" w:rsidR="00A8138F" w:rsidRDefault="00A8138F" w:rsidP="00A8138F">
      <w:pPr>
        <w:pStyle w:val="SntesisAnaltica"/>
      </w:pPr>
    </w:p>
    <w:p w14:paraId="07C35AA2" w14:textId="6C78BC23"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328325D5" w14:textId="77777777" w:rsidR="00A8138F" w:rsidRDefault="00A8138F" w:rsidP="00A8138F">
      <w:pPr>
        <w:pStyle w:val="Extracto"/>
      </w:pPr>
    </w:p>
    <w:p w14:paraId="358997E5" w14:textId="77777777" w:rsidR="00A8138F" w:rsidRDefault="00A8138F" w:rsidP="00A8138F">
      <w:pPr>
        <w:pStyle w:val="Extracto"/>
      </w:pPr>
    </w:p>
    <w:p w14:paraId="56D322DC"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34BA49C" w14:textId="649C2F65" w:rsidR="00A8138F" w:rsidRDefault="00A8138F" w:rsidP="00A8138F">
      <w:pPr>
        <w:pStyle w:val="TextoNormal"/>
      </w:pPr>
    </w:p>
    <w:p w14:paraId="22F1C453" w14:textId="77777777" w:rsidR="00A8138F" w:rsidRDefault="00A8138F" w:rsidP="00A8138F">
      <w:pPr>
        <w:pStyle w:val="TextoNormalCentrado"/>
        <w:keepNext/>
      </w:pPr>
      <w:r>
        <w:t>EN NOMBRE DEL REY</w:t>
      </w:r>
    </w:p>
    <w:p w14:paraId="10FFA1CE" w14:textId="39EF0DD0" w:rsidR="00A8138F" w:rsidRDefault="00A8138F" w:rsidP="00A8138F">
      <w:pPr>
        <w:pStyle w:val="TextoNormalCentrado"/>
        <w:keepNext/>
      </w:pPr>
    </w:p>
    <w:p w14:paraId="58C8C41B" w14:textId="77777777" w:rsidR="00A8138F" w:rsidRDefault="00A8138F" w:rsidP="00A8138F">
      <w:pPr>
        <w:pStyle w:val="TextoNormalCentrado"/>
        <w:keepNext/>
      </w:pPr>
    </w:p>
    <w:p w14:paraId="1034554F" w14:textId="77777777" w:rsidR="00A8138F" w:rsidRDefault="00A8138F" w:rsidP="00A8138F">
      <w:pPr>
        <w:pStyle w:val="TextoNormal"/>
      </w:pPr>
      <w:r>
        <w:t>la siguiente</w:t>
      </w:r>
    </w:p>
    <w:p w14:paraId="7B0C9C81" w14:textId="2DDCF1C8" w:rsidR="00A8138F" w:rsidRDefault="00A8138F" w:rsidP="00A8138F">
      <w:pPr>
        <w:pStyle w:val="TextoNormal"/>
      </w:pPr>
    </w:p>
    <w:p w14:paraId="3C7F5696" w14:textId="77777777" w:rsidR="00A8138F" w:rsidRDefault="00A8138F" w:rsidP="00A8138F">
      <w:pPr>
        <w:pStyle w:val="TextoNormalCentrado"/>
        <w:keepNext/>
      </w:pPr>
      <w:r>
        <w:t>SENTENCIA</w:t>
      </w:r>
    </w:p>
    <w:p w14:paraId="7F6FF432" w14:textId="04F81662" w:rsidR="00A8138F" w:rsidRDefault="00A8138F" w:rsidP="00A8138F">
      <w:pPr>
        <w:pStyle w:val="TextoNormalCentrado"/>
        <w:keepNext/>
      </w:pPr>
    </w:p>
    <w:p w14:paraId="27B1890A" w14:textId="77777777" w:rsidR="00A8138F" w:rsidRDefault="00A8138F" w:rsidP="00A8138F">
      <w:pPr>
        <w:pStyle w:val="TextoNormal"/>
      </w:pPr>
      <w:r>
        <w:t>En el recurso de amparo núm. 5381-2024, promovido por doña Nagore Sánchez Amondarain contra la resolución de la Dirección Provincial de Gipuzkoa del Instituto Nacional de la Seguridad Social (INSS) de 18 de diciembre de 2020, sobre prestación por nacimiento y cuidado de menor como madre biológica de familia monoparental (expediente núm. 20-2020-0005678-88) y la sentencia de la Sala de lo Social del Tribunal Supremo 827/2024, de 31 de mayo, dictada en el recurso de casación para la unificación de doctrina núm. 577-2023. Ha comparecido la letrada de la administración de la Seguridad Social, en nombre del INSS y la Tesorería General de la Seguridad Social (TGSS). Ha intervenido el Ministerio Fiscal. Ha sido ponente la magistrada doña María Luisa Segoviano Astaburuaga.</w:t>
      </w:r>
    </w:p>
    <w:p w14:paraId="30EEB43D" w14:textId="159C4937" w:rsidR="00A8138F" w:rsidRDefault="00A8138F" w:rsidP="00A8138F">
      <w:pPr>
        <w:pStyle w:val="TextoNormal"/>
      </w:pPr>
    </w:p>
    <w:p w14:paraId="42BC4846" w14:textId="77777777" w:rsidR="00A8138F" w:rsidRDefault="00A8138F" w:rsidP="00A8138F">
      <w:pPr>
        <w:pStyle w:val="TextoNormalNegritaCentrado"/>
        <w:keepNext/>
      </w:pPr>
      <w:r>
        <w:lastRenderedPageBreak/>
        <w:t>I. Antecedentes</w:t>
      </w:r>
    </w:p>
    <w:p w14:paraId="5BCFBABB" w14:textId="4B3B731F" w:rsidR="00A8138F" w:rsidRDefault="00A8138F" w:rsidP="00A8138F">
      <w:pPr>
        <w:pStyle w:val="TextoNormalNegritaCentrado"/>
        <w:keepNext/>
      </w:pPr>
    </w:p>
    <w:p w14:paraId="5CB665A0" w14:textId="3E06C544" w:rsidR="00A8138F" w:rsidRDefault="00A8138F" w:rsidP="00A8138F">
      <w:pPr>
        <w:pStyle w:val="TextoNormal"/>
      </w:pPr>
      <w:r w:rsidRPr="00A8138F">
        <w:rPr>
          <w:rStyle w:val="NumeroAFNegritaCaracter"/>
        </w:rPr>
        <w:t>1</w:t>
      </w:r>
      <w:r>
        <w:t>. Mediante escrito registrado en el Tribunal el día 10 de julio de 2024, la procuradora de los tribunales doña María Yolanda Cortajarena Martínez, en nombre y representación de doña Nagore Sánchez Amondarain, bajo la dirección letrada de don Carlos Alberto Cabodevilla Cabodevilla, interpuso recurso de amparo contra las decisiones administrativa y judicial a las que se ha hecho referencia en el encabezamiento de esta sentencia.</w:t>
      </w:r>
    </w:p>
    <w:p w14:paraId="0928D2EB" w14:textId="77777777" w:rsidR="00A8138F" w:rsidRDefault="00A8138F" w:rsidP="00A8138F">
      <w:pPr>
        <w:pStyle w:val="TextoNormal"/>
      </w:pPr>
    </w:p>
    <w:p w14:paraId="2EC7ABF3" w14:textId="77777777" w:rsidR="00A8138F" w:rsidRDefault="00A8138F" w:rsidP="00A8138F">
      <w:pPr>
        <w:pStyle w:val="TextoNormal"/>
      </w:pPr>
      <w:r w:rsidRPr="00A8138F">
        <w:rPr>
          <w:rStyle w:val="NumeroAFNegritaCaracter"/>
        </w:rPr>
        <w:t>2</w:t>
      </w:r>
      <w:r>
        <w:t>. El recurso tiene su origen en los siguientes antecedentes:</w:t>
      </w:r>
    </w:p>
    <w:p w14:paraId="0397D8A5" w14:textId="77777777" w:rsidR="00A8138F" w:rsidRDefault="00A8138F" w:rsidP="00A8138F">
      <w:pPr>
        <w:pStyle w:val="TextoNormal"/>
      </w:pPr>
    </w:p>
    <w:p w14:paraId="240401CA" w14:textId="77777777" w:rsidR="00A8138F" w:rsidRDefault="00A8138F" w:rsidP="00A8138F">
      <w:pPr>
        <w:pStyle w:val="TextoNormal"/>
      </w:pPr>
      <w:r>
        <w:t>a) La demandante fue madre de una niña el día 26 de febrero de 2020 con la que formaba una familia monoparental. Mediante resolución de la Dirección Provincial de Gipuzkoa del INSS de 23 de junio de 2020, pronunciada en el expediente núm. 20-2020-0005678-88, obtuvo la prestación por nacimiento y cuidado de menor durante dieciséis semanas [art. 177 del texto refundido de la Ley general de la Seguridad Social, aprobado por el Real Decreto Legislativo 8/2015, de 30 de octubre (LGSS)]. La demandante formuló solicitud de revisión de prestaciones solicitando su ampliación por doce semanas adicionales, que es el plazo que hubiera correspondido al otro progenitor en el supuesto de una familia biparental, siendo desestimada por resolución de 18 de diciembre de 2020.</w:t>
      </w:r>
    </w:p>
    <w:p w14:paraId="5810CCD9" w14:textId="77777777" w:rsidR="00A8138F" w:rsidRDefault="00A8138F" w:rsidP="00A8138F">
      <w:pPr>
        <w:pStyle w:val="TextoNormal"/>
      </w:pPr>
    </w:p>
    <w:p w14:paraId="2CFC6A2D" w14:textId="77777777" w:rsidR="00A8138F" w:rsidRDefault="00A8138F" w:rsidP="00A8138F">
      <w:pPr>
        <w:pStyle w:val="TextoNormal"/>
      </w:pPr>
      <w:r>
        <w:t>b) La actora formuló demanda ante el Juzgado de lo Social núm. 1 de Donostia-San Sebastián, dando lugar al procedimiento núm. 103-2021, invocando, entre otros motivos, la vulneración del art. 14 CE, siendo estimada parcialmente por la sentencia 1/2022, de 12 de enero, en el sentido de reconocer que la actora tiene el derecho a complementar la prestación de maternidad con otras ocho semanas.</w:t>
      </w:r>
    </w:p>
    <w:p w14:paraId="1CCEAE21" w14:textId="77777777" w:rsidR="00A8138F" w:rsidRDefault="00A8138F" w:rsidP="00A8138F">
      <w:pPr>
        <w:pStyle w:val="TextoNormal"/>
      </w:pPr>
    </w:p>
    <w:p w14:paraId="31026DD0" w14:textId="77777777" w:rsidR="00A8138F" w:rsidRDefault="00A8138F" w:rsidP="00A8138F">
      <w:pPr>
        <w:pStyle w:val="TextoNormal"/>
      </w:pPr>
      <w:r>
        <w:t>c) El INSS formuló recurso de suplicación ante la Sala de lo Social del Tribunal Superior de Justicia del País Vasco, que fue tramitado con el núm. 1132-2022, siendo desestimado por la sentencia 2618/2022, de 13 de diciembre, que confirmó en su integridad la sentencia de instancia.</w:t>
      </w:r>
    </w:p>
    <w:p w14:paraId="191F1F47" w14:textId="77777777" w:rsidR="00A8138F" w:rsidRDefault="00A8138F" w:rsidP="00A8138F">
      <w:pPr>
        <w:pStyle w:val="TextoNormal"/>
      </w:pPr>
    </w:p>
    <w:p w14:paraId="18A7CEAE" w14:textId="2C305EDB" w:rsidR="00A8138F" w:rsidRDefault="00A8138F" w:rsidP="00A8138F">
      <w:pPr>
        <w:pStyle w:val="TextoNormal"/>
      </w:pPr>
      <w:r>
        <w:t>d) El INSS formuló recurso de casación para la unificación de doctrina ante la Sala de lo Social del Tribunal Supremo, que fue tramitado con el núm. 577-2023, siendo estimado por la sentencia 827/2024, de 31 de mayo, reiterando lo ya establecido en la sentencia de esa sala 169/2023, de 2 de marzo, recaída en el recurso de casación para la unificación de doctrina núm. 3972-2020 (ECLI:ES:TS:2023:783), en el sentido de que la normativa de aplicación no resulta discriminatoria. Como consecuencia se revocaron las sentencias del Juzgado de lo Social y del Tribunal Superior de Justicia y se confirmó la resolución administrativa.</w:t>
      </w:r>
    </w:p>
    <w:p w14:paraId="4BC5841B" w14:textId="77777777" w:rsidR="00A8138F" w:rsidRDefault="00A8138F" w:rsidP="00A8138F">
      <w:pPr>
        <w:pStyle w:val="TextoNormal"/>
      </w:pPr>
    </w:p>
    <w:p w14:paraId="45C85FAE" w14:textId="77777777" w:rsidR="00A8138F" w:rsidRDefault="00A8138F" w:rsidP="00A8138F">
      <w:pPr>
        <w:pStyle w:val="TextoNormal"/>
      </w:pPr>
      <w:r w:rsidRPr="00A8138F">
        <w:rPr>
          <w:rStyle w:val="NumeroAFNegritaCaracter"/>
        </w:rPr>
        <w:t>3</w:t>
      </w:r>
      <w:r>
        <w:t>. La demandante, con invocación del art. 14 CE, recurre en amparo la decisión administrativa de denegar la ampliación de la prestación por nacimiento y cuidado de hija menor, como madre biológica de familia monoparental, y la confirmación judicial de esa decisión en la sentencia de casación, solicitando la nulidad de ambas y la declaración de firmeza de la sentencia de suplicación.</w:t>
      </w:r>
    </w:p>
    <w:p w14:paraId="5AFB7BB1" w14:textId="77777777" w:rsidR="00A8138F" w:rsidRDefault="00A8138F" w:rsidP="00A8138F">
      <w:pPr>
        <w:pStyle w:val="TextoNormal"/>
      </w:pPr>
    </w:p>
    <w:p w14:paraId="487E50E8" w14:textId="77777777" w:rsidR="00A8138F" w:rsidRDefault="00A8138F" w:rsidP="00A8138F">
      <w:pPr>
        <w:pStyle w:val="TextoNormal"/>
      </w:pPr>
      <w:r>
        <w:t xml:space="preserve">La demandante fundamenta la invocación del art. 14 CE en que las decisiones impugnadas han generado un trato desigualitario entre madres y menores integrantes de familias </w:t>
      </w:r>
      <w:r>
        <w:lastRenderedPageBreak/>
        <w:t>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14:paraId="6A3F5F39" w14:textId="77777777" w:rsidR="00A8138F" w:rsidRDefault="00A8138F" w:rsidP="00A8138F">
      <w:pPr>
        <w:pStyle w:val="TextoNormal"/>
      </w:pPr>
    </w:p>
    <w:p w14:paraId="3EB2C845" w14:textId="184F9FCA" w:rsidR="00A8138F" w:rsidRDefault="00A8138F" w:rsidP="00A8138F">
      <w:pPr>
        <w:pStyle w:val="TextoNormal"/>
      </w:pPr>
      <w:r>
        <w:t>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del texto refundido de la Ley del estatuto de los trabajadores, aprobado por el Real Decreto Legislativo 2/2015, de 23 de octubre (LET) y el art. 177 LGSS, por el Real Decreto-ley 6/2019, de 1 de marzo, de medidas urgentes para garantía de la igualdad de trato y de oportunidades entre mujeres y hombres en el empleo y la ocupación.</w:t>
      </w:r>
    </w:p>
    <w:p w14:paraId="5C91A0CC" w14:textId="77777777" w:rsidR="00A8138F" w:rsidRDefault="00A8138F" w:rsidP="00A8138F">
      <w:pPr>
        <w:pStyle w:val="TextoNormal"/>
      </w:pPr>
    </w:p>
    <w:p w14:paraId="7E976C34" w14:textId="5F0A1D05" w:rsidR="00A8138F" w:rsidRDefault="00A8138F" w:rsidP="00A8138F">
      <w:pPr>
        <w:pStyle w:val="TextoNormal"/>
      </w:pPr>
      <w:r w:rsidRPr="00A8138F">
        <w:rPr>
          <w:rStyle w:val="NumeroAFNegritaCaracter"/>
        </w:rPr>
        <w:t>4</w:t>
      </w:r>
      <w:r>
        <w:t>. La Sección Primera del Tribunal, por providencia de 2 de diciembre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de 25 de junio, FJ 2 c)], y dirigir atenta comunicación a los órganos judiciales para la remisión del testimonio de las actuaciones y emplazamiento de quienes hubieran sido parte en el procedimiento a los efectos de su personación en el presente proceso constitucional.</w:t>
      </w:r>
    </w:p>
    <w:p w14:paraId="2EE104CA" w14:textId="77777777" w:rsidR="00A8138F" w:rsidRDefault="00A8138F" w:rsidP="00A8138F">
      <w:pPr>
        <w:pStyle w:val="TextoNormal"/>
      </w:pPr>
    </w:p>
    <w:p w14:paraId="47C9681B" w14:textId="068A8271" w:rsidR="00A8138F" w:rsidRDefault="00A8138F" w:rsidP="00A8138F">
      <w:pPr>
        <w:pStyle w:val="TextoNormal"/>
      </w:pPr>
      <w:r w:rsidRPr="00A8138F">
        <w:rPr>
          <w:rStyle w:val="NumeroAFNegritaCaracter"/>
        </w:rPr>
        <w:t>5</w:t>
      </w:r>
      <w:r>
        <w:t>. La Secretaría de Justicia de la Sala Primera del Tribunal, por diligencia de ordenación de 20 de enero de 2025, tuvo por recibido el testimonio de las actuaciones, por personada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(LOTC), pudieran presentar alegaciones.</w:t>
      </w:r>
    </w:p>
    <w:p w14:paraId="3EB08CF2" w14:textId="77777777" w:rsidR="00A8138F" w:rsidRDefault="00A8138F" w:rsidP="00A8138F">
      <w:pPr>
        <w:pStyle w:val="TextoNormal"/>
      </w:pPr>
    </w:p>
    <w:p w14:paraId="71C38F7B" w14:textId="77777777" w:rsidR="00A8138F" w:rsidRDefault="00A8138F" w:rsidP="00A8138F">
      <w:pPr>
        <w:pStyle w:val="TextoNormal"/>
      </w:pPr>
      <w:r w:rsidRPr="00A8138F">
        <w:rPr>
          <w:rStyle w:val="NumeroAFNegritaCaracter"/>
        </w:rPr>
        <w:t>6</w:t>
      </w:r>
      <w:r>
        <w:t>. El Ministerio Fiscal, mediante escrito registrado el 28 de marzo de 2025,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y la firmeza de la sentencia de suplicación.</w:t>
      </w:r>
    </w:p>
    <w:p w14:paraId="04960D02" w14:textId="77777777" w:rsidR="00A8138F" w:rsidRDefault="00A8138F" w:rsidP="00A8138F">
      <w:pPr>
        <w:pStyle w:val="TextoNormal"/>
      </w:pPr>
    </w:p>
    <w:p w14:paraId="4B8284B0" w14:textId="5145A9D4" w:rsidR="00A8138F" w:rsidRDefault="00A8138F" w:rsidP="00A8138F">
      <w:pPr>
        <w:pStyle w:val="TextoNormal"/>
      </w:pPr>
      <w:r>
        <w:t>El Ministerio Fiscal, tras resumir la jurisprudencia constitucional establecida en la STC 140/2024, de 6 de noviembre, en la que se acuerda la inconstitucionalidad —sin nulidad— de los arts. 48.4 LET y 177 LGSS, hace aplicación de ella al presente recurso y considera que “la resolución impugnada ha ocasionado a la demandante de amparo una desigualdad carente de justificación objetiva y razonable, causándola un daño desproporcionado en su deber constitucional de cuidado y en el derecho a la protección de su hijo recién nacido (art.14, primer inciso, CE en relación con el art. 39.1, 3 y 4 CE)”.</w:t>
      </w:r>
    </w:p>
    <w:p w14:paraId="6D0608F9" w14:textId="77777777" w:rsidR="00A8138F" w:rsidRDefault="00A8138F" w:rsidP="00A8138F">
      <w:pPr>
        <w:pStyle w:val="TextoNormal"/>
      </w:pPr>
    </w:p>
    <w:p w14:paraId="758AAFD6" w14:textId="7DF9D6F7" w:rsidR="00A8138F" w:rsidRDefault="00A8138F" w:rsidP="00A8138F">
      <w:pPr>
        <w:pStyle w:val="TextoNormal"/>
      </w:pPr>
      <w:r w:rsidRPr="00A8138F">
        <w:rPr>
          <w:rStyle w:val="NumeroAFNegritaCaracter"/>
        </w:rPr>
        <w:t>7</w:t>
      </w:r>
      <w:r>
        <w:t>. La administración de la Seguridad Social, por escrito registrado el 14 de febrero de 2025, presentó alegaciones allanándose a la demanda, poniendo de manifiesto que, a la vista de la jurisprudencia establecida en la STC 140/2024 y en las diversas sentencias que la aplican, la Dirección General del Servicio Jurídico de la administración de la Seguridad Social dictó la instrucción 10/2024, de 23 de diciembre, de la que se acompaña copia, en la que se autoriza para allanarse en los recursos de amparo pendientes ante el Tribunal Constitucional que resulten afectados por lo establecido en el fundamento jurídico 7 de la STC 140/2024, que es lo que sucede en el presente recurso.</w:t>
      </w:r>
    </w:p>
    <w:p w14:paraId="6E428796" w14:textId="77777777" w:rsidR="00A8138F" w:rsidRDefault="00A8138F" w:rsidP="00A8138F">
      <w:pPr>
        <w:pStyle w:val="TextoNormal"/>
      </w:pPr>
    </w:p>
    <w:p w14:paraId="23169A89" w14:textId="35333CE8" w:rsidR="00A8138F" w:rsidRDefault="00A8138F" w:rsidP="00A8138F">
      <w:pPr>
        <w:pStyle w:val="TextoNormal"/>
      </w:pPr>
      <w:r w:rsidRPr="00A8138F">
        <w:rPr>
          <w:rStyle w:val="NumeroAFNegritaCaracter"/>
        </w:rPr>
        <w:t>8</w:t>
      </w:r>
      <w:r>
        <w:t>. La demandante de amparo no presentó alegaciones.</w:t>
      </w:r>
    </w:p>
    <w:p w14:paraId="67E8097C" w14:textId="77777777" w:rsidR="00A8138F" w:rsidRDefault="00A8138F" w:rsidP="00A8138F">
      <w:pPr>
        <w:pStyle w:val="TextoNormal"/>
      </w:pPr>
    </w:p>
    <w:p w14:paraId="3F006C40" w14:textId="0E45BBC7" w:rsidR="00A8138F" w:rsidRDefault="00A8138F" w:rsidP="00A8138F">
      <w:pPr>
        <w:pStyle w:val="TextoNormal"/>
      </w:pPr>
      <w:r w:rsidRPr="00A8138F">
        <w:rPr>
          <w:rStyle w:val="NumeroAFNegritaCaracter"/>
        </w:rPr>
        <w:t>9</w:t>
      </w:r>
      <w:r>
        <w:t>. Por providencia de 24 de abril de 2025 se señaló para deliberación y votación de la presente sentencia el día 28 del mismo mes y año.</w:t>
      </w:r>
    </w:p>
    <w:p w14:paraId="00658182" w14:textId="77777777" w:rsidR="00A8138F" w:rsidRDefault="00A8138F" w:rsidP="00A8138F">
      <w:pPr>
        <w:pStyle w:val="TextoNormal"/>
      </w:pPr>
    </w:p>
    <w:p w14:paraId="2C41A4F0" w14:textId="77777777" w:rsidR="00A8138F" w:rsidRDefault="00A8138F" w:rsidP="00A8138F">
      <w:pPr>
        <w:pStyle w:val="TextoNormalNegritaCentrado"/>
        <w:keepNext/>
      </w:pPr>
      <w:r>
        <w:t>II. Fundamentos jurídicos</w:t>
      </w:r>
    </w:p>
    <w:p w14:paraId="395FC3CD" w14:textId="29E75F59" w:rsidR="00A8138F" w:rsidRDefault="00A8138F" w:rsidP="00A8138F">
      <w:pPr>
        <w:pStyle w:val="TextoNormalNegritaCentrado"/>
        <w:keepNext/>
      </w:pPr>
    </w:p>
    <w:p w14:paraId="2F92FA66"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0449486B" w14:textId="77777777" w:rsidR="00A8138F" w:rsidRDefault="00A8138F" w:rsidP="00A8138F">
      <w:pPr>
        <w:pStyle w:val="TextoNormal"/>
      </w:pPr>
    </w:p>
    <w:p w14:paraId="61315161" w14:textId="69BC29A3" w:rsidR="00A8138F" w:rsidRDefault="00A8138F" w:rsidP="00A8138F">
      <w:pPr>
        <w:pStyle w:val="TextoNormal"/>
      </w:pPr>
      <w:r>
        <w:t>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0A5DB623" w14:textId="77777777" w:rsidR="00A8138F" w:rsidRDefault="00A8138F" w:rsidP="00A8138F">
      <w:pPr>
        <w:pStyle w:val="TextoNormal"/>
      </w:pPr>
    </w:p>
    <w:p w14:paraId="170BEB32"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2CAC9D75" w14:textId="77777777" w:rsidR="00A8138F" w:rsidRDefault="00A8138F" w:rsidP="00A8138F">
      <w:pPr>
        <w:pStyle w:val="TextoNormal"/>
      </w:pPr>
    </w:p>
    <w:p w14:paraId="3494639E"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16F4F0B6" w14:textId="77777777" w:rsidR="00A8138F" w:rsidRDefault="00A8138F" w:rsidP="00A8138F">
      <w:pPr>
        <w:pStyle w:val="TextoNormal"/>
      </w:pPr>
    </w:p>
    <w:p w14:paraId="52A8797C" w14:textId="77777777" w:rsidR="00A8138F" w:rsidRDefault="00A8138F" w:rsidP="00A8138F">
      <w:pPr>
        <w:pStyle w:val="TextoNormal"/>
      </w:pPr>
      <w:r>
        <w:t>Aclarado este punto, la cuestión de fondo planteada en este recurso de amparo es coincidente con la resuelta por la STC 140/2024,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30C5D367" w14:textId="77777777" w:rsidR="00A8138F" w:rsidRDefault="00A8138F" w:rsidP="00A8138F">
      <w:pPr>
        <w:pStyle w:val="TextoNormal"/>
      </w:pPr>
    </w:p>
    <w:p w14:paraId="539BBFF4" w14:textId="77777777" w:rsidR="00A8138F" w:rsidRDefault="00A8138F" w:rsidP="00A8138F">
      <w:pPr>
        <w:pStyle w:val="TextoNormal"/>
      </w:pPr>
      <w:r>
        <w:lastRenderedPageBreak/>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53FEC29" w14:textId="77777777" w:rsidR="00A8138F" w:rsidRDefault="00A8138F" w:rsidP="00A8138F">
      <w:pPr>
        <w:pStyle w:val="TextoNormal"/>
      </w:pPr>
    </w:p>
    <w:p w14:paraId="4959E937"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62979910" w14:textId="77777777" w:rsidR="00A8138F" w:rsidRDefault="00A8138F" w:rsidP="00A8138F">
      <w:pPr>
        <w:pStyle w:val="TextoNormal"/>
      </w:pPr>
    </w:p>
    <w:p w14:paraId="65AC1532" w14:textId="77777777" w:rsidR="00A8138F" w:rsidRDefault="00A8138F" w:rsidP="00A8138F">
      <w:pPr>
        <w:pStyle w:val="TextoNormal"/>
      </w:pPr>
      <w:r>
        <w:t>En consecuencia, debe estimarse la demanda y otorgar el amparo solicitado. Como concretamos en la referida STC 140/2024,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27FFD22" w14:textId="77777777" w:rsidR="00A8138F" w:rsidRDefault="00A8138F" w:rsidP="00A8138F">
      <w:pPr>
        <w:pStyle w:val="TextoNormal"/>
      </w:pPr>
    </w:p>
    <w:p w14:paraId="352C93DB" w14:textId="78FB90E5" w:rsidR="00A8138F" w:rsidRDefault="00A8138F" w:rsidP="00A8138F">
      <w:pPr>
        <w:pStyle w:val="TextoNormal"/>
      </w:pPr>
      <w:r>
        <w:t>La estimación de la demanda, de conformidad con lo expuesto por el Ministerio Fiscal, ha de conllevar la declaración de nulidad de la sentencia de la Sala de lo Social del Tribunal Supremo 827/2024, de 31 de mayo, dictada en el recurso de casación para la unificación de doctrina núm. 577-2023, así como la declaración de firmeza de la sentencia de la Sala de lo Social del Tribunal Superior de Justicia del País Vasco 2618/2022, de 13 de diciembre, pronunciada en el recurso de suplicación núm. 1132-2022.</w:t>
      </w:r>
    </w:p>
    <w:p w14:paraId="28F28855" w14:textId="77777777" w:rsidR="00A8138F" w:rsidRDefault="00A8138F" w:rsidP="00A8138F">
      <w:pPr>
        <w:pStyle w:val="TextoNormal"/>
      </w:pPr>
    </w:p>
    <w:p w14:paraId="66C8A88C" w14:textId="77777777" w:rsidR="00A8138F" w:rsidRDefault="00A8138F" w:rsidP="00A8138F">
      <w:pPr>
        <w:pStyle w:val="TextoNormalCentrado"/>
        <w:keepNext/>
      </w:pPr>
      <w:r>
        <w:t>FALLO</w:t>
      </w:r>
    </w:p>
    <w:p w14:paraId="6AF75CC0" w14:textId="2EAE10D6" w:rsidR="00A8138F" w:rsidRDefault="00A8138F" w:rsidP="00A8138F">
      <w:pPr>
        <w:pStyle w:val="TextoNormalCentrado"/>
        <w:keepNext/>
      </w:pPr>
    </w:p>
    <w:p w14:paraId="5FABA282"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Nagore Sánchez Amondarain y, en su virtud:</w:t>
      </w:r>
    </w:p>
    <w:p w14:paraId="77C50E72" w14:textId="77777777" w:rsidR="00A8138F" w:rsidRDefault="00A8138F" w:rsidP="00A8138F">
      <w:pPr>
        <w:pStyle w:val="TextoNormal"/>
      </w:pPr>
    </w:p>
    <w:p w14:paraId="26933A9A" w14:textId="77777777" w:rsidR="00A8138F" w:rsidRDefault="00A8138F" w:rsidP="00A8138F">
      <w:pPr>
        <w:pStyle w:val="TextoNormal"/>
      </w:pPr>
      <w:r>
        <w:lastRenderedPageBreak/>
        <w:t>1º Declarar que se ha vulnerado el derecho fundamental a la igualdad ante la ley sin que proceda discriminación por razón de nacimiento (art. 14 CE).</w:t>
      </w:r>
    </w:p>
    <w:p w14:paraId="0BDC6A33" w14:textId="77777777" w:rsidR="00A8138F" w:rsidRDefault="00A8138F" w:rsidP="00A8138F">
      <w:pPr>
        <w:pStyle w:val="TextoNormal"/>
      </w:pPr>
    </w:p>
    <w:p w14:paraId="72879E96" w14:textId="77777777" w:rsidR="00A8138F" w:rsidRDefault="00A8138F" w:rsidP="00A8138F">
      <w:pPr>
        <w:pStyle w:val="TextoNormal"/>
      </w:pPr>
      <w:r>
        <w:t>2º Restablecer a la recurrente en su derecho y, a tal fin, declarar la nulidad de la sentencia de la Sala de lo Social del Tribunal Supremo núm. 827/2024, de 31 de mayo, pronunciada en el recurso de casación para la unificación de doctrina núm. 577-2023.</w:t>
      </w:r>
    </w:p>
    <w:p w14:paraId="29D4B800" w14:textId="77777777" w:rsidR="00A8138F" w:rsidRDefault="00A8138F" w:rsidP="00A8138F">
      <w:pPr>
        <w:pStyle w:val="TextoNormal"/>
      </w:pPr>
    </w:p>
    <w:p w14:paraId="6F38B69D" w14:textId="01550904" w:rsidR="00A8138F" w:rsidRDefault="00A8138F" w:rsidP="00A8138F">
      <w:pPr>
        <w:pStyle w:val="TextoNormal"/>
      </w:pPr>
      <w:r>
        <w:t>3º Declarar la firmeza de la sentencia de la Sala de lo Social del Tribunal Superior de Justicia del País Vasco núm. 2618/2022, de 13 de diciembre, pronunciada en el recurso de suplicación núm. 1132-2022.</w:t>
      </w:r>
    </w:p>
    <w:p w14:paraId="737C8035" w14:textId="77777777" w:rsidR="00A8138F" w:rsidRDefault="00A8138F" w:rsidP="00A8138F">
      <w:pPr>
        <w:pStyle w:val="TextoNormal"/>
      </w:pPr>
    </w:p>
    <w:p w14:paraId="34FF37CD" w14:textId="77777777" w:rsidR="00A8138F" w:rsidRDefault="00A8138F" w:rsidP="00A8138F">
      <w:pPr>
        <w:pStyle w:val="TextoNormal"/>
      </w:pPr>
      <w:r>
        <w:t>Publíquese esta sentencia en el “Boletín Oficial del Estado”.</w:t>
      </w:r>
    </w:p>
    <w:p w14:paraId="7FD2E78C" w14:textId="77777777" w:rsidR="00A8138F" w:rsidRDefault="00A8138F" w:rsidP="00A8138F">
      <w:pPr>
        <w:pStyle w:val="TextoNormal"/>
      </w:pPr>
      <w:r>
        <w:t>Dada en Madrid, a veintiocho de abril de dos mil veinticinco.</w:t>
      </w:r>
    </w:p>
    <w:p w14:paraId="686D6C5B" w14:textId="48E2C81C" w:rsidR="00A8138F" w:rsidRDefault="00A8138F">
      <w:pPr>
        <w:spacing w:after="160" w:line="278" w:lineRule="auto"/>
        <w:rPr>
          <w:rFonts w:ascii="Times New Roman" w:eastAsia="Times New Roman" w:hAnsi="Times New Roman" w:cs="Times New Roman"/>
          <w:sz w:val="24"/>
          <w:szCs w:val="24"/>
          <w:lang w:eastAsia="es-ES"/>
        </w:rPr>
      </w:pPr>
      <w:r>
        <w:br w:type="page"/>
      </w:r>
    </w:p>
    <w:p w14:paraId="2E242141" w14:textId="77777777" w:rsidR="00A8138F" w:rsidRDefault="00A8138F" w:rsidP="00A8138F">
      <w:pPr>
        <w:pStyle w:val="TtuloResolucin"/>
      </w:pPr>
      <w:bookmarkStart w:id="105" w:name="SENTENCIA_2025_103"/>
      <w:r>
        <w:lastRenderedPageBreak/>
        <w:t>SENTENCIA 103/2025, de 28 de abril de 2025</w:t>
      </w:r>
    </w:p>
    <w:bookmarkEnd w:id="105"/>
    <w:p w14:paraId="1A0671AA" w14:textId="77777777" w:rsidR="00A8138F" w:rsidRDefault="00A8138F" w:rsidP="00A8138F">
      <w:pPr>
        <w:pStyle w:val="TtuloResolucin"/>
      </w:pPr>
      <w:r>
        <w:t>Sala Segunda</w:t>
      </w:r>
    </w:p>
    <w:p w14:paraId="0B54CA34" w14:textId="77777777" w:rsidR="00A8138F" w:rsidRDefault="00A8138F" w:rsidP="00A8138F">
      <w:pPr>
        <w:pStyle w:val="TtuloBOE"/>
      </w:pPr>
      <w:r>
        <w:t>(BOE núm. 135, de 5 de junio de 2025)</w:t>
      </w:r>
    </w:p>
    <w:p w14:paraId="3F33BFB9" w14:textId="77777777" w:rsidR="00A8138F" w:rsidRDefault="00A8138F" w:rsidP="00A8138F">
      <w:pPr>
        <w:pStyle w:val="TextoNormalCentrado"/>
      </w:pPr>
      <w:r>
        <w:t>ECLI:ES:TC:2025:103</w:t>
      </w:r>
    </w:p>
    <w:p w14:paraId="33BE27C0" w14:textId="2107B191" w:rsidR="00A8138F" w:rsidRDefault="00A8138F" w:rsidP="00A8138F">
      <w:pPr>
        <w:pStyle w:val="TextoNormalCentrado"/>
      </w:pPr>
    </w:p>
    <w:p w14:paraId="352BC4EA" w14:textId="77777777" w:rsidR="00A8138F" w:rsidRDefault="00A8138F" w:rsidP="00A8138F">
      <w:pPr>
        <w:pStyle w:val="SntesisDescriptiva"/>
      </w:pPr>
      <w:r>
        <w:t>Recurso de amparo 6159-2024. Promovido por doña Mónica Lizuain Lasa en relación con las resoluciones administrativas y judiciales que desestimaron su petición de revisión y ampliación de la prestación por nacimiento y cuidado de hijo menor, como madre biológica de familia monoparental.</w:t>
      </w:r>
    </w:p>
    <w:p w14:paraId="3E901C0C" w14:textId="0324C87B" w:rsidR="00A8138F" w:rsidRDefault="00A8138F" w:rsidP="00A8138F">
      <w:pPr>
        <w:pStyle w:val="SntesisDescriptiva"/>
      </w:pPr>
    </w:p>
    <w:p w14:paraId="39050C2B"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786B184" w14:textId="7676721F" w:rsidR="00A8138F" w:rsidRDefault="00A8138F" w:rsidP="00A8138F">
      <w:pPr>
        <w:pStyle w:val="SntesisAnaltica"/>
      </w:pPr>
    </w:p>
    <w:p w14:paraId="68B61BD1" w14:textId="2D5601A9"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760332B4" w14:textId="77777777" w:rsidR="00A8138F" w:rsidRDefault="00A8138F" w:rsidP="00A8138F">
      <w:pPr>
        <w:pStyle w:val="Extracto"/>
      </w:pPr>
    </w:p>
    <w:p w14:paraId="37B84AA9" w14:textId="77777777" w:rsidR="00A8138F" w:rsidRDefault="00A8138F" w:rsidP="00A8138F">
      <w:pPr>
        <w:pStyle w:val="Extracto"/>
      </w:pPr>
    </w:p>
    <w:p w14:paraId="4508797C"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843B378" w14:textId="2B85BF4B" w:rsidR="00A8138F" w:rsidRDefault="00A8138F" w:rsidP="00A8138F">
      <w:pPr>
        <w:pStyle w:val="TextoNormal"/>
      </w:pPr>
    </w:p>
    <w:p w14:paraId="6CED235C" w14:textId="77777777" w:rsidR="00A8138F" w:rsidRDefault="00A8138F" w:rsidP="00A8138F">
      <w:pPr>
        <w:pStyle w:val="TextoNormalCentrado"/>
        <w:keepNext/>
      </w:pPr>
      <w:r>
        <w:t>EN NOMBRE DEL REY</w:t>
      </w:r>
    </w:p>
    <w:p w14:paraId="0E1AF995" w14:textId="3BE57603" w:rsidR="00A8138F" w:rsidRDefault="00A8138F" w:rsidP="00A8138F">
      <w:pPr>
        <w:pStyle w:val="TextoNormalCentrado"/>
        <w:keepNext/>
      </w:pPr>
    </w:p>
    <w:p w14:paraId="208730DC" w14:textId="77777777" w:rsidR="00A8138F" w:rsidRDefault="00A8138F" w:rsidP="00A8138F">
      <w:pPr>
        <w:pStyle w:val="TextoNormalCentrado"/>
        <w:keepNext/>
      </w:pPr>
    </w:p>
    <w:p w14:paraId="1A2D44B8" w14:textId="77777777" w:rsidR="00A8138F" w:rsidRDefault="00A8138F" w:rsidP="00A8138F">
      <w:pPr>
        <w:pStyle w:val="TextoNormal"/>
      </w:pPr>
      <w:r>
        <w:t>la siguiente</w:t>
      </w:r>
    </w:p>
    <w:p w14:paraId="6EF78133" w14:textId="28247871" w:rsidR="00A8138F" w:rsidRDefault="00A8138F" w:rsidP="00A8138F">
      <w:pPr>
        <w:pStyle w:val="TextoNormal"/>
      </w:pPr>
    </w:p>
    <w:p w14:paraId="58F48FF9" w14:textId="77777777" w:rsidR="00A8138F" w:rsidRDefault="00A8138F" w:rsidP="00A8138F">
      <w:pPr>
        <w:pStyle w:val="TextoNormalCentrado"/>
        <w:keepNext/>
      </w:pPr>
      <w:r>
        <w:t>SENTENCIA</w:t>
      </w:r>
    </w:p>
    <w:p w14:paraId="739FD218" w14:textId="554BD343" w:rsidR="00A8138F" w:rsidRDefault="00A8138F" w:rsidP="00A8138F">
      <w:pPr>
        <w:pStyle w:val="TextoNormalCentrado"/>
        <w:keepNext/>
      </w:pPr>
    </w:p>
    <w:p w14:paraId="09D4CF4F" w14:textId="77777777" w:rsidR="00A8138F" w:rsidRDefault="00A8138F" w:rsidP="00A8138F">
      <w:pPr>
        <w:pStyle w:val="TextoNormal"/>
      </w:pPr>
      <w:r>
        <w:t xml:space="preserve">En el recurso de amparo núm. 6159-2024, promovido por doña Mónica Lizuain Lasa, representada por la procuradora de los tribunales doña María Esperanza Azpeitia Calvín y asistida por la letrada doña Helena Unanue Agirretxe, contra la resolución del Instituto Nacional de la Seguridad Social de 27 de julio de 2021 que desestimó la reclamación previa administrativa de ampliación de la prestación por nacimiento y cuidado de hijo menor; la sentencia núm. 416/2021, de 25 de noviembre, dictada por el Juzgado de lo Social núm. 4 de San Sebastián en los autos núm. 562-2021, que desestimó la solicitud de ampliación de la prestación por nacimiento y cuidado de menor en las semanas correspondientes al otro progenitor; la sentencia núm. 912/2023, de 4 de abril, dictada por la Sala de lo Social del Tribunal Superior de Justicia del País Vasco que desestimó, igualmente, la reclamación de la prestación solicitada; y el auto de la Sala de lo Social del Tribunal Supremo de 16 de julio de 2024, que inadmitió el recurso de casación para la unificación de doctrina núm. 4325-2023 interpuesto contra las anteriores resoluciones. Han intervenido la letrada de la administración de la Seguridad Social, en nombre del Instituto Nacional de la Seguridad Social </w:t>
      </w:r>
      <w:r>
        <w:lastRenderedPageBreak/>
        <w:t>y de la Tesorería General de la Seguridad Social y el Ministerio Fiscal. Ha sido ponente la magistrada doña Laura Díez Bueso.</w:t>
      </w:r>
    </w:p>
    <w:p w14:paraId="18EF48DF" w14:textId="4B334B19" w:rsidR="00A8138F" w:rsidRDefault="00A8138F" w:rsidP="00A8138F">
      <w:pPr>
        <w:pStyle w:val="TextoNormal"/>
      </w:pPr>
    </w:p>
    <w:p w14:paraId="04558C89" w14:textId="77777777" w:rsidR="00A8138F" w:rsidRDefault="00A8138F" w:rsidP="00A8138F">
      <w:pPr>
        <w:pStyle w:val="TextoNormalNegritaCentrado"/>
        <w:keepNext/>
      </w:pPr>
      <w:r>
        <w:t>I. Antecedentes</w:t>
      </w:r>
    </w:p>
    <w:p w14:paraId="6337CAEF" w14:textId="6E711C3F" w:rsidR="00A8138F" w:rsidRDefault="00A8138F" w:rsidP="00A8138F">
      <w:pPr>
        <w:pStyle w:val="TextoNormalNegritaCentrado"/>
        <w:keepNext/>
      </w:pPr>
    </w:p>
    <w:p w14:paraId="408C8355" w14:textId="68A7B32B" w:rsidR="00A8138F" w:rsidRDefault="00A8138F" w:rsidP="00A8138F">
      <w:pPr>
        <w:pStyle w:val="TextoNormal"/>
      </w:pPr>
      <w:r w:rsidRPr="00A8138F">
        <w:rPr>
          <w:rStyle w:val="NumeroAFNegritaCaracter"/>
        </w:rPr>
        <w:t>1</w:t>
      </w:r>
      <w:r>
        <w:t>. Mediante escrito registrado en este tribunal el 8 de agosto de 2024, la representante procesal de doña Mónica Lizuain Lasa, bajo la dirección letrada de doña Helena Unanue Agirretxe, interpuso recurso de amparo contra las resoluciones administrativa y judiciales a las que se ha hecho referencia en el encabezamiento de esta sentencia.</w:t>
      </w:r>
    </w:p>
    <w:p w14:paraId="5859F06A" w14:textId="77777777" w:rsidR="00A8138F" w:rsidRDefault="00A8138F" w:rsidP="00A8138F">
      <w:pPr>
        <w:pStyle w:val="TextoNormal"/>
      </w:pPr>
    </w:p>
    <w:p w14:paraId="7358BF58"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6DACCDA0" w14:textId="77777777" w:rsidR="00A8138F" w:rsidRDefault="00A8138F" w:rsidP="00A8138F">
      <w:pPr>
        <w:pStyle w:val="TextoNormal"/>
      </w:pPr>
    </w:p>
    <w:p w14:paraId="2EBD58EF" w14:textId="77777777" w:rsidR="00A8138F" w:rsidRDefault="00A8138F" w:rsidP="00A8138F">
      <w:pPr>
        <w:pStyle w:val="TextoNormal"/>
      </w:pPr>
      <w:r>
        <w:t>a) La señora Lizuain Lasa es madre biológica de una niña, nacida el 1 de noviembre de 2020, siendo su única progenitora registral. Por resolución de 10 de diciembre de 2020 le fue reconocido por el Instituto Nacional de la Seguridad Social (INSS) el derecho a la prestación por nacimiento y cuidado de menor por el período que va desde el 1 de noviembre de 2020 al 20 de febrero de 2021 (dieciséis semanas). Posteriormente, el 10 de febrero de 2021, la actora solicitó la ampliación de su permiso, añadiendo al período ya reconocido el que consideraba hubiera correspondido al segundo progenitor en el supuesto de una familia biparental (doce semanas). Su pretensión fue desestimada el 15 de febrero de 2021, notificándosela telemáticamente y, según consta en las actuaciones, dicha comunicación telemática nunca fue abierta por la señora Lizuain Lasa.</w:t>
      </w:r>
    </w:p>
    <w:p w14:paraId="588732E1" w14:textId="77777777" w:rsidR="00A8138F" w:rsidRDefault="00A8138F" w:rsidP="00A8138F">
      <w:pPr>
        <w:pStyle w:val="TextoNormal"/>
      </w:pPr>
    </w:p>
    <w:p w14:paraId="26BD361F" w14:textId="77777777" w:rsidR="00A8138F" w:rsidRDefault="00A8138F" w:rsidP="00A8138F">
      <w:pPr>
        <w:pStyle w:val="TextoNormal"/>
      </w:pPr>
      <w:r>
        <w:t>b) El 26 de julio de 2021 presentó reclamación previa administrativa frente a la denegación tácita de su petición, interesando el reconocimiento de las doce semanas correspondientes al otro progenitor, de conformidad con el art. 48.4 de la Ley del estatuto de los trabajadores (LET), reclamación que le fue desestimada mediante resolución del INSS de 27 de julio de 2021, dado que “[s]u prestación de maternidad ha sido resuelta conforme a la legislación vigente, no estando prevista en la misma la prestación de paternidad al mismo progenitor en caso de familia monoparental, como es su caso”.</w:t>
      </w:r>
    </w:p>
    <w:p w14:paraId="69947B16" w14:textId="77777777" w:rsidR="00A8138F" w:rsidRDefault="00A8138F" w:rsidP="00A8138F">
      <w:pPr>
        <w:pStyle w:val="TextoNormal"/>
      </w:pPr>
    </w:p>
    <w:p w14:paraId="5FC4DF1F" w14:textId="77777777" w:rsidR="00A8138F" w:rsidRDefault="00A8138F" w:rsidP="00A8138F">
      <w:pPr>
        <w:pStyle w:val="TextoNormal"/>
      </w:pPr>
      <w:r>
        <w:t xml:space="preserve">c) La recurrente presentó demanda contra el INSS y la Tesorería General de la Seguridad Social (TGSS) por entender que se le estaba discriminando por razón de sexo y a su hijo menor por razón de nacimiento, </w:t>
      </w:r>
      <w:r w:rsidRPr="00A8138F">
        <w:rPr>
          <w:i/>
        </w:rPr>
        <w:t>ex</w:t>
      </w:r>
      <w:r>
        <w:t xml:space="preserve"> art. 14 CE en relación con el art. 39 CE, solicitando que se le reconociera el derecho a ampliar su permiso por nacimiento y cuidado de menor en el tiempo que le hubiera correspondido al otro progenitor de haberse tratado de una familia biparental.</w:t>
      </w:r>
    </w:p>
    <w:p w14:paraId="790AFC9C" w14:textId="77777777" w:rsidR="00A8138F" w:rsidRDefault="00A8138F" w:rsidP="00A8138F">
      <w:pPr>
        <w:pStyle w:val="TextoNormal"/>
      </w:pPr>
    </w:p>
    <w:p w14:paraId="761F6B9B" w14:textId="77777777" w:rsidR="00A8138F" w:rsidRDefault="00A8138F" w:rsidP="00A8138F">
      <w:pPr>
        <w:pStyle w:val="TextoNormal"/>
      </w:pPr>
      <w:r>
        <w:t>d) Mediante sentencia de 25 de noviembre de 2021, dictada en los autos núm. 562-2021, el Juzgado de lo Social núm. 4 de San Sebastián estimó la excepción de presentación de la demanda fuera de plazo, opuesta por el INSS, sin entrar a resolver el fondo.</w:t>
      </w:r>
    </w:p>
    <w:p w14:paraId="1A7BEBC6" w14:textId="77777777" w:rsidR="00A8138F" w:rsidRDefault="00A8138F" w:rsidP="00A8138F">
      <w:pPr>
        <w:pStyle w:val="TextoNormal"/>
      </w:pPr>
    </w:p>
    <w:p w14:paraId="7ABF8E9F" w14:textId="77777777" w:rsidR="00A8138F" w:rsidRDefault="00A8138F" w:rsidP="00A8138F">
      <w:pPr>
        <w:pStyle w:val="TextoNormal"/>
      </w:pPr>
      <w:r>
        <w:t xml:space="preserve">e) La demandante de amparo formuló recurso de suplicación frente a la anterior resolución, que fue estimado parcialmente por sentencia núm. 912/2023, de 4 de abril, dictada por la Sala de lo Social del Tribunal Superior de Justicia del País Vasco en el recurso núm. </w:t>
      </w:r>
      <w:r>
        <w:lastRenderedPageBreak/>
        <w:t>2673-2022, revocando el pronunciamiento de la instancia en lo que se refiere a la extemporaneidad de la demanda pero, en cuanto al fondo, rechazando la solicitud de ampliación de la prestación. Para ello se remitía como argumento a sus propios precedentes, concretamente a la sentencia 1217/2020, de 6 de octubre (ECLI:ES:TSJPV:2020:396), y a la jurisprudencia de la Sala de lo Social del Tribunal Supremo, especialmente su sentencia de 2 de marzo de 2023, dictada en el recurso de casación para la unificación de doctrina núm. 3972-2020 (ECLI:ES:TS:2023:783).</w:t>
      </w:r>
    </w:p>
    <w:p w14:paraId="2B3E1035" w14:textId="77777777" w:rsidR="00A8138F" w:rsidRDefault="00A8138F" w:rsidP="00A8138F">
      <w:pPr>
        <w:pStyle w:val="TextoNormal"/>
      </w:pPr>
    </w:p>
    <w:p w14:paraId="0EE950DE" w14:textId="38CA0D40" w:rsidR="00A8138F" w:rsidRDefault="00A8138F" w:rsidP="00A8138F">
      <w:pPr>
        <w:pStyle w:val="TextoNormal"/>
      </w:pPr>
      <w:r>
        <w:t>f) Doña Mónica Lizuain Lasa interpuso recurso de casación para la unificación de doctrina, núm. 4325-2023, que fue inadmitido por auto de 16 de julio de 2024 de la Sala de lo Social del Tribunal Supremo por carecer de contenido casacional al haberse dictado ya por el Pleno de la Sala de lo Social del Tribunal Supremo la sentencia de 2 de marzo de 2023.</w:t>
      </w:r>
    </w:p>
    <w:p w14:paraId="3C9961C3" w14:textId="77777777" w:rsidR="00A8138F" w:rsidRDefault="00A8138F" w:rsidP="00A8138F">
      <w:pPr>
        <w:pStyle w:val="TextoNormal"/>
      </w:pPr>
    </w:p>
    <w:p w14:paraId="508ED061" w14:textId="77777777" w:rsidR="00A8138F" w:rsidRDefault="00A8138F" w:rsidP="00A8138F">
      <w:pPr>
        <w:pStyle w:val="TextoNormal"/>
      </w:pPr>
      <w:r w:rsidRPr="00A8138F">
        <w:rPr>
          <w:rStyle w:val="NumeroAFNegritaCaracter"/>
        </w:rPr>
        <w:t>3</w:t>
      </w:r>
      <w:r>
        <w:t>. Los motivos por los que la demandante solicita el amparo, se basan en la infracción del art. 14 CE en relación con los arts. 39 y 9.2 CE, primero por el derecho de la recurrente a no ser discriminada por razón de sexo, dado que las resoluciones administrativa y judiciales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es decir, de su condición familiar, tomada en ejercicio del libre desarrollo de la personalidad (art. 10.1 CE), alcanzando ese resultado peyorativo y discriminatorio a su hijo, nacido en dicha familia monoparental, sin que las resoluciones impugnadas hayan tenido en cuenta el interés superior del menor a cuyo respeto estaban obligadas por el art. 39.4 CE y por la Convención sobre los derechos del niño (art. 10.2 CE).</w:t>
      </w:r>
    </w:p>
    <w:p w14:paraId="64B69450" w14:textId="77777777" w:rsidR="00A8138F" w:rsidRDefault="00A8138F" w:rsidP="00A8138F">
      <w:pPr>
        <w:pStyle w:val="TextoNormal"/>
      </w:pPr>
    </w:p>
    <w:p w14:paraId="64F25CBD" w14:textId="219B5C5C" w:rsidR="00A8138F" w:rsidRDefault="00A8138F" w:rsidP="00A8138F">
      <w:pPr>
        <w:pStyle w:val="TextoNormal"/>
      </w:pPr>
      <w:r>
        <w:t>En virtud de todo ello interesa de este tribunal que, además del reconocimiento de la vulneración de los derechos fundamentales invocados, y para su restablecimiento, se declare la nulidad de las resoluciones administrativa y judiciales que se impugnan en el recurso de amparo con retroacción de las actuaciones al momento previo al dictado de la resolución del INSS de 27 de julio de 2021, para que dicte otra que respete los derechos fundamentales de la recurrente.</w:t>
      </w:r>
    </w:p>
    <w:p w14:paraId="1F92E965" w14:textId="77777777" w:rsidR="00A8138F" w:rsidRDefault="00A8138F" w:rsidP="00A8138F">
      <w:pPr>
        <w:pStyle w:val="TextoNormal"/>
      </w:pPr>
    </w:p>
    <w:p w14:paraId="3281F68C" w14:textId="0BD84E98" w:rsidR="00A8138F" w:rsidRDefault="00A8138F" w:rsidP="00A8138F">
      <w:pPr>
        <w:pStyle w:val="TextoNormal"/>
      </w:pPr>
      <w:r w:rsidRPr="00A8138F">
        <w:rPr>
          <w:rStyle w:val="NumeroAFNegritaCaracter"/>
        </w:rPr>
        <w:t>4</w:t>
      </w:r>
      <w:r>
        <w:t xml:space="preserve">. El 2 de septiembre de 2024, el secretario de Justicia de la Sala Segunda de este tribunal dictó diligencia de ordenación en la que, teniendo por recibido el precedente escrito de demanda de amparo y documentos adjuntos, de conformidad con el art. 49.4 de la Ley Orgánica del Tribunal Constitucional (LOTC), se concedía a la demandante un plazo de diez días hábiles para que aportara poder notarial o justificante del apoderamiento </w:t>
      </w:r>
      <w:r w:rsidRPr="00A8138F">
        <w:rPr>
          <w:i/>
        </w:rPr>
        <w:t>apud acta</w:t>
      </w:r>
      <w:r>
        <w:t xml:space="preserve"> otorgado en la sede judicial electrónica del Ministerio de Justicia, o compareciendo en la secretaría de esta misma Sala previo señalamiento, o en cualquier oficina judicial, a fin de verificar dicho apoderamiento, advirtiéndose de que, de no subsanar el defecto en el plazo indicado, la Sección podría inadmitir el recurso, conforme al art. 50.4 LOTC.</w:t>
      </w:r>
    </w:p>
    <w:p w14:paraId="6A169F68" w14:textId="77777777" w:rsidR="00A8138F" w:rsidRDefault="00A8138F" w:rsidP="00A8138F">
      <w:pPr>
        <w:pStyle w:val="TextoNormal"/>
      </w:pPr>
    </w:p>
    <w:p w14:paraId="4E100450" w14:textId="57824150" w:rsidR="00A8138F" w:rsidRDefault="00A8138F" w:rsidP="00A8138F">
      <w:pPr>
        <w:pStyle w:val="TextoNormal"/>
      </w:pPr>
      <w:r w:rsidRPr="00A8138F">
        <w:rPr>
          <w:rStyle w:val="NumeroAFNegritaCaracter"/>
        </w:rPr>
        <w:t>5</w:t>
      </w:r>
      <w:r>
        <w:t>. El 12 de septiembre de 2024, la demandante de amparo llevó a cabo la subsanación requerida.</w:t>
      </w:r>
    </w:p>
    <w:p w14:paraId="0049C175" w14:textId="77777777" w:rsidR="00A8138F" w:rsidRDefault="00A8138F" w:rsidP="00A8138F">
      <w:pPr>
        <w:pStyle w:val="TextoNormal"/>
      </w:pPr>
    </w:p>
    <w:p w14:paraId="1E66A615" w14:textId="29B82A93" w:rsidR="00A8138F" w:rsidRDefault="00A8138F" w:rsidP="00A8138F">
      <w:pPr>
        <w:pStyle w:val="TextoNormal"/>
      </w:pPr>
      <w:r w:rsidRPr="00A8138F">
        <w:rPr>
          <w:rStyle w:val="NumeroAFNegritaCaracter"/>
        </w:rPr>
        <w:lastRenderedPageBreak/>
        <w:t>6</w:t>
      </w:r>
      <w:r>
        <w:t>. Mediante providencia de 2 de diciembre de 2024, la Sección Tercera de este tribunal acordó admitir a trámite el presente recurso apreciando que concurría en él la especial trascendencia constitucional que exige el art. 50.1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del País Vasco a fin de que, en plazo que no excediera de diez días, remitiera testimonio de lo actuado en el recurso de casación para la unificación de doctrina núm. 4325-2023 y en el recurso de suplicación núm. 2673-2022, respectivamente, y al Juzgado de lo Social núm. 4 de San Sebastián a fin de que, en el mismo plazo, remitiera testimonio de las actuaciones correspondientes al procedimiento núm. 562-2021-4; debiendo previamente emplazarse, para que en el plazo de diez días pudieran comparecer, si lo deseaban, en el recurso de amparo, a quienes hubieran sido parte en el procedimiento, excepto la parte recurrente en amparo.</w:t>
      </w:r>
    </w:p>
    <w:p w14:paraId="2DE34B53" w14:textId="77777777" w:rsidR="00A8138F" w:rsidRDefault="00A8138F" w:rsidP="00A8138F">
      <w:pPr>
        <w:pStyle w:val="TextoNormal"/>
      </w:pPr>
    </w:p>
    <w:p w14:paraId="7CCE63CF" w14:textId="4C4474C1" w:rsidR="00A8138F" w:rsidRDefault="00A8138F" w:rsidP="00A8138F">
      <w:pPr>
        <w:pStyle w:val="TextoNormal"/>
      </w:pPr>
      <w:r w:rsidRPr="00A8138F">
        <w:rPr>
          <w:rStyle w:val="NumeroAFNegritaCaracter"/>
        </w:rPr>
        <w:t>7</w:t>
      </w:r>
      <w:r>
        <w:t>. El 15 de enero de 2025, el letrado de la administración de la Seguridad Social, en nombre y representación del INSS y de la TGSS, presentó escrito de allanamiento a la demanda de amparo, alegando que la dirección del servicio jurídico de la Seguridad Social dictó la instrucción 10/2024, de 23 de diciembre, de la que acompaña copia,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 El citado letrado reiteró su petición de allanamiento en el trámite de alegaciones mediante escrito presentado el 14 de febrero de 2025.</w:t>
      </w:r>
    </w:p>
    <w:p w14:paraId="26748AFE" w14:textId="77777777" w:rsidR="00A8138F" w:rsidRDefault="00A8138F" w:rsidP="00A8138F">
      <w:pPr>
        <w:pStyle w:val="TextoNormal"/>
      </w:pPr>
    </w:p>
    <w:p w14:paraId="399AE9A5" w14:textId="3E4C5A45" w:rsidR="00A8138F" w:rsidRDefault="00A8138F" w:rsidP="00A8138F">
      <w:pPr>
        <w:pStyle w:val="TextoNormal"/>
      </w:pPr>
      <w:r w:rsidRPr="00A8138F">
        <w:rPr>
          <w:rStyle w:val="NumeroAFNegritaCaracter"/>
        </w:rPr>
        <w:t>8</w:t>
      </w:r>
      <w:r>
        <w:t>. El 3 de febrero de 2025, la Secretaría de Justicia de la Sala Segunda del Tribunal Constitucional dictó diligencia de ordenación en la que se acordaba tener por personado y parte en el procedimiento al letrado de la administración de la Seguridad Social en nombre y representación del INSS y de la TGSS, acordándose entender con él esta y las sucesivas actuaciones y, a tenor de lo dispuesto en el art. 52.1 LOTC, dar vista de las actuaciones recibidas a las partes personadas y al Ministerio Fiscal por un plazo común de veinte días, para que dentro de dicho término pudieran presentar las alegaciones que estimasen pertinentes.</w:t>
      </w:r>
    </w:p>
    <w:p w14:paraId="5106FCA0" w14:textId="77777777" w:rsidR="00A8138F" w:rsidRDefault="00A8138F" w:rsidP="00A8138F">
      <w:pPr>
        <w:pStyle w:val="TextoNormal"/>
      </w:pPr>
    </w:p>
    <w:p w14:paraId="3C633643" w14:textId="7F7321C3" w:rsidR="00A8138F" w:rsidRDefault="00A8138F" w:rsidP="00A8138F">
      <w:pPr>
        <w:pStyle w:val="TextoNormal"/>
      </w:pPr>
      <w:r w:rsidRPr="00A8138F">
        <w:rPr>
          <w:rStyle w:val="NumeroAFNegritaCaracter"/>
        </w:rPr>
        <w:t>9</w:t>
      </w:r>
      <w:r>
        <w:t>. El 5 de febrero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hijo menor.</w:t>
      </w:r>
    </w:p>
    <w:p w14:paraId="6CB4404A" w14:textId="77777777" w:rsidR="00A8138F" w:rsidRDefault="00A8138F" w:rsidP="00A8138F">
      <w:pPr>
        <w:pStyle w:val="TextoNormal"/>
      </w:pPr>
    </w:p>
    <w:p w14:paraId="2CCC2032" w14:textId="77777777" w:rsidR="00A8138F" w:rsidRDefault="00A8138F" w:rsidP="00A8138F">
      <w:pPr>
        <w:pStyle w:val="TextoNormal"/>
      </w:pPr>
      <w:r w:rsidRPr="00A8138F">
        <w:rPr>
          <w:rStyle w:val="NumeroAFNegritaCaracter"/>
        </w:rPr>
        <w:t>10</w:t>
      </w:r>
      <w:r>
        <w:t>. El 18 de marzo de 2025, el Ministerio Fiscal interesó la estimación del recurso de amparo, por considerar vulnerado el derecho fundamental a no ser discriminados, de la demandante por su pertenencia a una familia monoparental y de su hijo por razón de naci</w:t>
      </w:r>
      <w:r>
        <w:lastRenderedPageBreak/>
        <w:t>miento en la misma, según resulta de la doctrina constitucional establecida en la STC 140/2024, 6 de noviembre, dictada en la cuestión de inconstitucionalidad núm. 6694-2023, de la que reproduce amplios extractos.</w:t>
      </w:r>
    </w:p>
    <w:p w14:paraId="3391B0A0" w14:textId="77777777" w:rsidR="00A8138F" w:rsidRDefault="00A8138F" w:rsidP="00A8138F">
      <w:pPr>
        <w:pStyle w:val="TextoNormal"/>
      </w:pPr>
    </w:p>
    <w:p w14:paraId="27359BDE" w14:textId="77777777" w:rsidR="00A8138F" w:rsidRDefault="00A8138F" w:rsidP="00A8138F">
      <w:pPr>
        <w:pStyle w:val="TextoNormal"/>
      </w:pPr>
      <w:r>
        <w:t>Respecto a la fijación de los efectos de anteriores sentencias de este tribunal resolviendo idénticos supuesto, advierte que existen entre ellas algunas matizaciones; en concreto, en las SSTC 20/2025, 21/2025 y 24/2025, todas de 27 de enero, en las que se ha acordado la firmeza de las resoluciones dictadas por las distintas Salas de lo Social del Tribunal Superior de Justicia, en correspondencia a la petición que había sido efectuada por el Ministerio Fiscal, al considerar que aquellas sentencias eran conformes con la doctrina constitucional y debía estarse, en todo caso, al carácter subsidiario del recurso de amparo constitucional. No obstante, en el resto de las resoluciones de la misma fecha se ha ordenado la retroacción hasta el momento de la resolución administrativa, supuestos de recursos en los que la Fiscalía había solicitado, únicamente, la anulación de las resoluciones judiciales que no se acomodan a la doctrina del Tribunal, con la retroacción para el dictado de otra que fuera respetuosa con el derecho fundamental.</w:t>
      </w:r>
    </w:p>
    <w:p w14:paraId="52D4BD5C" w14:textId="77777777" w:rsidR="00A8138F" w:rsidRDefault="00A8138F" w:rsidP="00A8138F">
      <w:pPr>
        <w:pStyle w:val="TextoNormal"/>
      </w:pPr>
    </w:p>
    <w:p w14:paraId="3351351E" w14:textId="131A30F8" w:rsidR="00A8138F" w:rsidRDefault="00A8138F" w:rsidP="00A8138F">
      <w:pPr>
        <w:pStyle w:val="TextoNormal"/>
      </w:pPr>
      <w:r>
        <w:t>Trasladando lo anterior al presente caso, el fiscal señala que, en aplicación del criterio constitucional establecido en la mencionada STC 140/2024, de 6 de noviembre, “[p]rocede declarar para la reparación del derecho fundamental vulnerado la nulidad de las resoluciones administrativas y judiciales impugnadas, ya que todas ellas aplicaron los preceptos legales sobre los permisos y las prestaciones por nacimiento y cuidado de los hijos menores de doce meses, infringiendo la doctrina constitucional que prohíbe la discriminación por razón de nacimiento en una familia monoparental. En este caso, el alcance de la declaración de nulidad supone la retroacción de todas las actuaciones a la vía administrativa, hasta el momento en el que la recurrente había solicitado la ampliación de la prestación en las doce semanas que correspondían al progenitor distinto a la madre biológica, para que se dicte por el INSS nueva resolución sobre dicha petición que sea acorde con la doctrina establecida en la STC 140/2024 y respetuosa con el derecho fundamental a la no discriminación por razón de nacimiento en familia monoparental del art. 14 en relación con el 39 de la CE”.</w:t>
      </w:r>
    </w:p>
    <w:p w14:paraId="08866648" w14:textId="77777777" w:rsidR="00A8138F" w:rsidRDefault="00A8138F" w:rsidP="00A8138F">
      <w:pPr>
        <w:pStyle w:val="TextoNormal"/>
      </w:pPr>
    </w:p>
    <w:p w14:paraId="76CCF7F7" w14:textId="3051B664" w:rsidR="00A8138F" w:rsidRDefault="00A8138F" w:rsidP="00A8138F">
      <w:pPr>
        <w:pStyle w:val="TextoNormal"/>
      </w:pPr>
      <w:r w:rsidRPr="00A8138F">
        <w:rPr>
          <w:rStyle w:val="NumeroAFNegritaCaracter"/>
        </w:rPr>
        <w:t>11</w:t>
      </w:r>
      <w:r>
        <w:t>. Mediante providencia de 24 de abril de 2025, se señaló para deliberación y votación de la presente sentencia el día 28 del mismo mes y año.</w:t>
      </w:r>
    </w:p>
    <w:p w14:paraId="23F2A1DD" w14:textId="77777777" w:rsidR="00A8138F" w:rsidRDefault="00A8138F" w:rsidP="00A8138F">
      <w:pPr>
        <w:pStyle w:val="TextoNormal"/>
      </w:pPr>
    </w:p>
    <w:p w14:paraId="6E448EE2" w14:textId="77777777" w:rsidR="00A8138F" w:rsidRDefault="00A8138F" w:rsidP="00A8138F">
      <w:pPr>
        <w:pStyle w:val="TextoNormalNegritaCentrado"/>
        <w:keepNext/>
      </w:pPr>
      <w:r>
        <w:t>II. Fundamentos jurídicos</w:t>
      </w:r>
    </w:p>
    <w:p w14:paraId="43EFC0F5" w14:textId="5FCA484D" w:rsidR="00A8138F" w:rsidRDefault="00A8138F" w:rsidP="00A8138F">
      <w:pPr>
        <w:pStyle w:val="TextoNormalNegritaCentrado"/>
        <w:keepNext/>
      </w:pPr>
    </w:p>
    <w:p w14:paraId="42214D43"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4A63C01A" w14:textId="77777777" w:rsidR="00A8138F" w:rsidRDefault="00A8138F" w:rsidP="00A8138F">
      <w:pPr>
        <w:pStyle w:val="TextoNormal"/>
      </w:pPr>
    </w:p>
    <w:p w14:paraId="61F2EEE9" w14:textId="77777777" w:rsidR="00A8138F" w:rsidRDefault="00A8138F" w:rsidP="00A8138F">
      <w:pPr>
        <w:pStyle w:val="TextoNormal"/>
      </w:pPr>
      <w:r>
        <w:t xml:space="preserve">El objeto del presente proceso es dilucidar si la resolución administrativa del INSS, así como la sentencia núm. 416/2021, de 25 de noviembre, dictada por el Juzgado de lo Social núm. 4 de San Sebastián en los autos 562-2021, y la sentencia núm. 912/2023, de 4 de abril, dictada por la Sala de lo Social del Tribunal Superior de Justicia del País Vasco, denegando todas ellas la solicitud de ampliación de la prestación por nacimiento y cuidado de menor en las semanas correspondientes al otro progenitor, y el auto de la Sala de lo Social del Tribunal Supremo de 16 de julio de 2024, que inadmitió el recurso de casación para la unificación de doctrina núm. 4325-2023, han ocasionado a la demandante una discriminación </w:t>
      </w:r>
      <w:r>
        <w:lastRenderedPageBreak/>
        <w:t>por razón de nacimiento, contraria al art. 14 CE, en relación con el art. 39 CE, al aplicar el art. 48.4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w:t>
      </w:r>
    </w:p>
    <w:p w14:paraId="68743CA7" w14:textId="77777777" w:rsidR="00A8138F" w:rsidRDefault="00A8138F" w:rsidP="00A8138F">
      <w:pPr>
        <w:pStyle w:val="TextoNormal"/>
      </w:pPr>
    </w:p>
    <w:p w14:paraId="5C845FF2"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7ED606F" w14:textId="77777777" w:rsidR="00A8138F" w:rsidRDefault="00A8138F" w:rsidP="00A8138F">
      <w:pPr>
        <w:pStyle w:val="TextoNormal"/>
      </w:pPr>
    </w:p>
    <w:p w14:paraId="648C79E9"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16B1923" w14:textId="77777777" w:rsidR="00A8138F" w:rsidRDefault="00A8138F" w:rsidP="00A8138F">
      <w:pPr>
        <w:pStyle w:val="TextoNormal"/>
      </w:pPr>
    </w:p>
    <w:p w14:paraId="10BD6DF3"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18B0AE35" w14:textId="77777777" w:rsidR="00A8138F" w:rsidRDefault="00A8138F" w:rsidP="00A8138F">
      <w:pPr>
        <w:pStyle w:val="TextoNormal"/>
      </w:pPr>
    </w:p>
    <w:p w14:paraId="33DD52DC" w14:textId="77777777" w:rsidR="00A8138F" w:rsidRDefault="00A8138F" w:rsidP="00A8138F">
      <w:pPr>
        <w:pStyle w:val="TextoNormal"/>
      </w:pPr>
      <w:r>
        <w:t xml:space="preserve">En consecuencia, debe estimarse la demanda y otorgar el amparo solicitado, con los efectos que se indican en el párrafo siguiente,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w:t>
      </w:r>
      <w:r>
        <w:lastRenderedPageBreak/>
        <w:t>el previsto para progenitor distinto conforme a la legislación aplicable, excluyendo las semanas que necesariamente deben disfrutarse de forma ininterrumpida e inmediatamente posterior al parto.</w:t>
      </w:r>
    </w:p>
    <w:p w14:paraId="102DA72B" w14:textId="77777777" w:rsidR="00A8138F" w:rsidRDefault="00A8138F" w:rsidP="00A8138F">
      <w:pPr>
        <w:pStyle w:val="TextoNormal"/>
      </w:pPr>
    </w:p>
    <w:p w14:paraId="1A940B88" w14:textId="491F06D5" w:rsidR="00A8138F" w:rsidRDefault="00A8138F" w:rsidP="00A8138F">
      <w:pPr>
        <w:pStyle w:val="TextoNormal"/>
      </w:pPr>
      <w:r>
        <w:t>Así pues, de acuerdo con las SSTC 29/2025 y 39/2025, de 10 de febrero, la estimación del recurso conlleva la declaración de nulidad de las resoluciones judiciales impugnadas.</w:t>
      </w:r>
    </w:p>
    <w:p w14:paraId="6A971A8E" w14:textId="77777777" w:rsidR="00A8138F" w:rsidRDefault="00A8138F" w:rsidP="00A8138F">
      <w:pPr>
        <w:pStyle w:val="TextoNormal"/>
      </w:pPr>
    </w:p>
    <w:p w14:paraId="01323713" w14:textId="77777777" w:rsidR="00A8138F" w:rsidRDefault="00A8138F" w:rsidP="00A8138F">
      <w:pPr>
        <w:pStyle w:val="TextoNormalCentrado"/>
        <w:keepNext/>
      </w:pPr>
      <w:r>
        <w:t>FALLO</w:t>
      </w:r>
    </w:p>
    <w:p w14:paraId="31B0AF8C" w14:textId="624B636D" w:rsidR="00A8138F" w:rsidRDefault="00A8138F" w:rsidP="00A8138F">
      <w:pPr>
        <w:pStyle w:val="TextoNormalCentrado"/>
        <w:keepNext/>
      </w:pPr>
    </w:p>
    <w:p w14:paraId="7C56FAE6"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Mónica Lizuain Lasa y, en su virtud:</w:t>
      </w:r>
    </w:p>
    <w:p w14:paraId="626D3A8D" w14:textId="77777777" w:rsidR="00A8138F" w:rsidRDefault="00A8138F" w:rsidP="00A8138F">
      <w:pPr>
        <w:pStyle w:val="TextoNormal"/>
      </w:pPr>
    </w:p>
    <w:p w14:paraId="67BD28D6" w14:textId="77777777" w:rsidR="00A8138F" w:rsidRDefault="00A8138F" w:rsidP="00A8138F">
      <w:pPr>
        <w:pStyle w:val="TextoNormal"/>
      </w:pPr>
      <w:r>
        <w:t>1º Declarar vulnerado el derecho fundamental a la igualdad ante la ley, sin que pueda prevalecer discriminación alguna (art. 14 CE).</w:t>
      </w:r>
    </w:p>
    <w:p w14:paraId="1A5F8A67" w14:textId="77777777" w:rsidR="00A8138F" w:rsidRDefault="00A8138F" w:rsidP="00A8138F">
      <w:pPr>
        <w:pStyle w:val="TextoNormal"/>
      </w:pPr>
    </w:p>
    <w:p w14:paraId="4B73E70F" w14:textId="77777777" w:rsidR="00A8138F" w:rsidRDefault="00A8138F" w:rsidP="00A8138F">
      <w:pPr>
        <w:pStyle w:val="TextoNormal"/>
      </w:pPr>
      <w:r>
        <w:t>2º Restablecerla en su derecho y, a tal fin, declarar la nulidad de la sentencia núm. 416/2021, de 25 de noviembre, dictada por el Juzgado de lo Social núm. 4 de San Sebastián en los autos núm. 562-2021, y de la sentencia núm. 912/2023, de 4 de abril, de la Sala de lo Social del Tribunal Superior de Justicia del País Vasco, así como del auto de la Sala de lo Social del Tribunal Supremo de 16 de julio de 2024 dictado en el recurso de casación para la unificación de la doctrina núm. 4325-2023.</w:t>
      </w:r>
    </w:p>
    <w:p w14:paraId="56D2512C" w14:textId="77777777" w:rsidR="00A8138F" w:rsidRDefault="00A8138F" w:rsidP="00A8138F">
      <w:pPr>
        <w:pStyle w:val="TextoNormal"/>
      </w:pPr>
    </w:p>
    <w:p w14:paraId="0EF51003" w14:textId="3704B2E4" w:rsidR="00A8138F" w:rsidRDefault="00A8138F" w:rsidP="00A8138F">
      <w:pPr>
        <w:pStyle w:val="TextoNormal"/>
      </w:pPr>
      <w:r>
        <w:t>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presente sentencia, se dicte una nueva resolución respetuosa con el derecho fundamental vulnerado.</w:t>
      </w:r>
    </w:p>
    <w:p w14:paraId="6B5D4547" w14:textId="77777777" w:rsidR="00A8138F" w:rsidRDefault="00A8138F" w:rsidP="00A8138F">
      <w:pPr>
        <w:pStyle w:val="TextoNormal"/>
      </w:pPr>
    </w:p>
    <w:p w14:paraId="43D5F068" w14:textId="77777777" w:rsidR="00A8138F" w:rsidRDefault="00A8138F" w:rsidP="00A8138F">
      <w:pPr>
        <w:pStyle w:val="TextoNormal"/>
      </w:pPr>
      <w:r>
        <w:t>Publíquese esta sentencia en el “Boletín Oficial del Estado”.</w:t>
      </w:r>
    </w:p>
    <w:p w14:paraId="71D76B89" w14:textId="77777777" w:rsidR="00A8138F" w:rsidRDefault="00A8138F" w:rsidP="00A8138F">
      <w:pPr>
        <w:pStyle w:val="TextoNormal"/>
      </w:pPr>
      <w:r>
        <w:t>Dada en Madrid, a veintiocho de abril de dos mil veinticinco.</w:t>
      </w:r>
    </w:p>
    <w:p w14:paraId="2F0E1874" w14:textId="4ACCF3AE" w:rsidR="00A8138F" w:rsidRDefault="00A8138F">
      <w:pPr>
        <w:spacing w:after="160" w:line="278" w:lineRule="auto"/>
        <w:rPr>
          <w:rFonts w:ascii="Times New Roman" w:eastAsia="Times New Roman" w:hAnsi="Times New Roman" w:cs="Times New Roman"/>
          <w:sz w:val="24"/>
          <w:szCs w:val="24"/>
          <w:lang w:eastAsia="es-ES"/>
        </w:rPr>
      </w:pPr>
      <w:r>
        <w:br w:type="page"/>
      </w:r>
    </w:p>
    <w:p w14:paraId="3979D6B1" w14:textId="77777777" w:rsidR="00A8138F" w:rsidRDefault="00A8138F" w:rsidP="00A8138F">
      <w:pPr>
        <w:pStyle w:val="TtuloResolucin"/>
      </w:pPr>
      <w:bookmarkStart w:id="106" w:name="SENTENCIA_2025_104"/>
      <w:r>
        <w:lastRenderedPageBreak/>
        <w:t>SENTENCIA 104/2025, de 28 de abril de 2025</w:t>
      </w:r>
    </w:p>
    <w:bookmarkEnd w:id="106"/>
    <w:p w14:paraId="404BF24E" w14:textId="77777777" w:rsidR="00A8138F" w:rsidRDefault="00A8138F" w:rsidP="00A8138F">
      <w:pPr>
        <w:pStyle w:val="TtuloResolucin"/>
      </w:pPr>
      <w:r>
        <w:t>Sala Primera</w:t>
      </w:r>
    </w:p>
    <w:p w14:paraId="6905C25B" w14:textId="77777777" w:rsidR="00A8138F" w:rsidRDefault="00A8138F" w:rsidP="00A8138F">
      <w:pPr>
        <w:pStyle w:val="TtuloBOE"/>
      </w:pPr>
      <w:r>
        <w:t>(BOE núm. 135, de 5 de junio de 2025)</w:t>
      </w:r>
    </w:p>
    <w:p w14:paraId="77879A8D" w14:textId="77777777" w:rsidR="00A8138F" w:rsidRDefault="00A8138F" w:rsidP="00A8138F">
      <w:pPr>
        <w:pStyle w:val="TextoNormalCentrado"/>
      </w:pPr>
      <w:r>
        <w:t>ECLI:ES:TC:2025:104</w:t>
      </w:r>
    </w:p>
    <w:p w14:paraId="5B146C41" w14:textId="3989D39A" w:rsidR="00A8138F" w:rsidRDefault="00A8138F" w:rsidP="00A8138F">
      <w:pPr>
        <w:pStyle w:val="TextoNormalCentrado"/>
      </w:pPr>
    </w:p>
    <w:p w14:paraId="7096AEE0" w14:textId="77777777" w:rsidR="00A8138F" w:rsidRDefault="00A8138F" w:rsidP="00A8138F">
      <w:pPr>
        <w:pStyle w:val="SntesisDescriptiva"/>
      </w:pPr>
      <w:r>
        <w:t>Recurso de amparo 7818-2024. Promovido por doña Mónica Selva Beltrán en relación con las resoluciones administrativas y judiciales que desestimaron su petición de revisión y ampliación de la prestación por nacimiento y cuidado de hijo menor, como madre biológica de familia monoparental.</w:t>
      </w:r>
    </w:p>
    <w:p w14:paraId="0528D71A" w14:textId="053F8324" w:rsidR="00A8138F" w:rsidRDefault="00A8138F" w:rsidP="00A8138F">
      <w:pPr>
        <w:pStyle w:val="SntesisDescriptiva"/>
      </w:pPr>
    </w:p>
    <w:p w14:paraId="2E98FE8B"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675A9B32" w14:textId="28DC82F7" w:rsidR="00A8138F" w:rsidRDefault="00A8138F" w:rsidP="00A8138F">
      <w:pPr>
        <w:pStyle w:val="SntesisAnaltica"/>
      </w:pPr>
    </w:p>
    <w:p w14:paraId="09334DA8" w14:textId="1036CB6C"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65C28A7F" w14:textId="77777777" w:rsidR="00A8138F" w:rsidRDefault="00A8138F" w:rsidP="00A8138F">
      <w:pPr>
        <w:pStyle w:val="Extracto"/>
      </w:pPr>
    </w:p>
    <w:p w14:paraId="31C10676" w14:textId="77777777" w:rsidR="00A8138F" w:rsidRDefault="00A8138F" w:rsidP="00A8138F">
      <w:pPr>
        <w:pStyle w:val="Extracto"/>
      </w:pPr>
    </w:p>
    <w:p w14:paraId="47586725"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0737A8C7" w14:textId="6354CD64" w:rsidR="00A8138F" w:rsidRDefault="00A8138F" w:rsidP="00A8138F">
      <w:pPr>
        <w:pStyle w:val="TextoNormal"/>
      </w:pPr>
    </w:p>
    <w:p w14:paraId="230CE4E0" w14:textId="77777777" w:rsidR="00A8138F" w:rsidRDefault="00A8138F" w:rsidP="00A8138F">
      <w:pPr>
        <w:pStyle w:val="TextoNormalCentrado"/>
        <w:keepNext/>
      </w:pPr>
      <w:r>
        <w:t>EN NOMBRE DEL REY</w:t>
      </w:r>
    </w:p>
    <w:p w14:paraId="333473E2" w14:textId="7E4E75DF" w:rsidR="00A8138F" w:rsidRDefault="00A8138F" w:rsidP="00A8138F">
      <w:pPr>
        <w:pStyle w:val="TextoNormalCentrado"/>
        <w:keepNext/>
      </w:pPr>
    </w:p>
    <w:p w14:paraId="7E75F5A4" w14:textId="77777777" w:rsidR="00A8138F" w:rsidRDefault="00A8138F" w:rsidP="00A8138F">
      <w:pPr>
        <w:pStyle w:val="TextoNormalCentrado"/>
        <w:keepNext/>
      </w:pPr>
    </w:p>
    <w:p w14:paraId="26B9471F" w14:textId="77777777" w:rsidR="00A8138F" w:rsidRDefault="00A8138F" w:rsidP="00A8138F">
      <w:pPr>
        <w:pStyle w:val="TextoNormal"/>
      </w:pPr>
      <w:r>
        <w:t>la siguiente</w:t>
      </w:r>
    </w:p>
    <w:p w14:paraId="3D50E747" w14:textId="63C564CF" w:rsidR="00A8138F" w:rsidRDefault="00A8138F" w:rsidP="00A8138F">
      <w:pPr>
        <w:pStyle w:val="TextoNormal"/>
      </w:pPr>
    </w:p>
    <w:p w14:paraId="434C4D9E" w14:textId="77777777" w:rsidR="00A8138F" w:rsidRDefault="00A8138F" w:rsidP="00A8138F">
      <w:pPr>
        <w:pStyle w:val="TextoNormalCentrado"/>
        <w:keepNext/>
      </w:pPr>
      <w:r>
        <w:t>SENTENCIA</w:t>
      </w:r>
    </w:p>
    <w:p w14:paraId="07B176C2" w14:textId="3E259830" w:rsidR="00A8138F" w:rsidRDefault="00A8138F" w:rsidP="00A8138F">
      <w:pPr>
        <w:pStyle w:val="TextoNormalCentrado"/>
        <w:keepNext/>
      </w:pPr>
    </w:p>
    <w:p w14:paraId="45374768" w14:textId="77777777" w:rsidR="00A8138F" w:rsidRDefault="00A8138F" w:rsidP="00A8138F">
      <w:pPr>
        <w:pStyle w:val="TextoNormal"/>
      </w:pPr>
      <w:r>
        <w:t>En el recurso de amparo núm. 7818-2024, promovido por doña Mónica Selva Beltrán contra las resoluciones de la dirección provincial de Barcelona del Instituto Nacional de la Seguridad Social (INSS) de 29 de marzo y 3 de junio de 2021, sobre prestación por nacimiento y cuidado de hijo como madre biológica de familia monoparental (expediente núm. 1-2021-030671-38); y la sentencia de la Sala de lo Social del Tribunal Supremo núm. 1111-2024, de 12 de septiembre (recurso de casación para la unificación de doctrina núm. 1711-2023). Ha comparecido la letrada de la administración de la Seguridad Social, en nombre del INSS y la Tesorería General de la Seguridad Social (TGSS). Ha intervenido el Ministerio Fiscal. Ha sido ponente la magistrada doña María Luisa Segoviano Astaburuaga.</w:t>
      </w:r>
    </w:p>
    <w:p w14:paraId="07BCE597" w14:textId="3123CB34" w:rsidR="00A8138F" w:rsidRDefault="00A8138F" w:rsidP="00A8138F">
      <w:pPr>
        <w:pStyle w:val="TextoNormal"/>
      </w:pPr>
    </w:p>
    <w:p w14:paraId="0A134B67" w14:textId="77777777" w:rsidR="00A8138F" w:rsidRDefault="00A8138F" w:rsidP="00A8138F">
      <w:pPr>
        <w:pStyle w:val="TextoNormalNegritaCentrado"/>
        <w:keepNext/>
      </w:pPr>
      <w:r>
        <w:lastRenderedPageBreak/>
        <w:t>I. Antecedentes</w:t>
      </w:r>
    </w:p>
    <w:p w14:paraId="7F11D5C1" w14:textId="6A423C61" w:rsidR="00A8138F" w:rsidRDefault="00A8138F" w:rsidP="00A8138F">
      <w:pPr>
        <w:pStyle w:val="TextoNormalNegritaCentrado"/>
        <w:keepNext/>
      </w:pPr>
    </w:p>
    <w:p w14:paraId="27ECCB82" w14:textId="5FFA9B95" w:rsidR="00A8138F" w:rsidRDefault="00A8138F" w:rsidP="00A8138F">
      <w:pPr>
        <w:pStyle w:val="TextoNormal"/>
      </w:pPr>
      <w:r w:rsidRPr="00A8138F">
        <w:rPr>
          <w:rStyle w:val="NumeroAFNegritaCaracter"/>
        </w:rPr>
        <w:t>1</w:t>
      </w:r>
      <w:r>
        <w:t>. Mediante escrito registrado en el Tribunal el 18 de octubre de 2024, la procuradora de los tribunales doña María Isabel Torres Ruiz, en nombre y representación de doña Mónica Selva Beltrán, bajo la dirección letrada de doña Olga Georgina Marquina Pompido, interpuso recurso de amparo contra las decisiones administrativa y judicial a las que se ha hecho referencia en el encabezamiento de esta sentencia.</w:t>
      </w:r>
    </w:p>
    <w:p w14:paraId="36F38F95" w14:textId="77777777" w:rsidR="00A8138F" w:rsidRDefault="00A8138F" w:rsidP="00A8138F">
      <w:pPr>
        <w:pStyle w:val="TextoNormal"/>
      </w:pPr>
    </w:p>
    <w:p w14:paraId="705BA61A" w14:textId="77777777" w:rsidR="00A8138F" w:rsidRDefault="00A8138F" w:rsidP="00A8138F">
      <w:pPr>
        <w:pStyle w:val="TextoNormal"/>
      </w:pPr>
      <w:r w:rsidRPr="00A8138F">
        <w:rPr>
          <w:rStyle w:val="NumeroAFNegritaCaracter"/>
        </w:rPr>
        <w:t>2</w:t>
      </w:r>
      <w:r>
        <w:t>. El recurso tiene su origen en los siguientes antecedentes:</w:t>
      </w:r>
    </w:p>
    <w:p w14:paraId="29D951E9" w14:textId="77777777" w:rsidR="00A8138F" w:rsidRDefault="00A8138F" w:rsidP="00A8138F">
      <w:pPr>
        <w:pStyle w:val="TextoNormal"/>
      </w:pPr>
    </w:p>
    <w:p w14:paraId="6E1DBCD5" w14:textId="77777777" w:rsidR="00A8138F" w:rsidRDefault="00A8138F" w:rsidP="00A8138F">
      <w:pPr>
        <w:pStyle w:val="TextoNormal"/>
      </w:pPr>
      <w:r>
        <w:t>a) La demandante fue madre de un niño el 27 de marzo de 2020 con el que formaba una familia monoparental. Mediante resolución de la dirección provincial de Barcelona del INSS de 15 de abril de 2020, pronunciada en el expediente núm. 1-2021-030671-38, obtuvo la prestación por nacimiento y cuidado de su hijo menor durante dieciséis semanas [art. 177 del texto refundido de la Ley general de la Seguridad Social (LGSS)]. La demandante formuló solicitud de revisión de prestaciones solicitando su ampliación por doce semanas adicionales, que es el plazo que hubiera correspondido al segundo progenitor en el supuesto de una familia biparental; siendo desestimada por resolución de 29 de marzo de 2021 y confirmada por resolución de 3 de junio de 2021, al desestimarse la reclamación previa presentada.</w:t>
      </w:r>
    </w:p>
    <w:p w14:paraId="4F844304" w14:textId="77777777" w:rsidR="00A8138F" w:rsidRDefault="00A8138F" w:rsidP="00A8138F">
      <w:pPr>
        <w:pStyle w:val="TextoNormal"/>
      </w:pPr>
    </w:p>
    <w:p w14:paraId="54EED921" w14:textId="77777777" w:rsidR="00A8138F" w:rsidRDefault="00A8138F" w:rsidP="00A8138F">
      <w:pPr>
        <w:pStyle w:val="TextoNormal"/>
      </w:pPr>
      <w:r>
        <w:t>b) La demandante formuló demanda ante el Juzgado de lo Social núm. 3 de Barcelona, dando lugar al procedimiento núm. 490-2021, invocando, entre otros motivos, la vulneración del art. 14 CE; siendo estimado parcialmente por la sentencia núm. 428/2021, de 17 de diciembre, en el sentido de reconocer que la actora tiene el derecho a complementar la prestación de maternidad con otras ocho semanas.</w:t>
      </w:r>
    </w:p>
    <w:p w14:paraId="037CB6EF" w14:textId="77777777" w:rsidR="00A8138F" w:rsidRDefault="00A8138F" w:rsidP="00A8138F">
      <w:pPr>
        <w:pStyle w:val="TextoNormal"/>
      </w:pPr>
    </w:p>
    <w:p w14:paraId="2E70CF16" w14:textId="77777777" w:rsidR="00A8138F" w:rsidRDefault="00A8138F" w:rsidP="00A8138F">
      <w:pPr>
        <w:pStyle w:val="TextoNormal"/>
      </w:pPr>
      <w:r>
        <w:t>c) La demandante y el INSS formularon recurso de suplicación ante la Sala de lo Social del Tribunal Superior de Justicia de Cataluña, que fue tramitado con el núm. 6270-2022, siendo estimado en cuanto a la impugnación de la demandante por la sentencia núm. 1392/2023, de 1 de marzo, que reconoció que la ampliación de la prestación lo era en doce semanas adicionales.</w:t>
      </w:r>
    </w:p>
    <w:p w14:paraId="05441CAF" w14:textId="77777777" w:rsidR="00A8138F" w:rsidRDefault="00A8138F" w:rsidP="00A8138F">
      <w:pPr>
        <w:pStyle w:val="TextoNormal"/>
      </w:pPr>
    </w:p>
    <w:p w14:paraId="55E3025C" w14:textId="563DE4D2" w:rsidR="00A8138F" w:rsidRDefault="00A8138F" w:rsidP="00A8138F">
      <w:pPr>
        <w:pStyle w:val="TextoNormal"/>
      </w:pPr>
      <w:r>
        <w:t>d) El INSS formuló recurso de casación para la unificación de doctrina ante la Sala de lo Social del Tribunal Supremo, que fue tramitado con el núm. 1711-2023; siendo estimado por sentencia núm. 1111/2024, de 12 de septiembre, reiterando lo ya establecido en la sentencia de esa sala núm. 169/2023, de 2 de marzo, recaída en el recurso de casación para la unificación de doctrina núm. 3972-2020 (ECLI:ES:TS:2023:783), en el sentido de que la normativa de aplicación no resulta discriminatoria. Como consecuencia se revocaron las sentencias del Juzgado de la Social y del Tribunal Superior de Justicia y se confirmaron las resoluciones administrativas.</w:t>
      </w:r>
    </w:p>
    <w:p w14:paraId="14267BF0" w14:textId="77777777" w:rsidR="00A8138F" w:rsidRDefault="00A8138F" w:rsidP="00A8138F">
      <w:pPr>
        <w:pStyle w:val="TextoNormal"/>
      </w:pPr>
    </w:p>
    <w:p w14:paraId="3F14AB6B" w14:textId="77777777" w:rsidR="00A8138F" w:rsidRDefault="00A8138F" w:rsidP="00A8138F">
      <w:pPr>
        <w:pStyle w:val="TextoNormal"/>
      </w:pPr>
      <w:r w:rsidRPr="00A8138F">
        <w:rPr>
          <w:rStyle w:val="NumeroAFNegritaCaracter"/>
        </w:rPr>
        <w:t>3</w:t>
      </w:r>
      <w:r>
        <w:t>. La demandante, con invocación del art. 14 CE, recurre en amparo la decisión administrativa de denegar la ampliación de la prestación por nacimiento y cuidado de hijo menor, como madre biológica de familia monoparental, y la confirmación judicial de esa decisión en la sentencia de casación, solicitando la nulidad de ambas.</w:t>
      </w:r>
    </w:p>
    <w:p w14:paraId="1B414516" w14:textId="77777777" w:rsidR="00A8138F" w:rsidRDefault="00A8138F" w:rsidP="00A8138F">
      <w:pPr>
        <w:pStyle w:val="TextoNormal"/>
      </w:pPr>
    </w:p>
    <w:p w14:paraId="13A77F8F" w14:textId="77777777" w:rsidR="00A8138F" w:rsidRDefault="00A8138F" w:rsidP="00A8138F">
      <w:pPr>
        <w:pStyle w:val="TextoNormal"/>
      </w:pPr>
      <w:r>
        <w:lastRenderedPageBreak/>
        <w:t>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14:paraId="63AB4D5B" w14:textId="77777777" w:rsidR="00A8138F" w:rsidRDefault="00A8138F" w:rsidP="00A8138F">
      <w:pPr>
        <w:pStyle w:val="TextoNormal"/>
      </w:pPr>
    </w:p>
    <w:p w14:paraId="34BF644F" w14:textId="5523AEAE" w:rsidR="00A8138F" w:rsidRDefault="00A8138F" w:rsidP="00A8138F">
      <w:pPr>
        <w:pStyle w:val="TextoNormal"/>
      </w:pPr>
      <w:r>
        <w:t>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 la Ley del estatuto de los trabajadores (LET) y el art. 177 LGSS por el Real Decreto-ley 6/2019, de 1 de marzo, de medidas urgentes para garantía de la igualdad de trato y de oportunidades entre mujeres y hombres en el empleo y la ocupación.</w:t>
      </w:r>
    </w:p>
    <w:p w14:paraId="41A6BDB9" w14:textId="77777777" w:rsidR="00A8138F" w:rsidRDefault="00A8138F" w:rsidP="00A8138F">
      <w:pPr>
        <w:pStyle w:val="TextoNormal"/>
      </w:pPr>
    </w:p>
    <w:p w14:paraId="269E6F35" w14:textId="4E2581BC" w:rsidR="00A8138F" w:rsidRDefault="00A8138F" w:rsidP="00A8138F">
      <w:pPr>
        <w:pStyle w:val="TextoNormal"/>
      </w:pPr>
      <w:r w:rsidRPr="00A8138F">
        <w:rPr>
          <w:rStyle w:val="NumeroAFNegritaCaracter"/>
        </w:rPr>
        <w:t>4</w:t>
      </w:r>
      <w:r>
        <w:t>. La Sección Primera del Tribunal, por providencia de 13 de enero de 2025,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FJ 2 c)]; y dirigir atenta comunicación a los órganos judiciales para la remisión de testimonio de las actuaciones y emplazamiento de quienes hubieran sido parte en el procedimiento a los efectos de su personación en el presente proceso constitucional.</w:t>
      </w:r>
    </w:p>
    <w:p w14:paraId="5B419F3D" w14:textId="77777777" w:rsidR="00A8138F" w:rsidRDefault="00A8138F" w:rsidP="00A8138F">
      <w:pPr>
        <w:pStyle w:val="TextoNormal"/>
      </w:pPr>
    </w:p>
    <w:p w14:paraId="70EBC00E" w14:textId="70473A27" w:rsidR="00A8138F" w:rsidRDefault="00A8138F" w:rsidP="00A8138F">
      <w:pPr>
        <w:pStyle w:val="TextoNormal"/>
      </w:pPr>
      <w:r w:rsidRPr="00A8138F">
        <w:rPr>
          <w:rStyle w:val="NumeroAFNegritaCaracter"/>
        </w:rPr>
        <w:t>5</w:t>
      </w:r>
      <w:r>
        <w:t>. La Secretaría de Justicia de la Sala Primera del Tribunal, por diligencia de ordenación de 5 de marzo de 2025, tuvo por recibido el testimonio de las actuaciones, por personado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(LOTC), pudieran presentar alegaciones.</w:t>
      </w:r>
    </w:p>
    <w:p w14:paraId="3FE1DA59" w14:textId="77777777" w:rsidR="00A8138F" w:rsidRDefault="00A8138F" w:rsidP="00A8138F">
      <w:pPr>
        <w:pStyle w:val="TextoNormal"/>
      </w:pPr>
    </w:p>
    <w:p w14:paraId="3D44A9C0" w14:textId="77777777" w:rsidR="00A8138F" w:rsidRDefault="00A8138F" w:rsidP="00A8138F">
      <w:pPr>
        <w:pStyle w:val="TextoNormal"/>
      </w:pPr>
      <w:r w:rsidRPr="00A8138F">
        <w:rPr>
          <w:rStyle w:val="NumeroAFNegritaCaracter"/>
        </w:rPr>
        <w:t>6</w:t>
      </w:r>
      <w:r>
        <w:t>. El Ministerio Fiscal, mediante escrito registrado el 25 de marzo de 2025,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con retroacción de actuaciones al momento del dictado de esa resolución para que se dicte otra respetuosa con el derecho fundamental vulnerado.</w:t>
      </w:r>
    </w:p>
    <w:p w14:paraId="0A89BB05" w14:textId="77777777" w:rsidR="00A8138F" w:rsidRDefault="00A8138F" w:rsidP="00A8138F">
      <w:pPr>
        <w:pStyle w:val="TextoNormal"/>
      </w:pPr>
    </w:p>
    <w:p w14:paraId="6067E166" w14:textId="70EE50B7" w:rsidR="00A8138F" w:rsidRDefault="00A8138F" w:rsidP="00A8138F">
      <w:pPr>
        <w:pStyle w:val="TextoNormal"/>
      </w:pPr>
      <w:r>
        <w:t>El Ministerio Fiscal, tras resumir la jurisprudencia constitucional establecida en la STC 140/2024, de 6 de noviembre, en la que se acuerda la inconstitucionalidad —sin nulidad— de los arts. 48.4 LET y 177 LGSS, hace aplicación de ella al presente recurso y considera procedente la estimación del recurso. En cuanto a los efectos de la estimación, argumenta que no resulta procedente ni la anulación de una resolución administrativa, que ya ha sido declarada judicialmente nula, ni la de la sentencia de instancia, que aplicó en términos ple</w:t>
      </w:r>
      <w:r>
        <w:lastRenderedPageBreak/>
        <w:t>namente coincidentes la doctrina de la STC 140/2024, incluyendo el número de semanas de ampliación, y de suplicación, que reconoció la vulneración del derecho si bien reconociendo una prestación superior a la fijada en la STC 140/2024, pero cuya nulidad no ha sido instada por la demandante. A partir de ello, considera que solo procede la nulidad de la sentencia de casación con retroacción de actuaciones para que pronuncie otra “plenamente respetuosa con la doctrina constitucional. Lo que, en la práctica, debería implicar que, reconociendo necesariamente los derechos de la actora en los mismos términos que fija el fundamento jurídico 7 de la STC 140/2024, pueda sin embargo el Alto Tribunal, en el caso de que lo considere objeto de la pretensión casacional formulada por el INSS, pronunciarse en el ámbito de su propia jurisdicción y en el marco de la legalidad ordinaria sobre el derecho de la demandante de amparo a disfrutar del tiempo adicional de prestación que le había reconocido en su sentencia el Tribunal Superior de Justicia de Cataluña”.</w:t>
      </w:r>
    </w:p>
    <w:p w14:paraId="43A3C790" w14:textId="77777777" w:rsidR="00A8138F" w:rsidRDefault="00A8138F" w:rsidP="00A8138F">
      <w:pPr>
        <w:pStyle w:val="TextoNormal"/>
      </w:pPr>
    </w:p>
    <w:p w14:paraId="102618EC" w14:textId="310EDAA6" w:rsidR="00A8138F" w:rsidRDefault="00A8138F" w:rsidP="00A8138F">
      <w:pPr>
        <w:pStyle w:val="TextoNormal"/>
      </w:pPr>
      <w:r w:rsidRPr="00A8138F">
        <w:rPr>
          <w:rStyle w:val="NumeroAFNegritaCaracter"/>
        </w:rPr>
        <w:t>7</w:t>
      </w:r>
      <w:r>
        <w:t>. La letrada de la administración de la Seguridad Social, por escrito registrado el 10 de marzo de 2025, presentó alegaciones allanándose a la demanda, poniendo de manifiesto que, a la vista de la jurisprudencia establecida en la STC 140/2024 y en las diversas sentencias que la aplican, la Dirección General del servicio jurídico de la Seguridad Social dictó la instrucción 10/2024, de 23 de diciembre, de la que se acompaña copia, en la que se autoriza para allanarse en los recursos de amparo pendientes ante el Tribunal Constitucional que resulten afectados por lo establecido en el fundamento jurídico 7 de la STC 140/2024, que es lo que sucede en el presente recurso.</w:t>
      </w:r>
    </w:p>
    <w:p w14:paraId="2F01A706" w14:textId="77777777" w:rsidR="00A8138F" w:rsidRDefault="00A8138F" w:rsidP="00A8138F">
      <w:pPr>
        <w:pStyle w:val="TextoNormal"/>
      </w:pPr>
    </w:p>
    <w:p w14:paraId="33D88857" w14:textId="14F353FD" w:rsidR="00A8138F" w:rsidRDefault="00A8138F" w:rsidP="00A8138F">
      <w:pPr>
        <w:pStyle w:val="TextoNormal"/>
      </w:pPr>
      <w:r w:rsidRPr="00A8138F">
        <w:rPr>
          <w:rStyle w:val="NumeroAFNegritaCaracter"/>
        </w:rPr>
        <w:t>8</w:t>
      </w:r>
      <w:r>
        <w:t>. La demandante de amparo no presentó alegaciones.</w:t>
      </w:r>
    </w:p>
    <w:p w14:paraId="06F71AEC" w14:textId="77777777" w:rsidR="00A8138F" w:rsidRDefault="00A8138F" w:rsidP="00A8138F">
      <w:pPr>
        <w:pStyle w:val="TextoNormal"/>
      </w:pPr>
    </w:p>
    <w:p w14:paraId="692FACD5" w14:textId="650650E0" w:rsidR="00A8138F" w:rsidRDefault="00A8138F" w:rsidP="00A8138F">
      <w:pPr>
        <w:pStyle w:val="TextoNormal"/>
      </w:pPr>
      <w:r w:rsidRPr="00A8138F">
        <w:rPr>
          <w:rStyle w:val="NumeroAFNegritaCaracter"/>
        </w:rPr>
        <w:t>9</w:t>
      </w:r>
      <w:r>
        <w:t>. Por providencia de 24 de abril de 2025 se señaló para deliberación y votación de la presente sentencia el día 28 del mismo mes y año.</w:t>
      </w:r>
    </w:p>
    <w:p w14:paraId="0E288CFF" w14:textId="77777777" w:rsidR="00A8138F" w:rsidRDefault="00A8138F" w:rsidP="00A8138F">
      <w:pPr>
        <w:pStyle w:val="TextoNormal"/>
      </w:pPr>
    </w:p>
    <w:p w14:paraId="1C75C700" w14:textId="77777777" w:rsidR="00A8138F" w:rsidRDefault="00A8138F" w:rsidP="00A8138F">
      <w:pPr>
        <w:pStyle w:val="TextoNormalNegritaCentrado"/>
        <w:keepNext/>
      </w:pPr>
      <w:r>
        <w:t>II. Fundamentos jurídicos</w:t>
      </w:r>
    </w:p>
    <w:p w14:paraId="0AFCE98A" w14:textId="2398154C" w:rsidR="00A8138F" w:rsidRDefault="00A8138F" w:rsidP="00A8138F">
      <w:pPr>
        <w:pStyle w:val="TextoNormalNegritaCentrado"/>
        <w:keepNext/>
      </w:pPr>
    </w:p>
    <w:p w14:paraId="71734134"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F8925EC" w14:textId="77777777" w:rsidR="00A8138F" w:rsidRDefault="00A8138F" w:rsidP="00A8138F">
      <w:pPr>
        <w:pStyle w:val="TextoNormal"/>
      </w:pPr>
    </w:p>
    <w:p w14:paraId="7E47DD16" w14:textId="4D469552" w:rsidR="00A8138F" w:rsidRDefault="00A8138F" w:rsidP="00A8138F">
      <w:pPr>
        <w:pStyle w:val="TextoNormal"/>
      </w:pPr>
      <w:r>
        <w:t>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241DCC8E" w14:textId="77777777" w:rsidR="00A8138F" w:rsidRDefault="00A8138F" w:rsidP="00A8138F">
      <w:pPr>
        <w:pStyle w:val="TextoNormal"/>
      </w:pPr>
    </w:p>
    <w:p w14:paraId="4F467988"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70BA3C62" w14:textId="77777777" w:rsidR="00A8138F" w:rsidRDefault="00A8138F" w:rsidP="00A8138F">
      <w:pPr>
        <w:pStyle w:val="TextoNormal"/>
      </w:pPr>
    </w:p>
    <w:p w14:paraId="73907054" w14:textId="77777777" w:rsidR="00A8138F" w:rsidRDefault="00A8138F" w:rsidP="00A8138F">
      <w:pPr>
        <w:pStyle w:val="TextoNormal"/>
      </w:pPr>
      <w: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w:t>
      </w:r>
      <w:r>
        <w:lastRenderedPageBreak/>
        <w:t>anticipada del procedimiento, que deberá concluirse necesariamente mediante sentencia en la que este tribunal se pronuncie sobre las pretensiones del recurso de amparo”.</w:t>
      </w:r>
    </w:p>
    <w:p w14:paraId="2BD62293" w14:textId="77777777" w:rsidR="00A8138F" w:rsidRDefault="00A8138F" w:rsidP="00A8138F">
      <w:pPr>
        <w:pStyle w:val="TextoNormal"/>
      </w:pPr>
    </w:p>
    <w:p w14:paraId="37CE9E12" w14:textId="77777777" w:rsidR="00A8138F" w:rsidRDefault="00A8138F" w:rsidP="00A8138F">
      <w:pPr>
        <w:pStyle w:val="TextoNormal"/>
      </w:pPr>
      <w:r>
        <w:t>Aclarado este punto, la cuestión de fondo planteada en este recurso de amparo es coincidente con la resuelta por la STC 140/2024, de 6 de noviembre,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7966E791" w14:textId="77777777" w:rsidR="00A8138F" w:rsidRDefault="00A8138F" w:rsidP="00A8138F">
      <w:pPr>
        <w:pStyle w:val="TextoNormal"/>
      </w:pPr>
    </w:p>
    <w:p w14:paraId="237973C2"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1425743" w14:textId="77777777" w:rsidR="00A8138F" w:rsidRDefault="00A8138F" w:rsidP="00A8138F">
      <w:pPr>
        <w:pStyle w:val="TextoNormal"/>
      </w:pPr>
    </w:p>
    <w:p w14:paraId="4EF6F739"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AEB3C14" w14:textId="77777777" w:rsidR="00A8138F" w:rsidRDefault="00A8138F" w:rsidP="00A8138F">
      <w:pPr>
        <w:pStyle w:val="TextoNormal"/>
      </w:pPr>
    </w:p>
    <w:p w14:paraId="1399C52E" w14:textId="77777777" w:rsidR="00A8138F" w:rsidRDefault="00A8138F" w:rsidP="00A8138F">
      <w:pPr>
        <w:pStyle w:val="TextoNormal"/>
      </w:pPr>
      <w:r>
        <w:t>En consecuencia, debe estimarse la demanda y otorgar el amparo solicitado. 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3D6DB971" w14:textId="77777777" w:rsidR="00A8138F" w:rsidRDefault="00A8138F" w:rsidP="00A8138F">
      <w:pPr>
        <w:pStyle w:val="TextoNormal"/>
      </w:pPr>
    </w:p>
    <w:p w14:paraId="14CC62E5" w14:textId="407050FB" w:rsidR="00A8138F" w:rsidRDefault="00A8138F" w:rsidP="00A8138F">
      <w:pPr>
        <w:pStyle w:val="TextoNormal"/>
      </w:pPr>
      <w:r>
        <w:t>La estimación de la demanda ha de conllevar la declaración de nulidad de la sentencia de la Sala de lo Social del Tribunal Supremo núm. 1111/2024, de 12 de septiembre, pronunciada en el recurso de casación para la unificación de doctrina núm. 1711-2023, en la medida en que no ha reconocido la vulneración del art. 14 CE; así como la de la sentencia de la Sala de lo Social del Tribunal Superior de Justicia de Cataluña núm. 1392/2023, de 1 de marzo, pronunciada en el recurso de suplicación núm. 6270-2022, en la medida en que, aun habiendo reconocido dicha vulneración lo hace con un alcance distinto al establecido en la STC 140/2024; con la declaración de firmeza de la sentencia del Juzgado de lo Social núm. 3 de Barcelona núm. 428/2021, de 17 de diciembre, pronunciada en el procedimiento núm. 490-2021, que anuló la resolución administrativa reconociendo el derecho fundamental controvertido con el concreto alcance establecido en la STC 140/2024.</w:t>
      </w:r>
    </w:p>
    <w:p w14:paraId="2B3ADAA6" w14:textId="77777777" w:rsidR="00A8138F" w:rsidRDefault="00A8138F" w:rsidP="00A8138F">
      <w:pPr>
        <w:pStyle w:val="TextoNormal"/>
      </w:pPr>
    </w:p>
    <w:p w14:paraId="190846C7" w14:textId="77777777" w:rsidR="00A8138F" w:rsidRDefault="00A8138F" w:rsidP="00A8138F">
      <w:pPr>
        <w:pStyle w:val="TextoNormalCentrado"/>
        <w:keepNext/>
      </w:pPr>
      <w:r>
        <w:t>FALLO</w:t>
      </w:r>
    </w:p>
    <w:p w14:paraId="1A1FE969" w14:textId="554A28B3" w:rsidR="00A8138F" w:rsidRDefault="00A8138F" w:rsidP="00A8138F">
      <w:pPr>
        <w:pStyle w:val="TextoNormalCentrado"/>
        <w:keepNext/>
      </w:pPr>
    </w:p>
    <w:p w14:paraId="1049F6D8" w14:textId="77777777" w:rsidR="00A8138F" w:rsidRDefault="00A8138F" w:rsidP="00A8138F">
      <w:pPr>
        <w:pStyle w:val="TextoNormal"/>
      </w:pPr>
      <w:r>
        <w:t>En atención a todo lo expuesto, el Tribunal Constitucional, por la autoridad que le confiere la Constitución de la Nación española, ha decidido estimar la demanda presentada por doña Mónica Selva Beltrán y, en su virtud:</w:t>
      </w:r>
    </w:p>
    <w:p w14:paraId="1AB7DDBA" w14:textId="77777777" w:rsidR="00A8138F" w:rsidRDefault="00A8138F" w:rsidP="00A8138F">
      <w:pPr>
        <w:pStyle w:val="TextoNormal"/>
      </w:pPr>
    </w:p>
    <w:p w14:paraId="2138F86A" w14:textId="77777777" w:rsidR="00A8138F" w:rsidRDefault="00A8138F" w:rsidP="00A8138F">
      <w:pPr>
        <w:pStyle w:val="TextoNormal"/>
      </w:pPr>
      <w:r>
        <w:t>1º Declarar que se ha vulnerado el derecho fundamental a la igualdad ante la ley sin que proceda discriminación por razón de nacimiento (art. 14 CE).</w:t>
      </w:r>
    </w:p>
    <w:p w14:paraId="6294BAFA" w14:textId="77777777" w:rsidR="00A8138F" w:rsidRDefault="00A8138F" w:rsidP="00A8138F">
      <w:pPr>
        <w:pStyle w:val="TextoNormal"/>
      </w:pPr>
    </w:p>
    <w:p w14:paraId="1C0CDA2E" w14:textId="77777777" w:rsidR="00A8138F" w:rsidRDefault="00A8138F" w:rsidP="00A8138F">
      <w:pPr>
        <w:pStyle w:val="TextoNormal"/>
      </w:pPr>
      <w:r>
        <w:t>2º Restablecer a la recurrente en su derecho y, a tal fin, declarar la nulidad de la sentencia de la Sala de lo Social del Tribunal Supremo núm. 1111/2024, de 12 de septiembre, pronunciada en el recurso de casación para la unificación de doctrina núm. 1711-2023, y de la sentencia de la Sala de lo Social del Tribunal Superior de Justicia de Cataluña núm. 1392/2023, de 1 de marzo, pronunciada en el recurso de suplicación núm. 6270-2022.</w:t>
      </w:r>
    </w:p>
    <w:p w14:paraId="0563673D" w14:textId="77777777" w:rsidR="00A8138F" w:rsidRDefault="00A8138F" w:rsidP="00A8138F">
      <w:pPr>
        <w:pStyle w:val="TextoNormal"/>
      </w:pPr>
    </w:p>
    <w:p w14:paraId="6835DB21" w14:textId="517C494E" w:rsidR="00A8138F" w:rsidRDefault="00A8138F" w:rsidP="00A8138F">
      <w:pPr>
        <w:pStyle w:val="TextoNormal"/>
      </w:pPr>
      <w:r>
        <w:t>3º Declarar la firmeza de la sentencia del Juzgado de lo Social núm. 3 de Barcelona núm. 428/2021, de 17 de diciembre, pronunciada en el procedimiento núm. 490-2021.</w:t>
      </w:r>
    </w:p>
    <w:p w14:paraId="4AAF061F" w14:textId="77777777" w:rsidR="00A8138F" w:rsidRDefault="00A8138F" w:rsidP="00A8138F">
      <w:pPr>
        <w:pStyle w:val="TextoNormal"/>
      </w:pPr>
    </w:p>
    <w:p w14:paraId="63FFC7E9" w14:textId="77777777" w:rsidR="00A8138F" w:rsidRDefault="00A8138F" w:rsidP="00A8138F">
      <w:pPr>
        <w:pStyle w:val="TextoNormal"/>
      </w:pPr>
      <w:r>
        <w:t>Publíquese esta sentencia en el “Boletín Oficial del Estado”.</w:t>
      </w:r>
    </w:p>
    <w:p w14:paraId="656118F1" w14:textId="77777777" w:rsidR="00A8138F" w:rsidRDefault="00A8138F" w:rsidP="00A8138F">
      <w:pPr>
        <w:pStyle w:val="TextoNormal"/>
      </w:pPr>
      <w:r>
        <w:t>Dada en Madrid, a veintiocho de abril de dos mil veinticinco.</w:t>
      </w:r>
    </w:p>
    <w:p w14:paraId="727D4A3C" w14:textId="4B95E325" w:rsidR="00A8138F" w:rsidRDefault="00A8138F">
      <w:pPr>
        <w:spacing w:after="160" w:line="278" w:lineRule="auto"/>
        <w:rPr>
          <w:rFonts w:ascii="Times New Roman" w:eastAsia="Times New Roman" w:hAnsi="Times New Roman" w:cs="Times New Roman"/>
          <w:sz w:val="24"/>
          <w:szCs w:val="24"/>
          <w:lang w:eastAsia="es-ES"/>
        </w:rPr>
      </w:pPr>
      <w:r>
        <w:br w:type="page"/>
      </w:r>
    </w:p>
    <w:p w14:paraId="7FE62E01" w14:textId="77777777" w:rsidR="00A8138F" w:rsidRDefault="00A8138F" w:rsidP="00A8138F">
      <w:pPr>
        <w:pStyle w:val="TtuloResolucin"/>
      </w:pPr>
      <w:bookmarkStart w:id="107" w:name="SENTENCIA_2025_105"/>
      <w:r>
        <w:lastRenderedPageBreak/>
        <w:t>SENTENCIA 105/2025, de 29 de abril de 2025</w:t>
      </w:r>
    </w:p>
    <w:bookmarkEnd w:id="107"/>
    <w:p w14:paraId="758F801C" w14:textId="77777777" w:rsidR="00A8138F" w:rsidRDefault="00A8138F" w:rsidP="00A8138F">
      <w:pPr>
        <w:pStyle w:val="TtuloResolucin"/>
      </w:pPr>
      <w:r>
        <w:t>Pleno</w:t>
      </w:r>
    </w:p>
    <w:p w14:paraId="477AE3FE" w14:textId="77777777" w:rsidR="00A8138F" w:rsidRDefault="00A8138F" w:rsidP="00A8138F">
      <w:pPr>
        <w:pStyle w:val="TtuloBOE"/>
      </w:pPr>
      <w:r>
        <w:t>(BOE núm. 135, de 5 de junio de 2025)</w:t>
      </w:r>
    </w:p>
    <w:p w14:paraId="246D39BD" w14:textId="77777777" w:rsidR="00A8138F" w:rsidRDefault="00A8138F" w:rsidP="00A8138F">
      <w:pPr>
        <w:pStyle w:val="TextoNormalCentrado"/>
      </w:pPr>
      <w:r>
        <w:t>ECLI:ES:TC:2025:105</w:t>
      </w:r>
    </w:p>
    <w:p w14:paraId="3FA1DB41" w14:textId="3F651897" w:rsidR="00A8138F" w:rsidRDefault="00A8138F" w:rsidP="00A8138F">
      <w:pPr>
        <w:pStyle w:val="TextoNormalCentrado"/>
      </w:pPr>
    </w:p>
    <w:p w14:paraId="744BC2C7" w14:textId="77777777" w:rsidR="00A8138F" w:rsidRDefault="00A8138F" w:rsidP="00A8138F">
      <w:pPr>
        <w:pStyle w:val="SntesisDescriptiva"/>
      </w:pPr>
      <w:r>
        <w:t>Recurso de amparo 4330-2023. Promovido por doña J.G.V., respecto de los autos de la Sala de lo Civil y Penal del Tribunal Superior de Justicia de Galicia que inadmitieron su recurso de apelación frente al auto de revisión de condena dictado por la Audiencia Provincial de Lugo.</w:t>
      </w:r>
    </w:p>
    <w:p w14:paraId="1B2F64B5" w14:textId="53C62A25" w:rsidR="00A8138F" w:rsidRDefault="00A8138F" w:rsidP="00A8138F">
      <w:pPr>
        <w:pStyle w:val="SntesisDescriptiva"/>
      </w:pPr>
    </w:p>
    <w:p w14:paraId="4CA347FF" w14:textId="77777777" w:rsidR="00A8138F" w:rsidRDefault="00A8138F" w:rsidP="00A8138F">
      <w:pPr>
        <w:pStyle w:val="SntesisAnaltica"/>
      </w:pPr>
      <w:r>
        <w:t>Vulneración del derecho a la tutela judicial efectiva (acceso al recurso): derecho, de quien ha ejercido la acusación particular, al recurso devolutivo frente a las decisiones judiciales de revisión de condena; inexistencia de previsión legal al respecto y valor de las resoluciones del Tribunal Supremo. Votos particulares.</w:t>
      </w:r>
    </w:p>
    <w:p w14:paraId="3E4102CB" w14:textId="40E92E55" w:rsidR="00A8138F" w:rsidRDefault="00A8138F" w:rsidP="00A8138F">
      <w:pPr>
        <w:pStyle w:val="SntesisAnaltica"/>
      </w:pPr>
    </w:p>
    <w:p w14:paraId="76EEF8AB" w14:textId="0797BC90" w:rsidR="00A8138F" w:rsidRDefault="00A8138F" w:rsidP="00A8138F">
      <w:pPr>
        <w:pStyle w:val="Extracto"/>
      </w:pPr>
      <w:r>
        <w:t>1.</w:t>
      </w:r>
      <w:r>
        <w:tab/>
        <w:t>Los órganos judiciales deben actuar respetando las exigencias constitucionales derivadas del derecho a la tutela judicial efectiva, aun cuando hubiera una insuficiencia material de la ley en la regulación del marco de protección de un derecho fundamental (SSTC 49/1999 y 184/2003) [FJ 2].</w:t>
      </w:r>
    </w:p>
    <w:p w14:paraId="4CDB20C5" w14:textId="77777777" w:rsidR="00A8138F" w:rsidRDefault="00A8138F" w:rsidP="00A8138F">
      <w:pPr>
        <w:pStyle w:val="Extracto"/>
      </w:pPr>
    </w:p>
    <w:p w14:paraId="43AE5A4A" w14:textId="4A34D3BA" w:rsidR="00A8138F" w:rsidRDefault="00A8138F" w:rsidP="00A8138F">
      <w:pPr>
        <w:pStyle w:val="Extracto"/>
      </w:pPr>
      <w:r>
        <w:t>2.</w:t>
      </w:r>
      <w:r>
        <w:tab/>
        <w:t>Cabe recurso devolutivo contra los autos de revisión de sentencias de condena, por dos razones: (i) dado su carácter de resoluciones complementarias de esas sentencias; y (ii) porque el silencio de la ley en esta materia ha de interpretarse no como un rechazo, sino como un respaldo implícito del legislador a tales recursos. Este recurso devolutivo no menoscaba el derecho al recurso de las partes en el proceso penal, sea que se incardine este como vertiente del derecho a la tutela judicial efectiva, o, tratándose de la parte acusada, del derecho a la doble instancia penal (derecho a un proceso con todas las garantías, ex art. 24.2 CE) [FJ 3].</w:t>
      </w:r>
    </w:p>
    <w:p w14:paraId="377E5B19" w14:textId="77777777" w:rsidR="00A8138F" w:rsidRDefault="00A8138F" w:rsidP="00A8138F">
      <w:pPr>
        <w:pStyle w:val="Extracto"/>
      </w:pPr>
    </w:p>
    <w:p w14:paraId="2382C492" w14:textId="77777777" w:rsidR="00A8138F" w:rsidRDefault="00A8138F" w:rsidP="00A8138F">
      <w:pPr>
        <w:pStyle w:val="Extracto"/>
      </w:pPr>
    </w:p>
    <w:p w14:paraId="1E537BF1"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4113C11C" w14:textId="227C86FE" w:rsidR="00A8138F" w:rsidRDefault="00A8138F" w:rsidP="00A8138F">
      <w:pPr>
        <w:pStyle w:val="TextoNormal"/>
      </w:pPr>
    </w:p>
    <w:p w14:paraId="6A2B3900" w14:textId="77777777" w:rsidR="00A8138F" w:rsidRDefault="00A8138F" w:rsidP="00A8138F">
      <w:pPr>
        <w:pStyle w:val="TextoNormalCentrado"/>
        <w:keepNext/>
      </w:pPr>
      <w:r>
        <w:t>EN NOMBRE DEL REY</w:t>
      </w:r>
    </w:p>
    <w:p w14:paraId="12AAD6A2" w14:textId="3EF8CF08" w:rsidR="00A8138F" w:rsidRDefault="00A8138F" w:rsidP="00A8138F">
      <w:pPr>
        <w:pStyle w:val="TextoNormalCentrado"/>
        <w:keepNext/>
      </w:pPr>
    </w:p>
    <w:p w14:paraId="259962AE" w14:textId="77777777" w:rsidR="00A8138F" w:rsidRDefault="00A8138F" w:rsidP="00A8138F">
      <w:pPr>
        <w:pStyle w:val="TextoNormalCentrado"/>
        <w:keepNext/>
      </w:pPr>
    </w:p>
    <w:p w14:paraId="6AC539BD" w14:textId="77777777" w:rsidR="00A8138F" w:rsidRDefault="00A8138F" w:rsidP="00A8138F">
      <w:pPr>
        <w:pStyle w:val="TextoNormal"/>
      </w:pPr>
      <w:r>
        <w:t>la siguiente</w:t>
      </w:r>
    </w:p>
    <w:p w14:paraId="3AC6E3FF" w14:textId="7B258DFE" w:rsidR="00A8138F" w:rsidRDefault="00A8138F" w:rsidP="00A8138F">
      <w:pPr>
        <w:pStyle w:val="TextoNormal"/>
      </w:pPr>
    </w:p>
    <w:p w14:paraId="212DCF00" w14:textId="77777777" w:rsidR="00A8138F" w:rsidRDefault="00A8138F" w:rsidP="00A8138F">
      <w:pPr>
        <w:pStyle w:val="TextoNormalCentrado"/>
        <w:keepNext/>
      </w:pPr>
      <w:r>
        <w:t>SENTENCIA</w:t>
      </w:r>
    </w:p>
    <w:p w14:paraId="09D76FE8" w14:textId="28ECD82C" w:rsidR="00A8138F" w:rsidRDefault="00A8138F" w:rsidP="00A8138F">
      <w:pPr>
        <w:pStyle w:val="TextoNormalCentrado"/>
        <w:keepNext/>
      </w:pPr>
    </w:p>
    <w:p w14:paraId="01117D9E" w14:textId="77777777" w:rsidR="00A8138F" w:rsidRDefault="00A8138F" w:rsidP="00A8138F">
      <w:pPr>
        <w:pStyle w:val="TextoNormal"/>
      </w:pPr>
      <w:r>
        <w:t xml:space="preserve">En el recurso de amparo núm. 4330-2023, promovido por doña J.G.V., actuando en nombre propio y en el de su hija menor de edad doña A.P.G., contra los autos de la Sala de lo Civil y Penal del Tribunal Superior de Justicia de Galicia, de 24 de abril de 2023 y 25 de </w:t>
      </w:r>
      <w:r>
        <w:lastRenderedPageBreak/>
        <w:t>mayo de 2023. Han intervenido el abogado del Estado, don José Manuel Estevao López, y el Ministerio Fiscal. Ha sido ponente el magistrado don Ricardo Enríquez Sancho.</w:t>
      </w:r>
    </w:p>
    <w:p w14:paraId="56D9CABB" w14:textId="3A30E6C2" w:rsidR="00A8138F" w:rsidRDefault="00A8138F" w:rsidP="00A8138F">
      <w:pPr>
        <w:pStyle w:val="TextoNormal"/>
      </w:pPr>
    </w:p>
    <w:p w14:paraId="3CAEB322" w14:textId="77777777" w:rsidR="00A8138F" w:rsidRDefault="00A8138F" w:rsidP="00A8138F">
      <w:pPr>
        <w:pStyle w:val="TextoNormalNegritaCentrado"/>
        <w:keepNext/>
      </w:pPr>
      <w:r>
        <w:t>I. Antecedentes</w:t>
      </w:r>
    </w:p>
    <w:p w14:paraId="37CE022D" w14:textId="75363C28" w:rsidR="00A8138F" w:rsidRDefault="00A8138F" w:rsidP="00A8138F">
      <w:pPr>
        <w:pStyle w:val="TextoNormalNegritaCentrado"/>
        <w:keepNext/>
      </w:pPr>
    </w:p>
    <w:p w14:paraId="2C3074F3" w14:textId="4EC123F3" w:rsidR="00A8138F" w:rsidRDefault="00A8138F" w:rsidP="00A8138F">
      <w:pPr>
        <w:pStyle w:val="TextoNormal"/>
      </w:pPr>
      <w:r w:rsidRPr="00A8138F">
        <w:rPr>
          <w:rStyle w:val="NumeroAFNegritaCaracter"/>
        </w:rPr>
        <w:t>1</w:t>
      </w:r>
      <w:r>
        <w:t>. Mediante escrito presentado en el registro general de este tribunal el 23 de junio de 2023, la procuradora de los tribunales doña Sara Leonis Parra, actuando en nombre y representación de doña J.G.V., y su hija menor doña A.P.G., bajo la defensa del letrado don Pablo Figueiras Reguera, interpuso demanda de amparo contra las resoluciones arriba mencionadas.</w:t>
      </w:r>
    </w:p>
    <w:p w14:paraId="58142257" w14:textId="77777777" w:rsidR="00A8138F" w:rsidRDefault="00A8138F" w:rsidP="00A8138F">
      <w:pPr>
        <w:pStyle w:val="TextoNormal"/>
      </w:pPr>
    </w:p>
    <w:p w14:paraId="58F588A2" w14:textId="77777777" w:rsidR="00A8138F" w:rsidRDefault="00A8138F" w:rsidP="00A8138F">
      <w:pPr>
        <w:pStyle w:val="TextoNormal"/>
      </w:pPr>
      <w:r w:rsidRPr="00A8138F">
        <w:rPr>
          <w:rStyle w:val="NumeroAFNegritaCaracter"/>
        </w:rPr>
        <w:t>2</w:t>
      </w:r>
      <w:r>
        <w:t>. Los hechos con relevancia para la resolución del presente recurso de amparo y a los que se refiere la demanda presentada, son los siguientes:</w:t>
      </w:r>
    </w:p>
    <w:p w14:paraId="11D5B17E" w14:textId="77777777" w:rsidR="00A8138F" w:rsidRDefault="00A8138F" w:rsidP="00A8138F">
      <w:pPr>
        <w:pStyle w:val="TextoNormal"/>
      </w:pPr>
    </w:p>
    <w:p w14:paraId="41F85788" w14:textId="77777777" w:rsidR="00A8138F" w:rsidRDefault="00A8138F" w:rsidP="00A8138F">
      <w:pPr>
        <w:pStyle w:val="TextoNormal"/>
      </w:pPr>
      <w:r>
        <w:t>a) El 20 de enero de 2022, la Sección Segunda de la Audiencia Provincial de Lugo dictó sentencia en el procedimiento ordinario 4-2021, en el que la recurrente J.G.V., y su hija A.P.G. (víctima del delito, que contaba con la edad de trece años a la fecha de los hechos) actuaron como acusación particular, con la siguiente parte dispositiva:</w:t>
      </w:r>
    </w:p>
    <w:p w14:paraId="6F2B22B3" w14:textId="77777777" w:rsidR="00A8138F" w:rsidRDefault="00A8138F" w:rsidP="00A8138F">
      <w:pPr>
        <w:pStyle w:val="TextoNormal"/>
      </w:pPr>
    </w:p>
    <w:p w14:paraId="302A2B5F" w14:textId="77777777" w:rsidR="00A8138F" w:rsidRDefault="00A8138F" w:rsidP="00A8138F">
      <w:pPr>
        <w:pStyle w:val="TextoNormal"/>
      </w:pPr>
      <w:r>
        <w:t>“Que condenamos al acusado José Manuel Estevao López como autor criminalmente responsable de un delito de agresión sexual a persona menor de dieciséis años del artículo 183, apartados 1, 2, 3 del Código penal a las siguientes penas:</w:t>
      </w:r>
    </w:p>
    <w:p w14:paraId="7D4FFA8F" w14:textId="77777777" w:rsidR="00A8138F" w:rsidRDefault="00A8138F" w:rsidP="00A8138F">
      <w:pPr>
        <w:pStyle w:val="TextoNormal"/>
      </w:pPr>
    </w:p>
    <w:p w14:paraId="327775CE" w14:textId="77777777" w:rsidR="00A8138F" w:rsidRDefault="00A8138F" w:rsidP="00A8138F">
      <w:pPr>
        <w:pStyle w:val="TextoNormal"/>
      </w:pPr>
      <w:r>
        <w:t>- Pena de prisión de doce años con la accesoria de inhabilitación absoluta durante el tiempo de la condena, conforme al artículo 55 del Código penal.</w:t>
      </w:r>
    </w:p>
    <w:p w14:paraId="0F7F05D9" w14:textId="77777777" w:rsidR="00A8138F" w:rsidRDefault="00A8138F" w:rsidP="00A8138F">
      <w:pPr>
        <w:pStyle w:val="TextoNormal"/>
      </w:pPr>
    </w:p>
    <w:p w14:paraId="2D9F40F1" w14:textId="77777777" w:rsidR="00A8138F" w:rsidRDefault="00A8138F" w:rsidP="00A8138F">
      <w:pPr>
        <w:pStyle w:val="TextoNormal"/>
      </w:pPr>
      <w:r>
        <w:t>- Prohibición de aproximarse a la víctima [A.P.G.] y de acudir o aproximarse a su domicilio o lugar de trabajo o estudio, en un radio de 500 metros, así como prohibición de comunicarse con ella por cualquier medio o por persona interpuesta, durante un plazo de catorce años.</w:t>
      </w:r>
    </w:p>
    <w:p w14:paraId="62914340" w14:textId="77777777" w:rsidR="00A8138F" w:rsidRDefault="00A8138F" w:rsidP="00A8138F">
      <w:pPr>
        <w:pStyle w:val="TextoNormal"/>
      </w:pPr>
    </w:p>
    <w:p w14:paraId="733AFB81" w14:textId="77777777" w:rsidR="00A8138F" w:rsidRDefault="00A8138F" w:rsidP="00A8138F">
      <w:pPr>
        <w:pStyle w:val="TextoNormal"/>
      </w:pPr>
      <w:r>
        <w:t>- Libertad vigilada durante un plazo de cinco años para su cumplimiento posterior a la pena privativa de libertad, (cuyo contenido se concretará conforme al artículo 106 y por el procedimiento previsto en el artículo 98, al que se remite el apartado 2 del artículo 106 del Código).</w:t>
      </w:r>
    </w:p>
    <w:p w14:paraId="0B359B7F" w14:textId="77777777" w:rsidR="00A8138F" w:rsidRDefault="00A8138F" w:rsidP="00A8138F">
      <w:pPr>
        <w:pStyle w:val="TextoNormal"/>
      </w:pPr>
    </w:p>
    <w:p w14:paraId="3B500679" w14:textId="77777777" w:rsidR="00A8138F" w:rsidRDefault="00A8138F" w:rsidP="00A8138F">
      <w:pPr>
        <w:pStyle w:val="TextoNormal"/>
      </w:pPr>
      <w:r>
        <w:t>- Pena de inhabilitación para los ejercicios de patria potestad, tutela, curatela, guardia y custodia así como acogimiento durante un periodo de cinco años.</w:t>
      </w:r>
    </w:p>
    <w:p w14:paraId="30A07562" w14:textId="77777777" w:rsidR="00A8138F" w:rsidRDefault="00A8138F" w:rsidP="00A8138F">
      <w:pPr>
        <w:pStyle w:val="TextoNormal"/>
      </w:pPr>
    </w:p>
    <w:p w14:paraId="5F2AB398" w14:textId="77777777" w:rsidR="00A8138F" w:rsidRDefault="00A8138F" w:rsidP="00A8138F">
      <w:pPr>
        <w:pStyle w:val="TextoNormal"/>
      </w:pPr>
      <w:r>
        <w:t>En concepto de responsabilidad civil el acusado indemnizará a [A.P.G.] en la cantidad de 30 000 € por los daños físicos y morales que le causó, y al SERGAS por las asistencias que se hayan prestado o presten a consecuencia de estos hechos a la víctima (y que actualmente s.e.u.o. ascienden a 1827,07 € - folio 567). Todo ello con los intereses conforme a los artículos 1108 del Código Civil y 576 de la LEC.</w:t>
      </w:r>
    </w:p>
    <w:p w14:paraId="0D015436" w14:textId="77777777" w:rsidR="00A8138F" w:rsidRDefault="00A8138F" w:rsidP="00A8138F">
      <w:pPr>
        <w:pStyle w:val="TextoNormal"/>
      </w:pPr>
    </w:p>
    <w:p w14:paraId="4B7383F7" w14:textId="77777777" w:rsidR="00A8138F" w:rsidRDefault="00A8138F" w:rsidP="00A8138F">
      <w:pPr>
        <w:pStyle w:val="TextoNormal"/>
      </w:pPr>
      <w:r>
        <w:t>Finalmente, imponemos al acusado el abono de las costas procesales que correspondan, incluidas las de la acusación particular”.</w:t>
      </w:r>
    </w:p>
    <w:p w14:paraId="26C72795" w14:textId="77777777" w:rsidR="00A8138F" w:rsidRDefault="00A8138F" w:rsidP="00A8138F">
      <w:pPr>
        <w:pStyle w:val="TextoNormal"/>
      </w:pPr>
    </w:p>
    <w:p w14:paraId="4F16A611" w14:textId="77777777" w:rsidR="00A8138F" w:rsidRDefault="00A8138F" w:rsidP="00A8138F">
      <w:pPr>
        <w:pStyle w:val="TextoNormal"/>
      </w:pPr>
      <w:r>
        <w:t>La sentencia fue rectificada mediante auto de la misma sección de enjuiciamiento el 18 de marzo de 2022 (se indica en él, de manera indebida, que fue dictado el 3 de enero de 2022), por error material en cuanto a la duración de la pena de inhabilitación para los ejercicios de patria potestad, tutela, curatela, guardia y custodia, así como acogimiento, fijándose esta en un año.</w:t>
      </w:r>
    </w:p>
    <w:p w14:paraId="62F4DC93" w14:textId="77777777" w:rsidR="00A8138F" w:rsidRDefault="00A8138F" w:rsidP="00A8138F">
      <w:pPr>
        <w:pStyle w:val="TextoNormal"/>
      </w:pPr>
    </w:p>
    <w:p w14:paraId="08FA6397" w14:textId="77777777" w:rsidR="00A8138F" w:rsidRDefault="00A8138F" w:rsidP="00A8138F">
      <w:pPr>
        <w:pStyle w:val="TextoNormal"/>
      </w:pPr>
      <w:r>
        <w:t>b) Por auto del mismo órgano judicial, de 18 de marzo de 2022, se acordó la firmeza de la sentencia de condena, abriéndose en la misma fecha la ejecutoria, núm. 14-2022, por decreto de la letrada de la administración de justicia.</w:t>
      </w:r>
    </w:p>
    <w:p w14:paraId="7CF2CC92" w14:textId="77777777" w:rsidR="00A8138F" w:rsidRDefault="00A8138F" w:rsidP="00A8138F">
      <w:pPr>
        <w:pStyle w:val="TextoNormal"/>
      </w:pPr>
    </w:p>
    <w:p w14:paraId="3385C3D7" w14:textId="77777777" w:rsidR="00A8138F" w:rsidRDefault="00A8138F" w:rsidP="00A8138F">
      <w:pPr>
        <w:pStyle w:val="TextoNormal"/>
      </w:pPr>
      <w:r>
        <w:t>c) La representación procesal del penado, en escrito firmado el 9 de diciembre de 2022, presentó al tribunal sentenciador una solicitud de revisión de todas las penas que le habían sido impuestas, al haberse producido la derogación del art. 183 del Código penal (CP) conforme al cual había sido condenado y su sustitución por el delito del art. 181 CP, en virtud de la entrada en vigor de la Ley Orgánica 10/2022, de 6 de septiembre, de garantía integral de la libertad sexual.</w:t>
      </w:r>
    </w:p>
    <w:p w14:paraId="5AF9D5C5" w14:textId="77777777" w:rsidR="00A8138F" w:rsidRDefault="00A8138F" w:rsidP="00A8138F">
      <w:pPr>
        <w:pStyle w:val="TextoNormal"/>
      </w:pPr>
    </w:p>
    <w:p w14:paraId="7A248843" w14:textId="77777777" w:rsidR="00A8138F" w:rsidRDefault="00A8138F" w:rsidP="00A8138F">
      <w:pPr>
        <w:pStyle w:val="TextoNormal"/>
      </w:pPr>
      <w:r>
        <w:t>d) En respuesta a lo pretendido, la Sección Segunda de la Audiencia Provincial de Lugo dictó auto el 13 de febrero de 2023 en la ejecutoria pieza individual del condenado núm. 14-2022; con la siguiente parte dispositiva:</w:t>
      </w:r>
    </w:p>
    <w:p w14:paraId="35860B12" w14:textId="77777777" w:rsidR="00A8138F" w:rsidRDefault="00A8138F" w:rsidP="00A8138F">
      <w:pPr>
        <w:pStyle w:val="TextoNormal"/>
      </w:pPr>
    </w:p>
    <w:p w14:paraId="6F2C0250" w14:textId="77777777" w:rsidR="00A8138F" w:rsidRDefault="00A8138F" w:rsidP="00A8138F">
      <w:pPr>
        <w:pStyle w:val="TextoNormal"/>
      </w:pPr>
      <w:r>
        <w:t>“La Sala acuerda:</w:t>
      </w:r>
    </w:p>
    <w:p w14:paraId="6D983F42" w14:textId="77777777" w:rsidR="00A8138F" w:rsidRDefault="00A8138F" w:rsidP="00A8138F">
      <w:pPr>
        <w:pStyle w:val="TextoNormal"/>
      </w:pPr>
    </w:p>
    <w:p w14:paraId="23DCEEA2" w14:textId="77777777" w:rsidR="00A8138F" w:rsidRDefault="00A8138F" w:rsidP="00A8138F">
      <w:pPr>
        <w:pStyle w:val="TextoNormal"/>
      </w:pPr>
      <w:r>
        <w:t>Revisar la sentencia de 20 de enero de 2022, rectificada por auto de 18 de marzo de 2022, por la que se condenó a José Manuel Estevao López como autor criminalmente responsable de un delito de agresión sexual a persona menor de dieciséis años, tipificado por el artículo 183 apartados 1, 2 y 3 del Código penal vigente a la fecha de los hechos, a las siguientes penas, en el sentido de que conforme a los artículos 181, apartados 1, 2 y 3 y 192.3 del Código penal vigente, conforme a la modificación operada por la Ley Orgánica 10/2022, de 6 de septiembre, de garantía integral de la libertad sexual, las nuevas penas a que queda sujeto dicho penado son las siguientes:</w:t>
      </w:r>
    </w:p>
    <w:p w14:paraId="4CBF81F1" w14:textId="77777777" w:rsidR="00A8138F" w:rsidRDefault="00A8138F" w:rsidP="00A8138F">
      <w:pPr>
        <w:pStyle w:val="TextoNormal"/>
      </w:pPr>
    </w:p>
    <w:p w14:paraId="271FAFDC" w14:textId="77777777" w:rsidR="00A8138F" w:rsidRDefault="00A8138F" w:rsidP="00A8138F">
      <w:pPr>
        <w:pStyle w:val="TextoNormal"/>
      </w:pPr>
      <w:r>
        <w:t>- Pena de prisión de diez años con la accesoria de inhabilitación absoluta durante el tiempo de la condena, conforme al artículo 55 del Código.</w:t>
      </w:r>
    </w:p>
    <w:p w14:paraId="72C63715" w14:textId="77777777" w:rsidR="00A8138F" w:rsidRDefault="00A8138F" w:rsidP="00A8138F">
      <w:pPr>
        <w:pStyle w:val="TextoNormal"/>
      </w:pPr>
    </w:p>
    <w:p w14:paraId="257E0EA9" w14:textId="77777777" w:rsidR="00A8138F" w:rsidRDefault="00A8138F" w:rsidP="00A8138F">
      <w:pPr>
        <w:pStyle w:val="TextoNormal"/>
      </w:pPr>
      <w:r>
        <w:t>- Prohibición de aproximarse a la víctima [A.P.G.] y de acudir o aproximarse a su domicilio o lugar de trabajo o estudio, en un radio de 500 metros, así como prohibición de comunicarse con ella por cualquier medio o por persona interpuesta, durante un plazo de doce años.</w:t>
      </w:r>
    </w:p>
    <w:p w14:paraId="128A0226" w14:textId="77777777" w:rsidR="00A8138F" w:rsidRDefault="00A8138F" w:rsidP="00A8138F">
      <w:pPr>
        <w:pStyle w:val="TextoNormal"/>
      </w:pPr>
    </w:p>
    <w:p w14:paraId="4DB94DB7" w14:textId="77777777" w:rsidR="00A8138F" w:rsidRDefault="00A8138F" w:rsidP="00A8138F">
      <w:pPr>
        <w:pStyle w:val="TextoNormal"/>
      </w:pPr>
      <w:r>
        <w:t>- Pena de inhabilitación especial para cualquier profesión. oficio o actividades, sean o no retribuidos, que conlleve contacto regular y directo con personas menores de edad, por un tiempo de quince años.</w:t>
      </w:r>
    </w:p>
    <w:p w14:paraId="3DCAB80D" w14:textId="77777777" w:rsidR="00A8138F" w:rsidRDefault="00A8138F" w:rsidP="00A8138F">
      <w:pPr>
        <w:pStyle w:val="TextoNormal"/>
      </w:pPr>
    </w:p>
    <w:p w14:paraId="58516B21" w14:textId="77777777" w:rsidR="00A8138F" w:rsidRDefault="00A8138F" w:rsidP="00A8138F">
      <w:pPr>
        <w:pStyle w:val="TextoNormal"/>
      </w:pPr>
      <w:r>
        <w:t>- Pena de inhabilitación para los ejercicios de patria potestad tutela, curatela, guardia y custodia, así como acogimiento durante un periodo de cuatro años. Se practicará un nuevo requerimiento, se realizará una nueva anotación en el Registro Civil y también una liquida</w:t>
      </w:r>
      <w:r>
        <w:lastRenderedPageBreak/>
        <w:t xml:space="preserve">ción de la condena, tomando como </w:t>
      </w:r>
      <w:r w:rsidRPr="00A8138F">
        <w:rPr>
          <w:i/>
        </w:rPr>
        <w:t>dies a quo</w:t>
      </w:r>
      <w:r>
        <w:t xml:space="preserve"> el del primer requerimiento (12 de abril de 2022).</w:t>
      </w:r>
    </w:p>
    <w:p w14:paraId="61A24B4B" w14:textId="77777777" w:rsidR="00A8138F" w:rsidRDefault="00A8138F" w:rsidP="00A8138F">
      <w:pPr>
        <w:pStyle w:val="TextoNormal"/>
      </w:pPr>
    </w:p>
    <w:p w14:paraId="76A728E9" w14:textId="77777777" w:rsidR="00A8138F" w:rsidRDefault="00A8138F" w:rsidP="00A8138F">
      <w:pPr>
        <w:pStyle w:val="TextoNormal"/>
      </w:pPr>
      <w:r>
        <w:t>El resto de los pronunciamientos se mantienen iguales:</w:t>
      </w:r>
    </w:p>
    <w:p w14:paraId="7EB68794" w14:textId="77777777" w:rsidR="00A8138F" w:rsidRDefault="00A8138F" w:rsidP="00A8138F">
      <w:pPr>
        <w:pStyle w:val="TextoNormal"/>
      </w:pPr>
    </w:p>
    <w:p w14:paraId="3F3186F0" w14:textId="77777777" w:rsidR="00A8138F" w:rsidRDefault="00A8138F" w:rsidP="00A8138F">
      <w:pPr>
        <w:pStyle w:val="TextoNormal"/>
      </w:pPr>
      <w:r>
        <w:t>- Libertad vigilada durante un plazo de cinco años para su cumplimiento posterior a la pena privativa de libertad (de diez años, cuyo contenido se concretará conforme al artículo 106 y por el procedimiento previsto en el artículo 98, al que se remite el apartado 2 del artículo 106 del Código).</w:t>
      </w:r>
    </w:p>
    <w:p w14:paraId="621BC729" w14:textId="77777777" w:rsidR="00A8138F" w:rsidRDefault="00A8138F" w:rsidP="00A8138F">
      <w:pPr>
        <w:pStyle w:val="TextoNormal"/>
      </w:pPr>
    </w:p>
    <w:p w14:paraId="06032171" w14:textId="77777777" w:rsidR="00A8138F" w:rsidRDefault="00A8138F" w:rsidP="00A8138F">
      <w:pPr>
        <w:pStyle w:val="TextoNormal"/>
      </w:pPr>
      <w:r>
        <w:t>- En concepto de responsabilidad civil, indemnizar a [A.P.G.] en la cantidad de 30 000 € por los daños físicos y morales que le causó, y al SERGAS por las asistencias que se hayan prestado o presten a consecuencia de estos hechos a la víctima (s.e.u.o 1827,07 € - folio 567). Todo ello con los intereses conforme a los artículos 1108 del Código Civil y 576 de la LEC.</w:t>
      </w:r>
    </w:p>
    <w:p w14:paraId="03BF98D4" w14:textId="77777777" w:rsidR="00A8138F" w:rsidRDefault="00A8138F" w:rsidP="00A8138F">
      <w:pPr>
        <w:pStyle w:val="TextoNormal"/>
      </w:pPr>
    </w:p>
    <w:p w14:paraId="4CA0C539" w14:textId="77777777" w:rsidR="00A8138F" w:rsidRDefault="00A8138F" w:rsidP="00A8138F">
      <w:pPr>
        <w:pStyle w:val="TextoNormal"/>
      </w:pPr>
      <w:r>
        <w:t>- El abono de las costas procesales que correspondan, incluidas las de la acusación particular.</w:t>
      </w:r>
    </w:p>
    <w:p w14:paraId="78B227C4" w14:textId="77777777" w:rsidR="00A8138F" w:rsidRDefault="00A8138F" w:rsidP="00A8138F">
      <w:pPr>
        <w:pStyle w:val="TextoNormal"/>
      </w:pPr>
    </w:p>
    <w:p w14:paraId="46BAA19D" w14:textId="77777777" w:rsidR="00A8138F" w:rsidRDefault="00A8138F" w:rsidP="00A8138F">
      <w:pPr>
        <w:pStyle w:val="TextoNormal"/>
      </w:pPr>
      <w:r>
        <w:t>Notifíquese el presente auto al Ministerio Fiscal y a las demás partes personadas y de modo personal al penado, con instrucción de que contra este cabe interponer recurso de apelación ante esta Audiencia para ante la Sala de lo Civil y Penal del Tribunal Superior de Justicia dentro de los diez días siguientes a la última notificación de la presente resolución”.</w:t>
      </w:r>
    </w:p>
    <w:p w14:paraId="4C4A4039" w14:textId="77777777" w:rsidR="00A8138F" w:rsidRDefault="00A8138F" w:rsidP="00A8138F">
      <w:pPr>
        <w:pStyle w:val="TextoNormal"/>
      </w:pPr>
    </w:p>
    <w:p w14:paraId="66B92138" w14:textId="77777777" w:rsidR="00A8138F" w:rsidRDefault="00A8138F" w:rsidP="00A8138F">
      <w:pPr>
        <w:pStyle w:val="TextoNormal"/>
      </w:pPr>
      <w:r>
        <w:t>Acompaña al auto un voto particular de una magistrada de la Sección, contrario a la revisión de las penas al haberse alcanzado una conformidad entre las partes respecto de las que le fueron impuestas al acusado en la sentencia de condena.</w:t>
      </w:r>
    </w:p>
    <w:p w14:paraId="126B8A0D" w14:textId="77777777" w:rsidR="00A8138F" w:rsidRDefault="00A8138F" w:rsidP="00A8138F">
      <w:pPr>
        <w:pStyle w:val="TextoNormal"/>
      </w:pPr>
    </w:p>
    <w:p w14:paraId="7F74080F" w14:textId="77777777" w:rsidR="00A8138F" w:rsidRDefault="00A8138F" w:rsidP="00A8138F">
      <w:pPr>
        <w:pStyle w:val="TextoNormal"/>
      </w:pPr>
      <w:r>
        <w:t xml:space="preserve">e) La representante procesal de la acusación particular presentó escrito firmado el 1 de marzo de 2023, dirigido “[a] la Ilma. Audiencia Provincial de Lugo para ante la Sala de lo Penal y Civil del Tribunal Superior de Justicia de Galicia”, por el que interpuso recurso de apelación contra el anterior auto de 13 de febrero de 2023, interesando su revocación y que se acordase por la Sala </w:t>
      </w:r>
      <w:r w:rsidRPr="00A8138F">
        <w:rPr>
          <w:i/>
        </w:rPr>
        <w:t>ad quem</w:t>
      </w:r>
      <w:r>
        <w:t xml:space="preserve"> no haber lugar a la revisión de la sentencia de 20 de enero de 2022.</w:t>
      </w:r>
    </w:p>
    <w:p w14:paraId="6806183C" w14:textId="77777777" w:rsidR="00A8138F" w:rsidRDefault="00A8138F" w:rsidP="00A8138F">
      <w:pPr>
        <w:pStyle w:val="TextoNormal"/>
      </w:pPr>
    </w:p>
    <w:p w14:paraId="3650B08C" w14:textId="77777777" w:rsidR="00A8138F" w:rsidRDefault="00A8138F" w:rsidP="00A8138F">
      <w:pPr>
        <w:pStyle w:val="TextoNormal"/>
      </w:pPr>
      <w:r>
        <w:t>f) La Sala de lo Civil y Penal del Tribunal Superior de Justicia de Galicia dictó auto el 24 de abril de 2023 en el rollo de apelación 32-2023, proveyendo a lo solicitado.</w:t>
      </w:r>
    </w:p>
    <w:p w14:paraId="01A16ACF" w14:textId="77777777" w:rsidR="00A8138F" w:rsidRDefault="00A8138F" w:rsidP="00A8138F">
      <w:pPr>
        <w:pStyle w:val="TextoNormal"/>
      </w:pPr>
    </w:p>
    <w:p w14:paraId="007F0EB7" w14:textId="77777777" w:rsidR="00A8138F" w:rsidRDefault="00A8138F" w:rsidP="00A8138F">
      <w:pPr>
        <w:pStyle w:val="TextoNormal"/>
      </w:pPr>
      <w:r>
        <w:t>(i) La parte dispositiva del auto fue la siguiente:</w:t>
      </w:r>
    </w:p>
    <w:p w14:paraId="0F3927F9" w14:textId="77777777" w:rsidR="00A8138F" w:rsidRDefault="00A8138F" w:rsidP="00A8138F">
      <w:pPr>
        <w:pStyle w:val="TextoNormal"/>
      </w:pPr>
    </w:p>
    <w:p w14:paraId="6CC576A8" w14:textId="77777777" w:rsidR="00A8138F" w:rsidRDefault="00A8138F" w:rsidP="00A8138F">
      <w:pPr>
        <w:pStyle w:val="TextoNormal"/>
      </w:pPr>
      <w:r>
        <w:t>“La Sala acuerda: inadmitir el recurso de apelación interpuesto por la procuradora doña María Fe Eiré Vázquez, actuando en nombre y representación de [A.P.G.], representada por su madre [J.G.V.] contra el auto de fecha 13 de febrero de 2023 dictado por la Sección Segunda de la Audiencia Provincial de Lugo en el rollo 4-2021, ejecutoria 14-2022.</w:t>
      </w:r>
    </w:p>
    <w:p w14:paraId="5BB88F51" w14:textId="77777777" w:rsidR="00A8138F" w:rsidRDefault="00A8138F" w:rsidP="00A8138F">
      <w:pPr>
        <w:pStyle w:val="TextoNormal"/>
      </w:pPr>
    </w:p>
    <w:p w14:paraId="23E5BC52" w14:textId="77777777" w:rsidR="00A8138F" w:rsidRDefault="00A8138F" w:rsidP="00A8138F">
      <w:pPr>
        <w:pStyle w:val="TextoNormal"/>
      </w:pPr>
      <w:r>
        <w:t>Contra este auto cabe recurso de súplica.</w:t>
      </w:r>
    </w:p>
    <w:p w14:paraId="386401AF" w14:textId="77777777" w:rsidR="00A8138F" w:rsidRDefault="00A8138F" w:rsidP="00A8138F">
      <w:pPr>
        <w:pStyle w:val="TextoNormal"/>
      </w:pPr>
    </w:p>
    <w:p w14:paraId="55857F73" w14:textId="77777777" w:rsidR="00A8138F" w:rsidRDefault="00A8138F" w:rsidP="00A8138F">
      <w:pPr>
        <w:pStyle w:val="TextoNormal"/>
      </w:pPr>
      <w:r>
        <w:t>Notifíquese a las partes y póngase en conocimiento de la mencionada Audiencia”.</w:t>
      </w:r>
    </w:p>
    <w:p w14:paraId="61CC76AE" w14:textId="77777777" w:rsidR="00A8138F" w:rsidRDefault="00A8138F" w:rsidP="00A8138F">
      <w:pPr>
        <w:pStyle w:val="TextoNormal"/>
      </w:pPr>
    </w:p>
    <w:p w14:paraId="09DE972B" w14:textId="77777777" w:rsidR="00A8138F" w:rsidRDefault="00A8138F" w:rsidP="00A8138F">
      <w:pPr>
        <w:pStyle w:val="TextoNormal"/>
      </w:pPr>
      <w:r>
        <w:t>(ii) Los razonamientos jurídicos que condujeron a la Sala a esta decisión fueron los siguientes:</w:t>
      </w:r>
    </w:p>
    <w:p w14:paraId="08328034" w14:textId="77777777" w:rsidR="00A8138F" w:rsidRDefault="00A8138F" w:rsidP="00A8138F">
      <w:pPr>
        <w:pStyle w:val="TextoNormal"/>
      </w:pPr>
    </w:p>
    <w:p w14:paraId="04DFDC2D" w14:textId="77777777" w:rsidR="00A8138F" w:rsidRDefault="00A8138F" w:rsidP="00A8138F">
      <w:pPr>
        <w:pStyle w:val="TextoNormal"/>
      </w:pPr>
      <w:r>
        <w:t>“Primero.- A partir de la Ley Orgánica 10/1995, de 23 de noviembre, del Código penal, el legislador estatal, que en tantas ocasiones lo reformó al igual que en no menor medida reformó la Ley de enjuiciamiento criminal, singularmente mediante la Ley 41/2015, de 5 de octubre, rehusó sin embargo establecer un régimen de impugnabilidad de los autos de revisión —o de no revisión— de una sentencia firme como consecuencia de la entrada en vigor de una legislación más favorable.</w:t>
      </w:r>
    </w:p>
    <w:p w14:paraId="13B0739C" w14:textId="77777777" w:rsidR="00A8138F" w:rsidRDefault="00A8138F" w:rsidP="00A8138F">
      <w:pPr>
        <w:pStyle w:val="TextoNormal"/>
      </w:pPr>
    </w:p>
    <w:p w14:paraId="5CA007EB" w14:textId="77777777" w:rsidR="00A8138F" w:rsidRDefault="00A8138F" w:rsidP="00A8138F">
      <w:pPr>
        <w:pStyle w:val="TextoNormal"/>
      </w:pPr>
      <w:r>
        <w:t>Es indudable que bien pudo haber establecido tal régimen de recurribilidad, pero el caso es que lo obvió. Y no sería ello debido a la carencia de precedentes: el párrafo tercero de la disposición transitoria de la Ley Orgánica 8/1983, de 25 de junio, de reforma urgente y parcial del Código Penal, predicó la susceptibilidad de los autos dictados por un juzgado o por una audiencia resolviendo sobre la revisión para ser recurridos respectivamente en apelación o en casación. No habremos de insistir en que en la Ley Orgánica 10/2022, de 6 de septiembre, de garantía integral de la libertad sexual, tampoco se encuentra rastro de la —en concreto— apelabilidad de los susodichos autos de revisión o de no revisión de una Audiencia ante las Salas de lo Civil y Penal de los Tribunales Superiores de Justicia.</w:t>
      </w:r>
    </w:p>
    <w:p w14:paraId="3A486298" w14:textId="77777777" w:rsidR="00A8138F" w:rsidRDefault="00A8138F" w:rsidP="00A8138F">
      <w:pPr>
        <w:pStyle w:val="TextoNormal"/>
      </w:pPr>
    </w:p>
    <w:p w14:paraId="42229451" w14:textId="77777777" w:rsidR="00A8138F" w:rsidRDefault="00A8138F" w:rsidP="00A8138F">
      <w:pPr>
        <w:pStyle w:val="TextoNormal"/>
      </w:pPr>
      <w:r>
        <w:t xml:space="preserve">Podrá estimarse que el régimen establecido en la precitada Ley Orgánica 8/1983 resulta más lógico y coherente que el actualmente vigente en el que en rigor los autos de una audiencia recaídos en torno a la revisión o no revisión (e incluso aquellos en que se acuerda no abrir ese incidente por considerarlo improcedente), son únicamente susceptibles de recurso de súplica </w:t>
      </w:r>
      <w:r w:rsidRPr="00A8138F">
        <w:rPr>
          <w:i/>
        </w:rPr>
        <w:t>ex</w:t>
      </w:r>
      <w:r>
        <w:t xml:space="preserve"> artículo 236 LECrim si se trata —como en el caso— de la decisión de una audiencia. Más coherente y lógico en principio, pero no tanto a la postre si reparamos en que en particular el auto que modifica una sentencia firme mal que bien puede entenderse que la complementa por cuanto complementar una resolución es incompatible con modificar o rectificar ‘lo que hubiere acordado’ (argument</w:t>
      </w:r>
      <w:r w:rsidRPr="00A8138F">
        <w:rPr>
          <w:i/>
        </w:rPr>
        <w:t xml:space="preserve">o </w:t>
      </w:r>
      <w:r>
        <w:t>ex artículo 215.3 LEC, invocabl</w:t>
      </w:r>
      <w:r w:rsidRPr="00A8138F">
        <w:rPr>
          <w:i/>
        </w:rPr>
        <w:t xml:space="preserve">e </w:t>
      </w:r>
      <w:r>
        <w:t>ex artículo 4 LEC).</w:t>
      </w:r>
    </w:p>
    <w:p w14:paraId="07BEAF6A" w14:textId="77777777" w:rsidR="00A8138F" w:rsidRDefault="00A8138F" w:rsidP="00A8138F">
      <w:pPr>
        <w:pStyle w:val="TextoNormal"/>
      </w:pPr>
    </w:p>
    <w:p w14:paraId="78EC2174" w14:textId="77777777" w:rsidR="00A8138F" w:rsidRDefault="00A8138F" w:rsidP="00A8138F">
      <w:pPr>
        <w:pStyle w:val="TextoNormal"/>
      </w:pPr>
      <w:r>
        <w:t>Segundo.- Sea como fuere, lo cierto e indudable es que la realidad normativa vigente excluye cualquier recurso devolutivo contra los autos en cuestión o, si se prefiere, el legislador, pudiéndolo haber previsto, no lo previó.</w:t>
      </w:r>
    </w:p>
    <w:p w14:paraId="5DD414E2" w14:textId="77777777" w:rsidR="00A8138F" w:rsidRDefault="00A8138F" w:rsidP="00A8138F">
      <w:pPr>
        <w:pStyle w:val="TextoNormal"/>
      </w:pPr>
    </w:p>
    <w:p w14:paraId="2C5EBDC0" w14:textId="77777777" w:rsidR="00A8138F" w:rsidRDefault="00A8138F" w:rsidP="00A8138F">
      <w:pPr>
        <w:pStyle w:val="TextoNormal"/>
      </w:pPr>
      <w:r>
        <w:t xml:space="preserve">En este sentido, ignoramos cuál es la cobertura, no siendo la existente propiamente legal, a la que se acoge el apelado auto revisor de condena dictado por la Audiencia para haber indicado a las partes que contra el mismo se podía interponer recurso de apelación sujeto al conocimiento de esta Sala de lo Civil y Penal. Podemos dar por supuesto que esa cobertura es implícitamente jurisprudencial del mismo modo que lo es, de manera expresa, para el Ministerio Fiscal en algún informe emitido previamente acerca de nuestra competencia para conocer del recurso de apelación interpuesto; informe en el que, al margen de la mera cita del artículo 846 </w:t>
      </w:r>
      <w:r w:rsidRPr="00A8138F">
        <w:rPr>
          <w:i/>
        </w:rPr>
        <w:t>ter</w:t>
      </w:r>
      <w:r>
        <w:t xml:space="preserve"> LECrim, se sostiene dicha competencia sobre la base de un ‘criterio jurisprudencial consolidado’ por la Sala Segunda del Tribunal Supremo y muy en especial sobre la base de una de las directrices (la 9 del apartado tercero) del Decreto de la Fiscalía General del Estado de 21 de noviembre de 2022; directriz reducida a invocar y transcribir parte de la STS 606/2018, de 28 de noviembre, a los efectos de asegurar que ‘contra las </w:t>
      </w:r>
      <w:r>
        <w:lastRenderedPageBreak/>
        <w:t>resoluciones resolviendo la revisión de las sentencias condenatorias firmes podrán interponerse los mismos recursos que, en su caso, cabrían contra la sentencia condenatoria’.</w:t>
      </w:r>
    </w:p>
    <w:p w14:paraId="6D9A4AA2" w14:textId="77777777" w:rsidR="00A8138F" w:rsidRDefault="00A8138F" w:rsidP="00A8138F">
      <w:pPr>
        <w:pStyle w:val="TextoNormal"/>
      </w:pPr>
    </w:p>
    <w:p w14:paraId="67032AA3" w14:textId="77777777" w:rsidR="00A8138F" w:rsidRDefault="00A8138F" w:rsidP="00A8138F">
      <w:pPr>
        <w:pStyle w:val="TextoNormal"/>
      </w:pPr>
      <w:r>
        <w:t>El respeto que, como es natural y obligado, nos merece semejante criterio, no nos ha de conducir a asumirlo so pena, en caso contrario, de vincularnos a la viabilidad jurisprudencial, pero no legal, de un recurso de apelación, máxime cuando la Sala Segunda, en la precitada sentencia de referencia, reconoce, en primer lugar, que el legislador (a partir de 1995) no ha ‘aclarado’ el régimen de impugnabilidad de los autos de revisión o no revisión que nos ocupan; en segundo lugar, que ‘la proyección del régimen general de la ley procesal penal arrastraría a un escenario en que solo sería factible un recurso de súplica si se trata —como es el caso— de una audiencia’; y, en tercer lugar, que la tesis del propio Tribunal Supremo en orden a la apelabilidad de esas resoluciones de una audiencia ante el Tribunal Superior de Justicia, antes de la ulterior casación, carece de ‘explícito soporte legal’.</w:t>
      </w:r>
    </w:p>
    <w:p w14:paraId="0F341DA8" w14:textId="77777777" w:rsidR="00A8138F" w:rsidRDefault="00A8138F" w:rsidP="00A8138F">
      <w:pPr>
        <w:pStyle w:val="TextoNormal"/>
      </w:pPr>
    </w:p>
    <w:p w14:paraId="4A855646" w14:textId="77777777" w:rsidR="00A8138F" w:rsidRDefault="00A8138F" w:rsidP="00A8138F">
      <w:pPr>
        <w:pStyle w:val="TextoNormal"/>
      </w:pPr>
      <w:r>
        <w:t xml:space="preserve">Carece, entendemos, de soporte legal, y para percatarse de ello no hay más que atender al competencialmente determinante artículo 846.1 </w:t>
      </w:r>
      <w:r w:rsidRPr="00A8138F">
        <w:rPr>
          <w:i/>
        </w:rPr>
        <w:t>ter</w:t>
      </w:r>
      <w:r>
        <w:t xml:space="preserve"> LECrim y a confrontarlo, </w:t>
      </w:r>
      <w:r w:rsidRPr="00A8138F">
        <w:rPr>
          <w:i/>
        </w:rPr>
        <w:t>v.gr.</w:t>
      </w:r>
      <w:r>
        <w:t xml:space="preserve">, con el artículo 999 LECrim. En definitiva, habrá que convenir que la indicada apelabilidad, jurisprudencialmente reconocida, pugna a su vez con la previsión legal </w:t>
      </w:r>
      <w:r w:rsidRPr="00A8138F">
        <w:rPr>
          <w:i/>
        </w:rPr>
        <w:t>ex</w:t>
      </w:r>
      <w:r>
        <w:t xml:space="preserve"> artículo 236 LECrim tocante a que el recurso de apelación contra los autos de los tribunales de lo criminal podrá interponerse ‘únicamente en aquellos casos expresamente previstos en la ley’”.</w:t>
      </w:r>
    </w:p>
    <w:p w14:paraId="05B8D49B" w14:textId="77777777" w:rsidR="00A8138F" w:rsidRDefault="00A8138F" w:rsidP="00A8138F">
      <w:pPr>
        <w:pStyle w:val="TextoNormal"/>
      </w:pPr>
    </w:p>
    <w:p w14:paraId="31FE17D1" w14:textId="77777777" w:rsidR="00A8138F" w:rsidRDefault="00A8138F" w:rsidP="00A8138F">
      <w:pPr>
        <w:pStyle w:val="TextoNormal"/>
      </w:pPr>
      <w:r>
        <w:t>g) La representación procesal de la acusación particular presentó escrito firmado el 3 de mayo de 2023 por el que promovió recurso de súplica contra el anterior auto de 24 de abril de 2023, interesando del Tribunal Superior de Justicia que revocara este último, dictando otro por el que acordarse admitir el recurso de apelación, “resolviendo en cuanto al fondo de lo planteado en el mismo por esta parte”.</w:t>
      </w:r>
    </w:p>
    <w:p w14:paraId="07CB2D9F" w14:textId="77777777" w:rsidR="00A8138F" w:rsidRDefault="00A8138F" w:rsidP="00A8138F">
      <w:pPr>
        <w:pStyle w:val="TextoNormal"/>
      </w:pPr>
    </w:p>
    <w:p w14:paraId="69B5EC7A" w14:textId="77777777" w:rsidR="00A8138F" w:rsidRDefault="00A8138F" w:rsidP="00A8138F">
      <w:pPr>
        <w:pStyle w:val="TextoNormal"/>
      </w:pPr>
      <w:r>
        <w:t>Fundó dicha pretensión, además de en argumentos de legalidad ordinaria, en que la resolución impugnada vulnera el artículo 24.1 CE, entre otras cosas en su manifestación de “derecho de acceso a los recursos legalmente establecidos”, por cuanto es claro “que el legislador y la Constitución otorgan el derecho a que las decisiones judiciales puedan ser objeto de revisión en el término más amplio del término, permítasenos la expresión; y que por tanto, puedan ser objeto de revisión, corrección o consideración por un tribunal superior. Y lo que está claro, es que este tipo de resolución, con la importancia que tiene, pues nada menos que modifica una sentencia penal firme, no ha de ser menos. Y lo que consideramos evidente, es que ni [el] legislador ni la Constitución pretenden excluir de posibilidad de revisión un acto o resolución de tal calado como esta. Pues de ser así, habrían excluido expresamente esta posibilidad para este tipo de autos, cosa que no han hecho, puesto que a nuestro entender además, sería ilegal, pues se vedaría a esta parte de su legítimo derecho de revisión de una resolución judicial injusta”. Ya al final del escrito se dice que “entendemos que es intención del legislador, y en todo caso de nuestro Tribunal Supremo y Tribunal Constitucional, ser flexibles y conceder la posibilidad de recurso en caso de oscuridad normativa, y no al contrario, esto es vetar tales posibilidades”.</w:t>
      </w:r>
    </w:p>
    <w:p w14:paraId="7B3811C2" w14:textId="77777777" w:rsidR="00A8138F" w:rsidRDefault="00A8138F" w:rsidP="00A8138F">
      <w:pPr>
        <w:pStyle w:val="TextoNormal"/>
      </w:pPr>
    </w:p>
    <w:p w14:paraId="7E96A550" w14:textId="77777777" w:rsidR="00A8138F" w:rsidRDefault="00A8138F" w:rsidP="00A8138F">
      <w:pPr>
        <w:pStyle w:val="TextoNormal"/>
      </w:pPr>
      <w:r>
        <w:t xml:space="preserve">Admitido el recurso de súplica y abierto el trámite de alegaciones, el Ministerio Fiscal personado en la ejecutoria presentó escrito de fecha 5 de mayo de 2023 por el que interesó su estimación, citando en su apoyo diversas resoluciones de otros tribunales superiores de justicia, así como la STS 606/2018, de 28 de noviembre, de la Sala de lo Penal del Tribunal </w:t>
      </w:r>
      <w:r>
        <w:lastRenderedPageBreak/>
        <w:t>Supremo (ECLI:ES:TS:2018:4071), favorables a conceder la posibilidad de recurso devolutivo contra las resoluciones que revisan sentencias de condena penal, tras un cambio legislativo que pudiera ser favorable al reo.</w:t>
      </w:r>
    </w:p>
    <w:p w14:paraId="61DCA0E9" w14:textId="77777777" w:rsidR="00A8138F" w:rsidRDefault="00A8138F" w:rsidP="00A8138F">
      <w:pPr>
        <w:pStyle w:val="TextoNormal"/>
      </w:pPr>
    </w:p>
    <w:p w14:paraId="18B00778" w14:textId="77777777" w:rsidR="00A8138F" w:rsidRDefault="00A8138F" w:rsidP="00A8138F">
      <w:pPr>
        <w:pStyle w:val="TextoNormal"/>
      </w:pPr>
      <w:r>
        <w:t>h) La Sala competente dictó auto el 25 de mayo de 2023 desestimando el recurso de súplica. En sus fundamentos de Derecho expresa lo siguiente:</w:t>
      </w:r>
    </w:p>
    <w:p w14:paraId="126D4347" w14:textId="77777777" w:rsidR="00A8138F" w:rsidRDefault="00A8138F" w:rsidP="00A8138F">
      <w:pPr>
        <w:pStyle w:val="TextoNormal"/>
      </w:pPr>
    </w:p>
    <w:p w14:paraId="13198A1F" w14:textId="77777777" w:rsidR="00A8138F" w:rsidRDefault="00A8138F" w:rsidP="00A8138F">
      <w:pPr>
        <w:pStyle w:val="TextoNormal"/>
      </w:pPr>
      <w:r>
        <w:t>«Primero.- El Ministerio Fiscal en su recurso cita abundantes resoluciones disímiles con la nuestra de otros tribunales superiores de justicia y del Tribunal Supremo y pone de manifiesto su conformidad con lo que prescribe a los señores fiscales la Fiscalía General del Estado, pero no rebate específicamente las razones en las que se ha basado la Sala para acordar lo que consideramos en el auto de 24 de abril de 2023, remitiéndonos a lo en él expuesto ante la ausencia por su parte de nuevos argumentos.</w:t>
      </w:r>
    </w:p>
    <w:p w14:paraId="54EB2585" w14:textId="77777777" w:rsidR="00A8138F" w:rsidRDefault="00A8138F" w:rsidP="00A8138F">
      <w:pPr>
        <w:pStyle w:val="TextoNormal"/>
      </w:pPr>
    </w:p>
    <w:p w14:paraId="7BFBEBF7" w14:textId="77777777" w:rsidR="00A8138F" w:rsidRDefault="00A8138F" w:rsidP="00A8138F">
      <w:pPr>
        <w:pStyle w:val="TextoNormal"/>
      </w:pPr>
      <w:r>
        <w:t>Segundo.- La otra parte recurrente cita el artículo 24.1 de la Constitución, que establece el derecho a la tutela judicial efectiva e incluye y otorga, a su juicio, el derecho de acceso a los recursos legalmente establecidos a las partes interesadas en un proceso judicial.</w:t>
      </w:r>
    </w:p>
    <w:p w14:paraId="120728C9" w14:textId="77777777" w:rsidR="00A8138F" w:rsidRDefault="00A8138F" w:rsidP="00A8138F">
      <w:pPr>
        <w:pStyle w:val="TextoNormal"/>
      </w:pPr>
    </w:p>
    <w:p w14:paraId="5E3B50C3" w14:textId="77777777" w:rsidR="00A8138F" w:rsidRDefault="00A8138F" w:rsidP="00A8138F">
      <w:pPr>
        <w:pStyle w:val="TextoNormal"/>
      </w:pPr>
      <w:r>
        <w:t>Considera así que el legislador y la Constitución otorgan el derecho a que las decisiones judiciales puedan ser objeto de revisión ampliamente y que, por tanto, puedan ser objeto de revisión, corrección o consideración por un tribunal superior. “Y lo que está claro, es que este tipo de resolución, con la importancia que tiene, pues nada menos que modifica una sentencia penal firme, no ha de ser menos”.</w:t>
      </w:r>
    </w:p>
    <w:p w14:paraId="328E92EA" w14:textId="77777777" w:rsidR="00A8138F" w:rsidRDefault="00A8138F" w:rsidP="00A8138F">
      <w:pPr>
        <w:pStyle w:val="TextoNormal"/>
      </w:pPr>
    </w:p>
    <w:p w14:paraId="3138AA36" w14:textId="77777777" w:rsidR="00A8138F" w:rsidRDefault="00A8138F" w:rsidP="00A8138F">
      <w:pPr>
        <w:pStyle w:val="TextoNormal"/>
      </w:pPr>
      <w:r>
        <w:t>Precisamente lo que no está es claro y, si tanta importancia tiene, quizás el legislador debiera haber incluido un recurso para tan trascendental cuestión, pero no lo ha hecho. “No ha de ser menos” es una valoración, un anhelo, un desiderátum, pero no una realidad.</w:t>
      </w:r>
    </w:p>
    <w:p w14:paraId="5EA1DF9F" w14:textId="77777777" w:rsidR="00A8138F" w:rsidRDefault="00A8138F" w:rsidP="00A8138F">
      <w:pPr>
        <w:pStyle w:val="TextoNormal"/>
      </w:pPr>
    </w:p>
    <w:p w14:paraId="515E18D2" w14:textId="77777777" w:rsidR="00A8138F" w:rsidRDefault="00A8138F" w:rsidP="00A8138F">
      <w:pPr>
        <w:pStyle w:val="TextoNormal"/>
      </w:pPr>
      <w:r>
        <w:t>Lo que es indudable es que nuestra resolución de fecha 24 de abril de 2023 explica pormenorizadamente los motivos por los que entendemos que no cabe un recurso no previsto legalmente por mucho que pudiera ser razonable que la ley sí lo previera. De hecho, cuando el legislador quiere reformar una ley (sustantiva o adjetiva) lo hace con la amplitud deseada, y la incesante actividad legislativa de nuestro Parlamento en la última época da buena muestra de ello. Si hubiera querido modificar el régimen de recursos existente frente a las resoluciones de las audiencias bastaba con haberlo hecho, máxime cuando se reformó el Código penal y era evidente que se iban a producir unas revisiones de condena que beneficiarían a una de las partes y perjudicarían a otra.</w:t>
      </w:r>
    </w:p>
    <w:p w14:paraId="53184CD4" w14:textId="77777777" w:rsidR="00A8138F" w:rsidRDefault="00A8138F" w:rsidP="00A8138F">
      <w:pPr>
        <w:pStyle w:val="TextoNormal"/>
      </w:pPr>
    </w:p>
    <w:p w14:paraId="52B9D2FE" w14:textId="77777777" w:rsidR="00A8138F" w:rsidRDefault="00A8138F" w:rsidP="00A8138F">
      <w:pPr>
        <w:pStyle w:val="TextoNormal"/>
      </w:pPr>
      <w:r>
        <w:t>Tercero.- Se nos dice en segundo lugar que “el recurso de apelación frente al auto de revisión tiene perfecto encaje en el artículo 846 de la LECrim, pues si el auto modifica una sentencia firme, dicho auto ha de tener el mismo recurso que dicha sentencia que está modificando, esto es el recurso de apelación ante el Tribunal Superior de Justicia. A mayor abundamiento, no existiendo ‘prohibición’ expresa por el legislador, ha de entenderse que cabe dicho recurso, y ello precisamente en aras a hacer valer el derecho de tutela judicial efectiva; y no realizarse, permítasenos la expresión, una interpretación tan restrictiva como la realizada por la Sala, pues entendemos que, en un caso de ‘oscuridad normativa’ como el presente, ha de primar el derecho a revisión de una resolución judicial que consideramos injusta, más que a vetar tal derecho por falta de una mayor aclaración (que no prohibición)”.</w:t>
      </w:r>
    </w:p>
    <w:p w14:paraId="60DF644E" w14:textId="77777777" w:rsidR="00A8138F" w:rsidRDefault="00A8138F" w:rsidP="00A8138F">
      <w:pPr>
        <w:pStyle w:val="TextoNormal"/>
      </w:pPr>
    </w:p>
    <w:p w14:paraId="36542D8A" w14:textId="77777777" w:rsidR="00A8138F" w:rsidRDefault="00A8138F" w:rsidP="00A8138F">
      <w:pPr>
        <w:pStyle w:val="TextoNormal"/>
      </w:pPr>
      <w:r>
        <w:t xml:space="preserve">Resulta, sin embargo, como ya dijimos en el auto combatido, que carece de soporte legal, y para percatarse de ello no hay más que atender al competencialmente determinante artículo 846.1 </w:t>
      </w:r>
      <w:r w:rsidRPr="00A8138F">
        <w:rPr>
          <w:i/>
        </w:rPr>
        <w:t>ter</w:t>
      </w:r>
      <w:r>
        <w:t xml:space="preserve"> LECrim y a confrontarlo, </w:t>
      </w:r>
      <w:r w:rsidRPr="00A8138F">
        <w:rPr>
          <w:i/>
        </w:rPr>
        <w:t>v.gr.</w:t>
      </w:r>
      <w:r>
        <w:t xml:space="preserve">, con el artículo 999 LECrim. En definitiva, habrá que convenir que la indicada apelabilidad, jurisprudencialmente reconocida, pugna a su vez con la previsión legal </w:t>
      </w:r>
      <w:r w:rsidRPr="00A8138F">
        <w:rPr>
          <w:i/>
        </w:rPr>
        <w:t>ex</w:t>
      </w:r>
      <w:r>
        <w:t xml:space="preserve"> artículo 236 LECrim tocante a que el recurso de apelación contra los autos de los tribunales de lo criminal podrá interponerse “únicamente en aquellos casos expresamente previstos en la ley”.</w:t>
      </w:r>
    </w:p>
    <w:p w14:paraId="50C041DF" w14:textId="77777777" w:rsidR="00A8138F" w:rsidRDefault="00A8138F" w:rsidP="00A8138F">
      <w:pPr>
        <w:pStyle w:val="TextoNormal"/>
      </w:pPr>
    </w:p>
    <w:p w14:paraId="2439D35C" w14:textId="77777777" w:rsidR="00A8138F" w:rsidRDefault="00A8138F" w:rsidP="00A8138F">
      <w:pPr>
        <w:pStyle w:val="TextoNormal"/>
      </w:pPr>
      <w:r>
        <w:t xml:space="preserve">Por tanto, podrá reclamarse que “ha de tener el mismo recurso que dicha sentencia que está modificando”, que “ha de entenderse que cabe dicho recurso” o que “ha de primar el derecho a revisión de una resolución judicial que consideramos injusta”, pero los arts. 236 y 846 </w:t>
      </w:r>
      <w:r w:rsidRPr="00A8138F">
        <w:rPr>
          <w:i/>
        </w:rPr>
        <w:t>ter</w:t>
      </w:r>
      <w:r>
        <w:t>, ambos de la LECrim, no lo autorizan. Solo confundiendo los deseos con la realidad puede decirse, como hace la representación letrada de la recurrente, que “es intención del legislador, y en todo caso de nuestro Tribunal Supremo y Tribunal Constitucional, ser flexibles y conceder la posibilidad de recurso en caso de oscuridad normativa, y no al contrario, esto es vetar tales posibilidades”. Si tan deseoso estuviese el legislador de dotar de recurso de apelación a las revisiones de condena efectuadas por las audiencias lo tenía en su mano, como hizo al reformar en pocos meses y por dos veces la legislación penal sexual de la que deriva precisamente la revisión que se pretende. Y no lo ha hecho en ninguna de ellas pese a lo que ha venido sucediendo y que es de general conocimiento».</w:t>
      </w:r>
    </w:p>
    <w:p w14:paraId="718F1E49" w14:textId="77777777" w:rsidR="00A8138F" w:rsidRDefault="00A8138F" w:rsidP="00A8138F">
      <w:pPr>
        <w:pStyle w:val="TextoNormal"/>
      </w:pPr>
    </w:p>
    <w:p w14:paraId="32366103" w14:textId="1A89BED3" w:rsidR="00A8138F" w:rsidRDefault="00A8138F" w:rsidP="00A8138F">
      <w:pPr>
        <w:pStyle w:val="TextoNormal"/>
      </w:pPr>
      <w:r>
        <w:t>i) Notificado el anterior auto se formuló demanda de amparo por las aquí recurrentes.</w:t>
      </w:r>
    </w:p>
    <w:p w14:paraId="56DDC601" w14:textId="77777777" w:rsidR="00A8138F" w:rsidRDefault="00A8138F" w:rsidP="00A8138F">
      <w:pPr>
        <w:pStyle w:val="TextoNormal"/>
      </w:pPr>
    </w:p>
    <w:p w14:paraId="41B9395A" w14:textId="77777777" w:rsidR="00A8138F" w:rsidRDefault="00A8138F" w:rsidP="00A8138F">
      <w:pPr>
        <w:pStyle w:val="TextoNormal"/>
      </w:pPr>
      <w:r w:rsidRPr="00A8138F">
        <w:rPr>
          <w:rStyle w:val="NumeroAFNegritaCaracter"/>
        </w:rPr>
        <w:t>3</w:t>
      </w:r>
      <w:r>
        <w:t>. La demanda de amparo se dirige contra los autos de 24 de abril de 2023 y 25 de mayo de 2023 de la Sala de lo Civil y Penal del Tribunal Superior de Justicia de Galicia, por vulneración de los derechos fundamentales de las recurrentes a la tutela judicial efectiva (art. 24.1 CE), a un procedimiento con todas las garantías (art. 24.2 CE) y a la igualdad ante la ley del art. 14 de la Constitución, al negarse a resolver dicho órgano judicial el recurso de apelación interpuesto por aquellas contra el auto de la Sección Segunda de la Audiencia Provincial de Lugo de 13 de febrero de 2023, que acordó revisar su sentencia de 20 de enero de 2022 rebajando, entre otras, la pena de prisión por el delito de agresión sexual a víctima menor de dieciséis años, por la que fue condenado el acusado, de doce a diez años.</w:t>
      </w:r>
    </w:p>
    <w:p w14:paraId="3D74F2E1" w14:textId="77777777" w:rsidR="00A8138F" w:rsidRDefault="00A8138F" w:rsidP="00A8138F">
      <w:pPr>
        <w:pStyle w:val="TextoNormal"/>
      </w:pPr>
    </w:p>
    <w:p w14:paraId="12C4CAD4" w14:textId="77777777" w:rsidR="00A8138F" w:rsidRDefault="00A8138F" w:rsidP="00A8138F">
      <w:pPr>
        <w:pStyle w:val="TextoNormal"/>
      </w:pPr>
      <w:r>
        <w:t>a) Se alega en primer lugar en la demanda la vulneración conjunta del art. 24.1 y 2 CE, reconociendo de entrada que existe una “oscuridad normativa” en cuanto “al modo y forma de impugnar un auto de revisión de sentencia firme”, si bien discrepa de los argumentos dados por la Sala del Tribunal Superior de Justicia para negar tal posibilidad, reiterando lo ya expuesto en el recurso de súplica respecto a que “el legislador y la Constitución” otorgan el derecho a que las resoluciones judiciales puedan ser objeto de revisión en términos amplios. Además, dice, “si en un proceso penal, el órgano juzgador ha de ser distinto al órgano sentenciador, a fin de preservar la integridad, objetividad etc. del procedimiento, es obvio, que la sentencia que se dicte pueda ser revisada por un órgano distinto y superior al sentenciador”; también cuando se trata de la modificación de una sentencia firme, “al igual que la sentencia misma” se puede recurrir. Reitera también el argumento del recurso de súplica de que ni el legislador ni la Constitución pretenden excluir la posibilidad de revisión de un acto o resolución de tal calado como esta “[p]ues de ser así, habrían excluido expresamente esta posibilidad […], cosa que no han hecho ni la Ley de enjuiciamiento criminal ni la Ley Or</w:t>
      </w:r>
      <w:r>
        <w:lastRenderedPageBreak/>
        <w:t>gánica 10/2022, de 6 de septiembre”; lo contrario supondría vedar a dicha parte su “legítimo derecho de revisión de una resolución judicial injusta”.</w:t>
      </w:r>
    </w:p>
    <w:p w14:paraId="539B98D4" w14:textId="77777777" w:rsidR="00A8138F" w:rsidRDefault="00A8138F" w:rsidP="00A8138F">
      <w:pPr>
        <w:pStyle w:val="TextoNormal"/>
      </w:pPr>
    </w:p>
    <w:p w14:paraId="751AE615" w14:textId="77777777" w:rsidR="00A8138F" w:rsidRDefault="00A8138F" w:rsidP="00A8138F">
      <w:pPr>
        <w:pStyle w:val="TextoNormal"/>
      </w:pPr>
      <w:r>
        <w:t>Continúan diciendo que dicho recurso de apelación “tiene perfecto encaje en el artículo 846 de la LECrim”, pues el auto que revisa la condena debe tener el mismo régimen de impugnación que la sentencia que se ha modificado; por ello resulta válido el ofrecimiento de dicho recurso efectuado por el auto de 13 de febrero de 2023 de la Audiencia Provincial. Sigue luego la invocación de las SSTS 606/2018, de 28 de noviembre, y 154/2015, de 17 de marzo (ECLI:ES:TS:2015:1399); así como de la STC 30/2009, de 26 de enero, sobre instrucción de recursos. Remacha este primer motivo de la demanda de amparo recordando lo defendido en el recurso de súplica en cuanto a la afirmación de que es “intención del legislador, y en todo caso de nuestro Tribunal Supremo y Tribunal Constitucional, ser flexibles y conceder la posibilidad de recurso en caso de oscuridad normativa, y no al contrario, esto es vetar tales posibilidades”.</w:t>
      </w:r>
    </w:p>
    <w:p w14:paraId="3941B47F" w14:textId="77777777" w:rsidR="00A8138F" w:rsidRDefault="00A8138F" w:rsidP="00A8138F">
      <w:pPr>
        <w:pStyle w:val="TextoNormal"/>
      </w:pPr>
    </w:p>
    <w:p w14:paraId="3316F0EE" w14:textId="77777777" w:rsidR="00A8138F" w:rsidRDefault="00A8138F" w:rsidP="00A8138F">
      <w:pPr>
        <w:pStyle w:val="TextoNormal"/>
      </w:pPr>
      <w:r>
        <w:t>b) Como último motivo, en la demanda se aduce que falta una “doctrina unificadora sobre la materia por nuestros altos tribunales”, lo que da lugar a “diferentes criterios y resoluciones […] vedando a parte de los justiciables el derecho a recurso. Lo que es inadmisible y contrario a nuestra Constitución en tanto a la igualdad ante la ley de todos los ciudadanos”. Se citan a continuación resoluciones dictadas por las Salas de lo Civil y Penal de varios tribunales superiores de justicia, de lo que resultaría un “agravio comparativo” en el caso de aquellas salas que niegan la posibilidad de recurso, lo que “choca con los principios de igualdad ante la ley, la tutela judicial efectiva y la prohibición de la existencia de arbitrariedad en la actuación de los poderes públicos, derechos amparados por nuestra Constitución”.</w:t>
      </w:r>
    </w:p>
    <w:p w14:paraId="47CE2A52" w14:textId="77777777" w:rsidR="00A8138F" w:rsidRDefault="00A8138F" w:rsidP="00A8138F">
      <w:pPr>
        <w:pStyle w:val="TextoNormal"/>
      </w:pPr>
    </w:p>
    <w:p w14:paraId="734180CB" w14:textId="77777777" w:rsidR="00A8138F" w:rsidRDefault="00A8138F" w:rsidP="00A8138F">
      <w:pPr>
        <w:pStyle w:val="TextoNormal"/>
      </w:pPr>
      <w:r>
        <w:t>Se añade que está clara “la repercusión social que el presente asunto representa, pues a consecuencia de la Ley Orgánica 10/2022, son múltiples los casos en los que se están produciendo revisiones de sentencia y no se puede permitir la existencia de criterios dispares entre distintos tribunales superiores de justicia a la hora de determinar la posibilidad o no de apelación respecto a los autos de revisión”. Citando a continuación la STS 199/2016, de 10 de marzo (ECLI:ES:TS:2016:988), en la que a su vez se hace referencia a la doctrina de este Tribunal Constitucional sobre el derecho a la tutela judicial efectiva en su vertiente de derecho a obtener una resolución fundada en Derecho, y cuál es el canon de control en amparo por posibles vulneraciones de este derecho fundamental.</w:t>
      </w:r>
    </w:p>
    <w:p w14:paraId="41E6E7B7" w14:textId="77777777" w:rsidR="00A8138F" w:rsidRDefault="00A8138F" w:rsidP="00A8138F">
      <w:pPr>
        <w:pStyle w:val="TextoNormal"/>
      </w:pPr>
    </w:p>
    <w:p w14:paraId="761C239A" w14:textId="77777777" w:rsidR="00A8138F" w:rsidRDefault="00A8138F" w:rsidP="00A8138F">
      <w:pPr>
        <w:pStyle w:val="TextoNormal"/>
      </w:pPr>
      <w:r>
        <w:t>c) El suplico de la demanda solicita tener por interpuesto recurso de amparo contra las resoluciones judiciales que se impugnan y que se dicte sentencia estimatoria que otorgue a las demandantes el amparo solicitado “con reconocimiento expreso de su derecho a una tutela judicial efectiva”, declare la nulidad de aquellas resoluciones y, como medidas de reparación del derecho fundamental vulnerado, “declare haber lugar a que por parte del Tribunal Superior de Justicia de Galicia se acuerde admitir a trámite el recurso de apelación planteado por esta parte frente al auto de revisión de sentencia de fecha 13 de febrero de 2023 dictado por la Ilma. Audiencia Provincial de Lugo (ejecutoria 14-2022 rollo 4-2021) y resolver en cuanto al fondo del asunto el citado recurso”; y que decrete asimismo “la retroacción de actuaciones al momento inmediatamente anterior al de dictado del auto de 24 de abril de 2023 dictado por el Tribunal Superior de Justicia de Galicia, a fin de que se dicte otra resolución acordando admitir a tramitación el recurso de apelación y resolver en cuanto al fondo la impugnación planteada en el mismo”.</w:t>
      </w:r>
    </w:p>
    <w:p w14:paraId="70A147B9" w14:textId="77777777" w:rsidR="00A8138F" w:rsidRDefault="00A8138F" w:rsidP="00A8138F">
      <w:pPr>
        <w:pStyle w:val="TextoNormal"/>
      </w:pPr>
    </w:p>
    <w:p w14:paraId="0974AC07" w14:textId="7BC80605" w:rsidR="00A8138F" w:rsidRDefault="00A8138F" w:rsidP="00A8138F">
      <w:pPr>
        <w:pStyle w:val="TextoNormal"/>
      </w:pPr>
      <w:r>
        <w:t>d) Por medio de primer otrosí digo, el escrito de demanda solicitó, con base en el art. 56 de la Ley Orgánica del Tribunal Constitucional (LOTC) la suspensión tanto de los dos autos impugnados de la Sala de lo Civil y Penal del Tribunal Superior de Justicia de Galicia, como de “la eventual firmeza del auto de revisión de sentencia de fecha 13 de febrero de 2023” de la Sección Segunda de la Audiencia Provincial de Lugo (ejecutoria 14-2022). Suspensión esta última que se considera “imprescindible, por cuanto, de lo contrario, la ejecución de las penas establecidas en las referidas sentencias haría perder al presente recurso de amparo su finalidad, máxime teniendo en cuenta que el condenado en la sentencia […] podría, gracias a un eventual retraso en la tramitación del presente recurso, obtener unos beneficios penitenciarios que entendemos para nada le corresponden”.</w:t>
      </w:r>
    </w:p>
    <w:p w14:paraId="4ECDB5BC" w14:textId="77777777" w:rsidR="00A8138F" w:rsidRDefault="00A8138F" w:rsidP="00A8138F">
      <w:pPr>
        <w:pStyle w:val="TextoNormal"/>
      </w:pPr>
    </w:p>
    <w:p w14:paraId="3DA02D92" w14:textId="77777777" w:rsidR="00A8138F" w:rsidRDefault="00A8138F" w:rsidP="00A8138F">
      <w:pPr>
        <w:pStyle w:val="TextoNormal"/>
      </w:pPr>
      <w:r w:rsidRPr="00A8138F">
        <w:rPr>
          <w:rStyle w:val="NumeroAFNegritaCaracter"/>
        </w:rPr>
        <w:t>4</w:t>
      </w:r>
      <w:r>
        <w:t>. La Sala Primera, Sección Segunda, de este Tribunal Constitucional, dictó providencia el 8 de abril de 2024, del siguiente tenor:</w:t>
      </w:r>
    </w:p>
    <w:p w14:paraId="542DFE60" w14:textId="77777777" w:rsidR="00A8138F" w:rsidRDefault="00A8138F" w:rsidP="00A8138F">
      <w:pPr>
        <w:pStyle w:val="TextoNormal"/>
      </w:pPr>
    </w:p>
    <w:p w14:paraId="1DFA348A" w14:textId="77777777" w:rsidR="00A8138F" w:rsidRDefault="00A8138F" w:rsidP="00A8138F">
      <w:pPr>
        <w:pStyle w:val="TextoNormal"/>
      </w:pPr>
      <w:r>
        <w:t>“La Sección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de 25 de junio, FJ 2 a)].</w:t>
      </w:r>
    </w:p>
    <w:p w14:paraId="7C38B889" w14:textId="77777777" w:rsidR="00A8138F" w:rsidRDefault="00A8138F" w:rsidP="00A8138F">
      <w:pPr>
        <w:pStyle w:val="TextoNormal"/>
      </w:pPr>
    </w:p>
    <w:p w14:paraId="4AE17875" w14:textId="77777777" w:rsidR="00A8138F" w:rsidRDefault="00A8138F" w:rsidP="00A8138F">
      <w:pPr>
        <w:pStyle w:val="TextoNormal"/>
      </w:pPr>
      <w:r>
        <w:t>Por ello, en aplicación de lo dispuesto en el art. 51 LOTC, diríjase atenta comunicación a la Sección Segunda de la Audiencia Provincial de Lugo a fin de que, en plazo que no exceda de diez días, remita certificación o fotocopia adverada de las actuaciones correspondientes al recurso de apelación 32-2023.</w:t>
      </w:r>
    </w:p>
    <w:p w14:paraId="424B9CC0" w14:textId="77777777" w:rsidR="00A8138F" w:rsidRDefault="00A8138F" w:rsidP="00A8138F">
      <w:pPr>
        <w:pStyle w:val="TextoNormal"/>
      </w:pPr>
    </w:p>
    <w:p w14:paraId="40C500DB" w14:textId="77777777" w:rsidR="00A8138F" w:rsidRDefault="00A8138F" w:rsidP="00A8138F">
      <w:pPr>
        <w:pStyle w:val="TextoNormal"/>
      </w:pPr>
      <w:r>
        <w:t>Diríjase igualmente atenta comunicación a la Sección Segunda de la Audiencia Provincial de Lugo a fin de que, en plazo que no exceda de diez días, remita certificación o fotocopia adverada de las actuaciones correspondientes a la ejecutoria 14-2022; debiendo previamente emplazarse, para que en el plazo de diez días puedan comparecer, si lo desean, en el recurso de amparo a quienes hubieran sido parte en el procedimiento, excepto la parte recurrente en amparo.</w:t>
      </w:r>
    </w:p>
    <w:p w14:paraId="0B49D62F" w14:textId="77777777" w:rsidR="00A8138F" w:rsidRDefault="00A8138F" w:rsidP="00A8138F">
      <w:pPr>
        <w:pStyle w:val="TextoNormal"/>
      </w:pPr>
    </w:p>
    <w:p w14:paraId="595A7760" w14:textId="674B57FB" w:rsidR="00A8138F" w:rsidRDefault="00A8138F" w:rsidP="00A8138F">
      <w:pPr>
        <w:pStyle w:val="TextoNormal"/>
      </w:pPr>
      <w:r>
        <w:t>De conformidad con la solicitud de la parte actora, fórmese la correspondiente pieza separada de suspensión”.</w:t>
      </w:r>
    </w:p>
    <w:p w14:paraId="21320B05" w14:textId="77777777" w:rsidR="00A8138F" w:rsidRDefault="00A8138F" w:rsidP="00A8138F">
      <w:pPr>
        <w:pStyle w:val="TextoNormal"/>
      </w:pPr>
    </w:p>
    <w:p w14:paraId="28001BB1" w14:textId="05F8EC53" w:rsidR="00A8138F" w:rsidRDefault="00A8138F" w:rsidP="00A8138F">
      <w:pPr>
        <w:pStyle w:val="TextoNormal"/>
      </w:pPr>
      <w:r w:rsidRPr="00A8138F">
        <w:rPr>
          <w:rStyle w:val="NumeroAFNegritaCaracter"/>
        </w:rPr>
        <w:t>5</w:t>
      </w:r>
      <w:r>
        <w:t>. Por nueva providencia dictada por la propia Sección Segunda de este tribunal en la misma fecha, 8 de abril de 2024, se dispuso “formar con el precedente testimonio la presente pieza separada de suspensión y, de conformidad con lo prevenido en el art. 56 de la Ley Orgánica del Tribunal Constitucional, conceder un plazo común de tres días, al Ministerio Fiscal y al solicitante del amparo, para que dentro de dicho término aleguen lo que estimen pertinente en relación con la petición de suspensión interesada”.</w:t>
      </w:r>
    </w:p>
    <w:p w14:paraId="3A9BA459" w14:textId="77777777" w:rsidR="00A8138F" w:rsidRDefault="00A8138F" w:rsidP="00A8138F">
      <w:pPr>
        <w:pStyle w:val="TextoNormal"/>
      </w:pPr>
    </w:p>
    <w:p w14:paraId="67B9A505" w14:textId="77777777" w:rsidR="00A8138F" w:rsidRDefault="00A8138F" w:rsidP="00A8138F">
      <w:pPr>
        <w:pStyle w:val="TextoNormal"/>
      </w:pPr>
      <w:r w:rsidRPr="00A8138F">
        <w:rPr>
          <w:rStyle w:val="NumeroAFNegritaCaracter"/>
        </w:rPr>
        <w:t>6</w:t>
      </w:r>
      <w:r>
        <w:t xml:space="preserve">. En la pieza incidental formularon alegaciones la representación procesal de las recurrentes (reiterando su solicitud de suspensión de las resoluciones recurridas y del auto de la Audiencia Provincial que revisó la sentencia de condena), el Ministerio Fiscal (que interesó la desestimación de aquella pretensión) y, luego del trámite abierto por diligencia de ordenación de la Secretaría de Justicia de 9 de mayo de 2024 que acordó concederles plazo </w:t>
      </w:r>
      <w:r>
        <w:lastRenderedPageBreak/>
        <w:t>común de tres días para alegaciones sobre la suspensión, el representante procesal de la parte condenada, así como el abogado del Estado (previamente personados, como ahora se dirá), estos dos últimos interesando la denegación de la medida solicitada.</w:t>
      </w:r>
    </w:p>
    <w:p w14:paraId="11BE79E9" w14:textId="77777777" w:rsidR="00A8138F" w:rsidRDefault="00A8138F" w:rsidP="00A8138F">
      <w:pPr>
        <w:pStyle w:val="TextoNormal"/>
      </w:pPr>
    </w:p>
    <w:p w14:paraId="1F211C1B" w14:textId="60552DB6" w:rsidR="00A8138F" w:rsidRDefault="00A8138F" w:rsidP="00A8138F">
      <w:pPr>
        <w:pStyle w:val="TextoNormal"/>
      </w:pPr>
      <w:r>
        <w:t>Mediante ATC 53/2024, de 3 de junio, la Sala Primera de este tribunal resolvió denegar la suspensión de las resoluciones instada por la parte demandante.</w:t>
      </w:r>
    </w:p>
    <w:p w14:paraId="06021A79" w14:textId="77777777" w:rsidR="00A8138F" w:rsidRDefault="00A8138F" w:rsidP="00A8138F">
      <w:pPr>
        <w:pStyle w:val="TextoNormal"/>
      </w:pPr>
    </w:p>
    <w:p w14:paraId="5916E0A1" w14:textId="77777777" w:rsidR="00A8138F" w:rsidRDefault="00A8138F" w:rsidP="00A8138F">
      <w:pPr>
        <w:pStyle w:val="TextoNormal"/>
      </w:pPr>
      <w:r w:rsidRPr="00A8138F">
        <w:rPr>
          <w:rStyle w:val="NumeroAFNegritaCaracter"/>
        </w:rPr>
        <w:t>7</w:t>
      </w:r>
      <w:r>
        <w:t>. Respecto de la pieza principal, el 23 de abril de 2024 la procuradora de los tribunales doña Sara Lázaro Rodríguez, actuando en nombre y representación de don José Manuel Estevao López, manifestó que en virtud del emplazamiento efectuado por diligencia de ordenación de 16 de abril de 2024 se personaba como parte recurrida, bajo la dirección letrada de don Miguel Ángel Caraduje Somoza, si bien al ser su representación del turno de oficio solicitó que se oficiase “al Ilustre Colegio de Abogados de Madrid y al Ilustre Colegio de Procuradores de Madrid, para asignar nueva representación y defensa”.</w:t>
      </w:r>
    </w:p>
    <w:p w14:paraId="6AB23D6B" w14:textId="77777777" w:rsidR="00A8138F" w:rsidRDefault="00A8138F" w:rsidP="00A8138F">
      <w:pPr>
        <w:pStyle w:val="TextoNormal"/>
      </w:pPr>
    </w:p>
    <w:p w14:paraId="32D00A1F" w14:textId="36C4BC1C" w:rsidR="00A8138F" w:rsidRDefault="00A8138F" w:rsidP="00A8138F">
      <w:pPr>
        <w:pStyle w:val="TextoNormal"/>
      </w:pPr>
      <w:r>
        <w:t>Por diligencia de ordenación de la Secretaría de Justicia de la Sección Segunda de este tribunal, de 7 de mayo de 2024, se acordó conceder plazo de diez días a la procuradora de la parte personada (por error material se la identifica como doña Sara Leonis Parraun; error que la propia Secretaría subsanó por nueva diligencia de 13 de mayo de 2024, indicando que se refería en realidad a la procuradora doña Sara Lázaro Rodríguez) para que dentro de dicho término aportara copia de la acreditación de justicia gratuita de don José Manuel Estevao López y su domicilio. En todo caso, el 7 de mayo de 2024 la procuradora doña Sara Lázaro Rodríguez aportó la resolución de reconocimiento de asistencia jurídica gratuita que se había solicitado.</w:t>
      </w:r>
    </w:p>
    <w:p w14:paraId="7B139F37" w14:textId="77777777" w:rsidR="00A8138F" w:rsidRDefault="00A8138F" w:rsidP="00A8138F">
      <w:pPr>
        <w:pStyle w:val="TextoNormal"/>
      </w:pPr>
    </w:p>
    <w:p w14:paraId="58F557F4" w14:textId="38EC8057" w:rsidR="00A8138F" w:rsidRDefault="00A8138F" w:rsidP="00A8138F">
      <w:pPr>
        <w:pStyle w:val="TextoNormal"/>
      </w:pPr>
      <w:r w:rsidRPr="00A8138F">
        <w:rPr>
          <w:rStyle w:val="NumeroAFNegritaCaracter"/>
        </w:rPr>
        <w:t>8</w:t>
      </w:r>
      <w:r>
        <w:t>. El 3 de mayo de 2024, por su parte, el abogado del Estado jefe ante este Tribunal Constitucional presentó escrito manifestando que se personaba en este procedimiento de amparo en la representación que ostenta (habiendo actuado como parte en la vía judicial previa la Subdirección General de Gestión de Clases Pasiva), debiendo entenderse con él los posteriores trámites.</w:t>
      </w:r>
    </w:p>
    <w:p w14:paraId="18FD2BDB" w14:textId="77777777" w:rsidR="00A8138F" w:rsidRDefault="00A8138F" w:rsidP="00A8138F">
      <w:pPr>
        <w:pStyle w:val="TextoNormal"/>
      </w:pPr>
    </w:p>
    <w:p w14:paraId="1842975B" w14:textId="77777777" w:rsidR="00A8138F" w:rsidRDefault="00A8138F" w:rsidP="00A8138F">
      <w:pPr>
        <w:pStyle w:val="TextoNormal"/>
      </w:pPr>
      <w:r w:rsidRPr="00A8138F">
        <w:rPr>
          <w:rStyle w:val="NumeroAFNegritaCaracter"/>
        </w:rPr>
        <w:t>9</w:t>
      </w:r>
      <w:r>
        <w:t>. La Secretaría de Justicia de la Sala Primera de este tribunal dictó diligencia de ordenación el 9 de mayo de 2024, del siguiente tenor:</w:t>
      </w:r>
    </w:p>
    <w:p w14:paraId="3B9EC1EA" w14:textId="77777777" w:rsidR="00A8138F" w:rsidRDefault="00A8138F" w:rsidP="00A8138F">
      <w:pPr>
        <w:pStyle w:val="TextoNormal"/>
      </w:pPr>
    </w:p>
    <w:p w14:paraId="38949290" w14:textId="77777777" w:rsidR="00A8138F" w:rsidRDefault="00A8138F" w:rsidP="00A8138F">
      <w:pPr>
        <w:pStyle w:val="TextoNormal"/>
      </w:pPr>
      <w:r>
        <w:t>“En el asunto reseñado se tienen por recibidos los testimonios de las actuaciones remitidos por el Tribunal Superior de Justicia de Galicia y la Sección Segunda de la Audiencia Provincial de Lugo, y oficio del Colegio de Procuradores y Abogados, designando al procurador Oscar Jesús Castellanos Quintero y al letrado Miguel Ortego Ruiz, a quienes se tiene por personados y parte en nombre y representación de José Manuel Estevao López con quien se entenderán la presente y sucesivas diligencias.</w:t>
      </w:r>
    </w:p>
    <w:p w14:paraId="1CBB28F5" w14:textId="77777777" w:rsidR="00A8138F" w:rsidRDefault="00A8138F" w:rsidP="00A8138F">
      <w:pPr>
        <w:pStyle w:val="TextoNormal"/>
      </w:pPr>
    </w:p>
    <w:p w14:paraId="13CC7542" w14:textId="77777777" w:rsidR="00A8138F" w:rsidRDefault="00A8138F" w:rsidP="00A8138F">
      <w:pPr>
        <w:pStyle w:val="TextoNormal"/>
      </w:pPr>
      <w:r>
        <w:t>A tenor de lo dispuesto en el art. 52 de la Ley Orgánica del Tribunal Constitucional, se da vista de todas las actuaciones del presente recurso de amparo, en la sede electrónica de este tribunal, por un plazo común de veinte días, al Ministerio Fiscal, al abogado del Estado, al recurrente y a la parte personada, para que dentro de dicho término puedan presentar las alegaciones que a su derecho convenga.</w:t>
      </w:r>
    </w:p>
    <w:p w14:paraId="1885CAB5" w14:textId="77777777" w:rsidR="00A8138F" w:rsidRDefault="00A8138F" w:rsidP="00A8138F">
      <w:pPr>
        <w:pStyle w:val="TextoNormal"/>
      </w:pPr>
    </w:p>
    <w:p w14:paraId="57F2696A" w14:textId="21DB89C7" w:rsidR="00A8138F" w:rsidRDefault="00A8138F" w:rsidP="00A8138F">
      <w:pPr>
        <w:pStyle w:val="TextoNormal"/>
      </w:pPr>
      <w:r>
        <w:lastRenderedPageBreak/>
        <w:t>El Procurador tendrá acceso a los escritos y documentos, a través de la sede electrónica de este tribunal/ procesos constitucionales/consulta de procesos (dirección web: https://registro.tribunalconstitucional.es/Escrito/GetFichaRecurso)”.</w:t>
      </w:r>
    </w:p>
    <w:p w14:paraId="2AA1B072" w14:textId="77777777" w:rsidR="00A8138F" w:rsidRDefault="00A8138F" w:rsidP="00A8138F">
      <w:pPr>
        <w:pStyle w:val="TextoNormal"/>
      </w:pPr>
    </w:p>
    <w:p w14:paraId="4B5F3F6D" w14:textId="77777777" w:rsidR="00A8138F" w:rsidRDefault="00A8138F" w:rsidP="00A8138F">
      <w:pPr>
        <w:pStyle w:val="TextoNormal"/>
      </w:pPr>
      <w:r w:rsidRPr="00A8138F">
        <w:rPr>
          <w:rStyle w:val="NumeroAFNegritaCaracter"/>
        </w:rPr>
        <w:t>10</w:t>
      </w:r>
      <w:r>
        <w:t>. El 31 de mayo de 2024, la representante legal de las recurrentes presentó escrito de alegaciones en el registro de este tribunal, cumplimentando el trámite del art. 52 LOTC, por el que interesó se otorgase el amparo solicitado.</w:t>
      </w:r>
    </w:p>
    <w:p w14:paraId="4BD48F26" w14:textId="77777777" w:rsidR="00A8138F" w:rsidRDefault="00A8138F" w:rsidP="00A8138F">
      <w:pPr>
        <w:pStyle w:val="TextoNormal"/>
      </w:pPr>
    </w:p>
    <w:p w14:paraId="7158C75B" w14:textId="77777777" w:rsidR="00A8138F" w:rsidRDefault="00A8138F" w:rsidP="00A8138F">
      <w:pPr>
        <w:pStyle w:val="TextoNormal"/>
      </w:pPr>
      <w:r>
        <w:t>Ante todo, se indica que dicha parte “se afirma y reitera en el recurso de amparo presentado, remitiéndonos en este punto a lo manifestado en el mismo, a fin de evitar reiteraciones innecesarias”. A continuación invoca en favor de su tesis, favorable al carácter recurrible de los autos que han resuelto la revisión de sentencias de condena al socaire de la entrada en vigor de la Ley Orgánica 10/2022, de 6 de septiembre, el auto del Tribunal Superior de Justicia de Navarra de 11 de septiembre de 2023 (ECLI:ES:TSJNA:2023:54A), el cual a su vez hace suya la doctrina fijada en el mismo sentido por el Pleno de la Sala de lo Penal del Tribunal Supremo en sentencia núm. 473/2023, de 15 de junio (ECLI:ES:TS:2023:2822), reproduciendo pasajes de ambas resoluciones. Sobre la STS 473/2023, el escrito recuerda que el Alto Tribunal precisa en ella que cabe recurso directo de casación contra el auto de revisión de condena si las actuaciones se iniciaron antes del día 6 de diciembre de 2015 (cuando entró en vigor la reforma del régimen de recursos devolutivos en la Ley de enjuiciamiento criminal), y el de apelación y eventual casación para los procedimientos posteriores, como sucede con el presente caso.</w:t>
      </w:r>
    </w:p>
    <w:p w14:paraId="681CEE89" w14:textId="77777777" w:rsidR="00A8138F" w:rsidRDefault="00A8138F" w:rsidP="00A8138F">
      <w:pPr>
        <w:pStyle w:val="TextoNormal"/>
      </w:pPr>
    </w:p>
    <w:p w14:paraId="0C87A6FB" w14:textId="67DB652F" w:rsidR="00A8138F" w:rsidRDefault="00A8138F" w:rsidP="00A8138F">
      <w:pPr>
        <w:pStyle w:val="TextoNormal"/>
      </w:pPr>
      <w:r>
        <w:t>De esta cita jurisprudencial deducen las recurrentes “la necesidad de que el Excmo. Tribunal Constitucional, como así ha declarado ya, se pronuncie al respecto sobre esta cuestión, creando así doctrina al respecto, para que su criterio deba ser acogido por todos los organismos y tribunales, impidiendo con ello, una vulneración del principio constitucional de igualdad entre españoles”, con acogimiento para ello de su recurso de amparo, declarando “haber lugar al derecho a resolverse el recurso de apelación frente al auto de revisión de condena relativo al presente caso con todas las consecuencias inherentes a ello”, como ya se defendió en el escrito de demanda.</w:t>
      </w:r>
    </w:p>
    <w:p w14:paraId="49C0CDE1" w14:textId="77777777" w:rsidR="00A8138F" w:rsidRDefault="00A8138F" w:rsidP="00A8138F">
      <w:pPr>
        <w:pStyle w:val="TextoNormal"/>
      </w:pPr>
    </w:p>
    <w:p w14:paraId="11984FB8" w14:textId="77777777" w:rsidR="00A8138F" w:rsidRDefault="00A8138F" w:rsidP="00A8138F">
      <w:pPr>
        <w:pStyle w:val="TextoNormal"/>
      </w:pPr>
      <w:r w:rsidRPr="00A8138F">
        <w:rPr>
          <w:rStyle w:val="NumeroAFNegritaCaracter"/>
        </w:rPr>
        <w:t>11</w:t>
      </w:r>
      <w:r>
        <w:t>. El abogado del Estado presentó sus alegaciones mediante escrito registrado el 7 de junio de 2024, por el que interesó la “desestimación íntegra del recurso de amparo formulado”.</w:t>
      </w:r>
    </w:p>
    <w:p w14:paraId="29E76F5B" w14:textId="77777777" w:rsidR="00A8138F" w:rsidRDefault="00A8138F" w:rsidP="00A8138F">
      <w:pPr>
        <w:pStyle w:val="TextoNormal"/>
      </w:pPr>
    </w:p>
    <w:p w14:paraId="69AEDD84" w14:textId="77777777" w:rsidR="00A8138F" w:rsidRDefault="00A8138F" w:rsidP="00A8138F">
      <w:pPr>
        <w:pStyle w:val="TextoNormal"/>
      </w:pPr>
      <w:r>
        <w:t xml:space="preserve">a) Tras hacer resumen de los hitos de la vía procesal previa e identificar las resoluciones recurridas en amparo y las quejas de las demandantes, sostiene el escrito que estas lo que plantean en realidad es una cuestión de legalidad ordinaria, la de objetar al legislador de la Ley Orgánica 10/2022 el no haber previsto recurso de apelación contra el auto de revisión de condena y que ello vulneraría el derecho a la tutela judicial efectiva, lo que sin embargo, a juicio del abogado del Estado, no sucede, tomando para ello en cuenta la doctrina constitucional sobre el carácter de derecho de configuración legal del art. 24.1 CE, con cita de la STC 16/12015, de 16 de febrero. Por tanto, sigue diciendo, el derecho fundamental invocado “queda también satisfecho cuando sobre la base de lo dispuesto en la ley se emite un pronunciamiento de inadmisión que aprecie razonada y razonablemente la concurrencia de una causa establecida expresamente en la ley (STC 186/2015, de 21 de septiembre); máxime </w:t>
      </w:r>
      <w:r>
        <w:lastRenderedPageBreak/>
        <w:t>tratándose de la configuración legal de recursos, no del acceso propiamente de modo inicial a la justicia”.</w:t>
      </w:r>
    </w:p>
    <w:p w14:paraId="458E11D7" w14:textId="77777777" w:rsidR="00A8138F" w:rsidRDefault="00A8138F" w:rsidP="00A8138F">
      <w:pPr>
        <w:pStyle w:val="TextoNormal"/>
      </w:pPr>
    </w:p>
    <w:p w14:paraId="6043E80F" w14:textId="77777777" w:rsidR="00A8138F" w:rsidRDefault="00A8138F" w:rsidP="00A8138F">
      <w:pPr>
        <w:pStyle w:val="TextoNormal"/>
      </w:pPr>
      <w:r>
        <w:t>b) Con cita a continuación de las SSTC 37/1995, de 7 de febrero, y 181/2001, de 17 de septiembre, afirma el escrito que “el que la ley no haya previsto recurso —en el caso, de apelación—, como la recurrente pretende, no supone lesión del derecho garantizado por el art. 24 de la CE”. Pero si hubiese duda respecto a que el silencio del legislador produce dicha lesión, como “solución medial, habría de plantearse una cuestión interna de inconstitucionalidad por ese Tribunal Constitucional. Pero ello, insistimos, no es así; no hay vulneración del derecho fundamental porque la ley no haya establecido recurso contra la revisión de la condena sobre la base de la Ley Orgánica 10/2022.</w:t>
      </w:r>
    </w:p>
    <w:p w14:paraId="7CE8E54B" w14:textId="77777777" w:rsidR="00A8138F" w:rsidRDefault="00A8138F" w:rsidP="00A8138F">
      <w:pPr>
        <w:pStyle w:val="TextoNormal"/>
      </w:pPr>
    </w:p>
    <w:p w14:paraId="03EA78FD" w14:textId="77777777" w:rsidR="00A8138F" w:rsidRDefault="00A8138F" w:rsidP="00A8138F">
      <w:pPr>
        <w:pStyle w:val="TextoNormal"/>
      </w:pPr>
      <w:r>
        <w:t>Claro —se podría decir— que nos hallamos en el plano del Derecho procesal penal, donde el principio de tutela judicial efectiva supone, de acuerdo con la misma jurisprudencia invocada, la doble instancia. Cierto, pero a la vez nos encontramos también en el ámbito de la revisión en sentido estricto, como acción procesal de excepción encaminada a la alteración de una sentencia firme. El auto, estimando aquella, revisa la condena aplicando el motivo de excepción introducido por la Ley Orgánica 10/2022. Así pues, nos movemos en el plano del Derecho procesal penal, pero en el aspecto de la revisión que la ley prevé o puede prever ocasionalmente respecto de sentencias firmes.</w:t>
      </w:r>
    </w:p>
    <w:p w14:paraId="34A27277" w14:textId="77777777" w:rsidR="00A8138F" w:rsidRDefault="00A8138F" w:rsidP="00A8138F">
      <w:pPr>
        <w:pStyle w:val="TextoNormal"/>
      </w:pPr>
    </w:p>
    <w:p w14:paraId="53C4CF1F" w14:textId="77777777" w:rsidR="00A8138F" w:rsidRDefault="00A8138F" w:rsidP="00A8138F">
      <w:pPr>
        <w:pStyle w:val="TextoNormal"/>
      </w:pPr>
      <w:r>
        <w:t>Los recursos, por lo tanto, son los que la ley procesal prevé para cada supuesto o categoría de supuestos”.</w:t>
      </w:r>
    </w:p>
    <w:p w14:paraId="102038C5" w14:textId="77777777" w:rsidR="00A8138F" w:rsidRDefault="00A8138F" w:rsidP="00A8138F">
      <w:pPr>
        <w:pStyle w:val="TextoNormal"/>
      </w:pPr>
    </w:p>
    <w:p w14:paraId="219B79F6" w14:textId="77777777" w:rsidR="00A8138F" w:rsidRDefault="00A8138F" w:rsidP="00A8138F">
      <w:pPr>
        <w:pStyle w:val="TextoNormal"/>
      </w:pPr>
      <w:r>
        <w:t>Sigue diciendo que la Ley Orgánica 10/2022 configura un sistema de revisión de sentencia condenatoria, “y de modo más favorable. Si la ley frente a esa regulación novedosa no ha establecido recurso, no cabe entender que tácitamente en realidad sí ha establecido implícitamente los recursos generales que la ley procesal, con carácter general, arbitra, tratándose, como se trata, de un régimen especial, o quizá excepcional, de revisión de sentencias condenatorias.</w:t>
      </w:r>
    </w:p>
    <w:p w14:paraId="4D6AD94F" w14:textId="77777777" w:rsidR="00A8138F" w:rsidRDefault="00A8138F" w:rsidP="00A8138F">
      <w:pPr>
        <w:pStyle w:val="TextoNormal"/>
      </w:pPr>
    </w:p>
    <w:p w14:paraId="0D6099B2" w14:textId="77777777" w:rsidR="00A8138F" w:rsidRDefault="00A8138F" w:rsidP="00A8138F">
      <w:pPr>
        <w:pStyle w:val="TextoNormal"/>
      </w:pPr>
      <w:r>
        <w:t>[…] Nada impide al legislador establecer un régimen peculiar sobre el auto de revisión y sus consecuencias procesales, y, en su caso, no prever recurso alguno”.</w:t>
      </w:r>
    </w:p>
    <w:p w14:paraId="4AA0C9E9" w14:textId="77777777" w:rsidR="00A8138F" w:rsidRDefault="00A8138F" w:rsidP="00A8138F">
      <w:pPr>
        <w:pStyle w:val="TextoNormal"/>
      </w:pPr>
    </w:p>
    <w:p w14:paraId="19084D86" w14:textId="2FABF193" w:rsidR="00A8138F" w:rsidRDefault="00A8138F" w:rsidP="00A8138F">
      <w:pPr>
        <w:pStyle w:val="TextoNormal"/>
      </w:pPr>
      <w:r>
        <w:t>c) Cierra sus argumentaciones jurídicas el abogado del Estado reconociendo que en otros tribunales superiores de justicia se ha fijado el criterio de permitir recurso contra los autos de revisión de condenas a las que afecta la reforma penal de la Ley Orgánica 10/2022; disparidad de juicio que, en cualquier caso, considera materia de legalidad ordinaria respecto de la interpretación de la normativa procesal aplicable, “la Ley de enjuiciamiento criminal en unión de las previsiones de la Ley Orgánica 10/2022”.</w:t>
      </w:r>
    </w:p>
    <w:p w14:paraId="4D4C894A" w14:textId="77777777" w:rsidR="00A8138F" w:rsidRDefault="00A8138F" w:rsidP="00A8138F">
      <w:pPr>
        <w:pStyle w:val="TextoNormal"/>
      </w:pPr>
    </w:p>
    <w:p w14:paraId="2C0B038B" w14:textId="77777777" w:rsidR="00A8138F" w:rsidRDefault="00A8138F" w:rsidP="00A8138F">
      <w:pPr>
        <w:pStyle w:val="TextoNormal"/>
      </w:pPr>
      <w:r w:rsidRPr="00A8138F">
        <w:rPr>
          <w:rStyle w:val="NumeroAFNegritaCaracter"/>
        </w:rPr>
        <w:t>12</w:t>
      </w:r>
      <w:r>
        <w:t>. Finalmente, el 24 de junio de 2024 el fiscal ante este Tribunal Constitucional formalizó sus alegaciones interesando “[e]stimar parcialmente” el recurso de amparo en el sentido de declarar que las dos resoluciones impugnadas “vulneraron el derecho fundamental de las indicadas recurrentes a la tutela judicial efectiva (artículo 24.1 CE) en su vertiente del derecho de acceso al recurso legalmente previsto”; acordando su nulidad y ordenando “la retroacción de las actuaciones para que pueda la Sala de lo Civil y Penal del Tribunal Superior de Justicia de Galicia dictar en el recurso de apelación número 32-2023 nueva resolu</w:t>
      </w:r>
      <w:r>
        <w:lastRenderedPageBreak/>
        <w:t>ción —que sea respetuosa con el derecho fundamental que ha de declararse vulnerado— sobre la admisión del recurso de apelación entablado por la representación procesal” de las recurrentes.</w:t>
      </w:r>
    </w:p>
    <w:p w14:paraId="66CA3FA6" w14:textId="77777777" w:rsidR="00A8138F" w:rsidRDefault="00A8138F" w:rsidP="00A8138F">
      <w:pPr>
        <w:pStyle w:val="TextoNormal"/>
      </w:pPr>
    </w:p>
    <w:p w14:paraId="1C11CBF8" w14:textId="77777777" w:rsidR="00A8138F" w:rsidRDefault="00A8138F" w:rsidP="00A8138F">
      <w:pPr>
        <w:pStyle w:val="TextoNormal"/>
      </w:pPr>
      <w:r>
        <w:t>a) Luego de un apartado relativo a los antecedentes de hecho, en el que se recapitulan los hitos procesales más importantes de la vía judicial previa y las resoluciones impugnadas en amparo y se realiza un resumen de la tramitación del presente recurso, aborda el escrito de alegaciones el apartado de fundamentos jurídicos, empezando por recordar el contenido de los autos recurridos de la Sala de lo Civil y Penal del Tribunal Superior de Justicia de Galicia, las quejas constitucionales deducidas por la parte recurrente en su demanda y la justificación por esta del requisito de la especial trascendencia constitucional del recurso. Precisa el fiscal que aunque la demanda plantea formalmente un único motivo de impugnación, en realidad denuncia la vulneración de tres derechos fundamentales: el acceso al recurso (tutela judicial efectiva, art. 24.1 CE), a un proceso con todas las garantías (art. 24.2 CE) y la igualdad en la aplicación de la ley (art. 14 CE), debiendo entenderse que las quejas de los dos primeros se hallan entrelazadas entre sí, por lo que se detiene en su examen conjunto.</w:t>
      </w:r>
    </w:p>
    <w:p w14:paraId="062D0FF9" w14:textId="77777777" w:rsidR="00A8138F" w:rsidRDefault="00A8138F" w:rsidP="00A8138F">
      <w:pPr>
        <w:pStyle w:val="TextoNormal"/>
      </w:pPr>
    </w:p>
    <w:p w14:paraId="68B2C132" w14:textId="77777777" w:rsidR="00A8138F" w:rsidRDefault="00A8138F" w:rsidP="00A8138F">
      <w:pPr>
        <w:pStyle w:val="TextoNormal"/>
      </w:pPr>
      <w:r>
        <w:t>Se afirma en el escrito que la “cuestión relativa a los recursos que pueden ser utilizados contra los autos de revisión de condena ya está resuelta por la doctrina de la Sala Segunda del Tribunal Supremo, que es el órgano competente para ello”; doctrina que los autos del Tribunal Superior de Justicia aquí recurridos han optado por inaplicar y que se contiene en las SSTS, de la Sala de lo Penal, 606/2018, de 28 de noviembre, y 453/2023, de 14 de junio, del Pleno (ECLI:ES:TS:2023:2820), que el escrito reproduce en algunos de sus pasajes, y de la que se colige que la Sala de lo Penal del Alto Tribunal, pese a reconocer la falta de soporte legal, sostiene que los autos de revisión de condena, en cuanto introducen “modificaciones cualitativas” en una previa sentencia firme, deben tener la misma consideración que esta, también cuando dichas resoluciones nieguen la revisión solicitada; por tanto, dicha doctrina “permite cobijar tanto los recursos de las acusaciones como los de los condenados que estén disconformes con las resoluciones dictadas en primera instancia sobre revisiones de condena en los casos del inciso primero del artículo 2.2 CP” (aplicación retroactiva de normas penales favorables al reo).</w:t>
      </w:r>
    </w:p>
    <w:p w14:paraId="24E9BB6C" w14:textId="77777777" w:rsidR="00A8138F" w:rsidRDefault="00A8138F" w:rsidP="00A8138F">
      <w:pPr>
        <w:pStyle w:val="TextoNormal"/>
      </w:pPr>
    </w:p>
    <w:p w14:paraId="369E28B7" w14:textId="77777777" w:rsidR="00A8138F" w:rsidRDefault="00A8138F" w:rsidP="00A8138F">
      <w:pPr>
        <w:pStyle w:val="TextoNormal"/>
      </w:pPr>
      <w:r>
        <w:t>b) En todo caso, prosigue diciendo el fiscal, la amplitud de cobertura de la doctrina indicada de la Sala de lo Penal del Tribunal Supremo no permite prescindir de la diferente posición jurídica de las partes que pueden estar insatisfechas con el auto de revisión de la condena, y a tal efecto este Tribunal Constitucional habla de una asimetría entre ellas en cuanto al contenido y alcance del derecho al recurso en materia penal, con cita de la STC 72/2024, de 7 de mayo, FJ 4 a), pues mientras en el caso de la parte acusadora su encaje constitucional descansa en el derecho fundamental a la tutela judicial efectiva en su modalidad de acceso al recurso legalmente establecido, tratándose en cambio de los “penados” es el derecho fundamental a la doble instancia penal, como modalidad del derecho fundamental a un proceso con todas las garantías (art. 24.2 CE).</w:t>
      </w:r>
    </w:p>
    <w:p w14:paraId="6F6F817F" w14:textId="77777777" w:rsidR="00A8138F" w:rsidRDefault="00A8138F" w:rsidP="00A8138F">
      <w:pPr>
        <w:pStyle w:val="TextoNormal"/>
      </w:pPr>
    </w:p>
    <w:p w14:paraId="2850BA0B" w14:textId="77777777" w:rsidR="00A8138F" w:rsidRDefault="00A8138F" w:rsidP="00A8138F">
      <w:pPr>
        <w:pStyle w:val="TextoNormal"/>
      </w:pPr>
      <w:r>
        <w:t xml:space="preserve">Cita como ilustrativa de aquella vertiente del art. 24.1 CE, la STC 37/1995, de 7 de febrero, en la que se distingue entre el contenido del derecho de acceso a la justicia y el derecho de acceso al recurso tras una respuesta judicial a la pretensión de la parte, siendo la verificación judicial de los requisitos para el acceso a un recurso una cuestión de legalidad ordinaria y, por tanto, de exclusiva competencia del juez (art. 117.3 CE), que solo permite </w:t>
      </w:r>
      <w:r>
        <w:lastRenderedPageBreak/>
        <w:t>su control constitucional por falta de motivación, interpretación de la legalidad arbitraria o irrazonable de la resolución que inadmite el recurso, o porque funde esta decisión en una causa legal inexistente.</w:t>
      </w:r>
    </w:p>
    <w:p w14:paraId="1AC02A48" w14:textId="77777777" w:rsidR="00A8138F" w:rsidRDefault="00A8138F" w:rsidP="00A8138F">
      <w:pPr>
        <w:pStyle w:val="TextoNormal"/>
      </w:pPr>
    </w:p>
    <w:p w14:paraId="1CB30472" w14:textId="77777777" w:rsidR="00A8138F" w:rsidRDefault="00A8138F" w:rsidP="00A8138F">
      <w:pPr>
        <w:pStyle w:val="TextoNormal"/>
      </w:pPr>
      <w:r>
        <w:t xml:space="preserve">En cambio, continúa diciendo el fiscal, el derecho a la doble instancia penal del penado, establecido por el art. 14.5 del Pacto internacional de derechos civiles y políticos (PIDCP) y el art. 2 del Protocolo número 7 al Convenio europeo de derechos humanos (CEDH), ha sido objeto de pronunciamiento reiterado de este Tribunal Constitucional en el sentido de que está “implícito” en el derecho fundamental a un proceso con todas las garantías del art. 24.2 CE, y el canon de control de su posible quiebra es el principio </w:t>
      </w:r>
      <w:r w:rsidRPr="00A8138F">
        <w:rPr>
          <w:i/>
        </w:rPr>
        <w:t>pro actione</w:t>
      </w:r>
      <w:r>
        <w:t>, lo que incluye la censura de aquellas resoluciones que “por su rigorismo, por su formalismo excesivo o por cualquier otra razón revelen una clara desproporción entre los fines que se intentan preservar y los intereses que se sacrifican o que supongan interpretaciones o aplicaciones de las reglas disciplinadoras de los requisitos y formas de las secuencias procesales en sentidos que, aunque puedan aparecer acomodadas al tenor literal del texto en que se encierra la norma, son contrarios al espíritu y a la finalidad de esta”. Como ejemplos de esta doctrina, cita las SSTC 43/2023, de 8 de mayo, de cuyo fundamento jurídico 3 B) reproduce diversos pasajes, y 75/2023, de 19 de junio.</w:t>
      </w:r>
    </w:p>
    <w:p w14:paraId="13B93462" w14:textId="77777777" w:rsidR="00A8138F" w:rsidRDefault="00A8138F" w:rsidP="00A8138F">
      <w:pPr>
        <w:pStyle w:val="TextoNormal"/>
      </w:pPr>
    </w:p>
    <w:p w14:paraId="14251762" w14:textId="77777777" w:rsidR="00A8138F" w:rsidRDefault="00A8138F" w:rsidP="00A8138F">
      <w:pPr>
        <w:pStyle w:val="TextoNormal"/>
      </w:pPr>
      <w:r>
        <w:t>c) Tras esta exposición de doctrina constitucional, el escrito trae de nuevo a colación lo resuelto por las dos resoluciones (autos) aquí impugnadas, detallando la respuesta dada por la Sala competente del Tribunal Superior de Justicia de Galicia (rollo de apelación núm. 32-2023) para negar a las recurrentes el recurso de apelación contra el auto de la Sección Segunda de la Audiencia Provincial de Lugo (ejecutoria núm. 14-2022) que revisaba la condena de prisión impuesta al penado por su sentencia previa.</w:t>
      </w:r>
    </w:p>
    <w:p w14:paraId="6002C01E" w14:textId="77777777" w:rsidR="00A8138F" w:rsidRDefault="00A8138F" w:rsidP="00A8138F">
      <w:pPr>
        <w:pStyle w:val="TextoNormal"/>
      </w:pPr>
    </w:p>
    <w:p w14:paraId="199C4560" w14:textId="77777777" w:rsidR="00A8138F" w:rsidRDefault="00A8138F" w:rsidP="00A8138F">
      <w:pPr>
        <w:pStyle w:val="TextoNormal"/>
      </w:pPr>
      <w:r>
        <w:t xml:space="preserve">A criterio del fiscal, dichos razonamientos merecen una crítica negativa porque el Tribunal Superior de Justicia contempló el auto de la Audiencia Provincial solo desde un punto de vista estrictamente formal, el de ser un “auto”, aplicando en función de ello lo dispuesto en el art. 236 de la Ley de enjuiciamiento criminal (LECrim), que permite interponer contra resoluciones de este tipo el recurso de súplica y, solo en los casos expresamente previstos en la ley, el de apelación; por lo que entendió que este último no cabía aquí, ante el silencio de la Ley Orgánica 10/2022. La Sala “no valoró en momento alguno como asumible el criterio establecido por la Sala Segunda del Tribunal Supremo al menos desde la STS 606/2018, de 28 de noviembre de 2018, que contemplando las resoluciones que concedían o denegaban la revisión de las sentencias firmes desde un punto de vista no formal sino material, había venido a reconocer que los autos de revisión —o de no revisión— de una sentencia firme a consecuencia de la entrada en vigor de una legislación penal más favorable eran susceptibles de recurso, bien de apelación, bien de casación, ‘dado que debían seguir el mismo régimen de impugnación que la sentencia a la que afectaban y complementaban de forma sobrevenida’”. Esto hubiera permitido, en aplicación del art. 846 </w:t>
      </w:r>
      <w:r w:rsidRPr="00A8138F">
        <w:rPr>
          <w:i/>
        </w:rPr>
        <w:t>ter</w:t>
      </w:r>
      <w:r>
        <w:t>.1 LECrim, la apelación de este tipo de autos, dictados por las audiencia provinciales en primera instancia, ante la Sala de lo Civil y Penal del Tribunal Superior de Justicia de su territorio.</w:t>
      </w:r>
    </w:p>
    <w:p w14:paraId="6FC42EC3" w14:textId="77777777" w:rsidR="00A8138F" w:rsidRDefault="00A8138F" w:rsidP="00A8138F">
      <w:pPr>
        <w:pStyle w:val="TextoNormal"/>
      </w:pPr>
    </w:p>
    <w:p w14:paraId="22220110" w14:textId="77777777" w:rsidR="00A8138F" w:rsidRDefault="00A8138F" w:rsidP="00A8138F">
      <w:pPr>
        <w:pStyle w:val="TextoNormal"/>
      </w:pPr>
      <w:r>
        <w:t>El argumento de las resoluciones aquí impugnadas, por consiguiente, al contemplar el problema “desde el limitado ámbito de lo preceptuado por el artículo 236 de la LECrim, no se ajusta a la realidad”.</w:t>
      </w:r>
    </w:p>
    <w:p w14:paraId="5560538B" w14:textId="77777777" w:rsidR="00A8138F" w:rsidRDefault="00A8138F" w:rsidP="00A8138F">
      <w:pPr>
        <w:pStyle w:val="TextoNormal"/>
      </w:pPr>
    </w:p>
    <w:p w14:paraId="21B1B39A" w14:textId="77777777" w:rsidR="00A8138F" w:rsidRDefault="00A8138F" w:rsidP="00A8138F">
      <w:pPr>
        <w:pStyle w:val="TextoNormal"/>
      </w:pPr>
      <w:r>
        <w:lastRenderedPageBreak/>
        <w:t xml:space="preserve">d) Ahora bien, sentado lo anterior el fiscal se plantea si la Sala competente tenía que seguir forzosamente la jurisprudencia indicada de la Sala de lo Penal del Tribunal Supremo. La respuesta lleva a considerar, ante todo, que la Constitución no contiene una referencia expresa a la “jurisprudencia” de los tribunales ordinarios, excepto para referirse [art. 161.1 a)] a la afectación por esta de la declaración de inconstitucionalidad de una ley efectuada por este Tribunal Constitucional, lo que igualmente prevé el art. 40.2 LOTC. Empero, se puede inferir que el constituyente y el legislador orgánico asignan una eficacia o valor a la jurisprudencia, entendida como los criterios de interpretación de la norma aplicados como </w:t>
      </w:r>
      <w:r w:rsidRPr="00A8138F">
        <w:rPr>
          <w:i/>
        </w:rPr>
        <w:t>ratio decidendi</w:t>
      </w:r>
      <w:r>
        <w:t xml:space="preserve"> por el Tribunal Supremo para resolver un caso, lo que se distingue a su vez del fallo (que no se ve afectado por aquellas declaraciones de inconstitucionalidad); y ello a su vez enlaza con la función atribuida a la jurisprudencia por el art. 1.6 del Código civil (CC), integrar y complementar el ordenamiento, “acompañando a la norma”. Cita asimismo el art. 477 de la Ley de enjuiciamiento civil, que fija como motivo del recurso de casación civil el interés casacional cuando la resolución recurrida se opone a doctrina jurisprudencial del Tribunal Supremo, y el art. 207 e) de la Ley 36/2011 reguladora de la jurisdicción social, que permite fundar dicho recurso extraordinario en la infracción de la jurisprudencia aplicable.</w:t>
      </w:r>
    </w:p>
    <w:p w14:paraId="7D57E89B" w14:textId="77777777" w:rsidR="00A8138F" w:rsidRDefault="00A8138F" w:rsidP="00A8138F">
      <w:pPr>
        <w:pStyle w:val="TextoNormal"/>
      </w:pPr>
    </w:p>
    <w:p w14:paraId="59B654E0" w14:textId="77777777" w:rsidR="00A8138F" w:rsidRDefault="00A8138F" w:rsidP="00A8138F">
      <w:pPr>
        <w:pStyle w:val="TextoNormal"/>
      </w:pPr>
      <w:r>
        <w:t>Ello no obsta, prosigue diciendo el fiscal, que no deban contrastarse estas disposiciones con los principios de independencia judicial y sometimiento de los magistrados al imperio de la ley (art. 117.1 CE), lo que ha llevado a este Tribunal Constitucional a advertir que tales principios no pueden quedar rotos por una absoluta vinculación a los precedentes (STC 125/1986, de 22 de octubre, FJ 1). “Declaración esta que, sin embargo, considerada literalmente, faculta una cierta vinculación al precedente”, de allí que a su vez —sigue explicando el fiscal— este tribunal haya considerado (STC 142/1999, de 22 de julio) nula una sentencia condenatoria penal (desde la perspectiva del derecho a la legalidad penal, art. 25.1 CE) que no era predecible para el destinatario por emplear “criterios de interpretación extravagantes para el conjunto de la comunidad jurídica y, en especial, para la jurisprudencia del Tribunal Supremo”. Sí tiene reconocido carácter vinculante, más allá del valor complementario que confiere el art. 1.6 CC, prosigue diciendo, la jurisprudencia del Tribunal Supremo dictada en el ámbito del recurso de casación en interés de ley previsto en el art. 100.7 de la Ley 29/1998, de 13 de julio, reguladora de la jurisdicción contencioso-administrativa, como ha declarado la STC 37/2012, de 19 de marzo.</w:t>
      </w:r>
    </w:p>
    <w:p w14:paraId="17675E00" w14:textId="77777777" w:rsidR="00A8138F" w:rsidRDefault="00A8138F" w:rsidP="00A8138F">
      <w:pPr>
        <w:pStyle w:val="TextoNormal"/>
      </w:pPr>
    </w:p>
    <w:p w14:paraId="38C8EEBD" w14:textId="77777777" w:rsidR="00A8138F" w:rsidRDefault="00A8138F" w:rsidP="00A8138F">
      <w:pPr>
        <w:pStyle w:val="TextoNormal"/>
      </w:pPr>
      <w:r>
        <w:t>De lo expuesto se deriva, para el fiscal ante este Tribunal, que existe una vinculación conceptual en la que la función de complemento del ordenamiento jurídico que el artículo 1.6 CC reconoce a la doctrina jurisprudencial dota de relevante eficacia a tal doctrina jurisprudencial cuando esta se acomoda a los estándares fijados por la doctrina constitucional sobre los derechos fundamentales que pudieran hallarse en juego, como es el caso. En el supuesto que ahora nos ocupa, la doctrina de la Sala de lo Penal del Tribunal Supremo ya referenciada, que garantiza el recurso devolutivo contra los autos de revisión de condena por la entrada en vigor de una norma potencialmente favorable al reo, “permite entender que tanto facilita a los penados el ejercicio del derecho a la doble instancia penal, como manifestación del derecho a un proceso con todas las garantías (artículo 24.2 CE), como faculta a las acusaciones el ejercicio del derecho a la tutela judicial efectiva (artículo 24.1 CE), en su modalidad del derecho al recurso legalmente previsto”.</w:t>
      </w:r>
    </w:p>
    <w:p w14:paraId="1360EDD5" w14:textId="77777777" w:rsidR="00A8138F" w:rsidRDefault="00A8138F" w:rsidP="00A8138F">
      <w:pPr>
        <w:pStyle w:val="TextoNormal"/>
      </w:pPr>
    </w:p>
    <w:p w14:paraId="746FABB9" w14:textId="77777777" w:rsidR="00A8138F" w:rsidRDefault="00A8138F" w:rsidP="00A8138F">
      <w:pPr>
        <w:pStyle w:val="TextoNormal"/>
      </w:pPr>
      <w:r>
        <w:lastRenderedPageBreak/>
        <w:t>Así, dicha doctrina “materializa eficazmente la protección de esos derechos fundamentales. Pero significa también, por otra parte, que la desvinculación de un juzgado o tribunal de tal doctrina jurisprudencial constituye por sí misma un notable indicio de afectación perjudicial de los derechos fundamentales que se hallan en juego. Y si la argumentación que justifica tal desvinculación es, como se ha visto, puramente formal, la probabilidad de lesión de los derechos fundamentales involucrados se convierte en casi absoluta certeza.</w:t>
      </w:r>
    </w:p>
    <w:p w14:paraId="74EB55AB" w14:textId="77777777" w:rsidR="00A8138F" w:rsidRDefault="00A8138F" w:rsidP="00A8138F">
      <w:pPr>
        <w:pStyle w:val="TextoNormal"/>
      </w:pPr>
    </w:p>
    <w:p w14:paraId="00E63018" w14:textId="77777777" w:rsidR="00A8138F" w:rsidRDefault="00A8138F" w:rsidP="00A8138F">
      <w:pPr>
        <w:pStyle w:val="TextoNormal"/>
      </w:pPr>
      <w:r>
        <w:t>Tal es lo sucedido en el presente caso, en el que el exceso de formalismo que inspira el razonamiento de las resoluciones recurridas, junto con el desacertado menosprecio de la doctrina jurisprudencial que equiparaba el auto de revisión de la condena con la sentencia condenatoria a efectos de interposición del recurso de apelación, que la repetida Sala de lo Civil y Penal prefirió combatir antes que aplicar, han provocado que los autos aquí considerados se muestren como decisiones judiciales constitucionalmente proscritas, por fundarse en una interpretación de la legalidad ordinaria que ha de calificarse como de manifiestamente irrazonable, cuando no de arbitraria”.</w:t>
      </w:r>
    </w:p>
    <w:p w14:paraId="5395C344" w14:textId="77777777" w:rsidR="00A8138F" w:rsidRDefault="00A8138F" w:rsidP="00A8138F">
      <w:pPr>
        <w:pStyle w:val="TextoNormal"/>
      </w:pPr>
    </w:p>
    <w:p w14:paraId="68475C6E" w14:textId="2C7CF1B8" w:rsidR="00A8138F" w:rsidRDefault="00A8138F" w:rsidP="00A8138F">
      <w:pPr>
        <w:pStyle w:val="TextoNormal"/>
      </w:pPr>
      <w:r>
        <w:t>e) El escrito de alegaciones concluye por tanto que debe ser estimada en parte la demanda de amparo, apreciando la vulneración del derecho de acceso al recurso legalmente establecido (art. 24.1 CE) y desestimando la queja, tanto de lesión del derecho fundamental a un proceso con todas las garantías (art. 24.2 CE), “consecuencia de la asimétrica posición de las partes en el proceso penal a que anteriormente se hizo referencia”, como de la vulneración del derecho a la igualdad en la aplicación de la ley (art. 14 CE), al no haber aportado “las resoluciones judiciales emanadas de la Sala de lo Civil y Penal del Tribunal Superior de Justicia de Galicia que permitieran efectuar la comparación entre las resoluciones judiciales aquí impugnadas y otras precedentes resoluciones del mismo órgano judicial que, en casos sustancialmente iguales, hubieran resuelto de forma contradictoria”, tal y como exige la doctrina de este Tribunal Constitucional sobre tal derecho fundamental.</w:t>
      </w:r>
    </w:p>
    <w:p w14:paraId="71F3369E" w14:textId="77777777" w:rsidR="00A8138F" w:rsidRDefault="00A8138F" w:rsidP="00A8138F">
      <w:pPr>
        <w:pStyle w:val="TextoNormal"/>
      </w:pPr>
    </w:p>
    <w:p w14:paraId="3782A0F1" w14:textId="23736934" w:rsidR="00A8138F" w:rsidRDefault="00A8138F" w:rsidP="00A8138F">
      <w:pPr>
        <w:pStyle w:val="TextoNormal"/>
      </w:pPr>
      <w:r w:rsidRPr="00A8138F">
        <w:rPr>
          <w:rStyle w:val="NumeroAFNegritaCaracter"/>
        </w:rPr>
        <w:t>13</w:t>
      </w:r>
      <w:r>
        <w:t>. Por diligencia de la Secretaría de Justicia de 25 de junio de 2024, se hizo constar el haberse recibido los escritos de alegaciones “del Ministerio Fiscal, del abogado del Estado y procuradora Sara Leonis Parra”, quedando el presente recurso de amparo pendiente de deliberación cuando por turno le correspondiera. La representación procesal de la parte personada no presentó alegaciones.</w:t>
      </w:r>
    </w:p>
    <w:p w14:paraId="619ECE10" w14:textId="77777777" w:rsidR="00A8138F" w:rsidRDefault="00A8138F" w:rsidP="00A8138F">
      <w:pPr>
        <w:pStyle w:val="TextoNormal"/>
      </w:pPr>
    </w:p>
    <w:p w14:paraId="4BA0F8E1" w14:textId="7978AA8C" w:rsidR="00A8138F" w:rsidRDefault="00A8138F" w:rsidP="00A8138F">
      <w:pPr>
        <w:pStyle w:val="TextoNormal"/>
      </w:pPr>
      <w:r w:rsidRPr="00A8138F">
        <w:rPr>
          <w:rStyle w:val="NumeroAFNegritaCaracter"/>
        </w:rPr>
        <w:t>14</w:t>
      </w:r>
      <w:r>
        <w:t>. La Sala Primera de este tribunal dictó providencia el 24 de marzo de 2025, por la que acordó “proponer la avocación al Pleno del presente recurso de amparo, de conformidad con lo dispuesto en el art. 10.1 n) LOTC”.</w:t>
      </w:r>
    </w:p>
    <w:p w14:paraId="4DC356BB" w14:textId="77777777" w:rsidR="00A8138F" w:rsidRDefault="00A8138F" w:rsidP="00A8138F">
      <w:pPr>
        <w:pStyle w:val="TextoNormal"/>
      </w:pPr>
    </w:p>
    <w:p w14:paraId="7902A636" w14:textId="75AF5901" w:rsidR="00A8138F" w:rsidRDefault="00A8138F" w:rsidP="00A8138F">
      <w:pPr>
        <w:pStyle w:val="TextoNormal"/>
      </w:pPr>
      <w:r w:rsidRPr="00A8138F">
        <w:rPr>
          <w:rStyle w:val="NumeroAFNegritaCaracter"/>
        </w:rPr>
        <w:t>15</w:t>
      </w:r>
      <w:r>
        <w:t>. El 8 de abril de 2025, el Pleno del Tribunal dictó providencia por la que, a propuesta de la Sala Primera, acordó recabar para sí el conocimiento de este recurso de amparo.</w:t>
      </w:r>
    </w:p>
    <w:p w14:paraId="235CCD88" w14:textId="77777777" w:rsidR="00A8138F" w:rsidRDefault="00A8138F" w:rsidP="00A8138F">
      <w:pPr>
        <w:pStyle w:val="TextoNormal"/>
      </w:pPr>
    </w:p>
    <w:p w14:paraId="1A947AF0" w14:textId="4D3D0F9F" w:rsidR="00A8138F" w:rsidRDefault="00A8138F" w:rsidP="00A8138F">
      <w:pPr>
        <w:pStyle w:val="TextoNormal"/>
      </w:pPr>
      <w:r w:rsidRPr="00A8138F">
        <w:rPr>
          <w:rStyle w:val="NumeroAFNegritaCaracter"/>
        </w:rPr>
        <w:t>16</w:t>
      </w:r>
      <w:r>
        <w:t>. Mediante providencia del Pleno de 29 de abril de 2025, se señaló ese mismo día para deliberación y votación de la presente sentencia.</w:t>
      </w:r>
    </w:p>
    <w:p w14:paraId="51AD16B0" w14:textId="77777777" w:rsidR="00A8138F" w:rsidRDefault="00A8138F" w:rsidP="00A8138F">
      <w:pPr>
        <w:pStyle w:val="TextoNormal"/>
      </w:pPr>
    </w:p>
    <w:p w14:paraId="23E5BBED" w14:textId="77777777" w:rsidR="00A8138F" w:rsidRDefault="00A8138F" w:rsidP="00A8138F">
      <w:pPr>
        <w:pStyle w:val="TextoNormalNegritaCentrado"/>
        <w:keepNext/>
      </w:pPr>
      <w:r>
        <w:lastRenderedPageBreak/>
        <w:t>II. Fundamentos jurídicos</w:t>
      </w:r>
    </w:p>
    <w:p w14:paraId="1FFBD3D8" w14:textId="1AFAD5B8" w:rsidR="00A8138F" w:rsidRDefault="00A8138F" w:rsidP="00A8138F">
      <w:pPr>
        <w:pStyle w:val="TextoNormalNegritaCentrado"/>
        <w:keepNext/>
      </w:pPr>
    </w:p>
    <w:p w14:paraId="305DD39F" w14:textId="77777777" w:rsidR="00A8138F" w:rsidRDefault="00A8138F" w:rsidP="00A8138F">
      <w:pPr>
        <w:pStyle w:val="TextoNormal"/>
      </w:pPr>
      <w:r w:rsidRPr="00A8138F">
        <w:rPr>
          <w:rStyle w:val="NumeroAFNegritaCaracter"/>
        </w:rPr>
        <w:t>1</w:t>
      </w:r>
      <w:r>
        <w:t xml:space="preserve">. </w:t>
      </w:r>
      <w:r w:rsidRPr="00A8138F">
        <w:rPr>
          <w:i/>
        </w:rPr>
        <w:t>Objeto del recurso y delimitaciones previas al examen del fondo</w:t>
      </w:r>
    </w:p>
    <w:p w14:paraId="1293E0C5" w14:textId="77777777" w:rsidR="00A8138F" w:rsidRDefault="00A8138F" w:rsidP="00A8138F">
      <w:pPr>
        <w:pStyle w:val="TextoNormal"/>
      </w:pPr>
    </w:p>
    <w:p w14:paraId="509B9AC0" w14:textId="77777777" w:rsidR="00A8138F" w:rsidRDefault="00A8138F" w:rsidP="00A8138F">
      <w:pPr>
        <w:pStyle w:val="TextoNormal"/>
      </w:pPr>
      <w:r>
        <w:t>A) Se interpone el presente recurso de amparo contra el auto de 24 de abril de 2023 de la Sala de lo Civil y Penal del Tribunal Superior de Justicia de Galicia, que acordó la inadmisión a trámite del recurso de apelación promovido por las aquí demandantes de amparo contra el auto de la Sección Segunda de la Audiencia Provincial de Lugo, de 13 de febrero de 2023, que había procedido a revisar la sentencia de condena dictada por este último tribunal el 20 de enero de 2022 (rectificada dicha sentencia por auto declarando error material sobre una de las penas), al amparo de la entrada en vigor de la Ley Orgánica 10/2022, de 6 de septiembre, de garantía integral de la libertad sexual. Como consecuencia del auto de revisión de la condena, se rebajaron la pena de prisión; la del tiempo de prohibición de aproximarse a la víctima, su domicilio o lugar de trabajo o estudio o de comunicarse con ella; y la de inhabilitación para los ejercicios de patria potestad, tutela, curatela, guardia y custodia y acogimiento.</w:t>
      </w:r>
    </w:p>
    <w:p w14:paraId="35DFD4DE" w14:textId="77777777" w:rsidR="00A8138F" w:rsidRDefault="00A8138F" w:rsidP="00A8138F">
      <w:pPr>
        <w:pStyle w:val="TextoNormal"/>
      </w:pPr>
    </w:p>
    <w:p w14:paraId="2CA685FC" w14:textId="77777777" w:rsidR="00A8138F" w:rsidRDefault="00A8138F" w:rsidP="00A8138F">
      <w:pPr>
        <w:pStyle w:val="TextoNormal"/>
      </w:pPr>
      <w:r>
        <w:t>Se dirige también la demanda de amparo contra el auto de la misma Sala y Tribunal Superior de Justicia, de 25 de mayo de 2023, que desestimó el recurso de súplica interpuesto por las recurrentes contra el anterior auto.</w:t>
      </w:r>
    </w:p>
    <w:p w14:paraId="358BEDE0" w14:textId="77777777" w:rsidR="00A8138F" w:rsidRDefault="00A8138F" w:rsidP="00A8138F">
      <w:pPr>
        <w:pStyle w:val="TextoNormal"/>
      </w:pPr>
    </w:p>
    <w:p w14:paraId="1769DE8F" w14:textId="77777777" w:rsidR="00A8138F" w:rsidRDefault="00A8138F" w:rsidP="00A8138F">
      <w:pPr>
        <w:pStyle w:val="TextoNormal"/>
      </w:pPr>
      <w:r>
        <w:t>Ambas resoluciones judiciales apreciaron que no existía cobertura legal alguna para permitir la impugnación en apelación del auto de revisión de la sentencia de condena, únicamente el recurso no devolutivo de súplica. A esta respuesta jurisdiccional las recurrentes atribuyen la vulneración de los derechos fundamentales a la tutela judicial efectiva (art. 24.1 CE), en su vertiente de acceso al recurso; a un proceso con todas las garantías (art. 24.2 CE), y a la igualdad en aplicación de la ley (art. 14 CE), con arreglo a los motivos que expone en su demanda y han sido resumidos en el antecedente 3 de la presente sentencia.</w:t>
      </w:r>
    </w:p>
    <w:p w14:paraId="34435436" w14:textId="77777777" w:rsidR="00A8138F" w:rsidRDefault="00A8138F" w:rsidP="00A8138F">
      <w:pPr>
        <w:pStyle w:val="TextoNormal"/>
      </w:pPr>
    </w:p>
    <w:p w14:paraId="27EBCF93" w14:textId="77777777" w:rsidR="00A8138F" w:rsidRDefault="00A8138F" w:rsidP="00A8138F">
      <w:pPr>
        <w:pStyle w:val="TextoNormal"/>
      </w:pPr>
      <w:r>
        <w:t>El abogado del Estado ante este Tribunal Constitucional, en la representación que legalmente ostenta, presentó alegaciones en el trámite del art. 52 LOTC, interesando la desestimación “íntegra” del recurso de amparo, al no haberse producido la vulneración de derechos fundamentales por las resoluciones impugnadas. Por su lado, el fiscal ante este tribunal ha interesado en su escrito de alegaciones que se otorgue el amparo solicitado, en concreto por la lesión del derecho a la tutela judicial efectiva, y que se desestimen las demás quejas del recurso. Finalmente, el penado en la instancia, personado aquí como parte, ha optado por no formular alegaciones ante este tribunal en la pieza principal.</w:t>
      </w:r>
    </w:p>
    <w:p w14:paraId="03AAB103" w14:textId="77777777" w:rsidR="00A8138F" w:rsidRDefault="00A8138F" w:rsidP="00A8138F">
      <w:pPr>
        <w:pStyle w:val="TextoNormal"/>
      </w:pPr>
    </w:p>
    <w:p w14:paraId="56FA5673" w14:textId="77777777" w:rsidR="00A8138F" w:rsidRDefault="00A8138F" w:rsidP="00A8138F">
      <w:pPr>
        <w:pStyle w:val="TextoNormal"/>
      </w:pPr>
      <w:r>
        <w:t>B) Así trabado el debate constitucional, procede realizar dos puntualizaciones previas al inicio del examen de fondo del recurso.</w:t>
      </w:r>
    </w:p>
    <w:p w14:paraId="357D4091" w14:textId="77777777" w:rsidR="00A8138F" w:rsidRDefault="00A8138F" w:rsidP="00A8138F">
      <w:pPr>
        <w:pStyle w:val="TextoNormal"/>
      </w:pPr>
    </w:p>
    <w:p w14:paraId="36FE3F78" w14:textId="77777777" w:rsidR="00A8138F" w:rsidRDefault="00A8138F" w:rsidP="00A8138F">
      <w:pPr>
        <w:pStyle w:val="TextoNormal"/>
      </w:pPr>
      <w:r>
        <w:t xml:space="preserve">a) La primera se refiere a la delimitación del objeto de este proceso constitucional. Aunque la demanda identifica hasta tres derechos fundamentales como vulnerados por los autos del Tribunal Superior de Justicia que se impugnan, solo puede considerarse válidamente deducida la primera de las quejas, relativa a la quiebra del derecho a la tutela judicial efectiva (art. 24.1 CE), en su vertiente de acceso a los recursos, por la inadmisión a trámite del recurso de apelación interpuesto por las recurrentes contra el auto de revisión de condena </w:t>
      </w:r>
      <w:r>
        <w:lastRenderedPageBreak/>
        <w:t>dictado por la Audiencia Provincial de Lugo, tras la entrada en vigor de la Ley Orgánica 10/2022, de 6 de septiembre, de garantía integral de la libertad sexual. Por el contrario:</w:t>
      </w:r>
    </w:p>
    <w:p w14:paraId="6AACDC08" w14:textId="77777777" w:rsidR="00A8138F" w:rsidRDefault="00A8138F" w:rsidP="00A8138F">
      <w:pPr>
        <w:pStyle w:val="TextoNormal"/>
      </w:pPr>
    </w:p>
    <w:p w14:paraId="7992CF5D" w14:textId="77777777" w:rsidR="00A8138F" w:rsidRDefault="00A8138F" w:rsidP="00A8138F">
      <w:pPr>
        <w:pStyle w:val="TextoNormal"/>
      </w:pPr>
      <w:r>
        <w:t>(i) En cuanto a la segunda queja de la demanda de amparo, la de lesión del derecho a un proceso con todas las garantías, en su vertiente de derecho a la defensa (art. 24.2 CE), se cita en ese escrito de manera conjunta con la lesión antedicha del art. 24.1 CE, pero sin separarse de esta ni ofrecer una mínima argumentación propia, lo que releva de darle contestación aparte, al quedar subsumida en la queja de lesión del derecho a la tutela judicial efectiva.</w:t>
      </w:r>
    </w:p>
    <w:p w14:paraId="3C4ACD1F" w14:textId="77777777" w:rsidR="00A8138F" w:rsidRDefault="00A8138F" w:rsidP="00A8138F">
      <w:pPr>
        <w:pStyle w:val="TextoNormal"/>
      </w:pPr>
    </w:p>
    <w:p w14:paraId="06D0743E" w14:textId="77777777" w:rsidR="00A8138F" w:rsidRDefault="00A8138F" w:rsidP="00A8138F">
      <w:pPr>
        <w:pStyle w:val="TextoNormal"/>
      </w:pPr>
      <w:r>
        <w:t>De cualquier modo, en la eventualidad de que la demanda de amparo hubiera ofrecido una motivación propia de la lesión del art. 24.2 CE —lo que, se insiste, no ha sucedido—, la misma hubiera incurrido en el óbice insubsanable de falta de denuncia temporánea de la vulneración constitucional [art. 44.1 c) LOTC], lo que habría igualmente impedido su examen de fondo. En efecto, la lectura del escrito de interposición del recurso de súplica promovido por las demandantes contra el auto del Tribunal Superior de Justicia de Galicia de 24 de abril de 2023, que fue el primero en denegarles el recurso de apelación contra el auto de revisión de la sentencia condenatoria y, por tanto, la resolución que en origen habría comportado la conculcación de los derechos fundamentales de las recurrentes, evidencia que en ese escrito no aparece ninguna mención al derecho fundamental a un proceso con todas las garantías como vulnerado, en ninguna de las dimensiones o vertientes reconocidas al mismo por la doctrina constitucional, limitándose a denunciar la conculcación del derecho a la tutela judicial efectiva (derecho al recurso).</w:t>
      </w:r>
    </w:p>
    <w:p w14:paraId="021E3F64" w14:textId="77777777" w:rsidR="00A8138F" w:rsidRDefault="00A8138F" w:rsidP="00A8138F">
      <w:pPr>
        <w:pStyle w:val="TextoNormal"/>
      </w:pPr>
    </w:p>
    <w:p w14:paraId="7362A55A" w14:textId="77777777" w:rsidR="00A8138F" w:rsidRDefault="00A8138F" w:rsidP="00A8138F">
      <w:pPr>
        <w:pStyle w:val="TextoNormal"/>
      </w:pPr>
      <w:r>
        <w:t>(ii) Por la misma razón que acaba de indicarse, la tercera queja de la demanda, atinente a la supuesta lesión del derecho a la igualdad en aplicación de la ley (art. 14 CE), incurre de manera cierta en el indicado óbice de falta de denuncia o invocación temporánea de la lesión [art. 44.1 c) LOTC]. De nuevo con remisión al escrito del recurso de súplica presentado por las demandantes de amparo contra el auto de 24 de abril de 2023, resulta que nada se dice en dicho escrito sobre tal vulneración, ni menos todavía se indican los términos que permitirían a este Tribunal Constitucional verificar los requisitos que, de manera reiterada, viene declarando nuestra doctrina como necesarios para poder considerar materializada la vulneración de ese derecho fundamental.</w:t>
      </w:r>
    </w:p>
    <w:p w14:paraId="6533B3A6" w14:textId="77777777" w:rsidR="00A8138F" w:rsidRDefault="00A8138F" w:rsidP="00A8138F">
      <w:pPr>
        <w:pStyle w:val="TextoNormal"/>
      </w:pPr>
    </w:p>
    <w:p w14:paraId="71BE4FE0" w14:textId="77777777" w:rsidR="00A8138F" w:rsidRDefault="00A8138F" w:rsidP="00A8138F">
      <w:pPr>
        <w:pStyle w:val="TextoNormal"/>
      </w:pPr>
      <w:r>
        <w:t xml:space="preserve">Al producirse por tanto su alegación </w:t>
      </w:r>
      <w:r w:rsidRPr="00A8138F">
        <w:rPr>
          <w:i/>
        </w:rPr>
        <w:t>ex novo</w:t>
      </w:r>
      <w:r>
        <w:t xml:space="preserve"> en la demanda de amparo, impidiendo al órgano judicial autor de la resolución el poder reparar la lesión del derecho fundamental, se ha obviado indebidamente el carácter subsidiario de esta jurisdicción constitucional, lo que determina su inadmisibilidad y nos impide entrar en su estudio [entre otras, SSTC 130/2006, de 24 de abril, FJ 4; 242/2015, de 30 de noviembre, FJ 5; 41/2024, de 11 de marzo, FJ 2 b), y 144/2024, de 2 de diciembre, FJ 2 b)]. Conforme a nuestra reiterada doctrina, el control de este óbice procesal resulta posible de realizar en sentencia, aunque se hubiere admitido a trámite el recurso —y, con él, la queja sobre la que se proyecta dicho óbice—, pues se trata del incumplimiento insubsanable de un presupuesto de orden público procesal, necesario para la viabilidad del recurso de amparo (últimamente, SSTC 137/2024, de 6 de noviembre, FJ 2; 11/2025, de 13 de enero, FJ 2, y 14/2025, de 27 de enero, FJ 2).</w:t>
      </w:r>
    </w:p>
    <w:p w14:paraId="25470872" w14:textId="77777777" w:rsidR="00A8138F" w:rsidRDefault="00A8138F" w:rsidP="00A8138F">
      <w:pPr>
        <w:pStyle w:val="TextoNormal"/>
      </w:pPr>
    </w:p>
    <w:p w14:paraId="703AE402" w14:textId="77777777" w:rsidR="00A8138F" w:rsidRDefault="00A8138F" w:rsidP="00A8138F">
      <w:pPr>
        <w:pStyle w:val="TextoNormal"/>
      </w:pPr>
      <w:r>
        <w:t xml:space="preserve">b) Como segunda y última consideración previa al examen del fondo, debe informarse que se han sustituido los nombres completos de las recurrentes por sus iniciales, al ser una </w:t>
      </w:r>
      <w:r>
        <w:lastRenderedPageBreak/>
        <w:t>de ellas menor de edad y víctima del delito de agresión sexual declarado en la sentencia de instancia, “cuyo anonimato debe ser preservado de oficio por este tribunal, partiendo de que el acto de agresión sexual puede ser contado entre los ‘delitos de cuya difusión se deriven especiales perjuicios’, a los que se refiere el art. 1 del acuerdo de 23 de julio de 2015 [del Pleno de este Tribunal Constitucional], en línea con los precedentes en los que este tribunal ha decidido preservar la identidad de las personas que han sufrido este tipo de conductas (SSTC 185/2002, de 14 de octubre; 127/2003, de 30 de junio, o 246/2007, de 10 de diciembre)”, tal como hemos declarado para un caso semejante en la STC 80/2024, de 3 de junio, FJ 3.</w:t>
      </w:r>
    </w:p>
    <w:p w14:paraId="1AAD955B" w14:textId="77777777" w:rsidR="00A8138F" w:rsidRDefault="00A8138F" w:rsidP="00A8138F">
      <w:pPr>
        <w:pStyle w:val="TextoNormal"/>
      </w:pPr>
    </w:p>
    <w:p w14:paraId="5EA9415E" w14:textId="77777777" w:rsidR="00A8138F" w:rsidRDefault="00A8138F" w:rsidP="00A8138F">
      <w:pPr>
        <w:pStyle w:val="TextoNormal"/>
      </w:pPr>
      <w:r>
        <w:t>En cambio, por lo que concierne al acusado en el proceso penal, aquí personado como parte, se recoge su nombre completo siguiendo el criterio expuesto en esta última sentencia, ya que el acusado era mayor de edad cuando sucedió el hecho punible por el que ha sido condenado; y ha actuado como parte en el presente proceso de amparo —aunque voluntariamente declinase formular alegaciones en el trámite del art. 52 LOTC—, por lo que se le aplica la regla general de publicidad garantizada por el art. 164 CE y el citado acuerdo del Pleno de este tribunal de 23 de julio de 2015, por el que se regula la exclusión de los datos de identidad personal en la publicación de las resoluciones jurisdiccionales.</w:t>
      </w:r>
    </w:p>
    <w:p w14:paraId="3C6D5688" w14:textId="77777777" w:rsidR="00A8138F" w:rsidRDefault="00A8138F" w:rsidP="00A8138F">
      <w:pPr>
        <w:pStyle w:val="TextoNormal"/>
      </w:pPr>
    </w:p>
    <w:p w14:paraId="372B4131" w14:textId="499D707A" w:rsidR="00A8138F" w:rsidRDefault="00A8138F" w:rsidP="00A8138F">
      <w:pPr>
        <w:pStyle w:val="TextoNormal"/>
      </w:pPr>
      <w:r>
        <w:t>Expuesto lo que antecede, procede resolver el presente recurso.</w:t>
      </w:r>
    </w:p>
    <w:p w14:paraId="2FCEDD22" w14:textId="77777777" w:rsidR="00A8138F" w:rsidRDefault="00A8138F" w:rsidP="00A8138F">
      <w:pPr>
        <w:pStyle w:val="TextoNormal"/>
      </w:pPr>
    </w:p>
    <w:p w14:paraId="3FF63D54" w14:textId="77777777" w:rsidR="00A8138F" w:rsidRDefault="00A8138F" w:rsidP="00A8138F">
      <w:pPr>
        <w:pStyle w:val="TextoNormal"/>
      </w:pPr>
      <w:r w:rsidRPr="00A8138F">
        <w:rPr>
          <w:rStyle w:val="NumeroAFNegritaCaracter"/>
        </w:rPr>
        <w:t>2</w:t>
      </w:r>
      <w:r>
        <w:t xml:space="preserve">. </w:t>
      </w:r>
      <w:r w:rsidRPr="00A8138F">
        <w:rPr>
          <w:i/>
        </w:rPr>
        <w:t>Resolución del recurso de amparo. Punto de partida: inexistencia de una norma legal que prevea el recurso interpuesto por las recurrentes, y posibilidad de su reconocimiento por vía jurisprudencial</w:t>
      </w:r>
    </w:p>
    <w:p w14:paraId="3DD326B3" w14:textId="77777777" w:rsidR="00A8138F" w:rsidRDefault="00A8138F" w:rsidP="00A8138F">
      <w:pPr>
        <w:pStyle w:val="TextoNormal"/>
      </w:pPr>
    </w:p>
    <w:p w14:paraId="5E31BFB9" w14:textId="77777777" w:rsidR="00A8138F" w:rsidRDefault="00A8138F" w:rsidP="00A8138F">
      <w:pPr>
        <w:pStyle w:val="TextoNormal"/>
      </w:pPr>
      <w:r>
        <w:t xml:space="preserve">a) Como se explicó en los antecedentes de esta sentencia, tras la entrada en vigor de la Ley Orgánica 10/2022, de 6 de septiembre, que reformó el art. 183 CP, la representación procesal del condenado por la sentencia de 20 de enero de 2022 de la Sección Segunda de la Audiencia Provincial de Lugo, solicitó una reducción de las penas que se le habían impuesto, lo que le fue concedido por auto de la Audiencia de 13 de febrero de 2023 en el que se informaba que contra dicha resolución “cabe interponer recurso de apelación ante esta Audiencia para ante la Sala de lo Civil y Penal del Tribunal Superior de Justicia”. Ejercitado este ofrecimiento por las recurrentes de amparo, el órgano judicial </w:t>
      </w:r>
      <w:r w:rsidRPr="00A8138F">
        <w:rPr>
          <w:i/>
        </w:rPr>
        <w:t>ad quem</w:t>
      </w:r>
      <w:r>
        <w:t xml:space="preserve"> dictó auto el 24 de abril de 2023 por el que inadmitió el recurso, argumentando que este no contaba con cobertura legal en el Código penal (Ley Orgánica 10/1995, de 23 de noviembre) ni en la Ley de enjuiciamiento criminal, citando los arts. 846 </w:t>
      </w:r>
      <w:r w:rsidRPr="00A8138F">
        <w:rPr>
          <w:i/>
        </w:rPr>
        <w:t>ter</w:t>
      </w:r>
      <w:r>
        <w:t>.1 y 999 de esta como no aplicables. Tampoco en la propia Ley Orgánica 10/2022, conforme a la cual se había accedido a aquella revisión de penas, siendo el último precedente de una regulación legal en tal sentido el párrafo tercero de la disposición transitoria de la Ley Orgánica 8/1983, de 25 de junio, de reforma urgente y parcial del Código penal.</w:t>
      </w:r>
    </w:p>
    <w:p w14:paraId="2E625F86" w14:textId="77777777" w:rsidR="00A8138F" w:rsidRDefault="00A8138F" w:rsidP="00A8138F">
      <w:pPr>
        <w:pStyle w:val="TextoNormal"/>
      </w:pPr>
    </w:p>
    <w:p w14:paraId="00D3138B" w14:textId="77777777" w:rsidR="00A8138F" w:rsidRDefault="00A8138F" w:rsidP="00A8138F">
      <w:pPr>
        <w:pStyle w:val="TextoNormal"/>
      </w:pPr>
      <w:r>
        <w:t xml:space="preserve">De esta manera, colige el Tribunal Superior de Justicia que “lo cierto e indudable es que la realidad normativa vigente excluye cualquier recurso devolutivo contra los autos en cuestión o, si se prefiere, el legislador, pudiéndolo haber previsto, no lo previó”. Partiendo de ese escenario de orfandad normativa, negó a continuación que pudiera ser aplicable la tesis favorable a la procedencia de recursos devolutivos contra los autos de revisión de sentencias de condena, que se recoge en la STS, Sala Segunda, núm. 606/2018, de 28 de noviembre. En el posterior auto del Tribunal Superior de Justicia de 25 de mayo de 2023, por el que </w:t>
      </w:r>
      <w:r>
        <w:lastRenderedPageBreak/>
        <w:t xml:space="preserve">desestimó el recurso de súplica interpuesto por las recurrentes contra el anterior, la Sala se ratificó en su criterio de rechazo, insistiendo en que el legislador no ha previsto la posibilidad de recurso devolutivo pese a que podía haberlo hecho, por ejemplo cuando reformó el Código penal; en que los arts. 846 </w:t>
      </w:r>
      <w:r w:rsidRPr="00A8138F">
        <w:rPr>
          <w:i/>
        </w:rPr>
        <w:t>ter</w:t>
      </w:r>
      <w:r>
        <w:t xml:space="preserve"> y 999 LECrim no lo prevén; y en que ha de estarse a lo dicho en el art. 236 de esta última ley, que recoge que el recurso de apelación contra los autos de los tribunales de lo criminal podrá interponerse “únicamente en aquellos casos expresamente previstos en la ley”, lo que ha de prevalecer sobre la posibilidad de apelación “jurisprudencialmente reconocida”.</w:t>
      </w:r>
    </w:p>
    <w:p w14:paraId="17B81D4E" w14:textId="77777777" w:rsidR="00A8138F" w:rsidRDefault="00A8138F" w:rsidP="00A8138F">
      <w:pPr>
        <w:pStyle w:val="TextoNormal"/>
      </w:pPr>
    </w:p>
    <w:p w14:paraId="1000DFD8" w14:textId="77777777" w:rsidR="00A8138F" w:rsidRDefault="00A8138F" w:rsidP="00A8138F">
      <w:pPr>
        <w:pStyle w:val="TextoNormal"/>
      </w:pPr>
      <w:r>
        <w:t>Los intervinientes en este recurso de amparo (excepto el condenado aquí personado, que no ha formulado alegaciones), reconocen que no existe tal norma legal habilitante de la interposición de un recurso devolutivo (en concreto, el de apelación) contra aquellos autos, aunque divergen en la posible aplicación de la jurisprudencia favorable a permitirlo, de la Sala de lo Penal del Alto Tribunal: lo defienden las recurrentes y el fiscal ante este tribunal, pero lo rechaza el abogado del Estado, quien recuerda que el derecho fundamental al recurso (art. 24.1 CE) es de configuración legal, por lo que el silencio del legislador no supone vulneración de ese derecho. Suscita, con todo, la duda de que pudiera “plantearse una cuestión interna de inconstitucionalidad” por la omisión del legislador en este ámbito, aunque entiende que esta última no merece censura.</w:t>
      </w:r>
    </w:p>
    <w:p w14:paraId="41A796BE" w14:textId="77777777" w:rsidR="00A8138F" w:rsidRDefault="00A8138F" w:rsidP="00A8138F">
      <w:pPr>
        <w:pStyle w:val="TextoNormal"/>
      </w:pPr>
    </w:p>
    <w:p w14:paraId="1CCED0FD" w14:textId="77777777" w:rsidR="00A8138F" w:rsidRDefault="00A8138F" w:rsidP="00A8138F">
      <w:pPr>
        <w:pStyle w:val="TextoNormal"/>
      </w:pPr>
      <w:r>
        <w:t>b) Desde nuestra función de control externo, constatamos que es correcta la afirmación de que no existe una disposición legal que contemple recurso devolutivo contra los autos dictados en revisión de sentencias condenatorias aun firmes tras la entrada en vigor de normas penales favorables al reo; revisión esta que ha de llevarse a cabo siempre —con independencia de su resultado en el caso concreto— conforme a lo dispuesto en el art. 2.2 CP: “tendrán efecto retroactivo aquellas leyes penales que favorezcan al reo, aunque al entrar en vigor hubiera recaído sentencia firme y el sujeto estuviese cumpliendo condena”. Así:</w:t>
      </w:r>
    </w:p>
    <w:p w14:paraId="7F396F90" w14:textId="77777777" w:rsidR="00A8138F" w:rsidRDefault="00A8138F" w:rsidP="00A8138F">
      <w:pPr>
        <w:pStyle w:val="TextoNormal"/>
      </w:pPr>
    </w:p>
    <w:p w14:paraId="453A4B81" w14:textId="77777777" w:rsidR="00A8138F" w:rsidRDefault="00A8138F" w:rsidP="00A8138F">
      <w:pPr>
        <w:pStyle w:val="TextoNormal"/>
      </w:pPr>
      <w:r>
        <w:t xml:space="preserve">(i) En lo que respecta a la Ley de enjuiciamiento criminal, el art. 236 se limita a prever con carácter general que: “Contra los autos de los tribunales de lo criminal podrá interponerse el recurso de súplica ante el mismo que los hubiese dictado y de apelación únicamente en aquellos casos expresamente previstos en la ley”. Mas no aparece ninguna previsión expresa a aquel tipo de autos en los preceptos de la misma ley que recogen el catálogo de resoluciones recurribles en apelación [arts. 846 </w:t>
      </w:r>
      <w:r w:rsidRPr="00A8138F">
        <w:rPr>
          <w:i/>
        </w:rPr>
        <w:t>bis</w:t>
      </w:r>
      <w:r>
        <w:t xml:space="preserve"> a), 846 </w:t>
      </w:r>
      <w:r w:rsidRPr="00A8138F">
        <w:rPr>
          <w:i/>
        </w:rPr>
        <w:t>ter</w:t>
      </w:r>
      <w:r>
        <w:t>.1 y 999.2] y en casación (art. 848), ni en cualquier otra de sus disposiciones.</w:t>
      </w:r>
    </w:p>
    <w:p w14:paraId="16E457A6" w14:textId="77777777" w:rsidR="00A8138F" w:rsidRDefault="00A8138F" w:rsidP="00A8138F">
      <w:pPr>
        <w:pStyle w:val="TextoNormal"/>
      </w:pPr>
    </w:p>
    <w:p w14:paraId="4BC5CBAA" w14:textId="77777777" w:rsidR="00A8138F" w:rsidRDefault="00A8138F" w:rsidP="00A8138F">
      <w:pPr>
        <w:pStyle w:val="TextoNormal"/>
      </w:pPr>
      <w:r>
        <w:t>(ii) El mismo silencio guarda el actual Código penal (Ley Orgánica 10/1995, de 23 de noviembre), que no acompaña a la previsión de que se aplique el principio de retroactividad de la norma penal favorable, referencia alguna al tratamiento procesal y en concreto al régimen de impugnación de los autos que deban dictarse al efecto; como tampoco se dice en las disposiciones finales o en la derogatoria única de la ley. Por su lado, la Ley Orgánica 10/2022, que en su disposición final cuarta modificó diversos preceptos del CP, entre ellos el art. 183 aplicado en este caso, no reguló el trámite de revisión de penas impuestas en sentencia, ni la impugnabilidad de tales resoluciones revisoras.</w:t>
      </w:r>
    </w:p>
    <w:p w14:paraId="21CF91CB" w14:textId="77777777" w:rsidR="00A8138F" w:rsidRDefault="00A8138F" w:rsidP="00A8138F">
      <w:pPr>
        <w:pStyle w:val="TextoNormal"/>
      </w:pPr>
    </w:p>
    <w:p w14:paraId="79035607" w14:textId="77777777" w:rsidR="00A8138F" w:rsidRDefault="00A8138F" w:rsidP="00A8138F">
      <w:pPr>
        <w:pStyle w:val="TextoNormal"/>
      </w:pPr>
      <w:r>
        <w:t>Como relata el auto del Tribunal Superior de Justicia, en fin, una previsión de este tipo sí se incluía en la disposición transitoria, párrafo tercero, de la Ley Orgánica 8/1983, de 25 de junio, de reforma urgente y parcial del Código penal de 1973, señalando que “las resolu</w:t>
      </w:r>
      <w:r>
        <w:lastRenderedPageBreak/>
        <w:t>ciones, que adoptarán la forma de auto, serán susceptibles de recurso de apelación o casación, según fueren dictadas por los jueces de instrucción o audiencias provinciales respectivamente. El recurso de casación se admitirá únicamente por infracción de ley y se limitará al motivo previsto en el párrafo primero del artículo 849 de la Ley de enjuiciamiento criminal. El de apelación se sustanciará por los trámites del artículo 792 de la misma ley”. Pero esta regla quedó posteriormente dejada sin efecto, por la disposición derogatoria única, apartado 1 a) del Código penal de 1995.</w:t>
      </w:r>
    </w:p>
    <w:p w14:paraId="29F18A15" w14:textId="77777777" w:rsidR="00A8138F" w:rsidRDefault="00A8138F" w:rsidP="00A8138F">
      <w:pPr>
        <w:pStyle w:val="TextoNormal"/>
      </w:pPr>
    </w:p>
    <w:p w14:paraId="7FD361A9" w14:textId="77777777" w:rsidR="00A8138F" w:rsidRDefault="00A8138F" w:rsidP="00A8138F">
      <w:pPr>
        <w:pStyle w:val="TextoNormal"/>
      </w:pPr>
      <w:r>
        <w:t xml:space="preserve">c) Ahora bien, la demanda de amparo no atribuye al legislador (en este caso por omisión) la vulneración de los derechos fundamentales de las recurrentes, sino al órgano judicial </w:t>
      </w:r>
      <w:r w:rsidRPr="00A8138F">
        <w:rPr>
          <w:i/>
        </w:rPr>
        <w:t>ad quem</w:t>
      </w:r>
      <w:r>
        <w:t xml:space="preserve"> por no aplicar una jurisprudencia de la Sala Segunda del Tribunal Supremo que apoya la procedencia de los recursos devolutivos contra los autos de revisión de sentencias de condena.</w:t>
      </w:r>
    </w:p>
    <w:p w14:paraId="72AB52B0" w14:textId="77777777" w:rsidR="00A8138F" w:rsidRDefault="00A8138F" w:rsidP="00A8138F">
      <w:pPr>
        <w:pStyle w:val="TextoNormal"/>
      </w:pPr>
    </w:p>
    <w:p w14:paraId="5A7874A7" w14:textId="77777777" w:rsidR="00A8138F" w:rsidRDefault="00A8138F" w:rsidP="00A8138F">
      <w:pPr>
        <w:pStyle w:val="TextoNormal"/>
      </w:pPr>
      <w:r>
        <w:t>Resulta por ello pertinente recordar ahora el criterio que adoptamos en las SSTC 49/1999, de 5 de abril, FJ 5, y 184/2003, de 23 de octubre, FJ 7, cuando señalamos que tratándose de un recurso de amparo, aunque pudiera hablarse de una insuficiencia de la ley en la regulación del marco de protección de un derecho fundamental (en el presente caso, del derecho a recurrir), si los órganos judiciales han actuado respetando las exigencias constitucionales, no cabría entender que estos han vulnerado los derechos fundamentales invocados en la demanda. En caso contrario, obviamente, sí.</w:t>
      </w:r>
    </w:p>
    <w:p w14:paraId="193A2253" w14:textId="77777777" w:rsidR="00A8138F" w:rsidRDefault="00A8138F" w:rsidP="00A8138F">
      <w:pPr>
        <w:pStyle w:val="TextoNormal"/>
      </w:pPr>
    </w:p>
    <w:p w14:paraId="4646B963" w14:textId="77777777" w:rsidR="00A8138F" w:rsidRDefault="00A8138F" w:rsidP="00A8138F">
      <w:pPr>
        <w:pStyle w:val="TextoNormal"/>
      </w:pPr>
      <w:r>
        <w:t>Lo que tenemos que dirimir, en definitiva, es si los autos impugnados en el presente recurso de amparo han conculcado el derecho a la tutela judicial efectiva (art. 24.1 CE) de las demandantes, no ya por afirmar —correctamente— que existe un silencio del legislador al no prever recurso devolutivo (como el de apelación) contra el auto revisor de las penas al socaire de la entrada en vigor de la Ley Orgánica 10/2022, sino por negarse a salvar ese silencio permitiendo su interposición con base en los razonamientos contenidos en una jurisprudencia de la Sala de lo Penal del Alto Tribunal; todo ello teniendo en cuenta que estamos ante una cuestión no “exenta de dudas interpretativas” (STC 5/2001, de 15 de enero, FJ 2).</w:t>
      </w:r>
    </w:p>
    <w:p w14:paraId="79483BEA" w14:textId="77777777" w:rsidR="00A8138F" w:rsidRDefault="00A8138F" w:rsidP="00A8138F">
      <w:pPr>
        <w:pStyle w:val="TextoNormal"/>
      </w:pPr>
    </w:p>
    <w:p w14:paraId="3D8A35F6" w14:textId="2407B717" w:rsidR="00A8138F" w:rsidRDefault="00A8138F" w:rsidP="00A8138F">
      <w:pPr>
        <w:pStyle w:val="TextoNormal"/>
      </w:pPr>
      <w:r>
        <w:t>A tal efecto, debemos evaluar la conformidad de dicha jurisprudencia con el ejercicio del derecho fundamental de las recurrentes (derecho al recurso), en primer lugar, y confrontarlo a renglón seguido con la motivación expresada por los dos autos de la Sala competente del Tribunal Superior de Justicia de Galicia, aquí atacados, para rechazar su aplicación. De ambas cuestiones nos ocupamos de inmediato.</w:t>
      </w:r>
    </w:p>
    <w:p w14:paraId="5F9CE468" w14:textId="77777777" w:rsidR="00A8138F" w:rsidRDefault="00A8138F" w:rsidP="00A8138F">
      <w:pPr>
        <w:pStyle w:val="TextoNormal"/>
      </w:pPr>
    </w:p>
    <w:p w14:paraId="4E44BF37" w14:textId="77777777" w:rsidR="00A8138F" w:rsidRDefault="00A8138F" w:rsidP="00A8138F">
      <w:pPr>
        <w:pStyle w:val="TextoNormal"/>
      </w:pPr>
      <w:r w:rsidRPr="00A8138F">
        <w:rPr>
          <w:rStyle w:val="NumeroAFNegritaCaracter"/>
        </w:rPr>
        <w:t>3</w:t>
      </w:r>
      <w:r>
        <w:t xml:space="preserve">. </w:t>
      </w:r>
      <w:r w:rsidRPr="00A8138F">
        <w:rPr>
          <w:i/>
        </w:rPr>
        <w:t>Resolución del recurso de amparo. Conclusión: enjuiciamiento de las resoluciones impugnadas. Estimación parcial de la demanda y efectos</w:t>
      </w:r>
    </w:p>
    <w:p w14:paraId="4C83F633" w14:textId="77777777" w:rsidR="00A8138F" w:rsidRDefault="00A8138F" w:rsidP="00A8138F">
      <w:pPr>
        <w:pStyle w:val="TextoNormal"/>
      </w:pPr>
    </w:p>
    <w:p w14:paraId="1FC0B9E4" w14:textId="77777777" w:rsidR="00A8138F" w:rsidRDefault="00A8138F" w:rsidP="00A8138F">
      <w:pPr>
        <w:pStyle w:val="TextoNormal"/>
      </w:pPr>
      <w:r>
        <w:t xml:space="preserve">A) </w:t>
      </w:r>
      <w:r w:rsidRPr="00A8138F">
        <w:rPr>
          <w:i/>
        </w:rPr>
        <w:t>Jurisprudencia de la Sala de lo Penal del Tribunal Supremo que otorga a las partes el derecho a un recurso devolutivo contra el auto de revisión de condena</w:t>
      </w:r>
    </w:p>
    <w:p w14:paraId="3296D3DB" w14:textId="77777777" w:rsidR="00A8138F" w:rsidRDefault="00A8138F" w:rsidP="00A8138F">
      <w:pPr>
        <w:pStyle w:val="TextoNormal"/>
      </w:pPr>
    </w:p>
    <w:p w14:paraId="3CC2CA58" w14:textId="77777777" w:rsidR="00A8138F" w:rsidRDefault="00A8138F" w:rsidP="00A8138F">
      <w:pPr>
        <w:pStyle w:val="TextoNormal"/>
      </w:pPr>
      <w:r>
        <w:t xml:space="preserve">a) El auto de la Sala de lo Civil y Penal del Tribunal Superior de Justicia de Galicia de 24 de abril de 2023 inadmitió el recurso de apelación de las demandantes de amparo, ante el vacío normativo descrito, rechazando la aplicación, cuya existencia expresamente reconoce por habérsela puesto de manifiesto el fiscal en la causa, del criterio sentado por la Sala </w:t>
      </w:r>
      <w:r>
        <w:lastRenderedPageBreak/>
        <w:t>de lo Penal del Tribunal Supremo en la STS 606/2018, de 28 de noviembre, favorable a la posibilidad de interponer recurso de apelación o, según el caso, de casación, en cuanto “contra las resoluciones resolviendo la revisión de las sentencias condenatorias firmes podrán interponerse los mismos recursos que, en su caso, cabrían contra la sentencia condenatoria” (el entrecomillado es del auto).</w:t>
      </w:r>
    </w:p>
    <w:p w14:paraId="0C4BA764" w14:textId="77777777" w:rsidR="00A8138F" w:rsidRDefault="00A8138F" w:rsidP="00A8138F">
      <w:pPr>
        <w:pStyle w:val="TextoNormal"/>
      </w:pPr>
    </w:p>
    <w:p w14:paraId="1F400D2A" w14:textId="77777777" w:rsidR="00A8138F" w:rsidRDefault="00A8138F" w:rsidP="00A8138F">
      <w:pPr>
        <w:pStyle w:val="TextoNormal"/>
      </w:pPr>
      <w:r>
        <w:t>En el recurso de súplica promovido por la misma parte procesal contra el auto de 24 de abril de 2023, se invocó la jurisprudencia de la STS 606/2018; y el auto desestimatorio de la súplica, de 25 de mayo de 2023, se remitió al auto anterior que “explica pormenorizadamente los motivos” por los que se rechaza la posibilidad de apelación, sin argumentar nada más en este punto. Fue por tanto una decisión consciente del Tribunal Superior de Justicia la de no aplicar la jurisprudencia que se indica, y no el resultado de su desconocimiento.</w:t>
      </w:r>
    </w:p>
    <w:p w14:paraId="4C668DC6" w14:textId="77777777" w:rsidR="00A8138F" w:rsidRDefault="00A8138F" w:rsidP="00A8138F">
      <w:pPr>
        <w:pStyle w:val="TextoNormal"/>
      </w:pPr>
    </w:p>
    <w:p w14:paraId="2F9955FF" w14:textId="77777777" w:rsidR="00A8138F" w:rsidRDefault="00A8138F" w:rsidP="00A8138F">
      <w:pPr>
        <w:pStyle w:val="TextoNormal"/>
      </w:pPr>
      <w:r>
        <w:t>b) El criterio de referencia se contiene en el fundamento de Derecho segundo de la STS 606/2018, de 28 de noviembre (recurso de casación 10605-2017), que a continuación se transcribe:</w:t>
      </w:r>
    </w:p>
    <w:p w14:paraId="0F0868CE" w14:textId="77777777" w:rsidR="00A8138F" w:rsidRDefault="00A8138F" w:rsidP="00A8138F">
      <w:pPr>
        <w:pStyle w:val="TextoNormal"/>
      </w:pPr>
    </w:p>
    <w:p w14:paraId="3179C222" w14:textId="77777777" w:rsidR="00A8138F" w:rsidRDefault="00A8138F" w:rsidP="00A8138F">
      <w:pPr>
        <w:pStyle w:val="TextoNormal"/>
      </w:pPr>
      <w:r>
        <w:t>“[En primer lugar se aborda] la accesibilidad a casación de estos autos de revisión —o de no revisión, como en este caso— de una sentencia firme, a consecuencia de la entrada en vigor de una legislación más favorable. El legislador, ni en 1995 ni en las sucesivas y ya abundantes reformas del nuevo CP, ha aclarado el régimen de impugnabilidad de tales resoluciones.</w:t>
      </w:r>
    </w:p>
    <w:p w14:paraId="16413B00" w14:textId="77777777" w:rsidR="00A8138F" w:rsidRDefault="00A8138F" w:rsidP="00A8138F">
      <w:pPr>
        <w:pStyle w:val="TextoNormal"/>
      </w:pPr>
    </w:p>
    <w:p w14:paraId="1E0245CB" w14:textId="77777777" w:rsidR="00A8138F" w:rsidRDefault="00A8138F" w:rsidP="00A8138F">
      <w:pPr>
        <w:pStyle w:val="TextoNormal"/>
      </w:pPr>
      <w:r>
        <w:t xml:space="preserve">No es cuestión que </w:t>
      </w:r>
      <w:r w:rsidRPr="00A8138F">
        <w:rPr>
          <w:i/>
        </w:rPr>
        <w:t>a priori</w:t>
      </w:r>
      <w:r>
        <w:t xml:space="preserve"> sea diáfana. La proyección del régimen general de la ley procesal penal arrastraría a un escenario en que solo sería factible un recurso de súplica si se trata de la decisión de una audiencia (procedimientos comunes) o del magistrado-presidente (procedimiento especial de la Ley del jurado); o un recurso de reforma si es un juzgado de lo penal quien resuelve. En algunas de las modificaciones penales realizadas en el siglo pasado se recogió explícitamente esa solución: exclusión de todo recurso devolutivo.</w:t>
      </w:r>
    </w:p>
    <w:p w14:paraId="18DEE333" w14:textId="77777777" w:rsidR="00A8138F" w:rsidRDefault="00A8138F" w:rsidP="00A8138F">
      <w:pPr>
        <w:pStyle w:val="TextoNormal"/>
      </w:pPr>
    </w:p>
    <w:p w14:paraId="14990422" w14:textId="77777777" w:rsidR="00A8138F" w:rsidRDefault="00A8138F" w:rsidP="00A8138F">
      <w:pPr>
        <w:pStyle w:val="TextoNormal"/>
      </w:pPr>
      <w:r>
        <w:t>Más coherente se antoja el régimen que acogió la disposición transitoria de la Ley Orgánica 8/1983, de 25 de junio, de reforma urgente y parcial del Código penal. Admitía recurso de casación o de apelación, según el auto resolviendo sobre la revisión hubiese sido dictado por una audiencia o por un juzgado, y ciñendo la casación al motivo previsto en el párrafo primero del art. 849 LECrim. Esa regulación estaba imbuida de una lógica apabullante: ese tipo de resoluciones ha de gozar del mismo régimen de impugnación que la sentencia, a la que afectan y complementan de forma sobrevenida.</w:t>
      </w:r>
    </w:p>
    <w:p w14:paraId="389AAE9F" w14:textId="77777777" w:rsidR="00A8138F" w:rsidRDefault="00A8138F" w:rsidP="00A8138F">
      <w:pPr>
        <w:pStyle w:val="TextoNormal"/>
      </w:pPr>
    </w:p>
    <w:p w14:paraId="73D3C41D" w14:textId="77777777" w:rsidR="00A8138F" w:rsidRDefault="00A8138F" w:rsidP="00A8138F">
      <w:pPr>
        <w:pStyle w:val="TextoNormal"/>
      </w:pPr>
      <w:r>
        <w:t>Este esquema trasladado a los procedimientos incoados bajo la vigencia de la reforma procesal de 2015 se traduciría en la apelabilidad de las resoluciones de una audiencia ante el Tribunal Superior de Justicia antes de la ulterior casación. En las dictadas por los juzgados de lo penal los recursos procedentes serían apelación ante la audiencia y posteriormente casación solo a través del art. 849.1 LECrim, lo que es acorde además con la naturaleza de estas decisiones.</w:t>
      </w:r>
    </w:p>
    <w:p w14:paraId="054EA524" w14:textId="77777777" w:rsidR="00A8138F" w:rsidRDefault="00A8138F" w:rsidP="00A8138F">
      <w:pPr>
        <w:pStyle w:val="TextoNormal"/>
      </w:pPr>
    </w:p>
    <w:p w14:paraId="022BA369" w14:textId="77777777" w:rsidR="00A8138F" w:rsidRDefault="00A8138F" w:rsidP="00A8138F">
      <w:pPr>
        <w:pStyle w:val="TextoNormal"/>
      </w:pPr>
      <w:r>
        <w:t>Aquí, dada la fecha del proceso (incoado antes de 2015), cabría exclusivamente casación.</w:t>
      </w:r>
    </w:p>
    <w:p w14:paraId="360B6DBF" w14:textId="77777777" w:rsidR="00A8138F" w:rsidRDefault="00A8138F" w:rsidP="00A8138F">
      <w:pPr>
        <w:pStyle w:val="TextoNormal"/>
      </w:pPr>
    </w:p>
    <w:p w14:paraId="19045041" w14:textId="77777777" w:rsidR="00A8138F" w:rsidRDefault="00A8138F" w:rsidP="00A8138F">
      <w:pPr>
        <w:pStyle w:val="TextoNormal"/>
      </w:pPr>
      <w:r>
        <w:lastRenderedPageBreak/>
        <w:t>Esta idea, que resulta la más coherente cuando se ha modificado la sentencia que gozaba ya de firmeza, debe trasladarse, para no generar asimetrías, a los casos en que el órgano que dictó la sentencia rechaza la petición de revisión, como aquí; o, incluso, a aquellos en que acuerda no abrir ese incidente por considerarlo improcedente.</w:t>
      </w:r>
    </w:p>
    <w:p w14:paraId="4B8134BE" w14:textId="77777777" w:rsidR="00A8138F" w:rsidRDefault="00A8138F" w:rsidP="00A8138F">
      <w:pPr>
        <w:pStyle w:val="TextoNormal"/>
      </w:pPr>
    </w:p>
    <w:p w14:paraId="3097A22B" w14:textId="77777777" w:rsidR="00A8138F" w:rsidRDefault="00A8138F" w:rsidP="00A8138F">
      <w:pPr>
        <w:pStyle w:val="TextoNormal"/>
      </w:pPr>
      <w:r>
        <w:t>La jurisprudencia ha asumido esta tesis que se puede considerar consolidada y ya bien cimentada desde la entrada en vigor del Código penal de 1995, pese a carecer de explícito soporte legal. La recurribilidad en casación de este tipo de resoluciones cuando emanan de una audiencia provincial (o nacional) como tribunal de instancia fue el criterio propugnado por la circular 1/1996 de la Fiscalía General del Estado en pauta interpretativa coincidente con la ya postulada por ciertos precedentes jurisprudenciales (por todas, SSTS 626/1995, de 5 de mayo, y 77/1995, de 25 de enero). No ha sido cuestionada en ninguna de las sucesivas reformas del Código penal de 1995 (por todas y entre muchas, STS 538/2012, de 25 de junio [ECLI:ES:TS:2012:4559]).</w:t>
      </w:r>
    </w:p>
    <w:p w14:paraId="41A6AE2F" w14:textId="77777777" w:rsidR="00A8138F" w:rsidRDefault="00A8138F" w:rsidP="00A8138F">
      <w:pPr>
        <w:pStyle w:val="TextoNormal"/>
      </w:pPr>
    </w:p>
    <w:p w14:paraId="57E98FFE" w14:textId="77777777" w:rsidR="00A8138F" w:rsidRDefault="00A8138F" w:rsidP="00A8138F">
      <w:pPr>
        <w:pStyle w:val="TextoNormal"/>
      </w:pPr>
      <w:r>
        <w:t>En la actualidad, como hemos sugerido antes, habría que admitir la intercalación de una apelación ante el Tribunal Superior de Justicia (o sala de apelaciones de la Audiencia Nacional)”.</w:t>
      </w:r>
    </w:p>
    <w:p w14:paraId="34F50888" w14:textId="77777777" w:rsidR="00A8138F" w:rsidRDefault="00A8138F" w:rsidP="00A8138F">
      <w:pPr>
        <w:pStyle w:val="TextoNormal"/>
      </w:pPr>
    </w:p>
    <w:p w14:paraId="64F333FA" w14:textId="77777777" w:rsidR="00A8138F" w:rsidRDefault="00A8138F" w:rsidP="00A8138F">
      <w:pPr>
        <w:pStyle w:val="TextoNormal"/>
      </w:pPr>
      <w:r>
        <w:t>c) La Sala de lo Penal del Alto Tribunal sostiene pues que cabe recurso devolutivo contra los autos de revisión de sentencias de condena, por dos razones básicas: (i) dado su carácter de resoluciones complementarias de esas sentencias, y (ii) porque el silencio de la ley en estos años en los que se han aprobado reformas puntuales del Código penal, ha de interpretarse no como un rechazo, sino como un respaldo implícito del legislador a tales recursos; dicho de otro modo, que de haber considerado necesario intervenir en su regulación lo habría sido justamente para impedir su interposición, cosa que no ha hecho.</w:t>
      </w:r>
    </w:p>
    <w:p w14:paraId="529C37DF" w14:textId="77777777" w:rsidR="00A8138F" w:rsidRDefault="00A8138F" w:rsidP="00A8138F">
      <w:pPr>
        <w:pStyle w:val="TextoNormal"/>
      </w:pPr>
    </w:p>
    <w:p w14:paraId="211329B3" w14:textId="77777777" w:rsidR="00A8138F" w:rsidRDefault="00A8138F" w:rsidP="00A8138F">
      <w:pPr>
        <w:pStyle w:val="TextoNormal"/>
      </w:pPr>
      <w:r>
        <w:t>Pues bien, nada hay en el enunciado de esta jurisprudencia que pueda tildarse de arbitrario, irrazonable o fundado en un error fáctico patente; ni con ella se menoscaba el derecho al recurso de las partes en el proceso penal, sea que se incardine este como vertiente del derecho a la tutela judicial efectiva, cual sucede con las aquí demandantes de amparo (parte acusadora en el procedimiento de origen) o, tratándose de la parte acusada, del derecho a la doble instancia penal (derecho a un proceso con todas las garantías, art. 24.2 CE).</w:t>
      </w:r>
    </w:p>
    <w:p w14:paraId="0D286916" w14:textId="77777777" w:rsidR="00A8138F" w:rsidRDefault="00A8138F" w:rsidP="00A8138F">
      <w:pPr>
        <w:pStyle w:val="TextoNormal"/>
      </w:pPr>
    </w:p>
    <w:p w14:paraId="0C115742" w14:textId="77777777" w:rsidR="00A8138F" w:rsidRDefault="00A8138F" w:rsidP="00A8138F">
      <w:pPr>
        <w:pStyle w:val="TextoNormal"/>
      </w:pPr>
      <w:r>
        <w:t>Esta doctrina no articula un régimen propio de impugnación para aquellos autos, lo que supondría invadir las competencias del Poder Legislativo, sino que se limita a extender para ellos los mismos recursos ya creados por ley para las sentencias firmes que revisan, al ser resoluciones complementarias de estas, en las que el órgano judicial emite un nuevo juicio sobre el fondo (calificación jurídica, penalidad), sea que estime o no que deban modificarse las penas.</w:t>
      </w:r>
    </w:p>
    <w:p w14:paraId="7B19EEE1" w14:textId="77777777" w:rsidR="00A8138F" w:rsidRDefault="00A8138F" w:rsidP="00A8138F">
      <w:pPr>
        <w:pStyle w:val="TextoNormal"/>
      </w:pPr>
    </w:p>
    <w:p w14:paraId="7E44C4A2" w14:textId="77777777" w:rsidR="00A8138F" w:rsidRDefault="00A8138F" w:rsidP="00A8138F">
      <w:pPr>
        <w:pStyle w:val="TextoNormal"/>
      </w:pPr>
      <w:r>
        <w:t>La aplicación al presente caso de dicho criterio jurisprudencial suponía conceder a las aquí demandantes de amparo la posibilidad de interponer, dado que la investigación se abrió con posterioridad a la entrada en vigor de la Ley 41/2015, de 5 de octubre, el recurso de apelación que en efecto presentaron contra el auto de la Audiencia Provincial de Lugo, en virtud del gravamen que se les causó al acordar este la reducción de las penas al condenado.</w:t>
      </w:r>
    </w:p>
    <w:p w14:paraId="2365AA63" w14:textId="77777777" w:rsidR="00A8138F" w:rsidRDefault="00A8138F" w:rsidP="00A8138F">
      <w:pPr>
        <w:pStyle w:val="TextoNormal"/>
      </w:pPr>
    </w:p>
    <w:p w14:paraId="5FC9E18D" w14:textId="77777777" w:rsidR="00A8138F" w:rsidRDefault="00A8138F" w:rsidP="00A8138F">
      <w:pPr>
        <w:pStyle w:val="TextoNormal"/>
      </w:pPr>
      <w:r>
        <w:lastRenderedPageBreak/>
        <w:t>d) Con posterioridad a haberse dictado los dos autos que se impugnan en el presente recurso de amparo, la misma Sala de lo Penal del Tribunal Supremo ha hecho aplicación de su jurisprudencia de 2018 para aclarar que cabe recurso de apelación ante los tribunales superiores de justicia o, en su caso el de casación ante dicha Sala, contra los autos de revisión de sentencias de condenas firmes tras la entrada en vigor de la Ley Orgánica 10/2022, de 6 de septiembre, de garantía integral de la libertad sexual. Son exponentes de ello las SSTS del Pleno 441/2023, de 8 de junio (recurso de casación 10169-2023; ECLI:ES:TS:2023:2821); 453/2023, de 14 de junio (recurso de casación 10074-2023; ECLI:ES:TS:2023:2820); 473/2023, de 15 de junio (recurso de casación 10238-2023; ECLI:ES:TS:2023:2822), o la 666/2023, de 21 de septiembre (recurso de casación 10006-2023; ECLI:ES:TS:2023:3731); explicando con detalle la segunda y la tercera de las citadas que se trata del criterio ya sustentado en la STS 606/2018.</w:t>
      </w:r>
    </w:p>
    <w:p w14:paraId="22536EEC" w14:textId="77777777" w:rsidR="00A8138F" w:rsidRDefault="00A8138F" w:rsidP="00A8138F">
      <w:pPr>
        <w:pStyle w:val="TextoNormal"/>
      </w:pPr>
    </w:p>
    <w:p w14:paraId="4051C00B" w14:textId="77777777" w:rsidR="00A8138F" w:rsidRDefault="00A8138F" w:rsidP="00A8138F">
      <w:pPr>
        <w:pStyle w:val="TextoNormal"/>
      </w:pPr>
      <w:r>
        <w:t xml:space="preserve">B) </w:t>
      </w:r>
      <w:r w:rsidRPr="00A8138F">
        <w:rPr>
          <w:i/>
        </w:rPr>
        <w:t>Examen de los motivos de los autos impugnados para negar el derecho de las recurrentes al recurso de apelación. Vulneración del derecho fundamental</w:t>
      </w:r>
    </w:p>
    <w:p w14:paraId="2EE4E151" w14:textId="77777777" w:rsidR="00A8138F" w:rsidRDefault="00A8138F" w:rsidP="00A8138F">
      <w:pPr>
        <w:pStyle w:val="TextoNormal"/>
      </w:pPr>
    </w:p>
    <w:p w14:paraId="6A02D994" w14:textId="77777777" w:rsidR="00A8138F" w:rsidRDefault="00A8138F" w:rsidP="00A8138F">
      <w:pPr>
        <w:pStyle w:val="TextoNormal"/>
      </w:pPr>
      <w:r>
        <w:t>La aplicación de la doctrina constitucional expuesta en los anteriores fundamentos jurídicos nos lleva a apreciar que los autos impugnados han causado la vulneración a las dos demandantes de amparo de su derecho a la tutela judicial efectiva, en su vertiente de acceso al recurso (art. 24.1 CE), lo que comporta la estimación de la demanda. Las razones son las siguientes:</w:t>
      </w:r>
    </w:p>
    <w:p w14:paraId="6D40F3F4" w14:textId="77777777" w:rsidR="00A8138F" w:rsidRDefault="00A8138F" w:rsidP="00A8138F">
      <w:pPr>
        <w:pStyle w:val="TextoNormal"/>
      </w:pPr>
    </w:p>
    <w:p w14:paraId="54B7C70D" w14:textId="77777777" w:rsidR="00A8138F" w:rsidRDefault="00A8138F" w:rsidP="00A8138F">
      <w:pPr>
        <w:pStyle w:val="TextoNormal"/>
      </w:pPr>
      <w:r>
        <w:t>a) Como ya se ha recogido en los antecedentes de esta sentencia, el auto del Tribunal Superior de Justicia de 24 de abril de 2023 se limita a afirmar, repetidamente, que no existe una norma que habilite a la interposición de recurso de apelación contra el auto de revisión de la sentencia condenatoria, hecho que en sí mismo, ya hemos dicho, es cierto. Tras ese silencio, la Sala parece deslizar una especie de voluntad implícita del legislador en no hacerlo, pues “bien pudo haber establecido tal régimen de recurribilidad, pero el caso es que lo obvió […] el legislador, pudiéndolo haber previsto, no lo previó”.</w:t>
      </w:r>
    </w:p>
    <w:p w14:paraId="4BAD9BB5" w14:textId="77777777" w:rsidR="00A8138F" w:rsidRDefault="00A8138F" w:rsidP="00A8138F">
      <w:pPr>
        <w:pStyle w:val="TextoNormal"/>
      </w:pPr>
    </w:p>
    <w:p w14:paraId="77F0AEEC" w14:textId="77777777" w:rsidR="00A8138F" w:rsidRDefault="00A8138F" w:rsidP="00A8138F">
      <w:pPr>
        <w:pStyle w:val="TextoNormal"/>
      </w:pPr>
      <w:r>
        <w:t>Ahora bien, el auto no aporta ningún dato o reflexión que permita explicar qué indeterminada razón ha podido hacer coincidir al legislador de estos últimos casi treinta años (esto es, a las distintas mayorías parlamentarias que han estado en disposición de aprobar la norma cuya carencia se detecta), en concreto desde la entrada en vigor del Código penal de 1995, para llegar a la conclusión de que, desde el respeto a los derechos fundamentales de las partes del proceso penal, no debe permitirse que estas puedan impugnar una resolución que, de ser desestimatoria en la revisión perjudica las expectativas de rebaja de pena —o eventual archivo de la ejecutoria— del penado, y de ser estimatoria perjudica a la parte acusadora en cuanto a la pretensión de condena defendida en juicio. En el presente caso, incluso, según el voto particular de una magistrada al auto de revisión de la sentencia de condena, la acusación y el Ministerio Fiscal habían renunciado a la aplicación de un tipo agravado con el fin de que fueran aceptadas por la defensa, como así sucedió.</w:t>
      </w:r>
    </w:p>
    <w:p w14:paraId="55786D1B" w14:textId="77777777" w:rsidR="00A8138F" w:rsidRDefault="00A8138F" w:rsidP="00A8138F">
      <w:pPr>
        <w:pStyle w:val="TextoNormal"/>
      </w:pPr>
    </w:p>
    <w:p w14:paraId="6C810AFB" w14:textId="77777777" w:rsidR="00A8138F" w:rsidRDefault="00A8138F" w:rsidP="00A8138F">
      <w:pPr>
        <w:pStyle w:val="TextoNormal"/>
      </w:pPr>
      <w:r>
        <w:t xml:space="preserve">Cuál podría ser pues el motivo del legislador para convertir en inatacables estos autos de revisión, que son capaces de modular y hasta eliminar los efectos de una sentencia de condena previa, cuando esta última sí es susceptible de poder ser recurrida en apelación, es la explicación que debía dar el auto para sustentar con objetividad su tesis sobre la voluntad </w:t>
      </w:r>
      <w:r>
        <w:lastRenderedPageBreak/>
        <w:t>implícita del legislador de no permitir ningún recurso devolutivo, y dotar de razonabilidad a su decisión de inadmitirlo, cosa que no hace.</w:t>
      </w:r>
    </w:p>
    <w:p w14:paraId="6674E4DA" w14:textId="77777777" w:rsidR="00A8138F" w:rsidRDefault="00A8138F" w:rsidP="00A8138F">
      <w:pPr>
        <w:pStyle w:val="TextoNormal"/>
      </w:pPr>
    </w:p>
    <w:p w14:paraId="06272961" w14:textId="77777777" w:rsidR="00A8138F" w:rsidRDefault="00A8138F" w:rsidP="00A8138F">
      <w:pPr>
        <w:pStyle w:val="TextoNormal"/>
      </w:pPr>
      <w:r>
        <w:t>b) La Sala del Tribunal Superior de Justicia se refiere asimismo a la cobertura “implícitamente jurisprudencial” de la STS 606/2018 que, como se ha dicho, sostiene que caben contra aquellos autos de revisión los mismos recursos devolutivos que contra la sentencia que complementan. Luego de proclamar el auto de 24 de abril de 2023 “[e]l respeto que, como es natural y obligado, nos merece semejante criterio”, dice que ello “no nos ha de conducir a asumirlo so pena, en caso contrario, de vincularnos a la viabilidad jurisprudencial, pero no legal, de un recurso de apelación, máxime cuando la Sala Segunda, en la precitada sentencia de referencia”, ha reconocido que no existe una norma legal expresa.</w:t>
      </w:r>
    </w:p>
    <w:p w14:paraId="5438784E" w14:textId="77777777" w:rsidR="00A8138F" w:rsidRDefault="00A8138F" w:rsidP="00A8138F">
      <w:pPr>
        <w:pStyle w:val="TextoNormal"/>
      </w:pPr>
    </w:p>
    <w:p w14:paraId="7C8C6662" w14:textId="77777777" w:rsidR="00A8138F" w:rsidRDefault="00A8138F" w:rsidP="00A8138F">
      <w:pPr>
        <w:pStyle w:val="TextoNormal"/>
      </w:pPr>
      <w:r>
        <w:t>Dejando al margen la evidencia de que, de existir tal norma, la citada jurisprudencia no habría tenido que dictarse, la cuestión es que la Sala no da ningún argumento para calificar el criterio de la STS 606/2018 de irrazonable o contrario al ejercicio de los derechos fundamentales de las partes. Obvia ese auto de 24 de abril de 2023 que el juicio jurisdiccional de revisión de una sentencia de condena concierne o afecta a esta última. No es solo que formalmente la complementa, sino que añade un nuevo enjuiciamiento (salvo la declaración de hechos probados) del fondo (calificación jurídica de los hechos bajo el nuevo marco punitivo, deducción de sus consecuencias), que tiene para las partes el mismo grado de repercusión que el fallo original.</w:t>
      </w:r>
    </w:p>
    <w:p w14:paraId="19C47059" w14:textId="77777777" w:rsidR="00A8138F" w:rsidRDefault="00A8138F" w:rsidP="00A8138F">
      <w:pPr>
        <w:pStyle w:val="TextoNormal"/>
      </w:pPr>
    </w:p>
    <w:p w14:paraId="1205CC8E" w14:textId="77777777" w:rsidR="00A8138F" w:rsidRDefault="00A8138F" w:rsidP="00A8138F">
      <w:pPr>
        <w:pStyle w:val="TextoNormal"/>
      </w:pPr>
      <w:r>
        <w:t>Y así, al no dar razones lógicas que sustenten la inaplicabilidad de dicha jurisprudencia, con el resultado de vedar a ambas partes del proceso penal (aunque en este caso, al haberse estimado la revisión, quien promovió la apelación fue la acusación particular) su derecho al recurso, el mentado auto de 24 de abril de 2023 se torna en irrazonable y vulnerador del derecho fundamental que invocan las demandantes de amparo.</w:t>
      </w:r>
    </w:p>
    <w:p w14:paraId="24202EFF" w14:textId="77777777" w:rsidR="00A8138F" w:rsidRDefault="00A8138F" w:rsidP="00A8138F">
      <w:pPr>
        <w:pStyle w:val="TextoNormal"/>
      </w:pPr>
    </w:p>
    <w:p w14:paraId="6084E525" w14:textId="77777777" w:rsidR="00A8138F" w:rsidRDefault="00A8138F" w:rsidP="00A8138F">
      <w:pPr>
        <w:pStyle w:val="TextoNormal"/>
      </w:pPr>
      <w:r>
        <w:t>Una vulneración que no subsana el posterior auto de la misma Sala de 25 de mayo de 2023, que desestima el recurso de súplica interpuesto por la misma parte procesal y por el Ministerio Fiscal contra el anterior auto, reiterando los argumentos de este para negar la apelación y añadiendo apenas una mención a la Ley Orgánica 10/2022 en la misma línea dialéctica (“[s]i tan deseoso estuviese el legislador de dotar de recurso de apelación a las revisiones de condena […] lo tenía en su mano, como hizo al reformar en pocos meses y por dos veces la legislación penal sexual de la que deriva precisamente la revisión que se pretende. Y no lo ha hecho en ninguna de ellas pese a lo que ha venido sucediendo y que es de general conocimiento”).</w:t>
      </w:r>
    </w:p>
    <w:p w14:paraId="6E60807A" w14:textId="77777777" w:rsidR="00A8138F" w:rsidRDefault="00A8138F" w:rsidP="00A8138F">
      <w:pPr>
        <w:pStyle w:val="TextoNormal"/>
      </w:pPr>
    </w:p>
    <w:p w14:paraId="0210D2D4" w14:textId="77777777" w:rsidR="00A8138F" w:rsidRDefault="00A8138F" w:rsidP="00A8138F">
      <w:pPr>
        <w:pStyle w:val="TextoNormal"/>
      </w:pPr>
      <w:r>
        <w:t xml:space="preserve">C) </w:t>
      </w:r>
      <w:r w:rsidRPr="00A8138F">
        <w:rPr>
          <w:i/>
        </w:rPr>
        <w:t>Efectos de la estimación parcial del recurso de amparo</w:t>
      </w:r>
    </w:p>
    <w:p w14:paraId="4B509937" w14:textId="77777777" w:rsidR="00A8138F" w:rsidRDefault="00A8138F" w:rsidP="00A8138F">
      <w:pPr>
        <w:pStyle w:val="TextoNormal"/>
      </w:pPr>
    </w:p>
    <w:p w14:paraId="2F1A0093" w14:textId="4216F16B" w:rsidR="00A8138F" w:rsidRDefault="00A8138F" w:rsidP="00A8138F">
      <w:pPr>
        <w:pStyle w:val="TextoNormal"/>
      </w:pPr>
      <w:r>
        <w:t xml:space="preserve">La estimación de la demanda de amparo ha de ser parcial, en cuanto se inadmite el motivo de lesión del derecho a la igualdad en aplicación de la ley (art. 14 CE) y se acoge la queja de vulneración del derecho fundamental a la tutela judicial efectiva (art. 24.1 CE) de las recurrentes (en la que a su vez se subsume la queja de lesión del derecho a un proceso con todas las garantías). En consecuencia, se acuerda la nulidad de los dos autos impugnados de la Sala de lo Civil y Penal del Tribunal Superior de Justicia de Galicia, con sede en A Coruña y, como medida de reparación de su derecho, la orden de retroacción de las actuaciones al momento inmediatamente anterior al de recaer el primero de esos dos autos, para que en su </w:t>
      </w:r>
      <w:r>
        <w:lastRenderedPageBreak/>
        <w:t>lugar la misma Sala pronuncie una resolución que resulte respetuosa con el derecho fundamental declarado.</w:t>
      </w:r>
    </w:p>
    <w:p w14:paraId="5E98C804" w14:textId="77777777" w:rsidR="00A8138F" w:rsidRDefault="00A8138F" w:rsidP="00A8138F">
      <w:pPr>
        <w:pStyle w:val="TextoNormal"/>
      </w:pPr>
    </w:p>
    <w:p w14:paraId="5E11F7A4" w14:textId="77777777" w:rsidR="00A8138F" w:rsidRDefault="00A8138F" w:rsidP="00A8138F">
      <w:pPr>
        <w:pStyle w:val="TextoNormalCentrado"/>
        <w:keepNext/>
      </w:pPr>
      <w:r>
        <w:t>FALLO</w:t>
      </w:r>
    </w:p>
    <w:p w14:paraId="3930CC55" w14:textId="201B9AE5" w:rsidR="00A8138F" w:rsidRDefault="00A8138F" w:rsidP="00A8138F">
      <w:pPr>
        <w:pStyle w:val="TextoNormalCentrado"/>
        <w:keepNext/>
      </w:pPr>
    </w:p>
    <w:p w14:paraId="13C2DB40" w14:textId="77777777" w:rsidR="00A8138F" w:rsidRDefault="00A8138F" w:rsidP="00A8138F">
      <w:pPr>
        <w:pStyle w:val="TextoNormal"/>
      </w:pPr>
      <w:r>
        <w:t>En atención a todo lo expuesto, el Tribunal Constitucional, por la autoridad que le confiere la Constitución de la Nación española, ha decidido estimar parcialmente el recurso de amparo interpuesto por doña J.G.V., y doña A.P.G., y, en consecuencia:</w:t>
      </w:r>
    </w:p>
    <w:p w14:paraId="0A0F3686" w14:textId="77777777" w:rsidR="00A8138F" w:rsidRDefault="00A8138F" w:rsidP="00A8138F">
      <w:pPr>
        <w:pStyle w:val="TextoNormal"/>
      </w:pPr>
    </w:p>
    <w:p w14:paraId="25E754B6" w14:textId="77777777" w:rsidR="00A8138F" w:rsidRDefault="00A8138F" w:rsidP="00A8138F">
      <w:pPr>
        <w:pStyle w:val="TextoNormal"/>
      </w:pPr>
      <w:r>
        <w:t>1º Inadmitir la queja por vulneración del derecho fundamental a la igualdad en aplicación de la ley (art. 14 CE).</w:t>
      </w:r>
    </w:p>
    <w:p w14:paraId="21D36468" w14:textId="77777777" w:rsidR="00A8138F" w:rsidRDefault="00A8138F" w:rsidP="00A8138F">
      <w:pPr>
        <w:pStyle w:val="TextoNormal"/>
      </w:pPr>
    </w:p>
    <w:p w14:paraId="187BCFED" w14:textId="77777777" w:rsidR="00A8138F" w:rsidRDefault="00A8138F" w:rsidP="00A8138F">
      <w:pPr>
        <w:pStyle w:val="TextoNormal"/>
      </w:pPr>
      <w:r>
        <w:t>2º Declarar que ha sido vulnerado el derecho fundamental de las demandantes de amparo a la tutela judicial efectiva sin indefensión (art. 24.1 CE).</w:t>
      </w:r>
    </w:p>
    <w:p w14:paraId="36DEEF4E" w14:textId="77777777" w:rsidR="00A8138F" w:rsidRDefault="00A8138F" w:rsidP="00A8138F">
      <w:pPr>
        <w:pStyle w:val="TextoNormal"/>
      </w:pPr>
    </w:p>
    <w:p w14:paraId="60BD0449" w14:textId="77777777" w:rsidR="00A8138F" w:rsidRDefault="00A8138F" w:rsidP="00A8138F">
      <w:pPr>
        <w:pStyle w:val="TextoNormal"/>
      </w:pPr>
      <w:r>
        <w:t>3º Restablecerles en su derecho y, a tal fin, declarar la nulidad de los autos de 24 de abril de 2023 y 25 de mayo de 2023, dictados por la Sala de lo Civil y Penal del Tribunal Superior de Justicia de Galicia, con sede en A Coruña, en el rollo de apelación núm. 32-2023.</w:t>
      </w:r>
    </w:p>
    <w:p w14:paraId="7B782EA7" w14:textId="77777777" w:rsidR="00A8138F" w:rsidRDefault="00A8138F" w:rsidP="00A8138F">
      <w:pPr>
        <w:pStyle w:val="TextoNormal"/>
      </w:pPr>
    </w:p>
    <w:p w14:paraId="304E2CEB" w14:textId="1ABE828E" w:rsidR="00A8138F" w:rsidRDefault="00A8138F" w:rsidP="00A8138F">
      <w:pPr>
        <w:pStyle w:val="TextoNormal"/>
      </w:pPr>
      <w:r>
        <w:t>4º Retrotraer el procedimiento de apelación al momento inmediatamente anterior al de dictarse el primero de los dos autos mencionados, para que la Sala de lo Civil y Penal dicte en su lugar una resolución que resulte respetuosa con el derecho fundamental declarado.</w:t>
      </w:r>
    </w:p>
    <w:p w14:paraId="254B9795" w14:textId="77777777" w:rsidR="00A8138F" w:rsidRDefault="00A8138F" w:rsidP="00A8138F">
      <w:pPr>
        <w:pStyle w:val="TextoNormal"/>
      </w:pPr>
    </w:p>
    <w:p w14:paraId="1017A951" w14:textId="77777777" w:rsidR="00A8138F" w:rsidRDefault="00A8138F" w:rsidP="00A8138F">
      <w:pPr>
        <w:pStyle w:val="TextoNormal"/>
      </w:pPr>
      <w:r>
        <w:t>Publíquese esta sentencia en el “Boletín Oficial del Estado”.</w:t>
      </w:r>
    </w:p>
    <w:p w14:paraId="53AE05F6" w14:textId="77777777" w:rsidR="00A8138F" w:rsidRDefault="00A8138F" w:rsidP="00A8138F">
      <w:pPr>
        <w:pStyle w:val="TextoNormal"/>
      </w:pPr>
      <w:r>
        <w:t>Dada en Madrid, a veintinueve de abril de dos mil veinticinco.</w:t>
      </w:r>
    </w:p>
    <w:p w14:paraId="6B17F654" w14:textId="76C737A1" w:rsidR="00A8138F" w:rsidRDefault="00A8138F" w:rsidP="00A8138F">
      <w:pPr>
        <w:pStyle w:val="ParrafoNormal"/>
      </w:pPr>
    </w:p>
    <w:p w14:paraId="182D22A6" w14:textId="77777777" w:rsidR="00A8138F" w:rsidRDefault="00A8138F" w:rsidP="00A8138F">
      <w:pPr>
        <w:pStyle w:val="TextoNormalNegritaCentrado"/>
        <w:keepNext/>
      </w:pPr>
      <w:r>
        <w:t>Voto particular que formulan los magistrados don Enrique Arnaldo Alcubilla y don Ramón Sáez Valcárcel a la sentencia del Pleno que estima parcialmente el recurso de amparo avocado núm. 4330-2023</w:t>
      </w:r>
    </w:p>
    <w:p w14:paraId="66557865" w14:textId="77F8A05E" w:rsidR="00A8138F" w:rsidRDefault="00A8138F" w:rsidP="00A8138F">
      <w:pPr>
        <w:pStyle w:val="TextoNormalNegritaCentrado"/>
        <w:keepNext/>
      </w:pPr>
    </w:p>
    <w:p w14:paraId="0C2FCE33" w14:textId="77777777" w:rsidR="00A8138F" w:rsidRDefault="00A8138F" w:rsidP="00A8138F">
      <w:pPr>
        <w:pStyle w:val="TextoNormal"/>
      </w:pPr>
      <w:r>
        <w:t>En el ejercicio de la facultad que nos confiere el art. 90.2 de la Ley Orgánica del Tribunal Constitucional y con respeto a la opinión de nuestros compañeros, formulamos este voto particular a la sentencia, por disentir tanto de la fundamentación como del fallo. Por las razones defendidas en su momento durante la deliberación y que desarrollaremos a continuación, entendemos que el recurso de amparo debió ser desestimado, porque las resoluciones de la Sala de lo Civil y Penal del Tribunal Superior de Justicia de Galicia que se impugnan no han vulnerado el derecho a la tutela judicial efectiva de las recurrentes.</w:t>
      </w:r>
    </w:p>
    <w:p w14:paraId="07759324" w14:textId="77777777" w:rsidR="00A8138F" w:rsidRDefault="00A8138F" w:rsidP="00A8138F">
      <w:pPr>
        <w:pStyle w:val="TextoNormal"/>
      </w:pPr>
    </w:p>
    <w:p w14:paraId="4E314144" w14:textId="77777777" w:rsidR="00A8138F" w:rsidRDefault="00A8138F" w:rsidP="00A8138F">
      <w:pPr>
        <w:pStyle w:val="TextoNormal"/>
      </w:pPr>
      <w:r>
        <w:t xml:space="preserve">1. </w:t>
      </w:r>
      <w:r w:rsidRPr="00A8138F">
        <w:rPr>
          <w:i/>
        </w:rPr>
        <w:t>La sentencia se aparta de la doctrina sentada por el Tribunal sobre el derecho a la tutela judicial efectiva en la vertiente de derecho de acceso a los recursos</w:t>
      </w:r>
    </w:p>
    <w:p w14:paraId="1E325658" w14:textId="77777777" w:rsidR="00A8138F" w:rsidRDefault="00A8138F" w:rsidP="00A8138F">
      <w:pPr>
        <w:pStyle w:val="TextoNormal"/>
      </w:pPr>
    </w:p>
    <w:p w14:paraId="6F8DB06E" w14:textId="77777777" w:rsidR="00A8138F" w:rsidRDefault="00A8138F" w:rsidP="00A8138F">
      <w:pPr>
        <w:pStyle w:val="TextoNormal"/>
      </w:pPr>
      <w:r>
        <w:t>La sentencia aprecia que las resoluciones judiciales impugnadas en amparo, en cuanto inadmiten el recurso de apelación interpuesto por las demandantes de amparo contra el auto de la Audiencia Provincial de Lugo que procedió a revisar la sentencia condenatoria, en aplicación de la Ley Orgánica 10/2022, de 6 de septiembre, de garantía integral de la libertad sexual, rebajando las penas impuestas al condenado, han vulnerado el derecho de aquellas a la tutela judicial efectiva (art. 24.1 CE), en la vertiente de acceso a los recursos.</w:t>
      </w:r>
    </w:p>
    <w:p w14:paraId="51F3CBF5" w14:textId="77777777" w:rsidR="00A8138F" w:rsidRDefault="00A8138F" w:rsidP="00A8138F">
      <w:pPr>
        <w:pStyle w:val="TextoNormal"/>
      </w:pPr>
    </w:p>
    <w:p w14:paraId="7ACE3E78" w14:textId="77777777" w:rsidR="00A8138F" w:rsidRDefault="00A8138F" w:rsidP="00A8138F">
      <w:pPr>
        <w:pStyle w:val="TextoNormal"/>
      </w:pPr>
      <w:r>
        <w:t>Para llegar a esta conclusión, este tribunal se ha visto obligado en su sentencia a dejar de lado su consolidada doctrina sobre el derecho de acceso a los recursos como dimensión del derecho a la tutela judicial efectiva y el consiguiente canon de control que puede ejercer al respecto. Ello es así hasta el punto de que ni siquiera se cita en la sentencia esa doctrina constitucional, sino que se omite por completo, cuando lo cierto es que su aplicación al caso habría conducido inexorablemente a la desestimación del recurso de amparo, dado que ningún reproche de arbitrariedad, irrazonabilidad o error fáctico patente con relevancia constitucional (que a ello se ciñe el escrutinio constitucional) cabe imputar a las resoluciones judiciales impugnadas en el presente caso.</w:t>
      </w:r>
    </w:p>
    <w:p w14:paraId="7FFEA54E" w14:textId="77777777" w:rsidR="00A8138F" w:rsidRDefault="00A8138F" w:rsidP="00A8138F">
      <w:pPr>
        <w:pStyle w:val="TextoNormal"/>
      </w:pPr>
    </w:p>
    <w:p w14:paraId="67B29CEB" w14:textId="77777777" w:rsidR="00A8138F" w:rsidRDefault="00A8138F" w:rsidP="00A8138F">
      <w:pPr>
        <w:pStyle w:val="TextoNormal"/>
      </w:pPr>
      <w:r>
        <w:t>De hecho, la sentencia no solo elude esa doctrina constitucional, sino que incluso constata en su fundamento jurídico 2 que, desde la función de control externo que a este tribunal corresponde, “es correcta la afirmación [de los autos impugnados] de que no existe una disposición legal que contemple recurso devolutivo contra los autos dictados en revisión de sentencias condenatorias aun firmes tras la entrada en vigor de normas penales favorables al reo”. Ese reconocimiento de la corrección del aserto de los autos impugnados se repite en diversos pasajes del fundamento jurídio 3 de la sentencia.</w:t>
      </w:r>
    </w:p>
    <w:p w14:paraId="4D50D192" w14:textId="77777777" w:rsidR="00A8138F" w:rsidRDefault="00A8138F" w:rsidP="00A8138F">
      <w:pPr>
        <w:pStyle w:val="TextoNormal"/>
      </w:pPr>
    </w:p>
    <w:p w14:paraId="00A34263" w14:textId="77777777" w:rsidR="00A8138F" w:rsidRDefault="00A8138F" w:rsidP="00A8138F">
      <w:pPr>
        <w:pStyle w:val="TextoNormal"/>
      </w:pPr>
      <w:r>
        <w:t>Sucede en efecto que, de acuerdo con lo razonado en la sentencia en su fundamento jurídico 3, la lesión del derecho a la tutela judicial efectiva, en la vertiente de acceso a los recursos, se habría producido en el presente caso porque los autos impugnados no han aplicado una jurisprudencia (en rigor, como luego se verá, una sentencia) de la Sala de lo Penal del Tribunal Supremo que apoya la procedencia de los recursos devolutivos contra los autos de revisión de sentencias de condena. Pero esta conclusión, ni se desprende de la doctrina constitucional que desde su STC 37/1995, de 7 de febrero, este tribunal viene sentando en relación con el contenido del derecho a la tutela judicial efectiva, en su dimensión de derecho de acceso a los recursos, ni se acomoda tampoco a nuestro modelo constitucional de justicia, que no acoge una regla de vinculación de los tribunales inferiores a la jurisprudencia del Tribunal Supremo. La sentencia construye, en suma, un canon de control novedoso —y no justificado— para el enjuiciamiento de las resoluciones judiciales de inadmisión de recursos.</w:t>
      </w:r>
    </w:p>
    <w:p w14:paraId="4D2FDC53" w14:textId="77777777" w:rsidR="00A8138F" w:rsidRDefault="00A8138F" w:rsidP="00A8138F">
      <w:pPr>
        <w:pStyle w:val="TextoNormal"/>
      </w:pPr>
    </w:p>
    <w:p w14:paraId="443B8C46" w14:textId="77777777" w:rsidR="00A8138F" w:rsidRDefault="00A8138F" w:rsidP="00A8138F">
      <w:pPr>
        <w:pStyle w:val="TextoNormal"/>
      </w:pPr>
      <w:r>
        <w:t>Sobre esta última cuestión volveremos luego. Pero importa ahora detenerse a recordar nuestra consolidada doctrina sobre el contenido del derecho de las partes a la tutela judicial efectiva (art. 24.1 CE), en la vertiente de acceso al recurso, y el control externo que al respecto corresponde ejercer a este tribunal, aunque solo sea por la ya apuntada razón de que la sentencia de la que disentimos omite la cita de esa doctrina, para mejor orillarla.</w:t>
      </w:r>
    </w:p>
    <w:p w14:paraId="682B1DA1" w14:textId="77777777" w:rsidR="00A8138F" w:rsidRDefault="00A8138F" w:rsidP="00A8138F">
      <w:pPr>
        <w:pStyle w:val="TextoNormal"/>
      </w:pPr>
    </w:p>
    <w:p w14:paraId="566E3E4D" w14:textId="77777777" w:rsidR="00A8138F" w:rsidRDefault="00A8138F" w:rsidP="00A8138F">
      <w:pPr>
        <w:pStyle w:val="TextoNormal"/>
      </w:pPr>
      <w:r>
        <w:t xml:space="preserve">No obstante, antes de recordar, siquiera brevemente, esa doctrina constitucional, resulta obligado hacer una precisión dada la confusión o inconsistencia argumentativa en que incurre la sentencia cuando afirma en su fundamento jurídico 3 B) que “La aplicación de la doctrina constitucional expuesta en los anteriores fundamentos jurídicos nos lleva a apreciar que los autos impugnados han causado la vulneración a las dos demandantes de amparo de su derecho a la tutela judicial efectiva, en su vertiente de acceso al recurso (art. 24.1 CE), lo que comporta la estimación de la demanda”. Semejante afirmación no puede sino suscitar perplejidad, en cuanto no resulta lógicamente posible que la aplicación de la doctrina constitucional expuesta en los fundamentos jurídicos 1 y 2 de la sentencia (que no es la relativa </w:t>
      </w:r>
      <w:r>
        <w:lastRenderedPageBreak/>
        <w:t>al derecho de acceso a los recursos) pueda conducir a la conclusión de que las resoluciones judiciales impugnadas en amparo hayan incurrido en esa pretendida vulneración.</w:t>
      </w:r>
    </w:p>
    <w:p w14:paraId="139027ED" w14:textId="77777777" w:rsidR="00A8138F" w:rsidRDefault="00A8138F" w:rsidP="00A8138F">
      <w:pPr>
        <w:pStyle w:val="TextoNormal"/>
      </w:pPr>
    </w:p>
    <w:p w14:paraId="58B69298" w14:textId="77777777" w:rsidR="00A8138F" w:rsidRDefault="00A8138F" w:rsidP="00A8138F">
      <w:pPr>
        <w:pStyle w:val="TextoNormal"/>
      </w:pPr>
      <w:r>
        <w:t>En efecto, ello es obvio para el caso de la doctrina constitucional citada en el fundamento jurídico 1, que la sentencia trae a colación para un doble propósito: en primer lugar, para delimitar el objeto del recurso de amparo, excluyendo la queja relativa a la lesión del derecho a la igualdad en la aplicación de la ley (art. 14 CE) por falta de invocación tempestiva en la vía judicial, como exigen el art. 44.1 c) LOTC y la naturaleza subsidiaria del recurso de amparo constitucional (se citan diversas sentencias de este tribunal referidas a esa conocida doctrina constitucional); y en segundo lugar, para advertir que se han sustituido los nombres y apellidos de las demandantes de amparo por sus iniciales, a fin de preservar el anonimato de la menor, que ha sido víctima de un delito de agresión sexual (y se citan al efecto diversas sentencias de este tribunal sobre anonimización de datos personales en casos semejantes).</w:t>
      </w:r>
    </w:p>
    <w:p w14:paraId="1F1D7ABA" w14:textId="77777777" w:rsidR="00A8138F" w:rsidRDefault="00A8138F" w:rsidP="00A8138F">
      <w:pPr>
        <w:pStyle w:val="TextoNormal"/>
      </w:pPr>
    </w:p>
    <w:p w14:paraId="1757600D" w14:textId="77777777" w:rsidR="00A8138F" w:rsidRDefault="00A8138F" w:rsidP="00A8138F">
      <w:pPr>
        <w:pStyle w:val="TextoNormal"/>
      </w:pPr>
      <w:r>
        <w:t>Pero no menos evidente resulta que la doctrina constitucional que se cita en el fundamento jurídico 2 de la sentencia tampoco puede servir de fundamento para la estimación del presente recurso de amparo. Así, en primer lugar, se afirma que es “pertinente recordar ahora el criterio que adoptamos en las SSTC 49/1999, de 5 de abril, FJ 5, y 184/2003, de 23 de octubre, FJ 7, cuando señalamos que tratándose de un recurso de amparo, aunque pudiera hablarse de una insuficiencia de la ley en la regulación del marco de protección de un derecho fundamental (en el presente caso, del derecho a recurrir), si los órganos judiciales han actuado respetando las exigencias constitucionales, no cabría entender que estos han vulnerado los derechos fundamentales invocados en la demanda. En caso contrario, obviamente, sí”.</w:t>
      </w:r>
    </w:p>
    <w:p w14:paraId="10C994A4" w14:textId="77777777" w:rsidR="00A8138F" w:rsidRDefault="00A8138F" w:rsidP="00A8138F">
      <w:pPr>
        <w:pStyle w:val="TextoNormal"/>
      </w:pPr>
    </w:p>
    <w:p w14:paraId="1E820131" w14:textId="77777777" w:rsidR="00A8138F" w:rsidRDefault="00A8138F" w:rsidP="00A8138F">
      <w:pPr>
        <w:pStyle w:val="TextoNormal"/>
      </w:pPr>
      <w:r>
        <w:t>Pues bien, dejando a un lado el dato no irrelevante de que las SSTC 49/1999, de 5 de abril, FJ 5, y 184/2003, de 23 de octubre, FJ 7, se refieren a un derecho fundamental sustantivo que nace directamente de la Constitución, el derecho al secreto de las comunicaciones (art. 18.3 CE), y no a un derecho de configuración legal, como lo es el derecho al recurso, sucede que dichas sentencias declaran que la vulneración del derecho al secreto de las comunicaciones por insuficiente habilitación legal (calidad de la ley) no implica por sí misma, necesariamente, la ilegitimidad constitucional de la actuación de los órganos judiciales que autorizaron la intervención, cuando hubieran actuado en el marco de la investigación de una infracción grave y de modo patente resulte que hubiera sido necesaria, adecuada y proporcionada la intervención y la hubiesen acordado respecto de personas presuntamente implicadas en los hechos investigados, respetando, además, las exigencias constitucionales dimanantes del principio de proporcionalidad. Bien se echa de ver que esta doctrina constitucional no guarda relación alguna con lo discutido en el presente recurso de amparo.</w:t>
      </w:r>
    </w:p>
    <w:p w14:paraId="1AF08506" w14:textId="77777777" w:rsidR="00A8138F" w:rsidRDefault="00A8138F" w:rsidP="00A8138F">
      <w:pPr>
        <w:pStyle w:val="TextoNormal"/>
      </w:pPr>
    </w:p>
    <w:p w14:paraId="0DC37B9D" w14:textId="77777777" w:rsidR="00A8138F" w:rsidRDefault="00A8138F" w:rsidP="00A8138F">
      <w:pPr>
        <w:pStyle w:val="TextoNormal"/>
      </w:pPr>
      <w:r>
        <w:t>En segundo lugar, resulta inane la cita de la STC 5/2001, de 15 de enero, FJ 2, para adornar el argumento de que la cuestión sobre la recurribilidad de los autos de revisión de condenas no está exenta de dudas interpretativas. Sin perjuicio de señalar que la cuestión planteada en el recurso de amparo resuelto por la STC 5/2001 (esencialmente si los directivos de las federaciones deportivas son titulares de las libertades de expresión y de información) nada tiene que ver con el asunto que aquí nos ocupa, sucede además que el fundamento jurídico 2 de la STC 5/2001 se ocupa de descartar la existencia de los óbices a la admisibi</w:t>
      </w:r>
      <w:r>
        <w:lastRenderedPageBreak/>
        <w:t>lidad del recurso de amparo invocados en aquel caso por el abogado del Estado y el Ministerio Fiscal.</w:t>
      </w:r>
    </w:p>
    <w:p w14:paraId="3FE1F939" w14:textId="77777777" w:rsidR="00A8138F" w:rsidRDefault="00A8138F" w:rsidP="00A8138F">
      <w:pPr>
        <w:pStyle w:val="TextoNormal"/>
      </w:pPr>
    </w:p>
    <w:p w14:paraId="13CE10D5" w14:textId="77777777" w:rsidR="00A8138F" w:rsidRDefault="00A8138F" w:rsidP="00A8138F">
      <w:pPr>
        <w:pStyle w:val="TextoNormal"/>
      </w:pPr>
      <w:r>
        <w:t>Queda pues, a nuestro entender, demostrada la inconsistencia de la afirmación contenida en el fundamento jurídico 3 B) de la sentencia de la que discrepamos, según la cual la aplicación de la doctrina constitucional expuesta en los anteriores fundamentos jurídicos conduce a apreciar que los autos impugnados han vulnerado el derecho a la tutela judicial efectiva de las demandantes de amparo, en la vertiente del derecho de acceso al recurso. No hay tal cosa.</w:t>
      </w:r>
    </w:p>
    <w:p w14:paraId="37E1DFB3" w14:textId="77777777" w:rsidR="00A8138F" w:rsidRDefault="00A8138F" w:rsidP="00A8138F">
      <w:pPr>
        <w:pStyle w:val="TextoNormal"/>
      </w:pPr>
    </w:p>
    <w:p w14:paraId="5B6BD3BD" w14:textId="77777777" w:rsidR="00A8138F" w:rsidRDefault="00A8138F" w:rsidP="00A8138F">
      <w:pPr>
        <w:pStyle w:val="TextoNormal"/>
      </w:pPr>
      <w:r>
        <w:t xml:space="preserve">2. </w:t>
      </w:r>
      <w:r w:rsidRPr="00A8138F">
        <w:rPr>
          <w:i/>
        </w:rPr>
        <w:t>Doctrina constitucional sobre el derecho de acceso al recurso</w:t>
      </w:r>
    </w:p>
    <w:p w14:paraId="665A182B" w14:textId="77777777" w:rsidR="00A8138F" w:rsidRDefault="00A8138F" w:rsidP="00A8138F">
      <w:pPr>
        <w:pStyle w:val="TextoNormal"/>
      </w:pPr>
    </w:p>
    <w:p w14:paraId="747613A6" w14:textId="77777777" w:rsidR="00A8138F" w:rsidRDefault="00A8138F" w:rsidP="00A8138F">
      <w:pPr>
        <w:pStyle w:val="TextoNormal"/>
      </w:pPr>
      <w:r>
        <w:t>Como queda dicho, es la consolidada doctrina constitucional sobre el derecho a la tutela judicial efectiva en la vertiente de acceso al recurso la que la sentencia debió proyectar al caso para dilucidar si, conforme a esa doctrina, los autos impugnados en amparo han respetado o conculcado ese derecho. Pero la sentencia ni cita esa doctrina ni, lo que es más grave, la tiene en cuenta para resolver el asunto. Ello nos obliga a recordarla, siquiera brevemente.</w:t>
      </w:r>
    </w:p>
    <w:p w14:paraId="5FFE620F" w14:textId="77777777" w:rsidR="00A8138F" w:rsidRDefault="00A8138F" w:rsidP="00A8138F">
      <w:pPr>
        <w:pStyle w:val="TextoNormal"/>
      </w:pPr>
    </w:p>
    <w:p w14:paraId="64BFCE07" w14:textId="77777777" w:rsidR="00A8138F" w:rsidRDefault="00A8138F" w:rsidP="00A8138F">
      <w:pPr>
        <w:pStyle w:val="TextoNormal"/>
      </w:pPr>
      <w:r>
        <w:t xml:space="preserve">Este tribunal, a partir de su capital STC 37/1995, de 7 de febrero, del Pleno, ha venido distinguiendo de modo reiterado (por todas, SSTC 149/2016, de 19 de septiembre, FJ 3; 173/2016, de 17 de octubre, FJ 2; 98/2020, de 22 de julio, FJ 2; 151/2022, de 30 de noviembre, FJ 4, y 153/2023, de 20 de noviembre, FJ 3), entre: (i) el derecho de acceso a la jurisdicción, que tiene su fundamento directo en el derecho fundamental a la tutela judicial efectiva garantizado por el art. 24.1 CE, y en donde el principio </w:t>
      </w:r>
      <w:r w:rsidRPr="00A8138F">
        <w:rPr>
          <w:i/>
        </w:rPr>
        <w:t>pro actione</w:t>
      </w:r>
      <w:r>
        <w:t xml:space="preserve"> opera con la máxima intensidad para obtener del órgano judicial una resolución sobre el fondo de las pretensiones, aunque también puedan ser estas satisfechas con una decisión de inadmisión, por razones formales o materiales, siempre que sea motivada y se funde en la existencia de una causa legal que resulte aplicada razonablemente; y (ii) el derecho de acceso al recurso, en el que, recaída ya la primera respuesta judicial, es el legislador quien, en todo tipo de procesos, a excepción del penal respecto de las sentencias condenatorias (por la garantía de la doble instancia revisora), dispone de un amplio margen de libertad para establecer la procedencia del recurso, delimitar los supuestos y motivos de impugnación, así como determinar, también, su naturaleza y alcance; se trata, en efecto, de un derecho de configuración legal (con la salvedad indicada de la revisión de sentencias penales condenatorias). Dicho de otro modo, el derecho a acceder a la justicia es un componente medular del derecho fundamental a la tutela judicial efectiva proclamado por el art. 24.1 CE, y que nace de la Constitución misma. Por el contrario, el derecho de acceder a los recursos se incorpora al derecho fundamental a la tutela judicial efectiva en la concreta configuración que reciba de cada una de las leyes de enjuiciamiento que regulan los diferentes órdenes jurisdiccionales, salvo en lo relativo al derecho del condenado a la revisión de su condena y la pena impuesta.</w:t>
      </w:r>
    </w:p>
    <w:p w14:paraId="69259450" w14:textId="77777777" w:rsidR="00A8138F" w:rsidRDefault="00A8138F" w:rsidP="00A8138F">
      <w:pPr>
        <w:pStyle w:val="TextoNormal"/>
      </w:pPr>
    </w:p>
    <w:p w14:paraId="266E3D9B" w14:textId="77777777" w:rsidR="00A8138F" w:rsidRDefault="00A8138F" w:rsidP="00A8138F">
      <w:pPr>
        <w:pStyle w:val="TextoNormal"/>
      </w:pPr>
      <w:r>
        <w:t xml:space="preserve">Además, el control que el Tribunal Constitucional puede realizar de las resoluciones judiciales dictadas sobre los presupuestos o requisitos de admisión de los recursos tiene carácter externo, pues no le corresponde revisar la aplicación judicial de las normas sobre admisión de recursos, debiendo evitar toda ponderación acerca de la corrección jurídica de la decisión judicial de inadmisión del recuso, limitándose —lo que no es poco— a examinar si esa decisión se sustenta en una motivación fundada en Derecho y es razonable; de modo que el Tribunal únicamente podrá apreciar la vulneración del derecho a la tutela judicial </w:t>
      </w:r>
      <w:r>
        <w:lastRenderedPageBreak/>
        <w:t>efectiva, en la vertiente de derecho de acceso al recurso, cuando constate que la resolución judicial impugnada haya denegado la admisión de un recurso legalmente previsto con apoyo en una causa inexistente, o cuando la declaración de inadmisibilidad se fundamente en un juicio manifiestamente irracional, arbitrario o incurso en un error fáctico patente.</w:t>
      </w:r>
    </w:p>
    <w:p w14:paraId="6252A848" w14:textId="77777777" w:rsidR="00A8138F" w:rsidRDefault="00A8138F" w:rsidP="00A8138F">
      <w:pPr>
        <w:pStyle w:val="TextoNormal"/>
      </w:pPr>
    </w:p>
    <w:p w14:paraId="0125F3F7" w14:textId="77777777" w:rsidR="00A8138F" w:rsidRDefault="00A8138F" w:rsidP="00A8138F">
      <w:pPr>
        <w:pStyle w:val="TextoNormal"/>
      </w:pPr>
      <w:r>
        <w:t>Esta es, resumidamente expuesta, la doctrina constitucional, constante y reiterada hasta hoy, sobre el derecho a la tutela judicial efectiva en la vertiente de derecho de acceso al recurso, que la sentencia debió tener en cuenta para resolver el presente asunto. De haberlo hecho, la conclusión no habría sido otra que la desestimación del recurso de amparo. Para estimarlo, la sentencia ha obviado esa doctrina, alumbrando, como queda dicho, un nuevo canon de control constitucional de las resoluciones judiciales de inadmisión de recursos: la sujeción a la jurisprudencia del Tribunal Supremo. Discrepamos, tan respetuosa como rotundamente, de esta novedosa e injustificada construcción jurídica, que no solo se aparta de la doctrina constitucional, sino que quiebra los presupuestos mismos de nuestro modelo constitucional de justicia para incrustar la regla de la vinculación al precedente, propia de otro sistema jurídico y por tanto de otros ordenamientos, pero ajena al nuestro. De esta cuestión nos ocuparemos seguidamente.</w:t>
      </w:r>
    </w:p>
    <w:p w14:paraId="1769B2F2" w14:textId="77777777" w:rsidR="00A8138F" w:rsidRDefault="00A8138F" w:rsidP="00A8138F">
      <w:pPr>
        <w:pStyle w:val="TextoNormal"/>
      </w:pPr>
    </w:p>
    <w:p w14:paraId="791D1940" w14:textId="77777777" w:rsidR="00A8138F" w:rsidRDefault="00A8138F" w:rsidP="00A8138F">
      <w:pPr>
        <w:pStyle w:val="TextoNormal"/>
      </w:pPr>
      <w:r>
        <w:t xml:space="preserve">3. </w:t>
      </w:r>
      <w:r w:rsidRPr="00A8138F">
        <w:rPr>
          <w:i/>
        </w:rPr>
        <w:t>Sobre el valor de la jurisprudencia del Tribunal Supremo en nuestro ordenamiento</w:t>
      </w:r>
    </w:p>
    <w:p w14:paraId="07414D82" w14:textId="77777777" w:rsidR="00A8138F" w:rsidRDefault="00A8138F" w:rsidP="00A8138F">
      <w:pPr>
        <w:pStyle w:val="TextoNormal"/>
      </w:pPr>
    </w:p>
    <w:p w14:paraId="52A9824D" w14:textId="77777777" w:rsidR="00A8138F" w:rsidRDefault="00A8138F" w:rsidP="00A8138F">
      <w:pPr>
        <w:pStyle w:val="TextoNormal"/>
      </w:pPr>
      <w:r>
        <w:t xml:space="preserve">El reconocimiento del valor vinculante del precedente judicial, propio del sistema anglosajón de </w:t>
      </w:r>
      <w:r w:rsidRPr="00A8138F">
        <w:rPr>
          <w:i/>
        </w:rPr>
        <w:t>common law</w:t>
      </w:r>
      <w:r>
        <w:t>, es ajeno a la concepción predominante en el sistema continental, en el que se inscribe nuestro modelo constitucional, que viene negando a la jurisprudencia del Tribunal Supremo el valor vinculante para los jueces y tribunales inferiores, pues no cabe atribuir a la jurisprudencia (que “complementará el ordenamiento jurídico”, conforme señala el art. 1.6 del Código civil) un valor normativo del que carece.</w:t>
      </w:r>
    </w:p>
    <w:p w14:paraId="1A3E5815" w14:textId="77777777" w:rsidR="00A8138F" w:rsidRDefault="00A8138F" w:rsidP="00A8138F">
      <w:pPr>
        <w:pStyle w:val="TextoNormal"/>
      </w:pPr>
    </w:p>
    <w:p w14:paraId="0F951815" w14:textId="77777777" w:rsidR="00A8138F" w:rsidRDefault="00A8138F" w:rsidP="00A8138F">
      <w:pPr>
        <w:pStyle w:val="TextoNormal"/>
      </w:pPr>
      <w:r>
        <w:t xml:space="preserve">Por tanto, que el Tribunal Supremo, con jurisdicción en toda España, sea “el órgano jurisdiccional superior en todos los órdenes, salvo lo dispuesto en materia de garantías constitucionales” (art. 123.1 CE) no significa que los tribunales inferiores, en el ejercicio de su jurisdicción, juzgando y haciendo ejecutar lo juzgado (art. 117.3 CE), queden vinculados imperativamente por la jurisprudencia del Tribunal Supremo (como sí lo están por las resoluciones del Tribunal Constitucional: arts. 164 CE, 87.1 LOTC y 5.1 de la Ley Orgánica del Poder Judicial). Jueces y tribunales administran justicia con imparcialidad e independencia y sometidos únicamente al imperio de la ley (art. 117.1 CE). Ciertamente, la jurisprudencia del Tribunal Supremo tiene vocación de ser observada por los tribunales inferiores, pero el hecho de que estos en sus resoluciones se aparten de esa jurisprudencia no supone </w:t>
      </w:r>
      <w:r w:rsidRPr="00A8138F">
        <w:rPr>
          <w:i/>
        </w:rPr>
        <w:t>per se</w:t>
      </w:r>
      <w:r>
        <w:t xml:space="preserve"> la vulneración del derecho a la tutela judicial efectiva que garantiza el art. 24.1 CE.</w:t>
      </w:r>
    </w:p>
    <w:p w14:paraId="03B06961" w14:textId="77777777" w:rsidR="00A8138F" w:rsidRDefault="00A8138F" w:rsidP="00A8138F">
      <w:pPr>
        <w:pStyle w:val="TextoNormal"/>
      </w:pPr>
    </w:p>
    <w:p w14:paraId="1BD2F651" w14:textId="77777777" w:rsidR="00A8138F" w:rsidRDefault="00A8138F" w:rsidP="00A8138F">
      <w:pPr>
        <w:pStyle w:val="TextoNormal"/>
      </w:pPr>
      <w:r>
        <w:t>Como advirtió el Pleno del Tribunal Constitucional en la STC 37/2012, de 19 de marzo, FJ 4, el principio de independencia judicial (art. 117.1 CE), consustancial a todo Estado democrático de Derecho, y que se predica de todos y cada uno de los jueces y magistrados en cuanto ejercen la función jurisdiccional, “implica que, en el ejercicio de esta función, están sujetos única y exclusivamente al imperio de la ley, lo que significa que no están ligados a órdenes, instrucciones o indicaciones de ningún otro poder público, singularmente del Legislativo y del Ejecutivo. E incluso que los órganos judiciales de grado inferior no están necesariamente vinculados por la doctrina de los tribunales superiores en grado, ni aun siquiera por la jurisprudencia del Tribunal Supremo, con la excepción, de la que segui</w:t>
      </w:r>
      <w:r>
        <w:lastRenderedPageBreak/>
        <w:t>damente nos ocuparemos, de la doctrina sentada en los recursos de casación en interés de ley; todo ello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w:t>
      </w:r>
    </w:p>
    <w:p w14:paraId="49E8FDA9" w14:textId="77777777" w:rsidR="00A8138F" w:rsidRDefault="00A8138F" w:rsidP="00A8138F">
      <w:pPr>
        <w:pStyle w:val="TextoNormal"/>
      </w:pPr>
    </w:p>
    <w:p w14:paraId="79907A49" w14:textId="77777777" w:rsidR="00A8138F" w:rsidRDefault="00A8138F" w:rsidP="00A8138F">
      <w:pPr>
        <w:pStyle w:val="TextoNormal"/>
      </w:pPr>
      <w:r>
        <w:t>La excepción a esa regla de no vinculación de los tribunales inferiores a la jurisprudencia del Tribunal Supremo, como explicó la STC 37/2012, FJ 7, se encontraba en el carácter vinculante de la doctrina legal sentada por el Tribunal Supremo al resolver recursos de casación en interés de ley, cuando estos existían porque el legislador los había previsto, conforme a la libertad de configuración que le corresponde al establecer el régimen jurídico de los recursos. No es el caso, obviamente, de la sentencia de la Sala de lo Penal del Tribunal Supremo 606/2018, de 28 de noviembre (recurso de casación núm. 10605-2017), que sienta el criterio de que las partes tienen derecho a un recurso devolutivo (apelación o, en su caso, casación) contra el auto de revisión de condena; criterio interpretativo que el Tribunal Supremo ha reiterado en sentencias posteriores, dictadas después de los autos que se impugnan en el presente recurso de amparo.</w:t>
      </w:r>
    </w:p>
    <w:p w14:paraId="231663B8" w14:textId="77777777" w:rsidR="00A8138F" w:rsidRDefault="00A8138F" w:rsidP="00A8138F">
      <w:pPr>
        <w:pStyle w:val="TextoNormal"/>
      </w:pPr>
    </w:p>
    <w:p w14:paraId="4DDFF06E" w14:textId="77777777" w:rsidR="00A8138F" w:rsidRDefault="00A8138F" w:rsidP="00A8138F">
      <w:pPr>
        <w:pStyle w:val="TextoNormal"/>
      </w:pPr>
      <w:r>
        <w:t>Sin embargo, también esta doctrina constitucional se obvia y contradice en la sentencia de la que discrepamos, al sostener que los autos impugnados en amparo vulneraron el derecho de las demandantes a la tutela judicial efectiva, en la vertiente de acceso al recurso, porque al inadmitir el recurso de apelación que aquellas interpusieron contra el auto de revisión de condena dictado en aplicación de la Ley Orgánica 10/2022, no se atuvieron a la referida jurisprudencia de la Sala de lo Penal del Tribunal Supremo. Veámoslo seguidamente más despacio.</w:t>
      </w:r>
    </w:p>
    <w:p w14:paraId="5C0CB1C2" w14:textId="77777777" w:rsidR="00A8138F" w:rsidRDefault="00A8138F" w:rsidP="00A8138F">
      <w:pPr>
        <w:pStyle w:val="TextoNormal"/>
      </w:pPr>
    </w:p>
    <w:p w14:paraId="5E8B3C23" w14:textId="77777777" w:rsidR="00A8138F" w:rsidRDefault="00A8138F" w:rsidP="00A8138F">
      <w:pPr>
        <w:pStyle w:val="TextoNormal"/>
      </w:pPr>
      <w:r>
        <w:t xml:space="preserve">4. </w:t>
      </w:r>
      <w:r w:rsidRPr="00A8138F">
        <w:rPr>
          <w:i/>
        </w:rPr>
        <w:t>La pretendida vinculación a la jurisprudencia del Tribunal Supremo como canon de control en materia de derecho de acceso a los recursos</w:t>
      </w:r>
    </w:p>
    <w:p w14:paraId="6F46DAB0" w14:textId="77777777" w:rsidR="00A8138F" w:rsidRDefault="00A8138F" w:rsidP="00A8138F">
      <w:pPr>
        <w:pStyle w:val="TextoNormal"/>
      </w:pPr>
    </w:p>
    <w:p w14:paraId="23F23682" w14:textId="77777777" w:rsidR="00A8138F" w:rsidRDefault="00A8138F" w:rsidP="00A8138F">
      <w:pPr>
        <w:pStyle w:val="TextoNormal"/>
      </w:pPr>
      <w:r>
        <w:t>Para empezar, valga advertir que la sentencia de la que discrepamos incurre en la impropiedad de entender que los autos impugnados en amparo, al no acatar el criterio interpretativo sentado en la citada sentencia de la Sala de lo Penal del Tribunal Supremo 606/2018, de 28 de noviembre, incumplieron la jurisprudencia de dicha Sala (así resulta de diversos pasajes de los fundamentos jurídicos 2 y 3). Se viene así a considerar que una sola sentencia del Tribunal Supremo crea jurisprudencia, olvidando que en el art. 1.6 del Código civil se dispone que “[l]a jurisprudencia complementará el ordenamiento jurídico con la doctrina que, de modo reiterado, establezca el Tribunal Supremo al interpretar y aplicar la ley, la costumbre y los principios generales del Derecho”, exigencia de reiteración de la que se desprende que son necesarias, al menos, dos sentencias que resuelvan asuntos idénticos del mismo modo para sentar jurisprudencia.</w:t>
      </w:r>
    </w:p>
    <w:p w14:paraId="14014CAF" w14:textId="77777777" w:rsidR="00A8138F" w:rsidRDefault="00A8138F" w:rsidP="00A8138F">
      <w:pPr>
        <w:pStyle w:val="TextoNormal"/>
      </w:pPr>
    </w:p>
    <w:p w14:paraId="717F657B" w14:textId="77777777" w:rsidR="00A8138F" w:rsidRDefault="00A8138F" w:rsidP="00A8138F">
      <w:pPr>
        <w:pStyle w:val="TextoNormal"/>
      </w:pPr>
      <w:r>
        <w:t xml:space="preserve">Por tanto, la jurisprudencia a la que alude la sentencia de la que discrepamos solo existiría, en rigor, tras las sentencias de la Sala de lo Penal del Tribunal Supremo, a las que se hace mención, que reiteraron el criterio interpretativo de la citada sentencia 606/2018, de 28 de noviembre; sentencias todas ellas posteriores, como también se dice, a los autos impugnados en el presente recurso de amparo. En consecuencia, es incorrecto afirmar que esos </w:t>
      </w:r>
      <w:r>
        <w:lastRenderedPageBreak/>
        <w:t>autos incumplieran una jurisprudencia que en el momento en que fueron dictados aún no existía.</w:t>
      </w:r>
    </w:p>
    <w:p w14:paraId="232C5451" w14:textId="77777777" w:rsidR="00A8138F" w:rsidRDefault="00A8138F" w:rsidP="00A8138F">
      <w:pPr>
        <w:pStyle w:val="TextoNormal"/>
      </w:pPr>
    </w:p>
    <w:p w14:paraId="12771D53" w14:textId="77777777" w:rsidR="00A8138F" w:rsidRDefault="00A8138F" w:rsidP="00A8138F">
      <w:pPr>
        <w:pStyle w:val="TextoNormal"/>
      </w:pPr>
      <w:r>
        <w:t>En suma, lo que se reprocha por la sentencia de la que disentimos a los autos impugnados en amparo es que no acataran el criterio interpretativo sentado por la Sala de lo Penal del Tribunal Supremo en su sentencia 606/2018, de 28 de noviembre, de la que el Tribunal Superior de Justicia de Galicia era conocedor, que otorga a las partes el derecho a un recurso devolutivo contra el auto de revisión de condena; criterio que se habría reiterado, tras el dictado de los autos recurridos en amparo en posteriores sentencias de la Sala de lo Penal del Tribunal Supremo.</w:t>
      </w:r>
    </w:p>
    <w:p w14:paraId="403C7B9C" w14:textId="77777777" w:rsidR="00A8138F" w:rsidRDefault="00A8138F" w:rsidP="00A8138F">
      <w:pPr>
        <w:pStyle w:val="TextoNormal"/>
      </w:pPr>
    </w:p>
    <w:p w14:paraId="2C975AB2" w14:textId="77777777" w:rsidR="00A8138F" w:rsidRDefault="00A8138F" w:rsidP="00A8138F">
      <w:pPr>
        <w:pStyle w:val="TextoNormal"/>
      </w:pPr>
      <w:r>
        <w:t>Ese incumplimiento de la sentencia de la Sala de lo Penal del Tribunal Supremo 606/2018, de 28 de noviembre, es lo que el Tribunal Constitucional, en la sentencia de la que discrepamos, considera lesivo del derecho a la tutela judicial efectiva, en la vertiente de acceso a los recursos, lo que le lleva a estimar el recurso de amparo.</w:t>
      </w:r>
    </w:p>
    <w:p w14:paraId="3BF8266D" w14:textId="77777777" w:rsidR="00A8138F" w:rsidRDefault="00A8138F" w:rsidP="00A8138F">
      <w:pPr>
        <w:pStyle w:val="TextoNormal"/>
      </w:pPr>
    </w:p>
    <w:p w14:paraId="09F20F4A" w14:textId="77777777" w:rsidR="00A8138F" w:rsidRDefault="00A8138F" w:rsidP="00A8138F">
      <w:pPr>
        <w:pStyle w:val="TextoNormal"/>
      </w:pPr>
      <w:r>
        <w:t>No nos convence en absoluto esta conclusión, que se aparta, como ya hemos advertido, sin dar razón alguna para ello, de la doctrina constitucional sobre el contenido del derecho de acceso a los recursos y el control que al respecto compete a este tribunal ejercer, así como sobre el carácter no vinculante para los tribunales inferiores de la jurisprudencia del Tribunal Supremo, y que además se articula mediante razonamientos a todas luces inconsistentes.</w:t>
      </w:r>
    </w:p>
    <w:p w14:paraId="33203E76" w14:textId="77777777" w:rsidR="00A8138F" w:rsidRDefault="00A8138F" w:rsidP="00A8138F">
      <w:pPr>
        <w:pStyle w:val="TextoNormal"/>
      </w:pPr>
    </w:p>
    <w:p w14:paraId="0D9A40D3" w14:textId="77777777" w:rsidR="00A8138F" w:rsidRDefault="00A8138F" w:rsidP="00A8138F">
      <w:pPr>
        <w:pStyle w:val="TextoNormal"/>
      </w:pPr>
      <w:r>
        <w:t>Inconsistentes, sin duda, porque, en primer lugar, y como ya hemos señalado también, no es cierto que a partir de la aplicación al presente caso de la doctrina constitucional citada en los fundamentos jurídicos 1 y 2 de la sentencia, se llegue a la conclusión de que los autos impugnados en amparo han vulnerado el derecho de las demandantes a la tutela judicial efectiva, en la vertiente de acceso al recurso. Esa doctrina nada tiene que ver con este derecho, como se ha visto.</w:t>
      </w:r>
    </w:p>
    <w:p w14:paraId="5F577AC7" w14:textId="77777777" w:rsidR="00A8138F" w:rsidRDefault="00A8138F" w:rsidP="00A8138F">
      <w:pPr>
        <w:pStyle w:val="TextoNormal"/>
      </w:pPr>
    </w:p>
    <w:p w14:paraId="7784A1E5" w14:textId="77777777" w:rsidR="00A8138F" w:rsidRDefault="00A8138F" w:rsidP="00A8138F">
      <w:pPr>
        <w:pStyle w:val="TextoNormal"/>
      </w:pPr>
      <w:r>
        <w:t>Y en segundo lugar, porque carece de fundamento el canon de enjuiciamiento que construye la sentencia, cuando afirma en su fundamento jurídico 2 que “debemos evaluar la conformidad de dicha jurisprudencia con el ejercicio del derecho fundamental de las recurrentes (derecho al recurso), en primer lugar, y confrontarlo a renglón seguido con la motivación expresada por los dos autos de la Sala competente del Tribunal Superior de Justicia de Galicia, aquí atacados, para rechazar su aplicación”, para seguidamente llevar a cabo dicho contraste en el fundamento jurídico 3.</w:t>
      </w:r>
    </w:p>
    <w:p w14:paraId="5E5DF7F6" w14:textId="77777777" w:rsidR="00A8138F" w:rsidRDefault="00A8138F" w:rsidP="00A8138F">
      <w:pPr>
        <w:pStyle w:val="TextoNormal"/>
      </w:pPr>
    </w:p>
    <w:p w14:paraId="4D5F0CCF" w14:textId="77777777" w:rsidR="00A8138F" w:rsidRDefault="00A8138F" w:rsidP="00A8138F">
      <w:pPr>
        <w:pStyle w:val="TextoNormal"/>
      </w:pPr>
      <w:r>
        <w:t>En efecto, no le corresponde a este tribunal examinar, como hace la sentencia en su fundamento jurídico 3, si el criterio interpretativo sentado por la jurisprudencia de la Sala de lo Penal del Tribunal Supremo (</w:t>
      </w:r>
      <w:r w:rsidRPr="00A8138F">
        <w:rPr>
          <w:i/>
        </w:rPr>
        <w:t>rectius</w:t>
      </w:r>
      <w:r>
        <w:t>: en el momento en se dictan los autos impugnados en amparo, por la sentencia 606/2018, de 28 de noviembre), según el cual cabe recurso devolutivo contra el auto de revisión de condena, es conforme con el derecho a la tutela judicial efectiva. Sencillamente, porque esa jurisprudencia (esa sentencia) no es objeto del presente recurso de amparo.</w:t>
      </w:r>
    </w:p>
    <w:p w14:paraId="5F3841E9" w14:textId="77777777" w:rsidR="00A8138F" w:rsidRDefault="00A8138F" w:rsidP="00A8138F">
      <w:pPr>
        <w:pStyle w:val="TextoNormal"/>
      </w:pPr>
    </w:p>
    <w:p w14:paraId="2BAAB807" w14:textId="77777777" w:rsidR="00A8138F" w:rsidRDefault="00A8138F" w:rsidP="00A8138F">
      <w:pPr>
        <w:pStyle w:val="TextoNormal"/>
      </w:pPr>
      <w:r>
        <w:t xml:space="preserve">No tenemos dificultad alguna para conceder que “nada hay en el enunciado de esta jurisprudencia que pueda tildarse de arbitrario, irrazonable o fundado en un error fáctico patente”, como dice este tribunal en el fundamento jurídico 3 de la sentencia; lo que ocurre es </w:t>
      </w:r>
      <w:r>
        <w:lastRenderedPageBreak/>
        <w:t>que ello es irrelevante para el enjuiciamiento que se nos demanda, pues, se insiste, de lo que se trata en el presente recurso de amparo es de examinar si la respuesta de inadmisión contenida en los autos impugnados en amparo puede o no tildarse de arbitraria, irrazonable o fundada en un error fáctico patente (que es, recordémoslo una vez más, el escrutinio aplicable para dilucidar si existe vulneración del derecho de acceso al recurso), no de verificar la razonabilidad de la jurisprudencia del Tribunal Supremo. Está fuera de lugar, por tanto, contraponer el criterio sentado en esa jurisprudencia con el criterio sustentado en los autos que se impugnan en amparo.</w:t>
      </w:r>
    </w:p>
    <w:p w14:paraId="18571C7C" w14:textId="77777777" w:rsidR="00A8138F" w:rsidRDefault="00A8138F" w:rsidP="00A8138F">
      <w:pPr>
        <w:pStyle w:val="TextoNormal"/>
      </w:pPr>
    </w:p>
    <w:p w14:paraId="1105ABF3" w14:textId="77777777" w:rsidR="00A8138F" w:rsidRDefault="00A8138F" w:rsidP="00A8138F">
      <w:pPr>
        <w:pStyle w:val="TextoNormal"/>
      </w:pPr>
      <w:r>
        <w:t>Además, la sentencia reprocha en su fundamento jurídico 3 B) a los autos impugnados que no aporten “ningún dato o reflexión” que permita explicar cuál podría ser el motivo del legislador para convertir en inatacables en vía devolutiva los autos de revisión de condena, para concluir que esa era la explicación que debía dar el órgano judicial “para sustentar con objetividad su tesis sobre la voluntad implícita del legislador de no permitir ningún recurso devolutivo, y dotar de razonabilidad a su decisión de inadmitirlo, cosa que no hace”. Tal reproche se nos antoja absurdo, pues no se alcanza a entender la razón jurídica por la cual un órgano judicial vendría obligado a formular conjeturas sobre los motivos por los que el legislador, en el ejercicio de la libertad de configuración que le corresponde en orden a regular los recursos que estime procedentes, como tiene reiteradamente declarado la citada doctrina constitucional, haya decidido no regular un concreto recurso frente a determinadas resoluciones judiciales.</w:t>
      </w:r>
    </w:p>
    <w:p w14:paraId="69E753ED" w14:textId="77777777" w:rsidR="00A8138F" w:rsidRDefault="00A8138F" w:rsidP="00A8138F">
      <w:pPr>
        <w:pStyle w:val="TextoNormal"/>
      </w:pPr>
    </w:p>
    <w:p w14:paraId="0BC285A4" w14:textId="77777777" w:rsidR="00A8138F" w:rsidRDefault="00A8138F" w:rsidP="00A8138F">
      <w:pPr>
        <w:pStyle w:val="TextoNormal"/>
      </w:pPr>
      <w:r>
        <w:t>Por tanto, que los autos impugnados no contengan “dato o reflexión” destinado a explicar las razones por las que el legislador no ha previsto un recurso devolutivo contra el auto de revisión de condena en modo alguno autoriza a calificar de irrazonables dichos autos, como hace la sentencia de la que disentimos. La inadmisión del recurso de apelación intentado por las demandantes de amparo se fundamenta en la constatación de que no existe una norma que habilite la interposición de recurso de apelación contra el auto de revisión de condena; apreciación esta que, por lo demás, la propia sentencia de este tribunal reconoce repetidamente que es correcta, por ser cierto que no existe esa previsión legal. No es menester nada más para concluir que la decisión de inadmisión que se discute en amparo no ha vulnerado el derecho de las demandantes a la tutela judicial efectiva en la vertiente de acceso al recurso, pues se basa en la inexistencia legal del recurso que se pretende interponer. Estamos ante una respuesta judicial que, desde el canon de control externo que a este tribunal corresponde, no puede tildarse de arbitraria, irrazonable o fundada en un error fáctico patente.</w:t>
      </w:r>
    </w:p>
    <w:p w14:paraId="12572B0A" w14:textId="77777777" w:rsidR="00A8138F" w:rsidRDefault="00A8138F" w:rsidP="00A8138F">
      <w:pPr>
        <w:pStyle w:val="TextoNormal"/>
      </w:pPr>
    </w:p>
    <w:p w14:paraId="0649657F" w14:textId="77777777" w:rsidR="00A8138F" w:rsidRDefault="00A8138F" w:rsidP="00A8138F">
      <w:pPr>
        <w:pStyle w:val="TextoNormal"/>
      </w:pPr>
      <w:r>
        <w:t xml:space="preserve">Por lo mismo, tampoco cabe tachar de irrazonables a los autos impugnados en amparo, como hace la sentencia de la que disentimos en su fundamento jurídico 3 B) por “no dar razones lógicas que sustenten la inaplicabilidad de dicha jurisprudencia”, esto es, del criterio interpretativo sentado por la Sala de lo Penal del Tribunal Supremo en su sentencia 606/2018, de 28 de noviembre, que otorga a las partes el derecho a un recurso devolutivo contra los autos de revisión de condena. La inadmisión del recurso de apelación intentado por las demandantes de amparo contra el auto de revisión de condena se basó en la constatación del hecho cierto (como la sentencia de este tribunal reconoce) de la inexistencia de previsión legal al respecto. Tal razonamiento es suficiente para colmar las exigencias de razonabilidad que impone el derecho a la tutela judicial efectiva en su vertiente de acceso al recurso, sin que el Tribunal Superior de Justicia de Galicia viniera obligado, a tal efecto, a explicitar las razones por las que no compartía el criterio sustentado por la Sala de lo Penal </w:t>
      </w:r>
      <w:r>
        <w:lastRenderedPageBreak/>
        <w:t>del Tribunal Supremo en su sentencia 606/2018, de 28 de noviembre (más adelante convertido en jurisprudencia). Ello sin perjuicio de que no es difícil colegir el motivo por el que aquel órgano judicial, en los autos impugnados, no comparte ese criterio interpretativo del Tribunal Supremo: sencillamente, porque entiende, y así lo afirma expresamente, que no cabe admitir un determinado recurso cuando no existe una norma legal que lo prevea. Reiteramos que, conforme a nuestro inveterado canon de control de las decisiones judiciales de inadmisión de recursos, esa respuesta en modo alguno puede ser tachada de irrazonable.</w:t>
      </w:r>
    </w:p>
    <w:p w14:paraId="23DE28E2" w14:textId="77777777" w:rsidR="00A8138F" w:rsidRDefault="00A8138F" w:rsidP="00A8138F">
      <w:pPr>
        <w:pStyle w:val="TextoNormal"/>
      </w:pPr>
    </w:p>
    <w:p w14:paraId="57F3E84F" w14:textId="77777777" w:rsidR="00A8138F" w:rsidRDefault="00A8138F" w:rsidP="00A8138F">
      <w:pPr>
        <w:pStyle w:val="TextoNormal"/>
      </w:pPr>
      <w:r>
        <w:t>En definitiva, la sentencia de este tribunal debió declarar que los autos impugnados no vulneraron el derecho de las demandantes de amparo a la tutela judicial efectiva (art. 24.1 CE) en su vertiente de acceso al recurso y, en consecuencia, desestimar el recurso de amparo.</w:t>
      </w:r>
    </w:p>
    <w:p w14:paraId="587AFB5A" w14:textId="77777777" w:rsidR="00A8138F" w:rsidRDefault="00A8138F" w:rsidP="00A8138F">
      <w:pPr>
        <w:pStyle w:val="TextoNormal"/>
      </w:pPr>
    </w:p>
    <w:p w14:paraId="271EA221" w14:textId="675FD2E7" w:rsidR="00A8138F" w:rsidRDefault="00A8138F" w:rsidP="00A8138F">
      <w:pPr>
        <w:pStyle w:val="TextoNormal"/>
      </w:pPr>
      <w:r>
        <w:t>Madrid, a veintinueve de abril de dos mil veinticinco.</w:t>
      </w:r>
    </w:p>
    <w:p w14:paraId="1FDBEFA5" w14:textId="77777777" w:rsidR="00A8138F" w:rsidRDefault="00A8138F" w:rsidP="00A8138F">
      <w:pPr>
        <w:pStyle w:val="TextoNormal"/>
      </w:pPr>
    </w:p>
    <w:p w14:paraId="387DB37A" w14:textId="77777777" w:rsidR="00A8138F" w:rsidRDefault="00A8138F" w:rsidP="00A8138F">
      <w:pPr>
        <w:pStyle w:val="TextoNormalNegritaCentrado"/>
        <w:keepNext/>
      </w:pPr>
      <w:r>
        <w:t>Voto particular que formula la magistrada doña Concepción Espejel Jorquera a la sentencia de 29 de abril de 2025, dictada por el Pleno en el recurso de amparo avocado núm. 4330-2023, que estima en parte el recurso interpuesto por doña J.G.V., y doña A.P.G., contra los autos de 24 de abril y 25 de mayo de 2023, dictados por la Sala de lo Civil y Penal del Tribunal Superior de Justicia de Galicia en el rollo de apelación núm. 32-2023</w:t>
      </w:r>
    </w:p>
    <w:p w14:paraId="3E240B15" w14:textId="68B3101A" w:rsidR="00A8138F" w:rsidRDefault="00A8138F" w:rsidP="00A8138F">
      <w:pPr>
        <w:pStyle w:val="TextoNormalNegritaCentrado"/>
        <w:keepNext/>
      </w:pPr>
    </w:p>
    <w:p w14:paraId="2F87B741" w14:textId="77777777" w:rsidR="00A8138F" w:rsidRDefault="00A8138F" w:rsidP="00A8138F">
      <w:pPr>
        <w:pStyle w:val="TextoNormal"/>
      </w:pPr>
      <w:r>
        <w:t>En el ejercicio de la facultad conferida por el artículo 90.2 LOTC y con respeto a la opinión de mis compañeros, formulo el presente voto particular por discrepar de la fundamentación jurídica y del fallo de la sentencia por cuanto, como expuse durante la deliberación en el Pleno, considero que el recurso debió ser desestimado por no haber vulnerado los autos impugnados el derecho a la tutela judicial efectiva sin indefensión de las recurrentes (art. 24.1 CE), en su vertiente de derecho al recurso.</w:t>
      </w:r>
    </w:p>
    <w:p w14:paraId="58166CF1" w14:textId="77777777" w:rsidR="00A8138F" w:rsidRDefault="00A8138F" w:rsidP="00A8138F">
      <w:pPr>
        <w:pStyle w:val="TextoNormal"/>
      </w:pPr>
    </w:p>
    <w:p w14:paraId="62BB9D4D" w14:textId="77777777" w:rsidR="00A8138F" w:rsidRDefault="00A8138F" w:rsidP="00A8138F">
      <w:pPr>
        <w:pStyle w:val="TextoNormal"/>
      </w:pPr>
      <w:r>
        <w:t>Mi discrepancia se centra en los argumentos que paso a exponer seguidamente.</w:t>
      </w:r>
    </w:p>
    <w:p w14:paraId="40BFAD65" w14:textId="77777777" w:rsidR="00A8138F" w:rsidRDefault="00A8138F" w:rsidP="00A8138F">
      <w:pPr>
        <w:pStyle w:val="TextoNormal"/>
      </w:pPr>
    </w:p>
    <w:p w14:paraId="05761068" w14:textId="77777777" w:rsidR="00A8138F" w:rsidRDefault="00A8138F" w:rsidP="00A8138F">
      <w:pPr>
        <w:pStyle w:val="TextoNormal"/>
      </w:pPr>
      <w:r>
        <w:t xml:space="preserve">1. </w:t>
      </w:r>
      <w:r w:rsidRPr="00A8138F">
        <w:rPr>
          <w:i/>
        </w:rPr>
        <w:t>Canon de control constitucional del derecho fundamental a los recursos en el proceso penal</w:t>
      </w:r>
    </w:p>
    <w:p w14:paraId="07EA0ADB" w14:textId="77777777" w:rsidR="00A8138F" w:rsidRDefault="00A8138F" w:rsidP="00A8138F">
      <w:pPr>
        <w:pStyle w:val="TextoNormal"/>
      </w:pPr>
    </w:p>
    <w:p w14:paraId="2344BB68" w14:textId="77777777" w:rsidR="00A8138F" w:rsidRDefault="00A8138F" w:rsidP="00A8138F">
      <w:pPr>
        <w:pStyle w:val="TextoNormal"/>
      </w:pPr>
      <w:r>
        <w:t>El objeto del recurso de amparo del que dimana la sentencia de la que disiento ha quedado limitado a la vulneración del derecho fundamental de las recurrentes a la tutela judicial efectiva sin indefensión (art. 24.1 CE) en su vertiente de derecho al recurso; en concreto, del derecho a recurrir en apelación, en calidad de acusación particular, el auto de la audiencia provincial que en revisión de condena rebajó las penas inicialmente impuestas al condenado.</w:t>
      </w:r>
    </w:p>
    <w:p w14:paraId="1B5E6BF8" w14:textId="77777777" w:rsidR="00A8138F" w:rsidRDefault="00A8138F" w:rsidP="00A8138F">
      <w:pPr>
        <w:pStyle w:val="TextoNormal"/>
      </w:pPr>
    </w:p>
    <w:p w14:paraId="0E9E5F16" w14:textId="77777777" w:rsidR="00A8138F" w:rsidRDefault="00A8138F" w:rsidP="00A8138F">
      <w:pPr>
        <w:pStyle w:val="TextoNormal"/>
      </w:pPr>
      <w:r>
        <w:t xml:space="preserve">En relación con el derecho al recurso de las partes acusadoras en el proceso penal, entre las más recientes, cabe citar lo que declara la STC 72/2024, de 7 de mayo, FJ 4 c): “el Ministerio Fiscal, para el caso de que hubiere ejercido la acción pública, y la acusación particular o popular no son titulares del derecho al doble grado de jurisdicción (STC 33/1989, de 13 de febrero, FJ 4). Sin embargo, en cuanto lo son del derecho a la tutela judicial efectiva sin indefensión, tienen derecho a revisar el fallo de primera instancia con el alcance y por los motivos que derivan del modelo de revisión determinado legalmente. </w:t>
      </w:r>
      <w:r>
        <w:lastRenderedPageBreak/>
        <w:t>Los acusadores son titulares del derecho al recurso establecido por la ley, cuyo canon de enjuiciamiento es distinto al del derecho al doble grado de jurisdicción ya analizado. Este tribunal ha declarado reiteradamente que el derecho al recurso no es un derecho incondicionado que faculte la impugnación de cualquier decisión judicial por cualquier motivo; por ello, el legislador cuenta con una amplia libertad de configuración para establecer un tipo u otro de recurso y su alcance; aunque una vez reconocido en la ley, en su concreta configuración legal, es una vertiente del derecho constitucional a la tutela judicial efectiva, en cuanto garantiza el derecho de acceso a los recursos establecidos por la ley (SSTC 176/1990, de 12 de noviembre; 37/1995, de 7 de febrero, o 150/2004, de 20 de septiembre)”.</w:t>
      </w:r>
    </w:p>
    <w:p w14:paraId="183E1C04" w14:textId="77777777" w:rsidR="00A8138F" w:rsidRDefault="00A8138F" w:rsidP="00A8138F">
      <w:pPr>
        <w:pStyle w:val="TextoNormal"/>
      </w:pPr>
    </w:p>
    <w:p w14:paraId="5A0BEB29" w14:textId="77777777" w:rsidR="00A8138F" w:rsidRDefault="00A8138F" w:rsidP="00A8138F">
      <w:pPr>
        <w:pStyle w:val="TextoNormal"/>
      </w:pPr>
      <w:r>
        <w:t>Este es, por tanto, el canon aplicable en el presente caso, en el que no se ve concernido el derecho del penado a la doble instancia penal, derecho que, en caso de imprevisión legal de un recurso contra la condena, abre la posibilidad de creación por vía jurisprudencial de un medio de impugnación por imponerlo la supremacía de normas de derecho internacional, como los arts. 14.5 del Pacto internacional de derechos civiles y políticos, de 19 de diciembre de 1966, y 2 del Protocolo número 7 al Convenio para la protección de los derechos humanos y de las libertades fundamentales, de 22 de noviembre de 1984, acuerdos internacionales de los que es parte el Reino de España.</w:t>
      </w:r>
    </w:p>
    <w:p w14:paraId="1991F078" w14:textId="77777777" w:rsidR="00A8138F" w:rsidRDefault="00A8138F" w:rsidP="00A8138F">
      <w:pPr>
        <w:pStyle w:val="TextoNormal"/>
      </w:pPr>
    </w:p>
    <w:p w14:paraId="0DC2DB64" w14:textId="77777777" w:rsidR="00A8138F" w:rsidRDefault="00A8138F" w:rsidP="00A8138F">
      <w:pPr>
        <w:pStyle w:val="TextoNormal"/>
      </w:pPr>
      <w:r>
        <w:t xml:space="preserve">2. </w:t>
      </w:r>
      <w:r w:rsidRPr="00A8138F">
        <w:rPr>
          <w:i/>
        </w:rPr>
        <w:t>Inexistencia de efecto vinculante de los precedentes sentados por la jurisprudencia del Tribunal Supremo</w:t>
      </w:r>
    </w:p>
    <w:p w14:paraId="1FEC8A7C" w14:textId="77777777" w:rsidR="00A8138F" w:rsidRDefault="00A8138F" w:rsidP="00A8138F">
      <w:pPr>
        <w:pStyle w:val="TextoNormal"/>
      </w:pPr>
    </w:p>
    <w:p w14:paraId="477F58BA" w14:textId="77777777" w:rsidR="00A8138F" w:rsidRDefault="00A8138F" w:rsidP="00A8138F">
      <w:pPr>
        <w:pStyle w:val="TextoNormal"/>
      </w:pPr>
      <w:r>
        <w:t>Con independencia de la máxima consideración debida a la indiscutible autoridad de la doctrina jurisprudencial que emana de las Salas del Tribunal Supremo y de la función integradora de su jurisprudencia (art. 1.6 CC), en lo que ahora atañe, este Tribunal Constitucional únicamente admitió en la STC 37/2012, de 19 de marzo, del Pleno, y en la misma línea en las SSTC 7/2015, de 22 de enero; 115/2017, de 19 de octubre, y 143/2020, de 19 de octubre, la vinculación de la doctrina legal de la Sala de lo Contencioso-Administrativo en sentencias dictadas en recursos de casación en interés de ley del art. 100.7 de la Ley 29/1998, de 13 de julio, reguladora de la jurisdicción contencioso-administrativa —suprimido por la Ley Orgánica 7/2015, de 21 de julio, por la que se modifica la Ley Orgánica 6/1985, de 1 de julio, del Poder Judicial—, y que tal vinculación no menoscababa el principio de independencia judicial del art. 117.1 CE.</w:t>
      </w:r>
    </w:p>
    <w:p w14:paraId="54548F2D" w14:textId="77777777" w:rsidR="00A8138F" w:rsidRDefault="00A8138F" w:rsidP="00A8138F">
      <w:pPr>
        <w:pStyle w:val="TextoNormal"/>
      </w:pPr>
    </w:p>
    <w:p w14:paraId="0FD7ED1A" w14:textId="77777777" w:rsidR="00A8138F" w:rsidRDefault="00A8138F" w:rsidP="00A8138F">
      <w:pPr>
        <w:pStyle w:val="TextoNormal"/>
      </w:pPr>
      <w:r>
        <w:t>Asimismo, la misma sentencia declaró que, fuera del ámbito del recurso de casación contencioso-administrativo en interés de ley, la jurisprudencia del Tribunal Supremo no tiene carácter vinculante, aunque sí cumple con la función de integrar el ordenamiento que le asigna el ya citado art. 1.6 del Código civil. De modo que, si bien “los órganos judiciales de grado inferior no están necesariamente vinculados por la doctrina de los tribunales superiores en grado, ni aun siquiera por la jurisprudencia del Tribunal Supremo, con la excepción [de los recursos de casación en interés de ley] todo ello [lo es]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 en los términos que después se expresan”.</w:t>
      </w:r>
    </w:p>
    <w:p w14:paraId="15632FBC" w14:textId="77777777" w:rsidR="00A8138F" w:rsidRDefault="00A8138F" w:rsidP="00A8138F">
      <w:pPr>
        <w:pStyle w:val="TextoNormal"/>
      </w:pPr>
    </w:p>
    <w:p w14:paraId="3B41CC3B" w14:textId="77777777" w:rsidR="00A8138F" w:rsidRDefault="00A8138F" w:rsidP="00A8138F">
      <w:pPr>
        <w:pStyle w:val="TextoNormal"/>
      </w:pPr>
      <w:r>
        <w:lastRenderedPageBreak/>
        <w:t>Más adelante, la STC 37/2012 afirma que “[c]onforme a lo expuesto, la independencia judicial (art. 117.1 CE) permite que los órganos judiciales inferiores en grado discrepen, mediante un razonamiento fundado en Derecho, del criterio sostenido por tribunales superiores e incluso de la jurisprudencia sentada por el Tribunal Supremo (art. 1.6 del Código civil), si fuere el caso, sin que con ello se vulnere el principio de igualdad en aplicación de la ley, al tratarse de órganos judiciales diferentes (SSTC 160/1993, de 17 de mayo, FJ 2; 165/1999, de 27 de septiembre, FJ 6, y 87/2008, de 21 de julio, FJ 5, por todas), y tampoco el derecho a la tutela judicial efectiva, con la excepción, justamente, del supuesto de la doctrina legal que establezca el Tribunal Supremo al resolver el recurso de casación en interés de ley, precisamente por los efectos vinculantes que tiene para los órganos judiciales inferiores en grado”.</w:t>
      </w:r>
    </w:p>
    <w:p w14:paraId="76D49B7F" w14:textId="77777777" w:rsidR="00A8138F" w:rsidRDefault="00A8138F" w:rsidP="00A8138F">
      <w:pPr>
        <w:pStyle w:val="TextoNormal"/>
      </w:pPr>
    </w:p>
    <w:p w14:paraId="5FBC9CBB" w14:textId="77777777" w:rsidR="00A8138F" w:rsidRDefault="00A8138F" w:rsidP="00A8138F">
      <w:pPr>
        <w:pStyle w:val="TextoNormal"/>
      </w:pPr>
      <w:r>
        <w:t>La claridad de esta doctrina no precisa de mayor comentario; la singularidad de aquellas sentencias dictadas en recursos de casación contencioso-administrativos en interés de ley era la publicación de su doctrina en el “Boletín Oficial del Estado”, lo que daba a su doctrina la publicidad y fijeza necesarias para ser de general conocimiento y garantizar la seguridad jurídica. Por lo tanto, la vinculación al precedente en estos casos procedía de la propia ley, que anudaba a esas sentencias un efecto vinculante, con lo que el juez que las siguiera lo hacía por sumisión al imperio de la ley.</w:t>
      </w:r>
    </w:p>
    <w:p w14:paraId="5D5F230D" w14:textId="77777777" w:rsidR="00A8138F" w:rsidRDefault="00A8138F" w:rsidP="00A8138F">
      <w:pPr>
        <w:pStyle w:val="TextoNormal"/>
      </w:pPr>
    </w:p>
    <w:p w14:paraId="142E9351" w14:textId="77777777" w:rsidR="00A8138F" w:rsidRDefault="00A8138F" w:rsidP="00A8138F">
      <w:pPr>
        <w:pStyle w:val="TextoNormal"/>
      </w:pPr>
      <w:r>
        <w:t>Esta circunstancia no se da en el resto de las sentencias del Tribunal Supremo, que no gozan de esa publicidad ni es exigible que los tribunales tengan que conocer todas y cada una de las sentencias que dictan sus Salas. Por otra parte, ha de ser reiterada la doctrina del Tribunal Supremo que complemente el ordenamiento jurídico al interpretar y aplicar las genuinas fuentes del Derecho: la ley, la costumbre y los principios generales del Derecho (art. 1.6 CC). En definitiva, los precedentes jurisprudenciales, conforme al sistema de fuentes, carecen de efecto vinculante al no atribuírselo la ley, así como de la fijeza y generalidad predicables de las normas jurídicas.</w:t>
      </w:r>
    </w:p>
    <w:p w14:paraId="0E982FFC" w14:textId="77777777" w:rsidR="00A8138F" w:rsidRDefault="00A8138F" w:rsidP="00A8138F">
      <w:pPr>
        <w:pStyle w:val="TextoNormal"/>
      </w:pPr>
    </w:p>
    <w:p w14:paraId="5CB848C7" w14:textId="77777777" w:rsidR="00A8138F" w:rsidRDefault="00A8138F" w:rsidP="00A8138F">
      <w:pPr>
        <w:pStyle w:val="TextoNormal"/>
      </w:pPr>
      <w:r>
        <w:t xml:space="preserve">3. </w:t>
      </w:r>
      <w:r w:rsidRPr="00A8138F">
        <w:rPr>
          <w:i/>
        </w:rPr>
        <w:t>Aplicación del canon constitucional al caso enjuiciado</w:t>
      </w:r>
    </w:p>
    <w:p w14:paraId="659EB839" w14:textId="77777777" w:rsidR="00A8138F" w:rsidRDefault="00A8138F" w:rsidP="00A8138F">
      <w:pPr>
        <w:pStyle w:val="TextoNormal"/>
      </w:pPr>
    </w:p>
    <w:p w14:paraId="10AD1236" w14:textId="77777777" w:rsidR="00A8138F" w:rsidRDefault="00A8138F" w:rsidP="00A8138F">
      <w:pPr>
        <w:pStyle w:val="TextoNormal"/>
      </w:pPr>
      <w:r>
        <w:t xml:space="preserve">A la vista doctrina constitucional acabada de reseñar, no puedo compartir lo que constituye </w:t>
      </w:r>
      <w:r w:rsidRPr="00A8138F">
        <w:rPr>
          <w:i/>
        </w:rPr>
        <w:t>ratio decidendi</w:t>
      </w:r>
      <w:r>
        <w:t xml:space="preserve"> de la estimación del recurso de amparo, que puede condensarse en la siguiente frase [FJ 3 B) b)]: “Y así, al no dar razones lógicas que sustenten la inaplicabilidad de dicha jurisprudencia [de la Sala de lo Penal del Tribunal Supremo en materia de recursos frente a resoluciones de revisión de sentencia, tras la entrada en vigor de la Ley Orgánica 10/2022, de 6 de septiembre, de garantía integral de la libertad sexual], con el resultado de vedar a ambas partes del proceso penal (aunque en este caso, al haberse estimado la revisión, quien promovió la apelación fue la acusación particular) su derecho al recurso, el mentado auto de 24 de abril de 2023 se torna en irrazonable y vulnerador del derecho fundamental que invocan las demandantes de amparo”.</w:t>
      </w:r>
    </w:p>
    <w:p w14:paraId="52385F0C" w14:textId="77777777" w:rsidR="00A8138F" w:rsidRDefault="00A8138F" w:rsidP="00A8138F">
      <w:pPr>
        <w:pStyle w:val="TextoNormal"/>
      </w:pPr>
    </w:p>
    <w:p w14:paraId="73E0A271" w14:textId="77777777" w:rsidR="00A8138F" w:rsidRDefault="00A8138F" w:rsidP="00A8138F">
      <w:pPr>
        <w:pStyle w:val="TextoNormal"/>
      </w:pPr>
      <w:r>
        <w:t xml:space="preserve">Se reprocha, por tanto, al Tribunal Superior de Justicia que efectuara su propia interpretación del régimen jurídico aplicable a la recurribilidad de este tipo de resoluciones. La conclusión a la que llegó, ante el silencio de la Ley Orgánica 10/2022, de garantía integral de la libertad sexual, sobre la impugnabilidad de las resoluciones dictadas en las revisiones de condena —al contrario que en otras leyes donde sí previó el legislador un régimen de </w:t>
      </w:r>
      <w:r>
        <w:lastRenderedPageBreak/>
        <w:t>recursos— es que el auto de la Audiencia Provincial era recurrible en súplica conforme al régimen general de recursos frente a autos de las audiencias, previsto en el art. 236 LECrim.</w:t>
      </w:r>
    </w:p>
    <w:p w14:paraId="160AE424" w14:textId="77777777" w:rsidR="00A8138F" w:rsidRDefault="00A8138F" w:rsidP="00A8138F">
      <w:pPr>
        <w:pStyle w:val="TextoNormal"/>
      </w:pPr>
    </w:p>
    <w:p w14:paraId="63FF57E4" w14:textId="77777777" w:rsidR="00A8138F" w:rsidRDefault="00A8138F" w:rsidP="00A8138F">
      <w:pPr>
        <w:pStyle w:val="TextoNormal"/>
      </w:pPr>
      <w:r>
        <w:t xml:space="preserve">Por otra parte, la limitación legal de los autos recurribles en apelación dictados por las audiencias, apoya la interpretación de las resoluciones impugnadas en amparo, al no estar expresamente prevista su impugnabilidad en la Ley de enjuiciamiento criminal. En primer lugar, el art. 846 </w:t>
      </w:r>
      <w:r w:rsidRPr="00A8138F">
        <w:rPr>
          <w:i/>
        </w:rPr>
        <w:t>bis</w:t>
      </w:r>
      <w:r>
        <w:t xml:space="preserve"> a), párrafo segundo, dispone que “[s]erán también apelables los autos dictados por el magistrado-presidente del Tribunal del Jurado que se dicten resolviendo cuestiones a que se refiere el artículo 36 de la Ley Orgánica del Tribunal del Jurado así como en los casos señalados en el artículo 676 [artículos de previo pronunciamiento] de la presente Ley”; y en segundo término, prevé el art. 846 </w:t>
      </w:r>
      <w:r w:rsidRPr="00A8138F">
        <w:rPr>
          <w:i/>
        </w:rPr>
        <w:t>ter</w:t>
      </w:r>
      <w:r>
        <w:t>.1, que “[l]os autos que supongan la finalización del proceso por falta de jurisdicción o sobreseimiento libre y las sentencias dictadas por las audiencias provinciales o la Sala de lo Penal de la Audiencia Nacional en primera instancia son recurribles en apelación ante las Salas de lo Civil y Penal de los Tribunales Superiores de Justicia de su territorio y ante la sala de apelación de la Audiencia Nacional, respectivamente, que resolverán las apelaciones en sentencia”.</w:t>
      </w:r>
    </w:p>
    <w:p w14:paraId="665DEB39" w14:textId="77777777" w:rsidR="00A8138F" w:rsidRDefault="00A8138F" w:rsidP="00A8138F">
      <w:pPr>
        <w:pStyle w:val="TextoNormal"/>
      </w:pPr>
    </w:p>
    <w:p w14:paraId="533DB79C" w14:textId="77777777" w:rsidR="00A8138F" w:rsidRDefault="00A8138F" w:rsidP="00A8138F">
      <w:pPr>
        <w:pStyle w:val="TextoNormal"/>
      </w:pPr>
      <w:r>
        <w:t>A mi juicio, ante el silencio en este punto de la Ley Orgánica 10/2022, el Tribunal Superior de Justicia de Galicia no aplicó de modo “irrazonable”, tal como se le reprocha, las normas sobre admisibilidad del recurso de apelación frente a los autos de las audiencias, sino que, conforme al sistema de fuentes en materia procesal, se ajustó a lo establecido en la Ley de enjuiciamiento criminal.</w:t>
      </w:r>
    </w:p>
    <w:p w14:paraId="4BD71B60" w14:textId="77777777" w:rsidR="00A8138F" w:rsidRDefault="00A8138F" w:rsidP="00A8138F">
      <w:pPr>
        <w:pStyle w:val="TextoNormal"/>
      </w:pPr>
    </w:p>
    <w:p w14:paraId="2A17CFF0" w14:textId="77777777" w:rsidR="00A8138F" w:rsidRDefault="00A8138F" w:rsidP="00A8138F">
      <w:pPr>
        <w:pStyle w:val="TextoNormal"/>
      </w:pPr>
      <w:r>
        <w:t>Tampoco puedo aceptar la siguiente afirmación que se erige en base argumentativa de la sentencia de la que disiento [FJ 3 B) b)]: “la Sala no da ningún argumento para calificar el criterio de la STS 606/2018 [sobre recurribilidad de resoluciones de revisión de sentencia] de irrazonable o contrario al ejercicio de los derechos fundamentales de las partes”.</w:t>
      </w:r>
    </w:p>
    <w:p w14:paraId="4A7A078E" w14:textId="77777777" w:rsidR="00A8138F" w:rsidRDefault="00A8138F" w:rsidP="00A8138F">
      <w:pPr>
        <w:pStyle w:val="TextoNormal"/>
      </w:pPr>
    </w:p>
    <w:p w14:paraId="15B70421" w14:textId="77777777" w:rsidR="00A8138F" w:rsidRDefault="00A8138F" w:rsidP="00A8138F">
      <w:pPr>
        <w:pStyle w:val="TextoNormal"/>
      </w:pPr>
      <w:r>
        <w:t>Mantengo, como me parece obvio, que en el ejercicio independiente de la función jurisdiccional con exclusivo sometimiento al imperio de la ley (art. 117.1 CE), un tribunal puede separarse de la interpretación de la ley procedente de otro tribunal, incluido el Tribunal Supremo, sin necesidad de calificar la interpretación o “criterio” del que discrepa como “irrazonable o contrario al ejercicio de los derechos fundamentales de las partes”, salvo que una norma con rango de ley y, por tanto, nuevamente bajo el imperio de la ley, establezca el carácter vinculante del precedente jurisdiccional.</w:t>
      </w:r>
    </w:p>
    <w:p w14:paraId="35DF7993" w14:textId="77777777" w:rsidR="00A8138F" w:rsidRDefault="00A8138F" w:rsidP="00A8138F">
      <w:pPr>
        <w:pStyle w:val="TextoNormal"/>
      </w:pPr>
    </w:p>
    <w:p w14:paraId="34435693" w14:textId="77777777" w:rsidR="00A8138F" w:rsidRDefault="00A8138F" w:rsidP="00A8138F">
      <w:pPr>
        <w:pStyle w:val="TextoNormal"/>
      </w:pPr>
      <w:r>
        <w:t>4</w:t>
      </w:r>
      <w:r w:rsidRPr="00A8138F">
        <w:rPr>
          <w:i/>
        </w:rPr>
        <w:t>. Conclusi</w:t>
      </w:r>
      <w:r>
        <w:t>ón</w:t>
      </w:r>
    </w:p>
    <w:p w14:paraId="0D67A07E" w14:textId="77777777" w:rsidR="00A8138F" w:rsidRDefault="00A8138F" w:rsidP="00A8138F">
      <w:pPr>
        <w:pStyle w:val="TextoNormal"/>
      </w:pPr>
    </w:p>
    <w:p w14:paraId="1AA8CC57" w14:textId="77777777" w:rsidR="00A8138F" w:rsidRDefault="00A8138F" w:rsidP="00A8138F">
      <w:pPr>
        <w:pStyle w:val="TextoNormal"/>
      </w:pPr>
      <w:r>
        <w:t>En virtud de las precedentes consideraciones, concluyo que el recurso de amparo debió ser desestimado en aplicación de nuestra constante doctrina sobre el derecho al recurso en el proceso penal, al entender que la decisión de la Sala de lo Civil y Penal del Tribunal Superior de Justicia de Galicia sobre admisibilidad del recurso de apelación frente al auto de la Audiencia Provincial en materia de revisión de condena, interpuesto por la acusación particular, no debió calificarse como “irracional” sino, por el contrario, debidamente motivada conforme al régimen de recursos legalmente aplicable.</w:t>
      </w:r>
    </w:p>
    <w:p w14:paraId="0A9B1E44" w14:textId="77777777" w:rsidR="00A8138F" w:rsidRDefault="00A8138F" w:rsidP="00A8138F">
      <w:pPr>
        <w:pStyle w:val="TextoNormal"/>
      </w:pPr>
    </w:p>
    <w:p w14:paraId="2A92FF86" w14:textId="11B76933" w:rsidR="00A8138F" w:rsidRDefault="00A8138F" w:rsidP="00A8138F">
      <w:pPr>
        <w:pStyle w:val="TextoNormal"/>
      </w:pPr>
      <w:r>
        <w:t>Madrid, a veintinueve de abril de dos mil veinticinco.</w:t>
      </w:r>
    </w:p>
    <w:p w14:paraId="1EC26424" w14:textId="77777777" w:rsidR="00A8138F" w:rsidRDefault="00A8138F" w:rsidP="00A8138F">
      <w:pPr>
        <w:pStyle w:val="TextoNormal"/>
      </w:pPr>
    </w:p>
    <w:p w14:paraId="7523252C" w14:textId="77777777" w:rsidR="00A8138F" w:rsidRDefault="00A8138F" w:rsidP="00A8138F">
      <w:pPr>
        <w:pStyle w:val="TextoNormalNegritaCentrado"/>
        <w:keepNext/>
      </w:pPr>
      <w:r>
        <w:lastRenderedPageBreak/>
        <w:t>Voto particular concurrente que formula el magistrado don José María Macías Castaño respecto de la sentencia dictada en el recurso de amparo núm. 4330-2023</w:t>
      </w:r>
    </w:p>
    <w:p w14:paraId="69FAEFC0" w14:textId="5ACC92A8" w:rsidR="00A8138F" w:rsidRDefault="00A8138F" w:rsidP="00A8138F">
      <w:pPr>
        <w:pStyle w:val="TextoNormalNegritaCentrado"/>
        <w:keepNext/>
      </w:pPr>
    </w:p>
    <w:p w14:paraId="53478C09" w14:textId="77777777" w:rsidR="00A8138F" w:rsidRDefault="00A8138F" w:rsidP="00A8138F">
      <w:pPr>
        <w:pStyle w:val="TextoNormal"/>
      </w:pPr>
      <w:r>
        <w:t>En el ejercicio de la facultad que me confiere el artículo 90.2 de la Ley Orgánica del Tribunal Constitucional, y con el máximo respeto al criterio propuesto por el ponente y asumido por la mayoría del Pleno, me veo en la obligación de formular el presente voto particular concurrente dado que, aunque estoy conforme —en lo sustancial— con la decisión adoptada en cuanto estima el recurso de amparo y declara la nulidad de la resolución impugnada, discrepo del planteamiento metodológico y de la línea argumental seguida por la sentencia dictada en el asunto de referencia.</w:t>
      </w:r>
    </w:p>
    <w:p w14:paraId="362901C4" w14:textId="77777777" w:rsidR="00A8138F" w:rsidRDefault="00A8138F" w:rsidP="00A8138F">
      <w:pPr>
        <w:pStyle w:val="TextoNormal"/>
      </w:pPr>
    </w:p>
    <w:p w14:paraId="45CD5812" w14:textId="77777777" w:rsidR="00A8138F" w:rsidRDefault="00A8138F" w:rsidP="00A8138F">
      <w:pPr>
        <w:pStyle w:val="TextoNormal"/>
      </w:pPr>
      <w:r>
        <w:t xml:space="preserve">I. </w:t>
      </w:r>
      <w:r w:rsidRPr="00A8138F">
        <w:rPr>
          <w:i/>
        </w:rPr>
        <w:t>Sobre el planteamiento metodológico de la sentencia: el valor vinculante de la jurisprudencia</w:t>
      </w:r>
    </w:p>
    <w:p w14:paraId="4C376BE1" w14:textId="77777777" w:rsidR="00A8138F" w:rsidRDefault="00A8138F" w:rsidP="00A8138F">
      <w:pPr>
        <w:pStyle w:val="TextoNormal"/>
      </w:pPr>
    </w:p>
    <w:p w14:paraId="0FAD9B3B" w14:textId="77777777" w:rsidR="00A8138F" w:rsidRDefault="00A8138F" w:rsidP="00A8138F">
      <w:pPr>
        <w:pStyle w:val="TextoNormal"/>
      </w:pPr>
      <w:r>
        <w:t>Conforme a los antecedentes de hecho que obran en la sentencia, a los que me remito, el objeto del debate suscitado por las partes se centra —a mi juicio, y de forma muy resumida—, en si las resoluciones impugnadas, dictadas por la Sala de lo Civil y Penal del Tribunal Superior de Justicia de Galicia, vulneraron los derechos invocados por las recurrentes, al no haber aplicado la doctrina favorable a la admisión de un recurso devolutivo contra los autos de revisión de sentencias de condena como consecuencia de la entrada en vigor de una reforma legislativa. La tesis favorable a la admisibilidad del recurso había sido fijada por la Sala de lo Penal del Tribunal Supremo en diversas resoluciones y, en particular, en la STS 606/2018, de 28 de noviembre, expresamente invocada en la instancia. Más en concreto, y como consecuencia de la decisión adoptada por el Tribunal Superior de Justicia de Galicia, las ahora recurrentes (personadas como acusación particular) se vieron privadas de un recurso que el Tribunal Supremo consideraba admisible, a fin de discutir la revisión de la pena impuesta a un condenado tras la entrada en vigor de la Ley Orgánica 10/2022, de 6 de septiembre, de garantía integral de la libertad sexual.</w:t>
      </w:r>
    </w:p>
    <w:p w14:paraId="43C3D6C0" w14:textId="77777777" w:rsidR="00A8138F" w:rsidRDefault="00A8138F" w:rsidP="00A8138F">
      <w:pPr>
        <w:pStyle w:val="TextoNormal"/>
      </w:pPr>
    </w:p>
    <w:p w14:paraId="11CBD3A5" w14:textId="77777777" w:rsidR="00A8138F" w:rsidRDefault="00A8138F" w:rsidP="00A8138F">
      <w:pPr>
        <w:pStyle w:val="TextoNormal"/>
      </w:pPr>
      <w:r>
        <w:t>La sentencia de este tribunal omite toda referencia a la cuestión de fondo planteada en la demanda, esto es, si un órgano judicial puede apartarse o no de una concreta doctrina jurisprudencial y, en su caso, las condiciones y los requisitos para ello. Ese era el núcleo central del recurso y lo que, de hecho, a mi juicio, justificaba su especial trascendencia constitucional, al no haber doctrina sobre este concreto particular.</w:t>
      </w:r>
    </w:p>
    <w:p w14:paraId="677695BF" w14:textId="77777777" w:rsidR="00A8138F" w:rsidRDefault="00A8138F" w:rsidP="00A8138F">
      <w:pPr>
        <w:pStyle w:val="TextoNormal"/>
      </w:pPr>
    </w:p>
    <w:p w14:paraId="65510132" w14:textId="77777777" w:rsidR="00A8138F" w:rsidRDefault="00A8138F" w:rsidP="00A8138F">
      <w:pPr>
        <w:pStyle w:val="TextoNormal"/>
      </w:pPr>
      <w:r>
        <w:t>En efecto, la vinculación de la jurisprudencia del Tribunal Supremo en materia penal no ha sido hasta el momento analizada por esta jurisdicción constitucional. Los precedentes encontrados hacen referencia al pretérito recurso de casación en interés de ley [del entonces vigente art. 100.7 de la Ley 29/1998], en el ámbito de la jurisdicción contencioso-administrativa (STC 37/2012, de 19 de marzo, con cita de otras anteriores, las SSTC 111/1992, de 14 de septiembre; 120/1994, de 25 de abril; 184/1995, de 12 de diciembre; 308/2006, de 23 de octubre, y 82/2009, de 23 de marzo, sobre la misma materia); así como a los requisitos exigibles a una resolución judicial para que pueda entenderse como un precedente, a los efectos de invocar el derecho a la igualdad en la aplicación de la ley (SSTC 160/1993, de 17 de mayo; 133/1995, de 25 de septiembre; 165/1995, de 20 de noviembre, y 87/2008, de 21 de julio).</w:t>
      </w:r>
    </w:p>
    <w:p w14:paraId="1394EDF9" w14:textId="77777777" w:rsidR="00A8138F" w:rsidRDefault="00A8138F" w:rsidP="00A8138F">
      <w:pPr>
        <w:pStyle w:val="TextoNormal"/>
      </w:pPr>
    </w:p>
    <w:p w14:paraId="58D787C9" w14:textId="77777777" w:rsidR="00A8138F" w:rsidRDefault="00A8138F" w:rsidP="00A8138F">
      <w:pPr>
        <w:pStyle w:val="TextoNormal"/>
      </w:pPr>
      <w:r>
        <w:lastRenderedPageBreak/>
        <w:t>Conforme a la citada STC 37/2012, de 19 de marzo, FJ 7, la jurisprudencia no es fuente del Derecho al no estar recogida expresamente como tal en el art. 1.1 CC. En consecuencia, no tiene carácter vinculante para los órganos judiciales inferiores, sin perjuicio de su valor complementario del ordenamiento jurídico (art. 1.6 CC). La única excepción vendría dada por el supuesto contemplado, precisamente, en la STC 37/2012, consistente en la doctrina emanada por el Tribunal Supremo en la resolución de los recursos de casación en interés de ley, por expresa previsión legislativa, en atención a la necesidad de preservar intereses constitucionalmente garantizados como la seguridad jurídica (art. 9.3 CE) y la aplicación igualitaria del Derecho (arts. 1.1, 14 y 139.1 CE). De esta manera no se infringe el principio estructural de la independencia judicial (art. 117.1 CE), porque esta siempre implica la sumisión a la ley, representada en ese caso por la configuración del citado recurso extraordinario como un recurso vinculante para los órganos judiciales.</w:t>
      </w:r>
    </w:p>
    <w:p w14:paraId="773DF565" w14:textId="77777777" w:rsidR="00A8138F" w:rsidRDefault="00A8138F" w:rsidP="00A8138F">
      <w:pPr>
        <w:pStyle w:val="TextoNormal"/>
      </w:pPr>
    </w:p>
    <w:p w14:paraId="3C3A2C86" w14:textId="77777777" w:rsidR="00A8138F" w:rsidRDefault="00A8138F" w:rsidP="00A8138F">
      <w:pPr>
        <w:pStyle w:val="TextoNormal"/>
      </w:pPr>
      <w:r>
        <w:t>No obstante, la propia STC 37/2012, en su fundamento jurídico 4, también se ocupa de señalar que la jurisprudencia del Tribunal Supremo, en cuanto complementa el ordenamiento jurídico, tiene “vocación de ser observada por los jueces y tribunales […], a lo que ha de añadirse que la infracción de la jurisprudencia constituye motivo de casación [y, por tanto, de revocación de las decisiones de los órganos inferiores] en todos los órdenes jurisdiccionales”, precisamente, entiendo yo, porque la finalidad de preservación de la seguridad jurídica y la aplicación igualitaria del Derecho cabe considerarla ínsita en todo recurso de casación, y no solo en su modalidad específica de “recurso de casación en interés de ley”.</w:t>
      </w:r>
    </w:p>
    <w:p w14:paraId="6685E52A" w14:textId="77777777" w:rsidR="00A8138F" w:rsidRDefault="00A8138F" w:rsidP="00A8138F">
      <w:pPr>
        <w:pStyle w:val="TextoNormal"/>
      </w:pPr>
    </w:p>
    <w:p w14:paraId="3C132420" w14:textId="77777777" w:rsidR="00A8138F" w:rsidRDefault="00A8138F" w:rsidP="00A8138F">
      <w:pPr>
        <w:pStyle w:val="TextoNormal"/>
      </w:pPr>
      <w:r>
        <w:t>La demanda brindaba a este tribunal la oportunidad de fijar una doctrina general sobre los elementos que, desde la perspectiva constitucional, debían ser ponderados para mantener el adecuado equilibrio entre la independencia judicial y el necesario valor de la jurisprudencia como complemento del ordenamiento jurídico. Es decir, en qué supuestos y bajo qué condiciones se puede apartar un órgano judicial inferior de un criterio jurisprudencial fijado por el Tribunal Supremo, lo que es tanto como dar contenido y aclarar el alcance del “valor complementario” que nuestro ordenamiento atribuye a la jurisprudencia. Dicho de otra forma, dónde está el límite entre la vocación aplicativa de la jurisprudencia y el ámbito jurisdiccional propio de cualquier órgano judicial en el ejercicio de sus funciones. Lamentablemente, este tribunal ha perdido esa oportunidad y, con ello, se ha producido, desde mi punto de vista, un cierto desenfoque en el encuadramiento del derecho fundamental afectado y el consiguiente canon de control de la constitucionalidad de las resoluciones impugnadas.</w:t>
      </w:r>
    </w:p>
    <w:p w14:paraId="340065AD" w14:textId="77777777" w:rsidR="00A8138F" w:rsidRDefault="00A8138F" w:rsidP="00A8138F">
      <w:pPr>
        <w:pStyle w:val="TextoNormal"/>
      </w:pPr>
    </w:p>
    <w:p w14:paraId="2CE7DDAB" w14:textId="77777777" w:rsidR="00A8138F" w:rsidRDefault="00A8138F" w:rsidP="00A8138F">
      <w:pPr>
        <w:pStyle w:val="TextoNormal"/>
      </w:pPr>
      <w:r>
        <w:t xml:space="preserve">II. </w:t>
      </w:r>
      <w:r w:rsidRPr="00A8138F">
        <w:rPr>
          <w:i/>
        </w:rPr>
        <w:t>Sobre el derecho fundamental afectado y el canon de control de constitucionalidad</w:t>
      </w:r>
    </w:p>
    <w:p w14:paraId="7C4F62F9" w14:textId="77777777" w:rsidR="00A8138F" w:rsidRDefault="00A8138F" w:rsidP="00A8138F">
      <w:pPr>
        <w:pStyle w:val="TextoNormal"/>
      </w:pPr>
    </w:p>
    <w:p w14:paraId="25F3CE5C" w14:textId="77777777" w:rsidR="00A8138F" w:rsidRDefault="00A8138F" w:rsidP="00A8138F">
      <w:pPr>
        <w:pStyle w:val="TextoNormal"/>
      </w:pPr>
      <w:r>
        <w:t>La sentencia considera que las resoluciones impugnadas han vulnerado el derecho a la tutela judicial efectiva (art. 24.1 CE), en su vertiente de derecho de acceso al recurso. Así se afirma en el fundamento jurídico 3 B), aunque, paradójicamente, esa conclusión no se traslada al apartado segundo del fallo, que se refiere exclusivamente al derecho a la tutela judicial efectiva sin indefensión. Esto implica, a mi juicio, una modificación sustancial de una doctrina muy consolidada de este tribunal, que define el derecho de acceso al recurso como un derecho de configuración legal que se concreta en el derecho a no ser privado de los recursos previstos por el ordenamiento jurídico (ver, por todas, STC 48/2002, de 25 de febrero, FJ 3). Sin embargo, en este caso no estaríamos en presencia de una indebida inadmisión de un recurso previsto por el ordenamiento jurídico, sino admitido por la jurisprudencia en su labor de interpretación de la legalidad vigente. Y es aquí donde surge el pro</w:t>
      </w:r>
      <w:r>
        <w:lastRenderedPageBreak/>
        <w:t>blema: la tesis sustentada en la sentencia está absolutamente condicionada por el supuesto de hecho concreto que es objeto de análisis en la sentencia, lo que ha impedido fijar una doctrina general sobre el problema de fondo planteado en la demanda.</w:t>
      </w:r>
    </w:p>
    <w:p w14:paraId="60264E4F" w14:textId="77777777" w:rsidR="00A8138F" w:rsidRDefault="00A8138F" w:rsidP="00A8138F">
      <w:pPr>
        <w:pStyle w:val="TextoNormal"/>
      </w:pPr>
    </w:p>
    <w:p w14:paraId="444B8A61" w14:textId="77777777" w:rsidR="00A8138F" w:rsidRDefault="00A8138F" w:rsidP="00A8138F">
      <w:pPr>
        <w:pStyle w:val="TextoNormal"/>
      </w:pPr>
      <w:r>
        <w:t>El derecho concernido no es, en propiedad, el de acceso a los recursos. En realidad, en un planteamiento de doctrina constitucional general, la vocación de aplicabilidad de la jurisprudencia (que puede tener múltiples ámbitos o materias en los que expresarse, y no solo en el acceso a los recursos) exige, en un adecuado equilibrio con el principio de independencia judicial, la debida motivación de cualquier apartamiento por parte de un órgano judicial inferior, en los términos sometidos al canon de control de constitucionalidad propio del derecho a la tutela judicial efectiva, en su vertiente de derecho a obtener una resolución motivada y fundada en Derecho, pero con los debidos matices.</w:t>
      </w:r>
    </w:p>
    <w:p w14:paraId="5F1F9F59" w14:textId="77777777" w:rsidR="00A8138F" w:rsidRDefault="00A8138F" w:rsidP="00A8138F">
      <w:pPr>
        <w:pStyle w:val="TextoNormal"/>
      </w:pPr>
    </w:p>
    <w:p w14:paraId="4BEDC682" w14:textId="77777777" w:rsidR="00A8138F" w:rsidRDefault="00A8138F" w:rsidP="00A8138F">
      <w:pPr>
        <w:pStyle w:val="TextoNormal"/>
      </w:pPr>
      <w:r>
        <w:t>En efecto, no bastaría con aplicar el canon tradicional de razonabilidad, consistente en valorar si las resoluciones impugnadas son o no arbitrarias, ilógicas o incursas en error patente (ver, por todas, STC 61/2021, de 15 de marzo, FJ 4). El resultado del control de constitucionalidad no puede convertirse en una comparativa sobre dos interpretaciones razonables de la norma, poniendo al mismo nivel el criterio del órgano inferior y el del Tribunal Supremo, porque entonces la jurisprudencia carecería de valor alguno. Pero, sin duda, tampoco es exigible de los órganos inferiores un acatamiento acrítico de la doctrina jurisprudencial, a modo de instrucción o vinculación absoluta que este tribunal no ha afirmado nunca, porque no se deriva del sistema de fuentes consagrado en el art. 1.1 CC.</w:t>
      </w:r>
    </w:p>
    <w:p w14:paraId="26533FF4" w14:textId="77777777" w:rsidR="00A8138F" w:rsidRDefault="00A8138F" w:rsidP="00A8138F">
      <w:pPr>
        <w:pStyle w:val="TextoNormal"/>
      </w:pPr>
    </w:p>
    <w:p w14:paraId="4BB3E4AA" w14:textId="77777777" w:rsidR="00A8138F" w:rsidRDefault="00A8138F" w:rsidP="00A8138F">
      <w:pPr>
        <w:pStyle w:val="TextoNormal"/>
      </w:pPr>
      <w:r>
        <w:t>Por ello, el adecuado equilibrio entre la vocación de aplicabilidad de la jurisprudencia como complemento del ordenamiento jurídico y la independencia de criterio de los órganos de la jurisdicción ordinaria debe exigir, por un lado, que el apartamiento de la doctrina del Tribunal Supremo esté basado en la propia irrazonabilidad de esa jurisprudencia y, por otro, que esa irrazonabilidad esté adecuadamente motivada y fundada en Derecho en la resolución objeto de control.</w:t>
      </w:r>
    </w:p>
    <w:p w14:paraId="044186C4" w14:textId="77777777" w:rsidR="00A8138F" w:rsidRDefault="00A8138F" w:rsidP="00A8138F">
      <w:pPr>
        <w:pStyle w:val="TextoNormal"/>
      </w:pPr>
    </w:p>
    <w:p w14:paraId="032E1339" w14:textId="77777777" w:rsidR="00A8138F" w:rsidRDefault="00A8138F" w:rsidP="00A8138F">
      <w:pPr>
        <w:pStyle w:val="TextoNormal"/>
      </w:pPr>
      <w:r>
        <w:t>Por poner algunos ejemplos, y sin ánimo de ser exhaustivo, la irrazonabilidad de la doctrina jurisprudencial podría estar basada en los siguientes supuestos: (i) cuando el criterio superior vulnera eventualmente un derecho fundamental o, en general, un precepto de la Constitución o cualquier otra norma del ordenamiento jurídico (infracción de la legalidad, arts. 9.1 y 117.1 CE); (ii) cuando dicho criterio jurisprudencial resulta objetivamente falto de lógica jurídica en sus premisas o en sus conclusiones; (iii) si esa jurisprudencia no tiene en cuenta los pronunciamientos de este Tribunal Constitucional al declarar la inconstitucionalidad de un precepto legal [art. 161.1 a) CE] o la doctrina y el fallo contenidos en los autos y sentencias donde resolvemos procesos constitucionales (arts. 40.2 LOTC y 5.1 de la Ley Orgánica del Poder Judicial); o también, (iv) cuando el órgano judicial entienda procedente plantear una cuestión prejudicial ante el Tribunal de Justicia de la Unión Europea, conforme a lo dispuesto en el art. 267 del Tratado de funcionamiento de la Unión Europea, en la eventualidad de que una jurisprudencia del Tribunal Supremo puede ser contraria a dicho ordenamiento y tuviera que aplicarlo para resolver la controversia, o porque la doctrina del Tribunal Supremo sea incompatible con el Derecho de la Unión Europea y no sea necesario plantear cuestión prejudicial, en los casos de “acto claro” o “aclarado” (por todas, STC 37/2019, de 26 de marzo, FJ 4).</w:t>
      </w:r>
    </w:p>
    <w:p w14:paraId="496FAB08" w14:textId="77777777" w:rsidR="00A8138F" w:rsidRDefault="00A8138F" w:rsidP="00A8138F">
      <w:pPr>
        <w:pStyle w:val="TextoNormal"/>
      </w:pPr>
    </w:p>
    <w:p w14:paraId="354C26ED" w14:textId="77777777" w:rsidR="00A8138F" w:rsidRDefault="00A8138F" w:rsidP="00A8138F">
      <w:pPr>
        <w:pStyle w:val="TextoNormal"/>
      </w:pPr>
      <w:r>
        <w:lastRenderedPageBreak/>
        <w:t>En definitiva, no bastaría con que el órgano judicial inferior disidente proporcione una interpretación razonable alternativa a la de la jurisprudencia, sino que sería necesario que la necesidad de la alternativa se justificase en la irrazonabilidad del criterio jurisprudencial. Y esa irrazonabilidad habrá de motivarse fundadamente por el órgano que se aparta de la doctrina jurisprudencial, precisamente porque, en el ejercicio de su función jurisdiccional, puede interpretar la norma conforme a su criterio, pero siempre en el marco del derecho a una resolución motivada y fundada en Derecho, reconocido en el art. 24.1 CE. Se trata, en definitiva, de un diálogo entre tribunales del que pueda derivar una interpretación y aplicación de la norma en constante evolución, como muestra del carácter dinámico del Derecho, en permanente adaptación a la realidad del tiempo en que ha de ser aplicado (art. 3.1 CC).</w:t>
      </w:r>
    </w:p>
    <w:p w14:paraId="11718A01" w14:textId="77777777" w:rsidR="00A8138F" w:rsidRDefault="00A8138F" w:rsidP="00A8138F">
      <w:pPr>
        <w:pStyle w:val="TextoNormal"/>
      </w:pPr>
    </w:p>
    <w:p w14:paraId="4025A439" w14:textId="77777777" w:rsidR="00A8138F" w:rsidRDefault="00A8138F" w:rsidP="00A8138F">
      <w:pPr>
        <w:pStyle w:val="TextoNormal"/>
      </w:pPr>
      <w:r>
        <w:t>En el caso concreto, como acertadamente expone la sentencia, las resoluciones impugnadas se han limitado a exponer y reiterar su criterio, pero no han analizado la razonabilidad de la tesis sustentada por el Tribunal Supremo, pretendiendo así que prevalezca su propio criterio, en detrimento del valor intrínseco que el ordenamiento jurídico reconoce a la doctrina jurisprudencial.</w:t>
      </w:r>
    </w:p>
    <w:p w14:paraId="1F2229E9" w14:textId="77777777" w:rsidR="00A8138F" w:rsidRDefault="00A8138F" w:rsidP="00A8138F">
      <w:pPr>
        <w:pStyle w:val="TextoNormal"/>
      </w:pPr>
    </w:p>
    <w:p w14:paraId="0878D106" w14:textId="77777777" w:rsidR="00A8138F" w:rsidRDefault="00A8138F" w:rsidP="00A8138F">
      <w:pPr>
        <w:pStyle w:val="TextoNormal"/>
      </w:pPr>
      <w:r>
        <w:t>Por lo tanto, en el supuesto ahora contemplado, la vulneración se produce por una ausencia o déficit motivacional, no por el mero hecho de que se excluya o no la aplicación de la jurisprudencia del Tribunal Supremo, lo que exigiría, como premisa lógica, una vinculación absoluta no prevista en el ordenamiento jurídico y que este tribunal no ha afirmado nunca, a mi juicio acertadamente, y que sigue sin afirmarse ahora, no obstante el planteamiento de este voto que, en términos de vinculación, y si se quiere emplear ese sustantivo de una manera genérica o laxa, no alcanzaría más que a implicar una “vinculación relativa a la jurisprudencia”. Tampoco se produce vulneración alguna por la mera inadmisión o no de un recurso, que no es más que el efecto provocado en el caso concreto. Lo esencial es que, ante un sólido criterio jurisprudencial, la Sala del Tribunal Superior de Justicia se apartó de forma insuficientemente motivada desde el parámetro de motivación que previamente he indicado.</w:t>
      </w:r>
    </w:p>
    <w:p w14:paraId="3C51A891" w14:textId="77777777" w:rsidR="00A8138F" w:rsidRDefault="00A8138F" w:rsidP="00A8138F">
      <w:pPr>
        <w:pStyle w:val="TextoNormal"/>
      </w:pPr>
    </w:p>
    <w:p w14:paraId="4FC76E78" w14:textId="77777777" w:rsidR="00A8138F" w:rsidRDefault="00A8138F" w:rsidP="00A8138F">
      <w:pPr>
        <w:pStyle w:val="TextoNormal"/>
      </w:pPr>
      <w:r>
        <w:t>En definitiva, el derecho afectado es el de la tutela judicial efectiva (art. 24.1 CE) en su vertiente de derecho a obtener una resolución motivada y fundada en Derecho, con independencia del concreto supuesto de hecho o consecuencia jurídica (aquí la inadmisión de un recurso, pero no necesariamente en otro caso). Si ahora la sentencia postula la vulneración del derecho de acceso al recurso es por el contenido del acuerdo jurisprudencial controvertido en este caso concreto, pero el canon de control general de cualquier apartamiento de la jurisprudencia —que es la cuestión clave para la adecuada resolución de este amparo—, no puede ser otro que el propio del derecho a una resolución motivada y fundada en Derecho, con los matices que hemos señalado, es decir, la necesidad de justificar adecuadamente la irrazonabilidad de la doctrina jurisprudencial.</w:t>
      </w:r>
    </w:p>
    <w:p w14:paraId="793EC410" w14:textId="77777777" w:rsidR="00A8138F" w:rsidRDefault="00A8138F" w:rsidP="00A8138F">
      <w:pPr>
        <w:pStyle w:val="TextoNormal"/>
      </w:pPr>
    </w:p>
    <w:p w14:paraId="7EBC9213" w14:textId="77777777" w:rsidR="00A8138F" w:rsidRDefault="00A8138F" w:rsidP="00A8138F">
      <w:pPr>
        <w:pStyle w:val="TextoNormal"/>
      </w:pPr>
      <w:r>
        <w:t xml:space="preserve">III. </w:t>
      </w:r>
      <w:r w:rsidRPr="00A8138F">
        <w:rPr>
          <w:i/>
        </w:rPr>
        <w:t>Sobre el ámbito funcional propio de este tribunal en la resolución del caso concreto</w:t>
      </w:r>
    </w:p>
    <w:p w14:paraId="717F98F3" w14:textId="77777777" w:rsidR="00A8138F" w:rsidRDefault="00A8138F" w:rsidP="00A8138F">
      <w:pPr>
        <w:pStyle w:val="TextoNormal"/>
      </w:pPr>
    </w:p>
    <w:p w14:paraId="6B86CC42" w14:textId="77777777" w:rsidR="00A8138F" w:rsidRDefault="00A8138F" w:rsidP="00A8138F">
      <w:pPr>
        <w:pStyle w:val="TextoNormal"/>
      </w:pPr>
      <w:r>
        <w:t>El problema metodológico apuntado y el discutible encuadre del derecho fundamental afectado han motivado que la sentencia de este tribunal haya derivado en una suerte de opinión dirimente sobre la razonabilidad de cada una de las tesis opuestas. Así se deduce del fundamento jurídico 3 A) c), en el que la sentencia aborda la razonabilidad de la doctrina jurisprudencial (de hecho, se dice que “nada hay en el enunciado de esta jurisprudencia que pueda tildarse de arbitrario, irrazonable o fundado en un error fáctico patente”) y la con</w:t>
      </w:r>
      <w:r>
        <w:lastRenderedPageBreak/>
        <w:t>fronta con el discurso argumentativo expuesto en las resoluciones impugnadas, como se desarrolla en el fundamento jurídico 3 B), apartados a) y b). Con ello no solo renunciamos a situarnos en el plano del control externo de la razonabilidad de las resoluciones impugnadas, que es el que corresponde al derecho fundamental afectado, sino que nos adentramos en el terreno de la mera interpretación de la legalidad ordinaria, impropio de nuestro ámbito funcional (por todos, ATC 53/2017, de 19 de abril, FJ 2).</w:t>
      </w:r>
    </w:p>
    <w:p w14:paraId="7B924EC5" w14:textId="77777777" w:rsidR="00A8138F" w:rsidRDefault="00A8138F" w:rsidP="00A8138F">
      <w:pPr>
        <w:pStyle w:val="TextoNormal"/>
      </w:pPr>
    </w:p>
    <w:p w14:paraId="43A934A5" w14:textId="36E4C36B" w:rsidR="00A8138F" w:rsidRDefault="00A8138F" w:rsidP="00A8138F">
      <w:pPr>
        <w:pStyle w:val="TextoNormal"/>
      </w:pPr>
      <w:r>
        <w:t>Madrid, a veintinueve de abril de dos mil veinticinco.</w:t>
      </w:r>
    </w:p>
    <w:p w14:paraId="3761DCD4" w14:textId="40617055" w:rsidR="00A8138F" w:rsidRDefault="00A8138F">
      <w:pPr>
        <w:spacing w:after="160" w:line="278" w:lineRule="auto"/>
        <w:rPr>
          <w:rFonts w:ascii="Times New Roman" w:eastAsia="Times New Roman" w:hAnsi="Times New Roman" w:cs="Times New Roman"/>
          <w:sz w:val="24"/>
          <w:szCs w:val="24"/>
          <w:lang w:eastAsia="es-ES"/>
        </w:rPr>
      </w:pPr>
      <w:r>
        <w:br w:type="page"/>
      </w:r>
    </w:p>
    <w:p w14:paraId="5B9F6B5E" w14:textId="77777777" w:rsidR="00A8138F" w:rsidRDefault="00A8138F" w:rsidP="00A8138F">
      <w:pPr>
        <w:pStyle w:val="TtuloResolucin"/>
      </w:pPr>
      <w:bookmarkStart w:id="108" w:name="SENTENCIA_2025_106"/>
      <w:r>
        <w:lastRenderedPageBreak/>
        <w:t>SENTENCIA 106/2025, de 12 de mayo de 2025</w:t>
      </w:r>
    </w:p>
    <w:bookmarkEnd w:id="108"/>
    <w:p w14:paraId="0003DF3A" w14:textId="77777777" w:rsidR="00A8138F" w:rsidRDefault="00A8138F" w:rsidP="00A8138F">
      <w:pPr>
        <w:pStyle w:val="TtuloResolucin"/>
      </w:pPr>
      <w:r>
        <w:t>Sala Segunda</w:t>
      </w:r>
    </w:p>
    <w:p w14:paraId="49265DEF" w14:textId="77777777" w:rsidR="00A8138F" w:rsidRDefault="00A8138F" w:rsidP="00A8138F">
      <w:pPr>
        <w:pStyle w:val="TtuloBOE"/>
      </w:pPr>
      <w:r>
        <w:t>(BOE núm. 146, de 18 de junio de 2025)</w:t>
      </w:r>
    </w:p>
    <w:p w14:paraId="5C293F09" w14:textId="77777777" w:rsidR="00A8138F" w:rsidRDefault="00A8138F" w:rsidP="00A8138F">
      <w:pPr>
        <w:pStyle w:val="TextoNormalCentrado"/>
      </w:pPr>
      <w:r>
        <w:t>ECLI:ES:TC:2025:106</w:t>
      </w:r>
    </w:p>
    <w:p w14:paraId="5AFD5C3D" w14:textId="44C8887F" w:rsidR="00A8138F" w:rsidRDefault="00A8138F" w:rsidP="00A8138F">
      <w:pPr>
        <w:pStyle w:val="TextoNormalCentrado"/>
      </w:pPr>
    </w:p>
    <w:p w14:paraId="2D02CB1C" w14:textId="77777777" w:rsidR="00A8138F" w:rsidRDefault="00A8138F" w:rsidP="00A8138F">
      <w:pPr>
        <w:pStyle w:val="SntesisDescriptiva"/>
      </w:pPr>
      <w:r>
        <w:t>Recurso de amparo 6164-2020. Promovido por don Ferran Pàmies Flack respecto del auto de un juzgado de instrucción de Barcelona que rechazó su solicitud de habeas corpus.</w:t>
      </w:r>
    </w:p>
    <w:p w14:paraId="5F5275ED" w14:textId="7982E11B" w:rsidR="00A8138F" w:rsidRDefault="00A8138F" w:rsidP="00A8138F">
      <w:pPr>
        <w:pStyle w:val="SntesisDescriptiva"/>
      </w:pPr>
    </w:p>
    <w:p w14:paraId="65A56F27" w14:textId="77777777" w:rsidR="00A8138F" w:rsidRDefault="00A8138F" w:rsidP="00A8138F">
      <w:pPr>
        <w:pStyle w:val="SntesisAnaltica"/>
      </w:pPr>
      <w:r>
        <w:t>Alegada vulneración de la libertad personal en conexión con los derechos a la tutela judicial y a la defensa: inadmisión del recurso de amparo extemporáneamente interpuesto.</w:t>
      </w:r>
    </w:p>
    <w:p w14:paraId="253E7DAF" w14:textId="69686988" w:rsidR="00A8138F" w:rsidRDefault="00A8138F" w:rsidP="00A8138F">
      <w:pPr>
        <w:pStyle w:val="SntesisAnaltica"/>
      </w:pPr>
    </w:p>
    <w:p w14:paraId="5C78A5A3" w14:textId="474F6707" w:rsidR="00A8138F" w:rsidRDefault="00A8138F" w:rsidP="00A8138F">
      <w:pPr>
        <w:pStyle w:val="Extracto"/>
      </w:pPr>
      <w:r>
        <w:t>1.</w:t>
      </w:r>
      <w:r>
        <w:tab/>
        <w:t>En los supuestos de detenciones que no hayan sido ordenadas por la autoridad judicial, sino de forma autónoma por la unidad policial actuante, por lo que cualquier vulneración de derechos fundamentales en la que estas actuaciones policiales autónomas incurran no pueden calificarse como vulneraciones del artículo 44 LOTC, debiendo quedar subsumidas en el artículo 43 LOTC; y quedan sujetas así al plazo de impugnación que este precepto determina, que es de veinte días (SSTC 11/2019 y 16/2019) [FJ 2].</w:t>
      </w:r>
    </w:p>
    <w:p w14:paraId="71FFED2E" w14:textId="77777777" w:rsidR="00A8138F" w:rsidRDefault="00A8138F" w:rsidP="00A8138F">
      <w:pPr>
        <w:pStyle w:val="Extracto"/>
      </w:pPr>
    </w:p>
    <w:p w14:paraId="2A3A8234" w14:textId="598BB8E0" w:rsidR="00A8138F" w:rsidRDefault="00A8138F" w:rsidP="00A8138F">
      <w:pPr>
        <w:pStyle w:val="Extracto"/>
      </w:pPr>
      <w:r>
        <w:t>2.</w:t>
      </w:r>
      <w:r>
        <w:tab/>
        <w:t>Conforme a lo previsto en el art. 50.1 a) LOTC en relación con el art. 43.2 LOTC, se incurre en extemporaneidad si se superan los veinte días previstos para la interposición de la demanda en los casos en los que el amparo se dirige contra actos administrativos; extemporaneidad que conduce a la inadmisibilidad de los recursos de amparo [FJ 2].</w:t>
      </w:r>
    </w:p>
    <w:p w14:paraId="1E1452FF" w14:textId="77777777" w:rsidR="00A8138F" w:rsidRDefault="00A8138F" w:rsidP="00A8138F">
      <w:pPr>
        <w:pStyle w:val="Extracto"/>
      </w:pPr>
    </w:p>
    <w:p w14:paraId="5B96227E" w14:textId="77777777" w:rsidR="00A8138F" w:rsidRDefault="00A8138F" w:rsidP="00A8138F">
      <w:pPr>
        <w:pStyle w:val="Extracto"/>
      </w:pPr>
    </w:p>
    <w:p w14:paraId="2D72E349"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D504CB3" w14:textId="0FC2563C" w:rsidR="00A8138F" w:rsidRDefault="00A8138F" w:rsidP="00A8138F">
      <w:pPr>
        <w:pStyle w:val="TextoNormal"/>
      </w:pPr>
    </w:p>
    <w:p w14:paraId="28DE0D51" w14:textId="77777777" w:rsidR="00A8138F" w:rsidRDefault="00A8138F" w:rsidP="00A8138F">
      <w:pPr>
        <w:pStyle w:val="TextoNormalCentrado"/>
        <w:keepNext/>
      </w:pPr>
      <w:r>
        <w:t>EN NOMBRE DEL REY</w:t>
      </w:r>
    </w:p>
    <w:p w14:paraId="70A835CE" w14:textId="00250FDC" w:rsidR="00A8138F" w:rsidRDefault="00A8138F" w:rsidP="00A8138F">
      <w:pPr>
        <w:pStyle w:val="TextoNormalCentrado"/>
        <w:keepNext/>
      </w:pPr>
    </w:p>
    <w:p w14:paraId="5E0F7846" w14:textId="77777777" w:rsidR="00A8138F" w:rsidRDefault="00A8138F" w:rsidP="00A8138F">
      <w:pPr>
        <w:pStyle w:val="TextoNormalCentrado"/>
        <w:keepNext/>
      </w:pPr>
    </w:p>
    <w:p w14:paraId="13AB6654" w14:textId="77777777" w:rsidR="00A8138F" w:rsidRDefault="00A8138F" w:rsidP="00A8138F">
      <w:pPr>
        <w:pStyle w:val="TextoNormal"/>
      </w:pPr>
      <w:r>
        <w:t>la siguiente</w:t>
      </w:r>
    </w:p>
    <w:p w14:paraId="0F5B43D7" w14:textId="3B465158" w:rsidR="00A8138F" w:rsidRDefault="00A8138F" w:rsidP="00A8138F">
      <w:pPr>
        <w:pStyle w:val="TextoNormal"/>
      </w:pPr>
    </w:p>
    <w:p w14:paraId="4FD2905A" w14:textId="77777777" w:rsidR="00A8138F" w:rsidRDefault="00A8138F" w:rsidP="00A8138F">
      <w:pPr>
        <w:pStyle w:val="TextoNormalCentrado"/>
        <w:keepNext/>
      </w:pPr>
      <w:r>
        <w:t>SENTENCIA</w:t>
      </w:r>
    </w:p>
    <w:p w14:paraId="23448184" w14:textId="1629774D" w:rsidR="00A8138F" w:rsidRDefault="00A8138F" w:rsidP="00A8138F">
      <w:pPr>
        <w:pStyle w:val="TextoNormalCentrado"/>
        <w:keepNext/>
      </w:pPr>
    </w:p>
    <w:p w14:paraId="09B45684" w14:textId="77777777" w:rsidR="00A8138F" w:rsidRDefault="00A8138F" w:rsidP="00A8138F">
      <w:pPr>
        <w:pStyle w:val="TextoNormal"/>
      </w:pPr>
      <w:r>
        <w:t>En el recurso de amparo núm. 6164-2020, promovido por don Ferran Pàmies Flack, representado por el procurador de los tribunales don Adolfo Morales Hernández-Sanjuán y bajo la asistencia letrada de doña Norma Pedemonte i Rubió, contra el auto dictado por el Juzgado de Instrucción núm. 15 de Barcelona, de 29 de octubre de 2020, en procedimiento de habeas corpus núm. 3-2020. Ha intervenido el Ministerio Fiscal. Ha sido ponente la magistrada doña María Luisa Balaguer Callejón.</w:t>
      </w:r>
    </w:p>
    <w:p w14:paraId="4BEB485E" w14:textId="7E1F16A3" w:rsidR="00A8138F" w:rsidRDefault="00A8138F" w:rsidP="00A8138F">
      <w:pPr>
        <w:pStyle w:val="TextoNormal"/>
      </w:pPr>
    </w:p>
    <w:p w14:paraId="24B20A9A" w14:textId="77777777" w:rsidR="00A8138F" w:rsidRDefault="00A8138F" w:rsidP="00A8138F">
      <w:pPr>
        <w:pStyle w:val="TextoNormalNegritaCentrado"/>
        <w:keepNext/>
      </w:pPr>
      <w:r>
        <w:lastRenderedPageBreak/>
        <w:t>I. Antecedentes</w:t>
      </w:r>
    </w:p>
    <w:p w14:paraId="156D561B" w14:textId="1E8D102B" w:rsidR="00A8138F" w:rsidRDefault="00A8138F" w:rsidP="00A8138F">
      <w:pPr>
        <w:pStyle w:val="TextoNormalNegritaCentrado"/>
        <w:keepNext/>
      </w:pPr>
    </w:p>
    <w:p w14:paraId="252BEA04" w14:textId="1A0E0C30" w:rsidR="00A8138F" w:rsidRDefault="00A8138F" w:rsidP="00A8138F">
      <w:pPr>
        <w:pStyle w:val="TextoNormal"/>
      </w:pPr>
      <w:r w:rsidRPr="00A8138F">
        <w:rPr>
          <w:rStyle w:val="NumeroAFNegritaCaracter"/>
        </w:rPr>
        <w:t>1</w:t>
      </w:r>
      <w:r>
        <w:t>. Mediante escrito registrado en este tribunal el día 14 de diciembre de 2020, el procurador de los tribunales, don Adolfo Morales Hernández-Sanjuán, en nombre y representación de don Ferran Pàmies Flack, interpuso recurso de amparo contra la resolución judicial citada en el encabezamiento de esta sentencia.</w:t>
      </w:r>
    </w:p>
    <w:p w14:paraId="2D6A1F94" w14:textId="77777777" w:rsidR="00A8138F" w:rsidRDefault="00A8138F" w:rsidP="00A8138F">
      <w:pPr>
        <w:pStyle w:val="TextoNormal"/>
      </w:pPr>
    </w:p>
    <w:p w14:paraId="06A42B65" w14:textId="77777777" w:rsidR="00A8138F" w:rsidRDefault="00A8138F" w:rsidP="00A8138F">
      <w:pPr>
        <w:pStyle w:val="TextoNormal"/>
      </w:pPr>
      <w:r w:rsidRPr="00A8138F">
        <w:rPr>
          <w:rStyle w:val="NumeroAFNegritaCaracter"/>
        </w:rPr>
        <w:t>2</w:t>
      </w:r>
      <w:r>
        <w:t>. Los hechos y antecedentes procesales para resolver las pretensiones planteadas son, en síntesis, los siguientes:</w:t>
      </w:r>
    </w:p>
    <w:p w14:paraId="17A9AC80" w14:textId="77777777" w:rsidR="00A8138F" w:rsidRDefault="00A8138F" w:rsidP="00A8138F">
      <w:pPr>
        <w:pStyle w:val="TextoNormal"/>
      </w:pPr>
    </w:p>
    <w:p w14:paraId="238B85DE" w14:textId="77777777" w:rsidR="00A8138F" w:rsidRDefault="00A8138F" w:rsidP="00A8138F">
      <w:pPr>
        <w:pStyle w:val="TextoNormal"/>
      </w:pPr>
      <w:r>
        <w:t>a) Según consta en diligencia policial con núm. 775513-2020 AT UCIOP, ampliatoria de la núm. 1151808-2019 AT UCIOP, coincidiendo con la disputa del partido de fútbol correspondiente al campeonato nacional de liga entre el Fútbol Club Barcelona y el Real Madrid en la ciudad de Barcelona el 18 de diciembre de 2019, la plataforma Tsunami Democràtic convocó una protesta con motivo de la publicación de la sentencia del Tribunal Supremo en la causa especial núm. 20907-2017 (el conocido como el juicio del “Procés”), convocatoria frente a la que el colectivo Patriotas Españoles habría respondido con la invitación a una movilización simultánea en la misma fecha.</w:t>
      </w:r>
    </w:p>
    <w:p w14:paraId="74A9E744" w14:textId="77777777" w:rsidR="00A8138F" w:rsidRDefault="00A8138F" w:rsidP="00A8138F">
      <w:pPr>
        <w:pStyle w:val="TextoNormal"/>
      </w:pPr>
    </w:p>
    <w:p w14:paraId="1090AD10" w14:textId="77777777" w:rsidR="00A8138F" w:rsidRDefault="00A8138F" w:rsidP="00A8138F">
      <w:pPr>
        <w:pStyle w:val="TextoNormal"/>
      </w:pPr>
      <w:r>
        <w:t>Desplegado dispositivo de seguridad por el cuerpo de Mossos d’Esquadra y siempre según las diligencias de la Dirección General de la Policía de la Generalitat de Cataluña, sobre las 19:40 horas del 18 de diciembre de 2019 comenzaron a producirse diversos episodios violentos, incluida la obstaculización en su avance de un furgón policial, que fue rodeado y contra el que fueron lanzados objetos contundentes, aprovechando el momento algunos manifestantes para agredir a los agentes y sustraer material policial del vehículo. Por la participación en estos hechos, el 15 de julio de 2020 se detuvo a un hombre mayor de edad de nacionalidad española (diligencias núm. 565684-20, entregadas el 16 de julio de 2020 al juzgado de instrucción en funciones de guardia de Vic), detención a partir de la que se habría identificado, con posterioridad, a don Ferrán Pàmies Flack.</w:t>
      </w:r>
    </w:p>
    <w:p w14:paraId="102AE31D" w14:textId="77777777" w:rsidR="00A8138F" w:rsidRDefault="00A8138F" w:rsidP="00A8138F">
      <w:pPr>
        <w:pStyle w:val="TextoNormal"/>
      </w:pPr>
    </w:p>
    <w:p w14:paraId="272BBDB4" w14:textId="77777777" w:rsidR="00A8138F" w:rsidRDefault="00A8138F" w:rsidP="00A8138F">
      <w:pPr>
        <w:pStyle w:val="TextoNormal"/>
      </w:pPr>
      <w:r>
        <w:t>Siempre de conformidad con las mencionadas diligencias ampliatorias núm. 775513-2020 AT UCIOP, de las diferentes minutas policiales que los agentes de la brigada móvil hicieron de los referidos altercados, del visionado por los agentes de las imágenes grabadas por los distintos operadores policiales y publicadas por diferentes medios de comunicación y de la consulta a las redes sociales del primer detenido (diligencias núm. 565684-20), se concluía que “el señor Pàmies fue uno de los autores que más activamente participó de los graves incidentes violentos que tuvieron lugar en el Camp Nou”, coligiendo de sus acciones la comisión de un delito de desórdenes públicos, tres delitos de atentado a los agentes de la autoridad, tres delitos de lesiones y un delito de daños.</w:t>
      </w:r>
    </w:p>
    <w:p w14:paraId="6E83AED7" w14:textId="77777777" w:rsidR="00A8138F" w:rsidRDefault="00A8138F" w:rsidP="00A8138F">
      <w:pPr>
        <w:pStyle w:val="TextoNormal"/>
      </w:pPr>
    </w:p>
    <w:p w14:paraId="3E7CAA38" w14:textId="77777777" w:rsidR="00A8138F" w:rsidRDefault="00A8138F" w:rsidP="00A8138F">
      <w:pPr>
        <w:pStyle w:val="TextoNormal"/>
      </w:pPr>
      <w:r>
        <w:t xml:space="preserve">b) El hoy recurrente en amparo fue detenido por agentes de los Mossos d’Esquadra a la salida de su domicilio el 29 de octubre de 2020, constando en las reiteradas diligencias ampliatorias que, de conformidad con el art. 17 CE y el art. 520 de la Ley de enjuiciamiento criminal (LECrim), fue informado de los derechos que le asistían y que, habiendo solicitado inicialmente el detenido un abogado de oficio, finalmente aceptó la representación por parte de la letrada particular, que aún le asiste, tras la personación de esta en dependencias policiales. Así aparece igualmente reflejado en el acta de declaración del detenido a disposición </w:t>
      </w:r>
      <w:r>
        <w:lastRenderedPageBreak/>
        <w:t>de este tribunal, en la que también queda consignado que el señor Pàmies quiso “hacer constar que solo se le da acceso al informe de visionado donde se ven las acciones que motivan la detención, sin dar ni acceso ni copia de ninguna otra diligencia. Que aunque existan diligencias ampliatorias aportadas en sede judicial, ningún juzgado ha acordado su detención”.</w:t>
      </w:r>
    </w:p>
    <w:p w14:paraId="063AF595" w14:textId="77777777" w:rsidR="00A8138F" w:rsidRDefault="00A8138F" w:rsidP="00A8138F">
      <w:pPr>
        <w:pStyle w:val="TextoNormal"/>
      </w:pPr>
    </w:p>
    <w:p w14:paraId="09740107" w14:textId="77777777" w:rsidR="00A8138F" w:rsidRDefault="00A8138F" w:rsidP="00A8138F">
      <w:pPr>
        <w:pStyle w:val="TextoNormal"/>
      </w:pPr>
      <w:r>
        <w:t xml:space="preserve">c) Frente a su detención, don Ferran Pàmies Flack formuló solicitud de </w:t>
      </w:r>
      <w:r w:rsidRPr="00A8138F">
        <w:rPr>
          <w:i/>
        </w:rPr>
        <w:t>habeas corpus</w:t>
      </w:r>
      <w:r>
        <w:t>, haciendo constar en su escrito de interposición, de 29 de octubre de 2020, que una vez en la comisaría de los Mossos d’Esquadra de Les Corts y hecha la lectura de derechos y la declaración policial, al solicitar el acceso a los elementos esenciales que originaron su detención solo tuvo acceso al visionado de las imágenes que presuntamente sirvieron para su identificación, haciéndole entrega los agentes únicamente de la copia de su declaración, sin dejarle acceder al atestado completo ni a la totalidad del acervo probatorio. En el mismo escrito, el ahora demandante de amparo, advirtió también sobre la inexistencia de una orden judicial que acordarse su detención, que habría estado motivada, según le informaron los propios agentes, por unas diligencias ampliatorias “aportadas al juzgado correspondiente en el mes de julio de 2020”, que identifica con el núm. 1151808-2019 AT UCIOP.</w:t>
      </w:r>
    </w:p>
    <w:p w14:paraId="4C54F859" w14:textId="77777777" w:rsidR="00A8138F" w:rsidRDefault="00A8138F" w:rsidP="00A8138F">
      <w:pPr>
        <w:pStyle w:val="TextoNormal"/>
      </w:pPr>
    </w:p>
    <w:p w14:paraId="7F01559F" w14:textId="77777777" w:rsidR="00A8138F" w:rsidRDefault="00A8138F" w:rsidP="00A8138F">
      <w:pPr>
        <w:pStyle w:val="TextoNormal"/>
      </w:pPr>
      <w:r>
        <w:t xml:space="preserve">Para la representación procesal del ahora demandante de amparo, al pretender ampararse en el art. 492.4 LECrim, la detención debiera haber tenido lugar previa autorización judicial. A su entender, fundamentada su detención en un atestado policial y diligencias ampliatorias que ya habían sido aportadas a la autoridad judicial competente, “lo procedente hubiera sido quedar a la espera de la decisión de la autoridad judicial pertinente, o bien tomarle declaración policial y dejarlo en libertad”, considerando por ello que en este caso se conculcaron los apartados 1 y 2 del art. 17 CE, pues la detención del señor Pàmies no encontraba respaldo legal alguno. De este modo, “de no finalizarse dicha detención ilegal, se vulneraría el derecho a la tutela judicial efectiva, el derecho a defensa, el derecho a la presunción de inocencia y el derecho a un procedimiento con las debidas garantías”. Por su parte, tras sistematizar la doctrina sentada en la STC 21/2018, de 5 de marzo, FFJJ 5 a 7, sobre el derecho de acceso a los elementos esenciales para la impugnación de la detención, en el escrito por el que se solicitaba la incoación del procedimiento de </w:t>
      </w:r>
      <w:r w:rsidRPr="00A8138F">
        <w:rPr>
          <w:i/>
        </w:rPr>
        <w:t>habeas corpus</w:t>
      </w:r>
      <w:r>
        <w:t xml:space="preserve">, se advertía además que, de haberse garantizado tal derecho, el ahora demandante de amparo habría sabido qué juzgado de instrucción de Barcelona estaba instruyendo la causa. El escrito concluye así que la detención del señor Pàmies Flack, con un único fundamento policial, y habiendo aportado domicilio conocido y teléfono, fue “absolutamente arbitraria y desproporcionada”, solicitando por todo ello la incoación de </w:t>
      </w:r>
      <w:r w:rsidRPr="00A8138F">
        <w:rPr>
          <w:i/>
        </w:rPr>
        <w:t>habeas corpus</w:t>
      </w:r>
      <w:r>
        <w:t xml:space="preserve"> por vulneración del art. 17 CE.</w:t>
      </w:r>
    </w:p>
    <w:p w14:paraId="0E85EFE9" w14:textId="77777777" w:rsidR="00A8138F" w:rsidRDefault="00A8138F" w:rsidP="00A8138F">
      <w:pPr>
        <w:pStyle w:val="TextoNormal"/>
      </w:pPr>
    </w:p>
    <w:p w14:paraId="69550A38" w14:textId="77777777" w:rsidR="00A8138F" w:rsidRDefault="00A8138F" w:rsidP="00A8138F">
      <w:pPr>
        <w:pStyle w:val="TextoNormal"/>
      </w:pPr>
      <w:r>
        <w:t xml:space="preserve">d) El conocimiento del </w:t>
      </w:r>
      <w:r w:rsidRPr="00A8138F">
        <w:rPr>
          <w:i/>
        </w:rPr>
        <w:t>habeas corpus</w:t>
      </w:r>
      <w:r>
        <w:t xml:space="preserve"> recae en el Juzgado de Instrucción núm. 15 de Barcelona (procedimiento de </w:t>
      </w:r>
      <w:r w:rsidRPr="00A8138F">
        <w:rPr>
          <w:i/>
        </w:rPr>
        <w:t>habeas corpus</w:t>
      </w:r>
      <w:r>
        <w:t xml:space="preserve"> núm. 3-2020), que lo admite a trámite dando traslado inmediato para alegaciones al Ministerio Fiscal, que cumplimenta el trámite el mismo día 29 de octubre de 2020. La fiscal informó favorablemente el archivo del procedimiento de conformidad con lo previsto en el art. 8 de la Ley Orgánica 6/1984, de 24 de mayo, reguladora del procedimiento de </w:t>
      </w:r>
      <w:r w:rsidRPr="00A8138F">
        <w:rPr>
          <w:i/>
        </w:rPr>
        <w:t>habeas corpus</w:t>
      </w:r>
      <w:r>
        <w:t>, “por ser conforme a Derecho la privación de libertad”. Para la fiscalía, en este caso concurrían los supuestos legales del art. 492 LECrim, siendo efectivamente la fuerza policial quien debía realizar la detención, y explicando las diligencias policiales suficientemente las pruebas existentes contra el señor Pàmies.</w:t>
      </w:r>
    </w:p>
    <w:p w14:paraId="0F988989" w14:textId="77777777" w:rsidR="00A8138F" w:rsidRDefault="00A8138F" w:rsidP="00A8138F">
      <w:pPr>
        <w:pStyle w:val="TextoNormal"/>
      </w:pPr>
    </w:p>
    <w:p w14:paraId="6E7D37F8" w14:textId="77777777" w:rsidR="00A8138F" w:rsidRDefault="00A8138F" w:rsidP="00A8138F">
      <w:pPr>
        <w:pStyle w:val="TextoNormal"/>
      </w:pPr>
      <w:r>
        <w:lastRenderedPageBreak/>
        <w:t xml:space="preserve">e) Con igual fecha, de 29 de octubre de 2020, el Juzgado de Instrucción núm. 15 de Barcelona dictó auto por el que desestimó la petición de </w:t>
      </w:r>
      <w:r w:rsidRPr="00A8138F">
        <w:rPr>
          <w:i/>
        </w:rPr>
        <w:t>habeas corpus</w:t>
      </w:r>
      <w:r>
        <w:t xml:space="preserve"> formulada por el señor Pàmies Flack, declarando ser conforme a Derecho su privación de libertad.</w:t>
      </w:r>
    </w:p>
    <w:p w14:paraId="2944E8B0" w14:textId="77777777" w:rsidR="00A8138F" w:rsidRDefault="00A8138F" w:rsidP="00A8138F">
      <w:pPr>
        <w:pStyle w:val="TextoNormal"/>
      </w:pPr>
    </w:p>
    <w:p w14:paraId="48B8D509" w14:textId="4206DDDC" w:rsidR="00A8138F" w:rsidRDefault="00A8138F" w:rsidP="00A8138F">
      <w:pPr>
        <w:pStyle w:val="TextoNormal"/>
      </w:pPr>
      <w:r>
        <w:t>Según el tenor literal de la mencionada resolución judicial, la detención del ahora recurrente en amparo se produjo “de conformidad con la legalidad vigente, en concreto con arreglo al artículo 492.4 LECrim”, estando la misma basada “en los hechos descritos minuciosamente en el atestado, que podrían ser constitutivos de varios delitos de desórdenes públicos, atentados a agentes de la autoridad, daños y lesiones por incidentes ocurridos el día 18 de diciembre de 2019 en la ciudad de Barcelona”. Según el auto, además, “[l]os indicios de la autoría de la comisión de los anteriores delitos también se hallan descritos escrupulosamente en el atestado unido a las actuaciones, habiendo sido identificado Ferran Pàmies Flack —a través de reconocimiento en rueda y mediante fotoprinters de las cámaras del día de los hechos— como uno de los autores principales de los altercados violentos”. Advirtiendo que la “detención debe ser realizada por la fuerza policial en los casos del artículo 492 LECrim” y que “las diligencias policiales explican las pruebas existentes en fase de investigación contra el señor Pàmies”, el juzgado de instrucción señala además que, “consta en las actuaciones policiales que el detenido ha sido informado debidamente de los hechos, motivos de su detención y derechos, por lo que en modo alguno nos hallamos en un supuesto de detención ilegal”.</w:t>
      </w:r>
    </w:p>
    <w:p w14:paraId="11C0AF44" w14:textId="77777777" w:rsidR="00A8138F" w:rsidRDefault="00A8138F" w:rsidP="00A8138F">
      <w:pPr>
        <w:pStyle w:val="TextoNormal"/>
      </w:pPr>
    </w:p>
    <w:p w14:paraId="06D7B3BF" w14:textId="77777777" w:rsidR="00A8138F" w:rsidRDefault="00A8138F" w:rsidP="00A8138F">
      <w:pPr>
        <w:pStyle w:val="TextoNormal"/>
      </w:pPr>
      <w:r w:rsidRPr="00A8138F">
        <w:rPr>
          <w:rStyle w:val="NumeroAFNegritaCaracter"/>
        </w:rPr>
        <w:t>3</w:t>
      </w:r>
      <w:r>
        <w:t xml:space="preserve">. La demanda de amparo, interpuesta formalmente contra el auto de 29 de octubre de 2020 dictado por el Juzgado de Instrucción núm. 15 de Barcelona que desestimó la correspondiente petición de </w:t>
      </w:r>
      <w:r w:rsidRPr="00A8138F">
        <w:rPr>
          <w:i/>
        </w:rPr>
        <w:t>habeas corpus</w:t>
      </w:r>
      <w:r>
        <w:t>, considera que la detención, confirmada por la resolución judicial impugnada, vulneró sus derechos “a la libertad (arts. 17.1 y 17.2 CE, 5 y 6 CEDH), en relación con los arts. 490, 492 y 494 LECrim, la tutela judicial efectiva (art. 24.1 CE) y el derecho a la defensa (art. 24.2 CE)”, así como su “derecho a la libertad (arts. 17.1 y 17.2 CE y 5 y 6 CEDH) en relación con el art. 520.2 d) LECrim, la Directiva Europea 2012/13/UE de 22 de mayo y los arts. 5 y 6 CEDH [Convenio europeo de derechos humanos]”. Vulneraciones que el señor Pàmies sustenta en la ilegalidad de su detención, por un lado, por basarse la misma exclusivamente en criterio policial, sin previa autorización del juzgado que conocía la causa (diligencias previas núm. 656-2020-B, seguidas ante el Juzgado de Instrucción núm. 13 de Barcelona) y, por otro, por habérsele impedido el acceso a los elementos esenciales para impugnar la legalidad de su privación de libertad y salvaguardar su derecho de defensa. Entiende por todo ello el recurrente que se ha vulnerado “el derecho a la tutela judicial efectiva, el derecho de defensa, el derecho a la libertad, el derecho a la presunción de inocencia y a un procedimiento con todas las garantías”.</w:t>
      </w:r>
    </w:p>
    <w:p w14:paraId="47AB5BC6" w14:textId="77777777" w:rsidR="00A8138F" w:rsidRDefault="00A8138F" w:rsidP="00A8138F">
      <w:pPr>
        <w:pStyle w:val="TextoNormal"/>
      </w:pPr>
    </w:p>
    <w:p w14:paraId="1DF7AC03" w14:textId="15BE1C78" w:rsidR="00A8138F" w:rsidRDefault="00A8138F" w:rsidP="00A8138F">
      <w:pPr>
        <w:pStyle w:val="TextoNormal"/>
      </w:pPr>
      <w:r>
        <w:t xml:space="preserve">Según el escrito de iniciación, “[s]e denuncia la vulneración del derecho fundamental a la tutela judicial efectiva consagrado en el artículo 24.1 de la Constitución Española, en relación con el derecho a la libertad personal reconocido en el artículo 17.1 del mismo texto constitucional, por no encontrar la detención sustento alguno en los arts. 490, 492 ni 494 LECrim”. Tras la exposición de parte de la doctrina de este tribunal sobre el art. 24.1 CE en conexión con el proceso penal y advertida una necesaria “aplicación restrictiva, estricta y proporcionada” de los supuestos en los que la ley autoriza la detención, en su demanda el recurrente en amparo concluye que, centrándose el debate en este caso “en determinar si la detención se realizó o no con sujeción a lo establecido para la detención preventiva en los artículos 490, 492 y 493 LECrim”, no puede sino afirmarse la ilegalidad de su privación de </w:t>
      </w:r>
      <w:r>
        <w:lastRenderedPageBreak/>
        <w:t xml:space="preserve">libertad en tanto que no hubo resolución judicial alguna que, obrando en la causa seguida ante el Juzgado de Instrucción núm. 13 de Barcelona, la acordara. A continuación, el demandante de amparo conecta el derecho a acceder a los elementos esenciales para impugnar la detención con los derechos fundamentales a la tutela judicial efectiva y a la defensa </w:t>
      </w:r>
      <w:r w:rsidRPr="00A8138F">
        <w:rPr>
          <w:i/>
        </w:rPr>
        <w:t>ex</w:t>
      </w:r>
      <w:r>
        <w:t xml:space="preserve"> art. 24.1 y 2 CE, valiéndose para ello, al igual que lo hiciera en el escrito por el que solicitó que se incoara el procedimiento de </w:t>
      </w:r>
      <w:r w:rsidRPr="00A8138F">
        <w:rPr>
          <w:i/>
        </w:rPr>
        <w:t>habeas corpus</w:t>
      </w:r>
      <w:r>
        <w:t>, de una síntesis de la doctrina sentada sobre el referido derecho de acceso por los fundamentos jurídicos 5 a 7 de la STC 21/2018, de 5 de marzo.</w:t>
      </w:r>
    </w:p>
    <w:p w14:paraId="52C622BB" w14:textId="77777777" w:rsidR="00A8138F" w:rsidRDefault="00A8138F" w:rsidP="00A8138F">
      <w:pPr>
        <w:pStyle w:val="TextoNormal"/>
      </w:pPr>
    </w:p>
    <w:p w14:paraId="2C15FA9F" w14:textId="4DECFA78" w:rsidR="00A8138F" w:rsidRDefault="00A8138F" w:rsidP="00A8138F">
      <w:pPr>
        <w:pStyle w:val="TextoNormal"/>
      </w:pPr>
      <w:r w:rsidRPr="00A8138F">
        <w:rPr>
          <w:rStyle w:val="NumeroAFNegritaCaracter"/>
        </w:rPr>
        <w:t>4</w:t>
      </w:r>
      <w:r>
        <w:t xml:space="preserve">. Una vez se tuvo por recibido el testimonio íntegro del procedimiento de </w:t>
      </w:r>
      <w:r w:rsidRPr="00A8138F">
        <w:rPr>
          <w:i/>
        </w:rPr>
        <w:t>habeas corpus</w:t>
      </w:r>
      <w:r>
        <w:t xml:space="preserve"> núm. 3-2020, solicitado al Juzgado de Instrucción núm. 15 de Barcelona por diligencia de ordenación del secretario de justicia de la Sala Primera de fecha de 6 de mayo de 2022, y de conformidad con el acuerdo adoptado por el Pleno del Tribunal Constitucional el día 17 de enero de 2023, publicado en el “Boletín Oficial del Estado” el 19 de enero, el recurso de amparo que ahora resolvemos fue turnado a la Sección Cuarta de la Sala Segunda de este tribunal.</w:t>
      </w:r>
    </w:p>
    <w:p w14:paraId="32380302" w14:textId="77777777" w:rsidR="00A8138F" w:rsidRDefault="00A8138F" w:rsidP="00A8138F">
      <w:pPr>
        <w:pStyle w:val="TextoNormal"/>
      </w:pPr>
    </w:p>
    <w:p w14:paraId="53FE4D4C" w14:textId="77777777" w:rsidR="00A8138F" w:rsidRDefault="00A8138F" w:rsidP="00A8138F">
      <w:pPr>
        <w:pStyle w:val="TextoNormal"/>
      </w:pPr>
      <w:r w:rsidRPr="00A8138F">
        <w:rPr>
          <w:rStyle w:val="NumeroAFNegritaCaracter"/>
        </w:rPr>
        <w:t>5</w:t>
      </w:r>
      <w:r>
        <w:t>. La Sección Cuarta del Tribunal Constitucional, mediante providencia de 27 de junio de 2023, acordó admitir a trámite el recurso de amparo apreciando que concurre en el mismo especial trascendencia constitucional (art. 50.1 LOTC) al plantear un problema o afectar a una faceta de un derecho fundamental sobre el que no hay doctrina de este tribunal [STC 155/2009, de 25 de junio, FJ 2 a)].</w:t>
      </w:r>
    </w:p>
    <w:p w14:paraId="3101E580" w14:textId="77777777" w:rsidR="00A8138F" w:rsidRDefault="00A8138F" w:rsidP="00A8138F">
      <w:pPr>
        <w:pStyle w:val="TextoNormal"/>
      </w:pPr>
    </w:p>
    <w:p w14:paraId="63D3827B" w14:textId="3997BA8F" w:rsidR="00A8138F" w:rsidRDefault="00A8138F" w:rsidP="00A8138F">
      <w:pPr>
        <w:pStyle w:val="TextoNormal"/>
      </w:pPr>
      <w:r>
        <w:t>En la misma providencia se acordó, en aplicación de lo dispuesto en el art. 51 de la Ley Orgánica del Tribunal Constitucional (LOTC), dirigir atenta comunicación al Juzgado de Instrucción núm. 15 de Barcelona a fin de que, en plazo no superior a diez días y sin necesidad de remitir las actuaciones por obrar ya en la Sala, emplazar a quienes hubieran sido parte en el procedimiento, excepto la parte recurrente en amparo, para que en el plazo de diez días pudieran comparecer si así lo deseaban.</w:t>
      </w:r>
    </w:p>
    <w:p w14:paraId="0F3A3074" w14:textId="77777777" w:rsidR="00A8138F" w:rsidRDefault="00A8138F" w:rsidP="00A8138F">
      <w:pPr>
        <w:pStyle w:val="TextoNormal"/>
      </w:pPr>
    </w:p>
    <w:p w14:paraId="29FEA5A7" w14:textId="29790A32" w:rsidR="00A8138F" w:rsidRDefault="00A8138F" w:rsidP="00A8138F">
      <w:pPr>
        <w:pStyle w:val="TextoNormal"/>
      </w:pPr>
      <w:r w:rsidRPr="00A8138F">
        <w:rPr>
          <w:rStyle w:val="NumeroAFNegritaCaracter"/>
        </w:rPr>
        <w:t>6</w:t>
      </w:r>
      <w:r>
        <w:t>. Por diligencia de ordenación de 25 de julio de 2023, la Secretaría de Justicia de la Sala Segunda dispuso dar vista de las actuaciones, por un plazo común de veinte días, a la parte recurrente y al Ministerio Fiscal, para que pudieran presentar las alegaciones que estimaran pertinentes.</w:t>
      </w:r>
    </w:p>
    <w:p w14:paraId="562E6997" w14:textId="77777777" w:rsidR="00A8138F" w:rsidRDefault="00A8138F" w:rsidP="00A8138F">
      <w:pPr>
        <w:pStyle w:val="TextoNormal"/>
      </w:pPr>
    </w:p>
    <w:p w14:paraId="35E8AA35" w14:textId="77777777" w:rsidR="00A8138F" w:rsidRDefault="00A8138F" w:rsidP="00A8138F">
      <w:pPr>
        <w:pStyle w:val="TextoNormal"/>
      </w:pPr>
      <w:r w:rsidRPr="00A8138F">
        <w:rPr>
          <w:rStyle w:val="NumeroAFNegritaCaracter"/>
        </w:rPr>
        <w:t>7</w:t>
      </w:r>
      <w:r>
        <w:t>. Por escrito registrado el 22 de septiembre de 2023, el procurador del recurrente en amparo, de conformidad con el art. 52.1 LOTC, puso en conocimiento de este tribunal el estado de las actuaciones contra don Ferran Pàmies Flack, dando traslado del auto de 30 de octubre de 2020 del Juzgado de Instrucción núm. 21 de Barcelona, que acordó la libertad del ahora demandante de amparo en el marco “de unas diligencias ampliatorias de las diligencias previas núm. 656-2020 seguidas ante el Juzgado de Instrucción núm. 13 de Barcelona”. Asimismo, se aportó diligencia de ordenación de 30 de octubre de 2020 dictada por el mismo juzgado de guardia en la que se hacía constar que: “los antecedentes policiales 1151808-2019 de 19-12-2019 se encuentran en el Juzgado de Instrucción núm. 13 de Barcelona […] contando que el detenido Ferran Pàmies Flack lo es por razón del atestado 565684-2020, y que dicho atestado tuvo entrada en el Juzgado de Instrucción núm. 5 de Vic (diligencias previas núm. 212-2020), el cual se inhibió a Barcelona […] al Juzgado de Ins</w:t>
      </w:r>
      <w:r>
        <w:lastRenderedPageBreak/>
        <w:t>trucción núm. 13 de para acumular a su procedimiento diligencias previas núm. 656-2020. De todo ello se desprende que el juzgado que se encuentra ya conociendo de los hechos atribuidos a Ferran Pàmies Flack es el mencionado Juzgado de Instrucción núm. 13 de Barcelona en sus diligencias previas núm. 656-2020”.</w:t>
      </w:r>
    </w:p>
    <w:p w14:paraId="73240F1A" w14:textId="77777777" w:rsidR="00A8138F" w:rsidRDefault="00A8138F" w:rsidP="00A8138F">
      <w:pPr>
        <w:pStyle w:val="TextoNormal"/>
      </w:pPr>
    </w:p>
    <w:p w14:paraId="01417426" w14:textId="4E2C47BD" w:rsidR="00A8138F" w:rsidRDefault="00A8138F" w:rsidP="00A8138F">
      <w:pPr>
        <w:pStyle w:val="TextoNormal"/>
      </w:pPr>
      <w:r>
        <w:t>Sobre la base de tal documentación, la representación procesal del señor Pàmies reiteró en su escrito la invocada ilegalidad de la detención, al no haber acordado el Juzgado de Instrucción núm. 13 de Barcelona ninguna medida cautelar, así como la vulneración del derecho a ser informado de los motivos de la detención, al no haberse procurado a su representado en sede policial acceso a la totalidad de las actuaciones, siendo en el momento en que fue puesto en libertad cuando se le habría dado a conocer el procedimiento que se seguía contra él y el juzgado frente al que dicho procedimiento se estaba desarrollando. En el mismo escrito se informó además a este tribunal del dictado, con fecha de 25 de abril de 2022, de auto de procesamiento del Juzgado de Instrucción núm. 13 de Barcelona en diligencias previas núm. 656-2020-B contra, entre otros, el ahora demandante de amparo.</w:t>
      </w:r>
    </w:p>
    <w:p w14:paraId="1E02AFBD" w14:textId="77777777" w:rsidR="00A8138F" w:rsidRDefault="00A8138F" w:rsidP="00A8138F">
      <w:pPr>
        <w:pStyle w:val="TextoNormal"/>
      </w:pPr>
    </w:p>
    <w:p w14:paraId="2C9040DD" w14:textId="272F2E96" w:rsidR="00A8138F" w:rsidRDefault="00A8138F" w:rsidP="00A8138F">
      <w:pPr>
        <w:pStyle w:val="TextoNormal"/>
      </w:pPr>
      <w:r w:rsidRPr="00A8138F">
        <w:rPr>
          <w:rStyle w:val="NumeroAFNegritaCaracter"/>
        </w:rPr>
        <w:t>8</w:t>
      </w:r>
      <w:r>
        <w:t xml:space="preserve">. Con fecha de registro de 6 de octubre de 2023, el Ministerio Fiscal interesó la estimación parcial del recurso de amparo. En primer lugar, una vez catalogado como “mixto” el recurso de amparo y reconducida la alegada ilegalidad de la detención a una presunta vulneración del art. 17.1 CE (con exclusión de la invocada conculcación del derecho a la tutela judicial efectiva </w:t>
      </w:r>
      <w:r w:rsidRPr="00A8138F">
        <w:rPr>
          <w:i/>
        </w:rPr>
        <w:t>ex</w:t>
      </w:r>
      <w:r>
        <w:t xml:space="preserve"> art. 24.1 CE), la fiscalía concluye que de la simple lectura de su art. 492 puede deducirse fácilmente que nuestra Ley de enjuiciamiento criminal “obliga a los cuerpos y fuerzas de seguridad del Estado a practicar la detención, sin necesidad de decisión previa judicial, en los supuestos previstos en dicha norma”. Además, para el Ministerio Público la detención del señor Pàmies se produjo al amparo del art. 492.4 LECrim, norma “que es más clara todavía en la habilitación de la detención policial, y cuyas previsiones vienen a coincidir sustancialmente con lo ocurrido en la investigación que dio lugar a la detención” del ahora demandante de amparo. La fiscalía solicita por ello la desestimación del motivo de amparo concerniente a la ilegalidad de la detención por no haberse producido la misma previa autorización judicial. Sin embargo, considera que las actuaciones policiales en este caso lesionaron el derecho de defensa del recurrente en amparo en relación con su derecho a la libertad “en cuanto impidieron o dificultaron la impugnación de la legalidad de la detención”.</w:t>
      </w:r>
    </w:p>
    <w:p w14:paraId="1FCFD768" w14:textId="77777777" w:rsidR="00A8138F" w:rsidRDefault="00A8138F" w:rsidP="00A8138F">
      <w:pPr>
        <w:pStyle w:val="TextoNormal"/>
      </w:pPr>
    </w:p>
    <w:p w14:paraId="00093C85" w14:textId="7D635A88" w:rsidR="00A8138F" w:rsidRDefault="00A8138F" w:rsidP="00A8138F">
      <w:pPr>
        <w:pStyle w:val="TextoNormal"/>
      </w:pPr>
      <w:r w:rsidRPr="00A8138F">
        <w:rPr>
          <w:rStyle w:val="NumeroAFNegritaCaracter"/>
        </w:rPr>
        <w:t>9</w:t>
      </w:r>
      <w:r>
        <w:t>. Por providencia de 8 de mayo de 2025, se señaló para deliberación y votación de la presente sentencia el día 12 del mismo mes y año.</w:t>
      </w:r>
    </w:p>
    <w:p w14:paraId="5DB96012" w14:textId="77777777" w:rsidR="00A8138F" w:rsidRDefault="00A8138F" w:rsidP="00A8138F">
      <w:pPr>
        <w:pStyle w:val="TextoNormal"/>
      </w:pPr>
    </w:p>
    <w:p w14:paraId="2F59BDE7" w14:textId="77777777" w:rsidR="00A8138F" w:rsidRDefault="00A8138F" w:rsidP="00A8138F">
      <w:pPr>
        <w:pStyle w:val="TextoNormalNegritaCentrado"/>
        <w:keepNext/>
      </w:pPr>
      <w:r>
        <w:t>II. Fundamentos jurídicos</w:t>
      </w:r>
    </w:p>
    <w:p w14:paraId="536B1A96" w14:textId="4EE7D817" w:rsidR="00A8138F" w:rsidRDefault="00A8138F" w:rsidP="00A8138F">
      <w:pPr>
        <w:pStyle w:val="TextoNormalNegritaCentrado"/>
        <w:keepNext/>
      </w:pPr>
    </w:p>
    <w:p w14:paraId="1E2AC428"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37EFF0DA" w14:textId="77777777" w:rsidR="00A8138F" w:rsidRDefault="00A8138F" w:rsidP="00A8138F">
      <w:pPr>
        <w:pStyle w:val="TextoNormal"/>
      </w:pPr>
    </w:p>
    <w:p w14:paraId="6A4307ED" w14:textId="77777777" w:rsidR="00A8138F" w:rsidRDefault="00A8138F" w:rsidP="00A8138F">
      <w:pPr>
        <w:pStyle w:val="TextoNormal"/>
      </w:pPr>
      <w:r>
        <w:t xml:space="preserve">El recurso de amparo que ahora resolvemos se interpone contra el auto núm. 3/2020, de 29 de octubre de 2020, por el que el Juzgado de Instrucción núm. 15 de Barcelona desestimó la petición de </w:t>
      </w:r>
      <w:r w:rsidRPr="00A8138F">
        <w:rPr>
          <w:i/>
        </w:rPr>
        <w:t>habeas corpus</w:t>
      </w:r>
      <w:r>
        <w:t xml:space="preserve"> formulada por don Ferran Pàmies Flack con motivo de su detención por presunta participación en los disturbios que tuvieron lugar el 18 de diciembre de 2019 en las inmediaciones del estadio Camp Nou de la ciudad de Barcelona, por los que </w:t>
      </w:r>
      <w:r>
        <w:lastRenderedPageBreak/>
        <w:t>la policía le atribuyó un delito de desórdenes públicos, tres de atentado a la autoridad, tres de lesiones y un delito de daños.</w:t>
      </w:r>
    </w:p>
    <w:p w14:paraId="50B78A31" w14:textId="77777777" w:rsidR="00A8138F" w:rsidRDefault="00A8138F" w:rsidP="00A8138F">
      <w:pPr>
        <w:pStyle w:val="TextoNormal"/>
      </w:pPr>
    </w:p>
    <w:p w14:paraId="66435119" w14:textId="77777777" w:rsidR="00A8138F" w:rsidRDefault="00A8138F" w:rsidP="00A8138F">
      <w:pPr>
        <w:pStyle w:val="TextoNormal"/>
      </w:pPr>
      <w:r>
        <w:t>Como se ha expuesto con mayor detalle en los antecedentes de esta sentencia, el ahora demandante de amparo alega la vulneración de su derecho a la libertad personal (art. 17.1 y 3 CE) en conexión con sus derechos a la tutela judicial efectiva y a la defensa (art. 24.1 y 2 CE) con motivo de una detención que considera huérfana de todo fundamento legal. Entiende el señor Pàmies Flack, que siguiéndose una causa contra su persona ante el Juzgado de Instrucción núm. 13 de Barcelona, su detención debiera haberse producido previa autorización judicial de conformidad con los arts. 493 y 494 LECrim. Además, sostiene el recurrente en amparo que, en su actuación, los agentes desconocieron las exigencias del art. 520.2 d) LECrim que requiere, de conformidad con nuestra doctrina constitucional, que se informe al detenido del fundamento de la conexión subjetiva y objetiva con el ilícito que justifica la detención, haciendo referencia en sede policial a las fuentes de prueba que permiten afirmar la concurrencia de indicios.</w:t>
      </w:r>
    </w:p>
    <w:p w14:paraId="58AD6403" w14:textId="77777777" w:rsidR="00A8138F" w:rsidRDefault="00A8138F" w:rsidP="00A8138F">
      <w:pPr>
        <w:pStyle w:val="TextoNormal"/>
      </w:pPr>
    </w:p>
    <w:p w14:paraId="0906EE87" w14:textId="5B1EF9B0" w:rsidR="00A8138F" w:rsidRDefault="00A8138F" w:rsidP="00A8138F">
      <w:pPr>
        <w:pStyle w:val="TextoNormal"/>
      </w:pPr>
      <w:r>
        <w:t xml:space="preserve">Por su parte, el Ministerio Fiscal interesa la estimación parcial del recurso de amparo al entender que efectivamente se privó en sede policial al recurrente de su derecho de acceso a los elementos esenciales para impugnar la legalidad de su detención, lesión en la que habría redundado la desestimación del </w:t>
      </w:r>
      <w:r w:rsidRPr="00A8138F">
        <w:rPr>
          <w:i/>
        </w:rPr>
        <w:t>habeas corpus</w:t>
      </w:r>
      <w:r>
        <w:t xml:space="preserve"> en sede judicial. Sin embargo, el Ministerio Público no considera que la detención de don Ferran Pàmies Flack fuera ilegal por no haber mediado autorización judicial, pues entiende que la habilitación para la detención policial es evidente en el supuesto del art. 492.4 LECrim, que sería el aplicable en el caso concreto.</w:t>
      </w:r>
    </w:p>
    <w:p w14:paraId="7FACE46C" w14:textId="77777777" w:rsidR="00A8138F" w:rsidRDefault="00A8138F" w:rsidP="00A8138F">
      <w:pPr>
        <w:pStyle w:val="TextoNormal"/>
      </w:pPr>
    </w:p>
    <w:p w14:paraId="0C598465" w14:textId="77777777" w:rsidR="00A8138F" w:rsidRDefault="00A8138F" w:rsidP="00A8138F">
      <w:pPr>
        <w:pStyle w:val="TextoNormal"/>
      </w:pPr>
      <w:r w:rsidRPr="00A8138F">
        <w:rPr>
          <w:rStyle w:val="NumeroAFNegritaCaracter"/>
        </w:rPr>
        <w:t>2</w:t>
      </w:r>
      <w:r>
        <w:t xml:space="preserve">. </w:t>
      </w:r>
      <w:r w:rsidRPr="00A8138F">
        <w:rPr>
          <w:i/>
        </w:rPr>
        <w:t>Sobre la concurrencia de un óbice procesal de extemporaneidad. Inadmisión del recurso de amparo</w:t>
      </w:r>
    </w:p>
    <w:p w14:paraId="5D096A43" w14:textId="77777777" w:rsidR="00A8138F" w:rsidRDefault="00A8138F" w:rsidP="00A8138F">
      <w:pPr>
        <w:pStyle w:val="TextoNormal"/>
      </w:pPr>
    </w:p>
    <w:p w14:paraId="25387CED" w14:textId="77777777" w:rsidR="00A8138F" w:rsidRDefault="00A8138F" w:rsidP="00A8138F">
      <w:pPr>
        <w:pStyle w:val="TextoNormal"/>
      </w:pPr>
      <w:r>
        <w:t>Delimitados el objeto del recurso y las pretensiones de las partes, corresponde ahora recordar nuestra reiterada doctrina sobre el examen de los defectos procesales insubsanables una vez superado el trámite de admisibilidad en los procesos constitucionales, pues la apreciación de algún óbice en este momento impide igualmente a este tribunal entrar en el examen del fondo del amparo.</w:t>
      </w:r>
    </w:p>
    <w:p w14:paraId="16E996BB" w14:textId="77777777" w:rsidR="00A8138F" w:rsidRDefault="00A8138F" w:rsidP="00A8138F">
      <w:pPr>
        <w:pStyle w:val="TextoNormal"/>
      </w:pPr>
    </w:p>
    <w:p w14:paraId="59537886" w14:textId="77777777" w:rsidR="00A8138F" w:rsidRDefault="00A8138F" w:rsidP="00A8138F">
      <w:pPr>
        <w:pStyle w:val="TextoNormal"/>
      </w:pPr>
      <w:r>
        <w:t xml:space="preserve">Como recordamos en nuestra reciente STC 11/2025, de 13 de enero, “[c]onforme a constante doctrina constitucional, de la que es representativa la STC 33/2023, de 18 de abril, FJ 2, ‘los defectos insubsanables de que pudiera estar afectado el recurso no resultan subsanados porque haya sido inicialmente admitido a trámite, de forma que la comprobación de los presupuestos procesales para la viabilidad de la acción se pueden volver a abordar o reconsiderar en sentencia, de oficio o a instancia de parte, dando lugar a un pronunciamiento de inadmisión por falta de tales presupuestos, sin que para ello constituya obstáculo el carácter tasado de los pronunciamientos previstos en el art. 53 LOTC’”. Y en el caso de los amparos frente a la desestimación de los procedimientos de </w:t>
      </w:r>
      <w:r w:rsidRPr="00A8138F">
        <w:rPr>
          <w:i/>
        </w:rPr>
        <w:t>habeas corpus</w:t>
      </w:r>
      <w:r>
        <w:t>, es fundamental identificar la naturaleza del recurso a efectos de evitar la inadmisión aparejada a la extemporaneidad por incumplimiento del plazo legalmente establecido, que será uno u otro según se trate de un amparo administrativo (art. 43 LOTC), jurisdiccional (art. 44 LOTC) o de naturaleza mixta.</w:t>
      </w:r>
    </w:p>
    <w:p w14:paraId="262D0FBA" w14:textId="77777777" w:rsidR="00A8138F" w:rsidRDefault="00A8138F" w:rsidP="00A8138F">
      <w:pPr>
        <w:pStyle w:val="TextoNormal"/>
      </w:pPr>
    </w:p>
    <w:p w14:paraId="1D885251" w14:textId="77777777" w:rsidR="00A8138F" w:rsidRDefault="00A8138F" w:rsidP="00A8138F">
      <w:pPr>
        <w:pStyle w:val="TextoNormal"/>
      </w:pPr>
      <w:r>
        <w:lastRenderedPageBreak/>
        <w:t>En los términos de nuestra STC 6/1981, de 16 de marzo, FJ 2, cuando el objeto del amparo es un acto administrativo, las decisiones adoptadas en vía judicial “no han de ser objeto de impugnación por la sola razón de no haber estimado la pretensión deducida por el recurrente. Estas decisiones desestimatorias no alteran la situación jurídica creada por el acto de la administración presuntamente lesivo de un derecho fundamental y no son, por tanto, en sí mismas causas de lesión. Otra interpretación llevaría a entender, en definitiva, que no hay más actos u omisiones atacables en vía de amparo constitucional que los actos u omisión de los órganos judiciales”.</w:t>
      </w:r>
    </w:p>
    <w:p w14:paraId="2A17BB37" w14:textId="77777777" w:rsidR="00A8138F" w:rsidRDefault="00A8138F" w:rsidP="00A8138F">
      <w:pPr>
        <w:pStyle w:val="TextoNormal"/>
      </w:pPr>
    </w:p>
    <w:p w14:paraId="0CCF8B6B" w14:textId="77777777" w:rsidR="00A8138F" w:rsidRDefault="00A8138F" w:rsidP="00A8138F">
      <w:pPr>
        <w:pStyle w:val="TextoNormal"/>
      </w:pPr>
      <w:r>
        <w:t>Como hemos señalado en reiteradas ocasiones, en los recursos de amparo de naturaleza mixta al órgano judicial se le atribuye, además de la no reparación de las lesiones constitucionales imputables a la administración, una vulneración autónoma y directa de otros derechos fundamentales. Se trata de dos pretensiones autónomas que, en abstracto, podrían articularse como dos demandas de amparo (SSTC 68/1983, de 26 de julio, y 51/1984, de 25 de abril). En definitiva, los recursos de amparo mixtos son así denominados “por concurrir en ellos la circunstancia de que la lesión de derechos constitucionales ha de imputarse originariamente a actos provinientes de la administración del Estado, de un lado (art. 43 de la LOTC), y de los órganos integrados en el Poder Judicial, de otro (art. 44 de la LOTC)” (ATC 291/1985, de 8 de mayo, FJ 2).</w:t>
      </w:r>
    </w:p>
    <w:p w14:paraId="36E5CCEB" w14:textId="77777777" w:rsidR="00A8138F" w:rsidRDefault="00A8138F" w:rsidP="00A8138F">
      <w:pPr>
        <w:pStyle w:val="TextoNormal"/>
      </w:pPr>
    </w:p>
    <w:p w14:paraId="1D2633A1" w14:textId="77777777" w:rsidR="00A8138F" w:rsidRDefault="00A8138F" w:rsidP="00A8138F">
      <w:pPr>
        <w:pStyle w:val="TextoNormal"/>
      </w:pPr>
      <w:r>
        <w:t xml:space="preserve">La correcta identificación del objeto del amparo y, por ende, de su naturaleza, se hizo especialmente relevante tras la entrada en vigor de la Ley Orgánica 6/2007, de 24 de mayo, por la que se modificó la Ley Orgánica 2/1979, de 3 de octubre, del Tribunal Constitucional, en tanto que la misma estableció dos plazos distintos para los amparos frente a actos administrativos </w:t>
      </w:r>
      <w:r w:rsidRPr="00A8138F">
        <w:rPr>
          <w:i/>
        </w:rPr>
        <w:t>ex</w:t>
      </w:r>
      <w:r>
        <w:t xml:space="preserve"> art. 43 LOTC (veinte días) y los amparos jurisdiccionales </w:t>
      </w:r>
      <w:r w:rsidRPr="00A8138F">
        <w:rPr>
          <w:i/>
        </w:rPr>
        <w:t>ex</w:t>
      </w:r>
      <w:r>
        <w:t xml:space="preserve"> art. 44 LOTC (treinta días). La cuestión de cuál debía ser entonces el plazo en el caso de los amparos mixtos fue resuelta por el fundamento jurídico 1 de los AATC 172/2009 y 175/2009, ambas resoluciones de 1 de junio, que fijaron un plazo común para ambas pretensiones de treinta días. Por tanto, en aquellos casos en los que no sea posible discernir entre las lesiones atribuidas a la administración y las imputadas a la acción judicial por haberse limitado la resolución del juez o tribunal a no reparar las vulneraciones impetradas en vía administrativa, el plazo para la interposición del amparo ante este tribunal será el de veinte días </w:t>
      </w:r>
      <w:r w:rsidRPr="00A8138F">
        <w:rPr>
          <w:i/>
        </w:rPr>
        <w:t>ex</w:t>
      </w:r>
      <w:r>
        <w:t xml:space="preserve"> art. 43.2 LOTC. Y como advertimos en el ya mencionado ATC 175/2009, de 1 de junio, FJ 2, según consolidada doctrina constitucional, “el plazo para la interposición del recurso de amparo es ‘de caducidad, improrrogable y no susceptible de suspensión y, por consiguiente, de inexorable cumplimiento, que no consiente prolongación artificial ni puede quedar al arbitrio de las partes’”.</w:t>
      </w:r>
    </w:p>
    <w:p w14:paraId="16523BD3" w14:textId="77777777" w:rsidR="00A8138F" w:rsidRDefault="00A8138F" w:rsidP="00A8138F">
      <w:pPr>
        <w:pStyle w:val="TextoNormal"/>
      </w:pPr>
    </w:p>
    <w:p w14:paraId="20C5D202" w14:textId="77777777" w:rsidR="00A8138F" w:rsidRDefault="00A8138F" w:rsidP="00A8138F">
      <w:pPr>
        <w:pStyle w:val="TextoNormal"/>
      </w:pPr>
      <w:r>
        <w:t xml:space="preserve">Como recordamos en el fundamento jurídico 3 a) de la STC 16/2019, de 11 de febrero, “[d]e acuerdo con la doctrina que resulta de las SSTC 13/2017, de 30 de enero, FJ 3, y 21/2018, de 5 de marzo, FJ 2, de la que hace aplicación la más reciente STC 11/2019, de 28 de enero, FJ 2, en los casos donde se alegue de manera exclusiva en la demanda de amparo interpuesta contra la denegación judicial de una solicitud de </w:t>
      </w:r>
      <w:r w:rsidRPr="00A8138F">
        <w:rPr>
          <w:i/>
        </w:rPr>
        <w:t>habeas corpus</w:t>
      </w:r>
      <w:r>
        <w:t xml:space="preserve">, la comisión por la policía de vulneraciones del artículo 17 CE durante el tiempo que dure la situación de detención de una persona, estaremos ante un recurso de amparo del artículo 43.1 LOTC, puesto que se trata de una medida cautelar gubernativa, no judicial. Distinto será el caso en que la demanda alegue, conjuntamente con aquellas, la lesión también de derechos fundamentales en la resolución dictada por el juzgado instructor al resolver la solicitud, sean por </w:t>
      </w:r>
      <w:r>
        <w:lastRenderedPageBreak/>
        <w:t>ejemplo los del artículo 24 CE o, incluso, la lesión el artículo 17.4 CE (supuesto enjuiciado en la STC 21/2018), tratándose entonces de un recurso de amparo ‘mixto’”.</w:t>
      </w:r>
    </w:p>
    <w:p w14:paraId="52D5F6CD" w14:textId="77777777" w:rsidR="00A8138F" w:rsidRDefault="00A8138F" w:rsidP="00A8138F">
      <w:pPr>
        <w:pStyle w:val="TextoNormal"/>
      </w:pPr>
    </w:p>
    <w:p w14:paraId="7BD17B33" w14:textId="77777777" w:rsidR="00A8138F" w:rsidRDefault="00A8138F" w:rsidP="00A8138F">
      <w:pPr>
        <w:pStyle w:val="TextoNormal"/>
      </w:pPr>
      <w:r>
        <w:t xml:space="preserve">Son muchos los supuestos analizados por este tribunal en relación con detenciones cautelares no acordadas judicialmente en los que hemos calificado el correspondiente recurso de amparo como mixto, pues “junto a la queja principal referida a la actuación desarrollada por los agentes de la autoridad durante [la] detención preventiva (arts. 17.2 y 3 y 24.2 CE), la segunda pretensión de amparo, compatible con la anterior, no coincide con la misma pues cuestiona, adicionalmente, la respuesta judicial de fondo e irrecurrible en cuanto denegó la incoación del procedimiento de </w:t>
      </w:r>
      <w:r w:rsidRPr="00A8138F">
        <w:rPr>
          <w:i/>
        </w:rPr>
        <w:t>habeas corpus</w:t>
      </w:r>
      <w:r>
        <w:t xml:space="preserve"> a través del cual el detenido trató de obtener la tutela judicial de sus derechos fundamentales (art. 17.4 CE)” (STC 21/2018, de 5 de marzo, FJ 2). Pero en la ya citada STC 16/2019, de 11 de febrero, FJ 3 c), siguiendo la igualmente mencionada STC 11/2019, de 28 de enero, FJ 2, ya advertimos que en los supuestos de detenciones que no hayan sido ordenadas por la autoridad judicial, sino “de forma autónoma por la unidad policial actuante […] en ningún caso estamos ante actos imputables al órgano judicial, por lo que cualquier vulneración de derechos fundamentales en la que estas actuaciones policiales autónomas incurran no pueden calificarse, en modo alguno, como vulneraciones del artículo 44 LOTC, debiendo quedar subsumidas en el artículo 43 LOTC, por lo que quedan sujetas así al plazo de impugnación que este precepto determina, que es de veinte días”.</w:t>
      </w:r>
    </w:p>
    <w:p w14:paraId="23AD64AA" w14:textId="77777777" w:rsidR="00A8138F" w:rsidRDefault="00A8138F" w:rsidP="00A8138F">
      <w:pPr>
        <w:pStyle w:val="TextoNormal"/>
      </w:pPr>
    </w:p>
    <w:p w14:paraId="0FD2CFF3" w14:textId="77777777" w:rsidR="00A8138F" w:rsidRDefault="00A8138F" w:rsidP="00A8138F">
      <w:pPr>
        <w:pStyle w:val="TextoNormal"/>
      </w:pPr>
      <w:r>
        <w:t xml:space="preserve">En el presente caso, como también ocurriera con el amparo resuelto por la STC 11/2019, de 22 de febrero, las vulneraciones que se denuncian en el escrito de iniciación son las mismas que se ponían de relieve en el escrito de promoción del procedimiento de </w:t>
      </w:r>
      <w:r w:rsidRPr="00A8138F">
        <w:rPr>
          <w:i/>
        </w:rPr>
        <w:t>habeas corpus</w:t>
      </w:r>
      <w:r>
        <w:t>, indicándose en la propia demanda de amparo a la que ahora damos respuesta que el auto núm. 3/2020 del Juzgado de Instrucción núm. 15 de Barcelona no las reparó.</w:t>
      </w:r>
    </w:p>
    <w:p w14:paraId="494D2F44" w14:textId="77777777" w:rsidR="00A8138F" w:rsidRDefault="00A8138F" w:rsidP="00A8138F">
      <w:pPr>
        <w:pStyle w:val="TextoNormal"/>
      </w:pPr>
    </w:p>
    <w:p w14:paraId="4E60BF6A" w14:textId="77777777" w:rsidR="00A8138F" w:rsidRDefault="00A8138F" w:rsidP="00A8138F">
      <w:pPr>
        <w:pStyle w:val="TextoNormal"/>
      </w:pPr>
      <w:r>
        <w:t xml:space="preserve">En el escrito por el que solicitó la incoación del </w:t>
      </w:r>
      <w:r w:rsidRPr="00A8138F">
        <w:rPr>
          <w:i/>
        </w:rPr>
        <w:t>habeas corpus</w:t>
      </w:r>
      <w:r>
        <w:t>, el ahora recurrente en amparo denunció que al haberse procedido a su detención bajo exclusivo criterio policial, sin mediación de autorización judicial por el juzgado que estaba conociendo de su causa, su privación de libertad era ilegal, advirtiendo igualmente que de haberse garantizado su derecho de acceso a los elementos esenciales para impugnar la detención, habría sabido qué juzgado de instrucción de Barcelona estaba instruyendo la causa. Alegaciones que son reproducidas en la demanda de amparo, en la que el señor Pàmies, sin embargo, califica como “mixto” el recurso que ahora resolvemos.</w:t>
      </w:r>
    </w:p>
    <w:p w14:paraId="32EF4E09" w14:textId="77777777" w:rsidR="00A8138F" w:rsidRDefault="00A8138F" w:rsidP="00A8138F">
      <w:pPr>
        <w:pStyle w:val="TextoNormal"/>
      </w:pPr>
    </w:p>
    <w:p w14:paraId="79313945" w14:textId="77777777" w:rsidR="00A8138F" w:rsidRDefault="00A8138F" w:rsidP="00A8138F">
      <w:pPr>
        <w:pStyle w:val="TextoNormal"/>
      </w:pPr>
      <w:r>
        <w:t>El escrito de iniciación, en el apartado de justificación de la especial trascendencia constitucional, fundamenta tal categorización en la concurrencia de dos quejas que le sirven de sustento, una “queja principal referida a la actuación desarrollada por los agentes de la autoridad durante su detención preventiva (arts. 17.1 y 3 y 24.2 CE)”, que entendemos referida a la invocada imposibilidad de acceder a los elementos esenciales para impugnar la detención, y una “segunda pretensión de amparo, compatible con la anterior”, que “no coincide con la misma pues cuestiona, adicionalmente, la legalidad de la detención por cuanto ya había un procedimiento judicial en curso dimanante de las diligencias, sin que dicho juzgado hubiere acordado la detención del actor”.</w:t>
      </w:r>
    </w:p>
    <w:p w14:paraId="6F112691" w14:textId="77777777" w:rsidR="00A8138F" w:rsidRDefault="00A8138F" w:rsidP="00A8138F">
      <w:pPr>
        <w:pStyle w:val="TextoNormal"/>
      </w:pPr>
    </w:p>
    <w:p w14:paraId="7E3BD291" w14:textId="77777777" w:rsidR="00A8138F" w:rsidRDefault="00A8138F" w:rsidP="00A8138F">
      <w:pPr>
        <w:pStyle w:val="TextoNormal"/>
      </w:pPr>
      <w:r>
        <w:t xml:space="preserve">Confunde de este modo el demandante de amparo la naturaleza de la pluralidad de quejas o lesiones invocadas con la naturaleza misma del amparo, cuyo objeto, a pesar de la confusa </w:t>
      </w:r>
      <w:r>
        <w:lastRenderedPageBreak/>
        <w:t xml:space="preserve">redacción del escrito de iniciación, no puede sino circunscribirse a una diversidad de vulneraciones de derechos directamente imputables a la autoridad policial. Como ya se indicó en los antecedentes de hecho de esta sentencia, mediante su recurso de amparo el señor Pàmies Flack denunció conculcado su derecho a la libertad, en conexión con sus derechos a la tutela judicial efectiva y a una defensa con todas las garantías, con motivo de lo que considera fue una privación de libertad ilegal. Ilegalidad en la que se habría incurrido al haberse producido su detención sin mediar previa autorización judicial y al no permitírsele el acceso a todos los elementos esenciales para impugnar la misma. De este modo, estas lesiones son atribuidas solo de forma mediata al Juzgado de Instrucción núm. 15 de Barcelona en tanto que el mismo, al desestimar la petición de </w:t>
      </w:r>
      <w:r w:rsidRPr="00A8138F">
        <w:rPr>
          <w:i/>
        </w:rPr>
        <w:t>habeas corpus</w:t>
      </w:r>
      <w:r>
        <w:t>, y como se advierte expresamente en el propio escrito de iniciación, no reparó “los derechos quebrantados del actor”. Por tanto, ninguna lesión autónoma, distinta de las imputadas a la autoridad policial, es atribuida en la demanda a la resolución del mencionado juzgado de instrucción. Así lo evidencia, como acabamos de apuntar, la demanda de amparo, pero también el escrito de alegaciones presentado por el señor Pàmies Flack de conformidad con el art. 52.1 LOTC donde, reiterando los argumentos aducidos en el escrito de iniciación, denuncia la vulneración de su derecho a la libertad en conexión con sus derechos a la tutela judicial efectiva y a una defensa con todas las garantías, por haber sufrido una detención “carente de fundamento jurídico e infringiendo los límites y requisitos establecidos constitucionalmente”, sin mención siquiera en este caso a la reproducción de tales lesiones por el juzgado de instrucción.</w:t>
      </w:r>
    </w:p>
    <w:p w14:paraId="13DA1885" w14:textId="77777777" w:rsidR="00A8138F" w:rsidRDefault="00A8138F" w:rsidP="00A8138F">
      <w:pPr>
        <w:pStyle w:val="TextoNormal"/>
      </w:pPr>
    </w:p>
    <w:p w14:paraId="45FBD182" w14:textId="0950DB2D" w:rsidR="00A8138F" w:rsidRDefault="00A8138F" w:rsidP="00A8138F">
      <w:pPr>
        <w:pStyle w:val="TextoNormal"/>
      </w:pPr>
      <w:r>
        <w:t>Las consideraciones precedentes permiten concluir con la declaración de inadmisibilidad del presente recurso de amparo conforme a lo previsto en el art. 50.1 a) LOTC en relación con el art. 43.2 LOTC, por incurrir el mismo en extemporaneidad al superar los veinte días previstos para la interposición de la demanda en los casos en los que el amparo se dirige contra actos administrativos. En este caso, habiéndose notificado el auto del Juzgado de Instrucción núm. 15 de Barcelona el día 29 de octubre de 2020, el plazo para la interposición de la demanda finalizaba a las 15:00 horas del día 1 de diciembre de 2020 según el art. 85.2 LOTC, que permite la presentación de los recursos de amparo hasta las 15:00 horas del día hábil siguiente al del vencimiento del plazo de interposición, de acuerdo con lo establecido en el art. 135.1 de la Ley de enjuiciamiento civil. Pues bien, el recurso de amparo tuvo entrada en el registro general de este tribunal en fecha de 14 de diciembre de 2020, esto es, una vez expirado el plazo de caducidad señalado por el art. 43.2 LOTC, por lo que la demanda incurre en el motivo de inadmisión señalado.</w:t>
      </w:r>
    </w:p>
    <w:p w14:paraId="3C8940AD" w14:textId="77777777" w:rsidR="00A8138F" w:rsidRDefault="00A8138F" w:rsidP="00A8138F">
      <w:pPr>
        <w:pStyle w:val="TextoNormal"/>
      </w:pPr>
    </w:p>
    <w:p w14:paraId="43DA5BF8" w14:textId="77777777" w:rsidR="00A8138F" w:rsidRDefault="00A8138F" w:rsidP="00A8138F">
      <w:pPr>
        <w:pStyle w:val="TextoNormalCentrado"/>
        <w:keepNext/>
      </w:pPr>
      <w:r>
        <w:t>FALLO</w:t>
      </w:r>
    </w:p>
    <w:p w14:paraId="5598E020" w14:textId="64DB15A6" w:rsidR="00A8138F" w:rsidRDefault="00A8138F" w:rsidP="00A8138F">
      <w:pPr>
        <w:pStyle w:val="TextoNormalCentrado"/>
        <w:keepNext/>
      </w:pPr>
    </w:p>
    <w:p w14:paraId="184DDBF7" w14:textId="7DFC623A" w:rsidR="00A8138F" w:rsidRDefault="00A8138F" w:rsidP="00A8138F">
      <w:pPr>
        <w:pStyle w:val="TextoNormal"/>
      </w:pPr>
      <w:r>
        <w:t>En atención a todo lo expuesto, el Tribunal Constitucional, por la autoridad que le confiere la Constitución de la Nación española, ha decidido inadmitir el recurso de amparo promovido por don Ferran Pàmies Flack.</w:t>
      </w:r>
    </w:p>
    <w:p w14:paraId="06268099" w14:textId="77777777" w:rsidR="00A8138F" w:rsidRDefault="00A8138F" w:rsidP="00A8138F">
      <w:pPr>
        <w:pStyle w:val="TextoNormal"/>
      </w:pPr>
    </w:p>
    <w:p w14:paraId="785AAD2F" w14:textId="77777777" w:rsidR="00A8138F" w:rsidRDefault="00A8138F" w:rsidP="00A8138F">
      <w:pPr>
        <w:pStyle w:val="TextoNormal"/>
      </w:pPr>
      <w:r>
        <w:t>Publíquese esta sentencia en el “Boletín Oficial del Estado”.</w:t>
      </w:r>
    </w:p>
    <w:p w14:paraId="70145C4B" w14:textId="77777777" w:rsidR="00A8138F" w:rsidRDefault="00A8138F" w:rsidP="00A8138F">
      <w:pPr>
        <w:pStyle w:val="TextoNormal"/>
      </w:pPr>
      <w:r>
        <w:t>Dada en Madrid, a doce de mayo de dos mil veinticinco.</w:t>
      </w:r>
    </w:p>
    <w:p w14:paraId="33C941CE" w14:textId="4AEE44D1" w:rsidR="00A8138F" w:rsidRDefault="00A8138F">
      <w:pPr>
        <w:spacing w:after="160" w:line="278" w:lineRule="auto"/>
        <w:rPr>
          <w:rFonts w:ascii="Times New Roman" w:eastAsia="Times New Roman" w:hAnsi="Times New Roman" w:cs="Times New Roman"/>
          <w:sz w:val="24"/>
          <w:szCs w:val="24"/>
          <w:lang w:eastAsia="es-ES"/>
        </w:rPr>
      </w:pPr>
      <w:r>
        <w:br w:type="page"/>
      </w:r>
    </w:p>
    <w:p w14:paraId="5348925B" w14:textId="77777777" w:rsidR="00A8138F" w:rsidRDefault="00A8138F" w:rsidP="00A8138F">
      <w:pPr>
        <w:pStyle w:val="TtuloResolucin"/>
      </w:pPr>
      <w:bookmarkStart w:id="109" w:name="SENTENCIA_2025_107"/>
      <w:r>
        <w:t>SENTENCIA 107/2025, de 12 de mayo de 2025</w:t>
      </w:r>
    </w:p>
    <w:bookmarkEnd w:id="109"/>
    <w:p w14:paraId="06BBE52D" w14:textId="77777777" w:rsidR="00A8138F" w:rsidRDefault="00A8138F" w:rsidP="00A8138F">
      <w:pPr>
        <w:pStyle w:val="TtuloResolucin"/>
      </w:pPr>
      <w:r>
        <w:t>Sala Primera</w:t>
      </w:r>
    </w:p>
    <w:p w14:paraId="0FE81B59" w14:textId="77777777" w:rsidR="00A8138F" w:rsidRDefault="00A8138F" w:rsidP="00A8138F">
      <w:pPr>
        <w:pStyle w:val="TtuloBOE"/>
      </w:pPr>
      <w:r>
        <w:t>(BOE núm. 146, de 18 de junio de 2025)</w:t>
      </w:r>
    </w:p>
    <w:p w14:paraId="1AD52DFD" w14:textId="77777777" w:rsidR="00A8138F" w:rsidRDefault="00A8138F" w:rsidP="00A8138F">
      <w:pPr>
        <w:pStyle w:val="TextoNormalCentrado"/>
      </w:pPr>
      <w:r>
        <w:t>ECLI:ES:TC:2025:107</w:t>
      </w:r>
    </w:p>
    <w:p w14:paraId="4D462457" w14:textId="16ECF08E" w:rsidR="00A8138F" w:rsidRDefault="00A8138F" w:rsidP="00A8138F">
      <w:pPr>
        <w:pStyle w:val="TextoNormalCentrado"/>
      </w:pPr>
    </w:p>
    <w:p w14:paraId="5D19FDB8" w14:textId="77777777" w:rsidR="00A8138F" w:rsidRDefault="00A8138F" w:rsidP="00A8138F">
      <w:pPr>
        <w:pStyle w:val="SntesisDescriptiva"/>
      </w:pPr>
      <w:r>
        <w:t>Recurso de amparo 5123-2021. Promovido por don Manuel Azuaga Moreno respecto de sendos apartados del dictamen de la Comisión de Investigación constituida en el Congreso de los Diputados en relación con el accidente del vuelo JK5022 de la compañía Spanair acaecido el 20 de agosto de 2008 en el aeropuerto de Madrid-Barajas.</w:t>
      </w:r>
    </w:p>
    <w:p w14:paraId="3930B627" w14:textId="5D1A82D5" w:rsidR="00A8138F" w:rsidRDefault="00A8138F" w:rsidP="00A8138F">
      <w:pPr>
        <w:pStyle w:val="SntesisDescriptiva"/>
      </w:pPr>
    </w:p>
    <w:p w14:paraId="399AE28A" w14:textId="77777777" w:rsidR="00A8138F" w:rsidRDefault="00A8138F" w:rsidP="00A8138F">
      <w:pPr>
        <w:pStyle w:val="SntesisAnaltica"/>
      </w:pPr>
      <w:r>
        <w:t>Supuesta vulneración de los derechos al honor, tutela judicial sin indefensión, de defensa, a ser informado de la acusación y a la prueba, a no declarar contra sí mismo, a no confesarse culpable y a la presunción de inocencia: actuación de la comisión parlamentaria de investigación que no vulneró el derecho del compareciente a ser considerado y tratado como no autor o partícipe en conductas ilícitas (STC 133/2018).</w:t>
      </w:r>
    </w:p>
    <w:p w14:paraId="56AC6009" w14:textId="7D33719F" w:rsidR="00A8138F" w:rsidRDefault="00A8138F" w:rsidP="00A8138F">
      <w:pPr>
        <w:pStyle w:val="SntesisAnaltica"/>
      </w:pPr>
    </w:p>
    <w:p w14:paraId="45DB0419" w14:textId="6FC2739C" w:rsidR="00A8138F" w:rsidRDefault="00A8138F" w:rsidP="00A8138F">
      <w:pPr>
        <w:pStyle w:val="Extracto"/>
      </w:pPr>
      <w:r>
        <w:t>1.</w:t>
      </w:r>
      <w:r>
        <w:tab/>
        <w:t>La actividad parlamentaria de investigación tiene naturaleza estrictamente política. Y en modo alguno puede ser reputada o calificada como función jurisdiccional, que el art. 117.3 CE reserva con carácter exclusivo al ejercicio de los jueces y tribunales (STC 133/2018) [FJ 2].</w:t>
      </w:r>
    </w:p>
    <w:p w14:paraId="74C64155" w14:textId="77777777" w:rsidR="00A8138F" w:rsidRDefault="00A8138F" w:rsidP="00A8138F">
      <w:pPr>
        <w:pStyle w:val="Extracto"/>
      </w:pPr>
    </w:p>
    <w:p w14:paraId="50715CB8" w14:textId="78DC6B72" w:rsidR="00A8138F" w:rsidRDefault="00A8138F" w:rsidP="00A8138F">
      <w:pPr>
        <w:pStyle w:val="Extracto"/>
      </w:pPr>
      <w:r>
        <w:t>2.</w:t>
      </w:r>
      <w:r>
        <w:tab/>
        <w:t>La lesión del derecho a la presunción de inocencia queda consumada si el poder público emite declaraciones que no se limitan a describir un ‘estado de sospecha’ sino que van más allá, reflejando la sensación de que una concreta persona es culpable (SSTC 133/2018 o 77/2023) [FJ 3].</w:t>
      </w:r>
    </w:p>
    <w:p w14:paraId="6286D466" w14:textId="77777777" w:rsidR="00A8138F" w:rsidRDefault="00A8138F" w:rsidP="00A8138F">
      <w:pPr>
        <w:pStyle w:val="Extracto"/>
      </w:pPr>
    </w:p>
    <w:p w14:paraId="392393B1" w14:textId="1F1B15FC" w:rsidR="00A8138F" w:rsidRDefault="00A8138F" w:rsidP="00A8138F">
      <w:pPr>
        <w:pStyle w:val="Extracto"/>
      </w:pPr>
      <w:r>
        <w:t>3.</w:t>
      </w:r>
      <w:r>
        <w:tab/>
        <w:t>El derecho a la presunción de inocencia en su dimensión extraprocesal no se vulnera si las conclusiones parlamentarias identifican a una persona, pero sin atribuirle ningún acto ilícito concreto, ni siquiera ningún acto individualizable, limitándose a declarar una responsabilidad expresamente calificada de política y colectiva de diversas personas (SSTC 133/2018 y 77/2023) [FJ 3].</w:t>
      </w:r>
    </w:p>
    <w:p w14:paraId="110AC1C2" w14:textId="77777777" w:rsidR="00A8138F" w:rsidRDefault="00A8138F" w:rsidP="00A8138F">
      <w:pPr>
        <w:pStyle w:val="Extracto"/>
      </w:pPr>
    </w:p>
    <w:p w14:paraId="7F2869B0" w14:textId="511C67A3" w:rsidR="00A8138F" w:rsidRDefault="00A8138F" w:rsidP="00A8138F">
      <w:pPr>
        <w:pStyle w:val="Extracto"/>
      </w:pPr>
      <w:r>
        <w:t>4.</w:t>
      </w:r>
      <w:r>
        <w:tab/>
        <w:t>La vulneración del derecho al honor (art. 18.1 CE) no requiere la imputación individualizada de ilícitos concretos (que afectaría a la dimensión extraprocesal de la presunción de inocencia); basta cualquier mensaje que, de forma insultante o injuriosa atente injustificadamente contra la reputación de una persona,  haciéndole desmerecer en la consideración ajena al ir en su descrédito o menosprecio (STC 133/2018) [FJ 3].</w:t>
      </w:r>
    </w:p>
    <w:p w14:paraId="03E84D51" w14:textId="77777777" w:rsidR="00A8138F" w:rsidRDefault="00A8138F" w:rsidP="00A8138F">
      <w:pPr>
        <w:pStyle w:val="Extracto"/>
      </w:pPr>
    </w:p>
    <w:p w14:paraId="298133B8" w14:textId="7CDCE16E" w:rsidR="00A8138F" w:rsidRDefault="00A8138F" w:rsidP="00A8138F">
      <w:pPr>
        <w:pStyle w:val="Extracto"/>
      </w:pPr>
      <w:r>
        <w:t>5.</w:t>
      </w:r>
      <w:r>
        <w:tab/>
        <w:t>El hecho de que una persona ya no ocupe ningún puesto de responsabilidad pública ni en el momento de un siniestro investigado, ni en el de la investigación parlamentaria, no impide que le resulte aplicable la doctrina según la cual las personas que ejercen o hubieran ejercido funciones públicas deben soportar un cierto mayor riesgo de injerencia en sus derechos de la personalidad que las personas privadas [FJ 3].</w:t>
      </w:r>
    </w:p>
    <w:p w14:paraId="4ECF1C9C" w14:textId="77777777" w:rsidR="00A8138F" w:rsidRDefault="00A8138F" w:rsidP="00A8138F">
      <w:pPr>
        <w:pStyle w:val="Extracto"/>
      </w:pPr>
    </w:p>
    <w:p w14:paraId="040EE2B0" w14:textId="4A1B3402" w:rsidR="00A8138F" w:rsidRDefault="00A8138F" w:rsidP="00A8138F">
      <w:pPr>
        <w:pStyle w:val="Extracto"/>
      </w:pPr>
      <w:r>
        <w:t>6.</w:t>
      </w:r>
      <w:r>
        <w:tab/>
        <w:t>La actividad investigadora de una Cámara parlamentaria tiene por objeto, no solo el control del Gobierno, sino también la acción de la administración situada bajo su dirección (STC 133/2018) [FJ 3].</w:t>
      </w:r>
    </w:p>
    <w:p w14:paraId="71FCDD7A" w14:textId="77777777" w:rsidR="00A8138F" w:rsidRDefault="00A8138F" w:rsidP="00A8138F">
      <w:pPr>
        <w:pStyle w:val="Extracto"/>
      </w:pPr>
    </w:p>
    <w:p w14:paraId="295410B6" w14:textId="5C94A530" w:rsidR="00A8138F" w:rsidRDefault="00A8138F" w:rsidP="00A8138F">
      <w:pPr>
        <w:pStyle w:val="Extracto"/>
      </w:pPr>
      <w:r>
        <w:t>7.</w:t>
      </w:r>
      <w:r>
        <w:tab/>
        <w:t>La doctrina según la cual el derecho al honor puede proteger frente a las críticas o informaciones acerca de la conducta profesional o laboral de una persona por la relevancia de tal actividad para su reputación no es aplicable a las afirmaciones sobre una responsabilidad política genérica, colectiva, aunque nominativa, y puramente difusa, sin incluir críticas concretas ni individualizables [FJ 3].</w:t>
      </w:r>
    </w:p>
    <w:p w14:paraId="773CC24B" w14:textId="77777777" w:rsidR="00A8138F" w:rsidRDefault="00A8138F" w:rsidP="00A8138F">
      <w:pPr>
        <w:pStyle w:val="Extracto"/>
      </w:pPr>
    </w:p>
    <w:p w14:paraId="447B2201" w14:textId="77777777" w:rsidR="00A8138F" w:rsidRDefault="00A8138F" w:rsidP="00A8138F">
      <w:pPr>
        <w:pStyle w:val="Extracto"/>
      </w:pPr>
    </w:p>
    <w:p w14:paraId="38470789"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66DD56D6" w14:textId="009391A5" w:rsidR="00A8138F" w:rsidRDefault="00A8138F" w:rsidP="00A8138F">
      <w:pPr>
        <w:pStyle w:val="TextoNormal"/>
      </w:pPr>
    </w:p>
    <w:p w14:paraId="3B861D3B" w14:textId="77777777" w:rsidR="00A8138F" w:rsidRDefault="00A8138F" w:rsidP="00A8138F">
      <w:pPr>
        <w:pStyle w:val="TextoNormalCentrado"/>
        <w:keepNext/>
      </w:pPr>
      <w:r>
        <w:t>EN NOMBRE DEL REY</w:t>
      </w:r>
    </w:p>
    <w:p w14:paraId="1AA33557" w14:textId="024210AB" w:rsidR="00A8138F" w:rsidRDefault="00A8138F" w:rsidP="00A8138F">
      <w:pPr>
        <w:pStyle w:val="TextoNormalCentrado"/>
        <w:keepNext/>
      </w:pPr>
    </w:p>
    <w:p w14:paraId="0934634E" w14:textId="77777777" w:rsidR="00A8138F" w:rsidRDefault="00A8138F" w:rsidP="00A8138F">
      <w:pPr>
        <w:pStyle w:val="TextoNormalCentrado"/>
        <w:keepNext/>
      </w:pPr>
    </w:p>
    <w:p w14:paraId="75AE4231" w14:textId="77777777" w:rsidR="00A8138F" w:rsidRDefault="00A8138F" w:rsidP="00A8138F">
      <w:pPr>
        <w:pStyle w:val="TextoNormal"/>
      </w:pPr>
      <w:r>
        <w:t>la siguiente</w:t>
      </w:r>
    </w:p>
    <w:p w14:paraId="78544B56" w14:textId="54DB21D8" w:rsidR="00A8138F" w:rsidRDefault="00A8138F" w:rsidP="00A8138F">
      <w:pPr>
        <w:pStyle w:val="TextoNormal"/>
      </w:pPr>
    </w:p>
    <w:p w14:paraId="1A643645" w14:textId="77777777" w:rsidR="00A8138F" w:rsidRDefault="00A8138F" w:rsidP="00A8138F">
      <w:pPr>
        <w:pStyle w:val="TextoNormalCentrado"/>
        <w:keepNext/>
      </w:pPr>
      <w:r>
        <w:t>SENTENCIA</w:t>
      </w:r>
    </w:p>
    <w:p w14:paraId="54FE2471" w14:textId="34C8E775" w:rsidR="00A8138F" w:rsidRDefault="00A8138F" w:rsidP="00A8138F">
      <w:pPr>
        <w:pStyle w:val="TextoNormalCentrado"/>
        <w:keepNext/>
      </w:pPr>
    </w:p>
    <w:p w14:paraId="64352F09" w14:textId="77777777" w:rsidR="00A8138F" w:rsidRDefault="00A8138F" w:rsidP="00A8138F">
      <w:pPr>
        <w:pStyle w:val="TextoNormal"/>
      </w:pPr>
      <w:r>
        <w:t>En el recurso de amparo núm. 5123-2021, promovido por don Manuel Azuaga Moreno, representado por el procurador de los tribunales don Antonio Ortega Fuentes y bajo la dirección letrada de don Manuel Camas Jimena, contra la conclusión décima y la recomendación novena del dictamen de la Comisión de Investigación relativa al accidente del vuelo JK5022 de Spanair, aprobado por la propia Comisión el 22 de abril de 2021 y por el Pleno del Congreso de los Diputados el 13 de mayo de 2021. Han intervenido el Congreso de los Diputados y el Ministerio Fiscal. Ha sido ponente la magistrada doña Concepción Espejel Jorquera.</w:t>
      </w:r>
    </w:p>
    <w:p w14:paraId="24D2BDE5" w14:textId="6D2CA14E" w:rsidR="00A8138F" w:rsidRDefault="00A8138F" w:rsidP="00A8138F">
      <w:pPr>
        <w:pStyle w:val="TextoNormal"/>
      </w:pPr>
    </w:p>
    <w:p w14:paraId="30BBE0B8" w14:textId="77777777" w:rsidR="00A8138F" w:rsidRDefault="00A8138F" w:rsidP="00A8138F">
      <w:pPr>
        <w:pStyle w:val="TextoNormalNegritaCentrado"/>
        <w:keepNext/>
      </w:pPr>
      <w:r>
        <w:t>I. Antecedentes</w:t>
      </w:r>
    </w:p>
    <w:p w14:paraId="432E25F2" w14:textId="5C728742" w:rsidR="00A8138F" w:rsidRDefault="00A8138F" w:rsidP="00A8138F">
      <w:pPr>
        <w:pStyle w:val="TextoNormalNegritaCentrado"/>
        <w:keepNext/>
      </w:pPr>
    </w:p>
    <w:p w14:paraId="547BB709" w14:textId="079861C8" w:rsidR="00A8138F" w:rsidRDefault="00A8138F" w:rsidP="00A8138F">
      <w:pPr>
        <w:pStyle w:val="TextoNormal"/>
      </w:pPr>
      <w:r w:rsidRPr="00A8138F">
        <w:rPr>
          <w:rStyle w:val="NumeroAFNegritaCaracter"/>
        </w:rPr>
        <w:t>1</w:t>
      </w:r>
      <w:r>
        <w:t>. Mediante escrito presentado en el registro general de este tribunal el día 23 de julio de 2021, don Antonio Ortega Fuentes, procurador de los tribunales, actuando en nombre y representación de don Manuel Azuaga Moreno, interpuso recurso de amparo contra la conclusión décima y la recomendación novena del dictamen de la Comisión de Investigación relativa al accidente del vuelo JK5022 de Spanair, aprobado por la Comisión el 22 de abril de 2021 y por el Pleno del Congreso de los Diputados el 13 de mayo de 2021. La demanda considera que el recurso debe extenderse al “desarrollo de los trabajos” de dicha comisión de investigación y, “en particular la sustanciación de la comparecencia de don Manuel Azuaga Moreno, celebrada el 10 de julio de 2018 y el debate del dictamen en el Pleno de 13 de mayo de 2021”; así como a “la actividad indagatoria de la Cámara sobre el accidente objeto de investigación”.</w:t>
      </w:r>
    </w:p>
    <w:p w14:paraId="26277A55" w14:textId="77777777" w:rsidR="00A8138F" w:rsidRDefault="00A8138F" w:rsidP="00A8138F">
      <w:pPr>
        <w:pStyle w:val="TextoNormal"/>
      </w:pPr>
    </w:p>
    <w:p w14:paraId="339632EB" w14:textId="77777777" w:rsidR="00A8138F" w:rsidRDefault="00A8138F" w:rsidP="00A8138F">
      <w:pPr>
        <w:pStyle w:val="TextoNormal"/>
      </w:pPr>
      <w:r w:rsidRPr="00A8138F">
        <w:rPr>
          <w:rStyle w:val="NumeroAFNegritaCaracter"/>
        </w:rPr>
        <w:t>2</w:t>
      </w:r>
      <w:r>
        <w:t>. Sucintamente expuestos, los hechos en que se basa la pretensión de amparo son los siguientes:</w:t>
      </w:r>
    </w:p>
    <w:p w14:paraId="4ED464B4" w14:textId="77777777" w:rsidR="00A8138F" w:rsidRDefault="00A8138F" w:rsidP="00A8138F">
      <w:pPr>
        <w:pStyle w:val="TextoNormal"/>
      </w:pPr>
    </w:p>
    <w:p w14:paraId="4786A1B1" w14:textId="77777777" w:rsidR="00A8138F" w:rsidRDefault="00A8138F" w:rsidP="00A8138F">
      <w:pPr>
        <w:pStyle w:val="TextoNormal"/>
      </w:pPr>
      <w:r>
        <w:t>a) Durante la XII Legislatura, el 6 de febrero de 2018, y a solicitud de dos grupos parlamentarios (Confederal de Unidos Podemos-En Comú Podem-En Marea y Esquerra Republicana), el Pleno del Congreso de los Diputados acordó la creación de la Comisión de Investigación relativa al accidente del vuelo JK5022 de la compañía aérea Spanair ocurrido casi diez años antes, el 20 de agosto de 2008, en el aeropuerto de Madrid-Barajas. Según el plan de trabajo acordado, la Comisión realizó diferentes comparecencias y examinó diversa documentación con el objeto de investigar y en su caso determinar las causas y las posibles responsabilidades del siniestro, pero sobre todo extraer conocimientos y recomendaciones para prevenir, con el máximo rigor y compromiso, futuros accidentes como el investigado.</w:t>
      </w:r>
    </w:p>
    <w:p w14:paraId="7CC164CA" w14:textId="77777777" w:rsidR="00A8138F" w:rsidRDefault="00A8138F" w:rsidP="00A8138F">
      <w:pPr>
        <w:pStyle w:val="TextoNormal"/>
      </w:pPr>
    </w:p>
    <w:p w14:paraId="23A63B25" w14:textId="77777777" w:rsidR="00A8138F" w:rsidRDefault="00A8138F" w:rsidP="00A8138F">
      <w:pPr>
        <w:pStyle w:val="TextoNormal"/>
      </w:pPr>
      <w:r>
        <w:t>La disolución anticipada de las Cortes Generales impidió a la Comisión finalizar sus trabajos. Sin embargo, ya en la XIV Legislatura, el 15 de abril de 2020, y a propuesta de tres grupos parlamentarios (Socialista, Confederal de Unidas Podemos-En Comú Podem-Galicia en Común y Republicano), el Pleno del Congreso acordó por asentimiento crear una comisión de investigación a fin de “concluir el plan de trabajo” anteriormente “aprobado”, e “investigar y, en su caso, determinar las causas y las responsabilidades del accidente”, extrayendo “conocimientos y recomendaciones para prevenir futuras tragedias” [“Boletín Oficial de las Cortes Generales” (“BOCG”), Congreso de los Diputados, XIV Legislatura, Serie D: General, núm. 72, de 23 de abril de 2020, pág. 2].</w:t>
      </w:r>
    </w:p>
    <w:p w14:paraId="656ABBC3" w14:textId="77777777" w:rsidR="00A8138F" w:rsidRDefault="00A8138F" w:rsidP="00A8138F">
      <w:pPr>
        <w:pStyle w:val="TextoNormal"/>
      </w:pPr>
    </w:p>
    <w:p w14:paraId="2A97E7DF" w14:textId="77777777" w:rsidR="00A8138F" w:rsidRDefault="00A8138F" w:rsidP="00A8138F">
      <w:pPr>
        <w:pStyle w:val="TextoNormal"/>
      </w:pPr>
      <w:r>
        <w:t>b) El recurrente en amparo había sido director general-presidente de la entidad pública empresarial Aeropuertos Españoles y Navegación Aérea (AENA) hasta semanas antes del accidente (desde el 29 de abril de 2004 hasta el 4 de julio de 2008, fecha en que fue cesado “a petición propia” mediante Orden FOM/1973/2008, de 4 de julio, “BOE núm. 165, de 9 de julio de 2008, pág. 30033). Por ello, fue uno de los cuarenta y siete comparecientes convocados ante la Comisión (concretamente, el día 10 de julio de 2018: “BOCG”, Congreso de los Diputados, XII Legislatura, Comisiones de Investigación, núm. 66, págs. 2-16).</w:t>
      </w:r>
    </w:p>
    <w:p w14:paraId="46CCE7EC" w14:textId="77777777" w:rsidR="00A8138F" w:rsidRDefault="00A8138F" w:rsidP="00A8138F">
      <w:pPr>
        <w:pStyle w:val="TextoNormal"/>
      </w:pPr>
    </w:p>
    <w:p w14:paraId="2526BD3B" w14:textId="77777777" w:rsidR="00A8138F" w:rsidRDefault="00A8138F" w:rsidP="00A8138F">
      <w:pPr>
        <w:pStyle w:val="TextoNormal"/>
      </w:pPr>
      <w:r>
        <w:t>c) El 13 de mayo de 2021, el Pleno del Congreso de los Diputados aprobó (con 219 votos a favor, 121 en contra y seis abstenciones) el dictamen final de dicha comisión, publicado junto con un voto particular centrado, precisamente, en el asunto aquí controvertido (“BOCG”, Congreso de los Diputados, XIV Legislatura, Serie D: General, núm. 281, de 27 de mayo de 2021, págs. 17-110). En sus párrafos introductorios y tras recoger las vicisitudes atravesadas por la Comisión, el dictamen constata los siguientes hechos:</w:t>
      </w:r>
    </w:p>
    <w:p w14:paraId="6D07BC97" w14:textId="77777777" w:rsidR="00A8138F" w:rsidRDefault="00A8138F" w:rsidP="00A8138F">
      <w:pPr>
        <w:pStyle w:val="TextoNormal"/>
      </w:pPr>
    </w:p>
    <w:p w14:paraId="441320BD" w14:textId="77777777" w:rsidR="00A8138F" w:rsidRDefault="00A8138F" w:rsidP="00A8138F">
      <w:pPr>
        <w:pStyle w:val="TextoNormal"/>
      </w:pPr>
      <w:r>
        <w:t>“En fecha 20 de agosto de 2008, en el Aeropuerto de Madrid-Barajas, el vuelo JK5022 de la compañía aérea Spanair, a los pocos minutos de intentar su despegue, se estrelló provocando la muerte de 154 personas, resultando heridas además otras 18 personas, todas ellas con secuelas.</w:t>
      </w:r>
    </w:p>
    <w:p w14:paraId="05B74DE5" w14:textId="77777777" w:rsidR="00A8138F" w:rsidRDefault="00A8138F" w:rsidP="00A8138F">
      <w:pPr>
        <w:pStyle w:val="TextoNormal"/>
      </w:pPr>
    </w:p>
    <w:p w14:paraId="37E54E52" w14:textId="77777777" w:rsidR="00A8138F" w:rsidRDefault="00A8138F" w:rsidP="00A8138F">
      <w:pPr>
        <w:pStyle w:val="TextoNormal"/>
      </w:pPr>
      <w:r>
        <w:t>Como consecuencia de estos hechos se abrieron dos investigaciones, judicial y técnica, paralelas:</w:t>
      </w:r>
    </w:p>
    <w:p w14:paraId="0F4C7953" w14:textId="77777777" w:rsidR="00A8138F" w:rsidRDefault="00A8138F" w:rsidP="00A8138F">
      <w:pPr>
        <w:pStyle w:val="TextoNormal"/>
      </w:pPr>
    </w:p>
    <w:p w14:paraId="43BECA2F" w14:textId="77777777" w:rsidR="00A8138F" w:rsidRDefault="00A8138F" w:rsidP="00A8138F">
      <w:pPr>
        <w:pStyle w:val="TextoNormal"/>
      </w:pPr>
      <w:r>
        <w:t>Primera. La llevada a cabo por el Juzgado de Instrucción núm. 11 de Madrid, en el procedimiento núm. 4373-2008. De estas diligencias fueron parte tanto el Ministerio Fiscal, como diferentes víctimas de dicho accidente, así como la Asociación de Afectados del vuelo JK5022. La instrucción tuvo como fin la investigación de las responsabilidades penales a consecuencia de los referidos hechos. Se propuso la apertura de juicio oral contra los dos técnicos de mantenimiento aeronáutico (TMA) por 154 homicidios imprudentes y lesiones imprudentes en 18 supervivientes. En fecha 19 de septiembre de 2012 la Sección Decimoquinta de la Audiencia Provincial de Madrid dictó dos autos acordando el archivo de dichas diligencias, auto que limitaba la responsabilidad a los pilotos fallecidos derivando las causas del accidente al incorrecto proceder de los técnicos de mantenimiento que sin conocer el origen de la avería que presentaba el avión el día de los hechos dieron el visto bueno para su despegue.</w:t>
      </w:r>
    </w:p>
    <w:p w14:paraId="24DD4B74" w14:textId="77777777" w:rsidR="00A8138F" w:rsidRDefault="00A8138F" w:rsidP="00A8138F">
      <w:pPr>
        <w:pStyle w:val="TextoNormal"/>
      </w:pPr>
    </w:p>
    <w:p w14:paraId="4989B520" w14:textId="77777777" w:rsidR="00A8138F" w:rsidRDefault="00A8138F" w:rsidP="00A8138F">
      <w:pPr>
        <w:pStyle w:val="TextoNormal"/>
      </w:pPr>
      <w:r>
        <w:t>Segunda. La investigación oficial llevada a cabo por la CIAIAC [Comisión de Investigación de Accidentes e Incidentes de Aviación Civil] que concluyó con el informe A-32/2008 publicado el 31 de julio de 2011 (escasamente unos meses antes del cierre de la instrucción por el titular del Juzgado [de Instrucción] núm. 11 de Madrid) donde también se refiere la responsabilidad de los pilotos fallecidos y el incorrecto proceder de los técnicos de mantenimiento. Dicho informe no determina la causa del incorrecto funcionamiento del aviso de la configuración de despegue, que supuso en definitiva que el Take Off Warning System (TOWS), no funcionara y que, por tanto, no alertara a la tripulación para abortar la maniobra de despegue y evitar así el siniestro” (</w:t>
      </w:r>
      <w:r w:rsidRPr="00A8138F">
        <w:rPr>
          <w:i/>
        </w:rPr>
        <w:t>ibidem</w:t>
      </w:r>
      <w:r>
        <w:t>, págs. 104-105).</w:t>
      </w:r>
    </w:p>
    <w:p w14:paraId="047A75BD" w14:textId="77777777" w:rsidR="00A8138F" w:rsidRDefault="00A8138F" w:rsidP="00A8138F">
      <w:pPr>
        <w:pStyle w:val="TextoNormal"/>
      </w:pPr>
    </w:p>
    <w:p w14:paraId="5E8296C7" w14:textId="77777777" w:rsidR="00A8138F" w:rsidRDefault="00A8138F" w:rsidP="00A8138F">
      <w:pPr>
        <w:pStyle w:val="TextoNormal"/>
      </w:pPr>
      <w:r>
        <w:t>d) El recurso impugna, concretamente, la conclusión décima y la recomendación novena, incluidas en el apartado final del dictamen (“Conclusiones y recomendaciones”, págs. 104-108), cuyo texto es el siguiente:</w:t>
      </w:r>
    </w:p>
    <w:p w14:paraId="577F9F17" w14:textId="77777777" w:rsidR="00A8138F" w:rsidRDefault="00A8138F" w:rsidP="00A8138F">
      <w:pPr>
        <w:pStyle w:val="TextoNormal"/>
      </w:pPr>
    </w:p>
    <w:p w14:paraId="200CB798" w14:textId="77777777" w:rsidR="00A8138F" w:rsidRDefault="00A8138F" w:rsidP="00A8138F">
      <w:pPr>
        <w:pStyle w:val="TextoNormal"/>
      </w:pPr>
      <w:r>
        <w:t>“[Conclusión] X. Las responsabilidades de gobierno en una democracia no son responsabilidades formales donde pueda bastar una interpretación defensiva de las obligaciones adquiridas ante los representantes de la ciudadanía y la ciudadanía misma.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Con la seguridad en general y, en este caso, con el transporte aéreo en particular, es decir, con el diseño de los elementos sistemáticos de seguridad, los gobernantes tienen que desplegar un cuidado formal y material, como garantes ante la ciudadanía de dichos protocolos y desde luego proveer su cumplimiento efectivo. Pues bien,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w:t>
      </w:r>
    </w:p>
    <w:p w14:paraId="51689D65" w14:textId="77777777" w:rsidR="00A8138F" w:rsidRDefault="00A8138F" w:rsidP="00A8138F">
      <w:pPr>
        <w:pStyle w:val="TextoNormal"/>
      </w:pPr>
    </w:p>
    <w:p w14:paraId="67EACB1E" w14:textId="77777777" w:rsidR="00A8138F" w:rsidRDefault="00A8138F" w:rsidP="00A8138F">
      <w:pPr>
        <w:pStyle w:val="TextoNormal"/>
      </w:pPr>
      <w:r>
        <w:t>Los responsables en la fecha del accidente que ocuparon puesto de responsabilidad y por tanto asumían decisiones que dentro del sistema se tomaron en el momento del siniestro fueron:</w:t>
      </w:r>
    </w:p>
    <w:p w14:paraId="69370E63" w14:textId="77777777" w:rsidR="00A8138F" w:rsidRDefault="00A8138F" w:rsidP="00A8138F">
      <w:pPr>
        <w:pStyle w:val="TextoNormal"/>
      </w:pPr>
    </w:p>
    <w:p w14:paraId="490864DB" w14:textId="77777777" w:rsidR="00A8138F" w:rsidRDefault="00A8138F" w:rsidP="00A8138F">
      <w:pPr>
        <w:pStyle w:val="TextoNormal"/>
      </w:pPr>
      <w:r>
        <w:t>— Doña Magdalena Álvarez Arza. Ministra de Fomento.</w:t>
      </w:r>
    </w:p>
    <w:p w14:paraId="653E061B" w14:textId="77777777" w:rsidR="00A8138F" w:rsidRDefault="00A8138F" w:rsidP="00A8138F">
      <w:pPr>
        <w:pStyle w:val="TextoNormal"/>
      </w:pPr>
    </w:p>
    <w:p w14:paraId="637AE8BC" w14:textId="77777777" w:rsidR="00A8138F" w:rsidRDefault="00A8138F" w:rsidP="00A8138F">
      <w:pPr>
        <w:pStyle w:val="TextoNormal"/>
      </w:pPr>
      <w:r>
        <w:t>— Don Luis Fernando Palao Taboada. Secretario general de Transportes y secretario de Estado.</w:t>
      </w:r>
    </w:p>
    <w:p w14:paraId="007D2834" w14:textId="77777777" w:rsidR="00A8138F" w:rsidRDefault="00A8138F" w:rsidP="00A8138F">
      <w:pPr>
        <w:pStyle w:val="TextoNormal"/>
      </w:pPr>
    </w:p>
    <w:p w14:paraId="1A21B773" w14:textId="77777777" w:rsidR="00A8138F" w:rsidRDefault="00A8138F" w:rsidP="00A8138F">
      <w:pPr>
        <w:pStyle w:val="TextoNormal"/>
      </w:pPr>
      <w:r>
        <w:t>— Don Manuel Bautista Pérez. Director general de Aviación Civil.</w:t>
      </w:r>
    </w:p>
    <w:p w14:paraId="594322EE" w14:textId="77777777" w:rsidR="00A8138F" w:rsidRDefault="00A8138F" w:rsidP="00A8138F">
      <w:pPr>
        <w:pStyle w:val="TextoNormal"/>
      </w:pPr>
    </w:p>
    <w:p w14:paraId="337EDD61" w14:textId="77777777" w:rsidR="00A8138F" w:rsidRDefault="00A8138F" w:rsidP="00A8138F">
      <w:pPr>
        <w:pStyle w:val="TextoNormal"/>
      </w:pPr>
      <w:r>
        <w:t>— Don Luis Rodríguez Gil. Director general de Aeronaves de la Dirección General de Aviación Civil.</w:t>
      </w:r>
    </w:p>
    <w:p w14:paraId="7C48F1AA" w14:textId="77777777" w:rsidR="00A8138F" w:rsidRDefault="00A8138F" w:rsidP="00A8138F">
      <w:pPr>
        <w:pStyle w:val="TextoNormal"/>
      </w:pPr>
    </w:p>
    <w:p w14:paraId="455FCA1A" w14:textId="77777777" w:rsidR="00A8138F" w:rsidRDefault="00A8138F" w:rsidP="00A8138F">
      <w:pPr>
        <w:pStyle w:val="TextoNormal"/>
      </w:pPr>
      <w:r>
        <w:t>— Don Enrique Sanmartín Aulet. Director general de Aviación Civil.</w:t>
      </w:r>
    </w:p>
    <w:p w14:paraId="53463A89" w14:textId="77777777" w:rsidR="00A8138F" w:rsidRDefault="00A8138F" w:rsidP="00A8138F">
      <w:pPr>
        <w:pStyle w:val="TextoNormal"/>
      </w:pPr>
    </w:p>
    <w:p w14:paraId="6C523153" w14:textId="77777777" w:rsidR="00A8138F" w:rsidRDefault="00A8138F" w:rsidP="00A8138F">
      <w:pPr>
        <w:pStyle w:val="TextoNormal"/>
      </w:pPr>
      <w:r>
        <w:t>— Don Justo Sánchez Marín. Inspector de prórroga del certificado de aeronavegabilidad.</w:t>
      </w:r>
    </w:p>
    <w:p w14:paraId="7FD0CA4A" w14:textId="77777777" w:rsidR="00A8138F" w:rsidRDefault="00A8138F" w:rsidP="00A8138F">
      <w:pPr>
        <w:pStyle w:val="TextoNormal"/>
      </w:pPr>
    </w:p>
    <w:p w14:paraId="3D002AAB" w14:textId="77777777" w:rsidR="00A8138F" w:rsidRDefault="00A8138F" w:rsidP="00A8138F">
      <w:pPr>
        <w:pStyle w:val="TextoNormal"/>
      </w:pPr>
      <w:r>
        <w:t>— Don Miguel Ángel Oleaga Zufiria. Director del Aeropuerto de Madrid Barajas.</w:t>
      </w:r>
    </w:p>
    <w:p w14:paraId="05E05997" w14:textId="77777777" w:rsidR="00A8138F" w:rsidRDefault="00A8138F" w:rsidP="00A8138F">
      <w:pPr>
        <w:pStyle w:val="TextoNormal"/>
      </w:pPr>
    </w:p>
    <w:p w14:paraId="2FBB8AF0" w14:textId="77777777" w:rsidR="00A8138F" w:rsidRDefault="00A8138F" w:rsidP="00A8138F">
      <w:pPr>
        <w:pStyle w:val="TextoNormal"/>
      </w:pPr>
      <w:r>
        <w:t>— Doña Carmen Librero Pintado. Directora de Navegación Aérea-AENA.</w:t>
      </w:r>
    </w:p>
    <w:p w14:paraId="2030625F" w14:textId="77777777" w:rsidR="00A8138F" w:rsidRDefault="00A8138F" w:rsidP="00A8138F">
      <w:pPr>
        <w:pStyle w:val="TextoNormal"/>
      </w:pPr>
    </w:p>
    <w:p w14:paraId="13645733" w14:textId="77777777" w:rsidR="00A8138F" w:rsidRDefault="00A8138F" w:rsidP="00A8138F">
      <w:pPr>
        <w:pStyle w:val="TextoNormal"/>
      </w:pPr>
      <w:r>
        <w:t>— Don Antonio Fernández Serrano. Jefe de prensa del Ministerio de Fomento.</w:t>
      </w:r>
    </w:p>
    <w:p w14:paraId="3110962B" w14:textId="77777777" w:rsidR="00A8138F" w:rsidRDefault="00A8138F" w:rsidP="00A8138F">
      <w:pPr>
        <w:pStyle w:val="TextoNormal"/>
      </w:pPr>
    </w:p>
    <w:p w14:paraId="7D45C2B1" w14:textId="77777777" w:rsidR="00A8138F" w:rsidRDefault="00A8138F" w:rsidP="00A8138F">
      <w:pPr>
        <w:pStyle w:val="TextoNormal"/>
      </w:pPr>
      <w:r>
        <w:t>— Don Manuel Azuaga Moreno. Presidente de AENA 2004/2008.</w:t>
      </w:r>
    </w:p>
    <w:p w14:paraId="6E373F70" w14:textId="77777777" w:rsidR="00A8138F" w:rsidRDefault="00A8138F" w:rsidP="00A8138F">
      <w:pPr>
        <w:pStyle w:val="TextoNormal"/>
      </w:pPr>
    </w:p>
    <w:p w14:paraId="33692907" w14:textId="77777777" w:rsidR="00A8138F" w:rsidRDefault="00A8138F" w:rsidP="00A8138F">
      <w:pPr>
        <w:pStyle w:val="TextoNormal"/>
      </w:pPr>
      <w:r>
        <w:t>— Don Javier Mendoza Sánchez. Director de operaciones de Spanair.</w:t>
      </w:r>
    </w:p>
    <w:p w14:paraId="13598BDC" w14:textId="77777777" w:rsidR="00A8138F" w:rsidRDefault="00A8138F" w:rsidP="00A8138F">
      <w:pPr>
        <w:pStyle w:val="TextoNormal"/>
      </w:pPr>
    </w:p>
    <w:p w14:paraId="725A446D" w14:textId="77777777" w:rsidR="00A8138F" w:rsidRDefault="00A8138F" w:rsidP="00A8138F">
      <w:pPr>
        <w:pStyle w:val="TextoNormal"/>
      </w:pPr>
      <w:r>
        <w:t>— Don Felipe García Rodríguez. TMA que despachó el avión el 20 de agosto de 2008.</w:t>
      </w:r>
    </w:p>
    <w:p w14:paraId="7784FACD" w14:textId="77777777" w:rsidR="00A8138F" w:rsidRDefault="00A8138F" w:rsidP="00A8138F">
      <w:pPr>
        <w:pStyle w:val="TextoNormal"/>
      </w:pPr>
    </w:p>
    <w:p w14:paraId="00D1867E" w14:textId="77777777" w:rsidR="00A8138F" w:rsidRDefault="00A8138F" w:rsidP="00A8138F">
      <w:pPr>
        <w:pStyle w:val="TextoNormal"/>
      </w:pPr>
      <w:r>
        <w:t>— Don Jesús Torroba Aylagas. Jefe base de mantenimiento de Spanair-Madrid.</w:t>
      </w:r>
    </w:p>
    <w:p w14:paraId="752ED3A2" w14:textId="77777777" w:rsidR="00A8138F" w:rsidRDefault="00A8138F" w:rsidP="00A8138F">
      <w:pPr>
        <w:pStyle w:val="TextoNormal"/>
      </w:pPr>
    </w:p>
    <w:p w14:paraId="01287460" w14:textId="77777777" w:rsidR="00A8138F" w:rsidRDefault="00A8138F" w:rsidP="00A8138F">
      <w:pPr>
        <w:pStyle w:val="TextoNormal"/>
      </w:pPr>
      <w:r>
        <w:t>— Don Pedro Argüelles Salaverria. Presidente de Boeing España 2008.</w:t>
      </w:r>
    </w:p>
    <w:p w14:paraId="4B37C4E5" w14:textId="77777777" w:rsidR="00A8138F" w:rsidRDefault="00A8138F" w:rsidP="00A8138F">
      <w:pPr>
        <w:pStyle w:val="TextoNormal"/>
      </w:pPr>
    </w:p>
    <w:p w14:paraId="668CC48A" w14:textId="77777777" w:rsidR="00A8138F" w:rsidRDefault="00A8138F" w:rsidP="00A8138F">
      <w:pPr>
        <w:pStyle w:val="TextoNormal"/>
      </w:pPr>
      <w:r>
        <w:t>— Doña Isabel Maestre Moreno. Directora de la Agencia Estatal de Seguridad Aérea (AESA).</w:t>
      </w:r>
    </w:p>
    <w:p w14:paraId="2078708A" w14:textId="77777777" w:rsidR="00A8138F" w:rsidRDefault="00A8138F" w:rsidP="00A8138F">
      <w:pPr>
        <w:pStyle w:val="TextoNormal"/>
      </w:pPr>
    </w:p>
    <w:p w14:paraId="6931628F" w14:textId="77777777" w:rsidR="00A8138F" w:rsidRDefault="00A8138F" w:rsidP="00A8138F">
      <w:pPr>
        <w:pStyle w:val="TextoNormal"/>
      </w:pPr>
      <w:r>
        <w:t>— Don Francisco Javier Soto Rodríguez. Secretario de la CIAIAC 2002/2013.</w:t>
      </w:r>
    </w:p>
    <w:p w14:paraId="3B28B2F3" w14:textId="77777777" w:rsidR="00A8138F" w:rsidRDefault="00A8138F" w:rsidP="00A8138F">
      <w:pPr>
        <w:pStyle w:val="TextoNormal"/>
      </w:pPr>
    </w:p>
    <w:p w14:paraId="157BA875" w14:textId="77777777" w:rsidR="00A8138F" w:rsidRDefault="00A8138F" w:rsidP="00A8138F">
      <w:pPr>
        <w:pStyle w:val="TextoNormal"/>
      </w:pPr>
      <w:r>
        <w:t>— Doña Rosa María Arnaldo Valdés. Presidenta de la CIAIAC 2010/2016.</w:t>
      </w:r>
    </w:p>
    <w:p w14:paraId="73D23D0F" w14:textId="77777777" w:rsidR="00A8138F" w:rsidRDefault="00A8138F" w:rsidP="00A8138F">
      <w:pPr>
        <w:pStyle w:val="TextoNormal"/>
      </w:pPr>
    </w:p>
    <w:p w14:paraId="5B52F55D" w14:textId="77777777" w:rsidR="00A8138F" w:rsidRDefault="00A8138F" w:rsidP="00A8138F">
      <w:pPr>
        <w:pStyle w:val="TextoNormal"/>
      </w:pPr>
      <w:r>
        <w:t>— Mapfre Compañía, aseguradora de Spanair”.</w:t>
      </w:r>
    </w:p>
    <w:p w14:paraId="2F0367E8" w14:textId="77777777" w:rsidR="00A8138F" w:rsidRDefault="00A8138F" w:rsidP="00A8138F">
      <w:pPr>
        <w:pStyle w:val="TextoNormal"/>
      </w:pPr>
    </w:p>
    <w:p w14:paraId="442E9EB8" w14:textId="77777777" w:rsidR="00A8138F" w:rsidRDefault="00A8138F" w:rsidP="00A8138F">
      <w:pPr>
        <w:pStyle w:val="TextoNormal"/>
      </w:pPr>
      <w:r>
        <w:t>“[Recomendación] Novena.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w:t>
      </w:r>
      <w:r w:rsidRPr="00A8138F">
        <w:rPr>
          <w:i/>
        </w:rPr>
        <w:t xml:space="preserve"> (loc. c</w:t>
      </w:r>
      <w:r>
        <w:t>it.).</w:t>
      </w:r>
    </w:p>
    <w:p w14:paraId="4B301700" w14:textId="77777777" w:rsidR="00A8138F" w:rsidRDefault="00A8138F" w:rsidP="00A8138F">
      <w:pPr>
        <w:pStyle w:val="TextoNormal"/>
      </w:pPr>
    </w:p>
    <w:p w14:paraId="5EA93972" w14:textId="62A42542" w:rsidR="00A8138F" w:rsidRDefault="00A8138F" w:rsidP="00A8138F">
      <w:pPr>
        <w:pStyle w:val="TextoNormal"/>
      </w:pPr>
      <w:r>
        <w:t>e) El escrito incorpora una nota elaborada por el letrado de la Comisión, en el que expresamente advierte de que las dos disposiciones aquí impugnadas “resultan jurídicamente muy cuestionables”, por lo que “se aconseja su supresión o, alternativamente, una modificación sustancial de su actual redacción”. En particular, a su juicio, la conclusión décima suscita “el problema fundamental de ignorar, y consecuentemente contravenir, lo resuelto” por este tribunal en su STC 133/2018, de 13 de diciembre, cuyo contenido recuerda y estima, “</w:t>
      </w:r>
      <w:r w:rsidRPr="00A8138F">
        <w:rPr>
          <w:i/>
        </w:rPr>
        <w:t>mutatis mutandis</w:t>
      </w:r>
      <w:r>
        <w:t>, aplicable” a este supuesto.</w:t>
      </w:r>
    </w:p>
    <w:p w14:paraId="146BE306" w14:textId="77777777" w:rsidR="00A8138F" w:rsidRDefault="00A8138F" w:rsidP="00A8138F">
      <w:pPr>
        <w:pStyle w:val="TextoNormal"/>
      </w:pPr>
    </w:p>
    <w:p w14:paraId="17F12BD7" w14:textId="77777777" w:rsidR="00A8138F" w:rsidRDefault="00A8138F" w:rsidP="00A8138F">
      <w:pPr>
        <w:pStyle w:val="TextoNormal"/>
      </w:pPr>
      <w:r w:rsidRPr="00A8138F">
        <w:rPr>
          <w:rStyle w:val="NumeroAFNegritaCaracter"/>
        </w:rPr>
        <w:t>3</w:t>
      </w:r>
      <w:r>
        <w:t>. La demanda de amparo alega que las mencionadas “decisiones y actos sin valor de ley” parlamentarios han vulnerado el derecho fundamental al honor (art. 18.1 CE), así como los derechos “a la tutela judicial efectiva, sin que en ningún caso pueda producirse indefensión (art. 24.1 CE), en relación con el derecho a un proceso con todas las garantías (art. 24.2 CE), y el derecho a la presunción de inocencia (art. 24.2 CE), en su dimensión extraprocesal”, todos ellos del demandante de amparo.</w:t>
      </w:r>
    </w:p>
    <w:p w14:paraId="146A5C8D" w14:textId="77777777" w:rsidR="00A8138F" w:rsidRDefault="00A8138F" w:rsidP="00A8138F">
      <w:pPr>
        <w:pStyle w:val="TextoNormal"/>
      </w:pPr>
    </w:p>
    <w:p w14:paraId="20B9BC8B" w14:textId="77777777" w:rsidR="00A8138F" w:rsidRDefault="00A8138F" w:rsidP="00A8138F">
      <w:pPr>
        <w:pStyle w:val="TextoNormal"/>
      </w:pPr>
      <w:r>
        <w:t>a) Expone que “[l]as conclusiones y recomendaciones frente a las que se solicita amparo expresamente declaran” al demandante (junto a otros) como “responsable del accidente y sus consecuencias, por no desplegar un cuidado formal y material de los protocolos de seguridad y no proveer su cumplimiento efectivo”, atribuyéndoles “un fallo sistémico de las medidas de seguridad, por no haber establecido, evaluado, evolucionado, comprobado y corregido las debilidades del sistema y haber asumido decisiones, previas y posteriores al accidente, dentro del sistema, ajenas al cumplimiento de los protocolos”. Al calificar sus conductas “como negligentes” y recomendarse la remisión de tal resultado a la Fiscalía General del Estado, se ha excedido el “marco propio de la actividad investigadora parlamentaria” y se “ha lesionado gravemente su honor personal y profesional”. En efecto, la publicación del nombre del ahora recurrente “como responsable del accidente supone un ataque a su reputación personal y profesional”, lesionando así su derecho al honor que, según la jurisprudencia de este tribunal, ampara en nuestro sistema de derechos fundamentales la dimensión extraprocesal de la presunción de inocencia.</w:t>
      </w:r>
    </w:p>
    <w:p w14:paraId="0AF5D07D" w14:textId="77777777" w:rsidR="00A8138F" w:rsidRDefault="00A8138F" w:rsidP="00A8138F">
      <w:pPr>
        <w:pStyle w:val="TextoNormal"/>
      </w:pPr>
    </w:p>
    <w:p w14:paraId="36B1CF37" w14:textId="77777777" w:rsidR="00A8138F" w:rsidRDefault="00A8138F" w:rsidP="00A8138F">
      <w:pPr>
        <w:pStyle w:val="TextoNormal"/>
      </w:pPr>
      <w:r>
        <w:t>b) La lesión se extiende al “desarrollo de los trabajos” de la Comisión de Investigación y, en particular, a la comparecencia de don Manuel Azuaga Moreno, celebrada el 10 de julio de 2018, y el debate del dictamen en el Pleno del Congreso de los Diputados de 13 de mayo de 2021. Con específica referencia a la primera, se reprocha la ausencia de advertencia o garantías acerca de que sus declaraciones pudieran ser utilizadas para imputarle individualmente alguna responsabilidad, por lo que “no fue protegido su honor, negándosele la posibilidad de defenderse, de conocer qué se le imputaba, de no contestar, de no verse perjudicado por su propia declaración”.</w:t>
      </w:r>
    </w:p>
    <w:p w14:paraId="3AAE5779" w14:textId="77777777" w:rsidR="00A8138F" w:rsidRDefault="00A8138F" w:rsidP="00A8138F">
      <w:pPr>
        <w:pStyle w:val="TextoNormal"/>
      </w:pPr>
    </w:p>
    <w:p w14:paraId="3D972902" w14:textId="77777777" w:rsidR="00A8138F" w:rsidRDefault="00A8138F" w:rsidP="00A8138F">
      <w:pPr>
        <w:pStyle w:val="TextoNormal"/>
      </w:pPr>
      <w:r>
        <w:t>Subraya, a este respecto, que “[s]obre el contenido de su comparecencia, sobre el tema que debería versar su testimonio” (fórmula esta última que recoge casi literalmente lo exigido por el artículo 2.1 d) de la Ley Orgánica 5/1984, de 24 de mayo, de comparecencia ante las comisiones de investigación constituidas en las Cortes Generales) “no recibió ninguna información más allá del propio nombre de la Comisión”. Y recoge que varias expresiones que se le dirigieron durante la comparecencia atentaron, a su juicio, contra los derechos del recurrente (así, por ejemplo: “la desmemoria es un buen instrumento de defensa” o “su gestión desembocó en una catástrofe que acabó con 154 fallecidos”).</w:t>
      </w:r>
    </w:p>
    <w:p w14:paraId="6CD81E7C" w14:textId="77777777" w:rsidR="00A8138F" w:rsidRDefault="00A8138F" w:rsidP="00A8138F">
      <w:pPr>
        <w:pStyle w:val="TextoNormal"/>
      </w:pPr>
    </w:p>
    <w:p w14:paraId="543C8263" w14:textId="77777777" w:rsidR="00A8138F" w:rsidRDefault="00A8138F" w:rsidP="00A8138F">
      <w:pPr>
        <w:pStyle w:val="TextoNormal"/>
      </w:pPr>
      <w:r>
        <w:t>En definitiva, “no se advirtió al compareciente con una mínima precisión sobre cuál era el objeto de su declaración, [que] solo de forma genérica se desprende de la denominación de la Comisión; no se le aclaró que ese objeto era determinar causas y responsables, no se [le] advirtió […] que podía ser declarado responsable de los hechos, no se le advirtió que tenía derecho a no contestar y no fue protegido en su honor por la presidenta de la mesa, ni por los miembros de la Comisión […] se respetó su honor”. Todo ello asimilaría su interrogatorio al que se haría “a un imputado en una investigación penal, pero carente de garantías”.</w:t>
      </w:r>
    </w:p>
    <w:p w14:paraId="5C7143DD" w14:textId="77777777" w:rsidR="00A8138F" w:rsidRDefault="00A8138F" w:rsidP="00A8138F">
      <w:pPr>
        <w:pStyle w:val="TextoNormal"/>
      </w:pPr>
    </w:p>
    <w:p w14:paraId="07A1D377" w14:textId="77777777" w:rsidR="00A8138F" w:rsidRDefault="00A8138F" w:rsidP="00A8138F">
      <w:pPr>
        <w:pStyle w:val="TextoNormal"/>
      </w:pPr>
      <w:r>
        <w:t>Igualmente se consideran “afrentosas a su honor” las manifestaciones realizadas en el debate del dictamen. Sobre este punto no se aprecia ningún desarrollo específico en la demanda, más allá de recoger algunas afirmaciones genéricas como “se trata […] de hacer justicia”; “el dictamen […] determina las responsabilidades y sobre todo deja claro quiénes no fueron responsables”; la posibilidad de elegir “entre salvar vidas o el honor de políticos responsables”, o la reiterada mención al lema “Verdad, Justicia, Reparación y Memoria” (que no oculta la “intención de hacer justicia, aunque no sea su competencia y suponga la vulneración del honor de personas”).</w:t>
      </w:r>
    </w:p>
    <w:p w14:paraId="635E8C3D" w14:textId="77777777" w:rsidR="00A8138F" w:rsidRDefault="00A8138F" w:rsidP="00A8138F">
      <w:pPr>
        <w:pStyle w:val="TextoNormal"/>
      </w:pPr>
    </w:p>
    <w:p w14:paraId="1FA46679" w14:textId="77777777" w:rsidR="00A8138F" w:rsidRDefault="00A8138F" w:rsidP="00A8138F">
      <w:pPr>
        <w:pStyle w:val="TextoNormal"/>
      </w:pPr>
      <w:r>
        <w:t>c) Asimismo, se considera que “[l]a actividad indagatoria de la Cámara sobre el accidente objeto de investigación” contradijo resoluciones judiciales firmes e invadió competencias de los órganos jurisdiccionales o administrativos, excediendo “los límites de la división de poderes” y vulnerando los derechos del recurrente a la defensa, a un proceso con todas las garantías y a la presunción de inocencia. Supuso, en consecuencia, “un ataque a su honor”.</w:t>
      </w:r>
    </w:p>
    <w:p w14:paraId="5B76294E" w14:textId="77777777" w:rsidR="00A8138F" w:rsidRDefault="00A8138F" w:rsidP="00A8138F">
      <w:pPr>
        <w:pStyle w:val="TextoNormal"/>
      </w:pPr>
    </w:p>
    <w:p w14:paraId="56EA57AB" w14:textId="77777777" w:rsidR="00A8138F" w:rsidRDefault="00A8138F" w:rsidP="00A8138F">
      <w:pPr>
        <w:pStyle w:val="TextoNormal"/>
      </w:pPr>
      <w:r>
        <w:t>A tal efecto, recoge las ya mencionadas referencias a las investigaciones judicial y técnica para subrayar que algunas conclusiones del dictamen —no impugnadas en este procedimiento— parecen contradecir los hechos recogidos en los dos autos dictados el 19 de septiembre de 2012 por la Sección Decimoquinta de la Audiencia Provincial de Madrid, en recursos de apelación 155-2012 (ECLI:ES:APM:2012:12586A) y 156-2012 (ECLI:ES:APM:2012:12585A) y ya firmes, que acordaron el sobreseimiento libre y archivo de las actuaciones penales incoadas a raíz del accidente, sin afectar en ningún momento al hoy solicitante de amparo. Concretamente, afirma la demanda que, “[p]ese a la claridad de las resoluciones judiciales mencionadas y en contra de ellas, la Comisión de Investigación determina unos nuevos hechos, sin explicación, ni motivación, ni prueba alguna y sin posibilidad de contradicción por el compareciente”.</w:t>
      </w:r>
    </w:p>
    <w:p w14:paraId="56F097D3" w14:textId="77777777" w:rsidR="00A8138F" w:rsidRDefault="00A8138F" w:rsidP="00A8138F">
      <w:pPr>
        <w:pStyle w:val="TextoNormal"/>
      </w:pPr>
    </w:p>
    <w:p w14:paraId="292E05ED" w14:textId="77777777" w:rsidR="00A8138F" w:rsidRDefault="00A8138F" w:rsidP="00A8138F">
      <w:pPr>
        <w:pStyle w:val="TextoNormal"/>
      </w:pPr>
      <w:r>
        <w:t>Por todo ello, la demanda solicita que se otorgue el amparo solicitado y, en su virtud, se declaren vulnerados los derechos del recurrente al honor, a la tutela judicial efectiva, a no padecer indefensión, a la defensa, a ser informado de la acusación formulada, a usar los medios de prueba pertinentes para su defensa, a no declarar contra sí mismo, a no confesarse culpable y a la presunción de inocencia en su dimensión extraprocesal (arts. 18.1 y 24.1 y 2 CE); restableciéndole en su derecho, para lo cual solicita que se declare la nulidad de la conclusión décima y de la recomendación novena del dictamen controvertido, en lo que a él se refiere; y que se haga constar en los diarios de sesiones correspondientes la vulneración de su honor tanto en su comparecencia ante la Comisión como en el debate sobre el dictamen.</w:t>
      </w:r>
    </w:p>
    <w:p w14:paraId="2F670CC5" w14:textId="77777777" w:rsidR="00A8138F" w:rsidRDefault="00A8138F" w:rsidP="00A8138F">
      <w:pPr>
        <w:pStyle w:val="TextoNormal"/>
      </w:pPr>
    </w:p>
    <w:p w14:paraId="73FEE167" w14:textId="77777777" w:rsidR="00A8138F" w:rsidRDefault="00A8138F" w:rsidP="00A8138F">
      <w:pPr>
        <w:pStyle w:val="TextoNormal"/>
      </w:pPr>
      <w:r>
        <w:t>La demanda justifica la especial trascendencia constitucional del recurso apuntando que concurren los criterios previstos en la STC 155/2009, de 25 de junio, FJ 2 g), a) y b). Así, en primer lugar, trata “una cuestión jurídica de relevante y general repercusión social, por tener consecuencias políticas generales respecto del funcionamiento de las comisiones de investigación, y por ser, sobre todo, un amparo ante actos parlamentarios respecto de los que en consecuencia no cabe defensa alguna jurisdiccional”.</w:t>
      </w:r>
    </w:p>
    <w:p w14:paraId="4A514B8B" w14:textId="77777777" w:rsidR="00A8138F" w:rsidRDefault="00A8138F" w:rsidP="00A8138F">
      <w:pPr>
        <w:pStyle w:val="TextoNormal"/>
      </w:pPr>
    </w:p>
    <w:p w14:paraId="2E9C37D6" w14:textId="77777777" w:rsidR="00A8138F" w:rsidRDefault="00A8138F" w:rsidP="00A8138F">
      <w:pPr>
        <w:pStyle w:val="TextoNormal"/>
      </w:pPr>
      <w:r>
        <w:t>En segundo término, “plantea una faceta o problema de un derecho fundamental sobre el que no hay doctrina del Tribunal Constitucional”, ya que este tribunal solo ha tenido ocasión “de pronunciarse sobre los dictámenes de las citadas comisiones en su sentencia 133/2018, de 13 de diciembre, en el […] contexto de una Cámara autonómica, las Cortes Valencianas, un caso limitadamente extrapolable a la actividad investigadora de las Cortes Generales, especialmente en relación con el ámbito de repercusión de las conclusiones emitidas en esa sede”. Esa sentencia “hace expresa mención a dos cuestiones que no fueron planteadas en dicho recurso”, por lo que “el Tribunal no pudo pronunciarse pese a que las calificó de ‘notable interés’”: una era “la posible lesión de los derechos del recurrente durante la sustanciación de su comparecencia”; otra, “la coexistencia de diligencias judiciales, en aquel caso abiertas en relación con los mismos hechos” (FJ 6). Cuestiones que, en este caso, sí se plantean ya que, “[p]or una parte, durante la comparecencia en la Comisión de Investigación se produjo la vulneración de derechos relatada [en el escrito], a la vista de las conclusiones y recomendaciones obtenidas”; y, por otra, existen “diligencias judiciales resueltas en firme […] que son expresamente contradichas”.</w:t>
      </w:r>
    </w:p>
    <w:p w14:paraId="18685888" w14:textId="77777777" w:rsidR="00A8138F" w:rsidRDefault="00A8138F" w:rsidP="00A8138F">
      <w:pPr>
        <w:pStyle w:val="TextoNormal"/>
      </w:pPr>
    </w:p>
    <w:p w14:paraId="03DEA341" w14:textId="32B89F85" w:rsidR="00A8138F" w:rsidRDefault="00A8138F" w:rsidP="00A8138F">
      <w:pPr>
        <w:pStyle w:val="TextoNormal"/>
      </w:pPr>
      <w:r>
        <w:t>Finalmente, si se apreciase que la sentencia citada sienta doctrina constitucional en la materia, el recurso daría ocasión al Tribunal “para aclarar su doctrina”, pronunciándose sobre “si, como entendemos, el derecho al honor en supuestos de individualización concreta de responsabilidades en el marco de la labor de esclarecimiento de las comisiones de investigación debe revestir parámetros especiales. Si no fuera así se materializaría definitivamente la indefensión [del recurrente], que ni tendría, ni habría tenido acceso a la vía jurisdiccional ante la vulneración de sus derechos y tampoco a la constitucional”.</w:t>
      </w:r>
    </w:p>
    <w:p w14:paraId="111AFC36" w14:textId="77777777" w:rsidR="00A8138F" w:rsidRDefault="00A8138F" w:rsidP="00A8138F">
      <w:pPr>
        <w:pStyle w:val="TextoNormal"/>
      </w:pPr>
    </w:p>
    <w:p w14:paraId="6823EC8F" w14:textId="6CAFD5FF" w:rsidR="00A8138F" w:rsidRDefault="00A8138F" w:rsidP="00A8138F">
      <w:pPr>
        <w:pStyle w:val="TextoNormal"/>
      </w:pPr>
      <w:r w:rsidRPr="00A8138F">
        <w:rPr>
          <w:rStyle w:val="NumeroAFNegritaCaracter"/>
        </w:rPr>
        <w:t>4</w:t>
      </w:r>
      <w:r>
        <w:t>. Mediante escrito registrado el día 13 de septiembre de 2021, la representación procesal del recurrente solicita a la Sala que, dado que la conclusión y la recomendación del dictamen aquí impugnadas lo habían sido también en otro recurso de amparo, ambos “se tramiten coordinadamente”, si fuese procedente.</w:t>
      </w:r>
    </w:p>
    <w:p w14:paraId="28266456" w14:textId="77777777" w:rsidR="00A8138F" w:rsidRDefault="00A8138F" w:rsidP="00A8138F">
      <w:pPr>
        <w:pStyle w:val="TextoNormal"/>
      </w:pPr>
    </w:p>
    <w:p w14:paraId="3DF1D580" w14:textId="50A34E0B" w:rsidR="00A8138F" w:rsidRDefault="00A8138F" w:rsidP="00A8138F">
      <w:pPr>
        <w:pStyle w:val="TextoNormal"/>
      </w:pPr>
      <w:r w:rsidRPr="00A8138F">
        <w:rPr>
          <w:rStyle w:val="NumeroAFNegritaCaracter"/>
        </w:rPr>
        <w:t>5</w:t>
      </w:r>
      <w:r>
        <w:t>. Mediante diligencia de ordenación del secretario de justicia de la Sala Primera del Tribunal Constitucional de 20 de enero de 2023, y en virtud de lo acordado por el Pleno del Tribunal Constitucional el día 17 de enero de 2023, publicado en el “Boletín Oficial del Estado” de 19 de enero, el presente recurso de amparo fue turnado a la Sección Primera de la Sala Primera del Tribunal Constitucional, lo que se puso en conocimiento de las partes y del Ministerio Fiscal a los efectos oportunos.</w:t>
      </w:r>
    </w:p>
    <w:p w14:paraId="28307A5B" w14:textId="77777777" w:rsidR="00A8138F" w:rsidRDefault="00A8138F" w:rsidP="00A8138F">
      <w:pPr>
        <w:pStyle w:val="TextoNormal"/>
      </w:pPr>
    </w:p>
    <w:p w14:paraId="3D5B81A1" w14:textId="2A8EA2A4" w:rsidR="00A8138F" w:rsidRDefault="00A8138F" w:rsidP="00A8138F">
      <w:pPr>
        <w:pStyle w:val="TextoNormal"/>
      </w:pPr>
      <w:r w:rsidRPr="00A8138F">
        <w:rPr>
          <w:rStyle w:val="NumeroAFNegritaCaracter"/>
        </w:rPr>
        <w:t>6</w:t>
      </w:r>
      <w:r>
        <w:t>. Mediante providencia de 6 de marzo de 2023, la Sección Primera decidió admitir a trámite el recurso, apreciando que concurre en el mismo una especial trascendencia constitucional porque el asunto suscitado trasciende del caso concreto porque pudiera tener unas consecuencias políticas generales [STC 155/2009, FJ 2 g)]. Por ello, en aplicación de lo dispuesto en el art. 51 de la Ley Orgánica del Tribunal Constitucional (LOTC), se acordó dirigir atenta comunicación a la presidenta del Congreso de los Diputados, a fin de que en el plazo que no excediera de diez días remitiera certificación o fotocopia adverada de las actuaciones realizadas por la Comisión de Investigación relativa al accidente del vuelo JK5022, con remisión de copia de la demanda para conocimiento de la citada Cámara, a efectos de su personación en el procedimiento.</w:t>
      </w:r>
    </w:p>
    <w:p w14:paraId="16A97D07" w14:textId="77777777" w:rsidR="00A8138F" w:rsidRDefault="00A8138F" w:rsidP="00A8138F">
      <w:pPr>
        <w:pStyle w:val="TextoNormal"/>
      </w:pPr>
    </w:p>
    <w:p w14:paraId="2952D1B4" w14:textId="6943C0D4" w:rsidR="00A8138F" w:rsidRDefault="00A8138F" w:rsidP="00A8138F">
      <w:pPr>
        <w:pStyle w:val="TextoNormal"/>
      </w:pPr>
      <w:r w:rsidRPr="00A8138F">
        <w:rPr>
          <w:rStyle w:val="NumeroAFNegritaCaracter"/>
        </w:rPr>
        <w:t>7</w:t>
      </w:r>
      <w:r>
        <w:t>. El 14 de marzo de 2023 la mesa del Congreso de los Diputados acordó personarse en el procedimiento.</w:t>
      </w:r>
    </w:p>
    <w:p w14:paraId="062A5954" w14:textId="77777777" w:rsidR="00A8138F" w:rsidRDefault="00A8138F" w:rsidP="00A8138F">
      <w:pPr>
        <w:pStyle w:val="TextoNormal"/>
      </w:pPr>
    </w:p>
    <w:p w14:paraId="34E2B6D2" w14:textId="3AEDBF3E" w:rsidR="00A8138F" w:rsidRDefault="00A8138F" w:rsidP="00A8138F">
      <w:pPr>
        <w:pStyle w:val="TextoNormal"/>
      </w:pPr>
      <w:r w:rsidRPr="00A8138F">
        <w:rPr>
          <w:rStyle w:val="NumeroAFNegritaCaracter"/>
        </w:rPr>
        <w:t>8</w:t>
      </w:r>
      <w:r>
        <w:t>. Mediante diligencia de ordenación de 30 de marzo de 2023, y a tenor de lo dispuesto en el art. 52 LOTC, se acordó dar vista de todas las actuaciones del recurso de amparo por un plazo común de veinte días al Ministerio Fiscal y a las partes personadas para que dentro de dicho plazo pudieran presentar las alegaciones que a su derecho conviniera.</w:t>
      </w:r>
    </w:p>
    <w:p w14:paraId="08457FC9" w14:textId="77777777" w:rsidR="00A8138F" w:rsidRDefault="00A8138F" w:rsidP="00A8138F">
      <w:pPr>
        <w:pStyle w:val="TextoNormal"/>
      </w:pPr>
    </w:p>
    <w:p w14:paraId="65D43C49" w14:textId="22DFA9E5" w:rsidR="00A8138F" w:rsidRDefault="00A8138F" w:rsidP="00A8138F">
      <w:pPr>
        <w:pStyle w:val="TextoNormal"/>
      </w:pPr>
      <w:r w:rsidRPr="00A8138F">
        <w:rPr>
          <w:rStyle w:val="NumeroAFNegritaCaracter"/>
        </w:rPr>
        <w:t>9</w:t>
      </w:r>
      <w:r>
        <w:t>. El 3 de mayo de 2023 la parte recurrente presentó escrito de alegaciones, ratificando íntegramente el contenido de la demanda de amparo y resaltando algunos de sus aspectos: primeramente, se hace hincapié en el cese del demandante, a petición propia y semanas antes del accidente objeto de la investigación, de su condición de director general de la entidad pública empresarial Aeropuertos Españoles y Navegación Aérea; asimismo, se recuerdan las resoluciones judiciales que, en esencial coincidencia con las conclusiones de la investigación técnica, rechazan la responsabilidad del recurrente y de las otras personas mencionadas en las conclusiones impugnadas. Se subraya que el informe jurídico del letrado de la comisión parlamentaria proponía suprimir la conclusión y la recomendación combatidas: la primera, “en su totalidad, o alternativamente eliminar las referencias individuales a las dieciocho (18) personas incluidas en la lista de responsables, para evitar incurrir en una vulneración de sus derechos fundamentales y libertades públicas”; la segunda “porque, al referirse a la existencia de elementos que pudieran arrojar conductas negligentes, extiende una sospecha indiscriminada sobre los comparecientes como autores de negligencias que, por otra parte, no concreta de ninguna forma”. Se recuerda también que, antes del debate en el Pleno, el ahora recurrente se había dirigido a la presidenta de la Cámara poniendo de manifiesto “que mencionar su nombre en las conclusiones del dictamen, en los términos que se hace, supone una vulneración de sus derechos constitucionales al honor y a la presunción de inocencia”, consideraciones que la mesa de la Cámara trasladó a los miembros de la Comisión de Investigación y a los grupos parlamentarios.</w:t>
      </w:r>
    </w:p>
    <w:p w14:paraId="100261FA" w14:textId="77777777" w:rsidR="00A8138F" w:rsidRDefault="00A8138F" w:rsidP="00A8138F">
      <w:pPr>
        <w:pStyle w:val="TextoNormal"/>
      </w:pPr>
    </w:p>
    <w:p w14:paraId="70E4BAA2" w14:textId="77777777" w:rsidR="00A8138F" w:rsidRDefault="00A8138F" w:rsidP="00A8138F">
      <w:pPr>
        <w:pStyle w:val="TextoNormal"/>
      </w:pPr>
      <w:r w:rsidRPr="00A8138F">
        <w:rPr>
          <w:rStyle w:val="NumeroAFNegritaCaracter"/>
        </w:rPr>
        <w:t>10</w:t>
      </w:r>
      <w:r>
        <w:t>. El 8 de mayo de 2023 quedó registrado en este tribunal el escrito de alegaciones formulado por la letrada de las Cortes Generales, en nombre y representación del Congreso de los Diputados, en el que se solicita la desestimación del recurso de amparo. La letrada comienza subrayando la similitud de este supuesto con el analizado en el recurso de amparo núm. 5361-2021 (aunque se cita, sin duda por error, el número 5123-2021, que corresponde a este procedimiento), planteado por otros demandantes frente a los mismos actos, lo que determina la coincidencia de “la mayoría de las alegaciones” de ambos escritos. A partir de ahí, se recuerda el marco normativo de las comisiones de investigación, destacando su función de control político, y no jurídico, de la que se desprende “que las conclusiones políticas de las comisiones de investigación” pueden diferir de posibles resoluciones judiciales o administrativas sobre el mismo asunto; “dicho con otras palabras: una conducta puede no ser jurídicamente sancionable y sí ser políticamente reprobable”.</w:t>
      </w:r>
    </w:p>
    <w:p w14:paraId="461A4AB2" w14:textId="77777777" w:rsidR="00A8138F" w:rsidRDefault="00A8138F" w:rsidP="00A8138F">
      <w:pPr>
        <w:pStyle w:val="TextoNormal"/>
      </w:pPr>
    </w:p>
    <w:p w14:paraId="01B77CC7" w14:textId="77777777" w:rsidR="00A8138F" w:rsidRDefault="00A8138F" w:rsidP="00A8138F">
      <w:pPr>
        <w:pStyle w:val="TextoNormal"/>
      </w:pPr>
      <w:r>
        <w:t>Revisa la doctrina establecida por la STC 133/2018 y, en particular, la “vertiente extraprocesal de la presunción de inocencia”, protegida en nuestro sistema constitucional a través del derecho al honor (art. 18.1 CE) y concebida como “el derecho a recibir la consideración y el trato de no autor o no partícipe en hechos de carácter delictivo o análogo a estos, sin previa resolución dictada por el poder público u órgano competente que así lo declare, y [que] determina por ende el derecho a que no se apliquen las consecuencias o los efectos jurídicos anudados a hechos de tal naturaleza en las relaciones jurídicas de todo tipo (FJ 4)”. Señala que las comisiones de investigación no pueden “llevar a cabo una calificación jurídica de los hechos” ni “individualizar a los sujetos responsables mediante la atribución o imputación de cualquier ilícito penal o administrativo”; pero ello no impide valorar políticamente los hechos, “pudiendo ser esta valoración diferente a la que, jurídicamente, hayan realizado los tribunales”, ni atribuir responsabilidades políticas individuales. Ciertamente, se admite, ello exige “un especial cuidado en la elección de los términos” empleados para determinar dichas responsabilidades políticas, “permitiéndose, en todo caso, una declaración de sospecha, pero nunca una de culpabilidad, y quedando siempre clara su diferencia de las responsabilidades jurídicas, que no podrán aparecer declaradas en el texto aprobado por la Cámara”.</w:t>
      </w:r>
    </w:p>
    <w:p w14:paraId="1F24AB27" w14:textId="77777777" w:rsidR="00A8138F" w:rsidRDefault="00A8138F" w:rsidP="00A8138F">
      <w:pPr>
        <w:pStyle w:val="TextoNormal"/>
      </w:pPr>
    </w:p>
    <w:p w14:paraId="212377D6" w14:textId="77777777" w:rsidR="00A8138F" w:rsidRDefault="00A8138F" w:rsidP="00A8138F">
      <w:pPr>
        <w:pStyle w:val="TextoNormal"/>
      </w:pPr>
      <w:r>
        <w:t>De hecho, este mismo caso permite constatar que de las conclusiones de estas comisiones “no se deriva directamente ninguna responsabilidad jurídica”, ya que ninguna de las personas en ellas aludidas “(tampoco el demandante) ha sido objeto de ningún tipo de actuación de exigencia de responsabilidad” tras aprobarse el dictamen de la Comisión. En definitiva, restringir la capacidad de las comisiones de investigación hasta el punto de “que no puedan declarar que hubo una responsabilidad política de los gestores, mencionándolos con sus nombres, cuando los hechos evidencian por sí solos que hubo errores e ineficacia, podría suponer vulnerar el artículo 23 de la Constitución dentro del cual se entienden incluidas todas aquellas facultades de los parlamentarios que les permiten ejercer la función de control.</w:t>
      </w:r>
    </w:p>
    <w:p w14:paraId="1BE87A6A" w14:textId="77777777" w:rsidR="00A8138F" w:rsidRDefault="00A8138F" w:rsidP="00A8138F">
      <w:pPr>
        <w:pStyle w:val="TextoNormal"/>
      </w:pPr>
    </w:p>
    <w:p w14:paraId="1A680877" w14:textId="77777777" w:rsidR="00A8138F" w:rsidRDefault="00A8138F" w:rsidP="00A8138F">
      <w:pPr>
        <w:pStyle w:val="TextoNormal"/>
      </w:pPr>
      <w:r>
        <w:t>En tal sentido, si la comisión de investigación se ajusta a sus propios límites y solo realiza una valoración política, declarando la responsabilidad política, sin entrar [en] valoraciones o cualificaciones de tipo jurídico, ha de prevalecer, en nuestra opinión, la protección del artículo 23 frente a la del artículo 18”. Porque la clave “no es […] que exista una imputación individualizada a las personas que se citan, sino que la conducta que se imputa se califique de ‘ilícita’, siendo requisito necesario para ello que el dictamen realice y contenga algún tipo de análisis jurídico para llegar a tal conclusión y precise cuál es, en concreto, la norma o ley incumplida”. Así ocurría en el supuesto resuelto por la reiterada STC 133/2018, lo que determinó la estimación del amparo.</w:t>
      </w:r>
    </w:p>
    <w:p w14:paraId="01B78264" w14:textId="77777777" w:rsidR="00A8138F" w:rsidRDefault="00A8138F" w:rsidP="00A8138F">
      <w:pPr>
        <w:pStyle w:val="TextoNormal"/>
      </w:pPr>
    </w:p>
    <w:p w14:paraId="57D6A311" w14:textId="77777777" w:rsidR="00A8138F" w:rsidRDefault="00A8138F" w:rsidP="00A8138F">
      <w:pPr>
        <w:pStyle w:val="TextoNormal"/>
      </w:pPr>
      <w:r>
        <w:t>Por el contrario, “existe una diferencia radical” entre aquel caso y este, porque aquí no se ha atribuido a ninguno de los citados el incumplimiento de ninguna norma jurídica ni la consiguiente responsabilidad penal o administrativa. En particular, no se atribuye al entonces presidente de AENA un incumplimiento específico de los protocolos, sino que expresamente “se dice que, constatado que dichos protocolos fallaron, hubo, necesariamente, una serie de sujetos que, desde el enfoque de la Comisión (de carácter político), deben asumir su responsabilidad (política)”. De hecho, la atribución de responsabilidad política que se hace es “bastante genérica o vaga, incluso”, limitándose a enunciar “un principio general de responsabilidad por el buen funcionamiento de un servicio esencial para el ciudadano como es el transporte aéreo” que ni siquiera habría de recordarse, pues se deduce de las normas generales de nuestro ordenamiento que regulan la responsabilidad por el funcionamiento de los servicios públicos (así, el art. 106 CE y la Ley 21/2003, de 7 de julio, de seguridad aérea).</w:t>
      </w:r>
    </w:p>
    <w:p w14:paraId="43F410A2" w14:textId="77777777" w:rsidR="00A8138F" w:rsidRDefault="00A8138F" w:rsidP="00A8138F">
      <w:pPr>
        <w:pStyle w:val="TextoNormal"/>
      </w:pPr>
    </w:p>
    <w:p w14:paraId="36E5AF26" w14:textId="77777777" w:rsidR="00A8138F" w:rsidRDefault="00A8138F" w:rsidP="00A8138F">
      <w:pPr>
        <w:pStyle w:val="TextoNormal"/>
      </w:pPr>
      <w:r>
        <w:t>Por ello, resulta difícil deducir de la expresión “fallo sistémico” la imputación de concretas actuaciones ilícitas de las personas mencionadas: de la conclusión cuestionada solo se infiere que “hubo un fallo sistémico consistente en no establecer, evaluar, evolucionar, comprobar y corregir las debilidades del sistema”, sin ir más lejos ni atribuir incumplimientos específicos de ninguna norma jurídica. Se constata una irregularidad, pero no se califica jurídicamente; no se trata “a nadie de autor o partícipe en actuaciones ilícitas, ni siquiera a nivel de ‘estado de sospecha’ como precisa el Tribunal Europeo de Derechos Humanos. Simplemente no hay un pronunciamiento en tal sentido”. La conclusión especifica que el accidente, como todos, se debió a una “concatenación de fallos”; pero distingue las investigaciones oficiales, que “deben centrarse en la intervención humana evitable o exigible para cada uno de esos fallos”, y “la responsabilidad política, [que] por contra, tiene que ver con el sistema, es decir, con el conjunto de elementos de seguridad exigidos, con la revisión y el cumplimiento de los mismos y con la responsabilidad exigible de hacer imposible lo posible, es decir, evitar lo evitable”. Una alusión puramente genérica, que es un mero “recordatorio de las obligaciones de vigilancia que han de tener los gestores públicos, sin ninguna pretensión más”, y de la que no cabe deducir la imputación de un incumplimiento de normas que ni siquiera se identifican.</w:t>
      </w:r>
    </w:p>
    <w:p w14:paraId="6D195394" w14:textId="77777777" w:rsidR="00A8138F" w:rsidRDefault="00A8138F" w:rsidP="00A8138F">
      <w:pPr>
        <w:pStyle w:val="TextoNormal"/>
      </w:pPr>
    </w:p>
    <w:p w14:paraId="57F6C1EE" w14:textId="77777777" w:rsidR="00A8138F" w:rsidRDefault="00A8138F" w:rsidP="00A8138F">
      <w:pPr>
        <w:pStyle w:val="TextoNormal"/>
      </w:pPr>
      <w:r>
        <w:t>Tampoco la recomendación impugnada contiene “ninguna conclusión sobre la responsabilidad jurídica” del recurrente ni de ninguna otra persona: sencillamente, y a partir del análisis de los hechos investigados, se apunta “que podría haber conductas negligentes”, sin individualizar ni especificar responsabilidad penal alguna (lo que, por otro lado, la Comisión nunca podría haber hecho). Esta se limita a recomendar la remisión del contenido y resultado de la Comisión a la Fiscalía General del Estado, que finalmente no se produjo. En cuanto a la concreta posición del demandante, que ya no formaba parte de la entidad AENA en el momento del accidente, la referencia a “decisiones […] dentro del sistema” puede abarcar decisiones anteriores con efectos en ese momento.</w:t>
      </w:r>
    </w:p>
    <w:p w14:paraId="6C1A9DA4" w14:textId="77777777" w:rsidR="00A8138F" w:rsidRDefault="00A8138F" w:rsidP="00A8138F">
      <w:pPr>
        <w:pStyle w:val="TextoNormal"/>
      </w:pPr>
    </w:p>
    <w:p w14:paraId="0307DD2D" w14:textId="77777777" w:rsidR="00A8138F" w:rsidRDefault="00A8138F" w:rsidP="00A8138F">
      <w:pPr>
        <w:pStyle w:val="TextoNormal"/>
      </w:pPr>
      <w:r>
        <w:t>En conclusión, la representación del Congreso afirma que “conforme a la doctrina de la STC 133/2018”, la Comisión no se ha extralimitado en el ejercicio de sus facultades ni ha perjudicado la vertiente extraprocesal de la presunción de inocencia protegida por el derecho al honor: sus conclusiones y recomendaciones no establecen responsabilidades jurídicas ni sanciones, limitándose a declarar una “responsabilidad política que carece de consecuencias jurídicas” y no vincula ni al Gobierno, ni a ninguna otra autoridad o individuo. Por ello deben protegerse los derechos fundamentales reconocidos en el art. 23 CE, “cuyo vaciamiento injustificado haría imposible la función de control del Gobierno”.</w:t>
      </w:r>
    </w:p>
    <w:p w14:paraId="688B68FA" w14:textId="77777777" w:rsidR="00A8138F" w:rsidRDefault="00A8138F" w:rsidP="00A8138F">
      <w:pPr>
        <w:pStyle w:val="TextoNormal"/>
      </w:pPr>
    </w:p>
    <w:p w14:paraId="22BBAAEB" w14:textId="77777777" w:rsidR="00A8138F" w:rsidRDefault="00A8138F" w:rsidP="00A8138F">
      <w:pPr>
        <w:pStyle w:val="TextoNormal"/>
      </w:pPr>
      <w:r>
        <w:t>Por último, las alegaciones se refieren al motivo de impugnación relativo al desarrollo de los trabajos de la Comisión y, en particular, al de la comparecencia del demandante ante la misma. En primer lugar, descarta cualquier responsabilidad de la Comisión por la repercusión pública de tal comparecencia en la prensa. A continuación, argumenta que el oficio por el que se le requirió para comparecer contenía todos los extremos legalmente previstos, incluyendo el relativo al contenido de la comparecencia (“informar sobre las materias que constituyen el objeto de la Comisión”, que como su propia denominación precisaba era el “accidente del vuelo JK5022 de Spanair”), la advertencia sobre su obligación de comparecer y las responsabilidades derivadas de no hacerlo, así como los derechos que le asistían y la posibilidad de comparecer asistido por quien designara, como efectivamente hizo. Finalmente, y en cuanto a las preguntas que se le formularon, señala la letrada de las Cortes Generales que se inscriben en el normal “juego político”; que “los diputados cuentan con toda la libertad para formularlas” y que “con ellas, no se vulneró ningún derecho del compareciente”; sin perjuicio de que “puedan ser delicadas y puedan llegar a incomodar el ánimo del compareciente”, algo “normal en una investigación sobre un accidente de avión que está tratando de esclarecer los hechos y de exigir responsabilidades políticas”.</w:t>
      </w:r>
    </w:p>
    <w:p w14:paraId="4367AD42" w14:textId="77777777" w:rsidR="00A8138F" w:rsidRDefault="00A8138F" w:rsidP="00A8138F">
      <w:pPr>
        <w:pStyle w:val="TextoNormal"/>
      </w:pPr>
    </w:p>
    <w:p w14:paraId="1F483475" w14:textId="33170521" w:rsidR="00A8138F" w:rsidRDefault="00A8138F" w:rsidP="00A8138F">
      <w:pPr>
        <w:pStyle w:val="TextoNormal"/>
      </w:pPr>
      <w:r>
        <w:t>Como conclusión, se afirma que la comparecencia del recurrente “se ajustó a los procedimientos legales y reglamentarios”, que no son los previstos para los procedimientos judiciales, “y se desenvolvió con normalidad, si bien en la atmósfera típica de este tipo de investigación que puede resultar más o menos hostil”; por lo que no cabe sostener que las intervenciones de los diputados, cuyo valor es puramente “político, propio de la sede en la que se emiten, hayan provocado la vulneración de los derechos” invocados.</w:t>
      </w:r>
    </w:p>
    <w:p w14:paraId="6B4165EB" w14:textId="77777777" w:rsidR="00A8138F" w:rsidRDefault="00A8138F" w:rsidP="00A8138F">
      <w:pPr>
        <w:pStyle w:val="TextoNormal"/>
      </w:pPr>
    </w:p>
    <w:p w14:paraId="14F04CC3" w14:textId="77777777" w:rsidR="00A8138F" w:rsidRDefault="00A8138F" w:rsidP="00A8138F">
      <w:pPr>
        <w:pStyle w:val="TextoNormal"/>
      </w:pPr>
      <w:r w:rsidRPr="00A8138F">
        <w:rPr>
          <w:rStyle w:val="NumeroAFNegritaCaracter"/>
        </w:rPr>
        <w:t>11</w:t>
      </w:r>
      <w:r>
        <w:t>. El Ministerio Fiscal, por escrito registrado el 18 de mayo de 2023, interesa que se dicte sentencia desestimando el recurso de amparo interpuesto.</w:t>
      </w:r>
    </w:p>
    <w:p w14:paraId="41036780" w14:textId="77777777" w:rsidR="00A8138F" w:rsidRDefault="00A8138F" w:rsidP="00A8138F">
      <w:pPr>
        <w:pStyle w:val="TextoNormal"/>
      </w:pPr>
    </w:p>
    <w:p w14:paraId="6904BF9A" w14:textId="77777777" w:rsidR="00A8138F" w:rsidRDefault="00A8138F" w:rsidP="00A8138F">
      <w:pPr>
        <w:pStyle w:val="TextoNormal"/>
      </w:pPr>
      <w:r>
        <w:t>a) Tras una minuciosa exposición de los antecedentes, el análisis comienza por afirmar la impugnabilidad del acuerdo del Pleno que aprueba el dictamen de la Comisión de Investigación, por ser un acto parlamentario definitivo y firme respecto del que cabe acudir a la vía del amparo; así como la legitimación del recurrente, por haber sido directamente afectado por dicho dictamen, en el que “resulta identificado como responsable del accidente objeto de la investigación”. En cuanto al resto de los actos impugnados en la demanda, la fiscal los considera “meros actos de trámite o preparatorios”, solo impugnables en la medida en que pudieran propiciar que la lesión alegada se haga efectiva por la aprobación plenaria de las conclusiones del dictamen. Por otra parte, se descarta también que la eventual contradicción entre dichas conclusiones y resoluciones judiciales firmes genere la lesión de derechos que la demanda le atribuye: para el Ministerio Público, tal contradicción “es uno más de los argumentos” que sustentan la alegación de fondo, referida a unas conclusiones que, se alega, invaden “las competencias exclusivas de los órganos judiciales”.</w:t>
      </w:r>
    </w:p>
    <w:p w14:paraId="4561E6D4" w14:textId="77777777" w:rsidR="00A8138F" w:rsidRDefault="00A8138F" w:rsidP="00A8138F">
      <w:pPr>
        <w:pStyle w:val="TextoNormal"/>
      </w:pPr>
    </w:p>
    <w:p w14:paraId="02C4E961" w14:textId="77777777" w:rsidR="00A8138F" w:rsidRDefault="00A8138F" w:rsidP="00A8138F">
      <w:pPr>
        <w:pStyle w:val="TextoNormal"/>
      </w:pPr>
      <w:r>
        <w:t>b) En lo que atañe al fondo de la pretensión del demandante, y tras advertir también la coincidencia entre el objeto de este recurso y el del recurso de amparo núm. 5361-2021, el escrito recuerda, con abundantes citas de la STC 133/2018, la “naturaleza estrictamente política” de la actividad investigadora de las Cámaras, que excluye la traslación a la misma de las garantías de tutela judicial efectiva o del proceso con todas las garantías (art. 24.1 y 2 CE), que operan en los ámbitos jurisdiccional y administrativo sancionador. Por tanto, entiende que la invocada vulneración de tales derechos debe reconducirse a la también alegada lesión del derecho fundamental a la “dimensión extraprocesal de la presunción de inocencia” (art. 24.2 CE).</w:t>
      </w:r>
    </w:p>
    <w:p w14:paraId="61E882EA" w14:textId="77777777" w:rsidR="00A8138F" w:rsidRDefault="00A8138F" w:rsidP="00A8138F">
      <w:pPr>
        <w:pStyle w:val="TextoNormal"/>
      </w:pPr>
    </w:p>
    <w:p w14:paraId="7DA2CF48" w14:textId="77777777" w:rsidR="00A8138F" w:rsidRDefault="00A8138F" w:rsidP="00A8138F">
      <w:pPr>
        <w:pStyle w:val="TextoNormal"/>
      </w:pPr>
      <w:r>
        <w:t>Planteada la cuestión en esos términos, se subraya que la doctrina constitucional, en línea con la del Tribunal Europeo de Derechos Humanos, reconoce dicho derecho “cuando desde los poderes públicos se atribuye a una persona una conducta punible, al margen de lo establecido por las autoridades judiciales a través del procedimiento constitucionalmente establecido”, protegiéndose en el ordenamiento español, según el Tribunal Constitucional, por medio del derecho al honor (art. 18.1 CE), “que puede reconocerse como vulnerado en el caso de que aquella presunción de inocencia extraprocesal se infrinja”.</w:t>
      </w:r>
    </w:p>
    <w:p w14:paraId="43CCDF4F" w14:textId="77777777" w:rsidR="00A8138F" w:rsidRDefault="00A8138F" w:rsidP="00A8138F">
      <w:pPr>
        <w:pStyle w:val="TextoNormal"/>
      </w:pPr>
    </w:p>
    <w:p w14:paraId="6063BEB7" w14:textId="77777777" w:rsidR="00A8138F" w:rsidRDefault="00A8138F" w:rsidP="00A8138F">
      <w:pPr>
        <w:pStyle w:val="TextoNormal"/>
      </w:pPr>
      <w:r>
        <w:t>La proyección de esta doctrina sobre la actividad de las comisiones de investigación parlamentarias ha llevado al Tribunal a admitir que estas pueden infringir la dimensión extraprocesal de la presunción de inocencia si “realizan un pronunciamiento o atribución de responsabilidad penal o administrativa individualizada” al margen del procedimiento legalmente establecido, lo que sería susceptible de protección a través del derecho al honor.</w:t>
      </w:r>
    </w:p>
    <w:p w14:paraId="06A937FB" w14:textId="77777777" w:rsidR="00A8138F" w:rsidRDefault="00A8138F" w:rsidP="00A8138F">
      <w:pPr>
        <w:pStyle w:val="TextoNormal"/>
      </w:pPr>
    </w:p>
    <w:p w14:paraId="6328D60A" w14:textId="77777777" w:rsidR="00A8138F" w:rsidRDefault="00A8138F" w:rsidP="00A8138F">
      <w:pPr>
        <w:pStyle w:val="TextoNormal"/>
      </w:pPr>
      <w:r>
        <w:t>Así las cosas, la representante de la Fiscalía descarta que, como alega el recurrente, el dictamen que se impugna declare una responsabilidad jurídica individualizada derivada de un “no cumplimiento de las normas en materia de seguridad, al margen del procedimiento judicial o administrativo legalmente establecido y en clara contradicción con lo establecido por […] resoluciones judiciales firmes”, en “una clara vulneración de su derecho fundamental al honor, al atribuirle conductas merecedoras del máximo reproche social, que dañan su reputación personal y profesional y que además aparecen vinculadas con una grave tragedia”. Por el contrario, recoge la expresa distinción que hace el dictamen según la cual “[l]as investigaciones oficiales deben centrarse en la intervención humana evitable o exigible para cada uno de esos fallos. Pero la responsabilidad política, por contra, tiene que ver con el sistema, es decir, con el conjunto de elementos de seguridad exigidos, con la revisión y el cumplimiento de los mismos y con la responsabilidad exigible de hacer imposible lo posible, es decir, evitar lo evitable”; añadiendo que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Ello lleva a declarar “responsables a […] diecisiete personas identificadas por su cargo público o de responsabilidad, a las que resulta exigible dicha responsabilidad política, en tanto ocuparon puesto de responsabilidad y asumieron las decisiones que se tomaron dentro del conjunto del sistema”, sin identificar actos individuales ni calificar jurídicamente posibles infracciones.</w:t>
      </w:r>
    </w:p>
    <w:p w14:paraId="3D9EB75A" w14:textId="77777777" w:rsidR="00A8138F" w:rsidRDefault="00A8138F" w:rsidP="00A8138F">
      <w:pPr>
        <w:pStyle w:val="TextoNormal"/>
      </w:pPr>
    </w:p>
    <w:p w14:paraId="09C47189" w14:textId="77777777" w:rsidR="00A8138F" w:rsidRDefault="00A8138F" w:rsidP="00A8138F">
      <w:pPr>
        <w:pStyle w:val="TextoNormal"/>
      </w:pPr>
      <w:r>
        <w:t>Una interpretación similar permite rechazar también la interpretación que el recurrente hace de la expresión “conductas negligentes” contenida en la recomendación cuestionada. El que los resultados de la investigación parlamentaria se comuniquen al fiscal no es sino aplicación de lo previsto en el art. 76.1 CE (y en el 52.4 del Reglamento del Congreso de los Diputados), a efectos de que este pueda ejercer, “cuando proceda”, las acciones oportunas; lo que permite descartar que tal comunicación (aunque aluda a la existencia de “elementos que pudieran arrojar conductas negligentes”) suponga “una declaración de responsabilidad penal individualizada, que exceda del alcance” de la investigación parlamentaria (como ocurría en el supuesto resuelto en la STC 133/2018). Por tanto, la fiscal concluye que no ha existido una infracción de la dimensión extraprocesal del principio de presunción de inocencia que pueda conducir a apreciar la vulneración del derecho al honor del recurrente.</w:t>
      </w:r>
    </w:p>
    <w:p w14:paraId="65CE137B" w14:textId="77777777" w:rsidR="00A8138F" w:rsidRDefault="00A8138F" w:rsidP="00A8138F">
      <w:pPr>
        <w:pStyle w:val="TextoNormal"/>
      </w:pPr>
    </w:p>
    <w:p w14:paraId="0D547BBE" w14:textId="77777777" w:rsidR="00A8138F" w:rsidRDefault="00A8138F" w:rsidP="00A8138F">
      <w:pPr>
        <w:pStyle w:val="TextoNormal"/>
      </w:pPr>
      <w:r>
        <w:t>Asimismo, resalta el escrito que para juzgar responsabilidades políticas ha de fijarse un presupuesto fáctico, los hechos y conductas a los que tal responsabilidad ha de referirse, por lo que no cabe un control de constitucionalidad sobre las conclusiones de la investigación parlamentaria que impida cualquier referencia a hechos concretos. Así lo confirma el art. 76.1 CE, al precisar que los resultados de estas investigaciones “no serán vinculantes para los tribunales, ni afectarán a las resoluciones judiciales”, añadiendo que pueden ser comunicados “al Ministerio Fiscal para el ejercicio, cuando proceda, de las acciones oportunas”: una conducta puede ser objeto de control político en sede parlamentaria, al margen de su control jurídico, penal o administrativo, que corresponde a los órganos constitucionalmente competentes para ejercerlo. En suma, no ha existido extralimitación alguna de la Cámara en el ejercicio de sus funciones investigadoras.</w:t>
      </w:r>
    </w:p>
    <w:p w14:paraId="33CE6BFF" w14:textId="77777777" w:rsidR="00A8138F" w:rsidRDefault="00A8138F" w:rsidP="00A8138F">
      <w:pPr>
        <w:pStyle w:val="TextoNormal"/>
      </w:pPr>
    </w:p>
    <w:p w14:paraId="62B4305D" w14:textId="77777777" w:rsidR="00A8138F" w:rsidRDefault="00A8138F" w:rsidP="00A8138F">
      <w:pPr>
        <w:pStyle w:val="TextoNormal"/>
      </w:pPr>
      <w:r>
        <w:t xml:space="preserve">Por otra parte, se destaca también que el acto objeto de impugnación se inscribe en la función de control político de la Cámara y, por tanto, en el marco del </w:t>
      </w:r>
      <w:r w:rsidRPr="00A8138F">
        <w:rPr>
          <w:i/>
        </w:rPr>
        <w:t>ius in officium</w:t>
      </w:r>
      <w:r>
        <w:t xml:space="preserve"> garantizado por el art. 23.2 CE y del derecho de los ciudadanos a la participación en los asuntos públicos (art. 23.1 CE); por lo que su examen deberá hacerse partiendo del principio de autonomía parlamentaria y ponderando los intereses fundamentales en conflicto, sin convertir el derecho al honor en un límite infranqueable frente al ejercicio del derecho de representación política.</w:t>
      </w:r>
    </w:p>
    <w:p w14:paraId="496DC972" w14:textId="77777777" w:rsidR="00A8138F" w:rsidRDefault="00A8138F" w:rsidP="00A8138F">
      <w:pPr>
        <w:pStyle w:val="TextoNormal"/>
      </w:pPr>
    </w:p>
    <w:p w14:paraId="7ADA16AB" w14:textId="518AAA16" w:rsidR="00A8138F" w:rsidRDefault="00A8138F" w:rsidP="00A8138F">
      <w:pPr>
        <w:pStyle w:val="TextoNormal"/>
      </w:pPr>
      <w:r>
        <w:t>c) Por último, el escrito examina y descarta igualmente las alegaciones referidas a las posibles vulneraciones producidas por ciertas intervenciones de miembros de la Comisión durante la comparecencia del recurrente, así como a la apuntada contradicción de la actividad de investigación parlamentaria con las resoluciones judiciales firmes aportadas. En términos muy sintéticos, se indica que la demanda no aporta argumentos específicos que permitan atribuir a dichas intervenciones ninguna lesión de derechos; además, ni tales intervenciones ni la actividad investigadora misma constituyen actos o decisiones parlamentarias susceptibles de impugnación en amparo, sino argumentos con los que el recurrente refuerza su alegato fundamental.</w:t>
      </w:r>
    </w:p>
    <w:p w14:paraId="1168225D" w14:textId="77777777" w:rsidR="00A8138F" w:rsidRDefault="00A8138F" w:rsidP="00A8138F">
      <w:pPr>
        <w:pStyle w:val="TextoNormal"/>
      </w:pPr>
    </w:p>
    <w:p w14:paraId="5353F3AE" w14:textId="771B8114" w:rsidR="00A8138F" w:rsidRDefault="00A8138F" w:rsidP="00A8138F">
      <w:pPr>
        <w:pStyle w:val="TextoNormal"/>
      </w:pPr>
      <w:r w:rsidRPr="00A8138F">
        <w:rPr>
          <w:rStyle w:val="NumeroAFNegritaCaracter"/>
        </w:rPr>
        <w:t>12</w:t>
      </w:r>
      <w:r>
        <w:t>. Por medio de diligencia de 19 de mayo de 2023 de la Secretaría de Justicia de la Sala Primera, se hace constar que se han recibido los escritos de alegaciones del Ministerio Fiscal, del procurador don Antonio Ortega Fuentes y de la letrada de las Cortes Generales, quedando el recurso pendiente para deliberación cuando por turno corresponda.</w:t>
      </w:r>
    </w:p>
    <w:p w14:paraId="5DC6A592" w14:textId="77777777" w:rsidR="00A8138F" w:rsidRDefault="00A8138F" w:rsidP="00A8138F">
      <w:pPr>
        <w:pStyle w:val="TextoNormal"/>
      </w:pPr>
    </w:p>
    <w:p w14:paraId="01AC6E5D" w14:textId="4F129690" w:rsidR="00A8138F" w:rsidRDefault="00A8138F" w:rsidP="00A8138F">
      <w:pPr>
        <w:pStyle w:val="TextoNormal"/>
      </w:pPr>
      <w:r w:rsidRPr="00A8138F">
        <w:rPr>
          <w:rStyle w:val="NumeroAFNegritaCaracter"/>
        </w:rPr>
        <w:t>13</w:t>
      </w:r>
      <w:r>
        <w:t>. Por providencia de 8 de mayo de 2025, se señaló para deliberación y votación de la presente sentencia el día 12 del mismo mes y año.</w:t>
      </w:r>
    </w:p>
    <w:p w14:paraId="4CAB8C6B" w14:textId="77777777" w:rsidR="00A8138F" w:rsidRDefault="00A8138F" w:rsidP="00A8138F">
      <w:pPr>
        <w:pStyle w:val="TextoNormal"/>
      </w:pPr>
    </w:p>
    <w:p w14:paraId="28F67041" w14:textId="77777777" w:rsidR="00A8138F" w:rsidRDefault="00A8138F" w:rsidP="00A8138F">
      <w:pPr>
        <w:pStyle w:val="TextoNormalNegritaCentrado"/>
        <w:keepNext/>
      </w:pPr>
      <w:r>
        <w:t>II. Fundamentos jurídicos</w:t>
      </w:r>
    </w:p>
    <w:p w14:paraId="0BE0168D" w14:textId="2ECDD1CD" w:rsidR="00A8138F" w:rsidRDefault="00A8138F" w:rsidP="00A8138F">
      <w:pPr>
        <w:pStyle w:val="TextoNormalNegritaCentrado"/>
        <w:keepNext/>
      </w:pPr>
    </w:p>
    <w:p w14:paraId="22E201E8"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04FCBFBF" w14:textId="77777777" w:rsidR="00A8138F" w:rsidRDefault="00A8138F" w:rsidP="00A8138F">
      <w:pPr>
        <w:pStyle w:val="TextoNormal"/>
      </w:pPr>
    </w:p>
    <w:p w14:paraId="1551BE25" w14:textId="77777777" w:rsidR="00A8138F" w:rsidRDefault="00A8138F" w:rsidP="00A8138F">
      <w:pPr>
        <w:pStyle w:val="TextoNormal"/>
      </w:pPr>
      <w:r>
        <w:t>a) El presente recurso de amparo se dirige contra la conclusión décima y la recomendación novena del dictamen de la Comisión de Investigación relativa al accidente del vuelo JK5022 de Spanair, aprobado por la propia Comisión el 22 de abril de 2021 y por el Pleno del Congreso de los Diputados el 13 de mayo de 2021.</w:t>
      </w:r>
    </w:p>
    <w:p w14:paraId="7DF1A31E" w14:textId="77777777" w:rsidR="00A8138F" w:rsidRDefault="00A8138F" w:rsidP="00A8138F">
      <w:pPr>
        <w:pStyle w:val="TextoNormal"/>
      </w:pPr>
    </w:p>
    <w:p w14:paraId="1B0CD731" w14:textId="77777777" w:rsidR="00A8138F" w:rsidRDefault="00A8138F" w:rsidP="00A8138F">
      <w:pPr>
        <w:pStyle w:val="TextoNormal"/>
      </w:pPr>
      <w:r>
        <w:t>En síntesis, y en lo que al aquí recurrente respecta, la citada conclusión décima señala que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 e identifica al demandante, “don Manuel Azuaga Moreno. Presidente de AENA 2004/2008”, como una de las dieciocho personas “responsables en la fecha del accidente que ocuparon puesto de responsabilidad y por tanto asumían decisiones que dentro del sistema se tomaron en el momento del siniestro”. Por su parte, la recomendación novena, contra la que también se dirige el demandante, afirma que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w:t>
      </w:r>
    </w:p>
    <w:p w14:paraId="0CA8D9C5" w14:textId="77777777" w:rsidR="00A8138F" w:rsidRDefault="00A8138F" w:rsidP="00A8138F">
      <w:pPr>
        <w:pStyle w:val="TextoNormal"/>
      </w:pPr>
    </w:p>
    <w:p w14:paraId="0C813857" w14:textId="77777777" w:rsidR="00A8138F" w:rsidRDefault="00A8138F" w:rsidP="00A8138F">
      <w:pPr>
        <w:pStyle w:val="TextoNormal"/>
      </w:pPr>
      <w:r>
        <w:t>Adicionalmente, la demanda considera que el recurso debe extenderse al desarrollo de la comparecencia del recurrente ante dicha comisión de investigación, celebrada el 10 de julio de 2018, y al debate del dictamen en el Pleno de 13 de mayo de 2021, así como a “[l]a actividad indagatoria de la Cámara sobre el accidente objeto de investigación”.</w:t>
      </w:r>
    </w:p>
    <w:p w14:paraId="474FC0C3" w14:textId="77777777" w:rsidR="00A8138F" w:rsidRDefault="00A8138F" w:rsidP="00A8138F">
      <w:pPr>
        <w:pStyle w:val="TextoNormal"/>
      </w:pPr>
    </w:p>
    <w:p w14:paraId="1A82C369" w14:textId="77777777" w:rsidR="00A8138F" w:rsidRDefault="00A8138F" w:rsidP="00A8138F">
      <w:pPr>
        <w:pStyle w:val="TextoNormal"/>
      </w:pPr>
      <w:r>
        <w:t>b) Como se ha expuesto pormenorizadamente en los antecedentes de esta sentencia, el recurso considera que la conclusión y la recomendación mencionadas, así como otros aspectos de la investigación parlamentaria, han vulnerado los derechos del actor al honor, a la tutela judicial efectiva, a no padecer indefensión, a la defensa, a ser informado de la acusación formulada, a usar los medios de prueba pertinentes para su defensa, a no declarar contra sí mismo, a no confesarse culpable y a la presunción de inocencia en su dimensión extraprocesal (arts. 18.1 y 24.1 y 2 CE). Por tanto, solicita que se le restablezca en su derecho declarando la nulidad de dichas partes del dictamen, en lo que a él se refiere; y haciendo constar en los “Diarios de Sesiones” correspondientes la vulneración de su honor tanto en su comparecencia ante la Comisión como en el debate sobre el dictamen.</w:t>
      </w:r>
    </w:p>
    <w:p w14:paraId="0677FDB6" w14:textId="77777777" w:rsidR="00A8138F" w:rsidRDefault="00A8138F" w:rsidP="00A8138F">
      <w:pPr>
        <w:pStyle w:val="TextoNormal"/>
      </w:pPr>
    </w:p>
    <w:p w14:paraId="2E458488" w14:textId="77777777" w:rsidR="00A8138F" w:rsidRDefault="00A8138F" w:rsidP="00A8138F">
      <w:pPr>
        <w:pStyle w:val="TextoNormal"/>
      </w:pPr>
      <w:r>
        <w:t>Por su parte, la letrada de las Cortes Generales solicita la desestimación del recurso. Entiende que la Comisión no se ha extralimitado en el ejercicio de sus facultades, ya que sus conclusiones y recomendaciones no establecen responsabilidades jurídicas ni sanciones, limitándose a declarar unas responsabilidades políticas carentes de consecuencias jurídicas, por lo que no lesionan la vertiente extraprocesal de la presunción de inocencia protegida en nuestro sistema por el derecho fundamental al honor. En tal tesitura, deben protegerse los derechos fundamentales a la participación política y al ejercicio de las funciones públicas (art. 23 CE), cuyo vaciamiento injustificado imposibilitaría el control parlamentario del Gobierno. En cuanto a la comparecencia del recurrente, considera que se ajustó a los procedimientos legales y reglamentarios, sin perjuicio de que algunas intervenciones, de valor puramente político, pudieran llegar a incomodar el ánimo del compareciente, lo que se considera normal en la atmósfera típica de estas investigaciones.</w:t>
      </w:r>
    </w:p>
    <w:p w14:paraId="0655682F" w14:textId="77777777" w:rsidR="00A8138F" w:rsidRDefault="00A8138F" w:rsidP="00A8138F">
      <w:pPr>
        <w:pStyle w:val="TextoNormal"/>
      </w:pPr>
    </w:p>
    <w:p w14:paraId="1C8255EB" w14:textId="6E411EC8" w:rsidR="00A8138F" w:rsidRDefault="00A8138F" w:rsidP="00A8138F">
      <w:pPr>
        <w:pStyle w:val="TextoNormal"/>
      </w:pPr>
      <w:r>
        <w:t>Igualmente, la fiscal interesa que el recurso sea desestimado. Por una parte, y en cuanto a su objeto, estima que el único acto parlamentario definitivo y firme respecto del que cabe acudir a la vía del amparo es el acuerdo del Pleno que aprueba el dictamen de la Comisión de Investigación: el resto de los actos impugnados son únicamente de trámite o preparatorios, solo impugnables en la medida en que pudieran propiciar la efectividad de la lesión alegada con la aprobación plenaria del dictamen; mientras que el reproche dirigido contra la actividad indagatoria de la Cámara por contradecir resoluciones judiciales firmes es un argumento más en favor de su alegación de fondo: las conclusiones adoptadas invadirían competencias exclusivas de los órganos judiciales, vulnerando así los derechos a la tutela judicial efectiva sin indefensión y a la presunción de inocencia en su vertiente extraprocesal. Respecto a esta última, coincide con la representación letrada del Congreso de los Diputados al descartarla, por cuanto las conclusiones controvertidas no atribuyen al recurrente acto ilícito alguno de manera individualizada, limitándose a declarar una responsabilidad política exigible colectivamente a diversas personas, en virtud de las responsabilidades que les concernían en el funcionamiento de un sistema de seguridad en su conjunto.</w:t>
      </w:r>
    </w:p>
    <w:p w14:paraId="5F7BFFB4" w14:textId="77777777" w:rsidR="00A8138F" w:rsidRDefault="00A8138F" w:rsidP="00A8138F">
      <w:pPr>
        <w:pStyle w:val="TextoNormal"/>
      </w:pPr>
    </w:p>
    <w:p w14:paraId="4C4245A5" w14:textId="77777777" w:rsidR="00A8138F" w:rsidRDefault="00A8138F" w:rsidP="00A8138F">
      <w:pPr>
        <w:pStyle w:val="TextoNormal"/>
      </w:pPr>
      <w:r w:rsidRPr="00A8138F">
        <w:rPr>
          <w:rStyle w:val="NumeroAFNegritaCaracter"/>
        </w:rPr>
        <w:t>2</w:t>
      </w:r>
      <w:r>
        <w:t xml:space="preserve">. </w:t>
      </w:r>
      <w:r w:rsidRPr="00A8138F">
        <w:rPr>
          <w:i/>
        </w:rPr>
        <w:t>Consideraciones previas: síntesis de la doctrina constitucional relevante en la materia</w:t>
      </w:r>
    </w:p>
    <w:p w14:paraId="57035724" w14:textId="77777777" w:rsidR="00A8138F" w:rsidRDefault="00A8138F" w:rsidP="00A8138F">
      <w:pPr>
        <w:pStyle w:val="TextoNormal"/>
      </w:pPr>
    </w:p>
    <w:p w14:paraId="07DC36CA" w14:textId="77777777" w:rsidR="00A8138F" w:rsidRDefault="00A8138F" w:rsidP="00A8138F">
      <w:pPr>
        <w:pStyle w:val="TextoNormal"/>
      </w:pPr>
      <w:r>
        <w:t>A) Debemos recordar ahora la doctrina sentada previamente por este tribunal en relación con los derechos que se dicen vulnerados, doctrina que ha sido sintetizada en la STC 133/2018, citada por todas las partes de este procedimiento, y la STC 77/2023, de 20 de junio, como sigue:</w:t>
      </w:r>
    </w:p>
    <w:p w14:paraId="63C30E93" w14:textId="77777777" w:rsidR="00A8138F" w:rsidRDefault="00A8138F" w:rsidP="00A8138F">
      <w:pPr>
        <w:pStyle w:val="TextoNormal"/>
      </w:pPr>
    </w:p>
    <w:p w14:paraId="0D3D11CF" w14:textId="77777777" w:rsidR="00A8138F" w:rsidRDefault="00A8138F" w:rsidP="00A8138F">
      <w:pPr>
        <w:pStyle w:val="TextoNormal"/>
      </w:pPr>
      <w:r>
        <w:t>a) En primer lugar, según la STC 133/2018, FJ 4 a), los derechos a la tutela judicial efectiva con interdicción de indefensión y a un proceso con todas las garantías (art. 24.1 y 2 CE) operan en el ámbito de los procedimientos jurisdiccionales y los administrativos de carácter sancionador; por lo que su alegada vulneración en el ámbito de las investigaciones parlamentarias ha de reconducirse a la del derecho a la presunción de inocencia (art. 24.2 CE), en su dimensión extraprocesal.</w:t>
      </w:r>
    </w:p>
    <w:p w14:paraId="1F486180" w14:textId="77777777" w:rsidR="00A8138F" w:rsidRDefault="00A8138F" w:rsidP="00A8138F">
      <w:pPr>
        <w:pStyle w:val="TextoNormal"/>
      </w:pPr>
    </w:p>
    <w:p w14:paraId="04979E60" w14:textId="77777777" w:rsidR="00A8138F" w:rsidRDefault="00A8138F" w:rsidP="00A8138F">
      <w:pPr>
        <w:pStyle w:val="TextoNormal"/>
      </w:pPr>
      <w:r>
        <w:t>En lo que ahora interesa, este derecho, reconocido por el Tribunal Europeo de Derechos Humanos en el marco del artículo 6.2 del Convenio europeo de derechos humanos, consiste en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w:t>
      </w:r>
    </w:p>
    <w:p w14:paraId="67A6C631" w14:textId="77777777" w:rsidR="00A8138F" w:rsidRDefault="00A8138F" w:rsidP="00A8138F">
      <w:pPr>
        <w:pStyle w:val="TextoNormal"/>
      </w:pPr>
    </w:p>
    <w:p w14:paraId="3C84F1BB" w14:textId="77777777" w:rsidR="00A8138F" w:rsidRDefault="00A8138F" w:rsidP="00A8138F">
      <w:pPr>
        <w:pStyle w:val="TextoNormal"/>
      </w:pPr>
      <w:r>
        <w:t>Por su parte, la STC 77/2023, FJ 5 a), afirma que “como regla de tratamiento, la presunción de inocencia impide tener por culpable a quien no ha sido declarado así tras un previo juicio justo”, reconociéndose “el carácter autónomo del derecho a la presunción de inocencia en su dimensión extraprocesal, examinando su posible lesión sin tener en cuenta el contenido constitucionalmente protegido por otros derechos fundamentales”.</w:t>
      </w:r>
    </w:p>
    <w:p w14:paraId="024686CC" w14:textId="77777777" w:rsidR="00A8138F" w:rsidRDefault="00A8138F" w:rsidP="00A8138F">
      <w:pPr>
        <w:pStyle w:val="TextoNormal"/>
      </w:pPr>
    </w:p>
    <w:p w14:paraId="088B5DBF" w14:textId="77777777" w:rsidR="00A8138F" w:rsidRDefault="00A8138F" w:rsidP="00A8138F">
      <w:pPr>
        <w:pStyle w:val="TextoNormal"/>
      </w:pPr>
      <w:r>
        <w:t xml:space="preserve">Se refiere dicha sentencia, en su fundamento jurídico 6, a la vinculación de las comisiones de investigación parlamentarias al derecho a la presunción de inocencia en su vertiente extraprocesal, afirmando a dicho respecto que “la presunción de inocencia como regla de tratamiento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 Tal derecho se lesiona, pues, cuando las autoridades públicas “imputan ilícitos a una persona a pesar de que su culpabilidad no haya sido declarada por un tribunal, en el seno del proceso judicial público diseñado al efecto por el legislador y con todas las garantías”; es decir, cuando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 En este sentido se ha pronunciado también el Tribunal Europeo de Derechos Humanos (STEDH de 18 de febrero de 2016, asunto </w:t>
      </w:r>
      <w:r w:rsidRPr="00A8138F">
        <w:rPr>
          <w:i/>
        </w:rPr>
        <w:t>Rywin c. Polonia</w:t>
      </w:r>
      <w:r>
        <w:t>, § 205).</w:t>
      </w:r>
    </w:p>
    <w:p w14:paraId="1677AA36" w14:textId="77777777" w:rsidR="00A8138F" w:rsidRDefault="00A8138F" w:rsidP="00A8138F">
      <w:pPr>
        <w:pStyle w:val="TextoNormal"/>
      </w:pPr>
    </w:p>
    <w:p w14:paraId="70150363" w14:textId="77777777" w:rsidR="00A8138F" w:rsidRDefault="00A8138F" w:rsidP="00A8138F">
      <w:pPr>
        <w:pStyle w:val="TextoNormal"/>
      </w:pPr>
      <w:r>
        <w:t>b) El derecho al honor (STC 133/2018, FJ 4) “es una emanación de la dignidad, entendido como derecho a ser respetado por los demás”. Y, pese a reconocer la imprecisión de su objeto, se subrayaba que “este derecho ampara la buena reputación de una persona, protegiéndola frente a expresiones o mensajes que la hagan desmerecer en la consideración ajena al ir en su descrédito o menosprecio o que sean tenidas en el concepto público por afrentosas”. En definitiva, protege “la indemnidad de la apreciación que de una persona pueden tener los demás” (no la que ella desearía tener), prohibiendo “que nadie se refiera a una persona de forma insultante o injuriosa o atentando injustificadamente contra su reputación, haciéndola desmerecer ante la opinión ajena”.</w:t>
      </w:r>
    </w:p>
    <w:p w14:paraId="5579AA13" w14:textId="77777777" w:rsidR="00A8138F" w:rsidRDefault="00A8138F" w:rsidP="00A8138F">
      <w:pPr>
        <w:pStyle w:val="TextoNormal"/>
      </w:pPr>
    </w:p>
    <w:p w14:paraId="148C5026" w14:textId="77777777" w:rsidR="00A8138F" w:rsidRDefault="00A8138F" w:rsidP="00A8138F">
      <w:pPr>
        <w:pStyle w:val="TextoNormal"/>
      </w:pPr>
      <w:r>
        <w:t>Este derecho, prosigue la reiterada sentencia, “protege también frente a aquellas críticas o informaciones acerca de la conducta profesional o laboral de una persona que puedan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Añadiendo que “si bien es cierto que las personas que ejercen funciones públicas o resultan implicadas en asuntos de relevancia pública deben soportar un cierto mayor riesgo de injerencia en sus derechos de la personalidad que las personas privadas”, también ellas son titulares de este derecho.</w:t>
      </w:r>
    </w:p>
    <w:p w14:paraId="15D99301" w14:textId="77777777" w:rsidR="00A8138F" w:rsidRDefault="00A8138F" w:rsidP="00A8138F">
      <w:pPr>
        <w:pStyle w:val="TextoNormal"/>
      </w:pPr>
    </w:p>
    <w:p w14:paraId="167EF687" w14:textId="77777777" w:rsidR="00A8138F" w:rsidRDefault="00A8138F" w:rsidP="00A8138F">
      <w:pPr>
        <w:pStyle w:val="TextoNormal"/>
      </w:pPr>
      <w:r>
        <w:t>B) Asimismo, resulta pertinente recordar la doctrina constitucional sobre la actividad de las comisiones de investigación.</w:t>
      </w:r>
    </w:p>
    <w:p w14:paraId="47AD0804" w14:textId="77777777" w:rsidR="00A8138F" w:rsidRDefault="00A8138F" w:rsidP="00A8138F">
      <w:pPr>
        <w:pStyle w:val="TextoNormal"/>
      </w:pPr>
    </w:p>
    <w:p w14:paraId="4ABF82AF" w14:textId="77777777" w:rsidR="00A8138F" w:rsidRDefault="00A8138F" w:rsidP="00A8138F">
      <w:pPr>
        <w:pStyle w:val="TextoNormal"/>
      </w:pPr>
      <w:r>
        <w:t xml:space="preserve">a) La actividad parlamentaria de investigación, como afirma la STC 133/2018, FJ 8, es concebida como “actividad de naturaleza estrictamente política, que en modo alguno puede ser reputada o calificada como jurisdiccional”, como resulta “con nitidez del artículo 117.3 CE, que con carácter exclusivo reserva el ejercicio de la función jurisdiccional a los jueces y tribunales”. Tampoco puede confundirse esta actividad con la potestad administrativa sancionadora, que expresa también el </w:t>
      </w:r>
      <w:r w:rsidRPr="00A8138F">
        <w:rPr>
          <w:i/>
        </w:rPr>
        <w:t>ius puniendi</w:t>
      </w:r>
      <w:r>
        <w:t xml:space="preserve"> del Estado y está igualmente sometida “a las necesarias cautelas que preserven y garanticen, con ciertos matices, tanto los principios sustantivos del propio artículo 25 CE como las garantías procedimentales del artículo 24.2 CE”. En definitiva, en el ejercicio de su función investigadora las Cámaras “no pueden adoptar decisiones de carácter sancionador en relación ni con el objeto ni con los sujetos de la investigación”.</w:t>
      </w:r>
    </w:p>
    <w:p w14:paraId="596BAB2A" w14:textId="77777777" w:rsidR="00A8138F" w:rsidRDefault="00A8138F" w:rsidP="00A8138F">
      <w:pPr>
        <w:pStyle w:val="TextoNormal"/>
      </w:pPr>
    </w:p>
    <w:p w14:paraId="395DE3E1" w14:textId="77777777" w:rsidR="00A8138F" w:rsidRDefault="00A8138F" w:rsidP="00A8138F">
      <w:pPr>
        <w:pStyle w:val="TextoNormal"/>
      </w:pPr>
      <w:r>
        <w:t>Las cámaras son órganos de naturaleza política, que emiten “juicios de oportunidad política” conforme a “criterios políticos o de oportunidad” y “care[ntes] de efectos jurídicos”, que no vinculan a los tribunales ni afectan a las resoluciones judiciales (art. 76 CE). En consecuencia, en nuestro ordenamiento “el ámbito constitucionalmente posible de la actividad investigadora parlamentaria” se define porque ha de desarrollarse “con arreglo a parámetros, no de legalidad, sino políticos o de oportunidad”, limitándose “al esclarecimiento o conocimiento más exacto posible de los hechos objeto de la investigación”, así como “a la determinación de la responsabilidad política […] de los sujetos intervinientes en los mismos” (excluyendo cualquier responsabilidad “en virtud de actuaciones constitutivas de ilícitos penales o administrativos”) y, “en su caso, a la formulación de propuestas o recomendaciones”.</w:t>
      </w:r>
    </w:p>
    <w:p w14:paraId="1A892278" w14:textId="77777777" w:rsidR="00A8138F" w:rsidRDefault="00A8138F" w:rsidP="00A8138F">
      <w:pPr>
        <w:pStyle w:val="TextoNormal"/>
      </w:pPr>
    </w:p>
    <w:p w14:paraId="6D60FE28" w14:textId="77777777" w:rsidR="00A8138F" w:rsidRDefault="00A8138F" w:rsidP="00A8138F">
      <w:pPr>
        <w:pStyle w:val="TextoNormal"/>
      </w:pPr>
      <w:r>
        <w:t xml:space="preserve">Así entendido, excede de ese marco “no solo, como es obvio, cualquier posible calificación jurídica de eventuales actos o conductas punibles, sino también su imputación o atribución individualizada a los sujetos a los que pudiera alcanzar la investigación”, porque tal atribución “de comportamientos ilícitos merecedores de pena o sanción” está reservada en nuestro ordenamiento “a los órganos que tienen encomendado el ejercicio del </w:t>
      </w:r>
      <w:r w:rsidRPr="00A8138F">
        <w:rPr>
          <w:i/>
        </w:rPr>
        <w:t>ius puniendi</w:t>
      </w:r>
      <w:r>
        <w:t xml:space="preserve"> del Estado, que puede manifestarse de manera constitucionalmente legítima tanto a través del derecho penal como del derecho administrativo sancionador [STC 215/2016, de 15 de diciembre, FJ 8 a)]”. Todo ello sin perjuicio, naturalmente, de que las Cámaras puedan poner en conocimiento del Ministerio Fiscal o del órgano o autoridad correspondientes cualquier indicio o sospecha de supuestas conductas delictivas o ilícitos administrativos, para que actúen como estimen procedente.</w:t>
      </w:r>
    </w:p>
    <w:p w14:paraId="3F03CDFA" w14:textId="77777777" w:rsidR="00A8138F" w:rsidRDefault="00A8138F" w:rsidP="00A8138F">
      <w:pPr>
        <w:pStyle w:val="TextoNormal"/>
      </w:pPr>
    </w:p>
    <w:p w14:paraId="7D45AD97" w14:textId="77777777" w:rsidR="00A8138F" w:rsidRDefault="00A8138F" w:rsidP="00A8138F">
      <w:pPr>
        <w:pStyle w:val="TextoNormal"/>
      </w:pPr>
      <w:r>
        <w:t>En suma, “las conclusiones que las Cámaras puedan alcanzar en el ejercicio de sus facultades investigadoras deben estar exentas de cualquier apreciación o imputación individualizada de conductas o acciones ilícitas a los sujetos investigados”. En este sentido, se recuerda que el Tribunal Europeo de Derechos Humanos “ha resaltado ‘la importancia de la elección de los términos empleados por los agentes del Estado en las declaraciones que formulen antes de que una persona haya sido juzgada y reconocida culpable de una infracción’, [distinguiendo] ‘entre las declaraciones que reflejan el sentimiento de que la persona afectada es culpable y las que se limitan a describir un estado de sospecha. Las primeras vulneran la presunción de inocencia mientras que las segundas han sido consideradas repetidas veces conformes al espíritu del artículo 6 del Convenio’” y, por tanto, no lesivas del derecho a la presunción de inocencia en su dimensión extraprocesal, protegido en nuestro ordenamiento a través del derecho al honor.</w:t>
      </w:r>
    </w:p>
    <w:p w14:paraId="1D82E396" w14:textId="77777777" w:rsidR="00A8138F" w:rsidRDefault="00A8138F" w:rsidP="00A8138F">
      <w:pPr>
        <w:pStyle w:val="TextoNormal"/>
      </w:pPr>
    </w:p>
    <w:p w14:paraId="06579451" w14:textId="77777777" w:rsidR="00A8138F" w:rsidRDefault="00A8138F" w:rsidP="00A8138F">
      <w:pPr>
        <w:pStyle w:val="TextoNormal"/>
      </w:pPr>
      <w:r>
        <w:t>b) Por otra parte, la actuación de las comisiones parlamentarias de investigación, cuya naturaleza es esencialmente política, encuentra ciertos límites directamente derivados del principio de separación de poderes [STC 77/2023, FJ 3 A)]. En concreto, “toda actividad indagatoria encaminada a verificar si determinadas conductas constituyen infracciones de naturaleza penal o administrativa, mediante la constatación de la concurrencia de sus elementos típicos, y/o a determinar a quién debe atribuirse su autoría, mediante la constatación del grado de participación que en tales ilícitos penales y/o administrativos haya podido tener la persona investigada, excedería de las competencias legal y constitucionalmente atribuidas a una comisión parlamentaria de investigación”.</w:t>
      </w:r>
    </w:p>
    <w:p w14:paraId="2F4BA0C2" w14:textId="77777777" w:rsidR="00A8138F" w:rsidRDefault="00A8138F" w:rsidP="00A8138F">
      <w:pPr>
        <w:pStyle w:val="TextoNormal"/>
      </w:pPr>
    </w:p>
    <w:p w14:paraId="3A064E1A" w14:textId="77777777" w:rsidR="00A8138F" w:rsidRDefault="00A8138F" w:rsidP="00A8138F">
      <w:pPr>
        <w:pStyle w:val="TextoNormal"/>
      </w:pPr>
      <w:r>
        <w:t xml:space="preserve">Tales límites se proyectan no solo sobre sus conclusiones, “sino también sobre todo el proceso indagatorio o de investigación” [STC 77/2023, FJ 3 A) a)]. Por lo tanto, sigue la citada sentencia, si “en el curso de la investigación de hechos susceptibles de generar una responsabilidad política” se identificasen “conductas que revistan caracteres de delito o infracción administrativa”, la Cámara “habrá de ponerlo en conocimiento de los órganos judiciales o administrativos que tienen encomendado el ejercicio del </w:t>
      </w:r>
      <w:r w:rsidRPr="00A8138F">
        <w:rPr>
          <w:i/>
        </w:rPr>
        <w:t>ius puniendi</w:t>
      </w:r>
      <w:r>
        <w:t>, y dejar que sean estos órganos los que a partir de ese momento se encarguen de investigar los hechos desde la óptica indicada con anterioridad, es decir, encaminada a verificar si las conductas detectadas constituyen infracción de naturaleza penal o administrativa, mediante la constatación de la concurrencia o no de sus elementos típicos, y/o a determinar a quién debe imputarse su autoría, mediante la constatación del grado de participación que en tales ilícitos penales y/o administrativos haya podido tener la persona investigada. La investigación parlamentaria podrá tomar en consideración estos hechos o conductas pero desde una óptica limitada por lo que constituye objeto de su competencia, esto es, la responsabilidad estrictamente política que pudiera derivar de una deficiente o negligente gestión del interés público encomendado a las personas o entidades investigadas, a los solos efectos de determinar, atendiendo a criterios de agenda u oportunidad política, en qué medida el interés público cuya gestión les había sido encomendada pudo verse perjudicado, perturbado o desviado de los objetivos que les habían sido asignados”.</w:t>
      </w:r>
    </w:p>
    <w:p w14:paraId="566953AC" w14:textId="77777777" w:rsidR="00A8138F" w:rsidRDefault="00A8138F" w:rsidP="00A8138F">
      <w:pPr>
        <w:pStyle w:val="TextoNormal"/>
      </w:pPr>
    </w:p>
    <w:p w14:paraId="541A0293" w14:textId="77777777" w:rsidR="00A8138F" w:rsidRDefault="00A8138F" w:rsidP="00A8138F">
      <w:pPr>
        <w:pStyle w:val="TextoNormal"/>
      </w:pPr>
      <w:r>
        <w:t>Así entendidos, como afirma la citada STC 77/2023, FJ 3 A) b), “los límites antes referidos a la coexistencia de la investigación parlamentaria y la investigación judicial penal están en perfecta sintonía, no solo con la división de poderes a la que se ha aludido, sino también con la necesidad de preservar los derechos fundamentales de los ciudadanos.</w:t>
      </w:r>
    </w:p>
    <w:p w14:paraId="5F1E7EE8" w14:textId="77777777" w:rsidR="00A8138F" w:rsidRDefault="00A8138F" w:rsidP="00A8138F">
      <w:pPr>
        <w:pStyle w:val="TextoNormal"/>
      </w:pPr>
    </w:p>
    <w:p w14:paraId="5FF0FD35" w14:textId="77777777" w:rsidR="00A8138F" w:rsidRDefault="00A8138F" w:rsidP="00A8138F">
      <w:pPr>
        <w:pStyle w:val="TextoNormal"/>
      </w:pPr>
      <w:r>
        <w:t xml:space="preserve">La disposición contenida en el art. 76 CE —las conclusiones de la comisión no serán vinculantes para los tribunales ni afectarán a las resoluciones judiciales, sin perjuicio de que el resultado de la investigación sea comunicado, en su caso, al Ministerio Fiscal— constituye una exigencia o una consecuencia derivada de los derechos fundamentales consagrados en el art. 24 CE, que debe desplegar toda su eficacia en el proceso judicial. Dicha exigencia puede verse comprometida cuando, coexistiendo ambas investigaciones y produciéndose una coincidencia entre el objeto y el sujeto de la investigación, la labor indagatoria de la comisión parlamentaria se orienta, desde una óptica netamente criminalística, a determinar si la conducta investigada reúne los elementos propios de un delito y si la persona investigada ha participado en ella a título de autora, coautora o cómplice, produciéndose una conmixtión de funciones que, como se ha dicho, está constitucionalmente vedada. Tal forma de actuar, arrogándose una función que corresponde a los órganos que tienen atribuido el ejercicio del </w:t>
      </w:r>
      <w:r w:rsidRPr="00A8138F">
        <w:rPr>
          <w:i/>
        </w:rPr>
        <w:t>ius puniendi</w:t>
      </w:r>
      <w:r>
        <w:t xml:space="preserve"> del Estado sin las debidas garantías, puede incidir, además, en el derecho a la presunción de inocencia de la persona investigada en su vertiente extraprocesal”.</w:t>
      </w:r>
    </w:p>
    <w:p w14:paraId="0E65D8DA" w14:textId="77777777" w:rsidR="00A8138F" w:rsidRDefault="00A8138F" w:rsidP="00A8138F">
      <w:pPr>
        <w:pStyle w:val="TextoNormal"/>
      </w:pPr>
    </w:p>
    <w:p w14:paraId="7E49B250" w14:textId="77777777" w:rsidR="00A8138F" w:rsidRDefault="00A8138F" w:rsidP="00A8138F">
      <w:pPr>
        <w:pStyle w:val="TextoNormal"/>
      </w:pPr>
      <w:r>
        <w:t>Eso fue lo que ocurrió, dice el Tribunal, en el asunto entonces analizado, donde “la actuación de los diputados durante las comparecencias” de la entonces demandante de amparo puso de manifiesto la existencia de “preguntas y observaciones que no se centraron en lo que realmente constituía [el] objeto [de la investigación]” [STC 77/2023, FJ 7 A)]. Dichas intervenciones parlamentarias (detalladamente examinadas) se orientaron “de manera casi exclusiva a determinar la existencia de unos hechos concretos que la propia comisión calificó reiteradamente de delictivos o ‘indiciariamente delictivos’ y la participación en tales hechos de la compareciente a título de autora o cooperadora necesaria”, ante la “absoluta inacción de la mesa de la comisión” [STC 77/2023, FJ 7 A) b)].</w:t>
      </w:r>
    </w:p>
    <w:p w14:paraId="06339690" w14:textId="77777777" w:rsidR="00A8138F" w:rsidRDefault="00A8138F" w:rsidP="00A8138F">
      <w:pPr>
        <w:pStyle w:val="TextoNormal"/>
      </w:pPr>
    </w:p>
    <w:p w14:paraId="42BB2F5A" w14:textId="77777777" w:rsidR="00A8138F" w:rsidRDefault="00A8138F" w:rsidP="00A8138F">
      <w:pPr>
        <w:pStyle w:val="TextoNormal"/>
      </w:pPr>
      <w:r>
        <w:t>c) Ahora bien, la STC 77/2023, FJ 7 A) b), precisó, en relación con las actuaciones realizadas por distintos miembros de la comisión de investigación, que “por no tener la condición de órganos de las Cámaras, no es posible promover un recurso de amparo por la vía del art. 42 LOTC contra las actuaciones individuales de sus miembros, puesto que en estas actuaciones individuales no son poderes públicos en el sentido del art. 41.2 LOTC, ni agentes o funcionarios de estos. Es el órgano del que forman parte, y no los diputados individualmente considerados, el que debe ser considerado como poder público, dado que solo el órgano como tal es el que puede producir disposiciones o actos, o actuar siguiendo vías de hecho, en términos capaces de imponer obligaciones a los ciudadanos y lesionar así sus derechos fundamentales (ATC 147/1982, de 22 de abril, FJ 4)”.</w:t>
      </w:r>
    </w:p>
    <w:p w14:paraId="01E8580D" w14:textId="77777777" w:rsidR="00A8138F" w:rsidRDefault="00A8138F" w:rsidP="00A8138F">
      <w:pPr>
        <w:pStyle w:val="TextoNormal"/>
      </w:pPr>
    </w:p>
    <w:p w14:paraId="294F06A5" w14:textId="0E128C46" w:rsidR="00A8138F" w:rsidRDefault="00A8138F" w:rsidP="00A8138F">
      <w:pPr>
        <w:pStyle w:val="TextoNormal"/>
      </w:pPr>
      <w:r>
        <w:t>En todo caso, de acuerdo con lo que afirmamos en la citada STC 77/2023, FJ 7 A) b), pueden ser objeto de recurso de amparo las decisiones, o la pasividad, de la mesa, ante la solicitud de amparo del compareciente. En esta sentencia se da cuenta de que, en el caso planteado, “a raíz de estas actuaciones individuales de distintos diputados miembros de la comisión”, la entonces recurrente en amparo solicitó hasta en tres ocasiones el amparo de la mesa de la comisión, esta sí dotada del carácter de órgano parlamentario. Sin embargo, “la mesa no llevó a cabo la menor intervención o actuación dirigida a otorgar el amparo requerido y poner fin a la vulneración de los derechos fundamentales de la demandante de amparo que se venía produciendo. Esta absoluta inacción de la mesa de la comisión, que permitió con su pasividad la vulneración sucesiva de los derechos fundamentales de la demandante de amparo a través de las intervenciones de los diputados que la integraban, sí resulta susceptible de recurso de amparo por la vía del art. 42 LOTC por tratarse de una actuación emanada del órgano parlamentario legalmente llamado a proteger y amparar los derechos fundamentales vulnerados” [STC 77/2023, FJ 7 A) b)].</w:t>
      </w:r>
    </w:p>
    <w:p w14:paraId="14911E80" w14:textId="77777777" w:rsidR="00A8138F" w:rsidRDefault="00A8138F" w:rsidP="00A8138F">
      <w:pPr>
        <w:pStyle w:val="TextoNormal"/>
      </w:pPr>
    </w:p>
    <w:p w14:paraId="618B3E10"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al presente recurso de amparo</w:t>
      </w:r>
    </w:p>
    <w:p w14:paraId="5A2E91CD" w14:textId="77777777" w:rsidR="00A8138F" w:rsidRDefault="00A8138F" w:rsidP="00A8138F">
      <w:pPr>
        <w:pStyle w:val="TextoNormal"/>
      </w:pPr>
    </w:p>
    <w:p w14:paraId="52B994C4" w14:textId="77777777" w:rsidR="00A8138F" w:rsidRDefault="00A8138F" w:rsidP="00A8138F">
      <w:pPr>
        <w:pStyle w:val="TextoNormal"/>
      </w:pPr>
      <w:r>
        <w:t>A partir de la doctrina expuesta, ya es posible anticipar que su aplicación al presente recurso habrá de llevar a su desestimación.</w:t>
      </w:r>
    </w:p>
    <w:p w14:paraId="1F672596" w14:textId="77777777" w:rsidR="00A8138F" w:rsidRDefault="00A8138F" w:rsidP="00A8138F">
      <w:pPr>
        <w:pStyle w:val="TextoNormal"/>
      </w:pPr>
    </w:p>
    <w:p w14:paraId="4FC3A93B" w14:textId="77777777" w:rsidR="00A8138F" w:rsidRDefault="00A8138F" w:rsidP="00A8138F">
      <w:pPr>
        <w:pStyle w:val="TextoNormal"/>
      </w:pPr>
      <w:r>
        <w:t>a) La demanda impugna la conclusión décima y la recomendación novena del dictamen de la Comisión de Investigación relativa al accidente del vuelo JK5022 de Spanair, aprobado por el Pleno del Congreso de los Diputados el 13 de mayo de 2021. Estas apreciaban la existencia de un “fallo sistémico”, identificándose al demandante como una de las dieciocho personas “responsables en la fecha del accidente que ocuparon puesto de responsabilidad y por tanto asumían decisiones que dentro del sistema se tomaron en el momento del siniestro”; apuntándose asimismo la existencia de “elementos que pudieran arrojar conductas negligentes”, por lo que se recomendaba la remisión de tales conclusiones a la Fiscalía General del Estado para que, en su caso, procediese a las actuaciones que estimase pertinentes. Pero, además, el recurso cuestiona el desarrollo de la comparecencia del recurrente ante dicha Comisión de Investigación, el debate del dictamen en el Pleno y “[l]a actividad indagatoria de la Cámara sobre el accidente” investigado.</w:t>
      </w:r>
    </w:p>
    <w:p w14:paraId="554D10FB" w14:textId="77777777" w:rsidR="00A8138F" w:rsidRDefault="00A8138F" w:rsidP="00A8138F">
      <w:pPr>
        <w:pStyle w:val="TextoNormal"/>
      </w:pPr>
    </w:p>
    <w:p w14:paraId="521D9072" w14:textId="77777777" w:rsidR="00A8138F" w:rsidRDefault="00A8138F" w:rsidP="00A8138F">
      <w:pPr>
        <w:pStyle w:val="TextoNormal"/>
      </w:pPr>
      <w:r>
        <w:t>En relación a este último punto, la fiscal alega que el único acto parlamentario definitivo y firme, y por tanto susceptible de impugnación en amparo, es el acuerdo del Pleno que aprueba el dictamen de la Comisión de Investigación. A su juicio, el resto de los actos aquí controvertidos son únicamente de trámite o preparatorios. A ello añade que, si las conclusiones adoptadas invadiesen competencias exclusivas de los órganos judiciales, vulnerarían los alegados derechos a la tutela judicial efectiva sin indefensión y a la presunción de inocencia en su vertiente extraprocesal.</w:t>
      </w:r>
    </w:p>
    <w:p w14:paraId="2696E884" w14:textId="77777777" w:rsidR="00A8138F" w:rsidRDefault="00A8138F" w:rsidP="00A8138F">
      <w:pPr>
        <w:pStyle w:val="TextoNormal"/>
      </w:pPr>
    </w:p>
    <w:p w14:paraId="67B5D5F3" w14:textId="77777777" w:rsidR="00A8138F" w:rsidRDefault="00A8138F" w:rsidP="00A8138F">
      <w:pPr>
        <w:pStyle w:val="TextoNormal"/>
      </w:pPr>
      <w:r>
        <w:t>Esta posición no se acomoda a la doctrina expuesta en el apartado anterior, según la cual los límites entre la investigación parlamentaria y la investigación judicial penal se proyectan no solo sobre las conclusiones de la Comisión de Investigación, “sino también sobre todo el proceso indagatorio o de investigación”.</w:t>
      </w:r>
    </w:p>
    <w:p w14:paraId="63F4777B" w14:textId="77777777" w:rsidR="00A8138F" w:rsidRDefault="00A8138F" w:rsidP="00A8138F">
      <w:pPr>
        <w:pStyle w:val="TextoNormal"/>
      </w:pPr>
    </w:p>
    <w:p w14:paraId="577CF085" w14:textId="77777777" w:rsidR="00A8138F" w:rsidRDefault="00A8138F" w:rsidP="00A8138F">
      <w:pPr>
        <w:pStyle w:val="TextoNormal"/>
      </w:pPr>
      <w:r>
        <w:t>En este punto debemos precisar el alcance del posible control constitucional de los trabajos de las comisiones parlamentarias de investigación, muy en particular respecto de las intervenciones producidas durante las comparecencias ante ellas. Ciertamente, estas intervenciones gozan de la protección constitucional directa derivada, entre otros preceptos, de aquellos que prevén el control parlamentario de la acción del Gobierno, la inviolabilidad de los parlamentarios o las facultades investigadoras de las Cámaras (arts. 23.2, 66.2, 71.1 y 76 CE); sin embargo, también han de someterse a la Constitución y el resto del ordenamiento jurídico (art. 9.1 CE). Como reconoce el escrito de la letrada del Congreso, no es inusual que los comparecientes resulten incomodados por algunas intervenciones, por su perjuicio o alcance político; pero esa incomodidad no puede extenderse hasta convertirse en indefensión del ciudadano que, cumpliendo un mandato constitucional y legal, comparece ante estas comisiones (especialmente si no es “miembro del Gobierno”, lo que afecta directamente a su responsabilidad política ante las Cámaras: arts. 108 y ss. CE), tanto más cuanto que no está obligado a contestar.</w:t>
      </w:r>
    </w:p>
    <w:p w14:paraId="55BC9C9F" w14:textId="77777777" w:rsidR="00A8138F" w:rsidRDefault="00A8138F" w:rsidP="00A8138F">
      <w:pPr>
        <w:pStyle w:val="TextoNormal"/>
      </w:pPr>
    </w:p>
    <w:p w14:paraId="2580C6AE" w14:textId="77777777" w:rsidR="00A8138F" w:rsidRDefault="00A8138F" w:rsidP="00A8138F">
      <w:pPr>
        <w:pStyle w:val="TextoNormal"/>
      </w:pPr>
      <w:r>
        <w:t>Ya se ha recordado que, en el estricto respeto al principio de autonomía parlamentaria tantas veces reiterado, evidentemente escapa al control de este tribunal la corrección técnica o la conveniencia de cualquier declaración de responsabilidad más o menos genérica, individual o colectiva, nominativa o no, siempre que sea estrictamente política. Pero también hemos admitido la posibilidad del control constitucional sobre el desarrollo de los trabajos de estas comisiones, y en particular de las comparecencias ante ellas, cuando los derechos fundamentales de los comparecientes no son debidamente protegidos por la propia Cámara, a través de los órganos primeramente llamados a ello. Así resulta con nitidez, como ya hemos recapitulado, de la STC 77/2023 en un caso en el que, a diferencia de este, la compareciente “solicitó hasta en tres ocasiones el amparo de la mesa de la comisión”, cuya pasividad se estimó recurrible en amparo por ser “una actuación emanada del órgano parlamentario legalmente llamado a proteger y amparar los derechos fundamentales” que se estimaron vulnerados [FJ 7 A)].</w:t>
      </w:r>
    </w:p>
    <w:p w14:paraId="7D261957" w14:textId="77777777" w:rsidR="00A8138F" w:rsidRDefault="00A8138F" w:rsidP="00A8138F">
      <w:pPr>
        <w:pStyle w:val="TextoNormal"/>
      </w:pPr>
    </w:p>
    <w:p w14:paraId="41C0827D" w14:textId="77777777" w:rsidR="00A8138F" w:rsidRDefault="00A8138F" w:rsidP="00A8138F">
      <w:pPr>
        <w:pStyle w:val="TextoNormal"/>
      </w:pPr>
      <w:r>
        <w:t>En el presente supuesto, como reflejan los antecedentes y recoge la demanda, la posibilidad de esta tutela se recordó al inicio de la comparecencia, cuando la Presidencia de la Comisión recordó su condición de garante de los derechos del compareciente, llegando luego a advertir y corregir a algún diputado por sus expresiones; pero no fue impetrada por el recurrente ni durante la misma ni posteriormente. En efecto, antes de debatirse las conclusiones definitivas, el solicitante de amparo dirigió un escrito a la presidenta de la Cámara, a fin de informarla y “con el ruego de que [sus consideraciones] sean tenidas en cuenta a la hora de adoptar la decisión que corresponda”, manifestando que la mención de su nombre en las conclusiones contradecía la doctrina constitucional y suponía una vulneración de sus derechos al honor y a la presunción de inocencia. Dicho escrito se ceñía, pues, al contenido de las conclusiones, sin aludir al desarrollo de la comparecencia; por lo que no provocó reacción alguna susceptible de ser combatida en amparo, siendo pertinentemente trasladado a los miembros de la Comisión de Investigación y a los grupos parlamentarios para que pudiera ser, como solicitaba, tenido en cuenta. En consecuencia, y a falta de un acto u omisión del órgano competente susceptible de ser objeto de recurso de amparo en los términos anteriormente expuestos, el recurso de amparo ha de ser inadmitido en este punto.</w:t>
      </w:r>
    </w:p>
    <w:p w14:paraId="63EA5AA0" w14:textId="77777777" w:rsidR="00A8138F" w:rsidRDefault="00A8138F" w:rsidP="00A8138F">
      <w:pPr>
        <w:pStyle w:val="TextoNormal"/>
      </w:pPr>
    </w:p>
    <w:p w14:paraId="101F7053" w14:textId="77777777" w:rsidR="00A8138F" w:rsidRDefault="00A8138F" w:rsidP="00A8138F">
      <w:pPr>
        <w:pStyle w:val="TextoNormal"/>
      </w:pPr>
      <w:r>
        <w:t>b) Respecto al fondo del recurso, se invocan los derechos del actor al honor, a la tutela judicial efectiva, a no padecer indefensión, a la defensa, a ser informado de la acusación formulada, a usar los medios de prueba pertinentes para su defensa, a no declarar contra sí mismo, a no confesarse culpable y a la presunción de inocencia en su dimensión extraprocesal (arts. 18.1 y 24.1 y 2 CE); si bien el escrito omite cualquier referencia a algunos de ellos, limitándose en esencia a argumentar sobre los derechos al honor, a la tutela judicial efectiva sin indefensión, a la ausencia de garantías —en particular, en su comparecencia— y a la presunción de inocencia en su dimensión extraprocesal (arts. 18.1 y 24.1 y 2 CE).</w:t>
      </w:r>
    </w:p>
    <w:p w14:paraId="1AF4AEE4" w14:textId="77777777" w:rsidR="00A8138F" w:rsidRDefault="00A8138F" w:rsidP="00A8138F">
      <w:pPr>
        <w:pStyle w:val="TextoNormal"/>
      </w:pPr>
    </w:p>
    <w:p w14:paraId="4D3034C6" w14:textId="77777777" w:rsidR="00A8138F" w:rsidRDefault="00A8138F" w:rsidP="00A8138F">
      <w:pPr>
        <w:pStyle w:val="TextoNormal"/>
      </w:pPr>
      <w:r>
        <w:t>Pues bien, como se ha dicho, en el ámbito de las investigaciones parlamentarias la reiterada STC 133/2018, FJ 4, reconducía las alegaciones de vulneración de los derechos a la tutela judicial efectiva, con interdicción de indefensión, y a un proceso con todas las garantías (art. 24.1 y 2 CE) al derecho a la presunción de inocencia (art. 24.2 CE), en su dimensión extraprocesal, al que la STC 77/2023 dotó de autonomía.</w:t>
      </w:r>
    </w:p>
    <w:p w14:paraId="467ABD88" w14:textId="77777777" w:rsidR="00A8138F" w:rsidRDefault="00A8138F" w:rsidP="00A8138F">
      <w:pPr>
        <w:pStyle w:val="TextoNormal"/>
      </w:pPr>
    </w:p>
    <w:p w14:paraId="1DC0BEDF" w14:textId="77777777" w:rsidR="00A8138F" w:rsidRDefault="00A8138F" w:rsidP="00A8138F">
      <w:pPr>
        <w:pStyle w:val="TextoNormal"/>
      </w:pPr>
      <w:r>
        <w:t>c) En primer lugar, y en lo que atañe a la presunción de inocencia en su dimensión extraprocesal, su configuración jurisprudencial excluye cualquier lesión en este supuesto. En efecto, como subrayan la letrada de las Cortes Generales y la fiscal, conforme a la doctrina sintetizada en la STC 133/2018, los apartados de las conclusiones que aquí se impugnan identifican al demandante, pero, a diferencia de lo que ocurría en los supuestos resueltos por las reiteradas SSTC 133/2018 y 77/2023, no le atribuyen ningún acto ilícito concreto, ni siquiera ningún acto individualizable, limitándose a declarar una responsabilidad expresamente calificada de política y colectiva de diversas personas por el funcionamiento del sistema de seguridad en su conjunto.</w:t>
      </w:r>
    </w:p>
    <w:p w14:paraId="42BB09DC" w14:textId="77777777" w:rsidR="00A8138F" w:rsidRDefault="00A8138F" w:rsidP="00A8138F">
      <w:pPr>
        <w:pStyle w:val="TextoNormal"/>
      </w:pPr>
    </w:p>
    <w:p w14:paraId="406B8FB1" w14:textId="77777777" w:rsidR="00A8138F" w:rsidRDefault="00A8138F" w:rsidP="00A8138F">
      <w:pPr>
        <w:pStyle w:val="TextoNormal"/>
      </w:pPr>
      <w:r>
        <w:t>En cuanto a las lesiones imputadas genéricamente a “[l]a actividad indagatoria de la Cámara” y al desarrollo de los trabajos de la Comisión, y una vez excluidas las atribuidas a las intervenciones producidas durante la comparecencia del recurrente, tampoco el resto sus quejas resultan sostenibles. En efecto, como subraya la representación procesal de la Cámara, la comparecencia se ajustó, en su convocatoria y desarrollo, a los procedimientos legales y reglamentarios (distintos, obviamente, de los previstos para los procedimientos judiciales). También el Ministerio Público apunta correctamente que, más allá de recoger algunas alusiones básicamente impersonales y puramente genéricas, la demanda no aporta argumentos específicos que permitan apreciar lesión alguna. En todo caso, tales alusiones se alejan también de los parámetros exigidos por la más reciente STC 77/2023, FJ 6, según los cuales este derecho se quiebra no solo cuando “las autoridades públicas siembran dudas sobre la inocencia de una persona que ha sido absuelta por resolución judicial firme” (como se apreció en las SSTC 8/2017, de 19 de enero, y 10/2017, de 30 de enero), sino también cuando “una autoridad pública impute hechos ilícitos o declare culpable a una persona que tiene la consideración de investigada en un proceso penal, o que eventualmente pudiera serlo, pero que todavía no ha sido condenada mediante sentencia firme”. En conclusión, se actualiza la distinción esbozada por el Tribunal Europeo de Derechos Humanos [acogida por nuestra doctrina, SSTC 133/2018, FJ 8 b), y 77/2023, FFJJ 5 b) (iii)], de modo que la lesión “queda consumada en el momento en que desde el poder público se emitan declaraciones que no se limiten a describir un ‘estado de sospecha’ sino que vayan más allá, reflejando ‘la sensación de que la persona en cuestión es culpable’” (FJ 6).</w:t>
      </w:r>
    </w:p>
    <w:p w14:paraId="7F27B7ED" w14:textId="77777777" w:rsidR="00A8138F" w:rsidRDefault="00A8138F" w:rsidP="00A8138F">
      <w:pPr>
        <w:pStyle w:val="TextoNormal"/>
      </w:pPr>
    </w:p>
    <w:p w14:paraId="0D1FDA38" w14:textId="77777777" w:rsidR="00A8138F" w:rsidRDefault="00A8138F" w:rsidP="00A8138F">
      <w:pPr>
        <w:pStyle w:val="TextoNormal"/>
      </w:pPr>
      <w:r>
        <w:t>d) Esos mismos razonamientos permiten excluir, desde una perspectiva más amplia, las alegaciones referidas al derecho al honor (art. 18.1 CE, STC 133/2018, FJ 4), cuya vulneración no requiere la imputación individualizada de ilícitos concretos (que afectaría a la dimensión extraprocesal de la presunción de inocencia), bastando cualquier mensaje que, “de forma insultante o injuriosa” atente injustificadamente contra la reputación del demandante, haciéndole “desmerecer en la consideración ajena al ir en su descrédito o menosprecio”.</w:t>
      </w:r>
    </w:p>
    <w:p w14:paraId="0CEB9B2D" w14:textId="77777777" w:rsidR="00A8138F" w:rsidRDefault="00A8138F" w:rsidP="00A8138F">
      <w:pPr>
        <w:pStyle w:val="TextoNormal"/>
      </w:pPr>
    </w:p>
    <w:p w14:paraId="0EA6CF46" w14:textId="77777777" w:rsidR="00A8138F" w:rsidRDefault="00A8138F" w:rsidP="00A8138F">
      <w:pPr>
        <w:pStyle w:val="TextoNormal"/>
      </w:pPr>
      <w:r>
        <w:t>En efecto, el examen de las concretas partes del dictamen aquí combatidas y de las intervenciones parlamentarias señaladas tampoco permite apreciar la existencia de afirmaciones concretamente insultantes, injuriosas o desmerecedoras, y por tanto lesivas del derecho al honor del recurrente. Por una parte, porque el hecho de que ya no ocupase ningún puesto de responsabilidad pública ni en el momento del siniestro investigado, ni en el de la investigación parlamentaria, no obsta en absoluto a que le resulte aplicable la doctrina según la cual “las personas que ejercen [o, en este caso, hubieran ejercido] funciones públicas […] deben soportar un cierto mayor riesgo de injerencia en sus derechos de la personalidad que las personas privadas”. Por otra, porque tal afirmación resulta especialmente aplicable cuando tal injerencia resulta de la actividad investigadora de una Cámara parlamentaria, la cual (como afirma, de nuevo, la tantas veces citada STC 133/2018, FJ 7) tiene “por objeto, no solo, como es obvio, el control” del Gobierno, sino también la acción de la administración situada bajo su dirección (art. 97 CE): no parece discutible que quien había sido nombrado por la ministra competente como director general de la entidad pública empresarial encargada de la gestión de los aeropuertos y la navegación aérea pudiera verse afectado, incluso de manera intensa, por la investigación sobre un accidente aéreo producido en uno de los aeropuertos sujetos a su gestión (de hecho, en el principal de todos). Y, finalmente, porque los textos controvertidos afirman una responsabilidad política genérica, colectiva, aunque nominativa, y puramente difusa, sin incluir críticas concretas ni individualizables. Un contenido que, al margen de cualquier consideración sobre su corrección técnica o conveniencia, impide aplicar al caso la doctrina según la cual el derecho al honor puede proteger frente a las “críticas o informaciones acerca de la conducta profesional o laboral de una persona” por la relevancia de tal actividad para su reputación; y tampoco permite por tanto apreciar lesión alguna.</w:t>
      </w:r>
    </w:p>
    <w:p w14:paraId="00394269" w14:textId="77777777" w:rsidR="00A8138F" w:rsidRDefault="00A8138F" w:rsidP="00A8138F">
      <w:pPr>
        <w:pStyle w:val="TextoNormal"/>
      </w:pPr>
    </w:p>
    <w:p w14:paraId="5E9F3855" w14:textId="2FB55C0F" w:rsidR="00A8138F" w:rsidRDefault="00A8138F" w:rsidP="00A8138F">
      <w:pPr>
        <w:pStyle w:val="TextoNormal"/>
      </w:pPr>
      <w:r>
        <w:t>En definitiva, las consideraciones anteriores conducen a desestimar el amparo solicitado.</w:t>
      </w:r>
    </w:p>
    <w:p w14:paraId="2B170DE4" w14:textId="77777777" w:rsidR="00A8138F" w:rsidRDefault="00A8138F" w:rsidP="00A8138F">
      <w:pPr>
        <w:pStyle w:val="TextoNormal"/>
      </w:pPr>
    </w:p>
    <w:p w14:paraId="40EC33AA" w14:textId="77777777" w:rsidR="00A8138F" w:rsidRDefault="00A8138F" w:rsidP="00A8138F">
      <w:pPr>
        <w:pStyle w:val="TextoNormalCentrado"/>
        <w:keepNext/>
      </w:pPr>
      <w:r>
        <w:t>FALLO</w:t>
      </w:r>
    </w:p>
    <w:p w14:paraId="0165A7BB" w14:textId="33E05A12" w:rsidR="00A8138F" w:rsidRDefault="00A8138F" w:rsidP="00A8138F">
      <w:pPr>
        <w:pStyle w:val="TextoNormalCentrado"/>
        <w:keepNext/>
      </w:pPr>
    </w:p>
    <w:p w14:paraId="56032374" w14:textId="77777777" w:rsidR="00A8138F" w:rsidRDefault="00A8138F" w:rsidP="00A8138F">
      <w:pPr>
        <w:pStyle w:val="TextoNormal"/>
      </w:pPr>
      <w:r>
        <w:t>En atención a todo lo expuesto, el Tribunal Constitucional, por la autoridad que le confiere la Constitución de la Nación española, ha decidido:</w:t>
      </w:r>
    </w:p>
    <w:p w14:paraId="6B3CD653" w14:textId="77777777" w:rsidR="00A8138F" w:rsidRDefault="00A8138F" w:rsidP="00A8138F">
      <w:pPr>
        <w:pStyle w:val="TextoNormal"/>
      </w:pPr>
    </w:p>
    <w:p w14:paraId="15614A24" w14:textId="77777777" w:rsidR="00A8138F" w:rsidRDefault="00A8138F" w:rsidP="00A8138F">
      <w:pPr>
        <w:pStyle w:val="TextoNormal"/>
      </w:pPr>
      <w:r>
        <w:t>1º Inadmitir el recurso de amparo interpuesto por don Manuel Azuaga Moreno contra el desarrollo de su comparecencia ante la Comisión de Investigación relativa al accidente del vuelo JK5022 de Spanair, celebrada el 10 de julio de 2018.</w:t>
      </w:r>
    </w:p>
    <w:p w14:paraId="74A2DBBC" w14:textId="77777777" w:rsidR="00A8138F" w:rsidRDefault="00A8138F" w:rsidP="00A8138F">
      <w:pPr>
        <w:pStyle w:val="TextoNormal"/>
      </w:pPr>
    </w:p>
    <w:p w14:paraId="00794132" w14:textId="26D4BF3F" w:rsidR="00A8138F" w:rsidRDefault="00A8138F" w:rsidP="00A8138F">
      <w:pPr>
        <w:pStyle w:val="TextoNormal"/>
      </w:pPr>
      <w:r>
        <w:t>2º Desestimar el recurso en todo lo demás.</w:t>
      </w:r>
    </w:p>
    <w:p w14:paraId="4F8CD2C7" w14:textId="77777777" w:rsidR="00A8138F" w:rsidRDefault="00A8138F" w:rsidP="00A8138F">
      <w:pPr>
        <w:pStyle w:val="TextoNormal"/>
      </w:pPr>
    </w:p>
    <w:p w14:paraId="0AE52261" w14:textId="77777777" w:rsidR="00A8138F" w:rsidRDefault="00A8138F" w:rsidP="00A8138F">
      <w:pPr>
        <w:pStyle w:val="TextoNormal"/>
      </w:pPr>
      <w:r>
        <w:t>Publíquese esta sentencia en el “Boletín Oficial del Estado”.</w:t>
      </w:r>
    </w:p>
    <w:p w14:paraId="14BD3EBE" w14:textId="77777777" w:rsidR="00A8138F" w:rsidRDefault="00A8138F" w:rsidP="00A8138F">
      <w:pPr>
        <w:pStyle w:val="TextoNormal"/>
      </w:pPr>
      <w:r>
        <w:t>Dada en Madrid, a doce de mayo de dos mil veinticinco.</w:t>
      </w:r>
    </w:p>
    <w:p w14:paraId="57C1E11E" w14:textId="43E627B8" w:rsidR="00A8138F" w:rsidRDefault="00A8138F">
      <w:pPr>
        <w:spacing w:after="160" w:line="278" w:lineRule="auto"/>
        <w:rPr>
          <w:rFonts w:ascii="Times New Roman" w:eastAsia="Times New Roman" w:hAnsi="Times New Roman" w:cs="Times New Roman"/>
          <w:sz w:val="24"/>
          <w:szCs w:val="24"/>
          <w:lang w:eastAsia="es-ES"/>
        </w:rPr>
      </w:pPr>
      <w:r>
        <w:br w:type="page"/>
      </w:r>
    </w:p>
    <w:p w14:paraId="48F98108" w14:textId="77777777" w:rsidR="00A8138F" w:rsidRDefault="00A8138F" w:rsidP="00A8138F">
      <w:pPr>
        <w:pStyle w:val="TtuloResolucin"/>
      </w:pPr>
      <w:bookmarkStart w:id="110" w:name="SENTENCIA_2025_108"/>
      <w:r>
        <w:t>SENTENCIA 108/2025, de 12 de mayo de 2025</w:t>
      </w:r>
    </w:p>
    <w:bookmarkEnd w:id="110"/>
    <w:p w14:paraId="75583DD2" w14:textId="77777777" w:rsidR="00A8138F" w:rsidRDefault="00A8138F" w:rsidP="00A8138F">
      <w:pPr>
        <w:pStyle w:val="TtuloResolucin"/>
      </w:pPr>
      <w:r>
        <w:t>Sala Primera</w:t>
      </w:r>
    </w:p>
    <w:p w14:paraId="157C509D" w14:textId="77777777" w:rsidR="00A8138F" w:rsidRDefault="00A8138F" w:rsidP="00A8138F">
      <w:pPr>
        <w:pStyle w:val="TtuloBOE"/>
      </w:pPr>
      <w:r>
        <w:t>(BOE núm. 146, de 18 de junio de 2025)</w:t>
      </w:r>
    </w:p>
    <w:p w14:paraId="0128D6BE" w14:textId="77777777" w:rsidR="00A8138F" w:rsidRDefault="00A8138F" w:rsidP="00A8138F">
      <w:pPr>
        <w:pStyle w:val="TextoNormalCentrado"/>
      </w:pPr>
      <w:r>
        <w:t>ECLI:ES:TC:2025:108</w:t>
      </w:r>
    </w:p>
    <w:p w14:paraId="2D7C362B" w14:textId="1136DF7F" w:rsidR="00A8138F" w:rsidRDefault="00A8138F" w:rsidP="00A8138F">
      <w:pPr>
        <w:pStyle w:val="TextoNormalCentrado"/>
      </w:pPr>
    </w:p>
    <w:p w14:paraId="1A1CBFB7" w14:textId="77777777" w:rsidR="00A8138F" w:rsidRDefault="00A8138F" w:rsidP="00A8138F">
      <w:pPr>
        <w:pStyle w:val="SntesisDescriptiva"/>
      </w:pPr>
      <w:r>
        <w:t>Recurso de amparo 5361-2021. Promovido por doña Magdalena Álvarez Arza y otras once personas más respecto de sendos apartados del dictamen de la Comisión de Investigación constituida en el Congreso de los Diputados en relación con el accidente del vuelo JK5022 de la compañía Spanair acaecido el 20 de agosto de 2008 en el aeropuerto de Madrid-Barajas.</w:t>
      </w:r>
    </w:p>
    <w:p w14:paraId="297138CE" w14:textId="5A76C97E" w:rsidR="00A8138F" w:rsidRDefault="00A8138F" w:rsidP="00A8138F">
      <w:pPr>
        <w:pStyle w:val="SntesisDescriptiva"/>
      </w:pPr>
    </w:p>
    <w:p w14:paraId="4C805235" w14:textId="77777777" w:rsidR="00A8138F" w:rsidRDefault="00A8138F" w:rsidP="00A8138F">
      <w:pPr>
        <w:pStyle w:val="SntesisAnaltica"/>
      </w:pPr>
      <w:r>
        <w:t>Supuesta vulneración de los derechos al honor y a la presunción de inocencia: actuación de la comisión parlamentaria de investigación que no vulneró el derecho de los comparecientes a ser considerados y tratados como no autores o partícipes en conductas ilícitas (STC 133/2018).</w:t>
      </w:r>
    </w:p>
    <w:p w14:paraId="4DE2A172" w14:textId="7DB965B8" w:rsidR="00A8138F" w:rsidRDefault="00A8138F" w:rsidP="00A8138F">
      <w:pPr>
        <w:pStyle w:val="SntesisAnaltica"/>
      </w:pPr>
    </w:p>
    <w:p w14:paraId="3CB170FA" w14:textId="1F49CF99" w:rsidR="00A8138F" w:rsidRDefault="00A8138F" w:rsidP="00A8138F">
      <w:pPr>
        <w:pStyle w:val="Extracto"/>
      </w:pPr>
      <w:r>
        <w:t>1.</w:t>
      </w:r>
      <w:r>
        <w:tab/>
        <w:t>El derecho al honor emana de la dignidad de una persona y debe ser respetado. Este derecho ampara la buena reputación de una persona, protegiéndola frente a expresiones o mensajes que la hagan desmerecer en la consideración ajena al ir en su descrédito o menosprecio o que sean tenidas en el concepto público por afrentosas. Protege la indemnidad de la apreciación que de una persona pueden tener los demás, y prohíbe referirse a una persona de forma insultante o injuriosa o atentando injustificadamente contra su reputación, haciéndola desmerecer ante la opinión ajena (STC 133/2018) [FJ 2].</w:t>
      </w:r>
    </w:p>
    <w:p w14:paraId="421A24B2" w14:textId="77777777" w:rsidR="00A8138F" w:rsidRDefault="00A8138F" w:rsidP="00A8138F">
      <w:pPr>
        <w:pStyle w:val="Extracto"/>
      </w:pPr>
    </w:p>
    <w:p w14:paraId="6779C183" w14:textId="6E3DCC36" w:rsidR="00A8138F" w:rsidRDefault="00A8138F" w:rsidP="00A8138F">
      <w:pPr>
        <w:pStyle w:val="Extracto"/>
      </w:pPr>
      <w:r>
        <w:t>2.</w:t>
      </w:r>
      <w:r>
        <w:tab/>
        <w:t xml:space="preserve">Las personas que ejercen o hubieran ejercido funciones públicas deben soportar un cierto mayor riesgo de injerencia en sus derechos de la personalidad, incluido el derecho al honor, que las personas privadas. Y tal afirmación resulta especialmente aplicable cuando tal injerencia resulta de la actividad investigadora de una Cámara parlamentaria que tiene por objeto, no sólo el control del Gobierno, sino también la acción de la Administración situada bajo su dirección </w:t>
      </w:r>
      <w:r w:rsidRPr="00A8138F">
        <w:rPr>
          <w:i/>
        </w:rPr>
        <w:t>ex</w:t>
      </w:r>
      <w:r>
        <w:t xml:space="preserve"> art. 97 CE (STC 133/2018) [FJ 3].</w:t>
      </w:r>
    </w:p>
    <w:p w14:paraId="71503FD9" w14:textId="77777777" w:rsidR="00A8138F" w:rsidRDefault="00A8138F" w:rsidP="00A8138F">
      <w:pPr>
        <w:pStyle w:val="Extracto"/>
      </w:pPr>
    </w:p>
    <w:p w14:paraId="742D4F30" w14:textId="0BEC61CF" w:rsidR="00A8138F" w:rsidRDefault="00A8138F" w:rsidP="00A8138F">
      <w:pPr>
        <w:pStyle w:val="Extracto"/>
      </w:pPr>
      <w:r>
        <w:t>3.</w:t>
      </w:r>
      <w:r>
        <w:tab/>
        <w:t>No se vulnera el derecho a la presunción de inocencia en su dimensión extraprocesal si no se atribuye a una persona un acto ilícito concreto, ni un acto individualizable, limitándose a declarar una responsabilidad expresamente calificada de política y colectiva por el funcionamiento del sistema de seguridad en su conjunto (STC 133/2018) [FJ 3].</w:t>
      </w:r>
    </w:p>
    <w:p w14:paraId="38794968" w14:textId="77777777" w:rsidR="00A8138F" w:rsidRDefault="00A8138F" w:rsidP="00A8138F">
      <w:pPr>
        <w:pStyle w:val="Extracto"/>
      </w:pPr>
    </w:p>
    <w:p w14:paraId="03E1C2A8" w14:textId="77777777" w:rsidR="00A8138F" w:rsidRDefault="00A8138F" w:rsidP="00A8138F">
      <w:pPr>
        <w:pStyle w:val="Extracto"/>
      </w:pPr>
    </w:p>
    <w:p w14:paraId="6C91BDA7"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0D3F232B" w14:textId="6BFD3972" w:rsidR="00A8138F" w:rsidRDefault="00A8138F" w:rsidP="00A8138F">
      <w:pPr>
        <w:pStyle w:val="TextoNormal"/>
      </w:pPr>
    </w:p>
    <w:p w14:paraId="2DBA87EB" w14:textId="77777777" w:rsidR="00A8138F" w:rsidRDefault="00A8138F" w:rsidP="00A8138F">
      <w:pPr>
        <w:pStyle w:val="TextoNormalCentrado"/>
        <w:keepNext/>
      </w:pPr>
      <w:r>
        <w:t>EN NOMBRE DEL REY</w:t>
      </w:r>
    </w:p>
    <w:p w14:paraId="58CDCB4C" w14:textId="69FD1925" w:rsidR="00A8138F" w:rsidRDefault="00A8138F" w:rsidP="00A8138F">
      <w:pPr>
        <w:pStyle w:val="TextoNormalCentrado"/>
        <w:keepNext/>
      </w:pPr>
    </w:p>
    <w:p w14:paraId="734CFF81" w14:textId="77777777" w:rsidR="00A8138F" w:rsidRDefault="00A8138F" w:rsidP="00A8138F">
      <w:pPr>
        <w:pStyle w:val="TextoNormalCentrado"/>
        <w:keepNext/>
      </w:pPr>
    </w:p>
    <w:p w14:paraId="251FE0DB" w14:textId="77777777" w:rsidR="00A8138F" w:rsidRDefault="00A8138F" w:rsidP="00A8138F">
      <w:pPr>
        <w:pStyle w:val="TextoNormal"/>
      </w:pPr>
      <w:r>
        <w:t>la siguiente</w:t>
      </w:r>
    </w:p>
    <w:p w14:paraId="6B1BC90A" w14:textId="23FC679E" w:rsidR="00A8138F" w:rsidRDefault="00A8138F" w:rsidP="00A8138F">
      <w:pPr>
        <w:pStyle w:val="TextoNormal"/>
      </w:pPr>
    </w:p>
    <w:p w14:paraId="2BA61C5F" w14:textId="77777777" w:rsidR="00A8138F" w:rsidRDefault="00A8138F" w:rsidP="00A8138F">
      <w:pPr>
        <w:pStyle w:val="TextoNormalCentrado"/>
        <w:keepNext/>
      </w:pPr>
      <w:r>
        <w:t>SENTENCIA</w:t>
      </w:r>
    </w:p>
    <w:p w14:paraId="663C6FE4" w14:textId="379D612F" w:rsidR="00A8138F" w:rsidRDefault="00A8138F" w:rsidP="00A8138F">
      <w:pPr>
        <w:pStyle w:val="TextoNormalCentrado"/>
        <w:keepNext/>
      </w:pPr>
    </w:p>
    <w:p w14:paraId="26EF6BD4" w14:textId="77777777" w:rsidR="00A8138F" w:rsidRDefault="00A8138F" w:rsidP="00A8138F">
      <w:pPr>
        <w:pStyle w:val="TextoNormal"/>
      </w:pPr>
      <w:r>
        <w:t>En el recurso de amparo núm. 5361-2021, promovido por el abogado del Estado don José Luis Viada Rubio, actuando en nombre y representación de doña Magdalena Álvarez Arza y otras once personas, contra la conclusión décima y la recomendación novena del dictamen de la Comisión de Investigación relativa al accidente del vuelo JK5022 de Spanair, aprobado por la Comisión el 22 de abril de 2021 y por el Pleno del Congreso de los Diputados el 13 de mayo de 2021. Han intervenido el Congreso de los Diputados y el Ministerio Fiscal. Ha sido ponente la magistrada doña Concepción Espejel Jorquera.</w:t>
      </w:r>
    </w:p>
    <w:p w14:paraId="525CE36E" w14:textId="5DC6992E" w:rsidR="00A8138F" w:rsidRDefault="00A8138F" w:rsidP="00A8138F">
      <w:pPr>
        <w:pStyle w:val="TextoNormal"/>
      </w:pPr>
    </w:p>
    <w:p w14:paraId="7798F30E" w14:textId="77777777" w:rsidR="00A8138F" w:rsidRDefault="00A8138F" w:rsidP="00A8138F">
      <w:pPr>
        <w:pStyle w:val="TextoNormalNegritaCentrado"/>
        <w:keepNext/>
      </w:pPr>
      <w:r>
        <w:t>I. Antecedentes</w:t>
      </w:r>
    </w:p>
    <w:p w14:paraId="0805D35F" w14:textId="628A883A" w:rsidR="00A8138F" w:rsidRDefault="00A8138F" w:rsidP="00A8138F">
      <w:pPr>
        <w:pStyle w:val="TextoNormalNegritaCentrado"/>
        <w:keepNext/>
      </w:pPr>
    </w:p>
    <w:p w14:paraId="2B87A124" w14:textId="77777777" w:rsidR="00A8138F" w:rsidRDefault="00A8138F" w:rsidP="00A8138F">
      <w:pPr>
        <w:pStyle w:val="TextoNormal"/>
      </w:pPr>
      <w:r w:rsidRPr="00A8138F">
        <w:rPr>
          <w:rStyle w:val="NumeroAFNegritaCaracter"/>
        </w:rPr>
        <w:t>1</w:t>
      </w:r>
      <w:r>
        <w:t>. Mediante escrito registrado en este tribunal el día 30 de julio de 2021, el abogado del Estado don José Luis Viada Rubio, actuando en nombre y representación de doña Magdalena Álvarez Arza, don Luis Fernando Palao Taboada, don Manuel Bautista Pérez, don Luis Rodríguez Gil, don Enric Sanmartí Aulet, don Justo Sánchez Marín, don Miguel Ángel Oleaga Zufiria, doña Carmen Librero Pintado, don Antonio Fernández Serrano, doña María Isabel Maestre Moreno, don Francisco Javier Soto Rodríguez y doña Rosa María Arnaldo Valdés, interpuso recurso de amparo contra la conclusión décima y la recomendación novena del dictamen de la Comisión de Investigación relativa al accidente del vuelo JK5022 de Spanair, aprobado por la propia Comisión el 22 de abril de 2021 y por el Pleno del Congreso de los Diputados el 13 de mayo de 2021.</w:t>
      </w:r>
    </w:p>
    <w:p w14:paraId="0FC46D12" w14:textId="77777777" w:rsidR="00A8138F" w:rsidRDefault="00A8138F" w:rsidP="00A8138F">
      <w:pPr>
        <w:pStyle w:val="TextoNormal"/>
      </w:pPr>
    </w:p>
    <w:p w14:paraId="04D00CAA" w14:textId="667C19BD" w:rsidR="00A8138F" w:rsidRDefault="00A8138F" w:rsidP="00A8138F">
      <w:pPr>
        <w:pStyle w:val="TextoNormal"/>
      </w:pPr>
      <w:r>
        <w:t>Los recurrentes en amparo son doce de las dieciocho personas mencionadas en la citada conclusión décima del dictamen en virtud de las responsabilidades públicas que les atañían en torno al momento del accidente y que reunían la condición de “autoridades, funcionarios o empleados públicos” en el momento de formalizar el recurso. Se acompaña el escrito de la ministra de Justicia, de 29 de julio de 2021, que autoriza la presentación por la Abogacía del Estado de la demanda de amparo en nombre y representación de los doce recurrentes, conforme a lo dispuesto por el artículo 49 del Reglamento del servicio jurídico del Estado, aprobado por el Real Decreto 997/2003, de 25 de julio; así como el texto del dictamen aprobado por el Congreso de los Diputados que se impugna y otra documentación complementaria.</w:t>
      </w:r>
    </w:p>
    <w:p w14:paraId="53423482" w14:textId="77777777" w:rsidR="00A8138F" w:rsidRDefault="00A8138F" w:rsidP="00A8138F">
      <w:pPr>
        <w:pStyle w:val="TextoNormal"/>
      </w:pPr>
    </w:p>
    <w:p w14:paraId="445A1B3C" w14:textId="77777777" w:rsidR="00A8138F" w:rsidRDefault="00A8138F" w:rsidP="00A8138F">
      <w:pPr>
        <w:pStyle w:val="TextoNormal"/>
      </w:pPr>
      <w:r w:rsidRPr="00A8138F">
        <w:rPr>
          <w:rStyle w:val="NumeroAFNegritaCaracter"/>
        </w:rPr>
        <w:t>2</w:t>
      </w:r>
      <w:r>
        <w:t>. Sucintamente expuestos, los hechos en que se basa la pretensión de amparo son los siguientes:</w:t>
      </w:r>
    </w:p>
    <w:p w14:paraId="084D2EA1" w14:textId="77777777" w:rsidR="00A8138F" w:rsidRDefault="00A8138F" w:rsidP="00A8138F">
      <w:pPr>
        <w:pStyle w:val="TextoNormal"/>
      </w:pPr>
    </w:p>
    <w:p w14:paraId="6689624E" w14:textId="77777777" w:rsidR="00A8138F" w:rsidRDefault="00A8138F" w:rsidP="00A8138F">
      <w:pPr>
        <w:pStyle w:val="TextoNormal"/>
      </w:pPr>
      <w:r>
        <w:t>a) Durante la XII Legislatura, el 6 de febrero de 2018, y a solicitud de dos grupos parlamentarios (Confederal de Unidos Podemos-En Comú Podem-En Marea y Esquerra Republicana), el Pleno del Congreso de los Diputados acordó la creación de la Comisión de Investigación relativa al accidente del vuelo JK5022 de la compañía aérea Spanair ocurrido casi diez años antes, el 20 de agosto de 2008, en el aeropuerto Madrid-Barajas. Según el plan de trabajo acordado, la Comisión realizó diferentes comparecencias y examinó diversa documentación con el objeto de investigar y en su caso determinar las causas y las posibles responsabilidades del siniestro, pero sobre todo extraer conocimientos y recomendaciones para prevenir, con el máximo rigor y compromiso, futuros accidentes como el investigado.</w:t>
      </w:r>
    </w:p>
    <w:p w14:paraId="275525A1" w14:textId="77777777" w:rsidR="00A8138F" w:rsidRDefault="00A8138F" w:rsidP="00A8138F">
      <w:pPr>
        <w:pStyle w:val="TextoNormal"/>
      </w:pPr>
    </w:p>
    <w:p w14:paraId="316D84F0" w14:textId="77777777" w:rsidR="00A8138F" w:rsidRDefault="00A8138F" w:rsidP="00A8138F">
      <w:pPr>
        <w:pStyle w:val="TextoNormal"/>
      </w:pPr>
      <w:r>
        <w:t>La disolución anticipada de las Cortes Generales impidió a la Comisión finalizar sus actuaciones. Sin embargo, ya en la XIV Legislatura, el 15 de abril de 2020, y a propuesta de tres grupos parlamentarios (Socialista, Confederal de Unidas Podemos-En Comú Podem-Galicia en Común y Republicano), el Pleno del Congreso acordó por asentimiento crear una comisión de investigación a fin de “concluir el plan de trabajo” anteriormente “aprobado”, e “investigar y, en su caso, determinar las causas y las responsabilidades del accidente”, extrayendo “conocimientos y recomendaciones para prevenir futuras tragedias” [“Boletín Oficial de las Cortes Generales” (“BOCG”), Congreso de los Diputados, XIV Legislatura, Serie D: General, núm. 72, de 23 de abril de 2020, pág. 2].</w:t>
      </w:r>
    </w:p>
    <w:p w14:paraId="60406F37" w14:textId="77777777" w:rsidR="00A8138F" w:rsidRDefault="00A8138F" w:rsidP="00A8138F">
      <w:pPr>
        <w:pStyle w:val="TextoNormal"/>
      </w:pPr>
    </w:p>
    <w:p w14:paraId="1FC2807D" w14:textId="77777777" w:rsidR="00A8138F" w:rsidRDefault="00A8138F" w:rsidP="00A8138F">
      <w:pPr>
        <w:pStyle w:val="TextoNormal"/>
      </w:pPr>
      <w:r>
        <w:t>b) El 13 de mayo de 2021, el Pleno del Congreso de los Diputados aprobó (con 219 votos a favor, 121 en contra y 6 abstenciones) el dictamen final de dicha Comisión, publicado junto con un voto particular centrado, precisamente, en el asunto aquí controvertido (“BOCG”, Congreso de los Diputados, XIV Legislatura, Serie D: General, núm. 281, de 27 de mayo de 2021, págs. 17-110). En sus párrafos introductorios y tras recoger las vicisitudes atravesadas por la Comisión, el dictamen constata los siguientes hechos:</w:t>
      </w:r>
    </w:p>
    <w:p w14:paraId="29327FFB" w14:textId="77777777" w:rsidR="00A8138F" w:rsidRDefault="00A8138F" w:rsidP="00A8138F">
      <w:pPr>
        <w:pStyle w:val="TextoNormal"/>
      </w:pPr>
    </w:p>
    <w:p w14:paraId="2C9ABFB6" w14:textId="77777777" w:rsidR="00A8138F" w:rsidRDefault="00A8138F" w:rsidP="00A8138F">
      <w:pPr>
        <w:pStyle w:val="TextoNormal"/>
      </w:pPr>
      <w:r>
        <w:t>“En fecha 20 de agosto de 2008, en el Aeropuerto de Madrid-Barajas, el vuelo JK5022 de la compañía aérea Spanair, a los pocos minutos de intentar su despegue, se estrelló provocando la muerte de 154 personas, resultando heridas además otras 18 personas, todas ellas con secuelas.</w:t>
      </w:r>
    </w:p>
    <w:p w14:paraId="2DFF5AEF" w14:textId="77777777" w:rsidR="00A8138F" w:rsidRDefault="00A8138F" w:rsidP="00A8138F">
      <w:pPr>
        <w:pStyle w:val="TextoNormal"/>
      </w:pPr>
    </w:p>
    <w:p w14:paraId="604AD634" w14:textId="77777777" w:rsidR="00A8138F" w:rsidRDefault="00A8138F" w:rsidP="00A8138F">
      <w:pPr>
        <w:pStyle w:val="TextoNormal"/>
      </w:pPr>
      <w:r>
        <w:t>Como consecuencia de estos hechos se abrieron dos investigaciones, judicial y técnica, paralelas:</w:t>
      </w:r>
    </w:p>
    <w:p w14:paraId="085E5EFC" w14:textId="77777777" w:rsidR="00A8138F" w:rsidRDefault="00A8138F" w:rsidP="00A8138F">
      <w:pPr>
        <w:pStyle w:val="TextoNormal"/>
      </w:pPr>
    </w:p>
    <w:p w14:paraId="69AFB2BF" w14:textId="77777777" w:rsidR="00A8138F" w:rsidRDefault="00A8138F" w:rsidP="00A8138F">
      <w:pPr>
        <w:pStyle w:val="TextoNormal"/>
      </w:pPr>
      <w:r>
        <w:t>Primera. La llevada a cabo por el Juzgado de Instrucción núm. 11 de Madrid, en el procedimiento núm. 4373-2008. De estas diligencias fueron parte tanto el Ministerio Fiscal, como diferentes víctimas de dicho accidente, así como la Asociación de Afectados del vuelo JK5022. La instrucción tuvo como fin la investigación de las responsabilidades penales a consecuencia de los referidos hechos. Se propuso la apertura de juicio oral contra los dos técnicos de mantenimiento aeronáutico (TMA) por 154 homicidios imprudentes y lesiones imprudentes en 18 supervivientes. En fecha 19 de septiembre de 2012 la Sección Decimoquinta de la Audiencia Provincial de Madrid dictó dos autos acordando el archivo de dichas diligencias, auto que limitaba la responsabilidad a los pilotos fallecidos derivando las causas del accidente al incorrecto proceder de los técnicos de mantenimiento que sin conocer el origen de la avería que presentaba el avión el día de los hechos dieron el visto bueno para su despegue.</w:t>
      </w:r>
    </w:p>
    <w:p w14:paraId="24E2E6EB" w14:textId="77777777" w:rsidR="00A8138F" w:rsidRDefault="00A8138F" w:rsidP="00A8138F">
      <w:pPr>
        <w:pStyle w:val="TextoNormal"/>
      </w:pPr>
    </w:p>
    <w:p w14:paraId="0EB3959D" w14:textId="77777777" w:rsidR="00A8138F" w:rsidRDefault="00A8138F" w:rsidP="00A8138F">
      <w:pPr>
        <w:pStyle w:val="TextoNormal"/>
      </w:pPr>
      <w:r>
        <w:t>Segunda. La investigación oficial llevada a cabo por la CIAIAC [Comisión de Investigación de Accidentes e Incidentes de Aviación Civil] que concluyó con el informe A-32/2008 publicado el 31 de julio de 2011 (escasamente unos meses antes del cierre de la instrucción por el titular del Juzgado [de Instrucción] núm. 11 de Madrid) donde también se refiere la responsabilidad de los pilotos fallecidos y el incorrecto proceder de los técnicos de mantenimiento. Dicho informe no determina la causa del incorrecto funcionamiento del aviso de la configuración de despegue, que supuso en definitiva que el Take Off Warning System (TOWS), no funcionara y que, por tanto, no alertara a la tripulación para abortar la maniobra de despegue y evitar así el siniestro” (</w:t>
      </w:r>
      <w:r w:rsidRPr="00A8138F">
        <w:rPr>
          <w:i/>
        </w:rPr>
        <w:t>ibidem</w:t>
      </w:r>
      <w:r>
        <w:t>, págs. 104-105).</w:t>
      </w:r>
    </w:p>
    <w:p w14:paraId="25A9A273" w14:textId="77777777" w:rsidR="00A8138F" w:rsidRDefault="00A8138F" w:rsidP="00A8138F">
      <w:pPr>
        <w:pStyle w:val="TextoNormal"/>
      </w:pPr>
    </w:p>
    <w:p w14:paraId="588EAE92" w14:textId="77777777" w:rsidR="00A8138F" w:rsidRDefault="00A8138F" w:rsidP="00A8138F">
      <w:pPr>
        <w:pStyle w:val="TextoNormal"/>
      </w:pPr>
      <w:r>
        <w:t>c) El recurso impugna, concretamente, la conclusión décima y la recomendación novena, incluidas en el apartado final del dictamen (“Conclusiones y recomendaciones”, págs. 104-108), cuyo texto es el siguiente:</w:t>
      </w:r>
    </w:p>
    <w:p w14:paraId="4E29E1D1" w14:textId="77777777" w:rsidR="00A8138F" w:rsidRDefault="00A8138F" w:rsidP="00A8138F">
      <w:pPr>
        <w:pStyle w:val="TextoNormal"/>
      </w:pPr>
    </w:p>
    <w:p w14:paraId="1ACF5528" w14:textId="77777777" w:rsidR="00A8138F" w:rsidRDefault="00A8138F" w:rsidP="00A8138F">
      <w:pPr>
        <w:pStyle w:val="TextoNormal"/>
      </w:pPr>
      <w:r>
        <w:t>“[Conclusión] X. Las responsabilidades de gobierno en una democracia no son responsabilidades formales donde pueda bastar una interpretación defensiva de las obligaciones adquiridas ante los representantes de la ciudadanía y la ciudadanía misma.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Con la seguridad en general y, en este caso, con el transporte aéreo en particular, es decir, con el diseño de los elementos sistemáticos de seguridad, los gobernantes tienen que desplegar un cuidado formal y material, como garantes ante la ciudadanía de dichos protocolos y desde luego proveer su cumplimiento efectivo. Pues bien,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w:t>
      </w:r>
    </w:p>
    <w:p w14:paraId="44A8790A" w14:textId="77777777" w:rsidR="00A8138F" w:rsidRDefault="00A8138F" w:rsidP="00A8138F">
      <w:pPr>
        <w:pStyle w:val="TextoNormal"/>
      </w:pPr>
    </w:p>
    <w:p w14:paraId="6D54B0E5" w14:textId="77777777" w:rsidR="00A8138F" w:rsidRDefault="00A8138F" w:rsidP="00A8138F">
      <w:pPr>
        <w:pStyle w:val="TextoNormal"/>
      </w:pPr>
      <w:r>
        <w:t>Los responsables en la fecha del accidente que ocuparon puesto de responsabilidad y por tanto asumían decisiones que dentro del sistema se tomaron en el momento del siniestro fueron:</w:t>
      </w:r>
    </w:p>
    <w:p w14:paraId="2B5C787F" w14:textId="77777777" w:rsidR="00A8138F" w:rsidRDefault="00A8138F" w:rsidP="00A8138F">
      <w:pPr>
        <w:pStyle w:val="TextoNormal"/>
      </w:pPr>
    </w:p>
    <w:p w14:paraId="0723373B" w14:textId="77777777" w:rsidR="00A8138F" w:rsidRDefault="00A8138F" w:rsidP="00A8138F">
      <w:pPr>
        <w:pStyle w:val="TextoNormal"/>
      </w:pPr>
      <w:r>
        <w:t>— Doña Magdalena Álvarez Arza. Ministra de Fomento.</w:t>
      </w:r>
    </w:p>
    <w:p w14:paraId="49D99522" w14:textId="77777777" w:rsidR="00A8138F" w:rsidRDefault="00A8138F" w:rsidP="00A8138F">
      <w:pPr>
        <w:pStyle w:val="TextoNormal"/>
      </w:pPr>
    </w:p>
    <w:p w14:paraId="63CC56F0" w14:textId="77777777" w:rsidR="00A8138F" w:rsidRDefault="00A8138F" w:rsidP="00A8138F">
      <w:pPr>
        <w:pStyle w:val="TextoNormal"/>
      </w:pPr>
      <w:r>
        <w:t>— Don Luis Fernando Palao Taboada. Secretario general de Transportes y secretario de Estado.</w:t>
      </w:r>
    </w:p>
    <w:p w14:paraId="1DCE396C" w14:textId="77777777" w:rsidR="00A8138F" w:rsidRDefault="00A8138F" w:rsidP="00A8138F">
      <w:pPr>
        <w:pStyle w:val="TextoNormal"/>
      </w:pPr>
    </w:p>
    <w:p w14:paraId="6E97304E" w14:textId="77777777" w:rsidR="00A8138F" w:rsidRDefault="00A8138F" w:rsidP="00A8138F">
      <w:pPr>
        <w:pStyle w:val="TextoNormal"/>
      </w:pPr>
      <w:r>
        <w:t>— Don Manuel Bautista Pérez. Director general de Aviación Civil.</w:t>
      </w:r>
    </w:p>
    <w:p w14:paraId="5F4A2C4B" w14:textId="77777777" w:rsidR="00A8138F" w:rsidRDefault="00A8138F" w:rsidP="00A8138F">
      <w:pPr>
        <w:pStyle w:val="TextoNormal"/>
      </w:pPr>
    </w:p>
    <w:p w14:paraId="70B904B8" w14:textId="77777777" w:rsidR="00A8138F" w:rsidRDefault="00A8138F" w:rsidP="00A8138F">
      <w:pPr>
        <w:pStyle w:val="TextoNormal"/>
      </w:pPr>
      <w:r>
        <w:t>— Don Luis Rodríguez Gil. Director general de Aeronaves de la Dirección General de Aviación Civil.</w:t>
      </w:r>
    </w:p>
    <w:p w14:paraId="10B42D1E" w14:textId="77777777" w:rsidR="00A8138F" w:rsidRDefault="00A8138F" w:rsidP="00A8138F">
      <w:pPr>
        <w:pStyle w:val="TextoNormal"/>
      </w:pPr>
    </w:p>
    <w:p w14:paraId="333A5644" w14:textId="77777777" w:rsidR="00A8138F" w:rsidRDefault="00A8138F" w:rsidP="00A8138F">
      <w:pPr>
        <w:pStyle w:val="TextoNormal"/>
      </w:pPr>
      <w:r>
        <w:t>— Don Enrique Sanmartín Aulet. Director general de Aviación Civil.</w:t>
      </w:r>
    </w:p>
    <w:p w14:paraId="4DF24016" w14:textId="77777777" w:rsidR="00A8138F" w:rsidRDefault="00A8138F" w:rsidP="00A8138F">
      <w:pPr>
        <w:pStyle w:val="TextoNormal"/>
      </w:pPr>
    </w:p>
    <w:p w14:paraId="5BE6B8BF" w14:textId="77777777" w:rsidR="00A8138F" w:rsidRDefault="00A8138F" w:rsidP="00A8138F">
      <w:pPr>
        <w:pStyle w:val="TextoNormal"/>
      </w:pPr>
      <w:r>
        <w:t>— Don Justo Sánchez Marín. Inspector de prórroga del certificado de aeronavegabilidad.</w:t>
      </w:r>
    </w:p>
    <w:p w14:paraId="66E45233" w14:textId="77777777" w:rsidR="00A8138F" w:rsidRDefault="00A8138F" w:rsidP="00A8138F">
      <w:pPr>
        <w:pStyle w:val="TextoNormal"/>
      </w:pPr>
    </w:p>
    <w:p w14:paraId="043A2DE2" w14:textId="77777777" w:rsidR="00A8138F" w:rsidRDefault="00A8138F" w:rsidP="00A8138F">
      <w:pPr>
        <w:pStyle w:val="TextoNormal"/>
      </w:pPr>
      <w:r>
        <w:t>— Don Miguel Ángel Oleaga Zufiria. Director del aeropuerto de Madrid Barajas.</w:t>
      </w:r>
    </w:p>
    <w:p w14:paraId="3EA4C87A" w14:textId="77777777" w:rsidR="00A8138F" w:rsidRDefault="00A8138F" w:rsidP="00A8138F">
      <w:pPr>
        <w:pStyle w:val="TextoNormal"/>
      </w:pPr>
    </w:p>
    <w:p w14:paraId="24EFE7A0" w14:textId="77777777" w:rsidR="00A8138F" w:rsidRDefault="00A8138F" w:rsidP="00A8138F">
      <w:pPr>
        <w:pStyle w:val="TextoNormal"/>
      </w:pPr>
      <w:r>
        <w:t>— Doña Carmen Librero Pintado. Directora de Navegación Aérea-AENA.</w:t>
      </w:r>
    </w:p>
    <w:p w14:paraId="655040F6" w14:textId="77777777" w:rsidR="00A8138F" w:rsidRDefault="00A8138F" w:rsidP="00A8138F">
      <w:pPr>
        <w:pStyle w:val="TextoNormal"/>
      </w:pPr>
    </w:p>
    <w:p w14:paraId="01C66A7D" w14:textId="77777777" w:rsidR="00A8138F" w:rsidRDefault="00A8138F" w:rsidP="00A8138F">
      <w:pPr>
        <w:pStyle w:val="TextoNormal"/>
      </w:pPr>
      <w:r>
        <w:t>— Don Antonio Fernández Serrano. Jefe de prensa del Ministerio de Fomento.</w:t>
      </w:r>
    </w:p>
    <w:p w14:paraId="157217BB" w14:textId="77777777" w:rsidR="00A8138F" w:rsidRDefault="00A8138F" w:rsidP="00A8138F">
      <w:pPr>
        <w:pStyle w:val="TextoNormal"/>
      </w:pPr>
    </w:p>
    <w:p w14:paraId="400F24C1" w14:textId="77777777" w:rsidR="00A8138F" w:rsidRDefault="00A8138F" w:rsidP="00A8138F">
      <w:pPr>
        <w:pStyle w:val="TextoNormal"/>
      </w:pPr>
      <w:r>
        <w:t>— Don Manuel Azuaga Moreno. Presidente de AENA 2004/2008.</w:t>
      </w:r>
    </w:p>
    <w:p w14:paraId="02DF4E22" w14:textId="77777777" w:rsidR="00A8138F" w:rsidRDefault="00A8138F" w:rsidP="00A8138F">
      <w:pPr>
        <w:pStyle w:val="TextoNormal"/>
      </w:pPr>
    </w:p>
    <w:p w14:paraId="66C35BC3" w14:textId="77777777" w:rsidR="00A8138F" w:rsidRDefault="00A8138F" w:rsidP="00A8138F">
      <w:pPr>
        <w:pStyle w:val="TextoNormal"/>
      </w:pPr>
      <w:r>
        <w:t>— Don Javier Mendoza Sánchez. Director de operaciones de Spanair.</w:t>
      </w:r>
    </w:p>
    <w:p w14:paraId="0AC8F28E" w14:textId="77777777" w:rsidR="00A8138F" w:rsidRDefault="00A8138F" w:rsidP="00A8138F">
      <w:pPr>
        <w:pStyle w:val="TextoNormal"/>
      </w:pPr>
    </w:p>
    <w:p w14:paraId="60367E36" w14:textId="77777777" w:rsidR="00A8138F" w:rsidRDefault="00A8138F" w:rsidP="00A8138F">
      <w:pPr>
        <w:pStyle w:val="TextoNormal"/>
      </w:pPr>
      <w:r>
        <w:t>— Don Felipe García Rodríguez. TMA que despachó el avión el 20 de agosto de 2008.</w:t>
      </w:r>
    </w:p>
    <w:p w14:paraId="558292D9" w14:textId="77777777" w:rsidR="00A8138F" w:rsidRDefault="00A8138F" w:rsidP="00A8138F">
      <w:pPr>
        <w:pStyle w:val="TextoNormal"/>
      </w:pPr>
    </w:p>
    <w:p w14:paraId="3CFD4CDC" w14:textId="77777777" w:rsidR="00A8138F" w:rsidRDefault="00A8138F" w:rsidP="00A8138F">
      <w:pPr>
        <w:pStyle w:val="TextoNormal"/>
      </w:pPr>
      <w:r>
        <w:t>— Don Jesús Torroba Aylagas. Jefe base de mantenimiento de Spanair-Madrid.</w:t>
      </w:r>
    </w:p>
    <w:p w14:paraId="5FA68573" w14:textId="77777777" w:rsidR="00A8138F" w:rsidRDefault="00A8138F" w:rsidP="00A8138F">
      <w:pPr>
        <w:pStyle w:val="TextoNormal"/>
      </w:pPr>
    </w:p>
    <w:p w14:paraId="3492055E" w14:textId="77777777" w:rsidR="00A8138F" w:rsidRDefault="00A8138F" w:rsidP="00A8138F">
      <w:pPr>
        <w:pStyle w:val="TextoNormal"/>
      </w:pPr>
      <w:r>
        <w:t>— Don Pedro Argüelles Salaverria. Presidente de Boeing España 2008.</w:t>
      </w:r>
    </w:p>
    <w:p w14:paraId="42DADAEF" w14:textId="77777777" w:rsidR="00A8138F" w:rsidRDefault="00A8138F" w:rsidP="00A8138F">
      <w:pPr>
        <w:pStyle w:val="TextoNormal"/>
      </w:pPr>
    </w:p>
    <w:p w14:paraId="6E6F398E" w14:textId="77777777" w:rsidR="00A8138F" w:rsidRDefault="00A8138F" w:rsidP="00A8138F">
      <w:pPr>
        <w:pStyle w:val="TextoNormal"/>
      </w:pPr>
      <w:r>
        <w:t>— Doña Isabel Maestre Moreno. Directora de la Agencia Estatal de Seguridad Aérea (AESA).</w:t>
      </w:r>
    </w:p>
    <w:p w14:paraId="61D1B9C2" w14:textId="77777777" w:rsidR="00A8138F" w:rsidRDefault="00A8138F" w:rsidP="00A8138F">
      <w:pPr>
        <w:pStyle w:val="TextoNormal"/>
      </w:pPr>
    </w:p>
    <w:p w14:paraId="15831888" w14:textId="77777777" w:rsidR="00A8138F" w:rsidRDefault="00A8138F" w:rsidP="00A8138F">
      <w:pPr>
        <w:pStyle w:val="TextoNormal"/>
      </w:pPr>
      <w:r>
        <w:t>— Don Francisco Javier Soto Rodríguez. Secretario de la CIAIAC 2002/2013.</w:t>
      </w:r>
    </w:p>
    <w:p w14:paraId="72DF56A2" w14:textId="77777777" w:rsidR="00A8138F" w:rsidRDefault="00A8138F" w:rsidP="00A8138F">
      <w:pPr>
        <w:pStyle w:val="TextoNormal"/>
      </w:pPr>
    </w:p>
    <w:p w14:paraId="3E0D7B0F" w14:textId="77777777" w:rsidR="00A8138F" w:rsidRDefault="00A8138F" w:rsidP="00A8138F">
      <w:pPr>
        <w:pStyle w:val="TextoNormal"/>
      </w:pPr>
      <w:r>
        <w:t>— Doña Rosa María Arnaldo Valdés. Presidenta de la CIAIAC 2010/2016.</w:t>
      </w:r>
    </w:p>
    <w:p w14:paraId="1BF6EFDB" w14:textId="77777777" w:rsidR="00A8138F" w:rsidRDefault="00A8138F" w:rsidP="00A8138F">
      <w:pPr>
        <w:pStyle w:val="TextoNormal"/>
      </w:pPr>
    </w:p>
    <w:p w14:paraId="509323FA" w14:textId="77777777" w:rsidR="00A8138F" w:rsidRDefault="00A8138F" w:rsidP="00A8138F">
      <w:pPr>
        <w:pStyle w:val="TextoNormal"/>
      </w:pPr>
      <w:r>
        <w:t>— Mapfre Compañía, aseguradora de Spanair”.</w:t>
      </w:r>
    </w:p>
    <w:p w14:paraId="74D039E4" w14:textId="77777777" w:rsidR="00A8138F" w:rsidRDefault="00A8138F" w:rsidP="00A8138F">
      <w:pPr>
        <w:pStyle w:val="TextoNormal"/>
      </w:pPr>
    </w:p>
    <w:p w14:paraId="4C9780AF" w14:textId="75049A90" w:rsidR="00A8138F" w:rsidRDefault="00A8138F" w:rsidP="00A8138F">
      <w:pPr>
        <w:pStyle w:val="TextoNormal"/>
      </w:pPr>
      <w:r>
        <w:t>“[Recomendación] Novena.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 (</w:t>
      </w:r>
      <w:r w:rsidRPr="00A8138F">
        <w:rPr>
          <w:i/>
        </w:rPr>
        <w:t>loc. cit</w:t>
      </w:r>
      <w:r>
        <w:t>).</w:t>
      </w:r>
    </w:p>
    <w:p w14:paraId="43C69569" w14:textId="77777777" w:rsidR="00A8138F" w:rsidRDefault="00A8138F" w:rsidP="00A8138F">
      <w:pPr>
        <w:pStyle w:val="TextoNormal"/>
      </w:pPr>
    </w:p>
    <w:p w14:paraId="1A281DAC" w14:textId="77777777" w:rsidR="00A8138F" w:rsidRDefault="00A8138F" w:rsidP="00A8138F">
      <w:pPr>
        <w:pStyle w:val="TextoNormal"/>
      </w:pPr>
      <w:r w:rsidRPr="00A8138F">
        <w:rPr>
          <w:rStyle w:val="NumeroAFNegritaCaracter"/>
        </w:rPr>
        <w:t>3</w:t>
      </w:r>
      <w:r>
        <w:t>. La demanda de amparo alega que la conclusión y la recomendación impugnadas vulneran el derecho al honor de los recurrentes (art. 18.1 CE), que protege su presunción de inocencia fuera del ámbito penal, al imputarles nominativamente una “responsabilidad global por el fallo sistémico que propició el accidente”. Algo que, afirma la demanda, excede el ámbito del reproche político o de oportunidad, que es el único en el que se puede mover la función investigadora del Congreso de los Diputados.</w:t>
      </w:r>
    </w:p>
    <w:p w14:paraId="7B4543CA" w14:textId="77777777" w:rsidR="00A8138F" w:rsidRDefault="00A8138F" w:rsidP="00A8138F">
      <w:pPr>
        <w:pStyle w:val="TextoNormal"/>
      </w:pPr>
    </w:p>
    <w:p w14:paraId="2DB0B6CF" w14:textId="77777777" w:rsidR="00A8138F" w:rsidRDefault="00A8138F" w:rsidP="00A8138F">
      <w:pPr>
        <w:pStyle w:val="TextoNormal"/>
      </w:pPr>
      <w:r>
        <w:t xml:space="preserve">a) El escrito comienza sus alegaciones sintetizando, con referencia fundamentalmente a la STC 133/2018, de 13 de diciembre (y a las decisiones del Tribunal Europeo de Derechos Humanos que esta menciona), la doctrina constitucional en relación con el alcance y límites de la actividad de las comisiones de investigación. Recuerda que, conforme a dicha doctrina, estas comisiones, como manifestación de la función de control parlamentario sobre el Ejecutivo, pueden emitir conclusiones y recomendaciones por razones políticas o de oportunidad, pero no ejercer el </w:t>
      </w:r>
      <w:r w:rsidRPr="00A8138F">
        <w:rPr>
          <w:i/>
        </w:rPr>
        <w:t>ius puniendi</w:t>
      </w:r>
      <w:r>
        <w:t xml:space="preserve"> del Estado. Así pues, no pueden realizar imputaciones individualizadas de responsabilidad por irregularidades que pueden constituir infracciones administrativas o penales, ya que lo contrario implicaría vulnerar la presunción de inocencia en su vertiente extraprocesal, cuya protección se canaliza a través del derecho al honor del art. 18.1 CE.</w:t>
      </w:r>
    </w:p>
    <w:p w14:paraId="1CBC7FBD" w14:textId="77777777" w:rsidR="00A8138F" w:rsidRDefault="00A8138F" w:rsidP="00A8138F">
      <w:pPr>
        <w:pStyle w:val="TextoNormal"/>
      </w:pPr>
    </w:p>
    <w:p w14:paraId="087DA676" w14:textId="77777777" w:rsidR="00A8138F" w:rsidRDefault="00A8138F" w:rsidP="00A8138F">
      <w:pPr>
        <w:pStyle w:val="TextoNormal"/>
      </w:pPr>
      <w:r>
        <w:t>En ese marco, resalta que las conclusiones de la Comisión no mencionan las resoluciones judiciales que excluyeron la exigencia de responsabilidad penal alguna a las personas a las que los incisos impugnados imputan “la responsabilidad por el fallo sistémico que, según la Comisión, fue la causa última del accidente y respecto de los cuales requiere a la Fiscalía para que analice la concurrencia de negligencia penal”; y subraya las imprecisiones apreciables al concretar la posición de alguno de los recurrentes, para concluir que “[d]e nada sirve” que la conclusión aquí controvertida contenga consideraciones generales sobre la “responsabilidad política” en las democracias si luego se cita por su nombre y apellidos a las personas a las que se imputa esa responsabilidad, prescindiendo ya del adjetivo (“política”), y se pide que se trasladen los hechos al fiscal. Además, la demanda sostiene que la Comisión se extralimita en su actuación, porque su objeto era estudiar las “causas del accidente” pero sus conclusiones abarcan actuaciones posteriores, que critica por considerarlas ineficientes.</w:t>
      </w:r>
    </w:p>
    <w:p w14:paraId="3E134698" w14:textId="77777777" w:rsidR="00A8138F" w:rsidRDefault="00A8138F" w:rsidP="00A8138F">
      <w:pPr>
        <w:pStyle w:val="TextoNormal"/>
      </w:pPr>
    </w:p>
    <w:p w14:paraId="33117233" w14:textId="77777777" w:rsidR="00A8138F" w:rsidRDefault="00A8138F" w:rsidP="00A8138F">
      <w:pPr>
        <w:pStyle w:val="TextoNormal"/>
      </w:pPr>
      <w:r>
        <w:t>En definitiva, para la representación procesal de los recurrentes la conclusión décima “no deja lugar a dudas”: se imputa a los demandantes la responsabilidad por el “fallo sistémico del sistema a la fecha del accidente por las decisiones que […] asumían dentro del sistema a dicha fecha”, atribuyéndoles pues responsabilidad por infringir las normas administrativas que regulan la seguridad aérea, e ignorando que “en el ámbito penal las actuaciones concluyeron con el sobreseimiento libre de las dos únicas personas investigadas” (que ni siquiera se hallan entre los recurrentes). Una “imputación individualizada de responsabilidad [que] implica una lesión de la presunción de inocencia de los demandantes de amparo que, al realizarse fuera del ámbito penal”, se protege a través del derecho al honor; y que alcanza tanto a los que eran empleados públicos como a los altos cargos de la administración y a quien ocupaba cargo político, ya que tal imputación “excede con mucho un reproche político o de oportunidad, único ámbito en el que se puede mover la función investigadora del Congreso de los Diputados”. Algo que ya observó el letrado de las Cortes que asesoraba a la Comisión y que, como recoge el voto particular emitido por el Grupo Parlamentario Socialista a la propuesta de dictamen elevado por la Comisión al Pleno, emitió informe apuntando que la conclusión décima suscita “el problema fundamental de ignorar, y consecuentemente contravenir, lo resuelto” por este tribunal en su STC 133/2018.</w:t>
      </w:r>
    </w:p>
    <w:p w14:paraId="04FD65BD" w14:textId="77777777" w:rsidR="00A8138F" w:rsidRDefault="00A8138F" w:rsidP="00A8138F">
      <w:pPr>
        <w:pStyle w:val="TextoNormal"/>
      </w:pPr>
    </w:p>
    <w:p w14:paraId="30827EBB" w14:textId="77777777" w:rsidR="00A8138F" w:rsidRDefault="00A8138F" w:rsidP="00A8138F">
      <w:pPr>
        <w:pStyle w:val="TextoNormal"/>
      </w:pPr>
      <w:r>
        <w:t>Por todo ello el abogado del Estado solicita que se otorgue el amparo solicitado, declarando vulnerado el derecho fundamental al honor y restableciendo así a los recurrentes en la integridad de su derecho, y que se declare la nulidad de la conclusión décima y de la recomendación novena del dictamen controvertido.</w:t>
      </w:r>
    </w:p>
    <w:p w14:paraId="798CEF1E" w14:textId="77777777" w:rsidR="00A8138F" w:rsidRDefault="00A8138F" w:rsidP="00A8138F">
      <w:pPr>
        <w:pStyle w:val="TextoNormal"/>
      </w:pPr>
    </w:p>
    <w:p w14:paraId="5307E7BB" w14:textId="77777777" w:rsidR="00A8138F" w:rsidRDefault="00A8138F" w:rsidP="00A8138F">
      <w:pPr>
        <w:pStyle w:val="TextoNormal"/>
      </w:pPr>
      <w:r>
        <w:t>b) La demanda justifica la especial trascendencia constitucional del recurso apuntando que concurren los tres criterios definidos por el art. 50.1 b) de la Ley Orgánica del Tribunal Constitucional (LOTC).</w:t>
      </w:r>
    </w:p>
    <w:p w14:paraId="6AE83392" w14:textId="77777777" w:rsidR="00A8138F" w:rsidRDefault="00A8138F" w:rsidP="00A8138F">
      <w:pPr>
        <w:pStyle w:val="TextoNormal"/>
      </w:pPr>
    </w:p>
    <w:p w14:paraId="12E5AB85" w14:textId="77777777" w:rsidR="00A8138F" w:rsidRDefault="00A8138F" w:rsidP="00A8138F">
      <w:pPr>
        <w:pStyle w:val="TextoNormal"/>
      </w:pPr>
      <w:r>
        <w:t>En primer lugar, apunta que este tribunal nunca se ha pronunciado sobre una impugnación de un dictamen de una comisión de investigación del Congreso de los Diputados por vulneración del derecho al honor (art. 18.1 CE) de personas que no son miembros de la Cámara. En este sentido, aduce que el único antecedente en este ámbito, la STC 133/2018, se refiere a una asamblea autonómica y a un empleado de una empresa pública autonómica. Por tanto, corresponde a este tribunal delimitar si la doctrina constitucional que allí se sienta es trasladable al Congreso de los Diputados o si existen diferencias entre uno y otro ámbito, en el marco de la normativa constitucional y reglamentaria propia de esta Cámara.</w:t>
      </w:r>
    </w:p>
    <w:p w14:paraId="4BA2D935" w14:textId="77777777" w:rsidR="00A8138F" w:rsidRDefault="00A8138F" w:rsidP="00A8138F">
      <w:pPr>
        <w:pStyle w:val="TextoNormal"/>
      </w:pPr>
    </w:p>
    <w:p w14:paraId="30F1835B" w14:textId="77777777" w:rsidR="00A8138F" w:rsidRDefault="00A8138F" w:rsidP="00A8138F">
      <w:pPr>
        <w:pStyle w:val="TextoNormal"/>
      </w:pPr>
      <w:r>
        <w:t>En segundo término se subraya que, a diferencia del supuesto analizado por la STC 133/2018, quienes ahora demandan amparo no son solo funcionarios o empleados públicos, como el inspector que firmó la prórroga del certificado de aeronavegabilidad, el presidente y secretario de la Comisión de Investigación de Accidentes e Incidentes de Aviación Civil (CIAIAC) o el director del aeropuerto Madrid-Barajas; sino también un conjunto de altos cargos de la administración general del Estado, como el secretario general de Transportes y el director general de Aviación Civil; y cargos políticos, como la ministra de Fomento. A todos ellos se les imputa, de manera conjunta, la responsabilidad del accidente por entender el Congreso que este es consecuencia de un fallo sistémico, por lo que corresponde al Tribunal Constitucional delimitar el ámbito de la doctrina constitucional recogida en la STC 133/2018 y el alcance de la protección del derecho al honor cuando las personas afectadas por el acto del Congreso no son funcionarios y empleados públicos, sino altos cargos de la administración pública o cargos políticos; y, además, cuando la imputación de responsabilidad es global a todos ellos.</w:t>
      </w:r>
    </w:p>
    <w:p w14:paraId="59C9B905" w14:textId="77777777" w:rsidR="00A8138F" w:rsidRDefault="00A8138F" w:rsidP="00A8138F">
      <w:pPr>
        <w:pStyle w:val="TextoNormal"/>
      </w:pPr>
    </w:p>
    <w:p w14:paraId="2E123094" w14:textId="6973014D" w:rsidR="00A8138F" w:rsidRDefault="00A8138F" w:rsidP="00A8138F">
      <w:pPr>
        <w:pStyle w:val="TextoNormal"/>
      </w:pPr>
      <w:r>
        <w:t>Finalmente, considera necesario dotar de eficacia a la doctrina constitucional recogida en la STC 133/2018 para que se forme un cuerpo jurisprudencial que sirva de guía a las comisiones de investigación tanto de las Cortes Generales como de las asambleas legislativas autonómicas en la atribución de las denominadas “responsabilidades políticas”.</w:t>
      </w:r>
    </w:p>
    <w:p w14:paraId="08CA834D" w14:textId="77777777" w:rsidR="00A8138F" w:rsidRDefault="00A8138F" w:rsidP="00A8138F">
      <w:pPr>
        <w:pStyle w:val="TextoNormal"/>
      </w:pPr>
    </w:p>
    <w:p w14:paraId="31EE9A3F" w14:textId="29A0219A" w:rsidR="00A8138F" w:rsidRDefault="00A8138F" w:rsidP="00A8138F">
      <w:pPr>
        <w:pStyle w:val="TextoNormal"/>
      </w:pPr>
      <w:r w:rsidRPr="00A8138F">
        <w:rPr>
          <w:rStyle w:val="NumeroAFNegritaCaracter"/>
        </w:rPr>
        <w:t>4</w:t>
      </w:r>
      <w:r>
        <w:t>. El día 4 de octubre de 2021, vista la conexión objetiva apreciada entre este recurso de amparo y el recurso de amparo núm. 5123-2021, se acordó que ambos fueran turnados a la misma ponente.</w:t>
      </w:r>
    </w:p>
    <w:p w14:paraId="52ADD07E" w14:textId="77777777" w:rsidR="00A8138F" w:rsidRDefault="00A8138F" w:rsidP="00A8138F">
      <w:pPr>
        <w:pStyle w:val="TextoNormal"/>
      </w:pPr>
    </w:p>
    <w:p w14:paraId="19670CD9" w14:textId="2A6C6E71" w:rsidR="00A8138F" w:rsidRDefault="00A8138F" w:rsidP="00A8138F">
      <w:pPr>
        <w:pStyle w:val="TextoNormal"/>
      </w:pPr>
      <w:r w:rsidRPr="00A8138F">
        <w:rPr>
          <w:rStyle w:val="NumeroAFNegritaCaracter"/>
        </w:rPr>
        <w:t>5</w:t>
      </w:r>
      <w:r>
        <w:t>. Mediante diligencia de ordenación del secretario de justicia de la Sala Primera del Tribunal Constitucional de 20 de enero de 2023, y en virtud de lo acordado por el Pleno del Tribunal Constitucional el día 17 de enero de 2023, publicado en el “Boletín Oficial del Estado” de 19 de enero, el presente recurso de amparo fue turnado a la Sección Primera de la Sala Primera del Tribunal Constitucional, lo que se puso en conocimiento de las partes y del Ministerio Fiscal a los efectos oportunos.</w:t>
      </w:r>
    </w:p>
    <w:p w14:paraId="4D59D5E6" w14:textId="77777777" w:rsidR="00A8138F" w:rsidRDefault="00A8138F" w:rsidP="00A8138F">
      <w:pPr>
        <w:pStyle w:val="TextoNormal"/>
      </w:pPr>
    </w:p>
    <w:p w14:paraId="7AB117A3" w14:textId="167B2968" w:rsidR="00A8138F" w:rsidRDefault="00A8138F" w:rsidP="00A8138F">
      <w:pPr>
        <w:pStyle w:val="TextoNormal"/>
      </w:pPr>
      <w:r w:rsidRPr="00A8138F">
        <w:rPr>
          <w:rStyle w:val="NumeroAFNegritaCaracter"/>
        </w:rPr>
        <w:t>6</w:t>
      </w:r>
      <w:r>
        <w:t>. Mediante providencia de 6 de marzo de 2023, la Sección Primera decidió admitir a trámite el recurso, apreciando que concurre en el mismo una especial trascendencia constitucional porque el asunto suscitado trasciende del caso concreto porque pudiera tener unas consecuencias políticas generales [STC 155/2009, de 25 de junio, FJ 2 g)]. Por ello, en aplicación de lo dispuesto en el art. 51 LOTC, se acordó dirigir atenta comunicación a la presidenta del Congreso de los Diputados, a fin de que en el plazo que no excediera de diez días, remitiera certificación o fotocopia adverada de las actuaciones realizadas por la Comisión de Investigación relativa al accidente del vuelo JK5022, con remisión de copia de la demanda para conocimiento de la citada Cámara, a efectos de su personación en el procedimiento.</w:t>
      </w:r>
    </w:p>
    <w:p w14:paraId="55C34243" w14:textId="77777777" w:rsidR="00A8138F" w:rsidRDefault="00A8138F" w:rsidP="00A8138F">
      <w:pPr>
        <w:pStyle w:val="TextoNormal"/>
      </w:pPr>
    </w:p>
    <w:p w14:paraId="17CBF3C7" w14:textId="0653D6AA" w:rsidR="00A8138F" w:rsidRDefault="00A8138F" w:rsidP="00A8138F">
      <w:pPr>
        <w:pStyle w:val="TextoNormal"/>
      </w:pPr>
      <w:r w:rsidRPr="00A8138F">
        <w:rPr>
          <w:rStyle w:val="NumeroAFNegritaCaracter"/>
        </w:rPr>
        <w:t>7</w:t>
      </w:r>
      <w:r>
        <w:t>. El 14 de marzo de 2023 la mesa del Congreso de los Diputados acordó personarse en el procedimiento.</w:t>
      </w:r>
    </w:p>
    <w:p w14:paraId="28175E1E" w14:textId="77777777" w:rsidR="00A8138F" w:rsidRDefault="00A8138F" w:rsidP="00A8138F">
      <w:pPr>
        <w:pStyle w:val="TextoNormal"/>
      </w:pPr>
    </w:p>
    <w:p w14:paraId="6030CB3C" w14:textId="356E2BE0" w:rsidR="00A8138F" w:rsidRDefault="00A8138F" w:rsidP="00A8138F">
      <w:pPr>
        <w:pStyle w:val="TextoNormal"/>
      </w:pPr>
      <w:r w:rsidRPr="00A8138F">
        <w:rPr>
          <w:rStyle w:val="NumeroAFNegritaCaracter"/>
        </w:rPr>
        <w:t>8</w:t>
      </w:r>
      <w:r>
        <w:t>. Mediante diligencia de ordenación de 30 de marzo de 2023, y a tenor de lo dispuesto en el art. 52 LOTC, se acordó dar vista de todas las actuaciones del recurso de amparo por un plazo común de veinte días al Ministerio Fiscal y a las partes personadas para que dentro de dicho plazo pudieran presentar las alegaciones que a su derecho conviniera.</w:t>
      </w:r>
    </w:p>
    <w:p w14:paraId="38E841A2" w14:textId="77777777" w:rsidR="00A8138F" w:rsidRDefault="00A8138F" w:rsidP="00A8138F">
      <w:pPr>
        <w:pStyle w:val="TextoNormal"/>
      </w:pPr>
    </w:p>
    <w:p w14:paraId="6A839204" w14:textId="77777777" w:rsidR="00A8138F" w:rsidRDefault="00A8138F" w:rsidP="00A8138F">
      <w:pPr>
        <w:pStyle w:val="TextoNormal"/>
      </w:pPr>
      <w:r w:rsidRPr="00A8138F">
        <w:rPr>
          <w:rStyle w:val="NumeroAFNegritaCaracter"/>
        </w:rPr>
        <w:t>9</w:t>
      </w:r>
      <w:r>
        <w:t>. El 8 de mayo de 2023 se registró en este tribunal el escrito de alegaciones formulado por la letrada de las Cortes Generales, en nombre y representación del Congreso de los Diputados, en el que se solicita la desestimación del recurso de amparo. La letrada comienza subrayando la similitud de este supuesto con el analizado en el recurso de amparo núm. 5123-2021, planteado por otro demandante frente a los mismos actos, lo que determina la coincidencia de la mayor parte de las alegaciones en ambos casos. A partir de ahí, se recuerda el marco normativo de las comisiones de investigación, destacando su función de control político, y no jurídico, de la que se desprende “que las conclusiones políticas de las comisiones de investigación” pueden diferir de posibles resoluciones judiciales o administrativas sobre el mismo asunto; “dicho con otras palabras: una conducta puede no ser jurídicamente sancionable y sí ser políticamente reprobable”.</w:t>
      </w:r>
    </w:p>
    <w:p w14:paraId="261DB31E" w14:textId="77777777" w:rsidR="00A8138F" w:rsidRDefault="00A8138F" w:rsidP="00A8138F">
      <w:pPr>
        <w:pStyle w:val="TextoNormal"/>
      </w:pPr>
    </w:p>
    <w:p w14:paraId="4E87979F" w14:textId="77777777" w:rsidR="00A8138F" w:rsidRDefault="00A8138F" w:rsidP="00A8138F">
      <w:pPr>
        <w:pStyle w:val="TextoNormal"/>
      </w:pPr>
      <w:r>
        <w:t>Revisa la doctrina establecida por la STC 133/2018 y, en particular, la “vertiente extraprocesal de la presunción de inocencia”, protegida en nuestro sistema constitucional a través del derecho al honor (art. 18.1 CE) y concebida como “el derecho a recibir la consideración y el trato de no autor o no partícipe en hechos de carácter delictivo o análogo a estos, sin previa resolución dictada por el poder público u órgano competente que así lo declare, y [que] determina por ende el derecho a que no se apliquen las consecuencias o los efectos jurídicos anudados a hechos de tal naturaleza en las relaciones jurídicas de todo tipo (FJ 4)”. Señala que las comisiones de investigación no pueden “llevar a cabo una calificación jurídica de los hechos” ni “individualizar a los sujetos responsables mediante la atribución o imputación de cualquier ilícito penal o administrativo”; pero ello no impide valorar políticamente los hechos, “pudiendo ser esta valoración diferente a la que, jurídicamente, hayan realizado los tribunales”, ni atribuir responsabilidades políticas individuales. Ciertamente, se admite, ello exige “un especial cuidado en la elección de los términos” empleados para determinar dichas responsabilidades políticas, “permitiéndose, en todo caso, una declaración de sospecha, pero nunca una de culpabilidad, y quedando siempre clara su diferencia de las responsabilidades jurídicas, que no podrán aparecer declaradas en el texto aprobado por la Cámara”.</w:t>
      </w:r>
    </w:p>
    <w:p w14:paraId="54A252CA" w14:textId="77777777" w:rsidR="00A8138F" w:rsidRDefault="00A8138F" w:rsidP="00A8138F">
      <w:pPr>
        <w:pStyle w:val="TextoNormal"/>
      </w:pPr>
    </w:p>
    <w:p w14:paraId="0F18EEC0" w14:textId="77777777" w:rsidR="00A8138F" w:rsidRDefault="00A8138F" w:rsidP="00A8138F">
      <w:pPr>
        <w:pStyle w:val="TextoNormal"/>
      </w:pPr>
      <w:r>
        <w:t>De hecho, este mismo caso permite constatar que las conclusiones de estas comisiones no dan lugar a ninguna consecuencia jurídica, ya que ninguna de las personas aludidas “ha sido objeto de ningún tipo de actuación de exigencia de responsabilidad” tras aprobarse el dictamen de la Comisión. En definitiva, restringir la capacidad de las comisiones de investigación hasta el punto de “que no puedan declarar que hubo una responsabilidad política de los gestores, mencionándolos con sus nombres, cuando los hechos evidencian por sí solos que hubo errores e ineficacia, podría suponer vulnerar el artículo 23” de la Constitución, que protege todas aquellas facultades de los parlamentarios que les permiten ejercer la función de control. Por consiguiente, “si la comisión de investigación se ajusta a sus propios límites y solo realiza una valoración política, declarando la responsabilidad política, sin entrar [en] valoraciones o cualificaciones de tipo jurídico, ha de prevalecer, en nuestra opinión, la protección del artículo 23 frente a la del artículo 18”. Porque la clave “no es […] que exista una imputación individualizada a las personas que se citan, sino que la conducta que se imputa se califique de ‘ilícita’, siendo requisito necesario para ello que el dictamen realice y contenga algún tipo de análisis jurídico para llegar a tal conclusión y precise cuál es, en concreto, la norma o ley incumplida”. Así ocurría en el supuesto resuelto por la reiterada STC 133/2018, lo que determinó la estimación del amparo.</w:t>
      </w:r>
    </w:p>
    <w:p w14:paraId="744E8249" w14:textId="77777777" w:rsidR="00A8138F" w:rsidRDefault="00A8138F" w:rsidP="00A8138F">
      <w:pPr>
        <w:pStyle w:val="TextoNormal"/>
      </w:pPr>
    </w:p>
    <w:p w14:paraId="07942E3A" w14:textId="77777777" w:rsidR="00A8138F" w:rsidRDefault="00A8138F" w:rsidP="00A8138F">
      <w:pPr>
        <w:pStyle w:val="TextoNormal"/>
      </w:pPr>
      <w:r>
        <w:t>Por el contrario, “existe una diferencia radical” entre aquel caso y este, porque aquí no se ha atribuido a ninguno de los citados el incumplimiento de ninguna norma jurídica ni la consiguiente responsabilidad penal o administrativa. De hecho, la responsabilidad política que se atribuye es “bastante genérica o vaga, incluso”, limitándose a enunciar “un principio general de responsabilidad por el buen funcionamiento de un servicio esencial para el ciudadano como es el transporte aéreo” que ni siquiera habría de recordarse, pues se deduce de las normas generales de nuestro ordenamiento que regulan la responsabilidad por el funcionamiento de los servicios públicos (así, el art. 106 CE y la Ley 21/2003, de 7 de julio, de seguridad aérea).</w:t>
      </w:r>
    </w:p>
    <w:p w14:paraId="4C6043C3" w14:textId="77777777" w:rsidR="00A8138F" w:rsidRDefault="00A8138F" w:rsidP="00A8138F">
      <w:pPr>
        <w:pStyle w:val="TextoNormal"/>
      </w:pPr>
    </w:p>
    <w:p w14:paraId="47C9669F" w14:textId="77777777" w:rsidR="00A8138F" w:rsidRDefault="00A8138F" w:rsidP="00A8138F">
      <w:pPr>
        <w:pStyle w:val="TextoNormal"/>
      </w:pPr>
      <w:r>
        <w:t>Por ello, resulta difícil deducir de la expresión “fallo sistémico” la imputación de concretas actuaciones ilícitas de las personas mencionadas: de la conclusión cuestionada solo se infiere que “hubo un fallo sistémico consistente en no establecer, evaluar, evolucionar, comprobar y corregir las debilidades del sistema”, sin ir más lejos ni atribuir incumplimientos específicos de ninguna norma jurídica. Se constata una irregularidad, pero no se califica jurídicamente; no se trata “a nadie de autor o partícipe en actuaciones ilícitas, ni siquiera a nivel de ‘estado de sospecha’ como precisa el Tribunal Europeo de Derechos Humanos. Simplemente no hay un pronunciamiento en tal sentido”. La conclusión especifica que el accidente, como todos, se debió a una “concatenación de fallos”; pero distingue las investigaciones oficiales, que “deben centrarse en la intervención humana evitable o exigible para cada uno de esos fallos”, y “la responsabilidad política, [que] por contra, tiene que ver con el sistema, es decir, con el conjunto de elementos de seguridad exigidos, con la revisión y el cumplimiento de los mismos y con la responsabilidad exigible de hacer imposible lo posible, es decir, evitar lo evitable”.</w:t>
      </w:r>
    </w:p>
    <w:p w14:paraId="11740A88" w14:textId="77777777" w:rsidR="00A8138F" w:rsidRDefault="00A8138F" w:rsidP="00A8138F">
      <w:pPr>
        <w:pStyle w:val="TextoNormal"/>
      </w:pPr>
    </w:p>
    <w:p w14:paraId="30BC0C35" w14:textId="77777777" w:rsidR="00A8138F" w:rsidRDefault="00A8138F" w:rsidP="00A8138F">
      <w:pPr>
        <w:pStyle w:val="TextoNormal"/>
      </w:pPr>
      <w:r>
        <w:t>La recomendación impugnada tampoco atribuye responsabilidad jurídica alguna a los recurrentes ni a ninguna otra persona: sencillamente, y a partir del análisis de los hechos investigados, se apunta “que podría haber conductas negligentes”, limitándose a recomendar la remisión del contenido y resultado de la Comisión a la Fiscalía General del Estado, que finalmente no se produjo.</w:t>
      </w:r>
    </w:p>
    <w:p w14:paraId="12C90656" w14:textId="77777777" w:rsidR="00A8138F" w:rsidRDefault="00A8138F" w:rsidP="00A8138F">
      <w:pPr>
        <w:pStyle w:val="TextoNormal"/>
      </w:pPr>
    </w:p>
    <w:p w14:paraId="64D9055A" w14:textId="77777777" w:rsidR="00A8138F" w:rsidRDefault="00A8138F" w:rsidP="00A8138F">
      <w:pPr>
        <w:pStyle w:val="TextoNormal"/>
      </w:pPr>
      <w:r>
        <w:t>En conclusión, la representación del Congreso afirma que “conforme a la doctrina de la STC 133/2018”, la Comisión no se ha extralimitado en el ejercicio de sus facultades ni ha perjudicado la vertiente extraprocesal de la presunción de inocencia protegida por el derecho al honor: sus conclusiones y recomendaciones no establecen responsabilidades jurídicas ni sanciones y se limitan a declarar una “responsabilidad política que carece de consecuencias jurídicas” y no vincula ni al Gobierno, ni a ninguna otra autoridad o individuo. Por ello deben protegerse los derechos fundamentales reconocidos en el art. 23 CE, “cuyo vaciamiento injustificado haría imposible la función de control del Gobierno”.</w:t>
      </w:r>
    </w:p>
    <w:p w14:paraId="043B0302" w14:textId="77777777" w:rsidR="00A8138F" w:rsidRDefault="00A8138F" w:rsidP="00A8138F">
      <w:pPr>
        <w:pStyle w:val="TextoNormal"/>
      </w:pPr>
    </w:p>
    <w:p w14:paraId="1ED32B73" w14:textId="1A19BF7E" w:rsidR="00A8138F" w:rsidRDefault="00A8138F" w:rsidP="00A8138F">
      <w:pPr>
        <w:pStyle w:val="TextoNormal"/>
      </w:pPr>
      <w:r>
        <w:t>Por último, las alegaciones de la letrada responden a otras varias consideraciones concretas de la demanda. Así, explica la distinta composición de la comisión inicial, ante la que se desarrollaron la mayor parte de las comparecencias, y la que aprobó el dictamen, como consecuencia lógica de la celebración de dos elecciones generales entre ambos momentos. Por otra parte, aunque no se les comunicase personalmente, los demandantes de amparo pudieron conocer el contenido del dictamen, como muestra el que presentasen escritos a la Presidencia de la Cámara, cumpliéndose las exigencias reglamentarias de publicidad. Además, se descartan otras alegaciones referidas a aspectos tales como la falta de análisis de la documentación y de las comparecencias; la celebración de sesiones a puerta cerrada, conforme al Reglamento; la insuficiente referencia al sobreseimiento de la causa penal, o la inclusión de personas “no relacionadas con el siniestro” entre las expresamente mencionadas; pero, en particular, se rechaza la alegada extralimitación de la Comisión en su actuación, subrayando que su objeto no se limitaba a estudiar las “causas del accidente”, sino que incluía también el de extraer “conocimientos y recomendaciones para prevenir futuras tragedias”, lo que hace razonable extender la investigación “al momento posterior al accidente para tratar de buscar soluciones que podrían haber reducido su impacto”.</w:t>
      </w:r>
    </w:p>
    <w:p w14:paraId="27437CC9" w14:textId="77777777" w:rsidR="00A8138F" w:rsidRDefault="00A8138F" w:rsidP="00A8138F">
      <w:pPr>
        <w:pStyle w:val="TextoNormal"/>
      </w:pPr>
    </w:p>
    <w:p w14:paraId="028D1B58" w14:textId="7B640487" w:rsidR="00A8138F" w:rsidRDefault="00A8138F" w:rsidP="00A8138F">
      <w:pPr>
        <w:pStyle w:val="TextoNormal"/>
      </w:pPr>
      <w:r w:rsidRPr="00A8138F">
        <w:rPr>
          <w:rStyle w:val="NumeroAFNegritaCaracter"/>
        </w:rPr>
        <w:t>10</w:t>
      </w:r>
      <w:r>
        <w:t>. El 9 de mayo de 2023 el abogado del Estado presentó escrito de alegaciones, ratificando las recogidas en la demanda de amparo y ampliando las referencias al informe del letrado de la Comisión de Investigación, cuyo texto —afirma el escrito— no conocían al redactarse la demanda, “salvo por las referencias” que al mismo se hacían en el voto particular al dictamen de la Comisión, publicado en el “Boletín Oficial del Congreso de los Diputados”. Subraya, en particular, que dicho informe considera especialmente criticables los dos incisos impugnados en este procedimiento, señalando que la conclusión décima suscita “el problema fundamental de ignorar, y consecuentemente contravenir, lo resuelto” por este tribunal en su STC 133/2018, cuyo contenido recuerda y estima, “</w:t>
      </w:r>
      <w:r w:rsidRPr="00A8138F">
        <w:rPr>
          <w:i/>
        </w:rPr>
        <w:t>mutatis mutandis</w:t>
      </w:r>
      <w:r>
        <w:t>, aplicable” en este supuesto, por lo que se aconseja su supresión, “o alternativamente eliminar las referencias individuales a las dieciocho (18) personas incluidas en la lista de responsables, para evitar incurrir en una vulneración de sus derechos fundamentales y libertades públicas”.</w:t>
      </w:r>
    </w:p>
    <w:p w14:paraId="16271B16" w14:textId="77777777" w:rsidR="00A8138F" w:rsidRDefault="00A8138F" w:rsidP="00A8138F">
      <w:pPr>
        <w:pStyle w:val="TextoNormal"/>
      </w:pPr>
    </w:p>
    <w:p w14:paraId="5C4B7CFA" w14:textId="77777777" w:rsidR="00A8138F" w:rsidRDefault="00A8138F" w:rsidP="00A8138F">
      <w:pPr>
        <w:pStyle w:val="TextoNormal"/>
      </w:pPr>
      <w:r w:rsidRPr="00A8138F">
        <w:rPr>
          <w:rStyle w:val="NumeroAFNegritaCaracter"/>
        </w:rPr>
        <w:t>11</w:t>
      </w:r>
      <w:r>
        <w:t>. El Ministerio Fiscal, por escrito registrado el 25 de mayo de 2023, interesa que se dicte sentencia desestimando el recurso de amparo interpuesto.</w:t>
      </w:r>
    </w:p>
    <w:p w14:paraId="297C984F" w14:textId="77777777" w:rsidR="00A8138F" w:rsidRDefault="00A8138F" w:rsidP="00A8138F">
      <w:pPr>
        <w:pStyle w:val="TextoNormal"/>
      </w:pPr>
    </w:p>
    <w:p w14:paraId="39FE5C1A" w14:textId="77777777" w:rsidR="00A8138F" w:rsidRDefault="00A8138F" w:rsidP="00A8138F">
      <w:pPr>
        <w:pStyle w:val="TextoNormal"/>
      </w:pPr>
      <w:r>
        <w:t xml:space="preserve">a) Tras una minuciosa exposición de los antecedentes, el análisis de la fiscal comienza por confirmar el cumplimiento de los presupuestos procesales de la demanda: la legitimación de los recurrentes, identificados en el dictamen cuestionado “como responsables del accidente objeto de la investigación”; la tempestividad de la impugnación, y la impugnabilidad del acuerdo del Pleno que aprueba el dictamen de la Comisión de Investigación, por ser un acto parlamentario definitivo y firme respecto del que cabe acudir directamente a la vía del amparo </w:t>
      </w:r>
      <w:r w:rsidRPr="00A8138F">
        <w:rPr>
          <w:i/>
        </w:rPr>
        <w:t>ex</w:t>
      </w:r>
      <w:r>
        <w:t xml:space="preserve"> art. 42 LOTC. También considera satisfactoriamente justificada la especial trascendencia constitucional del recurso.</w:t>
      </w:r>
    </w:p>
    <w:p w14:paraId="60A85E08" w14:textId="77777777" w:rsidR="00A8138F" w:rsidRDefault="00A8138F" w:rsidP="00A8138F">
      <w:pPr>
        <w:pStyle w:val="TextoNormal"/>
      </w:pPr>
    </w:p>
    <w:p w14:paraId="089D074E" w14:textId="77777777" w:rsidR="00A8138F" w:rsidRDefault="00A8138F" w:rsidP="00A8138F">
      <w:pPr>
        <w:pStyle w:val="TextoNormal"/>
      </w:pPr>
      <w:r>
        <w:t>b) En lo que atañe al fondo de la pretensión de los demandantes, y tras advertir también la sustancial similitud de este recurso con el recurso de amparo núm. 5123-2021, el escrito recuerda, con abundantes citas de la STC 133/2018, la “naturaleza estrictamente política” de la actividad investigadora de las Cámaras, que excluye la traslación a la misma de las garantías de tutela judicial efectiva o del proceso con todas las garantías (art. 24.1 y 2 CE), que operan en los ámbitos jurisdiccional y administrativo sancionador. Por tanto, entiende que la invocada vulneración de tales derechos debe reconducirse a la también alegada lesión del derecho fundamental a la “dimensión extraprocesal de la presunción de inocencia” (art. 24.2 CE).</w:t>
      </w:r>
    </w:p>
    <w:p w14:paraId="7A552892" w14:textId="77777777" w:rsidR="00A8138F" w:rsidRDefault="00A8138F" w:rsidP="00A8138F">
      <w:pPr>
        <w:pStyle w:val="TextoNormal"/>
      </w:pPr>
    </w:p>
    <w:p w14:paraId="69B9AC01" w14:textId="77777777" w:rsidR="00A8138F" w:rsidRDefault="00A8138F" w:rsidP="00A8138F">
      <w:pPr>
        <w:pStyle w:val="TextoNormal"/>
      </w:pPr>
      <w:r>
        <w:t>Planteada la cuestión en esos términos, se subraya que la doctrina constitucional, en línea con la del Tribunal Europeo de Derechos Humanos, reconoce dicho derecho “cuando desde los poderes públicos se atribuye a una persona una conducta punible, al margen de lo establecido por las autoridades judiciales a través del procedimiento constitucionalmente establecido”, protegiéndose en el ordenamiento español, según el Tribunal Constitucional, por medio del derecho al honor (art. 18.1 CE), “que puede reconocerse como vulnerado en el caso de que aquella presunción de inocencia extraprocesal se infrinja”.</w:t>
      </w:r>
    </w:p>
    <w:p w14:paraId="484C8028" w14:textId="77777777" w:rsidR="00A8138F" w:rsidRDefault="00A8138F" w:rsidP="00A8138F">
      <w:pPr>
        <w:pStyle w:val="TextoNormal"/>
      </w:pPr>
    </w:p>
    <w:p w14:paraId="38BC1E11" w14:textId="77777777" w:rsidR="00A8138F" w:rsidRDefault="00A8138F" w:rsidP="00A8138F">
      <w:pPr>
        <w:pStyle w:val="TextoNormal"/>
      </w:pPr>
      <w:r>
        <w:t>La proyección de esta doctrina sobre la actividad de las comisiones de investigación parlamentarias ha llevado al Tribunal a admitir que estas pueden infringir la dimensión extraprocesal de la presunción de inocencia si “realizan un pronunciamiento o atribución de responsabilidad penal o administrativa individualizada” al margen del procedimiento legalmente establecido, lo que sería susceptible de protección a través del derecho al honor.</w:t>
      </w:r>
    </w:p>
    <w:p w14:paraId="04F151AD" w14:textId="77777777" w:rsidR="00A8138F" w:rsidRDefault="00A8138F" w:rsidP="00A8138F">
      <w:pPr>
        <w:pStyle w:val="TextoNormal"/>
      </w:pPr>
    </w:p>
    <w:p w14:paraId="17ED3191" w14:textId="77777777" w:rsidR="00A8138F" w:rsidRDefault="00A8138F" w:rsidP="00A8138F">
      <w:pPr>
        <w:pStyle w:val="TextoNormal"/>
      </w:pPr>
      <w:r>
        <w:t>En ese contexto, la representante de la Fiscalía rechaza las alegaciones de los recurrentes: por una parte, no hay extralimitación de la Comisión, por cuanto su objeto no se ceñía a identificar las causas del accidente en el momento en que se produjo, sino que se extendía a analizar las causas por las que sus consecuencias fueron tan graves, a fin de poder “evitar en el futuro otra tragedia” de tales dimensiones.</w:t>
      </w:r>
    </w:p>
    <w:p w14:paraId="0A50C1D3" w14:textId="77777777" w:rsidR="00A8138F" w:rsidRDefault="00A8138F" w:rsidP="00A8138F">
      <w:pPr>
        <w:pStyle w:val="TextoNormal"/>
      </w:pPr>
    </w:p>
    <w:p w14:paraId="0964458C" w14:textId="77777777" w:rsidR="00A8138F" w:rsidRDefault="00A8138F" w:rsidP="00A8138F">
      <w:pPr>
        <w:pStyle w:val="TextoNormal"/>
      </w:pPr>
      <w:r>
        <w:t>Por otro lado, no se atribuye a los demandantes una responsabilidad jurídica individualizada por actos ilícitos al margen del procedimiento legalmente establecido y en contradicción con lo declarado en resoluciones judiciales firmes: el escrito reproduce la expresa distinción del dictamen según la cual “las investigaciones oficiales deben centrarse en la intervención humana evitable o exigible para cada uno de esos fallos. Pero la responsabilidad política, por contra, tiene que ver con el sistema, es decir, con el conjunto de elementos de seguridad exigidos, con la revisión y el cumplimiento de los mismos y con la responsabilidad exigible de hacer imposible lo posible, es decir, evitar lo evitable”; añadiendo que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Ello lleva a declarar una responsabilidad política de carácter conjunto referida a “17 personas identificadas por su cargo público o de responsabilidad”, a las que cabe exigir dicha responsabilidad “en tanto ocuparon cargos y puestos de responsabilidad y, por ello, asumieron las decisiones que se tomaron dentro del conjunto del sistema de seguridad”, sin identificar actos individuales ni calificar jurídicamente posibles infracciones. En efecto, las referencias genéricas a un “fallo de todas las barreras de seguridad” o sistémico “no son, en ningún caso, una calificación jurídica sobre conductas infractoras individualizadas y atribuidas a concretas personas”, a diferencia de lo que ocurría en el supuesto resuelto por la STC 133/2018.</w:t>
      </w:r>
    </w:p>
    <w:p w14:paraId="5AC63608" w14:textId="77777777" w:rsidR="00A8138F" w:rsidRDefault="00A8138F" w:rsidP="00A8138F">
      <w:pPr>
        <w:pStyle w:val="TextoNormal"/>
      </w:pPr>
    </w:p>
    <w:p w14:paraId="79EA0C52" w14:textId="77777777" w:rsidR="00A8138F" w:rsidRDefault="00A8138F" w:rsidP="00A8138F">
      <w:pPr>
        <w:pStyle w:val="TextoNormal"/>
      </w:pPr>
      <w:r>
        <w:t>Igualmente se rechaza la interpretación que los recurrentes hacen de la recomendación cuestionada: al comunicar al fiscal los resultados de la investigación parlamentaria se aplica lo previsto en el art. 76.1 CE (y en el 52.4 del Reglamento del Congreso de los Diputados) a efectos de que este pueda ejercer, “cuando sea procedente”, las acciones oportunas; lo que permite descartar que tal comunicación suponga “una declaración de responsabilidad penal individualizada, que exceda del alcance” de la investigación parlamentaria (como ocurría en el supuesto resuelto en la STC 133/2018). Por tanto, la fiscal concluye que no ha existido una infracción de la dimensión extraprocesal del principio de presunción de inocencia que pueda conducir a apreciar la vulneración del derecho al honor de los recurrentes.</w:t>
      </w:r>
    </w:p>
    <w:p w14:paraId="2CD4C7A4" w14:textId="77777777" w:rsidR="00A8138F" w:rsidRDefault="00A8138F" w:rsidP="00A8138F">
      <w:pPr>
        <w:pStyle w:val="TextoNormal"/>
      </w:pPr>
    </w:p>
    <w:p w14:paraId="7EB5FBD0" w14:textId="77777777" w:rsidR="00A8138F" w:rsidRDefault="00A8138F" w:rsidP="00A8138F">
      <w:pPr>
        <w:pStyle w:val="TextoNormal"/>
      </w:pPr>
      <w:r>
        <w:t>Tampoco se acepta que el dictamen desconozca o contradiga lo declarado judicialmente en el proceso penal archivado en su día: dicho resultado se recoge en el dictamen, lo que no impide que la Comisión se pronuncie sobre responsabilidades políticas, de acuerdo con su función constitucional. Asimismo, resalta el escrito que para juzgar responsabilidades políticas ha de fijarse un presupuesto fáctico, los hechos y conductas a los que tal responsabilidad ha de referirse, por lo que no cabe un control de constitucionalidad sobre las conclusiones de la investigación parlamentaria que impida cualquier referencia a hechos concretos. Así lo confirma el art. 76.1 CE, al precisar que los resultados de estas investigaciones “no serán vinculantes para los tribunales, ni afectarán a las resoluciones judiciales”, añadiendo que pueden ser comunicados “al Ministerio Fiscal para el ejercicio, cuando proceda, de las acciones oportunas”: una conducta puede ser objeto de control político en sede parlamentaria, al margen de su control jurídico, penal o administrativo, que corresponde a los órganos constitucionalmente competentes para ejercerlo. En suma, no ha existido extralimitación alguna de la Cámara en el ejercicio de sus funciones investigadoras.</w:t>
      </w:r>
    </w:p>
    <w:p w14:paraId="262A731F" w14:textId="77777777" w:rsidR="00A8138F" w:rsidRDefault="00A8138F" w:rsidP="00A8138F">
      <w:pPr>
        <w:pStyle w:val="TextoNormal"/>
      </w:pPr>
    </w:p>
    <w:p w14:paraId="3AB32903" w14:textId="71B5C0AF" w:rsidR="00A8138F" w:rsidRDefault="00A8138F" w:rsidP="00A8138F">
      <w:pPr>
        <w:pStyle w:val="TextoNormal"/>
      </w:pPr>
      <w:r>
        <w:t xml:space="preserve">En cuanto a los errores denunciados en el dictamen relativos a los cargos ocupados por algunos de los demandantes y periodos en que los ejercieron, la fiscal niega o matiza algunos de ellos y considera irrelevantes los demás. Finalmente, se hace hincapié en que el acto impugnado se inscribe en la función de control político de la Cámara y, por tanto, en el marco del </w:t>
      </w:r>
      <w:r w:rsidRPr="00A8138F">
        <w:rPr>
          <w:i/>
        </w:rPr>
        <w:t>ius in officium</w:t>
      </w:r>
      <w:r>
        <w:t xml:space="preserve"> garantizado por el art. 23.2 CE y del derecho de los ciudadanos a la participación en los asuntos públicos (art. 23.1 CE), lo que exige examinarlo partiendo del principio de autonomía parlamentaria y ponderando los intereses fundamentales en conflicto, sin convertir el derecho al honor en un límite infranqueable frente al ejercicio del derecho de representación política.</w:t>
      </w:r>
    </w:p>
    <w:p w14:paraId="01FDB17D" w14:textId="77777777" w:rsidR="00A8138F" w:rsidRDefault="00A8138F" w:rsidP="00A8138F">
      <w:pPr>
        <w:pStyle w:val="TextoNormal"/>
      </w:pPr>
    </w:p>
    <w:p w14:paraId="0ADEE43D" w14:textId="6261E8C0" w:rsidR="00A8138F" w:rsidRDefault="00A8138F" w:rsidP="00A8138F">
      <w:pPr>
        <w:pStyle w:val="TextoNormal"/>
      </w:pPr>
      <w:r w:rsidRPr="00A8138F">
        <w:rPr>
          <w:rStyle w:val="NumeroAFNegritaCaracter"/>
        </w:rPr>
        <w:t>12</w:t>
      </w:r>
      <w:r>
        <w:t>. Por medio de diligencia de 26 de mayo de 2023 de la Secretaría de Justicia de la Sala Primera, se hace constar que se han recibido los escritos de alegaciones del Ministerio Fiscal, del abogado del Estado y de la letrada de las Cortes Generales, quedando el recurso pendiente para deliberación cuando por turno corresponda.</w:t>
      </w:r>
    </w:p>
    <w:p w14:paraId="46149CC0" w14:textId="77777777" w:rsidR="00A8138F" w:rsidRDefault="00A8138F" w:rsidP="00A8138F">
      <w:pPr>
        <w:pStyle w:val="TextoNormal"/>
      </w:pPr>
    </w:p>
    <w:p w14:paraId="4A309AC4" w14:textId="45AE2E30" w:rsidR="00A8138F" w:rsidRDefault="00A8138F" w:rsidP="00A8138F">
      <w:pPr>
        <w:pStyle w:val="TextoNormal"/>
      </w:pPr>
      <w:r w:rsidRPr="00A8138F">
        <w:rPr>
          <w:rStyle w:val="NumeroAFNegritaCaracter"/>
        </w:rPr>
        <w:t>13</w:t>
      </w:r>
      <w:r>
        <w:t>. Por providencia de 8 de mayo de 2025, se señaló para deliberación y votación de la presente sentencia el día 12 del mismo mes y año.</w:t>
      </w:r>
    </w:p>
    <w:p w14:paraId="0D1DD6EC" w14:textId="77777777" w:rsidR="00A8138F" w:rsidRDefault="00A8138F" w:rsidP="00A8138F">
      <w:pPr>
        <w:pStyle w:val="TextoNormal"/>
      </w:pPr>
    </w:p>
    <w:p w14:paraId="4EECB2CE" w14:textId="77777777" w:rsidR="00A8138F" w:rsidRDefault="00A8138F" w:rsidP="00A8138F">
      <w:pPr>
        <w:pStyle w:val="TextoNormalNegritaCentrado"/>
        <w:keepNext/>
      </w:pPr>
      <w:r>
        <w:t>II. Fundamentos jurídicos</w:t>
      </w:r>
    </w:p>
    <w:p w14:paraId="1C1A352E" w14:textId="3476DC43" w:rsidR="00A8138F" w:rsidRDefault="00A8138F" w:rsidP="00A8138F">
      <w:pPr>
        <w:pStyle w:val="TextoNormalNegritaCentrado"/>
        <w:keepNext/>
      </w:pPr>
    </w:p>
    <w:p w14:paraId="22388031"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045EA09C" w14:textId="77777777" w:rsidR="00A8138F" w:rsidRDefault="00A8138F" w:rsidP="00A8138F">
      <w:pPr>
        <w:pStyle w:val="TextoNormal"/>
      </w:pPr>
    </w:p>
    <w:p w14:paraId="3B9AB341" w14:textId="77777777" w:rsidR="00A8138F" w:rsidRDefault="00A8138F" w:rsidP="00A8138F">
      <w:pPr>
        <w:pStyle w:val="TextoNormal"/>
      </w:pPr>
      <w:r>
        <w:t>a) El presente recurso de amparo se dirige contra la conclusión X y la recomendación novena del dictamen de la Comisión de Investigación relativa al accidente del vuelo JK5022 de Spanair, aprobado por la propia Comisión el 22 de abril de 2021 y por el Pleno del Congreso de los Diputados el 13 de mayo de 2021. En síntesis, y en lo que a este procedimiento concierne, la citada conclusión décima señala que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 e identifica a los doce demandantes entre las dieciocho personas “responsables en la fecha del accidente que ocuparon puesto de responsabilidad y por tanto asumían decisiones que dentro del sistema se tomaron en el momento del siniestro”. Por su parte, la recomendación novena, contra la que también se dirige el demandante, afirma que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w:t>
      </w:r>
    </w:p>
    <w:p w14:paraId="5C353B7E" w14:textId="77777777" w:rsidR="00A8138F" w:rsidRDefault="00A8138F" w:rsidP="00A8138F">
      <w:pPr>
        <w:pStyle w:val="TextoNormal"/>
      </w:pPr>
    </w:p>
    <w:p w14:paraId="42B17C13" w14:textId="77777777" w:rsidR="00A8138F" w:rsidRDefault="00A8138F" w:rsidP="00A8138F">
      <w:pPr>
        <w:pStyle w:val="TextoNormal"/>
      </w:pPr>
      <w:r>
        <w:t>b) Como se ha expuesto pormenorizadamente en los antecedentes de esta sentencia, el recurso considera que la conclusión y la recomendación mencionadas han vulnerado el derecho al honor de los recurrentes, que protege su presunción de inocencia fuera del ámbito penal, por lo que solicita que así se declare, restableciéndoles en la integridad de su derecho y declarando la nulidad de dichas partes del dictamen.</w:t>
      </w:r>
    </w:p>
    <w:p w14:paraId="302939EF" w14:textId="77777777" w:rsidR="00A8138F" w:rsidRDefault="00A8138F" w:rsidP="00A8138F">
      <w:pPr>
        <w:pStyle w:val="TextoNormal"/>
      </w:pPr>
    </w:p>
    <w:p w14:paraId="326603EE" w14:textId="77777777" w:rsidR="00A8138F" w:rsidRDefault="00A8138F" w:rsidP="00A8138F">
      <w:pPr>
        <w:pStyle w:val="TextoNormal"/>
      </w:pPr>
      <w:r>
        <w:t>Por su parte, la letrada de las Cortes Generales solicita la desestimación del recurso. Entiende que la Comisión no se ha extralimitado en el ejercicio de sus facultades, ya que sus conclusiones y recomendaciones no establecen responsabilidades jurídicas ni sanciones, limitándose a declarar unas responsabilidades políticas carentes de consecuencias jurídicas, por lo que no lesionan la vertiente extraprocesal de la presunción de inocencia protegida en nuestro sistema por el derecho fundamental al honor. En tal tesitura, deben protegerse los derechos fundamentales a la participación política y al ejercicio de las funciones públicas (art. 23 CE), cuyo vaciamiento injustificado imposibilitaría el control parlamentario del Gobierno.</w:t>
      </w:r>
    </w:p>
    <w:p w14:paraId="4F82C06D" w14:textId="77777777" w:rsidR="00A8138F" w:rsidRDefault="00A8138F" w:rsidP="00A8138F">
      <w:pPr>
        <w:pStyle w:val="TextoNormal"/>
      </w:pPr>
    </w:p>
    <w:p w14:paraId="1DE2FD9C" w14:textId="01FD2C20" w:rsidR="00A8138F" w:rsidRDefault="00A8138F" w:rsidP="00A8138F">
      <w:pPr>
        <w:pStyle w:val="TextoNormal"/>
      </w:pPr>
      <w:r>
        <w:t>La fiscal interesa igualmente que el recurso sea desestimado. Entiende que las partes del dictamen aquí controvertidas no atribuyen a los recurrentes actos ilícitos de manera individualizada, limitándose a declarar una responsabilidad política exigible en conjunto a diversas personas, en virtud de las responsabilidades que les concernían en el funcionamiento de un sistema de seguridad en su conjunto.</w:t>
      </w:r>
    </w:p>
    <w:p w14:paraId="58B9ECE6" w14:textId="77777777" w:rsidR="00A8138F" w:rsidRDefault="00A8138F" w:rsidP="00A8138F">
      <w:pPr>
        <w:pStyle w:val="TextoNormal"/>
      </w:pPr>
    </w:p>
    <w:p w14:paraId="1F79E8D3" w14:textId="77777777" w:rsidR="00A8138F" w:rsidRDefault="00A8138F" w:rsidP="00A8138F">
      <w:pPr>
        <w:pStyle w:val="TextoNormal"/>
      </w:pPr>
      <w:r w:rsidRPr="00A8138F">
        <w:rPr>
          <w:rStyle w:val="NumeroAFNegritaCaracter"/>
        </w:rPr>
        <w:t>2</w:t>
      </w:r>
      <w:r>
        <w:t xml:space="preserve">. </w:t>
      </w:r>
      <w:r w:rsidRPr="00A8138F">
        <w:rPr>
          <w:i/>
        </w:rPr>
        <w:t>Consideraciones previas: síntesis de la doctrina constitucional relevante en la materia</w:t>
      </w:r>
    </w:p>
    <w:p w14:paraId="5F1CE13A" w14:textId="77777777" w:rsidR="00A8138F" w:rsidRDefault="00A8138F" w:rsidP="00A8138F">
      <w:pPr>
        <w:pStyle w:val="TextoNormal"/>
      </w:pPr>
    </w:p>
    <w:p w14:paraId="02AF5718" w14:textId="77777777" w:rsidR="00A8138F" w:rsidRDefault="00A8138F" w:rsidP="00A8138F">
      <w:pPr>
        <w:pStyle w:val="TextoNormal"/>
      </w:pPr>
      <w:r>
        <w:t>A) Debemos recordar ahora la doctrina sentada previamente por este tribunal en relación con los derechos que se dicen vulnerados, doctrina que ha sido sintetizada en la STC 133/2018, citada por todas las partes de este procedimiento, y la STC 77/2023, de 20 de junio, como sigue:</w:t>
      </w:r>
    </w:p>
    <w:p w14:paraId="53FA51A8" w14:textId="77777777" w:rsidR="00A8138F" w:rsidRDefault="00A8138F" w:rsidP="00A8138F">
      <w:pPr>
        <w:pStyle w:val="TextoNormal"/>
      </w:pPr>
    </w:p>
    <w:p w14:paraId="551372E6" w14:textId="77777777" w:rsidR="00A8138F" w:rsidRDefault="00A8138F" w:rsidP="00A8138F">
      <w:pPr>
        <w:pStyle w:val="TextoNormal"/>
      </w:pPr>
      <w:r>
        <w:t>a) En primer lugar, según la STC 133/2018, FJ 4 a), los derechos a la tutela judicial efectiva con interdicción de indefensión y a un proceso con todas las garantías (art. 24.1 y 2 CE) operan en el ámbito de los procedimientos jurisdiccionales y los administrativos de carácter sancionador; por lo que su alegada vulneración en el ámbito de las investigaciones parlamentarias ha de reconducirse a la del derecho a la presunción de inocencia (art. 24.2 CE), en su dimensión extraprocesal.</w:t>
      </w:r>
    </w:p>
    <w:p w14:paraId="3972C453" w14:textId="77777777" w:rsidR="00A8138F" w:rsidRDefault="00A8138F" w:rsidP="00A8138F">
      <w:pPr>
        <w:pStyle w:val="TextoNormal"/>
      </w:pPr>
    </w:p>
    <w:p w14:paraId="74FB6E0E" w14:textId="77777777" w:rsidR="00A8138F" w:rsidRDefault="00A8138F" w:rsidP="00A8138F">
      <w:pPr>
        <w:pStyle w:val="TextoNormal"/>
      </w:pPr>
      <w:r>
        <w:t>En lo que ahora interesa, este derecho, reconocido por el Tribunal Europeo de Derechos Humanos en el marco del artículo 6.2 del Convenio europeo de derechos humanos, consiste en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w:t>
      </w:r>
    </w:p>
    <w:p w14:paraId="3700B19E" w14:textId="77777777" w:rsidR="00A8138F" w:rsidRDefault="00A8138F" w:rsidP="00A8138F">
      <w:pPr>
        <w:pStyle w:val="TextoNormal"/>
      </w:pPr>
    </w:p>
    <w:p w14:paraId="4D272DFD" w14:textId="77777777" w:rsidR="00A8138F" w:rsidRDefault="00A8138F" w:rsidP="00A8138F">
      <w:pPr>
        <w:pStyle w:val="TextoNormal"/>
      </w:pPr>
      <w:r>
        <w:t>Por su parte, la STC 77/2023, FJ 5 a), afirma que “como regla de tratamiento, la presunción de inocencia impide tener por culpable a quien no ha sido declarado así tras un previo juicio justo”, reconociéndose “el carácter autónomo del derecho a la presunción de inocencia en su dimensión extraprocesal, examinando su posible lesión sin tener en cuenta el contenido constitucionalmente protegido por otros derechos fundamentales”.</w:t>
      </w:r>
    </w:p>
    <w:p w14:paraId="19FD729D" w14:textId="77777777" w:rsidR="00A8138F" w:rsidRDefault="00A8138F" w:rsidP="00A8138F">
      <w:pPr>
        <w:pStyle w:val="TextoNormal"/>
      </w:pPr>
    </w:p>
    <w:p w14:paraId="2C33DB19" w14:textId="77777777" w:rsidR="00A8138F" w:rsidRDefault="00A8138F" w:rsidP="00A8138F">
      <w:pPr>
        <w:pStyle w:val="TextoNormal"/>
      </w:pPr>
      <w:r>
        <w:t xml:space="preserve">Se refiere dicha sentencia, en su fundamento jurídico 6, a la vinculación de las comisiones de investigación parlamentarias al derecho a la presunción de inocencia en su vertiente extraprocesal, afirmando a dicho respecto que “la presunción de inocencia como regla de tratamiento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 Tal derecho se lesiona, pues, cuando las autoridades públicas “imputan ilícitos a una persona a pesar de que su culpabilidad no haya sido declarada por un tribunal, en el seno del proceso judicial público diseñado al efecto por el legislador y con todas las garantías”; es decir, cuando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 En este sentido se ha pronunciado también el Tribunal Europeo de Derechos Humanos (STEDH de 18 de febrero de 2016, asunto </w:t>
      </w:r>
      <w:r w:rsidRPr="00A8138F">
        <w:rPr>
          <w:i/>
        </w:rPr>
        <w:t>Rywin c. Polonia</w:t>
      </w:r>
      <w:r>
        <w:t>, § 205).</w:t>
      </w:r>
    </w:p>
    <w:p w14:paraId="44EECB4B" w14:textId="77777777" w:rsidR="00A8138F" w:rsidRDefault="00A8138F" w:rsidP="00A8138F">
      <w:pPr>
        <w:pStyle w:val="TextoNormal"/>
      </w:pPr>
    </w:p>
    <w:p w14:paraId="337FF3E9" w14:textId="77777777" w:rsidR="00A8138F" w:rsidRDefault="00A8138F" w:rsidP="00A8138F">
      <w:pPr>
        <w:pStyle w:val="TextoNormal"/>
      </w:pPr>
      <w:r>
        <w:t>b) El derecho al honor (STC 133/2018, FJ 4) “es una emanación de la dignidad, entendido como derecho a ser respetado por lo demás”. Y, pese a reconocer la imprecisión de su objeto, se subrayaba que “este derecho ampara la buena reputación de una persona, protegiéndola frente a expresiones o mensajes que la hagan desmerecer en la consideración ajena al ir en su descrédito o menosprecio o que sean tenidas en el concepto público por afrentosas”. En definitiva, protege “la indemnidad de la apreciación que de una persona pueden tener los demás” (no la que ella desearía tener), prohibiendo “que nadie se refiera a una persona de forma insultante o injuriosa o atentando injustificadamente contra su reputación, haciéndola desmerecer ante la opinión ajena”.</w:t>
      </w:r>
    </w:p>
    <w:p w14:paraId="41BCB044" w14:textId="77777777" w:rsidR="00A8138F" w:rsidRDefault="00A8138F" w:rsidP="00A8138F">
      <w:pPr>
        <w:pStyle w:val="TextoNormal"/>
      </w:pPr>
    </w:p>
    <w:p w14:paraId="4C247714" w14:textId="77777777" w:rsidR="00A8138F" w:rsidRDefault="00A8138F" w:rsidP="00A8138F">
      <w:pPr>
        <w:pStyle w:val="TextoNormal"/>
      </w:pPr>
      <w:r>
        <w:t>Este derecho, prosigue la reiterada sentencia, “protege también frente a aquellas críticas o informaciones acerca de la conducta profesional o laboral de una persona que puedan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Añadiendo que “si bien es cierto que las personas que ejercen funciones públicas o resultan implicadas en asuntos de relevancia pública deben soportar un cierto mayor riesgo de injerencia en sus derechos de la personalidad que las personas privadas”, también ellas son titulares de este derecho.</w:t>
      </w:r>
    </w:p>
    <w:p w14:paraId="497F0AB8" w14:textId="77777777" w:rsidR="00A8138F" w:rsidRDefault="00A8138F" w:rsidP="00A8138F">
      <w:pPr>
        <w:pStyle w:val="TextoNormal"/>
      </w:pPr>
    </w:p>
    <w:p w14:paraId="0738A6B0" w14:textId="77777777" w:rsidR="00A8138F" w:rsidRDefault="00A8138F" w:rsidP="00A8138F">
      <w:pPr>
        <w:pStyle w:val="TextoNormal"/>
      </w:pPr>
      <w:r>
        <w:t>B) Asimismo, resulta pertinente recordar la doctrina constitucional sobre la actividad de las comisiones de investigación.</w:t>
      </w:r>
    </w:p>
    <w:p w14:paraId="1DC9E9F1" w14:textId="77777777" w:rsidR="00A8138F" w:rsidRDefault="00A8138F" w:rsidP="00A8138F">
      <w:pPr>
        <w:pStyle w:val="TextoNormal"/>
      </w:pPr>
    </w:p>
    <w:p w14:paraId="1FE5B440" w14:textId="77777777" w:rsidR="00A8138F" w:rsidRDefault="00A8138F" w:rsidP="00A8138F">
      <w:pPr>
        <w:pStyle w:val="TextoNormal"/>
      </w:pPr>
      <w:r>
        <w:t xml:space="preserve">a) La actividad parlamentaria de investigación, como afirma la STC 133/2018, FJ 8, es concebida como “actividad de naturaleza estrictamente política, que en modo alguno puede ser reputada o calificada como jurisdiccional”, como resulta “con nitidez del artículo 117.3 CE, que con carácter exclusivo reserva el ejercicio de la función jurisdiccional a los jueces y tribunales”. Tampoco puede confundirse esta actividad con la potestad administrativa sancionadora, que expresa también el </w:t>
      </w:r>
      <w:r w:rsidRPr="00A8138F">
        <w:rPr>
          <w:i/>
        </w:rPr>
        <w:t>ius puniendi</w:t>
      </w:r>
      <w:r>
        <w:t xml:space="preserve"> del Estado y está igualmente sometida “a las necesarias cautelas que preserven y garanticen, con ciertos matices, tanto los principios sustantivos del propio artículo 25 CE como las garantías procedimentales del artículo 24.2 CE”. En definitiva, en el ejercicio de su función investigadora las Cámaras “no pueden adoptar decisiones de carácter sancionador en relación ni con el objeto ni con los sujetos de la investigación”.</w:t>
      </w:r>
    </w:p>
    <w:p w14:paraId="2F64BCC5" w14:textId="77777777" w:rsidR="00A8138F" w:rsidRDefault="00A8138F" w:rsidP="00A8138F">
      <w:pPr>
        <w:pStyle w:val="TextoNormal"/>
      </w:pPr>
    </w:p>
    <w:p w14:paraId="4E1FB66F" w14:textId="77777777" w:rsidR="00A8138F" w:rsidRDefault="00A8138F" w:rsidP="00A8138F">
      <w:pPr>
        <w:pStyle w:val="TextoNormal"/>
      </w:pPr>
      <w:r>
        <w:t>Las Cámaras son órganos de naturaleza política, que emiten “juicios de oportunidad política” conforme a “criterios políticos o de oportunidad” y “care[ntes] de efectos jurídicos”, que no vinculan a los tribunales ni afectan a las resoluciones judiciales (art. 76 CE). En consecuencia, en nuestro ordenamiento “el ámbito constitucionalmente posible de la actividad investigadora parlamentaria” se define por que ha de desarrollarse “con arreglo a parámetros, no de legalidad, sino políticos o de oportunidad”, limitándose “al esclarecimiento o conocimiento más exacto posible de los hechos objeto de la investigación”, así como “a la determinación de la responsabilidad política […] de los sujetos intervinientes en los mismos” (excluyendo cualquier responsabilidad “en virtud de actuaciones constitutivas de ilícitos penales o administrativos”) y, “en su caso, a la formulación de propuestas o recomendaciones”.</w:t>
      </w:r>
    </w:p>
    <w:p w14:paraId="5DBD42B7" w14:textId="77777777" w:rsidR="00A8138F" w:rsidRDefault="00A8138F" w:rsidP="00A8138F">
      <w:pPr>
        <w:pStyle w:val="TextoNormal"/>
      </w:pPr>
    </w:p>
    <w:p w14:paraId="62C55EB7" w14:textId="77777777" w:rsidR="00A8138F" w:rsidRDefault="00A8138F" w:rsidP="00A8138F">
      <w:pPr>
        <w:pStyle w:val="TextoNormal"/>
      </w:pPr>
      <w:r>
        <w:t xml:space="preserve">Así entendido, excede de ese marco “no solo, como es obvio, cualquier posible calificación jurídica de eventuales actos o conductas punibles, sino también su imputación o atribución individualizada a los sujetos a los que pudiera alcanzar la investigación”, porque tal atribución “de comportamientos ilícitos merecedores de pena o sanción” está reservada en nuestro ordenamiento “a los órganos que tienen encomendado el ejercicio del </w:t>
      </w:r>
      <w:r w:rsidRPr="00A8138F">
        <w:rPr>
          <w:i/>
        </w:rPr>
        <w:t>ius puniendi</w:t>
      </w:r>
      <w:r>
        <w:t xml:space="preserve"> del Estado, que puede manifestarse de manera constitucionalmente legítima tanto a través del derecho penal como del derecho administrativo sancionador [STC 215/2016, de 15 de diciembre, FJ 8 a)]”. Todo ello sin perjuicio, naturalmente, de que las Cámaras puedan poner en conocimiento del Ministerio Fiscal o del órgano o autoridad correspondientes cualquier indicio o sospecha de supuestas conductas delictivas o ilícitos administrativos, para que actúen como estimen procedente.</w:t>
      </w:r>
    </w:p>
    <w:p w14:paraId="58F9D1C5" w14:textId="77777777" w:rsidR="00A8138F" w:rsidRDefault="00A8138F" w:rsidP="00A8138F">
      <w:pPr>
        <w:pStyle w:val="TextoNormal"/>
      </w:pPr>
    </w:p>
    <w:p w14:paraId="4584132F" w14:textId="77777777" w:rsidR="00A8138F" w:rsidRDefault="00A8138F" w:rsidP="00A8138F">
      <w:pPr>
        <w:pStyle w:val="TextoNormal"/>
      </w:pPr>
      <w:r>
        <w:t>En suma, “las conclusiones que las Cámaras puedan alcanzar en el ejercicio de sus facultades investigadoras deben estar exentas de cualquier apreciación o imputación individualizada de conductas o acciones ilícitas a los sujetos investigados”. En este sentido, se recuerda que el Tribunal Europeo de Derechos Humanos “ha resaltado ‘la importancia de la elección de los términos empleados por los agentes del Estado en las declaraciones que formulen antes de que una persona haya sido juzgada y reconocida culpable de una infracción’, [distinguiendo] ‘entre las declaraciones que reflejan el sentimiento de que la persona afectada es culpable y las que se limitan a describir un estado de sospecha. Las primeras vulneran la presunción de inocencia mientras que las segundas han sido consideradas repetidas veces conformes al espíritu del artículo 6 del Convenio’” y, por tanto, no lesivas del derecho a la presunción de inocencia en su dimensión extraprocesal, protegido en nuestro ordenamiento a través del derecho al honor.</w:t>
      </w:r>
    </w:p>
    <w:p w14:paraId="276653EB" w14:textId="77777777" w:rsidR="00A8138F" w:rsidRDefault="00A8138F" w:rsidP="00A8138F">
      <w:pPr>
        <w:pStyle w:val="TextoNormal"/>
      </w:pPr>
    </w:p>
    <w:p w14:paraId="123A1F28" w14:textId="77777777" w:rsidR="00A8138F" w:rsidRDefault="00A8138F" w:rsidP="00A8138F">
      <w:pPr>
        <w:pStyle w:val="TextoNormal"/>
      </w:pPr>
      <w:r>
        <w:t>b) Por otra parte, la actuación de las comisiones parlamentarias de investigación, cuya naturaleza es esencialmente política, encuentra ciertos límites directamente derivados del principio de separación de poderes [STC 77/2023, FJ 3 A)]. En concreto, “toda actividad indagatoria encaminada a verificar si determinadas conductas constituyen infracciones de naturaleza penal o administrativa, mediante la constatación de la concurrencia de sus elementos típicos, y/o a determinar a quién debe atribuirse su autoría, mediante la constatación del grado de participación que en tales ilícitos penales y/o administrativos haya podido tener la persona investigada, excedería de las competencias legal y constitucionalmente atribuidas a una comisión parlamentaria de investigación”.</w:t>
      </w:r>
    </w:p>
    <w:p w14:paraId="0FD1EA86" w14:textId="77777777" w:rsidR="00A8138F" w:rsidRDefault="00A8138F" w:rsidP="00A8138F">
      <w:pPr>
        <w:pStyle w:val="TextoNormal"/>
      </w:pPr>
    </w:p>
    <w:p w14:paraId="623A648D" w14:textId="77777777" w:rsidR="00A8138F" w:rsidRDefault="00A8138F" w:rsidP="00A8138F">
      <w:pPr>
        <w:pStyle w:val="TextoNormal"/>
      </w:pPr>
      <w:r>
        <w:t xml:space="preserve">Tales límites se proyectan no solo sobre sus conclusiones, “sino también sobre todo el proceso indagatorio o de investigación” [STC 77/2023, FJ 3 A) a)]. Por lo tanto, sigue la citada sentencia, si “en el curso de la investigación de hechos susceptibles de generar una responsabilidad política” se identificasen “conductas que revistan caracteres de delito o infracción administrativa”, la Cámara “habrá de ponerlo en conocimiento de los órganos judiciales o administrativos que tienen encomendado el ejercicio del </w:t>
      </w:r>
      <w:r w:rsidRPr="00A8138F">
        <w:rPr>
          <w:i/>
        </w:rPr>
        <w:t>ius puniendi</w:t>
      </w:r>
      <w:r>
        <w:t>, y dejar que sean estos órganos los que a partir de ese momento se encarguen de investigar los hechos desde la óptica indicada con anterioridad, es decir, encaminada a verificar si las conductas detectadas constituyen infracción de naturaleza penal o administrativa, mediante la constatación de la concurrencia o no de sus elementos típicos, y/o a determinar a quién debe imputarse su autoría, mediante la constatación del grado de participación que en tales ilícitos penales y/o administrativos haya podido tener la persona investigada. La investigación parlamentaria podrá tomar en consideración estos hechos o conductas pero desde una óptica limitada por lo que constituye objeto de su competencia, esto es, la responsabilidad estrictamente política que pudiera derivar de una deficiente o negligente gestión del interés público encomendado a las personas o entidades investigadas, a los solos efectos de determinar, atendiendo a criterios de agenda u oportunidad política, en qué medida el interés público cuya gestión les había sido encomendada pudo verse perjudicado, perturbado o desviado de los objetivos que les habían sido asignados”.</w:t>
      </w:r>
    </w:p>
    <w:p w14:paraId="5C5E0791" w14:textId="77777777" w:rsidR="00A8138F" w:rsidRDefault="00A8138F" w:rsidP="00A8138F">
      <w:pPr>
        <w:pStyle w:val="TextoNormal"/>
      </w:pPr>
    </w:p>
    <w:p w14:paraId="24377064" w14:textId="77777777" w:rsidR="00A8138F" w:rsidRDefault="00A8138F" w:rsidP="00A8138F">
      <w:pPr>
        <w:pStyle w:val="TextoNormal"/>
      </w:pPr>
      <w:r>
        <w:t>Así entendidos, como afirma la citada STC 77/2023, FJ 3 A) b), “los límites antes referidos a la coexistencia de la investigación parlamentaria y la investigación judicial penal están en perfecta sintonía, no solo con la división de poderes a la que se ha aludido, sino también con la necesidad de preservar los derechos fundamentales de los ciudadanos.</w:t>
      </w:r>
    </w:p>
    <w:p w14:paraId="00FA6A84" w14:textId="77777777" w:rsidR="00A8138F" w:rsidRDefault="00A8138F" w:rsidP="00A8138F">
      <w:pPr>
        <w:pStyle w:val="TextoNormal"/>
      </w:pPr>
    </w:p>
    <w:p w14:paraId="2EF942BC" w14:textId="77777777" w:rsidR="00A8138F" w:rsidRDefault="00A8138F" w:rsidP="00A8138F">
      <w:pPr>
        <w:pStyle w:val="TextoNormal"/>
      </w:pPr>
      <w:r>
        <w:t xml:space="preserve">La disposición contenida en el art. 76 CE —las conclusiones de la comisión no serán vinculantes para los tribunales ni afectarán a las resoluciones judiciales, sin perjuicio de que el resultado de la investigación sea comunicado, en su caso, al Ministerio Fiscal— constituye una exigencia o una consecuencia derivada de los derechos fundamentales consagrados en el art. 24 CE, que debe desplegar toda su eficacia en el proceso judicial. Dicha exigencia puede verse comprometida cuando, coexistiendo ambas investigaciones y produciéndose una coincidencia entre el objeto y el sujeto de la investigación, la labor indagatoria de la comisión parlamentaria se orienta, desde una óptica netamente criminalística, a determinar si la conducta investigada reúne los elementos propios de un delito y si la persona investigada ha participado en ella a título de autora, coautora o cómplice, produciéndose una conmixtión de funciones que, como se ha dicho, está constitucionalmente vedada. Tal forma de actuar, arrogándose una función que corresponde a los órganos que tienen atribuido el ejercicio del </w:t>
      </w:r>
      <w:r w:rsidRPr="00A8138F">
        <w:rPr>
          <w:i/>
        </w:rPr>
        <w:t>ius puniendi</w:t>
      </w:r>
      <w:r>
        <w:t xml:space="preserve"> del Estado sin las debidas garantías, puede incidir, además, en el derecho a la presunción de inocencia de la persona investigada en su vertiente extraprocesal”.</w:t>
      </w:r>
    </w:p>
    <w:p w14:paraId="31B439C6" w14:textId="77777777" w:rsidR="00A8138F" w:rsidRDefault="00A8138F" w:rsidP="00A8138F">
      <w:pPr>
        <w:pStyle w:val="TextoNormal"/>
      </w:pPr>
    </w:p>
    <w:p w14:paraId="27E04A3D" w14:textId="77777777" w:rsidR="00A8138F" w:rsidRDefault="00A8138F" w:rsidP="00A8138F">
      <w:pPr>
        <w:pStyle w:val="TextoNormal"/>
      </w:pPr>
      <w:r>
        <w:t>Eso fue lo que ocurrió, dice el Tribunal, en el asunto entonces analizado, donde “la actuación de los diputados durante las comparecencias” de la entonces demandante de amparo puso de manifiesto la existencia de “preguntas y observaciones que no se centraron en lo que realmente constituía [el] objeto [de la investigación]” [STC 77/2023, FJ 7 A)]. Dichas intervenciones parlamentarias (detalladamente examinadas) se orientaron “de manera casi exclusiva a determinar la existencia de unos hechos concretos que la propia comisión calificó reiteradamente de delictivos o ‘indiciariamente delictivos’ y la participación en tales hechos de la compareciente a título de autora o cooperadora necesaria”, ante la “absoluta inacción de la mesa de la comisión” [STC 77/2023, FJ 7 A) b)].</w:t>
      </w:r>
    </w:p>
    <w:p w14:paraId="4FF62321" w14:textId="77777777" w:rsidR="00A8138F" w:rsidRDefault="00A8138F" w:rsidP="00A8138F">
      <w:pPr>
        <w:pStyle w:val="TextoNormal"/>
      </w:pPr>
    </w:p>
    <w:p w14:paraId="535A5CC9" w14:textId="77777777" w:rsidR="00A8138F" w:rsidRDefault="00A8138F" w:rsidP="00A8138F">
      <w:pPr>
        <w:pStyle w:val="TextoNormal"/>
      </w:pPr>
      <w:r>
        <w:t>c) Ahora bien, la STC 77/2023, FJ 7 A) b), precisó, en relación con las actuaciones realizadas por distintos miembros de la comisión de investigación, que “por no tener la condición de órganos de las Cámaras, no es posible promover un recurso de amparo por la vía del art. 42 LOTC contra las actuaciones individuales de sus miembros, puesto que en estas actuaciones individuales no son poderes públicos en el sentido del art. 41.2 LOTC, ni agentes o funcionarios de estos. Es el órgano del que forman parte, y no los diputados individualmente considerados, el que debe ser considerado como poder público, dado que solo el órgano como tal es el que puede producir disposiciones o actos, o actuar siguiendo vías de hecho, en términos capaces de imponer obligaciones a los ciudadanos y lesionar así sus derechos fundamentales (ATC 147/1982, de 22 de abril, FJ 4)”.</w:t>
      </w:r>
    </w:p>
    <w:p w14:paraId="28FEE07F" w14:textId="77777777" w:rsidR="00A8138F" w:rsidRDefault="00A8138F" w:rsidP="00A8138F">
      <w:pPr>
        <w:pStyle w:val="TextoNormal"/>
      </w:pPr>
    </w:p>
    <w:p w14:paraId="063782F3" w14:textId="1F7D5327" w:rsidR="00A8138F" w:rsidRDefault="00A8138F" w:rsidP="00A8138F">
      <w:pPr>
        <w:pStyle w:val="TextoNormal"/>
      </w:pPr>
      <w:r>
        <w:t>En todo caso, de acuerdo con lo que afirmamos en la citada STC 77/2023, FJ 7 A) b), pueden ser objeto de recurso de amparo las decisiones, o la pasividad, de la mesa, ante la solicitud de amparo del compareciente. En esta sentencia se da cuenta de que, en el caso planteado, “a raíz de estas actuaciones individuales de distintos diputados miembros de la comisión”, la entonces recurrente en amparo solicitó hasta en tres ocasiones el amparo de la mesa de la comisión, esta sí dotada del carácter de órgano parlamentario. Sin embargo, “la mesa no llevó a cabo la menor intervención o actuación dirigida a otorgar el amparo requerido y poner fin a la vulneración de los derechos fundamentales de la demandante de amparo que se venía produciendo. Esta absoluta inacción de la mesa de la comisión, que permitió con su pasividad la vulneración sucesiva de los derechos fundamentales de la demandante de amparo a través de las intervenciones de los diputados que la integraban, sí resulta susceptible de recurso de amparo por la vía del art. 42 LOTC por tratarse de una actuación emanada del órgano parlamentario legalmente llamado a proteger y amparar los derechos fundamentales vulnerados” [STC 77/2023, FJ 7 A) b)].</w:t>
      </w:r>
    </w:p>
    <w:p w14:paraId="61E2EB10" w14:textId="77777777" w:rsidR="00A8138F" w:rsidRDefault="00A8138F" w:rsidP="00A8138F">
      <w:pPr>
        <w:pStyle w:val="TextoNormal"/>
      </w:pPr>
    </w:p>
    <w:p w14:paraId="6C537FFA"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al presente recurso de amparo</w:t>
      </w:r>
    </w:p>
    <w:p w14:paraId="690BFBCA" w14:textId="77777777" w:rsidR="00A8138F" w:rsidRDefault="00A8138F" w:rsidP="00A8138F">
      <w:pPr>
        <w:pStyle w:val="TextoNormal"/>
      </w:pPr>
    </w:p>
    <w:p w14:paraId="7C24236E" w14:textId="77777777" w:rsidR="00A8138F" w:rsidRDefault="00A8138F" w:rsidP="00A8138F">
      <w:pPr>
        <w:pStyle w:val="TextoNormal"/>
      </w:pPr>
      <w:r>
        <w:t>A partir de la doctrina expuesta, ya es posible anticipar que su aplicación al presente recurso habrá de llevar a su desestimación.</w:t>
      </w:r>
    </w:p>
    <w:p w14:paraId="185F0452" w14:textId="77777777" w:rsidR="00A8138F" w:rsidRDefault="00A8138F" w:rsidP="00A8138F">
      <w:pPr>
        <w:pStyle w:val="TextoNormal"/>
      </w:pPr>
    </w:p>
    <w:p w14:paraId="24EDE6E3" w14:textId="77777777" w:rsidR="00A8138F" w:rsidRDefault="00A8138F" w:rsidP="00A8138F">
      <w:pPr>
        <w:pStyle w:val="TextoNormal"/>
      </w:pPr>
      <w:r>
        <w:t>En efecto, la demanda impugna la conclusión décima y la recomendación novena del dictamen de la Comisión de Investigación relativa al accidente del vuelo JK5022 de Spanair, aprobado por el Pleno del Congreso de los Diputados el 13 de mayo de 2021. Estas apreciaban la existencia de un “fallo sistémico”, identificándose a los demandantes entre las dieciocho personas “responsables en la fecha del accidente que ocuparon puesto de responsabilidad y por tanto asumían decisiones que dentro del sistema se tomaron en el momento del siniestro”; apuntándose asimismo la existencia de “elementos que pudieran arrojar conductas negligentes”, por lo que se recomendaba la remisión de tales conclusiones a la Fiscalía General del Estado para que, en su caso, procediese a las actuaciones que estimase pertinentes.</w:t>
      </w:r>
    </w:p>
    <w:p w14:paraId="274F7030" w14:textId="77777777" w:rsidR="00A8138F" w:rsidRDefault="00A8138F" w:rsidP="00A8138F">
      <w:pPr>
        <w:pStyle w:val="TextoNormal"/>
      </w:pPr>
    </w:p>
    <w:p w14:paraId="74999FCD" w14:textId="77777777" w:rsidR="00A8138F" w:rsidRDefault="00A8138F" w:rsidP="00A8138F">
      <w:pPr>
        <w:pStyle w:val="TextoNormal"/>
      </w:pPr>
      <w:r>
        <w:t>La resolución de esta queja exige precisar que, como ya se ha recordado, en el estricto respeto al principio de autonomía parlamentaria tantas veces reiterado por este tribunal, evidentemente escapa a su control la corrección técnica o la conveniencia de cualquier declaración de responsabilidad (más o menos genérica, individual o colectiva, nominativa o no) siempre que sea estrictamente política. De otra parte, en el ámbito de las investigaciones parlamentarias, nuestra doctrina vinculaba la protección del derecho a la presunción de inocencia (art. 24.2 CE), en su dimensión extraprocesal, a la del derecho al honor; hasta que la STC 77/2023 la dotó de autonomía. Como uno y otro son expresamente alegados en el recurso, a ellos se ceñirá este análisis.</w:t>
      </w:r>
    </w:p>
    <w:p w14:paraId="0E6DCF21" w14:textId="77777777" w:rsidR="00A8138F" w:rsidRDefault="00A8138F" w:rsidP="00A8138F">
      <w:pPr>
        <w:pStyle w:val="TextoNormal"/>
      </w:pPr>
    </w:p>
    <w:p w14:paraId="66A5C152" w14:textId="77777777" w:rsidR="00A8138F" w:rsidRDefault="00A8138F" w:rsidP="00A8138F">
      <w:pPr>
        <w:pStyle w:val="TextoNormal"/>
      </w:pPr>
      <w:r>
        <w:t>a) En primer lugar, y en lo que atañe a la presunción de inocencia en su dimensión extraprocesal, su configuración jurisprudencial excluye cualquier lesión en este supuesto. En efecto, los apartados de las conclusiones que aquí se impugnan identifican a los demandantes imputándoles, como reconoce la propia demanda, una “responsabilidad global por el fallo sistémico que propició el accidente”. Sin embargo, como subrayan la letrada de las Cortes Generales y la fiscal, conforme a la doctrina sintetizada en la STC 133/2018 (y a diferencia de lo que ocurría en los supuestos resueltos tanto por esta como por la STC 77/2023) no les atribuyen ningún acto ilícito concreto, ni siquiera ningún acto individualizable, limitándose a declarar una responsabilidad expresamente calificada de política y colectiva por el funcionamiento del sistema de seguridad en su conjunto.</w:t>
      </w:r>
    </w:p>
    <w:p w14:paraId="263C851A" w14:textId="77777777" w:rsidR="00A8138F" w:rsidRDefault="00A8138F" w:rsidP="00A8138F">
      <w:pPr>
        <w:pStyle w:val="TextoNormal"/>
      </w:pPr>
    </w:p>
    <w:p w14:paraId="0DE47B8E" w14:textId="77777777" w:rsidR="00A8138F" w:rsidRDefault="00A8138F" w:rsidP="00A8138F">
      <w:pPr>
        <w:pStyle w:val="TextoNormal"/>
      </w:pPr>
      <w:r>
        <w:t>b) Esos mismos razonamientos permiten excluir, desde una perspectiva más amplia, las alegaciones referidas al derecho al honor (art. 18.1 CE, STC 133/2018, FJ 4), cuya vulneración no requiere la imputación individualizada de ilícitos concretos (que afectaría a la dimensión extraprocesal de la presunción de inocencia), bastando cualquier mensaje que, “de forma insultante o injuriosa” atente injustificadamente contra la reputación de los demandantes, haciéndoles “desmerecer en la consideración ajena al ir en su descrédito o menosprecio”.</w:t>
      </w:r>
    </w:p>
    <w:p w14:paraId="5CC34628" w14:textId="77777777" w:rsidR="00A8138F" w:rsidRDefault="00A8138F" w:rsidP="00A8138F">
      <w:pPr>
        <w:pStyle w:val="TextoNormal"/>
      </w:pPr>
    </w:p>
    <w:p w14:paraId="3E68B6BA" w14:textId="77777777" w:rsidR="00A8138F" w:rsidRDefault="00A8138F" w:rsidP="00A8138F">
      <w:pPr>
        <w:pStyle w:val="TextoNormal"/>
      </w:pPr>
      <w:r>
        <w:t>En efecto, el examen de las concretas partes del dictamen aquí combatidas tampoco permite apreciar la existencia de afirmaciones concretamente insultantes, injuriosas o desmerecedoras, y por tanto lesivas del derecho al honor de los recurrentes. Por una parte, porque al margen de los puestos que cada uno ocupase en el momento del siniestro investigado, a todos ellos les resulta aplicable la doctrina según la cual “las personas que ejercen [o hubieran ejercido] funciones públicas […] deben soportar un cierto mayor riesgo de injerencia en sus derechos de la personalidad que las personas privadas”. Por otra, porque tal afirmación resulta especialmente aplicable cuando tal injerencia resulta de la actividad investigadora de una Cámara parlamentaria, la cual (como afirma, de nuevo, la tantas veces citada STC 133/2018, FJ 7) tiene “por objeto, no solo, como es obvio, el control” del Gobierno, sino también la acción de la administración situada bajo su dirección (art. 97 CE): no parece discutible que quienes ocupaban cargos políticos, altos cargos en la administración del Estado u otras funciones públicas en el ámbito de la gestión aeroportuaria y la navegación aérea pudieran verse afectados, incluso de manera intensa, por la investigación parlamentaria sobre un grave accidente aéreo en uno de los aeropuertos incluidos en ese ámbito de gestión. Y, finalmente, porque los textos controvertidos afirman una responsabilidad política genérica, colectiva aunque nominativa, y puramente difusa, sin incluir críticas concretas ni individualizables. Un contenido que, al margen de cualquier consideración sobre su corrección técnica o conveniencia, impide aplicar al caso la doctrina según la cual el derecho al honor puede proteger frente a las “críticas o informaciones acerca de la conducta profesional o laboral de una persona” por la relevancia de tal actividad para su reputación; y no permite por tanto apreciar lesión alguna.</w:t>
      </w:r>
    </w:p>
    <w:p w14:paraId="1B23DDA4" w14:textId="77777777" w:rsidR="00A8138F" w:rsidRDefault="00A8138F" w:rsidP="00A8138F">
      <w:pPr>
        <w:pStyle w:val="TextoNormal"/>
      </w:pPr>
    </w:p>
    <w:p w14:paraId="6E6AB388" w14:textId="49FA9AEB" w:rsidR="00A8138F" w:rsidRDefault="00A8138F" w:rsidP="00A8138F">
      <w:pPr>
        <w:pStyle w:val="TextoNormal"/>
      </w:pPr>
      <w:r>
        <w:t>En definitiva, las consideraciones anteriores conducen a desestimar el amparo solicitado.</w:t>
      </w:r>
    </w:p>
    <w:p w14:paraId="1E3DF804" w14:textId="77777777" w:rsidR="00A8138F" w:rsidRDefault="00A8138F" w:rsidP="00A8138F">
      <w:pPr>
        <w:pStyle w:val="TextoNormal"/>
      </w:pPr>
    </w:p>
    <w:p w14:paraId="305D5016" w14:textId="77777777" w:rsidR="00A8138F" w:rsidRDefault="00A8138F" w:rsidP="00A8138F">
      <w:pPr>
        <w:pStyle w:val="TextoNormalCentrado"/>
        <w:keepNext/>
      </w:pPr>
      <w:r>
        <w:t>FALLO</w:t>
      </w:r>
    </w:p>
    <w:p w14:paraId="6FB388A1" w14:textId="558D7F66" w:rsidR="00A8138F" w:rsidRDefault="00A8138F" w:rsidP="00A8138F">
      <w:pPr>
        <w:pStyle w:val="TextoNormalCentrado"/>
        <w:keepNext/>
      </w:pPr>
    </w:p>
    <w:p w14:paraId="502BEBD6" w14:textId="04A405F4"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el abogado del Estado en nombre y representación de doña Magdalena Álvarez Arza, don Luis Fernando Palao Taboada, don Manuel Bautista Pérez, don Luis Rodríguez Gil, don Enric Sanmartí Aulet, don Justo Sánchez Marín, don Miguel Ángel Oleaga Zufiria, doña Carmen Librero Pintado, don Antonio Fernández Serrano, doña María Isabel Maestre Moreno, don Francisco Javier Soto Rodríguez y doña Rosa María Arnaldo Valdés, contra la conclusión décima y la recomendación novena del dictamen de la Comisión de Investigación relativa al accidente del vuelo JK5022 de Spanair, aprobado por la propia Comisión el 22 de abril de 2021 y por el Pleno del Congreso de los Diputados el 13 de mayo de 2021.</w:t>
      </w:r>
    </w:p>
    <w:p w14:paraId="427C9D99" w14:textId="77777777" w:rsidR="00A8138F" w:rsidRDefault="00A8138F" w:rsidP="00A8138F">
      <w:pPr>
        <w:pStyle w:val="TextoNormal"/>
      </w:pPr>
    </w:p>
    <w:p w14:paraId="26503B7B" w14:textId="77777777" w:rsidR="00A8138F" w:rsidRDefault="00A8138F" w:rsidP="00A8138F">
      <w:pPr>
        <w:pStyle w:val="TextoNormal"/>
      </w:pPr>
      <w:r>
        <w:t>Publíquese esta sentencia en el “Boletín Oficial del Estado”.</w:t>
      </w:r>
    </w:p>
    <w:p w14:paraId="6DAD5904" w14:textId="77777777" w:rsidR="00A8138F" w:rsidRDefault="00A8138F" w:rsidP="00A8138F">
      <w:pPr>
        <w:pStyle w:val="TextoNormal"/>
      </w:pPr>
      <w:r>
        <w:t>Dada en Madrid, a doce de mayo de dos mil veinticinco.</w:t>
      </w:r>
    </w:p>
    <w:p w14:paraId="70970C0E" w14:textId="6DB66254" w:rsidR="00A8138F" w:rsidRDefault="00A8138F">
      <w:pPr>
        <w:spacing w:after="160" w:line="278" w:lineRule="auto"/>
        <w:rPr>
          <w:rFonts w:ascii="Times New Roman" w:eastAsia="Times New Roman" w:hAnsi="Times New Roman" w:cs="Times New Roman"/>
          <w:sz w:val="24"/>
          <w:szCs w:val="24"/>
          <w:lang w:eastAsia="es-ES"/>
        </w:rPr>
      </w:pPr>
      <w:r>
        <w:br w:type="page"/>
      </w:r>
    </w:p>
    <w:p w14:paraId="4481C666" w14:textId="77777777" w:rsidR="00A8138F" w:rsidRDefault="00A8138F" w:rsidP="00A8138F">
      <w:pPr>
        <w:pStyle w:val="TtuloResolucin"/>
      </w:pPr>
      <w:bookmarkStart w:id="111" w:name="SENTENCIA_2025_109"/>
      <w:r>
        <w:t>SENTENCIA 109/2025, de 12 de mayo de 2025</w:t>
      </w:r>
    </w:p>
    <w:bookmarkEnd w:id="111"/>
    <w:p w14:paraId="372B8039" w14:textId="77777777" w:rsidR="00A8138F" w:rsidRDefault="00A8138F" w:rsidP="00A8138F">
      <w:pPr>
        <w:pStyle w:val="TtuloResolucin"/>
      </w:pPr>
      <w:r>
        <w:t>Sala Segunda</w:t>
      </w:r>
    </w:p>
    <w:p w14:paraId="3CE4ADD6" w14:textId="77777777" w:rsidR="00A8138F" w:rsidRDefault="00A8138F" w:rsidP="00A8138F">
      <w:pPr>
        <w:pStyle w:val="TtuloBOE"/>
      </w:pPr>
      <w:r>
        <w:t>(BOE núm. 146, de 18 de junio de 2025)</w:t>
      </w:r>
    </w:p>
    <w:p w14:paraId="7E0E8ABA" w14:textId="77777777" w:rsidR="00A8138F" w:rsidRDefault="00A8138F" w:rsidP="00A8138F">
      <w:pPr>
        <w:pStyle w:val="TextoNormalCentrado"/>
      </w:pPr>
      <w:r>
        <w:t>ECLI:ES:TC:2025:109</w:t>
      </w:r>
    </w:p>
    <w:p w14:paraId="5C814F74" w14:textId="67D1FE1D" w:rsidR="00A8138F" w:rsidRDefault="00A8138F" w:rsidP="00A8138F">
      <w:pPr>
        <w:pStyle w:val="TextoNormalCentrado"/>
      </w:pPr>
    </w:p>
    <w:p w14:paraId="186A66B4" w14:textId="77777777" w:rsidR="00A8138F" w:rsidRDefault="00A8138F" w:rsidP="00A8138F">
      <w:pPr>
        <w:pStyle w:val="SntesisDescriptiva"/>
      </w:pPr>
      <w:r>
        <w:t>Recurso de amparo 796-2022. Promovido por don Víctor Manuel de Oliveira Fernandes y doña Manuela Flores Verdejo respecto de las resoluciones dictadas por la Audiencia Provincial de Lleida en procedimiento de ejecución hipotecaria.</w:t>
      </w:r>
    </w:p>
    <w:p w14:paraId="5EC7BC5E" w14:textId="2F923E3D" w:rsidR="00A8138F" w:rsidRDefault="00A8138F" w:rsidP="00A8138F">
      <w:pPr>
        <w:pStyle w:val="SntesisDescriptiva"/>
      </w:pPr>
    </w:p>
    <w:p w14:paraId="1477E47A" w14:textId="77777777" w:rsidR="00A8138F" w:rsidRDefault="00A8138F" w:rsidP="00A8138F">
      <w:pPr>
        <w:pStyle w:val="SntesisAnaltica"/>
      </w:pPr>
      <w:r>
        <w:t>Vulneración del derecho a la tutela judicial efectiva (resolución fundada en Derecho): resoluciones judiciales que, ignorando el principio de efectividad del Derecho de la Unión Europea, deniegan la imposición de costas en un proceso en el que se ha declarado el carácter abusivo de cláusulas contractuales (SSTC 91/2023 y 96/2023).</w:t>
      </w:r>
    </w:p>
    <w:p w14:paraId="4ABD216C" w14:textId="30C86FDB" w:rsidR="00A8138F" w:rsidRDefault="00A8138F" w:rsidP="00A8138F">
      <w:pPr>
        <w:pStyle w:val="SntesisAnaltica"/>
      </w:pPr>
    </w:p>
    <w:p w14:paraId="3802F44D" w14:textId="13603846" w:rsidR="00A8138F" w:rsidRDefault="00A8138F" w:rsidP="00A8138F">
      <w:pPr>
        <w:pStyle w:val="Extracto"/>
      </w:pPr>
      <w:r>
        <w:t>1.</w:t>
      </w:r>
      <w:r>
        <w:tab/>
        <w:t>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(STC 91/2023) [FJ 2].</w:t>
      </w:r>
    </w:p>
    <w:p w14:paraId="6C32975B" w14:textId="77777777" w:rsidR="00A8138F" w:rsidRDefault="00A8138F" w:rsidP="00A8138F">
      <w:pPr>
        <w:pStyle w:val="Extracto"/>
      </w:pPr>
    </w:p>
    <w:p w14:paraId="5B5B026B" w14:textId="77777777" w:rsidR="00A8138F" w:rsidRDefault="00A8138F" w:rsidP="00A8138F">
      <w:pPr>
        <w:pStyle w:val="Extracto"/>
      </w:pPr>
    </w:p>
    <w:p w14:paraId="45654073"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74901FB" w14:textId="7424DDFE" w:rsidR="00A8138F" w:rsidRDefault="00A8138F" w:rsidP="00A8138F">
      <w:pPr>
        <w:pStyle w:val="TextoNormal"/>
      </w:pPr>
    </w:p>
    <w:p w14:paraId="33273438" w14:textId="77777777" w:rsidR="00A8138F" w:rsidRDefault="00A8138F" w:rsidP="00A8138F">
      <w:pPr>
        <w:pStyle w:val="TextoNormalCentrado"/>
        <w:keepNext/>
      </w:pPr>
      <w:r>
        <w:t>EN NOMBRE DEL REY</w:t>
      </w:r>
    </w:p>
    <w:p w14:paraId="48C5C442" w14:textId="6606EFB7" w:rsidR="00A8138F" w:rsidRDefault="00A8138F" w:rsidP="00A8138F">
      <w:pPr>
        <w:pStyle w:val="TextoNormalCentrado"/>
        <w:keepNext/>
      </w:pPr>
    </w:p>
    <w:p w14:paraId="00257702" w14:textId="77777777" w:rsidR="00A8138F" w:rsidRDefault="00A8138F" w:rsidP="00A8138F">
      <w:pPr>
        <w:pStyle w:val="TextoNormalCentrado"/>
        <w:keepNext/>
      </w:pPr>
    </w:p>
    <w:p w14:paraId="799F85C5" w14:textId="77777777" w:rsidR="00A8138F" w:rsidRDefault="00A8138F" w:rsidP="00A8138F">
      <w:pPr>
        <w:pStyle w:val="TextoNormal"/>
      </w:pPr>
      <w:r>
        <w:t>la siguiente</w:t>
      </w:r>
    </w:p>
    <w:p w14:paraId="3F2C137E" w14:textId="18F4925C" w:rsidR="00A8138F" w:rsidRDefault="00A8138F" w:rsidP="00A8138F">
      <w:pPr>
        <w:pStyle w:val="TextoNormal"/>
      </w:pPr>
    </w:p>
    <w:p w14:paraId="5B35F9F6" w14:textId="77777777" w:rsidR="00A8138F" w:rsidRDefault="00A8138F" w:rsidP="00A8138F">
      <w:pPr>
        <w:pStyle w:val="TextoNormalCentrado"/>
        <w:keepNext/>
      </w:pPr>
      <w:r>
        <w:t>SENTENCIA</w:t>
      </w:r>
    </w:p>
    <w:p w14:paraId="0574A5B4" w14:textId="67058E6E" w:rsidR="00A8138F" w:rsidRDefault="00A8138F" w:rsidP="00A8138F">
      <w:pPr>
        <w:pStyle w:val="TextoNormalCentrado"/>
        <w:keepNext/>
      </w:pPr>
    </w:p>
    <w:p w14:paraId="554925A0" w14:textId="77777777" w:rsidR="00A8138F" w:rsidRDefault="00A8138F" w:rsidP="00A8138F">
      <w:pPr>
        <w:pStyle w:val="TextoNormal"/>
      </w:pPr>
      <w:r>
        <w:t>En el recurso de amparo núm. 796-2022, promovido por don Víctor Manuel de Oliveira Fernandes y doña Manuela Flores Verdejo, representados por la procuradora doña Macarena Olle Corbella y defendidos por el letrado don Dionisio Moreno Trigo, contra: (i) el auto de la Sección Segunda de la Audiencia Provincial de Lleida núm. 244/2021, de 21 de octubre, exclusivamente en lo relativo al pronunciamiento sobre las costas del procedimiento, y (ii) la providencia de la misma Sección de 16 de diciembre de 2021, por la que se acuerda la inadmisión del incidente de nulidad de actuaciones promovido por los demandantes de amparo frente a dicho pronunciamiento del auto de 21 de octubre. Ha intervenido el Ministerio Fiscal. Ha sido ponente la magistrada doña Inmaculada Montalbán Huertas.</w:t>
      </w:r>
    </w:p>
    <w:p w14:paraId="46184CCD" w14:textId="13C3B025" w:rsidR="00A8138F" w:rsidRDefault="00A8138F" w:rsidP="00A8138F">
      <w:pPr>
        <w:pStyle w:val="TextoNormal"/>
      </w:pPr>
    </w:p>
    <w:p w14:paraId="02E0428C" w14:textId="77777777" w:rsidR="00A8138F" w:rsidRDefault="00A8138F" w:rsidP="00A8138F">
      <w:pPr>
        <w:pStyle w:val="TextoNormalNegritaCentrado"/>
        <w:keepNext/>
      </w:pPr>
      <w:r>
        <w:t>I. Antecedentes</w:t>
      </w:r>
    </w:p>
    <w:p w14:paraId="57EEB7AB" w14:textId="7C09110E" w:rsidR="00A8138F" w:rsidRDefault="00A8138F" w:rsidP="00A8138F">
      <w:pPr>
        <w:pStyle w:val="TextoNormalNegritaCentrado"/>
        <w:keepNext/>
      </w:pPr>
    </w:p>
    <w:p w14:paraId="4F4D0F08" w14:textId="5F713F1B" w:rsidR="00A8138F" w:rsidRDefault="00A8138F" w:rsidP="00A8138F">
      <w:pPr>
        <w:pStyle w:val="TextoNormal"/>
      </w:pPr>
      <w:r w:rsidRPr="00A8138F">
        <w:rPr>
          <w:rStyle w:val="NumeroAFNegritaCaracter"/>
        </w:rPr>
        <w:t>1</w:t>
      </w:r>
      <w:r>
        <w:t>. Mediante escrito presentado en el registro de este tribunal el día 7 de febrero de 2022, la procuradora doña Macarena Olle Corbella, actuando en representación de don Víctor Manuel de Oliveira Fernandes y doña Manuela Flores Verdejo, formuló demanda de amparo contra las resoluciones judiciales que se mencionan en el encabezamiento de esta sentencia.</w:t>
      </w:r>
    </w:p>
    <w:p w14:paraId="0212B32F" w14:textId="77777777" w:rsidR="00A8138F" w:rsidRDefault="00A8138F" w:rsidP="00A8138F">
      <w:pPr>
        <w:pStyle w:val="TextoNormal"/>
      </w:pPr>
    </w:p>
    <w:p w14:paraId="7D027EE9" w14:textId="77777777" w:rsidR="00A8138F" w:rsidRDefault="00A8138F" w:rsidP="00A8138F">
      <w:pPr>
        <w:pStyle w:val="TextoNormal"/>
      </w:pPr>
      <w:r w:rsidRPr="00A8138F">
        <w:rPr>
          <w:rStyle w:val="NumeroAFNegritaCaracter"/>
        </w:rPr>
        <w:t>2</w:t>
      </w:r>
      <w:r>
        <w:t>. Los antecedentes de hecho relevantes para la resolución del recurso son los siguientes:</w:t>
      </w:r>
    </w:p>
    <w:p w14:paraId="1774B035" w14:textId="77777777" w:rsidR="00A8138F" w:rsidRDefault="00A8138F" w:rsidP="00A8138F">
      <w:pPr>
        <w:pStyle w:val="TextoNormal"/>
      </w:pPr>
    </w:p>
    <w:p w14:paraId="1656BBBF" w14:textId="77777777" w:rsidR="00A8138F" w:rsidRDefault="00A8138F" w:rsidP="00A8138F">
      <w:pPr>
        <w:pStyle w:val="TextoNormal"/>
      </w:pPr>
      <w:r>
        <w:t>a) La entidad Banco Bilbao Vizcaya Argentaria, S.A., interpuso demanda de ejecución hipotecaria contra don Víctor Manuel de Oliveira Fernandes y doña Manuela Flores Verdejo, que dio lugar a los autos de ejecución de títulos no judiciales núm. 959-2012, seguidos ante el Juzgado de Primera Instancia núm. 4 de Lleida. Con fecha 4 de enero de 2019, el Juzgado de Primera Instancia dictó auto en el que declaró la nulidad por abusividad de varias de las cláusulas incluidas en el contrato de préstamo hipotecario, pero negó el carácter abusivo de la cláusula de vencimiento anticipado, ordenando la continuación de la ejecución “por la cantidad resultante conforme a la liquidación que presente la entidad bancaria”.</w:t>
      </w:r>
    </w:p>
    <w:p w14:paraId="3439794D" w14:textId="77777777" w:rsidR="00A8138F" w:rsidRDefault="00A8138F" w:rsidP="00A8138F">
      <w:pPr>
        <w:pStyle w:val="TextoNormal"/>
      </w:pPr>
    </w:p>
    <w:p w14:paraId="770873D8" w14:textId="77777777" w:rsidR="00A8138F" w:rsidRDefault="00A8138F" w:rsidP="00A8138F">
      <w:pPr>
        <w:pStyle w:val="TextoNormal"/>
      </w:pPr>
      <w:r>
        <w:t>b) Contra el referido auto se interpuso recurso de apelación por la representación procesal del señor de Oliveira Fernandes y la señora Flores Verdejo, que fue estimado por auto de la Audiencia Provincial de Lleida, Sección Segunda, de 21 de octubre de 2021, en el que se declaró también la nulidad por abusiva de la cláusula de vencimiento anticipado y se acordó el sobreseimiento del procedimiento de ejecución hipotecaria, dejando sin efecto todo lo actuado, sin efectuar expreso pronunciamiento de las costas procesales de ambas instancias. El fundamento jurídico sexto de la resolución justificaba este pronunciamiento relativo a las costas argumentando lo siguiente: “Habida cuenta de la novedad de la jurisprudencia que se aplica en el presente caso, posterior al auto apelado y a los escritos de apelación y de oposición a la apelación, nos lleva a considerar la existencia de dudas de Derecho, por lo que no se hace procedente la declaración de costas ni de primera ni de segunda instancia”.</w:t>
      </w:r>
    </w:p>
    <w:p w14:paraId="34531DED" w14:textId="77777777" w:rsidR="00A8138F" w:rsidRDefault="00A8138F" w:rsidP="00A8138F">
      <w:pPr>
        <w:pStyle w:val="TextoNormal"/>
      </w:pPr>
    </w:p>
    <w:p w14:paraId="62067C60" w14:textId="77777777" w:rsidR="00A8138F" w:rsidRDefault="00A8138F" w:rsidP="00A8138F">
      <w:pPr>
        <w:pStyle w:val="TextoNormal"/>
      </w:pPr>
      <w:r>
        <w:t>c) Contra este último auto, el 30 de noviembre de 2021, la representación procesal del señor de Oliveira Fernandes y la señora Flores Verdejo promovió incidente excepcional de nulidad de actuaciones, impugnando exclusivamente el pronunciamiento sobre costas. Invocando la jurisprudencia del Tribunal de Justicia de la Unión Europea y la doctrina constitucional que la asume (SSTC 91/2023, de 11 de septiembre, y 96/2023, de 25 de septiembre) denunciaba la vulneración de la tutela judicial efectiva (art. 24.1 CE) en su vertiente de derecho a obtener una sentencia fundada en Derecho, a un proceso con todas las garantías (art. 24.2 CE) y a la igualdad ante la ley (art. 14 CE). Argumentaba que se había producido una arbitraria selección de la norma utilizada para regular las costas, mediante la aplicación injustificada de un precepto —art. 394.1 de la Ley de enjuiciamiento civil (LEC)— destinado a fijar el régimen de las costas en el proceso declarativo, y a inaplicar el precepto que dentro de la Ley de enjuiciamiento civil se encarga precisamente de establecer el régimen de las costas en el incidente de oposición a la ejecución —art. 561—, sin justificación alguna. Se llegaba así a una solución que entraba en clara contradicción tanto con el tenor literal del precepto realmente aplicable, como con la Directiva 93/13/CEE del Consejo, de 5 de abril de 1993, sobre las cláusulas abusivas en los contratos celebrados con consumidores, y la jurisprudencia del Tribunal de Justicia de la Unión Europea y del propio Tribunal Constitucional. Para los recurrentes, todo ello se traducía en la aplicación al consumidor de un elemento compensador (duda de Derecho) que beneficiaba al banco, que había introducido la cláusula abusiva en el contrato y que, amparándose en ella, había interesado la ejecución. Solicitaban que se declarase la nulidad del auto 244/2021, de 21 de octubre, en lo que afectaba al pronunciamiento sobre las costas, y que, previo planteamiento de una cuestión prejudicial al Tribunal de Justicia de la Unión Europea, se dictase una nueva resolución por la que se impusieran las costas a la parte ejecutante y apelada.</w:t>
      </w:r>
    </w:p>
    <w:p w14:paraId="45980F22" w14:textId="77777777" w:rsidR="00A8138F" w:rsidRDefault="00A8138F" w:rsidP="00A8138F">
      <w:pPr>
        <w:pStyle w:val="TextoNormal"/>
      </w:pPr>
    </w:p>
    <w:p w14:paraId="59F8D3AC" w14:textId="38450CEF" w:rsidR="00A8138F" w:rsidRDefault="00A8138F" w:rsidP="00A8138F">
      <w:pPr>
        <w:pStyle w:val="TextoNormal"/>
      </w:pPr>
      <w:r>
        <w:t>d) Por providencia de 16 de diciembre de 2021, la Sección Segunda de la Audiencia Provincial de Lleida declaró que “[n]o procede admitir a trámite el incidente excepcional de nulidad de actuaciones solicitado por la representación procesal de los apelantes al no concurrir el requisito de vulneración del derecho fundamental exigido por el art. 228.1 LEC, pretendiendo la parte, únicamente, la revisión del pronunciamiento relativo a las costas contenido en el auto de fecha 21 de octubre de 2021”.</w:t>
      </w:r>
    </w:p>
    <w:p w14:paraId="4DAA4164" w14:textId="77777777" w:rsidR="00A8138F" w:rsidRDefault="00A8138F" w:rsidP="00A8138F">
      <w:pPr>
        <w:pStyle w:val="TextoNormal"/>
      </w:pPr>
    </w:p>
    <w:p w14:paraId="615A364C" w14:textId="77777777" w:rsidR="00A8138F" w:rsidRDefault="00A8138F" w:rsidP="00A8138F">
      <w:pPr>
        <w:pStyle w:val="TextoNormal"/>
      </w:pPr>
      <w:r w:rsidRPr="00A8138F">
        <w:rPr>
          <w:rStyle w:val="NumeroAFNegritaCaracter"/>
        </w:rPr>
        <w:t>3</w:t>
      </w:r>
      <w:r>
        <w:t>. La demanda de amparo tuvo entrada en el registro de este tribunal el día 7 de febrero de 2022.</w:t>
      </w:r>
    </w:p>
    <w:p w14:paraId="603C55FB" w14:textId="77777777" w:rsidR="00A8138F" w:rsidRDefault="00A8138F" w:rsidP="00A8138F">
      <w:pPr>
        <w:pStyle w:val="TextoNormal"/>
      </w:pPr>
    </w:p>
    <w:p w14:paraId="12157825" w14:textId="77777777" w:rsidR="00A8138F" w:rsidRDefault="00A8138F" w:rsidP="00A8138F">
      <w:pPr>
        <w:pStyle w:val="TextoNormal"/>
      </w:pPr>
      <w:r>
        <w:t xml:space="preserve">En ella se invoca, en primer término, la vulneración del derecho fundamental a la tutela judicial efectiva (art. 24.1 CE), en su dimensión de derecho a obtener una resolución motivada y fundada en Derecho. Se aduce que para resolver acerca de las costas de la oposición a la ejecución hipotecaria, la Audiencia Provincial de Lleida aplicó el art. 394 LEC, llamado a regular las costas en los procesos declarativos y que no resulta aplicable al proceso de autos. El precepto aplicable a estos casos es el art. 561 LEC que, de forma clara y taxativa, exige la imposición al ejecutante de las costas de la oposición, en caso de que fuera estimada. Para tal supuesto, el art. 561.2 LEC exige, además, que se reintegre al ejecutado a la situación anterior al despacho de la ejecución, lo que no ocurre si se imponen a este las costas del proceso. A ello se suma que los ejecutados en este caso tienen la condición de consumidores, y resulta contrario al Derecho de la Unión Europea, en concreto a la Directiva 93/13/CEE, y a la jurisprudencia del Tribunal de Justicia de la Unión Europea, como la STJUE de 16 de julio de 2020, asuntos acumulados C-224/19 y C-259/19, </w:t>
      </w:r>
      <w:r w:rsidRPr="00A8138F">
        <w:rPr>
          <w:i/>
        </w:rPr>
        <w:t>CY c. Caixabank, S.A</w:t>
      </w:r>
      <w:r>
        <w:t xml:space="preserve">., y </w:t>
      </w:r>
      <w:r w:rsidRPr="00A8138F">
        <w:rPr>
          <w:i/>
        </w:rPr>
        <w:t>LG, PK c. Banco Bilbao Vizcaya Argentaria, S.A</w:t>
      </w:r>
      <w:r>
        <w:t>., obligar al consumidor a que cargue con una parte de las costas procesales a raíz de la declaración de nulidad de una cláusula contractual por abusiva, dado que tal régimen crea un obstáculo significativo que puede disuadir a los consumidores de ejercer el derecho a un control judicial efectivo del carácter potencialmente abusivo de cláusulas contractuales. Por otra parte, el auto impugnado justifica la no imposición de las costas al ejecutante alegando la existencia de “dudas de Derecho” pero no especifica cuáles son en concreto estas dudas. La duda jurídica existente en algún momento acerca de la nulidad de la cláusula de vencimiento anticipado fue resuelta definitivamente por el Tribunal Supremo a través de sus SSTS 705/2015, de 23 de diciembre (ECLI:ES:TS:2015:5618), y 79/2016, de 18 de febrero (ECLI:ES:TS:2016:626), y, consecuentemente, no existía ninguna duda jurídica acerca de esta cuestión en el momento de ser examinada en la ejecución de autos. Es más, la propia Audiencia Provincial de Lleida invocó la STS 463/2019, de 11 de septiembre (ECLI:ES:TS:2019:2761), para declarar la nulidad de dicha cláusula, esto es, una jurisprudencia de más de dos años de antigüedad, con lo que carece de sentido hablar de “novedad” jurídica.</w:t>
      </w:r>
    </w:p>
    <w:p w14:paraId="3DB681AB" w14:textId="77777777" w:rsidR="00A8138F" w:rsidRDefault="00A8138F" w:rsidP="00A8138F">
      <w:pPr>
        <w:pStyle w:val="TextoNormal"/>
      </w:pPr>
    </w:p>
    <w:p w14:paraId="79FD7331" w14:textId="77777777" w:rsidR="00A8138F" w:rsidRDefault="00A8138F" w:rsidP="00A8138F">
      <w:pPr>
        <w:pStyle w:val="TextoNormal"/>
      </w:pPr>
      <w:r>
        <w:t>En definitiva, el auto 224/2021, de 21 de octubre, incurre en arbitrariedad a la hora de seleccionar la norma aplicable a la regulación de las costas del procedimiento y a la hora de justificar su no imposición a la entidad ejecutante.</w:t>
      </w:r>
    </w:p>
    <w:p w14:paraId="2608E1E9" w14:textId="77777777" w:rsidR="00A8138F" w:rsidRDefault="00A8138F" w:rsidP="00A8138F">
      <w:pPr>
        <w:pStyle w:val="TextoNormal"/>
      </w:pPr>
    </w:p>
    <w:p w14:paraId="146A0296" w14:textId="77777777" w:rsidR="00A8138F" w:rsidRDefault="00A8138F" w:rsidP="00A8138F">
      <w:pPr>
        <w:pStyle w:val="TextoNormal"/>
      </w:pPr>
      <w:r>
        <w:t>En segundo lugar, invoca la vulneración del derecho fundamental a un proceso con todas las garantías y al juez ordinario predeterminado por la ley (art. 24.2 CE). Afirma que una correcta aplicación e interpretación de las normas procesales que regulan la condena en costas debe garantizar la indemnidad de los consumidores frente a cláusulas declaradas abusivas. A fin de lograr que el órgano judicial llevase a cabo esa correcta interpretación y aplicación de las normas que regulan las costas procesales, se solicitó el planteamiento de una cuestión prejudicial al Tribunal de Justicia de la Unión Europea; solicitud a la que se hizo caso omiso sin justificación alguna. De acuerdo con la doctrina constitucional (se cita en concreto la STC 140/2020, de 6 de octubre), dejar de aplicar una norma nacional —en este caso el art. 561.2 LEC— que implica a la normativa comunitaria sin plantear la debida cuestión prejudicial supone una vulneración del derecho fundamental a un proceso con todas las garantías y al juez ordinario predeterminado por la ley (art. 24.2 CE).</w:t>
      </w:r>
    </w:p>
    <w:p w14:paraId="784BA78A" w14:textId="77777777" w:rsidR="00A8138F" w:rsidRDefault="00A8138F" w:rsidP="00A8138F">
      <w:pPr>
        <w:pStyle w:val="TextoNormal"/>
      </w:pPr>
    </w:p>
    <w:p w14:paraId="6F1AAE0C" w14:textId="77777777" w:rsidR="00A8138F" w:rsidRDefault="00A8138F" w:rsidP="00A8138F">
      <w:pPr>
        <w:pStyle w:val="TextoNormal"/>
      </w:pPr>
      <w:r>
        <w:t>En último lugar, sostiene que se ha vulnerado su derecho a la igualdad ante la ley (art. 14 CE), porque, pese a que el Tribunal de Justicia de la Unión Europea ha reconocido expresamente la situación de inferioridad del consumidor respecto del profesional, tanto en lo relativo a la capacidad de negociación, como en lo referente al nivel de información, la Audiencia Provincial de Lleida trata a ambas partes de la misma forma, generando con ello una desigualdad que vulnera el art. 14 CE. Al aplicar el elemento compensador de las “dudas de Derecho”, la Audiencia beneficia a la parte que ha impuesto la cláusula abusiva y que, amparándose en ella, ha instado la ejecución hipotecaria.</w:t>
      </w:r>
    </w:p>
    <w:p w14:paraId="61A08694" w14:textId="77777777" w:rsidR="00A8138F" w:rsidRDefault="00A8138F" w:rsidP="00A8138F">
      <w:pPr>
        <w:pStyle w:val="TextoNormal"/>
      </w:pPr>
    </w:p>
    <w:p w14:paraId="37AAD7CD" w14:textId="77777777" w:rsidR="00A8138F" w:rsidRDefault="00A8138F" w:rsidP="00A8138F">
      <w:pPr>
        <w:pStyle w:val="TextoNormal"/>
      </w:pPr>
      <w:r>
        <w:t>A la providencia de 16 de diciembre de 2021, por la que se inadmitió el incidente de nulidad de actuaciones, se le imputa la vulneración del derecho a obtener una resolución debidamente motivada (art. 24.1 CE), por cuanto su escueta motivación viene a desvirtuar la finalidad reparadora de derechos fundamentales del incidente excepcional regulado en el art. 228 LEC, dejándolo vacío de contenido. Se le atribuye, además, la vulneración de todos los derechos fundamentales enumerados con anterioridad, dado que impide su efectiva reparación por la vía articulada por el ordenamiento jurídico a tal efecto.</w:t>
      </w:r>
    </w:p>
    <w:p w14:paraId="2EECD974" w14:textId="77777777" w:rsidR="00A8138F" w:rsidRDefault="00A8138F" w:rsidP="00A8138F">
      <w:pPr>
        <w:pStyle w:val="TextoNormal"/>
      </w:pPr>
    </w:p>
    <w:p w14:paraId="42A95E44" w14:textId="0B693263" w:rsidR="00A8138F" w:rsidRDefault="00A8138F" w:rsidP="00A8138F">
      <w:pPr>
        <w:pStyle w:val="TextoNormal"/>
      </w:pPr>
      <w:r>
        <w:t>Se interesa la restitución de los recurrentes en los derechos fundamentales vulnerados mediante la declaración de nulidad de las resoluciones recurridas y la retroacción de las actuaciones para que el órgano judicial dicte una nueva resolución respetuosa con tales derechos.</w:t>
      </w:r>
    </w:p>
    <w:p w14:paraId="792A59E2" w14:textId="77777777" w:rsidR="00A8138F" w:rsidRDefault="00A8138F" w:rsidP="00A8138F">
      <w:pPr>
        <w:pStyle w:val="TextoNormal"/>
      </w:pPr>
    </w:p>
    <w:p w14:paraId="3A1F8A81" w14:textId="15020B73" w:rsidR="00A8138F" w:rsidRDefault="00A8138F" w:rsidP="00A8138F">
      <w:pPr>
        <w:pStyle w:val="TextoNormal"/>
      </w:pPr>
      <w:r w:rsidRPr="00A8138F">
        <w:rPr>
          <w:rStyle w:val="NumeroAFNegritaCaracter"/>
        </w:rPr>
        <w:t>4</w:t>
      </w:r>
      <w:r>
        <w:t>. Mediante providencia de 23 de octubre de 2023, la Sección Tercera del Tribunal Constitucional acordó la admisión a trámite del recurso de amparo, apreciando que concurría en el mismo una especial trascendencia constitucional [art. 50.1 de la Ley Orgánica del Tribunal Constitucional (LOTC)] por cuanto “el asunto suscitado trasciende del caso concreto porque plantea una cuestión jurídica de relevante y general repercusión social o económica [STC 155/2009, de 25 de junio, FJ 2 g)]”. Constando ya en el Tribunal las actuaciones de las que dimana el recurso de amparo, se acordó también dirigir atenta comunicación al Juzgado de Primera Instancia núm. 4 de Lleida a fin de que emplazase a quienes hubieran sido parte en el procedimiento de ejecución de títulos no judiciales núm. 959-2012, excepto la parte recurrente en amparo, para que en el plazo de diez días pudieran comparecer, si lo desearan, en el presente recurso.</w:t>
      </w:r>
    </w:p>
    <w:p w14:paraId="1F436198" w14:textId="77777777" w:rsidR="00A8138F" w:rsidRDefault="00A8138F" w:rsidP="00A8138F">
      <w:pPr>
        <w:pStyle w:val="TextoNormal"/>
      </w:pPr>
    </w:p>
    <w:p w14:paraId="669F22D5" w14:textId="0E57655D" w:rsidR="00A8138F" w:rsidRDefault="00A8138F" w:rsidP="00A8138F">
      <w:pPr>
        <w:pStyle w:val="TextoNormal"/>
      </w:pPr>
      <w:r w:rsidRPr="00A8138F">
        <w:rPr>
          <w:rStyle w:val="NumeroAFNegritaCaracter"/>
        </w:rPr>
        <w:t>5</w:t>
      </w:r>
      <w:r>
        <w:t>. Mediante diligencia de ordenación del secretario de justicia de la Sala Segunda de este tribunal de 10 de enero de 2024, se ordenó la remisión de una nueva comunicación al Juzgado de Primera Instancia núm. 4 de Lleida, al no haberse recibido contestación a la comunicación verificada el día 23 de octubre de 2023.</w:t>
      </w:r>
    </w:p>
    <w:p w14:paraId="09314D85" w14:textId="77777777" w:rsidR="00A8138F" w:rsidRDefault="00A8138F" w:rsidP="00A8138F">
      <w:pPr>
        <w:pStyle w:val="TextoNormal"/>
      </w:pPr>
    </w:p>
    <w:p w14:paraId="6106B20F" w14:textId="7BC05430" w:rsidR="00A8138F" w:rsidRDefault="00A8138F" w:rsidP="00A8138F">
      <w:pPr>
        <w:pStyle w:val="TextoNormal"/>
      </w:pPr>
      <w:r w:rsidRPr="00A8138F">
        <w:rPr>
          <w:rStyle w:val="NumeroAFNegritaCaracter"/>
        </w:rPr>
        <w:t>6</w:t>
      </w:r>
      <w:r>
        <w:t>. El Juzgado de Primera Instancia núm. 4 de Lleida respondió a esta segunda comunicación mediante oficio dictado el día 25 de enero de 2024, al que se adjuntaba el emplazamiento de las partes en el procedimiento de ejecución de títulos no judiciales núm. 959-2012, y por diligencia de ordenación del secretario de justicia de la Sala Segunda de este tribunal de 8 de febrero de 2024 se acordó también dar vista de las actuaciones a la parte recurrente y al Ministerio Fiscal, por plazo común de veinte días, para formular las alegaciones que estimaren pertinentes, conforme determina el art. 52.1 LOTC.</w:t>
      </w:r>
    </w:p>
    <w:p w14:paraId="43237935" w14:textId="77777777" w:rsidR="00A8138F" w:rsidRDefault="00A8138F" w:rsidP="00A8138F">
      <w:pPr>
        <w:pStyle w:val="TextoNormal"/>
      </w:pPr>
    </w:p>
    <w:p w14:paraId="5F513CDC" w14:textId="77777777" w:rsidR="00A8138F" w:rsidRDefault="00A8138F" w:rsidP="00A8138F">
      <w:pPr>
        <w:pStyle w:val="TextoNormal"/>
      </w:pPr>
      <w:r w:rsidRPr="00A8138F">
        <w:rPr>
          <w:rStyle w:val="NumeroAFNegritaCaracter"/>
        </w:rPr>
        <w:t>7</w:t>
      </w:r>
      <w:r>
        <w:t>. La representación procesal de los recurrentes en amparo dejó transcurrir el plazo concedido sin formular alegaciones adicionales y el fiscal ante el Tribunal Constitucional presentó su escrito de alegaciones el día 28 de febrero de 2024.</w:t>
      </w:r>
    </w:p>
    <w:p w14:paraId="5EE2D13D" w14:textId="77777777" w:rsidR="00A8138F" w:rsidRDefault="00A8138F" w:rsidP="00A8138F">
      <w:pPr>
        <w:pStyle w:val="TextoNormal"/>
      </w:pPr>
    </w:p>
    <w:p w14:paraId="37B2C938" w14:textId="77777777" w:rsidR="00A8138F" w:rsidRDefault="00A8138F" w:rsidP="00A8138F">
      <w:pPr>
        <w:pStyle w:val="TextoNormal"/>
      </w:pPr>
      <w:r>
        <w:t>Después de exponer los antecedentes del asunto y las quejas que los recurrentes dirigen contra las resoluciones recurridas, el fiscal indica que el examen del recurso habrá de centrarse en la alegada vulneración del derecho a la tutela judicial efectiva (art. 24.1 CE), en su dimensión de derecho a una resolución motivada y fundada en Derecho, habida cuenta de que las restantes vulneraciones denunciadas carecen de desarrollo argumental específico, y la vulneración del derecho al juez ordinario predeterminado por la ley, en particular, no fue invocada siquiera en el escrito por el que se promovió el incidente excepcional de nulidad de actuaciones.</w:t>
      </w:r>
    </w:p>
    <w:p w14:paraId="4B17647C" w14:textId="77777777" w:rsidR="00A8138F" w:rsidRDefault="00A8138F" w:rsidP="00A8138F">
      <w:pPr>
        <w:pStyle w:val="TextoNormal"/>
      </w:pPr>
    </w:p>
    <w:p w14:paraId="688BBFBE" w14:textId="77777777" w:rsidR="00A8138F" w:rsidRDefault="00A8138F" w:rsidP="00A8138F">
      <w:pPr>
        <w:pStyle w:val="TextoNormal"/>
      </w:pPr>
      <w:r>
        <w:t>Sentada esta premisa, el fiscal expone la doctrina de este Tribunal Constitucional relativa a la eventual vulneración del derecho a la tutela judicial efectiva (art. 24.1 CE) que pudiera derivar de resoluciones dictadas por preterición o desconocimiento de una norma del Derecho de la Unión Europea, tal como ha sido interpretada por el Tribunal de Justicia de la Unión Europea. Indica que, tomando en consideración los criterios de equivalencia y efectividad del Derecho de la Unión, el Tribunal de Justicia de la Unión Europea ha venido a analizar de manera específica el efecto disuasor que sobre los consumidores pueden tener los costes de un proceso judicial en el que se hace valer el carácter abusivo de cláusulas contractuales no negociadas con profesionales. Cita la STJUE de 16 de julio de 2020, para recordar que el Tribunal de Justicia de la Unión Europea ya ha advertido que no es compatible con el principio de efectividad del Derecho de la Unión hacer que recaigan sobre el consumidor las costas de un procedimiento en el que se haya estimado la pretensión principal sobre el carácter abusivo de una cláusula contractual. Recuerda, también, que la Directiva 93/13/CEE y el principio de efectividad del Derecho de la Unión deben interpretarse en el sentido de que se oponen a un régimen que permite que el consumidor cargue con una parte de las costas procesales a raíz de la declaración de nulidad de una cláusula contractual por abusiva, dado que tal régimen crea un obstáculo significativo que puede disuadir a los consumidores de ejercer el derecho a un control judicial efectivo de la abusividad de las cláusulas contractuales. Esta doctrina ha sido acogida también por este Tribunal Constitucional —cita en concreto la STC 156/2021, de 16 de septiembre— y por el Tribunal Supremo.</w:t>
      </w:r>
    </w:p>
    <w:p w14:paraId="624600D9" w14:textId="77777777" w:rsidR="00A8138F" w:rsidRDefault="00A8138F" w:rsidP="00A8138F">
      <w:pPr>
        <w:pStyle w:val="TextoNormal"/>
      </w:pPr>
    </w:p>
    <w:p w14:paraId="1C8F944A" w14:textId="77777777" w:rsidR="00A8138F" w:rsidRDefault="00A8138F" w:rsidP="00A8138F">
      <w:pPr>
        <w:pStyle w:val="TextoNormal"/>
      </w:pPr>
      <w:r>
        <w:t>Partiendo de esta doctrina, el fiscal apoya la estimación del recurso dado que la respuesta judicial recibida en materia de costas procesales puede ser calificada de manifiestamente irrazonada e irrazonable. La ausencia de condena en costas a la entidad financiera que ha impuesto unilateralmente las cláusulas declaradas abusivas es contraria al Derecho de la Unión Europea y a la jurisprudencia de la Sala de lo Civil del Tribunal Supremo, provoca la consecuencia de que el consumidor se vea obligado a soportar los gastos de la reclamación judicial, lo que puede suponer un efecto disuasorio para ejercitar su derecho, y supone una selección irrazonable y arbitraria de la norma aplicable al proceso.</w:t>
      </w:r>
    </w:p>
    <w:p w14:paraId="546C6913" w14:textId="77777777" w:rsidR="00A8138F" w:rsidRDefault="00A8138F" w:rsidP="00A8138F">
      <w:pPr>
        <w:pStyle w:val="TextoNormal"/>
      </w:pPr>
    </w:p>
    <w:p w14:paraId="35179417" w14:textId="7F3BB4AE" w:rsidR="00A8138F" w:rsidRDefault="00A8138F" w:rsidP="00A8138F">
      <w:pPr>
        <w:pStyle w:val="TextoNormal"/>
      </w:pPr>
      <w:r>
        <w:t>Por todo ello, el Ministerio Fiscal interesa que se otorgue el amparo a los recurrentes, reconociendo que se ha vulnerado su derecho a la tutela judicial efectiva (art. 24.1 CE), y que, en consecuencia, se declare la nulidad del auto y providencia impugnados y se ordene la retroacción de las actuaciones al momento anterior a dictarse el auto recurrido, para que la Audiencia Provincial de Lleida dicte uno nuevo respetuoso con el derecho que se declara vulnerado.</w:t>
      </w:r>
    </w:p>
    <w:p w14:paraId="0CD918C1" w14:textId="77777777" w:rsidR="00A8138F" w:rsidRDefault="00A8138F" w:rsidP="00A8138F">
      <w:pPr>
        <w:pStyle w:val="TextoNormal"/>
      </w:pPr>
    </w:p>
    <w:p w14:paraId="6EC84DD7" w14:textId="155F24B9" w:rsidR="00A8138F" w:rsidRDefault="00A8138F" w:rsidP="00A8138F">
      <w:pPr>
        <w:pStyle w:val="TextoNormal"/>
      </w:pPr>
      <w:r w:rsidRPr="00A8138F">
        <w:rPr>
          <w:rStyle w:val="NumeroAFNegritaCaracter"/>
        </w:rPr>
        <w:t>8</w:t>
      </w:r>
      <w:r>
        <w:t>. Por providencia de 8 de mayo de 2025 se ha señalado para deliberación y votación de la presente sentencia el día 12 del mismo mes y año.</w:t>
      </w:r>
    </w:p>
    <w:p w14:paraId="5BB7F924" w14:textId="77777777" w:rsidR="00A8138F" w:rsidRDefault="00A8138F" w:rsidP="00A8138F">
      <w:pPr>
        <w:pStyle w:val="TextoNormal"/>
      </w:pPr>
    </w:p>
    <w:p w14:paraId="359AD253" w14:textId="77777777" w:rsidR="00A8138F" w:rsidRDefault="00A8138F" w:rsidP="00A8138F">
      <w:pPr>
        <w:pStyle w:val="TextoNormalNegritaCentrado"/>
        <w:keepNext/>
      </w:pPr>
      <w:r>
        <w:t>II. Fundamentos jurídicos</w:t>
      </w:r>
    </w:p>
    <w:p w14:paraId="43071326" w14:textId="01766204" w:rsidR="00A8138F" w:rsidRDefault="00A8138F" w:rsidP="00A8138F">
      <w:pPr>
        <w:pStyle w:val="TextoNormalNegritaCentrado"/>
        <w:keepNext/>
      </w:pPr>
    </w:p>
    <w:p w14:paraId="24114278" w14:textId="77777777" w:rsidR="00A8138F" w:rsidRDefault="00A8138F" w:rsidP="00A8138F">
      <w:pPr>
        <w:pStyle w:val="TextoNormal"/>
      </w:pPr>
      <w:r w:rsidRPr="00A8138F">
        <w:rPr>
          <w:rStyle w:val="NumeroAFNegritaCaracter"/>
        </w:rPr>
        <w:t>1</w:t>
      </w:r>
      <w:r>
        <w:t xml:space="preserve">. </w:t>
      </w:r>
      <w:r w:rsidRPr="00A8138F">
        <w:rPr>
          <w:i/>
        </w:rPr>
        <w:t>Objeto del recurso de amparo</w:t>
      </w:r>
    </w:p>
    <w:p w14:paraId="55A8CD55" w14:textId="77777777" w:rsidR="00A8138F" w:rsidRDefault="00A8138F" w:rsidP="00A8138F">
      <w:pPr>
        <w:pStyle w:val="TextoNormal"/>
      </w:pPr>
    </w:p>
    <w:p w14:paraId="57D3B45A" w14:textId="77777777" w:rsidR="00A8138F" w:rsidRDefault="00A8138F" w:rsidP="00A8138F">
      <w:pPr>
        <w:pStyle w:val="TextoNormal"/>
      </w:pPr>
      <w:r>
        <w:t>El presente recurso de amparo se dirige contra el auto de la Sección Segunda de la Audiencia Provincial de Lleida núm. 244/2021, de 21 de octubre, exclusivamente en lo relativo al pronunciamiento sobre las costas del procedimiento, porque estas no fueron impuestas a la entidad ejecutante pese a que la misma resolución impugnada, que estimaba la oposición de los ejecutados (hoy recurrentes en amparo), declaraba la nulidad por abusiva de la cláusula de vencimiento anticipado y ordenaba el sobreseimiento y archivo del procedimiento de ejecución hipotecaria núm. 959-2012 que contra ellos se seguía.</w:t>
      </w:r>
    </w:p>
    <w:p w14:paraId="685F5947" w14:textId="77777777" w:rsidR="00A8138F" w:rsidRDefault="00A8138F" w:rsidP="00A8138F">
      <w:pPr>
        <w:pStyle w:val="TextoNormal"/>
      </w:pPr>
    </w:p>
    <w:p w14:paraId="0F801CF5" w14:textId="77777777" w:rsidR="00A8138F" w:rsidRDefault="00A8138F" w:rsidP="00A8138F">
      <w:pPr>
        <w:pStyle w:val="TextoNormal"/>
      </w:pPr>
      <w:r>
        <w:t>Los recurrentes consideran que dicho pronunciamiento vulnera sus derechos fundamentales a la tutela judicial efectiva (art. 24.1 CE), en su dimensión de derecho a obtener una resolución motivada y fundada en Derecho, a un proceso con todas las garantías (art. 24.2 CE), al juez ordinario predeterminado por la ley (art. 24.2 CE) y a la igualdad ante la ley (art. 14 CE).</w:t>
      </w:r>
    </w:p>
    <w:p w14:paraId="76C01677" w14:textId="77777777" w:rsidR="00A8138F" w:rsidRDefault="00A8138F" w:rsidP="00A8138F">
      <w:pPr>
        <w:pStyle w:val="TextoNormal"/>
      </w:pPr>
    </w:p>
    <w:p w14:paraId="32155E1A" w14:textId="77777777" w:rsidR="00A8138F" w:rsidRDefault="00A8138F" w:rsidP="00A8138F">
      <w:pPr>
        <w:pStyle w:val="TextoNormal"/>
      </w:pPr>
      <w:r>
        <w:t>También se dirige el procedimiento contra la providencia dictada por la misma Sección de la Audiencia Provincial el día 16 de diciembre de 2021, que inadmitió el incidente excepcional de nulidad de actuaciones promovido por los ahora recurrentes en amparo contra el pronunciamiento relativo a las costas procesales, porque no puso remedio a aquella vulneración de sus derechos fundamentales.</w:t>
      </w:r>
    </w:p>
    <w:p w14:paraId="25163154" w14:textId="77777777" w:rsidR="00A8138F" w:rsidRDefault="00A8138F" w:rsidP="00A8138F">
      <w:pPr>
        <w:pStyle w:val="TextoNormal"/>
      </w:pPr>
    </w:p>
    <w:p w14:paraId="79A44096" w14:textId="77777777" w:rsidR="00A8138F" w:rsidRDefault="00A8138F" w:rsidP="00A8138F">
      <w:pPr>
        <w:pStyle w:val="TextoNormal"/>
      </w:pPr>
      <w:r>
        <w:t>Antes de entrar en el examen de fondo de las quejas planteadas en el recurso de amparo hemos de precisar que la única de ellas que encuentra un verdadero desarrollo argumental en la demanda de amparo es la relativa al derecho a la tutela judicial efectiva (art. 24.1 CE). Como pone de relieve el Ministerio Fiscal, las restantes quejas carecen de auténtico desarrollo argumental y del anclaje constitucional preciso para poder dar lugar a un adecuado examen desde la perspectiva del derecho formalmente invocado.</w:t>
      </w:r>
    </w:p>
    <w:p w14:paraId="3EB9634B" w14:textId="77777777" w:rsidR="00A8138F" w:rsidRDefault="00A8138F" w:rsidP="00A8138F">
      <w:pPr>
        <w:pStyle w:val="TextoNormal"/>
      </w:pPr>
    </w:p>
    <w:p w14:paraId="7D3E9D9E" w14:textId="77777777" w:rsidR="00A8138F" w:rsidRDefault="00A8138F" w:rsidP="00A8138F">
      <w:pPr>
        <w:pStyle w:val="TextoNormal"/>
      </w:pPr>
      <w:r>
        <w:t>Así, la relativa al derecho a un proceso con todas las garantías (art. 24.2 CE) se sustenta en la demanda en los mismos argumentos que sirven de soporte a la queja principal, vinculada al derecho a la tutela judicial efectiva (art. 24.1 CE). La parte recurrente no aporta razones o argumentos individualizados que permitan examinarla como vulneración independiente o diferenciada de la anterior. Lo mismo sucede con la relativa al derecho al juez ordinario predeterminado por la ley (art. 24.2 CE), que, además y como indica el fiscal ante el Tribunal Constitucional, no ha sido debidamente invocada ante la jurisdicción ordinaria, con lo que existe respecto de ella un claro óbice de admisibilidad.</w:t>
      </w:r>
    </w:p>
    <w:p w14:paraId="1C2004BB" w14:textId="77777777" w:rsidR="00A8138F" w:rsidRDefault="00A8138F" w:rsidP="00A8138F">
      <w:pPr>
        <w:pStyle w:val="TextoNormal"/>
      </w:pPr>
    </w:p>
    <w:p w14:paraId="7595D9B1" w14:textId="77777777" w:rsidR="00A8138F" w:rsidRDefault="00A8138F" w:rsidP="00A8138F">
      <w:pPr>
        <w:pStyle w:val="TextoNormal"/>
      </w:pPr>
      <w:r>
        <w:t>Finalmente, en lo que se refiere a la queja vinculada al derecho a la igualdad (art. 14 CE), los argumentos recogidos en la demanda se apartan por completo del contenido del derecho fundamental, tal como ha quedado definido por este tribunal. Por otra parte, los recurrentes no han individualizado, en los términos exigidos por la jurisprudencia de este tribunal, un término válido de comparación, por lo que no cabe el examen de la alegada vulneración.</w:t>
      </w:r>
    </w:p>
    <w:p w14:paraId="2CF7E6C1" w14:textId="77777777" w:rsidR="00A8138F" w:rsidRDefault="00A8138F" w:rsidP="00A8138F">
      <w:pPr>
        <w:pStyle w:val="TextoNormal"/>
      </w:pPr>
    </w:p>
    <w:p w14:paraId="24C287CD" w14:textId="19FF29F6" w:rsidR="00A8138F" w:rsidRDefault="00A8138F" w:rsidP="00A8138F">
      <w:pPr>
        <w:pStyle w:val="TextoNormal"/>
      </w:pPr>
      <w:r>
        <w:t>El análisis de este caso habrá de ceñirse, por tanto, a la denunciada vulneración del derecho a la tutela judicial efectiva, en su dimensión de derecho a obtener una resolución motivada y fundada en Derecho (art. 24.1 CE), por errónea o arbitraria motivación de la decisión judicial de no imponer las costas procesales a la entidad bancaria ejecutante, aplicando al criterio del vencimiento objetivo, la excepción de que el caso presente serias dudas de hecho o de Derecho.</w:t>
      </w:r>
    </w:p>
    <w:p w14:paraId="3C2FEE5A" w14:textId="77777777" w:rsidR="00A8138F" w:rsidRDefault="00A8138F" w:rsidP="00A8138F">
      <w:pPr>
        <w:pStyle w:val="TextoNormal"/>
      </w:pPr>
    </w:p>
    <w:p w14:paraId="7A694C01" w14:textId="77777777" w:rsidR="00A8138F" w:rsidRDefault="00A8138F" w:rsidP="00A8138F">
      <w:pPr>
        <w:pStyle w:val="TextoNormal"/>
      </w:pPr>
      <w:r w:rsidRPr="00A8138F">
        <w:rPr>
          <w:rStyle w:val="NumeroAFNegritaCaracter"/>
        </w:rPr>
        <w:t>2</w:t>
      </w:r>
      <w:r>
        <w:t xml:space="preserve">. </w:t>
      </w:r>
      <w:r w:rsidRPr="00A8138F">
        <w:rPr>
          <w:i/>
        </w:rPr>
        <w:t>Tutela judicial efectiva de los derechos de los consumidores en materia de costas</w:t>
      </w:r>
    </w:p>
    <w:p w14:paraId="71A3776B" w14:textId="77777777" w:rsidR="00A8138F" w:rsidRDefault="00A8138F" w:rsidP="00A8138F">
      <w:pPr>
        <w:pStyle w:val="TextoNormal"/>
      </w:pPr>
    </w:p>
    <w:p w14:paraId="06B424D4" w14:textId="77777777" w:rsidR="00A8138F" w:rsidRDefault="00A8138F" w:rsidP="00A8138F">
      <w:pPr>
        <w:pStyle w:val="TextoNormal"/>
      </w:pPr>
      <w:r>
        <w:t>La cuestión suscitada en la presente demanda de amparo es si se ha vulnerado el derecho fundamental a la tutela judicial efectiva (art. 24.1 CE) de los actores como consecuencia de un pronunciamiento judicial sobre las costas procesales sin expresa imposición de las mismas a la parte ejecutante.</w:t>
      </w:r>
    </w:p>
    <w:p w14:paraId="32498D61" w14:textId="77777777" w:rsidR="00A8138F" w:rsidRDefault="00A8138F" w:rsidP="00A8138F">
      <w:pPr>
        <w:pStyle w:val="TextoNormal"/>
      </w:pPr>
    </w:p>
    <w:p w14:paraId="50E3BC3B" w14:textId="77777777" w:rsidR="00A8138F" w:rsidRDefault="00A8138F" w:rsidP="00A8138F">
      <w:pPr>
        <w:pStyle w:val="TextoNormal"/>
      </w:pPr>
      <w:r>
        <w:t>Como hemos declarado en tres recientes sentencias —SSTC 91/2023 y 96/2023 (de la Sala Primera) y STC 54/2024, de 8 de abril (de la Sala Segunda)—, incurre en manifiesta falta de razonabilidad, y consecuentemente en el incumplimiento de las exigencias de motivación que impone el art. 24.1 CE, la resolución judicial que, tras declarar nulas por abusivas determinadas cláusulas contractuales, no impone las costas del procedimiento a la parte ejecutante por la existencia de dudas de Derecho sobre la licitud de las cláusulas controvertidas.</w:t>
      </w:r>
    </w:p>
    <w:p w14:paraId="13B0CE68" w14:textId="77777777" w:rsidR="00A8138F" w:rsidRDefault="00A8138F" w:rsidP="00A8138F">
      <w:pPr>
        <w:pStyle w:val="TextoNormal"/>
      </w:pPr>
    </w:p>
    <w:p w14:paraId="2D215786" w14:textId="77777777" w:rsidR="00A8138F" w:rsidRDefault="00A8138F" w:rsidP="00A8138F">
      <w:pPr>
        <w:pStyle w:val="TextoNormal"/>
      </w:pPr>
      <w:r>
        <w:t>Respecto a tales pronunciamientos es importante recordar los fundamentos en los que apoyamos tal conclusión:</w:t>
      </w:r>
    </w:p>
    <w:p w14:paraId="4CD6BBE1" w14:textId="77777777" w:rsidR="00A8138F" w:rsidRDefault="00A8138F" w:rsidP="00A8138F">
      <w:pPr>
        <w:pStyle w:val="TextoNormal"/>
      </w:pPr>
    </w:p>
    <w:p w14:paraId="65CC8243" w14:textId="77777777" w:rsidR="00A8138F" w:rsidRDefault="00A8138F" w:rsidP="00A8138F">
      <w:pPr>
        <w:pStyle w:val="TextoNormal"/>
      </w:pPr>
      <w:r>
        <w:t>(i) Corresponde al ordenamiento interno de los Estados miembros establecer la forma y condiciones en las que se preste la protección a los consumidores prevista en los arts. 6.1 y 7.1 de la Directiva 93/13/CEE, preceptos que reconocen a los consumidores el derecho a acudir a un juez para que declare el carácter abusivo de una cláusula contractual concertada con un profesional para que deje de serle aplicada. En cualquier caso, “la regulación nacional establecida debe respetar los principios de tutela judicial, equivalencia y efectividad, de forma que sus previsiones no sean menos favorables que las aplicables a situaciones similares sometidas al Derecho interno —principio de equivalencia— y no hagan imposible en la práctica o excesivamente difícil el ejercicio de los derechos conferidos por el ordenamiento jurídico comunitario —principio de efectividad—” [STC 91/2023, FJ 4 a)].</w:t>
      </w:r>
    </w:p>
    <w:p w14:paraId="43075702" w14:textId="77777777" w:rsidR="00A8138F" w:rsidRDefault="00A8138F" w:rsidP="00A8138F">
      <w:pPr>
        <w:pStyle w:val="TextoNormal"/>
      </w:pPr>
    </w:p>
    <w:p w14:paraId="6A57B646" w14:textId="77777777" w:rsidR="00A8138F" w:rsidRDefault="00A8138F" w:rsidP="00A8138F">
      <w:pPr>
        <w:pStyle w:val="TextoNormal"/>
      </w:pPr>
      <w:r>
        <w:t xml:space="preserve">(ii) El Tribunal de Justicia de la Unión Europea ha considerado el efecto disuasor que pueden tener sobre los consumidores los costes del proceso judicial en el que hagan valer su derecho a no verse vinculados a cláusulas abusivas en la STJUE de 16 de julio de 2020, asuntos acumulados </w:t>
      </w:r>
      <w:r w:rsidRPr="00A8138F">
        <w:rPr>
          <w:i/>
        </w:rPr>
        <w:t>CY c. Caixabank, S.A</w:t>
      </w:r>
      <w:r>
        <w:t xml:space="preserve">., y </w:t>
      </w:r>
      <w:r w:rsidRPr="00A8138F">
        <w:rPr>
          <w:i/>
        </w:rPr>
        <w:t>LG, PK c. Banco Bilbao Vizcaya Argentaria, S.A</w:t>
      </w:r>
      <w:r>
        <w:t>., C-224/19 y C-259/19, que viene referida específicamente a las normas procesales españolas sobre la condena en costas y su tasación. En dicha sentencia, el Tribunal de Justicia de la Unión Europea constató que no imponer a la parte profesional del contrato el pago íntegro de las costas —en virtud de la excepción de la existencia de serias dudas de Derecho a la regla del vencimiento objetivo, prevista en el art. 394 LEC— cuando se ha estimado íntegramente la acción de nulidad de una cláusula contractual abusiva ejercitada por el consumidor, es una solución incompatible con el principio de efectividad, pues “[p]ara el tribunal (§ 99) ‘el artículo 6, apartado 1, y el artículo 7, apartado 1, de la Directiva 93/13/CEE,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93/13/CEE, a un control judicial efectivo del carácter potencialmente abusivo de cláusulas contractuales’” [STC 91/2023, FJ 4 b)].</w:t>
      </w:r>
    </w:p>
    <w:p w14:paraId="78329622" w14:textId="77777777" w:rsidR="00A8138F" w:rsidRDefault="00A8138F" w:rsidP="00A8138F">
      <w:pPr>
        <w:pStyle w:val="TextoNormal"/>
      </w:pPr>
    </w:p>
    <w:p w14:paraId="0B2A7B43" w14:textId="77777777" w:rsidR="00A8138F" w:rsidRDefault="00A8138F" w:rsidP="00A8138F">
      <w:pPr>
        <w:pStyle w:val="TextoNormal"/>
      </w:pPr>
      <w:r>
        <w:t>(iii) La Sala de lo Civil del Tribunal Supremo también “ha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 [STC 91/2023, FJ 4 b)].</w:t>
      </w:r>
    </w:p>
    <w:p w14:paraId="3A8F099D" w14:textId="77777777" w:rsidR="00A8138F" w:rsidRDefault="00A8138F" w:rsidP="00A8138F">
      <w:pPr>
        <w:pStyle w:val="TextoNormal"/>
      </w:pPr>
    </w:p>
    <w:p w14:paraId="13586F3D" w14:textId="4FDB9C96" w:rsidR="00A8138F" w:rsidRDefault="00A8138F" w:rsidP="00A8138F">
      <w:pPr>
        <w:pStyle w:val="TextoNormal"/>
      </w:pPr>
      <w:r>
        <w:t>(iv) Esta perspectiva ya fue incorporada a la jurisprudencia de este tribunal en la STC 156/2021, FJ 11, como motivo para declarar inconstitucional y contraria al derecho fundamental a la tutela judicial efectiva reconocido en el art. 24.1 CE la previsión excepcional sobre condena en costas en caso de allanamiento total o parcial de las entidades de crédito que se verificaba en el art. 4.2 del Real Decreto-ley 1/2017, de 20 de enero, de medidas urgentes de protección de consumidores en materia de cláusulas suelo [STC 91/2023, FJ 4 c) y e)].</w:t>
      </w:r>
    </w:p>
    <w:p w14:paraId="71C96E7A" w14:textId="77777777" w:rsidR="00A8138F" w:rsidRDefault="00A8138F" w:rsidP="00A8138F">
      <w:pPr>
        <w:pStyle w:val="TextoNormal"/>
      </w:pPr>
    </w:p>
    <w:p w14:paraId="2E4EEA63" w14:textId="77777777" w:rsidR="00A8138F" w:rsidRDefault="00A8138F" w:rsidP="00A8138F">
      <w:pPr>
        <w:pStyle w:val="TextoNormal"/>
      </w:pPr>
      <w:r w:rsidRPr="00A8138F">
        <w:rPr>
          <w:rStyle w:val="NumeroAFNegritaCaracter"/>
        </w:rPr>
        <w:t>3</w:t>
      </w:r>
      <w:r>
        <w:t xml:space="preserve">. </w:t>
      </w:r>
      <w:r w:rsidRPr="00A8138F">
        <w:rPr>
          <w:i/>
        </w:rPr>
        <w:t>Aplicación de la doctrina al caso. Estimación del recurso de amparo</w:t>
      </w:r>
    </w:p>
    <w:p w14:paraId="40E9CBAD" w14:textId="77777777" w:rsidR="00A8138F" w:rsidRDefault="00A8138F" w:rsidP="00A8138F">
      <w:pPr>
        <w:pStyle w:val="TextoNormal"/>
      </w:pPr>
    </w:p>
    <w:p w14:paraId="56568B1D" w14:textId="77777777" w:rsidR="00A8138F" w:rsidRDefault="00A8138F" w:rsidP="00A8138F">
      <w:pPr>
        <w:pStyle w:val="TextoNormal"/>
      </w:pPr>
      <w:r>
        <w:t>La aplicación de la referida doctrina constitucional al presente caso conduce a la estimación de la pretensión de amparo; dado que la respuesta judicial recibida por los recurrentes en materia de costas procesales no satisface las exigencias del derecho fundamental a la tutela judicial efectiva (art. 24.1 CE), que integra, como una de sus manifestaciones, la de obtener de los jueces y tribunales una resolución fundada en Derecho sobre el fondo de las pretensiones oportunamente deducidas por las partes en el proceso.</w:t>
      </w:r>
    </w:p>
    <w:p w14:paraId="65AB2FC1" w14:textId="77777777" w:rsidR="00A8138F" w:rsidRDefault="00A8138F" w:rsidP="00A8138F">
      <w:pPr>
        <w:pStyle w:val="TextoNormal"/>
      </w:pPr>
    </w:p>
    <w:p w14:paraId="0B29288B" w14:textId="77777777" w:rsidR="00A8138F" w:rsidRDefault="00A8138F" w:rsidP="00A8138F">
      <w:pPr>
        <w:pStyle w:val="TextoNormal"/>
      </w:pPr>
      <w:r>
        <w:t>Como ya hemos indicado, el auto de la Sección Segunda de la Audiencia Provincial de Lleida de 21 de octubre de 2021 estimó la oposición formulada por los recurrentes en amparo, acordó la nulidad por abusiva de la cláusula de vencimiento anticipado del contrato de préstamo hipotecario que había servido de fundamento al proceso de ejecución de títulos no judiciales núm. 959-2012, y ordenó el sobreseimiento y archivo de dicho procedimiento ejecutivo. Pese a ello, acordó no imponer las costas del proceso de ejecución —en primera o segunda instancia— a ninguna de las partes: “Habida cuenta de la novedad de la jurisprudencia que se aplica en el presente caso, posterior al auto apelado y a los escritos de apelación y de oposición a la apelación, nos lleva a considerar la existencia de dudas de Derecho”. Cuando la parte ejecutada reclamó la nulidad de este pronunciamiento, invocando la jurisprudencia tanto del Tribunal de Justicia de la Unión Europea como de este mismo Tribunal Constitucional, la Audiencia Provincial se limitó a negar de manera apodíctica la existencia de vulneración alguna de los derechos fundamentales de los ejecutados para inadmitir el incidente de nulidad de actuaciones.</w:t>
      </w:r>
    </w:p>
    <w:p w14:paraId="6CCA0611" w14:textId="77777777" w:rsidR="00A8138F" w:rsidRDefault="00A8138F" w:rsidP="00A8138F">
      <w:pPr>
        <w:pStyle w:val="TextoNormal"/>
      </w:pPr>
    </w:p>
    <w:p w14:paraId="5F3D318F" w14:textId="77777777" w:rsidR="00A8138F" w:rsidRDefault="00A8138F" w:rsidP="00A8138F">
      <w:pPr>
        <w:pStyle w:val="TextoNormal"/>
      </w:pPr>
      <w:r>
        <w:t>Pues bien, a la vista de la doctrina constitucional citada, hemos de concluir que tanto el auto de 21 de octubre de 2021, como la providencia de 16 de diciembre de ese mismo año, de la Audiencia Provincial de Lleida vulneraron el derecho a la tutela judicial efectiva sin indefensión de los recurrentes en amparo (art. 24.1 CE), por incurrir en selección irrazonable y arbitraria de la norma aplicable al proceso “que redunda en entorpecimiento injustificado del derecho de los consumidores a obtener un pronunciamiento judicial que les desvincule de la cláusula abusiva y les restituya a su prístina situación fáctica y jurídica” (STC 96/2023, FJ 3).</w:t>
      </w:r>
    </w:p>
    <w:p w14:paraId="15076584" w14:textId="77777777" w:rsidR="00A8138F" w:rsidRDefault="00A8138F" w:rsidP="00A8138F">
      <w:pPr>
        <w:pStyle w:val="TextoNormal"/>
      </w:pPr>
    </w:p>
    <w:p w14:paraId="5A14F525" w14:textId="77777777" w:rsidR="00A8138F" w:rsidRDefault="00A8138F" w:rsidP="00A8138F">
      <w:pPr>
        <w:pStyle w:val="TextoNormal"/>
      </w:pPr>
      <w:r>
        <w:t>El auto impugnado, de 21 de octubre de 2021, resuelve no imponer las costas a la entidad bancaria ejecutante con el único argumento de que la jurisprudencia aplicada para anular la cláusula de vencimiento anticipado era novedosa, con lo que concurrían “dudas de Derecho”. La providencia de 16 de diciembre de 2021 viene a ratificar tal decisión, declarando que no generaba vulneración alguna de los derechos fundamentales de los ejecutados. Ninguna consideración se hizo por la Audiencia Provincial de Lleida a las exigencias de naturaleza procesal que derivan de la vigencia y aplicación de los arts. 6.1 y 7.1 de la Directiva 93/13/CEE, traída a colación por el recurrente en el incidente excepcional de nulidad de actuaciones, en el que, entre otras razones, adujo la necesidad de preservar el efecto disuasorio que debe ejercer la condena en costas a quien ha utilizado una cláusula abusiva para fundamentar un procedimiento de ejecución hipotecaria, conforme a la jurisprudencia del Tribunal de Justicia de la Unión Europea.</w:t>
      </w:r>
    </w:p>
    <w:p w14:paraId="292B1490" w14:textId="77777777" w:rsidR="00A8138F" w:rsidRDefault="00A8138F" w:rsidP="00A8138F">
      <w:pPr>
        <w:pStyle w:val="TextoNormal"/>
      </w:pPr>
    </w:p>
    <w:p w14:paraId="3F04C561" w14:textId="77777777" w:rsidR="00A8138F" w:rsidRDefault="00A8138F" w:rsidP="00A8138F">
      <w:pPr>
        <w:pStyle w:val="TextoNormal"/>
      </w:pPr>
      <w:r>
        <w:t>La Audiencia Provincial se limitó así a aplicar el precepto nacional que consideró oportuno —art. 394.1 LEC— sin razonar, en absoluto, por qué se optaba por este precepto en lugar de aplicarse el artículo que de modo específico regula las costas derivadas del incidente de oposición a la ejecución —art. 561 LEC—, ni tener en cuenta tampoco los principios de primacía y de efectividad del Derecho comunitario. Es cierto que el art. 561.2 LEC ha sido modificado por el Real Decreto-ley 6/2023, de 19 de diciembre, por el que se aprueban medidas urgentes para la ejecución del plan de recuperación, transformación y resiliencia en materia de servicio público de justicia, función pública, régimen local y mecenazgo —apartado centésimo séptimo del art. 103—, que entró en vigor el día 20 de marzo de 2024 y si bien contiene una redacción diferente: “cuando se apreciase el carácter abusivo de una o varias cláusulas, el auto que se dicte determinará las consecuencias de tal carácter”, la nueva redacción no obsta, en absoluto, a una interpretación conforme con la citada jurisprudencia del Tribunal de Justicia de la Unión Europea.</w:t>
      </w:r>
    </w:p>
    <w:p w14:paraId="7ED920F6" w14:textId="77777777" w:rsidR="00A8138F" w:rsidRDefault="00A8138F" w:rsidP="00A8138F">
      <w:pPr>
        <w:pStyle w:val="TextoNormal"/>
      </w:pPr>
    </w:p>
    <w:p w14:paraId="574FB9B9" w14:textId="77777777" w:rsidR="00A8138F" w:rsidRDefault="00A8138F" w:rsidP="00A8138F">
      <w:pPr>
        <w:pStyle w:val="TextoNormal"/>
      </w:pPr>
      <w:r>
        <w:t>Nos encontramos, en definitiva, ante una selección e interpretación de las normas aplicables en materia de costas procesales que no satisface las exigencias de motivación judicial fijadas en las SSTC 91/2023 y 96/2023, pronunciamientos en los que concluimos, por las razones expresadas en el fundamento precedente de esta sentencia, que 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y genera un efecto disuasorio inverso que perjudica al consumidor.</w:t>
      </w:r>
    </w:p>
    <w:p w14:paraId="71FE812C" w14:textId="77777777" w:rsidR="00A8138F" w:rsidRDefault="00A8138F" w:rsidP="00A8138F">
      <w:pPr>
        <w:pStyle w:val="TextoNormal"/>
      </w:pPr>
    </w:p>
    <w:p w14:paraId="35CB579F" w14:textId="2C8F4862" w:rsidR="00A8138F" w:rsidRDefault="00A8138F" w:rsidP="00A8138F">
      <w:pPr>
        <w:pStyle w:val="TextoNormal"/>
      </w:pPr>
      <w:r>
        <w:t>Procede, en consecuencia, otorgar a los recurrentes el amparo solicitado, que comporta en este caso la nulidad del auto de la sección segunda de la Audiencia Provincial de Lleida núm. 244/2021, de 21 de octubre, exclusivamente en lo relativo al pronunciamiento sobre las costas del procedimiento, y de la providencia de la misma Sala y Sección de 16 de diciembre de 2021, por la que se inadmitió el incidente extraordinario de nulidad de actuaciones, para que dicho órgano judicial dicte una nueva resolución, en lo referente al pronunciamiento en materia de costas, respetuosa con el derecho a la tutela judicial efectiva sin indefensión.</w:t>
      </w:r>
    </w:p>
    <w:p w14:paraId="04224FFF" w14:textId="77777777" w:rsidR="00A8138F" w:rsidRDefault="00A8138F" w:rsidP="00A8138F">
      <w:pPr>
        <w:pStyle w:val="TextoNormal"/>
      </w:pPr>
    </w:p>
    <w:p w14:paraId="0539F46A" w14:textId="77777777" w:rsidR="00A8138F" w:rsidRDefault="00A8138F" w:rsidP="00A8138F">
      <w:pPr>
        <w:pStyle w:val="TextoNormalCentrado"/>
        <w:keepNext/>
      </w:pPr>
      <w:r>
        <w:t>FALLO</w:t>
      </w:r>
    </w:p>
    <w:p w14:paraId="122CF514" w14:textId="61C2B22B" w:rsidR="00A8138F" w:rsidRDefault="00A8138F" w:rsidP="00A8138F">
      <w:pPr>
        <w:pStyle w:val="TextoNormalCentrado"/>
        <w:keepNext/>
      </w:pPr>
    </w:p>
    <w:p w14:paraId="3095452A"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Víctor Manuel de Oliveira Fernandes y doña Manuela Flores Verdejo y, en su virtud:</w:t>
      </w:r>
    </w:p>
    <w:p w14:paraId="19B610A4" w14:textId="77777777" w:rsidR="00A8138F" w:rsidRDefault="00A8138F" w:rsidP="00A8138F">
      <w:pPr>
        <w:pStyle w:val="TextoNormal"/>
      </w:pPr>
    </w:p>
    <w:p w14:paraId="0AA9BCF8" w14:textId="77777777" w:rsidR="00A8138F" w:rsidRDefault="00A8138F" w:rsidP="00A8138F">
      <w:pPr>
        <w:pStyle w:val="TextoNormal"/>
      </w:pPr>
      <w:r>
        <w:t>1º Declarar que ha sido vulnerado su derecho fundamental a la tutela judicial efectiva sin indefensión (art. 24.1 CE).</w:t>
      </w:r>
    </w:p>
    <w:p w14:paraId="5452AC67" w14:textId="77777777" w:rsidR="00A8138F" w:rsidRDefault="00A8138F" w:rsidP="00A8138F">
      <w:pPr>
        <w:pStyle w:val="TextoNormal"/>
      </w:pPr>
    </w:p>
    <w:p w14:paraId="33E2EF24" w14:textId="77777777" w:rsidR="00A8138F" w:rsidRDefault="00A8138F" w:rsidP="00A8138F">
      <w:pPr>
        <w:pStyle w:val="TextoNormal"/>
      </w:pPr>
      <w:r>
        <w:t>2º Restablecerlos en su derecho y, en consecuencia, declarar la nulidad del auto de la Sección Segunda de la Audiencia Provincial de Lleida núm. 244/2021, de 21 de octubre, exclusivamente en lo relativo al pronunciamiento sobre las costas del procedimiento, y de la providencia de la misma Sala y Sección de 16 de diciembre de 2021, por la que se inadmitió el incidente de nulidad de actuaciones promovido contra dicho auto.</w:t>
      </w:r>
    </w:p>
    <w:p w14:paraId="3F6B8D1F" w14:textId="77777777" w:rsidR="00A8138F" w:rsidRDefault="00A8138F" w:rsidP="00A8138F">
      <w:pPr>
        <w:pStyle w:val="TextoNormal"/>
      </w:pPr>
    </w:p>
    <w:p w14:paraId="535C66DE" w14:textId="6C60CB2E" w:rsidR="00A8138F" w:rsidRDefault="00A8138F" w:rsidP="00A8138F">
      <w:pPr>
        <w:pStyle w:val="TextoNormal"/>
      </w:pPr>
      <w:r>
        <w:t>3º Retrotraer las actuaciones al momento inmediatamente anterior al pronunciamiento de la primera de las referidas resoluciones, para que el órgano judicial dicte una nueva resolución respetuosa con el derecho fundamental vulnerado.</w:t>
      </w:r>
    </w:p>
    <w:p w14:paraId="6418281B" w14:textId="77777777" w:rsidR="00A8138F" w:rsidRDefault="00A8138F" w:rsidP="00A8138F">
      <w:pPr>
        <w:pStyle w:val="TextoNormal"/>
      </w:pPr>
    </w:p>
    <w:p w14:paraId="35EAB93A" w14:textId="77777777" w:rsidR="00A8138F" w:rsidRDefault="00A8138F" w:rsidP="00A8138F">
      <w:pPr>
        <w:pStyle w:val="TextoNormal"/>
      </w:pPr>
      <w:r>
        <w:t>Publíquese esta sentencia en el “Boletín Oficial del Estado”.</w:t>
      </w:r>
    </w:p>
    <w:p w14:paraId="49625635" w14:textId="77777777" w:rsidR="00A8138F" w:rsidRDefault="00A8138F" w:rsidP="00A8138F">
      <w:pPr>
        <w:pStyle w:val="TextoNormal"/>
      </w:pPr>
      <w:r>
        <w:t>Dada en Madrid, a doce de mayo de dos mil veinticinco.</w:t>
      </w:r>
    </w:p>
    <w:p w14:paraId="69768F42" w14:textId="0462D29D" w:rsidR="00A8138F" w:rsidRDefault="00A8138F">
      <w:pPr>
        <w:spacing w:after="160" w:line="278" w:lineRule="auto"/>
        <w:rPr>
          <w:rFonts w:ascii="Times New Roman" w:eastAsia="Times New Roman" w:hAnsi="Times New Roman" w:cs="Times New Roman"/>
          <w:sz w:val="24"/>
          <w:szCs w:val="24"/>
          <w:lang w:eastAsia="es-ES"/>
        </w:rPr>
      </w:pPr>
      <w:r>
        <w:br w:type="page"/>
      </w:r>
    </w:p>
    <w:p w14:paraId="5DF24321" w14:textId="77777777" w:rsidR="00A8138F" w:rsidRDefault="00A8138F" w:rsidP="00A8138F">
      <w:pPr>
        <w:pStyle w:val="TtuloResolucin"/>
      </w:pPr>
      <w:bookmarkStart w:id="112" w:name="SENTENCIA_2025_110"/>
      <w:r>
        <w:t>SENTENCIA 110/2025, de 12 de mayo de 2025</w:t>
      </w:r>
    </w:p>
    <w:bookmarkEnd w:id="112"/>
    <w:p w14:paraId="4C032213" w14:textId="77777777" w:rsidR="00A8138F" w:rsidRDefault="00A8138F" w:rsidP="00A8138F">
      <w:pPr>
        <w:pStyle w:val="TtuloResolucin"/>
      </w:pPr>
      <w:r>
        <w:t>Sala Primera</w:t>
      </w:r>
    </w:p>
    <w:p w14:paraId="66898391" w14:textId="77777777" w:rsidR="00A8138F" w:rsidRDefault="00A8138F" w:rsidP="00A8138F">
      <w:pPr>
        <w:pStyle w:val="TtuloBOE"/>
      </w:pPr>
      <w:r>
        <w:t>(BOE núm. 146, de 18 de junio de 2025)</w:t>
      </w:r>
    </w:p>
    <w:p w14:paraId="040A7611" w14:textId="77777777" w:rsidR="00A8138F" w:rsidRDefault="00A8138F" w:rsidP="00A8138F">
      <w:pPr>
        <w:pStyle w:val="TextoNormalCentrado"/>
      </w:pPr>
      <w:r>
        <w:t>ECLI:ES:TC:2025:110</w:t>
      </w:r>
    </w:p>
    <w:p w14:paraId="60EF0F3D" w14:textId="4E288887" w:rsidR="00A8138F" w:rsidRDefault="00A8138F" w:rsidP="00A8138F">
      <w:pPr>
        <w:pStyle w:val="TextoNormalCentrado"/>
      </w:pPr>
    </w:p>
    <w:p w14:paraId="5FC3B1F1" w14:textId="77777777" w:rsidR="00A8138F" w:rsidRDefault="00A8138F" w:rsidP="00A8138F">
      <w:pPr>
        <w:pStyle w:val="SntesisDescriptiva"/>
      </w:pPr>
      <w:r>
        <w:t>Recurso de amparo 4755-2023. Promovido por don Javier Gabarri Jiménez respecto de los autos de la Sala de lo Civil y Penal del Tribunal Superior de Justicia de Galicia que inadmitieron el recurso de apelación planteado frente a la denegación de revisión de condena acordada por la Audiencia Provincial de Ourense.</w:t>
      </w:r>
    </w:p>
    <w:p w14:paraId="0736A2A1" w14:textId="4F5A8C42" w:rsidR="00A8138F" w:rsidRDefault="00A8138F" w:rsidP="00A8138F">
      <w:pPr>
        <w:pStyle w:val="SntesisDescriptiva"/>
      </w:pPr>
    </w:p>
    <w:p w14:paraId="6697F35C" w14:textId="77777777" w:rsidR="00A8138F" w:rsidRDefault="00A8138F" w:rsidP="00A8138F">
      <w:pPr>
        <w:pStyle w:val="SntesisAnaltica"/>
      </w:pPr>
      <w:r>
        <w:t>Vulneración del derecho a la tutela judicial efectiva (acceso al recurso): derecho al recurso devolutivo frente a las decisiones judiciales de revisión de condena; inexistencia de previsión legal al respecto y valor de las resoluciones del Tribunal Supremo (STC 105/2025). Votos particulares.</w:t>
      </w:r>
    </w:p>
    <w:p w14:paraId="12D9BE18" w14:textId="2A28497C" w:rsidR="00A8138F" w:rsidRDefault="00A8138F" w:rsidP="00A8138F">
      <w:pPr>
        <w:pStyle w:val="SntesisAnaltica"/>
      </w:pPr>
    </w:p>
    <w:p w14:paraId="0D029C42" w14:textId="570F12A1" w:rsidR="00A8138F" w:rsidRDefault="00A8138F" w:rsidP="00A8138F">
      <w:pPr>
        <w:pStyle w:val="Extracto"/>
      </w:pPr>
      <w:r>
        <w:t>1.</w:t>
      </w:r>
      <w:r>
        <w:tab/>
        <w:t>El acto de agresión sexual puede ser contado entre los ‘delitos de cuya difusión se derivan especiales perjuicios’, a los que se refiere el art. 1 del Acuerdo del Pleno del Tribunal constitucional, 23 de julio de 2015; lo que impulsa a este Tribunal a preservar en el texto de sus resoluciones la identidad de las personas que han sufrido este tipo de delitos (SSTC 185/2002 o 105/2025) [FJ 1].</w:t>
      </w:r>
    </w:p>
    <w:p w14:paraId="5D30C2C8" w14:textId="77777777" w:rsidR="00A8138F" w:rsidRDefault="00A8138F" w:rsidP="00A8138F">
      <w:pPr>
        <w:pStyle w:val="Extracto"/>
      </w:pPr>
    </w:p>
    <w:p w14:paraId="400E56C5" w14:textId="4F8B22BE" w:rsidR="00A8138F" w:rsidRDefault="00A8138F" w:rsidP="00A8138F">
      <w:pPr>
        <w:pStyle w:val="Extracto"/>
      </w:pPr>
      <w:r>
        <w:t>2.</w:t>
      </w:r>
      <w:r>
        <w:tab/>
        <w:t>Vulnera el derecho fundamental a la tutela judicial efectiva (art. 24.1 CE) una resolución judicial que niega la admisión a trámite de un recurso devolutivo (apelación) contra un auto revisor de una sentencia de condena, con el único argumento de que el silencio del legislador equivale a una voluntad implícita de este de impedir dicho recurso, sin ninguna otra consideración al respecto (STC 105/2025) [FJ 2].</w:t>
      </w:r>
    </w:p>
    <w:p w14:paraId="2929CF97" w14:textId="77777777" w:rsidR="00A8138F" w:rsidRDefault="00A8138F" w:rsidP="00A8138F">
      <w:pPr>
        <w:pStyle w:val="Extracto"/>
      </w:pPr>
    </w:p>
    <w:p w14:paraId="5A0A0BA4" w14:textId="77777777" w:rsidR="00A8138F" w:rsidRDefault="00A8138F" w:rsidP="00A8138F">
      <w:pPr>
        <w:pStyle w:val="Extracto"/>
      </w:pPr>
    </w:p>
    <w:p w14:paraId="0809C662"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560D803E" w14:textId="43D9727C" w:rsidR="00A8138F" w:rsidRDefault="00A8138F" w:rsidP="00A8138F">
      <w:pPr>
        <w:pStyle w:val="TextoNormal"/>
      </w:pPr>
    </w:p>
    <w:p w14:paraId="4C83E0AB" w14:textId="77777777" w:rsidR="00A8138F" w:rsidRDefault="00A8138F" w:rsidP="00A8138F">
      <w:pPr>
        <w:pStyle w:val="TextoNormalCentrado"/>
        <w:keepNext/>
      </w:pPr>
      <w:r>
        <w:t>EN NOMBRE DEL REY</w:t>
      </w:r>
    </w:p>
    <w:p w14:paraId="1757A8A0" w14:textId="18ECB90D" w:rsidR="00A8138F" w:rsidRDefault="00A8138F" w:rsidP="00A8138F">
      <w:pPr>
        <w:pStyle w:val="TextoNormalCentrado"/>
        <w:keepNext/>
      </w:pPr>
    </w:p>
    <w:p w14:paraId="3E5180F0" w14:textId="77777777" w:rsidR="00A8138F" w:rsidRDefault="00A8138F" w:rsidP="00A8138F">
      <w:pPr>
        <w:pStyle w:val="TextoNormalCentrado"/>
        <w:keepNext/>
      </w:pPr>
    </w:p>
    <w:p w14:paraId="32EFB4A1" w14:textId="77777777" w:rsidR="00A8138F" w:rsidRDefault="00A8138F" w:rsidP="00A8138F">
      <w:pPr>
        <w:pStyle w:val="TextoNormal"/>
      </w:pPr>
      <w:r>
        <w:t>la siguiente</w:t>
      </w:r>
    </w:p>
    <w:p w14:paraId="6BCF4BE8" w14:textId="0A9FE3B8" w:rsidR="00A8138F" w:rsidRDefault="00A8138F" w:rsidP="00A8138F">
      <w:pPr>
        <w:pStyle w:val="TextoNormal"/>
      </w:pPr>
    </w:p>
    <w:p w14:paraId="5D421356" w14:textId="77777777" w:rsidR="00A8138F" w:rsidRDefault="00A8138F" w:rsidP="00A8138F">
      <w:pPr>
        <w:pStyle w:val="TextoNormalCentrado"/>
        <w:keepNext/>
      </w:pPr>
      <w:r>
        <w:t>SENTENCIA</w:t>
      </w:r>
    </w:p>
    <w:p w14:paraId="2D9845D7" w14:textId="45BC20C6" w:rsidR="00A8138F" w:rsidRDefault="00A8138F" w:rsidP="00A8138F">
      <w:pPr>
        <w:pStyle w:val="TextoNormalCentrado"/>
        <w:keepNext/>
      </w:pPr>
    </w:p>
    <w:p w14:paraId="3F0D86E3" w14:textId="77777777" w:rsidR="00A8138F" w:rsidRDefault="00A8138F" w:rsidP="00A8138F">
      <w:pPr>
        <w:pStyle w:val="TextoNormal"/>
      </w:pPr>
      <w:r>
        <w:t>En el recurso de amparo núm. 4755-2023, promovido por don Javier Gabarri Jiménez, contra los autos de la Sala de lo Civil y Penal del Tribunal Superior de Justicia de Galicia, de 14 de abril de 2023 y 24 de mayo de 2023. Ha intervenido el Ministerio Fiscal. Ha sido ponente el magistrado don Ricardo Enríquez Sancho.</w:t>
      </w:r>
    </w:p>
    <w:p w14:paraId="151872E9" w14:textId="37EDF645" w:rsidR="00A8138F" w:rsidRDefault="00A8138F" w:rsidP="00A8138F">
      <w:pPr>
        <w:pStyle w:val="TextoNormal"/>
      </w:pPr>
    </w:p>
    <w:p w14:paraId="051E2C61" w14:textId="77777777" w:rsidR="00A8138F" w:rsidRDefault="00A8138F" w:rsidP="00A8138F">
      <w:pPr>
        <w:pStyle w:val="TextoNormalNegritaCentrado"/>
        <w:keepNext/>
      </w:pPr>
      <w:r>
        <w:t>I. Antecedentes</w:t>
      </w:r>
    </w:p>
    <w:p w14:paraId="5AAB4D9F" w14:textId="78CDAACB" w:rsidR="00A8138F" w:rsidRDefault="00A8138F" w:rsidP="00A8138F">
      <w:pPr>
        <w:pStyle w:val="TextoNormalNegritaCentrado"/>
        <w:keepNext/>
      </w:pPr>
    </w:p>
    <w:p w14:paraId="6DC14C7B" w14:textId="330B5807" w:rsidR="00A8138F" w:rsidRDefault="00A8138F" w:rsidP="00A8138F">
      <w:pPr>
        <w:pStyle w:val="TextoNormal"/>
      </w:pPr>
      <w:r w:rsidRPr="00A8138F">
        <w:rPr>
          <w:rStyle w:val="NumeroAFNegritaCaracter"/>
        </w:rPr>
        <w:t>1</w:t>
      </w:r>
      <w:r>
        <w:t>. Mediante escrito presentado en el registro general de este tribunal el 7 de julio de 2023, la procuradora de los tribunales doña Paula Cadaveira González, actuando en nombre y representación de don Javier Gabarri Jiménez, bajo la defensa del letrado don Ángel María Fernández Cebrián, interpuso demanda de amparo contra las resoluciones arriba mencionadas.</w:t>
      </w:r>
    </w:p>
    <w:p w14:paraId="18D9220C" w14:textId="77777777" w:rsidR="00A8138F" w:rsidRDefault="00A8138F" w:rsidP="00A8138F">
      <w:pPr>
        <w:pStyle w:val="TextoNormal"/>
      </w:pPr>
    </w:p>
    <w:p w14:paraId="77F1B418" w14:textId="77777777" w:rsidR="00A8138F" w:rsidRDefault="00A8138F" w:rsidP="00A8138F">
      <w:pPr>
        <w:pStyle w:val="TextoNormal"/>
      </w:pPr>
      <w:r w:rsidRPr="00A8138F">
        <w:rPr>
          <w:rStyle w:val="NumeroAFNegritaCaracter"/>
        </w:rPr>
        <w:t>2</w:t>
      </w:r>
      <w:r>
        <w:t>. Los hechos con relevancia para la resolución del presente recurso de amparo y a los que se refiere la demanda presentada, son los siguientes:</w:t>
      </w:r>
    </w:p>
    <w:p w14:paraId="51E1D683" w14:textId="77777777" w:rsidR="00A8138F" w:rsidRDefault="00A8138F" w:rsidP="00A8138F">
      <w:pPr>
        <w:pStyle w:val="TextoNormal"/>
      </w:pPr>
    </w:p>
    <w:p w14:paraId="05F52F2C" w14:textId="77777777" w:rsidR="00A8138F" w:rsidRDefault="00A8138F" w:rsidP="00A8138F">
      <w:pPr>
        <w:pStyle w:val="TextoNormal"/>
      </w:pPr>
      <w:r>
        <w:t>a) El 22 de octubre de 2019 la Sección Segunda de la Audiencia Provincial de Ourense dictó sentencia en el procedimiento ordinario 10-2018, con la siguiente parte dispositiva concerniente al aquí demandante de amparo:</w:t>
      </w:r>
    </w:p>
    <w:p w14:paraId="0DA34722" w14:textId="77777777" w:rsidR="00A8138F" w:rsidRDefault="00A8138F" w:rsidP="00A8138F">
      <w:pPr>
        <w:pStyle w:val="TextoNormal"/>
      </w:pPr>
    </w:p>
    <w:p w14:paraId="090C8796" w14:textId="77777777" w:rsidR="00A8138F" w:rsidRDefault="00A8138F" w:rsidP="00A8138F">
      <w:pPr>
        <w:pStyle w:val="TextoNormal"/>
      </w:pPr>
      <w:r>
        <w:t>“Que debemos condenar y condenamos al acusado Javier Gabarri Jiménez como autor responsable, sin la concurrencia de circunstancias modificativas de la responsabilidad criminal en todos los casos, de un delito cualificado de detención ilegal ya definido a la pena de cinco años de prisión; como autor responsable de un delito continuado de agresión sexual en modalidad agravada a la pena de trece años y seis meses de prisión y como autor responsable de un delito contra la integridad moral a la pena de dieciocho meses de prisión con inhabilitación especial en esos períodos respectivos para el ejercicio del derecho de sufragio pasivo y con prohibición de acercamiento a [L.C.P.] a su domicilio o cualquier lugar en que se halle en un radio de acción de 500 metros y de comunicarse con ella en cualquier forma durante siete, trece y tres años respectivamente por los delitos sucesivamente descritos y a que en concepto de responsabilidad civil abone a la perjudicada [L.C.P.] la cantidad de 8.855,8 € en concepto de perjuicios personales y secuelas y la cifra de 12 000 € a título de daño moral, y al SERGAS en 1.181,24 € por gastos sanitarios, con abono de intereses legales del art. 576 LEC.</w:t>
      </w:r>
    </w:p>
    <w:p w14:paraId="43AF6DB0" w14:textId="77777777" w:rsidR="00A8138F" w:rsidRDefault="00A8138F" w:rsidP="00A8138F">
      <w:pPr>
        <w:pStyle w:val="TextoNormal"/>
      </w:pPr>
    </w:p>
    <w:p w14:paraId="45BCD1F9" w14:textId="77777777" w:rsidR="00A8138F" w:rsidRDefault="00A8138F" w:rsidP="00A8138F">
      <w:pPr>
        <w:pStyle w:val="TextoNormal"/>
      </w:pPr>
      <w:r>
        <w:t>[…]</w:t>
      </w:r>
    </w:p>
    <w:p w14:paraId="06EF1B34" w14:textId="77777777" w:rsidR="00A8138F" w:rsidRDefault="00A8138F" w:rsidP="00A8138F">
      <w:pPr>
        <w:pStyle w:val="TextoNormal"/>
      </w:pPr>
    </w:p>
    <w:p w14:paraId="1CAF0102" w14:textId="77777777" w:rsidR="00A8138F" w:rsidRDefault="00A8138F" w:rsidP="00A8138F">
      <w:pPr>
        <w:pStyle w:val="TextoNormal"/>
      </w:pPr>
      <w:r>
        <w:t>Se absuelve a Javier Gabarri Jiménez de los delitos de lesiones y amenazas imputados y a Ana Jiménez Gabarri de los delitos de amenazas y contra la integridad moral.</w:t>
      </w:r>
    </w:p>
    <w:p w14:paraId="582E4051" w14:textId="77777777" w:rsidR="00A8138F" w:rsidRDefault="00A8138F" w:rsidP="00A8138F">
      <w:pPr>
        <w:pStyle w:val="TextoNormal"/>
      </w:pPr>
    </w:p>
    <w:p w14:paraId="28F068A3" w14:textId="77777777" w:rsidR="00A8138F" w:rsidRDefault="00A8138F" w:rsidP="00A8138F">
      <w:pPr>
        <w:pStyle w:val="TextoNormal"/>
      </w:pPr>
      <w:r>
        <w:t>Se impone a Javier Gabarri Jiménez el pago de tres séptimas partes de las costas procesales, al resto de condenados una séptima parte, declarando de oficio las tres séptimas [partes] restantes; incluyendo en las costas las dimanantes de la intervención de la acusación particular.</w:t>
      </w:r>
    </w:p>
    <w:p w14:paraId="389C4A0B" w14:textId="77777777" w:rsidR="00A8138F" w:rsidRDefault="00A8138F" w:rsidP="00A8138F">
      <w:pPr>
        <w:pStyle w:val="TextoNormal"/>
      </w:pPr>
    </w:p>
    <w:p w14:paraId="2F5A4F13" w14:textId="77777777" w:rsidR="00A8138F" w:rsidRDefault="00A8138F" w:rsidP="00A8138F">
      <w:pPr>
        <w:pStyle w:val="TextoNormal"/>
      </w:pPr>
      <w:r>
        <w:t>Le será de abono al preso para el cumplimiento de dicha condena el tiempo que haya estado privado de libertad por esta causa.</w:t>
      </w:r>
    </w:p>
    <w:p w14:paraId="0D9591F1" w14:textId="77777777" w:rsidR="00A8138F" w:rsidRDefault="00A8138F" w:rsidP="00A8138F">
      <w:pPr>
        <w:pStyle w:val="TextoNormal"/>
      </w:pPr>
    </w:p>
    <w:p w14:paraId="02F7C570" w14:textId="77777777" w:rsidR="00A8138F" w:rsidRDefault="00A8138F" w:rsidP="00A8138F">
      <w:pPr>
        <w:pStyle w:val="TextoNormal"/>
      </w:pPr>
      <w:r>
        <w:t>[…]</w:t>
      </w:r>
    </w:p>
    <w:p w14:paraId="1398BA00" w14:textId="77777777" w:rsidR="00A8138F" w:rsidRDefault="00A8138F" w:rsidP="00A8138F">
      <w:pPr>
        <w:pStyle w:val="TextoNormal"/>
      </w:pPr>
    </w:p>
    <w:p w14:paraId="09161205" w14:textId="77777777" w:rsidR="00A8138F" w:rsidRDefault="00A8138F" w:rsidP="00A8138F">
      <w:pPr>
        <w:pStyle w:val="TextoNormal"/>
      </w:pPr>
      <w:r>
        <w:t>Notifíquese esta sentencia a las partes, haciéndoles saber que contra la misma podrán interponer recurso de apelación ante esta Sala en el plazo de diez días, a contar desde su última notificación”.</w:t>
      </w:r>
    </w:p>
    <w:p w14:paraId="478BB05C" w14:textId="77777777" w:rsidR="00A8138F" w:rsidRDefault="00A8138F" w:rsidP="00A8138F">
      <w:pPr>
        <w:pStyle w:val="TextoNormal"/>
      </w:pPr>
    </w:p>
    <w:p w14:paraId="69BD221E" w14:textId="77777777" w:rsidR="00A8138F" w:rsidRDefault="00A8138F" w:rsidP="00A8138F">
      <w:pPr>
        <w:pStyle w:val="TextoNormal"/>
      </w:pPr>
      <w:r>
        <w:t>b) Apelada la sentencia por todos los acusados y por la víctima de los delitos, actuando esta como acusación particular, la Sala de lo Civil y Penal del Tribunal Superior de Justicia de Galicia dictó sentencia el 20 de abril de 2020 en el rollo de apelación núm. 80-2019 estimando en parte el recurso de la acusación particular, en lo que aquí importa, en el sentido de condenar al acusado don Javier Gabarri Jiménez por un delito de lesiones, y desestimando los recursos promovidos por los acusados, con la siguiente parte dispositiva en lo que concierne al aquí demandante de amparo:</w:t>
      </w:r>
    </w:p>
    <w:p w14:paraId="0E9D6F18" w14:textId="77777777" w:rsidR="00A8138F" w:rsidRDefault="00A8138F" w:rsidP="00A8138F">
      <w:pPr>
        <w:pStyle w:val="TextoNormal"/>
      </w:pPr>
    </w:p>
    <w:p w14:paraId="2ECDE230" w14:textId="77777777" w:rsidR="00A8138F" w:rsidRDefault="00A8138F" w:rsidP="00A8138F">
      <w:pPr>
        <w:pStyle w:val="TextoNormal"/>
      </w:pPr>
      <w:r>
        <w:t>“[D]ebemos revocar [la sentencia de primera instancia] y en su virtud debemos condenar y condenamos al acusado Javier Gabarri Jiménez como autor responsable, sin la concurrencia de circunstancias modificativas de la responsabilidad criminal en todos los casos, de un delito cualificado de detención ilegal ya definido a la pena de cinco años de prisión; como autor responsable de un delito continuado de agresión sexual en modalidad agravada a la pena de trece años y seis meses de prisión; como autor responsable de un delito contra la integridad moral a la pena de dieciocho meses de prisión; y como autor responsable de un delito de lesiones a la pena de tres meses de prisión, con inhabilitación especial en esos períodos respectivos para el ejercicio del derecho de sufragio pasivo y con prohibición de acercamiento a [L.C.P.] a su domicilio o cualquier lugar en que se halle en un radio de acción de 500 metros y de comunicarse con ella en cualquier forma durante siete, trece y tres años respectivamente por los delitos sucesivamente descritos, a salvo el de lesiones, y a que en concepto de responsabilidad civil abone a la perjudicada [L.C.P.] la cantidad de 8855,8 € en concepto de perjuicios personales y secuelas y la cifra de 12 000 € a título de daño moral, y al SERGAS en 1181,24 € por gastos sanitarios, con abono de intereses legales del art. 576 LEC.</w:t>
      </w:r>
    </w:p>
    <w:p w14:paraId="47F22CEE" w14:textId="77777777" w:rsidR="00A8138F" w:rsidRDefault="00A8138F" w:rsidP="00A8138F">
      <w:pPr>
        <w:pStyle w:val="TextoNormal"/>
      </w:pPr>
    </w:p>
    <w:p w14:paraId="4D01C3D9" w14:textId="77777777" w:rsidR="00A8138F" w:rsidRDefault="00A8138F" w:rsidP="00A8138F">
      <w:pPr>
        <w:pStyle w:val="TextoNormal"/>
      </w:pPr>
      <w:r>
        <w:t>[…]</w:t>
      </w:r>
    </w:p>
    <w:p w14:paraId="78368A69" w14:textId="77777777" w:rsidR="00A8138F" w:rsidRDefault="00A8138F" w:rsidP="00A8138F">
      <w:pPr>
        <w:pStyle w:val="TextoNormal"/>
      </w:pPr>
    </w:p>
    <w:p w14:paraId="706E1C0E" w14:textId="77777777" w:rsidR="00A8138F" w:rsidRDefault="00A8138F" w:rsidP="00A8138F">
      <w:pPr>
        <w:pStyle w:val="TextoNormal"/>
      </w:pPr>
      <w:r>
        <w:t>Se mantiene la imposición de costas contenida en la sentencia de instancia y se imponen las de esta alzada a los condenados en la causa incluidas las de la acusación particular.</w:t>
      </w:r>
    </w:p>
    <w:p w14:paraId="1E64E7EE" w14:textId="77777777" w:rsidR="00A8138F" w:rsidRDefault="00A8138F" w:rsidP="00A8138F">
      <w:pPr>
        <w:pStyle w:val="TextoNormal"/>
      </w:pPr>
    </w:p>
    <w:p w14:paraId="41F3C837" w14:textId="77777777" w:rsidR="00A8138F" w:rsidRDefault="00A8138F" w:rsidP="00A8138F">
      <w:pPr>
        <w:pStyle w:val="TextoNormal"/>
      </w:pPr>
      <w:r>
        <w:t>Le será de abono al preso para el cumplimiento de dicha condena el tiempo que haya estado privado de libertad por esta causa.</w:t>
      </w:r>
    </w:p>
    <w:p w14:paraId="0D587816" w14:textId="77777777" w:rsidR="00A8138F" w:rsidRDefault="00A8138F" w:rsidP="00A8138F">
      <w:pPr>
        <w:pStyle w:val="TextoNormal"/>
      </w:pPr>
    </w:p>
    <w:p w14:paraId="24241944" w14:textId="77777777" w:rsidR="00A8138F" w:rsidRDefault="00A8138F" w:rsidP="00A8138F">
      <w:pPr>
        <w:pStyle w:val="TextoNormal"/>
      </w:pPr>
      <w:r>
        <w:t>[…]</w:t>
      </w:r>
    </w:p>
    <w:p w14:paraId="09114878" w14:textId="77777777" w:rsidR="00A8138F" w:rsidRDefault="00A8138F" w:rsidP="00A8138F">
      <w:pPr>
        <w:pStyle w:val="TextoNormal"/>
      </w:pPr>
    </w:p>
    <w:p w14:paraId="53FD6508" w14:textId="77777777" w:rsidR="00A8138F" w:rsidRDefault="00A8138F" w:rsidP="00A8138F">
      <w:pPr>
        <w:pStyle w:val="TextoNormal"/>
      </w:pPr>
      <w:r>
        <w:t>Notifíquese esta sentencia a las partes haciéndoles saber que contra ella pueden interponer recurso de casación ante la Sala Segunda del Tribunal Supremo, preparándolo en esta Sala de lo Civil y Penal dentro de los cinco días siguientes al de la última notificación que se haga de la misma, incluida la del acusado en su persona”.</w:t>
      </w:r>
    </w:p>
    <w:p w14:paraId="65773B38" w14:textId="77777777" w:rsidR="00A8138F" w:rsidRDefault="00A8138F" w:rsidP="00A8138F">
      <w:pPr>
        <w:pStyle w:val="TextoNormal"/>
      </w:pPr>
    </w:p>
    <w:p w14:paraId="7F687E4F" w14:textId="77777777" w:rsidR="00A8138F" w:rsidRDefault="00A8138F" w:rsidP="00A8138F">
      <w:pPr>
        <w:pStyle w:val="TextoNormal"/>
      </w:pPr>
      <w:r>
        <w:t>c) Interpuesto recurso de casación por los acusados, la Sala de lo Penal del Tribunal Supremo dictó sentencia el 15 de septiembre de 2021 en el recurso de casación núm. 10243-2020, desestimando dichos recursos.</w:t>
      </w:r>
    </w:p>
    <w:p w14:paraId="5001FE95" w14:textId="77777777" w:rsidR="00A8138F" w:rsidRDefault="00A8138F" w:rsidP="00A8138F">
      <w:pPr>
        <w:pStyle w:val="TextoNormal"/>
      </w:pPr>
    </w:p>
    <w:p w14:paraId="106082F1" w14:textId="77777777" w:rsidR="00A8138F" w:rsidRDefault="00A8138F" w:rsidP="00A8138F">
      <w:pPr>
        <w:pStyle w:val="TextoNormal"/>
      </w:pPr>
      <w:r>
        <w:t>d) Tras este resultado, la Sección Segunda de la Audiencia Provincial de Ourense dictó auto el 26 de octubre de 2021 declarando la firmeza de la sentencia dictada en apelación y respecto a la suya propia, acordando en consecuencia abrir ejecutoria núm. 21-2020, con piezas individuales respecto de cada uno de los penados.</w:t>
      </w:r>
    </w:p>
    <w:p w14:paraId="531FEDC5" w14:textId="77777777" w:rsidR="00A8138F" w:rsidRDefault="00A8138F" w:rsidP="00A8138F">
      <w:pPr>
        <w:pStyle w:val="TextoNormal"/>
      </w:pPr>
    </w:p>
    <w:p w14:paraId="16BBDA8A" w14:textId="77777777" w:rsidR="00A8138F" w:rsidRDefault="00A8138F" w:rsidP="00A8138F">
      <w:pPr>
        <w:pStyle w:val="TextoNormal"/>
      </w:pPr>
      <w:r>
        <w:t>e) Por la representación procesal del aquí demandante de amparo se presentó escrito fechado el 18 de noviembre de 2022 por el que, con base en la entrada en vigor de la Ley Orgánica 10/2022, de 6 de septiembre, de garantía integral de la libertad sexual, que modificó el art. 180.1 del Código penal (CP), aplicado al recurrente (en su modalidad agravada del apartado quinto de ese precepto), se solicitó la revisión de la pena de prisión impuesta a aquel por el delito de agresión sexual, a fin de que la misma quedara fijada en once años.</w:t>
      </w:r>
    </w:p>
    <w:p w14:paraId="1AC431B7" w14:textId="77777777" w:rsidR="00A8138F" w:rsidRDefault="00A8138F" w:rsidP="00A8138F">
      <w:pPr>
        <w:pStyle w:val="TextoNormal"/>
      </w:pPr>
    </w:p>
    <w:p w14:paraId="096D37E8" w14:textId="77777777" w:rsidR="00A8138F" w:rsidRDefault="00A8138F" w:rsidP="00A8138F">
      <w:pPr>
        <w:pStyle w:val="TextoNormal"/>
      </w:pPr>
      <w:r>
        <w:t>f) En respuesta a lo pretendido, la Sección Segunda de la Audiencia Provincial de Ourense dictó auto el 13 de diciembre de 2022 en la mencionada ejecutoria pieza individual del condenado núm. 21-2020, rollo 21-2020; con la siguiente parte dispositiva:</w:t>
      </w:r>
    </w:p>
    <w:p w14:paraId="192DE57C" w14:textId="77777777" w:rsidR="00A8138F" w:rsidRDefault="00A8138F" w:rsidP="00A8138F">
      <w:pPr>
        <w:pStyle w:val="TextoNormal"/>
      </w:pPr>
    </w:p>
    <w:p w14:paraId="011C6ACF" w14:textId="77777777" w:rsidR="00A8138F" w:rsidRDefault="00A8138F" w:rsidP="00A8138F">
      <w:pPr>
        <w:pStyle w:val="TextoNormal"/>
      </w:pPr>
      <w:r>
        <w:t>“Se decreta no haber lugar a acceder a la revisión de pena interesada en la presente ejecutoria por la representación procesal del condenado Javier Gabarri Jiménez.</w:t>
      </w:r>
    </w:p>
    <w:p w14:paraId="64EA278A" w14:textId="77777777" w:rsidR="00A8138F" w:rsidRDefault="00A8138F" w:rsidP="00A8138F">
      <w:pPr>
        <w:pStyle w:val="TextoNormal"/>
      </w:pPr>
    </w:p>
    <w:p w14:paraId="47D95A87" w14:textId="77777777" w:rsidR="00A8138F" w:rsidRDefault="00A8138F" w:rsidP="00A8138F">
      <w:pPr>
        <w:pStyle w:val="TextoNormal"/>
      </w:pPr>
      <w:r>
        <w:t>Notifíquese esta sentencia a las partes, haciéndoles saber que contra la misma podrán interponer recurso de apelación ante esta Sala en el plazo de diez días, a contar desde su última notificación”.</w:t>
      </w:r>
    </w:p>
    <w:p w14:paraId="64C36F1A" w14:textId="77777777" w:rsidR="00A8138F" w:rsidRDefault="00A8138F" w:rsidP="00A8138F">
      <w:pPr>
        <w:pStyle w:val="TextoNormal"/>
      </w:pPr>
    </w:p>
    <w:p w14:paraId="53C106C4" w14:textId="77777777" w:rsidR="00A8138F" w:rsidRDefault="00A8138F" w:rsidP="00A8138F">
      <w:pPr>
        <w:pStyle w:val="TextoNormal"/>
      </w:pPr>
      <w:r>
        <w:t>g) La representación procesal del aquí demandante de amparo interpuso escrito firmado el 9 de enero de 2023, dirigido “[a] la Sección Segunda de la Audiencia Provincial para ante la Sala de lo Civil y Penal del Tribunal Superior de Justicia de Galicia”, por el que promovió recurso de apelación contra el citado auto de 13 de diciembre de 2022, suplicando que, con su revocación, se dictase una resolución accediendo a la rebaja de condena a once años de prisión por el delito antes indicado, “por ser la nueva redacción del Código penal, tras la reforma operada por la Ley Orgánica 10/2022, de 6 de septiembre, de garantía integral de la libertad sexual, más favorable para el condenado”.</w:t>
      </w:r>
    </w:p>
    <w:p w14:paraId="7F85B83F" w14:textId="77777777" w:rsidR="00A8138F" w:rsidRDefault="00A8138F" w:rsidP="00A8138F">
      <w:pPr>
        <w:pStyle w:val="TextoNormal"/>
      </w:pPr>
    </w:p>
    <w:p w14:paraId="55D1AC94" w14:textId="77777777" w:rsidR="00A8138F" w:rsidRDefault="00A8138F" w:rsidP="00A8138F">
      <w:pPr>
        <w:pStyle w:val="TextoNormal"/>
      </w:pPr>
      <w:r>
        <w:t>h) El 14 de abril de 2023, la Sala de lo Civil y Penal del Tribunal Superior de Justicia de Galicia con sede en A Coruña dictó auto en el rollo de apelación núm. 21-2023, proveyendo a lo solicitado.</w:t>
      </w:r>
    </w:p>
    <w:p w14:paraId="2D948B30" w14:textId="77777777" w:rsidR="00A8138F" w:rsidRDefault="00A8138F" w:rsidP="00A8138F">
      <w:pPr>
        <w:pStyle w:val="TextoNormal"/>
      </w:pPr>
    </w:p>
    <w:p w14:paraId="0FC98AF1" w14:textId="77777777" w:rsidR="00A8138F" w:rsidRDefault="00A8138F" w:rsidP="00A8138F">
      <w:pPr>
        <w:pStyle w:val="TextoNormal"/>
      </w:pPr>
      <w:r>
        <w:t>(i) La parte dispositiva del auto fue la siguiente:</w:t>
      </w:r>
    </w:p>
    <w:p w14:paraId="5F73B649" w14:textId="77777777" w:rsidR="00A8138F" w:rsidRDefault="00A8138F" w:rsidP="00A8138F">
      <w:pPr>
        <w:pStyle w:val="TextoNormal"/>
      </w:pPr>
    </w:p>
    <w:p w14:paraId="64E496D5" w14:textId="77777777" w:rsidR="00A8138F" w:rsidRDefault="00A8138F" w:rsidP="00A8138F">
      <w:pPr>
        <w:pStyle w:val="TextoNormal"/>
      </w:pPr>
      <w:r>
        <w:t>“La Sala acuerda: inadmitir el recurso de apelación interpuesto por la procuradora doña Paula Cadaveira González, actuando en nombre y representación de Javier Gabarri Jiménez contra el auto de fecha 13 de diciembre de 2022 dictado por la Sección Segunda de la Audiencia Provincial de Ourense en el rollo 21-2020, pieza individual del condenado 21-2020.</w:t>
      </w:r>
    </w:p>
    <w:p w14:paraId="080D1C22" w14:textId="77777777" w:rsidR="00A8138F" w:rsidRDefault="00A8138F" w:rsidP="00A8138F">
      <w:pPr>
        <w:pStyle w:val="TextoNormal"/>
      </w:pPr>
    </w:p>
    <w:p w14:paraId="7AEFB856" w14:textId="77777777" w:rsidR="00A8138F" w:rsidRDefault="00A8138F" w:rsidP="00A8138F">
      <w:pPr>
        <w:pStyle w:val="TextoNormal"/>
      </w:pPr>
      <w:r>
        <w:t>Contra este auto cabe recurso de súplica.</w:t>
      </w:r>
    </w:p>
    <w:p w14:paraId="13EADA4D" w14:textId="77777777" w:rsidR="00A8138F" w:rsidRDefault="00A8138F" w:rsidP="00A8138F">
      <w:pPr>
        <w:pStyle w:val="TextoNormal"/>
      </w:pPr>
    </w:p>
    <w:p w14:paraId="3BCF583B" w14:textId="77777777" w:rsidR="00A8138F" w:rsidRDefault="00A8138F" w:rsidP="00A8138F">
      <w:pPr>
        <w:pStyle w:val="TextoNormal"/>
      </w:pPr>
      <w:r>
        <w:t>Notifíquese a las partes y póngase en conocimiento de la mencionada Audiencia”.</w:t>
      </w:r>
    </w:p>
    <w:p w14:paraId="5998AFE8" w14:textId="77777777" w:rsidR="00A8138F" w:rsidRDefault="00A8138F" w:rsidP="00A8138F">
      <w:pPr>
        <w:pStyle w:val="TextoNormal"/>
      </w:pPr>
    </w:p>
    <w:p w14:paraId="359CCA83" w14:textId="77777777" w:rsidR="00A8138F" w:rsidRDefault="00A8138F" w:rsidP="00A8138F">
      <w:pPr>
        <w:pStyle w:val="TextoNormal"/>
      </w:pPr>
      <w:r>
        <w:t>(ii) Los razonamientos jurídicos que condujeron a la Sala a esta decisión fueron los siguientes:</w:t>
      </w:r>
    </w:p>
    <w:p w14:paraId="58150EDF" w14:textId="77777777" w:rsidR="00A8138F" w:rsidRDefault="00A8138F" w:rsidP="00A8138F">
      <w:pPr>
        <w:pStyle w:val="TextoNormal"/>
      </w:pPr>
    </w:p>
    <w:p w14:paraId="6C73D1A4" w14:textId="77777777" w:rsidR="00A8138F" w:rsidRDefault="00A8138F" w:rsidP="00A8138F">
      <w:pPr>
        <w:pStyle w:val="TextoNormal"/>
      </w:pPr>
      <w:r>
        <w:t>“Primero.- A partir de la Ley Orgánica 10/1995, de 23 de noviembre, del Código penal, el legislador estatal, que en tantas ocasiones lo reformó al igual que en no menor medida reformó la Ley de enjuiciamiento criminal, singularmente mediante la Ley 41/2015, de 5 de octubre, rehusó sin embargo establecer un régimen de impugnabilidad de los autos de revisión —o de no revisión— de una sentencia firme como consecuencia de la entrada en vigor de una legislación más favorable.</w:t>
      </w:r>
    </w:p>
    <w:p w14:paraId="1F7E2856" w14:textId="77777777" w:rsidR="00A8138F" w:rsidRDefault="00A8138F" w:rsidP="00A8138F">
      <w:pPr>
        <w:pStyle w:val="TextoNormal"/>
      </w:pPr>
    </w:p>
    <w:p w14:paraId="5EE42776" w14:textId="77777777" w:rsidR="00A8138F" w:rsidRDefault="00A8138F" w:rsidP="00A8138F">
      <w:pPr>
        <w:pStyle w:val="TextoNormal"/>
      </w:pPr>
      <w:r>
        <w:t>Es indudable que bien pudo haber establecido tal régimen de recurribilidad, pero el caso es que lo obvió. Y no sería ello debido a la carencia de precedentes: el párrafo tercero de la disposición transitoria de la Ley Orgánica 8/1983, de 25 de junio, de reforma urgente y parcial del Código penal, predicó la susceptibilidad de los autos dictados por un juzgado o por una audiencia resolviendo sobre la revisión para ser recurridos respectivamente en apelación o en casación. No habremos de insistir en que en la Ley Orgánica 10/2022, de 6 de septiembre, de garantía integral de la libertad sexual, tampoco se encuentra rastro de la —en concreto— apelabilidad de los susodichos autos de revisión o de no revisión de una audiencia ante las Salas de lo Civil y Penal de los Tribunales Superiores de Justicia.</w:t>
      </w:r>
    </w:p>
    <w:p w14:paraId="09D5877D" w14:textId="77777777" w:rsidR="00A8138F" w:rsidRDefault="00A8138F" w:rsidP="00A8138F">
      <w:pPr>
        <w:pStyle w:val="TextoNormal"/>
      </w:pPr>
    </w:p>
    <w:p w14:paraId="15E9D087" w14:textId="77777777" w:rsidR="00A8138F" w:rsidRDefault="00A8138F" w:rsidP="00A8138F">
      <w:pPr>
        <w:pStyle w:val="TextoNormal"/>
      </w:pPr>
      <w:r>
        <w:t xml:space="preserve">Podrá estimarse que el régimen establecido en la precitada Ley Orgánica 8/1983 resulta más lógico y coherente que el actualmente vigente en el que en rigor los autos de una audiencia recaídos en torno a la revisión o no revisión (e incluso aquellos en que se acuerda no abrir ese incidente por considerarlo improcedente), son únicamente susceptibles de recurso de súplica </w:t>
      </w:r>
      <w:r w:rsidRPr="00A8138F">
        <w:rPr>
          <w:i/>
        </w:rPr>
        <w:t>ex</w:t>
      </w:r>
      <w:r>
        <w:t xml:space="preserve"> artículo 236 LECrim si se trata —como en el caso— de la decisión de una audiencia. Más coherente y lógico en principio, pero no tanto a la postre si reparamos en que en particular el auto que modifica una sentencia firme mal que bien puede entenderse que la complementa por cuanto complementar una resolución es incompatible con modificar o rectificar ‘lo que hubiere acordado’ (argument</w:t>
      </w:r>
      <w:r w:rsidRPr="00A8138F">
        <w:rPr>
          <w:i/>
        </w:rPr>
        <w:t xml:space="preserve">o </w:t>
      </w:r>
      <w:r>
        <w:t>ex artículo 215.3 LEC, invocabl</w:t>
      </w:r>
      <w:r w:rsidRPr="00A8138F">
        <w:rPr>
          <w:i/>
        </w:rPr>
        <w:t xml:space="preserve">e </w:t>
      </w:r>
      <w:r>
        <w:t>ex artículo 4 LEC).</w:t>
      </w:r>
    </w:p>
    <w:p w14:paraId="5DB1D8ED" w14:textId="77777777" w:rsidR="00A8138F" w:rsidRDefault="00A8138F" w:rsidP="00A8138F">
      <w:pPr>
        <w:pStyle w:val="TextoNormal"/>
      </w:pPr>
    </w:p>
    <w:p w14:paraId="0CF9148D" w14:textId="77777777" w:rsidR="00A8138F" w:rsidRDefault="00A8138F" w:rsidP="00A8138F">
      <w:pPr>
        <w:pStyle w:val="TextoNormal"/>
      </w:pPr>
      <w:r>
        <w:t>Segundo.- Sea como fuere, lo cierto e indudable es que la realidad normativa vigente excluye cualquier recurso devolutivo contra los autos en cuestión o, si se prefiere, el legislador, pudiéndolo haber previsto, no lo previó.</w:t>
      </w:r>
    </w:p>
    <w:p w14:paraId="7D7D42D5" w14:textId="77777777" w:rsidR="00A8138F" w:rsidRDefault="00A8138F" w:rsidP="00A8138F">
      <w:pPr>
        <w:pStyle w:val="TextoNormal"/>
      </w:pPr>
    </w:p>
    <w:p w14:paraId="0F7C1F79" w14:textId="77777777" w:rsidR="00A8138F" w:rsidRDefault="00A8138F" w:rsidP="00A8138F">
      <w:pPr>
        <w:pStyle w:val="TextoNormal"/>
      </w:pPr>
      <w:r>
        <w:t xml:space="preserve">En este sentido, ignoramos cuál es la cobertura, no siendo la existente propiamente legal, a la que se acoge el apelado auto revisor de condena dictado por la Audiencia para haber indicado a las partes que contra el mismo se podía interponer recurso de apelación sujeto al conocimiento de esta Sala de lo Civil y Penal. Podemos dar por supuesto que esa cobertura es implícitamente jurisprudencial del mismo modo que lo es, de manera expresa, para el Ministerio Fiscal en algún informe emitido previamente acerca de nuestra competencia para conocer del recurso de apelación interpuesto; informe en el que, al margen de la mera cita del artículo 846 </w:t>
      </w:r>
      <w:r w:rsidRPr="00A8138F">
        <w:rPr>
          <w:i/>
        </w:rPr>
        <w:t>ter</w:t>
      </w:r>
      <w:r>
        <w:t xml:space="preserve"> LECrim, se sostiene dicha competencia sobre la base de un ‘criterio jurisprudencial consolidado’ por la Sala Segunda del Tribunal Supremo y muy en especial sobre la base de una de las directrices (la 9 del apartado tercero) del Decreto de la Fiscalía General del Estado de 21 de noviembre de 2022; directriz reducida a invocar y transcribir parte de la STS 606/2018, de 28 de noviembre, a los efectos de asegurar que ‘contra las resoluciones resolviendo la revisión de las sentencias condenatorias firmes podrán interponerse los mismos recursos que, en su caso, cabrían contra la sentencia condenatoria’.</w:t>
      </w:r>
    </w:p>
    <w:p w14:paraId="781A8B67" w14:textId="77777777" w:rsidR="00A8138F" w:rsidRDefault="00A8138F" w:rsidP="00A8138F">
      <w:pPr>
        <w:pStyle w:val="TextoNormal"/>
      </w:pPr>
    </w:p>
    <w:p w14:paraId="74641235" w14:textId="77777777" w:rsidR="00A8138F" w:rsidRDefault="00A8138F" w:rsidP="00A8138F">
      <w:pPr>
        <w:pStyle w:val="TextoNormal"/>
      </w:pPr>
      <w:r>
        <w:t>El respeto que, como es natural y obligado, nos merece semejante criterio, no nos ha de conducir a asumirlo so pena, en caso contrario, de vincularnos a la viabilidad jurisprudencial, pero no legal, de un recurso de apelación, máxime cuando la Sala Segunda, en la precitada sentencia de referencia, reconoce, en primer lugar, que el legislador (a partir de 1995) no ha ‘aclarado’ el régimen de impugnabilidad de los autos de revisión o no revisión que nos ocupan; en segundo lugar, que ‘la proyección del régimen general de la ley procesal penal arrastraría a un escenario en que solo sería factible un recurso de súplica si se trata —como es el caso— de una audiencia’; y, en tercer lugar, que la tesis del propio Tribunal Supremo en orden a la apelabilidad de esas resoluciones de una audiencia ante el Tribunal Superior de Justicia, antes de la ulterior casación, carece de ‘explícito soporte legal’.</w:t>
      </w:r>
    </w:p>
    <w:p w14:paraId="3FF74244" w14:textId="77777777" w:rsidR="00A8138F" w:rsidRDefault="00A8138F" w:rsidP="00A8138F">
      <w:pPr>
        <w:pStyle w:val="TextoNormal"/>
      </w:pPr>
    </w:p>
    <w:p w14:paraId="763020A3" w14:textId="77777777" w:rsidR="00A8138F" w:rsidRDefault="00A8138F" w:rsidP="00A8138F">
      <w:pPr>
        <w:pStyle w:val="TextoNormal"/>
      </w:pPr>
      <w:r>
        <w:t xml:space="preserve">Carece, entendemos, de soporte legal, y para percatarse de ello no hay más que atender al competencialmente determinante artículo 846.1 </w:t>
      </w:r>
      <w:r w:rsidRPr="00A8138F">
        <w:rPr>
          <w:i/>
        </w:rPr>
        <w:t>ter</w:t>
      </w:r>
      <w:r>
        <w:t xml:space="preserve"> LECrim y a confrontarlo, </w:t>
      </w:r>
      <w:r w:rsidRPr="00A8138F">
        <w:rPr>
          <w:i/>
        </w:rPr>
        <w:t>v.gr</w:t>
      </w:r>
      <w:r>
        <w:t xml:space="preserve">., con el artículo 999 LECrim. En definitiva, habrá que convenir que la indicada apelabilidad, jurisprudencialmente reconocida, pugna a su vez con la previsión legal </w:t>
      </w:r>
      <w:r w:rsidRPr="00A8138F">
        <w:rPr>
          <w:i/>
        </w:rPr>
        <w:t>ex</w:t>
      </w:r>
      <w:r>
        <w:t xml:space="preserve"> artículo 236 LECrim tocante a que el recurso de apelación contra los autos de los tribunales de lo criminal podrá interponerse ‘únicamente en aquellos casos expresamente previstos en la ley’”.</w:t>
      </w:r>
    </w:p>
    <w:p w14:paraId="353082F4" w14:textId="77777777" w:rsidR="00A8138F" w:rsidRDefault="00A8138F" w:rsidP="00A8138F">
      <w:pPr>
        <w:pStyle w:val="TextoNormal"/>
      </w:pPr>
    </w:p>
    <w:p w14:paraId="4E3724AD" w14:textId="77777777" w:rsidR="00A8138F" w:rsidRDefault="00A8138F" w:rsidP="00A8138F">
      <w:pPr>
        <w:pStyle w:val="TextoNormal"/>
      </w:pPr>
      <w:r>
        <w:t>i) Notificado el antedicho auto, por la representación procesal del aquí demandante de amparo se formalizó contra él recurso de súplica, mediante escrito firmado el 2 de mayo de 2023, interesando que se dejara sin efecto la resolución impugnada, dictando la Sala en su lugar otra “por la que se entre a conocer del recurso de apelación” interpuesto contra el ya indicado auto de 13 de diciembre de 2022 de la Sección Segunda de la Audiencia Provincial de Ourense.</w:t>
      </w:r>
    </w:p>
    <w:p w14:paraId="3335D27C" w14:textId="77777777" w:rsidR="00A8138F" w:rsidRDefault="00A8138F" w:rsidP="00A8138F">
      <w:pPr>
        <w:pStyle w:val="TextoNormal"/>
      </w:pPr>
    </w:p>
    <w:p w14:paraId="688CDCC3" w14:textId="77777777" w:rsidR="00A8138F" w:rsidRDefault="00A8138F" w:rsidP="00A8138F">
      <w:pPr>
        <w:pStyle w:val="TextoNormal"/>
      </w:pPr>
      <w:r>
        <w:t>Con argumentos similares a los que después recoge la demanda de amparo —a cuyo resumen en el antecedente 3 de esta sentencia nos remitimos, a fin de evitar repeticiones—, en el recurso de súplica se alega la conculcación por el auto impugnado de cuatro derechos fundamentales del recurrente: (i) “el derecho fundamental de mi representado a la tutela judicial efectiva (art. 24.1 CE), en su vertiente de derecho a acceder a los recursos legalmente procedentes, generándole patente indefensión material a esta parte (al impedirle que las alegaciones efectuadas en su recurso de apelación sean valoradas jurídicamente por el órgano competente para ello)”; (ii) “el derecho fundamental del señor Gabarri Jiménez a la libertad (art. 17.1 de la Constitución Española; art. 5 del Convenio europeo para la protección de los derechos humanos y de las libertades fundamentales, Roma, 4 de noviembre de 1950; y art. 9.1 del Pacto internacional de derechos civiles y políticos, Nueva York, 19 de diciembre de 1966), en tanto en cuanto la denegación de revisión sometida a apelación afecta a un pronunciamiento condenatorio de pena de prisión que, por su extensión, conlleva la efectiva privación de libertad de mi principal y su reclusión en un centro penitenciario (y si bien la revisión propugnada por esta parte no supondría dejar sin efecto dicho pronunciamiento en su totalidad, sí afectaría a la duración o extensión de la pena privativa de libertad y, por consiguiente, con transcendencia práctica sobre tal derecho constitucional)”; así como (iii) “el constitucional derecho de mi principal a la igualdad ante la ley que proclama el art. 14.1 CE”; y (iv) el “art. 2 del Protocolo núm. 7 (Estrasburgo, 22 de noviembre de 1984) al Convenio para la protección de los derechos humanos y de las libertades fundamentales (Roma, 4 de noviembre de 1950) (Protocolo que entró en vigor en España el 1 de diciembre de 2009) y que establece el derecho a un doble grado de jurisdicción en materia penal. Y contraviene igualmente el art. 14.5 del Pacto internacional de derechos civiles y políticos, que proclama el derecho de toda persona declarada culpable de un delito ‘a que el fallo condenatorio y la pena que se le haya impuesto sean sometidos a un tribunal superior, conforme a lo prescrito por la ley’”.</w:t>
      </w:r>
    </w:p>
    <w:p w14:paraId="7586F82F" w14:textId="77777777" w:rsidR="00A8138F" w:rsidRDefault="00A8138F" w:rsidP="00A8138F">
      <w:pPr>
        <w:pStyle w:val="TextoNormal"/>
      </w:pPr>
    </w:p>
    <w:p w14:paraId="7EC2B90C" w14:textId="77777777" w:rsidR="00A8138F" w:rsidRDefault="00A8138F" w:rsidP="00A8138F">
      <w:pPr>
        <w:pStyle w:val="TextoNormal"/>
      </w:pPr>
      <w:r>
        <w:t>Y añade: “Vinculado a lo anterior, se produce igualmente la infracción del derecho fundamental de mi representado a un proceso con todas las garantías (art. 24.2 CE), entre las que se encuentra el ya citado doble grado de jurisdicción en materia penal”.</w:t>
      </w:r>
    </w:p>
    <w:p w14:paraId="724882CC" w14:textId="77777777" w:rsidR="00A8138F" w:rsidRDefault="00A8138F" w:rsidP="00A8138F">
      <w:pPr>
        <w:pStyle w:val="TextoNormal"/>
      </w:pPr>
    </w:p>
    <w:p w14:paraId="2E668434" w14:textId="77777777" w:rsidR="00A8138F" w:rsidRDefault="00A8138F" w:rsidP="00A8138F">
      <w:pPr>
        <w:pStyle w:val="TextoNormal"/>
      </w:pPr>
      <w:r>
        <w:t>j) La Sala competente del Tribunal Superior de Justicia de Galicia, por medio de auto de 24 de mayo de 2023 desestimó el recurso de súplica del aquí demandante de amparo y también el promovido por el Ministerio Fiscal, ambos solicitando la admisión del recurso inadmitido, resultando de este modo confirmado en su integridad el auto de 14 de abril de 2023.</w:t>
      </w:r>
    </w:p>
    <w:p w14:paraId="18E9F287" w14:textId="77777777" w:rsidR="00A8138F" w:rsidRDefault="00A8138F" w:rsidP="00A8138F">
      <w:pPr>
        <w:pStyle w:val="TextoNormal"/>
      </w:pPr>
    </w:p>
    <w:p w14:paraId="7F8B16BC" w14:textId="77777777" w:rsidR="00A8138F" w:rsidRDefault="00A8138F" w:rsidP="00A8138F">
      <w:pPr>
        <w:pStyle w:val="TextoNormal"/>
      </w:pPr>
      <w:r>
        <w:t>La Sala, dando contestación a los distintos motivos de vulneración de derechos fundamentales, basó su decisión en los siguientes fundamentos de Derecho:</w:t>
      </w:r>
    </w:p>
    <w:p w14:paraId="511838CE" w14:textId="77777777" w:rsidR="00A8138F" w:rsidRDefault="00A8138F" w:rsidP="00A8138F">
      <w:pPr>
        <w:pStyle w:val="TextoNormal"/>
      </w:pPr>
    </w:p>
    <w:p w14:paraId="51D1479F" w14:textId="77777777" w:rsidR="00A8138F" w:rsidRDefault="00A8138F" w:rsidP="00A8138F">
      <w:pPr>
        <w:pStyle w:val="TextoNormal"/>
      </w:pPr>
      <w:r>
        <w:t>“Primero.- El Ministerio Fiscal recurrente se basa únicamente en la Circular 1/2023 de la Fiscalía General del Estado a su vez acorde con la STS 606/2018, de 28 de noviembre, para motivar su desacuerdo con lo resuelto por esta Sala.</w:t>
      </w:r>
    </w:p>
    <w:p w14:paraId="2483D3B8" w14:textId="77777777" w:rsidR="00A8138F" w:rsidRDefault="00A8138F" w:rsidP="00A8138F">
      <w:pPr>
        <w:pStyle w:val="TextoNormal"/>
      </w:pPr>
    </w:p>
    <w:p w14:paraId="0FD24DFB" w14:textId="77777777" w:rsidR="00A8138F" w:rsidRDefault="00A8138F" w:rsidP="00A8138F">
      <w:pPr>
        <w:pStyle w:val="TextoNormal"/>
      </w:pPr>
      <w:r>
        <w:t>Sin embargo, en la resolución combatida ya se hace específica mención tanto de la circular como de la sentencia y se razona por qué no son admisibles sus conclusiones, sin que sea preciso extenderse mucho más ante la ausencia de otros argumentos que no resulten ya conocidos por la Sala.</w:t>
      </w:r>
    </w:p>
    <w:p w14:paraId="19CE2155" w14:textId="77777777" w:rsidR="00A8138F" w:rsidRDefault="00A8138F" w:rsidP="00A8138F">
      <w:pPr>
        <w:pStyle w:val="TextoNormal"/>
      </w:pPr>
    </w:p>
    <w:p w14:paraId="3AF895FE" w14:textId="77777777" w:rsidR="00A8138F" w:rsidRDefault="00A8138F" w:rsidP="00A8138F">
      <w:pPr>
        <w:pStyle w:val="TextoNormal"/>
      </w:pPr>
      <w:r>
        <w:t>Segundo.- En cuanto al otro recurso, se nos dice por la representación letrada del recurrente que nuestra resolución vulnera el derecho fundamental de su representado a la tutela judicial efectiva (art. 24.1 CE), en su vertiente de derecho a acceder a los recursos legalmente procedentes, generándole patente indefensión material a esa parte (al impedirle que las alegaciones efectuadas en su recurso de apelación sean valoradas jurídicamente por el órgano competente para ello).</w:t>
      </w:r>
    </w:p>
    <w:p w14:paraId="06F9260D" w14:textId="77777777" w:rsidR="00A8138F" w:rsidRDefault="00A8138F" w:rsidP="00A8138F">
      <w:pPr>
        <w:pStyle w:val="TextoNormal"/>
      </w:pPr>
    </w:p>
    <w:p w14:paraId="02B092EC" w14:textId="77777777" w:rsidR="00A8138F" w:rsidRDefault="00A8138F" w:rsidP="00A8138F">
      <w:pPr>
        <w:pStyle w:val="TextoNormal"/>
      </w:pPr>
      <w:r>
        <w:t>Sobre esto diremos que, en efecto, nuestra resolución vulneraría el derecho fundamental de su representado a la tutela judicial efectiva (art. 24.1 CE), en su vertiente de derecho a acceder a los recursos legalmente procedentes si le hubiésemos denegado un recurso al que tuviera derecho, pero no hay tal vulneración en la medida en que se le ha impedido el acceso a un recurso legalmente improcedente.</w:t>
      </w:r>
    </w:p>
    <w:p w14:paraId="05A8AAD8" w14:textId="77777777" w:rsidR="00A8138F" w:rsidRDefault="00A8138F" w:rsidP="00A8138F">
      <w:pPr>
        <w:pStyle w:val="TextoNormal"/>
      </w:pPr>
    </w:p>
    <w:p w14:paraId="4FB6BA98" w14:textId="77777777" w:rsidR="00A8138F" w:rsidRDefault="00A8138F" w:rsidP="00A8138F">
      <w:pPr>
        <w:pStyle w:val="TextoNormal"/>
      </w:pPr>
      <w:r>
        <w:t>Tercero.- También se dice que habría vulnerado la Sala el derecho fundamental del señor Gabarri Jiménez a la libertad en tanto en cuanto la denegación de revisión sometida a apelación afecta a un pronunciamiento condenatorio de pena de prisión que, por su extensión, conlleva la efectiva privación de libertad de su principal y su reclusión en un centro penitenciario.</w:t>
      </w:r>
    </w:p>
    <w:p w14:paraId="036EA69C" w14:textId="77777777" w:rsidR="00A8138F" w:rsidRDefault="00A8138F" w:rsidP="00A8138F">
      <w:pPr>
        <w:pStyle w:val="TextoNormal"/>
      </w:pPr>
    </w:p>
    <w:p w14:paraId="31FBCD9E" w14:textId="77777777" w:rsidR="00A8138F" w:rsidRDefault="00A8138F" w:rsidP="00A8138F">
      <w:pPr>
        <w:pStyle w:val="TextoNormal"/>
      </w:pPr>
      <w:r>
        <w:t>Vuelve a errar el recurrente, pues su libertad ha quedado restringida con la condena por delito contra la libertad sexual que lleva aparejado penas de prisión ya revisadas por la Audiencia y que este tribunal de apelación no puede revisar por no existir un recurso que se lo permita.</w:t>
      </w:r>
    </w:p>
    <w:p w14:paraId="7A442368" w14:textId="77777777" w:rsidR="00A8138F" w:rsidRDefault="00A8138F" w:rsidP="00A8138F">
      <w:pPr>
        <w:pStyle w:val="TextoNormal"/>
      </w:pPr>
    </w:p>
    <w:p w14:paraId="0860B5C2" w14:textId="77777777" w:rsidR="00A8138F" w:rsidRDefault="00A8138F" w:rsidP="00A8138F">
      <w:pPr>
        <w:pStyle w:val="TextoNormal"/>
      </w:pPr>
      <w:r>
        <w:t>Cuarto.- Se alega, asimismo, infracción del derecho fundamental de su representado a un proceso con todas las garantías (art. 24.2 CE), entre las que se encuentra el doble grado de jurisdicción en materia penal.</w:t>
      </w:r>
    </w:p>
    <w:p w14:paraId="315ECDFC" w14:textId="77777777" w:rsidR="00A8138F" w:rsidRDefault="00A8138F" w:rsidP="00A8138F">
      <w:pPr>
        <w:pStyle w:val="TextoNormal"/>
      </w:pPr>
    </w:p>
    <w:p w14:paraId="542A476D" w14:textId="77777777" w:rsidR="00A8138F" w:rsidRDefault="00A8138F" w:rsidP="00A8138F">
      <w:pPr>
        <w:pStyle w:val="TextoNormal"/>
      </w:pPr>
      <w:r>
        <w:t>Parece olvidar que se ha colmado exhaustivamente el derecho a la doble instancia en un proceso que permite que una sentencia dictada por una audiencia provincial sea recurrible en apelación ante el Tribunal Superior de Justicia y la de este en casación ante el Tribunal Supremo. No cualquier resolución dentro del proceso es susceptible de un doble grado como claramente resulta —y ya lo expusimos abundantemente en el auto que ahora se combate— de los términos de la Ley de enjuiciamiento criminal.</w:t>
      </w:r>
    </w:p>
    <w:p w14:paraId="118A471E" w14:textId="77777777" w:rsidR="00A8138F" w:rsidRDefault="00A8138F" w:rsidP="00A8138F">
      <w:pPr>
        <w:pStyle w:val="TextoNormal"/>
      </w:pPr>
    </w:p>
    <w:p w14:paraId="70FBA188" w14:textId="77777777" w:rsidR="00A8138F" w:rsidRDefault="00A8138F" w:rsidP="00A8138F">
      <w:pPr>
        <w:pStyle w:val="TextoNormal"/>
      </w:pPr>
      <w:r>
        <w:t xml:space="preserve">Quinto.- Tampoco podemos admitir la existencia de esa quimérica resolución mezcla de sentencia y de auto que parece propugnar el apelante y que no tiene reflejo legal alguno (‘la sentencia ya no será la que era originariamente, sino que devendrá en el resultado de aplicar sobre la misma el sentido de la revisión que se opere tras la aplicación de la norma más favorable. No podrá, pues, hablarse de una sentencia y de un ulterior auto que la revisa, sino que estaremos ante una nueva realidad jurídica que responderá al todo indivisible conformado por la sentencia originaria y tal auto revisorio, de modo igual, o cuando menos análogo, a una sentencia aclarada, rectificada o complementada’), pero que a su juicio tendría las mismas posibilidades de impugnación que la prístina sentencia; en el caso, desoyendo el art. 236 de la LECrim y acogiendo con los brazos abiertos el 846 </w:t>
      </w:r>
      <w:r w:rsidRPr="00A8138F">
        <w:rPr>
          <w:i/>
        </w:rPr>
        <w:t>ter</w:t>
      </w:r>
      <w:r>
        <w:t xml:space="preserve"> que, aunque habla de sentencias, y lo recurrido fue un auto, no parece importar al recurrente porque todo es lo mismo en su peculiar interpretación jurídica.</w:t>
      </w:r>
    </w:p>
    <w:p w14:paraId="030DAFF6" w14:textId="77777777" w:rsidR="00A8138F" w:rsidRDefault="00A8138F" w:rsidP="00A8138F">
      <w:pPr>
        <w:pStyle w:val="TextoNormal"/>
      </w:pPr>
    </w:p>
    <w:p w14:paraId="666D4116" w14:textId="77777777" w:rsidR="00A8138F" w:rsidRDefault="00A8138F" w:rsidP="00A8138F">
      <w:pPr>
        <w:pStyle w:val="TextoNormal"/>
      </w:pPr>
      <w:r>
        <w:t>Arguye además una serie de razones acerca de lo que es lógico o ilógico, coherente o incoherente basadas más en el deseo que en la realidad. Lo que es indudable es que nuestra resolución de fecha 14 de abril de 2023 explica pormenorizadamente los motivos por los que entendemos que no cabe un recurso no previsto legalmente por mucho que pudiera ser razonable que la ley sí lo previera. De hecho, cuando el legislador quiere reformar una ley (sustantiva o adjetiva) lo hace con la amplitud deseada, y la incesante actividad legislativa de nuestro Parlamento en la última época da buena muestra de ello. Si hubiera querido modificar el régimen de recursos existente frente a las resoluciones de las audiencias bastaba con haberlo hecho, máxime cuando se reformó el Código penal y era evidente que se iban a producir unas revisiones de condena que beneficiarían a una de las partes y perjudicarían a otra.</w:t>
      </w:r>
    </w:p>
    <w:p w14:paraId="6A4FEB69" w14:textId="77777777" w:rsidR="00A8138F" w:rsidRDefault="00A8138F" w:rsidP="00A8138F">
      <w:pPr>
        <w:pStyle w:val="TextoNormal"/>
      </w:pPr>
    </w:p>
    <w:p w14:paraId="6648C8CD" w14:textId="77777777" w:rsidR="00A8138F" w:rsidRDefault="00A8138F" w:rsidP="00A8138F">
      <w:pPr>
        <w:pStyle w:val="TextoNormal"/>
      </w:pPr>
      <w:r>
        <w:t>Pero hay que distinguir entre lo que debe ser (siempre a juicio de cada intérprete) y lo que realmente es. Si consultamos la Ley de enjuiciamiento criminal, veremos que ningún recurso cabe, al no estar previsto, contra esos autos de revisión de condena de las audiencias provinciales y solo un grosero retorcimiento de la ley permite concluir de otra manera.</w:t>
      </w:r>
    </w:p>
    <w:p w14:paraId="361DC3F4" w14:textId="77777777" w:rsidR="00A8138F" w:rsidRDefault="00A8138F" w:rsidP="00A8138F">
      <w:pPr>
        <w:pStyle w:val="TextoNormal"/>
      </w:pPr>
    </w:p>
    <w:p w14:paraId="0620F40A" w14:textId="77777777" w:rsidR="00A8138F" w:rsidRDefault="00A8138F" w:rsidP="00A8138F">
      <w:pPr>
        <w:pStyle w:val="TextoNormal"/>
      </w:pPr>
      <w:r>
        <w:t xml:space="preserve">Y la STS 606/2018, de 28 de noviembre de 2018, que también esgrime el recurrente ya ha sido objeto de examen en el auto combatido para rechazarla porque realmente no se está pronunciando en ningún momento acerca de por qué cabría semejante recurso, o, por lo menos, no lo refiere a la ley procesal por más que hable de ‘lógica apabullante’, de ‘no generar asimetrías’, de ‘coherencia’ y de otros </w:t>
      </w:r>
      <w:r w:rsidRPr="00A8138F">
        <w:rPr>
          <w:i/>
        </w:rPr>
        <w:t>desiderata</w:t>
      </w:r>
      <w:r>
        <w:t>, pero ni una sola palabra de la falta de asiento legal en que basar esa voluntariosa analogía.</w:t>
      </w:r>
    </w:p>
    <w:p w14:paraId="39706E9F" w14:textId="77777777" w:rsidR="00A8138F" w:rsidRDefault="00A8138F" w:rsidP="00A8138F">
      <w:pPr>
        <w:pStyle w:val="TextoNormal"/>
      </w:pPr>
    </w:p>
    <w:p w14:paraId="0E078D8B" w14:textId="77777777" w:rsidR="00A8138F" w:rsidRDefault="00A8138F" w:rsidP="00A8138F">
      <w:pPr>
        <w:pStyle w:val="TextoNormal"/>
      </w:pPr>
      <w:r>
        <w:t>Sexto.- En cuanto a la invocación de lo que al respecto hayan hecho otros tribunales superiores de justicia, la parte supone que como siguen un criterio diferente a este en la admisibilidad de los recursos de apelación citados, el de Galicia habrá de obrar conforme a esos otros. Cabe entonces preguntarse por qué motivo esos otros tribunales no habrían de seguir al nuestro.</w:t>
      </w:r>
    </w:p>
    <w:p w14:paraId="3B653723" w14:textId="77777777" w:rsidR="00A8138F" w:rsidRDefault="00A8138F" w:rsidP="00A8138F">
      <w:pPr>
        <w:pStyle w:val="TextoNormal"/>
      </w:pPr>
    </w:p>
    <w:p w14:paraId="0BC0AE93" w14:textId="77777777" w:rsidR="00A8138F" w:rsidRDefault="00A8138F" w:rsidP="00A8138F">
      <w:pPr>
        <w:pStyle w:val="TextoNormal"/>
      </w:pPr>
      <w:r>
        <w:t>Séptimo.- La pretendida vulneración, asimismo, del derecho a obtener una decisión judicial debidamente razonada y fundada en Derecho roza lo surrealista a poco que se profundice en el contenido del auto que se combate, más que razonado y que explica perfectamente los motivos de la inadmisión del recurso.</w:t>
      </w:r>
    </w:p>
    <w:p w14:paraId="6D12434B" w14:textId="77777777" w:rsidR="00A8138F" w:rsidRDefault="00A8138F" w:rsidP="00A8138F">
      <w:pPr>
        <w:pStyle w:val="TextoNormal"/>
      </w:pPr>
    </w:p>
    <w:p w14:paraId="2661A353" w14:textId="77777777" w:rsidR="00A8138F" w:rsidRDefault="00A8138F" w:rsidP="00A8138F">
      <w:pPr>
        <w:pStyle w:val="TextoNormal"/>
      </w:pPr>
      <w:r>
        <w:t>Octavo.- Finalmente, por lo que hace a la vulneración del derecho a la igualdad ante la ley es palmario que no se produce por el hecho de que unos tribunales operen con diferentes resultados que otros, pues el ejercicio de la independencia judicial no contraría —por su propia esencia— aquella igualdad salvo que supusiese una flagrante vulneración de la ley que en este caso no se ha producido”.</w:t>
      </w:r>
    </w:p>
    <w:p w14:paraId="08834A19" w14:textId="77777777" w:rsidR="00A8138F" w:rsidRDefault="00A8138F" w:rsidP="00A8138F">
      <w:pPr>
        <w:pStyle w:val="TextoNormal"/>
      </w:pPr>
    </w:p>
    <w:p w14:paraId="462B498B" w14:textId="325773CA" w:rsidR="00A8138F" w:rsidRDefault="00A8138F" w:rsidP="00A8138F">
      <w:pPr>
        <w:pStyle w:val="TextoNormal"/>
      </w:pPr>
      <w:r>
        <w:t>k) Notificada esta última resolución, se interpuso demanda de amparo ante este tribunal.</w:t>
      </w:r>
    </w:p>
    <w:p w14:paraId="408E710C" w14:textId="77777777" w:rsidR="00A8138F" w:rsidRDefault="00A8138F" w:rsidP="00A8138F">
      <w:pPr>
        <w:pStyle w:val="TextoNormal"/>
      </w:pPr>
    </w:p>
    <w:p w14:paraId="087DCEC1" w14:textId="77777777" w:rsidR="00A8138F" w:rsidRDefault="00A8138F" w:rsidP="00A8138F">
      <w:pPr>
        <w:pStyle w:val="TextoNormal"/>
      </w:pPr>
      <w:r w:rsidRPr="00A8138F">
        <w:rPr>
          <w:rStyle w:val="NumeroAFNegritaCaracter"/>
        </w:rPr>
        <w:t>3</w:t>
      </w:r>
      <w:r>
        <w:t>. La demanda de amparo alega la vulneración, por las dos resoluciones judiciales impugnadas, de los siguientes derechos fundamentales del recurrente:</w:t>
      </w:r>
    </w:p>
    <w:p w14:paraId="6254AF12" w14:textId="77777777" w:rsidR="00A8138F" w:rsidRDefault="00A8138F" w:rsidP="00A8138F">
      <w:pPr>
        <w:pStyle w:val="TextoNormal"/>
      </w:pPr>
    </w:p>
    <w:p w14:paraId="32D1DE61" w14:textId="77777777" w:rsidR="00A8138F" w:rsidRDefault="00A8138F" w:rsidP="00A8138F">
      <w:pPr>
        <w:pStyle w:val="TextoNormal"/>
      </w:pPr>
      <w:r>
        <w:t>a) A la tutela judicial efectiva (art. 24.1 CE), en su vertiente de derecho “a acceder a los recursos legalmente procedentes”, y generando “indefensión material” para aquel, al impedirse la valoración de las alegaciones formuladas en su recurso de apelación contra el auto de revisión de la pena privativa de libertad impuesta en sentencia firme.</w:t>
      </w:r>
    </w:p>
    <w:p w14:paraId="7EA15317" w14:textId="77777777" w:rsidR="00A8138F" w:rsidRDefault="00A8138F" w:rsidP="00A8138F">
      <w:pPr>
        <w:pStyle w:val="TextoNormal"/>
      </w:pPr>
    </w:p>
    <w:p w14:paraId="7600365A" w14:textId="77777777" w:rsidR="00A8138F" w:rsidRDefault="00A8138F" w:rsidP="00A8138F">
      <w:pPr>
        <w:pStyle w:val="TextoNormal"/>
      </w:pPr>
      <w:r>
        <w:t>b) A la libertad (art. 17.1 CE), en relación con el art. 5 del Convenio europeo para la protección de los derechos humanos y de las libertades fundamentales (CEDH), porque la denegación del recurso afecta a un pronunciamiento condenatorio que comporta pena de prisión que le priva de libertad, en concreto porque afecta a la extensión de dicha pena, teniendo por ello “trascendencia práctica sobre el invocado derecho constitucional”.</w:t>
      </w:r>
    </w:p>
    <w:p w14:paraId="7608CBB9" w14:textId="77777777" w:rsidR="00A8138F" w:rsidRDefault="00A8138F" w:rsidP="00A8138F">
      <w:pPr>
        <w:pStyle w:val="TextoNormal"/>
      </w:pPr>
    </w:p>
    <w:p w14:paraId="3B63752F" w14:textId="77777777" w:rsidR="00A8138F" w:rsidRDefault="00A8138F" w:rsidP="00A8138F">
      <w:pPr>
        <w:pStyle w:val="TextoNormal"/>
      </w:pPr>
      <w:r>
        <w:t>c) A un proceso con todas las garantías (art. 24.2 CE), en la vertiente del derecho al doble grado de jurisdicción en materia penal que consagra el art. 2 del Protocolo núm. 7 al CEDH, en relación con el art. 14.5 del Pacto internacional de derechos civiles y políticos (PIDCP), relativo al derecho de la persona declarada culpable de un delito a que el fallo condenatorio y la pena que se le haya impuesto sean sometidos a un tribunal superior.</w:t>
      </w:r>
    </w:p>
    <w:p w14:paraId="3B277CCE" w14:textId="77777777" w:rsidR="00A8138F" w:rsidRDefault="00A8138F" w:rsidP="00A8138F">
      <w:pPr>
        <w:pStyle w:val="TextoNormal"/>
      </w:pPr>
    </w:p>
    <w:p w14:paraId="01B3CA23" w14:textId="77777777" w:rsidR="00A8138F" w:rsidRDefault="00A8138F" w:rsidP="00A8138F">
      <w:pPr>
        <w:pStyle w:val="TextoNormal"/>
      </w:pPr>
      <w:r>
        <w:t>d) A la igualdad ante la ley (art. 14 CE), porque la interpretación que hace la Sala competente para negar la posibilidad de recurso contra la decisión de revisión de sentencias firmes de condena resulta “arbitraria y notoriamente contraria a la doctrina jurisprudencial al respecto imperante bajo la vigencia del CP de 1995”, así como contraria al criterio de otros tribunales superiores de justicia y el propio Tribunal Supremo, al conocer de revisiones de pena derivadas de la entrada en vigor de la Ley Orgánica 10/2022, de 6 de septiembre.</w:t>
      </w:r>
    </w:p>
    <w:p w14:paraId="5F9A9276" w14:textId="77777777" w:rsidR="00A8138F" w:rsidRDefault="00A8138F" w:rsidP="00A8138F">
      <w:pPr>
        <w:pStyle w:val="TextoNormal"/>
      </w:pPr>
    </w:p>
    <w:p w14:paraId="5F8F8438" w14:textId="77777777" w:rsidR="00A8138F" w:rsidRDefault="00A8138F" w:rsidP="00A8138F">
      <w:pPr>
        <w:pStyle w:val="TextoNormal"/>
      </w:pPr>
      <w:r>
        <w:t>Una vez identificados los derechos fundamentales que habrían sido conculcados por las resoluciones objeto de recurso, y reiterándose en los argumentos defendidos en el recurso de súplica promovido contra el auto de 14 de abril de 2023; la demanda se refiere a la posibilidad de revisar una sentencia penal firme por la entrada en vigor de una norma más favorable para el reo (art. 2.2 del Código penal), como una excepción al principio de intangibilidad de las resoluciones judiciales firmes (art. 118 CE) porque sobre la sentencia original se aplica el sentido de la revisión realizada, lo que configura una “nueva realidad jurídica que responderá al todo indivisible conformado por la sentencia originaria y tal auto revisorio, de modo análogo a una sentencia aclarada, rectificada o complementada vía arts. 161 LECrim y 267 LOPJ”. Siendo así, resulta “igualmente razonable sostener que contra ese nuevo ‘todo unitario’ cabrán las mismas posibilidades impugnativas o de recurso que frente a la originaria sentencia”; lo que “ha de entrar en juego […] no es el sistema de recursos establecido frente a los autos, sino el configurado con respecto a la sentencia sometida a tal revisión”; y el precepto aplicable no es el art. 236 de la Ley de enjuiciamiento criminal (LECrim) sino el art. 846 de la misma ley procesal respecto del recurso de apelación.</w:t>
      </w:r>
    </w:p>
    <w:p w14:paraId="14F93186" w14:textId="77777777" w:rsidR="00A8138F" w:rsidRDefault="00A8138F" w:rsidP="00A8138F">
      <w:pPr>
        <w:pStyle w:val="TextoNormal"/>
      </w:pPr>
    </w:p>
    <w:p w14:paraId="09719AD0" w14:textId="77777777" w:rsidR="00A8138F" w:rsidRDefault="00A8138F" w:rsidP="00A8138F">
      <w:pPr>
        <w:pStyle w:val="TextoNormal"/>
      </w:pPr>
      <w:r>
        <w:t>Se critica la tesis del auto impugnado de 14 de abril de 2023, negando todo recurso devolutivo en estos casos, porque conlleva que el auto de una audiencia provincial resolviendo sobre la revisión de una sentencia de condena por ella dictada en primera instancia, no permite ante un órgano superior “cualquier posible análisis de la corrección del nuevo pronunciamiento resultante de la revisión”, lo que sin embargo sí fue posible frente al pronunciamiento de la sentencia original de condena. Con la postura mantenida por la Sala de apelación, “todos los supuestos de revisiones o denegaciones de las mismas que […] han llegado a nuestro Tribunal Supremo con motivo de la reforma operada en el CP por la Ley Orgánica 10/2022, de 6 de septiembre, sencillamente no podrían haber sido objeto de análisis por dicho órgano”. Aceptando que es lógico permitir recurso contra un auto favorable a la revisión de la sentencia de condena, se entiende que “con igual o más razón sucederá cuando la decisión resulte denegatoria” de ella, al ser entonces una decisión contraria a una pretensión legítima del reo; “con lo cual esa rrecurribilidad (en nuestro caso en apelación) sería innegable no ya desde la perspectiva de igualdad de armas y trato no discriminatorio, sino inclusive merced al derecho al doble grado de jurisdicción” penal recogido en el art. 2 del Protocolo núm. 7 al CEDH, precepto que se refiere a la posibilidad de impugnar la “condena”. A la misma conclusión se llega, añade el escrito, con el art. 14.5 PIDCP, y así además lo viene entendiendo la Sala de lo Penal del Tribunal Supremo, como demuestra su STS 606/2018, de 28 de noviembre de 2018 (ECLI:ES:TS:2018:4071), del que se hace cita literal de algunos párrafos; jurisprudencia que el Alto Tribunal ha mantenido en su ATS “20401/2023, de 19 de junio de 2023; recurso 20287-2023” con relación a la “Ley Orgánica 10/2022, de 6 de septiembre”.</w:t>
      </w:r>
    </w:p>
    <w:p w14:paraId="2E94406F" w14:textId="77777777" w:rsidR="00A8138F" w:rsidRDefault="00A8138F" w:rsidP="00A8138F">
      <w:pPr>
        <w:pStyle w:val="TextoNormal"/>
      </w:pPr>
    </w:p>
    <w:p w14:paraId="5FD6D66E" w14:textId="77777777" w:rsidR="00A8138F" w:rsidRDefault="00A8138F" w:rsidP="00A8138F">
      <w:pPr>
        <w:pStyle w:val="TextoNormal"/>
      </w:pPr>
      <w:r>
        <w:t>Sobre el valor de esta jurisprudencia, en el escrito de demanda se hace cita del art. 1.6 del Código civil y los arts. 123.1 CE y 53 de la Ley Orgánica del Poder Judicial (LOPJ) sobre la posición que ostenta el Tribunal Supremo. Tras reiterar la cita de la STS 606/2018, de 28 de noviembre, y el ATS 20401/2023, de 19 de junio (ECLI:ES:TS:2023:8153A), así como la Circular 1/2023, de 29 de marzo, de la Fiscalía General del Estado, sobre los criterios de actuación en torno a la reforma del CP operada por la Ley Orgánica 10/2022, el recurrente insiste en que el impugnado auto de 14 de abril de 2023 del Tribunal Superior de Justicia de Galicia entró en “patente contradicción con la consolidada y reiterada doctrina jurisprudencial de nuestro Tribunal Supremo”; defecto en el que también incurre, se añade, el posterior auto de la misma Sala de 24 de mayo de 2023 al desestimar el recurso de súplica contra aquel. Por ello se causa la vulneración de los derechos fundamentales del recurrente ya indicados; el de tutela judicial efectiva, en su vertiente de acceso al recurso; a un derecho con todas las garantías, en concreto el derecho al doble grado de recurso, con cita de la STC 42/1982, de 5 de julio, sobre el derecho al recurso a la luz del art. 14.5 PIDCP; y la vulneración del derecho a la igualdad ante la ley, al colocar al recurrente en situación de discriminación frente a otros penados a los que otros tribunales superiores de justicia han permitido interponer recurso contra los autos de revisión de condenas de las audiencias; apartándose para ello de la jurisprudencia que viene manteniendo el Tribunal Supremo de forma pacífica y reiterada “durante todo el periodo que ya llevamos bajo vigencia del actual CP de 1995”. Eso implica que el art. 846 LECrim “no se está aplicando igual para todos los ciudadanos españoles”.</w:t>
      </w:r>
    </w:p>
    <w:p w14:paraId="5822AE5B" w14:textId="77777777" w:rsidR="00A8138F" w:rsidRDefault="00A8138F" w:rsidP="00A8138F">
      <w:pPr>
        <w:pStyle w:val="TextoNormal"/>
      </w:pPr>
    </w:p>
    <w:p w14:paraId="145F87D2" w14:textId="77777777" w:rsidR="00A8138F" w:rsidRDefault="00A8138F" w:rsidP="00A8138F">
      <w:pPr>
        <w:pStyle w:val="TextoNormal"/>
      </w:pPr>
      <w:r>
        <w:t>El suplico de la demanda solicita que este Tribunal Constitucional dicte sentencia estimatoria del recurso, declarando que las resoluciones impugnadas vulneran los derechos fundamentales del recurrente ya referidos, con nulidad de las mismas y “retroacción del procedimiento al momento inmediatamente anterior al de dictarse la primera de las resoluciones cuya nulidad se insta, para que el órgano judicial pronuncie una nueva resolución que sea respetuosa con los invocados derechos fundamentales y constitucionales (con obligación del Tribunal Superior de Justicia de Galicia de admitir a trámite y de resolver en el fondo el recurso de apelación inadmitido por el auto de 14 de abril de 2023)”.</w:t>
      </w:r>
    </w:p>
    <w:p w14:paraId="482CA466" w14:textId="77777777" w:rsidR="00A8138F" w:rsidRDefault="00A8138F" w:rsidP="00A8138F">
      <w:pPr>
        <w:pStyle w:val="TextoNormal"/>
      </w:pPr>
    </w:p>
    <w:p w14:paraId="44EC9616" w14:textId="1F3ACDDB" w:rsidR="00A8138F" w:rsidRDefault="00A8138F" w:rsidP="00A8138F">
      <w:pPr>
        <w:pStyle w:val="TextoNormal"/>
      </w:pPr>
      <w:r>
        <w:t>Por medio de otrosí se interesó la designación mediante el turno de oficio de un procurador o procuradora que asumiera la representación procesal del recurrente en este proceso.</w:t>
      </w:r>
    </w:p>
    <w:p w14:paraId="1EFEA3C1" w14:textId="77777777" w:rsidR="00A8138F" w:rsidRDefault="00A8138F" w:rsidP="00A8138F">
      <w:pPr>
        <w:pStyle w:val="TextoNormal"/>
      </w:pPr>
    </w:p>
    <w:p w14:paraId="5863B6E1" w14:textId="77777777" w:rsidR="00A8138F" w:rsidRDefault="00A8138F" w:rsidP="00A8138F">
      <w:pPr>
        <w:pStyle w:val="TextoNormal"/>
      </w:pPr>
      <w:r w:rsidRPr="00A8138F">
        <w:rPr>
          <w:rStyle w:val="NumeroAFNegritaCaracter"/>
        </w:rPr>
        <w:t>4</w:t>
      </w:r>
      <w:r>
        <w:t>. La Secretaría de Justicia de la Sección Segunda, Sala Primera, de este Tribunal Constitucional, dictó diligencia de ordenación el 11 de julio de 2023 por la que se tuvo por presentado el escrito de demanda y demás documentos aportados por la procuradora doña Paula Cadaveira González, acordando requerirle para que en el plazo de diez días hábiles consignase copia del auto de 13 de diciembre de 2022 de la Sección Segunda de la Audiencia Provincial de Ourense, rollo de sala 21-2020.</w:t>
      </w:r>
    </w:p>
    <w:p w14:paraId="327DAF77" w14:textId="77777777" w:rsidR="00A8138F" w:rsidRDefault="00A8138F" w:rsidP="00A8138F">
      <w:pPr>
        <w:pStyle w:val="TextoNormal"/>
      </w:pPr>
    </w:p>
    <w:p w14:paraId="75C633DE" w14:textId="77777777" w:rsidR="00A8138F" w:rsidRDefault="00A8138F" w:rsidP="00A8138F">
      <w:pPr>
        <w:pStyle w:val="TextoNormal"/>
      </w:pPr>
      <w:r>
        <w:t>El día 13 de julio de 2023 tuvo entrada en el registro de este tribunal un escrito de la procuradora doña Paula Cadaveira González en el que, sin referirse a la resolución solicitada en la antedicha diligencia, manifestó que “reitero nuevamente se oficie al Colegio de Procuradores de Madrid para que se le nombre procurador del turno de oficio” al aquí demandante de amparo; con suspensión de cualquier plazo mientras no se produzca dicho nombramiento.</w:t>
      </w:r>
    </w:p>
    <w:p w14:paraId="3084B0F3" w14:textId="77777777" w:rsidR="00A8138F" w:rsidRDefault="00A8138F" w:rsidP="00A8138F">
      <w:pPr>
        <w:pStyle w:val="TextoNormal"/>
      </w:pPr>
    </w:p>
    <w:p w14:paraId="4B9A2140" w14:textId="77777777" w:rsidR="00A8138F" w:rsidRDefault="00A8138F" w:rsidP="00A8138F">
      <w:pPr>
        <w:pStyle w:val="TextoNormal"/>
      </w:pPr>
      <w:r>
        <w:t>En la misma fecha, 13 de julio de 2023, la Secretaría de Justicia de la Sección Segunda de este tribunal dictó diligencia de ordenación en cuya virtud: “Visto el contenido de las presentes actuaciones y constando el auto de fecha 13 de diciembre de 2022 dictado por la Sección Segunda de la Audiencia Provincial de Ourense en rollo de sala 21-2020 y, de conformidad con lo establecido en el art. 7.2 de la Ley 1/96, de asistencia jurídica gratuita, se acuerda librar despacho al Colegio de Procuradores de Madrid para que se designe al recurrente procurador del turno de oficio que le represente en el presente recurso de amparo”.</w:t>
      </w:r>
    </w:p>
    <w:p w14:paraId="0A8F6EDA" w14:textId="77777777" w:rsidR="00A8138F" w:rsidRDefault="00A8138F" w:rsidP="00A8138F">
      <w:pPr>
        <w:pStyle w:val="TextoNormal"/>
      </w:pPr>
    </w:p>
    <w:p w14:paraId="5DAB00A3" w14:textId="77777777" w:rsidR="00A8138F" w:rsidRDefault="00A8138F" w:rsidP="00A8138F">
      <w:pPr>
        <w:pStyle w:val="TextoNormal"/>
      </w:pPr>
      <w:r>
        <w:t>Por nueva diligencia de ordenación de la misma Secretaría, de 1 de septiembre de 2023, se tuvo por recibido el despacho del Colegio de Procuradores de Madrid por el que dicha corporación participó que se tuvo por designada por el turno de oficio a la procuradora doña Nuria Feliú Suárez, en representación del recurrente, acordando por ello la Secretaría de Justicia tenerla por designada a tal efecto, y concediéndole un plazo de diez días con el fin de suscribir la demanda del recurso.</w:t>
      </w:r>
    </w:p>
    <w:p w14:paraId="4CC81A57" w14:textId="77777777" w:rsidR="00A8138F" w:rsidRDefault="00A8138F" w:rsidP="00A8138F">
      <w:pPr>
        <w:pStyle w:val="TextoNormal"/>
      </w:pPr>
    </w:p>
    <w:p w14:paraId="184F2E76" w14:textId="36C1F9DC" w:rsidR="00A8138F" w:rsidRDefault="00A8138F" w:rsidP="00A8138F">
      <w:pPr>
        <w:pStyle w:val="TextoNormal"/>
      </w:pPr>
      <w:r>
        <w:t>La procuradora de la parte recurrente presentó escrito el 14 de septiembre de 2023, a fin de evacuar el requerimiento efectuado en la diligencia de ordenación de 1 de septiembre, “suscribiendo la demanda de amparo presentada y que se adjunta como documento 1 firmada por esta representación”.</w:t>
      </w:r>
    </w:p>
    <w:p w14:paraId="42F36D22" w14:textId="77777777" w:rsidR="00A8138F" w:rsidRDefault="00A8138F" w:rsidP="00A8138F">
      <w:pPr>
        <w:pStyle w:val="TextoNormal"/>
      </w:pPr>
    </w:p>
    <w:p w14:paraId="14EC6EE2" w14:textId="77777777" w:rsidR="00A8138F" w:rsidRDefault="00A8138F" w:rsidP="00A8138F">
      <w:pPr>
        <w:pStyle w:val="TextoNormal"/>
      </w:pPr>
      <w:r w:rsidRPr="00A8138F">
        <w:rPr>
          <w:rStyle w:val="NumeroAFNegritaCaracter"/>
        </w:rPr>
        <w:t>5</w:t>
      </w:r>
      <w:r>
        <w:t>. La Sección Segunda de este tribunal dictó providencia el 11 de diciembre de 2023, por la que acordó admitir a trámite el recurso, “apreciando que concurre en el mismo una especial trascendencia constitucional (art. 50.1 LOTC) porque el recurso plantea un problema o afecta a una faceta de un derecho fundamental sobre el que no hay doctrina de este Tribunal [STC 155/2009, de 25 de junio, FJ 2 a)]”.</w:t>
      </w:r>
    </w:p>
    <w:p w14:paraId="7423AB23" w14:textId="77777777" w:rsidR="00A8138F" w:rsidRDefault="00A8138F" w:rsidP="00A8138F">
      <w:pPr>
        <w:pStyle w:val="TextoNormal"/>
      </w:pPr>
    </w:p>
    <w:p w14:paraId="33728741" w14:textId="6A61D244" w:rsidR="00A8138F" w:rsidRDefault="00A8138F" w:rsidP="00A8138F">
      <w:pPr>
        <w:pStyle w:val="TextoNormal"/>
      </w:pPr>
      <w:r>
        <w:t>En la misma resolución se acordó también dirigir atenta comunicación a la Sala Segunda del Tribunal Supremo y a la Sala de lo Civil y Penal del Tribunal Superior de Justicia de Galicia, a fin de que en un plazo no superior a diez días remitieran certificación o fotocopia adverada de las actuaciones del recurso de casación núm. 10243-2020 la primera, y de los rollos de apelación núms. 21-2023 y 80-2019 la segunda. Asimismo, a la Sección Segunda de la Audiencia Provincial de Ourense para que en el mismo plazo remitiera las actuaciones de la pieza individual del condenado núm. 21-2020 y procedimiento sumario ordinario núm. 10-2018, y que procediera a emplazar en el plazo de diez días a quienes hubieran sido parte en el procedimiento referenciado, excepto a la parte recurrente en amparo, por si querían comparecer en el presente proceso constitucional.</w:t>
      </w:r>
    </w:p>
    <w:p w14:paraId="50A5272D" w14:textId="77777777" w:rsidR="00A8138F" w:rsidRDefault="00A8138F" w:rsidP="00A8138F">
      <w:pPr>
        <w:pStyle w:val="TextoNormal"/>
      </w:pPr>
    </w:p>
    <w:p w14:paraId="3432C359" w14:textId="1A38DD9D" w:rsidR="00A8138F" w:rsidRDefault="00A8138F" w:rsidP="00A8138F">
      <w:pPr>
        <w:pStyle w:val="TextoNormal"/>
      </w:pPr>
      <w:r w:rsidRPr="00A8138F">
        <w:rPr>
          <w:rStyle w:val="NumeroAFNegritaCaracter"/>
        </w:rPr>
        <w:t>6</w:t>
      </w:r>
      <w:r>
        <w:t>. No habiéndose personado ninguna otra parte del proceso judicial, el 9 de febrero de 2024 la Secretaría de Justicia de la Sala Primera de este tribunal dictó diligencia de ordenación por la que se tuvieron por recibidos los testimonios de las actuaciones solicitadas, acordando dar vista de todas las actuaciones del presente recurso en la sede electrónica de este tribunal, por plazo común de veinte días, al Ministerio Fiscal y al recurrente en amparo, a fin de que pudieran presentar las alegaciones que estimasen pertinentes, conforme con lo previsto en el art. 52 de la Ley Orgánica del Tribunal Constitucional (LOTC).</w:t>
      </w:r>
    </w:p>
    <w:p w14:paraId="4D6EE1DB" w14:textId="77777777" w:rsidR="00A8138F" w:rsidRDefault="00A8138F" w:rsidP="00A8138F">
      <w:pPr>
        <w:pStyle w:val="TextoNormal"/>
      </w:pPr>
    </w:p>
    <w:p w14:paraId="7F181A13" w14:textId="77777777" w:rsidR="00A8138F" w:rsidRDefault="00A8138F" w:rsidP="00A8138F">
      <w:pPr>
        <w:pStyle w:val="TextoNormal"/>
      </w:pPr>
      <w:r w:rsidRPr="00A8138F">
        <w:rPr>
          <w:rStyle w:val="NumeroAFNegritaCaracter"/>
        </w:rPr>
        <w:t>7</w:t>
      </w:r>
      <w:r>
        <w:t>. La representante procesal del demandante de amparo presentó escrito de alegaciones el 12 de marzo de 2024, por el que interesó se tuviera por cumplimentado el trámite del art. 52 LOTC y que el Tribunal dictase sentencia declarando la nulidad de los autos impugnados, “debiendo el Tribunal Superior de Justicia de Galicia admitir a trámite y resolver el recurso de apelación en su día interpuesto frente a las constantemente aludidas resoluciones judiciales”.</w:t>
      </w:r>
    </w:p>
    <w:p w14:paraId="454F5ABF" w14:textId="77777777" w:rsidR="00A8138F" w:rsidRDefault="00A8138F" w:rsidP="00A8138F">
      <w:pPr>
        <w:pStyle w:val="TextoNormal"/>
      </w:pPr>
    </w:p>
    <w:p w14:paraId="7684D10F" w14:textId="77777777" w:rsidR="00A8138F" w:rsidRDefault="00A8138F" w:rsidP="00A8138F">
      <w:pPr>
        <w:pStyle w:val="TextoNormal"/>
      </w:pPr>
      <w:r>
        <w:t>A este respecto, y como primer punto, dicha parte “se afirma y ratifica en los hechos y fundamentos de Derecho que se contienen en la demanda de amparo”, de la que a continuación se hace un resumen, a modo de recordatorio, con cita añadida de la STC 43/2023, de 8 de mayo, sobre la doble instancia penal.</w:t>
      </w:r>
    </w:p>
    <w:p w14:paraId="3AC4E0B3" w14:textId="77777777" w:rsidR="00A8138F" w:rsidRDefault="00A8138F" w:rsidP="00A8138F">
      <w:pPr>
        <w:pStyle w:val="TextoNormal"/>
      </w:pPr>
    </w:p>
    <w:p w14:paraId="49498257" w14:textId="39B46479" w:rsidR="00A8138F" w:rsidRDefault="00A8138F" w:rsidP="00A8138F">
      <w:pPr>
        <w:pStyle w:val="TextoNormal"/>
      </w:pPr>
      <w:r>
        <w:t>Ya como alegación novedosa, en el escrito se advierte que se ha tenido conocimiento de otros autos de inadmisión de recursos de apelación contra autos de revisión de sentencia de condena, dictados por la misma Sala del Tribunal Superior de Justicia de Galicia, en los que aparece un voto discrepante de uno de sus magistrados, quien en su día fue uno de los firmantes del auto de 14 de abril de 2023 contra el aquí recurrente, y que con posterioridad ha optado por defender que dichos recursos deben ser admitidos a trámite, pasando el escrito del recurrente a reproducir varios pasajes de dicho voto.</w:t>
      </w:r>
    </w:p>
    <w:p w14:paraId="26619F94" w14:textId="77777777" w:rsidR="00A8138F" w:rsidRDefault="00A8138F" w:rsidP="00A8138F">
      <w:pPr>
        <w:pStyle w:val="TextoNormal"/>
      </w:pPr>
    </w:p>
    <w:p w14:paraId="1750DF4E" w14:textId="77777777" w:rsidR="00A8138F" w:rsidRDefault="00A8138F" w:rsidP="00A8138F">
      <w:pPr>
        <w:pStyle w:val="TextoNormal"/>
      </w:pPr>
      <w:r w:rsidRPr="00A8138F">
        <w:rPr>
          <w:rStyle w:val="NumeroAFNegritaCaracter"/>
        </w:rPr>
        <w:t>8</w:t>
      </w:r>
      <w:r>
        <w:t>. Por su parte, el fiscal ante este Tribunal Constitucional presentó su escrito de alegaciones el 20 de marzo de 2024, por el que interesó que se dictase sentencia disponiendo lo siguiente:</w:t>
      </w:r>
    </w:p>
    <w:p w14:paraId="761E2842" w14:textId="77777777" w:rsidR="00A8138F" w:rsidRDefault="00A8138F" w:rsidP="00A8138F">
      <w:pPr>
        <w:pStyle w:val="TextoNormal"/>
      </w:pPr>
    </w:p>
    <w:p w14:paraId="18F4C001" w14:textId="77777777" w:rsidR="00A8138F" w:rsidRDefault="00A8138F" w:rsidP="00A8138F">
      <w:pPr>
        <w:pStyle w:val="TextoNormal"/>
      </w:pPr>
      <w:r>
        <w:t>“1. Estimar parcialmente el recurso de amparo promovido por la representación procesal de don Javier Gabarri Jiménez contra el auto dictado por la Sala de lo Civil y Penal del Tribunal Superior de Justicia de Galicia en el recurso de apelación número 21-2023 con fecha 14 de abril de 2023, por el que se inadmitió a trámite el recurso de apelación entablado frente a resolución judicial denegatoria de la revisión de sentencia firme por aplicación de la ley penal más favorable al reo, y contra el auto dictado por la Sala de lo Civil y Penal del Tribunal Superior de Justicia de Galicia en el recurso de apelación número 21-2023 con fecha 24 de mayo de 2023, que desestimó el recurso de súplica entablado contra la anterior resolución.</w:t>
      </w:r>
    </w:p>
    <w:p w14:paraId="62C769F4" w14:textId="77777777" w:rsidR="00A8138F" w:rsidRDefault="00A8138F" w:rsidP="00A8138F">
      <w:pPr>
        <w:pStyle w:val="TextoNormal"/>
      </w:pPr>
    </w:p>
    <w:p w14:paraId="344CA6D9" w14:textId="77777777" w:rsidR="00A8138F" w:rsidRDefault="00A8138F" w:rsidP="00A8138F">
      <w:pPr>
        <w:pStyle w:val="TextoNormal"/>
      </w:pPr>
      <w:r>
        <w:t>2. Declarar que dichas resoluciones vulneraron el derecho fundamental del indicado recurrente a un proceso con todas las garantías (artículo 24.2 CE) en su vertiente del derecho a la doble instancia penal.</w:t>
      </w:r>
    </w:p>
    <w:p w14:paraId="35C56601" w14:textId="77777777" w:rsidR="00A8138F" w:rsidRDefault="00A8138F" w:rsidP="00A8138F">
      <w:pPr>
        <w:pStyle w:val="TextoNormal"/>
      </w:pPr>
    </w:p>
    <w:p w14:paraId="531F6259" w14:textId="77777777" w:rsidR="00A8138F" w:rsidRDefault="00A8138F" w:rsidP="00A8138F">
      <w:pPr>
        <w:pStyle w:val="TextoNormal"/>
      </w:pPr>
      <w:r>
        <w:t>3. Disponer la nulidad del auto dictado por la Sala de lo Civil y Penal del Tribunal Superior de Justicia de Galicia en el recurso de apelación número 21-2023 con fecha 14 de abril de 2023 y del auto dictado por la Sala de lo Civil y Penal del Tribunal Superior de Justicia de Galicia en el recurso de apelación número 21-2023 con fecha 24 de mayo de 2023.</w:t>
      </w:r>
    </w:p>
    <w:p w14:paraId="6469E382" w14:textId="77777777" w:rsidR="00A8138F" w:rsidRDefault="00A8138F" w:rsidP="00A8138F">
      <w:pPr>
        <w:pStyle w:val="TextoNormal"/>
      </w:pPr>
    </w:p>
    <w:p w14:paraId="31787AC2" w14:textId="77777777" w:rsidR="00A8138F" w:rsidRDefault="00A8138F" w:rsidP="00A8138F">
      <w:pPr>
        <w:pStyle w:val="TextoNormal"/>
      </w:pPr>
      <w:r>
        <w:t>4. Disponer la retroacción de las actuaciones para que pueda la Sala de lo Civil y Penal del Tribunal Superior de Justicia de Galicia dictar en el recurso de apelación número 21-2023 nueva resolución que sea respetuosa con el derecho fundamental que ha de declararse vulnerado”.</w:t>
      </w:r>
    </w:p>
    <w:p w14:paraId="00EEA7A5" w14:textId="77777777" w:rsidR="00A8138F" w:rsidRDefault="00A8138F" w:rsidP="00A8138F">
      <w:pPr>
        <w:pStyle w:val="TextoNormal"/>
      </w:pPr>
    </w:p>
    <w:p w14:paraId="3464C0F8" w14:textId="77777777" w:rsidR="00A8138F" w:rsidRDefault="00A8138F" w:rsidP="00A8138F">
      <w:pPr>
        <w:pStyle w:val="TextoNormal"/>
      </w:pPr>
      <w:r>
        <w:t xml:space="preserve">a) Tras hacer un resumen amplio de las resoluciones impugnadas, así como de las quejas vertidas en el escrito de demanda, el fiscal comienza el examen de estas. En primer lugar, sostiene que debe darse una respuesta conjunta a la invocada vulneración del derecho fundamental a la tutela judicial efectiva del recurrente, en su vertiente de acceso a los recursos legalmente procedentes (art. 24.1 CE), y la del derecho a un proceso con todas las garantías (art. 24.2 CE), en su vertiente de derecho al doble grado de jurisdicción en materia penal, consagrado también en el art. 2 del Protocolo núm. 7 al CEDH y en el art. 14.5 PIDCP, dada la estrecha vinculación entre ambos derechos fundamentales. En esa perspectiva, sobre el derecho al recurso legalmente establecido se cita la STC 37/1995, de 7 de febrero, en la que el Pleno del Tribunal dotó de distinto alcance a aquel derecho fundamental respecto del derecho fundamental de acceso a la justicia, siendo que el derecho al recurso es de configuración legal y su control es externo, con la excepción sin embargo del derecho del penado a impugnar una sentencia de condena, que se configura como una doble instancia penal (art. 14.5 PIDCP y art. 2 del Protocolo núm. 7 al CEDH), garantizando la revisión íntegra de la declaración de culpabilidad y la pena bajo la cláusula del derecho a un proceso con todas las garantías (art. 24.2 CE); y donde rige el canon de valoración del </w:t>
      </w:r>
      <w:r w:rsidRPr="00A8138F">
        <w:rPr>
          <w:i/>
        </w:rPr>
        <w:t>pro actione</w:t>
      </w:r>
      <w:r>
        <w:t>. Se citan también en este punto las SSTC 43/2023, de 8 de mayo, y 75/2023, de 19 de junio, reproduciendo pasajes de la primera de ambas.</w:t>
      </w:r>
    </w:p>
    <w:p w14:paraId="2CBFA3F9" w14:textId="77777777" w:rsidR="00A8138F" w:rsidRDefault="00A8138F" w:rsidP="00A8138F">
      <w:pPr>
        <w:pStyle w:val="TextoNormal"/>
      </w:pPr>
    </w:p>
    <w:p w14:paraId="446C35DE" w14:textId="77777777" w:rsidR="00A8138F" w:rsidRDefault="00A8138F" w:rsidP="00A8138F">
      <w:pPr>
        <w:pStyle w:val="TextoNormal"/>
      </w:pPr>
      <w:r>
        <w:t>b) A continuación se detiene el escrito del fiscal en hacer resumen de la STS 606/2018, de 28 de noviembre, de la Sala de lo Penal del Tribunal Supremo, el cual trató sobre el acceso al recurso de casación de los autos de revisión —o de no revisión— de una sentencia firme de condena, por la entrada en vigor de una legislación penal más favorable, reproduciendo asimismo algunos párrafos de dicha sentencia, que ha tenido continuidad entre otras en la STS 453/2023, de 14 de junio (ECLI:ES:TS:2023:2820), que también invoca. De dicha jurisprudencia se extrae que, a falta de una previsión legal expresa, los autos de revisión de una sentencia de condena firme, “al introducir modificaciones cualitativas en una sentencia que ha ganado firmeza, han de tener a efectos de recurso la misma consideración que aquella y que, si esto ha de ser así, con igual razón habrá de aplicarse tal doctrina a los autos que, en trámite de revisión, deniegan la revisión solicitada”. En este punto, el escrito del fiscal formula dos precisiones: (i) la construcción que hace la Sala de lo Penal del Tribunal Supremo da cobertura al derecho al recurso de ambas partes (acusaciones y penado) del proceso penal, si bien el presente informe solo contempla la posición del penado, que es la que ostenta el aquí recurrente; y (ii) entiende el fiscal que el derecho al recurso del penado contra el auto de revisión de pena se sustenta sin más en el art. 14.5 PIDCP, el art. 2 del Protocolo núm. 7 al CEDH y, por la vía del art. 10.2 CE, con el derecho fundamental a un proceso con todas las garantías del art. 24.2 CE, con cita de la STC 43/2023, de 8 de mayo, sobre el contenido del derecho al doble grado penal.</w:t>
      </w:r>
    </w:p>
    <w:p w14:paraId="79CFD710" w14:textId="77777777" w:rsidR="00A8138F" w:rsidRDefault="00A8138F" w:rsidP="00A8138F">
      <w:pPr>
        <w:pStyle w:val="TextoNormal"/>
      </w:pPr>
    </w:p>
    <w:p w14:paraId="473402B3" w14:textId="77777777" w:rsidR="00A8138F" w:rsidRDefault="00A8138F" w:rsidP="00A8138F">
      <w:pPr>
        <w:pStyle w:val="TextoNormal"/>
      </w:pPr>
      <w:r>
        <w:t xml:space="preserve">c) Sentado todo esto, aborda el fiscal ya el examen de los dos autos impugnados en este proceso. Tras reiterar los principales pronunciamientos del primero de ellos, el dictado el 14 de abril de 2023, desde la doble perspectiva de análisis del “derecho de acceso al recurso legalmente previsto [y] derecho a un proceso con todas las garantías” (doble instancia penal), aunque luego precisa que atañe sobre todo al segundo de ellos, en concreto al derecho a la revisión de la condena, considera el fiscal ante este tribunal que aquella resolución judicial contempló el aspecto de la falta de cobertura legal de recurso </w:t>
      </w:r>
      <w:r w:rsidRPr="00A8138F">
        <w:rPr>
          <w:i/>
        </w:rPr>
        <w:t>ex</w:t>
      </w:r>
      <w:r>
        <w:t xml:space="preserve"> art. 236 LECrim, desde un “punto de vista puramente formal” (al adoptar la decisión forma de auto), sin valorar el contenido del derecho fundamental a un proceso con todas las garantías (doble instancia penal) ni atender al criterio establecido por la Sala de lo Penal del Tribunal Supremo “al menos desde la STS 606/2018, de 28 de noviembre”, la cual trata el derecho al recurso contra los autos de revisión —o de no revisión— de condena firme desde un punto de vista “no formal sino material”, en el sentido de que tales autos deben seguir el mismo régimen de impugnación que la sentencia a la que afectan y complementan de forma sobrevenida. De este modo, prosigue diciendo el fiscal, la Sala autora del auto impugnado desconoció lo previsto en el art. 7.1 LOPJ, sobre la vinculación a los jueces y tribunales de los derechos y libertades recogidos en el capítulo segundo del título I de la Constitución, y el art. 7.2 LOPJ, sobre el necesario reconocimiento de los derechos enunciados en el art. 53.2 CE, sin que las resoluciones judiciales puedan restringir, menoscabar o inaplicar su contenido.</w:t>
      </w:r>
    </w:p>
    <w:p w14:paraId="2712A9FB" w14:textId="77777777" w:rsidR="00A8138F" w:rsidRDefault="00A8138F" w:rsidP="00A8138F">
      <w:pPr>
        <w:pStyle w:val="TextoNormal"/>
      </w:pPr>
    </w:p>
    <w:p w14:paraId="3826945C" w14:textId="77777777" w:rsidR="00A8138F" w:rsidRDefault="00A8138F" w:rsidP="00A8138F">
      <w:pPr>
        <w:pStyle w:val="TextoNormal"/>
      </w:pPr>
      <w:r>
        <w:t xml:space="preserve">En consecuencia, tanto el auto de 14 de abril de 2023, como el posterior de 24 de mayo de 2023 que desestimó el recurso de súplica contra el primero, vulneraron el mencionado derecho fundamental a la doble instancia penal (art. 24.2 CE) del recurrente, derecho que estaba garantizado con la doctrina jurisprudencial establecida por la Sala de lo Penal del Tribunal Supremo ya indicada, y por tanto ambos autos incurren en infracción del principio </w:t>
      </w:r>
      <w:r w:rsidRPr="00A8138F">
        <w:rPr>
          <w:i/>
        </w:rPr>
        <w:t>pro actione</w:t>
      </w:r>
      <w:r>
        <w:t>. Debe por ello estimarse a su juicio el presente recurso, con el efecto de declarar la nulidad de las dos resoluciones recurridas, debiendo dictarse por la Sala de lo Civil y Penal del Tribunal Superior de Justicia de Galicia nueva decisión que sea conforme con el derecho fundamental. Prosigue diciendo el fiscal que el apreciar la lesión del art. 24.2 CE implica “la correlativa desestimación del motivo en que se ha denunciado la vulneración del derecho fundamental a la tutela judicial efectiva (artículo 24.1 CE) en su modalidad del derecho al recurso legalmente establecido”.</w:t>
      </w:r>
    </w:p>
    <w:p w14:paraId="61D2918F" w14:textId="77777777" w:rsidR="00A8138F" w:rsidRDefault="00A8138F" w:rsidP="00A8138F">
      <w:pPr>
        <w:pStyle w:val="TextoNormal"/>
      </w:pPr>
    </w:p>
    <w:p w14:paraId="03B8535A" w14:textId="77777777" w:rsidR="00A8138F" w:rsidRDefault="00A8138F" w:rsidP="00A8138F">
      <w:pPr>
        <w:pStyle w:val="TextoNormal"/>
      </w:pPr>
      <w:r>
        <w:t>d) No se detiene aquí el escrito del fiscal, quien pasa a continuación a referirse a las quejas de la demanda por vulneración del derecho a la libertad y a la igualdad ante la ley. Respecto de aquel, se considera que “en el momento presente” la vulneración sería “puramente hipotética”, por cuanto la reducción de la pena de prisión que le fue impuesta, producida por haberse modificado por la Ley Orgánica 10/2022 el tipo penal de agresión sexual, aún no se ha producido, cumpliendo en la actualidad “la única penalidad que le ha sido impuesta”; pero incluso de llegar a estimarse ese recurso “según la liquidación de condena actualmente vigente no extinguirá sus penas hasta el día 12 de abril de 2038”; estando condicionado el disfrute de beneficios penitenciarios a la concurrencia de varios factores, “entre los que cobra especial importancia la evolución o la respuesta del penado al tratamiento penitenciario”. Se cita el ATC 169/2004, de 10 de mayo, sobre el carácter no preventivo sino reparador del recurso de amparo. Concluye así que este motivo de la demanda debe ser rechazado.</w:t>
      </w:r>
    </w:p>
    <w:p w14:paraId="4747E29A" w14:textId="77777777" w:rsidR="00A8138F" w:rsidRDefault="00A8138F" w:rsidP="00A8138F">
      <w:pPr>
        <w:pStyle w:val="TextoNormal"/>
      </w:pPr>
    </w:p>
    <w:p w14:paraId="7BDFDCCB" w14:textId="09027795" w:rsidR="00A8138F" w:rsidRDefault="00A8138F" w:rsidP="00A8138F">
      <w:pPr>
        <w:pStyle w:val="TextoNormal"/>
      </w:pPr>
      <w:r>
        <w:t>Finalmente, en cuanto a la vulneración del derecho fundamental a la igualdad ante la ley (art. 14 CE), se recuerda que conforme a doctrina constitucional el juicio de igualdad solo puede efectuarse sobre un término de comparación válido que para ello ha de ser esencialmente igual, teniendo la parte recurrente la carga de aportarlo sobre la base de los precedentes de los que la resolución recurrida se hubiere apartado. Dicha carga, sin embargo, no ha sido satisfecha por el aquí recurrente, por lo que el motivo “no podrá sino perecer”.</w:t>
      </w:r>
    </w:p>
    <w:p w14:paraId="5758E9FD" w14:textId="77777777" w:rsidR="00A8138F" w:rsidRDefault="00A8138F" w:rsidP="00A8138F">
      <w:pPr>
        <w:pStyle w:val="TextoNormal"/>
      </w:pPr>
    </w:p>
    <w:p w14:paraId="1734EA58" w14:textId="640EF7CD" w:rsidR="00A8138F" w:rsidRDefault="00A8138F" w:rsidP="00A8138F">
      <w:pPr>
        <w:pStyle w:val="TextoNormal"/>
      </w:pPr>
      <w:r w:rsidRPr="00A8138F">
        <w:rPr>
          <w:rStyle w:val="NumeroAFNegritaCaracter"/>
        </w:rPr>
        <w:t>9</w:t>
      </w:r>
      <w:r>
        <w:t>. Por diligencia de la Secretaría de Justicia de 21 de marzo de 2024, se hizo constar haberse recibido los escritos de alegaciones del Ministerio Fiscal y de la procuradora doña Nuria Feliú Suárez.</w:t>
      </w:r>
    </w:p>
    <w:p w14:paraId="585D3498" w14:textId="77777777" w:rsidR="00A8138F" w:rsidRDefault="00A8138F" w:rsidP="00A8138F">
      <w:pPr>
        <w:pStyle w:val="TextoNormal"/>
      </w:pPr>
    </w:p>
    <w:p w14:paraId="3DFC9C2C" w14:textId="1F001FA0" w:rsidR="00A8138F" w:rsidRDefault="00A8138F" w:rsidP="00A8138F">
      <w:pPr>
        <w:pStyle w:val="TextoNormal"/>
      </w:pPr>
      <w:r w:rsidRPr="00A8138F">
        <w:rPr>
          <w:rStyle w:val="NumeroAFNegritaCaracter"/>
        </w:rPr>
        <w:t>10</w:t>
      </w:r>
      <w:r>
        <w:t>. Mediante providencia de 8 de mayo de 2025, se señaló para deliberación y votación de la presente sentencia el día 12 del mismo mes y año.</w:t>
      </w:r>
    </w:p>
    <w:p w14:paraId="78F7ABEA" w14:textId="77777777" w:rsidR="00A8138F" w:rsidRDefault="00A8138F" w:rsidP="00A8138F">
      <w:pPr>
        <w:pStyle w:val="TextoNormal"/>
      </w:pPr>
    </w:p>
    <w:p w14:paraId="77A2658E" w14:textId="77777777" w:rsidR="00A8138F" w:rsidRDefault="00A8138F" w:rsidP="00A8138F">
      <w:pPr>
        <w:pStyle w:val="TextoNormalNegritaCentrado"/>
        <w:keepNext/>
      </w:pPr>
      <w:r>
        <w:t>II. Fundamentos jurídicos</w:t>
      </w:r>
    </w:p>
    <w:p w14:paraId="0660BDD2" w14:textId="485ECB19" w:rsidR="00A8138F" w:rsidRDefault="00A8138F" w:rsidP="00A8138F">
      <w:pPr>
        <w:pStyle w:val="TextoNormalNegritaCentrado"/>
        <w:keepNext/>
      </w:pPr>
    </w:p>
    <w:p w14:paraId="0079FA68" w14:textId="77777777" w:rsidR="00A8138F" w:rsidRDefault="00A8138F" w:rsidP="00A8138F">
      <w:pPr>
        <w:pStyle w:val="TextoNormal"/>
      </w:pPr>
      <w:r w:rsidRPr="00A8138F">
        <w:rPr>
          <w:rStyle w:val="NumeroAFNegritaCaracter"/>
        </w:rPr>
        <w:t>1</w:t>
      </w:r>
      <w:r>
        <w:t xml:space="preserve">. </w:t>
      </w:r>
      <w:r w:rsidRPr="00A8138F">
        <w:rPr>
          <w:i/>
        </w:rPr>
        <w:t>Objeto del recurso y delimitaciones previas al examen de fondo</w:t>
      </w:r>
    </w:p>
    <w:p w14:paraId="1C6D6EED" w14:textId="77777777" w:rsidR="00A8138F" w:rsidRDefault="00A8138F" w:rsidP="00A8138F">
      <w:pPr>
        <w:pStyle w:val="TextoNormal"/>
      </w:pPr>
    </w:p>
    <w:p w14:paraId="5E4C2318" w14:textId="77777777" w:rsidR="00A8138F" w:rsidRDefault="00A8138F" w:rsidP="00A8138F">
      <w:pPr>
        <w:pStyle w:val="TextoNormal"/>
      </w:pPr>
      <w:r>
        <w:t>a) Se interpone el presente recurso de amparo contra el auto de 14 de abril de 2023 de la Sala de lo Civil y Penal del Tribunal Superior de Justicia de Galicia, que acordó la inadmisión a trámite del recurso de apelación promovido por el aquí demandante de amparo contra el auto de la Sección Segunda de la Audiencia Provincial de Ourense, de 13 de diciembre de 2022, que desestimó la solicitud de revisión de la sentencia de condena dictada en apelación por aquella Sala del Tribunal Superior de Justicia de Galicia el 20 de abril de 2020 (revocando en parte la emitida por la Audiencia Provincial de Ourense el 22 de octubre de 2019). Revisión que fue instada por el recurrente tras la entrada en vigor de la Ley Orgánica 10/2022, de 6 de septiembre, de garantía integral de la libertad sexual.</w:t>
      </w:r>
    </w:p>
    <w:p w14:paraId="40F33E99" w14:textId="77777777" w:rsidR="00A8138F" w:rsidRDefault="00A8138F" w:rsidP="00A8138F">
      <w:pPr>
        <w:pStyle w:val="TextoNormal"/>
      </w:pPr>
    </w:p>
    <w:p w14:paraId="75211BED" w14:textId="77777777" w:rsidR="00A8138F" w:rsidRDefault="00A8138F" w:rsidP="00A8138F">
      <w:pPr>
        <w:pStyle w:val="TextoNormal"/>
      </w:pPr>
      <w:r>
        <w:t>Se dirige también la demanda de amparo contra el auto de la misma Sala y Tribunal Superior de Justicia, de 24 de mayo de 2023, que desestimó el recurso de súplica interpuesto por el recurrente contra el anterior auto.</w:t>
      </w:r>
    </w:p>
    <w:p w14:paraId="3AADF49F" w14:textId="77777777" w:rsidR="00A8138F" w:rsidRDefault="00A8138F" w:rsidP="00A8138F">
      <w:pPr>
        <w:pStyle w:val="TextoNormal"/>
      </w:pPr>
    </w:p>
    <w:p w14:paraId="316A4B4C" w14:textId="77777777" w:rsidR="00A8138F" w:rsidRDefault="00A8138F" w:rsidP="00A8138F">
      <w:pPr>
        <w:pStyle w:val="TextoNormal"/>
      </w:pPr>
      <w:r>
        <w:t>Ambas resoluciones judiciales apreciaron que no existía cobertura legal alguna para permitir la impugnación en apelación del auto de revisión de la sentencia de condena, únicamente el recurso no devolutivo de súplica. A esta respuesta jurisdiccional el recurrente atribuye la vulneración de los derechos fundamentales a la tutela judicial efectiva (art. 24.1 CE), en su vertiente de acceso al recurso; a la libertad individual (art. 17 CE); a un proceso con todas las garantías (art. 24.2 CE), y a la igualdad en aplicación de la ley (art. 14 CE), con arreglo a los motivos que expone en su demanda y han sido resumidos en el antecedente 3 de la presente sentencia.</w:t>
      </w:r>
    </w:p>
    <w:p w14:paraId="4355E169" w14:textId="77777777" w:rsidR="00A8138F" w:rsidRDefault="00A8138F" w:rsidP="00A8138F">
      <w:pPr>
        <w:pStyle w:val="TextoNormal"/>
      </w:pPr>
    </w:p>
    <w:p w14:paraId="780F3890" w14:textId="77777777" w:rsidR="00A8138F" w:rsidRDefault="00A8138F" w:rsidP="00A8138F">
      <w:pPr>
        <w:pStyle w:val="TextoNormal"/>
      </w:pPr>
      <w:r>
        <w:t>El fiscal ante este tribunal ha interesado en su escrito de alegaciones que se otorgue el amparo solicitado, en concreto por la lesión del derecho a un proceso con todas las garantías (derecho a la segunda instancia penal), y que se desestimen las demás quejas del recurso.</w:t>
      </w:r>
    </w:p>
    <w:p w14:paraId="5EAEAFD2" w14:textId="77777777" w:rsidR="00A8138F" w:rsidRDefault="00A8138F" w:rsidP="00A8138F">
      <w:pPr>
        <w:pStyle w:val="TextoNormal"/>
      </w:pPr>
    </w:p>
    <w:p w14:paraId="7DB04C04" w14:textId="77777777" w:rsidR="00A8138F" w:rsidRDefault="00A8138F" w:rsidP="00A8138F">
      <w:pPr>
        <w:pStyle w:val="TextoNormal"/>
      </w:pPr>
      <w:r>
        <w:t>b) Así trabado el debate constitucional, procede realizar dos puntualizaciones previas al inicio del examen de fondo del recurso.</w:t>
      </w:r>
    </w:p>
    <w:p w14:paraId="7FA4BC27" w14:textId="77777777" w:rsidR="00A8138F" w:rsidRDefault="00A8138F" w:rsidP="00A8138F">
      <w:pPr>
        <w:pStyle w:val="TextoNormal"/>
      </w:pPr>
    </w:p>
    <w:p w14:paraId="7F109E58" w14:textId="77777777" w:rsidR="00A8138F" w:rsidRDefault="00A8138F" w:rsidP="00A8138F">
      <w:pPr>
        <w:pStyle w:val="TextoNormal"/>
      </w:pPr>
      <w:r>
        <w:t>(i) La primera se refiere a la delimitación del objeto de este proceso constitucional. Ninguna de las cuatro quejas de la demanda de amparo está afectada de un óbice procesal que pudiera impedir su examen y las cuatro conciernen a una misma decisión jurisdiccional, la que niega la admisión a trámite de un recurso de apelación contra el auto revisor de la sentencia de condena firme, por lo que no se plantea diferencia en cuanto al alcance de la retroacción de las actuaciones en caso de estimarse alguna. Seguiremos por tanto para su enjuiciamiento el orden propuesto por la demanda, dando comienzo así por la queja de vulneración del derecho a la tutela judicial efectiva (art. 24.1 CE).</w:t>
      </w:r>
    </w:p>
    <w:p w14:paraId="3E2FECC6" w14:textId="77777777" w:rsidR="00A8138F" w:rsidRDefault="00A8138F" w:rsidP="00A8138F">
      <w:pPr>
        <w:pStyle w:val="TextoNormal"/>
      </w:pPr>
    </w:p>
    <w:p w14:paraId="084175DD" w14:textId="77777777" w:rsidR="00A8138F" w:rsidRDefault="00A8138F" w:rsidP="00A8138F">
      <w:pPr>
        <w:pStyle w:val="TextoNormal"/>
      </w:pPr>
      <w:r>
        <w:t>El fiscal sostiene en su escrito de alegaciones que este motivo debe ser rechazado, al entender que el derecho fundamental que entra en juego en este caso es en realidad el derecho a un proceso con todas las garantías (art. 24.2 CE), también deducido en la demanda, al tratarse de la denegación de recurso al penado (derecho a la doble instancia penal). Sin embargo, aunque en la demanda se habla en esta primera queja de la lesión del derecho “a los recursos legalmente procedentes” (lo que sería propio de la parte acusadora), lo que se cuestiona en este punto no es el alcance del derecho fundamental a recurrir atendiendo a su posición en el proceso o a las garantías propias del acusado y luego penado —lo que sí se desarrolla en la queja ulterior, la de lesión del derecho a un proceso con todas las garantías—, sino a la racionalidad de la decisión del Tribunal Superior de Justicia al desconocer el contenido material de la no revisión de la pena dado que, como se explica en la demanda, la garantía del art. 2.2 CP (carácter retroactivo de la norma sancionadora más favorable) supone una excepción al principio de intangibilidad de las resoluciones judiciales firmes, y existe una jurisprudencia consolidada de la Sala de lo Penal del Tribunal Supremo que permite interponer recurso devolutivo a ambas partes del proceso penal; jurisprudencia de la que han prescindido las resoluciones impugnadas.</w:t>
      </w:r>
    </w:p>
    <w:p w14:paraId="63838CE7" w14:textId="77777777" w:rsidR="00A8138F" w:rsidRDefault="00A8138F" w:rsidP="00A8138F">
      <w:pPr>
        <w:pStyle w:val="TextoNormal"/>
      </w:pPr>
    </w:p>
    <w:p w14:paraId="434A037A" w14:textId="77777777" w:rsidR="00A8138F" w:rsidRDefault="00A8138F" w:rsidP="00A8138F">
      <w:pPr>
        <w:pStyle w:val="TextoNormal"/>
      </w:pPr>
      <w:r>
        <w:t>Por tanto, son dos quejas autónomas y, solo en el supuesto de que se superase el control constitucional de racionalidad que se propugna en la primera de ellas (tutela judicial efectiva), cabría determinar a continuación si los autos recurridos desconocen el contenido esencial del derecho a la segunda instancia penal (art. 24.2 CE) del penado, aplicado a un ámbito concreto como es el del auto de revisión de la pena.</w:t>
      </w:r>
    </w:p>
    <w:p w14:paraId="4B4025E0" w14:textId="77777777" w:rsidR="00A8138F" w:rsidRDefault="00A8138F" w:rsidP="00A8138F">
      <w:pPr>
        <w:pStyle w:val="TextoNormal"/>
      </w:pPr>
    </w:p>
    <w:p w14:paraId="0C7ED3EB" w14:textId="77777777" w:rsidR="00A8138F" w:rsidRDefault="00A8138F" w:rsidP="00A8138F">
      <w:pPr>
        <w:pStyle w:val="TextoNormal"/>
      </w:pPr>
      <w:r>
        <w:t>(ii) Como segunda y última consideración previa al examen de fondo, debe informarse que se ha sustituido el nombre completo de la víctima del delito de agresión sexual declarado en la sentencia de instancia, “cuyo anonimato debe ser preservado de oficio por este tribunal, partiendo de que el acto de agresión sexual puede ser contado entre los ‘delitos de cuya difusión se deriven especiales perjuicios’, a los que se refiere el art. 1 del acuerdo de 23 de julio de 2015 [del Pleno de este Tribunal Constitucional], en línea con los precedentes en los que este tribunal ha decidido preservar la identidad de las personas que han sufrido este tipo de conductas (SSTC 185/2002, de 14 de octubre; 127/2003, de 30 de junio, o 246/2007, de 10 de diciembre)”, tal como hemos declarado para un caso semejante en la STC 80/2024, de 3 de junio, FJ 3, y reiterado en la más reciente STC 105/2025, de 29 de abril, FJ 1 B) b).</w:t>
      </w:r>
    </w:p>
    <w:p w14:paraId="79E21E83" w14:textId="77777777" w:rsidR="00A8138F" w:rsidRDefault="00A8138F" w:rsidP="00A8138F">
      <w:pPr>
        <w:pStyle w:val="TextoNormal"/>
      </w:pPr>
    </w:p>
    <w:p w14:paraId="67172786" w14:textId="25085FE8" w:rsidR="00A8138F" w:rsidRDefault="00A8138F" w:rsidP="00A8138F">
      <w:pPr>
        <w:pStyle w:val="TextoNormal"/>
      </w:pPr>
      <w:r>
        <w:t>En cambio, por lo que concierne al acusado en el proceso penal que actúa aquí como parte recurrente, se recoge su nombre completo siguiendo el criterio expuesto en las dos sentencias que se acaban de citar, ya que era mayor de edad cuando sucedió el hecho punible por el que ha sido condenado; por lo que se le aplica la regla general de publicidad garantizada por el art. 164 CE y el citado acuerdo del Pleno de este tribunal de 23 de julio de 2015, por el que se regula la exclusión de los datos de identidad personal en la publicación de las resoluciones jurisdiccionales.</w:t>
      </w:r>
    </w:p>
    <w:p w14:paraId="2A1272CA" w14:textId="77777777" w:rsidR="00A8138F" w:rsidRDefault="00A8138F" w:rsidP="00A8138F">
      <w:pPr>
        <w:pStyle w:val="TextoNormal"/>
      </w:pPr>
    </w:p>
    <w:p w14:paraId="2C805E2D" w14:textId="77777777" w:rsidR="00A8138F" w:rsidRDefault="00A8138F" w:rsidP="00A8138F">
      <w:pPr>
        <w:pStyle w:val="TextoNormal"/>
      </w:pPr>
      <w:r w:rsidRPr="00A8138F">
        <w:rPr>
          <w:rStyle w:val="NumeroAFNegritaCaracter"/>
        </w:rPr>
        <w:t>2</w:t>
      </w:r>
      <w:r>
        <w:t xml:space="preserve">. </w:t>
      </w:r>
      <w:r w:rsidRPr="00A8138F">
        <w:rPr>
          <w:i/>
        </w:rPr>
        <w:t>Resolución sobre el fondo. Aplicación de la doctrina sentada por la STC 105/2025, de 29 de abril. Estimación de la demanda de amparo</w:t>
      </w:r>
    </w:p>
    <w:p w14:paraId="2ECD2D52" w14:textId="77777777" w:rsidR="00A8138F" w:rsidRDefault="00A8138F" w:rsidP="00A8138F">
      <w:pPr>
        <w:pStyle w:val="TextoNormal"/>
      </w:pPr>
    </w:p>
    <w:p w14:paraId="1F35E45F" w14:textId="77777777" w:rsidR="00A8138F" w:rsidRDefault="00A8138F" w:rsidP="00A8138F">
      <w:pPr>
        <w:pStyle w:val="TextoNormal"/>
      </w:pPr>
      <w:r>
        <w:t xml:space="preserve">La argumentación vertida por las dos resoluciones judiciales impugnadas en este proceso coincide sustancialmente con la que ya ha sido analizada por este tribunal al examinar los autos recurridos en el recurso de amparo avocado núm. 4330-2023, identidad que no es casual ya que provienen del mismo órgano judicial (la Sala de lo Civil y Penal del Tribunal Superior de Justicia de Galicia). Dicho recurso se resolvió por el Pleno con resultado estimatorio, en la reciente STC 105/2025, de 29 de abril. Entonces, como ahora, la Sala </w:t>
      </w:r>
      <w:r w:rsidRPr="00A8138F">
        <w:rPr>
          <w:i/>
        </w:rPr>
        <w:t>ad quem</w:t>
      </w:r>
      <w:r>
        <w:t xml:space="preserve"> denegó el recurso de apelación presentado contra un auto de revisión de sentencia firme de condena, dictado por la Sección competente de la Audiencia Provincial tras la entrada en vigor de la Ley Orgánica 10/2022, de 6 de septiembre, de garantía integral de la libertad sexual, aseverando aquella Sala que a falta de norma legal expresa que prevea el carácter recurrible de esta clase de decisión, el silencio del legislador debe ser tomado como indicativo de su voluntad contraria a permitir su interposición, separándose con ello dicho órgano judicial de la jurisprudencia reiterada de la Sala de lo Penal del Tribunal Supremo que ha venido garantizando la posibilidad de recurso para ambas partes del proceso penal, con independencia pues de que el auto revisor acceda a una rebaja de la pena o la mantenga en sus términos originales. La única diferencia entre ambos recursos de amparo es que el núm. 4330-2023 lo promovió la acusación particular en la causa (el auto había accedido a una rebaja de la pena de prisión por el delito de agresión sexual) y en este es el penado quien lo promueve.</w:t>
      </w:r>
    </w:p>
    <w:p w14:paraId="5A5BAF9B" w14:textId="77777777" w:rsidR="00A8138F" w:rsidRDefault="00A8138F" w:rsidP="00A8138F">
      <w:pPr>
        <w:pStyle w:val="TextoNormal"/>
      </w:pPr>
    </w:p>
    <w:p w14:paraId="4AC8204C" w14:textId="77777777" w:rsidR="00A8138F" w:rsidRDefault="00A8138F" w:rsidP="00A8138F">
      <w:pPr>
        <w:pStyle w:val="TextoNormal"/>
      </w:pPr>
      <w:r>
        <w:t>Al tener por tanto conocimiento de que se habían admitido a trámite dos recursos de amparo sobre la misma cuestión, alegándose en ambos la vulneración entre otros del derecho fundamental a la tutela judicial efectiva (art. 24.1 CE), cada uno de ellos promovido por una parte procesal distinta, y de que el debate de fondo lo es ante todo de racionalidad de la decisión judicial adoptada y no de los límites sobre el alcance del derecho al recurso según la posición procesal que se ostente (lo que, se insiste, sí se invoca en otra de las quejas del presente recurso de amparo núm. 4755-2023), el Pleno de este tribunal ha dado una respuesta en dicha STC 105/2005 al problema planteado, también con una perspectiva global, de modo que pueda ser aplicable tanto a la víctima del delito constituida en parte acusadora, como al Ministerio Fiscal o en su caso al penado, como aquí sucede, frente a denegaciones de recursos devolutivos en este ámbito.</w:t>
      </w:r>
    </w:p>
    <w:p w14:paraId="63B84B11" w14:textId="77777777" w:rsidR="00A8138F" w:rsidRDefault="00A8138F" w:rsidP="00A8138F">
      <w:pPr>
        <w:pStyle w:val="TextoNormal"/>
      </w:pPr>
    </w:p>
    <w:p w14:paraId="2EC46183" w14:textId="77777777" w:rsidR="00A8138F" w:rsidRDefault="00A8138F" w:rsidP="00A8138F">
      <w:pPr>
        <w:pStyle w:val="TextoNormal"/>
      </w:pPr>
      <w:r>
        <w:t>Procede por tanto hacer aplicación aquí de la doctrina sentada en la mencionada STC 105/2025, en la que el Pleno del Tribunal ha declarado que vulnera el derecho fundamental a la tutela judicial efectiva (art. 24.1 CE) una resolución judicial que, como la aquí atacada, niega la admisión a trámite de un recurso devolutivo (apelación) contra un auto revisor de una sentencia de condena, con el único argumento de que el silencio del legislador equivale a una voluntad implícita de este de impedir dicho recurso, sin ninguna otra consideración al respecto. Y prescindiendo para ello de una reiterada jurisprudencia de la Sala de lo Penal del Tribunal Supremo que quedó plasmada cinco años antes de dictarse los autos del Tribunal Superior de Justicia de Galicia en 2023, jurisprudencia que se asienta a su vez en razonamientos respetuosos con aquel derecho fundamental (resolución fundada en Derecho), interpretando que en todo caso aquel silencio del legislador evidencia que no ha considerado necesario intervenir para prohibir tales recursos y que dichos autos deben contar con el mismo régimen de impugnación de la sentencia de condena firme que revisan, con cuya resolución se integran al comportar un nuevo examen de fondo, ahora bajo la nueva norma penal. Teniendo en cuenta además, conviene no olvidarlo, que conforme a la LECrim las sentencias condenatorias pueden ser impugnadas por ambas partes del proceso penal, al margen del distinto contenido del derecho fundamental al recurso que asiste a cada una.</w:t>
      </w:r>
    </w:p>
    <w:p w14:paraId="5921BAD7" w14:textId="77777777" w:rsidR="00A8138F" w:rsidRDefault="00A8138F" w:rsidP="00A8138F">
      <w:pPr>
        <w:pStyle w:val="TextoNormal"/>
      </w:pPr>
    </w:p>
    <w:p w14:paraId="152E51CF" w14:textId="77777777" w:rsidR="00A8138F" w:rsidRDefault="00A8138F" w:rsidP="00A8138F">
      <w:pPr>
        <w:pStyle w:val="TextoNormal"/>
      </w:pPr>
      <w:r>
        <w:t>Así, se señala en la STC 105/2025, FJ 3 A) c), que “nada hay en el enunciado de esta jurisprudencia [de la Sala de lo Penal del Tribunal Supremo] que pueda tildarse de arbitrario, irrazonable o fundado en un error fáctico patente; ni con ella se menoscaba el derecho al recurso de las partes en el proceso penal, sea que se incardine este como vertiente del derecho a la tutela judicial efectiva, cual sucede con las aquí demandantes de amparo (parte acusadora en el procedimiento de origen) o, tratándose de la parte acusada, del derecho a la doble instancia penal (derecho a un proceso con todas las garantías, art. 24.2 CE).</w:t>
      </w:r>
    </w:p>
    <w:p w14:paraId="3C602E8B" w14:textId="77777777" w:rsidR="00A8138F" w:rsidRDefault="00A8138F" w:rsidP="00A8138F">
      <w:pPr>
        <w:pStyle w:val="TextoNormal"/>
      </w:pPr>
    </w:p>
    <w:p w14:paraId="52073307" w14:textId="77777777" w:rsidR="00A8138F" w:rsidRDefault="00A8138F" w:rsidP="00A8138F">
      <w:pPr>
        <w:pStyle w:val="TextoNormal"/>
      </w:pPr>
      <w:r>
        <w:t>Esta doctrina no articula un régimen propio de impugnación para aquellos autos, lo que supondría invadir las competencias del Poder Legislativo, sino que se limita a extender para ellos los mismos recursos ya creados por ley para las sentencias firmes que revisan, al ser resoluciones complementarias de estas, en las que el órgano judicial emite un nuevo juicio sobre el fondo (calificación jurídica, penalidad), sea que estime o no que deban modificarse las penas.</w:t>
      </w:r>
    </w:p>
    <w:p w14:paraId="487CAD87" w14:textId="77777777" w:rsidR="00A8138F" w:rsidRDefault="00A8138F" w:rsidP="00A8138F">
      <w:pPr>
        <w:pStyle w:val="TextoNormal"/>
      </w:pPr>
    </w:p>
    <w:p w14:paraId="4C665E1A" w14:textId="77777777" w:rsidR="00A8138F" w:rsidRDefault="00A8138F" w:rsidP="00A8138F">
      <w:pPr>
        <w:pStyle w:val="TextoNormal"/>
      </w:pPr>
      <w:r>
        <w:t>La aplicación al presente caso de dicho criterio jurisprudencial suponía conceder […] la posibilidad de interponer, dado que la investigación se abrió con posterioridad a la entrada en vigor de la Ley 41/2015, de 5 de octubre, el recurso de apelación que en efecto presentaron contra el auto de la Audiencia Provincial de Ourense, en virtud del gravamen que se les causó al acordar este la reducción de las penas al condenado”.</w:t>
      </w:r>
    </w:p>
    <w:p w14:paraId="1D83BC3F" w14:textId="77777777" w:rsidR="00A8138F" w:rsidRDefault="00A8138F" w:rsidP="00A8138F">
      <w:pPr>
        <w:pStyle w:val="TextoNormal"/>
      </w:pPr>
    </w:p>
    <w:p w14:paraId="715D8A35" w14:textId="77777777" w:rsidR="00A8138F" w:rsidRDefault="00A8138F" w:rsidP="00A8138F">
      <w:pPr>
        <w:pStyle w:val="TextoNormal"/>
      </w:pPr>
      <w:r>
        <w:t>Puntualizando además la STC 105/2025, en el fundamento jurídico 3 A) d), que con posterioridad a la STS 606/2018, que recoge el criterio favorable a conceder el recurso devolutivo que corresponda (en este caso, apelación), la propia Sala de lo Penal del Alto Tribunal ha mantenido su aplicación tras la entrada en vigor de la Ley Orgánica 10/2022, con reseña de varias de las sentencias dictadas al efecto.</w:t>
      </w:r>
    </w:p>
    <w:p w14:paraId="1485A4AC" w14:textId="77777777" w:rsidR="00A8138F" w:rsidRDefault="00A8138F" w:rsidP="00A8138F">
      <w:pPr>
        <w:pStyle w:val="TextoNormal"/>
      </w:pPr>
    </w:p>
    <w:p w14:paraId="31E8BA81" w14:textId="77777777" w:rsidR="00A8138F" w:rsidRDefault="00A8138F" w:rsidP="00A8138F">
      <w:pPr>
        <w:pStyle w:val="TextoNormal"/>
      </w:pPr>
      <w:r>
        <w:t>Consecuencia pues de lo expuesto ha de ser también aquí la estimación del recurso de amparo, por vulneración del derecho a la tutela judicial efectiva del recurrente (art. 24.1 CE), por cuanto los autos impugnados no dan “razones lógicas que sustenten la inaplicabilidad de dicha jurisprudencia, con el resultado de vedar a ambas partes del proceso penal [en este caso, al penado] su derecho al recurso”. Del mismo modo como acordamos en aquella STC 105/2025, FJ 3 C), procede declarar la nulidad de las resoluciones judiciales recurridas, “y, como medida de reparación de su derecho, la orden de retroacción de las actuaciones al momento inmediatamente anterior al de recaer el primero de esos dos autos, para que en su lugar la misma Sala pronuncie una resolución que resulte respetuosa con el derecho fundamental declarado”.</w:t>
      </w:r>
    </w:p>
    <w:p w14:paraId="7F6E7C76" w14:textId="77777777" w:rsidR="00A8138F" w:rsidRDefault="00A8138F" w:rsidP="00A8138F">
      <w:pPr>
        <w:pStyle w:val="TextoNormal"/>
      </w:pPr>
    </w:p>
    <w:p w14:paraId="105ED6AA" w14:textId="269CF1BC" w:rsidR="00A8138F" w:rsidRDefault="00A8138F" w:rsidP="00A8138F">
      <w:pPr>
        <w:pStyle w:val="TextoNormal"/>
      </w:pPr>
      <w:r>
        <w:t>La estimación de este primer motivo de la demanda releva de tener que entrar en el examen de las restantes quejas deducidas en dicho escrito.</w:t>
      </w:r>
    </w:p>
    <w:p w14:paraId="0D541F47" w14:textId="77777777" w:rsidR="00A8138F" w:rsidRDefault="00A8138F" w:rsidP="00A8138F">
      <w:pPr>
        <w:pStyle w:val="TextoNormal"/>
      </w:pPr>
    </w:p>
    <w:p w14:paraId="72B43F50" w14:textId="77777777" w:rsidR="00A8138F" w:rsidRDefault="00A8138F" w:rsidP="00A8138F">
      <w:pPr>
        <w:pStyle w:val="TextoNormalCentrado"/>
        <w:keepNext/>
      </w:pPr>
      <w:r>
        <w:t>FALLO</w:t>
      </w:r>
    </w:p>
    <w:p w14:paraId="1F8A36CA" w14:textId="14649BA8" w:rsidR="00A8138F" w:rsidRDefault="00A8138F" w:rsidP="00A8138F">
      <w:pPr>
        <w:pStyle w:val="TextoNormalCentrado"/>
        <w:keepNext/>
      </w:pPr>
    </w:p>
    <w:p w14:paraId="054A83E7"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Javier Gabarri Jiménez y, en consecuencia:</w:t>
      </w:r>
    </w:p>
    <w:p w14:paraId="6B4A7CAD" w14:textId="77777777" w:rsidR="00A8138F" w:rsidRDefault="00A8138F" w:rsidP="00A8138F">
      <w:pPr>
        <w:pStyle w:val="TextoNormal"/>
      </w:pPr>
    </w:p>
    <w:p w14:paraId="32F8894D" w14:textId="77777777" w:rsidR="00A8138F" w:rsidRDefault="00A8138F" w:rsidP="00A8138F">
      <w:pPr>
        <w:pStyle w:val="TextoNormal"/>
      </w:pPr>
      <w:r>
        <w:t>1º Declarar que ha sido vulnerado el derecho fundamental del demandante de amparo a la tutela judicial efectiva sin indefensión (art. 24.1 CE).</w:t>
      </w:r>
    </w:p>
    <w:p w14:paraId="4A111019" w14:textId="77777777" w:rsidR="00A8138F" w:rsidRDefault="00A8138F" w:rsidP="00A8138F">
      <w:pPr>
        <w:pStyle w:val="TextoNormal"/>
      </w:pPr>
    </w:p>
    <w:p w14:paraId="1752A584" w14:textId="77777777" w:rsidR="00A8138F" w:rsidRDefault="00A8138F" w:rsidP="00A8138F">
      <w:pPr>
        <w:pStyle w:val="TextoNormal"/>
      </w:pPr>
      <w:r>
        <w:t>2º Restablecerle en su derecho y, a tal fin, declarar la nulidad de los autos de 14 de abril de 2023 y 24 de mayo de 2023, dictados por la Sala de lo Civil y Penal del Tribunal Superior de Justicia de Galicia, con sede en A Coruña, en el rollo de apelación núm. 21-2023.</w:t>
      </w:r>
    </w:p>
    <w:p w14:paraId="3B38F796" w14:textId="77777777" w:rsidR="00A8138F" w:rsidRDefault="00A8138F" w:rsidP="00A8138F">
      <w:pPr>
        <w:pStyle w:val="TextoNormal"/>
      </w:pPr>
    </w:p>
    <w:p w14:paraId="0AA45295" w14:textId="09208839" w:rsidR="00A8138F" w:rsidRDefault="00A8138F" w:rsidP="00A8138F">
      <w:pPr>
        <w:pStyle w:val="TextoNormal"/>
      </w:pPr>
      <w:r>
        <w:t>3º Retrotraer el procedimiento de apelación al momento inmediatamente anterior al de dictarse el primero de los dos autos mencionados, para que la Sala de lo Civil y Penal dicte en su lugar una resolución que resulte respetuosa con el derecho fundamental declarado.</w:t>
      </w:r>
    </w:p>
    <w:p w14:paraId="409043A2" w14:textId="77777777" w:rsidR="00A8138F" w:rsidRDefault="00A8138F" w:rsidP="00A8138F">
      <w:pPr>
        <w:pStyle w:val="TextoNormal"/>
      </w:pPr>
    </w:p>
    <w:p w14:paraId="454B923E" w14:textId="77777777" w:rsidR="00A8138F" w:rsidRDefault="00A8138F" w:rsidP="00A8138F">
      <w:pPr>
        <w:pStyle w:val="TextoNormal"/>
      </w:pPr>
      <w:r>
        <w:t>Publíquese esta sentencia en el “Boletín Oficial del Estado”.</w:t>
      </w:r>
    </w:p>
    <w:p w14:paraId="5B3EC73C" w14:textId="77777777" w:rsidR="00A8138F" w:rsidRDefault="00A8138F" w:rsidP="00A8138F">
      <w:pPr>
        <w:pStyle w:val="TextoNormal"/>
      </w:pPr>
      <w:r>
        <w:t>Dada en Madrid, a doce de mayo de dos mil veinticinco.</w:t>
      </w:r>
    </w:p>
    <w:p w14:paraId="2A956DAC" w14:textId="7F362538" w:rsidR="00A8138F" w:rsidRDefault="00A8138F" w:rsidP="00A8138F">
      <w:pPr>
        <w:pStyle w:val="ParrafoNormal"/>
      </w:pPr>
    </w:p>
    <w:p w14:paraId="6B4BE193" w14:textId="77777777" w:rsidR="00A8138F" w:rsidRDefault="00A8138F" w:rsidP="00A8138F">
      <w:pPr>
        <w:pStyle w:val="TextoNormalNegritaCentrado"/>
        <w:keepNext/>
      </w:pPr>
      <w:r>
        <w:t>Voto particular que formula la magistrada doña Concepción Espejel Jorquera a la sentencia de 12 de mayo de 2025, dictada por la Sala Primera en el recurso de amparo núm. 4755-2023, que estima el recurso interpuesto por don Javier Gabarri Jiménez contra los autos de 14 de abril de 2023 y 24 de mayo de 2023, dictados por la Sala de lo Civil y Penal del Tribunal Superior de Justicia de Galicia en el rollo de apelación núm. 21-2023</w:t>
      </w:r>
    </w:p>
    <w:p w14:paraId="0C0B4A85" w14:textId="4FB8456A" w:rsidR="00A8138F" w:rsidRDefault="00A8138F" w:rsidP="00A8138F">
      <w:pPr>
        <w:pStyle w:val="TextoNormalNegritaCentrado"/>
        <w:keepNext/>
      </w:pPr>
    </w:p>
    <w:p w14:paraId="238EDDF2" w14:textId="77777777" w:rsidR="00A8138F" w:rsidRDefault="00A8138F" w:rsidP="00A8138F">
      <w:pPr>
        <w:pStyle w:val="TextoNormal"/>
      </w:pPr>
      <w:r>
        <w:t>En el ejercicio de la facultad conferida por el artículo 90.2 LOTC y con respeto a la opinión de mis compañeros, formulo el presente voto particular por discrepar de la fundamentación jurídica y del fallo de la sentencia por cuanto, como expuse durante la deliberación en la Sala, considero que el recurso debió ser desestimado por no haber vulnerado los autos impugnados el derecho a la tutela judicial efectiva sin indefensión del recurrente (art. 24.1 CE), en su vertiente de derecho al recurso.</w:t>
      </w:r>
    </w:p>
    <w:p w14:paraId="0C73197F" w14:textId="77777777" w:rsidR="00A8138F" w:rsidRDefault="00A8138F" w:rsidP="00A8138F">
      <w:pPr>
        <w:pStyle w:val="TextoNormal"/>
      </w:pPr>
    </w:p>
    <w:p w14:paraId="39081D99" w14:textId="77777777" w:rsidR="00A8138F" w:rsidRDefault="00A8138F" w:rsidP="00A8138F">
      <w:pPr>
        <w:pStyle w:val="TextoNormal"/>
      </w:pPr>
      <w:r>
        <w:t>Mi discrepancia se basa en gran parte en los argumentos que expuse en el voto particular formulado a la STC 105/2025, de 29 de abril, del Pleno, dictada en el recurso de amparo avocado núm. 4330-2023, y que, en lo coincidente, paso a resumir añadiendo las razones propias del presente caso.</w:t>
      </w:r>
    </w:p>
    <w:p w14:paraId="2E799064" w14:textId="77777777" w:rsidR="00A8138F" w:rsidRDefault="00A8138F" w:rsidP="00A8138F">
      <w:pPr>
        <w:pStyle w:val="TextoNormal"/>
      </w:pPr>
    </w:p>
    <w:p w14:paraId="402C6E85" w14:textId="77777777" w:rsidR="00A8138F" w:rsidRDefault="00A8138F" w:rsidP="00A8138F">
      <w:pPr>
        <w:pStyle w:val="TextoNormal"/>
      </w:pPr>
      <w:r>
        <w:t xml:space="preserve">1. </w:t>
      </w:r>
      <w:r w:rsidRPr="00A8138F">
        <w:rPr>
          <w:i/>
        </w:rPr>
        <w:t>Introducción: canon de control constitucional aplicado al caso</w:t>
      </w:r>
    </w:p>
    <w:p w14:paraId="174AC49E" w14:textId="77777777" w:rsidR="00A8138F" w:rsidRDefault="00A8138F" w:rsidP="00A8138F">
      <w:pPr>
        <w:pStyle w:val="TextoNormal"/>
      </w:pPr>
    </w:p>
    <w:p w14:paraId="2E0C2F29" w14:textId="77777777" w:rsidR="00A8138F" w:rsidRDefault="00A8138F" w:rsidP="00A8138F">
      <w:pPr>
        <w:pStyle w:val="TextoNormal"/>
      </w:pPr>
      <w:r>
        <w:t>El objeto del recurso de amparo del que dimana la sentencia de la que disiento ha quedado limitado a la vulneración del derecho fundamental del recurrente a la tutela judicial efectiva sin indefensión (art. 24.1 CE), en su vertiente de derecho al recurso, en concreto, del derecho a recurrir en apelación, ante la Sala de lo Civil y Penal del Tribunal Superior de Justicia de Galicia, el auto de la Audiencia Provincial de Orense que resolvió negativamente la petición del penado de revisión de la condena que le fue inicialmente impuesta en sentencia firme como consecuencia de la entrada en vigor de Ley Orgánica 10/2022, de 6 de septiembre, de garantía integral de la libertad sexual.</w:t>
      </w:r>
    </w:p>
    <w:p w14:paraId="76CE3015" w14:textId="77777777" w:rsidR="00A8138F" w:rsidRDefault="00A8138F" w:rsidP="00A8138F">
      <w:pPr>
        <w:pStyle w:val="TextoNormal"/>
      </w:pPr>
    </w:p>
    <w:p w14:paraId="2716C136" w14:textId="77777777" w:rsidR="00A8138F" w:rsidRDefault="00A8138F" w:rsidP="00A8138F">
      <w:pPr>
        <w:pStyle w:val="TextoNormal"/>
      </w:pPr>
      <w:r>
        <w:t>La doctrina constitucional viene siendo constante al declarar que “[e]l derecho de acceso al recurso, a diferencia del derecho de acceso a la jurisdicción que nace directamente del art. 24.1 CE, se incorpora al derecho a la tutela judicial efectiva en la forma en que cada una de las leyes de enjuiciamiento configura el sistema de recursos en los diferentes órdenes jurisdiccionales, salvo en el orden penal respecto de las sentencias condenatorias frente a las que existe un derecho a la revisión de la condena y la pena por un tribunal superior, derecho que se incorpora a las garantías constitucionales del proceso justo. Dada su configuración legal, el control constitucional del derecho de acceso al recurso es más limitado que el control de acceso a la jurisdicción y no alcanza a revisar los pronunciamientos referidos a la inadmisión de recursos al ser esta una cuestión de legalidad ordinaria, salvo en aquellos supuestos en que la interpretación o aplicación de los requisitos procesales conlleve una inadmisión que resulte arbitraria, manifiestamente irrazonable o incurra en un error de hecho patente con relevancia constitucional. En consecuencia, ‘el control por la jurisdicción constitucional de las decisiones judiciales de inadmisión de este incidente es meramente externo: viene limitado a comprobar si tienen motivación, y si esta se apoya en un error fáctico patente, en un razonamiento arbitrario o que incurra en manifiesta irrazonabilidad lógica, evitando toda ponderación acerca de su corrección jurídica’ [STC 151/2022, de 30 de noviembre, FJ 4 c), que resume la doctrina expuesta]” (STC 153/2023, de 20 de noviembre, FJ 3).</w:t>
      </w:r>
    </w:p>
    <w:p w14:paraId="07ACC945" w14:textId="77777777" w:rsidR="00A8138F" w:rsidRDefault="00A8138F" w:rsidP="00A8138F">
      <w:pPr>
        <w:pStyle w:val="TextoNormal"/>
      </w:pPr>
    </w:p>
    <w:p w14:paraId="59218F8C" w14:textId="77777777" w:rsidR="00A8138F" w:rsidRDefault="00A8138F" w:rsidP="00A8138F">
      <w:pPr>
        <w:pStyle w:val="TextoNormal"/>
      </w:pPr>
      <w:r>
        <w:t>La sentencia de la que disiento aplica al recurso del condenado el mismo canon que en la STC 105/2025, cuando en ambos casos la posición procesal de los recurrentes en amparo era inasimilable al ser diametralmente opuesta, al haber sido planteado por la acusación particular el recurso de amparo que dio lugar a aquella sentencia, mientras que quien acudió a nuestra sede en el presente caso fue el condenado.</w:t>
      </w:r>
    </w:p>
    <w:p w14:paraId="6E37D6CF" w14:textId="77777777" w:rsidR="00A8138F" w:rsidRDefault="00A8138F" w:rsidP="00A8138F">
      <w:pPr>
        <w:pStyle w:val="TextoNormal"/>
      </w:pPr>
    </w:p>
    <w:p w14:paraId="7F9F83E7" w14:textId="77777777" w:rsidR="00A8138F" w:rsidRDefault="00A8138F" w:rsidP="00A8138F">
      <w:pPr>
        <w:pStyle w:val="TextoNormal"/>
      </w:pPr>
      <w:r>
        <w:t>En consecuencia, considero que el canon de control no podía ser el mismo, el del derecho a la tutela judicial efectiva (art. 24.1 CE) en su vertiente de derecho la recurso, sino que, por el contrario, la sentencia debió analizar y, en su caso, aplicar el canon fijado por la doctrina constitucional sobre el derecho del acusado al doble grado de jurisdicción, encuadrado en otro derecho fundamental, como es el derecho a un proceso con todas las garantías del art. 24.2 CE, también alegado por el recurrente en amparo y que mereció el apoyo estimatorio del Ministerio Fiscal.</w:t>
      </w:r>
    </w:p>
    <w:p w14:paraId="3EDB59A2" w14:textId="77777777" w:rsidR="00A8138F" w:rsidRDefault="00A8138F" w:rsidP="00A8138F">
      <w:pPr>
        <w:pStyle w:val="TextoNormal"/>
      </w:pPr>
    </w:p>
    <w:p w14:paraId="776AD808" w14:textId="77777777" w:rsidR="00A8138F" w:rsidRDefault="00A8138F" w:rsidP="00A8138F">
      <w:pPr>
        <w:pStyle w:val="TextoNormal"/>
      </w:pPr>
      <w:r>
        <w:t>Paso a continuación a desarrollar las objeciones por las que discrepo de la decisión adoptada por la Sala: (i) la inexistencia de efecto vinculante de los precedentes sentados por la jurisprudencia del Tribunal Supremo; (ii) la errónea aplicación del canon relativo al derecho a la tutela judicial efectiva (art. 24.1 CE), en su manifestación del derecho al recurso; y (iii) la omisión de análisis y posible estimación del motivo por vulneración del derecho a un proceso con todas las garantías (art. 24.2 CE), que incluye el derecho del condenado a la doble instancia penal.</w:t>
      </w:r>
    </w:p>
    <w:p w14:paraId="57358232" w14:textId="77777777" w:rsidR="00A8138F" w:rsidRDefault="00A8138F" w:rsidP="00A8138F">
      <w:pPr>
        <w:pStyle w:val="TextoNormal"/>
      </w:pPr>
    </w:p>
    <w:p w14:paraId="74AA7966" w14:textId="77777777" w:rsidR="00A8138F" w:rsidRDefault="00A8138F" w:rsidP="00A8138F">
      <w:pPr>
        <w:pStyle w:val="TextoNormal"/>
      </w:pPr>
      <w:r>
        <w:t xml:space="preserve">2. </w:t>
      </w:r>
      <w:r w:rsidRPr="00A8138F">
        <w:rPr>
          <w:i/>
        </w:rPr>
        <w:t>Inexistencia de efecto vinculante de los precedentes sentados por la jurisprudencia del Tribunal Supremo</w:t>
      </w:r>
    </w:p>
    <w:p w14:paraId="631C3ED3" w14:textId="77777777" w:rsidR="00A8138F" w:rsidRDefault="00A8138F" w:rsidP="00A8138F">
      <w:pPr>
        <w:pStyle w:val="TextoNormal"/>
      </w:pPr>
    </w:p>
    <w:p w14:paraId="38CB10B1" w14:textId="77777777" w:rsidR="00A8138F" w:rsidRDefault="00A8138F" w:rsidP="00A8138F">
      <w:pPr>
        <w:pStyle w:val="TextoNormal"/>
      </w:pPr>
      <w:r>
        <w:t>Como sostuve en el voto particular discrepante de la STC 105/2025, parto de la máxima consideración debida a la indiscutible autoridad de la doctrina jurisprudencial que emana de las Salas del Tribunal Supremo y de la función integradora de su jurisprudencia (art. 1.6 CC), si bien, en lo que ahora atañe, este Tribunal Constitucional únicamente admitió en la STC 37/2012, de 19 de marzo, del Pleno, y en la misma línea en las SSTC 7/2015, de 22 de enero; 115/2017, de 19 de octubre, y 143/2020, de 19 de octubre, la vinculación de la doctrina legal de la Sala de lo Contencioso-Administrativo en sentencias dictadas en recursos de casación en interés de ley del art. 100.7 de la Ley 29/1998, de 13 de julio, reguladora de la jurisdicción contencioso-administrativa —suprimido por la Ley Orgánica 7/2015, de 21 de julio, por la que se modifica la Ley Orgánica 6/1985, de 1 de julio, del Poder Judicial—, y que tal vinculación no menoscababa el principio de independencia judicial del art. 117.1 CE.</w:t>
      </w:r>
    </w:p>
    <w:p w14:paraId="4197F57E" w14:textId="77777777" w:rsidR="00A8138F" w:rsidRDefault="00A8138F" w:rsidP="00A8138F">
      <w:pPr>
        <w:pStyle w:val="TextoNormal"/>
      </w:pPr>
    </w:p>
    <w:p w14:paraId="47A8DB88" w14:textId="77777777" w:rsidR="00A8138F" w:rsidRDefault="00A8138F" w:rsidP="00A8138F">
      <w:pPr>
        <w:pStyle w:val="TextoNormal"/>
      </w:pPr>
      <w:r>
        <w:t>Asimismo, la misma sentencia declaró que, fuera del ámbito del recurso de casación contencioso-administrativo en interés de ley, la jurisprudencia del Tribunal Supremo no tiene carácter vinculante, aunque sí cumple con la función de integrar el ordenamiento que le asigna el ya citado art. 1.6 del Código civil. De modo que, si bien “los órganos judiciales de grado inferior no están necesariamente vinculados por la doctrina de los tribunales superiores en grado, ni aun siquiera por la jurisprudencia del Tribunal Supremo, con la excepción [de los recursos de casación en interés de ley] todo ello [lo es]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 en los términos que después se expresan”.</w:t>
      </w:r>
    </w:p>
    <w:p w14:paraId="39D1262B" w14:textId="77777777" w:rsidR="00A8138F" w:rsidRDefault="00A8138F" w:rsidP="00A8138F">
      <w:pPr>
        <w:pStyle w:val="TextoNormal"/>
      </w:pPr>
    </w:p>
    <w:p w14:paraId="46711C70" w14:textId="77777777" w:rsidR="00A8138F" w:rsidRDefault="00A8138F" w:rsidP="00A8138F">
      <w:pPr>
        <w:pStyle w:val="TextoNormal"/>
      </w:pPr>
      <w:r>
        <w:t>Más adelante, la STC 37/2012 afirma que “[c]onforme a lo expuesto, la independencia judicial (art. 117.1 CE) permite que los órganos judiciales inferiores en grado discrepen, mediante un razonamiento fundado en Derecho, del criterio sostenido por tribunales superiores e incluso de la jurisprudencia sentada por el Tribunal Supremo (art. 1.6 del Código civil), si fuere el caso, sin que con ello se vulnere el principio de igualdad en aplicación de la ley, al tratarse de órganos judiciales diferentes (SSTC 160/1993, de 17 de mayo, FJ 2; 165/1999, de 27 de septiembre, FJ 6, y 87/2008, de 21 de julio, FJ 5, por todas), y tampoco el derecho a la tutela judicial efectiva, con la excepción, justamente, del supuesto de la doctrina legal que establezca el Tribunal Supremo al resolver el recurso de casación en interés de ley, precisamente por los efectos vinculantes que tiene para los órganos judiciales inferiores en grado”.</w:t>
      </w:r>
    </w:p>
    <w:p w14:paraId="0E2FB0F2" w14:textId="77777777" w:rsidR="00A8138F" w:rsidRDefault="00A8138F" w:rsidP="00A8138F">
      <w:pPr>
        <w:pStyle w:val="TextoNormal"/>
      </w:pPr>
    </w:p>
    <w:p w14:paraId="35E95271" w14:textId="77777777" w:rsidR="00A8138F" w:rsidRDefault="00A8138F" w:rsidP="00A8138F">
      <w:pPr>
        <w:pStyle w:val="TextoNormal"/>
      </w:pPr>
      <w:r>
        <w:t>La claridad de esta doctrina no precisa de mayor comentario; la singularidad de aquellas sentencias dictadas en recursos de casación contencioso-administrativos en interés de ley era la publicación de su doctrina en el “Boletín Oficial del Estado”, lo que daba a su doctrina la publicidad y fijeza necesarias para ser de general conocimiento y garantizar la seguridad jurídica. Por lo tanto, la vinculación al precedente en estos casos procedía de la propia ley, que anudaba a esas sentencias un efecto vinculante, con lo cual la sujeción judicial a la doctrina jurisprudencial se debía a la sumisión al imperio de la ley.</w:t>
      </w:r>
    </w:p>
    <w:p w14:paraId="20AED191" w14:textId="77777777" w:rsidR="00A8138F" w:rsidRDefault="00A8138F" w:rsidP="00A8138F">
      <w:pPr>
        <w:pStyle w:val="TextoNormal"/>
      </w:pPr>
    </w:p>
    <w:p w14:paraId="09D53A1D" w14:textId="77777777" w:rsidR="00A8138F" w:rsidRDefault="00A8138F" w:rsidP="00A8138F">
      <w:pPr>
        <w:pStyle w:val="TextoNormal"/>
      </w:pPr>
      <w:r>
        <w:t>Esta circunstancia no se da en el resto de las sentencias del Tribunal Supremo, que no gozan de esa publicidad ni es exigible que los tribunales tengan que conocer todas y cada una de las sentencias que dictan sus Salas. Por otra parte, ha de ser reiterada la doctrina del Tribunal Supremo que complemente el ordenamiento jurídico al interpretar y aplicar las genuinas fuentes del Derecho: la ley, la costumbre y los principios generales del Derecho (art. 1.6 CC). En definitiva, los precedentes jurisprudenciales, conforme al sistema de fuentes, carecen de efecto vinculante al no atribuírselo la ley, así como de la fijeza y generalidad predicables de las normas jurídicas.</w:t>
      </w:r>
    </w:p>
    <w:p w14:paraId="6134F6EB" w14:textId="77777777" w:rsidR="00A8138F" w:rsidRDefault="00A8138F" w:rsidP="00A8138F">
      <w:pPr>
        <w:pStyle w:val="TextoNormal"/>
      </w:pPr>
    </w:p>
    <w:p w14:paraId="0CE3EF77" w14:textId="77777777" w:rsidR="00A8138F" w:rsidRDefault="00A8138F" w:rsidP="00A8138F">
      <w:pPr>
        <w:pStyle w:val="TextoNormal"/>
      </w:pPr>
      <w:r>
        <w:t xml:space="preserve">3. </w:t>
      </w:r>
      <w:r w:rsidRPr="00A8138F">
        <w:rPr>
          <w:i/>
        </w:rPr>
        <w:t>Errónea aplicación del canon relativo al derecho a la tutela judicial efectiva (art. 24.1 CE) en su manifestación del derecho al recurso</w:t>
      </w:r>
    </w:p>
    <w:p w14:paraId="3593D805" w14:textId="77777777" w:rsidR="00A8138F" w:rsidRDefault="00A8138F" w:rsidP="00A8138F">
      <w:pPr>
        <w:pStyle w:val="TextoNormal"/>
      </w:pPr>
    </w:p>
    <w:p w14:paraId="08A2D6F7" w14:textId="77777777" w:rsidR="00A8138F" w:rsidRDefault="00A8138F" w:rsidP="00A8138F">
      <w:pPr>
        <w:pStyle w:val="TextoNormal"/>
      </w:pPr>
      <w:r>
        <w:t xml:space="preserve">A la vista doctrina constitucional acabada de reseñar, no puedo compartir lo que en mimética traslación del fundamento de la STC 105/2025, constituye la </w:t>
      </w:r>
      <w:r w:rsidRPr="00A8138F">
        <w:rPr>
          <w:i/>
        </w:rPr>
        <w:t>ratio decidendi</w:t>
      </w:r>
      <w:r>
        <w:t xml:space="preserve"> de la estimación de este recurso de amparo, que puede condensarse en la siguiente frase del fundamento jurídico 2 de la sentencia de la que discrepo: “ha de ser también aquí la estimación del recurso de amparo, por vulneración del derecho a la tutela judicial efectiva del recurrente (art. 24.1 CE), por cuanto los autos impugnados no dan ‘razones lógicas que sustenten la inaplicabilidad de dicha jurisprudencia, con el resultado de vedar a ambas partes del proceso penal [en este caso, al penado] su derecho al recurso’”.</w:t>
      </w:r>
    </w:p>
    <w:p w14:paraId="074E821E" w14:textId="77777777" w:rsidR="00A8138F" w:rsidRDefault="00A8138F" w:rsidP="00A8138F">
      <w:pPr>
        <w:pStyle w:val="TextoNormal"/>
      </w:pPr>
    </w:p>
    <w:p w14:paraId="32751922" w14:textId="77777777" w:rsidR="00A8138F" w:rsidRDefault="00A8138F" w:rsidP="00A8138F">
      <w:pPr>
        <w:pStyle w:val="TextoNormal"/>
      </w:pPr>
      <w:r>
        <w:t>Se reprocha, por tanto, a la Sala de lo Civil y Penal del Tribunal Superior de Justicia de Galicia que ofreciera su propia interpretación del régimen jurídico aplicable a la recurribilidad de este tipo de resoluciones. La conclusión a la que llegó aquel tribunal en los dos autos ahora impugnados se basa en los siguientes argumentos:</w:t>
      </w:r>
    </w:p>
    <w:p w14:paraId="539A0C95" w14:textId="77777777" w:rsidR="00A8138F" w:rsidRDefault="00A8138F" w:rsidP="00A8138F">
      <w:pPr>
        <w:pStyle w:val="TextoNormal"/>
      </w:pPr>
    </w:p>
    <w:p w14:paraId="5F145573" w14:textId="77777777" w:rsidR="00A8138F" w:rsidRDefault="00A8138F" w:rsidP="00A8138F">
      <w:pPr>
        <w:pStyle w:val="TextoNormal"/>
      </w:pPr>
      <w:r>
        <w:t>(i) El legislador en la Ley Orgánica 10/1995, de 23 de noviembre, del Código penal, en la Ley de enjuiciamiento criminal y en la Ley Orgánica 10/2022, de 6 de septiembre, de garantía integral de la libertad sexual, rehusó establecer un régimen de impugnabilidad de los autos de revisión —o de no revisión— de una sentencia firme como consecuencia de la entrada en vigor de una legislación más favorable; en concreto, no se encuentra rastro de la apelabilidad ante las Salas de lo Civil y Penal de los Tribunales Superiores de Justicia de los autos de revisión de sentencia dictados por una audiencia. Por el contrario, la disposición transitoria de la Ley Orgánica 8/1983, de 25 de junio, de reforma urgente y parcial del Código penal, previó que los autos dictados por un juzgado o por una audiencia resolutorios de la revisión de sentencia podían ser recurridos, respectivamente, en apelación o casación.</w:t>
      </w:r>
    </w:p>
    <w:p w14:paraId="05E423A7" w14:textId="77777777" w:rsidR="00A8138F" w:rsidRDefault="00A8138F" w:rsidP="00A8138F">
      <w:pPr>
        <w:pStyle w:val="TextoNormal"/>
      </w:pPr>
    </w:p>
    <w:p w14:paraId="67E257BC" w14:textId="77777777" w:rsidR="00A8138F" w:rsidRDefault="00A8138F" w:rsidP="00A8138F">
      <w:pPr>
        <w:pStyle w:val="TextoNormal"/>
      </w:pPr>
      <w:r>
        <w:t xml:space="preserve">(ii) Los autos son únicamente susceptibles de recurso de súplica </w:t>
      </w:r>
      <w:r w:rsidRPr="00A8138F">
        <w:rPr>
          <w:i/>
        </w:rPr>
        <w:t>ex</w:t>
      </w:r>
      <w:r>
        <w:t xml:space="preserve"> artículo 236 LECrim si se trata —como en el caso— de la decisión de una audiencia. La realidad normativa vigente excluye cualquier recurso devolutivo contra los autos en cuestión o, si se prefiere, el legislador no lo previó pudiéndolo haber hecho.</w:t>
      </w:r>
    </w:p>
    <w:p w14:paraId="28C5143A" w14:textId="77777777" w:rsidR="00A8138F" w:rsidRDefault="00A8138F" w:rsidP="00A8138F">
      <w:pPr>
        <w:pStyle w:val="TextoNormal"/>
      </w:pPr>
    </w:p>
    <w:p w14:paraId="1C3DF8F0" w14:textId="77777777" w:rsidR="00A8138F" w:rsidRDefault="00A8138F" w:rsidP="00A8138F">
      <w:pPr>
        <w:pStyle w:val="TextoNormal"/>
      </w:pPr>
      <w:r>
        <w:t>(iii) Puede darse por supuesto que la cobertura a la recurribilidad en apelación ante el Tribunal Superior de Justicia es implícitamente jurisprudencial. El Ministerio Fiscal al informar sostiene dicha competencia sobre la base de un “criterio jurisprudencial consolidado” por la Sala de lo Penal del Tribunal Supremo y sobre la base de una de las directrices (la 9 del apartado tercero) del decreto de la Fiscalía General del Estado de 21 de noviembre de 2022; directriz reducida a invocar y transcribir parte de la STS 606/2018, de 28 de noviembre, a los efectos de asegurar que “contra las resoluciones resolviendo la revisión de las sentencias condenatorias firmes podrán interponerse los mismos recursos que, en su caso, cabrían contra la sentencia condenatoria”.</w:t>
      </w:r>
    </w:p>
    <w:p w14:paraId="29C445F3" w14:textId="77777777" w:rsidR="00A8138F" w:rsidRDefault="00A8138F" w:rsidP="00A8138F">
      <w:pPr>
        <w:pStyle w:val="TextoNormal"/>
      </w:pPr>
    </w:p>
    <w:p w14:paraId="04DD0A1B" w14:textId="77777777" w:rsidR="00A8138F" w:rsidRDefault="00A8138F" w:rsidP="00A8138F">
      <w:pPr>
        <w:pStyle w:val="TextoNormal"/>
      </w:pPr>
      <w:r>
        <w:t>La Sala del Tribunal Superior de Justicia afirma que el respeto que merece semejante criterio no ha de conducir a asumirlo, so pena, en caso contrario, de vincularse a la “viabilidad” jurisprudencial, pero no legal, de un recurso de apelación, máxime cuando la Sala de lo Penal, en la precitada sentencia de referencia, reconoce, en primer lugar, que el legislador (a partir de 1995) no ha “aclarado” el régimen de impugnabilidad de los autos de revisión o no revisión de condena; en segundo lugar, que “la proyección del régimen general de la Ley Procesal Penal arrastraría a un escenario en que solo sería factible un recurso de súplica si se trata —como es el caso— de una audiencia”; y, en tercer lugar, que la tesis del propio Tribunal Supremo en orden a la apelabilidad de esas resoluciones de una audiencia ante el Tribunal Superior de Justicia, antes de la ulterior casación, carece de “explícito soporte legal”.</w:t>
      </w:r>
    </w:p>
    <w:p w14:paraId="621A5A59" w14:textId="77777777" w:rsidR="00A8138F" w:rsidRDefault="00A8138F" w:rsidP="00A8138F">
      <w:pPr>
        <w:pStyle w:val="TextoNormal"/>
      </w:pPr>
    </w:p>
    <w:p w14:paraId="77B53F6E" w14:textId="77777777" w:rsidR="00A8138F" w:rsidRDefault="00A8138F" w:rsidP="00A8138F">
      <w:pPr>
        <w:pStyle w:val="TextoNormal"/>
      </w:pPr>
      <w:r>
        <w:t xml:space="preserve">(iv) Para percatarse de la falta de soporte legal no hay más que atender al artículo 846 </w:t>
      </w:r>
      <w:r w:rsidRPr="00A8138F">
        <w:rPr>
          <w:i/>
        </w:rPr>
        <w:t>ter</w:t>
      </w:r>
      <w:r>
        <w:t xml:space="preserve">.1 LECrim y confrontarlo con el artículo 999 LECrim. En definitiva, habrá que convenir que la indicada apelabilidad, jurisprudencialmente reconocida, pugna a su vez con la previsión legal </w:t>
      </w:r>
      <w:r w:rsidRPr="00A8138F">
        <w:rPr>
          <w:i/>
        </w:rPr>
        <w:t>ex</w:t>
      </w:r>
      <w:r>
        <w:t xml:space="preserve"> artículo 236 LECrim tocante a que el recurso de apelación contra los autos de los tribunales de lo criminal podrá interponerse “únicamente en aquellos casos expresamente previstos en la Ley” conforme al citado art. 846 </w:t>
      </w:r>
      <w:r w:rsidRPr="00A8138F">
        <w:rPr>
          <w:i/>
        </w:rPr>
        <w:t>ter</w:t>
      </w:r>
      <w:r>
        <w:t>.1: “Los autos que supongan la finalización del proceso por falta de jurisdicción o sobreseimiento libre y las sentencias dictadas por las audiencias provinciales o la Sala de lo Penal de la Audiencia Nacional en primera instancia son recurribles en apelación ante las Salas de lo Civil y Penal de los Tribunales Superiores de Justicia de su territorio y ante la sala de apelación de la Audiencia Nacional, respectivamente, que resolverán las apelaciones en sentencia”.</w:t>
      </w:r>
    </w:p>
    <w:p w14:paraId="223C4901" w14:textId="77777777" w:rsidR="00A8138F" w:rsidRDefault="00A8138F" w:rsidP="00A8138F">
      <w:pPr>
        <w:pStyle w:val="TextoNormal"/>
      </w:pPr>
    </w:p>
    <w:p w14:paraId="4819D9A7" w14:textId="77777777" w:rsidR="00A8138F" w:rsidRDefault="00A8138F" w:rsidP="00A8138F">
      <w:pPr>
        <w:pStyle w:val="TextoNormal"/>
      </w:pPr>
      <w:r>
        <w:t>(v) La vulneración del derecho fundamental a la tutela judicial efectiva (art. 24.1 CE), en su vertiente de derecho a acceder a los recursos legalmente procedentes, se habría producido si se hubiese denegado al penado un recurso al que tuviera derecho, pero no hay tal vulneración en la medida en que se le ha impedido el acceso a un recurso legalmente improcedente. No cabe un recurso no previsto legalmente por mucho que pudiera ser razonable que la ley sí lo previera. Si el legislador hubiera querido modificar el régimen de recursos existente frente a las resoluciones de las audiencias bastaba con haberlo hecho, máxime cuando se reformó el Código penal y era evidente que se iban a producir unas revisiones de condena que beneficiarían a una de las partes y perjudicarían a otra.</w:t>
      </w:r>
    </w:p>
    <w:p w14:paraId="3046E687" w14:textId="77777777" w:rsidR="00A8138F" w:rsidRDefault="00A8138F" w:rsidP="00A8138F">
      <w:pPr>
        <w:pStyle w:val="TextoNormal"/>
      </w:pPr>
    </w:p>
    <w:p w14:paraId="51435C06" w14:textId="77777777" w:rsidR="00A8138F" w:rsidRDefault="00A8138F" w:rsidP="00A8138F">
      <w:pPr>
        <w:pStyle w:val="TextoNormal"/>
      </w:pPr>
      <w:r>
        <w:t xml:space="preserve">Para la Sala del Tribunal Superior de Justicia la STS 606/2018, de 28 de noviembre, realmente no se está pronunciando en ningún momento acerca de por qué cabría semejante recurso o, por lo menos, no lo refiere a la ley procesal por más que hable de “lógica apabullante”, de “no generar asimetrías”, de “coherencia” y de otros </w:t>
      </w:r>
      <w:r w:rsidRPr="00A8138F">
        <w:rPr>
          <w:i/>
        </w:rPr>
        <w:t>desiderata</w:t>
      </w:r>
      <w:r>
        <w:t>, pero ni una sola palabra de la falta de asiento legal en que basar esa voluntariosa analogía.</w:t>
      </w:r>
    </w:p>
    <w:p w14:paraId="262AAFB0" w14:textId="77777777" w:rsidR="00A8138F" w:rsidRDefault="00A8138F" w:rsidP="00A8138F">
      <w:pPr>
        <w:pStyle w:val="TextoNormal"/>
      </w:pPr>
    </w:p>
    <w:p w14:paraId="7209F039" w14:textId="77777777" w:rsidR="00A8138F" w:rsidRDefault="00A8138F" w:rsidP="00A8138F">
      <w:pPr>
        <w:pStyle w:val="TextoNormal"/>
      </w:pPr>
      <w:r>
        <w:t>Ante el silencio en este punto de la Ley Orgánica 10/2022, no observo ápice de irrazonabilidad alguno en la fundamentación de las resoluciones adoptadas por el Tribunal Superior de Justicia de Galicia, tal como se le reprocha, a la hora de aplicar las normas sobre admisibilidad del recurso de apelación frente a los autos de las audiencias; sino que, por el contrario, de conformidad al sistema de fuentes en materia procesal, se ajustó al régimen previsto en la Ley de enjuiciamiento criminal.</w:t>
      </w:r>
    </w:p>
    <w:p w14:paraId="10C4D920" w14:textId="77777777" w:rsidR="00A8138F" w:rsidRDefault="00A8138F" w:rsidP="00A8138F">
      <w:pPr>
        <w:pStyle w:val="TextoNormal"/>
      </w:pPr>
    </w:p>
    <w:p w14:paraId="5DDF9530" w14:textId="77777777" w:rsidR="00A8138F" w:rsidRDefault="00A8138F" w:rsidP="00A8138F">
      <w:pPr>
        <w:pStyle w:val="TextoNormal"/>
      </w:pPr>
      <w:r>
        <w:t>Mantengo, como me parece obvio, que en el ejercicio independiente de la función jurisdiccional con exclusivo sometimiento al imperio de la ley (art. 117.1 CE), un tribunal puede separarse de la interpretación de la ley procedente de otro tribunal, incluido el Tribunal Supremo, sin necesidad de calificar la interpretación o criterio del que discrepa como irrazonable o contrario al ejercicio de los derechos fundamentales de las partes, salvo que una norma con rango de ley y, por tanto, nuevamente bajo el imperio de la ley, establezca el carácter vinculante del precedente jurisdiccional.</w:t>
      </w:r>
    </w:p>
    <w:p w14:paraId="5CB69B25" w14:textId="77777777" w:rsidR="00A8138F" w:rsidRDefault="00A8138F" w:rsidP="00A8138F">
      <w:pPr>
        <w:pStyle w:val="TextoNormal"/>
      </w:pPr>
    </w:p>
    <w:p w14:paraId="7F3EDAEA" w14:textId="77777777" w:rsidR="00A8138F" w:rsidRDefault="00A8138F" w:rsidP="00A8138F">
      <w:pPr>
        <w:pStyle w:val="TextoNormal"/>
      </w:pPr>
      <w:r>
        <w:t xml:space="preserve">4. </w:t>
      </w:r>
      <w:r w:rsidRPr="00A8138F">
        <w:rPr>
          <w:i/>
        </w:rPr>
        <w:t>Omisión del análisis y posible estimación del motivo por vulneración del derecho a un proceso con todas las garantías (art. 24.2 CE), en cuanto abarca el derecho del condenado a la doble instancia penal</w:t>
      </w:r>
    </w:p>
    <w:p w14:paraId="14257750" w14:textId="77777777" w:rsidR="00A8138F" w:rsidRDefault="00A8138F" w:rsidP="00A8138F">
      <w:pPr>
        <w:pStyle w:val="TextoNormal"/>
      </w:pPr>
    </w:p>
    <w:p w14:paraId="0E55B048" w14:textId="77777777" w:rsidR="00A8138F" w:rsidRDefault="00A8138F" w:rsidP="00A8138F">
      <w:pPr>
        <w:pStyle w:val="TextoNormal"/>
      </w:pPr>
      <w:r>
        <w:t>El demandante de amparo invoca asimismo el derecho a un proceso con todas las garantías (art. 24.2 CE), en la vertiente del derecho al doble grado de jurisdicción en materia penal que consagra el art. 2 del Protocolo núm. 7 al CEDH, en relación con el art. 14.5 del Pacto internacional de derechos civiles y políticos (PIDCP), relativo al derecho de la persona declarada culpable de un delito a que el fallo condenatorio y la pena que se le haya impuesto sean sometidos a un tribunal superior, al entender que fue indebidamente privado de la doble instancia penal por la inadmisión del recurso de apelación que planteó, motivo de amparo que fue apoyado por el Ministerio Fiscal quien, por el contrario, se opuso al planteado por vulneración del derecho a la tutela judicial efectiva sin indefensión, al que se debe la estimación del recurso de amparo.</w:t>
      </w:r>
    </w:p>
    <w:p w14:paraId="4455C74F" w14:textId="77777777" w:rsidR="00A8138F" w:rsidRDefault="00A8138F" w:rsidP="00A8138F">
      <w:pPr>
        <w:pStyle w:val="TextoNormal"/>
      </w:pPr>
    </w:p>
    <w:p w14:paraId="5E1AA944" w14:textId="77777777" w:rsidR="00A8138F" w:rsidRDefault="00A8138F" w:rsidP="00A8138F">
      <w:pPr>
        <w:pStyle w:val="TextoNormal"/>
      </w:pPr>
      <w:r>
        <w:t>La sentencia de la que discrepo declara que “[l]a estimación de este primer motivo [por vulneración del derecho fundamental a la tutela judicial efectiva sin indefensión (art. 24.1 CE)] de la demanda releva de tener que entrar en el examen de las restantes quejas deducidas en dicho escrito”. Esta declaración, que no incurre en vicio de incongruencia omisiva, sin embargo sustrae al Tribunal del análisis del motivo de amparo que más satisfactoriamente habría resuelto la cuestión relativa a la recurribilidad ante un tribunal superior de los autos de revisión de la condena, tal como fue instado por el condenado en sede judicial y en este recurso de amparo.</w:t>
      </w:r>
    </w:p>
    <w:p w14:paraId="0A255157" w14:textId="77777777" w:rsidR="00A8138F" w:rsidRDefault="00A8138F" w:rsidP="00A8138F">
      <w:pPr>
        <w:pStyle w:val="TextoNormal"/>
      </w:pPr>
    </w:p>
    <w:p w14:paraId="49A6560C" w14:textId="77777777" w:rsidR="00A8138F" w:rsidRDefault="00A8138F" w:rsidP="00A8138F">
      <w:pPr>
        <w:pStyle w:val="TextoNormal"/>
      </w:pPr>
      <w:r>
        <w:t xml:space="preserve">En mi opinión, quedó sustraída a la deliberación de la Sala la prosperabilidad de este motivo de amparo, sujeto a que hubieran quedado despejadas dos incógnitas: (i) si, a estos efectos, es asimilable a la sentencia de condena el auto de revisión de sentencia condenatoria y (ii) si, en caso de respuesta afirmativa a la hipótesis anterior, el tribunal </w:t>
      </w:r>
      <w:r w:rsidRPr="00A8138F">
        <w:rPr>
          <w:i/>
        </w:rPr>
        <w:t>a quo</w:t>
      </w:r>
      <w:r>
        <w:t xml:space="preserve"> debió admitir el recurso a pesar del silencio normativo y en aplicación, no de la jurisprudencia de la Sala de lo Penal del Tribunal Supremo, al no ser fuente del Derecho, sino del art. 10.2 CE en relación con los arts. 14.5 del Pacto internacional de derechos civiles y políticos, de 19 de diciembre de 1966 (“[t]oda persona declarada culpable de un delito tendrá derecho a que el fallo condenatorio y la pena que se le haya impuesto sean sometidos a un tribunal superior, conforme a lo prescrito por la ley”) y 2.1 del Protocolo núm. 7 al Convenio para la protección de los derechos humanos y de las libertades fundamentales, de 22 de noviembre de 1984 (“[t]oda persona declarada culpable de una infracción penal por un tribunal tendra derecho a hacer que la declaración de culpabilidad o la condena sea examinada por un órgano jurisdiccional superior. El ejercicio de ese derecho, incluidos los motivos por los que podrá ejercerse, se regularán por la ley”), acuerdos internacionales de los que es parte el Reino de España y dada la supremacía de las normas de Derecho internacional.</w:t>
      </w:r>
    </w:p>
    <w:p w14:paraId="6924EA0D" w14:textId="77777777" w:rsidR="00A8138F" w:rsidRDefault="00A8138F" w:rsidP="00A8138F">
      <w:pPr>
        <w:pStyle w:val="TextoNormal"/>
      </w:pPr>
    </w:p>
    <w:p w14:paraId="2528E6A3" w14:textId="77777777" w:rsidR="00A8138F" w:rsidRDefault="00A8138F" w:rsidP="00A8138F">
      <w:pPr>
        <w:pStyle w:val="TextoNormal"/>
      </w:pPr>
      <w:r>
        <w:t xml:space="preserve">La respuesta afirmativa a ambas premisas para la eventual estimación de este motivo de amparo habría requerido una argumentación específica frente a los razonamientos de la Sala </w:t>
      </w:r>
      <w:r w:rsidRPr="00A8138F">
        <w:rPr>
          <w:i/>
        </w:rPr>
        <w:t>a quo</w:t>
      </w:r>
      <w:r>
        <w:t>, que rechazó también en este punto la pretensión del recurrente.</w:t>
      </w:r>
    </w:p>
    <w:p w14:paraId="751D5926" w14:textId="77777777" w:rsidR="00A8138F" w:rsidRDefault="00A8138F" w:rsidP="00A8138F">
      <w:pPr>
        <w:pStyle w:val="TextoNormal"/>
      </w:pPr>
    </w:p>
    <w:p w14:paraId="3B405DDA" w14:textId="77777777" w:rsidR="00A8138F" w:rsidRDefault="00A8138F" w:rsidP="00A8138F">
      <w:pPr>
        <w:pStyle w:val="TextoNormal"/>
      </w:pPr>
      <w:r>
        <w:t>5</w:t>
      </w:r>
      <w:r w:rsidRPr="00A8138F">
        <w:rPr>
          <w:i/>
        </w:rPr>
        <w:t>. Conclusi</w:t>
      </w:r>
      <w:r>
        <w:t>ón</w:t>
      </w:r>
    </w:p>
    <w:p w14:paraId="2AC6A997" w14:textId="77777777" w:rsidR="00A8138F" w:rsidRDefault="00A8138F" w:rsidP="00A8138F">
      <w:pPr>
        <w:pStyle w:val="TextoNormal"/>
      </w:pPr>
    </w:p>
    <w:p w14:paraId="6663183B" w14:textId="77777777" w:rsidR="00A8138F" w:rsidRDefault="00A8138F" w:rsidP="00A8138F">
      <w:pPr>
        <w:pStyle w:val="TextoNormal"/>
      </w:pPr>
      <w:r>
        <w:t>En virtud de las precedentes consideraciones, concluyo que el recurso de amparo debió ser desestimado en aplicación de nuestra constante doctrina sobre el derecho al recurso en el proceso penal, al entender que la decisión de la Sala de lo Civil y Penal del Tribunal Superior de Justicia de Galicia sobre admisibilidad del recurso de apelación frente al auto de la Audiencia Provincial de Orense en materia de revisión de condena, interpuesto por la acusación particular, no debió calificarse como “irracional” sino, por el contrario, debidamente motivada conforme al régimen de recursos legalmente aplicable.</w:t>
      </w:r>
    </w:p>
    <w:p w14:paraId="22DAC507" w14:textId="77777777" w:rsidR="00A8138F" w:rsidRDefault="00A8138F" w:rsidP="00A8138F">
      <w:pPr>
        <w:pStyle w:val="TextoNormal"/>
      </w:pPr>
    </w:p>
    <w:p w14:paraId="4D39F130" w14:textId="77777777" w:rsidR="00A8138F" w:rsidRDefault="00A8138F" w:rsidP="00A8138F">
      <w:pPr>
        <w:pStyle w:val="TextoNormal"/>
      </w:pPr>
      <w:r>
        <w:t>Por otra parte, cabía la posibilidad de estimación del motivo de amparo por vulneración del derecho del recurrente a un proceso con todas las garantías, al verse privado del derecho a la doble instancia penal que se le reconoce dada su condición de penado y que, debido a la estimación del motivo anterior, fue excluido de la deliberación y fallo de la sentencia.</w:t>
      </w:r>
    </w:p>
    <w:p w14:paraId="232A9071" w14:textId="77777777" w:rsidR="00A8138F" w:rsidRDefault="00A8138F" w:rsidP="00A8138F">
      <w:pPr>
        <w:pStyle w:val="TextoNormal"/>
      </w:pPr>
    </w:p>
    <w:p w14:paraId="6618E8FC" w14:textId="32F40423" w:rsidR="00A8138F" w:rsidRDefault="00A8138F" w:rsidP="00A8138F">
      <w:pPr>
        <w:pStyle w:val="TextoNormal"/>
      </w:pPr>
      <w:r>
        <w:t>Madrid, a doce de mayo de dos mil veinticinco.</w:t>
      </w:r>
    </w:p>
    <w:p w14:paraId="41C7D82D" w14:textId="77777777" w:rsidR="00A8138F" w:rsidRDefault="00A8138F" w:rsidP="00A8138F">
      <w:pPr>
        <w:pStyle w:val="TextoNormal"/>
      </w:pPr>
    </w:p>
    <w:p w14:paraId="6AE2CBB9" w14:textId="77777777" w:rsidR="00A8138F" w:rsidRDefault="00A8138F" w:rsidP="00A8138F">
      <w:pPr>
        <w:pStyle w:val="TextoNormalNegritaCentrado"/>
        <w:keepNext/>
      </w:pPr>
      <w:r>
        <w:t>Voto particular concurrente que formula el magistrado don José María Macías Castaño respecto de la sentencia dictada en el recurso de amparo núm. 4755-2023</w:t>
      </w:r>
    </w:p>
    <w:p w14:paraId="321753A1" w14:textId="43F00B00" w:rsidR="00A8138F" w:rsidRDefault="00A8138F" w:rsidP="00A8138F">
      <w:pPr>
        <w:pStyle w:val="TextoNormalNegritaCentrado"/>
        <w:keepNext/>
      </w:pPr>
    </w:p>
    <w:p w14:paraId="4CFD352C" w14:textId="77777777" w:rsidR="00A8138F" w:rsidRDefault="00A8138F" w:rsidP="00A8138F">
      <w:pPr>
        <w:pStyle w:val="TextoNormal"/>
      </w:pPr>
      <w:r>
        <w:t>En el ejercicio de la facultad que me confiere el artículo 90.2 de la Ley Orgánica del Tribunal Constitucional, y con el máximo respeto al criterio propuesto por el ponente y asumido por la mayoría de la Sala, me veo en la obligación de formular el presente voto particular concurrente dado que, aunque estoy conforme —en lo sustancial— con la decisión adoptada en cuanto estima el recurso de amparo y declara la nulidad de las resoluciones impugnadas, discrepo del planteamiento metodológico y de la línea argumental seguida por la sentencia dictada en el asunto de referencia.</w:t>
      </w:r>
    </w:p>
    <w:p w14:paraId="44703D9D" w14:textId="77777777" w:rsidR="00A8138F" w:rsidRDefault="00A8138F" w:rsidP="00A8138F">
      <w:pPr>
        <w:pStyle w:val="TextoNormal"/>
      </w:pPr>
    </w:p>
    <w:p w14:paraId="7A9D1EBB" w14:textId="77777777" w:rsidR="00A8138F" w:rsidRDefault="00A8138F" w:rsidP="00A8138F">
      <w:pPr>
        <w:pStyle w:val="TextoNormal"/>
      </w:pPr>
      <w:r>
        <w:t xml:space="preserve">I. </w:t>
      </w:r>
      <w:r w:rsidRPr="00A8138F">
        <w:rPr>
          <w:i/>
        </w:rPr>
        <w:t>Remisión al voto particular concurrente emitido respecto de la STC 105/2025, de 29 de abril</w:t>
      </w:r>
    </w:p>
    <w:p w14:paraId="37D57BA6" w14:textId="77777777" w:rsidR="00A8138F" w:rsidRDefault="00A8138F" w:rsidP="00A8138F">
      <w:pPr>
        <w:pStyle w:val="TextoNormal"/>
      </w:pPr>
    </w:p>
    <w:p w14:paraId="1B5464AA" w14:textId="77777777" w:rsidR="00A8138F" w:rsidRDefault="00A8138F" w:rsidP="00A8138F">
      <w:pPr>
        <w:pStyle w:val="TextoNormal"/>
      </w:pPr>
      <w:r>
        <w:t>Como cuestión preliminar, y como base metodológica esencial para entender los motivos de mi discrepancia parcial con los miembros de la Sala, debo remitirme al voto particular concurrente emitido respecto de la STC 105/2025, de 29 de abril, dictada por el Pleno. En ese voto se ponía de manifiesto, en síntesis, que el Tribunal había perdido la oportunidad de abordar el problema de fondo planteado en aquel (y en este) recurso de amparo, consistente en determinar si un órgano judicial puede apartarse o no de una concreta doctrina jurisprudencial y, en su caso, las condiciones y los requisitos para ello. Ese era el núcleo central de estos recursos y lo que, de hecho, a mi juicio, justificaba su especial trascendencia constitucional, al no haber doctrina sobre este concreto particular. A partir de ese planteamiento, la sentencia suscitaba un cierto desenfoque en el encuadramiento del derecho fundamental afectado y en el consiguiente canon de control de la constitucionalidad de las resoluciones impugnadas. Desde mi punto de vista, el derecho afectado era (y es) la tutela judicial efectiva (art. 24.1 CE), en su vertiente de derecho a obtener una resolución motivada y fundada en Derecho, al que resulta de aplicación el canon de control de razonabilidad, tendente a valorar si las resoluciones impugnadas son o no arbitrarias, ilógicas o incursas en error patente (ver, por todas, STC 61/2021, de 15 de marzo, FJ 4), aunque con los matices derivados de lo que denominé en el citado voto la “vinculación relativa a la jurisprudencia”. Conforme a la relevancia específica de la doctrina jurisprudencial, el adecuado equilibrio entre la vocación de aplicabilidad de la jurisprudencia como complemento del ordenamiento jurídico [art. 1.6 del Código civil (CC)] y la independencia de criterio de los órganos de la jurisdicción ordinaria (art. 117.1 CE) debe exigir, por un lado, que el apartamiento de la doctrina del Tribunal Supremo esté basado en la propia irrazonabilidad de esa jurisprudencia y, por otro, que esa irrazonabilidad esté adecuadamente motivada y fundada en Derecho en la resolución objeto de control (sobre los supuestos en los que pueda hablarse de irrazonabilidad jurisprudencial, me remito a los ejemplos ofrecidos en el propio voto particular).</w:t>
      </w:r>
    </w:p>
    <w:p w14:paraId="066196CD" w14:textId="77777777" w:rsidR="00A8138F" w:rsidRDefault="00A8138F" w:rsidP="00A8138F">
      <w:pPr>
        <w:pStyle w:val="TextoNormal"/>
      </w:pPr>
    </w:p>
    <w:p w14:paraId="73413154" w14:textId="77777777" w:rsidR="00A8138F" w:rsidRDefault="00A8138F" w:rsidP="00A8138F">
      <w:pPr>
        <w:pStyle w:val="TextoNormal"/>
      </w:pPr>
      <w:r>
        <w:t>La sentencia de la que ahora discrepo parcialmente aplica la doctrina expuesta en la STC 105/2025 reiterando, por tanto, los mismos criterios que desfiguraban el adecuado enfoque del problema planteado. Nuestra función no puede limitarse a una suerte de opinión dirimente sobre la razonabilidad de cada una de las tesis opuestas. De esa manera no solo renunciamos a situarnos en el plano del control externo de la razonabilidad de las resoluciones impugnadas, que es el que corresponde al derecho fundamental afectado, sino que nos adentramos en el terreno de la mera interpretación de la legalidad ordinaria, impropio de nuestro ámbito funcional (por todos, ATC 53/2017, de 19 de abril, FJ 2). Por ello, el resultado del control de constitucionalidad no puede convertirse en una comparativa sobre dos interpretaciones razonables de la norma, poniendo al mismo nivel el criterio del órgano inferior y el del Tribunal Supremo, porque entonces la jurisprudencia carecería de valor alguno. Pero, sin duda, tampoco es exigible de los órganos inferiores un acatamiento acrítico de la doctrina jurisprudencial, a modo de instrucción o vinculación absoluta que este tribunal no ha afirmado nunca y que sigue sin afirmarse ahora —a mi juicio acertadamente—, porque no se deriva del sistema de fuentes consagrado en el art. 1.1 CC.</w:t>
      </w:r>
    </w:p>
    <w:p w14:paraId="6EC0D3D4" w14:textId="77777777" w:rsidR="00A8138F" w:rsidRDefault="00A8138F" w:rsidP="00A8138F">
      <w:pPr>
        <w:pStyle w:val="TextoNormal"/>
      </w:pPr>
    </w:p>
    <w:p w14:paraId="763929CB" w14:textId="77777777" w:rsidR="00A8138F" w:rsidRDefault="00A8138F" w:rsidP="00A8138F">
      <w:pPr>
        <w:pStyle w:val="TextoNormal"/>
      </w:pPr>
      <w:r>
        <w:t>En el caso concreto, como señalaba la STC 105/2025, y reafirma ahora la dictada por esta Sala, las resoluciones impugnadas se han limitado a exponer y reiterar su propio criterio, pero no han analizado la razonabilidad de la tesis sustentada por el Tribunal Supremo, pretendiendo así que prevalezca su opinión, en detrimento del valor intrínseco que el ordenamiento jurídico reconoce a la doctrina jurisprudencial. Por lo tanto, en el supuesto ahora contemplado, como ocurría en el caso analizado en la STC 105/2025, la vulneración se produce por una ausencia o déficit motivacional, no por el mero hecho de que se excluya o no la aplicación de la jurisprudencia del Tribunal Supremo, o por la inadmisión o no de un recurso. Lo esencial es que, ante un sólido criterio jurisprudencial, la Sala del Tribunal Superior de Justicia se apartó de forma insuficientemente motivada desde el parámetro de control que previamente he indicado.</w:t>
      </w:r>
    </w:p>
    <w:p w14:paraId="0991E582" w14:textId="77777777" w:rsidR="00A8138F" w:rsidRDefault="00A8138F" w:rsidP="00A8138F">
      <w:pPr>
        <w:pStyle w:val="TextoNormal"/>
      </w:pPr>
    </w:p>
    <w:p w14:paraId="2AC0B24F" w14:textId="77777777" w:rsidR="00A8138F" w:rsidRDefault="00A8138F" w:rsidP="00A8138F">
      <w:pPr>
        <w:pStyle w:val="TextoNormal"/>
      </w:pPr>
      <w:r>
        <w:t>No obstante, en el caso abordado en el presente recurso concurre, por añadidura, un poderoso elemento ponderativo que ha sido obviado no solo por las resoluciones impugnadas, sino también por la sentencia de la Sala, hasta el punto de poner en cuestión, en realidad, la propia aplicabilidad de la doctrina expuesta en la STC 105/2025, tal y como se expone en el siguiente apartado.</w:t>
      </w:r>
    </w:p>
    <w:p w14:paraId="404B2DAB" w14:textId="77777777" w:rsidR="00A8138F" w:rsidRDefault="00A8138F" w:rsidP="00A8138F">
      <w:pPr>
        <w:pStyle w:val="TextoNormal"/>
      </w:pPr>
    </w:p>
    <w:p w14:paraId="5BFBAB2B" w14:textId="77777777" w:rsidR="00A8138F" w:rsidRDefault="00A8138F" w:rsidP="00A8138F">
      <w:pPr>
        <w:pStyle w:val="TextoNormal"/>
      </w:pPr>
      <w:r>
        <w:t xml:space="preserve">II. </w:t>
      </w:r>
      <w:r w:rsidRPr="00A8138F">
        <w:rPr>
          <w:i/>
        </w:rPr>
        <w:t>La relevancia del derecho fundamental ahora concernido: la doble instancia penal de la persona condenada</w:t>
      </w:r>
    </w:p>
    <w:p w14:paraId="6BB304AA" w14:textId="77777777" w:rsidR="00A8138F" w:rsidRDefault="00A8138F" w:rsidP="00A8138F">
      <w:pPr>
        <w:pStyle w:val="TextoNormal"/>
      </w:pPr>
    </w:p>
    <w:p w14:paraId="7BA18BA2" w14:textId="77777777" w:rsidR="00A8138F" w:rsidRDefault="00A8138F" w:rsidP="00A8138F">
      <w:pPr>
        <w:pStyle w:val="TextoNormal"/>
      </w:pPr>
      <w:r>
        <w:t>El presente recurso aporta una singularidad extraordinariamente relevante, que lo diferencia del supuesto abordado en la STC 105/2025, y que la sentencia de la Sala no afronta de manera decidida. Me refiero a la indiscutible presencia de un derecho fundamental que no puede ser eludido en la balanza ponderativa sobre la razonabilidad de las resoluciones impugnadas: el derecho a la doble instancia penal de la persona condenada, integrado en el derecho a un proceso con todas las garantías (art. 24.2 CE).</w:t>
      </w:r>
    </w:p>
    <w:p w14:paraId="07825C53" w14:textId="77777777" w:rsidR="00A8138F" w:rsidRDefault="00A8138F" w:rsidP="00A8138F">
      <w:pPr>
        <w:pStyle w:val="TextoNormal"/>
      </w:pPr>
    </w:p>
    <w:p w14:paraId="00BA08FA" w14:textId="77777777" w:rsidR="00A8138F" w:rsidRDefault="00A8138F" w:rsidP="00A8138F">
      <w:pPr>
        <w:pStyle w:val="TextoNormal"/>
      </w:pPr>
      <w:r>
        <w:t>En el caso concreto contemplado en la STC 105/2025, las recurrentes estaban personadas como acusación particular y pretendían promover un recurso no previsto en la norma, pero admitido por el Tribunal Supremo. Se trataba, en todo caso, de una cuestión relativa a la configuración legal del sistema de recursos, susceptible de interpretación. En el supuesto que ahora se aborda, lo que está en juego es el derecho del penado a que se revise la pena impuesta, y a que esa decisión pueda ser sometida o no a la consideración de una instancia superior. Se trata de una cuestión que adquiere un profundo significado constitucional que excede de la mera legalidad ordinaria.</w:t>
      </w:r>
    </w:p>
    <w:p w14:paraId="4FA2A980" w14:textId="77777777" w:rsidR="00A8138F" w:rsidRDefault="00A8138F" w:rsidP="00A8138F">
      <w:pPr>
        <w:pStyle w:val="TextoNormal"/>
      </w:pPr>
    </w:p>
    <w:p w14:paraId="6D31B400" w14:textId="77777777" w:rsidR="00A8138F" w:rsidRDefault="00A8138F" w:rsidP="00A8138F">
      <w:pPr>
        <w:pStyle w:val="TextoNormal"/>
      </w:pPr>
      <w:r>
        <w:t xml:space="preserve">Como recuerda la STC 72/2024, de 7 de mayo, FJ 4 a), las “normas procesales y la propia Constitución definen una posición de garantía asimétrica para las personas acusadas y las partes acusadoras” que se deriva de los diferentes intereses que concurren en el proceso penal como “mecanismo para la administración del </w:t>
      </w:r>
      <w:r w:rsidRPr="00A8138F">
        <w:rPr>
          <w:i/>
        </w:rPr>
        <w:t>ius puniendi</w:t>
      </w:r>
      <w:r>
        <w:t xml:space="preserve"> del Estado”. En concreto, y en materia de recursos, “solo el condenado en un proceso penal tiene reconocido el derecho fundamental a que la declaración de culpabilidad y la pena que le ha sido impuesta sean revisadas de manera efectiva por un tribunal superior” [FJ 4 c)]. Se trata de un derecho consagrado en el art. 14.5 del Pacto internacional de derechos civiles y políticos, así como en el art. 2 del Protocolo núm. 7 al Convenio europeo de derechos humanos, que se ha incorporado (</w:t>
      </w:r>
      <w:r w:rsidRPr="00A8138F">
        <w:rPr>
          <w:i/>
        </w:rPr>
        <w:t>ex</w:t>
      </w:r>
      <w:r>
        <w:t xml:space="preserve"> art. 10.2 CE) al elenco de garantías del proceso justo (art. 24.2 CE), y que permite revisar “la correcta aplicación de las reglas que han permitido la declaración de culpabilidad y la imposición de la pena en el caso concreto” [STC 72/2024, FJ 4 c), y, en el mismo sentido, la STC 80/2024, de 3 de junio, FJ 4 B)].</w:t>
      </w:r>
    </w:p>
    <w:p w14:paraId="172AEB78" w14:textId="77777777" w:rsidR="00A8138F" w:rsidRDefault="00A8138F" w:rsidP="00A8138F">
      <w:pPr>
        <w:pStyle w:val="TextoNormal"/>
      </w:pPr>
    </w:p>
    <w:p w14:paraId="68BE169E" w14:textId="77777777" w:rsidR="00A8138F" w:rsidRDefault="00A8138F" w:rsidP="00A8138F">
      <w:pPr>
        <w:pStyle w:val="TextoNormal"/>
      </w:pPr>
      <w:r>
        <w:t>Las resoluciones impugnadas ignoraron la eventual afectación que su decisión podría generar en un derecho que se configura como un elemento estructural del proceso penal. Al inadmitir la posibilidad de impugnar el pronunciamiento adoptado en materia de revisión de penas tras la entrada en vigor de una reforma legislativa, impidieron que el penado pudiera someter al criterio de un órgano judicial superior no solo el hecho en sí de su condena, sino también la concreta pena impuesta o imponible. El Tribunal Superior de Justicia de Galicia se limitó a circunscribir el derecho a la doble instancia penal al ámbito del recurso contra la sentencia condenatoria, sin considerar siquiera —aunque solo fuera a efectos dialécticos— la posibilidad de que ese derecho pudiera verse afectado también por ulteriores resoluciones dictadas en fase de ejecución de sentencia, susceptibles de entenderse como un complemento de esta, tal y como había argumentado el Tribunal Supremo en una doctrina jurisprudencial asentada.</w:t>
      </w:r>
    </w:p>
    <w:p w14:paraId="66124B15" w14:textId="77777777" w:rsidR="00A8138F" w:rsidRDefault="00A8138F" w:rsidP="00A8138F">
      <w:pPr>
        <w:pStyle w:val="TextoNormal"/>
      </w:pPr>
    </w:p>
    <w:p w14:paraId="7CF0D953" w14:textId="77777777" w:rsidR="00A8138F" w:rsidRDefault="00A8138F" w:rsidP="00A8138F">
      <w:pPr>
        <w:pStyle w:val="TextoNormal"/>
      </w:pPr>
      <w:r>
        <w:t>La ausencia de ese factor en el juego ponderativo que debe presidir este tipo de resoluciones constituye un argumento decisivo para el adecuado enjuiciamiento de la queja planteada por el recurrente, que la Sala no ha tenido en cuenta. La mera aplicación del criterio expuesto en la STC 105/2025 ha orillado la verdadera dimensión constitucional del conflicto suscitado en este recurso, lo que explica, de nuevo, mi parcial discrepancia con la decisión adoptada por la Sala.</w:t>
      </w:r>
    </w:p>
    <w:p w14:paraId="09D76AC7" w14:textId="77777777" w:rsidR="00A8138F" w:rsidRDefault="00A8138F" w:rsidP="00A8138F">
      <w:pPr>
        <w:pStyle w:val="TextoNormal"/>
      </w:pPr>
    </w:p>
    <w:p w14:paraId="3D79078B" w14:textId="28280E97" w:rsidR="00A8138F" w:rsidRDefault="00A8138F" w:rsidP="00A8138F">
      <w:pPr>
        <w:pStyle w:val="TextoNormal"/>
      </w:pPr>
      <w:r>
        <w:t>Madrid, a doce de mayo de dos mil veinticinco.</w:t>
      </w:r>
    </w:p>
    <w:p w14:paraId="4301BB9A" w14:textId="3486CCE7" w:rsidR="00A8138F" w:rsidRDefault="00A8138F">
      <w:pPr>
        <w:spacing w:after="160" w:line="278" w:lineRule="auto"/>
        <w:rPr>
          <w:rFonts w:ascii="Times New Roman" w:eastAsia="Times New Roman" w:hAnsi="Times New Roman" w:cs="Times New Roman"/>
          <w:sz w:val="24"/>
          <w:szCs w:val="24"/>
          <w:lang w:eastAsia="es-ES"/>
        </w:rPr>
      </w:pPr>
      <w:r>
        <w:br w:type="page"/>
      </w:r>
    </w:p>
    <w:p w14:paraId="63C5288A" w14:textId="77777777" w:rsidR="00A8138F" w:rsidRDefault="00A8138F" w:rsidP="00A8138F">
      <w:pPr>
        <w:pStyle w:val="TtuloResolucin"/>
      </w:pPr>
      <w:bookmarkStart w:id="113" w:name="SENTENCIA_2025_111"/>
      <w:r>
        <w:t>SENTENCIA 111/2025, de 12 de mayo de 2025</w:t>
      </w:r>
    </w:p>
    <w:bookmarkEnd w:id="113"/>
    <w:p w14:paraId="33A71D33" w14:textId="77777777" w:rsidR="00A8138F" w:rsidRDefault="00A8138F" w:rsidP="00A8138F">
      <w:pPr>
        <w:pStyle w:val="TtuloResolucin"/>
      </w:pPr>
      <w:r>
        <w:t>Sala Segunda</w:t>
      </w:r>
    </w:p>
    <w:p w14:paraId="5DD4C024" w14:textId="77777777" w:rsidR="00A8138F" w:rsidRDefault="00A8138F" w:rsidP="00A8138F">
      <w:pPr>
        <w:pStyle w:val="TtuloBOE"/>
      </w:pPr>
      <w:r>
        <w:t>(BOE núm. 146, de 18 de junio de 2025)</w:t>
      </w:r>
    </w:p>
    <w:p w14:paraId="17EF4C92" w14:textId="77777777" w:rsidR="00A8138F" w:rsidRDefault="00A8138F" w:rsidP="00A8138F">
      <w:pPr>
        <w:pStyle w:val="TextoNormalCentrado"/>
      </w:pPr>
      <w:r>
        <w:t>ECLI:ES:TC:2025:111</w:t>
      </w:r>
    </w:p>
    <w:p w14:paraId="23B85014" w14:textId="70E4E342" w:rsidR="00A8138F" w:rsidRDefault="00A8138F" w:rsidP="00A8138F">
      <w:pPr>
        <w:pStyle w:val="TextoNormalCentrado"/>
      </w:pPr>
    </w:p>
    <w:p w14:paraId="425FF19E" w14:textId="77777777" w:rsidR="00A8138F" w:rsidRDefault="00A8138F" w:rsidP="00A8138F">
      <w:pPr>
        <w:pStyle w:val="SntesisDescriptiva"/>
      </w:pPr>
      <w:r>
        <w:t>Recurso de amparo 62-2024. Promovido por don Guillermo Ojeda Rengifo en relación con los autos dictados por la Audiencia Provincial de Málaga en procedimiento de ejecución penal.</w:t>
      </w:r>
    </w:p>
    <w:p w14:paraId="38A9344D" w14:textId="4E482FD6" w:rsidR="00A8138F" w:rsidRDefault="00A8138F" w:rsidP="00A8138F">
      <w:pPr>
        <w:pStyle w:val="SntesisDescriptiva"/>
      </w:pPr>
    </w:p>
    <w:p w14:paraId="786F1A12" w14:textId="77777777" w:rsidR="00A8138F" w:rsidRDefault="00A8138F" w:rsidP="00A8138F">
      <w:pPr>
        <w:pStyle w:val="SntesisAnaltica"/>
      </w:pPr>
      <w:r>
        <w:t>Vulneración del derecho a la legalidad penal: aplicación retroactiva de una ley penal desfavorable (STC 54/2023).</w:t>
      </w:r>
    </w:p>
    <w:p w14:paraId="0A8F8E82" w14:textId="405ADA22" w:rsidR="00A8138F" w:rsidRDefault="00A8138F" w:rsidP="00A8138F">
      <w:pPr>
        <w:pStyle w:val="SntesisAnaltica"/>
      </w:pPr>
    </w:p>
    <w:p w14:paraId="50B568C7" w14:textId="3439E38D" w:rsidR="00A8138F" w:rsidRDefault="00A8138F" w:rsidP="00A8138F">
      <w:pPr>
        <w:pStyle w:val="Extracto"/>
      </w:pPr>
      <w:r>
        <w:t>1.</w:t>
      </w:r>
      <w:r>
        <w:tab/>
        <w:t xml:space="preserve">El derecho fundamental que prohíbe aplicar retroactivamente la ley penal desfavorable (art. 25.1 CE), que resulta del principio </w:t>
      </w:r>
      <w:r w:rsidRPr="00A8138F">
        <w:rPr>
          <w:i/>
        </w:rPr>
        <w:t>nullum crimen, nulla poena sine praevia lege</w:t>
      </w:r>
      <w:r>
        <w:t>, comprende las normas que regulan la sustitución de penas privativas de libertad (STC 54/2023) [FJ 2].</w:t>
      </w:r>
    </w:p>
    <w:p w14:paraId="189A70B1" w14:textId="77777777" w:rsidR="00A8138F" w:rsidRDefault="00A8138F" w:rsidP="00A8138F">
      <w:pPr>
        <w:pStyle w:val="Extracto"/>
      </w:pPr>
    </w:p>
    <w:p w14:paraId="31F49BE7" w14:textId="7C5DC8D5" w:rsidR="00A8138F" w:rsidRDefault="00A8138F" w:rsidP="00A8138F">
      <w:pPr>
        <w:pStyle w:val="Extracto"/>
      </w:pPr>
      <w:r>
        <w:t>2.</w:t>
      </w:r>
      <w:r>
        <w:tab/>
        <w:t>La garantía inherente al principio de legalidad penal de prohibición de aplicación retroactiva de la ley penal desfavorable exige entender que el marco normativo de la pena de aplicación previsible está integrado por la pena abstracta descrita en el tipo delictivo y por las normas que determinan la pena a cumplir, vigentes al tiempo de los hechos (STC 54/2023) [FJ 2].</w:t>
      </w:r>
    </w:p>
    <w:p w14:paraId="41163C10" w14:textId="77777777" w:rsidR="00A8138F" w:rsidRDefault="00A8138F" w:rsidP="00A8138F">
      <w:pPr>
        <w:pStyle w:val="Extracto"/>
      </w:pPr>
    </w:p>
    <w:p w14:paraId="7CF8A9C2" w14:textId="77777777" w:rsidR="00A8138F" w:rsidRDefault="00A8138F" w:rsidP="00A8138F">
      <w:pPr>
        <w:pStyle w:val="Extracto"/>
      </w:pPr>
    </w:p>
    <w:p w14:paraId="0F3D57A5"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170D34E" w14:textId="6E24A791" w:rsidR="00A8138F" w:rsidRDefault="00A8138F" w:rsidP="00A8138F">
      <w:pPr>
        <w:pStyle w:val="TextoNormal"/>
      </w:pPr>
    </w:p>
    <w:p w14:paraId="347D70C7" w14:textId="77777777" w:rsidR="00A8138F" w:rsidRDefault="00A8138F" w:rsidP="00A8138F">
      <w:pPr>
        <w:pStyle w:val="TextoNormalCentrado"/>
        <w:keepNext/>
      </w:pPr>
      <w:r>
        <w:t>EN NOMBRE DEL REY</w:t>
      </w:r>
    </w:p>
    <w:p w14:paraId="21FE7A7C" w14:textId="3AADB174" w:rsidR="00A8138F" w:rsidRDefault="00A8138F" w:rsidP="00A8138F">
      <w:pPr>
        <w:pStyle w:val="TextoNormalCentrado"/>
        <w:keepNext/>
      </w:pPr>
    </w:p>
    <w:p w14:paraId="31F3CE44" w14:textId="77777777" w:rsidR="00A8138F" w:rsidRDefault="00A8138F" w:rsidP="00A8138F">
      <w:pPr>
        <w:pStyle w:val="TextoNormalCentrado"/>
        <w:keepNext/>
      </w:pPr>
    </w:p>
    <w:p w14:paraId="239EC195" w14:textId="77777777" w:rsidR="00A8138F" w:rsidRDefault="00A8138F" w:rsidP="00A8138F">
      <w:pPr>
        <w:pStyle w:val="TextoNormal"/>
      </w:pPr>
      <w:r>
        <w:t>la siguiente</w:t>
      </w:r>
    </w:p>
    <w:p w14:paraId="2E99E6DE" w14:textId="613AB0D5" w:rsidR="00A8138F" w:rsidRDefault="00A8138F" w:rsidP="00A8138F">
      <w:pPr>
        <w:pStyle w:val="TextoNormal"/>
      </w:pPr>
    </w:p>
    <w:p w14:paraId="34081433" w14:textId="77777777" w:rsidR="00A8138F" w:rsidRDefault="00A8138F" w:rsidP="00A8138F">
      <w:pPr>
        <w:pStyle w:val="TextoNormalCentrado"/>
        <w:keepNext/>
      </w:pPr>
      <w:r>
        <w:t>SENTENCIA</w:t>
      </w:r>
    </w:p>
    <w:p w14:paraId="587A994D" w14:textId="7257F969" w:rsidR="00A8138F" w:rsidRDefault="00A8138F" w:rsidP="00A8138F">
      <w:pPr>
        <w:pStyle w:val="TextoNormalCentrado"/>
        <w:keepNext/>
      </w:pPr>
    </w:p>
    <w:p w14:paraId="7AAE6DED" w14:textId="77777777" w:rsidR="00A8138F" w:rsidRDefault="00A8138F" w:rsidP="00A8138F">
      <w:pPr>
        <w:pStyle w:val="TextoNormal"/>
      </w:pPr>
      <w:r>
        <w:t>En el recurso de amparo núm. 62-2024, promovido por don Guillermo Ojeda Rengifo contra los autos de 2 de noviembre y de 11 de diciembre de 2023 de la Sección Novena de la Audiencia Provincial de Málaga, dictados en la ejecutoria penal núm. 8-2020. Ha intervenido el Ministerio Fiscal. Ha sido ponente el magistrado don Ramón Sáez Valcárcel.</w:t>
      </w:r>
    </w:p>
    <w:p w14:paraId="0AB0C53A" w14:textId="0239B3AC" w:rsidR="00A8138F" w:rsidRDefault="00A8138F" w:rsidP="00A8138F">
      <w:pPr>
        <w:pStyle w:val="TextoNormal"/>
      </w:pPr>
    </w:p>
    <w:p w14:paraId="525FF6B0" w14:textId="77777777" w:rsidR="00A8138F" w:rsidRDefault="00A8138F" w:rsidP="00A8138F">
      <w:pPr>
        <w:pStyle w:val="TextoNormalNegritaCentrado"/>
        <w:keepNext/>
      </w:pPr>
      <w:r>
        <w:t>I. Antecedentes</w:t>
      </w:r>
    </w:p>
    <w:p w14:paraId="41904822" w14:textId="572C1CF6" w:rsidR="00A8138F" w:rsidRDefault="00A8138F" w:rsidP="00A8138F">
      <w:pPr>
        <w:pStyle w:val="TextoNormalNegritaCentrado"/>
        <w:keepNext/>
      </w:pPr>
    </w:p>
    <w:p w14:paraId="2981DBE8" w14:textId="676A5073" w:rsidR="00A8138F" w:rsidRDefault="00A8138F" w:rsidP="00A8138F">
      <w:pPr>
        <w:pStyle w:val="TextoNormal"/>
      </w:pPr>
      <w:r w:rsidRPr="00A8138F">
        <w:rPr>
          <w:rStyle w:val="NumeroAFNegritaCaracter"/>
        </w:rPr>
        <w:t>1</w:t>
      </w:r>
      <w:r>
        <w:t>. Don Guillermo Ojeda Rengifo, representado por la procuradora de los tribunales doña María Belén Aroca Flórez y asistido del abogado don Jacinto Romera Martínez, interpuso recurso de amparo contra las resoluciones que se mencionan en el encabezamiento, mediante escrito presentado en el registro electrónico de este tribunal el 8 de enero de 2024.</w:t>
      </w:r>
    </w:p>
    <w:p w14:paraId="4E25D423" w14:textId="77777777" w:rsidR="00A8138F" w:rsidRDefault="00A8138F" w:rsidP="00A8138F">
      <w:pPr>
        <w:pStyle w:val="TextoNormal"/>
      </w:pPr>
    </w:p>
    <w:p w14:paraId="06BCE47B" w14:textId="77777777" w:rsidR="00A8138F" w:rsidRDefault="00A8138F" w:rsidP="00A8138F">
      <w:pPr>
        <w:pStyle w:val="TextoNormal"/>
      </w:pPr>
      <w:r w:rsidRPr="00A8138F">
        <w:rPr>
          <w:rStyle w:val="NumeroAFNegritaCaracter"/>
        </w:rPr>
        <w:t>2</w:t>
      </w:r>
      <w:r>
        <w:t>. Los antecedentes relevantes para resolver el recurso son los siguientes:</w:t>
      </w:r>
    </w:p>
    <w:p w14:paraId="6C767291" w14:textId="77777777" w:rsidR="00A8138F" w:rsidRDefault="00A8138F" w:rsidP="00A8138F">
      <w:pPr>
        <w:pStyle w:val="TextoNormal"/>
      </w:pPr>
    </w:p>
    <w:p w14:paraId="5E6EBC8E" w14:textId="77777777" w:rsidR="00A8138F" w:rsidRDefault="00A8138F" w:rsidP="00A8138F">
      <w:pPr>
        <w:pStyle w:val="TextoNormal"/>
      </w:pPr>
      <w:r>
        <w:t>a) El recurrente, de nacionalidad colombiana, fue condenado en sentencia núm. 360/2018, de 17 de octubre, de la Sección Novena de la Audiencia Provincial de Málaga (ECLI:ES:APMA:2018:3212), por unos hechos ocurridos en mayo de 2015, como autor de un delito contra la salud pública en su modalidad de tráfico de sustancias que causan grave daño a la salud con la agravación de notoria importancia, a una pena de prisión de siete años y seis meses, entre otras, y como autor de un delito de robo con intimidación, a una pena de prisión de tres años, entre otras.</w:t>
      </w:r>
    </w:p>
    <w:p w14:paraId="362026FB" w14:textId="77777777" w:rsidR="00A8138F" w:rsidRDefault="00A8138F" w:rsidP="00A8138F">
      <w:pPr>
        <w:pStyle w:val="TextoNormal"/>
      </w:pPr>
    </w:p>
    <w:p w14:paraId="1DAD3027" w14:textId="77777777" w:rsidR="00A8138F" w:rsidRDefault="00A8138F" w:rsidP="00A8138F">
      <w:pPr>
        <w:pStyle w:val="TextoNormal"/>
      </w:pPr>
      <w:r>
        <w:t>La sentencia fue declarada firme y se inició su ejecución por auto de la sala de 10 de febrero de 2020. Por providencia de 5 de marzo de 2020 se aprobó la liquidación de la condena en la que se fijó como fecha de extinción el 25 de marzo de 2026. El penado accedió a la libertad condicional el 10 de agosto de 2023.</w:t>
      </w:r>
    </w:p>
    <w:p w14:paraId="2EF3CC51" w14:textId="77777777" w:rsidR="00A8138F" w:rsidRDefault="00A8138F" w:rsidP="00A8138F">
      <w:pPr>
        <w:pStyle w:val="TextoNormal"/>
      </w:pPr>
    </w:p>
    <w:p w14:paraId="2725A944" w14:textId="77777777" w:rsidR="00A8138F" w:rsidRDefault="00A8138F" w:rsidP="00A8138F">
      <w:pPr>
        <w:pStyle w:val="TextoNormal"/>
      </w:pPr>
      <w:r>
        <w:t>b) La brigada provincial de extranjería y fronteras de la comisaría provincial de Málaga, mediante oficio de 19 de octubre de 2023, solicitó de la citada Sección Novena que se considerase la sustitución de la pena de prisión por la expulsión del territorio nacional del penado, en virtud de lo dispuesto en el art. 89.1 del Código penal (CP), en su redacción efectuada —y con vigencia desde el 1 de julio de 2015— por la Ley Orgánica 1/2015, de 30 de marzo, por la que se modifica la Ley Orgánica 10/1995, de 23 de noviembre, del Código penal.</w:t>
      </w:r>
    </w:p>
    <w:p w14:paraId="7D648F69" w14:textId="77777777" w:rsidR="00A8138F" w:rsidRDefault="00A8138F" w:rsidP="00A8138F">
      <w:pPr>
        <w:pStyle w:val="TextoNormal"/>
      </w:pPr>
    </w:p>
    <w:p w14:paraId="4EBA4C5D" w14:textId="77777777" w:rsidR="00A8138F" w:rsidRDefault="00A8138F" w:rsidP="00A8138F">
      <w:pPr>
        <w:pStyle w:val="TextoNormal"/>
      </w:pPr>
      <w:r>
        <w:t>c) Por diligencia de ordenación de 20 de octubre de 2023 de la letrada de la administración de Justicia de la Sección Novena se dio traslado a las partes por dos días para alegaciones sobre la expulsión solicitada.</w:t>
      </w:r>
    </w:p>
    <w:p w14:paraId="7BB5C131" w14:textId="77777777" w:rsidR="00A8138F" w:rsidRDefault="00A8138F" w:rsidP="00A8138F">
      <w:pPr>
        <w:pStyle w:val="TextoNormal"/>
      </w:pPr>
    </w:p>
    <w:p w14:paraId="269D1134" w14:textId="77777777" w:rsidR="00A8138F" w:rsidRDefault="00A8138F" w:rsidP="00A8138F">
      <w:pPr>
        <w:pStyle w:val="TextoNormal"/>
      </w:pPr>
      <w:r>
        <w:t>El fiscal informó a favor, en escrito presentado el 24 de octubre siguiente, alegando que “a la vista de que el penado señor Ojeda ha cumplido ya una muy buena parte de las penas que se le impusieron, encontrándose en el centro de inserción social y, por ende, en la última fase de su condena, consideraría factible la sustitución de la pena que le queda por expiar por su expulsión del territorio nacional y prohibición de vuelta a él por el plazo de diez años, y ello en aplicación de lo dispuesto en el artículo 89 del Código penal”.</w:t>
      </w:r>
    </w:p>
    <w:p w14:paraId="7530C383" w14:textId="77777777" w:rsidR="00A8138F" w:rsidRDefault="00A8138F" w:rsidP="00A8138F">
      <w:pPr>
        <w:pStyle w:val="TextoNormal"/>
      </w:pPr>
    </w:p>
    <w:p w14:paraId="1CCF9674" w14:textId="77777777" w:rsidR="00A8138F" w:rsidRDefault="00A8138F" w:rsidP="00A8138F">
      <w:pPr>
        <w:pStyle w:val="TextoNormal"/>
      </w:pPr>
      <w:r>
        <w:t>La representación procesal del penado, mediante escrito presentado el 27 de octubre, se opuso, alegando que “lleva años en España residiendo, [que está] casado con ciudadana española, no teniendo ya vinculación alguna con Colombia [y que] está en la actualidad trabajando para mantenerse de forma honrada, lo que se acredita con la vida laboral y contrato que son anexados al presente escrito. En los que se ve la positiva evolución, y su reintegración en la sociedad”.</w:t>
      </w:r>
    </w:p>
    <w:p w14:paraId="38CDD058" w14:textId="77777777" w:rsidR="00A8138F" w:rsidRDefault="00A8138F" w:rsidP="00A8138F">
      <w:pPr>
        <w:pStyle w:val="TextoNormal"/>
      </w:pPr>
    </w:p>
    <w:p w14:paraId="1858ECA0" w14:textId="77777777" w:rsidR="00A8138F" w:rsidRDefault="00A8138F" w:rsidP="00A8138F">
      <w:pPr>
        <w:pStyle w:val="TextoNormal"/>
      </w:pPr>
      <w:r>
        <w:t>d) La Sección Novena de la Audiencia Provincial de Málaga, por auto de 2 de noviembre de 2023, resolvió “[haber] lugar a la expulsión del territorio nacional del penado Guillermo Ojeda Rengifo con la prohibición de volver a España en el plazo de diez años, conforme al artículo 89 del CP vigente, en cumplimiento de la pena impuesta”. La decisión de expulsión para “finalizar la ejecución de lo enjuiciado” se justificaba en la “gravedad de los hechos objeto de la condena y peligro del penado para la sociedad, no considerándose suficiente el arraigo alegado para no adoptar la medida legal referida”.</w:t>
      </w:r>
    </w:p>
    <w:p w14:paraId="4584B8D4" w14:textId="77777777" w:rsidR="00A8138F" w:rsidRDefault="00A8138F" w:rsidP="00A8138F">
      <w:pPr>
        <w:pStyle w:val="TextoNormal"/>
      </w:pPr>
    </w:p>
    <w:p w14:paraId="12CB73C1" w14:textId="77777777" w:rsidR="00A8138F" w:rsidRDefault="00A8138F" w:rsidP="00A8138F">
      <w:pPr>
        <w:pStyle w:val="TextoNormal"/>
      </w:pPr>
      <w:r>
        <w:t>e) La representación procesal del penado interpuso recurso de súplica frente a dicha decisión en escrito presentado el 21 de noviembre de 2023, interesando que la expulsión se dejase sin efecto. Se alegaba que con la expulsión se vulneraba el principio de legalidad (art. 25.1 CE), la tutela judicial efectiva sin indefensión (art. 24.1 CE) y la intimidad familiar [arts. 18 CE y 8 del Convenio europeo de derechos humanos (CEDH)], denunciando, en síntesis, (i) que la nueva redacción del art. 89 CP, efectuada por la Ley Orgánica 1/2015, que permite la expulsión de extranjeros residentes, como era su caso, no resultaba aplicable al no estar en vigor en la fecha de los hechos de mayo de 2015, sino desde el 1 de julio de ese año; (ii) que se había adoptado de forma inmotivada, sin que el fiscal la solicitase y sin audiencia del penado; y (iii) que resultaba desproporcionada a la vista de haber cumplido la mayor parte de la pena y de su arraigo familiar y laboral.</w:t>
      </w:r>
    </w:p>
    <w:p w14:paraId="6A60B670" w14:textId="77777777" w:rsidR="00A8138F" w:rsidRDefault="00A8138F" w:rsidP="00A8138F">
      <w:pPr>
        <w:pStyle w:val="TextoNormal"/>
      </w:pPr>
    </w:p>
    <w:p w14:paraId="55303580" w14:textId="77777777" w:rsidR="00A8138F" w:rsidRDefault="00A8138F" w:rsidP="00A8138F">
      <w:pPr>
        <w:pStyle w:val="TextoNormal"/>
      </w:pPr>
      <w:r>
        <w:t>El fiscal solicitó la desestimación del recurso en su escrito presentado el 1 de diciembre de 2023, al estimar que la nueva redacción del art. 89 CP “estaba en vigor a la fecha de los hechos objeto de enjuiciamiento pues si bien la investigación policial comenzó antes de su entrada en vigor, en concreto en mayo de 2015, esta continuó cuando ya entró en vigor la actual redacción del artículo 89, el 1 de julio de 2015, pues, por lo que respecta al recurrente, la entrada y registro en su domicilio se efectuó el 30 de septiembre de 2015”.</w:t>
      </w:r>
    </w:p>
    <w:p w14:paraId="3BDBE0CC" w14:textId="77777777" w:rsidR="00A8138F" w:rsidRDefault="00A8138F" w:rsidP="00A8138F">
      <w:pPr>
        <w:pStyle w:val="TextoNormal"/>
      </w:pPr>
    </w:p>
    <w:p w14:paraId="373FD240" w14:textId="77777777" w:rsidR="00A8138F" w:rsidRDefault="00A8138F" w:rsidP="00A8138F">
      <w:pPr>
        <w:pStyle w:val="TextoNormal"/>
      </w:pPr>
      <w:r>
        <w:t>f) La Sección Novena de la Audiencia Provincial de Málaga, por auto de 11 de diciembre de 2023, desestimó el recurso reproduciendo los fundamentos del auto que autorizó la expulsión.</w:t>
      </w:r>
    </w:p>
    <w:p w14:paraId="72E9E11F" w14:textId="77777777" w:rsidR="00A8138F" w:rsidRDefault="00A8138F" w:rsidP="00A8138F">
      <w:pPr>
        <w:pStyle w:val="TextoNormal"/>
      </w:pPr>
    </w:p>
    <w:p w14:paraId="1445D33A" w14:textId="5106B4F2" w:rsidR="00A8138F" w:rsidRDefault="00A8138F" w:rsidP="00A8138F">
      <w:pPr>
        <w:pStyle w:val="TextoNormal"/>
      </w:pPr>
      <w:r>
        <w:t>La brigada provincial de extranjería y fronteras de la comisaría provincial de Málaga, mediante oficio de 11 de enero de 2024, informó a la Sección Novena de que el penado había sido expulsado el 9 de enero de 2024, en un vuelo con destino a Medellín (Colombia).</w:t>
      </w:r>
    </w:p>
    <w:p w14:paraId="2722907F" w14:textId="77777777" w:rsidR="00A8138F" w:rsidRDefault="00A8138F" w:rsidP="00A8138F">
      <w:pPr>
        <w:pStyle w:val="TextoNormal"/>
      </w:pPr>
    </w:p>
    <w:p w14:paraId="5ED3FEAC" w14:textId="59F1607D" w:rsidR="00A8138F" w:rsidRDefault="00A8138F" w:rsidP="00A8138F">
      <w:pPr>
        <w:pStyle w:val="TextoNormal"/>
      </w:pPr>
      <w:r w:rsidRPr="00A8138F">
        <w:rPr>
          <w:rStyle w:val="NumeroAFNegritaCaracter"/>
        </w:rPr>
        <w:t>3</w:t>
      </w:r>
      <w:r>
        <w:t>. La demanda de amparo denuncia la vulneración del principio de legalidad (art. 25.1 CE), la tutela judicial efectiva sin indefensión (art. 24.1 CE) y la intimidad familiar (arts. 18 CE y 8 CEDH). Se reproducen los argumentos del recurso de súplica expuestos en el apartado e) anterior y se solicita la anulación del auto autorizante y del auto que desestimó la súplica, que se declare la vulneración de derechos, que se restablezcan y que se deje sin efecto la orden de expulsión. Por otrosí, se solicita la medida cautelar de suspensión de la ejecución de la orden de expulsión [art. 56 de la Ley Orgánica del Tribunal Constitucional (LOTC)].</w:t>
      </w:r>
    </w:p>
    <w:p w14:paraId="1C929611" w14:textId="77777777" w:rsidR="00A8138F" w:rsidRDefault="00A8138F" w:rsidP="00A8138F">
      <w:pPr>
        <w:pStyle w:val="TextoNormal"/>
      </w:pPr>
    </w:p>
    <w:p w14:paraId="39BBE07F" w14:textId="77777777" w:rsidR="00A8138F" w:rsidRDefault="00A8138F" w:rsidP="00A8138F">
      <w:pPr>
        <w:pStyle w:val="TextoNormal"/>
      </w:pPr>
      <w:r w:rsidRPr="00A8138F">
        <w:rPr>
          <w:rStyle w:val="NumeroAFNegritaCaracter"/>
        </w:rPr>
        <w:t>4</w:t>
      </w:r>
      <w:r>
        <w:t>. La Sala Segunda del Tribunal Constitucional, mediante providencia de 23 de septiembre de 2024: (i) admitió a trámite la demanda al apreciar que concurre en el recurso una especial trascendencia constitucional (art. 50.1 LOTC) porque puede dar ocasión al Tribunal para aclarar o cambiar su doctrina, como consecuencia de un proceso de reflexión interna [STC 155/2009, de 25 de junio, FJ 2 b)]; (ii) acordó dirigirse a la Sección Novena de la Audiencia Provincial de Málaga a fin de que remitiera, en plazo que no excediese de diez días, certificación o fotocopia adverada de las actuaciones de la ejecutoria núm. 8-2020 y del procedimiento sumario ordinario núm. 2009-2017, y le indicó que emplazara a quienes hubiesen sido parte en el procedimiento, excepto al recurrente en amparo, a fin de que pudieran comparecer en el recurso en el plazo de diez días; y (iii) decidió formar pieza separada de suspensión de conformidad con la solicitud de la parte actora.</w:t>
      </w:r>
    </w:p>
    <w:p w14:paraId="575564EB" w14:textId="77777777" w:rsidR="00A8138F" w:rsidRDefault="00A8138F" w:rsidP="00A8138F">
      <w:pPr>
        <w:pStyle w:val="TextoNormal"/>
      </w:pPr>
    </w:p>
    <w:p w14:paraId="445E2729" w14:textId="148FBD08" w:rsidR="00A8138F" w:rsidRDefault="00A8138F" w:rsidP="00A8138F">
      <w:pPr>
        <w:pStyle w:val="TextoNormal"/>
      </w:pPr>
      <w:r>
        <w:t>Mediante nueva providencia de 23 de septiembre de 2024, dictada en la pieza separada de suspensión, se concedió un plazo común de tres días al recurrente y al Ministerio Fiscal para alegar lo que estimasen pertinente. El recurrente reiteró las alegaciones de su demanda y la fiscal sostuvo la falta de objeto de la medida cautelar. Por ATC 151/2024, de 2 de diciembre, la Sala acordó archivar el incidente de suspensión por pérdida de objeto, al haberse materializado la expulsión el 9 de enero de 2024.</w:t>
      </w:r>
    </w:p>
    <w:p w14:paraId="445783CB" w14:textId="77777777" w:rsidR="00A8138F" w:rsidRDefault="00A8138F" w:rsidP="00A8138F">
      <w:pPr>
        <w:pStyle w:val="TextoNormal"/>
      </w:pPr>
    </w:p>
    <w:p w14:paraId="66D4002E" w14:textId="23B04DF6" w:rsidR="00A8138F" w:rsidRDefault="00A8138F" w:rsidP="00A8138F">
      <w:pPr>
        <w:pStyle w:val="TextoNormal"/>
      </w:pPr>
      <w:r w:rsidRPr="00A8138F">
        <w:rPr>
          <w:rStyle w:val="NumeroAFNegritaCaracter"/>
        </w:rPr>
        <w:t>5</w:t>
      </w:r>
      <w:r>
        <w:t>. El secretario de justicia de la Sección Cuarta de la Sala Segunda de este tribunal, recibidas las actuaciones, mediante diligencia de ordenación de 9 de diciembre de 2024, conforme a lo dispuesto en el art. 52.1 LOTC, acordó dar vista de aquellas por un plazo común de veinte días al Ministerio Fiscal y a las partes personadas para presentar las alegaciones que estimaran pertinentes.</w:t>
      </w:r>
    </w:p>
    <w:p w14:paraId="7AB6DF69" w14:textId="77777777" w:rsidR="00A8138F" w:rsidRDefault="00A8138F" w:rsidP="00A8138F">
      <w:pPr>
        <w:pStyle w:val="TextoNormal"/>
      </w:pPr>
    </w:p>
    <w:p w14:paraId="25767694" w14:textId="77777777" w:rsidR="00A8138F" w:rsidRDefault="00A8138F" w:rsidP="00A8138F">
      <w:pPr>
        <w:pStyle w:val="TextoNormal"/>
      </w:pPr>
      <w:r w:rsidRPr="00A8138F">
        <w:rPr>
          <w:rStyle w:val="NumeroAFNegritaCaracter"/>
        </w:rPr>
        <w:t>6</w:t>
      </w:r>
      <w:r>
        <w:t>. La fiscal ante el Tribunal Constitucional, en su escrito presentado el 29 de enero de 2025, interesa la estimación del recurso de amparo, “por vulneración del principio de legalidad penal (art. 25.1 CE) y el derecho fundamental que dicho principio incorpora, por no respetar la prohibición de aplicar retroactivamente una ley penal desfavorable. Subsidiariamente, la estimación del recurso por vulneración del derecho a la tutela judicial efectiva (art. 24. 1 CE)”. Solicita la declaración de nulidad de las resoluciones objeto de impugnación con retroacción del procedimiento al momento inmediatamente anterior al de dictarse la primera para que el órgano judicial pronuncie una nueva resolución que sea respetuosa con el derecho fundamental reconocido.</w:t>
      </w:r>
    </w:p>
    <w:p w14:paraId="0E53D32C" w14:textId="77777777" w:rsidR="00A8138F" w:rsidRDefault="00A8138F" w:rsidP="00A8138F">
      <w:pPr>
        <w:pStyle w:val="TextoNormal"/>
      </w:pPr>
    </w:p>
    <w:p w14:paraId="3210D17E" w14:textId="77777777" w:rsidR="00A8138F" w:rsidRDefault="00A8138F" w:rsidP="00A8138F">
      <w:pPr>
        <w:pStyle w:val="TextoNormal"/>
      </w:pPr>
      <w:r>
        <w:t xml:space="preserve">El Ministerio Público entiende que el núcleo central de la cuestión enjuiciada consiste en “determinar si la Sala al autorizar la expulsión [como forma sustitutiva de cumplimiento del resto de la pena privativa de libertad] en base a lo dispuesto en el ahora vigente art. 89 CP vulneró el principio que garantiza la irretroactividad de las disposiciones sancionadoras no favorables, como integrado en el derecho a la legalidad penal (art. 25 CP), pues como ‘se indica en la STEDH [de 21 de octubre de 2013], de la Gran Sala, </w:t>
      </w:r>
      <w:r w:rsidRPr="00A8138F">
        <w:rPr>
          <w:i/>
        </w:rPr>
        <w:t>Del Río Prada c. España</w:t>
      </w:r>
      <w:r>
        <w:t>, la libertad de los Estados para modificar su política criminal debe respetar al hacerlo la absoluta prohibición de aplicación retroactiva del derecho penal cuando resulte desfavorable para el interesado (§ 116)’ [STC 54/2023, de 22 de mayo, FJ 6]”.</w:t>
      </w:r>
    </w:p>
    <w:p w14:paraId="510E81D0" w14:textId="77777777" w:rsidR="00A8138F" w:rsidRDefault="00A8138F" w:rsidP="00A8138F">
      <w:pPr>
        <w:pStyle w:val="TextoNormal"/>
      </w:pPr>
    </w:p>
    <w:p w14:paraId="39FD67A2" w14:textId="77777777" w:rsidR="00A8138F" w:rsidRDefault="00A8138F" w:rsidP="00A8138F">
      <w:pPr>
        <w:pStyle w:val="TextoNormal"/>
      </w:pPr>
      <w:r>
        <w:t>Y considera que dicha vulneración se produjo, puesto que el citado precepto se aplicó con una redacción —dada por la Ley Orgánica 1/2015, en vigor desde el 1 de julio de ese año— que no estaba vigente en la fecha de los hechos y que no era más favorable. La redacción vigente el 22 de mayo de 2015, fecha de los hechos enjuiciados y determinante de la ley penal aplicable en el tiempo (art. 7 CP), procedía de la reforma penal efectuada por la Ley Orgánica 5/2010, de 22 de junio, que exigía, entre otros requisitos, la previa solicitud del fiscal (STC 110/2009, de 11 de mayo, FJ 3), lo que no había tenido lugar al haberse actuado a instancias de la brigada provincial de extranjería y fronteras; y “la expulsión sustitutiva parcial del extranjero no residente legalmente en territorio nacional, que hubiera de cumplir o estuviera cumpliendo cualquier pena privativa de libertad, cuando alcanzaba el tercer grado penitenciario o cumplido las tres cuartas partes de la condena, se regulaba como una facultad discrecional del juez o tribunal”. “Sin embargo, tras la reforma del art. 89 1 y 2 CP por la Ley Orgánica 1/2015 iniciada la ejecución de la pena de prisión, el acceso al tercer grado de clasificación penitenciaria y la obtención de la libertad condicional, traen consigo, en todo caso, la expulsión del extranjero en sustitución del resto de la pena”. Además, el penado, a los efectos de determinar la ley penal más favorable conforme a la disposición transitoria primera de la Ley Orgánica 1/2015, se había opuesto a la aplicación de dicho régimen sustitutivo en atención a su arraigo, al carácter desfavorable de la nueva redacción y a su falta de vigencia al tiempo de los hechos.</w:t>
      </w:r>
    </w:p>
    <w:p w14:paraId="6D8AB7D2" w14:textId="77777777" w:rsidR="00A8138F" w:rsidRDefault="00A8138F" w:rsidP="00A8138F">
      <w:pPr>
        <w:pStyle w:val="TextoNormal"/>
      </w:pPr>
    </w:p>
    <w:p w14:paraId="154D2B65" w14:textId="77777777" w:rsidR="00A8138F" w:rsidRDefault="00A8138F" w:rsidP="00A8138F">
      <w:pPr>
        <w:pStyle w:val="TextoNormal"/>
      </w:pPr>
      <w:r>
        <w:t>Por tales razones, la fiscal concluye que “la Audiencia Provincial de Málaga, al aplicar este precepto a hechos anteriores a su entrada en vigor, ‘cercenó la exigencia de previsibilidad’ del recurrente ‘frente a la reacción estatal’, esto es, frente a la pena que realmente se le podía imponer, que resultó quebrada por la aplicación de la legislación posterior desfavorable (STC 54/2023, FJ 6)”.</w:t>
      </w:r>
    </w:p>
    <w:p w14:paraId="613D96C5" w14:textId="77777777" w:rsidR="00A8138F" w:rsidRDefault="00A8138F" w:rsidP="00A8138F">
      <w:pPr>
        <w:pStyle w:val="TextoNormal"/>
      </w:pPr>
    </w:p>
    <w:p w14:paraId="75544EF5" w14:textId="5E89CF9D" w:rsidR="00A8138F" w:rsidRDefault="00A8138F" w:rsidP="00A8138F">
      <w:pPr>
        <w:pStyle w:val="TextoNormal"/>
      </w:pPr>
      <w:r>
        <w:t>En caso de no estimarse la vulneración del art. 25.1 CE, se sostiene que las resoluciones judiciales impugnadas vulneraron el derecho a la tutela judicial efectiva (art. 24.1 CE) del recurrente, por su deficiente motivación en los términos del propio art. 89 CP que fue aplicado. Solo tuvieron en cuenta “la gravedad de los hechos objeto de la condena y [el] peligro del penado para la sociedad”, pero no valoraron “los dos criterios, íntimamente conectados y de inequívoca significación político criminal, enunciados en el art. 89 CP: la necesidad de asegurar la defensa del orden jurídico y de restablecer la confianza en la vigencia de la norma infringida por el delito”. Tampoco se hizo “cuestión de que en la aplicación del sustitutivo parcial de expulsión del art. 89 CP era necesario que la expulsión fuera proporcionada ‘a la vista de las circunstancias del hecho y las personales de su autor, en particular su arraigo en España’ (art. 89.4 CP) […]. [L]a Audiencia se limita a manifestar que no considera suficiente el arraigo alegado para no adoptar la medida legal referida, esto es, la expulsión, pero no hace valoración alguna de las circunstancias personales, familiares, sociales y laborales del recurrente. Sobre este extremo, la afirmación judicial de que no considera suficiente el arraigo alegado contrasta con el hecho de que el recurrente aportó en el procedimiento de ejecución, como prueba documental, fotocopia del contrato de trabajo indefinido y del informe de vida laboral. En este sentido, la mera afirmación judicial referida de insuficiencia del arraigo alegado, sin más razonamiento, no satisface las exigencias constitucionales derivadas del art. 24.1 CE de que los órganos judiciales especifiquen el discurso que enlaza la actividad probatoria con el relato fáctico resultante y que este discurso permita conocer cuáles han sido los criterios jurídicos esenciales que fundamenten la decisión, de acuerdo con la doctrina constitucional”.</w:t>
      </w:r>
    </w:p>
    <w:p w14:paraId="4B6033DC" w14:textId="77777777" w:rsidR="00A8138F" w:rsidRDefault="00A8138F" w:rsidP="00A8138F">
      <w:pPr>
        <w:pStyle w:val="TextoNormal"/>
      </w:pPr>
    </w:p>
    <w:p w14:paraId="08E463F0" w14:textId="3CDAA82F" w:rsidR="00A8138F" w:rsidRDefault="00A8138F" w:rsidP="00A8138F">
      <w:pPr>
        <w:pStyle w:val="TextoNormal"/>
      </w:pPr>
      <w:r w:rsidRPr="00A8138F">
        <w:rPr>
          <w:rStyle w:val="NumeroAFNegritaCaracter"/>
        </w:rPr>
        <w:t>7</w:t>
      </w:r>
      <w:r>
        <w:t>. Por providencia de 8 de mayo de 2025 se señaló para deliberación y votación de la presente sentencia el día 12 del mismo mes y año.</w:t>
      </w:r>
    </w:p>
    <w:p w14:paraId="709BF9D6" w14:textId="77777777" w:rsidR="00A8138F" w:rsidRDefault="00A8138F" w:rsidP="00A8138F">
      <w:pPr>
        <w:pStyle w:val="TextoNormal"/>
      </w:pPr>
    </w:p>
    <w:p w14:paraId="782CA92C" w14:textId="77777777" w:rsidR="00A8138F" w:rsidRDefault="00A8138F" w:rsidP="00A8138F">
      <w:pPr>
        <w:pStyle w:val="TextoNormalNegritaCentrado"/>
        <w:keepNext/>
      </w:pPr>
      <w:r>
        <w:t>II. Fundamentos jurídicos</w:t>
      </w:r>
    </w:p>
    <w:p w14:paraId="00C6E1AB" w14:textId="68CC141E" w:rsidR="00A8138F" w:rsidRDefault="00A8138F" w:rsidP="00A8138F">
      <w:pPr>
        <w:pStyle w:val="TextoNormalNegritaCentrado"/>
        <w:keepNext/>
      </w:pPr>
    </w:p>
    <w:p w14:paraId="4CEC5465" w14:textId="77777777" w:rsidR="00A8138F" w:rsidRDefault="00A8138F" w:rsidP="00A8138F">
      <w:pPr>
        <w:pStyle w:val="TextoNormal"/>
      </w:pPr>
      <w:r w:rsidRPr="00A8138F">
        <w:rPr>
          <w:rStyle w:val="NumeroAFNegritaCaracter"/>
        </w:rPr>
        <w:t>1</w:t>
      </w:r>
      <w:r>
        <w:t xml:space="preserve">. </w:t>
      </w:r>
      <w:r w:rsidRPr="00A8138F">
        <w:rPr>
          <w:i/>
        </w:rPr>
        <w:t>Objeto del recurso de amparo y posiciones de las partes</w:t>
      </w:r>
    </w:p>
    <w:p w14:paraId="2ABDEB1E" w14:textId="77777777" w:rsidR="00A8138F" w:rsidRDefault="00A8138F" w:rsidP="00A8138F">
      <w:pPr>
        <w:pStyle w:val="TextoNormal"/>
      </w:pPr>
    </w:p>
    <w:p w14:paraId="7665EABF" w14:textId="77777777" w:rsidR="00A8138F" w:rsidRDefault="00A8138F" w:rsidP="00A8138F">
      <w:pPr>
        <w:pStyle w:val="TextoNormal"/>
      </w:pPr>
      <w:r>
        <w:t>a) La demanda de amparo se dirige frente a los autos de 2 de noviembre y 11 de diciembre de 2023 de la Sección Novena de la Audiencia Provincial de Málaga, que autorizaron y confirmaron la expulsión del territorio nacional del recurrente en amparo como medida sustitutiva de la ejecución del resto de la pena privativa de libertad que se le había impuesto y que estaba cumpliendo en régimen de libertad condicional.</w:t>
      </w:r>
    </w:p>
    <w:p w14:paraId="6EC00554" w14:textId="77777777" w:rsidR="00A8138F" w:rsidRDefault="00A8138F" w:rsidP="00A8138F">
      <w:pPr>
        <w:pStyle w:val="TextoNormal"/>
      </w:pPr>
    </w:p>
    <w:p w14:paraId="7AAEFB9A" w14:textId="77777777" w:rsidR="00A8138F" w:rsidRDefault="00A8138F" w:rsidP="00A8138F">
      <w:pPr>
        <w:pStyle w:val="TextoNormal"/>
      </w:pPr>
      <w:r>
        <w:t>El recurrente, como ha quedado reflejado en los antecedentes, solicita la estimación del recurso y sostiene que la expulsión vulneró el principio de legalidad (art. 25.1 CE), la tutela judicial efectiva sin indefensión (art. 24.1 CE) y la intimidad familiar (arts. 18 CE y 8 CEDH), por (i) haberse acordado aplicando una regulación desfavorable que no estaba vigente en la fecha de los hechos de mayo de 2015 por los que fue condenado, sino desde el 1 de julio de ese año, como consecuencia de la nueva redacción del art. 89 CP, menos favorable y debida a la Ley Orgánica 1/2015, de 30 de marzo, que permite la expulsión de extranjeros residentes, como era su caso; (ii) haberse adoptado de forma inmotivada, sin que el fiscal la solicitase y sin audiencia del penado y (iii) resultar desproporcionada a la vista de haber cumplido la mayor parte de la pena y de su arraigo familiar y laboral.</w:t>
      </w:r>
    </w:p>
    <w:p w14:paraId="172319CC" w14:textId="77777777" w:rsidR="00A8138F" w:rsidRDefault="00A8138F" w:rsidP="00A8138F">
      <w:pPr>
        <w:pStyle w:val="TextoNormal"/>
      </w:pPr>
    </w:p>
    <w:p w14:paraId="4765B978" w14:textId="77777777" w:rsidR="00A8138F" w:rsidRDefault="00A8138F" w:rsidP="00A8138F">
      <w:pPr>
        <w:pStyle w:val="TextoNormal"/>
      </w:pPr>
      <w:r>
        <w:t>La fiscal ante el Tribunal Constitucional, en igual sentido, interesa la estimación del recurso al considerar que la autorización de expulsión del territorio nacional del recurrente vulneró el principio de legalidad penal (art. 25.1 CE) y el derecho fundamental que dicho principio incorpora por no respetar la prohibición de aplicar retroactivamente una ley penal desfavorable y, subsidiariamente, alega que las resoluciones que acordaron dicha autorización vulneraron el derecho a la tutela judicial efectiva (art. 24.1 CE) del recurrente por no cumplir con las exigencias constitucionales de motivación.</w:t>
      </w:r>
    </w:p>
    <w:p w14:paraId="3A5BFF3C" w14:textId="77777777" w:rsidR="00A8138F" w:rsidRDefault="00A8138F" w:rsidP="00A8138F">
      <w:pPr>
        <w:pStyle w:val="TextoNormal"/>
      </w:pPr>
    </w:p>
    <w:p w14:paraId="60A4214C" w14:textId="77777777" w:rsidR="00A8138F" w:rsidRDefault="00A8138F" w:rsidP="00A8138F">
      <w:pPr>
        <w:pStyle w:val="TextoNormal"/>
      </w:pPr>
      <w:r>
        <w:t>b) El presente recurso de amparo, teniendo en cuenta las vulneraciones denunciadas por las partes, tiene como objeto principal decidir si las resoluciones judiciales impugnadas vulneraron el derecho a la legalidad penal (art. 25.1 CE), por haberse acordado la expulsión del territorio nacional del recurrente aplicando retroactivamente una norma penal que se afirma desfavorable y que no estaba vigente en la fecha de los hechos que motivaron su condena.</w:t>
      </w:r>
    </w:p>
    <w:p w14:paraId="3CAD2BFA" w14:textId="77777777" w:rsidR="00A8138F" w:rsidRDefault="00A8138F" w:rsidP="00A8138F">
      <w:pPr>
        <w:pStyle w:val="TextoNormal"/>
      </w:pPr>
    </w:p>
    <w:p w14:paraId="111E502B" w14:textId="6BF52071" w:rsidR="00A8138F" w:rsidRDefault="00A8138F" w:rsidP="00A8138F">
      <w:pPr>
        <w:pStyle w:val="TextoNormal"/>
      </w:pPr>
      <w:r>
        <w:t>Por tal motivo, se analizará, en primer lugar, esta queja, cuya apreciación —ya se adelanta— conduce a una solución más temprana del recurso, presenta mayor retroacción y asegura la más amplia tutela de los derechos fundamentales del recurrente, haciendo innecesario el examen del resto [SSTC 41/2022, de 21 de marzo, FJ 3; 47/2023, de 10 de mayo, FJ 1 c), y 107/2024, de 9 de septiembre, FJ 2 c), entre otras muchas].</w:t>
      </w:r>
    </w:p>
    <w:p w14:paraId="01C5EAF4" w14:textId="77777777" w:rsidR="00A8138F" w:rsidRDefault="00A8138F" w:rsidP="00A8138F">
      <w:pPr>
        <w:pStyle w:val="TextoNormal"/>
      </w:pPr>
    </w:p>
    <w:p w14:paraId="789345BE" w14:textId="77777777" w:rsidR="00A8138F" w:rsidRDefault="00A8138F" w:rsidP="00A8138F">
      <w:pPr>
        <w:pStyle w:val="TextoNormal"/>
      </w:pPr>
      <w:r w:rsidRPr="00A8138F">
        <w:rPr>
          <w:rStyle w:val="NumeroAFNegritaCaracter"/>
        </w:rPr>
        <w:t>2</w:t>
      </w:r>
      <w:r>
        <w:t xml:space="preserve">. </w:t>
      </w:r>
      <w:r w:rsidRPr="00A8138F">
        <w:rPr>
          <w:i/>
        </w:rPr>
        <w:t>Doctrina sobre la garantía inherente al derecho a la legalidad penal de prohibición de aplicación retroactiva de la ley penal desfavorable relativa a la pena a cumplir</w:t>
      </w:r>
    </w:p>
    <w:p w14:paraId="014CE938" w14:textId="77777777" w:rsidR="00A8138F" w:rsidRDefault="00A8138F" w:rsidP="00A8138F">
      <w:pPr>
        <w:pStyle w:val="TextoNormal"/>
      </w:pPr>
    </w:p>
    <w:p w14:paraId="4327829E" w14:textId="77777777" w:rsidR="00A8138F" w:rsidRDefault="00A8138F" w:rsidP="00A8138F">
      <w:pPr>
        <w:pStyle w:val="TextoNormal"/>
      </w:pPr>
      <w:r>
        <w:t xml:space="preserve">El objeto de nuestro enjuiciamiento fue abordado en la STC 54/2023, de 22 de mayo, que en aquel momento reconoció la novedad de la cuestión planteada que consistía en determinar si el derecho fundamental que prohíbe aplicar retroactivamente la ley penal desfavorable (art. 25.1 CE), que resulta del principio </w:t>
      </w:r>
      <w:r w:rsidRPr="00A8138F">
        <w:rPr>
          <w:i/>
        </w:rPr>
        <w:t>nullum crimen, nulla poena sine praevia lege</w:t>
      </w:r>
      <w:r>
        <w:t>, comprendía las normas que regulaban la sustitución de penas privativas de libertad del art. 88 CP en su redacción anterior a la aprobación de la Ley Orgánica 1/2015 que derogó tal precepto (STC 54/2023, FJ 2). Se trata ahora de resolver si dicha prohibición se extiende también a las normas que regulan la sustitución de penas privativas de libertad por expulsión del territorio nacional del art. 89 CP.</w:t>
      </w:r>
    </w:p>
    <w:p w14:paraId="48B71810" w14:textId="77777777" w:rsidR="00A8138F" w:rsidRDefault="00A8138F" w:rsidP="00A8138F">
      <w:pPr>
        <w:pStyle w:val="TextoNormal"/>
      </w:pPr>
    </w:p>
    <w:p w14:paraId="41EC93F0" w14:textId="77777777" w:rsidR="00A8138F" w:rsidRDefault="00A8138F" w:rsidP="00A8138F">
      <w:pPr>
        <w:pStyle w:val="TextoNormal"/>
      </w:pPr>
      <w:r>
        <w:t xml:space="preserve">Nuestra respuesta fue positiva y reflejo de la progresiva evolución de la doctrina del Tribunal Europeo de Derechos Humanos (en lo que respecta a España: SSTEDH de 15 de diciembre de 2009, asunto </w:t>
      </w:r>
      <w:r w:rsidRPr="00A8138F">
        <w:rPr>
          <w:i/>
        </w:rPr>
        <w:t>Gurguchiani c. España</w:t>
      </w:r>
      <w:r>
        <w:t xml:space="preserve">, y de 21 de octubre de 2013, asunto </w:t>
      </w:r>
      <w:r w:rsidRPr="00A8138F">
        <w:rPr>
          <w:i/>
        </w:rPr>
        <w:t>Del Río Prada c. España</w:t>
      </w:r>
      <w:r>
        <w:t>), que —se decía— ha ido “ensanchando” el ámbito material del principio de legalidad penal en relación con la previsibilidad de la pena a cumplir para incluir supuestos que tradicionalmente se relacionaban con la fase de ejecución de la pena. Esta extensión obedece a la dificultad de deslindar la pena amparada por las garantías del principio de legalidad de su ejecución y, sobre todo, a la necesidad de evitar que se produzca una reducción de tales garantías mediante una injustificada diferenciación formal entre la pena y su cumplimiento [STC 54/2023, FJ 4 b)]. Por ello, la garantía inherente al principio de legalidad penal de prohibición de aplicación retroactiva de la ley penal desfavorable, exige entender que el marco normativo de la pena de aplicación previsible está integrado por la pena abstracta descrita en el tipo delictivo y por las normas que determinan la pena a cumplir vigentes al tiempo de los hechos (STC 54/2023, FJ 6).</w:t>
      </w:r>
    </w:p>
    <w:p w14:paraId="53F66C20" w14:textId="77777777" w:rsidR="00A8138F" w:rsidRDefault="00A8138F" w:rsidP="00A8138F">
      <w:pPr>
        <w:pStyle w:val="TextoNormal"/>
      </w:pPr>
    </w:p>
    <w:p w14:paraId="6546D249" w14:textId="52835A30" w:rsidR="00A8138F" w:rsidRDefault="00A8138F" w:rsidP="00A8138F">
      <w:pPr>
        <w:pStyle w:val="TextoNormal"/>
      </w:pPr>
      <w:r>
        <w:t xml:space="preserve">La mencionada STEDH de 15 de diciembre de 2009, asunto </w:t>
      </w:r>
      <w:r w:rsidRPr="00A8138F">
        <w:rPr>
          <w:i/>
        </w:rPr>
        <w:t>Gurguchiani c. España</w:t>
      </w:r>
      <w:r>
        <w:t>, § 40, 43, 44 y 47, en un caso muy semejante al presente, concluyó que la sustitución de la pena de prisión por la expulsión del territorio nacional con prohibición de entrada durante diez años, tras aplicar el art. 89 CP con una redacción más desfavorable —efectuada entonces por la Ley Orgánica 11/2003, de 29 de septiembre, de medidas concretas en materia de seguridad ciudadana, violencia doméstica e integración social de los extranjeros, en la nueva redacción— que la vigente al tiempo de los hechos violó el art. 7 CEDH (principio de legalidad penal), en la medida en que el demandante fue sometido a una pena más grave que la prevista para la infracción por la que fue declarado culpable.</w:t>
      </w:r>
    </w:p>
    <w:p w14:paraId="55444B11" w14:textId="77777777" w:rsidR="00A8138F" w:rsidRDefault="00A8138F" w:rsidP="00A8138F">
      <w:pPr>
        <w:pStyle w:val="TextoNormal"/>
      </w:pPr>
    </w:p>
    <w:p w14:paraId="4E5387B3" w14:textId="77777777" w:rsidR="00A8138F" w:rsidRDefault="00A8138F" w:rsidP="00A8138F">
      <w:pPr>
        <w:pStyle w:val="TextoNormal"/>
      </w:pPr>
      <w:r w:rsidRPr="00A8138F">
        <w:rPr>
          <w:rStyle w:val="NumeroAFNegritaCaracter"/>
        </w:rPr>
        <w:t>3</w:t>
      </w:r>
      <w:r>
        <w:t xml:space="preserve">. </w:t>
      </w:r>
      <w:r w:rsidRPr="00A8138F">
        <w:rPr>
          <w:i/>
        </w:rPr>
        <w:t>Estimación del recurso</w:t>
      </w:r>
    </w:p>
    <w:p w14:paraId="424AEFB2" w14:textId="77777777" w:rsidR="00A8138F" w:rsidRDefault="00A8138F" w:rsidP="00A8138F">
      <w:pPr>
        <w:pStyle w:val="TextoNormal"/>
      </w:pPr>
    </w:p>
    <w:p w14:paraId="47B1EA70" w14:textId="77777777" w:rsidR="00A8138F" w:rsidRDefault="00A8138F" w:rsidP="00A8138F">
      <w:pPr>
        <w:pStyle w:val="TextoNormal"/>
      </w:pPr>
      <w:r>
        <w:t>La Sección Novena de la Audiencia Provincial de Málaga autorizó la expulsión del territorio nacional del demandante, con prohibición de entrada en España por un plazo de diez años, como medida sustitutiva de la ejecución del resto de la pena privativa de libertad que se le había impuesto y que estaba cumpliendo en régimen de libertad condicional. Y lo hizo aplicando retroactivamente el art. 89 CP, precepto incluido en la sección segunda (“De la sustitución de las penas privativas de libertad”) del capítulo III (“De las formas sustitutivas de la ejecución de las penas privativas de libertad y de la libertad condicional”) del título III (“De las penas”) del libro I (“De la infracción penal”) del Código, en la redacción efectuada por la Ley Orgánica 1/2015, de 30 de marzo, por la que se modifica la Ley Orgánica 10/1995, de 23 de noviembre, del Código penal, en vigor a partir del 1 de julio de 2015, según su disposición final octava, que contenía una regulación más desfavorable que la que estaba vigente en la fecha de los hechos de mayo de 2015 que motivaron la condena del recurrente.</w:t>
      </w:r>
    </w:p>
    <w:p w14:paraId="13EDF188" w14:textId="77777777" w:rsidR="00A8138F" w:rsidRDefault="00A8138F" w:rsidP="00A8138F">
      <w:pPr>
        <w:pStyle w:val="TextoNormal"/>
      </w:pPr>
    </w:p>
    <w:p w14:paraId="32301539" w14:textId="77777777" w:rsidR="00A8138F" w:rsidRDefault="00A8138F" w:rsidP="00A8138F">
      <w:pPr>
        <w:pStyle w:val="TextoNormal"/>
      </w:pPr>
      <w:r>
        <w:t>La redacción vigente del art. 89 CP en la fecha de los hechos procedía de la reforma del Código penal efectuada por la Ley Orgánica 5/2010, de 22 de junio, en vigor a partir del 23 de diciembre de 2010, según su disposición final séptima. El precepto, en lo que interesa a este recurso, disponía en su apartado quinto que “[l]os jueces o tribunales, a instancia del Ministerio Fiscal y previa audiencia del penado y de las partes personadas, acordarán en sentencia, o durante su ejecución, la expulsión del territorio nacional del extranjero no residente legalmente en España, que hubiera de cumplir o estuviera cumpliendo cualquier pena privativa de libertad, para el caso de que hubiera accedido al tercer grado penitenciario o cumplido las tres cuartas partes de la condena, salvo que previa audiencia del Ministerio Fiscal y de forma motivada aprecien razones que justifiquen el cumplimiento en España”.</w:t>
      </w:r>
    </w:p>
    <w:p w14:paraId="2DADC3D0" w14:textId="77777777" w:rsidR="00A8138F" w:rsidRDefault="00A8138F" w:rsidP="00A8138F">
      <w:pPr>
        <w:pStyle w:val="TextoNormal"/>
      </w:pPr>
    </w:p>
    <w:p w14:paraId="78F4DC5C" w14:textId="77777777" w:rsidR="00A8138F" w:rsidRDefault="00A8138F" w:rsidP="00A8138F">
      <w:pPr>
        <w:pStyle w:val="TextoNormal"/>
      </w:pPr>
      <w:r>
        <w:t>La Sección Novena de la Audiencia Provincial de Málaga, en lugar de cumplir con las exigencias del principio de legalidad penal y aplicar el citado art. 89.5 CP, optó por autorizar la expulsión aplicando el precepto retroactivamente en la redacción efectuada por la Ley Orgánica 1/2015, que no estaba vigente y que era objetivamente menos favorable para el recurrente, pues, según la nueva redacción de la norma equivalente contenida en el art. 89.1 y 2 CP, cuando a un ciudadano extranjero le “hubiera sido impuesta una pena de más de cinco años de prisión, o varias penas que excedieran de esa duración, el juez o tribunal acordará la ejecución de todo o parte de la pena, en la medida en que resulte necesario para asegurar la defensa del orden jurídico y restablecer la confianza en la vigencia de la norma infringida por el delito. En estos casos, se sustituirá la ejecución del resto de la pena por la expulsión del penado del territorio español, cuando el penado cumpla la parte de la pena que se hubiera determinado, acceda al tercer grado o se le conceda la libertad condicional”.</w:t>
      </w:r>
    </w:p>
    <w:p w14:paraId="4CB0D77F" w14:textId="77777777" w:rsidR="00A8138F" w:rsidRDefault="00A8138F" w:rsidP="00A8138F">
      <w:pPr>
        <w:pStyle w:val="TextoNormal"/>
      </w:pPr>
    </w:p>
    <w:p w14:paraId="5C794CA6" w14:textId="77777777" w:rsidR="00A8138F" w:rsidRDefault="00A8138F" w:rsidP="00A8138F">
      <w:pPr>
        <w:pStyle w:val="TextoNormal"/>
      </w:pPr>
      <w:r>
        <w:t>El recurrente, en las alegaciones de su recurso de súplica reproducidas con posterioridad en la demanda de amparo, denunció que la autorización de su expulsión del territorio nacional vulneró el principio de legalidad penal alegando que la nueva redacción del art. 89 CP, efectuada por la Ley Orgánica 1/2015, no le era aplicable porque no estaba vigente en la fecha de los hechos de mayo de 2015, sino desde el 1 de julio de ese año, y que le perjudicaba, dado que la nueva norma permitía la expulsión de extranjeros residentes, como era su caso, frente a la regulación anterior que ceñía dicha posibilidad a los extranjeros no residentes legalmente en España.</w:t>
      </w:r>
    </w:p>
    <w:p w14:paraId="6DFDB823" w14:textId="77777777" w:rsidR="00A8138F" w:rsidRDefault="00A8138F" w:rsidP="00A8138F">
      <w:pPr>
        <w:pStyle w:val="TextoNormal"/>
      </w:pPr>
    </w:p>
    <w:p w14:paraId="180ABBAE" w14:textId="77777777" w:rsidR="00A8138F" w:rsidRDefault="00A8138F" w:rsidP="00A8138F">
      <w:pPr>
        <w:pStyle w:val="TextoNormal"/>
      </w:pPr>
      <w:r>
        <w:t>La simple lectura de las sucesivas redacciones de la norma penal pone en evidencia que el art. 89.5 CP vigente en mayo de 2015 era más favorable que el equivalente art. 89.1 y 2 CP que la Sección Novena aplicó en noviembre de 2023 con carácter retroactivo. El art. 89.5 CP vigente al tiempo de los hechos regulaba la expulsión sustitutiva de la pena de prisión a cumplir del penado que hubiera accedido al tercer grado penitenciario o cumplido las tres cuartas partes de la condena, como era el caso del demandante en situación de libertad condicional, como una facultad del juez o tribunal frente a la regla imperativa del art. 89.2 CP de que “[e]n estos casos, se sustituirá la ejecución del resto de la pena por la expulsión del penado del territorio español”. La expulsión prevista en el art. 89.5 CP únicamente afectaba al “extranjero no residente legalmente en España” frente a la posibilidad del art. 89.1 y 2 CP, que se refiere al “ciudadano extranjero” sin distinción alguna acerca de su situación regular o irregular. Finalmente, la norma vigente al tiempo de los hechos restringía la aplicación de la expulsión sustitutiva a la previa solicitud del Ministerio Fiscal, frente a la norma aplicada que no efectúa ninguna limitación y que permite una amplia legitimación para interesar la incoación del incidente contradictorio de la medida de expulsión sustitutiva y que, en el caso analizado, fue instada por la brigada provincial de extranjería y fronteras.</w:t>
      </w:r>
    </w:p>
    <w:p w14:paraId="0C61C400" w14:textId="77777777" w:rsidR="00A8138F" w:rsidRDefault="00A8138F" w:rsidP="00A8138F">
      <w:pPr>
        <w:pStyle w:val="TextoNormal"/>
      </w:pPr>
    </w:p>
    <w:p w14:paraId="663741A5" w14:textId="77777777" w:rsidR="00A8138F" w:rsidRDefault="00A8138F" w:rsidP="00A8138F">
      <w:pPr>
        <w:pStyle w:val="TextoNormal"/>
      </w:pPr>
      <w:r>
        <w:t>De este modo, la Sección Novena de la Audiencia Provincial de Málaga, al sustituir, a petición de la Policía, la pena de prisión que restaba por cumplir por la expulsión de un extranjero residente con arreglo a una norma penal que era desfavorable y que no estaba vigente al tiempo de los hechos objeto de condena, infringió la garantía de prohibición de retroactividad de la ley penal desfavorable y vulneró el derecho a la legalidad penal del recurrente (art. 25.1 CE).</w:t>
      </w:r>
    </w:p>
    <w:p w14:paraId="1B8E65F4" w14:textId="77777777" w:rsidR="00A8138F" w:rsidRDefault="00A8138F" w:rsidP="00A8138F">
      <w:pPr>
        <w:pStyle w:val="TextoNormal"/>
      </w:pPr>
    </w:p>
    <w:p w14:paraId="0B0F6468" w14:textId="5315BC50" w:rsidR="00A8138F" w:rsidRDefault="00A8138F" w:rsidP="00A8138F">
      <w:pPr>
        <w:pStyle w:val="TextoNormal"/>
      </w:pPr>
      <w:r>
        <w:t>En consecuencia, el recurso debe estimarse y otorgarse el amparo solicitado [art. 53 a) LOTC], reconociendo al recurrente la vulneración de su derecho. Para restablecer esta garantía de carácter sustantivo que prohíbe aplicar retroactivamente una norma penal desfavorable resulta necesario anular las resoluciones impugnadas, habida cuenta que la medida de expulsión no fue instada por el Ministerio Fiscal.</w:t>
      </w:r>
    </w:p>
    <w:p w14:paraId="2F880193" w14:textId="77777777" w:rsidR="00A8138F" w:rsidRDefault="00A8138F" w:rsidP="00A8138F">
      <w:pPr>
        <w:pStyle w:val="TextoNormal"/>
      </w:pPr>
    </w:p>
    <w:p w14:paraId="63D21D0F" w14:textId="77777777" w:rsidR="00A8138F" w:rsidRDefault="00A8138F" w:rsidP="00A8138F">
      <w:pPr>
        <w:pStyle w:val="TextoNormalCentrado"/>
        <w:keepNext/>
      </w:pPr>
      <w:r>
        <w:t>FALLO</w:t>
      </w:r>
    </w:p>
    <w:p w14:paraId="19D0CEB0" w14:textId="7A95E72A" w:rsidR="00A8138F" w:rsidRDefault="00A8138F" w:rsidP="00A8138F">
      <w:pPr>
        <w:pStyle w:val="TextoNormalCentrado"/>
        <w:keepNext/>
      </w:pPr>
    </w:p>
    <w:p w14:paraId="0E6DC569"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Guillermo Ojeda Rengifo y, en su virtud:</w:t>
      </w:r>
    </w:p>
    <w:p w14:paraId="0934472D" w14:textId="77777777" w:rsidR="00A8138F" w:rsidRDefault="00A8138F" w:rsidP="00A8138F">
      <w:pPr>
        <w:pStyle w:val="TextoNormal"/>
      </w:pPr>
    </w:p>
    <w:p w14:paraId="4C24A5DA" w14:textId="77777777" w:rsidR="00A8138F" w:rsidRDefault="00A8138F" w:rsidP="00A8138F">
      <w:pPr>
        <w:pStyle w:val="TextoNormal"/>
      </w:pPr>
      <w:r>
        <w:t>1º Reconocer que ha sido vulnerado su derecho a la legalidad penal (art. 25.1 CE).</w:t>
      </w:r>
    </w:p>
    <w:p w14:paraId="2DA9EBEB" w14:textId="77777777" w:rsidR="00A8138F" w:rsidRDefault="00A8138F" w:rsidP="00A8138F">
      <w:pPr>
        <w:pStyle w:val="TextoNormal"/>
      </w:pPr>
    </w:p>
    <w:p w14:paraId="059F0CF3" w14:textId="3CDD5D1D" w:rsidR="00A8138F" w:rsidRDefault="00A8138F" w:rsidP="00A8138F">
      <w:pPr>
        <w:pStyle w:val="TextoNormal"/>
      </w:pPr>
      <w:r>
        <w:t>2º Restablecerlo en su derecho y, a tal fin, declarar la nulidad de los autos de 2 de noviembre y de 11 de diciembre de 2023 de la Sección Novena de la Audiencia Provincial de Málaga, dictados en la ejecutoria penal núm. 8-2020.</w:t>
      </w:r>
    </w:p>
    <w:p w14:paraId="16C7B45D" w14:textId="77777777" w:rsidR="00A8138F" w:rsidRDefault="00A8138F" w:rsidP="00A8138F">
      <w:pPr>
        <w:pStyle w:val="TextoNormal"/>
      </w:pPr>
    </w:p>
    <w:p w14:paraId="04C6330C" w14:textId="77777777" w:rsidR="00A8138F" w:rsidRDefault="00A8138F" w:rsidP="00A8138F">
      <w:pPr>
        <w:pStyle w:val="TextoNormal"/>
      </w:pPr>
      <w:r>
        <w:t>Publíquese esta sentencia en el “Boletín Oficial del Estado”.</w:t>
      </w:r>
    </w:p>
    <w:p w14:paraId="359E9C47" w14:textId="77777777" w:rsidR="00A8138F" w:rsidRDefault="00A8138F" w:rsidP="00A8138F">
      <w:pPr>
        <w:pStyle w:val="TextoNormal"/>
      </w:pPr>
      <w:r>
        <w:t>Dada en Madrid, a doce de mayo de dos mil veinticinco.</w:t>
      </w:r>
    </w:p>
    <w:p w14:paraId="06013CC0" w14:textId="78845269" w:rsidR="00A8138F" w:rsidRDefault="00A8138F">
      <w:pPr>
        <w:spacing w:after="160" w:line="278" w:lineRule="auto"/>
        <w:rPr>
          <w:rFonts w:ascii="Times New Roman" w:eastAsia="Times New Roman" w:hAnsi="Times New Roman" w:cs="Times New Roman"/>
          <w:sz w:val="24"/>
          <w:szCs w:val="24"/>
          <w:lang w:eastAsia="es-ES"/>
        </w:rPr>
      </w:pPr>
      <w:r>
        <w:br w:type="page"/>
      </w:r>
    </w:p>
    <w:p w14:paraId="1222C92A" w14:textId="77777777" w:rsidR="00A8138F" w:rsidRDefault="00A8138F" w:rsidP="00A8138F">
      <w:pPr>
        <w:pStyle w:val="TtuloResolucin"/>
      </w:pPr>
      <w:bookmarkStart w:id="114" w:name="SENTENCIA_2025_112"/>
      <w:r>
        <w:t>SENTENCIA 112/2025, de 12 de mayo de 2025</w:t>
      </w:r>
    </w:p>
    <w:bookmarkEnd w:id="114"/>
    <w:p w14:paraId="20BA2972" w14:textId="77777777" w:rsidR="00A8138F" w:rsidRDefault="00A8138F" w:rsidP="00A8138F">
      <w:pPr>
        <w:pStyle w:val="TtuloResolucin"/>
      </w:pPr>
      <w:r>
        <w:t>Sala Segunda</w:t>
      </w:r>
    </w:p>
    <w:p w14:paraId="55C80386" w14:textId="77777777" w:rsidR="00A8138F" w:rsidRDefault="00A8138F" w:rsidP="00A8138F">
      <w:pPr>
        <w:pStyle w:val="TtuloBOE"/>
      </w:pPr>
      <w:r>
        <w:t>(BOE núm. 146, de 18 de junio de 2025)</w:t>
      </w:r>
    </w:p>
    <w:p w14:paraId="7B74A209" w14:textId="77777777" w:rsidR="00A8138F" w:rsidRDefault="00A8138F" w:rsidP="00A8138F">
      <w:pPr>
        <w:pStyle w:val="TextoNormalCentrado"/>
      </w:pPr>
      <w:r>
        <w:t>ECLI:ES:TC:2025:112</w:t>
      </w:r>
    </w:p>
    <w:p w14:paraId="1AD4CF2E" w14:textId="711CDDC4" w:rsidR="00A8138F" w:rsidRDefault="00A8138F" w:rsidP="00A8138F">
      <w:pPr>
        <w:pStyle w:val="TextoNormalCentrado"/>
      </w:pPr>
    </w:p>
    <w:p w14:paraId="2F6E0F18" w14:textId="77777777" w:rsidR="00A8138F" w:rsidRDefault="00A8138F" w:rsidP="00A8138F">
      <w:pPr>
        <w:pStyle w:val="SntesisDescriptiva"/>
      </w:pPr>
      <w:r>
        <w:t>Recurso de amparo 4983-2024. Promovido por doña Sonia Díaz Montes en relación con las resoluciones administrativas y judiciales que desestimaron su petición de revisión y ampliación de la prestación por nacimiento y cuidado de hijo menor, como madre biológica de familia monoparental.</w:t>
      </w:r>
    </w:p>
    <w:p w14:paraId="1CCB2BB0" w14:textId="772A5E3C" w:rsidR="00A8138F" w:rsidRDefault="00A8138F" w:rsidP="00A8138F">
      <w:pPr>
        <w:pStyle w:val="SntesisDescriptiva"/>
      </w:pPr>
    </w:p>
    <w:p w14:paraId="6D028BBA"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7070FABF" w14:textId="5B37213A" w:rsidR="00A8138F" w:rsidRDefault="00A8138F" w:rsidP="00A8138F">
      <w:pPr>
        <w:pStyle w:val="SntesisAnaltica"/>
      </w:pPr>
    </w:p>
    <w:p w14:paraId="2E0554A2" w14:textId="1D8C8825"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151BF082" w14:textId="77777777" w:rsidR="00A8138F" w:rsidRDefault="00A8138F" w:rsidP="00A8138F">
      <w:pPr>
        <w:pStyle w:val="Extracto"/>
      </w:pPr>
    </w:p>
    <w:p w14:paraId="7FA9729C" w14:textId="77777777" w:rsidR="00A8138F" w:rsidRDefault="00A8138F" w:rsidP="00A8138F">
      <w:pPr>
        <w:pStyle w:val="Extracto"/>
      </w:pPr>
    </w:p>
    <w:p w14:paraId="515D84E9"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4277B280" w14:textId="1199B911" w:rsidR="00A8138F" w:rsidRDefault="00A8138F" w:rsidP="00A8138F">
      <w:pPr>
        <w:pStyle w:val="TextoNormal"/>
      </w:pPr>
    </w:p>
    <w:p w14:paraId="7E5B67F5" w14:textId="77777777" w:rsidR="00A8138F" w:rsidRDefault="00A8138F" w:rsidP="00A8138F">
      <w:pPr>
        <w:pStyle w:val="TextoNormalCentrado"/>
        <w:keepNext/>
      </w:pPr>
      <w:r>
        <w:t>EN NOMBRE DEL REY</w:t>
      </w:r>
    </w:p>
    <w:p w14:paraId="56464B2F" w14:textId="61BF2E2D" w:rsidR="00A8138F" w:rsidRDefault="00A8138F" w:rsidP="00A8138F">
      <w:pPr>
        <w:pStyle w:val="TextoNormalCentrado"/>
        <w:keepNext/>
      </w:pPr>
    </w:p>
    <w:p w14:paraId="68ACAB19" w14:textId="77777777" w:rsidR="00A8138F" w:rsidRDefault="00A8138F" w:rsidP="00A8138F">
      <w:pPr>
        <w:pStyle w:val="TextoNormalCentrado"/>
        <w:keepNext/>
      </w:pPr>
    </w:p>
    <w:p w14:paraId="211DBB61" w14:textId="77777777" w:rsidR="00A8138F" w:rsidRDefault="00A8138F" w:rsidP="00A8138F">
      <w:pPr>
        <w:pStyle w:val="TextoNormal"/>
      </w:pPr>
      <w:r>
        <w:t>la siguiente</w:t>
      </w:r>
    </w:p>
    <w:p w14:paraId="02588ECF" w14:textId="1A6B4AB5" w:rsidR="00A8138F" w:rsidRDefault="00A8138F" w:rsidP="00A8138F">
      <w:pPr>
        <w:pStyle w:val="TextoNormal"/>
      </w:pPr>
    </w:p>
    <w:p w14:paraId="642EDDD7" w14:textId="77777777" w:rsidR="00A8138F" w:rsidRDefault="00A8138F" w:rsidP="00A8138F">
      <w:pPr>
        <w:pStyle w:val="TextoNormalCentrado"/>
        <w:keepNext/>
      </w:pPr>
      <w:r>
        <w:t>SENTENCIA</w:t>
      </w:r>
    </w:p>
    <w:p w14:paraId="7E692B72" w14:textId="23B4A51C" w:rsidR="00A8138F" w:rsidRDefault="00A8138F" w:rsidP="00A8138F">
      <w:pPr>
        <w:pStyle w:val="TextoNormalCentrado"/>
        <w:keepNext/>
      </w:pPr>
    </w:p>
    <w:p w14:paraId="67A79F95" w14:textId="77777777" w:rsidR="00A8138F" w:rsidRDefault="00A8138F" w:rsidP="00A8138F">
      <w:pPr>
        <w:pStyle w:val="TextoNormal"/>
      </w:pPr>
      <w:r>
        <w:t>En el recurso de amparo núm. 4983-2024, promovido por doña Sonia Díaz Montes, representada por la procuradora de los tribunales doña María Isabel Torres Ruiz y asistida por la letrada doña Olga Georgina Marquina Pompido, contra la resolución del Instituto Nacional de la Seguridad Social (INSS) de 13 de septiembre de 2021, que denegó su solicitud de ampliación de la duración de la prestación por nacimiento y cuidado de menor, y de 9 de noviembre de 2021, que desestimó la reclamación previa formulada frente a ella, así como frente a la sentencia núm. 714/2024, de 22 de mayo, de la Sala de lo Social del Tribunal Supremo (recurso de casación para la unificación de doctrina núm. 1211-2023), que revocó la sentencia núm. 110/2022, de 22 de abril, del Juzgado de lo Social núm. 1 de Terrassa (autos núm. 781-2021) y la sentencia núm. 211/2023, de 16 de enero, de la Sala de lo Social del Tribunal Superior de Justicia de Cataluña (recurso de suplicación núm. 5370-2022). Han intervenido la letrada de la administración de la Seguridad Social y el Ministerio Fiscal. Ha sido ponente la magistrada doña María Luisa Balaguer Callejón.</w:t>
      </w:r>
    </w:p>
    <w:p w14:paraId="7701F983" w14:textId="04E53179" w:rsidR="00A8138F" w:rsidRDefault="00A8138F" w:rsidP="00A8138F">
      <w:pPr>
        <w:pStyle w:val="TextoNormal"/>
      </w:pPr>
    </w:p>
    <w:p w14:paraId="6E5242DE" w14:textId="77777777" w:rsidR="00A8138F" w:rsidRDefault="00A8138F" w:rsidP="00A8138F">
      <w:pPr>
        <w:pStyle w:val="TextoNormalNegritaCentrado"/>
        <w:keepNext/>
      </w:pPr>
      <w:r>
        <w:t>I. Antecedentes</w:t>
      </w:r>
    </w:p>
    <w:p w14:paraId="240A9C73" w14:textId="4620AB23" w:rsidR="00A8138F" w:rsidRDefault="00A8138F" w:rsidP="00A8138F">
      <w:pPr>
        <w:pStyle w:val="TextoNormalNegritaCentrado"/>
        <w:keepNext/>
      </w:pPr>
    </w:p>
    <w:p w14:paraId="25B33E3D" w14:textId="63A203CE" w:rsidR="00A8138F" w:rsidRDefault="00A8138F" w:rsidP="00A8138F">
      <w:pPr>
        <w:pStyle w:val="TextoNormal"/>
      </w:pPr>
      <w:r w:rsidRPr="00A8138F">
        <w:rPr>
          <w:rStyle w:val="NumeroAFNegritaCaracter"/>
        </w:rPr>
        <w:t>1</w:t>
      </w:r>
      <w:r>
        <w:t>. Mediante escrito presentado en el registro general de este tribunal el día 27 de junio de 2024, la procuradora de los tribunales doña María Isabel Torres Ruiz, actuando en nombre y representación de doña Sonia Díaz Montes, interpuso recurso de amparo frente a las resoluciones administrativas y judicial que las confirmaron, y que han sido señaladas en el encabezamiento de esta sentencia.</w:t>
      </w:r>
    </w:p>
    <w:p w14:paraId="0ADDD05C" w14:textId="77777777" w:rsidR="00A8138F" w:rsidRDefault="00A8138F" w:rsidP="00A8138F">
      <w:pPr>
        <w:pStyle w:val="TextoNormal"/>
      </w:pPr>
    </w:p>
    <w:p w14:paraId="0AE87E32" w14:textId="77777777" w:rsidR="00A8138F" w:rsidRDefault="00A8138F" w:rsidP="00A8138F">
      <w:pPr>
        <w:pStyle w:val="TextoNormal"/>
      </w:pPr>
      <w:r w:rsidRPr="00A8138F">
        <w:rPr>
          <w:rStyle w:val="NumeroAFNegritaCaracter"/>
        </w:rPr>
        <w:t>2</w:t>
      </w:r>
      <w:r>
        <w:t>. El presente recurso de amparo trae causa de los antecedentes que a continuación se sintetizan:</w:t>
      </w:r>
    </w:p>
    <w:p w14:paraId="2B48FE1C" w14:textId="77777777" w:rsidR="00A8138F" w:rsidRDefault="00A8138F" w:rsidP="00A8138F">
      <w:pPr>
        <w:pStyle w:val="TextoNormal"/>
      </w:pPr>
    </w:p>
    <w:p w14:paraId="44AFA00A" w14:textId="77777777" w:rsidR="00A8138F" w:rsidRDefault="00A8138F" w:rsidP="00A8138F">
      <w:pPr>
        <w:pStyle w:val="TextoNormal"/>
      </w:pPr>
      <w:r>
        <w:t>a) La recurrente en amparo, madre biológica de una menor nacida el 14 de agosto de 2021, con la que forma una familia monoparental, presentó solicitud de prestación por nacimiento y cuidado de menor, reconociéndole el INSS, por resolución de 3 de septiembre de 2021, dieciséis semanas de prestación, por el periodo comprendido entre el 14 de agosto del 2021 y el 3 de diciembre de 2021, con una base reguladora diaria de 101,83 €. En la fecha de recepción de la resolución, solicitó la ampliación de la prestación a treinta y dos semanas, invocando la sentencia núm. 1217/2020 del Tribunal Superior de Justicia del País Vasco, en sustento de sus pretensiones. Su petición fue desestimada por el INSS mediante resolución de 13 de septiembre de 2021 y una decisión posterior, fechada el 9 de noviembre de 2021, desestimó la reclamación previa interpuesta frente a la resolución de septiembre.</w:t>
      </w:r>
    </w:p>
    <w:p w14:paraId="05C6DD32" w14:textId="77777777" w:rsidR="00A8138F" w:rsidRDefault="00A8138F" w:rsidP="00A8138F">
      <w:pPr>
        <w:pStyle w:val="TextoNormal"/>
      </w:pPr>
    </w:p>
    <w:p w14:paraId="43ADDC94" w14:textId="77777777" w:rsidR="00A8138F" w:rsidRDefault="00A8138F" w:rsidP="00A8138F">
      <w:pPr>
        <w:pStyle w:val="TextoNormal"/>
      </w:pPr>
      <w:r>
        <w:t>b) Disconforme con la duración de la prestación, la Sra. Díaz Montes formuló demanda en la vía judicial frente al INSS y la Tesorería General de la Seguridad Social (TGSS), dando lugar a los autos núm. 7781-2021 seguidos ante el Juzgado de lo Social núm. 1 de Terrassa. Por sentencia núm. 110/2022, de 22 de abril, se estimó parcialmente la demanda, reconociéndose a la actora el derecho a diez semanas adicionales de prestación, por entender que, como madre biológica, ya había disfrutado de las seis semanas ininterrumpidas que corresponden inmediatamente después del parto.</w:t>
      </w:r>
    </w:p>
    <w:p w14:paraId="4CF4F18F" w14:textId="77777777" w:rsidR="00A8138F" w:rsidRDefault="00A8138F" w:rsidP="00A8138F">
      <w:pPr>
        <w:pStyle w:val="TextoNormal"/>
      </w:pPr>
    </w:p>
    <w:p w14:paraId="38F760D6" w14:textId="77777777" w:rsidR="00A8138F" w:rsidRDefault="00A8138F" w:rsidP="00A8138F">
      <w:pPr>
        <w:pStyle w:val="TextoNormal"/>
      </w:pPr>
      <w:r>
        <w:t>c) Frente a la anterior sentencia interpusieron recurso de suplicación (núm. 5370-2022) tanto la parte actora como el INSS, siendo estimado el recurso de la primera por sentencia núm. 211/2023, de 16 de enero, de la Sala de lo Social del Tribunal Superior de Justicia de Cataluña. La Sala le reconoció a la actora la ampliación del permiso en seis semanas más, alcanzando un total de dieciséis semanas, y aplicando la doctrina previamente fijada por el Pleno de la Sala del mismo Tribunal, el 29 de noviembre de 2022 (recurso de suplicación núm. 1552-2022), esto es, sosteniendo que la aplicación uniforme del art. 48 de la Ley del estatuto de los trabajadores, aprobado por Real Decreto Legislativo 2/2015, de 23 de octubre (LET), sin tomar en consideración las peculiaridades y necesidades específicas de las familias monoparentales, supone introducir una diferencia de trato respecto de un colectivo que tiene mayores dificultades para conciliar vida laboral y familiar, sin que sea de apreciar justificación objetiva de ningún tipo. Por lo que hace a la ampliación en dieciséis semanas, y no en diez, la sentencia del Tribunal Superior de Justicia sostiene que, cuando no hay ningún otro progenitor, ninguna posibilidad hay de disfrute simultáneo de los permisos, ni de compartir responsabilidades, por lo que la solución a la que lleva una interpretación integradora del ordenamiento jurídico es al reconocimiento de dieciséis semanas de permiso.</w:t>
      </w:r>
    </w:p>
    <w:p w14:paraId="20880F47" w14:textId="77777777" w:rsidR="00A8138F" w:rsidRDefault="00A8138F" w:rsidP="00A8138F">
      <w:pPr>
        <w:pStyle w:val="TextoNormal"/>
      </w:pPr>
    </w:p>
    <w:p w14:paraId="5D0E43CD" w14:textId="7A42CF81" w:rsidR="00A8138F" w:rsidRDefault="00A8138F" w:rsidP="00A8138F">
      <w:pPr>
        <w:pStyle w:val="TextoNormal"/>
      </w:pPr>
      <w:r>
        <w:t>d) Interpuesto recurso de casación para la unificación de doctrina (núm. 1211-2023) por el INSS, este fue estimado mediante sentencia núm. 714/2024, de 22 de mayo, de la Sala de lo Social del Tribunal Supremo, en aplicación de la doctrina sentada en su sentencia de Pleno núm. 169/2023, de 2 de marzo de 2020 [recurso núm. 3972/2020 (ECLI:ES:TS:2023:783)] en la que se había descartado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 Sobre la base de lo argumentado, la Sala casó y anuló las sentencias de instancia y de suplicación.</w:t>
      </w:r>
    </w:p>
    <w:p w14:paraId="03C81088" w14:textId="77777777" w:rsidR="00A8138F" w:rsidRDefault="00A8138F" w:rsidP="00A8138F">
      <w:pPr>
        <w:pStyle w:val="TextoNormal"/>
      </w:pPr>
    </w:p>
    <w:p w14:paraId="1EFB9BDE" w14:textId="77777777" w:rsidR="00A8138F" w:rsidRDefault="00A8138F" w:rsidP="00A8138F">
      <w:pPr>
        <w:pStyle w:val="TextoNormal"/>
      </w:pPr>
      <w:r w:rsidRPr="00A8138F">
        <w:rPr>
          <w:rStyle w:val="NumeroAFNegritaCaracter"/>
        </w:rPr>
        <w:t>3</w:t>
      </w:r>
      <w:r>
        <w:t>. En la demanda de amparo la recurrente denuncia la violación del derecho a la igualdad en la ley y a la no discriminación directa por circunstancia personal y familiar e indirecta por razón de sexo (arts. 14, 39 y 9.2 CE). Las resoluciones administrativas impugnadas, que deniegan la ampliación del derecho de permiso por nacimiento y cuidado de hijos de la recurrente de amparo, madre biológica de una hija que, por su libre decisión, ha constituido una familia monoparental, y la sentencia del Tribunal Supremo, que anulando los pronunciamientos judiciales de la instancia, confirma las resoluciones administrativas, han conculcado los citados preceptos constitucionales al deparar un trato desigual injustificado a las familias monoparentales con relación a las de familias biparentales en el disfrute de los permisos y prestaciones por nacimiento y cuidado de hijos regulados en los arts. 48.4 LET y 177 del texto refundido de la Ley general de la Seguridad Social, aprobado por el Real Decreto Legislativo 8/2015, de 30 de octubre (LGSS).</w:t>
      </w:r>
    </w:p>
    <w:p w14:paraId="08E0B92B" w14:textId="77777777" w:rsidR="00A8138F" w:rsidRDefault="00A8138F" w:rsidP="00A8138F">
      <w:pPr>
        <w:pStyle w:val="TextoNormal"/>
      </w:pPr>
    </w:p>
    <w:p w14:paraId="2120E1AF" w14:textId="77777777" w:rsidR="00A8138F" w:rsidRDefault="00A8138F" w:rsidP="00A8138F">
      <w:pPr>
        <w:pStyle w:val="TextoNormal"/>
      </w:pPr>
      <w:r>
        <w:t>Como causa de especial trascendencia constitucional, la demanda alega que el recurso de amparo plantea un problema o afecta a una faceta de un derecho fundamental sobre el que no hay doctrina de este tribunal, en virtud del fundamento jurídico 2, apartado a), de la STC 155/2009, de 25 de junio, del Tribunal Constitucional. Asimismo, el asunto suscitado trasciende del caso concreto porque plantea una cuestión jurídica de relevante y general repercusión social o económica, según el fundamento jurídico 2, apartado g), de la sentencia anteriormente citada.</w:t>
      </w:r>
    </w:p>
    <w:p w14:paraId="6C75EB08" w14:textId="77777777" w:rsidR="00A8138F" w:rsidRDefault="00A8138F" w:rsidP="00A8138F">
      <w:pPr>
        <w:pStyle w:val="TextoNormal"/>
      </w:pPr>
    </w:p>
    <w:p w14:paraId="7AF2C510" w14:textId="150B82ED" w:rsidR="00A8138F" w:rsidRDefault="00A8138F" w:rsidP="00A8138F">
      <w:pPr>
        <w:pStyle w:val="TextoNormal"/>
      </w:pPr>
      <w:r>
        <w:t xml:space="preserve">En lo que hace al </w:t>
      </w:r>
      <w:r w:rsidRPr="00A8138F">
        <w:rPr>
          <w:i/>
        </w:rPr>
        <w:t>petitum</w:t>
      </w:r>
      <w:r>
        <w:t xml:space="preserve"> de la demanda, la recurrente en amparo solicita un pronunciamiento estimatorio en que se declaren lesionados los derechos fundamentales a no ser discriminada por razón de sexo y por razón de nacimiento, decretándose la nulidad de la actuación administrativa, así como la sentencia de la Sala de lo Social del Tribunal Supremo núm. 714/2024 de 22 de mayo.</w:t>
      </w:r>
    </w:p>
    <w:p w14:paraId="29B0FC1A" w14:textId="77777777" w:rsidR="00A8138F" w:rsidRDefault="00A8138F" w:rsidP="00A8138F">
      <w:pPr>
        <w:pStyle w:val="TextoNormal"/>
      </w:pPr>
    </w:p>
    <w:p w14:paraId="52DA2B9C" w14:textId="0FB0529F" w:rsidR="00A8138F" w:rsidRDefault="00A8138F" w:rsidP="00A8138F">
      <w:pPr>
        <w:pStyle w:val="TextoNormal"/>
      </w:pPr>
      <w:r w:rsidRPr="00A8138F">
        <w:rPr>
          <w:rStyle w:val="NumeroAFNegritaCaracter"/>
        </w:rPr>
        <w:t>4</w:t>
      </w:r>
      <w:r>
        <w:t>. Por providencia de 4 de noviembre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FJ 2 c)]”. En aplicación de lo previsto en el art. 51 LOTC ordenó requerir a la Sala de lo Social del Tribunal Supremo y a la Sala de lo Social del Tribunal Superior de Justicia de Cataluña, a fin de que, en un plazo que no excediera de diez días, remitiesen certificación o fotocopia adverada de las actuaciones correspondientes al recurso de casación para la unificación de doctrina núm. 1211-2023 y al recurso de suplicación núm. 5370-2022, respectivamente. Asimismo, acordó dirigir atenta comunicación al Juzgado de lo Social núm. 1 de Terrassa a fin de que, en plazo que no excediera de diez días, remitiese certificación o fotocopia adverada de las actuaciones correspondientes a los autos núm. 781-2021, emplazando a quienes hubieran sido parte en el procedimiento, excepto la parte recurrente en amparo, para que, si lo deseaban, pudieran comparecer en el presente recurso.</w:t>
      </w:r>
    </w:p>
    <w:p w14:paraId="0DEF7364" w14:textId="77777777" w:rsidR="00A8138F" w:rsidRDefault="00A8138F" w:rsidP="00A8138F">
      <w:pPr>
        <w:pStyle w:val="TextoNormal"/>
      </w:pPr>
    </w:p>
    <w:p w14:paraId="14A11F95" w14:textId="724322DB" w:rsidR="00A8138F" w:rsidRDefault="00A8138F" w:rsidP="00A8138F">
      <w:pPr>
        <w:pStyle w:val="TextoNormal"/>
      </w:pPr>
      <w:r w:rsidRPr="00A8138F">
        <w:rPr>
          <w:rStyle w:val="NumeroAFNegritaCaracter"/>
        </w:rPr>
        <w:t>5</w:t>
      </w:r>
      <w:r>
        <w:t>. El 4 de diciembre de 2024 se presentó ante el registro de este tribunal un escrito en virtud del cual la letrada de la administración de la Seguridad Social, en nombre y representación del INSS y de la TGSS interesa su personación en el presente recurso de amparo.</w:t>
      </w:r>
    </w:p>
    <w:p w14:paraId="6B34BA23" w14:textId="77777777" w:rsidR="00A8138F" w:rsidRDefault="00A8138F" w:rsidP="00A8138F">
      <w:pPr>
        <w:pStyle w:val="TextoNormal"/>
      </w:pPr>
    </w:p>
    <w:p w14:paraId="0546BE80" w14:textId="47A88DD4" w:rsidR="00A8138F" w:rsidRDefault="00A8138F" w:rsidP="00A8138F">
      <w:pPr>
        <w:pStyle w:val="TextoNormal"/>
      </w:pPr>
      <w:r w:rsidRPr="00A8138F">
        <w:rPr>
          <w:rStyle w:val="NumeroAFNegritaCaracter"/>
        </w:rPr>
        <w:t>6</w:t>
      </w:r>
      <w:r>
        <w:t>. Por diligencia de ordenación de la Secretaría de Justicia de la Sección Cuarta de este tribunal, de 16 de diciembre de 2024, se tuvo por personada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14:paraId="03041EAE" w14:textId="77777777" w:rsidR="00A8138F" w:rsidRDefault="00A8138F" w:rsidP="00A8138F">
      <w:pPr>
        <w:pStyle w:val="TextoNormal"/>
      </w:pPr>
    </w:p>
    <w:p w14:paraId="02BAFC5C" w14:textId="29FEEF28" w:rsidR="00A8138F" w:rsidRDefault="00A8138F" w:rsidP="00A8138F">
      <w:pPr>
        <w:pStyle w:val="TextoNormal"/>
      </w:pPr>
      <w:r w:rsidRPr="00A8138F">
        <w:rPr>
          <w:rStyle w:val="NumeroAFNegritaCaracter"/>
        </w:rPr>
        <w:t>7</w:t>
      </w:r>
      <w:r>
        <w:t>. Por medio de escrito presentado el 9 de enero de 2025 en el registro de este tribunal, la letrada de la administración de la Seguridad Social presenta sus alegaciones allanándose a la solicitud de la recurrente en amparo. Se sostiene en el escrito que, a la vista la STC de 6 de noviembre de 2024 (“Boletín Oficial del Estado” de 6 de diciembre de 2024), estimatoria de la cuestión de inconstitucionalidad núm. 6694-2023 y de las sucesivamente aprobadas en resolución de diversos recursos de amparo, la dirección del servicio jurídico de la Seguridad Social dictó la instrucción núm. 10/2024, de 23 de diciembre de 2024, autorizando al servicio jurídico delegado central en el INSS para allanarse en los recursos de amparo pendientes ante el Tribunal Constitucional que resulten afectados por lo establecido en el fundamento jurídico 7 de la STC 140/2024, de 6 de noviembre, del Pleno del Tribunal Constitucional, lo que sucede en el presente recurso.</w:t>
      </w:r>
    </w:p>
    <w:p w14:paraId="3A811123" w14:textId="77777777" w:rsidR="00A8138F" w:rsidRDefault="00A8138F" w:rsidP="00A8138F">
      <w:pPr>
        <w:pStyle w:val="TextoNormal"/>
      </w:pPr>
    </w:p>
    <w:p w14:paraId="074DB417" w14:textId="32F44996" w:rsidR="00A8138F" w:rsidRDefault="00A8138F" w:rsidP="00A8138F">
      <w:pPr>
        <w:pStyle w:val="TextoNormal"/>
      </w:pPr>
      <w:r w:rsidRPr="00A8138F">
        <w:rPr>
          <w:rStyle w:val="NumeroAFNegritaCaracter"/>
        </w:rPr>
        <w:t>8</w:t>
      </w:r>
      <w:r>
        <w:t>. El 21 de enero de 2025, la representación procesal de la recurrente en amparo evacuó el trámite de alegaciones conferido, interesando la estimación de su recurso mediante la reproducción de la argumentación contenida en el mismo y señalando que las pretensiones de esa parte se han visto confirmadas por este tribunal al haber declarado la inconstitucional de los preceptos legales cuestionados (STC 140/2024, de 6 de noviembre), que son objeto asimismo de la cuestión de inconstitucionalidad núm. 6694-2023, promovida por la Sala de lo Social del Tribunal Superior de Justicia de Cataluña, órgano jurisdiccional que dictó una de las sentencias anuladas por la sentencia de casación.</w:t>
      </w:r>
    </w:p>
    <w:p w14:paraId="04FD2761" w14:textId="77777777" w:rsidR="00A8138F" w:rsidRDefault="00A8138F" w:rsidP="00A8138F">
      <w:pPr>
        <w:pStyle w:val="TextoNormal"/>
      </w:pPr>
    </w:p>
    <w:p w14:paraId="6457D0A7" w14:textId="77777777" w:rsidR="00A8138F" w:rsidRDefault="00A8138F" w:rsidP="00A8138F">
      <w:pPr>
        <w:pStyle w:val="TextoNormal"/>
      </w:pPr>
      <w:r w:rsidRPr="00A8138F">
        <w:rPr>
          <w:rStyle w:val="NumeroAFNegritaCaracter"/>
        </w:rPr>
        <w:t>9</w:t>
      </w:r>
      <w:r>
        <w:t>. Por escrito de 22 de abril de 2025 el fiscal ante este tribunal, evacuando el trámite conferido para realizar alegaciones, interesó la estimación del recurso de amparo por vulneración del derecho a la igualdad ante la ley sin discriminación por razón de nacimiento (art. 14 CE), con reconocimiento de tal derecho, de conformidad con lo resuelto en la STC 140/2024, de 6 de noviembre, que ha declarado la inconstitucionalidad de los arts. 48.4 LET y 177 LGSS.</w:t>
      </w:r>
    </w:p>
    <w:p w14:paraId="64B35C40" w14:textId="77777777" w:rsidR="00A8138F" w:rsidRDefault="00A8138F" w:rsidP="00A8138F">
      <w:pPr>
        <w:pStyle w:val="TextoNormal"/>
      </w:pPr>
    </w:p>
    <w:p w14:paraId="670B1A18" w14:textId="515EC68E" w:rsidR="00A8138F" w:rsidRDefault="00A8138F" w:rsidP="00A8138F">
      <w:pPr>
        <w:pStyle w:val="TextoNormal"/>
      </w:pPr>
      <w:r>
        <w:t xml:space="preserve">Señala que, con arreglo al criterio adoptado en la STC 140/2024, la reparación del derecho a la igualdad de la recurrente no incluye las cuatro primeras semanas, por las razones que expresa la propia sentencia, lo que, en definitiva, en el caso de autos, ha de conducir a la ampliación en diez semanas adicionales. Por ese motivo, el Ministerio Fiscal constata que no es posible atender al </w:t>
      </w:r>
      <w:r w:rsidRPr="00A8138F">
        <w:rPr>
          <w:i/>
        </w:rPr>
        <w:t>petitum</w:t>
      </w:r>
      <w:r>
        <w:t xml:space="preserve"> de la demanda de amparo, que solicitaba la mera anulación de la sentencia del Tribunal Supremo para que recobrase firmeza la del Tribunal Superior de Justicia. Tampoco procedería, a juicio de la fiscalía, la declaración de firmeza de la sentencia del juzgado de lo social, que sí era plenamente conforme a la doctrina constitucional, puesto que dicha sentencia fue impugnada por la demandante de amparo. En consecuencia, esta fiscalía entiende que la reparación del derecho fundamental vulnerado ha de concretarse en la declaración de nulidad de la sentencia de 22 de mayo de 2024 de la Sala de lo Social del Tribunal Supremo, acordándose la retroacción de las actuaciones al momento inmediatamente anterior a su dictado, para que por dicha Sala del Alto Tribunal se dicte otra plenamente respetuosa con dicho derecho fundamental, en los términos que derivan de la STC 140/2024.</w:t>
      </w:r>
    </w:p>
    <w:p w14:paraId="1F0BC2BC" w14:textId="77777777" w:rsidR="00A8138F" w:rsidRDefault="00A8138F" w:rsidP="00A8138F">
      <w:pPr>
        <w:pStyle w:val="TextoNormal"/>
      </w:pPr>
    </w:p>
    <w:p w14:paraId="5916B5A2" w14:textId="5742DED8" w:rsidR="00A8138F" w:rsidRDefault="00A8138F" w:rsidP="00A8138F">
      <w:pPr>
        <w:pStyle w:val="TextoNormal"/>
      </w:pPr>
      <w:r w:rsidRPr="00A8138F">
        <w:rPr>
          <w:rStyle w:val="NumeroAFNegritaCaracter"/>
        </w:rPr>
        <w:t>10</w:t>
      </w:r>
      <w:r>
        <w:t>. Mediante providencia de 8 de mayo de 2025, se señaló para deliberación y votación de la presente sentencia el día 12 del mismo mes y año.</w:t>
      </w:r>
    </w:p>
    <w:p w14:paraId="3392B601" w14:textId="77777777" w:rsidR="00A8138F" w:rsidRDefault="00A8138F" w:rsidP="00A8138F">
      <w:pPr>
        <w:pStyle w:val="TextoNormal"/>
      </w:pPr>
    </w:p>
    <w:p w14:paraId="109B5CAA" w14:textId="77777777" w:rsidR="00A8138F" w:rsidRDefault="00A8138F" w:rsidP="00A8138F">
      <w:pPr>
        <w:pStyle w:val="TextoNormalNegritaCentrado"/>
        <w:keepNext/>
      </w:pPr>
      <w:r>
        <w:t>II. Fundamentos jurídicos</w:t>
      </w:r>
    </w:p>
    <w:p w14:paraId="717CCF2D" w14:textId="5C24F36C" w:rsidR="00A8138F" w:rsidRDefault="00A8138F" w:rsidP="00A8138F">
      <w:pPr>
        <w:pStyle w:val="TextoNormalNegritaCentrado"/>
        <w:keepNext/>
      </w:pPr>
    </w:p>
    <w:p w14:paraId="7F8A640C"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0BD9F66A" w14:textId="77777777" w:rsidR="00A8138F" w:rsidRDefault="00A8138F" w:rsidP="00A8138F">
      <w:pPr>
        <w:pStyle w:val="TextoNormal"/>
      </w:pPr>
    </w:p>
    <w:p w14:paraId="547DF97A" w14:textId="77777777" w:rsidR="00A8138F" w:rsidRDefault="00A8138F" w:rsidP="00A8138F">
      <w:pPr>
        <w:pStyle w:val="TextoNormal"/>
      </w:pPr>
      <w:r>
        <w:t>El objeto del presente proceso es dilucidar si las resoluciones impugnadas [resoluciones del INSS de 13 de septiembre de 2021 y de 9 de noviembre de 2021, y STS 714/2024, de 22 de mayo, de la Sala de lo Social (recurso de unificación de doctrina núm. 1211-2023)] han ocasionado una discriminación por razón de nacimiento, contraria al art. 14 CE, en conexión con el art. 39 CE, al aplicar el art. 48.4 (LET), en relación con el art. 177 LGSS, con la redacción dada a los mismos por el Real-Decreto-ley 6/2019, de 1 de marzo, de medidas urgentes para garantía de la igualdad de trato y de oportunidades entre mujeres y hombres en el empleo y la ocupación.</w:t>
      </w:r>
    </w:p>
    <w:p w14:paraId="33962CC8" w14:textId="77777777" w:rsidR="00A8138F" w:rsidRDefault="00A8138F" w:rsidP="00A8138F">
      <w:pPr>
        <w:pStyle w:val="TextoNormal"/>
      </w:pPr>
    </w:p>
    <w:p w14:paraId="59C5A933" w14:textId="0855AEC7" w:rsidR="00A8138F" w:rsidRDefault="00A8138F" w:rsidP="00A8138F">
      <w:pPr>
        <w:pStyle w:val="TextoNormal"/>
      </w:pPr>
      <w:r>
        <w:t>La letrada de la Seguridad Social se allana a la pretensión de la demanda de amparo, y el Ministerio Fiscal interesa la estimación en aplicación de la doctrina constitucional fijada en la STC 140/2024, de 6 de noviembre, solicitando la anulación de la sentencia del Tribunal Supremo y la retroacción a ese momento procesal.</w:t>
      </w:r>
    </w:p>
    <w:p w14:paraId="68D3FDB3" w14:textId="77777777" w:rsidR="00A8138F" w:rsidRDefault="00A8138F" w:rsidP="00A8138F">
      <w:pPr>
        <w:pStyle w:val="TextoNormal"/>
      </w:pPr>
    </w:p>
    <w:p w14:paraId="2CF7B649"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72385E61" w14:textId="77777777" w:rsidR="00A8138F" w:rsidRDefault="00A8138F" w:rsidP="00A8138F">
      <w:pPr>
        <w:pStyle w:val="TextoNormal"/>
      </w:pPr>
    </w:p>
    <w:p w14:paraId="3BA002CF"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9E6CC53" w14:textId="77777777" w:rsidR="00A8138F" w:rsidRDefault="00A8138F" w:rsidP="00A8138F">
      <w:pPr>
        <w:pStyle w:val="TextoNormal"/>
      </w:pPr>
    </w:p>
    <w:p w14:paraId="0639DB5C"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FDC990A" w14:textId="77777777" w:rsidR="00A8138F" w:rsidRDefault="00A8138F" w:rsidP="00A8138F">
      <w:pPr>
        <w:pStyle w:val="TextoNormal"/>
      </w:pPr>
    </w:p>
    <w:p w14:paraId="5F2C7DA0"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47269E5B" w14:textId="77777777" w:rsidR="00A8138F" w:rsidRDefault="00A8138F" w:rsidP="00A8138F">
      <w:pPr>
        <w:pStyle w:val="TextoNormal"/>
      </w:pPr>
    </w:p>
    <w:p w14:paraId="74847BD4" w14:textId="0628164E" w:rsidR="00A8138F" w:rsidRDefault="00A8138F" w:rsidP="00A8138F">
      <w:pPr>
        <w:pStyle w:val="TextoNormal"/>
      </w:pPr>
      <w:r>
        <w:t>En consecuencia, debe estimarse la demanda y otorgar el amparo solicitado. El fiscal interesa la estimación del recurso, la anulación de las resoluciones del INSS de 13 de septiembre de 2021 y de 9 de noviembre de 2021, y de la STS 714/2024, de 22 de mayo, de la Sala de lo Social (recurso de unificación de doctrina núm. 1211-2023) pero sin la declaración de firmeza ni de la sentencia núm. 110/2022 del Juzgado de lo Social núm. 1 de Terrassa, ni de la sentencia núm. 211/2023 de la Sala de lo Social del Tribunal Superior de Justicia de Cataluña, habida cuenta de que la pretensión de la demanda tampoco se concreta en la solicitud de la declaración de firmeza de ninguna de las dos resoluciones. No obstante, teniendo en cuenta que la sentencia del Juzgado se ajusta a la doctrina contenida en la STC 140/2024, esta Sala considera idóneo declarar la firmeza de la de la sentencia núm. 110/2022, de 22 de abril, del Juzgado de lo Social núm. 1 de Terrassa (autos núm. 781-2021).</w:t>
      </w:r>
    </w:p>
    <w:p w14:paraId="677A30DD" w14:textId="77777777" w:rsidR="00A8138F" w:rsidRDefault="00A8138F" w:rsidP="00A8138F">
      <w:pPr>
        <w:pStyle w:val="TextoNormal"/>
      </w:pPr>
    </w:p>
    <w:p w14:paraId="1F7F85F1" w14:textId="77777777" w:rsidR="00A8138F" w:rsidRDefault="00A8138F" w:rsidP="00A8138F">
      <w:pPr>
        <w:pStyle w:val="TextoNormalCentrado"/>
        <w:keepNext/>
      </w:pPr>
      <w:r>
        <w:t>FALLO</w:t>
      </w:r>
    </w:p>
    <w:p w14:paraId="167AD12E" w14:textId="00B79FF1" w:rsidR="00A8138F" w:rsidRDefault="00A8138F" w:rsidP="00A8138F">
      <w:pPr>
        <w:pStyle w:val="TextoNormalCentrado"/>
        <w:keepNext/>
      </w:pPr>
    </w:p>
    <w:p w14:paraId="3E57AB56"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promovido por doña Sonia Díaz Montes y, en su virtud:</w:t>
      </w:r>
    </w:p>
    <w:p w14:paraId="06ED9EE8" w14:textId="77777777" w:rsidR="00A8138F" w:rsidRDefault="00A8138F" w:rsidP="00A8138F">
      <w:pPr>
        <w:pStyle w:val="TextoNormal"/>
      </w:pPr>
    </w:p>
    <w:p w14:paraId="74A50963" w14:textId="77777777" w:rsidR="00A8138F" w:rsidRDefault="00A8138F" w:rsidP="00A8138F">
      <w:pPr>
        <w:pStyle w:val="TextoNormal"/>
      </w:pPr>
      <w:r>
        <w:t>1º Declarar vulnerado el derecho fundamental a la igualdad ante la ley sin discriminación por razón de nacimiento (art. 14 CE).</w:t>
      </w:r>
    </w:p>
    <w:p w14:paraId="36981B8C" w14:textId="77777777" w:rsidR="00A8138F" w:rsidRDefault="00A8138F" w:rsidP="00A8138F">
      <w:pPr>
        <w:pStyle w:val="TextoNormal"/>
      </w:pPr>
    </w:p>
    <w:p w14:paraId="1EFB058B" w14:textId="77777777" w:rsidR="00A8138F" w:rsidRDefault="00A8138F" w:rsidP="00A8138F">
      <w:pPr>
        <w:pStyle w:val="TextoNormal"/>
      </w:pPr>
      <w:r>
        <w:t>2º Restablecerla en su derecho y, a tal fin, declarar la nulidad: (i) de la resolución del Instituto Nacional de la Seguridad Social de 13 de septiembre de 2021, que denegó su solicitud de ampliación de la duración de la prestación por nacimiento y cuidado de menor, y de la de 9 de noviembre de 2021, que desestimó la reclamación previa formulada frente a ella; (ii) de la sentencia núm. 714/2024, de 22 de mayo, de la Sala de lo Social del Tribunal Supremo (recurso de casación para la unificación de doctrina núm. 1211-2023) y (iii) de la sentencia núm. 211/2023, de 16 de enero, de la Sala de lo Social del Tribunal Superior de Justicia de Cataluña (recurso de suplicación núm. 5370-2022).</w:t>
      </w:r>
    </w:p>
    <w:p w14:paraId="5573891D" w14:textId="77777777" w:rsidR="00A8138F" w:rsidRDefault="00A8138F" w:rsidP="00A8138F">
      <w:pPr>
        <w:pStyle w:val="TextoNormal"/>
      </w:pPr>
    </w:p>
    <w:p w14:paraId="19899E11" w14:textId="4C6001F0" w:rsidR="00A8138F" w:rsidRDefault="00A8138F" w:rsidP="00A8138F">
      <w:pPr>
        <w:pStyle w:val="TextoNormal"/>
      </w:pPr>
      <w:r>
        <w:t>3º Declarar la firmeza de la de la sentencia núm. 110/2022, de 22 de abril, del Juzgado de lo Social núm. 1 de Terrassa (autos núm. 781-2021).</w:t>
      </w:r>
    </w:p>
    <w:p w14:paraId="5437F9D5" w14:textId="77777777" w:rsidR="00A8138F" w:rsidRDefault="00A8138F" w:rsidP="00A8138F">
      <w:pPr>
        <w:pStyle w:val="TextoNormal"/>
      </w:pPr>
    </w:p>
    <w:p w14:paraId="697E1D66" w14:textId="77777777" w:rsidR="00A8138F" w:rsidRDefault="00A8138F" w:rsidP="00A8138F">
      <w:pPr>
        <w:pStyle w:val="TextoNormal"/>
      </w:pPr>
      <w:r>
        <w:t>Publíquese esta sentencia en el “Boletín Oficial del Estado”.</w:t>
      </w:r>
    </w:p>
    <w:p w14:paraId="391CC599" w14:textId="77777777" w:rsidR="00A8138F" w:rsidRDefault="00A8138F" w:rsidP="00A8138F">
      <w:pPr>
        <w:pStyle w:val="TextoNormal"/>
      </w:pPr>
      <w:r>
        <w:t>Dada en Madrid, a doce de mayo de dos mil veinticinco.</w:t>
      </w:r>
    </w:p>
    <w:p w14:paraId="56467D90" w14:textId="694BD19B" w:rsidR="00A8138F" w:rsidRDefault="00A8138F">
      <w:pPr>
        <w:spacing w:after="160" w:line="278" w:lineRule="auto"/>
        <w:rPr>
          <w:rFonts w:ascii="Times New Roman" w:eastAsia="Times New Roman" w:hAnsi="Times New Roman" w:cs="Times New Roman"/>
          <w:sz w:val="24"/>
          <w:szCs w:val="24"/>
          <w:lang w:eastAsia="es-ES"/>
        </w:rPr>
      </w:pPr>
      <w:r>
        <w:br w:type="page"/>
      </w:r>
    </w:p>
    <w:p w14:paraId="59D4B85B" w14:textId="77777777" w:rsidR="00A8138F" w:rsidRDefault="00A8138F" w:rsidP="00A8138F">
      <w:pPr>
        <w:pStyle w:val="TtuloResolucin"/>
      </w:pPr>
      <w:bookmarkStart w:id="115" w:name="SENTENCIA_2025_113"/>
      <w:r>
        <w:t>SENTENCIA 113/2025, de 12 de mayo de 2025</w:t>
      </w:r>
    </w:p>
    <w:bookmarkEnd w:id="115"/>
    <w:p w14:paraId="0485E04D" w14:textId="77777777" w:rsidR="00A8138F" w:rsidRDefault="00A8138F" w:rsidP="00A8138F">
      <w:pPr>
        <w:pStyle w:val="TtuloResolucin"/>
      </w:pPr>
      <w:r>
        <w:t>Sala Segunda</w:t>
      </w:r>
    </w:p>
    <w:p w14:paraId="66085F82" w14:textId="77777777" w:rsidR="00A8138F" w:rsidRDefault="00A8138F" w:rsidP="00A8138F">
      <w:pPr>
        <w:pStyle w:val="TtuloBOE"/>
      </w:pPr>
      <w:r>
        <w:t>(BOE núm. 146, de 18 de junio de 2025)</w:t>
      </w:r>
    </w:p>
    <w:p w14:paraId="7DB489D4" w14:textId="77777777" w:rsidR="00A8138F" w:rsidRDefault="00A8138F" w:rsidP="00A8138F">
      <w:pPr>
        <w:pStyle w:val="TextoNormalCentrado"/>
      </w:pPr>
      <w:r>
        <w:t>ECLI:ES:TC:2025:113</w:t>
      </w:r>
    </w:p>
    <w:p w14:paraId="70AB789E" w14:textId="7D3F3A82" w:rsidR="00A8138F" w:rsidRDefault="00A8138F" w:rsidP="00A8138F">
      <w:pPr>
        <w:pStyle w:val="TextoNormalCentrado"/>
      </w:pPr>
    </w:p>
    <w:p w14:paraId="66EF502E" w14:textId="77777777" w:rsidR="00A8138F" w:rsidRDefault="00A8138F" w:rsidP="00A8138F">
      <w:pPr>
        <w:pStyle w:val="SntesisDescriptiva"/>
      </w:pPr>
      <w:r>
        <w:t>Recurso de amparo 5901-2024. Promovido por doña Janire Matos Mínguez en relación con las resoluciones administrativas y judiciales que desestimaron su petición de revisión y ampliación de la prestación por nacimiento y cuidado de hijo menor, como madre biológica de familia monoparental.</w:t>
      </w:r>
    </w:p>
    <w:p w14:paraId="4DCD5FE2" w14:textId="02A74ADA" w:rsidR="00A8138F" w:rsidRDefault="00A8138F" w:rsidP="00A8138F">
      <w:pPr>
        <w:pStyle w:val="SntesisDescriptiva"/>
      </w:pPr>
    </w:p>
    <w:p w14:paraId="06D49EF4"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2AC70F0" w14:textId="3FC1BF4C" w:rsidR="00A8138F" w:rsidRDefault="00A8138F" w:rsidP="00A8138F">
      <w:pPr>
        <w:pStyle w:val="SntesisAnaltica"/>
      </w:pPr>
    </w:p>
    <w:p w14:paraId="4BC8BE34" w14:textId="6F35B96A"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3C71BB6B" w14:textId="77777777" w:rsidR="00A8138F" w:rsidRDefault="00A8138F" w:rsidP="00A8138F">
      <w:pPr>
        <w:pStyle w:val="Extracto"/>
      </w:pPr>
    </w:p>
    <w:p w14:paraId="2F6A8658" w14:textId="77777777" w:rsidR="00A8138F" w:rsidRDefault="00A8138F" w:rsidP="00A8138F">
      <w:pPr>
        <w:pStyle w:val="Extracto"/>
      </w:pPr>
    </w:p>
    <w:p w14:paraId="70B90FE7"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26668177" w14:textId="13244007" w:rsidR="00A8138F" w:rsidRDefault="00A8138F" w:rsidP="00A8138F">
      <w:pPr>
        <w:pStyle w:val="TextoNormal"/>
      </w:pPr>
    </w:p>
    <w:p w14:paraId="76F1E837" w14:textId="77777777" w:rsidR="00A8138F" w:rsidRDefault="00A8138F" w:rsidP="00A8138F">
      <w:pPr>
        <w:pStyle w:val="TextoNormalCentrado"/>
        <w:keepNext/>
      </w:pPr>
      <w:r>
        <w:t>EN NOMBRE DEL REY</w:t>
      </w:r>
    </w:p>
    <w:p w14:paraId="6B3E83C9" w14:textId="5852AE34" w:rsidR="00A8138F" w:rsidRDefault="00A8138F" w:rsidP="00A8138F">
      <w:pPr>
        <w:pStyle w:val="TextoNormalCentrado"/>
        <w:keepNext/>
      </w:pPr>
    </w:p>
    <w:p w14:paraId="2A3CCD2B" w14:textId="77777777" w:rsidR="00A8138F" w:rsidRDefault="00A8138F" w:rsidP="00A8138F">
      <w:pPr>
        <w:pStyle w:val="TextoNormalCentrado"/>
        <w:keepNext/>
      </w:pPr>
    </w:p>
    <w:p w14:paraId="177D8027" w14:textId="77777777" w:rsidR="00A8138F" w:rsidRDefault="00A8138F" w:rsidP="00A8138F">
      <w:pPr>
        <w:pStyle w:val="TextoNormal"/>
      </w:pPr>
      <w:r>
        <w:t>la siguiente</w:t>
      </w:r>
    </w:p>
    <w:p w14:paraId="0A2BFEEC" w14:textId="54DF599B" w:rsidR="00A8138F" w:rsidRDefault="00A8138F" w:rsidP="00A8138F">
      <w:pPr>
        <w:pStyle w:val="TextoNormal"/>
      </w:pPr>
    </w:p>
    <w:p w14:paraId="5F219C73" w14:textId="77777777" w:rsidR="00A8138F" w:rsidRDefault="00A8138F" w:rsidP="00A8138F">
      <w:pPr>
        <w:pStyle w:val="TextoNormalCentrado"/>
        <w:keepNext/>
      </w:pPr>
      <w:r>
        <w:t>SENTENCIA</w:t>
      </w:r>
    </w:p>
    <w:p w14:paraId="7DA7B700" w14:textId="26247177" w:rsidR="00A8138F" w:rsidRDefault="00A8138F" w:rsidP="00A8138F">
      <w:pPr>
        <w:pStyle w:val="TextoNormalCentrado"/>
        <w:keepNext/>
      </w:pPr>
    </w:p>
    <w:p w14:paraId="37D5A036" w14:textId="77777777" w:rsidR="00A8138F" w:rsidRDefault="00A8138F" w:rsidP="00A8138F">
      <w:pPr>
        <w:pStyle w:val="TextoNormal"/>
      </w:pPr>
      <w:r>
        <w:t>En el recurso de amparo núm. 5901-2024, promovido por doña Janire Matos Mínguez contra la resolución del Instituto Nacional de la Seguridad Social (INSS) de 4 de abril de 2022, que desestima su reclamación de ampliación de la prestación por nacimiento y cuidado de hijo menor, como madre biológica de familia monoparental; la sentencia de 6 de octubre de 2022 del Juzgado de lo Social núm. 7 de Bilbao (autos núm. 508-2022); la sentencia de 4 de abril de 2023 de la Sala de lo Social del Tribunal Superior de Justicia del País Vasco (recurso de suplicación núm. 2816-2022); y el auto de 9 de julio de 2024 de la Sala de lo Social del Tribunal Supremo (recurso de casación para la unificación de doctrina núm. 3215-2023). Han intervenido el letrado de la administración de la Seguridad Social y el Ministerio Fiscal. Ha sido ponente el magistrado don Enrique Arnaldo Alcubilla.</w:t>
      </w:r>
    </w:p>
    <w:p w14:paraId="2BA711AE" w14:textId="235CBD44" w:rsidR="00A8138F" w:rsidRDefault="00A8138F" w:rsidP="00A8138F">
      <w:pPr>
        <w:pStyle w:val="TextoNormal"/>
      </w:pPr>
    </w:p>
    <w:p w14:paraId="1E6CACC1" w14:textId="77777777" w:rsidR="00A8138F" w:rsidRDefault="00A8138F" w:rsidP="00A8138F">
      <w:pPr>
        <w:pStyle w:val="TextoNormalNegritaCentrado"/>
        <w:keepNext/>
      </w:pPr>
      <w:r>
        <w:t>I. Antecedentes</w:t>
      </w:r>
    </w:p>
    <w:p w14:paraId="41CFC321" w14:textId="5A7D9291" w:rsidR="00A8138F" w:rsidRDefault="00A8138F" w:rsidP="00A8138F">
      <w:pPr>
        <w:pStyle w:val="TextoNormalNegritaCentrado"/>
        <w:keepNext/>
      </w:pPr>
    </w:p>
    <w:p w14:paraId="08A8AC94" w14:textId="4934607C" w:rsidR="00A8138F" w:rsidRDefault="00A8138F" w:rsidP="00A8138F">
      <w:pPr>
        <w:pStyle w:val="TextoNormal"/>
      </w:pPr>
      <w:r w:rsidRPr="00A8138F">
        <w:rPr>
          <w:rStyle w:val="NumeroAFNegritaCaracter"/>
        </w:rPr>
        <w:t>1</w:t>
      </w:r>
      <w:r>
        <w:t>. Mediante escrito registrado en este tribunal el 24 de julio de 2024, la procuradora de los tribunales doña Esperanza Azpetia Calvín, en nombre y representación de doña Janire Matos Mínguez, asistida del abogado don Héctor Mata Diestro, interpuso recurso de amparo contra las resoluciones a las que se ha hecho referencia en el encabezamiento.</w:t>
      </w:r>
    </w:p>
    <w:p w14:paraId="62F06307" w14:textId="77777777" w:rsidR="00A8138F" w:rsidRDefault="00A8138F" w:rsidP="00A8138F">
      <w:pPr>
        <w:pStyle w:val="TextoNormal"/>
      </w:pPr>
    </w:p>
    <w:p w14:paraId="18E3BEEC" w14:textId="77777777" w:rsidR="00A8138F" w:rsidRDefault="00A8138F" w:rsidP="00A8138F">
      <w:pPr>
        <w:pStyle w:val="TextoNormal"/>
      </w:pPr>
      <w:r w:rsidRPr="00A8138F">
        <w:rPr>
          <w:rStyle w:val="NumeroAFNegritaCaracter"/>
        </w:rPr>
        <w:t>2</w:t>
      </w:r>
      <w:r>
        <w:t>. Son hechos relevantes que sirven de sustento a la demanda de amparo, según se desprende de esta, de la documentación que la acompaña y de las actuaciones recibidas, los que a continuación se exponen.</w:t>
      </w:r>
    </w:p>
    <w:p w14:paraId="10BC668C" w14:textId="77777777" w:rsidR="00A8138F" w:rsidRDefault="00A8138F" w:rsidP="00A8138F">
      <w:pPr>
        <w:pStyle w:val="TextoNormal"/>
      </w:pPr>
    </w:p>
    <w:p w14:paraId="4183D00B" w14:textId="77777777" w:rsidR="00A8138F" w:rsidRDefault="00A8138F" w:rsidP="00A8138F">
      <w:pPr>
        <w:pStyle w:val="TextoNormal"/>
      </w:pPr>
      <w:r>
        <w:t>a) Doña Janire Matos Mínguez es madre biológica de un niño, nacido el 19 de febrero de 2022, con quien forma una familia monoparental. Por resolución de 24 de marzo de 2022 del Instituto Nacional de la Seguridad Social se le reconoció el derecho a la prestación por maternidad durante dieciséis semanas. Frente a dicha resolución presentó reclamación previa, en la que solicitó la revisión de la prestación ya obtenida, reclamando su ampliación en dieciséis semanas más, es decir, añadiendo al período ya reconocido uno idéntico al que hubiera correspondido al segundo progenitor en el supuesto de una familia biparental. La reclamación previa fue desestimada por el INSS mediante resolución de 4 de abril de 2022.</w:t>
      </w:r>
    </w:p>
    <w:p w14:paraId="090E42C3" w14:textId="77777777" w:rsidR="00A8138F" w:rsidRDefault="00A8138F" w:rsidP="00A8138F">
      <w:pPr>
        <w:pStyle w:val="TextoNormal"/>
      </w:pPr>
    </w:p>
    <w:p w14:paraId="222E0A48" w14:textId="77777777" w:rsidR="00A8138F" w:rsidRDefault="00A8138F" w:rsidP="00A8138F">
      <w:pPr>
        <w:pStyle w:val="TextoNormal"/>
      </w:pPr>
      <w:r>
        <w:t>b) Agotada así la vía administrativa, doña Janire Matos Mínguez formuló demanda contra el INSS ante la jurisdicción social, que fue desestimada por sentencia de 6 de octubre de 2022 del Juzgado de lo Social núm. 7 de Bilbao (autos núm. 508-2022).</w:t>
      </w:r>
    </w:p>
    <w:p w14:paraId="3C4FB2A8" w14:textId="77777777" w:rsidR="00A8138F" w:rsidRDefault="00A8138F" w:rsidP="00A8138F">
      <w:pPr>
        <w:pStyle w:val="TextoNormal"/>
      </w:pPr>
    </w:p>
    <w:p w14:paraId="55CF288F" w14:textId="77777777" w:rsidR="00A8138F" w:rsidRDefault="00A8138F" w:rsidP="00A8138F">
      <w:pPr>
        <w:pStyle w:val="TextoNormal"/>
      </w:pPr>
      <w:r>
        <w:t>c) La demandante interpuso contra dicha sentencia recurso de suplicación, que fue desestimado por sentencia de 4 de abril de 2023 de la Sala de lo Social del Tribunal Superior de Justicia del País Vasco (recurso de suplicación núm. 2816-2022).</w:t>
      </w:r>
    </w:p>
    <w:p w14:paraId="34D5EFE0" w14:textId="77777777" w:rsidR="00A8138F" w:rsidRDefault="00A8138F" w:rsidP="00A8138F">
      <w:pPr>
        <w:pStyle w:val="TextoNormal"/>
      </w:pPr>
    </w:p>
    <w:p w14:paraId="04268A05" w14:textId="1C3A016C" w:rsidR="00A8138F" w:rsidRDefault="00A8138F" w:rsidP="00A8138F">
      <w:pPr>
        <w:pStyle w:val="TextoNormal"/>
      </w:pPr>
      <w:r>
        <w:t>d) Contra la sentencia de suplicación la demandante interpuso recurso de casación para la unificación de doctrina (núm. 3215-2023), que fue inadmitido mediante auto de 9 de julio de 2024 de la Sala de lo Social del Tribunal Supremo.</w:t>
      </w:r>
    </w:p>
    <w:p w14:paraId="7DDDE838" w14:textId="77777777" w:rsidR="00A8138F" w:rsidRDefault="00A8138F" w:rsidP="00A8138F">
      <w:pPr>
        <w:pStyle w:val="TextoNormal"/>
      </w:pPr>
    </w:p>
    <w:p w14:paraId="68888302" w14:textId="77777777" w:rsidR="00A8138F" w:rsidRDefault="00A8138F" w:rsidP="00A8138F">
      <w:pPr>
        <w:pStyle w:val="TextoNormal"/>
      </w:pPr>
      <w:r w:rsidRPr="00A8138F">
        <w:rPr>
          <w:rStyle w:val="NumeroAFNegritaCaracter"/>
        </w:rPr>
        <w:t>3</w:t>
      </w:r>
      <w:r>
        <w:t>. La demanda de amparo se interpone contra las resoluciones administrativas y judiciales referenciadas, por entender que han incurrido en vulneración del derecho garantizado en el art. 14 CE, por tres motivos.</w:t>
      </w:r>
    </w:p>
    <w:p w14:paraId="7C8FC88A" w14:textId="77777777" w:rsidR="00A8138F" w:rsidRDefault="00A8138F" w:rsidP="00A8138F">
      <w:pPr>
        <w:pStyle w:val="TextoNormal"/>
      </w:pPr>
    </w:p>
    <w:p w14:paraId="46B9CFFB" w14:textId="77777777" w:rsidR="00A8138F" w:rsidRDefault="00A8138F" w:rsidP="00A8138F">
      <w:pPr>
        <w:pStyle w:val="TextoNormal"/>
      </w:pPr>
      <w:r>
        <w:t>En primer lugar, se afirma que las resoluciones impugnadas incurren en discriminación del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14:paraId="20DD58B1" w14:textId="77777777" w:rsidR="00A8138F" w:rsidRDefault="00A8138F" w:rsidP="00A8138F">
      <w:pPr>
        <w:pStyle w:val="TextoNormal"/>
      </w:pPr>
    </w:p>
    <w:p w14:paraId="7D7E1EB7" w14:textId="77777777" w:rsidR="00A8138F" w:rsidRDefault="00A8138F" w:rsidP="00A8138F">
      <w:pPr>
        <w:pStyle w:val="TextoNormal"/>
      </w:pPr>
      <w:r>
        <w:t>En segundo lugar, se alega que las resoluciones impugnadas incurren en discriminación directa por razón de circunstancias personales y familiares, pues el trato perjudicial para la recurrente resulta de su decisión de formar una familia monoparental, es decir, de su condición familiar, que surge de una decisión tomada en el ejercicio del libre desarrollo de la personalidad (art. 10.1 CE), que se vincula con las convicciones más íntimas de la persona (art. 16 CE).</w:t>
      </w:r>
    </w:p>
    <w:p w14:paraId="7CE1EE26" w14:textId="77777777" w:rsidR="00A8138F" w:rsidRDefault="00A8138F" w:rsidP="00A8138F">
      <w:pPr>
        <w:pStyle w:val="TextoNormal"/>
      </w:pPr>
    </w:p>
    <w:p w14:paraId="5E310961" w14:textId="222FD421" w:rsidR="00A8138F" w:rsidRDefault="00A8138F" w:rsidP="00A8138F">
      <w:pPr>
        <w:pStyle w:val="TextoNormal"/>
      </w:pPr>
      <w:r>
        <w:t>En tercer lugar, se afirma que las resoluciones impugnadas llevan a cabo una interpretación restrictiva de la normativa aplicable que provoca una discriminación indirecta por razón de sexo, puesto que siendo una mujer el progenitor único en la mayoría de las familias monoparentales, la mujer que decide formar una familia monoparental resulta perjudicada en comparación con las familias biparentales en cuanto a la duración de las prestaciones por nacimiento de un hijo.</w:t>
      </w:r>
    </w:p>
    <w:p w14:paraId="65B79922" w14:textId="77777777" w:rsidR="00A8138F" w:rsidRDefault="00A8138F" w:rsidP="00A8138F">
      <w:pPr>
        <w:pStyle w:val="TextoNormal"/>
      </w:pPr>
    </w:p>
    <w:p w14:paraId="2AF1B0DA" w14:textId="3B5C105B" w:rsidR="00A8138F" w:rsidRDefault="00A8138F" w:rsidP="00A8138F">
      <w:pPr>
        <w:pStyle w:val="TextoNormal"/>
      </w:pPr>
      <w:r w:rsidRPr="00A8138F">
        <w:rPr>
          <w:rStyle w:val="NumeroAFNegritaCaracter"/>
        </w:rPr>
        <w:t>4</w:t>
      </w:r>
      <w:r>
        <w:t>. Mediante providencia de 2 de diciembre de 2024, la Sección Cuarta del Tribunal Constitucional acordó admitir a trámite el presente recurso de amparo, apreciando que concurre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recabar del Juzgado de lo Social núm. 7 de Bilbao, de la Sala de lo Social del Tribunal Superior de Justicia del País Vasco y de Sala de lo Social del Tribunal Supremo la remisión de testimonio de las actuaciones respectivas (autos núm. 508-2022, recurso de suplicación núm. 2816-2022 y recurso de casación para la unificación de doctrina núm. 3215-2023), y se requirió al juzgado para que procediera a emplazar a quienes fueron parte en el procedimiento, para que, en el plazo de diez días, si lo desearan, pudieran comparecer en este proceso constitucional.</w:t>
      </w:r>
    </w:p>
    <w:p w14:paraId="655D4494" w14:textId="77777777" w:rsidR="00A8138F" w:rsidRDefault="00A8138F" w:rsidP="00A8138F">
      <w:pPr>
        <w:pStyle w:val="TextoNormal"/>
      </w:pPr>
    </w:p>
    <w:p w14:paraId="59EDFD1B" w14:textId="31472B7B" w:rsidR="00A8138F" w:rsidRDefault="00A8138F" w:rsidP="00A8138F">
      <w:pPr>
        <w:pStyle w:val="TextoNormal"/>
      </w:pPr>
      <w:r w:rsidRPr="00A8138F">
        <w:rPr>
          <w:rStyle w:val="NumeroAFNegritaCaracter"/>
        </w:rPr>
        <w:t>5</w:t>
      </w:r>
      <w:r>
        <w:t>. Solicitada por el letrado de la administración de la Seguridad Social su personación en nombre del INSS y de la Tesorería General de la Seguridad Social, mediante diligencia de ordenación del secretario de justicia de la Sala Segunda de este tribunal de 27 de febrero de 2025, se acordó tenerle por personado y parte y dar vista de las actuaciones recibidas a las partes personadas y al Ministerio Fiscal, por plazo común de veinte días, a fin de presentar las alegaciones que estimasen pertinentes, conforme determina el art. 52.1 LOTC.</w:t>
      </w:r>
    </w:p>
    <w:p w14:paraId="684FAE0F" w14:textId="77777777" w:rsidR="00A8138F" w:rsidRDefault="00A8138F" w:rsidP="00A8138F">
      <w:pPr>
        <w:pStyle w:val="TextoNormal"/>
      </w:pPr>
    </w:p>
    <w:p w14:paraId="3E1DE434" w14:textId="5954908B" w:rsidR="00A8138F" w:rsidRDefault="00A8138F" w:rsidP="00A8138F">
      <w:pPr>
        <w:pStyle w:val="TextoNormal"/>
      </w:pPr>
      <w:r w:rsidRPr="00A8138F">
        <w:rPr>
          <w:rStyle w:val="NumeroAFNegritaCaracter"/>
        </w:rPr>
        <w:t>6</w:t>
      </w:r>
      <w:r>
        <w:t>. El 24 de marzo de 2025 el letrado de la administración de la Seguridad Social presentó sus alegaciones, señalando que, a la vista de lo resuelto por este tribunal en la STC 140/2024, de 6 de noviembre, dictada en la cuestión de inconstitucionalidad núm. 6694-2023, y seguida de posteriores dictadas en recursos de amparo, la dirección del servicio jurídico de la Seguridad Social dictó la Instrucción 10/2024, de 23 de diciembre, de la que se acompaña copia, en la que se autoriza a los letrados de la administración de la Seguridad Social para allanarse en los recursos de amparo pendientes ante el Tribunal Constitucional que resulten afectados por lo establecido en el fundamento jurídico séptimo de la STC 140/2024. En consecuencia, solicita a este tribunal que tenga por realizado el allanamiento a la demanda en el presente recurso de amparo.</w:t>
      </w:r>
    </w:p>
    <w:p w14:paraId="7965E953" w14:textId="77777777" w:rsidR="00A8138F" w:rsidRDefault="00A8138F" w:rsidP="00A8138F">
      <w:pPr>
        <w:pStyle w:val="TextoNormal"/>
      </w:pPr>
    </w:p>
    <w:p w14:paraId="1B6EFEEF" w14:textId="0C36D6F7" w:rsidR="00A8138F" w:rsidRDefault="00A8138F" w:rsidP="00A8138F">
      <w:pPr>
        <w:pStyle w:val="TextoNormal"/>
      </w:pPr>
      <w:r w:rsidRPr="00A8138F">
        <w:rPr>
          <w:rStyle w:val="NumeroAFNegritaCaracter"/>
        </w:rPr>
        <w:t>7</w:t>
      </w:r>
      <w:r>
        <w:t>. El día 28 de marzo de 2025, el Ministerio Fiscal interesó la estimación del recurso de amparo, en aplicación de lo resuelto en la STC 140/2024, de 6 de noviembre.</w:t>
      </w:r>
    </w:p>
    <w:p w14:paraId="1D2323DB" w14:textId="77777777" w:rsidR="00A8138F" w:rsidRDefault="00A8138F" w:rsidP="00A8138F">
      <w:pPr>
        <w:pStyle w:val="TextoNormal"/>
      </w:pPr>
    </w:p>
    <w:p w14:paraId="2CC29FEC" w14:textId="183F33DF" w:rsidR="00A8138F" w:rsidRDefault="00A8138F" w:rsidP="00A8138F">
      <w:pPr>
        <w:pStyle w:val="TextoNormal"/>
      </w:pPr>
      <w:r w:rsidRPr="00A8138F">
        <w:rPr>
          <w:rStyle w:val="NumeroAFNegritaCaracter"/>
        </w:rPr>
        <w:t>8</w:t>
      </w:r>
      <w:r>
        <w:t>. El 31 de marzo de 2025, la representación procesal de la demandante presentó su escrito de alegaciones, poniendo de manifiesto que debe proyectarse al presente asunto lo resuelto en la STC 140/2024, de 6 de noviembre, lo que ha de conducir al otorgamiento del amparo solicitado.</w:t>
      </w:r>
    </w:p>
    <w:p w14:paraId="1449AAB0" w14:textId="77777777" w:rsidR="00A8138F" w:rsidRDefault="00A8138F" w:rsidP="00A8138F">
      <w:pPr>
        <w:pStyle w:val="TextoNormal"/>
      </w:pPr>
    </w:p>
    <w:p w14:paraId="6AC11D74" w14:textId="0D93E61A" w:rsidR="00A8138F" w:rsidRDefault="00A8138F" w:rsidP="00A8138F">
      <w:pPr>
        <w:pStyle w:val="TextoNormal"/>
      </w:pPr>
      <w:r w:rsidRPr="00A8138F">
        <w:rPr>
          <w:rStyle w:val="NumeroAFNegritaCaracter"/>
        </w:rPr>
        <w:t>9</w:t>
      </w:r>
      <w:r>
        <w:t>. Mediante providencia de 8 de mayo de 2025 se señaló para deliberación y votación de la presente sentencia el día 12 del mismo mes y año.</w:t>
      </w:r>
    </w:p>
    <w:p w14:paraId="5B1F589F" w14:textId="77777777" w:rsidR="00A8138F" w:rsidRDefault="00A8138F" w:rsidP="00A8138F">
      <w:pPr>
        <w:pStyle w:val="TextoNormal"/>
      </w:pPr>
    </w:p>
    <w:p w14:paraId="6ED4493A" w14:textId="77777777" w:rsidR="00A8138F" w:rsidRDefault="00A8138F" w:rsidP="00A8138F">
      <w:pPr>
        <w:pStyle w:val="TextoNormalNegritaCentrado"/>
        <w:keepNext/>
      </w:pPr>
      <w:r>
        <w:t>II. Fundamentos jurídicos</w:t>
      </w:r>
    </w:p>
    <w:p w14:paraId="40CFD595" w14:textId="004193EB" w:rsidR="00A8138F" w:rsidRDefault="00A8138F" w:rsidP="00A8138F">
      <w:pPr>
        <w:pStyle w:val="TextoNormalNegritaCentrado"/>
        <w:keepNext/>
      </w:pPr>
    </w:p>
    <w:p w14:paraId="27BC62E4" w14:textId="77777777" w:rsidR="00A8138F" w:rsidRDefault="00A8138F" w:rsidP="00A8138F">
      <w:pPr>
        <w:pStyle w:val="TextoNormal"/>
      </w:pPr>
      <w:r w:rsidRPr="00A8138F">
        <w:rPr>
          <w:rStyle w:val="TextoNormalNegritaCaracter"/>
        </w:rPr>
        <w:t xml:space="preserve">Único. </w:t>
      </w:r>
      <w:r w:rsidRPr="00A8138F">
        <w:rPr>
          <w:i/>
        </w:rPr>
        <w:t>Aplicación de la doctrina sentada en la STC 140/2024, de 6 de noviembre</w:t>
      </w:r>
    </w:p>
    <w:p w14:paraId="5AFBF8F5" w14:textId="77777777" w:rsidR="00A8138F" w:rsidRDefault="00A8138F" w:rsidP="00A8138F">
      <w:pPr>
        <w:pStyle w:val="TextoNormal"/>
      </w:pPr>
    </w:p>
    <w:p w14:paraId="419FA494" w14:textId="77777777" w:rsidR="00A8138F" w:rsidRDefault="00A8138F" w:rsidP="00A8138F">
      <w:pPr>
        <w:pStyle w:val="TextoNormal"/>
      </w:pPr>
      <w:r>
        <w:t>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del texto refundido de la Ley del estatuto de los trabajadores (LET), en relación con el art. 177 del texto refundido de la Ley general de la Seguridad Social (LGSS), en la redacción dada a los mismos por el Real Decreto-ley 6/2019, de 1 de marzo, de medidas urgentes para garantía de la igualdad de trato y de oportunidades entre mujeres y hombres en el empleo y la ocupación, en relación con el permiso y la correspondiente prestación económica por nacimiento y cuidado de menor previstos.</w:t>
      </w:r>
    </w:p>
    <w:p w14:paraId="6805BE78" w14:textId="77777777" w:rsidR="00A8138F" w:rsidRDefault="00A8138F" w:rsidP="00A8138F">
      <w:pPr>
        <w:pStyle w:val="TextoNormal"/>
      </w:pPr>
    </w:p>
    <w:p w14:paraId="14CA6925" w14:textId="77777777" w:rsidR="00A8138F" w:rsidRDefault="00A8138F" w:rsidP="00A8138F">
      <w:pPr>
        <w:pStyle w:val="TextoNormal"/>
      </w:pPr>
      <w:r>
        <w:t>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230809E" w14:textId="77777777" w:rsidR="00A8138F" w:rsidRDefault="00A8138F" w:rsidP="00A8138F">
      <w:pPr>
        <w:pStyle w:val="TextoNormal"/>
      </w:pPr>
    </w:p>
    <w:p w14:paraId="54EF6DFB" w14:textId="77777777" w:rsidR="00A8138F" w:rsidRDefault="00A8138F" w:rsidP="00A8138F">
      <w:pPr>
        <w:pStyle w:val="TextoNormal"/>
      </w:pPr>
      <w:r>
        <w:t>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403AAB16" w14:textId="77777777" w:rsidR="00A8138F" w:rsidRDefault="00A8138F" w:rsidP="00A8138F">
      <w:pPr>
        <w:pStyle w:val="TextoNormal"/>
      </w:pPr>
    </w:p>
    <w:p w14:paraId="410FDBFA" w14:textId="77777777" w:rsidR="00A8138F" w:rsidRDefault="00A8138F" w:rsidP="00A8138F">
      <w:pPr>
        <w:pStyle w:val="TextoNormal"/>
      </w:pPr>
      <w: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22D10F2E" w14:textId="77777777" w:rsidR="00A8138F" w:rsidRDefault="00A8138F" w:rsidP="00A8138F">
      <w:pPr>
        <w:pStyle w:val="TextoNormal"/>
      </w:pPr>
    </w:p>
    <w:p w14:paraId="310E8553" w14:textId="2F8EC09C" w:rsidR="00A8138F" w:rsidRDefault="00A8138F" w:rsidP="00A8138F">
      <w:pPr>
        <w:pStyle w:val="TextoNormal"/>
      </w:pPr>
      <w:r>
        <w:t>En consecuencia, debe estimarse la demanda y otorgar el amparo solicitado, con nulidad de las resoluciones impugnadas. Asimismo, como concretamos en la referida STC 140/2024, FJ 7, en tanto el legislador no lleve a cabo la pertinente reforma normativa, en las familias monoparentales el permiso a que hace referencia el art. 48.4 LET (y en relación con él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4FD7867F" w14:textId="77777777" w:rsidR="00A8138F" w:rsidRDefault="00A8138F" w:rsidP="00A8138F">
      <w:pPr>
        <w:pStyle w:val="TextoNormal"/>
      </w:pPr>
    </w:p>
    <w:p w14:paraId="532FE97A" w14:textId="77777777" w:rsidR="00A8138F" w:rsidRDefault="00A8138F" w:rsidP="00A8138F">
      <w:pPr>
        <w:pStyle w:val="TextoNormalCentrado"/>
        <w:keepNext/>
      </w:pPr>
      <w:r>
        <w:t>FALLO</w:t>
      </w:r>
    </w:p>
    <w:p w14:paraId="7CBFF40B" w14:textId="6B0252D0" w:rsidR="00A8138F" w:rsidRDefault="00A8138F" w:rsidP="00A8138F">
      <w:pPr>
        <w:pStyle w:val="TextoNormalCentrado"/>
        <w:keepNext/>
      </w:pPr>
    </w:p>
    <w:p w14:paraId="17B92007"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Janire Matos Mínguez y, en su virtud:</w:t>
      </w:r>
    </w:p>
    <w:p w14:paraId="25AEDB31" w14:textId="77777777" w:rsidR="00A8138F" w:rsidRDefault="00A8138F" w:rsidP="00A8138F">
      <w:pPr>
        <w:pStyle w:val="TextoNormal"/>
      </w:pPr>
    </w:p>
    <w:p w14:paraId="72B39D1A" w14:textId="77777777" w:rsidR="00A8138F" w:rsidRDefault="00A8138F" w:rsidP="00A8138F">
      <w:pPr>
        <w:pStyle w:val="TextoNormal"/>
      </w:pPr>
      <w:r>
        <w:t>1º Declarar vulnerado su derecho fundamental a la igualdad ante la ley, sin que pueda prevalecer discriminación alguna (art. 14 CE).</w:t>
      </w:r>
    </w:p>
    <w:p w14:paraId="3EC32D3A" w14:textId="77777777" w:rsidR="00A8138F" w:rsidRDefault="00A8138F" w:rsidP="00A8138F">
      <w:pPr>
        <w:pStyle w:val="TextoNormal"/>
      </w:pPr>
    </w:p>
    <w:p w14:paraId="0C464A8F" w14:textId="77777777" w:rsidR="00A8138F" w:rsidRDefault="00A8138F" w:rsidP="00A8138F">
      <w:pPr>
        <w:pStyle w:val="TextoNormal"/>
      </w:pPr>
      <w:r>
        <w:t>2º Restablecerla en su derecho y, en consecuencia, declarar la nulidad de la resolución del Instituto Nacional de la Seguridad Social de 4 de abril de 2022, desestimatoria de la reclamación administrativa previa; de la sentencia de 6 de octubre de 2022 dictada por el Juzgado de lo Social núm. 7 de Bilbao en los autos núm. 508-2022; de la sentencia de 4 de abril de 2023 dictada por la Sala de lo Social del Tribunal Superior de Justicia del País Vasco en el recurso de suplicación núm. 2816-2022, y del auto de 9 de julio de 2024 dictado por la Sala de lo Social del Tribunal Supremo, que inadmite el recurso de casación para la unificación de doctrina núm. 3215-2023, presentado contra la anterior sentencia.</w:t>
      </w:r>
    </w:p>
    <w:p w14:paraId="43B44FDC" w14:textId="77777777" w:rsidR="00A8138F" w:rsidRDefault="00A8138F" w:rsidP="00A8138F">
      <w:pPr>
        <w:pStyle w:val="TextoNormal"/>
      </w:pPr>
    </w:p>
    <w:p w14:paraId="1525E725" w14:textId="7D6F98E4" w:rsidR="00A8138F" w:rsidRDefault="00A8138F" w:rsidP="00A8138F">
      <w:pPr>
        <w:pStyle w:val="TextoNormal"/>
      </w:pPr>
      <w:r>
        <w:t>3º Retrotraer las actuaciones al momento inmediatamente anterior a resolver la reclamación administrativa previa, a fin de que, por el Instituto Nacional de la Seguridad Social, en los términos expuestos en el último párrafo del fundamento jurídico único de la presente sentencia, se dicte nueva resolución respetuosa con el derecho fundamental vulnerado.</w:t>
      </w:r>
    </w:p>
    <w:p w14:paraId="42DF01DC" w14:textId="77777777" w:rsidR="00A8138F" w:rsidRDefault="00A8138F" w:rsidP="00A8138F">
      <w:pPr>
        <w:pStyle w:val="TextoNormal"/>
      </w:pPr>
    </w:p>
    <w:p w14:paraId="49EADDA8" w14:textId="77777777" w:rsidR="00A8138F" w:rsidRDefault="00A8138F" w:rsidP="00A8138F">
      <w:pPr>
        <w:pStyle w:val="TextoNormal"/>
      </w:pPr>
      <w:r>
        <w:t>Publíquese esta sentencia en el “Boletín Oficial del Estado”.</w:t>
      </w:r>
    </w:p>
    <w:p w14:paraId="6F7883EA" w14:textId="77777777" w:rsidR="00A8138F" w:rsidRDefault="00A8138F" w:rsidP="00A8138F">
      <w:pPr>
        <w:pStyle w:val="TextoNormal"/>
      </w:pPr>
      <w:r>
        <w:t>Dada en Madrid, a doce de mayo de dos mil veinticinco.</w:t>
      </w:r>
    </w:p>
    <w:p w14:paraId="54E08568" w14:textId="446ACB69" w:rsidR="00A8138F" w:rsidRDefault="00A8138F">
      <w:pPr>
        <w:spacing w:after="160" w:line="278" w:lineRule="auto"/>
        <w:rPr>
          <w:rFonts w:ascii="Times New Roman" w:eastAsia="Times New Roman" w:hAnsi="Times New Roman" w:cs="Times New Roman"/>
          <w:sz w:val="24"/>
          <w:szCs w:val="24"/>
          <w:lang w:eastAsia="es-ES"/>
        </w:rPr>
      </w:pPr>
      <w:r>
        <w:br w:type="page"/>
      </w:r>
    </w:p>
    <w:p w14:paraId="24B953E8" w14:textId="77777777" w:rsidR="00A8138F" w:rsidRDefault="00A8138F" w:rsidP="00A8138F">
      <w:pPr>
        <w:pStyle w:val="TtuloResolucin"/>
      </w:pPr>
      <w:bookmarkStart w:id="116" w:name="SENTENCIA_2025_114"/>
      <w:r>
        <w:t>SENTENCIA 114/2025, de 12 de mayo de 2025</w:t>
      </w:r>
    </w:p>
    <w:bookmarkEnd w:id="116"/>
    <w:p w14:paraId="677A101D" w14:textId="77777777" w:rsidR="00A8138F" w:rsidRDefault="00A8138F" w:rsidP="00A8138F">
      <w:pPr>
        <w:pStyle w:val="TtuloResolucin"/>
      </w:pPr>
      <w:r>
        <w:t>Sala Segunda</w:t>
      </w:r>
    </w:p>
    <w:p w14:paraId="3926CAD5" w14:textId="77777777" w:rsidR="00A8138F" w:rsidRDefault="00A8138F" w:rsidP="00A8138F">
      <w:pPr>
        <w:pStyle w:val="TtuloBOE"/>
      </w:pPr>
      <w:r>
        <w:t>(BOE núm. 146, de 18 de junio de 2025)</w:t>
      </w:r>
    </w:p>
    <w:p w14:paraId="3E29FB9A" w14:textId="77777777" w:rsidR="00A8138F" w:rsidRDefault="00A8138F" w:rsidP="00A8138F">
      <w:pPr>
        <w:pStyle w:val="TextoNormalCentrado"/>
      </w:pPr>
      <w:r>
        <w:t>ECLI:ES:TC:2025:114</w:t>
      </w:r>
    </w:p>
    <w:p w14:paraId="562DB809" w14:textId="32FA0F4E" w:rsidR="00A8138F" w:rsidRDefault="00A8138F" w:rsidP="00A8138F">
      <w:pPr>
        <w:pStyle w:val="TextoNormalCentrado"/>
      </w:pPr>
    </w:p>
    <w:p w14:paraId="0BB9A5B7" w14:textId="77777777" w:rsidR="00A8138F" w:rsidRDefault="00A8138F" w:rsidP="00A8138F">
      <w:pPr>
        <w:pStyle w:val="SntesisDescriptiva"/>
      </w:pPr>
      <w:r>
        <w:t>Recurso de amparo 6082-2024. Promovido por doña Nuria Martín Tomero en relación con las resoluciones administrativas y judiciales que desestimaron su petición de revisión y ampliación de la prestación por nacimiento y cuidado de hijo menor, como madre biológica de familia monoparental.</w:t>
      </w:r>
    </w:p>
    <w:p w14:paraId="2E6770B0" w14:textId="274E8E66" w:rsidR="00A8138F" w:rsidRDefault="00A8138F" w:rsidP="00A8138F">
      <w:pPr>
        <w:pStyle w:val="SntesisDescriptiva"/>
      </w:pPr>
    </w:p>
    <w:p w14:paraId="36AEEE65"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2A3E610" w14:textId="30B54F46" w:rsidR="00A8138F" w:rsidRDefault="00A8138F" w:rsidP="00A8138F">
      <w:pPr>
        <w:pStyle w:val="SntesisAnaltica"/>
      </w:pPr>
    </w:p>
    <w:p w14:paraId="73C75EA2" w14:textId="42865394"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7DD3BFE8" w14:textId="77777777" w:rsidR="00A8138F" w:rsidRDefault="00A8138F" w:rsidP="00A8138F">
      <w:pPr>
        <w:pStyle w:val="Extracto"/>
      </w:pPr>
    </w:p>
    <w:p w14:paraId="34623FF3" w14:textId="77777777" w:rsidR="00A8138F" w:rsidRDefault="00A8138F" w:rsidP="00A8138F">
      <w:pPr>
        <w:pStyle w:val="Extracto"/>
      </w:pPr>
    </w:p>
    <w:p w14:paraId="53793B51"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72F286E4" w14:textId="42C67B69" w:rsidR="00A8138F" w:rsidRDefault="00A8138F" w:rsidP="00A8138F">
      <w:pPr>
        <w:pStyle w:val="TextoNormal"/>
      </w:pPr>
    </w:p>
    <w:p w14:paraId="7C2EB100" w14:textId="77777777" w:rsidR="00A8138F" w:rsidRDefault="00A8138F" w:rsidP="00A8138F">
      <w:pPr>
        <w:pStyle w:val="TextoNormalCentrado"/>
        <w:keepNext/>
      </w:pPr>
      <w:r>
        <w:t>EN NOMBRE DEL REY</w:t>
      </w:r>
    </w:p>
    <w:p w14:paraId="778A7DD4" w14:textId="170A2B60" w:rsidR="00A8138F" w:rsidRDefault="00A8138F" w:rsidP="00A8138F">
      <w:pPr>
        <w:pStyle w:val="TextoNormalCentrado"/>
        <w:keepNext/>
      </w:pPr>
    </w:p>
    <w:p w14:paraId="669664E1" w14:textId="77777777" w:rsidR="00A8138F" w:rsidRDefault="00A8138F" w:rsidP="00A8138F">
      <w:pPr>
        <w:pStyle w:val="TextoNormalCentrado"/>
        <w:keepNext/>
      </w:pPr>
    </w:p>
    <w:p w14:paraId="5DACB1C0" w14:textId="77777777" w:rsidR="00A8138F" w:rsidRDefault="00A8138F" w:rsidP="00A8138F">
      <w:pPr>
        <w:pStyle w:val="TextoNormal"/>
      </w:pPr>
      <w:r>
        <w:t>la siguiente</w:t>
      </w:r>
    </w:p>
    <w:p w14:paraId="4CCA5513" w14:textId="092EA641" w:rsidR="00A8138F" w:rsidRDefault="00A8138F" w:rsidP="00A8138F">
      <w:pPr>
        <w:pStyle w:val="TextoNormal"/>
      </w:pPr>
    </w:p>
    <w:p w14:paraId="3379C600" w14:textId="77777777" w:rsidR="00A8138F" w:rsidRDefault="00A8138F" w:rsidP="00A8138F">
      <w:pPr>
        <w:pStyle w:val="TextoNormalCentrado"/>
        <w:keepNext/>
      </w:pPr>
      <w:r>
        <w:t>SENTENCIA</w:t>
      </w:r>
    </w:p>
    <w:p w14:paraId="15C8D1CC" w14:textId="54253BF3" w:rsidR="00A8138F" w:rsidRDefault="00A8138F" w:rsidP="00A8138F">
      <w:pPr>
        <w:pStyle w:val="TextoNormalCentrado"/>
        <w:keepNext/>
      </w:pPr>
    </w:p>
    <w:p w14:paraId="160BE221" w14:textId="77777777" w:rsidR="00A8138F" w:rsidRDefault="00A8138F" w:rsidP="00A8138F">
      <w:pPr>
        <w:pStyle w:val="TextoNormal"/>
      </w:pPr>
      <w:r>
        <w:t>En el recurso de amparo núm. 6082-2024, promovido por doña Nuria Martín Tomero contra la sentencia 966/2024, de 27 de junio, dictada por la Sala de lo Social del Tribunal Supremo, que estimó el recurso de casación para la unificación de doctrina núm. 904-2023 interpuesto por el Instituto Nacional de la Seguridad Social y la Tesorería General de la Seguridad Social contra la sentencia 840/2022, de 15 de diciembre, dictada por la Sala de lo Social del Tribunal Superior de Justicia de Castilla-León, con sede en Burgos, en recurso de suplicación núm. 697-2022, que revocó parcialmente la sentencia de 4 de mayo de 2022, dictada por el Juzgado de lo Social núm. 1 de Segovia en los autos núm. 831-2021, que había estimado la demanda interpuesta contra la resolución de 30 de agosto de 2021 dictada por el Instituto Nacional de la Seguridad Social. Han intervenido la letrada de la administración de la Seguridad Social y el Ministerio Fiscal. Ha sido ponente el magistrado don Enrique Arnaldo Alcubilla.</w:t>
      </w:r>
    </w:p>
    <w:p w14:paraId="66D49D2D" w14:textId="5F95EF58" w:rsidR="00A8138F" w:rsidRDefault="00A8138F" w:rsidP="00A8138F">
      <w:pPr>
        <w:pStyle w:val="TextoNormal"/>
      </w:pPr>
    </w:p>
    <w:p w14:paraId="44B0136D" w14:textId="77777777" w:rsidR="00A8138F" w:rsidRDefault="00A8138F" w:rsidP="00A8138F">
      <w:pPr>
        <w:pStyle w:val="TextoNormalNegritaCentrado"/>
        <w:keepNext/>
      </w:pPr>
      <w:r>
        <w:t>I. Antecedentes</w:t>
      </w:r>
    </w:p>
    <w:p w14:paraId="25D697E5" w14:textId="348DF300" w:rsidR="00A8138F" w:rsidRDefault="00A8138F" w:rsidP="00A8138F">
      <w:pPr>
        <w:pStyle w:val="TextoNormalNegritaCentrado"/>
        <w:keepNext/>
      </w:pPr>
    </w:p>
    <w:p w14:paraId="1D3F082D" w14:textId="4FE59198" w:rsidR="00A8138F" w:rsidRDefault="00A8138F" w:rsidP="00A8138F">
      <w:pPr>
        <w:pStyle w:val="TextoNormal"/>
      </w:pPr>
      <w:r w:rsidRPr="00A8138F">
        <w:rPr>
          <w:rStyle w:val="NumeroAFNegritaCaracter"/>
        </w:rPr>
        <w:t>1</w:t>
      </w:r>
      <w:r>
        <w:t>. Mediante escrito registrado en este tribunal el 31 de julio de 2024, la procuradora de los tribunales doña María del Carmen del Moral Jiménez, en nombre y representación de doña Nuria Martín Tomero, asistida de la letrada doña Susana Moradillo Huertes, interpuso recurso de amparo contra la resolución judicial a la que se ha hecho referencia en el encabezamiento.</w:t>
      </w:r>
    </w:p>
    <w:p w14:paraId="274F25D4" w14:textId="77777777" w:rsidR="00A8138F" w:rsidRDefault="00A8138F" w:rsidP="00A8138F">
      <w:pPr>
        <w:pStyle w:val="TextoNormal"/>
      </w:pPr>
    </w:p>
    <w:p w14:paraId="6B0ADA07"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38AB60C2" w14:textId="77777777" w:rsidR="00A8138F" w:rsidRDefault="00A8138F" w:rsidP="00A8138F">
      <w:pPr>
        <w:pStyle w:val="TextoNormal"/>
      </w:pPr>
    </w:p>
    <w:p w14:paraId="1FDE0D51" w14:textId="77777777" w:rsidR="00A8138F" w:rsidRDefault="00A8138F" w:rsidP="00A8138F">
      <w:pPr>
        <w:pStyle w:val="TextoNormal"/>
      </w:pPr>
      <w:r>
        <w:t>a) Doña Nuria Martín Tomero es madre biológica de una niña, nacida el 24 de junio de 2021, con quien forma una familia monoparental, reconociéndosele por resolución del Instituto Nacional de la Seguridad Social (INSS) de 9 de julio de 2021 el derecho a la prestación de nacimiento y cuidado de menor durante dieciséis semanas. Mediante reclamación administrativa de 27 de agosto de 2021, la ahora demandante solicitó el reconocimiento de una prestación de nacimiento y cuidado de menor del otro progenitor de dieciséis semanas más, es decir, añadiendo al período ya reconocido uno idéntico al que hubiera correspondido al segundo progenitor en el supuesto de una familia biparental, lo que le fue denegado por resolución del INSS de 30 de agosto de 2021.</w:t>
      </w:r>
    </w:p>
    <w:p w14:paraId="4C8E0FB5" w14:textId="77777777" w:rsidR="00A8138F" w:rsidRDefault="00A8138F" w:rsidP="00A8138F">
      <w:pPr>
        <w:pStyle w:val="TextoNormal"/>
      </w:pPr>
    </w:p>
    <w:p w14:paraId="7BC005B3" w14:textId="77777777" w:rsidR="00A8138F" w:rsidRDefault="00A8138F" w:rsidP="00A8138F">
      <w:pPr>
        <w:pStyle w:val="TextoNormal"/>
      </w:pPr>
      <w:r>
        <w:t>b) Frente a la desestimación de su reclamación doña Nuria Martín Tomero formuló demanda ante la jurisdicción social, que fue estimada por sentencia de 4 de mayo de 2022, dictada por el Juzgado de lo Social núm. 1 de Segovia en los autos núm. 831-2021, que le reconoció el derecho a acumular dieciséis semanas adicionales por nacimiento y cuidado de hijo.</w:t>
      </w:r>
    </w:p>
    <w:p w14:paraId="0890F190" w14:textId="77777777" w:rsidR="00A8138F" w:rsidRDefault="00A8138F" w:rsidP="00A8138F">
      <w:pPr>
        <w:pStyle w:val="TextoNormal"/>
      </w:pPr>
    </w:p>
    <w:p w14:paraId="26CEFA0E" w14:textId="77777777" w:rsidR="00A8138F" w:rsidRDefault="00A8138F" w:rsidP="00A8138F">
      <w:pPr>
        <w:pStyle w:val="TextoNormal"/>
      </w:pPr>
      <w:r>
        <w:t>c) El INSS y la Tesorería General de la Seguridad Social (TGSS) interpusieron contra dicha sentencia recurso de suplicación, que fue estimado parcialmente por sentencia 840/2022, de 15 de diciembre, dictada por la Sala de lo Social del Tribunal Superior de Justicia de Castilla-León, con sede en Burgos, en recurso de suplicación núm. 697-2022, reconociendo a la progenitora el disfrute de las diez semanas que el otro progenitor podría disfrutar sin simultanear ambos permisos, toda vez que el disfrute de seis semanas de ambos permisos es obligatorio disfrutarlo de forma conjunta.</w:t>
      </w:r>
    </w:p>
    <w:p w14:paraId="716B4EA0" w14:textId="77777777" w:rsidR="00A8138F" w:rsidRDefault="00A8138F" w:rsidP="00A8138F">
      <w:pPr>
        <w:pStyle w:val="TextoNormal"/>
      </w:pPr>
    </w:p>
    <w:p w14:paraId="18BE0EF2" w14:textId="77777777" w:rsidR="00A8138F" w:rsidRDefault="00A8138F" w:rsidP="00A8138F">
      <w:pPr>
        <w:pStyle w:val="TextoNormal"/>
      </w:pPr>
      <w:r>
        <w:t>d) Contra la sentencia de suplicación el INSS y la TGSS interpusieron recurso de casación para la unificación de doctrina. Se invoca como sentencia contradictoria, la sentencia 3020/2021, de 19 de octubre, dictada por la Sala de lo Social del Tribunal Superior de Justicia de la Comunidad Valenciana (ECLI:ES:TSJCV:2021:4451), así como se cita como infringido, el art. 48.4 de la Ley del estatuto de los trabajadores (LET), aprobada por el Real Decreto Legislativo 2/2015, de 23 de octubre, en relación a los arts. 177 a 180 de la Ley general de la Seguridad Social (LGSS), aprobada por el Real Decreto Legislativo 8/2015, de 30 de octubre. El recurso, tramitado con el núm. 904-2023, fue estimado por la sentencia 966/2024, de 27 de junio, dictada por la Sala de lo Social del Tribunal Supremo.</w:t>
      </w:r>
    </w:p>
    <w:p w14:paraId="705DC427" w14:textId="77777777" w:rsidR="00A8138F" w:rsidRDefault="00A8138F" w:rsidP="00A8138F">
      <w:pPr>
        <w:pStyle w:val="TextoNormal"/>
      </w:pPr>
    </w:p>
    <w:p w14:paraId="4C55F46A" w14:textId="77777777" w:rsidR="00A8138F" w:rsidRDefault="00A8138F" w:rsidP="00A8138F">
      <w:pPr>
        <w:pStyle w:val="TextoNormal"/>
      </w:pPr>
      <w:r>
        <w:t>La sentencia indica que, sobre dicha cuestión, el Pleno de la Sala de lo Social ya ha tenido ocasión de pronunciarse en la STS 169/2023, de 2 de marzo (ECLI:ES:TS:2023:783), reiterada luego por las SSTS 434/2023, de 14 de junio (ECLI:ES:TS:2023:3053); 1136/2023 y 1139/2023, de 12 de diciembre (ECLI:ES:TS:2023:5495 y ECLI:ES:TS:2023:6000), o las SSTS 325/2024 y 326/2024, de 21 de febrero (ECLI:ES:TS:2024:1274 y ECLI:ES:TS:2024:1457). Recuerda las razones expuestas en dicha sentencia:</w:t>
      </w:r>
    </w:p>
    <w:p w14:paraId="2A9CD64A" w14:textId="77777777" w:rsidR="00A8138F" w:rsidRDefault="00A8138F" w:rsidP="00A8138F">
      <w:pPr>
        <w:pStyle w:val="TextoNormal"/>
      </w:pPr>
    </w:p>
    <w:p w14:paraId="7C245194" w14:textId="77777777" w:rsidR="00A8138F" w:rsidRDefault="00A8138F" w:rsidP="00A8138F">
      <w:pPr>
        <w:pStyle w:val="TextoNormal"/>
      </w:pPr>
      <w:r>
        <w:t>No procede la ampliación del disfrute del derecho a favor del progenitor monoparental pues tal solución no solo afectaría al ámbito de las prestaciones contributivas de la Seguridad Social, sino que también produciría efectos en el ámbito de su relación contractual con el empleador, dado que para el disfrute de la prestación solicitada resultaría ineludible la ampliación de la duración de la suspensión del contrato de trabajo prevista en el art. 48.4 LET.</w:t>
      </w:r>
    </w:p>
    <w:p w14:paraId="663D1652" w14:textId="77777777" w:rsidR="00A8138F" w:rsidRDefault="00A8138F" w:rsidP="00A8138F">
      <w:pPr>
        <w:pStyle w:val="TextoNormal"/>
      </w:pPr>
    </w:p>
    <w:p w14:paraId="6A600434" w14:textId="77777777" w:rsidR="00A8138F" w:rsidRDefault="00A8138F" w:rsidP="00A8138F">
      <w:pPr>
        <w:pStyle w:val="TextoNormal"/>
      </w:pPr>
      <w:r>
        <w:t>La estimación del recurso supondría crear una prestación contributiva nueva, cuando la función de jueces y tribunales es la aplicación e interpretación de la norma y no la creación del Derecho, y lo que se pretende solo le corresponde al legislador no pudiendo ser suplido por resoluciones judiciales, no encontrándose entre las atribuciones de estas modificar el régimen prestacional de la Seguridad Social, ni modificar la organización de la suspensión del contrato de trabajo por causas previstas en la ley, a través de la aplicación de criterios interpretativos concretos previstos legalmente que no se circunscriben a la aplicación de la norma en supuestos fácticos que, razonablemente, no parecen claramente delimitados en el ámbito de afectación de la norma interpretada. Destaca que ha de ser el legislador el que fije el nivel y condiciones de las prestaciones a efectuar o las modificaciones para adaptarlas a las necesidades del momento. Conclusión que se alcanza también desde el plano de la normativa internacional.</w:t>
      </w:r>
    </w:p>
    <w:p w14:paraId="6B7EF43E" w14:textId="77777777" w:rsidR="00A8138F" w:rsidRDefault="00A8138F" w:rsidP="00A8138F">
      <w:pPr>
        <w:pStyle w:val="TextoNormal"/>
      </w:pPr>
    </w:p>
    <w:p w14:paraId="36C9D4B7" w14:textId="77777777" w:rsidR="00A8138F" w:rsidRDefault="00A8138F" w:rsidP="00A8138F">
      <w:pPr>
        <w:pStyle w:val="TextoNormal"/>
      </w:pPr>
      <w:r>
        <w:t xml:space="preserve">Se refiere al criterio adoptado por la STJUE de 16 de mayo de 2024, </w:t>
      </w:r>
      <w:r w:rsidRPr="00A8138F">
        <w:rPr>
          <w:i/>
        </w:rPr>
        <w:t>CCC c. Tesorería General de la Seguridad Social (TGSS) e Instituto Nacional de la Seguridad Social (INSS</w:t>
      </w:r>
      <w:r>
        <w:t>), asunto C-673/22, e indica que “en el supuesto de autos en el que la solicitud de la ampliación se produce el 26 de agosto de 2021 y el eventual período de ampliación se debería iniciar a partir del 14 de enero de 2022, en que finalizó el período de lactancia acumulada, es decir, antes de la fecha de agotamiento del plazo de transposición” de la Directiva (UE) 2019/1158 del Parlamento Europeo y del Consejo, de 20 de junio de 2019, relativa a la conciliación de la vida familiar y la vida profesional de los progenitores y los cuidadores, y por la que se deroga la Directiva 2010/18/UE del Consejo.</w:t>
      </w:r>
    </w:p>
    <w:p w14:paraId="22459E0E" w14:textId="77777777" w:rsidR="00A8138F" w:rsidRDefault="00A8138F" w:rsidP="00A8138F">
      <w:pPr>
        <w:pStyle w:val="TextoNormal"/>
      </w:pPr>
    </w:p>
    <w:p w14:paraId="6EE9BEE6" w14:textId="77777777" w:rsidR="00A8138F" w:rsidRDefault="00A8138F" w:rsidP="00A8138F">
      <w:pPr>
        <w:pStyle w:val="TextoNormal"/>
      </w:pPr>
      <w:r>
        <w:t>Sobre la aplicación del interés del menor, indica que no existe una supuesta vulneración de un teórico derecho del menor de las familias monoparentales a ser cuidado en condiciones de igualdad con respecto a las biparentales. En estas, la prestación que corresponde al otro progenitor precisa como condición inexcusable su encuadramiento y alta en la Seguridad Social y cubrir un periodo mínimo de carencia; y, en caso contrario, no se le concede, de modo que el interés del menor, cuya importancia no se desconoce y se considera de especial relevancia por la Sala, no puede ser el único factor decisivo y determinante en esta cuestión que se debe resolver.</w:t>
      </w:r>
    </w:p>
    <w:p w14:paraId="6E1DF853" w14:textId="77777777" w:rsidR="00A8138F" w:rsidRDefault="00A8138F" w:rsidP="00A8138F">
      <w:pPr>
        <w:pStyle w:val="TextoNormal"/>
      </w:pPr>
    </w:p>
    <w:p w14:paraId="7FCD9BEB" w14:textId="58F1F8C4" w:rsidR="00A8138F" w:rsidRDefault="00A8138F" w:rsidP="00A8138F">
      <w:pPr>
        <w:pStyle w:val="TextoNormal"/>
      </w:pPr>
      <w:r>
        <w:t>La sentencia recalca que interpretar con perspectiva de género implica añadir un canon hermenéutico para la comprensión del Derecho que consiste en rechazar cualquier inteligencia de la norma que conduzca a una discriminación de la mujer, utilizando, en cambio, las que conduzcan a erradicar cualquier situación de discriminación. Añade que no estamos ante un supuesto afectado por una situación de discriminación, sino ante un eventual déficit de protección concreto, querido y consentido por el legislador.</w:t>
      </w:r>
    </w:p>
    <w:p w14:paraId="41591460" w14:textId="77777777" w:rsidR="00A8138F" w:rsidRDefault="00A8138F" w:rsidP="00A8138F">
      <w:pPr>
        <w:pStyle w:val="TextoNormal"/>
      </w:pPr>
    </w:p>
    <w:p w14:paraId="7A84E25C" w14:textId="0FF86F13" w:rsidR="00A8138F" w:rsidRDefault="00A8138F" w:rsidP="00A8138F">
      <w:pPr>
        <w:pStyle w:val="TextoNormal"/>
      </w:pPr>
      <w:r w:rsidRPr="00A8138F">
        <w:rPr>
          <w:rStyle w:val="NumeroAFNegritaCaracter"/>
        </w:rPr>
        <w:t>3</w:t>
      </w:r>
      <w:r>
        <w:t>. En la demanda de amparo la recurrente, madre de familia monoparental, solicita que se declare vulnerado su derecho a la igualdad y no discriminación (art. 14 CE), así como a la tutela judicial efectiva (art. 24.1 CE) y vulnerado el interés superior del menor como principio fundamental del Derecho y la existencia de trato peyorativo en la interpretación restrictiva de la norma en perjuicio de los menores nacidos en familias monoparentales. Solicita que se le reconozca el derecho a percibir la prestación por nacimiento y cuidado del menor y el correspondiente disfrute del permiso generado durante un periodo adicional de diez semanas, añadidas a las dieciséis semanas disfrutadas en calidad de madre monoparental. Al no haberlo hecho así la sentencia impugnada vulnera el derecho de la interesada a la igualdad y no discriminación, así como a la tutela judicial efectiva y el interés superior del menor como principio fundamental de Derecho. Solicita, en consecuencia, que se declare la nulidad de la sentencia 966/2024, de 27 de junio, dictada por la Sala de lo Social del Tribunal Supremo, y la firmeza de la sentencia 840/2022, de 15 de diciembre, dictada por la Sala de lo Social del Tribunal Superior de Justicia de Castilla-León, con sede en Burgos.</w:t>
      </w:r>
    </w:p>
    <w:p w14:paraId="052F0B08" w14:textId="77777777" w:rsidR="00A8138F" w:rsidRDefault="00A8138F" w:rsidP="00A8138F">
      <w:pPr>
        <w:pStyle w:val="TextoNormal"/>
      </w:pPr>
    </w:p>
    <w:p w14:paraId="031B1E1A" w14:textId="30EA26D7" w:rsidR="00A8138F" w:rsidRDefault="00A8138F" w:rsidP="00A8138F">
      <w:pPr>
        <w:pStyle w:val="TextoNormal"/>
      </w:pPr>
      <w:r w:rsidRPr="00A8138F">
        <w:rPr>
          <w:rStyle w:val="NumeroAFNegritaCaracter"/>
        </w:rPr>
        <w:t>4</w:t>
      </w:r>
      <w:r>
        <w:t>. Mediante providencia de 27 de enero de 2025, la Sección Cuarta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y salas de lo Social del Tribunal Superior de Justicia y del Tribunal Supremo) para que, en el plazo de diez días, si lo desearan, pudieran comparecer en este proceso constitucional, excepto la parte recurrente en amparo.</w:t>
      </w:r>
    </w:p>
    <w:p w14:paraId="48E85083" w14:textId="77777777" w:rsidR="00A8138F" w:rsidRDefault="00A8138F" w:rsidP="00A8138F">
      <w:pPr>
        <w:pStyle w:val="TextoNormal"/>
      </w:pPr>
    </w:p>
    <w:p w14:paraId="38D6B5D1" w14:textId="3596A65A" w:rsidR="00A8138F" w:rsidRDefault="00A8138F" w:rsidP="00A8138F">
      <w:pPr>
        <w:pStyle w:val="TextoNormal"/>
      </w:pPr>
      <w:r w:rsidRPr="00A8138F">
        <w:rPr>
          <w:rStyle w:val="NumeroAFNegritaCaracter"/>
        </w:rPr>
        <w:t>5</w:t>
      </w:r>
      <w:r>
        <w:t>. Solicitada por la letrada de la administración de la Seguridad Social su personación en nombre del INSS y de la TGSS, mediante diligencia de ordenación del secretario de justicia de la Sala Segunda de este tribunal de 26 de febrero de 2025 se acordó tenerla por personada y parte y dar vista de las actuaciones recibidas a las partes personadas y al Ministerio Fiscal, por plazo común de veinte días, a fin de presentar las alegaciones que estimen pertinentes, conforme determina el art. 52.1 LOTC.</w:t>
      </w:r>
    </w:p>
    <w:p w14:paraId="032A437D" w14:textId="77777777" w:rsidR="00A8138F" w:rsidRDefault="00A8138F" w:rsidP="00A8138F">
      <w:pPr>
        <w:pStyle w:val="TextoNormal"/>
      </w:pPr>
    </w:p>
    <w:p w14:paraId="4AF579C3" w14:textId="147F7020" w:rsidR="00A8138F" w:rsidRDefault="00A8138F" w:rsidP="00A8138F">
      <w:pPr>
        <w:pStyle w:val="TextoNormal"/>
      </w:pPr>
      <w:r w:rsidRPr="00A8138F">
        <w:rPr>
          <w:rStyle w:val="NumeroAFNegritaCaracter"/>
        </w:rPr>
        <w:t>6</w:t>
      </w:r>
      <w:r>
        <w:t>. El 3 de marzo de 2025 la representación procesal de la demandante presentó su escrito de alegaciones, en las que reiteró el fundamento de su pretensión de amparo, a la vez que ponía de manifiesto que debe proyectarse al presente asunto lo resuelto en la STC 140/2024, de 6 de noviembre, que estima la cuestión de inconstitucionalidad núm. 6694-2023.</w:t>
      </w:r>
    </w:p>
    <w:p w14:paraId="45F97625" w14:textId="77777777" w:rsidR="00A8138F" w:rsidRDefault="00A8138F" w:rsidP="00A8138F">
      <w:pPr>
        <w:pStyle w:val="TextoNormal"/>
      </w:pPr>
    </w:p>
    <w:p w14:paraId="3529A9FB" w14:textId="77777777" w:rsidR="00A8138F" w:rsidRDefault="00A8138F" w:rsidP="00A8138F">
      <w:pPr>
        <w:pStyle w:val="TextoNormal"/>
      </w:pPr>
      <w:r w:rsidRPr="00A8138F">
        <w:rPr>
          <w:rStyle w:val="NumeroAFNegritaCaracter"/>
        </w:rPr>
        <w:t>7</w:t>
      </w:r>
      <w:r>
        <w:t>. La letrada de la administración de la Seguridad Social presentó sus alegaciones el día 24 de marzo de 2025 en las que solicitaba que se tuviera por realizado el allanamiento a la demanda.</w:t>
      </w:r>
    </w:p>
    <w:p w14:paraId="0DF2819A" w14:textId="77777777" w:rsidR="00A8138F" w:rsidRDefault="00A8138F" w:rsidP="00A8138F">
      <w:pPr>
        <w:pStyle w:val="TextoNormal"/>
      </w:pPr>
    </w:p>
    <w:p w14:paraId="1580CCC6" w14:textId="77777777" w:rsidR="00A8138F" w:rsidRDefault="00A8138F" w:rsidP="00A8138F">
      <w:pPr>
        <w:pStyle w:val="TextoNormal"/>
      </w:pPr>
      <w:r>
        <w:t>En tal sentido se hace eco de los recientes pronunciamientos del Tribunal Constitucional por los que, tras estimar la cuestión de inconstitucionalidad núm. 6694-2023 planteada por la Sala de lo Social del Tribunal Superior de Justicia de Cataluña en relación con el artículo 48, apartados 4, 5 y 6 LET en conexión con el artículo 177 LGSS y declarar inconstitucionales los citados preceptos, se dictaron las SSTC 147/2024, 149/2024, 150/2024 y 151/2024, de 2 de diciembre, en los recursos de amparo núm. 6078-2023, 1084-2024, 1845-2024 y 1880-2024, respectivamente, estimando las demandas presentadas conforme al pronunciamiento de la STC 140/2024, de 6 de noviembre, del Pleno del Tribunal Constitucional.</w:t>
      </w:r>
    </w:p>
    <w:p w14:paraId="719907F7" w14:textId="77777777" w:rsidR="00A8138F" w:rsidRDefault="00A8138F" w:rsidP="00A8138F">
      <w:pPr>
        <w:pStyle w:val="TextoNormal"/>
      </w:pPr>
    </w:p>
    <w:p w14:paraId="52A3341F" w14:textId="47BCFFCD" w:rsidR="00A8138F" w:rsidRDefault="00A8138F" w:rsidP="00A8138F">
      <w:pPr>
        <w:pStyle w:val="TextoNormal"/>
      </w:pPr>
      <w:r>
        <w:t>A la vista de dichas sentencias, la dirección del servicio jurídico de la administración de la Seguridad Social dictó la Instrucción 10/2024, de 23 de diciembre, que autorizó al servicio jurídico delegado central en el INSS para allanarse en los recursos de amparo pendientes ante el Tribunal Constitucional que resultasen afectados por lo establecido en el fundamento jurídico 7 de la STC 140/2024, lo que sucede en el presente recurso.</w:t>
      </w:r>
    </w:p>
    <w:p w14:paraId="1067F6E8" w14:textId="77777777" w:rsidR="00A8138F" w:rsidRDefault="00A8138F" w:rsidP="00A8138F">
      <w:pPr>
        <w:pStyle w:val="TextoNormal"/>
      </w:pPr>
    </w:p>
    <w:p w14:paraId="3566ED18" w14:textId="02475AB8" w:rsidR="00A8138F" w:rsidRDefault="00A8138F" w:rsidP="00A8138F">
      <w:pPr>
        <w:pStyle w:val="TextoNormal"/>
      </w:pPr>
      <w:r w:rsidRPr="00A8138F">
        <w:rPr>
          <w:rStyle w:val="NumeroAFNegritaCaracter"/>
        </w:rPr>
        <w:t>8</w:t>
      </w:r>
      <w:r>
        <w:t>. El 10 de abril de 2025 el Ministerio Fiscal interesó la estimación del recurso de amparo, en aplicación de lo resuelto en la STC 140/2024, de 6 de noviembre, con declaración de nulidad de la sentencia 966/2024, de 27 de junio, de la Sala de lo Social del Tribunal Supremo, que estima el recurso de casación para la unificación de doctrina 904-2023 interpuesto por el INSS, y de firmeza de la sentencia 840/2022, de 15 de diciembre, dictada por la Sala de lo Social del Tribunal Superior de Justicia de Castilla-León, con sede en Burgos en el recurso de suplicación 697-2022.</w:t>
      </w:r>
    </w:p>
    <w:p w14:paraId="0F1224ED" w14:textId="77777777" w:rsidR="00A8138F" w:rsidRDefault="00A8138F" w:rsidP="00A8138F">
      <w:pPr>
        <w:pStyle w:val="TextoNormal"/>
      </w:pPr>
    </w:p>
    <w:p w14:paraId="3A26F627" w14:textId="03BE000D" w:rsidR="00A8138F" w:rsidRDefault="00A8138F" w:rsidP="00A8138F">
      <w:pPr>
        <w:pStyle w:val="TextoNormal"/>
      </w:pPr>
      <w:r w:rsidRPr="00A8138F">
        <w:rPr>
          <w:rStyle w:val="NumeroAFNegritaCaracter"/>
        </w:rPr>
        <w:t>9</w:t>
      </w:r>
      <w:r>
        <w:t>. Mediante providencia de 8 de mayo de 2025 se señaló para deliberación y votación de la presente sentencia el día 12 del mismo mes y año.</w:t>
      </w:r>
    </w:p>
    <w:p w14:paraId="52C87DBB" w14:textId="77777777" w:rsidR="00A8138F" w:rsidRDefault="00A8138F" w:rsidP="00A8138F">
      <w:pPr>
        <w:pStyle w:val="TextoNormal"/>
      </w:pPr>
    </w:p>
    <w:p w14:paraId="77301748" w14:textId="77777777" w:rsidR="00A8138F" w:rsidRDefault="00A8138F" w:rsidP="00A8138F">
      <w:pPr>
        <w:pStyle w:val="TextoNormalNegritaCentrado"/>
        <w:keepNext/>
      </w:pPr>
      <w:r>
        <w:t>II. Fundamentos jurídicos</w:t>
      </w:r>
    </w:p>
    <w:p w14:paraId="545CFCBC" w14:textId="0E5893F0" w:rsidR="00A8138F" w:rsidRDefault="00A8138F" w:rsidP="00A8138F">
      <w:pPr>
        <w:pStyle w:val="TextoNormalNegritaCentrado"/>
        <w:keepNext/>
      </w:pPr>
    </w:p>
    <w:p w14:paraId="18E604CE" w14:textId="77777777" w:rsidR="00A8138F" w:rsidRDefault="00A8138F" w:rsidP="00A8138F">
      <w:pPr>
        <w:pStyle w:val="TextoNormal"/>
      </w:pPr>
      <w:r w:rsidRPr="00A8138F">
        <w:rPr>
          <w:rStyle w:val="TextoNormalNegritaCaracter"/>
        </w:rPr>
        <w:t xml:space="preserve">Único. </w:t>
      </w:r>
      <w:r w:rsidRPr="00A8138F">
        <w:rPr>
          <w:i/>
        </w:rPr>
        <w:t>Aplicación de la doctrina sentada en la STC 140/2024, de 6 de noviembre</w:t>
      </w:r>
    </w:p>
    <w:p w14:paraId="4A936354" w14:textId="77777777" w:rsidR="00A8138F" w:rsidRDefault="00A8138F" w:rsidP="00A8138F">
      <w:pPr>
        <w:pStyle w:val="TextoNormal"/>
      </w:pPr>
    </w:p>
    <w:p w14:paraId="7E7D5E2D" w14:textId="77777777" w:rsidR="00A8138F" w:rsidRDefault="00A8138F" w:rsidP="00A8138F">
      <w:pPr>
        <w:pStyle w:val="TextoNormal"/>
      </w:pPr>
      <w:r>
        <w:t>El objeto del presente recurso de amparo es dilucidar si la resolución judicial impugnada ha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del texto refundido de la Ley del estatuto de los trabajadores, en relación con el art. 177 del texto refundido de la Ley general de la Seguridad Social, en la redacción dada a los mismos por el Real-Decreto-ley 6/2019, de 1 de marzo, de medidas urgentes para garantía de la igualdad de trato y de oportunidades entre mujeres y hombres en el empleo y la ocupación, en relación con el permiso y la correspondiente prestación económica por nacimiento y cuidado de menor previstos.</w:t>
      </w:r>
    </w:p>
    <w:p w14:paraId="61E3751F" w14:textId="77777777" w:rsidR="00A8138F" w:rsidRDefault="00A8138F" w:rsidP="00A8138F">
      <w:pPr>
        <w:pStyle w:val="TextoNormal"/>
      </w:pPr>
    </w:p>
    <w:p w14:paraId="56FB2C20" w14:textId="77777777" w:rsidR="00A8138F" w:rsidRDefault="00A8138F" w:rsidP="00A8138F">
      <w:pPr>
        <w:pStyle w:val="TextoNormal"/>
      </w:pPr>
      <w:r>
        <w:t>La demandante de amparo solicita la declaración de nulidad de la sentencia 966/2024, de 27 de junio, dictada por la Sala de lo Social del Tribunal Supremo en el recurso de casación para la unificación de doctrina 904-2023 y de firmeza de la sentencia núm. 840/2022, de 15 de diciembre, dictada por la Sala de lo Social del Tribunal Superior de Justicia de Castilla-León, con sede en Burgos, en el recurso de suplicación núm. 697-2022. El Ministerio Fiscal comparte dicho planteamiento, interesando la estimación del recurso en dichos términos en aplicación de la doctrina constitucional fijada en la STC 140/2024. La letrada de la administración de la Seguridad Social manifiesta allanarse a la demanda de amparo.</w:t>
      </w:r>
    </w:p>
    <w:p w14:paraId="210CDD7F" w14:textId="77777777" w:rsidR="00A8138F" w:rsidRDefault="00A8138F" w:rsidP="00A8138F">
      <w:pPr>
        <w:pStyle w:val="TextoNormal"/>
      </w:pPr>
    </w:p>
    <w:p w14:paraId="68B24D92" w14:textId="77777777" w:rsidR="00A8138F" w:rsidRDefault="00A8138F" w:rsidP="00A8138F">
      <w:pPr>
        <w:pStyle w:val="TextoNormal"/>
      </w:pPr>
      <w:r>
        <w:t>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CD46A07" w14:textId="77777777" w:rsidR="00A8138F" w:rsidRDefault="00A8138F" w:rsidP="00A8138F">
      <w:pPr>
        <w:pStyle w:val="TextoNormal"/>
      </w:pPr>
    </w:p>
    <w:p w14:paraId="25BBD3D9" w14:textId="77777777" w:rsidR="00A8138F" w:rsidRDefault="00A8138F" w:rsidP="00A8138F">
      <w:pPr>
        <w:pStyle w:val="TextoNormal"/>
      </w:pPr>
      <w:r>
        <w:t>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E067277" w14:textId="77777777" w:rsidR="00A8138F" w:rsidRDefault="00A8138F" w:rsidP="00A8138F">
      <w:pPr>
        <w:pStyle w:val="TextoNormal"/>
      </w:pPr>
    </w:p>
    <w:p w14:paraId="63849B1F" w14:textId="77777777" w:rsidR="00A8138F" w:rsidRDefault="00A8138F" w:rsidP="00A8138F">
      <w:pPr>
        <w:pStyle w:val="TextoNormal"/>
      </w:pPr>
      <w: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C84170F" w14:textId="77777777" w:rsidR="00A8138F" w:rsidRDefault="00A8138F" w:rsidP="00A8138F">
      <w:pPr>
        <w:pStyle w:val="TextoNormal"/>
      </w:pPr>
    </w:p>
    <w:p w14:paraId="1F53A30E" w14:textId="55E70959" w:rsidR="00A8138F" w:rsidRDefault="00A8138F" w:rsidP="00A8138F">
      <w:pPr>
        <w:pStyle w:val="TextoNormal"/>
      </w:pPr>
      <w:r>
        <w:t>En consecuencia, debe estimarse la demanda y otorgar el amparo solicitado, con nulidad de la sentencia 966/2024, de 27 de junio, dictada por la Sala de lo Social del Tribunal Supremo en el recurso de casación para la unificación de doctrina 904-2023, y declarar firme la sentencia núm. 840/2022, de 15 de diciembre, dictada por la Sala de lo Social del Tribunal Superior de Justicia de Castilla-León, con sede en Burgos, en el recurso de suplicación núm. 697-2022, al reparar la vulneración indicada. Tal como concretamos en la referida STC 140/2024, FJ 7, en tanto el legislador no lleve a cabo la pertinente reforma normativa, en las familias monoparentales el permiso a que hace referencia el art. 48.4 LET (y en relación con él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11CD6A24" w14:textId="77777777" w:rsidR="00A8138F" w:rsidRDefault="00A8138F" w:rsidP="00A8138F">
      <w:pPr>
        <w:pStyle w:val="TextoNormal"/>
      </w:pPr>
    </w:p>
    <w:p w14:paraId="035BCA5E" w14:textId="77777777" w:rsidR="00A8138F" w:rsidRDefault="00A8138F" w:rsidP="00A8138F">
      <w:pPr>
        <w:pStyle w:val="TextoNormalCentrado"/>
        <w:keepNext/>
      </w:pPr>
      <w:r>
        <w:t>FALLO</w:t>
      </w:r>
    </w:p>
    <w:p w14:paraId="5B052645" w14:textId="6F9A0918" w:rsidR="00A8138F" w:rsidRDefault="00A8138F" w:rsidP="00A8138F">
      <w:pPr>
        <w:pStyle w:val="TextoNormalCentrado"/>
        <w:keepNext/>
      </w:pPr>
    </w:p>
    <w:p w14:paraId="1AF4B246"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Nuria Martín Tomero y, en su virtud:</w:t>
      </w:r>
    </w:p>
    <w:p w14:paraId="0798762B" w14:textId="77777777" w:rsidR="00A8138F" w:rsidRDefault="00A8138F" w:rsidP="00A8138F">
      <w:pPr>
        <w:pStyle w:val="TextoNormal"/>
      </w:pPr>
    </w:p>
    <w:p w14:paraId="7F15433D" w14:textId="77777777" w:rsidR="00A8138F" w:rsidRDefault="00A8138F" w:rsidP="00A8138F">
      <w:pPr>
        <w:pStyle w:val="TextoNormal"/>
      </w:pPr>
      <w:r>
        <w:t>1º Declarar vulnerado su derecho fundamental a la igualdad ante la ley, sin que pueda prevalecer discriminación alguna (art. 14 CE).</w:t>
      </w:r>
    </w:p>
    <w:p w14:paraId="32D74E42" w14:textId="77777777" w:rsidR="00A8138F" w:rsidRDefault="00A8138F" w:rsidP="00A8138F">
      <w:pPr>
        <w:pStyle w:val="TextoNormal"/>
      </w:pPr>
    </w:p>
    <w:p w14:paraId="6CC13D35" w14:textId="450127CA" w:rsidR="00A8138F" w:rsidRDefault="00A8138F" w:rsidP="00A8138F">
      <w:pPr>
        <w:pStyle w:val="TextoNormal"/>
      </w:pPr>
      <w:r>
        <w:t>2º Restablecerla en su derecho y, en consecuencia, declarar la nulidad de la sentencia 966/2024, de 27 de junio, dictada por la Sala de lo Social del Tribunal Supremo en el recurso de casación para la unificación de doctrina 904-2023, y la firmeza de la sentencia núm. 840/2022, de 15 de diciembre, dictada por la Sala de lo Social del Tribunal Superior de Justicia de Castilla-León, con sede en Burgos, en el recurso de suplicación núm. 697-2022.</w:t>
      </w:r>
    </w:p>
    <w:p w14:paraId="7E463E52" w14:textId="77777777" w:rsidR="00A8138F" w:rsidRDefault="00A8138F" w:rsidP="00A8138F">
      <w:pPr>
        <w:pStyle w:val="TextoNormal"/>
      </w:pPr>
    </w:p>
    <w:p w14:paraId="52A2CDD0" w14:textId="77777777" w:rsidR="00A8138F" w:rsidRDefault="00A8138F" w:rsidP="00A8138F">
      <w:pPr>
        <w:pStyle w:val="TextoNormal"/>
      </w:pPr>
      <w:r>
        <w:t>Publíquese esta sentencia en el “Boletín Oficial del Estado”.</w:t>
      </w:r>
    </w:p>
    <w:p w14:paraId="0BEC8599" w14:textId="77777777" w:rsidR="00A8138F" w:rsidRDefault="00A8138F" w:rsidP="00A8138F">
      <w:pPr>
        <w:pStyle w:val="TextoNormal"/>
      </w:pPr>
      <w:r>
        <w:t>Dada en Madrid, a doce de mayo de dos mil veinticinco.</w:t>
      </w:r>
    </w:p>
    <w:p w14:paraId="77C05020" w14:textId="27CED65C" w:rsidR="00A8138F" w:rsidRDefault="00A8138F">
      <w:pPr>
        <w:spacing w:after="160" w:line="278" w:lineRule="auto"/>
        <w:rPr>
          <w:rFonts w:ascii="Times New Roman" w:eastAsia="Times New Roman" w:hAnsi="Times New Roman" w:cs="Times New Roman"/>
          <w:sz w:val="24"/>
          <w:szCs w:val="24"/>
          <w:lang w:eastAsia="es-ES"/>
        </w:rPr>
      </w:pPr>
      <w:r>
        <w:br w:type="page"/>
      </w:r>
    </w:p>
    <w:p w14:paraId="447B1BB8" w14:textId="77777777" w:rsidR="00A8138F" w:rsidRDefault="00A8138F" w:rsidP="00A8138F">
      <w:pPr>
        <w:pStyle w:val="TtuloResolucin"/>
      </w:pPr>
      <w:bookmarkStart w:id="117" w:name="SENTENCIA_2025_115"/>
      <w:r>
        <w:t>SENTENCIA 115/2025, de 12 de mayo de 2025</w:t>
      </w:r>
    </w:p>
    <w:bookmarkEnd w:id="117"/>
    <w:p w14:paraId="606FD2B8" w14:textId="77777777" w:rsidR="00A8138F" w:rsidRDefault="00A8138F" w:rsidP="00A8138F">
      <w:pPr>
        <w:pStyle w:val="TtuloResolucin"/>
      </w:pPr>
      <w:r>
        <w:t>Sala Segunda</w:t>
      </w:r>
    </w:p>
    <w:p w14:paraId="519456FE" w14:textId="77777777" w:rsidR="00A8138F" w:rsidRDefault="00A8138F" w:rsidP="00A8138F">
      <w:pPr>
        <w:pStyle w:val="TtuloBOE"/>
      </w:pPr>
      <w:r>
        <w:t>(BOE núm. 146, de 18 de junio de 2025)</w:t>
      </w:r>
    </w:p>
    <w:p w14:paraId="1E9CEDCF" w14:textId="77777777" w:rsidR="00A8138F" w:rsidRDefault="00A8138F" w:rsidP="00A8138F">
      <w:pPr>
        <w:pStyle w:val="TextoNormalCentrado"/>
      </w:pPr>
      <w:r>
        <w:t>ECLI:ES:TC:2025:115</w:t>
      </w:r>
    </w:p>
    <w:p w14:paraId="473BC6F5" w14:textId="5B4C7121" w:rsidR="00A8138F" w:rsidRDefault="00A8138F" w:rsidP="00A8138F">
      <w:pPr>
        <w:pStyle w:val="TextoNormalCentrado"/>
      </w:pPr>
    </w:p>
    <w:p w14:paraId="3ADC8544" w14:textId="77777777" w:rsidR="00A8138F" w:rsidRDefault="00A8138F" w:rsidP="00A8138F">
      <w:pPr>
        <w:pStyle w:val="SntesisDescriptiva"/>
      </w:pPr>
      <w:r>
        <w:t>Recurso de amparo 7680-2024. Promovido por doña Noelia Costa Franqueira en relación con las resoluciones administrativas y judiciales que desestimaron su petición de revisión y ampliación de la prestación por nacimiento y cuidado de hijo menor, como madre biológica de familia monoparental.</w:t>
      </w:r>
    </w:p>
    <w:p w14:paraId="5E0A2F18" w14:textId="4E26A032" w:rsidR="00A8138F" w:rsidRDefault="00A8138F" w:rsidP="00A8138F">
      <w:pPr>
        <w:pStyle w:val="SntesisDescriptiva"/>
      </w:pPr>
    </w:p>
    <w:p w14:paraId="4664E3E1"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06F96D4" w14:textId="4AB96BAF" w:rsidR="00A8138F" w:rsidRDefault="00A8138F" w:rsidP="00A8138F">
      <w:pPr>
        <w:pStyle w:val="SntesisAnaltica"/>
      </w:pPr>
    </w:p>
    <w:p w14:paraId="22A3A7CE" w14:textId="7B694507"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1ABE5B81" w14:textId="77777777" w:rsidR="00A8138F" w:rsidRDefault="00A8138F" w:rsidP="00A8138F">
      <w:pPr>
        <w:pStyle w:val="Extracto"/>
      </w:pPr>
    </w:p>
    <w:p w14:paraId="23E79DE9" w14:textId="77777777" w:rsidR="00A8138F" w:rsidRDefault="00A8138F" w:rsidP="00A8138F">
      <w:pPr>
        <w:pStyle w:val="Extracto"/>
      </w:pPr>
    </w:p>
    <w:p w14:paraId="13D7B6A2"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1752C56" w14:textId="203B0912" w:rsidR="00A8138F" w:rsidRDefault="00A8138F" w:rsidP="00A8138F">
      <w:pPr>
        <w:pStyle w:val="TextoNormal"/>
      </w:pPr>
    </w:p>
    <w:p w14:paraId="657A5393" w14:textId="77777777" w:rsidR="00A8138F" w:rsidRDefault="00A8138F" w:rsidP="00A8138F">
      <w:pPr>
        <w:pStyle w:val="TextoNormalCentrado"/>
        <w:keepNext/>
      </w:pPr>
      <w:r>
        <w:t>EN NOMBRE DEL REY</w:t>
      </w:r>
    </w:p>
    <w:p w14:paraId="5F17EF28" w14:textId="343EBA35" w:rsidR="00A8138F" w:rsidRDefault="00A8138F" w:rsidP="00A8138F">
      <w:pPr>
        <w:pStyle w:val="TextoNormalCentrado"/>
        <w:keepNext/>
      </w:pPr>
    </w:p>
    <w:p w14:paraId="119BD49B" w14:textId="77777777" w:rsidR="00A8138F" w:rsidRDefault="00A8138F" w:rsidP="00A8138F">
      <w:pPr>
        <w:pStyle w:val="TextoNormalCentrado"/>
        <w:keepNext/>
      </w:pPr>
    </w:p>
    <w:p w14:paraId="2DCD9045" w14:textId="77777777" w:rsidR="00A8138F" w:rsidRDefault="00A8138F" w:rsidP="00A8138F">
      <w:pPr>
        <w:pStyle w:val="TextoNormal"/>
      </w:pPr>
      <w:r>
        <w:t>la siguiente</w:t>
      </w:r>
    </w:p>
    <w:p w14:paraId="6E964BF9" w14:textId="16ED6F25" w:rsidR="00A8138F" w:rsidRDefault="00A8138F" w:rsidP="00A8138F">
      <w:pPr>
        <w:pStyle w:val="TextoNormal"/>
      </w:pPr>
    </w:p>
    <w:p w14:paraId="2AC3B4CC" w14:textId="77777777" w:rsidR="00A8138F" w:rsidRDefault="00A8138F" w:rsidP="00A8138F">
      <w:pPr>
        <w:pStyle w:val="TextoNormalCentrado"/>
        <w:keepNext/>
      </w:pPr>
      <w:r>
        <w:t>SENTENCIA</w:t>
      </w:r>
    </w:p>
    <w:p w14:paraId="63EB7A6F" w14:textId="5BC4DF9F" w:rsidR="00A8138F" w:rsidRDefault="00A8138F" w:rsidP="00A8138F">
      <w:pPr>
        <w:pStyle w:val="TextoNormalCentrado"/>
        <w:keepNext/>
      </w:pPr>
    </w:p>
    <w:p w14:paraId="4FFB09F4" w14:textId="77777777" w:rsidR="00A8138F" w:rsidRDefault="00A8138F" w:rsidP="00A8138F">
      <w:pPr>
        <w:pStyle w:val="TextoNormal"/>
      </w:pPr>
      <w:r>
        <w:t>En el recurso de amparo núm. 7680-2024, promovido por doña Noelia Costa Franqueira contra la desestimación presunta por parte del Instituto Nacional de la Seguridad Social de la petición de revisión y ampliación de la prestación por nacimiento y cuidado de menor, como madre biológica de familia monoparental, y la resolución de 7 de marzo de 2022 dictada por el Instituto Nacional de la Seguridad Social; y contra la sentencia de 12 de septiembre de 2024 de la Sala de lo Social del Tribunal Supremo, dictada en el recurso de casación para la unificación de doctrina núm. 1637-2023. Han intervenido el letrado de la administración de la Seguridad Social y el Ministerio Fiscal. Ha sido ponente el magistrado don Enrique Arnaldo Alcubilla.</w:t>
      </w:r>
    </w:p>
    <w:p w14:paraId="09948F17" w14:textId="21EB03BC" w:rsidR="00A8138F" w:rsidRDefault="00A8138F" w:rsidP="00A8138F">
      <w:pPr>
        <w:pStyle w:val="TextoNormal"/>
      </w:pPr>
    </w:p>
    <w:p w14:paraId="78C07952" w14:textId="77777777" w:rsidR="00A8138F" w:rsidRDefault="00A8138F" w:rsidP="00A8138F">
      <w:pPr>
        <w:pStyle w:val="TextoNormalNegritaCentrado"/>
        <w:keepNext/>
      </w:pPr>
      <w:r>
        <w:t>I. Antecedentes</w:t>
      </w:r>
    </w:p>
    <w:p w14:paraId="521BAEAE" w14:textId="0B092441" w:rsidR="00A8138F" w:rsidRDefault="00A8138F" w:rsidP="00A8138F">
      <w:pPr>
        <w:pStyle w:val="TextoNormalNegritaCentrado"/>
        <w:keepNext/>
      </w:pPr>
    </w:p>
    <w:p w14:paraId="5F0F8C6F" w14:textId="669CB69C" w:rsidR="00A8138F" w:rsidRDefault="00A8138F" w:rsidP="00A8138F">
      <w:pPr>
        <w:pStyle w:val="TextoNormal"/>
      </w:pPr>
      <w:r w:rsidRPr="00A8138F">
        <w:rPr>
          <w:rStyle w:val="NumeroAFNegritaCaracter"/>
        </w:rPr>
        <w:t>1</w:t>
      </w:r>
      <w:r>
        <w:t>. Mediante escrito registrado en este tribunal el día 14 de octubre de 2024, la procuradora de los tribunales doña Alicia Suau Casado, en nombre y representación de doña Noelia Costa Franqueira, asistida de la abogada doña Aida Casanova Pérez, interpuso recurso de amparo contra las resoluciones a las que se ha hecho referencia en el encabezamiento.</w:t>
      </w:r>
    </w:p>
    <w:p w14:paraId="678791A7" w14:textId="77777777" w:rsidR="00A8138F" w:rsidRDefault="00A8138F" w:rsidP="00A8138F">
      <w:pPr>
        <w:pStyle w:val="TextoNormal"/>
      </w:pPr>
    </w:p>
    <w:p w14:paraId="072DD9C3" w14:textId="77777777" w:rsidR="00A8138F" w:rsidRDefault="00A8138F" w:rsidP="00A8138F">
      <w:pPr>
        <w:pStyle w:val="TextoNormal"/>
      </w:pPr>
      <w:r w:rsidRPr="00A8138F">
        <w:rPr>
          <w:rStyle w:val="NumeroAFNegritaCaracter"/>
        </w:rPr>
        <w:t>2</w:t>
      </w:r>
      <w:r>
        <w:t>. Son hechos relevantes que sirven de sustento a la demanda de amparo, según se desprende de esta, de la documentación que la acompaña y de las actuaciones recibidas, los que a continuación se exponen.</w:t>
      </w:r>
    </w:p>
    <w:p w14:paraId="14B59BEE" w14:textId="77777777" w:rsidR="00A8138F" w:rsidRDefault="00A8138F" w:rsidP="00A8138F">
      <w:pPr>
        <w:pStyle w:val="TextoNormal"/>
      </w:pPr>
    </w:p>
    <w:p w14:paraId="0113B1E6" w14:textId="77777777" w:rsidR="00A8138F" w:rsidRDefault="00A8138F" w:rsidP="00A8138F">
      <w:pPr>
        <w:pStyle w:val="TextoNormal"/>
      </w:pPr>
      <w:r>
        <w:t>a) Doña Noelia Costa Franqueira es madre biológica de una niña, nacida el día 22 de diciembre de 2021, con quien forma una familia monoparental. Por resolución de 21 de enero de 2022 del Instituto Nacional de la Seguridad Social (INSS) se le reconoció el derecho a la prestación por nacimiento y cuidado de menor durante dieciséis semanas. Doña Noelia Costa Franqueira solicitó la revisión de la prestación, reclamando su ampliación en dieciséis semanas más, es decir, añadiendo al período ya reconocido uno idéntico al que le hubiera correspondido al segundo progenitor en el supuesto de una familia biparental. La solicitud de revisión y ampliación de la prestación no fue resuelta, lo que dio lugar a que formulase reclamación administrativa previa, que fue desestimada por el INSS mediante resolución de 7 de marzo de 2022.</w:t>
      </w:r>
    </w:p>
    <w:p w14:paraId="6CAA1D18" w14:textId="77777777" w:rsidR="00A8138F" w:rsidRDefault="00A8138F" w:rsidP="00A8138F">
      <w:pPr>
        <w:pStyle w:val="TextoNormal"/>
      </w:pPr>
    </w:p>
    <w:p w14:paraId="4B62920D" w14:textId="77777777" w:rsidR="00A8138F" w:rsidRDefault="00A8138F" w:rsidP="00A8138F">
      <w:pPr>
        <w:pStyle w:val="TextoNormal"/>
      </w:pPr>
      <w:r>
        <w:t>b) Agotada así la vía administrativa, doña Noelia Costa Franqueira formuló demanda contra el INSS ante la jurisdicción social, interesando el reconocimiento de su derecho a disfrutar de dieciséis semanas adicionales de prestación por nacimiento y cuidado de menor, o subsidiariamente de diez semanas adicionales. La demanda fue estimada en parte por sentencia 359/2022, de 4 de julio, dictada por el Juzgado de lo Social núm. 5 de A Coruña (autos núm. 256-2022), declarando el derecho de la demandante a acumular ocho semanas adicionales de prestación.</w:t>
      </w:r>
    </w:p>
    <w:p w14:paraId="074694FC" w14:textId="77777777" w:rsidR="00A8138F" w:rsidRDefault="00A8138F" w:rsidP="00A8138F">
      <w:pPr>
        <w:pStyle w:val="TextoNormal"/>
      </w:pPr>
    </w:p>
    <w:p w14:paraId="70120110" w14:textId="77777777" w:rsidR="00A8138F" w:rsidRDefault="00A8138F" w:rsidP="00A8138F">
      <w:pPr>
        <w:pStyle w:val="TextoNormal"/>
      </w:pPr>
      <w:r>
        <w:t>c) Tanto la demandante como el INSS interpusieron contra dicha sentencia recurso de suplicación. Por sentencia de 22 de febrero de 2023, dictada por la Sala de lo Social del Tribunal Superior de Justicia de Galicia (recurso de suplicación núm. 6243-2022), fue desestimado el recurso del INSS y estimado el de la demandante, declarando su derecho a disfrutar de diez semanas adicionales de prestación por nacimiento y cuidado de menor.</w:t>
      </w:r>
    </w:p>
    <w:p w14:paraId="3CD50E60" w14:textId="77777777" w:rsidR="00A8138F" w:rsidRDefault="00A8138F" w:rsidP="00A8138F">
      <w:pPr>
        <w:pStyle w:val="TextoNormal"/>
      </w:pPr>
    </w:p>
    <w:p w14:paraId="29C2564F" w14:textId="54794A6E" w:rsidR="00A8138F" w:rsidRDefault="00A8138F" w:rsidP="00A8138F">
      <w:pPr>
        <w:pStyle w:val="TextoNormal"/>
      </w:pPr>
      <w:r>
        <w:t>d) Contra la sentencia de suplicación, el INSS interpuso recurso de casación para la unificación de doctrina (núm. 1637-2023), que fue estimado mediante sentencia 1109/2024, de 12 de septiembre, dictada por la Sala de lo Social del Tribunal Supremo, que casa y anula la sentencia recurrida y revoca la dictada por el Juzgado de lo Social núm. 5 de A Coruña, desestimando la demanda de doña Noelia Costa Franqueira.</w:t>
      </w:r>
    </w:p>
    <w:p w14:paraId="67E09C04" w14:textId="77777777" w:rsidR="00A8138F" w:rsidRDefault="00A8138F" w:rsidP="00A8138F">
      <w:pPr>
        <w:pStyle w:val="TextoNormal"/>
      </w:pPr>
    </w:p>
    <w:p w14:paraId="5677BC62" w14:textId="77777777" w:rsidR="00A8138F" w:rsidRDefault="00A8138F" w:rsidP="00A8138F">
      <w:pPr>
        <w:pStyle w:val="TextoNormal"/>
      </w:pPr>
      <w:r w:rsidRPr="00A8138F">
        <w:rPr>
          <w:rStyle w:val="NumeroAFNegritaCaracter"/>
        </w:rPr>
        <w:t>3</w:t>
      </w:r>
      <w:r>
        <w:t>. La demanda de amparo se interpone contra las resoluciones administrativas y contra la sentencia dictada por la Sala de lo Social del Tribunal Supremo, por entender que han incurrido en vulneración del derecho garantizado en el art. 14 CE, por tres motivos.</w:t>
      </w:r>
    </w:p>
    <w:p w14:paraId="17B64810" w14:textId="77777777" w:rsidR="00A8138F" w:rsidRDefault="00A8138F" w:rsidP="00A8138F">
      <w:pPr>
        <w:pStyle w:val="TextoNormal"/>
      </w:pPr>
    </w:p>
    <w:p w14:paraId="52DBCDDF" w14:textId="77777777" w:rsidR="00A8138F" w:rsidRDefault="00A8138F" w:rsidP="00A8138F">
      <w:pPr>
        <w:pStyle w:val="TextoNormal"/>
      </w:pPr>
      <w:r>
        <w:t>En primer lugar, se afirma que las resoluciones impugnadas incurren en discriminación de la menor por razón de nacimiento, puesto que su interpretación de la normativa aplicable implica dispensar un trato perjudicial al hijo nacido en una familia monoparental, al contar este con menor número de semanas de prestación y cuidados que el nacido en una familia biparental.</w:t>
      </w:r>
    </w:p>
    <w:p w14:paraId="20C1E8B7" w14:textId="77777777" w:rsidR="00A8138F" w:rsidRDefault="00A8138F" w:rsidP="00A8138F">
      <w:pPr>
        <w:pStyle w:val="TextoNormal"/>
      </w:pPr>
    </w:p>
    <w:p w14:paraId="1E2B0FE3" w14:textId="77777777" w:rsidR="00A8138F" w:rsidRDefault="00A8138F" w:rsidP="00A8138F">
      <w:pPr>
        <w:pStyle w:val="TextoNormal"/>
      </w:pPr>
      <w:r>
        <w:t>En segundo lugar, se afirma que las resoluciones impugnadas incurren en discriminación directa por razón de circunstancias personales y familiares, pues el trato perjudicial para la recurrente resulta de su decisión de formar una familia monoparental, es decir, de su condición familiar, que surge de una decisión tomada en el ejercicio del libre desarrollo de la personalidad (art. 10.1 CE), que se vincula con las convicciones más íntimas de la persona (art. 16 CE).</w:t>
      </w:r>
    </w:p>
    <w:p w14:paraId="15D629FC" w14:textId="77777777" w:rsidR="00A8138F" w:rsidRDefault="00A8138F" w:rsidP="00A8138F">
      <w:pPr>
        <w:pStyle w:val="TextoNormal"/>
      </w:pPr>
    </w:p>
    <w:p w14:paraId="39561B16" w14:textId="3AB744E6" w:rsidR="00A8138F" w:rsidRDefault="00A8138F" w:rsidP="00A8138F">
      <w:pPr>
        <w:pStyle w:val="TextoNormal"/>
      </w:pPr>
      <w:r>
        <w:t>En tercer lugar, se afirma que las resoluciones impugnadas llevan a cabo una interpretación restrictiva de la normativa aplicable que provoca una discriminación indirecta por razón de sexo, puesto que siendo una mujer el progenitor único en la mayoría de las familias monoparentales, la mujer que decide formar una familia monoparental resulta perjudicada en comparación con las familias biparentales en cuanto a la duración de la prestación por nacimiento y cuidado de un menor.</w:t>
      </w:r>
    </w:p>
    <w:p w14:paraId="2200C12C" w14:textId="77777777" w:rsidR="00A8138F" w:rsidRDefault="00A8138F" w:rsidP="00A8138F">
      <w:pPr>
        <w:pStyle w:val="TextoNormal"/>
      </w:pPr>
    </w:p>
    <w:p w14:paraId="0ED2E2FB" w14:textId="6C6E6269" w:rsidR="00A8138F" w:rsidRDefault="00A8138F" w:rsidP="00A8138F">
      <w:pPr>
        <w:pStyle w:val="TextoNormal"/>
      </w:pPr>
      <w:r w:rsidRPr="00A8138F">
        <w:rPr>
          <w:rStyle w:val="NumeroAFNegritaCaracter"/>
        </w:rPr>
        <w:t>4</w:t>
      </w:r>
      <w:r>
        <w:t>. Mediante providencia de 13 de enero de 2025, la Sección Cuarta del Tribunal Constitucional acordó admitir a trámite el presente recurso de amparo, apreciando que concurre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de 25 de junio, FJ 2 c)]. Asimismo, se acordó recabar del Juzgado de lo Social núm. 5 de A Coruña, de la Sala de lo Social del Tribunal Superior de Justicia de Galicia y de Sala de lo Social del Tribunal Supremo la remisión de los testimonios de las actuaciones respectivas (autos núm. 256-2022, recurso de suplicación núm. 6243-2022 y recurso de casación para la unificación de doctrina núm. 1637-2023), y se requirió al juzgado para que procediera a emplazar a quienes fueron parte en el procedimiento, para que, en el plazo de diez días, si lo desearan, pudieran comparecer en este proceso constitucional.</w:t>
      </w:r>
    </w:p>
    <w:p w14:paraId="726FA004" w14:textId="77777777" w:rsidR="00A8138F" w:rsidRDefault="00A8138F" w:rsidP="00A8138F">
      <w:pPr>
        <w:pStyle w:val="TextoNormal"/>
      </w:pPr>
    </w:p>
    <w:p w14:paraId="1283828B" w14:textId="50E1650D" w:rsidR="00A8138F" w:rsidRDefault="00A8138F" w:rsidP="00A8138F">
      <w:pPr>
        <w:pStyle w:val="TextoNormal"/>
      </w:pPr>
      <w:r w:rsidRPr="00A8138F">
        <w:rPr>
          <w:rStyle w:val="NumeroAFNegritaCaracter"/>
        </w:rPr>
        <w:t>5</w:t>
      </w:r>
      <w:r>
        <w:t>. Solicitada por el letrado de la administración de la Seguridad Social su personación en nombre del INSS y de la Tesorería General de la Seguridad Social (TGSS), mediante diligencia de ordenación del secretario de justicia de la Sala Segunda de este tribunal de 18 de febrero de 2025 se acordó tenerle por personado y parte y dar vista de las actuaciones recibidas a las partes personadas y al Ministerio Fiscal, por plazo común de veinte días, a fin de presentar las alegaciones que estimasen pertinentes, conforme determina el art. 52.1 LOTC.</w:t>
      </w:r>
    </w:p>
    <w:p w14:paraId="675937B4" w14:textId="77777777" w:rsidR="00A8138F" w:rsidRDefault="00A8138F" w:rsidP="00A8138F">
      <w:pPr>
        <w:pStyle w:val="TextoNormal"/>
      </w:pPr>
    </w:p>
    <w:p w14:paraId="714C53A6" w14:textId="69587014" w:rsidR="00A8138F" w:rsidRDefault="00A8138F" w:rsidP="00A8138F">
      <w:pPr>
        <w:pStyle w:val="TextoNormal"/>
      </w:pPr>
      <w:r w:rsidRPr="00A8138F">
        <w:rPr>
          <w:rStyle w:val="NumeroAFNegritaCaracter"/>
        </w:rPr>
        <w:t>6</w:t>
      </w:r>
      <w:r>
        <w:t>. El 19 de febrero de 2025, el letrado de la administración de la Seguridad Social presentó sus alegaciones, señalando que, a la vista de lo resuelto en la STC 140/2024, de 6 de noviembre, dictada en la cuestión de inconstitucionalidad núm. 6694-2023, y seguida de posteriores sentencias dictadas en recursos de amparo, la dirección del servicio jurídico de la administración de la Seguridad Social dictó la instrucción 10/2024, de 23 de diciembre, de la que se acompaña copia, en la que se autoriza a los letrados de la administración de la Seguridad Social para allanarse en los recursos de amparo pendientes ante el Tribunal Constitucional que resulten afectados por lo establecido en el fundamento jurídico séptimo de la STC 140/2024. En consecuencia, solicita a este tribunal que tenga por realizado el allanamiento a la demanda en el presente recurso de amparo.</w:t>
      </w:r>
    </w:p>
    <w:p w14:paraId="5E9B1AC7" w14:textId="77777777" w:rsidR="00A8138F" w:rsidRDefault="00A8138F" w:rsidP="00A8138F">
      <w:pPr>
        <w:pStyle w:val="TextoNormal"/>
      </w:pPr>
    </w:p>
    <w:p w14:paraId="7F223AD6" w14:textId="092C3CA1" w:rsidR="00A8138F" w:rsidRDefault="00A8138F" w:rsidP="00A8138F">
      <w:pPr>
        <w:pStyle w:val="TextoNormal"/>
      </w:pPr>
      <w:r w:rsidRPr="00A8138F">
        <w:rPr>
          <w:rStyle w:val="NumeroAFNegritaCaracter"/>
        </w:rPr>
        <w:t>7</w:t>
      </w:r>
      <w:r>
        <w:t>. El 10 de marzo de 2025, la representación procesal de la demandante presentó su escrito de alegaciones, poniendo de manifiesto que debe proyectarse al presente asunto lo resuelto en la STC 140/2024, lo que ha de conducir al otorgamiento del amparo solicitado.</w:t>
      </w:r>
    </w:p>
    <w:p w14:paraId="0E0E425D" w14:textId="77777777" w:rsidR="00A8138F" w:rsidRDefault="00A8138F" w:rsidP="00A8138F">
      <w:pPr>
        <w:pStyle w:val="TextoNormal"/>
      </w:pPr>
    </w:p>
    <w:p w14:paraId="37603F50" w14:textId="0543D78D" w:rsidR="00A8138F" w:rsidRDefault="00A8138F" w:rsidP="00A8138F">
      <w:pPr>
        <w:pStyle w:val="TextoNormal"/>
      </w:pPr>
      <w:r w:rsidRPr="00A8138F">
        <w:rPr>
          <w:rStyle w:val="NumeroAFNegritaCaracter"/>
        </w:rPr>
        <w:t>8</w:t>
      </w:r>
      <w:r>
        <w:t>. El 2 de abril de 2025, el Ministerio Fiscal interesó la estimación del recurso de amparo, en aplicación de lo resuelto en la STC 140/2024. En cuanto al alcance del otorgamiento de amparo, entiende que debe declararse la nulidad de la sentencia de la Sala de lo Social del Tribunal Supremo y confirmarse la sentencia dictada en suplicación por la Sala de lo Social del Tribunal Superior de Justicia de Galicia, que reconoció el derecho de la demandante a disfrutar de diez semanas adicionales de prestación por nacimiento y cuidado de menor, y por tanto, en los mismos términos que fija la STC 140/2024, FJ 7.</w:t>
      </w:r>
    </w:p>
    <w:p w14:paraId="1B47AA74" w14:textId="77777777" w:rsidR="00A8138F" w:rsidRDefault="00A8138F" w:rsidP="00A8138F">
      <w:pPr>
        <w:pStyle w:val="TextoNormal"/>
      </w:pPr>
    </w:p>
    <w:p w14:paraId="193554B3" w14:textId="2DFF0855" w:rsidR="00A8138F" w:rsidRDefault="00A8138F" w:rsidP="00A8138F">
      <w:pPr>
        <w:pStyle w:val="TextoNormal"/>
      </w:pPr>
      <w:r w:rsidRPr="00A8138F">
        <w:rPr>
          <w:rStyle w:val="NumeroAFNegritaCaracter"/>
        </w:rPr>
        <w:t>9</w:t>
      </w:r>
      <w:r>
        <w:t>. Mediante providencia de 8 de mayo de 2025 se señaló para deliberación y votación de la presente sentencia el día 12 del mismo mes y año.</w:t>
      </w:r>
    </w:p>
    <w:p w14:paraId="1B1A0A55" w14:textId="77777777" w:rsidR="00A8138F" w:rsidRDefault="00A8138F" w:rsidP="00A8138F">
      <w:pPr>
        <w:pStyle w:val="TextoNormal"/>
      </w:pPr>
    </w:p>
    <w:p w14:paraId="31EF1A5D" w14:textId="77777777" w:rsidR="00A8138F" w:rsidRDefault="00A8138F" w:rsidP="00A8138F">
      <w:pPr>
        <w:pStyle w:val="TextoNormalNegritaCentrado"/>
        <w:keepNext/>
      </w:pPr>
      <w:r>
        <w:t>II. Fundamentos jurídicos</w:t>
      </w:r>
    </w:p>
    <w:p w14:paraId="332D6351" w14:textId="6F47D624" w:rsidR="00A8138F" w:rsidRDefault="00A8138F" w:rsidP="00A8138F">
      <w:pPr>
        <w:pStyle w:val="TextoNormalNegritaCentrado"/>
        <w:keepNext/>
      </w:pPr>
    </w:p>
    <w:p w14:paraId="569AA7E5" w14:textId="77777777" w:rsidR="00A8138F" w:rsidRDefault="00A8138F" w:rsidP="00A8138F">
      <w:pPr>
        <w:pStyle w:val="TextoNormal"/>
      </w:pPr>
      <w:r w:rsidRPr="00A8138F">
        <w:rPr>
          <w:rStyle w:val="TextoNormalNegritaCaracter"/>
        </w:rPr>
        <w:t xml:space="preserve">Único. </w:t>
      </w:r>
      <w:r w:rsidRPr="00A8138F">
        <w:rPr>
          <w:i/>
        </w:rPr>
        <w:t>Aplicación de la doctrina sentada en la STC 140/2024</w:t>
      </w:r>
    </w:p>
    <w:p w14:paraId="440DE2C4" w14:textId="77777777" w:rsidR="00A8138F" w:rsidRDefault="00A8138F" w:rsidP="00A8138F">
      <w:pPr>
        <w:pStyle w:val="TextoNormal"/>
      </w:pPr>
    </w:p>
    <w:p w14:paraId="13515F26" w14:textId="77777777" w:rsidR="00A8138F" w:rsidRDefault="00A8138F" w:rsidP="00A8138F">
      <w:pPr>
        <w:pStyle w:val="TextoNormal"/>
      </w:pPr>
      <w:r>
        <w:t>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hija por razón de nacimiento, como consecuencia de no haber realizado una interpretación integradora de lo previsto en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en la redacción dada a los mismos por el Real Decreto-ley 6/2019, de 1 de marzo, de medidas urgentes para garantía de la igualdad de trato y de oportunidades entre mujeres y hombres en el empleo y la ocupación, en relación al permiso y la correspondiente prestación económica por nacimiento y cuidado de menor previstos.</w:t>
      </w:r>
    </w:p>
    <w:p w14:paraId="4C3AD346" w14:textId="77777777" w:rsidR="00A8138F" w:rsidRDefault="00A8138F" w:rsidP="00A8138F">
      <w:pPr>
        <w:pStyle w:val="TextoNormal"/>
      </w:pPr>
    </w:p>
    <w:p w14:paraId="7DAF4B0B" w14:textId="77777777" w:rsidR="00A8138F" w:rsidRDefault="00A8138F" w:rsidP="00A8138F">
      <w:pPr>
        <w:pStyle w:val="TextoNormal"/>
      </w:pPr>
      <w:r>
        <w:t>La cuestión de fondo planteada en este recurso de amparo es coincidente con la resuelta por el Pleno del Tribunal en la STC 140/2024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2AAF7FD4" w14:textId="77777777" w:rsidR="00A8138F" w:rsidRDefault="00A8138F" w:rsidP="00A8138F">
      <w:pPr>
        <w:pStyle w:val="TextoNormal"/>
      </w:pPr>
    </w:p>
    <w:p w14:paraId="1C061BFB" w14:textId="77777777" w:rsidR="00A8138F" w:rsidRDefault="00A8138F" w:rsidP="00A8138F">
      <w:pPr>
        <w:pStyle w:val="TextoNormal"/>
      </w:pPr>
      <w:r>
        <w:t>La citada STC 140/2024, estimando la cuestión planteada, declaró la inconstitucionalidad, sin nulidad, de los arts. 48.4 LET y 177 LGSS, en la redacción dada por el Real-Decreto-ley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1CC7FF67" w14:textId="77777777" w:rsidR="00A8138F" w:rsidRDefault="00A8138F" w:rsidP="00A8138F">
      <w:pPr>
        <w:pStyle w:val="TextoNormal"/>
      </w:pPr>
    </w:p>
    <w:p w14:paraId="2E56BA19" w14:textId="77777777" w:rsidR="00A8138F" w:rsidRDefault="00A8138F" w:rsidP="00A8138F">
      <w:pPr>
        <w:pStyle w:val="TextoNormal"/>
      </w:pPr>
      <w: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16D26A2B" w14:textId="77777777" w:rsidR="00A8138F" w:rsidRDefault="00A8138F" w:rsidP="00A8138F">
      <w:pPr>
        <w:pStyle w:val="TextoNormal"/>
      </w:pPr>
    </w:p>
    <w:p w14:paraId="53FDF791" w14:textId="6E65A43F" w:rsidR="00A8138F" w:rsidRDefault="00A8138F" w:rsidP="00A8138F">
      <w:pPr>
        <w:pStyle w:val="TextoNormal"/>
      </w:pPr>
      <w:r>
        <w:t>La aplicación de esta doctrina al presente caso conduce al otorgamiento del amparo solicitado, bastando para restablecer a la demandante en la integridad de su derecho con anular la sentencia de 12 de septiembre de 2024 de la Sala de lo Social del Tribunal Supremo, dictada en el recurso de casación para la unificación de doctrina núm. 1637-2023, y declarar firme la sentencia de 22 de febrero de 2023 de la Sala de lo Social del Tribunal Superior de Justicia de A Coruña, dictada en el recurso de suplicación núm. 6243-2022, que reconoció a la demandante, en los términos que concretamos en la referida STC 140/2024, FJ 7, el derecho a disfrutar de diez semanas adicionales de prestación por nacimiento y cuidado de menor.</w:t>
      </w:r>
    </w:p>
    <w:p w14:paraId="5A665A88" w14:textId="77777777" w:rsidR="00A8138F" w:rsidRDefault="00A8138F" w:rsidP="00A8138F">
      <w:pPr>
        <w:pStyle w:val="TextoNormal"/>
      </w:pPr>
    </w:p>
    <w:p w14:paraId="57D86C98" w14:textId="77777777" w:rsidR="00A8138F" w:rsidRDefault="00A8138F" w:rsidP="00A8138F">
      <w:pPr>
        <w:pStyle w:val="TextoNormalCentrado"/>
        <w:keepNext/>
      </w:pPr>
      <w:r>
        <w:t>FALLO</w:t>
      </w:r>
    </w:p>
    <w:p w14:paraId="19A48E6D" w14:textId="58F8B22E" w:rsidR="00A8138F" w:rsidRDefault="00A8138F" w:rsidP="00A8138F">
      <w:pPr>
        <w:pStyle w:val="TextoNormalCentrado"/>
        <w:keepNext/>
      </w:pPr>
    </w:p>
    <w:p w14:paraId="3889565B"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doña Noelia Costa Franqueira y, en su virtud:</w:t>
      </w:r>
    </w:p>
    <w:p w14:paraId="54F8F62F" w14:textId="77777777" w:rsidR="00A8138F" w:rsidRDefault="00A8138F" w:rsidP="00A8138F">
      <w:pPr>
        <w:pStyle w:val="TextoNormal"/>
      </w:pPr>
    </w:p>
    <w:p w14:paraId="31C23DF0" w14:textId="77777777" w:rsidR="00A8138F" w:rsidRDefault="00A8138F" w:rsidP="00A8138F">
      <w:pPr>
        <w:pStyle w:val="TextoNormal"/>
      </w:pPr>
      <w:r>
        <w:t>1º Declarar vulnerado su derecho fundamental a la igualdad ante la ley, sin que pueda prevalecer discriminación alguna (art. 14 CE).</w:t>
      </w:r>
    </w:p>
    <w:p w14:paraId="35A2B87E" w14:textId="77777777" w:rsidR="00A8138F" w:rsidRDefault="00A8138F" w:rsidP="00A8138F">
      <w:pPr>
        <w:pStyle w:val="TextoNormal"/>
      </w:pPr>
    </w:p>
    <w:p w14:paraId="601FD2BC" w14:textId="471167CC" w:rsidR="00A8138F" w:rsidRDefault="00A8138F" w:rsidP="00A8138F">
      <w:pPr>
        <w:pStyle w:val="TextoNormal"/>
      </w:pPr>
      <w:r>
        <w:t>2º Restablecerla en su derecho y, en consecuencia, declarar la nulidad de la sentencia de 12 de septiembre de 2024 de la Sala de lo Social del Tribunal Supremo, dictada en el recurso de casación para la unificación de doctrina núm. 1637-2023, y la firmeza de la sentencia de 22 de febrero de 2023 de la Sala de lo Social del Tribunal Superior de Justicia de Galicia, dictada en el recurso de suplicación núm. 6243-2022.</w:t>
      </w:r>
    </w:p>
    <w:p w14:paraId="6AA2190B" w14:textId="77777777" w:rsidR="00A8138F" w:rsidRDefault="00A8138F" w:rsidP="00A8138F">
      <w:pPr>
        <w:pStyle w:val="TextoNormal"/>
      </w:pPr>
    </w:p>
    <w:p w14:paraId="4A9F38BF" w14:textId="77777777" w:rsidR="00A8138F" w:rsidRDefault="00A8138F" w:rsidP="00A8138F">
      <w:pPr>
        <w:pStyle w:val="TextoNormal"/>
      </w:pPr>
      <w:r>
        <w:t>Publíquese esta sentencia en el “Boletín Oficial del Estado”.</w:t>
      </w:r>
    </w:p>
    <w:p w14:paraId="0F79CD16" w14:textId="77777777" w:rsidR="00A8138F" w:rsidRDefault="00A8138F" w:rsidP="00A8138F">
      <w:pPr>
        <w:pStyle w:val="TextoNormal"/>
      </w:pPr>
      <w:r>
        <w:t>Dada en Madrid, a doce de mayo de dos mil veinticinco.</w:t>
      </w:r>
    </w:p>
    <w:p w14:paraId="56E89813" w14:textId="341EEBF1" w:rsidR="00A8138F" w:rsidRDefault="00A8138F">
      <w:pPr>
        <w:spacing w:after="160" w:line="278" w:lineRule="auto"/>
        <w:rPr>
          <w:rFonts w:ascii="Times New Roman" w:eastAsia="Times New Roman" w:hAnsi="Times New Roman" w:cs="Times New Roman"/>
          <w:sz w:val="24"/>
          <w:szCs w:val="24"/>
          <w:lang w:eastAsia="es-ES"/>
        </w:rPr>
      </w:pPr>
      <w:r>
        <w:br w:type="page"/>
      </w:r>
    </w:p>
    <w:p w14:paraId="198B448F" w14:textId="77777777" w:rsidR="00A8138F" w:rsidRDefault="00A8138F" w:rsidP="00A8138F">
      <w:pPr>
        <w:pStyle w:val="TtuloResolucin"/>
      </w:pPr>
      <w:bookmarkStart w:id="118" w:name="SENTENCIA_2025_116"/>
      <w:r>
        <w:t>SENTENCIA 116/2025, de 12 de mayo de 2025</w:t>
      </w:r>
    </w:p>
    <w:bookmarkEnd w:id="118"/>
    <w:p w14:paraId="28E4DFC3" w14:textId="77777777" w:rsidR="00A8138F" w:rsidRDefault="00A8138F" w:rsidP="00A8138F">
      <w:pPr>
        <w:pStyle w:val="TtuloResolucin"/>
      </w:pPr>
      <w:r>
        <w:t>Sala Segunda</w:t>
      </w:r>
    </w:p>
    <w:p w14:paraId="1EADCFA2" w14:textId="77777777" w:rsidR="00A8138F" w:rsidRDefault="00A8138F" w:rsidP="00A8138F">
      <w:pPr>
        <w:pStyle w:val="TtuloBOE"/>
      </w:pPr>
      <w:r>
        <w:t>(BOE núm. 146, de 18 de junio de 2025)</w:t>
      </w:r>
    </w:p>
    <w:p w14:paraId="76992791" w14:textId="77777777" w:rsidR="00A8138F" w:rsidRDefault="00A8138F" w:rsidP="00A8138F">
      <w:pPr>
        <w:pStyle w:val="TextoNormalCentrado"/>
      </w:pPr>
      <w:r>
        <w:t>ECLI:ES:TC:2025:116</w:t>
      </w:r>
    </w:p>
    <w:p w14:paraId="4E72FB3D" w14:textId="2C1D2ECD" w:rsidR="00A8138F" w:rsidRDefault="00A8138F" w:rsidP="00A8138F">
      <w:pPr>
        <w:pStyle w:val="TextoNormalCentrado"/>
      </w:pPr>
    </w:p>
    <w:p w14:paraId="071B96B9" w14:textId="77777777" w:rsidR="00A8138F" w:rsidRDefault="00A8138F" w:rsidP="00A8138F">
      <w:pPr>
        <w:pStyle w:val="SntesisDescriptiva"/>
      </w:pPr>
      <w:r>
        <w:t>Recurso de amparo 7684-2024. Promovido por doña Ester Cerezo Roselló en relación con las resoluciones administrativas y judiciales que desestimaron su petición de revisión y ampliación de la prestación por nacimiento y cuidado de hijo menor, como madre biológica de familia monoparental.</w:t>
      </w:r>
    </w:p>
    <w:p w14:paraId="6F4A2D85" w14:textId="0C9D3C36" w:rsidR="00A8138F" w:rsidRDefault="00A8138F" w:rsidP="00A8138F">
      <w:pPr>
        <w:pStyle w:val="SntesisDescriptiva"/>
      </w:pPr>
    </w:p>
    <w:p w14:paraId="5F8599C2"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15811C73" w14:textId="005888D2" w:rsidR="00A8138F" w:rsidRDefault="00A8138F" w:rsidP="00A8138F">
      <w:pPr>
        <w:pStyle w:val="SntesisAnaltica"/>
      </w:pPr>
    </w:p>
    <w:p w14:paraId="5C68863D" w14:textId="30F2C0E8"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7017005E" w14:textId="77777777" w:rsidR="00A8138F" w:rsidRDefault="00A8138F" w:rsidP="00A8138F">
      <w:pPr>
        <w:pStyle w:val="Extracto"/>
      </w:pPr>
    </w:p>
    <w:p w14:paraId="72F172B8" w14:textId="77777777" w:rsidR="00A8138F" w:rsidRDefault="00A8138F" w:rsidP="00A8138F">
      <w:pPr>
        <w:pStyle w:val="Extracto"/>
      </w:pPr>
    </w:p>
    <w:p w14:paraId="72470CA0"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D29A962" w14:textId="34350D2B" w:rsidR="00A8138F" w:rsidRDefault="00A8138F" w:rsidP="00A8138F">
      <w:pPr>
        <w:pStyle w:val="TextoNormal"/>
      </w:pPr>
    </w:p>
    <w:p w14:paraId="5026FFF9" w14:textId="77777777" w:rsidR="00A8138F" w:rsidRDefault="00A8138F" w:rsidP="00A8138F">
      <w:pPr>
        <w:pStyle w:val="TextoNormalCentrado"/>
        <w:keepNext/>
      </w:pPr>
      <w:r>
        <w:t>EN NOMBRE DEL REY</w:t>
      </w:r>
    </w:p>
    <w:p w14:paraId="199C8A26" w14:textId="256C8B41" w:rsidR="00A8138F" w:rsidRDefault="00A8138F" w:rsidP="00A8138F">
      <w:pPr>
        <w:pStyle w:val="TextoNormalCentrado"/>
        <w:keepNext/>
      </w:pPr>
    </w:p>
    <w:p w14:paraId="6A20BAC0" w14:textId="77777777" w:rsidR="00A8138F" w:rsidRDefault="00A8138F" w:rsidP="00A8138F">
      <w:pPr>
        <w:pStyle w:val="TextoNormalCentrado"/>
        <w:keepNext/>
      </w:pPr>
    </w:p>
    <w:p w14:paraId="00312835" w14:textId="77777777" w:rsidR="00A8138F" w:rsidRDefault="00A8138F" w:rsidP="00A8138F">
      <w:pPr>
        <w:pStyle w:val="TextoNormal"/>
      </w:pPr>
      <w:r>
        <w:t>la siguiente</w:t>
      </w:r>
    </w:p>
    <w:p w14:paraId="5E4647BE" w14:textId="493B3A1C" w:rsidR="00A8138F" w:rsidRDefault="00A8138F" w:rsidP="00A8138F">
      <w:pPr>
        <w:pStyle w:val="TextoNormal"/>
      </w:pPr>
    </w:p>
    <w:p w14:paraId="741EF2AD" w14:textId="77777777" w:rsidR="00A8138F" w:rsidRDefault="00A8138F" w:rsidP="00A8138F">
      <w:pPr>
        <w:pStyle w:val="TextoNormalCentrado"/>
        <w:keepNext/>
      </w:pPr>
      <w:r>
        <w:t>SENTENCIA</w:t>
      </w:r>
    </w:p>
    <w:p w14:paraId="1CFE355F" w14:textId="5F5251F4" w:rsidR="00A8138F" w:rsidRDefault="00A8138F" w:rsidP="00A8138F">
      <w:pPr>
        <w:pStyle w:val="TextoNormalCentrado"/>
        <w:keepNext/>
      </w:pPr>
    </w:p>
    <w:p w14:paraId="4C0543C5" w14:textId="77777777" w:rsidR="00A8138F" w:rsidRDefault="00A8138F" w:rsidP="00A8138F">
      <w:pPr>
        <w:pStyle w:val="TextoNormal"/>
      </w:pPr>
      <w:r>
        <w:t>En el recurso de amparo núm. 7684-2024, promovido por doña Ester Cerezo Roselló, representada por la procuradora de los tribunales doña Alicia Suau Casado y asistida por la letrada doña Aída Casanova Pérez, contra las resoluciones del Instituto Nacional de la Seguridad Social y la Tesorería General de la seguridad Social que rechazaron por silencio administrativo la solicitud de ampliación de la prestación por nacimiento y cuidado del hijo menor, y contra la sentencia núm. 360/2023, de Sala de lo Social del Tribunal Superior de Justicia de las Islas Baleares, Sala Social de Palma de Mallorca, de 26 de junio de 2023 (recurso de suplicación 109-2023), que estimó el recurso del Instituto Nacional de la Seguridad Social contra el reconocimiento de la prestación por el Juzgado de lo Social núm. 3 de Palma de Mallorca, y el auto de la Sala de lo Social del Tribunal Supremo, de 18 de septiembre de 2024 (recurso de casación para la unificación de doctrina núm. 1398-2024), que inadmitió el recurso de casación para unificación de doctrina interpuesto contra las anteriores resoluciones. Han intervenido el letrado de la administración de la Seguridad Social, en nombre del Instituto Nacional de la Seguridad Social y de la Tesorería General de la Seguridad Social, y el Ministerio Fiscal. Ha sido ponente la magistrada doña Laura Díez Bueso.</w:t>
      </w:r>
    </w:p>
    <w:p w14:paraId="5F6C83F3" w14:textId="50078850" w:rsidR="00A8138F" w:rsidRDefault="00A8138F" w:rsidP="00A8138F">
      <w:pPr>
        <w:pStyle w:val="TextoNormal"/>
      </w:pPr>
    </w:p>
    <w:p w14:paraId="45D1D010" w14:textId="77777777" w:rsidR="00A8138F" w:rsidRDefault="00A8138F" w:rsidP="00A8138F">
      <w:pPr>
        <w:pStyle w:val="TextoNormalNegritaCentrado"/>
        <w:keepNext/>
      </w:pPr>
      <w:r>
        <w:t>I. Antecedentes</w:t>
      </w:r>
    </w:p>
    <w:p w14:paraId="742254BC" w14:textId="64199E11" w:rsidR="00A8138F" w:rsidRDefault="00A8138F" w:rsidP="00A8138F">
      <w:pPr>
        <w:pStyle w:val="TextoNormalNegritaCentrado"/>
        <w:keepNext/>
      </w:pPr>
    </w:p>
    <w:p w14:paraId="521EE7E3" w14:textId="1787BCFB" w:rsidR="00A8138F" w:rsidRDefault="00A8138F" w:rsidP="00A8138F">
      <w:pPr>
        <w:pStyle w:val="TextoNormal"/>
      </w:pPr>
      <w:r w:rsidRPr="00A8138F">
        <w:rPr>
          <w:rStyle w:val="NumeroAFNegritaCaracter"/>
        </w:rPr>
        <w:t>1</w:t>
      </w:r>
      <w:r>
        <w:t>. Mediante escrito registrado en este tribunal el 14 de octubre de 2024, la representante procesal de doña Ester Cerezo Roselló, bajo la dirección letrada de doña Aída Casanova Pérez, interpuso recurso de amparo contra las resoluciones administrativa y judiciales a las que se ha hecho referencia en el encabezamiento de esta sentencia.</w:t>
      </w:r>
    </w:p>
    <w:p w14:paraId="681BEC05" w14:textId="77777777" w:rsidR="00A8138F" w:rsidRDefault="00A8138F" w:rsidP="00A8138F">
      <w:pPr>
        <w:pStyle w:val="TextoNormal"/>
      </w:pPr>
    </w:p>
    <w:p w14:paraId="02A04AD1" w14:textId="77777777" w:rsidR="00A8138F" w:rsidRDefault="00A8138F" w:rsidP="00A8138F">
      <w:pPr>
        <w:pStyle w:val="TextoNormal"/>
      </w:pPr>
      <w:r w:rsidRPr="00A8138F">
        <w:rPr>
          <w:rStyle w:val="NumeroAFNegritaCaracter"/>
        </w:rPr>
        <w:t>2</w:t>
      </w:r>
      <w:r>
        <w:t>. Son hechos relevantes que sirven de sustento a la demanda de amparo, según se desprende de la misma, de la documentación que la acompaña y de las actuaciones recibidas, los que a continuación se exponen:</w:t>
      </w:r>
    </w:p>
    <w:p w14:paraId="1FD58646" w14:textId="77777777" w:rsidR="00A8138F" w:rsidRDefault="00A8138F" w:rsidP="00A8138F">
      <w:pPr>
        <w:pStyle w:val="TextoNormal"/>
      </w:pPr>
    </w:p>
    <w:p w14:paraId="3D8A5E89" w14:textId="77777777" w:rsidR="00A8138F" w:rsidRDefault="00A8138F" w:rsidP="00A8138F">
      <w:pPr>
        <w:pStyle w:val="TextoNormal"/>
      </w:pPr>
      <w:r>
        <w:t>a) La señora Cerezo Roselló es madre biológica de una niña, nacida el 26 de octubre de 2020, siendo su única progenitora registral. Por resolución de 27 de noviembre de 2020 le fue reconocido por el Instituto Nacional de la Seguridad Social (INSS) el derecho a la prestación de nacimiento y cuidado del menor por el período que va desde el 26 de octubre de 2020 al 14 de febrero de 2021 (dieciséis semanas). Posteriormente, el 27 de julio de 2021 la actora solicitó la ampliación de su permiso, añadiendo al período ya reconocido el que consideraba hubiera correspondido al segundo progenitor en el supuesto de una familia biparental (doce semanas).</w:t>
      </w:r>
    </w:p>
    <w:p w14:paraId="07830887" w14:textId="77777777" w:rsidR="00A8138F" w:rsidRDefault="00A8138F" w:rsidP="00A8138F">
      <w:pPr>
        <w:pStyle w:val="TextoNormal"/>
      </w:pPr>
    </w:p>
    <w:p w14:paraId="6732AE2E" w14:textId="77777777" w:rsidR="00A8138F" w:rsidRDefault="00A8138F" w:rsidP="00A8138F">
      <w:pPr>
        <w:pStyle w:val="TextoNormal"/>
      </w:pPr>
      <w:r>
        <w:t>b) A la vista del silencio administrativo que había obtenido su solicitud, la demandante de amparo, con fecha de 12 de septiembre de 2021 presentó reclamación previa administrativa, interesando el reconocimiento de las dieciséis semanas correspondientes al otro progenitor, de conformidad con el art. 48.4 del texto refundido de la Ley del estatuto de los trabajadores (LET), aprobado por el Real Decreto Legislativo 2/2015, de 23 de octubre, reclamación que le fue desestimada por resolución del INSS, mediante resolución de 2 de septiembre de 2021.</w:t>
      </w:r>
    </w:p>
    <w:p w14:paraId="2790DF8B" w14:textId="77777777" w:rsidR="00A8138F" w:rsidRDefault="00A8138F" w:rsidP="00A8138F">
      <w:pPr>
        <w:pStyle w:val="TextoNormal"/>
      </w:pPr>
    </w:p>
    <w:p w14:paraId="71B3C37E" w14:textId="77777777" w:rsidR="00A8138F" w:rsidRDefault="00A8138F" w:rsidP="00A8138F">
      <w:pPr>
        <w:pStyle w:val="TextoNormal"/>
      </w:pPr>
      <w:r>
        <w:t xml:space="preserve">c) La recurrente presentó demanda contra el INSS y la Tesorería General de la seguridad Social (TGSS) por entender que se la estaba discriminando por razón de sexo y a su hijo menor por razón de nacimiento </w:t>
      </w:r>
      <w:r w:rsidRPr="00A8138F">
        <w:rPr>
          <w:i/>
        </w:rPr>
        <w:t>ex</w:t>
      </w:r>
      <w:r>
        <w:t xml:space="preserve"> art. 14 CE en relación con el art. 39 CE, solicitando que se le reconociera el derecho a ampliar su permiso por nacimiento y cuidado de menor por doce semanas adicionales, tiempo que le hubiera correspondido al otro progenitor de haberse tratado de una familia biparental.</w:t>
      </w:r>
    </w:p>
    <w:p w14:paraId="2BC0DB23" w14:textId="77777777" w:rsidR="00A8138F" w:rsidRDefault="00A8138F" w:rsidP="00A8138F">
      <w:pPr>
        <w:pStyle w:val="TextoNormal"/>
      </w:pPr>
    </w:p>
    <w:p w14:paraId="2FD68E80" w14:textId="77777777" w:rsidR="00A8138F" w:rsidRDefault="00A8138F" w:rsidP="00A8138F">
      <w:pPr>
        <w:pStyle w:val="TextoNormal"/>
      </w:pPr>
      <w:r>
        <w:t>d) Mediante sentencia núm. 357/2022, de 3 de octubre (autos núm. 1035-2021), el Juzgado de lo Social núm. 3 de Palma de Mallorca estimó en parte la demanda, declarando el derecho de la actora a ocho semanas adicionales a las reconocidas en vía administrativa.</w:t>
      </w:r>
    </w:p>
    <w:p w14:paraId="1F27020E" w14:textId="77777777" w:rsidR="00A8138F" w:rsidRDefault="00A8138F" w:rsidP="00A8138F">
      <w:pPr>
        <w:pStyle w:val="TextoNormal"/>
      </w:pPr>
    </w:p>
    <w:p w14:paraId="41DCADD1" w14:textId="77777777" w:rsidR="00A8138F" w:rsidRDefault="00A8138F" w:rsidP="00A8138F">
      <w:pPr>
        <w:pStyle w:val="TextoNormal"/>
      </w:pPr>
      <w:r>
        <w:t>e) La TGSS y el INSS formularon recurso de suplicación frente a la anterior resolución, que fue estimado por sentencia núm. 360/2023, de 26 de junio de la Sala de lo Social del Tribunal Superior de Justicia de Islas Baleares-Palma de Mallorca (recurso de suplicación núm. 109-2023), revocando el pronunciamiento de la instancia y rechazando la solicitud de ampliación de la prestación. Para ello argumenta que, dado que lo que se solicita es una prestación destinada a atender el periodo de descanso por maternidad previsto en el estatuto de los trabajadores, la mera ampliación del periodo de percepción de la prestación carece de trascendencia si no va acompañada de una efectiva ampliación del periodo de descanso previamente reconocido por la empresa.</w:t>
      </w:r>
    </w:p>
    <w:p w14:paraId="3B5E5E5A" w14:textId="77777777" w:rsidR="00A8138F" w:rsidRDefault="00A8138F" w:rsidP="00A8138F">
      <w:pPr>
        <w:pStyle w:val="TextoNormal"/>
      </w:pPr>
    </w:p>
    <w:p w14:paraId="678C8ACF" w14:textId="5BDF4D97" w:rsidR="00A8138F" w:rsidRDefault="00A8138F" w:rsidP="00A8138F">
      <w:pPr>
        <w:pStyle w:val="TextoNormal"/>
      </w:pPr>
      <w:r>
        <w:t>f) Doña Ester Cerezo Roselló interpuso recurso de casación para la unificación de doctrina núm. 1398-2024, que fue inadmitido por auto de fecha 18 de septiembre de 2024 de la Sala de lo Social del Tribunal Supremo por carecer de contenido casacional, al haberse dictado ya por el Pleno de la Sala de lo Social del Tribunal Supremo la sentencia de 2 de marzo de 2023 (ECLI:ES:TS:2023:783) que, tras reseñar que el reconocimiento al único progenitor de una familia monoparental de la prestación por nacimiento y cuidado de menor que le hubiera correspondido al otro progenitor no es exigencia ni de la Constitución Española, ni de la Unión Europea, ni de ningún acuerdo o tratado internacional ratificado por España, y que no es función de los jueces y tribunales la modificación del régimen prestacional de la seguridad social ni de la organización de la suspensión del contrato de trabajo por causas previstas en la ley, fijó por auto aclaratorio de 11 de enero de 2024 como doctrina jurisprudencial: “Respecto de la prestación por cuidado y nacimiento de hijo, en el caso de familias monoparentales no procede el reconocimiento de una nueva prestación, distinta a la ya reconocida en su caso, y coincidente con la que hubiera correspondido al otro progenitor”. Doctrina reiterada, entre otras, en SSTS de 14 de junio de 2023 [recurso de unificación de doctrina núm. 1642-2022 (ECLI:ES:TS:2023:3053)] y de 12 de diciembre de 2023 [recurso de unificación de doctrina núm. 2065-2022 (ECLI:ES:TS:2023:5732), y 5054-2022 (ECLI:ES:TS:2023:5746)].</w:t>
      </w:r>
    </w:p>
    <w:p w14:paraId="305E16C8" w14:textId="77777777" w:rsidR="00A8138F" w:rsidRDefault="00A8138F" w:rsidP="00A8138F">
      <w:pPr>
        <w:pStyle w:val="TextoNormal"/>
      </w:pPr>
    </w:p>
    <w:p w14:paraId="36360DBD" w14:textId="77777777" w:rsidR="00A8138F" w:rsidRDefault="00A8138F" w:rsidP="00A8138F">
      <w:pPr>
        <w:pStyle w:val="TextoNormal"/>
      </w:pPr>
      <w:r w:rsidRPr="00A8138F">
        <w:rPr>
          <w:rStyle w:val="NumeroAFNegritaCaracter"/>
        </w:rPr>
        <w:t>3</w:t>
      </w:r>
      <w:r>
        <w:t>. Los motivos por los que la demandante solicita el amparo, se basan en la infracción del art. 14 CE en relación con los arts. 39 y 9.2 CE, primero por el derecho de la recurrente a no ser discriminada por razón de sexo, dado que las resoluciones administrativa y judicial impugnada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es decir, de su condición familiar, tomada en ejercicio del libre desarrollo de la personalidad (art.10.1 CE), alcanzando ese resultado peyorativo y discriminatorio a su hijo, nacido en dicha familia monoparental, sin que las resoluciones impugnadas hayan tenido en cuenta el interés superior del menor a cuyo respeto estaban obligadas por el art. 39.4 CE y por la Convención sobre los derechos del niño (art. 10.2 CE).</w:t>
      </w:r>
    </w:p>
    <w:p w14:paraId="3FAEFC4B" w14:textId="77777777" w:rsidR="00A8138F" w:rsidRDefault="00A8138F" w:rsidP="00A8138F">
      <w:pPr>
        <w:pStyle w:val="TextoNormal"/>
      </w:pPr>
    </w:p>
    <w:p w14:paraId="2B095713" w14:textId="2B66D277" w:rsidR="00A8138F" w:rsidRDefault="00A8138F" w:rsidP="00A8138F">
      <w:pPr>
        <w:pStyle w:val="TextoNormal"/>
      </w:pPr>
      <w:r>
        <w:t>En virtud de todo ello interesa de este tribunal que, además del reconocimiento de la vulneración de los derechos fundamentales invocados y para su restablecimiento se declare la nulidad de las resoluciones administrativas y judiciales que se impugnan en el recurso de amparo con retroacción de las actuaciones al momento previo al dictado de la resolución del INSS desestimatoria por silencio administrativo, para que dicte otra que respete los derechos fundamentales de la recurrente.</w:t>
      </w:r>
    </w:p>
    <w:p w14:paraId="2CF9E477" w14:textId="77777777" w:rsidR="00A8138F" w:rsidRDefault="00A8138F" w:rsidP="00A8138F">
      <w:pPr>
        <w:pStyle w:val="TextoNormal"/>
      </w:pPr>
    </w:p>
    <w:p w14:paraId="68E2E74F" w14:textId="60223C1A" w:rsidR="00A8138F" w:rsidRDefault="00A8138F" w:rsidP="00A8138F">
      <w:pPr>
        <w:pStyle w:val="TextoNormal"/>
      </w:pPr>
      <w:r w:rsidRPr="00A8138F">
        <w:rPr>
          <w:rStyle w:val="NumeroAFNegritaCaracter"/>
        </w:rPr>
        <w:t>4</w:t>
      </w:r>
      <w:r>
        <w:t>. Mediante providencia de 16 de diciembre de 2024, la Sección Tercera de este tribunal acordó admitir a trámite el presente recurso apreciando que concurría en él la especial trascendencia constitucional que exige el 50.1 de la Ley Orgánica del Tribunal Constitucional,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de la Ley Orgánica del Tribunal Constitucional, dirigir comunicación a la Sala de lo Social del Tribunal Supremo, y a la Sala de lo Social del Tribunal Superior de Justicia de las Islas Baleares, a fin de que, en plazo que no excediera de diez días, remitiera testimonio de lo actuado en el recurso de casación para unificación de doctrina núm. 1398-2024; y en el recurso de suplicación núm. 109-2023, respectivamente y al Juzgado de lo Social núm. 3 de Palma de Mallorca fin de que, en el mismo plazo, remitiera testimonio de las actuaciones correspondientes al procedimiento núm. 1035-2021; debiendo previamente emplazarse, para que en el plazo de diez días pudieran comparecer, si lo deseaban, en el recurso de amparo a quienes hubieran sido parte en el procedimiento, excepto la parte recurrente en amparo.</w:t>
      </w:r>
    </w:p>
    <w:p w14:paraId="7301B230" w14:textId="77777777" w:rsidR="00A8138F" w:rsidRDefault="00A8138F" w:rsidP="00A8138F">
      <w:pPr>
        <w:pStyle w:val="TextoNormal"/>
      </w:pPr>
    </w:p>
    <w:p w14:paraId="48C8539F" w14:textId="34D4547F" w:rsidR="00A8138F" w:rsidRDefault="00A8138F" w:rsidP="00A8138F">
      <w:pPr>
        <w:pStyle w:val="TextoNormal"/>
      </w:pPr>
      <w:r w:rsidRPr="00A8138F">
        <w:rPr>
          <w:rStyle w:val="NumeroAFNegritaCaracter"/>
        </w:rPr>
        <w:t>5</w:t>
      </w:r>
      <w:r>
        <w:t>. El 14 de febrero de 2025, el letrado de la administración de la Seguridad Social, en nombre representación del INSS y de la TGSS, presentó escrito de personación, dictándose por este tribunal, el 24 de febrero siguiente, diligencia de ordenación por la que se le tiene por personado y parte en el procedimiento y se da vista de las actuaciones recibidas a las partes personadas y al Ministerio Fiscal por plazo común de veinte días, a fin de presentar las alegaciones que estimasen pertinentes, conforme determina el art. 52.1 de la Ley Orgánica de este tribunal.</w:t>
      </w:r>
    </w:p>
    <w:p w14:paraId="172F58CB" w14:textId="77777777" w:rsidR="00A8138F" w:rsidRDefault="00A8138F" w:rsidP="00A8138F">
      <w:pPr>
        <w:pStyle w:val="TextoNormal"/>
      </w:pPr>
    </w:p>
    <w:p w14:paraId="3066B86A" w14:textId="5A267848" w:rsidR="00A8138F" w:rsidRDefault="00A8138F" w:rsidP="00A8138F">
      <w:pPr>
        <w:pStyle w:val="TextoNormal"/>
      </w:pPr>
      <w:r w:rsidRPr="00A8138F">
        <w:rPr>
          <w:rStyle w:val="NumeroAFNegritaCaracter"/>
        </w:rPr>
        <w:t>6</w:t>
      </w:r>
      <w:r>
        <w:t>. El 10 de marzo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hija menor.</w:t>
      </w:r>
    </w:p>
    <w:p w14:paraId="2B689B94" w14:textId="77777777" w:rsidR="00A8138F" w:rsidRDefault="00A8138F" w:rsidP="00A8138F">
      <w:pPr>
        <w:pStyle w:val="TextoNormal"/>
      </w:pPr>
    </w:p>
    <w:p w14:paraId="1BC948E4" w14:textId="545F4F0D" w:rsidR="00A8138F" w:rsidRDefault="00A8138F" w:rsidP="00A8138F">
      <w:pPr>
        <w:pStyle w:val="TextoNormal"/>
      </w:pPr>
      <w:r w:rsidRPr="00A8138F">
        <w:rPr>
          <w:rStyle w:val="NumeroAFNegritaCaracter"/>
        </w:rPr>
        <w:t>7</w:t>
      </w:r>
      <w:r>
        <w:t>. El 12 de marzo de 2025, el letrado de la administración de la Seguridad Social, presentó su escrito de alegaciones advirtiendo de su allanamiento a la demanda de amparo, de conformidad con la instrucción 10-2024, de 23 de diciembre de 2024 de la dirección del servicio jurídico de la Seguridad Social, de la que acompaña copia,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14:paraId="2EFE0878" w14:textId="77777777" w:rsidR="00A8138F" w:rsidRDefault="00A8138F" w:rsidP="00A8138F">
      <w:pPr>
        <w:pStyle w:val="TextoNormal"/>
      </w:pPr>
    </w:p>
    <w:p w14:paraId="1ED25DE0" w14:textId="77777777" w:rsidR="00A8138F" w:rsidRDefault="00A8138F" w:rsidP="00A8138F">
      <w:pPr>
        <w:pStyle w:val="TextoNormal"/>
      </w:pPr>
      <w:r w:rsidRPr="00A8138F">
        <w:rPr>
          <w:rStyle w:val="NumeroAFNegritaCaracter"/>
        </w:rPr>
        <w:t>8</w:t>
      </w:r>
      <w:r>
        <w:t>. Con fecha 18 de marzo de 2025, el Ministerio Fiscal interesó la estimación del recurso de amparo, por considerar vulnerado el derecho fundamental a no ser discriminados, de la demandante por su pertenencia a una familia monoparental y de su hijo por razón de nacimiento en la misma, según resulta de la doctrina constitucional establecida en la STC 140/2024, 6 de noviembre, dictada en la cuestión de inconstitucionalidad núm. 6694-2023. de la que reproduce amplios extractos.</w:t>
      </w:r>
    </w:p>
    <w:p w14:paraId="3E7ACF46" w14:textId="77777777" w:rsidR="00A8138F" w:rsidRDefault="00A8138F" w:rsidP="00A8138F">
      <w:pPr>
        <w:pStyle w:val="TextoNormal"/>
      </w:pPr>
    </w:p>
    <w:p w14:paraId="6FC17A39" w14:textId="421A9492" w:rsidR="00A8138F" w:rsidRDefault="00A8138F" w:rsidP="00A8138F">
      <w:pPr>
        <w:pStyle w:val="TextoNormal"/>
      </w:pPr>
      <w:r>
        <w:t>Respecto a la fijación de los efectos de la sentencia que otorgue el amparo a la demandante advierte que no procede la retroacción de las actuaciones hasta la primera resolución dictada por el INSS, teniendo en cuenta que —en lo relativo a la infracción del derecho fundamental del art. 14 CE— la argumentación de existencia de discriminación o diferencia de trato vulneradora del derecho a la igualdad en el tenor literal del art. 48.4 LET en relación con el art. 177 del texto refundido de la Ley general de la Seguridad Social (LGSS), aprobado por el Real Decreto Legislativo 8/2015, de 30 de octubre, que realiza la sentencia 357/2022, de 3 de octubre, del Juzgado de lo Social núm. 3 de Palma de Mallorca es coincidentes en lo esencial con la de la STC 140/2024 antes citada, por lo cual el fiscal estima que aquella sentencia no ha vulnerado el derecho a la no discriminación de la demandante de amparo y su hija. Además, señala que la propia demandante no ha impugnado en sede constitucional la sentencia del juzgado social que le dio la razón reconociéndole un derecho a la prestación accesoria de ocho semanas, por lo que a juicio de la Fiscalía, procede anular las resoluciones judiciales recaídas tanto en el recurso de casación de unificación de doctrina (auto de la Sala de lo Social del Tribunal Supremo de 18 de septiembre de 2024), como la sentencia del Tribunal Superior de Justicia de las Islas Baleares 360/2023, de 26 de junio, recaída en el recurso de suplicación, declarando, sin embargo, la firmeza del sentencia 357/2022, de 3 de octubre, del Juzgado de lo Social núm. 3 de Palma de Mallorca que reconoce a la recurrente una prestación de ocho semanas adicionales.</w:t>
      </w:r>
    </w:p>
    <w:p w14:paraId="0FCC97F3" w14:textId="77777777" w:rsidR="00A8138F" w:rsidRDefault="00A8138F" w:rsidP="00A8138F">
      <w:pPr>
        <w:pStyle w:val="TextoNormal"/>
      </w:pPr>
    </w:p>
    <w:p w14:paraId="62DFD09C" w14:textId="3F52E509" w:rsidR="00A8138F" w:rsidRDefault="00A8138F" w:rsidP="00A8138F">
      <w:pPr>
        <w:pStyle w:val="TextoNormal"/>
      </w:pPr>
      <w:r w:rsidRPr="00A8138F">
        <w:rPr>
          <w:rStyle w:val="NumeroAFNegritaCaracter"/>
        </w:rPr>
        <w:t>9</w:t>
      </w:r>
      <w:r>
        <w:t>. Mediante providencia de 8 de mayo de 2025, se señaló para deliberación y votación de la presente sentencia el día 12 del mismo mes y año.</w:t>
      </w:r>
    </w:p>
    <w:p w14:paraId="5173B206" w14:textId="77777777" w:rsidR="00A8138F" w:rsidRDefault="00A8138F" w:rsidP="00A8138F">
      <w:pPr>
        <w:pStyle w:val="TextoNormal"/>
      </w:pPr>
    </w:p>
    <w:p w14:paraId="6C33F5B7" w14:textId="77777777" w:rsidR="00A8138F" w:rsidRDefault="00A8138F" w:rsidP="00A8138F">
      <w:pPr>
        <w:pStyle w:val="TextoNormalNegritaCentrado"/>
        <w:keepNext/>
      </w:pPr>
      <w:r>
        <w:t>II. Fundamentos jurídicos</w:t>
      </w:r>
    </w:p>
    <w:p w14:paraId="26B02946" w14:textId="4F2C2929" w:rsidR="00A8138F" w:rsidRDefault="00A8138F" w:rsidP="00A8138F">
      <w:pPr>
        <w:pStyle w:val="TextoNormalNegritaCentrado"/>
        <w:keepNext/>
      </w:pPr>
    </w:p>
    <w:p w14:paraId="774ED969"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00708D9A" w14:textId="77777777" w:rsidR="00A8138F" w:rsidRDefault="00A8138F" w:rsidP="00A8138F">
      <w:pPr>
        <w:pStyle w:val="TextoNormal"/>
      </w:pPr>
    </w:p>
    <w:p w14:paraId="3E3D5DA6" w14:textId="77777777" w:rsidR="00A8138F" w:rsidRDefault="00A8138F" w:rsidP="00A8138F">
      <w:pPr>
        <w:pStyle w:val="TextoNormal"/>
      </w:pPr>
      <w:r>
        <w:t>El objeto del presente proceso es dilucidar si las resoluciones administrativas del INSS que rechazaron por silencio la pretensión de la demandante de ampliación de la prestación de nacimiento y cuidado de menor en las semanas correspondientes al otro progenitor; así como contra la sentencia núm. 360/2023, de Sala de lo Social del Tribunal Superior de Justicia de las Islas Baleares, Sala Social de Palma de Mallorca, de 26 de junio de 2023 (recurso de suplicación 109-2023), que estimó el recurso del INSS contra el reconocimiento de la ampliación a ocho semanas de la prestación realizado por el Juzgado de lo Social núm. 3 de Palma de Mallorca, y el auto de la Sala de lo Social del Tribunal Supremo, de 18 de septiembre de 2024 (recurso de casación para la unificación de doctrina núm. 1398-2024), que inadmitió el recurso de casación para unificación de doctrina interpuesto contra las anterior resolución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1F5C9E13" w14:textId="77777777" w:rsidR="00A8138F" w:rsidRDefault="00A8138F" w:rsidP="00A8138F">
      <w:pPr>
        <w:pStyle w:val="TextoNormal"/>
      </w:pPr>
    </w:p>
    <w:p w14:paraId="30771AF8"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5EE5843" w14:textId="77777777" w:rsidR="00A8138F" w:rsidRDefault="00A8138F" w:rsidP="00A8138F">
      <w:pPr>
        <w:pStyle w:val="TextoNormal"/>
      </w:pPr>
    </w:p>
    <w:p w14:paraId="36715A38"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D79AC5C" w14:textId="77777777" w:rsidR="00A8138F" w:rsidRDefault="00A8138F" w:rsidP="00A8138F">
      <w:pPr>
        <w:pStyle w:val="TextoNormal"/>
      </w:pPr>
    </w:p>
    <w:p w14:paraId="3927ED60"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2A5B9545" w14:textId="77777777" w:rsidR="00A8138F" w:rsidRDefault="00A8138F" w:rsidP="00A8138F">
      <w:pPr>
        <w:pStyle w:val="TextoNormal"/>
      </w:pPr>
    </w:p>
    <w:p w14:paraId="1D70BCB5" w14:textId="77777777" w:rsidR="00A8138F" w:rsidRDefault="00A8138F" w:rsidP="00A8138F">
      <w:pPr>
        <w:pStyle w:val="TextoNormal"/>
      </w:pPr>
      <w:r>
        <w:t>En consecuencia, debe estimarse la demanda y otorgar el amparo solicitado, con los efectos que se indican en el párrafo siguiente, pues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03454D5" w14:textId="77777777" w:rsidR="00A8138F" w:rsidRDefault="00A8138F" w:rsidP="00A8138F">
      <w:pPr>
        <w:pStyle w:val="TextoNormal"/>
      </w:pPr>
    </w:p>
    <w:p w14:paraId="60289B85" w14:textId="5B3A07AB" w:rsidR="00A8138F" w:rsidRDefault="00A8138F" w:rsidP="00A8138F">
      <w:pPr>
        <w:pStyle w:val="TextoNormal"/>
      </w:pPr>
      <w:r>
        <w:t>Así pues, de acuerdo entre otras con las SSTC 47/2025 de 24 de febrero y 78/2025, de 24 de marzo, la estimación del recurso conlleva la declaración de nulidad de las resoluciones judiciales impugnadas y la declaración de firmeza de la sentencia del Juzgado de lo Social núm. 3 de Palma de Mallorca núm. 357/2022, de 3 de octubre (autos núm. 1035-2021), al haber reparado la vulneración invocada.</w:t>
      </w:r>
    </w:p>
    <w:p w14:paraId="63A78BD1" w14:textId="77777777" w:rsidR="00A8138F" w:rsidRDefault="00A8138F" w:rsidP="00A8138F">
      <w:pPr>
        <w:pStyle w:val="TextoNormal"/>
      </w:pPr>
    </w:p>
    <w:p w14:paraId="10ABCDCD" w14:textId="77777777" w:rsidR="00A8138F" w:rsidRDefault="00A8138F" w:rsidP="00A8138F">
      <w:pPr>
        <w:pStyle w:val="TextoNormalCentrado"/>
        <w:keepNext/>
      </w:pPr>
      <w:r>
        <w:t>FALLO</w:t>
      </w:r>
    </w:p>
    <w:p w14:paraId="2E724AFD" w14:textId="71B39018" w:rsidR="00A8138F" w:rsidRDefault="00A8138F" w:rsidP="00A8138F">
      <w:pPr>
        <w:pStyle w:val="TextoNormalCentrado"/>
        <w:keepNext/>
      </w:pPr>
    </w:p>
    <w:p w14:paraId="49871249"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Ester Cerezo Roselló y, en su virtud:</w:t>
      </w:r>
    </w:p>
    <w:p w14:paraId="5C6E1AF4" w14:textId="77777777" w:rsidR="00A8138F" w:rsidRDefault="00A8138F" w:rsidP="00A8138F">
      <w:pPr>
        <w:pStyle w:val="TextoNormal"/>
      </w:pPr>
    </w:p>
    <w:p w14:paraId="3E0A1D9E" w14:textId="77777777" w:rsidR="00A8138F" w:rsidRDefault="00A8138F" w:rsidP="00A8138F">
      <w:pPr>
        <w:pStyle w:val="TextoNormal"/>
      </w:pPr>
      <w:r>
        <w:t>1º Declarar vulnerado el derecho fundamental a la igualdad ante la ley, sin que pueda prevalecer discriminación alguna (art. 14 CE).</w:t>
      </w:r>
    </w:p>
    <w:p w14:paraId="30970A2D" w14:textId="77777777" w:rsidR="00A8138F" w:rsidRDefault="00A8138F" w:rsidP="00A8138F">
      <w:pPr>
        <w:pStyle w:val="TextoNormal"/>
      </w:pPr>
    </w:p>
    <w:p w14:paraId="3EC02FFF" w14:textId="05CCB4D1" w:rsidR="00A8138F" w:rsidRDefault="00A8138F" w:rsidP="00A8138F">
      <w:pPr>
        <w:pStyle w:val="TextoNormal"/>
      </w:pPr>
      <w:r>
        <w:t>2º Restablecerla en su derecho y, a tal fin, declarar la nulidad de la sentencia núm. 360/2023, de la Sala de lo Social del Tribunal Superior de Justicia de las Islas Baleares, Sala Social de Palma de Mallorca, de 26 de junio de 2023 (recurso de suplicación 109-2023), y del auto de la Sala de lo Social del Tribunal Supremo de 18 de septiembre de 2024 (recurso de casación para la unificación de doctrina núm. 1398-2024); y declarar firme la sentencia del Juzgado de lo Social núm. 3 de Palma de Mallorca núm. 357/2022, de 3 de octubre (autos núm. 1035-2021).</w:t>
      </w:r>
    </w:p>
    <w:p w14:paraId="7AFD028A" w14:textId="77777777" w:rsidR="00A8138F" w:rsidRDefault="00A8138F" w:rsidP="00A8138F">
      <w:pPr>
        <w:pStyle w:val="TextoNormal"/>
      </w:pPr>
    </w:p>
    <w:p w14:paraId="49B917D5" w14:textId="77777777" w:rsidR="00A8138F" w:rsidRDefault="00A8138F" w:rsidP="00A8138F">
      <w:pPr>
        <w:pStyle w:val="TextoNormal"/>
      </w:pPr>
      <w:r>
        <w:t>Publíquese esta sentencia en el “Boletín Oficial del Estado”.</w:t>
      </w:r>
    </w:p>
    <w:p w14:paraId="537CD824" w14:textId="77777777" w:rsidR="00A8138F" w:rsidRDefault="00A8138F" w:rsidP="00A8138F">
      <w:pPr>
        <w:pStyle w:val="TextoNormal"/>
      </w:pPr>
      <w:r>
        <w:t>Dada en Madrid, a doce de mayo de dos mil veinticinco.</w:t>
      </w:r>
    </w:p>
    <w:p w14:paraId="0781FB89" w14:textId="209B7ABB" w:rsidR="00A8138F" w:rsidRDefault="00A8138F">
      <w:pPr>
        <w:spacing w:after="160" w:line="278" w:lineRule="auto"/>
        <w:rPr>
          <w:rFonts w:ascii="Times New Roman" w:eastAsia="Times New Roman" w:hAnsi="Times New Roman" w:cs="Times New Roman"/>
          <w:sz w:val="24"/>
          <w:szCs w:val="24"/>
          <w:lang w:eastAsia="es-ES"/>
        </w:rPr>
      </w:pPr>
      <w:r>
        <w:br w:type="page"/>
      </w:r>
    </w:p>
    <w:p w14:paraId="3FB97371" w14:textId="77777777" w:rsidR="00A8138F" w:rsidRDefault="00A8138F" w:rsidP="00A8138F">
      <w:pPr>
        <w:pStyle w:val="TtuloResolucin"/>
      </w:pPr>
      <w:bookmarkStart w:id="119" w:name="SENTENCIA_2025_117"/>
      <w:r>
        <w:t>SENTENCIA 117/2025, de 13 de mayo de 2025</w:t>
      </w:r>
    </w:p>
    <w:bookmarkEnd w:id="119"/>
    <w:p w14:paraId="3471F0A8" w14:textId="77777777" w:rsidR="00A8138F" w:rsidRDefault="00A8138F" w:rsidP="00A8138F">
      <w:pPr>
        <w:pStyle w:val="TtuloResolucin"/>
      </w:pPr>
      <w:r>
        <w:t>Pleno</w:t>
      </w:r>
    </w:p>
    <w:p w14:paraId="5066CD54" w14:textId="77777777" w:rsidR="00A8138F" w:rsidRDefault="00A8138F" w:rsidP="00A8138F">
      <w:pPr>
        <w:pStyle w:val="TtuloBOE"/>
      </w:pPr>
      <w:r>
        <w:t>(BOE núm. 146, de 18 de junio de 2025)</w:t>
      </w:r>
    </w:p>
    <w:p w14:paraId="19AAA74D" w14:textId="77777777" w:rsidR="00A8138F" w:rsidRDefault="00A8138F" w:rsidP="00A8138F">
      <w:pPr>
        <w:pStyle w:val="TextoNormalCentrado"/>
      </w:pPr>
      <w:r>
        <w:t>ECLI:ES:TC:2025:117</w:t>
      </w:r>
    </w:p>
    <w:p w14:paraId="35F657FA" w14:textId="4699E9C9" w:rsidR="00A8138F" w:rsidRDefault="00A8138F" w:rsidP="00A8138F">
      <w:pPr>
        <w:pStyle w:val="TextoNormalCentrado"/>
      </w:pPr>
    </w:p>
    <w:p w14:paraId="3541C631" w14:textId="77777777" w:rsidR="00A8138F" w:rsidRDefault="00A8138F" w:rsidP="00A8138F">
      <w:pPr>
        <w:pStyle w:val="SntesisDescriptiva"/>
      </w:pPr>
      <w:r>
        <w:t>Recurso de amparo 456-2021. Promovido por don Raúl San Mateo Martínez en relación con las sentencias de la Audiencia Provincial de Navarra y un juzgado de lo penal de Pamplona que le condenaron por un delito contra la integridad moral.</w:t>
      </w:r>
    </w:p>
    <w:p w14:paraId="46CCB3CD" w14:textId="361A97E4" w:rsidR="00A8138F" w:rsidRDefault="00A8138F" w:rsidP="00A8138F">
      <w:pPr>
        <w:pStyle w:val="SntesisDescriptiva"/>
      </w:pPr>
    </w:p>
    <w:p w14:paraId="140BA195" w14:textId="77777777" w:rsidR="00A8138F" w:rsidRDefault="00A8138F" w:rsidP="00A8138F">
      <w:pPr>
        <w:pStyle w:val="SntesisAnaltica"/>
      </w:pPr>
      <w:r>
        <w:t>Vulneración de los derechos a la libertad de expresión y a la libertad de creación artística: resoluciones judiciales que, en el enjuiciamiento penal del llamado “tour de la Manada” prescindieron de la consideración de la afectación a las libertades públicas concernidas.</w:t>
      </w:r>
    </w:p>
    <w:p w14:paraId="215BACD9" w14:textId="65449B6D" w:rsidR="00A8138F" w:rsidRDefault="00A8138F" w:rsidP="00A8138F">
      <w:pPr>
        <w:pStyle w:val="SntesisAnaltica"/>
      </w:pPr>
    </w:p>
    <w:p w14:paraId="48402832" w14:textId="64E1699F" w:rsidR="00A8138F" w:rsidRDefault="00A8138F" w:rsidP="00A8138F">
      <w:pPr>
        <w:pStyle w:val="Extracto"/>
      </w:pPr>
      <w:r>
        <w:t>1.</w:t>
      </w:r>
      <w:r>
        <w:tab/>
        <w:t>La ausencia de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(SSTC 112/2016 o 35/2020) [FJ 4].</w:t>
      </w:r>
    </w:p>
    <w:p w14:paraId="6314C80B" w14:textId="77777777" w:rsidR="00A8138F" w:rsidRDefault="00A8138F" w:rsidP="00A8138F">
      <w:pPr>
        <w:pStyle w:val="Extracto"/>
      </w:pPr>
    </w:p>
    <w:p w14:paraId="71F086A7" w14:textId="1D08FF06" w:rsidR="00A8138F" w:rsidRDefault="00A8138F" w:rsidP="00A8138F">
      <w:pPr>
        <w:pStyle w:val="Extracto"/>
      </w:pPr>
      <w:r>
        <w:t>2.</w:t>
      </w:r>
      <w:r>
        <w:tab/>
        <w:t>Los hechos probados no pueden ser a un mismo tiempo valorados como actos de ejercicio de un derecho fundamental y como conductas constitutivas de un delito. Y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(SSTC 110/2000 o 35/2020) [FJ 4].</w:t>
      </w:r>
    </w:p>
    <w:p w14:paraId="26E31667" w14:textId="77777777" w:rsidR="00A8138F" w:rsidRDefault="00A8138F" w:rsidP="00A8138F">
      <w:pPr>
        <w:pStyle w:val="Extracto"/>
      </w:pPr>
    </w:p>
    <w:p w14:paraId="3BB5BA96" w14:textId="189CF80E" w:rsidR="00A8138F" w:rsidRDefault="00A8138F" w:rsidP="00A8138F">
      <w:pPr>
        <w:pStyle w:val="Extracto"/>
      </w:pPr>
      <w:r>
        <w:t>3.</w:t>
      </w:r>
      <w:r>
        <w:tab/>
        <w:t xml:space="preserve">Un mensaje emitido a modo de </w:t>
      </w:r>
      <w:r w:rsidRPr="00A8138F">
        <w:rPr>
          <w:i/>
        </w:rPr>
        <w:t>performance</w:t>
      </w:r>
      <w:r>
        <w:t xml:space="preserve"> debe entenderse como una forma de creación artística, tomando en consideración la posible imbricación entre las distintas libertades previstas en el art. 20.1 CE, que incluye la libertad de expresión reconocida en el apartado a) y la de creación artística del inciso b) del precepto constitucional. Y, a la hora de valorar las posibles limitaciones de la libertad de expresión, deberán ser tenidas en cuenta las especialidades derivadas del aspecto creativo de la obra audiovisual (STC 34/2010) [FJ 6].</w:t>
      </w:r>
    </w:p>
    <w:p w14:paraId="61C2073B" w14:textId="77777777" w:rsidR="00A8138F" w:rsidRDefault="00A8138F" w:rsidP="00A8138F">
      <w:pPr>
        <w:pStyle w:val="Extracto"/>
      </w:pPr>
    </w:p>
    <w:p w14:paraId="661F9FD0" w14:textId="2CEC13A0" w:rsidR="00A8138F" w:rsidRDefault="00A8138F" w:rsidP="00A8138F">
      <w:pPr>
        <w:pStyle w:val="Extracto"/>
      </w:pPr>
      <w:r>
        <w:t>4.</w:t>
      </w:r>
      <w:r>
        <w:tab/>
        <w:t>El órgano judicial debe efectuar el juicio sobre la afectación al ejercicio de la libertad de expresión con carácter previo a la aplicación del tipo penal. Su omisión tiene carácter determinante para estimar que concurre la vulneración de la libertad de expresión (STC 35/2020) [FJ 6].</w:t>
      </w:r>
    </w:p>
    <w:p w14:paraId="266C9F46" w14:textId="77777777" w:rsidR="00A8138F" w:rsidRDefault="00A8138F" w:rsidP="00A8138F">
      <w:pPr>
        <w:pStyle w:val="Extracto"/>
      </w:pPr>
    </w:p>
    <w:p w14:paraId="63B24292" w14:textId="77777777" w:rsidR="00A8138F" w:rsidRDefault="00A8138F" w:rsidP="00A8138F">
      <w:pPr>
        <w:pStyle w:val="Extracto"/>
      </w:pPr>
    </w:p>
    <w:p w14:paraId="31DE796A"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3E85287F" w14:textId="6DB773B3" w:rsidR="00A8138F" w:rsidRDefault="00A8138F" w:rsidP="00A8138F">
      <w:pPr>
        <w:pStyle w:val="TextoNormal"/>
      </w:pPr>
    </w:p>
    <w:p w14:paraId="3F6C8743" w14:textId="77777777" w:rsidR="00A8138F" w:rsidRDefault="00A8138F" w:rsidP="00A8138F">
      <w:pPr>
        <w:pStyle w:val="TextoNormalCentrado"/>
        <w:keepNext/>
      </w:pPr>
      <w:r>
        <w:t>EN NOMBRE DEL REY</w:t>
      </w:r>
    </w:p>
    <w:p w14:paraId="0019CA74" w14:textId="78786FF8" w:rsidR="00A8138F" w:rsidRDefault="00A8138F" w:rsidP="00A8138F">
      <w:pPr>
        <w:pStyle w:val="TextoNormalCentrado"/>
        <w:keepNext/>
      </w:pPr>
    </w:p>
    <w:p w14:paraId="7EDDF534" w14:textId="77777777" w:rsidR="00A8138F" w:rsidRDefault="00A8138F" w:rsidP="00A8138F">
      <w:pPr>
        <w:pStyle w:val="TextoNormalCentrado"/>
        <w:keepNext/>
      </w:pPr>
    </w:p>
    <w:p w14:paraId="4092358D" w14:textId="77777777" w:rsidR="00A8138F" w:rsidRDefault="00A8138F" w:rsidP="00A8138F">
      <w:pPr>
        <w:pStyle w:val="TextoNormal"/>
      </w:pPr>
      <w:r>
        <w:t>la siguiente</w:t>
      </w:r>
    </w:p>
    <w:p w14:paraId="154359E4" w14:textId="53DC2C09" w:rsidR="00A8138F" w:rsidRDefault="00A8138F" w:rsidP="00A8138F">
      <w:pPr>
        <w:pStyle w:val="TextoNormal"/>
      </w:pPr>
    </w:p>
    <w:p w14:paraId="62E4EF43" w14:textId="77777777" w:rsidR="00A8138F" w:rsidRDefault="00A8138F" w:rsidP="00A8138F">
      <w:pPr>
        <w:pStyle w:val="TextoNormalCentrado"/>
        <w:keepNext/>
      </w:pPr>
      <w:r>
        <w:t>SENTENCIA</w:t>
      </w:r>
    </w:p>
    <w:p w14:paraId="7429624A" w14:textId="72AC9BE1" w:rsidR="00A8138F" w:rsidRDefault="00A8138F" w:rsidP="00A8138F">
      <w:pPr>
        <w:pStyle w:val="TextoNormalCentrado"/>
        <w:keepNext/>
      </w:pPr>
    </w:p>
    <w:p w14:paraId="67023F1C" w14:textId="77777777" w:rsidR="00A8138F" w:rsidRDefault="00A8138F" w:rsidP="00A8138F">
      <w:pPr>
        <w:pStyle w:val="TextoNormal"/>
      </w:pPr>
      <w:r>
        <w:t>En el recurso de amparo núm. 456-2021, promovido por don Raúl San Mateo Martínez, contra la providencia de 26 de noviembre de 2020 de la Sala de lo Penal del Tribunal Supremo, que inadmitió a trámite el recurso de casación interpuesto por aquel contra la sentencia de 3 de junio de 2020, dictada por la Sección Segunda de la Audiencia Provincial de Navarra, que declaró no haber lugar al recurso de apelación interpuesto por el mismo contra otra precedente sentencia de 9 de diciembre de 2019 del Juzgado de lo Penal núm. 1 de Pamplona, que le condenó como autor responsable de un delito contra la integridad moral del art. 173.1 del Código penal (CP), a la pena de un año y seis meses de prisión, con la accesoria de inhabilitación especial para el derecho de sufragio pasivo durante el tiempo de la condena, así como al pago de las costas procesales y a una indemnización a la testigo protegida núm. 1, en concepto de daño moral, por importe de 15 000 €. Se ha personado en el procedimiento y formulado alegaciones la testigo protegida núm. 1. Ha intervenido el Ministerio Fiscal. Ha sido ponente la magistrada doña Laura Díez Bueso.</w:t>
      </w:r>
    </w:p>
    <w:p w14:paraId="467C680D" w14:textId="733C2FCA" w:rsidR="00A8138F" w:rsidRDefault="00A8138F" w:rsidP="00A8138F">
      <w:pPr>
        <w:pStyle w:val="TextoNormal"/>
      </w:pPr>
    </w:p>
    <w:p w14:paraId="053F1596" w14:textId="77777777" w:rsidR="00A8138F" w:rsidRDefault="00A8138F" w:rsidP="00A8138F">
      <w:pPr>
        <w:pStyle w:val="TextoNormalNegritaCentrado"/>
        <w:keepNext/>
      </w:pPr>
      <w:r>
        <w:t>I. Antecedentes</w:t>
      </w:r>
    </w:p>
    <w:p w14:paraId="4E5141E8" w14:textId="1E5A320E" w:rsidR="00A8138F" w:rsidRDefault="00A8138F" w:rsidP="00A8138F">
      <w:pPr>
        <w:pStyle w:val="TextoNormalNegritaCentrado"/>
        <w:keepNext/>
      </w:pPr>
    </w:p>
    <w:p w14:paraId="100BD507" w14:textId="6C45457D" w:rsidR="00A8138F" w:rsidRDefault="00A8138F" w:rsidP="00A8138F">
      <w:pPr>
        <w:pStyle w:val="TextoNormal"/>
      </w:pPr>
      <w:r w:rsidRPr="00A8138F">
        <w:rPr>
          <w:rStyle w:val="NumeroAFNegritaCaracter"/>
        </w:rPr>
        <w:t>1</w:t>
      </w:r>
      <w:r>
        <w:t>. Mediante escrito que tuvo entrada en el registro de este tribunal el día 26 de enero de 2021, la procuradora de los tribunales doña Virginia Sánchez de León Herencia, en nombre y representación de don Raúl San Mateo Martínez, defendido por el letrado don José Luis Galán Martín, interpuso recurso de amparo contra las resoluciones judiciales que se citan en el encabezamiento, por vulneración del derecho a la libertad de expresión [art. 20.1 a) CE]; a la tutela judicial efectiva (art. 24.1 CE) y a un proceso con todas las garantías con interdicción de la indefensión (art. 24.2 CE); del derecho a la presunción de inocencia (art. 24.2 CE); por infracción del principio de legalidad penal (art. 25.1 CE) y por infracción del principio de proporcionalidad (art. 25 CE), en relación con el derecho a la libertad personal (art. 17 CE).</w:t>
      </w:r>
    </w:p>
    <w:p w14:paraId="4A714F6C" w14:textId="77777777" w:rsidR="00A8138F" w:rsidRDefault="00A8138F" w:rsidP="00A8138F">
      <w:pPr>
        <w:pStyle w:val="TextoNormal"/>
      </w:pPr>
    </w:p>
    <w:p w14:paraId="21678EDE" w14:textId="77777777" w:rsidR="00A8138F" w:rsidRDefault="00A8138F" w:rsidP="00A8138F">
      <w:pPr>
        <w:pStyle w:val="TextoNormal"/>
      </w:pPr>
      <w:r w:rsidRPr="00A8138F">
        <w:rPr>
          <w:rStyle w:val="NumeroAFNegritaCaracter"/>
        </w:rPr>
        <w:t>2</w:t>
      </w:r>
      <w:r>
        <w:t>. La demanda trae causa de los siguientes hechos:</w:t>
      </w:r>
    </w:p>
    <w:p w14:paraId="707C537B" w14:textId="77777777" w:rsidR="00A8138F" w:rsidRDefault="00A8138F" w:rsidP="00A8138F">
      <w:pPr>
        <w:pStyle w:val="TextoNormal"/>
      </w:pPr>
    </w:p>
    <w:p w14:paraId="3BEC9D60" w14:textId="77777777" w:rsidR="00A8138F" w:rsidRDefault="00A8138F" w:rsidP="00A8138F">
      <w:pPr>
        <w:pStyle w:val="TextoNormal"/>
      </w:pPr>
      <w:r>
        <w:t>A) Por sentencia de 9 de diciembre de 2019, el Juzgado de lo Penal núm. 1 de Pamplona absolvió al recurrente en amparo del delito de odio del que venía siendo acusado, si bien lo condenó como autor de un delito contra la integridad moral a la pena de un año y seis meses de prisión, con inhabilitación especial para el derecho de sufragio pasivo durante el tiempo de la condena, así como a las costas. Por lo demás, en concepto de responsabilidad civil por el daño moral ocasionado se acuerda a favor de la testigo protegida núm. 1 la cantidad de 15 000 €.</w:t>
      </w:r>
    </w:p>
    <w:p w14:paraId="5F3508AF" w14:textId="77777777" w:rsidR="00A8138F" w:rsidRDefault="00A8138F" w:rsidP="00A8138F">
      <w:pPr>
        <w:pStyle w:val="TextoNormal"/>
      </w:pPr>
    </w:p>
    <w:p w14:paraId="28383A51" w14:textId="77777777" w:rsidR="00A8138F" w:rsidRDefault="00A8138F" w:rsidP="00A8138F">
      <w:pPr>
        <w:pStyle w:val="TextoNormal"/>
      </w:pPr>
      <w:r>
        <w:t>La sentencia declara hechos probados los siguientes:</w:t>
      </w:r>
    </w:p>
    <w:p w14:paraId="002FF4C0" w14:textId="77777777" w:rsidR="00A8138F" w:rsidRDefault="00A8138F" w:rsidP="00A8138F">
      <w:pPr>
        <w:pStyle w:val="TextoNormal"/>
      </w:pPr>
    </w:p>
    <w:p w14:paraId="28F96536" w14:textId="77777777" w:rsidR="00A8138F" w:rsidRDefault="00A8138F" w:rsidP="00A8138F">
      <w:pPr>
        <w:pStyle w:val="TextoNormal"/>
      </w:pPr>
      <w:r>
        <w:t xml:space="preserve">a) El señor San Mateo creó el portal web “tourlaManada.com”, que estuvo en la web durante los días 3 a 5 de diciembre de 2018. Este portal ofreció un falso e inexistente </w:t>
      </w:r>
      <w:r w:rsidRPr="00A8138F">
        <w:rPr>
          <w:i/>
        </w:rPr>
        <w:t>tour</w:t>
      </w:r>
      <w:r>
        <w:t xml:space="preserve"> por los lugares por los que transitaron los cinco miembros del grupo “La Manada” el día 7 de julio de 2016 durante las fiestas de San Fermín y que dieron lugar a su condena penal, primero por un delito de abuso sexual, en virtud de sentencia de la Audiencia Provincial de Navarra de 20 de marzo de 2018 (ECLI:ES:APNA:2018:86), confirmada por la sentencia del Tribunal Superior de Justicia de Navarra de 30 de noviembre de 2018 (ECLI:ES:TSJNA:2018:473), que posteriormente fue casada por sentencia de 4 de julio de 2019 de la Sala de lo Penal del Tribunal Supremo (ECLI:ES:TS:2019:2200) condenándoles como autores de un delito de agresión sexual.</w:t>
      </w:r>
    </w:p>
    <w:p w14:paraId="31CD6C1A" w14:textId="77777777" w:rsidR="00A8138F" w:rsidRDefault="00A8138F" w:rsidP="00A8138F">
      <w:pPr>
        <w:pStyle w:val="TextoNormal"/>
      </w:pPr>
    </w:p>
    <w:p w14:paraId="1BD00915" w14:textId="77777777" w:rsidR="00A8138F" w:rsidRDefault="00A8138F" w:rsidP="00A8138F">
      <w:pPr>
        <w:pStyle w:val="TextoNormal"/>
      </w:pPr>
      <w:r>
        <w:t xml:space="preserve">b) En la citada web y en relación con este ficticio </w:t>
      </w:r>
      <w:r w:rsidRPr="00A8138F">
        <w:rPr>
          <w:i/>
        </w:rPr>
        <w:t>tour</w:t>
      </w:r>
      <w:r>
        <w:t xml:space="preserve"> se exponía que “entre el alcohol y el desenfreno, cinco varones con peinados a la última moda se encuentran a una joven en la céntrica Plaza del Castillo. Apenas veinte minutos después entraban con ella a un portal a 300 metros de distancia y la agredieron sexualmente. ¿Qué pasó en esos veinte minutos? ¿Dónde fueron los agresores después? ¿Cómo los identificó la policía? ¡Descúbrelo todo en este </w:t>
      </w:r>
      <w:r w:rsidRPr="00A8138F">
        <w:rPr>
          <w:i/>
        </w:rPr>
        <w:t>tour</w:t>
      </w:r>
      <w:r>
        <w:t xml:space="preserve">!”. Igualmente se explicaba que la ruta supuestamente ofertada partía “desde el lugar de la famosa foto de ‘La Manada’ frente a La Perla Vascongada (c/ Zapatería 17)”, añadiendo que “el último miércoles de cada mes recorreremos los puntos clave de la famosa noche hasta el lugar de su identificación frente a la Plaza de Toros. Tras ello, se podrán adquirir las camisetas que vestían los miembros de ‘La Manada’ en una tienda cercana”. Se ofertaba también la supuesta venta de calcomanías a imitación del tatuaje que llevaba uno de los integrantes de “La Manada”, conocido como “Prenda” y la ficticia realización de reservas de alojamiento en el Hotel Europa “en el corazón de la ciudad, donde dos de los miembros de ‘La Manada’ entraron a preguntar si había habitaciones por horas para follar”. En dicha página web el acusado publicaba una foto de los cinco miembros de “La Manada”, en cuyo pie agradecía el interés en el </w:t>
      </w:r>
      <w:r w:rsidRPr="00A8138F">
        <w:rPr>
          <w:i/>
        </w:rPr>
        <w:t>tour</w:t>
      </w:r>
      <w:r>
        <w:t>, advirtiendo que “solo tenemos veinte plazas por fecha, que admitimos por riguroso orden de inscripción. Unos días antes de la fecha que has elegido cerraremos las plazas y te comunicaremos si puedes entrar en esa”.</w:t>
      </w:r>
    </w:p>
    <w:p w14:paraId="72B92D4A" w14:textId="77777777" w:rsidR="00A8138F" w:rsidRDefault="00A8138F" w:rsidP="00A8138F">
      <w:pPr>
        <w:pStyle w:val="TextoNormal"/>
      </w:pPr>
    </w:p>
    <w:p w14:paraId="64D229CC" w14:textId="77777777" w:rsidR="00A8138F" w:rsidRDefault="00A8138F" w:rsidP="00A8138F">
      <w:pPr>
        <w:pStyle w:val="TextoNormal"/>
      </w:pPr>
      <w:r>
        <w:t>c) Con anterioridad a la creación de la web, el demandante de amparo había realizado determinadas actividades reivindicativas frente a los medios de comunicación relacionadas con otro tipo de situaciones. En este caso, presuntamente pretendía criticar el eco que, en ocasiones, algunos medios dan a determinadas noticias sin adverarlas. Para el juzgado, en este contexto, dado que objetivamente el contenido de la página web cosifica a la víctima del delito sexual, la instrumentaliza, utiliza su sufrimiento y desprecia su dignidad, el demandante de amparo asumió conscientemente como consecuencia necesaria el perjuicio que iba a causar a la víctima mediante su creación y publicación.</w:t>
      </w:r>
    </w:p>
    <w:p w14:paraId="57D20166" w14:textId="77777777" w:rsidR="00A8138F" w:rsidRDefault="00A8138F" w:rsidP="00A8138F">
      <w:pPr>
        <w:pStyle w:val="TextoNormal"/>
      </w:pPr>
    </w:p>
    <w:p w14:paraId="28352A2A" w14:textId="77777777" w:rsidR="00A8138F" w:rsidRDefault="00A8138F" w:rsidP="00A8138F">
      <w:pPr>
        <w:pStyle w:val="TextoNormal"/>
      </w:pPr>
      <w:r>
        <w:t>d) Como consecuencia de lo anterior, la víctima vio agravado el trastorno de estrés postraumático crónico que padece a causa de los hechos sufridos el 7 de julio de 2016, y por el que viene recibiendo, de forma continuada, tratamiento psicológico desde septiembre de 2016. Así, a raíz del visionado de la web, el 4 de diciembre de 2018, los síntomas de la perjudicada se exacerbaron, precisando de nuevo de ingesta de medicamentos e imposibilitándole la recuperación de la cierta normalidad que había alcanzado previamente a la apertura de la página, hasta aproximadamente el mes de mayo de 2019.</w:t>
      </w:r>
    </w:p>
    <w:p w14:paraId="6C5AA8C2" w14:textId="77777777" w:rsidR="00A8138F" w:rsidRDefault="00A8138F" w:rsidP="00A8138F">
      <w:pPr>
        <w:pStyle w:val="TextoNormal"/>
      </w:pPr>
    </w:p>
    <w:p w14:paraId="01E91979" w14:textId="77777777" w:rsidR="00A8138F" w:rsidRDefault="00A8138F" w:rsidP="00A8138F">
      <w:pPr>
        <w:pStyle w:val="TextoNormal"/>
      </w:pPr>
      <w:r>
        <w:t>La sentencia del Juzgado de lo Penal núm. 1 de Pamplona comienza analizando si la conducta del acusado puede ser constitutiva de un delito contra la integridad moral (art. 173.1 CP), para lo que la jurisprudencia del Tribunal Supremo señala como elementos esenciales que se trate de un acto de claro e inequívoco contenido vejatorio para el sujeto pasivo; que concurra un padecimiento físico o psíquico en la víctima y que el comportamiento del autor sea degradante o humillante con especial incidencia en el concepto de dignidad de la persona-víctima.</w:t>
      </w:r>
    </w:p>
    <w:p w14:paraId="47F26FCA" w14:textId="77777777" w:rsidR="00A8138F" w:rsidRDefault="00A8138F" w:rsidP="00A8138F">
      <w:pPr>
        <w:pStyle w:val="TextoNormal"/>
      </w:pPr>
    </w:p>
    <w:p w14:paraId="48CD13AB" w14:textId="77777777" w:rsidR="00A8138F" w:rsidRDefault="00A8138F" w:rsidP="00A8138F">
      <w:pPr>
        <w:pStyle w:val="TextoNormal"/>
      </w:pPr>
      <w:r>
        <w:t xml:space="preserve">Tras la cita de varias sentencias sobre la noción de “trato degradante” e “integridad moral” de este tribunal y del Tribunal Europeo de Derechos Humanos, la juzgadora afirma que la página web creada por el acusado “sin duda cosificaba la figura de la víctima de un delito grave contra la libertad sexual, empleando el sufrimiento y padecimiento de la misma con una presunta finalidad que se alega era crítica hacia los medios de comunicación, banalizando con ello a la víctima de un delito grave, y atentando de forma grave, sin género de duda, a la integridad moral de la misma”. A su entender, es en conjunto el contenido de la página web, “que recoge como </w:t>
      </w:r>
      <w:r w:rsidRPr="00A8138F">
        <w:rPr>
          <w:i/>
        </w:rPr>
        <w:t>tour</w:t>
      </w:r>
      <w:r>
        <w:t xml:space="preserve"> turístico (no informativo), lo que fue un drama personal para la víctima”, lo que socava su integridad moral, sin que pueda argüirse que no contenía expresiones vejatorias o individualizadas hacia ella. En definitiva, “[l]a víctima vio expuesto su sufrimiento, minimizado, banalizado y utilizado, en aras de una presunta crítica, en un claro desprecio por su dignidad”. Razona el órgano judicial que en el acto de la vista el acusado declaró que la elaboración de la página fue meditada y que pensó en que podría ser denunciado por los agresores sexuales. Asimismo, manifestó que uno de los motivos que le llevaron a cerrar la web fue que el Hotel Europa le instó a ello. Con base en las dos anteriores consideraciones, a la juzgadora le parece inverosímil la declaración del acusado respecto a que no tuvo en cuenta cómo repercutiría su acción en la perjudicada por el delito de “La Manada”. Por ello concluye que, “si bien pensó en ello [en cómo afectaría su actuación a la víctima], despreció las consecuencias que su conducta necesariamente iba a tener en la mujer víctima de la agresión sexual”.</w:t>
      </w:r>
    </w:p>
    <w:p w14:paraId="69BF7F76" w14:textId="77777777" w:rsidR="00A8138F" w:rsidRDefault="00A8138F" w:rsidP="00A8138F">
      <w:pPr>
        <w:pStyle w:val="TextoNormal"/>
      </w:pPr>
    </w:p>
    <w:p w14:paraId="4FCD3F93" w14:textId="77777777" w:rsidR="00A8138F" w:rsidRDefault="00A8138F" w:rsidP="00A8138F">
      <w:pPr>
        <w:pStyle w:val="TextoNormal"/>
      </w:pPr>
      <w:r>
        <w:t>Por otro lado, según la sentencia, la inclusión en la página del logo titularidad del Gobierno de Navarra contra la violencia de género denota un intento de eludir el impacto de la web en terceros, así como que el acusado era consciente del daño que podía producir a la víctima del delito y a terceras personas. Aunque el hecho delictivo fue “un acto único, con cierta permanencia temporal [ya que se publicó el 3 de diciembre y se retiró el día 5 del mismo mes] […] resulta bastante para considerarlo un trato degradante, dado que fue cruel y humillante, con intensidad bastante para considerarse degradante”.</w:t>
      </w:r>
    </w:p>
    <w:p w14:paraId="52F425AA" w14:textId="77777777" w:rsidR="00A8138F" w:rsidRDefault="00A8138F" w:rsidP="00A8138F">
      <w:pPr>
        <w:pStyle w:val="TextoNormal"/>
      </w:pPr>
    </w:p>
    <w:p w14:paraId="544EE5D8" w14:textId="77777777" w:rsidR="00A8138F" w:rsidRDefault="00A8138F" w:rsidP="00A8138F">
      <w:pPr>
        <w:pStyle w:val="TextoNormal"/>
      </w:pPr>
      <w:r>
        <w:t xml:space="preserve">Por lo que se refiere a las razones aducidas por la defensa relativas a que la intención del acusado era llevar a cabo una crítica a los medios de comunicación, apoyándose en anteriores </w:t>
      </w:r>
      <w:r w:rsidRPr="00A8138F">
        <w:rPr>
          <w:i/>
        </w:rPr>
        <w:t>performances</w:t>
      </w:r>
      <w:r>
        <w:t xml:space="preserve"> realizadas por el recurrente en amparo, se afirma en la sentencia que lo cierto es que lo que hizo “fue utilizar el sufrimiento de la víctima, instrumentarla, resultando […] inverosímil que no fuera consciente del perjuicio grave que le iba a causar, máxime teniendo en cuenta que admitió haber valorado el daño al hotel y nada menos que a los agresores, a quienes, atendiendo a su propia declaración, llegó a tener más en cuenta que a la víctima. Asumió, en consecuencia, el daño; asumió que atentaba contra la dignidad de la víctima; para cualquier persona de inteligencia media resulta patente que iba a afectar a la testigo protegida, pese a lo cual llevó a cabo la web, la colgó, y dio acceso a la misma, resultando indiferente a estos efectos que lo fuera vía medios de comunicación o por otras redes sociales, como Instagram, que fue a través de la cual la perjudicada expuso que había visto la página”. Para la juzgadora, “[a]tendiendo a los términos del Tribunal Constitucional (STC 181/2004, de 2 de noviembre), cometió un atentado frontal a la dignidad humana, cosificando a una persona, mediatizándola, olvidándose de que toda persona es un fin en sí mismo. Actuó dolosamente, en lo que se denomina un dolo de consecuencia necesaria; si es que de verdad pretendía la crítica, admitió el daño directo que necesariamente iba a causar a la víctima con su conducta y lo asumió”.</w:t>
      </w:r>
    </w:p>
    <w:p w14:paraId="00A181CB" w14:textId="77777777" w:rsidR="00A8138F" w:rsidRDefault="00A8138F" w:rsidP="00A8138F">
      <w:pPr>
        <w:pStyle w:val="TextoNormal"/>
      </w:pPr>
    </w:p>
    <w:p w14:paraId="32ABA707" w14:textId="77777777" w:rsidR="00A8138F" w:rsidRDefault="00A8138F" w:rsidP="00A8138F">
      <w:pPr>
        <w:pStyle w:val="TextoNormal"/>
      </w:pPr>
      <w:r>
        <w:t xml:space="preserve">A continuación, se razona acerca de los daños que tal conducta generó en la víctima, constatando a través de la declaración de su terapeuta que, a pesar de que esta había mejorado en su salud, tras la publicación del </w:t>
      </w:r>
      <w:r w:rsidRPr="00A8138F">
        <w:rPr>
          <w:i/>
        </w:rPr>
        <w:t>tour</w:t>
      </w:r>
      <w:r>
        <w:t xml:space="preserve"> de “La Manada” se reprodujeron y agravaron los síntomas padecidos a raíz de la agresión sexual.</w:t>
      </w:r>
    </w:p>
    <w:p w14:paraId="1C0106E8" w14:textId="77777777" w:rsidR="00A8138F" w:rsidRDefault="00A8138F" w:rsidP="00A8138F">
      <w:pPr>
        <w:pStyle w:val="TextoNormal"/>
      </w:pPr>
    </w:p>
    <w:p w14:paraId="66907A57" w14:textId="77777777" w:rsidR="00A8138F" w:rsidRDefault="00A8138F" w:rsidP="00A8138F">
      <w:pPr>
        <w:pStyle w:val="TextoNormal"/>
      </w:pPr>
      <w:r>
        <w:t xml:space="preserve">Por todas las consideraciones expuestas, la sentencia apreció la comisión por don Raúl San Mateo Martínez de un delito contra la integridad moral, dedicando el fundamento jurídico quinto a la individualización de la pena de prisión a imponer al acusado. En tal sentido, explica que impone la pena de un año y seis meses de prisión, encuadrable dentro de la prevista en abstracto para el citado tipo penal que es de seis meses a dos años, ya que en este caso si bien se trata de un acto único, “el contenido de la web, y la evidente finalidad de publicidad de la misma, sin perjuicio de los accesos totales que tuvo que […] </w:t>
      </w:r>
      <w:r w:rsidRPr="00A8138F">
        <w:rPr>
          <w:i/>
        </w:rPr>
        <w:t>a priori</w:t>
      </w:r>
      <w:r>
        <w:t xml:space="preserve"> no eran predecibles en tal número, ponen de manifiesto que la conducta fue grave”.</w:t>
      </w:r>
    </w:p>
    <w:p w14:paraId="0684BC61" w14:textId="77777777" w:rsidR="00A8138F" w:rsidRDefault="00A8138F" w:rsidP="00A8138F">
      <w:pPr>
        <w:pStyle w:val="TextoNormal"/>
      </w:pPr>
    </w:p>
    <w:p w14:paraId="5D469495" w14:textId="77777777" w:rsidR="00A8138F" w:rsidRDefault="00A8138F" w:rsidP="00A8138F">
      <w:pPr>
        <w:pStyle w:val="TextoNormal"/>
      </w:pPr>
      <w:r>
        <w:t>Finalmente, el órgano judicial fija la indemnización por daño moral a la víctima en 15 000 €, habida cuenta de que se trata de “unos hechos graves, que merecen una efectiva repulsa social” y que “provocaron un agravamiento de la sintomatología que por estrés postraumático ya padecía la testigo protegida con anterioridad” y que “[e]sa agravación cronológicamente puede fijarse en el intervalo temporal entre el 4 de diciembre de 2018, fecha en la que la testigo vio la web y conoció su contenido, y aproximadamente mayo de 2019”.</w:t>
      </w:r>
    </w:p>
    <w:p w14:paraId="777FF8C8" w14:textId="77777777" w:rsidR="00A8138F" w:rsidRDefault="00A8138F" w:rsidP="00A8138F">
      <w:pPr>
        <w:pStyle w:val="TextoNormal"/>
      </w:pPr>
    </w:p>
    <w:p w14:paraId="30F4D09E" w14:textId="77777777" w:rsidR="00A8138F" w:rsidRDefault="00A8138F" w:rsidP="00A8138F">
      <w:pPr>
        <w:pStyle w:val="TextoNormal"/>
      </w:pPr>
      <w:r>
        <w:t>B) No conforme con la sentencia dictada en la instancia, el señor San Mateo interpuso recurso de apelación que fue desestimado por sentencia de la Sección Segunda de la Audiencia Provincial de Navarra de 3 de junio de 2020.</w:t>
      </w:r>
    </w:p>
    <w:p w14:paraId="3F29C7FB" w14:textId="77777777" w:rsidR="00A8138F" w:rsidRDefault="00A8138F" w:rsidP="00A8138F">
      <w:pPr>
        <w:pStyle w:val="TextoNormal"/>
      </w:pPr>
    </w:p>
    <w:p w14:paraId="129E3B74" w14:textId="77777777" w:rsidR="00A8138F" w:rsidRDefault="00A8138F" w:rsidP="00A8138F">
      <w:pPr>
        <w:pStyle w:val="TextoNormal"/>
      </w:pPr>
      <w:r>
        <w:t>En el escrito de formalización de su recurso, el apelante desarrollaba los siguientes motivos de impugnación, que fueron rechazados por la Sala:</w:t>
      </w:r>
    </w:p>
    <w:p w14:paraId="5FB9818E" w14:textId="77777777" w:rsidR="00A8138F" w:rsidRDefault="00A8138F" w:rsidP="00A8138F">
      <w:pPr>
        <w:pStyle w:val="TextoNormal"/>
      </w:pPr>
    </w:p>
    <w:p w14:paraId="5C8328FA" w14:textId="77777777" w:rsidR="00A8138F" w:rsidRDefault="00A8138F" w:rsidP="00A8138F">
      <w:pPr>
        <w:pStyle w:val="TextoNormal"/>
      </w:pPr>
      <w:r>
        <w:t>a) En primer lugar, la vulneración del derecho a la tutela judicial efectiva y a un proceso con todas las garantías causante de indefensión, así como la predeterminación del fallo que debiera implicar la nulidad de la sentencia, por haber incluido en el relato de hechos probados expresiones tales como que la actuación del acusado supuso “una cosificación de la víctima”, “una utilización de la misma y de su sufrimiento previo”, “despreciando la dignidad de la perjudicada”, lo que supone suplantar el relato fáctico con una valoración jurídica, introduciendo expresiones propias de la valoración del tipo penal aplicado que deberían haberse introducido en la fundamentación jurídica de la sentencia y que tratan de construir el “dolo consecuencial” del acusado. Lo mismo puede decirse respecto a la inclusión en el relato de hechos probados del término “cosificación de la víctima”, ya que se trata de un término eminentemente jurídico. La sala de apelación desestima el motivo al considerar que los términos incorporados no revisten el carácter que el apelante le pretende atribuir.</w:t>
      </w:r>
    </w:p>
    <w:p w14:paraId="47AC7094" w14:textId="77777777" w:rsidR="00A8138F" w:rsidRDefault="00A8138F" w:rsidP="00A8138F">
      <w:pPr>
        <w:pStyle w:val="TextoNormal"/>
      </w:pPr>
    </w:p>
    <w:p w14:paraId="4CF80511" w14:textId="77777777" w:rsidR="00A8138F" w:rsidRDefault="00A8138F" w:rsidP="00A8138F">
      <w:pPr>
        <w:pStyle w:val="TextoNormal"/>
      </w:pPr>
      <w:r>
        <w:t xml:space="preserve">b) En segundo término, alega la vulneración del derecho a la tutela judicial efectiva, a un juez imparcial y a un proceso con todas las garantías, invocando igualmente la infracción del principio acusatorio. Según el recurrente, la acusación inicial tenía por objeto, y así se hacía constar en los hechos probados de la acusación, incitar a la gente a conocer cómo se produjo la agresión sexual sufrida por la víctima con el único fin de enaltecer la figura de los agresores sexuales, pretendiendo generar un clima de odio entre la sociedad y la víctima, lesionando la dignidad de esta última. Sin embargo, a lo largo del procedimiento ha quedado probado que el </w:t>
      </w:r>
      <w:r w:rsidRPr="00A8138F">
        <w:rPr>
          <w:i/>
        </w:rPr>
        <w:t>tour</w:t>
      </w:r>
      <w:r>
        <w:t xml:space="preserve"> de “La Manada” no era real sino un acto reivindicativo para llamar la atención por la desinformación de los medios y su tendencia a recoger noticias escabrosas sin contrastar las fuentes. Esta era la verdadera intención del falso </w:t>
      </w:r>
      <w:r w:rsidRPr="00A8138F">
        <w:rPr>
          <w:i/>
        </w:rPr>
        <w:t>tour</w:t>
      </w:r>
      <w:r>
        <w:t xml:space="preserve"> y no la de atentar contra la dignidad de la víctima ni incitar a la gente a que conociera la ruta, ni justificar ni comerciar con la agresión sufrida en su día por la víctima. Niega que declarara, como dice la sentencia, que retiró la web a solicitud del Hotel Europa e insiste en que pensó que los denunciantes eran los condenados ya que se había referido a ellos como agresores sexuales a pesar de que la sentencia de la Audiencia Provincial de Navarra los había condenado por abuso sexual. A partir de estas consideraciones, el recurrente entiende que la juzgadora de instancia ha modificado el enjuiciamiento de una acusación inicial por delito con “dolo directo” por otra con “dolo consecuencial”, al afirmar que el acusado, en el contexto en que se produce la publicación, asumió conscientemente como consecuencia necesaria de su actuación el perjuicio que iba a causarle a la víctima, lo que habría alterado el sentido de la tesis acusatoria sostenida por la parte personada como acusación. La Sala rechaza el motivo al considerar que no se ha vulnerado el principio acusatorio, pues el elemento subjetivo del tipo está integrado por la voluntad “cualquiera que sea la forma en que esta se manifieste” de ofender o denigrar cuando no constan circunstancias concurrentes que permitan inferir otra motivación ajena a la necesaria consecuencia de afrenta a la dignidad de la persona humana. En este caso, según el órgano judicial, el dolo de ofender o desconocer las exigencias vinculadas al respeto a la dignidad personal va implícito en los propios actos desplegados ya que no constan otras circunstancias concurrentes que permitan inferir otra motivación ajena. No es en modo alguno arbitrario que el juez </w:t>
      </w:r>
      <w:r w:rsidRPr="00A8138F">
        <w:rPr>
          <w:i/>
        </w:rPr>
        <w:t>a quo</w:t>
      </w:r>
      <w:r>
        <w:t xml:space="preserve"> aprecie en este caso la concurrencia de un dolo de segundo grado o de consecuencias necesarias.</w:t>
      </w:r>
    </w:p>
    <w:p w14:paraId="7EC8FF87" w14:textId="77777777" w:rsidR="00A8138F" w:rsidRDefault="00A8138F" w:rsidP="00A8138F">
      <w:pPr>
        <w:pStyle w:val="TextoNormal"/>
      </w:pPr>
    </w:p>
    <w:p w14:paraId="594DB004" w14:textId="77777777" w:rsidR="00A8138F" w:rsidRDefault="00A8138F" w:rsidP="00A8138F">
      <w:pPr>
        <w:pStyle w:val="TextoNormal"/>
      </w:pPr>
      <w:r>
        <w:t xml:space="preserve">c) La tercera vulneración que el recurrente imputa a la sentencia de instancia es la del derecho a la tutela judicial efectiva, concretamente la de incongruencia de los hechos probados, al recoger el término “presuntamente” en los mismos (dado que se declara en la sentencia que el acusado pretendía “presuntamente con carácter principal criticar el eco que algunos medios de comunicación se hacen en ocasiones de determinadas noticias sin adverarlas”). La introducción de dicho adverbio vulnera, según el recurrente, el derecho a una sentencia congruente ya que su inclusión tiene por objeto hacer dudar de la intención a la que respondía la publicación de la página web. La Sala, en la misma línea seguida al examinar la vulneración anterior, desestima el motivo e insiste en que, tal y como pone de relieve la juez </w:t>
      </w:r>
      <w:r w:rsidRPr="00A8138F">
        <w:rPr>
          <w:i/>
        </w:rPr>
        <w:t>a quo</w:t>
      </w:r>
      <w:r>
        <w:t>, es el contenido de la web el que supone objetivamente una cosificación de la víctima y una utilización e instrumentalización de su sufrimiento, habiendo asumido el acusado el daño que iba a causar en la víctima.</w:t>
      </w:r>
    </w:p>
    <w:p w14:paraId="360A90C8" w14:textId="77777777" w:rsidR="00A8138F" w:rsidRDefault="00A8138F" w:rsidP="00A8138F">
      <w:pPr>
        <w:pStyle w:val="TextoNormal"/>
      </w:pPr>
    </w:p>
    <w:p w14:paraId="30E4C0E3" w14:textId="77777777" w:rsidR="00A8138F" w:rsidRDefault="00A8138F" w:rsidP="00A8138F">
      <w:pPr>
        <w:pStyle w:val="TextoNormal"/>
      </w:pPr>
      <w:r>
        <w:t xml:space="preserve">d) A continuación, el recurrente alega la vulneración de precepto sustantivo, error en la valoración de la prueba e inaplicación de tipo penal. Sostiene el recurrente que los hechos no son constitutivos del tipo penal aplicado y, haciendo suyos los argumentos del Ministerio Fiscal, aduce que desde la apertura de las actuaciones ha sostenido que los hechos no eran constitutivos de un delito contra la integridad moral del art. 173.1 CP, al no ser los hechos objetivamente vejatorios de carácter grave ni existir el elemento subjetivo de dolo. Afirma que no todo lo que molesta a una víctima constituye un trato degradante. Insiste en que la finalidad perseguida mediante la creación de la página web y el falso </w:t>
      </w:r>
      <w:r w:rsidRPr="00A8138F">
        <w:rPr>
          <w:i/>
        </w:rPr>
        <w:t>tour</w:t>
      </w:r>
      <w:r>
        <w:t xml:space="preserve"> fue criticar el uso que de los hechos acaecidos en Pamplona en relación con la víctima se hizo por los medios de comunicación. O en palabras del fiscal “lo que realmente quería denunciar en la web era precisamente lo mismo que los medios de comunicación estaban haciendo con la difusión de su página del </w:t>
      </w:r>
      <w:r w:rsidRPr="00A8138F">
        <w:rPr>
          <w:i/>
        </w:rPr>
        <w:t>tour</w:t>
      </w:r>
      <w:r>
        <w:t xml:space="preserve"> de ‘La Manada’”. Insiste en que no existía en la página web ninguna expresión que objetivamente pueda considerarse como vejatoria hacia la víctima y, además, señaló en el juicio oral que “cuando tuvo conocimiento de la denuncia, pensó que quién le había denunciado sería [</w:t>
      </w:r>
      <w:r w:rsidRPr="00A8138F">
        <w:rPr>
          <w:i/>
        </w:rPr>
        <w:t>sic</w:t>
      </w:r>
      <w:r>
        <w:t xml:space="preserve">] los integrantes de ‘La Manada’ porque en la página les ridiculizaba”. Terminaba mostrando su absoluto respeto a la víctima y su disconformidad con la testifical de la psicóloga que había atendido a la misma. La Sala, sin embargo, sobre la base de los hechos probados y de los razonamientos de la sentencia de instancia, reitera la valoración “técnico-jurídica” de los hechos y de su relevancia penal, con apoyo en la jurisprudencia de la Sala de lo Penal del Tribunal Supremo. Igualmente rechaza la existencia de error en la valoración de la prueba testifical impugnada pues, partiendo de que el tribunal de apelación tiene unas facultades restringidas para analizar la prueba personal practicada, por constituir el principio de inmediación un límite a dicha facultad, considera que los argumentos valorativos aportados por la sentencia apelada son razonables y, por ello, ratifica “la corrección del juicio de inferencia realizado por la juzgadora </w:t>
      </w:r>
      <w:r w:rsidRPr="00A8138F">
        <w:rPr>
          <w:i/>
        </w:rPr>
        <w:t>a quo</w:t>
      </w:r>
      <w:r>
        <w:t>”, que se ajusta a las reglas de la lógica, a los principios de la experiencia y a los parámetros de motivación exigibles.</w:t>
      </w:r>
    </w:p>
    <w:p w14:paraId="74D86EBB" w14:textId="77777777" w:rsidR="00A8138F" w:rsidRDefault="00A8138F" w:rsidP="00A8138F">
      <w:pPr>
        <w:pStyle w:val="TextoNormal"/>
      </w:pPr>
    </w:p>
    <w:p w14:paraId="2BA52609" w14:textId="77777777" w:rsidR="00A8138F" w:rsidRDefault="00A8138F" w:rsidP="00A8138F">
      <w:pPr>
        <w:pStyle w:val="TextoNormal"/>
      </w:pPr>
      <w:r>
        <w:t>e) El recurrente alegó, asimismo, que la sentencia incurría en incongruencia omisiva, ya que no se pronuncia sobre la atenuante de reparación del daño y desproporcionalidad de la pena impuesta. Alude, en concreto, al hecho acreditado de que ingresó la cantidad de 300 €, a requerimiento del juzgado instructor, en concepto de responsabilidad civil. Dicha alegación también fue desestimada al considerar la Sala que la cantidad ingresada por el acusado al finalizar la instrucción tenía por objeto responder de la posible existencia de responsabilidad civil, pero no el de reparar el daño. Tampoco se considera desproporcionada la pena impuesta.</w:t>
      </w:r>
    </w:p>
    <w:p w14:paraId="147378A5" w14:textId="77777777" w:rsidR="00A8138F" w:rsidRDefault="00A8138F" w:rsidP="00A8138F">
      <w:pPr>
        <w:pStyle w:val="TextoNormal"/>
      </w:pPr>
    </w:p>
    <w:p w14:paraId="1C5524AB" w14:textId="77777777" w:rsidR="00A8138F" w:rsidRDefault="00A8138F" w:rsidP="00A8138F">
      <w:pPr>
        <w:pStyle w:val="TextoNormal"/>
      </w:pPr>
      <w:r>
        <w:t>f) Por último, el recurrente denuncia la existencia de error en el criterio para fijar la indemnización por daños morales y su desproporción, máxime cuando no ha quedado acreditado ese daño moral o cuando la imparcialidad de la psicóloga de la víctima resulta cuanto menos cuestionable. Subraya, en ese sentido, la desproporción entre la cuantía que el juzgado instructor le requirió para que consignara en concepto de fianza, 300 €, y la que finalmente le ha sido impuesta en la sentencia. La Sala desestima el motivo, señalando que la fijación en el auto de apertura de juicio oral de una determinada cantidad lo es a título provisional y “no produce ningún efecto prejudicial sobre la determinación de esta cantidad en la sentencia recurrida”. Asimismo, con apoyo en la jurisprudencia del Tribunal Supremo, destaca que “la traducción económica de una reparación por daños morales es tarea reservada a la discrecionalidad del tribunal de instancia”, ratificando la argumentación sostenida en el fundamento jurídico séptimo de la sentencia de instancia para rechazar este último motivo.</w:t>
      </w:r>
    </w:p>
    <w:p w14:paraId="1F8CE1B8" w14:textId="77777777" w:rsidR="00A8138F" w:rsidRDefault="00A8138F" w:rsidP="00A8138F">
      <w:pPr>
        <w:pStyle w:val="TextoNormal"/>
      </w:pPr>
    </w:p>
    <w:p w14:paraId="01F8D42B" w14:textId="77777777" w:rsidR="00A8138F" w:rsidRDefault="00A8138F" w:rsidP="00A8138F">
      <w:pPr>
        <w:pStyle w:val="TextoNormal"/>
      </w:pPr>
      <w:r>
        <w:t>C) El demandante de amparo interpuso recurso de casación, alegando como motivos, en primer término, la infracción de ley por indebida aplicación del art. 849.1 de la Ley de enjuiciamiento criminal (LECrim) pues, a su juicio, los hechos enjuiciados no pueden subsumirse en el citado tipo, visto que se ha admitido que la única intención que perseguía con la difusión de la web era de naturaleza reivindicativa, consistente en realizar una crítica a los medios de comunicación. En segundo lugar, alega la vulneración de los arts. 1, 2, 4 y 5 CP, al considerar que los hechos no están tipificados como delito.</w:t>
      </w:r>
    </w:p>
    <w:p w14:paraId="3306F10C" w14:textId="77777777" w:rsidR="00A8138F" w:rsidRDefault="00A8138F" w:rsidP="00A8138F">
      <w:pPr>
        <w:pStyle w:val="TextoNormal"/>
      </w:pPr>
    </w:p>
    <w:p w14:paraId="04704162" w14:textId="77777777" w:rsidR="00A8138F" w:rsidRDefault="00A8138F" w:rsidP="00A8138F">
      <w:pPr>
        <w:pStyle w:val="TextoNormal"/>
      </w:pPr>
      <w:r>
        <w:t>La Sala de lo Penal del Tribunal Supremo inadmitió el recurso mediante providencia de 26 de noviembre de 2020 razonando, en primer lugar, que la cuestión formulada carece de interés casacional “toda vez que ha sido resuelta por esta Sala entre otras, en la sentencia núm. 86/2020, de 3 de marzo [ECLI:ES:TS:2020:924], en el que recordábamos que el tipo previsto en el art. 173.1 CP no prevé un dolo específico”. La providencia destaca que, en apelación, “se declaró la concurrencia de los elementos del tipo y la racionalidad de la valoración realizada por el Juzgado de lo Penal para concluir que el acusado cometió un atentado frontal a la dignidad humana, cosificando a una persona, pudiendo coexistir el ánimo denigrante con la persecución de otros móviles específicos”.</w:t>
      </w:r>
    </w:p>
    <w:p w14:paraId="5EC3BD39" w14:textId="77777777" w:rsidR="00A8138F" w:rsidRDefault="00A8138F" w:rsidP="00A8138F">
      <w:pPr>
        <w:pStyle w:val="TextoNormal"/>
      </w:pPr>
    </w:p>
    <w:p w14:paraId="57057EF8" w14:textId="77777777" w:rsidR="00A8138F" w:rsidRDefault="00A8138F" w:rsidP="00A8138F">
      <w:pPr>
        <w:pStyle w:val="TextoNormal"/>
      </w:pPr>
      <w:r>
        <w:t>En segundo término, se aduce que el recurrente no respeta el relato de hechos probados de la sentencia de instancia, que recoge unos hechos “que permiten considerar ajustada a la jurisprudencia de esta Sala la calificación de los hechos como constitutivos de un delito de trato degradante por el que fue condenado”. Se cita, al respecto, la STS 157/2019, de 26 de marzo (ECLI:ES:TS:2019:982).</w:t>
      </w:r>
    </w:p>
    <w:p w14:paraId="4FF4FB86" w14:textId="77777777" w:rsidR="00A8138F" w:rsidRDefault="00A8138F" w:rsidP="00A8138F">
      <w:pPr>
        <w:pStyle w:val="TextoNormal"/>
      </w:pPr>
    </w:p>
    <w:p w14:paraId="1E5728DE" w14:textId="77777777" w:rsidR="00A8138F" w:rsidRDefault="00A8138F" w:rsidP="00A8138F">
      <w:pPr>
        <w:pStyle w:val="TextoNormal"/>
      </w:pPr>
      <w:r>
        <w:t>En tercer lugar, se afirma que la indebida inaplicación de los arts. 21.5 y 66.1.1 CP carece de interés casacional pues, de una parte, la consignación de una determinada cantidad (300 €) en concepto de fianza, establecida con carácter provisional en el auto de apertura del juicio oral no tiene ninguna eficacia atenuatoria y, de otra, respecto de la denunciada desproporción entre la cantidad afianzada y la que finalmente resultó de la sentencia condenatoria por el concepto de responsabilidad por daño moral (15 000 €) es “una cuestión de naturaleza probatoria que fue resuelta en la sentencia de apelación, en la que se declaró la suficiencia de la prueba y la racionalidad de la valoración realizada por el Juzgado de lo Penal”. Además, subraya que “los morales no necesitan, en principio, probanza alguna cuando su existencia se infiere inequívocamente de los hechos declarados probados”.</w:t>
      </w:r>
    </w:p>
    <w:p w14:paraId="552B6803" w14:textId="77777777" w:rsidR="00A8138F" w:rsidRDefault="00A8138F" w:rsidP="00A8138F">
      <w:pPr>
        <w:pStyle w:val="TextoNormal"/>
      </w:pPr>
    </w:p>
    <w:p w14:paraId="569B64D9" w14:textId="77777777" w:rsidR="00A8138F" w:rsidRDefault="00A8138F" w:rsidP="00A8138F">
      <w:pPr>
        <w:pStyle w:val="TextoNormal"/>
      </w:pPr>
      <w:r>
        <w:t>Igualmente se rechaza la denunciada infracción del art. 66 CP, relacionado con la individualización de la pena, pues queda, “al margen del cauce casacional elegido”. En el caso presente, destaca la Sala que “se ha hecho un uso proporcionado y exento de arbitrariedad, habiéndose explicitado por el órgano sentenciador los motivos por los que estimó que la pena proporcionada al hecho debía situarse en la mitad superior de la franja punitiva”.</w:t>
      </w:r>
    </w:p>
    <w:p w14:paraId="0D70AAE2" w14:textId="77777777" w:rsidR="00A8138F" w:rsidRDefault="00A8138F" w:rsidP="00A8138F">
      <w:pPr>
        <w:pStyle w:val="TextoNormal"/>
      </w:pPr>
    </w:p>
    <w:p w14:paraId="50F3C2C9" w14:textId="4958CF8A" w:rsidR="00A8138F" w:rsidRDefault="00A8138F" w:rsidP="00A8138F">
      <w:pPr>
        <w:pStyle w:val="TextoNormal"/>
      </w:pPr>
      <w:r>
        <w:t>Finalmente, el Alto Tribunal inadmite el cuarto y último motivo de casación, relativo a la imposición del abono de las costas procesales en la alzada, pues no se denuncia la infracción de un precepto penal de carácter sustantivo u otra norma jurídica del mismo carácter, que deba ser observada en la aplicación de la ley penal.</w:t>
      </w:r>
    </w:p>
    <w:p w14:paraId="08BE36B8" w14:textId="77777777" w:rsidR="00A8138F" w:rsidRDefault="00A8138F" w:rsidP="00A8138F">
      <w:pPr>
        <w:pStyle w:val="TextoNormal"/>
      </w:pPr>
    </w:p>
    <w:p w14:paraId="7AF74FCC" w14:textId="77777777" w:rsidR="00A8138F" w:rsidRDefault="00A8138F" w:rsidP="00A8138F">
      <w:pPr>
        <w:pStyle w:val="TextoNormal"/>
      </w:pPr>
      <w:r w:rsidRPr="00A8138F">
        <w:rPr>
          <w:rStyle w:val="NumeroAFNegritaCaracter"/>
        </w:rPr>
        <w:t>3</w:t>
      </w:r>
      <w:r>
        <w:t>. La demanda de amparo identifica las resoluciones judiciales impugnadas y, tras una descripción de los antecedentes que considera relevantes, alega vulnerados los siguientes derechos fundamentales:</w:t>
      </w:r>
    </w:p>
    <w:p w14:paraId="043B5E43" w14:textId="77777777" w:rsidR="00A8138F" w:rsidRDefault="00A8138F" w:rsidP="00A8138F">
      <w:pPr>
        <w:pStyle w:val="TextoNormal"/>
      </w:pPr>
    </w:p>
    <w:p w14:paraId="3299EA42" w14:textId="77777777" w:rsidR="00A8138F" w:rsidRDefault="00A8138F" w:rsidP="00A8138F">
      <w:pPr>
        <w:pStyle w:val="TextoNormal"/>
      </w:pPr>
      <w:r>
        <w:t>a) Infracción del derecho fundamental a la libertad de expresión [art. 20.1 a) CE]. Aunque el recurrente denuncia en este primer motivo la vulneración del derecho a la libertad de expresión, también alega la vulneración del derecho a la producción y creación literaria y artística [art. 20.1 b) CE], si bien no lo invoca de forma autónoma por considerar que “no es sino una concreción” de aquel, de acuerdo con la doctrina constitucional (STC 153/1985, de 7 de noviembre, FJ 5).</w:t>
      </w:r>
    </w:p>
    <w:p w14:paraId="44AA4B83" w14:textId="77777777" w:rsidR="00A8138F" w:rsidRDefault="00A8138F" w:rsidP="00A8138F">
      <w:pPr>
        <w:pStyle w:val="TextoNormal"/>
      </w:pPr>
    </w:p>
    <w:p w14:paraId="559C0DC9" w14:textId="77777777" w:rsidR="00A8138F" w:rsidRDefault="00A8138F" w:rsidP="00A8138F">
      <w:pPr>
        <w:pStyle w:val="TextoNormal"/>
      </w:pPr>
      <w:r>
        <w:t>A juicio del demandante de amparo, ninguna de las resoluciones judiciales impugnadas ha efectuado una ponderación suficiente y previa a la aplicación del tipo penal, atendiendo a las circunstancias concurrentes del caso concreto, con el fin de determinar si la conducta enjuiciada constituye ejercicio legítimo del mencionado derecho fundamental a la libertad de expresión, en cuyo caso operaría como “causa excluyente de la antijuricidad”. Cita al efecto las SSTC 177/2015, de 22 de julio; 112/2016, de 20 de junio, y 35/2020, de 25 de febrero, apelando a la dimensión objetiva del derecho a la libertad de expresión como condición imprescindible para la existencia de la democracia y de una opinión pública libre.</w:t>
      </w:r>
    </w:p>
    <w:p w14:paraId="7C76A28B" w14:textId="77777777" w:rsidR="00A8138F" w:rsidRDefault="00A8138F" w:rsidP="00A8138F">
      <w:pPr>
        <w:pStyle w:val="TextoNormal"/>
      </w:pPr>
    </w:p>
    <w:p w14:paraId="55DE0DBF" w14:textId="77777777" w:rsidR="00A8138F" w:rsidRDefault="00A8138F" w:rsidP="00A8138F">
      <w:pPr>
        <w:pStyle w:val="TextoNormal"/>
      </w:pPr>
      <w:r>
        <w:t xml:space="preserve">Seguidamente recurre a la doctrina establecida en la STC 35/2020, y a las allí citadas para hacer una síntesis del derecho a la libertad de expresión destacando su carácter institucional y la proporcionalidad de la limitación penal del ejercicio del derecho a la libertad de expresión. En este punto, insiste en que es necesario antes de proceder a la aplicación del tipo penal valorar si la conducta enjuiciada constituye un ejercicio lícito del derecho a la libertad de expresión. En su opinión, la ausencia de dicho examen o “su realización sin incluir en él la conexión de los comportamientos enjuiciados con el contenido de los derechos fundamentales y de las libertades públicas no es constitucionalmente admisible” y “constituye en sí mismo una vulneración de los derechos fundamentales no tomados en consideración”. Sobre este particular, cita la STEDH de 11 de junio de 2020, asunto </w:t>
      </w:r>
      <w:r w:rsidRPr="00A8138F">
        <w:rPr>
          <w:i/>
        </w:rPr>
        <w:t>Baldassi y otros c. Francia</w:t>
      </w:r>
      <w:r>
        <w:t>, en la que se concluyó que la justicia francesa no había tenido en cuenta ni el perfil de los activistas como personas vinculadas a los derechos humanos, ni el contexto de la acción, sosteniendo el recurrente que la publicación de la web que está en el origen de la demanda de amparo no difiere de múltiples publicaciones y páginas satíricas o programas de humor en los que se utiliza una falsa noticia para criticar o hacer una sátira.</w:t>
      </w:r>
    </w:p>
    <w:p w14:paraId="30CE1892" w14:textId="77777777" w:rsidR="00A8138F" w:rsidRDefault="00A8138F" w:rsidP="00A8138F">
      <w:pPr>
        <w:pStyle w:val="TextoNormal"/>
      </w:pPr>
    </w:p>
    <w:p w14:paraId="1C9FA391" w14:textId="77777777" w:rsidR="00A8138F" w:rsidRDefault="00A8138F" w:rsidP="00A8138F">
      <w:pPr>
        <w:pStyle w:val="TextoNormal"/>
      </w:pPr>
      <w:r>
        <w:t xml:space="preserve">En este sentido, destaca que la publicación de la web se realiza dentro de la tradición de la </w:t>
      </w:r>
      <w:r w:rsidRPr="00A8138F">
        <w:rPr>
          <w:i/>
        </w:rPr>
        <w:t>culture jamming</w:t>
      </w:r>
      <w:r>
        <w:t xml:space="preserve"> o movimiento artístico caracterizado por ser contrario al consumismo y que “promueve intervenciones en los medios de comunicación de masas para producir comentarios satíricos sobre ellos, utilizando sus mismos métodos y sus mismas vías”. Además, hay que resaltar que la web no contiene ninguna referencia vejatoria hacia la víctima. Advierte cómo a pesar de que se caricaturiza a los miembros de “La Manada”, al describirlos como “cinco varones con peinados a la última moda”, la sentencia lo interpreta como una laudatoria a los mismos. Por el contrario, la sentencia no tiene en cuenta tres importantes detalles que ponen de manifiesto la repulsa del autor de la página web a los actos de violencia sexual que padeció la víctima. En primer lugar, que se calificaba a los miembros de “La Manada” como “agresores”, adhiriéndose así a la tesis de la víctima en cuanto que lo que ocurrió no fue un abuso, sino una agresión, debiéndose tener en cuenta que en el momento en que se publica la página la sentencia que había recaído de la Audiencia Provincial de Navarra se refería a los hechos como constitutivos de un abuso y no de una agresión.</w:t>
      </w:r>
    </w:p>
    <w:p w14:paraId="0817727E" w14:textId="77777777" w:rsidR="00A8138F" w:rsidRDefault="00A8138F" w:rsidP="00A8138F">
      <w:pPr>
        <w:pStyle w:val="TextoNormal"/>
      </w:pPr>
    </w:p>
    <w:p w14:paraId="45277ABF" w14:textId="77777777" w:rsidR="00A8138F" w:rsidRDefault="00A8138F" w:rsidP="00A8138F">
      <w:pPr>
        <w:pStyle w:val="TextoNormal"/>
      </w:pPr>
      <w:r>
        <w:t xml:space="preserve">En segundo lugar, en la web se decía literalmente que “con este </w:t>
      </w:r>
      <w:r w:rsidRPr="00A8138F">
        <w:rPr>
          <w:i/>
        </w:rPr>
        <w:t>tour</w:t>
      </w:r>
      <w:r>
        <w:t xml:space="preserve"> pretendemos dar a conocer los hechos del caso de La Manada para denunciar el maltrato a la mujer”, añadiendo después, de forma jocosa que “además de atraer turismo a Pamplona”. Y, en tercer lugar y más evidente, que en la web se incluía el logo oficial del Gobierno de Navarra sobre el maltrato contra la mujer. La preterición de las circunstancias expuestas y el contexto en el que se produce la actuación enjuiciada, según la STC 35/2020, hace imposible ponderar si el acto comunicativo debe entenderse como realizado en el ejercicio legítimo del derecho a la libertad de expresión. Las sentencias, en definitiva, no tienen en cuenta que en el presente caso el contenido de la web no es una broma o un juego, sino una acción activista provocadora que intentaba denunciar el modo de proceder de los medios de comunicación de masas en noticias tan mediáticas como la que está en el origen de este caso. Es más, a la vista del eco mediático que se le dio a la página web, quedó probada la denuncia de tal manera de informar de los medios, eso sí, con graves consecuencias para el acusado.</w:t>
      </w:r>
    </w:p>
    <w:p w14:paraId="1655D6F4" w14:textId="77777777" w:rsidR="00A8138F" w:rsidRDefault="00A8138F" w:rsidP="00A8138F">
      <w:pPr>
        <w:pStyle w:val="TextoNormal"/>
      </w:pPr>
    </w:p>
    <w:p w14:paraId="7EB1FED1" w14:textId="77777777" w:rsidR="00A8138F" w:rsidRDefault="00A8138F" w:rsidP="00A8138F">
      <w:pPr>
        <w:pStyle w:val="TextoNormal"/>
      </w:pPr>
      <w:r>
        <w:t xml:space="preserve">Por otro lado, entiende que tampoco se tienen en cuenta en la sentencia las anteriores acciones del colectivo al que pertenece el recurrente, es decir, a un colectivo denominado Homo Velamine (homovelamine.com) que viene desarrollando campañas de “contrainformación” sobre cuestiones de interés social, utilizando evidentes bulos o </w:t>
      </w:r>
      <w:r w:rsidRPr="00A8138F">
        <w:rPr>
          <w:i/>
        </w:rPr>
        <w:t>fake news</w:t>
      </w:r>
      <w:r>
        <w:t xml:space="preserve"> que resultan disparatadas y absurdas. Dicho colectivo se define como “ultrarracionalista” y realiza actividades de ensayo, relato, vídeo, poesía y radio, y utiliza la sátira y la ironía para abordar los asuntos sobre los que desea expresarse. A partir del enjuiciamiento del caso concreto que el Tribunal Constitucional llevó a la cabo en la STC 35/2020, el demandante de amparo subraya que este tribunal criticó especialmente que las resoluciones judiciales impugnadas hubieran considerado irrelevante “ponderar cuál era la intención —irónica, provocadora o sarcástica— del recurrente al emitir sus mensajes en relación con su trayectoria profesional […], con el contexto en que se emitían los mensajes y con el mantenimiento de una línea de coherencia personal de condena de la violencia como medio de resolución de conflictos”. Sostiene que las resoluciones impugnadas no efectúan ninguna ponderación sobre el ejercicio lícito del derecho a la libertad de expresión como exención de la antijuridicidad. Así, subraya que en el relato de hechos probados de la sentencia del Juzgado de lo Penal, aunque se hace referencia a que el recurrente en amparo “pretendía con carácter principal criticar el eco que algunos medios se hacen en ocasiones de determinadas noticias”, añade el adverbio “presuntamente” e ignora por completo que la acción del recurrente se enmarcaba en un contexto de protesta y reivindicación que conocía y respecto del que se insistió en el proceso.</w:t>
      </w:r>
    </w:p>
    <w:p w14:paraId="73CEAE06" w14:textId="77777777" w:rsidR="00A8138F" w:rsidRDefault="00A8138F" w:rsidP="00A8138F">
      <w:pPr>
        <w:pStyle w:val="TextoNormal"/>
      </w:pPr>
    </w:p>
    <w:p w14:paraId="786445F4" w14:textId="77777777" w:rsidR="00A8138F" w:rsidRDefault="00A8138F" w:rsidP="00A8138F">
      <w:pPr>
        <w:pStyle w:val="TextoNormal"/>
      </w:pPr>
      <w:r>
        <w:t xml:space="preserve">Por último, subraya que tampoco se hace referencia al desmentido o a la aclaración que se publicó en la web el día 5 de diciembre, que eliminaba cualquier posible resquicio de duda sobre la verdadera finalidad de la acción, echándose en falta el enjuiciamiento sobre si la oferta realizada del falso </w:t>
      </w:r>
      <w:r w:rsidRPr="00A8138F">
        <w:rPr>
          <w:i/>
        </w:rPr>
        <w:t>tour</w:t>
      </w:r>
      <w:r>
        <w:t xml:space="preserve"> resultaba creíble.</w:t>
      </w:r>
    </w:p>
    <w:p w14:paraId="5E0086D2" w14:textId="77777777" w:rsidR="00A8138F" w:rsidRDefault="00A8138F" w:rsidP="00A8138F">
      <w:pPr>
        <w:pStyle w:val="TextoNormal"/>
      </w:pPr>
    </w:p>
    <w:p w14:paraId="1FF2FD61" w14:textId="77777777" w:rsidR="00A8138F" w:rsidRDefault="00A8138F" w:rsidP="00A8138F">
      <w:pPr>
        <w:pStyle w:val="TextoNormal"/>
      </w:pPr>
      <w:r>
        <w:t xml:space="preserve">b) Vulneración del derecho a la tutela judicial efectiva, a un proceso con todas las garantías con interdicción de la indefensión. De forma subsidiaria, aduce el recurrente que el relato de hechos probados quiebra las garantías del proceso previstas en el art. 24.2 CE al predeterminar el fallo. Para el recurrente, los motivos alegados en casación no fueron objeto de examen, precisamente por cómo fueron consignados los hechos declarados probados, afirmando que había asumido conscientemente la posible causación de daños a la víctima al instrumentalizarla y cosificarla. Debido a que en la casación alegó que su intención era realizar una crítica a los medios de comunicación y no perjudicar a la víctima, el Tribunal Supremo inadmitió y no examinó tales motivos por considerarlos contrarios al </w:t>
      </w:r>
      <w:r w:rsidRPr="00A8138F">
        <w:rPr>
          <w:i/>
        </w:rPr>
        <w:t>factum</w:t>
      </w:r>
      <w:r>
        <w:t xml:space="preserve"> y tal modo de actuar, inadmitiendo el recurso, resulta contraria a su propia jurisprudencia, pues los elementos subjetivos del delito no constituyen un juicio fáctico, sino de valor.</w:t>
      </w:r>
    </w:p>
    <w:p w14:paraId="3CE2AB04" w14:textId="77777777" w:rsidR="00A8138F" w:rsidRDefault="00A8138F" w:rsidP="00A8138F">
      <w:pPr>
        <w:pStyle w:val="TextoNormal"/>
      </w:pPr>
    </w:p>
    <w:p w14:paraId="3B9EA06E" w14:textId="77777777" w:rsidR="00A8138F" w:rsidRDefault="00A8138F" w:rsidP="00A8138F">
      <w:pPr>
        <w:pStyle w:val="TextoNormal"/>
      </w:pPr>
      <w:r>
        <w:t>c) Vulneración del derecho a la presunción de inocencia, al haberle condenado sin prueba de cargo. En tal sentido subraya que no se ha probado que se haya “cosificado” a la víctima ni que se la haya instrumentalizado, afectando a su dignidad, por lo que el razonamiento de la sentencia para llegar a tal conclusión es irrazonable, carente de lógica y por ello contrario al art. 24 CE.</w:t>
      </w:r>
    </w:p>
    <w:p w14:paraId="19A75BF6" w14:textId="77777777" w:rsidR="00A8138F" w:rsidRDefault="00A8138F" w:rsidP="00A8138F">
      <w:pPr>
        <w:pStyle w:val="TextoNormal"/>
      </w:pPr>
    </w:p>
    <w:p w14:paraId="306CA05E" w14:textId="77777777" w:rsidR="00A8138F" w:rsidRDefault="00A8138F" w:rsidP="00A8138F">
      <w:pPr>
        <w:pStyle w:val="TextoNormal"/>
      </w:pPr>
      <w:r>
        <w:t>d) Vulneración del principio de legalidad. Dicha queja se alega con carácter subsidiario a todas los anteriores. Comienza el recurrente haciendo referencia a que al Tribunal Constitucional le está vetado entrar en cuestiones de legalidad ordinaria y en si la calificación jurídica de un hecho es subsumible en un determinado tipo penal. Sin embargo, también es cierto que el Tribunal Constitucional ha declarado que es contraria al art. 25 CE la subsunción de los hechos ajena al significado de los términos de la norma aplicada o aplicaciones que por su soporte metodológico o axiológico conduzcan a soluciones esencialmente opuestas a la orientación del material de la norma y, por ello, imprevisibles para sus destinatarios (SSTC 76/2007, de 16 de abril, y 258/2007, de 18 de diciembre, entre muchas otras). Además, según la STC 190/2020, de 15 de diciembre, los tipos penales no pueden interpretarse y aplicarse de forma contraria a los derechos fundamentales. Sostiene el recurrente que el tipo aplicado en este caso se ha venido interpretando cuando media una situación de superioridad y abuso del agente respecto de la víctima, así como el concepto de “trato degradante” ha ido siempre ligado al concepto de tortura y el de “integridad moral” a los de inviolabilidad, dignidad, integridad psíquica y libertad de autodeterminación. A lo anterior añade que, según la propia jurisprudencia del Tribunal Supremo, el tipo contemplado en el art. 173.1 CP “roza por su imprecisión descriptiva con el principio de taxatividad penal” [STS 213/2005, de 22 de febrero (ECLI:ES:TS:2005:1086)] y que “durante el debate parlamentario se oyeron autorizadas voces que consideraba superfluo este tipo penal y que subrayaban la imprecisión de su contenido” [STS 2101/2001, de 14 de noviembre (ECLI:ES:TS:2001:8868)]. Esta caracterización del tipo ha llevado a que haya sido aplicado a supuestos, como es el caso, que nada tienen que ver con los hechos enjuiciados en vez de a aquellos especialmente graves en los que queda constatada la voluntad del actor de humillar a su víctima.</w:t>
      </w:r>
    </w:p>
    <w:p w14:paraId="0B1E6BBE" w14:textId="77777777" w:rsidR="00A8138F" w:rsidRDefault="00A8138F" w:rsidP="00A8138F">
      <w:pPr>
        <w:pStyle w:val="TextoNormal"/>
      </w:pPr>
    </w:p>
    <w:p w14:paraId="06FA5791" w14:textId="77777777" w:rsidR="00A8138F" w:rsidRDefault="00A8138F" w:rsidP="00A8138F">
      <w:pPr>
        <w:pStyle w:val="TextoNormal"/>
      </w:pPr>
      <w:r>
        <w:t>e) Infracción del principio de proporcionalidad en relación con el derecho a la libertad personal. Esta alegación se formula también de forma subsidiaria, solo para el caso de que se considere que los hechos enjuiciados no están amparados por el derecho a la libertad de expresión. Con cita de la STC 136/1999, de 20 de julio, sostiene el recurrente que el principio de proporcionalidad está ínsito en la relación entre el art. 25.1 CE y los demás derechos fundamentales (también el art. 17 CE). En materia penal, el excesivo o innecesario sacrificio de los derechos puede producirse bien porque resulta innecesaria una reacción de tipo penal o bien por ser excesiva la pena en relación con el delito. Sostiene el recurrente que la pena prevista para el delito por el que ha resultado castigado oscila entre seis meses y dos años y que la sentencia no razona la individualización de la pena impuesta. Por otro lado, afirma que lo que se somete a juicio del Tribunal Constitucional es si resulta proporcionado y, por tanto constitucional, que la imputación de un delito, derivado del ejercicio a la libertad de expresión, en el que no existe una acción dirigida a la víctima y ni siquiera la menor mención o referencia a la misma, pueda ser castigado con una pena privativa de libertad. En contraste, pone de relieve que el delito de injurias no está castigado con penas privativas de libertad, lo que hubiera llevado a que si en lugar de publicar la web el recurrente hubiera injuriado directamente a la víctima, se le hubiera impuesto una multa en lugar de una pena privativa de la libertad. En definitiva, sostiene que cualquier pena privativa de libertad que hubiera podido imponerse por dichos hechos hubiera resultado desproporcionada.</w:t>
      </w:r>
    </w:p>
    <w:p w14:paraId="45F76E44" w14:textId="77777777" w:rsidR="00A8138F" w:rsidRDefault="00A8138F" w:rsidP="00A8138F">
      <w:pPr>
        <w:pStyle w:val="TextoNormal"/>
      </w:pPr>
    </w:p>
    <w:p w14:paraId="471C09DF" w14:textId="77777777" w:rsidR="00A8138F" w:rsidRDefault="00A8138F" w:rsidP="00A8138F">
      <w:pPr>
        <w:pStyle w:val="TextoNormal"/>
      </w:pPr>
      <w:r>
        <w:t>Con fundamento, pues, en todas las consideraciones expuestas, la demanda concluye solicitando la estimación del recurso de amparo, el reconocimiento de los derechos fundamentales invocados y la nulidad de las resoluciones judiciales impugnadas.</w:t>
      </w:r>
    </w:p>
    <w:p w14:paraId="18A23786" w14:textId="77777777" w:rsidR="00A8138F" w:rsidRDefault="00A8138F" w:rsidP="00A8138F">
      <w:pPr>
        <w:pStyle w:val="TextoNormal"/>
      </w:pPr>
    </w:p>
    <w:p w14:paraId="0923E627" w14:textId="78E84D13" w:rsidR="00A8138F" w:rsidRDefault="00A8138F" w:rsidP="00A8138F">
      <w:pPr>
        <w:pStyle w:val="TextoNormal"/>
      </w:pPr>
      <w:r>
        <w:t>Por medio de otrosí, el demandante de amparo solicitó la suspensión de la ejecución de la sentencia durante la tramitación del proceso, tanto de la pena privativa de libertad impuesta como del pago de la indemnización acordada a favor de la víctima.</w:t>
      </w:r>
    </w:p>
    <w:p w14:paraId="2DEF946B" w14:textId="77777777" w:rsidR="00A8138F" w:rsidRDefault="00A8138F" w:rsidP="00A8138F">
      <w:pPr>
        <w:pStyle w:val="TextoNormal"/>
      </w:pPr>
    </w:p>
    <w:p w14:paraId="7F8704E5" w14:textId="77777777" w:rsidR="00A8138F" w:rsidRDefault="00A8138F" w:rsidP="00A8138F">
      <w:pPr>
        <w:pStyle w:val="TextoNormal"/>
      </w:pPr>
      <w:r w:rsidRPr="00A8138F">
        <w:rPr>
          <w:rStyle w:val="NumeroAFNegritaCaracter"/>
        </w:rPr>
        <w:t>4</w:t>
      </w:r>
      <w:r>
        <w:t>. Por providencia de 25 de octubre de 2021, la Sección Cuarta de la Sala Segunda de este tribunal acordó admitir a trámite el recurso de amparo apreciando que en el mismo concurre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14:paraId="4B2072AF" w14:textId="77777777" w:rsidR="00A8138F" w:rsidRDefault="00A8138F" w:rsidP="00A8138F">
      <w:pPr>
        <w:pStyle w:val="TextoNormal"/>
      </w:pPr>
    </w:p>
    <w:p w14:paraId="17614D09" w14:textId="6553DC09" w:rsidR="00A8138F" w:rsidRDefault="00A8138F" w:rsidP="00A8138F">
      <w:pPr>
        <w:pStyle w:val="TextoNormal"/>
      </w:pPr>
      <w:r>
        <w:t>En la misma providencia, por constar ya la remisión de las actuaciones, se ordenaba dirigir atenta comunicación al Juzgado de lo Penal núm. 1 de Pamplona, a fin de emplazar a quienes hubieran sido parte en el procedimiento, excepto la parte recurrente en amparo, para que, en el plazo de diez días, pudieran comparecer en el recurso de amparo. Igualmente, se acordó formar la pieza separada de suspensión, de conformidad con lo solicitado en la demanda por la parte actora.</w:t>
      </w:r>
    </w:p>
    <w:p w14:paraId="2CA3E692" w14:textId="77777777" w:rsidR="00A8138F" w:rsidRDefault="00A8138F" w:rsidP="00A8138F">
      <w:pPr>
        <w:pStyle w:val="TextoNormal"/>
      </w:pPr>
    </w:p>
    <w:p w14:paraId="43986BEC" w14:textId="2EAC157D" w:rsidR="00A8138F" w:rsidRDefault="00A8138F" w:rsidP="00A8138F">
      <w:pPr>
        <w:pStyle w:val="TextoNormal"/>
      </w:pPr>
      <w:r w:rsidRPr="00A8138F">
        <w:rPr>
          <w:rStyle w:val="NumeroAFNegritaCaracter"/>
        </w:rPr>
        <w:t>5</w:t>
      </w:r>
      <w:r>
        <w:t>. Tramitada la pieza de suspensión, este tribunal por ATC 114/2021, de 17 de diciembre, acordó denegar las medidas cautelares solicitadas, toda vez que la pena de prisión había sido ya suspendida por auto de 25 de enero de 2021 del Juzgado de lo Penal núm. 1 de Pamplona, en la fase de ejecución de la sentencia condenatoria. En cuanto a la pena accesoria de inhabilitación especial, se denegó la medida cautelar por no haberse “aportado justificación o principio de prueba alguno sobre los posibles perjuicios irreparables que se derivarían de la desestimación de la pretensión” formulada. Finalmente, también fue denegada la suspensión cautelar de la indemnización reconocida en sentencia a la víctima, porque la argumentación ofrecida por la demanda no justificó la concurrencia de perjuicios irreparables en el recurrente y porque los fallos judiciales que producen efectos meramente patrimoniales admiten la restitución íntegra de lo ejecutado.</w:t>
      </w:r>
    </w:p>
    <w:p w14:paraId="7C8B1DA0" w14:textId="77777777" w:rsidR="00A8138F" w:rsidRDefault="00A8138F" w:rsidP="00A8138F">
      <w:pPr>
        <w:pStyle w:val="TextoNormal"/>
      </w:pPr>
    </w:p>
    <w:p w14:paraId="11FCC53C" w14:textId="6129547B" w:rsidR="00A8138F" w:rsidRDefault="00A8138F" w:rsidP="00A8138F">
      <w:pPr>
        <w:pStyle w:val="TextoNormal"/>
      </w:pPr>
      <w:r w:rsidRPr="00A8138F">
        <w:rPr>
          <w:rStyle w:val="NumeroAFNegritaCaracter"/>
        </w:rPr>
        <w:t>6</w:t>
      </w:r>
      <w:r>
        <w:t>. El día 23 de noviembre de 2021 tuvo entrada en el registro de este tribunal escrito presentado por el procurador de los tribunales don Manuel Díaz Alfonso, solicitando que se le tuviera por comparecido y parte en las actuaciones, en nombre y representación de la víctima (testigo protegida núm. 1 en el procedimiento penal), bajo la dirección letrada de doña Teresa Hermida Correa.</w:t>
      </w:r>
    </w:p>
    <w:p w14:paraId="152EA520" w14:textId="77777777" w:rsidR="00A8138F" w:rsidRDefault="00A8138F" w:rsidP="00A8138F">
      <w:pPr>
        <w:pStyle w:val="TextoNormal"/>
      </w:pPr>
    </w:p>
    <w:p w14:paraId="39CCB80B" w14:textId="6338C5EA" w:rsidR="00A8138F" w:rsidRDefault="00A8138F" w:rsidP="00A8138F">
      <w:pPr>
        <w:pStyle w:val="TextoNormal"/>
      </w:pPr>
      <w:r w:rsidRPr="00A8138F">
        <w:rPr>
          <w:rStyle w:val="NumeroAFNegritaCaracter"/>
        </w:rPr>
        <w:t>7</w:t>
      </w:r>
      <w:r>
        <w:t>. Por diligencia de ordenación de 21 de enero de 2022, la Secretaría de Justicia de la Sala Segunda tuvo por personada y parte en el procedimiento a la comparecida. Asimismo, de conformidad con lo dispuesto en el art. 52.1 LOTC, se acordó dar vista de las actuaciones a la parte personada y al Ministerio Fiscal, por plazo común de veinte días, para que pudieran presentar las alegaciones que estimaran pertinentes.</w:t>
      </w:r>
    </w:p>
    <w:p w14:paraId="6596F704" w14:textId="77777777" w:rsidR="00A8138F" w:rsidRDefault="00A8138F" w:rsidP="00A8138F">
      <w:pPr>
        <w:pStyle w:val="TextoNormal"/>
      </w:pPr>
    </w:p>
    <w:p w14:paraId="48063E7F" w14:textId="77777777" w:rsidR="00A8138F" w:rsidRDefault="00A8138F" w:rsidP="00A8138F">
      <w:pPr>
        <w:pStyle w:val="TextoNormal"/>
      </w:pPr>
      <w:r w:rsidRPr="00A8138F">
        <w:rPr>
          <w:rStyle w:val="NumeroAFNegritaCaracter"/>
        </w:rPr>
        <w:t>8</w:t>
      </w:r>
      <w:r>
        <w:t>. El 24 de febrero de 2022, el procurador de los tribunales don Manuel Díaz Alfonso presentó el escrito de alegaciones en representación de la testigo protegida núm. 1.</w:t>
      </w:r>
    </w:p>
    <w:p w14:paraId="1AE55E7D" w14:textId="77777777" w:rsidR="00A8138F" w:rsidRDefault="00A8138F" w:rsidP="00A8138F">
      <w:pPr>
        <w:pStyle w:val="TextoNormal"/>
      </w:pPr>
    </w:p>
    <w:p w14:paraId="06D8BB41" w14:textId="77777777" w:rsidR="00A8138F" w:rsidRDefault="00A8138F" w:rsidP="00A8138F">
      <w:pPr>
        <w:pStyle w:val="TextoNormal"/>
      </w:pPr>
      <w:r>
        <w:t>a) Inicia el escrito sosteniendo la inexistencia de vulneración del derecho a la libertad de expresión dado que, al margen de no ser un derecho ilimitado, una lectura atenta de la sentencia condenatoria dictada por el Juzgado de lo Penal permite observar cómo la juzgadora efectuó la exigible ponderación de los valores e intereses en conflicto. Destaca que, frente a la finalidad crítica que pretendía hacer ver el demandante con la página web y el “</w:t>
      </w:r>
      <w:r w:rsidRPr="00A8138F">
        <w:rPr>
          <w:i/>
        </w:rPr>
        <w:t>tour</w:t>
      </w:r>
      <w:r>
        <w:t xml:space="preserve"> de La Manada”, el órgano judicial ha destacado los efectos producidos sobre la dignidad de la víctima y ha señalado “que el condenado aceptó denigrar al cosificarla y despreciar su sufrimiento”, lo que ha sido corroborado en apelación y en casación. Es más, entiende que, aunque se llegara a aceptar que la oferta del falso </w:t>
      </w:r>
      <w:r w:rsidRPr="00A8138F">
        <w:rPr>
          <w:i/>
        </w:rPr>
        <w:t>tour</w:t>
      </w:r>
      <w:r>
        <w:t xml:space="preserve"> constituía una burla con finalidad sarcástica y crítica, el condenado conoció y aceptó que con su actuación quebrantaría la integridad moral de la víctima de las agresiones sexuales. Por consiguiente, en la conducta del recurrente concurre el elemento subjetivo del tipo penal aplicado y la finalidad crítica que pudiera existir no puede prevalecer frente a la transgresión de un valor constitucional tan relevante como la dignidad humana. En este sentido, argumenta que “[e]l ámbito de la crítica, crucial para la formación de la opinión pública libre en la sociedad democrática, no puede ser irreflexivamente expandido a costa de la salud y la integridad moral de las víctimas” porque, en tal caso, “a la victimización primaria —consecuencia del hecho delictivo— y a la victimización secundaria —derivada de la investigación y enjuiciamiento del hecho— seguiría una potencial victimización terciaria que acontecería cuando a cualquiera se le ocurriera mofarse del sistema sociopolítico en su conjunto, o en sus distintos segmentos, mediante la banalización del dolor de las personas ofendidas por los hechos punibles”.</w:t>
      </w:r>
    </w:p>
    <w:p w14:paraId="30A9C7D6" w14:textId="77777777" w:rsidR="00A8138F" w:rsidRDefault="00A8138F" w:rsidP="00A8138F">
      <w:pPr>
        <w:pStyle w:val="TextoNormal"/>
      </w:pPr>
    </w:p>
    <w:p w14:paraId="3F8E8FF2" w14:textId="77777777" w:rsidR="00A8138F" w:rsidRDefault="00A8138F" w:rsidP="00A8138F">
      <w:pPr>
        <w:pStyle w:val="TextoNormal"/>
      </w:pPr>
      <w:r>
        <w:t>b) Rechaza, también, las quejas formuladas sobre la alegada predeterminación del fallo por haber incluido en los hechos probados ciertos juicios de valor sobre la conducta del actor. En tal sentido, afirma que solo si la motivación de las resoluciones judiciales impugnadas pudiera ser calificada de arbitraria o manifiestamente irrazonable, lo que no es el caso, tendría sentido la queja sobre este derecho. Sin embargo, los términos utilizados por la sentencia del Juzgado de lo Penal entran en el lenguaje habitual no tratándose de conceptos jurídicos que predeterminen el fallo; la intencionalidad es una realidad fáctica que debe ser probada por las acusaciones y la circunstancia de que frecuentemente haya de acudirse a la prueba de indicios o “presunciones judiciales” para su determinación no altera su naturaleza.</w:t>
      </w:r>
    </w:p>
    <w:p w14:paraId="1CCAF98E" w14:textId="77777777" w:rsidR="00A8138F" w:rsidRDefault="00A8138F" w:rsidP="00A8138F">
      <w:pPr>
        <w:pStyle w:val="TextoNormal"/>
      </w:pPr>
    </w:p>
    <w:p w14:paraId="25D814B0" w14:textId="77777777" w:rsidR="00A8138F" w:rsidRDefault="00A8138F" w:rsidP="00A8138F">
      <w:pPr>
        <w:pStyle w:val="TextoNormal"/>
      </w:pPr>
      <w:r>
        <w:t>c) En tercer lugar, niega la existencia de una posible lesión a la presunción de inocencia, pues no se discute el contenido de la página web ni la difusión de la ficticia oferta del “</w:t>
      </w:r>
      <w:r w:rsidRPr="00A8138F">
        <w:rPr>
          <w:i/>
        </w:rPr>
        <w:t>tour</w:t>
      </w:r>
      <w:r>
        <w:t xml:space="preserve"> de La Manada”, ni tampoco se discute lo declarado por el acusado y por los testigos en el juicio oral.</w:t>
      </w:r>
    </w:p>
    <w:p w14:paraId="71832D09" w14:textId="77777777" w:rsidR="00A8138F" w:rsidRDefault="00A8138F" w:rsidP="00A8138F">
      <w:pPr>
        <w:pStyle w:val="TextoNormal"/>
      </w:pPr>
    </w:p>
    <w:p w14:paraId="1384C3BD" w14:textId="77777777" w:rsidR="00A8138F" w:rsidRDefault="00A8138F" w:rsidP="00A8138F">
      <w:pPr>
        <w:pStyle w:val="TextoNormal"/>
      </w:pPr>
      <w:r>
        <w:t>d) Sostiene, igualmente, que tampoco ha sido vulnerado el principio de legalidad penal toda vez que, desde la perspectiva de la interpretación del tipo penal y de la subsunción de la conducta en el mismo, “no ha lugar a queja alguna, puesto que la integridad moral de la víctima de un delito exige respeto por su dignidad humana no admite discusión”, como tampoco puede reprocharse a los órganos judiciales un desorden valorativo que haya trastocado las expectativas normativas derivadas del derecho vigente.</w:t>
      </w:r>
    </w:p>
    <w:p w14:paraId="637EBFFB" w14:textId="77777777" w:rsidR="00A8138F" w:rsidRDefault="00A8138F" w:rsidP="00A8138F">
      <w:pPr>
        <w:pStyle w:val="TextoNormal"/>
      </w:pPr>
    </w:p>
    <w:p w14:paraId="5AAA0E2D" w14:textId="77777777" w:rsidR="00A8138F" w:rsidRDefault="00A8138F" w:rsidP="00A8138F">
      <w:pPr>
        <w:pStyle w:val="TextoNormal"/>
      </w:pPr>
      <w:r>
        <w:t>e) Respecto del último motivo de amparo, niega que la pena que le ha sido impuesta al demandante sea desproporcionada pues, además de haber sido suspendida condicionalmente la ejecución de la pena privativa de libertad, es al legislador al que corresponde la configuración de los tipos penales y la determinación de las penas previstas para los mismos. En el presente caso, la pena se ajusta a lo previsto en el Código penal y, “a todas luces, se encuentra dentro del marco constitucional de permisividad del castigo estatal”.</w:t>
      </w:r>
    </w:p>
    <w:p w14:paraId="0B99AB34" w14:textId="77777777" w:rsidR="00A8138F" w:rsidRDefault="00A8138F" w:rsidP="00A8138F">
      <w:pPr>
        <w:pStyle w:val="TextoNormal"/>
      </w:pPr>
    </w:p>
    <w:p w14:paraId="7470458C" w14:textId="214997C0" w:rsidR="00A8138F" w:rsidRDefault="00A8138F" w:rsidP="00A8138F">
      <w:pPr>
        <w:pStyle w:val="TextoNormal"/>
      </w:pPr>
      <w:r>
        <w:t>Por todo lo expuesto, la parte personada solicita la desestimación del recurso de amparo.</w:t>
      </w:r>
    </w:p>
    <w:p w14:paraId="42507BE1" w14:textId="77777777" w:rsidR="00A8138F" w:rsidRDefault="00A8138F" w:rsidP="00A8138F">
      <w:pPr>
        <w:pStyle w:val="TextoNormal"/>
      </w:pPr>
    </w:p>
    <w:p w14:paraId="6E94B9B4" w14:textId="77777777" w:rsidR="00A8138F" w:rsidRDefault="00A8138F" w:rsidP="00A8138F">
      <w:pPr>
        <w:pStyle w:val="TextoNormal"/>
      </w:pPr>
      <w:r w:rsidRPr="00A8138F">
        <w:rPr>
          <w:rStyle w:val="NumeroAFNegritaCaracter"/>
        </w:rPr>
        <w:t>9</w:t>
      </w:r>
      <w:r>
        <w:t>. El día 14 de marzo de 2022, la fiscal ante el Tribunal Constitucional presentó su escrito de alegaciones, solicitando la inadmisión del recurso de amparo en cuanto a la pretensión relativa a la alegada vulneración del derecho a la libertad de expresión, por falta de denuncia previa ante los órganos judiciales. De modo subsidiario, interesa que se estime el amparo exclusivamente por vulneración del derecho a la libertad de expresión y no por los restantes motivos de amparo que, a su juicio, deben ser desestimados.</w:t>
      </w:r>
    </w:p>
    <w:p w14:paraId="09F9FD02" w14:textId="77777777" w:rsidR="00A8138F" w:rsidRDefault="00A8138F" w:rsidP="00A8138F">
      <w:pPr>
        <w:pStyle w:val="TextoNormal"/>
      </w:pPr>
    </w:p>
    <w:p w14:paraId="418F51A2" w14:textId="77777777" w:rsidR="00A8138F" w:rsidRDefault="00A8138F" w:rsidP="00A8138F">
      <w:pPr>
        <w:pStyle w:val="TextoNormal"/>
      </w:pPr>
      <w:r>
        <w:t>Tras detallar los antecedentes aclara que, aunque las vulneraciones se imputan a las tres resoluciones judiciales obtenidas en el procedimiento penal, deben atribuirse de manera directa a la sentencia dictada en primera instancia, ya que las restantes resoluciones se han limitado a no restablecer los derechos fundamentales que se estiman vulnerados.</w:t>
      </w:r>
    </w:p>
    <w:p w14:paraId="30532103" w14:textId="77777777" w:rsidR="00A8138F" w:rsidRDefault="00A8138F" w:rsidP="00A8138F">
      <w:pPr>
        <w:pStyle w:val="TextoNormal"/>
      </w:pPr>
    </w:p>
    <w:p w14:paraId="4851C3DB" w14:textId="77777777" w:rsidR="00A8138F" w:rsidRDefault="00A8138F" w:rsidP="00A8138F">
      <w:pPr>
        <w:pStyle w:val="TextoNormal"/>
      </w:pPr>
      <w:r>
        <w:t xml:space="preserve">a) En efecto, en primer lugar, alega como obstáculo procesal que impide la admisión de la demanda la falta de invocación previa de la lesión del derecho a la libertad de expresión (art. 20.1 CE) ante la jurisdicción ordinaria, dado que el recurso de apelación se basaba únicamente en la aplicación indebida del delito contra la integridad moral </w:t>
      </w:r>
      <w:r w:rsidRPr="00A8138F">
        <w:rPr>
          <w:i/>
        </w:rPr>
        <w:t>ex</w:t>
      </w:r>
      <w:r>
        <w:t xml:space="preserve"> art. 173.1 CP, al considerar que no concurrían en los hechos enjuiciados los elementos objetivo y subjetivo del indicado tipo penal.</w:t>
      </w:r>
    </w:p>
    <w:p w14:paraId="64441477" w14:textId="77777777" w:rsidR="00A8138F" w:rsidRDefault="00A8138F" w:rsidP="00A8138F">
      <w:pPr>
        <w:pStyle w:val="TextoNormal"/>
      </w:pPr>
    </w:p>
    <w:p w14:paraId="540F1B52" w14:textId="77777777" w:rsidR="00A8138F" w:rsidRDefault="00A8138F" w:rsidP="00A8138F">
      <w:pPr>
        <w:pStyle w:val="TextoNormal"/>
      </w:pPr>
      <w:r>
        <w:t>Por lo que se refiere a la queja relativa a la vulneración del principio de legalidad (art. 25 CE), en la vertiente de la aplicación judicial del tipo penal y de proporcionalidad de la sanción penal, objeta que, aunque tampoco fue invocada expresamente en el recurso de apelación, es posible entender que el reproche está implícito en la alegación sobre la indebida aplicación por el órgano judicial del tipo del art. 173.1 CP, al no corresponderse la conducta del acusado con los elementos subjetivos del tipo, al margen de que fue evaluada de manera unificada por el Tribunal Supremo en la providencia de inadmisión del recurso de casación.</w:t>
      </w:r>
    </w:p>
    <w:p w14:paraId="7CEFFD61" w14:textId="77777777" w:rsidR="00A8138F" w:rsidRDefault="00A8138F" w:rsidP="00A8138F">
      <w:pPr>
        <w:pStyle w:val="TextoNormal"/>
      </w:pPr>
    </w:p>
    <w:p w14:paraId="272B44D5" w14:textId="77777777" w:rsidR="00A8138F" w:rsidRDefault="00A8138F" w:rsidP="00A8138F">
      <w:pPr>
        <w:pStyle w:val="TextoNormal"/>
      </w:pPr>
      <w:r>
        <w:t>b) De no ser apreciado por este tribunal el óbice de falta de invocación de la vulneración del derecho a la libertad de expresión denunciado, la fiscal analiza, a continuación, la queja para terminar interesando la estimación del recurso de amparo.</w:t>
      </w:r>
    </w:p>
    <w:p w14:paraId="0C087EEF" w14:textId="77777777" w:rsidR="00A8138F" w:rsidRDefault="00A8138F" w:rsidP="00A8138F">
      <w:pPr>
        <w:pStyle w:val="TextoNormal"/>
      </w:pPr>
    </w:p>
    <w:p w14:paraId="4F97A6CC" w14:textId="77777777" w:rsidR="00A8138F" w:rsidRDefault="00A8138F" w:rsidP="00A8138F">
      <w:pPr>
        <w:pStyle w:val="TextoNormal"/>
      </w:pPr>
      <w:r>
        <w:t>Así, tras detallar la doctrina de este tribunal sobre el derecho a la libertad de expresión y su control constitucional, la fiscal examina el caso concreto, subrayando especialmente que el recurrente pertenece al colectivo Homo Velamine, que se dedica a hacer crítica satírica de la actuación de los medios de comunicación en diferentes temas. Destaca que el actor aportó documentación acreditativa de este tipo de actuaciones, entendiendo que la publicación de la página web se encontraba, precisamente, en el ámbito de dicha finalidad. Señala que el propio relato de los hechos probados pone de manifiesto que la página web publicada por el acusado tenía presuntamente como principal propósito el de criticar el eco del que se hacen los medios de comunicación respecto de determinadas noticias.</w:t>
      </w:r>
    </w:p>
    <w:p w14:paraId="3BFC53FB" w14:textId="77777777" w:rsidR="00A8138F" w:rsidRDefault="00A8138F" w:rsidP="00A8138F">
      <w:pPr>
        <w:pStyle w:val="TextoNormal"/>
      </w:pPr>
    </w:p>
    <w:p w14:paraId="76CED0F6" w14:textId="77777777" w:rsidR="00A8138F" w:rsidRDefault="00A8138F" w:rsidP="00A8138F">
      <w:pPr>
        <w:pStyle w:val="TextoNormal"/>
      </w:pPr>
      <w:r>
        <w:t>Más adelante, pone de relieve que el juzgado, desde un análisis de legalidad ordinaria, evaluó si la conducta del acusado era constitutiva del delito contra la integridad moral del que venía acusado, sin haberse detenido previamente en el examen de si su comportamiento correspondía al ejercicio legítimo del derecho a la libertad de expresión y si, en su caso, la restricción a tal derecho que comporta la sanción penal era proporcionada respecto del bien jurídico que se trata de proteger. Es decir, para la fiscal, el órgano judicial no realizó una ponderación sobre la conducta enjuiciada y el ejercicio, extralimitado o no, del derecho a la libertad de expresión. Al contrario, entiende que la sentencia razonó directamente los motivos por los que consideraba que los hechos enjuiciados integraban los requisitos típicos del delito del art. 173.1 CP y, en consecuencia, la omisión o inadecuada realización de aquel examen previo supone en sí misma una vulneración del derecho fundamental concernido (STC 117/2015, de 8 de junio, FJ 2).</w:t>
      </w:r>
    </w:p>
    <w:p w14:paraId="06FD1A09" w14:textId="77777777" w:rsidR="00A8138F" w:rsidRDefault="00A8138F" w:rsidP="00A8138F">
      <w:pPr>
        <w:pStyle w:val="TextoNormal"/>
      </w:pPr>
    </w:p>
    <w:p w14:paraId="273F816C" w14:textId="77777777" w:rsidR="00A8138F" w:rsidRDefault="00A8138F" w:rsidP="00A8138F">
      <w:pPr>
        <w:pStyle w:val="TextoNormal"/>
      </w:pPr>
      <w:r>
        <w:t xml:space="preserve">En cuanto al elemento material de la noción de “trato degradante”, el Ministerio Público pone el acento en que la sentencia del juzgado de lo penal no otorga relevancia a que el texto de la página web no contuviera expresiones de contenido vejatorio o humillante para la víctima, porque considera que lo relevante es que la página recogiera como un falso </w:t>
      </w:r>
      <w:r w:rsidRPr="00A8138F">
        <w:rPr>
          <w:i/>
        </w:rPr>
        <w:t>tour</w:t>
      </w:r>
      <w:r>
        <w:t xml:space="preserve"> turístico, lo que fue un drama para la víctima. También analiza la inclusión en la web de la mano que simboliza la oposición a las agresiones sexuales, que constituye el logo de titularidad del Gobierno de Navarra y que, sin embargo, la sentencia consideró que “se incluyó meditadamente en la web para eludir posibles responsabilidades”, al margen de haber sido utilizado sin autorización de la autoridad autonómica. Agrega que la resolución impugnada omite cualquier valoración al hecho de que en la página no se hagan referencias individualizadas a la víctima; ni al reconocimiento de que sufrió una agresión sexual por los miembros de “La Manada”, cuyas imágenes, por el contrario, se incorporaron a la web. Añade que tampoco se ha hecho consideración alguna al hecho de que en el texto original de la página se expresase que con el falso </w:t>
      </w:r>
      <w:r w:rsidRPr="00A8138F">
        <w:rPr>
          <w:i/>
        </w:rPr>
        <w:t>tour</w:t>
      </w:r>
      <w:r>
        <w:t xml:space="preserve"> se pretendía dar a conocer los hechos del caso de “La Manada” para denunciar el maltrato a la mujer, además de atraer el turismo a Pamplona.</w:t>
      </w:r>
    </w:p>
    <w:p w14:paraId="33E63147" w14:textId="77777777" w:rsidR="00A8138F" w:rsidRDefault="00A8138F" w:rsidP="00A8138F">
      <w:pPr>
        <w:pStyle w:val="TextoNormal"/>
      </w:pPr>
    </w:p>
    <w:p w14:paraId="39B4E5A7" w14:textId="77777777" w:rsidR="00A8138F" w:rsidRDefault="00A8138F" w:rsidP="00A8138F">
      <w:pPr>
        <w:pStyle w:val="TextoNormal"/>
      </w:pPr>
      <w:r>
        <w:t xml:space="preserve">Por lo que respecta al “elemento subjetivo” o intencionalidad perseguida con la creación y difusión de la página web, la fiscal objeta que la sentencia haya considerado irrelevante que “la finalidad principal de publicación de la página fuera realizar una crítica satírica de los medios de comunicación serios”, que era la tesis sostenida por la defensa y que se había aportado documentación para acreditar anteriores </w:t>
      </w:r>
      <w:r w:rsidRPr="00A8138F">
        <w:rPr>
          <w:i/>
        </w:rPr>
        <w:t>performances</w:t>
      </w:r>
      <w:r>
        <w:t xml:space="preserve"> o actividades reivindicativas del acusado que perseguían ese mismo objetivo. Igualmente, señala que tampoco se valoró, desde el punto de vista de la conexión con el ejercicio del derecho a la libertad de expresión, “la retirada del texto de la página, a partir de la tarde del día 5, sustituyendo el original publicado el día 3, por un nuevo texto con el desmentido de que se tratase de un verdadero </w:t>
      </w:r>
      <w:r w:rsidRPr="00A8138F">
        <w:rPr>
          <w:i/>
        </w:rPr>
        <w:t>tour</w:t>
      </w:r>
      <w:r>
        <w:t>, aclarando que lo que se había publicado era un bulo para criticar de modo satírico a los medios de comunicación que se habían hecho eco rápidamente de lo publicado en la página, como si fuera algo real, aportando varios pantallazos de los medios de comunicación, haciéndose eco de dicho bulo como si fuera una verdad”.</w:t>
      </w:r>
    </w:p>
    <w:p w14:paraId="4D416526" w14:textId="77777777" w:rsidR="00A8138F" w:rsidRDefault="00A8138F" w:rsidP="00A8138F">
      <w:pPr>
        <w:pStyle w:val="TextoNormal"/>
      </w:pPr>
    </w:p>
    <w:p w14:paraId="68EE35C5" w14:textId="77777777" w:rsidR="00A8138F" w:rsidRDefault="00A8138F" w:rsidP="00A8138F">
      <w:pPr>
        <w:pStyle w:val="TextoNormal"/>
      </w:pPr>
      <w:r>
        <w:t>A continuación, la fiscal destaca que la Sala de apelación confirmó la valoración del delito de atentado contra la integridad moral realizada por la sentencia del Juzgado de lo Penal realizando una labor interpretativa y aplicativa de legalidad ordinaria sobre la concurrencia de los elementos estructurales del delito del art. 173.1 CP, pero sin llevar a cabo un juicio previo sobre la libertad de expresión y su contenido, derecho que tan siquiera es mencionado por la sentencia de la segunda instancia.</w:t>
      </w:r>
    </w:p>
    <w:p w14:paraId="14A8A38F" w14:textId="77777777" w:rsidR="00A8138F" w:rsidRDefault="00A8138F" w:rsidP="00A8138F">
      <w:pPr>
        <w:pStyle w:val="TextoNormal"/>
      </w:pPr>
    </w:p>
    <w:p w14:paraId="2F610B2B" w14:textId="77777777" w:rsidR="00A8138F" w:rsidRDefault="00A8138F" w:rsidP="00A8138F">
      <w:pPr>
        <w:pStyle w:val="TextoNormal"/>
      </w:pPr>
      <w:r>
        <w:t>A la vista de lo expuesto y con cita de la STC 35/2020, el Ministerio Fiscal concluye que existió una vulneración del derecho a la libertad de expresión del recurrente y, aunque advierte que la estimación del anterior motivo de amparo haría innecesario el análisis de los siguientes, presenta sus alegaciones sobre las restantes quejas.</w:t>
      </w:r>
    </w:p>
    <w:p w14:paraId="5A8AEE70" w14:textId="77777777" w:rsidR="00A8138F" w:rsidRDefault="00A8138F" w:rsidP="00A8138F">
      <w:pPr>
        <w:pStyle w:val="TextoNormal"/>
      </w:pPr>
    </w:p>
    <w:p w14:paraId="714F2D15" w14:textId="77777777" w:rsidR="00A8138F" w:rsidRDefault="00A8138F" w:rsidP="00A8138F">
      <w:pPr>
        <w:pStyle w:val="TextoNormal"/>
      </w:pPr>
      <w:r>
        <w:t>c) Comienza por la vulneración del principio de legalidad penal en relación con la aplicación del tipo penal del art. 173.1 CP, por considerar el recurrente que no cabe la subsunción de los hechos en dicho delito dada la eventual falta de proporcionalidad de la pena prevista en el art. 173.1 CP con la gravedad de la conducta descrita en el tipo.</w:t>
      </w:r>
    </w:p>
    <w:p w14:paraId="54391FB5" w14:textId="77777777" w:rsidR="00A8138F" w:rsidRDefault="00A8138F" w:rsidP="00A8138F">
      <w:pPr>
        <w:pStyle w:val="TextoNormal"/>
      </w:pPr>
    </w:p>
    <w:p w14:paraId="192B4508" w14:textId="77777777" w:rsidR="00A8138F" w:rsidRDefault="00A8138F" w:rsidP="00A8138F">
      <w:pPr>
        <w:pStyle w:val="TextoNormal"/>
      </w:pPr>
      <w:r>
        <w:t>Una vez expuesta la doctrina constitucional sobre el derecho fundamental a la legalidad penal (art. 25.1 CE) y con cita de la STC 196/2013, de 2 de diciembre, FJ 5, la fiscal alega que, en el presente caso, la aplicación que se hace del art. 173.1 CP a la conducta del actor y el razonamiento de legalidad que ofrece la sentencia del Juzgado de lo Penal sobre la concurrencia de los elementos materiales y subjetivos del citado tipo delictivo, no puede considerarse irrazonable y que, en realidad, lo que el recurrente está planteando con esta queja es su desacuerdo con la valoración que ha hecho la juzgadora sobre su conducta y las circunstancias concurrentes.</w:t>
      </w:r>
    </w:p>
    <w:p w14:paraId="3277D6C5" w14:textId="77777777" w:rsidR="00A8138F" w:rsidRDefault="00A8138F" w:rsidP="00A8138F">
      <w:pPr>
        <w:pStyle w:val="TextoNormal"/>
      </w:pPr>
    </w:p>
    <w:p w14:paraId="778DACB6" w14:textId="77777777" w:rsidR="00A8138F" w:rsidRDefault="00A8138F" w:rsidP="00A8138F">
      <w:pPr>
        <w:pStyle w:val="TextoNormal"/>
      </w:pPr>
      <w:r>
        <w:t>En relación con el principio de proporcionalidad de la pena añade que lo que en realidad sostiene el demandante es que tal vulneración del derecho resulta directamente de la norma legal y de la sanción que establece, si bien no se argumentan las razones por las que las agresiones a la integridad moral no deban recibir una pena de prisión por ser esta una reacción excesiva.</w:t>
      </w:r>
    </w:p>
    <w:p w14:paraId="3CA17D9C" w14:textId="77777777" w:rsidR="00A8138F" w:rsidRDefault="00A8138F" w:rsidP="00A8138F">
      <w:pPr>
        <w:pStyle w:val="TextoNormal"/>
      </w:pPr>
    </w:p>
    <w:p w14:paraId="06709BD1" w14:textId="77777777" w:rsidR="00A8138F" w:rsidRDefault="00A8138F" w:rsidP="00A8138F">
      <w:pPr>
        <w:pStyle w:val="TextoNormal"/>
      </w:pPr>
      <w:r>
        <w:t>d) También se rechaza la alegada vulneración del derecho a la presunción de inocencia porque, a juicio del Ministerio Fiscal, lo que pretende el recurrente “es reemplazar la valoración de las pruebas” practicadas, por reputarla errónea, y su sustitución por otra acorde con su pretensión de que su conducta no era atentatoria contra la integridad moral.</w:t>
      </w:r>
    </w:p>
    <w:p w14:paraId="594EDDFA" w14:textId="77777777" w:rsidR="00A8138F" w:rsidRDefault="00A8138F" w:rsidP="00A8138F">
      <w:pPr>
        <w:pStyle w:val="TextoNormal"/>
      </w:pPr>
    </w:p>
    <w:p w14:paraId="255F81C4" w14:textId="6FB1E97E" w:rsidR="00A8138F" w:rsidRDefault="00A8138F" w:rsidP="00A8138F">
      <w:pPr>
        <w:pStyle w:val="TextoNormal"/>
      </w:pPr>
      <w:r>
        <w:t>e) Por último, se interesa la desestimación de la queja relativa a una vulneración del derecho a la tutela judicial efectiva y al proceso con todas las garantías, por las expresiones y términos incluidos en los hechos probados de la sentencia, que el recurrente reputa como predeterminantes del fallo, pues en definitiva se trata de “un relato fáctico para describir la conducta material del trato degradante, al hablar de ‘cosificación’ e instrumentalización de la víctima, —que no es un término jurídico definitorio del tipo— y de la voluntariedad del sujeto que lleva a cabo la acción”. Tampoco cabe hablar de “indefensión material causada al recurrente por la incorporación a los hechos probados de inferencias que han impedido su defensa, por ser los hechos probados inatacables, dado que esas mismas inferencias se exponían en los razonamientos jurídicos de la sentencia y podían ser impugnadas por vía de alegar una motivación irrazonable”. Por lo demás, la utilización en la sentencia de apelación del término “presuntamente” para referirse a la finalidad principal perseguida por el recurrente no predetermina el fallo causando indefensión, pues lo que destacó es la carencia de relevancia para sostener la inexistencia del dolo de humillar a la víctima que le había imputado la resolución de instancia al actor, toda vez que, según la Sala, no era necesario un dolo específico y directo, sino que bastaba un dolo de consecuencias necesarias.</w:t>
      </w:r>
    </w:p>
    <w:p w14:paraId="1454F166" w14:textId="77777777" w:rsidR="00A8138F" w:rsidRDefault="00A8138F" w:rsidP="00A8138F">
      <w:pPr>
        <w:pStyle w:val="TextoNormal"/>
      </w:pPr>
    </w:p>
    <w:p w14:paraId="1697207D" w14:textId="3EC60DC3" w:rsidR="00A8138F" w:rsidRDefault="00A8138F" w:rsidP="00A8138F">
      <w:pPr>
        <w:pStyle w:val="TextoNormal"/>
      </w:pPr>
      <w:r w:rsidRPr="00A8138F">
        <w:rPr>
          <w:rStyle w:val="NumeroAFNegritaCaracter"/>
        </w:rPr>
        <w:t>10</w:t>
      </w:r>
      <w:r>
        <w:t>. La Sala Segunda, en sesión celebrada el día 9 de mayo de 2022, acordó proponer la avocación al Pleno del presente recurso de amparo.</w:t>
      </w:r>
    </w:p>
    <w:p w14:paraId="6C909FBE" w14:textId="77777777" w:rsidR="00A8138F" w:rsidRDefault="00A8138F" w:rsidP="00A8138F">
      <w:pPr>
        <w:pStyle w:val="TextoNormal"/>
      </w:pPr>
    </w:p>
    <w:p w14:paraId="42772C90" w14:textId="70F5656E" w:rsidR="00A8138F" w:rsidRDefault="00A8138F" w:rsidP="00A8138F">
      <w:pPr>
        <w:pStyle w:val="TextoNormal"/>
      </w:pPr>
      <w:r w:rsidRPr="00A8138F">
        <w:rPr>
          <w:rStyle w:val="NumeroAFNegritaCaracter"/>
        </w:rPr>
        <w:t>11</w:t>
      </w:r>
      <w:r>
        <w:t>. Mediante providencia de 2 de junio de 2022, el Pleno de este tribunal acordó recabar para sí el conocimiento de este recurso de amparo.</w:t>
      </w:r>
    </w:p>
    <w:p w14:paraId="0C1B19D5" w14:textId="77777777" w:rsidR="00A8138F" w:rsidRDefault="00A8138F" w:rsidP="00A8138F">
      <w:pPr>
        <w:pStyle w:val="TextoNormal"/>
      </w:pPr>
    </w:p>
    <w:p w14:paraId="4641AB52" w14:textId="6A15B756" w:rsidR="00A8138F" w:rsidRDefault="00A8138F" w:rsidP="00A8138F">
      <w:pPr>
        <w:pStyle w:val="TextoNormal"/>
      </w:pPr>
      <w:r w:rsidRPr="00A8138F">
        <w:rPr>
          <w:rStyle w:val="NumeroAFNegritaCaracter"/>
        </w:rPr>
        <w:t>12</w:t>
      </w:r>
      <w:r>
        <w:t>. El día 2 de abril de 2024, el secretario de justicia del Pleno de este tribunal dictó diligencia de ordenación en cuya virtud acordó unir a las actuaciones el escrito presentado el anterior día 1 de abril de 2024 por la procuradora doña Virginia Sánchez de León Herencia, en nombre y representación de don Raúl San Mateo Martínez, y, conforme a lo solicitado en el mismo, tener por designada a la letrada doña María Galán López, en sustitución de don José Luis Galán Martín.</w:t>
      </w:r>
    </w:p>
    <w:p w14:paraId="259BC164" w14:textId="77777777" w:rsidR="00A8138F" w:rsidRDefault="00A8138F" w:rsidP="00A8138F">
      <w:pPr>
        <w:pStyle w:val="TextoNormal"/>
      </w:pPr>
    </w:p>
    <w:p w14:paraId="18E3F3FF" w14:textId="7C1432D5" w:rsidR="00A8138F" w:rsidRDefault="00A8138F" w:rsidP="00A8138F">
      <w:pPr>
        <w:pStyle w:val="TextoNormal"/>
      </w:pPr>
      <w:r w:rsidRPr="00A8138F">
        <w:rPr>
          <w:rStyle w:val="NumeroAFNegritaCaracter"/>
        </w:rPr>
        <w:t>13</w:t>
      </w:r>
      <w:r>
        <w:t>. Mediante providencia de 13 de mayo de 2025 se señaló ese mismo día para deliberación y votación de la presente sentencia.</w:t>
      </w:r>
    </w:p>
    <w:p w14:paraId="47E80934" w14:textId="77777777" w:rsidR="00A8138F" w:rsidRDefault="00A8138F" w:rsidP="00A8138F">
      <w:pPr>
        <w:pStyle w:val="TextoNormal"/>
      </w:pPr>
    </w:p>
    <w:p w14:paraId="67427F26" w14:textId="77777777" w:rsidR="00A8138F" w:rsidRDefault="00A8138F" w:rsidP="00A8138F">
      <w:pPr>
        <w:pStyle w:val="TextoNormalNegritaCentrado"/>
        <w:keepNext/>
      </w:pPr>
      <w:r>
        <w:t>II. Fundamentos jurídicos</w:t>
      </w:r>
    </w:p>
    <w:p w14:paraId="7D6CD5BF" w14:textId="53510BE7" w:rsidR="00A8138F" w:rsidRDefault="00A8138F" w:rsidP="00A8138F">
      <w:pPr>
        <w:pStyle w:val="TextoNormalNegritaCentrado"/>
        <w:keepNext/>
      </w:pPr>
    </w:p>
    <w:p w14:paraId="68F8A2C4" w14:textId="77777777" w:rsidR="00A8138F" w:rsidRDefault="00A8138F" w:rsidP="00A8138F">
      <w:pPr>
        <w:pStyle w:val="TextoNormal"/>
      </w:pPr>
      <w:r w:rsidRPr="00A8138F">
        <w:rPr>
          <w:rStyle w:val="NumeroAFNegritaCaracter"/>
        </w:rPr>
        <w:t>1</w:t>
      </w:r>
      <w:r>
        <w:t xml:space="preserve">. </w:t>
      </w:r>
      <w:r w:rsidRPr="00A8138F">
        <w:rPr>
          <w:i/>
        </w:rPr>
        <w:t>Delimitación del objeto del recurso y pretensiones de las partes</w:t>
      </w:r>
    </w:p>
    <w:p w14:paraId="19CE5A97" w14:textId="77777777" w:rsidR="00A8138F" w:rsidRDefault="00A8138F" w:rsidP="00A8138F">
      <w:pPr>
        <w:pStyle w:val="TextoNormal"/>
      </w:pPr>
    </w:p>
    <w:p w14:paraId="2E316BC9" w14:textId="77777777" w:rsidR="00A8138F" w:rsidRDefault="00A8138F" w:rsidP="00A8138F">
      <w:pPr>
        <w:pStyle w:val="TextoNormal"/>
      </w:pPr>
      <w:r>
        <w:t>Como se ha expuesto con más detalle en los antecedentes de hecho, el presente recurso de amparo tiene por objeto la impugnación de la sentencia de 9 de diciembre de 2019 del Juzgado de lo Penal núm. 1 de Pamplona, que condenó al recurrente como autor responsable de un delito contra la integridad moral del art. 173.1 del Código penal, a la pena de un año y seis meses de prisión, con inhabilitación especial para el derecho de sufragio pasivo durante el tiempo de la condena, así como al pago de las costas y a una indemnización de 15 000 € a favor de la testigo protegida núm. 1, en concepto de daño moral. Igualmente, el recurso se dirige contra la sentencia de 3 de junio de 2020, de la Sección Segunda de la Audiencia Provincial de Navarra, que en el trámite de apelación confirmó el anterior pronunciamiento, desestimando el recurso interpuesto por el demandante de amparo. Finalmente, el recurso también extiende su ámbito hasta la providencia de 26 de noviembre de 2020 de la Sala de lo Penal del Tribunal Supremo, que inadmitió el recurso de casación formalizado por el recurrente.</w:t>
      </w:r>
    </w:p>
    <w:p w14:paraId="706E9B35" w14:textId="77777777" w:rsidR="00A8138F" w:rsidRDefault="00A8138F" w:rsidP="00A8138F">
      <w:pPr>
        <w:pStyle w:val="TextoNormal"/>
      </w:pPr>
    </w:p>
    <w:p w14:paraId="28C3A9AD" w14:textId="77777777" w:rsidR="00A8138F" w:rsidRDefault="00A8138F" w:rsidP="00A8138F">
      <w:pPr>
        <w:pStyle w:val="TextoNormal"/>
      </w:pPr>
      <w:r>
        <w:t>Como principal motivo de amparo, el recurrente denuncia la vulneración del derecho a la libertad de expresión [art. 20.1 a) CE] a la que asocia, aunque sosteniendo que no tiene entidad autónoma, sino que es una “concreción” del derecho anterior, su derecho a la producción y creación literaria y artística [art. 20.1 b) CE]. Subsidiariamente, también alega la vulneración de sus derechos a la tutela judicial efectiva y a un proceso con todas las garantías, con interdicción de la indefensión (art. 24.1 y 2 CE), a la presunción de inocencia (art. 24.2 CE), a la legalidad penal (art. 25.1 CE) y a la proporcionalidad de la pena (art. 25 CE), en relación con la libertad personal (art. 17.1 CE).</w:t>
      </w:r>
    </w:p>
    <w:p w14:paraId="4279797A" w14:textId="77777777" w:rsidR="00A8138F" w:rsidRDefault="00A8138F" w:rsidP="00A8138F">
      <w:pPr>
        <w:pStyle w:val="TextoNormal"/>
      </w:pPr>
    </w:p>
    <w:p w14:paraId="0C2FC491" w14:textId="77777777" w:rsidR="00A8138F" w:rsidRDefault="00A8138F" w:rsidP="00A8138F">
      <w:pPr>
        <w:pStyle w:val="TextoNormal"/>
      </w:pPr>
      <w:r>
        <w:t>Por su parte, la testigo protegida núm. 1, personada en las actuaciones, rechaza todas las quejas del demandante de amparo y solicita la desestimación del recurso, al entender que las resoluciones judiciales impugnadas han desestimado la existencia de las lesiones de derechos fundamentales que invocó el recurrente, estando de acuerdo con los argumentos sostenidos por aquellas.</w:t>
      </w:r>
    </w:p>
    <w:p w14:paraId="2653CA5D" w14:textId="77777777" w:rsidR="00A8138F" w:rsidRDefault="00A8138F" w:rsidP="00A8138F">
      <w:pPr>
        <w:pStyle w:val="TextoNormal"/>
      </w:pPr>
    </w:p>
    <w:p w14:paraId="7C97D65F" w14:textId="77777777" w:rsidR="00A8138F" w:rsidRDefault="00A8138F" w:rsidP="00A8138F">
      <w:pPr>
        <w:pStyle w:val="TextoNormal"/>
      </w:pPr>
      <w:r>
        <w:t>Por último, el Ministerio Fiscal interesa la inadmisión del recurso en lo que respecta a la vulneración del derecho a la libertad de expresión por falta de invocación previa de la queja en la vía judicial. También duda inicialmente la fiscal de que el recurrente haya invocado en la vía judicial previa la vulneración del principio de legalidad penal, respecto a la aplicación judicial del tipo penal al caso y a la proporcionalidad de la pena impuesta; aunque, finalmente, considera que esa denuncia estaba implícita en uno de los motivos del recurso de apelación que formuló contra la sentencia de la primera instancia, así como también entre los motivos de casación finalmente rechazados por el Tribunal Supremo, por lo que, finalmente, no formaliza el óbice respecto de estos derechos.</w:t>
      </w:r>
    </w:p>
    <w:p w14:paraId="120254A5" w14:textId="77777777" w:rsidR="00A8138F" w:rsidRDefault="00A8138F" w:rsidP="00A8138F">
      <w:pPr>
        <w:pStyle w:val="TextoNormal"/>
      </w:pPr>
    </w:p>
    <w:p w14:paraId="7B006A47" w14:textId="5F23D8E4" w:rsidR="00A8138F" w:rsidRDefault="00A8138F" w:rsidP="00A8138F">
      <w:pPr>
        <w:pStyle w:val="TextoNormal"/>
      </w:pPr>
      <w:r>
        <w:t>De modo subsidiario, el Ministerio Fiscal defiende que, de no apreciarse el óbice procesal expresado, procedería la estimación del motivo de amparo por infracción de la libertad de expresión del recurrente. Por el contrario, interesa la desestimación del resto de las quejas formuladas, por inexistencia de las lesiones de derechos denunciadas.</w:t>
      </w:r>
    </w:p>
    <w:p w14:paraId="4AAE386B" w14:textId="77777777" w:rsidR="00A8138F" w:rsidRDefault="00A8138F" w:rsidP="00A8138F">
      <w:pPr>
        <w:pStyle w:val="TextoNormal"/>
      </w:pPr>
    </w:p>
    <w:p w14:paraId="0748CB7B" w14:textId="77777777" w:rsidR="00A8138F" w:rsidRDefault="00A8138F" w:rsidP="00A8138F">
      <w:pPr>
        <w:pStyle w:val="TextoNormal"/>
      </w:pPr>
      <w:r w:rsidRPr="00A8138F">
        <w:rPr>
          <w:rStyle w:val="NumeroAFNegritaCaracter"/>
        </w:rPr>
        <w:t>2</w:t>
      </w:r>
      <w:r>
        <w:t xml:space="preserve">. </w:t>
      </w:r>
      <w:r w:rsidRPr="00A8138F">
        <w:rPr>
          <w:i/>
        </w:rPr>
        <w:t>Óbice procesal</w:t>
      </w:r>
    </w:p>
    <w:p w14:paraId="009FA61F" w14:textId="77777777" w:rsidR="00A8138F" w:rsidRDefault="00A8138F" w:rsidP="00A8138F">
      <w:pPr>
        <w:pStyle w:val="TextoNormal"/>
      </w:pPr>
    </w:p>
    <w:p w14:paraId="5BED2A0C" w14:textId="77777777" w:rsidR="00A8138F" w:rsidRDefault="00A8138F" w:rsidP="00A8138F">
      <w:pPr>
        <w:pStyle w:val="TextoNormal"/>
      </w:pPr>
      <w:r>
        <w:t>Como ha quedado expuesto en los antecedentes y en el fundamento jurídico anterior, el Ministerio Fiscal ha opuesto como óbice procesal la falta de invocación en la vía judicial [art. 44.1 c) LOTC] de la vulneración del derecho a la libertad de expresión.</w:t>
      </w:r>
    </w:p>
    <w:p w14:paraId="38315377" w14:textId="77777777" w:rsidR="00A8138F" w:rsidRDefault="00A8138F" w:rsidP="00A8138F">
      <w:pPr>
        <w:pStyle w:val="TextoNormal"/>
      </w:pPr>
    </w:p>
    <w:p w14:paraId="0D14119B" w14:textId="77777777" w:rsidR="00A8138F" w:rsidRDefault="00A8138F" w:rsidP="00A8138F">
      <w:pPr>
        <w:pStyle w:val="TextoNormal"/>
      </w:pPr>
      <w:r>
        <w:t xml:space="preserve">Así, en primer término, destaca la fiscal que en la vía judicial el demandante de amparo defendió la falta de tipicidad de los hechos denunciados y la ausencia de los elementos subjetivos y objetivos del tipo penal del art. 173.1 CP, pero no invocó en modo alguno que se hubiera causado vulneración del derecho fundamental a su libertad de expresión, por lo que la infracción de este derecho habría sido alegada </w:t>
      </w:r>
      <w:r w:rsidRPr="00A8138F">
        <w:rPr>
          <w:i/>
        </w:rPr>
        <w:t>ex novo</w:t>
      </w:r>
      <w:r>
        <w:t xml:space="preserve"> ante este tribunal, sin haber dado oportunidad a los órganos judiciales de pronunciarse sobre esta queja.</w:t>
      </w:r>
    </w:p>
    <w:p w14:paraId="1426DAFE" w14:textId="77777777" w:rsidR="00A8138F" w:rsidRDefault="00A8138F" w:rsidP="00A8138F">
      <w:pPr>
        <w:pStyle w:val="TextoNormal"/>
      </w:pPr>
    </w:p>
    <w:p w14:paraId="16BC654C" w14:textId="77777777" w:rsidR="00A8138F" w:rsidRDefault="00A8138F" w:rsidP="00A8138F">
      <w:pPr>
        <w:pStyle w:val="TextoNormal"/>
      </w:pPr>
      <w:r>
        <w:t xml:space="preserve">A este respecto, hay que tener en cuenta que, como tiene declarado este tribunal, el requisito de la invocación formal previsto en el art. 44.1 c) LOTC ha de ser interpretado de manera flexible y con un criterio finalista, por lo que no se precisa, necesaria e inexcusablemente, la cita concreta y numérica del precepto constitucional en el que se proclaman el derecho o derechos supuestamente vulnerados, ni siquiera la mención de su </w:t>
      </w:r>
      <w:r w:rsidRPr="00A8138F">
        <w:rPr>
          <w:i/>
        </w:rPr>
        <w:t>nomen iuris</w:t>
      </w:r>
      <w:r>
        <w:t>. Por el contrario, es suficiente con que se cumpla la finalidad perseguida con aquel requisito, es decir, que de las alegaciones del recurrente en la vía judicial pueda inferirse la lesión del derecho fundamental en juego que luego invoque en el recurso de amparo, siempre que la queja haya quedado acotada en términos que permitan a los órganos judiciales pronunciarse sobre la misma [SSTC 53/2012, de 29 de marzo, FJ 2; 117/2014, de 8 de julio, FJ 3; 1/2019, de 14 de enero, FJ 2 a), y 111/2022, de 26 de septiembre, FJ 2].</w:t>
      </w:r>
    </w:p>
    <w:p w14:paraId="5171C8C4" w14:textId="77777777" w:rsidR="00A8138F" w:rsidRDefault="00A8138F" w:rsidP="00A8138F">
      <w:pPr>
        <w:pStyle w:val="TextoNormal"/>
      </w:pPr>
    </w:p>
    <w:p w14:paraId="610D4E8E" w14:textId="77777777" w:rsidR="00A8138F" w:rsidRDefault="00A8138F" w:rsidP="00A8138F">
      <w:pPr>
        <w:pStyle w:val="TextoNormal"/>
      </w:pPr>
      <w:r>
        <w:t>Pues bien, en este caso, aunque el demandante de amparo no hiciera formalmente invocación de su derecho a la libertad de expresión, todo el eje argumental de su defensa se apoyó en el contenido y alcance de este derecho, en la medida en que su conducta se había enmarcado en un contexto de crítica a los medios de comunicación por la forma en que habían difundido las noticias sobre los hechos cometidos por los miembros de “La Manada” y las agresiones sexuales sufridas por la víctima. Por tanto, de modo implícito, el recurrente mantuvo siempre la defensa de su derecho a expresar sus puntos de vista y opiniones sobre lo que entendía que era una actuación excesiva de los medios de comunicación sobre los precitados hechos.</w:t>
      </w:r>
    </w:p>
    <w:p w14:paraId="43DDEF51" w14:textId="77777777" w:rsidR="00A8138F" w:rsidRDefault="00A8138F" w:rsidP="00A8138F">
      <w:pPr>
        <w:pStyle w:val="TextoNormal"/>
      </w:pPr>
    </w:p>
    <w:p w14:paraId="3F638452" w14:textId="77777777" w:rsidR="00A8138F" w:rsidRDefault="00A8138F" w:rsidP="00A8138F">
      <w:pPr>
        <w:pStyle w:val="TextoNormal"/>
      </w:pPr>
      <w:r>
        <w:t xml:space="preserve">En este sentido, la primera de las sentencias impugnadas ya recogía los argumentos ofrecidos por la defensa en el apartado de hechos probados, entre otros, que antes de la creación de la página web el señor San Mateo “había realizado determinadas actividades reivindicativas frente a los medios de comunicación relacionadas con otro tipo de situación” y agregaba que “en el presente caso, [el ahora recurrente] pretendía presuntamente con carácter principal criticar el eco que algunos medios se hacen en ocasiones de determinadas noticias sin adverarlas”. Más adelante y aunque fuera para rechazar este planteamiento, en el fundamento jurídico primero de la sentencia se aludía a que la “finalidad de su representado era una crítica a los medios de comunicación, que actuó con la intención de poner de manifiesto que, actualmente, los medios que podríamos denominar ‘serios’ reproducen noticias con la exclusiva finalidad de obtener beneficios económicos, sin adverarlas ni corroborarlas en modo alguno, como sucedió, se alega, con su página web”. Y que, además, había aportado “prolija documental” relativa a “anteriores </w:t>
      </w:r>
      <w:r w:rsidRPr="00A8138F">
        <w:rPr>
          <w:i/>
        </w:rPr>
        <w:t>perfomances</w:t>
      </w:r>
      <w:r>
        <w:t xml:space="preserve"> de su cliente”.</w:t>
      </w:r>
    </w:p>
    <w:p w14:paraId="66F2B9F6" w14:textId="77777777" w:rsidR="00A8138F" w:rsidRDefault="00A8138F" w:rsidP="00A8138F">
      <w:pPr>
        <w:pStyle w:val="TextoNormal"/>
      </w:pPr>
    </w:p>
    <w:p w14:paraId="2064ED3A" w14:textId="77777777" w:rsidR="00A8138F" w:rsidRDefault="00A8138F" w:rsidP="00A8138F">
      <w:pPr>
        <w:pStyle w:val="TextoNormal"/>
      </w:pPr>
      <w:r>
        <w:t>Así pues, la sentencia del Juzgado de lo Penal partía del reconocimiento de que lo afirmado por el acusado en el procedimiento se apoyaba implícitamente en su derecho a la libertad de expresión, al haber pretendido realizar una crítica a la actitud de determinados medios de comunicación sobre los hechos relacionados con la conducta delictiva de los miembros de “La Manada”; y que para acreditar esta posición crítica había aportado una abundante documentación sobre otras posiciones propias, adoptadas con anterioridad sobre otros hechos, que pretendían acreditar aquella finalidad de crítica. Dicho de otro modo, aunque el planteamiento de la defensa estaba encaminado a rebatir aspectos de la legalidad ordinaria relacionados con los elementos típicos de la conducta prevista en el art. 173.1 CP, trataba de defender un mensaje crítico expresado en la página web que diseñó el recurrente. Por tanto, desde una perspectiva material, puede afirmarse que el ejercicio de su libertad de expresión estuvo presente en la posición defensiva del acusado.</w:t>
      </w:r>
    </w:p>
    <w:p w14:paraId="68546339" w14:textId="77777777" w:rsidR="00A8138F" w:rsidRDefault="00A8138F" w:rsidP="00A8138F">
      <w:pPr>
        <w:pStyle w:val="TextoNormal"/>
      </w:pPr>
    </w:p>
    <w:p w14:paraId="57F7AA38" w14:textId="77777777" w:rsidR="00A8138F" w:rsidRDefault="00A8138F" w:rsidP="00A8138F">
      <w:pPr>
        <w:pStyle w:val="TextoNormal"/>
      </w:pPr>
      <w:r>
        <w:t>Por otro lado, en el trámite de apelación y como consta en el fundamento jurídico quinto de la sentencia de la Audiencia Provincial de Navarra, el cuarto motivo del recurso interpuesto por el señor San Mateo iba igualmente dirigido a rechazar el ánimo de escarnio, la humillación o el menosprecio hacia la víctima. El recurrente insistió, además, en que no solo no concurría aquel elemento subjetivo del injusto, sino que se reafirmaba en la finalidad de criticar el uso de los hechos de la “La Manada” por los medios de comunicación y en cómo no habían contrastado en ocasiones la información.</w:t>
      </w:r>
    </w:p>
    <w:p w14:paraId="59FB70FA" w14:textId="77777777" w:rsidR="00A8138F" w:rsidRDefault="00A8138F" w:rsidP="00A8138F">
      <w:pPr>
        <w:pStyle w:val="TextoNormal"/>
      </w:pPr>
    </w:p>
    <w:p w14:paraId="4803AD69" w14:textId="3AFE8AE4" w:rsidR="00A8138F" w:rsidRDefault="00A8138F" w:rsidP="00A8138F">
      <w:pPr>
        <w:pStyle w:val="TextoNormal"/>
      </w:pPr>
      <w:r>
        <w:t>Por todo ello, el óbice planteado por el Ministerio Fiscal debe ser desestimado, pues la posición crítica expresada por el recurrente en su línea de defensa ante los órganos judiciales se enmarca en el contexto de su derecho a la libertad de expresión, quedando cumplido el requisito de la invocación previa en la vía judicial. De hecho, el Ministerio Fiscal, tras alegar el motivo de inadmisión que ahora venimos a rechazar, afirma con rotundidad que “los hechos objeto del procedimiento que son enjuiciados por la sentencia y los establecidos en la misma como hechos probados que fundamentan la condena ponen de relieve que la conducta presentaba conexión con el derecho de libertad de expresión del acusado”. En definitiva, de cuanto se ha expuesto resulta que el recurrente, en sus sucesivas alegaciones ante los distintos órganos judiciales, ofreció una base argumental suficiente para que aquellos pudieran conocer y pronunciarse sobre una posible lesión del derecho a la libertad de expresión.</w:t>
      </w:r>
    </w:p>
    <w:p w14:paraId="2A193996" w14:textId="77777777" w:rsidR="00A8138F" w:rsidRDefault="00A8138F" w:rsidP="00A8138F">
      <w:pPr>
        <w:pStyle w:val="TextoNormal"/>
      </w:pPr>
    </w:p>
    <w:p w14:paraId="7EB2E0D2" w14:textId="77777777" w:rsidR="00A8138F" w:rsidRDefault="00A8138F" w:rsidP="00A8138F">
      <w:pPr>
        <w:pStyle w:val="TextoNormal"/>
      </w:pPr>
      <w:r w:rsidRPr="00A8138F">
        <w:rPr>
          <w:rStyle w:val="NumeroAFNegritaCaracter"/>
        </w:rPr>
        <w:t>3</w:t>
      </w:r>
      <w:r>
        <w:t xml:space="preserve">. </w:t>
      </w:r>
      <w:r w:rsidRPr="00A8138F">
        <w:rPr>
          <w:i/>
        </w:rPr>
        <w:t>Orden de enjuiciamiento</w:t>
      </w:r>
    </w:p>
    <w:p w14:paraId="3B318AD1" w14:textId="77777777" w:rsidR="00A8138F" w:rsidRDefault="00A8138F" w:rsidP="00A8138F">
      <w:pPr>
        <w:pStyle w:val="TextoNormal"/>
      </w:pPr>
    </w:p>
    <w:p w14:paraId="7A37788B" w14:textId="77777777" w:rsidR="00A8138F" w:rsidRDefault="00A8138F" w:rsidP="00A8138F">
      <w:pPr>
        <w:pStyle w:val="TextoNormal"/>
      </w:pPr>
      <w:r>
        <w:t>Es doctrina consolidada la que viene reiterando que corresponde a este tribunal, en función de las circunstancias del caso concreto, de los intereses constitucionales en juego y de la naturaleza de las quejas planteadas, determinar no solo el orden de los motivos de amparo aducidos, sino también si resulta necesario o conveniente pronunciarse en la sentencia sobre todas las vulneraciones de derechos fundamentales alegadas (por todas, STC 70/2024, de 6 de mayo, FJ 2).</w:t>
      </w:r>
    </w:p>
    <w:p w14:paraId="6B62941E" w14:textId="77777777" w:rsidR="00A8138F" w:rsidRDefault="00A8138F" w:rsidP="00A8138F">
      <w:pPr>
        <w:pStyle w:val="TextoNormal"/>
      </w:pPr>
    </w:p>
    <w:p w14:paraId="68529EAC" w14:textId="77BF9C2D" w:rsidR="00A8138F" w:rsidRDefault="00A8138F" w:rsidP="00A8138F">
      <w:pPr>
        <w:pStyle w:val="TextoNormal"/>
      </w:pPr>
      <w:r>
        <w:t>Acogiéndonos a dicha doctrina, dado que el presente recurso de amparo fue admitido a trámite por apreciarse que concurría una especial trascendencia constitucional pues “plantea un problema o afecta a una faceta de un derecho fundamental sobre el que no hay doctrina de este tribunal [STC 155/2009, FJ 2 a)]”, va a examinarse, en primer término, la queja relativa a la vulneración del derecho a la libertad de expresión [art. 20.1 a) CE], que es además el primero de los motivos en que funda el recurso la parte demandante de amparo.</w:t>
      </w:r>
    </w:p>
    <w:p w14:paraId="3E47DE98" w14:textId="77777777" w:rsidR="00A8138F" w:rsidRDefault="00A8138F" w:rsidP="00A8138F">
      <w:pPr>
        <w:pStyle w:val="TextoNormal"/>
      </w:pPr>
    </w:p>
    <w:p w14:paraId="75E98B8E" w14:textId="77777777" w:rsidR="00A8138F" w:rsidRDefault="00A8138F" w:rsidP="00A8138F">
      <w:pPr>
        <w:pStyle w:val="TextoNormal"/>
      </w:pPr>
      <w:r w:rsidRPr="00A8138F">
        <w:rPr>
          <w:rStyle w:val="NumeroAFNegritaCaracter"/>
        </w:rPr>
        <w:t>4</w:t>
      </w:r>
      <w:r>
        <w:t xml:space="preserve">. </w:t>
      </w:r>
      <w:r w:rsidRPr="00A8138F">
        <w:rPr>
          <w:i/>
        </w:rPr>
        <w:t>Doctrina constitucional sobre la libertad de expresión [art. 20.1 a) CE] en el caso de conductas delictivas</w:t>
      </w:r>
    </w:p>
    <w:p w14:paraId="3F65C4E4" w14:textId="77777777" w:rsidR="00A8138F" w:rsidRDefault="00A8138F" w:rsidP="00A8138F">
      <w:pPr>
        <w:pStyle w:val="TextoNormal"/>
      </w:pPr>
    </w:p>
    <w:p w14:paraId="3467629D" w14:textId="77777777" w:rsidR="00A8138F" w:rsidRDefault="00A8138F" w:rsidP="00A8138F">
      <w:pPr>
        <w:pStyle w:val="TextoNormal"/>
      </w:pPr>
      <w:r>
        <w:t>Sobre el contenido de la libertad de expresión y sus límites existe una consolidada doctrina, tanto de este tribunal como del Tribunal Europeo de Derechos Humanos, que puede resumirse del siguiente modo:</w:t>
      </w:r>
    </w:p>
    <w:p w14:paraId="747031F1" w14:textId="77777777" w:rsidR="00A8138F" w:rsidRDefault="00A8138F" w:rsidP="00A8138F">
      <w:pPr>
        <w:pStyle w:val="TextoNormal"/>
      </w:pPr>
    </w:p>
    <w:p w14:paraId="03AF8AD9" w14:textId="77777777" w:rsidR="00A8138F" w:rsidRDefault="00A8138F" w:rsidP="00A8138F">
      <w:pPr>
        <w:pStyle w:val="TextoNormal"/>
      </w:pPr>
      <w:r>
        <w:t>a) Conforme a una jurisprudencia unánime que arranca de las tempranas SSTC 6/1981, de 16 de marzo, y 12/1982, de 31 de marzo, y recuerda la más reciente STC 83/2023, de 4 de julio, FJ 4, con cita de las SSTC 177/2015, de 22 de julio, FJ 2; 112/2016, de 20 de junio, FJ 2, y 89/2018, de 6 de septiembre, FJ 3, se ha subrayado repetidamente la “peculiar dimensión institucional de la libertad de expresión”, en cuanto que garantía para “la formación y existencia de una opinión pública libre”, que la convierte “en uno de los pilares de una sociedad libre y democrática”. De modo congruente, hemos insistido también en la necesidad de que dicha libertad “goce de un amplio cauce para el intercambio de ideas y opiniones”, que ha de ser “lo suficientemente generoso como para que pueda desenvolverse sin angostura, esto es, sin timidez y sin temor” (SSTC 9/2007, de 15 de enero, FJ 4, y 50/2010, de 4 de octubre, FJ 7).</w:t>
      </w:r>
    </w:p>
    <w:p w14:paraId="23BF438E" w14:textId="77777777" w:rsidR="00A8138F" w:rsidRDefault="00A8138F" w:rsidP="00A8138F">
      <w:pPr>
        <w:pStyle w:val="TextoNormal"/>
      </w:pPr>
    </w:p>
    <w:p w14:paraId="4969D3CE" w14:textId="77777777" w:rsidR="00A8138F" w:rsidRDefault="00A8138F" w:rsidP="00A8138F">
      <w:pPr>
        <w:pStyle w:val="TextoNormal"/>
      </w:pPr>
      <w:r>
        <w:t xml:space="preserve">Por su parte, el Tribunal Europeo de Derechos Humanos en una jurisprudencia que da comienzo con la STEDH de 7 de diciembre de 1976, asunto </w:t>
      </w:r>
      <w:r w:rsidRPr="00A8138F">
        <w:rPr>
          <w:i/>
        </w:rPr>
        <w:t>Handyside c. Reino Unido</w:t>
      </w:r>
      <w:r>
        <w:t xml:space="preserve">, § 49, y que continúa hasta nuestros días, ha venido reiterando que la libertad de expresión constituye “uno de los fundamentos esenciales de una sociedad democrática, una de las condiciones primordiales de su progreso y del desarrollo de cada individuo” (por todas, STEDH de 27 de abril de 2021, asunto </w:t>
      </w:r>
      <w:r w:rsidRPr="00A8138F">
        <w:rPr>
          <w:i/>
        </w:rPr>
        <w:t>Tökés c. Rumanía</w:t>
      </w:r>
      <w:r>
        <w:t>, § 82).</w:t>
      </w:r>
    </w:p>
    <w:p w14:paraId="2C669CCB" w14:textId="77777777" w:rsidR="00A8138F" w:rsidRDefault="00A8138F" w:rsidP="00A8138F">
      <w:pPr>
        <w:pStyle w:val="TextoNormal"/>
      </w:pPr>
    </w:p>
    <w:p w14:paraId="4B6265FA" w14:textId="77777777" w:rsidR="00A8138F" w:rsidRDefault="00A8138F" w:rsidP="00A8138F">
      <w:pPr>
        <w:pStyle w:val="TextoNormal"/>
      </w:pPr>
      <w:r>
        <w:t xml:space="preserve">b) También hemos sostenido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(SSTC 174/2006, de 5 de junio, FJ 4, y 77/2009, de 23 de marzo, FJ 4). De modo que,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 En el mismo sentido, se pronuncian las SSTEDH de 7 de diciembre de 1976, asunto </w:t>
      </w:r>
      <w:r w:rsidRPr="00A8138F">
        <w:rPr>
          <w:i/>
        </w:rPr>
        <w:t>Handyside c. Reino Unido</w:t>
      </w:r>
      <w:r>
        <w:t xml:space="preserve">, § 49; de 26 de abril de 1979, asunto </w:t>
      </w:r>
      <w:r w:rsidRPr="00A8138F">
        <w:rPr>
          <w:i/>
        </w:rPr>
        <w:t>Sunday Times c. Reino Unido</w:t>
      </w:r>
      <w:r>
        <w:t xml:space="preserve">, § 65; de 24 de febrero de 1997, asunto </w:t>
      </w:r>
      <w:r w:rsidRPr="00A8138F">
        <w:rPr>
          <w:i/>
        </w:rPr>
        <w:t>De Haes y Gijsels c. Bélgica</w:t>
      </w:r>
      <w:r>
        <w:t xml:space="preserve">, § 49, y más recientemente la STEDH de 27 de abril de 2021, asunto </w:t>
      </w:r>
      <w:r w:rsidRPr="00A8138F">
        <w:rPr>
          <w:i/>
        </w:rPr>
        <w:t>Tökés c. Rumanía</w:t>
      </w:r>
      <w:r>
        <w:t>, § 82, entre otras.</w:t>
      </w:r>
    </w:p>
    <w:p w14:paraId="24C07AD3" w14:textId="77777777" w:rsidR="00A8138F" w:rsidRDefault="00A8138F" w:rsidP="00A8138F">
      <w:pPr>
        <w:pStyle w:val="TextoNormal"/>
      </w:pPr>
    </w:p>
    <w:p w14:paraId="58153D39" w14:textId="77777777" w:rsidR="00A8138F" w:rsidRDefault="00A8138F" w:rsidP="00A8138F">
      <w:pPr>
        <w:pStyle w:val="TextoNormal"/>
      </w:pPr>
      <w:r>
        <w:t>c) Ahora bien, la libertad de expresión no es un derecho fundamental absoluto e ilimitado, sino que tiene como todos los demás sus límites, de manera que cualquier expresión no merece protección constitucional, por el simple hecho de serlo, quedando fuera de la protección del art. 20.1 a) CE “las expresiones indudablemente injuriosas o sin relación con las ideas u opiniones que se expongan y que resulten innecesarias para la exposición de las mismas” [STC 177/2015, FJ 2 c)].</w:t>
      </w:r>
    </w:p>
    <w:p w14:paraId="78020AB3" w14:textId="77777777" w:rsidR="00A8138F" w:rsidRDefault="00A8138F" w:rsidP="00A8138F">
      <w:pPr>
        <w:pStyle w:val="TextoNormal"/>
      </w:pPr>
    </w:p>
    <w:p w14:paraId="3417D0C0" w14:textId="77777777" w:rsidR="00A8138F" w:rsidRDefault="00A8138F" w:rsidP="00A8138F">
      <w:pPr>
        <w:pStyle w:val="TextoNormal"/>
      </w:pPr>
      <w:r>
        <w:t xml:space="preserve">En este sentido, la jurisprudencia del Tribunal Europeo de Derechos Humanos ha afirmado que “[l]a tolerancia y el respeto de la igual dignidad de todos los seres humanos constituyen el fundamento de una sociedad democrática y pluralista. De ello resulta que, en principio, se puede considerar necesario, en las sociedades democráticas, sancionar e incluso prevenir todas las formas de expresión que propaguen, inciten, promuevan o justifiquen el odio basado en la intolerancia” (STEDH de 16 de julio de 2009, asunto </w:t>
      </w:r>
      <w:r w:rsidRPr="00A8138F">
        <w:rPr>
          <w:i/>
        </w:rPr>
        <w:t>Féret c. Bélgica</w:t>
      </w:r>
      <w:r>
        <w:t>, § 64).</w:t>
      </w:r>
    </w:p>
    <w:p w14:paraId="4FF3BE7D" w14:textId="77777777" w:rsidR="00A8138F" w:rsidRDefault="00A8138F" w:rsidP="00A8138F">
      <w:pPr>
        <w:pStyle w:val="TextoNormal"/>
      </w:pPr>
    </w:p>
    <w:p w14:paraId="4DF476DB" w14:textId="77777777" w:rsidR="00A8138F" w:rsidRDefault="00A8138F" w:rsidP="00A8138F">
      <w:pPr>
        <w:pStyle w:val="TextoNormal"/>
      </w:pPr>
      <w:r>
        <w:t>d) Como se señaló en la STC 177/2015, FJ 2 d), “[e]stos límites deben ser, no obstante, ponderados siempre con exquisito rigor. Esta regla, que es de obligada atención con carácter general, habida cuenta de la posición preferente que ocupa la libertad de expresión, lo es todavía más cuando dicha libertad entra en conflicto con otros derechos fundamentales, en particular el derecho al honor (art. 18 CE), y señaladamente con otros intereses de significada importancia social y política respaldados por la legislación penal”.</w:t>
      </w:r>
    </w:p>
    <w:p w14:paraId="7AC24FA1" w14:textId="77777777" w:rsidR="00A8138F" w:rsidRDefault="00A8138F" w:rsidP="00A8138F">
      <w:pPr>
        <w:pStyle w:val="TextoNormal"/>
      </w:pPr>
    </w:p>
    <w:p w14:paraId="1400BEBA" w14:textId="77777777" w:rsidR="00A8138F" w:rsidRDefault="00A8138F" w:rsidP="00A8138F">
      <w:pPr>
        <w:pStyle w:val="TextoNormal"/>
      </w:pPr>
      <w:r>
        <w:t>Por ello, nuestra doctrina ha ido perfilando cómo debe desarrollarse el juicio de proporcionalidad en casos de limitación de la libertad de expresión en aplicación de tipos delictivos. Así, la STC 35/2020, de 25 de febrero, FJ 4 d), lo concretó en los siguientes términos:</w:t>
      </w:r>
    </w:p>
    <w:p w14:paraId="029B85F9" w14:textId="77777777" w:rsidR="00A8138F" w:rsidRDefault="00A8138F" w:rsidP="00A8138F">
      <w:pPr>
        <w:pStyle w:val="TextoNormal"/>
      </w:pPr>
    </w:p>
    <w:p w14:paraId="05B52E08" w14:textId="77777777" w:rsidR="00A8138F" w:rsidRDefault="00A8138F" w:rsidP="00A8138F">
      <w:pPr>
        <w:pStyle w:val="TextoNormal"/>
      </w:pPr>
      <w:r>
        <w:t>«En relación con la aplicación del principio de proporcionalidad a las restricciones que afectan al derecho fundamental a la libertad de expresión, en la citada STC 112/2016, FJ 2, se declara que “la STC 177/2015 recuerda que en este contexto de análisis la labor que debe desarrollar el órgano judicial penal consiste en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lo que determina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A esos efectos, la jurisprudencia constitucional ha afirmado como justificativo de esa posición no solo que ‘es obvio que los hechos probados no pueden ser a un mismo tiempo valorados como actos de ejercicio de un derecho fundamental y como conductas constitutivas de un delito’ (SSTC 89/2010, de 15 de noviembre, FJ 3, y 177/2015, de 22 de julio, FJ 2); sino también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14:paraId="0E1BDD71" w14:textId="77777777" w:rsidR="00A8138F" w:rsidRDefault="00A8138F" w:rsidP="00A8138F">
      <w:pPr>
        <w:pStyle w:val="TextoNormal"/>
      </w:pPr>
    </w:p>
    <w:p w14:paraId="0C46D00F" w14:textId="77777777" w:rsidR="00A8138F" w:rsidRDefault="00A8138F" w:rsidP="00A8138F">
      <w:pPr>
        <w:pStyle w:val="TextoNormal"/>
      </w:pPr>
      <w:r>
        <w:t>Esta doctrina, que es unánime desde el comienzo de la actividad del Tribunal Constitucional, deja sentado con claridad: (i) que la falta del examen preliminar de la eventual concurrencia en el caso concreto del ejercicio legítimo de derechos o libertades constitucionalmente amparables ha de ser considerada de por sí lesiva del derecho fundamental y dar lugar a la estimación del recurso de amparo y a la anulación de la resolución judicial impugnada; (ii) que han de quedar equiparadas las consecuencias de esa omisión a los supuestos en que la ponderación resultara manifiestamente carente de fundamento; y (iii) que ese examen preliminar también corresponde hacerlo al juez penal en el caso de sanciones penales como cuestión previa a la aplicación del tipo penal (así, SSTC 104/1986, de 17 de julio, FJ 7; 42/1995, de 18 de marzo, FJ 2; 19/1996, de 18 de marzo, FJ 1; 2/2001, de 15 de enero, FJ 2; 115/2004, de 12 de julio, FJ 2; 127/2004, de 19 de julio, FJ 2; 278/2005, de 7 de noviembre, FJ 3; 299/2006, de 23 de octubre, FJ 3; 108/2008, de 22 de septiembre, FJ 3; 89/2010, de 15 de noviembre, FJ 3; 41/2011, de 11 de abril, FJ 4; 177/2015, de 22 de julio, FJ 2, y 112/2016, de 20 de junio, FJ 2).</w:t>
      </w:r>
    </w:p>
    <w:p w14:paraId="460F091A" w14:textId="77777777" w:rsidR="00A8138F" w:rsidRDefault="00A8138F" w:rsidP="00A8138F">
      <w:pPr>
        <w:pStyle w:val="TextoNormal"/>
      </w:pPr>
    </w:p>
    <w:p w14:paraId="0DF905DC" w14:textId="77777777" w:rsidR="00A8138F" w:rsidRDefault="00A8138F" w:rsidP="00A8138F">
      <w:pPr>
        <w:pStyle w:val="TextoNormal"/>
      </w:pPr>
      <w:r>
        <w:t>Por tanto, la labor de control de constitucionalidad que bajo la invocación del derecho a la libertad de expresión [art. 20.1 a) CE] debe desarrollarse en este tipo de supuestos debe quedar limitada, antes de entrar en aspectos de legalidad penal ordinaria referidos a la concreta aplicación del tipo penal —que, en su caso, serán objeto de control bajo la invocación del derecho a la legalidad penal (art. 25.1 CE)—, a verificar si las resoluciones judiciales impugnadas, al imponer la sanción penal, han valorado como cuestión previa si la conducta que se enjuicia constituye un ejercicio lícito del derecho fundamental a la libertad de expresión y, en ese marco de valoración, han ponderado las diversas circunstancias concurrentes en el caso, pues así lo impone el principio de supremacía de la Constitución y de respeto a los derechos fundamentales».</w:t>
      </w:r>
    </w:p>
    <w:p w14:paraId="4DC9CC8C" w14:textId="77777777" w:rsidR="00A8138F" w:rsidRDefault="00A8138F" w:rsidP="00A8138F">
      <w:pPr>
        <w:pStyle w:val="TextoNormal"/>
      </w:pPr>
    </w:p>
    <w:p w14:paraId="587BF925" w14:textId="063E44A6" w:rsidR="00A8138F" w:rsidRDefault="00A8138F" w:rsidP="00A8138F">
      <w:pPr>
        <w:pStyle w:val="TextoNormal"/>
      </w:pPr>
      <w:r>
        <w:t>Por ello, en estos supuestos, “el enjuiciamiento por parte de este tribunal no debe limitarse a examinar la razonabilidad de la motivación de la resolución judicial, ya que no se trata aquí de comprobar si dicha resolución ha infringido o no el art. 24.1 CE, sino de resolver un eventual conflicto entre los derechos afectados, determinando si, efectivamente, aquellos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(por todas, STC 158/2009, de 25 de junio, FJ 2).</w:t>
      </w:r>
    </w:p>
    <w:p w14:paraId="26A9561B" w14:textId="77777777" w:rsidR="00A8138F" w:rsidRDefault="00A8138F" w:rsidP="00A8138F">
      <w:pPr>
        <w:pStyle w:val="TextoNormal"/>
      </w:pPr>
    </w:p>
    <w:p w14:paraId="268BB7CD" w14:textId="77777777" w:rsidR="00A8138F" w:rsidRDefault="00A8138F" w:rsidP="00A8138F">
      <w:pPr>
        <w:pStyle w:val="TextoNormal"/>
      </w:pPr>
      <w:r w:rsidRPr="00A8138F">
        <w:rPr>
          <w:rStyle w:val="NumeroAFNegritaCaracter"/>
        </w:rPr>
        <w:t>5</w:t>
      </w:r>
      <w:r>
        <w:t xml:space="preserve">. </w:t>
      </w:r>
      <w:r w:rsidRPr="00A8138F">
        <w:rPr>
          <w:i/>
        </w:rPr>
        <w:t>La relación entre la libertad de expresión y la libertad de creación artística [arts. 20.1 a) y b) CE]</w:t>
      </w:r>
    </w:p>
    <w:p w14:paraId="5F11252A" w14:textId="77777777" w:rsidR="00A8138F" w:rsidRDefault="00A8138F" w:rsidP="00A8138F">
      <w:pPr>
        <w:pStyle w:val="TextoNormal"/>
      </w:pPr>
    </w:p>
    <w:p w14:paraId="64F3CBB0" w14:textId="77777777" w:rsidR="00A8138F" w:rsidRDefault="00A8138F" w:rsidP="00A8138F">
      <w:pPr>
        <w:pStyle w:val="TextoNormal"/>
      </w:pPr>
      <w:r>
        <w:t>Antes de aplicar al presente recurso de amparo la doctrina descrita en el fundamento precedente, consolidada a lo largo de varias décadas, es preciso abordar una cuestión sobre la que este tribunal se ha pronunciado en menor medida y que ha sido aducida expresamente por el recurrente. Como ha quedado explicitado en los antecedentes, el demandante de amparo sostiene que le ha sido vulnerada la libertad de expresión [art. 20.1 a) CE], puesto que considera que la libertad de creación artística no se ha reconocido de forma autónoma por parte de este tribunal. Concretamente, la demanda denuncia, como principal motivo de amparo, la vulneración del derecho a la libertad de expresión [art. 20.1 a) CE], a la que asocia la libertad de creación artística [art. 20.1 b) CE], aunque sosteniendo que no tiene entidad autónoma, sino que es una “concreción” del derecho anterior.</w:t>
      </w:r>
    </w:p>
    <w:p w14:paraId="053741C6" w14:textId="77777777" w:rsidR="00A8138F" w:rsidRDefault="00A8138F" w:rsidP="00A8138F">
      <w:pPr>
        <w:pStyle w:val="TextoNormal"/>
      </w:pPr>
    </w:p>
    <w:p w14:paraId="777B0E35" w14:textId="77777777" w:rsidR="00A8138F" w:rsidRDefault="00A8138F" w:rsidP="00A8138F">
      <w:pPr>
        <w:pStyle w:val="TextoNormal"/>
      </w:pPr>
      <w:r>
        <w:t xml:space="preserve">El recurrente hace esta precisión puesto que el mensaje que pretendía transmitir, la crítica a cómo los medios de comunicación habían tratado el conocido como caso de “La Manada de Pamplona”, se expresó a través de lo que él denomina </w:t>
      </w:r>
      <w:r w:rsidRPr="00A8138F">
        <w:rPr>
          <w:i/>
        </w:rPr>
        <w:t>performance</w:t>
      </w:r>
      <w:r>
        <w:t xml:space="preserve"> o actuación reivindicativa.</w:t>
      </w:r>
    </w:p>
    <w:p w14:paraId="281AC930" w14:textId="77777777" w:rsidR="00A8138F" w:rsidRDefault="00A8138F" w:rsidP="00A8138F">
      <w:pPr>
        <w:pStyle w:val="TextoNormal"/>
      </w:pPr>
    </w:p>
    <w:p w14:paraId="3C6D63C7" w14:textId="77777777" w:rsidR="00A8138F" w:rsidRDefault="00A8138F" w:rsidP="00A8138F">
      <w:pPr>
        <w:pStyle w:val="TextoNormal"/>
      </w:pPr>
      <w:r>
        <w:t>Procede, pues, recordar la doctrina europea y de este tribunal en relación con la libertad de creación artística.</w:t>
      </w:r>
    </w:p>
    <w:p w14:paraId="61BD8DE2" w14:textId="77777777" w:rsidR="00A8138F" w:rsidRDefault="00A8138F" w:rsidP="00A8138F">
      <w:pPr>
        <w:pStyle w:val="TextoNormal"/>
      </w:pPr>
    </w:p>
    <w:p w14:paraId="6308AD6C" w14:textId="77777777" w:rsidR="00A8138F" w:rsidRDefault="00A8138F" w:rsidP="00A8138F">
      <w:pPr>
        <w:pStyle w:val="TextoNormal"/>
      </w:pPr>
      <w:r>
        <w:t xml:space="preserve">El Tribunal Europeo de Derechos Humanos ha considerado que la libertad de creación artística se encuentra protegida por el art. 10 del Convenio europeo de derechos humanos (CEDH). Esta doctrina se recoge en sentencias como la STEDH de 24 de mayo de 1988, asunto </w:t>
      </w:r>
      <w:r w:rsidRPr="00A8138F">
        <w:rPr>
          <w:i/>
        </w:rPr>
        <w:t>Müller y otros c. Suiza</w:t>
      </w:r>
      <w:r>
        <w:t xml:space="preserve">, que reconoce que este precepto no menciona explícitamente la creación artística pero se la considera dentro de su ámbito de protección porque el CEDH tutela la libertad de comunicar y recibir informaciones e ideas que permitan participar en el intercambio cultural, político y social (§ 33). Por su parte, la STEDH de 25 de enero de 2007, asunto </w:t>
      </w:r>
      <w:r w:rsidRPr="00A8138F">
        <w:rPr>
          <w:i/>
        </w:rPr>
        <w:t>Vereinigung Bildender Künstler c. Austria</w:t>
      </w:r>
      <w:r>
        <w:t>, pone el énfasis en que quienes crean, interpretan, difunden o exponen una obra de arte contribuyen al intercambio de ideas y opiniones, indispensable en una sociedad democrática (§ 26).</w:t>
      </w:r>
    </w:p>
    <w:p w14:paraId="05D5E6E4" w14:textId="77777777" w:rsidR="00A8138F" w:rsidRDefault="00A8138F" w:rsidP="00A8138F">
      <w:pPr>
        <w:pStyle w:val="TextoNormal"/>
      </w:pPr>
    </w:p>
    <w:p w14:paraId="3C8D1A7D" w14:textId="77777777" w:rsidR="00A8138F" w:rsidRDefault="00A8138F" w:rsidP="00A8138F">
      <w:pPr>
        <w:pStyle w:val="TextoNormal"/>
      </w:pPr>
      <w:r>
        <w:t xml:space="preserve">A partir de aquí, el Tribunal Europeo de Derechos Humanos ha realizado precisiones de interés en asuntos en los que se transmiten ideas vehiculadas a partir de una creación artística. Así lo hizo en la STEDH de 29 de marzo de 2005, asunto </w:t>
      </w:r>
      <w:r w:rsidRPr="00A8138F">
        <w:rPr>
          <w:i/>
        </w:rPr>
        <w:t>Alinak c. Turquía</w:t>
      </w:r>
      <w:r>
        <w:t>, que trataba el secuestro de una novela escrita por un exparlamentario quien, inspirándose en hechos reales, narraba las torturas y asesinatos cometidos por las fuerzas de seguridad en una aldea kurda. Según el Tribunal Europeo de Derechos Humanos, si bien estos pasajes tomados literalmente podían interpretarse como una incitación al odio, al levantamiento y al uso de la violencia, en el caso concreto merecían la protección del art. 10 CEDH con base en el siguiente argumento: debía tenerse en cuenta que el medio empleado por el demandante era una novela (§ 41).</w:t>
      </w:r>
    </w:p>
    <w:p w14:paraId="417841A1" w14:textId="77777777" w:rsidR="00A8138F" w:rsidRDefault="00A8138F" w:rsidP="00A8138F">
      <w:pPr>
        <w:pStyle w:val="TextoNormal"/>
      </w:pPr>
    </w:p>
    <w:p w14:paraId="7343F72B" w14:textId="77777777" w:rsidR="00A8138F" w:rsidRDefault="00A8138F" w:rsidP="00A8138F">
      <w:pPr>
        <w:pStyle w:val="TextoNormal"/>
      </w:pPr>
      <w:r>
        <w:t xml:space="preserve">Finalmente, el Tribunal Europeo de Derechos Humanos ha recordado que el art. 10 CEDH no protege solo las ideas e información objeto de expresión, sino también la forma en que se plasman, por lo que su jurisprudencia en relación con tal precepto abarca las modalidades habituales de expresión (discurso oral y escrito), pero también otros medios menos obvios de expresión, como la exhibición de símbolos o la realización de conductas aptas para transmitir opiniones, ideas o información (por todas, STEDH de 21 de octubre de 2014, asunto </w:t>
      </w:r>
      <w:r w:rsidRPr="00A8138F">
        <w:rPr>
          <w:i/>
        </w:rPr>
        <w:t>Murat Vural c. Turquía</w:t>
      </w:r>
      <w:r>
        <w:t>, § 44-51).</w:t>
      </w:r>
    </w:p>
    <w:p w14:paraId="4AC5EBE2" w14:textId="77777777" w:rsidR="00A8138F" w:rsidRDefault="00A8138F" w:rsidP="00A8138F">
      <w:pPr>
        <w:pStyle w:val="TextoNormal"/>
      </w:pPr>
    </w:p>
    <w:p w14:paraId="49A49767" w14:textId="77777777" w:rsidR="00A8138F" w:rsidRDefault="00A8138F" w:rsidP="00A8138F">
      <w:pPr>
        <w:pStyle w:val="TextoNormal"/>
      </w:pPr>
      <w:r>
        <w:t>La doctrina de este tribunal se ha situado en sintonía con la jurisprudencia del Tribunal Europeo de Derechos Humanos que acaba de referirse. En la STC 51/2008, de 14 de abril, que enjuiciaba la posible vulneración al derecho al honor en una novela, sostuvimos que cuando este tribunal se ha pronunciado sobre el art. 20.1 b) CE “nos hemos limitado a señalar la estrecha relación que existe entre tal derecho y la libertad de expresión. Así hemos considerado que la producción y creación literaria constituye una ‘concreción del derecho a expresar libremente pensamientos, ideas y opiniones’ (SSTC 153/1985, de 7 de noviembre, FJ 5, y 43/2004, de 23 de marzo, FJ 5), una ‘faceta’ de la libertad de expresión (ATC 152/1993, 24 de mayo, FJ 2), o un ‘ámbito’ en que se manifiesta la libertad de pensamiento y expresión (ATC 130/1985, de 27 de febrero, FJ 2), manifestaciones todas ellas que llevan implícita la idea de que la libertad protegida por el art. 20.1 a) CE no es solo la política, sino también la artística. Pero más allá de este hecho y de forma similar a como se ha reconocido respecto de la libertad de producción y creación científica (STC 43/2004, de 23 de marzo, FJ 5), la constitucionalización expresa del derecho a la producción y creación literaria le otorga un contenido autónomo que, sin excluirlo, va más allá de la libertad de expresión” (FJ 5). En esta última dirección, afirmábamos dos años más tarde, en la STC 34/2010, de 19 de julio, FJ 3, que la inclusión en la Constitución del apartado b) del art. 20.1 “le otorga la consideración de derecho autónomo, con un ámbito propio de protección”.</w:t>
      </w:r>
    </w:p>
    <w:p w14:paraId="264D6520" w14:textId="77777777" w:rsidR="00A8138F" w:rsidRDefault="00A8138F" w:rsidP="00A8138F">
      <w:pPr>
        <w:pStyle w:val="TextoNormal"/>
      </w:pPr>
    </w:p>
    <w:p w14:paraId="412D3766" w14:textId="77777777" w:rsidR="00A8138F" w:rsidRDefault="00A8138F" w:rsidP="00A8138F">
      <w:pPr>
        <w:pStyle w:val="TextoNormal"/>
      </w:pPr>
      <w:r>
        <w:t>Precisamente en esta última STC 34/2010 y de forma análoga a lo que sucede con la libertad de expresión [art. 20.1 a) CE] y el derecho a la información [art. 20.1 d) CE], este tribunal también ha constatado que en un mismo mensaje puede coexistir de forma imbricada el ejercicio de estos con las libertades previstas en el art. 20.1 b) CE. Esta circunstancia se hizo patente en la STC 34/2010 que analizaba el docudrama “Sin hogar” que trataba la vida y experiencias personales de un menor, de forma que los hechos y situaciones reales se combinaban con otros ficticios. Al respecto, en este pronunciamiento sostuvimos lo siguiente: “Todo esto hace que en la cuestión aparezcan intensamente imbricados la libertad de información [art. 20.1 d) CE], que tiene por objeto la transmisión de hechos veraces y relevantes públicamente, con el derecho a la libertad de creación artística. […] Indudablemente, los hechos del caso sometido a nuestra consideración obligan a concluir que no se trata en esta ocasión de crear una obra por completo nueva, sino que los autores de la película y las entidades mercantiles recurrentes en amparo pretendieron realmente hacer llegar a los espectadores su versión e interpretación de unos hechos reales y recientes, utilizando la forma dramática y sus consecuentes licencias creativas para hacer más accesible y amena la información. Ha de entenderse por ello, que se centra básicamente en el ejercicio del derecho a la libertad de información garantizado en el art. 20.1 d) CE, si bien a la hora de valorar las posibles limitaciones del derecho derivadas de su necesaria articulación con otros valores constitucionales deberán ser tenidas en cuenta las especialidades derivadas del aspecto creativo de la obra audiovisual” (FJ 3).</w:t>
      </w:r>
    </w:p>
    <w:p w14:paraId="398BA07C" w14:textId="77777777" w:rsidR="00A8138F" w:rsidRDefault="00A8138F" w:rsidP="00A8138F">
      <w:pPr>
        <w:pStyle w:val="TextoNormal"/>
      </w:pPr>
    </w:p>
    <w:p w14:paraId="028B433E" w14:textId="77777777" w:rsidR="00A8138F" w:rsidRDefault="00A8138F" w:rsidP="00A8138F">
      <w:pPr>
        <w:pStyle w:val="TextoNormal"/>
      </w:pPr>
      <w:r>
        <w:t>Finalmente, la reciente STC 1/2025, de 13 de enero, consolida y concreta la línea jurisprudencial de este tribunal respecto de la libertad de creación artística al señalar que “[e]l art. 20.1 CE reconoce y protege varios derechos fundamentales que tienen como objeto común la libre elaboración y circulación de discursos y de obras de creación, cuyo ámbito de protección no es coincidente, como tampoco lo son los criterios aplicables para enjuiciar la legitimidad de su ejercicio cuando colisiona con los derechos fundamentales de otras personas. De lo que se sigue la relevancia de la concreta identificación de cuál o cuáles son, en cada caso, los derechos que ofrecen cobertura a la actividad de creación y difusión de un discurso, un mensaje o una obra”, procediendo esta sentencia al deslinde de los derechos a la libertad de producción literaria y de creación artística concernidos en ese caso (FJ 3).</w:t>
      </w:r>
    </w:p>
    <w:p w14:paraId="009E48EC" w14:textId="77777777" w:rsidR="00A8138F" w:rsidRDefault="00A8138F" w:rsidP="00A8138F">
      <w:pPr>
        <w:pStyle w:val="TextoNormal"/>
      </w:pPr>
    </w:p>
    <w:p w14:paraId="799D0149" w14:textId="41D0AC8F" w:rsidR="00A8138F" w:rsidRDefault="00A8138F" w:rsidP="00A8138F">
      <w:pPr>
        <w:pStyle w:val="TextoNormal"/>
      </w:pPr>
      <w:r>
        <w:t>Así, de nuestra doctrina relativa al art. 20.1 b) CE se desprende (i) que “la constitucionalización expresa del derecho a la producción y creación literaria le otorgan un contenido autónomo que, sin excluirlo, va más allá de la libertad de expresión” (STC 51/2008, FJ 5, y 1/2025, FJ 3) y (ii) que es posible una imbricación entre los dos derechos del 20.1 CE pues el amparo “se centra básicamente en el ejercicio del derecho a la libertad de información garantizado en el art. 20.1 d) CE, si bien a la hora de valorar las posibles limitaciones del derecho derivadas de su necesaria articulación con otros valores constitucionales deberán ser tenidas en cuenta las especialidades derivadas del aspecto creativo de la obra audiovisual” (STC 34/2010, FJ 3).</w:t>
      </w:r>
    </w:p>
    <w:p w14:paraId="1DF322EF" w14:textId="77777777" w:rsidR="00A8138F" w:rsidRDefault="00A8138F" w:rsidP="00A8138F">
      <w:pPr>
        <w:pStyle w:val="TextoNormal"/>
      </w:pPr>
    </w:p>
    <w:p w14:paraId="659808F7" w14:textId="77777777" w:rsidR="00A8138F" w:rsidRDefault="00A8138F" w:rsidP="00A8138F">
      <w:pPr>
        <w:pStyle w:val="TextoNormal"/>
      </w:pPr>
      <w:r w:rsidRPr="00A8138F">
        <w:rPr>
          <w:rStyle w:val="NumeroAFNegritaCaracter"/>
        </w:rPr>
        <w:t>6</w:t>
      </w:r>
      <w:r>
        <w:t xml:space="preserve">. </w:t>
      </w:r>
      <w:r w:rsidRPr="00A8138F">
        <w:rPr>
          <w:i/>
        </w:rPr>
        <w:t>Aplicación al caso: estimación del recurso de amparo</w:t>
      </w:r>
    </w:p>
    <w:p w14:paraId="5F87AA5D" w14:textId="77777777" w:rsidR="00A8138F" w:rsidRDefault="00A8138F" w:rsidP="00A8138F">
      <w:pPr>
        <w:pStyle w:val="TextoNormal"/>
      </w:pPr>
    </w:p>
    <w:p w14:paraId="7D0B3F33" w14:textId="77777777" w:rsidR="00A8138F" w:rsidRDefault="00A8138F" w:rsidP="00A8138F">
      <w:pPr>
        <w:pStyle w:val="TextoNormal"/>
      </w:pPr>
      <w:r>
        <w:t xml:space="preserve">A) Nos encontramos ya en disposición de analizar la constitucionalidad de la condena penal al demandante de amparo como autor responsable de un delito contra la integridad moral (art. 173.1 CP). Lo que ha de dilucidarse en este recurso es si el mensaje difundido por el recurrente puede considerarse un ejercicio legítimo de su libertad de expresión [art. 20.1 a) CE], derecho cuya vulneración afirman tanto el demandante de amparo como el Ministerio Fiscal. No obstante, ha de precisarse que, como resulta del relato de antecedentes, el mensaje crítico que motivó la condena penal del actor revistió la forma de una suerte de </w:t>
      </w:r>
      <w:r w:rsidRPr="00A8138F">
        <w:rPr>
          <w:i/>
        </w:rPr>
        <w:t>performance</w:t>
      </w:r>
      <w:r>
        <w:t xml:space="preserve"> o actuación reivindicativa programada, canalizada y difundida a través de la creación de una página web efímera. Por lo tanto, como ya hiciera este tribunal en la STC 34/2010, FJ 3, antes citada, el juicio de ponderación habrá de tomar en consideración la singular naturaleza de esta conducta y, como consecuencia de ello, también las especialidades propias derivadas del carácter original, creativo o incluso provocativo que entraña este tipo de actuaciones.</w:t>
      </w:r>
    </w:p>
    <w:p w14:paraId="7BA8E183" w14:textId="77777777" w:rsidR="00A8138F" w:rsidRDefault="00A8138F" w:rsidP="00A8138F">
      <w:pPr>
        <w:pStyle w:val="TextoNormal"/>
      </w:pPr>
    </w:p>
    <w:p w14:paraId="2EE009EB" w14:textId="77777777" w:rsidR="00A8138F" w:rsidRDefault="00A8138F" w:rsidP="00A8138F">
      <w:pPr>
        <w:pStyle w:val="TextoNormal"/>
      </w:pPr>
      <w:r>
        <w:t>B) Antes de iniciar el análisis, conviene recordar los extremos concretos del mensaje que motivó la condena del recurrente de amparo y su contexto.</w:t>
      </w:r>
    </w:p>
    <w:p w14:paraId="087234BE" w14:textId="77777777" w:rsidR="00A8138F" w:rsidRDefault="00A8138F" w:rsidP="00A8138F">
      <w:pPr>
        <w:pStyle w:val="TextoNormal"/>
      </w:pPr>
    </w:p>
    <w:p w14:paraId="53EBEC68" w14:textId="77777777" w:rsidR="00A8138F" w:rsidRDefault="00A8138F" w:rsidP="00A8138F">
      <w:pPr>
        <w:pStyle w:val="TextoNormal"/>
      </w:pPr>
      <w:r>
        <w:t>Como se ha expuesto con detalle en los antecedentes, el recurrente creó el portal web “tourlaManada.com”, que solo estuvo disponible durante tres días (entre el 3 y el 5 de diciembre de 2018) y que incorporaba el logo titularidad del Gobierno de Navarra contra la violencia de género.</w:t>
      </w:r>
    </w:p>
    <w:p w14:paraId="55484374" w14:textId="77777777" w:rsidR="00A8138F" w:rsidRDefault="00A8138F" w:rsidP="00A8138F">
      <w:pPr>
        <w:pStyle w:val="TextoNormal"/>
      </w:pPr>
    </w:p>
    <w:p w14:paraId="71ABC4B1" w14:textId="77777777" w:rsidR="00A8138F" w:rsidRDefault="00A8138F" w:rsidP="00A8138F">
      <w:pPr>
        <w:pStyle w:val="TextoNormal"/>
      </w:pPr>
      <w:r>
        <w:t xml:space="preserve">El portal ofrecía un falso e inexistente </w:t>
      </w:r>
      <w:r w:rsidRPr="00A8138F">
        <w:rPr>
          <w:i/>
        </w:rPr>
        <w:t>tour</w:t>
      </w:r>
      <w:r>
        <w:t xml:space="preserve"> por los lugares por los que transitaron los miembros del grupo “La Manada” el día 7 de julio de 2018 durante las fiestas de San Fermín. En la citada web y en relación con este ficticio </w:t>
      </w:r>
      <w:r w:rsidRPr="00A8138F">
        <w:rPr>
          <w:i/>
        </w:rPr>
        <w:t>tour</w:t>
      </w:r>
      <w:r>
        <w:t xml:space="preserve">, se exponía que “entre el alcohol y el desenfreno, cinco varones con peinados a la última moda se encuentran a una joven en la céntrica Plaza del Castillo. Apenas veinte minutos después entraban con ella a un portal a 300 metros de distancia y la agredieron sexualmente. ¿Qué pasó en esos veinte minutos? ¿Dónde fueron los agresores después? ¿Cómo los identificó la policía? ¡Descúbrelo todo en este </w:t>
      </w:r>
      <w:r w:rsidRPr="00A8138F">
        <w:rPr>
          <w:i/>
        </w:rPr>
        <w:t>tour</w:t>
      </w:r>
      <w:r>
        <w:t xml:space="preserve">!”. Igualmente se explicaba que la ruta supuestamente ofertada partía “desde el lugar de la famosa foto de ‘La Manada’ frente a La Perla Vascongada (c/ Zapatería 17)”, añadiendo que “el último miércoles de cada mes recorreremos los puntos clave de la famosa noche hasta el lugar de su identificación frente a la Plaza de Toros. Tras ello, se podrán adquirir las camisetas que vestían los miembros de ‘La Manada’ en una tienda cercana”. Se ofertaba también la supuesta venta de calcomanías a imitación del tatuaje que llevaba uno de los integrantes de “La Manada”, conocido como “Prenda”, y la ficticia realización de reservas de alojamiento en el Hotel Europa “en el corazón de la ciudad, donde dos de los miembros de ‘La Manada’ entraron a preguntar si había habitaciones por horas para follar”. En dicha página web el acusado publicaba una foto de los cinco miembros de “La Manada”, en cuyo pie agradecía el interés en el </w:t>
      </w:r>
      <w:r w:rsidRPr="00A8138F">
        <w:rPr>
          <w:i/>
        </w:rPr>
        <w:t>tour</w:t>
      </w:r>
      <w:r>
        <w:t>, advirtiendo que “solo tenemos veinte plazas por fecha, que admitimos por riguroso orden de inscripción. Unos días antes de la fecha que has elegido cerraremos las plazas y te comunicaremos si puedes entrar en esa”.</w:t>
      </w:r>
    </w:p>
    <w:p w14:paraId="1DB2297F" w14:textId="77777777" w:rsidR="00A8138F" w:rsidRDefault="00A8138F" w:rsidP="00A8138F">
      <w:pPr>
        <w:pStyle w:val="TextoNormal"/>
      </w:pPr>
    </w:p>
    <w:p w14:paraId="79E5D7A0" w14:textId="77777777" w:rsidR="00A8138F" w:rsidRDefault="00A8138F" w:rsidP="00A8138F">
      <w:pPr>
        <w:pStyle w:val="TextoNormal"/>
      </w:pPr>
      <w:r>
        <w:t xml:space="preserve">Al cabo de tres días, durante los que numerosos medios de comunicación difundieron la existencia de un </w:t>
      </w:r>
      <w:r w:rsidRPr="00A8138F">
        <w:rPr>
          <w:i/>
        </w:rPr>
        <w:t>tour</w:t>
      </w:r>
      <w:r>
        <w:t xml:space="preserve"> (que nunca existió) y lo criticaron con suma dureza, el contenido de la web fue eliminado y sustituido por un desmentido. En el texto del desmentido, bajo el título </w:t>
      </w:r>
      <w:r w:rsidRPr="00A8138F">
        <w:rPr>
          <w:i/>
        </w:rPr>
        <w:t>El día en que los medios de comunicación se retrataron a sí mismos</w:t>
      </w:r>
      <w:r>
        <w:t xml:space="preserve">, se exponía que el falso </w:t>
      </w:r>
      <w:r w:rsidRPr="00A8138F">
        <w:rPr>
          <w:i/>
        </w:rPr>
        <w:t>tour</w:t>
      </w:r>
      <w:r>
        <w:t xml:space="preserve"> había sido programado como una “bomba mediática” y que había “permitido ver cómo los medios se lanzan como hienas a cualquier cadáver al que le puedan chupar la sangre aún caliente”. Tras exponer la cobertura mediática que recibió la página web durante esos días, continuaba diciendo: “¿qué es verdad y qué es mentira? […] En el auge de las noticias falsas, uno de los pilares de la erosión de nuestra sociedad, los medios tienen que estar a la altura, atrapados entre su código deontológico y la necesidad de obtener </w:t>
      </w:r>
      <w:r w:rsidRPr="00A8138F">
        <w:rPr>
          <w:i/>
        </w:rPr>
        <w:t>clicks</w:t>
      </w:r>
      <w:r>
        <w:t xml:space="preserve"> para vender publicidad en un mundo en el que la actualidad es totalitaria y el Pueblo se ha hecho con el control en volumen de los canales de comunicación a través de las redes sociales. Es la Edad de la Opinión, donde no importa qué es verdad o no: todo es cierto si hay una masa suficiente de personas dispuestas a creerlo. Y cada individuo necesita diariamente la ración de Grasa informativa para poder reforzar su visión del mundo. Nada que no supiéramos, pero que ahora ha quedado demostrado”. Y finalizaba el mensaje añadiendo: “Nada más. Gracias por llegar hasta aquí. Gracias por leer esta cínica crítica que no propone soluciones. Gracias por ser parte de esta campaña de marketing viral (¿de quién?) que hemos ideado para venderte nuestra Grasa. Gracias por creer en la contradicción. Gracias por t</w:t>
      </w:r>
      <w:r w:rsidRPr="00A8138F">
        <w:rPr>
          <w:i/>
        </w:rPr>
        <w:t>u cli</w:t>
      </w:r>
      <w:r>
        <w:t>ck”.</w:t>
      </w:r>
    </w:p>
    <w:p w14:paraId="40AD2218" w14:textId="77777777" w:rsidR="00A8138F" w:rsidRDefault="00A8138F" w:rsidP="00A8138F">
      <w:pPr>
        <w:pStyle w:val="TextoNormal"/>
      </w:pPr>
    </w:p>
    <w:p w14:paraId="16A09FAD" w14:textId="77777777" w:rsidR="00A8138F" w:rsidRDefault="00A8138F" w:rsidP="00A8138F">
      <w:pPr>
        <w:pStyle w:val="TextoNormal"/>
      </w:pPr>
      <w:r>
        <w:t>C) Una vez recordado el mensaje que motivó la condena del recurrente y su contexto, es momento de abordar el enjuiciamiento del caso. En aplicación de la jurisprudencia constitucional expuesta en los fundamentos jurídicos precedentes, este tribunal considera que la condena del recurrente vulneró su derecho a la libertad de expresión pues, como ha manifestado la fiscal ante el Tribunal Constitucional, los órganos judiciales condenaron al demandante de amparo como autor de un delito contra la integridad moral y ratificaron su condena, realizando una labor interpretativa y aplicativa de la legalidad ordinaria sobre la concurrencia de los elementos del delito previsto en el art. 173.1 CP, sin llevar a cabo un juicio previo sobre la libertad de expresión y su contenido, esto es, sin efectuar una valoración previa de si la conducta enjuiciada podía constituir una manifestación del ejercicio legítimo del derecho fundamental a la libertad de expresión.</w:t>
      </w:r>
    </w:p>
    <w:p w14:paraId="2DAF00D8" w14:textId="77777777" w:rsidR="00A8138F" w:rsidRDefault="00A8138F" w:rsidP="00A8138F">
      <w:pPr>
        <w:pStyle w:val="TextoNormal"/>
      </w:pPr>
    </w:p>
    <w:p w14:paraId="2FC1A195" w14:textId="77777777" w:rsidR="00A8138F" w:rsidRDefault="00A8138F" w:rsidP="00A8138F">
      <w:pPr>
        <w:pStyle w:val="TextoNormal"/>
      </w:pPr>
      <w:r>
        <w:t>Efectivamente, concurren una serie de circunstancias en el caso concreto que no han sido objeto de ponderación en las resoluciones judiciales impugnadas.</w:t>
      </w:r>
    </w:p>
    <w:p w14:paraId="4132A1C6" w14:textId="77777777" w:rsidR="00A8138F" w:rsidRDefault="00A8138F" w:rsidP="00A8138F">
      <w:pPr>
        <w:pStyle w:val="TextoNormal"/>
      </w:pPr>
    </w:p>
    <w:p w14:paraId="6DBDAB00" w14:textId="77777777" w:rsidR="00A8138F" w:rsidRDefault="00A8138F" w:rsidP="00A8138F">
      <w:pPr>
        <w:pStyle w:val="TextoNormal"/>
      </w:pPr>
      <w:r>
        <w:t>a) Para empezar, la sentencia del Juzgado de lo Penal concluyó que era indiferente la intención que persiguiera el recurrente con la publicación de la página web. A pesar de que la sentencia recogía que “[s]e señala por la defensa que la finalidad de su representado era una crítica a los medios de comunicación, que actuó con la intención de poner de manifiesto que, actualmente, los medios que podríamos llamar ‘serios’ reproducen noticias con la exclusiva finalidad de obtener beneficios económicos, sin adverarlas ni corroborarlas en modo alguno, como sucedió, se alega, con su página web”, niega toda relevancia a la intención del recurrente en amparo porque, “aun admitiendo […] que la finalidad directa del acusado fuera esa crítica”, lo cierto es que debió ser consciente del perjuicio que podía causar y finalmente causó a la víctima. Y ello resultó suficiente para la juzgadora de instancia en orden a concluir el carácter delictivo de la conducta enjuiciada y su calificación como delito contra la integridad moral.</w:t>
      </w:r>
    </w:p>
    <w:p w14:paraId="232B9D50" w14:textId="77777777" w:rsidR="00A8138F" w:rsidRDefault="00A8138F" w:rsidP="00A8138F">
      <w:pPr>
        <w:pStyle w:val="TextoNormal"/>
      </w:pPr>
    </w:p>
    <w:p w14:paraId="1534196A" w14:textId="77777777" w:rsidR="00A8138F" w:rsidRDefault="00A8138F" w:rsidP="00A8138F">
      <w:pPr>
        <w:pStyle w:val="TextoNormal"/>
      </w:pPr>
      <w:r>
        <w:t xml:space="preserve">Esta forma de razonar no puede reputarse suficiente desde el punto de vista constitucional. Analizar la finalidad, el ánimo o la intención con la que se emite un determinado mensaje resulta un dato esencial para calificarlo como ejercicio legítimo o no de la libertad de expresión. Como afirmamos en la STC 35/2020, “desde la perspectiva de la exigencia constitucional de ponderar previamente la eventual concurrencia de una conducta susceptible de ser integrada en el ámbito del derecho fundamental a la libertad de expresión, aquella intención, […] lejos de constituir una falacia, resulta ser uno de los aspectos indispensables en el análisis, pues su preterición en tales circunstancias hace definitivamente imposible ponderar si el acto comunicativo debe entenderse como realizado en el ejercicio legítimo de aquel derecho” [FJ 5 b)]. De la misma manera, el Tribunal Europeo de Derechos Humanos ha afirmado que cuando se trata de injerencias en el ejercicio de la libertad de expresión “la naturaleza precisa del acto, la intención detrás de él y el mensaje que se busca transmitir no pueden ser cuestiones indiferentes” (STEDH de 6 de abril de 2021, asunto </w:t>
      </w:r>
      <w:r w:rsidRPr="00A8138F">
        <w:rPr>
          <w:i/>
        </w:rPr>
        <w:t>Handzhiyski c. Bulgaria</w:t>
      </w:r>
      <w:r>
        <w:t>, § 55).</w:t>
      </w:r>
    </w:p>
    <w:p w14:paraId="77EC81BF" w14:textId="77777777" w:rsidR="00A8138F" w:rsidRDefault="00A8138F" w:rsidP="00A8138F">
      <w:pPr>
        <w:pStyle w:val="TextoNormal"/>
      </w:pPr>
    </w:p>
    <w:p w14:paraId="6B2464B2" w14:textId="77777777" w:rsidR="00A8138F" w:rsidRDefault="00A8138F" w:rsidP="00A8138F">
      <w:pPr>
        <w:pStyle w:val="TextoNormal"/>
      </w:pPr>
      <w:r>
        <w:t xml:space="preserve">En este sentido, para el recurrente la publicación de la web que está en el origen de la demanda de amparo no difiere de múltiples publicaciones y páginas satíricas o programas de humor negro en los que se utiliza una noticia falsa con la intención de realizar una crítica social. Sin embargo, frente a tales consideraciones, la sentencia del Juzgado de lo Penal no realizó ninguna valoración relativa al hecho de que el texto inicial de la página web fuera retirado en la tarde del día 5 de diciembre y que fuera sustituido por un nuevo texto desmintiendo que se tratase de un verdadero </w:t>
      </w:r>
      <w:r w:rsidRPr="00A8138F">
        <w:rPr>
          <w:i/>
        </w:rPr>
        <w:t>tour</w:t>
      </w:r>
      <w:r>
        <w:t xml:space="preserve">, aclarando que la intención de la web era generar un bulo para exponer el comportamiento de los medios de comunicación que, rápidamente, se hicieron eco del falso </w:t>
      </w:r>
      <w:r w:rsidRPr="00A8138F">
        <w:rPr>
          <w:i/>
        </w:rPr>
        <w:t>tour</w:t>
      </w:r>
      <w:r>
        <w:t xml:space="preserve"> como si el mismo fuera real o cierto, cuando nunca lo fue.</w:t>
      </w:r>
    </w:p>
    <w:p w14:paraId="73193254" w14:textId="77777777" w:rsidR="00A8138F" w:rsidRDefault="00A8138F" w:rsidP="00A8138F">
      <w:pPr>
        <w:pStyle w:val="TextoNormal"/>
      </w:pPr>
    </w:p>
    <w:p w14:paraId="4426DE0B" w14:textId="77777777" w:rsidR="00A8138F" w:rsidRDefault="00A8138F" w:rsidP="00A8138F">
      <w:pPr>
        <w:pStyle w:val="TextoNormal"/>
      </w:pPr>
      <w:r>
        <w:t xml:space="preserve">Por otra parte, el carácter satírico de la intervención del demandante de amparo, que el Ministerio Fiscal también sostiene y defiende, dista mucho de resultar indiferente para nuestro enjuiciamiento. También la jurisprudencia del Tribunal Europeo de Derechos Humanos ha venido otorgando un margen especialmente amplio a las ideas transmitidas a partir de obras de naturaleza satírica, afirmando que la sátira es una forma de expresión artística y comentario social que, exagerando y distorsionando la realidad, pretende provocar o agitar, por lo que cualquier injerencia en el derecho de un artista a expresarse a través de la sátira debe ser examinado con particular atención (SSTEDH de 25 de enero de 2007, asunto </w:t>
      </w:r>
      <w:r w:rsidRPr="00A8138F">
        <w:rPr>
          <w:i/>
        </w:rPr>
        <w:t>Vereinigung Bildender Künstler c. Austria</w:t>
      </w:r>
      <w:r>
        <w:t xml:space="preserve">, § 33, y de 14 de marzo de 2013, asunto </w:t>
      </w:r>
      <w:r w:rsidRPr="00A8138F">
        <w:rPr>
          <w:i/>
        </w:rPr>
        <w:t>Eon c. Francia</w:t>
      </w:r>
      <w:r>
        <w:t>, § 60).</w:t>
      </w:r>
    </w:p>
    <w:p w14:paraId="6DC66820" w14:textId="77777777" w:rsidR="00A8138F" w:rsidRDefault="00A8138F" w:rsidP="00A8138F">
      <w:pPr>
        <w:pStyle w:val="TextoNormal"/>
      </w:pPr>
    </w:p>
    <w:p w14:paraId="24DE570D" w14:textId="77777777" w:rsidR="00A8138F" w:rsidRDefault="00A8138F" w:rsidP="00A8138F">
      <w:pPr>
        <w:pStyle w:val="TextoNormal"/>
      </w:pPr>
      <w:r>
        <w:t xml:space="preserve">Precisamente por ello, no deja de llamar la atención que el órgano judicial minusvalorara la naturaleza satírica y crítica de la conducta objeto de enjuiciamiento, especialmente cuando en los hechos probados había recogido que el demandante de amparo “con anterioridad a la creación de la web había realizado determinadas actividades reivindicativas frente a los medios de comunicación relacionadas con otro tipo de situaciones”. Efectivamente, aunque la sentencia del Juzgado de lo Penal no expone en detalle estas actividades previas del recurrente, constan en las actuaciones diversos ejemplos de las mismas, a través de la documental aportada por aquel desde la fase de instrucción. Así consta que el recurrente forma parte de un colectivo denominado Homo Velamine que había llevado a cabo actuaciones paródicas o satíricas, difundidas por los medios de comunicación, tales como: la creación de una plataforma denominada “FEA, Feministas con Esperanza Aguirre”; la campaña “Hipsters con Rajoy”, frente a la sede del Partido Popular portando pancartas con el lema “Menos Podemos y más torreznos”; la intervención consistente en acudir a un mitin político disfrazados de clérigos, que fue recogida por los medios de comunicación bajo el titular </w:t>
      </w:r>
      <w:r w:rsidRPr="00A8138F">
        <w:rPr>
          <w:i/>
        </w:rPr>
        <w:t>Un cura y dos monjas simpatizantes de Podemos apoyan en Vistalegre a Pablo Iglesias</w:t>
      </w:r>
      <w:r>
        <w:t xml:space="preserve">; la participación en una manifestación celebrada en Madrid en apoyo a los condenados en el conocido como juicio del </w:t>
      </w:r>
      <w:r w:rsidRPr="00A8138F">
        <w:rPr>
          <w:i/>
        </w:rPr>
        <w:t>procés</w:t>
      </w:r>
      <w:r>
        <w:t xml:space="preserve"> portando una bandera de España con el lema “</w:t>
      </w:r>
      <w:r w:rsidRPr="00A8138F">
        <w:rPr>
          <w:i/>
        </w:rPr>
        <w:t>Espanyols pel sí</w:t>
      </w:r>
      <w:r>
        <w:t>”; o su asistencia a una marcha en contra de “la apropiación indebida del concepto de mujer”, travestidos y portando pancartas con lemas como “Reconociendo nuestras diferencias” o “En femenino sí, pero en masculino también”. Todas estas actuaciones satíricas o paródicas se realizaron con la clara intención de provocar y generar incomodidad o extrañeza, suscitar debate y ocupar espacios en los medios de comunicación, dando lugar a titulares llamativos como los que finalmente obtuvieron.</w:t>
      </w:r>
    </w:p>
    <w:p w14:paraId="1EC6A878" w14:textId="77777777" w:rsidR="00A8138F" w:rsidRDefault="00A8138F" w:rsidP="00A8138F">
      <w:pPr>
        <w:pStyle w:val="TextoNormal"/>
      </w:pPr>
    </w:p>
    <w:p w14:paraId="2FFF6F31" w14:textId="77777777" w:rsidR="00A8138F" w:rsidRDefault="00A8138F" w:rsidP="00A8138F">
      <w:pPr>
        <w:pStyle w:val="TextoNormal"/>
      </w:pPr>
      <w:r>
        <w:t xml:space="preserve">Estos son solamente algunos ejemplos de las intervenciones previas del recurrente y del colectivo al que pertenece, que sirven para poner de relieve la existencia de un hilo conductor entre aquellas actuaciones y los hechos que motivaron su condena penal por las resoluciones judiciales que aquí nos ocupan. En definitiva, la trayectoria del recurrente se enmarca en una corriente cultural reivindicativa, alternativa o crítica (denominada </w:t>
      </w:r>
      <w:r w:rsidRPr="00A8138F">
        <w:rPr>
          <w:i/>
        </w:rPr>
        <w:t>culture jamming</w:t>
      </w:r>
      <w:r>
        <w:t xml:space="preserve"> o sabotaje cultural, en español), que se caracteriza por denunciar con ironía las contradicciones de lo que considera como “cultura dominante” y, en particular, el comportamiento de los medios de comunicación de masas. Esta circunstancia, es decir, la palpable coherencia entre la actuación enjuiciada y la trayectoria previa del recurrente no debió ser obviada ni minusvalorada por el órgano judicial en el obligado juicio de ponderación.</w:t>
      </w:r>
    </w:p>
    <w:p w14:paraId="05764270" w14:textId="77777777" w:rsidR="00A8138F" w:rsidRDefault="00A8138F" w:rsidP="00A8138F">
      <w:pPr>
        <w:pStyle w:val="TextoNormal"/>
      </w:pPr>
    </w:p>
    <w:p w14:paraId="790BF2AD" w14:textId="77777777" w:rsidR="00A8138F" w:rsidRDefault="00A8138F" w:rsidP="00A8138F">
      <w:pPr>
        <w:pStyle w:val="TextoNormal"/>
      </w:pPr>
      <w:r>
        <w:t xml:space="preserve">En este punto ha de recordarse, además, que en la STEDH de 11 de junio de 2020, asunto </w:t>
      </w:r>
      <w:r w:rsidRPr="00A8138F">
        <w:rPr>
          <w:i/>
        </w:rPr>
        <w:t>Baldassi y otros c. Francia</w:t>
      </w:r>
      <w:r>
        <w:t>, el Tribunal Europeo de Derechos Humanos criticó que no se hubiera valorado el perfil activista de los condenados y el móvil político que perseguía la acción de boicot que allí se examinaba; y aprovechó la ocasión para reiterar el escaso margen que otorga el art. 10 CEDH para imponer restricciones sobre expresiones de naturaleza política o sobre los debates referidos a cuestiones de interés público (§ 78).</w:t>
      </w:r>
    </w:p>
    <w:p w14:paraId="2743F84D" w14:textId="77777777" w:rsidR="00A8138F" w:rsidRDefault="00A8138F" w:rsidP="00A8138F">
      <w:pPr>
        <w:pStyle w:val="TextoNormal"/>
      </w:pPr>
    </w:p>
    <w:p w14:paraId="3C1B33AB" w14:textId="77777777" w:rsidR="00A8138F" w:rsidRDefault="00A8138F" w:rsidP="00A8138F">
      <w:pPr>
        <w:pStyle w:val="TextoNormal"/>
      </w:pPr>
      <w:r>
        <w:t xml:space="preserve">En suma, el hecho de que la intención declarada en el desmentido publicado por el recurrente fuera efectuar una crítica al comportamiento de los medios de comunicación, en relación con la difusión de noticias sensacionalistas, no contrastadas o falsas; la expresión de esta crítica a través de la sátira; la trayectoria reivindicativa previa del recurrente en amparo y su coherencia con la actuación por la que fue objeto de condena; y su pertenencia al colectivo Homo Velamine y a la corriente </w:t>
      </w:r>
      <w:r w:rsidRPr="00A8138F">
        <w:rPr>
          <w:i/>
        </w:rPr>
        <w:t>culture jamming</w:t>
      </w:r>
      <w:r>
        <w:t xml:space="preserve"> debieron conducir al Juzgado de lo Penal a efectuar un juicio de ponderación acerca de si los hechos podían entrañar un ejercicio legítimo de la libertad de expresión, que pudiera considerarse desenvuelto dentro del amplio margen que a dicha libertad conceden tanto el art. 20 CE como el art. 10 CEDH, especialmente en mensajes relativos a cuestiones de interés público y que forman parte del debate social, como era claramente el caso.</w:t>
      </w:r>
    </w:p>
    <w:p w14:paraId="01FE2537" w14:textId="77777777" w:rsidR="00A8138F" w:rsidRDefault="00A8138F" w:rsidP="00A8138F">
      <w:pPr>
        <w:pStyle w:val="TextoNormal"/>
      </w:pPr>
    </w:p>
    <w:p w14:paraId="1C3E7657" w14:textId="77777777" w:rsidR="00A8138F" w:rsidRDefault="00A8138F" w:rsidP="00A8138F">
      <w:pPr>
        <w:pStyle w:val="TextoNormal"/>
      </w:pPr>
      <w:r>
        <w:t>b) Además de todos los elementos que no fueron tomados en consideración por la sentencia del Juzgado de lo Penal, a los que hay que añadir el propio desmentido publicado en la misma página web apenas tres días después de su publicación, las resoluciones judiciales objeto de este recurso de amparo tampoco valoraron en su justa medida otros aspectos de la conducta enjuiciada que, analizados en su conjunto, evidenciaban que la intención del recurrente no era en absoluto la de humillar o hacer escarnio de la víctima.</w:t>
      </w:r>
    </w:p>
    <w:p w14:paraId="1DD635CE" w14:textId="77777777" w:rsidR="00A8138F" w:rsidRDefault="00A8138F" w:rsidP="00A8138F">
      <w:pPr>
        <w:pStyle w:val="TextoNormal"/>
      </w:pPr>
    </w:p>
    <w:p w14:paraId="45340C35" w14:textId="77777777" w:rsidR="00A8138F" w:rsidRDefault="00A8138F" w:rsidP="00A8138F">
      <w:pPr>
        <w:pStyle w:val="TextoNormal"/>
      </w:pPr>
      <w:r>
        <w:t>En este sentido, este tribunal no puede dejar de mencionar que la página web objeto de enjuiciamiento se refería a los cinco miembros del grupo conocido como “La Manada” como agresores sexuales [“cinco varones […] la agredieron sexualmente. […] ¿Dónde fueron los agresores después?”]. El hecho de que aludiera precisamente a una agresión sexual en modo alguno puede considerarse como una inocente selección de palabras, sino que permite inferir la adscripción del autor a una corriente de opinión favorable a la tesis que, hasta ese momento, había sostenido la víctima en el proceso penal al que hacía referencia la página web. Este tribunal no puede desconocer que, en el momento en el que se produjo la publicación, existía un profundo y acalorado debate social acerca de si los hechos delictivos atribuidos a “La Manada” debían ser calificados como delito de abuso sexual o si, en cambio, merecían la consideración de agresión sexual. Semejante debate social, e incluso político, estaba candente justo al tiempo de la publicación de la página web y no se resolvió hasta que, varios meses después, la sentencia de 21 de junio de 2019 de la Sala de lo Penal del Tribunal Supremo calificó finalmente los hechos como constitutivos de delito de agresión sexual. En este contexto temporal, que el juicio de ponderación no puede obviar, la precisa elección de la terminología empleada por el autor en la página web constituye un indicio nada desdeñable de que el demandante de amparo no pretendía humillar a la víctima ni atacar su dignidad.</w:t>
      </w:r>
    </w:p>
    <w:p w14:paraId="40D25A5D" w14:textId="77777777" w:rsidR="00A8138F" w:rsidRDefault="00A8138F" w:rsidP="00A8138F">
      <w:pPr>
        <w:pStyle w:val="TextoNormal"/>
      </w:pPr>
    </w:p>
    <w:p w14:paraId="3DAFB5DF" w14:textId="77777777" w:rsidR="00A8138F" w:rsidRDefault="00A8138F" w:rsidP="00A8138F">
      <w:pPr>
        <w:pStyle w:val="TextoNormal"/>
      </w:pPr>
      <w:r>
        <w:t>Otro dato importante, también apuntado por la fiscal ante el Tribunal Constitucional, es que la página web no contenía ninguna referencia individualizada sobre la víctima, ni de palabra ni de imagen, ni mucho menos de contenido vejatorio o jocoso, a diferencia de lo que sí ocurría con los citados agresores, cuya fotografía figuraba en la página web, junto a una descripción de los mismos como “cinco varones con peinados a la última moda”, expresión que no puede ser entendida sino de forma irónica o a modo de caricatura.</w:t>
      </w:r>
    </w:p>
    <w:p w14:paraId="0D5F3A37" w14:textId="77777777" w:rsidR="00A8138F" w:rsidRDefault="00A8138F" w:rsidP="00A8138F">
      <w:pPr>
        <w:pStyle w:val="TextoNormal"/>
      </w:pPr>
    </w:p>
    <w:p w14:paraId="76DE319A" w14:textId="77777777" w:rsidR="00A8138F" w:rsidRDefault="00A8138F" w:rsidP="00A8138F">
      <w:pPr>
        <w:pStyle w:val="TextoNormal"/>
      </w:pPr>
      <w:r>
        <w:t xml:space="preserve">Por último, la página web recogía —cierto es que sin autorización— el logotipo del Gobierno de Navarra de lucha contra la violencia de género, junto al texto: “Este sitio está en contra del maltrato a la mujer”. La página web también indicaba que una de las finalidades del </w:t>
      </w:r>
      <w:r w:rsidRPr="00A8138F">
        <w:rPr>
          <w:i/>
        </w:rPr>
        <w:t>tour</w:t>
      </w:r>
      <w:r>
        <w:t xml:space="preserve"> era “dar a conocer los hechos del caso de ‘La Manada’ para denunciar el maltrato a la mujer”. Datos ambos que difícilmente se cohonestan con la intención de humillar o menoscabar la dignidad de la víctima.</w:t>
      </w:r>
    </w:p>
    <w:p w14:paraId="3D82A637" w14:textId="77777777" w:rsidR="00A8138F" w:rsidRDefault="00A8138F" w:rsidP="00A8138F">
      <w:pPr>
        <w:pStyle w:val="TextoNormal"/>
      </w:pPr>
    </w:p>
    <w:p w14:paraId="4F96E847" w14:textId="77777777" w:rsidR="00A8138F" w:rsidRDefault="00A8138F" w:rsidP="00A8138F">
      <w:pPr>
        <w:pStyle w:val="TextoNormal"/>
      </w:pPr>
      <w:r>
        <w:t>c) Finalmente, este tribunal es plenamente consciente de que la actuación cuyo enjuiciamiento nos ocupa puede generar gran rechazo y ser tachada como de mal gusto o falta de sensibilidad. Del mismo modo, este tribunal es del todo consciente de que la publicación del mensaje tuvo una innegable y dolorosa repercusión en los sentimientos de la víctima y que le provocó un gran sufrimiento.</w:t>
      </w:r>
    </w:p>
    <w:p w14:paraId="6E6444FF" w14:textId="77777777" w:rsidR="00A8138F" w:rsidRDefault="00A8138F" w:rsidP="00A8138F">
      <w:pPr>
        <w:pStyle w:val="TextoNormal"/>
      </w:pPr>
    </w:p>
    <w:p w14:paraId="3333AC4F" w14:textId="77777777" w:rsidR="00A8138F" w:rsidRDefault="00A8138F" w:rsidP="00A8138F">
      <w:pPr>
        <w:pStyle w:val="TextoNormal"/>
      </w:pPr>
      <w:r>
        <w:t>No obstante, este tribunal ha venido afirmando que “el propio apartado 4 del art. 20 CE dispone que todas las libertades reconocidas en este precepto tienen su límite en el derecho al honor, a la intimidad, a la propia imagen y a la protección de la juventud y de la infancia”, pero que “el buen gusto o la calidad literaria no constituyen límites constitucionales a dicho derecho” (STC 51/2008, FJ 5). Esta última afirmación no es baladí, ya que entronca directamente con la doctrina de este Tribunal Constitucional que ha venido considerando que debe otorgarse un amplio margen a las libertades de expresión y de creación artística, protegidas por el art. 20.1 CE, aunque su ejercicio pueda “molestar, inquietar o disgustar” (STC 174/2006, de 5 de junio, FJ 4). Doctrina esta que hemos recordado y mantenido recientemente en la STC 83/2023, en la que se recuerda que la preservación de una sociedad democrática exige que deban ampararse no solo pensamientos, ideas u opiniones favorables o consideradas inofensivas, sino también las que contrastan, chocan o inquietan al Estado o a un sector de la población (FJ 4).</w:t>
      </w:r>
    </w:p>
    <w:p w14:paraId="4A6E5FD0" w14:textId="77777777" w:rsidR="00A8138F" w:rsidRDefault="00A8138F" w:rsidP="00A8138F">
      <w:pPr>
        <w:pStyle w:val="TextoNormal"/>
      </w:pPr>
    </w:p>
    <w:p w14:paraId="3B8AC640" w14:textId="77777777" w:rsidR="00A8138F" w:rsidRDefault="00A8138F" w:rsidP="00A8138F">
      <w:pPr>
        <w:pStyle w:val="TextoNormal"/>
      </w:pPr>
      <w:r>
        <w:t xml:space="preserve">D) En suma, la sentencia condenatoria del Juzgado de lo Penal no efectuó ningún juicio previo sobre el ejercicio lícito de la libertad de expresión. Más en concreto, consideró irrelevante que la intención declarada en el desmentido publicado por el recurrente fuera efectuar una crítica contra el tratamiento que dispensan los medios de comunicación a determinados hechos noticiosos, que además en ese caso eran de indudable interés social y formaban parte del debate público. Tampoco tomó en consideración la coherencia de este mensaje con la trayectoria reivindicativa del recurrente quien, además, pertenecía al colectivo Homo Velamine, que había llevado a cabo actuaciones paródicas o satíricas similares, y a una corriente cultural denominada </w:t>
      </w:r>
      <w:r w:rsidRPr="00A8138F">
        <w:rPr>
          <w:i/>
        </w:rPr>
        <w:t>culture jamming</w:t>
      </w:r>
      <w:r>
        <w:t>, caracterizada por denunciar con ironía los comportamientos de la comunicación de masas. Tampoco tuvo en cuenta el mayor espacio de libertad que cumple otorgar específicamente a los mensajes satíricos, de contenido precisamente hiriente y provocador; en relación con ello, cabe insistir en que el art. 20.1 de la Constitución protege incluso aquellos mensajes que pueden calificarse de desafortunados y de evidente mal gusto. Tampoco tuvo en cuenta que, como apunta el Ministerio Fiscal, el mensaje del recurrente no contenía ni una sola referencia a la víctima y que, además, calificó los hechos no como abuso sino como agresión sexual, mostrando asimismo el logotipo del Gobierno de Navarra contra la violencia de género. Finalmente, tampoco tuvo en la debida consideración que solo tres días después de la activación de la página web se publicó en la misma un desmentido que dejaba meridianamente clara la intención del mensaje.</w:t>
      </w:r>
    </w:p>
    <w:p w14:paraId="352F2662" w14:textId="77777777" w:rsidR="00A8138F" w:rsidRDefault="00A8138F" w:rsidP="00A8138F">
      <w:pPr>
        <w:pStyle w:val="TextoNormal"/>
      </w:pPr>
    </w:p>
    <w:p w14:paraId="2D070C07" w14:textId="77777777" w:rsidR="00A8138F" w:rsidRDefault="00A8138F" w:rsidP="00A8138F">
      <w:pPr>
        <w:pStyle w:val="TextoNormal"/>
      </w:pPr>
      <w:r>
        <w:t xml:space="preserve">Por último, resulta reseñable que nos hallamos ante el enjuiciamiento de un mensaje emitido a modo de </w:t>
      </w:r>
      <w:r w:rsidRPr="00A8138F">
        <w:rPr>
          <w:i/>
        </w:rPr>
        <w:t>performance</w:t>
      </w:r>
      <w:r>
        <w:t xml:space="preserve"> por lo que, como el propio recurrente ha indicado, debe entenderse como una forma de creación artística. En este sentido, cabe traer a colación aquí la doctrina de este tribunal que sostiene la posible imbricación entre las distintas libertades previstas en el art. 20.1 CE, concretamente en este caso entre la libertad de expresión reconocida en el apartado a) y la de creación artística del inciso b) del precepto constitucional. En la línea que sostuvimos en el fundamento jurídico 3 de la STC 34/2010, a la hora de valorar las posibles limitaciones de la libertad de expresión “deberán ser tenidas en cuenta las especialidades derivadas del aspecto creativo de la obra audiovisual”. Y tampoco estas fueron tomadas en consideración en la sentencia del Juzgado de lo Penal.</w:t>
      </w:r>
    </w:p>
    <w:p w14:paraId="7EA29E72" w14:textId="77777777" w:rsidR="00A8138F" w:rsidRDefault="00A8138F" w:rsidP="00A8138F">
      <w:pPr>
        <w:pStyle w:val="TextoNormal"/>
      </w:pPr>
    </w:p>
    <w:p w14:paraId="60F84883" w14:textId="77777777" w:rsidR="00A8138F" w:rsidRDefault="00A8138F" w:rsidP="00A8138F">
      <w:pPr>
        <w:pStyle w:val="TextoNormal"/>
      </w:pPr>
      <w:r>
        <w:t>Por todo ello, debe concluirse que se omitió el juicio sobre la afectación al ejercicio de la libertad de expresión que, como exige la doctrina constitucional, debe realizarse con carácter previo a la aplicación del tipo penal, en este caso, del art. 173.1 CP. Y esta omisión no fue subsanada con posterioridad, pues la Audiencia Provincial de Navarra se limitó a ratificar el juicio efectuado por el Juzgado de lo Penal, y la providencia de la Sala de lo Penal del Tribunal Supremo inadmitió el recurso de casación. Por sí sola, y de acuerdo con el criterio del Ministerio Fiscal, esta omisión tiene carácter determinante para estimar que concurre la vulneración de la libertad de expresión del demandante de amparo, por lo que procede declarar para su restablecimiento la nulidad de las resoluciones judiciales objeto del presente recurso (por todas, STC 35/2020, de 25 de febrero, FJ 5).</w:t>
      </w:r>
    </w:p>
    <w:p w14:paraId="72556CD6" w14:textId="77777777" w:rsidR="00A8138F" w:rsidRDefault="00A8138F" w:rsidP="00A8138F">
      <w:pPr>
        <w:pStyle w:val="TextoNormal"/>
      </w:pPr>
    </w:p>
    <w:p w14:paraId="159FCFFC" w14:textId="106C0223" w:rsidR="00A8138F" w:rsidRDefault="00A8138F" w:rsidP="00A8138F">
      <w:pPr>
        <w:pStyle w:val="TextoNormal"/>
      </w:pPr>
      <w:r>
        <w:t>La estimación del recurso de amparo planteado contra la resolución penal condenatoria por este motivo, así como la consiguiente declaración de nulidad de las resoluciones judiciales impugnadas, hace que resulte innecesario pronunciarse sobre el resto de las vulneraciones de derechos fundamentales alegadas.</w:t>
      </w:r>
    </w:p>
    <w:p w14:paraId="3A5C8A84" w14:textId="77777777" w:rsidR="00A8138F" w:rsidRDefault="00A8138F" w:rsidP="00A8138F">
      <w:pPr>
        <w:pStyle w:val="TextoNormal"/>
      </w:pPr>
    </w:p>
    <w:p w14:paraId="07BB2905" w14:textId="77777777" w:rsidR="00A8138F" w:rsidRDefault="00A8138F" w:rsidP="00A8138F">
      <w:pPr>
        <w:pStyle w:val="TextoNormalCentrado"/>
        <w:keepNext/>
      </w:pPr>
      <w:r>
        <w:t>FALLO</w:t>
      </w:r>
    </w:p>
    <w:p w14:paraId="697BA8A6" w14:textId="4801CA50" w:rsidR="00A8138F" w:rsidRDefault="00A8138F" w:rsidP="00A8138F">
      <w:pPr>
        <w:pStyle w:val="TextoNormalCentrado"/>
        <w:keepNext/>
      </w:pPr>
    </w:p>
    <w:p w14:paraId="422B2636"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Raúl San Mateo Martínez y, en su virtud:</w:t>
      </w:r>
    </w:p>
    <w:p w14:paraId="33B9FC58" w14:textId="77777777" w:rsidR="00A8138F" w:rsidRDefault="00A8138F" w:rsidP="00A8138F">
      <w:pPr>
        <w:pStyle w:val="TextoNormal"/>
      </w:pPr>
    </w:p>
    <w:p w14:paraId="1322F04B" w14:textId="77777777" w:rsidR="00A8138F" w:rsidRDefault="00A8138F" w:rsidP="00A8138F">
      <w:pPr>
        <w:pStyle w:val="TextoNormal"/>
      </w:pPr>
      <w:r>
        <w:t>1º Declarar que ha sido vulnerado su derecho a la libertad de expresión [art. 20.1 a) CE] y su derecho a la libertad de creación artística [art. 20.1 b) CE].</w:t>
      </w:r>
    </w:p>
    <w:p w14:paraId="6449B1A9" w14:textId="77777777" w:rsidR="00A8138F" w:rsidRDefault="00A8138F" w:rsidP="00A8138F">
      <w:pPr>
        <w:pStyle w:val="TextoNormal"/>
      </w:pPr>
    </w:p>
    <w:p w14:paraId="7F405A0F" w14:textId="57677EC0" w:rsidR="00A8138F" w:rsidRDefault="00A8138F" w:rsidP="00A8138F">
      <w:pPr>
        <w:pStyle w:val="TextoNormal"/>
      </w:pPr>
      <w:r>
        <w:t>2º Restablecerle en su derecho y, a tal fin, declarar la nulidad de la sentencia de 9 de diciembre de 2019 del Juzgado de lo Penal núm. 1 de Pamplona, la sentencia de 3 de junio de 2020 de la Sección Segunda de la Audiencia Provincial de Navarra y la providencia de 26 de noviembre de 2020 de la Sala de lo Penal del Tribunal Supremo.</w:t>
      </w:r>
    </w:p>
    <w:p w14:paraId="355CF2E7" w14:textId="77777777" w:rsidR="00A8138F" w:rsidRDefault="00A8138F" w:rsidP="00A8138F">
      <w:pPr>
        <w:pStyle w:val="TextoNormal"/>
      </w:pPr>
    </w:p>
    <w:p w14:paraId="4F672A9E" w14:textId="77777777" w:rsidR="00A8138F" w:rsidRDefault="00A8138F" w:rsidP="00A8138F">
      <w:pPr>
        <w:pStyle w:val="TextoNormal"/>
      </w:pPr>
      <w:r>
        <w:t>Publíquese esta sentencia en el “Boletín Oficial del Estado”.</w:t>
      </w:r>
    </w:p>
    <w:p w14:paraId="3E8616E1" w14:textId="77777777" w:rsidR="00A8138F" w:rsidRDefault="00A8138F" w:rsidP="00A8138F">
      <w:pPr>
        <w:pStyle w:val="TextoNormal"/>
      </w:pPr>
      <w:r>
        <w:t>Dada en Madrid, a trece de mayo de dos mil veinticinco.</w:t>
      </w:r>
    </w:p>
    <w:p w14:paraId="64D0EA29" w14:textId="3DB40514" w:rsidR="00A8138F" w:rsidRDefault="00A8138F">
      <w:pPr>
        <w:spacing w:after="160" w:line="278" w:lineRule="auto"/>
        <w:rPr>
          <w:rFonts w:ascii="Times New Roman" w:eastAsia="Times New Roman" w:hAnsi="Times New Roman" w:cs="Times New Roman"/>
          <w:sz w:val="24"/>
          <w:szCs w:val="24"/>
          <w:lang w:eastAsia="es-ES"/>
        </w:rPr>
      </w:pPr>
      <w:r>
        <w:br w:type="page"/>
      </w:r>
    </w:p>
    <w:p w14:paraId="55824B08" w14:textId="77777777" w:rsidR="00A8138F" w:rsidRDefault="00A8138F" w:rsidP="00A8138F">
      <w:pPr>
        <w:pStyle w:val="TtuloResolucin"/>
      </w:pPr>
      <w:bookmarkStart w:id="120" w:name="SENTENCIA_2025_118"/>
      <w:r>
        <w:t>SENTENCIA 118/2025, de 14 de mayo de 2025</w:t>
      </w:r>
    </w:p>
    <w:bookmarkEnd w:id="120"/>
    <w:p w14:paraId="717B855E" w14:textId="77777777" w:rsidR="00A8138F" w:rsidRDefault="00A8138F" w:rsidP="00A8138F">
      <w:pPr>
        <w:pStyle w:val="TtuloResolucin"/>
      </w:pPr>
      <w:r>
        <w:t>Pleno</w:t>
      </w:r>
    </w:p>
    <w:p w14:paraId="6E4E555A" w14:textId="77777777" w:rsidR="00A8138F" w:rsidRDefault="00A8138F" w:rsidP="00A8138F">
      <w:pPr>
        <w:pStyle w:val="TtuloBOE"/>
      </w:pPr>
      <w:r>
        <w:t>(BOE núm. 146, de 18 de junio de 2025)</w:t>
      </w:r>
    </w:p>
    <w:p w14:paraId="2365C98A" w14:textId="77777777" w:rsidR="00A8138F" w:rsidRDefault="00A8138F" w:rsidP="00A8138F">
      <w:pPr>
        <w:pStyle w:val="TextoNormalCentrado"/>
      </w:pPr>
      <w:r>
        <w:t>ECLI:ES:TC:2025:118</w:t>
      </w:r>
    </w:p>
    <w:p w14:paraId="3DBA2F67" w14:textId="2AB957B0" w:rsidR="00A8138F" w:rsidRDefault="00A8138F" w:rsidP="00A8138F">
      <w:pPr>
        <w:pStyle w:val="TextoNormalCentrado"/>
      </w:pPr>
    </w:p>
    <w:p w14:paraId="7544B843" w14:textId="77777777" w:rsidR="00A8138F" w:rsidRDefault="00A8138F" w:rsidP="00A8138F">
      <w:pPr>
        <w:pStyle w:val="SntesisDescriptiva"/>
      </w:pPr>
      <w:r>
        <w:t>Recurso de inconstitucionalidad 7549-2023. Interpuesto por más de cincuenta miembros de los grupos parlamentarios Socialista y Sumar del Congreso de los Diputados respecto de las disposiciones final segunda y derogatoria única del Decreto-ley del Gobierno de las Illes Balears 5/2023, de 28 de agosto, de medidas urgentes en el ámbito educativo y en el sanitario.</w:t>
      </w:r>
    </w:p>
    <w:p w14:paraId="4134E4D0" w14:textId="5EE0E882" w:rsidR="00A8138F" w:rsidRDefault="00A8138F" w:rsidP="00A8138F">
      <w:pPr>
        <w:pStyle w:val="SntesisDescriptiva"/>
      </w:pPr>
    </w:p>
    <w:p w14:paraId="1E29C4CC" w14:textId="77777777" w:rsidR="00A8138F" w:rsidRDefault="00A8138F" w:rsidP="00A8138F">
      <w:pPr>
        <w:pStyle w:val="SntesisAnaltica"/>
      </w:pPr>
      <w:r>
        <w:t>Límites de los decretos-leyes: pérdida parcial de objeto del proceso; justificación de la concurrencia del presupuesto habilitante en una norma de urgencia que, al eliminar la exigencia de un determinado nivel de conocimiento de catalán como requisito para acceder a puestos de personal estatutario y laboral en el Servicio de Salud de las Illes Balears, no incorpora una regulación general del régimen de cooficialidad lingüística.</w:t>
      </w:r>
    </w:p>
    <w:p w14:paraId="0F822D6B" w14:textId="12067E59" w:rsidR="00A8138F" w:rsidRDefault="00A8138F" w:rsidP="00A8138F">
      <w:pPr>
        <w:pStyle w:val="SntesisAnaltica"/>
      </w:pPr>
    </w:p>
    <w:p w14:paraId="0E179474" w14:textId="2EFECEB1" w:rsidR="00A8138F" w:rsidRDefault="00A8138F" w:rsidP="00A8138F">
      <w:pPr>
        <w:pStyle w:val="Extracto"/>
      </w:pPr>
      <w:r>
        <w:t>1.</w:t>
      </w:r>
      <w:r>
        <w:tab/>
        <w:t>La apreciación de la concurrencia de la extraordinaria y urgente necesidad constituye un juicio político que corresponde efectuar tanto al Ejecutivo para dictar el decreto-ley como al Congreso de los Diputados, o a la cámara autonómica, para, llegado el caso, convalidarlo en votación de totalidad (arts. 86.1 y 2 CE), incumbiéndole a este tribunal controlar que ese juicio político no desborde los límites de lo manifiestamente razonable, sin suplantar a los órganos constitucionales que intervienen en la aprobación y convalidación de los decretos-leyes (STC 134/2021) [FJ 3].</w:t>
      </w:r>
    </w:p>
    <w:p w14:paraId="04DA4ADE" w14:textId="77777777" w:rsidR="00A8138F" w:rsidRDefault="00A8138F" w:rsidP="00A8138F">
      <w:pPr>
        <w:pStyle w:val="Extracto"/>
      </w:pPr>
    </w:p>
    <w:p w14:paraId="7DA8E600" w14:textId="29F8BD71" w:rsidR="00A8138F" w:rsidRDefault="00A8138F" w:rsidP="00A8138F">
      <w:pPr>
        <w:pStyle w:val="Extracto"/>
      </w:pPr>
      <w:r>
        <w:t>2.</w:t>
      </w:r>
      <w:r>
        <w:tab/>
        <w:t>No es necesario que la situación de urgencia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Y, respecto de la conexión de sentido entre la situación de urgencia definida y las medidas adoptadas, deben valorarse el contenido y la estructura de las disposiciones incluidas en el decreto-ley controvertido (SSTC 152/2017 o 61/2018) [FJ 3].</w:t>
      </w:r>
    </w:p>
    <w:p w14:paraId="796F618D" w14:textId="77777777" w:rsidR="00A8138F" w:rsidRDefault="00A8138F" w:rsidP="00A8138F">
      <w:pPr>
        <w:pStyle w:val="Extracto"/>
      </w:pPr>
    </w:p>
    <w:p w14:paraId="794B4F69" w14:textId="7E42A286" w:rsidR="00A8138F" w:rsidRDefault="00A8138F" w:rsidP="00A8138F">
      <w:pPr>
        <w:pStyle w:val="Extracto"/>
      </w:pPr>
      <w:r>
        <w:t>3.</w:t>
      </w:r>
      <w:r>
        <w:tab/>
        <w:t>La expresión “no podrán afectar” del art. 86.1 CE es una concepción estricta de afectación de derechos que exige tener en cuenta la configuración constitucional del derecho o deber afectado en cada caso y la naturaleza y alcance de la concreta regulación de que se trate. De este modo, lo que está vedado al decreto-ley es afectar al régimen general del derecho de que se trate o al contenido o elementos esenciales de dicho derecho (STC 38/2016) [FJ 6].</w:t>
      </w:r>
    </w:p>
    <w:p w14:paraId="0E10E8B7" w14:textId="77777777" w:rsidR="00A8138F" w:rsidRDefault="00A8138F" w:rsidP="00A8138F">
      <w:pPr>
        <w:pStyle w:val="Extracto"/>
      </w:pPr>
    </w:p>
    <w:p w14:paraId="0D5A0341" w14:textId="77777777" w:rsidR="00A8138F" w:rsidRDefault="00A8138F" w:rsidP="00A8138F">
      <w:pPr>
        <w:pStyle w:val="Extracto"/>
      </w:pPr>
    </w:p>
    <w:p w14:paraId="314A5288"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75DD7522" w14:textId="75615016" w:rsidR="00A8138F" w:rsidRDefault="00A8138F" w:rsidP="00A8138F">
      <w:pPr>
        <w:pStyle w:val="TextoNormal"/>
      </w:pPr>
    </w:p>
    <w:p w14:paraId="30505B04" w14:textId="77777777" w:rsidR="00A8138F" w:rsidRDefault="00A8138F" w:rsidP="00A8138F">
      <w:pPr>
        <w:pStyle w:val="TextoNormalCentrado"/>
        <w:keepNext/>
      </w:pPr>
      <w:r>
        <w:t>EN NOMBRE DEL REY</w:t>
      </w:r>
    </w:p>
    <w:p w14:paraId="47EDCB53" w14:textId="089DFF1B" w:rsidR="00A8138F" w:rsidRDefault="00A8138F" w:rsidP="00A8138F">
      <w:pPr>
        <w:pStyle w:val="TextoNormalCentrado"/>
        <w:keepNext/>
      </w:pPr>
    </w:p>
    <w:p w14:paraId="164A7DCC" w14:textId="77777777" w:rsidR="00A8138F" w:rsidRDefault="00A8138F" w:rsidP="00A8138F">
      <w:pPr>
        <w:pStyle w:val="TextoNormalCentrado"/>
        <w:keepNext/>
      </w:pPr>
    </w:p>
    <w:p w14:paraId="6AB419F1" w14:textId="77777777" w:rsidR="00A8138F" w:rsidRDefault="00A8138F" w:rsidP="00A8138F">
      <w:pPr>
        <w:pStyle w:val="TextoNormal"/>
      </w:pPr>
      <w:r>
        <w:t>la siguiente</w:t>
      </w:r>
    </w:p>
    <w:p w14:paraId="4C982264" w14:textId="036C3EDB" w:rsidR="00A8138F" w:rsidRDefault="00A8138F" w:rsidP="00A8138F">
      <w:pPr>
        <w:pStyle w:val="TextoNormal"/>
      </w:pPr>
    </w:p>
    <w:p w14:paraId="752DCADC" w14:textId="77777777" w:rsidR="00A8138F" w:rsidRDefault="00A8138F" w:rsidP="00A8138F">
      <w:pPr>
        <w:pStyle w:val="TextoNormalCentrado"/>
        <w:keepNext/>
      </w:pPr>
      <w:r>
        <w:t>SENTENCIA</w:t>
      </w:r>
    </w:p>
    <w:p w14:paraId="12695A7B" w14:textId="6EC0CAB7" w:rsidR="00A8138F" w:rsidRDefault="00A8138F" w:rsidP="00A8138F">
      <w:pPr>
        <w:pStyle w:val="TextoNormalCentrado"/>
        <w:keepNext/>
      </w:pPr>
    </w:p>
    <w:p w14:paraId="3B0DA3DB" w14:textId="77777777" w:rsidR="00A8138F" w:rsidRDefault="00A8138F" w:rsidP="00A8138F">
      <w:pPr>
        <w:pStyle w:val="TextoNormal"/>
      </w:pPr>
      <w:r>
        <w:t>En el recurso de inconstitucionalidad núm. 7549-2023, interpuesto por más de cincuenta diputados de los grupos parlamentarios Socialista y Sumar del Congreso de los Diputados contra la disposición final segunda y la disposición derogatoria única (inciso “y de la Ley 4/2016, de 6 de abril, de medidas de capacitación lingüística para la recuperación del uso del catalán en el ámbito de la función pública”) del Decreto-ley del Gobierno de las Illes Balears 5/2023, de 28 de agosto, de medidas urgentes en el ámbito educativo y en el sanitario. Han comparecido el Congreso de los Diputados, el Senado y el Gobierno de la Nación. Ha formulado alegaciones el Gobierno de las Illes Balears. Ha sido ponente el magistrado don Ricardo Enríquez Sancho.</w:t>
      </w:r>
    </w:p>
    <w:p w14:paraId="6A80D682" w14:textId="52E1C9F5" w:rsidR="00A8138F" w:rsidRDefault="00A8138F" w:rsidP="00A8138F">
      <w:pPr>
        <w:pStyle w:val="TextoNormal"/>
      </w:pPr>
    </w:p>
    <w:p w14:paraId="5B468739" w14:textId="77777777" w:rsidR="00A8138F" w:rsidRDefault="00A8138F" w:rsidP="00A8138F">
      <w:pPr>
        <w:pStyle w:val="TextoNormalNegritaCentrado"/>
        <w:keepNext/>
      </w:pPr>
      <w:r>
        <w:t>I. Antecedentes</w:t>
      </w:r>
    </w:p>
    <w:p w14:paraId="0C32DE0C" w14:textId="167D2D7B" w:rsidR="00A8138F" w:rsidRDefault="00A8138F" w:rsidP="00A8138F">
      <w:pPr>
        <w:pStyle w:val="TextoNormalNegritaCentrado"/>
        <w:keepNext/>
      </w:pPr>
    </w:p>
    <w:p w14:paraId="71188F42" w14:textId="77777777" w:rsidR="00A8138F" w:rsidRDefault="00A8138F" w:rsidP="00A8138F">
      <w:pPr>
        <w:pStyle w:val="TextoNormal"/>
      </w:pPr>
      <w:r w:rsidRPr="00A8138F">
        <w:rPr>
          <w:rStyle w:val="NumeroAFNegritaCaracter"/>
        </w:rPr>
        <w:t>1</w:t>
      </w:r>
      <w:r>
        <w:t>. Mediante escrito presentado en el registro electrónico de este tribunal el día 29 de noviembre de 2023, doña Virginia Aragón Segura, procuradora de los tribunales y de más de cincuenta diputados de los grupos parlamentarios Socialista y Sumar del Congreso de los Diputados relacionados en su escrito, interpuso recurso de inconstitucionalidad contra las disposiciones citadas en el encabezamiento.</w:t>
      </w:r>
    </w:p>
    <w:p w14:paraId="73B3B883" w14:textId="77777777" w:rsidR="00A8138F" w:rsidRDefault="00A8138F" w:rsidP="00A8138F">
      <w:pPr>
        <w:pStyle w:val="TextoNormal"/>
      </w:pPr>
    </w:p>
    <w:p w14:paraId="00E1BC06" w14:textId="77777777" w:rsidR="00A8138F" w:rsidRDefault="00A8138F" w:rsidP="00A8138F">
      <w:pPr>
        <w:pStyle w:val="TextoNormal"/>
      </w:pPr>
      <w:r>
        <w:t>La disposición final segunda del Decreto-ley del Gobierno de las Illes Balears 5/2023 suprime la acreditación de un determinado nivel de conocimiento del catalán como requisito de acceso a la función pública de los profesionales sanitarios, en los siguientes términos:</w:t>
      </w:r>
    </w:p>
    <w:p w14:paraId="0F6B0001" w14:textId="77777777" w:rsidR="00A8138F" w:rsidRDefault="00A8138F" w:rsidP="00A8138F">
      <w:pPr>
        <w:pStyle w:val="TextoNormal"/>
      </w:pPr>
    </w:p>
    <w:p w14:paraId="6A7E1785" w14:textId="77777777" w:rsidR="00A8138F" w:rsidRDefault="00A8138F" w:rsidP="00A8138F">
      <w:pPr>
        <w:pStyle w:val="TextoNormal"/>
      </w:pPr>
      <w:r>
        <w:t>“Disposición final segunda. Modificación de la Ley 3/2007, de 27 de marzo, de la función pública de la Comunidad Autónoma de las Illes Balears.</w:t>
      </w:r>
    </w:p>
    <w:p w14:paraId="355DD0E3" w14:textId="77777777" w:rsidR="00A8138F" w:rsidRDefault="00A8138F" w:rsidP="00A8138F">
      <w:pPr>
        <w:pStyle w:val="TextoNormal"/>
      </w:pPr>
    </w:p>
    <w:p w14:paraId="488DD78C" w14:textId="77777777" w:rsidR="00A8138F" w:rsidRDefault="00A8138F" w:rsidP="00A8138F">
      <w:pPr>
        <w:pStyle w:val="TextoNormal"/>
      </w:pPr>
      <w:r>
        <w:t>1. La letra d) del artículo 30 de la Ley 3/2007, de 27 de marzo, de la función pública de las Comunidad Autónoma de las Illes Balears, queda modificada de la siguiente manera:</w:t>
      </w:r>
    </w:p>
    <w:p w14:paraId="131C820C" w14:textId="77777777" w:rsidR="00A8138F" w:rsidRDefault="00A8138F" w:rsidP="00A8138F">
      <w:pPr>
        <w:pStyle w:val="TextoNormal"/>
      </w:pPr>
    </w:p>
    <w:p w14:paraId="0057B752" w14:textId="77777777" w:rsidR="00A8138F" w:rsidRDefault="00A8138F" w:rsidP="00A8138F">
      <w:pPr>
        <w:pStyle w:val="TextoNormal"/>
      </w:pPr>
      <w:r>
        <w:t>‘d) Nivel exigido de conocimiento de la lengua catalana, en los términos establecidos reglamentariamente.</w:t>
      </w:r>
    </w:p>
    <w:p w14:paraId="3670D45F" w14:textId="77777777" w:rsidR="00A8138F" w:rsidRDefault="00A8138F" w:rsidP="00A8138F">
      <w:pPr>
        <w:pStyle w:val="TextoNormal"/>
      </w:pPr>
    </w:p>
    <w:p w14:paraId="36E6DAB2" w14:textId="77777777" w:rsidR="00A8138F" w:rsidRDefault="00A8138F" w:rsidP="00A8138F">
      <w:pPr>
        <w:pStyle w:val="TextoNormal"/>
      </w:pPr>
      <w:r>
        <w:t>Se exceptúa de esta exigencia al personal estatutario y laboral sanitario del Servicio de Salud de las Illes Balears y de los entes públicos adscritos a este servicio, cuyo requisito de acceso sea una titulación de la rama sanitaria. Respecto de este personal, el conocimiento de la lengua catalana no tendrá en ningún caso el carácter o condición de requisito para el ingreso, provisión u ocupación de puestos de trabajo o desempeño de funciones en aquel servicio o en los entes públicos adscritos al mismo. Así, en relación con este personal, el conocimiento de lengua catalana tendrá la condición de mérito, en los términos que se determinen reglamentariamente’.</w:t>
      </w:r>
    </w:p>
    <w:p w14:paraId="051A6F7B" w14:textId="77777777" w:rsidR="00A8138F" w:rsidRDefault="00A8138F" w:rsidP="00A8138F">
      <w:pPr>
        <w:pStyle w:val="TextoNormal"/>
      </w:pPr>
    </w:p>
    <w:p w14:paraId="7ED8A1AC" w14:textId="77777777" w:rsidR="00A8138F" w:rsidRDefault="00A8138F" w:rsidP="00A8138F">
      <w:pPr>
        <w:pStyle w:val="TextoNormal"/>
      </w:pPr>
      <w:r>
        <w:t>2. La letra f) del apartado 1 del artículo 50 de la Ley 3/2007 mencionada queda modificada de la siguiente manera:</w:t>
      </w:r>
    </w:p>
    <w:p w14:paraId="5F9488AF" w14:textId="77777777" w:rsidR="00A8138F" w:rsidRDefault="00A8138F" w:rsidP="00A8138F">
      <w:pPr>
        <w:pStyle w:val="TextoNormal"/>
      </w:pPr>
    </w:p>
    <w:p w14:paraId="0902B197" w14:textId="77777777" w:rsidR="00A8138F" w:rsidRDefault="00A8138F" w:rsidP="00A8138F">
      <w:pPr>
        <w:pStyle w:val="TextoNormal"/>
      </w:pPr>
      <w:r>
        <w:t>‘f) Acreditar el conocimiento de la lengua catalana que se determine reglamentariamente, respetando el principio de proporcionalidad y adecuación entre el nivel de exigencia y las funciones correspondientes, y sin perjuicio de lo dispuesto en la letra d) del artículo 30 de esta ley’.</w:t>
      </w:r>
    </w:p>
    <w:p w14:paraId="5755E757" w14:textId="77777777" w:rsidR="00A8138F" w:rsidRDefault="00A8138F" w:rsidP="00A8138F">
      <w:pPr>
        <w:pStyle w:val="TextoNormal"/>
      </w:pPr>
    </w:p>
    <w:p w14:paraId="21B08309" w14:textId="77777777" w:rsidR="00A8138F" w:rsidRDefault="00A8138F" w:rsidP="00A8138F">
      <w:pPr>
        <w:pStyle w:val="TextoNormal"/>
      </w:pPr>
      <w:r>
        <w:t>3. El apartado 2 del artículo 113 de la Ley 3/2007 mencionada queda modificado de la siguiente manera:</w:t>
      </w:r>
    </w:p>
    <w:p w14:paraId="0BB1EA81" w14:textId="77777777" w:rsidR="00A8138F" w:rsidRDefault="00A8138F" w:rsidP="00A8138F">
      <w:pPr>
        <w:pStyle w:val="TextoNormal"/>
      </w:pPr>
    </w:p>
    <w:p w14:paraId="455D384B" w14:textId="77777777" w:rsidR="00A8138F" w:rsidRDefault="00A8138F" w:rsidP="00A8138F">
      <w:pPr>
        <w:pStyle w:val="TextoNormal"/>
      </w:pPr>
      <w:r>
        <w:t>‘2. El reingreso puede efectuarse por adjudicación de un puesto de trabajo con carácter provisional, condicionada a las necesidades del servicio y en los términos que se establezcan reglamentariamente, siempre que la persona interesada cumpla los requisitos de ocupación del puesto, salvo, en su caso, del nivel de conocimientos de lengua catalana del puesto de trabajo’.</w:t>
      </w:r>
    </w:p>
    <w:p w14:paraId="193BD437" w14:textId="77777777" w:rsidR="00A8138F" w:rsidRDefault="00A8138F" w:rsidP="00A8138F">
      <w:pPr>
        <w:pStyle w:val="TextoNormal"/>
      </w:pPr>
    </w:p>
    <w:p w14:paraId="370883A4" w14:textId="77777777" w:rsidR="00A8138F" w:rsidRDefault="00A8138F" w:rsidP="00A8138F">
      <w:pPr>
        <w:pStyle w:val="TextoNormal"/>
      </w:pPr>
      <w:r>
        <w:t>4. La letra g) del apartado 1 del artículo 124 de la Ley 3/2007 mencionada queda modificada de la siguiente manera:</w:t>
      </w:r>
    </w:p>
    <w:p w14:paraId="3E0D73CA" w14:textId="77777777" w:rsidR="00A8138F" w:rsidRDefault="00A8138F" w:rsidP="00A8138F">
      <w:pPr>
        <w:pStyle w:val="TextoNormal"/>
      </w:pPr>
    </w:p>
    <w:p w14:paraId="0BEBACC9" w14:textId="77777777" w:rsidR="00A8138F" w:rsidRDefault="00A8138F" w:rsidP="00A8138F">
      <w:pPr>
        <w:pStyle w:val="TextoNormal"/>
      </w:pPr>
      <w:r>
        <w:t>‘g) Facilitar a los ciudadanos y a las ciudadanas el ejercicio del derecho a utilizar las lenguas cooficiales en las relaciones con la administración autonómica’.</w:t>
      </w:r>
    </w:p>
    <w:p w14:paraId="04C03A37" w14:textId="77777777" w:rsidR="00A8138F" w:rsidRDefault="00A8138F" w:rsidP="00A8138F">
      <w:pPr>
        <w:pStyle w:val="TextoNormal"/>
      </w:pPr>
    </w:p>
    <w:p w14:paraId="450C65E5" w14:textId="77777777" w:rsidR="00A8138F" w:rsidRDefault="00A8138F" w:rsidP="00A8138F">
      <w:pPr>
        <w:pStyle w:val="TextoNormal"/>
      </w:pPr>
      <w:r>
        <w:t>5. Se añade una nueva disposición transitoria, la disposición transitoria novena, en la Ley 3/2007 mencionada, con la siguiente redacción:</w:t>
      </w:r>
    </w:p>
    <w:p w14:paraId="3399F3AF" w14:textId="77777777" w:rsidR="00A8138F" w:rsidRDefault="00A8138F" w:rsidP="00A8138F">
      <w:pPr>
        <w:pStyle w:val="TextoNormal"/>
      </w:pPr>
    </w:p>
    <w:p w14:paraId="3BE942E4" w14:textId="77777777" w:rsidR="00A8138F" w:rsidRDefault="00A8138F" w:rsidP="00A8138F">
      <w:pPr>
        <w:pStyle w:val="TextoNormal"/>
      </w:pPr>
      <w:r>
        <w:t>‘Disposición transitoria novena. Previsiones específicas para la acreditación de la capacitación lingüística en los procedimientos de movilidad.</w:t>
      </w:r>
    </w:p>
    <w:p w14:paraId="72C042A7" w14:textId="77777777" w:rsidR="00A8138F" w:rsidRDefault="00A8138F" w:rsidP="00A8138F">
      <w:pPr>
        <w:pStyle w:val="TextoNormal"/>
      </w:pPr>
    </w:p>
    <w:p w14:paraId="03436379" w14:textId="77777777" w:rsidR="00A8138F" w:rsidRDefault="00A8138F" w:rsidP="00A8138F">
      <w:pPr>
        <w:pStyle w:val="TextoNormal"/>
      </w:pPr>
      <w:r>
        <w:t>1. El personal estatutario fijo de gestión y servicios que no proceda del Servicio de Salud de las Illes Balears y que participe en un procedimiento de movilidad, si no puede acreditar el nivel de conocimientos de la lengua catalana correspondiente a la plaza o puesto de trabajo al que opta, queda obligado a obtenerlo y a acreditarlo en un plazo máximo de dos años a contar a partir de la fecha de ocupación de la plaza o puesto de trabajo en el Servicio de Salud de las Illes Balears.</w:t>
      </w:r>
    </w:p>
    <w:p w14:paraId="356A55F3" w14:textId="77777777" w:rsidR="00A8138F" w:rsidRDefault="00A8138F" w:rsidP="00A8138F">
      <w:pPr>
        <w:pStyle w:val="TextoNormal"/>
      </w:pPr>
    </w:p>
    <w:p w14:paraId="513FE452" w14:textId="77777777" w:rsidR="00A8138F" w:rsidRDefault="00A8138F" w:rsidP="00A8138F">
      <w:pPr>
        <w:pStyle w:val="TextoNormal"/>
      </w:pPr>
      <w:r>
        <w:t>2. Igualmente, el personal estatutario de gestión y servicios que se vea obligado a participar en un proceso de movilidad, porque se encuentra en situación de reingreso provisional, si no puede acreditar el nivel mínimo de conocimientos de catalán que se regula en esta ley, queda obligado a obtenerlo y acreditarlo en un plazo máximo de dos años a contar a partir de la fecha en que ocupe la plaza o puesto de trabajo en el Servicio de Salud de las Illes Balears’”.</w:t>
      </w:r>
    </w:p>
    <w:p w14:paraId="3F8F5D54" w14:textId="77777777" w:rsidR="00A8138F" w:rsidRDefault="00A8138F" w:rsidP="00A8138F">
      <w:pPr>
        <w:pStyle w:val="TextoNormal"/>
      </w:pPr>
    </w:p>
    <w:p w14:paraId="18DD1718" w14:textId="77777777" w:rsidR="00A8138F" w:rsidRDefault="00A8138F" w:rsidP="00A8138F">
      <w:pPr>
        <w:pStyle w:val="TextoNormal"/>
      </w:pPr>
      <w:r>
        <w:t>El recurso se extiende, como queda dicho, al inciso de la disposición derogatoria que deroga expresamente los preceptos de la Ley 4/2016 que se opongan a lo dispuesto en el Decreto-ley 5/2023:</w:t>
      </w:r>
    </w:p>
    <w:p w14:paraId="439D9D8D" w14:textId="77777777" w:rsidR="00A8138F" w:rsidRDefault="00A8138F" w:rsidP="00A8138F">
      <w:pPr>
        <w:pStyle w:val="TextoNormal"/>
      </w:pPr>
    </w:p>
    <w:p w14:paraId="7D31ABA8" w14:textId="77777777" w:rsidR="00A8138F" w:rsidRDefault="00A8138F" w:rsidP="00A8138F">
      <w:pPr>
        <w:pStyle w:val="TextoNormal"/>
      </w:pPr>
      <w:r>
        <w:t xml:space="preserve">“Quedan derogadas las normas de rango igual o inferior que se opongan a lo que dispone este decreto-ley y, en particular, los artículos y disposiciones […] </w:t>
      </w:r>
      <w:r w:rsidRPr="00A8138F">
        <w:rPr>
          <w:i/>
        </w:rPr>
        <w:t>y de la Ley 4/2016, de 6 de abril, de medidas de capacitación lingüística para la recuperación del uso del catalán en el ámbito de la función pública, que se opongan, contradigan o resulten incompatibles con lo que dispone este decreto-ley</w:t>
      </w:r>
      <w:r>
        <w:t>” (cursiva añadida).</w:t>
      </w:r>
    </w:p>
    <w:p w14:paraId="2E761068" w14:textId="77777777" w:rsidR="00A8138F" w:rsidRDefault="00A8138F" w:rsidP="00A8138F">
      <w:pPr>
        <w:pStyle w:val="TextoNormal"/>
      </w:pPr>
    </w:p>
    <w:p w14:paraId="094402F6" w14:textId="77777777" w:rsidR="00A8138F" w:rsidRDefault="00A8138F" w:rsidP="00A8138F">
      <w:pPr>
        <w:pStyle w:val="TextoNormal"/>
      </w:pPr>
      <w:r>
        <w:t>Tras reproducir las normas recurridas, el escrito de interposición detalla los antecedentes que considera de interés, en particular, los términos de la exposición de motivos del decreto-ley y del debate de convalidación en el parlamento autonómico que subrayan el “tradicional déficit estructural” de médicos en el servicio autonómico de salud y el propósito de la reforma de eliminar la exigencia de un determinado nivel de catalán como requisito de acceso para facilitar la cobertura de plazas y la fidelización de médicos en el ámbito de la comunidad autónoma.</w:t>
      </w:r>
    </w:p>
    <w:p w14:paraId="5148B3D2" w14:textId="77777777" w:rsidR="00A8138F" w:rsidRDefault="00A8138F" w:rsidP="00A8138F">
      <w:pPr>
        <w:pStyle w:val="TextoNormal"/>
      </w:pPr>
    </w:p>
    <w:p w14:paraId="7FA98153" w14:textId="77777777" w:rsidR="00A8138F" w:rsidRDefault="00A8138F" w:rsidP="00A8138F">
      <w:pPr>
        <w:pStyle w:val="TextoNormal"/>
      </w:pPr>
      <w:r>
        <w:t>Expone a continuación el régimen anterior a la reforma recurrida. El sistema se caracterizaba por una exigencia flexible de unos mínimos conocimientos de catalán para médicos y enfermeras, compatible con su dispensa excepcional para determinados puestos ante la carencia o insuficiencia de profesionales (disposición transitoria segunda, apartado 3, de la Ley 4/2016). Añade que en los procesos de estabilización llevados a cabo Baleares durante el año 2023 en treinta y ocho de las cuarenta y nueve categorías profesionales sanitarias había más candidatos capacitados lingüísticamente que puestos ofertados. Subraya que existe un número relevante de quejas de pacientes por falta de atención en lengua catalana y que la falta de médicos es un fenómeno general a todas las comunidades autónomas, bilingües o monolingües. Por último, señala que el requisito lingüístico suprimido por la reforma no es un factor relevante para paliar el déficit de profesionales médicos en el servicio balear de salud.</w:t>
      </w:r>
    </w:p>
    <w:p w14:paraId="57A200F2" w14:textId="77777777" w:rsidR="00A8138F" w:rsidRDefault="00A8138F" w:rsidP="00A8138F">
      <w:pPr>
        <w:pStyle w:val="TextoNormal"/>
      </w:pPr>
    </w:p>
    <w:p w14:paraId="4425E0A8" w14:textId="77777777" w:rsidR="00A8138F" w:rsidRDefault="00A8138F" w:rsidP="00A8138F">
      <w:pPr>
        <w:pStyle w:val="TextoNormal"/>
      </w:pPr>
      <w:r>
        <w:t>Tras estos antecedentes, el recurso plantea cuatro motivos de inconstitucionalidad contra la supresión del conocimiento de catalán como requisito de acceso a la función pública sanitaria y su conversión en mérito.</w:t>
      </w:r>
    </w:p>
    <w:p w14:paraId="36441C12" w14:textId="77777777" w:rsidR="00A8138F" w:rsidRDefault="00A8138F" w:rsidP="00A8138F">
      <w:pPr>
        <w:pStyle w:val="TextoNormal"/>
      </w:pPr>
    </w:p>
    <w:p w14:paraId="4D597E7E" w14:textId="77777777" w:rsidR="00A8138F" w:rsidRDefault="00A8138F" w:rsidP="00A8138F">
      <w:pPr>
        <w:pStyle w:val="TextoNormal"/>
      </w:pPr>
      <w:r>
        <w:t>a) En primer lugar, la vulneración de los arts. 86 CE y 49 del Estatuto de Autonomía de las Illes Balears, aprobado por Ley Orgánica 1/2007, de 28 de febrero (EAIB) por falta de presupuesto habilitante y afectación de un derecho estatutario:</w:t>
      </w:r>
    </w:p>
    <w:p w14:paraId="7C8BC0A0" w14:textId="77777777" w:rsidR="00A8138F" w:rsidRDefault="00A8138F" w:rsidP="00A8138F">
      <w:pPr>
        <w:pStyle w:val="TextoNormal"/>
      </w:pPr>
    </w:p>
    <w:p w14:paraId="180AD403" w14:textId="77777777" w:rsidR="00A8138F" w:rsidRDefault="00A8138F" w:rsidP="00A8138F">
      <w:pPr>
        <w:pStyle w:val="TextoNormal"/>
      </w:pPr>
      <w:r>
        <w:t>Por una parte, el recurso sostiene que no existe el “déficit estructural” de profesionales sanitarios que describe la exposición de motivos del decreto-ley para justificar esta reacción legislativa urgente por parte del Gobierno. Ninguna estadística ni dato objetivo avala una relación directa entre el déficit de profesionales y los requisitos lingüísticos. Añade que tampoco hay elementos que permitan intuir que la reforma paliará ese déficit, ya que desde su aprobación no se han convocado procesos selectivos. Además, la reforma no guarda “conexión de sentido” con el déficit de profesionales que la motiva, siendo “manifiestamente inadecuada” para revertirlo. En particular, considera la medida desproporcionada, pues aun admitiendo que la dispensa del requisito fuera conveniente en casos especiales, la reforma elimina este requisito con carácter general. En suma, concluye, la reforma debería haberse tramitado por el procedimiento legislativo y, al no hacerlo, se ha vulnerado el principio democrático (art. 1 CE) y la posición central del Parlamento en la comunidad autónoma (arts. 39, 40.1 y 48.1 EAIB).</w:t>
      </w:r>
    </w:p>
    <w:p w14:paraId="72155A5B" w14:textId="77777777" w:rsidR="00A8138F" w:rsidRDefault="00A8138F" w:rsidP="00A8138F">
      <w:pPr>
        <w:pStyle w:val="TextoNormal"/>
      </w:pPr>
    </w:p>
    <w:p w14:paraId="69807848" w14:textId="77777777" w:rsidR="00A8138F" w:rsidRDefault="00A8138F" w:rsidP="00A8138F">
      <w:pPr>
        <w:pStyle w:val="TextoNormal"/>
      </w:pPr>
      <w:r>
        <w:t>Por otra parte, el recurso defiende que el decreto-ley excede los límites materiales constitucional y estatutario, al “afectar” al derecho del art. 14.3 EAIB, que dice que “[l]os ciudadanos de las Illes Balears tendrán derecho a dirigirse a la Administración de la Comunidad Autónoma en cualquiera de sus dos lenguas oficiales y a recibir respuesta en la misma lengua utilizada”.</w:t>
      </w:r>
    </w:p>
    <w:p w14:paraId="2EF80EB4" w14:textId="77777777" w:rsidR="00A8138F" w:rsidRDefault="00A8138F" w:rsidP="00A8138F">
      <w:pPr>
        <w:pStyle w:val="TextoNormal"/>
      </w:pPr>
    </w:p>
    <w:p w14:paraId="78592F7E" w14:textId="77777777" w:rsidR="00A8138F" w:rsidRDefault="00A8138F" w:rsidP="00A8138F">
      <w:pPr>
        <w:pStyle w:val="TextoNormal"/>
      </w:pPr>
      <w:r>
        <w:t>b) En segundo lugar, el recurso alega la vulneración del régimen de cooficialidad lingüística y del derecho de los ciudadanos a emplear la lengua catalana en sus relaciones con la administración sanitaria, reconocido en los arts. 3 CE y 4 y 14 EAIB. La cooficialidad comporta que los poderes públicos provean de los medios necesarios para garantizar el empleo de las lenguas cooficiales por los destinatarios, entre ellos el personal con la competencia lingüística necesaria. La reforma hace desaparecer el régimen de cooficialidad en la sanidad pública balear y elimina una garantía fundamental para que el derecho de uso de la lengua catalana pueda ejercerse plenamente. La valoración del conocimiento de la lengua catalana como mérito, y no como requisito de acceso, no es una garantía suficiente ya que deja esta formación en manos de la buena voluntad de cada profesional. Incumple así la garantía de equilibrio entre lenguas cooficiales en la autoorganización administrativa establecida en la STC 165/2013, de 26 de septiembre, FFJJ 5 a 7.</w:t>
      </w:r>
    </w:p>
    <w:p w14:paraId="16DA98AC" w14:textId="77777777" w:rsidR="00A8138F" w:rsidRDefault="00A8138F" w:rsidP="00A8138F">
      <w:pPr>
        <w:pStyle w:val="TextoNormal"/>
      </w:pPr>
    </w:p>
    <w:p w14:paraId="1781CC1C" w14:textId="77777777" w:rsidR="00A8138F" w:rsidRDefault="00A8138F" w:rsidP="00A8138F">
      <w:pPr>
        <w:pStyle w:val="TextoNormal"/>
      </w:pPr>
      <w:r>
        <w:t>c) En tercer lugar, el recurso aprecia vulneración del art. 14 CE y 4.2 EAIB (“[t]odos tienen el derecho de conocerla y utilizarla —se refiere a la lengua catalana—, y nadie podrá ser discriminado por razón del idioma”). La lengua es una de las clasificaciones “sospechosas” que activan el canon de constitucionalidad más estricto del art. 14 CE, segundo inciso (prohibición de discriminación). La reforma carece de justificación, pues tiene alcance general, y por tal motivo discrimina por razón del idioma y trata peyorativamente a los pacientes que usan la lengua catalana respecto de los que usan la castellana.</w:t>
      </w:r>
    </w:p>
    <w:p w14:paraId="7280A44C" w14:textId="77777777" w:rsidR="00A8138F" w:rsidRDefault="00A8138F" w:rsidP="00A8138F">
      <w:pPr>
        <w:pStyle w:val="TextoNormal"/>
      </w:pPr>
    </w:p>
    <w:p w14:paraId="7D33CC93" w14:textId="33C84A04" w:rsidR="00A8138F" w:rsidRDefault="00A8138F" w:rsidP="00A8138F">
      <w:pPr>
        <w:pStyle w:val="TextoNormal"/>
      </w:pPr>
      <w:r>
        <w:t>d) En cuarto y último lugar, el recurso considera que se ha producido una vulneración de los arts. 3, 9.2, 9.3 y 103.1 CE y del art. 4.3 EAIB (“las instituciones de las Illes Balears garantizarán el uso normal y oficial de los dos idiomas, tomarán las medidas necesarias para asegurar su conocimiento y crearán las condiciones que permitan llegar a la igualdad plena de las dos lenguas en cuanto a los derechos de los ciudadanos de las Illes Balears”). La Carta europea de lenguas regionales o minoritarias de 1992 obliga a los Estados a contar con un “número suficiente” de empleados públicos con capacitación lingüística [art. 10.4 b)]. Reprocha a la medida falta de proporcionalidad por su alcance general, absoluto y sin matices. El Gobierno ha descuidado el análisis de la realidad, pues en la inmensa mayoría de categorías profesionales hay más aspirantes con conocimientos de catalán que plazas ofertadas. Invoca el principio de “no regresión” de derechos lingüísticos tal como están regulados en la Ley 4/2016 y el carácter “peyorativo” de la reforma. Argumenta que el legislador, aun dentro de su libertad de configuración dentro de la Constitución, no puede adoptar medidas que choquen con “conquistas sociales” que sean expresión de valores superiores reflejados en la Constitución y el Estatuto de Autonomía, como es, en particular, la protección del pluralismo lingüístico de España.</w:t>
      </w:r>
    </w:p>
    <w:p w14:paraId="2BA607C6" w14:textId="77777777" w:rsidR="00A8138F" w:rsidRDefault="00A8138F" w:rsidP="00A8138F">
      <w:pPr>
        <w:pStyle w:val="TextoNormal"/>
      </w:pPr>
    </w:p>
    <w:p w14:paraId="56663AD7" w14:textId="4026964D" w:rsidR="00A8138F" w:rsidRDefault="00A8138F" w:rsidP="00A8138F">
      <w:pPr>
        <w:pStyle w:val="TextoNormal"/>
      </w:pPr>
      <w:r w:rsidRPr="00A8138F">
        <w:rPr>
          <w:rStyle w:val="NumeroAFNegritaCaracter"/>
        </w:rPr>
        <w:t>2</w:t>
      </w:r>
      <w:r>
        <w:t>. Por providencia de 16 de enero de 2024, el Pleno del Tribunal Constitucional acordó admitir a trámite el recurso de inconstitucionalidad, dar traslado de la demanda y documentos presentados, conforme establece el art. 34 de la Ley Orgánica del Tribunal Constitucional (LOTC), al Congreso de los Diputados y al Senado, por conducto de sus presidentes, al Gobierno, a través del ministro de Justicia, así como al Parlamento y al Gobierno de las Illes Balears, por conducto de sus presidentes, al objeto de que, en el plazo de quince días, pudieran personarse en el proceso y formular las alegaciones que estimaren convenientes, así como publicar la incoación del recurso en el “Boletín Oficial del Estado” y en el “Boletín Oficial de las Illes Balears”.</w:t>
      </w:r>
    </w:p>
    <w:p w14:paraId="56733DDB" w14:textId="77777777" w:rsidR="00A8138F" w:rsidRDefault="00A8138F" w:rsidP="00A8138F">
      <w:pPr>
        <w:pStyle w:val="TextoNormal"/>
      </w:pPr>
    </w:p>
    <w:p w14:paraId="39935EFC" w14:textId="24127130" w:rsidR="00A8138F" w:rsidRDefault="00A8138F" w:rsidP="00A8138F">
      <w:pPr>
        <w:pStyle w:val="TextoNormal"/>
      </w:pPr>
      <w:r w:rsidRPr="00A8138F">
        <w:rPr>
          <w:rStyle w:val="NumeroAFNegritaCaracter"/>
        </w:rPr>
        <w:t>3</w:t>
      </w:r>
      <w:r>
        <w:t>. Por escritos de los presidentes del Congreso de los Diputados y del Senado, ambos de 18 de enero de 2024, y del abogado del Estado, de 6 de febrero, las dos cámaras y el Gobierno de la Nación, respectivamente, se personaron en el presente procedimiento y declinaron formular alegaciones.</w:t>
      </w:r>
    </w:p>
    <w:p w14:paraId="28DAF9A0" w14:textId="77777777" w:rsidR="00A8138F" w:rsidRDefault="00A8138F" w:rsidP="00A8138F">
      <w:pPr>
        <w:pStyle w:val="TextoNormal"/>
      </w:pPr>
    </w:p>
    <w:p w14:paraId="6E65B9ED" w14:textId="4F9A9D20" w:rsidR="00A8138F" w:rsidRDefault="00A8138F" w:rsidP="00A8138F">
      <w:pPr>
        <w:pStyle w:val="TextoNormal"/>
      </w:pPr>
      <w:r w:rsidRPr="00A8138F">
        <w:rPr>
          <w:rStyle w:val="NumeroAFNegritaCaracter"/>
        </w:rPr>
        <w:t>4</w:t>
      </w:r>
      <w:r>
        <w:t>. Por escrito registrado el 6 de febrero de 2024 el presidente del Parlamento de las Illes Balears comunicó la voluntad de la cámara de no personarse ni formular alegaciones.</w:t>
      </w:r>
    </w:p>
    <w:p w14:paraId="5B283C50" w14:textId="77777777" w:rsidR="00A8138F" w:rsidRDefault="00A8138F" w:rsidP="00A8138F">
      <w:pPr>
        <w:pStyle w:val="TextoNormal"/>
      </w:pPr>
    </w:p>
    <w:p w14:paraId="52035A00" w14:textId="77777777" w:rsidR="00A8138F" w:rsidRDefault="00A8138F" w:rsidP="00A8138F">
      <w:pPr>
        <w:pStyle w:val="TextoNormal"/>
      </w:pPr>
      <w:r w:rsidRPr="00A8138F">
        <w:rPr>
          <w:rStyle w:val="NumeroAFNegritaCaracter"/>
        </w:rPr>
        <w:t>5</w:t>
      </w:r>
      <w:r>
        <w:t>. Por escrito registrado el 9 de febrero el Gobierno de las Illes Balears formuló alegaciones solicitando la desestimación del recurso interpuesto.</w:t>
      </w:r>
    </w:p>
    <w:p w14:paraId="5CE1F49A" w14:textId="77777777" w:rsidR="00A8138F" w:rsidRDefault="00A8138F" w:rsidP="00A8138F">
      <w:pPr>
        <w:pStyle w:val="TextoNormal"/>
      </w:pPr>
    </w:p>
    <w:p w14:paraId="3CF7DED2" w14:textId="77777777" w:rsidR="00A8138F" w:rsidRDefault="00A8138F" w:rsidP="00A8138F">
      <w:pPr>
        <w:pStyle w:val="TextoNormal"/>
      </w:pPr>
      <w:r>
        <w:t xml:space="preserve">Con reproducción de las razones esgrimidas en la exposición de motivos (apartados VII y VIII) y en el debate de convalidación por la consejera de Salud, el escrito de alegaciones menciona el “Informe oferta-necesidad de especialistas médicos 2021-2035” del Ministerio de Sanidad y el informe del Servicio de Salud de las Illes Balears, cuya copia adjunta, que acreditan el déficit de profesionales de la sanidad pública balear. La reforma persigue atraer a los profesionales mejor cualificados sin que la acreditación oficial de un determinado nivel de catalán sea un obstáculo para ello, así como fidelizar y evitar la huida a la península o a la sanidad privada de los profesionales. De los antecedentes legislativos se desprende que la exigencia general de un determinado nivel de lengua catalana para el acceso de personal estatutario establecida en la Ley 4/2016 causó un déficit de profesionales que se intentó remediar mediante un sucesivo cúmulo de excepciones solicitadas por el propio Servicio de Salud de las Illes Balears mediante sucesivos informes de 9 de octubre de 2021, 1 de diciembre de 2021, 25 de febrero de 2022, 18 de mayo de 2022, 21 de noviembre de 2022 y 6 de febrero de 2023, cuya copia adjunta. En definitiva, la Ley 4/2016 ocasionaba graves problemas para la captación de profesionales sanitarios en la Comunidad Autónoma, por lo que existía una necesidad inaplazable y urgente de afrontar esta situación deficitaria mediante la transformación de la exigencia </w:t>
      </w:r>
      <w:r w:rsidRPr="00A8138F">
        <w:rPr>
          <w:i/>
        </w:rPr>
        <w:t>sine qua non</w:t>
      </w:r>
      <w:r>
        <w:t xml:space="preserve"> de conocimiento de determinado nivel de catalán en un mérito.</w:t>
      </w:r>
    </w:p>
    <w:p w14:paraId="0DD51BEC" w14:textId="77777777" w:rsidR="00A8138F" w:rsidRDefault="00A8138F" w:rsidP="00A8138F">
      <w:pPr>
        <w:pStyle w:val="TextoNormal"/>
      </w:pPr>
    </w:p>
    <w:p w14:paraId="62EA61D1" w14:textId="77777777" w:rsidR="00A8138F" w:rsidRDefault="00A8138F" w:rsidP="00A8138F">
      <w:pPr>
        <w:pStyle w:val="TextoNormal"/>
      </w:pPr>
      <w:r>
        <w:t>A continuación, examina la STC 165/2013, citada de contrario, sobre la Ley balear 9/2012, que eliminó el carácter preceptivo del requisito lingüístico para el acceso a la función pública autonómica, que convirtió en mérito salvo algunas excepciones expresamente identificadas, y que la citada sentencia constitucional validó con argumentos trasladables a este supuesto.</w:t>
      </w:r>
    </w:p>
    <w:p w14:paraId="1CC4C729" w14:textId="77777777" w:rsidR="00A8138F" w:rsidRDefault="00A8138F" w:rsidP="00A8138F">
      <w:pPr>
        <w:pStyle w:val="TextoNormal"/>
      </w:pPr>
    </w:p>
    <w:p w14:paraId="14FE5336" w14:textId="77777777" w:rsidR="00A8138F" w:rsidRDefault="00A8138F" w:rsidP="00A8138F">
      <w:pPr>
        <w:pStyle w:val="TextoNormal"/>
      </w:pPr>
      <w:r>
        <w:t>Tras la exposición de estos antecedentes, pasa a contestar a los motivos del recurso.</w:t>
      </w:r>
    </w:p>
    <w:p w14:paraId="3409B0A4" w14:textId="77777777" w:rsidR="00A8138F" w:rsidRDefault="00A8138F" w:rsidP="00A8138F">
      <w:pPr>
        <w:pStyle w:val="TextoNormal"/>
      </w:pPr>
    </w:p>
    <w:p w14:paraId="5610EB75" w14:textId="77777777" w:rsidR="00A8138F" w:rsidRDefault="00A8138F" w:rsidP="00A8138F">
      <w:pPr>
        <w:pStyle w:val="TextoNormal"/>
      </w:pPr>
      <w:r>
        <w:t>a) Recuerda que la interpretación de la expresión “extraordinaria y urgente necesidad” (arts. 86.1 CE y 49.1 EAIB) ha de ser “flexible y matizada” conforme a la doctrina constitucional desde la STC 29/1982, de 31 de mayo, y que la expresión “no podrán afectar” incluida en los mismos preceptos solamente prohíbe la “regulación del régimen general” de los derechos respectivos —constitucionales o estatutarios— y no a cualquier cuestión que les afecte (STC 111/1983, de 2 de diciembre, entre otras). Sobre estas bases, le parece que las razones ofrecidas en la exposición de motivos del decreto-ley y en el debate de convalidación, junto con los informes aludidos y que se acompañan al escrito de alegaciones, acreditan el déficit de personal estatutario y su origen en la Ley 4/2016 que se deroga, y, por tanto, la apreciación razonada de una situación de “extraordinaria y urgente necesidad” efectuada por el Gobierno al aprobar el decreto-ley y por el Parlamento al convalidarlo.</w:t>
      </w:r>
    </w:p>
    <w:p w14:paraId="5CBF26EB" w14:textId="77777777" w:rsidR="00A8138F" w:rsidRDefault="00A8138F" w:rsidP="00A8138F">
      <w:pPr>
        <w:pStyle w:val="TextoNormal"/>
      </w:pPr>
    </w:p>
    <w:p w14:paraId="60BBB7ED" w14:textId="77777777" w:rsidR="00A8138F" w:rsidRDefault="00A8138F" w:rsidP="00A8138F">
      <w:pPr>
        <w:pStyle w:val="TextoNormal"/>
      </w:pPr>
      <w:r>
        <w:t>b) Argumenta que la reforma no “afecta” al derecho del art. 14.3 EAIB en el sentido del art. 49.1 EAIB, pues no regula su “núcleo”, “régimen general” o “elementos esenciales”, que es lo que veda la doctrina constitucional (cita la STC 134/2021, FJ 4). La reforma solamente se proyecta sobre el ámbito sanitario, por los motivos justificados aludidos por el legislador de urgencia.</w:t>
      </w:r>
    </w:p>
    <w:p w14:paraId="3C225FF4" w14:textId="77777777" w:rsidR="00A8138F" w:rsidRDefault="00A8138F" w:rsidP="00A8138F">
      <w:pPr>
        <w:pStyle w:val="TextoNormal"/>
      </w:pPr>
    </w:p>
    <w:p w14:paraId="5C0FDF89" w14:textId="77777777" w:rsidR="00A8138F" w:rsidRDefault="00A8138F" w:rsidP="00A8138F">
      <w:pPr>
        <w:pStyle w:val="TextoNormal"/>
      </w:pPr>
      <w:r>
        <w:t>c) Niega, con cita de la STC 165/2013, dictada en un caso análogo, que la reforma sea arbitraria, discriminatoria o altere la posición constitucional de la lengua propia cooficial, denuncias todas ellas rechazadas en aquella ocasión. La conversión del “requisito” de un nivel determinado de conocimiento de lengua catalana en un “mérito” no vulnera los arts. 3, 9.3 y 14 de la Constitución, ni los arts. 4 y 14 EAIB.</w:t>
      </w:r>
    </w:p>
    <w:p w14:paraId="4ECBA36D" w14:textId="77777777" w:rsidR="00A8138F" w:rsidRDefault="00A8138F" w:rsidP="00A8138F">
      <w:pPr>
        <w:pStyle w:val="TextoNormal"/>
      </w:pPr>
    </w:p>
    <w:p w14:paraId="7FE14305" w14:textId="77777777" w:rsidR="00A8138F" w:rsidRDefault="00A8138F" w:rsidP="00A8138F">
      <w:pPr>
        <w:pStyle w:val="TextoNormal"/>
      </w:pPr>
      <w:r>
        <w:t>d) La reforma tampoco impide el pleno ejercicio del derecho de opción lingüística, pues, por un lado, se circunscribe a un sector —la sanidad— y a sus profesionales sanitarios —no a todos—. Además, es el servicio que garantiza la protección de la vida y la salud (arts. 15 y 43 CE) de forma integral y homogénea en todo el Estado por exigencia de la legislación estatal. El Sistema Nacional de Salud está regulado en las leyes 14/1986, general de sanidad, 16/2003, de cohesión y calidad del Sistema Nacional de Salud, y garantiza la movilidad entre comunidades autónomas, establecida en los arts. 36 y siguientes de la Ley 55/2003, del Estatuto Marco del personal estatutario. Además, la reforma cumple con la garantía de selección de personal capacitado prevista en el art. 56.2 del texto refundido del estatuto básico del empleado público (Real Decreto Legislativo 5/2015, de 30 de octubre). La atención en la lengua propia cooficial está garantizada por la composición actual de la plantilla y la organización de la enseñanza en la educación obligatoria, tal como razonó la STC 162/2013, de 26 de septiembre, FJ 5. Además, el conocimiento del catalán se mantiene como requisito de acceso para el personal no sanitario. Finalmente, datos estadísticos del Instituto de estadística de las Illes Balears, de la Dirección General de Cultura y del secretario técnico de acceso a la universidad de la Universidad de las Illes Balears, que adjunta el recurso, acreditan esta circunstancia. Resumidamente, el 74 por 100 de la población autonómica entiende bien el catalán.</w:t>
      </w:r>
    </w:p>
    <w:p w14:paraId="29DE8F39" w14:textId="77777777" w:rsidR="00A8138F" w:rsidRDefault="00A8138F" w:rsidP="00A8138F">
      <w:pPr>
        <w:pStyle w:val="TextoNormal"/>
      </w:pPr>
    </w:p>
    <w:p w14:paraId="15E05FFC" w14:textId="77777777" w:rsidR="00A8138F" w:rsidRDefault="00A8138F" w:rsidP="00A8138F">
      <w:pPr>
        <w:pStyle w:val="TextoNormal"/>
      </w:pPr>
      <w:r>
        <w:t>e) Niega que la reforma discrimine por razón de la lengua. La Ley 15/2022, integral para la igualdad de trato y la discriminación, permite diferencias de trato razonables y objetivas, como es el caso en cuanto la reforma persigue paliar el déficit de médicos en la comunidad autónoma.</w:t>
      </w:r>
    </w:p>
    <w:p w14:paraId="3140287D" w14:textId="77777777" w:rsidR="00A8138F" w:rsidRDefault="00A8138F" w:rsidP="00A8138F">
      <w:pPr>
        <w:pStyle w:val="TextoNormal"/>
      </w:pPr>
    </w:p>
    <w:p w14:paraId="2D694EC4" w14:textId="063611B0" w:rsidR="00A8138F" w:rsidRDefault="00A8138F" w:rsidP="00A8138F">
      <w:pPr>
        <w:pStyle w:val="TextoNormal"/>
      </w:pPr>
      <w:r>
        <w:t>f) Finalmente, niega que exista un principio de no regresión frente al legislador. Es un principio que procede del derecho medioambiental, en cuyo ámbito se rechazó por la STC 233/2015, de 5 de noviembre, FJ 1. Y en todo caso no puede identificarse como un deber de conservar la norma, que es lo que proponen los recurrentes. La reversibilidad de las normas es inherente a la idea de democracia, según la doctrina constitucional. El recurso no argumenta por qué el estándar de protección de la Ley 4/2016 debe ser irreversible. No hay regresión sino ajuste del régimen de cooficialidad pragmático y justificado por datos empíricos (informes y estadísticas adjuntadas al escrito de alegaciones). De hecho, el requisito de nivel determinado de catalán se venía excepcionando reiteradamente con anterioridad ante la insuficiencia de candidatos por razones de insularidad o carestía de vida, entre otras.</w:t>
      </w:r>
    </w:p>
    <w:p w14:paraId="4051A679" w14:textId="77777777" w:rsidR="00A8138F" w:rsidRDefault="00A8138F" w:rsidP="00A8138F">
      <w:pPr>
        <w:pStyle w:val="TextoNormal"/>
      </w:pPr>
    </w:p>
    <w:p w14:paraId="2E0D832A" w14:textId="576DB859" w:rsidR="00A8138F" w:rsidRDefault="00A8138F" w:rsidP="00A8138F">
      <w:pPr>
        <w:pStyle w:val="TextoNormal"/>
      </w:pPr>
      <w:r w:rsidRPr="00A8138F">
        <w:rPr>
          <w:rStyle w:val="NumeroAFNegritaCaracter"/>
        </w:rPr>
        <w:t>6</w:t>
      </w:r>
      <w:r>
        <w:t>. Mediante providencia de 13 de mayo de 2025, se señaló para deliberación y votación de la presente sentencia el día 14 del mismo mes y año.</w:t>
      </w:r>
    </w:p>
    <w:p w14:paraId="48C202F8" w14:textId="77777777" w:rsidR="00A8138F" w:rsidRDefault="00A8138F" w:rsidP="00A8138F">
      <w:pPr>
        <w:pStyle w:val="TextoNormal"/>
      </w:pPr>
    </w:p>
    <w:p w14:paraId="794E2EF6" w14:textId="77777777" w:rsidR="00A8138F" w:rsidRDefault="00A8138F" w:rsidP="00A8138F">
      <w:pPr>
        <w:pStyle w:val="TextoNormalNegritaCentrado"/>
        <w:keepNext/>
      </w:pPr>
      <w:r>
        <w:t>II. Fundamentos jurídicos</w:t>
      </w:r>
    </w:p>
    <w:p w14:paraId="43CEDDA9" w14:textId="721A62D3" w:rsidR="00A8138F" w:rsidRDefault="00A8138F" w:rsidP="00A8138F">
      <w:pPr>
        <w:pStyle w:val="TextoNormalNegritaCentrado"/>
        <w:keepNext/>
      </w:pPr>
    </w:p>
    <w:p w14:paraId="78C38B84" w14:textId="77777777" w:rsidR="00A8138F" w:rsidRDefault="00A8138F" w:rsidP="00A8138F">
      <w:pPr>
        <w:pStyle w:val="TextoNormal"/>
      </w:pPr>
      <w:r w:rsidRPr="00A8138F">
        <w:rPr>
          <w:rStyle w:val="NumeroAFNegritaCaracter"/>
        </w:rPr>
        <w:t>1</w:t>
      </w:r>
      <w:r>
        <w:t xml:space="preserve">. </w:t>
      </w:r>
      <w:r w:rsidRPr="00A8138F">
        <w:rPr>
          <w:i/>
        </w:rPr>
        <w:t>Objeto del proceso</w:t>
      </w:r>
    </w:p>
    <w:p w14:paraId="37963E12" w14:textId="77777777" w:rsidR="00A8138F" w:rsidRDefault="00A8138F" w:rsidP="00A8138F">
      <w:pPr>
        <w:pStyle w:val="TextoNormal"/>
      </w:pPr>
    </w:p>
    <w:p w14:paraId="28DEB003" w14:textId="77777777" w:rsidR="00A8138F" w:rsidRDefault="00A8138F" w:rsidP="00A8138F">
      <w:pPr>
        <w:pStyle w:val="TextoNormal"/>
      </w:pPr>
      <w:r>
        <w:t>Más de cincuenta diputados de los grupos parlamentarios Socialista y Sumar del Congreso interponen recurso de inconstitucionalidad contra la disposición final segunda y la disposición derogatoria única (inciso “y de la Ley 4/2016, de 6 de abril, de medidas de capacitación lingüística para la recuperación del uso del catalán en el ámbito de la función pública”) del Decreto-ley del Gobierno de las Illes Balears 5/2023, de 28 de agosto, de medidas urgentes en el ámbito educativo y en el sanitario.</w:t>
      </w:r>
    </w:p>
    <w:p w14:paraId="34A86411" w14:textId="77777777" w:rsidR="00A8138F" w:rsidRDefault="00A8138F" w:rsidP="00A8138F">
      <w:pPr>
        <w:pStyle w:val="TextoNormal"/>
      </w:pPr>
    </w:p>
    <w:p w14:paraId="4323DE88" w14:textId="77777777" w:rsidR="00A8138F" w:rsidRDefault="00A8138F" w:rsidP="00A8138F">
      <w:pPr>
        <w:pStyle w:val="TextoNormal"/>
      </w:pPr>
      <w:r>
        <w:t>El contenido de los preceptos impugnados ha quedado recogido en el apartado de los antecedentes. Resumidamente, la disposición final segunda modifica diversos preceptos de la Ley 3/2007, de 27 de marzo, de la función pública de la Comunidad Autónoma de las Illes Balears, para —en palabras de la exposición de motivos— “eliminar, con carácter general, la exigencia de un determinado nivel de conocimiento de catalán como requisito para acceder a puestos de personal estatutario y laboral en el Servicio de Salud de las Illes Balears […], por lo que respecta al personal que desarrolla funciones estatutarias […] sin perjuicio de que, una vez dentro de la administración, las personas que no tengan un determinado nivel de catalán puedan formarse o mejorar en el conocimiento de la lengua catalana, con la colaboración de la administración, mediante el fomento de los cursos adecuados, para poder facilitar a los ciudadanos el ejercicio del derecho de utilizar cualquiera de las dos lenguas cooficiales”. Por su parte, el inciso de la disposición derogatoria única igualmente impugnado asegura la eficacia de esta reforma derogando expresamente los preceptos de la Ley 4/2016, de 6 de abril, de medidas de capacitación lingüística para la recuperación del uso del catalán en el ámbito de la función pública, que se opongan a esta nueva ordenación.</w:t>
      </w:r>
    </w:p>
    <w:p w14:paraId="38396839" w14:textId="77777777" w:rsidR="00A8138F" w:rsidRDefault="00A8138F" w:rsidP="00A8138F">
      <w:pPr>
        <w:pStyle w:val="TextoNormal"/>
      </w:pPr>
    </w:p>
    <w:p w14:paraId="2D643496" w14:textId="77777777" w:rsidR="00A8138F" w:rsidRDefault="00A8138F" w:rsidP="00A8138F">
      <w:pPr>
        <w:pStyle w:val="TextoNormal"/>
      </w:pPr>
      <w:r>
        <w:t>Los recurrentes consideran que esta reforma (i) carece del presupuesto habilitante que permite al gobierno aprobarla mediante decreto-ley, en lugar de enviar un proyecto de ley al parlamento (arts. 86.1 CE y 49.1 EAIB); y, además, (ii) “afecta” a un derecho estatutario como es el de los ciudadanos de “dirigirse a la Administración de la Comunidad Autónoma en cualquiera de sus dos lenguas oficiales y a recibir respuesta en la misma lengua utilizada” garantizado por el art. 14.3 EAIB, vulnerando de este modo los límites materiales de este tipo de normas previstos en el mismo art. 49.1 EAIB, antes citado. En cuanto al contenido de la reforma, prescindiendo de su aprobación mediante el instrumento legislativo excepcional que es el decreto-ley, les parece que la supresión del requisito de nivel de catalán y su conversión en mérito (iii) vulnera el régimen de cooficialidad lingüística e impide el ejercicio del citado derecho a emplear el catalán en las relaciones con la administración de los arts. 3.2 CE y 4 y 14.3 EAIB; (iv) discrimina a médicos y pacientes por razón de la lengua en contra de la prohibición establecida en los arts. 14 CE y 4.2 EAIB; (v) y es, en última instancia, una reforma arbitraria, injustificada, desproporcionada (por general para todo tipo de puestos de trabajo) y contraria al principio de “no regresión en materia de lenguas” y “conquistas sociales” que son expresión de valores constitucionales superiores, como es la pluralidad lingüística de España (art. 3 CE).</w:t>
      </w:r>
    </w:p>
    <w:p w14:paraId="1E1EF612" w14:textId="77777777" w:rsidR="00A8138F" w:rsidRDefault="00A8138F" w:rsidP="00A8138F">
      <w:pPr>
        <w:pStyle w:val="TextoNormal"/>
      </w:pPr>
    </w:p>
    <w:p w14:paraId="399483E1" w14:textId="49C9E4AB" w:rsidR="00A8138F" w:rsidRDefault="00A8138F" w:rsidP="00A8138F">
      <w:pPr>
        <w:pStyle w:val="TextoNormal"/>
      </w:pPr>
      <w:r>
        <w:t>El Gobierno de la Comunidad Autónoma ha formulado alegaciones en defensa de las disposiciones impugnadas. En particular, alude a la STC 165/2013, de 26 de septiembre, que desestimó un recurso de inconstitucionalidad parecido interpuesto contra una reforma análoga a la presente aprobada por la misma comunidad autónoma. Sus argumentos han quedado reflejados con mayor detalle en el antecedente 5 de esta sentencia.</w:t>
      </w:r>
    </w:p>
    <w:p w14:paraId="4977CB54" w14:textId="77777777" w:rsidR="00A8138F" w:rsidRDefault="00A8138F" w:rsidP="00A8138F">
      <w:pPr>
        <w:pStyle w:val="TextoNormal"/>
      </w:pPr>
    </w:p>
    <w:p w14:paraId="1764CEFB" w14:textId="77777777" w:rsidR="00A8138F" w:rsidRDefault="00A8138F" w:rsidP="00A8138F">
      <w:pPr>
        <w:pStyle w:val="TextoNormal"/>
      </w:pPr>
      <w:r w:rsidRPr="00A8138F">
        <w:rPr>
          <w:rStyle w:val="NumeroAFNegritaCaracter"/>
        </w:rPr>
        <w:t>2</w:t>
      </w:r>
      <w:r>
        <w:t xml:space="preserve">. </w:t>
      </w:r>
      <w:r w:rsidRPr="00A8138F">
        <w:rPr>
          <w:i/>
        </w:rPr>
        <w:t>Consideraciones previas</w:t>
      </w:r>
    </w:p>
    <w:p w14:paraId="70AB7183" w14:textId="77777777" w:rsidR="00A8138F" w:rsidRDefault="00A8138F" w:rsidP="00A8138F">
      <w:pPr>
        <w:pStyle w:val="TextoNormal"/>
      </w:pPr>
    </w:p>
    <w:p w14:paraId="2439C769" w14:textId="77777777" w:rsidR="00A8138F" w:rsidRDefault="00A8138F" w:rsidP="00A8138F">
      <w:pPr>
        <w:pStyle w:val="TextoNormal"/>
      </w:pPr>
      <w:r>
        <w:t>a) Con carácter previo al enjuiciamiento de cada uno de los motivos de impugnación invocados en el recurso de inconstitucionalidad, debemos pronunciarnos sobre la posible pérdida sobrevenida del objeto del presente recurso.</w:t>
      </w:r>
    </w:p>
    <w:p w14:paraId="4357481A" w14:textId="77777777" w:rsidR="00A8138F" w:rsidRDefault="00A8138F" w:rsidP="00A8138F">
      <w:pPr>
        <w:pStyle w:val="TextoNormal"/>
      </w:pPr>
    </w:p>
    <w:p w14:paraId="76422608" w14:textId="77777777" w:rsidR="00A8138F" w:rsidRDefault="00A8138F" w:rsidP="00A8138F">
      <w:pPr>
        <w:pStyle w:val="TextoNormal"/>
      </w:pPr>
      <w:r>
        <w:t>En este sentido, conviene precisar qué incidencia tiene sobre el objeto del recurso que nos ocupa la derogación y modificación sufridas por el Decreto-ley del Gobierno de las Illes Balears 5/2023, de 28 de agosto, de medidas urgentes en el ámbito educativo y en el sanitario, en sus disposiciones impugnadas en el presente recurso (disposición final segunda y disposición derogatoria única).</w:t>
      </w:r>
    </w:p>
    <w:p w14:paraId="16253133" w14:textId="77777777" w:rsidR="00A8138F" w:rsidRDefault="00A8138F" w:rsidP="00A8138F">
      <w:pPr>
        <w:pStyle w:val="TextoNormal"/>
      </w:pPr>
    </w:p>
    <w:p w14:paraId="5423065A" w14:textId="77777777" w:rsidR="00A8138F" w:rsidRDefault="00A8138F" w:rsidP="00A8138F">
      <w:pPr>
        <w:pStyle w:val="TextoNormal"/>
      </w:pPr>
      <w:r>
        <w:t>En este punto, la Ley 7/2024, de 11 de diciembre, de medidas urgentes de simplificación y racionalización administrativas de las administraciones públicas de las Illes Balears [“Boletín Oficial de las Illes Balears” núm. 162, de 13 de diciembre de 2024 y “Boletín Oficial del Estado” núm. 15, de 17 de enero de 2025], que entró en vigor al día siguiente de su publicación en el “Boletín Oficial de las Illes Balears “ (con las salvedades previstas en su disposición final decimosexta, que no afectan a las disposiciones impugnadas en el presente procedimiento), derogó y modificó, como ahora se verá, las disposiciones impugnadas. Así, en su redacción originaria, la referida Ley 7/2024, (i) en su artículo 39, modificó varios preceptos de la Ley 3/2007, de 27 de marzo, de la función pública de la Comunidad Autónoma de las Illes Balears; en concreto, en lo que a este recurso interesa, dejó sin contenido la letra d) del art. 30 (art. 39.1), la letra f) del art. 50.1 (art. 39.2) y la disposición transitoria novena (art. 39.3); y modificó el art. 113.2 —que pasó a tener la siguiente redacción: “[e]l reingreso puede efectuarse por adjudicación de un puesto de trabajo con carácter provisional, condicionada a la necesidad del servicio y en los términos que se establezcan reglamentariamente, siempre que la persona interesada cumpla los requisitos de ocupación del puesto”—, art. 39.3 y letra g) del art. 124.1 —que pasó a tener la siguiente redacción: “[f]acilitar a los ciudadanos y a las ciudadanas el ejercicio del derecho a utilizar las lenguas cooficiales en las relaciones con la administración autonómica”— y art. 39.4; (ii) en su disposición derogatoria única (“[n]ormas que se derogan”) que establecía, en su letra m), lo siguiente: “[q]uedan derogadas todas las normas de rango igual o inferior que se opongan a lo que dispone esta ley y, en particular, las siguientes disposiciones: […] m), la disposición final segunda del Decreto-ley 5/2023, de 28 de agosto, de medidas en el ámbito educativo y en el sanitario”; (iii) por otro lado, el artículo 22, apartado 3, de la citada Ley 7/2024, dispuso que “[l]a disposición derogatoria del citado Decreto-ley 5/2023 queda modificada de la siguiente manera: ‘Disposición derogatoria única. Normativa que se deroga. Quedan derogadas las normas de rango igual o inferior que se opongan a lo que dispone este decreto-ley y, en particular, los artículos y las disposiciones del Decreto-ley 8/2022, de 16 de agosto, de medidas urgentes para garantizar la gratuidad de la educación de los niños matriculados en el tercer nivel de educación infantil en los centros de las redes educativas que se opongan, contradigan o resulten incompatibles con lo que dispone este decreto-ley’”.</w:t>
      </w:r>
    </w:p>
    <w:p w14:paraId="427B20E6" w14:textId="77777777" w:rsidR="00A8138F" w:rsidRDefault="00A8138F" w:rsidP="00A8138F">
      <w:pPr>
        <w:pStyle w:val="TextoNormal"/>
      </w:pPr>
    </w:p>
    <w:p w14:paraId="7B0C3C56" w14:textId="77777777" w:rsidR="00A8138F" w:rsidRDefault="00A8138F" w:rsidP="00A8138F">
      <w:pPr>
        <w:pStyle w:val="TextoNormal"/>
      </w:pPr>
      <w:r>
        <w:t xml:space="preserve">En resumen, la Ley 7/2024 modificó (o dejó sin contenido) la redacción dada por la disposición final segunda del Decreto-ley 5/2023 a los preceptos citados </w:t>
      </w:r>
      <w:r w:rsidRPr="00A8138F">
        <w:rPr>
          <w:i/>
        </w:rPr>
        <w:t>ut supra</w:t>
      </w:r>
      <w:r>
        <w:t xml:space="preserve"> de la Ley 3/2007, además de derogar dicha disposición final segunda; como también modificó la redacción de la disposición derogatoria única del Decreto-ley 5/2023, suprimiendo la referencia que en ella se hacía a la Ley 4/2016.</w:t>
      </w:r>
    </w:p>
    <w:p w14:paraId="317818AF" w14:textId="77777777" w:rsidR="00A8138F" w:rsidRDefault="00A8138F" w:rsidP="00A8138F">
      <w:pPr>
        <w:pStyle w:val="TextoNormal"/>
      </w:pPr>
    </w:p>
    <w:p w14:paraId="6533160F" w14:textId="77777777" w:rsidR="00A8138F" w:rsidRDefault="00A8138F" w:rsidP="00A8138F">
      <w:pPr>
        <w:pStyle w:val="TextoNormal"/>
      </w:pPr>
      <w:r>
        <w:t>b) La doctrina constitucional [resumida, por todas, en la STC 141/2024, de 19 de noviembre, FJ 2 a)] ha reiterado que en los recursos de inconstitucionalidad, cuya finalidad última es la depuración objetiva del ordenamiento jurídico, la modificación, derogación o pérdida de vigencia de la norma que se recurre puede producir la extinción sobrevenida del proceso pues, como regla general, en un recurso abstracto como el de inconstitucionalidad, carece de sentido pronunciarse sobre normas que el mismo legislador ha expulsado ya del ordenamiento de modo total, sin ultraactividad [SSTC 67/2024, de 23 de abril, FJ 2, y 88/2024, de 5 de junio, FJ 3 b)]. Ahora bien, esta regla general tiene varias excepciones en nuestra jurisprudencia, una de las cuales —la primera— resulta de interés en relación con el presente recurso de inconstitucionalidad.</w:t>
      </w:r>
    </w:p>
    <w:p w14:paraId="44E914F1" w14:textId="77777777" w:rsidR="00A8138F" w:rsidRDefault="00A8138F" w:rsidP="00A8138F">
      <w:pPr>
        <w:pStyle w:val="TextoNormal"/>
      </w:pPr>
    </w:p>
    <w:p w14:paraId="121A9275" w14:textId="77777777" w:rsidR="00A8138F" w:rsidRDefault="00A8138F" w:rsidP="00A8138F">
      <w:pPr>
        <w:pStyle w:val="TextoNormal"/>
      </w:pPr>
      <w:r>
        <w:t>La primera de esas excepciones tiene que ver con el concreto supuesto de la impugnación de los decretos-leyes por la infracción del art. 86.1 CE, tanto en lo que se refiere a los límites formales (presupuesto habilitante y conexión de sentido) como a los límites materiales a que está sujeta la utilización de este instrumento normativo propio de la legislación de urgencia. En estos casos una reiterada jurisprudencia sostiene que la modificación legislativa posterior del decreto-ley impugnado no impide a la jurisdicción constitucional controlar si la potestad reconocida al Gobierno por el art. 86.1 CE se ejerció siguiendo los requisitos establecidos en dicho precepto. Al respecto, este tribunal ha venido señalando que la infracción del art. 86.1 CE no pierde objeto, ya que la falta de vigencia en este momento del precepto recurrido no impide controlar si el ejercicio de la potestad reconocida al Gobierno por el art. 86.1 CE se realizó siguiendo los requisitos establecidos en dicho precepto constitucional, pues este control tiene por objeto velar por el recto ejercicio de la potestad para dictar decretos-leyes, dentro del marco constitucional, decidiendo la validez o invalidez de las normas impugnadas sin atender a su vigencia o derogación en el momento en que se pronuncia el fallo [STC 9/2023, de 22 de febrero, FJ 2 b), con cita de las SSTC 137/2011, de 14 de septiembre, FJ 2; 47/2015, de 5 de marzo, FJ 2 b); 48/2015, de 5 de marzo, FJ 2; 211/2015, de 8 de octubre, FJ 2, y 150/2017, de 21 de diciembre, FJ 3].</w:t>
      </w:r>
    </w:p>
    <w:p w14:paraId="348B0060" w14:textId="77777777" w:rsidR="00A8138F" w:rsidRDefault="00A8138F" w:rsidP="00A8138F">
      <w:pPr>
        <w:pStyle w:val="TextoNormal"/>
      </w:pPr>
    </w:p>
    <w:p w14:paraId="7C14AC4D" w14:textId="77777777" w:rsidR="00A8138F" w:rsidRDefault="00A8138F" w:rsidP="00A8138F">
      <w:pPr>
        <w:pStyle w:val="TextoNormal"/>
      </w:pPr>
      <w:r>
        <w:t>La segunda excepción se refiere a las impugnaciones de carácter competencial. En estos casos, como recordamos en la STC 10/2023, de 23 de febrero, FJ 2, el mantenimiento del objeto del recurso dependerá de si la nueva normativa, sustitutoria de la impugnada, viene a plantear o no los mismos problemas competenciales señalados en el recurso de inconstitucionalidad [por todas, STC 134/2011, de 20 de julio, FJ 2 b)]. Si los problemas competenciales subsisten, ello justifica la pervivencia del objeto del recurso y la competencia para resolverlo del tribunal porque “la función de preservar los ámbitos respectivos de competencias no puede quedar enervada por la sola derogación o modificación de las disposiciones cuya adopción dio lugar al litigio” (STC 18/2016, de 4 de febrero, FJ 2, y jurisprudencia allí citada).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134/2011, FJ 2 b)].</w:t>
      </w:r>
    </w:p>
    <w:p w14:paraId="18945669" w14:textId="77777777" w:rsidR="00A8138F" w:rsidRDefault="00A8138F" w:rsidP="00A8138F">
      <w:pPr>
        <w:pStyle w:val="TextoNormal"/>
      </w:pPr>
    </w:p>
    <w:p w14:paraId="5ACD5882" w14:textId="77777777" w:rsidR="00A8138F" w:rsidRDefault="00A8138F" w:rsidP="00A8138F">
      <w:pPr>
        <w:pStyle w:val="TextoNormal"/>
      </w:pPr>
      <w:r>
        <w:t>La tercera excepción que hemos de tener en cuenta es la relativa a los recursos de inconstitucionalidad que denuncian la infracción del art. 81.1 CE, en cuanto se refiere a la reserva de ley orgánica. En estos casos, hemos venido afirmando que “el conflicto subyacente al recurso planteado ante este tribunal pervive ya que lo que se pide es un pronunciamiento sobre la atribución de la naturaleza de ley orgánica a ciertas normas, lo que puede y debe hacerse, con independencia de cuál sea su vigencia al tiempo de dictarse el presente fallo” [SSTC 124/2003, de 19 de junio, FJ 10, y 184/2012, de 17 de octubre, FJ 2 b)]. En idéntico sentido nos hemos pronunciado recientemente en la STC 136/2024, de 5 de noviembre, FJ 2 B) (i).</w:t>
      </w:r>
    </w:p>
    <w:p w14:paraId="50C94966" w14:textId="77777777" w:rsidR="00A8138F" w:rsidRDefault="00A8138F" w:rsidP="00A8138F">
      <w:pPr>
        <w:pStyle w:val="TextoNormal"/>
      </w:pPr>
    </w:p>
    <w:p w14:paraId="265C6EF9" w14:textId="77777777" w:rsidR="00A8138F" w:rsidRDefault="00A8138F" w:rsidP="00A8138F">
      <w:pPr>
        <w:pStyle w:val="TextoNormal"/>
      </w:pPr>
      <w:r>
        <w:t>c) En aplicación de la referida doctrina constitucional, y no concurriendo en el presente recurso ninguna de las dos últimas excepciones que se acaban de enumerar, cumple señalar que, vistas la derogación y modificación sufridas —en sus disposiciones impugnadas— por el Decreto-ley 5/2023, subsiste únicamente el objeto del recurso de inconstitucionalidad en lo que se refiere a las siguientes tachas de inconstitucionalidad: vulneración del art. 86.1 CE, en relación con (i) el presupuesto habilitante y (ii) los límites materiales en la aprobación de decretos-leyes (en este caso, por la afectación de un derecho estatutario) [correspondientes al motivo examinado como letra a) el resumir la posición de las partes en los antecedentes de esta sentencia].</w:t>
      </w:r>
    </w:p>
    <w:p w14:paraId="5750EF17" w14:textId="77777777" w:rsidR="00A8138F" w:rsidRDefault="00A8138F" w:rsidP="00A8138F">
      <w:pPr>
        <w:pStyle w:val="TextoNormal"/>
      </w:pPr>
    </w:p>
    <w:p w14:paraId="4FB47E6B" w14:textId="015CD830" w:rsidR="00A8138F" w:rsidRDefault="00A8138F" w:rsidP="00A8138F">
      <w:pPr>
        <w:pStyle w:val="TextoNormal"/>
      </w:pPr>
      <w:r>
        <w:t>Por lo expuesto, ha perdido objeto el presente recurso en cuanto a los motivos de impugnación deducidos y recogidos en las letras b), c) y d) del recurso (resumidos en el antecedente primero de esta sentencia y relativos, resumidamente, a la infracción del régimen de cooficialidad lingüística y derecho de los ciudadanos a emplear la lengua catalana en sus relaciones con la administración sanitaria, a la no discriminación por razón de lengua y a la interdicción de la arbitrariedad de los poderes públicos en relación con el mandato de protección de todas las lenguas españolas y con el principio de no regresión); por tratarse, todo ellos, de motivos de impugnación de carácter sustantivo que no resultan reconducibles a ninguna de las excepciones a la regla general admitidas por la jurisprudencia que acabamos de mencionar.</w:t>
      </w:r>
    </w:p>
    <w:p w14:paraId="2CAD5704" w14:textId="77777777" w:rsidR="00A8138F" w:rsidRDefault="00A8138F" w:rsidP="00A8138F">
      <w:pPr>
        <w:pStyle w:val="TextoNormal"/>
      </w:pPr>
    </w:p>
    <w:p w14:paraId="0F35948B" w14:textId="77777777" w:rsidR="00A8138F" w:rsidRDefault="00A8138F" w:rsidP="00A8138F">
      <w:pPr>
        <w:pStyle w:val="TextoNormal"/>
      </w:pPr>
      <w:r w:rsidRPr="00A8138F">
        <w:rPr>
          <w:rStyle w:val="NumeroAFNegritaCaracter"/>
        </w:rPr>
        <w:t>3</w:t>
      </w:r>
      <w:r>
        <w:t xml:space="preserve">. </w:t>
      </w:r>
      <w:r w:rsidRPr="00A8138F">
        <w:rPr>
          <w:i/>
        </w:rPr>
        <w:t>Doctrina constitucional sobre el presupuesto habilitante de los decretos-leyes</w:t>
      </w:r>
    </w:p>
    <w:p w14:paraId="5C2C9C37" w14:textId="77777777" w:rsidR="00A8138F" w:rsidRDefault="00A8138F" w:rsidP="00A8138F">
      <w:pPr>
        <w:pStyle w:val="TextoNormal"/>
      </w:pPr>
    </w:p>
    <w:p w14:paraId="672914F8" w14:textId="77777777" w:rsidR="00A8138F" w:rsidRDefault="00A8138F" w:rsidP="00A8138F">
      <w:pPr>
        <w:pStyle w:val="TextoNormal"/>
      </w:pPr>
      <w:r>
        <w:t>De acuerdo con el art. 86.1 CE (y art. 49.1 EAIB), el gobierno (estatal y autonómico, respectivamente) podrá aprobar normas con rango de ley mediante decreto-ley “en caso de extraordinaria y urgente necesidad” (según nuestra doctrina, “aunque la Constitución no lo prevea, nada impide que el legislador estatutario pueda atribuir a los gobiernos autonómicos la potestad de dictar normas provisionales con rango de ley, siempre que los límites formales y materiales a los que se encuentren sometidas sean, como mínimo, los mismos que la Constitución impone al decreto-ley estatal”: por todas, STC 40/2021, de 18 de febrero, FJ 2, con cita de otras).</w:t>
      </w:r>
    </w:p>
    <w:p w14:paraId="280BEAE9" w14:textId="77777777" w:rsidR="00A8138F" w:rsidRDefault="00A8138F" w:rsidP="00A8138F">
      <w:pPr>
        <w:pStyle w:val="TextoNormal"/>
      </w:pPr>
    </w:p>
    <w:p w14:paraId="19670534" w14:textId="77777777" w:rsidR="00A8138F" w:rsidRDefault="00A8138F" w:rsidP="00A8138F">
      <w:pPr>
        <w:pStyle w:val="TextoNormal"/>
      </w:pPr>
      <w:r>
        <w:t>Recientemente (STC 113/2024, de 10 de septiembre, FJ 2) hemos sintetizado nuestra doctrina sobre el alcance de esta potestad legislativa de urgencia y sobre la intensidad de nuestro control en relación con su ejercicio por el ejecutivo en los siguientes términos:</w:t>
      </w:r>
    </w:p>
    <w:p w14:paraId="373C41AD" w14:textId="77777777" w:rsidR="00A8138F" w:rsidRDefault="00A8138F" w:rsidP="00A8138F">
      <w:pPr>
        <w:pStyle w:val="TextoNormal"/>
      </w:pPr>
    </w:p>
    <w:p w14:paraId="08F99CFE" w14:textId="77777777" w:rsidR="00A8138F" w:rsidRDefault="00A8138F" w:rsidP="00A8138F">
      <w:pPr>
        <w:pStyle w:val="TextoNormal"/>
      </w:pPr>
      <w:r>
        <w:t>“Sobre los términos ‘extraordinaria y urgente necesidad’ bastará recordar que ‘no constituyen una cláusula o expresión vacía de significado dentro de la cual el margen de apreciación política del Gobierno se mueve libremente sin restricción alguna, sino un verdadero límite jurídico a la actuación mediante decretos-leyes’ (por todas, la reciente STC 166/2023, de 22 de noviembre, FJ 3).</w:t>
      </w:r>
    </w:p>
    <w:p w14:paraId="3B63C510" w14:textId="77777777" w:rsidR="00A8138F" w:rsidRDefault="00A8138F" w:rsidP="00A8138F">
      <w:pPr>
        <w:pStyle w:val="TextoNormal"/>
      </w:pPr>
    </w:p>
    <w:p w14:paraId="187852D9" w14:textId="77777777" w:rsidR="00A8138F" w:rsidRDefault="00A8138F" w:rsidP="00A8138F">
      <w:pPr>
        <w:pStyle w:val="TextoNormal"/>
      </w:pPr>
      <w:r>
        <w:t>La apreciación de la concurrencia de la extraordinaria y urgente necesidad constituye un juicio político que corresponde efectuar tanto al Ejecutivo para dictar el decreto-ley como al Congreso de los Diputados, o a la cámara autonómica, para, llegado el caso, convalidarlo en votación de totalidad (arts. 86.1 y 2 CE y 44 del Estatuto de Autonomía de Aragón), incumbiéndole a este tribunal ‘controlar que ese juicio político no desborde los límites de lo manifiestamente razonable, sin suplantar a los órganos constitucionales que intervienen en la aprobación y convalidación de los decretos-leyes’ (STC 134/2021, de 24 de junio, FJ 3).</w:t>
      </w:r>
    </w:p>
    <w:p w14:paraId="6A5F7C4A" w14:textId="77777777" w:rsidR="00A8138F" w:rsidRDefault="00A8138F" w:rsidP="00A8138F">
      <w:pPr>
        <w:pStyle w:val="TextoNormal"/>
      </w:pPr>
    </w:p>
    <w:p w14:paraId="704B231C" w14:textId="77777777" w:rsidR="00A8138F" w:rsidRDefault="00A8138F" w:rsidP="00A8138F">
      <w:pPr>
        <w:pStyle w:val="TextoNormal"/>
      </w:pPr>
      <w:r>
        <w:t>Este control externo se concreta en la comprobación de que el Ejecutivo haya definido, de manera explícita y razonada, una situación de extraordinaria y urgente necesidad que precise de una respuesta normativa con rango de ley y de que, además, exista una conexión de sentido entre la situación definida y las medidas adoptadas para hacerle frente (en este sentido, STC 40/2021, de 18 de febrero, FJ 2). Aunque ambos aspectos están íntimamente ligados, su examen por separado facilita desde un punto de vista metodológico el análisis de las consideraciones de las partes y, en última instancia, el control que le corresponde efectuar a este tribunal (SSTC 332/2005, de 15 de diciembre, FJ 6; 126/2023, de 27 de septiembre, y 166/2023, de 22 de noviembre, FJ 3).</w:t>
      </w:r>
    </w:p>
    <w:p w14:paraId="3A93E7FA" w14:textId="77777777" w:rsidR="00A8138F" w:rsidRDefault="00A8138F" w:rsidP="00A8138F">
      <w:pPr>
        <w:pStyle w:val="TextoNormal"/>
      </w:pPr>
    </w:p>
    <w:p w14:paraId="623EFD7D" w14:textId="55E4AF77" w:rsidR="00A8138F" w:rsidRDefault="00A8138F" w:rsidP="00A8138F">
      <w:pPr>
        <w:pStyle w:val="TextoNormal"/>
      </w:pPr>
      <w:r>
        <w:t>En cuanto a la definición de la situación de urgencia, nuestra doctrina ha precisado que no es necesario que la misma se contenga siempre en el propio decreto-ley, sino que tal presupuesto cabe deducirlo igualmente de una pluralidad de elementos que son, básicamente, los que quedan reflejados en la exposición de motivos de la norma, a lo largo del debate parlamentario de convalidación y en el propio expediente de elaboración de la misma (STC 152/2017, de 21 de diciembre, FJ 3, y las que allí se citan). Respecto de la conexión de sentido entre la situación de urgencia definida y las medidas adoptadas, deben valorarse el contenido y la estructura de las disposiciones incluidas en el decreto-ley controvertido [por todas, STC 61/2018, de 7 de junio, FJ 4 e)]”.</w:t>
      </w:r>
    </w:p>
    <w:p w14:paraId="5DB272E3" w14:textId="77777777" w:rsidR="00A8138F" w:rsidRDefault="00A8138F" w:rsidP="00A8138F">
      <w:pPr>
        <w:pStyle w:val="TextoNormal"/>
      </w:pPr>
    </w:p>
    <w:p w14:paraId="6BE7E553" w14:textId="77777777" w:rsidR="00A8138F" w:rsidRDefault="00A8138F" w:rsidP="00A8138F">
      <w:pPr>
        <w:pStyle w:val="TextoNormal"/>
      </w:pPr>
      <w:r w:rsidRPr="00A8138F">
        <w:rPr>
          <w:rStyle w:val="NumeroAFNegritaCaracter"/>
        </w:rPr>
        <w:t>4</w:t>
      </w:r>
      <w:r>
        <w:t xml:space="preserve">. </w:t>
      </w:r>
      <w:r w:rsidRPr="00A8138F">
        <w:rPr>
          <w:i/>
        </w:rPr>
        <w:t>Justificación ofrecida por el Gobierno de las Illes Balears</w:t>
      </w:r>
    </w:p>
    <w:p w14:paraId="7F78701E" w14:textId="77777777" w:rsidR="00A8138F" w:rsidRDefault="00A8138F" w:rsidP="00A8138F">
      <w:pPr>
        <w:pStyle w:val="TextoNormal"/>
      </w:pPr>
    </w:p>
    <w:p w14:paraId="1ADBDAE1" w14:textId="77777777" w:rsidR="00A8138F" w:rsidRDefault="00A8138F" w:rsidP="00A8138F">
      <w:pPr>
        <w:pStyle w:val="TextoNormal"/>
      </w:pPr>
      <w:r>
        <w:t>a) El apartado VII del preámbulo del Decreto-ley 5/2023 se refiere a la reforma objeto de este recurso, en los siguientes términos:</w:t>
      </w:r>
    </w:p>
    <w:p w14:paraId="6EA89304" w14:textId="77777777" w:rsidR="00A8138F" w:rsidRDefault="00A8138F" w:rsidP="00A8138F">
      <w:pPr>
        <w:pStyle w:val="TextoNormal"/>
      </w:pPr>
    </w:p>
    <w:p w14:paraId="1D7BE3BE" w14:textId="77777777" w:rsidR="00A8138F" w:rsidRDefault="00A8138F" w:rsidP="00A8138F">
      <w:pPr>
        <w:pStyle w:val="TextoNormal"/>
      </w:pPr>
      <w:r>
        <w:t>“Este decreto-ley contiene también dos medidas en el ámbito sanitario.</w:t>
      </w:r>
    </w:p>
    <w:p w14:paraId="10DDA723" w14:textId="77777777" w:rsidR="00A8138F" w:rsidRDefault="00A8138F" w:rsidP="00A8138F">
      <w:pPr>
        <w:pStyle w:val="TextoNormal"/>
      </w:pPr>
    </w:p>
    <w:p w14:paraId="0839BAE8" w14:textId="77777777" w:rsidR="00A8138F" w:rsidRDefault="00A8138F" w:rsidP="00A8138F">
      <w:pPr>
        <w:pStyle w:val="TextoNormal"/>
      </w:pPr>
      <w:r>
        <w:t>La primera medida en el ámbito sanitario consiste en modificar, mediante la disposición final segunda de este decreto-ley, la Ley 3/2007, de 27 de marzo, de la función pública de la Comunidad Autónoma de las Illes Balears, para eliminar, con carácter general, la exigencia de un determinado nivel de conocimiento de catalán como requisito para acceder a puestos de personal estatutario y laboral en el Servicio de Salud de las Illes Balears y sus entes instrumentales adscritos, por lo que respecta al personal que desarrolla funciones sanitarias.</w:t>
      </w:r>
    </w:p>
    <w:p w14:paraId="621B991C" w14:textId="77777777" w:rsidR="00A8138F" w:rsidRDefault="00A8138F" w:rsidP="00A8138F">
      <w:pPr>
        <w:pStyle w:val="TextoNormal"/>
      </w:pPr>
    </w:p>
    <w:p w14:paraId="4FBCAF58" w14:textId="77777777" w:rsidR="00A8138F" w:rsidRDefault="00A8138F" w:rsidP="00A8138F">
      <w:pPr>
        <w:pStyle w:val="TextoNormal"/>
      </w:pPr>
      <w:r>
        <w:t>La Ley 4/2016, de 6 de abril, de medidas de capacitación lingüística para la recuperación del uso del catalán en el ámbito de la función pública, modificó la regulación que en aquel momento contenía la mencionada Ley 3/2007 en materia de exigencia de requisitos de conocimientos de la lengua catalana para el personal funcionario, estatuario, docente y laboral, al servicio de la administración de la Comunidad Autónoma de las Illes Balears y de los entes que integran su sector público instrumental, otorgando con carácter general a este conocimiento —en los niveles que se determinasen reglamentariamente en cada caso— la condición de requisito necesario para el ingreso, acceso, provisión o cualquier forma de ocupación de todo puesto de trabajo en aquella administración y en su sector público instrumental.</w:t>
      </w:r>
    </w:p>
    <w:p w14:paraId="4A04C63C" w14:textId="77777777" w:rsidR="00A8138F" w:rsidRDefault="00A8138F" w:rsidP="00A8138F">
      <w:pPr>
        <w:pStyle w:val="TextoNormal"/>
      </w:pPr>
    </w:p>
    <w:p w14:paraId="6BC4BD19" w14:textId="77777777" w:rsidR="00A8138F" w:rsidRDefault="00A8138F" w:rsidP="00A8138F">
      <w:pPr>
        <w:pStyle w:val="TextoNormal"/>
      </w:pPr>
      <w:r>
        <w:t>La regulación de esta materia por la citada Ley 4/2016 exige idénticos niveles de capacitación lingüística para todas las categorías de personal estatutario del servicio de salud, tanto para las de personal sanitario como para las de personal de gestión y servicios.</w:t>
      </w:r>
    </w:p>
    <w:p w14:paraId="4A410472" w14:textId="77777777" w:rsidR="00A8138F" w:rsidRDefault="00A8138F" w:rsidP="00A8138F">
      <w:pPr>
        <w:pStyle w:val="TextoNormal"/>
      </w:pPr>
    </w:p>
    <w:p w14:paraId="3E417348" w14:textId="77777777" w:rsidR="00A8138F" w:rsidRDefault="00A8138F" w:rsidP="00A8138F">
      <w:pPr>
        <w:pStyle w:val="TextoNormal"/>
      </w:pPr>
      <w:r>
        <w:t>En la actualidad en nuestra comunidad autónoma existe un déficit general de profesionales sanitarios, especialmente preocupante en algunas categorías profesionales correspondientes a los subgrupos A1 y A2.</w:t>
      </w:r>
    </w:p>
    <w:p w14:paraId="7370FF63" w14:textId="77777777" w:rsidR="00A8138F" w:rsidRDefault="00A8138F" w:rsidP="00A8138F">
      <w:pPr>
        <w:pStyle w:val="TextoNormal"/>
      </w:pPr>
    </w:p>
    <w:p w14:paraId="3BE86A7F" w14:textId="77777777" w:rsidR="00A8138F" w:rsidRDefault="00A8138F" w:rsidP="00A8138F">
      <w:pPr>
        <w:pStyle w:val="TextoNormal"/>
      </w:pPr>
      <w:r>
        <w:t>Por todo ello, se modifica la mencionada Ley 3/2007 para eliminar, con carácter general, la exigencia de un determinado nivel de conocimiento de catalán como requisito para acceder a puestos de personal estatutario y laboral en el Servicio de Salud de las Illes Balears y sus entes instrumentales adscritos, por lo que respecta al personal que desarrolla funciones sanitarias.</w:t>
      </w:r>
    </w:p>
    <w:p w14:paraId="676E798B" w14:textId="77777777" w:rsidR="00A8138F" w:rsidRDefault="00A8138F" w:rsidP="00A8138F">
      <w:pPr>
        <w:pStyle w:val="TextoNormal"/>
      </w:pPr>
    </w:p>
    <w:p w14:paraId="263ADBC9" w14:textId="77777777" w:rsidR="00A8138F" w:rsidRDefault="00A8138F" w:rsidP="00A8138F">
      <w:pPr>
        <w:pStyle w:val="TextoNormal"/>
      </w:pPr>
      <w:r>
        <w:t>En consideración a todo lo expuesto y, sobre todo, con la idea de seguir avanzando en la profesionalización del personal estatutario sanitario y laboral con funciones sanitarias que accede a la administración, con esta reforma se pretende instrumentar las medidas necesarias para que los procesos selectivos y de provisión de personal estatutario sanitario y laboral con funciones sanitarias permitan el acceso de las personas mejor cualificadas y que superen las pruebas con mayor nivel, sin que la falta de la acreditación oficial de un determinado nivel de catalán sea, de entrada, un obstáculo para acceder a la misma. Todo ello, sin perjuicio de que, una vez dentro de la administración, las personas que no tengan un determinado nivel de catalán puedan formarse o mejorar en el conocimiento de la lengua catalana, con la colaboración de la administración, mediante el fomento de los cursos adecuados, para poder facilitar a los ciudadanos el ejercicio del derecho de utilizar cualquiera de las dos lenguas cooficiales en sus relaciones con la administración. Igualmente, los procedimientos de provisión valorarán como mérito los diferentes niveles de conocimientos de catalán, que solo podrán exigirse como requisito en los casos que determina la ley.</w:t>
      </w:r>
    </w:p>
    <w:p w14:paraId="3698DEF1" w14:textId="77777777" w:rsidR="00A8138F" w:rsidRDefault="00A8138F" w:rsidP="00A8138F">
      <w:pPr>
        <w:pStyle w:val="TextoNormal"/>
      </w:pPr>
    </w:p>
    <w:p w14:paraId="49286329" w14:textId="77777777" w:rsidR="00A8138F" w:rsidRDefault="00A8138F" w:rsidP="00A8138F">
      <w:pPr>
        <w:pStyle w:val="TextoNormal"/>
      </w:pPr>
      <w:r>
        <w:t>En atención a lo expuesto, mediante esta reforma se elimina el requisito de capacitación lingüística para el personal estatutario sanitario así como para el personal laboral con funciones sanitarias, para posibilitar así la incorporación al sistema del mayor número de profesionales sanitarios, dado el tradicional déficit estructural que padece este sector en el ámbito de las Illes Balears.</w:t>
      </w:r>
    </w:p>
    <w:p w14:paraId="63282C9A" w14:textId="77777777" w:rsidR="00A8138F" w:rsidRDefault="00A8138F" w:rsidP="00A8138F">
      <w:pPr>
        <w:pStyle w:val="TextoNormal"/>
      </w:pPr>
    </w:p>
    <w:p w14:paraId="23B25D8A" w14:textId="77777777" w:rsidR="00A8138F" w:rsidRDefault="00A8138F" w:rsidP="00A8138F">
      <w:pPr>
        <w:pStyle w:val="TextoNormal"/>
      </w:pPr>
      <w:r>
        <w:t>Por otro lado, y atendiendo al principio de libre circulación dentro del Sistema Nacional de Salud que establece la letra d) del artículo 4 de la Ley 55/2003, de 16 de diciembre, del Estatuto Marco del personal estatutario de los servicios de salud, se añade una nueva disposición transitoria, la novena, en la Ley 3/2007 que regula las exigencias de capacitación cuando se trate de personal de gestión y servicios de otros servicios de salud que obtenga una plaza por concurso en el servicio de salud, caso en que se le concede una moratoria de dos años para cumplir la exigencia del requisito. Del mismo modo se actúa en los casos del personal que está en reingreso provisional y que se vea obligado a concursar”.</w:t>
      </w:r>
    </w:p>
    <w:p w14:paraId="074F66F4" w14:textId="77777777" w:rsidR="00A8138F" w:rsidRDefault="00A8138F" w:rsidP="00A8138F">
      <w:pPr>
        <w:pStyle w:val="TextoNormal"/>
      </w:pPr>
    </w:p>
    <w:p w14:paraId="4354E7D1" w14:textId="77777777" w:rsidR="00A8138F" w:rsidRDefault="00A8138F" w:rsidP="00A8138F">
      <w:pPr>
        <w:pStyle w:val="TextoNormal"/>
      </w:pPr>
      <w:r>
        <w:t>Más adelante, en el apartado X, el preámbulo trata la “extraordinaria y urgente necesidad” (arts. 86.1 CE y 49.1 EAIB) de esta reforma:</w:t>
      </w:r>
    </w:p>
    <w:p w14:paraId="702AB396" w14:textId="77777777" w:rsidR="00A8138F" w:rsidRDefault="00A8138F" w:rsidP="00A8138F">
      <w:pPr>
        <w:pStyle w:val="TextoNormal"/>
      </w:pPr>
    </w:p>
    <w:p w14:paraId="244CEE22" w14:textId="77777777" w:rsidR="00A8138F" w:rsidRDefault="00A8138F" w:rsidP="00A8138F">
      <w:pPr>
        <w:pStyle w:val="TextoNormal"/>
      </w:pPr>
      <w:r>
        <w:t>“En relación con las medidas en el ámbito sanitario, y, concretamente, respecto a la medida contenida en la disposición final segunda de este decreto-ley, que, en síntesis, elimina, con carácter general, la exigencia de un determinado nivel de conocimiento de catalán como requisito para acceder a puestos de personal estatutario y laboral en el Servicio de Salud de las Illes Balears y sus entes instrumentales adscritos, por lo que respecta al personal que desarrolla funciones sanitarias, la urgencia viene fundamentada en el hecho de que la exigencia de conocimientos de la lengua catalana al personal sanitario junto con la escasez estructural de profesionales sanitarios se conjugan en el sentido de afectar y poner en riesgo la prestación básica y de calidad del servicio público sanitario. Cabe tener en cuenta que, junto con las circunstancias que han motivado la modificación del complemento retributivo de los puestos de difícil cobertura, la dificultad de contar con personal sanitario profesional se haya hecho especialmente evidente”.</w:t>
      </w:r>
    </w:p>
    <w:p w14:paraId="73A5AAE4" w14:textId="77777777" w:rsidR="00A8138F" w:rsidRDefault="00A8138F" w:rsidP="00A8138F">
      <w:pPr>
        <w:pStyle w:val="TextoNormal"/>
      </w:pPr>
    </w:p>
    <w:p w14:paraId="38F0C5CD" w14:textId="77777777" w:rsidR="00A8138F" w:rsidRDefault="00A8138F" w:rsidP="00A8138F">
      <w:pPr>
        <w:pStyle w:val="TextoNormal"/>
      </w:pPr>
      <w:r>
        <w:t>b) En el debate de convalidación, la consejera de Salud del Gobierno de las Illes Balears reiteró la referencia al déficit de profesionales sanitarios en el servicio de salud autonómico con mención al “Informe oferta-necesidad de especialistas médicos 2021-2035” publicado por el Ministerio de Sanidad en 2022 (“Diari de Sessions del Ple” del Parlamento de las Illes Balears, núm. 8, de 26 de septiembre de 2023, pág. 249). En su intervención se refirió a este informe en los siguientes términos:</w:t>
      </w:r>
    </w:p>
    <w:p w14:paraId="6048C5EF" w14:textId="77777777" w:rsidR="00A8138F" w:rsidRDefault="00A8138F" w:rsidP="00A8138F">
      <w:pPr>
        <w:pStyle w:val="TextoNormal"/>
      </w:pPr>
    </w:p>
    <w:p w14:paraId="63A1525D" w14:textId="77777777" w:rsidR="00A8138F" w:rsidRDefault="00A8138F" w:rsidP="00A8138F">
      <w:pPr>
        <w:pStyle w:val="TextoNormal"/>
      </w:pPr>
      <w:r>
        <w:t>“En relación a lo que nos ocupa, el déficit de profesionales sanitarios, las cifras son alarmantes. Según el estudio de ofertas y necesidades de especialistas médicos 2021-2035, publicado por el Ministerio de Sanidad en el año 2022, Baleares es la última comunidad en ratio de especialistas por 100 000 habitantes en relación a varias especialidades, pero una de ellas, medicina familiar y comunitaria, con una ratio de 58,1 por 100 000 habitantes, cuando la media nacional es de 87,4 por 100 000 habitantes.</w:t>
      </w:r>
    </w:p>
    <w:p w14:paraId="6F0E911D" w14:textId="77777777" w:rsidR="00A8138F" w:rsidRDefault="00A8138F" w:rsidP="00A8138F">
      <w:pPr>
        <w:pStyle w:val="TextoNormal"/>
      </w:pPr>
    </w:p>
    <w:p w14:paraId="3D1959B2" w14:textId="77777777" w:rsidR="00A8138F" w:rsidRDefault="00A8138F" w:rsidP="00A8138F">
      <w:pPr>
        <w:pStyle w:val="TextoNormal"/>
      </w:pPr>
      <w:r>
        <w:t>Otra docena de especialidades muestran ratios que ocupan las cuatro últimas posiciones en relación a la ratio media nacional. Llama la atención, no obstante, que oncología médica, con una ratio de 33,9 por 100 000 habitantes en Baleares, supera la media nacional, que es 3,5 por 100 000 habitantes. Sin embargo, en Ibiza, la plantilla de cinco oncólogos solo ejerce en el momento actual un oncólogo; es un caso evidente de desierto médico o área de muy difícil cobertura.</w:t>
      </w:r>
    </w:p>
    <w:p w14:paraId="6C0D2044" w14:textId="77777777" w:rsidR="00A8138F" w:rsidRDefault="00A8138F" w:rsidP="00A8138F">
      <w:pPr>
        <w:pStyle w:val="TextoNormal"/>
      </w:pPr>
    </w:p>
    <w:p w14:paraId="610A5621" w14:textId="77777777" w:rsidR="00A8138F" w:rsidRDefault="00A8138F" w:rsidP="00A8138F">
      <w:pPr>
        <w:pStyle w:val="TextoNormal"/>
      </w:pPr>
      <w:r>
        <w:t>En los últimos ocho años, a pesar de disponer del mayor presupuesto de la historia y de derivar más pacientes que nunca a la sanidad privada, el número de personas en lista de espera para una consulta con el especialista y para una intervención quirúrgica, crecen: hay más personas y esperan más tiempo.</w:t>
      </w:r>
    </w:p>
    <w:p w14:paraId="11669B6F" w14:textId="77777777" w:rsidR="00A8138F" w:rsidRDefault="00A8138F" w:rsidP="00A8138F">
      <w:pPr>
        <w:pStyle w:val="TextoNormal"/>
      </w:pPr>
    </w:p>
    <w:p w14:paraId="7B4C4414" w14:textId="77777777" w:rsidR="00A8138F" w:rsidRDefault="00A8138F" w:rsidP="00A8138F">
      <w:pPr>
        <w:pStyle w:val="TextoNormal"/>
      </w:pPr>
      <w:r>
        <w:t>En julio de 2023, cuando entramos, había 88 357 personas en lista de espera. En consultas externas había 74 190 pacientes pendientes de una visita con el especialista, un 12,78 por 100 más que hace un año. La demora se sitúa en setenta y cinco días y más del 40 por 100 de los pacientes espera más de sesenta días. Los datos de la lista de espera quirúrgica no son mucho mejores:14 167 pacientes esperan para operarse, y la demora media se sitúa en los 126 días, casi tres más que el año pasado.</w:t>
      </w:r>
    </w:p>
    <w:p w14:paraId="2A7BC1B8" w14:textId="77777777" w:rsidR="00A8138F" w:rsidRDefault="00A8138F" w:rsidP="00A8138F">
      <w:pPr>
        <w:pStyle w:val="TextoNormal"/>
      </w:pPr>
    </w:p>
    <w:p w14:paraId="5C30B4FE" w14:textId="77777777" w:rsidR="00A8138F" w:rsidRDefault="00A8138F" w:rsidP="00A8138F">
      <w:pPr>
        <w:pStyle w:val="TextoNormal"/>
      </w:pPr>
      <w:r>
        <w:t>Del análisis de estos resultados y de estos estudios se desprende que el principal reto para enfrentarnos a los desafíos futuros es la necesidad de profesionales, especialmente en medicina familiar y comunitaria, eje sobre el que vertebra todo nuestro sistema sanitario. Pero, además, si debemos resolver las listas de espera para consultas y cirugías, es evidente que también necesitaremos un número adecuado de profesionales sanitarios, por eso, consideramos imprescindibles las medidas de captación y fidelización de los profesionales médicos y de enfermería que este decreto contempla.</w:t>
      </w:r>
    </w:p>
    <w:p w14:paraId="3252F355" w14:textId="77777777" w:rsidR="00A8138F" w:rsidRDefault="00A8138F" w:rsidP="00A8138F">
      <w:pPr>
        <w:pStyle w:val="TextoNormal"/>
      </w:pPr>
    </w:p>
    <w:p w14:paraId="25C04264" w14:textId="77777777" w:rsidR="00A8138F" w:rsidRDefault="00A8138F" w:rsidP="00A8138F">
      <w:pPr>
        <w:pStyle w:val="TextoNormal"/>
      </w:pPr>
      <w:r>
        <w:t>La primera: regulación jurídica de las zonas de difícil cobertura. El decreto desarrolla el régimen jurídico que unifica, con carácter definitivo, la naturaleza jurídica y económica, y que pueda ser aplicado a otras áreas o a otras categorías donde se aprecie un déficit de profesionales, siempre en consonancia con lo establecido en la Comisión de Recursos Humanos.</w:t>
      </w:r>
    </w:p>
    <w:p w14:paraId="639CED1A" w14:textId="77777777" w:rsidR="00A8138F" w:rsidRDefault="00A8138F" w:rsidP="00A8138F">
      <w:pPr>
        <w:pStyle w:val="TextoNormal"/>
      </w:pPr>
    </w:p>
    <w:p w14:paraId="50BED9CD" w14:textId="77777777" w:rsidR="00A8138F" w:rsidRDefault="00A8138F" w:rsidP="00A8138F">
      <w:pPr>
        <w:pStyle w:val="TextoNormal"/>
      </w:pPr>
      <w:r>
        <w:t>[…]</w:t>
      </w:r>
    </w:p>
    <w:p w14:paraId="287A6DA3" w14:textId="77777777" w:rsidR="00A8138F" w:rsidRDefault="00A8138F" w:rsidP="00A8138F">
      <w:pPr>
        <w:pStyle w:val="TextoNormal"/>
      </w:pPr>
    </w:p>
    <w:p w14:paraId="66B2591B" w14:textId="77777777" w:rsidR="00A8138F" w:rsidRDefault="00A8138F" w:rsidP="00A8138F">
      <w:pPr>
        <w:pStyle w:val="TextoNormal"/>
      </w:pPr>
      <w:r>
        <w:t>Eliminación del requisito lingüístico. Como medida de captación de profesionales, se modifica la Ley 3/2007, de función pública, exceptuando el requisito lingüístico para el personal sanitario, que será valorado como mérito. Somos conscientes del déficit de profesionales y estamos aquí para trabajar mañana, tarde y noche para captar profesionales, los mejores, y fidelizar los que ya tenemos; y, todo ello, para ofrecer la mejor asistencia a los ciudadanos de estas islas y garantizar la equidad, porque no puede haber pacientes de primera y pacientes de segunda, y este decreto-ley es el marco normativo necesario para lograrlo”.</w:t>
      </w:r>
    </w:p>
    <w:p w14:paraId="2C3C7ED8" w14:textId="77777777" w:rsidR="00A8138F" w:rsidRDefault="00A8138F" w:rsidP="00A8138F">
      <w:pPr>
        <w:pStyle w:val="TextoNormal"/>
      </w:pPr>
    </w:p>
    <w:p w14:paraId="4D5B89E1" w14:textId="32D6F676" w:rsidR="00A8138F" w:rsidRDefault="00A8138F" w:rsidP="00A8138F">
      <w:pPr>
        <w:pStyle w:val="TextoNormal"/>
      </w:pPr>
      <w:r>
        <w:t>c) De cuanto ha quedado expuesto se deduce que el gobierno balear, al aprobar el decreto-ley, y el Parlamento, al convalidarlo, valoraron esencialmente (i) la existencia de un déficit creciente de profesionales sanitarios en el servicio público de salud de la Comunidad Autónoma; (ii) el aumento de las listas de espera para atención médica en el servicio balear de salud; y (iii) la conveniencia de suprimir la exigencia de un determinado nivel de catalán como requisito de acceso para remediar esa situación, convirtiéndolo en un mérito.</w:t>
      </w:r>
    </w:p>
    <w:p w14:paraId="25CEBFB0" w14:textId="77777777" w:rsidR="00A8138F" w:rsidRDefault="00A8138F" w:rsidP="00A8138F">
      <w:pPr>
        <w:pStyle w:val="TextoNormal"/>
      </w:pPr>
    </w:p>
    <w:p w14:paraId="211CF0C3" w14:textId="77777777" w:rsidR="00A8138F" w:rsidRDefault="00A8138F" w:rsidP="00A8138F">
      <w:pPr>
        <w:pStyle w:val="TextoNormal"/>
      </w:pPr>
      <w:r w:rsidRPr="00A8138F">
        <w:rPr>
          <w:rStyle w:val="NumeroAFNegritaCaracter"/>
        </w:rPr>
        <w:t>5</w:t>
      </w:r>
      <w:r>
        <w:t xml:space="preserve">. </w:t>
      </w:r>
      <w:r w:rsidRPr="00A8138F">
        <w:rPr>
          <w:i/>
        </w:rPr>
        <w:t>Examen de la motivación ofrecida por el Gobierno y el Parlamento balear</w:t>
      </w:r>
    </w:p>
    <w:p w14:paraId="1FC29B69" w14:textId="77777777" w:rsidR="00A8138F" w:rsidRDefault="00A8138F" w:rsidP="00A8138F">
      <w:pPr>
        <w:pStyle w:val="TextoNormal"/>
      </w:pPr>
    </w:p>
    <w:p w14:paraId="7E7EDBD7" w14:textId="77777777" w:rsidR="00A8138F" w:rsidRDefault="00A8138F" w:rsidP="00A8138F">
      <w:pPr>
        <w:pStyle w:val="TextoNormal"/>
      </w:pPr>
      <w:r>
        <w:t>Desde la perspectiva externa que corresponde a este tribunal, la justificación ofrecida por los órganos políticos de la Comunidad Autónoma no desborda los límites del margen de apreciación que les concede el art. 49.1 EAIB.</w:t>
      </w:r>
    </w:p>
    <w:p w14:paraId="0F4731A4" w14:textId="77777777" w:rsidR="00A8138F" w:rsidRDefault="00A8138F" w:rsidP="00A8138F">
      <w:pPr>
        <w:pStyle w:val="TextoNormal"/>
      </w:pPr>
    </w:p>
    <w:p w14:paraId="27061CF7" w14:textId="77777777" w:rsidR="00A8138F" w:rsidRDefault="00A8138F" w:rsidP="00A8138F">
      <w:pPr>
        <w:pStyle w:val="TextoNormal"/>
      </w:pPr>
      <w:r>
        <w:t>a) Por un lado, el gobierno balear ha ofrecido una justificación explícita y razonada para su reacción legislativa de urgencia. El déficit de médicos en la sanidad pública autonómica que motiva la reforma está justificado y apoyado en cifras concretas tomadas de fuentes oficiales, en particular, del informe del Ministerio de Sanidad de 2022 antes mencionado [en un sentido similar, SSTC 14/2020, de 28 de enero, FJ 4, y 16/2021, de 28 de enero, FJ 3 d), para sendos decretos-leyes en materia de vivienda]. Como dice esta última STC 16/2021, FJ 3 d), los datos ofrecidos “datos concretos y precisos que no pueden considerarse ‘cifras descontextualizadas’ ni fórmulas ‘genéricas’ o ‘rituales, de una marcada abstracción y, por ello, de prácticamente imposible control constitucional’ […] Quiere ello decir, en suma, que el Gobierno autonómico se ha mantenido dentro del margen de apreciación que le proporciona el art. 64.1 EAC [Estatuto de Autonomía de Calaluña]” (entiéndase, aquí, art. 49.1 EAIB).</w:t>
      </w:r>
    </w:p>
    <w:p w14:paraId="6C91A2B4" w14:textId="77777777" w:rsidR="00A8138F" w:rsidRDefault="00A8138F" w:rsidP="00A8138F">
      <w:pPr>
        <w:pStyle w:val="TextoNormal"/>
      </w:pPr>
    </w:p>
    <w:p w14:paraId="04D2CA61" w14:textId="77777777" w:rsidR="00A8138F" w:rsidRDefault="00A8138F" w:rsidP="00A8138F">
      <w:pPr>
        <w:pStyle w:val="TextoNormal"/>
      </w:pPr>
      <w:r>
        <w:t>Además, el gobierno ha vinculado este déficit de profesionales sanitarios con el aumento de las listas de espera y el deterioro del servicio y las prestaciones de un bien tan sensible como es la protección de la salud, de rango constitucional (art. 43 CE), lo que permite descartar la existencia de abuso o arbitrariedad en el ejercicio de la potestad legislativa de urgencia (en un sentido similar, STC 18/2023, de 21 de marzo, FJ 5, sobre un decreto-ley basado en “la insuficiencia de la vigente regulación legal para alcanzar el principio de igualdad de trato y de oportunidades entre mujeres y hombres en el empleo y la ocupación”; y STC 144/2023, de 25 de octubre, FJ 5, sobre otro decreto-ley apoyado en “[e]l desconocimiento de los derechos mínimos de los trabajadores dedicados al reparto en el ámbito de las plataformas digitales”).</w:t>
      </w:r>
    </w:p>
    <w:p w14:paraId="1E98E894" w14:textId="77777777" w:rsidR="00A8138F" w:rsidRDefault="00A8138F" w:rsidP="00A8138F">
      <w:pPr>
        <w:pStyle w:val="TextoNormal"/>
      </w:pPr>
    </w:p>
    <w:p w14:paraId="30031C7C" w14:textId="77777777" w:rsidR="00A8138F" w:rsidRDefault="00A8138F" w:rsidP="00A8138F">
      <w:pPr>
        <w:pStyle w:val="TextoNormal"/>
      </w:pPr>
      <w:r>
        <w:t>b) Por otro lado, no puede afirmarse —como hace el escrito de interposición— que “[n]inguna estadística, ni ningún dato objetivo, han sido aportados para sostener que el requisito lingüístico tiene relación directa” con el déficit de profesionales sanitarios en la comunidad autónoma, y que por tanto la reforma es “manifiestamente inadecuada” para revertir esa carencia pues “no guarda una relación lógica con la situación histórica de déficit de profesionales”.</w:t>
      </w:r>
    </w:p>
    <w:p w14:paraId="020AC824" w14:textId="77777777" w:rsidR="00A8138F" w:rsidRDefault="00A8138F" w:rsidP="00A8138F">
      <w:pPr>
        <w:pStyle w:val="TextoNormal"/>
      </w:pPr>
    </w:p>
    <w:p w14:paraId="0ACAF8DF" w14:textId="77777777" w:rsidR="00A8138F" w:rsidRDefault="00A8138F" w:rsidP="00A8138F">
      <w:pPr>
        <w:pStyle w:val="TextoNormal"/>
      </w:pPr>
      <w:r>
        <w:t>En primer lugar, el derecho anterior reconocía expresamente esta relación en la disposición transitoria segunda, apartado 3, de la Ley 4/2016 (que debe entenderse derogada por el inciso de la disposición derogatoria del Decreto-ley 5/2023 también objeto de recurso). Este precepto establecía la posibilidad excepcional de “eximir los requisitos de conocimientos de la lengua catalana” exigidos con carácter general para el acceso de personal estatutario al servicio de salud autonómico en casos de “carencia o insuficiencia de profesionales” con informe preceptivo del servicio de salud autonómico.</w:t>
      </w:r>
    </w:p>
    <w:p w14:paraId="2DF72904" w14:textId="77777777" w:rsidR="00A8138F" w:rsidRDefault="00A8138F" w:rsidP="00A8138F">
      <w:pPr>
        <w:pStyle w:val="TextoNormal"/>
      </w:pPr>
    </w:p>
    <w:p w14:paraId="311E613B" w14:textId="77777777" w:rsidR="00A8138F" w:rsidRDefault="00A8138F" w:rsidP="00A8138F">
      <w:pPr>
        <w:pStyle w:val="TextoNormal"/>
      </w:pPr>
      <w:r>
        <w:t>Y, en segundo lugar, consta igualmente acreditado en autos que esta posibilidad excepcional fue reiteradamente utilizada antes de la aprobación del decreto-ley impugnado mediante sucesivos informes del servicio de salud autonómico de fechas 9 de octubre de 2021, 1 de diciembre de 2021, 25 de febrero de 2022, 18 de mayo de 2022, 21 de noviembre de 2022 y 6 de febrero de 2023, adjuntados al escrito de alegaciones del gobierno autonómico y aludidos en el debate de convalidación (“Diari de Sessions del Ple”, antes citado, págs. 253 y 254).</w:t>
      </w:r>
    </w:p>
    <w:p w14:paraId="0782076F" w14:textId="77777777" w:rsidR="00A8138F" w:rsidRDefault="00A8138F" w:rsidP="00A8138F">
      <w:pPr>
        <w:pStyle w:val="TextoNormal"/>
      </w:pPr>
    </w:p>
    <w:p w14:paraId="19A284BC" w14:textId="12528A2D" w:rsidR="00A8138F" w:rsidRDefault="00A8138F" w:rsidP="00A8138F">
      <w:pPr>
        <w:pStyle w:val="TextoNormal"/>
      </w:pPr>
      <w:r>
        <w:t>Por lo tanto, desde la perspectiva del control externo que corresponde a este tribunal, el gobierno y el parlamento autonómico se han mantenido dentro del margen que les concede el segundo de los elementos en que se descompone el requisito del presupuesto habilitante según nuestra doctrina expuesta más arriba: la “conexión de sentido” de la medida aprobada con la situación de urgencia previamente definida. Desde la perspectiva del control de constitucionalidad que nos es propia —que no es la de oportunidad, conveniencia o eficacia de la norma— no es irrazonable que el gobierno y el parlamento autonómicos confíen en esa modificación normativa para la “captación y fidelización de los profesionales médicos” y la reducción de las listas de espera (objetivos de la reforma aludidos por la consejera en el debate de convalidación, reproducido más arriba).</w:t>
      </w:r>
    </w:p>
    <w:p w14:paraId="1CC9D64B" w14:textId="77777777" w:rsidR="00A8138F" w:rsidRDefault="00A8138F" w:rsidP="00A8138F">
      <w:pPr>
        <w:pStyle w:val="TextoNormal"/>
      </w:pPr>
    </w:p>
    <w:p w14:paraId="75BEDA98" w14:textId="77777777" w:rsidR="00A8138F" w:rsidRDefault="00A8138F" w:rsidP="00A8138F">
      <w:pPr>
        <w:pStyle w:val="TextoNormal"/>
      </w:pPr>
      <w:r w:rsidRPr="00A8138F">
        <w:rPr>
          <w:rStyle w:val="NumeroAFNegritaCaracter"/>
        </w:rPr>
        <w:t>6</w:t>
      </w:r>
      <w:r>
        <w:t xml:space="preserve">. </w:t>
      </w:r>
      <w:r w:rsidRPr="00A8138F">
        <w:rPr>
          <w:i/>
        </w:rPr>
        <w:t>Prohibición de “afectar” a los derechos estatutarios</w:t>
      </w:r>
    </w:p>
    <w:p w14:paraId="43FED22D" w14:textId="77777777" w:rsidR="00A8138F" w:rsidRDefault="00A8138F" w:rsidP="00A8138F">
      <w:pPr>
        <w:pStyle w:val="TextoNormal"/>
      </w:pPr>
    </w:p>
    <w:p w14:paraId="25634DA2" w14:textId="77777777" w:rsidR="00A8138F" w:rsidRDefault="00A8138F" w:rsidP="00A8138F">
      <w:pPr>
        <w:pStyle w:val="TextoNormal"/>
      </w:pPr>
      <w:r>
        <w:t>a) El art. 49.1 EAIB contiene una segunda exigencia para esta fuente normativa excepcional y provisional que son los decretos-leyes: estos “no podrán afectar a los derechos establecidos en este estatuto”. Los recurrentes sostienen que la reforma “afecta”, en este sentido estatutariamente proscrito, al derecho reconocido en el art. 14.3 EAIB, que dice:</w:t>
      </w:r>
    </w:p>
    <w:p w14:paraId="161DC508" w14:textId="77777777" w:rsidR="00A8138F" w:rsidRDefault="00A8138F" w:rsidP="00A8138F">
      <w:pPr>
        <w:pStyle w:val="TextoNormal"/>
      </w:pPr>
    </w:p>
    <w:p w14:paraId="4F090491" w14:textId="77777777" w:rsidR="00A8138F" w:rsidRDefault="00A8138F" w:rsidP="00A8138F">
      <w:pPr>
        <w:pStyle w:val="TextoNormal"/>
      </w:pPr>
      <w:r>
        <w:t>“Los ciudadanos de las Illes Balears tendrán derecho a dirigirse a la Administración de la Comunidad Autónoma en cualquiera de sus dos lenguas oficiales y a recibir respuesta en la misma lengua utilizada”.</w:t>
      </w:r>
    </w:p>
    <w:p w14:paraId="4DCCBDCD" w14:textId="77777777" w:rsidR="00A8138F" w:rsidRDefault="00A8138F" w:rsidP="00A8138F">
      <w:pPr>
        <w:pStyle w:val="TextoNormal"/>
      </w:pPr>
    </w:p>
    <w:p w14:paraId="4CF02C4B" w14:textId="77777777" w:rsidR="00A8138F" w:rsidRDefault="00A8138F" w:rsidP="00A8138F">
      <w:pPr>
        <w:pStyle w:val="TextoNormal"/>
      </w:pPr>
      <w:r>
        <w:t>b) Con carácter preliminar, procede señalar que el “derecho” reconocido en este art. 14.3, ubicado sistemáticamente en el título II EAIB, rubricado “[d]e los derechos, los deberes y las libertades de los ciudadanos de las Illes Balears”, debe considerarse un derecho estatutario en el sentido del art. 49.1 EAIB. En consecuencia, conforme a lo dispuesto en este precepto, un decreto-ley del gobierno balear no puede “afectar” a este “derecho”.</w:t>
      </w:r>
    </w:p>
    <w:p w14:paraId="119CB7F0" w14:textId="77777777" w:rsidR="00A8138F" w:rsidRDefault="00A8138F" w:rsidP="00A8138F">
      <w:pPr>
        <w:pStyle w:val="TextoNormal"/>
      </w:pPr>
    </w:p>
    <w:p w14:paraId="3715E2AB" w14:textId="77777777" w:rsidR="00A8138F" w:rsidRDefault="00A8138F" w:rsidP="00A8138F">
      <w:pPr>
        <w:pStyle w:val="TextoNormal"/>
      </w:pPr>
      <w:r>
        <w:t>c) Según nuestra doctrina, la expresión “no podrán afectar” del art. 86.1 CE y de los preceptos estatutarios análogos es “una noción restringida” que “debe ser entendida de modo tal que ni reduzca a la nada el decreto-ley, … ni permita que por decreto-ley se regule el régimen general de los derechos, deberes y libertades del título I, ni de pie para que por decreto-ley se vaya en contra del contenido o elementos esenciales de alguno de tales derechos”. Se trata, en definitiva, de una “concepción estricta” de “afectación de derechos” que exige “tener en cuenta la configuración constitucional del derecho o deber afectado en cada caso y la naturaleza y alcance de la concreta regulación de que se trate”. De este modo, lo que está vedado al decreto-ley es “afecta[r] al régimen general del derecho” de que se trate o “al contenido o elementos esenciales de dicho derecho” (por todas, STC 38/2016, de 3 de marzo, FJ 6, precisamente a propósito de un decreto-ley balear, citando sentencias anteriores).</w:t>
      </w:r>
    </w:p>
    <w:p w14:paraId="3460B395" w14:textId="77777777" w:rsidR="00A8138F" w:rsidRDefault="00A8138F" w:rsidP="00A8138F">
      <w:pPr>
        <w:pStyle w:val="TextoNormal"/>
      </w:pPr>
    </w:p>
    <w:p w14:paraId="181047AA" w14:textId="77777777" w:rsidR="00A8138F" w:rsidRDefault="00A8138F" w:rsidP="00A8138F">
      <w:pPr>
        <w:pStyle w:val="TextoNormal"/>
      </w:pPr>
      <w:r>
        <w:t>Desde esta perspectiva, la norma recurrida no lleva a cabo una regulación general del régimen de la cooficialidad lingüística o del derecho de los ciudadanos a relacionarse con la administración en cualquiera de las dos lenguas cooficiales en la Comunidad Autónoma, que es la materia regulada en el art. 14.3 EAIB. La norma recurrida acomete una regulación solamente parcial en materia de personal para un servicio concreto, el de salud, y para unos profesionales determinados, los profesionales sanitarios, que son los únicos a los que afecta. El resto de servicios y profesionales dentro del servicio autonómico de salud mantienen su régimen jurídico antes y después de la reforma, y no se ven afectados por ella. No cabe hablar, por tanto, de una “regulación general” del derecho del art. 14.3 EAIB, ni de la alteración de sus “elementos esenciales” [en un sentido similar, SSTC 35/2017, de 1 de marzo, FJ 5 b), y 36/2023, de 19 de abril, FJ 3 A) b), sobre decretos-leyes que afectaban solamente de forma parcial a los derechos de libertad de expresión del art. 20 CE y de asistencia jurídica gratuita del art. 119 CE, respectivamente; y también STC 38/2016, antes citada, FJ 6, sobre un decreto-ley balear que aprobaba con carácter urgente un proyecto de tratamiento integral de lenguas en centros docentes en sustitución de otro judicialmente suspendido].</w:t>
      </w:r>
    </w:p>
    <w:p w14:paraId="08F3D803" w14:textId="77777777" w:rsidR="00A8138F" w:rsidRDefault="00A8138F" w:rsidP="00A8138F">
      <w:pPr>
        <w:pStyle w:val="TextoNormal"/>
      </w:pPr>
    </w:p>
    <w:p w14:paraId="15F8EF31" w14:textId="77777777" w:rsidR="00A8138F" w:rsidRDefault="00A8138F" w:rsidP="00A8138F">
      <w:pPr>
        <w:pStyle w:val="TextoNormal"/>
      </w:pPr>
      <w:r>
        <w:t>Por consiguiente, el motivo se desestima.</w:t>
      </w:r>
    </w:p>
    <w:p w14:paraId="4494BF37" w14:textId="77777777" w:rsidR="00A8138F" w:rsidRDefault="00A8138F" w:rsidP="00A8138F">
      <w:pPr>
        <w:pStyle w:val="TextoNormal"/>
      </w:pPr>
    </w:p>
    <w:p w14:paraId="48AF7858" w14:textId="3EA4F51B" w:rsidR="00A8138F" w:rsidRDefault="00A8138F" w:rsidP="00A8138F">
      <w:pPr>
        <w:pStyle w:val="TextoNormal"/>
      </w:pPr>
      <w:r>
        <w:t>Y, por lo tanto, rechazadas las tachas que acabamos de examinar, y no procediendo —por las razones expresadas en un fundamento anterior— que entremos ahora a enjuiciar los motivos de impugnación de carácter sustantivo [motivos b), c) y d), resumidos en los antecedentes de esta sentencia], se desestima el presente recurso.</w:t>
      </w:r>
    </w:p>
    <w:p w14:paraId="375E4C73" w14:textId="77777777" w:rsidR="00A8138F" w:rsidRDefault="00A8138F" w:rsidP="00A8138F">
      <w:pPr>
        <w:pStyle w:val="TextoNormal"/>
      </w:pPr>
    </w:p>
    <w:p w14:paraId="33F7DB8F" w14:textId="77777777" w:rsidR="00A8138F" w:rsidRDefault="00A8138F" w:rsidP="00A8138F">
      <w:pPr>
        <w:pStyle w:val="TextoNormalCentrado"/>
        <w:keepNext/>
      </w:pPr>
      <w:r>
        <w:t>FALLO</w:t>
      </w:r>
    </w:p>
    <w:p w14:paraId="35FFBB76" w14:textId="2EC76EF1" w:rsidR="00A8138F" w:rsidRDefault="00A8138F" w:rsidP="00A8138F">
      <w:pPr>
        <w:pStyle w:val="TextoNormalCentrado"/>
        <w:keepNext/>
      </w:pPr>
    </w:p>
    <w:p w14:paraId="4793D240" w14:textId="77777777" w:rsidR="00A8138F" w:rsidRDefault="00A8138F" w:rsidP="00A8138F">
      <w:pPr>
        <w:pStyle w:val="TextoNormal"/>
      </w:pPr>
      <w:r>
        <w:t>En atención a todo lo expuesto, el Tribunal Constitucional, por la autoridad que le confiere la Constitución de la Nación española, ha decidido:</w:t>
      </w:r>
    </w:p>
    <w:p w14:paraId="4AACAC4D" w14:textId="77777777" w:rsidR="00A8138F" w:rsidRDefault="00A8138F" w:rsidP="00A8138F">
      <w:pPr>
        <w:pStyle w:val="TextoNormal"/>
      </w:pPr>
    </w:p>
    <w:p w14:paraId="07A6A470" w14:textId="77777777" w:rsidR="00A8138F" w:rsidRDefault="00A8138F" w:rsidP="00A8138F">
      <w:pPr>
        <w:pStyle w:val="TextoNormal"/>
      </w:pPr>
      <w:r>
        <w:t>1º Declarar la pérdida sobrevenida del objeto del recurso en lo que se refiere a la vulneración de los arts. 3 CE y 4 y 14 EAIB; 14 CE y 4.2 EAIB, y 3, 9.2, 9.3 y 103.1 CE y 4.3 EAIB, por la disposición final segunda y disposición derogatoria única (inciso “y de la Ley 4/2016, de 6 de abril, de medidas de capacitación lingüística para la recuperación del uso del catalán en el ámbito de la función pública”) del Decreto-ley del Gobierno de las Illes Balears 5/2023, de 28 de agosto, de medidas urgentes en el ámbito educativo y en el sanitario.</w:t>
      </w:r>
    </w:p>
    <w:p w14:paraId="3883D64A" w14:textId="77777777" w:rsidR="00A8138F" w:rsidRDefault="00A8138F" w:rsidP="00A8138F">
      <w:pPr>
        <w:pStyle w:val="TextoNormal"/>
      </w:pPr>
    </w:p>
    <w:p w14:paraId="63381F84" w14:textId="34C09FB3" w:rsidR="00A8138F" w:rsidRDefault="00A8138F" w:rsidP="00A8138F">
      <w:pPr>
        <w:pStyle w:val="TextoNormal"/>
      </w:pPr>
      <w:r>
        <w:t>2º Desestimar el recurso en todo lo demás.</w:t>
      </w:r>
    </w:p>
    <w:p w14:paraId="1CFED1FD" w14:textId="77777777" w:rsidR="00A8138F" w:rsidRDefault="00A8138F" w:rsidP="00A8138F">
      <w:pPr>
        <w:pStyle w:val="TextoNormal"/>
      </w:pPr>
    </w:p>
    <w:p w14:paraId="512CEAAB" w14:textId="77777777" w:rsidR="00A8138F" w:rsidRDefault="00A8138F" w:rsidP="00A8138F">
      <w:pPr>
        <w:pStyle w:val="TextoNormal"/>
      </w:pPr>
      <w:r>
        <w:t>Publíquese esta sentencia en el “Boletín Oficial del Estado”.</w:t>
      </w:r>
    </w:p>
    <w:p w14:paraId="2807EAF9" w14:textId="77777777" w:rsidR="00A8138F" w:rsidRDefault="00A8138F" w:rsidP="00A8138F">
      <w:pPr>
        <w:pStyle w:val="TextoNormal"/>
      </w:pPr>
      <w:r>
        <w:t>Dada en Madrid, a catorce de mayo de dos mil veinticinco.</w:t>
      </w:r>
    </w:p>
    <w:p w14:paraId="48F98321" w14:textId="27285BA3" w:rsidR="00A8138F" w:rsidRDefault="00A8138F">
      <w:pPr>
        <w:spacing w:after="160" w:line="278" w:lineRule="auto"/>
        <w:rPr>
          <w:rFonts w:ascii="Times New Roman" w:eastAsia="Times New Roman" w:hAnsi="Times New Roman" w:cs="Times New Roman"/>
          <w:sz w:val="24"/>
          <w:szCs w:val="24"/>
          <w:lang w:eastAsia="es-ES"/>
        </w:rPr>
      </w:pPr>
      <w:r>
        <w:br w:type="page"/>
      </w:r>
    </w:p>
    <w:p w14:paraId="4F4AB646" w14:textId="77777777" w:rsidR="00A8138F" w:rsidRDefault="00A8138F" w:rsidP="00A8138F">
      <w:pPr>
        <w:pStyle w:val="TtuloResolucin"/>
      </w:pPr>
      <w:bookmarkStart w:id="121" w:name="SENTENCIA_2025_119"/>
      <w:r>
        <w:t>SENTENCIA 119/2025, de 26 de mayo de 2025</w:t>
      </w:r>
    </w:p>
    <w:bookmarkEnd w:id="121"/>
    <w:p w14:paraId="3EDEEA91" w14:textId="77777777" w:rsidR="00A8138F" w:rsidRDefault="00A8138F" w:rsidP="00A8138F">
      <w:pPr>
        <w:pStyle w:val="TtuloResolucin"/>
      </w:pPr>
      <w:r>
        <w:t>Sala Primera</w:t>
      </w:r>
    </w:p>
    <w:p w14:paraId="766CA061" w14:textId="77777777" w:rsidR="00A8138F" w:rsidRDefault="00A8138F" w:rsidP="00A8138F">
      <w:pPr>
        <w:pStyle w:val="TtuloBOE"/>
      </w:pPr>
      <w:r>
        <w:t>(BOE núm. 160, de 4 de julio de 2025)</w:t>
      </w:r>
    </w:p>
    <w:p w14:paraId="3848C4BC" w14:textId="77777777" w:rsidR="00A8138F" w:rsidRDefault="00A8138F" w:rsidP="00A8138F">
      <w:pPr>
        <w:pStyle w:val="TextoNormalCentrado"/>
      </w:pPr>
      <w:r>
        <w:t>ECLI:ES:TC:2025:119</w:t>
      </w:r>
    </w:p>
    <w:p w14:paraId="14C4C97F" w14:textId="5C72B9A5" w:rsidR="00A8138F" w:rsidRDefault="00A8138F" w:rsidP="00A8138F">
      <w:pPr>
        <w:pStyle w:val="TextoNormalCentrado"/>
      </w:pPr>
    </w:p>
    <w:p w14:paraId="72D64DDA" w14:textId="77777777" w:rsidR="00A8138F" w:rsidRDefault="00A8138F" w:rsidP="00A8138F">
      <w:pPr>
        <w:pStyle w:val="SntesisDescriptiva"/>
      </w:pPr>
      <w:r>
        <w:t>Recurso de amparo 1305-2023. Promovido por don M.J.B.D., en relación con los autos dictados por la Audiencia Provincial de Madrid y un juzgado de primera instancia de Alcobendas en procedimiento de jurisdicción voluntaria sobre desacuerdo en el ejercicio de la patria potestad.</w:t>
      </w:r>
    </w:p>
    <w:p w14:paraId="339B440E" w14:textId="079B7B50" w:rsidR="00A8138F" w:rsidRDefault="00A8138F" w:rsidP="00A8138F">
      <w:pPr>
        <w:pStyle w:val="SntesisDescriptiva"/>
      </w:pPr>
    </w:p>
    <w:p w14:paraId="2A5AB5B0" w14:textId="77777777" w:rsidR="00A8138F" w:rsidRDefault="00A8138F" w:rsidP="00A8138F">
      <w:pPr>
        <w:pStyle w:val="SntesisAnaltica"/>
      </w:pPr>
      <w:r>
        <w:t>Supuesta vulneración del derecho a la libertad religiosa y a que los hijos reciban la formación religiosa y moral acorde con las convicciones de los padres: resoluciones judiciales que prohíben expresamente al padre la realización de adoctrinamiento en la fe evangélica (STEDH de 19 de mayo de 2022, asunto T.C., c. Italia).</w:t>
      </w:r>
    </w:p>
    <w:p w14:paraId="084F1D10" w14:textId="41350702" w:rsidR="00A8138F" w:rsidRDefault="00A8138F" w:rsidP="00A8138F">
      <w:pPr>
        <w:pStyle w:val="SntesisAnaltica"/>
      </w:pPr>
    </w:p>
    <w:p w14:paraId="30FEE25F" w14:textId="720AA411" w:rsidR="00A8138F" w:rsidRDefault="00A8138F" w:rsidP="00A8138F">
      <w:pPr>
        <w:pStyle w:val="Extracto"/>
      </w:pPr>
      <w:r>
        <w:t>1.</w:t>
      </w:r>
      <w:r>
        <w:tab/>
        <w:t>La doctrina del Tribunal Constitucional y la propia formulación contenida en la letra de la Constitución protege a los padres frente a un adoctrinamiento ideológico estatal contrario a las propias convicciones. Conforme a la naturaleza de garantía constitucional frente al proselitismo del Estado, a la que se ha referido este Tribunal como “garantía institucional” (STC 5/2023), el conflicto horizontal entre los progenitores que mantienen perspectivas diversas sobre la formación religiosa de sus hijos comunes no siempre expresa una violación del citado precepto cuando se opta por una de ellas [FJ 4].</w:t>
      </w:r>
    </w:p>
    <w:p w14:paraId="01090EC7" w14:textId="77777777" w:rsidR="00A8138F" w:rsidRDefault="00A8138F" w:rsidP="00A8138F">
      <w:pPr>
        <w:pStyle w:val="Extracto"/>
      </w:pPr>
    </w:p>
    <w:p w14:paraId="3BA43C8A" w14:textId="75DC1F79" w:rsidR="00A8138F" w:rsidRDefault="00A8138F" w:rsidP="00A8138F">
      <w:pPr>
        <w:pStyle w:val="Extracto"/>
      </w:pPr>
      <w:r>
        <w:t>2.</w:t>
      </w:r>
      <w:r>
        <w:tab/>
        <w:t>Frente a la libertad de creencias de sus progenitores y su derecho a hacer proselitismo de las mismas con sus hijos, se alza como límite, además de la intangibilidad de la integridad moral de estos últimos, la libertad de creencias que asiste a los menores de edad a mantener creencias diversas a las de sus padres. Libertades y derechos de unos y otros que, de surgir el conflicto, deberán ser ponderados teniendo siempre presente el interés superior de los menores de edad</w:t>
      </w:r>
      <w:r w:rsidRPr="00A8138F">
        <w:rPr>
          <w:i/>
        </w:rPr>
        <w:t xml:space="preserve"> ex </w:t>
      </w:r>
      <w:r>
        <w:t>arts. 15 y 16.1 CE en relación con el art. 39 CE (STC 141/2000) [FJ 5].</w:t>
      </w:r>
    </w:p>
    <w:p w14:paraId="414851AD" w14:textId="77777777" w:rsidR="00A8138F" w:rsidRDefault="00A8138F" w:rsidP="00A8138F">
      <w:pPr>
        <w:pStyle w:val="Extracto"/>
      </w:pPr>
    </w:p>
    <w:p w14:paraId="4C0AF192" w14:textId="345146E8" w:rsidR="00A8138F" w:rsidRDefault="00A8138F" w:rsidP="00A8138F">
      <w:pPr>
        <w:pStyle w:val="Extracto"/>
      </w:pPr>
      <w:r>
        <w:t>3.</w:t>
      </w:r>
      <w:r>
        <w:tab/>
        <w:t>El derecho de los padres a que sus hijos reciban la formación religiosa y moral que esté de acuerdo con sus propias convicciones (art. 27.3 CE) no resulta afectado por resoluciones judiciales, si éstas en nada afectan a la elección de los progenitores en relación al centro docente o educación (religiosa o no) que el menor deba seguir en su formación escolar [FJ 7].</w:t>
      </w:r>
    </w:p>
    <w:p w14:paraId="57929DFF" w14:textId="77777777" w:rsidR="00A8138F" w:rsidRDefault="00A8138F" w:rsidP="00A8138F">
      <w:pPr>
        <w:pStyle w:val="Extracto"/>
      </w:pPr>
    </w:p>
    <w:p w14:paraId="38705CAF" w14:textId="77777777" w:rsidR="00A8138F" w:rsidRDefault="00A8138F" w:rsidP="00A8138F">
      <w:pPr>
        <w:pStyle w:val="Extracto"/>
      </w:pPr>
    </w:p>
    <w:p w14:paraId="0C96A13F"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2E6CE9DC" w14:textId="79ECCD8D" w:rsidR="00A8138F" w:rsidRDefault="00A8138F" w:rsidP="00A8138F">
      <w:pPr>
        <w:pStyle w:val="TextoNormal"/>
      </w:pPr>
    </w:p>
    <w:p w14:paraId="1A14EAA7" w14:textId="77777777" w:rsidR="00A8138F" w:rsidRDefault="00A8138F" w:rsidP="00A8138F">
      <w:pPr>
        <w:pStyle w:val="TextoNormalCentrado"/>
        <w:keepNext/>
      </w:pPr>
      <w:r>
        <w:t>EN NOMBRE DEL REY</w:t>
      </w:r>
    </w:p>
    <w:p w14:paraId="1D4F6BBF" w14:textId="0AE54F03" w:rsidR="00A8138F" w:rsidRDefault="00A8138F" w:rsidP="00A8138F">
      <w:pPr>
        <w:pStyle w:val="TextoNormalCentrado"/>
        <w:keepNext/>
      </w:pPr>
    </w:p>
    <w:p w14:paraId="13B8BBCC" w14:textId="77777777" w:rsidR="00A8138F" w:rsidRDefault="00A8138F" w:rsidP="00A8138F">
      <w:pPr>
        <w:pStyle w:val="TextoNormalCentrado"/>
        <w:keepNext/>
      </w:pPr>
    </w:p>
    <w:p w14:paraId="51E27A64" w14:textId="77777777" w:rsidR="00A8138F" w:rsidRDefault="00A8138F" w:rsidP="00A8138F">
      <w:pPr>
        <w:pStyle w:val="TextoNormal"/>
      </w:pPr>
      <w:r>
        <w:t>la siguiente</w:t>
      </w:r>
    </w:p>
    <w:p w14:paraId="5B723A9F" w14:textId="483FC7D8" w:rsidR="00A8138F" w:rsidRDefault="00A8138F" w:rsidP="00A8138F">
      <w:pPr>
        <w:pStyle w:val="TextoNormal"/>
      </w:pPr>
    </w:p>
    <w:p w14:paraId="31A058FD" w14:textId="77777777" w:rsidR="00A8138F" w:rsidRDefault="00A8138F" w:rsidP="00A8138F">
      <w:pPr>
        <w:pStyle w:val="TextoNormalCentrado"/>
        <w:keepNext/>
      </w:pPr>
      <w:r>
        <w:t>SENTENCIA</w:t>
      </w:r>
    </w:p>
    <w:p w14:paraId="01B7EE07" w14:textId="0833430F" w:rsidR="00A8138F" w:rsidRDefault="00A8138F" w:rsidP="00A8138F">
      <w:pPr>
        <w:pStyle w:val="TextoNormalCentrado"/>
        <w:keepNext/>
      </w:pPr>
    </w:p>
    <w:p w14:paraId="6F5E4E0F" w14:textId="77777777" w:rsidR="00A8138F" w:rsidRDefault="00A8138F" w:rsidP="00A8138F">
      <w:pPr>
        <w:pStyle w:val="TextoNormal"/>
      </w:pPr>
      <w:r>
        <w:t>En el recurso de amparo núm. 1305-2023, promovido por don M.J.B.D., representado por el procurador de los tribunales don Álvaro Carrasco Posada, bajo la dirección del letrado don Juan Miguel Torres Garrido, frente al auto núm. 3/2023, de 13 de enero, dictado por la Sección Vigesimosegunda de la Audiencia Provincial de Madrid en el recurso de apelación núm. 1016-2022, por el que desestimó el recurso de apelación interpuesto contra el auto núm. 178/2022, de 27 de mayo, dictado por el Juzgado de Primera Instancia núm. 6 de Alcobendas en el procedimiento de jurisdicción voluntaria núm. 118-2022, sobre desacuerdo en el ejercicio de la patria potestad sobre descendiente común menor de edad. Han intervenido doña P.G.R., madre del menor y excónyuge del recurrente en amparo, representada por la procuradora de los tribunales doña María Soledad Castañeda González, con la dirección jurídica de la letrada doña Pilar Val Valls, así como el Ministerio Fiscal. Ha sido ponente el magistrado don Juan Carlos Campo Moreno.</w:t>
      </w:r>
    </w:p>
    <w:p w14:paraId="743CFEBF" w14:textId="55D534FA" w:rsidR="00A8138F" w:rsidRDefault="00A8138F" w:rsidP="00A8138F">
      <w:pPr>
        <w:pStyle w:val="TextoNormal"/>
      </w:pPr>
    </w:p>
    <w:p w14:paraId="21B7C87B" w14:textId="77777777" w:rsidR="00A8138F" w:rsidRDefault="00A8138F" w:rsidP="00A8138F">
      <w:pPr>
        <w:pStyle w:val="TextoNormalNegritaCentrado"/>
        <w:keepNext/>
      </w:pPr>
      <w:r>
        <w:t>I. Antecedentes</w:t>
      </w:r>
    </w:p>
    <w:p w14:paraId="6A50E7A6" w14:textId="3CD3BAF3" w:rsidR="00A8138F" w:rsidRDefault="00A8138F" w:rsidP="00A8138F">
      <w:pPr>
        <w:pStyle w:val="TextoNormalNegritaCentrado"/>
        <w:keepNext/>
      </w:pPr>
    </w:p>
    <w:p w14:paraId="0AF71230" w14:textId="5F8BB044" w:rsidR="00A8138F" w:rsidRDefault="00A8138F" w:rsidP="00A8138F">
      <w:pPr>
        <w:pStyle w:val="TextoNormal"/>
      </w:pPr>
      <w:r w:rsidRPr="00A8138F">
        <w:rPr>
          <w:rStyle w:val="NumeroAFNegritaCaracter"/>
        </w:rPr>
        <w:t>1</w:t>
      </w:r>
      <w:r>
        <w:t>. Mediante escrito de 27 de febrero de 2023, el procurador de los tribunales don Álvaro Carrasco Posada, en nombre y representación de don M.J.B.D., formuló recurso de amparo contra el auto de 13 de enero de 2023, dictado en apelación, por el que la Sección Vigesimosegunda de la Audiencia Provincial de Madrid ratificó el auto de 27 de mayo de 2022, dictado por el Juzgado de Primera Instancia núm. 6 de Alcobendas en el procedimiento de jurisdicción voluntaria núm. 118-2022, sobre desacuerdo en el ejercicio de la patria potestad sobre descendiente común menor de edad, relativo a la formación religiosa que este debe recibir.</w:t>
      </w:r>
    </w:p>
    <w:p w14:paraId="5656D89D" w14:textId="77777777" w:rsidR="00A8138F" w:rsidRDefault="00A8138F" w:rsidP="00A8138F">
      <w:pPr>
        <w:pStyle w:val="TextoNormal"/>
      </w:pPr>
    </w:p>
    <w:p w14:paraId="1804C0F0" w14:textId="77777777" w:rsidR="00A8138F" w:rsidRDefault="00A8138F" w:rsidP="00A8138F">
      <w:pPr>
        <w:pStyle w:val="TextoNormal"/>
      </w:pPr>
      <w:r w:rsidRPr="00A8138F">
        <w:rPr>
          <w:rStyle w:val="NumeroAFNegritaCaracter"/>
        </w:rPr>
        <w:t>2</w:t>
      </w:r>
      <w:r>
        <w:t>. Son hechos relevantes para la resolución del presente recurso de amparo los siguientes:</w:t>
      </w:r>
    </w:p>
    <w:p w14:paraId="5425DAEF" w14:textId="77777777" w:rsidR="00A8138F" w:rsidRDefault="00A8138F" w:rsidP="00A8138F">
      <w:pPr>
        <w:pStyle w:val="TextoNormal"/>
      </w:pPr>
    </w:p>
    <w:p w14:paraId="55E0EC02" w14:textId="77777777" w:rsidR="00A8138F" w:rsidRDefault="00A8138F" w:rsidP="00A8138F">
      <w:pPr>
        <w:pStyle w:val="TextoNormal"/>
      </w:pPr>
      <w:r>
        <w:t>a) En el citado expediente de jurisdicción voluntaria, la excónyuge del demandante de amparo, alegando que este último llevaba a la iglesia evangélica al hijo común menor de edad (nacido en 2016) y le enseñaba pasajes bíblicos en el dispositivo electrónico que utilizaba (</w:t>
      </w:r>
      <w:r w:rsidRPr="00A8138F">
        <w:rPr>
          <w:i/>
        </w:rPr>
        <w:t>tablet</w:t>
      </w:r>
      <w:r>
        <w:t>), adoctrinándole en la fe evangélica, solicitó el 14 de febrero de 2022 que se le atribuyera el ejercicio exclusivo de la patria potestad respecto de la facultad de decidir sobre la formación religiosa del menor hasta que alcanzara doce años de edad, con prohibición expresa al otro progenitor de realizar las conductas y prácticas religiosas descritas.</w:t>
      </w:r>
    </w:p>
    <w:p w14:paraId="7359DB39" w14:textId="77777777" w:rsidR="00A8138F" w:rsidRDefault="00A8138F" w:rsidP="00A8138F">
      <w:pPr>
        <w:pStyle w:val="TextoNormal"/>
      </w:pPr>
    </w:p>
    <w:p w14:paraId="03CAD7AF" w14:textId="77777777" w:rsidR="00A8138F" w:rsidRDefault="00A8138F" w:rsidP="00A8138F">
      <w:pPr>
        <w:pStyle w:val="TextoNormal"/>
      </w:pPr>
      <w:r>
        <w:t>b) Mediante auto de 27 de mayo de 2022, el Juzgado de Primera Instancia núm. 6 de Alcobendas estimó la petición de la madre, tras considerar lo siguiente:</w:t>
      </w:r>
    </w:p>
    <w:p w14:paraId="655895A2" w14:textId="77777777" w:rsidR="00A8138F" w:rsidRDefault="00A8138F" w:rsidP="00A8138F">
      <w:pPr>
        <w:pStyle w:val="TextoNormal"/>
      </w:pPr>
    </w:p>
    <w:p w14:paraId="7D3C7CD9" w14:textId="77777777" w:rsidR="00A8138F" w:rsidRDefault="00A8138F" w:rsidP="00A8138F">
      <w:pPr>
        <w:pStyle w:val="TextoNormal"/>
      </w:pPr>
      <w:r>
        <w:t>“[E]l artículo 2.1 c) de la Ley Orgánica de libertad religiosa [Ley Orgánica 7/1980, de 5 de julio], que coincide con el párrafo tercero del artículo 27 de la Constitución, señala el derecho de los padres de elegir para sí y para los menores no emancipados e incapacitados, bajo su dependencia, dentro y fuera del ámbito escolar, la educación religiosa y moral que esté de acuerdo con sus propias convicciones. No obstante, este derecho de los padres tendrá que compaginarse con lo que dispone el párrafo tercero del artículo 6 de la Ley Orgánica de protección jurídica del menor, donde se establece que los padres únicamente deben cooperar con el menor para que este ejerza su derecho de libertad religiosa.</w:t>
      </w:r>
    </w:p>
    <w:p w14:paraId="392B9CF3" w14:textId="77777777" w:rsidR="00A8138F" w:rsidRDefault="00A8138F" w:rsidP="00A8138F">
      <w:pPr>
        <w:pStyle w:val="TextoNormal"/>
      </w:pPr>
    </w:p>
    <w:p w14:paraId="686208BD" w14:textId="77777777" w:rsidR="00A8138F" w:rsidRDefault="00A8138F" w:rsidP="00A8138F">
      <w:pPr>
        <w:pStyle w:val="TextoNormal"/>
      </w:pPr>
      <w:r>
        <w:t>En consecuencia, en el caso de que todavía no se haya formado esta, la solución más adecuada es la formación en los valores de ambos progenitores, excluyendo la adscripción efectiva de los menores a una confesión religiosa hasta que alcancen suficiente madurez para tomar esa decisión por sí mismos, puesto que [de no ser así se] impediría la posibilidad de una formación plural que respete el derecho de ambos progenitores a educar a sus hijos de conformidad con sus propias convicciones, es decir, a guiarlos en el ejercicio de su libertad religiosa hasta que puedan ejercitarlo plenamente.</w:t>
      </w:r>
    </w:p>
    <w:p w14:paraId="6399D75E" w14:textId="77777777" w:rsidR="00A8138F" w:rsidRDefault="00A8138F" w:rsidP="00A8138F">
      <w:pPr>
        <w:pStyle w:val="TextoNormal"/>
      </w:pPr>
    </w:p>
    <w:p w14:paraId="4EADD4BA" w14:textId="77777777" w:rsidR="00A8138F" w:rsidRDefault="00A8138F" w:rsidP="00A8138F">
      <w:pPr>
        <w:pStyle w:val="TextoNormal"/>
      </w:pPr>
      <w:r>
        <w:t>En definitiva, mientras [el menor], que cumplirá pronto 6 años […], no tenga la suficiente madurez deberán ser los padres quienes, de común acuerdo, elijan su formación religiosa y moral. Alcanzada esta, los padres tendrán que cooperar con el menor para que este vea satisfecho el ejercicio de su libertad religiosa.</w:t>
      </w:r>
    </w:p>
    <w:p w14:paraId="4F095809" w14:textId="77777777" w:rsidR="00A8138F" w:rsidRDefault="00A8138F" w:rsidP="00A8138F">
      <w:pPr>
        <w:pStyle w:val="TextoNormal"/>
      </w:pPr>
    </w:p>
    <w:p w14:paraId="28F26A3E" w14:textId="77777777" w:rsidR="00A8138F" w:rsidRDefault="00A8138F" w:rsidP="00A8138F">
      <w:pPr>
        <w:pStyle w:val="TextoNormal"/>
      </w:pPr>
      <w:r>
        <w:t>En este supuesto, en que el menor no puede decidir y no se alcanza un acuerdo por parte de los progenitores, la resolución debe adoptarse teniendo en cuenta, pues, la preservación de la identidad religiosa del menor”.</w:t>
      </w:r>
    </w:p>
    <w:p w14:paraId="6EF87C42" w14:textId="77777777" w:rsidR="00A8138F" w:rsidRDefault="00A8138F" w:rsidP="00A8138F">
      <w:pPr>
        <w:pStyle w:val="TextoNormal"/>
      </w:pPr>
    </w:p>
    <w:p w14:paraId="01991F9D" w14:textId="77777777" w:rsidR="00A8138F" w:rsidRDefault="00A8138F" w:rsidP="00A8138F">
      <w:pPr>
        <w:pStyle w:val="TextoNormal"/>
      </w:pPr>
      <w:r>
        <w:t xml:space="preserve">Con apoyo en dichas consideraciones, el juzgador estimó la solicitud presentada, y acordó “otorgar a la madre del menor el ejercicio exclusivo de la patria potestad, respecto de la facultad de decidir sobre las decisiones de formación religiosa del menor hasta que tenga doce años, mediante la formación en valores de su hijo [...], excluyendo, la adscripción efectiva a una confesión religiosa, y en consecuencia, prohibiendo expresamente al padre a llevar a su hijo […], a la iglesia evangélica, ponerle pasajes bíblicos en la </w:t>
      </w:r>
      <w:r w:rsidRPr="00A8138F">
        <w:rPr>
          <w:i/>
        </w:rPr>
        <w:t>tablet</w:t>
      </w:r>
      <w:r>
        <w:t>, y, en suma, adoctrinarle en la fe evangélica”.</w:t>
      </w:r>
    </w:p>
    <w:p w14:paraId="43E57494" w14:textId="77777777" w:rsidR="00A8138F" w:rsidRDefault="00A8138F" w:rsidP="00A8138F">
      <w:pPr>
        <w:pStyle w:val="TextoNormal"/>
      </w:pPr>
    </w:p>
    <w:p w14:paraId="3FCF9B8C" w14:textId="77777777" w:rsidR="00A8138F" w:rsidRDefault="00A8138F" w:rsidP="00A8138F">
      <w:pPr>
        <w:pStyle w:val="TextoNormal"/>
      </w:pPr>
      <w:r>
        <w:t>c) El progenitor excluido, ahora recurrente en amparo, interpuso recurso de apelación frente al auto parcialmente transcrito, que fue desestimado por auto de 13 de enero de 2023.</w:t>
      </w:r>
    </w:p>
    <w:p w14:paraId="00FA5476" w14:textId="77777777" w:rsidR="00A8138F" w:rsidRDefault="00A8138F" w:rsidP="00A8138F">
      <w:pPr>
        <w:pStyle w:val="TextoNormal"/>
      </w:pPr>
    </w:p>
    <w:p w14:paraId="38175174" w14:textId="77777777" w:rsidR="00A8138F" w:rsidRDefault="00A8138F" w:rsidP="00A8138F">
      <w:pPr>
        <w:pStyle w:val="TextoNormal"/>
      </w:pPr>
      <w:r>
        <w:t>La Audiencia Provincial de Madrid, argumentó lo siguiente:</w:t>
      </w:r>
    </w:p>
    <w:p w14:paraId="20D954AB" w14:textId="77777777" w:rsidR="00A8138F" w:rsidRDefault="00A8138F" w:rsidP="00A8138F">
      <w:pPr>
        <w:pStyle w:val="TextoNormal"/>
      </w:pPr>
    </w:p>
    <w:p w14:paraId="1874EFEF" w14:textId="77777777" w:rsidR="00A8138F" w:rsidRDefault="00A8138F" w:rsidP="00A8138F">
      <w:pPr>
        <w:pStyle w:val="TextoNormal"/>
      </w:pPr>
      <w:r>
        <w:t>“[H]emos de hacer prevalecer en la alzada el criterio decisorio del juez de primer grado, como correcto, ajustado al ordenamiento jurídico y doctrina que lo interpreta, sin que ningún error se evidencie cometido por su parte, ya de valoración del material probatorio obrante en autos, ya de aplicación o interpretación de la norma en vigor.</w:t>
      </w:r>
    </w:p>
    <w:p w14:paraId="08C0F494" w14:textId="77777777" w:rsidR="00A8138F" w:rsidRDefault="00A8138F" w:rsidP="00A8138F">
      <w:pPr>
        <w:pStyle w:val="TextoNormal"/>
      </w:pPr>
    </w:p>
    <w:p w14:paraId="201E0578" w14:textId="77777777" w:rsidR="00A8138F" w:rsidRDefault="00A8138F" w:rsidP="00A8138F">
      <w:pPr>
        <w:pStyle w:val="TextoNormal"/>
      </w:pPr>
      <w:r>
        <w:t>En efecto, es aquí lo único cierto y verdad que los progenitores, de común acuerdo constante la convivencia pacífica, decidieron que el menor de edad […], no recibiera formación religiosa, ni adoctrinamiento en religión, por lo que no fue bautizado, ni se le imparten clases de religión en el centro escolar en el que viene [estando] matriculado, donde se le educa en valores.</w:t>
      </w:r>
    </w:p>
    <w:p w14:paraId="1FB4213D" w14:textId="77777777" w:rsidR="00A8138F" w:rsidRDefault="00A8138F" w:rsidP="00A8138F">
      <w:pPr>
        <w:pStyle w:val="TextoNormal"/>
      </w:pPr>
    </w:p>
    <w:p w14:paraId="01496DA3" w14:textId="77777777" w:rsidR="00A8138F" w:rsidRDefault="00A8138F" w:rsidP="00A8138F">
      <w:pPr>
        <w:pStyle w:val="TextoNormal"/>
      </w:pPr>
      <w:r>
        <w:t>Consecuentemente con ello, y sin descalificar en modo alguno al padre por profesar una religión, no es dable ahora a este desdecirse de lo convenido y prescindir de la opinión de la madre infundiendo al menor una determinada creencia religiosa, sin perjuicio de que, cuando [el menor] alcance la edad indicada en el auto apelado, en disposición del grado suficiente de madurez, juicio y criterio, pueda manifestar inquietudes religiosas y profesar la religión del padre, nada de lo cual afecta a la libertad de culto de este, puesto que puede por sí mismo [don M.J.B.D.] acudir a los oficios religiosos y actos de culto que se celebren en la iglesia evangélica, debiendo tan solo abstenerse de hacerse acompañar a los mismos por el niño, así como de los actos especificados en el auto recurrido.</w:t>
      </w:r>
    </w:p>
    <w:p w14:paraId="028F8EFE" w14:textId="77777777" w:rsidR="00A8138F" w:rsidRDefault="00A8138F" w:rsidP="00A8138F">
      <w:pPr>
        <w:pStyle w:val="TextoNormal"/>
      </w:pPr>
    </w:p>
    <w:p w14:paraId="6C0529CA" w14:textId="1828B448" w:rsidR="00A8138F" w:rsidRDefault="00A8138F" w:rsidP="00A8138F">
      <w:pPr>
        <w:pStyle w:val="TextoNormal"/>
      </w:pPr>
      <w:r>
        <w:t>En definitiva, la decisión adoptada es acorde a lo dispuesto en el artículo 14.2 de la Convención de derechos del niño, en el que se expresa que la libertad de religión del niño es sin perjuicio de los derechos y deberes de los padres y, en su caso, de los representantes legales, de guiar al niño en el ejercicio de su derecho de modo acorde a la evolución de sus facultades; como lo es al contenido del artículo 6 de la Ley Orgánica 8/2015, de 22 de julio, de modificación del sistema de protección a la infancia y a la adolescencia, que establece en su número 1 que el menor tiene derecho a la libertad de ideología, conciencia y religión, así como en su número 3, que expresa que los padres y tutores tienen el derecho y el deber de cooperar para que el menor ejerza esa libertad de modo que contribuya a su desarrollo integral”.</w:t>
      </w:r>
    </w:p>
    <w:p w14:paraId="40B5CE48" w14:textId="77777777" w:rsidR="00A8138F" w:rsidRDefault="00A8138F" w:rsidP="00A8138F">
      <w:pPr>
        <w:pStyle w:val="TextoNormal"/>
      </w:pPr>
    </w:p>
    <w:p w14:paraId="07AB1327" w14:textId="77777777" w:rsidR="00A8138F" w:rsidRDefault="00A8138F" w:rsidP="00A8138F">
      <w:pPr>
        <w:pStyle w:val="TextoNormal"/>
      </w:pPr>
      <w:r w:rsidRPr="00A8138F">
        <w:rPr>
          <w:rStyle w:val="NumeroAFNegritaCaracter"/>
        </w:rPr>
        <w:t>3</w:t>
      </w:r>
      <w:r>
        <w:t>. En su demanda de amparo el recurrente aduce:</w:t>
      </w:r>
    </w:p>
    <w:p w14:paraId="2F560734" w14:textId="77777777" w:rsidR="00A8138F" w:rsidRDefault="00A8138F" w:rsidP="00A8138F">
      <w:pPr>
        <w:pStyle w:val="TextoNormal"/>
      </w:pPr>
    </w:p>
    <w:p w14:paraId="7058A266" w14:textId="77777777" w:rsidR="00A8138F" w:rsidRDefault="00A8138F" w:rsidP="00A8138F">
      <w:pPr>
        <w:pStyle w:val="TextoNormal"/>
      </w:pPr>
      <w:r>
        <w:t>(i) La vulneración de su derecho a la libertad religiosa (art. 16.1 CE), al entender que las resoluciones judiciales impugnadas le impiden, en su esfera privada, compartir o enseñar a su hijo su fe o valores, atribuyendo en exclusiva a la madre, por el contrario, un derecho de veto sobre su libertad religiosa y la del menor, de modo que solo ella pueda decidir sobre la formación religiosa del segundo. Considera que atribuir esta facultad en exclusiva a la madre es discriminatorio. Estima que la resolución se basa en un criterio de continuidad pero, sin embargo, nunca se acordó entre las partes o se prohibió al hijo acompañar al padre a la iglesia evangélica, como tampoco se acordó que la madre no pudiera llevarle a otra iglesia. Por ello, considera que han sido vulnerados los arts. 10.2 y 16.1 CE, el art. 9 del Convenio europeo de derechos humanos (CEDH), el art. 2 del Protocolo núm. 1 al CEDH, y el art. 2 c) de la Ley Orgánica de libertad religiosa (LOLR).</w:t>
      </w:r>
    </w:p>
    <w:p w14:paraId="28D1FED5" w14:textId="77777777" w:rsidR="00A8138F" w:rsidRDefault="00A8138F" w:rsidP="00A8138F">
      <w:pPr>
        <w:pStyle w:val="TextoNormal"/>
      </w:pPr>
    </w:p>
    <w:p w14:paraId="31CD9EBE" w14:textId="77777777" w:rsidR="00A8138F" w:rsidRDefault="00A8138F" w:rsidP="00A8138F">
      <w:pPr>
        <w:pStyle w:val="TextoNormal"/>
      </w:pPr>
      <w:r>
        <w:t>Afirma que si la madre no está conforme con la perspectiva moral del recurrente, puede mostrar otras alternativas al hijo desde el respeto al interés prevalente del menor, para que en su día pueda decidir libremente, pero no puede prohibir al padre compartir su fe con su hijo, del mismo modo que el padre no se opone a que la madre le muestre otras alternativas. Añade que podría haberse resuelto que los padres tuvieran prohibida la adscripción efectiva del menor a ninguna confesión, pero no impedir a un progenitor compartir su fe y creencias con el menor, acompañarle a la iglesia y leerle la Biblia. Considera la resolución desproporcionada y discriminatoria dado que, según alega, el derecho de los padres a transmitir a sus hijos la fe constituye una manifestación del contenido individual del derecho a la libertad religiosa, siempre que sea respetada la libertad del menor. Cita las SSTC 141/2000, de 29 de mayo, y 154/2002, de 18 de julio, el art. 14.2 de la Convención de derechos del niño, el art. 6.3 de la Ley Orgánica de protección jurídica del menor (LOPJM) y el art. 2.1 a) y c) LOLR.</w:t>
      </w:r>
    </w:p>
    <w:p w14:paraId="620FAF03" w14:textId="77777777" w:rsidR="00A8138F" w:rsidRDefault="00A8138F" w:rsidP="00A8138F">
      <w:pPr>
        <w:pStyle w:val="TextoNormal"/>
      </w:pPr>
    </w:p>
    <w:p w14:paraId="1D2D14B0" w14:textId="77777777" w:rsidR="00A8138F" w:rsidRDefault="00A8138F" w:rsidP="00A8138F">
      <w:pPr>
        <w:pStyle w:val="TextoNormal"/>
      </w:pPr>
      <w:r>
        <w:t>Considera, en definitiva, que no se ha desplegado prueba alguna que permita acreditar que la educación que le va a dispensar el recurrente a su hijo pueda anular el libre desarrollo integral del menor y su capacidad de autodeterminación futura respecto al hecho religioso.</w:t>
      </w:r>
    </w:p>
    <w:p w14:paraId="6625F72E" w14:textId="77777777" w:rsidR="00A8138F" w:rsidRDefault="00A8138F" w:rsidP="00A8138F">
      <w:pPr>
        <w:pStyle w:val="TextoNormal"/>
      </w:pPr>
    </w:p>
    <w:p w14:paraId="1DDFA1CF" w14:textId="77777777" w:rsidR="00A8138F" w:rsidRDefault="00A8138F" w:rsidP="00A8138F">
      <w:pPr>
        <w:pStyle w:val="TextoNormal"/>
      </w:pPr>
      <w:r>
        <w:t>(ii) Por otra parte, alega también la vulneración de su derecho a que su hijo reciba la formación religiosa y moral que esté de acuerdo con sus propias convicciones (art. 27.3 CE). Entiende que las resoluciones judiciales privan de este derecho al recurrente y se lo atribuye en exclusiva a la madre hasta que el menor tenga doce años, lo que adicionalmente conlleva una discriminación por razón de religión o creencia, que es contraria al contenido protegido por el art. 14 CE. Añade que la formación religiosa no es perjudicial para los hijos, sino que permite transmitirles valores, si bien reconoce que para transmitir estos últimos no es imprescindible la religión. Con cita de los mismos preceptos y del art. 14 de la Convención de los derechos del niño, sostiene que los padres pueden hacer proselitismo, porque forma parte del contenido de su derecho a la libertad religiosa, con el único límite que supone proteger la integridad moral del menor y su propio derecho de libertad religiosa.</w:t>
      </w:r>
    </w:p>
    <w:p w14:paraId="2976C9B9" w14:textId="77777777" w:rsidR="00A8138F" w:rsidRDefault="00A8138F" w:rsidP="00A8138F">
      <w:pPr>
        <w:pStyle w:val="TextoNormal"/>
      </w:pPr>
    </w:p>
    <w:p w14:paraId="2EAD7EDD" w14:textId="4D257D39" w:rsidR="00A8138F" w:rsidRDefault="00A8138F" w:rsidP="00A8138F">
      <w:pPr>
        <w:pStyle w:val="TextoNormal"/>
      </w:pPr>
      <w:r>
        <w:t>Por último, el recurrente solicitó en su demanda la suspensión cautelar de las resoluciones judiciales impugnadas.</w:t>
      </w:r>
    </w:p>
    <w:p w14:paraId="2015B571" w14:textId="77777777" w:rsidR="00A8138F" w:rsidRDefault="00A8138F" w:rsidP="00A8138F">
      <w:pPr>
        <w:pStyle w:val="TextoNormal"/>
      </w:pPr>
    </w:p>
    <w:p w14:paraId="6C88788D" w14:textId="77777777" w:rsidR="00A8138F" w:rsidRDefault="00A8138F" w:rsidP="00A8138F">
      <w:pPr>
        <w:pStyle w:val="TextoNormal"/>
      </w:pPr>
      <w:r w:rsidRPr="00A8138F">
        <w:rPr>
          <w:rStyle w:val="NumeroAFNegritaCaracter"/>
        </w:rPr>
        <w:t>4</w:t>
      </w:r>
      <w:r>
        <w:t>. La Sección Segunda del Tribunal, mediante providencia de 3 de julio de 2023, acordó admitir a trámite el recurso de amparo, apreciando que concurre en el mismo una especial trascendencia constitucional [art. 50.1 de la Ley Orgánica del Tribunal Constitucional (LOTC)] porque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14:paraId="0219D68C" w14:textId="77777777" w:rsidR="00A8138F" w:rsidRDefault="00A8138F" w:rsidP="00A8138F">
      <w:pPr>
        <w:pStyle w:val="TextoNormal"/>
      </w:pPr>
    </w:p>
    <w:p w14:paraId="1EC51666" w14:textId="3DCD5ED8" w:rsidR="00A8138F" w:rsidRDefault="00A8138F" w:rsidP="00A8138F">
      <w:pPr>
        <w:pStyle w:val="TextoNormal"/>
      </w:pPr>
      <w:r>
        <w:t>Se acordó, asimismo, en aplicación de lo dispuesto en el art. 51 LOTC, dirigir atenta comunicación a los órganos judiciales de instancia y apelación a fin de que, en un plazo que no excediera de diez días, remitieran certificación o fotocopia adverada de las actuaciones procesales; debiendo previamente emplazarse, para que en el plazo de diez días pudieran comparecer en el recurso de amparo, a quienes hubieran sido parte en el procedimiento. Finalmente, se acordó, de acuerdo con lo solicitado por el recurrente, la formación de la correspondiente pieza separada de suspensión.</w:t>
      </w:r>
    </w:p>
    <w:p w14:paraId="77892DB9" w14:textId="77777777" w:rsidR="00A8138F" w:rsidRDefault="00A8138F" w:rsidP="00A8138F">
      <w:pPr>
        <w:pStyle w:val="TextoNormal"/>
      </w:pPr>
    </w:p>
    <w:p w14:paraId="35235C4F" w14:textId="28990AC8" w:rsidR="00A8138F" w:rsidRDefault="00A8138F" w:rsidP="00A8138F">
      <w:pPr>
        <w:pStyle w:val="TextoNormal"/>
      </w:pPr>
      <w:r w:rsidRPr="00A8138F">
        <w:rPr>
          <w:rStyle w:val="NumeroAFNegritaCaracter"/>
        </w:rPr>
        <w:t>5</w:t>
      </w:r>
      <w:r>
        <w:t>. Mediante escrito de 31 de julio de 2023, doña P.G.R. (madre del menor) se personó en el presente proceso de amparo representada por la procuradora doña María Soledad Castañeda González.</w:t>
      </w:r>
    </w:p>
    <w:p w14:paraId="25E3CF24" w14:textId="77777777" w:rsidR="00A8138F" w:rsidRDefault="00A8138F" w:rsidP="00A8138F">
      <w:pPr>
        <w:pStyle w:val="TextoNormal"/>
      </w:pPr>
    </w:p>
    <w:p w14:paraId="63730D1E" w14:textId="77777777" w:rsidR="00A8138F" w:rsidRDefault="00A8138F" w:rsidP="00A8138F">
      <w:pPr>
        <w:pStyle w:val="TextoNormal"/>
      </w:pPr>
      <w:r w:rsidRPr="00A8138F">
        <w:rPr>
          <w:rStyle w:val="NumeroAFNegritaCaracter"/>
        </w:rPr>
        <w:t>6</w:t>
      </w:r>
      <w:r>
        <w:t>. Por diligencia de ordenación de 1 de septiembre de 2023, se tuvieron por recibidos los testimonios de las actuaciones remitidos por los órganos judiciales y se tuvo por personada y parte a la procuradora doña María Soledad Castañeda González.</w:t>
      </w:r>
    </w:p>
    <w:p w14:paraId="3DD5E16D" w14:textId="77777777" w:rsidR="00A8138F" w:rsidRDefault="00A8138F" w:rsidP="00A8138F">
      <w:pPr>
        <w:pStyle w:val="TextoNormal"/>
      </w:pPr>
    </w:p>
    <w:p w14:paraId="0328BEEA" w14:textId="76A84F62" w:rsidR="00A8138F" w:rsidRDefault="00A8138F" w:rsidP="00A8138F">
      <w:pPr>
        <w:pStyle w:val="TextoNormal"/>
      </w:pPr>
      <w:r>
        <w:t>Y, a tenor de lo dispuesto en el art. 52 LOTC, se acordó dar vista, a través de la sede electrónica del Tribunal, de todas las actuaciones del presente recurso de amparo, por un plazo común de veinte días, al Ministerio Fiscal y a las partes personadas, para que dentro de dicho término pudieran presentar las alegaciones que a su derecho convenga.</w:t>
      </w:r>
    </w:p>
    <w:p w14:paraId="6B3AA6C6" w14:textId="77777777" w:rsidR="00A8138F" w:rsidRDefault="00A8138F" w:rsidP="00A8138F">
      <w:pPr>
        <w:pStyle w:val="TextoNormal"/>
      </w:pPr>
    </w:p>
    <w:p w14:paraId="24563750" w14:textId="1A94C4A4" w:rsidR="00A8138F" w:rsidRDefault="00A8138F" w:rsidP="00A8138F">
      <w:pPr>
        <w:pStyle w:val="TextoNormal"/>
      </w:pPr>
      <w:r w:rsidRPr="00A8138F">
        <w:rPr>
          <w:rStyle w:val="NumeroAFNegritaCaracter"/>
        </w:rPr>
        <w:t>7</w:t>
      </w:r>
      <w:r>
        <w:t>. El recurrente formuló alegaciones por escrito el 2 de octubre de 2023, remitiéndose al contenido de su demanda.</w:t>
      </w:r>
    </w:p>
    <w:p w14:paraId="734EAF98" w14:textId="77777777" w:rsidR="00A8138F" w:rsidRDefault="00A8138F" w:rsidP="00A8138F">
      <w:pPr>
        <w:pStyle w:val="TextoNormal"/>
      </w:pPr>
    </w:p>
    <w:p w14:paraId="04E72EEA" w14:textId="77777777" w:rsidR="00A8138F" w:rsidRDefault="00A8138F" w:rsidP="00A8138F">
      <w:pPr>
        <w:pStyle w:val="TextoNormal"/>
      </w:pPr>
      <w:r w:rsidRPr="00A8138F">
        <w:rPr>
          <w:rStyle w:val="NumeroAFNegritaCaracter"/>
        </w:rPr>
        <w:t>8</w:t>
      </w:r>
      <w:r>
        <w:t>. Mediante escrito de la misma fecha, la representación procesal de doña P.G.R., formuló sus alegaciones. Solicita en ellas la inadmisión del recurso de amparo por considerar que el recurrente no ha justificado adecuadamente en la demanda su especial trascendencia constitucional, lo que debe llevar a que el Tribunal inadmita el recurso por incurrir en tal defecto de carácter insubsanable.</w:t>
      </w:r>
    </w:p>
    <w:p w14:paraId="6A9D7DA1" w14:textId="77777777" w:rsidR="00A8138F" w:rsidRDefault="00A8138F" w:rsidP="00A8138F">
      <w:pPr>
        <w:pStyle w:val="TextoNormal"/>
      </w:pPr>
    </w:p>
    <w:p w14:paraId="2C615018" w14:textId="77777777" w:rsidR="00A8138F" w:rsidRDefault="00A8138F" w:rsidP="00A8138F">
      <w:pPr>
        <w:pStyle w:val="TextoNormal"/>
      </w:pPr>
      <w:r>
        <w:t>En cuanto al fondo, recuerda que el núcleo esencial de la libertad religiosa, al igual que ocurre con la libertad ideológica, es interno, pertenece a la esfera íntima del individuo y está constituido por la libertad que ha de tener toda persona para formar por voluntad propia sus convicciones personales en materia de religión. No obstante, recuerda que ninguna libertad es absoluta o ilimitada y tampoco puede serlo la libertad religiosa. Si bien la libertad religiosa tiene una vertiente interna difícilmente limitable, cuando las percepciones internas trascienden al orden exterior perturbando la convivencia es cuando han de operar los mecanismos limitadores de esa libertad. Por ello, entiende que es evidente que, en el asunto enjuiciado, además de la libertad religiosa del recurrente, el menor también es titular del derecho fundamental de libertad religiosa. Es más, a la controversia jurídica planteada se debe unir también el respeto al derecho a la libertad religiosa del otro progenitor, es decir, en este caso de la madre, máxime cuando existe desacuerdo entre los progenitores sobre el ejercicio de la patria potestad compartida.</w:t>
      </w:r>
    </w:p>
    <w:p w14:paraId="3F68D1AD" w14:textId="77777777" w:rsidR="00A8138F" w:rsidRDefault="00A8138F" w:rsidP="00A8138F">
      <w:pPr>
        <w:pStyle w:val="TextoNormal"/>
      </w:pPr>
    </w:p>
    <w:p w14:paraId="1F736071" w14:textId="77777777" w:rsidR="00A8138F" w:rsidRDefault="00A8138F" w:rsidP="00A8138F">
      <w:pPr>
        <w:pStyle w:val="TextoNormal"/>
      </w:pPr>
      <w:r>
        <w:t>Considera que la libertad religiosa del recurrente en su vertiente o dimensión interna no se ha visto vulnerada ni dañada por las resoluciones judiciales cuestionadas, desde el momento en que el padre tiene libertad absoluta de profesar la religión evangélica, realizar todas las actividades de culto intrínsecas a dicha religión y vivirlas como y cuando quiera. Cuestión bien distinta es la pretensión que se deduce por el recurrente cuando invoca el artículo 16.1 CE para el amparo de su propia conducta, sin valorar la incidencia directa sobre la ajena; es decir, aspira a reclamar también protección para efectuar manifestaciones externas de sus creencias, esto es, no para defenderse frente a las inmisiones de terceros en la libertad de creer o no creer, sino para reivindicar el derecho de hacerles partícipes de un modo u otro de las propias convicciones e incidir o condicionar el comportamiento ajeno en función de las mismas. Es precisamente en este aspecto cuando su hijo menor aparece como el más directamente afectado por el ejercicio de la libertad de creencias del recurrente.</w:t>
      </w:r>
    </w:p>
    <w:p w14:paraId="5CB76C12" w14:textId="77777777" w:rsidR="00A8138F" w:rsidRDefault="00A8138F" w:rsidP="00A8138F">
      <w:pPr>
        <w:pStyle w:val="TextoNormal"/>
      </w:pPr>
    </w:p>
    <w:p w14:paraId="23B21740" w14:textId="77777777" w:rsidR="00A8138F" w:rsidRDefault="00A8138F" w:rsidP="00A8138F">
      <w:pPr>
        <w:pStyle w:val="TextoNormal"/>
      </w:pPr>
      <w:r>
        <w:t>Tras recordar la normativa internacional aplicable al caso, explica que la libertad religiosa del menor es un derecho personalísimo y respecto de ella no cabe la representación; y si, en algún caso, los padres o tutores deben decidir en este ámbito por el menor sometido a su potestad, por su falta de madurez física o mental, lo harán no tanto como sus representantes, sino en cumplimiento de su deber de velar por él, respetando siempre la dignidad de su persona y el libre desarrollo de su personalidad de modo que, en ningún caso se le pueda imponer al menor con capacidad de decidir por sí mismo una decisión contraria a su voluntad, y si no tuviere dicha capacidad, como sucede en este caso, los progenitores deberán siempre actuar en su interés.</w:t>
      </w:r>
    </w:p>
    <w:p w14:paraId="6DD88D8C" w14:textId="77777777" w:rsidR="00A8138F" w:rsidRDefault="00A8138F" w:rsidP="00A8138F">
      <w:pPr>
        <w:pStyle w:val="TextoNormal"/>
      </w:pPr>
    </w:p>
    <w:p w14:paraId="74BAC7A9" w14:textId="77777777" w:rsidR="00A8138F" w:rsidRDefault="00A8138F" w:rsidP="00A8138F">
      <w:pPr>
        <w:pStyle w:val="TextoNormal"/>
      </w:pPr>
      <w:r>
        <w:t xml:space="preserve">Añade que no es relevante para el enjuiciamiento de este asunto que el recurrente no haya adscrito a su hijo a la confesión evangélica; lo realmente importante, que adquiere un grado de significación elevado, es que, </w:t>
      </w:r>
      <w:r w:rsidRPr="00A8138F">
        <w:rPr>
          <w:i/>
        </w:rPr>
        <w:t>per se</w:t>
      </w:r>
      <w:r>
        <w:t>, dirigir a un menor de menos de siete años a los actos de culto que se practican en la iglesia evangélica, acompañando a su padre, participar de las actividades eclesiales, presentarle la Biblia como regla fundamental de fe y conducta, denota inevitablemente adherirle a determinados valores e indicarle caminos ya definidos para orientar su comportamiento.</w:t>
      </w:r>
    </w:p>
    <w:p w14:paraId="2CED6597" w14:textId="77777777" w:rsidR="00A8138F" w:rsidRDefault="00A8138F" w:rsidP="00A8138F">
      <w:pPr>
        <w:pStyle w:val="TextoNormal"/>
      </w:pPr>
    </w:p>
    <w:p w14:paraId="59F297C9" w14:textId="77777777" w:rsidR="00A8138F" w:rsidRDefault="00A8138F" w:rsidP="00A8138F">
      <w:pPr>
        <w:pStyle w:val="TextoNormal"/>
      </w:pPr>
      <w:r>
        <w:t>Considera además que la única limitación al derecho a la libertad religiosa del recurrente es que hasta los doce años de edad del menor se abstenga de realizar actividades de práctica religiosa con su hijo que se hallen dirigidas exclusivamente a venerar el culto de la religión evangélica, por una sencilla razón: la práctica de las convicciones de esta religión, impiden al menor garantizar y promover su autonomía y el adecuado desarrollo de su personalidad, que puede verse alterado cuando uno de los progenitores, en este caso el padre, presenta la religión evangélica, no como una alternativa o conocimiento objetivo de la creencia, sino como un estilo o modo de vida conveniente que debe seguir.</w:t>
      </w:r>
    </w:p>
    <w:p w14:paraId="3B907BFA" w14:textId="77777777" w:rsidR="00A8138F" w:rsidRDefault="00A8138F" w:rsidP="00A8138F">
      <w:pPr>
        <w:pStyle w:val="TextoNormal"/>
      </w:pPr>
    </w:p>
    <w:p w14:paraId="45E16B23" w14:textId="77777777" w:rsidR="00A8138F" w:rsidRDefault="00A8138F" w:rsidP="00A8138F">
      <w:pPr>
        <w:pStyle w:val="TextoNormal"/>
      </w:pPr>
      <w:r>
        <w:t>En cuanto a la vulneración del art. 27.3 CE, considera que el interés del menor, en materia religiosa, no estaría tanto en que el niño siga una u otra religión, en este caso la evangélica del padre o la educación en valores de la madre, sino en evitarle un impacto negativo emocional de nuevas influencias que se le presentan por parte del padre como únicas y verdaderas, cargadas de la pasión de la que viene impregnada toda creencia y que inevitablemente nublan la razón. Lo que se pretende, al menos por la progenitora materna, es que el hijo común goce de sus opciones en materia religiosa, con exquisito respeto a su sensibilidad y personalidad; sin presiones, ni tensiones, ni ciertas imposiciones o prácticas que puedan afectar negativamente a su equilibrio emocional, afectivo y formativo; y es precisamente esto lo que habría que evitar a toda costa.</w:t>
      </w:r>
    </w:p>
    <w:p w14:paraId="40B3A393" w14:textId="77777777" w:rsidR="00A8138F" w:rsidRDefault="00A8138F" w:rsidP="00A8138F">
      <w:pPr>
        <w:pStyle w:val="TextoNormal"/>
      </w:pPr>
    </w:p>
    <w:p w14:paraId="7772B50C" w14:textId="2E4D4B67" w:rsidR="00A8138F" w:rsidRDefault="00A8138F" w:rsidP="00A8138F">
      <w:pPr>
        <w:pStyle w:val="TextoNormal"/>
      </w:pPr>
      <w:r>
        <w:t>En definitiva, solicita la inadmisión del recurso de amparo y subsidiariamente su desestimación.</w:t>
      </w:r>
    </w:p>
    <w:p w14:paraId="0570729A" w14:textId="77777777" w:rsidR="00A8138F" w:rsidRDefault="00A8138F" w:rsidP="00A8138F">
      <w:pPr>
        <w:pStyle w:val="TextoNormal"/>
      </w:pPr>
    </w:p>
    <w:p w14:paraId="41FA3B43" w14:textId="77777777" w:rsidR="00A8138F" w:rsidRDefault="00A8138F" w:rsidP="00A8138F">
      <w:pPr>
        <w:pStyle w:val="TextoNormal"/>
      </w:pPr>
      <w:r w:rsidRPr="00A8138F">
        <w:rPr>
          <w:rStyle w:val="NumeroAFNegritaCaracter"/>
        </w:rPr>
        <w:t>9</w:t>
      </w:r>
      <w:r>
        <w:t>. El Ministerio Fiscal formuló sus alegaciones mediante escrito fechado el 18 de octubre de 2023, en el que solicita la desestimación del recurso de amparo con base en las siguientes consideraciones.</w:t>
      </w:r>
    </w:p>
    <w:p w14:paraId="69D64B46" w14:textId="77777777" w:rsidR="00A8138F" w:rsidRDefault="00A8138F" w:rsidP="00A8138F">
      <w:pPr>
        <w:pStyle w:val="TextoNormal"/>
      </w:pPr>
    </w:p>
    <w:p w14:paraId="0F6F9D84" w14:textId="77777777" w:rsidR="00A8138F" w:rsidRDefault="00A8138F" w:rsidP="00A8138F">
      <w:pPr>
        <w:pStyle w:val="TextoNormal"/>
      </w:pPr>
      <w:r>
        <w:t>a) Tras recordar la jurisprudencia constitucional que considera aplicable, considera que el eje del debate se centra en la alegada vulneración del derecho a la libertad religiosa del demandante de amparo, conforme al artículo 16.1 CE, y del expresado en el artículo 27.3 CE, que proclama el derecho de los padres a que sus hijos reciban formación religiosa y moral de acuerdo con sus convicciones. Descarta que el demandante haya planteado una queja autónoma sobre el derecho a la igualdad en la aplicación de la ley con prohibición de toda discriminación (art. 14 CE), ya que este argumento se hace en apoyo de su pretensión principal, no como motivo adicional en la pretensión de amparo.</w:t>
      </w:r>
    </w:p>
    <w:p w14:paraId="708663D4" w14:textId="77777777" w:rsidR="00A8138F" w:rsidRDefault="00A8138F" w:rsidP="00A8138F">
      <w:pPr>
        <w:pStyle w:val="TextoNormal"/>
      </w:pPr>
    </w:p>
    <w:p w14:paraId="75EEFE40" w14:textId="77777777" w:rsidR="00A8138F" w:rsidRDefault="00A8138F" w:rsidP="00A8138F">
      <w:pPr>
        <w:pStyle w:val="TextoNormal"/>
      </w:pPr>
      <w:r>
        <w:t>Señala el fiscal que la limitación impuesta a la libertad religiosa y al derecho a la educación que se atribuye a las resoluciones judiciales, respecto de las que se pretende el amparo, se ha producido en el procedimiento judicial previsto por la ley para resolver las controversias que puedan surgir en el ejercicio de la patria potestad por parte de los progenitores, es decir, para solventar el conflicto planteado entre las dos opciones, igualmente válidas, mantenidas por los titulares de la patria potestad. Se trata, por tanto, de una limitación que afecta a la faceta del derecho fundamental susceptible de ello, la que afecta a la libertad religiosa en su proyección respecto de los terceros, dado que se confronta con el derecho de otros, de conformidad con la doctrina constitucional (STC 141/2000, de 29 de mayo, FJ 4).</w:t>
      </w:r>
    </w:p>
    <w:p w14:paraId="57087269" w14:textId="77777777" w:rsidR="00A8138F" w:rsidRDefault="00A8138F" w:rsidP="00A8138F">
      <w:pPr>
        <w:pStyle w:val="TextoNormal"/>
      </w:pPr>
    </w:p>
    <w:p w14:paraId="50EA3913" w14:textId="77777777" w:rsidR="00A8138F" w:rsidRDefault="00A8138F" w:rsidP="00A8138F">
      <w:pPr>
        <w:pStyle w:val="TextoNormal"/>
      </w:pPr>
      <w:r>
        <w:t>Considera que para apreciar si la limitación es admisible, además de estar prevista por la ley, es preciso determinar si con ella se persigue una finalidad legítima y si la medida es necesaria y proporcionada, en atención al sacrificio del derecho y la protección de la finalidad pretendida. La previsión legal aparece en el artículo 156 del Código civil, que establece el mecanismo de resolución judicial en los casos de desacuerdo de los titulares de la patria potestad, una vez oídos ambos y el menor si tuviera suficiente madurez o fuera mayor de doce años. La finalidad legítima es dirimir la controversia, que se efectúa atribuyendo a uno de los dos titulares de la patria potestad la facultad de tomar las decisiones en el ámbito en el que han surgido las diferencias. La medida se estima necesaria, habida cuenta de que el acuerdo extrajudicial ha sido imposible. Queda, por tanto, evaluar si resulta proporcionada la entidad del sacrificio impuesto para lograr la finalidad constitucional legítima, por no haber otra opción más respetuosa con el derecho fundamental.</w:t>
      </w:r>
    </w:p>
    <w:p w14:paraId="40A925A9" w14:textId="77777777" w:rsidR="00A8138F" w:rsidRDefault="00A8138F" w:rsidP="00A8138F">
      <w:pPr>
        <w:pStyle w:val="TextoNormal"/>
      </w:pPr>
    </w:p>
    <w:p w14:paraId="02CF77CF" w14:textId="77777777" w:rsidR="00A8138F" w:rsidRDefault="00A8138F" w:rsidP="00A8138F">
      <w:pPr>
        <w:pStyle w:val="TextoNormal"/>
      </w:pPr>
      <w:r>
        <w:t>Recuerda el Ministerio Fiscal que, hasta la fecha de separación de sus progenitores, el hijo común menor de edad ha sido educado de manera consensuada entre los padres sin la adscripción a ninguna religión concreta; no fue bautizado en la fe de la iglesia católica y en el colegio cursa la asignatura de educación en valores, que es alternativa a la de religión. De ello se deducen indicios poderosos que acreditan el consenso de los padres sobre la formación del hijo antes de la ruptura, pese a que el demandante de amparo manifieste que no había ningún pacto sobre la formación religiosa. Con posterioridad a la separación de la pareja, el padre, en el ejercicio de su libertad de conciencia y religión, ha decidido integrarse en la iglesia evangélica, mediante el bautismo, acudiendo regularmente a los actos de culto. Y, sin contar con el consentimiento de la madre, ha comenzado a llevar a su hijo a los actos de culto y a hacerle partícipe de sus creencias mediante la lectura de la Biblia y material audiovisual en un dispositivo electrónico (</w:t>
      </w:r>
      <w:r w:rsidRPr="00A8138F">
        <w:rPr>
          <w:i/>
        </w:rPr>
        <w:t>tablet</w:t>
      </w:r>
      <w:r>
        <w:t>). La madre, en el ejercicio también de su libertad religiosa y de su derecho a la educación de su hijo de acuerdo con sus propias convicciones, no comparte esta opción, por lo que, ante la falta de acuerdo alcanzado tras sus requerimientos para que el niño no reciba este tipo de instrucción, acude al juzgado.</w:t>
      </w:r>
    </w:p>
    <w:p w14:paraId="2187F4F8" w14:textId="77777777" w:rsidR="00A8138F" w:rsidRDefault="00A8138F" w:rsidP="00A8138F">
      <w:pPr>
        <w:pStyle w:val="TextoNormal"/>
      </w:pPr>
    </w:p>
    <w:p w14:paraId="6BA6958F" w14:textId="77777777" w:rsidR="00A8138F" w:rsidRDefault="00A8138F" w:rsidP="00A8138F">
      <w:pPr>
        <w:pStyle w:val="TextoNormal"/>
      </w:pPr>
      <w:r>
        <w:t>b) El auto del juzgado de primera instancia justifica su decisión haciendo referencia a la falta de acuerdo entre los progenitores sobre la formación religiosa que debe darse al hijo menor, habida cuenta de las actuales convicciones religiosas del padre. En el auto se hace referencia a la libertad religiosa de la que es titular el menor, si bien no puede ejercerla plenamente debido a su corta edad (en ese momento cuenta con apenas seis años) y las facultades que competen a los padres, de conformidad con lo previsto en el art. 6.3 LOPJM, que establece que deberán cooperar para que el menor ejerza su libertad religiosa. Esta cooperación, no obstante, deviene imposible ante la falta de consenso manifestado.</w:t>
      </w:r>
    </w:p>
    <w:p w14:paraId="3DE011EC" w14:textId="77777777" w:rsidR="00A8138F" w:rsidRDefault="00A8138F" w:rsidP="00A8138F">
      <w:pPr>
        <w:pStyle w:val="TextoNormal"/>
      </w:pPr>
    </w:p>
    <w:p w14:paraId="3A26D690" w14:textId="77777777" w:rsidR="00A8138F" w:rsidRDefault="00A8138F" w:rsidP="00A8138F">
      <w:pPr>
        <w:pStyle w:val="TextoNormal"/>
      </w:pPr>
      <w:r>
        <w:t>La solución que se estima más acertada, mientras no se alcance por el menor la suficiente madurez para tomar la decisión por sí mismo, es la no adscripción a una determinada confesión religiosa, de modo que permita una formación en valores plural. Ante la falta de acuerdo, el juez ha optado por mantener la situación precedente, que considera que es la que mejor preserva la identidad religiosa del menor y acorde con su interés superior, que debe guiar todas las decisiones judiciales respecto de los menores.</w:t>
      </w:r>
    </w:p>
    <w:p w14:paraId="12281D0C" w14:textId="77777777" w:rsidR="00A8138F" w:rsidRDefault="00A8138F" w:rsidP="00A8138F">
      <w:pPr>
        <w:pStyle w:val="TextoNormal"/>
      </w:pPr>
    </w:p>
    <w:p w14:paraId="360FDF28" w14:textId="77777777" w:rsidR="00A8138F" w:rsidRDefault="00A8138F" w:rsidP="00A8138F">
      <w:pPr>
        <w:pStyle w:val="TextoNormal"/>
      </w:pPr>
      <w:r>
        <w:t>En consecuencia, acuerda otorgar a la madre el ejercicio exclusivo de la patria potestad en las decisiones que afecten a la formación religiosa del menor, prohibiendo la adscripción a una concreta confesión y al adoctrinamiento en la fe evangélica. Esta resolución es temporal y en su parte dispositiva se hace constar expresamente que la resolución del expediente “no impide la incoación de un proceso jurisdiccional posterior con el mismo objeto, debiendo pronunciarse la resolución que se dicte sobre la confirmación, modificación o revocación de lo acordado”.</w:t>
      </w:r>
    </w:p>
    <w:p w14:paraId="44344A30" w14:textId="77777777" w:rsidR="00A8138F" w:rsidRDefault="00A8138F" w:rsidP="00A8138F">
      <w:pPr>
        <w:pStyle w:val="TextoNormal"/>
      </w:pPr>
    </w:p>
    <w:p w14:paraId="2B956BF6" w14:textId="77777777" w:rsidR="00A8138F" w:rsidRDefault="00A8138F" w:rsidP="00A8138F">
      <w:pPr>
        <w:pStyle w:val="TextoNormal"/>
      </w:pPr>
      <w:r>
        <w:t>c) En el auto que resuelve el recurso de apelación, la Audiencia Provincial, considera que debe prevalecer el criterio decisorio del juez de primera instancia, que se considera correcto y ajustado al ordenamiento jurídico y a la doctrina que lo interpreta. Hace expresa referencia a que los progenitores, durante el periodo de convivencia decidieron que el menor no recibiera formación religiosa ni adoctrinamiento en religión, por lo que no fue bautizado, ni se le imparten clases de religión en el centro escolar, donde se le educa en valores. Por ello “sin descalificar en modo alguno al padre por profesar una religión, no es dable ahora a este desdecirse de lo convenido y prescindir de la opinión de la madre infundiendo al menor una determinada creencia religiosa”, de manera que la decisión deberá tomarla el menor cuando alcance un grado suficiente de madurez, juicio y criterio para poder manifestar inquietudes religiosas y profesar la religión del padre si así lo desea. Es decir, que se difiere en el tiempo la decisión hasta el momento en que el menor tenga la madurez necesaria para determinar su propia opción religiosa.</w:t>
      </w:r>
    </w:p>
    <w:p w14:paraId="3784E49F" w14:textId="77777777" w:rsidR="00A8138F" w:rsidRDefault="00A8138F" w:rsidP="00A8138F">
      <w:pPr>
        <w:pStyle w:val="TextoNormal"/>
      </w:pPr>
    </w:p>
    <w:p w14:paraId="016F2E46" w14:textId="77777777" w:rsidR="00A8138F" w:rsidRDefault="00A8138F" w:rsidP="00A8138F">
      <w:pPr>
        <w:pStyle w:val="TextoNormal"/>
      </w:pPr>
      <w:r>
        <w:t xml:space="preserve">d) La medida, en consecuencia, se estima proporcionada, porque la decisión de mantener la situación actual resuelve el conflicto planteado por los padres de una manera acorde con lo vivido por el niño hasta la separación, siendo el sacrificio del derecho fundamental necesario, porque no se puede compaginar la formación laica recibida hasta ese momento con la enseñanza de la doctrina religiosa profesada por el padre, pues, en la práctica, supone dejar en manos de este la decisión al respecto, vaciando de contenido la opción vigente. Hay que valorar especialmente que existió un </w:t>
      </w:r>
      <w:r w:rsidRPr="00A8138F">
        <w:rPr>
          <w:i/>
        </w:rPr>
        <w:t>statu quo</w:t>
      </w:r>
      <w:r>
        <w:t xml:space="preserve"> que duró los primeros años de vida del menor, que se basó en dejar a su propia decisión, cuando adquiriera la edad de decidir por sí, la religión que quería practicar, y el cambio de esa situación sí que podría afectar a su integridad moral, debiendo prevalecer, en casos de igualdad entre las opciones, como aquí ocurre, el principio de continuidad, recogido en múltiples resoluciones de lo que podríamos llamar “jurisprudencia menor”, de diversas audiencias provinciales.</w:t>
      </w:r>
    </w:p>
    <w:p w14:paraId="68DAFC86" w14:textId="77777777" w:rsidR="00A8138F" w:rsidRDefault="00A8138F" w:rsidP="00A8138F">
      <w:pPr>
        <w:pStyle w:val="TextoNormal"/>
      </w:pPr>
    </w:p>
    <w:p w14:paraId="55804025" w14:textId="77777777" w:rsidR="00A8138F" w:rsidRDefault="00A8138F" w:rsidP="00A8138F">
      <w:pPr>
        <w:pStyle w:val="TextoNormal"/>
      </w:pPr>
      <w:r>
        <w:t>En consecuencia, se estima que las resoluciones judiciales no han limitado de manera improcedente la libertad religiosa y de conciencia del demandante de amparo ni su derecho a que su hijo sea educado de acuerdo con sus convicciones, habida cuenta de que, ante la falta de acuerdo, se ha ajustado a la situación previamente consensuada, de la que se ha apartado posteriormente el recurrente de manera unilateral, y, por ello, procede la desestimación del recurso de amparo.</w:t>
      </w:r>
    </w:p>
    <w:p w14:paraId="405CC2CC" w14:textId="77777777" w:rsidR="00A8138F" w:rsidRDefault="00A8138F" w:rsidP="00A8138F">
      <w:pPr>
        <w:pStyle w:val="TextoNormal"/>
      </w:pPr>
    </w:p>
    <w:p w14:paraId="69EE9CE3" w14:textId="77777777" w:rsidR="00A8138F" w:rsidRDefault="00A8138F" w:rsidP="00A8138F">
      <w:pPr>
        <w:pStyle w:val="TextoNormal"/>
      </w:pPr>
      <w:r>
        <w:t>Llegados a este punto, considera el fiscal que no es necesario efectuar mayores consideraciones sobre la alegación del recurrente acerca de la vulneración que las resoluciones provocarían en la libertad religiosa del menor, que se hacen depender de la privación de la formación religiosa que pudiera proporcionarle su padre para efectuar la opción religiosa en un futuro, alegación que se entiende resuelta conforme a lo informado. Los autos recurridos parten de la ausencia de madurez del menor para determinar su propia libertad de conciencia, sin que en el expediente incoado se haya solicitado ni acordado la audiencia del menor, dada su corta edad (en cuanto nacido en 2016), y declaran expresamente que, una vez concurran las condiciones para ello, deberá ser el menor el que ejercite su propio derecho. A este respecto se considera que, en las resoluciones judiciales que posteriormente se pudieran pronunciar, necesariamente deberá ser tenido en cuenta su parecer, en los términos expresados por la doctrina constitucional anteriormente expuesta.</w:t>
      </w:r>
    </w:p>
    <w:p w14:paraId="2F2F239B" w14:textId="77777777" w:rsidR="00A8138F" w:rsidRDefault="00A8138F" w:rsidP="00A8138F">
      <w:pPr>
        <w:pStyle w:val="TextoNormal"/>
      </w:pPr>
    </w:p>
    <w:p w14:paraId="2058B40B" w14:textId="3E75B7AB" w:rsidR="00A8138F" w:rsidRDefault="00A8138F" w:rsidP="00A8138F">
      <w:pPr>
        <w:pStyle w:val="TextoNormal"/>
      </w:pPr>
      <w:r>
        <w:t>Por todo lo expuesto, y siendo de aplicación al presente recurso de amparo la doctrina constitucional expuesta, el fiscal interesa que se dicte sentencia desestimando la demanda.</w:t>
      </w:r>
    </w:p>
    <w:p w14:paraId="2A950870" w14:textId="77777777" w:rsidR="00A8138F" w:rsidRDefault="00A8138F" w:rsidP="00A8138F">
      <w:pPr>
        <w:pStyle w:val="TextoNormal"/>
      </w:pPr>
    </w:p>
    <w:p w14:paraId="4424E508" w14:textId="1EAFD314" w:rsidR="00A8138F" w:rsidRDefault="00A8138F" w:rsidP="00A8138F">
      <w:pPr>
        <w:pStyle w:val="TextoNormal"/>
      </w:pPr>
      <w:r w:rsidRPr="00A8138F">
        <w:rPr>
          <w:rStyle w:val="NumeroAFNegritaCaracter"/>
        </w:rPr>
        <w:t>10</w:t>
      </w:r>
      <w:r>
        <w:t>. Pocos días después, tras la correspondiente tramitación de la correspondiente pieza separada, la Sala Primera denegó la pretensión cautelar planteada en la demanda de amparo que solicitaba la suspensión de las decisiones judiciales impugnadas (ATC 473/2023, de 23 de octubre).</w:t>
      </w:r>
    </w:p>
    <w:p w14:paraId="19309348" w14:textId="77777777" w:rsidR="00A8138F" w:rsidRDefault="00A8138F" w:rsidP="00A8138F">
      <w:pPr>
        <w:pStyle w:val="TextoNormal"/>
      </w:pPr>
    </w:p>
    <w:p w14:paraId="43C87FC7" w14:textId="7DDAC83C" w:rsidR="00A8138F" w:rsidRDefault="00A8138F" w:rsidP="00A8138F">
      <w:pPr>
        <w:pStyle w:val="TextoNormal"/>
      </w:pPr>
      <w:r w:rsidRPr="00A8138F">
        <w:rPr>
          <w:rStyle w:val="NumeroAFNegritaCaracter"/>
        </w:rPr>
        <w:t>11</w:t>
      </w:r>
      <w:r>
        <w:t>. Mediante providencia de 23 de mayo de 2025, se señaló para deliberación y votación de la presente sentencia el día 26 del mismo mes y año.</w:t>
      </w:r>
    </w:p>
    <w:p w14:paraId="449D3AC7" w14:textId="77777777" w:rsidR="00A8138F" w:rsidRDefault="00A8138F" w:rsidP="00A8138F">
      <w:pPr>
        <w:pStyle w:val="TextoNormal"/>
      </w:pPr>
    </w:p>
    <w:p w14:paraId="44F38318" w14:textId="77777777" w:rsidR="00A8138F" w:rsidRDefault="00A8138F" w:rsidP="00A8138F">
      <w:pPr>
        <w:pStyle w:val="TextoNormalNegritaCentrado"/>
        <w:keepNext/>
      </w:pPr>
      <w:r>
        <w:t>II. Fundamentos jurídicos</w:t>
      </w:r>
    </w:p>
    <w:p w14:paraId="094D854B" w14:textId="7DFF447E" w:rsidR="00A8138F" w:rsidRDefault="00A8138F" w:rsidP="00A8138F">
      <w:pPr>
        <w:pStyle w:val="TextoNormalNegritaCentrado"/>
        <w:keepNext/>
      </w:pPr>
    </w:p>
    <w:p w14:paraId="1452F803"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248D0707" w14:textId="77777777" w:rsidR="00A8138F" w:rsidRDefault="00A8138F" w:rsidP="00A8138F">
      <w:pPr>
        <w:pStyle w:val="TextoNormal"/>
      </w:pPr>
    </w:p>
    <w:p w14:paraId="6A446826" w14:textId="77777777" w:rsidR="00A8138F" w:rsidRDefault="00A8138F" w:rsidP="00A8138F">
      <w:pPr>
        <w:pStyle w:val="TextoNormal"/>
      </w:pPr>
      <w:r>
        <w:t xml:space="preserve">Son objeto del presente recurso de amparo el auto de 27 de mayo de 2022 del Juzgado de Primera Instancia núm. 6 de Alcobendas y el auto de 13 de enero de 2023 de la Audiencia Provincial de Madrid, dictados en el procedimiento de jurisdicción voluntaria sobre resolución de desacuerdo en el ejercicio de la patria potestad, por los que se estimó la petición de la excónyuge del recurrente de amparo, atribuyéndosele “el ejercicio exclusivo de la patria potestad, respecto de la facultad de decidir sobre las decisiones de formación religiosa del menor hasta que tenga doce años, mediante la formación en valores de su hijo […], excluyendo, la adscripción efectiva a una confesión religiosa, y en consecuencia, prohibiendo expresamente al padre a llevar a su hijo […], a la iglesia evangélica, ponerle pasajes bíblicos en la </w:t>
      </w:r>
      <w:r w:rsidRPr="00A8138F">
        <w:rPr>
          <w:i/>
        </w:rPr>
        <w:t>tablet</w:t>
      </w:r>
      <w:r>
        <w:t>, y, en suma, adoctrinarle en la fe evangélica”.</w:t>
      </w:r>
    </w:p>
    <w:p w14:paraId="3A972BE4" w14:textId="77777777" w:rsidR="00A8138F" w:rsidRDefault="00A8138F" w:rsidP="00A8138F">
      <w:pPr>
        <w:pStyle w:val="TextoNormal"/>
      </w:pPr>
    </w:p>
    <w:p w14:paraId="0D2E27E6" w14:textId="77777777" w:rsidR="00A8138F" w:rsidRDefault="00A8138F" w:rsidP="00A8138F">
      <w:pPr>
        <w:pStyle w:val="TextoNormal"/>
      </w:pPr>
      <w:r>
        <w:t>El padre del menor, recurrente en amparo, solicita la anulación de tales resoluciones judiciales por considerar que lesionan su derecho a la libertad religiosa (art. 16 CE) y su derecho fundamental a que su hijo reciba la formación religiosa y moral que esté de acuerdo con sus propias convicciones (art. 27.3 CE). Estima también que las resoluciones impugnadas han vulnerado el art. 14 CE, al haber sido discriminado en favor de la madre.</w:t>
      </w:r>
    </w:p>
    <w:p w14:paraId="7F0214F0" w14:textId="77777777" w:rsidR="00A8138F" w:rsidRDefault="00A8138F" w:rsidP="00A8138F">
      <w:pPr>
        <w:pStyle w:val="TextoNormal"/>
      </w:pPr>
    </w:p>
    <w:p w14:paraId="5E502CB3" w14:textId="77777777" w:rsidR="00A8138F" w:rsidRDefault="00A8138F" w:rsidP="00A8138F">
      <w:pPr>
        <w:pStyle w:val="TextoNormal"/>
      </w:pPr>
      <w:r>
        <w:t>Tanto el Ministerio Fiscal como la madre del menor han solicitado en sus alegaciones la desestimación de la demanda. Además, esta última, como pretensión inicial, interesa la inadmisión del recurso de amparo por no haber sido debidamente justificada su especial trascendencia constitucional.</w:t>
      </w:r>
    </w:p>
    <w:p w14:paraId="722E6909" w14:textId="77777777" w:rsidR="00A8138F" w:rsidRDefault="00A8138F" w:rsidP="00A8138F">
      <w:pPr>
        <w:pStyle w:val="TextoNormal"/>
      </w:pPr>
    </w:p>
    <w:p w14:paraId="15C1A505" w14:textId="606BF9E9" w:rsidR="00A8138F" w:rsidRDefault="00A8138F" w:rsidP="00A8138F">
      <w:pPr>
        <w:pStyle w:val="TextoNormal"/>
      </w:pPr>
      <w:r>
        <w:t>Con ánimo de preservar su intimidad, dado que los hechos a los que se refiere este recurso de amparo hacen referencia a una persona menor de edad (nacida en 2016), la presente resolución no incluye su identificación completa ni la de sus progenitores, que aparecen mencionados en las actuaciones, por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w:t>
      </w:r>
    </w:p>
    <w:p w14:paraId="479CDFA8" w14:textId="77777777" w:rsidR="00A8138F" w:rsidRDefault="00A8138F" w:rsidP="00A8138F">
      <w:pPr>
        <w:pStyle w:val="TextoNormal"/>
      </w:pPr>
    </w:p>
    <w:p w14:paraId="05B1F381" w14:textId="77777777" w:rsidR="00A8138F" w:rsidRDefault="00A8138F" w:rsidP="00A8138F">
      <w:pPr>
        <w:pStyle w:val="TextoNormal"/>
      </w:pPr>
      <w:r w:rsidRPr="00A8138F">
        <w:rPr>
          <w:rStyle w:val="NumeroAFNegritaCaracter"/>
        </w:rPr>
        <w:t>2</w:t>
      </w:r>
      <w:r>
        <w:t xml:space="preserve">. </w:t>
      </w:r>
      <w:r w:rsidRPr="00A8138F">
        <w:rPr>
          <w:i/>
        </w:rPr>
        <w:t>Óbices procesales</w:t>
      </w:r>
    </w:p>
    <w:p w14:paraId="5BC6BCE4" w14:textId="77777777" w:rsidR="00A8138F" w:rsidRDefault="00A8138F" w:rsidP="00A8138F">
      <w:pPr>
        <w:pStyle w:val="TextoNormal"/>
      </w:pPr>
    </w:p>
    <w:p w14:paraId="02635964" w14:textId="77777777" w:rsidR="00A8138F" w:rsidRDefault="00A8138F" w:rsidP="00A8138F">
      <w:pPr>
        <w:pStyle w:val="TextoNormal"/>
      </w:pPr>
      <w:r>
        <w:t>La madre del menor, personada en este proceso constitucional, solicita la inadmisión del recurso de amparo por no haberse justificado debidamente por el recurrente en la demanda su especial trascendencia constitucional.</w:t>
      </w:r>
    </w:p>
    <w:p w14:paraId="2FF5A3FE" w14:textId="77777777" w:rsidR="00A8138F" w:rsidRDefault="00A8138F" w:rsidP="00A8138F">
      <w:pPr>
        <w:pStyle w:val="TextoNormal"/>
      </w:pPr>
    </w:p>
    <w:p w14:paraId="4A36647A" w14:textId="77777777" w:rsidR="00A8138F" w:rsidRDefault="00A8138F" w:rsidP="00A8138F">
      <w:pPr>
        <w:pStyle w:val="TextoNormal"/>
      </w:pPr>
      <w:r>
        <w:t>Como recordábamos recientemente en la STC 122/2022, de 10 de octubre,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(entre otras muchas, SSTC 155/2009, de 25 de junio, FJ 2; 126/2013, de 3 de junio, FJ 2; 9/2015, de 2 de febrero, FJ 3; 143/2016, de 19 de septiembre, FJ 2; 166/2016, de 6 de octubre, FJ 2, y 136/2017, de 27 de noviembre, FJ 2)” (FJ 2).</w:t>
      </w:r>
    </w:p>
    <w:p w14:paraId="1D3BD177" w14:textId="77777777" w:rsidR="00A8138F" w:rsidRDefault="00A8138F" w:rsidP="00A8138F">
      <w:pPr>
        <w:pStyle w:val="TextoNormal"/>
      </w:pPr>
    </w:p>
    <w:p w14:paraId="3295BBED" w14:textId="77777777" w:rsidR="00A8138F" w:rsidRDefault="00A8138F" w:rsidP="00A8138F">
      <w:pPr>
        <w:pStyle w:val="TextoNormal"/>
      </w:pPr>
      <w:r>
        <w:t>Explicaba el recurrente de amparo en su demanda, con expresa cita del supuesto a) del fundamento jurídico 2 de la STC 155/2009, que la cuestión planteada da ocasión al Tribunal Constitucional para aclarar o perfilar su doctrina sobre el alcance de los derechos indicados en relación con la patria potestad y consideraba que “[d]ebe de perfilarse la doctrina del Tribunal Constitucional sobre si la libertad de creencias, y su expresión con los hijos menores de edad, ha de ser sacrificada en su esfera familiar por mor de no compartir los padres las mismas creencias y haber comenzado a practicar una confesión religiosa o incluso cambiado de confesión uno de ellos, y si esto supone a su vez, una merma o lesión al derecho a la libertad religiosa del menor en todo caso”. Asimismo, entendía que la Audiencia Provincial podría haber incurrido en una negativa manifiesta del deber de acatamiento de la doctrina de este tribunal. Por lo tanto, no puede compartirse que el recurrente no haya justificado la especial trascendencia constitucional de su pretensión de amparo, cualquiera que sea la opinión que se mantenga sobre su contenido.</w:t>
      </w:r>
    </w:p>
    <w:p w14:paraId="6DF38A1A" w14:textId="77777777" w:rsidR="00A8138F" w:rsidRDefault="00A8138F" w:rsidP="00A8138F">
      <w:pPr>
        <w:pStyle w:val="TextoNormal"/>
      </w:pPr>
    </w:p>
    <w:p w14:paraId="12099408" w14:textId="77777777" w:rsidR="00A8138F" w:rsidRDefault="00A8138F" w:rsidP="00A8138F">
      <w:pPr>
        <w:pStyle w:val="TextoNormal"/>
      </w:pPr>
      <w:r>
        <w:t>De otra parte, el Tribunal entendió que procedía la admisión a trámite de la demanda de amparo, al apreciar que el recurso puede darle ocasión para aclarar o cambiar su doctrina como consecuencia de un cambio en la de los órganos de garantía encargados de la interpretación de los tratados y acuerdos internacionales a los que se refiere el art. 10.2 CE [STC 155/2009, FJ 2 b)]. Singularmente, hemos de añadir, la doctrina del Tribunal Europeo de Derechos Humanos a la que nos referiremos más adelante (FJ 6).</w:t>
      </w:r>
    </w:p>
    <w:p w14:paraId="27D8BA7B" w14:textId="77777777" w:rsidR="00A8138F" w:rsidRDefault="00A8138F" w:rsidP="00A8138F">
      <w:pPr>
        <w:pStyle w:val="TextoNormal"/>
      </w:pPr>
    </w:p>
    <w:p w14:paraId="06D63707" w14:textId="28D86D4E" w:rsidR="00A8138F" w:rsidRDefault="00A8138F" w:rsidP="00A8138F">
      <w:pPr>
        <w:pStyle w:val="TextoNormal"/>
      </w:pPr>
      <w:r>
        <w:t>En definitiva, a la vista de la justificación ofrecida por el recurrente en su demanda sobre la especial trascendencia constitucional, el óbice opuesto de contrario debe rechazarse.</w:t>
      </w:r>
    </w:p>
    <w:p w14:paraId="415F6F5F" w14:textId="77777777" w:rsidR="00A8138F" w:rsidRDefault="00A8138F" w:rsidP="00A8138F">
      <w:pPr>
        <w:pStyle w:val="TextoNormal"/>
      </w:pPr>
    </w:p>
    <w:p w14:paraId="0A3406DC" w14:textId="77777777" w:rsidR="00A8138F" w:rsidRDefault="00A8138F" w:rsidP="00A8138F">
      <w:pPr>
        <w:pStyle w:val="TextoNormal"/>
      </w:pPr>
      <w:r w:rsidRPr="00A8138F">
        <w:rPr>
          <w:rStyle w:val="NumeroAFNegritaCaracter"/>
        </w:rPr>
        <w:t>3</w:t>
      </w:r>
      <w:r>
        <w:t xml:space="preserve">. </w:t>
      </w:r>
      <w:r w:rsidRPr="00A8138F">
        <w:rPr>
          <w:i/>
        </w:rPr>
        <w:t>Determinación y delimitación de los derechos fundamentales afectados. La libertad religiosa del menor y su interés superior como criterios de juicio</w:t>
      </w:r>
    </w:p>
    <w:p w14:paraId="2716F2D5" w14:textId="77777777" w:rsidR="00A8138F" w:rsidRDefault="00A8138F" w:rsidP="00A8138F">
      <w:pPr>
        <w:pStyle w:val="TextoNormal"/>
      </w:pPr>
    </w:p>
    <w:p w14:paraId="1CB61FA7" w14:textId="77777777" w:rsidR="00A8138F" w:rsidRDefault="00A8138F" w:rsidP="00A8138F">
      <w:pPr>
        <w:pStyle w:val="TextoNormal"/>
      </w:pPr>
      <w:r>
        <w:t>Como en anteriores procesos, la pretensión de amparo se plantea en relación con la decisión judicial que resuelve una situación de desacuerdo parental en el ejercicio de la patria potestad compartida sobre un hijo común menor de edad (nacido en el año 2016). En este caso, tiene que ver con la formación religiosa del menor, ámbito objetivo que afecta a sus derechos fundamentales y al libre desarrollo de su personalidad. El progenitor recurrente alega la vulneración de derechos fundamentales propios (arts. 16 y 27.3 CE), por lo que resulta estrictamente necesario en casos como el presente determinar cuáles son los que están en juego, quiénes son sus titulares y cuáles son los criterios de delimitación (límites y limitaciones) de las enfrentadas pretensiones en conflicto.</w:t>
      </w:r>
    </w:p>
    <w:p w14:paraId="33A5D635" w14:textId="77777777" w:rsidR="00A8138F" w:rsidRDefault="00A8138F" w:rsidP="00A8138F">
      <w:pPr>
        <w:pStyle w:val="TextoNormal"/>
      </w:pPr>
    </w:p>
    <w:p w14:paraId="4940819F" w14:textId="77777777" w:rsidR="00A8138F" w:rsidRDefault="00A8138F" w:rsidP="00A8138F">
      <w:pPr>
        <w:pStyle w:val="TextoNormal"/>
      </w:pPr>
      <w:r>
        <w:t>De una parte, cabe compartir el criterio manifestado por el Ministerio Fiscal en sus alegaciones, según el cual la queja relativa a la supuesta discriminación sufrida por el recurrente (art. 14 CE) no constituye una queja autónoma con sustantividad propia, sino que está subsumida en las demás quejas y motivos de amparo, por lo que será analizada al determinar si la libertad religiosa del progenitor demandante ha sido vulnerada.</w:t>
      </w:r>
    </w:p>
    <w:p w14:paraId="4B7FC22F" w14:textId="77777777" w:rsidR="00A8138F" w:rsidRDefault="00A8138F" w:rsidP="00A8138F">
      <w:pPr>
        <w:pStyle w:val="TextoNormal"/>
      </w:pPr>
    </w:p>
    <w:p w14:paraId="00850BB5" w14:textId="77777777" w:rsidR="00A8138F" w:rsidRDefault="00A8138F" w:rsidP="00A8138F">
      <w:pPr>
        <w:pStyle w:val="TextoNormal"/>
      </w:pPr>
      <w:r>
        <w:t>En segundo término, atendidos el contexto de desacuerdo entre progenitores que justifica la demanda de amparo y el contenido de las pretensiones ejercitadas ahora y en la vía judicial precedente, cabe señalar que el demandante alega como vulnerados dos derechos fundamentales de los que es titular: sus derechos a la libertad religiosa (art. 16 CE) y a educar a su hijo conforme a sus convicciones religiosas (art. 27.3 CE). No obstante, se trata de derechos fundamentales propios cuyo contenido y pretensión de ejercicio están íntimamente relacionados con los derechos del hijo menor de edad (singularmente su libertad religiosa), derecho fundamental del menor en el que la otra progenitora, personada en este proceso, fundamenta sus alegaciones favorables a la confirmación de las resoluciones judiciales cuestionadas con desestimación del recurso de amparo.</w:t>
      </w:r>
    </w:p>
    <w:p w14:paraId="3845F52D" w14:textId="77777777" w:rsidR="00A8138F" w:rsidRDefault="00A8138F" w:rsidP="00A8138F">
      <w:pPr>
        <w:pStyle w:val="TextoNormal"/>
      </w:pPr>
    </w:p>
    <w:p w14:paraId="15630745" w14:textId="77777777" w:rsidR="00A8138F" w:rsidRDefault="00A8138F" w:rsidP="00A8138F">
      <w:pPr>
        <w:pStyle w:val="TextoNormal"/>
      </w:pPr>
      <w:r>
        <w:t>Por tanto, al estar conjuntamente afectados los derechos fundamentales del hijo común menor de edad y los de su progenitor, las supuestas vulneraciones de los derechos fundamentales del recurrente no pueden ser analizadas sin tomar en consideración su contenido, ni el interés superior del menor al que se refiere el desacuerdo parental.</w:t>
      </w:r>
    </w:p>
    <w:p w14:paraId="00C4C632" w14:textId="77777777" w:rsidR="00A8138F" w:rsidRDefault="00A8138F" w:rsidP="00A8138F">
      <w:pPr>
        <w:pStyle w:val="TextoNormal"/>
      </w:pPr>
    </w:p>
    <w:p w14:paraId="21DA5BFB" w14:textId="77777777" w:rsidR="00A8138F" w:rsidRDefault="00A8138F" w:rsidP="00A8138F">
      <w:pPr>
        <w:pStyle w:val="TextoNormal"/>
      </w:pPr>
      <w:r>
        <w:t>En este sentido, deben ser tomadas en cuenta las normas internacionales de protección de la infancia aplicables en España. Y también, muy en particular, lo dispuesto en el art. 39 de la Constitución y, en su desarrollo, la Ley Orgánica 1/1996, de 15 de enero, de protección jurídica del menor, que establece el estatuto jurídico indisponible de los menores de edad dentro del territorio nacional; junto a estas normas, la Convención de las Naciones Unidas sobre los derechos del niño (ratificada por España por instrumento de 30 de noviembre de 1990) y la resolución del Parlamento Europeo relativa a la Carta europea de los derechos del niño (resolución A3-0172/92, de 8 de julio).</w:t>
      </w:r>
    </w:p>
    <w:p w14:paraId="26A3AD53" w14:textId="77777777" w:rsidR="00A8138F" w:rsidRDefault="00A8138F" w:rsidP="00A8138F">
      <w:pPr>
        <w:pStyle w:val="TextoNormal"/>
      </w:pPr>
    </w:p>
    <w:p w14:paraId="10917949" w14:textId="77777777" w:rsidR="00A8138F" w:rsidRDefault="00A8138F" w:rsidP="00A8138F">
      <w:pPr>
        <w:pStyle w:val="TextoNormal"/>
      </w:pPr>
      <w:r>
        <w:t>A estos efectos, el estatuto jurídico del menor es, sin duda, una norma de orden público, de inexcusable observancia para todos los poderes públicos, que constituye un legítimo límite a la libertad de manifestación de las propias creencias mediante su exposición a terceros, incluso de sus progenitores. Así, el art. 14 de la Convención de derechos del niño dispone en su apartado 1 que “[l]os Estados Partes respetarán el derecho del niño a la libertad de pensamiento, de conciencia y de religión”. Y añade en sus apartados 2 y 3 que “[l]os Estados Partes respetarán los derechos y deberes de los padres y, en su caso, de los representantes legales, de guiar al niño en el ejercicio de su derecho de modo conforme a la evolución de sus facultades” y “[l]a libertad de profesar la propia religión o las propias creencias estará sujeta únicamente a las limitaciones prescritas por la ley que sean necesarias para proteger la seguridad, el orden, la moral o la salud públicos o los derechos y libertades fundamentales de los demás” (apartados 8.25 y 27 de la resolución relativa a la Carta europea).</w:t>
      </w:r>
    </w:p>
    <w:p w14:paraId="25DB710D" w14:textId="77777777" w:rsidR="00A8138F" w:rsidRDefault="00A8138F" w:rsidP="00A8138F">
      <w:pPr>
        <w:pStyle w:val="TextoNormal"/>
      </w:pPr>
    </w:p>
    <w:p w14:paraId="288F6882" w14:textId="77777777" w:rsidR="00A8138F" w:rsidRDefault="00A8138F" w:rsidP="00A8138F">
      <w:pPr>
        <w:pStyle w:val="TextoNormal"/>
      </w:pPr>
      <w:r>
        <w:t>Partiendo de este estatuto jurídico del menor, son ya abundantes los pronunciamientos que hemos realizado en relación con la obligación de protección del interés superior de las personas menores de edad en los conflictos que les afectan.</w:t>
      </w:r>
    </w:p>
    <w:p w14:paraId="11AD73C9" w14:textId="77777777" w:rsidR="00A8138F" w:rsidRDefault="00A8138F" w:rsidP="00A8138F">
      <w:pPr>
        <w:pStyle w:val="TextoNormal"/>
      </w:pPr>
    </w:p>
    <w:p w14:paraId="5044DC71" w14:textId="77777777" w:rsidR="00A8138F" w:rsidRDefault="00A8138F" w:rsidP="00A8138F">
      <w:pPr>
        <w:pStyle w:val="TextoNormal"/>
      </w:pPr>
      <w:r>
        <w:t>Recientemente, en la STC 26/2024, de 14 de febrero, FJ 4, destacábamos “la obligación de los poderes públicos de proteger el interés superior de las personas menores de edad en cualesquiera actuaciones que deban entenderse con estas o hayan de afectarles de manera directa o indirecta. Deben procurarlo incluso si ello significa atemperar la rigidez de algunas normas procesales o sacrificar los legítimos intereses y perspectivas de terceros [SSTC 187/1996, de 25 de noviembre, FJ 2; 141/2000, de 29 de mayo, FJ 5; 77/2018, de 5 de julio, FJ 2; 106/2022, de 13 de septiembre, FJ 2 C); 130/2022, de 24 de octubre, FJ 5, y 131/2023, de 23 de octubre, FJ 3, entre otras]. Corresponde en cada caso a los jueces y tribunales ordinarios determinar cuál es el interés superior de las personas menores de edad, atendiendo para ello a los criterios generales que establece el art. 2 de la Ley Orgánica 1/1996, de 15 de enero, de protección jurídica del menor. E incumbe a este tribunal, por su parte, examinar la correcta aplicación de aquellos y la ponderación de intereses realizada en mayor beneficio del menor a fin de comprobar que no se han lesionado sus derechos fundamentales [SSTC 221/2002, de 25 de noviembre, FJ 4; 113/2021, de 31 de mayo, FJ 2 b); 106/2022, de 13 de septiembre, FJ 2 C), y 131/2023, de 23 de octubre, FJ 3]”.</w:t>
      </w:r>
    </w:p>
    <w:p w14:paraId="64BF775F" w14:textId="77777777" w:rsidR="00A8138F" w:rsidRDefault="00A8138F" w:rsidP="00A8138F">
      <w:pPr>
        <w:pStyle w:val="TextoNormal"/>
      </w:pPr>
    </w:p>
    <w:p w14:paraId="103C5438" w14:textId="5314402E" w:rsidR="00A8138F" w:rsidRDefault="00A8138F" w:rsidP="00A8138F">
      <w:pPr>
        <w:pStyle w:val="TextoNormal"/>
      </w:pPr>
      <w:r>
        <w:t>Por tanto, la decisión de este proceso constitucional no solo tomará en consideración el contenido de los derechos alegados y sus límites externos, sino también, de forma muy relevante, el interés superior del menor de edad afectado por el desacuerdo que sus progenitores mantienen sobre su formación religiosa. Para ello analizaremos, en primer lugar, el contenido de los derechos fundamentales alegados (arts. 16 y 27.3 CE), poniéndolos en relación con las pretensiones de amparo del padre recurrente.</w:t>
      </w:r>
    </w:p>
    <w:p w14:paraId="4CB9A3A1" w14:textId="77777777" w:rsidR="00A8138F" w:rsidRDefault="00A8138F" w:rsidP="00A8138F">
      <w:pPr>
        <w:pStyle w:val="TextoNormal"/>
      </w:pPr>
    </w:p>
    <w:p w14:paraId="173B784F" w14:textId="77777777" w:rsidR="00A8138F" w:rsidRDefault="00A8138F" w:rsidP="00A8138F">
      <w:pPr>
        <w:pStyle w:val="TextoNormal"/>
      </w:pPr>
      <w:r w:rsidRPr="00A8138F">
        <w:rPr>
          <w:rStyle w:val="NumeroAFNegritaCaracter"/>
        </w:rPr>
        <w:t>4</w:t>
      </w:r>
      <w:r>
        <w:t xml:space="preserve">. </w:t>
      </w:r>
      <w:r w:rsidRPr="00A8138F">
        <w:rPr>
          <w:i/>
        </w:rPr>
        <w:t>Sobre el derecho de los padres a que sus hijos reciban la formación religiosa y moral que esté de acuerdo con sus propias convicciones (art. 27.3 CE)</w:t>
      </w:r>
    </w:p>
    <w:p w14:paraId="4583815B" w14:textId="77777777" w:rsidR="00A8138F" w:rsidRDefault="00A8138F" w:rsidP="00A8138F">
      <w:pPr>
        <w:pStyle w:val="TextoNormal"/>
      </w:pPr>
    </w:p>
    <w:p w14:paraId="3B0551B5" w14:textId="77777777" w:rsidR="00A8138F" w:rsidRDefault="00A8138F" w:rsidP="00A8138F">
      <w:pPr>
        <w:pStyle w:val="TextoNormal"/>
      </w:pPr>
      <w:r>
        <w:t>En el fundamento jurídico 2 de la STC 26/2024, de 14 de febrero, antes citada, hemos recordado que “el derecho reconocido en el art. 27.3 CE encuentra un cauce de realización a través de la inserción de la enseñanza de la religión en el sistema educativo, que, como hemos dicho de manera reiterada, ‘solo puede ser, evidentemente, en régimen de seguimiento libre’ [SSTC 5/1981, de 13 de febrero, FJ 9; 38/2007, de 15 de febrero, FJ 5, y 128/2007, de 4 de junio, FJ 5 a)]”. Asimismo señalamos que “el derecho reconocido en el art. 27.3 CE guarda estrecha relación también con el derecho a escoger centro docente, que se deriva de lo dispuesto en el art. 27.1 CE, como capacidad de optar entre los diversos centros existentes, sean públicos o privados —aunque, naturalmente, el acceso efectivo al elegido dependerá de si se satisfacen o no los requisitos establecidos en el procedimiento de admisión de alumnos— porque el ejercicio de la facultad de escoger centro docente constituye ‘un modo de elegir una determinada formación religiosa y moral’ (STC 5/1981, de 13 de febrero, FJ 8, y ATC 382/1996, de 18 de diciembre, FJ 4)”. De esta manera, concluíamos que “la determinación por parte de los padres del tipo de educación que han de recibir sus hijos se limita a la libertad de elección del centro docente y al derecho a que sus hijos reciban una formación religiosa y moral que esté de acuerdo con sus propias convicciones [SSTC 133/2010, de 2 de diciembre, FJ 5 b), y 74/2018, de 5 de julio, FJ 4 a)], guardando ambos derechos una estrecha relación cuando la elección del centro docente constituya un modo de elegir una determinada formación religiosa y moral”.</w:t>
      </w:r>
    </w:p>
    <w:p w14:paraId="17AD4885" w14:textId="77777777" w:rsidR="00A8138F" w:rsidRDefault="00A8138F" w:rsidP="00A8138F">
      <w:pPr>
        <w:pStyle w:val="TextoNormal"/>
      </w:pPr>
    </w:p>
    <w:p w14:paraId="13D96515" w14:textId="77777777" w:rsidR="00A8138F" w:rsidRDefault="00A8138F" w:rsidP="00A8138F">
      <w:pPr>
        <w:pStyle w:val="TextoNormal"/>
      </w:pPr>
      <w:r>
        <w:t>La doctrina del Tribunal Constitucional y la propia formulación contenida en la letra de la Constitución, según la cual “[l]os poderes públicos garantizan el derecho que asiste a los padres para que sus hijos reciban la formación religiosa y moral que esté de acuerdo con sus propias convicciones” sugiere que el art. 27.3 CE ha de entenderse como una garantía que protege a los padres frente a la injerencia indebida del poder público. Se protege a los padres frente a un adoctrinamiento ideológico estatal contrario a las propias convicciones. Conforme a esa naturaleza de garantía constitucional frente al proselitismo del Estado, a la que se ha referido el Tribunal como “garantía institucional” [STC 5/2023, de 20 de febrero, FJ 2 c)], el conflicto horizontal entre los progenitores que mantienen perspectivas diversas sobre la formación religiosa de sus hijos comunes no siempre expresa una violación del citado precepto cuando se opta por una de ellas.</w:t>
      </w:r>
    </w:p>
    <w:p w14:paraId="3D82FA5D" w14:textId="77777777" w:rsidR="00A8138F" w:rsidRDefault="00A8138F" w:rsidP="00A8138F">
      <w:pPr>
        <w:pStyle w:val="TextoNormal"/>
      </w:pPr>
    </w:p>
    <w:p w14:paraId="5C2F5B86" w14:textId="6C3E5EA4" w:rsidR="00A8138F" w:rsidRDefault="00A8138F" w:rsidP="00A8138F">
      <w:pPr>
        <w:pStyle w:val="TextoNormal"/>
      </w:pPr>
      <w:r>
        <w:t>No obstante, en el caso presente, este derecho fundamental no se ha visto afectado por las resoluciones judiciales impugnadas, pues ambas se refieren, exclusivamente, a la actitud del recurrente en relación con su actividad religiosa en el ámbito doméstico, fuera del centro donde su hijo cursa sus estudios, y si la proyección externa de esta actividad privada afecta a los derechos de su hijo. Por tanto, la alegación relativa a la supuesta vulneración del art. 27.3 CE no puede ser apreciada.</w:t>
      </w:r>
    </w:p>
    <w:p w14:paraId="3315A107" w14:textId="77777777" w:rsidR="00A8138F" w:rsidRDefault="00A8138F" w:rsidP="00A8138F">
      <w:pPr>
        <w:pStyle w:val="TextoNormal"/>
      </w:pPr>
    </w:p>
    <w:p w14:paraId="64D8B6DA" w14:textId="77777777" w:rsidR="00A8138F" w:rsidRDefault="00A8138F" w:rsidP="00A8138F">
      <w:pPr>
        <w:pStyle w:val="TextoNormal"/>
      </w:pPr>
      <w:r w:rsidRPr="00A8138F">
        <w:rPr>
          <w:rStyle w:val="NumeroAFNegritaCaracter"/>
        </w:rPr>
        <w:t>5</w:t>
      </w:r>
      <w:r>
        <w:t xml:space="preserve">. </w:t>
      </w:r>
      <w:r w:rsidRPr="00A8138F">
        <w:rPr>
          <w:i/>
        </w:rPr>
        <w:t>Doctrina constitucional sobre la libertad religiosa y sus límites externos (art. 16 CE)</w:t>
      </w:r>
    </w:p>
    <w:p w14:paraId="385242F6" w14:textId="77777777" w:rsidR="00A8138F" w:rsidRDefault="00A8138F" w:rsidP="00A8138F">
      <w:pPr>
        <w:pStyle w:val="TextoNormal"/>
      </w:pPr>
    </w:p>
    <w:p w14:paraId="70E6BCBE" w14:textId="77777777" w:rsidR="00A8138F" w:rsidRDefault="00A8138F" w:rsidP="00A8138F">
      <w:pPr>
        <w:pStyle w:val="TextoNormal"/>
      </w:pPr>
      <w:r>
        <w:t>El recurrente considera que la conducta que le ha sido prohibida es ejercicio de su derecho a la libertad religiosa en cuanto le permite hacer manifestación externa de sus creencias y hacer partícipe de ellas a su hijo menor de edad para que, alcanzada la madurez tome las decisiones personales que entienda oportunas sobre sus propias creencias y valores.</w:t>
      </w:r>
    </w:p>
    <w:p w14:paraId="6373CF6B" w14:textId="77777777" w:rsidR="00A8138F" w:rsidRDefault="00A8138F" w:rsidP="00A8138F">
      <w:pPr>
        <w:pStyle w:val="TextoNormal"/>
      </w:pPr>
    </w:p>
    <w:p w14:paraId="60779C9D" w14:textId="77777777" w:rsidR="00A8138F" w:rsidRDefault="00A8138F" w:rsidP="00A8138F">
      <w:pPr>
        <w:pStyle w:val="TextoNormal"/>
      </w:pPr>
      <w:r>
        <w:t xml:space="preserve">El fundamento de tal pretensión, sin embargo, debe ser completado y matizado. En relación con la dimensión externa del derecho fundamental a la libertad religiosa alegado en la demanda, recordábamos en la STC 141/2000, de 29 de mayo, FJ 4 que “[l]a libertad de creencias, sea cual sea su naturaleza, religiosa o secular, representa el reconocimiento de un ámbito de actuación constitucionalmente inmune a la coacción estatal garantizado por el art. 16 CE, ‘sin más limitación, en sus manifestaciones, que las necesarias para el mantenimiento del orden público protegido por la ley’. Ampara, pues, un </w:t>
      </w:r>
      <w:r w:rsidRPr="00A8138F">
        <w:rPr>
          <w:i/>
        </w:rPr>
        <w:t>agere licere</w:t>
      </w:r>
      <w:r>
        <w:t xml:space="preserve"> consistente, por lo que ahora importa, en profesar las creencias que se desee y conducirse de acuerdo con ellas, así como mantenerlas frente a terceros y poder hacer proselitismo de las mismas. Esa facultad constitucional tiene una particular manifestación en el derecho a no ser discriminado por razón de credo o religión, de modo que las diferentes creencias no pueden sustentar diferencias de trato jurídico (SSTC 1/1981, de 26 de enero, FJ 5; AATC 271/1984, de 9 de mayo; 180/1986, de 21 de febrero; 480/1989, de 2 de octubre; 40/1999, de 22 de febrero; STEDH caso </w:t>
      </w:r>
      <w:r w:rsidRPr="00A8138F">
        <w:rPr>
          <w:i/>
        </w:rPr>
        <w:t>Hoffmann</w:t>
      </w:r>
      <w:r>
        <w:t>, § 33 y 36, por remisión del § 38), [aunque] posee una distinta intensidad según se proyecte sobre la propia conducta y la disposición que sobre la misma haga cada cual, o bien lo haga sobre la repercusión que esa conducta conforme con las propias creencias tenga en terceros, sean estos el propio Estado o los particulares, bien pretendiendo de ellos la observancia de un deber de abstenerse de interferir en nuestra libertad de creencias o bien pretendiendo que se constituyan en objeto y destinatarios de esas mismas creencias”.</w:t>
      </w:r>
    </w:p>
    <w:p w14:paraId="4EF9D0B1" w14:textId="77777777" w:rsidR="00A8138F" w:rsidRDefault="00A8138F" w:rsidP="00A8138F">
      <w:pPr>
        <w:pStyle w:val="TextoNormal"/>
      </w:pPr>
    </w:p>
    <w:p w14:paraId="78336324" w14:textId="77777777" w:rsidR="00A8138F" w:rsidRDefault="00A8138F" w:rsidP="00A8138F">
      <w:pPr>
        <w:pStyle w:val="TextoNormal"/>
      </w:pPr>
      <w:r>
        <w:t>De esta manera, señalamos en la citada sentencia que “[c]uando el art. 16.1 CE se invoca para el amparo de la propia conducta, sin incidencia directa sobre la ajena, la libertad de creencias dispensa una protección plena que únicamente vendrá delimitada por la coexistencia de dicha libertad con otros derechos fundamentales y bienes jurídicos constitucionalmente protegidos”.</w:t>
      </w:r>
    </w:p>
    <w:p w14:paraId="59032A2D" w14:textId="77777777" w:rsidR="00A8138F" w:rsidRDefault="00A8138F" w:rsidP="00A8138F">
      <w:pPr>
        <w:pStyle w:val="TextoNormal"/>
      </w:pPr>
    </w:p>
    <w:p w14:paraId="39A080FD" w14:textId="77777777" w:rsidR="00A8138F" w:rsidRDefault="00A8138F" w:rsidP="00A8138F">
      <w:pPr>
        <w:pStyle w:val="TextoNormal"/>
      </w:pPr>
      <w:r>
        <w:t>Sin embargo, en relación con su incidencia sobre la libertad de terceros, afirmábamos también que “cuando esa misma protección se reclama para efectuar manifestaciones externas de creencias, esto es, no para defenderse frente a las inmisiones de terceros en la libertad de creer o no creer, sino para reivindicar el derecho a hacerles partícipes de un modo u otro de las propias convicciones e incidir o condicionar el comportamiento ajeno en función de las mismas, la cuestión es bien distinta” (STC 141/2000, de 29 de mayo, FJ 4).</w:t>
      </w:r>
    </w:p>
    <w:p w14:paraId="44ABFBEE" w14:textId="77777777" w:rsidR="00A8138F" w:rsidRDefault="00A8138F" w:rsidP="00A8138F">
      <w:pPr>
        <w:pStyle w:val="TextoNormal"/>
      </w:pPr>
    </w:p>
    <w:p w14:paraId="77349428" w14:textId="77777777" w:rsidR="00A8138F" w:rsidRDefault="00A8138F" w:rsidP="00A8138F">
      <w:pPr>
        <w:pStyle w:val="TextoNormal"/>
      </w:pPr>
      <w:r>
        <w:t>Y, al delimitar su contenido, completamos nuestro razonamiento expresando que “[d]esde el momento en que sus convicciones y la adecuación de su conducta a las mismas se hace externa, y no se constriñe a su esfera privada e individual, haciéndose manifiesta a terceros hasta el punto de afectarles, el creyente no puede pretender, amparado en la libertad de creencias del art. 16.1 CE, que todo límite a ese comportamiento constituya sin más una restricción de su libertad infractora del precepto constitucional citado […]. El derecho que asiste al creyente de creer y conducirse personalmente conforme a sus convicciones no está sometido a más límites que los que le imponen el respeto a los derechos fundamentales ajenos y otros bienes jurídicos protegidos constitucionalmente; pero el derecho a manifestar sus creencias frente a terceros mediante su profesión pública, y el proselitismo de las mismas, suma a los primeros los límites indispensables para mantener el orden público protegido por la Ley […].</w:t>
      </w:r>
    </w:p>
    <w:p w14:paraId="177DA190" w14:textId="77777777" w:rsidR="00A8138F" w:rsidRDefault="00A8138F" w:rsidP="00A8138F">
      <w:pPr>
        <w:pStyle w:val="TextoNormal"/>
      </w:pPr>
    </w:p>
    <w:p w14:paraId="67EC24A6" w14:textId="77777777" w:rsidR="00A8138F" w:rsidRDefault="00A8138F" w:rsidP="00A8138F">
      <w:pPr>
        <w:pStyle w:val="TextoNormal"/>
      </w:pPr>
      <w:r>
        <w:t>La libertad de creencias encuentra, por otra parte, su límite más evidente en esa misma libertad, en su manifestación negativa, esto es, en el derecho del tercero afectado a no creer o a no compartir o a no soportar los actos de proselitismo ajenos”.</w:t>
      </w:r>
    </w:p>
    <w:p w14:paraId="60308724" w14:textId="77777777" w:rsidR="00A8138F" w:rsidRDefault="00A8138F" w:rsidP="00A8138F">
      <w:pPr>
        <w:pStyle w:val="TextoNormal"/>
      </w:pPr>
    </w:p>
    <w:p w14:paraId="62C2B4D3" w14:textId="77777777" w:rsidR="00A8138F" w:rsidRDefault="00A8138F" w:rsidP="00A8138F">
      <w:pPr>
        <w:pStyle w:val="TextoNormal"/>
      </w:pPr>
      <w:r>
        <w:t>Esta perspectiva es particularmente intensa en relación con los menores de edad, cuestión sobre la que ya señalamos que “[d]esde la perspectiva del art. 16 CE […] son titulares plenos de sus derechos fundamentales, en este caso, de sus derechos a la libertad de creencias y a su integridad moral, sin que el ejercicio de los mismos y la facultad de disponer sobre ellos se abandonen por entero a lo que al respecto puedan decidir aquellos que tengan atribuida su guarda y custodia o, como en este caso, su patria potestad, cuya incidencia sobre el disfrute del menor de sus derechos fundamentales se modulará en función de la madurez del niño y los distintos estadios en que la legislación gradúa su capacidad de obrar (arts. 162.1, 322 y 323 CC o el art. 30 Ley 30/1992, de 26 de noviembre, de régimen jurídico de las administraciones públicas y del procedimiento administrativo común). Así pues, sobre los poderes públicos, y muy en especial sobre los órganos judiciales, pesa el deber de velar por que el ejercicio de esas potestades por sus padres o tutores, o por quienes tengan atribuida su protección y defensa, se haga en interés del menor, y no al servicio de otros intereses, que por muy lícitos y respetables que puedan ser, deben postergarse ante el ‘superior’ del niño (SSTC 215/1994, de 14 de julio; 260/1994, de 3 de octubre; 60/1995, de 17 de marzo; 134/1999, de 15 de julio; STEDH de 23 de junio de 1993, cas</w:t>
      </w:r>
      <w:r w:rsidRPr="00A8138F">
        <w:rPr>
          <w:i/>
        </w:rPr>
        <w:t>o Hoffma</w:t>
      </w:r>
      <w:r>
        <w:t>nn).</w:t>
      </w:r>
    </w:p>
    <w:p w14:paraId="2CD17D4E" w14:textId="77777777" w:rsidR="00A8138F" w:rsidRDefault="00A8138F" w:rsidP="00A8138F">
      <w:pPr>
        <w:pStyle w:val="TextoNormal"/>
      </w:pPr>
    </w:p>
    <w:p w14:paraId="1372197B" w14:textId="77777777" w:rsidR="00A8138F" w:rsidRDefault="00A8138F" w:rsidP="00A8138F">
      <w:pPr>
        <w:pStyle w:val="TextoNormal"/>
      </w:pPr>
      <w:r>
        <w:t>En resumen, frente a la libertad de creencias de sus progenitores y su derecho a hacer proselitismo de las mismas con sus hijos, se alza como límite, además de la intangibilidad de la integridad moral de estos últimos, aquella misma libertad de creencias que asiste a los menores de edad, manifestada en su derecho a no compartir las convicciones de sus padres o a no sufrir sus actos de proselitismo, o más sencillamente, a mantener creencias diversas a las de sus padres, máxime cuando las de estos pudieran afectar negativamente a su desarrollo personal. Libertades y derechos de unos y otros que, de surgir el conflicto, deberán ser ponderados teniendo siempre presente el ‘interés superior’ de los menores de edad (arts. 15 y 16.1 CE en relación con el art. 39 CE)” (STC 141/2000, de 29 de mayo, FJ 5).</w:t>
      </w:r>
    </w:p>
    <w:p w14:paraId="3CC68E13" w14:textId="77777777" w:rsidR="00A8138F" w:rsidRDefault="00A8138F" w:rsidP="00A8138F">
      <w:pPr>
        <w:pStyle w:val="TextoNormal"/>
      </w:pPr>
    </w:p>
    <w:p w14:paraId="32B711AE" w14:textId="0585CCE1" w:rsidR="00A8138F" w:rsidRDefault="00A8138F" w:rsidP="00A8138F">
      <w:pPr>
        <w:pStyle w:val="TextoNormal"/>
      </w:pPr>
      <w:r>
        <w:t>Como ya anticipamos, solo teniendo presente esta perspectiva —la del interés superior del menor y sus derechos fundamentales— pueden abordarse y resolverse las quejas planteadas por su progenitor, ahora recurrente en amparo.</w:t>
      </w:r>
    </w:p>
    <w:p w14:paraId="31603070" w14:textId="77777777" w:rsidR="00A8138F" w:rsidRDefault="00A8138F" w:rsidP="00A8138F">
      <w:pPr>
        <w:pStyle w:val="TextoNormal"/>
      </w:pPr>
    </w:p>
    <w:p w14:paraId="0B1F7CD0" w14:textId="77777777" w:rsidR="00A8138F" w:rsidRDefault="00A8138F" w:rsidP="00A8138F">
      <w:pPr>
        <w:pStyle w:val="TextoNormal"/>
      </w:pPr>
      <w:r w:rsidRPr="00A8138F">
        <w:rPr>
          <w:rStyle w:val="NumeroAFNegritaCaracter"/>
        </w:rPr>
        <w:t>6</w:t>
      </w:r>
      <w:r>
        <w:t xml:space="preserve">. </w:t>
      </w:r>
      <w:r w:rsidRPr="00A8138F">
        <w:rPr>
          <w:i/>
        </w:rPr>
        <w:t>Doctrina del Tribunal Europeo de Derechos Humanos sobre las discrepancias en la formación religiosa de hijos comunes</w:t>
      </w:r>
    </w:p>
    <w:p w14:paraId="7C1D47A3" w14:textId="77777777" w:rsidR="00A8138F" w:rsidRDefault="00A8138F" w:rsidP="00A8138F">
      <w:pPr>
        <w:pStyle w:val="TextoNormal"/>
      </w:pPr>
    </w:p>
    <w:p w14:paraId="692767FE" w14:textId="77777777" w:rsidR="00A8138F" w:rsidRDefault="00A8138F" w:rsidP="00A8138F">
      <w:pPr>
        <w:pStyle w:val="TextoNormal"/>
      </w:pPr>
      <w:r>
        <w:t xml:space="preserve">En la reciente STEDH de 19 de mayo de 2022, asunto </w:t>
      </w:r>
      <w:r w:rsidRPr="00A8138F">
        <w:rPr>
          <w:i/>
        </w:rPr>
        <w:t>T.C., c. Italia</w:t>
      </w:r>
      <w:r>
        <w:t>, § 42 a 50) el tribunal europeo ha abordado un supuesto similar al presente en el que surge entre los progenitores una controversia sobre la formación religiosa de la hija común menor de edad. En esa medida, como veremos, es plenamente aplicable a la resolución de este caso. Uno de los progenitores, testigo de Jehová, involucraba a su hija menor de edad en los oficios religiosos, mientras que el otro progenitor reclamó el cese de tal adoctrinamiento para salvaguardar la libertad religiosa de la menor.</w:t>
      </w:r>
    </w:p>
    <w:p w14:paraId="0DE4CD14" w14:textId="77777777" w:rsidR="00A8138F" w:rsidRDefault="00A8138F" w:rsidP="00A8138F">
      <w:pPr>
        <w:pStyle w:val="TextoNormal"/>
      </w:pPr>
    </w:p>
    <w:p w14:paraId="700C7790" w14:textId="69FD9A56" w:rsidR="00A8138F" w:rsidRDefault="00A8138F" w:rsidP="00A8138F">
      <w:pPr>
        <w:pStyle w:val="TextoNormal"/>
      </w:pPr>
      <w:r>
        <w:t xml:space="preserve">El Tribunal Europeo de Derechos Humanos señaló que, en estos casos, al resolver la disputa, el objetivo prioritario debe ser el interés superior del menor, lo que implica conciliar las opciones educativas de cada progenitor y tratar de lograr un equilibrio satisfactorio entre las concepciones individuales de los padres, excluyendo cualquier juicio de valor y, en caso necesario, estableciendo normas mínimas sobre las prácticas religiosas personales (Decisión de 3 de noviembre de 2005, asunto </w:t>
      </w:r>
      <w:r w:rsidRPr="00A8138F">
        <w:rPr>
          <w:i/>
        </w:rPr>
        <w:t>F.L., c. Francia</w:t>
      </w:r>
      <w:r>
        <w:t>, núm. 61162/00). Recuerda en ese caso el Tribunal Europeo de Derechos Humanos que el interés de la menor reside principalmente en la necesidad de mantener y promover su desarrollo en un entorno abierto y pacífico, conciliando en la medida de lo posible los derechos y convicciones de cada uno de sus progenitores. Por otra parte, el Tribunal Europeo de Derechos Humanos observó que las resoluciones impugnadas no impedían al demandante participar en las actividades de los Testigos de Jehová a título personal. El hecho de que los tribunales nacionales ordenaran al demandante que se abstuviera de implicar activamente a su hija en sus actividades religiosas no limitó gravemente su relación con ella. En particular, no sufrió ninguna restricción de sus derechos de custodia y de visita. Los motivos entonces alegados por los órganos jurisdiccionales nacionales muestran que se centraron únicamente en el interés de la menor, al haber decidido protegerla de la supuesta tensión ejercida por los intensos esfuerzos del demandante para implicarla en sus actividades religiosas. En este contexto, el Tribunal Europeo de Derechos Humanos señala que el único objetivo de la medida impugnada era preservar la libertad de elección de la menor teniendo en cuenta las opiniones de su padre en materia de educación. En vista de lo anterior, concluyó el Tribunal Europeo de Derechos Humanos considerando que, el hecho de que los tribunales internos ordenaran al demandante que se abstuviera de involucrar activamente a la hija en su práctica religiosa, no puede considerarse constitutivo de una diferencia de trato, basada en la religión, entre el demandante y la madre de la niña.</w:t>
      </w:r>
    </w:p>
    <w:p w14:paraId="1ECBC45B" w14:textId="77777777" w:rsidR="00A8138F" w:rsidRDefault="00A8138F" w:rsidP="00A8138F">
      <w:pPr>
        <w:pStyle w:val="TextoNormal"/>
      </w:pPr>
    </w:p>
    <w:p w14:paraId="1F957D25" w14:textId="77777777" w:rsidR="00A8138F" w:rsidRDefault="00A8138F" w:rsidP="00A8138F">
      <w:pPr>
        <w:pStyle w:val="TextoNormal"/>
      </w:pPr>
      <w:r w:rsidRPr="00A8138F">
        <w:rPr>
          <w:rStyle w:val="NumeroAFNegritaCaracter"/>
        </w:rPr>
        <w:t>7</w:t>
      </w:r>
      <w:r>
        <w:t xml:space="preserve">. </w:t>
      </w:r>
      <w:r w:rsidRPr="00A8138F">
        <w:rPr>
          <w:i/>
        </w:rPr>
        <w:t>Aplicación al caso de la doctrina expuesta</w:t>
      </w:r>
    </w:p>
    <w:p w14:paraId="15251798" w14:textId="77777777" w:rsidR="00A8138F" w:rsidRDefault="00A8138F" w:rsidP="00A8138F">
      <w:pPr>
        <w:pStyle w:val="TextoNormal"/>
      </w:pPr>
    </w:p>
    <w:p w14:paraId="76397CFA" w14:textId="77777777" w:rsidR="00A8138F" w:rsidRDefault="00A8138F" w:rsidP="00A8138F">
      <w:pPr>
        <w:pStyle w:val="TextoNormal"/>
      </w:pPr>
      <w:r>
        <w:t>A la vista del contenido de las resoluciones judiciales impugnadas y del contenido de los derechos fundamentales en aparente conflicto, tal y como ha sido determinado por la jurisprudencia constitucional y del Tribunal Europeo de Derechos Humanos que ha sido reseñada, procede la desestimación del presente recurso de amparo por apreciar, como ha defendido el Ministerio Fiscal y la madre del menor, que no ha sido indebidamente afectada o limitada la libertad religiosa del demandante.</w:t>
      </w:r>
    </w:p>
    <w:p w14:paraId="414E13D7" w14:textId="77777777" w:rsidR="00A8138F" w:rsidRDefault="00A8138F" w:rsidP="00A8138F">
      <w:pPr>
        <w:pStyle w:val="TextoNormal"/>
      </w:pPr>
    </w:p>
    <w:p w14:paraId="7A63725A" w14:textId="77777777" w:rsidR="00A8138F" w:rsidRDefault="00A8138F" w:rsidP="00A8138F">
      <w:pPr>
        <w:pStyle w:val="TextoNormal"/>
      </w:pPr>
      <w:r>
        <w:t xml:space="preserve">En las resoluciones judiciales impugnadas en este proceso de amparo, los órganos judiciales resolvieron el conflicto y desacuerdo entre ambos progenitores sobre el ejercicio de la patria potestad compartida otorgando a la madre del menor “el ejercicio exclusivo de la patria potestad, respecto de la facultad de decidir sobre las decisiones de formación religiosa del menor hasta que tenga doce años, mediante la formación en valores de su hijo […], excluyendo, la adscripción efectiva a una confesión religiosa, y en consecuencia, prohibiendo expresamente al padre a llevar a su hijo […], a la iglesia evangélica, ponerle pasajes bíblicos en la </w:t>
      </w:r>
      <w:r w:rsidRPr="00A8138F">
        <w:rPr>
          <w:i/>
        </w:rPr>
        <w:t>tablet</w:t>
      </w:r>
      <w:r>
        <w:t>, y, en suma, adoctrinarle en la fe evangélica”.</w:t>
      </w:r>
    </w:p>
    <w:p w14:paraId="71A32C40" w14:textId="77777777" w:rsidR="00A8138F" w:rsidRDefault="00A8138F" w:rsidP="00A8138F">
      <w:pPr>
        <w:pStyle w:val="TextoNormal"/>
      </w:pPr>
    </w:p>
    <w:p w14:paraId="632F2075" w14:textId="77777777" w:rsidR="00A8138F" w:rsidRDefault="00A8138F" w:rsidP="00A8138F">
      <w:pPr>
        <w:pStyle w:val="TextoNormal"/>
      </w:pPr>
      <w:r>
        <w:t>Esta decisión, como subraya el Ministerio Fiscal, es temporal y en el auto se hace constar expresamente, en la parte dispositiva, que la resolución del expediente “no impide la incoación de un proceso jurisdiccional posterior con el mismo objeto, debiendo pronunciarse la resolución que se dicte sobre la confirmación, modificación o revocación de lo acordado”.</w:t>
      </w:r>
    </w:p>
    <w:p w14:paraId="068B6AE3" w14:textId="77777777" w:rsidR="00A8138F" w:rsidRDefault="00A8138F" w:rsidP="00A8138F">
      <w:pPr>
        <w:pStyle w:val="TextoNormal"/>
      </w:pPr>
    </w:p>
    <w:p w14:paraId="28B6BD12" w14:textId="77777777" w:rsidR="00A8138F" w:rsidRDefault="00A8138F" w:rsidP="00A8138F">
      <w:pPr>
        <w:pStyle w:val="TextoNormal"/>
      </w:pPr>
      <w:r>
        <w:t>A la vista de la jurisprudencia antes señalada, procede estimar que esta resolución judicial, además de ser coherente con el contenido de la libertad religiosa del menor e ir dirigida a salvaguardar su interés superior, identificado en este caso como la obligación de proteger la capacidad potencial del hijo menor de autodeterminarse en relación con el hecho religioso una vez alcance la madurez suficiente, venía también basada en el acuerdo pacífico anterior de los progenitores de que su hijo no recibiera formación religiosa, ni adoctrinamiento en religión, por lo que ni fue bautizado, ni se le impartieron clases de religión en el centro escolar en el que estaba matriculado, donde sí recibe formación en valores.</w:t>
      </w:r>
    </w:p>
    <w:p w14:paraId="2189E78D" w14:textId="77777777" w:rsidR="00A8138F" w:rsidRDefault="00A8138F" w:rsidP="00A8138F">
      <w:pPr>
        <w:pStyle w:val="TextoNormal"/>
      </w:pPr>
    </w:p>
    <w:p w14:paraId="538E32AE" w14:textId="77777777" w:rsidR="00A8138F" w:rsidRDefault="00A8138F" w:rsidP="00A8138F">
      <w:pPr>
        <w:pStyle w:val="TextoNormal"/>
      </w:pPr>
      <w:r>
        <w:t>En efecto, el recurrente cuestiona y considera ilegítimo que los órganos judiciales acordaran que, durante el tiempo que compartían, cesara en llevar a su hijo a oficios de la religión que profesa, así como que cesara en trasmitirle en el ámbito doméstico mensajes o ideas relativas a su religión. Pero tales limitaciones no lesionan los derechos fundamentales alegados por el recurrente.</w:t>
      </w:r>
    </w:p>
    <w:p w14:paraId="22D360B1" w14:textId="77777777" w:rsidR="00A8138F" w:rsidRDefault="00A8138F" w:rsidP="00A8138F">
      <w:pPr>
        <w:pStyle w:val="TextoNormal"/>
      </w:pPr>
    </w:p>
    <w:p w14:paraId="59D53AF9" w14:textId="77777777" w:rsidR="00A8138F" w:rsidRDefault="00A8138F" w:rsidP="00A8138F">
      <w:pPr>
        <w:pStyle w:val="TextoNormal"/>
      </w:pPr>
      <w:r>
        <w:t>Como ya antes se señaló, el derecho de los padres a que sus hijos reciban la formación religiosa y moral que esté de acuerdo con sus propias convicciones (art. 27.3 CE) no fue afectado por las resoluciones judiciales impugnadas, dado que los órganos judiciales limitaron sus resoluciones al ámbito doméstico o privado de la relación del recurrente con su hijo menor, pero en nada afectaron a la elección de los progenitores en relación al centro docente o educación (religiosa o no) que el menor debiera seguir en su formación escolar.</w:t>
      </w:r>
    </w:p>
    <w:p w14:paraId="2CC9533E" w14:textId="77777777" w:rsidR="00A8138F" w:rsidRDefault="00A8138F" w:rsidP="00A8138F">
      <w:pPr>
        <w:pStyle w:val="TextoNormal"/>
      </w:pPr>
    </w:p>
    <w:p w14:paraId="42ACA222" w14:textId="77777777" w:rsidR="00A8138F" w:rsidRDefault="00A8138F" w:rsidP="00A8138F">
      <w:pPr>
        <w:pStyle w:val="TextoNormal"/>
      </w:pPr>
      <w:r>
        <w:t>Y en cuanto a la libertad religiosa del recurrente, debe subrayarse que tampoco se vio indebidamente afectada por las decisiones judiciales adoptadas. El recurrente puede seguir asistiendo a los oficios religiosos que estime oportunos, pero sin la compañía de su hijo menor, lo que sin duda puede suponer una limitación de su vida privada, pero se halla justificada plenamente por la salvaguarda del derecho del menor a su libertad religiosa y al libre desarrollo de su personalidad.</w:t>
      </w:r>
    </w:p>
    <w:p w14:paraId="443A5607" w14:textId="77777777" w:rsidR="00A8138F" w:rsidRDefault="00A8138F" w:rsidP="00A8138F">
      <w:pPr>
        <w:pStyle w:val="TextoNormal"/>
      </w:pPr>
    </w:p>
    <w:p w14:paraId="6D1626BF" w14:textId="77777777" w:rsidR="00A8138F" w:rsidRDefault="00A8138F" w:rsidP="00A8138F">
      <w:pPr>
        <w:pStyle w:val="TextoNormal"/>
      </w:pPr>
      <w:r>
        <w:t>Además, dicha limitación no puede calificarse de desproporcionada teniendo en cuenta su contenido y la finalidad que trata de proteger, en tanto quela medida restrictiva (i) está prevista en la ley, en el art. 156 del Código civil; (ii) persigue un objetivo legítimo, como lo es salvaguardar los derechos fundamentales del menor; y (iii) no puede calificarse de desproporcionada en sí misma, puesto que el recurrente puede seguir ejerciendo su libertad religiosa sin más limite que respetar temporalmente el mismo derecho de su hijo menor de edad.</w:t>
      </w:r>
    </w:p>
    <w:p w14:paraId="7FDE1C27" w14:textId="77777777" w:rsidR="00A8138F" w:rsidRDefault="00A8138F" w:rsidP="00A8138F">
      <w:pPr>
        <w:pStyle w:val="TextoNormal"/>
      </w:pPr>
    </w:p>
    <w:p w14:paraId="77CF84EC" w14:textId="77777777" w:rsidR="00A8138F" w:rsidRDefault="00A8138F" w:rsidP="00A8138F">
      <w:pPr>
        <w:pStyle w:val="TextoNormal"/>
      </w:pPr>
      <w:r>
        <w:t>En definitiva, las medidas adoptadas por los órganos judiciales no pueden considerarse lesivas de los derechos alegados por el recurrente, que puede seguir ejercitando su libertad de religión a título individual, sin que la prohibición temporal de que le acompañe su hijo menor a los oficios religiosos o de que pueda trasmitirle mensajes religiosos en el ámbito doméstico pueda considerarse, a la luz de las circunstancias del caso y en aras de la protección del interés superior del menor, vulneradora de los derechos alegados y ya analizados.</w:t>
      </w:r>
    </w:p>
    <w:p w14:paraId="6A4F88D0" w14:textId="77777777" w:rsidR="00A8138F" w:rsidRDefault="00A8138F" w:rsidP="00A8138F">
      <w:pPr>
        <w:pStyle w:val="TextoNormal"/>
      </w:pPr>
    </w:p>
    <w:p w14:paraId="366C7857" w14:textId="28828C69" w:rsidR="00A8138F" w:rsidRDefault="00A8138F" w:rsidP="00A8138F">
      <w:pPr>
        <w:pStyle w:val="TextoNormal"/>
      </w:pPr>
      <w:r>
        <w:t>Por último, descartada la lesión del derecho a la libertad religiosa del recurrente, debe rechazarse por las mismas razones la queja de discriminación alegada, puesto que las medidas impugnadas en nada han afectado al contenido del art. 14 CE, dado que la atribución a la madre del menor del ejercicio exclusivo de la patria potestad respecto de la facultad de decidir sobre las decisiones de formación religiosa del menor hasta que tenga doce años, mediante la formación en valores de su hijo, se ha adoptado también en salvaguarda de los derechos del menor, con las prevenciones específicas de edad y contenidos que expresa. Dicha atribución cautelar a la madre de una faceta del ejercicio de la patria potestad se ha realizado, precisamente, para evitar el adoctrinamiento del menor en relación con cualquier religión, por lo que su contenido es meramente tuitivo de los derechos del menor sin que se atribuya a la madre ninguna facultad que pudiera ser constitutiva de discriminación.</w:t>
      </w:r>
    </w:p>
    <w:p w14:paraId="53080AD4" w14:textId="77777777" w:rsidR="00A8138F" w:rsidRDefault="00A8138F" w:rsidP="00A8138F">
      <w:pPr>
        <w:pStyle w:val="TextoNormal"/>
      </w:pPr>
    </w:p>
    <w:p w14:paraId="57573A6B" w14:textId="77777777" w:rsidR="00A8138F" w:rsidRDefault="00A8138F" w:rsidP="00A8138F">
      <w:pPr>
        <w:pStyle w:val="TextoNormalCentrado"/>
        <w:keepNext/>
      </w:pPr>
      <w:r>
        <w:t>FALLO</w:t>
      </w:r>
    </w:p>
    <w:p w14:paraId="2EEAF5DB" w14:textId="06E697B9" w:rsidR="00A8138F" w:rsidRDefault="00A8138F" w:rsidP="00A8138F">
      <w:pPr>
        <w:pStyle w:val="TextoNormalCentrado"/>
        <w:keepNext/>
      </w:pPr>
    </w:p>
    <w:p w14:paraId="2C985542" w14:textId="6B0B9F0A" w:rsidR="00A8138F" w:rsidRDefault="00A8138F" w:rsidP="00A8138F">
      <w:pPr>
        <w:pStyle w:val="TextoNormal"/>
      </w:pPr>
      <w:r>
        <w:t>En atención a todo lo expuesto, el Tribunal Constitucional, por la autoridad que le confiere la Constitución de la Nación española, ha decidido desestimar el recurso de amparo interpuesto por don M.J.B.D.</w:t>
      </w:r>
    </w:p>
    <w:p w14:paraId="53F6C9B8" w14:textId="77777777" w:rsidR="00A8138F" w:rsidRDefault="00A8138F" w:rsidP="00A8138F">
      <w:pPr>
        <w:pStyle w:val="TextoNormal"/>
      </w:pPr>
    </w:p>
    <w:p w14:paraId="1773727E" w14:textId="77777777" w:rsidR="00A8138F" w:rsidRDefault="00A8138F" w:rsidP="00A8138F">
      <w:pPr>
        <w:pStyle w:val="TextoNormal"/>
      </w:pPr>
      <w:r>
        <w:t>Publíquese esta sentencia en el “Boletín Oficial del Estado”.</w:t>
      </w:r>
    </w:p>
    <w:p w14:paraId="582E6F6A" w14:textId="77777777" w:rsidR="00A8138F" w:rsidRDefault="00A8138F" w:rsidP="00A8138F">
      <w:pPr>
        <w:pStyle w:val="TextoNormal"/>
      </w:pPr>
      <w:r>
        <w:t>Dada en Madrid, a veintiséis de mayo de dos mil veinticinco.</w:t>
      </w:r>
    </w:p>
    <w:p w14:paraId="0D36C261" w14:textId="08CBBAFD" w:rsidR="00A8138F" w:rsidRDefault="00A8138F">
      <w:pPr>
        <w:spacing w:after="160" w:line="278" w:lineRule="auto"/>
        <w:rPr>
          <w:rFonts w:ascii="Times New Roman" w:eastAsia="Times New Roman" w:hAnsi="Times New Roman" w:cs="Times New Roman"/>
          <w:sz w:val="24"/>
          <w:szCs w:val="24"/>
          <w:lang w:eastAsia="es-ES"/>
        </w:rPr>
      </w:pPr>
      <w:r>
        <w:br w:type="page"/>
      </w:r>
    </w:p>
    <w:p w14:paraId="11B9A0BC" w14:textId="77777777" w:rsidR="00A8138F" w:rsidRDefault="00A8138F" w:rsidP="00A8138F">
      <w:pPr>
        <w:pStyle w:val="TtuloResolucin"/>
      </w:pPr>
      <w:bookmarkStart w:id="122" w:name="SENTENCIA_2025_120"/>
      <w:r>
        <w:t>SENTENCIA 120/2025, de 26 de mayo de 2025</w:t>
      </w:r>
    </w:p>
    <w:bookmarkEnd w:id="122"/>
    <w:p w14:paraId="51062409" w14:textId="77777777" w:rsidR="00A8138F" w:rsidRDefault="00A8138F" w:rsidP="00A8138F">
      <w:pPr>
        <w:pStyle w:val="TtuloResolucin"/>
      </w:pPr>
      <w:r>
        <w:t>Sala Segunda</w:t>
      </w:r>
    </w:p>
    <w:p w14:paraId="4AA69BC1" w14:textId="77777777" w:rsidR="00A8138F" w:rsidRDefault="00A8138F" w:rsidP="00A8138F">
      <w:pPr>
        <w:pStyle w:val="TtuloBOE"/>
      </w:pPr>
      <w:r>
        <w:t>(BOE núm. 160, de 4 de julio de 2025)</w:t>
      </w:r>
    </w:p>
    <w:p w14:paraId="12B1BDFE" w14:textId="77777777" w:rsidR="00A8138F" w:rsidRDefault="00A8138F" w:rsidP="00A8138F">
      <w:pPr>
        <w:pStyle w:val="TextoNormalCentrado"/>
      </w:pPr>
      <w:r>
        <w:t>ECLI:ES:TC:2025:120</w:t>
      </w:r>
    </w:p>
    <w:p w14:paraId="7044D604" w14:textId="1BD342AE" w:rsidR="00A8138F" w:rsidRDefault="00A8138F" w:rsidP="00A8138F">
      <w:pPr>
        <w:pStyle w:val="TextoNormalCentrado"/>
      </w:pPr>
    </w:p>
    <w:p w14:paraId="36C6FA9D" w14:textId="77777777" w:rsidR="00A8138F" w:rsidRDefault="00A8138F" w:rsidP="00A8138F">
      <w:pPr>
        <w:pStyle w:val="SntesisDescriptiva"/>
      </w:pPr>
      <w:r>
        <w:t>Recurso de amparo 1750-2023. Promovido por los diputados del Grupo Popular en el Parlamento de La Rioja en relación con diversas resoluciones sobre convocatoria y fijación del orden del día del Pleno, admisión de una proposición de reforma del Reglamento de la Cámara y modificación de la composición de distintas comisiones.</w:t>
      </w:r>
    </w:p>
    <w:p w14:paraId="675B2519" w14:textId="7842D3DF" w:rsidR="00A8138F" w:rsidRDefault="00A8138F" w:rsidP="00A8138F">
      <w:pPr>
        <w:pStyle w:val="SntesisDescriptiva"/>
      </w:pPr>
    </w:p>
    <w:p w14:paraId="1C1B0EF7" w14:textId="77777777" w:rsidR="00A8138F" w:rsidRDefault="00A8138F" w:rsidP="00A8138F">
      <w:pPr>
        <w:pStyle w:val="SntesisAnaltica"/>
      </w:pPr>
      <w:r>
        <w:t>Vulneración del derecho a la participación política: anulación de los acuerdos del presidente del Parlamento que fijaron el orden del día del pleno de la Cámara prescindiendo del concurso de la junta de portavoces.</w:t>
      </w:r>
    </w:p>
    <w:p w14:paraId="53A54D5E" w14:textId="0795E266" w:rsidR="00A8138F" w:rsidRDefault="00A8138F" w:rsidP="00A8138F">
      <w:pPr>
        <w:pStyle w:val="SntesisAnaltica"/>
      </w:pPr>
    </w:p>
    <w:p w14:paraId="300D7376" w14:textId="723EEBED" w:rsidR="00A8138F" w:rsidRDefault="00A8138F" w:rsidP="00A8138F">
      <w:pPr>
        <w:pStyle w:val="Extracto"/>
      </w:pPr>
      <w:r>
        <w:t>1.</w:t>
      </w:r>
      <w:r>
        <w:tab/>
        <w:t>La denominada “autonomía normativa” de una Cámara legislativa viene determinada por su propio reglamento interno y, una vez aprobado este, las facultades de autodeterminación organizativa de la Cámara encuentran su límite en el respeto a los derechos de los parlamentarios, que integran su estatuto representativo [FJ 2].</w:t>
      </w:r>
    </w:p>
    <w:p w14:paraId="26B80674" w14:textId="77777777" w:rsidR="00A8138F" w:rsidRDefault="00A8138F" w:rsidP="00A8138F">
      <w:pPr>
        <w:pStyle w:val="Extracto"/>
      </w:pPr>
    </w:p>
    <w:p w14:paraId="29E9CCC3" w14:textId="6C044C06" w:rsidR="00A8138F" w:rsidRDefault="00A8138F" w:rsidP="00A8138F">
      <w:pPr>
        <w:pStyle w:val="Extracto"/>
      </w:pPr>
      <w:r>
        <w:t>2.</w:t>
      </w:r>
      <w:r>
        <w:tab/>
        <w:t xml:space="preserve">Si el Reglamento parlamentario otorga a los grupos parlamentarios el derecho a participar en la fijación del orden del día a través de la junta de portavoces, las resoluciones del presidente del Parlamento fijando el orden del día de esas sesiones, sin contar con el acuerdo de la junta de portavoces, vulneran el derecho de participación política </w:t>
      </w:r>
      <w:r w:rsidRPr="00A8138F">
        <w:rPr>
          <w:i/>
        </w:rPr>
        <w:t>ex</w:t>
      </w:r>
      <w:r>
        <w:t xml:space="preserve"> art. 23.2 CE [FJ 3].</w:t>
      </w:r>
    </w:p>
    <w:p w14:paraId="2DAE0806" w14:textId="77777777" w:rsidR="00A8138F" w:rsidRDefault="00A8138F" w:rsidP="00A8138F">
      <w:pPr>
        <w:pStyle w:val="Extracto"/>
      </w:pPr>
    </w:p>
    <w:p w14:paraId="495DED67" w14:textId="6FF92C78" w:rsidR="00A8138F" w:rsidRDefault="00A8138F" w:rsidP="00A8138F">
      <w:pPr>
        <w:pStyle w:val="Extracto"/>
      </w:pPr>
      <w:r>
        <w:t>3.</w:t>
      </w:r>
      <w:r>
        <w:tab/>
        <w:t>Considerando el principio de proporcionalidad en el ámbito de la representación política, la inclusión del pluralismo político como un valor jurídico fundamental (art. 1.1 CE) y la consagración constitucional de los partidos políticos como expresión de tal pluralismo, las decisiones de la mayoría no pueden ignorar los llamados “derechos de las minorías” (SSTC 32/1985 o 116/2023) [FJ 6].</w:t>
      </w:r>
    </w:p>
    <w:p w14:paraId="417AEE1E" w14:textId="77777777" w:rsidR="00A8138F" w:rsidRDefault="00A8138F" w:rsidP="00A8138F">
      <w:pPr>
        <w:pStyle w:val="Extracto"/>
      </w:pPr>
    </w:p>
    <w:p w14:paraId="3FDDE48D" w14:textId="11302D47" w:rsidR="00A8138F" w:rsidRDefault="00A8138F" w:rsidP="00A8138F">
      <w:pPr>
        <w:pStyle w:val="Extracto"/>
      </w:pPr>
      <w:r>
        <w:t>4.</w:t>
      </w:r>
      <w:r>
        <w:tab/>
        <w:t xml:space="preserve">Para apreciar la vulneración del derecho de participación política en condiciones de igualdad </w:t>
      </w:r>
      <w:r w:rsidRPr="00A8138F">
        <w:rPr>
          <w:i/>
        </w:rPr>
        <w:t xml:space="preserve">ex </w:t>
      </w:r>
      <w:r>
        <w:t>art. 23.2 CE, la desviación o quiebra de la regla de proporcionalidad debe venir anudada a una situación notablemente desventajosa y a la ausencia de todo criterio objetivo o razonamiento que la justifique [FJ 6].</w:t>
      </w:r>
    </w:p>
    <w:p w14:paraId="0BDE805F" w14:textId="77777777" w:rsidR="00A8138F" w:rsidRDefault="00A8138F" w:rsidP="00A8138F">
      <w:pPr>
        <w:pStyle w:val="Extracto"/>
      </w:pPr>
    </w:p>
    <w:p w14:paraId="0B88275D" w14:textId="77777777" w:rsidR="00A8138F" w:rsidRDefault="00A8138F" w:rsidP="00A8138F">
      <w:pPr>
        <w:pStyle w:val="Extracto"/>
      </w:pPr>
    </w:p>
    <w:p w14:paraId="75B00A35"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6AFCF19" w14:textId="6DCD3D28" w:rsidR="00A8138F" w:rsidRDefault="00A8138F" w:rsidP="00A8138F">
      <w:pPr>
        <w:pStyle w:val="TextoNormal"/>
      </w:pPr>
    </w:p>
    <w:p w14:paraId="235F573B" w14:textId="77777777" w:rsidR="00A8138F" w:rsidRDefault="00A8138F" w:rsidP="00A8138F">
      <w:pPr>
        <w:pStyle w:val="TextoNormalCentrado"/>
        <w:keepNext/>
      </w:pPr>
      <w:r>
        <w:t>EN NOMBRE DEL REY</w:t>
      </w:r>
    </w:p>
    <w:p w14:paraId="48AB85C3" w14:textId="77376660" w:rsidR="00A8138F" w:rsidRDefault="00A8138F" w:rsidP="00A8138F">
      <w:pPr>
        <w:pStyle w:val="TextoNormalCentrado"/>
        <w:keepNext/>
      </w:pPr>
    </w:p>
    <w:p w14:paraId="374D250A" w14:textId="77777777" w:rsidR="00A8138F" w:rsidRDefault="00A8138F" w:rsidP="00A8138F">
      <w:pPr>
        <w:pStyle w:val="TextoNormalCentrado"/>
        <w:keepNext/>
      </w:pPr>
    </w:p>
    <w:p w14:paraId="315B6B99" w14:textId="77777777" w:rsidR="00A8138F" w:rsidRDefault="00A8138F" w:rsidP="00A8138F">
      <w:pPr>
        <w:pStyle w:val="TextoNormal"/>
      </w:pPr>
      <w:r>
        <w:t>la siguiente</w:t>
      </w:r>
    </w:p>
    <w:p w14:paraId="0D3EE3BA" w14:textId="40B315E3" w:rsidR="00A8138F" w:rsidRDefault="00A8138F" w:rsidP="00A8138F">
      <w:pPr>
        <w:pStyle w:val="TextoNormal"/>
      </w:pPr>
    </w:p>
    <w:p w14:paraId="2E666E3E" w14:textId="77777777" w:rsidR="00A8138F" w:rsidRDefault="00A8138F" w:rsidP="00A8138F">
      <w:pPr>
        <w:pStyle w:val="TextoNormalCentrado"/>
        <w:keepNext/>
      </w:pPr>
      <w:r>
        <w:t>SENTENCIA</w:t>
      </w:r>
    </w:p>
    <w:p w14:paraId="4DC25D55" w14:textId="34835BD3" w:rsidR="00A8138F" w:rsidRDefault="00A8138F" w:rsidP="00A8138F">
      <w:pPr>
        <w:pStyle w:val="TextoNormalCentrado"/>
        <w:keepNext/>
      </w:pPr>
    </w:p>
    <w:p w14:paraId="013320FD" w14:textId="77777777" w:rsidR="00A8138F" w:rsidRDefault="00A8138F" w:rsidP="00A8138F">
      <w:pPr>
        <w:pStyle w:val="TextoNormal"/>
      </w:pPr>
      <w:r>
        <w:t>En el recurso de amparo núm. 1750-2023, interpuesto por don Jesús Ángel Garrido Martínez, portavoz del Grupo Parlamentario Popular en el Parlamento de La Rioja, y los restantes diputados de este grupo parlamentario en la décima legislatura, contra las resoluciones del presidente del Parlamento de La Rioja de 16 y 23 de diciembre de 2022, por las que se fija el orden del día de sendos plenos de la Cámara, que convoca para los días 19 y 29 del mismo mes, así como frente a diversos acuerdos de la mesa del Parlamento de 28 y 29 de diciembre de 2022; de 10, 16 y 17 de enero de 2023, y de 9 de febrero de 2023. Ha comparecido y formulado alegaciones la procuradora de los tribunales doña María Luisa Marco Ciria, en representación de don Jesús María García García, presidente del Parlamento de La Rioja, y de don Raúl Díaz Marín, don Javier García Ibáñez y doña María Teresa Villuendas Asensio. Ha intervenido el Ministerio Fiscal. Ha sido ponente el magistrado don Enrique Arnaldo Alcubilla.</w:t>
      </w:r>
    </w:p>
    <w:p w14:paraId="07911B38" w14:textId="695BC8CC" w:rsidR="00A8138F" w:rsidRDefault="00A8138F" w:rsidP="00A8138F">
      <w:pPr>
        <w:pStyle w:val="TextoNormal"/>
      </w:pPr>
    </w:p>
    <w:p w14:paraId="2DA28D10" w14:textId="77777777" w:rsidR="00A8138F" w:rsidRDefault="00A8138F" w:rsidP="00A8138F">
      <w:pPr>
        <w:pStyle w:val="TextoNormalNegritaCentrado"/>
        <w:keepNext/>
      </w:pPr>
      <w:r>
        <w:t>I. Antecedentes</w:t>
      </w:r>
    </w:p>
    <w:p w14:paraId="6AF9FB70" w14:textId="132FD8F3" w:rsidR="00A8138F" w:rsidRDefault="00A8138F" w:rsidP="00A8138F">
      <w:pPr>
        <w:pStyle w:val="TextoNormalNegritaCentrado"/>
        <w:keepNext/>
      </w:pPr>
    </w:p>
    <w:p w14:paraId="7C0FA175" w14:textId="0AE869FA" w:rsidR="00A8138F" w:rsidRDefault="00A8138F" w:rsidP="00A8138F">
      <w:pPr>
        <w:pStyle w:val="TextoNormal"/>
      </w:pPr>
      <w:r w:rsidRPr="00A8138F">
        <w:rPr>
          <w:rStyle w:val="NumeroAFNegritaCaracter"/>
        </w:rPr>
        <w:t>1</w:t>
      </w:r>
      <w:r>
        <w:t>. Mediante escrito presentado en el registro general de este tribunal, el día 15 de marzo de 2023, la procuradora de los tribunales doña María del Pilar Zueco Cidraque, en nombre y representación de don Jesús Ángel Garrido Martínez, portavoz del Grupo Parlamentario Popular en el Parlamento de La Rioja, y de los restantes diputados de este grupo parlamentario en la décima legislatura de la Cámara, con asistencia del abogado don Adolfo Alonso de Leonardo-Conde, interpuso recurso de amparo contra los acuerdos y resoluciones del Parlamento de La Rioja referidos en el encabezamiento.</w:t>
      </w:r>
    </w:p>
    <w:p w14:paraId="6DBD6F0F" w14:textId="77777777" w:rsidR="00A8138F" w:rsidRDefault="00A8138F" w:rsidP="00A8138F">
      <w:pPr>
        <w:pStyle w:val="TextoNormal"/>
      </w:pPr>
    </w:p>
    <w:p w14:paraId="066C2520" w14:textId="77777777" w:rsidR="00A8138F" w:rsidRDefault="00A8138F" w:rsidP="00A8138F">
      <w:pPr>
        <w:pStyle w:val="TextoNormal"/>
      </w:pPr>
      <w:r w:rsidRPr="00A8138F">
        <w:rPr>
          <w:rStyle w:val="NumeroAFNegritaCaracter"/>
        </w:rPr>
        <w:t>2</w:t>
      </w:r>
      <w:r>
        <w:t>. El recurso de amparo tiene su origen en los antecedentes que seguidamente se relacionan.</w:t>
      </w:r>
    </w:p>
    <w:p w14:paraId="04CDDAA6" w14:textId="77777777" w:rsidR="00A8138F" w:rsidRDefault="00A8138F" w:rsidP="00A8138F">
      <w:pPr>
        <w:pStyle w:val="TextoNormal"/>
      </w:pPr>
    </w:p>
    <w:p w14:paraId="4A2C2E7B" w14:textId="77777777" w:rsidR="00A8138F" w:rsidRDefault="00A8138F" w:rsidP="00A8138F">
      <w:pPr>
        <w:pStyle w:val="TextoNormal"/>
      </w:pPr>
      <w:r>
        <w:t>A) Constituido el Parlamento de La Rioja y dado comienzo a su décima legislatura el día 20 de junio de 2019, los treinta y tres diputados que constituían la Cámara autonómica se integraron en los cuatro siguientes grupos parlamentarios: Grupo Parlamentario Socialista, con quince diputados; Grupo Parlamentario Popular, con doce diputados; Grupo Parlamentario Ciudadanos, con cuatro diputados, y Grupo Parlamentario Mixto, con dos diputados.</w:t>
      </w:r>
    </w:p>
    <w:p w14:paraId="464192F2" w14:textId="77777777" w:rsidR="00A8138F" w:rsidRDefault="00A8138F" w:rsidP="00A8138F">
      <w:pPr>
        <w:pStyle w:val="TextoNormal"/>
      </w:pPr>
    </w:p>
    <w:p w14:paraId="4D701C47" w14:textId="77777777" w:rsidR="00A8138F" w:rsidRDefault="00A8138F" w:rsidP="00A8138F">
      <w:pPr>
        <w:pStyle w:val="TextoNormal"/>
      </w:pPr>
      <w:r>
        <w:t>El día 28 de abril de 2022, la diputada doña Raquel Romero Alonso, perteneciente al partido político Podemos-Equo e integrada en el Grupo Parlamentario Mixto, fue declarada por la mesa del Parlamento de La Rioja diputada no adscrita, pasando este grupo a estar integrado por una sola diputada, doña Henar Moreno Martínez, perteneciente al partido político Izquierda Unida.</w:t>
      </w:r>
    </w:p>
    <w:p w14:paraId="651B7B74" w14:textId="77777777" w:rsidR="00A8138F" w:rsidRDefault="00A8138F" w:rsidP="00A8138F">
      <w:pPr>
        <w:pStyle w:val="TextoNormal"/>
      </w:pPr>
    </w:p>
    <w:p w14:paraId="1BC08496" w14:textId="77777777" w:rsidR="00A8138F" w:rsidRDefault="00A8138F" w:rsidP="00A8138F">
      <w:pPr>
        <w:pStyle w:val="TextoNormal"/>
      </w:pPr>
      <w:r>
        <w:t>Dicha decisión alteró el equilibrio político y parlamentario existente tanto en el Pleno del Parlamento de La Rioja como —y en lo que aquí interesa, sobre todo— en la junta de portavoces, a la que el Reglamento de la Cámara (en la redacción vigente hasta su reforma, el día 25 de enero de 2023) atribuía importantes funciones en aspectos como la programación y coordinación del trabajo parlamentario. En efecto, hasta el momento en el que la diputada doña Raquel Romero Alonso pasó a la condición de diputada no adscrita, la junta de portavoces estaba integrada por los portavoces de los cuatro grupos parlamentarios de la Cámara, que tomaban sus decisiones de acuerdo con el criterio del voto ponderado, de conformidad con lo previsto en el art. 34.1 y 4 del Reglamento del Parlamento de La Rioja (RPR). De suerte que, hasta ese momento, en base al acuerdo de gobernabilidad que habían suscrito para la legislatura los partidos políticos PSOE, Izquierda Unida y Podemos-Equo, los portavoces de los grupos parlamentarios Socialista y Mixto sumaban en la junta de portavoces un total de diecisiete votos, frente a los dieciséis de los portavoces de los grupos parlamentarios Popular y Ciudadanos. Al perder el Grupo Parlamentario Mixto a uno de sus dos miembros, también se redujo su peso ponderado en la junta de portavoces, de modo que los votos ponderados de los dos portavoces de los grupos mayoritarios de la Cámara quedaban igualados a los de los portavoces de los grupos de la oposición, no siendo posible en este caso computar el voto de la diputada no adscrita, condición que se define precisamente por no formar parte de ningún grupo parlamentario.</w:t>
      </w:r>
    </w:p>
    <w:p w14:paraId="187F2A8B" w14:textId="77777777" w:rsidR="00A8138F" w:rsidRDefault="00A8138F" w:rsidP="00A8138F">
      <w:pPr>
        <w:pStyle w:val="TextoNormal"/>
      </w:pPr>
    </w:p>
    <w:p w14:paraId="0DD25CC2" w14:textId="77777777" w:rsidR="00A8138F" w:rsidRDefault="00A8138F" w:rsidP="00A8138F">
      <w:pPr>
        <w:pStyle w:val="TextoNormal"/>
      </w:pPr>
      <w:r>
        <w:t>B) A partir del momento en el que la diputada doña Raquel Romero Alonso fue declarada diputada no adscrita, pasando el Grupo Parlamentario Mixto a estar integrado por una sola diputada, se sucedieron diversas resoluciones del presidente del Parlamento de La Rioja y acuerdos de la mesa, que se adoptaron oída la junta de portavoces, y que son objeto del presente recurso de amparo. Se relacionan a continuación.</w:t>
      </w:r>
    </w:p>
    <w:p w14:paraId="7BE56A74" w14:textId="77777777" w:rsidR="00A8138F" w:rsidRDefault="00A8138F" w:rsidP="00A8138F">
      <w:pPr>
        <w:pStyle w:val="TextoNormal"/>
      </w:pPr>
    </w:p>
    <w:p w14:paraId="30771F4E" w14:textId="77777777" w:rsidR="00A8138F" w:rsidRDefault="00A8138F" w:rsidP="00A8138F">
      <w:pPr>
        <w:pStyle w:val="TextoNormal"/>
      </w:pPr>
      <w:r>
        <w:t>a) Resoluciones del presidente del Parlamento de La Rioja.</w:t>
      </w:r>
    </w:p>
    <w:p w14:paraId="36EFB403" w14:textId="77777777" w:rsidR="00A8138F" w:rsidRDefault="00A8138F" w:rsidP="00A8138F">
      <w:pPr>
        <w:pStyle w:val="TextoNormal"/>
      </w:pPr>
    </w:p>
    <w:p w14:paraId="4550D483" w14:textId="77777777" w:rsidR="00A8138F" w:rsidRDefault="00A8138F" w:rsidP="00A8138F">
      <w:pPr>
        <w:pStyle w:val="TextoNormal"/>
      </w:pPr>
      <w:r>
        <w:t>El día 16 de diciembre de 2022, el presidente del Parlamento convocó, de conformidad con el art. 50 RPR, la sesión del Pleno para el día 19 de diciembre de 2022, fijando el orden del día de esa sesión sin el acuerdo de la junta de portavoces, cuyo parecer fue consultado en la sesión de esta de 15 de diciembre de 2022. El orden del día de esa sesión incluía los debates del proyecto de Ley de presupuestos generales de la Comunidad Autónoma de La Rioja para el año 2023, del proyecto de Ley de juventud de La Rioja, y (en lectura única) del proyecto de Ley de declaración del parque natural del Alto Najerilla, además de determinadas preguntas orales a la Presidencia del Gobierno de La Rioja.</w:t>
      </w:r>
    </w:p>
    <w:p w14:paraId="0C6E78EA" w14:textId="77777777" w:rsidR="00A8138F" w:rsidRDefault="00A8138F" w:rsidP="00A8138F">
      <w:pPr>
        <w:pStyle w:val="TextoNormal"/>
      </w:pPr>
    </w:p>
    <w:p w14:paraId="236AFBE8" w14:textId="77777777" w:rsidR="00A8138F" w:rsidRDefault="00A8138F" w:rsidP="00A8138F">
      <w:pPr>
        <w:pStyle w:val="TextoNormal"/>
      </w:pPr>
      <w:r>
        <w:t>El día 23 de diciembre de 2022, el presidente del Parlamento convocó, de conformidad con el art. 50 RPR, la sesión del Pleno para el día 29 de diciembre de 2022 y fijó el orden del día, también sin el acuerdo de la junta de portavoces, cuyo parecer fue consultado en su sesión del día 23 de diciembre de 2022. El orden del día incluía el debate (también en lectura única) de la proposición de ley de medidas fiscales y administrativas para el año 2023.</w:t>
      </w:r>
    </w:p>
    <w:p w14:paraId="17C1C23E" w14:textId="77777777" w:rsidR="00A8138F" w:rsidRDefault="00A8138F" w:rsidP="00A8138F">
      <w:pPr>
        <w:pStyle w:val="TextoNormal"/>
      </w:pPr>
    </w:p>
    <w:p w14:paraId="2B8E9655" w14:textId="77777777" w:rsidR="00A8138F" w:rsidRDefault="00A8138F" w:rsidP="00A8138F">
      <w:pPr>
        <w:pStyle w:val="TextoNormal"/>
      </w:pPr>
      <w:r>
        <w:t>b) Acuerdos de la mesa del Parlamento de La Rioja sobre sesiones extraordinarias.</w:t>
      </w:r>
    </w:p>
    <w:p w14:paraId="1DA3D3F9" w14:textId="77777777" w:rsidR="00A8138F" w:rsidRDefault="00A8138F" w:rsidP="00A8138F">
      <w:pPr>
        <w:pStyle w:val="TextoNormal"/>
      </w:pPr>
    </w:p>
    <w:p w14:paraId="48EA94EF" w14:textId="77777777" w:rsidR="00A8138F" w:rsidRDefault="00A8138F" w:rsidP="00A8138F">
      <w:pPr>
        <w:pStyle w:val="TextoNormal"/>
      </w:pPr>
      <w:r>
        <w:t>(i) Acuerdo de 29 de diciembre de 2022 por el que se aprobó, sin el acuerdo de la junta de portavoces y tras oír su parecer, la celebración de catorce sesiones extraordinarias en distintos órganos parlamentarios durante el mes de enero de 2023.</w:t>
      </w:r>
    </w:p>
    <w:p w14:paraId="11205A52" w14:textId="77777777" w:rsidR="00A8138F" w:rsidRDefault="00A8138F" w:rsidP="00A8138F">
      <w:pPr>
        <w:pStyle w:val="TextoNormal"/>
      </w:pPr>
    </w:p>
    <w:p w14:paraId="4C6352C8" w14:textId="77777777" w:rsidR="00A8138F" w:rsidRDefault="00A8138F" w:rsidP="00A8138F">
      <w:pPr>
        <w:pStyle w:val="TextoNormal"/>
      </w:pPr>
      <w:r>
        <w:t>(ii) Acuerdo de 10 de enero de 2023, por el que se aprobó, sin el acuerdo de la junta de portavoces y tras oír su parecer, la celebración de sesión extraordinaria de la Comisión de Salud el día 19 de enero de 2023.</w:t>
      </w:r>
    </w:p>
    <w:p w14:paraId="50EF3F57" w14:textId="77777777" w:rsidR="00A8138F" w:rsidRDefault="00A8138F" w:rsidP="00A8138F">
      <w:pPr>
        <w:pStyle w:val="TextoNormal"/>
      </w:pPr>
    </w:p>
    <w:p w14:paraId="2E342BFA" w14:textId="77777777" w:rsidR="00A8138F" w:rsidRDefault="00A8138F" w:rsidP="00A8138F">
      <w:pPr>
        <w:pStyle w:val="TextoNormal"/>
      </w:pPr>
      <w:r>
        <w:t>Frente a los anteriores acuerdos de la mesa se presentó por el portavoz del Grupo Parlamentario Popular solicitud de reconsideración, alegando que la autorización de las sesiones extraordinarias sin el acuerdo de la junta de portavoces infringía lo establecido en el art. 28.1 b) RPR. Dichas peticiones de reconsideración fueron desestimadas, respectivamente, por acuerdos de la mesa de 10 y 17 de enero de 2023.</w:t>
      </w:r>
    </w:p>
    <w:p w14:paraId="52E564DE" w14:textId="77777777" w:rsidR="00A8138F" w:rsidRDefault="00A8138F" w:rsidP="00A8138F">
      <w:pPr>
        <w:pStyle w:val="TextoNormal"/>
      </w:pPr>
    </w:p>
    <w:p w14:paraId="63D8EDD3" w14:textId="77777777" w:rsidR="00A8138F" w:rsidRDefault="00A8138F" w:rsidP="00A8138F">
      <w:pPr>
        <w:pStyle w:val="TextoNormal"/>
      </w:pPr>
      <w:r>
        <w:t>c) Acuerdo de la mesa del Parlamento que admite a trámite la proposición de ley sobre modificación de preceptos del Reglamento de la Cámara.</w:t>
      </w:r>
    </w:p>
    <w:p w14:paraId="778710B9" w14:textId="77777777" w:rsidR="00A8138F" w:rsidRDefault="00A8138F" w:rsidP="00A8138F">
      <w:pPr>
        <w:pStyle w:val="TextoNormal"/>
      </w:pPr>
    </w:p>
    <w:p w14:paraId="209AB702" w14:textId="77777777" w:rsidR="00A8138F" w:rsidRDefault="00A8138F" w:rsidP="00A8138F">
      <w:pPr>
        <w:pStyle w:val="TextoNormal"/>
      </w:pPr>
      <w:r>
        <w:t>Los grupos parlamentarios Socialista y Mixto presentaron el día 23 de diciembre de 2022 una proposición de ley para la modificación de varios preceptos del Reglamento de la Cámara por el procedimiento de urgencia en tramitación directa y lectura única. En concreto, la propuesta de reforma afectaba a las siguientes disposiciones: en el art. 28.1 b) RPR, donde antes decía que correspondía a la mesa “[p]rogramar las líneas generales de actuación de la Cámara para cada periodo de sesiones y coordinar los trabajos de sus diferentes órganos, de acuerdo con la junta de portavoces”, la proposición sustituía el inciso final por “oída la junta de portavoces”; en el art. 58.1 RPR, donde decía que “[e]l orden del día del Pleno será fijado por el presidente, de acuerdo con la mesa y la junta de portavoces, sin perjuicio de lo dispuesto en el artículo 54.1”, la proposición sustituía la última frase por “de acuerdo con la mesa y oída la junta de portavoces”; y en el art. 133.2 RPR, donde decía que “podrán realizarse debates generales sobre la acción política y de gobierno cuando lo solicite el presidente de la Comunidad o lo decida la mesa, de acuerdo con la junta de portavoces, a iniciativa de dos grupos parlamentarios o de una quinta parte de los diputados”, la proposición nuevamente disponía que no se requería el acuerdo, sino simplemente que fuera “oída la junta de portavoces”.</w:t>
      </w:r>
    </w:p>
    <w:p w14:paraId="3964FFED" w14:textId="77777777" w:rsidR="00A8138F" w:rsidRDefault="00A8138F" w:rsidP="00A8138F">
      <w:pPr>
        <w:pStyle w:val="TextoNormal"/>
      </w:pPr>
    </w:p>
    <w:p w14:paraId="36A87978" w14:textId="77777777" w:rsidR="00A8138F" w:rsidRDefault="00A8138F" w:rsidP="00A8138F">
      <w:pPr>
        <w:pStyle w:val="TextoNormal"/>
      </w:pPr>
      <w:r>
        <w:t>La mesa del Parlamento de La Rioja, por acuerdo de 28 de diciembre de 2022, admitió a trámite la referida proposición de ley de modificación del Reglamento y el día 29 de diciembre de 2022, oído el parecer de la junta de portavoces, elevó al Pleno la propuesta de tramitación directa y en lectura única de la iniciativa. La proposición de ley de modificación del Reglamento fue aprobada por el Pleno, en sesión de 25 de enero de 2023, siendo publicada en el “Boletín Oficial del Parlamento de La Rioja” el día 26 de enero de 2023.</w:t>
      </w:r>
    </w:p>
    <w:p w14:paraId="17E77FE7" w14:textId="77777777" w:rsidR="00A8138F" w:rsidRDefault="00A8138F" w:rsidP="00A8138F">
      <w:pPr>
        <w:pStyle w:val="TextoNormal"/>
      </w:pPr>
    </w:p>
    <w:p w14:paraId="03907C8D" w14:textId="77777777" w:rsidR="00A8138F" w:rsidRDefault="00A8138F" w:rsidP="00A8138F">
      <w:pPr>
        <w:pStyle w:val="TextoNormal"/>
      </w:pPr>
      <w:r>
        <w:t>Presentada solicitud de reconsideración contra los referidos acuerdos de 28 y 29 de diciembre de 2022 por el portavoz del Grupo Parlamentario Popular y por los dos diputados de este grupo que ostentaban en la mesa del Parlamento los cargos de vicepresidente y segunda secretaria, dicha solicitud fue desestimada por sendos acuerdos de la mesa de 10 de enero de 2023.</w:t>
      </w:r>
    </w:p>
    <w:p w14:paraId="761559A6" w14:textId="77777777" w:rsidR="00A8138F" w:rsidRDefault="00A8138F" w:rsidP="00A8138F">
      <w:pPr>
        <w:pStyle w:val="TextoNormal"/>
      </w:pPr>
    </w:p>
    <w:p w14:paraId="19745BEE" w14:textId="77777777" w:rsidR="00A8138F" w:rsidRDefault="00A8138F" w:rsidP="00A8138F">
      <w:pPr>
        <w:pStyle w:val="TextoNormal"/>
      </w:pPr>
      <w:r>
        <w:t>d) Acuerdo de la mesa del Parlamento sobre solicitud de modificación de la composición de las comisiones.</w:t>
      </w:r>
    </w:p>
    <w:p w14:paraId="753FE0A5" w14:textId="77777777" w:rsidR="00A8138F" w:rsidRDefault="00A8138F" w:rsidP="00A8138F">
      <w:pPr>
        <w:pStyle w:val="TextoNormal"/>
      </w:pPr>
    </w:p>
    <w:p w14:paraId="42ABA6E3" w14:textId="77777777" w:rsidR="00A8138F" w:rsidRDefault="00A8138F" w:rsidP="00A8138F">
      <w:pPr>
        <w:pStyle w:val="TextoNormal"/>
      </w:pPr>
      <w:r>
        <w:t>El portavoz del Grupo Parlamentario Popular solicitó a la mesa el día 29 de diciembre de 2022 que modificase la composición de las comisiones permanentes y especiales de la Cámara, para que el número de integrantes fuese par y que la suma de los diputados de los grupos parlamentarios Socialista y Mixto fuese la misma que la suma de los diputados de los grupos parlamentarios Popular y Ciudadanos (cinco a cinco), para respetar así la proporcionalidad existente en el Pleno entre los diputados integrantes de los distintos grupos parlamentarios (dieciséis a dieciséis), de conformidad con el art. 36.2 RPR.</w:t>
      </w:r>
    </w:p>
    <w:p w14:paraId="5BA026EE" w14:textId="77777777" w:rsidR="00A8138F" w:rsidRDefault="00A8138F" w:rsidP="00A8138F">
      <w:pPr>
        <w:pStyle w:val="TextoNormal"/>
      </w:pPr>
    </w:p>
    <w:p w14:paraId="08F53FA1" w14:textId="3F3FCFEB" w:rsidR="00A8138F" w:rsidRDefault="00A8138F" w:rsidP="00A8138F">
      <w:pPr>
        <w:pStyle w:val="TextoNormal"/>
      </w:pPr>
      <w:r>
        <w:t>La solicitud fue rechazada por acuerdo de la mesa de 16 de enero de 2023, con el acuerdo desfavorable de la junta de portavoces. Por el portavoz del Grupo Parlamentario Popular se presentó el 26 de enero de 2023 solicitud de reconsideración, que fue inadmitida por la mesa por acuerdo de 9 de febrero de 2023, de conformidad con lo previsto en el art. 28.2 RPR, por tratarse de un acuerdo conjunto de la mesa y la junta de portavoces.</w:t>
      </w:r>
    </w:p>
    <w:p w14:paraId="5242F134" w14:textId="77777777" w:rsidR="00A8138F" w:rsidRDefault="00A8138F" w:rsidP="00A8138F">
      <w:pPr>
        <w:pStyle w:val="TextoNormal"/>
      </w:pPr>
    </w:p>
    <w:p w14:paraId="0DBCCD84" w14:textId="77777777" w:rsidR="00A8138F" w:rsidRDefault="00A8138F" w:rsidP="00A8138F">
      <w:pPr>
        <w:pStyle w:val="TextoNormal"/>
      </w:pPr>
      <w:r w:rsidRPr="00A8138F">
        <w:rPr>
          <w:rStyle w:val="NumeroAFNegritaCaracter"/>
        </w:rPr>
        <w:t>3</w:t>
      </w:r>
      <w:r>
        <w:t>. La demanda de amparo se interpone por el portavoz del Grupo Parlamentario Popular y los restantes diputados de este grupo parlamentario en la décima legislatura del Parlamento de La Rioja, contra las resoluciones del presidente y los acuerdos de la mesa de dicha Cámara que han quedado referidos.</w:t>
      </w:r>
    </w:p>
    <w:p w14:paraId="6B00AC41" w14:textId="77777777" w:rsidR="00A8138F" w:rsidRDefault="00A8138F" w:rsidP="00A8138F">
      <w:pPr>
        <w:pStyle w:val="TextoNormal"/>
      </w:pPr>
    </w:p>
    <w:p w14:paraId="7EB888BF" w14:textId="77777777" w:rsidR="00A8138F" w:rsidRDefault="00A8138F" w:rsidP="00A8138F">
      <w:pPr>
        <w:pStyle w:val="TextoNormal"/>
      </w:pPr>
      <w:r>
        <w:t>Se alega por los recurrentes, con cita de la STC 38/2022, de 11 de marzo, en cuanto al alcance del principio de autonomía parlamentaria y sus límites, que las resoluciones y acuerdos impugnados en amparo han vulnerado su derecho fundamental al ejercicio del cargo político representativo (art. 23.2 CE) y, correlativamente, el derecho de los ciudadanos a participar en los asuntos públicos a través de sus legítimos representantes (art. 23.1 CE), pues todos los actos impugnados contribuyen a menoscabar las funciones reglamentarias de la junta de portavoces en la organización del trabajo parlamentario, haciendo prevalecer así la razón de la mayoría a costa de restringir el margen de actuación de las minorías. A través de estos actos se priva, según se afirma, al portavoz del Grupo Parlamentario Popular —y, consiguientemente, al grupo mismo al que representa y a los diputados que lo conforman— del núcleo de sus posibilidades de participación en las tareas parlamentarias que tanto el Reglamento de la Cámara antes de la reforma de enero de 2023, como los usos parlamentarios, les reconocían en la junta de portavoces: fijación de los órdenes del día de los plenos, aprobación de los calendarios de las sesiones de los distintos órganos parlamentarios y señalamiento de debates generales sobre la acción política y de gobierno, infringiendo así un derecho incluido en el estatuto constitucionalmente relevante de su función representativa.</w:t>
      </w:r>
    </w:p>
    <w:p w14:paraId="5B23F238" w14:textId="77777777" w:rsidR="00A8138F" w:rsidRDefault="00A8138F" w:rsidP="00A8138F">
      <w:pPr>
        <w:pStyle w:val="TextoNormal"/>
      </w:pPr>
    </w:p>
    <w:p w14:paraId="4406B6EF" w14:textId="77777777" w:rsidR="00A8138F" w:rsidRDefault="00A8138F" w:rsidP="00A8138F">
      <w:pPr>
        <w:pStyle w:val="TextoNormal"/>
      </w:pPr>
      <w:r>
        <w:t>Se aduce, en particular, que los acuerdos de la mesa del Parlamento de La Rioja que rechazan la solicitud de modificación de la composición de las comisiones lesionan el derecho de los recurrentes “a participar en unas comisiones parlamentarias en las que se respete el principio de proporcionalidad”, constriñendo ilegítimamente su función representativa tanto en el ámbito legislativo como en el de control.</w:t>
      </w:r>
    </w:p>
    <w:p w14:paraId="5C5FAE2F" w14:textId="77777777" w:rsidR="00A8138F" w:rsidRDefault="00A8138F" w:rsidP="00A8138F">
      <w:pPr>
        <w:pStyle w:val="TextoNormal"/>
      </w:pPr>
    </w:p>
    <w:p w14:paraId="797CF1FF" w14:textId="77777777" w:rsidR="00A8138F" w:rsidRDefault="00A8138F" w:rsidP="00A8138F">
      <w:pPr>
        <w:pStyle w:val="TextoNormal"/>
      </w:pPr>
      <w:r>
        <w:t>Asimismo, se pone de relieve que los acuerdos de la mesa de la Cámara de 28 y 29 de diciembre de 2022 y de 10 de enero de 2023, referidos a la admisión a trámite de la proposición de ley sobre modificación de preceptos del Reglamento del Parlamento de La Rioja se insertan en un procedimiento legislativo específicamente dirigido a modificar las funciones de la junta de portavoces para vaciar a este órgano principal del grueso de sus competencias, sustituyendo la anterior exigencia de su acuerdo por la de su mera audiencia, y ello en detrimento de las minorías; de suerte que la modificación finalmente aprobada de los arts. 28.1 b), 58.1 y 133.2 RPR ha provocado que los diputados recurrentes se hayan visto despojados de competencias esenciales en el desarrollo de su tarea parlamentaria en el ámbito de la junta de portavoces, lo que atenta contra su función representativa, con la subsiguiente repercusión en el derecho a la participación política de sus electores y de la ciudadanía en su conjunto.</w:t>
      </w:r>
    </w:p>
    <w:p w14:paraId="0608A9E9" w14:textId="77777777" w:rsidR="00A8138F" w:rsidRDefault="00A8138F" w:rsidP="00A8138F">
      <w:pPr>
        <w:pStyle w:val="TextoNormal"/>
      </w:pPr>
    </w:p>
    <w:p w14:paraId="568A816E" w14:textId="4E470E94" w:rsidR="00A8138F" w:rsidRDefault="00A8138F" w:rsidP="00A8138F">
      <w:pPr>
        <w:pStyle w:val="TextoNormal"/>
      </w:pPr>
      <w:r>
        <w:t>Señalan también las razones que dotan de especial trascendencia constitucional a este recurso de amparo parlamentario [art. 42 de la Ley Orgánica del Tribunal Constitucional (LOTC)] y concluyen solicitando que se les otorgue el amparo, declarando vulnerados los derechos fundamentales alegados, y que en consecuencia se anulen los acuerdos impugnados, así como todos los acuerdos, actos y disposiciones normativas que deriven o sean ejecución de los anteriores, en especial la Ley de presupuestos generales de la Comunidad Autónoma de La Rioja para el año 2023, la Ley de juventud de La Rioja, la Ley de declaración del parque natural del Alto Najerilla, de medidas fiscales y administrativas para el año 2023, y la modificación de los arts. 28.1 b), 58.1 y 133.2 RPR. Asimismo, solicitan que se requiera a la mesa del Parlamento de La Rioja para que, de acuerdo con la junta de portavoces, fije el número de los miembros de sus distintas comisiones en proporción al número de diputados que en el Pleno tiene cada grupo parlamentario, de forma que sea par y, además, la suma de los miembros pertenecientes a los grupos parlamentarios Socialista y Mixto sea igual a la suma de los miembros pertenecientes a los grupos parlamentarios Popular y Ciudadanos.</w:t>
      </w:r>
    </w:p>
    <w:p w14:paraId="0971992E" w14:textId="77777777" w:rsidR="00A8138F" w:rsidRDefault="00A8138F" w:rsidP="00A8138F">
      <w:pPr>
        <w:pStyle w:val="TextoNormal"/>
      </w:pPr>
    </w:p>
    <w:p w14:paraId="77873D96" w14:textId="77777777" w:rsidR="00A8138F" w:rsidRDefault="00A8138F" w:rsidP="00A8138F">
      <w:pPr>
        <w:pStyle w:val="TextoNormal"/>
      </w:pPr>
      <w:r w:rsidRPr="00A8138F">
        <w:rPr>
          <w:rStyle w:val="NumeroAFNegritaCaracter"/>
        </w:rPr>
        <w:t>4</w:t>
      </w:r>
      <w:r>
        <w:t>. Por providencia de 12 de febrero de 2024, la Sección Cuarta del Tribunal Constitucional acordó admitir a trámite el recurso de amparo, apreciando que concurre una especial trascendencia constitucional (art. 50.1 LOTC), dado que el asunto suscitado trasciende del caso concreto porque pudiera tener unas consecuencias políticas generales [STC 155/2009, de 25 de junio, FJ 2 g)].</w:t>
      </w:r>
    </w:p>
    <w:p w14:paraId="70672983" w14:textId="77777777" w:rsidR="00A8138F" w:rsidRDefault="00A8138F" w:rsidP="00A8138F">
      <w:pPr>
        <w:pStyle w:val="TextoNormal"/>
      </w:pPr>
    </w:p>
    <w:p w14:paraId="484A4339" w14:textId="420806E9" w:rsidR="00A8138F" w:rsidRDefault="00A8138F" w:rsidP="00A8138F">
      <w:pPr>
        <w:pStyle w:val="TextoNormal"/>
      </w:pPr>
      <w:r>
        <w:t>Por ello, en aplicación de lo dispuesto en el art. 51 LOTC, se ordenó dirigir atenta comunicación a la presidenta del Parlamento de La Rioja para que, en plazo que no excediera de diez días, remitiera el expediente que dio lugar a las resoluciones parlamentarias impugnadas en amparo. Y asimismo para que, en el mismo plazo, procediera a emplazar a quienes hubieran sido parte en el procedimiento, excepto a los recurrentes en amparo, a fin de que pudieran comparecer en el presente proceso constitucional.</w:t>
      </w:r>
    </w:p>
    <w:p w14:paraId="50D39626" w14:textId="77777777" w:rsidR="00A8138F" w:rsidRDefault="00A8138F" w:rsidP="00A8138F">
      <w:pPr>
        <w:pStyle w:val="TextoNormal"/>
      </w:pPr>
    </w:p>
    <w:p w14:paraId="4A42AF81" w14:textId="3AA8EFDE" w:rsidR="00A8138F" w:rsidRDefault="00A8138F" w:rsidP="00A8138F">
      <w:pPr>
        <w:pStyle w:val="TextoNormal"/>
      </w:pPr>
      <w:r w:rsidRPr="00A8138F">
        <w:rPr>
          <w:rStyle w:val="NumeroAFNegritaCaracter"/>
        </w:rPr>
        <w:t>5</w:t>
      </w:r>
      <w:r>
        <w:t>. Mediante escrito registrado en este tribunal el 8 de marzo de 2024, la procuradora de los tribunales doña María Luisa Marco Ciria, asistida por el abogado don Adolfo Mingo de Miguel, solicitó que se le tuviese por comparecida y parte en el presente recurso de amparo en nombre y representación de don Jesús María García García, presidente del Parlamento de La Rioja en la décima legislatura, así como de don Raúl Díaz Marín y don Javier García Ibáñez, portavoces ambos del Grupo Parlamentario Socialista, y de doña María Teresa Villuendas Asensio, integrante del mismo grupo y secretaria primera de dicha Cámara, en la misma legislatura.</w:t>
      </w:r>
    </w:p>
    <w:p w14:paraId="6C3730E6" w14:textId="77777777" w:rsidR="00A8138F" w:rsidRDefault="00A8138F" w:rsidP="00A8138F">
      <w:pPr>
        <w:pStyle w:val="TextoNormal"/>
      </w:pPr>
    </w:p>
    <w:p w14:paraId="092DB963" w14:textId="09069A2F" w:rsidR="00A8138F" w:rsidRDefault="00A8138F" w:rsidP="00A8138F">
      <w:pPr>
        <w:pStyle w:val="TextoNormal"/>
      </w:pPr>
      <w:r w:rsidRPr="00A8138F">
        <w:rPr>
          <w:rStyle w:val="NumeroAFNegritaCaracter"/>
        </w:rPr>
        <w:t>6</w:t>
      </w:r>
      <w:r>
        <w:t>. La Secretaría de Justicia de la Sala Segunda de este tribunal, por diligencia de ordenación de 21 de marzo de 2024, acordó tener por personado y parte a la procuradora de los tribunales doña María Luisa Marco Ciria, en nombre y representación de don Jesús María García García y otros, y dar vista de las actuaciones recibidas a las partes y al Ministerio Fiscal, por plazo común de veinte días, para presentar las alegaciones que estimasen pertinentes, de conformidad con el art. 52.1 LOTC.</w:t>
      </w:r>
    </w:p>
    <w:p w14:paraId="38E79F7A" w14:textId="77777777" w:rsidR="00A8138F" w:rsidRDefault="00A8138F" w:rsidP="00A8138F">
      <w:pPr>
        <w:pStyle w:val="TextoNormal"/>
      </w:pPr>
    </w:p>
    <w:p w14:paraId="621D998A" w14:textId="24984044" w:rsidR="00A8138F" w:rsidRDefault="00A8138F" w:rsidP="00A8138F">
      <w:pPr>
        <w:pStyle w:val="TextoNormal"/>
      </w:pPr>
      <w:r w:rsidRPr="00A8138F">
        <w:rPr>
          <w:rStyle w:val="NumeroAFNegritaCaracter"/>
        </w:rPr>
        <w:t>7</w:t>
      </w:r>
      <w:r>
        <w:t>. La representación procesal de los recurrentes presentó su escrito de alegaciones el 15 de abril de 2024, ratificándose en lo expuesto en la demanda e interesando que se dicte sentencia otorgando el amparo.</w:t>
      </w:r>
    </w:p>
    <w:p w14:paraId="3CFAF3E1" w14:textId="77777777" w:rsidR="00A8138F" w:rsidRDefault="00A8138F" w:rsidP="00A8138F">
      <w:pPr>
        <w:pStyle w:val="TextoNormal"/>
      </w:pPr>
    </w:p>
    <w:p w14:paraId="42C2CC50" w14:textId="77777777" w:rsidR="00A8138F" w:rsidRDefault="00A8138F" w:rsidP="00A8138F">
      <w:pPr>
        <w:pStyle w:val="TextoNormal"/>
      </w:pPr>
      <w:r w:rsidRPr="00A8138F">
        <w:rPr>
          <w:rStyle w:val="NumeroAFNegritaCaracter"/>
        </w:rPr>
        <w:t>8</w:t>
      </w:r>
      <w:r>
        <w:t>. La representación procesal de don Jesús María García García y otros presentó su escrito de alegaciones el 23 de abril de 2024, en el que se interesa la desestimación del recurso de amparo.</w:t>
      </w:r>
    </w:p>
    <w:p w14:paraId="1513DC3C" w14:textId="77777777" w:rsidR="00A8138F" w:rsidRDefault="00A8138F" w:rsidP="00A8138F">
      <w:pPr>
        <w:pStyle w:val="TextoNormal"/>
      </w:pPr>
    </w:p>
    <w:p w14:paraId="7433D3DD" w14:textId="77777777" w:rsidR="00A8138F" w:rsidRDefault="00A8138F" w:rsidP="00A8138F">
      <w:pPr>
        <w:pStyle w:val="TextoNormal"/>
      </w:pPr>
      <w:r>
        <w:t>Sostiene que las resoluciones y acuerdos de la Presidencia y la mesa del Parlamento de La Rioja que se impugnan en amparo no han vulnerado el derecho de participación política (art. 23 CE) de los recurrentes. Tales actos, por otra parte respaldados por los servicios jurídicos de la Cámara, fueron dictados conforme a la autonomía parlamentaria y con la mira puesta en la protección de los derechos de todos y cada uno de los diputados y de la Cámara en su conjunto, en aras a la salvaguarda del normal funcionamiento de la institución y del desarrollo de sus funciones esenciales como asamblea legislativa autonómica.</w:t>
      </w:r>
    </w:p>
    <w:p w14:paraId="3DE933E2" w14:textId="77777777" w:rsidR="00A8138F" w:rsidRDefault="00A8138F" w:rsidP="00A8138F">
      <w:pPr>
        <w:pStyle w:val="TextoNormal"/>
      </w:pPr>
    </w:p>
    <w:p w14:paraId="68EE7F03" w14:textId="77777777" w:rsidR="00A8138F" w:rsidRDefault="00A8138F" w:rsidP="00A8138F">
      <w:pPr>
        <w:pStyle w:val="TextoNormal"/>
      </w:pPr>
      <w:r>
        <w:t>Se trató de dar respuesta a la inédita y anómala situación de bloqueo institucional a la que se estaba llegando en el Parlamento de La Rioja en los últimos compases del año 2022 y que abocaba a dicha Cámara a la parálisis e inoperancia práctica, afectando a la actividad parlamentaria en su conjunto. Afirma que la situación tiene su origen en la circunstancia de que la diputada doña Raquel Romero Alonso, integrada en el Grupo Parlamentario Mixto, fue declarada diputada no adscrita, pasando este grupo a estar integrado por una sola diputada, lo que alteró el equilibrio de fuerzas existente en la junta de portavoces al propiciar, por la aplicación del voto ponderado, la posibilidad de empate en las votaciones en este órgano parlamentario que, de otro modo, no se hubiera producido. Llama la atención sobre el hecho de que la referida diputada ha interpuesto recurso de amparo contra la decisión de la mesa del Parlamento de La Rioja que la declara diputada no adscrita; se trata del recurso de amparo núm. 5774-2022, admitido a trámite y pendiente de sentencia.</w:t>
      </w:r>
    </w:p>
    <w:p w14:paraId="2468200F" w14:textId="77777777" w:rsidR="00A8138F" w:rsidRDefault="00A8138F" w:rsidP="00A8138F">
      <w:pPr>
        <w:pStyle w:val="TextoNormal"/>
      </w:pPr>
    </w:p>
    <w:p w14:paraId="7DA5AC50" w14:textId="77777777" w:rsidR="00A8138F" w:rsidRDefault="00A8138F" w:rsidP="00A8138F">
      <w:pPr>
        <w:pStyle w:val="TextoNormal"/>
      </w:pPr>
      <w:r>
        <w:t>En todo caso, aun en la hipótesis de que se apreciara alguna quiebra jurídica en los actos impugnados, es lo cierto que en ningún caso cabría entender afectado el núcleo esencial de las funciones representativas de los recurrentes, ni como diputados ni como grupo parlamentario.</w:t>
      </w:r>
    </w:p>
    <w:p w14:paraId="7489A5C9" w14:textId="77777777" w:rsidR="00A8138F" w:rsidRDefault="00A8138F" w:rsidP="00A8138F">
      <w:pPr>
        <w:pStyle w:val="TextoNormal"/>
      </w:pPr>
    </w:p>
    <w:p w14:paraId="59B863C7" w14:textId="5EE8C957" w:rsidR="00A8138F" w:rsidRDefault="00A8138F" w:rsidP="00A8138F">
      <w:pPr>
        <w:pStyle w:val="TextoNormal"/>
      </w:pPr>
      <w:r>
        <w:t>Y concluye señalando que incluso si se apreciara la lesión del derecho de participación política (art. 23 CE) de los recurrentes, ello no podría tener el alcance que estos pretenden en su demanda, sino que la sentencia de este tribunal debería en tal caso limitarse a la mera declaración de la vulneración del derecho (por todas, STC 141/2007, de 18 de junio, y las allí citadas), habida cuenta que la décima legislatura, en la que se adoptaron los actos impugnados en amparo, ya ha concluido, tras las elecciones autonómicas celebradas el cuarto domingo de mayo de 2023, y se ha iniciado una nueva legislatura con una distinta conformación de la Cámara y sus órganos, al haber alcanzado en aquellas mayoría absoluta el Grupo Parlamentario Popular.</w:t>
      </w:r>
    </w:p>
    <w:p w14:paraId="23878D68" w14:textId="77777777" w:rsidR="00A8138F" w:rsidRDefault="00A8138F" w:rsidP="00A8138F">
      <w:pPr>
        <w:pStyle w:val="TextoNormal"/>
      </w:pPr>
    </w:p>
    <w:p w14:paraId="3B8E1D63" w14:textId="77777777" w:rsidR="00A8138F" w:rsidRDefault="00A8138F" w:rsidP="00A8138F">
      <w:pPr>
        <w:pStyle w:val="TextoNormal"/>
      </w:pPr>
      <w:r w:rsidRPr="00A8138F">
        <w:rPr>
          <w:rStyle w:val="NumeroAFNegritaCaracter"/>
        </w:rPr>
        <w:t>9</w:t>
      </w:r>
      <w:r>
        <w:t xml:space="preserve">. El Ministerio Fiscal presentó su escrito de alegaciones el 13 de mayo de 2024. Tras referirse a los antecedentes del asunto y a la fundamentación del recurso de amparo, recuerda la doctrina constitucional sobre el control de las decisiones de los órganos parlamentarios que afectan al </w:t>
      </w:r>
      <w:r w:rsidRPr="00A8138F">
        <w:rPr>
          <w:i/>
        </w:rPr>
        <w:t>ius in officium</w:t>
      </w:r>
      <w:r>
        <w:t xml:space="preserve"> de los representantes políticos (por todas, SSTC 199/2016, de 28 de noviembre, FJ 3; 115/2019, de 16 de octubre, FJ 5; 159/2019, de 12 de diciembre, FJ 5, y 38/2022, FJ 4).</w:t>
      </w:r>
    </w:p>
    <w:p w14:paraId="6096E67E" w14:textId="77777777" w:rsidR="00A8138F" w:rsidRDefault="00A8138F" w:rsidP="00A8138F">
      <w:pPr>
        <w:pStyle w:val="TextoNormal"/>
      </w:pPr>
    </w:p>
    <w:p w14:paraId="1DDDFD0D" w14:textId="77777777" w:rsidR="00A8138F" w:rsidRDefault="00A8138F" w:rsidP="00A8138F">
      <w:pPr>
        <w:pStyle w:val="TextoNormal"/>
      </w:pPr>
      <w:r>
        <w:t>Partiendo de esta doctrina, el fiscal entra a examinar los distintos actos parlamentarios que son objeto de impugnación en el presente recurso de amparo, a los que se imputa una vulneración del derecho fundamental del art. 23.2 CE de los recurrentes y, correlativamente, del derecho de los ciudadanos a participar en los asuntos públicos a través de sus legítimos representantes (art. 23.1 CE).</w:t>
      </w:r>
    </w:p>
    <w:p w14:paraId="39E25DE0" w14:textId="77777777" w:rsidR="00A8138F" w:rsidRDefault="00A8138F" w:rsidP="00A8138F">
      <w:pPr>
        <w:pStyle w:val="TextoNormal"/>
      </w:pPr>
    </w:p>
    <w:p w14:paraId="21EDE8D0" w14:textId="77777777" w:rsidR="00A8138F" w:rsidRDefault="00A8138F" w:rsidP="00A8138F">
      <w:pPr>
        <w:pStyle w:val="TextoNormal"/>
      </w:pPr>
      <w:r>
        <w:t xml:space="preserve">Por lo que se refiere a las resoluciones del presidente del Parlamento de La Rioja de 16 y 23 diciembre de 2022, sobre fijación del orden del día de las sesiones del Pleno convocadas para los días 19 y 29 diciembre de 2022, advierte que el núcleo de la argumentación de los recurrentes al impugnar dichas resoluciones reside en la infracción de lo dispuesto en el art. 58.1 RPR que, antes de la modificación de 25 de enero de 2023, atribuía a la junta de portavoces una facultad de decisión compartida con el presidente y la mesa para fijar el orden del día. Para los recurrentes, la infracción del art. 58.1 RPR supone una lesión del derecho fundamental al ejercicio del cargo parlamentario </w:t>
      </w:r>
      <w:r w:rsidRPr="00A8138F">
        <w:rPr>
          <w:i/>
        </w:rPr>
        <w:t>ex</w:t>
      </w:r>
      <w:r>
        <w:t xml:space="preserve"> art. 23.2 CE, puesto que priva al portavoz del Grupo Parlamentario Popular, que integra la junta de portavoces, y, por tanto, al grupo parlamentario al que representa, de una facultad esencial del cargo público representativo, dado que la participación en la fijación del orden del día de los plenos del Parlamento es determinante en relación con el ejercicio de las facultades esenciales de la potestad legislativa y de control de la acción del Gobierno autonómico. La inaplicación de lo dispuesto en el art. 58.1 RPR, transformando la evidente competencia compartida que tenía la junta de portavoces para fijar el orden del día en una mera audiencia de la junta, carece de toda justificación, sin que quepa aceptar los motivos que se exponen en las resoluciones del presidente de la Cámara de 16 y 23 de diciembre de 2022 para fijar el orden del día sin el acuerdo de la junta de portavoces. Que ello es así resulta corroborado por la evidencia de que los grupos parlamentarios Socialista y Mixto presentaron la proposición de ley de modificación del Reglamento de la Cámara, para excluir la competencia compartida de la junta de portavoces que le atribuían los arts. 28.1 b), 58.1 b) y 133.2 RPR.</w:t>
      </w:r>
    </w:p>
    <w:p w14:paraId="621C4366" w14:textId="77777777" w:rsidR="00A8138F" w:rsidRDefault="00A8138F" w:rsidP="00A8138F">
      <w:pPr>
        <w:pStyle w:val="TextoNormal"/>
      </w:pPr>
    </w:p>
    <w:p w14:paraId="588F9AA3" w14:textId="77777777" w:rsidR="00A8138F" w:rsidRDefault="00A8138F" w:rsidP="00A8138F">
      <w:pPr>
        <w:pStyle w:val="TextoNormal"/>
      </w:pPr>
      <w:r>
        <w:t>Pues bien, respecto de la alegada infracción del art. 58.1 RPR, señala el fiscal que, por lo que se refiere a la fijación del orden del día del Pleno del día 19 de diciembre de 2022, no consta que el orden del día fijado por la resolución del presidente del Parlamento de La Rioja de 16 de diciembre de 2022 fuera contrario al acuerdo adoptado por la junta de portavoces en su previa reunión del día 15 de diciembre, pues no aparece en el acta de la sesión de la junta de ese día que hubiera un acuerdo adoptado por la junta contrario al orden del día fijado por el presidente. Descartado que existiera un pronunciamiento en contra de la junta de portavoces, no concurre el presupuesto de infracción de lo establecido por el art. 58.1 RPR, al que atribuyen los recurrentes la vulneración del derecho fundamental que garantiza el art. 23.2 CE. Y por lo que se refiere a la resolución del presidente de la Cámara de 23 de diciembre de 2022, que fija el orden del día de la sesión del Pleno de 29 de diciembre de 2022 incluyendo la proposición de Ley de medidas fiscales y administrativas para 2023, cuya tramitación estaba aprobada por el procedimiento de urgencia, señala el fiscal que esa decisión se adoptó de conformidad con lo establecido en los arts. 29 y 79 RPR, teniendo en cuenta que la junta de portavoces no había alcanzado acuerdo sobre los puntos a incluir en el orden del día y que la celebración del Pleno del día 29 de diciembre de 2022 había sido previamente acordada por la mesa y la junta de portavoces.</w:t>
      </w:r>
    </w:p>
    <w:p w14:paraId="744D977A" w14:textId="77777777" w:rsidR="00A8138F" w:rsidRDefault="00A8138F" w:rsidP="00A8138F">
      <w:pPr>
        <w:pStyle w:val="TextoNormal"/>
      </w:pPr>
    </w:p>
    <w:p w14:paraId="0AB84001" w14:textId="77777777" w:rsidR="00A8138F" w:rsidRDefault="00A8138F" w:rsidP="00A8138F">
      <w:pPr>
        <w:pStyle w:val="TextoNormal"/>
      </w:pPr>
      <w:r>
        <w:t>Para el fiscal, la expresión “de acuerdo con” que utilizaba el art. 58.1 RPR al referirse a la fijación del orden del día de los plenos puede entenderse, bien como señalan los demandantes, de atribución de una competencia compartida y conjunta del presidente, la junta de portavoces y la mesa, que exigía en todo caso un acuerdo mancomunado de los tres órganos parlamentarios para poder aprobar la inclusión de los puntos del orden del día en la sesión del Pleno (tesis de los recurrentes), o bien puede entenderse que propugnaba que los tres órganos alcanzaran un acuerdo para la fijación del orden del día, pero sin que la falta de acuerdo sobre la inclusión de algunos puntos en el orden del día por uno solo de esos órganos tuviera carácter vinculante y excluyente. De todos modos, corresponde al presidente del Parlamento de La Rioja la competencia para interpretar el Reglamento, en caso de duda.</w:t>
      </w:r>
    </w:p>
    <w:p w14:paraId="0BB85F19" w14:textId="77777777" w:rsidR="00A8138F" w:rsidRDefault="00A8138F" w:rsidP="00A8138F">
      <w:pPr>
        <w:pStyle w:val="TextoNormal"/>
      </w:pPr>
    </w:p>
    <w:p w14:paraId="3CE64B22" w14:textId="77777777" w:rsidR="00A8138F" w:rsidRDefault="00A8138F" w:rsidP="00A8138F">
      <w:pPr>
        <w:pStyle w:val="TextoNormal"/>
      </w:pPr>
      <w:r>
        <w:t xml:space="preserve">Ahora bien, prosigue el fiscal, con independencia de la interpretación que pudiera hacerse de la expresión “de acuerdo con” que utilizaba el art. 58.1 RPR, en relación con otros preceptos del Reglamento, lo verdaderamente relevante a efectos de poder apreciar la vulneración del derecho fundamental del art. 23.2 CE alegada, es que los recurrentes en amparo no han justificado cuáles de los puntos del orden del día del Pleno, incluidos por el presidente del Parlamento de La Rioja en sus resoluciones de 16 y 23 de diciembre de 2022, supusieron una restricción o limitación efectiva de las facultades que integran el núcleo esencial de su mandato representativo (por todas, SSTC 38/2022, FJ 4, y 65/2023, de 6 de junio, FJ 3). La mera infracción de un precepto del Reglamento que atribuye a un órgano de la Cámara como la junta de portavoces una competencia no supone en sí misma, asegura el fiscal, la vulneración del derecho fundamental al ejercicio del cargo parlamentario </w:t>
      </w:r>
      <w:r w:rsidRPr="00A8138F">
        <w:rPr>
          <w:i/>
        </w:rPr>
        <w:t>ex</w:t>
      </w:r>
      <w:r>
        <w:t xml:space="preserve"> art. 23.2 CE si no afecta al núcleo esencial del cargo político representativo; y no cabe considerar que forma parte del núcleo de facultades del cargo parlamentario un derecho a oponerse a que se lleven y traten en el Pleno determinadas iniciativas, oponiendo ese supuesto derecho al de los demás diputados de la Cámara a poder ejercer en el Pleno sus facultades legislativas o de control de la acción de gobierno en el marco de lo previsto en el Reglamento.</w:t>
      </w:r>
    </w:p>
    <w:p w14:paraId="64422727" w14:textId="77777777" w:rsidR="00A8138F" w:rsidRDefault="00A8138F" w:rsidP="00A8138F">
      <w:pPr>
        <w:pStyle w:val="TextoNormal"/>
      </w:pPr>
    </w:p>
    <w:p w14:paraId="52724881" w14:textId="77777777" w:rsidR="00A8138F" w:rsidRDefault="00A8138F" w:rsidP="00A8138F">
      <w:pPr>
        <w:pStyle w:val="TextoNormal"/>
      </w:pPr>
      <w:r>
        <w:t xml:space="preserve">En cuanto a los acuerdos de la mesa del Parlamento de 29 de diciembre de 2022 y 10 de enero de 2023, que autorizaron la celebración de diversas reuniones extraordinarias de distintos órganos parlamentarios, así como los acuerdos de 10 y 17 de enero de 2023, que rechazaron las solicitudes de reconsideración, a los que los recurrentes achacan la infracción de lo dispuesto en el art. 28.1 b) RPR, en la redacción anterior a la modificación de 25 de enero de 2023, en cuanto dichos acuerdos se adoptaron sin la conformidad de la junta de portavoces, sostiene el fiscal que, a diferencia de lo que ocurría con la literalidad de lo establecido por el art. 58.1 RPR, que admitía una posible interpretación sobre una competencia compartida de la junta de portavoces, de la literalidad del art. 28.1 b) RPR no se desprende, frente a lo que alegan los recurrentes, que, en el caso de celebración de las sesiones extraordinarias de los órganos parlamentarios resulte de aplicación lo que señalaba este precepto y tuviera que haber un acuerdo de la mesa con la junta de portavoces. Dicho precepto, como se puso de manifiesto por el presidente del Parlamento y el letrado mayor en las sesiones de la junta de portavoces anteriores a los acuerdos de la mesa que autorizaron las sesiones extraordinarias impugnadas, es de aplicación solo en el caso de las sesiones de la Cámara en los dos periodos ordinarios, pero no para la autorización de sesiones extraordinarias. Con independencia de ello, de nuevo lo relevante a efectos de la apreciación de una posible vulneración del derecho fundamental del art. 23.2 CE es que tampoco en este caso los recurrentes han justificado que se les hubiera causado una efectiva restricción o limitación del núcleo esencial de las facultades parlamentarias que integran el </w:t>
      </w:r>
      <w:r w:rsidRPr="00A8138F">
        <w:rPr>
          <w:i/>
        </w:rPr>
        <w:t>ius in officium</w:t>
      </w:r>
      <w:r>
        <w:t>, limitándose a alegar en abstracto que se produjo esa vulneración de las facultades esenciales del cargo representativo, pero sin argumentar sobre el modo o la forma en que la autorización de la celebración de sesiones extraordinarias de distintas comisiones durante el mes de enero de 2023 supuso para el Grupo Parlamentario Popular y sus diputados una vulneración de las facultades legislativas o de control de la acción de gobierno que tenían derecho a ejercitar.</w:t>
      </w:r>
    </w:p>
    <w:p w14:paraId="114C9505" w14:textId="77777777" w:rsidR="00A8138F" w:rsidRDefault="00A8138F" w:rsidP="00A8138F">
      <w:pPr>
        <w:pStyle w:val="TextoNormal"/>
      </w:pPr>
    </w:p>
    <w:p w14:paraId="69E4A888" w14:textId="77777777" w:rsidR="00A8138F" w:rsidRDefault="00A8138F" w:rsidP="00A8138F">
      <w:pPr>
        <w:pStyle w:val="TextoNormal"/>
      </w:pPr>
      <w:r>
        <w:t>En cuanto a los acuerdos de la mesa del Parlamento de La Rioja de 28 y 29 de diciembre de 2022, por los que, respectivamente, se admitió a trámite por el procedimiento de urgencia y se elevó al Pleno la propuesta de tramitación directa y lectura única de la proposición de ley para la reforma de los arts. 22.1, 28.1 b), 58.1 y 133.2 RPR, que venía a sustituir la intervención asignada a la junta de portavoces en esos preceptos, reemplazando la proposición “de acuerdo con” por la de “oída” la junta de portavoces, sostiene el fiscal que tampoco se ha producido la vulneración constitucional denunciada por los recurrentes. Según la doctrina constitucional, no forma parte del derecho al ejercicio del cargo parlamentario reconocido por el art. 23.2 CE un pretendido derecho al rechazo de las iniciativas legislativas presentadas por otros parlamentarios en el ejercicio de su cargo, aunque las mismas puedan infringir la Constitución, a menos que la iniciativa legislativa que se impugna venga a incumplir de modo manifiesto lo ya resuelto por el Tribunal Constitucional (por todas, STC 15/2022, de 8 de febrero, FJ 3, con cita de doctrina anterior), lo que evidentemente no sucede en este caso. Es más, no resulta tan siquiera evidente en el presente caso que la modificación de los preceptos del Reglamento de la Cámara que se pretendía con la proposición de ley admitida a trámite supusiera una infracción palmaria del art. 23.2 CE. Debe, en consecuencia, rechazarse la queja de los recurrentes.</w:t>
      </w:r>
    </w:p>
    <w:p w14:paraId="33AB2057" w14:textId="77777777" w:rsidR="00A8138F" w:rsidRDefault="00A8138F" w:rsidP="00A8138F">
      <w:pPr>
        <w:pStyle w:val="TextoNormal"/>
      </w:pPr>
    </w:p>
    <w:p w14:paraId="4E582784" w14:textId="77777777" w:rsidR="00A8138F" w:rsidRDefault="00A8138F" w:rsidP="00A8138F">
      <w:pPr>
        <w:pStyle w:val="TextoNormal"/>
      </w:pPr>
      <w:r>
        <w:t xml:space="preserve">En fin, por lo que atañe a la impugnación del acuerdo de la mesa de 16 de enero de 2023, que rechazó la solicitud, presentada el 29 de diciembre de 2022, por el portavoz del Grupo Parlamentario Popular para modificar el número de diputados que componían las comisiones permanentes y especiales, proponiendo que pasaran de nueve a diez diputados, para cumplir con el principio de proporcionalidad del art. 36.2 RPR, el fiscal también descarta que se haya producido la alegada vulneración del derecho de los recurrentes al ejercicio del cargo parlamentario </w:t>
      </w:r>
      <w:r w:rsidRPr="00A8138F">
        <w:rPr>
          <w:i/>
        </w:rPr>
        <w:t>ex</w:t>
      </w:r>
      <w:r>
        <w:t xml:space="preserve"> art. 23.2 CE.</w:t>
      </w:r>
    </w:p>
    <w:p w14:paraId="00FE41A0" w14:textId="77777777" w:rsidR="00A8138F" w:rsidRDefault="00A8138F" w:rsidP="00A8138F">
      <w:pPr>
        <w:pStyle w:val="TextoNormal"/>
      </w:pPr>
    </w:p>
    <w:p w14:paraId="75E05D18" w14:textId="77777777" w:rsidR="00A8138F" w:rsidRDefault="00A8138F" w:rsidP="00A8138F">
      <w:pPr>
        <w:pStyle w:val="TextoNormal"/>
      </w:pPr>
      <w:r>
        <w:t xml:space="preserve">Estima el fiscal que el acuerdo de la mesa impugnado en amparo contiene una fundamentación razonable para rechazar que pudiera existir la vulneración del principio de proporcionalidad del art. 36.2 RPR, sin que pueda estimarse como arbitraria y discriminatoria para los recurrentes, por lo que dicho acuerdo no ha supuesto la vulneración del derecho fundamental del art. 23.2 CE. Los recurrentes alegan una alteración de la representación proporcional de los grupos parlamentarios en las comisiones, pero lo que pretenden es capitalizar o acrecer a su favor la pérdida de un diputado por otro grupo parlamentario, al ser declarada no adscrita una diputada del Grupo Mixto. Por otra parte, prescinden totalmente del hecho de que la diputada no adscrita mantenía el derecho a participar en las comisiones, de conformidad con lo establecido en los arts. 13.2 y 26.1 </w:t>
      </w:r>
      <w:r w:rsidRPr="00A8138F">
        <w:rPr>
          <w:i/>
        </w:rPr>
        <w:t>in fine</w:t>
      </w:r>
      <w:r>
        <w:t xml:space="preserve"> RPR (así se recoge también en el acuerdo de la mesa de 28 de abril de 2022, en el que se declara no adscrita a la diputada doña Raquel Romero Alonso). A lo que ha de añadirse que, conforme a la doctrina constitucional, el principio de representación proporcional en los órganos de los parlamentos, en cuanto garantía del derecho al cargo representativo, no responde a una exigencia de exactitud aritmética (STC 35/2022, de 9 de marzo, FJ 4). Esa doctrina sobre el principio de proporcionalidad ha puesto también de relieve la necesidad de respetar la autonomía parlamentaria, respecto de los métodos de cálculo de la proporcionalidad, cuando los reglamentos de las cámaras no establecen expresamente una regla específica de cálculo (STC 116/2023, de 25 de septiembre, FJ 3).</w:t>
      </w:r>
    </w:p>
    <w:p w14:paraId="7885CFEA" w14:textId="77777777" w:rsidR="00A8138F" w:rsidRDefault="00A8138F" w:rsidP="00A8138F">
      <w:pPr>
        <w:pStyle w:val="TextoNormal"/>
      </w:pPr>
    </w:p>
    <w:p w14:paraId="5620E876" w14:textId="40863500" w:rsidR="00A8138F" w:rsidRDefault="00A8138F" w:rsidP="00A8138F">
      <w:pPr>
        <w:pStyle w:val="TextoNormal"/>
      </w:pPr>
      <w:r>
        <w:t>Interesa en consecuencia el Ministerio Fiscal que se desestime el recurso de amparo.</w:t>
      </w:r>
    </w:p>
    <w:p w14:paraId="20100178" w14:textId="77777777" w:rsidR="00A8138F" w:rsidRDefault="00A8138F" w:rsidP="00A8138F">
      <w:pPr>
        <w:pStyle w:val="TextoNormal"/>
      </w:pPr>
    </w:p>
    <w:p w14:paraId="439EB09E" w14:textId="39EA88C5" w:rsidR="00A8138F" w:rsidRDefault="00A8138F" w:rsidP="00A8138F">
      <w:pPr>
        <w:pStyle w:val="TextoNormal"/>
      </w:pPr>
      <w:r w:rsidRPr="00A8138F">
        <w:rPr>
          <w:rStyle w:val="NumeroAFNegritaCaracter"/>
        </w:rPr>
        <w:t>10</w:t>
      </w:r>
      <w:r>
        <w:t>. Por providencia de 22 de mayo de 2025 se señaló para la deliberación y votación de la presente sentencia el día 26 del mismo mes y año.</w:t>
      </w:r>
    </w:p>
    <w:p w14:paraId="5CD3FF2F" w14:textId="77777777" w:rsidR="00A8138F" w:rsidRDefault="00A8138F" w:rsidP="00A8138F">
      <w:pPr>
        <w:pStyle w:val="TextoNormal"/>
      </w:pPr>
    </w:p>
    <w:p w14:paraId="678F318C" w14:textId="77777777" w:rsidR="00A8138F" w:rsidRDefault="00A8138F" w:rsidP="00A8138F">
      <w:pPr>
        <w:pStyle w:val="TextoNormalNegritaCentrado"/>
        <w:keepNext/>
      </w:pPr>
      <w:r>
        <w:t>II. Fundamentos jurídicos</w:t>
      </w:r>
    </w:p>
    <w:p w14:paraId="0BE0EEB8" w14:textId="4F32B679" w:rsidR="00A8138F" w:rsidRDefault="00A8138F" w:rsidP="00A8138F">
      <w:pPr>
        <w:pStyle w:val="TextoNormalNegritaCentrado"/>
        <w:keepNext/>
      </w:pPr>
    </w:p>
    <w:p w14:paraId="7408DE88" w14:textId="77777777" w:rsidR="00A8138F" w:rsidRDefault="00A8138F" w:rsidP="00A8138F">
      <w:pPr>
        <w:pStyle w:val="TextoNormal"/>
      </w:pPr>
      <w:r w:rsidRPr="00A8138F">
        <w:rPr>
          <w:rStyle w:val="NumeroAFNegritaCaracter"/>
        </w:rPr>
        <w:t>1</w:t>
      </w:r>
      <w:r>
        <w:t xml:space="preserve">. </w:t>
      </w:r>
      <w:r w:rsidRPr="00A8138F">
        <w:rPr>
          <w:i/>
        </w:rPr>
        <w:t>Delimitación del objeto del recurso de amparo</w:t>
      </w:r>
    </w:p>
    <w:p w14:paraId="348F3186" w14:textId="77777777" w:rsidR="00A8138F" w:rsidRDefault="00A8138F" w:rsidP="00A8138F">
      <w:pPr>
        <w:pStyle w:val="TextoNormal"/>
      </w:pPr>
    </w:p>
    <w:p w14:paraId="5D9B530F" w14:textId="77777777" w:rsidR="00A8138F" w:rsidRDefault="00A8138F" w:rsidP="00A8138F">
      <w:pPr>
        <w:pStyle w:val="TextoNormal"/>
      </w:pPr>
      <w:r>
        <w:t>El presente recurso de amparo ha sido interpuesto, de conformidad con el art. 42 LOTC, por el portavoz del Grupo Parlamentario Popular en el Parlamento de La Rioja y los restantes diputados de este grupo parlamentario en la décima legislatura de dicha Cámara, contra las resoluciones del presidente del Parlamento de La Rioja de 16 y 23 de diciembre de 2022, por las que fija el orden del día de sendos plenos de la Cámara, que convoca para los días 19 y 29 del mismo mes, así como frente a diversos acuerdos de la mesa del Parlamento de 28 y 29 de diciembre de 2022; de 10, 16 y 17 de enero de 2023 y de 9 de febrero de 2023, cuyo contenido ha quedado reflejado en los antecedentes de la presente sentencia.</w:t>
      </w:r>
    </w:p>
    <w:p w14:paraId="45B3267C" w14:textId="77777777" w:rsidR="00A8138F" w:rsidRDefault="00A8138F" w:rsidP="00A8138F">
      <w:pPr>
        <w:pStyle w:val="TextoNormal"/>
      </w:pPr>
    </w:p>
    <w:p w14:paraId="209AFB70" w14:textId="77777777" w:rsidR="00A8138F" w:rsidRDefault="00A8138F" w:rsidP="00A8138F">
      <w:pPr>
        <w:pStyle w:val="TextoNormal"/>
      </w:pPr>
      <w:r>
        <w:t>Los recurrentes sostienen que las resoluciones y acuerdos impugnados han vulnerado su derecho fundamental al ejercicio del cargo político representativo (art. 23.2 CE) y, correlativamente, el derecho de los ciudadanos a participar en los asuntos públicos a través de sus legítimos representantes (art. 23.1 CE), por cuanto menoscaban las funciones reglamentarias de la junta de portavoces en la organización del trabajo parlamentario. En particular aducen que los acuerdos de la mesa de 28 y 29 de diciembre de 2022, referidos a la admisión a trámite de la proposición de ley sobre modificación de preceptos del Reglamento del Parlamento de La Rioja, se insertan en un procedimiento legislativo dirigido a modificar las funciones de la junta de portavoces para vaciar a este órgano principal del grueso de sus competencias, sustituyendo la anterior exigencia de su acuerdo por la de su mera audiencia, en detrimento de las minorías, y que los acuerdos de la mesa que rechazan la solicitud de modificación de la composición de las comisiones lesionan el derecho de los recurrentes a participar en unas comisiones parlamentarias en las que se respete el principio de proporcionalidad, constriñendo ilegítimamente su función representativa tanto en el ámbito legislativo como en el de control.</w:t>
      </w:r>
    </w:p>
    <w:p w14:paraId="22FAD038" w14:textId="77777777" w:rsidR="00A8138F" w:rsidRDefault="00A8138F" w:rsidP="00A8138F">
      <w:pPr>
        <w:pStyle w:val="TextoNormal"/>
      </w:pPr>
    </w:p>
    <w:p w14:paraId="1E9E7DDD" w14:textId="77777777" w:rsidR="00A8138F" w:rsidRDefault="00A8138F" w:rsidP="00A8138F">
      <w:pPr>
        <w:pStyle w:val="TextoNormal"/>
      </w:pPr>
      <w:r>
        <w:t>La representación procesal de quien ejerciera la Presidencia del Parlamento de La Rioja en la décima legislatura y de otros tres diputados del Grupo Parlamentario Socialista en la misma legislatura ha interesado la desestimación del recurso de amparo, por entender que las resoluciones y acuerdos impugnados no han vulnerado el derecho de participación política de los recurrentes. Afirma que con esas resoluciones y acuerdos se intentó dar respuesta a la situación de bloqueo institucional a la que se estaba llegando en la Cámara a finales del año 2022, como consecuencia de la alteración del equilibrio de fuerzas en la junta de portavoces, al quedar integrado por una sola diputada el Grupo Parlamentario Mixto tras ser declarada diputada no adscrita doña Raquel Romero Alonso. Y señala que esta diputada ha interpuesto recurso de amparo contra la decisión de la mesa del Parlamento de La Rioja que la declara diputada no adscrita. Como ya hemos advertido, se trata del recurso de amparo núm. 5774-2022, admitido a trámite y pendiente de sentencia.</w:t>
      </w:r>
    </w:p>
    <w:p w14:paraId="1890D0E0" w14:textId="77777777" w:rsidR="00A8138F" w:rsidRDefault="00A8138F" w:rsidP="00A8138F">
      <w:pPr>
        <w:pStyle w:val="TextoNormal"/>
      </w:pPr>
    </w:p>
    <w:p w14:paraId="3439E1F5" w14:textId="06A9E125" w:rsidR="00A8138F" w:rsidRDefault="00A8138F" w:rsidP="00A8138F">
      <w:pPr>
        <w:pStyle w:val="TextoNormal"/>
      </w:pPr>
      <w:r>
        <w:t>Por su parte, el Ministerio Fiscal también ha solicitado la desestimación del recurso de amparo, por las razones de las que hemos dado cuenta en los antecedentes de esta sentencia.</w:t>
      </w:r>
    </w:p>
    <w:p w14:paraId="2913741C" w14:textId="77777777" w:rsidR="00A8138F" w:rsidRDefault="00A8138F" w:rsidP="00A8138F">
      <w:pPr>
        <w:pStyle w:val="TextoNormal"/>
      </w:pPr>
    </w:p>
    <w:p w14:paraId="75E70ADD" w14:textId="77777777" w:rsidR="00A8138F" w:rsidRDefault="00A8138F" w:rsidP="00A8138F">
      <w:pPr>
        <w:pStyle w:val="TextoNormal"/>
      </w:pPr>
      <w:r w:rsidRPr="00A8138F">
        <w:rPr>
          <w:rStyle w:val="NumeroAFNegritaCaracter"/>
        </w:rPr>
        <w:t>2</w:t>
      </w:r>
      <w:r>
        <w:t xml:space="preserve">. </w:t>
      </w:r>
      <w:r w:rsidRPr="00A8138F">
        <w:rPr>
          <w:i/>
        </w:rPr>
        <w:t>La doctrina constitucional sobre el derecho de representación política y el principio de autonomía parlamentaria</w:t>
      </w:r>
    </w:p>
    <w:p w14:paraId="6BBEC85E" w14:textId="77777777" w:rsidR="00A8138F" w:rsidRDefault="00A8138F" w:rsidP="00A8138F">
      <w:pPr>
        <w:pStyle w:val="TextoNormal"/>
      </w:pPr>
    </w:p>
    <w:p w14:paraId="795BA33F" w14:textId="77777777" w:rsidR="00A8138F" w:rsidRDefault="00A8138F" w:rsidP="00A8138F">
      <w:pPr>
        <w:pStyle w:val="TextoNormal"/>
      </w:pPr>
      <w:r>
        <w:t>Nuestra jurisprudencia, desde la temprana STC 5/1983, de 4 de febrero, FJ 3, ha reiterado que el art. 23.2 CE, que reconoce el derecho de los ciudadanos “a acceder en condiciones de igualdad a las funciones y cargos públicos, con los requisitos que señalen las leyes”, no solo garantiza el acceso igualitario a las funciones y cargos públicos, sino también que los que hayan accedido a los mismos se mantengan en ellos y los desempeñen de conformidad con lo que la ley disponga.</w:t>
      </w:r>
    </w:p>
    <w:p w14:paraId="53B4B29F" w14:textId="77777777" w:rsidR="00A8138F" w:rsidRDefault="00A8138F" w:rsidP="00A8138F">
      <w:pPr>
        <w:pStyle w:val="TextoNormal"/>
      </w:pPr>
    </w:p>
    <w:p w14:paraId="11971B34" w14:textId="77777777" w:rsidR="00A8138F" w:rsidRDefault="00A8138F" w:rsidP="00A8138F">
      <w:pPr>
        <w:pStyle w:val="TextoNormal"/>
      </w:pPr>
      <w:r>
        <w:t xml:space="preserve">En atención al ámbito objetivo otorgado a ese derecho, la jurisprudencia constitucional ha establecido que resultaría vulnerado si los órganos de las asambleas parlamentarias impiden o coartan su práctica o adoptan decisiones que contraríen la naturaleza de la representación o la igualdad entre representantes; incidiendo, por un lado, en que este derecho es de configuración legal, en el sentido de que compete a los reglamentos parlamentarios fijar y ordenar los derechos y atribuciones que a los representantes políticos corresponden, de modo que una vez creados quedan integrados en el </w:t>
      </w:r>
      <w:r w:rsidRPr="00A8138F">
        <w:rPr>
          <w:i/>
        </w:rPr>
        <w:t>status</w:t>
      </w:r>
      <w:r>
        <w:t xml:space="preserve"> propio del cargo; y, por otro, en que no cualquier acto del órgano parlamentario que infrinja la legalidad del </w:t>
      </w:r>
      <w:r w:rsidRPr="00A8138F">
        <w:rPr>
          <w:i/>
        </w:rPr>
        <w:t>ius in officium</w:t>
      </w:r>
      <w:r>
        <w:t xml:space="preserve"> resulta lesivo del derecho fundamental, pues solo poseen relevancia constitucional los que incidan en el núcleo de su función representativa parlamentaria, como son, principalmente, los que tienen relación directa con el ejercicio de las potestades legislativas y de control de la acción del Gobierno (entre otras, SSTC 159/2019, de 12 de diciembre, FFJJ 4 y 5; 69/2021, de 18 de marzo, FFJJ 4 y 5; 137/2021, de 29 de junio, FFJJ 3 y 4, y 58/2023, de 23 de mayo, FJ 3).</w:t>
      </w:r>
    </w:p>
    <w:p w14:paraId="00C555F6" w14:textId="77777777" w:rsidR="00A8138F" w:rsidRDefault="00A8138F" w:rsidP="00A8138F">
      <w:pPr>
        <w:pStyle w:val="TextoNormal"/>
      </w:pPr>
    </w:p>
    <w:p w14:paraId="7FFE920F" w14:textId="77777777" w:rsidR="00A8138F" w:rsidRDefault="00A8138F" w:rsidP="00A8138F">
      <w:pPr>
        <w:pStyle w:val="TextoNormal"/>
      </w:pPr>
      <w:r>
        <w:t>El carácter de configuración legal del derecho de representación política debe ser puesto en relación con el principio de autonomía parlamentaria reconocido por el art. 72.1 CE que, según jurisprudencia constitucional reiterada, se fundamenta en la necesidad de sustraer a las cámaras legislativas de posibles intromisiones de otros poderes del Estado que puedan afectar al desempeño de las funciones parlamentarias. Se trata de un instrumento protector del órgano parlamentario, tradicional en nuestra historia constitucional y común en Derecho comparado, que se configura como un derecho propio elaborado por las cámaras, o adoptado mediante importación selectiva o remisión a otras normas. Como hemos advertido, “[e]l respeto a la autonomía parlamentaria lo es, sobre todo, a unas reglas de juego que institucionalizan el debate político y sobre cuyo contenido solo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(STC 227/2004, de 29 de noviembre, FJ 6)” (SSTC 141/2007, de 18 de junio, FJ 5; 49/2008, de 9 de abril, FJ 15, y 38/2022, FJ 3).</w:t>
      </w:r>
    </w:p>
    <w:p w14:paraId="132A1825" w14:textId="77777777" w:rsidR="00A8138F" w:rsidRDefault="00A8138F" w:rsidP="00A8138F">
      <w:pPr>
        <w:pStyle w:val="TextoNormal"/>
      </w:pPr>
    </w:p>
    <w:p w14:paraId="3F8728A4" w14:textId="77777777" w:rsidR="00A8138F" w:rsidRDefault="00A8138F" w:rsidP="00A8138F">
      <w:pPr>
        <w:pStyle w:val="TextoNormal"/>
      </w:pPr>
      <w:r>
        <w:t>El principio de autonomía parlamentaria incluye un conjunto de atribuciones, reconocidas en el art. 72.1 CE (y, en lo que atañe al Parlamento de La Rioja, por el art. 19.1 del Estatuto de Autonomía de La Rioja, aprobado por Ley Orgánica 3/1982, de 9 de junio), que se extiende a tres grandes esferas de actuación: la autonomía normativa, que comporta, en lo que ahora es de interés, el reglamento parlamentario, así como sus normas interpretativas y acuerdos de los órganos de las cámaras; la autonomía presupuestaria, para la aprobación del proyecto de presupuesto propio; y la autonomía administrativa, para ordenar su propia organización y su personal, así como para elegir sus propios órganos de gobierno.</w:t>
      </w:r>
    </w:p>
    <w:p w14:paraId="0924E90E" w14:textId="77777777" w:rsidR="00A8138F" w:rsidRDefault="00A8138F" w:rsidP="00A8138F">
      <w:pPr>
        <w:pStyle w:val="TextoNormal"/>
      </w:pPr>
    </w:p>
    <w:p w14:paraId="03FE45C9" w14:textId="77777777" w:rsidR="00A8138F" w:rsidRDefault="00A8138F" w:rsidP="00A8138F">
      <w:pPr>
        <w:pStyle w:val="TextoNormal"/>
      </w:pPr>
      <w:r>
        <w:t>En relación con la denominada “autonomía normativa”, el Tribunal ha destacado que dota a las cámaras parlamentarias de una esfera de decisión propia que se plasma especialmente en la autonomía reglamentaria, esto es, en la potestad de aprobar sus propios reglamentos (STC 234/2000, de 3 de octubre, FJ 12), que tienen fuerza de ley, y también comporta el reconocimiento de que sus órganos están dotados de un margen de interpretación suficiente de esa reglamentación interna (por todas, SSTC 109/2016, de 7 de junio, FJ 3; 139/2017, de 29 de noviembre, FJ 4; 34/2018, de 12 de abril, FJ 4; 115/2019, de 16 de octubre, FJ 4; 137/2021, de 29 de junio, FJ 3, y 38/2022, de 11 de marzo, FJ 3).</w:t>
      </w:r>
    </w:p>
    <w:p w14:paraId="2CBCC1CF" w14:textId="77777777" w:rsidR="00A8138F" w:rsidRDefault="00A8138F" w:rsidP="00A8138F">
      <w:pPr>
        <w:pStyle w:val="TextoNormal"/>
      </w:pPr>
    </w:p>
    <w:p w14:paraId="2A4723FD" w14:textId="77777777" w:rsidR="00A8138F" w:rsidRDefault="00A8138F" w:rsidP="00A8138F">
      <w:pPr>
        <w:pStyle w:val="TextoNormal"/>
      </w:pPr>
      <w:r>
        <w:t>Ahora bien, esa facultad interpretativa cuenta con límites derivados, por un lado, de la subordinación del intérprete a la ley y al reglamento parlamentario, es decir a la creación normativa del Pleno de la asamblea, lo que impide innovaciones que contradigan los contenidos de las disposiciones legales o reglamentarias en la materia (entre otras, SSTC 44/1995, de 13 de febrero, FJ 3, y 226/2004, de 29 de noviembre, FJ 2); y, por otro, de la eventual afectación que pueda tener en el ámbito del derecho de representación política, lo que determina que debe hacerse una exegesis restrictiva de las normas limitativas de los derechos o atribuciones que integran el estatuto constitucionalmente relevante del representante público y motivar las razones de su aplicación (SSTC 151/2017, de 21 de diciembre, FJ 7, y 159/2019, de 12 de diciembre, FJ 5, por todas). A esos efectos, la jurisprudencia constitucional ha destacado también el papel interpretativo y complementario en la aplicación del Derecho escrito que desempeñan las prácticas o usos parlamentarios en la precisión del sentido y alcance de alguna de sus normas, incluidas las que regulan el ejercicio de las prerrogativas parlamentarias, aun con el límite inmediato de la propia normativa parlamentaria, cuyo contenido no pueden contravenir (por todas, SSTC 57/2011, de 3 de mayo, FJ 7; 224/2016, de 19 de diciembre, FJ 4; 71/2017, de 5 de junio, FJ 5, y 58/2023, de 23 de mayo, FJ 3).</w:t>
      </w:r>
    </w:p>
    <w:p w14:paraId="55137967" w14:textId="77777777" w:rsidR="00A8138F" w:rsidRDefault="00A8138F" w:rsidP="00A8138F">
      <w:pPr>
        <w:pStyle w:val="TextoNormal"/>
      </w:pPr>
    </w:p>
    <w:p w14:paraId="52248BB1" w14:textId="77777777" w:rsidR="00A8138F" w:rsidRDefault="00A8138F" w:rsidP="00A8138F">
      <w:pPr>
        <w:pStyle w:val="TextoNormal"/>
      </w:pPr>
      <w:r>
        <w:t>Como hemos reiterado en diversas ocasiones, aunque compete a los reglamentos parlamentarios fijar y ordenar, en determinadas materias, los derechos y facultades que corresponden a los distintos cargos y funciones públicas y que integran el derecho garantizado por el art. 23.2 CE, una vez creados quedan integrados en el estatus representativo. En efecto, conforme a la doctrina de este tribunal, la Constitución veta la privación o perturbación al representante político de la práctica de su cargo, introduciendo obstáculos que puedan colocar a unos representantes en condiciones de inferioridad respecto de otros (SSTC 32/1985, de 6 de marzo, FJ 3, y 226/2004, de 29 de noviembre, FJ 2, por todas).</w:t>
      </w:r>
    </w:p>
    <w:p w14:paraId="7FC4F02D" w14:textId="77777777" w:rsidR="00A8138F" w:rsidRDefault="00A8138F" w:rsidP="00A8138F">
      <w:pPr>
        <w:pStyle w:val="TextoNormal"/>
      </w:pPr>
    </w:p>
    <w:p w14:paraId="1CE8C331" w14:textId="268BE663" w:rsidR="00A8138F" w:rsidRDefault="00A8138F" w:rsidP="00A8138F">
      <w:pPr>
        <w:pStyle w:val="TextoNormal"/>
      </w:pPr>
      <w:r>
        <w:t>En suma, la denominada “autonomía normativa” de una Cámara legislativa, en este caso del Parlamento de La Rioja, viene determinada por su propio reglamento interno y, una vez aprobado este, las facultades de autodeterminación organizativa de la Cámara encuentran su límite en el respeto a los derechos de los parlamentarios, que integran su estatuto representativo, así reconocido por el propio reglamento.</w:t>
      </w:r>
    </w:p>
    <w:p w14:paraId="3139BA4D" w14:textId="77777777" w:rsidR="00A8138F" w:rsidRDefault="00A8138F" w:rsidP="00A8138F">
      <w:pPr>
        <w:pStyle w:val="TextoNormal"/>
      </w:pPr>
    </w:p>
    <w:p w14:paraId="53858497" w14:textId="77777777" w:rsidR="00A8138F" w:rsidRDefault="00A8138F" w:rsidP="00A8138F">
      <w:pPr>
        <w:pStyle w:val="TextoNormal"/>
      </w:pPr>
      <w:r w:rsidRPr="00A8138F">
        <w:rPr>
          <w:rStyle w:val="NumeroAFNegritaCaracter"/>
        </w:rPr>
        <w:t>3</w:t>
      </w:r>
      <w:r>
        <w:t xml:space="preserve">. </w:t>
      </w:r>
      <w:r w:rsidRPr="00A8138F">
        <w:rPr>
          <w:i/>
        </w:rPr>
        <w:t>Enjuiciamiento de la impugnación referida a las resoluciones del presidente del Parlamento de La Rioja de 16 y 23 de diciembre de 2022</w:t>
      </w:r>
    </w:p>
    <w:p w14:paraId="5BD466D4" w14:textId="77777777" w:rsidR="00A8138F" w:rsidRDefault="00A8138F" w:rsidP="00A8138F">
      <w:pPr>
        <w:pStyle w:val="TextoNormal"/>
      </w:pPr>
    </w:p>
    <w:p w14:paraId="519BFE53" w14:textId="77777777" w:rsidR="00A8138F" w:rsidRDefault="00A8138F" w:rsidP="00A8138F">
      <w:pPr>
        <w:pStyle w:val="TextoNormal"/>
      </w:pPr>
      <w:r>
        <w:t>Como ha quedado reflejado en el relato de antecedentes de la presente sentencia, dos son las resoluciones del presidente del Parlamento de La Rioja durante la décima legislatura que los recurrentes impugnan, por entender que lesionan su derecho fundamental de participación política (art. 23.2 CE).</w:t>
      </w:r>
    </w:p>
    <w:p w14:paraId="77D38B6E" w14:textId="77777777" w:rsidR="00A8138F" w:rsidRDefault="00A8138F" w:rsidP="00A8138F">
      <w:pPr>
        <w:pStyle w:val="TextoNormal"/>
      </w:pPr>
    </w:p>
    <w:p w14:paraId="672B0A09" w14:textId="77777777" w:rsidR="00A8138F" w:rsidRDefault="00A8138F" w:rsidP="00A8138F">
      <w:pPr>
        <w:pStyle w:val="TextoNormal"/>
      </w:pPr>
      <w:r>
        <w:t>En primer lugar, la adoptada el 16 de diciembre de 2022, por la cual el presidente convocó, de conformidad con el art. 50 RPR, la sesión del Pleno de la Cámara para el 19 de diciembre de 2022, fijando el orden del día de esa sesión sin el acuerdo de la junta de portavoces, cuyo parecer fue consultado en la sesión de 15 de diciembre de 2022. El orden del día de la sesión plenaria convocada incluía los debates del proyecto de Ley de presupuestos generales de la Comunidad Autónoma de La Rioja para el año 2023, del proyecto de Ley de juventud de La Rioja, y del proyecto de Ley de declaración del parque natural del Alto Najerilla (este en lectura única), además de determinadas preguntas orales a la presidenta del Gobierno de La Rioja.</w:t>
      </w:r>
    </w:p>
    <w:p w14:paraId="49F24E15" w14:textId="77777777" w:rsidR="00A8138F" w:rsidRDefault="00A8138F" w:rsidP="00A8138F">
      <w:pPr>
        <w:pStyle w:val="TextoNormal"/>
      </w:pPr>
    </w:p>
    <w:p w14:paraId="3A522FAF" w14:textId="77777777" w:rsidR="00A8138F" w:rsidRDefault="00A8138F" w:rsidP="00A8138F">
      <w:pPr>
        <w:pStyle w:val="TextoNormal"/>
      </w:pPr>
      <w:r>
        <w:t>En segundo lugar, la adoptada el 23 de diciembre de 2022, en virtud de la cual el presidente del Parlamento convocó, de conformidad con el art. 50 RPR, la sesión del Pleno de la Cámara para el 29 de diciembre de 2022 y fijó el orden del día de nuevo sin el acuerdo de la junta de portavoces, cuyo parecer fue consultado en la sesión que se celebró el 23 de diciembre de 2022. El orden del día de la sesión plenaria convocada incluía el debate (en lectura única) de la proposición de Ley de medidas fiscales y administrativas para el año 2023.</w:t>
      </w:r>
    </w:p>
    <w:p w14:paraId="4AD3BF47" w14:textId="77777777" w:rsidR="00A8138F" w:rsidRDefault="00A8138F" w:rsidP="00A8138F">
      <w:pPr>
        <w:pStyle w:val="TextoNormal"/>
      </w:pPr>
    </w:p>
    <w:p w14:paraId="7E1F110C" w14:textId="77777777" w:rsidR="00A8138F" w:rsidRDefault="00A8138F" w:rsidP="00A8138F">
      <w:pPr>
        <w:pStyle w:val="TextoNormal"/>
      </w:pPr>
      <w:r>
        <w:t>Los recurrentes consideran que esas resoluciones del presidente del Parlamento de La Rioja vulneraron la facultad atribuida a la junta de portavoces por el art. 58.1 RPR para decidir sobre el orden del día de los plenos de la Cámara, pues dicho precepto, en la redacción vigente en ese momento (anterior a la modificación de 25 de enero de 2023, que se llevó a cabo al aprobar el Pleno la proposición de ley de modificación del Reglamento, presentada por los grupos parlamentarios Socialista y Mixto), establecía que “[e]l orden del día del Pleno será fijado por el presidente, de acuerdo con la mesa y la junta de portavoces, sin perjuicio de lo dispuesto en el artículo 54.1”. De la literalidad del precepto se desprende que la fijación del orden del día era una competencia decisoria compartida por el presidente del Parlamento, la mesa y la junta de portavoces; interpretación confirmada por los usos parlamentarios.</w:t>
      </w:r>
    </w:p>
    <w:p w14:paraId="46939CDF" w14:textId="77777777" w:rsidR="00A8138F" w:rsidRDefault="00A8138F" w:rsidP="00A8138F">
      <w:pPr>
        <w:pStyle w:val="TextoNormal"/>
      </w:pPr>
    </w:p>
    <w:p w14:paraId="570AEDFF" w14:textId="77777777" w:rsidR="00A8138F" w:rsidRDefault="00A8138F" w:rsidP="00A8138F">
      <w:pPr>
        <w:pStyle w:val="TextoNormal"/>
      </w:pPr>
      <w:r>
        <w:t>Los recurrentes estiman que la infracción de la facultad compartida que se otorgaba a la junta de portavoces por el art. 58.1 RPR para fijar el orden del día de los plenos estuvo motivada por la pérdida de la posición dominante que tenían en aquella los grupos parlamentarios Socialista y Mixto, tras pasar a la condición de diputada no adscrita la diputada del Grupo Mixto, doña Raquel Romero Alonso, lo que también explica la modificación del Reglamento del Parlamento de La Rioja de 25 de enero de 2023 para limitar la intervención de la junta de portavoces a la mera audiencia.</w:t>
      </w:r>
    </w:p>
    <w:p w14:paraId="4C626173" w14:textId="77777777" w:rsidR="00A8138F" w:rsidRDefault="00A8138F" w:rsidP="00A8138F">
      <w:pPr>
        <w:pStyle w:val="TextoNormal"/>
      </w:pPr>
    </w:p>
    <w:p w14:paraId="6A2FB513" w14:textId="77777777" w:rsidR="00A8138F" w:rsidRDefault="00A8138F" w:rsidP="00A8138F">
      <w:pPr>
        <w:pStyle w:val="TextoNormal"/>
      </w:pPr>
      <w:r>
        <w:t>El examen de las actuaciones evidencia que, por lo que se refiere a la resolución de la Presidencia del Parlamento de La Rioja de 16 de diciembre de 2022, en esta se invocan, además del art. 50 RPR que atribuye al presidente la competencia para convocar el Pleno, el art. 29 RPR, conforme al cual corresponde al presidente asegurar la buena marcha de los trabajos parlamentarios y las facultades de interpretación del reglamento, y el art. 79 RPR, según el cual todo asunto declarado de urgencia deberá incluirse en el primer orden del día que se produzca después de cumplidos los trámites que procedan reglamentariamente; esto último en relación con la inclusión en el orden del día fijado para el 19 de diciembre de 2022 de los debates del proyecto de Ley de juventud de La Rioja y del proyecto de Ley de declaración del parque natural del Alto Najerilla, que habían sido declarados de urgencia por acuerdo de la mesa de 7 de diciembre de 2022.</w:t>
      </w:r>
    </w:p>
    <w:p w14:paraId="6C1C1B1E" w14:textId="77777777" w:rsidR="00A8138F" w:rsidRDefault="00A8138F" w:rsidP="00A8138F">
      <w:pPr>
        <w:pStyle w:val="TextoNormal"/>
      </w:pPr>
    </w:p>
    <w:p w14:paraId="5A0C2467" w14:textId="77777777" w:rsidR="00A8138F" w:rsidRDefault="00A8138F" w:rsidP="00A8138F">
      <w:pPr>
        <w:pStyle w:val="TextoNormal"/>
      </w:pPr>
      <w:r>
        <w:t>En cuanto a la resolución de 23 de diciembre de 2022, se invocan de nuevo, además del art. 50 RPR, los arts. 29 y 79 RPR, este en relación ahora con el debate de la proposición de Ley de medidas fiscales y administrativas para el año 2023, que había sido declarado de urgencia por acuerdo de la mesa del Parlamento de 20 de diciembre de 2022.</w:t>
      </w:r>
    </w:p>
    <w:p w14:paraId="2C91C72F" w14:textId="77777777" w:rsidR="00A8138F" w:rsidRDefault="00A8138F" w:rsidP="00A8138F">
      <w:pPr>
        <w:pStyle w:val="TextoNormal"/>
      </w:pPr>
    </w:p>
    <w:p w14:paraId="37B6ED26" w14:textId="77777777" w:rsidR="00A8138F" w:rsidRDefault="00A8138F" w:rsidP="00A8138F">
      <w:pPr>
        <w:pStyle w:val="TextoNormal"/>
      </w:pPr>
      <w:r>
        <w:t>No se hace mención alguna, por lo tanto, en las resoluciones impugnadas a lo dispuesto en el art. 58.1 RPR, en la redacción vigente en ese momento (anterior a la modificación de 25 de enero de 2023) y, lo que es más relevante, aunque la junta de portavoces había sido oída (reuniones de 15 y 23 de diciembre de 2022), lo cierto es que el presidente del Parlamento convocó el Pleno de la Cámara para los días 19 y 29 de diciembre de 2022, fijando el orden del día de esas sesiones del Pleno, tras ser oída la junta de portavoces, pero sin el acuerdo de esta, como exigía el citado precepto. Es decir, la mera audiencia de este órgano parlamentario fue considerada suficiente por el presidente de la Cámara a los efectos de fijar el orden del día del Pleno, pese a la literalidad del art. 58.1 RPR.</w:t>
      </w:r>
    </w:p>
    <w:p w14:paraId="50849AF5" w14:textId="77777777" w:rsidR="00A8138F" w:rsidRDefault="00A8138F" w:rsidP="00A8138F">
      <w:pPr>
        <w:pStyle w:val="TextoNormal"/>
      </w:pPr>
    </w:p>
    <w:p w14:paraId="45285939" w14:textId="77777777" w:rsidR="00A8138F" w:rsidRDefault="00A8138F" w:rsidP="00A8138F">
      <w:pPr>
        <w:pStyle w:val="TextoNormal"/>
      </w:pPr>
      <w:r>
        <w:t>Las resoluciones del presidente del Parlamento de La Rioja de 16 y 23 de diciembre de 2022 infringieron así lo dispuesto en el art. 58.1 RPR, en la redacción vigente en aquel momento, que exigía que el orden del día del Pleno fuera fijado “por el presidente, de acuerdo con la mesa y la junta de portavoces”. De ello se desprende que la competencia para fijar el orden del día del Pleno de la Cámara era compartida y no una facultad unilateral del presidente, debiendo tenerse en cuenta, como señalan los recurrentes, que en el propio Reglamento del Parlamento de La Rioja se distinguen los supuestos en los que se atribuye una competencia compartida al presidente o a la mesa con la junta de portavoces, al utilizar la expresión “de acuerdo con”, de aquellos otros en los que las decisiones pueden ser adoptadas por el presidente o la mesa con la mera audiencia de la junta de portavoces, supuestos estos en los que utiliza la expresión “oída la junta de portavoces”. No en vano, la reforma del art. 58.1 RPR llevada a cabo el 25 de enero de 2023 determinó que el orden del día del Pleno sea fijado “por el presidente, de acuerdo con la mesa y oída la junta de portavoces”.</w:t>
      </w:r>
    </w:p>
    <w:p w14:paraId="1EF0A134" w14:textId="77777777" w:rsidR="00A8138F" w:rsidRDefault="00A8138F" w:rsidP="00A8138F">
      <w:pPr>
        <w:pStyle w:val="TextoNormal"/>
      </w:pPr>
    </w:p>
    <w:p w14:paraId="267F78AC" w14:textId="77777777" w:rsidR="00A8138F" w:rsidRDefault="00A8138F" w:rsidP="00A8138F">
      <w:pPr>
        <w:pStyle w:val="TextoNormal"/>
      </w:pPr>
      <w:r>
        <w:t xml:space="preserve">Esa infracción de lo dispuesto en el art. 58.1 RPR, en la redacción vigente en el momento en que se adoptaron por el presidente del Parlamento de La Rioja las resoluciones impugnadas, privó al portavoz del Grupo Parlamentario Popular, que integraba la junta de portavoces y, por tanto, al grupo parlamentario al que representa, de una facultad esencial del cargo público representativo, cual es la participación en la fijación del orden del día del Pleno de la Cámara, facultad que resulta determinante para el ejercicio de las potestades legislativa y de control de la acción del Gobierno, que constituyen el núcleo esencial de la función del Parlamento. Y es que solo y exclusivamente a partir de la fijación del orden del día, para la que el art. 58.1 RPR exige que el presidente actúe de acuerdo con la junta de portavoces además de con la mesa, los miembros de la Cámara conocen y pueden contribuir a formar la voluntad del órgano representativo del que forman parte. Siendo trascendental la fijación del orden del día, la adopción de este contra lo preceptuado en el Reglamento de la Cámara infringe el </w:t>
      </w:r>
      <w:r w:rsidRPr="00A8138F">
        <w:rPr>
          <w:i/>
        </w:rPr>
        <w:t>ius in officium</w:t>
      </w:r>
      <w:r>
        <w:t xml:space="preserve"> de los parlamentarios.</w:t>
      </w:r>
    </w:p>
    <w:p w14:paraId="0C673530" w14:textId="77777777" w:rsidR="00A8138F" w:rsidRDefault="00A8138F" w:rsidP="00A8138F">
      <w:pPr>
        <w:pStyle w:val="TextoNormal"/>
      </w:pPr>
    </w:p>
    <w:p w14:paraId="01CE8B47" w14:textId="77777777" w:rsidR="00A8138F" w:rsidRDefault="00A8138F" w:rsidP="00A8138F">
      <w:pPr>
        <w:pStyle w:val="TextoNormal"/>
      </w:pPr>
      <w:r>
        <w:t>Por otra parte, como este tribunal ha advertido, el cumplimiento del procedimiento previsto en el Reglamento de la Cámara para la constitución de grupos parlamentarios está asociado con la cobertura que ofrece el art. 23.2 CE, “tanto en aquello que materialmente procura la efectividad de ese derecho principal a la formación de grupos por parte de los representantes electos, […] como en los efectos aparejados con la integridad de su ejercicio y con el ejercicio de funciones y facultades derivadas que sean concreción de su núcleo esencial, garantizando en su integridad el derecho de los grupos parlamentarios a ejercer las facultades que integren el estatuto constitucionalmente relevante de los representantes políticos (por referencia, STC 158/2014, de 6 de octubre, FJ 4)” [SSTC 107/2016, de 7 de junio, FJ 4 B) b), y 108/2016, de 7 de junio, FJ 4 B) b)].</w:t>
      </w:r>
    </w:p>
    <w:p w14:paraId="0881ED02" w14:textId="77777777" w:rsidR="00A8138F" w:rsidRDefault="00A8138F" w:rsidP="00A8138F">
      <w:pPr>
        <w:pStyle w:val="TextoNormal"/>
      </w:pPr>
    </w:p>
    <w:p w14:paraId="7A427DC8" w14:textId="77777777" w:rsidR="00A8138F" w:rsidRDefault="00A8138F" w:rsidP="00A8138F">
      <w:pPr>
        <w:pStyle w:val="TextoNormal"/>
      </w:pPr>
      <w:r>
        <w:t>En consecuencia, dado que el Reglamento del Parlamento de La Rioja otorgaba a los grupos parlamentarios el derecho a participar en la fijación del orden del día a través de la junta de portavoces, debemos declarar que las impugnadas resoluciones del presidente del Parlamento de La Rioja de 16 y 23 de diciembre de 2022, por las cuales aquel convocó las sesiones del Pleno de la Cámara de los días 19 y 29 diciembre de 2022, respectivamente, fijando el orden del día de esas sesiones sin contar con el acuerdo de la junta de portavoces, vulneraron el derecho de participación política de los diputados recurrentes (art. 23.2 CE), lo que comporta la nulidad de esas resoluciones.</w:t>
      </w:r>
    </w:p>
    <w:p w14:paraId="30147DBF" w14:textId="77777777" w:rsidR="00A8138F" w:rsidRDefault="00A8138F" w:rsidP="00A8138F">
      <w:pPr>
        <w:pStyle w:val="TextoNormal"/>
      </w:pPr>
    </w:p>
    <w:p w14:paraId="1B426B0A" w14:textId="3FFAF09A" w:rsidR="00A8138F" w:rsidRDefault="00A8138F" w:rsidP="00A8138F">
      <w:pPr>
        <w:pStyle w:val="TextoNormal"/>
      </w:pPr>
      <w:r>
        <w:t>No cabe adoptar ninguna otra medida de restablecimiento en el disfrute del derecho vulnerado, dado que dichas resoluciones fueron adoptadas en una legislatura ya concluida (por todas, SSTC 107/2001, de 23 de abril, FJ 10; 203/2001, de 15 de octubre, FJ 6; 177/2002, de 14 de octubre, FJ 11; 57/2011, de 3 de mayo, FJ 8, y 212/2016, de 15 de diciembre, FJ 7).</w:t>
      </w:r>
    </w:p>
    <w:p w14:paraId="5BFB556C" w14:textId="77777777" w:rsidR="00A8138F" w:rsidRDefault="00A8138F" w:rsidP="00A8138F">
      <w:pPr>
        <w:pStyle w:val="TextoNormal"/>
      </w:pPr>
    </w:p>
    <w:p w14:paraId="2F8CC400" w14:textId="77777777" w:rsidR="00A8138F" w:rsidRDefault="00A8138F" w:rsidP="00A8138F">
      <w:pPr>
        <w:pStyle w:val="TextoNormal"/>
      </w:pPr>
      <w:r w:rsidRPr="00A8138F">
        <w:rPr>
          <w:rStyle w:val="NumeroAFNegritaCaracter"/>
        </w:rPr>
        <w:t>4</w:t>
      </w:r>
      <w:r>
        <w:t xml:space="preserve">. </w:t>
      </w:r>
      <w:r w:rsidRPr="00A8138F">
        <w:rPr>
          <w:i/>
        </w:rPr>
        <w:t>Enjuiciamiento de la impugnación referida a los acuerdos de la mesa del Parlamento de La Rioja sobre celebración de sesiones extraordinarias</w:t>
      </w:r>
    </w:p>
    <w:p w14:paraId="5419F05B" w14:textId="77777777" w:rsidR="00A8138F" w:rsidRDefault="00A8138F" w:rsidP="00A8138F">
      <w:pPr>
        <w:pStyle w:val="TextoNormal"/>
      </w:pPr>
    </w:p>
    <w:p w14:paraId="3C31CE1E" w14:textId="77777777" w:rsidR="00A8138F" w:rsidRDefault="00A8138F" w:rsidP="00A8138F">
      <w:pPr>
        <w:pStyle w:val="TextoNormal"/>
      </w:pPr>
      <w:r>
        <w:t>Se impugnan también los acuerdos de la mesa del Parlamento de La Rioja de 29 de diciembre de 2022 y 10 de enero de 2023, así como los acuerdos de la mesa de 10 y 17 de enero de 2023, que desestiman las peticiones de reconsideración presentadas contra aquellos. El primero aprueba la celebración de catorce sesiones extraordinarias en distintos órganos parlamentarios durante el mes de enero de 2023. El segundo aprueba la celebración de una sesión extraordinaria de la Comisión de Salud el 19 de enero de 2023. En el recurso de amparo se sostiene que la decisión de la mesa de celebrar esas sesiones extraordinarias sin el acuerdo de la junta de portavoces y tras oír su parecer infringe lo establecido en el art. 28.1 b) RPR, en la redacción vigente en aquel momento (anterior a la modificación de 25 de enero de 2023), conforme al cual corresponde a la mesa “[p]rogramar las líneas generales de actuación […] y coordinar los trabajos de sus diferentes órganos, de acuerdo con la junta de portavoces”. Infracción que depara la vulneración del derecho fundamental de participación política (art. 23.2 CE) de los diputados recurrentes, según se afirma en el recurso.</w:t>
      </w:r>
    </w:p>
    <w:p w14:paraId="3C8EC7A7" w14:textId="77777777" w:rsidR="00A8138F" w:rsidRDefault="00A8138F" w:rsidP="00A8138F">
      <w:pPr>
        <w:pStyle w:val="TextoNormal"/>
      </w:pPr>
    </w:p>
    <w:p w14:paraId="681DD8CB" w14:textId="77777777" w:rsidR="00A8138F" w:rsidRDefault="00A8138F" w:rsidP="00A8138F">
      <w:pPr>
        <w:pStyle w:val="TextoNormal"/>
      </w:pPr>
      <w:r>
        <w:t>Se aduce por los recurrentes que de la redacción literal del art. 28.1 b) RPR, vigente cuando se adoptaron por la mesa los acuerdos impugnados, se desprende que la decisión de celebrar sesiones extraordinarias era una competencia decisoria compartida por la mesa y la junta de portavoces. Como en el caso de la facultad compartida que se otorgaba a la junta de portavoces por el art. 58.1 RPR, la preterición de lo dispuesto en el art. 28.1 b) RPR obedecería, según los recurrentes, a la pérdida de la posición dominante que tenían en aquella los grupos parlamentarios Socialista y Mixto, tras pasar a la condición de diputada no adscrita una diputada del Grupo Mixto, lo que también explica la modificación del art. 28.1 b) RPR en la reforma de 25 de enero de 2023, para limitar la intervención de la junta de portavoces a la mera audiencia, “oída la junta de portavoces”.</w:t>
      </w:r>
    </w:p>
    <w:p w14:paraId="56C92C1C" w14:textId="77777777" w:rsidR="00A8138F" w:rsidRDefault="00A8138F" w:rsidP="00A8138F">
      <w:pPr>
        <w:pStyle w:val="TextoNormal"/>
      </w:pPr>
    </w:p>
    <w:p w14:paraId="72E5649F" w14:textId="77777777" w:rsidR="00A8138F" w:rsidRDefault="00A8138F" w:rsidP="00A8138F">
      <w:pPr>
        <w:pStyle w:val="TextoNormal"/>
      </w:pPr>
      <w:r>
        <w:t>Sin embargo, frente a lo que sostienen los recurrentes, no resulta inequívoco que lo dispuesto en el art. 28.1 b) RPR, en la redacción vigente en el momento de aprobarse los actos impugnados, resultare de aplicación al supuesto de celebración de sesiones extraordinarias de los órganos parlamentarios. De las actuaciones resulta que, a petición de los grupos parlamentarios Popular y Ciudadanos, el letrado mayor informó (así consta en el acta de la sesión de la junta de portavoces de 29 de diciembre de 2022) que el art. 28.1 b) RPR “no es de aplicación en este caso”, debiendo tenerse en cuenta el art. 54 RPR, que “atribuye genéricamente la capacidad de acordar sesiones extraordinarias al Parlamento, sin especificar el órgano concreto en que esta cuestión ha de residenciarse”, y añade que a lo largo de las distintas legislaturas, y de acuerdo con la capacidad que el art. 29 RPR encomienda a la Presidencia del Parlamento para interpretar el Reglamento y asegurar la buena marcha de los debates parlamentarios, se encuentran casos en los que las sesiones extraordinarias se han acordado con la simple audiencia de la junta de portavoces y otros en los que el presidente ha requerido el acuerdo de la junta de portavoces.</w:t>
      </w:r>
    </w:p>
    <w:p w14:paraId="1A3BD2D8" w14:textId="77777777" w:rsidR="00A8138F" w:rsidRDefault="00A8138F" w:rsidP="00A8138F">
      <w:pPr>
        <w:pStyle w:val="TextoNormal"/>
      </w:pPr>
    </w:p>
    <w:p w14:paraId="6B884C56" w14:textId="77777777" w:rsidR="00A8138F" w:rsidRDefault="00A8138F" w:rsidP="00A8138F">
      <w:pPr>
        <w:pStyle w:val="TextoNormal"/>
      </w:pPr>
      <w:r>
        <w:t>Tras oír el parecer de la junta de portavoces, la mesa acordó la celebración de sesiones extraordinarias durante el mes de enero de 2023, solicitadas por los grupos parlamentarios Socialista y Mixto. De los acuerdos que desestiman las peticiones de reconsideración formuladas por el Grupo Parlamentario Popular resulta que la mesa entendió que el art. 28.1 b) RPR es de aplicación solo para las sesiones de la Cámara en los dos periodos ordinarios (de septiembre a diciembre y de febrero a junio, conforme al art. 54.1 RPR), pero no para la autorización de la celebración de sesiones extraordinarias (en los meses de enero, julio y agosto) siendo competencia de la mesa, en virtud del 28.1 i) RPR, aprobar en su caso la celebración de tales sesiones extraordinarias.</w:t>
      </w:r>
    </w:p>
    <w:p w14:paraId="0DD58479" w14:textId="77777777" w:rsidR="00A8138F" w:rsidRDefault="00A8138F" w:rsidP="00A8138F">
      <w:pPr>
        <w:pStyle w:val="TextoNormal"/>
      </w:pPr>
    </w:p>
    <w:p w14:paraId="79E12865" w14:textId="77777777" w:rsidR="00A8138F" w:rsidRDefault="00A8138F" w:rsidP="00A8138F">
      <w:pPr>
        <w:pStyle w:val="TextoNormal"/>
      </w:pPr>
      <w:r>
        <w:t>Así pues, en el caso de los acuerdos de la mesa del Parlamento de La Rioja que aprueban la celebración de sesiones extraordinarias en distintos órganos de la Cámara durante el mes de enero de 2023, no es posible concluir que estemos ante una infracción del Reglamento de la Cámara, debiendo remitirnos a nuestra consolidada doctrina, sobre el principio de autonomía parlamentaria, que no solo dota a las cámaras de una esfera de decisión propia que se plasma principalmente en la potestad de aprobar sus propios reglamentos, sino que también comporta el reconocimiento a sus órganos rectores de un margen de interpretación suficiente de esa reglamentación interna. Por todo lo demás, como señala el Ministerio Fiscal en sus alegaciones, los recurrentes no han justificado en qué medida la decisión de la mesa de aprobar la celebración de sesiones extraordinarias durante el mes de enero de 2023 les supuso una vulneración de las facultades en el procedimiento legislativo o en la actividad de control de la acción de gobierno que tenían derecho a ejercitar.</w:t>
      </w:r>
    </w:p>
    <w:p w14:paraId="66AF9A55" w14:textId="77777777" w:rsidR="00A8138F" w:rsidRDefault="00A8138F" w:rsidP="00A8138F">
      <w:pPr>
        <w:pStyle w:val="TextoNormal"/>
      </w:pPr>
    </w:p>
    <w:p w14:paraId="77952F37" w14:textId="5D1A4330" w:rsidR="00A8138F" w:rsidRDefault="00A8138F" w:rsidP="00A8138F">
      <w:pPr>
        <w:pStyle w:val="TextoNormal"/>
      </w:pPr>
      <w:r>
        <w:t>En consecuencia, debemos descartar la vulneración del derecho fundamental de participación política que los recurrentes imputan a los acuerdos de la mesa del Parlamento de La Rioja de 29 de diciembre de 2022 y 10 de enero de 2023, que aprueban la celebración de sesiones extraordinarias durante el mes de enero de 2023, así como a los acuerdos de 10 y 17 de enero de 2023, que desestiman las peticiones de reconsideración presentadas contra aquellos.</w:t>
      </w:r>
    </w:p>
    <w:p w14:paraId="690AE1F1" w14:textId="77777777" w:rsidR="00A8138F" w:rsidRDefault="00A8138F" w:rsidP="00A8138F">
      <w:pPr>
        <w:pStyle w:val="TextoNormal"/>
      </w:pPr>
    </w:p>
    <w:p w14:paraId="221113CE" w14:textId="77777777" w:rsidR="00A8138F" w:rsidRDefault="00A8138F" w:rsidP="00A8138F">
      <w:pPr>
        <w:pStyle w:val="TextoNormal"/>
      </w:pPr>
      <w:r w:rsidRPr="00A8138F">
        <w:rPr>
          <w:rStyle w:val="NumeroAFNegritaCaracter"/>
        </w:rPr>
        <w:t>5</w:t>
      </w:r>
      <w:r>
        <w:t xml:space="preserve">. </w:t>
      </w:r>
      <w:r w:rsidRPr="00A8138F">
        <w:rPr>
          <w:i/>
        </w:rPr>
        <w:t>Enjuiciamiento de la impugnación de los acuerdos de la mesa del Parlamento de La Rioja relativos a la admisión a trámite de la proposición de ley sobre modificación de preceptos del Reglamento de la Cámara</w:t>
      </w:r>
    </w:p>
    <w:p w14:paraId="7B29EB29" w14:textId="77777777" w:rsidR="00A8138F" w:rsidRDefault="00A8138F" w:rsidP="00A8138F">
      <w:pPr>
        <w:pStyle w:val="TextoNormal"/>
      </w:pPr>
    </w:p>
    <w:p w14:paraId="02CC1630" w14:textId="77777777" w:rsidR="00A8138F" w:rsidRDefault="00A8138F" w:rsidP="00A8138F">
      <w:pPr>
        <w:pStyle w:val="TextoNormal"/>
      </w:pPr>
      <w:r>
        <w:t>Conforme ha quedado señalado en el relato de antecedentes de la presente sentencia, los grupos parlamentarios Socialista y Mixto presentaron el 23 de diciembre de 2022 una proposición de ley para la modificación de varios preceptos del Reglamento de la Cámara por el procedimiento de urgencia y en tramitación directa y lectura única, en concreto, de los arts. 28.1 b), 58.1 y 133.2 RPR, para sustituir en dichos preceptos la proposición “de acuerdo con la junta de portavoces” por “oída la junta de portavoces”.</w:t>
      </w:r>
    </w:p>
    <w:p w14:paraId="2AB1FFBB" w14:textId="77777777" w:rsidR="00A8138F" w:rsidRDefault="00A8138F" w:rsidP="00A8138F">
      <w:pPr>
        <w:pStyle w:val="TextoNormal"/>
      </w:pPr>
    </w:p>
    <w:p w14:paraId="3DC72D85" w14:textId="77777777" w:rsidR="00A8138F" w:rsidRDefault="00A8138F" w:rsidP="00A8138F">
      <w:pPr>
        <w:pStyle w:val="TextoNormal"/>
      </w:pPr>
      <w:r>
        <w:t>La mesa del Parlamento de La Rioja, por acuerdo de 28 de diciembre de 2022, admitió a trámite la referida proposición de ley y al día siguiente, oído el parecer de la junta de portavoces, elevó al Pleno la propuesta de tramitación directa y lectura única de la iniciativa. Presentada solicitud de reconsideración contra los referidos acuerdos de 28 y 29 de diciembre de 2022 por el portavoz del Grupo Parlamentario Popular y por los dos diputados de este grupo que ostentaban en la mesa del Parlamento los cargos de vicepresidente y secretaria segundos, dicha solicitud fue desestimada por sendos acuerdos de la mesa de 10 de enero de 2023.</w:t>
      </w:r>
    </w:p>
    <w:p w14:paraId="764F15CB" w14:textId="77777777" w:rsidR="00A8138F" w:rsidRDefault="00A8138F" w:rsidP="00A8138F">
      <w:pPr>
        <w:pStyle w:val="TextoNormal"/>
      </w:pPr>
    </w:p>
    <w:p w14:paraId="0BCE7DE3" w14:textId="77777777" w:rsidR="00A8138F" w:rsidRDefault="00A8138F" w:rsidP="00A8138F">
      <w:pPr>
        <w:pStyle w:val="TextoNormal"/>
      </w:pPr>
      <w:r>
        <w:t>La proposición de ley de modificación del Reglamento de la Cámara fue aprobada por el Pleno el 25 de enero de 2023, por diecisiete votos a favor y dieciséis en contra, siendo publicada en el “Boletín Oficial del Parlamento de La Rioja” el 26 de enero de 2023.</w:t>
      </w:r>
    </w:p>
    <w:p w14:paraId="65ED4183" w14:textId="77777777" w:rsidR="00A8138F" w:rsidRDefault="00A8138F" w:rsidP="00A8138F">
      <w:pPr>
        <w:pStyle w:val="TextoNormal"/>
      </w:pPr>
    </w:p>
    <w:p w14:paraId="0C29801A" w14:textId="77777777" w:rsidR="00A8138F" w:rsidRDefault="00A8138F" w:rsidP="00A8138F">
      <w:pPr>
        <w:pStyle w:val="TextoNormal"/>
      </w:pPr>
      <w:r>
        <w:t>Los diputados recurrentes impugnan la decisión de la mesa del Parlamento de admitir a trámite la proposición de ley para la modificación de los referidos preceptos del Reglamento de la Cámara, por entender que lesiona su derecho fundamental de participación política (art. 23.2 CE). Razonan que esa iniciativa fue presentada por los grupos parlamentarios Socialista y Mixto para evitar la pérdida de la posición mayoritaria que tenían en la junta de portavoces (tras pasar a la condición de diputada no adscrita la diputada del Grupo Mixto doña Raquel Romero Alonso), donde rige el criterio del voto ponderado para la adopción de decisiones, cambiando la regla de la competencia compartida con la junta (“de acuerdo con la junta de portavoces”) por un mero trámite de audiencia (“oída la junta de portavoces”).</w:t>
      </w:r>
    </w:p>
    <w:p w14:paraId="187DB4A8" w14:textId="77777777" w:rsidR="00A8138F" w:rsidRDefault="00A8138F" w:rsidP="00A8138F">
      <w:pPr>
        <w:pStyle w:val="TextoNormal"/>
      </w:pPr>
    </w:p>
    <w:p w14:paraId="136FB989" w14:textId="77777777" w:rsidR="00A8138F" w:rsidRDefault="00A8138F" w:rsidP="00A8138F">
      <w:pPr>
        <w:pStyle w:val="TextoNormal"/>
      </w:pPr>
      <w:r>
        <w:t xml:space="preserve">Sostienen los recurrentes que la mesa debió inadmitir esa iniciativa de reforma del Reglamento de la Cámara, de conformidad con la competencia de calificación y admisión que le atribuyen los arts. 28.1 e) y 107 RPR, por tratarse de una iniciativa inconstitucional, al suprimir unas relevantes facultades de decisión compartidas de la junta de portavoces con otros órganos de la Cámara (la presidencia y la mesa), privando al portavoz del Grupo Parlamentario Popular, que es miembro de la junta, así como a todos los diputados que lo integran, de participar en tareas parlamentarias esenciales (fijación de los órdenes del día del Pleno, aprobación de sesiones extraordinarias de los órganos parlamentarios, decisión sobre debates generales de política) que inciden en las funciones que integran el núcleo del </w:t>
      </w:r>
      <w:r w:rsidRPr="00A8138F">
        <w:rPr>
          <w:i/>
        </w:rPr>
        <w:t>ius in officium</w:t>
      </w:r>
      <w:r>
        <w:t xml:space="preserve"> del cargo representativo. La autonomía parlamentaria no permite que se puedan adoptar decisiones que lesionen la función representativa constitucionalmente encomendada a los parlamentarios, lo que excluye que un Parlamento pueda aprobar una modificación de su reglamento que suponga vaciar de una parte relevante de sus competencias a uno de sus órganos principales, como es la junta de portavoces. Por tanto, la mesa debió inadmitir la iniciativa cuestionada.</w:t>
      </w:r>
    </w:p>
    <w:p w14:paraId="2A4EF187" w14:textId="77777777" w:rsidR="00A8138F" w:rsidRDefault="00A8138F" w:rsidP="00A8138F">
      <w:pPr>
        <w:pStyle w:val="TextoNormal"/>
      </w:pPr>
    </w:p>
    <w:p w14:paraId="28FE25CB" w14:textId="77777777" w:rsidR="00A8138F" w:rsidRDefault="00A8138F" w:rsidP="00A8138F">
      <w:pPr>
        <w:pStyle w:val="TextoNormal"/>
      </w:pPr>
      <w:r>
        <w:t xml:space="preserve">Para dar respuesta a esta queja de los recurrentes conviene recordar la consolidada doctrina de este tribunal conforme a la cual en el contenido del derecho enunciado en el art. 23.2 CE no se encuentra lo que cabría llamar “derecho fundamental a la constitucionalidad” de las iniciativas parlamentarias, pues ello “no solo difuminaría los contornos del derecho instituido en aquel precepto, sino que alteraría al propio tiempo la propia configuración del recurso de amparo e incluso, acaso, el entero sistema de nuestra jurisdicción constitucional” (SSTC 107/2016, FJ 3; 108/2016, FJ 3, y 109/2016, FJ 4). Por ello, de acuerdo con nuestra doctrina, “no vulnera el derecho fundamental reconocido por el art. 23.2 CE que las mesas admitan a trámite iniciativas cuyo contenido pudiera no ser conforme a la Constitución, ni siquiera en los casos en los que las contradicciones en las que pudieran incurrir fueran palmarias y evidentes” (por todas, STC 15/2022, FJ 3). Por excepción, la mesa puede inadmitir (pero no está obligada a hacerlo) la iniciativa, sin vulnerar por ello el derecho al </w:t>
      </w:r>
      <w:r w:rsidRPr="00A8138F">
        <w:rPr>
          <w:i/>
        </w:rPr>
        <w:t>ius in officium</w:t>
      </w:r>
      <w:r>
        <w:t xml:space="preserve"> de los parlamentarios que la promueven, en aquellos casos en los que la contradicción de la iniciativa con la Constitución sea clara e incontrovertible (por todas, SSTC 95/1994, de 21 de marzo, FJ 2; 10/2016, de 1 de febrero, FJ 4;107/2016, FJ 3; 108/2016, FJ 3; 109/2016, FJ 4, y 15/2022, FJ 3). Este supuesto, que se refiere únicamente a la facultad de la mesa de rechazar iniciativas parlamentarias, es excepcional, pues afecta al ejercicio del derecho de iniciativa de los parlamentarios y esta facultad integra el núcleo mismo de la representación (STC 124/1995, de 18 de julio, FJ 3). Por otra parte, no corresponde, obviamente, a este tribunal valorar el acierto o el desacierto de la opción tomada por la reforma del Reglamento del Parlamento de La Rioja en enero de 2023, vinculada a una concreta situación política. Lo cierto es que ni la Constitución ni el Estatuto de Autonomía de La Rioja establecen que la junta de portavoces (que es una creación del reglamento parlamentario) haya de dar su conformidad al orden del día propuesto por el presidente y por la mesa, por más que tal opción sea la que se ha impuesto en los Reglamentos del Congreso y del Senado, así como en la mayor parte de los reglamentos de los parlamentos autonómicos.</w:t>
      </w:r>
    </w:p>
    <w:p w14:paraId="517F8F77" w14:textId="77777777" w:rsidR="00A8138F" w:rsidRDefault="00A8138F" w:rsidP="00A8138F">
      <w:pPr>
        <w:pStyle w:val="TextoNormal"/>
      </w:pPr>
    </w:p>
    <w:p w14:paraId="01F71CA2" w14:textId="77777777" w:rsidR="00A8138F" w:rsidRDefault="00A8138F" w:rsidP="00A8138F">
      <w:pPr>
        <w:pStyle w:val="TextoNormal"/>
      </w:pPr>
      <w:r>
        <w:t xml:space="preserve">Distinto es el caso en el que la decisión de la mesa de admitir a trámite una propuesta constituya un incumplimiento manifiesto de lo resuelto por el Tribunal Constitucional, pues todos los poderes públicos, incluidas las cámaras legislativas, están obligados “al cumplimiento de lo que el Tribunal Constitucional resuelva” (art. 87.1 LOTC), al ser esta la consecuencia obligada de la sumisión a la Constitución de todos los poderes públicos (art. 9.1 CE). En tal supuesto, la mesa de la Cámara viene obligada a inadmitir la iniciativa. En todo caso, lo determinante para apreciar que la mesa, al admitir a trámite la iniciativa en ese supuesto, ha incumplido el deber constitucional de acatar lo resuelto por este tribunal (arts. 9.1 CE y 87.1 LOTC) y, por este motivo, ha vulnerado el derecho al </w:t>
      </w:r>
      <w:r w:rsidRPr="00A8138F">
        <w:rPr>
          <w:i/>
        </w:rPr>
        <w:t>ius in officium</w:t>
      </w:r>
      <w:r>
        <w:t xml:space="preserve"> de los parlamentarios (art. 23.2 CE), es que concurran dos elementos: que la decisión de admisión a trámite conlleve un incumplimiento de lo previamente decidido por el Tribunal Constitucional y que la mesa admita a trámite la iniciativa a sabiendas de que existe una resolución de este tribunal que le impide darle curso (por todas, SSTC 185/2016, de 3 de noviembre, FJ 10; 46/2018, de 26 de abril, FJ 8, y 15/2022, FJ 3). Existe en ese caso un deber de la mesa de inadmitir a trámite la iniciativa presentada, en cuanto el control material de la misma viene expresamente exigido por un mandato jurisdiccional de este tribunal que impone esa obligación.</w:t>
      </w:r>
    </w:p>
    <w:p w14:paraId="535AF5EE" w14:textId="77777777" w:rsidR="00A8138F" w:rsidRDefault="00A8138F" w:rsidP="00A8138F">
      <w:pPr>
        <w:pStyle w:val="TextoNormal"/>
      </w:pPr>
    </w:p>
    <w:p w14:paraId="2239E65D" w14:textId="147AAFE5" w:rsidR="00A8138F" w:rsidRDefault="00A8138F" w:rsidP="00A8138F">
      <w:pPr>
        <w:pStyle w:val="TextoNormal"/>
      </w:pPr>
      <w:r>
        <w:t>La aplicación de esta consolidada doctrina constitucional al presente asunto conduce a desestimar la queja de los recurrentes, pues estos no alegan, ni es de apreciar, que estemos ante un supuesto en el que la iniciativa admitida a trámite por la mesa incumpla lo previamente resuelto por el Tribunal Constitucional, lo que descarta la pretendida vulneración del derecho al ejercicio del cargo político representativo.</w:t>
      </w:r>
    </w:p>
    <w:p w14:paraId="2D6D9766" w14:textId="77777777" w:rsidR="00A8138F" w:rsidRDefault="00A8138F" w:rsidP="00A8138F">
      <w:pPr>
        <w:pStyle w:val="TextoNormal"/>
      </w:pPr>
    </w:p>
    <w:p w14:paraId="0EF483FD" w14:textId="77777777" w:rsidR="00A8138F" w:rsidRDefault="00A8138F" w:rsidP="00A8138F">
      <w:pPr>
        <w:pStyle w:val="TextoNormal"/>
      </w:pPr>
      <w:r w:rsidRPr="00A8138F">
        <w:rPr>
          <w:rStyle w:val="NumeroAFNegritaCaracter"/>
        </w:rPr>
        <w:t>6</w:t>
      </w:r>
      <w:r>
        <w:t xml:space="preserve">. </w:t>
      </w:r>
      <w:r w:rsidRPr="00A8138F">
        <w:rPr>
          <w:i/>
        </w:rPr>
        <w:t>Enjuiciamiento de la impugnación del acuerdo de la mesa del Parlamento de La Rioja relativo a la solicitud de modificación de la composición de las comisiones</w:t>
      </w:r>
    </w:p>
    <w:p w14:paraId="0086FFBE" w14:textId="77777777" w:rsidR="00A8138F" w:rsidRDefault="00A8138F" w:rsidP="00A8138F">
      <w:pPr>
        <w:pStyle w:val="TextoNormal"/>
      </w:pPr>
    </w:p>
    <w:p w14:paraId="08DF0044" w14:textId="77777777" w:rsidR="00A8138F" w:rsidRDefault="00A8138F" w:rsidP="00A8138F">
      <w:pPr>
        <w:pStyle w:val="TextoNormal"/>
      </w:pPr>
      <w:r>
        <w:t>Se impugnan, por último, el acuerdo de la mesa de 16 de enero de 2023 que, con el acuerdo desfavorable de la junta de portavoces, denegó la petición del portavoz del Grupo Parlamentario Popular de modificación de la composición de las comisiones permanentes y especiales de la Cámara, así como el acuerdo de la mesa de 9 de febrero de 2023, que inadmitió la solicitud de reconsideración.</w:t>
      </w:r>
    </w:p>
    <w:p w14:paraId="73B51A79" w14:textId="77777777" w:rsidR="00A8138F" w:rsidRDefault="00A8138F" w:rsidP="00A8138F">
      <w:pPr>
        <w:pStyle w:val="TextoNormal"/>
      </w:pPr>
    </w:p>
    <w:p w14:paraId="4EDEDB2D" w14:textId="77777777" w:rsidR="00A8138F" w:rsidRDefault="00A8138F" w:rsidP="00A8138F">
      <w:pPr>
        <w:pStyle w:val="TextoNormal"/>
      </w:pPr>
      <w:r>
        <w:t>El portavoz del Grupo Parlamentario Popular solicitaba que se modificase la composición de las comisiones permanentes y especiales, para que el número de integrantes fuese par (pasando de nueve a diez) y la suma de los diputados de los grupos parlamentarios Socialista y Mixto fuese la misma que la de los diputados de los grupos parlamentarios Popular y Ciudadanos para respetar así la proporcionalidad existente en el Pleno entre los diputados integrantes de los grupos parlamentarios (dieciséis a dieciséis), tras pasar una diputada del Grupo Mixto a la situación de no adscrita.</w:t>
      </w:r>
    </w:p>
    <w:p w14:paraId="340C26DE" w14:textId="77777777" w:rsidR="00A8138F" w:rsidRDefault="00A8138F" w:rsidP="00A8138F">
      <w:pPr>
        <w:pStyle w:val="TextoNormal"/>
      </w:pPr>
    </w:p>
    <w:p w14:paraId="55F51F34" w14:textId="77777777" w:rsidR="00A8138F" w:rsidRDefault="00A8138F" w:rsidP="00A8138F">
      <w:pPr>
        <w:pStyle w:val="TextoNormal"/>
      </w:pPr>
      <w:r>
        <w:t>La solicitud se fundaba en lo previsto en el art. 36.2 RPR, a cuyo tenor “[l]a composición de las comisiones, dentro del número fijado al efecto de conformidad con el art. 28.1 h), se determinará en proporción al número de diputados que tenga cada grupo, garantizando estén presentes todos y cada uno de ellos” y disponiendo el art. 28.1 h) RPR que corresponde a la mesa “[f]ijar, de acuerdo con la junta de portavoces, el número de miembros que deberán formar las comisiones”.</w:t>
      </w:r>
    </w:p>
    <w:p w14:paraId="1B528056" w14:textId="77777777" w:rsidR="00A8138F" w:rsidRDefault="00A8138F" w:rsidP="00A8138F">
      <w:pPr>
        <w:pStyle w:val="TextoNormal"/>
      </w:pPr>
    </w:p>
    <w:p w14:paraId="0C86AC27" w14:textId="77777777" w:rsidR="00A8138F" w:rsidRDefault="00A8138F" w:rsidP="00A8138F">
      <w:pPr>
        <w:pStyle w:val="TextoNormal"/>
      </w:pPr>
      <w:r>
        <w:t>La solicitud fue rechazada por acuerdo de la mesa de 16 de enero de 2023, con el acuerdo desfavorable de la junta de portavoces. La denegación se fundamentaba en las siguientes razones:</w:t>
      </w:r>
    </w:p>
    <w:p w14:paraId="49FD8270" w14:textId="77777777" w:rsidR="00A8138F" w:rsidRDefault="00A8138F" w:rsidP="00A8138F">
      <w:pPr>
        <w:pStyle w:val="TextoNormal"/>
      </w:pPr>
    </w:p>
    <w:p w14:paraId="60C82CF7" w14:textId="77777777" w:rsidR="00A8138F" w:rsidRDefault="00A8138F" w:rsidP="00A8138F">
      <w:pPr>
        <w:pStyle w:val="TextoNormal"/>
      </w:pPr>
      <w:r>
        <w:t>“1.- Que el número de miembros de las comisiones permanentes y […] especiales, fue acordado por la mesa y la junta de portavoces […], en sesiones de fecha 1 de julio de 2019 y 15 de noviembre de 2019, respectivamente, reiterando en ambos el criterio objetivo de mantener el mismo número de miembros que en legislaturas anteriores.</w:t>
      </w:r>
    </w:p>
    <w:p w14:paraId="0196EF75" w14:textId="77777777" w:rsidR="00A8138F" w:rsidRDefault="00A8138F" w:rsidP="00A8138F">
      <w:pPr>
        <w:pStyle w:val="TextoNormal"/>
      </w:pPr>
    </w:p>
    <w:p w14:paraId="42A517CC" w14:textId="77777777" w:rsidR="00A8138F" w:rsidRDefault="00A8138F" w:rsidP="00A8138F">
      <w:pPr>
        <w:pStyle w:val="TextoNormal"/>
      </w:pPr>
      <w:r>
        <w:t>2.- Que la proporcionalidad de la composición de las comisiones […] no se ve comprometida por la declaración de una diputada como no adscrita, sin que los grupos parlamentarios hayan visto reducido el número de sus miembros que forman parte de las mismas.</w:t>
      </w:r>
    </w:p>
    <w:p w14:paraId="4CB21015" w14:textId="77777777" w:rsidR="00A8138F" w:rsidRDefault="00A8138F" w:rsidP="00A8138F">
      <w:pPr>
        <w:pStyle w:val="TextoNormal"/>
      </w:pPr>
    </w:p>
    <w:p w14:paraId="4678C1E2" w14:textId="77777777" w:rsidR="00A8138F" w:rsidRDefault="00A8138F" w:rsidP="00A8138F">
      <w:pPr>
        <w:pStyle w:val="TextoNormal"/>
      </w:pPr>
      <w:r>
        <w:t>3.- Que en la sesión de la junta de portavoces, celebrada en esta misma fecha, la solicitud de [modificación de las comisiones presentada por el Grupo Parlamentario Popular] ha resultado rechazada con el voto favorable del Grupo Parlamentario Popular, el voto en contra de los grupos parlamentarios Socialista y Mixto y la abstención del Grupo Parlamentario Ciudadanos”.</w:t>
      </w:r>
    </w:p>
    <w:p w14:paraId="65E1E4BC" w14:textId="77777777" w:rsidR="00A8138F" w:rsidRDefault="00A8138F" w:rsidP="00A8138F">
      <w:pPr>
        <w:pStyle w:val="TextoNormal"/>
      </w:pPr>
    </w:p>
    <w:p w14:paraId="7DD759B6" w14:textId="77777777" w:rsidR="00A8138F" w:rsidRDefault="00A8138F" w:rsidP="00A8138F">
      <w:pPr>
        <w:pStyle w:val="TextoNormal"/>
      </w:pPr>
      <w:r>
        <w:t>Por el portavoz del Grupo Parlamentario Popular se presentó el 26 de enero de 2023 solicitud de reconsideración, que fue inadmitida por la mesa por acuerdo de 9 de febrero de 2023, de conformidad con lo previsto en el art. 28.2 RPR, por tratarse de un acuerdo conjunto de la mesa y la junta de portavoces.</w:t>
      </w:r>
    </w:p>
    <w:p w14:paraId="23F4159B" w14:textId="77777777" w:rsidR="00A8138F" w:rsidRDefault="00A8138F" w:rsidP="00A8138F">
      <w:pPr>
        <w:pStyle w:val="TextoNormal"/>
      </w:pPr>
    </w:p>
    <w:p w14:paraId="66888BEF" w14:textId="77777777" w:rsidR="00A8138F" w:rsidRDefault="00A8138F" w:rsidP="00A8138F">
      <w:pPr>
        <w:pStyle w:val="TextoNormal"/>
      </w:pPr>
      <w:r>
        <w:t>Sostienen los recurrentes que el rechazo de la mesa a modificar la composición de las comisiones vulnera su derecho al ejercicio del cargo parlamentario en condiciones de igualdad, al no respetarse la exigencia de representación proporcional de los grupos parlamentarios. Razonan que la actividad desarrollada en las comisiones está directamente relacionada tanto con el ejercicio de las potestades legislativas como con el control de la acción de gobierno, erigiéndose así en un instrumento esencial de la función representativa que corresponde a los diputados y grupos parlamentarios; esa función se ve ilegítimamente constreñida cuando en las comisiones no se respeta el principio de proporcionalidad y el peso que en su funcionamiento debe otorgarse a cada grupo parlamentario en función del peso que tenga en el Pleno.</w:t>
      </w:r>
    </w:p>
    <w:p w14:paraId="3F7BB007" w14:textId="77777777" w:rsidR="00A8138F" w:rsidRDefault="00A8138F" w:rsidP="00A8138F">
      <w:pPr>
        <w:pStyle w:val="TextoNormal"/>
      </w:pPr>
    </w:p>
    <w:p w14:paraId="46F6BFEF" w14:textId="77777777" w:rsidR="00A8138F" w:rsidRDefault="00A8138F" w:rsidP="00A8138F">
      <w:pPr>
        <w:pStyle w:val="TextoNormal"/>
      </w:pPr>
      <w:r>
        <w:t>Para dar respuesta a esta queja es obligado recordar la jurisprudencia constitucional sobre el principio de proporcionalidad en el ámbito de la representación política. En tal sentido, la STC 35/2022, de 9 de marzo, FJ 4 b), con cita de doctrina precedente (entre otras, SSTC 32/1985, de 6 de marzo, FJ 2; 36/1990, de 1 de marzo, FJ 2, y 93/1998, de 4 de mayo, FJ 3), que se reitera en la STC 116/2023, de 25 de septiembre, FJ 3, recuerda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solo política) a la adscripción política de los representantes y que, en consecuencia, esa adscripción no puede ser ignorada, ni por las normas infraconstitucionales que regulen la estructura interna del órgano en que tales representantes se integran, ni por el órgano mismo, en las decisiones que adopte en ejercicio de la facultad de organización que es consecuencia de su autonomía. Estas decisiones, que son, por definición, decisiones de la mayoría, no pueden ignorar lo que [...] podemos llamar derechos de las minorías”, de suerte que “la proporcionalidad en la composición de las comisiones viene exigida por la propia Constitución”.</w:t>
      </w:r>
    </w:p>
    <w:p w14:paraId="1A75916C" w14:textId="77777777" w:rsidR="00A8138F" w:rsidRDefault="00A8138F" w:rsidP="00A8138F">
      <w:pPr>
        <w:pStyle w:val="TextoNormal"/>
      </w:pPr>
    </w:p>
    <w:p w14:paraId="0ED6EB0D" w14:textId="77777777" w:rsidR="00A8138F" w:rsidRDefault="00A8138F" w:rsidP="00A8138F">
      <w:pPr>
        <w:pStyle w:val="TextoNormal"/>
      </w:pPr>
      <w:r>
        <w:t>Ahora bien, “la proporcionalidad en la representación es difícil de alcanzar totalmente o de forma ideal, siendo mayor la dificultad cuanto menor sea el abanico de posibilidades, ‘dado por el número de puestos a cubrir en relación con el de fuerzas concurrentes’ y, desde luego, cuando se trata de ‘elecciones internas de asambleas que han de designar un número muy reducido de representantes’”. En consecuencia, “la adecuada representación proporcional solo puede ser, por definición, imperfecta y dentro de un margen de discrecionalidad o flexibilidad, siempre y cuando no se altere su esencia”. Dicho de otro modo, no se trata “de una proporción rígida que haya de llevar necesariamente y como imposición constitucional, a una exactitud matemática”, por lo que, para apreciar la vulneración del derecho de participación política en condiciones de igualdad, la desviación o quiebra de la regla de proporcionalidad “debe venir anudada a una situación notablemente desventajosa y a la ausencia de todo criterio objetivo o razonamiento que la justifique”.</w:t>
      </w:r>
    </w:p>
    <w:p w14:paraId="45D1E9F9" w14:textId="77777777" w:rsidR="00A8138F" w:rsidRDefault="00A8138F" w:rsidP="00A8138F">
      <w:pPr>
        <w:pStyle w:val="TextoNormal"/>
      </w:pPr>
    </w:p>
    <w:p w14:paraId="28D74A14" w14:textId="77777777" w:rsidR="00A8138F" w:rsidRDefault="00A8138F" w:rsidP="00A8138F">
      <w:pPr>
        <w:pStyle w:val="TextoNormal"/>
      </w:pPr>
      <w:r>
        <w:t>La proyección de esta reiterada doctrina al presente caso conduce a descartar la vulneración del derecho de participación política en condiciones de igualdad (art. 23.2 CE) que alegan los recurrentes. El acuerdo de la mesa impugnado interpreta la previsión del art. 36.2 RPR, que establece un principio de proporcionalidad en la composición de las comisiones en función del número de diputados de cada grupo parlamentario, en términos que no exceden los márgenes reconocidos por este tribunal a los órganos parlamentarios en la interpretación de sus propias normas.</w:t>
      </w:r>
    </w:p>
    <w:p w14:paraId="7E360035" w14:textId="77777777" w:rsidR="00A8138F" w:rsidRDefault="00A8138F" w:rsidP="00A8138F">
      <w:pPr>
        <w:pStyle w:val="TextoNormal"/>
      </w:pPr>
    </w:p>
    <w:p w14:paraId="5CCF1950" w14:textId="6A71BA31" w:rsidR="00A8138F" w:rsidRDefault="00A8138F" w:rsidP="00A8138F">
      <w:pPr>
        <w:pStyle w:val="TextoNormal"/>
      </w:pPr>
      <w:r>
        <w:t>Ese acuerdo, al igual que el que inadmite la solicitud de reconsideración, difícilmente puede considerarse que genere “una situación notablemente desventajosa” o carente “de todo criterio objetivo o razonamiento que la justifique”, como exige nuestra jurisprudencia para apreciar la lesión del derecho garantizado por el art. 23.2 CE. Los recurrentes, al plantear la necesidad de restaurar el principio de proporcionalidad por haber pasado a la condición de no adscrita una diputada del Grupo Mixto, pretendían acrecer un diputado en las comisiones, aunque ni el Grupo Parlamentario Popular, al que pertenecen los recurrentes, ni el Grupo Parlamentario Ciudadanos habían incrementado el número de diputados que los integraban, es decir, sin que estos grupos parlamentarios, en la oposición, hubieran visto incrementado su peso representativo en la Cámara. Por otra parte, no cabe olvidar que la diputada no adscrita mantenía el derecho a participar en las comisiones, de conformidad con lo establecido en los arts. 13.2 y 26.1, último párrafo, RPR (acuerdo de la mesa de 28 de abril de 2022, por el que se declara como no adscrita a la diputada doña Raquel Romero Alonso).</w:t>
      </w:r>
    </w:p>
    <w:p w14:paraId="4283438D" w14:textId="77777777" w:rsidR="00A8138F" w:rsidRDefault="00A8138F" w:rsidP="00A8138F">
      <w:pPr>
        <w:pStyle w:val="TextoNormal"/>
      </w:pPr>
    </w:p>
    <w:p w14:paraId="17816EF7" w14:textId="77777777" w:rsidR="00A8138F" w:rsidRDefault="00A8138F" w:rsidP="00A8138F">
      <w:pPr>
        <w:pStyle w:val="TextoNormalCentrado"/>
        <w:keepNext/>
      </w:pPr>
      <w:r>
        <w:t>FALLO</w:t>
      </w:r>
    </w:p>
    <w:p w14:paraId="1D250489" w14:textId="302BB311" w:rsidR="00A8138F" w:rsidRDefault="00A8138F" w:rsidP="00A8138F">
      <w:pPr>
        <w:pStyle w:val="TextoNormalCentrado"/>
        <w:keepNext/>
      </w:pPr>
    </w:p>
    <w:p w14:paraId="04628B25" w14:textId="77777777" w:rsidR="00A8138F" w:rsidRDefault="00A8138F" w:rsidP="00A8138F">
      <w:pPr>
        <w:pStyle w:val="TextoNormal"/>
      </w:pPr>
      <w:r>
        <w:t>En atención a todo lo expuesto, el Tribunal Constitucional, por la autoridad que le confiere la Constitución de la Nación española, ha decidido estimar parcialmente el recurso de amparo interpuesto por don Jesús Ángel Garrido Martínez y otros y, en su virtud:</w:t>
      </w:r>
    </w:p>
    <w:p w14:paraId="0C5639CE" w14:textId="77777777" w:rsidR="00A8138F" w:rsidRDefault="00A8138F" w:rsidP="00A8138F">
      <w:pPr>
        <w:pStyle w:val="TextoNormal"/>
      </w:pPr>
    </w:p>
    <w:p w14:paraId="46066E6A" w14:textId="77777777" w:rsidR="00A8138F" w:rsidRDefault="00A8138F" w:rsidP="00A8138F">
      <w:pPr>
        <w:pStyle w:val="TextoNormal"/>
      </w:pPr>
      <w:r>
        <w:t>1º Declarar que las resoluciones del presidente del Parlamento de La Rioja de 16 y 23 de diciembre de 2022, que convocan y aprueban respectivamente el orden del día de sendos plenos de la Cámara, fijándolos los días 19 y 29 del mismo mes, han vulnerado el derecho de participación política de los recurrentes (art. 23.2 CE).</w:t>
      </w:r>
    </w:p>
    <w:p w14:paraId="03EE7AEE" w14:textId="77777777" w:rsidR="00A8138F" w:rsidRDefault="00A8138F" w:rsidP="00A8138F">
      <w:pPr>
        <w:pStyle w:val="TextoNormal"/>
      </w:pPr>
    </w:p>
    <w:p w14:paraId="57DA15C9" w14:textId="77777777" w:rsidR="00A8138F" w:rsidRDefault="00A8138F" w:rsidP="00A8138F">
      <w:pPr>
        <w:pStyle w:val="TextoNormal"/>
      </w:pPr>
      <w:r>
        <w:t>2º Restablecer a los recurrentes en su derecho y, a tal fin, declarar la nulidad de las resoluciones del presidente del Parlamento de La Rioja de 16 y 23 de diciembre de 2022, con los efectos indicados en el fundamento jurídico tercero de esta sentencia.</w:t>
      </w:r>
    </w:p>
    <w:p w14:paraId="0568CFA7" w14:textId="77777777" w:rsidR="00A8138F" w:rsidRDefault="00A8138F" w:rsidP="00A8138F">
      <w:pPr>
        <w:pStyle w:val="TextoNormal"/>
      </w:pPr>
    </w:p>
    <w:p w14:paraId="12B0CAB6" w14:textId="20F2ECEC" w:rsidR="00A8138F" w:rsidRDefault="00A8138F" w:rsidP="00A8138F">
      <w:pPr>
        <w:pStyle w:val="TextoNormal"/>
      </w:pPr>
      <w:r>
        <w:t>3º Desestimar el recurso en lo restante.</w:t>
      </w:r>
    </w:p>
    <w:p w14:paraId="6A6CD240" w14:textId="77777777" w:rsidR="00A8138F" w:rsidRDefault="00A8138F" w:rsidP="00A8138F">
      <w:pPr>
        <w:pStyle w:val="TextoNormal"/>
      </w:pPr>
    </w:p>
    <w:p w14:paraId="03350066" w14:textId="77777777" w:rsidR="00A8138F" w:rsidRDefault="00A8138F" w:rsidP="00A8138F">
      <w:pPr>
        <w:pStyle w:val="TextoNormal"/>
      </w:pPr>
      <w:r>
        <w:t>Publíquese esta sentencia en el “Boletín Oficial del Estado”.</w:t>
      </w:r>
    </w:p>
    <w:p w14:paraId="42B52F0B" w14:textId="77777777" w:rsidR="00A8138F" w:rsidRDefault="00A8138F" w:rsidP="00A8138F">
      <w:pPr>
        <w:pStyle w:val="TextoNormal"/>
      </w:pPr>
      <w:r>
        <w:t>Dada en Madrid, a veintiséis de mayo de dos mil veinticinco.</w:t>
      </w:r>
    </w:p>
    <w:p w14:paraId="4CC9BBB2" w14:textId="72327FEA" w:rsidR="00A8138F" w:rsidRDefault="00A8138F">
      <w:pPr>
        <w:spacing w:after="160" w:line="278" w:lineRule="auto"/>
        <w:rPr>
          <w:rFonts w:ascii="Times New Roman" w:eastAsia="Times New Roman" w:hAnsi="Times New Roman" w:cs="Times New Roman"/>
          <w:sz w:val="24"/>
          <w:szCs w:val="24"/>
          <w:lang w:eastAsia="es-ES"/>
        </w:rPr>
      </w:pPr>
      <w:r>
        <w:br w:type="page"/>
      </w:r>
    </w:p>
    <w:p w14:paraId="2CBBBB2D" w14:textId="77777777" w:rsidR="00A8138F" w:rsidRDefault="00A8138F" w:rsidP="00A8138F">
      <w:pPr>
        <w:pStyle w:val="TtuloResolucin"/>
      </w:pPr>
      <w:bookmarkStart w:id="123" w:name="SENTENCIA_2025_121"/>
      <w:r>
        <w:t>SENTENCIA 121/2025, de 26 de mayo de 2025</w:t>
      </w:r>
    </w:p>
    <w:bookmarkEnd w:id="123"/>
    <w:p w14:paraId="3DBFC735" w14:textId="77777777" w:rsidR="00A8138F" w:rsidRDefault="00A8138F" w:rsidP="00A8138F">
      <w:pPr>
        <w:pStyle w:val="TtuloResolucin"/>
      </w:pPr>
      <w:r>
        <w:t>Sala Segunda</w:t>
      </w:r>
    </w:p>
    <w:p w14:paraId="42021113" w14:textId="77777777" w:rsidR="00A8138F" w:rsidRDefault="00A8138F" w:rsidP="00A8138F">
      <w:pPr>
        <w:pStyle w:val="TtuloBOE"/>
      </w:pPr>
      <w:r>
        <w:t>(BOE núm. 160, de 4 de julio de 2025)</w:t>
      </w:r>
    </w:p>
    <w:p w14:paraId="29E71A76" w14:textId="77777777" w:rsidR="00A8138F" w:rsidRDefault="00A8138F" w:rsidP="00A8138F">
      <w:pPr>
        <w:pStyle w:val="TextoNormalCentrado"/>
      </w:pPr>
      <w:r>
        <w:t>ECLI:ES:TC:2025:121</w:t>
      </w:r>
    </w:p>
    <w:p w14:paraId="4ACEEC37" w14:textId="7F48E0DA" w:rsidR="00A8138F" w:rsidRDefault="00A8138F" w:rsidP="00A8138F">
      <w:pPr>
        <w:pStyle w:val="TextoNormalCentrado"/>
      </w:pPr>
    </w:p>
    <w:p w14:paraId="0EB75C52" w14:textId="77777777" w:rsidR="00A8138F" w:rsidRDefault="00A8138F" w:rsidP="00A8138F">
      <w:pPr>
        <w:pStyle w:val="SntesisDescriptiva"/>
      </w:pPr>
      <w:r>
        <w:t>Recurso de amparo 5143-2023. Promovido por don Salvador Luis Peñalver Barba en relación con la sentencia de la Sala de lo Civil del Tribunal Supremo que desestimó su pretensión de imposición de costas a la entidad crediticia demandada de juicio ordinario sobre declaración de nulidad de la cláusula multidivisa de un contrato de préstamo hipotecario.</w:t>
      </w:r>
    </w:p>
    <w:p w14:paraId="2F93C024" w14:textId="53EEE440" w:rsidR="00A8138F" w:rsidRDefault="00A8138F" w:rsidP="00A8138F">
      <w:pPr>
        <w:pStyle w:val="SntesisDescriptiva"/>
      </w:pPr>
    </w:p>
    <w:p w14:paraId="3CC65775" w14:textId="77777777" w:rsidR="00A8138F" w:rsidRDefault="00A8138F" w:rsidP="00A8138F">
      <w:pPr>
        <w:pStyle w:val="SntesisAnaltica"/>
      </w:pPr>
      <w:r>
        <w:t>Vulneración del derecho a la tutela judicial efectiva (resolución fundada en Derecho): resolución judicial que, ignorando el principio de efectividad del Derecho de la Unión Europea, deniega la imposición de costas en un proceso en el que se ha declarado el carácter abusivo de cláusulas contractuales (SSTC 91/2023 y 96/2023).</w:t>
      </w:r>
    </w:p>
    <w:p w14:paraId="3DE4C3DD" w14:textId="47EF2760" w:rsidR="00A8138F" w:rsidRDefault="00A8138F" w:rsidP="00A8138F">
      <w:pPr>
        <w:pStyle w:val="SntesisAnaltica"/>
      </w:pPr>
    </w:p>
    <w:p w14:paraId="6E130D07" w14:textId="58DF909D" w:rsidR="00A8138F" w:rsidRDefault="00A8138F" w:rsidP="00A8138F">
      <w:pPr>
        <w:pStyle w:val="Extracto"/>
      </w:pPr>
      <w:r>
        <w:t>1.</w:t>
      </w:r>
      <w:r>
        <w:tab/>
        <w:t>Imponer al consumidor la carga de asumir el pago de una parte de las costas procesales en un procedimiento de ejecución hipotecaria, tras la declaración de nulidad de una cláusula contractual por tener carácter abusivo, infringe el principio de efectividad del Derecho comunitario en materia de protección de consumidores (art. 6.1 de la Directiva 93/13/CEE); al tiempo que tergiversa el principio de disuasión de los profesionales en cuanto al uso de dichas cláusulas (art. 7.1 de la Directiva 93/13/CEE), al generar un efecto disuasorio inverso que perjudica al consumidor (STC 91/2023) [FJ 3].</w:t>
      </w:r>
    </w:p>
    <w:p w14:paraId="2188FE0B" w14:textId="77777777" w:rsidR="00A8138F" w:rsidRDefault="00A8138F" w:rsidP="00A8138F">
      <w:pPr>
        <w:pStyle w:val="Extracto"/>
      </w:pPr>
    </w:p>
    <w:p w14:paraId="0B500EBE" w14:textId="77777777" w:rsidR="00A8138F" w:rsidRDefault="00A8138F" w:rsidP="00A8138F">
      <w:pPr>
        <w:pStyle w:val="Extracto"/>
      </w:pPr>
    </w:p>
    <w:p w14:paraId="3B59B47C"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64EFD56" w14:textId="47B66551" w:rsidR="00A8138F" w:rsidRDefault="00A8138F" w:rsidP="00A8138F">
      <w:pPr>
        <w:pStyle w:val="TextoNormal"/>
      </w:pPr>
    </w:p>
    <w:p w14:paraId="76405972" w14:textId="77777777" w:rsidR="00A8138F" w:rsidRDefault="00A8138F" w:rsidP="00A8138F">
      <w:pPr>
        <w:pStyle w:val="TextoNormalCentrado"/>
        <w:keepNext/>
      </w:pPr>
      <w:r>
        <w:t>EN NOMBRE DEL REY</w:t>
      </w:r>
    </w:p>
    <w:p w14:paraId="1A4EC3D8" w14:textId="5ABBEB57" w:rsidR="00A8138F" w:rsidRDefault="00A8138F" w:rsidP="00A8138F">
      <w:pPr>
        <w:pStyle w:val="TextoNormalCentrado"/>
        <w:keepNext/>
      </w:pPr>
    </w:p>
    <w:p w14:paraId="2AD5DEE4" w14:textId="77777777" w:rsidR="00A8138F" w:rsidRDefault="00A8138F" w:rsidP="00A8138F">
      <w:pPr>
        <w:pStyle w:val="TextoNormalCentrado"/>
        <w:keepNext/>
      </w:pPr>
    </w:p>
    <w:p w14:paraId="1EA5F228" w14:textId="77777777" w:rsidR="00A8138F" w:rsidRDefault="00A8138F" w:rsidP="00A8138F">
      <w:pPr>
        <w:pStyle w:val="TextoNormal"/>
      </w:pPr>
      <w:r>
        <w:t>la siguiente</w:t>
      </w:r>
    </w:p>
    <w:p w14:paraId="6BD36C2A" w14:textId="28E97122" w:rsidR="00A8138F" w:rsidRDefault="00A8138F" w:rsidP="00A8138F">
      <w:pPr>
        <w:pStyle w:val="TextoNormal"/>
      </w:pPr>
    </w:p>
    <w:p w14:paraId="01BB4027" w14:textId="77777777" w:rsidR="00A8138F" w:rsidRDefault="00A8138F" w:rsidP="00A8138F">
      <w:pPr>
        <w:pStyle w:val="TextoNormalCentrado"/>
        <w:keepNext/>
      </w:pPr>
      <w:r>
        <w:t>SENTENCIA</w:t>
      </w:r>
    </w:p>
    <w:p w14:paraId="04D3FA80" w14:textId="533DB7A6" w:rsidR="00A8138F" w:rsidRDefault="00A8138F" w:rsidP="00A8138F">
      <w:pPr>
        <w:pStyle w:val="TextoNormalCentrado"/>
        <w:keepNext/>
      </w:pPr>
    </w:p>
    <w:p w14:paraId="50E51FFF" w14:textId="77777777" w:rsidR="00A8138F" w:rsidRDefault="00A8138F" w:rsidP="00A8138F">
      <w:pPr>
        <w:pStyle w:val="TextoNormal"/>
      </w:pPr>
      <w:r>
        <w:t>En el recurso de amparo núm. 5143-2023, promovido por don Salvador Luis Peñalver Barba, representado por la procuradora de los tribunales doña Sharon Rodríguez de Castro Rincón y defendido por las letradas doña Patricia Gabeiras Vázquez y doña Esther Álvarez León, contra la sentencia núm. 287/2023, de 22 de febrero, de la Sala de lo Civil del Tribunal Supremo, dictada en el recurso de casación núm. 5142-2020, y contra la providencia de 5 de junio de 2023 de la misma Sala del Tribunal Supremo, que inadmitió el incidente de nulidad de actuaciones frente a la sentencia anterior. Han intervenido la entidad bancaria CaixaBank, S.A., representada por el procurador don Francisco Javier Segura Zariquiey y con la asistencia letrada de don Raimon Tagliavini Sansa y don David García Martín, y el Ministerio Fiscal. Ha sido ponente el magistrado don Ramón Sáez Valcárcel.</w:t>
      </w:r>
    </w:p>
    <w:p w14:paraId="0B69A377" w14:textId="56A69D15" w:rsidR="00A8138F" w:rsidRDefault="00A8138F" w:rsidP="00A8138F">
      <w:pPr>
        <w:pStyle w:val="TextoNormal"/>
      </w:pPr>
    </w:p>
    <w:p w14:paraId="0EF9158E" w14:textId="77777777" w:rsidR="00A8138F" w:rsidRDefault="00A8138F" w:rsidP="00A8138F">
      <w:pPr>
        <w:pStyle w:val="TextoNormalNegritaCentrado"/>
        <w:keepNext/>
      </w:pPr>
      <w:r>
        <w:t>I. Antecedentes</w:t>
      </w:r>
    </w:p>
    <w:p w14:paraId="7E00B5FE" w14:textId="7C52C915" w:rsidR="00A8138F" w:rsidRDefault="00A8138F" w:rsidP="00A8138F">
      <w:pPr>
        <w:pStyle w:val="TextoNormalNegritaCentrado"/>
        <w:keepNext/>
      </w:pPr>
    </w:p>
    <w:p w14:paraId="7FF95CFF" w14:textId="4EFF5E29" w:rsidR="00A8138F" w:rsidRDefault="00A8138F" w:rsidP="00A8138F">
      <w:pPr>
        <w:pStyle w:val="TextoNormal"/>
      </w:pPr>
      <w:r w:rsidRPr="00A8138F">
        <w:rPr>
          <w:rStyle w:val="NumeroAFNegritaCaracter"/>
        </w:rPr>
        <w:t>1</w:t>
      </w:r>
      <w:r>
        <w:t>. Mediante escrito registrado en este tribunal el 21 de julio de 2023, doña Sharon Rodríguez de Castro Rincón, procuradora de los tribunales, en nombre y representación de don Salvador Luis Peñalver Barba y bajo la dirección de las abogadas doña Patricia Gabeiras Vázquez y doña Esther Álvarez León, interpuso recurso de amparo contra las resoluciones citadas en el encabezamiento de esta sentencia.</w:t>
      </w:r>
    </w:p>
    <w:p w14:paraId="7636949C" w14:textId="77777777" w:rsidR="00A8138F" w:rsidRDefault="00A8138F" w:rsidP="00A8138F">
      <w:pPr>
        <w:pStyle w:val="TextoNormal"/>
      </w:pPr>
    </w:p>
    <w:p w14:paraId="7CC95ACF" w14:textId="77777777" w:rsidR="00A8138F" w:rsidRDefault="00A8138F" w:rsidP="00A8138F">
      <w:pPr>
        <w:pStyle w:val="TextoNormal"/>
      </w:pPr>
      <w:r w:rsidRPr="00A8138F">
        <w:rPr>
          <w:rStyle w:val="NumeroAFNegritaCaracter"/>
        </w:rPr>
        <w:t>2</w:t>
      </w:r>
      <w:r>
        <w:t>. Los hechos relevantes de que trae causa la demanda de amparo son, en síntesis, los siguientes:</w:t>
      </w:r>
    </w:p>
    <w:p w14:paraId="4BEB8A5F" w14:textId="77777777" w:rsidR="00A8138F" w:rsidRDefault="00A8138F" w:rsidP="00A8138F">
      <w:pPr>
        <w:pStyle w:val="TextoNormal"/>
      </w:pPr>
    </w:p>
    <w:p w14:paraId="759A318A" w14:textId="77777777" w:rsidR="00A8138F" w:rsidRDefault="00A8138F" w:rsidP="00A8138F">
      <w:pPr>
        <w:pStyle w:val="TextoNormal"/>
      </w:pPr>
      <w:r>
        <w:t>a) Don Salvador Luis Peñalver Barba, ahora recurrente en amparo, interpuso demanda de juicio ordinario (núm. 209-2017) contra la entidad CaixaBank, S.A., y formuló tres pretensiones, subsidiarias unas de otras: (i) que se declarase la nulidad de la cláusula multidivisa del contrato de préstamo hipotecario suscrito entre las partes; (ii) que se declarase resuelto el contrato y se ordenase a la demandada recalcular la deuda en euros y (iii) que se declarase el incumplimiento contractual de la acreedora hipotecaria, con la correspondiente indemnización por los daños sufridos.</w:t>
      </w:r>
    </w:p>
    <w:p w14:paraId="30AC8C79" w14:textId="77777777" w:rsidR="00A8138F" w:rsidRDefault="00A8138F" w:rsidP="00A8138F">
      <w:pPr>
        <w:pStyle w:val="TextoNormal"/>
      </w:pPr>
    </w:p>
    <w:p w14:paraId="702EFD70" w14:textId="77777777" w:rsidR="00A8138F" w:rsidRDefault="00A8138F" w:rsidP="00A8138F">
      <w:pPr>
        <w:pStyle w:val="TextoNormal"/>
      </w:pPr>
      <w:r>
        <w:t>La demanda fue íntegramente desestimada por sentencia de 21 de febrero de 2019 del Juzgado de Primera Instancia núm. 6 de Barcelona, con el argumento principal de que la cláusula multidivisa del contrato superaba el doble control de transparencia, atendiendo a la actuación del recurrente —que contrató un seguro de cambio y cambió de divisas hasta en cuatro ocasiones— y a la información suministrada por el banco demandado. El recurrente fue condenado en costas.</w:t>
      </w:r>
    </w:p>
    <w:p w14:paraId="68FF6DEA" w14:textId="77777777" w:rsidR="00A8138F" w:rsidRDefault="00A8138F" w:rsidP="00A8138F">
      <w:pPr>
        <w:pStyle w:val="TextoNormal"/>
      </w:pPr>
    </w:p>
    <w:p w14:paraId="2D222312" w14:textId="77777777" w:rsidR="00A8138F" w:rsidRDefault="00A8138F" w:rsidP="00A8138F">
      <w:pPr>
        <w:pStyle w:val="TextoNormal"/>
      </w:pPr>
      <w:r>
        <w:t>b) Don Salvador Luis Peñalver Barba interpuso recurso de apelación que fue parcialmente estimado por sentencia de 27 de abril de 2020 de la Sección Decimoquinta de la Audiencia Provincial de Barcelona.</w:t>
      </w:r>
    </w:p>
    <w:p w14:paraId="7A766839" w14:textId="77777777" w:rsidR="00A8138F" w:rsidRDefault="00A8138F" w:rsidP="00A8138F">
      <w:pPr>
        <w:pStyle w:val="TextoNormal"/>
      </w:pPr>
    </w:p>
    <w:p w14:paraId="5B0C36FD" w14:textId="77777777" w:rsidR="00A8138F" w:rsidRDefault="00A8138F" w:rsidP="00A8138F">
      <w:pPr>
        <w:pStyle w:val="TextoNormal"/>
      </w:pPr>
      <w:r>
        <w:t>La sentencia de apelación declaró nula la cláusula multidivisa y condenó a la entidad de crédito a recalcular el préstamo como si hubiera sido suscrito exclusivamente en euros, abonando al recurrente, en su caso, las diferencias resultantes. Frente a lo concluido en la instancia, rechazó que la cláusula superara el doble control de transparencia, pues no se aportó prueba suficiente sobre la información que el banco proporcionó al recurrente y, por tanto, no se probó que el cliente conociera el riesgo inherente a este tipo de préstamo.</w:t>
      </w:r>
    </w:p>
    <w:p w14:paraId="53F1C707" w14:textId="77777777" w:rsidR="00A8138F" w:rsidRDefault="00A8138F" w:rsidP="00A8138F">
      <w:pPr>
        <w:pStyle w:val="TextoNormal"/>
      </w:pPr>
    </w:p>
    <w:p w14:paraId="4A52E194" w14:textId="77777777" w:rsidR="00A8138F" w:rsidRDefault="00A8138F" w:rsidP="00A8138F">
      <w:pPr>
        <w:pStyle w:val="TextoNormal"/>
      </w:pPr>
      <w:r>
        <w:t>Por lo que se refiere a las costas de instancia, la Audiencia revocó la condena de la sentencia apelada, aunque sin realizar expresa imposición de las mismas, debido a las dudas que la cuestión litigiosa había suscitado en la jurisprudencia [art. 394.1 de la Ley de enjuiciamiento civil (LEC)]. En relación con las costas de apelación, sostuvo que tampoco procedía su imposición, conforme al art. 398.2 LEC (que, en la redacción entonces vigente, establecía que “en caso de estimación total o parcial de un recurso de apelación, extraordinario por infracción procesal o casación, no se condenará en las costas de dicho recurso a ninguno de los litigantes”). Por lo tanto, la sentencia de apelación no impuso las costas a ninguna de las partes ni en primera instancia ni en segunda.</w:t>
      </w:r>
    </w:p>
    <w:p w14:paraId="155C115F" w14:textId="77777777" w:rsidR="00A8138F" w:rsidRDefault="00A8138F" w:rsidP="00A8138F">
      <w:pPr>
        <w:pStyle w:val="TextoNormal"/>
      </w:pPr>
    </w:p>
    <w:p w14:paraId="2FD23EF0" w14:textId="77777777" w:rsidR="00A8138F" w:rsidRDefault="00A8138F" w:rsidP="00A8138F">
      <w:pPr>
        <w:pStyle w:val="TextoNormal"/>
      </w:pPr>
      <w:r>
        <w:t>c) El recurrente interpuso recurso de casación, que tenía como única pretensión la imposición de las costas de instancia y apelación a la entidad bancaria demandada. Mediante sentencia de 22 de febrero de 2023, la Sala de lo Civil del Tribunal Supremo estimó parcialmente el recurso de casación y, en relación con las costas, realizó dos pronunciamientos diferenciados.</w:t>
      </w:r>
    </w:p>
    <w:p w14:paraId="4057FCD6" w14:textId="77777777" w:rsidR="00A8138F" w:rsidRDefault="00A8138F" w:rsidP="00A8138F">
      <w:pPr>
        <w:pStyle w:val="TextoNormal"/>
      </w:pPr>
    </w:p>
    <w:p w14:paraId="012C339C" w14:textId="77777777" w:rsidR="00A8138F" w:rsidRDefault="00A8138F" w:rsidP="00A8138F">
      <w:pPr>
        <w:pStyle w:val="TextoNormal"/>
      </w:pPr>
      <w:r>
        <w:t>Por una parte, y en cuanto a las costas de instancia, el Tribunal Supremo declaró que debían imponerse al banco, con fundamento en las exigencias previstas en los arts. 6.1 y 7.1 de la Directiva 93/13/CEE del Consejo, de 5 de abril, sobre las cláusulas abusivas en los contratos celebrados con consumidores (en adelante, Directiva 93/13/CEE) y los principios de no vinculación y de efectividad del Derecho de la Unión, así como en las sentencias de la propia Sala de lo Civil del Tribunal Supremo 419/2017, de 4 de julio (ECLI:ES:TS:2017:2501), y 472/2020, de 17 de septiembre (ECLI:ES:TS:2020:2838), ambas dictadas para favorecer la aplicación del principio de efectividad del Derecho de la Unión.</w:t>
      </w:r>
    </w:p>
    <w:p w14:paraId="6ADA457C" w14:textId="77777777" w:rsidR="00A8138F" w:rsidRDefault="00A8138F" w:rsidP="00A8138F">
      <w:pPr>
        <w:pStyle w:val="TextoNormal"/>
      </w:pPr>
    </w:p>
    <w:p w14:paraId="710E7AE0" w14:textId="77777777" w:rsidR="00A8138F" w:rsidRDefault="00A8138F" w:rsidP="00A8138F">
      <w:pPr>
        <w:pStyle w:val="TextoNormal"/>
      </w:pPr>
      <w:r>
        <w:t>De otro lado, y en relación con las costas de apelación y de casación, el Tribunal Supremo declaró que las mismas debían ser asumidas por el recurrente. Para alcanzar esta conclusión, partió de recordar que el Tribunal de Justicia de la Unión Europea señaló, en su sentencia de 16 de julio de 2020, asuntos acumulados C‑224/19 (</w:t>
      </w:r>
      <w:r w:rsidRPr="00A8138F">
        <w:rPr>
          <w:i/>
        </w:rPr>
        <w:t>CY c. Caixabank, S.A.</w:t>
      </w:r>
      <w:r>
        <w:t>) y C-259/19 (</w:t>
      </w:r>
      <w:r w:rsidRPr="00A8138F">
        <w:rPr>
          <w:i/>
        </w:rPr>
        <w:t>LG y PK c. BBVA, S.A.</w:t>
      </w:r>
      <w:r>
        <w:t xml:space="preserve">), § 85, que “cada caso en el que se plantee la cuestión de si una disposición procesal nacional hace imposible o excesivamente difícil la aplicación del Derecho de la Unión debe analizarse teniendo en cuenta el lugar que ocupa dicha disposición dentro del conjunto del procedimiento y el desarrollo y las peculiaridades de este ante las diversas instancias nacionales. Desde esta perspectiva, procede tomar en consideración, en su caso, los principios en los que se basa el sistema judicial nacional, como la protección del derecho de defensa, el principio de seguridad jurídica y el buen desarrollo del procedimiento (sentencia de 26 de junio de 2019, </w:t>
      </w:r>
      <w:r w:rsidRPr="00A8138F">
        <w:rPr>
          <w:i/>
        </w:rPr>
        <w:t>Addiko Bank</w:t>
      </w:r>
      <w:r>
        <w:t>, C‑407/18, EU:C:2019:537, apartado 48 y jurisprudencia citada)”. Atendiendo a esta jurisprudencia, el Tribunal Supremo razonó que el art. 398.2 LEC debía interpretarse conforme a los principios en los que se basa el sistema judicial nacional y, citando la STS 18/2021, de 19 de enero (ECLI:ES:TS:2021:83), recordó que los principios que justifican los pronunciamientos sobre costas en los recursos de apelación y de casación en nuestro sistema procesal son diferentes que los que regulan la imposición de costas en la primera instancia —principio de vencimiento objetivo—, como pone de manifiesto el hecho de que exista en la Ley de enjuiciamiento civil una regulación diferenciada para unas y otras. Según la sentencia impugnada, lo relevante para el recurrente en apelación y en casación es la estimación del recurso y la revocación de la sentencia impugnada por lo que, obtenida tal revocación, el recurrente debe correr con sus propias costas.</w:t>
      </w:r>
    </w:p>
    <w:p w14:paraId="5AA548E5" w14:textId="77777777" w:rsidR="00A8138F" w:rsidRDefault="00A8138F" w:rsidP="00A8138F">
      <w:pPr>
        <w:pStyle w:val="TextoNormal"/>
      </w:pPr>
    </w:p>
    <w:p w14:paraId="141141EC" w14:textId="77777777" w:rsidR="00A8138F" w:rsidRDefault="00A8138F" w:rsidP="00A8138F">
      <w:pPr>
        <w:pStyle w:val="TextoNormal"/>
      </w:pPr>
      <w:r>
        <w:t>d) El recurrente solicitó aclaración y complemento de la sentencia del Tribunal Supremo, por entender que existía una contradicción interna en su argumentación, pues fundamentó las costas de instancia para la entidad bancaria en los principios de no vinculación al consumidor y efectividad del Derecho de la Unión y, sin embargo, utilizó el principio de vencimiento del Derecho interno español para no imponer al banco las costas de apelación y de casación. Requería a la Sala el planteamiento de una cuestión prejudicial sobre la interpretación de la Directiva 93/13/CEE en relación con las costas de apelación y casación reguladas en el art. 398.2 LEC. Por auto de 30 de marzo de 2023, la Sala de lo Civil del Tribunal Supremo negó que existiera defecto que subsanar o pronunciamiento omitido que complementar, así como duda alguna que pudiera justificar el planteamiento de una cuestión prejudicial ante el Tribunal de Justicia de la Unión Europea.</w:t>
      </w:r>
    </w:p>
    <w:p w14:paraId="1BAE3E63" w14:textId="77777777" w:rsidR="00A8138F" w:rsidRDefault="00A8138F" w:rsidP="00A8138F">
      <w:pPr>
        <w:pStyle w:val="TextoNormal"/>
      </w:pPr>
    </w:p>
    <w:p w14:paraId="637BF14C" w14:textId="05A09043" w:rsidR="00A8138F" w:rsidRDefault="00A8138F" w:rsidP="00A8138F">
      <w:pPr>
        <w:pStyle w:val="TextoNormal"/>
      </w:pPr>
      <w:r>
        <w:t>e) El recurrente interpuso incidente excepcional de nulidad de actuaciones, alegando desvinculación del sistema de fuentes y desconocimiento de la normativa comunitaria en la interpretación de la norma procesal aplicada, así como la consiguiente lesión de su derecho a la tutela judicial efectiva (art. 24.1 CE). Por providencia de 5 de junio de 2023, el Tribunal Supremo inadmitió el incidente, considerando que el mismo se limitaba a reiterar las pretensiones ya planteadas en aclaración y complemento y que habían recibido una respuesta motivada, así como a alegar cuestiones de estricta legalidad ordinaria.</w:t>
      </w:r>
    </w:p>
    <w:p w14:paraId="373A03F8" w14:textId="77777777" w:rsidR="00A8138F" w:rsidRDefault="00A8138F" w:rsidP="00A8138F">
      <w:pPr>
        <w:pStyle w:val="TextoNormal"/>
      </w:pPr>
    </w:p>
    <w:p w14:paraId="5737CCFE" w14:textId="5D5BBD35" w:rsidR="00A8138F" w:rsidRDefault="00A8138F" w:rsidP="00A8138F">
      <w:pPr>
        <w:pStyle w:val="TextoNormal"/>
      </w:pPr>
      <w:r w:rsidRPr="00A8138F">
        <w:rPr>
          <w:rStyle w:val="NumeroAFNegritaCaracter"/>
        </w:rPr>
        <w:t>3</w:t>
      </w:r>
      <w:r>
        <w:t>. La fundamentación jurídica de la demanda de amparo se basa, por una parte, en que resulta irrazonable y contrario a la primacía del Derecho de la Unión reconocer que, cuando existe un consumidor que ha sufrido la imposición de cláusulas de carácter abusivo que han sido declaradas nulas, las costas de instancia sí deben ser impuestas al banco, por imperativo del principio de efectividad del Derecho de la Unión, pero, en sentido opuesto, desvincular esos principios de las costas de apelación y casación y aplicar a estas el art. 398.2 LEC. Para el recurrente, la sentencia impugnada incurre en déficit de motivación, pues la que ofrece no está fundada en Derecho, en la medida en que no explica por qué los razonamientos del Tribunal de Justicia de la Unión Europea en relación con el art. 394 LEC no son trasladables al art. 398.2 LEC. Muy conectado con este argumento, el recurrente alega, de otro lado, que no ha sido aclarada la interpretación del art. 398.2 LEC a la luz del Derecho de la Unión y que, si el Tribunal Supremo entendía que los razonamientos que tomaba en consideración el Tribunal de Justicia de la Unión Europea a la hora de interpretar el art. 394 LEC no eran trasladables, sin más, al art. 398 LEC, era evidente que estaríamos ante un acto no aclarado y que por lo tanto resultaba obligada la interposición de una cuestión prejudicial. Por todo ello, solicita la nulidad de la sentencia núm. 287/2023 del Tribunal Supremo, de 22 de febrero de 2023, así como de la providencia de 5 de junio de 2023, por la que se inadmite la nulidad de actuaciones interpuesta frente a la sentencia antes referida, y la retroacción de actuaciones al momento inmediatamente anterior al pronunciamiento de las citadas resoluciones.</w:t>
      </w:r>
    </w:p>
    <w:p w14:paraId="164460DF" w14:textId="77777777" w:rsidR="00A8138F" w:rsidRDefault="00A8138F" w:rsidP="00A8138F">
      <w:pPr>
        <w:pStyle w:val="TextoNormal"/>
      </w:pPr>
    </w:p>
    <w:p w14:paraId="6AE68771" w14:textId="74DE508E" w:rsidR="00A8138F" w:rsidRDefault="00A8138F" w:rsidP="00A8138F">
      <w:pPr>
        <w:pStyle w:val="TextoNormal"/>
      </w:pPr>
      <w:r w:rsidRPr="00A8138F">
        <w:rPr>
          <w:rStyle w:val="NumeroAFNegritaCaracter"/>
        </w:rPr>
        <w:t>4</w:t>
      </w:r>
      <w:r>
        <w:t>. Mediante providencia de 8 de abril de 2024, la Sección Cuarta de este tribunal acordó admitir a trámite el recurso de amparo apreciando que concurría en él la especial trascendencia constitucional que exige el 50.1 de la Ley Orgánica del Tribunal Constitucional (LOTC), puesto que el recurso podía dar ocasión al Tribunal para aclarar o cambiar su doctrina, como consecuencia de un cambio en la doctrina de los órganos de garantía encargados de la interpretación de los tratados y acuerdos internacionales a los que se refiere el art. 10.2 CE, y porque el asunto suscitado trasciende del caso concreto y plantea una cuestión jurídica de relevante y general repercusión social o económica [STC 155/2009, de 25 de junio, FJ 2 b) y g)]. Asimismo, acordó, de conformidad con el art. 51 LOTC, dirigir comunicación a la Sala Primera del Tribunal Supremo, a la Sección Decimoquinta de la Audiencia Provincial de Barcelona y al Juzgado de Primera Instancia núm. 6 de Barcelona, para que remitieran testimonio íntegro de las actuaciones, debiendo previamente emplazar a quienes han sido parte en el procedimiento —excepto la parte recurrente en amparo— para que en el plazo de diez días pudieran comparecer, si lo deseaban, en el presente proceso constitucional.</w:t>
      </w:r>
    </w:p>
    <w:p w14:paraId="1DAC55D3" w14:textId="77777777" w:rsidR="00A8138F" w:rsidRDefault="00A8138F" w:rsidP="00A8138F">
      <w:pPr>
        <w:pStyle w:val="TextoNormal"/>
      </w:pPr>
    </w:p>
    <w:p w14:paraId="051BB47A" w14:textId="51362813" w:rsidR="00A8138F" w:rsidRDefault="00A8138F" w:rsidP="00A8138F">
      <w:pPr>
        <w:pStyle w:val="TextoNormal"/>
      </w:pPr>
      <w:r w:rsidRPr="00A8138F">
        <w:rPr>
          <w:rStyle w:val="NumeroAFNegritaCaracter"/>
        </w:rPr>
        <w:t>5</w:t>
      </w:r>
      <w:r>
        <w:t>. Por diligencia de ordenación de 14 de mayo de 2024, este tribunal tuvo por personado al procurador don Francisco Javier Segura Zariquiey, en nombre y representación de CaixaBank, S.A. Asimismo, de conformidad con lo dispuesto en el art. 52.1 LOTC, acordó dar vista de las actuaciones recibidas a las partes personadas y al Ministerio Fiscal por plazo común de veinte días para que, dentro de dicho término, presentaran las alegaciones que a su derecho convinieran.</w:t>
      </w:r>
    </w:p>
    <w:p w14:paraId="5BB2588E" w14:textId="77777777" w:rsidR="00A8138F" w:rsidRDefault="00A8138F" w:rsidP="00A8138F">
      <w:pPr>
        <w:pStyle w:val="TextoNormal"/>
      </w:pPr>
    </w:p>
    <w:p w14:paraId="5C92D7CC" w14:textId="2281CC8E" w:rsidR="00A8138F" w:rsidRDefault="00A8138F" w:rsidP="00A8138F">
      <w:pPr>
        <w:pStyle w:val="TextoNormal"/>
      </w:pPr>
      <w:r w:rsidRPr="00A8138F">
        <w:rPr>
          <w:rStyle w:val="NumeroAFNegritaCaracter"/>
        </w:rPr>
        <w:t>6</w:t>
      </w:r>
      <w:r>
        <w:t xml:space="preserve">. Mediante escrito presentado el 17 de junio de 2024, la representación procesal de CaixaBank, S.A., formuló alegaciones en las que interesa la desestimación del recurso de amparo, argumentando: (i) que el recurrente, en su recurso de casación, no denunció ninguna infracción del art. 24.1 CE, de modo que ha de entenderse que no se ha cumplido el requisito de la invocación previa exigido por el art. 44.1 c) LOTC; (ii) que no existe lesión del derecho a la tutela judicial efectiva, ya que la sentencia recurrida no incurre en una selección irrazonable y arbitraria de la norma aplicable al proceso, sino que justifica correctamente la aplicación del art. 398.2 LEC teniendo en cuenta los principios relevantes de Derecho de la Unión; y (iii) que la demanda de amparo se basa en un entendimiento erróneo de la doctrina del Tribunal de Justicia de la Unión Europea, ya que esta no reconoce al litigante consumidor un derecho absoluto al resarcimiento de la totalidad de las costas procesales, sino tan solo un derecho a ser reembolsado con “un importe suficiente respecto del coste total del procedimiento judicial” (STJUE de 7 de abril de 2022, </w:t>
      </w:r>
      <w:r w:rsidRPr="00A8138F">
        <w:rPr>
          <w:i/>
        </w:rPr>
        <w:t>EL y TP c. Caixabank, S.A.</w:t>
      </w:r>
      <w:r>
        <w:t>, asunto C-385/20), sin que el recurrente en amparo haya justificado la vulneración de esta exigencia en el caso concreto.</w:t>
      </w:r>
    </w:p>
    <w:p w14:paraId="247E8C56" w14:textId="77777777" w:rsidR="00A8138F" w:rsidRDefault="00A8138F" w:rsidP="00A8138F">
      <w:pPr>
        <w:pStyle w:val="TextoNormal"/>
      </w:pPr>
    </w:p>
    <w:p w14:paraId="63552837" w14:textId="77777777" w:rsidR="00A8138F" w:rsidRDefault="00A8138F" w:rsidP="00A8138F">
      <w:pPr>
        <w:pStyle w:val="TextoNormal"/>
      </w:pPr>
      <w:r w:rsidRPr="00A8138F">
        <w:rPr>
          <w:rStyle w:val="NumeroAFNegritaCaracter"/>
        </w:rPr>
        <w:t>7</w:t>
      </w:r>
      <w:r>
        <w:t>. El Ministerio Fiscal presentó sus alegaciones mediante escrito registrado en este tribunal el 24 de junio de 2024, en el que interesa la inadmisión a trámite del recurso y, subsidiariamente, su estimación.</w:t>
      </w:r>
    </w:p>
    <w:p w14:paraId="4B0825E7" w14:textId="77777777" w:rsidR="00A8138F" w:rsidRDefault="00A8138F" w:rsidP="00A8138F">
      <w:pPr>
        <w:pStyle w:val="TextoNormal"/>
      </w:pPr>
    </w:p>
    <w:p w14:paraId="4C25F266" w14:textId="77777777" w:rsidR="00A8138F" w:rsidRDefault="00A8138F" w:rsidP="00A8138F">
      <w:pPr>
        <w:pStyle w:val="TextoNormal"/>
      </w:pPr>
      <w:r>
        <w:t>En cuanto a la admisibilidad, afirma que se cumplen las exigencias de agotamiento de la vía judicial previa y de alegación tempestiva de la lesión denunciada, pero señala que, a su parecer, el recurso resulta extemporáneo porque el plazo legal de treinta días del art. 44.2 LOTC estaba vencido cuando se presentó. Razona en este sentido que la notificación se produjo de forma electrónica el 7 de junio de 2023 y que, contando a partir del día siguiente hábil, 8 de junio, el plazo de interposición finalizaba el 20 de julio a las 15:00 horas, de modo que, al haber sido presentado el 21 de julio a las 14:42 horas, el recurso ha de considerarse intempestivo.</w:t>
      </w:r>
    </w:p>
    <w:p w14:paraId="7E558E6F" w14:textId="77777777" w:rsidR="00A8138F" w:rsidRDefault="00A8138F" w:rsidP="00A8138F">
      <w:pPr>
        <w:pStyle w:val="TextoNormal"/>
      </w:pPr>
    </w:p>
    <w:p w14:paraId="355E82A9" w14:textId="77777777" w:rsidR="00A8138F" w:rsidRDefault="00A8138F" w:rsidP="00A8138F">
      <w:pPr>
        <w:pStyle w:val="TextoNormal"/>
      </w:pPr>
      <w:r>
        <w:t>En relación con el fondo, el fiscal recuerda la doctrina del Tribunal Supremo y del Tribunal Constitucional en materia de costas. Por lo que se refiere a la jurisprudencia de la Sala de lo Civil del Tribunal Supremo, afirma que las SSTS 472/2020, de 17 de septiembre, y 419/2017, de 4 de julio, ya establecieron, de conformidad con la doctrina del Tribunal de Justicia de la Unión Europea, que el principio de efectividad del Derecho de la Unión Europea exige dar cumplimiento a otros dos principios: el de no vinculación de los consumidores a las cláusulas abusivas incorporadas a contratos no negociados (art. 6.1 de la Directiva 93/13/CEE) y el de prohibición del efecto disuasorio de la denuncia de tales cláusulas (art. 7.2 de la Directiva 93/13/CEE). Ello significa que el consumidor que ha sufrido la imposición de cláusulas que después se declaran abusivas y nulas debe salir indemne de esa relación sin sufrir perjuicio económico alguno. Por ello, en la medida en que hacerle sufragar las costas del proceso o una parte de ellas supone imponerle una carga que puede producir un efecto disuasorio, la solución pasa por dejarle al margen de la obligación de esos pagos.</w:t>
      </w:r>
    </w:p>
    <w:p w14:paraId="4BB0F2E9" w14:textId="77777777" w:rsidR="00A8138F" w:rsidRDefault="00A8138F" w:rsidP="00A8138F">
      <w:pPr>
        <w:pStyle w:val="TextoNormal"/>
      </w:pPr>
    </w:p>
    <w:p w14:paraId="1A0F323D" w14:textId="77777777" w:rsidR="00A8138F" w:rsidRDefault="00A8138F" w:rsidP="00A8138F">
      <w:pPr>
        <w:pStyle w:val="TextoNormal"/>
      </w:pPr>
      <w:r>
        <w:t>En cuanto a la doctrina constitucional aplicable, el Ministerio Fiscal recuerda dos pronunciamientos recientes sobre la imposición de costas en materia de cláusulas abusivas: las SSTC 91/2023, de 11 de septiembre, y 96/2023, de 25 de septiembre, en las que se concluye que la negativa a imponer las costas de instancia y apelación a la entidad bancaria ejecutante, en aplicación del criterio de la existencia de serias dudas de hecho o de Derecho (art. 394.1 LEC), y la no aplicación de lo previsto en los arts. 6.1 y 7.1 de la Directiva 93/13/CEE, conforme a la interpretación del Tribunal de Justicia de la Unión Europea, vulnera el derecho a la tutela judicial efectiva (art. 24.1 CE).</w:t>
      </w:r>
    </w:p>
    <w:p w14:paraId="2B947EDD" w14:textId="77777777" w:rsidR="00A8138F" w:rsidRDefault="00A8138F" w:rsidP="00A8138F">
      <w:pPr>
        <w:pStyle w:val="TextoNormal"/>
      </w:pPr>
    </w:p>
    <w:p w14:paraId="4A279ABA" w14:textId="196863C0" w:rsidR="00A8138F" w:rsidRDefault="00A8138F" w:rsidP="00A8138F">
      <w:pPr>
        <w:pStyle w:val="TextoNormal"/>
      </w:pPr>
      <w:r>
        <w:t>Para el fiscal, la referida doctrina del Tribunal Supremo y del Tribunal Constitucional —esta última dictada en su mayoría antes de que se adoptasen las resoluciones judiciales ahora recurridas—, así como la doctrina del Tribunal de Justicia de la Unión Europea, debió ser tenida en cuenta al resolver sobre las costas del proceso y ha de conducir a la estimación del presente recurso de amparo. El Ministerio Fiscal pone de manifiesto que, tanto en la sentencia de casación como en los autos resolutorios de los incidentes de aclaración y de nulidad de actuaciones, el Tribunal Supremo aplicó estrictamente las previsiones de la Ley de enjuiciamiento civil a los gastos procesales causados en los recursos de apelación y casación, de modo que, en tanto que estos fueron parcialmente estimatorios, no condenó en costas a ninguna de las partes. Por el contrario, en la instancia no se aplicó la normativa procesal interna —en concreto, el art. 394 LEC—, sino que se asumió que la doctrina del Tribunal de Justicia impedía su aplicación porque supondría una carga para el consumidor que este no debía soportar, en la medida en que había obtenido una declaración de nulidad, por abusiva, de una cláusula contractual.</w:t>
      </w:r>
    </w:p>
    <w:p w14:paraId="056ACD3E" w14:textId="77777777" w:rsidR="00A8138F" w:rsidRDefault="00A8138F" w:rsidP="00A8138F">
      <w:pPr>
        <w:pStyle w:val="TextoNormal"/>
      </w:pPr>
    </w:p>
    <w:p w14:paraId="42009789" w14:textId="2BC23D36" w:rsidR="00A8138F" w:rsidRDefault="00A8138F" w:rsidP="00A8138F">
      <w:pPr>
        <w:pStyle w:val="TextoNormal"/>
      </w:pPr>
      <w:r w:rsidRPr="00A8138F">
        <w:rPr>
          <w:rStyle w:val="NumeroAFNegritaCaracter"/>
        </w:rPr>
        <w:t>8</w:t>
      </w:r>
      <w:r>
        <w:t>. La representación procesal del recurrente en amparo no formuló alegaciones.</w:t>
      </w:r>
    </w:p>
    <w:p w14:paraId="4EAC9E7C" w14:textId="77777777" w:rsidR="00A8138F" w:rsidRDefault="00A8138F" w:rsidP="00A8138F">
      <w:pPr>
        <w:pStyle w:val="TextoNormal"/>
      </w:pPr>
    </w:p>
    <w:p w14:paraId="36D14903" w14:textId="15EAB8AE" w:rsidR="00A8138F" w:rsidRDefault="00A8138F" w:rsidP="00A8138F">
      <w:pPr>
        <w:pStyle w:val="TextoNormal"/>
      </w:pPr>
      <w:r w:rsidRPr="00A8138F">
        <w:rPr>
          <w:rStyle w:val="NumeroAFNegritaCaracter"/>
        </w:rPr>
        <w:t>9</w:t>
      </w:r>
      <w:r>
        <w:t>. Por providencia de 22 de mayo de 2025 se señaló para deliberación y votación de la presente sentencia el día 26 del mismo mes y año.</w:t>
      </w:r>
    </w:p>
    <w:p w14:paraId="0410B197" w14:textId="77777777" w:rsidR="00A8138F" w:rsidRDefault="00A8138F" w:rsidP="00A8138F">
      <w:pPr>
        <w:pStyle w:val="TextoNormal"/>
      </w:pPr>
    </w:p>
    <w:p w14:paraId="4CA7F46F" w14:textId="77777777" w:rsidR="00A8138F" w:rsidRDefault="00A8138F" w:rsidP="00A8138F">
      <w:pPr>
        <w:pStyle w:val="TextoNormalNegritaCentrado"/>
        <w:keepNext/>
      </w:pPr>
      <w:r>
        <w:t>II. Fundamentos jurídicos</w:t>
      </w:r>
    </w:p>
    <w:p w14:paraId="4A84F0A7" w14:textId="691102DE" w:rsidR="00A8138F" w:rsidRDefault="00A8138F" w:rsidP="00A8138F">
      <w:pPr>
        <w:pStyle w:val="TextoNormalNegritaCentrado"/>
        <w:keepNext/>
      </w:pPr>
    </w:p>
    <w:p w14:paraId="7249B623" w14:textId="77777777" w:rsidR="00A8138F" w:rsidRDefault="00A8138F" w:rsidP="00A8138F">
      <w:pPr>
        <w:pStyle w:val="TextoNormal"/>
      </w:pPr>
      <w:r w:rsidRPr="00A8138F">
        <w:rPr>
          <w:rStyle w:val="NumeroAFNegritaCaracter"/>
        </w:rPr>
        <w:t>1</w:t>
      </w:r>
      <w:r>
        <w:t xml:space="preserve">. </w:t>
      </w:r>
      <w:r w:rsidRPr="00A8138F">
        <w:rPr>
          <w:i/>
        </w:rPr>
        <w:t>Objeto del proceso y posiciones de las partes</w:t>
      </w:r>
    </w:p>
    <w:p w14:paraId="165C7F78" w14:textId="77777777" w:rsidR="00A8138F" w:rsidRDefault="00A8138F" w:rsidP="00A8138F">
      <w:pPr>
        <w:pStyle w:val="TextoNormal"/>
      </w:pPr>
    </w:p>
    <w:p w14:paraId="7737ABA2" w14:textId="77777777" w:rsidR="00A8138F" w:rsidRDefault="00A8138F" w:rsidP="00A8138F">
      <w:pPr>
        <w:pStyle w:val="TextoNormal"/>
      </w:pPr>
      <w:r>
        <w:t>El presente recurso de amparo se dirige contra (i) la sentencia de 22 de febrero de 2023, de la Sala de lo Civil del Tribunal Supremo, que estimó parcialmente el recurso de casación contra la sentencia núm. 638/2020, de 27 de abril, dictada por la Sección Decimoquinta de la Audiencia Provincial de Barcelona en el recurso de apelación núm. 933-2019, que había estimado el recurso de apelación y declarado la nulidad de cláusula multidivisa en contrato de préstamo con garantía hipotecaria, pero sin expresa imposición de costas a ninguna de las partes; y (ii) la providencia de 5 de junio de 2023 de la misma Sala del Tribunal Supremo, que inadmitió el incidente excepcional de nulidad de actuaciones planteado por el demandante de amparo contra la sentencia anterior.</w:t>
      </w:r>
    </w:p>
    <w:p w14:paraId="48BBFCF9" w14:textId="77777777" w:rsidR="00A8138F" w:rsidRDefault="00A8138F" w:rsidP="00A8138F">
      <w:pPr>
        <w:pStyle w:val="TextoNormal"/>
      </w:pPr>
    </w:p>
    <w:p w14:paraId="68CC1232" w14:textId="77777777" w:rsidR="00A8138F" w:rsidRDefault="00A8138F" w:rsidP="00A8138F">
      <w:pPr>
        <w:pStyle w:val="TextoNormal"/>
      </w:pPr>
      <w:r>
        <w:t>Como con mayor detalle consta en los antecedentes, el recurrente denuncia la lesión de su derecho a la tutela judicial efectiva (art 24.1 CE) por incurrir las resoluciones impugnadas en una motivación errónea y no fundada en Derecho, en la medida en que la decisión de no imponer a la entidad bancaria las costas de apelación y de casación se habría fundado en una selección irrazonable y arbitraria de la norma aplicable al caso, desconociendo el principio de primacía del Derecho de la Unión. La demanda solicita la nulidad de las resoluciones impugnadas y la retroacción de actuaciones al momento inmediatamente anterior al dictado de la primera de ellas.</w:t>
      </w:r>
    </w:p>
    <w:p w14:paraId="5BA2515F" w14:textId="77777777" w:rsidR="00A8138F" w:rsidRDefault="00A8138F" w:rsidP="00A8138F">
      <w:pPr>
        <w:pStyle w:val="TextoNormal"/>
      </w:pPr>
    </w:p>
    <w:p w14:paraId="4466F94C" w14:textId="77777777" w:rsidR="00A8138F" w:rsidRDefault="00A8138F" w:rsidP="00A8138F">
      <w:pPr>
        <w:pStyle w:val="TextoNormal"/>
      </w:pPr>
      <w:r>
        <w:t>La representación procesal de la entidad bancaria CaixaBank, S.A., demandada en la vía judicial, se ha opuesto a la demanda de amparo. Como ha quedado expuesto en los antecedentes, considera que no se ha cumplido el requisito de la previa y tempestiva denuncia de la lesión ahora invocada en amparo [art. 44.1 c) LOTC] y que, en todo caso, tal lesión no se ha producido.</w:t>
      </w:r>
    </w:p>
    <w:p w14:paraId="0ED3AA01" w14:textId="77777777" w:rsidR="00A8138F" w:rsidRDefault="00A8138F" w:rsidP="00A8138F">
      <w:pPr>
        <w:pStyle w:val="TextoNormal"/>
      </w:pPr>
    </w:p>
    <w:p w14:paraId="6BF02462" w14:textId="7794F589" w:rsidR="00A8138F" w:rsidRDefault="00A8138F" w:rsidP="00A8138F">
      <w:pPr>
        <w:pStyle w:val="TextoNormal"/>
      </w:pPr>
      <w:r>
        <w:t>El Ministerio Fiscal ha interesado la inadmisión del recurso por extemporaneidad y, subsidiariamente, su estimación. Afirma que de la jurisprudencia de la Sala Civil del Tribunal Supremo —que asume la del Tribunal de Justicia de la Unión Europea—, así como de la doctrina constitucional, se deduce que el consumidor que ha sufrido la imposición de cláusulas abusivas que posteriormente se anulan debe salir indemne de esa relación sin sufrir perjuicio económico alguno y no verse obligado a asumir las costas del proceso o una parte de ellas, pues suponen una carga que puede producir un efecto disuasorio. Sin embargo, la decisión del Tribunal Supremo no aplica dicha jurisprudencia a las costas de apelación y casación, sin aclarar las razones de esta decisión, que determina que el consumidor acabe sufriendo un perjuicio económico. Ello conduce al fiscal a apreciar la lesión del derecho a la tutela judicial efectiva por una selección irrazonable y arbitraria de la norma aplicable al caso, desconociendo el principio de primacía del Derecho de la Unión, a pesar de que le fue alegado en la demanda de casación y en el posterior incidente de nulidad de actuaciones.</w:t>
      </w:r>
    </w:p>
    <w:p w14:paraId="18FA61BA" w14:textId="77777777" w:rsidR="00A8138F" w:rsidRDefault="00A8138F" w:rsidP="00A8138F">
      <w:pPr>
        <w:pStyle w:val="TextoNormal"/>
      </w:pPr>
    </w:p>
    <w:p w14:paraId="1F129C72" w14:textId="77777777" w:rsidR="00A8138F" w:rsidRDefault="00A8138F" w:rsidP="00A8138F">
      <w:pPr>
        <w:pStyle w:val="TextoNormal"/>
      </w:pPr>
      <w:r w:rsidRPr="00A8138F">
        <w:rPr>
          <w:rStyle w:val="NumeroAFNegritaCaracter"/>
        </w:rPr>
        <w:t>2</w:t>
      </w:r>
      <w:r>
        <w:t xml:space="preserve">. </w:t>
      </w:r>
      <w:r w:rsidRPr="00A8138F">
        <w:rPr>
          <w:i/>
        </w:rPr>
        <w:t>Óbices procesales</w:t>
      </w:r>
    </w:p>
    <w:p w14:paraId="698728D5" w14:textId="77777777" w:rsidR="00A8138F" w:rsidRDefault="00A8138F" w:rsidP="00A8138F">
      <w:pPr>
        <w:pStyle w:val="TextoNormal"/>
      </w:pPr>
    </w:p>
    <w:p w14:paraId="3B197B77" w14:textId="77777777" w:rsidR="00A8138F" w:rsidRDefault="00A8138F" w:rsidP="00A8138F">
      <w:pPr>
        <w:pStyle w:val="TextoNormal"/>
      </w:pPr>
      <w:r>
        <w:t>a) Delimitadas en los términos expuestos las cuestiones planteadas por las partes, debemos comenzar examinando el óbice procesal de extemporaneidad alegado por el fiscal, que, como se ha detallado en los antecedentes, afirma que la demanda se presentó fuera del plazo legal de treinta días del art. 44.2 LOTC. Para el fiscal, la notificación se produjo de forma electrónica el 7 de junio de 2023 y el plazo de interposición finalizó el 20 de julio a las 15:00 horas, mientras que el recurso de amparo se habría presentado con posterioridad, a saber, el 21 de julio a las 14:42 horas.</w:t>
      </w:r>
    </w:p>
    <w:p w14:paraId="7C22AB30" w14:textId="77777777" w:rsidR="00A8138F" w:rsidRDefault="00A8138F" w:rsidP="00A8138F">
      <w:pPr>
        <w:pStyle w:val="TextoNormal"/>
      </w:pPr>
    </w:p>
    <w:p w14:paraId="2CEDE23B" w14:textId="77777777" w:rsidR="00A8138F" w:rsidRDefault="00A8138F" w:rsidP="00A8138F">
      <w:pPr>
        <w:pStyle w:val="TextoNormal"/>
      </w:pPr>
      <w:r>
        <w:t>Para resolver la objeción planteada hemos de recordar que la notificación se produjo a través de Lexnet y que, para estos supuestos, el art. 151 LEC establece que “los actos de comunicación al Ministerio Fiscal, a la Abogacía del Estado, a los letrados o las letradas de las Cortes Generales y de las asambleas legislativas de las comunidades autónomas, del servicio jurídico de la Administración de la Seguridad Social o de las demás administraciones públicas de las comunidades autónomas o de los entes locales, así como los que se practiquen a través de los servicios de notificaciones organizados por los colegios de procuradores se tendrán por realizados al día siguiente hábil a la fecha de recepción que conste en la diligencia o en el resguardo acreditativo de su efectiva recepción cuando el acto de comunicación se haya efectuado por los medios y con los requisitos que establece el artículo 162. Cuando el acto de comunicación fuera remitido con posterioridad a las 15:00 horas, se tendrá por recibido al día siguiente hábil”.</w:t>
      </w:r>
    </w:p>
    <w:p w14:paraId="2CBFC68C" w14:textId="77777777" w:rsidR="00A8138F" w:rsidRDefault="00A8138F" w:rsidP="00A8138F">
      <w:pPr>
        <w:pStyle w:val="TextoNormal"/>
      </w:pPr>
    </w:p>
    <w:p w14:paraId="0C47E4E5" w14:textId="77777777" w:rsidR="00A8138F" w:rsidRDefault="00A8138F" w:rsidP="00A8138F">
      <w:pPr>
        <w:pStyle w:val="TextoNormal"/>
      </w:pPr>
      <w:r>
        <w:t>En el presente caso, la providencia del Tribunal Supremo de 5 de junio de 2023 fue recibida en el colegio de procuradores el 7 de junio a las 9:20 h., de modo que su notificación, por imperativo legal, debe entenderse efectuada el día siguiente hábil, es decir, el 8 de junio. Por lo tanto, el cómputo del plazo de treinta días previsto en el art. 44.2 LOTC para la interposición del recurso de amparo se inició el 8 de junio de 2023 y finalizó el 21 de julio de 2023 a las 15:00 h. Dado que la demanda se presentó el 21 de julio a las 14:42 h., el recurso es tempestivo, lo que conduce a la desestimación del óbice de extemporaneidad alegado por el Ministerio Fiscal.</w:t>
      </w:r>
    </w:p>
    <w:p w14:paraId="475A03A8" w14:textId="77777777" w:rsidR="00A8138F" w:rsidRDefault="00A8138F" w:rsidP="00A8138F">
      <w:pPr>
        <w:pStyle w:val="TextoNormal"/>
      </w:pPr>
    </w:p>
    <w:p w14:paraId="51139FD0" w14:textId="77777777" w:rsidR="00A8138F" w:rsidRDefault="00A8138F" w:rsidP="00A8138F">
      <w:pPr>
        <w:pStyle w:val="TextoNormal"/>
      </w:pPr>
      <w:r>
        <w:t>b) Hemos a continuación de determinar si, como alega la representación procesal de la entidad crediticia, el presente recurso de amparo resulta inadmisible por haber incumplido el actor la exigencia de “[q]ue se haya denunciado formalmente en el proceso, si hubo oportunidad, la vulneración del derecho constitucional tan pronto como, una vez conocida, hubiera lugar para ello” [art. 44.1 c) LOTC]. Señala la entidad bancaria en este sentido que el recurrente, en su recurso de casación, no denunció ninguna infracción del art. 24.1 CE, ni tampoco hizo mención alguna a la aplicación del art. 398.2 LEC como fundamento para la no imposición de las costas de segunda instancia —cuestiones a las que solamente se habría referido después, al interponer la solicitud de complemento y de aclaración y al interponer el incidente de nulidad de actuaciones—, sino que se limitó a denunciar “una infracción de los arts. 8 b) y c) y 83 del texto refundido de la Ley de consumidores y usuarios”. Como ha quedado expuesto, el Ministerio Fiscal no aprecia la existencia de esta causa de inadmisibilidad de la demanda.</w:t>
      </w:r>
    </w:p>
    <w:p w14:paraId="48A2E917" w14:textId="77777777" w:rsidR="00A8138F" w:rsidRDefault="00A8138F" w:rsidP="00A8138F">
      <w:pPr>
        <w:pStyle w:val="TextoNormal"/>
      </w:pPr>
    </w:p>
    <w:p w14:paraId="422AD3D6" w14:textId="77777777" w:rsidR="00A8138F" w:rsidRDefault="00A8138F" w:rsidP="00A8138F">
      <w:pPr>
        <w:pStyle w:val="TextoNormal"/>
      </w:pPr>
      <w:r>
        <w:t>El examen de las actuaciones pone de manifiesto que, ciertamente, el recurso de casación interpuesto por el ahora demandante en amparo no hizo mención expresa de la posible lesión de su derecho a la tutela judicial efectiva ni discutió específicamente la aplicación a su caso del art. 398.2 LEC. No obstante, tal recurso de casación denunció “la vulneración de sus derechos como consumidor” producida por la falta de imposición íntegra de las costas de instancia y de apelación a la entidad bancaria, con invocación expresa de los principios europeos de efectividad y de no vinculación al consumidor a las cláusulas abusivas, de la STS 419/2017, de 4 de julio y de la STJUE de 16 de julio de 2020; pronunciamientos jurisprudenciales relativos, como después se indicará, a la compatibilidad entre el derecho a la tutela judicial efectiva de los derechos de los consumidores y la imposición a estos de las costas generadas por los procesos judiciales trabados para hacer valer el carácter abusivo y nulo de una cláusula incluida en un contrato con una parte profesional.</w:t>
      </w:r>
    </w:p>
    <w:p w14:paraId="25D3D7C0" w14:textId="77777777" w:rsidR="00A8138F" w:rsidRDefault="00A8138F" w:rsidP="00A8138F">
      <w:pPr>
        <w:pStyle w:val="TextoNormal"/>
      </w:pPr>
    </w:p>
    <w:p w14:paraId="53D9CDA4" w14:textId="5833F9A5" w:rsidR="00A8138F" w:rsidRDefault="00A8138F" w:rsidP="00A8138F">
      <w:pPr>
        <w:pStyle w:val="TextoNormal"/>
      </w:pPr>
      <w:r>
        <w:t xml:space="preserve">A la vista de lo anterior, se puede tener por cumplido el requisito </w:t>
      </w:r>
      <w:r w:rsidRPr="00A8138F">
        <w:rPr>
          <w:i/>
        </w:rPr>
        <w:t>ex</w:t>
      </w:r>
      <w:r>
        <w:t xml:space="preserve"> art. 44.1 c) LOTC en una interpretación finalista de dicho precepto, pues no exige que en el proceso judicial se haga una mención concreta y numérica del precepto constitucional en el que se reconozca el derecho vulnerado o la mención de su </w:t>
      </w:r>
      <w:r w:rsidRPr="00A8138F">
        <w:rPr>
          <w:i/>
        </w:rPr>
        <w:t>nomen iuris</w:t>
      </w:r>
      <w:r>
        <w:t>, siendo suficiente que se someta el hecho fundamentador de la vulneración al análisis de los órganos judiciales, dándoles la oportunidad de pronunciarse y, en su caso, de reparar la lesión del derecho fundamental que posteriormente se alega en el recurso de amparo (por todas, SSTC 133/2002, de 3 de junio, FJ 3; 228/2002, de 9 de diciembre, FJ 2, y 133/2010, de 2 de diciembre, FJ 2).</w:t>
      </w:r>
    </w:p>
    <w:p w14:paraId="7285EF7B" w14:textId="77777777" w:rsidR="00A8138F" w:rsidRDefault="00A8138F" w:rsidP="00A8138F">
      <w:pPr>
        <w:pStyle w:val="TextoNormal"/>
      </w:pPr>
    </w:p>
    <w:p w14:paraId="2D101FFF" w14:textId="77777777" w:rsidR="00A8138F" w:rsidRDefault="00A8138F" w:rsidP="00A8138F">
      <w:pPr>
        <w:pStyle w:val="TextoNormal"/>
      </w:pPr>
      <w:r w:rsidRPr="00A8138F">
        <w:rPr>
          <w:rStyle w:val="NumeroAFNegritaCaracter"/>
        </w:rPr>
        <w:t>3</w:t>
      </w:r>
      <w:r>
        <w:t xml:space="preserve">. </w:t>
      </w:r>
      <w:r w:rsidRPr="00A8138F">
        <w:rPr>
          <w:i/>
        </w:rPr>
        <w:t>Tutela judicial efectiva de los derechos de los consumidores e imposición de costas procesales</w:t>
      </w:r>
    </w:p>
    <w:p w14:paraId="7661517D" w14:textId="77777777" w:rsidR="00A8138F" w:rsidRDefault="00A8138F" w:rsidP="00A8138F">
      <w:pPr>
        <w:pStyle w:val="TextoNormal"/>
      </w:pPr>
    </w:p>
    <w:p w14:paraId="6759F9B2" w14:textId="77777777" w:rsidR="00A8138F" w:rsidRDefault="00A8138F" w:rsidP="00A8138F">
      <w:pPr>
        <w:pStyle w:val="TextoNormal"/>
      </w:pPr>
      <w:r>
        <w:t>a) De acuerdo con la doctrina de este tribunal, el derecho a la tutela judicial integra, como una de sus manifestaciones, la de obtener de los jueces y tribunales una resolución fundada en Derecho sobre el fondo de las pretensiones oportunamente deducidas por las partes en el proceso (SSTC 206/1999, de 8 de noviembre, FJ 4, y 116/2001, de 21 de mayo, FJ 4, entre otras). Como ya advertimos en la STC 31/2019, «la existencia de una motivación adecuada y suficiente en función de las cuestiones que se susciten en cada caso concreto resulta una garantía esencial para el justiciable, ya que la exteriorización de los rasgos más esenciales del razonamiento que ha llevado a los órganos judiciales a adoptar su decisión permite apreciar su racionalidad, además de facilitar el control de la actividad jurisdiccional por los tribunales superiores y de, consecuentemente, mejorar las posibilidades de defensa por parte de los ciudadanos de sus derechos mediante el empleo de los recursos que en cada supuesto litigioso procedan (SSTC 209/1993, de 28 de junio, FJ 1, o 35/2002, de 11 de febrero, FJ 3), siendo de añadir, trascendiendo desde la esfera individual a la colectiva,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(SSTC 24/1990, de 15 de febrero, FJ 4; 35/2002, de 11 de febrero, FJ 3, y 119/2003, de 16 de junio, FJ 3) (STC 329/2006, de 20 de noviembre, FJ 7). Por ello, hemos declarado que “el canon constitucional de la ‘motivación suficiente’ no se ve satisfecho mediante la simple exposición de una conclusión, fáctica o jurídica, sino que requiere un razonamiento o inferencia” (STC 8/2014, de 27 de enero, FJ 4). Aún más, en este caso, cuando el artículo 51 CE impone a los poderes públicos en general la obligación de garantizar la defensa de los consumidores y usuarios» (FJ 8).</w:t>
      </w:r>
    </w:p>
    <w:p w14:paraId="323D99FD" w14:textId="77777777" w:rsidR="00A8138F" w:rsidRDefault="00A8138F" w:rsidP="00A8138F">
      <w:pPr>
        <w:pStyle w:val="TextoNormal"/>
      </w:pPr>
    </w:p>
    <w:p w14:paraId="3A24A637" w14:textId="77777777" w:rsidR="00A8138F" w:rsidRDefault="00A8138F" w:rsidP="00A8138F">
      <w:pPr>
        <w:pStyle w:val="TextoNormal"/>
      </w:pPr>
      <w:r>
        <w:t>El recurso de amparo no es cauce idóneo para corregir posibles errores en la selección, interpretación y aplicación del ordenamiento jurídico al caso, so pena de desvirtuar su naturaleza (STC 226/2000, de 2 de octubre, FJ 3); sin embargo, el derecho alegado en el caso presente sí conlleva la garantía de que el fundamento de la decisión sea la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(por todas, SSTC 147/1999, de 4 de agosto, FJ 3, y 221/2001, de 31 de octubre, FJ 6).</w:t>
      </w:r>
    </w:p>
    <w:p w14:paraId="1EEAE520" w14:textId="77777777" w:rsidR="00A8138F" w:rsidRDefault="00A8138F" w:rsidP="00A8138F">
      <w:pPr>
        <w:pStyle w:val="TextoNormal"/>
      </w:pPr>
    </w:p>
    <w:p w14:paraId="0425E768" w14:textId="77777777" w:rsidR="00A8138F" w:rsidRDefault="00A8138F" w:rsidP="00A8138F">
      <w:pPr>
        <w:pStyle w:val="TextoNormal"/>
      </w:pPr>
      <w:r>
        <w:t>b) De forma más específica, en la ya citada STC 31/2019, FJ 4, destacamos, con cita de la STC 232/2015, de 5 de noviembre, FJ 5, que a este tribunal “corresponde […] velar por el respeto del principio de primacía del Derecho de la Unión cuando […] exista una interpretación auténtica efectuada por el propio Tribunal de Justicia de la Unión Europea”, y que, en consecuencia, el desconocimiento y preterición de una norma de Derecho de la Unión, tal y como ha sido interpretada por el Tribunal de Justicia, “puede suponer una ‘selección irrazonable y arbitraria de una norma aplicable al proceso’, lo cual puede dar lugar a una vulneración del derecho a la tutela judicial efectiva” (STC 145/2012, de 2 de julio, FFJJ 5 y 6).</w:t>
      </w:r>
    </w:p>
    <w:p w14:paraId="3A953B46" w14:textId="77777777" w:rsidR="00A8138F" w:rsidRDefault="00A8138F" w:rsidP="00A8138F">
      <w:pPr>
        <w:pStyle w:val="TextoNormal"/>
      </w:pPr>
    </w:p>
    <w:p w14:paraId="7CB79A87" w14:textId="77777777" w:rsidR="00A8138F" w:rsidRDefault="00A8138F" w:rsidP="00A8138F">
      <w:pPr>
        <w:pStyle w:val="TextoNormal"/>
      </w:pPr>
      <w:r>
        <w:t>Cuando el debate procesal de fondo trabado en la vía judicial se centra en el carácter nulo, por abusivo, de una cláusula contractual incorporada a un préstamo con garantía hipotecaria concertado entre una parte profesional, la entidad financiera, y el actor, persona física no profesional, la cuestión queda comprendida en la esfera de aplicación de la Directiva 93/13/CEE y, en particular, de sus arts. 6.1 y 7.1, preceptos que devienen así relevantes, al igual que la doctrina jurisprudencial europea e interna que los interpreta, para enjuiciar la consistencia de las resoluciones judiciales que se pronuncian sobre el reparto de los gastos procesales en este tipo de litigios.</w:t>
      </w:r>
    </w:p>
    <w:p w14:paraId="44E9CE71" w14:textId="77777777" w:rsidR="00A8138F" w:rsidRDefault="00A8138F" w:rsidP="00A8138F">
      <w:pPr>
        <w:pStyle w:val="TextoNormal"/>
      </w:pPr>
    </w:p>
    <w:p w14:paraId="62E19C27" w14:textId="77777777" w:rsidR="00A8138F" w:rsidRDefault="00A8138F" w:rsidP="00A8138F">
      <w:pPr>
        <w:pStyle w:val="TextoNormal"/>
      </w:pPr>
      <w:r>
        <w:t>Procede recordar que el art. 6.1 de la Directiva establece que “[l]os Estados miembros establecerán que no vincularán al consumidor, en las condiciones estipuladas por sus derechos nacionales, las cláusulas abusivas que figuren en un contrato celebrado entre este y un profesional y dispondrán que el contrato siga siendo obligatorio para las partes en los mismos términos, si este puede subsistir sin las cláusulas abusivas”. Por su parte, el art. 7.1 de la Directiva dice que “[l]os Estados miembros velarán por que, en interés de los consumidores y de los competidores profesionales, existan medios adecuados y eficaces para que cese el uso de cláusulas abusivas en los contratos celebrados entre profesionales y consumidores”.</w:t>
      </w:r>
    </w:p>
    <w:p w14:paraId="522DFAE2" w14:textId="77777777" w:rsidR="00A8138F" w:rsidRDefault="00A8138F" w:rsidP="00A8138F">
      <w:pPr>
        <w:pStyle w:val="TextoNormal"/>
      </w:pPr>
    </w:p>
    <w:p w14:paraId="424BA40A" w14:textId="77777777" w:rsidR="00A8138F" w:rsidRDefault="00A8138F" w:rsidP="00A8138F">
      <w:pPr>
        <w:pStyle w:val="TextoNormal"/>
      </w:pPr>
      <w:r>
        <w:t xml:space="preserve">Al interpretar estos preceptos, el Tribunal de Justicia de la Unión Europea ha considerado el efecto disuasor que pueden tener sobre los consumidores los costes del proceso judicial en el que hagan valer su derecho a no verse vinculados a cláusulas abusivas. Un primer pronunciamiento realizado en la STJUE de 13 de septiembre de 2018, </w:t>
      </w:r>
      <w:r w:rsidRPr="00A8138F">
        <w:rPr>
          <w:i/>
        </w:rPr>
        <w:t>Profi Credit Polska</w:t>
      </w:r>
      <w:r>
        <w:t xml:space="preserve">, asunto C-176/17, ya advirtió que los requisitos procesales relacionados con los gastos de oposición a un requerimiento de pago por incumplimiento de obligaciones contractuales pueden menoscabar el ejercicio de los derechos garantizados en la Directiva. Con posterioridad, y por lo que ahora especialmente importa, el Tribunal de Justicia ha interpretado los arts. 6.1 y 7.1 de la Directiva 93/13/CEE en dos pronunciamientos específicamente referidos a las normas procesales españolas sobre la condena en costas y sobre su tasación, a saber, respectivamente, la STJUE de 16 de julio de 2020, asuntos acumulados C-224/19 y C-259/19, </w:t>
      </w:r>
      <w:r w:rsidRPr="00A8138F">
        <w:rPr>
          <w:i/>
        </w:rPr>
        <w:t>CY c. Caixabank, S.A.</w:t>
      </w:r>
      <w:r>
        <w:t xml:space="preserve">, y </w:t>
      </w:r>
      <w:r w:rsidRPr="00A8138F">
        <w:rPr>
          <w:i/>
        </w:rPr>
        <w:t>LG y PK c. Banco Bilbao Vizcaya Argentaria, S.A.</w:t>
      </w:r>
      <w:r>
        <w:t xml:space="preserve">, (invocada tanto por el recurrente en amparo como por la sentencia del Tribunal Supremo impugnada) y la STJUE de 7 de abril de 2022, asunto C-385/20, </w:t>
      </w:r>
      <w:r w:rsidRPr="00A8138F">
        <w:rPr>
          <w:i/>
        </w:rPr>
        <w:t>EL y TP c. CaixaBank, S.A.</w:t>
      </w:r>
      <w:r>
        <w:t xml:space="preserve"> (invocada por la entidad bancaria en su escrito de alegaciones ante este tribunal).</w:t>
      </w:r>
    </w:p>
    <w:p w14:paraId="540B5538" w14:textId="77777777" w:rsidR="00A8138F" w:rsidRDefault="00A8138F" w:rsidP="00A8138F">
      <w:pPr>
        <w:pStyle w:val="TextoNormal"/>
      </w:pPr>
    </w:p>
    <w:p w14:paraId="23B185A2" w14:textId="77777777" w:rsidR="00A8138F" w:rsidRDefault="00A8138F" w:rsidP="00A8138F">
      <w:pPr>
        <w:pStyle w:val="TextoNormal"/>
      </w:pPr>
      <w:r>
        <w:t>En la citada STJUE de 16 de julio de 2020, se indicó que “la distribución de las costas de un proceso judicial sustanciado ante los órganos jurisdiccionales pertenece a la esfera de la autonomía procesal de los Estados miembros, siempre que se respeten los principios de equivalencia y de efectividad” (§ 95). En particular, respecto del cumplimiento del principio de efectividad, el Tribunal de Justicia indicó, con cita de jurisprudencia anterior, que “cada caso en el que se plantee la cuestión de si una disposición procesal nacional hace imposible o excesivamente difícil la aplicación del Derecho de la Unión debe analizarse teniendo en cuenta el lugar que ocupa dicha disposición dentro del conjunto del procedimiento y el desarrollo y las peculiaridades de este ante las diversas instancias nacionales. Desde esta perspectiva, procede tomar en consideración, en su caso, los principios en los que se basa el sistema judicial nacional” (§ 85 y 97). Y, aplicando tales elementos al caso concreto, el Tribunal de Justicia constató que no imponer a la parte profesional del contrato el pago íntegro de las costas, en virtud de la excepción de la existencia de serias dudas de derecho a la regla del vencimiento objetivo, prevista en el art. 394 LEC, cuando se ha estimado plenamente la acción de nulidad de una cláusula contractual abusiva ejercitada por el consumidor, es una solución incompatible con el principio de efectividad, pues “el artículo 6, apartado 1, y el artículo 7, apartado 1, de la Directiva 93/13, así como el principio de efectividad, deben interpretarse en el sentido de que se oponen a un régimen que permite que el consumidor cargue con una parte de las costas procesales en función del importe de las cantidades indebidamente pagadas que le son restituidas a raíz de la declaración de la nulidad de una cláusula contractual por tener carácter abusivo, dado que tal régimen crea un obstáculo significativo que puede disuadir a los consumidores de ejercer el derecho, conferido por la Directiva 93/13, a un control judicial efectivo del carácter potencialmente abusivo de cláusulas contractuales” (§ 99).</w:t>
      </w:r>
    </w:p>
    <w:p w14:paraId="47B7C15A" w14:textId="77777777" w:rsidR="00A8138F" w:rsidRDefault="00A8138F" w:rsidP="00A8138F">
      <w:pPr>
        <w:pStyle w:val="TextoNormal"/>
      </w:pPr>
    </w:p>
    <w:p w14:paraId="286D7E38" w14:textId="77777777" w:rsidR="00A8138F" w:rsidRDefault="00A8138F" w:rsidP="00A8138F">
      <w:pPr>
        <w:pStyle w:val="TextoNormal"/>
      </w:pPr>
      <w:r>
        <w:t>Por su parte, la STJUE de 7 de abril de 2022 se pronunció sobre la interpretación de los arts. 6.1 y 7.1 de la Directiva a la luz del principio de efectividad, en relación con el régimen de tasación de las costas causadas por un recurso relativo al carácter abusivo de una cláusula contractual. Según la doctrina sentada en esta sentencia, el Derecho de la Unión no se opone a una normativa nacional que, en este contexto, establece “un límite máximo aplicable a los honorarios de abogado que el consumidor cuyas pretensiones se hayan estimado en cuanto al fondo puede recuperar del profesional condenado en costas, a condición de que dicho límite máximo permita al consumidor obtener por tal concepto el reembolso de un importe razonable y proporcionado respecto de los gastos que haya tenido que soportar objetivamente para interponer tal recurso” (§ 58), ni tampoco a “una normativa nacional con arreglo a la cual la cuantía del proceso, que constituye la base para el cálculo de las costas recuperables por el consumidor cuyas pretensiones se hayan estimado en el contexto de un recurso relativo a una cláusula contractual abusiva, debe determinarse en la demanda o, en su defecto, se fija conforme a dicha normativa, sin que ese dato pueda alterarse posteriormente, a condición de que el juez encargado, en último término, de la tasación de las costas tenga libertad para determinar la verdadera cuantía del proceso para el consumidor garantizándole que disfrute del derecho al reembolso de un importe razonable y proporcionado respecto de los gastos que haya tenido que soportar objetivamente para interponer tal recurso” (§ 67).</w:t>
      </w:r>
    </w:p>
    <w:p w14:paraId="2A51868C" w14:textId="77777777" w:rsidR="00A8138F" w:rsidRDefault="00A8138F" w:rsidP="00A8138F">
      <w:pPr>
        <w:pStyle w:val="TextoNormal"/>
      </w:pPr>
    </w:p>
    <w:p w14:paraId="6EFC6094" w14:textId="77777777" w:rsidR="00A8138F" w:rsidRDefault="00A8138F" w:rsidP="00A8138F">
      <w:pPr>
        <w:pStyle w:val="TextoNormal"/>
      </w:pPr>
      <w:r>
        <w:t>c) La interpretación mantenida por el Tribunal de Justicia de la Unión Europea en su sentencia de 16 de julio de 2020, en cuanto al efecto disuasorio que la imposición de las costas puede producir sobre los consumidores a la hora de acudir a la jurisdicción en reclamación de sus derechos, fue tenida en cuenta por este tribunal en la STC 156/2021, de 16 de septiembre, FJ 11, que declaró inconstitucional y nula, por contravenir el derecho fundamental a la tutela judicial efectiva (art. 24.1 CE), la previsión excepcional sobre la condena en costas en caso de allanamiento total o parcial de las entidades de crédito recogida en el art. 4.2 del Real Decreto-ley 1/2017, de 20 de enero, de medidas urgentes de protección de consumidores en materia de cláusulas suelo.</w:t>
      </w:r>
    </w:p>
    <w:p w14:paraId="45898208" w14:textId="77777777" w:rsidR="00A8138F" w:rsidRDefault="00A8138F" w:rsidP="00A8138F">
      <w:pPr>
        <w:pStyle w:val="TextoNormal"/>
      </w:pPr>
    </w:p>
    <w:p w14:paraId="23E9989E" w14:textId="77777777" w:rsidR="00A8138F" w:rsidRDefault="00A8138F" w:rsidP="00A8138F">
      <w:pPr>
        <w:pStyle w:val="TextoNormal"/>
      </w:pPr>
      <w:r>
        <w:t>Por lo demás, y con posterioridad ya a la interposición del presente recurso de amparo, este tribunal ha dictado dos sentencias —SSTC 91/2023, de 11 de septiembre, y 96/2023, de 25 de septiembre— en las que, atendiendo a los criterios sentados en la citada STJUE de 16 de julio de 2020, ha afirmado que incurre en manifiesta falta de razonabilidad y, consecuentemente, en incumplimiento de las exigencias de motivación que impone el art. 24.1 CE, la resolución judicial que, tras declarar nulas por abusivas determinadas cláusulas contractuales impugnadas por el consumidor, no impone las costas del procedimiento de instancia y de apelación a la parte ejecutante, por apreciar la existencia de dudas de derecho sobre la licitud de las cláusulas controvertidas.</w:t>
      </w:r>
    </w:p>
    <w:p w14:paraId="7172EAEF" w14:textId="77777777" w:rsidR="00A8138F" w:rsidRDefault="00A8138F" w:rsidP="00A8138F">
      <w:pPr>
        <w:pStyle w:val="TextoNormal"/>
      </w:pPr>
    </w:p>
    <w:p w14:paraId="559D9F77" w14:textId="77777777" w:rsidR="00A8138F" w:rsidRDefault="00A8138F" w:rsidP="00A8138F">
      <w:pPr>
        <w:pStyle w:val="TextoNormal"/>
      </w:pPr>
      <w:r>
        <w:t>d) Por último, es preciso destacar que, con anterioridad al dictado de las resoluciones ahora recurridas en amparo, la Sala de lo Civil del Tribunal Supremo había excluido, en las SSTS 419/2017, de 4 de julio, y 472/2020, de 17 de septiembre, que, en los litigios sobre cláusulas abusivas en los que la demanda del consumidor resulte estimada, pueda aplicarse la excepción al principio de vencimiento objetivo en materia de costas basada en la existencia de serias dudas de derecho.</w:t>
      </w:r>
    </w:p>
    <w:p w14:paraId="3D61F68B" w14:textId="77777777" w:rsidR="00A8138F" w:rsidRDefault="00A8138F" w:rsidP="00A8138F">
      <w:pPr>
        <w:pStyle w:val="TextoNormal"/>
      </w:pPr>
    </w:p>
    <w:p w14:paraId="3B618C0B" w14:textId="076B2560" w:rsidR="00A8138F" w:rsidRDefault="00A8138F" w:rsidP="00A8138F">
      <w:pPr>
        <w:pStyle w:val="TextoNormal"/>
      </w:pPr>
      <w:r>
        <w:t>Como al respecto indicamos en la STC 91/2023, “[p]ara el Tribunal Supremo, el criterio decisivo aplicable en esta materia es el respeto al principio de efectividad del Derecho de la Unión Europea que, a su vez, exige dar cumplimiento a otros dos principios: el de no vinculación de los consumidores a las cláusulas abusivas (art. 6.1 de la Directiva) y el del efecto disuasorio del uso de cláusulas abusivas en los contratos no negociados celebrados con los consumidores (art. 7.1 de la Directiva). Aprecia el Tribunal Supremo que ‘si en virtud de la excepción a la regla general del vencimiento por la existencia de serias dudas de hecho o de derecho, el consumidor, pese a vencer en el litigio, tuviera que pagar íntegramente los gastos derivados de su defensa y representación, no se restablecería la situación de hecho y de derecho que se habría dado si no hubiera existido la cláusula abusiva y, por tanto, el consumidor no quedaría indemne pese a contar a su favor con una norma procesal nacional cuya regla general le eximiría de esos gastos. En suma, se produciría un efecto disuasorio inverso, pues no se disuadiría a los bancos de incluir las cláusulas abusivas en los préstamos hipotecarios, sino que se disuadiría a los consumidores de promover litigios por cantidades moderadas’. Y concluye destacando que la aplicación de la excepción al principio de vencimiento objetivo por la concurrencia de serias dudas de derecho (art. 394.1 LEC), hace imposible o dificulta en exceso la efectividad del Derecho de la Unión Europea, pues ‘trae como consecuencia que el consumidor, pese a obtener la declaración de que la cláusula es abusiva y que no queda vinculado a la misma, deba cargar con parte de las costas procesales, concretamente, las causadas a su instancia y las comunes por mitad’” [FJ 4 e)].</w:t>
      </w:r>
    </w:p>
    <w:p w14:paraId="021F13F1" w14:textId="77777777" w:rsidR="00A8138F" w:rsidRDefault="00A8138F" w:rsidP="00A8138F">
      <w:pPr>
        <w:pStyle w:val="TextoNormal"/>
      </w:pPr>
    </w:p>
    <w:p w14:paraId="49C8AD90" w14:textId="77777777" w:rsidR="00A8138F" w:rsidRDefault="00A8138F" w:rsidP="00A8138F">
      <w:pPr>
        <w:pStyle w:val="TextoNormal"/>
      </w:pPr>
      <w:r w:rsidRPr="00A8138F">
        <w:rPr>
          <w:rStyle w:val="NumeroAFNegritaCaracter"/>
        </w:rPr>
        <w:t>4</w:t>
      </w:r>
      <w:r>
        <w:t xml:space="preserve">. </w:t>
      </w:r>
      <w:r w:rsidRPr="00A8138F">
        <w:rPr>
          <w:i/>
        </w:rPr>
        <w:t>Enjuiciamiento</w:t>
      </w:r>
    </w:p>
    <w:p w14:paraId="3F33D22E" w14:textId="77777777" w:rsidR="00A8138F" w:rsidRDefault="00A8138F" w:rsidP="00A8138F">
      <w:pPr>
        <w:pStyle w:val="TextoNormal"/>
      </w:pPr>
    </w:p>
    <w:p w14:paraId="6E87B451" w14:textId="77777777" w:rsidR="00A8138F" w:rsidRDefault="00A8138F" w:rsidP="00A8138F">
      <w:pPr>
        <w:pStyle w:val="TextoNormal"/>
      </w:pPr>
      <w:r>
        <w:t>La cuestión suscitada en el presente recurso de amparo es si se ha vulnerado el derecho fundamental a la tutela judicial efectiva (art. 24.1 CE) del recurrente, consumidor que instó en vía judicial la declaración del carácter abusivo y nulo de una cláusula contractual incorporada a un préstamo con garantía hipotecaria concertado con una entidad financiera, como consecuencia de la decisión del Tribunal Supremo de hacerle asumir el pago de sus propias costas correspondientes a los recursos de apelación y de casación; decisión fundamentada en la aplicación a tales costas de lo previsto para ellas en la entonces vigente redacción del art. 398.2 LEC, con desconocimiento —según la demanda de amparo— de la doctrina del Tribunal de Justicia de la Unión Europea sobre las exigencias derivadas de los arts. 6.1 y 7.1 de la Directiva 93/13/CEE, leídos a la luz del principio de efectividad, respecto de las costas en litigios relativos a cláusulas abusivas en contratos con consumidores.</w:t>
      </w:r>
    </w:p>
    <w:p w14:paraId="71790DC9" w14:textId="77777777" w:rsidR="00A8138F" w:rsidRDefault="00A8138F" w:rsidP="00A8138F">
      <w:pPr>
        <w:pStyle w:val="TextoNormal"/>
      </w:pPr>
    </w:p>
    <w:p w14:paraId="43C6F82E" w14:textId="77777777" w:rsidR="00A8138F" w:rsidRDefault="00A8138F" w:rsidP="00A8138F">
      <w:pPr>
        <w:pStyle w:val="TextoNormal"/>
      </w:pPr>
      <w:r>
        <w:t>Para examinar la cuestión planteada hemos de valorar, conforme a la doctrina expuesta, si la motivación ofrecida por las resoluciones judiciales impugnadas cumple los estándares exigidos por el art. 24.1 CE, teniendo en cuenta las previsiones normativas y los pronunciamientos jurisprudenciales europeos e internos existentes con carácter previo a su dictado.</w:t>
      </w:r>
    </w:p>
    <w:p w14:paraId="0636F55A" w14:textId="77777777" w:rsidR="00A8138F" w:rsidRDefault="00A8138F" w:rsidP="00A8138F">
      <w:pPr>
        <w:pStyle w:val="TextoNormal"/>
      </w:pPr>
    </w:p>
    <w:p w14:paraId="1C6CCC9D" w14:textId="77777777" w:rsidR="00A8138F" w:rsidRDefault="00A8138F" w:rsidP="00A8138F">
      <w:pPr>
        <w:pStyle w:val="TextoNormal"/>
      </w:pPr>
      <w:r>
        <w:t>a) Hemos de comenzar recordando que, en sede de casación y ante la pretensión del recurrente de que fueran impuestas las costas de apelación y casación a la entidad bancaria, el Tribunal Supremo declaró que, aplicando su propia doctrina —SSTS 419/2017, de 4 de julio, y 472/2020, de 17 de septiembre— y la del Tribunal de Justicia de la Unión Europea, la pretensión se podía acoger en lo que afectaba a la instancia, pero que en apelación y en casación se debía exonerar de tal condena a la entidad bancaria, a pesar de haberse declarado abusiva y nula en apelación la cláusula controvertida.</w:t>
      </w:r>
    </w:p>
    <w:p w14:paraId="334C0A77" w14:textId="77777777" w:rsidR="00A8138F" w:rsidRDefault="00A8138F" w:rsidP="00A8138F">
      <w:pPr>
        <w:pStyle w:val="TextoNormal"/>
      </w:pPr>
    </w:p>
    <w:p w14:paraId="00BA3679" w14:textId="77777777" w:rsidR="00A8138F" w:rsidRDefault="00A8138F" w:rsidP="00A8138F">
      <w:pPr>
        <w:pStyle w:val="TextoNormal"/>
      </w:pPr>
      <w:r>
        <w:t>El Tribunal Supremo fundamentó esta decisión en lo señalado en el parágrafo 85 de la STJUE de 16 de julio de 2020, a cuyo tenor “[p]or lo que se refiere, más concretamente, al principio de efectividad, el Tribunal de Justicia ya ha declarado que cada caso en el que se plantee la cuestión de si una disposición procesal nacional hace imposible o excesivamente difícil la aplicación del Derecho de la Unión debe analizarse teniendo en cuenta el lugar que ocupa dicha disposición dentro del conjunto del procedimiento y el desarrollo y las peculiaridades de este ante las diversas instancias nacionales”. Sobre esta base, el Tribunal Supremo, citando la STS 18/2021, de 19 de enero, razona que “las costas del recurso de apelación y las de este recurso de casación no pueden imponerse al recurrido”, porque “[l]os principios que en nuestro sistema procesal justifican los pronunciamientos sobre costas en los recursos de apelación y de casación son diferentes de los que regulan la imposición de costas en la primera instancia, y de ahí que tengan una distinta regulación en la Ley de enjuiciamiento civil”. En este sentido, señala que “mientras que el art. 394.1 de la Ley de enjuiciamiento civil establece como regla general el principio del vencimiento para la imposición de las costas de primera instancia, el art. 398.2 de la Ley de enjuiciamiento civil establece que ‘en caso de estimación total o parcial de un recurso de apelación, extraordinario por infracción procesal o casación, no se condenará en las costas de dicho recurso a ninguno de los litigantes’, sin que se prevea excepción alguna a dicha regla”. Extrae de lo dicho que, en vía de apelación o de casación, “[l]o relevante, si se estima el recurso, no es tanto que el litigante contrario resulta vencido como que se obtiene la revocación de la sentencia impugnada”. Y concluye de todo ello que “en la imposición de costas del recurso cuando el mismo es estimado, en todo o en parte, no juega el principio del vencimiento ni, en su caso, la excepción relativa a las serias dudas de hecho o de derecho, que solo entra en juego en la primera instancia o cuando el recurso es desestimado”, lo que justifica, para el Tribunal Supremo, la no imposición de costas de apelación y de casación a ninguna de las partes en el procedimiento.</w:t>
      </w:r>
    </w:p>
    <w:p w14:paraId="60ECC4E1" w14:textId="77777777" w:rsidR="00A8138F" w:rsidRDefault="00A8138F" w:rsidP="00A8138F">
      <w:pPr>
        <w:pStyle w:val="TextoNormal"/>
      </w:pPr>
    </w:p>
    <w:p w14:paraId="59695767" w14:textId="77777777" w:rsidR="00A8138F" w:rsidRDefault="00A8138F" w:rsidP="00A8138F">
      <w:pPr>
        <w:pStyle w:val="TextoNormal"/>
      </w:pPr>
      <w:r>
        <w:t>b) El contraste de la fundamentación descrita con la doctrina jurisprudencial europea e interna preexistente a su dictado nos lleva a concluir, en línea con lo argumentado por el Ministerio Fiscal, que la sentencia impugnada contiene una motivación irrazonable y por lo tanto lesiva del derecho a la tutela judicial efectiva (art. 24.1 CE), en su vertiente de derecho a obtener una resolución fundada en Derecho; lesión que no fue reparada por la también impugnada providencia de inadmisión del posterior incidente de nulidad de actuaciones.</w:t>
      </w:r>
    </w:p>
    <w:p w14:paraId="0BB8ABE8" w14:textId="77777777" w:rsidR="00A8138F" w:rsidRDefault="00A8138F" w:rsidP="00A8138F">
      <w:pPr>
        <w:pStyle w:val="TextoNormal"/>
      </w:pPr>
    </w:p>
    <w:p w14:paraId="4C9AA122" w14:textId="77777777" w:rsidR="00A8138F" w:rsidRDefault="00A8138F" w:rsidP="00A8138F">
      <w:pPr>
        <w:pStyle w:val="TextoNormal"/>
      </w:pPr>
      <w:r>
        <w:t>La argumentación de la sentencia impugnada aduce la existencia de un margen de apreciación otorgado por el Tribunal de Justicia a los órganos judiciales nacionales y, a continuación, razona que la regulación de las costas de la instancia (art. 394 LEC) y la de las costas de apelación y casación (art. 398.2 LEC) responden a criterios diferentes. Sin embargo, ninguna consideración hace de las exigencias de naturaleza procesal que derivan de la vigencia de los arts. 6.1 y 7.1 de la Directiva 93/13/CEE, a pesar de que habían sido traídas a colación por el actor en el recurso de casación en el que, entre otras razones, se adujo la necesidad de preservar los derechos del consumidor a no quedar vinculado a las cláusulas abusivas, a resultar indemne y a ser resarcido de todos los daños causados por la actuación abusiva, incluidos aquellos que se hubieren producido a resultas del proceso.</w:t>
      </w:r>
    </w:p>
    <w:p w14:paraId="0906AE40" w14:textId="77777777" w:rsidR="00A8138F" w:rsidRDefault="00A8138F" w:rsidP="00A8138F">
      <w:pPr>
        <w:pStyle w:val="TextoNormal"/>
      </w:pPr>
    </w:p>
    <w:p w14:paraId="07FDA115" w14:textId="77777777" w:rsidR="00A8138F" w:rsidRDefault="00A8138F" w:rsidP="00A8138F">
      <w:pPr>
        <w:pStyle w:val="TextoNormal"/>
      </w:pPr>
      <w:r>
        <w:t>En efecto, la sentencia impugnada no explica por qué considera que la garantía de indemnidad del consumidor —que es la razón esencial por el que en caso de conflicto la norma de Derecho de la Unión desplaza a la norma nacional— resulta insatisfecha cuando los gastos procesales del consumidor en la instancia no son sufragados por la entidad bancaria, pero no se ve afectada cuando se le imponen a aquel sus propias costas de apelación y casación, si la interposición de tales recursos ha sido necesaria para que el consumidor hiciera ejercicio efectivo de sus derechos.</w:t>
      </w:r>
    </w:p>
    <w:p w14:paraId="6C79B8F7" w14:textId="77777777" w:rsidR="00A8138F" w:rsidRDefault="00A8138F" w:rsidP="00A8138F">
      <w:pPr>
        <w:pStyle w:val="TextoNormal"/>
      </w:pPr>
    </w:p>
    <w:p w14:paraId="02C175EA" w14:textId="77777777" w:rsidR="00A8138F" w:rsidRDefault="00A8138F" w:rsidP="00A8138F">
      <w:pPr>
        <w:pStyle w:val="TextoNormal"/>
      </w:pPr>
      <w:r>
        <w:t>La Sala de lo Civil del Tribunal Supremo debió explicar por qué, a su juicio, la aplicación del art. 398.2 LEC al caso respetaba los principios de tutela judicial, equivalencia y efectividad; en particular, por qué entendía que sus previsiones no hacían imposible o excesivamente difícil el ejercicio de los derechos conferidos por el Derecho de la Unión —principio de efectividad— y no generaban un efecto disuasorio inverso sobre los consumidores. Ha de recordarse en este punto que la STJUE de 16 de julio de 2020, relativa precisamente a las normas procesales españolas sobre la condena en costas, brindaba los criterios de interpretación a tener en cuenta para conciliar las normas procesales sobre costas y el principio de efectividad del Derecho de la Unión; criterios que ya habían sido incorporados a la jurisprudencia de la Sala Civil del Tribunal Supremo, pero de los que el órgano judicial se aparta sin ofrecer justificación.</w:t>
      </w:r>
    </w:p>
    <w:p w14:paraId="582876A1" w14:textId="77777777" w:rsidR="00A8138F" w:rsidRDefault="00A8138F" w:rsidP="00A8138F">
      <w:pPr>
        <w:pStyle w:val="TextoNormal"/>
      </w:pPr>
    </w:p>
    <w:p w14:paraId="003A58E1" w14:textId="17080EDC" w:rsidR="00A8138F" w:rsidRDefault="00A8138F" w:rsidP="00A8138F">
      <w:pPr>
        <w:pStyle w:val="TextoNormal"/>
      </w:pPr>
      <w:r>
        <w:t>Nos encontramos, en definitiva, ante una selección e interpretación de las normas aplicables en materia de costas que no satisface las exigencias de motivación judicial fijadas en la doctrina constitucional, lo que conduce a la estimación de la demanda de amparo.</w:t>
      </w:r>
    </w:p>
    <w:p w14:paraId="3F281069" w14:textId="77777777" w:rsidR="00A8138F" w:rsidRDefault="00A8138F" w:rsidP="00A8138F">
      <w:pPr>
        <w:pStyle w:val="TextoNormal"/>
      </w:pPr>
    </w:p>
    <w:p w14:paraId="006F5BFF" w14:textId="77777777" w:rsidR="00A8138F" w:rsidRDefault="00A8138F" w:rsidP="00A8138F">
      <w:pPr>
        <w:pStyle w:val="TextoNormalCentrado"/>
        <w:keepNext/>
      </w:pPr>
      <w:r>
        <w:t>FALLO</w:t>
      </w:r>
    </w:p>
    <w:p w14:paraId="4EDFF03C" w14:textId="000FFD26" w:rsidR="00A8138F" w:rsidRDefault="00A8138F" w:rsidP="00A8138F">
      <w:pPr>
        <w:pStyle w:val="TextoNormalCentrado"/>
        <w:keepNext/>
      </w:pPr>
    </w:p>
    <w:p w14:paraId="0A0FF916"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don Salvador Luis Peñalver Barba, y en su virtud:</w:t>
      </w:r>
    </w:p>
    <w:p w14:paraId="4698633E" w14:textId="77777777" w:rsidR="00A8138F" w:rsidRDefault="00A8138F" w:rsidP="00A8138F">
      <w:pPr>
        <w:pStyle w:val="TextoNormal"/>
      </w:pPr>
    </w:p>
    <w:p w14:paraId="437DBC60" w14:textId="77777777" w:rsidR="00A8138F" w:rsidRDefault="00A8138F" w:rsidP="00A8138F">
      <w:pPr>
        <w:pStyle w:val="TextoNormal"/>
      </w:pPr>
      <w:r>
        <w:t>1º Declarar que ha sido vulnerado el derecho fundamental del demandante de amparo a la tutela judicial efectiva (art. 24.1 CE).</w:t>
      </w:r>
    </w:p>
    <w:p w14:paraId="162E927F" w14:textId="77777777" w:rsidR="00A8138F" w:rsidRDefault="00A8138F" w:rsidP="00A8138F">
      <w:pPr>
        <w:pStyle w:val="TextoNormal"/>
      </w:pPr>
    </w:p>
    <w:p w14:paraId="5A556D30" w14:textId="77777777" w:rsidR="00A8138F" w:rsidRDefault="00A8138F" w:rsidP="00A8138F">
      <w:pPr>
        <w:pStyle w:val="TextoNormal"/>
      </w:pPr>
      <w:r>
        <w:t>2º Restablecerle en su derecho y, en consecuencia, declarar la nulidad de la sentencia de 22 de febrero de 2023 y de la providencia de 5 de junio de 2023, ambas de la Sala de lo Civil del Tribunal Supremo.</w:t>
      </w:r>
    </w:p>
    <w:p w14:paraId="3C8A2998" w14:textId="77777777" w:rsidR="00A8138F" w:rsidRDefault="00A8138F" w:rsidP="00A8138F">
      <w:pPr>
        <w:pStyle w:val="TextoNormal"/>
      </w:pPr>
    </w:p>
    <w:p w14:paraId="2E71D871" w14:textId="613298C8" w:rsidR="00A8138F" w:rsidRDefault="00A8138F" w:rsidP="00A8138F">
      <w:pPr>
        <w:pStyle w:val="TextoNormal"/>
      </w:pPr>
      <w:r>
        <w:t>3º Retrotraer las actuaciones al momento inmediatamente anterior al pronunciamiento de la primera de las citadas resoluciones para que el órgano judicial dicte una nueva resolución respetuosa con el derecho fundamental vulnerado.</w:t>
      </w:r>
    </w:p>
    <w:p w14:paraId="6BF5EBD4" w14:textId="77777777" w:rsidR="00A8138F" w:rsidRDefault="00A8138F" w:rsidP="00A8138F">
      <w:pPr>
        <w:pStyle w:val="TextoNormal"/>
      </w:pPr>
    </w:p>
    <w:p w14:paraId="371EA0F6" w14:textId="77777777" w:rsidR="00A8138F" w:rsidRDefault="00A8138F" w:rsidP="00A8138F">
      <w:pPr>
        <w:pStyle w:val="TextoNormal"/>
      </w:pPr>
      <w:r>
        <w:t>Publíquese esta sentencia en el “Boletín Oficial del Estado”.</w:t>
      </w:r>
    </w:p>
    <w:p w14:paraId="21BBCF72" w14:textId="77777777" w:rsidR="00A8138F" w:rsidRDefault="00A8138F" w:rsidP="00A8138F">
      <w:pPr>
        <w:pStyle w:val="TextoNormal"/>
      </w:pPr>
      <w:r>
        <w:t>Dada en Madrid, a veintiséis de mayo de dos mil veinticinco.</w:t>
      </w:r>
    </w:p>
    <w:p w14:paraId="75B9EE58" w14:textId="78F98D4B" w:rsidR="00A8138F" w:rsidRDefault="00A8138F">
      <w:pPr>
        <w:spacing w:after="160" w:line="278" w:lineRule="auto"/>
        <w:rPr>
          <w:rFonts w:ascii="Times New Roman" w:eastAsia="Times New Roman" w:hAnsi="Times New Roman" w:cs="Times New Roman"/>
          <w:sz w:val="24"/>
          <w:szCs w:val="24"/>
          <w:lang w:eastAsia="es-ES"/>
        </w:rPr>
      </w:pPr>
      <w:r>
        <w:br w:type="page"/>
      </w:r>
    </w:p>
    <w:p w14:paraId="6A7520E6" w14:textId="77777777" w:rsidR="00A8138F" w:rsidRDefault="00A8138F" w:rsidP="00A8138F">
      <w:pPr>
        <w:pStyle w:val="TtuloResolucin"/>
      </w:pPr>
      <w:bookmarkStart w:id="124" w:name="SENTENCIA_2025_122"/>
      <w:r>
        <w:t>SENTENCIA 122/2025, de 26 de mayo de 2025</w:t>
      </w:r>
    </w:p>
    <w:bookmarkEnd w:id="124"/>
    <w:p w14:paraId="6471C416" w14:textId="77777777" w:rsidR="00A8138F" w:rsidRDefault="00A8138F" w:rsidP="00A8138F">
      <w:pPr>
        <w:pStyle w:val="TtuloResolucin"/>
      </w:pPr>
      <w:r>
        <w:t>Sala Segunda</w:t>
      </w:r>
    </w:p>
    <w:p w14:paraId="73941D04" w14:textId="77777777" w:rsidR="00A8138F" w:rsidRDefault="00A8138F" w:rsidP="00A8138F">
      <w:pPr>
        <w:pStyle w:val="TtuloBOE"/>
      </w:pPr>
      <w:r>
        <w:t>(BOE núm. 160, de 4 de julio de 2025)</w:t>
      </w:r>
    </w:p>
    <w:p w14:paraId="2878CD19" w14:textId="77777777" w:rsidR="00A8138F" w:rsidRDefault="00A8138F" w:rsidP="00A8138F">
      <w:pPr>
        <w:pStyle w:val="TextoNormalCentrado"/>
      </w:pPr>
      <w:r>
        <w:t>ECLI:ES:TC:2025:122</w:t>
      </w:r>
    </w:p>
    <w:p w14:paraId="2F2FDC67" w14:textId="5A2715B6" w:rsidR="00A8138F" w:rsidRDefault="00A8138F" w:rsidP="00A8138F">
      <w:pPr>
        <w:pStyle w:val="TextoNormalCentrado"/>
      </w:pPr>
    </w:p>
    <w:p w14:paraId="26CF0A0C" w14:textId="77777777" w:rsidR="00A8138F" w:rsidRDefault="00A8138F" w:rsidP="00A8138F">
      <w:pPr>
        <w:pStyle w:val="SntesisDescriptiva"/>
      </w:pPr>
      <w:r>
        <w:t>Recurso de amparo 4989-2024. Promovido por doña Cristina Compte Martínez en relación con las resoluciones administrativas y judiciales que desestimaron su petición de revisión y ampliación de la prestación por nacimiento y cuidado de hijo menor, como madre biológica de familia monoparental.</w:t>
      </w:r>
    </w:p>
    <w:p w14:paraId="0374B380" w14:textId="1ACF8932" w:rsidR="00A8138F" w:rsidRDefault="00A8138F" w:rsidP="00A8138F">
      <w:pPr>
        <w:pStyle w:val="SntesisDescriptiva"/>
      </w:pPr>
    </w:p>
    <w:p w14:paraId="6DE2F7F1"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4FC18B28" w14:textId="77A0C643" w:rsidR="00A8138F" w:rsidRDefault="00A8138F" w:rsidP="00A8138F">
      <w:pPr>
        <w:pStyle w:val="SntesisAnaltica"/>
      </w:pPr>
    </w:p>
    <w:p w14:paraId="440D2452" w14:textId="47373203"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5DE6F8A7" w14:textId="77777777" w:rsidR="00A8138F" w:rsidRDefault="00A8138F" w:rsidP="00A8138F">
      <w:pPr>
        <w:pStyle w:val="Extracto"/>
      </w:pPr>
    </w:p>
    <w:p w14:paraId="60878E65" w14:textId="77777777" w:rsidR="00A8138F" w:rsidRDefault="00A8138F" w:rsidP="00A8138F">
      <w:pPr>
        <w:pStyle w:val="Extracto"/>
      </w:pPr>
    </w:p>
    <w:p w14:paraId="6FB03694"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6DAD34E2" w14:textId="354D4080" w:rsidR="00A8138F" w:rsidRDefault="00A8138F" w:rsidP="00A8138F">
      <w:pPr>
        <w:pStyle w:val="TextoNormal"/>
      </w:pPr>
    </w:p>
    <w:p w14:paraId="4C6EBB81" w14:textId="77777777" w:rsidR="00A8138F" w:rsidRDefault="00A8138F" w:rsidP="00A8138F">
      <w:pPr>
        <w:pStyle w:val="TextoNormalCentrado"/>
        <w:keepNext/>
      </w:pPr>
      <w:r>
        <w:t>EN NOMBRE DEL REY</w:t>
      </w:r>
    </w:p>
    <w:p w14:paraId="66196629" w14:textId="777130EC" w:rsidR="00A8138F" w:rsidRDefault="00A8138F" w:rsidP="00A8138F">
      <w:pPr>
        <w:pStyle w:val="TextoNormalCentrado"/>
        <w:keepNext/>
      </w:pPr>
    </w:p>
    <w:p w14:paraId="05478D15" w14:textId="77777777" w:rsidR="00A8138F" w:rsidRDefault="00A8138F" w:rsidP="00A8138F">
      <w:pPr>
        <w:pStyle w:val="TextoNormalCentrado"/>
        <w:keepNext/>
      </w:pPr>
    </w:p>
    <w:p w14:paraId="75FE0CE8" w14:textId="77777777" w:rsidR="00A8138F" w:rsidRDefault="00A8138F" w:rsidP="00A8138F">
      <w:pPr>
        <w:pStyle w:val="TextoNormal"/>
      </w:pPr>
      <w:r>
        <w:t>la siguiente</w:t>
      </w:r>
    </w:p>
    <w:p w14:paraId="6A1DC1AA" w14:textId="129B970A" w:rsidR="00A8138F" w:rsidRDefault="00A8138F" w:rsidP="00A8138F">
      <w:pPr>
        <w:pStyle w:val="TextoNormal"/>
      </w:pPr>
    </w:p>
    <w:p w14:paraId="1D9AD540" w14:textId="77777777" w:rsidR="00A8138F" w:rsidRDefault="00A8138F" w:rsidP="00A8138F">
      <w:pPr>
        <w:pStyle w:val="TextoNormalCentrado"/>
        <w:keepNext/>
      </w:pPr>
      <w:r>
        <w:t>SENTENCIA</w:t>
      </w:r>
    </w:p>
    <w:p w14:paraId="106A7570" w14:textId="5F2806D4" w:rsidR="00A8138F" w:rsidRDefault="00A8138F" w:rsidP="00A8138F">
      <w:pPr>
        <w:pStyle w:val="TextoNormalCentrado"/>
        <w:keepNext/>
      </w:pPr>
    </w:p>
    <w:p w14:paraId="4A60728D" w14:textId="77777777" w:rsidR="00A8138F" w:rsidRDefault="00A8138F" w:rsidP="00A8138F">
      <w:pPr>
        <w:pStyle w:val="TextoNormal"/>
      </w:pPr>
      <w:r>
        <w:t>En el recurso de amparo núm. 4989-2024, promovido por doña Cristina Compte Martínez, representada por la procuradora de los tribunales doña María Isabel Torres Ruiz y bajo la dirección de la letrada doña Olga Georgina Marquina Pumpido, contra la sentencia núm. 695/2024, de 21 de mayo, dictada por la Sala de lo Social del Tribunal Supremo, que estimó el recurso de casación para la unificación de doctrina núm. 729-2023 interpuesto contra la sentencia núm. 6389/2022, de 29 de noviembre, dictada por la Sala de lo Social del Tribunal Superior de Justicia de Cataluña en el recurso de suplicación 1552-2022, y anuló la sentencia núm. 413/2021, de 20 de diciembre, dictada por el Juzgado de lo Social núm. 2 de Mataró, en autos de Seguridad Social en materia prestacional núm. 898-2021, que a su vez había estimado la demanda interpuesta contra las resoluciones de 10 de septiembre y 21 de octubre de 2021 del Instituto Nacional de la Seguridad Social y la Tesorería General de la Seguridad Social. Ha intervenido la letrada de la Administración de la Seguridad Social y el Ministerio Fiscal. Ha sido ponente el magistrado don César Tolosa Tribiño.</w:t>
      </w:r>
    </w:p>
    <w:p w14:paraId="0B5FE3D2" w14:textId="5F6F42BF" w:rsidR="00A8138F" w:rsidRDefault="00A8138F" w:rsidP="00A8138F">
      <w:pPr>
        <w:pStyle w:val="TextoNormal"/>
      </w:pPr>
    </w:p>
    <w:p w14:paraId="0E44A786" w14:textId="77777777" w:rsidR="00A8138F" w:rsidRDefault="00A8138F" w:rsidP="00A8138F">
      <w:pPr>
        <w:pStyle w:val="TextoNormalNegritaCentrado"/>
        <w:keepNext/>
      </w:pPr>
      <w:r>
        <w:t>I. Antecedentes</w:t>
      </w:r>
    </w:p>
    <w:p w14:paraId="600724BA" w14:textId="0D18DF8C" w:rsidR="00A8138F" w:rsidRDefault="00A8138F" w:rsidP="00A8138F">
      <w:pPr>
        <w:pStyle w:val="TextoNormalNegritaCentrado"/>
        <w:keepNext/>
      </w:pPr>
    </w:p>
    <w:p w14:paraId="6B3A3A4F" w14:textId="154685E5" w:rsidR="00A8138F" w:rsidRDefault="00A8138F" w:rsidP="00A8138F">
      <w:pPr>
        <w:pStyle w:val="TextoNormal"/>
      </w:pPr>
      <w:r w:rsidRPr="00A8138F">
        <w:rPr>
          <w:rStyle w:val="NumeroAFNegritaCaracter"/>
        </w:rPr>
        <w:t>1</w:t>
      </w:r>
      <w:r>
        <w:t>. El 27 de junio de 2024, doña Cristina Compte Martínez, con la representación y defensa indicadas, interpuso recurso de amparo contra las resoluciones administrativas identificadas en el encabezamiento y la sentencia núm. 695/2024, dictada el 21 de mayo de 2024, por la Sala de lo Social del Tribunal Supremo.</w:t>
      </w:r>
    </w:p>
    <w:p w14:paraId="754E33B2" w14:textId="77777777" w:rsidR="00A8138F" w:rsidRDefault="00A8138F" w:rsidP="00A8138F">
      <w:pPr>
        <w:pStyle w:val="TextoNormal"/>
      </w:pPr>
    </w:p>
    <w:p w14:paraId="013ED7C1"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6E21EDB5" w14:textId="77777777" w:rsidR="00A8138F" w:rsidRDefault="00A8138F" w:rsidP="00A8138F">
      <w:pPr>
        <w:pStyle w:val="TextoNormal"/>
      </w:pPr>
    </w:p>
    <w:p w14:paraId="7372D2EA" w14:textId="77777777" w:rsidR="00A8138F" w:rsidRDefault="00A8138F" w:rsidP="00A8138F">
      <w:pPr>
        <w:pStyle w:val="TextoNormal"/>
      </w:pPr>
      <w:r>
        <w:t>a) La demandante de amparo, con motivo del nacimiento de su hijo el 18 de mayo de 2021, en el seno de una familia monoparental, solicitó la prestación por nacimiento y cuidado de la menor que le fue reconocida por un periodo de dieciséis semanas.</w:t>
      </w:r>
    </w:p>
    <w:p w14:paraId="372DADC3" w14:textId="77777777" w:rsidR="00A8138F" w:rsidRDefault="00A8138F" w:rsidP="00A8138F">
      <w:pPr>
        <w:pStyle w:val="TextoNormal"/>
      </w:pPr>
    </w:p>
    <w:p w14:paraId="206F3391" w14:textId="77777777" w:rsidR="00A8138F" w:rsidRDefault="00A8138F" w:rsidP="00A8138F">
      <w:pPr>
        <w:pStyle w:val="TextoNormal"/>
      </w:pPr>
      <w:r>
        <w:t>b) Frente a la anterior resolución interpuso reclamación previa en vía administrativa por la que reclamaba la ampliación en dieciséis semanas del disfrute del permiso por ser familia monoparental. Dicha reclamación fue desestimada por resoluciones de 10 de septiembre y 21 de octubre de 2021, lo que motivó que interpusiera una demanda contra el Instituto Nacional de la Seguridad Social (INSS) y la Tesorería General de la Seguridad Social (TGSS).</w:t>
      </w:r>
    </w:p>
    <w:p w14:paraId="32FDC6E3" w14:textId="77777777" w:rsidR="00A8138F" w:rsidRDefault="00A8138F" w:rsidP="00A8138F">
      <w:pPr>
        <w:pStyle w:val="TextoNormal"/>
      </w:pPr>
    </w:p>
    <w:p w14:paraId="2F32051F" w14:textId="77777777" w:rsidR="00A8138F" w:rsidRDefault="00A8138F" w:rsidP="00A8138F">
      <w:pPr>
        <w:pStyle w:val="TextoNormal"/>
      </w:pPr>
      <w:r>
        <w:t>c) El Juzgado de lo Social núm. 2 de Mataró dictó la sentencia núm. 413/2021 el 20 de diciembre de 2021, en la que estimó la demanda y declaró el derecho de la demandante al abono de la prestación por nacimiento y cuidado de menor durante dieciséis semanas que se añadían a las que ya disfrutó dejando sin efecto las resoluciones impugnadas.</w:t>
      </w:r>
    </w:p>
    <w:p w14:paraId="3C5753FE" w14:textId="77777777" w:rsidR="00A8138F" w:rsidRDefault="00A8138F" w:rsidP="00A8138F">
      <w:pPr>
        <w:pStyle w:val="TextoNormal"/>
      </w:pPr>
    </w:p>
    <w:p w14:paraId="7AF73CF4" w14:textId="77777777" w:rsidR="00A8138F" w:rsidRDefault="00A8138F" w:rsidP="00A8138F">
      <w:pPr>
        <w:pStyle w:val="TextoNormal"/>
      </w:pPr>
      <w:r>
        <w:t>d) Frente a dicha sentencia el INSS interpuso recurso de suplicación que por sentencia núm. 6389/2022, de 29 de noviembre, dictada por la Sala de lo Social del Tribunal Superior de Cataluña, fue desestimado confirmando la sentencia recurrida.</w:t>
      </w:r>
    </w:p>
    <w:p w14:paraId="301AEF14" w14:textId="77777777" w:rsidR="00A8138F" w:rsidRDefault="00A8138F" w:rsidP="00A8138F">
      <w:pPr>
        <w:pStyle w:val="TextoNormal"/>
      </w:pPr>
    </w:p>
    <w:p w14:paraId="46C06533" w14:textId="77777777" w:rsidR="00A8138F" w:rsidRDefault="00A8138F" w:rsidP="00A8138F">
      <w:pPr>
        <w:pStyle w:val="TextoNormal"/>
      </w:pPr>
      <w:r>
        <w:t>e) Contra dicha sentencia se interpuso por el INSS y la TGSS recurso de casación para la unificación de doctrina, que fue estimado por sentencia núm. 695/2024, de 21 de mayo, de la Sala de lo Social del Tribunal Supremo.</w:t>
      </w:r>
    </w:p>
    <w:p w14:paraId="712E404E" w14:textId="77777777" w:rsidR="00A8138F" w:rsidRDefault="00A8138F" w:rsidP="00A8138F">
      <w:pPr>
        <w:pStyle w:val="TextoNormal"/>
      </w:pPr>
    </w:p>
    <w:p w14:paraId="48503EA1" w14:textId="77777777" w:rsidR="00A8138F" w:rsidRDefault="00A8138F" w:rsidP="00A8138F">
      <w:pPr>
        <w:pStyle w:val="TextoNormal"/>
      </w:pPr>
      <w:r>
        <w:t>Indica que sobre dicha cuestión el Pleno de la Sala de lo Social ya ha tenido ocasión de pronunciarse en la STS 169/2023, de 2 de marzo (ECLI:ES:TS:2023:783). La Sala subraya que corresponde únicamente al legislador regular el sistema de protección social y establecer las condiciones de acceso a las prestaciones. Por tanto, los jueces y tribunales no pueden suplir carencias legislativas ni ampliar derechos más allá de lo que prevé expresamente la norma. Crear o extender prestaciones contributivas es una función normativa que excede del ámbito judicial.</w:t>
      </w:r>
    </w:p>
    <w:p w14:paraId="3CA43A17" w14:textId="77777777" w:rsidR="00A8138F" w:rsidRDefault="00A8138F" w:rsidP="00A8138F">
      <w:pPr>
        <w:pStyle w:val="TextoNormal"/>
      </w:pPr>
    </w:p>
    <w:p w14:paraId="6B4606A6" w14:textId="77777777" w:rsidR="00A8138F" w:rsidRDefault="00A8138F" w:rsidP="00A8138F">
      <w:pPr>
        <w:pStyle w:val="TextoNormal"/>
      </w:pPr>
      <w:r>
        <w:t>Asimismo, el Tribunal considera que la normativa española actual no vulnera ni la Constitución Española ni el Derecho de la Unión Europea ni los tratados internacionales suscritos por España. De hecho, la regulación vigente cumple con las exigencias de la Directiva (UE) 2019/1158, y el sistema español ya prevé ciertos mecanismos específicos de apoyo a las familias monoparentales, como algunas prestaciones no contributivas o ampliaciones en casos determinados.</w:t>
      </w:r>
    </w:p>
    <w:p w14:paraId="7A63A763" w14:textId="77777777" w:rsidR="00A8138F" w:rsidRDefault="00A8138F" w:rsidP="00A8138F">
      <w:pPr>
        <w:pStyle w:val="TextoNormal"/>
      </w:pPr>
    </w:p>
    <w:p w14:paraId="0765F850" w14:textId="77777777" w:rsidR="00A8138F" w:rsidRDefault="00A8138F" w:rsidP="00A8138F">
      <w:pPr>
        <w:pStyle w:val="TextoNormal"/>
      </w:pPr>
      <w:r>
        <w:t>El interés del menor, si bien relevante, no puede erigirse en único criterio para conceder el derecho reclamado, pues hay otros principios en juego, como el de corresponsabilidad parental. Además, no existe discriminación normativa hacia las familias monoparentales ni hacia las mujeres, por lo que el canon de interpretación con perspectiva de género no resulta aplicable en este caso.</w:t>
      </w:r>
    </w:p>
    <w:p w14:paraId="3E04D4EC" w14:textId="77777777" w:rsidR="00A8138F" w:rsidRDefault="00A8138F" w:rsidP="00A8138F">
      <w:pPr>
        <w:pStyle w:val="TextoNormal"/>
      </w:pPr>
    </w:p>
    <w:p w14:paraId="3DAE4EAC" w14:textId="0805613D" w:rsidR="00A8138F" w:rsidRDefault="00A8138F" w:rsidP="00A8138F">
      <w:pPr>
        <w:pStyle w:val="TextoNormal"/>
      </w:pPr>
      <w:r>
        <w:t>Por último, el Tribunal recuerda que han existido intentos legislativos recientes para ampliar el permiso por nacimiento y cuidado en familias monoparentales, pero no han prosperado. Esto refuerza la idea de que el legislador es consciente de la situación, pero ha optado por no modificar la normativa actual.</w:t>
      </w:r>
    </w:p>
    <w:p w14:paraId="55195446" w14:textId="77777777" w:rsidR="00A8138F" w:rsidRDefault="00A8138F" w:rsidP="00A8138F">
      <w:pPr>
        <w:pStyle w:val="TextoNormal"/>
      </w:pPr>
    </w:p>
    <w:p w14:paraId="70344C55" w14:textId="77777777" w:rsidR="00A8138F" w:rsidRDefault="00A8138F" w:rsidP="00A8138F">
      <w:pPr>
        <w:pStyle w:val="TextoNormal"/>
      </w:pPr>
      <w:r w:rsidRPr="00A8138F">
        <w:rPr>
          <w:rStyle w:val="NumeroAFNegritaCaracter"/>
        </w:rPr>
        <w:t>3</w:t>
      </w:r>
      <w:r>
        <w:t>. En la demanda de amparo se solicita que se declare vulnerado el derecho a la igualdad y a prohibición de discriminación (art. 14 CE) así como la nulidad de las resoluciones administrativas y de la sentencia dictada por el Tribunal Supremo.</w:t>
      </w:r>
    </w:p>
    <w:p w14:paraId="2CEB803D" w14:textId="77777777" w:rsidR="00A8138F" w:rsidRDefault="00A8138F" w:rsidP="00A8138F">
      <w:pPr>
        <w:pStyle w:val="TextoNormal"/>
      </w:pPr>
    </w:p>
    <w:p w14:paraId="22B51E5B" w14:textId="77777777" w:rsidR="00A8138F" w:rsidRDefault="00A8138F" w:rsidP="00A8138F">
      <w:pPr>
        <w:pStyle w:val="TextoNormal"/>
      </w:pPr>
      <w:r>
        <w:t>La parte recurrente alega en primer lugar la vulneración del derecho fundamental a no ser discriminada por razón de sexo, recogido en el art. 14 CE. Argumenta que el sistema normativo actual, en especial el artículo 48.4 de la Ley del estatuto de los trabajadores (LET), tras su reforma por el Real Decreto-ley 6/2019, está diseñado exclusivamente para familias biparentales. Al no contemplar la posibilidad de acumulación de las dieciséis semanas correspondientes al otro progenitor en familias monoparentales, se genera una discriminación indirecta hacia las mujeres, ya que constituyen más del 80 por 100 de los hogares monoparentales según datos del Instituto Nacional de Estadística. Esta exclusión normativa priva a las madres solas del tiempo necesario para el cuidado del menor y perjudica su desarrollo profesional, incrementando la brecha de género.</w:t>
      </w:r>
    </w:p>
    <w:p w14:paraId="371BB692" w14:textId="77777777" w:rsidR="00A8138F" w:rsidRDefault="00A8138F" w:rsidP="00A8138F">
      <w:pPr>
        <w:pStyle w:val="TextoNormal"/>
      </w:pPr>
    </w:p>
    <w:p w14:paraId="0E68AA15" w14:textId="77777777" w:rsidR="00A8138F" w:rsidRDefault="00A8138F" w:rsidP="00A8138F">
      <w:pPr>
        <w:pStyle w:val="TextoNormal"/>
      </w:pPr>
      <w:r>
        <w:t>Se sostiene que dicha discriminación es indirecta, en los términos definidos tanto por la Ley Orgánica 3/2007 para la igualdad efectiva entre mujeres y hombres como por las directivas comunitarias (especialmente la Directiva 2006/54/CE). La normativa impugnada, siendo aparentemente neutral, coloca a las mujeres en una situación de desventaja, vulnerando el principio de igualdad de trato y oportunidades, y contradiciendo los fines del propio Real Decreto-ley 6/2019, que buscaba precisamente avanzar hacia la corresponsabilidad y la conciliación.</w:t>
      </w:r>
    </w:p>
    <w:p w14:paraId="349019CD" w14:textId="77777777" w:rsidR="00A8138F" w:rsidRDefault="00A8138F" w:rsidP="00A8138F">
      <w:pPr>
        <w:pStyle w:val="TextoNormal"/>
      </w:pPr>
    </w:p>
    <w:p w14:paraId="1D0575A4" w14:textId="77777777" w:rsidR="00A8138F" w:rsidRDefault="00A8138F" w:rsidP="00A8138F">
      <w:pPr>
        <w:pStyle w:val="TextoNormal"/>
      </w:pPr>
      <w:r>
        <w:t>En segundo lugar, se alega la vulneración del derecho del menor a no ser discriminado por razón de nacimiento, también amparado por el art. 14 CE. Se argumenta que el menor nacido en una familia monoparental recibe menos semanas de cuidado directo por parte de su progenitora que el nacido en una familia biparental, lo que supone un trato desigual basado en su filiación. Esta situación es contraria al principio del interés superior del menor, consagrado en el art. 39 CE, en la Ley Orgánica de protección jurídica del menor y en diversos instrumentos internacionales.</w:t>
      </w:r>
    </w:p>
    <w:p w14:paraId="1CB0A88B" w14:textId="77777777" w:rsidR="00A8138F" w:rsidRDefault="00A8138F" w:rsidP="00A8138F">
      <w:pPr>
        <w:pStyle w:val="TextoNormal"/>
      </w:pPr>
    </w:p>
    <w:p w14:paraId="210467C8" w14:textId="77777777" w:rsidR="00A8138F" w:rsidRDefault="00A8138F" w:rsidP="00A8138F">
      <w:pPr>
        <w:pStyle w:val="TextoNormal"/>
      </w:pPr>
      <w:r>
        <w:t>La demanda pone de manifiesto la omisión del legislador al no prever esta situación específica, lo que obliga a las familias monoparentales a compensar la falta de prestación mediante excedencias, reducciones de jornada o contratación de cuidados externos, con el correspondiente impacto económico y profesional. A juicio de la parte recurrente, esta omisión implica una desprotección legal del menor y de la familia monoparental, contraria a la finalidad de la prestación por nacimiento y cuidado del menor.</w:t>
      </w:r>
    </w:p>
    <w:p w14:paraId="544F8863" w14:textId="77777777" w:rsidR="00A8138F" w:rsidRDefault="00A8138F" w:rsidP="00A8138F">
      <w:pPr>
        <w:pStyle w:val="TextoNormal"/>
      </w:pPr>
    </w:p>
    <w:p w14:paraId="188561B3" w14:textId="70CC19FD" w:rsidR="00A8138F" w:rsidRDefault="00A8138F" w:rsidP="00A8138F">
      <w:pPr>
        <w:pStyle w:val="TextoNormal"/>
      </w:pPr>
      <w:r>
        <w:t>Por todo ello, solicita al Tribunal Constitucional que declare la nulidad de la sentencia del Tribunal Supremo y de las resoluciones administrativas previas, por considerar que han vulnerado los derechos fundamentales de la madre y del menor.</w:t>
      </w:r>
    </w:p>
    <w:p w14:paraId="711D8BFC" w14:textId="77777777" w:rsidR="00A8138F" w:rsidRDefault="00A8138F" w:rsidP="00A8138F">
      <w:pPr>
        <w:pStyle w:val="TextoNormal"/>
      </w:pPr>
    </w:p>
    <w:p w14:paraId="5AEA6B15" w14:textId="3F046F0B" w:rsidR="00A8138F" w:rsidRDefault="00A8138F" w:rsidP="00A8138F">
      <w:pPr>
        <w:pStyle w:val="TextoNormal"/>
      </w:pPr>
      <w:r w:rsidRPr="00A8138F">
        <w:rPr>
          <w:rStyle w:val="NumeroAFNegritaCaracter"/>
        </w:rPr>
        <w:t>4</w:t>
      </w:r>
      <w:r>
        <w:t>. La Sección Tercera de este tribunal, mediante providencia de 10 de febrero de 2025 acordó la admisión a trámite del recurso al apreciar que su contenido justificaba una decisión sobre el fondo por su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Acordó dirigir comunicación al Juzgado de lo Social núm. 2 de Mataró, a fin de que, en plazo que no excediera de diez días, emplazara a quienes hubieran sido parte en el procedimiento, excepto a la parte recurrente en amparo, para que pudieran comparecer en el recurso de amparo, si lo deseaban.</w:t>
      </w:r>
    </w:p>
    <w:p w14:paraId="24AB5098" w14:textId="77777777" w:rsidR="00A8138F" w:rsidRDefault="00A8138F" w:rsidP="00A8138F">
      <w:pPr>
        <w:pStyle w:val="TextoNormal"/>
      </w:pPr>
    </w:p>
    <w:p w14:paraId="49153692" w14:textId="77777777" w:rsidR="00A8138F" w:rsidRDefault="00A8138F" w:rsidP="00A8138F">
      <w:pPr>
        <w:pStyle w:val="TextoNormal"/>
      </w:pPr>
      <w:r w:rsidRPr="00A8138F">
        <w:rPr>
          <w:rStyle w:val="NumeroAFNegritaCaracter"/>
        </w:rPr>
        <w:t>5</w:t>
      </w:r>
      <w:r>
        <w:t>. La letrada de la Administración de la Seguridad Social presentó sus alegaciones el 18 de marzo de 2025 en las que solicita que se tenga por realizado el allanamiento a la demanda.</w:t>
      </w:r>
    </w:p>
    <w:p w14:paraId="725DDEE0" w14:textId="77777777" w:rsidR="00A8138F" w:rsidRDefault="00A8138F" w:rsidP="00A8138F">
      <w:pPr>
        <w:pStyle w:val="TextoNormal"/>
      </w:pPr>
    </w:p>
    <w:p w14:paraId="4687DB2E" w14:textId="77777777" w:rsidR="00A8138F" w:rsidRDefault="00A8138F" w:rsidP="00A8138F">
      <w:pPr>
        <w:pStyle w:val="TextoNormal"/>
      </w:pPr>
      <w:r>
        <w:t>En tal sentido se hace eco de los recientes pronunciamientos del Tribunal Constitucional por los que tras estimar la cuestión de inconstitucionalidad núm. 6694-2023, planteada por la Sala de lo Social del Tribunal Superior de Justicia de Cataluña en relación con el art. 48, apartados 4,5 y 6 LET en conexión con el artículo 177 del texto refundido de la Ley general de la Seguridad Social, aprobado por el Real Decreto Legislativo 8/2015 (LGSS), que declaró inconstitucionales los citados preceptos, se dictaron sentencias en los recursos de amparo núm. 1084-2024, 1880-2024, 1845-2024 y 6078-2023 estimando las demandas presentadas conforme al pronunciamiento de la sentencia del Pleno del Tribunal Constitucional, STC 140/2024, de 6 de noviembre.</w:t>
      </w:r>
    </w:p>
    <w:p w14:paraId="6FA8853D" w14:textId="77777777" w:rsidR="00A8138F" w:rsidRDefault="00A8138F" w:rsidP="00A8138F">
      <w:pPr>
        <w:pStyle w:val="TextoNormal"/>
      </w:pPr>
    </w:p>
    <w:p w14:paraId="30E952A1" w14:textId="54B5555C" w:rsidR="00A8138F" w:rsidRDefault="00A8138F" w:rsidP="00A8138F">
      <w:pPr>
        <w:pStyle w:val="TextoNormal"/>
      </w:pPr>
      <w:r>
        <w:t>A la vista de dichas sentencias, la dirección del servicio jurídico de la Seguridad Social dictó la instrucción 10/2024, de 23 de diciembre, y autorizó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14:paraId="33F75CF2" w14:textId="77777777" w:rsidR="00A8138F" w:rsidRDefault="00A8138F" w:rsidP="00A8138F">
      <w:pPr>
        <w:pStyle w:val="TextoNormal"/>
      </w:pPr>
    </w:p>
    <w:p w14:paraId="7FE25357" w14:textId="77777777" w:rsidR="00A8138F" w:rsidRDefault="00A8138F" w:rsidP="00A8138F">
      <w:pPr>
        <w:pStyle w:val="TextoNormal"/>
      </w:pPr>
      <w:r w:rsidRPr="00A8138F">
        <w:rPr>
          <w:rStyle w:val="NumeroAFNegritaCaracter"/>
        </w:rPr>
        <w:t>6</w:t>
      </w:r>
      <w:r>
        <w:t>. La representación de la parte recurrente, mediante escrito registrado el 31 de marzo de 2025, formula alegaciones en relación con la cuestión de inconstitucionalidad resuelta por el Tribunal Constitucional (núm. 6694-2023), promovida por la Sala de lo Social del Tribunal Superior de Justicia de Cataluña.</w:t>
      </w:r>
    </w:p>
    <w:p w14:paraId="3C9296B9" w14:textId="77777777" w:rsidR="00A8138F" w:rsidRDefault="00A8138F" w:rsidP="00A8138F">
      <w:pPr>
        <w:pStyle w:val="TextoNormal"/>
      </w:pPr>
    </w:p>
    <w:p w14:paraId="7B91AC85" w14:textId="77777777" w:rsidR="00A8138F" w:rsidRDefault="00A8138F" w:rsidP="00A8138F">
      <w:pPr>
        <w:pStyle w:val="TextoNormal"/>
      </w:pPr>
      <w:r>
        <w:t>En sus alegaciones, la parte destaca que el Tribunal Constitucional, en la sentencia que resuelve la cuestión de inconstitucionalidad, concluye que la omisión legislativa al no contemplar un mecanismo que permita a las madres de familias monoparentales disfrutar del permiso del segundo progenitor vulnera el principio de igualdad, al generar un trato diferenciado e injustificado entre familias monoparentales y biparentales. Esta diferencia se traduce en una menor protección para los hijos nacidos en el primer tipo de familia, pese a tener idénticas necesidades de cuidado, contraviniendo lo dispuesto en los artículos 14 y 39 CE. La sentencia también enfatiza la necesidad de que el legislador corrija esta situación, sin declarar la nulidad de los preceptos afectados, dado su carácter estructural.</w:t>
      </w:r>
    </w:p>
    <w:p w14:paraId="3E3D4845" w14:textId="77777777" w:rsidR="00A8138F" w:rsidRDefault="00A8138F" w:rsidP="00A8138F">
      <w:pPr>
        <w:pStyle w:val="TextoNormal"/>
      </w:pPr>
    </w:p>
    <w:p w14:paraId="54E5D4A2" w14:textId="1E9EB6C6" w:rsidR="00A8138F" w:rsidRDefault="00A8138F" w:rsidP="00A8138F">
      <w:pPr>
        <w:pStyle w:val="TextoNormal"/>
      </w:pPr>
      <w:r>
        <w:t>La parte recurrente sostiene que los razonamientos y conclusiones de la sentencia del Tribunal Constitucional son plenamente trasladables al presente caso, en el que se solicita la ampliación del permiso y la correspondiente prestación por nacimiento y cuidado del menor. Al tratarse de un supuesto sustancialmente idéntico al resuelto por el Tribunal, solicita que se tengan por efectuadas las alegaciones y se evacúe el requerimiento conforme al artículo 52.1 LOTC.</w:t>
      </w:r>
    </w:p>
    <w:p w14:paraId="4678BABA" w14:textId="77777777" w:rsidR="00A8138F" w:rsidRDefault="00A8138F" w:rsidP="00A8138F">
      <w:pPr>
        <w:pStyle w:val="TextoNormal"/>
      </w:pPr>
    </w:p>
    <w:p w14:paraId="744FE159" w14:textId="77777777" w:rsidR="00A8138F" w:rsidRDefault="00A8138F" w:rsidP="00A8138F">
      <w:pPr>
        <w:pStyle w:val="TextoNormal"/>
      </w:pPr>
      <w:r w:rsidRPr="00A8138F">
        <w:rPr>
          <w:rStyle w:val="NumeroAFNegritaCaracter"/>
        </w:rPr>
        <w:t>7</w:t>
      </w:r>
      <w:r>
        <w:t>. El Ministerio Fiscal, el 8 de mayo de 2025, interesó el otorgamiento del amparo y la nulidad de la sentencia dictada por la Sala de lo Social del Tribunal Supremo, así como la retroacción de las actuaciones para que dicte otra plenamente respetuosa con el derecho fundamental vulnerado.</w:t>
      </w:r>
    </w:p>
    <w:p w14:paraId="05DE30DF" w14:textId="77777777" w:rsidR="00A8138F" w:rsidRDefault="00A8138F" w:rsidP="00A8138F">
      <w:pPr>
        <w:pStyle w:val="TextoNormal"/>
      </w:pPr>
    </w:p>
    <w:p w14:paraId="234A75B9" w14:textId="77777777" w:rsidR="00A8138F" w:rsidRDefault="00A8138F" w:rsidP="00A8138F">
      <w:pPr>
        <w:pStyle w:val="TextoNormal"/>
      </w:pPr>
      <w:r>
        <w:t>El fiscal transcribe el fundamento jurídico 2 de la STC 39/2025, de 10 de febrero, que aplica la STC 140/2024, de 6 de noviembre, y considera que la doctrina expuesta es aplicable al presente caso. En concreto, señala que la recurrente, madre de un menor nacido en 2021 en el seno de una familia monoparental, solicitó la ampliación del permiso por nacimiento en las dieciséis semanas que corresponderían al otro progenitor, conforme al artículo 48.4 LET. Esta petición fue desestimada por la administración, aunque estimada por el juzgado de lo social y por el Tribunal Superior de Justicia de Cataluña, que entendieron vulnerado el derecho a la igualdad del artículo 14 CE.</w:t>
      </w:r>
    </w:p>
    <w:p w14:paraId="719B4568" w14:textId="77777777" w:rsidR="00A8138F" w:rsidRDefault="00A8138F" w:rsidP="00A8138F">
      <w:pPr>
        <w:pStyle w:val="TextoNormal"/>
      </w:pPr>
    </w:p>
    <w:p w14:paraId="402390B2" w14:textId="77EB7B15" w:rsidR="00A8138F" w:rsidRDefault="00A8138F" w:rsidP="00A8138F">
      <w:pPr>
        <w:pStyle w:val="TextoNormal"/>
      </w:pPr>
      <w:r>
        <w:t>Sin embargo, el Tribunal Supremo, en sede de recurso de casación para unificación de doctrina, revocó dichas sentencias. A juicio del fiscal, esta resolución incurre en una vulneración del derecho fundamental a la igualdad ante la ley sin discriminación por razón de nacimiento, en relación con el deber constitucional de protección del menor (art. 14 CE en conexión con el art. 39 CE), al haber generado un trato desigual carente de justificación objetiva y razonable, y haber ocasionado un perjuicio desproporcionado a la madre y a su hijo.</w:t>
      </w:r>
    </w:p>
    <w:p w14:paraId="19AE557D" w14:textId="77777777" w:rsidR="00A8138F" w:rsidRDefault="00A8138F" w:rsidP="00A8138F">
      <w:pPr>
        <w:pStyle w:val="TextoNormal"/>
      </w:pPr>
    </w:p>
    <w:p w14:paraId="6B64140E" w14:textId="4AA23416" w:rsidR="00A8138F" w:rsidRDefault="00A8138F" w:rsidP="00A8138F">
      <w:pPr>
        <w:pStyle w:val="TextoNormal"/>
      </w:pPr>
      <w:r w:rsidRPr="00A8138F">
        <w:rPr>
          <w:rStyle w:val="NumeroAFNegritaCaracter"/>
        </w:rPr>
        <w:t>8</w:t>
      </w:r>
      <w:r>
        <w:t>. Mediante diligencia del secretario de la Sección Tercera, de 9 de mayo de 2025, se hizo constar que se habían recibido los precedentes escritos de alegaciones y que quedaba el presente recurso de amparo pendiente para deliberación cuando por turno corresponda.</w:t>
      </w:r>
    </w:p>
    <w:p w14:paraId="796417C6" w14:textId="77777777" w:rsidR="00A8138F" w:rsidRDefault="00A8138F" w:rsidP="00A8138F">
      <w:pPr>
        <w:pStyle w:val="TextoNormal"/>
      </w:pPr>
    </w:p>
    <w:p w14:paraId="2CDF32C6" w14:textId="09AB927A" w:rsidR="00A8138F" w:rsidRDefault="00A8138F" w:rsidP="00A8138F">
      <w:pPr>
        <w:pStyle w:val="TextoNormal"/>
      </w:pPr>
      <w:r w:rsidRPr="00A8138F">
        <w:rPr>
          <w:rStyle w:val="NumeroAFNegritaCaracter"/>
        </w:rPr>
        <w:t>9</w:t>
      </w:r>
      <w:r>
        <w:t>. Mediante providencia de 22 de mayo de 2025, se señaló para deliberación y votación de la presente sentencia el día 26 del mismo mes y año.</w:t>
      </w:r>
    </w:p>
    <w:p w14:paraId="3DD5444D" w14:textId="77777777" w:rsidR="00A8138F" w:rsidRDefault="00A8138F" w:rsidP="00A8138F">
      <w:pPr>
        <w:pStyle w:val="TextoNormal"/>
      </w:pPr>
    </w:p>
    <w:p w14:paraId="6D0EC617" w14:textId="77777777" w:rsidR="00A8138F" w:rsidRDefault="00A8138F" w:rsidP="00A8138F">
      <w:pPr>
        <w:pStyle w:val="TextoNormalNegritaCentrado"/>
        <w:keepNext/>
      </w:pPr>
      <w:r>
        <w:t>II. Fundamentos jurídicos</w:t>
      </w:r>
    </w:p>
    <w:p w14:paraId="4CAE2041" w14:textId="4F1829F7" w:rsidR="00A8138F" w:rsidRDefault="00A8138F" w:rsidP="00A8138F">
      <w:pPr>
        <w:pStyle w:val="TextoNormalNegritaCentrado"/>
        <w:keepNext/>
      </w:pPr>
    </w:p>
    <w:p w14:paraId="60F11755"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07C985CF" w14:textId="77777777" w:rsidR="00A8138F" w:rsidRDefault="00A8138F" w:rsidP="00A8138F">
      <w:pPr>
        <w:pStyle w:val="TextoNormal"/>
      </w:pPr>
    </w:p>
    <w:p w14:paraId="4C0B32BA" w14:textId="77777777" w:rsidR="00A8138F" w:rsidRDefault="00A8138F" w:rsidP="00A8138F">
      <w:pPr>
        <w:pStyle w:val="TextoNormal"/>
      </w:pPr>
      <w:r>
        <w:t>El objeto del presente proceso es dilucidar si las resoluciones administrativas y la sentencia de la Sala de lo Social del Tribunal Supremo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49461982" w14:textId="77777777" w:rsidR="00A8138F" w:rsidRDefault="00A8138F" w:rsidP="00A8138F">
      <w:pPr>
        <w:pStyle w:val="TextoNormal"/>
      </w:pPr>
    </w:p>
    <w:p w14:paraId="5F5B9B61" w14:textId="77777777" w:rsidR="00A8138F" w:rsidRDefault="00A8138F" w:rsidP="00A8138F">
      <w:pPr>
        <w:pStyle w:val="TextoNormal"/>
      </w:pPr>
      <w:r>
        <w:t>El Ministerio Fiscal interesa la estimación del recurso en aplicación de la doctrina constitucional fijada en la STC 140/2024, de 6 de noviembre, y la letrada de la administración de la Seguridad Social se allana a la demanda.</w:t>
      </w:r>
    </w:p>
    <w:p w14:paraId="2D6074CA" w14:textId="77777777" w:rsidR="00A8138F" w:rsidRDefault="00A8138F" w:rsidP="00A8138F">
      <w:pPr>
        <w:pStyle w:val="TextoNormal"/>
      </w:pPr>
    </w:p>
    <w:p w14:paraId="67A619C3"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63A0715C" w14:textId="77777777" w:rsidR="00A8138F" w:rsidRDefault="00A8138F" w:rsidP="00A8138F">
      <w:pPr>
        <w:pStyle w:val="TextoNormal"/>
      </w:pPr>
    </w:p>
    <w:p w14:paraId="17576125"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C95A886" w14:textId="77777777" w:rsidR="00A8138F" w:rsidRDefault="00A8138F" w:rsidP="00A8138F">
      <w:pPr>
        <w:pStyle w:val="TextoNormal"/>
      </w:pPr>
    </w:p>
    <w:p w14:paraId="2AA524BB"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4C1BB2F5" w14:textId="77777777" w:rsidR="00A8138F" w:rsidRDefault="00A8138F" w:rsidP="00A8138F">
      <w:pPr>
        <w:pStyle w:val="TextoNormal"/>
      </w:pPr>
    </w:p>
    <w:p w14:paraId="2A286570" w14:textId="77777777" w:rsidR="00A8138F" w:rsidRDefault="00A8138F" w:rsidP="00A8138F">
      <w:pPr>
        <w:pStyle w:val="TextoNormal"/>
      </w:pPr>
      <w:r>
        <w:t>En consecuencia, debe estimarse la demanda y otorgar el amparo solicitado, declarando la nulidad de la sentencia núm. 695/2024, de 21 de mayo, dictada por la Sala de lo Social del Tribunal Supremo, que estimó el recurso de casación para la unificación de doctrina núm. 729-2023; de la sentencia núm. 6389/2022, de 29 de noviembre, dictada por la Sala de lo Social del Tribunal Superior de Cataluña en el recurso de suplicación 1552-2022, y de la sentencia núm. 413/2021, de 20 de diciembre, dictada por el Juzgado de lo Social núm. 2 de Mataró, en autos de Seguridad Social en materia prestacional núm. 898-2021, así como de las resoluciones de 10 de septiembre y de 21 de octubre de 2021 del INSS, conforme al pronunciamiento de la referida STC 140/2024, FJ 7.</w:t>
      </w:r>
    </w:p>
    <w:p w14:paraId="211F8064" w14:textId="77777777" w:rsidR="00A8138F" w:rsidRDefault="00A8138F" w:rsidP="00A8138F">
      <w:pPr>
        <w:pStyle w:val="TextoNormal"/>
      </w:pPr>
    </w:p>
    <w:p w14:paraId="0ABABA00" w14:textId="3A495EC0" w:rsidR="00764F92" w:rsidRDefault="00A8138F" w:rsidP="00A8138F">
      <w:pPr>
        <w:pStyle w:val="TextoNormal"/>
      </w:pPr>
      <w:r>
        <w:t>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3872514B" w14:textId="77777777" w:rsidR="00A8138F" w:rsidRDefault="00A8138F" w:rsidP="00A8138F">
      <w:pPr>
        <w:pStyle w:val="TextoNormal"/>
      </w:pPr>
    </w:p>
    <w:p w14:paraId="67969F9B" w14:textId="77777777" w:rsidR="00A8138F" w:rsidRDefault="00A8138F" w:rsidP="00A8138F">
      <w:pPr>
        <w:pStyle w:val="TextoNormalCentrado"/>
        <w:keepNext/>
      </w:pPr>
      <w:r>
        <w:t>FALLO</w:t>
      </w:r>
    </w:p>
    <w:p w14:paraId="2BE03C24" w14:textId="546FFF01" w:rsidR="00A8138F" w:rsidRDefault="00A8138F" w:rsidP="00A8138F">
      <w:pPr>
        <w:pStyle w:val="TextoNormalCentrado"/>
        <w:keepNext/>
      </w:pPr>
    </w:p>
    <w:p w14:paraId="5443310F" w14:textId="77777777" w:rsidR="00A8138F" w:rsidRDefault="00A8138F" w:rsidP="00A8138F">
      <w:pPr>
        <w:pStyle w:val="TextoNormal"/>
      </w:pPr>
      <w:r>
        <w:t>En atención a todo lo expuesto, el Tribunal Constitucional, por la autoridad que le confiere la Constitución de la Nación española, ha decidido:</w:t>
      </w:r>
    </w:p>
    <w:p w14:paraId="01B3E57D" w14:textId="77777777" w:rsidR="00A8138F" w:rsidRDefault="00A8138F" w:rsidP="00A8138F">
      <w:pPr>
        <w:pStyle w:val="TextoNormal"/>
      </w:pPr>
    </w:p>
    <w:p w14:paraId="1C343AE6" w14:textId="77777777" w:rsidR="00A8138F" w:rsidRDefault="00A8138F" w:rsidP="00A8138F">
      <w:pPr>
        <w:pStyle w:val="TextoNormal"/>
      </w:pPr>
      <w:r>
        <w:t>1º Estimar la demanda presentada por doña Cristina Compte Martínez por vulneración del derecho fundamental a la igualdad ante la ley sin discriminación por razón de nacimiento (art. 14 CE), con reconocimiento de tal derecho.</w:t>
      </w:r>
    </w:p>
    <w:p w14:paraId="7957202E" w14:textId="77777777" w:rsidR="00A8138F" w:rsidRDefault="00A8138F" w:rsidP="00A8138F">
      <w:pPr>
        <w:pStyle w:val="TextoNormal"/>
      </w:pPr>
    </w:p>
    <w:p w14:paraId="09801193" w14:textId="77777777" w:rsidR="00A8138F" w:rsidRDefault="00A8138F" w:rsidP="00A8138F">
      <w:pPr>
        <w:pStyle w:val="TextoNormal"/>
      </w:pPr>
      <w:r>
        <w:t>2º Declarar la nulidad de la sentencia núm. 695/2024, de 21 de mayo, dictada por la Sala de lo Social del Tribunal Supremo, que estimó el recurso de casación para la unificación de doctrina núm. 729-2023; de la sentencia núm. 6389/2022, de 29 de noviembre, dictada por la Sala de lo Social del Tribunal Superior de Cataluña en el recurso de suplicación 1552-2022, y de la sentencia núm. 413/2021, de 20 de diciembre, dictada por el Juzgado de lo Social núm. 2 de Mataró, en autos de Seguridad Social en materia prestacional núm. 898-2021, así como de las resoluciones de 10 de septiembre y de 21 de octubre de 2021 del INSS.</w:t>
      </w:r>
    </w:p>
    <w:p w14:paraId="515CBF12" w14:textId="77777777" w:rsidR="00A8138F" w:rsidRDefault="00A8138F" w:rsidP="00A8138F">
      <w:pPr>
        <w:pStyle w:val="TextoNormal"/>
      </w:pPr>
    </w:p>
    <w:p w14:paraId="70511670" w14:textId="5135F459" w:rsidR="00A8138F" w:rsidRDefault="00A8138F" w:rsidP="00A8138F">
      <w:pPr>
        <w:pStyle w:val="TextoNormal"/>
      </w:pPr>
      <w:r>
        <w:t>3º Retrotraer las actuaciones al momento previo al dictado de la resolución de 10 de septiembre de 2021 del INSS a fin de que, en los términos expuestos en el último párrafo del fundamento jurídico único, se dicte otra respetuosa con el derecho de la recurrente cuya vulneración ha sido declarada.</w:t>
      </w:r>
    </w:p>
    <w:p w14:paraId="7C59C097" w14:textId="77777777" w:rsidR="00A8138F" w:rsidRDefault="00A8138F" w:rsidP="00A8138F">
      <w:pPr>
        <w:pStyle w:val="TextoNormal"/>
      </w:pPr>
    </w:p>
    <w:p w14:paraId="0F4CEB13" w14:textId="77777777" w:rsidR="00A8138F" w:rsidRDefault="00A8138F" w:rsidP="00A8138F">
      <w:pPr>
        <w:pStyle w:val="TextoNormal"/>
      </w:pPr>
      <w:r>
        <w:t>Publíquese esta sentencia en el “Boletín Oficial del Estado”.</w:t>
      </w:r>
    </w:p>
    <w:p w14:paraId="613310FC" w14:textId="77777777" w:rsidR="00A8138F" w:rsidRDefault="00A8138F" w:rsidP="00A8138F">
      <w:pPr>
        <w:pStyle w:val="TextoNormal"/>
      </w:pPr>
      <w:r>
        <w:t>Dada en Madrid, a veintiséis de mayo de dos mil veinticinco.</w:t>
      </w:r>
    </w:p>
    <w:p w14:paraId="77043A7C" w14:textId="78448C6C" w:rsidR="00A8138F" w:rsidRDefault="00A8138F">
      <w:pPr>
        <w:spacing w:after="160" w:line="278" w:lineRule="auto"/>
        <w:rPr>
          <w:rFonts w:ascii="Times New Roman" w:eastAsia="Times New Roman" w:hAnsi="Times New Roman" w:cs="Times New Roman"/>
          <w:sz w:val="24"/>
          <w:szCs w:val="24"/>
          <w:lang w:eastAsia="es-ES"/>
        </w:rPr>
      </w:pPr>
      <w:r>
        <w:br w:type="page"/>
      </w:r>
    </w:p>
    <w:p w14:paraId="7D7FA118" w14:textId="77777777" w:rsidR="00A8138F" w:rsidRDefault="00A8138F" w:rsidP="00A8138F">
      <w:pPr>
        <w:pStyle w:val="TtuloResolucin"/>
      </w:pPr>
      <w:bookmarkStart w:id="125" w:name="SENTENCIA_2025_123"/>
      <w:r>
        <w:t>SENTENCIA 123/2025, de 26 de mayo de 2025</w:t>
      </w:r>
    </w:p>
    <w:bookmarkEnd w:id="125"/>
    <w:p w14:paraId="195EAD9E" w14:textId="77777777" w:rsidR="00A8138F" w:rsidRDefault="00A8138F" w:rsidP="00A8138F">
      <w:pPr>
        <w:pStyle w:val="TtuloResolucin"/>
      </w:pPr>
      <w:r>
        <w:t>Sala Segunda</w:t>
      </w:r>
    </w:p>
    <w:p w14:paraId="7F6F934B" w14:textId="77777777" w:rsidR="00A8138F" w:rsidRDefault="00A8138F" w:rsidP="00A8138F">
      <w:pPr>
        <w:pStyle w:val="TtuloBOE"/>
      </w:pPr>
      <w:r>
        <w:t>(BOE núm. 160, de 4 de julio de 2025)</w:t>
      </w:r>
    </w:p>
    <w:p w14:paraId="03E9971F" w14:textId="77777777" w:rsidR="00A8138F" w:rsidRDefault="00A8138F" w:rsidP="00A8138F">
      <w:pPr>
        <w:pStyle w:val="TextoNormalCentrado"/>
      </w:pPr>
      <w:r>
        <w:t>ECLI:ES:TC:2025:123</w:t>
      </w:r>
    </w:p>
    <w:p w14:paraId="28BC6EB3" w14:textId="5FEF8C63" w:rsidR="00A8138F" w:rsidRDefault="00A8138F" w:rsidP="00A8138F">
      <w:pPr>
        <w:pStyle w:val="TextoNormalCentrado"/>
      </w:pPr>
    </w:p>
    <w:p w14:paraId="697C36B1" w14:textId="77777777" w:rsidR="00A8138F" w:rsidRDefault="00A8138F" w:rsidP="00A8138F">
      <w:pPr>
        <w:pStyle w:val="SntesisDescriptiva"/>
      </w:pPr>
      <w:r>
        <w:t>Recurso de amparo 5803-2024. Promovido por doña Olaia San Miguel Cantero en relación con las resoluciones administrativas y judiciales que desestimaron su petición de revisión y ampliación de la prestación por nacimiento y cuidado de hijo menor, como madre por adopción en familia monoparental.</w:t>
      </w:r>
    </w:p>
    <w:p w14:paraId="62DE5C98" w14:textId="327C66B0" w:rsidR="00A8138F" w:rsidRDefault="00A8138F" w:rsidP="00A8138F">
      <w:pPr>
        <w:pStyle w:val="SntesisDescriptiva"/>
      </w:pPr>
    </w:p>
    <w:p w14:paraId="43D27743" w14:textId="77777777" w:rsidR="00A8138F" w:rsidRDefault="00A8138F" w:rsidP="00A8138F">
      <w:pPr>
        <w:pStyle w:val="SntesisAnaltica"/>
      </w:pPr>
      <w:r>
        <w:t>Vulneración del derecho a la igualdad ante la ley sin discriminación: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5CCC2908" w14:textId="332F9777" w:rsidR="00A8138F" w:rsidRDefault="00A8138F" w:rsidP="00A8138F">
      <w:pPr>
        <w:pStyle w:val="SntesisAnaltica"/>
      </w:pPr>
    </w:p>
    <w:p w14:paraId="3056DB85" w14:textId="0F3039F0"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42B431EC" w14:textId="77777777" w:rsidR="00A8138F" w:rsidRDefault="00A8138F" w:rsidP="00A8138F">
      <w:pPr>
        <w:pStyle w:val="Extracto"/>
      </w:pPr>
    </w:p>
    <w:p w14:paraId="19D47473" w14:textId="77777777" w:rsidR="00A8138F" w:rsidRDefault="00A8138F" w:rsidP="00A8138F">
      <w:pPr>
        <w:pStyle w:val="Extracto"/>
      </w:pPr>
    </w:p>
    <w:p w14:paraId="305721CC"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14874EEB" w14:textId="4C5D3F6D" w:rsidR="00A8138F" w:rsidRDefault="00A8138F" w:rsidP="00A8138F">
      <w:pPr>
        <w:pStyle w:val="TextoNormal"/>
      </w:pPr>
    </w:p>
    <w:p w14:paraId="071CB4ED" w14:textId="77777777" w:rsidR="00A8138F" w:rsidRDefault="00A8138F" w:rsidP="00A8138F">
      <w:pPr>
        <w:pStyle w:val="TextoNormalCentrado"/>
        <w:keepNext/>
      </w:pPr>
      <w:r>
        <w:t>EN NOMBRE DEL REY</w:t>
      </w:r>
    </w:p>
    <w:p w14:paraId="74A1E2C7" w14:textId="0185DA84" w:rsidR="00A8138F" w:rsidRDefault="00A8138F" w:rsidP="00A8138F">
      <w:pPr>
        <w:pStyle w:val="TextoNormalCentrado"/>
        <w:keepNext/>
      </w:pPr>
    </w:p>
    <w:p w14:paraId="35F656CF" w14:textId="77777777" w:rsidR="00A8138F" w:rsidRDefault="00A8138F" w:rsidP="00A8138F">
      <w:pPr>
        <w:pStyle w:val="TextoNormalCentrado"/>
        <w:keepNext/>
      </w:pPr>
    </w:p>
    <w:p w14:paraId="7480C632" w14:textId="77777777" w:rsidR="00A8138F" w:rsidRDefault="00A8138F" w:rsidP="00A8138F">
      <w:pPr>
        <w:pStyle w:val="TextoNormal"/>
      </w:pPr>
      <w:r>
        <w:t>la siguiente</w:t>
      </w:r>
    </w:p>
    <w:p w14:paraId="3F2E02E1" w14:textId="63314714" w:rsidR="00A8138F" w:rsidRDefault="00A8138F" w:rsidP="00A8138F">
      <w:pPr>
        <w:pStyle w:val="TextoNormal"/>
      </w:pPr>
    </w:p>
    <w:p w14:paraId="20453C67" w14:textId="77777777" w:rsidR="00A8138F" w:rsidRDefault="00A8138F" w:rsidP="00A8138F">
      <w:pPr>
        <w:pStyle w:val="TextoNormalCentrado"/>
        <w:keepNext/>
      </w:pPr>
      <w:r>
        <w:t>SENTENCIA</w:t>
      </w:r>
    </w:p>
    <w:p w14:paraId="4E665886" w14:textId="475EF0B5" w:rsidR="00A8138F" w:rsidRDefault="00A8138F" w:rsidP="00A8138F">
      <w:pPr>
        <w:pStyle w:val="TextoNormalCentrado"/>
        <w:keepNext/>
      </w:pPr>
    </w:p>
    <w:p w14:paraId="7CA23F17" w14:textId="77777777" w:rsidR="00A8138F" w:rsidRDefault="00A8138F" w:rsidP="00A8138F">
      <w:pPr>
        <w:pStyle w:val="TextoNormal"/>
      </w:pPr>
      <w:r>
        <w:t>En el recurso de amparo núm. 5803-2024, promovido por doña Olaia San Miguel Cantero contra las resoluciones del Instituto Nacional de la Seguridad Social de 20 y 26 de octubre de 2021, recaídas en el expediente de nacimiento y cuidado de menor núm. 17317-2021, y contra la sentencia núm. 888/2024, de 5 de junio, dictada por la Sala de lo Social del Tribunal Supremo en el recurso de casación para la unificación de doctrina núm. 1335-2023, que anuló la sentencia núm. 270/2023, de 31 de enero, dictada por la Sala de lo Social del Tribunal Superior de Justicia del País Vasco en el recurso de suplicación núm. 2158-2022, y que revocó la sentencia núm. 22/2022, de 1 de febrero, dictada por el Juzgado de lo Social núm. 9 de Bilbao en el procedimiento de Seguridad Social núm. 1181-2021. Ha sido parte el Instituto Nacional de la Seguridad Social. Ha intervenido el Ministerio Fiscal. Ha sido ponente el magistrado don Ramón Sáez Valcárcel.</w:t>
      </w:r>
    </w:p>
    <w:p w14:paraId="0B3A956A" w14:textId="558F7C59" w:rsidR="00A8138F" w:rsidRDefault="00A8138F" w:rsidP="00A8138F">
      <w:pPr>
        <w:pStyle w:val="TextoNormal"/>
      </w:pPr>
    </w:p>
    <w:p w14:paraId="45811623" w14:textId="77777777" w:rsidR="00A8138F" w:rsidRDefault="00A8138F" w:rsidP="00A8138F">
      <w:pPr>
        <w:pStyle w:val="TextoNormalNegritaCentrado"/>
        <w:keepNext/>
      </w:pPr>
      <w:r>
        <w:t>I. Antecedentes</w:t>
      </w:r>
    </w:p>
    <w:p w14:paraId="53473BC5" w14:textId="6ECCE52E" w:rsidR="00A8138F" w:rsidRDefault="00A8138F" w:rsidP="00A8138F">
      <w:pPr>
        <w:pStyle w:val="TextoNormalNegritaCentrado"/>
        <w:keepNext/>
      </w:pPr>
    </w:p>
    <w:p w14:paraId="0B437F54" w14:textId="22225C23" w:rsidR="00A8138F" w:rsidRDefault="00A8138F" w:rsidP="00A8138F">
      <w:pPr>
        <w:pStyle w:val="TextoNormal"/>
      </w:pPr>
      <w:r w:rsidRPr="00A8138F">
        <w:rPr>
          <w:rStyle w:val="NumeroAFNegritaCaracter"/>
        </w:rPr>
        <w:t>1</w:t>
      </w:r>
      <w:r>
        <w:t>. Doña Olaia San Miguel Cantero, representada por la procuradora de los tribunales doña Esperanza Azpeitia Calvín y asistida de la abogada doña Estíbaliz Cantero Martínez, interpuso recurso de amparo contras las resoluciones administrativas y la sentencia de la Sala de lo Social del Tribunal Supremo que se mencionan en el encabezamiento, mediante escrito presentado en el registro electrónico de este tribunal el 22 de julio de 2024.</w:t>
      </w:r>
    </w:p>
    <w:p w14:paraId="6C342F66" w14:textId="77777777" w:rsidR="00A8138F" w:rsidRDefault="00A8138F" w:rsidP="00A8138F">
      <w:pPr>
        <w:pStyle w:val="TextoNormal"/>
      </w:pPr>
    </w:p>
    <w:p w14:paraId="46955F0E" w14:textId="77777777" w:rsidR="00A8138F" w:rsidRDefault="00A8138F" w:rsidP="00A8138F">
      <w:pPr>
        <w:pStyle w:val="TextoNormal"/>
      </w:pPr>
      <w:r w:rsidRPr="00A8138F">
        <w:rPr>
          <w:rStyle w:val="NumeroAFNegritaCaracter"/>
        </w:rPr>
        <w:t>2</w:t>
      </w:r>
      <w:r>
        <w:t>. Los antecedentes relevantes para resolver el recurso son los siguientes:</w:t>
      </w:r>
    </w:p>
    <w:p w14:paraId="3CB262B9" w14:textId="77777777" w:rsidR="00A8138F" w:rsidRDefault="00A8138F" w:rsidP="00A8138F">
      <w:pPr>
        <w:pStyle w:val="TextoNormal"/>
      </w:pPr>
    </w:p>
    <w:p w14:paraId="75902B91" w14:textId="77777777" w:rsidR="00A8138F" w:rsidRDefault="00A8138F" w:rsidP="00A8138F">
      <w:pPr>
        <w:pStyle w:val="TextoNormal"/>
      </w:pPr>
      <w:r>
        <w:t>a) El 18 de octubre de 2021 la demandante de amparo solicitó del Instituto Nacional de la Seguridad Social (INSS) la prestación de nacimiento y cuidado de menor como madre por adopción de una niña, nacida el 31 de enero de 2020, con la que forma una familia monoparental al ser la única progenitora. El INSS, por resolución de 20 de octubre de 2021, le reconoció el derecho a la prestación de nacimiento y cuidado de menor por dieciséis semanas, entre el 18 de septiembre de 2021 y el 7 de enero de 2022, sin adicionar ninguna otra semana al no existir otro progenitor. La recurrente presentó reclamación previa al INSS en la que solicitó que dicha prestación se le ampliase en las dieciséis semanas que legalmente habrían correspondido al otro progenitor si se hubiera tratado de una familia biparental. El INSS desestimó su reclamación por resolución de 26 de octubre de 2021.</w:t>
      </w:r>
    </w:p>
    <w:p w14:paraId="71C61991" w14:textId="77777777" w:rsidR="00A8138F" w:rsidRDefault="00A8138F" w:rsidP="00A8138F">
      <w:pPr>
        <w:pStyle w:val="TextoNormal"/>
      </w:pPr>
    </w:p>
    <w:p w14:paraId="1C8667FF" w14:textId="77777777" w:rsidR="00A8138F" w:rsidRDefault="00A8138F" w:rsidP="00A8138F">
      <w:pPr>
        <w:pStyle w:val="TextoNormal"/>
      </w:pPr>
      <w:r>
        <w:t>b) La señora San Miguel Cantero demandó al INSS por vulneración de los arts. 14 y 39 CE, alegando discriminación de la menor y de las familias monoparentales y solicitó la ampliación de la prestación en dieciséis semanas. La sentencia núm. 22/2022, de 1 de febrero, del Juzgado de lo Social núm. 9 de Bilbao, estimó parcialmente la demanda y le reconoció el derecho a disfrutar de diez semanas adicionales de prestación por nacimiento y cuidado de menor, no siendo procedente conceder dieciséis semanas, dado que las seis primeras “inmediatamente posteriores […] se solapan con las de la progenitora”.</w:t>
      </w:r>
    </w:p>
    <w:p w14:paraId="068FEC2C" w14:textId="77777777" w:rsidR="00A8138F" w:rsidRDefault="00A8138F" w:rsidP="00A8138F">
      <w:pPr>
        <w:pStyle w:val="TextoNormal"/>
      </w:pPr>
    </w:p>
    <w:p w14:paraId="0C9F32B8" w14:textId="77777777" w:rsidR="00A8138F" w:rsidRDefault="00A8138F" w:rsidP="00A8138F">
      <w:pPr>
        <w:pStyle w:val="TextoNormal"/>
      </w:pPr>
      <w:r>
        <w:t>c) La recurrente en amparo y el INSS presentaron sendos recursos de suplicación contra la sentencia del juzgado. La sentencia núm. 270/2023, de 31 de enero, de la Sala de lo Social del Tribunal Superior de Justicia del País Vasco, estimando el primero y desestimando el segundo, revocó en parte la sentencia de instancia y reconoció a la señora San Miguel Cantero el derecho a otras seis semanas adicionales a las diez ya reconocidas de prestación.</w:t>
      </w:r>
    </w:p>
    <w:p w14:paraId="3099BBE3" w14:textId="77777777" w:rsidR="00A8138F" w:rsidRDefault="00A8138F" w:rsidP="00A8138F">
      <w:pPr>
        <w:pStyle w:val="TextoNormal"/>
      </w:pPr>
    </w:p>
    <w:p w14:paraId="301F0CEB" w14:textId="1292BC8B" w:rsidR="00A8138F" w:rsidRDefault="00A8138F" w:rsidP="00A8138F">
      <w:pPr>
        <w:pStyle w:val="TextoNormal"/>
      </w:pPr>
      <w:r>
        <w:t>d) El INSS interpuso recurso de casación para la unificación de doctrina. La sentencia núm. 888/2024, de 5 de junio, de la Sala de lo Social del Tribunal Supremo, “por imperativo de los principios de igualdad y seguridad jurídica”, estimó el recurso, aplicando la doctrina establecida en la sentencia núm. 169/2023, de 2 de marzo, del Pleno de la Sala de lo Social del Tribunal Supremo (ECLI:ES:TS:2023:783), que resolvió que en las familias monoparentales no se podía acumular la prestación por nacimiento y cuidado de menor, ya que ni se establecía en la ley vigente [art. 48.4 del texto refundido de la Ley del estatuto de los trabajadores, aprobado por el Real Decreto Legislativo 2/2015, de 23 de octubre (LET), y art. 177 del texto refundido de la Ley general de la Seguridad Social aprobado por el Real Decreto Legislativo 8/2015, de 30 de octubre (LGSS), redactados por el Real Decreto-ley 6/2019, de 1 de marzo, de medidas urgentes para garantía de la igualdad de trato y de oportunidades entre mujeres y hombres en el empleo y la ocupación], que cumplía con las exigencias del Derecho de la Unión Europea, ni tampoco se deducía de la Constitución, ni de los acuerdos y tratados internacionales firmados por España, correspondiendo al legislador —y no a los tribunales— determinar el alcance y contenido de la protección que deba otorgarse a este tipo de familias. El Tribunal Supremo casó y anuló la sentencia de la Sala de lo Social del Tribunal Superior de Justicia del País Vasco y resolvió el debate planteado mediante la estimación del recurso de suplicación de las entidades gestoras, la desestimación del recurso de la parte actora y la revocación de la sentencia de instancia con la desestimación de la demanda y la absolución de la parte demandada.</w:t>
      </w:r>
    </w:p>
    <w:p w14:paraId="208830D1" w14:textId="77777777" w:rsidR="00A8138F" w:rsidRDefault="00A8138F" w:rsidP="00A8138F">
      <w:pPr>
        <w:pStyle w:val="TextoNormal"/>
      </w:pPr>
    </w:p>
    <w:p w14:paraId="30D7CF44" w14:textId="77777777" w:rsidR="00A8138F" w:rsidRDefault="00A8138F" w:rsidP="00A8138F">
      <w:pPr>
        <w:pStyle w:val="TextoNormal"/>
      </w:pPr>
      <w:r w:rsidRPr="00A8138F">
        <w:rPr>
          <w:rStyle w:val="NumeroAFNegritaCaracter"/>
        </w:rPr>
        <w:t>3</w:t>
      </w:r>
      <w:r>
        <w:t>. La demanda de amparo denuncia que las resoluciones administrativas denegatorias de la ampliación en dieciséis semanas adicionales de la prestación por nacimiento y cuidado de menor, y que la sentencia de la Sala de lo Social del Tribunal Supremo que dejó sin efecto el reconocimiento de la prestación efectuado por las sentencias de suplicación y de instancia, vulneraron “los derechos fundamentales de la demandante de amparo a la igualdad en la ley y a la no discriminación directa por circunstancia personal y familiar e indirecta por razón de sexo (art. 14 CE en relación con el art. 39 y 9.2 CE)”.</w:t>
      </w:r>
    </w:p>
    <w:p w14:paraId="7C5AAE00" w14:textId="77777777" w:rsidR="00A8138F" w:rsidRDefault="00A8138F" w:rsidP="00A8138F">
      <w:pPr>
        <w:pStyle w:val="TextoNormal"/>
      </w:pPr>
    </w:p>
    <w:p w14:paraId="2DC4E1DB" w14:textId="77777777" w:rsidR="00A8138F" w:rsidRDefault="00A8138F" w:rsidP="00A8138F">
      <w:pPr>
        <w:pStyle w:val="TextoNormal"/>
      </w:pPr>
      <w:r>
        <w:t>Se alega que tales resoluciones incurren en: (i) discriminación directa por generar con su interpretación literal de los arts. 48.4 LET y 177 LGSS una desigualdad entre las madres y menores nacidos en familias monoparentales y los nacidos en familias biparentales, al contar los primeros con un menor número de semanas de prestación y cuidados que los segundos; (ii) discriminación directa por circunstancias personales y familiares, al no haber salvado por vía interpretativa la omisión del legislador para evitar que se produjera ese trato discriminatorio y desconsiderado hacia la decisión de la recurrente “de constituir una [familia monoparental, que] le ha causado un incuestionable perjuicio, que extiende sus efectos a la inobservancia del interés superior de la menor”; y (iii) discriminación indirecta por razón de sexo debido a que, en la mayoría de las familias monoparentales, la progenitora única es una mujer que resulta perjudicada en comparación con las familias biparentales en cuanto a la duración de las prestaciones por nacimiento de hijo.</w:t>
      </w:r>
    </w:p>
    <w:p w14:paraId="68BE9A22" w14:textId="77777777" w:rsidR="00A8138F" w:rsidRDefault="00A8138F" w:rsidP="00A8138F">
      <w:pPr>
        <w:pStyle w:val="TextoNormal"/>
      </w:pPr>
    </w:p>
    <w:p w14:paraId="6DC4CD95" w14:textId="785C20C2" w:rsidR="00A8138F" w:rsidRDefault="00A8138F" w:rsidP="00A8138F">
      <w:pPr>
        <w:pStyle w:val="TextoNormal"/>
      </w:pPr>
      <w:r>
        <w:t>Solicita que se reconozca la vulneración, que se anulen aquellas resoluciones y que se retrotraigan las actuaciones al momento previo al dictado de la resolución de 20 de octubre de 2021 del INSS para que dicte otra que respete los derechos fundamentales de la recurrente.</w:t>
      </w:r>
    </w:p>
    <w:p w14:paraId="1CDF85A6" w14:textId="77777777" w:rsidR="00A8138F" w:rsidRDefault="00A8138F" w:rsidP="00A8138F">
      <w:pPr>
        <w:pStyle w:val="TextoNormal"/>
      </w:pPr>
    </w:p>
    <w:p w14:paraId="79D4ACFD" w14:textId="24AF1569" w:rsidR="00A8138F" w:rsidRDefault="00A8138F" w:rsidP="00A8138F">
      <w:pPr>
        <w:pStyle w:val="TextoNormal"/>
      </w:pPr>
      <w:r w:rsidRPr="00A8138F">
        <w:rPr>
          <w:rStyle w:val="NumeroAFNegritaCaracter"/>
        </w:rPr>
        <w:t>4</w:t>
      </w:r>
      <w:r>
        <w:t>. La Sección Cuarta de la Sala Segunda del Tribunal Constitucional, mediante providencia de 2 de diciembre de 2024: (i) admitió a trámite la demanda al apreciar que concurre en el recurso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y acordó dirigirse a la Sala de lo Social del Tribunal Supremo, a la Sala de lo Social del Tribunal Superior de Justicia del País Vasco y al Juzgado de lo Social núm. 9 de Bilbao para que remitiesen, en plazo que no excediera de diez días, certificación o fotocopia adverada de sus respectivas actuaciones, con indicación al juzgado de que emplazase a quienes hubiesen sido parte en el procedimiento, excepto al recurrente en amparo, a fin de que pudieran comparecer en el recurso en el plazo de diez días.</w:t>
      </w:r>
    </w:p>
    <w:p w14:paraId="6D82F507" w14:textId="77777777" w:rsidR="00A8138F" w:rsidRDefault="00A8138F" w:rsidP="00A8138F">
      <w:pPr>
        <w:pStyle w:val="TextoNormal"/>
      </w:pPr>
    </w:p>
    <w:p w14:paraId="77D3CBC1" w14:textId="196DB4A4" w:rsidR="00A8138F" w:rsidRDefault="00A8138F" w:rsidP="00A8138F">
      <w:pPr>
        <w:pStyle w:val="TextoNormal"/>
      </w:pPr>
      <w:r w:rsidRPr="00A8138F">
        <w:rPr>
          <w:rStyle w:val="NumeroAFNegritaCaracter"/>
        </w:rPr>
        <w:t>5</w:t>
      </w:r>
      <w:r>
        <w:t>. El secretario de justicia de la Sección Cuarta de la Sala Segunda de este tribunal, recibidas las actuaciones, mediante diligencia de ordenación de 22 de enero de 2025 tuvo por personadas y parte a las entidades gestoras de la Seguridad Social, representadas por letrada de la administración de la Seguridad Social, y acordó, conforme a lo dispuesto en el art. 52.1 LOTC, dar vista de las actuaciones a las partes personadas y al Ministerio Fiscal por un plazo común de veinte días para presentar las alegaciones que estimasen pertinentes.</w:t>
      </w:r>
    </w:p>
    <w:p w14:paraId="410D4B0D" w14:textId="77777777" w:rsidR="00A8138F" w:rsidRDefault="00A8138F" w:rsidP="00A8138F">
      <w:pPr>
        <w:pStyle w:val="TextoNormal"/>
      </w:pPr>
    </w:p>
    <w:p w14:paraId="7AF560D8" w14:textId="32912D70" w:rsidR="00A8138F" w:rsidRDefault="00A8138F" w:rsidP="00A8138F">
      <w:pPr>
        <w:pStyle w:val="TextoNormal"/>
      </w:pPr>
      <w:r w:rsidRPr="00A8138F">
        <w:rPr>
          <w:rStyle w:val="NumeroAFNegritaCaracter"/>
        </w:rPr>
        <w:t>6</w:t>
      </w:r>
      <w:r>
        <w:t>. La recurrente presentó escrito el 5 de febrero de 2025 reproduciendo su demanda de amparo e interesando su estimación.</w:t>
      </w:r>
    </w:p>
    <w:p w14:paraId="50377AF0" w14:textId="77777777" w:rsidR="00A8138F" w:rsidRDefault="00A8138F" w:rsidP="00A8138F">
      <w:pPr>
        <w:pStyle w:val="TextoNormal"/>
      </w:pPr>
    </w:p>
    <w:p w14:paraId="336A7E74" w14:textId="1BBD9D24" w:rsidR="00A8138F" w:rsidRDefault="00A8138F" w:rsidP="00A8138F">
      <w:pPr>
        <w:pStyle w:val="TextoNormal"/>
      </w:pPr>
      <w:r w:rsidRPr="00A8138F">
        <w:rPr>
          <w:rStyle w:val="NumeroAFNegritaCaracter"/>
        </w:rPr>
        <w:t>7</w:t>
      </w:r>
      <w:r>
        <w:t>. La letrada de la administración de la Seguridad Social presentó el 21 de febrero de 2025 escrito de allanamiento a la demanda de amparo, alegando que la dirección del servicio jurídico de la Seguridad Social dictó la instrucción 10/2024, de 23 de diciembre, autorizando al servicio jurídico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14:paraId="08CBCDBA" w14:textId="77777777" w:rsidR="00A8138F" w:rsidRDefault="00A8138F" w:rsidP="00A8138F">
      <w:pPr>
        <w:pStyle w:val="TextoNormal"/>
      </w:pPr>
    </w:p>
    <w:p w14:paraId="73AB394E" w14:textId="77777777" w:rsidR="00A8138F" w:rsidRDefault="00A8138F" w:rsidP="00A8138F">
      <w:pPr>
        <w:pStyle w:val="TextoNormal"/>
      </w:pPr>
      <w:r w:rsidRPr="00A8138F">
        <w:rPr>
          <w:rStyle w:val="NumeroAFNegritaCaracter"/>
        </w:rPr>
        <w:t>8</w:t>
      </w:r>
      <w:r>
        <w:t>. La fiscal ante el Tribunal Constitucional, en su escrito presentado el 27 de febrero de 2025, interesa la estimación del recurso de amparo, por vulneración del “derecho [de] la recurrente y de su hija menor a la igualdad y a la no discriminación por razón de nacimiento, en relación con la protección integral de los hijos, con independencia de su filiación y conforme a lo previsto en los convenios internacionales que velan por sus derechos (art. 14 CE en relación con el artículo 39 CE)”.</w:t>
      </w:r>
    </w:p>
    <w:p w14:paraId="5C45CD54" w14:textId="77777777" w:rsidR="00A8138F" w:rsidRDefault="00A8138F" w:rsidP="00A8138F">
      <w:pPr>
        <w:pStyle w:val="TextoNormal"/>
      </w:pPr>
    </w:p>
    <w:p w14:paraId="54D89D8A" w14:textId="77777777" w:rsidR="00A8138F" w:rsidRDefault="00A8138F" w:rsidP="00A8138F">
      <w:pPr>
        <w:pStyle w:val="TextoNormal"/>
      </w:pPr>
      <w:r>
        <w:t>Alega que la doctrina aplicable al caso es la contenida en la STC 140/2024, de 6 de noviembre, que declaró la inconstitucionalidad de los arts. 48.4 LET y 177 LGSS, “precisamente por la vulneración del derecho establecido en el art. 14 CE en relación con el art. 39 CE que se alegaba en el presente recurso, y ha establecido una interpretación provisional, acorde con la Constitución, de la normativa sobre suspensión del contrato de trabajo allí establecida y de la prestación de la Seguridad Social anudada a la misma, mientras el legislador no reforme dichos artículos, todo lo cual es directamente aplicable al presente recurso”.</w:t>
      </w:r>
    </w:p>
    <w:p w14:paraId="1CD0F8DB" w14:textId="77777777" w:rsidR="00A8138F" w:rsidRDefault="00A8138F" w:rsidP="00A8138F">
      <w:pPr>
        <w:pStyle w:val="TextoNormal"/>
      </w:pPr>
    </w:p>
    <w:p w14:paraId="4F6580C1" w14:textId="4C8A5B89" w:rsidR="00A8138F" w:rsidRDefault="00A8138F" w:rsidP="00A8138F">
      <w:pPr>
        <w:pStyle w:val="TextoNormal"/>
      </w:pPr>
      <w:r>
        <w:t>La citada doctrina —continúa— ha sido aplicada en las SSTC 4/2025 a 6/2025 y 8/2025 a 10/2025, de 13 de enero, en las que “se acuerda el otorgamiento del amparo por considerar que la aplicación de la normativa declarada inconstitucional ha vulnerado el derecho fundamental a la igualdad ante la ley sin discriminación por razón de nacimiento (art. 14 CE) de los hijos menores nacidos en el seno de una familia monoparental”. En tales sentencias “se ha acordado la nulidad de las resoluciones impugnadas y ‘la retroacción al momento previo a la resolución administrativa’”. Dicha retroacción ha sido el efecto mayoritario de las sentencias de aplicación, “pese a que la Fiscalía […] solicitaba únicamente la anulación de las resoluciones judiciales que no se acomodan a la doctrina”. Sostiene que, en virtud del principio de subsidiariedad del amparo y dado que el Juzgado de lo Social núm. 9 de Bilbao y la Sala de lo Social del Tribunal Superior de Justicia del País Vasco reconocieron la ampliación de la prestación con argumentos coincidentes en lo esencial con la doctrina emanada de la citada STC 140/2024, lo procedente es “declarar la nulidad de la sentencia núm. 888/2024, de 5 de junio, de la Sala de lo Social del Tribunal Supremo […], con retroacción para que por la Sala se dicte una nueva resolución respetando el derecho fundamental vulnerado según resulta de la doctrina constitucional establecida en la sentencia de 6 de noviembre de 2024 dictada en la cuestión de inconstitucionalidad núm. 6694-2023”.</w:t>
      </w:r>
    </w:p>
    <w:p w14:paraId="0D0507A6" w14:textId="77777777" w:rsidR="00A8138F" w:rsidRDefault="00A8138F" w:rsidP="00A8138F">
      <w:pPr>
        <w:pStyle w:val="TextoNormal"/>
      </w:pPr>
    </w:p>
    <w:p w14:paraId="36055635" w14:textId="05C8EDD3" w:rsidR="00A8138F" w:rsidRDefault="00A8138F" w:rsidP="00A8138F">
      <w:pPr>
        <w:pStyle w:val="TextoNormal"/>
      </w:pPr>
      <w:r w:rsidRPr="00A8138F">
        <w:rPr>
          <w:rStyle w:val="NumeroAFNegritaCaracter"/>
        </w:rPr>
        <w:t>9</w:t>
      </w:r>
      <w:r>
        <w:t>. Por providencia de 22 de mayo de 2025 se señaló para la deliberación y votación de la presente sentencia el día 26 del mismo mes y año.</w:t>
      </w:r>
    </w:p>
    <w:p w14:paraId="412CD884" w14:textId="77777777" w:rsidR="00A8138F" w:rsidRDefault="00A8138F" w:rsidP="00A8138F">
      <w:pPr>
        <w:pStyle w:val="TextoNormal"/>
      </w:pPr>
    </w:p>
    <w:p w14:paraId="6BD2133C" w14:textId="77777777" w:rsidR="00A8138F" w:rsidRDefault="00A8138F" w:rsidP="00A8138F">
      <w:pPr>
        <w:pStyle w:val="TextoNormalNegritaCentrado"/>
        <w:keepNext/>
      </w:pPr>
      <w:r>
        <w:t>II. Fundamentos jurídicos</w:t>
      </w:r>
    </w:p>
    <w:p w14:paraId="3E6B28FA" w14:textId="300FDE5B" w:rsidR="00A8138F" w:rsidRDefault="00A8138F" w:rsidP="00A8138F">
      <w:pPr>
        <w:pStyle w:val="TextoNormalNegritaCentrado"/>
        <w:keepNext/>
      </w:pPr>
    </w:p>
    <w:p w14:paraId="672D97FF"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6643EE20" w14:textId="77777777" w:rsidR="00A8138F" w:rsidRDefault="00A8138F" w:rsidP="00A8138F">
      <w:pPr>
        <w:pStyle w:val="TextoNormal"/>
      </w:pPr>
    </w:p>
    <w:p w14:paraId="03BA344A" w14:textId="77777777" w:rsidR="00A8138F" w:rsidRDefault="00A8138F" w:rsidP="00A8138F">
      <w:pPr>
        <w:pStyle w:val="TextoNormal"/>
      </w:pPr>
      <w:r>
        <w:t>El objeto del presente proceso es dilucidar si la sentencia de la Sala de lo Social del Tribunal Supremo que anuló la sentencia de suplicación y que revocó la sentencia de instancia, confirmando así las resoluciones administrativas del INSS denegatorias de la ampliación de la prestación de nacimiento y cuidado de hija menor en familia monoparental, ha ocasionado a la demandante una discriminación contraria al art. 14 CE en relación con el art. 39 CE, al entender la sentencia que en las familias monoparentales no procede acumular la prestación por nacimiento y cuidado de menor, ya que no se establece en la normativa aplicable (art. 48.4 LET, en relación con el art. 177 LGSS, en la redacción dada por el Real Decreto-ley 6/2019, de 1 de marzo).</w:t>
      </w:r>
    </w:p>
    <w:p w14:paraId="2A6C06F4" w14:textId="77777777" w:rsidR="00A8138F" w:rsidRDefault="00A8138F" w:rsidP="00A8138F">
      <w:pPr>
        <w:pStyle w:val="TextoNormal"/>
      </w:pPr>
    </w:p>
    <w:p w14:paraId="17A6CC1E" w14:textId="561F9121" w:rsidR="00A8138F" w:rsidRDefault="00A8138F" w:rsidP="00A8138F">
      <w:pPr>
        <w:pStyle w:val="TextoNormal"/>
      </w:pPr>
      <w:r>
        <w:t>Como se ha reflejado en los antecedentes, la recurrente sostiene que la sentencia de la Sala de lo Social del Tribunal Supremo vulneró sus derechos a la igualdad en la ley y a la no discriminación directa por circunstancia personal y familiar e indirecta por razón de sexo. La fiscal interesa la estimación del recurso y la letrada de la administración de la Seguridad Social se allana a la demanda.</w:t>
      </w:r>
    </w:p>
    <w:p w14:paraId="3172C4FD" w14:textId="77777777" w:rsidR="00A8138F" w:rsidRDefault="00A8138F" w:rsidP="00A8138F">
      <w:pPr>
        <w:pStyle w:val="TextoNormal"/>
      </w:pPr>
    </w:p>
    <w:p w14:paraId="76781B40" w14:textId="77777777" w:rsidR="00A8138F" w:rsidRDefault="00A8138F" w:rsidP="00A8138F">
      <w:pPr>
        <w:pStyle w:val="TextoNormal"/>
      </w:pPr>
      <w:r w:rsidRPr="00A8138F">
        <w:rPr>
          <w:rStyle w:val="NumeroAFNegritaCaracter"/>
        </w:rPr>
        <w:t>2</w:t>
      </w:r>
      <w:r>
        <w:t xml:space="preserve">. </w:t>
      </w:r>
      <w:r w:rsidRPr="00A8138F">
        <w:rPr>
          <w:i/>
        </w:rPr>
        <w:t>Identidad de razón con el supuesto de las madres biológicas de familias monoparentales a las que se refiere la STC 140/2024, de 6 de noviembre</w:t>
      </w:r>
    </w:p>
    <w:p w14:paraId="21162C08" w14:textId="77777777" w:rsidR="00A8138F" w:rsidRDefault="00A8138F" w:rsidP="00A8138F">
      <w:pPr>
        <w:pStyle w:val="TextoNormal"/>
      </w:pPr>
    </w:p>
    <w:p w14:paraId="1EC2D4BE" w14:textId="77777777" w:rsidR="00A8138F" w:rsidRDefault="00A8138F" w:rsidP="00A8138F">
      <w:pPr>
        <w:pStyle w:val="TextoNormal"/>
      </w:pPr>
      <w:r>
        <w:t>La cuestión de fondo planteada en este recurso de amparo guarda estrecha relación con la resuelta por la STC 140/2024, de 6 de noviembre, en cuyos fundamentos jurídicos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4274E981" w14:textId="77777777" w:rsidR="00A8138F" w:rsidRDefault="00A8138F" w:rsidP="00A8138F">
      <w:pPr>
        <w:pStyle w:val="TextoNormal"/>
      </w:pPr>
    </w:p>
    <w:p w14:paraId="7C7DAA79"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6D61A43F" w14:textId="77777777" w:rsidR="00A8138F" w:rsidRDefault="00A8138F" w:rsidP="00A8138F">
      <w:pPr>
        <w:pStyle w:val="TextoNormal"/>
      </w:pPr>
    </w:p>
    <w:p w14:paraId="04A41CF4" w14:textId="77777777" w:rsidR="00A8138F" w:rsidRDefault="00A8138F" w:rsidP="00A8138F">
      <w:pPr>
        <w:pStyle w:val="TextoNormal"/>
      </w:pPr>
      <w:r>
        <w:t>La STC 140/2024, FJ 7, concluye que,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CFCA76C" w14:textId="77777777" w:rsidR="00A8138F" w:rsidRDefault="00A8138F" w:rsidP="00A8138F">
      <w:pPr>
        <w:pStyle w:val="TextoNormal"/>
      </w:pPr>
    </w:p>
    <w:p w14:paraId="4EF7B6F3" w14:textId="7BFCEEBC" w:rsidR="00A8138F" w:rsidRDefault="00A8138F" w:rsidP="00A8138F">
      <w:pPr>
        <w:pStyle w:val="TextoNormal"/>
      </w:pPr>
      <w:r>
        <w:t>Ciertamente, en el presente recurso de amparo no estamos ante un supuesto de madre biológica, sino adoptiva; no obstante, los razonamientos contenidos en la STC 140/2024 pueden trasladarse al caso de las familias monoparentales por adopción, dado que el reproche dirigido a la omisión del legislador por introducir una diferencia de trato entre niños y niñas según hayan nacido en familias biparentales o monoparentales es igualmente predicable en estos supuestos de adopción en los que la diferencia de trato se sigue trabando. Además, debe tenerse en cuenta que el art. 177 LGSS, al regular “la prestación por nacimiento y cuidado de menor” contempla como situaciones protegidas tanto el nacimiento como la adopción (y también la guarda con fines de adopción y el acogimiento familiar).</w:t>
      </w:r>
    </w:p>
    <w:p w14:paraId="3A96EC05" w14:textId="77777777" w:rsidR="00A8138F" w:rsidRDefault="00A8138F" w:rsidP="00A8138F">
      <w:pPr>
        <w:pStyle w:val="TextoNormal"/>
      </w:pPr>
    </w:p>
    <w:p w14:paraId="300E6986" w14:textId="77777777" w:rsidR="00A8138F" w:rsidRDefault="00A8138F" w:rsidP="00A8138F">
      <w:pPr>
        <w:pStyle w:val="TextoNormal"/>
      </w:pPr>
      <w:r w:rsidRPr="00A8138F">
        <w:rPr>
          <w:rStyle w:val="NumeroAFNegritaCaracter"/>
        </w:rPr>
        <w:t>3</w:t>
      </w:r>
      <w:r>
        <w:t xml:space="preserve">. </w:t>
      </w:r>
      <w:r w:rsidRPr="00A8138F">
        <w:rPr>
          <w:i/>
        </w:rPr>
        <w:t>Estimación del recurso y efectos</w:t>
      </w:r>
    </w:p>
    <w:p w14:paraId="0D385E66" w14:textId="77777777" w:rsidR="00A8138F" w:rsidRDefault="00A8138F" w:rsidP="00A8138F">
      <w:pPr>
        <w:pStyle w:val="TextoNormal"/>
      </w:pPr>
    </w:p>
    <w:p w14:paraId="7581F473" w14:textId="52097B7E" w:rsidR="00A8138F" w:rsidRDefault="00A8138F" w:rsidP="00A8138F">
      <w:pPr>
        <w:pStyle w:val="TextoNormal"/>
      </w:pPr>
      <w:r>
        <w:t>Así pues, en aplicación de la doctrina de la STC 140/2024, FFJJ 6 y 7, el recurso de amparo debe estimarse, reconocerse la vulneración y declararse la nulidad de las resoluciones administrativas impugnadas, de la sentencia de la Sala de lo Social del Tribunal Supremo y de la sentencia de la Sala de lo Social del Tribunal Superior de Justicia del País Vasco, con declaración de firmeza de la sentencia núm. 22/2022, de 1 de febrero, del Juzgado de lo Social núm. 9 de Bilbao (en igual sentido, SSTC 29/2025 y 39/2025, de 10 de febrero; 58/2025, de 10 de marzo, y 91/2025, de 7 de abril).</w:t>
      </w:r>
    </w:p>
    <w:p w14:paraId="58D92447" w14:textId="77777777" w:rsidR="00A8138F" w:rsidRDefault="00A8138F" w:rsidP="00A8138F">
      <w:pPr>
        <w:pStyle w:val="TextoNormal"/>
      </w:pPr>
    </w:p>
    <w:p w14:paraId="59879D46" w14:textId="77777777" w:rsidR="00A8138F" w:rsidRDefault="00A8138F" w:rsidP="00A8138F">
      <w:pPr>
        <w:pStyle w:val="TextoNormalCentrado"/>
        <w:keepNext/>
      </w:pPr>
      <w:r>
        <w:t>FALLO</w:t>
      </w:r>
    </w:p>
    <w:p w14:paraId="5CF0C9A9" w14:textId="1C754292" w:rsidR="00A8138F" w:rsidRDefault="00A8138F" w:rsidP="00A8138F">
      <w:pPr>
        <w:pStyle w:val="TextoNormalCentrado"/>
        <w:keepNext/>
      </w:pPr>
    </w:p>
    <w:p w14:paraId="6DAD7B74"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Olaia San Miguel Cantero y, en su virtud:</w:t>
      </w:r>
    </w:p>
    <w:p w14:paraId="6A8C7321" w14:textId="77777777" w:rsidR="00A8138F" w:rsidRDefault="00A8138F" w:rsidP="00A8138F">
      <w:pPr>
        <w:pStyle w:val="TextoNormal"/>
      </w:pPr>
    </w:p>
    <w:p w14:paraId="7EAF1941" w14:textId="77777777" w:rsidR="00A8138F" w:rsidRDefault="00A8138F" w:rsidP="00A8138F">
      <w:pPr>
        <w:pStyle w:val="TextoNormal"/>
      </w:pPr>
      <w:r>
        <w:t>1º Declarar vulnerado su derecho fundamental a la igualdad ante la ley, sin que pueda prevalecer discriminación alguna (art. 14 CE).</w:t>
      </w:r>
    </w:p>
    <w:p w14:paraId="389FD453" w14:textId="77777777" w:rsidR="00A8138F" w:rsidRDefault="00A8138F" w:rsidP="00A8138F">
      <w:pPr>
        <w:pStyle w:val="TextoNormal"/>
      </w:pPr>
    </w:p>
    <w:p w14:paraId="4F32AD86" w14:textId="77777777" w:rsidR="00A8138F" w:rsidRDefault="00A8138F" w:rsidP="00A8138F">
      <w:pPr>
        <w:pStyle w:val="TextoNormal"/>
      </w:pPr>
      <w:r>
        <w:t>2º Restablecerla en su derecho y, en consecuencia, declarar la nulidad de las resoluciones de 20 y 26 de octubre de 2021 del Instituto Nacional de la Seguridad Social, recaídas en el expediente de nacimiento y cuidado de menor núm. 17317-2021, de la sentencia núm. 270/2023, de 31 de enero, dictada por la Sala de lo Social del Tribunal Superior de Justicia del País Vasco en el recurso de suplicación núm. 2158-2022, y de la sentencia núm. 888/2024, de 5 de junio, dictada por la Sala de lo Social del Tribunal Supremo en el recurso de casación para la unificación de doctrina núm. 1335-2023.</w:t>
      </w:r>
    </w:p>
    <w:p w14:paraId="062D1CA3" w14:textId="77777777" w:rsidR="00A8138F" w:rsidRDefault="00A8138F" w:rsidP="00A8138F">
      <w:pPr>
        <w:pStyle w:val="TextoNormal"/>
      </w:pPr>
    </w:p>
    <w:p w14:paraId="4E9C803B" w14:textId="05D9CFB5" w:rsidR="00A8138F" w:rsidRDefault="00A8138F" w:rsidP="00A8138F">
      <w:pPr>
        <w:pStyle w:val="TextoNormal"/>
      </w:pPr>
      <w:r>
        <w:t>3º Declarar la firmeza de la sentencia núm. 22/2022, de 1 de febrero, del Juzgado de lo Social núm. 9 de Bilbao, dictada en el procedimiento de Seguridad Social núm. 1181-2021.</w:t>
      </w:r>
    </w:p>
    <w:p w14:paraId="3B4259C0" w14:textId="77777777" w:rsidR="00A8138F" w:rsidRDefault="00A8138F" w:rsidP="00A8138F">
      <w:pPr>
        <w:pStyle w:val="TextoNormal"/>
      </w:pPr>
    </w:p>
    <w:p w14:paraId="15994143" w14:textId="77777777" w:rsidR="00A8138F" w:rsidRDefault="00A8138F" w:rsidP="00A8138F">
      <w:pPr>
        <w:pStyle w:val="TextoNormal"/>
      </w:pPr>
      <w:r>
        <w:t>Publíquese esta sentencia en el “Boletín Oficial del Estado”.</w:t>
      </w:r>
    </w:p>
    <w:p w14:paraId="6CB98AFE" w14:textId="77777777" w:rsidR="00A8138F" w:rsidRDefault="00A8138F" w:rsidP="00A8138F">
      <w:pPr>
        <w:pStyle w:val="TextoNormal"/>
      </w:pPr>
      <w:r>
        <w:t>Dada en Madrid, a veintiséis de mayo de dos mil veinticinco.</w:t>
      </w:r>
    </w:p>
    <w:p w14:paraId="5AE3FA62" w14:textId="77096674" w:rsidR="00A8138F" w:rsidRDefault="00A8138F">
      <w:pPr>
        <w:spacing w:after="160" w:line="278" w:lineRule="auto"/>
        <w:rPr>
          <w:rFonts w:ascii="Times New Roman" w:eastAsia="Times New Roman" w:hAnsi="Times New Roman" w:cs="Times New Roman"/>
          <w:sz w:val="24"/>
          <w:szCs w:val="24"/>
          <w:lang w:eastAsia="es-ES"/>
        </w:rPr>
      </w:pPr>
      <w:r>
        <w:br w:type="page"/>
      </w:r>
    </w:p>
    <w:p w14:paraId="07C43A7D" w14:textId="77777777" w:rsidR="00A8138F" w:rsidRDefault="00A8138F" w:rsidP="00A8138F">
      <w:pPr>
        <w:pStyle w:val="TtuloResolucin"/>
      </w:pPr>
      <w:bookmarkStart w:id="126" w:name="SENTENCIA_2025_124"/>
      <w:r>
        <w:t>SENTENCIA 124/2025, de 26 de mayo de 2025</w:t>
      </w:r>
    </w:p>
    <w:bookmarkEnd w:id="126"/>
    <w:p w14:paraId="34D31B47" w14:textId="77777777" w:rsidR="00A8138F" w:rsidRDefault="00A8138F" w:rsidP="00A8138F">
      <w:pPr>
        <w:pStyle w:val="TtuloResolucin"/>
      </w:pPr>
      <w:r>
        <w:t>Sala Primera</w:t>
      </w:r>
    </w:p>
    <w:p w14:paraId="618F9BCB" w14:textId="77777777" w:rsidR="00A8138F" w:rsidRDefault="00A8138F" w:rsidP="00A8138F">
      <w:pPr>
        <w:pStyle w:val="TtuloBOE"/>
      </w:pPr>
      <w:r>
        <w:t>(BOE núm. 160, de 4 de julio de 2025)</w:t>
      </w:r>
    </w:p>
    <w:p w14:paraId="7153323C" w14:textId="77777777" w:rsidR="00A8138F" w:rsidRDefault="00A8138F" w:rsidP="00A8138F">
      <w:pPr>
        <w:pStyle w:val="TextoNormalCentrado"/>
      </w:pPr>
      <w:r>
        <w:t>ECLI:ES:TC:2025:124</w:t>
      </w:r>
    </w:p>
    <w:p w14:paraId="2F95D320" w14:textId="21D1310B" w:rsidR="00A8138F" w:rsidRDefault="00A8138F" w:rsidP="00A8138F">
      <w:pPr>
        <w:pStyle w:val="TextoNormalCentrado"/>
      </w:pPr>
    </w:p>
    <w:p w14:paraId="3D24FC2A" w14:textId="77777777" w:rsidR="00A8138F" w:rsidRDefault="00A8138F" w:rsidP="00A8138F">
      <w:pPr>
        <w:pStyle w:val="SntesisDescriptiva"/>
      </w:pPr>
      <w:r>
        <w:t>Recurso de amparo 5988-2024. Promovido por doña Katalin Nazabal Ortueta en relación con las resoluciones administrativas y judiciales que desestimaron su petición de revisión y ampliación de la prestación por nacimiento y cuidado de hijo menor, como madre biológica de familia monoparental.</w:t>
      </w:r>
    </w:p>
    <w:p w14:paraId="7C3BE54D" w14:textId="376BC9AE" w:rsidR="00A8138F" w:rsidRDefault="00A8138F" w:rsidP="00A8138F">
      <w:pPr>
        <w:pStyle w:val="SntesisDescriptiva"/>
      </w:pPr>
    </w:p>
    <w:p w14:paraId="756E3C17"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67D2B920" w14:textId="2DCB905E" w:rsidR="00A8138F" w:rsidRDefault="00A8138F" w:rsidP="00A8138F">
      <w:pPr>
        <w:pStyle w:val="SntesisAnaltica"/>
      </w:pPr>
    </w:p>
    <w:p w14:paraId="15166BD8" w14:textId="18340780"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56D7E5F8" w14:textId="77777777" w:rsidR="00A8138F" w:rsidRDefault="00A8138F" w:rsidP="00A8138F">
      <w:pPr>
        <w:pStyle w:val="Extracto"/>
      </w:pPr>
    </w:p>
    <w:p w14:paraId="5B0A9C56" w14:textId="77777777" w:rsidR="00A8138F" w:rsidRDefault="00A8138F" w:rsidP="00A8138F">
      <w:pPr>
        <w:pStyle w:val="Extracto"/>
      </w:pPr>
    </w:p>
    <w:p w14:paraId="71E2F5CE"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79CA1E5E" w14:textId="315DADD8" w:rsidR="00A8138F" w:rsidRDefault="00A8138F" w:rsidP="00A8138F">
      <w:pPr>
        <w:pStyle w:val="TextoNormal"/>
      </w:pPr>
    </w:p>
    <w:p w14:paraId="4EFC47A5" w14:textId="77777777" w:rsidR="00A8138F" w:rsidRDefault="00A8138F" w:rsidP="00A8138F">
      <w:pPr>
        <w:pStyle w:val="TextoNormalCentrado"/>
        <w:keepNext/>
      </w:pPr>
      <w:r>
        <w:t>EN NOMBRE DEL REY</w:t>
      </w:r>
    </w:p>
    <w:p w14:paraId="1DBDE2AA" w14:textId="18AD64AF" w:rsidR="00A8138F" w:rsidRDefault="00A8138F" w:rsidP="00A8138F">
      <w:pPr>
        <w:pStyle w:val="TextoNormalCentrado"/>
        <w:keepNext/>
      </w:pPr>
    </w:p>
    <w:p w14:paraId="47D19F76" w14:textId="77777777" w:rsidR="00A8138F" w:rsidRDefault="00A8138F" w:rsidP="00A8138F">
      <w:pPr>
        <w:pStyle w:val="TextoNormalCentrado"/>
        <w:keepNext/>
      </w:pPr>
    </w:p>
    <w:p w14:paraId="0206A3D0" w14:textId="77777777" w:rsidR="00A8138F" w:rsidRDefault="00A8138F" w:rsidP="00A8138F">
      <w:pPr>
        <w:pStyle w:val="TextoNormal"/>
      </w:pPr>
      <w:r>
        <w:t>la siguiente</w:t>
      </w:r>
    </w:p>
    <w:p w14:paraId="4E33001B" w14:textId="1597F7B5" w:rsidR="00A8138F" w:rsidRDefault="00A8138F" w:rsidP="00A8138F">
      <w:pPr>
        <w:pStyle w:val="TextoNormal"/>
      </w:pPr>
    </w:p>
    <w:p w14:paraId="068A36BE" w14:textId="77777777" w:rsidR="00A8138F" w:rsidRDefault="00A8138F" w:rsidP="00A8138F">
      <w:pPr>
        <w:pStyle w:val="TextoNormalCentrado"/>
        <w:keepNext/>
      </w:pPr>
      <w:r>
        <w:t>SENTENCIA</w:t>
      </w:r>
    </w:p>
    <w:p w14:paraId="502CEC6F" w14:textId="6677371D" w:rsidR="00A8138F" w:rsidRDefault="00A8138F" w:rsidP="00A8138F">
      <w:pPr>
        <w:pStyle w:val="TextoNormalCentrado"/>
        <w:keepNext/>
      </w:pPr>
    </w:p>
    <w:p w14:paraId="10605CA4" w14:textId="77777777" w:rsidR="00A8138F" w:rsidRDefault="00A8138F" w:rsidP="00A8138F">
      <w:pPr>
        <w:pStyle w:val="TextoNormal"/>
      </w:pPr>
      <w:r>
        <w:t>En el recurso de amparo núm. 5988-2024, promovido por doña Katalin Nazabal Ortueta, representada por la procuradora de los tribunales doña María Esperanza Azpeitia Calvín y asistida por la letrada doña Nagore Azúa Carrasco, frente a las resoluciones de 8 de febrero de 2022 y de 28 de marzo de 2022 del Instituto Nacional de la Seguridad Social (INSS) que desestimaron la solicitud de ampliación del permiso por nacimiento de hijo y cuidado de menor en una familia monoparental, confirmadas por la sentencia núm. 369/2022, de 28 de julio, dictada por el Juzgado de lo Social núm. 2 de Bilbao en los autos núm. 394-2022; la sentencia núm. 868/2023, de 4 de abril, de la Sala de lo Social del Tribunal Superior de Justicia del País Vasco que desestimó el recurso de suplicación núm. 2523-2022, y el auto de la Sala de lo Social del Tribunal Supremo de 10 de julio de 2024 que inadmitió a trámite el recurso de casación para la unificación de doctrina núm. 4258-2023. Han intervenido la letrada de la Administración de la Seguridad Social y el Ministerio Fiscal. Ha sido ponente el magistrado don Ricardo Enríquez Sancho.</w:t>
      </w:r>
    </w:p>
    <w:p w14:paraId="27F3E2F1" w14:textId="4B658306" w:rsidR="00A8138F" w:rsidRDefault="00A8138F" w:rsidP="00A8138F">
      <w:pPr>
        <w:pStyle w:val="TextoNormal"/>
      </w:pPr>
    </w:p>
    <w:p w14:paraId="4C9CE351" w14:textId="77777777" w:rsidR="00A8138F" w:rsidRDefault="00A8138F" w:rsidP="00A8138F">
      <w:pPr>
        <w:pStyle w:val="TextoNormalNegritaCentrado"/>
        <w:keepNext/>
      </w:pPr>
      <w:r>
        <w:t>I. Antecedentes</w:t>
      </w:r>
    </w:p>
    <w:p w14:paraId="0E3D7575" w14:textId="66CFCA9D" w:rsidR="00A8138F" w:rsidRDefault="00A8138F" w:rsidP="00A8138F">
      <w:pPr>
        <w:pStyle w:val="TextoNormalNegritaCentrado"/>
        <w:keepNext/>
      </w:pPr>
    </w:p>
    <w:p w14:paraId="40C3CE5A" w14:textId="756354AC" w:rsidR="00A8138F" w:rsidRDefault="00A8138F" w:rsidP="00A8138F">
      <w:pPr>
        <w:pStyle w:val="TextoNormal"/>
      </w:pPr>
      <w:r w:rsidRPr="00A8138F">
        <w:rPr>
          <w:rStyle w:val="NumeroAFNegritaCaracter"/>
        </w:rPr>
        <w:t>1</w:t>
      </w:r>
      <w:r>
        <w:t>. Mediante escrito presentado en el registro general de este tribunal el día 29 de julio de 2024, doña Esperanza Azpeitia Calvin, actuando en nombre y representación de doña Katalin Nazabal Ortueta, interpuso recurso de amparo frente a las resoluciones administrativas y judiciales que se han identificado en el encabezamiento de esta sentencia.</w:t>
      </w:r>
    </w:p>
    <w:p w14:paraId="640FA5CA" w14:textId="77777777" w:rsidR="00A8138F" w:rsidRDefault="00A8138F" w:rsidP="00A8138F">
      <w:pPr>
        <w:pStyle w:val="TextoNormal"/>
      </w:pPr>
    </w:p>
    <w:p w14:paraId="76BEEA9C" w14:textId="77777777" w:rsidR="00A8138F" w:rsidRDefault="00A8138F" w:rsidP="00A8138F">
      <w:pPr>
        <w:pStyle w:val="TextoNormal"/>
      </w:pPr>
      <w:r w:rsidRPr="00A8138F">
        <w:rPr>
          <w:rStyle w:val="NumeroAFNegritaCaracter"/>
        </w:rPr>
        <w:t>2</w:t>
      </w:r>
      <w:r>
        <w:t>. El presente recurso de amparo trae causa de los siguientes antecedentes:</w:t>
      </w:r>
    </w:p>
    <w:p w14:paraId="20AF0FBF" w14:textId="77777777" w:rsidR="00A8138F" w:rsidRDefault="00A8138F" w:rsidP="00A8138F">
      <w:pPr>
        <w:pStyle w:val="TextoNormal"/>
      </w:pPr>
    </w:p>
    <w:p w14:paraId="585646AD" w14:textId="77777777" w:rsidR="00A8138F" w:rsidRDefault="00A8138F" w:rsidP="00A8138F">
      <w:pPr>
        <w:pStyle w:val="TextoNormal"/>
      </w:pPr>
      <w:r>
        <w:t>a) La recurrente en amparo, madre biológica de un menor nacido el 26 de enero de 2022, con el que forma una familia monoparental, solicitó que se le ampliase la prestación por nacimiento y cuidado de hijo en las semanas que le hubieran correspondido al otro progenitor de haberse tratado de una familia biparental (dieciséis semanas adicionales). Su pretensión fue desestimada tácitamente por resolución del INSS de 8 de febrero de 2022, al reconocerla solo las dieciséis semanas que como progenitora le correspondían, y de forma expresa, por medio de resolución de 28 de marzo de 2022, que desestimó la reclamación previa formulada sobre la base de que la ley configuraba un derecho de carácter individual sin prever la eventual acumulación de las prestaciones de ambos progenitores en uno solo.</w:t>
      </w:r>
    </w:p>
    <w:p w14:paraId="01204BB6" w14:textId="77777777" w:rsidR="00A8138F" w:rsidRDefault="00A8138F" w:rsidP="00A8138F">
      <w:pPr>
        <w:pStyle w:val="TextoNormal"/>
      </w:pPr>
    </w:p>
    <w:p w14:paraId="0F50FA82" w14:textId="77777777" w:rsidR="00A8138F" w:rsidRDefault="00A8138F" w:rsidP="00A8138F">
      <w:pPr>
        <w:pStyle w:val="TextoNormal"/>
      </w:pPr>
      <w:r>
        <w:t>b) Disconforme con la duración de la prestación formuló demanda en la vía judicial frente al INSS y la Tesorería General de la Seguridad Social (TGSS) lo que dio lugar a los autos de Seguridad Social núm. 394-2022 seguidos ante el Juzgado de lo Social núm. 2 de Bilbao. Por sentencia núm. 369/2022, de 28 de julio, se desestimó la demanda de la actora por falta de amparo normativo de la extensión a las familias monoparentales del permiso que el otro progenitor tiene en la familia biparental, ya que para ello es preciso que se encuentre afiliado a la Seguridad Social, en alta o situación asimilada y cubra un periodo mínimo de cotización, calculándose su prestación en función de su concreta base reguladora.</w:t>
      </w:r>
    </w:p>
    <w:p w14:paraId="104EBC86" w14:textId="77777777" w:rsidR="00A8138F" w:rsidRDefault="00A8138F" w:rsidP="00A8138F">
      <w:pPr>
        <w:pStyle w:val="TextoNormal"/>
      </w:pPr>
    </w:p>
    <w:p w14:paraId="0CE68347" w14:textId="77777777" w:rsidR="00A8138F" w:rsidRDefault="00A8138F" w:rsidP="00A8138F">
      <w:pPr>
        <w:pStyle w:val="TextoNormal"/>
      </w:pPr>
      <w:r>
        <w:t>c) Frente a la referida sentencia se interpuso por la actora recurso de suplicación, núm. 2523-2022, que fue impugnado de contrario. El recurso fue desestimado por la sentencia núm. 868/2023, de 4 de abril, de la Sala de lo Social del Tribunal Superior de Justicia del País Vasco, que confirmó la sentencia de instancia en aplicación de la doctrina mantenida por la Sala de lo Social del Tribunal Supremo, dictada en Pleno, en sentencia de 2 de marzo de 2023 en el recurso núm. 3972-2020 (ECLI:ES:TS:2023:783), cuyos argumentos principales se transcribieron.</w:t>
      </w:r>
    </w:p>
    <w:p w14:paraId="7996978D" w14:textId="77777777" w:rsidR="00A8138F" w:rsidRDefault="00A8138F" w:rsidP="00A8138F">
      <w:pPr>
        <w:pStyle w:val="TextoNormal"/>
      </w:pPr>
    </w:p>
    <w:p w14:paraId="19A99E6A" w14:textId="6DD9CD6A" w:rsidR="00A8138F" w:rsidRDefault="00A8138F" w:rsidP="00A8138F">
      <w:pPr>
        <w:pStyle w:val="TextoNormal"/>
      </w:pPr>
      <w:r>
        <w:t>d) Frente a la anterior sentencia la parte actora interpuso recurso de casación para la unificación de doctrina núm. 4258-2023, siendo inadmitido por medio de auto de la Sala de lo Social del Tribunal Supremo de 10 de julio de 2024 por falta de contenido casacional, al ser la decisión de la sentencia recurrida coincidente con la doctrina unificada de esa Sala contenida en la sentencia de 2 de marzo de 2023, reiterada en otras posteriores, según la cual las familias monoparentales no tienen derecho a la acumulación de prestaciones ya que tal posibilidad no se establece en la ley vigente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todo tipo de familias.</w:t>
      </w:r>
    </w:p>
    <w:p w14:paraId="3C11B7EF" w14:textId="77777777" w:rsidR="00A8138F" w:rsidRDefault="00A8138F" w:rsidP="00A8138F">
      <w:pPr>
        <w:pStyle w:val="TextoNormal"/>
      </w:pPr>
    </w:p>
    <w:p w14:paraId="653673A3" w14:textId="77777777" w:rsidR="00A8138F" w:rsidRDefault="00A8138F" w:rsidP="00A8138F">
      <w:pPr>
        <w:pStyle w:val="TextoNormal"/>
      </w:pPr>
      <w:r w:rsidRPr="00A8138F">
        <w:rPr>
          <w:rStyle w:val="NumeroAFNegritaCaracter"/>
        </w:rPr>
        <w:t>3</w:t>
      </w:r>
      <w:r>
        <w:t>. En la demanda de amparo la recurrente denuncia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biparentales en materia de permisos por nacimiento y cuidado de hijos.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ni toma como parámetro interpretativo el interés del menor.</w:t>
      </w:r>
    </w:p>
    <w:p w14:paraId="7D1AA395" w14:textId="77777777" w:rsidR="00A8138F" w:rsidRDefault="00A8138F" w:rsidP="00A8138F">
      <w:pPr>
        <w:pStyle w:val="TextoNormal"/>
      </w:pPr>
    </w:p>
    <w:p w14:paraId="4DD6AFCF" w14:textId="77777777" w:rsidR="00A8138F" w:rsidRDefault="00A8138F" w:rsidP="00A8138F">
      <w:pPr>
        <w:pStyle w:val="TextoNormal"/>
      </w:pPr>
      <w:r>
        <w:t>Después alega la existencia de una discriminación directa de la recurrente por circunstancias personales y familiares, indicando que la discriminación de la recurrente resulta de su decisión de formar una familia monoparental, es decir, deriva de su condición familiar tomada en ejercicio del libre desarrollo de la personalidad (art. 10.1 CE) y se vincula con las convicciones y creencias más íntimas (art. 16 CE). Esas convicciones han causado un trato peyorativo tanto a la recurrente como a su hijo.</w:t>
      </w:r>
    </w:p>
    <w:p w14:paraId="2AA13DE5" w14:textId="77777777" w:rsidR="00A8138F" w:rsidRDefault="00A8138F" w:rsidP="00A8138F">
      <w:pPr>
        <w:pStyle w:val="TextoNormal"/>
      </w:pPr>
    </w:p>
    <w:p w14:paraId="71D59B7B" w14:textId="77777777" w:rsidR="00A8138F" w:rsidRDefault="00A8138F" w:rsidP="00A8138F">
      <w:pPr>
        <w:pStyle w:val="TextoNormal"/>
      </w:pPr>
      <w:r>
        <w:t>Se denuncia, finalmente, una discriminación indirecta por razón de sexo de la demandante por cuanto que, aunque la norma aplicada en principio es neutra, perjudica en mayor grado a las mujeres que son las que mayoritariamente constituyen las familias monoparentales.</w:t>
      </w:r>
    </w:p>
    <w:p w14:paraId="55872814" w14:textId="77777777" w:rsidR="00A8138F" w:rsidRDefault="00A8138F" w:rsidP="00A8138F">
      <w:pPr>
        <w:pStyle w:val="TextoNormal"/>
      </w:pPr>
    </w:p>
    <w:p w14:paraId="7E164547" w14:textId="6FD2219F" w:rsidR="00A8138F" w:rsidRDefault="00A8138F" w:rsidP="00A8138F">
      <w:pPr>
        <w:pStyle w:val="TextoNormal"/>
      </w:pPr>
      <w:r>
        <w:t>Por todo ello, solicita que se anulen las resoluciones del INSS y las judiciales que las confirmaron, con retroacción de las actuaciones al momento previo al dictado de las primeras para que el INSS dicte otra que resulte respetuosa con los derechos fundamentales de la recurrente.</w:t>
      </w:r>
    </w:p>
    <w:p w14:paraId="78101595" w14:textId="77777777" w:rsidR="00A8138F" w:rsidRDefault="00A8138F" w:rsidP="00A8138F">
      <w:pPr>
        <w:pStyle w:val="TextoNormal"/>
      </w:pPr>
    </w:p>
    <w:p w14:paraId="2E8F5163" w14:textId="77777777" w:rsidR="00A8138F" w:rsidRDefault="00A8138F" w:rsidP="00A8138F">
      <w:pPr>
        <w:pStyle w:val="TextoNormal"/>
      </w:pPr>
      <w:r w:rsidRPr="00A8138F">
        <w:rPr>
          <w:rStyle w:val="NumeroAFNegritaCaracter"/>
        </w:rPr>
        <w:t>4</w:t>
      </w:r>
      <w:r>
        <w:t>. Por providencia de 4 de noviembre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con carácter general [STC 155/2009, de 25 de junio, FJ 2 c)].</w:t>
      </w:r>
    </w:p>
    <w:p w14:paraId="5CAA5AF4" w14:textId="77777777" w:rsidR="00A8138F" w:rsidRDefault="00A8138F" w:rsidP="00A8138F">
      <w:pPr>
        <w:pStyle w:val="TextoNormal"/>
      </w:pPr>
    </w:p>
    <w:p w14:paraId="054C06D6" w14:textId="1F1E5139" w:rsidR="00A8138F" w:rsidRDefault="00A8138F" w:rsidP="00A8138F">
      <w:pPr>
        <w:pStyle w:val="TextoNormal"/>
      </w:pPr>
      <w:r>
        <w:t>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4258-2023 y al recurso de suplicación núm. 2523-2022, respectivamente. Asimismo, acordó dirigir atenta comunicación al Juzgado de lo Social núm. 2 de Bilbao a fin de que, en plazo que no excediera de diez días, remitiese certificación o fotocopia adverada de las actuaciones correspondientes a los autos núm. 394-2022, emplazando a quienes hubieran sido parte en el procedimiento, excepto la parte recurrente en amparo, para que, si lo deseaban, pudieran comparecer en el presente recurso.</w:t>
      </w:r>
    </w:p>
    <w:p w14:paraId="594673FC" w14:textId="77777777" w:rsidR="00A8138F" w:rsidRDefault="00A8138F" w:rsidP="00A8138F">
      <w:pPr>
        <w:pStyle w:val="TextoNormal"/>
      </w:pPr>
    </w:p>
    <w:p w14:paraId="6B2317AF" w14:textId="3C507336" w:rsidR="00A8138F" w:rsidRDefault="00A8138F" w:rsidP="00A8138F">
      <w:pPr>
        <w:pStyle w:val="TextoNormal"/>
      </w:pPr>
      <w:r w:rsidRPr="00A8138F">
        <w:rPr>
          <w:rStyle w:val="NumeroAFNegritaCaracter"/>
        </w:rPr>
        <w:t>5</w:t>
      </w:r>
      <w:r>
        <w:t>. El día 25 de febrero de 2025 la letrada de la Administración de la Seguridad Social se personó como parte recurrida en la representación que ostenta.</w:t>
      </w:r>
    </w:p>
    <w:p w14:paraId="1732D8FA" w14:textId="77777777" w:rsidR="00A8138F" w:rsidRDefault="00A8138F" w:rsidP="00A8138F">
      <w:pPr>
        <w:pStyle w:val="TextoNormal"/>
      </w:pPr>
    </w:p>
    <w:p w14:paraId="583300CC" w14:textId="19DD9C13" w:rsidR="00A8138F" w:rsidRDefault="00A8138F" w:rsidP="00A8138F">
      <w:pPr>
        <w:pStyle w:val="TextoNormal"/>
      </w:pPr>
      <w:r w:rsidRPr="00A8138F">
        <w:rPr>
          <w:rStyle w:val="NumeroAFNegritaCaracter"/>
        </w:rPr>
        <w:t>6</w:t>
      </w:r>
      <w:r>
        <w:t>. Por diligencia de ordenación de 12 de marzo de 2025 la Secretaría de Justicia de la Sala Primera de este tribunal tuvo por personada y parte a la letrada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 de conformidad con lo preceptuado en el art. 52 LOTC.</w:t>
      </w:r>
    </w:p>
    <w:p w14:paraId="107AB2F8" w14:textId="77777777" w:rsidR="00A8138F" w:rsidRDefault="00A8138F" w:rsidP="00A8138F">
      <w:pPr>
        <w:pStyle w:val="TextoNormal"/>
      </w:pPr>
    </w:p>
    <w:p w14:paraId="396B7F94" w14:textId="7022BFF1" w:rsidR="00A8138F" w:rsidRDefault="00A8138F" w:rsidP="00A8138F">
      <w:pPr>
        <w:pStyle w:val="TextoNormal"/>
      </w:pPr>
      <w:r w:rsidRPr="00A8138F">
        <w:rPr>
          <w:rStyle w:val="NumeroAFNegritaCaracter"/>
        </w:rPr>
        <w:t>7</w:t>
      </w:r>
      <w:r>
        <w:t>. Por escrito registrado en este tribunal el día 14 de marzo de 2025 la representación procesal de la recurrente en amparo evacuó el trámite de alegaciones conferido. Dando por reproducidos los argumentos contenidos en su demanda y desarrollando los mismos con mención de la STC 140/2024, de 6 de noviembre, solicitó que se dictase sentencia estimando su pretensión, subrayando que al tratarse de una familia monoparental se debe obviar la finalidad de corresponsabilidad en el cuidado de los hijos al interpretar las normas, debiendo prevalecer, por el contrario, el interés realmente protegido que no es otro que el “interés superior del menor”.</w:t>
      </w:r>
    </w:p>
    <w:p w14:paraId="77BA3361" w14:textId="77777777" w:rsidR="00A8138F" w:rsidRDefault="00A8138F" w:rsidP="00A8138F">
      <w:pPr>
        <w:pStyle w:val="TextoNormal"/>
      </w:pPr>
    </w:p>
    <w:p w14:paraId="0FE343E6" w14:textId="178E383C" w:rsidR="00A8138F" w:rsidRDefault="00A8138F" w:rsidP="00A8138F">
      <w:pPr>
        <w:pStyle w:val="TextoNormal"/>
      </w:pPr>
      <w:r w:rsidRPr="00A8138F">
        <w:rPr>
          <w:rStyle w:val="NumeroAFNegritaCaracter"/>
        </w:rPr>
        <w:t>8</w:t>
      </w:r>
      <w:r>
        <w:t>. El día 2 de abril de 2025 la letrada de la Administración de la Seguridad Social en la representación que ostenta evacuó el trámite de alegaciones conferido manifestando el allanamiento a la demanda de amparo, alegando que la dirección del servicio jurídico de la Seguridad Social dictó la instrucción 10/2024, de 23 de diciembre, autorizando al servicio jurídico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14:paraId="6F99DB9A" w14:textId="77777777" w:rsidR="00A8138F" w:rsidRDefault="00A8138F" w:rsidP="00A8138F">
      <w:pPr>
        <w:pStyle w:val="TextoNormal"/>
      </w:pPr>
    </w:p>
    <w:p w14:paraId="7DA51B6A" w14:textId="77777777" w:rsidR="00A8138F" w:rsidRDefault="00A8138F" w:rsidP="00A8138F">
      <w:pPr>
        <w:pStyle w:val="TextoNormal"/>
      </w:pPr>
      <w:r w:rsidRPr="00A8138F">
        <w:rPr>
          <w:rStyle w:val="NumeroAFNegritaCaracter"/>
        </w:rPr>
        <w:t>9</w:t>
      </w:r>
      <w:r>
        <w:t>. El 10 de abril de 2025 presentó sus alegaciones el fiscal ante este tribunal interesando la estimación del recurso de amparo por vulneración del derecho fundamental de igualdad ante la ley y no discriminación por razón de nacimiento (art. 14 CE) de un hijo menor en una familia monoparental, en aplicación de lo decidido en la STC 140/2024, de 6 de noviembre, que declaró la inconstitucionalidad por omisión de los art. 48.4 LET y 177 LGSS. Considera asimismo que, de acuerdo con lo solicitado en la demanda de amparo, procede la retroacción de las actuaciones hasta la primera resolución dictada por el INSS, teniendo en cuenta que —en lo relativo a la infracción del derecho fundamental del art. 14 CE— tanto las resoluciones del INSS como las diferentes resoluciones judiciales habían confirmado la denegación de la prestación adicional solicitada por la demandante, no coincidente en ningún caso con los términos que se recogen en el citado fundamento jurídico 7 de la STC 140/2024, pues ninguna de dichas resoluciones reconoció y reparó la lesión del derecho fundamental en términos conformes al fallo de esa sentencia.</w:t>
      </w:r>
    </w:p>
    <w:p w14:paraId="6E1423C1" w14:textId="77777777" w:rsidR="00A8138F" w:rsidRDefault="00A8138F" w:rsidP="00A8138F">
      <w:pPr>
        <w:pStyle w:val="TextoNormal"/>
      </w:pPr>
    </w:p>
    <w:p w14:paraId="6923EE48" w14:textId="730BCB39" w:rsidR="00A8138F" w:rsidRDefault="00A8138F" w:rsidP="00A8138F">
      <w:pPr>
        <w:pStyle w:val="TextoNormal"/>
      </w:pPr>
      <w:r>
        <w:t>En consecuencia, procede a su parecer la anulación de las diferentes resoluciones judiciales —sentencias y auto— recaídas en cada instancia, así como las resoluciones del INSS a fin de que ese organismo se pronuncie sobre la petición de ampliación de la prestación en los términos formulados en aquel momento, respetando el derecho fundamental vulnerado y aplicando la normativa de acuerdo con el criterio de la ya citada STC 140/2024.</w:t>
      </w:r>
    </w:p>
    <w:p w14:paraId="235DF8DC" w14:textId="77777777" w:rsidR="00A8138F" w:rsidRDefault="00A8138F" w:rsidP="00A8138F">
      <w:pPr>
        <w:pStyle w:val="TextoNormal"/>
      </w:pPr>
    </w:p>
    <w:p w14:paraId="6F6ACC6C" w14:textId="6F313B79" w:rsidR="00A8138F" w:rsidRDefault="00A8138F" w:rsidP="00A8138F">
      <w:pPr>
        <w:pStyle w:val="TextoNormal"/>
      </w:pPr>
      <w:r w:rsidRPr="00A8138F">
        <w:rPr>
          <w:rStyle w:val="NumeroAFNegritaCaracter"/>
        </w:rPr>
        <w:t>10</w:t>
      </w:r>
      <w:r>
        <w:t>. Mediante providencia de 23 de mayo de 2025, se señaló para deliberación y votación de la presente sentencia el día 26 del mismo mes y año.</w:t>
      </w:r>
    </w:p>
    <w:p w14:paraId="403A1CEB" w14:textId="77777777" w:rsidR="00A8138F" w:rsidRDefault="00A8138F" w:rsidP="00A8138F">
      <w:pPr>
        <w:pStyle w:val="TextoNormal"/>
      </w:pPr>
    </w:p>
    <w:p w14:paraId="3547E277" w14:textId="77777777" w:rsidR="00A8138F" w:rsidRDefault="00A8138F" w:rsidP="00A8138F">
      <w:pPr>
        <w:pStyle w:val="TextoNormalNegritaCentrado"/>
        <w:keepNext/>
      </w:pPr>
      <w:r>
        <w:t>II. Fundamentos jurídicos</w:t>
      </w:r>
    </w:p>
    <w:p w14:paraId="53F8CDD6" w14:textId="0AFD5F91" w:rsidR="00A8138F" w:rsidRDefault="00A8138F" w:rsidP="00A8138F">
      <w:pPr>
        <w:pStyle w:val="TextoNormalNegritaCentrado"/>
        <w:keepNext/>
      </w:pPr>
    </w:p>
    <w:p w14:paraId="752926C7"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0C316595" w14:textId="77777777" w:rsidR="00A8138F" w:rsidRDefault="00A8138F" w:rsidP="00A8138F">
      <w:pPr>
        <w:pStyle w:val="TextoNormal"/>
      </w:pPr>
    </w:p>
    <w:p w14:paraId="5F51FC37" w14:textId="0DE513A2"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29730618" w14:textId="77777777" w:rsidR="00A8138F" w:rsidRDefault="00A8138F" w:rsidP="00A8138F">
      <w:pPr>
        <w:pStyle w:val="TextoNormal"/>
      </w:pPr>
    </w:p>
    <w:p w14:paraId="7E886B6C"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2DE3DAFC" w14:textId="77777777" w:rsidR="00A8138F" w:rsidRDefault="00A8138F" w:rsidP="00A8138F">
      <w:pPr>
        <w:pStyle w:val="TextoNormal"/>
      </w:pPr>
    </w:p>
    <w:p w14:paraId="06D92A7D"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En el mismo sentido y ya con relación a la serie de recursos de amparo dentro de la que se inscribe la presente demanda, entre otras las SSTC 67/2025, de 18 de marzo, FJ 2; 90/2025, 93/2025 y 94/2025, estas tres últimas de 7 de abril, FJ 2.</w:t>
      </w:r>
    </w:p>
    <w:p w14:paraId="2B3B1414" w14:textId="77777777" w:rsidR="00A8138F" w:rsidRDefault="00A8138F" w:rsidP="00A8138F">
      <w:pPr>
        <w:pStyle w:val="TextoNormal"/>
      </w:pPr>
    </w:p>
    <w:p w14:paraId="0CE2841B" w14:textId="77777777" w:rsidR="00A8138F" w:rsidRDefault="00A8138F" w:rsidP="00A8138F">
      <w:pPr>
        <w:pStyle w:val="TextoNormal"/>
      </w:pPr>
      <w:r>
        <w:t>Aclarado este punto, la cuestión de fondo planteada en este recurso de amparo es coincidente con la resuelta por la STC 140/2024, de 6 de noviembre, motivo por el que la letrada de la administración de la Seguridad Social, en la representación que ostenta de la parte demandada, ha manifestado su allanamiento en el presente proceso de amparo, con los efectos que se han señalado. Debemos remitirnos, pues, a los fundamentos jurídicos de esa resolución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441C4EF0" w14:textId="77777777" w:rsidR="00A8138F" w:rsidRDefault="00A8138F" w:rsidP="00A8138F">
      <w:pPr>
        <w:pStyle w:val="TextoNormal"/>
      </w:pPr>
    </w:p>
    <w:p w14:paraId="32FE564B" w14:textId="77777777" w:rsidR="00A8138F" w:rsidRDefault="00A8138F" w:rsidP="00A8138F">
      <w:pPr>
        <w:pStyle w:val="TextoNormal"/>
      </w:pPr>
      <w:r>
        <w:t>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006CB307" w14:textId="77777777" w:rsidR="00A8138F" w:rsidRDefault="00A8138F" w:rsidP="00A8138F">
      <w:pPr>
        <w:pStyle w:val="TextoNormal"/>
      </w:pPr>
    </w:p>
    <w:p w14:paraId="7FACAC4F"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15FD00B" w14:textId="77777777" w:rsidR="00A8138F" w:rsidRDefault="00A8138F" w:rsidP="00A8138F">
      <w:pPr>
        <w:pStyle w:val="TextoNormal"/>
      </w:pPr>
    </w:p>
    <w:p w14:paraId="1BFDA234" w14:textId="77777777" w:rsidR="00A8138F" w:rsidRDefault="00A8138F" w:rsidP="00A8138F">
      <w:pPr>
        <w:pStyle w:val="TextoNormal"/>
      </w:pPr>
      <w:r>
        <w:t>En consecuencia, debe estimarse la demanda y otorgar el amparo solicitado, con nulidad, tal y como solicita la demandante de amparo e interesa el fiscal, de las resoluciones del Instituto Nacional de la Seguridad Social de 8 de febrero y de 28 de marzo de 2022 por las que se denegó a la demandante de amparo la ampliación de la prestación por nacimiento y cuidado de menor, así como las resoluciones judiciales que las confirmaron. La retroacción ha de hacerse, en consecuencia, al momento inmediatamente anterior al dictado de las citadas resoluciones administrativas que denegaron la pretensión de la actora para que sea el Instituto Nacional de la Seguridad Social el que dicte una nueva resolución que resulte acorde con lo declarado en la STC 140/2024, de 6 de noviembre.</w:t>
      </w:r>
    </w:p>
    <w:p w14:paraId="18127C63" w14:textId="77777777" w:rsidR="00A8138F" w:rsidRDefault="00A8138F" w:rsidP="00A8138F">
      <w:pPr>
        <w:pStyle w:val="TextoNormal"/>
      </w:pPr>
    </w:p>
    <w:p w14:paraId="504710D2" w14:textId="2694C88C" w:rsidR="00A8138F" w:rsidRDefault="00A8138F" w:rsidP="00A8138F">
      <w:pPr>
        <w:pStyle w:val="TextoNormal"/>
      </w:pPr>
      <w:r>
        <w:t>Como concretamos en el fundamento jurídico 7 de la citada sentencia,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5357B3BF" w14:textId="77777777" w:rsidR="00A8138F" w:rsidRDefault="00A8138F" w:rsidP="00A8138F">
      <w:pPr>
        <w:pStyle w:val="TextoNormal"/>
      </w:pPr>
    </w:p>
    <w:p w14:paraId="43520713" w14:textId="77777777" w:rsidR="00A8138F" w:rsidRDefault="00A8138F" w:rsidP="00A8138F">
      <w:pPr>
        <w:pStyle w:val="TextoNormalCentrado"/>
        <w:keepNext/>
      </w:pPr>
      <w:r>
        <w:t>FALLO</w:t>
      </w:r>
    </w:p>
    <w:p w14:paraId="5DB19C25" w14:textId="01C024D7" w:rsidR="00A8138F" w:rsidRDefault="00A8138F" w:rsidP="00A8138F">
      <w:pPr>
        <w:pStyle w:val="TextoNormalCentrado"/>
        <w:keepNext/>
      </w:pPr>
    </w:p>
    <w:p w14:paraId="69E46386"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Katalin Nazabal Ortueta y, en su virtud:</w:t>
      </w:r>
    </w:p>
    <w:p w14:paraId="783B6C54" w14:textId="77777777" w:rsidR="00A8138F" w:rsidRDefault="00A8138F" w:rsidP="00A8138F">
      <w:pPr>
        <w:pStyle w:val="TextoNormal"/>
      </w:pPr>
    </w:p>
    <w:p w14:paraId="67A03037" w14:textId="77777777" w:rsidR="00A8138F" w:rsidRDefault="00A8138F" w:rsidP="00A8138F">
      <w:pPr>
        <w:pStyle w:val="TextoNormal"/>
      </w:pPr>
      <w:r>
        <w:t>1º Declarar vulnerado el derecho fundamental a la igualdad ante la ley sin discriminación por razón de nacimiento (art. 14 CE).</w:t>
      </w:r>
    </w:p>
    <w:p w14:paraId="04B186BD" w14:textId="77777777" w:rsidR="00A8138F" w:rsidRDefault="00A8138F" w:rsidP="00A8138F">
      <w:pPr>
        <w:pStyle w:val="TextoNormal"/>
      </w:pPr>
    </w:p>
    <w:p w14:paraId="7E357CBD" w14:textId="77777777" w:rsidR="00A8138F" w:rsidRDefault="00A8138F" w:rsidP="00A8138F">
      <w:pPr>
        <w:pStyle w:val="TextoNormal"/>
      </w:pPr>
      <w:r>
        <w:t>2º Restablecerla en su derecho y, a tal fin, declarar la nulidad de las siguientes resoluciones: (i) las resoluciones del Instituto Nacional de la Seguridad Social de 8 de febrero y 28 de marzo de 2022; (ii) la sentencia núm. 369/2022, de 28 de julio, del Juzgado de lo Social núm. 2 de Bilbao, recaída en los autos núm. 394-2022; (iii) la sentencia núm. 868/2023, de 4 de abril, de la Sala de lo Social del Tribunal Superior de Justicia del País Vasco, que desestimó el recurso de suplicación núm. 2523-2022; y (iv) el auto de la Sala de lo Social del Tribunal Supremo, de 10 de julio de 2024, que inadmitió el recurso de casación para la unificación de doctrina núm. 4258-2023.</w:t>
      </w:r>
    </w:p>
    <w:p w14:paraId="360C1D68" w14:textId="77777777" w:rsidR="00A8138F" w:rsidRDefault="00A8138F" w:rsidP="00A8138F">
      <w:pPr>
        <w:pStyle w:val="TextoNormal"/>
      </w:pPr>
    </w:p>
    <w:p w14:paraId="1E8007AE" w14:textId="2FEA686D" w:rsidR="00A8138F" w:rsidRDefault="00A8138F" w:rsidP="00A8138F">
      <w:pPr>
        <w:pStyle w:val="TextoNormal"/>
      </w:pPr>
      <w:r>
        <w:t>3º Retrotraer las actuaciones al momento previo al dictado de la primera de las resoluciones administrativas mencionadas en el apartado anterior, para que el Instituto Nacional de la Seguridad Social dicte una resolución que resulte respetuosa con el derecho fundamental reconocido a la recurrente, con el alcance fijado en el último párrafo del fundamento jurídico 2 de esta sentencia.</w:t>
      </w:r>
    </w:p>
    <w:p w14:paraId="1034AD79" w14:textId="77777777" w:rsidR="00A8138F" w:rsidRDefault="00A8138F" w:rsidP="00A8138F">
      <w:pPr>
        <w:pStyle w:val="TextoNormal"/>
      </w:pPr>
    </w:p>
    <w:p w14:paraId="7F1938FB" w14:textId="77777777" w:rsidR="00A8138F" w:rsidRDefault="00A8138F" w:rsidP="00A8138F">
      <w:pPr>
        <w:pStyle w:val="TextoNormal"/>
      </w:pPr>
      <w:r>
        <w:t>Publíquese esta sentencia en el “Boletín Oficial del Estado”.</w:t>
      </w:r>
    </w:p>
    <w:p w14:paraId="31E31DD9" w14:textId="77777777" w:rsidR="00A8138F" w:rsidRDefault="00A8138F" w:rsidP="00A8138F">
      <w:pPr>
        <w:pStyle w:val="TextoNormal"/>
      </w:pPr>
      <w:r>
        <w:t>Dada en Madrid, a veintiséis de mayo de dos mil veinticinco.</w:t>
      </w:r>
    </w:p>
    <w:p w14:paraId="32281975" w14:textId="476574CC" w:rsidR="00A8138F" w:rsidRDefault="00A8138F">
      <w:pPr>
        <w:spacing w:after="160" w:line="278" w:lineRule="auto"/>
        <w:rPr>
          <w:rFonts w:ascii="Times New Roman" w:eastAsia="Times New Roman" w:hAnsi="Times New Roman" w:cs="Times New Roman"/>
          <w:sz w:val="24"/>
          <w:szCs w:val="24"/>
          <w:lang w:eastAsia="es-ES"/>
        </w:rPr>
      </w:pPr>
      <w:r>
        <w:br w:type="page"/>
      </w:r>
    </w:p>
    <w:p w14:paraId="0DCAA96E" w14:textId="77777777" w:rsidR="00A8138F" w:rsidRDefault="00A8138F" w:rsidP="00A8138F">
      <w:pPr>
        <w:pStyle w:val="TtuloResolucin"/>
      </w:pPr>
      <w:bookmarkStart w:id="127" w:name="SENTENCIA_2025_125"/>
      <w:r>
        <w:t>SENTENCIA 125/2025, de 26 de mayo de 2025</w:t>
      </w:r>
    </w:p>
    <w:bookmarkEnd w:id="127"/>
    <w:p w14:paraId="579AC8A5" w14:textId="77777777" w:rsidR="00A8138F" w:rsidRDefault="00A8138F" w:rsidP="00A8138F">
      <w:pPr>
        <w:pStyle w:val="TtuloResolucin"/>
      </w:pPr>
      <w:r>
        <w:t>Sala Segunda</w:t>
      </w:r>
    </w:p>
    <w:p w14:paraId="4D6D2821" w14:textId="77777777" w:rsidR="00A8138F" w:rsidRDefault="00A8138F" w:rsidP="00A8138F">
      <w:pPr>
        <w:pStyle w:val="TtuloBOE"/>
      </w:pPr>
      <w:r>
        <w:t>(BOE núm. 160, de 4 de julio de 2025)</w:t>
      </w:r>
    </w:p>
    <w:p w14:paraId="2A3AF3F1" w14:textId="77777777" w:rsidR="00A8138F" w:rsidRDefault="00A8138F" w:rsidP="00A8138F">
      <w:pPr>
        <w:pStyle w:val="TextoNormalCentrado"/>
      </w:pPr>
      <w:r>
        <w:t>ECLI:ES:TC:2025:125</w:t>
      </w:r>
    </w:p>
    <w:p w14:paraId="4D6C4469" w14:textId="4D896029" w:rsidR="00A8138F" w:rsidRDefault="00A8138F" w:rsidP="00A8138F">
      <w:pPr>
        <w:pStyle w:val="TextoNormalCentrado"/>
      </w:pPr>
    </w:p>
    <w:p w14:paraId="6FD77FEF" w14:textId="77777777" w:rsidR="00A8138F" w:rsidRDefault="00A8138F" w:rsidP="00A8138F">
      <w:pPr>
        <w:pStyle w:val="SntesisDescriptiva"/>
      </w:pPr>
      <w:r>
        <w:t>Recurso de amparo 6957-2024. Promovido por doña Beatriz Garrido Gómez en relación con las resoluciones administrativas y judiciales que desestimaron su petición de revisión y ampliación de la prestación por nacimiento y cuidado de hijo menor, como madre biológica de familia monoparental.</w:t>
      </w:r>
    </w:p>
    <w:p w14:paraId="734FDF9B" w14:textId="3827F464" w:rsidR="00A8138F" w:rsidRDefault="00A8138F" w:rsidP="00A8138F">
      <w:pPr>
        <w:pStyle w:val="SntesisDescriptiva"/>
      </w:pPr>
    </w:p>
    <w:p w14:paraId="59EDBDEB"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70ED8A1B" w14:textId="735689B4" w:rsidR="00A8138F" w:rsidRDefault="00A8138F" w:rsidP="00A8138F">
      <w:pPr>
        <w:pStyle w:val="SntesisAnaltica"/>
      </w:pPr>
    </w:p>
    <w:p w14:paraId="5D0D1EE0" w14:textId="5B665C4D"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Único].</w:t>
      </w:r>
    </w:p>
    <w:p w14:paraId="0EDE23E1" w14:textId="77777777" w:rsidR="00A8138F" w:rsidRDefault="00A8138F" w:rsidP="00A8138F">
      <w:pPr>
        <w:pStyle w:val="Extracto"/>
      </w:pPr>
    </w:p>
    <w:p w14:paraId="28E64BB7" w14:textId="77777777" w:rsidR="00A8138F" w:rsidRDefault="00A8138F" w:rsidP="00A8138F">
      <w:pPr>
        <w:pStyle w:val="Extracto"/>
      </w:pPr>
    </w:p>
    <w:p w14:paraId="633E3C15" w14:textId="77777777" w:rsidR="00A8138F" w:rsidRDefault="00A8138F" w:rsidP="00A8138F">
      <w:pPr>
        <w:pStyle w:val="TextoNormal"/>
      </w:pPr>
      <w: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14:paraId="079C8B81" w14:textId="7721B589" w:rsidR="00A8138F" w:rsidRDefault="00A8138F" w:rsidP="00A8138F">
      <w:pPr>
        <w:pStyle w:val="TextoNormal"/>
      </w:pPr>
    </w:p>
    <w:p w14:paraId="524DEAAA" w14:textId="77777777" w:rsidR="00A8138F" w:rsidRDefault="00A8138F" w:rsidP="00A8138F">
      <w:pPr>
        <w:pStyle w:val="TextoNormalCentrado"/>
        <w:keepNext/>
      </w:pPr>
      <w:r>
        <w:t>EN NOMBRE DEL REY</w:t>
      </w:r>
    </w:p>
    <w:p w14:paraId="3865ADCB" w14:textId="2FC922EF" w:rsidR="00A8138F" w:rsidRDefault="00A8138F" w:rsidP="00A8138F">
      <w:pPr>
        <w:pStyle w:val="TextoNormalCentrado"/>
        <w:keepNext/>
      </w:pPr>
    </w:p>
    <w:p w14:paraId="61EC304A" w14:textId="77777777" w:rsidR="00A8138F" w:rsidRDefault="00A8138F" w:rsidP="00A8138F">
      <w:pPr>
        <w:pStyle w:val="TextoNormalCentrado"/>
        <w:keepNext/>
      </w:pPr>
    </w:p>
    <w:p w14:paraId="3439A77E" w14:textId="77777777" w:rsidR="00A8138F" w:rsidRDefault="00A8138F" w:rsidP="00A8138F">
      <w:pPr>
        <w:pStyle w:val="TextoNormal"/>
      </w:pPr>
      <w:r>
        <w:t>la siguiente</w:t>
      </w:r>
    </w:p>
    <w:p w14:paraId="286D2741" w14:textId="7E87A108" w:rsidR="00A8138F" w:rsidRDefault="00A8138F" w:rsidP="00A8138F">
      <w:pPr>
        <w:pStyle w:val="TextoNormal"/>
      </w:pPr>
    </w:p>
    <w:p w14:paraId="28C5A938" w14:textId="77777777" w:rsidR="00A8138F" w:rsidRDefault="00A8138F" w:rsidP="00A8138F">
      <w:pPr>
        <w:pStyle w:val="TextoNormalCentrado"/>
        <w:keepNext/>
      </w:pPr>
      <w:r>
        <w:t>SENTENCIA</w:t>
      </w:r>
    </w:p>
    <w:p w14:paraId="30879A20" w14:textId="5D3080AF" w:rsidR="00A8138F" w:rsidRDefault="00A8138F" w:rsidP="00A8138F">
      <w:pPr>
        <w:pStyle w:val="TextoNormalCentrado"/>
        <w:keepNext/>
      </w:pPr>
    </w:p>
    <w:p w14:paraId="716CBA59" w14:textId="77777777" w:rsidR="00A8138F" w:rsidRDefault="00A8138F" w:rsidP="00A8138F">
      <w:pPr>
        <w:pStyle w:val="TextoNormal"/>
      </w:pPr>
      <w:r>
        <w:t>En el recurso de amparo núm. 6957-2024, promovido por doña Beatriz Garrido Gómez, representada por la procuradora de los tribunales doña Alicia Suau Casado y bajo la dirección de la letrada doña Aida Casanova Pérez, contra las resoluciones del Instituto Nacional de la Seguridad Social que desestimaron por silencio negativo tanto la solicitud de adicionar otras dieciséis semanas a la prestación por nacimiento y cuidado del menor como la posterior reclamación previa; así como contra la sentencia núm. 514/2023, de 2 de junio, dictada por la Sala de lo Social del Tribunal Superior de Justicia de Madrid en el recurso de suplicación núm. 93-2023, que estima el recurso del Instituto Nacional de la Seguridad Social contra la sentencia núm. 387/2022, de 1 de diciembre, dictada por el Juzgado de lo Social núm. 18 de Madrid en los autos núm. 781-2022, y contra el auto de la Sala de lo Social del Tribunal Supremo de 17 de julio de 2024 que inadmitió el recurso de casación para la unificación de doctrina núm. 4175-2023. Han intervenido la letrada de la Administración de la Seguridad Social y el Ministerio Fiscal. Ha sido ponente el magistrado don César Tolosa Tribiño.</w:t>
      </w:r>
    </w:p>
    <w:p w14:paraId="03061E9E" w14:textId="6676AA36" w:rsidR="00A8138F" w:rsidRDefault="00A8138F" w:rsidP="00A8138F">
      <w:pPr>
        <w:pStyle w:val="TextoNormal"/>
      </w:pPr>
    </w:p>
    <w:p w14:paraId="435215B7" w14:textId="77777777" w:rsidR="00A8138F" w:rsidRDefault="00A8138F" w:rsidP="00A8138F">
      <w:pPr>
        <w:pStyle w:val="TextoNormalNegritaCentrado"/>
        <w:keepNext/>
      </w:pPr>
      <w:r>
        <w:t>I. Antecedentes</w:t>
      </w:r>
    </w:p>
    <w:p w14:paraId="55C3FDE4" w14:textId="5AEFF9E1" w:rsidR="00A8138F" w:rsidRDefault="00A8138F" w:rsidP="00A8138F">
      <w:pPr>
        <w:pStyle w:val="TextoNormalNegritaCentrado"/>
        <w:keepNext/>
      </w:pPr>
    </w:p>
    <w:p w14:paraId="4E5B2A10" w14:textId="5D718BE6" w:rsidR="00A8138F" w:rsidRDefault="00A8138F" w:rsidP="00A8138F">
      <w:pPr>
        <w:pStyle w:val="TextoNormal"/>
      </w:pPr>
      <w:r w:rsidRPr="00A8138F">
        <w:rPr>
          <w:rStyle w:val="NumeroAFNegritaCaracter"/>
        </w:rPr>
        <w:t>1</w:t>
      </w:r>
      <w:r>
        <w:t>. El 22 de septiembre de 2024, doña Beatriz Garrido Gómez, con la representación y defensa indicadas, interpuso recurso de amparo contra las resoluciones del Instituto Nacional de la Seguridad Social (INSS) y las judiciales referidas en el encabezamiento.</w:t>
      </w:r>
    </w:p>
    <w:p w14:paraId="68EF1AA9" w14:textId="77777777" w:rsidR="00A8138F" w:rsidRDefault="00A8138F" w:rsidP="00A8138F">
      <w:pPr>
        <w:pStyle w:val="TextoNormal"/>
      </w:pPr>
    </w:p>
    <w:p w14:paraId="0D92A8A5" w14:textId="77777777" w:rsidR="00A8138F" w:rsidRDefault="00A8138F" w:rsidP="00A8138F">
      <w:pPr>
        <w:pStyle w:val="TextoNormal"/>
      </w:pPr>
      <w:r w:rsidRPr="00A8138F">
        <w:rPr>
          <w:rStyle w:val="NumeroAFNegritaCaracter"/>
        </w:rPr>
        <w:t>2</w:t>
      </w:r>
      <w:r>
        <w:t>. Los hechos relevantes para resolver el presente recurso de amparo son los siguientes:</w:t>
      </w:r>
    </w:p>
    <w:p w14:paraId="4D4504B5" w14:textId="77777777" w:rsidR="00A8138F" w:rsidRDefault="00A8138F" w:rsidP="00A8138F">
      <w:pPr>
        <w:pStyle w:val="TextoNormal"/>
      </w:pPr>
    </w:p>
    <w:p w14:paraId="71AC6AEF" w14:textId="77777777" w:rsidR="00A8138F" w:rsidRDefault="00A8138F" w:rsidP="00A8138F">
      <w:pPr>
        <w:pStyle w:val="TextoNormal"/>
      </w:pPr>
      <w:r>
        <w:t>a) La demandante de amparo, con motivo del nacimiento de su hijo, el 21 de febrero de 2022, en el seno de una familia monoparental, solicitó prestación por nacimiento y cuidado de la menor que le fue reconocida por resolución de 3 de marzo de 2022 por un periodo de dieciséis semanas.</w:t>
      </w:r>
    </w:p>
    <w:p w14:paraId="57B3D06E" w14:textId="77777777" w:rsidR="00A8138F" w:rsidRDefault="00A8138F" w:rsidP="00A8138F">
      <w:pPr>
        <w:pStyle w:val="TextoNormal"/>
      </w:pPr>
    </w:p>
    <w:p w14:paraId="7FC5CCD4" w14:textId="77777777" w:rsidR="00A8138F" w:rsidRDefault="00A8138F" w:rsidP="00A8138F">
      <w:pPr>
        <w:pStyle w:val="TextoNormal"/>
      </w:pPr>
      <w:r>
        <w:t>b) Posteriormente solicitó la revisión de dicha prestación y su ampliación con las semanas que le hubieran correspondido al otro progenitor. Dicha solicitud fue desestimada por la entidad gestora por silencio administrativo. Frente a dicha resolución presentó reclamación previa administrativa que fue desestimada también por silencio administrativo.</w:t>
      </w:r>
    </w:p>
    <w:p w14:paraId="2F5A3DAE" w14:textId="77777777" w:rsidR="00A8138F" w:rsidRDefault="00A8138F" w:rsidP="00A8138F">
      <w:pPr>
        <w:pStyle w:val="TextoNormal"/>
      </w:pPr>
    </w:p>
    <w:p w14:paraId="00ADB56A" w14:textId="77777777" w:rsidR="00A8138F" w:rsidRDefault="00A8138F" w:rsidP="00A8138F">
      <w:pPr>
        <w:pStyle w:val="TextoNormal"/>
      </w:pPr>
      <w:r>
        <w:t>c) La demandante de amparo interpuso demanda frente al INSS y la Tesorería General de la Seguridad Social (TGSS), interesando el reconocimiento del permiso por nacimiento y cuidado de menor en otras dieciséis semanas adicionales que le hubieran correspondido al otro progenitor en el caso de una familia biparental.</w:t>
      </w:r>
    </w:p>
    <w:p w14:paraId="06186351" w14:textId="77777777" w:rsidR="00A8138F" w:rsidRDefault="00A8138F" w:rsidP="00A8138F">
      <w:pPr>
        <w:pStyle w:val="TextoNormal"/>
      </w:pPr>
    </w:p>
    <w:p w14:paraId="26BFAF26" w14:textId="77777777" w:rsidR="00A8138F" w:rsidRDefault="00A8138F" w:rsidP="00A8138F">
      <w:pPr>
        <w:pStyle w:val="TextoNormal"/>
      </w:pPr>
      <w:r>
        <w:t>d) El Juzgado de lo Social núm. 18 de Madrid dictó sentencia, el 1 de diciembre de 2022, por la que estimó parcialmente la demanda y reconoció a la demandante el derecho a percibir la prestación por nacimiento y cuidado de hijo durante un período de diez semanas adicionales a las ya disfrutadas y devengadas.</w:t>
      </w:r>
    </w:p>
    <w:p w14:paraId="32545BD5" w14:textId="77777777" w:rsidR="00A8138F" w:rsidRDefault="00A8138F" w:rsidP="00A8138F">
      <w:pPr>
        <w:pStyle w:val="TextoNormal"/>
      </w:pPr>
    </w:p>
    <w:p w14:paraId="7A1E4040" w14:textId="77777777" w:rsidR="00A8138F" w:rsidRDefault="00A8138F" w:rsidP="00A8138F">
      <w:pPr>
        <w:pStyle w:val="TextoNormal"/>
      </w:pPr>
      <w:r>
        <w:t>e) Frente a dicha sentencia interpusieron recurso de suplicación el INSS y la TGSS que fue estimado por otra con núm. 514/2023, dictada el 2 de junio de 2023 por la Sección Tercera de la Sala de lo Social del Tribunal Superior de Justicia de Madrid, por lo que revocó la sentencia de instancia y dejó sin efecto la prestación adicional reconocida.</w:t>
      </w:r>
    </w:p>
    <w:p w14:paraId="4424CA3B" w14:textId="77777777" w:rsidR="00A8138F" w:rsidRDefault="00A8138F" w:rsidP="00A8138F">
      <w:pPr>
        <w:pStyle w:val="TextoNormal"/>
      </w:pPr>
    </w:p>
    <w:p w14:paraId="0267E3C8" w14:textId="77777777" w:rsidR="00A8138F" w:rsidRDefault="00A8138F" w:rsidP="00A8138F">
      <w:pPr>
        <w:pStyle w:val="TextoNormal"/>
      </w:pPr>
      <w:r>
        <w:t>f) Contra dicha resolución la recurrente de amparo interpuso recurso de casación para la unificación de doctrina, que fue inadmitido por auto de la Sala de lo Social del Tribunal Supremo de 17 de julio de 2024.</w:t>
      </w:r>
    </w:p>
    <w:p w14:paraId="43877269" w14:textId="77777777" w:rsidR="00A8138F" w:rsidRDefault="00A8138F" w:rsidP="00A8138F">
      <w:pPr>
        <w:pStyle w:val="TextoNormal"/>
      </w:pPr>
    </w:p>
    <w:p w14:paraId="77EAB4C7" w14:textId="789F2A28" w:rsidR="00A8138F" w:rsidRDefault="00A8138F" w:rsidP="00A8138F">
      <w:pPr>
        <w:pStyle w:val="TextoNormal"/>
      </w:pPr>
      <w:r>
        <w:t>Indica el auto que procede la inadmisión por falta de contenido casacional al haberse pronunciado la Sala, en su sentencia de Pleno de 2 de marzo de 2023 (ECLI:ES:TS:2023:783), seguida de muchas otras a las que se refiere, en las que resuelve que no procede el reconocimiento de una nueva prestación distinta a la ya reconocida y coincidente con la que hubiera correspondido al otro progenitor. Argumenta que la normativa vigente cumple las exigencias derivadas del Derecho de la Unión Europea, de la Constitución y de acuerdos y tratados internacionales, y que es al legislador a quien corresponde, en su caso, determinar el alcance y contenido de la protección que debe dispensarse a este tipo de familias.</w:t>
      </w:r>
    </w:p>
    <w:p w14:paraId="4CFA1DDB" w14:textId="77777777" w:rsidR="00A8138F" w:rsidRDefault="00A8138F" w:rsidP="00A8138F">
      <w:pPr>
        <w:pStyle w:val="TextoNormal"/>
      </w:pPr>
    </w:p>
    <w:p w14:paraId="06D3DCF1" w14:textId="77777777" w:rsidR="00A8138F" w:rsidRDefault="00A8138F" w:rsidP="00A8138F">
      <w:pPr>
        <w:pStyle w:val="TextoNormal"/>
      </w:pPr>
      <w:r w:rsidRPr="00A8138F">
        <w:rPr>
          <w:rStyle w:val="NumeroAFNegritaCaracter"/>
        </w:rPr>
        <w:t>3</w:t>
      </w:r>
      <w:r>
        <w:t>. En la demanda de amparo se solicita que se declare vulnerado el derecho a la igualdad en la ley y a la no discriminación directa e indirecta por razón de sexo y directa por razón de nacimiento entre las familias monoparentales y las biparentales, así como la nulidad de las resoluciones del INSS y de la sentencia y del auto que las confirmaron, y que se retrotraigan las actuaciones al momento previo al dictado de la resolución del INSS desestimatoria por silencio administrativo, para que dicte otra que respete los derechos fundamentales de la recurrente. En tal sentido, indica:</w:t>
      </w:r>
    </w:p>
    <w:p w14:paraId="268D7075" w14:textId="77777777" w:rsidR="00A8138F" w:rsidRDefault="00A8138F" w:rsidP="00A8138F">
      <w:pPr>
        <w:pStyle w:val="TextoNormal"/>
      </w:pPr>
    </w:p>
    <w:p w14:paraId="107B8A3F" w14:textId="77777777" w:rsidR="00A8138F" w:rsidRDefault="00A8138F" w:rsidP="00A8138F">
      <w:pPr>
        <w:pStyle w:val="TextoNormal"/>
      </w:pPr>
      <w:r>
        <w:t>a) Las resoluciones impugnadas han vulnerado el principio de igualdad entre madres y menores integrantes de las familias monoparentales y biparentales (arts. 14 y 39 CE). Indica que debe tenerse presente que la razón por la que se reconoce el derecho al permiso por nacimiento y cuidado de hijos o hijas menores de doce meses [art 48.4 del texto refundido de la Ley del estatuto de los trabajadores aprobado por el Real Decreto Legislativo 2/2015 (LET), modificado por el Real Decreto Legislativo 6/2019, de 1 de marzo], responde, además de a la necesidad de proteger la salud de la madre biológica, a la de hacer efectivo el deber constitucional de los progenitores de prestar asistencia de todo orden a los hijos menores (art. 39.3 CE) y de contribuir a la efectiva realización del principio rector de la política social que establece que los poderes públicos aseguran la protección social, económica y jurídica de la familia, con independencia del tipo de familia de que se trate (art. 39.1 CE). Además, el art. 39.4 CE prevé que los niños gozarán de la protección prevista en los acuerdos internacionales que velan por sus derechos, lo que da entrada a la aplicación de la Convención de las Naciones Unidas sobre los derechos del niño.</w:t>
      </w:r>
    </w:p>
    <w:p w14:paraId="5ABD88A8" w14:textId="77777777" w:rsidR="00A8138F" w:rsidRDefault="00A8138F" w:rsidP="00A8138F">
      <w:pPr>
        <w:pStyle w:val="TextoNormal"/>
      </w:pPr>
    </w:p>
    <w:p w14:paraId="16C6DC48" w14:textId="77777777" w:rsidR="00A8138F" w:rsidRDefault="00A8138F" w:rsidP="00A8138F">
      <w:pPr>
        <w:pStyle w:val="TextoNormal"/>
      </w:pPr>
      <w:r>
        <w:t>b) Por otra parte, las resoluciones impugnadas también ocasionan una discriminación directa por circunstancias personales y familiares (arts. 14 y 39 CE). Considera la recurrente que la discriminación se produce al ofrecer a la progenitora única un tratamiento igual a necesidades que son distintas a las de la familia conformada por dos progenitores. Asignar el mismo tiempo de permiso a la madre sea parte de una unidad biparental o monoparental niega la situación que diferencia ambas realidades y que requieren un tratamiento diferenciado para eliminar toda discriminación, tal y como pretende tanto la normativa nacional como la internacional. En definitiva, la decisión de la recurrente en amparo de ser la única progenitora de su hijo ha sido el criterio que ha servido al INSS, y después a los órganos judiciales, para denegar la prestación por nacimiento y cuidado de menor del otro progenitor. Dicha condición personal y familiar de la recurrente en amparo es un criterio diferenciador absolutamente irrazonable.</w:t>
      </w:r>
    </w:p>
    <w:p w14:paraId="49D95EC6" w14:textId="77777777" w:rsidR="00A8138F" w:rsidRDefault="00A8138F" w:rsidP="00A8138F">
      <w:pPr>
        <w:pStyle w:val="TextoNormal"/>
      </w:pPr>
    </w:p>
    <w:p w14:paraId="004BB749" w14:textId="4B0CE538" w:rsidR="00A8138F" w:rsidRDefault="00A8138F" w:rsidP="00A8138F">
      <w:pPr>
        <w:pStyle w:val="TextoNormal"/>
      </w:pPr>
      <w:r>
        <w:t>c) Por último, considera que se produce una discriminación indirecta por razón de sexo de la demandante en amparo (arts. 14 y 9.2 CE). Según datos del Instituto Nacional de Estadística en el año 2018 existían 1 878 500 familias monoparentales, estando 1 538 200 formadas por mujeres (82 por 100); en 2019 existían 1 887 500 familias monoparentales, 1 530 600 estaban formadas por mujeres (82 por 100); y en 2020 existían 1 944 800 familias monoparentales, de las cuales 1 582 100 eran monomarentales (81 por 100). En España más de ocho de cada diez hogares monoparentales están encabezados por una mujer. De modo que la libre decisión, según está estadísticamente probado, es tomada mayoritariamente por mujeres, y no por hombres, con la consecuencia de que el tratamiento peyorativo afecta mayoritariamente a las mujeres, en el ejercicio de su libre autodeterminación de formar familias monoparentales, produciendo una discriminación indirecta por razón de sexo (art 14, segundo inciso, CE en relación con el art 10.1 CE).</w:t>
      </w:r>
    </w:p>
    <w:p w14:paraId="64810325" w14:textId="77777777" w:rsidR="00A8138F" w:rsidRDefault="00A8138F" w:rsidP="00A8138F">
      <w:pPr>
        <w:pStyle w:val="TextoNormal"/>
      </w:pPr>
    </w:p>
    <w:p w14:paraId="11DC211B" w14:textId="75837ACB" w:rsidR="00A8138F" w:rsidRDefault="00A8138F" w:rsidP="00A8138F">
      <w:pPr>
        <w:pStyle w:val="TextoNormal"/>
      </w:pPr>
      <w:r w:rsidRPr="00A8138F">
        <w:rPr>
          <w:rStyle w:val="NumeroAFNegritaCaracter"/>
        </w:rPr>
        <w:t>4</w:t>
      </w:r>
      <w:r>
        <w:t>. La Sección Tercera de este tribunal, mediante providencia de 16 de diciembre de 2024, acordó la admisión a trámite del recurso al apreciar que su contenido justificaba una decisión sobre el fondo por su especial trascendencia constitucional [art. 50.1 de la Ley Orgánica del Tribunal Constitucional (LOTC)], como consecuencia de que la posible vulneración del derecho fundamental que se denuncia pudiera provenir de la ley o de otra disposición de carácter general [STC 155/2009, 25 de junio, FJ 2 c)]. Acordó igualmente dirigir atenta comunicación a los órganos judiciales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w:t>
      </w:r>
    </w:p>
    <w:p w14:paraId="458DB763" w14:textId="77777777" w:rsidR="00A8138F" w:rsidRDefault="00A8138F" w:rsidP="00A8138F">
      <w:pPr>
        <w:pStyle w:val="TextoNormal"/>
      </w:pPr>
    </w:p>
    <w:p w14:paraId="06DDFDA1" w14:textId="77777777" w:rsidR="00A8138F" w:rsidRDefault="00A8138F" w:rsidP="00A8138F">
      <w:pPr>
        <w:pStyle w:val="TextoNormal"/>
      </w:pPr>
      <w:r w:rsidRPr="00A8138F">
        <w:rPr>
          <w:rStyle w:val="NumeroAFNegritaCaracter"/>
        </w:rPr>
        <w:t>5</w:t>
      </w:r>
      <w:r>
        <w:t>. La letrada de la Administración de la Seguridad Social, el 27 de enero de 2025, presentó, en representación del INSS y de la TGSS, escrito de alegaciones en el que manifiesta su decisión de allanarse al recurso de amparo promovido por la recurrente.</w:t>
      </w:r>
    </w:p>
    <w:p w14:paraId="78529469" w14:textId="77777777" w:rsidR="00A8138F" w:rsidRDefault="00A8138F" w:rsidP="00A8138F">
      <w:pPr>
        <w:pStyle w:val="TextoNormal"/>
      </w:pPr>
    </w:p>
    <w:p w14:paraId="1CEE7612" w14:textId="77777777" w:rsidR="00A8138F" w:rsidRDefault="00A8138F" w:rsidP="00A8138F">
      <w:pPr>
        <w:pStyle w:val="TextoNormal"/>
      </w:pPr>
      <w:r>
        <w:t>El allanamiento se fundamenta, principalmente, en la doctrina establecida por la STC 140/2024, de 6 de noviembre, dictada por el Pleno, que declaró la inconstitucionalidad de los artículos 48.4, 48.5 y 48.6 LET, en conexión con el artículo 177 de la Ley general de la Seguridad Social (LGSS). Dicha sentencia reconoce que estos preceptos incurrieron en una omisión legislativa que vulnera el derecho fundamental a la igualdad (art. 14 CE), en relación con la protección de la familia y la infancia (art. 39 CE), al no contemplar adecuadamente la situación de las familias monoparentales en el disfrute del permiso por nacimiento y cuidado del menor.</w:t>
      </w:r>
    </w:p>
    <w:p w14:paraId="07FC954D" w14:textId="77777777" w:rsidR="00A8138F" w:rsidRDefault="00A8138F" w:rsidP="00A8138F">
      <w:pPr>
        <w:pStyle w:val="TextoNormal"/>
      </w:pPr>
    </w:p>
    <w:p w14:paraId="246FB4CA" w14:textId="77777777" w:rsidR="00A8138F" w:rsidRDefault="00A8138F" w:rsidP="00A8138F">
      <w:pPr>
        <w:pStyle w:val="TextoNormal"/>
      </w:pPr>
      <w:r>
        <w:t>La letrada también se apoya en la jurisprudencia consolidada por el Tribunal Constitucional en varias sentencias posteriores (como las que resuelven los recursos de amparo 1084-2024, 1880-2024, 1845-2024 y 6078-2023), que resolvieron supuestos análogos estimando los recursos de amparo interpuestos por madres en familias monoparentales. En estos fallos, el Tribunal declaró la nulidad de las resoluciones administrativas y judiciales impugnadas, y ordenó la retroacción de actuaciones para que el INSS dictase nuevas resoluciones respetuosas con los derechos fundamentales vulnerados.</w:t>
      </w:r>
    </w:p>
    <w:p w14:paraId="3F429B45" w14:textId="77777777" w:rsidR="00A8138F" w:rsidRDefault="00A8138F" w:rsidP="00A8138F">
      <w:pPr>
        <w:pStyle w:val="TextoNormal"/>
      </w:pPr>
    </w:p>
    <w:p w14:paraId="5803B671" w14:textId="7945779D" w:rsidR="00A8138F" w:rsidRDefault="00A8138F" w:rsidP="00A8138F">
      <w:pPr>
        <w:pStyle w:val="TextoNormal"/>
      </w:pPr>
      <w:r>
        <w:t>En aplicación de esta doctrina, y en cumplimiento de la instrucción 10/2024, de 23 de diciembre, emitida por la dirección del servicio jurídico de la Seguridad Social, la letrada del INSS asume expresamente que concurren en el presente caso las mismas circunstancias jurídicas y fácticas que justifican el allanamiento. Por ello, solicita al Tribunal que tenga por presentada su personación y por efectuado el allanamiento, conforme a los términos establecidos por la jurisprudencia constitucional reciente.</w:t>
      </w:r>
    </w:p>
    <w:p w14:paraId="296936E9" w14:textId="77777777" w:rsidR="00A8138F" w:rsidRDefault="00A8138F" w:rsidP="00A8138F">
      <w:pPr>
        <w:pStyle w:val="TextoNormal"/>
      </w:pPr>
    </w:p>
    <w:p w14:paraId="0B3F156A" w14:textId="45BDE794" w:rsidR="00A8138F" w:rsidRDefault="00A8138F" w:rsidP="00A8138F">
      <w:pPr>
        <w:pStyle w:val="TextoNormal"/>
      </w:pPr>
      <w:r w:rsidRPr="00A8138F">
        <w:rPr>
          <w:rStyle w:val="NumeroAFNegritaCaracter"/>
        </w:rPr>
        <w:t>6</w:t>
      </w:r>
      <w:r>
        <w:t>. El 30 de abril de 2025, la representación procesal de la parte demandante presentó su escrito de alegaciones, en el que ratificó los fundamentos de su pretensión de amparo mediante la remisión al contenido de la demanda inicial. Asimismo, la parte recurrente hizo referencia en su escrito a la STC 140/2024, de 6 de diciembre, así como a las sentencias posteriores de este tribunal que la han aplicado, que confirman la vulneración de los derechos en que se sustenta la demanda.</w:t>
      </w:r>
    </w:p>
    <w:p w14:paraId="7A6460C5" w14:textId="77777777" w:rsidR="00A8138F" w:rsidRDefault="00A8138F" w:rsidP="00A8138F">
      <w:pPr>
        <w:pStyle w:val="TextoNormal"/>
      </w:pPr>
    </w:p>
    <w:p w14:paraId="5DAE7CCE" w14:textId="77777777" w:rsidR="00A8138F" w:rsidRDefault="00A8138F" w:rsidP="00A8138F">
      <w:pPr>
        <w:pStyle w:val="TextoNormal"/>
      </w:pPr>
      <w:r w:rsidRPr="00A8138F">
        <w:rPr>
          <w:rStyle w:val="NumeroAFNegritaCaracter"/>
        </w:rPr>
        <w:t>7</w:t>
      </w:r>
      <w:r>
        <w:t>. El Ministerio Fiscal, mediante escrito registrado el 9 de mayo de 2025, interesó la estimación del recurso de amparo y solicitó que se declare la vulneración del derecho a la igualdad y a la no discriminación por razón de nacimiento de la recurrente y de su hijo menor, en relación con el principio de protección integral de los hijos, con independencia de su filiación, de conformidad con lo dispuesto en los convenios internacionales sobre derechos del niño (art. 14 CE en conexión con el art. 39 CE).</w:t>
      </w:r>
    </w:p>
    <w:p w14:paraId="5DCC7106" w14:textId="77777777" w:rsidR="00A8138F" w:rsidRDefault="00A8138F" w:rsidP="00A8138F">
      <w:pPr>
        <w:pStyle w:val="TextoNormal"/>
      </w:pPr>
    </w:p>
    <w:p w14:paraId="34983525" w14:textId="77777777" w:rsidR="00A8138F" w:rsidRDefault="00A8138F" w:rsidP="00A8138F">
      <w:pPr>
        <w:pStyle w:val="TextoNormal"/>
      </w:pPr>
      <w:r>
        <w:t>Asimismo, instó la nulidad de la sentencia núm. 514/2023, de 2 de junio, dictada por la Sección Tercera de la Sala de lo Social del Tribunal Superior de Justicia de Madrid en el recurso de suplicación núm. 93-2023, solicitando el restablecimiento de lo acordado en la sentencia núm. 387/2022, de 1 de diciembre, dictada por el Juzgado de lo Social núm. 18 de Madrid, por considerar que esta última se ajusta plenamente a la doctrina constitucional sentada en la STC 140/2024, de 6 de noviembre, dictada en la cuestión de inconstitucionalidad núm. 6694-2023.</w:t>
      </w:r>
    </w:p>
    <w:p w14:paraId="614FEADC" w14:textId="77777777" w:rsidR="00A8138F" w:rsidRDefault="00A8138F" w:rsidP="00A8138F">
      <w:pPr>
        <w:pStyle w:val="TextoNormal"/>
      </w:pPr>
    </w:p>
    <w:p w14:paraId="76E74C86" w14:textId="77777777" w:rsidR="00A8138F" w:rsidRDefault="00A8138F" w:rsidP="00A8138F">
      <w:pPr>
        <w:pStyle w:val="TextoNormal"/>
      </w:pPr>
      <w:r>
        <w:t>En sus alegaciones se remite a la doctrina constitucional establecida en la STC 140/2024 y en las posteriores sentencias de aplicación de dicha doctrina en recursos de amparo de contenido similar al que promueve la parte actora en este procedimiento (así, entre las más recientes, SSTC 17/2025, 18/2025, 19/2025, 20/2025, 21/2025, 22/2025, 23/2025 y 24/2025, todas ellas de 27 de enero.</w:t>
      </w:r>
    </w:p>
    <w:p w14:paraId="3182C431" w14:textId="77777777" w:rsidR="00A8138F" w:rsidRDefault="00A8138F" w:rsidP="00A8138F">
      <w:pPr>
        <w:pStyle w:val="TextoNormal"/>
      </w:pPr>
    </w:p>
    <w:p w14:paraId="196C71F5" w14:textId="1688BD1B" w:rsidR="00A8138F" w:rsidRDefault="00A8138F" w:rsidP="00A8138F">
      <w:pPr>
        <w:pStyle w:val="TextoNormal"/>
      </w:pPr>
      <w:r>
        <w:t>Entiende que su aplicación al caso determina la estimación del recurso. De este modo, considera que al aplicar los arts. 48.4 LET y 177 LGSS, declarados inconstitucionales, las resoluciones impugnadas han producido la discriminación prohibida por el art. 14 CE, por razón de nacimiento del menor en una familia monoparental.</w:t>
      </w:r>
    </w:p>
    <w:p w14:paraId="1857C890" w14:textId="77777777" w:rsidR="00A8138F" w:rsidRDefault="00A8138F" w:rsidP="00A8138F">
      <w:pPr>
        <w:pStyle w:val="TextoNormal"/>
      </w:pPr>
    </w:p>
    <w:p w14:paraId="300C2202" w14:textId="6FBDC5E1" w:rsidR="00A8138F" w:rsidRDefault="00A8138F" w:rsidP="00A8138F">
      <w:pPr>
        <w:pStyle w:val="TextoNormal"/>
      </w:pPr>
      <w:r w:rsidRPr="00A8138F">
        <w:rPr>
          <w:rStyle w:val="NumeroAFNegritaCaracter"/>
        </w:rPr>
        <w:t>8</w:t>
      </w:r>
      <w:r>
        <w:t>. Mediante diligencia del secretario de la Sección Tercera de 12 de marzo de 2025, se hizo constar que se habían recibido los precedentes escritos de alegaciones y que quedaba el presente recurso de amparo pendiente para deliberación cuando por turno correspondiera.</w:t>
      </w:r>
    </w:p>
    <w:p w14:paraId="3990B0A5" w14:textId="77777777" w:rsidR="00A8138F" w:rsidRDefault="00A8138F" w:rsidP="00A8138F">
      <w:pPr>
        <w:pStyle w:val="TextoNormal"/>
      </w:pPr>
    </w:p>
    <w:p w14:paraId="6177F274" w14:textId="519D3E68" w:rsidR="00A8138F" w:rsidRDefault="00A8138F" w:rsidP="00A8138F">
      <w:pPr>
        <w:pStyle w:val="TextoNormal"/>
      </w:pPr>
      <w:r w:rsidRPr="00A8138F">
        <w:rPr>
          <w:rStyle w:val="NumeroAFNegritaCaracter"/>
        </w:rPr>
        <w:t>9</w:t>
      </w:r>
      <w:r>
        <w:t>. Mediante providencia de 22 de mayo de 2025, se señaló para deliberación y votación de la presente sentencia el día 26 del mismo mes y año.</w:t>
      </w:r>
    </w:p>
    <w:p w14:paraId="1A31864F" w14:textId="77777777" w:rsidR="00A8138F" w:rsidRDefault="00A8138F" w:rsidP="00A8138F">
      <w:pPr>
        <w:pStyle w:val="TextoNormal"/>
      </w:pPr>
    </w:p>
    <w:p w14:paraId="4EDE3FFB" w14:textId="77777777" w:rsidR="00A8138F" w:rsidRDefault="00A8138F" w:rsidP="00A8138F">
      <w:pPr>
        <w:pStyle w:val="TextoNormalNegritaCentrado"/>
        <w:keepNext/>
      </w:pPr>
      <w:r>
        <w:t>II. Fundamentos jurídicos</w:t>
      </w:r>
    </w:p>
    <w:p w14:paraId="319A8FE9" w14:textId="118FA5F4" w:rsidR="00A8138F" w:rsidRDefault="00A8138F" w:rsidP="00A8138F">
      <w:pPr>
        <w:pStyle w:val="TextoNormalNegritaCentrado"/>
        <w:keepNext/>
      </w:pPr>
    </w:p>
    <w:p w14:paraId="104BD877" w14:textId="77777777" w:rsidR="00A8138F" w:rsidRDefault="00A8138F" w:rsidP="00A8138F">
      <w:pPr>
        <w:pStyle w:val="TextoNormal"/>
      </w:pPr>
      <w:r w:rsidRPr="00A8138F">
        <w:rPr>
          <w:rStyle w:val="TextoNormalNegritaCaracter"/>
        </w:rPr>
        <w:t xml:space="preserve">Único. </w:t>
      </w:r>
      <w:r w:rsidRPr="00A8138F">
        <w:rPr>
          <w:i/>
        </w:rPr>
        <w:t>Aplicación de la doctrina constitucional fijada en la STC 140/2024, de 6 de noviembre</w:t>
      </w:r>
    </w:p>
    <w:p w14:paraId="71487C58" w14:textId="77777777" w:rsidR="00A8138F" w:rsidRDefault="00A8138F" w:rsidP="00A8138F">
      <w:pPr>
        <w:pStyle w:val="TextoNormal"/>
      </w:pPr>
    </w:p>
    <w:p w14:paraId="4D102252" w14:textId="77777777" w:rsidR="00A8138F" w:rsidRDefault="00A8138F" w:rsidP="00A8138F">
      <w:pPr>
        <w:pStyle w:val="TextoNormal"/>
      </w:pPr>
      <w:r>
        <w:t>El objeto del presente proceso es dilucidar si las resoluciones administrativas y las resoluciones de la Sala de lo Social del Tribunal Supremo y del Tribunal Superior de Justicia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14:paraId="780F31B7" w14:textId="77777777" w:rsidR="00A8138F" w:rsidRDefault="00A8138F" w:rsidP="00A8138F">
      <w:pPr>
        <w:pStyle w:val="TextoNormal"/>
      </w:pPr>
    </w:p>
    <w:p w14:paraId="58DE59E9" w14:textId="77777777" w:rsidR="00A8138F" w:rsidRDefault="00A8138F" w:rsidP="00A8138F">
      <w:pPr>
        <w:pStyle w:val="TextoNormal"/>
      </w:pPr>
      <w:r>
        <w:t>El Ministerio Fiscal interesa la estimación del recurso en virtud de la doctrina constitucional fijada en la STC 140/2024, de 6 de noviembre, y en las posteriores que la han aplicado. Por su parte, la letrada de la administración de la Seguridad Social se allana a las pretensiones de la demanda de amparo.</w:t>
      </w:r>
    </w:p>
    <w:p w14:paraId="6ACE79B4" w14:textId="77777777" w:rsidR="00A8138F" w:rsidRDefault="00A8138F" w:rsidP="00A8138F">
      <w:pPr>
        <w:pStyle w:val="TextoNormal"/>
      </w:pPr>
    </w:p>
    <w:p w14:paraId="61996DB7" w14:textId="77777777" w:rsidR="00A8138F" w:rsidRDefault="00A8138F" w:rsidP="00A8138F">
      <w:pPr>
        <w:pStyle w:val="TextoNormal"/>
      </w:pPr>
      <w:r>
        <w:t>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14:paraId="326C20A5" w14:textId="77777777" w:rsidR="00A8138F" w:rsidRDefault="00A8138F" w:rsidP="00A8138F">
      <w:pPr>
        <w:pStyle w:val="TextoNormal"/>
      </w:pPr>
    </w:p>
    <w:p w14:paraId="188F2919" w14:textId="77777777" w:rsidR="00A8138F" w:rsidRDefault="00A8138F" w:rsidP="00A8138F">
      <w:pPr>
        <w:pStyle w:val="TextoNormal"/>
      </w:pPr>
      <w:r>
        <w:t>La citada STC 140/2024, al estimar la cuestión de inconstitucionalidad planteada, declaró inconstitucionales —sin nulidad— los arts. 48.4 LET y 177 LGSS. Apreció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3156AB6" w14:textId="77777777" w:rsidR="00A8138F" w:rsidRDefault="00A8138F" w:rsidP="00A8138F">
      <w:pPr>
        <w:pStyle w:val="TextoNormal"/>
      </w:pPr>
    </w:p>
    <w:p w14:paraId="624C92AD"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60D11BD8" w14:textId="77777777" w:rsidR="00A8138F" w:rsidRDefault="00A8138F" w:rsidP="00A8138F">
      <w:pPr>
        <w:pStyle w:val="TextoNormal"/>
      </w:pPr>
    </w:p>
    <w:p w14:paraId="2EF6BAC5" w14:textId="627C9688" w:rsidR="00A8138F" w:rsidRDefault="00A8138F" w:rsidP="00A8138F">
      <w:pPr>
        <w:pStyle w:val="TextoNormal"/>
      </w:pPr>
      <w:r>
        <w:t>En consecuencia, debe estimarse la demanda y otorgar el amparo solicitado, con nulidad del auto de 17 de julio de 2024 de la Sala de lo Social del Tribunal Supremo que inadmitió el recurso de casación para la unificación de doctrina núm. 4175-2023 y de la sentencia núm. 514/2023, de 2 de junio, dictada por la Sala de lo Social del Tribunal Superior de Justicia de Madrid en el recurso de suplicación núm. 93-2023, y declarar la firmeza de la sentencia núm. 387/2022, de 1 de diciembre, del Juzgado de lo Social núm. 18 de Madrid, pues la misma se acomoda al pronunciamiento de la referida STC 140/2024,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224E7FF3" w14:textId="77777777" w:rsidR="00A8138F" w:rsidRDefault="00A8138F" w:rsidP="00A8138F">
      <w:pPr>
        <w:pStyle w:val="TextoNormal"/>
      </w:pPr>
    </w:p>
    <w:p w14:paraId="08431A2D" w14:textId="77777777" w:rsidR="00A8138F" w:rsidRDefault="00A8138F" w:rsidP="00A8138F">
      <w:pPr>
        <w:pStyle w:val="TextoNormalCentrado"/>
        <w:keepNext/>
      </w:pPr>
      <w:r>
        <w:t>FALLO</w:t>
      </w:r>
    </w:p>
    <w:p w14:paraId="6F48C905" w14:textId="5654A4CC" w:rsidR="00A8138F" w:rsidRDefault="00A8138F" w:rsidP="00A8138F">
      <w:pPr>
        <w:pStyle w:val="TextoNormalCentrado"/>
        <w:keepNext/>
      </w:pPr>
    </w:p>
    <w:p w14:paraId="4DF12D09" w14:textId="77777777" w:rsidR="00A8138F" w:rsidRDefault="00A8138F" w:rsidP="00A8138F">
      <w:pPr>
        <w:pStyle w:val="TextoNormal"/>
      </w:pPr>
      <w:r>
        <w:t>En atención a todo lo expuesto, el Tribunal Constitucional, por la autoridad que le confiere la Constitución de la Nación española, ha decidido:</w:t>
      </w:r>
    </w:p>
    <w:p w14:paraId="5F9FF17D" w14:textId="77777777" w:rsidR="00A8138F" w:rsidRDefault="00A8138F" w:rsidP="00A8138F">
      <w:pPr>
        <w:pStyle w:val="TextoNormal"/>
      </w:pPr>
    </w:p>
    <w:p w14:paraId="3A0C5784" w14:textId="77777777" w:rsidR="00A8138F" w:rsidRDefault="00A8138F" w:rsidP="00A8138F">
      <w:pPr>
        <w:pStyle w:val="TextoNormal"/>
      </w:pPr>
      <w:r>
        <w:t>1º Estimar la demanda presentada por doña Beatriz Garrido Gómez por vulneración del derecho fundamental a la igualdad ante la ley sin discriminación por razón de nacimiento (art. 14 CE), con reconocimiento de tal derecho.</w:t>
      </w:r>
    </w:p>
    <w:p w14:paraId="66F3C81F" w14:textId="77777777" w:rsidR="00A8138F" w:rsidRDefault="00A8138F" w:rsidP="00A8138F">
      <w:pPr>
        <w:pStyle w:val="TextoNormal"/>
      </w:pPr>
    </w:p>
    <w:p w14:paraId="23C87C3C" w14:textId="3F8A071E" w:rsidR="00A8138F" w:rsidRDefault="00A8138F" w:rsidP="00A8138F">
      <w:pPr>
        <w:pStyle w:val="TextoNormal"/>
      </w:pPr>
      <w:r>
        <w:t>2º Declarar la nulidad del auto de 17 de julio de 2024 de la Sala de lo Social del Tribunal Supremo que inadmitió el recurso de casación para la unificación de doctrina núm. 4175-2023 y de la sentencia núm. 514/2023, de 2 de junio, dictada por la Sala de lo Social del Tribunal Superior de Justicia de Madrid en el recurso de suplicación núm. 93-2023, y declarar la firmeza de la sentencia núm. 387/2022, de 1 de diciembre, dictada por el Juzgado de lo Social núm. 18 de Madrid en los autos núm. 781-2022.</w:t>
      </w:r>
    </w:p>
    <w:p w14:paraId="089A699E" w14:textId="77777777" w:rsidR="00A8138F" w:rsidRDefault="00A8138F" w:rsidP="00A8138F">
      <w:pPr>
        <w:pStyle w:val="TextoNormal"/>
      </w:pPr>
    </w:p>
    <w:p w14:paraId="32F06529" w14:textId="77777777" w:rsidR="00A8138F" w:rsidRDefault="00A8138F" w:rsidP="00A8138F">
      <w:pPr>
        <w:pStyle w:val="TextoNormal"/>
      </w:pPr>
      <w:r>
        <w:t>Publíquese esta sentencia en el “Boletín Oficial del Estado”.</w:t>
      </w:r>
    </w:p>
    <w:p w14:paraId="1658B961" w14:textId="77777777" w:rsidR="00A8138F" w:rsidRDefault="00A8138F" w:rsidP="00A8138F">
      <w:pPr>
        <w:pStyle w:val="TextoNormal"/>
      </w:pPr>
      <w:r>
        <w:t>Dada en Madrid, a veintiséis de mayo de dos mil veinticinco.</w:t>
      </w:r>
    </w:p>
    <w:p w14:paraId="12082D18" w14:textId="5EB6BC32" w:rsidR="00A8138F" w:rsidRDefault="00A8138F">
      <w:pPr>
        <w:spacing w:after="160" w:line="278" w:lineRule="auto"/>
        <w:rPr>
          <w:rFonts w:ascii="Times New Roman" w:eastAsia="Times New Roman" w:hAnsi="Times New Roman" w:cs="Times New Roman"/>
          <w:sz w:val="24"/>
          <w:szCs w:val="24"/>
          <w:lang w:eastAsia="es-ES"/>
        </w:rPr>
      </w:pPr>
      <w:r>
        <w:br w:type="page"/>
      </w:r>
    </w:p>
    <w:p w14:paraId="5587B3D3" w14:textId="77777777" w:rsidR="00A8138F" w:rsidRDefault="00A8138F" w:rsidP="00A8138F">
      <w:pPr>
        <w:pStyle w:val="TtuloResolucin"/>
      </w:pPr>
      <w:bookmarkStart w:id="128" w:name="SENTENCIA_2025_126"/>
      <w:r>
        <w:t>SENTENCIA 126/2025, de 9 de junio de 2025</w:t>
      </w:r>
    </w:p>
    <w:bookmarkEnd w:id="128"/>
    <w:p w14:paraId="1AB287E7" w14:textId="77777777" w:rsidR="00A8138F" w:rsidRDefault="00A8138F" w:rsidP="00A8138F">
      <w:pPr>
        <w:pStyle w:val="TtuloResolucin"/>
      </w:pPr>
      <w:r>
        <w:t>Sala Primera</w:t>
      </w:r>
    </w:p>
    <w:p w14:paraId="7A498DFA" w14:textId="77777777" w:rsidR="00A8138F" w:rsidRDefault="00A8138F" w:rsidP="00A8138F">
      <w:pPr>
        <w:pStyle w:val="TtuloBOE"/>
      </w:pPr>
      <w:r>
        <w:t>(BOE núm. 168, de 14 de julio de 2025)</w:t>
      </w:r>
    </w:p>
    <w:p w14:paraId="06ED13B7" w14:textId="77777777" w:rsidR="00A8138F" w:rsidRDefault="00A8138F" w:rsidP="00A8138F">
      <w:pPr>
        <w:pStyle w:val="TextoNormalCentrado"/>
      </w:pPr>
      <w:r>
        <w:t>ECLI:ES:TC:2025:126</w:t>
      </w:r>
    </w:p>
    <w:p w14:paraId="7CE8B34E" w14:textId="0633A928" w:rsidR="00A8138F" w:rsidRDefault="00A8138F" w:rsidP="00A8138F">
      <w:pPr>
        <w:pStyle w:val="TextoNormalCentrado"/>
      </w:pPr>
    </w:p>
    <w:p w14:paraId="6024E0A5" w14:textId="77777777" w:rsidR="00A8138F" w:rsidRDefault="00A8138F" w:rsidP="00A8138F">
      <w:pPr>
        <w:pStyle w:val="SntesisDescriptiva"/>
      </w:pPr>
      <w:r>
        <w:t>Recurso de amparo 1269-2023. Promovido por don Florentino Torres del Campo y otras dos personas más en relación con las resoluciones dictadas por un juzgado de instrucción de Bilbao en diligencias previas tramitadas por el fallecimiento de un familiar.</w:t>
      </w:r>
    </w:p>
    <w:p w14:paraId="19C0E119" w14:textId="178839FA" w:rsidR="00A8138F" w:rsidRDefault="00A8138F" w:rsidP="00A8138F">
      <w:pPr>
        <w:pStyle w:val="SntesisDescriptiva"/>
      </w:pPr>
    </w:p>
    <w:p w14:paraId="2B7D4982" w14:textId="77777777" w:rsidR="00A8138F" w:rsidRDefault="00A8138F" w:rsidP="00A8138F">
      <w:pPr>
        <w:pStyle w:val="SntesisAnaltica"/>
      </w:pPr>
      <w:r>
        <w:t>Vulneración del derecho a la tutela judicial efectiva en relación con el derecho a la vida: investigación insuficiente de un posible delito de homicidio, en su caso asesinato; falta de atención debida del derecho de los familiares del fallecido a participar en el proceso penal como víctimas indirectas.</w:t>
      </w:r>
    </w:p>
    <w:p w14:paraId="1B156B64" w14:textId="7D3D15E1" w:rsidR="00A8138F" w:rsidRDefault="00A8138F" w:rsidP="00A8138F">
      <w:pPr>
        <w:pStyle w:val="SntesisAnaltica"/>
      </w:pPr>
    </w:p>
    <w:p w14:paraId="6CF1F01A" w14:textId="2687AAF5" w:rsidR="00A8138F" w:rsidRDefault="00A8138F" w:rsidP="00A8138F">
      <w:pPr>
        <w:pStyle w:val="Extracto"/>
      </w:pPr>
      <w:r>
        <w:t>1.</w:t>
      </w:r>
      <w:r>
        <w:tab/>
        <w:t>Atendiendo al art. 10.2 CE, se asumen los postulados del Tribunal Europeo de Derechos Humanos en torno al concepto de “investigación suficiente y eficaz”, entendido como un deber especial de diligencia que cabe exigir a los órganos judiciales encargados de la investigación de delitos, en determinados supuestos en los que están concernida la posible conculcación de derechos humanos de carácter material, tales como el derecho a la vida (art. 2 CEDH) o el derecho a la integridad física y psíquica (art. 3 CEDH, en relación con el derecho a la vida privada familiar -art. 8 CEDH-) [FJ 4].</w:t>
      </w:r>
    </w:p>
    <w:p w14:paraId="13C65A7A" w14:textId="77777777" w:rsidR="00A8138F" w:rsidRDefault="00A8138F" w:rsidP="00A8138F">
      <w:pPr>
        <w:pStyle w:val="Extracto"/>
      </w:pPr>
    </w:p>
    <w:p w14:paraId="2AF74721" w14:textId="4DE4F8B9" w:rsidR="00A8138F" w:rsidRDefault="00A8138F" w:rsidP="00A8138F">
      <w:pPr>
        <w:pStyle w:val="Extracto"/>
      </w:pPr>
      <w:r>
        <w:t>2.</w:t>
      </w:r>
      <w:r>
        <w:tab/>
        <w:t>El mandato de una instrucción suficiente y eficaz impone que no se clausure la instrucción judicial cuando existan sospechas razonables de que se ha podido cometer un delito contra la vida y tales sospechas sean susceptibles de ser despejadas a través de la actividad investigadora. No se trata de que se practiquen todas las diligencias solicitadas o imaginables, sino de que en un contexto aún de incertidumbre acerca de lo acaecido se practiquen aquellas que a priori se revelen susceptibles de despejar tales dudas fácticas; tomando en consideración todos los datos aportados a la causa [FJ 7].</w:t>
      </w:r>
    </w:p>
    <w:p w14:paraId="3DFAB4D0" w14:textId="77777777" w:rsidR="00A8138F" w:rsidRDefault="00A8138F" w:rsidP="00A8138F">
      <w:pPr>
        <w:pStyle w:val="Extracto"/>
      </w:pPr>
    </w:p>
    <w:p w14:paraId="0D2961E6" w14:textId="5204EC74" w:rsidR="00A8138F" w:rsidRDefault="00A8138F" w:rsidP="00A8138F">
      <w:pPr>
        <w:pStyle w:val="Extracto"/>
      </w:pPr>
      <w:r>
        <w:t>3.</w:t>
      </w:r>
      <w:r>
        <w:tab/>
        <w:t>La investigación en un procedimiento penal, que tenga por objeto el esclarecimiento de las causas de un fallecimiento, otorga al padre y hermanos del fallecido la condición de víctimas indirectas de acuerdo con el art. 2 de la Ley 4/2015, del estatuto de la víctima del delito y desde el inicio del procedimiento. Y esta condición de víctimas indirectas determina que las resoluciones de archivo deben serles notificadas, conforme el art. 12 de Ley 4/2015, independientemente de que estén o no personadas en el procedimiento en la fecha en la que se dicten [FJ 8].</w:t>
      </w:r>
    </w:p>
    <w:p w14:paraId="0EB5A219" w14:textId="77777777" w:rsidR="00A8138F" w:rsidRDefault="00A8138F" w:rsidP="00A8138F">
      <w:pPr>
        <w:pStyle w:val="Extracto"/>
      </w:pPr>
    </w:p>
    <w:p w14:paraId="675CF7AB" w14:textId="42328AC3" w:rsidR="00A8138F" w:rsidRDefault="00A8138F" w:rsidP="00A8138F">
      <w:pPr>
        <w:pStyle w:val="Extracto"/>
      </w:pPr>
      <w:r>
        <w:t>4.</w:t>
      </w:r>
      <w:r>
        <w:tab/>
        <w:t>La circunstancia de que el juez instructor no aprecie la comisión de un posible delito de homicidio, no puede significar la privación a los familiares del fallecido de los derechos que les concede la Ley 4/2015 y, en particular, el de recibir comunicación de la decisión de sobreseimiento de la causa en cuanto a ese delito, a fin de permitir su derecho a impugnarla [FJ 8].</w:t>
      </w:r>
    </w:p>
    <w:p w14:paraId="7858411F" w14:textId="77777777" w:rsidR="00A8138F" w:rsidRDefault="00A8138F" w:rsidP="00A8138F">
      <w:pPr>
        <w:pStyle w:val="Extracto"/>
      </w:pPr>
    </w:p>
    <w:p w14:paraId="30ACFF3E" w14:textId="77777777" w:rsidR="00A8138F" w:rsidRDefault="00A8138F" w:rsidP="00A8138F">
      <w:pPr>
        <w:pStyle w:val="Extracto"/>
      </w:pPr>
    </w:p>
    <w:p w14:paraId="5B2BABFF"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689B7A3C" w14:textId="26F9E0A4" w:rsidR="00A8138F" w:rsidRDefault="00A8138F" w:rsidP="00A8138F">
      <w:pPr>
        <w:pStyle w:val="TextoNormal"/>
      </w:pPr>
    </w:p>
    <w:p w14:paraId="14FE1697" w14:textId="77777777" w:rsidR="00A8138F" w:rsidRDefault="00A8138F" w:rsidP="00A8138F">
      <w:pPr>
        <w:pStyle w:val="TextoNormalCentrado"/>
        <w:keepNext/>
      </w:pPr>
      <w:r>
        <w:t>EN NOMBRE DEL REY</w:t>
      </w:r>
    </w:p>
    <w:p w14:paraId="0D65D9A2" w14:textId="175AE489" w:rsidR="00A8138F" w:rsidRDefault="00A8138F" w:rsidP="00A8138F">
      <w:pPr>
        <w:pStyle w:val="TextoNormalCentrado"/>
        <w:keepNext/>
      </w:pPr>
    </w:p>
    <w:p w14:paraId="348591A0" w14:textId="77777777" w:rsidR="00A8138F" w:rsidRDefault="00A8138F" w:rsidP="00A8138F">
      <w:pPr>
        <w:pStyle w:val="TextoNormalCentrado"/>
        <w:keepNext/>
      </w:pPr>
    </w:p>
    <w:p w14:paraId="46FDBA93" w14:textId="77777777" w:rsidR="00A8138F" w:rsidRDefault="00A8138F" w:rsidP="00A8138F">
      <w:pPr>
        <w:pStyle w:val="TextoNormal"/>
      </w:pPr>
      <w:r>
        <w:t>la siguiente</w:t>
      </w:r>
    </w:p>
    <w:p w14:paraId="65FEABBD" w14:textId="760F60B3" w:rsidR="00A8138F" w:rsidRDefault="00A8138F" w:rsidP="00A8138F">
      <w:pPr>
        <w:pStyle w:val="TextoNormal"/>
      </w:pPr>
    </w:p>
    <w:p w14:paraId="327EB4F1" w14:textId="77777777" w:rsidR="00A8138F" w:rsidRDefault="00A8138F" w:rsidP="00A8138F">
      <w:pPr>
        <w:pStyle w:val="TextoNormalCentrado"/>
        <w:keepNext/>
      </w:pPr>
      <w:r>
        <w:t>SENTENCIA</w:t>
      </w:r>
    </w:p>
    <w:p w14:paraId="424F214E" w14:textId="70BD8AB2" w:rsidR="00A8138F" w:rsidRDefault="00A8138F" w:rsidP="00A8138F">
      <w:pPr>
        <w:pStyle w:val="TextoNormalCentrado"/>
        <w:keepNext/>
      </w:pPr>
    </w:p>
    <w:p w14:paraId="590544FD" w14:textId="77777777" w:rsidR="00A8138F" w:rsidRDefault="00A8138F" w:rsidP="00A8138F">
      <w:pPr>
        <w:pStyle w:val="TextoNormal"/>
      </w:pPr>
      <w:r>
        <w:t>En el recurso de amparo núm. 1269-2023, promovido por don Florentino Torres del Campo, don Rodrigo Torres Cid y don Gonzalo Torres Cid, representados por el procurador de los tribunales, don Juan Antonio Fernández Múgica, bajo la dirección letrada de don Saúl Castro Fernández, contra el auto de 3 de enero de 2023 del Juzgado de Instrucción núm. 5 de Bilbao, dictado en el procedimiento de diligencias previas núm. 1102-2021, así como la providencia de 5 de julio de 2022, dictada por el mismo juzgado. Se ha personado como parte, aunque no ha formulado alegaciones, don Nelson David Moreno Bolaños. Ha actuado el Ministerio Fiscal. Ha sido ponente el magistrado don Ricardo Enríquez Sancho.</w:t>
      </w:r>
    </w:p>
    <w:p w14:paraId="07BFBE79" w14:textId="2512B061" w:rsidR="00A8138F" w:rsidRDefault="00A8138F" w:rsidP="00A8138F">
      <w:pPr>
        <w:pStyle w:val="TextoNormal"/>
      </w:pPr>
    </w:p>
    <w:p w14:paraId="66FF4829" w14:textId="77777777" w:rsidR="00A8138F" w:rsidRDefault="00A8138F" w:rsidP="00A8138F">
      <w:pPr>
        <w:pStyle w:val="TextoNormalNegritaCentrado"/>
        <w:keepNext/>
      </w:pPr>
      <w:r>
        <w:t>I. Antecedentes</w:t>
      </w:r>
    </w:p>
    <w:p w14:paraId="607C04A7" w14:textId="10CB6C1D" w:rsidR="00A8138F" w:rsidRDefault="00A8138F" w:rsidP="00A8138F">
      <w:pPr>
        <w:pStyle w:val="TextoNormalNegritaCentrado"/>
        <w:keepNext/>
      </w:pPr>
    </w:p>
    <w:p w14:paraId="43D8FCE3" w14:textId="68FC00D8" w:rsidR="00A8138F" w:rsidRDefault="00A8138F" w:rsidP="00A8138F">
      <w:pPr>
        <w:pStyle w:val="TextoNormal"/>
      </w:pPr>
      <w:r w:rsidRPr="00A8138F">
        <w:rPr>
          <w:rStyle w:val="NumeroAFNegritaCaracter"/>
        </w:rPr>
        <w:t>1</w:t>
      </w:r>
      <w:r>
        <w:t>. Mediante escrito presentado en el registro general de este tribunal el 24 de febrero de 2023, el procurador de los tribunales, don Juan Antonio Fernández Múgica, en nombre y representación de don Florentino Torres del Campo, don Rodrigo Torres Cid y don Gonzalo Torres Cid, asistidos del letrado don Saúl Castro Fernández, interpuso recurso de amparo contra las resoluciones judiciales que se mencionan en el encabezamiento de esta sentencia.</w:t>
      </w:r>
    </w:p>
    <w:p w14:paraId="302141C7" w14:textId="77777777" w:rsidR="00A8138F" w:rsidRDefault="00A8138F" w:rsidP="00A8138F">
      <w:pPr>
        <w:pStyle w:val="TextoNormal"/>
      </w:pPr>
    </w:p>
    <w:p w14:paraId="723798DB" w14:textId="77777777" w:rsidR="00A8138F" w:rsidRDefault="00A8138F" w:rsidP="00A8138F">
      <w:pPr>
        <w:pStyle w:val="TextoNormal"/>
      </w:pPr>
      <w:r w:rsidRPr="00A8138F">
        <w:rPr>
          <w:rStyle w:val="NumeroAFNegritaCaracter"/>
        </w:rPr>
        <w:t>2</w:t>
      </w:r>
      <w:r>
        <w:t>. Los hechos con relevancia para la resolución del presente recurso de amparo y que resultan de las actuaciones recibidas son los siguientes:</w:t>
      </w:r>
    </w:p>
    <w:p w14:paraId="67A51BBE" w14:textId="77777777" w:rsidR="00A8138F" w:rsidRDefault="00A8138F" w:rsidP="00A8138F">
      <w:pPr>
        <w:pStyle w:val="TextoNormal"/>
      </w:pPr>
    </w:p>
    <w:p w14:paraId="1756F76B" w14:textId="77777777" w:rsidR="00A8138F" w:rsidRDefault="00A8138F" w:rsidP="00A8138F">
      <w:pPr>
        <w:pStyle w:val="TextoNormal"/>
      </w:pPr>
      <w:r>
        <w:t>a) El 20 de septiembre de 2021 la Ertzaintza informó telefónicamente al Juzgado de Instrucción núm. 5 de Bilbao, en funciones de guardia, del hallazgo del cadáver de una persona identificada como don Raúl Carlos Torres Cid, pariente de los recurrentes en amparo don Florentino Torres del Campo (padre) y don Rodrigo y don Gonzalo Torres Cid (hermanos).</w:t>
      </w:r>
    </w:p>
    <w:p w14:paraId="094920AE" w14:textId="77777777" w:rsidR="00A8138F" w:rsidRDefault="00A8138F" w:rsidP="00A8138F">
      <w:pPr>
        <w:pStyle w:val="TextoNormal"/>
      </w:pPr>
    </w:p>
    <w:p w14:paraId="3467B200" w14:textId="77777777" w:rsidR="00A8138F" w:rsidRDefault="00A8138F" w:rsidP="00A8138F">
      <w:pPr>
        <w:pStyle w:val="TextoNormal"/>
      </w:pPr>
      <w:r>
        <w:t>En la misma fecha el juzgado referido dictó auto de incoación de diligencias previas, “para averiguar la causa y circunstancias del fallecimiento”, acordando en su parte dispositiva, entre otros extremos:</w:t>
      </w:r>
    </w:p>
    <w:p w14:paraId="58B782B7" w14:textId="77777777" w:rsidR="00A8138F" w:rsidRDefault="00A8138F" w:rsidP="00A8138F">
      <w:pPr>
        <w:pStyle w:val="TextoNormal"/>
      </w:pPr>
    </w:p>
    <w:p w14:paraId="7322D3B0" w14:textId="77777777" w:rsidR="00A8138F" w:rsidRDefault="00A8138F" w:rsidP="00A8138F">
      <w:pPr>
        <w:pStyle w:val="TextoNormal"/>
      </w:pPr>
      <w:r>
        <w:t>“2. Se autoriza al médico forense para que proceda al levantamiento del cadáver, quien presentará informe que incorpore una descripción detallada del estado del cadáver, de su identidad y circunstancias, especialmente de todas aquellas que tuvieren relación con el fallecimiento.</w:t>
      </w:r>
    </w:p>
    <w:p w14:paraId="57FE5600" w14:textId="77777777" w:rsidR="00A8138F" w:rsidRDefault="00A8138F" w:rsidP="00A8138F">
      <w:pPr>
        <w:pStyle w:val="TextoNormal"/>
      </w:pPr>
    </w:p>
    <w:p w14:paraId="7909134B" w14:textId="77777777" w:rsidR="00A8138F" w:rsidRDefault="00A8138F" w:rsidP="00A8138F">
      <w:pPr>
        <w:pStyle w:val="TextoNormal"/>
      </w:pPr>
      <w:r>
        <w:t>Interésese del mismo que en cuanto aprecie cualquier signo de violencia o sospecha de criminalidad, dé aviso inmediato y suspenda la diligencia hasta la llegada de la comisión judicial, adoptando, con el apoyo de la policía judicial, las medidas que estime pertinentes para la comprobación de los hechos.</w:t>
      </w:r>
    </w:p>
    <w:p w14:paraId="744C3FA8" w14:textId="77777777" w:rsidR="00A8138F" w:rsidRDefault="00A8138F" w:rsidP="00A8138F">
      <w:pPr>
        <w:pStyle w:val="TextoNormal"/>
      </w:pPr>
    </w:p>
    <w:p w14:paraId="3C87309D" w14:textId="77777777" w:rsidR="00A8138F" w:rsidRDefault="00A8138F" w:rsidP="00A8138F">
      <w:pPr>
        <w:pStyle w:val="TextoNormal"/>
      </w:pPr>
      <w:r>
        <w:t>3. Requiérase al médico forense para que practique la autopsia de la persona fallecida e informe sobre las causas del fallecimiento.</w:t>
      </w:r>
    </w:p>
    <w:p w14:paraId="043C7BE7" w14:textId="77777777" w:rsidR="00A8138F" w:rsidRDefault="00A8138F" w:rsidP="00A8138F">
      <w:pPr>
        <w:pStyle w:val="TextoNormal"/>
      </w:pPr>
    </w:p>
    <w:p w14:paraId="0ADF8CA0" w14:textId="77777777" w:rsidR="00A8138F" w:rsidRDefault="00A8138F" w:rsidP="00A8138F">
      <w:pPr>
        <w:pStyle w:val="TextoNormal"/>
      </w:pPr>
      <w:r>
        <w:t>4. Dese orden a la policía judicial para que proceda de inmediato a la averiguación de las circunstancias relacionadas con el fallecimiento, dando cuenta al juzgado por el medio más rápido del resultado de sus gestiones”.</w:t>
      </w:r>
    </w:p>
    <w:p w14:paraId="73DFC9C4" w14:textId="77777777" w:rsidR="00A8138F" w:rsidRDefault="00A8138F" w:rsidP="00A8138F">
      <w:pPr>
        <w:pStyle w:val="TextoNormal"/>
      </w:pPr>
    </w:p>
    <w:p w14:paraId="6AFFCF2F" w14:textId="77777777" w:rsidR="00A8138F" w:rsidRDefault="00A8138F" w:rsidP="00A8138F">
      <w:pPr>
        <w:pStyle w:val="TextoNormal"/>
      </w:pPr>
      <w:r>
        <w:t>Ese mismo día el médico forense emitió el informe pericial de levantamiento de cadáver, en el que consta:</w:t>
      </w:r>
    </w:p>
    <w:p w14:paraId="37CE1CA6" w14:textId="77777777" w:rsidR="00A8138F" w:rsidRDefault="00A8138F" w:rsidP="00A8138F">
      <w:pPr>
        <w:pStyle w:val="TextoNormal"/>
      </w:pPr>
    </w:p>
    <w:p w14:paraId="6E2D1371" w14:textId="77777777" w:rsidR="00A8138F" w:rsidRDefault="00A8138F" w:rsidP="00A8138F">
      <w:pPr>
        <w:pStyle w:val="TextoNormal"/>
      </w:pPr>
      <w:r>
        <w:t>“Que el día de la fecha siendo las 20:00 horas y ordenado por su señoría acude a la Calle […], para proceder al levantamiento del cadáver de D. Raúl Carlos Torres Cid, identificado por familiares y por agentes de la Ertzaintza allí presentes.</w:t>
      </w:r>
    </w:p>
    <w:p w14:paraId="588873A4" w14:textId="77777777" w:rsidR="00A8138F" w:rsidRDefault="00A8138F" w:rsidP="00A8138F">
      <w:pPr>
        <w:pStyle w:val="TextoNormal"/>
      </w:pPr>
    </w:p>
    <w:p w14:paraId="242E863F" w14:textId="77777777" w:rsidR="00A8138F" w:rsidRDefault="00A8138F" w:rsidP="00A8138F">
      <w:pPr>
        <w:pStyle w:val="TextoNormal"/>
      </w:pPr>
      <w:r>
        <w:t>Se trata de un varón de sesenta y un años de edad, sin antecedentes médicos de interés, que según me refieren familiares, fue visto con vida por última vez hace cinco días. Hoy, al no tener noticias suyas han entrado al domicilio con ayuda de los bomberos, encontrándole sin signos vitales, por lo que han avisado a una ambulancia que ha acudido al lugar, certificando únicamente el fallecimiento, sin precisar la causa concreta.</w:t>
      </w:r>
    </w:p>
    <w:p w14:paraId="780F9EA7" w14:textId="77777777" w:rsidR="00A8138F" w:rsidRDefault="00A8138F" w:rsidP="00A8138F">
      <w:pPr>
        <w:pStyle w:val="TextoNormal"/>
      </w:pPr>
    </w:p>
    <w:p w14:paraId="7ABCE0D6" w14:textId="77777777" w:rsidR="00A8138F" w:rsidRDefault="00A8138F" w:rsidP="00A8138F">
      <w:pPr>
        <w:pStyle w:val="TextoNormal"/>
      </w:pPr>
      <w:r>
        <w:t xml:space="preserve">El cuerpo se encontraba en posición de sedestación, en un sofá del salón de su domicilio, donde vivía solo. Presenta fenómenos cadavéricos evolucionados, en periodo de putrefacción enfisematoso; compatible con una data aproximada de cuatro-cinco días antes del levantamiento. No se observan </w:t>
      </w:r>
      <w:r w:rsidRPr="00A8138F">
        <w:rPr>
          <w:i/>
        </w:rPr>
        <w:t>in situ</w:t>
      </w:r>
      <w:r>
        <w:t xml:space="preserve"> lesiones o signos de tipo traumático externo y todo sugiere una muerte de origen natural, aun así, las causas concretas de la muerte se determinarán durante el estudio necrópsico. No se recogen muestras biológicas ni objetos del lugar.</w:t>
      </w:r>
    </w:p>
    <w:p w14:paraId="1ADC016D" w14:textId="77777777" w:rsidR="00A8138F" w:rsidRDefault="00A8138F" w:rsidP="00A8138F">
      <w:pPr>
        <w:pStyle w:val="TextoNormal"/>
      </w:pPr>
    </w:p>
    <w:p w14:paraId="2A9B4597" w14:textId="77777777" w:rsidR="00A8138F" w:rsidRDefault="00A8138F" w:rsidP="00A8138F">
      <w:pPr>
        <w:pStyle w:val="TextoNormal"/>
      </w:pPr>
      <w:r>
        <w:t>Se realiza reportaje fotográfico y se adjunta todo ello al correspondiente protocolo de levantamiento para su remisión al servicio de patología forense, procediendo al traslado del cadáver a dicho servicio para la realización de la autopsia judicial”.</w:t>
      </w:r>
    </w:p>
    <w:p w14:paraId="4AE18A45" w14:textId="77777777" w:rsidR="00A8138F" w:rsidRDefault="00A8138F" w:rsidP="00A8138F">
      <w:pPr>
        <w:pStyle w:val="TextoNormal"/>
      </w:pPr>
    </w:p>
    <w:p w14:paraId="11613D30" w14:textId="77777777" w:rsidR="00A8138F" w:rsidRDefault="00A8138F" w:rsidP="00A8138F">
      <w:pPr>
        <w:pStyle w:val="TextoNormal"/>
      </w:pPr>
      <w:r>
        <w:t>El mismo 21 de septiembre de 2021 la médico forense especialista en anatomía patológica emitió el informe preliminar de autopsia, practicada ese mismo día. En el informe se describe el examen externo —señalando la ausencia de signos de defensa o de lucha y que no se evidenciaban lesiones traumáticas de interés— e interno del cuerpo y se indica que se recogen determinadas muestras de lavado vesical, fragmento de riñón y de hígado para su remisión al servicio de laboratorio del Instituto Vasco de Medicina Legal, para la determinación de drogas de abuso, alcohol y lista de psicofármacos; se recogen muestras para estudio histopatológico en el servicio de patología forense; y se realiza el estudio fotográfico. El mismo refleja, a la espera del resultado de los estudios citados, las siguientes conclusiones médico forenses provisionales:</w:t>
      </w:r>
    </w:p>
    <w:p w14:paraId="56420B96" w14:textId="77777777" w:rsidR="00A8138F" w:rsidRDefault="00A8138F" w:rsidP="00A8138F">
      <w:pPr>
        <w:pStyle w:val="TextoNormal"/>
      </w:pPr>
    </w:p>
    <w:p w14:paraId="27DB8926" w14:textId="77777777" w:rsidR="00A8138F" w:rsidRDefault="00A8138F" w:rsidP="00A8138F">
      <w:pPr>
        <w:pStyle w:val="TextoNormal"/>
      </w:pPr>
      <w:r>
        <w:t>“- Se trata de una muerte de naturaleza natural. - La causa fundamental probable de la muerte es una insuficiencia cardiorrespiratoria aguda, pendiente de estudio. - No existen lesiones traumáticas de interés en relación con la causa de la muerte. - Datación de la muerte en el momento del levantamiento atendiendo a los fenómenos cadavéricos es de aproximadamente cuatro-cinco días previas al levantamiento”.</w:t>
      </w:r>
    </w:p>
    <w:p w14:paraId="434D720F" w14:textId="77777777" w:rsidR="00A8138F" w:rsidRDefault="00A8138F" w:rsidP="00A8138F">
      <w:pPr>
        <w:pStyle w:val="TextoNormal"/>
      </w:pPr>
    </w:p>
    <w:p w14:paraId="3BCEC226" w14:textId="77777777" w:rsidR="00A8138F" w:rsidRDefault="00A8138F" w:rsidP="00A8138F">
      <w:pPr>
        <w:pStyle w:val="TextoNormal"/>
      </w:pPr>
      <w:r>
        <w:t>El mismo 21 de septiembre de 2021 compareció en el Juzgado de Instrucción núm. 5 de Bilbao don Rodrigo Torres Cid, solicitando la autorización para la incineración del cadáver de su hermano y que se le remitiese al correo electrónico facilitado por él mismo el informe de autopsia. Ese mismo día el médico forense informó que no había inconveniente desde el punto de vista médico legal para que se procediese a la incineración del fallecido, “siendo la causa de la muerte: insuficiencia cardio respiratoria” y el Juzgado de Instrucción núm. 5 de Bilbao dictó providencia autorizando la incineración.</w:t>
      </w:r>
    </w:p>
    <w:p w14:paraId="07EF5551" w14:textId="77777777" w:rsidR="00A8138F" w:rsidRDefault="00A8138F" w:rsidP="00A8138F">
      <w:pPr>
        <w:pStyle w:val="TextoNormal"/>
      </w:pPr>
    </w:p>
    <w:p w14:paraId="41BFD58D" w14:textId="77777777" w:rsidR="00A8138F" w:rsidRDefault="00A8138F" w:rsidP="00A8138F">
      <w:pPr>
        <w:pStyle w:val="TextoNormal"/>
      </w:pPr>
      <w:r>
        <w:t>b) El 25 de septiembre de 2021 tuvo entrada en el Juzgado de Instrucción núm. 5 de Bilbao el atestado de la comisaría de Bilbao de fecha 24 de septiembre de 2021 instruido por “hallazgo de cadáver”. En él se relata que el 20 de septiembre de 2021, a las 18:16 horas, se comunicó el hallazgo de un varón fallecido en un domicilio de Bilbao, al dar aviso unos vecinos de que aquel llevaba días sin dar señales. Los bomberos accedieron al domicilio y solicitaron una ambulancia. En el lugar se personaron los hermanos del fallecido, don Rodrigo Torres Cid y don Gonzalo Torres Cid (hoy demandantes de amparo y cuya identificación completa se hizo constar en el atestado), además de la médico forense y los agentes. Junto al atestado se remitió el acta de inspección ocular, que describe la posición del fallecido en la sala, en la que se centró principalmente la inspección ocular, “ya que el resto de las estancias presentan signos de aparente normalidad” y que se acompañó de reportaje fotográfico. En la misma se indica: “El médico forense examina el cuerpo, manifestando que el cuerpo lleva sin vida más de una semana e indicando que no observa indicios de criminalidad externa”.</w:t>
      </w:r>
    </w:p>
    <w:p w14:paraId="2B3572BF" w14:textId="77777777" w:rsidR="00A8138F" w:rsidRDefault="00A8138F" w:rsidP="00A8138F">
      <w:pPr>
        <w:pStyle w:val="TextoNormal"/>
      </w:pPr>
    </w:p>
    <w:p w14:paraId="79587394" w14:textId="77777777" w:rsidR="00A8138F" w:rsidRDefault="00A8138F" w:rsidP="00A8138F">
      <w:pPr>
        <w:pStyle w:val="TextoNormal"/>
      </w:pPr>
      <w:r>
        <w:t>c) Recibido el anterior atestado, el Juzgado de Instrucción núm. 5 de Bilbao dictó auto el 27 de septiembre de 2021 acordando, de acuerdo con el art. 779.1.1 de la Ley de enjuiciamiento criminal (LECrim), el sobreseimiento y archivo de la causa. En esta resolución se señala: “las presentes diligencias previas se tramitan por el fallecimiento de Raúl Carlos Torres Cid” y “se han practicado las diligencias encaminadas a determinar la naturaleza y circunstancias de los hechos con el resultado que consta en los autos”; concluyendo que “los hechos por los que se que se instruyen las presentes diligencias no son constitutivos de infracción penal dado que en principio nada se opone a que sea una muerte de naturaleza natural, tal y como recoge el informe preliminar de autopsia”.</w:t>
      </w:r>
    </w:p>
    <w:p w14:paraId="10203E7F" w14:textId="77777777" w:rsidR="00A8138F" w:rsidRDefault="00A8138F" w:rsidP="00A8138F">
      <w:pPr>
        <w:pStyle w:val="TextoNormal"/>
      </w:pPr>
    </w:p>
    <w:p w14:paraId="28F96D4F" w14:textId="77777777" w:rsidR="00A8138F" w:rsidRDefault="00A8138F" w:rsidP="00A8138F">
      <w:pPr>
        <w:pStyle w:val="TextoNormal"/>
      </w:pPr>
      <w:r>
        <w:t>d) La sección de química-toxicología y análisis clínicos del Instituto Vasco de Medicina Legal remitió al Juzgado de Instrucción núm. 5 de Bilbao el Informe núm. 21-0704, fechado el 3 de diciembre de 2021, en el que se indica que, realizada una investigación general de tóxicos orgánicos, orientada a la detección de drogas de abuso y fármacos de uso frecuente y alcohol etílico, se detectó alcohol etílico en el hígado; si bien se advierte que los resultados no eran concluyentes, debido al mal estado de las muestras y la falta de humor vítreo.</w:t>
      </w:r>
    </w:p>
    <w:p w14:paraId="3F80BC37" w14:textId="77777777" w:rsidR="00A8138F" w:rsidRDefault="00A8138F" w:rsidP="00A8138F">
      <w:pPr>
        <w:pStyle w:val="TextoNormal"/>
      </w:pPr>
    </w:p>
    <w:p w14:paraId="76019892" w14:textId="77777777" w:rsidR="00A8138F" w:rsidRDefault="00A8138F" w:rsidP="00A8138F">
      <w:pPr>
        <w:pStyle w:val="TextoNormal"/>
      </w:pPr>
      <w:r>
        <w:t>Recibido el anterior análisis toxicológico, el 22 de diciembre de 2021 el Juzgado de Instrucción núm. 5 de Bilbao dictó diligencia de ordenación disponiendo: “únase a las actuaciones y estese a lo acordado”.</w:t>
      </w:r>
    </w:p>
    <w:p w14:paraId="5FCB7AD7" w14:textId="77777777" w:rsidR="00A8138F" w:rsidRDefault="00A8138F" w:rsidP="00A8138F">
      <w:pPr>
        <w:pStyle w:val="TextoNormal"/>
      </w:pPr>
    </w:p>
    <w:p w14:paraId="3B15EB36" w14:textId="77777777" w:rsidR="00A8138F" w:rsidRDefault="00A8138F" w:rsidP="00A8138F">
      <w:pPr>
        <w:pStyle w:val="TextoNormal"/>
      </w:pPr>
      <w:r>
        <w:t>e) El 14 de enero de 2022 tuvo entrada en el Juzgado de Instrucción núm. 5 de Bilbao el informe definitivo de autopsia, fechado el 12 de enero de 2022, en el que los médicos forenses informan:</w:t>
      </w:r>
    </w:p>
    <w:p w14:paraId="76E396C6" w14:textId="77777777" w:rsidR="00A8138F" w:rsidRDefault="00A8138F" w:rsidP="00A8138F">
      <w:pPr>
        <w:pStyle w:val="TextoNormal"/>
      </w:pPr>
    </w:p>
    <w:p w14:paraId="72D3226F" w14:textId="77777777" w:rsidR="00A8138F" w:rsidRDefault="00A8138F" w:rsidP="00A8138F">
      <w:pPr>
        <w:pStyle w:val="TextoNormal"/>
      </w:pPr>
      <w:r>
        <w:t>“Que el día 2l de septiembre de 2021 la médico-forense […] realizó la autopsia de Raul Carlos Torres Cid. En el informe provisional emitido se determina como causa de muerte una insuficiencia cardio-respiratoria en estudio tratándose de una muerte natural.</w:t>
      </w:r>
    </w:p>
    <w:p w14:paraId="409CDB1E" w14:textId="77777777" w:rsidR="00A8138F" w:rsidRDefault="00A8138F" w:rsidP="00A8138F">
      <w:pPr>
        <w:pStyle w:val="TextoNormal"/>
      </w:pPr>
    </w:p>
    <w:p w14:paraId="6EB5F579" w14:textId="77777777" w:rsidR="00A8138F" w:rsidRDefault="00A8138F" w:rsidP="00A8138F">
      <w:pPr>
        <w:pStyle w:val="TextoNormal"/>
      </w:pPr>
      <w:r>
        <w:t>En el estudio histopatológico realizado por los peritos firmantes se diagnostica una enfermedad ateromatosa coronaria moderada de dos vasos (coronaria derecha y descendente anterior) y un cuadro de autolisis avanzado.</w:t>
      </w:r>
    </w:p>
    <w:p w14:paraId="1DAEE160" w14:textId="77777777" w:rsidR="00A8138F" w:rsidRDefault="00A8138F" w:rsidP="00A8138F">
      <w:pPr>
        <w:pStyle w:val="TextoNormal"/>
      </w:pPr>
    </w:p>
    <w:p w14:paraId="436D0C2F" w14:textId="77777777" w:rsidR="00A8138F" w:rsidRDefault="00A8138F" w:rsidP="00A8138F">
      <w:pPr>
        <w:pStyle w:val="TextoNormal"/>
      </w:pPr>
      <w:r>
        <w:t>El resultado de los estudios toxicológicos realizados es compatible con consumo de alcohol etílico de difícil valoración teniendo en cuenta el estado de putrefacción que presentaban las muestras.</w:t>
      </w:r>
    </w:p>
    <w:p w14:paraId="4DCFEAC1" w14:textId="77777777" w:rsidR="00A8138F" w:rsidRDefault="00A8138F" w:rsidP="00A8138F">
      <w:pPr>
        <w:pStyle w:val="TextoNormal"/>
      </w:pPr>
    </w:p>
    <w:p w14:paraId="31EC1701" w14:textId="77777777" w:rsidR="00A8138F" w:rsidRDefault="00A8138F" w:rsidP="00A8138F">
      <w:pPr>
        <w:pStyle w:val="TextoNormal"/>
      </w:pPr>
      <w:r>
        <w:t>Teniendo en cuenta lo anterior se puede estimar que nos encontramos ante una muerte natural producida probablemente por una patología cardiaca de tipo isquémico, sin que se pueda descartar un evento arrítmico”.</w:t>
      </w:r>
    </w:p>
    <w:p w14:paraId="00F95BAD" w14:textId="77777777" w:rsidR="00A8138F" w:rsidRDefault="00A8138F" w:rsidP="00A8138F">
      <w:pPr>
        <w:pStyle w:val="TextoNormal"/>
      </w:pPr>
    </w:p>
    <w:p w14:paraId="0A42C66D" w14:textId="77777777" w:rsidR="00A8138F" w:rsidRDefault="00A8138F" w:rsidP="00A8138F">
      <w:pPr>
        <w:pStyle w:val="TextoNormal"/>
      </w:pPr>
      <w:r>
        <w:t>El 18 de enero de 2022 el Juzgado de Instrucción núm. 5 de Bilbao dictó diligencia de ordenación acordando: “El anterior informe definitivo de autopsia remitido por el Servicio de Patología Forense, únase a las actuaciones y estese a lo acordado”.</w:t>
      </w:r>
    </w:p>
    <w:p w14:paraId="5AF489E6" w14:textId="77777777" w:rsidR="00A8138F" w:rsidRDefault="00A8138F" w:rsidP="00A8138F">
      <w:pPr>
        <w:pStyle w:val="TextoNormal"/>
      </w:pPr>
    </w:p>
    <w:p w14:paraId="0D3CB354" w14:textId="77777777" w:rsidR="00A8138F" w:rsidRDefault="00A8138F" w:rsidP="00A8138F">
      <w:pPr>
        <w:pStyle w:val="TextoNormal"/>
      </w:pPr>
      <w:r>
        <w:t>f) La sección central de investigación criminal y policía judicial de la Ertzaintza remitió al Juzgado de Instrucción núm. 5 de Bilbao siete oficios, fechados el 25 de mayo de 2022, solicitando el dictado de varios mandamientos judiciales y la entrega de determinados informes.</w:t>
      </w:r>
    </w:p>
    <w:p w14:paraId="76610DEF" w14:textId="77777777" w:rsidR="00A8138F" w:rsidRDefault="00A8138F" w:rsidP="00A8138F">
      <w:pPr>
        <w:pStyle w:val="TextoNormal"/>
      </w:pPr>
    </w:p>
    <w:p w14:paraId="7907BD68" w14:textId="77777777" w:rsidR="00A8138F" w:rsidRDefault="00A8138F" w:rsidP="00A8138F">
      <w:pPr>
        <w:pStyle w:val="TextoNormal"/>
      </w:pPr>
      <w:r>
        <w:t>En los mismos se ponía en conocimiento del Juzgado de Instrucción núm. 5 de Bilbao que el 29 de abril de 2022 el área de delitos contra las personas de la sección central citada había asumido la instrucción e investigación de varios hechos sucedidos en el partido judicial de Bilbao desde —al menos— el mes de septiembre de 2021, concurriendo en todos ellos los requisitos que pudieran conformar el delito de homicidio, consumado en cuatro de ellos —entre los cuales se incluye el hallazgo del cadáver de don Raúl Carlos Torres Cid— y en grado de tentativa en otros dos, y siendo atribuidos a un mismo individuo identificado como don Nelson David Moreno Bolaños.</w:t>
      </w:r>
    </w:p>
    <w:p w14:paraId="7354DB08" w14:textId="77777777" w:rsidR="00A8138F" w:rsidRDefault="00A8138F" w:rsidP="00A8138F">
      <w:pPr>
        <w:pStyle w:val="TextoNormal"/>
      </w:pPr>
    </w:p>
    <w:p w14:paraId="039D347A" w14:textId="77777777" w:rsidR="00A8138F" w:rsidRDefault="00A8138F" w:rsidP="00A8138F">
      <w:pPr>
        <w:pStyle w:val="TextoNormal"/>
      </w:pPr>
      <w:r>
        <w:t xml:space="preserve">En los oficios, los agentes explicaban que, respecto a los cuatro hechos que pudieran ser constitutivos del delito de homicidio, se hallaron en todos ellos varios elementos coincidentes: (i) las circunstancias en las que fueron hallados los cadáveres —sentados sobre el sofá de sus domicilios y vestidos, sin violencia aparente y sin que se encontraran en ninguna de las escenas elementos que pudieran denotar el empleo de la fuerza para acceder a las viviendas o un desorden evidente que evidenciara una sustracción, hallando incluso en algunos casos pertenencias del fallecido y elementos de valor como terminales telefónicos o </w:t>
      </w:r>
      <w:r w:rsidRPr="00A8138F">
        <w:rPr>
          <w:i/>
        </w:rPr>
        <w:t>tablets</w:t>
      </w:r>
      <w:r>
        <w:t>—; (ii) los exámenes forenses realizados de forma preliminar durante la práctica del levantamiento del cadáver en la propia vivienda coincidían en la ausencia de violencia en los cuerpos; (iii) en las autopsias no se hallaron causas aparentes y/o evidentes de los fallecimientos, por lo que se trataron como muertes naturales; (iv) en los cuatro casos era coincidente el hallazgo del cadáver con la existencia de contactos y encuentros entre varones; y (v) en todos ellos, tras el fallecimiento de estas personas, se registraron en sus cuentas bancarias diferentes operativas fraudulentas (transferencias bancarias, extracción en cajeros, compras en comercio o envíos a través de la plataforma Bizum), cuyo destinatario final era el identificado como don Nelson David Moreno Bolaños.</w:t>
      </w:r>
    </w:p>
    <w:p w14:paraId="3E895D6A" w14:textId="77777777" w:rsidR="00A8138F" w:rsidRDefault="00A8138F" w:rsidP="00A8138F">
      <w:pPr>
        <w:pStyle w:val="TextoNormal"/>
      </w:pPr>
    </w:p>
    <w:p w14:paraId="454F383D" w14:textId="77777777" w:rsidR="00A8138F" w:rsidRDefault="00A8138F" w:rsidP="00A8138F">
      <w:pPr>
        <w:pStyle w:val="TextoNormal"/>
      </w:pPr>
      <w:r>
        <w:t>Los agentes señalaban que, junto a estos cuatro sucesos se estaban investigando otros dos casos que pudieran constituir un delito de homicidio en grado de tentativa, ocurridos en los meses de noviembre y diciembre de 2021, que tenían un denominador común: ambas víctimas varones mantenían relaciones afectivo-sexuales con personas del mismo sexo y concertaron un encuentro en su domicilio con el citado don Nelson David Moreno Bolaños a través de las aplicaciones Wapo o Grindr; informando los agentes que en uno de estos procedimientos se había acordado el ingreso en prisión provisional del mismo el 7 de mayo de 2022.</w:t>
      </w:r>
    </w:p>
    <w:p w14:paraId="63354798" w14:textId="77777777" w:rsidR="00A8138F" w:rsidRDefault="00A8138F" w:rsidP="00A8138F">
      <w:pPr>
        <w:pStyle w:val="TextoNormal"/>
      </w:pPr>
    </w:p>
    <w:p w14:paraId="7919F416" w14:textId="77777777" w:rsidR="00A8138F" w:rsidRDefault="00A8138F" w:rsidP="00A8138F">
      <w:pPr>
        <w:pStyle w:val="TextoNormal"/>
      </w:pPr>
      <w:r>
        <w:t>En los sucesivos oficios el equipo instructor daba además cuenta de los siguientes hitos:</w:t>
      </w:r>
    </w:p>
    <w:p w14:paraId="23963977" w14:textId="77777777" w:rsidR="00A8138F" w:rsidRDefault="00A8138F" w:rsidP="00A8138F">
      <w:pPr>
        <w:pStyle w:val="TextoNormal"/>
      </w:pPr>
    </w:p>
    <w:p w14:paraId="4E2F9BE2" w14:textId="77777777" w:rsidR="00A8138F" w:rsidRDefault="00A8138F" w:rsidP="00A8138F">
      <w:pPr>
        <w:pStyle w:val="TextoNormal"/>
      </w:pPr>
      <w:r>
        <w:t>(i) El 27 de septiembre de 2021, don Gonzalo Torres Cid, hermano del fallecido presentó denuncia en dependencias de la Ertzaintza de Bilbao, indicando que había observado que en fechas y horas posteriores al fallecimiento de don Raúl Carlos Torres y haciendo uso de la tarjeta de crédito de la entidad Bankinter a su nombre se habían realizado diferentes extracciones de dinero en cajeros automáticos y compras en comercios. El denunciante aportó una copia de los movimientos bancarios de la tarjeta de crédito entre el 13 y el 19 de septiembre de 2021.</w:t>
      </w:r>
    </w:p>
    <w:p w14:paraId="173A47B3" w14:textId="77777777" w:rsidR="00A8138F" w:rsidRDefault="00A8138F" w:rsidP="00A8138F">
      <w:pPr>
        <w:pStyle w:val="TextoNormal"/>
      </w:pPr>
    </w:p>
    <w:p w14:paraId="168345E3" w14:textId="77777777" w:rsidR="00A8138F" w:rsidRDefault="00A8138F" w:rsidP="00A8138F">
      <w:pPr>
        <w:pStyle w:val="TextoNormal"/>
      </w:pPr>
      <w:r>
        <w:t>(ii) En las imágenes de videograbación de las entidades bancarias correspondientes a dos de las extracciones de dinero, se observaba un varón coincidente en su descripción física con don Nelson David Moreno Bolaños.</w:t>
      </w:r>
    </w:p>
    <w:p w14:paraId="7CBA32B1" w14:textId="77777777" w:rsidR="00A8138F" w:rsidRDefault="00A8138F" w:rsidP="00A8138F">
      <w:pPr>
        <w:pStyle w:val="TextoNormal"/>
      </w:pPr>
    </w:p>
    <w:p w14:paraId="13F1BD31" w14:textId="77777777" w:rsidR="00A8138F" w:rsidRDefault="00A8138F" w:rsidP="00A8138F">
      <w:pPr>
        <w:pStyle w:val="TextoNormal"/>
      </w:pPr>
      <w:r>
        <w:t>(iii) Solicitado por los agentes la relación de transacciones efectuadas a través de la plataforma de pagos Bizum detectaron que se habían realizado, desde el terminal telefónico asociado a la cuenta bancaria a nombre de don Raúl Carlos Torres Cid, entre las 21:12 y las 21:57 horas de 15 de septiembre de 2021, seis operativas en favor de una cuenta bancaria a nombre de don Nelson David Moreno Bolaños, ascendiendo el total de los mismos a 5500 €, si bien se indicaba que estas operaciones aparecían como “validadas”, lo que implicaría que no se habría completado el pago; extremo que los agentes indicaban que sería preciso verificar con los movimientos de la cuenta asociada a don Nelson David Moreno Bolaños.</w:t>
      </w:r>
    </w:p>
    <w:p w14:paraId="0E2CE6EB" w14:textId="77777777" w:rsidR="00A8138F" w:rsidRDefault="00A8138F" w:rsidP="00A8138F">
      <w:pPr>
        <w:pStyle w:val="TextoNormal"/>
      </w:pPr>
    </w:p>
    <w:p w14:paraId="7C14D089" w14:textId="77777777" w:rsidR="00A8138F" w:rsidRDefault="00A8138F" w:rsidP="00A8138F">
      <w:pPr>
        <w:pStyle w:val="TextoNormal"/>
      </w:pPr>
      <w:r>
        <w:t>(iv) El 3 de mayo de 2021 don Gonzalo Torres Cid entregó a los agentes el terminal telefónico de su hermano, que se encontraba entre sus pertenencias cuando fue hallado su cadáver; le indicaron los amigos que vieron con vida por última vez a su hermano el día que se había determinado como fecha de la muerte; y aportó pantallazos sobre un intento de envío de dinero, efectuado el 15 de septiembre de 2021 a las 21:56 horas, desde la cuenta de su hermano a un número de teléfono.</w:t>
      </w:r>
    </w:p>
    <w:p w14:paraId="6BF80A44" w14:textId="77777777" w:rsidR="00A8138F" w:rsidRDefault="00A8138F" w:rsidP="00A8138F">
      <w:pPr>
        <w:pStyle w:val="TextoNormal"/>
      </w:pPr>
    </w:p>
    <w:p w14:paraId="502B5672" w14:textId="77777777" w:rsidR="00A8138F" w:rsidRDefault="00A8138F" w:rsidP="00A8138F">
      <w:pPr>
        <w:pStyle w:val="TextoNormal"/>
      </w:pPr>
      <w:r>
        <w:t>En los oficios el equipo instructor explicaba que trabajaba en la hipótesis de que don Raúl Carlos Torres Cid conoció a don Nelson David Moreno Bolaños —los agentes indicaban que se desconocía aún de qué manera al no haber tenido acceso a sus dispositivos electrónicos— y concertó una cita con él en su domicilio, lugar donde don Raúl Carlos falleció, poco antes de realizarse las transferencias a través de la plataforma Bizum en favor de don Nelson David Moreno Bolaños a las 21:12 horas del 15 de septiembre de 2021, siendo posible que contactaran telefónicamente de forma previa a ese encuentro. Y concluía solicitando la expedición de varios mandamientos, para confirmar la relación existente entre don Raúl Carlos Torres Cid y don Nelson David Moreno Bolaños, no solo en la fecha en que se produjo el fallecimiento de aquel, sino también en fechas previas y posteriores al deceso de esta persona. En concreto, el equipo instructor solicitó la expedición de los siguientes mandamientos:</w:t>
      </w:r>
    </w:p>
    <w:p w14:paraId="010BE741" w14:textId="77777777" w:rsidR="00A8138F" w:rsidRDefault="00A8138F" w:rsidP="00A8138F">
      <w:pPr>
        <w:pStyle w:val="TextoNormal"/>
      </w:pPr>
    </w:p>
    <w:p w14:paraId="23F52E2F" w14:textId="77777777" w:rsidR="00A8138F" w:rsidRDefault="00A8138F" w:rsidP="00A8138F">
      <w:pPr>
        <w:pStyle w:val="TextoNormal"/>
      </w:pPr>
      <w:r>
        <w:t>(i) Mandamiento dirigido a la entidad Bankinter, para que en relación con la cuenta bancaria titularidad de don Raúl Carlos Torres Cid aportase información completa sobre la misma y relación de movimientos registrados en dicha cuenta y las tarjetas asociadas entre el 1 de julio y el 30 de octubre de 2021.</w:t>
      </w:r>
    </w:p>
    <w:p w14:paraId="70BC8E19" w14:textId="77777777" w:rsidR="00A8138F" w:rsidRDefault="00A8138F" w:rsidP="00A8138F">
      <w:pPr>
        <w:pStyle w:val="TextoNormal"/>
      </w:pPr>
    </w:p>
    <w:p w14:paraId="5BBD45C6" w14:textId="77777777" w:rsidR="00A8138F" w:rsidRDefault="00A8138F" w:rsidP="00A8138F">
      <w:pPr>
        <w:pStyle w:val="TextoNormal"/>
      </w:pPr>
      <w:r>
        <w:t>(ii) Mandamiento dirigido al Banco Santander, para que en relación a la cuenta bancaria titularidad de don Nelson David Moreno se aportase información completa sobre la misma y relación de movimientos registrados en dicha cuenta y las tarjetas asociadas entre el 1 de julio y el 30 de octubre de 2021.</w:t>
      </w:r>
    </w:p>
    <w:p w14:paraId="07F254BA" w14:textId="77777777" w:rsidR="00A8138F" w:rsidRDefault="00A8138F" w:rsidP="00A8138F">
      <w:pPr>
        <w:pStyle w:val="TextoNormal"/>
      </w:pPr>
    </w:p>
    <w:p w14:paraId="3627D21A" w14:textId="77777777" w:rsidR="00A8138F" w:rsidRDefault="00A8138F" w:rsidP="00A8138F">
      <w:pPr>
        <w:pStyle w:val="TextoNormal"/>
      </w:pPr>
      <w:r>
        <w:t>(iii) Mandamiento judicial dirigido a la policía científica de la Ertzaintza para que procediese a la extracción del contenido íntegro almacenado en el terminal telefónico de don Raúl Torres Cid, así como en cualquiera de las opciones de almacenamiento en internet utilizados en aquel terminal. Los agentes justificaban la petición para comprobar cualquier tipo de fotografía o archivo digital, correos electrónicos o cualquier otro tipo de intercambio de comunicaciones, bien mediante el uso tradicional de llamadas de voz o mediante la utilización de aplicaciones de mensajería registradas y/o almacenadas en el terminal telefónico del fallecido.</w:t>
      </w:r>
    </w:p>
    <w:p w14:paraId="05FA6584" w14:textId="77777777" w:rsidR="00A8138F" w:rsidRDefault="00A8138F" w:rsidP="00A8138F">
      <w:pPr>
        <w:pStyle w:val="TextoNormal"/>
      </w:pPr>
    </w:p>
    <w:p w14:paraId="62346C45" w14:textId="77777777" w:rsidR="00A8138F" w:rsidRDefault="00A8138F" w:rsidP="00A8138F">
      <w:pPr>
        <w:pStyle w:val="TextoNormal"/>
      </w:pPr>
      <w:r>
        <w:t>(iv) Mandamiento judicial dirigido a la compañía Yoigo para que, en relación al abonado telefónico empleado por el fallecido, facilitase todos los tránsitos de comunicación por voz, sms y datos cursados por la línea y la localización de los teléfonos por identificación de la antena y coordenadas, en el periodo comprendido entre las 00:00 horas del día 15 de agosto de 2021 y el día 30 de septiembre de 2021. La petición se justificaba “a fin de conocer las comunicaciones registradas en el teléfono de Raúl Carlos Torres Cid, siendo esta parte fundamental de la investigación con las que se pudiera reconstruir las posibles citas o contactos que la víctima hubiera podido mantener de forma previa a su fallecimiento”.</w:t>
      </w:r>
    </w:p>
    <w:p w14:paraId="4BD3B613" w14:textId="77777777" w:rsidR="00A8138F" w:rsidRDefault="00A8138F" w:rsidP="00A8138F">
      <w:pPr>
        <w:pStyle w:val="TextoNormal"/>
      </w:pPr>
    </w:p>
    <w:p w14:paraId="5B402977" w14:textId="77777777" w:rsidR="00A8138F" w:rsidRDefault="00A8138F" w:rsidP="00A8138F">
      <w:pPr>
        <w:pStyle w:val="TextoNormal"/>
      </w:pPr>
      <w:r>
        <w:t>(v) Mandamientos judiciales dirigidos a las compañías Euskaltel, Vodafone Y Xfera Moviles para que en relación a cuatro abonados que se detallaban en el oficio —y que, según el equipo instructor indicaba, eran utilizados por don Nelson David Moreno Bolaños en la fecha del fallecimiento de don Raúl Carlos Torres— aportasen todos los tránsitos de comunicación por voz, sms y datos cursados; la localización de los teléfonos por identificación de antena y coordenada, en el periodo comprendido entre las 00:00 horas del día 15 de agosto de 2021 y las 00:00 horas del día 30 de septiembre de 2021.</w:t>
      </w:r>
    </w:p>
    <w:p w14:paraId="226073D6" w14:textId="77777777" w:rsidR="00A8138F" w:rsidRDefault="00A8138F" w:rsidP="00A8138F">
      <w:pPr>
        <w:pStyle w:val="TextoNormal"/>
      </w:pPr>
    </w:p>
    <w:p w14:paraId="3CD5A1F0" w14:textId="77777777" w:rsidR="00A8138F" w:rsidRDefault="00A8138F" w:rsidP="00A8138F">
      <w:pPr>
        <w:pStyle w:val="TextoNormal"/>
      </w:pPr>
      <w:r>
        <w:t>En concreto, los agentes indicaban: (1) un abonado telefónico que, aunque era de titularidad de otra persona, fue facilitado por don Nelson David Moreno Bolaños el 1 de mayo de 2021 con motivo de la incautación de una pequeña cantidad de sustancia vegetal de color verde, presumiblemente marihuana, en otras diligencias policiales; (2) una segunda línea telefónica, que figuraba a nombre de otro varón y había permanecido activa entre el 9 de noviembre de 2020 y el 23 de febrero de 2022, que “el equipo instructor tenía conocimiento de que era utilizada por don Nelson David Moreno Bolaños, ya que una de las víctimas de homicidio en grado de tentativa lo utilizaba para contactar con el investigado”; (3) una tercera línea, titularidad del propio don Nelson David Moreno Bolaños, que estuvo activa entre el 1 de octubre de 2021 y el 19 de diciembre de 2021; y (4) un cuarto abonado, titularidad de la expareja sentimental de don Nelson David Moreno Bolaños, si bien se había constatado que ese abonado estaba asociado a una cuenta bancaria titularidad del propio don Nelson David Moreno Bolaños. Esta petición se justificaba “a fin de poder conocer las comunicaciones registradas en el teléfono de Raúl Carlos Torres Cid, siendo esta parte fundamental de la investigación con las que se pudiera reconstruir las posibles citas o contactos que la víctima hubiera podido mantener de forma previa a su fallecimiento”.</w:t>
      </w:r>
    </w:p>
    <w:p w14:paraId="5514D7F7" w14:textId="77777777" w:rsidR="00A8138F" w:rsidRDefault="00A8138F" w:rsidP="00A8138F">
      <w:pPr>
        <w:pStyle w:val="TextoNormal"/>
      </w:pPr>
    </w:p>
    <w:p w14:paraId="22F15231" w14:textId="77777777" w:rsidR="00A8138F" w:rsidRDefault="00A8138F" w:rsidP="00A8138F">
      <w:pPr>
        <w:pStyle w:val="TextoNormal"/>
      </w:pPr>
      <w:r>
        <w:t>Asimismo, los agentes solicitaban que se entregase a la unidad instructora una copia de los Informes del servicio de patología forense en relación al fallecimiento de don Raúl Carlos Torres Cid y se recabase toda la información económica y laboral correspondiente al mismo obrante en los archivos del punto neutro judicial (Hacienda foral, Agencia Estatal de la Administración Tributaria, Tesoreria General de la Seguridad Social, Instituto Nacional de la Seguridad Social y otras) desde el 1 de enero de 2021. La petición se justificaba por resultar de interés “conocer la existencia de otros bienes o cuentas bancarias titularidad del fallecido, de las que no tuvieran conocimiento sus familiares y al objeto de continuar con las gestiones tendentes al esclarecimiento del delito descrito”.</w:t>
      </w:r>
    </w:p>
    <w:p w14:paraId="37855719" w14:textId="77777777" w:rsidR="00A8138F" w:rsidRDefault="00A8138F" w:rsidP="00A8138F">
      <w:pPr>
        <w:pStyle w:val="TextoNormal"/>
      </w:pPr>
    </w:p>
    <w:p w14:paraId="54F96157" w14:textId="77777777" w:rsidR="00A8138F" w:rsidRDefault="00A8138F" w:rsidP="00A8138F">
      <w:pPr>
        <w:pStyle w:val="TextoNormal"/>
      </w:pPr>
      <w:r>
        <w:t>g) Asimismo tuvo entrada en el Juzgado de Instrucción núm. 5 de Bilbao el atestado ampliatorio de fecha 25 de mayo de 2022.</w:t>
      </w:r>
    </w:p>
    <w:p w14:paraId="02619BE5" w14:textId="77777777" w:rsidR="00A8138F" w:rsidRDefault="00A8138F" w:rsidP="00A8138F">
      <w:pPr>
        <w:pStyle w:val="TextoNormal"/>
      </w:pPr>
    </w:p>
    <w:p w14:paraId="135D2250" w14:textId="77777777" w:rsidR="00A8138F" w:rsidRDefault="00A8138F" w:rsidP="00A8138F">
      <w:pPr>
        <w:pStyle w:val="TextoNormal"/>
      </w:pPr>
      <w:r>
        <w:t>En el mismo se daba cuenta del estado de la investigación policial y la hipótesis en la que se trabajaba —cuya síntesis se ha expuesto en el anterior apartado— y se remitían las diligencias correspondientes: la relación de movimientos de la tarjeta de crédito a nombre de don Raúl Carlos Torres Cid, aportados por su hermano Gonzalo, desde el 13 de septiembre de 2021 hasta el 19 de septiembre de 2021, en la que se observan numerosos movimientos desde el 15 de septiembre de 2021 a las 20:02 horas (en cajeros, pagos en establecimientos y otras compras, pago taxis, etc.); los CDs con las imágenes de las dos entidades bancarias correspondientes a los días 16 de septiembre de 2021 y 17 de septiembre de 2021 y la impresión de las imágenes. Asimismo, se adjuntaban las sucesivas comparecencias efectuadas por don Gonzalo Torres Cid los días 27 de septiembre de 2021, 3 de mayo de 2022 y 18 de mayo de 2022, denunciando los movimientos de la tarjeta de crédito del fallecido; poniendo en conocimiento que su hermano le comentó que había conocido a un amigo de nombre “Carlos” (que luego se supo que utilizaba el investigado para contactar con hombres); entregando para su examen el teléfono móvil de su hermano, que se encontraba entre sus pertenencias; facilitando los pantallazos de un envío denegado que se intentó efectuar desde la cuenta de su hermano; e identificando a los amigos de su hermano que estuvieron con aquel la tarde del día en que se fijó su fallecimiento.</w:t>
      </w:r>
    </w:p>
    <w:p w14:paraId="748C7E1C" w14:textId="77777777" w:rsidR="00A8138F" w:rsidRDefault="00A8138F" w:rsidP="00A8138F">
      <w:pPr>
        <w:pStyle w:val="TextoNormal"/>
      </w:pPr>
    </w:p>
    <w:p w14:paraId="64EC54DB" w14:textId="77777777" w:rsidR="00A8138F" w:rsidRDefault="00A8138F" w:rsidP="00A8138F">
      <w:pPr>
        <w:pStyle w:val="TextoNormal"/>
      </w:pPr>
      <w:r>
        <w:t>h) Recibido el anterior atestado y las solicitudes de mandamientos y diligencias, el Juzgado de Instrucción núm. 5 de Bilbao dictó auto de 1 de junio de 2022 dejando sin efecto el sobreseimiento de las diligencias previas acordado en el auto de 27 de septiembre de 2021, acordando la práctica de determinadas diligencias y denegando otras solicitadas.</w:t>
      </w:r>
    </w:p>
    <w:p w14:paraId="276D594B" w14:textId="77777777" w:rsidR="00A8138F" w:rsidRDefault="00A8138F" w:rsidP="00A8138F">
      <w:pPr>
        <w:pStyle w:val="TextoNormal"/>
      </w:pPr>
    </w:p>
    <w:p w14:paraId="6EA7219C" w14:textId="77777777" w:rsidR="00A8138F" w:rsidRDefault="00A8138F" w:rsidP="00A8138F">
      <w:pPr>
        <w:pStyle w:val="TextoNormal"/>
      </w:pPr>
      <w:r>
        <w:t>En el auto se indica que las “diligencias previas fueron incoadas por fallecimiento de Raúl Carlos Torres Cid, respecto del que hubo levantamiento de cadáver el día 20/9/2022, datándose la fecha de la muerte unos cuatro o cinco días anteriormente”, “posteriormente fueron sobreseídas, a la vista de la causa de fallecimiento que constaba en el informe de autopsia ‘muerte de naturaleza natural’” y que “se han aportado a la causa elementos que al parecer desvirtúan los motivos que determinaron el sobreseimiento, por lo que procede dejarlo sin efecto, para, como señala el artículo 777 de la LECrim, acordar la práctica de las diligencias oportuna tendentes a la determinación de la naturaleza de los hechos aparentemente delictivos y de las personas que en ellos hayan participado”.</w:t>
      </w:r>
    </w:p>
    <w:p w14:paraId="3D7277C8" w14:textId="77777777" w:rsidR="00A8138F" w:rsidRDefault="00A8138F" w:rsidP="00A8138F">
      <w:pPr>
        <w:pStyle w:val="TextoNormal"/>
      </w:pPr>
    </w:p>
    <w:p w14:paraId="5C02506C" w14:textId="77777777" w:rsidR="00A8138F" w:rsidRDefault="00A8138F" w:rsidP="00A8138F">
      <w:pPr>
        <w:pStyle w:val="TextoNormal"/>
      </w:pPr>
      <w:r>
        <w:t>En consecuencia, en la resolución se resolvió:</w:t>
      </w:r>
    </w:p>
    <w:p w14:paraId="6A36D884" w14:textId="77777777" w:rsidR="00A8138F" w:rsidRDefault="00A8138F" w:rsidP="00A8138F">
      <w:pPr>
        <w:pStyle w:val="TextoNormal"/>
      </w:pPr>
    </w:p>
    <w:p w14:paraId="394299BF" w14:textId="77777777" w:rsidR="00A8138F" w:rsidRDefault="00A8138F" w:rsidP="00A8138F">
      <w:pPr>
        <w:pStyle w:val="TextoNormal"/>
      </w:pPr>
      <w:r>
        <w:t>(i) “Ante la petición de informes de autopsia de contenido ya conocido por la policía, porque se hace referencia a la causa de la muerte de Raul Carlos Torres Cid se acuerda, solicitar al instituto anatómico forense, que informe en relación a la causa, naturaleza y etiología del fallecimiento de Raul Carlos Torres Cid una ampliación del análisis químico toxicológico incluyendo la posible presencia de GHB, lo cual se solicita con carácter de urgencia, dado que si no se obtiene ningún dato relevante que justifique la modificación de la causa de la muerte como consta en la autopsia, es decir, que la causa de la muerte sea violenta u homicida, para que en ello se pueda apoyar ese supuesto delito de homicidio, solamente se estaría, en este momento y sin más datos, en presencia única y exclusivamente ante un delito contra el patrimonio”.</w:t>
      </w:r>
    </w:p>
    <w:p w14:paraId="69C8A851" w14:textId="77777777" w:rsidR="00A8138F" w:rsidRDefault="00A8138F" w:rsidP="00A8138F">
      <w:pPr>
        <w:pStyle w:val="TextoNormal"/>
      </w:pPr>
    </w:p>
    <w:p w14:paraId="640519E9" w14:textId="77777777" w:rsidR="00A8138F" w:rsidRDefault="00A8138F" w:rsidP="00A8138F">
      <w:pPr>
        <w:pStyle w:val="TextoNormal"/>
      </w:pPr>
      <w:r>
        <w:t>(ii) Se acuerda oficiar a la compañía Yoigo en relación al teléfono propiedad del fallecido don Raúl Carlos Torres Cid, “al parecer con la finalidad de si pudieran haberse citado en las fechas próximas al fallecimiento para encontrarse en el domicilio de Raúl Carlos”, aunque limitado únicamente a las fechas comprendidas entre el 1 y el 18 de septiembre de 2021.</w:t>
      </w:r>
    </w:p>
    <w:p w14:paraId="0779DF88" w14:textId="77777777" w:rsidR="00A8138F" w:rsidRDefault="00A8138F" w:rsidP="00A8138F">
      <w:pPr>
        <w:pStyle w:val="TextoNormal"/>
      </w:pPr>
    </w:p>
    <w:p w14:paraId="1E5BA707" w14:textId="77777777" w:rsidR="00A8138F" w:rsidRDefault="00A8138F" w:rsidP="00A8138F">
      <w:pPr>
        <w:pStyle w:val="TextoNormal"/>
      </w:pPr>
      <w:r>
        <w:t>(iii) Finalmente, “pudiéndose estar en presencia de un delito contra el patrimonio”, se acuerda oficiar a la entidad Bankinter para que informasen sobre las seis operaciones realizadas desde el terminal telefónico asociado a la cuenta titular de Raúl Castro Torres Cid desde el día 15 al 19 de septiembre de 2021, informando sobre “si se completó el pago o alguna circunstancia concurrió para que no se completara el pago” y oficiar al Banco Santander para la remisión de los movimientos e ingresos efectuados por Bizum desde el teléfono del fallecido al teléfono asociado a la cuenta bancaria de don Nelson David Moreno Bolaños desde el día 15 al 19 de septiembre de 2021.</w:t>
      </w:r>
    </w:p>
    <w:p w14:paraId="176ADB57" w14:textId="77777777" w:rsidR="00A8138F" w:rsidRDefault="00A8138F" w:rsidP="00A8138F">
      <w:pPr>
        <w:pStyle w:val="TextoNormal"/>
      </w:pPr>
    </w:p>
    <w:p w14:paraId="3853FF21" w14:textId="77777777" w:rsidR="00A8138F" w:rsidRDefault="00A8138F" w:rsidP="00A8138F">
      <w:pPr>
        <w:pStyle w:val="TextoNormal"/>
      </w:pPr>
      <w:r>
        <w:t>No obstante, en el auto se estima que gran parte de las diligencias de investigación solicitadas por la Ertzaintza no eran pertinentes y tenían carácter prospectivo “pues se pide con una generalidad tal, que al parecer lo que se pretende es obtener datos que le puedan servir para todas las investigaciones de todos los hechos de diferentes cadáveres que consideran puedan estar relacionados”. Y, en consecuencia, se deniega:</w:t>
      </w:r>
    </w:p>
    <w:p w14:paraId="0F1BD94F" w14:textId="77777777" w:rsidR="00A8138F" w:rsidRDefault="00A8138F" w:rsidP="00A8138F">
      <w:pPr>
        <w:pStyle w:val="TextoNormal"/>
      </w:pPr>
    </w:p>
    <w:p w14:paraId="6AD3EFC9" w14:textId="77777777" w:rsidR="00A8138F" w:rsidRDefault="00A8138F" w:rsidP="00A8138F">
      <w:pPr>
        <w:pStyle w:val="TextoNormal"/>
      </w:pPr>
      <w:r>
        <w:t>- la consulta al punto neutro judicial para averiguar datos económicos y laborales del fallecido, “por ser totalmente irrelevante y ajeno a la investigación”;</w:t>
      </w:r>
    </w:p>
    <w:p w14:paraId="053114B4" w14:textId="77777777" w:rsidR="00A8138F" w:rsidRDefault="00A8138F" w:rsidP="00A8138F">
      <w:pPr>
        <w:pStyle w:val="TextoNormal"/>
      </w:pPr>
    </w:p>
    <w:p w14:paraId="47BD47E8" w14:textId="77777777" w:rsidR="00A8138F" w:rsidRDefault="00A8138F" w:rsidP="00A8138F">
      <w:pPr>
        <w:pStyle w:val="TextoNormal"/>
      </w:pPr>
      <w:r>
        <w:t>- la extracción del contenido íntegro del terminal telefónico del fallecido, estimando que la misma podría suponer una reiteración de la información que facilitase Yoigo y con esta información se considera suficiente;</w:t>
      </w:r>
    </w:p>
    <w:p w14:paraId="18048E7D" w14:textId="77777777" w:rsidR="00A8138F" w:rsidRDefault="00A8138F" w:rsidP="00A8138F">
      <w:pPr>
        <w:pStyle w:val="TextoNormal"/>
      </w:pPr>
    </w:p>
    <w:p w14:paraId="70594FF9" w14:textId="77777777" w:rsidR="00A8138F" w:rsidRDefault="00A8138F" w:rsidP="00A8138F">
      <w:pPr>
        <w:pStyle w:val="TextoNormal"/>
      </w:pPr>
      <w:r>
        <w:t>- las diligencias solicitadas en relación con teléfonos que según los oficios de la policía eran utilizados por don Nelson David Moreno Bolaños, pues algunos eran propiedad de personas ajenas y, por otro lado, el teléfono que se indicaba que era de titularidad del investigado se indicaba que estuvo activo entre el 1 de octubre y el 19 de diciembre de de 2021 (y no en septiembre de 2021).</w:t>
      </w:r>
    </w:p>
    <w:p w14:paraId="0AE49A64" w14:textId="77777777" w:rsidR="00A8138F" w:rsidRDefault="00A8138F" w:rsidP="00A8138F">
      <w:pPr>
        <w:pStyle w:val="TextoNormal"/>
      </w:pPr>
    </w:p>
    <w:p w14:paraId="75593A8A" w14:textId="77777777" w:rsidR="00A8138F" w:rsidRDefault="00A8138F" w:rsidP="00A8138F">
      <w:pPr>
        <w:pStyle w:val="TextoNormal"/>
      </w:pPr>
      <w:r>
        <w:t>i) En cumplimiento del oficio remitido, tuvo entrada en el Juzgado de Instrucción núm. 5 de Bilbao el Informe 21-0704A de la sección de química-toxicología y análisis clínicos del servicio de laboratorio forense del Instituto Vasco de Medicina Legal, fechado el 28 de junio de 2022 y que sustituyó al anterior Informe 21-0704.</w:t>
      </w:r>
    </w:p>
    <w:p w14:paraId="3E1BDFA6" w14:textId="77777777" w:rsidR="00A8138F" w:rsidRDefault="00A8138F" w:rsidP="00A8138F">
      <w:pPr>
        <w:pStyle w:val="TextoNormal"/>
      </w:pPr>
    </w:p>
    <w:p w14:paraId="1BDEB0C0" w14:textId="77777777" w:rsidR="00A8138F" w:rsidRDefault="00A8138F" w:rsidP="00A8138F">
      <w:pPr>
        <w:pStyle w:val="TextoNormal"/>
      </w:pPr>
      <w:r>
        <w:t>Este informe indica que en las muestras de lavado vesical e hígado se realiza una investigación general de tóxicos orgánicos, orientada a la detección de drogas de abuso y fármacos de uso frecuente; en las muestras de lavado vesical e hígado se realiza una investigación especial orientada a la detección de sustancias que afectan a la capacidad volitiva; y en las muestras de lavado vesical e hígado se procede a la determinación de alcohol etílico. En sus resultados consta que se detectó alcohol etílico en hígado, aunque se precisa que los resultados no eran concluyentes debido al mal estado de las muestras y a la falta de humor vítreo; y que los valores obtenidos de GHB [ácido γ-hidroxibutírico o ácido gamma-hidroxibutírico, sustancia que se produce en pocas cantidades en el organismo, pero que puede sintetizarse como droga para causar la pérdida de la consciencia] en el hígado eran compatibles con niveles endógeno</w:t>
      </w:r>
      <w:r w:rsidRPr="00A8138F">
        <w:rPr>
          <w:i/>
        </w:rPr>
        <w:t>s post mort</w:t>
      </w:r>
      <w:r>
        <w:t>em.</w:t>
      </w:r>
    </w:p>
    <w:p w14:paraId="3FB8B022" w14:textId="77777777" w:rsidR="00A8138F" w:rsidRDefault="00A8138F" w:rsidP="00A8138F">
      <w:pPr>
        <w:pStyle w:val="TextoNormal"/>
      </w:pPr>
    </w:p>
    <w:p w14:paraId="4B4C50EC" w14:textId="77777777" w:rsidR="00A8138F" w:rsidRDefault="00A8138F" w:rsidP="00A8138F">
      <w:pPr>
        <w:pStyle w:val="TextoNormal"/>
      </w:pPr>
      <w:r>
        <w:t>j) Recibido el anterior informe, el 5 de julio de 2022, el Juzgado de Instrucción núm. 5 de Bilbao dictó providencia con el siguiente contenido:</w:t>
      </w:r>
    </w:p>
    <w:p w14:paraId="4AB75978" w14:textId="77777777" w:rsidR="00A8138F" w:rsidRDefault="00A8138F" w:rsidP="00A8138F">
      <w:pPr>
        <w:pStyle w:val="TextoNormal"/>
      </w:pPr>
    </w:p>
    <w:p w14:paraId="0736B5FF" w14:textId="77777777" w:rsidR="00A8138F" w:rsidRDefault="00A8138F" w:rsidP="00A8138F">
      <w:pPr>
        <w:pStyle w:val="TextoNormal"/>
      </w:pPr>
      <w:r>
        <w:t xml:space="preserve">“Dada cuenta; y por recibido el anterior informe del servicio de laboratorio forense, únase a los autos de su razón y a la vista del resultado negativo del análisis solicitado en fecha 01/06/22, según el cual los valores obtenidos en el hígado el resultado de GHB es 0,02 mg/kg ‘y los valores obtenidos de GHB en el hígado compatibles con niveles endógenos </w:t>
      </w:r>
      <w:r w:rsidRPr="00A8138F">
        <w:rPr>
          <w:i/>
        </w:rPr>
        <w:t>post morten</w:t>
      </w:r>
      <w:r>
        <w:t>’, carece de valor por lo que las actuaciones sin otros datos que justifiquen en relación a otros hechos que están siendo objeto de otras investigaciones, las actuaciones se continúan en relación a un supuesto delito contra el patrimonio”.</w:t>
      </w:r>
    </w:p>
    <w:p w14:paraId="25B5D421" w14:textId="77777777" w:rsidR="00A8138F" w:rsidRDefault="00A8138F" w:rsidP="00A8138F">
      <w:pPr>
        <w:pStyle w:val="TextoNormal"/>
      </w:pPr>
    </w:p>
    <w:p w14:paraId="46A2A754" w14:textId="77777777" w:rsidR="00A8138F" w:rsidRDefault="00A8138F" w:rsidP="00A8138F">
      <w:pPr>
        <w:pStyle w:val="TextoNormal"/>
      </w:pPr>
      <w:r>
        <w:t>k) El 12 de julio de 2022 tuvo entrada en el Juzgado de Instrucción núm. 5 de Bilbao un nuevo atestado ampliatorio, fechado el 11 de julio de 2022, en el que los agentes daban cuenta de las diligencias practicadas e informaban de que seguían trabajando en la hipótesis de que se produjo el fallecimiento de don Raúl Carlos Torres Cid y con posterioridad fue el propio don Nelson David Moreno Bolaños quien, haciendo uso del terminal telefónico de don Raúl Carlos, efectuó las operaciones bancarias a través de la plataforma Bizum, así como el resto de transferencias, pagos y extracciones que se hicieron posteriormente con la tarjeta de crédito a nombre de don Raúl Carlos, una vez se apoderó de la propia tarjeta y obtuvo la clave pin de esta, para poder operar con ella.</w:t>
      </w:r>
    </w:p>
    <w:p w14:paraId="5F489499" w14:textId="77777777" w:rsidR="00A8138F" w:rsidRDefault="00A8138F" w:rsidP="00A8138F">
      <w:pPr>
        <w:pStyle w:val="TextoNormal"/>
      </w:pPr>
    </w:p>
    <w:p w14:paraId="1DE8AF3E" w14:textId="77777777" w:rsidR="00A8138F" w:rsidRDefault="00A8138F" w:rsidP="00A8138F">
      <w:pPr>
        <w:pStyle w:val="TextoNormal"/>
      </w:pPr>
      <w:r>
        <w:t>En apoyo de esta hipótesis, junto con el atestado se remitían las declaraciones de los tres testigos que habían estado con don Raúl Carlos la tarde del día en que se dató su fallecimiento e informaban de las gestiones efectuadas en relación a los movimientos en la cuenta bancaria del fallecido:</w:t>
      </w:r>
    </w:p>
    <w:p w14:paraId="0B82E019" w14:textId="77777777" w:rsidR="00A8138F" w:rsidRDefault="00A8138F" w:rsidP="00A8138F">
      <w:pPr>
        <w:pStyle w:val="TextoNormal"/>
      </w:pPr>
    </w:p>
    <w:p w14:paraId="13F18AED" w14:textId="77777777" w:rsidR="00A8138F" w:rsidRDefault="00A8138F" w:rsidP="00A8138F">
      <w:pPr>
        <w:pStyle w:val="TextoNormal"/>
      </w:pPr>
      <w:r>
        <w:t>(i) La plataforma Bizum había informado en relación a las seis operaciones que se habían efectuado el día 15 de septiembre de 2022, entre las 21:12 y las 21:57 horas, por un importe total de 5500 €, que las operaciones habían sido realizadas por el usuario emisor, pero rechazadas por la entidad bancaria de ese usuario emisor, por lo que las transacciones no llegaron a materializarse;</w:t>
      </w:r>
    </w:p>
    <w:p w14:paraId="184C2C10" w14:textId="77777777" w:rsidR="00A8138F" w:rsidRDefault="00A8138F" w:rsidP="00A8138F">
      <w:pPr>
        <w:pStyle w:val="TextoNormal"/>
      </w:pPr>
    </w:p>
    <w:p w14:paraId="507E927D" w14:textId="77777777" w:rsidR="00A8138F" w:rsidRDefault="00A8138F" w:rsidP="00A8138F">
      <w:pPr>
        <w:pStyle w:val="TextoNormal"/>
      </w:pPr>
      <w:r>
        <w:t>(ii) se verificó que el 15 de septiembre de 2021, a las 21:32 horas, se intentó hacer una transferencia a través de Western Union, haciendo uso de la tarjeta de crédito a nombre de don Raúl Carlos, por un importe de 1504,09 €, que fue rechazada, extremo que fue comprobado con la entidad bancaria Bankinter;</w:t>
      </w:r>
    </w:p>
    <w:p w14:paraId="38FD8A3E" w14:textId="77777777" w:rsidR="00A8138F" w:rsidRDefault="00A8138F" w:rsidP="00A8138F">
      <w:pPr>
        <w:pStyle w:val="TextoNormal"/>
      </w:pPr>
    </w:p>
    <w:p w14:paraId="4CBA01D2" w14:textId="77777777" w:rsidR="00A8138F" w:rsidRDefault="00A8138F" w:rsidP="00A8138F">
      <w:pPr>
        <w:pStyle w:val="TextoNormal"/>
      </w:pPr>
      <w:r>
        <w:t>(iii) se detallaban los pagos y extracciones en cajeros automáticos que se habían realizado, haciendo uso de la tarjeta de crédito a nombre de don Raúl Carlos, con el conocimiento obligado de la clave pin de la misma, así como los intentos de operaciones que habían sido denegados, ascendiendo el importe total de las extracciones de dinero y los pagos en comercio, a un total de 6603,40 €;</w:t>
      </w:r>
    </w:p>
    <w:p w14:paraId="5D30C165" w14:textId="77777777" w:rsidR="00A8138F" w:rsidRDefault="00A8138F" w:rsidP="00A8138F">
      <w:pPr>
        <w:pStyle w:val="TextoNormal"/>
      </w:pPr>
    </w:p>
    <w:p w14:paraId="16DDA5A7" w14:textId="77777777" w:rsidR="00A8138F" w:rsidRDefault="00A8138F" w:rsidP="00A8138F">
      <w:pPr>
        <w:pStyle w:val="TextoNormal"/>
      </w:pPr>
      <w:r>
        <w:t>(iv) se detallaban gestiones efectuadas en los establecimientos en los que se habían intentado o efectuado extracciones en dinero (petición de imágenes del sistema de grabación de los cajeros) o compras con la tarjeta de crédito del fallecido (solicitud de los tickets de compra a los comercios, identificación de los objetos adquiridos y posterior localización de algunos de ellos entre las pertenencias que don Nelson David Moreno Bolaños portaba cuando fue detenido o que fueron encontradas en el registro de su domicilio o que su pareja sentimental manifestó que don Nelson David se los había regalado; identificación de taxi contratado…), ascendiendo el importe total a 6603,40 €.</w:t>
      </w:r>
    </w:p>
    <w:p w14:paraId="4300FEB3" w14:textId="77777777" w:rsidR="00A8138F" w:rsidRDefault="00A8138F" w:rsidP="00A8138F">
      <w:pPr>
        <w:pStyle w:val="TextoNormal"/>
      </w:pPr>
    </w:p>
    <w:p w14:paraId="00DA5822" w14:textId="77777777" w:rsidR="00A8138F" w:rsidRDefault="00A8138F" w:rsidP="00A8138F">
      <w:pPr>
        <w:pStyle w:val="TextoNormal"/>
      </w:pPr>
      <w:r>
        <w:t>En el atestado, los agentes informaron al juzgado de instrucción que el día 7 de junio de 2021, don Gonzalo Torres Cid, hermano de la víctima, autorizó el acceso al contenido del dispositivo telefónico propiedad de don Raúl Carlos Torres Cid, incluyendo archivos, audio, video y comunicaciones que en e1 terminal pudiera haber, así como del contenido almacenado en la nube de Apple y Google para lo cual aportó las contraseñas de acceso a dicho terminal telefónico, informando que del “resultado del citado estudio que se dará cumplido traslado a V.I. a la mayor brevedad”.</w:t>
      </w:r>
    </w:p>
    <w:p w14:paraId="1C5D1FFC" w14:textId="77777777" w:rsidR="00A8138F" w:rsidRDefault="00A8138F" w:rsidP="00A8138F">
      <w:pPr>
        <w:pStyle w:val="TextoNormal"/>
      </w:pPr>
    </w:p>
    <w:p w14:paraId="33A63923" w14:textId="77777777" w:rsidR="00A8138F" w:rsidRDefault="00A8138F" w:rsidP="00A8138F">
      <w:pPr>
        <w:pStyle w:val="TextoNormal"/>
      </w:pPr>
      <w:r>
        <w:t>Los agentes señalaban que de esta investigación se ponía de manifiesto que la persona que tenía en su poder la tarjeta de crédito a nombre de don Raúl Carlos Torres Cid y con la que se efectuaron estas compras y extracciones, sin consentimiento de su titular, fallecido el 15 de septiembre de 2021, y para lo que necesariamente tenía que conocer la clave pin de la misma, era don Nelson David Moreno Bolaños. Y adjuntaban: (i) las declaraciones de dos de los amigos que vieron por última vez con vida a Don Raúl Carlos Torres Cid; (ii) el detalle de movimientos de bizum realizados entre las 21:12 horas del día 15 de septiembre de 2022 y las 21:57 horas del día 15 de septiembre de 2022, entre el usuario emisor registrado en Bizum, don Raúl Carlos Torres Cid y el usuario receptor don Nelson David Moreno Bolaños; (iii) las gestiones efectuadas con Western Union, en las que se había confirmado el intento de una transacción de 1504,90 €, efectuada a las 21:32 horas del día 15 de septiembre de 2022, siendo el emisor don Raúl Carlos Torres Cid y el beneficiario don Nelson David Moreno Bolaños, que había sido rechazada; (iv) el informe elaborado por la unidad central de delincuencia especializada y violenta de la Dirección General de la Policía, de fecha 27 de junio de 2022, participando el resultado de las gestiones realizadas en empresas de envío de dinero situadas en Madrid, comprobaciones en domicilios asociados al investigado en Madrid, compras realizadas en un centro comercial de Murcia y declaración de la expareja de don Nelson David; (v) el informe fotográfico de las pertenencias que don Nelson David tenía en su domicilio en el momento de la entrada y registro motivada por su detención, que coincidían con efectos adquiridos en un centro comercial con la tarjeta de don Raúl Carlos; (vi) la imagen aportada por doña Arianna Scarlett Tello Estrada, testigo que prestó declaración en relación con las diligencias previas 1099-2021 del Juzgado de Instrucción núm. 6 de Bilbao, en la que se podía ver a don Nelson David Moreno Bolaños vistiendo una camiseta idéntica a la adquirida con la tarjeta de crédito a nombre de don Raúl Carlos Torres Cid.</w:t>
      </w:r>
    </w:p>
    <w:p w14:paraId="69B1F6BA" w14:textId="77777777" w:rsidR="00A8138F" w:rsidRDefault="00A8138F" w:rsidP="00A8138F">
      <w:pPr>
        <w:pStyle w:val="TextoNormal"/>
      </w:pPr>
    </w:p>
    <w:p w14:paraId="3E3E8349" w14:textId="77777777" w:rsidR="00A8138F" w:rsidRDefault="00A8138F" w:rsidP="00A8138F">
      <w:pPr>
        <w:pStyle w:val="TextoNormal"/>
      </w:pPr>
      <w:r>
        <w:t>l) El 12 de julio de 2022 el equipo instructor de la Ertzaintza presentó una nueva solicitud de mandamiento judicial de fecha 11 de julio de 2022, ante el juzgado de instrucción, dirigido a la empresa “SumUp”, para que facilitasen el detalle de lo adquirido en esa empresa el 17 de septiembre de 2021, haciendo uso de la tarjeta de crédito a nombre de don Raúl Carlos Torres Cid. En la solicitud se reiteraba la línea de investigación seguida por los agentes, descrita en anteriores solicitudes y atestados, indicando que, a juicio de aquellos, todos los datos de la investigación ponían de manifiesto que la persona que tenía en su poder la tarjeta de crédito a nombre de don Raúl Carlos Torres Cid, y con la que se hicieron las compras y extracciones, sin consentimiento de su titular, quien llevaba fallecido desde el día 15 de septiembre de 2021, y para lo que necesariamente tenía que ser conocedor del pin de la misma, era don Nelson David Moreno Bolaños.</w:t>
      </w:r>
    </w:p>
    <w:p w14:paraId="3A060072" w14:textId="77777777" w:rsidR="00A8138F" w:rsidRDefault="00A8138F" w:rsidP="00A8138F">
      <w:pPr>
        <w:pStyle w:val="TextoNormal"/>
      </w:pPr>
    </w:p>
    <w:p w14:paraId="58E053C2" w14:textId="77777777" w:rsidR="00A8138F" w:rsidRDefault="00A8138F" w:rsidP="00A8138F">
      <w:pPr>
        <w:pStyle w:val="TextoNormal"/>
      </w:pPr>
      <w:r>
        <w:t>El 15 de julio de 2022 el equipo instructor remitió nueva solicitud de mandamiento judicial, fechada ese mismo día. Tras describir las diligencias practicadas, concluía que el importe total de las extracciones y pagos en comercios realizados con la tarjeta de crédito a nombre de don Raúl Carlos Torres Cid, sin el consentimiento de su titular, ascendió a 7924,12 €. Y reiteraba que “este equipo instructor trabaja con la hipótesis de que previamente a realizarse las operaciones bancarias a través de la plataforma Bizum, en favor de Nelson David Moreno Bolaños, se produjo el fallecimiento de Raúl Carlos, siendo el propio Nelson David quien, haciendo uso del terminal telefónico de Raúl Carlos, efectuó las transferencias, así como el resto de pagos y extracciones que se hicieron posteriormente con la tarjeta de crédito a nombre de Raúl Carlos, una vez se apoderó de la propia tarjeta y obtuvo la clave pin de esta, para poder operar con ella”.</w:t>
      </w:r>
    </w:p>
    <w:p w14:paraId="0411A41F" w14:textId="77777777" w:rsidR="00A8138F" w:rsidRDefault="00A8138F" w:rsidP="00A8138F">
      <w:pPr>
        <w:pStyle w:val="TextoNormal"/>
      </w:pPr>
    </w:p>
    <w:p w14:paraId="7E1DE0D1" w14:textId="77777777" w:rsidR="00A8138F" w:rsidRDefault="00A8138F" w:rsidP="00A8138F">
      <w:pPr>
        <w:pStyle w:val="TextoNormal"/>
      </w:pPr>
      <w:r>
        <w:t>En su oficio el equipo instructor: (i) informaba que del análisis del terminal telefónico del fallecido se obtuvo que el mismo tenía registrados dos contactos asociados a “David”; (ii) comunicaba que del análisis del terminal telefónico de don Raúl Carlos, se desprendía que el día 15 de septiembre de 2021 se recibieron en el terminal telefónico varios mensajes de Bankinter, entre las 21:11 horas y las 21:31 horas con el código necesario para el “acceso a Bankinter”; para “modificar el servicio de Bizum”; autorizar un pago; y tres mensajes con el código para “visualizar el pin de la tarjeta”; que coincidían en fecha y hora con el inicio de los intentos infructuosos de realizar las transferencias de Bizum en favor de don Nelson David Moreno Bolaños, desde el terminal telefónico de don Raúl Carlos y que explicarían que el investigado fuese conocedor de la clave pin de la tarjeta de crédito para poder operar con la tarjeta del fallecido.</w:t>
      </w:r>
    </w:p>
    <w:p w14:paraId="3EB155D4" w14:textId="77777777" w:rsidR="00A8138F" w:rsidRDefault="00A8138F" w:rsidP="00A8138F">
      <w:pPr>
        <w:pStyle w:val="TextoNormal"/>
      </w:pPr>
    </w:p>
    <w:p w14:paraId="16D8EBEE" w14:textId="77777777" w:rsidR="00A8138F" w:rsidRDefault="00A8138F" w:rsidP="00A8138F">
      <w:pPr>
        <w:pStyle w:val="TextoNormal"/>
      </w:pPr>
      <w:r>
        <w:t>Además, los agentes señalaban la existencia de dos abonados telefónicos que eran utilizados por don Nelson David Moreno Bolaños en la fecha del fallecimiento de don Raúl Carlos Torres y solicitaban la expedición de los correspondientes mandamientos judiciales dirigidos a las compañías Vodafone y Xfera Móviles para que en relación a estos abonados aportasen todos los tránsitos de comunicación por voz, sms y datos cursados y la localización de los teléfonos por identificación de antena y coordenada, en el periodo comprendido entre las 00:00 horas del 15 de agosto de 2021 y las 00:00 horas del 20 de septiembre de 2021.</w:t>
      </w:r>
    </w:p>
    <w:p w14:paraId="175132FB" w14:textId="77777777" w:rsidR="00A8138F" w:rsidRDefault="00A8138F" w:rsidP="00A8138F">
      <w:pPr>
        <w:pStyle w:val="TextoNormal"/>
      </w:pPr>
    </w:p>
    <w:p w14:paraId="57190F1D" w14:textId="77777777" w:rsidR="00A8138F" w:rsidRDefault="00A8138F" w:rsidP="00A8138F">
      <w:pPr>
        <w:pStyle w:val="TextoNormal"/>
      </w:pPr>
      <w:r>
        <w:t>m) Consta que se recibió en el Juzgado de Instrucción núm. 5 de Bilbao el dictamen núm. M22-06897 del Instituto Nacional de Toxicología y Ciencias Forenses, de fecha 7 de julio de 2022, efectuado sobre las muestras de orina, hígado, riñón y contenido gástrico sin conservantes, para el análisis de alcohol etílico y otros volátiles e investigación general de tóxicos orgánicos, orientada a la detección de drogas de abuso, psicofármacos y fármacos de uso frecuente, sustancias procedentes de plantas y nuevas sustancias psicoactivas. En los resultados de este informe se indica: “No se detecta ninguna sustancia con significación toxicológica. La presencia en hígado de olanzapina y el hecho de no detectarse en las otras muestras, es compatible con un consumo no reciente. Debido al estado de las muestras, no se puede descartar que el valor de alcohol etílico detectado sea debido a una generació</w:t>
      </w:r>
      <w:r w:rsidRPr="00A8138F">
        <w:rPr>
          <w:i/>
        </w:rPr>
        <w:t>n post mort</w:t>
      </w:r>
      <w:r>
        <w:t>en. En el transcurso de los análisis se han detectado […] valores de GHB compatibles con niveles endógeno</w:t>
      </w:r>
      <w:r w:rsidRPr="00A8138F">
        <w:rPr>
          <w:i/>
        </w:rPr>
        <w:t>s post mort</w:t>
      </w:r>
      <w:r>
        <w:t>em”.</w:t>
      </w:r>
    </w:p>
    <w:p w14:paraId="145A84F6" w14:textId="77777777" w:rsidR="00A8138F" w:rsidRDefault="00A8138F" w:rsidP="00A8138F">
      <w:pPr>
        <w:pStyle w:val="TextoNormal"/>
      </w:pPr>
    </w:p>
    <w:p w14:paraId="1E70CB74" w14:textId="77777777" w:rsidR="00A8138F" w:rsidRDefault="00A8138F" w:rsidP="00A8138F">
      <w:pPr>
        <w:pStyle w:val="TextoNormal"/>
      </w:pPr>
      <w:r>
        <w:t>n) El 19 de julio de 2022 el Juzgado de Instrucción núm. 5 de Bilbao dictó auto en cuya parte dispositiva (i) autorizó el oficio a la empresa SumUp para que facilitase el detalle de lo adquirido en dicha empresa el 17 de septiembre de 2022 haciendo uso de la tarjeta de crédito a nombre de don Raúl Carlos Torres Cid y (ii) denegó los mandamientos dirigidos a las operadoras telefónicas.</w:t>
      </w:r>
    </w:p>
    <w:p w14:paraId="0E22BD20" w14:textId="77777777" w:rsidR="00A8138F" w:rsidRDefault="00A8138F" w:rsidP="00A8138F">
      <w:pPr>
        <w:pStyle w:val="TextoNormal"/>
      </w:pPr>
    </w:p>
    <w:p w14:paraId="5FBD28AA" w14:textId="77777777" w:rsidR="00A8138F" w:rsidRDefault="00A8138F" w:rsidP="00A8138F">
      <w:pPr>
        <w:pStyle w:val="TextoNormal"/>
      </w:pPr>
      <w:r>
        <w:t>En la resolución, la magistrada instructora recuerda que en el auto de 1 de junio de 2022 se admitió la práctica de alguna diligencia y se denegaron otras. Y añade:</w:t>
      </w:r>
    </w:p>
    <w:p w14:paraId="5209B2C8" w14:textId="77777777" w:rsidR="00A8138F" w:rsidRDefault="00A8138F" w:rsidP="00A8138F">
      <w:pPr>
        <w:pStyle w:val="TextoNormal"/>
      </w:pPr>
    </w:p>
    <w:p w14:paraId="3F83C820" w14:textId="77777777" w:rsidR="00A8138F" w:rsidRDefault="00A8138F" w:rsidP="00A8138F">
      <w:pPr>
        <w:pStyle w:val="TextoNormal"/>
      </w:pPr>
      <w:r>
        <w:t>“Una vez y tal y como se acordó, se ha obtenido el resultado de la diligencia, como la acordada a practicar por el servicio de laboratorio forense, con resultado totalmente negativo, por lo que no puede más que reiterarse y llegarse a la conclusión referente a que en el presente caso, no existe ningún dato de la comisión del supuesto homicidio por Nelson David Moreno Bolaños, por lo que se continúan las actuaciones única y exclusivamente por supuesto delito contra el patrimonio; es decir que se ratifican la sospechas que ya tenía esta magistrada, por lo que se acordó y ello se mantiene, diligencias tendentes a averiguar todos los actos y actuaciones referentes a supuesto delito contra el patrimonio.</w:t>
      </w:r>
    </w:p>
    <w:p w14:paraId="7259068D" w14:textId="77777777" w:rsidR="00A8138F" w:rsidRDefault="00A8138F" w:rsidP="00A8138F">
      <w:pPr>
        <w:pStyle w:val="TextoNormal"/>
      </w:pPr>
    </w:p>
    <w:p w14:paraId="7BA6F5C2" w14:textId="77777777" w:rsidR="00A8138F" w:rsidRDefault="00A8138F" w:rsidP="00A8138F">
      <w:pPr>
        <w:pStyle w:val="TextoNormal"/>
      </w:pPr>
      <w:r>
        <w:t xml:space="preserve">Insiste nuevamente la policía, en presentar escritos efectuando el mismo relato de ellos, en relación a los supuestos homicidios en serie, llevados a cabo presuntamente por Nelson D. Moreno, y para ello reitera la petición en relación a un número de teléfono […] propiedad de […], lo que en su día ya fue denegado, y además averiguación en relación a otro número de teléfono […] que al igual que el anterior, comienza a estar activo con posterioridad al fallecimiento de Raúl Carlos, lo que también fue denegado, y todo ello con la misma intención de continuar con esas investigaciones de indeterminados números de homicidios. Además de haberse denegado la práctica de estas diligencias en su día, nuevamente se reitera estándose a lo acordado, pues carece de interés esas investigaciones que tienen otra finalidad diferente a los hechos objeto de las presentes diligencias. </w:t>
      </w:r>
    </w:p>
    <w:p w14:paraId="5C1E4B70" w14:textId="77777777" w:rsidR="00A8138F" w:rsidRDefault="00A8138F" w:rsidP="00A8138F">
      <w:pPr>
        <w:pStyle w:val="TextoNormal"/>
      </w:pPr>
    </w:p>
    <w:p w14:paraId="055A38B4" w14:textId="77777777" w:rsidR="00A8138F" w:rsidRDefault="00A8138F" w:rsidP="00A8138F">
      <w:pPr>
        <w:pStyle w:val="TextoNormal"/>
      </w:pPr>
      <w:r>
        <w:t>[…]</w:t>
      </w:r>
    </w:p>
    <w:p w14:paraId="74E2D815" w14:textId="77777777" w:rsidR="00A8138F" w:rsidRDefault="00A8138F" w:rsidP="00A8138F">
      <w:pPr>
        <w:pStyle w:val="TextoNormal"/>
      </w:pPr>
    </w:p>
    <w:p w14:paraId="3E23126E" w14:textId="77777777" w:rsidR="00A8138F" w:rsidRDefault="00A8138F" w:rsidP="00A8138F">
      <w:pPr>
        <w:pStyle w:val="TextoNormal"/>
      </w:pPr>
      <w:r>
        <w:t>Ante los escritos que presenta la Ertzaintza de solicitud de diligencias, póngase en conocimiento de la sección central de investigación criminal y policía judicial de la Ertzaintza que en este juzgado solo se instruyen diligencias por delito contra el patrimonio, no así por supuesto delito de homicidio, por ausencia total de mínimos datos que lo apoyen, tras la práctica de las diligencias oportunas, por lo que toda petición que se efectué por esa policía, deberá únicamente centrarse en el delito contra el patrimonio, obviando referencias a supuestos homicidios no objeto de investigación”.</w:t>
      </w:r>
    </w:p>
    <w:p w14:paraId="6B334DEB" w14:textId="77777777" w:rsidR="00A8138F" w:rsidRDefault="00A8138F" w:rsidP="00A8138F">
      <w:pPr>
        <w:pStyle w:val="TextoNormal"/>
      </w:pPr>
    </w:p>
    <w:p w14:paraId="44DA53B8" w14:textId="77777777" w:rsidR="00A8138F" w:rsidRDefault="00A8138F" w:rsidP="00A8138F">
      <w:pPr>
        <w:pStyle w:val="TextoNormal"/>
      </w:pPr>
      <w:r>
        <w:t>La magistrada concluye la resolución indicando: “[P]óngase en conocimiento de la sección central de investigación criminal y policía judicial de la Ertzaintza, [que deberá únicamente centrarse en el] delito contra el patrimonio, […] obviando referencias a supuestos homicidios no objeto de investigación”.</w:t>
      </w:r>
    </w:p>
    <w:p w14:paraId="2326428B" w14:textId="77777777" w:rsidR="00A8138F" w:rsidRDefault="00A8138F" w:rsidP="00A8138F">
      <w:pPr>
        <w:pStyle w:val="TextoNormal"/>
      </w:pPr>
    </w:p>
    <w:p w14:paraId="334EB539" w14:textId="77777777" w:rsidR="00A8138F" w:rsidRDefault="00A8138F" w:rsidP="00A8138F">
      <w:pPr>
        <w:pStyle w:val="TextoNormal"/>
      </w:pPr>
      <w:r>
        <w:t>ñ) Por escrito de 5 de octubre de 2022 presentado en el Juzgado de Instrucción núm. 5 de Bilbao, por la procuradora doña Rakel Regidor Llamosas, en nombre y representación de la asociación Gehitu, Asociación de Gais, Lesbianas, Transexuales y Bisexuales del País Vasco, se solicitó la personación de esta asociación en ejercicio de la acusación popular en el procedimiento. La asociación justificaba su personación en el procedimiento con base en sus fines y objetivos sociales, “en tanto en cuanto en el mismo se dilucidan e investigan hechos criminales relativos a la selección y engaño de hombres homosexuales o bisexuales a través de aplicaciones de contactos, en las que se aprovechaba la confianza y el contexto de dichos espacios como entornos prospectivos de citas sexuales, al objeto de anularles la voluntad, lesionarles, matarles y apropiarse de su patrimonio”, estimando “fundamental participar en el presente procedimiento para ejercer una acusación popular que incluya una perspectiva LGTBI inclusiva y garantice que se tenga en cuenta el desvalor y componente homófobo/bífobo de las conductas investigadas a la hora de investigarlas, enjuiciadas y penarlas”. En su escrito la asociación señalaba que ya se había reconocido su intervención como acusación popular en dos procedimientos seguidos en juzgados de instrucción de Bilbao, estando pendiente de resolución su personación en otros cinco procedimientos.</w:t>
      </w:r>
    </w:p>
    <w:p w14:paraId="0F1DB2AC" w14:textId="77777777" w:rsidR="00A8138F" w:rsidRDefault="00A8138F" w:rsidP="00A8138F">
      <w:pPr>
        <w:pStyle w:val="TextoNormal"/>
      </w:pPr>
    </w:p>
    <w:p w14:paraId="2BDCC8C6" w14:textId="77777777" w:rsidR="00A8138F" w:rsidRDefault="00A8138F" w:rsidP="00A8138F">
      <w:pPr>
        <w:pStyle w:val="TextoNormal"/>
      </w:pPr>
      <w:r>
        <w:t>El 14 de octubre de 2022 el Juzgado de Instrucción núm. 5 de Bilbao dictó providencia accediendo a la personación de la asociación Gehitu en el ejercicio de la acusación popular, sin perjuicio de exigir a la asociación la prestación de una fianza de 3000 €.</w:t>
      </w:r>
    </w:p>
    <w:p w14:paraId="706FFAD7" w14:textId="77777777" w:rsidR="00A8138F" w:rsidRDefault="00A8138F" w:rsidP="00A8138F">
      <w:pPr>
        <w:pStyle w:val="TextoNormal"/>
      </w:pPr>
    </w:p>
    <w:p w14:paraId="2C7E5406" w14:textId="77777777" w:rsidR="00A8138F" w:rsidRDefault="00A8138F" w:rsidP="00A8138F">
      <w:pPr>
        <w:pStyle w:val="TextoNormal"/>
      </w:pPr>
      <w:r>
        <w:t>o) El 17 de octubre de 2022 la Ertzaintza presentó un nuevo atestado ampliatorio en el Juzgado de Instrucción núm. 5 de Bilbao, remitiendo: (i) el acta de ocupación de varios objetos (zapatillas, leggins, pantalón, smartwach) que doña Arianna Escarlett (pareja de don Nelson David Moreno Bolaños) había manifestado —en su declaración en el marco de las diligencias previas del Juzgado de Instrucción núm. 6 de Bilbao—, que tenía en su poder y habían sido adquiridos por don Nelson David en un centro comercial, resultando de las averiguaciones que fueron adquiridos haciendo uso de la tarjeta de don Raúl Carlos Torres Cid; (ii) y la información remitida por SumUp.</w:t>
      </w:r>
    </w:p>
    <w:p w14:paraId="55566CCD" w14:textId="77777777" w:rsidR="00A8138F" w:rsidRDefault="00A8138F" w:rsidP="00A8138F">
      <w:pPr>
        <w:pStyle w:val="TextoNormal"/>
      </w:pPr>
    </w:p>
    <w:p w14:paraId="6994199A" w14:textId="77777777" w:rsidR="00A8138F" w:rsidRDefault="00A8138F" w:rsidP="00A8138F">
      <w:pPr>
        <w:pStyle w:val="TextoNormal"/>
      </w:pPr>
      <w:r>
        <w:t>p) El 24 de octubre de 2022 se acordó recibir declaración en calidad de investigado sobre los hechos objeto de la causa a don Nelson David Moreno Bolaños, diligencia que fue señalada para el 24 de noviembre de 2024. Según diligencia adjunta a la grabación de la declaración, el investigado se acogió a su derecho a no prestar declaración.</w:t>
      </w:r>
    </w:p>
    <w:p w14:paraId="346C8DC8" w14:textId="77777777" w:rsidR="00A8138F" w:rsidRDefault="00A8138F" w:rsidP="00A8138F">
      <w:pPr>
        <w:pStyle w:val="TextoNormal"/>
      </w:pPr>
    </w:p>
    <w:p w14:paraId="60148E39" w14:textId="77777777" w:rsidR="00A8138F" w:rsidRDefault="00A8138F" w:rsidP="00A8138F">
      <w:pPr>
        <w:pStyle w:val="TextoNormal"/>
      </w:pPr>
      <w:r>
        <w:t>q) El 27 de octubre de 2022 compareció en el Juzgado de Instrucción núm. 5 de Bilbao don Rodrigo Torres Cid en su nombre y en representación de su padre, don Florentino Torres del Campo, para ejercer la acusación particular, designando en el acto como su abogado a don Saúl Castro Fernández y como su procuradora a doña Rakel Regidor Llamosas. Ese mismo día el Juzgado de Instrucción núm. 5 de Bilbao acordó por providencia tener por personados a la citada procuradora, en nombre y representación de don Rodrigo Torres Cid y Florentino Torres del Campo, ejerciendo la acusación particular.</w:t>
      </w:r>
    </w:p>
    <w:p w14:paraId="2E3CD895" w14:textId="77777777" w:rsidR="00A8138F" w:rsidRDefault="00A8138F" w:rsidP="00A8138F">
      <w:pPr>
        <w:pStyle w:val="TextoNormal"/>
      </w:pPr>
    </w:p>
    <w:p w14:paraId="66F07E0D" w14:textId="77777777" w:rsidR="00A8138F" w:rsidRDefault="00A8138F" w:rsidP="00A8138F">
      <w:pPr>
        <w:pStyle w:val="TextoNormal"/>
      </w:pPr>
      <w:r>
        <w:t>Consta asimismo la comparecencia efectuada en la citada fecha en el propio Juzgado de Instrucción núm. 5 de Bilbao por don Gonzalo Torres Cid para ejercer la acusación particular, designando en el acto abogado y procuradora a los mismos profesionales que se acaban de indicar. En un escrito aparte ese mismo día, la procuradora manifestó que se personaba en los autos, interesando se le diese vista de todo lo actuado y que se entendiesen con ella las sucesivas actuaciones.</w:t>
      </w:r>
    </w:p>
    <w:p w14:paraId="04DFA1C3" w14:textId="77777777" w:rsidR="00A8138F" w:rsidRDefault="00A8138F" w:rsidP="00A8138F">
      <w:pPr>
        <w:pStyle w:val="TextoNormal"/>
      </w:pPr>
    </w:p>
    <w:p w14:paraId="67F62406" w14:textId="77777777" w:rsidR="00A8138F" w:rsidRDefault="00A8138F" w:rsidP="00A8138F">
      <w:pPr>
        <w:pStyle w:val="TextoNormal"/>
      </w:pPr>
      <w:r>
        <w:t>El 31 de octubre de 2022 el Juzgado de Instrucción núm. 5 de Bilbao dictó providencia acordando tener por personado a la procuradora Sra. Regidor Llamosas, en nombre y representación de don Gonzalo Torres Cid para ejercer la acusación particular. En la misma resolución se acordó no tener por personada a la asociación Gehitu al no haber prestado la fianza solicitada.</w:t>
      </w:r>
    </w:p>
    <w:p w14:paraId="3192F0C3" w14:textId="77777777" w:rsidR="00A8138F" w:rsidRDefault="00A8138F" w:rsidP="00A8138F">
      <w:pPr>
        <w:pStyle w:val="TextoNormal"/>
      </w:pPr>
    </w:p>
    <w:p w14:paraId="2CAD4149" w14:textId="77777777" w:rsidR="00A8138F" w:rsidRDefault="00A8138F" w:rsidP="00A8138F">
      <w:pPr>
        <w:pStyle w:val="TextoNormal"/>
      </w:pPr>
      <w:r>
        <w:t>r) El 2 de noviembre de 2022 se dictó por el Juzgado núm. 5 de Bilbao providencia acordando unir a las actuaciones un nuevo atestado ampliatorio, remitiendo al depósito de efectos judiciales el teléfono Apple Iphone 7 también recibido.</w:t>
      </w:r>
    </w:p>
    <w:p w14:paraId="743C230F" w14:textId="77777777" w:rsidR="00A8138F" w:rsidRDefault="00A8138F" w:rsidP="00A8138F">
      <w:pPr>
        <w:pStyle w:val="TextoNormal"/>
      </w:pPr>
    </w:p>
    <w:p w14:paraId="0E0D948D" w14:textId="77777777" w:rsidR="00A8138F" w:rsidRDefault="00A8138F" w:rsidP="00A8138F">
      <w:pPr>
        <w:pStyle w:val="TextoNormal"/>
      </w:pPr>
      <w:r>
        <w:t>s) En un escrito único fechado el 25 de noviembre de 2022, la procuradora de don Florentino Torres del Campo, don Rodrigo Torres Cid y don Gonzalo Torres Cid solicitó la incorporación a los autos de diversas evidencias correspondientes a las diligencias acordadas por el Juzgado de Instrucción núm. 5 de Bilbao en su auto de 1 de junio de 2022, a las que se hacía referencia en los sucesivos atestados ampliatorios, sin que se hubiesen unido a la causa. En concreto, la parte solicitó la unión de: (i) la información remitida por la compañía Yoigo en relación a los tránsitos de comunicación por voz, sms y datos cursados por la línea telefónica de fallecido; (ii) la respuesta remitida por la plataforma Bizum en relación a las operaciones efectuadas desde el terminal del fallecido; (iii) la documental aportada por Bankinter sobre las operaciones realizadas o intentadas desde la cuenta o utilizando la tarjeta del fallecido; (iv) el informe pericial tecnológico en relación con el contenido del teléfono del fallecido.</w:t>
      </w:r>
    </w:p>
    <w:p w14:paraId="765B4242" w14:textId="77777777" w:rsidR="00A8138F" w:rsidRDefault="00A8138F" w:rsidP="00A8138F">
      <w:pPr>
        <w:pStyle w:val="TextoNormal"/>
      </w:pPr>
    </w:p>
    <w:p w14:paraId="577E5D86" w14:textId="77777777" w:rsidR="00A8138F" w:rsidRDefault="00A8138F" w:rsidP="00A8138F">
      <w:pPr>
        <w:pStyle w:val="TextoNormal"/>
      </w:pPr>
      <w:r>
        <w:t>t) El 29 de noviembre de 2022 el Juzgado de Instrucción núm. 5 de Bilbao acordó por providencia recibir declaración en calidad de denunciante a don Gonzalo Torres Cid y efectuar el correspondiente ofrecimiento de acciones, señalando para tal diligencia el 23 de enero de 2023. En la misma providencia se acordó recibir declaración en calidad de testigos a doña Arianna S. Tello Estrada y a don Dorian Alexis Suraez Jaramilla.</w:t>
      </w:r>
    </w:p>
    <w:p w14:paraId="39E39422" w14:textId="77777777" w:rsidR="00A8138F" w:rsidRDefault="00A8138F" w:rsidP="00A8138F">
      <w:pPr>
        <w:pStyle w:val="TextoNormal"/>
      </w:pPr>
    </w:p>
    <w:p w14:paraId="127B612E" w14:textId="77777777" w:rsidR="00A8138F" w:rsidRDefault="00A8138F" w:rsidP="00A8138F">
      <w:pPr>
        <w:pStyle w:val="TextoNormal"/>
      </w:pPr>
      <w:r>
        <w:t>u) Por escrito fechado el 30 de noviembre de 2022 la representante procesal de don Florentino Torres del Campo, don Rodrigo Torres Cid y don Gonzalo Torres Cid interpuso recurso de reforma y subsidiaria apelación contra la providencia de fecha 5 de julio de 2022; formulando asimismo incidente de nulidad de actuaciones contra la citada providencia, para el supuesto de que los recursos se considerasen extemporáneos.</w:t>
      </w:r>
    </w:p>
    <w:p w14:paraId="5318DA48" w14:textId="77777777" w:rsidR="00A8138F" w:rsidRDefault="00A8138F" w:rsidP="00A8138F">
      <w:pPr>
        <w:pStyle w:val="TextoNormal"/>
      </w:pPr>
    </w:p>
    <w:p w14:paraId="316DB4F3" w14:textId="77777777" w:rsidR="00A8138F" w:rsidRDefault="00A8138F" w:rsidP="00A8138F">
      <w:pPr>
        <w:pStyle w:val="TextoNormal"/>
      </w:pPr>
      <w:r>
        <w:t>En su escrito, la parte denunciaba que el sobreseimiento provisional y la negativa a ordenar la práctica de diligencias relacionadas con el posible homicidio, supuso:</w:t>
      </w:r>
    </w:p>
    <w:p w14:paraId="631B6F54" w14:textId="77777777" w:rsidR="00A8138F" w:rsidRDefault="00A8138F" w:rsidP="00A8138F">
      <w:pPr>
        <w:pStyle w:val="TextoNormal"/>
      </w:pPr>
    </w:p>
    <w:p w14:paraId="2B80D2E0" w14:textId="77777777" w:rsidR="00A8138F" w:rsidRDefault="00A8138F" w:rsidP="00A8138F">
      <w:pPr>
        <w:pStyle w:val="TextoNormal"/>
      </w:pPr>
      <w:r>
        <w:t>(1) La vulneración de su derecho a la tutela judicial efectiva (art. 24.1 CE) en su vertiente del derecho a obtener una resolución fundada en Derecho y no sufrir indefensión, alegando la nulidad de la resolución recurrida por infracción de los arts. 244.1 b) y 238.3 de la Ley Orgánica del Poder Judicial (LOPJ). La parte invoca los arts. 245.1 a) y b); 248.2 y 238.3 LOPJ y el art. 779.1 LECrim, denunciando que la resolución recurrida: (i) acordó el sobreseimiento provisional, a pesar de no concurrir ninguno de los supuestos de los arts. 779.1.1 y 634 y ss. LECrim, pues existían indicios suficientes —que la parte expone detalladamente— que permitirían mantener en esta fase de la instrucción la existencia de un homicidio y acordar diligencias para el debido esclarecimiento de los hechos; (ii) se emitió en forma de providencia y no de auto, sin incluir motivación alguna; (iii) no se dio traslado de la misma a la parte recurrente, impidiéndole recurrir una decisión que afectaba al objeto del procedimiento y (iv) no permitió a los recurrentes formular acusación por los hechos.</w:t>
      </w:r>
    </w:p>
    <w:p w14:paraId="4DFA880F" w14:textId="77777777" w:rsidR="00A8138F" w:rsidRDefault="00A8138F" w:rsidP="00A8138F">
      <w:pPr>
        <w:pStyle w:val="TextoNormal"/>
      </w:pPr>
    </w:p>
    <w:p w14:paraId="485ACEDB" w14:textId="77777777" w:rsidR="00A8138F" w:rsidRDefault="00A8138F" w:rsidP="00A8138F">
      <w:pPr>
        <w:pStyle w:val="TextoNormal"/>
      </w:pPr>
      <w:r>
        <w:t xml:space="preserve">(2) La vulneración del derecho a la tutela judicial efectiva (art. 24.1 CE) en su vertiente del derecho a la defensa, un proceso con todas las garantías y utilizar los medios de prueba pertinentes para hacer valer su pretensión de que el fallecimiento de su respectivo hijo y hermano fue producido por el investigado. La parte razona que el sobreseimiento </w:t>
      </w:r>
      <w:r w:rsidRPr="00A8138F">
        <w:rPr>
          <w:i/>
        </w:rPr>
        <w:t>de facto</w:t>
      </w:r>
      <w:r>
        <w:t xml:space="preserve"> respecto del fallecimiento implicó la denegación de diligencias que serían clave para verificar la presencia del investigado en el lugar del fallecimiento, en la fecha y hora estimadas del mismo, así como para comprobar la existencia de contactos previos entre la víctima y el investigado.</w:t>
      </w:r>
    </w:p>
    <w:p w14:paraId="4F73C0D6" w14:textId="77777777" w:rsidR="00A8138F" w:rsidRDefault="00A8138F" w:rsidP="00A8138F">
      <w:pPr>
        <w:pStyle w:val="TextoNormal"/>
      </w:pPr>
    </w:p>
    <w:p w14:paraId="62C8EADF" w14:textId="77777777" w:rsidR="00A8138F" w:rsidRDefault="00A8138F" w:rsidP="00A8138F">
      <w:pPr>
        <w:pStyle w:val="TextoNormal"/>
      </w:pPr>
      <w:r>
        <w:t>(3) La vulneración de las obligaciones procesales derivadas del derecho a la vida y a la tutela judicial efectiva [arts. 15 y 24 CE y 2 y 6 del Convenio europeo de derechos humanos (CEDH)]. La parte sintetiza la jurisprudencia del Tribunal Europeo de Derechos Humanos relativa al derecho a la vida y las obligaciones procesales derivadas del mismo, que imponen la consecución de una investigación suficiente y eficaz; y de la que son titulares los recurrentes como víctimas indirectas.</w:t>
      </w:r>
    </w:p>
    <w:p w14:paraId="5855D429" w14:textId="77777777" w:rsidR="00A8138F" w:rsidRDefault="00A8138F" w:rsidP="00A8138F">
      <w:pPr>
        <w:pStyle w:val="TextoNormal"/>
      </w:pPr>
    </w:p>
    <w:p w14:paraId="66AAB9D5" w14:textId="77777777" w:rsidR="00A8138F" w:rsidRDefault="00A8138F" w:rsidP="00A8138F">
      <w:pPr>
        <w:pStyle w:val="TextoNormal"/>
      </w:pPr>
      <w:r>
        <w:t>La parte concluye solicitando la revocación de la providencia de 5 de julio de 2022 y el dictado de nueva resolución que ampliase el objeto del procedimiento a los hechos relativos a la muerte de don Raúl Carlos Torres Cid por un posible homicidio consumado, acordando la práctica de las siguientes diligencias de investigación:</w:t>
      </w:r>
    </w:p>
    <w:p w14:paraId="50CBFEC3" w14:textId="77777777" w:rsidR="00A8138F" w:rsidRDefault="00A8138F" w:rsidP="00A8138F">
      <w:pPr>
        <w:pStyle w:val="TextoNormal"/>
      </w:pPr>
    </w:p>
    <w:p w14:paraId="42907D20" w14:textId="77777777" w:rsidR="00A8138F" w:rsidRDefault="00A8138F" w:rsidP="00A8138F">
      <w:pPr>
        <w:pStyle w:val="TextoNormal"/>
      </w:pPr>
      <w:r>
        <w:t>(i) Oficiar al Instituto Vasco de Medicina Legal para que emitiese un informe sobre la posibilidad de que la muerte de D. Raúl Carlos Torres Cid se hubiera producido a través de estrangulamiento por presión carótida y sobre si la técnica de estrangulamiento conocida como “mata león” —en inglé</w:t>
      </w:r>
      <w:r w:rsidRPr="00A8138F">
        <w:rPr>
          <w:i/>
        </w:rPr>
        <w:t>s carotid sleeper ho</w:t>
      </w:r>
      <w:r>
        <w:t>ld— puede ser compatible con la ausencia de signos de violencia y de lesiones internas y externas en el cadáver de la víctima.</w:t>
      </w:r>
    </w:p>
    <w:p w14:paraId="437B68FC" w14:textId="77777777" w:rsidR="00A8138F" w:rsidRDefault="00A8138F" w:rsidP="00A8138F">
      <w:pPr>
        <w:pStyle w:val="TextoNormal"/>
      </w:pPr>
    </w:p>
    <w:p w14:paraId="14008DD4" w14:textId="77777777" w:rsidR="00A8138F" w:rsidRDefault="00A8138F" w:rsidP="00A8138F">
      <w:pPr>
        <w:pStyle w:val="TextoNormal"/>
      </w:pPr>
      <w:r>
        <w:t>(ii) Requerir al Juzgado de Instrucción núm. 6 de Bilbao para la remisión de testimonio de la declaración de la víctima, que refirió la técnica de estrangulamiento utilizada por el investigado en sus tentativas de homicidio.</w:t>
      </w:r>
    </w:p>
    <w:p w14:paraId="65458D6F" w14:textId="77777777" w:rsidR="00A8138F" w:rsidRDefault="00A8138F" w:rsidP="00A8138F">
      <w:pPr>
        <w:pStyle w:val="TextoNormal"/>
      </w:pPr>
    </w:p>
    <w:p w14:paraId="79A0EB9F" w14:textId="77777777" w:rsidR="00A8138F" w:rsidRDefault="00A8138F" w:rsidP="00A8138F">
      <w:pPr>
        <w:pStyle w:val="TextoNormal"/>
      </w:pPr>
      <w:r>
        <w:t>(iii) Solicitar a la unidad de investigaciones criminales y policía judicial de Bizkaia de la Ertzaintza que emitiese un informe que pusiese de manifiesto: si los indicios presentes en este procedimiento se correlacionaban con los identificados en alguno de los otros procedimientos en los que se investigaba a don Nelson David Moreno Bolaños por el posible homicidio de varones a los que había conocido por aplicaciones de contactos para hombres; y si existiesen patrones criminales que se repetían y que se hallaban presente en este caso también, de conformidad con lo arrojado por la investigación llevada a cabo por esta unidad en relación a estos hechos.</w:t>
      </w:r>
    </w:p>
    <w:p w14:paraId="0FE4691B" w14:textId="77777777" w:rsidR="00A8138F" w:rsidRDefault="00A8138F" w:rsidP="00A8138F">
      <w:pPr>
        <w:pStyle w:val="TextoNormal"/>
      </w:pPr>
    </w:p>
    <w:p w14:paraId="4C7C32AD" w14:textId="77777777" w:rsidR="00A8138F" w:rsidRDefault="00A8138F" w:rsidP="00A8138F">
      <w:pPr>
        <w:pStyle w:val="TextoNormal"/>
      </w:pPr>
      <w:r>
        <w:t>(iv) Requerir a las compañías Vodafone y Xfera Móviles para que, en relación con dos abonados empleados por don Nelson David Moreno Bolaños facilitasen todos los tránsitos por voz, SMS, datos cursados y localización de los teléfonos por identificación de la antena y coordenadas en el periodo comprendido entre las 00:00 horas del 15 de septiembre de 2021 y las 00:00 horas del 20 de septiembre de 2021.</w:t>
      </w:r>
    </w:p>
    <w:p w14:paraId="459B66C8" w14:textId="77777777" w:rsidR="00A8138F" w:rsidRDefault="00A8138F" w:rsidP="00A8138F">
      <w:pPr>
        <w:pStyle w:val="TextoNormal"/>
      </w:pPr>
    </w:p>
    <w:p w14:paraId="409193AF" w14:textId="77777777" w:rsidR="00A8138F" w:rsidRDefault="00A8138F" w:rsidP="00A8138F">
      <w:pPr>
        <w:pStyle w:val="TextoNormal"/>
      </w:pPr>
      <w:r>
        <w:t>(v) Solicitar a WhatsApp Ireland Limited que remitiesen toda la información relativa a las conversaciones y mensajes enviados, “en el período comprendido por los días 1 de septiembre de 2021 y 18 de septiembre de 2021, entre las cuentas asociadas a los números telefónicos […] —empleados por don Nelson David Moreno Bolaños y asociados a los usuarios […]—; así como al número […] —empleado y titularidad de don Raúl Carlos Torres Cid”.</w:t>
      </w:r>
    </w:p>
    <w:p w14:paraId="1F4736EC" w14:textId="77777777" w:rsidR="00A8138F" w:rsidRDefault="00A8138F" w:rsidP="00A8138F">
      <w:pPr>
        <w:pStyle w:val="TextoNormal"/>
      </w:pPr>
    </w:p>
    <w:p w14:paraId="52081D3B" w14:textId="77777777" w:rsidR="00A8138F" w:rsidRDefault="00A8138F" w:rsidP="00A8138F">
      <w:pPr>
        <w:pStyle w:val="TextoNormal"/>
      </w:pPr>
      <w:r>
        <w:t>La parte justificaba el cumplimiento del plazo para interponer el recurso de reforma y subsidiaria apelación contra la providencia de 5 de julio de 2022: (i) argumentando que la providencia de 5 de julio de 2022, debió haber revestido la forma de auto, haber sido notificada a las víctimas y ser susceptible de recurso en aplicación de las normas procesales que dictaminan los plazos de recurso de las resoluciones que implican el sobreseimiento parcial o total de la causa; (ii) invocando los arts. 2 b) 1 y 2 y 12 de la Ley 4/2015, de 27 de abril, del estatuto de la víctima del delito; y los arts. 636 y 779.1.1.2 LECrim; (iii) denunciando que, a pesar de llevar identificados en la causa como víctimas de los hechos que se investigan desde el 27 de septiembre de 2021, y haber formulado denuncia, así como haber prestado declaración policial, no se les notificó la providencia de 5 de julio de 2022 por la que, materialmente, se acordaba circunscribir la causa a delitos patrimoniales y sobreseer las pesquisas e instrucción relativa al homicidio de don Raúl Carlos Torres Cid; (iv) y concluyendo que contaba con un plazo de veinte días para recurrir la resolución, pues no tuvo conocimiento de ella hasta el traslado de la causa tras su personación.</w:t>
      </w:r>
    </w:p>
    <w:p w14:paraId="357904E9" w14:textId="77777777" w:rsidR="00A8138F" w:rsidRDefault="00A8138F" w:rsidP="00A8138F">
      <w:pPr>
        <w:pStyle w:val="TextoNormal"/>
      </w:pPr>
    </w:p>
    <w:p w14:paraId="74AA0927" w14:textId="77777777" w:rsidR="00A8138F" w:rsidRDefault="00A8138F" w:rsidP="00A8138F">
      <w:pPr>
        <w:pStyle w:val="TextoNormal"/>
      </w:pPr>
      <w:r>
        <w:t>No obstante, subsidiariamente, y para el caso de que se considerase extemporáneo su recurso, en el mismo escrito los recurrentes formularon un incidente de nulidad de actuaciones, denunciando las mismas quejas ya expuestas, añadiendo la vulneración del derecho a la tutela judicial efectiva en su vertiente de acceso a los recursos, argumentando que la falta de notificación de la providencia de 5 de julio de 2022 determinó la imposibilidad para los recurrentes de recurrir la decisión de archivar la causa por los hechos relativos al posible homicidio de don Raúl Carlos Torres Cid.</w:t>
      </w:r>
    </w:p>
    <w:p w14:paraId="13F070DE" w14:textId="77777777" w:rsidR="00A8138F" w:rsidRDefault="00A8138F" w:rsidP="00A8138F">
      <w:pPr>
        <w:pStyle w:val="TextoNormal"/>
      </w:pPr>
    </w:p>
    <w:p w14:paraId="34BA01D9" w14:textId="77777777" w:rsidR="00A8138F" w:rsidRDefault="00A8138F" w:rsidP="00A8138F">
      <w:pPr>
        <w:pStyle w:val="TextoNormal"/>
      </w:pPr>
      <w:r>
        <w:t>v) El 4 de diciembre de 2022 el Juzgado de Instrucción núm. 5 de Bilbao dictó auto por el que acordó librar oficio a la Ertzaintza a fin de que remitiese la cumplimentación del oficio remitidos a Yoigo y el informe pericial realizado al teléfono Apple Iphone 7; rechazando la petición del resto de documental relativa a la plataforma Bizum y Bankinter que, según se indicaba, constaban en las actuaciones.</w:t>
      </w:r>
    </w:p>
    <w:p w14:paraId="2E3DE895" w14:textId="77777777" w:rsidR="00A8138F" w:rsidRDefault="00A8138F" w:rsidP="00A8138F">
      <w:pPr>
        <w:pStyle w:val="TextoNormal"/>
      </w:pPr>
    </w:p>
    <w:p w14:paraId="0C602346" w14:textId="77777777" w:rsidR="00A8138F" w:rsidRDefault="00A8138F" w:rsidP="00A8138F">
      <w:pPr>
        <w:pStyle w:val="TextoNormal"/>
      </w:pPr>
      <w:r>
        <w:t>El 5 de diciembre de 2022 se recibió en el Juzgado de Instrucción núm. 5 de Bilbao oficio de la Ertzaintza remitiendo el DVD con los datos aportados por la compañía Yoigo en relación al abonado de la víctima, entre los días 1 y 18 de septiembre y reenviando el informe pericial emitido por la sección de nuevas tecnologías de la Jefatura de Policía Científica de la Ertzaintza sobre el teléfono móvil de la víctima Apple Iphone 7.</w:t>
      </w:r>
    </w:p>
    <w:p w14:paraId="3006385D" w14:textId="77777777" w:rsidR="00A8138F" w:rsidRDefault="00A8138F" w:rsidP="00A8138F">
      <w:pPr>
        <w:pStyle w:val="TextoNormal"/>
      </w:pPr>
    </w:p>
    <w:p w14:paraId="7EAB4E6D" w14:textId="77777777" w:rsidR="00A8138F" w:rsidRDefault="00A8138F" w:rsidP="00A8138F">
      <w:pPr>
        <w:pStyle w:val="TextoNormal"/>
      </w:pPr>
      <w:r>
        <w:t>El 13 de diciembre de 2022 se acordó su unión a los autos y su traslado a las partes personadas.</w:t>
      </w:r>
    </w:p>
    <w:p w14:paraId="6FF798AA" w14:textId="77777777" w:rsidR="00A8138F" w:rsidRDefault="00A8138F" w:rsidP="00A8138F">
      <w:pPr>
        <w:pStyle w:val="TextoNormal"/>
      </w:pPr>
    </w:p>
    <w:p w14:paraId="5289CB3C" w14:textId="77777777" w:rsidR="00A8138F" w:rsidRDefault="00A8138F" w:rsidP="00A8138F">
      <w:pPr>
        <w:pStyle w:val="TextoNormal"/>
      </w:pPr>
      <w:r>
        <w:t>w) El 5 de diciembre de 2022, el Juzgado de Instrucción núm. 5 de Bilbao dictó providencia inadmitiendo el recurso de reforma y subsidiaria apelación contra la providencia de 5 de julio de 2022 al considerarlo extemporáneo. En la misma resolución se acordó la admisión a trámite el incidente de nulidad de actuaciones contra la misma providencia.</w:t>
      </w:r>
    </w:p>
    <w:p w14:paraId="31665659" w14:textId="77777777" w:rsidR="00A8138F" w:rsidRDefault="00A8138F" w:rsidP="00A8138F">
      <w:pPr>
        <w:pStyle w:val="TextoNormal"/>
      </w:pPr>
    </w:p>
    <w:p w14:paraId="60AB92BB" w14:textId="77777777" w:rsidR="00A8138F" w:rsidRDefault="00A8138F" w:rsidP="00A8138F">
      <w:pPr>
        <w:pStyle w:val="TextoNormal"/>
      </w:pPr>
      <w:r>
        <w:t>El 13 de diciembre de 2022 el Ministerio Fiscal informó interesando la desestimación del incidente de nulidad de actuaciones.</w:t>
      </w:r>
    </w:p>
    <w:p w14:paraId="0CF2DC32" w14:textId="77777777" w:rsidR="00A8138F" w:rsidRDefault="00A8138F" w:rsidP="00A8138F">
      <w:pPr>
        <w:pStyle w:val="TextoNormal"/>
      </w:pPr>
    </w:p>
    <w:p w14:paraId="1523AFF1" w14:textId="77777777" w:rsidR="00A8138F" w:rsidRDefault="00A8138F" w:rsidP="00A8138F">
      <w:pPr>
        <w:pStyle w:val="TextoNormal"/>
      </w:pPr>
      <w:r>
        <w:t>x) El 3 de enero de 2023 el Juzgado de Instrucción núm. 5 de Bilbao dictó auto acordando la desestimación de la petición de nulidad de actuaciones promovida por los recurrentes, a quienes impuso las costas del incidente.</w:t>
      </w:r>
    </w:p>
    <w:p w14:paraId="3DB3AA75" w14:textId="77777777" w:rsidR="00A8138F" w:rsidRDefault="00A8138F" w:rsidP="00A8138F">
      <w:pPr>
        <w:pStyle w:val="TextoNormal"/>
      </w:pPr>
    </w:p>
    <w:p w14:paraId="09E8438E" w14:textId="77777777" w:rsidR="00A8138F" w:rsidRDefault="00A8138F" w:rsidP="00A8138F">
      <w:pPr>
        <w:pStyle w:val="TextoNormal"/>
      </w:pPr>
      <w:r>
        <w:t>En el auto se relata la tramitación de las actuaciones, desde su incoación y las diligencias que se practicaron, deteniéndose en el auto de 1 de junio de 2022, ya que, según mantiene la instructora, fue este auto —y no la posterior providencia de 5 de julio de 2022— la que acordó que continuasen las actuaciones por delito contra el patrimonio, planteamiento que se sustenta en la resolución en la siguiente argumentación:</w:t>
      </w:r>
    </w:p>
    <w:p w14:paraId="41DB8632" w14:textId="77777777" w:rsidR="00A8138F" w:rsidRDefault="00A8138F" w:rsidP="00A8138F">
      <w:pPr>
        <w:pStyle w:val="TextoNormal"/>
      </w:pPr>
    </w:p>
    <w:p w14:paraId="04B95F7F" w14:textId="77777777" w:rsidR="00A8138F" w:rsidRDefault="00A8138F" w:rsidP="00A8138F">
      <w:pPr>
        <w:pStyle w:val="TextoNormal"/>
      </w:pPr>
      <w:r>
        <w:t>“Así se considera, y se hace constar en dicho auto de fecha 01/06/22 que lo más procedente para una mejor o mayor investigación de los hechos, a la vista de la denuncia formulada por el hermano del fallecido por supuesto delito de Estafa, era la práctica de diligencias de carácter económico, como transferencias, pagos en bizum, tránsitos de llamadas ...Etc. Es decir que ya en esta resolución de fecha 01/06/22 se dice claramente cual es el objeto del presente procedimiento, sin que pueda mostrase conformidad con esa parte, que tal vez porque esta confundida o no lo ha leído bien, dice que ‘se está limitando el objeto del procedimiento’ en la providencia de fecha 05/07/22, que es la que le sirve de base para solicitar la nulidad, debiendo nuevamente reiterarse, que fue en ese auto de fecha 01/06/22 el que fijaba el delito que tenía que ser investigado.</w:t>
      </w:r>
    </w:p>
    <w:p w14:paraId="1E7D6ECD" w14:textId="77777777" w:rsidR="00A8138F" w:rsidRDefault="00A8138F" w:rsidP="00A8138F">
      <w:pPr>
        <w:pStyle w:val="TextoNormal"/>
      </w:pPr>
    </w:p>
    <w:p w14:paraId="696B0893" w14:textId="77777777" w:rsidR="00A8138F" w:rsidRDefault="00A8138F" w:rsidP="00A8138F">
      <w:pPr>
        <w:pStyle w:val="TextoNormal"/>
      </w:pPr>
      <w:r>
        <w:t>En ningún momento fue iniciado procedimiento, ni se hizo referencia alguna a diligencias previas por delito de homicidio, lo que no implica que para mayor certeza, en cuanto a la tipificación de los hechos, se acordara la práctica de unas diligencias (folio 153) como la de solicitar al Instituto Anatómico Forense, para que se informara en relación a la causa, naturaleza y etiología del fallecimiento de Raúl Carlos Torres Cid, llevando a cabo una ampliación del análisis químico toxicológico, incluyendo la posible presencia de GHB, añadiéndose en ese auto que si no se obtendría dato alguno que modificase la causa de la muerte de la que ya constaba, solo se estaría en presencia de un delito contra el patrimonio.</w:t>
      </w:r>
    </w:p>
    <w:p w14:paraId="686F064B" w14:textId="77777777" w:rsidR="00A8138F" w:rsidRDefault="00A8138F" w:rsidP="00A8138F">
      <w:pPr>
        <w:pStyle w:val="TextoNormal"/>
      </w:pPr>
    </w:p>
    <w:p w14:paraId="2D3E2805" w14:textId="77777777" w:rsidR="00A8138F" w:rsidRDefault="00A8138F" w:rsidP="00A8138F">
      <w:pPr>
        <w:pStyle w:val="TextoNormal"/>
      </w:pPr>
      <w:r>
        <w:t xml:space="preserve">Con fecha 5/07/22, se recibe informe de lo interesado y referido en punto anterior con el resultado que consta, y así se informa por el servicio de laboratorio forense, que se obtiene un resultado de alcohol etílico no concluyente debido al mal estado de las muestras y falta de humor vitreo, y los valores de GHB son compatibles con niveles endógenos </w:t>
      </w:r>
      <w:r w:rsidRPr="00A8138F">
        <w:rPr>
          <w:i/>
        </w:rPr>
        <w:t>post morten</w:t>
      </w:r>
      <w:r>
        <w:t>. Por lo que no existen datos que justifiquen otra investigación diferente a la que ya se sigue y así se dice en providencia de fecha 05 de julio de 2022, por lo que se continua en relación a un supuesto delito contra el patrimonio, como ya se había dicho en la resolución repetidamente mencionada de fecha 01/06/22.</w:t>
      </w:r>
    </w:p>
    <w:p w14:paraId="32649B42" w14:textId="77777777" w:rsidR="00A8138F" w:rsidRDefault="00A8138F" w:rsidP="00A8138F">
      <w:pPr>
        <w:pStyle w:val="TextoNormal"/>
      </w:pPr>
    </w:p>
    <w:p w14:paraId="500EB268" w14:textId="77777777" w:rsidR="00A8138F" w:rsidRDefault="00A8138F" w:rsidP="00A8138F">
      <w:pPr>
        <w:pStyle w:val="TextoNormal"/>
      </w:pPr>
      <w:r>
        <w:t>[…]</w:t>
      </w:r>
    </w:p>
    <w:p w14:paraId="3014B85E" w14:textId="77777777" w:rsidR="00A8138F" w:rsidRDefault="00A8138F" w:rsidP="00A8138F">
      <w:pPr>
        <w:pStyle w:val="TextoNormal"/>
      </w:pPr>
    </w:p>
    <w:p w14:paraId="72A02737" w14:textId="77777777" w:rsidR="00A8138F" w:rsidRDefault="00A8138F" w:rsidP="00A8138F">
      <w:pPr>
        <w:pStyle w:val="TextoNormal"/>
      </w:pPr>
      <w:r>
        <w:t>Con fecha 04/12/22 se dicta auto ante el escrito que presenta esa acusación particular en el cual ‘solicita incorporación de evidencias que no constan’, cuando en realidad no son más que una serie de alegaciones que se efectúan, interesando que se practiquen unas diligencias de las cuales algunas ya constaban, otras que eran innecesarias se denegaban, admitiéndose las reclamaciones de informes, curiosamente esta resolución no fue recurrida, y ahora se dice que la denegación de la práctica de diligencias supone una vulneración a la tutela judicial efectiva, y sin perjuicio de tener que decir que la denegación de práctica de diligencias, suponga indefensión ni vulneración del art. 24 CE, pues tal derecho no es ilimitado teniendo el juez de instrucción la facultad de no admitir aquellas que no sean útiles ni necesarias, lo cierto es que solamente ha sido recurrida una providencia de fecha 05/07/22 por lo que no se entiende que se haga referencia a un auto no recurrido, si no estaba conforme”.</w:t>
      </w:r>
    </w:p>
    <w:p w14:paraId="6E1606FE" w14:textId="77777777" w:rsidR="00A8138F" w:rsidRDefault="00A8138F" w:rsidP="00A8138F">
      <w:pPr>
        <w:pStyle w:val="TextoNormal"/>
      </w:pPr>
    </w:p>
    <w:p w14:paraId="642A1068" w14:textId="77777777" w:rsidR="00A8138F" w:rsidRDefault="00A8138F" w:rsidP="00A8138F">
      <w:pPr>
        <w:pStyle w:val="TextoNormal"/>
      </w:pPr>
      <w:r>
        <w:t>Partiendo de este planteamiento, continúa la resolución señalando que tanto el auto de 1 de junio de 2022 como la providencia de 5 de julio de 2022, efectivamente, no se notificaron al denunciante; aunque señala que para el juzgado la existencia del denunciante “le era desconocida hasta que se recibió la ampliación del atestado el día 25/5/2022” y afirma:</w:t>
      </w:r>
    </w:p>
    <w:p w14:paraId="53E2B93B" w14:textId="77777777" w:rsidR="00A8138F" w:rsidRDefault="00A8138F" w:rsidP="00A8138F">
      <w:pPr>
        <w:pStyle w:val="TextoNormal"/>
      </w:pPr>
    </w:p>
    <w:p w14:paraId="50D84A30" w14:textId="77777777" w:rsidR="00A8138F" w:rsidRDefault="00A8138F" w:rsidP="00A8138F">
      <w:pPr>
        <w:pStyle w:val="TextoNormal"/>
      </w:pPr>
      <w:r>
        <w:t>“[E]n el presente caso hay que decir que si bien ha podido haber una irregularidad, por la falta de notificación al denunciante de esas resoluciones, ello no supone automáticamente que se haya producido indefensión, y así se considera en el presente caso, pues en ningún momento ha habido disminución ni eliminación del derecho que corresponde a ese denunciante, quien formula denuncia por estafa y las actuaciones se han seguido por delito contra el patrimonio.</w:t>
      </w:r>
    </w:p>
    <w:p w14:paraId="4CDF6726" w14:textId="77777777" w:rsidR="00A8138F" w:rsidRDefault="00A8138F" w:rsidP="00A8138F">
      <w:pPr>
        <w:pStyle w:val="TextoNormal"/>
      </w:pPr>
    </w:p>
    <w:p w14:paraId="130D1323" w14:textId="77777777" w:rsidR="00A8138F" w:rsidRDefault="00A8138F" w:rsidP="00A8138F">
      <w:pPr>
        <w:pStyle w:val="TextoNormal"/>
      </w:pPr>
      <w:r>
        <w:t>No ha habido alteración sustancial, ni resolución que haya supuesto cambio esencial del procedimiento, solo una simple infracción, sin que de ella se haya derivado perjuicio real alguno para el denunciante. Se podría estar en otra situación, si se hubiera incoado procedimiento por homicidio y se siguiera por delito contra el patrimonio o viceversa y no se hubiera comunicado al denunciante, pero ello no ha tenido lugar, por lo que no se considera que se haya prescindido de norma esencial de procedimiento, que por esa causa se haya producido indefensión (art. 225. de la LECrim y 238 de la LOPJ).</w:t>
      </w:r>
    </w:p>
    <w:p w14:paraId="65B5C89D" w14:textId="77777777" w:rsidR="00A8138F" w:rsidRDefault="00A8138F" w:rsidP="00A8138F">
      <w:pPr>
        <w:pStyle w:val="TextoNormal"/>
      </w:pPr>
    </w:p>
    <w:p w14:paraId="2AD593B2" w14:textId="77777777" w:rsidR="00A8138F" w:rsidRDefault="00A8138F" w:rsidP="00A8138F">
      <w:pPr>
        <w:pStyle w:val="TextoNormal"/>
      </w:pPr>
      <w:r>
        <w:t>[…]</w:t>
      </w:r>
    </w:p>
    <w:p w14:paraId="52A87EC2" w14:textId="77777777" w:rsidR="00A8138F" w:rsidRDefault="00A8138F" w:rsidP="00A8138F">
      <w:pPr>
        <w:pStyle w:val="TextoNormal"/>
      </w:pPr>
    </w:p>
    <w:p w14:paraId="6CC9283A" w14:textId="77777777" w:rsidR="00A8138F" w:rsidRDefault="00A8138F" w:rsidP="00A8138F">
      <w:pPr>
        <w:pStyle w:val="TextoNormal"/>
      </w:pPr>
      <w:r>
        <w:t>Conforme a ello, es en lo que se apoya esta resolución para entender que no se ha producido indefensión que produzca nulidad, pues no se está en presencia de un vicio grave y esencial susceptible de producir una indefensión real y efectiva, como exige la jurisprudencia del Tribunal Supremo.</w:t>
      </w:r>
    </w:p>
    <w:p w14:paraId="6B5B964E" w14:textId="77777777" w:rsidR="00A8138F" w:rsidRDefault="00A8138F" w:rsidP="00A8138F">
      <w:pPr>
        <w:pStyle w:val="TextoNormal"/>
      </w:pPr>
    </w:p>
    <w:p w14:paraId="593D86B3" w14:textId="77777777" w:rsidR="00A8138F" w:rsidRDefault="00A8138F" w:rsidP="00A8138F">
      <w:pPr>
        <w:pStyle w:val="TextoNormal"/>
      </w:pPr>
      <w:r>
        <w:t>Podrían efectuarse unas breves menciones a los diferentes intereses que supuestamente guiarían, por una parte a la policía a los efectos de una investigación, laboriosa y renombrada en los medios de comunicación; y por otra parte el que podría tener la representación del padre y hermanos del fallecido, pues sin olvidar que pertenecen a Gehitu, lo que se podría pretender no sería más que la incoación y la instrucción por delito de homicidio al entender que el investigado Nelson David Moreno Bolaños hubiera llevado a cabo el homicidio aprovechándose de la orientación sexual del fallecido.</w:t>
      </w:r>
    </w:p>
    <w:p w14:paraId="57E23433" w14:textId="77777777" w:rsidR="00A8138F" w:rsidRDefault="00A8138F" w:rsidP="00A8138F">
      <w:pPr>
        <w:pStyle w:val="TextoNormal"/>
      </w:pPr>
    </w:p>
    <w:p w14:paraId="568DC63F" w14:textId="77777777" w:rsidR="00A8138F" w:rsidRDefault="00A8138F" w:rsidP="00A8138F">
      <w:pPr>
        <w:pStyle w:val="TextoNormal"/>
      </w:pPr>
      <w:r>
        <w:t>Menciona esa representación otras diligencias que se investigan en otros juzgados, pero omite que en su mayor parte lo que es objeto de investigación es delito contra el patrimonio. Sin más referencias a esas menciones efectuadas, lo cierto es que no existen datos objetivos de comisión de supuesto delito de homicidio como esa parte pretende, efectuando un relato, basado en elucubraciones, suposiciones y conjeturas, sin que debe traerse aquí los relatos de diligencias de otros juzgados, ni tampoco los estudios que menciona sobre maniobras de estrangulamiento, de la que supuestamente ha podido ser víctima el fallecido, de lo que no existe más datos que un relato ficticio que se efectúa por esa parte”.</w:t>
      </w:r>
    </w:p>
    <w:p w14:paraId="1C266476" w14:textId="77777777" w:rsidR="00A8138F" w:rsidRDefault="00A8138F" w:rsidP="00A8138F">
      <w:pPr>
        <w:pStyle w:val="TextoNormal"/>
      </w:pPr>
    </w:p>
    <w:p w14:paraId="21BF9534" w14:textId="77777777" w:rsidR="00A8138F" w:rsidRDefault="00A8138F" w:rsidP="00A8138F">
      <w:pPr>
        <w:pStyle w:val="TextoNormal"/>
      </w:pPr>
      <w:r>
        <w:t>y) En fecha 24 de febrero de 2023 los recurrentes interpusieron recurso de amparo contra el auto de 3 de enero de 2023 del Juzgado de Instrucción núm. 5 de Bilbao, así como contra la providencia de 5 de julio de 2022, dictada por el mismo juzgado.</w:t>
      </w:r>
    </w:p>
    <w:p w14:paraId="1C147821" w14:textId="77777777" w:rsidR="00A8138F" w:rsidRDefault="00A8138F" w:rsidP="00A8138F">
      <w:pPr>
        <w:pStyle w:val="TextoNormal"/>
      </w:pPr>
    </w:p>
    <w:p w14:paraId="21BA0517" w14:textId="77777777" w:rsidR="00A8138F" w:rsidRDefault="00A8138F" w:rsidP="00A8138F">
      <w:pPr>
        <w:pStyle w:val="TextoNormal"/>
      </w:pPr>
      <w:r>
        <w:t>z) Con posterioridad a la interposición de la demanda de amparo, el juzgado de instrucción referido continuó con la tramitación de las diligencias previas 1102-2021, efectuándose, entre otras diligencias, el 23 de enero de 2023 la declaración de don Gonzalo Torres Cid, al que se efectuó el ofrecimiento de acciones en sede judicial.</w:t>
      </w:r>
    </w:p>
    <w:p w14:paraId="61CE34F8" w14:textId="77777777" w:rsidR="00A8138F" w:rsidRDefault="00A8138F" w:rsidP="00A8138F">
      <w:pPr>
        <w:pStyle w:val="TextoNormal"/>
      </w:pPr>
    </w:p>
    <w:p w14:paraId="1E0A51AD" w14:textId="77777777" w:rsidR="00A8138F" w:rsidRDefault="00A8138F" w:rsidP="00A8138F">
      <w:pPr>
        <w:pStyle w:val="TextoNormal"/>
      </w:pPr>
      <w:r>
        <w:t>El 27 de febrero de 2023 el juzgado de instrucción dictó auto de continuación de las actuaciones por el trámite del procedimiento penal abreviado “por el/los delito/s contra el patrimonio”. Los hoy demandantes de amparo interpusieron recurso de apelación contra el mismo, que fue desestimado por la Audiencia Provincial en su auto de 6 de junio de 2023. Este auto fue recurrido en amparo contra la decisión de continuación del procedimiento, acordándose su inadmisión por prematuro, mediante providencia de la Sección Segunda de este tribunal, de 26 de febrero de 2024 (recurso de amparo 5393-2023).</w:t>
      </w:r>
    </w:p>
    <w:p w14:paraId="5B1AA908" w14:textId="77777777" w:rsidR="00A8138F" w:rsidRDefault="00A8138F" w:rsidP="00A8138F">
      <w:pPr>
        <w:pStyle w:val="TextoNormal"/>
      </w:pPr>
    </w:p>
    <w:p w14:paraId="3A2B7986" w14:textId="77777777" w:rsidR="00A8138F" w:rsidRDefault="00A8138F" w:rsidP="00A8138F">
      <w:pPr>
        <w:pStyle w:val="TextoNormal"/>
      </w:pPr>
      <w:r>
        <w:t>Formulados los escritos de acusación por el Ministerio Fiscal y la acusación particular, el Juzgado de Instrucción núm. 5 de Bilbao dictó auto de apertura de juicio oral el 6 de noviembre de 2023 frente a don Nelson David Moreno Bolaños “por un delito continuado de estafa, un delito consumado de robo con violencia en casa habitada y un delito intentado de estafa informática”.</w:t>
      </w:r>
    </w:p>
    <w:p w14:paraId="6407C0D1" w14:textId="77777777" w:rsidR="00A8138F" w:rsidRDefault="00A8138F" w:rsidP="00A8138F">
      <w:pPr>
        <w:pStyle w:val="TextoNormal"/>
      </w:pPr>
    </w:p>
    <w:p w14:paraId="6C9B663E" w14:textId="77777777" w:rsidR="00A8138F" w:rsidRDefault="00A8138F" w:rsidP="00A8138F">
      <w:pPr>
        <w:pStyle w:val="TextoNormal"/>
      </w:pPr>
      <w:r>
        <w:t>El Juzgado de lo Penal núm. 5 de Bilbao al que correspondió el asunto, incoó el procedimiento abreviado núm. 65-2024 y dictó auto el 10 de febrero de 2024 en el que acordó excluir del enjuiciamiento el delito de robo con violencia en casa habitada por el que se formulaba acusación por la acusación particular, al no constar los hechos en que se fundamentaba en el auto de 27 de febrero de 2023 del Juzgado de Instrucción núm. 5 de Bilbao. Dicho auto fue recurrido por la acusación particular en reforma y apelación, siendo desestimados ambos recursos.</w:t>
      </w:r>
    </w:p>
    <w:p w14:paraId="58868C3C" w14:textId="77777777" w:rsidR="00A8138F" w:rsidRDefault="00A8138F" w:rsidP="00A8138F">
      <w:pPr>
        <w:pStyle w:val="TextoNormal"/>
      </w:pPr>
    </w:p>
    <w:p w14:paraId="5B1EF7FA" w14:textId="77777777" w:rsidR="00A8138F" w:rsidRDefault="00A8138F" w:rsidP="00A8138F">
      <w:pPr>
        <w:pStyle w:val="TextoNormal"/>
      </w:pPr>
      <w:r>
        <w:t>El referido juzgado de lo penal dictó sentencia núm. 357/2024, de 30 de octubre de 2024, en la que condenó a don Nelson David Moreno Bolaños como autor de un delito continuado de estafa a la pena de dos años y tres meses de prisión e inhabilitación especial para el derecho de sufragio pasivo durante la condena, absolviéndole del resto de delitos imputados por la acusación particular.</w:t>
      </w:r>
    </w:p>
    <w:p w14:paraId="29B80D5D" w14:textId="77777777" w:rsidR="00A8138F" w:rsidRDefault="00A8138F" w:rsidP="00A8138F">
      <w:pPr>
        <w:pStyle w:val="TextoNormal"/>
      </w:pPr>
    </w:p>
    <w:p w14:paraId="252DAF49" w14:textId="14E57152" w:rsidR="00A8138F" w:rsidRDefault="00A8138F" w:rsidP="00A8138F">
      <w:pPr>
        <w:pStyle w:val="TextoNormal"/>
      </w:pPr>
      <w:r>
        <w:t>Esta sentencia fue recurrida en apelación por la acusación particular el 25 de noviembre de 2024, sin que hasta la fecha conste que este haya sido resuelto.</w:t>
      </w:r>
    </w:p>
    <w:p w14:paraId="434EAFC1" w14:textId="77777777" w:rsidR="00A8138F" w:rsidRDefault="00A8138F" w:rsidP="00A8138F">
      <w:pPr>
        <w:pStyle w:val="TextoNormal"/>
      </w:pPr>
    </w:p>
    <w:p w14:paraId="18EE3B4C" w14:textId="77777777" w:rsidR="00A8138F" w:rsidRDefault="00A8138F" w:rsidP="00A8138F">
      <w:pPr>
        <w:pStyle w:val="TextoNormal"/>
      </w:pPr>
      <w:r w:rsidRPr="00A8138F">
        <w:rPr>
          <w:rStyle w:val="NumeroAFNegritaCaracter"/>
        </w:rPr>
        <w:t>3</w:t>
      </w:r>
      <w:r>
        <w:t>. Los recurrentes formalizan la demanda de amparo contra el auto de 3 de enero de 2023 del Juzgado de Instrucción núm. 5 de Bilbao, que desestimó el incidente de nulidad de actuaciones formulado contra la providencia de 5 de julio de 2022, dictada por el mismo juzgado, que acordó la continuación de las actuaciones “en relación a un supuesto delito contra el patrimonio”. También impugnan dicha providencia.</w:t>
      </w:r>
    </w:p>
    <w:p w14:paraId="014B7ADB" w14:textId="77777777" w:rsidR="00A8138F" w:rsidRDefault="00A8138F" w:rsidP="00A8138F">
      <w:pPr>
        <w:pStyle w:val="TextoNormal"/>
      </w:pPr>
    </w:p>
    <w:p w14:paraId="62C19D8F" w14:textId="77777777" w:rsidR="00A8138F" w:rsidRDefault="00A8138F" w:rsidP="00A8138F">
      <w:pPr>
        <w:pStyle w:val="TextoNormal"/>
      </w:pPr>
      <w:r>
        <w:t>Alegan como fundamento de su pretensión, ante todo, su legitimación activa para la interposición de la demanda de amparo, en calidad de víctimas indirectas, que han sufrido la violación del derecho a la vida en su vertiente procesal en relación con la muerte de su hermano e hijo, invocando la doctrina del Tribunal Europeo de Derechos Humanos, la Ley 4/2015, de 27 de abril, del estatuto de la víctima del delito y la Directiva 2012/29/UE del Parlamento Europeo y del Consejo, de 25 de octubre de 2012, por la que se establecen normas mínimas sobre los derechos, el apoyo y la protección a las víctimas de los delitos.</w:t>
      </w:r>
    </w:p>
    <w:p w14:paraId="2ED91BBB" w14:textId="77777777" w:rsidR="00A8138F" w:rsidRDefault="00A8138F" w:rsidP="00A8138F">
      <w:pPr>
        <w:pStyle w:val="TextoNormal"/>
      </w:pPr>
    </w:p>
    <w:p w14:paraId="5F775E39" w14:textId="77777777" w:rsidR="00A8138F" w:rsidRDefault="00A8138F" w:rsidP="00A8138F">
      <w:pPr>
        <w:pStyle w:val="TextoNormal"/>
      </w:pPr>
      <w:r>
        <w:t xml:space="preserve">Sintetizan la tramitación de la causa, destacando que, desde su inicio, tuvo por objeto esclarecer las circunstancias relativas al fallecimiento de don Raúl Carlos Torres Cid, siendo ampliada posteriormente para investigar los movimientos patrimoniales </w:t>
      </w:r>
      <w:r w:rsidRPr="00A8138F">
        <w:rPr>
          <w:i/>
        </w:rPr>
        <w:t>post mortem</w:t>
      </w:r>
      <w:r>
        <w:t xml:space="preserve"> denunciados.</w:t>
      </w:r>
    </w:p>
    <w:p w14:paraId="59EE7FB7" w14:textId="77777777" w:rsidR="00A8138F" w:rsidRDefault="00A8138F" w:rsidP="00A8138F">
      <w:pPr>
        <w:pStyle w:val="TextoNormal"/>
      </w:pPr>
    </w:p>
    <w:p w14:paraId="2E17F6DB" w14:textId="77777777" w:rsidR="00A8138F" w:rsidRDefault="00A8138F" w:rsidP="00A8138F">
      <w:pPr>
        <w:pStyle w:val="TextoNormal"/>
      </w:pPr>
      <w:r>
        <w:t>Señalan pormenorizadamente los indicios que permiten sostener que el investigado estranguló a don Raúl Carlos Torres Cid mediante una técnica de estrangulamiento antebraquial de presión carotídea —conocida como “mata león”—, haciendo que este perdiera el conocimiento; se apropió de sus tarjetas de bancarias y accedió a su aplicación de banca móvil para realizar cinco pagos vía Bizum a su favor y consultar el pin de la tarjeta bancaria, lo que permitió que posteriormente efectuase varias extracciones en cajero y numerosas compras y pagos con aquella. Afirma que el investigado procedió bien a acabar con la vida de la víctima inconsciente mediante alguna técnica de asfixia que no produjera lesiones morfológicamente objetivables; o bien, abandonó a la víctima inconsciente a su suerte, asumiendo la posibilidad eventual de que esta falleciera a causa del estrangulamiento realizado previamente.</w:t>
      </w:r>
    </w:p>
    <w:p w14:paraId="2B94F5F9" w14:textId="77777777" w:rsidR="00A8138F" w:rsidRDefault="00A8138F" w:rsidP="00A8138F">
      <w:pPr>
        <w:pStyle w:val="TextoNormal"/>
      </w:pPr>
    </w:p>
    <w:p w14:paraId="674F37B7" w14:textId="77777777" w:rsidR="00A8138F" w:rsidRDefault="00A8138F" w:rsidP="00A8138F">
      <w:pPr>
        <w:pStyle w:val="TextoNormal"/>
      </w:pPr>
      <w:r>
        <w:t>A continuación, exponen dos motivos de amparo:</w:t>
      </w:r>
    </w:p>
    <w:p w14:paraId="17589C88" w14:textId="77777777" w:rsidR="00A8138F" w:rsidRDefault="00A8138F" w:rsidP="00A8138F">
      <w:pPr>
        <w:pStyle w:val="TextoNormal"/>
      </w:pPr>
    </w:p>
    <w:p w14:paraId="74E455EA" w14:textId="77777777" w:rsidR="00A8138F" w:rsidRDefault="00A8138F" w:rsidP="00A8138F">
      <w:pPr>
        <w:pStyle w:val="TextoNormal"/>
      </w:pPr>
      <w:r>
        <w:t>a) En el primer motivo los recurrentes alegan la vulneración del derecho a la vida (arts. 15 CE y 2 CEDH) en su vertiente procesal, en conexión con el derecho a la tutela judicial efectiva de los artículos 24 CE y 6 CEDH. Invoca la doctrina del Tribunal Europeo de Derechos Humanos que ha establecido que el derecho a la vida también engloba un número de obligaciones procesales en relación con el deber de investigar suficiente y eficazmente aquellos hechos en que los individuos han muerto en circunstancias en las que hay indicios que permiten cuestionar su muerte natural. Denuncia que estas obligaciones procesales se han conculcado, pues: (i) en este procedimiento, a pesar de los indicios que permiten cuestionar que la causa de la muerte de don Raúl Carlos fuese natural, no se ha valorado la posibilidad de que el mismo hubiere sido estrangulado, ni se ha solicitado a los forenses que informasen sobre la compatibilidad del estrangulamiento por presión en las carótidas y los signos que presentaban el cadáver autopsiado; (ii) se han denegado diligencias relativas a la geolocalización y tráfico de comunicaciones de los teléfonos utilizados por el investigado, poniendo en peligro la posibilidad de su obtención al ser datos perecederos; (iii) la negativa de la instructora a la investigación ha determinado que no se hayan practicado diligencias necesarias para el esclarecimiento de los hechos; (iv) no se notificó a los familiares la resolución que acordó no investigar los hechos, lo que lesionaría el deber de escrutinio público de las investigaciones y el derecho de participación de los familiares en el procedimiento para salvaguardar sus intereses legítimos; y (v) la decisión de sobreseimiento fue irracional y careció de la debida motivación, al basarse únicamente en los informes periciales existentes, sin que en los mismos se hubiese planteado la posibilidad del estrangulamiento antebraquial y sin valorar todos los indicios que los recurrentes exponían. Los recurrentes enumeran las diligencias que serían necesarias para la debida instrucción.</w:t>
      </w:r>
    </w:p>
    <w:p w14:paraId="6021F581" w14:textId="77777777" w:rsidR="00A8138F" w:rsidRDefault="00A8138F" w:rsidP="00A8138F">
      <w:pPr>
        <w:pStyle w:val="TextoNormal"/>
      </w:pPr>
    </w:p>
    <w:p w14:paraId="3B61497C" w14:textId="77777777" w:rsidR="00A8138F" w:rsidRDefault="00A8138F" w:rsidP="00A8138F">
      <w:pPr>
        <w:pStyle w:val="TextoNormal"/>
      </w:pPr>
      <w:r>
        <w:t>b) En el segundo motivo, los recurrentes alegan la vulneración del derecho a la tutela judicial efectiva sin sufrir indefensión (art. 24.1 CE) en relación con los arts. 6 y 13 CEDH, en su vertiente del derecho de las víctimas a la comunicación de las resoluciones dictadas en el procedimiento que afecta a sus derechos, de acceso al recurso establecido por ley, a su derecho de defensa y a obtener una resolución motivada en derecho. Argumentan que el artículo 12 del estatuto de la víctima del delito, así como en los artículos 636 y 779.1.1.2 LECrim, las víctimas —en este caso, ascendiente y colaterales del fallecido— tienen derecho a que se les notifique la resolución que acuerda el sobreseimiento de la causa y a recurrirla en el plazo de veinte días, hayan sido o no parte en la causa, por lo que el juzgado debió notificar la providencia de 5 de julio de 2022 que “materialmente” archivaba el procedimiento en relación con el fallecimiento de don Raúl Carlos. Subrayan que fueron identificados por la policía en el atestado inicial y poseían la condición de víctimas en relación con el homicidio de don Raúl Carlos, sin que esta condición se viese afectada por la formulación de una denuncia ampliando los hechos por la posible comisión de delitos patrimoniales tras el fallecimiento; denuncia en la que, además, se ponía de manifiesto un posible autor del homicidio, dado que parte de las transmisiones patrimoniales se realizaron en el domicilio de la víctima, empleando su teléfono móvil, que fue hallado junto a su cadáver. Denuncian que, a pesar de haber interpuesto en tiempo y forma, dentro del plazo legal de veinte días, recurso de reforma y subsidiario de apelación contra la resolución que acordaba materialmente el sobreseimiento parcial de la causa en relación con los hechos relativos al fallecimiento y posible homicidio de D. Raúl Carlos Torres Cid, el juzgado inadmitió los recursos por “extemporáneos” y desestimó el incidente de nulidad de actuaciones, de forma que impidió a los recurrentes: (i) interponer un recurso en el que se cuestionase la procedencia del sobreseimiento y su revisión en apelación; y (ii) solicitar diligencias en relación al fallecimiento de don Raúl Carlos Torres Cid.</w:t>
      </w:r>
    </w:p>
    <w:p w14:paraId="0A2F31E4" w14:textId="77777777" w:rsidR="00A8138F" w:rsidRDefault="00A8138F" w:rsidP="00A8138F">
      <w:pPr>
        <w:pStyle w:val="TextoNormal"/>
      </w:pPr>
    </w:p>
    <w:p w14:paraId="301FFD16" w14:textId="64570056" w:rsidR="00A8138F" w:rsidRDefault="00A8138F" w:rsidP="00A8138F">
      <w:pPr>
        <w:pStyle w:val="TextoNormal"/>
      </w:pPr>
      <w:r>
        <w:t>En la demanda los recurrentes solicitan: (1) la nulidad de la providencia de fecha 5 de julio de 2022 del Juzgado de Instrucción núm. 5 de Bilbao, así como la del auto de 3 de enero de 2023 que confirmó aquella, retrotrayendo las actuaciones hasta aquel primer momento, revocando el sobreseimiento adoptado por dicha providencia, y disponiendo que la causa continúe investigando las circunstancias relativas al fallecimiento de don Raúl Carlos Torres Cid para que, a instancia de esta parte o de oficio, se lleve a cabo la práctica de las diligencias pertinentes y necesarias para el esclarecimiento de los hechos relativos al fallecimiento de este; reestableciendo así a los recurrentes en sus derechos; y (2) subsidiariamente, la retrotracción de las actuaciones hasta el momento procesal en que se acordó la inadmisión del recurso de reforma y subsidiario de apelación interpuesto por los recurrentes, anulando dicha decisión y disponiendo que se admita el mismo, debiendo resolverse conforme a derecho, respetando los derechos fundamentales y las obligaciones derivadas del derecho a la vida en su vertiente procesal.</w:t>
      </w:r>
    </w:p>
    <w:p w14:paraId="4A33AFE0" w14:textId="77777777" w:rsidR="00A8138F" w:rsidRDefault="00A8138F" w:rsidP="00A8138F">
      <w:pPr>
        <w:pStyle w:val="TextoNormal"/>
      </w:pPr>
    </w:p>
    <w:p w14:paraId="5CEFBA48" w14:textId="77777777" w:rsidR="00A8138F" w:rsidRDefault="00A8138F" w:rsidP="00A8138F">
      <w:pPr>
        <w:pStyle w:val="TextoNormal"/>
      </w:pPr>
      <w:r w:rsidRPr="00A8138F">
        <w:rPr>
          <w:rStyle w:val="NumeroAFNegritaCaracter"/>
        </w:rPr>
        <w:t>4</w:t>
      </w:r>
      <w:r>
        <w:t>. La Secretaría de Justicia de la Sección Segunda, Sala Primera, de este Tribunal Constitucional, dictó diligencia de ordenación el 28 de febrero de 2023 por la que se acordó requerir al procurador de la parte recurrente para que en el plazo de diez días acreditase la representación procesal que decía ostentar, con apercibimiento de que el recurso sería inadmitido en caso de no atender el requerimiento.</w:t>
      </w:r>
    </w:p>
    <w:p w14:paraId="2FB7271D" w14:textId="77777777" w:rsidR="00A8138F" w:rsidRDefault="00A8138F" w:rsidP="00A8138F">
      <w:pPr>
        <w:pStyle w:val="TextoNormal"/>
      </w:pPr>
    </w:p>
    <w:p w14:paraId="5C9AFEA2" w14:textId="4090B4E6" w:rsidR="00A8138F" w:rsidRDefault="00A8138F" w:rsidP="00A8138F">
      <w:pPr>
        <w:pStyle w:val="TextoNormal"/>
      </w:pPr>
      <w:r>
        <w:t>Por escrito registrado el 13 de marzo de 2023 se presentó el apoderamiento otorgado por los recurrentes, dando cumplimiento a lo requerido.</w:t>
      </w:r>
    </w:p>
    <w:p w14:paraId="539FF7B1" w14:textId="77777777" w:rsidR="00A8138F" w:rsidRDefault="00A8138F" w:rsidP="00A8138F">
      <w:pPr>
        <w:pStyle w:val="TextoNormal"/>
      </w:pPr>
    </w:p>
    <w:p w14:paraId="0E371114" w14:textId="77777777" w:rsidR="00A8138F" w:rsidRDefault="00A8138F" w:rsidP="00A8138F">
      <w:pPr>
        <w:pStyle w:val="TextoNormal"/>
      </w:pPr>
      <w:r w:rsidRPr="00A8138F">
        <w:rPr>
          <w:rStyle w:val="NumeroAFNegritaCaracter"/>
        </w:rPr>
        <w:t>5</w:t>
      </w:r>
      <w:r>
        <w:t>. La Sección Segunda de la Sala Primera de este tribunal acordó por providencia de 8 de abril de 2024 admitir a trámite el recurso, “apreciando que concurre en el mismo una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w:t>
      </w:r>
    </w:p>
    <w:p w14:paraId="45657E6F" w14:textId="77777777" w:rsidR="00A8138F" w:rsidRDefault="00A8138F" w:rsidP="00A8138F">
      <w:pPr>
        <w:pStyle w:val="TextoNormal"/>
      </w:pPr>
    </w:p>
    <w:p w14:paraId="5B210AEC" w14:textId="4569B05B" w:rsidR="00A8138F" w:rsidRDefault="00A8138F" w:rsidP="00A8138F">
      <w:pPr>
        <w:pStyle w:val="TextoNormal"/>
      </w:pPr>
      <w:r>
        <w:t>En la misma resolución se acordó, en aplicación de lo dispuesto en el art. 51 de la Ley Orgánica del Tribunal Constitucional (LOTC), dirigir atenta comunicación al Juzgado de Instrucción núm. 5 de Bilbao, a fin de que remitiese certificación o fotocopia adverada de las actuaciones correspondientes a las diligencias previas núm. 1102/2021; y emplazase a quienes hubieran sido parte en el procedimiento, excepto la parte recurrente en amparo, para que pudiesen comparecer, si lo deseaban, en el recurso de amparo.</w:t>
      </w:r>
    </w:p>
    <w:p w14:paraId="3A9FD407" w14:textId="77777777" w:rsidR="00A8138F" w:rsidRDefault="00A8138F" w:rsidP="00A8138F">
      <w:pPr>
        <w:pStyle w:val="TextoNormal"/>
      </w:pPr>
    </w:p>
    <w:p w14:paraId="3095CE11" w14:textId="24D26CED" w:rsidR="00A8138F" w:rsidRDefault="00A8138F" w:rsidP="00A8138F">
      <w:pPr>
        <w:pStyle w:val="TextoNormal"/>
      </w:pPr>
      <w:r w:rsidRPr="00A8138F">
        <w:rPr>
          <w:rStyle w:val="NumeroAFNegritaCaracter"/>
        </w:rPr>
        <w:t>6</w:t>
      </w:r>
      <w:r>
        <w:t>. En fecha 29 de mayo de 2024 presentó escrito el procurador de los tribunales don Noel-Alain de Dorremochea Guiot, solicitando que se le tuviese personado en las actuaciones en nombre y representación de don Nelson David Moreno Bolaños, y bajo la dirección letrada de don Jorge Romero Yurrebaso.</w:t>
      </w:r>
    </w:p>
    <w:p w14:paraId="7EABF311" w14:textId="77777777" w:rsidR="00A8138F" w:rsidRDefault="00A8138F" w:rsidP="00A8138F">
      <w:pPr>
        <w:pStyle w:val="TextoNormal"/>
      </w:pPr>
    </w:p>
    <w:p w14:paraId="70AD5C1B" w14:textId="4C27478E" w:rsidR="00A8138F" w:rsidRDefault="00A8138F" w:rsidP="00A8138F">
      <w:pPr>
        <w:pStyle w:val="TextoNormal"/>
      </w:pPr>
      <w:r w:rsidRPr="00A8138F">
        <w:rPr>
          <w:rStyle w:val="NumeroAFNegritaCaracter"/>
        </w:rPr>
        <w:t>7</w:t>
      </w:r>
      <w:r>
        <w:t>. Con fecha 10 de junio de 2024 la Secretaría de Justicia de la Sala Primera de este tribunal dictó diligencia de ordenación por la que, de un lado, acordó tener por personado y parte en el procedimiento al procurador don Noel-Alain de Dorremoechea Guiot, en nombre y representación de don Nelson David Moreno Bolaños, acordándose entender con él las sucesivas actuaciones; y, de otro, acordó dar vista de las actuaciones recibidas a las partes personadas y al Ministerio Fiscal por un plazo común de veinte días, dentro de los cuales podrían presentar las alegaciones que estimasen pertinentes, conforme determina el art. 52.1 de la ley orgánica de este tribunal.</w:t>
      </w:r>
    </w:p>
    <w:p w14:paraId="4AEA206D" w14:textId="77777777" w:rsidR="00A8138F" w:rsidRDefault="00A8138F" w:rsidP="00A8138F">
      <w:pPr>
        <w:pStyle w:val="TextoNormal"/>
      </w:pPr>
    </w:p>
    <w:p w14:paraId="38DC324A" w14:textId="77777777" w:rsidR="00A8138F" w:rsidRDefault="00A8138F" w:rsidP="00A8138F">
      <w:pPr>
        <w:pStyle w:val="TextoNormal"/>
      </w:pPr>
      <w:r w:rsidRPr="00A8138F">
        <w:rPr>
          <w:rStyle w:val="NumeroAFNegritaCaracter"/>
        </w:rPr>
        <w:t>8</w:t>
      </w:r>
      <w:r>
        <w:t>. Con fecha 12 de julio de 2024 tuvo entrada en el registro electrónico de este tribunal el escrito de alegaciones presentado por el representante procesal de don Florentino Torres del campo, don Rodrigo Torres Cid y don Gonzalo Torres Cid, por el que se interesó el otorgamiento del amparo, reiterando las peticiones de la demanda.</w:t>
      </w:r>
    </w:p>
    <w:p w14:paraId="02EC2C88" w14:textId="77777777" w:rsidR="00A8138F" w:rsidRDefault="00A8138F" w:rsidP="00A8138F">
      <w:pPr>
        <w:pStyle w:val="TextoNormal"/>
      </w:pPr>
    </w:p>
    <w:p w14:paraId="4D2D43FA" w14:textId="77777777" w:rsidR="00A8138F" w:rsidRDefault="00A8138F" w:rsidP="00A8138F">
      <w:pPr>
        <w:pStyle w:val="TextoNormal"/>
      </w:pPr>
      <w:r>
        <w:t>Asimismo, en su escrito la parte puso de manifiesto nuevos hechos, a su juicio relevantes para el presente procedimiento constitucional, acaecidos con posterioridad a la interposición de la demanda de amparo.</w:t>
      </w:r>
    </w:p>
    <w:p w14:paraId="769DF56C" w14:textId="77777777" w:rsidR="00A8138F" w:rsidRDefault="00A8138F" w:rsidP="00A8138F">
      <w:pPr>
        <w:pStyle w:val="TextoNormal"/>
      </w:pPr>
    </w:p>
    <w:p w14:paraId="53C913BF" w14:textId="77777777" w:rsidR="00A8138F" w:rsidRDefault="00A8138F" w:rsidP="00A8138F">
      <w:pPr>
        <w:pStyle w:val="TextoNormal"/>
      </w:pPr>
      <w:r>
        <w:t>En primer lugar, se informaba del estado de los otros procedimientos cuyas similitudes con el presente se había puesto de manifiesto en la instrucción de la causa. En concreto, indicaba:</w:t>
      </w:r>
    </w:p>
    <w:p w14:paraId="09768915" w14:textId="77777777" w:rsidR="00A8138F" w:rsidRDefault="00A8138F" w:rsidP="00A8138F">
      <w:pPr>
        <w:pStyle w:val="TextoNormal"/>
      </w:pPr>
    </w:p>
    <w:p w14:paraId="15E98616" w14:textId="77777777" w:rsidR="00A8138F" w:rsidRDefault="00A8138F" w:rsidP="00A8138F">
      <w:pPr>
        <w:pStyle w:val="TextoNormal"/>
      </w:pPr>
      <w:r>
        <w:t>(1) que las cuatro causas restantes que se seguían por hechos potencialmente constitutivos de asesinatos de varones homosexuales, la Audiencia Provincial de Bizkaia había revocado las resoluciones de archivo de los juzgados de instrucción por considerar existían poderosos y claros indicios de que el investigado podía haber sido responsable del fallecimiento de las víctimas; y al haberse emitido nuevos informes forenses que modificaban la causa de la muerte inicialmente establecida como natural para fijarla como indeterminada o violenta, a la vista de la posibilidad de que el investigado hubiera podido emplear una técnica de estrangulación de presa antebraquial por presión carotídea —la llave “mata león”— que no deja lesiones morfológicas objetivables en los cuerpos de las víctimas; y</w:t>
      </w:r>
    </w:p>
    <w:p w14:paraId="66D9DD36" w14:textId="77777777" w:rsidR="00A8138F" w:rsidRDefault="00A8138F" w:rsidP="00A8138F">
      <w:pPr>
        <w:pStyle w:val="TextoNormal"/>
      </w:pPr>
    </w:p>
    <w:p w14:paraId="2D7B03C7" w14:textId="77777777" w:rsidR="00A8138F" w:rsidRDefault="00A8138F" w:rsidP="00A8138F">
      <w:pPr>
        <w:pStyle w:val="TextoNormal"/>
      </w:pPr>
      <w:r>
        <w:t>(2) que en otro de los procedimientos —con un escenario, un perfil victimológico y unos hechos con clara similitud con el caso de don Raúl Carlos Torres— la Audiencia Provincial de Bizkaia había dictado sentencia condenando a don Nelson David Moreno Bolaños como autor de un delito de homicidio en grado de tentativa, resolución parcialmente revocada por la sentencia de la Sala de lo Civil y Penal del Tribunal Superior de Justicia del País Vasco que, estimando el recurso presentado por la acusación particular, condenó a don Nelson por un delito de asesinato en grado de tentativa, elevando su condena a la pena de diez años de prisión.</w:t>
      </w:r>
    </w:p>
    <w:p w14:paraId="115CF2BF" w14:textId="77777777" w:rsidR="00A8138F" w:rsidRDefault="00A8138F" w:rsidP="00A8138F">
      <w:pPr>
        <w:pStyle w:val="TextoNormal"/>
      </w:pPr>
    </w:p>
    <w:p w14:paraId="2DAF09E8" w14:textId="77777777" w:rsidR="00A8138F" w:rsidRDefault="00A8138F" w:rsidP="00A8138F">
      <w:pPr>
        <w:pStyle w:val="TextoNormal"/>
      </w:pPr>
      <w:r>
        <w:t>En segundo lugar, se recuerda en el escrito de alegaciones la doctrina del Tribunal Europeo de Derechos Humanos en relación con las obligaciones procesales derivadas del derecho a la vida en conexión con el derecho a la tutela judicial efectiva; así como doctrina constitucional aplicable.</w:t>
      </w:r>
    </w:p>
    <w:p w14:paraId="576CE167" w14:textId="77777777" w:rsidR="00A8138F" w:rsidRDefault="00A8138F" w:rsidP="00A8138F">
      <w:pPr>
        <w:pStyle w:val="TextoNormal"/>
      </w:pPr>
    </w:p>
    <w:p w14:paraId="52FCE630" w14:textId="5BCB5F25" w:rsidR="00A8138F" w:rsidRDefault="00A8138F" w:rsidP="00A8138F">
      <w:pPr>
        <w:pStyle w:val="TextoNormal"/>
      </w:pPr>
      <w:r>
        <w:t>Y finalmente, recuerda los hitos procesales y datos fácticos relevantes al objeto del recurso de amparo, exponiendo en detalle los incumplimientos producidos a lo largo de la tramitación de la causa, desde su inicio, en relación con el requisito de una investigación adecuada, efectuada con una prontitud y celeridad razonables, en la que se garantice la participación de los familiares.</w:t>
      </w:r>
    </w:p>
    <w:p w14:paraId="46EDA8CD" w14:textId="77777777" w:rsidR="00A8138F" w:rsidRDefault="00A8138F" w:rsidP="00A8138F">
      <w:pPr>
        <w:pStyle w:val="TextoNormal"/>
      </w:pPr>
    </w:p>
    <w:p w14:paraId="21EC9F58" w14:textId="77777777" w:rsidR="00A8138F" w:rsidRDefault="00A8138F" w:rsidP="00A8138F">
      <w:pPr>
        <w:pStyle w:val="TextoNormal"/>
      </w:pPr>
      <w:r w:rsidRPr="00A8138F">
        <w:rPr>
          <w:rStyle w:val="NumeroAFNegritaCaracter"/>
        </w:rPr>
        <w:t>9</w:t>
      </w:r>
      <w:r>
        <w:t>. El fiscal ante este Tribunal Constitucional presentó su escrito de alegaciones con fecha 3 de julio de 2024, interesando: (i) el otorgamiento del amparo solicitado por los demandantes y, en consecuencia, la declaración de que ha sido vulnerado su derecho a la tutela judicial efectiva (art. 24.1 CE) en relación con el derecho a la vida (art. 15 CE); (ii) el restablecimiento a los demandantes en su derecho, declarando la nulidad de la providencia de 5 de julio de 2022 y el auto de 3 de enero de 2023 del Juzgado de Instrucción núm. 5 de Bilbao; y (iii) la retroacción de las actuaciones al momento anterior al dictado de la providencia anulada para que el Juzgado de Instrucción núm. 5 de Bilbao procediese en términos respetuosos con el derecho fundamental vulnerado.</w:t>
      </w:r>
    </w:p>
    <w:p w14:paraId="44206A05" w14:textId="77777777" w:rsidR="00A8138F" w:rsidRDefault="00A8138F" w:rsidP="00A8138F">
      <w:pPr>
        <w:pStyle w:val="TextoNormal"/>
      </w:pPr>
    </w:p>
    <w:p w14:paraId="5A27CC63" w14:textId="77777777" w:rsidR="00A8138F" w:rsidRDefault="00A8138F" w:rsidP="00A8138F">
      <w:pPr>
        <w:pStyle w:val="TextoNormal"/>
      </w:pPr>
      <w:r>
        <w:t>En su escrito el Ministerio Fiscal, después de exponer los antecedentes de hecho y las alegaciones del recurrente, indica que no observa ningún óbice procesal que impida la admisión del recurso. Mantiene que, conforme al criterio de la mayor retroacción de este tribunal, procede examinar en primer lugar la queja relacionada con la vulneración del derecho a la vida (arts. 15 CE y 2 CEDH) en su vertiente procesal, en conexión con el derecho a la tutela judicial efectiva (arts. 24 CE y 6 CEDH), pues en caso de otorgamiento del amparo, resultarían innecesarios el resto de los pronunciamientos.</w:t>
      </w:r>
    </w:p>
    <w:p w14:paraId="719BF226" w14:textId="77777777" w:rsidR="00A8138F" w:rsidRDefault="00A8138F" w:rsidP="00A8138F">
      <w:pPr>
        <w:pStyle w:val="TextoNormal"/>
      </w:pPr>
    </w:p>
    <w:p w14:paraId="4583CCD9" w14:textId="77777777" w:rsidR="00A8138F" w:rsidRDefault="00A8138F" w:rsidP="00A8138F">
      <w:pPr>
        <w:pStyle w:val="TextoNormal"/>
      </w:pPr>
      <w:r>
        <w:t>A continuación, expone la doctrina de este tribunal sobre la tutela judicial efectiva y la investigación penal suficiente y eficaz en relación con el derecho a la vida (art. 15 CE); el derecho a la tutela judicial efectiva de la víctima del delito, personada como acusación particular en la causa penal y el derecho a utilizar los medios de prueba pertinentes para la defensa de las posiciones de las partes; así como la relevancia del estatuto de la víctima del delito; citando sucesivamente las SSTC 87/2020, de 20 de julio, FJ 3; 131/2023, de 23 de octubre, FJ 3 c), y 102/2022, de 12 de septiembre, FJ 6. Asimismo, se refiere a la doctrina del Tribunal Europeo de Derechos Humanos, que ha extendido paulatinamente la exigencia de una investigación suficiente y eficaz al derecho a la vida, independientemente de que la lesión no se impute a representantes del Estado y ha dictado sentencias en relación con la vulneración del art. 2 CEDH en su aspecto procesal en relación con la investigación llevada a cabo por las autoridades nacionales.</w:t>
      </w:r>
    </w:p>
    <w:p w14:paraId="4E3C782E" w14:textId="77777777" w:rsidR="00A8138F" w:rsidRDefault="00A8138F" w:rsidP="00A8138F">
      <w:pPr>
        <w:pStyle w:val="TextoNormal"/>
      </w:pPr>
    </w:p>
    <w:p w14:paraId="0B3C860E" w14:textId="77777777" w:rsidR="00A8138F" w:rsidRDefault="00A8138F" w:rsidP="00A8138F">
      <w:pPr>
        <w:pStyle w:val="TextoNormal"/>
      </w:pPr>
      <w:r>
        <w:t>Seguidamente, el fiscal expone los hitos más importantes del procedimiento judicial y concluye que en la causa aparecían datos que evidenciaban la presencia del investigado en el domicilio de don Raúl Carlos Torres Cid, en el día y hora en la que se databa la muerte y que incidían en la “alta probabilidad de que el sospechoso, junto con otras personas, esté implicado en la muerte de Raúl Carlos Torres Cid”. Considera además que las diligencias solicitadas por la Ertzaintza y denegadas por el juzgado eran muy precisas, sin que pudiesen tildarse de prospectivas, imprecisas o indeterminadas.</w:t>
      </w:r>
    </w:p>
    <w:p w14:paraId="1D6E95CA" w14:textId="77777777" w:rsidR="00A8138F" w:rsidRDefault="00A8138F" w:rsidP="00A8138F">
      <w:pPr>
        <w:pStyle w:val="TextoNormal"/>
      </w:pPr>
    </w:p>
    <w:p w14:paraId="2F7226EA" w14:textId="77777777" w:rsidR="00A8138F" w:rsidRDefault="00A8138F" w:rsidP="00A8138F">
      <w:pPr>
        <w:pStyle w:val="TextoNormal"/>
      </w:pPr>
      <w:r>
        <w:t>Considera que “[l]as resoluciones judiciales que pretenden deslindar categóricamente la muerte del Sr. Torres Cid del empleo cuasi simultáneo desde su casa de su teléfono móvil para realizar transferencias a través de Bizum a favor del sospechoso, no resultan conformes a la lógica forense, aunque se basen en los informes de medicina legal sobre la presunta causa natural de la muerte” y la “negativa judicial a la investigación de un delito grave como es un eventual delito de homicidio doloso que atenta contra la vida (art. 15 CE y art. 2 CEDH) provoca que la investigación no solo sea suficiente y efectiva, como exige nuestra doctrina constitucional, sino que en este caso, la investigación es inexistente. La resolución de sobreseimiento no se asienta en una ‘razonable y razonada’ concurrencia de los presupuestos legales para acordar el sobreseimiento, pues en el presente caso no es descartable la perpetración del delito y existen indicios suficientes para investigar a una persona determinada (art. 641 LECrim)”.</w:t>
      </w:r>
    </w:p>
    <w:p w14:paraId="749B4111" w14:textId="77777777" w:rsidR="00A8138F" w:rsidRDefault="00A8138F" w:rsidP="00A8138F">
      <w:pPr>
        <w:pStyle w:val="TextoNormal"/>
      </w:pPr>
    </w:p>
    <w:p w14:paraId="3654BB90" w14:textId="77777777" w:rsidR="00A8138F" w:rsidRDefault="00A8138F" w:rsidP="00A8138F">
      <w:pPr>
        <w:pStyle w:val="TextoNormal"/>
      </w:pPr>
      <w:r>
        <w:t>En consecuencia, el fiscal sostiene que: “concurren diversos déficits en el procedimiento judicial causantes de la vulneración del derecho a la tutela judicial efectiva de los demandantes en amparo. En primer lugar, insistimos, no existe una efectiva investigación judicial, más allá de la práctica inicial de la autopsia y los análisis toxicológicos, una vez que aparecen nuevos datos reveladores de la probable participación de terceras personas en la muerte investigada y un eventual delito de homicidio doloso. En segundo lugar, la decisión judicial de sobreseimiento respecto de la investigación del fallecimiento no está suficientemente motivada y jurídicamente fundada  resolución judicial en la que —literalmente— se expresan dudas sobre posibles motivos espurios en el interés policial en la investigación y de las víctimas indirectas personadas como acusación particular. Y en tercer lugar, la falta de notificación de las resoluciones que acuerdan el sobreseimiento a las víctimas con el resultado práctico de la imposibilidad de ejercicio de sus pretensiones. Conforme a la doctrina jurisprudencial expuesta, tales resoluciones judiciales que acuerdan el sobreseimiento y rechazan investigar un posible homicidio, a pesar de las posibilidades reales de investigación planteadas para el esclarecimiento del hecho, vulneran claramente el derecho a la tutela judicial efectiva y la investigación penal suficiente y eficaz, en relación con el derecho a la vida (art. 15 CE) de los demandantes en amparo como víctimas indirectas del eventual delito de homicidio, personadas en la causa como acusación particular”.</w:t>
      </w:r>
    </w:p>
    <w:p w14:paraId="4E9571CE" w14:textId="77777777" w:rsidR="00A8138F" w:rsidRDefault="00A8138F" w:rsidP="00A8138F">
      <w:pPr>
        <w:pStyle w:val="TextoNormal"/>
      </w:pPr>
    </w:p>
    <w:p w14:paraId="6C907F62" w14:textId="537A9B45" w:rsidR="00A8138F" w:rsidRDefault="00A8138F" w:rsidP="00A8138F">
      <w:pPr>
        <w:pStyle w:val="TextoNormal"/>
      </w:pPr>
      <w:r>
        <w:t>Finalmente, el fiscal señala que la propuesta de otorgamiento del amparo por el primer motivo y la retroacción del procedimiento que alcanzaría al dictado de la primera resolución judicial impugnada harían innecesario el pronunciamiento sobre el segundo motivo de queja, si bien indica que igualmente se habría producido indefensión de los recurrentes en la no notificación de las resoluciones de sobreseimiento a las víctimas indirectas del delito y el rechazo por extemporáneos de los recursos de reforma y subsidiaria apelación interpuestos.</w:t>
      </w:r>
    </w:p>
    <w:p w14:paraId="1A828108" w14:textId="77777777" w:rsidR="00A8138F" w:rsidRDefault="00A8138F" w:rsidP="00A8138F">
      <w:pPr>
        <w:pStyle w:val="TextoNormal"/>
      </w:pPr>
    </w:p>
    <w:p w14:paraId="68A9F0A4" w14:textId="5A81B65E" w:rsidR="00A8138F" w:rsidRDefault="00A8138F" w:rsidP="00A8138F">
      <w:pPr>
        <w:pStyle w:val="TextoNormal"/>
      </w:pPr>
      <w:r w:rsidRPr="00A8138F">
        <w:rPr>
          <w:rStyle w:val="NumeroAFNegritaCaracter"/>
        </w:rPr>
        <w:t>10</w:t>
      </w:r>
      <w:r>
        <w:t>. Por diligencia de ordenación de la Secretaría de Justicia de 18 de julio de 2024, se hizo constar la recepción de los escritos de alegaciones, quedando pendiente el recurso para deliberación cuando por turno correspondiese.</w:t>
      </w:r>
    </w:p>
    <w:p w14:paraId="123DE27B" w14:textId="77777777" w:rsidR="00A8138F" w:rsidRDefault="00A8138F" w:rsidP="00A8138F">
      <w:pPr>
        <w:pStyle w:val="TextoNormal"/>
      </w:pPr>
    </w:p>
    <w:p w14:paraId="349405EE" w14:textId="420A0B94" w:rsidR="00A8138F" w:rsidRDefault="00A8138F" w:rsidP="00A8138F">
      <w:pPr>
        <w:pStyle w:val="TextoNormal"/>
      </w:pPr>
      <w:r w:rsidRPr="00A8138F">
        <w:rPr>
          <w:rStyle w:val="NumeroAFNegritaCaracter"/>
        </w:rPr>
        <w:t>11</w:t>
      </w:r>
      <w:r>
        <w:t>. Advertida la falta de actuaciones en la documentación previamente remitida, por diligencia de ordenación de 11 de febrero de 2025 de la Secretaría de Justicia de la Sección Segunda de la Sala Primera de este tribunal, se acordó requerir a la Sección Segunda de la Audiencia Provincial de Bizkaia para la remisión de testimonio de las actuaciones dictadas en el recurso de apelación 3-2025; así como al Juzgado de lo Penal núm. 5 de Bilbao a fin de que remitiese testimonio del procedimiento abreviado 65-2024 y las diligencias previas 1102-2021 del Juzgado de Instrucción núm. 5 de Bilbao.</w:t>
      </w:r>
    </w:p>
    <w:p w14:paraId="20A4941B" w14:textId="77777777" w:rsidR="00A8138F" w:rsidRDefault="00A8138F" w:rsidP="00A8138F">
      <w:pPr>
        <w:pStyle w:val="TextoNormal"/>
      </w:pPr>
    </w:p>
    <w:p w14:paraId="25CEDE21" w14:textId="77777777" w:rsidR="00A8138F" w:rsidRDefault="00A8138F" w:rsidP="00A8138F">
      <w:pPr>
        <w:pStyle w:val="TextoNormal"/>
      </w:pPr>
      <w:r w:rsidRPr="00A8138F">
        <w:rPr>
          <w:rStyle w:val="NumeroAFNegritaCaracter"/>
        </w:rPr>
        <w:t>12</w:t>
      </w:r>
      <w:r>
        <w:t>. Recibida la nueva documentación, por diligencia de ordenación de 24 de febrero de 2025 se acordó dar vista de la misma a las partes personadas y al Ministerio Fiscal para que, en el plazo de cinco días, pudieran formular las alegaciones que a su derecho conviniesen.</w:t>
      </w:r>
    </w:p>
    <w:p w14:paraId="1E17FAB6" w14:textId="77777777" w:rsidR="00A8138F" w:rsidRDefault="00A8138F" w:rsidP="00A8138F">
      <w:pPr>
        <w:pStyle w:val="TextoNormal"/>
      </w:pPr>
    </w:p>
    <w:p w14:paraId="211680ED" w14:textId="77777777" w:rsidR="00A8138F" w:rsidRDefault="00A8138F" w:rsidP="00A8138F">
      <w:pPr>
        <w:pStyle w:val="TextoNormal"/>
      </w:pPr>
      <w:r>
        <w:t xml:space="preserve">a) La representación procesal de los recurrentes presentó escrito de alegaciones, exponiendo el </w:t>
      </w:r>
      <w:r w:rsidRPr="00A8138F">
        <w:rPr>
          <w:i/>
        </w:rPr>
        <w:t>iter</w:t>
      </w:r>
      <w:r>
        <w:t xml:space="preserve"> procesal de la causa posterior a la interposición de su recurso de amparo y solicitando, al amparo del art. 56 LOTC, la suspensión cautelar de la tramitación del recurso de apelación interpuesto el 25 de noviembre de 2024 por la misma parte contra la sentencia núm. 357/2024, de 30 de octubre, del Juzgado de lo Penal núm. 5 de Bilbao, al objeto de garantizar la plena ejecución de la sentencia.</w:t>
      </w:r>
    </w:p>
    <w:p w14:paraId="3DCFB37C" w14:textId="77777777" w:rsidR="00A8138F" w:rsidRDefault="00A8138F" w:rsidP="00A8138F">
      <w:pPr>
        <w:pStyle w:val="TextoNormal"/>
      </w:pPr>
    </w:p>
    <w:p w14:paraId="7EF72BAA" w14:textId="592E58EC" w:rsidR="00A8138F" w:rsidRDefault="00A8138F" w:rsidP="00A8138F">
      <w:pPr>
        <w:pStyle w:val="TextoNormal"/>
      </w:pPr>
      <w:r>
        <w:t>b) Asimismo, el Ministerio Fiscal presentó sus alegaciones complementarias. En su escrito el fiscal recoge los hitos más relevantes de la causa que se derivan de la nueva documental aportada; señala que “el enjuiciamiento y la sentencia condenatoria impuesta a Nelson David Moreno Bolaños por delito continuado de estafa —que trae causa del uso de tarjetas de crédito sustraídas al fallecido— no impiden la investigación judicial por su presunta participación en la muerte de Raúl Carlos Torres Cid”, y mantiene las conclusiones del escrito de alegaciones previamente presentado, “si bien interesa que la retroacción de las actuaciones se extienda hasta el momento anterior al dictado del auto de 1 de junio de 2022 del Juzgado de Instrucción núm. 5 de Bilbao en las diligencias previas 1102-2021 que fija los hechos objeto de investigación para que por el juzgado se dicte otro respetuoso con el derecho fundamental vulnerado”.</w:t>
      </w:r>
    </w:p>
    <w:p w14:paraId="09EC57E7" w14:textId="77777777" w:rsidR="00A8138F" w:rsidRDefault="00A8138F" w:rsidP="00A8138F">
      <w:pPr>
        <w:pStyle w:val="TextoNormal"/>
      </w:pPr>
    </w:p>
    <w:p w14:paraId="3270E11B" w14:textId="2F788846" w:rsidR="00A8138F" w:rsidRDefault="00A8138F" w:rsidP="00A8138F">
      <w:pPr>
        <w:pStyle w:val="TextoNormal"/>
      </w:pPr>
      <w:r w:rsidRPr="00A8138F">
        <w:rPr>
          <w:rStyle w:val="NumeroAFNegritaCaracter"/>
        </w:rPr>
        <w:t>13</w:t>
      </w:r>
      <w:r>
        <w:t>. Por diligencia de ordenación de 18 de marzo de 2025 se hizo constar la recepción de los escritos de alegaciones.</w:t>
      </w:r>
    </w:p>
    <w:p w14:paraId="22A935B3" w14:textId="77777777" w:rsidR="00A8138F" w:rsidRDefault="00A8138F" w:rsidP="00A8138F">
      <w:pPr>
        <w:pStyle w:val="TextoNormal"/>
      </w:pPr>
    </w:p>
    <w:p w14:paraId="05D9C057" w14:textId="0DB4719F" w:rsidR="00A8138F" w:rsidRDefault="00A8138F" w:rsidP="00A8138F">
      <w:pPr>
        <w:pStyle w:val="TextoNormal"/>
      </w:pPr>
      <w:r w:rsidRPr="00A8138F">
        <w:rPr>
          <w:rStyle w:val="NumeroAFNegritaCaracter"/>
        </w:rPr>
        <w:t>14</w:t>
      </w:r>
      <w:r>
        <w:t>. Mediante providencia de 5 de junio de 2025, se señaló para la deliberación y votación de la presente sentencia el día 9 del mismo mes y año.</w:t>
      </w:r>
    </w:p>
    <w:p w14:paraId="2C78FA18" w14:textId="77777777" w:rsidR="00A8138F" w:rsidRDefault="00A8138F" w:rsidP="00A8138F">
      <w:pPr>
        <w:pStyle w:val="TextoNormal"/>
      </w:pPr>
    </w:p>
    <w:p w14:paraId="509677AA" w14:textId="77777777" w:rsidR="00A8138F" w:rsidRDefault="00A8138F" w:rsidP="00A8138F">
      <w:pPr>
        <w:pStyle w:val="TextoNormalNegritaCentrado"/>
        <w:keepNext/>
      </w:pPr>
      <w:r>
        <w:t>II. Fundamentos jurídicos</w:t>
      </w:r>
    </w:p>
    <w:p w14:paraId="1E012863" w14:textId="2D7730C3" w:rsidR="00A8138F" w:rsidRDefault="00A8138F" w:rsidP="00A8138F">
      <w:pPr>
        <w:pStyle w:val="TextoNormalNegritaCentrado"/>
        <w:keepNext/>
      </w:pPr>
    </w:p>
    <w:p w14:paraId="342ED489" w14:textId="77777777" w:rsidR="00A8138F" w:rsidRDefault="00A8138F" w:rsidP="00A8138F">
      <w:pPr>
        <w:pStyle w:val="TextoNormal"/>
      </w:pPr>
      <w:r w:rsidRPr="00A8138F">
        <w:rPr>
          <w:rStyle w:val="NumeroAFNegritaCaracter"/>
        </w:rPr>
        <w:t>1</w:t>
      </w:r>
      <w:r>
        <w:t xml:space="preserve">. </w:t>
      </w:r>
      <w:r w:rsidRPr="00A8138F">
        <w:rPr>
          <w:i/>
        </w:rPr>
        <w:t>Objeto del recurso de amparo y pretensiones de las partes</w:t>
      </w:r>
    </w:p>
    <w:p w14:paraId="1E218F51" w14:textId="77777777" w:rsidR="00A8138F" w:rsidRDefault="00A8138F" w:rsidP="00A8138F">
      <w:pPr>
        <w:pStyle w:val="TextoNormal"/>
      </w:pPr>
    </w:p>
    <w:p w14:paraId="53C6FD99" w14:textId="77777777" w:rsidR="00A8138F" w:rsidRDefault="00A8138F" w:rsidP="00A8138F">
      <w:pPr>
        <w:pStyle w:val="TextoNormal"/>
      </w:pPr>
      <w:r>
        <w:t>Se interpone el presente recurso de amparo contra la providencia de 5 de julio de 2022 dictada por el Juzgado de Instrucción núm. 5 de Bilbao en el procedimiento de diligencias previas núm. 1102-2021, así como contra el auto de 3 de enero de 2023 dictado por el mismo juzgado.</w:t>
      </w:r>
    </w:p>
    <w:p w14:paraId="3B247FF7" w14:textId="77777777" w:rsidR="00A8138F" w:rsidRDefault="00A8138F" w:rsidP="00A8138F">
      <w:pPr>
        <w:pStyle w:val="TextoNormal"/>
      </w:pPr>
    </w:p>
    <w:p w14:paraId="44B9522E" w14:textId="77777777" w:rsidR="00A8138F" w:rsidRDefault="00A8138F" w:rsidP="00A8138F">
      <w:pPr>
        <w:pStyle w:val="TextoNormal"/>
      </w:pPr>
      <w:r>
        <w:t>Los recurrentes formalizan varias quejas constitucionales, detalladas en el antecedente tercero de esta sentencia. En síntesis, en primer lugar, denuncian la vulneración del derecho a la vida (arts. 15 CE y 2 CEDH) en su vertiente procesal, en conexión con el derecho a la tutela judicial efectiva (arts. 24 CE y 6 CEDH). Alegan el incumplimiento de las obligaciones procesales en relación con el deber de investigar suficiente y eficazmente los hechos cuando una persona ha muerto en circunstancias en las que hay indicios que permiten cuestionar su muerte natural, como sucedería en el presente procedimiento. Señalan que el juzgado instructor denegó la práctica de diligencias necesarias para el debido esclarecimiento de los hechos por el fallecimiento de su hermano, pese a la diversidad de datos aportados por la policía y por ellos mismos a dicho órgano judicial, que hacía verosímil la hipótesis de un homicidio y no de una muerte por causas naturales, así como la identidad del posible autor del delito. Se quejan también de la ausencia de la debida motivación del sobreseimiento acordado.</w:t>
      </w:r>
    </w:p>
    <w:p w14:paraId="534B6961" w14:textId="77777777" w:rsidR="00A8138F" w:rsidRDefault="00A8138F" w:rsidP="00A8138F">
      <w:pPr>
        <w:pStyle w:val="TextoNormal"/>
      </w:pPr>
    </w:p>
    <w:p w14:paraId="7564A617" w14:textId="77777777" w:rsidR="00A8138F" w:rsidRDefault="00A8138F" w:rsidP="00A8138F">
      <w:pPr>
        <w:pStyle w:val="TextoNormal"/>
      </w:pPr>
      <w:r>
        <w:t>En segundo lugar, alegan los recurrentes la vulneración de su derecho a la tutela judicial efectiva sin sufrir indefensión (art. 24.1 CE) en relación con los arts. 6 y 13 CEDH, en su vertiente del derecho de las víctimas a la comunicación de las resoluciones dictadas en el procedimiento que afecta a sus derechos, al no haberles sido comunicado el auto de sobreseimiento. Como consecuencia de ello, anudan también las quejas de haber sido privados del acceso al recurso establecido por ley contra dicha resolución; su derecho de defensa y a obtener una resolución motivada en derecho.</w:t>
      </w:r>
    </w:p>
    <w:p w14:paraId="3503A6A0" w14:textId="77777777" w:rsidR="00A8138F" w:rsidRDefault="00A8138F" w:rsidP="00A8138F">
      <w:pPr>
        <w:pStyle w:val="TextoNormal"/>
      </w:pPr>
    </w:p>
    <w:p w14:paraId="6BC9C3E9" w14:textId="77777777" w:rsidR="00A8138F" w:rsidRDefault="00A8138F" w:rsidP="00A8138F">
      <w:pPr>
        <w:pStyle w:val="TextoNormal"/>
      </w:pPr>
      <w:r>
        <w:t>El fiscal ante este Tribunal Constitucional interesó por su parte: (i) el otorgamiento del amparo solicitado por los demandantes y, en consecuencia, la declaración de que ha sido vulnerado su derecho a la tutela judicial efectiva (art. 24.1 CE) en relación con el derecho a la vida (art. 15 CE); (ii) el restablecimiento a los demandantes en su derecho, declarando la nulidad de la providencia de 5 de julio de 2022 y el auto de 3 de enero de 2023 del Juzgado de Instrucción núm. 5 de Bilbao; y (iii) la retroacción de las actuaciones al momento anterior al dictado del auto de 1 de junio de 2022 del Juzgado de Instrucción núm. 5 de Bilbao, para que el mismo procediese en términos respetuosos con el derecho fundamental vulnerado.</w:t>
      </w:r>
    </w:p>
    <w:p w14:paraId="28A1B6F6" w14:textId="77777777" w:rsidR="00A8138F" w:rsidRDefault="00A8138F" w:rsidP="00A8138F">
      <w:pPr>
        <w:pStyle w:val="TextoNormal"/>
      </w:pPr>
    </w:p>
    <w:p w14:paraId="282D5583" w14:textId="6FC9D943" w:rsidR="00A8138F" w:rsidRDefault="00A8138F" w:rsidP="00A8138F">
      <w:pPr>
        <w:pStyle w:val="TextoNormal"/>
      </w:pPr>
      <w:r>
        <w:t>Don Nelson David Moreno Bolaños, pese a haber sido aceptada su personación como parte, por haberlo sido en el procedimiento penal de origen como investigado, no ha formulado alegaciones en este proceso constitucional.</w:t>
      </w:r>
    </w:p>
    <w:p w14:paraId="0E061C2F" w14:textId="77777777" w:rsidR="00A8138F" w:rsidRDefault="00A8138F" w:rsidP="00A8138F">
      <w:pPr>
        <w:pStyle w:val="TextoNormal"/>
      </w:pPr>
    </w:p>
    <w:p w14:paraId="68369170" w14:textId="77777777" w:rsidR="00A8138F" w:rsidRDefault="00A8138F" w:rsidP="00A8138F">
      <w:pPr>
        <w:pStyle w:val="TextoNormal"/>
      </w:pPr>
      <w:r w:rsidRPr="00A8138F">
        <w:rPr>
          <w:rStyle w:val="NumeroAFNegritaCaracter"/>
        </w:rPr>
        <w:t>2</w:t>
      </w:r>
      <w:r>
        <w:t xml:space="preserve">. </w:t>
      </w:r>
      <w:r w:rsidRPr="00A8138F">
        <w:rPr>
          <w:i/>
        </w:rPr>
        <w:t>Alcance y orden de la contestación a las quejas planteadas en la demanda de amparo</w:t>
      </w:r>
    </w:p>
    <w:p w14:paraId="2B9E1D1D" w14:textId="77777777" w:rsidR="00A8138F" w:rsidRDefault="00A8138F" w:rsidP="00A8138F">
      <w:pPr>
        <w:pStyle w:val="TextoNormal"/>
      </w:pPr>
    </w:p>
    <w:p w14:paraId="77C831AB" w14:textId="77777777" w:rsidR="00A8138F" w:rsidRDefault="00A8138F" w:rsidP="00A8138F">
      <w:pPr>
        <w:pStyle w:val="TextoNormal"/>
      </w:pPr>
      <w:r>
        <w:t>Como hemos recordado en la STC 70/2024, de 6 de mayo, FJ 2: “Es jurisprudencia consolidada que corresponde a este tribunal determinar tanto el orden del examen de las quejas, como la necesidad o conveniencia de pronunciarse en sentencia sobre todas las lesiones de derechos constitucionales denunciadas, en el caso de que ya se haya apreciado la concurrencia de alguna de ellas (entre otras, SSTC 115/2002, de 20 de mayo, FJ 3; 65/2003, de 7 de abril, FJ 2; 78/2019, de 3 de junio, FJ 2, y 26/2020, de 24 de febrero, FJ 3)”. En el mismo sentido, STC 117/2025, de 13 de mayo, FJ 3, del Pleno.</w:t>
      </w:r>
    </w:p>
    <w:p w14:paraId="1C848C29" w14:textId="77777777" w:rsidR="00A8138F" w:rsidRDefault="00A8138F" w:rsidP="00A8138F">
      <w:pPr>
        <w:pStyle w:val="TextoNormal"/>
      </w:pPr>
    </w:p>
    <w:p w14:paraId="47B52382" w14:textId="7CCCC1B2" w:rsidR="00A8138F" w:rsidRDefault="00A8138F" w:rsidP="00A8138F">
      <w:pPr>
        <w:pStyle w:val="TextoNormal"/>
      </w:pPr>
      <w:r>
        <w:t>En el presente caso, es decisión de la Sala que se fije doctrina sobre las dos quejas deducidas en la demanda de amparo, dada la importancia de cada una de ellas, lo que ha determinado su admisión por la especial trascendencia constitucional del recurso, y por guardar cierta conexión entre sí, como luego se verá. Seguiremos para ello el orden propuesto en el escrito de los recurrentes, examinando en primer término la queja relativa a la vulneración del derecho a la vida (arts. 15 CE y 2 CEDH) en su vertiente procesal, en conexión con el derecho a la tutela judicial efectiva (arts. 24 CE y 6 CEDH).</w:t>
      </w:r>
    </w:p>
    <w:p w14:paraId="7FF33753" w14:textId="77777777" w:rsidR="00A8138F" w:rsidRDefault="00A8138F" w:rsidP="00A8138F">
      <w:pPr>
        <w:pStyle w:val="TextoNormal"/>
      </w:pPr>
    </w:p>
    <w:p w14:paraId="1FA216E4" w14:textId="77777777" w:rsidR="00A8138F" w:rsidRDefault="00A8138F" w:rsidP="00A8138F">
      <w:pPr>
        <w:pStyle w:val="TextoNormal"/>
      </w:pPr>
      <w:r w:rsidRPr="00A8138F">
        <w:rPr>
          <w:rStyle w:val="NumeroAFNegritaCaracter"/>
        </w:rPr>
        <w:t>3</w:t>
      </w:r>
      <w:r>
        <w:t xml:space="preserve">. </w:t>
      </w:r>
      <w:r w:rsidRPr="00A8138F">
        <w:rPr>
          <w:i/>
        </w:rPr>
        <w:t>Doctrina constitucional sobre el derecho a la tutela judicial efectiva (art. 24.1 CE) y el ejercicio de la acción penal</w:t>
      </w:r>
    </w:p>
    <w:p w14:paraId="5B43C61E" w14:textId="77777777" w:rsidR="00A8138F" w:rsidRDefault="00A8138F" w:rsidP="00A8138F">
      <w:pPr>
        <w:pStyle w:val="TextoNormal"/>
      </w:pPr>
    </w:p>
    <w:p w14:paraId="51172282" w14:textId="77777777" w:rsidR="00A8138F" w:rsidRDefault="00A8138F" w:rsidP="00A8138F">
      <w:pPr>
        <w:pStyle w:val="TextoNormal"/>
      </w:pPr>
      <w:r>
        <w:t xml:space="preserve">Este tribunal ha declarado reiteradamente que el derecho a la tutela judicial efectiva, en su vertiente del derecho de acceso a la jurisdicción mediante el ejercicio de la acción penal, se configura como un </w:t>
      </w:r>
      <w:r w:rsidRPr="00A8138F">
        <w:rPr>
          <w:i/>
        </w:rPr>
        <w:t>ius ut procedatur</w:t>
      </w:r>
      <w:r>
        <w:t>, cuyo examen constitucional opera desde la perspectiva del art. 24.1 CE, siéndole asimismo aplicables las garantías del art. 24.2 CE (SSTC 31/1996, de 27 de febrero, FJ 10; 199/1996, de 3 de diciembre, FJ 5; 41/1997, de 10 de marzo, FJ 5, o 218/1997, de 4 de diciembre, FJ 2).</w:t>
      </w:r>
    </w:p>
    <w:p w14:paraId="609E861D" w14:textId="77777777" w:rsidR="00A8138F" w:rsidRDefault="00A8138F" w:rsidP="00A8138F">
      <w:pPr>
        <w:pStyle w:val="TextoNormal"/>
      </w:pPr>
    </w:p>
    <w:p w14:paraId="5D98CFA2" w14:textId="77777777" w:rsidR="00A8138F" w:rsidRDefault="00A8138F" w:rsidP="00A8138F">
      <w:pPr>
        <w:pStyle w:val="TextoNormal"/>
      </w:pPr>
      <w:r>
        <w:t>Como se recoge en la STC 87/2020, de 20 de julio, FJ 3 A), sus notas características son:</w:t>
      </w:r>
    </w:p>
    <w:p w14:paraId="38A7852E" w14:textId="77777777" w:rsidR="00A8138F" w:rsidRDefault="00A8138F" w:rsidP="00A8138F">
      <w:pPr>
        <w:pStyle w:val="TextoNormal"/>
      </w:pPr>
    </w:p>
    <w:p w14:paraId="2FFAE05C" w14:textId="77777777" w:rsidR="00A8138F" w:rsidRDefault="00A8138F" w:rsidP="00A8138F">
      <w:pPr>
        <w:pStyle w:val="TextoNormal"/>
      </w:pPr>
      <w:r>
        <w:t>“a) El ejercicio de la acción penal no otorga a sus titulares un derecho incondicionado a la apertura y plena sustanciación del proceso penal; tampoco impone a los órganos judiciales la obligación de realizar una investigación más allá de lo necesario, alargando indebidamente la instrucción o el proceso (SSTC 176/2006, de 5 de junio, FFJJ 2 y 4; 34/2008, de 25 de febrero, FJ 2, o 26/2018, de 25 de febrero, FJ 2).</w:t>
      </w:r>
    </w:p>
    <w:p w14:paraId="6A643D9D" w14:textId="77777777" w:rsidR="00A8138F" w:rsidRDefault="00A8138F" w:rsidP="00A8138F">
      <w:pPr>
        <w:pStyle w:val="TextoNormal"/>
      </w:pPr>
    </w:p>
    <w:p w14:paraId="19F41CFF" w14:textId="77777777" w:rsidR="00A8138F" w:rsidRDefault="00A8138F" w:rsidP="00A8138F">
      <w:pPr>
        <w:pStyle w:val="TextoNormal"/>
      </w:pPr>
      <w:r>
        <w:t xml:space="preserve">b) El querellante o denunciante ostenta, como titular del </w:t>
      </w:r>
      <w:r w:rsidRPr="00A8138F">
        <w:rPr>
          <w:i/>
        </w:rPr>
        <w:t>ius ut procedatur</w:t>
      </w:r>
      <w:r>
        <w:t xml:space="preserve">, el derecho a poner en marcha un proceso penal, a que el mismo se sustancie de conformidad con las reglas del proceso justo y a obtener en él una respuesta razonable y fundada en derecho (SSTC 120/2000, de 10 de mayo, FJ 4, o 12/2006, de 16 de enero, FJ 2), pero no incluye el derecho material a obtener una condena y a la imposición de una pena, pues el </w:t>
      </w:r>
      <w:r w:rsidRPr="00A8138F">
        <w:rPr>
          <w:i/>
        </w:rPr>
        <w:t>ius puniendi</w:t>
      </w:r>
      <w:r>
        <w:t xml:space="preserve"> es de naturaleza exclusivamente pública y su titularidad corresponde al Estado [SSTC 157/1990, de 18 de octubre (Pleno); 232/1998, de 1 de diciembre, FJ 2; 34/2008, de 25 de febrero, FJ 3, y 26/2018, de 5 de marzo, FJ 3, entre otras].</w:t>
      </w:r>
    </w:p>
    <w:p w14:paraId="0AE10E58" w14:textId="77777777" w:rsidR="00A8138F" w:rsidRDefault="00A8138F" w:rsidP="00A8138F">
      <w:pPr>
        <w:pStyle w:val="TextoNormal"/>
      </w:pPr>
    </w:p>
    <w:p w14:paraId="0CF7BFD8" w14:textId="77777777" w:rsidR="00A8138F" w:rsidRDefault="00A8138F" w:rsidP="00A8138F">
      <w:pPr>
        <w:pStyle w:val="TextoNormal"/>
      </w:pPr>
      <w:r>
        <w:t>c) La tutela judicial efectiva del denunciante o querellante es satisfecha por la resolución judicial que acuerde la terminación anticipada del proceso penal, sin apertura de la fase de plenario, cuando aquella se asiente sobre una razonada y razonable concurrencia de los motivos legalmente previstos para acordar el sobreseimiento, libre o provisional (arts. 637 y 641 LECrim y, dado el caso, art. 779.1.1 LECrim). Por el contrario, habrá vulneración de este derecho si la decisión judicial de no proseguir con la indagación penal afecta, en cualquiera de esos momentos procesales, a diligencias oportunamente solicitadas por el recurrente, parte en el proceso judicial, que incidan en su derecho a la utilización de medios de prueba; o también cuando, realizadas estas de modo bastante, se vea afectada la determinación de lo sucedido a partir de las mismas o bien la calificación jurídica de los hechos que se constatan (STC 26/2018, de 5 de marzo, FJ 3).</w:t>
      </w:r>
    </w:p>
    <w:p w14:paraId="425EFC6E" w14:textId="77777777" w:rsidR="00A8138F" w:rsidRDefault="00A8138F" w:rsidP="00A8138F">
      <w:pPr>
        <w:pStyle w:val="TextoNormal"/>
      </w:pPr>
    </w:p>
    <w:p w14:paraId="5557311A" w14:textId="77777777" w:rsidR="00A8138F" w:rsidRDefault="00A8138F" w:rsidP="00A8138F">
      <w:pPr>
        <w:pStyle w:val="TextoNormal"/>
      </w:pPr>
      <w:r>
        <w:t>d) La efectividad del derecho a la tutela judicial coincidirá en estos casos con la suficiencia de la indagación judicial. Dependerá, pues, no solo de que la decisión de sobreseimiento esté motivada y jurídicamente fundada, sino también de que la investigación de lo denunciado haya sido suficiente y efectiva, ya que la tutela que se solicita consiste inicialmente en que se indague sobre lo acaecido.</w:t>
      </w:r>
    </w:p>
    <w:p w14:paraId="5CCA96F3" w14:textId="77777777" w:rsidR="00A8138F" w:rsidRDefault="00A8138F" w:rsidP="00A8138F">
      <w:pPr>
        <w:pStyle w:val="TextoNormal"/>
      </w:pPr>
    </w:p>
    <w:p w14:paraId="0C56DB04" w14:textId="77777777" w:rsidR="00A8138F" w:rsidRDefault="00A8138F" w:rsidP="00A8138F">
      <w:pPr>
        <w:pStyle w:val="TextoNormal"/>
      </w:pPr>
      <w:r>
        <w:t>e) La suficiencia y efectividad de la investigación solo pueden evaluarse valorando las concretas circunstancias de la denuncia y de lo denunciado, así como la gravedad de lo denunciado y su previa opacidad (SSTC 34/2008, FJ 4, y 26/2018, FJ 3), de tal manera que habrá vulneración del derecho a la tutela judicial efectiva cuando no se abra o se clausure la instrucción existiendo sospechas razonables de la posible comisión de un delito y revelándose tales sospechas como susceptibles de ser despejadas mediante la investigación. Esta exigencia no comporta la apertura de la instrucción en todo caso, del mismo modo que no impide su clausura temprana. Tampoco existe un derecho a la práctica ilimitada de la prueba, de manera tal que imponga la realización de cuantas diligencias de investigación se perciban como posibles o imaginables, propuestas por las partes o practicadas de oficio, particularmente si resulta evidente que el despliegue de mayores diligencias deviene innecesario. Semejante obligación conduciría a instrucciones inútiles en perjuicio del interés general en una gestión racional y eficaz de los recursos de la administración de justicia (SSTC 34/2008, de 25 de febrero, FJ 6; 63/2010, de 18 de octubre, FJ 2; 131/2012, de 18 de junio, FJ 2, y 153/2013, de 9 de septiembre)”.</w:t>
      </w:r>
    </w:p>
    <w:p w14:paraId="1ED49820" w14:textId="77777777" w:rsidR="00A8138F" w:rsidRDefault="00A8138F" w:rsidP="00A8138F">
      <w:pPr>
        <w:pStyle w:val="TextoNormal"/>
      </w:pPr>
    </w:p>
    <w:p w14:paraId="42871090" w14:textId="77777777" w:rsidR="00A8138F" w:rsidRDefault="00A8138F" w:rsidP="00A8138F">
      <w:pPr>
        <w:pStyle w:val="TextoNormal"/>
      </w:pPr>
      <w:r>
        <w:t>Asimismo, este tribunal ha declarado reiteradamente que “las exigencias del derecho a la tutela judicial efectiva serán distintas y más estrictas, ‘reforzadas’ (SSTC 63/2005, de 14 de marzo, FJ 3, y 224/2007, de 22 de octubre, FJ 3), cuando, a pesar de que la decisión judicial no se refiera directamente a la preservación o a los límites de un derecho fundamental, uno de estos derechos, distinto al de la propia tutela judicial, esté implicado (STC 11/2004, de 9 de febrero, FJ 2), vinculado (STC 180/2005, de 4 de julio, FJ 7), conectado (SSTC 11/2004, de 9 de febrero, FJ 2, y 71/004, de 19 de abril, FJ 4), en juego (STC 115/2003, de 16 de junio, FJ 3), o afectado (SSTC 186/2003, de 27 de octubre, FJ 5, y 192/2003, de 27 de octubre, FJ 3) por tal decisión”.</w:t>
      </w:r>
    </w:p>
    <w:p w14:paraId="74EC9989" w14:textId="77777777" w:rsidR="00A8138F" w:rsidRDefault="00A8138F" w:rsidP="00A8138F">
      <w:pPr>
        <w:pStyle w:val="TextoNormal"/>
      </w:pPr>
    </w:p>
    <w:p w14:paraId="347B1EE0" w14:textId="77777777" w:rsidR="00A8138F" w:rsidRDefault="00A8138F" w:rsidP="00A8138F">
      <w:pPr>
        <w:pStyle w:val="TextoNormal"/>
      </w:pPr>
      <w:r>
        <w:t>Según indicamos en la STC 87/2020, FJ 3 C) a), con remisión a la STC 106/2011, “[e]stamos en estos casos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solo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solo una de las hipótesis posibles’ (SSTC 196/2005, de 18 de julio, FJ 3; 74/2007, de 16 de abril, FJ 3, y 34/2008, de 25 de febrero, FJ 3)”.</w:t>
      </w:r>
    </w:p>
    <w:p w14:paraId="5B39F5ED" w14:textId="77777777" w:rsidR="00A8138F" w:rsidRDefault="00A8138F" w:rsidP="00A8138F">
      <w:pPr>
        <w:pStyle w:val="TextoNormal"/>
      </w:pPr>
    </w:p>
    <w:p w14:paraId="4AAE5B2E" w14:textId="0CCA4DC2" w:rsidR="00A8138F" w:rsidRDefault="00A8138F" w:rsidP="00A8138F">
      <w:pPr>
        <w:pStyle w:val="TextoNormal"/>
      </w:pPr>
      <w:r>
        <w:t>Por ello, de nuevo con cita de la STC 87/2020, FJ 3 C) a), en tales supuestos el art. 24.1 CE exige, además de una resolución motivada y fundada en Derecho, una resolución coherente con el derecho fundamental que está en juego (STC 63/2005, de 17 de marzo, FJ 3). Sobre todo es necesario que la resolución judicial sea “conforme” con el mismo (STC 24/2005, de 14 de febrero, FJ 3), “compatible” con él (STC 196/2005, de 18 de julio, FJ 4), esto es, que exprese o trasluzca “una argumentación axiológica que sea respetuosa” con su contenido (STC 63/2005, de 17 de marzo, FJ 3). De este modo, como subrayaba la STC 224/2007, de 22 de octubre, es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modo constitucionalmente adecuado las razones justificativas de las decisiones adoptadas” (FJ 3). En estos casos, la evaluación de la efectividad y de la suficiencia de la tutela judicial dispensada coincidirá con la suficiencia de la indagación judicial y dependerá, no solo de que las decisiones impugnadas de cierre de la misma estén motivadas y jurídicamente fundadas, sino también de que sean conformes con el derecho fundamental que se invoca como lesionado.</w:t>
      </w:r>
    </w:p>
    <w:p w14:paraId="07FD4947" w14:textId="77777777" w:rsidR="00A8138F" w:rsidRDefault="00A8138F" w:rsidP="00A8138F">
      <w:pPr>
        <w:pStyle w:val="TextoNormal"/>
      </w:pPr>
    </w:p>
    <w:p w14:paraId="2F6FA671" w14:textId="77777777" w:rsidR="00A8138F" w:rsidRDefault="00A8138F" w:rsidP="00A8138F">
      <w:pPr>
        <w:pStyle w:val="TextoNormal"/>
      </w:pPr>
      <w:r w:rsidRPr="00A8138F">
        <w:rPr>
          <w:rStyle w:val="NumeroAFNegritaCaracter"/>
        </w:rPr>
        <w:t>4</w:t>
      </w:r>
      <w:r>
        <w:t xml:space="preserve">. </w:t>
      </w:r>
      <w:r w:rsidRPr="00A8138F">
        <w:rPr>
          <w:i/>
        </w:rPr>
        <w:t>Doctrina constitucional sobre el derecho a una investigación suficiente y eficaz en ámbitos reconocidos por la jurisprudencia del Tribunal Europeo de Derechos Humanos</w:t>
      </w:r>
    </w:p>
    <w:p w14:paraId="665840F7" w14:textId="77777777" w:rsidR="00A8138F" w:rsidRDefault="00A8138F" w:rsidP="00A8138F">
      <w:pPr>
        <w:pStyle w:val="TextoNormal"/>
      </w:pPr>
    </w:p>
    <w:p w14:paraId="5097A3F4" w14:textId="77777777" w:rsidR="00A8138F" w:rsidRDefault="00A8138F" w:rsidP="00A8138F">
      <w:pPr>
        <w:pStyle w:val="TextoNormal"/>
      </w:pPr>
      <w:r>
        <w:t>Este Tribunal Constitucional, atendiendo a la importancia que tiene la cláusula del art. 10.2 de nuestra Carta Magna como fuente de interpretación de los derechos fundamentales reconocidos por esta, y al necesario diálogo entre tribunales que debemos mantener con el Tribunal Europeo de Derechos Humanos, garante último de los derechos reconocidos en el Convenio de Roma de 1950, instrumento este que a su vez forma parte de nuestro ordenamiento interno, ha venido asumiendo de manera paulatina los postulados del Tribunal Europeo en torno al concepto de “investigación suficiente y eficaz”, entendido como un deber especial de diligencia que cabe exigir a los órganos judiciales encargados de la investigación de delitos, en determinados supuestos en los que están concernida la posible conculcación de derechos humanos de carácter material, tales como el derecho a la vida (art. 2 CEDH) o el derecho a la integridad física y psíquica (art. 3 CEDH, en relación con el derecho a la vida privada familiar —art. 8 CEDH—).</w:t>
      </w:r>
    </w:p>
    <w:p w14:paraId="2A2BF23C" w14:textId="77777777" w:rsidR="00A8138F" w:rsidRDefault="00A8138F" w:rsidP="00A8138F">
      <w:pPr>
        <w:pStyle w:val="TextoNormal"/>
      </w:pPr>
    </w:p>
    <w:p w14:paraId="4681FB00" w14:textId="77777777" w:rsidR="00A8138F" w:rsidRDefault="00A8138F" w:rsidP="00A8138F">
      <w:pPr>
        <w:pStyle w:val="TextoNormal"/>
      </w:pPr>
      <w:r>
        <w:t>Procede por tanto identificar cuáles son, a día de hoy, los ámbitos reconocidos por el Tribunal de Estrasburgo que ya hemos integrado en nuestra doctrina, debiendo adelantarse que la presente sentencia incorporará un nuevo supuesto a ese listado, con arreglo a las razones que luego expondremos.</w:t>
      </w:r>
    </w:p>
    <w:p w14:paraId="6D541E52" w14:textId="77777777" w:rsidR="00A8138F" w:rsidRDefault="00A8138F" w:rsidP="00A8138F">
      <w:pPr>
        <w:pStyle w:val="TextoNormal"/>
      </w:pPr>
    </w:p>
    <w:p w14:paraId="018F6C70" w14:textId="77777777" w:rsidR="00A8138F" w:rsidRDefault="00A8138F" w:rsidP="00A8138F">
      <w:pPr>
        <w:pStyle w:val="TextoNormal"/>
      </w:pPr>
      <w:r>
        <w:t xml:space="preserve">A) </w:t>
      </w:r>
      <w:r w:rsidRPr="00A8138F">
        <w:rPr>
          <w:i/>
        </w:rPr>
        <w:t>Doctrina constitucional en materia de investigación judicial de denuncias por torturas y tratos inhumanos o degradantes bajo custodia policial o en el contexto de actuación de agentes estatales</w:t>
      </w:r>
    </w:p>
    <w:p w14:paraId="0407C644" w14:textId="77777777" w:rsidR="00A8138F" w:rsidRDefault="00A8138F" w:rsidP="00A8138F">
      <w:pPr>
        <w:pStyle w:val="TextoNormal"/>
      </w:pPr>
    </w:p>
    <w:p w14:paraId="0E8585BB" w14:textId="77777777" w:rsidR="00A8138F" w:rsidRDefault="00A8138F" w:rsidP="00A8138F">
      <w:pPr>
        <w:pStyle w:val="TextoNormal"/>
      </w:pPr>
      <w:r>
        <w:t>a) Ante todo y como recuerda la citada STC 34/2008, de 25 de febrero: “la suficiencia de la investigación judicial no puede ser resuelta solo con criterios abstractos, sino en función tanto de los datos que se aportaron inicialmente a la instrucción y de los después conocidos, que aportaban o eliminaban argumentos para continuarla o para darla por terminada, como de la gravedad de los hechos investigados y de la dificultad propia de la investigación, que pueden exigir nuevas y más incisivas diligencias que en otro tipo de causas serían innecesarias (FJ 4)” (STC 106/2011, de 20 de junio, FJ 2).</w:t>
      </w:r>
    </w:p>
    <w:p w14:paraId="379564A4" w14:textId="77777777" w:rsidR="00A8138F" w:rsidRDefault="00A8138F" w:rsidP="00A8138F">
      <w:pPr>
        <w:pStyle w:val="TextoNormal"/>
      </w:pPr>
    </w:p>
    <w:p w14:paraId="14F73A62" w14:textId="77777777" w:rsidR="00A8138F" w:rsidRDefault="00A8138F" w:rsidP="00A8138F">
      <w:pPr>
        <w:pStyle w:val="TextoNormal"/>
      </w:pPr>
      <w:r>
        <w:t>Así las cosas, este tribunal ha establecido una consolidada doctrina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torturas o tratos inhumanos o degradantes bajo custodia policial, en los que se constata que no se llevaron a cabo diligencias pertinentes para el esclarecimiento de los hechos, en orden a una investigación suficiente y eficaz: SSTC 224/2007, de 22 de octubre; 34/2008, de 25 de febrero; 52/2008, de 14 de abril; 69/2008, de 23 de junio; 107/2008, de 22 de septiembre; 63/2010, de 18 de octubre; 131/2012, de 18 de junio; 12/2013, de 28 de enero; 153/2013, de 9 de septiembre; 130/2016, de 18 de julio; 144/2016, de 19 de septiembre; 39/2017, de 24 de abril; 166/2021, de 4 de octubre, FJ 3; 13/2022, de 7 de febrero; 33/2024, de 11 de marzo; 35/2024, de 11 de marzo, y 144/2024, de 2 de diciembre.</w:t>
      </w:r>
    </w:p>
    <w:p w14:paraId="45530C92" w14:textId="77777777" w:rsidR="00A8138F" w:rsidRDefault="00A8138F" w:rsidP="00A8138F">
      <w:pPr>
        <w:pStyle w:val="TextoNormal"/>
      </w:pPr>
    </w:p>
    <w:p w14:paraId="4EAF37D0" w14:textId="77777777" w:rsidR="00A8138F" w:rsidRDefault="00A8138F" w:rsidP="00A8138F">
      <w:pPr>
        <w:pStyle w:val="TextoNormal"/>
      </w:pPr>
      <w:r>
        <w:t>Más específicamente, en el contexto de actuaciones de funcionarios en el ámbito penitenciario, nos hemos pronunciado en las SSTC 40/2010, de 19 de julio; 12/2022, de 7 de febrero, y 105/2024, de 9 de septiembre.</w:t>
      </w:r>
    </w:p>
    <w:p w14:paraId="31584652" w14:textId="77777777" w:rsidR="00A8138F" w:rsidRDefault="00A8138F" w:rsidP="00A8138F">
      <w:pPr>
        <w:pStyle w:val="TextoNormal"/>
      </w:pPr>
    </w:p>
    <w:p w14:paraId="51088F95" w14:textId="77777777" w:rsidR="00A8138F" w:rsidRDefault="00A8138F" w:rsidP="00A8138F">
      <w:pPr>
        <w:pStyle w:val="TextoNormal"/>
      </w:pPr>
      <w:r>
        <w:t>La citada STC 144/2024, FJ 4, sintetiza los pronunciamientos anteriores de este tribunal en la materia, con lógica referencia a la jurisprudencia del Tribunal Europeo de Derechos Humanos:</w:t>
      </w:r>
    </w:p>
    <w:p w14:paraId="559311FE" w14:textId="77777777" w:rsidR="00A8138F" w:rsidRDefault="00A8138F" w:rsidP="00A8138F">
      <w:pPr>
        <w:pStyle w:val="TextoNormal"/>
      </w:pPr>
    </w:p>
    <w:p w14:paraId="7E7CF218" w14:textId="77777777" w:rsidR="00A8138F" w:rsidRDefault="00A8138F" w:rsidP="00A8138F">
      <w:pPr>
        <w:pStyle w:val="TextoNormal"/>
      </w:pPr>
      <w:r>
        <w:t>“El Tribunal Constitucional ha establecido una consolidada doctrina acerca de las exigencias constitucionales del derecho a la tutela judicial efectiva (art. 24.1 CE) en relación con el derecho a no ser sometido a torturas ni a tratos inhumanos o degradantes (art. 15 CE), en los supuestos de sobreseimiento y archivo del procedimiento instructor incoado por denuncias de haber sufrido torturas o malos tratos bajo custodia policial o en el contexto de actuaciones de agentes estatales (entre otras muchas, SSTC 34/2008, de 25 de febrero; 1/2024, de 15 de enero, y 33/2024 y 35/2024, de 11 de marzo).</w:t>
      </w:r>
    </w:p>
    <w:p w14:paraId="00105194" w14:textId="77777777" w:rsidR="00A8138F" w:rsidRDefault="00A8138F" w:rsidP="00A8138F">
      <w:pPr>
        <w:pStyle w:val="TextoNormal"/>
      </w:pPr>
    </w:p>
    <w:p w14:paraId="7D214F12" w14:textId="77777777" w:rsidR="00A8138F" w:rsidRDefault="00A8138F" w:rsidP="00A8138F">
      <w:pPr>
        <w:pStyle w:val="TextoNormal"/>
      </w:pPr>
      <w:r>
        <w:t xml:space="preserve">Esta jurisprudencia constitucional, inevitablemente ligada con la doctrina del Tribunal Europeo de Derechos Humanos, impone a los órganos judiciales una diligencia reforzada en la investigación de estos delitos. La exigencia de una investigación suficiente y eficaz deriva del art. 3 CEDH que, en términos prácticamente idénticos al art. 15 CE, dispone que ‘nadie podrá ser sometido a tortura ni a penas o tratos inhumanos o degradantes’, precepto que consagra uno de los valores fundamentales de las sociedades democráticas y un derecho absoluto e inalienable estrechamente vinculado con el respeto de la dignidad humana (SSTEDH de 1 de junio de 2010, asunto </w:t>
      </w:r>
      <w:r w:rsidRPr="00A8138F">
        <w:rPr>
          <w:i/>
        </w:rPr>
        <w:t>Gäfgen c. Alemania</w:t>
      </w:r>
      <w:r>
        <w:t xml:space="preserve">, § 107, y de 28 de septiembre de 2015, asunto </w:t>
      </w:r>
      <w:r w:rsidRPr="00A8138F">
        <w:rPr>
          <w:i/>
        </w:rPr>
        <w:t>Bouyid c. Bélgica</w:t>
      </w:r>
      <w:r>
        <w:t>, § 81).</w:t>
      </w:r>
    </w:p>
    <w:p w14:paraId="098F951F" w14:textId="77777777" w:rsidR="00A8138F" w:rsidRDefault="00A8138F" w:rsidP="00A8138F">
      <w:pPr>
        <w:pStyle w:val="TextoNormal"/>
      </w:pPr>
    </w:p>
    <w:p w14:paraId="1EE32782" w14:textId="77777777" w:rsidR="00A8138F" w:rsidRDefault="00A8138F" w:rsidP="00A8138F">
      <w:pPr>
        <w:pStyle w:val="TextoNormal"/>
      </w:pPr>
      <w:r>
        <w:t>En nuestra doctrina, la exigencia de llevar a cabo una investigación suficiente y eficaz de esta clase de denuncias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de que sean acordes con la prohibición absoluta de las conductas denunciadas, según un parámetro de control constitucional reforzado. La función del Tribunal Constitucional tiene por objeto la protección de los derechos fundamentales afectados, sin perjuicio de la calificación jurídico-penal que corresponde realizar a la jurisdicción ordinaria’ [SSTC 12/2022, de 7 de febrero, FJ 2 (i), y 33/2024, de 11 de marzo, FJ 2 (i)].</w:t>
      </w:r>
    </w:p>
    <w:p w14:paraId="4C18A5CF" w14:textId="77777777" w:rsidR="00A8138F" w:rsidRDefault="00A8138F" w:rsidP="00A8138F">
      <w:pPr>
        <w:pStyle w:val="TextoNormal"/>
      </w:pPr>
    </w:p>
    <w:p w14:paraId="668D6A40" w14:textId="77777777" w:rsidR="00A8138F" w:rsidRDefault="00A8138F" w:rsidP="00A8138F">
      <w:pPr>
        <w:pStyle w:val="TextoNormal"/>
      </w:pPr>
      <w:r>
        <w:t>Este tribunal ha reiterado que ‘[e]xiste una especial exigencia de desarrollar una exhaustiva investigación en relación con las denuncias de este tipo de conductas contrarias al art. 15 CE,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 [SSTC 12/2022, de 7 de febrero, FJ 2 (ii), y 33/2024, de 11 de marzo, FJ 2 (iii)].</w:t>
      </w:r>
    </w:p>
    <w:p w14:paraId="4E46B17A" w14:textId="77777777" w:rsidR="00A8138F" w:rsidRDefault="00A8138F" w:rsidP="00A8138F">
      <w:pPr>
        <w:pStyle w:val="TextoNormal"/>
      </w:pPr>
    </w:p>
    <w:p w14:paraId="5ECFAE05" w14:textId="77777777" w:rsidR="00A8138F" w:rsidRDefault="00A8138F" w:rsidP="00A8138F">
      <w:pPr>
        <w:pStyle w:val="TextoNormal"/>
      </w:pPr>
      <w:r>
        <w:t xml:space="preserve">La suficiencia y efectividad de la instrucción judicial y la necesidad de perseverar en la práctica de nuevas diligencias de investigación, ‘deben evaluarse atendiendo a las circunstancias concretas de la denuncia y de lo denunciado, y desde la gravedad de lo denunciado y su previa opacidad, rasgos ambos que afectan al grado de esfuerzo judicial exigido por el art. 24.1 CE’ [SSTC 12/2022, de 7 de febrero, FJ 2 (iii), y 33/2024, de 11 de marzo, FJ 2 (ii)]. La exigencia de investigación eficaz y suficiente no debe suponer la práctica de todas y cada una de las diligencias solicitadas o imaginables, sino ‘que en un contexto aún de incertidumbre acerca de lo acaecido se practiquen aquellas que </w:t>
      </w:r>
      <w:r w:rsidRPr="00A8138F">
        <w:rPr>
          <w:i/>
        </w:rPr>
        <w:t>a priori</w:t>
      </w:r>
      <w:r>
        <w:t xml:space="preserve"> se revelen susceptibles de despejar tales dudas fácticas. Si hay sospechas razonables de maltrato y modo aún de despejarlas no puede considerarse investigación oficial eficaz la que proceda al archivo de las actuaciones’ (STC 34/2008, de 25 de febrero, FJ 8)”.</w:t>
      </w:r>
    </w:p>
    <w:p w14:paraId="09B9D890" w14:textId="77777777" w:rsidR="00A8138F" w:rsidRDefault="00A8138F" w:rsidP="00A8138F">
      <w:pPr>
        <w:pStyle w:val="TextoNormal"/>
      </w:pPr>
    </w:p>
    <w:p w14:paraId="73B70776" w14:textId="77777777" w:rsidR="00A8138F" w:rsidRDefault="00A8138F" w:rsidP="00A8138F">
      <w:pPr>
        <w:pStyle w:val="TextoNormal"/>
      </w:pPr>
      <w:r>
        <w:t>b) Asimismo, hemos declarado la aplicabilidad de esta doctrina a los supuestos en que no se ha presentado una denuncia por escrito, pero consta una denuncia verbal ante la autoridad judicial de esos presuntos malos tratos o torturas, que no ha dado lugar a la incoación por el juez de un proceso para investigar esos hechos (STC 122/2022, de 10 de octubre); y a la denuncia de hechos que se afirman han tenido lugar en el momento de su detención, y con independencia de cuál pueda resultar a la postre la calificación penal de los hechos o incluso su atipicidad o mera consideración como infracción disciplinaria (STC 34/2022, de 7 de marzo).</w:t>
      </w:r>
    </w:p>
    <w:p w14:paraId="382289DF" w14:textId="77777777" w:rsidR="00A8138F" w:rsidRDefault="00A8138F" w:rsidP="00A8138F">
      <w:pPr>
        <w:pStyle w:val="TextoNormal"/>
      </w:pPr>
    </w:p>
    <w:p w14:paraId="641ADE0E" w14:textId="77777777" w:rsidR="00A8138F" w:rsidRDefault="00A8138F" w:rsidP="00A8138F">
      <w:pPr>
        <w:pStyle w:val="TextoNormal"/>
      </w:pPr>
      <w:r>
        <w:t>c) También se ha aplicado el canon de investigación suficiente a un supuesto de investigación insuficiente de las responsabilidades derivadas de la muerte, acaecida en dependencias policiales de quien, pocas horas antes, había protagonizado lo que parecía ser un intento autolítico (STC 1/2024, de 15 de enero), supuesto en el que el Tribunal consideró que, si bien no se invocaba la vulneración del derecho a la vida (art. 15 CE), los graves hechos investigados (presunto suicidio de un detenido en dependencias policiales) no dejaban de guardar un cierto paralelismo con los supuestos en los que se denuncian torturas o malos tratos supuestamente sufridos durante una detención policial.</w:t>
      </w:r>
    </w:p>
    <w:p w14:paraId="3A742EA9" w14:textId="77777777" w:rsidR="00A8138F" w:rsidRDefault="00A8138F" w:rsidP="00A8138F">
      <w:pPr>
        <w:pStyle w:val="TextoNormal"/>
      </w:pPr>
    </w:p>
    <w:p w14:paraId="10FF1E15" w14:textId="77777777" w:rsidR="00A8138F" w:rsidRDefault="00A8138F" w:rsidP="00A8138F">
      <w:pPr>
        <w:pStyle w:val="TextoNormal"/>
      </w:pPr>
      <w:r>
        <w:t>d) Finalmente este tribunal, siguiendo la jurisprudencia del Tribunal Europeo de Derechos Humanos, se ha pronunciado sobre la exigencia de una investigación judicial eficaz y suficiente en supuestos de sobreseimiento y archivo de las actuaciones penales incoadas por las lesiones sufridas por un menor, en el curso de enfrentamientos entre manifestantes y fuerzas del orden (STC 53/2022, de 4 de abril); o en relación con la investigación de las lesiones padecidas por una periodista que cubría, en el ejercicio de su labor informativa, los enfrentamientos entre manifestantes y fuerzas del orden público (STC 124/2022, de 10 de octubre).</w:t>
      </w:r>
    </w:p>
    <w:p w14:paraId="5F99A82A" w14:textId="77777777" w:rsidR="00A8138F" w:rsidRDefault="00A8138F" w:rsidP="00A8138F">
      <w:pPr>
        <w:pStyle w:val="TextoNormal"/>
      </w:pPr>
    </w:p>
    <w:p w14:paraId="25BEF540" w14:textId="77777777" w:rsidR="00A8138F" w:rsidRDefault="00A8138F" w:rsidP="00A8138F">
      <w:pPr>
        <w:pStyle w:val="TextoNormal"/>
      </w:pPr>
      <w:r>
        <w:t xml:space="preserve">B) </w:t>
      </w:r>
      <w:r w:rsidRPr="00A8138F">
        <w:rPr>
          <w:i/>
        </w:rPr>
        <w:t>Doctrina constitucional sobre la investigación de delitos cometidos en el ámbito de la violencia de género o en el de la violencia doméstica</w:t>
      </w:r>
    </w:p>
    <w:p w14:paraId="2C34D76A" w14:textId="77777777" w:rsidR="00A8138F" w:rsidRDefault="00A8138F" w:rsidP="00A8138F">
      <w:pPr>
        <w:pStyle w:val="TextoNormal"/>
      </w:pPr>
    </w:p>
    <w:p w14:paraId="51A1235D" w14:textId="77777777" w:rsidR="00A8138F" w:rsidRDefault="00A8138F" w:rsidP="00A8138F">
      <w:pPr>
        <w:pStyle w:val="TextoNormal"/>
      </w:pPr>
      <w:r>
        <w:t>La exigencia constitucional de realizar una investigación judicial exhaustiva y eficaz alcanza también, en un segundo gran ámbito así reconocido, a los supuestos de sobreseimiento de diligencias previas incoadas por hechos presuntamente delictivos cometidos en contextos vinculados a la violencia de género o a la que tiene lugar dentro del ámbito familiar o afectivo sobre víctimas vulnerables, asumiendo con ello otro de los ámbitos reconocidos por la jurisprudencia del Tribunal Europeo de Derechos Humanos, esta con base en la protección de los derechos del art. 3, en relación con el art. 8 (vida privada familiar) CEDH.</w:t>
      </w:r>
    </w:p>
    <w:p w14:paraId="17ACDBD6" w14:textId="77777777" w:rsidR="00A8138F" w:rsidRDefault="00A8138F" w:rsidP="00A8138F">
      <w:pPr>
        <w:pStyle w:val="TextoNormal"/>
      </w:pPr>
    </w:p>
    <w:p w14:paraId="084B5F92" w14:textId="77777777" w:rsidR="00A8138F" w:rsidRDefault="00A8138F" w:rsidP="00A8138F">
      <w:pPr>
        <w:pStyle w:val="TextoNormal"/>
      </w:pPr>
      <w:r>
        <w:t>Como exponentes de esa recepción, las SSTC 87/2020, de 20 de julio, y 131/2023, de 23 de octubre, en las que hemos otorgado el amparo por la vulneración del derecho a la tutela judicial efectiva (art. 24.1 CE), al no haber cumplido las resoluciones impugnadas con aquel estándar de exhaustividad y eficacia en la investigación del delito.</w:t>
      </w:r>
    </w:p>
    <w:p w14:paraId="235A84B8" w14:textId="77777777" w:rsidR="00A8138F" w:rsidRDefault="00A8138F" w:rsidP="00A8138F">
      <w:pPr>
        <w:pStyle w:val="TextoNormal"/>
      </w:pPr>
    </w:p>
    <w:p w14:paraId="56EAE722" w14:textId="77777777" w:rsidR="00A8138F" w:rsidRDefault="00A8138F" w:rsidP="00A8138F">
      <w:pPr>
        <w:pStyle w:val="TextoNormal"/>
      </w:pPr>
      <w:r>
        <w:t>Hemos apreciado en estos casos, que no es la previa existencia de una relación institucional de especial sujeción con el aparato policial o represivo del Estado la que fundamenta la aplicación del canon reforzado de la investigación judicial eficaz y suficiente, sino el marco de privacidad o clandestinidad en el que aparecen contextualizados los hechos objeto de la denuncia o bien sus propias características fácticas, que determinan que se carezca de evidencias físicas que apoyen la versión del suceso que puedan proporcionar quienes aparecen en el proceso como denunciante o como denunciado; teniendo en cuenta, en su caso, el principio de protección del interés superior del menor. Como se explica en la primera de las citadas, FJ 3 B):</w:t>
      </w:r>
    </w:p>
    <w:p w14:paraId="20D55793" w14:textId="77777777" w:rsidR="00A8138F" w:rsidRDefault="00A8138F" w:rsidP="00A8138F">
      <w:pPr>
        <w:pStyle w:val="TextoNormal"/>
      </w:pPr>
    </w:p>
    <w:p w14:paraId="643A9228" w14:textId="77777777" w:rsidR="00A8138F" w:rsidRDefault="00A8138F" w:rsidP="00A8138F">
      <w:pPr>
        <w:pStyle w:val="TextoNormal"/>
      </w:pPr>
      <w:r>
        <w:t xml:space="preserve">“En la STEDH de 9 de junio de 2009, caso </w:t>
      </w:r>
      <w:r w:rsidRPr="00A8138F">
        <w:rPr>
          <w:i/>
        </w:rPr>
        <w:t>Opuz c. Turquía</w:t>
      </w:r>
      <w:r>
        <w:t>, el tribunal identificó por primera vez el maltrato y la violencia intrafamiliar con la violación de los derechos reconocidos en el art. 3 CEDH. Reflexionó, también, sobre la variedad de formas que admite la violencia doméstica (física, psicológica y verbal), reconociéndola como ‘un problema generalizado que afecta a todos los Estados miembros y que no siempre emerge, ya que a menudo ocurre en las relaciones personales o en círculos cerrados. Y no afecta únicamente a las mujeres. Los hombres pueden ser también víctimas de violencia doméstica, así como los niños, que con frecuencia son víctimas directas o indirectas’ (STEDH de 9 de junio de 2009, asunt</w:t>
      </w:r>
      <w:r w:rsidRPr="00A8138F">
        <w:rPr>
          <w:i/>
        </w:rPr>
        <w:t>o Opuz c. Turqu</w:t>
      </w:r>
      <w:r>
        <w:t>ía, § 132).</w:t>
      </w:r>
    </w:p>
    <w:p w14:paraId="1D0BEE31" w14:textId="77777777" w:rsidR="00A8138F" w:rsidRDefault="00A8138F" w:rsidP="00A8138F">
      <w:pPr>
        <w:pStyle w:val="TextoNormal"/>
      </w:pPr>
    </w:p>
    <w:p w14:paraId="06EBB306" w14:textId="77777777" w:rsidR="00A8138F" w:rsidRDefault="00A8138F" w:rsidP="00A8138F">
      <w:pPr>
        <w:pStyle w:val="TextoNormal"/>
      </w:pPr>
      <w:r>
        <w:t>Por esta razón, su erradicación desencadena obligaciones positivas para los estados, que deben tomar las medidas necesarias para proveer una protección efectiva de quienes sufran violencia basada en su género, incluyendo sanciones penales, remedios civiles y provisiones compensatorias para su protección frente a todo tipo de violencia (§ 74), con inclusión del daño o sufrimiento físico, mental o sexual, las amenazas de dichos actos, las coacciones y cualesquiera otras formas de privación de su libertad (§ 75).</w:t>
      </w:r>
    </w:p>
    <w:p w14:paraId="726225F1" w14:textId="77777777" w:rsidR="00A8138F" w:rsidRDefault="00A8138F" w:rsidP="00A8138F">
      <w:pPr>
        <w:pStyle w:val="TextoNormal"/>
      </w:pPr>
    </w:p>
    <w:p w14:paraId="25B5139A" w14:textId="77777777" w:rsidR="00A8138F" w:rsidRDefault="00A8138F" w:rsidP="00A8138F">
      <w:pPr>
        <w:pStyle w:val="TextoNormal"/>
      </w:pPr>
      <w:r>
        <w:t>[…]</w:t>
      </w:r>
    </w:p>
    <w:p w14:paraId="4356D7AA" w14:textId="77777777" w:rsidR="00A8138F" w:rsidRDefault="00A8138F" w:rsidP="00A8138F">
      <w:pPr>
        <w:pStyle w:val="TextoNormal"/>
      </w:pPr>
    </w:p>
    <w:p w14:paraId="11164637" w14:textId="77777777" w:rsidR="00A8138F" w:rsidRDefault="00A8138F" w:rsidP="00A8138F">
      <w:pPr>
        <w:pStyle w:val="TextoNormal"/>
      </w:pPr>
      <w:r>
        <w:t xml:space="preserve">Más recientemente, con ocasión del asunto </w:t>
      </w:r>
      <w:r w:rsidRPr="00A8138F">
        <w:rPr>
          <w:i/>
        </w:rPr>
        <w:t>Talpis c. Italia</w:t>
      </w:r>
      <w:r>
        <w:t xml:space="preserve"> (STEDH de 2 de marzo de 2017), el Tribunal de Estrasburgo ha reiterado el deber de diligencia en el tratamiento de las denuncias por violencia doméstica. Recuerda, en este sentido, que los niños y demás personas vulnerables en el ámbito familiar tienen derecho a una prevención eficaz, preservándolos frente a formas particularmente graves de ofensa a la integridad de su persona. Ello implica el deber de establecer un sistema judicial eficaz e independiente que permita determinar las causas de delito cometido, así como de sus responsables (STEDH de 2 de marzo de 2017, asunto </w:t>
      </w:r>
      <w:r w:rsidRPr="00A8138F">
        <w:rPr>
          <w:i/>
        </w:rPr>
        <w:t>Talpis c. Italia</w:t>
      </w:r>
      <w:r>
        <w:t>, § 98 y 99, por remisión a la STEDH de 9 de junio de 2009, asunt</w:t>
      </w:r>
      <w:r w:rsidRPr="00A8138F">
        <w:rPr>
          <w:i/>
        </w:rPr>
        <w:t>o Opuz c. Turqu</w:t>
      </w:r>
      <w:r>
        <w:t>ía, § 159).</w:t>
      </w:r>
    </w:p>
    <w:p w14:paraId="262060DB" w14:textId="77777777" w:rsidR="00A8138F" w:rsidRDefault="00A8138F" w:rsidP="00A8138F">
      <w:pPr>
        <w:pStyle w:val="TextoNormal"/>
      </w:pPr>
    </w:p>
    <w:p w14:paraId="351F7CD5" w14:textId="77777777" w:rsidR="00A8138F" w:rsidRDefault="00A8138F" w:rsidP="00A8138F">
      <w:pPr>
        <w:pStyle w:val="TextoNormal"/>
      </w:pPr>
      <w:r>
        <w:t>El tribunal, asimismo, ha insistido en que, en estos casos, el deber de diligencia exigible a las autoridades estatales resulta inherente a la obligación de investigar e implica, también, rapidez de respuesta o reacción a la hora de recabar y custodiar los vestigios de delito de forma inmediata o, al menos, tan pronto como sea posible, así como de practicar cuantas diligencias de prueba resulten pertinentes en un plazo razonable, evitando en esta tarea toda discriminación o desigualdad entre las partes (STEDH de 12 de abril de 2016, asunt</w:t>
      </w:r>
      <w:r w:rsidRPr="00A8138F">
        <w:rPr>
          <w:i/>
        </w:rPr>
        <w:t>o M.C. y A.C. c. Ruman</w:t>
      </w:r>
      <w:r>
        <w:t>ía, § 71-73 y 110-113).</w:t>
      </w:r>
    </w:p>
    <w:p w14:paraId="1728EB09" w14:textId="77777777" w:rsidR="00A8138F" w:rsidRDefault="00A8138F" w:rsidP="00A8138F">
      <w:pPr>
        <w:pStyle w:val="TextoNormal"/>
      </w:pPr>
    </w:p>
    <w:p w14:paraId="4265A51F" w14:textId="77777777" w:rsidR="00A8138F" w:rsidRDefault="00A8138F" w:rsidP="00A8138F">
      <w:pPr>
        <w:pStyle w:val="TextoNormal"/>
      </w:pPr>
      <w:r>
        <w:t>[…]</w:t>
      </w:r>
    </w:p>
    <w:p w14:paraId="52C291A6" w14:textId="77777777" w:rsidR="00A8138F" w:rsidRDefault="00A8138F" w:rsidP="00A8138F">
      <w:pPr>
        <w:pStyle w:val="TextoNormal"/>
      </w:pPr>
    </w:p>
    <w:p w14:paraId="6805B46C" w14:textId="77777777" w:rsidR="00A8138F" w:rsidRDefault="00A8138F" w:rsidP="00A8138F">
      <w:pPr>
        <w:pStyle w:val="TextoNormal"/>
      </w:pPr>
      <w:r>
        <w:t>Así, en el tratamiento de las denuncias de violencia contra la mujer, corresponde a los órganos judiciales nacionales tener en cuenta la situación de precariedad y de particular vulnerabilidad moral, física y/o material en que pueda encontrarse la víctima, evaluando su situación en el más breve plazo posible; de este modo, incluso la forma en la que las autoridades internas conduzcan el procedimiento penal importa, pues deben evitar contribuir a la situación derivada de los hechos desde una pasividad judicial contraria a las exigencias del art. 3 CEDH (STEDH de 2 de marzo de 2017, asunt</w:t>
      </w:r>
      <w:r w:rsidRPr="00A8138F">
        <w:rPr>
          <w:i/>
        </w:rPr>
        <w:t>o Talpis c. Ital</w:t>
      </w:r>
      <w:r>
        <w:t>ia, § 129, 130 y 131)”.</w:t>
      </w:r>
    </w:p>
    <w:p w14:paraId="762A42AD" w14:textId="77777777" w:rsidR="00A8138F" w:rsidRDefault="00A8138F" w:rsidP="00A8138F">
      <w:pPr>
        <w:pStyle w:val="TextoNormal"/>
      </w:pPr>
    </w:p>
    <w:p w14:paraId="76E6F3DD" w14:textId="77777777" w:rsidR="00A8138F" w:rsidRDefault="00A8138F" w:rsidP="00A8138F">
      <w:pPr>
        <w:pStyle w:val="TextoNormal"/>
      </w:pPr>
      <w:r>
        <w:t>Y por tanto, se procede a su debida traslación a nuestra doctrina constitucional (STC 87/2020, FJ 3.C):</w:t>
      </w:r>
    </w:p>
    <w:p w14:paraId="7C0AA9D9" w14:textId="77777777" w:rsidR="00A8138F" w:rsidRDefault="00A8138F" w:rsidP="00A8138F">
      <w:pPr>
        <w:pStyle w:val="TextoNormal"/>
      </w:pPr>
    </w:p>
    <w:p w14:paraId="7C98C105" w14:textId="77777777" w:rsidR="00A8138F" w:rsidRDefault="00A8138F" w:rsidP="00A8138F">
      <w:pPr>
        <w:pStyle w:val="TextoNormal"/>
      </w:pPr>
      <w:r>
        <w:t xml:space="preserve">“Como no podría ser de otro modo, este tribunal, en concurrente diálogo con la jurisprudencia del Tribunal Europeo de Derechos Humanos, debe tomar en consideración el canon reforzado del deber de actuación diligente y sin dilaciones que debe exigirse a las autoridades de los Estados miembros encargadas de la persecución penal cuando aprecien la existencia de sospechas fundadas de delito cometido en contextos vinculados a la violencia de género. </w:t>
      </w:r>
    </w:p>
    <w:p w14:paraId="11974A66" w14:textId="77777777" w:rsidR="00A8138F" w:rsidRDefault="00A8138F" w:rsidP="00A8138F">
      <w:pPr>
        <w:pStyle w:val="TextoNormal"/>
      </w:pPr>
    </w:p>
    <w:p w14:paraId="5446EBC2" w14:textId="77777777" w:rsidR="00A8138F" w:rsidRDefault="00A8138F" w:rsidP="00A8138F">
      <w:pPr>
        <w:pStyle w:val="TextoNormal"/>
      </w:pPr>
      <w:r>
        <w:t>[…]</w:t>
      </w:r>
    </w:p>
    <w:p w14:paraId="0E1BF904" w14:textId="77777777" w:rsidR="00A8138F" w:rsidRDefault="00A8138F" w:rsidP="00A8138F">
      <w:pPr>
        <w:pStyle w:val="TextoNormal"/>
      </w:pPr>
    </w:p>
    <w:p w14:paraId="266FC708" w14:textId="4E9E6ACE" w:rsidR="00A8138F" w:rsidRDefault="00A8138F" w:rsidP="00A8138F">
      <w:pPr>
        <w:pStyle w:val="TextoNormal"/>
      </w:pPr>
      <w:r>
        <w:t>En resumen, la investigación penal requiere en estos casos que la intervención judicial colme dos necesidades muy concretas: (i) emplear cuantas herramientas de investigación se presenten como racionalmente necesarias, suficientes y adecuadas ante toda sospecha fundada de delito, y (ii) evitar demoras injustificadas que puedan perjudicar el curso o el resultado de la investigación, además de la adecuada protección de quien figure como víctima, allí donde dicha protección se revele necesaria”.</w:t>
      </w:r>
    </w:p>
    <w:p w14:paraId="3C43AD49" w14:textId="77777777" w:rsidR="00A8138F" w:rsidRDefault="00A8138F" w:rsidP="00A8138F">
      <w:pPr>
        <w:pStyle w:val="TextoNormal"/>
      </w:pPr>
    </w:p>
    <w:p w14:paraId="01C11701" w14:textId="77777777" w:rsidR="00A8138F" w:rsidRDefault="00A8138F" w:rsidP="00A8138F">
      <w:pPr>
        <w:pStyle w:val="TextoNormal"/>
      </w:pPr>
      <w:r w:rsidRPr="00A8138F">
        <w:rPr>
          <w:rStyle w:val="NumeroAFNegritaCaracter"/>
        </w:rPr>
        <w:t>5</w:t>
      </w:r>
      <w:r>
        <w:t xml:space="preserve">. </w:t>
      </w:r>
      <w:r w:rsidRPr="00A8138F">
        <w:rPr>
          <w:i/>
        </w:rPr>
        <w:t>Jurisprudencia del Tribunal Europeo de Derechos Humanos en relación con la necesidad de una investigación eficaz de las denuncias por delitos que atentan contra el derecho a la vida de las personas (art. 2 CEDH). Asunción por este Tribunal Constitucional</w:t>
      </w:r>
    </w:p>
    <w:p w14:paraId="70DD142C" w14:textId="77777777" w:rsidR="00A8138F" w:rsidRDefault="00A8138F" w:rsidP="00A8138F">
      <w:pPr>
        <w:pStyle w:val="TextoNormal"/>
      </w:pPr>
    </w:p>
    <w:p w14:paraId="1D5B428A" w14:textId="77777777" w:rsidR="00A8138F" w:rsidRDefault="00A8138F" w:rsidP="00A8138F">
      <w:pPr>
        <w:pStyle w:val="TextoNormal"/>
      </w:pPr>
      <w:r>
        <w:t>a) El Tribunal Europeo de Derechos Humanos ha declarado que la obligación de proteger el derecho a la vida (art. 2 CEDH), en relación con la obligación de los Estados de asegurar a toda persona bajo su jurisdicción los derechos y libertades definidos en el Convenio (art. 1 CEDH) requiere una investigación oficial efectiva cuando el individuo ha fallecido en circunstancias sospechosas.</w:t>
      </w:r>
    </w:p>
    <w:p w14:paraId="1683D068" w14:textId="77777777" w:rsidR="00A8138F" w:rsidRDefault="00A8138F" w:rsidP="00A8138F">
      <w:pPr>
        <w:pStyle w:val="TextoNormal"/>
      </w:pPr>
    </w:p>
    <w:p w14:paraId="489D1265" w14:textId="77777777" w:rsidR="00A8138F" w:rsidRDefault="00A8138F" w:rsidP="00A8138F">
      <w:pPr>
        <w:pStyle w:val="TextoNormal"/>
      </w:pPr>
      <w:r>
        <w:t xml:space="preserve">En este sentido, la STDH de 23 de marzo de 2010, asunto </w:t>
      </w:r>
      <w:r w:rsidRPr="00A8138F">
        <w:rPr>
          <w:i/>
        </w:rPr>
        <w:t>Iorga c. Moldova</w:t>
      </w:r>
      <w:r>
        <w:t xml:space="preserve">, § 26, señala que el mero hecho de que las autoridades hayan sido informadas de la muerte (en las mencionadas circunstancias sospechosas) produce </w:t>
      </w:r>
      <w:r w:rsidRPr="00A8138F">
        <w:rPr>
          <w:i/>
        </w:rPr>
        <w:t>ipso facto</w:t>
      </w:r>
      <w:r>
        <w:t xml:space="preserve"> la obligación, de acuerdo con el art. 2 CEDH de realizar una investigación efectiva de las circunstancias en las que ha ocurrido.</w:t>
      </w:r>
    </w:p>
    <w:p w14:paraId="04E90EB8" w14:textId="77777777" w:rsidR="00A8138F" w:rsidRDefault="00A8138F" w:rsidP="00A8138F">
      <w:pPr>
        <w:pStyle w:val="TextoNormal"/>
      </w:pPr>
    </w:p>
    <w:p w14:paraId="43216FCD" w14:textId="77777777" w:rsidR="00A8138F" w:rsidRDefault="00A8138F" w:rsidP="00A8138F">
      <w:pPr>
        <w:pStyle w:val="TextoNormal"/>
      </w:pPr>
      <w:r>
        <w:t xml:space="preserve">En la STEDH de 14 de abril de 2015, asunto </w:t>
      </w:r>
      <w:r w:rsidRPr="00A8138F">
        <w:rPr>
          <w:i/>
        </w:rPr>
        <w:t>Mustafa Tunç y Fecire Tunç c. Turquía</w:t>
      </w:r>
      <w:r>
        <w:t xml:space="preserve"> (gran sala), núm. 24014/05, § 171 y ss, el Tribunal Europeo declaró que al requerir a los Estados para que tomen las medidas adecuadas para proteger las vidas de aquellos que están bajo su jurisdicción, el art. 2 impone a aquellos efectuar una investigación oficial efectiva cuando hay razones para creer que una persona ha sufrido heridas potencialmente mortales en condiciones sospechosas, aunque el presunto autor del ataque no sea un agente estatal [SSTEDH de 6 de junio de 2003, asunto </w:t>
      </w:r>
      <w:r w:rsidRPr="00A8138F">
        <w:rPr>
          <w:i/>
        </w:rPr>
        <w:t>Menson c. the United Kingdom</w:t>
      </w:r>
      <w:r>
        <w:t xml:space="preserve">, núm. 47916/99, ECHR 2003-V; de 9 de mayo de 2006, asunto </w:t>
      </w:r>
      <w:r w:rsidRPr="00A8138F">
        <w:rPr>
          <w:i/>
        </w:rPr>
        <w:t>Pereira Henriques c. Luxembourg</w:t>
      </w:r>
      <w:r>
        <w:t xml:space="preserve">, núm. 60255/00, § 56, y de 23 de octubre de 2012, asunto </w:t>
      </w:r>
      <w:r w:rsidRPr="00A8138F">
        <w:rPr>
          <w:i/>
        </w:rPr>
        <w:t>Yotova c. Bulgaria</w:t>
      </w:r>
      <w:r>
        <w:t xml:space="preserve">, núm. 43606/04, § 68]. El propio Tribunal indica que para ser “efectiva” la investigación, en el contexto del art. 2 CEDH, la misma debe ser “adecuada” [STEDH de 15 de mayo de 2007, asunto </w:t>
      </w:r>
      <w:r w:rsidRPr="00A8138F">
        <w:rPr>
          <w:i/>
        </w:rPr>
        <w:t>Ramsahai y Others v. the Netherlands</w:t>
      </w:r>
      <w:r>
        <w:t xml:space="preserve"> (gran sala), no. 52391/99, § 324], es decir, capaz de conducir al establecimiento de los hechos y, en su caso, a la identificación y castigo de los responsables. Y aclara que se trata de una obligación de medios, no de resultados: las autoridades deben adoptar las medidas razonables disponibles para asegurar las evidencias relativas al suceso en cuestión [SSTEDH de 20 de noviembre de 2014, asunto </w:t>
      </w:r>
      <w:r w:rsidRPr="00A8138F">
        <w:rPr>
          <w:i/>
        </w:rPr>
        <w:t>Jaloud v. the Netherlands</w:t>
      </w:r>
      <w:r>
        <w:t xml:space="preserve"> (gran sala), núm. 47708/08, § 186, y de 6 de julio de 2005, asunto </w:t>
      </w:r>
      <w:r w:rsidRPr="00A8138F">
        <w:rPr>
          <w:i/>
        </w:rPr>
        <w:t>Nachova and Others c. Bulgaria</w:t>
      </w:r>
      <w:r>
        <w:t xml:space="preserve"> (gran sala), núm. 43577/98 and 43579/98, § 160].</w:t>
      </w:r>
    </w:p>
    <w:p w14:paraId="23E3813B" w14:textId="77777777" w:rsidR="00A8138F" w:rsidRDefault="00A8138F" w:rsidP="00A8138F">
      <w:pPr>
        <w:pStyle w:val="TextoNormal"/>
      </w:pPr>
    </w:p>
    <w:p w14:paraId="5AE2FCDD" w14:textId="77777777" w:rsidR="00A8138F" w:rsidRDefault="00A8138F" w:rsidP="00A8138F">
      <w:pPr>
        <w:pStyle w:val="TextoNormal"/>
      </w:pPr>
      <w:r>
        <w:t xml:space="preserve">Asimismo, en la STEDH de 11 de octubre de 2022, asunto </w:t>
      </w:r>
      <w:r w:rsidRPr="00A8138F">
        <w:rPr>
          <w:i/>
        </w:rPr>
        <w:t>Garrido Herrero c. España</w:t>
      </w:r>
      <w:r>
        <w:t xml:space="preserve">, § 69, el Tribunal de Estrasburgo recuerda que “con arreglo al aspecto procesal del artículo 2 del Convenio, una investigación tiene que ser efectiva en el sentido de que sea capaz de conducir a la identificación y condena de los responsables. Esta no es una obligación de resultados, sino de medios. Las autoridades deben llevar a cabo todas las medidas razonables a su disposición para asegurar las pruebas en relación con el incidente, incluyendo, </w:t>
      </w:r>
      <w:r w:rsidRPr="00A8138F">
        <w:rPr>
          <w:i/>
        </w:rPr>
        <w:t>inter alia</w:t>
      </w:r>
      <w:r>
        <w:t xml:space="preserve">, el testimonio de testigos oculares, pruebas forenses y, en su caso, una autopsia que proporcione un registro completo y detallado de los daños y un análisis objetivo de los resultados clínicos, incluyendo la causa de la muerte. Cualquier fallo en la investigación que socave su capacidad para determinar la causa de la muerte o la persona o personas responsables corre el riesgo de incumplir dicha norma (véase </w:t>
      </w:r>
      <w:r w:rsidRPr="00A8138F">
        <w:rPr>
          <w:i/>
        </w:rPr>
        <w:t>Al-Skeini y otros c. Reino Unido</w:t>
      </w:r>
      <w:r>
        <w:t xml:space="preserve"> [GS], núm. 55721/07, § 166, Tribunal Europeo de Derechos Humanos 2011, y la jurisprudencia allí citada)”.</w:t>
      </w:r>
    </w:p>
    <w:p w14:paraId="45BE046C" w14:textId="77777777" w:rsidR="00A8138F" w:rsidRDefault="00A8138F" w:rsidP="00A8138F">
      <w:pPr>
        <w:pStyle w:val="TextoNormal"/>
      </w:pPr>
    </w:p>
    <w:p w14:paraId="6B0D650A" w14:textId="77777777" w:rsidR="00A8138F" w:rsidRDefault="00A8138F" w:rsidP="00A8138F">
      <w:pPr>
        <w:pStyle w:val="TextoNormal"/>
      </w:pPr>
      <w:r>
        <w:t xml:space="preserve">El mismo Tribunal Europeo ha señalado, en fin, que la naturaleza y el grado de escrutinio necesario para garantizar una investigación efectiva depende de las circunstancias del caso, sin que resulte posible reducir la variedad de situaciones que pueden ocurrir a una simple lista de diligencias de investigación u otros criterios simplificados [STEDH de 14 de abril de 2015, asunto </w:t>
      </w:r>
      <w:r w:rsidRPr="00A8138F">
        <w:rPr>
          <w:i/>
        </w:rPr>
        <w:t>Mustafa Tunç y Fecire Tunç c. Turquía</w:t>
      </w:r>
      <w:r>
        <w:t xml:space="preserve"> (gran sala), núm. 24014/05, § 176, con cita a las SSTEDH de 8 de julio de 1999, asunto </w:t>
      </w:r>
      <w:r w:rsidRPr="00A8138F">
        <w:rPr>
          <w:i/>
        </w:rPr>
        <w:t>Tanrıkulu c. Turkey</w:t>
      </w:r>
      <w:r>
        <w:t xml:space="preserve"> (gran sala), núm. 23763/94, § 101-110, 1999-IV, y de 18 de mayo de 2000, asunto </w:t>
      </w:r>
      <w:r w:rsidRPr="00A8138F">
        <w:rPr>
          <w:i/>
        </w:rPr>
        <w:t>Velikova c. Bulgaria</w:t>
      </w:r>
      <w:r>
        <w:t xml:space="preserve">, núm. 41488/98, § 80, 2000 VI]; sin perjuicio de destacar la importancia de los informes médicos al analizar las hipótesis de un fallecimiento (STEDH v. de 10 de abril de 2001, asunto </w:t>
      </w:r>
      <w:r w:rsidRPr="00A8138F">
        <w:rPr>
          <w:i/>
        </w:rPr>
        <w:t>Tanli c. Turquía</w:t>
      </w:r>
      <w:r>
        <w:t>, núm. 26129/95, § 152).</w:t>
      </w:r>
    </w:p>
    <w:p w14:paraId="6115C249" w14:textId="77777777" w:rsidR="00A8138F" w:rsidRDefault="00A8138F" w:rsidP="00A8138F">
      <w:pPr>
        <w:pStyle w:val="TextoNormal"/>
      </w:pPr>
    </w:p>
    <w:p w14:paraId="57545E0C" w14:textId="30DC32C0" w:rsidR="00A8138F" w:rsidRDefault="00A8138F" w:rsidP="00A8138F">
      <w:pPr>
        <w:pStyle w:val="TextoNormal"/>
      </w:pPr>
      <w:r>
        <w:t>b) Dejando al margen los casos puntuales de investigación de muerte de personas acaecidas estando en custodia de agentes policiales (</w:t>
      </w:r>
      <w:r w:rsidRPr="00A8138F">
        <w:rPr>
          <w:i/>
        </w:rPr>
        <w:t>v. gr</w:t>
      </w:r>
      <w:r>
        <w:t>. SSTC 1/2024, de 15 de enero, FJ 3, y 144/2024, de 2 de diciembre, FJ 4), este Tribunal Constitucional no había tenido ocasión de pronunciarse hasta ahora, con carácter general, sobre la exigencia de una investigación reforzada en los supuestos de muerte de una persona en circunstancias que puedan resultar sospechosas, es decir, no atribuidas a una muerte natural, o cuando haya indicios de la posible comisión de un delito contra la vida (art. 15 CE), en concreto atendiendo a la jurisprudencia del Tribunal de Estrasburgo en la materia. En la línea de asumir esta jurisprudencia, que desde nuestra perspectiva constitucional comporta la afectación del derecho a la tutela judicial efectiva del art. 24.1 CE, puesto en relación con el derecho a la vida del art. 15 CE, procede hacer aplicación de la misma al caso aquí planteado, conforme se tratará en el posterior fundamento jurídico 7.</w:t>
      </w:r>
    </w:p>
    <w:p w14:paraId="6347906A" w14:textId="77777777" w:rsidR="00A8138F" w:rsidRDefault="00A8138F" w:rsidP="00A8138F">
      <w:pPr>
        <w:pStyle w:val="TextoNormal"/>
      </w:pPr>
    </w:p>
    <w:p w14:paraId="19D2D9CE" w14:textId="77777777" w:rsidR="00A8138F" w:rsidRDefault="00A8138F" w:rsidP="00A8138F">
      <w:pPr>
        <w:pStyle w:val="TextoNormal"/>
      </w:pPr>
      <w:r w:rsidRPr="00A8138F">
        <w:rPr>
          <w:rStyle w:val="NumeroAFNegritaCaracter"/>
        </w:rPr>
        <w:t>6</w:t>
      </w:r>
      <w:r>
        <w:t xml:space="preserve">. </w:t>
      </w:r>
      <w:r w:rsidRPr="00A8138F">
        <w:rPr>
          <w:i/>
        </w:rPr>
        <w:t>Normativa y doctrina constitucional sobre el derecho de la víctima a no padecer indefensión en el proceso penal</w:t>
      </w:r>
    </w:p>
    <w:p w14:paraId="4AB04A58" w14:textId="77777777" w:rsidR="00A8138F" w:rsidRDefault="00A8138F" w:rsidP="00A8138F">
      <w:pPr>
        <w:pStyle w:val="TextoNormal"/>
      </w:pPr>
    </w:p>
    <w:p w14:paraId="636D7170" w14:textId="77777777" w:rsidR="00A8138F" w:rsidRDefault="00A8138F" w:rsidP="00A8138F">
      <w:pPr>
        <w:pStyle w:val="TextoNormal"/>
      </w:pPr>
      <w:r>
        <w:t>Antes, para finalizar el recorrido de la doctrina constitucional pertinente, específicamente la que resultará aplicable para resolver la segunda queja de la demanda de amparo, hemos de recordar que la STC 102/2022, de 12 de septiembre, FJ 6, puso de relieve que la legislación española ha ido reforzando la protección del interés de las víctimas, ensanchando progresivamente sus posibilidades de información y participación en el proceso en determinados ámbitos, hasta la Ley 4/2015, de 27 de abril, del estatuto de la víctima del delito —que traspone la Directiva 2012/29/UE del Parlamento Europeo y del Consejo, de 25 de octubre de 2012, por la que se establecen normas mínimas sobre los derechos, el apoyo y la protección de las víctimas de delitos—, en vigor desde el 28 de octubre de 2015, cuyo artículo 2 dispone que sus disposiciones serán aplicables:</w:t>
      </w:r>
    </w:p>
    <w:p w14:paraId="08B01B25" w14:textId="77777777" w:rsidR="00A8138F" w:rsidRDefault="00A8138F" w:rsidP="00A8138F">
      <w:pPr>
        <w:pStyle w:val="TextoNormal"/>
      </w:pPr>
    </w:p>
    <w:p w14:paraId="42629795" w14:textId="77777777" w:rsidR="00A8138F" w:rsidRDefault="00A8138F" w:rsidP="00A8138F">
      <w:pPr>
        <w:pStyle w:val="TextoNormal"/>
      </w:pPr>
      <w:r>
        <w:t>“a) Como víctima directa, a toda persona física que haya sufrido un daño o perjuicio sobre su propia persona o patrimonio, en especial lesiones físicas o psíquicas, daños emocionales o perjuicios económicos directamente causados por la comisión de un delito.</w:t>
      </w:r>
    </w:p>
    <w:p w14:paraId="418DC3A3" w14:textId="77777777" w:rsidR="00A8138F" w:rsidRDefault="00A8138F" w:rsidP="00A8138F">
      <w:pPr>
        <w:pStyle w:val="TextoNormal"/>
      </w:pPr>
    </w:p>
    <w:p w14:paraId="6F56409C" w14:textId="77777777" w:rsidR="00A8138F" w:rsidRDefault="00A8138F" w:rsidP="00A8138F">
      <w:pPr>
        <w:pStyle w:val="TextoNormal"/>
      </w:pPr>
      <w:r>
        <w:t>b) Como víctima indirecta, en los casos de muerte o desaparición de una persona que haya sido causada directamente por un delito, salvo que se tratare de los responsables de los hechos:</w:t>
      </w:r>
    </w:p>
    <w:p w14:paraId="317E9283" w14:textId="77777777" w:rsidR="00A8138F" w:rsidRDefault="00A8138F" w:rsidP="00A8138F">
      <w:pPr>
        <w:pStyle w:val="TextoNormal"/>
      </w:pPr>
    </w:p>
    <w:p w14:paraId="028A50E7" w14:textId="77777777" w:rsidR="00A8138F" w:rsidRDefault="00A8138F" w:rsidP="00A8138F">
      <w:pPr>
        <w:pStyle w:val="TextoNormal"/>
      </w:pPr>
      <w:r>
        <w:t>1. A su cónyuge no separado legalmente o de hecho y a los hijos de la víctima o del cónyuge no separado legalmente o de hecho que en el momento de la muerte o desaparición de la víctima convivieran con ellos; a la persona que hasta el momento de la muerte o desaparición hubiera estado unida a ella por una análoga relación de afectividad y a los hijos de esta que en el momento de la muerte o desaparición de la víctima convivieran con ella; a sus progenitores y parientes en línea recta o colateral dentro del tercer grado que se encontraren bajo su guarda y a las personas sujetas a su tutela o curatela o que se encontraren bajo su acogimiento familiar.</w:t>
      </w:r>
    </w:p>
    <w:p w14:paraId="4D8DCAC5" w14:textId="77777777" w:rsidR="00A8138F" w:rsidRDefault="00A8138F" w:rsidP="00A8138F">
      <w:pPr>
        <w:pStyle w:val="TextoNormal"/>
      </w:pPr>
    </w:p>
    <w:p w14:paraId="0CB17D37" w14:textId="77777777" w:rsidR="00A8138F" w:rsidRDefault="00A8138F" w:rsidP="00A8138F">
      <w:pPr>
        <w:pStyle w:val="TextoNormal"/>
      </w:pPr>
      <w:r>
        <w:t>2. En caso de no existir los anteriores, a los demás parientes en línea recta y a sus hermanos, con preferencia, entre ellos, del que ostentara la representación legal de la víctima”.</w:t>
      </w:r>
    </w:p>
    <w:p w14:paraId="50FBCDFC" w14:textId="77777777" w:rsidR="00A8138F" w:rsidRDefault="00A8138F" w:rsidP="00A8138F">
      <w:pPr>
        <w:pStyle w:val="TextoNormal"/>
      </w:pPr>
    </w:p>
    <w:p w14:paraId="17D94B62" w14:textId="77777777" w:rsidR="00A8138F" w:rsidRDefault="00A8138F" w:rsidP="00A8138F">
      <w:pPr>
        <w:pStyle w:val="TextoNormal"/>
      </w:pPr>
      <w:r>
        <w:t>Esta ley reconoce el derecho de toda víctima, directa o indirecta, a una participación activa en el proceso penal (art. 3.1) indicando expresamente que la resolución de sobreseimiento de la investigación “[e]n los casos de muerte o desaparición de una persona que haya sido causada directamente por un delito, se comunicará, conforme a lo dispuesto en la Ley de enjuiciamiento criminal, a las personas a que se refiere el apartado b) del artículo 2. […] 2. La víctima podrá recurrir la resolución de sobreseimiento conforme a lo dispuesto en la Ley de Enjuiciamiento Criminal, sin que sea necesario para ello que se haya personado anteriormente en el proceso” (art. 12).</w:t>
      </w:r>
    </w:p>
    <w:p w14:paraId="20B81F0B" w14:textId="77777777" w:rsidR="00A8138F" w:rsidRDefault="00A8138F" w:rsidP="00A8138F">
      <w:pPr>
        <w:pStyle w:val="TextoNormal"/>
      </w:pPr>
    </w:p>
    <w:p w14:paraId="39D12A69" w14:textId="77777777" w:rsidR="00A8138F" w:rsidRDefault="00A8138F" w:rsidP="00A8138F">
      <w:pPr>
        <w:pStyle w:val="TextoNormal"/>
      </w:pPr>
      <w:r>
        <w:t xml:space="preserve">En correspondencia con las anteriores previsiones, el art. 109 </w:t>
      </w:r>
      <w:r w:rsidRPr="00A8138F">
        <w:rPr>
          <w:i/>
        </w:rPr>
        <w:t>bis</w:t>
      </w:r>
      <w:r>
        <w:t xml:space="preserve"> LECrim —introducido por la disposición final primera de la misma Ley 4/2015—, dispone que en el caso de muerte o desaparición de la víctima a consecuencia del delito, en el caso de no existir las personas que indica en su primer inciso (cónyuge no separado legalmente o de hecho o persona unida por una análoga relación de afectividad; hijos convivientes; progenitores y parientes en línea recta o colateral dentro del tercer grado que se encontraren bajo su guarda; personas sujetas a su tutela o curatela o que se encontraren bajo su acogimiento familiar), la acción penal podrá ser ejercida por los demás parientes en línea recta y por sus hermanos, con preferencia, entre ellos, del que ostentara la representación legal de la víctima.</w:t>
      </w:r>
    </w:p>
    <w:p w14:paraId="57D52867" w14:textId="77777777" w:rsidR="00A8138F" w:rsidRDefault="00A8138F" w:rsidP="00A8138F">
      <w:pPr>
        <w:pStyle w:val="TextoNormal"/>
      </w:pPr>
    </w:p>
    <w:p w14:paraId="5D1C3854" w14:textId="77777777" w:rsidR="00A8138F" w:rsidRDefault="00A8138F" w:rsidP="00A8138F">
      <w:pPr>
        <w:pStyle w:val="TextoNormal"/>
      </w:pPr>
      <w:r>
        <w:t>Y posteriormente, el art. 636 LECrim dispone que “[e]n los casos de muerte o desaparición ocasionada por un delito, el auto de sobreseimiento será comunicado de igual forma a las personas a las que se refiere el párrafo segundo del apartado 1 del artículo 109 bis, de cuya identidad y dirección de correo electrónico o postal se tuviera conocimiento. […] Transcurridos cinco días desde la comunicación, se entenderá que ha sido efectuada válidamente y desplegará todos sus efectos, iniciándose el cómputo del plazo de interposición del recurso. Se exceptuarán de este régimen aquellos supuestos en los que la víctima acredite justa causa de la imposibilidad de acceso al contenido de la comunicación. Las víctimas podrán recurrir el auto de sobreseimiento dentro del plazo de veinte días aunque no se hubieran mostrado como parte en la causa”.</w:t>
      </w:r>
    </w:p>
    <w:p w14:paraId="725B5E05" w14:textId="77777777" w:rsidR="00A8138F" w:rsidRDefault="00A8138F" w:rsidP="00A8138F">
      <w:pPr>
        <w:pStyle w:val="TextoNormal"/>
      </w:pPr>
    </w:p>
    <w:p w14:paraId="1B38A7E2" w14:textId="77777777" w:rsidR="00A8138F" w:rsidRDefault="00A8138F" w:rsidP="00A8138F">
      <w:pPr>
        <w:pStyle w:val="TextoNormal"/>
      </w:pPr>
      <w:r>
        <w:t xml:space="preserve">En el marco de dicha normativa, este tribunal se ha pronunciado sobre el derecho de acceso a las actuaciones judiciales de las víctimas no personadas, subrayando que “en el estado actual del ordenamiento, toda persona ofendida o perjudicada por el delito, y, obviamente, toda persona susceptible de acogerse al estatuto legal de víctima del delito, ostenta </w:t>
      </w:r>
      <w:r w:rsidRPr="00A8138F">
        <w:rPr>
          <w:i/>
        </w:rPr>
        <w:t>ope legis</w:t>
      </w:r>
      <w:r>
        <w:t xml:space="preserve"> un derecho, que queda incorporado al ámbito de protección del art. 24.1 CE, a ser informado en cualquier momento del estado del proceso penal, y a acceder a las actuaciones judiciales del mismo, que resulta consustancial a su condición de perjudicada o víctima y que determina que la interpretación de las normas orgánicas y procesales que regulen las distintas formas de acceso a esa información, deba verificarse siempre de la manera más favorable a su efectividad de ese derecho”. Así también, que este derecho de acceso a la información judicial de las víctimas y los perjudicados por el delito se configura “como un derecho autónomo e independiente de su condición de parte procesal, que queda integrado en el ámbito de protección del art. 24.1 CE” (STC 102/2022, FFJJ 6 y 7).</w:t>
      </w:r>
    </w:p>
    <w:p w14:paraId="30EF44B7" w14:textId="77777777" w:rsidR="00A8138F" w:rsidRDefault="00A8138F" w:rsidP="00A8138F">
      <w:pPr>
        <w:pStyle w:val="TextoNormal"/>
      </w:pPr>
    </w:p>
    <w:p w14:paraId="71685EB3" w14:textId="72F13ABA" w:rsidR="00A8138F" w:rsidRDefault="00A8138F" w:rsidP="00A8138F">
      <w:pPr>
        <w:pStyle w:val="TextoNormal"/>
      </w:pPr>
      <w:r>
        <w:t>En esta STC 102/2022, FJ 6, el Tribunal examinó el acceso a las actuaciones judiciales de quien invocaba su condición de víctima o de persona perjudicada por el delito, en un proceso penal ya archivado; y señalamos que la decisión adoptada en las resoluciones impugnadas que denegaron el acceso a las actuaciones de la víctima resultaba “aún más rechazable, si cabe, si se considera que tampoco se tuvo en cuenta el manifiesto déficit de tutela judicial en que estaba sumida la recurrente, a la que no le fueron notificados personalmente los autos de archivo (provisional y definitivo) de la causa, que se oponen en esas resoluciones como obstáculo a su acceso a las actuaciones judiciales”. Se apunta ya en esta resolución uno de los aspectos que se plantean en el presente recurso y que posteriormente señalaremos: el déficit de tutela judicial que supone la ausencia de notificación de la resolución de archivo.</w:t>
      </w:r>
    </w:p>
    <w:p w14:paraId="274D6AFE" w14:textId="77777777" w:rsidR="00A8138F" w:rsidRDefault="00A8138F" w:rsidP="00A8138F">
      <w:pPr>
        <w:pStyle w:val="TextoNormal"/>
      </w:pPr>
    </w:p>
    <w:p w14:paraId="66986897" w14:textId="77777777" w:rsidR="00A8138F" w:rsidRDefault="00A8138F" w:rsidP="00A8138F">
      <w:pPr>
        <w:pStyle w:val="TextoNormal"/>
      </w:pPr>
      <w:r w:rsidRPr="00A8138F">
        <w:rPr>
          <w:rStyle w:val="NumeroAFNegritaCaracter"/>
        </w:rPr>
        <w:t>7</w:t>
      </w:r>
      <w:r>
        <w:t xml:space="preserve">. </w:t>
      </w:r>
      <w:r w:rsidRPr="00A8138F">
        <w:rPr>
          <w:i/>
        </w:rPr>
        <w:t>Aplicación de la doctrina constitucional y del Tribunal Europeo de Derechos Humanos en materia de investigación eficaz y suficiente al presente caso. Resolución de la primera queja de la demanda de amparo</w:t>
      </w:r>
    </w:p>
    <w:p w14:paraId="65CF15E0" w14:textId="77777777" w:rsidR="00A8138F" w:rsidRDefault="00A8138F" w:rsidP="00A8138F">
      <w:pPr>
        <w:pStyle w:val="TextoNormal"/>
      </w:pPr>
    </w:p>
    <w:p w14:paraId="6690B338" w14:textId="77777777" w:rsidR="00A8138F" w:rsidRDefault="00A8138F" w:rsidP="00A8138F">
      <w:pPr>
        <w:pStyle w:val="TextoNormal"/>
      </w:pPr>
      <w:r>
        <w:t>A) A partir del marco normativo y jurisprudencial expuesto, debemos examinar la primera queja de los recurrentes en su demanda, relativa a la vulneración de su derecho a la tutela judicial efectiva (arts. 24.1 CE y 6 CEDH) en relación con el derecho a la vida en su vertiente procesal (arts. 15 CE y 2 CEDH), por las resoluciones judiciales impugnadas, al acordar el sobreseimiento de la investigación por el posible homicidio del pariente de los recurrentes, sin practicar diligencias pertinentes y útiles a tal fin.</w:t>
      </w:r>
    </w:p>
    <w:p w14:paraId="01E56C33" w14:textId="77777777" w:rsidR="00A8138F" w:rsidRDefault="00A8138F" w:rsidP="00A8138F">
      <w:pPr>
        <w:pStyle w:val="TextoNormal"/>
      </w:pPr>
    </w:p>
    <w:p w14:paraId="3F04E280" w14:textId="77777777" w:rsidR="00A8138F" w:rsidRDefault="00A8138F" w:rsidP="00A8138F">
      <w:pPr>
        <w:pStyle w:val="TextoNormal"/>
      </w:pPr>
      <w:r>
        <w:t>Debe quedar claro desde un primer momento, que no es objeto de este proceso de amparo determinar la causa del fallecimiento de don Raúl Torres Cid, sino examinar si la investigación de las circunstancias en que se produjo la misma, fue suficiente y eficaz.</w:t>
      </w:r>
    </w:p>
    <w:p w14:paraId="6A5CF81F" w14:textId="77777777" w:rsidR="00A8138F" w:rsidRDefault="00A8138F" w:rsidP="00A8138F">
      <w:pPr>
        <w:pStyle w:val="TextoNormal"/>
      </w:pPr>
    </w:p>
    <w:p w14:paraId="700CFB3B" w14:textId="77777777" w:rsidR="00A8138F" w:rsidRDefault="00A8138F" w:rsidP="00A8138F">
      <w:pPr>
        <w:pStyle w:val="TextoNormal"/>
      </w:pPr>
      <w:r>
        <w:t>Para este análisis el canon aplicable a las resoluciones impugnadas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canon este reforzado por tratarse de un supuesto en el que están en juego otros derechos fundamentales, como aquí sucede con el reconocido en el art. 15 CE. Destacando, una vez más, que el juicio sobre la adecuación constitucional de la decisión de archivo y la intensidad de la actividad indagatoria realizada no puede realizarse en estos casos en abstracto sino tomando en consideración la relevancia constitucional de los bienes que se pretenden proteger a través del procedimiento judicial y el conjunto de circunstancias concurrentes en el caso.</w:t>
      </w:r>
    </w:p>
    <w:p w14:paraId="04562EC7" w14:textId="77777777" w:rsidR="00A8138F" w:rsidRDefault="00A8138F" w:rsidP="00A8138F">
      <w:pPr>
        <w:pStyle w:val="TextoNormal"/>
      </w:pPr>
    </w:p>
    <w:p w14:paraId="29E848CD" w14:textId="77777777" w:rsidR="00A8138F" w:rsidRDefault="00A8138F" w:rsidP="00A8138F">
      <w:pPr>
        <w:pStyle w:val="TextoNormal"/>
      </w:pPr>
      <w:r>
        <w:t>En esta ocasión se trataba de investigar las circunstancias del fallecimiento de una persona, cuyo cuerpo fue hallado sin vida en su domicilio sin aparentes signos de violencia; tomando en consideración que, en los días siguientes a la fecha en la que se situó la muerte, se detectaron movimientos en sus cuentas bancarias y tarjeta de crédito. Habrá de ser este el marco en que se desarrolle nuestro razonamiento al examinar la concreta investigación judicial realizada, comprobando, en primer lugar, si puede afirmarse la existencia de “sospechas razonables” de la comisión de un posible delito contra la vida, que pervivieran en el momento del cierre de la instrucción. Y, en segundo lugar, si en tal caso esas sospechas eran susceptibles de ser despejadas, al existir todavía medios de investigación a disposición de los órganos judiciales, que hubieran podido contribuir al esclarecimiento de los hechos.</w:t>
      </w:r>
    </w:p>
    <w:p w14:paraId="0A5E6C10" w14:textId="77777777" w:rsidR="00A8138F" w:rsidRDefault="00A8138F" w:rsidP="00A8138F">
      <w:pPr>
        <w:pStyle w:val="TextoNormal"/>
      </w:pPr>
    </w:p>
    <w:p w14:paraId="6D35C565" w14:textId="77777777" w:rsidR="00A8138F" w:rsidRDefault="00A8138F" w:rsidP="00A8138F">
      <w:pPr>
        <w:pStyle w:val="TextoNormal"/>
      </w:pPr>
      <w:r>
        <w:t>B) El Tribunal constata, a la vista de las actuaciones judiciales remitidas en este procedimiento de amparo, los siguientes hechos relevantes para la resolución de la presente demanda:</w:t>
      </w:r>
    </w:p>
    <w:p w14:paraId="0BA3C665" w14:textId="77777777" w:rsidR="00A8138F" w:rsidRDefault="00A8138F" w:rsidP="00A8138F">
      <w:pPr>
        <w:pStyle w:val="TextoNormal"/>
      </w:pPr>
    </w:p>
    <w:p w14:paraId="6528BF69" w14:textId="77777777" w:rsidR="00A8138F" w:rsidRDefault="00A8138F" w:rsidP="00A8138F">
      <w:pPr>
        <w:pStyle w:val="TextoNormal"/>
      </w:pPr>
      <w:r>
        <w:t>(i) El día 20 de septiembre de 2021 fue hallado en su domicilio el cuerpo sin vida de don Raúl Carlos Torres Cid, hermano e hijo de los recurrentes en amparo. El Juzgado de Instrucción núm. 5 de Bilbao acordó la incoación de diligencias previas “para averiguar la causa y circunstancias del fallecimiento”, autorizó el levantamiento del cadáver, acordó la autopsia y dio orden a la policía judicial para la averiguación de las circunstancias relacionadas con el fallecimiento. El informe preliminar de autopsia concluyó provisionalmente que se trataba de una muerte natural, indicando que “la causa fundamental probable de la muerte es una insuficiencia cardiorespiratoria aguda, pendiente de estudio. No existen lesiones traumáticas de interés en relación con la causa de la muerte” y dató la muerte en los cuatro-cinco días previos al levantamiento.</w:t>
      </w:r>
    </w:p>
    <w:p w14:paraId="393D247B" w14:textId="77777777" w:rsidR="00A8138F" w:rsidRDefault="00A8138F" w:rsidP="00A8138F">
      <w:pPr>
        <w:pStyle w:val="TextoNormal"/>
      </w:pPr>
    </w:p>
    <w:p w14:paraId="2D68F9BE" w14:textId="77777777" w:rsidR="00A8138F" w:rsidRDefault="00A8138F" w:rsidP="00A8138F">
      <w:pPr>
        <w:pStyle w:val="TextoNormal"/>
      </w:pPr>
      <w:r>
        <w:t>(ii) Los hermanos del fallecido, hoy recurrentes en amparo, acudieron al domicilio el día del hallazgo del cadáver y allí fueron identificados por los agentes actuantes. Asimismo, al día siguiente don Gonzalo Torres Cid compareció en el Juzgado de Instrucción núm. 5 de Bilbao solicitando la autorización para la incineración del cadáver de su hermano y que se le remitiese al correo electrónico facilitado por él mismo el informe de autopsia.</w:t>
      </w:r>
    </w:p>
    <w:p w14:paraId="077DF367" w14:textId="77777777" w:rsidR="00A8138F" w:rsidRDefault="00A8138F" w:rsidP="00A8138F">
      <w:pPr>
        <w:pStyle w:val="TextoNormal"/>
      </w:pPr>
    </w:p>
    <w:p w14:paraId="6DBEE348" w14:textId="77777777" w:rsidR="00A8138F" w:rsidRDefault="00A8138F" w:rsidP="00A8138F">
      <w:pPr>
        <w:pStyle w:val="TextoNormal"/>
      </w:pPr>
      <w:r>
        <w:t>(iii) El 25 de septiembre de 2021 tuvo entrada en el Juzgado de Instrucción núm. 5 de Bilbao el atestado de la Comisaría de Bilbao instruido por “hallazgo de cadáver” y el juzgado dictó auto el 27 de septiembre de 2021 acordando el sobreseimiento y archivo de las diligencias previas, razonando que en principio nada se oponía a que se tratase de una muerte natural.</w:t>
      </w:r>
    </w:p>
    <w:p w14:paraId="6FF01B11" w14:textId="77777777" w:rsidR="00A8138F" w:rsidRDefault="00A8138F" w:rsidP="00A8138F">
      <w:pPr>
        <w:pStyle w:val="TextoNormal"/>
      </w:pPr>
    </w:p>
    <w:p w14:paraId="64AA150F" w14:textId="77777777" w:rsidR="00A8138F" w:rsidRDefault="00A8138F" w:rsidP="00A8138F">
      <w:pPr>
        <w:pStyle w:val="TextoNormal"/>
      </w:pPr>
      <w:r>
        <w:t>(iv) El Instituto Vasco de Medicina Legal remitió resultado del análisis de las muestras. Asimismo, se emitió el informe definitivo de autopsia, que concluyó: “se puede estimar que nos encontramos ante una muerte natural producida probablemente por una patología cardiaca de tipo isquémico, sin que se pueda descartar un evento arrítmico”.</w:t>
      </w:r>
    </w:p>
    <w:p w14:paraId="77CD8714" w14:textId="77777777" w:rsidR="00A8138F" w:rsidRDefault="00A8138F" w:rsidP="00A8138F">
      <w:pPr>
        <w:pStyle w:val="TextoNormal"/>
      </w:pPr>
    </w:p>
    <w:p w14:paraId="4C486726" w14:textId="77777777" w:rsidR="00A8138F" w:rsidRDefault="00A8138F" w:rsidP="00A8138F">
      <w:pPr>
        <w:pStyle w:val="TextoNormal"/>
      </w:pPr>
      <w:r>
        <w:t>(v) La sección central de investigación criminal y policía judicial de la Ertzaintza remitió al Juzgado de Instrucción núm. 5 de Bilbao un atestado y siete oficios, fechados el 25 de mayo de 2022 solicitando el dictado de varios mandamientos judiciales y la entrega de determinados informes. En los mismos se ponía en conocimiento de dicho juzgado de instrucción que el fallecimiento de don Raúl Torres Cid estaba siendo investigado junto con otros hechos sucedidos en el partido judicial de Bilbao, con los que presentaba elementos coincidentes, que podrían constituir delitos de homicidio y se atribuían a un mismo individuo identificado como don Nelson David Moreno Bolaños.</w:t>
      </w:r>
    </w:p>
    <w:p w14:paraId="63F1E367" w14:textId="77777777" w:rsidR="00A8138F" w:rsidRDefault="00A8138F" w:rsidP="00A8138F">
      <w:pPr>
        <w:pStyle w:val="TextoNormal"/>
      </w:pPr>
    </w:p>
    <w:p w14:paraId="7D747FFD" w14:textId="77777777" w:rsidR="00A8138F" w:rsidRDefault="00A8138F" w:rsidP="00A8138F">
      <w:pPr>
        <w:pStyle w:val="TextoNormal"/>
      </w:pPr>
      <w:r>
        <w:t>En el mismo atestado: (1) se daba cuenta de la denuncia presentada el 27 de septiembre de 2021 por don Gonzalo Torres Cid, hermano del fallecido, indicando que en fechas y horas posteriores al fallecimiento de don Raúl Carlos Torres y haciendo uso de la tarjeta de crédito de la entidad Bankinter a su nombre se habían realizado diferentes extracciones de dinero en cajeros automáticos y compras en comercios y, se ponían en conocimiento del juzgado las diligencias efectuadas por la policía para el esclarecimiento de los hechos. En los oficios el equipo instructor explicaba que trabajaba en la hipótesis de que don Raúl Carlos Torres Cid conoció a don Nelson David Moreno Bolaños y concertó una cita con él en su domicilio, lugar donde don Raúl Carlos falleció, poco antes de realizarse las transferencias a través de la plataforma Bizum en favor de don Nelson David Moreno Bolaños. Y solicitaban la expedición de varios mandamientos para confirmar la relación existente entre don Raúl Carlos Torres Cid y don Nelson David Moreno Bolaños.</w:t>
      </w:r>
    </w:p>
    <w:p w14:paraId="4D33B28B" w14:textId="77777777" w:rsidR="00A8138F" w:rsidRDefault="00A8138F" w:rsidP="00A8138F">
      <w:pPr>
        <w:pStyle w:val="TextoNormal"/>
      </w:pPr>
    </w:p>
    <w:p w14:paraId="797CB576" w14:textId="77777777" w:rsidR="00A8138F" w:rsidRDefault="00A8138F" w:rsidP="00A8138F">
      <w:pPr>
        <w:pStyle w:val="TextoNormal"/>
      </w:pPr>
      <w:r>
        <w:t>(vi) El Juzgado de Instrucción núm. 5 de Bilbao dictó auto de 1 de junio de 2022 dejando sin efecto el sobreseimiento de las diligencias previas y acordó la ampliación del análisis toxicológico de las muestras del fallecido y la expedición de varios oficios. Sin embargo, denegó la extracción del contenido íntegro del terminal telefónico del fallecido y las diligencias solicitadas en relación con teléfonos que según los oficios de la policía eran utilizados por don Nelson David Moreno Bolaños.</w:t>
      </w:r>
    </w:p>
    <w:p w14:paraId="01898200" w14:textId="77777777" w:rsidR="00A8138F" w:rsidRDefault="00A8138F" w:rsidP="00A8138F">
      <w:pPr>
        <w:pStyle w:val="TextoNormal"/>
      </w:pPr>
    </w:p>
    <w:p w14:paraId="102439FD" w14:textId="77777777" w:rsidR="00A8138F" w:rsidRDefault="00A8138F" w:rsidP="00A8138F">
      <w:pPr>
        <w:pStyle w:val="TextoNormal"/>
      </w:pPr>
      <w:r>
        <w:t>(vii) El servicio de laboratorio forense del Instituto Vasco de Medicina Legal, remitió el informe ampliatorio solicitado, indicando que los valores obtenidos de GHB en hígado eran compatibles con niveles endógeno</w:t>
      </w:r>
      <w:r w:rsidRPr="00A8138F">
        <w:rPr>
          <w:i/>
        </w:rPr>
        <w:t>s post mort</w:t>
      </w:r>
      <w:r>
        <w:t>em.</w:t>
      </w:r>
    </w:p>
    <w:p w14:paraId="7087CAC0" w14:textId="77777777" w:rsidR="00A8138F" w:rsidRDefault="00A8138F" w:rsidP="00A8138F">
      <w:pPr>
        <w:pStyle w:val="TextoNormal"/>
      </w:pPr>
    </w:p>
    <w:p w14:paraId="16D5A1CF" w14:textId="77777777" w:rsidR="00A8138F" w:rsidRDefault="00A8138F" w:rsidP="00A8138F">
      <w:pPr>
        <w:pStyle w:val="TextoNormal"/>
      </w:pPr>
      <w:r>
        <w:t>(viii) Recibido el anterior informe, el 5 de julio de 2022, el Juzgado de Instrucción núm. 5 de Bilbao dictó providencia acordando continuar las actuaciones “en relación a un supuesto delito contra el patrimonio”.</w:t>
      </w:r>
    </w:p>
    <w:p w14:paraId="3ABA8D7D" w14:textId="77777777" w:rsidR="00A8138F" w:rsidRDefault="00A8138F" w:rsidP="00A8138F">
      <w:pPr>
        <w:pStyle w:val="TextoNormal"/>
      </w:pPr>
    </w:p>
    <w:p w14:paraId="089903FB" w14:textId="77777777" w:rsidR="00A8138F" w:rsidRDefault="00A8138F" w:rsidP="00A8138F">
      <w:pPr>
        <w:pStyle w:val="TextoNormal"/>
      </w:pPr>
      <w:r>
        <w:t>(ix) Los agentes remitieron un nuevo atestado ampliatorio, fechado el 11 de julio de 2022, en el que daban cuenta de las diligencias practicadas e informaban de que seguían trabajando en la hipótesis de que se produjo el fallecimiento de don Raúl Carlos y con posterioridad fue el propio don Nelson David Moreno Bolaños quien, haciendo uso del terminal telefónico del fallecido, efectuó las operaciones bancarias a través de la plataforma Bizum, así como el resto de transferencias, pagos y extracciones que se hicieron posteriormente con la tarjeta de crédito a nombre de don Raúl Carlos, una vez se apoderó de la propia tarjeta y obtuvo la clave pin de esta, para poder operar con ella. Asimismo, presentaron sucesivos oficios para solicitar la expedición de un mandamiento judicial para la investigación de una de las compras efectuadas con la tarjeta de crédito a nombre del fallecido y los correspondientes mandamientos judiciales dirigidos a las compañías telefónicas para obtener, en relación a determinados abonados que según indicaban eran utilizados por el investigado, sus tránsitos de comunicación y la geolocalización.</w:t>
      </w:r>
    </w:p>
    <w:p w14:paraId="694B68B1" w14:textId="77777777" w:rsidR="00A8138F" w:rsidRDefault="00A8138F" w:rsidP="00A8138F">
      <w:pPr>
        <w:pStyle w:val="TextoNormal"/>
      </w:pPr>
    </w:p>
    <w:p w14:paraId="1A6E4C99" w14:textId="77777777" w:rsidR="00A8138F" w:rsidRDefault="00A8138F" w:rsidP="00A8138F">
      <w:pPr>
        <w:pStyle w:val="TextoNormal"/>
      </w:pPr>
      <w:r>
        <w:t>(x) El Instituto Nacional de Toxicología y Ciencias Forenses remitió su dictamen de fecha 7 de julio de 2022, efectuado en las muestras de orina, hígado, riñón y contenido gástrico que concluyó que no se detectaba ninguna sustancia con significación toxicológica.</w:t>
      </w:r>
    </w:p>
    <w:p w14:paraId="23CD17ED" w14:textId="77777777" w:rsidR="00A8138F" w:rsidRDefault="00A8138F" w:rsidP="00A8138F">
      <w:pPr>
        <w:pStyle w:val="TextoNormal"/>
      </w:pPr>
    </w:p>
    <w:p w14:paraId="6C20F14C" w14:textId="77777777" w:rsidR="00A8138F" w:rsidRDefault="00A8138F" w:rsidP="00A8138F">
      <w:pPr>
        <w:pStyle w:val="TextoNormal"/>
      </w:pPr>
      <w:r>
        <w:t>(xi) El 19 de julio de 2022 el Juzgado de Instrucción núm. 5 de Bilbao dictó auto autorizando el oficio para la investigación de la compra efectuada con la tarjeta y denegó los mandamientos dirigidos a las operadoras telefónicas, subrayando en la resolución que no existía ningún dato de la comisión del supuesto homicidio y que se continuaban las actuaciones única y exclusivamente por supuesto delito contra el patrimonio.</w:t>
      </w:r>
    </w:p>
    <w:p w14:paraId="18984C7B" w14:textId="77777777" w:rsidR="00A8138F" w:rsidRDefault="00A8138F" w:rsidP="00A8138F">
      <w:pPr>
        <w:pStyle w:val="TextoNormal"/>
      </w:pPr>
    </w:p>
    <w:p w14:paraId="0B9074DE" w14:textId="77777777" w:rsidR="00A8138F" w:rsidRDefault="00A8138F" w:rsidP="00A8138F">
      <w:pPr>
        <w:pStyle w:val="TextoNormal"/>
      </w:pPr>
      <w:r>
        <w:t>(xii) El 24 de noviembre de 2024 el investigado, don Nelson David Moreno Bolaños, se acogió a su derecho a no prestar declaración.</w:t>
      </w:r>
    </w:p>
    <w:p w14:paraId="13B228A7" w14:textId="77777777" w:rsidR="00A8138F" w:rsidRDefault="00A8138F" w:rsidP="00A8138F">
      <w:pPr>
        <w:pStyle w:val="TextoNormal"/>
      </w:pPr>
    </w:p>
    <w:p w14:paraId="26C059AB" w14:textId="77777777" w:rsidR="00A8138F" w:rsidRDefault="00A8138F" w:rsidP="00A8138F">
      <w:pPr>
        <w:pStyle w:val="TextoNormal"/>
      </w:pPr>
      <w:r>
        <w:t>(xiii) El 27 de octubre de 2022 comparecieron en el Juzgado de Instrucción núm. 5 de Bilbao los recurrentes, solicitando su personación para ejercer la acusación particular. El juzgado de instrucción acordó por providencia tenerlos por personados en sucesivas providencias de 27 y 31 de octubre de 2022.</w:t>
      </w:r>
    </w:p>
    <w:p w14:paraId="03978826" w14:textId="77777777" w:rsidR="00A8138F" w:rsidRDefault="00A8138F" w:rsidP="00A8138F">
      <w:pPr>
        <w:pStyle w:val="TextoNormal"/>
      </w:pPr>
    </w:p>
    <w:p w14:paraId="2141F0FF" w14:textId="77777777" w:rsidR="00A8138F" w:rsidRDefault="00A8138F" w:rsidP="00A8138F">
      <w:pPr>
        <w:pStyle w:val="TextoNormal"/>
      </w:pPr>
      <w:r>
        <w:t>(xiv) El 29 de noviembre de 2022 el Juzgado de Instrucción núm. 5 de Bilbao acordó por providencia recibir declaración en calidad de denunciante a don Gonzalo Torres Cid y efectuar el correspondiente ofrecimiento de acciones por el delito contra el patrimonio, señalando para tal diligencia el 23 de enero de 2023.</w:t>
      </w:r>
    </w:p>
    <w:p w14:paraId="6652DB6E" w14:textId="77777777" w:rsidR="00A8138F" w:rsidRDefault="00A8138F" w:rsidP="00A8138F">
      <w:pPr>
        <w:pStyle w:val="TextoNormal"/>
      </w:pPr>
    </w:p>
    <w:p w14:paraId="59475796" w14:textId="77777777" w:rsidR="00A8138F" w:rsidRDefault="00A8138F" w:rsidP="00A8138F">
      <w:pPr>
        <w:pStyle w:val="TextoNormal"/>
      </w:pPr>
      <w:r>
        <w:t>(xv) Los hoy demandantes de amparo interpusieron recurso de reforma y subsidiaria apelación contra la providencia de fecha 5 de julio de 2022; formulando asimismo incidente de nulidad de actuaciones contra la citada providencia, para el supuesto de que los recursos se considerasen extemporáneos.</w:t>
      </w:r>
    </w:p>
    <w:p w14:paraId="6509A601" w14:textId="77777777" w:rsidR="00A8138F" w:rsidRDefault="00A8138F" w:rsidP="00A8138F">
      <w:pPr>
        <w:pStyle w:val="TextoNormal"/>
      </w:pPr>
    </w:p>
    <w:p w14:paraId="51EB5872" w14:textId="77777777" w:rsidR="00A8138F" w:rsidRDefault="00A8138F" w:rsidP="00A8138F">
      <w:pPr>
        <w:pStyle w:val="TextoNormal"/>
      </w:pPr>
      <w:r>
        <w:t>El Juzgado de Instrucción núm. 5 de Bilbao dictó providencia inadmitiendo el recurso de reforma y subsidiaria apelación al considerarlos extemporáneos y, posteriormente dictó auto acordando la desestimación de la petición de nulidad de actuaciones promovida por los recurrentes, argumentando que fue el auto de 1 de junio de 2022 —y no la posterior providencia de 5 de julio de 2022— la que acordó que continuasen las actuaciones por delito contra el patrimonio; que en ningún momento se iniciaron las diligencias previas por un delito de homicidio; y que aunque estas resoluciones efectivamente no habían sido notificadas a los denunciantes, no se había producido indefensión a estos.</w:t>
      </w:r>
    </w:p>
    <w:p w14:paraId="20C5F390" w14:textId="77777777" w:rsidR="00A8138F" w:rsidRDefault="00A8138F" w:rsidP="00A8138F">
      <w:pPr>
        <w:pStyle w:val="TextoNormal"/>
      </w:pPr>
    </w:p>
    <w:p w14:paraId="37355F51" w14:textId="77777777" w:rsidR="00A8138F" w:rsidRDefault="00A8138F" w:rsidP="00A8138F">
      <w:pPr>
        <w:pStyle w:val="TextoNormal"/>
      </w:pPr>
      <w:r>
        <w:t>C) Los hechos anteriormente relatados, puestos en relación con la jurisprudencia constitucional en la materia, determinan que este tribunal aprecie, de conformidad con lo alegado por los recurrentes y por el Ministerio Fiscal, que la decisión judicial de sobreseer provisionalmente el procedimiento en relación a la investigación del fallecimiento de don Raúl Carlos Torres Cid y las circunstancias en las que se produjo su muerte, no fue conforme con las exigencias del art. 24.1 CE en relación con el derecho a la vida (art. 15 CE) al no cumplir las exigencias constitucionales de una investigación suficiente y eficaz por las razones siguientes:</w:t>
      </w:r>
    </w:p>
    <w:p w14:paraId="482B54BD" w14:textId="77777777" w:rsidR="00A8138F" w:rsidRDefault="00A8138F" w:rsidP="00A8138F">
      <w:pPr>
        <w:pStyle w:val="TextoNormal"/>
      </w:pPr>
    </w:p>
    <w:p w14:paraId="2B16EBD1" w14:textId="77777777" w:rsidR="00A8138F" w:rsidRDefault="00A8138F" w:rsidP="00A8138F">
      <w:pPr>
        <w:pStyle w:val="TextoNormal"/>
      </w:pPr>
      <w:r>
        <w:t>a) En primer lugar, este tribunal advierte que existían en el procedimiento datos suficientemente indiciarios como para afirmar la existencia de una “sospecha razonable” sobre las circunstancias del fallecimiento de don Raúl Carlos Torres Cid.</w:t>
      </w:r>
    </w:p>
    <w:p w14:paraId="1D8E38F5" w14:textId="77777777" w:rsidR="00A8138F" w:rsidRDefault="00A8138F" w:rsidP="00A8138F">
      <w:pPr>
        <w:pStyle w:val="TextoNormal"/>
      </w:pPr>
    </w:p>
    <w:p w14:paraId="1905F3BA" w14:textId="77777777" w:rsidR="00A8138F" w:rsidRDefault="00A8138F" w:rsidP="00A8138F">
      <w:pPr>
        <w:pStyle w:val="TextoNormal"/>
      </w:pPr>
      <w:r>
        <w:t>Como ponen de manifiesto los recurrentes, desde el atestado remitido al juzgado el 25 de mayo de 2022 y en las posteriores ampliaciones, los agentes encargados pusieron en conocimiento del mismo la existencia de una investigación policial conjunta de varios sucesos, en relación con el investigado don Nelson David Moreno Bolaños, todos ellos ocurridos en el año 2021. Así, en la causa se había puesto de relieve por la policía:</w:t>
      </w:r>
    </w:p>
    <w:p w14:paraId="5A2E9C4D" w14:textId="77777777" w:rsidR="00A8138F" w:rsidRDefault="00A8138F" w:rsidP="00A8138F">
      <w:pPr>
        <w:pStyle w:val="TextoNormal"/>
      </w:pPr>
    </w:p>
    <w:p w14:paraId="71DE2CB0" w14:textId="77777777" w:rsidR="00A8138F" w:rsidRDefault="00A8138F" w:rsidP="00A8138F">
      <w:pPr>
        <w:pStyle w:val="TextoNormal"/>
      </w:pPr>
      <w:r>
        <w:t>(i) la existencia de un patrón criminal común a otros procedimientos, en los que se investigaba la posible existencia de delitos de homicidio —cuatro de ellos consumados y dos en grado de tentativa— y se atribuían a una misma persona, con elementos que también se verificaban en el presente, como las circunstancia en que fueron encontradas las víctimas —en sus domicilios y sin presentar signos externos ni internos de violencia—, registrándose movimientos patrimoniales en las cuentas de aquellas, con posterioridad al fallecimiento;</w:t>
      </w:r>
    </w:p>
    <w:p w14:paraId="10E8F5B6" w14:textId="77777777" w:rsidR="00A8138F" w:rsidRDefault="00A8138F" w:rsidP="00A8138F">
      <w:pPr>
        <w:pStyle w:val="TextoNormal"/>
      </w:pPr>
    </w:p>
    <w:p w14:paraId="25EFB1A4" w14:textId="77777777" w:rsidR="00A8138F" w:rsidRDefault="00A8138F" w:rsidP="00A8138F">
      <w:pPr>
        <w:pStyle w:val="TextoNormal"/>
      </w:pPr>
      <w:r>
        <w:t xml:space="preserve">(ii) la confirmación del </w:t>
      </w:r>
      <w:r w:rsidRPr="00A8138F">
        <w:rPr>
          <w:i/>
        </w:rPr>
        <w:t>modus operandi</w:t>
      </w:r>
      <w:r>
        <w:t xml:space="preserve"> que se investigaba por las propias declaraciones de las víctimas supérstites, que habían declarado en sus correspondientes procedimientos haber perdido el conocimiento tras haber sido estrangulados mediante una maniobra de presión carotidea por parte del investigado; maniobra que, según se explica en el procedimiento, no deja necesariamente signos ni marcas de violencia externas ni internas;</w:t>
      </w:r>
    </w:p>
    <w:p w14:paraId="5180A689" w14:textId="77777777" w:rsidR="00A8138F" w:rsidRDefault="00A8138F" w:rsidP="00A8138F">
      <w:pPr>
        <w:pStyle w:val="TextoNormal"/>
      </w:pPr>
    </w:p>
    <w:p w14:paraId="70A8DDC6" w14:textId="77777777" w:rsidR="00A8138F" w:rsidRDefault="00A8138F" w:rsidP="00A8138F">
      <w:pPr>
        <w:pStyle w:val="TextoNormal"/>
      </w:pPr>
      <w:r>
        <w:t>(iii) las declaraciones parcialmente auto inculpatorias efectuadas por el investigado en otro procedimiento, en las que habría reconocido, según se indica, cierta participación en una organización criminal que se dedicaba a contactar con hombres, concertar citas sexuales en sus domicilios y, una vez dentro, “desmayarlos” mediante la técnica del “mata león”, para obtener sus datos bancarios y realizar operaciones patrimoniales fraudulentas;</w:t>
      </w:r>
    </w:p>
    <w:p w14:paraId="4F97252B" w14:textId="77777777" w:rsidR="00A8138F" w:rsidRDefault="00A8138F" w:rsidP="00A8138F">
      <w:pPr>
        <w:pStyle w:val="TextoNormal"/>
      </w:pPr>
    </w:p>
    <w:p w14:paraId="159CA4C5" w14:textId="77777777" w:rsidR="00A8138F" w:rsidRDefault="00A8138F" w:rsidP="00A8138F">
      <w:pPr>
        <w:pStyle w:val="TextoNormal"/>
      </w:pPr>
      <w:r>
        <w:t>(iv) la constatación de que la víctima de este procedimiento tenía en los contactos de su teléfono móvil registrados dos números cuyo uso se atribuía al investigado;</w:t>
      </w:r>
    </w:p>
    <w:p w14:paraId="3A5B8918" w14:textId="77777777" w:rsidR="00A8138F" w:rsidRDefault="00A8138F" w:rsidP="00A8138F">
      <w:pPr>
        <w:pStyle w:val="TextoNormal"/>
      </w:pPr>
    </w:p>
    <w:p w14:paraId="3598D5A3" w14:textId="77777777" w:rsidR="00A8138F" w:rsidRDefault="00A8138F" w:rsidP="00A8138F">
      <w:pPr>
        <w:pStyle w:val="TextoNormal"/>
      </w:pPr>
      <w:r>
        <w:t>(v) la coincidencia en la fecha en que se databa el fallecimiento de la víctima y el comienzo de las operaciones vía telemática —utilizando el terminal telefónico de don Raúl Carlos Torres Cid, que fue encontrado en su domicilio— en la cuenta bancaria del fallecido. En concreto, según consta en las actuaciones: se registraron intentos de modificar los datos de la aplicación bizum; se pretendió enviar dinero a un teléfono asociado a una cuenta bancaria del investigado; y se solicitó la visualización del pin de la tarjeta de crédito, tarjeta que posteriormente sería utilizada en varios comercios y cajeros automáticos;</w:t>
      </w:r>
    </w:p>
    <w:p w14:paraId="516780AB" w14:textId="77777777" w:rsidR="00A8138F" w:rsidRDefault="00A8138F" w:rsidP="00A8138F">
      <w:pPr>
        <w:pStyle w:val="TextoNormal"/>
      </w:pPr>
    </w:p>
    <w:p w14:paraId="71F87C22" w14:textId="77777777" w:rsidR="00A8138F" w:rsidRDefault="00A8138F" w:rsidP="00A8138F">
      <w:pPr>
        <w:pStyle w:val="TextoNormal"/>
      </w:pPr>
      <w:r>
        <w:t>(vi) el investigado había sido reconocido por los agentes en las imágenes correspondientes a varias extracciones efectuadas con la tarjeta bancaria del fallecido en los cajeros automáticos; y</w:t>
      </w:r>
    </w:p>
    <w:p w14:paraId="0FF671C9" w14:textId="77777777" w:rsidR="00A8138F" w:rsidRDefault="00A8138F" w:rsidP="00A8138F">
      <w:pPr>
        <w:pStyle w:val="TextoNormal"/>
      </w:pPr>
    </w:p>
    <w:p w14:paraId="48325511" w14:textId="77777777" w:rsidR="00A8138F" w:rsidRDefault="00A8138F" w:rsidP="00A8138F">
      <w:pPr>
        <w:pStyle w:val="TextoNormal"/>
      </w:pPr>
      <w:r>
        <w:t>(vii) se ocuparon varios objetos adquiridos con la mencionada tarjeta entre las pertenencias del investigado o personas cercanas al mismo.</w:t>
      </w:r>
    </w:p>
    <w:p w14:paraId="7A5769E9" w14:textId="77777777" w:rsidR="00A8138F" w:rsidRDefault="00A8138F" w:rsidP="00A8138F">
      <w:pPr>
        <w:pStyle w:val="TextoNormal"/>
      </w:pPr>
    </w:p>
    <w:p w14:paraId="6A1CA706" w14:textId="77777777" w:rsidR="00A8138F" w:rsidRDefault="00A8138F" w:rsidP="00A8138F">
      <w:pPr>
        <w:pStyle w:val="TextoNormal"/>
      </w:pPr>
      <w:r>
        <w:t>b) Como ha quedado reseñado, el juzgado de instrucción al tener noticia del hallazgo del cadáver, acordó su levantamiento, la autopsia y dio orden a la policía para la averiguación de las circunstancias del fallecimiento. Tras recibir el informe preliminar de autopsia y el atestado inicial, acordó el sobreseimiento provisional, señalando que, en principio, nada se oponía a que fuese una muerte natural, tal y como recogía el informe preliminar de autopsia. Los posteriores informes de los servicios de toxicología y de autopsia definitiva no variaron aquella resolución.</w:t>
      </w:r>
    </w:p>
    <w:p w14:paraId="0C225BCD" w14:textId="77777777" w:rsidR="00A8138F" w:rsidRDefault="00A8138F" w:rsidP="00A8138F">
      <w:pPr>
        <w:pStyle w:val="TextoNormal"/>
      </w:pPr>
    </w:p>
    <w:p w14:paraId="33A2A473" w14:textId="77777777" w:rsidR="00A8138F" w:rsidRDefault="00A8138F" w:rsidP="00A8138F">
      <w:pPr>
        <w:pStyle w:val="TextoNormal"/>
      </w:pPr>
      <w:r>
        <w:t>Sin embargo, la recepción de los oficios y atestados de 25 de mayo de 2022, en los que por primera vez se ponía en conocimiento del juzgado de instrucción la existencia de la investigación conjunta, la hipótesis en la que trabajaba el equipo policial y la existencia de movimientos en la cuenta bancaria del fallecido con posterioridad a la fecha en la que se fijaba el sobreseimiento, determinó que el juzgado dejase sin efecto el sobreseimiento y acordase la ampliación del análisis toxicológico incluyendo la presencia de GHB. No obstante, al recibir la ampliación solicitada, determinó en la providencia impugnada que las actuaciones continuasen en relación a un supuesto delito contra el patrimonio; sin que los posteriores atestados presentados ni las peticiones de oficios modificasen esta decisión judicial, que fue ratificada en el auto de 19 de julio de 2022.</w:t>
      </w:r>
    </w:p>
    <w:p w14:paraId="62A9CA17" w14:textId="77777777" w:rsidR="00A8138F" w:rsidRDefault="00A8138F" w:rsidP="00A8138F">
      <w:pPr>
        <w:pStyle w:val="TextoNormal"/>
      </w:pPr>
    </w:p>
    <w:p w14:paraId="72243A49" w14:textId="77777777" w:rsidR="00A8138F" w:rsidRDefault="00A8138F" w:rsidP="00A8138F">
      <w:pPr>
        <w:pStyle w:val="TextoNormal"/>
      </w:pPr>
      <w:r>
        <w:t>Los recurrentes pusieron de manifiesto los elementos anteriormente señalados que permitían cuestionar las conclusiones de los informes forenses, en sus escritos y en los recursos de reforma, apelación e incidente de nulidad de actuaciones formulados, en los que interesaban la continuación de la investigación de las circunstancias del fallecimiento, solicitando la práctica de las correspondientes diligencias, poniendo de relieve, además, la falta de notificación de las resoluciones que habrían archivado parcialmente el procedimiento y que se debía haber efectuado, de acuerdo con su condición de víctimas indirectas.</w:t>
      </w:r>
    </w:p>
    <w:p w14:paraId="2259D4FE" w14:textId="77777777" w:rsidR="00A8138F" w:rsidRDefault="00A8138F" w:rsidP="00A8138F">
      <w:pPr>
        <w:pStyle w:val="TextoNormal"/>
      </w:pPr>
    </w:p>
    <w:p w14:paraId="542AC879" w14:textId="77777777" w:rsidR="00A8138F" w:rsidRDefault="00A8138F" w:rsidP="00A8138F">
      <w:pPr>
        <w:pStyle w:val="TextoNormal"/>
      </w:pPr>
      <w:r>
        <w:t>El juzgado de instrucción inadmitió el recurso de reforma y en el auto que desestimó el incidente de nulidad de actuaciones mantuvo que no existían datos objetivos de comisión de supuesto delito de homicidio y la hipótesis relativa al estrangulamiento del que podría haber sido víctima el fallecido se basaba en “elucubraciones, suposiciones y conjeturas”. Además, rechazó las pretensiones de los recurrentes afirmando: (i) que fue el auto de 1 de junio de 2022 (y no la providencia de 5 de julio de 2022) el que determinó el objeto del procedimiento, limitándolo a la investigación de un delito contra el patrimonio; (ii) que “en ningún momento fue iniciado procedimiento, ni se hizo referencia alguna a diligencias previas por delito de homicidio”, aunque “para mayor certeza, en cuanto a la tipificación de los hechos, se acordara la práctica de unas diligencias”, como la de solicitar al Instituto Anatómico Forense para que se informara en relación a la causa, naturaleza y etiología del fallecimiento de don Raúl Carlos Torres Cid, llevando a cabo una ampliación del análisis químico toxicológico, incluyendo la posible presencia de GHB.</w:t>
      </w:r>
    </w:p>
    <w:p w14:paraId="73BC65F5" w14:textId="77777777" w:rsidR="00A8138F" w:rsidRDefault="00A8138F" w:rsidP="00A8138F">
      <w:pPr>
        <w:pStyle w:val="TextoNormal"/>
      </w:pPr>
    </w:p>
    <w:p w14:paraId="72275094" w14:textId="77777777" w:rsidR="00A8138F" w:rsidRDefault="00A8138F" w:rsidP="00A8138F">
      <w:pPr>
        <w:pStyle w:val="TextoNormal"/>
      </w:pPr>
      <w:r>
        <w:t>Finalmente, respecto de la falta de notificación a los recurrentes de las resoluciones de archivo, el juzgado de instrucción afirma en su resolución que: (i) para el juzgado la existencia del denunciante “le era desconocida hasta que se recibió la ampliación del atestado el día 25/5/2022”; (ii) ninguna indefensión había sufrido el denunciante “quien formuló denuncia por estafa y las actuaciones se han seguido por delito contra el patrimonio”, sin que hubiese habido “alteración sustancial ni resolución que haya supuesto un cambio esencial del procedimiento”.</w:t>
      </w:r>
    </w:p>
    <w:p w14:paraId="06F40080" w14:textId="77777777" w:rsidR="00A8138F" w:rsidRDefault="00A8138F" w:rsidP="00A8138F">
      <w:pPr>
        <w:pStyle w:val="TextoNormal"/>
      </w:pPr>
    </w:p>
    <w:p w14:paraId="59D79CB8" w14:textId="77777777" w:rsidR="00A8138F" w:rsidRDefault="00A8138F" w:rsidP="00A8138F">
      <w:pPr>
        <w:pStyle w:val="TextoNormal"/>
      </w:pPr>
      <w:r>
        <w:t>c) Pese a la gravedad de los hechos —el hallazgo del cadáver de don Raúl Carlos Torres Cid en su domicilio—; la constatación de gestiones efectuadas desde su propio teléfono, efectuadas en el día y franja horaria en la que se podría situar el fallecimiento, para verificar el pin de la tarjeta bancaria del fallecido, modificar las condiciones para las transferencias a través de la plataforma Bizum y efectuar intentos de envíos de dinero; así como la constancia de la utilización de la tarjeta del fallecido en los días posteriores para efectuar compras y extracciones de dinero en cajeros automáticos; la resolución judicial, sin embargo, mantuvo que no existían datos objetivos de comisión de supuesto delito de homicidio y justificó el sobreseimiento en las conclusiones de los sucesivos informes periciales (el informe pericial de levantamiento de cadáver; los informes preliminar y definitivo de autopsia), en particular los dictámenes de los servicios de toxicología que determinaron que los niveles detectados de alcohol etílico no eran concluyentes y los valores de GHB en hígado eran compatibles con niveles endógeno</w:t>
      </w:r>
      <w:r w:rsidRPr="00A8138F">
        <w:rPr>
          <w:i/>
        </w:rPr>
        <w:t>s post mort</w:t>
      </w:r>
      <w:r>
        <w:t>em.</w:t>
      </w:r>
    </w:p>
    <w:p w14:paraId="193096C3" w14:textId="77777777" w:rsidR="00A8138F" w:rsidRDefault="00A8138F" w:rsidP="00A8138F">
      <w:pPr>
        <w:pStyle w:val="TextoNormal"/>
      </w:pPr>
    </w:p>
    <w:p w14:paraId="58BC4581" w14:textId="77777777" w:rsidR="00A8138F" w:rsidRDefault="00A8138F" w:rsidP="00A8138F">
      <w:pPr>
        <w:pStyle w:val="TextoNormal"/>
      </w:pPr>
      <w:r>
        <w:t>Sin embargo, como ponen de relieve los recurrentes, ello no era suficiente razón para dar por concluida la investigación, pues la ausencia de signos visibles de violencia en el cadáver o de presencia de tóxicos en el organismo, no era el único dato susceptible de despejar toda sospecha sobre las circunstancias del fallecimiento de don Raúl Carlos Torres Cid.</w:t>
      </w:r>
    </w:p>
    <w:p w14:paraId="61B4D678" w14:textId="77777777" w:rsidR="00A8138F" w:rsidRDefault="00A8138F" w:rsidP="00A8138F">
      <w:pPr>
        <w:pStyle w:val="TextoNormal"/>
      </w:pPr>
    </w:p>
    <w:p w14:paraId="3834C544" w14:textId="77777777" w:rsidR="00A8138F" w:rsidRDefault="00A8138F" w:rsidP="00A8138F">
      <w:pPr>
        <w:pStyle w:val="TextoNormal"/>
      </w:pPr>
      <w:r>
        <w:t>Las conclusiones de los médicos forenses deben enmarcarse en un contexto en el que, según el acta de inspección ocular, el cuerpo había sido hallado en un domicilio cuyas estancias presentaban signos de aparente normalidad. Y como ponen de manifestó los recurrentes, la hipótesis que planteaba el equipo instructor era la posibilidad de que se hubiese efectuado sobre el fallecido una maniobra de estrangulamiento por presión carótida conocida como “mata león”, que puede ser compatible con la ausencia de signos de violencia y de lesiones internas y externas en el cadáver de la víctima; posibilidad que no fue planteada en ningún momento a los peritos para su valoración ni tampoco parece que pudiese despejarse con la ampliación del análisis químico toxicológico sobre las muestras del fallecido, incluyendo la posible presencia de GHB, que acordó la magistrada.</w:t>
      </w:r>
    </w:p>
    <w:p w14:paraId="6C3B7EF0" w14:textId="77777777" w:rsidR="00A8138F" w:rsidRDefault="00A8138F" w:rsidP="00A8138F">
      <w:pPr>
        <w:pStyle w:val="TextoNormal"/>
      </w:pPr>
    </w:p>
    <w:p w14:paraId="0CA671B1" w14:textId="77777777" w:rsidR="00A8138F" w:rsidRDefault="00A8138F" w:rsidP="00A8138F">
      <w:pPr>
        <w:pStyle w:val="TextoNormal"/>
      </w:pPr>
      <w:r>
        <w:t>d) El juzgado instructor rechazó las pretensiones de los recurrentes afirmando que fue el auto de 1 de junio de 2022 el que determinó el objeto del procedimiento, limitándolo a la investigación de un delito contra el patrimonio y que, además, en ningún momento fue iniciado procedimiento, ni se hizo referencia alguna a diligencias previas por delito de homicidio, aunque se acordasen determinadas diligencias, como la ampliación del análisis toxicológico “para mayor certeza en cuanto a la tipificación de los hechos”.</w:t>
      </w:r>
    </w:p>
    <w:p w14:paraId="6C7A3541" w14:textId="77777777" w:rsidR="00A8138F" w:rsidRDefault="00A8138F" w:rsidP="00A8138F">
      <w:pPr>
        <w:pStyle w:val="TextoNormal"/>
      </w:pPr>
    </w:p>
    <w:p w14:paraId="5689CBF3" w14:textId="77777777" w:rsidR="00A8138F" w:rsidRDefault="00A8138F" w:rsidP="00A8138F">
      <w:pPr>
        <w:pStyle w:val="TextoNormal"/>
      </w:pPr>
      <w:r>
        <w:t>Esta última afirmación no resulta sostenible. La investigación policial y la instrucción judicial, desde el inicio, se dirigieron a esclarecer las circunstancias del fallecimiento, siendo ampliadas posteriormente para investigar los movimientos en la tarjeta y cuenta de don Raúl Carlos Torres Cid, posteriores a la fecha en la que se había fijado el fallecimiento.</w:t>
      </w:r>
    </w:p>
    <w:p w14:paraId="6FCD942B" w14:textId="77777777" w:rsidR="00A8138F" w:rsidRDefault="00A8138F" w:rsidP="00A8138F">
      <w:pPr>
        <w:pStyle w:val="TextoNormal"/>
      </w:pPr>
    </w:p>
    <w:p w14:paraId="66F89D8B" w14:textId="77777777" w:rsidR="00A8138F" w:rsidRDefault="00A8138F" w:rsidP="00A8138F">
      <w:pPr>
        <w:pStyle w:val="TextoNormal"/>
      </w:pPr>
      <w:r>
        <w:t>Así se desprende del tenor literal del auto de incoación de las diligencias previas del Juzgado de Instrucción núm. 5 de Bilbao dictado el 20 de septiembre de 2021, en el que se acordaba que el médico forense presentase un informe con la descripción detallada del estado del cadáver y sus circunstancias; indicando expresamente que en cuanto apreciase cualquier signo de violencia o sospecha de criminalidad, diese aviso inmediato y suspendiese el levantamiento del cadáver hasta la llegada de la comisión judicial. Además, en la misma resolución se acordó la autopsia del fallecido, informando sobre las causas del fallecimiento; dando orden a la policía judicial para que procediese “de inmediato a la averiguación de las circunstancias relacionadas con el fallecimiento”.</w:t>
      </w:r>
    </w:p>
    <w:p w14:paraId="0392F2E0" w14:textId="77777777" w:rsidR="00A8138F" w:rsidRDefault="00A8138F" w:rsidP="00A8138F">
      <w:pPr>
        <w:pStyle w:val="TextoNormal"/>
      </w:pPr>
    </w:p>
    <w:p w14:paraId="2FBAAC13" w14:textId="77777777" w:rsidR="00A8138F" w:rsidRDefault="00A8138F" w:rsidP="00A8138F">
      <w:pPr>
        <w:pStyle w:val="TextoNormal"/>
      </w:pPr>
      <w:r>
        <w:t>Por otro lado, no hay duda de que los sucesivos informes presentados por los médicos forenses y los análisis de toxicología pretendían contribuir a determinar las causas del fallecimiento.</w:t>
      </w:r>
    </w:p>
    <w:p w14:paraId="638B188C" w14:textId="77777777" w:rsidR="00A8138F" w:rsidRDefault="00A8138F" w:rsidP="00A8138F">
      <w:pPr>
        <w:pStyle w:val="TextoNormal"/>
      </w:pPr>
    </w:p>
    <w:p w14:paraId="2F713A03" w14:textId="77777777" w:rsidR="00A8138F" w:rsidRDefault="00A8138F" w:rsidP="00A8138F">
      <w:pPr>
        <w:pStyle w:val="TextoNormal"/>
      </w:pPr>
      <w:r>
        <w:t>Y posteriormente, el auto de 1 de junio de 2022 acordó la reapertura del procedimiento para solicitar al Instituto Anatómico Forense un informe “en relación a la causa, naturaleza y etiología del fallecimiento”, ampliando el análisis químico-toxicológico, para verificar si se obtenía algún “dato relevante que justifique […] que la causa de la muerte sea violenta u homicida”, aunque acordase también otras diligencias.</w:t>
      </w:r>
    </w:p>
    <w:p w14:paraId="01C43327" w14:textId="77777777" w:rsidR="00A8138F" w:rsidRDefault="00A8138F" w:rsidP="00A8138F">
      <w:pPr>
        <w:pStyle w:val="TextoNormal"/>
      </w:pPr>
    </w:p>
    <w:p w14:paraId="232FCF29" w14:textId="77777777" w:rsidR="00A8138F" w:rsidRDefault="00A8138F" w:rsidP="00A8138F">
      <w:pPr>
        <w:pStyle w:val="TextoNormal"/>
      </w:pPr>
      <w:r>
        <w:t>En definitiva, no hay duda de que las diligencias previas incoadas tenían como objeto el esclarecimiento de las circunstancias en las que don Raúl Carlos Torres Cid falleció. Sin que lo anterior fuese obstáculo a que se ampliase la investigación a los movimientos patrimoniale</w:t>
      </w:r>
      <w:r w:rsidRPr="00A8138F">
        <w:rPr>
          <w:i/>
        </w:rPr>
        <w:t>s post mort</w:t>
      </w:r>
      <w:r>
        <w:t>em denunciados.</w:t>
      </w:r>
    </w:p>
    <w:p w14:paraId="1A320F41" w14:textId="77777777" w:rsidR="00A8138F" w:rsidRDefault="00A8138F" w:rsidP="00A8138F">
      <w:pPr>
        <w:pStyle w:val="TextoNormal"/>
      </w:pPr>
    </w:p>
    <w:p w14:paraId="561F0A8D" w14:textId="77777777" w:rsidR="00A8138F" w:rsidRDefault="00A8138F" w:rsidP="00A8138F">
      <w:pPr>
        <w:pStyle w:val="TextoNormal"/>
      </w:pPr>
      <w:r>
        <w:t>e) Comprobado que el auto impugnado no cumplía con el deber de motivación reforzada que le era exigible, debemos verificar ahora si en el presente caso los órganos judiciales agotaron todos los medios razonables y eficaces de investigación a su alcance para intentar esclarecer las circunstancias del fallecimiento de don Raúl Carlos Torres Cid. De nuevo la suficiencia y efectividad de la investigación debe evaluarse valorando las concretas circunstancias del caso y su gravedad, la disponibilidad o dificultad probatoria y la respuesta ofrecida por la jurisdicción ordinaria. Pues, como antes hemos señalado, “[p]uede resultar razonable que no se prosiga con una investigación que no aclara la inexistencia de los hechos denunciados, pero que, sin embargo, ha agotado ya los medios razonables y eficaces de investigación. El canon de la investigación suficiente se refiere así tanto a la inexistencia de sospechas razonables, como a la utilidad de continuar con la instrucción”. Debiendo insistirse que “la suficiencia de la investigación judicial no puede ser resuelta solo con criterios abstractos, sino en función tanto de los datos que se aportaron inicialmente a la instrucción y de los después conocidos, que aportaban o eliminaban argumentos para continuarla o para darla por terminada, como de la gravedad de los hechos investigados y de la dificultad propia de la investigación, que pueden exigir nuevas y más incisivas diligencias que en otro tipo de causas serían innecesarias” (STC 34/2008, de 25 de febrero, FFJJ 8 y 4).</w:t>
      </w:r>
    </w:p>
    <w:p w14:paraId="0167351C" w14:textId="77777777" w:rsidR="00A8138F" w:rsidRDefault="00A8138F" w:rsidP="00A8138F">
      <w:pPr>
        <w:pStyle w:val="TextoNormal"/>
      </w:pPr>
    </w:p>
    <w:p w14:paraId="5300E08D" w14:textId="77777777" w:rsidR="00A8138F" w:rsidRDefault="00A8138F" w:rsidP="00A8138F">
      <w:pPr>
        <w:pStyle w:val="TextoNormal"/>
      </w:pPr>
      <w:r>
        <w:t>Atendiendo a las concretas circunstancias del caso, cabe adelantar que el grado de esfuerzo judicial desarrollado no alcanza la suficiencia y efectividad exigida por la jurisprudencia constitucional en la materia. El Tribunal advierte que se clausuró la investigación renunciando de modo injustificado a la práctica de diligencias que podrían contribuir al debido esclarecimiento de los hechos.</w:t>
      </w:r>
    </w:p>
    <w:p w14:paraId="74D2CE4C" w14:textId="77777777" w:rsidR="00A8138F" w:rsidRDefault="00A8138F" w:rsidP="00A8138F">
      <w:pPr>
        <w:pStyle w:val="TextoNormal"/>
      </w:pPr>
    </w:p>
    <w:p w14:paraId="38D9E253" w14:textId="77777777" w:rsidR="00A8138F" w:rsidRDefault="00A8138F" w:rsidP="00A8138F">
      <w:pPr>
        <w:pStyle w:val="TextoNormal"/>
      </w:pPr>
      <w:r>
        <w:t>(i) Como hemos indicado, este tribunal constata que inicialmente el órgano de instrucción no permaneció pasivo ante la comunicación del hallazgo del cadáver y acordó determinadas diligencias para el esclarecimiento de los hechos. Sin embargo, los nuevos datos puestos de manifiesto por la policía judicial sobre la hipótesis en la que trabajaban exigían una mayor diligencia por el órgano instructor que, sin embargo, denegó determinadas diligencias y acordó el sobreseimiento, llegando incluso a indicar a la policía judicial que se centrase “únicamente” en el delito contra el patrimonio, “obviando referencias a supuestos homicidios no objeto de investigación”.</w:t>
      </w:r>
    </w:p>
    <w:p w14:paraId="4D36C635" w14:textId="77777777" w:rsidR="00A8138F" w:rsidRDefault="00A8138F" w:rsidP="00A8138F">
      <w:pPr>
        <w:pStyle w:val="TextoNormal"/>
      </w:pPr>
    </w:p>
    <w:p w14:paraId="569E75FD" w14:textId="77777777" w:rsidR="00A8138F" w:rsidRDefault="00A8138F" w:rsidP="00A8138F">
      <w:pPr>
        <w:pStyle w:val="TextoNormal"/>
      </w:pPr>
      <w:r>
        <w:t xml:space="preserve">(ii) El mandato de una instrucción suficiente y eficaz no comporta la realización de todas las diligencias de investigación posibles, pero sí impone que no se clausure la instrucción judicial cuando existan sospechas razonables de que se ha podido cometer un delito contra la vida y tales sospechas sean susceptibles de ser despejadas a través de la actividad investigadora. No se trata de que se practiquen todas y cada una de las diligencias solicitadas o imaginables, sino de que en un contexto aún de incertidumbre acerca de lo acaecido se practiquen aquellas que </w:t>
      </w:r>
      <w:r w:rsidRPr="00A8138F">
        <w:rPr>
          <w:i/>
        </w:rPr>
        <w:t>a priori</w:t>
      </w:r>
      <w:r>
        <w:t xml:space="preserve"> se revelen susceptibles de despejar tales dudas fácticas. Debe insistirse que la suficiencia de la investigación se determina considerando tanto los datos que se aportaron inicialmente, como los conocidos con posterioridad.</w:t>
      </w:r>
    </w:p>
    <w:p w14:paraId="523FC9ED" w14:textId="77777777" w:rsidR="00A8138F" w:rsidRDefault="00A8138F" w:rsidP="00A8138F">
      <w:pPr>
        <w:pStyle w:val="TextoNormal"/>
      </w:pPr>
    </w:p>
    <w:p w14:paraId="3AF390E4" w14:textId="77777777" w:rsidR="00A8138F" w:rsidRDefault="00A8138F" w:rsidP="00A8138F">
      <w:pPr>
        <w:pStyle w:val="TextoNormal"/>
      </w:pPr>
      <w:r>
        <w:t>En este caso, en las circunstancias en las que fue hallado el cuerpo de don Raúl Carlos Torres Cid, las diligencias acordadas por el juzgado podrían considerarse inicialmente adecuadas. Sin embargo, la posterior constatación de movimientos en su cuenta y gestiones efectuadas con la entidad bancaria, en el día y franja horaria en la que se sitúa el fallecimiento, y desde el terminal telefónico del fallecido, que fue encontrado en su domicilio entre sus pertenencias, junto con los indicios existentes en el procedimiento derivados de la investigación policial, exigían una mayor diligencia que la observada.</w:t>
      </w:r>
    </w:p>
    <w:p w14:paraId="0056562F" w14:textId="77777777" w:rsidR="00A8138F" w:rsidRDefault="00A8138F" w:rsidP="00A8138F">
      <w:pPr>
        <w:pStyle w:val="TextoNormal"/>
      </w:pPr>
    </w:p>
    <w:p w14:paraId="6CD1C392" w14:textId="77777777" w:rsidR="00A8138F" w:rsidRDefault="00A8138F" w:rsidP="00A8138F">
      <w:pPr>
        <w:pStyle w:val="TextoNormal"/>
      </w:pPr>
      <w:r>
        <w:t>(iii) Conforme apuntan los recurrentes, existían numerosas diligencias de investigación que todavía podían servir para esclarecer las circunstancias del fallecimiento y despejar las dudas razonables que resultaban de los indicios existentes que apuntaban a la posibilidad de que el investigado hubiese estado en el lugar y hora en que se fijó el fallecimiento.</w:t>
      </w:r>
    </w:p>
    <w:p w14:paraId="6D3F9A42" w14:textId="77777777" w:rsidR="00A8138F" w:rsidRDefault="00A8138F" w:rsidP="00A8138F">
      <w:pPr>
        <w:pStyle w:val="TextoNormal"/>
      </w:pPr>
    </w:p>
    <w:p w14:paraId="06B6A0D8" w14:textId="77777777" w:rsidR="00A8138F" w:rsidRDefault="00A8138F" w:rsidP="00A8138F">
      <w:pPr>
        <w:pStyle w:val="TextoNormal"/>
      </w:pPr>
      <w:r>
        <w:t>Así, resultaba posible recabar de los médicos forenses un informe sobre si, con los datos obrantes en la autopsia, resultaba posible que la causa del fallecimiento hubiese sido una maniobra de estrangulamiento por presión carótida y si la misma podía ser compatible con la ausencia de signos de violencia y de lesiones internas y externas en el cadáver de la víctima. Dicha diligencia de investigación, atendida las circunstancias del caso, se advierte como especialmente idónea, pertinente y relevante, para confirmar o refutar las hipótesis que planteaba el equipo instructor y, posteriormente, los recurrentes; sin que se advierta obstáculo alguno que impidiese la práctica de esta diligencia.</w:t>
      </w:r>
    </w:p>
    <w:p w14:paraId="2318B3EB" w14:textId="77777777" w:rsidR="00A8138F" w:rsidRDefault="00A8138F" w:rsidP="00A8138F">
      <w:pPr>
        <w:pStyle w:val="TextoNormal"/>
      </w:pPr>
    </w:p>
    <w:p w14:paraId="75F9B7D2" w14:textId="77777777" w:rsidR="00A8138F" w:rsidRDefault="00A8138F" w:rsidP="00A8138F">
      <w:pPr>
        <w:pStyle w:val="TextoNormal"/>
      </w:pPr>
      <w:r>
        <w:t>(iv) Asimismo, las diligencias solicitadas por los agentes que permitirían la geolocalización de los teléfonos utilizados por el investigado en la fecha en la que se situó el fallecimiento, podrían contribuir a verificar su presencia en los días decisivos para la investigación.</w:t>
      </w:r>
    </w:p>
    <w:p w14:paraId="1809D421" w14:textId="77777777" w:rsidR="00A8138F" w:rsidRDefault="00A8138F" w:rsidP="00A8138F">
      <w:pPr>
        <w:pStyle w:val="TextoNormal"/>
      </w:pPr>
    </w:p>
    <w:p w14:paraId="325587B5" w14:textId="77777777" w:rsidR="00A8138F" w:rsidRDefault="00A8138F" w:rsidP="00A8138F">
      <w:pPr>
        <w:pStyle w:val="TextoNormal"/>
      </w:pPr>
      <w:r>
        <w:t>(v) Junto a ello, el análisis de la actividad del usuario correspondiente a la víctima, en los días investigados, en la aplicación Wapo que estaba instalada en su móvil de la víctima, podría coadyuvar a determinar la existencia o inexistencia de relación entre la víctima y el investigado;</w:t>
      </w:r>
    </w:p>
    <w:p w14:paraId="49D5D3E0" w14:textId="77777777" w:rsidR="00A8138F" w:rsidRDefault="00A8138F" w:rsidP="00A8138F">
      <w:pPr>
        <w:pStyle w:val="TextoNormal"/>
      </w:pPr>
    </w:p>
    <w:p w14:paraId="64C7C8DD" w14:textId="77777777" w:rsidR="00A8138F" w:rsidRDefault="00A8138F" w:rsidP="00A8138F">
      <w:pPr>
        <w:pStyle w:val="TextoNormal"/>
      </w:pPr>
      <w:r>
        <w:t>(vi) Así como haber recibido declaración a este último sobre su posible participación, no ya en un delito contra el patrimonio del fallecido (como se hizo, aunque se acogiere entonces a su derecho a no declarar), sino en la propia causación de su muerte.</w:t>
      </w:r>
    </w:p>
    <w:p w14:paraId="28CA72C0" w14:textId="77777777" w:rsidR="00A8138F" w:rsidRDefault="00A8138F" w:rsidP="00A8138F">
      <w:pPr>
        <w:pStyle w:val="TextoNormal"/>
      </w:pPr>
    </w:p>
    <w:p w14:paraId="1C970815" w14:textId="77777777" w:rsidR="00A8138F" w:rsidRDefault="00A8138F" w:rsidP="00A8138F">
      <w:pPr>
        <w:pStyle w:val="TextoNormal"/>
      </w:pPr>
      <w:r>
        <w:t>En definitiva, el Tribunal, nuevamente en coincidencia con la apreciación del Ministerio Fiscal en su escrito de alegaciones, debe concluir que no se ha dado cumplimiento a la exigencia constitucional de perseverancia en la actividad indagatoria, en atención a las numerosas diligencias de investigación no practicadas y que podían servir para despejar las dudas razonables sobre las circunstancias del fallecimiento de don Raúl Carlos Torres Cid, algunas ya solicitadas expresamente por la policía judicial y los demandantes de amparo en la causa; y otras que pudiera haber acordado de oficio el juzgado o ser solicitadas por el propio Ministerio Fiscal en la función constitucional que tiene encomendada de promover la acción de la justicia en defensa de la legalidad, de los derechos de los ciudadanos y del interés público tutelado por la ley (art. 124.1 CE).</w:t>
      </w:r>
    </w:p>
    <w:p w14:paraId="34BFA368" w14:textId="77777777" w:rsidR="00A8138F" w:rsidRDefault="00A8138F" w:rsidP="00A8138F">
      <w:pPr>
        <w:pStyle w:val="TextoNormal"/>
      </w:pPr>
    </w:p>
    <w:p w14:paraId="205FB3DC" w14:textId="1F818675" w:rsidR="00A8138F" w:rsidRDefault="00A8138F" w:rsidP="00A8138F">
      <w:pPr>
        <w:pStyle w:val="TextoNormal"/>
      </w:pPr>
      <w:r>
        <w:t>De este modo, la insuficiente actividad probatoria desplegada por el órgano instructor produjo una vulneración del derecho a la tutela judicial efectiva de los recurrentes (art. 24.1 CE), puesto en relación con el derecho a la vida (art. 15 CE), y que se traduce como el derecho a una investigación suficiente y eficaz ante un posible delito de homicidio (o en su caso asesinato), lo que comporta la estimación de esta primera queja de la demanda de amparo, con los efectos que se indicarán en el último fundamento jurídico.</w:t>
      </w:r>
    </w:p>
    <w:p w14:paraId="4D3EBDED" w14:textId="77777777" w:rsidR="00A8138F" w:rsidRDefault="00A8138F" w:rsidP="00A8138F">
      <w:pPr>
        <w:pStyle w:val="TextoNormal"/>
      </w:pPr>
    </w:p>
    <w:p w14:paraId="091BC23C" w14:textId="77777777" w:rsidR="00A8138F" w:rsidRDefault="00A8138F" w:rsidP="00A8138F">
      <w:pPr>
        <w:pStyle w:val="TextoNormal"/>
      </w:pPr>
      <w:r w:rsidRPr="00A8138F">
        <w:rPr>
          <w:rStyle w:val="NumeroAFNegritaCaracter"/>
        </w:rPr>
        <w:t>8</w:t>
      </w:r>
      <w:r>
        <w:t xml:space="preserve">. </w:t>
      </w:r>
      <w:r w:rsidRPr="00A8138F">
        <w:rPr>
          <w:i/>
        </w:rPr>
        <w:t>Resolución de la segunda queja de la demanda de amparo</w:t>
      </w:r>
    </w:p>
    <w:p w14:paraId="0FC7D123" w14:textId="77777777" w:rsidR="00A8138F" w:rsidRDefault="00A8138F" w:rsidP="00A8138F">
      <w:pPr>
        <w:pStyle w:val="TextoNormal"/>
      </w:pPr>
    </w:p>
    <w:p w14:paraId="54A8248D" w14:textId="77777777" w:rsidR="00A8138F" w:rsidRDefault="00A8138F" w:rsidP="00A8138F">
      <w:pPr>
        <w:pStyle w:val="TextoNormal"/>
      </w:pPr>
      <w:r>
        <w:t>Como se ha resumido en el antecedente 3 y en el fundamento jurídico 1 de esta sentencia, la demanda de amparo ha planteado una segunda queja por vulneración de su derecho a la tutela judicial efectiva (art. 24.1 CE), en relación con los arts. 6 y 13 CEDH, por no haberle sido debidamente comunicados a los recurrentes el auto de sobreseimiento de la investigación por el fallecimiento de su pariente. Se aduce también la lesión del derecho de acceso al recurso (art. 24.1 CE), pues como consecuencia de aquella omisión informativa no pudieron impugnar en tiempo y forma el mentado auto; resultando sin embargo esta última una queja dependiente de aquella otra, que es la principalmente deducida y a la que ahora se dará contestación.</w:t>
      </w:r>
    </w:p>
    <w:p w14:paraId="77EB6E5C" w14:textId="77777777" w:rsidR="00A8138F" w:rsidRDefault="00A8138F" w:rsidP="00A8138F">
      <w:pPr>
        <w:pStyle w:val="TextoNormal"/>
      </w:pPr>
    </w:p>
    <w:p w14:paraId="6858AD8F" w14:textId="77777777" w:rsidR="00A8138F" w:rsidRDefault="00A8138F" w:rsidP="00A8138F">
      <w:pPr>
        <w:pStyle w:val="TextoNormal"/>
      </w:pPr>
      <w:r>
        <w:t>Según se desprende del examen de las actuaciones y denuncian los recurrentes, en la instrucción de la causa en efecto tampoco se atendió debidamente el derecho de los familiares del fallecido a participar en el proceso penal como víctimas indirectas.</w:t>
      </w:r>
    </w:p>
    <w:p w14:paraId="093C0C1F" w14:textId="77777777" w:rsidR="00A8138F" w:rsidRDefault="00A8138F" w:rsidP="00A8138F">
      <w:pPr>
        <w:pStyle w:val="TextoNormal"/>
      </w:pPr>
    </w:p>
    <w:p w14:paraId="40F46CF3" w14:textId="77777777" w:rsidR="00A8138F" w:rsidRDefault="00A8138F" w:rsidP="00A8138F">
      <w:pPr>
        <w:pStyle w:val="TextoNormal"/>
      </w:pPr>
      <w:r>
        <w:t>El juzgado de instrucción afirma en el auto de 12 de enero de 2023 impugnado, para rechazar la indefensión de los recurrentes por falta de notificación de las resoluciones de archivo, que: (i) para el juzgado la existencia del denunciante “le era desconocida hasta que se recibió la ampliación del atestado el día 25/5/2022”; y (ii) ninguna indefensión había sufrido el denunciante quien formuló “denuncia por estafa y las actuaciones se han seguido por delito contra el patrimonio”, sin que hubiese habido “alteración sustancial ni resolución que haya supuesto un cambio esencial del procedimiento”.</w:t>
      </w:r>
    </w:p>
    <w:p w14:paraId="55F87672" w14:textId="77777777" w:rsidR="00A8138F" w:rsidRDefault="00A8138F" w:rsidP="00A8138F">
      <w:pPr>
        <w:pStyle w:val="TextoNormal"/>
      </w:pPr>
    </w:p>
    <w:p w14:paraId="614C7525" w14:textId="77777777" w:rsidR="00A8138F" w:rsidRDefault="00A8138F" w:rsidP="00A8138F">
      <w:pPr>
        <w:pStyle w:val="TextoNormal"/>
      </w:pPr>
      <w:r>
        <w:t>A la vista de las actuaciones, dichas afirmaciones no pueden ser mantenidas.</w:t>
      </w:r>
    </w:p>
    <w:p w14:paraId="4EB163E1" w14:textId="77777777" w:rsidR="00A8138F" w:rsidRDefault="00A8138F" w:rsidP="00A8138F">
      <w:pPr>
        <w:pStyle w:val="TextoNormal"/>
      </w:pPr>
    </w:p>
    <w:p w14:paraId="799C0B5B" w14:textId="77777777" w:rsidR="00A8138F" w:rsidRDefault="00A8138F" w:rsidP="00A8138F">
      <w:pPr>
        <w:pStyle w:val="TextoNormal"/>
      </w:pPr>
      <w:r>
        <w:t>Como hemos indicado, el procedimiento penal desde su origen tuvo por objeto el esclarecimiento de las causas del fallecimiento, sin perjuicio de que posteriormente se ampliase a la investigación de los movimientos patrimoniales en las cuentas del fallecido. Es la investigación de aquel suceso la que otorgaba a los recurrentes, padre y hermanos del fallecido, la condición de víctimas indirectas de acuerdo con el art. 2 b) de la Ley 4/2015, de 27 de abril, del estatuto de la víctima del delito y desde el inicio del procedimiento.</w:t>
      </w:r>
    </w:p>
    <w:p w14:paraId="4B0B9809" w14:textId="77777777" w:rsidR="00A8138F" w:rsidRDefault="00A8138F" w:rsidP="00A8138F">
      <w:pPr>
        <w:pStyle w:val="TextoNormal"/>
      </w:pPr>
    </w:p>
    <w:p w14:paraId="418BC1D2" w14:textId="77777777" w:rsidR="00A8138F" w:rsidRDefault="00A8138F" w:rsidP="00A8138F">
      <w:pPr>
        <w:pStyle w:val="TextoNormal"/>
      </w:pPr>
      <w:r>
        <w:t>Esta condición de víctimas indirectas, conforme al art. 2 de Ley del estatuto de la víctima del delito, determinaba que las resoluciones de archivo debieran haber sido notificadas a las mismas, conforme el artículo 12 de Ley 4/2015, independientemente de que estuvieran o no personadas en el procedimiento en la fecha en la que se dictaron.</w:t>
      </w:r>
    </w:p>
    <w:p w14:paraId="32BCE915" w14:textId="77777777" w:rsidR="00A8138F" w:rsidRDefault="00A8138F" w:rsidP="00A8138F">
      <w:pPr>
        <w:pStyle w:val="TextoNormal"/>
      </w:pPr>
    </w:p>
    <w:p w14:paraId="498F82B0" w14:textId="77777777" w:rsidR="00A8138F" w:rsidRDefault="00A8138F" w:rsidP="00A8138F">
      <w:pPr>
        <w:pStyle w:val="TextoNormal"/>
      </w:pPr>
      <w:r>
        <w:t>Especialmente teniendo en cuenta que, a pesar de que el órgano judicial mantenga en el auto impugnado el desconocimiento de su existencia hasta el atestado presentado en mayo de 2022, consta en las actuaciones que los hermanos del fallecido estaban plenamente identificados desde el inicio de la causa, pues acudieron al domicilio en el que fue hallado el cadáver, como consta en el atestado inicial. Además de señalar que uno de los hermanos acudió a dependencias judiciales para solicitar la autorización para la incineración del cuerpo de su hermano, comparecencia efectuada al día siguiente de su hallazgo y en la que según consta en la diligencia extendida, solicitó que se le remitiese al correo electrónico facilitado el informe de autopsia.</w:t>
      </w:r>
    </w:p>
    <w:p w14:paraId="7B9EC0F2" w14:textId="77777777" w:rsidR="00A8138F" w:rsidRDefault="00A8138F" w:rsidP="00A8138F">
      <w:pPr>
        <w:pStyle w:val="TextoNormal"/>
      </w:pPr>
    </w:p>
    <w:p w14:paraId="485E4408" w14:textId="77777777" w:rsidR="00A8138F" w:rsidRDefault="00A8138F" w:rsidP="00A8138F">
      <w:pPr>
        <w:pStyle w:val="TextoNormal"/>
      </w:pPr>
      <w:r>
        <w:t>Y ello, al margen de que posteriormente uno de los hermanos interpusiese una denuncia por la posible comisión de los delitos patrimoniales; denuncia que, como indican los recurrentes, podía facilitar la investigación de las circunstancias del fallecimiento, al constatarse que el móvil del fallecido, que fue hallado junto a su cadáver, fue utilizado para realizar ciertas operaciones con la entidad bancaria (entre ellas, la consulta del pin de la tarjeta que sería posteriormente utilizada) en la fecha en la que se situó la muerte de don Raúl Carlos Torres Cid.</w:t>
      </w:r>
    </w:p>
    <w:p w14:paraId="2AA5182C" w14:textId="77777777" w:rsidR="00A8138F" w:rsidRDefault="00A8138F" w:rsidP="00A8138F">
      <w:pPr>
        <w:pStyle w:val="TextoNormal"/>
      </w:pPr>
    </w:p>
    <w:p w14:paraId="520849F9" w14:textId="77777777" w:rsidR="00A8138F" w:rsidRDefault="00A8138F" w:rsidP="00A8138F">
      <w:pPr>
        <w:pStyle w:val="TextoNormal"/>
      </w:pPr>
      <w:r>
        <w:t>La circunstancia de que el juez instructor no haya apreciado —pese a los datos objetivos que obraban en las actuaciones, al menos para continuar con la investigación— que se estaba ante la comisión de un posible delito de homicidio, no puede significar la privación a los familiares del fallecido de los derechos que les concede la Ley 4/2015 y, en particular, el de recibir comunicación de la decisión de sobreseimiento de la causa en cuanto a ese delito, a fin de permitir su derecho a impugnarla.</w:t>
      </w:r>
    </w:p>
    <w:p w14:paraId="6ED0C74D" w14:textId="77777777" w:rsidR="00A8138F" w:rsidRDefault="00A8138F" w:rsidP="00A8138F">
      <w:pPr>
        <w:pStyle w:val="TextoNormal"/>
      </w:pPr>
    </w:p>
    <w:p w14:paraId="25788A0F" w14:textId="32FDEBCB" w:rsidR="00A8138F" w:rsidRDefault="00A8138F" w:rsidP="00A8138F">
      <w:pPr>
        <w:pStyle w:val="TextoNormal"/>
      </w:pPr>
      <w:r>
        <w:t>Ha de estimarse por tanto también la queja de la demanda sobre la vulneración del derecho a la tutela judicial efectiva (art. 24.1 CE) de los recurrentes por este segundo motivo; con los efectos que se concretarán en el siguiente y último fundamento jurídico.</w:t>
      </w:r>
    </w:p>
    <w:p w14:paraId="3680B382" w14:textId="77777777" w:rsidR="00A8138F" w:rsidRDefault="00A8138F" w:rsidP="00A8138F">
      <w:pPr>
        <w:pStyle w:val="TextoNormal"/>
      </w:pPr>
    </w:p>
    <w:p w14:paraId="479FD105" w14:textId="77777777" w:rsidR="00A8138F" w:rsidRDefault="00A8138F" w:rsidP="00A8138F">
      <w:pPr>
        <w:pStyle w:val="TextoNormal"/>
      </w:pPr>
      <w:r w:rsidRPr="00A8138F">
        <w:rPr>
          <w:rStyle w:val="NumeroAFNegritaCaracter"/>
        </w:rPr>
        <w:t>9</w:t>
      </w:r>
      <w:r>
        <w:t xml:space="preserve">. </w:t>
      </w:r>
      <w:r w:rsidRPr="00A8138F">
        <w:rPr>
          <w:i/>
        </w:rPr>
        <w:t>Otorgamiento del amparo: efectos</w:t>
      </w:r>
    </w:p>
    <w:p w14:paraId="1A10C9AD" w14:textId="77777777" w:rsidR="00A8138F" w:rsidRDefault="00A8138F" w:rsidP="00A8138F">
      <w:pPr>
        <w:pStyle w:val="TextoNormal"/>
      </w:pPr>
    </w:p>
    <w:p w14:paraId="11EB737F" w14:textId="77777777" w:rsidR="00A8138F" w:rsidRDefault="00A8138F" w:rsidP="00A8138F">
      <w:pPr>
        <w:pStyle w:val="TextoNormal"/>
      </w:pPr>
      <w:r>
        <w:t>a) De acuerdo con las anteriores consideraciones, la estimación de ambas quejas de la demanda comporta el otorgamiento del amparo solicitado. En consecuencia, se acuerda la nulidad de las dos resoluciones impugnadas (providencia del 5 de julio de 2022 y auto de 3 de enero de 2023 del Juzgado de Instrucción núm. 5 de Bilbao), así como la nulidad del auto de 1 de junio de 2022 dictado por el mismo órgano judicial, tal como interesa el Ministerio Fiscal, toda vez que en este se denegó la práctica de diversas diligencias que podrían ser pertinentes para determinar si se cometió un delito de homicidio en la persona de don Carlos Torres Cid, pariente de los aquí recurrentes, conforme a lo ya expuesto.</w:t>
      </w:r>
    </w:p>
    <w:p w14:paraId="5F9BC269" w14:textId="77777777" w:rsidR="00A8138F" w:rsidRDefault="00A8138F" w:rsidP="00A8138F">
      <w:pPr>
        <w:pStyle w:val="TextoNormal"/>
      </w:pPr>
    </w:p>
    <w:p w14:paraId="1802DA4F" w14:textId="77777777" w:rsidR="00A8138F" w:rsidRDefault="00A8138F" w:rsidP="00A8138F">
      <w:pPr>
        <w:pStyle w:val="TextoNormal"/>
      </w:pPr>
      <w:r>
        <w:t>b) Como medida para la reparación efectiva de sus derechos [art. 55.1 c) LOTC], se acuerda la retroacción de las actuaciones al momento inmediatamente anterior al dictado de aquel auto de 1 de junio de 2002, a fin de que el juzgado de instrucción dicte una nueva resolución que resulte respetuosa de los derechos fundamentales declarados.</w:t>
      </w:r>
    </w:p>
    <w:p w14:paraId="36D06C2B" w14:textId="77777777" w:rsidR="00A8138F" w:rsidRDefault="00A8138F" w:rsidP="00A8138F">
      <w:pPr>
        <w:pStyle w:val="TextoNormal"/>
      </w:pPr>
    </w:p>
    <w:p w14:paraId="4648511D" w14:textId="77777777" w:rsidR="00A8138F" w:rsidRDefault="00A8138F" w:rsidP="00A8138F">
      <w:pPr>
        <w:pStyle w:val="TextoNormal"/>
      </w:pPr>
      <w:r>
        <w:t>A efectos de la aplicación del art. 324 LECrim por el Juzgado de Instrucción núm. 5 de Bilbao, se acuerda que los plazos previstos en dicha norma empezarán a computar desde la fecha de notificación de la presente sentencia al referido órgano judicial.</w:t>
      </w:r>
    </w:p>
    <w:p w14:paraId="00EA8593" w14:textId="77777777" w:rsidR="00A8138F" w:rsidRDefault="00A8138F" w:rsidP="00A8138F">
      <w:pPr>
        <w:pStyle w:val="TextoNormal"/>
      </w:pPr>
    </w:p>
    <w:p w14:paraId="2FA42117" w14:textId="77777777" w:rsidR="00A8138F" w:rsidRDefault="00A8138F" w:rsidP="00A8138F">
      <w:pPr>
        <w:pStyle w:val="TextoNormal"/>
      </w:pPr>
      <w:r>
        <w:t>En todo caso, y con observancia de los principios de conservación de los actos procesales y de mínima perturbación de los derechos e intereses de terceros (recogidos entre otras, en nuestras SSTC 266/2015, de 14 de diciembre, FJ 6, y 81/2023, de 3 de julio, FJ 4), la nueva resolución que se dicte así como las diligencias cuya práctica se ordene, habrán de referirse exclusivamente a la investigación del fallecimiento de don Raúl Carlos Torres Cid, manteniéndose por tanto la validez y eficacia de cosa juzgada de las actuaciones seguidas en ese procedimiento de instrucción en relación con la comisión de un delito contra el patrimonio atribuido al investigado don Nelson David Moreno Bolaños.</w:t>
      </w:r>
    </w:p>
    <w:p w14:paraId="0BDC735C" w14:textId="77777777" w:rsidR="00A8138F" w:rsidRDefault="00A8138F" w:rsidP="00A8138F">
      <w:pPr>
        <w:pStyle w:val="TextoNormal"/>
      </w:pPr>
    </w:p>
    <w:p w14:paraId="1C864209" w14:textId="0B72A370" w:rsidR="00A8138F" w:rsidRDefault="00A8138F" w:rsidP="00A8138F">
      <w:pPr>
        <w:pStyle w:val="TextoNormal"/>
      </w:pPr>
      <w:r>
        <w:t>c) Finalmente, no procede acordar la suspensión solicitada por los recurrentes en cuanto a la tramitación del recurso de apelación interpuesto por dicha parte contra la sentencia núm. 357/2024, de 30 de octubre, del Juzgado de lo Penal núm. 5 de Bilbao; en cuanto se trata de una resolución que se sitúa extramuros del objeto del presente recurso de amparo.</w:t>
      </w:r>
    </w:p>
    <w:p w14:paraId="13D1A9AE" w14:textId="77777777" w:rsidR="00A8138F" w:rsidRDefault="00A8138F" w:rsidP="00A8138F">
      <w:pPr>
        <w:pStyle w:val="TextoNormal"/>
      </w:pPr>
    </w:p>
    <w:p w14:paraId="081E98C5" w14:textId="77777777" w:rsidR="00A8138F" w:rsidRDefault="00A8138F" w:rsidP="00A8138F">
      <w:pPr>
        <w:pStyle w:val="TextoNormalCentrado"/>
        <w:keepNext/>
      </w:pPr>
      <w:r>
        <w:t>FALLO</w:t>
      </w:r>
    </w:p>
    <w:p w14:paraId="2B0F2495" w14:textId="7EFB41F7" w:rsidR="00A8138F" w:rsidRDefault="00A8138F" w:rsidP="00A8138F">
      <w:pPr>
        <w:pStyle w:val="TextoNormalCentrado"/>
        <w:keepNext/>
      </w:pPr>
    </w:p>
    <w:p w14:paraId="371A01B4" w14:textId="77777777" w:rsidR="00A8138F" w:rsidRDefault="00A8138F" w:rsidP="00A8138F">
      <w:pPr>
        <w:pStyle w:val="TextoNormal"/>
      </w:pPr>
      <w:r>
        <w:t>En atención a todo lo expuesto, el Tribunal Constitucional, por la autoridad que le confiere la Constitución de la Nación española, ha decidido, en relación con el recurso de amparo promovido por don Florentino Torres del Campo, don Rodrigo Torres Cid y don Gonzalo Torres Cid:</w:t>
      </w:r>
    </w:p>
    <w:p w14:paraId="15498D27" w14:textId="77777777" w:rsidR="00A8138F" w:rsidRDefault="00A8138F" w:rsidP="00A8138F">
      <w:pPr>
        <w:pStyle w:val="TextoNormal"/>
      </w:pPr>
    </w:p>
    <w:p w14:paraId="6C0B9531" w14:textId="77777777" w:rsidR="00A8138F" w:rsidRDefault="00A8138F" w:rsidP="00A8138F">
      <w:pPr>
        <w:pStyle w:val="TextoNormal"/>
      </w:pPr>
      <w:r>
        <w:t>1º Declarar vulnerado su derecho a la tutela judicial efectiva (art. 24.1 CE) en relación con el derecho a la vida (art. 15 CE).</w:t>
      </w:r>
    </w:p>
    <w:p w14:paraId="022FBD69" w14:textId="77777777" w:rsidR="00A8138F" w:rsidRDefault="00A8138F" w:rsidP="00A8138F">
      <w:pPr>
        <w:pStyle w:val="TextoNormal"/>
      </w:pPr>
    </w:p>
    <w:p w14:paraId="123FE63B" w14:textId="77777777" w:rsidR="00A8138F" w:rsidRDefault="00A8138F" w:rsidP="00A8138F">
      <w:pPr>
        <w:pStyle w:val="TextoNormal"/>
      </w:pPr>
      <w:r>
        <w:t>2º Restablecerlos en la integridad de su derecho y, a tal fin, declarar la nulidad de los autos de 1 de junio de 2022 y 3 de enero de 2023, así como la nulidad de la providencia de 5 de julio de 2022, dictados por el Juzgado de Instrucción núm. 5 de Bilbao en las diligencias previas núm. 1102-2021.</w:t>
      </w:r>
    </w:p>
    <w:p w14:paraId="4592C801" w14:textId="3F645539" w:rsidR="00A8138F" w:rsidRDefault="00A8138F" w:rsidP="00A8138F">
      <w:pPr>
        <w:pStyle w:val="TextoNormal"/>
      </w:pPr>
      <w:r>
        <w:t>3º Retrotraer las actuaciones al momento inmediatamente anterior al dictado del auto de 1 de junio de 2022, para que el Juzgado de Instrucción núm. 5 de Bilbao dicte una nueva resolución respetuosa con los derechos fundamentales vulnerados.</w:t>
      </w:r>
    </w:p>
    <w:p w14:paraId="60C88EBB" w14:textId="77777777" w:rsidR="00A8138F" w:rsidRDefault="00A8138F" w:rsidP="00A8138F">
      <w:pPr>
        <w:pStyle w:val="TextoNormal"/>
      </w:pPr>
    </w:p>
    <w:p w14:paraId="4AE4650F" w14:textId="77777777" w:rsidR="00A8138F" w:rsidRDefault="00A8138F" w:rsidP="00A8138F">
      <w:pPr>
        <w:pStyle w:val="TextoNormal"/>
      </w:pPr>
      <w:r>
        <w:t>Publíquese esta sentencia en el “Boletín Oficial del Estado”.</w:t>
      </w:r>
    </w:p>
    <w:p w14:paraId="7265561E" w14:textId="77777777" w:rsidR="00A8138F" w:rsidRDefault="00A8138F" w:rsidP="00A8138F">
      <w:pPr>
        <w:pStyle w:val="TextoNormal"/>
      </w:pPr>
      <w:r>
        <w:t>Dada en Madrid, a nueve de junio de dos mil veinticinco.</w:t>
      </w:r>
    </w:p>
    <w:p w14:paraId="545D2B50" w14:textId="15538591" w:rsidR="00A8138F" w:rsidRDefault="00A8138F">
      <w:pPr>
        <w:spacing w:after="160" w:line="278" w:lineRule="auto"/>
        <w:rPr>
          <w:rFonts w:ascii="Times New Roman" w:eastAsia="Times New Roman" w:hAnsi="Times New Roman" w:cs="Times New Roman"/>
          <w:sz w:val="24"/>
          <w:szCs w:val="24"/>
          <w:lang w:eastAsia="es-ES"/>
        </w:rPr>
      </w:pPr>
      <w:r>
        <w:br w:type="page"/>
      </w:r>
    </w:p>
    <w:p w14:paraId="279D7B7E" w14:textId="77777777" w:rsidR="00A8138F" w:rsidRDefault="00A8138F" w:rsidP="00A8138F">
      <w:pPr>
        <w:pStyle w:val="TtuloResolucin"/>
      </w:pPr>
      <w:bookmarkStart w:id="129" w:name="SENTENCIA_2025_127"/>
      <w:r>
        <w:t>SENTENCIA 127/2025, de 9 de junio de 2025</w:t>
      </w:r>
    </w:p>
    <w:bookmarkEnd w:id="129"/>
    <w:p w14:paraId="15774F49" w14:textId="77777777" w:rsidR="00A8138F" w:rsidRDefault="00A8138F" w:rsidP="00A8138F">
      <w:pPr>
        <w:pStyle w:val="TtuloResolucin"/>
      </w:pPr>
      <w:r>
        <w:t>Sala Primera</w:t>
      </w:r>
    </w:p>
    <w:p w14:paraId="646E360B" w14:textId="77777777" w:rsidR="00A8138F" w:rsidRDefault="00A8138F" w:rsidP="00A8138F">
      <w:pPr>
        <w:pStyle w:val="TtuloBOE"/>
      </w:pPr>
      <w:r>
        <w:t>(BOE núm. 168, de 14 de julio de 2025)</w:t>
      </w:r>
    </w:p>
    <w:p w14:paraId="2023BE76" w14:textId="77777777" w:rsidR="00A8138F" w:rsidRDefault="00A8138F" w:rsidP="00A8138F">
      <w:pPr>
        <w:pStyle w:val="TextoNormalCentrado"/>
      </w:pPr>
      <w:r>
        <w:t>ECLI:ES:TC:2025:127</w:t>
      </w:r>
    </w:p>
    <w:p w14:paraId="1DE170AB" w14:textId="6CAC1162" w:rsidR="00A8138F" w:rsidRDefault="00A8138F" w:rsidP="00A8138F">
      <w:pPr>
        <w:pStyle w:val="TextoNormalCentrado"/>
      </w:pPr>
    </w:p>
    <w:p w14:paraId="2961CAC2" w14:textId="77777777" w:rsidR="00A8138F" w:rsidRDefault="00A8138F" w:rsidP="00A8138F">
      <w:pPr>
        <w:pStyle w:val="SntesisDescriptiva"/>
      </w:pPr>
      <w:r>
        <w:t>Recurso de amparo 7544-2024. Promovido por doña Estíbaliz Gojenola Oleagoitia en relación con las resoluciones administrativas y judiciales que desestimaron su petición de revisión y ampliación de la prestación por nacimiento y cuidado de hijo menor, como madre biológica de familia monoparental.</w:t>
      </w:r>
    </w:p>
    <w:p w14:paraId="26565CD7" w14:textId="2AB97F9F" w:rsidR="00A8138F" w:rsidRDefault="00A8138F" w:rsidP="00A8138F">
      <w:pPr>
        <w:pStyle w:val="SntesisDescriptiva"/>
      </w:pPr>
    </w:p>
    <w:p w14:paraId="068F200A"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F5BF3A5" w14:textId="478CFB3D" w:rsidR="00A8138F" w:rsidRDefault="00A8138F" w:rsidP="00A8138F">
      <w:pPr>
        <w:pStyle w:val="SntesisAnaltica"/>
      </w:pPr>
    </w:p>
    <w:p w14:paraId="3BA180DD" w14:textId="3DD96731"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58FA02B5" w14:textId="77777777" w:rsidR="00A8138F" w:rsidRDefault="00A8138F" w:rsidP="00A8138F">
      <w:pPr>
        <w:pStyle w:val="Extracto"/>
      </w:pPr>
    </w:p>
    <w:p w14:paraId="58361F6E" w14:textId="77777777" w:rsidR="00A8138F" w:rsidRDefault="00A8138F" w:rsidP="00A8138F">
      <w:pPr>
        <w:pStyle w:val="Extracto"/>
      </w:pPr>
    </w:p>
    <w:p w14:paraId="39F678EF"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27F82077" w14:textId="7247723D" w:rsidR="00A8138F" w:rsidRDefault="00A8138F" w:rsidP="00A8138F">
      <w:pPr>
        <w:pStyle w:val="TextoNormal"/>
      </w:pPr>
    </w:p>
    <w:p w14:paraId="021B1623" w14:textId="77777777" w:rsidR="00A8138F" w:rsidRDefault="00A8138F" w:rsidP="00A8138F">
      <w:pPr>
        <w:pStyle w:val="TextoNormalCentrado"/>
        <w:keepNext/>
      </w:pPr>
      <w:r>
        <w:t>EN NOMBRE DEL REY</w:t>
      </w:r>
    </w:p>
    <w:p w14:paraId="73A1A84A" w14:textId="1BC2253B" w:rsidR="00A8138F" w:rsidRDefault="00A8138F" w:rsidP="00A8138F">
      <w:pPr>
        <w:pStyle w:val="TextoNormalCentrado"/>
        <w:keepNext/>
      </w:pPr>
    </w:p>
    <w:p w14:paraId="2D1B218D" w14:textId="77777777" w:rsidR="00A8138F" w:rsidRDefault="00A8138F" w:rsidP="00A8138F">
      <w:pPr>
        <w:pStyle w:val="TextoNormalCentrado"/>
        <w:keepNext/>
      </w:pPr>
    </w:p>
    <w:p w14:paraId="72353379" w14:textId="77777777" w:rsidR="00A8138F" w:rsidRDefault="00A8138F" w:rsidP="00A8138F">
      <w:pPr>
        <w:pStyle w:val="TextoNormal"/>
      </w:pPr>
      <w:r>
        <w:t>la siguiente</w:t>
      </w:r>
    </w:p>
    <w:p w14:paraId="1412D650" w14:textId="31B46FE3" w:rsidR="00A8138F" w:rsidRDefault="00A8138F" w:rsidP="00A8138F">
      <w:pPr>
        <w:pStyle w:val="TextoNormal"/>
      </w:pPr>
    </w:p>
    <w:p w14:paraId="4BE124EA" w14:textId="77777777" w:rsidR="00A8138F" w:rsidRDefault="00A8138F" w:rsidP="00A8138F">
      <w:pPr>
        <w:pStyle w:val="TextoNormalCentrado"/>
        <w:keepNext/>
      </w:pPr>
      <w:r>
        <w:t>SENTENCIA</w:t>
      </w:r>
    </w:p>
    <w:p w14:paraId="13D9A0D8" w14:textId="1EFC3099" w:rsidR="00A8138F" w:rsidRDefault="00A8138F" w:rsidP="00A8138F">
      <w:pPr>
        <w:pStyle w:val="TextoNormalCentrado"/>
        <w:keepNext/>
      </w:pPr>
    </w:p>
    <w:p w14:paraId="0D33A99F" w14:textId="77777777" w:rsidR="00A8138F" w:rsidRDefault="00A8138F" w:rsidP="00A8138F">
      <w:pPr>
        <w:pStyle w:val="TextoNormal"/>
      </w:pPr>
      <w:r>
        <w:t>En el recurso de amparo núm. 7544-2024, promovido por doña Estíbaliz Gojenola Oleagoitia, representada por la procuradora de los tribunales doña María Isabel Torres Ruiz y asistida por la letrada doña Nerea Lekue Tolosa, frente a las resoluciones del Instituto Nacional de la Seguridad Social (INSS) de 30 de diciembre de 2021 y de 7 de enero de 2022 que desestimaron la petición y reclamación previa dirigidas a la revisión y ampliación de la prestación por nacimiento y cuidado de hijo, y contra la sentencia núm. 1077/2024, de 11 de septiembre, de la Sala de lo Social del Tribunal Supremo, que estimó el recurso de casación para la unificación de doctrina núm. 2112-2023 interpuesto por el INSS y la Tesorería General de la Seguridad Social (TGSS) frente a la sentencia núm. 477/2023, de 16 de febrero, de la Sala de lo Social del Tribunal Superior de Justicia del País Vasco, que desestimó el recurso de suplicación núm. 2618-2022 interpuesto por el INSS y la TGSS frente a la sentencia núm. 180/2022, de 24 de mayo, del Juzgado de lo Social núm. 9 de Bilbao, que estimó su pretensión en los autos núm. 40-2022. Han intervenido la letrada de la Administración de la Seguridad Social y el Ministerio Fiscal. Ha sido ponente el magistrado don José María Macías Castaño.</w:t>
      </w:r>
    </w:p>
    <w:p w14:paraId="0ECF35BB" w14:textId="59903AFC" w:rsidR="00A8138F" w:rsidRDefault="00A8138F" w:rsidP="00A8138F">
      <w:pPr>
        <w:pStyle w:val="TextoNormal"/>
      </w:pPr>
    </w:p>
    <w:p w14:paraId="5FD736E9" w14:textId="77777777" w:rsidR="00A8138F" w:rsidRDefault="00A8138F" w:rsidP="00A8138F">
      <w:pPr>
        <w:pStyle w:val="TextoNormalNegritaCentrado"/>
        <w:keepNext/>
      </w:pPr>
      <w:r>
        <w:t>I. Antecedentes</w:t>
      </w:r>
    </w:p>
    <w:p w14:paraId="1A968C30" w14:textId="1C8CC7BC" w:rsidR="00A8138F" w:rsidRDefault="00A8138F" w:rsidP="00A8138F">
      <w:pPr>
        <w:pStyle w:val="TextoNormalNegritaCentrado"/>
        <w:keepNext/>
      </w:pPr>
    </w:p>
    <w:p w14:paraId="6EBC2E1F" w14:textId="40543AA2" w:rsidR="00A8138F" w:rsidRDefault="00A8138F" w:rsidP="00A8138F">
      <w:pPr>
        <w:pStyle w:val="TextoNormal"/>
      </w:pPr>
      <w:r w:rsidRPr="00A8138F">
        <w:rPr>
          <w:rStyle w:val="NumeroAFNegritaCaracter"/>
        </w:rPr>
        <w:t>1</w:t>
      </w:r>
      <w:r>
        <w:t>. Mediante escrito presentado en el registro general de este tribunal el día 8 de octubre de 2024, doña María Isabel Torres Ruiz, actuando en nombre y representación de doña Estíbaliz Gojenola Oleagoitia, interpuso recurso de amparo frente a las resoluciones administrativas y judicial a las que se ha hecho mención en el encabezamiento.</w:t>
      </w:r>
    </w:p>
    <w:p w14:paraId="718E1F83" w14:textId="77777777" w:rsidR="00A8138F" w:rsidRDefault="00A8138F" w:rsidP="00A8138F">
      <w:pPr>
        <w:pStyle w:val="TextoNormal"/>
      </w:pPr>
    </w:p>
    <w:p w14:paraId="1691700F" w14:textId="77777777" w:rsidR="00A8138F" w:rsidRDefault="00A8138F" w:rsidP="00A8138F">
      <w:pPr>
        <w:pStyle w:val="TextoNormal"/>
      </w:pPr>
      <w:r w:rsidRPr="00A8138F">
        <w:rPr>
          <w:rStyle w:val="NumeroAFNegritaCaracter"/>
        </w:rPr>
        <w:t>2</w:t>
      </w:r>
      <w:r>
        <w:t>. El presente recurso de amparo trae causa de los siguientes antecedentes:</w:t>
      </w:r>
    </w:p>
    <w:p w14:paraId="4EF84072" w14:textId="77777777" w:rsidR="00A8138F" w:rsidRDefault="00A8138F" w:rsidP="00A8138F">
      <w:pPr>
        <w:pStyle w:val="TextoNormal"/>
      </w:pPr>
    </w:p>
    <w:p w14:paraId="6D10ED68" w14:textId="77777777" w:rsidR="00A8138F" w:rsidRDefault="00A8138F" w:rsidP="00A8138F">
      <w:pPr>
        <w:pStyle w:val="TextoNormal"/>
      </w:pPr>
      <w:r>
        <w:t>a) La recurrente en amparo, madre biológica de una menor nacida el día 17 de septiembre de 2021, con la que forma una familia monoparental, solicitó la revisión del expediente de nacimiento y cuidado de menor 48-2021-16434-21 con el fin de que se ampliase la prestación reconocida en la resolución del INSS de 4 de octubre de 2021 de una duración de dieciséis semanas, en otras dieciséis semanas adicionales por tratarse de una familia monoparental y no existir otro progenitor. Su solicitud de revisión fue desestimada mediante resolución del INSS de 30 de diciembre de 2021 al no estar contemplada en la ley la posibilidad de ampliación y estar configurado el derecho como individual de cada progenitor. Interpuesta reclamación previa, fue desestimada mediante resolución de 7 de enero de 2022.</w:t>
      </w:r>
    </w:p>
    <w:p w14:paraId="22C2BBAA" w14:textId="77777777" w:rsidR="00A8138F" w:rsidRDefault="00A8138F" w:rsidP="00A8138F">
      <w:pPr>
        <w:pStyle w:val="TextoNormal"/>
      </w:pPr>
    </w:p>
    <w:p w14:paraId="565F4ADC" w14:textId="77777777" w:rsidR="00A8138F" w:rsidRDefault="00A8138F" w:rsidP="00A8138F">
      <w:pPr>
        <w:pStyle w:val="TextoNormal"/>
      </w:pPr>
      <w:r>
        <w:t>b) Disconforme con la duración de la prestación formuló demanda en la vía judicial frente al INSS y la TGSS, lo que dio lugar a los autos de Seguridad Social núm. 40-2022 seguidos ante el Juzgado de lo Social núm. 9 de Bilbao. Por sentencia núm. 180/2022, de 24 de mayo, se estimó la demanda reconociéndose la ampliación solicitada (dieciséis semanas de prestación adicionales) teniendo en cuenta la primacía del interés del menor y la igualdad de todos los hijos ante la ley con independencia del núcleo familiar del que formen parte, aceptando la postura adoptada por la sentencia del Tribunal Superior de Justicia del País Vasco, de 6 de octubre de 2020 (ECLI:ES:TSJPV:2020:396), que llegó a la conclusión de que la duración del permiso debía extenderse a la totalidad de semanas pretendidas (conforme a la regulación aplicable, dieciséis semanas) sin proceder al descuento de las semanas de disfrute obligatorio posterior al parto, a fin de no perpetuar una mayor precariedad de la clase de familias monoparentales como la de autos, mayoritariamente conformada por mujeres.</w:t>
      </w:r>
    </w:p>
    <w:p w14:paraId="2C69E1EC" w14:textId="77777777" w:rsidR="00A8138F" w:rsidRDefault="00A8138F" w:rsidP="00A8138F">
      <w:pPr>
        <w:pStyle w:val="TextoNormal"/>
      </w:pPr>
    </w:p>
    <w:p w14:paraId="57853F21" w14:textId="77777777" w:rsidR="00A8138F" w:rsidRDefault="00A8138F" w:rsidP="00A8138F">
      <w:pPr>
        <w:pStyle w:val="TextoNormal"/>
      </w:pPr>
      <w:r>
        <w:t>c) Frente a la referida sentencia se interpuso por el INSS y la TGSS recurso de suplicación núm. 2618-2022, que fue impugnado de contrario por la actora. El recurso fue desestimado por medio de la sentencia núm. 477/2023, de 16 de febrero, de la Sala de lo Social del Tribunal Superior de Justicia del País Vasco, que confirmó lo decidido en la instancia, reiterando los argumentos contenidos en las sentencias de esa Sala de 6 de octubre de 2020 y de 5 de octubre de 2021 (ECLI:ES:TSJPV:2021:2919) en las que, basándose en el interés superior del menor, apreciaron que la ley introducía una discriminación respecto de las familias monoparentales al verse mermadas las posibilidades del cuidado del menor.</w:t>
      </w:r>
    </w:p>
    <w:p w14:paraId="2CA4AFAA" w14:textId="77777777" w:rsidR="00A8138F" w:rsidRDefault="00A8138F" w:rsidP="00A8138F">
      <w:pPr>
        <w:pStyle w:val="TextoNormal"/>
      </w:pPr>
    </w:p>
    <w:p w14:paraId="041A54DC" w14:textId="65A07C6C" w:rsidR="00A8138F" w:rsidRDefault="00A8138F" w:rsidP="00A8138F">
      <w:pPr>
        <w:pStyle w:val="TextoNormal"/>
      </w:pPr>
      <w:r>
        <w:t>d) Frente a la anterior sentencia la parte demandada (INSS y TGSS) interpuso recurso de casación para la unificación de doctrina núm. 2112-2023, que fue estimado mediante sentencia núm. 1077/2024, de 11 de septiembre, de la Sala de lo Social del Tribunal Supremo, al apreciar que la posición acertada era la mantenida en la sentencia referencial. Se recordó que, sobre la cuestión suscitada, el Pleno de esa Sala había tenido la oportunidad de pronunciarse en la STS 169/2023, de 2 de marzo (ECLI:ES:TS:2023:783), conforme a la cual, la legislación vigente no permitía el reconocimiento del derecho pretendido, sin que ello supusiera la infracción del derecho a la igualdad y a la no discriminación (art. 14 CE) denunciada.</w:t>
      </w:r>
    </w:p>
    <w:p w14:paraId="0ED86792" w14:textId="77777777" w:rsidR="00A8138F" w:rsidRDefault="00A8138F" w:rsidP="00A8138F">
      <w:pPr>
        <w:pStyle w:val="TextoNormal"/>
      </w:pPr>
    </w:p>
    <w:p w14:paraId="5BA53341" w14:textId="23159574" w:rsidR="00A8138F" w:rsidRDefault="00A8138F" w:rsidP="00A8138F">
      <w:pPr>
        <w:pStyle w:val="TextoNormal"/>
      </w:pPr>
      <w:r w:rsidRPr="00A8138F">
        <w:rPr>
          <w:rStyle w:val="NumeroAFNegritaCaracter"/>
        </w:rPr>
        <w:t>3</w:t>
      </w:r>
      <w:r>
        <w:t>. En la demanda de amparo la recurrente denuncia la infracción del art. 14 CE, en relación con los arts. 39 y 9.2 CE, alegando: (i) una desigualdad entre madres biológicas de familias monoparentales y madres biológicas de familias biparentales, en relación con el permiso por nacimiento y cuidado de hijos, contraria al derecho a la igualdad, al suponer una reducción, hasta su mitad, del tiempo de duración de la prestación reclamada; (ii) una discriminación directa de la recurrente por circunstancias personales y familiares, en concreto, por haber tomado la decisión de formar una familia monoparental, en ejercicio del libre desarrollo de su personalidad (art. 10.1 CE) y de su libertad ideológica (art. 16 CE); y (iii) una discriminación indirecta por razón de sexo, ya que aunque en principio la norma legal es neutra, el tratamiento peyorativo afecta principalmente a las mujeres, al ser las que forman mayoritariamente tal tipo de unidades familiares monoparentales.</w:t>
      </w:r>
    </w:p>
    <w:p w14:paraId="1530F9E6" w14:textId="77777777" w:rsidR="00A8138F" w:rsidRDefault="00A8138F" w:rsidP="00A8138F">
      <w:pPr>
        <w:pStyle w:val="TextoNormal"/>
      </w:pPr>
    </w:p>
    <w:p w14:paraId="0C87F3D8" w14:textId="0CC11124" w:rsidR="00A8138F" w:rsidRDefault="00A8138F" w:rsidP="00A8138F">
      <w:pPr>
        <w:pStyle w:val="TextoNormal"/>
      </w:pPr>
      <w:r w:rsidRPr="00A8138F">
        <w:rPr>
          <w:rStyle w:val="NumeroAFNegritaCaracter"/>
        </w:rPr>
        <w:t>4</w:t>
      </w:r>
      <w:r>
        <w:t>. Por providencia de 2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2112-2023 y al recurso de suplicación núm. 2618-2022, respectivamente. Asimismo, acordó dirigir atenta comunicación al Juzgado de lo Social núm. 9 de Bilbao a fin de que, en plazo que no excediera de diez días, remitiese certificación o fotocopia adverada de las actuaciones correspondientes a los autos núm. 40-2022, emplazando a quienes hubieran sido parte en el procedimiento, excepto la parte recurrente en amparo, para que, si lo deseaban, pudieran comparecer en el presente recurso.</w:t>
      </w:r>
    </w:p>
    <w:p w14:paraId="5B31B839" w14:textId="77777777" w:rsidR="00A8138F" w:rsidRDefault="00A8138F" w:rsidP="00A8138F">
      <w:pPr>
        <w:pStyle w:val="TextoNormal"/>
      </w:pPr>
    </w:p>
    <w:p w14:paraId="3904B17A" w14:textId="04195DC8" w:rsidR="00A8138F" w:rsidRDefault="00A8138F" w:rsidP="00A8138F">
      <w:pPr>
        <w:pStyle w:val="TextoNormal"/>
      </w:pPr>
      <w:r w:rsidRPr="00A8138F">
        <w:rPr>
          <w:rStyle w:val="NumeroAFNegritaCaracter"/>
        </w:rPr>
        <w:t>5</w:t>
      </w:r>
      <w:r>
        <w:t>. El 2 de enero de 2025 la letrada de la administración de la Seguridad Social, en la representación que ostenta, se personó como parte recurrida.</w:t>
      </w:r>
    </w:p>
    <w:p w14:paraId="21A5226F" w14:textId="77777777" w:rsidR="00A8138F" w:rsidRDefault="00A8138F" w:rsidP="00A8138F">
      <w:pPr>
        <w:pStyle w:val="TextoNormal"/>
      </w:pPr>
    </w:p>
    <w:p w14:paraId="04AE6091" w14:textId="1E1F0F6B" w:rsidR="00A8138F" w:rsidRDefault="00A8138F" w:rsidP="00A8138F">
      <w:pPr>
        <w:pStyle w:val="TextoNormal"/>
      </w:pPr>
      <w:r w:rsidRPr="00A8138F">
        <w:rPr>
          <w:rStyle w:val="NumeroAFNegritaCaracter"/>
        </w:rPr>
        <w:t>6</w:t>
      </w:r>
      <w:r>
        <w:t>. Por diligencia de ordenación de la Secretaría de Justicia de la Sala Primera de este tribunal, de 13 de marzo de 2025, se tuvo por personada y parte en el procedimiento a la letrada de la administración de la Seguridad Social en la representación que ostenta y conforme al art. 52 LOTC se dio vista de las actuaciones por plazo de veinte días a las partes y al Ministerio Fiscal para que pudieran realizar las alegaciones que considerasen pertinentes.</w:t>
      </w:r>
    </w:p>
    <w:p w14:paraId="7FE5041C" w14:textId="77777777" w:rsidR="00A8138F" w:rsidRDefault="00A8138F" w:rsidP="00A8138F">
      <w:pPr>
        <w:pStyle w:val="TextoNormal"/>
      </w:pPr>
    </w:p>
    <w:p w14:paraId="78652460" w14:textId="45509470" w:rsidR="00A8138F" w:rsidRDefault="00A8138F" w:rsidP="00A8138F">
      <w:pPr>
        <w:pStyle w:val="TextoNormal"/>
      </w:pPr>
      <w:r w:rsidRPr="00A8138F">
        <w:rPr>
          <w:rStyle w:val="NumeroAFNegritaCaracter"/>
        </w:rPr>
        <w:t>7</w:t>
      </w:r>
      <w:r>
        <w:t>. El 2 de abril de 2025, presentó escrito de alegaciones la letrada de la Administración de la Seguridad Social manifestando que se allanaba a las pretensiones del recurso de amparo. En tal sentido, señaló que a la vista de lo resuelto por el Pleno de este tribunal en su sentencia de 6 de noviembre de 2024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7 de la STC 140/2024, de 6 de noviembre, lo que sucedía en el presente caso. Además, se añadía que se debía tener en cuenta que el reconocimiento de las diez semanas adicionales del permiso disfrutado por la progenitora de la familia monoparental con hijo nacido a partir del día 1 de enero de 2021 —periodo máximo de disfrute, en su caso, al excluirse las seis primeras semanas, que necesariamente deben disfrutarse de forma ininterrumpida e inmediatamente posterior al parto— habrá de quedar supeditado al cumplimiento del resto de los requisitos legalmente establecidos para el percibo de la prestación, en los que se incluye el haber hecho efectivo el descanso sin prestación de servicios por cuenta ajena ni percepción de las correspondientes retribuciones, así como que el menor no hubiera cumplido un año para disfrutar del descanso [art. 177 de la Ley general de la Seguridad Social (LGSS) en relación con el art. 48.4 de la Ley del estatuto de los trabajadores (LET)]. Por ello, se suplicó al Tribunal que concretase en el supuesto de autos si el reconocimiento del derecho habría de tener en cuenta el cumplimiento de todos y cada uno de los requisitos establecidos en el citado art. 177 LGSS en relación con el art. 48.4 LET o si cabía una interpretación alternativa, concretando el alcance de la doctrina sentada por el Tribunal Constitucional en las sentencias referidas dado el principio constitucionalmente proclamado de que la “igualdad solo puede aplicarse dentro de la legalidad”. En suma, se solicitó que este tribunal señalara, “a efectos de ejecución, si el reconocimiento del derecho que haya de hacerse en su caso en sede administrativa, ha de tener en cuenta el cumplimiento de todos y cada uno de los requisitos establecidos en el artículo 177 [del texto refundido de la Ley general de la Seguridad Social], en relación con el artículo 48.4 [de la Ley del estatuto de los trabajadores], o, si cabe una interpretación alternativa”.</w:t>
      </w:r>
    </w:p>
    <w:p w14:paraId="31031482" w14:textId="77777777" w:rsidR="00A8138F" w:rsidRDefault="00A8138F" w:rsidP="00A8138F">
      <w:pPr>
        <w:pStyle w:val="TextoNormal"/>
      </w:pPr>
    </w:p>
    <w:p w14:paraId="6EA3BDF8" w14:textId="32651931" w:rsidR="00A8138F" w:rsidRDefault="00A8138F" w:rsidP="00A8138F">
      <w:pPr>
        <w:pStyle w:val="TextoNormal"/>
      </w:pPr>
      <w:r w:rsidRPr="00A8138F">
        <w:rPr>
          <w:rStyle w:val="NumeroAFNegritaCaracter"/>
        </w:rPr>
        <w:t>8</w:t>
      </w:r>
      <w:r>
        <w:t>. Por escrito registrado en este tribunal el día 22 de abril de 2025 presentó su escrito de alegaciones el fiscal interesando la estimación del recurso de amparo dada la analogía plena de las cuestiones en él planteadas con las que fueron abordadas en la STC 140/2024 y con las resueltas en posteriores sentencias de aplicación de su doctrina en recursos de amparo de contenido similar (entre otras SSTC 17/2025 a 24/2025, de 27 de enero). Interesa, pues, que se reconozca en el caso de autos la infracción del derecho a la igualdad ante la ley sin discriminación por razón de nacimiento de un hijo en el seno de una familia monoparental (art. 14 CE), con la consiguiente reparación de acuerdo con lo previsto en el FJ 7 de la citada STC 140/2024. En cuanto a los efectos del otorgamiento del amparo, el fiscal recuerda que las resoluciones dictadas por el INSS ya han sido anuladas por la sentencia dictada por el Juzgado de lo Social núm. 9 de Bilbao (confirmada en su integridad por el Tribunal Superior de Justicia del País Vasco), que en su sentencia estimó la demanda de la recurrente declarando su derecho a la ampliación de la prestación, si bien no en términos correspondientes a los que se recogen en el citado fundamento jurídico 7 de la STC 140/2024, pero sí de modo coincidente en lo esencial con la doctrina de esa sentencia en cuanto a la discriminación o diferencia de trato vulneradora del derecho a la igualdad en el tenor literal del art. 48.4 LET en relación con el art. 177 LGSS. Por ello, considera que tan solo procedería acordar la anulación de la sentencia de la Sala de lo Social del Tribunal Supremo, con retroacción para que por la misma Sala se dicte una nueva resolución respetuosa con el derecho fundamental vulnerado según resulta de la doctrina constitucional establecida en la STC 140/2024, de 6 de noviembre.</w:t>
      </w:r>
    </w:p>
    <w:p w14:paraId="4C7CF46A" w14:textId="77777777" w:rsidR="00A8138F" w:rsidRDefault="00A8138F" w:rsidP="00A8138F">
      <w:pPr>
        <w:pStyle w:val="TextoNormal"/>
      </w:pPr>
    </w:p>
    <w:p w14:paraId="1272CADA" w14:textId="29DDC0E1" w:rsidR="00A8138F" w:rsidRDefault="00A8138F" w:rsidP="00A8138F">
      <w:pPr>
        <w:pStyle w:val="TextoNormal"/>
      </w:pPr>
      <w:r w:rsidRPr="00A8138F">
        <w:rPr>
          <w:rStyle w:val="NumeroAFNegritaCaracter"/>
        </w:rPr>
        <w:t>9</w:t>
      </w:r>
      <w:r>
        <w:t>. Por diligencia de 23 de abril de 2025, la Secretaría de Justicia de la Sala Primera de este tribunal hizo constar haberse recibido los escritos de alegaciones del Ministerio Fiscal y de la letrada de la administración de la Seguridad Social, no constando alegaciones de la procuradora de los tribunales doña María Isabel Torres Ruiz en representación de la recurrente en amparo.</w:t>
      </w:r>
    </w:p>
    <w:p w14:paraId="386FC375" w14:textId="77777777" w:rsidR="00A8138F" w:rsidRDefault="00A8138F" w:rsidP="00A8138F">
      <w:pPr>
        <w:pStyle w:val="TextoNormal"/>
      </w:pPr>
    </w:p>
    <w:p w14:paraId="4807AF66" w14:textId="69E0B4D8" w:rsidR="00A8138F" w:rsidRDefault="00A8138F" w:rsidP="00A8138F">
      <w:pPr>
        <w:pStyle w:val="TextoNormal"/>
      </w:pPr>
      <w:r w:rsidRPr="00A8138F">
        <w:rPr>
          <w:rStyle w:val="NumeroAFNegritaCaracter"/>
        </w:rPr>
        <w:t>10</w:t>
      </w:r>
      <w:r>
        <w:t>. Mediante providencia de 5 de junio de 2025 se acordó señalar para deliberación y votación de la presente sentencia el día 9 del mismo mes y año.</w:t>
      </w:r>
    </w:p>
    <w:p w14:paraId="048EA436" w14:textId="77777777" w:rsidR="00A8138F" w:rsidRDefault="00A8138F" w:rsidP="00A8138F">
      <w:pPr>
        <w:pStyle w:val="TextoNormal"/>
      </w:pPr>
    </w:p>
    <w:p w14:paraId="5AB76964" w14:textId="77777777" w:rsidR="00A8138F" w:rsidRDefault="00A8138F" w:rsidP="00A8138F">
      <w:pPr>
        <w:pStyle w:val="TextoNormalNegritaCentrado"/>
        <w:keepNext/>
      </w:pPr>
      <w:r>
        <w:t>II. Fundamentos jurídicos</w:t>
      </w:r>
    </w:p>
    <w:p w14:paraId="444F0A5C" w14:textId="274D475C" w:rsidR="00A8138F" w:rsidRDefault="00A8138F" w:rsidP="00A8138F">
      <w:pPr>
        <w:pStyle w:val="TextoNormalNegritaCentrado"/>
        <w:keepNext/>
      </w:pPr>
    </w:p>
    <w:p w14:paraId="7DDD72BF"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04DD87F8" w14:textId="77777777" w:rsidR="00A8138F" w:rsidRDefault="00A8138F" w:rsidP="00A8138F">
      <w:pPr>
        <w:pStyle w:val="TextoNormal"/>
      </w:pPr>
    </w:p>
    <w:p w14:paraId="007B996B" w14:textId="490041DB"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14:paraId="443F2BF7" w14:textId="77777777" w:rsidR="00A8138F" w:rsidRDefault="00A8138F" w:rsidP="00A8138F">
      <w:pPr>
        <w:pStyle w:val="TextoNormal"/>
      </w:pPr>
    </w:p>
    <w:p w14:paraId="56FAE2F8"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095B7A3E" w14:textId="77777777" w:rsidR="00A8138F" w:rsidRDefault="00A8138F" w:rsidP="00A8138F">
      <w:pPr>
        <w:pStyle w:val="TextoNormal"/>
      </w:pPr>
    </w:p>
    <w:p w14:paraId="352792FA" w14:textId="77777777" w:rsidR="00A8138F" w:rsidRDefault="00A8138F" w:rsidP="00A8138F">
      <w:pPr>
        <w:pStyle w:val="TextoNormal"/>
      </w:pPr>
      <w:r>
        <w:t>Hemos de comenzar recordando, en relación con la incidencia que tiene en el presente recurso el allanamiento a las pretensiones de la recurrente por parte de la letrada de la administración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(en el mismo sentido y ya en relación a la serie de recursos de amparo dentro de la que se inscribe la presente demanda, entre otras, las SSTC 67/2025, de 18 de marzo, FJ 2, y 90/2025, 93/2025 y 94/2025, de 7 de abril, FJ 2).</w:t>
      </w:r>
    </w:p>
    <w:p w14:paraId="5639EAC8" w14:textId="77777777" w:rsidR="00A8138F" w:rsidRDefault="00A8138F" w:rsidP="00A8138F">
      <w:pPr>
        <w:pStyle w:val="TextoNormal"/>
      </w:pPr>
    </w:p>
    <w:p w14:paraId="0813816D" w14:textId="77777777" w:rsidR="00A8138F" w:rsidRDefault="00A8138F" w:rsidP="00A8138F">
      <w:pPr>
        <w:pStyle w:val="TextoNormal"/>
      </w:pPr>
      <w:r>
        <w:t>Dicho esto,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41FAA781" w14:textId="77777777" w:rsidR="00A8138F" w:rsidRDefault="00A8138F" w:rsidP="00A8138F">
      <w:pPr>
        <w:pStyle w:val="TextoNormal"/>
      </w:pPr>
    </w:p>
    <w:p w14:paraId="46BE7C25"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5E8635D1" w14:textId="77777777" w:rsidR="00A8138F" w:rsidRDefault="00A8138F" w:rsidP="00A8138F">
      <w:pPr>
        <w:pStyle w:val="TextoNormal"/>
      </w:pPr>
    </w:p>
    <w:p w14:paraId="581FFC02"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355FCEB8" w14:textId="77777777" w:rsidR="00A8138F" w:rsidRDefault="00A8138F" w:rsidP="00A8138F">
      <w:pPr>
        <w:pStyle w:val="TextoNormal"/>
      </w:pPr>
    </w:p>
    <w:p w14:paraId="05DD86C2" w14:textId="77777777" w:rsidR="00A8138F" w:rsidRDefault="00A8138F" w:rsidP="00A8138F">
      <w:pPr>
        <w:pStyle w:val="TextoNormal"/>
      </w:pPr>
      <w:r>
        <w:t>En aplicación de la referida doctrina al caso de autos, procede la estimación de la presente demanda de amparo. Hemos de precisar que, en contra de lo interesado por el fiscal y la parte recurrente, que piden que de todas las resoluciones judiciales recaídas en el procedimiento solo se declare la nulidad de la sentencia núm. 1077/2024, de 11 de septiembre, de la Sala de lo Social del Tribunal Supremo (que estimó el recurso de casación para la unificación de doctrina interpuesto por la parte demandada), procede también la anulación del resto de las sentencias, esto es, de la sentencia núm. 477/2023, de 16 de febrero, de la Sala de lo Social del Tribunal Superior de Justicia del País Vasco, y de la sentencia núm. 180/2022, de 24 de mayo, del Juzgado de lo Social núm. 9 de Bilbao. Ciertamente, aunque tales resoluciones estimaron la pretensión de la actora, reconociendo la infracción constitucional de modo coincidente en lo esencial con lo declarado en la STC 140/2024, no lo hicieron en los términos recogidos en el FJ 7 de la citada sentencia, en el que precisamos que en tanto el legislador no llevase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(en este caso, dieciséis semanas), excluyendo las semanas que necesariamente deben disfrutarse de forma ininterrumpida e inmediatamente posterior al parto (en este supuesto, las seis primeras semanas), extremo este último que no se cumplió, sin embargo, en el presente caso. A la vista de ello, procede la anulación de todas las resoluciones judiciales recaídas en los autos de los que este recurso de amparo trae causa y de las resoluciones del INSS de 30 de diciembre de 2021 y de 7 de enero de 2022, para que el citado organismo dicte una nueva resolución que resulte respetuosa con el derecho fundamental a la igualdad ante la ley sin discriminación por razón de nacimiento (art. 14 CE) en los términos previstos en la STC 140/2024.</w:t>
      </w:r>
    </w:p>
    <w:p w14:paraId="4CD450AF" w14:textId="77777777" w:rsidR="00A8138F" w:rsidRDefault="00A8138F" w:rsidP="00A8138F">
      <w:pPr>
        <w:pStyle w:val="TextoNormal"/>
      </w:pPr>
    </w:p>
    <w:p w14:paraId="30DE7948" w14:textId="50F29BFF" w:rsidR="00A8138F" w:rsidRDefault="00A8138F" w:rsidP="00A8138F">
      <w:pPr>
        <w:pStyle w:val="TextoNormal"/>
      </w:pPr>
      <w:r>
        <w:t>Finalmente, en cuanto a la solicitud de la letrada de la Administración de la Seguridad Social, relativa a que en caso de estimarse el recurso de amparo este tribunal especifique el modo en que se ha de ejecutar la sentencia, hemos de remitirnos a lo expuesto por este tribunal en el reciente ATC 34/2025, de 13 de mayo. En él hemos tenido la oportunidad de recordar que es un presupuesto formal necesario para la apertura de un incidente de ejecución en un procedimiento constitucional “la existencia de una actividad por la administración o el órgano judicial llamado a ejecutar la sentencia constitucional”, y que “[s]olo en este contexto el art. 92.3 LOTC habilita a las partes para proponer al Tribunal las medidas de ejecución necesarias para garantizar el cumplimiento efectivo de sus resoluciones”. En suma,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no pudiendo ser utilizado a modo de una “función consultiva”. Tales argumentos son trasladables al caso de autos y permiten rechazar la petición de aclaración sobre el modo en que ha de ejecutarse esta sentencia, pues “no existe un objeto apto —resolución del INSS en ejecución de la sentencia de este tribunal concernida— sobre el que deba pronunciarse el Tribunal en el contexto de un incidente de ejecución”. En definitiva, y dicho sea lisa y llanamente y en la práctica, solo en el caso de que el INSS dictase una resolución apartándose de lo que dispusimos en el FJ 7 de nuestra STC 140/2024, de 6 de noviembre, estaría justificado que por la recurrente se instase el incidente de ejecución.</w:t>
      </w:r>
    </w:p>
    <w:p w14:paraId="6069C354" w14:textId="77777777" w:rsidR="00A8138F" w:rsidRDefault="00A8138F" w:rsidP="00A8138F">
      <w:pPr>
        <w:pStyle w:val="TextoNormal"/>
      </w:pPr>
    </w:p>
    <w:p w14:paraId="69B62289" w14:textId="77777777" w:rsidR="00A8138F" w:rsidRDefault="00A8138F" w:rsidP="00A8138F">
      <w:pPr>
        <w:pStyle w:val="TextoNormalCentrado"/>
        <w:keepNext/>
      </w:pPr>
      <w:r>
        <w:t>FALLO</w:t>
      </w:r>
    </w:p>
    <w:p w14:paraId="006C0F0D" w14:textId="4C8A1E38" w:rsidR="00A8138F" w:rsidRDefault="00A8138F" w:rsidP="00A8138F">
      <w:pPr>
        <w:pStyle w:val="TextoNormalCentrado"/>
        <w:keepNext/>
      </w:pPr>
    </w:p>
    <w:p w14:paraId="6DC33A1F"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Estíbaliz Gojenola Oleagoitia y, en su virtud:</w:t>
      </w:r>
    </w:p>
    <w:p w14:paraId="21D8C7BE" w14:textId="77777777" w:rsidR="00A8138F" w:rsidRDefault="00A8138F" w:rsidP="00A8138F">
      <w:pPr>
        <w:pStyle w:val="TextoNormal"/>
      </w:pPr>
    </w:p>
    <w:p w14:paraId="30210A33" w14:textId="77777777" w:rsidR="00A8138F" w:rsidRDefault="00A8138F" w:rsidP="00A8138F">
      <w:pPr>
        <w:pStyle w:val="TextoNormal"/>
      </w:pPr>
      <w:r>
        <w:t>1º Declarar vulnerado el derecho fundamental a la igualdad ante la ley sin discriminación por razón de nacimiento (art. 14 CE).</w:t>
      </w:r>
    </w:p>
    <w:p w14:paraId="1D15900B" w14:textId="77777777" w:rsidR="00A8138F" w:rsidRDefault="00A8138F" w:rsidP="00A8138F">
      <w:pPr>
        <w:pStyle w:val="TextoNormal"/>
      </w:pPr>
    </w:p>
    <w:p w14:paraId="0A70FC55" w14:textId="77777777" w:rsidR="00A8138F" w:rsidRDefault="00A8138F" w:rsidP="00A8138F">
      <w:pPr>
        <w:pStyle w:val="TextoNormal"/>
      </w:pPr>
      <w:r>
        <w:t>2º Restablecerla en su derecho y, a tal fin, declarar la nulidad de las siguientes resoluciones: (i) resoluciones del Instituto Nacional de la Seguridad Social de 30 de diciembre de 2021 y de 7 de enero de 2022; (ii) sentencia núm. 180/2022, de 24 de mayo, del Juzgado de lo Social núm. 9 de Bilbao (autos núm. 40-2022); (iii) sentencia núm. 477/2023, de 16 de febrero, de la Sala de lo Social del Tribunal Superior de Justicia del País Vasco (recurso de suplicación núm. 2618-2022), y (iv) sentencia núm. 1077/2024, de 11 de septiembre, de la Sala de lo Social del Tribunal Supremo (recurso de casación para la unificación de doctrina núm. 2112-2023).</w:t>
      </w:r>
    </w:p>
    <w:p w14:paraId="5A3006F0" w14:textId="77777777" w:rsidR="00A8138F" w:rsidRDefault="00A8138F" w:rsidP="00A8138F">
      <w:pPr>
        <w:pStyle w:val="TextoNormal"/>
      </w:pPr>
    </w:p>
    <w:p w14:paraId="22C02EFA" w14:textId="79C737A4" w:rsidR="00A8138F" w:rsidRDefault="00A8138F" w:rsidP="00A8138F">
      <w:pPr>
        <w:pStyle w:val="TextoNormal"/>
      </w:pPr>
      <w:r>
        <w:t>3º Retrotraer las actuaciones al momento previo al dictado de las resoluciones administrativas anuladas a fin de que, en los términos expuestos en el fundamento jurídico 2 de esta sentencia, se dicte otra respetuosa con el derecho fundamental reconocido.</w:t>
      </w:r>
    </w:p>
    <w:p w14:paraId="45E1DDD1" w14:textId="77777777" w:rsidR="00A8138F" w:rsidRDefault="00A8138F" w:rsidP="00A8138F">
      <w:pPr>
        <w:pStyle w:val="TextoNormal"/>
      </w:pPr>
    </w:p>
    <w:p w14:paraId="545F15A8" w14:textId="77777777" w:rsidR="00A8138F" w:rsidRDefault="00A8138F" w:rsidP="00A8138F">
      <w:pPr>
        <w:pStyle w:val="TextoNormal"/>
      </w:pPr>
      <w:r>
        <w:t>Publíquese esta sentencia en el “Boletín Oficial del Estado”.</w:t>
      </w:r>
    </w:p>
    <w:p w14:paraId="3CA2BE4D" w14:textId="77777777" w:rsidR="00A8138F" w:rsidRDefault="00A8138F" w:rsidP="00A8138F">
      <w:pPr>
        <w:pStyle w:val="TextoNormal"/>
      </w:pPr>
      <w:r>
        <w:t>Dada en Madrid, a nueve de junio de dos mil veinticinco.</w:t>
      </w:r>
    </w:p>
    <w:p w14:paraId="138DFBD8" w14:textId="49034AD6" w:rsidR="00A8138F" w:rsidRDefault="00A8138F">
      <w:pPr>
        <w:spacing w:after="160" w:line="278" w:lineRule="auto"/>
        <w:rPr>
          <w:rFonts w:ascii="Times New Roman" w:eastAsia="Times New Roman" w:hAnsi="Times New Roman" w:cs="Times New Roman"/>
          <w:sz w:val="24"/>
          <w:szCs w:val="24"/>
          <w:lang w:eastAsia="es-ES"/>
        </w:rPr>
      </w:pPr>
      <w:r>
        <w:br w:type="page"/>
      </w:r>
    </w:p>
    <w:p w14:paraId="60C9EB17" w14:textId="77777777" w:rsidR="00A8138F" w:rsidRDefault="00A8138F" w:rsidP="00A8138F">
      <w:pPr>
        <w:pStyle w:val="TtuloResolucin"/>
      </w:pPr>
      <w:bookmarkStart w:id="130" w:name="SENTENCIA_2025_128"/>
      <w:r>
        <w:t>SENTENCIA 128/2025, de 9 de junio de 2025</w:t>
      </w:r>
    </w:p>
    <w:bookmarkEnd w:id="130"/>
    <w:p w14:paraId="4754591B" w14:textId="77777777" w:rsidR="00A8138F" w:rsidRDefault="00A8138F" w:rsidP="00A8138F">
      <w:pPr>
        <w:pStyle w:val="TtuloResolucin"/>
      </w:pPr>
      <w:r>
        <w:t>Sala Primera</w:t>
      </w:r>
    </w:p>
    <w:p w14:paraId="0D38FA36" w14:textId="77777777" w:rsidR="00A8138F" w:rsidRDefault="00A8138F" w:rsidP="00A8138F">
      <w:pPr>
        <w:pStyle w:val="TtuloBOE"/>
      </w:pPr>
      <w:r>
        <w:t>(BOE núm. 168, de 14 de julio de 2025)</w:t>
      </w:r>
    </w:p>
    <w:p w14:paraId="7AD30368" w14:textId="77777777" w:rsidR="00A8138F" w:rsidRDefault="00A8138F" w:rsidP="00A8138F">
      <w:pPr>
        <w:pStyle w:val="TextoNormalCentrado"/>
      </w:pPr>
      <w:r>
        <w:t>ECLI:ES:TC:2025:128</w:t>
      </w:r>
    </w:p>
    <w:p w14:paraId="7F847998" w14:textId="1839C1F8" w:rsidR="00A8138F" w:rsidRDefault="00A8138F" w:rsidP="00A8138F">
      <w:pPr>
        <w:pStyle w:val="TextoNormalCentrado"/>
      </w:pPr>
    </w:p>
    <w:p w14:paraId="3B11E833" w14:textId="77777777" w:rsidR="00A8138F" w:rsidRDefault="00A8138F" w:rsidP="00A8138F">
      <w:pPr>
        <w:pStyle w:val="SntesisDescriptiva"/>
      </w:pPr>
      <w:r>
        <w:t>Recurso de amparo 7677-2024. Promovido por doña Lidia Ruiz Montero en relación con las resoluciones administrativas y judiciales que desestimaron su petición de revisión y ampliación de la prestación por nacimiento y cuidado de hijo menor, como madre biológica de familia monoparental.</w:t>
      </w:r>
    </w:p>
    <w:p w14:paraId="22C6E370" w14:textId="57719299" w:rsidR="00A8138F" w:rsidRDefault="00A8138F" w:rsidP="00A8138F">
      <w:pPr>
        <w:pStyle w:val="SntesisDescriptiva"/>
      </w:pPr>
    </w:p>
    <w:p w14:paraId="44EA71C8"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67A27C0B" w14:textId="707B4A9E" w:rsidR="00A8138F" w:rsidRDefault="00A8138F" w:rsidP="00A8138F">
      <w:pPr>
        <w:pStyle w:val="SntesisAnaltica"/>
      </w:pPr>
    </w:p>
    <w:p w14:paraId="2917FCC5" w14:textId="1848D12F"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33463CD" w14:textId="77777777" w:rsidR="00A8138F" w:rsidRDefault="00A8138F" w:rsidP="00A8138F">
      <w:pPr>
        <w:pStyle w:val="Extracto"/>
      </w:pPr>
    </w:p>
    <w:p w14:paraId="1BACE375" w14:textId="77777777" w:rsidR="00A8138F" w:rsidRDefault="00A8138F" w:rsidP="00A8138F">
      <w:pPr>
        <w:pStyle w:val="Extracto"/>
      </w:pPr>
    </w:p>
    <w:p w14:paraId="22757811"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30DFCF58" w14:textId="5AAC6397" w:rsidR="00A8138F" w:rsidRDefault="00A8138F" w:rsidP="00A8138F">
      <w:pPr>
        <w:pStyle w:val="TextoNormal"/>
      </w:pPr>
    </w:p>
    <w:p w14:paraId="3D098FD5" w14:textId="77777777" w:rsidR="00A8138F" w:rsidRDefault="00A8138F" w:rsidP="00A8138F">
      <w:pPr>
        <w:pStyle w:val="TextoNormalCentrado"/>
        <w:keepNext/>
      </w:pPr>
      <w:r>
        <w:t>EN NOMBRE DEL REY</w:t>
      </w:r>
    </w:p>
    <w:p w14:paraId="759C4161" w14:textId="068525D8" w:rsidR="00A8138F" w:rsidRDefault="00A8138F" w:rsidP="00A8138F">
      <w:pPr>
        <w:pStyle w:val="TextoNormalCentrado"/>
        <w:keepNext/>
      </w:pPr>
    </w:p>
    <w:p w14:paraId="4BD62C13" w14:textId="77777777" w:rsidR="00A8138F" w:rsidRDefault="00A8138F" w:rsidP="00A8138F">
      <w:pPr>
        <w:pStyle w:val="TextoNormalCentrado"/>
        <w:keepNext/>
      </w:pPr>
    </w:p>
    <w:p w14:paraId="0D60C3DE" w14:textId="77777777" w:rsidR="00A8138F" w:rsidRDefault="00A8138F" w:rsidP="00A8138F">
      <w:pPr>
        <w:pStyle w:val="TextoNormal"/>
      </w:pPr>
      <w:r>
        <w:t>la siguiente</w:t>
      </w:r>
    </w:p>
    <w:p w14:paraId="6DD36C50" w14:textId="62EF3212" w:rsidR="00A8138F" w:rsidRDefault="00A8138F" w:rsidP="00A8138F">
      <w:pPr>
        <w:pStyle w:val="TextoNormal"/>
      </w:pPr>
    </w:p>
    <w:p w14:paraId="256FC386" w14:textId="77777777" w:rsidR="00A8138F" w:rsidRDefault="00A8138F" w:rsidP="00A8138F">
      <w:pPr>
        <w:pStyle w:val="TextoNormalCentrado"/>
        <w:keepNext/>
      </w:pPr>
      <w:r>
        <w:t>SENTENCIA</w:t>
      </w:r>
    </w:p>
    <w:p w14:paraId="3361A94F" w14:textId="44A913F7" w:rsidR="00A8138F" w:rsidRDefault="00A8138F" w:rsidP="00A8138F">
      <w:pPr>
        <w:pStyle w:val="TextoNormalCentrado"/>
        <w:keepNext/>
      </w:pPr>
    </w:p>
    <w:p w14:paraId="3EF58294" w14:textId="77777777" w:rsidR="00A8138F" w:rsidRDefault="00A8138F" w:rsidP="00A8138F">
      <w:pPr>
        <w:pStyle w:val="TextoNormal"/>
      </w:pPr>
      <w:r>
        <w:t>En el recurso de amparo núm. 7677-2024, promovido por doña Lidia Ruiz Montero frente a las resoluciones del Instituto Nacional de la Seguridad Social (INSS) que desestimaron por silencio administrativo las solicitudes de ampliación del permiso por nacimiento y cuidado de menor en una familia monoparental, confirmadas por la sentencia 252/2022, de 15 de junio, dictada por el Juzgado de lo Social núm. 18 de Madrid (autos núm. 179-2022); la sentencia 239/2023, de 17 de abril, dictada por la Sala de lo Social del Tribunal Superior de Justicia de Madrid, que desestimó el recurso de suplicación núm. 644-2022; y el auto dictado por la Sala de lo Social del Tribunal Supremo de 11 de septiembre de 2024, que inadmitió a trámite el recurso de casación para la unificación de doctrina núm. 2872-2023. Ha comparecido el letrado de la Administración de la Seguridad Social, en nombre del INSS y de la Tesorería General de la Seguridad Social (TGSS). Ha intervenido el Ministerio Fiscal. Ha sido ponente el magistrado don José María Macías Castaño.</w:t>
      </w:r>
    </w:p>
    <w:p w14:paraId="571EC0BA" w14:textId="3E28D162" w:rsidR="00A8138F" w:rsidRDefault="00A8138F" w:rsidP="00A8138F">
      <w:pPr>
        <w:pStyle w:val="TextoNormal"/>
      </w:pPr>
    </w:p>
    <w:p w14:paraId="3D2A5282" w14:textId="77777777" w:rsidR="00A8138F" w:rsidRDefault="00A8138F" w:rsidP="00A8138F">
      <w:pPr>
        <w:pStyle w:val="TextoNormalNegritaCentrado"/>
        <w:keepNext/>
      </w:pPr>
      <w:r>
        <w:t>I. Antecedentes</w:t>
      </w:r>
    </w:p>
    <w:p w14:paraId="19CCA19A" w14:textId="5A60585A" w:rsidR="00A8138F" w:rsidRDefault="00A8138F" w:rsidP="00A8138F">
      <w:pPr>
        <w:pStyle w:val="TextoNormalNegritaCentrado"/>
        <w:keepNext/>
      </w:pPr>
    </w:p>
    <w:p w14:paraId="6264221A" w14:textId="793CCBCF" w:rsidR="00A8138F" w:rsidRDefault="00A8138F" w:rsidP="00A8138F">
      <w:pPr>
        <w:pStyle w:val="TextoNormal"/>
      </w:pPr>
      <w:r w:rsidRPr="00A8138F">
        <w:rPr>
          <w:rStyle w:val="NumeroAFNegritaCaracter"/>
        </w:rPr>
        <w:t>1</w:t>
      </w:r>
      <w:r>
        <w:t>. Mediante escrito presentado en el registro general de este tribunal el día 14 de octubre de 2024 por la procuradora de los tribunales doña Alicia Suau Casado, en nombre y representación de doña Lidia Ruiz Montero, bajo la dirección letrada de doña Aida Casanova Pérez, se interpuso recurso de amparo frente a las resoluciones administrativas y judiciales a las que se ha hecho referencia en el encabezamiento de esta sentencia.</w:t>
      </w:r>
    </w:p>
    <w:p w14:paraId="07C653F3" w14:textId="77777777" w:rsidR="00A8138F" w:rsidRDefault="00A8138F" w:rsidP="00A8138F">
      <w:pPr>
        <w:pStyle w:val="TextoNormal"/>
      </w:pPr>
    </w:p>
    <w:p w14:paraId="16851000" w14:textId="77777777" w:rsidR="00A8138F" w:rsidRDefault="00A8138F" w:rsidP="00A8138F">
      <w:pPr>
        <w:pStyle w:val="TextoNormal"/>
      </w:pPr>
      <w:r w:rsidRPr="00A8138F">
        <w:rPr>
          <w:rStyle w:val="NumeroAFNegritaCaracter"/>
        </w:rPr>
        <w:t>2</w:t>
      </w:r>
      <w:r>
        <w:t>. El presente recurso de amparo tiene su origen en los siguientes antecedentes:</w:t>
      </w:r>
    </w:p>
    <w:p w14:paraId="2CBD0F50" w14:textId="77777777" w:rsidR="00A8138F" w:rsidRDefault="00A8138F" w:rsidP="00A8138F">
      <w:pPr>
        <w:pStyle w:val="TextoNormal"/>
      </w:pPr>
    </w:p>
    <w:p w14:paraId="000A8A9C" w14:textId="77777777" w:rsidR="00A8138F" w:rsidRDefault="00A8138F" w:rsidP="00A8138F">
      <w:pPr>
        <w:pStyle w:val="TextoNormal"/>
      </w:pPr>
      <w:r>
        <w:t>a) La recurrente en amparo, madre biológica de una menor nacida el día 30 de marzo de 2021, con la que forma una familia monoparental, solicitó el día 11 de octubre de 2021 que se le ampliase la prestación por nacimiento y cuidado de menor en las dieciséis semanas que le hubieran correspondido al otro progenitor, para el caso de que se hubiera tratado de una familia biparental. Esta solicitud fue desestimada por silencio administrativo negativo, y otro tanto ocurrió con la ulterior reclamación previa a la vía jurisdiccional presentada el día 28 de noviembre de 2021.</w:t>
      </w:r>
    </w:p>
    <w:p w14:paraId="16A4B49F" w14:textId="77777777" w:rsidR="00A8138F" w:rsidRDefault="00A8138F" w:rsidP="00A8138F">
      <w:pPr>
        <w:pStyle w:val="TextoNormal"/>
      </w:pPr>
    </w:p>
    <w:p w14:paraId="14AC54F0" w14:textId="77777777" w:rsidR="00A8138F" w:rsidRDefault="00A8138F" w:rsidP="00A8138F">
      <w:pPr>
        <w:pStyle w:val="TextoNormal"/>
      </w:pPr>
      <w:r>
        <w:t>b) Disconforme con estas decisiones, la recurrente formuló demanda que recayó en el Juzgado de lo Social núm. 18 de Madrid, dando lugar a los autos de Seguridad Social núm. 179-2022. Por sentencia 252/2022, de 15 de junio, se desestimó la demanda. En su resolución, el juzgado consideró que no concurría amparo normativo alguno para la extensión a las familias monoparentales del permiso que el otro progenitor tiene en la familia biparental, asumiendo además el criterio así expuesto en diversos pronunciamientos de distintos tribunales superiores de Justicia, que cita y reseña ampliamente.</w:t>
      </w:r>
    </w:p>
    <w:p w14:paraId="57D1F0E0" w14:textId="77777777" w:rsidR="00A8138F" w:rsidRDefault="00A8138F" w:rsidP="00A8138F">
      <w:pPr>
        <w:pStyle w:val="TextoNormal"/>
      </w:pPr>
    </w:p>
    <w:p w14:paraId="6AFECA9E" w14:textId="77777777" w:rsidR="00A8138F" w:rsidRDefault="00A8138F" w:rsidP="00A8138F">
      <w:pPr>
        <w:pStyle w:val="TextoNormal"/>
      </w:pPr>
      <w:r>
        <w:t>c) Frente a la referida sentencia se interpuso por la actora recurso de suplicación (núm. 644-2022) que fue impugnado de contrario. El recurso fue desestimado por la sentencia 239/2023, de 17 de abril, de la Sala de lo Social del Tribunal Superior de Justicia de Madrid, que confirmó la sentencia de instancia en aplicación de la doctrina mantenida por el Pleno de la Sala de lo Social del Tribunal Supremo en la STS 169/2023, de 2 de marzo (ECLI:ES:TS:2023:783), dictada en el recurso de casación núm. 3972-2020, cuyos argumentos principales se transcribieron.</w:t>
      </w:r>
    </w:p>
    <w:p w14:paraId="37377376" w14:textId="77777777" w:rsidR="00A8138F" w:rsidRDefault="00A8138F" w:rsidP="00A8138F">
      <w:pPr>
        <w:pStyle w:val="TextoNormal"/>
      </w:pPr>
    </w:p>
    <w:p w14:paraId="37C9633F" w14:textId="7255A306" w:rsidR="00A8138F" w:rsidRDefault="00A8138F" w:rsidP="00A8138F">
      <w:pPr>
        <w:pStyle w:val="TextoNormal"/>
      </w:pPr>
      <w:r>
        <w:t>d) Frente a la anterior sentencia, la parte actora interpuso recurso de casación para la unificación de doctrina núm. 2872-2023, siendo inadmitido por medio de auto de la Sala de lo Social del Tribunal Supremo, de 11 de septiembre de 2024, por falta de contenido casacional al ser la decisión de la sentencia recurrida coincidente con la doctrina unificada de esa Sala, expuesta en la STS 169/2023, de 2 de marzo (recurso núm. 3972-2020), reiterada en otras posteriores, según la cual las familias monoparentales no tienen derecho a la acumulación de prestaciones ya que tal posibilidad no se establece en la ley vigente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todo tipo de familias.</w:t>
      </w:r>
    </w:p>
    <w:p w14:paraId="19CEF690" w14:textId="77777777" w:rsidR="00A8138F" w:rsidRDefault="00A8138F" w:rsidP="00A8138F">
      <w:pPr>
        <w:pStyle w:val="TextoNormal"/>
      </w:pPr>
    </w:p>
    <w:p w14:paraId="055CA844" w14:textId="77777777" w:rsidR="00A8138F" w:rsidRDefault="00A8138F" w:rsidP="00A8138F">
      <w:pPr>
        <w:pStyle w:val="TextoNormal"/>
      </w:pPr>
      <w:r w:rsidRPr="00A8138F">
        <w:rPr>
          <w:rStyle w:val="NumeroAFNegritaCaracter"/>
        </w:rPr>
        <w:t>3</w:t>
      </w:r>
      <w:r>
        <w:t>. La demanda de amparo, planteada por la vía del art. 43 de la Ley Orgánica del Tribunal Constitucional (LOTC), invoca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biparentales en materia de permisos por nacimiento y cuidado de menores.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ni toma como parámetro interpretativo el interés del menor.</w:t>
      </w:r>
    </w:p>
    <w:p w14:paraId="50715673" w14:textId="77777777" w:rsidR="00A8138F" w:rsidRDefault="00A8138F" w:rsidP="00A8138F">
      <w:pPr>
        <w:pStyle w:val="TextoNormal"/>
      </w:pPr>
    </w:p>
    <w:p w14:paraId="3337D762" w14:textId="77777777" w:rsidR="00A8138F" w:rsidRDefault="00A8138F" w:rsidP="00A8138F">
      <w:pPr>
        <w:pStyle w:val="TextoNormal"/>
      </w:pPr>
      <w:r>
        <w:t>Después alega la existencia de una discriminación directa de la recurrente por circunstancias personales y familiares, indicando que la discriminación de la recurrente resulta de su decisión de formar una familia monoparental, es decir, deriva de su condición familiar tomada en el ejercicio del libre desarrollo de la personalidad (art. 10.1 CE) y se vincula con las convicciones y creencias más íntimas (art. 16 CE). Esas convicciones han causado un trato peyorativo tanto a la recurrente como a su hija.</w:t>
      </w:r>
    </w:p>
    <w:p w14:paraId="627AA691" w14:textId="77777777" w:rsidR="00A8138F" w:rsidRDefault="00A8138F" w:rsidP="00A8138F">
      <w:pPr>
        <w:pStyle w:val="TextoNormal"/>
      </w:pPr>
    </w:p>
    <w:p w14:paraId="52C5D433" w14:textId="77777777" w:rsidR="00A8138F" w:rsidRDefault="00A8138F" w:rsidP="00A8138F">
      <w:pPr>
        <w:pStyle w:val="TextoNormal"/>
      </w:pPr>
      <w:r>
        <w:t>Se denuncia, finalmente, una discriminación indirecta por razón de sexo de la demandante por cuanto que, aunque la norma aplicada en principio es neutra, perjudica en mayor grado a las mujeres que son las que mayoritariamente constituyen las familias monoparentales.</w:t>
      </w:r>
    </w:p>
    <w:p w14:paraId="33DE78E6" w14:textId="77777777" w:rsidR="00A8138F" w:rsidRDefault="00A8138F" w:rsidP="00A8138F">
      <w:pPr>
        <w:pStyle w:val="TextoNormal"/>
      </w:pPr>
    </w:p>
    <w:p w14:paraId="0FD69BFB" w14:textId="77777777" w:rsidR="00A8138F" w:rsidRDefault="00A8138F" w:rsidP="00A8138F">
      <w:pPr>
        <w:pStyle w:val="TextoNormal"/>
      </w:pPr>
      <w:r>
        <w:t>Por todo ello, solicita que se anulen las resoluciones del INSS y las judiciales que las confirmaron, con retroacción de las actuaciones al momento previo al dictado de las primeras para que el INSS dicte otra que resulte respetuosa con los derechos fundamentales de la recurrente.</w:t>
      </w:r>
    </w:p>
    <w:p w14:paraId="77DD37D7" w14:textId="77777777" w:rsidR="00A8138F" w:rsidRDefault="00A8138F" w:rsidP="00A8138F">
      <w:pPr>
        <w:pStyle w:val="TextoNormal"/>
      </w:pPr>
    </w:p>
    <w:p w14:paraId="27629B41" w14:textId="28AB293D" w:rsidR="00A8138F" w:rsidRDefault="00A8138F" w:rsidP="00A8138F">
      <w:pPr>
        <w:pStyle w:val="TextoNormal"/>
      </w:pPr>
      <w:r>
        <w:t>En cuanto a la especial trascendencia constitucional, la demanda alega que la vulneración puede provenir de la ley [STC 155/2009, de 25 de junio, FJ 2 e)]; de la inexistencia de doctrina o la necesidad de aclarar o modificar la doctrina de este tribunal [STC 155/2009, FJ 2 a) y b)] y de la cuestión jurídica relevante, que genera repercusión social o económica [STC 155/2009, FJ 2 g)].</w:t>
      </w:r>
    </w:p>
    <w:p w14:paraId="187D47A4" w14:textId="77777777" w:rsidR="00A8138F" w:rsidRDefault="00A8138F" w:rsidP="00A8138F">
      <w:pPr>
        <w:pStyle w:val="TextoNormal"/>
      </w:pPr>
    </w:p>
    <w:p w14:paraId="31A92C39" w14:textId="7DA88F8D" w:rsidR="00A8138F" w:rsidRDefault="00A8138F" w:rsidP="00A8138F">
      <w:pPr>
        <w:pStyle w:val="TextoNormal"/>
      </w:pPr>
      <w:r w:rsidRPr="00A8138F">
        <w:rPr>
          <w:rStyle w:val="NumeroAFNegritaCaracter"/>
        </w:rPr>
        <w:t>4</w:t>
      </w:r>
      <w:r>
        <w:t>. Por providencia de 2 de diciembre de 2024, la Sección Segunda de este tribunal acordó la admisión a trámite del presente recurso de amparo, apreciando que concurría en el mismo una especial trascendencia constitucional (art. 50.1 LOTC) como consecuencia de que la posible vulneración del derecho fundamental que se denunciaba pudiera provenir de la ley o de otra disposición con carácter general [STC 155/2009, FJ 2 c)]. Igualmente, en aplicación de lo previsto en el art. 51 LOTC, ordenó requerir a las Salas de lo Social del Tribunal Supremo y del Tribunal Superior de Justicia de Madrid, a fin de que, en un plazo que no excediera de diez días, remitiesen certificación o fotocopia adverada de las actuaciones correspondientes al recurso de casación para la unificación de doctrina núm. 2872-2023 y al recurso de suplicación núm. 644-2022, respectivamente. Asimismo, acordó dirigir atenta comunicación al Juzgado de lo Social núm. 18 de Madrid a fin de que, en un plazo que no excediera de diez días, remitiese certificación o fotocopia adverada de las actuaciones correspondientes a los autos de Seguridad Social núm. 179-2022, emplazando a quienes hubieran sido parte en el procedimiento, excepto la parte recurrente en amparo, para que, si lo deseaban, pudieran comparecer en el presente recurso.</w:t>
      </w:r>
    </w:p>
    <w:p w14:paraId="525496EE" w14:textId="77777777" w:rsidR="00A8138F" w:rsidRDefault="00A8138F" w:rsidP="00A8138F">
      <w:pPr>
        <w:pStyle w:val="TextoNormal"/>
      </w:pPr>
    </w:p>
    <w:p w14:paraId="2FF6BB77" w14:textId="607C4EF4" w:rsidR="00A8138F" w:rsidRDefault="00A8138F" w:rsidP="00A8138F">
      <w:pPr>
        <w:pStyle w:val="TextoNormal"/>
      </w:pPr>
      <w:r w:rsidRPr="00A8138F">
        <w:rPr>
          <w:rStyle w:val="NumeroAFNegritaCaracter"/>
        </w:rPr>
        <w:t>5</w:t>
      </w:r>
      <w:r>
        <w:t>. Por medio de diligencia de ordenación de 1 de abril de 2025, la Secretaría de Justicia de la Sala Primera de este tribunal tuvo por recibidos los testimonios de las actuaciones, y por personado y parte al letrado de la Administración de la Seguridad Social, en nombre del INSS y de la TGSS. Asimismo, acordó dar vista de las actuaciones a las partes personadas y al Ministerio Fiscal, por el plazo común de veinte días, a fin de que pudieran presentar sus alegaciones de conformidad con lo dispuesto en el art. 52 LOTC.</w:t>
      </w:r>
    </w:p>
    <w:p w14:paraId="0FA40AD1" w14:textId="77777777" w:rsidR="00A8138F" w:rsidRDefault="00A8138F" w:rsidP="00A8138F">
      <w:pPr>
        <w:pStyle w:val="TextoNormal"/>
      </w:pPr>
    </w:p>
    <w:p w14:paraId="5EFCC9F2" w14:textId="56B092BC" w:rsidR="00A8138F" w:rsidRDefault="00A8138F" w:rsidP="00A8138F">
      <w:pPr>
        <w:pStyle w:val="TextoNormal"/>
      </w:pPr>
      <w:r w:rsidRPr="00A8138F">
        <w:rPr>
          <w:rStyle w:val="NumeroAFNegritaCaracter"/>
        </w:rPr>
        <w:t>6</w:t>
      </w:r>
      <w:r>
        <w:t>. En fecha 2 de abril de 2025 tuvo entrada en el registro de este tribunal, el escrito de alegaciones de la representación del INSS y de la TGSS, manifestando que se allanaba a las pretensiones del recurso de amparo. En tal sentido, señaló que a la vista de lo resuelto por el Pleno de este tribunal en su STC 140/2024, de 6 de noviembre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séptimo de la STC 140/2024, lo que sucedía en el presente caso.</w:t>
      </w:r>
    </w:p>
    <w:p w14:paraId="6BC26F71" w14:textId="77777777" w:rsidR="00A8138F" w:rsidRDefault="00A8138F" w:rsidP="00A8138F">
      <w:pPr>
        <w:pStyle w:val="TextoNormal"/>
      </w:pPr>
    </w:p>
    <w:p w14:paraId="5E90EED8" w14:textId="05D4D628" w:rsidR="00A8138F" w:rsidRDefault="00A8138F" w:rsidP="00A8138F">
      <w:pPr>
        <w:pStyle w:val="TextoNormal"/>
      </w:pPr>
      <w:r w:rsidRPr="00A8138F">
        <w:rPr>
          <w:rStyle w:val="NumeroAFNegritaCaracter"/>
        </w:rPr>
        <w:t>7</w:t>
      </w:r>
      <w:r>
        <w:t>. Por escrito registrado en este tribunal con fecha de 7 de abril de 2025, la representación procesal de la recurrente en amparo evacuó el trámite de alegaciones conferido. Dando por reproducidos los argumentos contenidos en su demanda y desarrollando los mismos con mención de la STC 140/2024, solicitó que se dictase sentencia estimando su pretensión.</w:t>
      </w:r>
    </w:p>
    <w:p w14:paraId="14F6AA14" w14:textId="77777777" w:rsidR="00A8138F" w:rsidRDefault="00A8138F" w:rsidP="00A8138F">
      <w:pPr>
        <w:pStyle w:val="TextoNormal"/>
      </w:pPr>
    </w:p>
    <w:p w14:paraId="2B53F040" w14:textId="6804CCF2" w:rsidR="00A8138F" w:rsidRDefault="00A8138F" w:rsidP="00A8138F">
      <w:pPr>
        <w:pStyle w:val="TextoNormal"/>
      </w:pPr>
      <w:r w:rsidRPr="00A8138F">
        <w:rPr>
          <w:rStyle w:val="NumeroAFNegritaCaracter"/>
        </w:rPr>
        <w:t>8</w:t>
      </w:r>
      <w:r>
        <w:t>. El Ministerio Fiscal, mediante escrito registrado en este tribunal el día 14 de mayo de 2025, presentó alegaciones interesando la estimación del recurso de amparo por vulneración del derecho a la igualdad y a la no discriminación por razón de nacimiento, en relación con la protección integral de los hijos, con independencia de su filiación y conforme a los convenios internacionales que velan por sus derechos (art. 14 CE en relación con el art. 39 CE). Para la fiscal, procede la nulidad de todas las resoluciones administrativas y judiciales impugnadas, así como la retroacción de las actuaciones hasta el momento previo al dictado por el INSS de la primera de ellas, a fin de que dicte una nueva resolución respetuosa con el derecho vulnerado, teniendo en cuenta que —en lo relativo a la infracción del derecho fundamental del art. 14 CE— tanto las resoluciones del INSS como las diferentes resoluciones judiciales habían confirmado la denegación de la prestación adicional solicitada por la demandante, no coincidente en ningún caso con los términos que se recogen en el citado fundamento jurídico 7 de la STC 140/2024, pues ninguna de dichas resoluciones reconoció y reparó la lesión del derecho fundamental en términos conformes al fallo de esa sentencia.</w:t>
      </w:r>
    </w:p>
    <w:p w14:paraId="32CEBA58" w14:textId="77777777" w:rsidR="00A8138F" w:rsidRDefault="00A8138F" w:rsidP="00A8138F">
      <w:pPr>
        <w:pStyle w:val="TextoNormal"/>
      </w:pPr>
    </w:p>
    <w:p w14:paraId="18CA5AB2" w14:textId="26061D02" w:rsidR="00A8138F" w:rsidRDefault="00A8138F" w:rsidP="00A8138F">
      <w:pPr>
        <w:pStyle w:val="TextoNormal"/>
      </w:pPr>
      <w:r w:rsidRPr="00A8138F">
        <w:rPr>
          <w:rStyle w:val="NumeroAFNegritaCaracter"/>
        </w:rPr>
        <w:t>9</w:t>
      </w:r>
      <w:r>
        <w:t>. Mediante providencia de 5 de junio de 2025 se acordó señalar para deliberación y votación de la presente sentencia el día 9 del mismo mes y año.</w:t>
      </w:r>
    </w:p>
    <w:p w14:paraId="5EBB5949" w14:textId="77777777" w:rsidR="00A8138F" w:rsidRDefault="00A8138F" w:rsidP="00A8138F">
      <w:pPr>
        <w:pStyle w:val="TextoNormal"/>
      </w:pPr>
    </w:p>
    <w:p w14:paraId="249CE429" w14:textId="77777777" w:rsidR="00A8138F" w:rsidRDefault="00A8138F" w:rsidP="00A8138F">
      <w:pPr>
        <w:pStyle w:val="TextoNormalNegritaCentrado"/>
        <w:keepNext/>
      </w:pPr>
      <w:r>
        <w:t>II. Fundamentos jurídicos</w:t>
      </w:r>
    </w:p>
    <w:p w14:paraId="142F9699" w14:textId="00B115C5" w:rsidR="00A8138F" w:rsidRDefault="00A8138F" w:rsidP="00A8138F">
      <w:pPr>
        <w:pStyle w:val="TextoNormalNegritaCentrado"/>
        <w:keepNext/>
      </w:pPr>
    </w:p>
    <w:p w14:paraId="42D05A26"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1F5BD6D0" w14:textId="77777777" w:rsidR="00A8138F" w:rsidRDefault="00A8138F" w:rsidP="00A8138F">
      <w:pPr>
        <w:pStyle w:val="TextoNormal"/>
      </w:pPr>
    </w:p>
    <w:p w14:paraId="0D06CFD3" w14:textId="17E00461"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14:paraId="1DE8C15A" w14:textId="77777777" w:rsidR="00A8138F" w:rsidRDefault="00A8138F" w:rsidP="00A8138F">
      <w:pPr>
        <w:pStyle w:val="TextoNormal"/>
      </w:pPr>
    </w:p>
    <w:p w14:paraId="1D37D22A"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17BB04CF" w14:textId="77777777" w:rsidR="00A8138F" w:rsidRDefault="00A8138F" w:rsidP="00A8138F">
      <w:pPr>
        <w:pStyle w:val="TextoNormal"/>
      </w:pPr>
    </w:p>
    <w:p w14:paraId="3AB4833C" w14:textId="77777777" w:rsidR="00A8138F" w:rsidRDefault="00A8138F" w:rsidP="00A8138F">
      <w:pPr>
        <w:pStyle w:val="TextoNormal"/>
      </w:pPr>
      <w:r>
        <w:t>Conviene comenzar recordando, en relación con la incidencia que tiene en el presente recurso el allanamiento a las pretensiones de la recurrente por parte del letrado de la Administración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4656D895" w14:textId="77777777" w:rsidR="00A8138F" w:rsidRDefault="00A8138F" w:rsidP="00A8138F">
      <w:pPr>
        <w:pStyle w:val="TextoNormal"/>
      </w:pPr>
    </w:p>
    <w:p w14:paraId="4EB51B88" w14:textId="77777777" w:rsidR="00A8138F" w:rsidRDefault="00A8138F" w:rsidP="00A8138F">
      <w:pPr>
        <w:pStyle w:val="TextoNormal"/>
      </w:pPr>
      <w:r>
        <w:t>Aclarado este punto, la cuestión de fondo planteada en este recurso de amparo es coincidente con la resuelta por la STC 140/2024, por lo que debemos remitirnos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0E2820BD" w14:textId="77777777" w:rsidR="00A8138F" w:rsidRDefault="00A8138F" w:rsidP="00A8138F">
      <w:pPr>
        <w:pStyle w:val="TextoNormal"/>
      </w:pPr>
    </w:p>
    <w:p w14:paraId="6C166DEF" w14:textId="77777777" w:rsidR="00A8138F" w:rsidRDefault="00A8138F" w:rsidP="00A8138F">
      <w:pPr>
        <w:pStyle w:val="TextoNormal"/>
      </w:pPr>
      <w:r>
        <w:t>La citada STC 140/2024, estimando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59A51B0" w14:textId="77777777" w:rsidR="00A8138F" w:rsidRDefault="00A8138F" w:rsidP="00A8138F">
      <w:pPr>
        <w:pStyle w:val="TextoNormal"/>
      </w:pPr>
    </w:p>
    <w:p w14:paraId="0CB5D784"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[en aquel caso],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6C1A06B7" w14:textId="77777777" w:rsidR="00A8138F" w:rsidRDefault="00A8138F" w:rsidP="00A8138F">
      <w:pPr>
        <w:pStyle w:val="TextoNormal"/>
      </w:pPr>
    </w:p>
    <w:p w14:paraId="04BD592E" w14:textId="77777777" w:rsidR="00A8138F" w:rsidRDefault="00A8138F" w:rsidP="00A8138F">
      <w:pPr>
        <w:pStyle w:val="TextoNormal"/>
      </w:pPr>
      <w:r>
        <w:t>En consecuencia, debe estimarse la demanda y otorgar el amparo solicitado. La estimación de la demanda ha de conllevar, conforme a lo interesado por la demandante y por el Ministerio Fiscal, la declaración de nulidad de las resoluciones del INSS por las que se denegó la ampliación de la prestación por nacimiento y cuidado de menor, así como las resoluciones judiciales que las confirmaron. La retroacción ha de hacerse, en consecuencia, al momento inmediatamente anterior al dictado de las citadas resoluciones administrativas que denegaron la pretensión de la actora para que sea el INSS el que dicte una nueva resolución que resulte acorde con lo declarado en la STC 140/2024.</w:t>
      </w:r>
    </w:p>
    <w:p w14:paraId="4469F8E0" w14:textId="77777777" w:rsidR="00A8138F" w:rsidRDefault="00A8138F" w:rsidP="00A8138F">
      <w:pPr>
        <w:pStyle w:val="TextoNormal"/>
      </w:pPr>
    </w:p>
    <w:p w14:paraId="29FBAB40" w14:textId="13F9A34F" w:rsidR="00A8138F" w:rsidRDefault="00A8138F" w:rsidP="00A8138F">
      <w:pPr>
        <w:pStyle w:val="TextoNormal"/>
      </w:pPr>
      <w:r>
        <w:t>Como concretamos en la referida STC 140/2024,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14:paraId="329D9854" w14:textId="77777777" w:rsidR="00A8138F" w:rsidRDefault="00A8138F" w:rsidP="00A8138F">
      <w:pPr>
        <w:pStyle w:val="TextoNormal"/>
      </w:pPr>
    </w:p>
    <w:p w14:paraId="0D76491B" w14:textId="77777777" w:rsidR="00A8138F" w:rsidRDefault="00A8138F" w:rsidP="00A8138F">
      <w:pPr>
        <w:pStyle w:val="TextoNormalCentrado"/>
        <w:keepNext/>
      </w:pPr>
      <w:r>
        <w:t>FALLO</w:t>
      </w:r>
    </w:p>
    <w:p w14:paraId="37CD09AA" w14:textId="4FF88E42" w:rsidR="00A8138F" w:rsidRDefault="00A8138F" w:rsidP="00A8138F">
      <w:pPr>
        <w:pStyle w:val="TextoNormalCentrado"/>
        <w:keepNext/>
      </w:pPr>
    </w:p>
    <w:p w14:paraId="7778B191"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Lidia Ruiz Montero y, en su virtud:</w:t>
      </w:r>
    </w:p>
    <w:p w14:paraId="14AA4224" w14:textId="77777777" w:rsidR="00A8138F" w:rsidRDefault="00A8138F" w:rsidP="00A8138F">
      <w:pPr>
        <w:pStyle w:val="TextoNormal"/>
      </w:pPr>
    </w:p>
    <w:p w14:paraId="6D1DF8F0" w14:textId="77777777" w:rsidR="00A8138F" w:rsidRDefault="00A8138F" w:rsidP="00A8138F">
      <w:pPr>
        <w:pStyle w:val="TextoNormal"/>
      </w:pPr>
      <w:r>
        <w:t>1º Declarar vulnerado el derecho fundamental a la igualdad ante la ley sin que pueda prevalecer discriminación por razón de nacimiento (art. 14 CE).</w:t>
      </w:r>
    </w:p>
    <w:p w14:paraId="14632A2F" w14:textId="77777777" w:rsidR="00A8138F" w:rsidRDefault="00A8138F" w:rsidP="00A8138F">
      <w:pPr>
        <w:pStyle w:val="TextoNormal"/>
      </w:pPr>
    </w:p>
    <w:p w14:paraId="63CC7E0B" w14:textId="77777777" w:rsidR="00A8138F" w:rsidRDefault="00A8138F" w:rsidP="00A8138F">
      <w:pPr>
        <w:pStyle w:val="TextoNormal"/>
      </w:pPr>
      <w:r>
        <w:t>2º Restablecer a la recurrente en su derecho y, a tal fin, declarar la nulidad de las siguientes resoluciones: (i) las resoluciones del INSS por las que se denegó tácitamente la ampliación de la prestación por nacimiento y cuidado de menor; (ii) la sentencia núm. 252/2022, de 15 de junio, del Juzgado de lo Social núm. 18 de Madrid (autos núm. 179-2022); (iii) la sentencia núm. 239/2023, de 17 de abril, de la Sala de lo Social del Tribunal Superior de Justicia de Madrid, que desestimó el recurso de suplicación núm. 644-2022; y (iv) el auto de la Sala de lo Social del Tribunal Supremo de 11 de septiembre de 2024, que inadmitió a trámite el recurso de casación para la unificación de doctrina núm. 2872-2023.</w:t>
      </w:r>
    </w:p>
    <w:p w14:paraId="6F7516AB" w14:textId="77777777" w:rsidR="00A8138F" w:rsidRDefault="00A8138F" w:rsidP="00A8138F">
      <w:pPr>
        <w:pStyle w:val="TextoNormal"/>
      </w:pPr>
    </w:p>
    <w:p w14:paraId="006F8591" w14:textId="0DEBD77F" w:rsidR="00A8138F" w:rsidRDefault="00A8138F" w:rsidP="00A8138F">
      <w:pPr>
        <w:pStyle w:val="TextoNormal"/>
      </w:pPr>
      <w:r>
        <w:t>3º Retrotraer las actuaciones al momento previo al dictado de la primera de las resoluciones administrativas mencionadas en el apartado anterior, para que el INSS dicte una resolución que resulte respetuosa con el derecho fundamental reconocido a la recurrente, con el alcance fijado en el último párrafo del fundamento jurídico 2 de esta sentencia.</w:t>
      </w:r>
    </w:p>
    <w:p w14:paraId="1E9F2A5E" w14:textId="77777777" w:rsidR="00A8138F" w:rsidRDefault="00A8138F" w:rsidP="00A8138F">
      <w:pPr>
        <w:pStyle w:val="TextoNormal"/>
      </w:pPr>
    </w:p>
    <w:p w14:paraId="5A3A3692" w14:textId="77777777" w:rsidR="00A8138F" w:rsidRDefault="00A8138F" w:rsidP="00A8138F">
      <w:pPr>
        <w:pStyle w:val="TextoNormal"/>
      </w:pPr>
      <w:r>
        <w:t>Publíquese esta sentencia en el “Boletín Oficial del Estado”.</w:t>
      </w:r>
    </w:p>
    <w:p w14:paraId="3E5B8EF9" w14:textId="77777777" w:rsidR="00A8138F" w:rsidRDefault="00A8138F" w:rsidP="00A8138F">
      <w:pPr>
        <w:pStyle w:val="TextoNormal"/>
      </w:pPr>
      <w:r>
        <w:t>Dada en Madrid, a nueve de junio de dos mil veinticinco.</w:t>
      </w:r>
    </w:p>
    <w:p w14:paraId="6ECFEF12" w14:textId="3A137F4C" w:rsidR="00A8138F" w:rsidRDefault="00A8138F">
      <w:pPr>
        <w:spacing w:after="160" w:line="278" w:lineRule="auto"/>
        <w:rPr>
          <w:rFonts w:ascii="Times New Roman" w:eastAsia="Times New Roman" w:hAnsi="Times New Roman" w:cs="Times New Roman"/>
          <w:sz w:val="24"/>
          <w:szCs w:val="24"/>
          <w:lang w:eastAsia="es-ES"/>
        </w:rPr>
      </w:pPr>
      <w:r>
        <w:br w:type="page"/>
      </w:r>
    </w:p>
    <w:p w14:paraId="2F48C0C4" w14:textId="77777777" w:rsidR="00A8138F" w:rsidRDefault="00A8138F" w:rsidP="00A8138F">
      <w:pPr>
        <w:pStyle w:val="TtuloResolucin"/>
      </w:pPr>
      <w:bookmarkStart w:id="131" w:name="SENTENCIA_2025_129"/>
      <w:r>
        <w:t>SENTENCIA 129/2025, de 9 de junio de 2025</w:t>
      </w:r>
    </w:p>
    <w:bookmarkEnd w:id="131"/>
    <w:p w14:paraId="34A070C3" w14:textId="77777777" w:rsidR="00A8138F" w:rsidRDefault="00A8138F" w:rsidP="00A8138F">
      <w:pPr>
        <w:pStyle w:val="TtuloResolucin"/>
      </w:pPr>
      <w:r>
        <w:t>Sala Primera</w:t>
      </w:r>
    </w:p>
    <w:p w14:paraId="45BEE988" w14:textId="77777777" w:rsidR="00A8138F" w:rsidRDefault="00A8138F" w:rsidP="00A8138F">
      <w:pPr>
        <w:pStyle w:val="TtuloBOE"/>
      </w:pPr>
      <w:r>
        <w:t>(BOE núm. 168, de 14 de julio de 2025)</w:t>
      </w:r>
    </w:p>
    <w:p w14:paraId="66636ABF" w14:textId="77777777" w:rsidR="00A8138F" w:rsidRDefault="00A8138F" w:rsidP="00A8138F">
      <w:pPr>
        <w:pStyle w:val="TextoNormalCentrado"/>
      </w:pPr>
      <w:r>
        <w:t>ECLI:ES:TC:2025:129</w:t>
      </w:r>
    </w:p>
    <w:p w14:paraId="72EE2A5F" w14:textId="35DC7AE5" w:rsidR="00A8138F" w:rsidRDefault="00A8138F" w:rsidP="00A8138F">
      <w:pPr>
        <w:pStyle w:val="TextoNormalCentrado"/>
      </w:pPr>
    </w:p>
    <w:p w14:paraId="732F1241" w14:textId="77777777" w:rsidR="00A8138F" w:rsidRDefault="00A8138F" w:rsidP="00A8138F">
      <w:pPr>
        <w:pStyle w:val="SntesisDescriptiva"/>
      </w:pPr>
      <w:r>
        <w:t>Recurso de amparo 7760-2024. Promovido por doña Sandra Argüello Olivares en relación con las resoluciones administrativas y judiciales que desestimaron su petición de revisión y ampliación de la prestación por nacimiento y cuidado de hijo menor, como madre biológica de familia monoparental.</w:t>
      </w:r>
    </w:p>
    <w:p w14:paraId="528E5432" w14:textId="09F410A4" w:rsidR="00A8138F" w:rsidRDefault="00A8138F" w:rsidP="00A8138F">
      <w:pPr>
        <w:pStyle w:val="SntesisDescriptiva"/>
      </w:pPr>
    </w:p>
    <w:p w14:paraId="70B8D5DC"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09269F3E" w14:textId="0A120790" w:rsidR="00A8138F" w:rsidRDefault="00A8138F" w:rsidP="00A8138F">
      <w:pPr>
        <w:pStyle w:val="SntesisAnaltica"/>
      </w:pPr>
    </w:p>
    <w:p w14:paraId="30537381" w14:textId="0C82E346"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35AF9A1A" w14:textId="77777777" w:rsidR="00A8138F" w:rsidRDefault="00A8138F" w:rsidP="00A8138F">
      <w:pPr>
        <w:pStyle w:val="Extracto"/>
      </w:pPr>
    </w:p>
    <w:p w14:paraId="1A0B5DE1" w14:textId="77777777" w:rsidR="00A8138F" w:rsidRDefault="00A8138F" w:rsidP="00A8138F">
      <w:pPr>
        <w:pStyle w:val="Extracto"/>
      </w:pPr>
    </w:p>
    <w:p w14:paraId="0078B09F"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CD2A0D4" w14:textId="1A06585D" w:rsidR="00A8138F" w:rsidRDefault="00A8138F" w:rsidP="00A8138F">
      <w:pPr>
        <w:pStyle w:val="TextoNormal"/>
      </w:pPr>
    </w:p>
    <w:p w14:paraId="03EA3501" w14:textId="77777777" w:rsidR="00A8138F" w:rsidRDefault="00A8138F" w:rsidP="00A8138F">
      <w:pPr>
        <w:pStyle w:val="TextoNormalCentrado"/>
        <w:keepNext/>
      </w:pPr>
      <w:r>
        <w:t>EN NOMBRE DEL REY</w:t>
      </w:r>
    </w:p>
    <w:p w14:paraId="3DEC05B6" w14:textId="22A3E08D" w:rsidR="00A8138F" w:rsidRDefault="00A8138F" w:rsidP="00A8138F">
      <w:pPr>
        <w:pStyle w:val="TextoNormalCentrado"/>
        <w:keepNext/>
      </w:pPr>
    </w:p>
    <w:p w14:paraId="5B46BBFA" w14:textId="77777777" w:rsidR="00A8138F" w:rsidRDefault="00A8138F" w:rsidP="00A8138F">
      <w:pPr>
        <w:pStyle w:val="TextoNormalCentrado"/>
        <w:keepNext/>
      </w:pPr>
    </w:p>
    <w:p w14:paraId="617B8830" w14:textId="77777777" w:rsidR="00A8138F" w:rsidRDefault="00A8138F" w:rsidP="00A8138F">
      <w:pPr>
        <w:pStyle w:val="TextoNormal"/>
      </w:pPr>
      <w:r>
        <w:t>la siguiente</w:t>
      </w:r>
    </w:p>
    <w:p w14:paraId="49D59E58" w14:textId="232870C9" w:rsidR="00A8138F" w:rsidRDefault="00A8138F" w:rsidP="00A8138F">
      <w:pPr>
        <w:pStyle w:val="TextoNormal"/>
      </w:pPr>
    </w:p>
    <w:p w14:paraId="150E0264" w14:textId="77777777" w:rsidR="00A8138F" w:rsidRDefault="00A8138F" w:rsidP="00A8138F">
      <w:pPr>
        <w:pStyle w:val="TextoNormalCentrado"/>
        <w:keepNext/>
      </w:pPr>
      <w:r>
        <w:t>SENTENCIA</w:t>
      </w:r>
    </w:p>
    <w:p w14:paraId="56CAE16D" w14:textId="4036E578" w:rsidR="00A8138F" w:rsidRDefault="00A8138F" w:rsidP="00A8138F">
      <w:pPr>
        <w:pStyle w:val="TextoNormalCentrado"/>
        <w:keepNext/>
      </w:pPr>
    </w:p>
    <w:p w14:paraId="3C4A045B" w14:textId="77777777" w:rsidR="00A8138F" w:rsidRDefault="00A8138F" w:rsidP="00A8138F">
      <w:pPr>
        <w:pStyle w:val="TextoNormal"/>
      </w:pPr>
      <w:r>
        <w:t>En el recurso de amparo núm. 7760-2024, promovido por doña Sandra Argüello Olivares, representada por la procuradora de los tribunales doña Alicia Suau Casado, con la asistencia jurídica de la letrada doña Aida Casanova Pérez, contra la denegación de la solicitud de ampliación de la prestación por nacimiento y cuidado de menor, como madre biológica de familia monoparental, adoptada por silencio administrativo por el Instituto Nacional de la Seguridad Social (INSS), así como, contra la sentencia 732/2023, de 15 de septiembre, de la Sección Tercera de la Sala de lo Social del Tribunal Superior de Justicia de Madrid, dictada en el recurso de suplicación núm. 394-2023, y contra el auto de 11 de septiembre de 2024 de la Sala de lo Social del Tribunal Supremo, dictado en el recurso de casación para unificación de doctrina núm. 5194-2023. Han sido parte el INSS y la Tesorería General de la Seguridad Social (TGSS), representados por la letrada de la Administración de la Seguridad Social. Ha intervenido el Ministerio Fiscal. Ha sido ponente el magistrado don Juan Carlos Campo Moreno.</w:t>
      </w:r>
    </w:p>
    <w:p w14:paraId="7CD0CA8A" w14:textId="101CCF51" w:rsidR="00A8138F" w:rsidRDefault="00A8138F" w:rsidP="00A8138F">
      <w:pPr>
        <w:pStyle w:val="TextoNormal"/>
      </w:pPr>
    </w:p>
    <w:p w14:paraId="5F697493" w14:textId="77777777" w:rsidR="00A8138F" w:rsidRDefault="00A8138F" w:rsidP="00A8138F">
      <w:pPr>
        <w:pStyle w:val="TextoNormalNegritaCentrado"/>
        <w:keepNext/>
      </w:pPr>
      <w:r>
        <w:t>I. Antecedentes</w:t>
      </w:r>
    </w:p>
    <w:p w14:paraId="10A6F3DB" w14:textId="6FE5D6AC" w:rsidR="00A8138F" w:rsidRDefault="00A8138F" w:rsidP="00A8138F">
      <w:pPr>
        <w:pStyle w:val="TextoNormalNegritaCentrado"/>
        <w:keepNext/>
      </w:pPr>
    </w:p>
    <w:p w14:paraId="56CD51DE" w14:textId="3A348E35" w:rsidR="00A8138F" w:rsidRDefault="00A8138F" w:rsidP="00A8138F">
      <w:pPr>
        <w:pStyle w:val="TextoNormal"/>
      </w:pPr>
      <w:r w:rsidRPr="00A8138F">
        <w:rPr>
          <w:rStyle w:val="NumeroAFNegritaCaracter"/>
        </w:rPr>
        <w:t>1</w:t>
      </w:r>
      <w:r>
        <w:t>. Doña Sandra Argüello Olivares, con la representación procesal y letrada que ha sido reseñada en el encabezamiento, mediante escrito presentado el día 16 de octubre de 2024, interpuso recurso de amparo contra la denegación de su solicitud de ampliación de la prestación por nacimiento y cuidado de menor, como madre biológica de familia monoparental, que fue adoptada por silencio administrativo por el INSS, así como contra la sentencia del Tribunal Superior de Justicia de Madrid y el auto del Tribunal Supremo que se mencionan en el encabezamiento.</w:t>
      </w:r>
    </w:p>
    <w:p w14:paraId="7A975EDA" w14:textId="77777777" w:rsidR="00A8138F" w:rsidRDefault="00A8138F" w:rsidP="00A8138F">
      <w:pPr>
        <w:pStyle w:val="TextoNormal"/>
      </w:pPr>
    </w:p>
    <w:p w14:paraId="183721F1" w14:textId="77777777" w:rsidR="00A8138F" w:rsidRDefault="00A8138F" w:rsidP="00A8138F">
      <w:pPr>
        <w:pStyle w:val="TextoNormal"/>
      </w:pPr>
      <w:r w:rsidRPr="00A8138F">
        <w:rPr>
          <w:rStyle w:val="NumeroAFNegritaCaracter"/>
        </w:rPr>
        <w:t>2</w:t>
      </w:r>
      <w:r>
        <w:t>. Son antecedentes fácticos y procesales relevantes que sirven de sustento a la demanda de amparo, según se desprende de la misma, de la documentación que la acompaña y de las actuaciones recibidas, los que a continuación se exponen:</w:t>
      </w:r>
    </w:p>
    <w:p w14:paraId="12DCD88B" w14:textId="77777777" w:rsidR="00A8138F" w:rsidRDefault="00A8138F" w:rsidP="00A8138F">
      <w:pPr>
        <w:pStyle w:val="TextoNormal"/>
      </w:pPr>
    </w:p>
    <w:p w14:paraId="0D2057DB" w14:textId="77777777" w:rsidR="00A8138F" w:rsidRDefault="00A8138F" w:rsidP="00A8138F">
      <w:pPr>
        <w:pStyle w:val="TextoNormal"/>
      </w:pPr>
      <w:r>
        <w:t>a) El día 22 de abril de 2022, la demandante de amparo, madre de una niña nacida el 23 de marzo de 2022, con quien forma una familia monoparental por ser la única progenitora, solicitó del INSS la revisión de la prestación por nacimiento y cuidado de menor para añadir al período ya reconocido el que consideraba que le hubiera correspondido al segundo progenitor distinto de la madre biológica en el supuesto de que constituyeran una familia biparental. No consta que dentro del plazo legal obtuviera respuesta expresa sobre esta solicitud ni sobre la posterior reclamación previa formulada en el mismo sentido, debiendo entenderse desestimadas por silencio administrativo.</w:t>
      </w:r>
    </w:p>
    <w:p w14:paraId="5702A7C3" w14:textId="77777777" w:rsidR="00A8138F" w:rsidRDefault="00A8138F" w:rsidP="00A8138F">
      <w:pPr>
        <w:pStyle w:val="TextoNormal"/>
      </w:pPr>
    </w:p>
    <w:p w14:paraId="20A0503B" w14:textId="77777777" w:rsidR="00A8138F" w:rsidRDefault="00A8138F" w:rsidP="00A8138F">
      <w:pPr>
        <w:pStyle w:val="TextoNormal"/>
      </w:pPr>
      <w:r>
        <w:t>b) La señora Argüello Olivares demandó al INSS y a la TGSS alegando la vulneración de los arts. 14 y 39 CE, afirmando, entre otros motivos, discriminación del menor y de las familias monoparentales y solicitando la ampliación de la prestación en dieciséis semanas. La sentencia 54/2023, de 2 de febrero, del Juzgado de lo Social núm. 22 de Madrid, dictada en el procedimiento de Seguridad Social núm. 795-2022, estimó parcialmente la demanda y le reconoció el derecho a disfrutar de diez semanas adicionales de prestación por nacimiento y cuidado de menor, no considerando procedente conceder dieciséis, dado que las seis primeras semanas inmediatamente posteriores al parto, de conformidad con el art. 48.4 del texto refundido de la Ley del estatuto de los trabajadores, aprobado por el Real Decreto Legislativo 2/2015, de 23 de octubre (LET), se debían disfrutar conjuntamente por ambos progenitores.</w:t>
      </w:r>
    </w:p>
    <w:p w14:paraId="4FDA9262" w14:textId="77777777" w:rsidR="00A8138F" w:rsidRDefault="00A8138F" w:rsidP="00A8138F">
      <w:pPr>
        <w:pStyle w:val="TextoNormal"/>
      </w:pPr>
    </w:p>
    <w:p w14:paraId="784E3D9F" w14:textId="77777777" w:rsidR="00A8138F" w:rsidRDefault="00A8138F" w:rsidP="00A8138F">
      <w:pPr>
        <w:pStyle w:val="TextoNormal"/>
      </w:pPr>
      <w:r>
        <w:t>c) El INSS y la TGSS interpusieron recurso de suplicación. Fue resuelto por la sentencia 732/2023, de 15 de septiembre, de la Sección Tercera de la Sala de lo Social del Tribunal Superior de Justicia de Madrid, que estimó la impugnación tras considerar que tal pretendida acumulación carecía de previsión legal, por lo que revocó la sentencia de instancia y absolvió a las entidades demandadas.</w:t>
      </w:r>
    </w:p>
    <w:p w14:paraId="28309A84" w14:textId="77777777" w:rsidR="00A8138F" w:rsidRDefault="00A8138F" w:rsidP="00A8138F">
      <w:pPr>
        <w:pStyle w:val="TextoNormal"/>
      </w:pPr>
    </w:p>
    <w:p w14:paraId="64BE8E86" w14:textId="50AED769" w:rsidR="00A8138F" w:rsidRDefault="00A8138F" w:rsidP="00A8138F">
      <w:pPr>
        <w:pStyle w:val="TextoNormal"/>
      </w:pPr>
      <w:r>
        <w:t>d) La demandante interpuso entonces recurso de casación para unificación de doctrina, reiterando la argumentación esgrimida ante el Juzgado de lo Social núm. 22 de Madrid. La Sala de lo Social del Tribunal Supremo, mediante auto de 11 de septiembre de 2024, inadmitió el recurso tras apreciar que carecía de interés casacional al coincidir la cuestión planteada con la doctrina unificada por el Pleno en la STS 169/2023, de 2 de marzo (ECLI:ES:TS:2023:783), que declaró que en las familias monoparentales no se podía acumular la prestación por nacimiento y cuidado de menor de ambos progenitores.</w:t>
      </w:r>
    </w:p>
    <w:p w14:paraId="0BE7EBE0" w14:textId="77777777" w:rsidR="00A8138F" w:rsidRDefault="00A8138F" w:rsidP="00A8138F">
      <w:pPr>
        <w:pStyle w:val="TextoNormal"/>
      </w:pPr>
    </w:p>
    <w:p w14:paraId="39F49AD3" w14:textId="77777777" w:rsidR="00A8138F" w:rsidRDefault="00A8138F" w:rsidP="00A8138F">
      <w:pPr>
        <w:pStyle w:val="TextoNormal"/>
      </w:pPr>
      <w:r w:rsidRPr="00A8138F">
        <w:rPr>
          <w:rStyle w:val="NumeroAFNegritaCaracter"/>
        </w:rPr>
        <w:t>3</w:t>
      </w:r>
      <w:r>
        <w:t>. La demanda de amparo denuncia que la desestimación por silencio administrativo de la solicitud de acumulación de las prestaciones, así como la revocación de su reconocimiento por el Juzgado de lo Social núm. 22 de Madrid vulneró de forma directa e indirecta sus derechos fundamentales a la igualdad ante la ley y a la no discriminación; directa por circunstancia personal y familiar e indirecta por razón de sexo (art. 14 CE en relación con el art. 39 CE). En consecuencia, solicita que se reconozca la existencia de la vulneración denunciada, que se anulen las resoluciones cuestionadas y que se retrotraigan las actuaciones al INSS para que dicte una resolución respetuosa con los derechos fundamentales alegados.</w:t>
      </w:r>
    </w:p>
    <w:p w14:paraId="0DE7F734" w14:textId="77777777" w:rsidR="00A8138F" w:rsidRDefault="00A8138F" w:rsidP="00A8138F">
      <w:pPr>
        <w:pStyle w:val="TextoNormal"/>
      </w:pPr>
    </w:p>
    <w:p w14:paraId="3F48F844" w14:textId="493E0B7B" w:rsidR="00A8138F" w:rsidRDefault="00A8138F" w:rsidP="00A8138F">
      <w:pPr>
        <w:pStyle w:val="TextoNormal"/>
      </w:pPr>
      <w:r>
        <w:t>En síntesis, se alega que tales resoluciones incurren en: (i) discriminación directa por generar con su interpretación literal de los arts. 48.4 LET y 177 del texto refundido de la Ley general de la Seguridad Social, aprobado por el Real Decreto Legislativo 8/2015, de 30 de octubre (LGSS), una desigualdad entre las madres y menores nacidos en familias monoparentales y los nacidos en familias biparentales, al contar los primeros con un menor número de semanas de prestación y cuidados que los segundos; (ii) discriminación directa por circunstancias personales y familiares, al no haber salvado por vía interpretativa la omisión del legislador para evitar que se produjera ese trato discriminatorio y desconsiderado hacia la decisión de la recurrente “de constituir una [familia monoparental, que] […] le ha causado un incuestionable perjuicio, que extiende sus efectos a la inobservancia del interés superior de la menor” y (iii) discriminación indirecta por razón de sexo debido a que, en la mayoría de las familias monoparentales, la progenitora única es una mujer que resulta perjudicada en comparación con las familias biparentales en cuanto a la duración de las prestaciones por nacimiento de hijo.</w:t>
      </w:r>
    </w:p>
    <w:p w14:paraId="1DB0809D" w14:textId="77777777" w:rsidR="00A8138F" w:rsidRDefault="00A8138F" w:rsidP="00A8138F">
      <w:pPr>
        <w:pStyle w:val="TextoNormal"/>
      </w:pPr>
    </w:p>
    <w:p w14:paraId="79CB594A" w14:textId="6DCC33C1" w:rsidR="00A8138F" w:rsidRDefault="00A8138F" w:rsidP="00A8138F">
      <w:pPr>
        <w:pStyle w:val="TextoNormal"/>
      </w:pPr>
      <w:r w:rsidRPr="00A8138F">
        <w:rPr>
          <w:rStyle w:val="NumeroAFNegritaCaracter"/>
        </w:rPr>
        <w:t>4</w:t>
      </w:r>
      <w:r>
        <w:t>. La Sección Segunda de la Sala Primera del Tribunal Constitucional, mediante providencia de 16 de diciembre de 2024: (i) admitió a trámite la demanda al apreciar que concurre en el recurso una especial trascendencia constitucional [art. 50.1 de la Ley Orgánica del Tribunal Constitucional (LOTC)] como consecuencia de que la posible vulneración del derecho fundamental que se denuncia pudiera provenir de la ley o de otra disposición de carácter general [STC 155/2009, de 25 de junio, FJ 2 c)] y (ii) acordó dirigirse a la Sala de lo Social del Tribunal Supremo, a la Sección Tercera de la Sala de lo Social del Tribunal Superior de Justicia de Madrid y al Juzgado de lo Social núm. 22 de Madrid, para que remitiesen, en un plazo que no excediera de diez días, certificación o fotocopia adverada de sus respectivas actuaciones, con indicación al juzgado de que emplazase a quienes hubiesen sido parte en el procedimiento, excepto a la recurrente en amparo, a fin de que pudieran comparecer en el recurso en el plazo de diez días.</w:t>
      </w:r>
    </w:p>
    <w:p w14:paraId="34B30F0E" w14:textId="77777777" w:rsidR="00A8138F" w:rsidRDefault="00A8138F" w:rsidP="00A8138F">
      <w:pPr>
        <w:pStyle w:val="TextoNormal"/>
      </w:pPr>
    </w:p>
    <w:p w14:paraId="6A5C7077" w14:textId="6568A34D" w:rsidR="00A8138F" w:rsidRDefault="00A8138F" w:rsidP="00A8138F">
      <w:pPr>
        <w:pStyle w:val="TextoNormal"/>
      </w:pPr>
      <w:r w:rsidRPr="00A8138F">
        <w:rPr>
          <w:rStyle w:val="NumeroAFNegritaCaracter"/>
        </w:rPr>
        <w:t>5</w:t>
      </w:r>
      <w:r>
        <w:t>. La letrada de la Administración de la Seguridad Social, en representación del INSS y de la TGSS, presentó el día 20 de enero de 2025 un escrito de personación y de allanamiento a la demanda de amparo señalando que la dirección del servicio jurídico de la Administración de la Seguridad Social había dictado la instrucción núm. 10/2024, de 23 de diciembre, autorizando al servicio jurídico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 La citada representación reiteró su petición de allanamiento en el trámite de alegaciones mediante escrito presentado en el registro de este tribunal el día 24 de marzo de 2025.</w:t>
      </w:r>
    </w:p>
    <w:p w14:paraId="109A53D2" w14:textId="77777777" w:rsidR="00A8138F" w:rsidRDefault="00A8138F" w:rsidP="00A8138F">
      <w:pPr>
        <w:pStyle w:val="TextoNormal"/>
      </w:pPr>
    </w:p>
    <w:p w14:paraId="6F4BEC63" w14:textId="53B3D5E9" w:rsidR="00A8138F" w:rsidRDefault="00A8138F" w:rsidP="00A8138F">
      <w:pPr>
        <w:pStyle w:val="TextoNormal"/>
      </w:pPr>
      <w:r w:rsidRPr="00A8138F">
        <w:rPr>
          <w:rStyle w:val="NumeroAFNegritaCaracter"/>
        </w:rPr>
        <w:t>6</w:t>
      </w:r>
      <w:r>
        <w:t>. El secretario de justicia de la Sala Primera de este tribunal, una vez recibidas las actuaciones de los órganos judiciales, tuvo por personada y parte a la letrada de las entidades gestoras de la Seguridad Social mediante diligencia de ordenación de 10 de marzo de 2025, en la que también acordó, conforme a lo dispuesto en el art. 52.1 LOTC, dar vista de las actuaciones a las partes personadas y al Ministerio Fiscal por un plazo común de veinte días para que, dentro de dicho término, pudieran presentar las alegaciones que estimasen pertinentes.</w:t>
      </w:r>
    </w:p>
    <w:p w14:paraId="7C2CBEE3" w14:textId="77777777" w:rsidR="00A8138F" w:rsidRDefault="00A8138F" w:rsidP="00A8138F">
      <w:pPr>
        <w:pStyle w:val="TextoNormal"/>
      </w:pPr>
    </w:p>
    <w:p w14:paraId="3B90FE07" w14:textId="52C050BA" w:rsidR="00A8138F" w:rsidRDefault="00A8138F" w:rsidP="00A8138F">
      <w:pPr>
        <w:pStyle w:val="TextoNormal"/>
      </w:pPr>
      <w:r w:rsidRPr="00A8138F">
        <w:rPr>
          <w:rStyle w:val="NumeroAFNegritaCaracter"/>
        </w:rPr>
        <w:t>7</w:t>
      </w:r>
      <w:r>
        <w:t>. La representación procesal de la recurrente presentó escrito de alegaciones el día 7 de abril de 2025. En él, dio por reproducida y ratificada la argumentación de su demanda de amparo, con cita expresa de la STC 140/2024, a cuyos pronunciamientos esenciales se refiere, por estimar que su aplicación al caso exigía resolver en sentido estimatorio su pretensión de amparo.</w:t>
      </w:r>
    </w:p>
    <w:p w14:paraId="2BB10D2F" w14:textId="77777777" w:rsidR="00A8138F" w:rsidRDefault="00A8138F" w:rsidP="00A8138F">
      <w:pPr>
        <w:pStyle w:val="TextoNormal"/>
      </w:pPr>
    </w:p>
    <w:p w14:paraId="220E2895" w14:textId="77777777" w:rsidR="00A8138F" w:rsidRDefault="00A8138F" w:rsidP="00A8138F">
      <w:pPr>
        <w:pStyle w:val="TextoNormal"/>
      </w:pPr>
      <w:r w:rsidRPr="00A8138F">
        <w:rPr>
          <w:rStyle w:val="NumeroAFNegritaCaracter"/>
        </w:rPr>
        <w:t>8</w:t>
      </w:r>
      <w:r>
        <w:t>. La fiscal ante el Tribunal Constitucional, en escrito presentado el día 23 de abril de 2025, ha interesado la estimación del recurso de amparo, en aplicación de lo razonado y acordado en la STC 140/2024, a la vista del criterio establecido en la mencionada sentencia sobre la regulación de la suspensión del contrato de trabajo —y la correspondiente prestación de la Seguridad Social— “por nacimiento y cuidado de hijos que se contiene en los arts. 48.4 LET y 177 LGSS”. La fiscal considera que “procede la estimación del recurso, pues al aplicar los mencionados artículos luego declarados inconstitucionales, negando la ampliación de la prestación para el cuidado de su hija recién nacida, las resoluciones impugnadas, tanto administrativas como judiciales confirmatorias de aquellas, han vulnerado el derecho de la recurrente a la igualdad ante la ley sin discriminación (art. 14 CE) por razón del nacimiento de su hija menor en el seno de una familia monoparental. La reparación de dicha vulneración habrá de producirse, consiguientemente, con arreglo a lo dispuesto en el fundamento jurídico 7 de la STC 140/2024”. En sus alegaciones solicita que se declare la vulneración del derecho con anulación de las resoluciones impugnadas, declarando la firmeza de la sentencia del Juzgado de lo Social núm. 22 de Madrid, al igual que se acordó en la STC 39/2025, de 10 de febrero.</w:t>
      </w:r>
    </w:p>
    <w:p w14:paraId="3683B154" w14:textId="77777777" w:rsidR="00A8138F" w:rsidRDefault="00A8138F" w:rsidP="00A8138F">
      <w:pPr>
        <w:pStyle w:val="TextoNormal"/>
      </w:pPr>
    </w:p>
    <w:p w14:paraId="2DA0DD59" w14:textId="77777777" w:rsidR="00A8138F" w:rsidRDefault="00A8138F" w:rsidP="00A8138F">
      <w:pPr>
        <w:pStyle w:val="TextoNormal"/>
      </w:pPr>
      <w:r>
        <w:t>Afirma que la doctrina aplicable al caso es la contenida en la STC 140/2024, que declaró la inconstitucionalidad de los arts. 48.4 LET y 177 LGSS, precisamente por la vulneración del derecho establecido en el art. 14 CE en relación con el art. 39 CE que se alegan en el presente recurso, y que ha establecido una interpretación provisional, acorde con la Constitución, de la normativa sobre suspensión del contrato de trabajo allí establecida y de la prestación de la Seguridad Social anudada a la misma, mientras que el legislador no reforme dichos artículos, todo lo cual es directamente aplicable al presente recurso.</w:t>
      </w:r>
    </w:p>
    <w:p w14:paraId="4C398C2E" w14:textId="77777777" w:rsidR="00A8138F" w:rsidRDefault="00A8138F" w:rsidP="00A8138F">
      <w:pPr>
        <w:pStyle w:val="TextoNormal"/>
      </w:pPr>
    </w:p>
    <w:p w14:paraId="553E6753" w14:textId="77777777" w:rsidR="00A8138F" w:rsidRDefault="00A8138F" w:rsidP="00A8138F">
      <w:pPr>
        <w:pStyle w:val="TextoNormal"/>
      </w:pPr>
      <w:r>
        <w:t>Considera, en fin, que “[l]a plena analogía de las cuestiones planteadas en el presente recurso de amparo con las que fueron abordadas en la citada STC 140/2024, y, sobre todo, con las resueltas en posteriores sentencias de aplicación de su doctrina en recursos de amparo de contenido similar al que promueve la parte actora en este procedimiento (así, entre las más recientes, SSTC 17/2025 a 24/2025, de 27 de enero, y 29/2025, 32/2025 a 36/2025 y 38/2025 y 39/2025, de 10 de febrero) excluye la necesidad de una exposición más detallada de esa doctrina”.</w:t>
      </w:r>
    </w:p>
    <w:p w14:paraId="0C08F40C" w14:textId="77777777" w:rsidR="00A8138F" w:rsidRDefault="00A8138F" w:rsidP="00A8138F">
      <w:pPr>
        <w:pStyle w:val="TextoNormal"/>
      </w:pPr>
    </w:p>
    <w:p w14:paraId="1B4E5DA9" w14:textId="2A52C7A0" w:rsidR="00A8138F" w:rsidRDefault="00A8138F" w:rsidP="00A8138F">
      <w:pPr>
        <w:pStyle w:val="TextoNormal"/>
      </w:pPr>
      <w:r>
        <w:t>Por último, en cuanto a los efectos que ha de producir la estimación del recurso de amparo que postula, considera que “es[t]e tribunal, en la mayoría de las resoluciones reseñadas anteriormente ha acordado la nulidad de las resoluciones impugnadas y ‘la retroacción al momento previo a la resolución administrativa mencionada en el apartado anterior, para que el Instituto Nacional de la Seguridad Social dicte resolución expresa que resulte ser respetuosa con el derecho fundamental reconocido a la recurrente, con el alcance fijado en el último párrafo del fundamento jurídico 3 de esa sentencia’”. Sin embargo, en algunos casos la vulneración de los derechos fundamentales denunciada ha sido efectivamente reparada por las resoluciones judiciales dictadas en alguna de las instancias, que han procedido a anular las resoluciones denegatorias, apreciando la vulneración y reconociendo el derecho fundamental en los términos de la doctrina señalada en la STC 140/2024. En tal medida, tal y como ha sido ya establecido en algunos precedentes recientes (SSTC 20/2025, 21/2025 y 24/2025, de 27 de enero), considera que “procede acordar la anulación del auto dictado por el Tribunal Supremo y de la sentencia dictada por la Sala de lo Social del Tribunal Superior de Justicia de Madrid, y declarar la firmeza de la sentencia dictada por el Juzgado de lo Social núm. 22 de Madrid”.</w:t>
      </w:r>
    </w:p>
    <w:p w14:paraId="3D9774E1" w14:textId="77777777" w:rsidR="00A8138F" w:rsidRDefault="00A8138F" w:rsidP="00A8138F">
      <w:pPr>
        <w:pStyle w:val="TextoNormal"/>
      </w:pPr>
    </w:p>
    <w:p w14:paraId="1DFF167B" w14:textId="5E0E3BBB" w:rsidR="00A8138F" w:rsidRDefault="00A8138F" w:rsidP="00A8138F">
      <w:pPr>
        <w:pStyle w:val="TextoNormal"/>
      </w:pPr>
      <w:r w:rsidRPr="00A8138F">
        <w:rPr>
          <w:rStyle w:val="NumeroAFNegritaCaracter"/>
        </w:rPr>
        <w:t>9</w:t>
      </w:r>
      <w:r>
        <w:t>. Por providencia de 5 de junio de 2025 se señaló para la deliberación y votación de la presente sentencia el día 9 del mismo mes y año.</w:t>
      </w:r>
    </w:p>
    <w:p w14:paraId="6D7949D4" w14:textId="77777777" w:rsidR="00A8138F" w:rsidRDefault="00A8138F" w:rsidP="00A8138F">
      <w:pPr>
        <w:pStyle w:val="TextoNormal"/>
      </w:pPr>
    </w:p>
    <w:p w14:paraId="2476B517" w14:textId="77777777" w:rsidR="00A8138F" w:rsidRDefault="00A8138F" w:rsidP="00A8138F">
      <w:pPr>
        <w:pStyle w:val="TextoNormalNegritaCentrado"/>
        <w:keepNext/>
      </w:pPr>
      <w:r>
        <w:t>II. Fundamentos jurídicos</w:t>
      </w:r>
    </w:p>
    <w:p w14:paraId="11A2A6F7" w14:textId="27EC0489" w:rsidR="00A8138F" w:rsidRDefault="00A8138F" w:rsidP="00A8138F">
      <w:pPr>
        <w:pStyle w:val="TextoNormalNegritaCentrado"/>
        <w:keepNext/>
      </w:pPr>
    </w:p>
    <w:p w14:paraId="6D2731A5"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43276A42" w14:textId="77777777" w:rsidR="00A8138F" w:rsidRDefault="00A8138F" w:rsidP="00A8138F">
      <w:pPr>
        <w:pStyle w:val="TextoNormal"/>
      </w:pPr>
    </w:p>
    <w:p w14:paraId="1A2038C9" w14:textId="1402E721" w:rsidR="00A8138F" w:rsidRDefault="00A8138F" w:rsidP="00A8138F">
      <w:pPr>
        <w:pStyle w:val="TextoNormal"/>
      </w:pPr>
      <w:r>
        <w:t>El objeto del presente proceso es dilucidar si la sentencia de la Sección Tercera de la Sala de lo Social del Tribunal Superior de Justicia de Madrid, que revocó la sentencia de instancia, que había reconocido la ampliación en diez semanas de la prestación por nacimiento y cuidado de menor en familia monoparental, y el auto de la Sala de lo Social del Tribunal Supremo, que inadmitió el posterior recurso de casación para unificación de doctrina presentado por la demandante, le han ocasionado una discriminación por razón de nacimiento, contraria al art. 14 CE, en relación con el art. 39 CE, al aplicar el art. 48.4 LET, en relación con el art. 177 LGSS, en la redacción dada por el Real Decreto-ley 6/2019, de 1 de marzo, de medidas urgentes para garantía de la igualdad de trato y de oportunidades entre mujeres y hombres en el empleo y la ocupación.</w:t>
      </w:r>
    </w:p>
    <w:p w14:paraId="42119FD3" w14:textId="77777777" w:rsidR="00A8138F" w:rsidRDefault="00A8138F" w:rsidP="00A8138F">
      <w:pPr>
        <w:pStyle w:val="TextoNormal"/>
      </w:pPr>
    </w:p>
    <w:p w14:paraId="5F800EA0"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6B742479" w14:textId="77777777" w:rsidR="00A8138F" w:rsidRDefault="00A8138F" w:rsidP="00A8138F">
      <w:pPr>
        <w:pStyle w:val="TextoNormal"/>
      </w:pPr>
    </w:p>
    <w:p w14:paraId="0F30322F"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Administración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Así lo hemos recordado en las más recientes SSTC 94/2025, de 7 de abril; 102/2025 y 104/2025, de 28 de abril, FJ 2.</w:t>
      </w:r>
    </w:p>
    <w:p w14:paraId="3298F47C" w14:textId="77777777" w:rsidR="00A8138F" w:rsidRDefault="00A8138F" w:rsidP="00A8138F">
      <w:pPr>
        <w:pStyle w:val="TextoNormal"/>
      </w:pPr>
    </w:p>
    <w:p w14:paraId="20493BE4" w14:textId="77777777" w:rsidR="00A8138F" w:rsidRDefault="00A8138F" w:rsidP="00A8138F">
      <w:pPr>
        <w:pStyle w:val="TextoNormal"/>
      </w:pPr>
      <w:r>
        <w:t>Aclarado este punto, 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6240970E" w14:textId="77777777" w:rsidR="00A8138F" w:rsidRDefault="00A8138F" w:rsidP="00A8138F">
      <w:pPr>
        <w:pStyle w:val="TextoNormal"/>
      </w:pPr>
    </w:p>
    <w:p w14:paraId="49DFBE6D" w14:textId="77777777" w:rsidR="00A8138F" w:rsidRDefault="00A8138F" w:rsidP="00A8138F">
      <w:pPr>
        <w:pStyle w:val="TextoNormal"/>
      </w:pPr>
      <w:r>
        <w:t>La citada STC 140/2024, al estimar la cuestión de inconstitucionalidad planteada,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AC68551" w14:textId="77777777" w:rsidR="00A8138F" w:rsidRDefault="00A8138F" w:rsidP="00A8138F">
      <w:pPr>
        <w:pStyle w:val="TextoNormal"/>
      </w:pPr>
    </w:p>
    <w:p w14:paraId="716CDE2E"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72D4A6FA" w14:textId="77777777" w:rsidR="00A8138F" w:rsidRDefault="00A8138F" w:rsidP="00A8138F">
      <w:pPr>
        <w:pStyle w:val="TextoNormal"/>
      </w:pPr>
    </w:p>
    <w:p w14:paraId="5AE74307" w14:textId="77777777" w:rsidR="00A8138F" w:rsidRDefault="00A8138F" w:rsidP="00A8138F">
      <w:pPr>
        <w:pStyle w:val="TextoNormal"/>
      </w:pPr>
      <w:r>
        <w:t>En consecuencia, debe estimarse la demanda y otorgar el amparo solicitado, con los efectos que se indican en el párrafo siguiente, pues como concretamos en la referida STC 140/2024, FJ 7, en tanto el legislador no lleve a cabo la consiguiente reforma normativa, en las familias monoparentales el permiso al que hace referencia el art. 48.4 LET (y en relación con él, la prestación regulada en el art. 177 LGSS), ha de ser interpretado en el sentido de adicionarse al permiso del primer párrafo para la madre biológica, el previsto para el progenitor distinto conforme a la legislación aplicable, excluyendo las semanas que necesariamente deben disfrutarse de forma ininterrumpida e inmediatamente posterior al parto.</w:t>
      </w:r>
    </w:p>
    <w:p w14:paraId="1CE5B5C5" w14:textId="77777777" w:rsidR="00A8138F" w:rsidRDefault="00A8138F" w:rsidP="00A8138F">
      <w:pPr>
        <w:pStyle w:val="TextoNormal"/>
      </w:pPr>
    </w:p>
    <w:p w14:paraId="199D67F0" w14:textId="06016986" w:rsidR="00A8138F" w:rsidRDefault="00A8138F" w:rsidP="00A8138F">
      <w:pPr>
        <w:pStyle w:val="TextoNormal"/>
      </w:pPr>
      <w:r>
        <w:t>Así pues, de acuerdo con las SSTC 29/2025 y 39/2025, de 10 de febrero y 58/2025, de 10 de marzo, la estimación del recurso, y la reparación del derecho fundamental cuya vulneración se declara, conllevan la declaración de nulidad de las resoluciones judiciales impugnadas, y la declaración de firmeza de la sentencia del Juzgado de lo Social núm. 22 de Madrid, coincidente en su contenido y efectos con la ya citada STC 140/2024.</w:t>
      </w:r>
    </w:p>
    <w:p w14:paraId="69D66586" w14:textId="77777777" w:rsidR="00A8138F" w:rsidRDefault="00A8138F" w:rsidP="00A8138F">
      <w:pPr>
        <w:pStyle w:val="TextoNormal"/>
      </w:pPr>
    </w:p>
    <w:p w14:paraId="1D26F6BB" w14:textId="77777777" w:rsidR="00A8138F" w:rsidRDefault="00A8138F" w:rsidP="00A8138F">
      <w:pPr>
        <w:pStyle w:val="TextoNormalCentrado"/>
        <w:keepNext/>
      </w:pPr>
      <w:r>
        <w:t>FALLO</w:t>
      </w:r>
    </w:p>
    <w:p w14:paraId="194860D9" w14:textId="08B83070" w:rsidR="00A8138F" w:rsidRDefault="00A8138F" w:rsidP="00A8138F">
      <w:pPr>
        <w:pStyle w:val="TextoNormalCentrado"/>
        <w:keepNext/>
      </w:pPr>
    </w:p>
    <w:p w14:paraId="1F5AAE89" w14:textId="77777777" w:rsidR="00A8138F" w:rsidRDefault="00A8138F" w:rsidP="00A8138F">
      <w:pPr>
        <w:pStyle w:val="TextoNormal"/>
      </w:pPr>
      <w:r>
        <w:t>En atención a todo lo expuesto, el Tribunal Constitucional, por la autoridad que le confiere la Constitución de la Nación española, ha decidido estimar el recurso de amparo presentado por doña Sandra Argüello Olivares y, en su virtud:</w:t>
      </w:r>
    </w:p>
    <w:p w14:paraId="4759D225" w14:textId="77777777" w:rsidR="00A8138F" w:rsidRDefault="00A8138F" w:rsidP="00A8138F">
      <w:pPr>
        <w:pStyle w:val="TextoNormal"/>
      </w:pPr>
    </w:p>
    <w:p w14:paraId="4F631C88" w14:textId="77777777" w:rsidR="00A8138F" w:rsidRDefault="00A8138F" w:rsidP="00A8138F">
      <w:pPr>
        <w:pStyle w:val="TextoNormal"/>
      </w:pPr>
      <w:r>
        <w:t>1º Declarar vulnerado su derecho fundamental a la igualdad ante la ley, sin que pueda prevalecer discriminación por razón de nacimiento (art. 14 CE).</w:t>
      </w:r>
    </w:p>
    <w:p w14:paraId="4BB4F30C" w14:textId="77777777" w:rsidR="00A8138F" w:rsidRDefault="00A8138F" w:rsidP="00A8138F">
      <w:pPr>
        <w:pStyle w:val="TextoNormal"/>
      </w:pPr>
    </w:p>
    <w:p w14:paraId="73C84218" w14:textId="77777777" w:rsidR="00A8138F" w:rsidRDefault="00A8138F" w:rsidP="00A8138F">
      <w:pPr>
        <w:pStyle w:val="TextoNormal"/>
      </w:pPr>
      <w:r>
        <w:t>2º Restablecerle en su derecho y, para ello, declarar la nulidad de la sentencia núm. 732/2023, de 15 de septiembre, de la Sección Tercera de la Sala de lo Social del Tribunal Superior de Justicia de Madrid, dictada en el recurso de suplicación núm. 394-2023, y la del auto de 11 de septiembre de 2024, de la Sala de lo Social del Tribunal Supremo, dictado en el recurso de casación para la unificación de doctrina núm. 5194-2023.</w:t>
      </w:r>
    </w:p>
    <w:p w14:paraId="618749E7" w14:textId="77777777" w:rsidR="00A8138F" w:rsidRDefault="00A8138F" w:rsidP="00A8138F">
      <w:pPr>
        <w:pStyle w:val="TextoNormal"/>
      </w:pPr>
    </w:p>
    <w:p w14:paraId="46FC61C2" w14:textId="1E2B072D" w:rsidR="00A8138F" w:rsidRDefault="00A8138F" w:rsidP="00A8138F">
      <w:pPr>
        <w:pStyle w:val="TextoNormal"/>
      </w:pPr>
      <w:r>
        <w:t>3º Declarar la firmeza de la sentencia núm. 54/2023, de 2 de febrero, del Juzgado de lo Social núm. 22 de Madrid, dictada en el procedimiento de Seguridad Social núm. 795-2022.</w:t>
      </w:r>
    </w:p>
    <w:p w14:paraId="0129BA00" w14:textId="77777777" w:rsidR="00A8138F" w:rsidRDefault="00A8138F" w:rsidP="00A8138F">
      <w:pPr>
        <w:pStyle w:val="TextoNormal"/>
      </w:pPr>
    </w:p>
    <w:p w14:paraId="4A2978E0" w14:textId="77777777" w:rsidR="00A8138F" w:rsidRDefault="00A8138F" w:rsidP="00A8138F">
      <w:pPr>
        <w:pStyle w:val="TextoNormal"/>
      </w:pPr>
      <w:r>
        <w:t>Publíquese esta sentencia en el “Boletín Oficial del Estado”.</w:t>
      </w:r>
    </w:p>
    <w:p w14:paraId="3CD61F5B" w14:textId="77777777" w:rsidR="00A8138F" w:rsidRDefault="00A8138F" w:rsidP="00A8138F">
      <w:pPr>
        <w:pStyle w:val="TextoNormal"/>
      </w:pPr>
      <w:r>
        <w:t>Dada en Madrid, a nueve de junio de dos mil veinticinco.</w:t>
      </w:r>
    </w:p>
    <w:p w14:paraId="59606CF2" w14:textId="63406032" w:rsidR="00A8138F" w:rsidRDefault="00A8138F">
      <w:pPr>
        <w:spacing w:after="160" w:line="278" w:lineRule="auto"/>
        <w:rPr>
          <w:rFonts w:ascii="Times New Roman" w:eastAsia="Times New Roman" w:hAnsi="Times New Roman" w:cs="Times New Roman"/>
          <w:sz w:val="24"/>
          <w:szCs w:val="24"/>
          <w:lang w:eastAsia="es-ES"/>
        </w:rPr>
      </w:pPr>
      <w:r>
        <w:br w:type="page"/>
      </w:r>
    </w:p>
    <w:p w14:paraId="2E43B5CF" w14:textId="77777777" w:rsidR="00A8138F" w:rsidRDefault="00A8138F" w:rsidP="00A8138F">
      <w:pPr>
        <w:pStyle w:val="TtuloResolucin"/>
      </w:pPr>
      <w:bookmarkStart w:id="132" w:name="SENTENCIA_2025_130"/>
      <w:r>
        <w:t>SENTENCIA 130/2025, de 9 de junio de 2025</w:t>
      </w:r>
    </w:p>
    <w:bookmarkEnd w:id="132"/>
    <w:p w14:paraId="5AAE30A0" w14:textId="77777777" w:rsidR="00A8138F" w:rsidRDefault="00A8138F" w:rsidP="00A8138F">
      <w:pPr>
        <w:pStyle w:val="TtuloResolucin"/>
      </w:pPr>
      <w:r>
        <w:t>Sala Primera</w:t>
      </w:r>
    </w:p>
    <w:p w14:paraId="200E80F0" w14:textId="77777777" w:rsidR="00A8138F" w:rsidRDefault="00A8138F" w:rsidP="00A8138F">
      <w:pPr>
        <w:pStyle w:val="TtuloBOE"/>
      </w:pPr>
      <w:r>
        <w:t>(BOE núm. 168, de 14 de julio de 2025)</w:t>
      </w:r>
    </w:p>
    <w:p w14:paraId="49F55C21" w14:textId="77777777" w:rsidR="00A8138F" w:rsidRDefault="00A8138F" w:rsidP="00A8138F">
      <w:pPr>
        <w:pStyle w:val="TextoNormalCentrado"/>
      </w:pPr>
      <w:r>
        <w:t>ECLI:ES:TC:2025:130</w:t>
      </w:r>
    </w:p>
    <w:p w14:paraId="1839E7AB" w14:textId="0079566E" w:rsidR="00A8138F" w:rsidRDefault="00A8138F" w:rsidP="00A8138F">
      <w:pPr>
        <w:pStyle w:val="TextoNormalCentrado"/>
      </w:pPr>
    </w:p>
    <w:p w14:paraId="62228798" w14:textId="77777777" w:rsidR="00A8138F" w:rsidRDefault="00A8138F" w:rsidP="00A8138F">
      <w:pPr>
        <w:pStyle w:val="SntesisDescriptiva"/>
      </w:pPr>
      <w:r>
        <w:t>Recurso de amparo 7816-2024. Promovido por doña Nina González Pons en relación con las resoluciones administrativas y judiciales que desestimaron su petición de revisión y ampliación de la prestación por nacimiento y cuidado de hijo menor, como madre biológica de familia monoparental.</w:t>
      </w:r>
    </w:p>
    <w:p w14:paraId="13ADAA52" w14:textId="2BD9EB3F" w:rsidR="00A8138F" w:rsidRDefault="00A8138F" w:rsidP="00A8138F">
      <w:pPr>
        <w:pStyle w:val="SntesisDescriptiva"/>
      </w:pPr>
    </w:p>
    <w:p w14:paraId="15F772A5"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211EB5EB" w14:textId="54A340BD" w:rsidR="00A8138F" w:rsidRDefault="00A8138F" w:rsidP="00A8138F">
      <w:pPr>
        <w:pStyle w:val="SntesisAnaltica"/>
      </w:pPr>
    </w:p>
    <w:p w14:paraId="0B805F76" w14:textId="56DAD5D5"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4CBCF79A" w14:textId="77777777" w:rsidR="00A8138F" w:rsidRDefault="00A8138F" w:rsidP="00A8138F">
      <w:pPr>
        <w:pStyle w:val="Extracto"/>
      </w:pPr>
    </w:p>
    <w:p w14:paraId="5641CE29" w14:textId="77777777" w:rsidR="00A8138F" w:rsidRDefault="00A8138F" w:rsidP="00A8138F">
      <w:pPr>
        <w:pStyle w:val="Extracto"/>
      </w:pPr>
    </w:p>
    <w:p w14:paraId="053A3A3D"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427B8DDE" w14:textId="6FB1709D" w:rsidR="00A8138F" w:rsidRDefault="00A8138F" w:rsidP="00A8138F">
      <w:pPr>
        <w:pStyle w:val="TextoNormal"/>
      </w:pPr>
    </w:p>
    <w:p w14:paraId="4DB94649" w14:textId="77777777" w:rsidR="00A8138F" w:rsidRDefault="00A8138F" w:rsidP="00A8138F">
      <w:pPr>
        <w:pStyle w:val="TextoNormalCentrado"/>
        <w:keepNext/>
      </w:pPr>
      <w:r>
        <w:t>EN NOMBRE DEL REY</w:t>
      </w:r>
    </w:p>
    <w:p w14:paraId="1BA2E977" w14:textId="53E3301A" w:rsidR="00A8138F" w:rsidRDefault="00A8138F" w:rsidP="00A8138F">
      <w:pPr>
        <w:pStyle w:val="TextoNormalCentrado"/>
        <w:keepNext/>
      </w:pPr>
    </w:p>
    <w:p w14:paraId="070B8EA1" w14:textId="77777777" w:rsidR="00A8138F" w:rsidRDefault="00A8138F" w:rsidP="00A8138F">
      <w:pPr>
        <w:pStyle w:val="TextoNormalCentrado"/>
        <w:keepNext/>
      </w:pPr>
    </w:p>
    <w:p w14:paraId="7C761728" w14:textId="77777777" w:rsidR="00A8138F" w:rsidRDefault="00A8138F" w:rsidP="00A8138F">
      <w:pPr>
        <w:pStyle w:val="TextoNormal"/>
      </w:pPr>
      <w:r>
        <w:t>la siguiente</w:t>
      </w:r>
    </w:p>
    <w:p w14:paraId="102365DF" w14:textId="3907D4A9" w:rsidR="00A8138F" w:rsidRDefault="00A8138F" w:rsidP="00A8138F">
      <w:pPr>
        <w:pStyle w:val="TextoNormal"/>
      </w:pPr>
    </w:p>
    <w:p w14:paraId="7C971017" w14:textId="77777777" w:rsidR="00A8138F" w:rsidRDefault="00A8138F" w:rsidP="00A8138F">
      <w:pPr>
        <w:pStyle w:val="TextoNormalCentrado"/>
        <w:keepNext/>
      </w:pPr>
      <w:r>
        <w:t>SENTENCIA</w:t>
      </w:r>
    </w:p>
    <w:p w14:paraId="0A09B40F" w14:textId="314D4684" w:rsidR="00A8138F" w:rsidRDefault="00A8138F" w:rsidP="00A8138F">
      <w:pPr>
        <w:pStyle w:val="TextoNormalCentrado"/>
        <w:keepNext/>
      </w:pPr>
    </w:p>
    <w:p w14:paraId="5ED35AE9" w14:textId="77777777" w:rsidR="00A8138F" w:rsidRDefault="00A8138F" w:rsidP="00A8138F">
      <w:pPr>
        <w:pStyle w:val="TextoNormal"/>
      </w:pPr>
      <w:r>
        <w:t>En el recurso de amparo núm. 7816-2024, promovido por doña Nina González Pons, representada por la procuradora de los tribunales doña Alicia Suau Casado y asistida por la letrada doña Aída Casanova Pérez, frente a la resolución del Instituto Nacional de la Seguridad Social (INSS) de 29 de marzo de 2022, desestimatoria de la solicitud de ampliación del permiso por nacimiento de hijo y cuidado de menor en una familia monoparental, y a la desestimación por silencio administrativo de la reclamación administrativa previa; contra la sentencia núm. 33/2023, de 9 de marzo, dictada por el Juzgado de lo Social núm. 1 de Ciutadella de Menorca en los autos de Seguridad Social núm. 109-2022, que desestimó la demanda interpuesta por la recurrente de amparo frente al INSS y la Tesorería General de la Seguridad Social (TGSS); contra la sentencia núm. 585/2023, de 13 de noviembre, dictada por la Sala de lo Social del Tribunal Superior de Justicia de las Illes Balears, que desestimó el recurso de suplicación núm. 316-2023 interpuesto por la actora; y frente el auto de la Sala de lo Social del Tribunal Supremo de 11 de septiembre de 2024, que inadmitió a trámite el recurso de casación para la unificación de doctrina núm. 162-2024 interpuesto por la demandante. Ha intervenido el Ministerio Fiscal. Ha sido ponente la magistrada doña Concepción Espejel Jorquera.</w:t>
      </w:r>
    </w:p>
    <w:p w14:paraId="7CF311AF" w14:textId="25A5A5B8" w:rsidR="00A8138F" w:rsidRDefault="00A8138F" w:rsidP="00A8138F">
      <w:pPr>
        <w:pStyle w:val="TextoNormal"/>
      </w:pPr>
    </w:p>
    <w:p w14:paraId="008098A0" w14:textId="77777777" w:rsidR="00A8138F" w:rsidRDefault="00A8138F" w:rsidP="00A8138F">
      <w:pPr>
        <w:pStyle w:val="TextoNormalNegritaCentrado"/>
        <w:keepNext/>
      </w:pPr>
      <w:r>
        <w:t>I. Antecedentes</w:t>
      </w:r>
    </w:p>
    <w:p w14:paraId="15B612EB" w14:textId="0500887B" w:rsidR="00A8138F" w:rsidRDefault="00A8138F" w:rsidP="00A8138F">
      <w:pPr>
        <w:pStyle w:val="TextoNormalNegritaCentrado"/>
        <w:keepNext/>
      </w:pPr>
    </w:p>
    <w:p w14:paraId="7375C399" w14:textId="5F2FA315" w:rsidR="00A8138F" w:rsidRDefault="00A8138F" w:rsidP="00A8138F">
      <w:pPr>
        <w:pStyle w:val="TextoNormal"/>
      </w:pPr>
      <w:r w:rsidRPr="00A8138F">
        <w:rPr>
          <w:rStyle w:val="NumeroAFNegritaCaracter"/>
        </w:rPr>
        <w:t>1</w:t>
      </w:r>
      <w:r>
        <w:t>. Mediante escrito presentado en el registro general de este tribunal el día 18 de octubre de 2024, doña Alicia Suau Casado, actuando en nombre y representación de doña Nina González Pons, interpuso recurso de amparo frente a la resoluciones administrativas y judiciales que se han identificado en el encabezamiento de esta sentencia.</w:t>
      </w:r>
    </w:p>
    <w:p w14:paraId="55DC7BE0" w14:textId="77777777" w:rsidR="00A8138F" w:rsidRDefault="00A8138F" w:rsidP="00A8138F">
      <w:pPr>
        <w:pStyle w:val="TextoNormal"/>
      </w:pPr>
    </w:p>
    <w:p w14:paraId="1CF79BF8" w14:textId="77777777" w:rsidR="00A8138F" w:rsidRDefault="00A8138F" w:rsidP="00A8138F">
      <w:pPr>
        <w:pStyle w:val="TextoNormal"/>
      </w:pPr>
      <w:r w:rsidRPr="00A8138F">
        <w:rPr>
          <w:rStyle w:val="NumeroAFNegritaCaracter"/>
        </w:rPr>
        <w:t>2</w:t>
      </w:r>
      <w:r>
        <w:t>. El presente recurso de amparo trae causa de los siguientes antecedentes:</w:t>
      </w:r>
    </w:p>
    <w:p w14:paraId="13DD0F1A" w14:textId="77777777" w:rsidR="00A8138F" w:rsidRDefault="00A8138F" w:rsidP="00A8138F">
      <w:pPr>
        <w:pStyle w:val="TextoNormal"/>
      </w:pPr>
    </w:p>
    <w:p w14:paraId="0464A774" w14:textId="77777777" w:rsidR="00A8138F" w:rsidRDefault="00A8138F" w:rsidP="00A8138F">
      <w:pPr>
        <w:pStyle w:val="TextoNormal"/>
      </w:pPr>
      <w:r>
        <w:t>a) La recurrente en amparo, madre biológica de dos menores nacidas el 9 de enero de 2022, con las que forma una familia monoparental, solicitó la prestación por nacimiento y cuidado de hijo (dieciséis semanas, más dos semanas más por tratarse de un parto múltiple), siéndole reconocida inicialmente una prestación de diecisiete semanas de duración por resolución del INSS de 26 de enero de 2022, y de dieciocho semanas mediante resolución de 24 de marzo siguiente.</w:t>
      </w:r>
    </w:p>
    <w:p w14:paraId="47BBBC7C" w14:textId="77777777" w:rsidR="00A8138F" w:rsidRDefault="00A8138F" w:rsidP="00A8138F">
      <w:pPr>
        <w:pStyle w:val="TextoNormal"/>
      </w:pPr>
    </w:p>
    <w:p w14:paraId="7FFB8967" w14:textId="77777777" w:rsidR="00A8138F" w:rsidRDefault="00A8138F" w:rsidP="00A8138F">
      <w:pPr>
        <w:pStyle w:val="TextoNormal"/>
      </w:pPr>
      <w:r>
        <w:t>b) El 12 de febrero de 2022, la actora presentó solicitud de revisión de las prestaciones reconocidas en reclamación de las semanas que le hubieran correspondido al otro progenitor de haberse tratado de una familia biparental (treinta y dos semanas), lo que le fue denegado por el INSS mediante resolución de 29 de marzo de 2022. La demandante formuló reclamación administrativa previa que no fue resuelta expresamente. Al tener por desestimada la reclamación administrativa previa por silencio administrativo, interpuso demanda frente al INSS y la TGSS que dio lugar a los autos de Seguridad Social núm. 109-2022, seguidos ante el Juzgado de lo Social núm. 1 de Ciutadella de Menorca.</w:t>
      </w:r>
    </w:p>
    <w:p w14:paraId="15823EE8" w14:textId="77777777" w:rsidR="00A8138F" w:rsidRDefault="00A8138F" w:rsidP="00A8138F">
      <w:pPr>
        <w:pStyle w:val="TextoNormal"/>
      </w:pPr>
    </w:p>
    <w:p w14:paraId="787C02B6" w14:textId="77777777" w:rsidR="00A8138F" w:rsidRDefault="00A8138F" w:rsidP="00A8138F">
      <w:pPr>
        <w:pStyle w:val="TextoNormal"/>
      </w:pPr>
      <w:r>
        <w:t>c) El juzgado dictó la sentencia núm. 33/2023, de 9 de marzo, que desestimó la demanda en aplicación de la doctrina sentada por la Sala de lo Social del Tribunal Supremo en sentencia de 2 de marzo de 2023 (ECLI:ES:TS:2023:783), que declaró que los preceptos aplicados al caso [arts. 48.4 de la Ley del estatuto de los trabajadores (LET) y 177 de la Ley general de la Seguridad Social (LGSS)] no son contrarios a la Constitución o a la normativa internacional, y que corresponde al legislador determinar el nivel y condiciones de las prestaciones o su modificación para adaptarlas a las necesidades del momento, sin que corresponda a los órganos judiciales adoptar decisiones singularizadas que sustituyan, amplíen o restrinjan la ordenación establecida por el legislador.</w:t>
      </w:r>
    </w:p>
    <w:p w14:paraId="16720CEC" w14:textId="77777777" w:rsidR="00A8138F" w:rsidRDefault="00A8138F" w:rsidP="00A8138F">
      <w:pPr>
        <w:pStyle w:val="TextoNormal"/>
      </w:pPr>
    </w:p>
    <w:p w14:paraId="14D4308D" w14:textId="77777777" w:rsidR="00A8138F" w:rsidRDefault="00A8138F" w:rsidP="00A8138F">
      <w:pPr>
        <w:pStyle w:val="TextoNormal"/>
      </w:pPr>
      <w:r>
        <w:t>d) Frente a la sentencia de primera instancia la actora interpuso recurso de suplicación ante la Sala de lo Social del Tribunal Superior de Justicia de las Illes Balears, registrado con el número 316-2023, que fue impugnado de contrario. El recurso fue desestimado por la sentencia núm. 585/2023, de 13 de noviembre, que confirmó la sentencia de instancia en aplicación de la doctrina sentada por la Sala de lo Social del Tribunal Supremo.</w:t>
      </w:r>
    </w:p>
    <w:p w14:paraId="515A5183" w14:textId="77777777" w:rsidR="00A8138F" w:rsidRDefault="00A8138F" w:rsidP="00A8138F">
      <w:pPr>
        <w:pStyle w:val="TextoNormal"/>
      </w:pPr>
    </w:p>
    <w:p w14:paraId="55ED5412" w14:textId="3259B8CA" w:rsidR="00A8138F" w:rsidRDefault="00A8138F" w:rsidP="00A8138F">
      <w:pPr>
        <w:pStyle w:val="TextoNormal"/>
      </w:pPr>
      <w:r>
        <w:t>e) La parte actora interpuso ante la Sala de lo Social del Tribunal Supremo recurso de casación para la unificación de doctrina, registrado con el número 162-2024, que fue inadmitido a trámite por medio de auto de 11 de septiembre de 2024, por remisión a la doctrina de la Sala contenida en la sentencia núm. 169/2023, de 2 de marzo, dictada en recurso de casación para la unificación de doctrina núm. 3972-2020, reiterada en otras posteriores, según la cual las familias monoparentales no tienen derecho a la acumulación de prestaciones ya que tal posibilidad no se establece en la ley vigente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que cumple las exigencias del Derecho de la Unión Europea, ni tampoco se deduce de nuestra Constitución, ni de los acuerdos y tratados internacionales firmados por España, correspondiendo al legislador —y no a los tribunales— determinar el alcance y contenido de la protección que deba dispensarse a todo tipo de familias.</w:t>
      </w:r>
    </w:p>
    <w:p w14:paraId="6E9D2C20" w14:textId="77777777" w:rsidR="00A8138F" w:rsidRDefault="00A8138F" w:rsidP="00A8138F">
      <w:pPr>
        <w:pStyle w:val="TextoNormal"/>
      </w:pPr>
    </w:p>
    <w:p w14:paraId="499AD95B" w14:textId="4F66CB7E" w:rsidR="00A8138F" w:rsidRDefault="00A8138F" w:rsidP="00A8138F">
      <w:pPr>
        <w:pStyle w:val="TextoNormal"/>
      </w:pPr>
      <w:r w:rsidRPr="00A8138F">
        <w:rPr>
          <w:rStyle w:val="NumeroAFNegritaCaracter"/>
        </w:rPr>
        <w:t>3</w:t>
      </w:r>
      <w:r>
        <w:t>. La recurrente alega en la demanda de amparo la infracción del derecho a la igualdad y a la no discriminación directa por circunstancia personal y familiar, e indirecta por razón de sexo (art. 14 CE en relación con los arts. 39 y 9.2 CE). Comienza refiriéndose a la desigualdad entre madres biológicas de familias monoparentales y de familias biparentales en materia de permisos por nacimiento y cuidado de hijos. Señala que ni el INSS ni los órganos judiciales pueden ignorar la dimensión constitucional de la cuestión ante ellos suscitada y limitarse a realizar una interpretación de la ley que no tiene en cuenta si concurre una justificación objetiva y razonable para el diferente trato, y que no toma como parámetro interpretativo el interés del menor. Añade que sufre una discriminación directa por circunstancia personales y familiares, que resulta de su decisión de formar una familia monoparental, tomada en ejercicio del libre desarrollo de la personalidad (art. 10.1 CE), y que vincula a las convicciones y creencias más íntimas (art. 16 CE). A su juicio, esas convicciones han causado un trato peyorativo tanto a la recurrente como a sus hijas. Se queja, finalmente, de una discriminación indirecta por razón de sexo ya que, aunque la norma aplicada es en principio neutra, perjudica en mayor grado a las mujeres que son las que mayoritariamente constituyen las familias monoparentales. Por todo ello, solicita que se anulen las resoluciones del INSS y las judiciales que las confirmaron, con retroacción de las actuaciones al momento previo al dictado de la resolución del INSS desestimatoria por silencio administrativo para que dicte otra que resulte respetuosa con los derechos fundamentales de la recurrente.</w:t>
      </w:r>
    </w:p>
    <w:p w14:paraId="5A697D12" w14:textId="77777777" w:rsidR="00A8138F" w:rsidRDefault="00A8138F" w:rsidP="00A8138F">
      <w:pPr>
        <w:pStyle w:val="TextoNormal"/>
      </w:pPr>
    </w:p>
    <w:p w14:paraId="6109CBDF" w14:textId="466FFFE7" w:rsidR="00A8138F" w:rsidRDefault="00A8138F" w:rsidP="00A8138F">
      <w:pPr>
        <w:pStyle w:val="TextoNormal"/>
      </w:pPr>
      <w:r w:rsidRPr="00A8138F">
        <w:rPr>
          <w:rStyle w:val="NumeroAFNegritaCaracter"/>
        </w:rPr>
        <w:t>4</w:t>
      </w:r>
      <w:r>
        <w:t>. Mediante providencia de 13 de enero de 2025, la Sección Primera de este tribunal acordó la admisión a trámite del presente recurso de amparo, al apreciar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 Illes Balears a fin de que, en un plazo que no excediera de diez días, remitiesen certificación o fotocopia adverada de las actuaciones correspondientes al recurso de casación para la unificación de doctrina núm. 162-2024 y al recurso de suplicación núm. 316-2023, respectivamente. Asimismo, acordó dirigir comunicación al Juzgado de lo Social núm. 1 de Ciutadella de Menorca a fin de que, en el mismo plazo, remitiese certificación o fotocopia adverada de las actuaciones correspondientes al procedimiento sobre Seguridad Social núm. 109-2022, emplazando a quienes hubieran sido parte en el procedimiento, excepto la parte recurrente en amparo, para que, si lo deseaban, pudieran comparecer en el presente recurso.</w:t>
      </w:r>
    </w:p>
    <w:p w14:paraId="45A331E1" w14:textId="77777777" w:rsidR="00A8138F" w:rsidRDefault="00A8138F" w:rsidP="00A8138F">
      <w:pPr>
        <w:pStyle w:val="TextoNormal"/>
      </w:pPr>
    </w:p>
    <w:p w14:paraId="1E6EA815" w14:textId="691B0A49" w:rsidR="00A8138F" w:rsidRDefault="00A8138F" w:rsidP="00A8138F">
      <w:pPr>
        <w:pStyle w:val="TextoNormal"/>
      </w:pPr>
      <w:r w:rsidRPr="00A8138F">
        <w:rPr>
          <w:rStyle w:val="NumeroAFNegritaCaracter"/>
        </w:rPr>
        <w:t>5</w:t>
      </w:r>
      <w:r>
        <w:t>. Por diligencia de ordenación de 24 de febrero de 2025 se tuvieron por recibidos los testimonios de actuaciones remitidos por los órganos jurisdiccionales, estando emplazadas en forma las partes, sin que se hubiera personado la representación procesal de la Administración de la Seguridad Social. A tenor de lo dispuesto en el art. 52 LOTC, se dio vista a las partes de las actuaciones del presente recurso por un plazo común de veinte días para que durante el mismo pudieran presentar las alegaciones que a su derecho conviniera.</w:t>
      </w:r>
    </w:p>
    <w:p w14:paraId="7173E7C2" w14:textId="77777777" w:rsidR="00A8138F" w:rsidRDefault="00A8138F" w:rsidP="00A8138F">
      <w:pPr>
        <w:pStyle w:val="TextoNormal"/>
      </w:pPr>
    </w:p>
    <w:p w14:paraId="34C3E3AF" w14:textId="2FC3E7D3" w:rsidR="00A8138F" w:rsidRDefault="00A8138F" w:rsidP="00A8138F">
      <w:pPr>
        <w:pStyle w:val="TextoNormal"/>
      </w:pPr>
      <w:r w:rsidRPr="00A8138F">
        <w:rPr>
          <w:rStyle w:val="NumeroAFNegritaCaracter"/>
        </w:rPr>
        <w:t>6</w:t>
      </w:r>
      <w:r>
        <w:t>. Por escrito registrado en este tribunal el 10 de marzo de 2025, la representación procesal de la recurrente en amparo evacuó el trámite de alegaciones conferido, en el que ratificó las vertidas en el recurso de amparo, que entiende confirmadas por la STC 140/2024, de 6 de noviembre, que declara la inconstitucionalidad por omisión del art. 48 LET en relación con el art. 177 LGSS, y solicitó que se dicte sentencia otorgando el amparo solicitado.</w:t>
      </w:r>
    </w:p>
    <w:p w14:paraId="0FD1862E" w14:textId="77777777" w:rsidR="00A8138F" w:rsidRDefault="00A8138F" w:rsidP="00A8138F">
      <w:pPr>
        <w:pStyle w:val="TextoNormal"/>
      </w:pPr>
    </w:p>
    <w:p w14:paraId="71BEF3C0" w14:textId="7D793D4B" w:rsidR="00A8138F" w:rsidRDefault="00A8138F" w:rsidP="00A8138F">
      <w:pPr>
        <w:pStyle w:val="TextoNormal"/>
      </w:pPr>
      <w:r w:rsidRPr="00A8138F">
        <w:rPr>
          <w:rStyle w:val="NumeroAFNegritaCaracter"/>
        </w:rPr>
        <w:t>7</w:t>
      </w:r>
      <w:r>
        <w:t>. El 2 de abril de 2025, el fiscal ante este tribunal presentó escrito de alegaciones en el que interesó la estimación del recurso de amparo por vulneración del derecho fundamental de igualdad ante la ley y no discriminación por razón de nacimiento (art. 14 CE), en aplicación de lo resuelto en la STC 140/2024, de 6 de noviembre, que declaró la inconstitucionalidad por omisión de los arts. 48.4 LET y 177 LGSS, y en las posteriores sentencias dictadas en aplicación de doctrina en otros recursos de amparo. Señala que la reparación de la vulneración habrá de producirse con arreglo a lo dispuesto en el FJ 7 de la citada sentencia y considera que procede declarar la nulidad de las resoluciones administrativas recurridas, ordenando la retroacción de las actuaciones para que el INSS resuelva la pretensión deducida por la demandante de forma respetuosa con el derecho fundamental vulnerado, en los términos fijados en la mentada STC 140/2024.</w:t>
      </w:r>
    </w:p>
    <w:p w14:paraId="16452F51" w14:textId="77777777" w:rsidR="00A8138F" w:rsidRDefault="00A8138F" w:rsidP="00A8138F">
      <w:pPr>
        <w:pStyle w:val="TextoNormal"/>
      </w:pPr>
    </w:p>
    <w:p w14:paraId="44D5AAE4" w14:textId="5409C41E" w:rsidR="00A8138F" w:rsidRDefault="00A8138F" w:rsidP="00A8138F">
      <w:pPr>
        <w:pStyle w:val="TextoNormal"/>
      </w:pPr>
      <w:r w:rsidRPr="00A8138F">
        <w:rPr>
          <w:rStyle w:val="NumeroAFNegritaCaracter"/>
        </w:rPr>
        <w:t>8</w:t>
      </w:r>
      <w:r>
        <w:t>. Mediante providencia de 5 de junio de 2025 se señaló para deliberación y votación de la presente sentencia el día 9 del mismo mes y año.</w:t>
      </w:r>
    </w:p>
    <w:p w14:paraId="7468B7DA" w14:textId="77777777" w:rsidR="00A8138F" w:rsidRDefault="00A8138F" w:rsidP="00A8138F">
      <w:pPr>
        <w:pStyle w:val="TextoNormal"/>
      </w:pPr>
    </w:p>
    <w:p w14:paraId="50D78D6B" w14:textId="77777777" w:rsidR="00A8138F" w:rsidRDefault="00A8138F" w:rsidP="00A8138F">
      <w:pPr>
        <w:pStyle w:val="TextoNormalNegritaCentrado"/>
        <w:keepNext/>
      </w:pPr>
      <w:r>
        <w:t>II. Fundamentos jurídicos</w:t>
      </w:r>
    </w:p>
    <w:p w14:paraId="7CC1B2E7" w14:textId="2DF95250" w:rsidR="00A8138F" w:rsidRDefault="00A8138F" w:rsidP="00A8138F">
      <w:pPr>
        <w:pStyle w:val="TextoNormalNegritaCentrado"/>
        <w:keepNext/>
      </w:pPr>
    </w:p>
    <w:p w14:paraId="71D996D8"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28CB7CFE" w14:textId="77777777" w:rsidR="00A8138F" w:rsidRDefault="00A8138F" w:rsidP="00A8138F">
      <w:pPr>
        <w:pStyle w:val="TextoNormal"/>
      </w:pPr>
    </w:p>
    <w:p w14:paraId="5F23C038" w14:textId="780917FC" w:rsidR="00A8138F" w:rsidRDefault="00A8138F" w:rsidP="00A8138F">
      <w:pPr>
        <w:pStyle w:val="TextoNormal"/>
      </w:pPr>
      <w:r>
        <w:t>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14:paraId="209CA0AD" w14:textId="77777777" w:rsidR="00A8138F" w:rsidRDefault="00A8138F" w:rsidP="00A8138F">
      <w:pPr>
        <w:pStyle w:val="TextoNormal"/>
      </w:pPr>
    </w:p>
    <w:p w14:paraId="48292D92"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420F03B1" w14:textId="77777777" w:rsidR="00A8138F" w:rsidRDefault="00A8138F" w:rsidP="00A8138F">
      <w:pPr>
        <w:pStyle w:val="TextoNormal"/>
      </w:pPr>
    </w:p>
    <w:p w14:paraId="47C1B178" w14:textId="77777777" w:rsidR="00A8138F" w:rsidRDefault="00A8138F" w:rsidP="00A8138F">
      <w:pPr>
        <w:pStyle w:val="TextoNormal"/>
      </w:pPr>
      <w:r>
        <w:t>La cuestión de fondo planteada en este recurso de amparo es coincidente con la resuelta por la STC 140/2024, de 6 de noviembre, motivo por el que hay que remitirse a sus fundamentos jurídicos, donde se expone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se precisa el alcance de la declaración de inconstitucionalidad realizada (FJ 7).</w:t>
      </w:r>
    </w:p>
    <w:p w14:paraId="71928CC2" w14:textId="77777777" w:rsidR="00A8138F" w:rsidRDefault="00A8138F" w:rsidP="00A8138F">
      <w:pPr>
        <w:pStyle w:val="TextoNormal"/>
      </w:pPr>
    </w:p>
    <w:p w14:paraId="4384C969" w14:textId="77777777" w:rsidR="00A8138F" w:rsidRDefault="00A8138F" w:rsidP="00A8138F">
      <w:pPr>
        <w:pStyle w:val="TextoNormal"/>
      </w:pPr>
      <w:r>
        <w:t>La STC 140/2024, de 6 de noviembre, al estimar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361A1E8E" w14:textId="77777777" w:rsidR="00A8138F" w:rsidRDefault="00A8138F" w:rsidP="00A8138F">
      <w:pPr>
        <w:pStyle w:val="TextoNormal"/>
      </w:pPr>
    </w:p>
    <w:p w14:paraId="01C03536"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56D3E889" w14:textId="77777777" w:rsidR="00A8138F" w:rsidRDefault="00A8138F" w:rsidP="00A8138F">
      <w:pPr>
        <w:pStyle w:val="TextoNormal"/>
      </w:pPr>
    </w:p>
    <w:p w14:paraId="01F5F62D" w14:textId="77777777" w:rsidR="00A8138F" w:rsidRDefault="00A8138F" w:rsidP="00A8138F">
      <w:pPr>
        <w:pStyle w:val="TextoNormal"/>
      </w:pPr>
      <w:r>
        <w:t>En consecuencia, debe estimarse la demanda y otorgar el amparo solicitado, con nulidad, tal y como interesan la demandante de amparo y el fiscal, de las resoluciones del INSS recurridas, así como de las resoluciones judiciales que las confirmaron. La retroacción ha de hacerse, en consecuencia, al momento inmediatamente anterior al dictado de las citadas resoluciones administrativas que denegaron la pretensión de la actora, para que el INSS dicte una nueva resolución expresa que resulte acorde con lo declarado en la STC 140/2024, de 6 de noviembre.</w:t>
      </w:r>
    </w:p>
    <w:p w14:paraId="7F655BD2" w14:textId="77777777" w:rsidR="00A8138F" w:rsidRDefault="00A8138F" w:rsidP="00A8138F">
      <w:pPr>
        <w:pStyle w:val="TextoNormal"/>
      </w:pPr>
    </w:p>
    <w:p w14:paraId="53370816" w14:textId="358159D2" w:rsidR="00A8138F" w:rsidRDefault="00A8138F" w:rsidP="00A8138F">
      <w:pPr>
        <w:pStyle w:val="TextoNormal"/>
      </w:pPr>
      <w:r>
        <w:t>Como quedó concretado en el fundamento jurídico 7 de la citada sentencia,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525BF78" w14:textId="77777777" w:rsidR="00A8138F" w:rsidRDefault="00A8138F" w:rsidP="00A8138F">
      <w:pPr>
        <w:pStyle w:val="TextoNormal"/>
      </w:pPr>
    </w:p>
    <w:p w14:paraId="7E6C5A9B" w14:textId="77777777" w:rsidR="00A8138F" w:rsidRDefault="00A8138F" w:rsidP="00A8138F">
      <w:pPr>
        <w:pStyle w:val="TextoNormalCentrado"/>
        <w:keepNext/>
      </w:pPr>
      <w:r>
        <w:t>FALLO</w:t>
      </w:r>
    </w:p>
    <w:p w14:paraId="680F8CF5" w14:textId="379F898B" w:rsidR="00A8138F" w:rsidRDefault="00A8138F" w:rsidP="00A8138F">
      <w:pPr>
        <w:pStyle w:val="TextoNormalCentrado"/>
        <w:keepNext/>
      </w:pPr>
    </w:p>
    <w:p w14:paraId="6D0E78AC"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Nina González Pons y, en su virtud:</w:t>
      </w:r>
    </w:p>
    <w:p w14:paraId="0CB8842D" w14:textId="77777777" w:rsidR="00A8138F" w:rsidRDefault="00A8138F" w:rsidP="00A8138F">
      <w:pPr>
        <w:pStyle w:val="TextoNormal"/>
      </w:pPr>
    </w:p>
    <w:p w14:paraId="549D55A7" w14:textId="77777777" w:rsidR="00A8138F" w:rsidRDefault="00A8138F" w:rsidP="00A8138F">
      <w:pPr>
        <w:pStyle w:val="TextoNormal"/>
      </w:pPr>
      <w:r>
        <w:t>1º Declarar vulnerado el derecho fundamental a la igualdad ante la ley sin discriminación por razón de nacimiento (art. 14 CE).</w:t>
      </w:r>
    </w:p>
    <w:p w14:paraId="1B375535" w14:textId="77777777" w:rsidR="00A8138F" w:rsidRDefault="00A8138F" w:rsidP="00A8138F">
      <w:pPr>
        <w:pStyle w:val="TextoNormal"/>
      </w:pPr>
    </w:p>
    <w:p w14:paraId="3F94A6A8" w14:textId="77777777" w:rsidR="00A8138F" w:rsidRDefault="00A8138F" w:rsidP="00A8138F">
      <w:pPr>
        <w:pStyle w:val="TextoNormal"/>
      </w:pPr>
      <w:r>
        <w:t>2º Restablecerla en su derecho y, a tal fin, declarar la nulidad de las siguientes resoluciones: (i) la resolución del Instituto Nacional de la Seguridad Social de 29 de marzo de 2022; (ii) la sentencia núm. 33/2023, de 9 de marzo, dictada por el Juzgado de lo Social núm. 1 de Ciutadella de Menorca en los autos de Seguridad Social núm. 109-2022; (iii) la sentencia núm. 585/2023, de 13 de noviembre, de la Sala de lo Social del Tribunal Superior de Justicia de Illes Balears dictada en el recurso de suplicación núm. 316-2023; y (iv) el auto de 11 de septiembre de 2024, dictado por la Sala de lo Social del Tribunal Supremo en el recurso de casación para la unificación de doctrina núm. 162-2024.</w:t>
      </w:r>
    </w:p>
    <w:p w14:paraId="1DD9A6B5" w14:textId="77777777" w:rsidR="00A8138F" w:rsidRDefault="00A8138F" w:rsidP="00A8138F">
      <w:pPr>
        <w:pStyle w:val="TextoNormal"/>
      </w:pPr>
    </w:p>
    <w:p w14:paraId="13B07225" w14:textId="5E980057" w:rsidR="00A8138F" w:rsidRDefault="00A8138F" w:rsidP="00A8138F">
      <w:pPr>
        <w:pStyle w:val="TextoNormal"/>
      </w:pPr>
      <w:r>
        <w:t>3º Retrotraer las actuaciones al momento previo al dictado de la resolución administrativa de 29 de marzo de 2022, a fin de que el Instituto Nacional de la Seguridad Social dicte una resolución expresa que resulte respetuosa con el derecho fundamental reconocido a la recurrente, con el alcance fijado en el último párrafo del fundamento jurídico 2 de esta sentencia.</w:t>
      </w:r>
    </w:p>
    <w:p w14:paraId="4C2174F6" w14:textId="77777777" w:rsidR="00A8138F" w:rsidRDefault="00A8138F" w:rsidP="00A8138F">
      <w:pPr>
        <w:pStyle w:val="TextoNormal"/>
      </w:pPr>
    </w:p>
    <w:p w14:paraId="2CB659CB" w14:textId="77777777" w:rsidR="00A8138F" w:rsidRDefault="00A8138F" w:rsidP="00A8138F">
      <w:pPr>
        <w:pStyle w:val="TextoNormal"/>
      </w:pPr>
      <w:r>
        <w:t>Publíquese esta sentencia en el “Boletín Oficial del Estado”.</w:t>
      </w:r>
    </w:p>
    <w:p w14:paraId="0650D14F" w14:textId="77777777" w:rsidR="00A8138F" w:rsidRDefault="00A8138F" w:rsidP="00A8138F">
      <w:pPr>
        <w:pStyle w:val="TextoNormal"/>
      </w:pPr>
      <w:r>
        <w:t>Dada en Madrid, a nueve de junio de dos mil veinticinco.</w:t>
      </w:r>
    </w:p>
    <w:p w14:paraId="25941286" w14:textId="3C975A8C" w:rsidR="00A8138F" w:rsidRDefault="00A8138F">
      <w:pPr>
        <w:spacing w:after="160" w:line="278" w:lineRule="auto"/>
        <w:rPr>
          <w:rFonts w:ascii="Times New Roman" w:eastAsia="Times New Roman" w:hAnsi="Times New Roman" w:cs="Times New Roman"/>
          <w:sz w:val="24"/>
          <w:szCs w:val="24"/>
          <w:lang w:eastAsia="es-ES"/>
        </w:rPr>
      </w:pPr>
      <w:r>
        <w:br w:type="page"/>
      </w:r>
    </w:p>
    <w:p w14:paraId="45AC2D17" w14:textId="77777777" w:rsidR="00A8138F" w:rsidRDefault="00A8138F" w:rsidP="00A8138F">
      <w:pPr>
        <w:pStyle w:val="TtuloResolucin"/>
      </w:pPr>
      <w:bookmarkStart w:id="133" w:name="SENTENCIA_2025_131"/>
      <w:r>
        <w:t>SENTENCIA 131/2025, de 9 de junio de 2025</w:t>
      </w:r>
    </w:p>
    <w:bookmarkEnd w:id="133"/>
    <w:p w14:paraId="5795A9D1" w14:textId="77777777" w:rsidR="00A8138F" w:rsidRDefault="00A8138F" w:rsidP="00A8138F">
      <w:pPr>
        <w:pStyle w:val="TtuloResolucin"/>
      </w:pPr>
      <w:r>
        <w:t>Sala Primera</w:t>
      </w:r>
    </w:p>
    <w:p w14:paraId="4F74E4E2" w14:textId="77777777" w:rsidR="00A8138F" w:rsidRDefault="00A8138F" w:rsidP="00A8138F">
      <w:pPr>
        <w:pStyle w:val="TtuloBOE"/>
      </w:pPr>
      <w:r>
        <w:t>(BOE núm. 168, de 14 de julio de 2025)</w:t>
      </w:r>
    </w:p>
    <w:p w14:paraId="5999697B" w14:textId="77777777" w:rsidR="00A8138F" w:rsidRDefault="00A8138F" w:rsidP="00A8138F">
      <w:pPr>
        <w:pStyle w:val="TextoNormalCentrado"/>
      </w:pPr>
      <w:r>
        <w:t>ECLI:ES:TC:2025:131</w:t>
      </w:r>
    </w:p>
    <w:p w14:paraId="37C45353" w14:textId="01BD635C" w:rsidR="00A8138F" w:rsidRDefault="00A8138F" w:rsidP="00A8138F">
      <w:pPr>
        <w:pStyle w:val="TextoNormalCentrado"/>
      </w:pPr>
    </w:p>
    <w:p w14:paraId="7132BFC6" w14:textId="77777777" w:rsidR="00A8138F" w:rsidRDefault="00A8138F" w:rsidP="00A8138F">
      <w:pPr>
        <w:pStyle w:val="SntesisDescriptiva"/>
      </w:pPr>
      <w:r>
        <w:t>Recurso de amparo 8122-2024. Promovido por doña Oiane Salazar Alday en relación con las resoluciones administrativas y judiciales que desestimaron su petición de revisión y ampliación de la prestación por nacimiento y cuidado de hijo menor, como madre biológica de familia monoparental.</w:t>
      </w:r>
    </w:p>
    <w:p w14:paraId="291C637D" w14:textId="3A62891C" w:rsidR="00A8138F" w:rsidRDefault="00A8138F" w:rsidP="00A8138F">
      <w:pPr>
        <w:pStyle w:val="SntesisDescriptiva"/>
      </w:pPr>
    </w:p>
    <w:p w14:paraId="5E05E356" w14:textId="77777777" w:rsidR="00A8138F" w:rsidRDefault="00A8138F" w:rsidP="00A8138F">
      <w:pPr>
        <w:pStyle w:val="SntesisAnaltica"/>
      </w:pPr>
      <w:r>
        <w:t>Vulneración del derecho a la igualdad ante la ley sin discriminación por razón de nacimiento: resoluciones judiciales y administrativas que aplican una regulación legal declarada inconstitucional en la STC 140/2024, en tanto que omite la posibilidad de que las madres biológicas de familias monoparentales, trabajadoras por cuenta ajena, puedan ampliar su permiso por nacimiento disfrutando del permiso que correspondería al otro progenitor, caso de existir.</w:t>
      </w:r>
    </w:p>
    <w:p w14:paraId="7247A846" w14:textId="69863E03" w:rsidR="00A8138F" w:rsidRDefault="00A8138F" w:rsidP="00A8138F">
      <w:pPr>
        <w:pStyle w:val="SntesisAnaltica"/>
      </w:pPr>
    </w:p>
    <w:p w14:paraId="0B4B82D1" w14:textId="6AE63FD9" w:rsidR="00A8138F" w:rsidRDefault="00A8138F" w:rsidP="00A8138F">
      <w:pPr>
        <w:pStyle w:val="Extracto"/>
      </w:pPr>
      <w:r>
        <w:t>1.</w:t>
      </w:r>
      <w:r>
        <w:tab/>
        <w:t>Aplicación de la doctrina recogida en la STC 140/2024 en materias de permiso por nacimiento y cuidado de menor y de la correspondiente prestación de la Seguridad Social, para familias monoparentales [FJ 2].</w:t>
      </w:r>
    </w:p>
    <w:p w14:paraId="27EADB17" w14:textId="77777777" w:rsidR="00A8138F" w:rsidRDefault="00A8138F" w:rsidP="00A8138F">
      <w:pPr>
        <w:pStyle w:val="Extracto"/>
      </w:pPr>
    </w:p>
    <w:p w14:paraId="79F58F00" w14:textId="77777777" w:rsidR="00A8138F" w:rsidRDefault="00A8138F" w:rsidP="00A8138F">
      <w:pPr>
        <w:pStyle w:val="Extracto"/>
      </w:pPr>
    </w:p>
    <w:p w14:paraId="2CF16465" w14:textId="77777777" w:rsidR="00A8138F" w:rsidRDefault="00A8138F" w:rsidP="00A8138F">
      <w:pPr>
        <w:pStyle w:val="TextoNormal"/>
      </w:pPr>
      <w: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14:paraId="16D54A2E" w14:textId="75E6A914" w:rsidR="00A8138F" w:rsidRDefault="00A8138F" w:rsidP="00A8138F">
      <w:pPr>
        <w:pStyle w:val="TextoNormal"/>
      </w:pPr>
    </w:p>
    <w:p w14:paraId="19171DB3" w14:textId="77777777" w:rsidR="00A8138F" w:rsidRDefault="00A8138F" w:rsidP="00A8138F">
      <w:pPr>
        <w:pStyle w:val="TextoNormalCentrado"/>
        <w:keepNext/>
      </w:pPr>
      <w:r>
        <w:t>EN NOMBRE DEL REY</w:t>
      </w:r>
    </w:p>
    <w:p w14:paraId="7BCB65B3" w14:textId="450983EE" w:rsidR="00A8138F" w:rsidRDefault="00A8138F" w:rsidP="00A8138F">
      <w:pPr>
        <w:pStyle w:val="TextoNormalCentrado"/>
        <w:keepNext/>
      </w:pPr>
    </w:p>
    <w:p w14:paraId="406111D5" w14:textId="77777777" w:rsidR="00A8138F" w:rsidRDefault="00A8138F" w:rsidP="00A8138F">
      <w:pPr>
        <w:pStyle w:val="TextoNormalCentrado"/>
        <w:keepNext/>
      </w:pPr>
    </w:p>
    <w:p w14:paraId="10FDA162" w14:textId="77777777" w:rsidR="00A8138F" w:rsidRDefault="00A8138F" w:rsidP="00A8138F">
      <w:pPr>
        <w:pStyle w:val="TextoNormal"/>
      </w:pPr>
      <w:r>
        <w:t>la siguiente</w:t>
      </w:r>
    </w:p>
    <w:p w14:paraId="52DC47B5" w14:textId="67B7CB42" w:rsidR="00A8138F" w:rsidRDefault="00A8138F" w:rsidP="00A8138F">
      <w:pPr>
        <w:pStyle w:val="TextoNormal"/>
      </w:pPr>
    </w:p>
    <w:p w14:paraId="516DA43C" w14:textId="77777777" w:rsidR="00A8138F" w:rsidRDefault="00A8138F" w:rsidP="00A8138F">
      <w:pPr>
        <w:pStyle w:val="TextoNormalCentrado"/>
        <w:keepNext/>
      </w:pPr>
      <w:r>
        <w:t>SENTENCIA</w:t>
      </w:r>
    </w:p>
    <w:p w14:paraId="39BCB845" w14:textId="17F5F2BB" w:rsidR="00A8138F" w:rsidRDefault="00A8138F" w:rsidP="00A8138F">
      <w:pPr>
        <w:pStyle w:val="TextoNormalCentrado"/>
        <w:keepNext/>
      </w:pPr>
    </w:p>
    <w:p w14:paraId="1B8BAC8A" w14:textId="77777777" w:rsidR="00A8138F" w:rsidRDefault="00A8138F" w:rsidP="00A8138F">
      <w:pPr>
        <w:pStyle w:val="TextoNormal"/>
      </w:pPr>
      <w:r>
        <w:t>En el recurso de amparo núm. 8122-2024, promovido por doña Oiane Salazar Alday, frente a la sentencia de la Sala de lo Social del Tribunal Supremo núm. 1105/2024, de 12 de septiembre, dictada en el recurso de casación para la unificación de doctrina núm. 575-2023. Ha comparecido la letrada de la Administración de la Seguridad Social, en nombre del Instituto Nacional de la Seguridad Social (INSS) y de la Tesorería General de la Seguridad Social (TGSS). Ha intervenido el Ministerio Fiscal. Ha sido ponente el magistrado don José María Macías Castaño.</w:t>
      </w:r>
    </w:p>
    <w:p w14:paraId="7A1F378D" w14:textId="1FDA7A1F" w:rsidR="00A8138F" w:rsidRDefault="00A8138F" w:rsidP="00A8138F">
      <w:pPr>
        <w:pStyle w:val="TextoNormal"/>
      </w:pPr>
    </w:p>
    <w:p w14:paraId="31534869" w14:textId="77777777" w:rsidR="00A8138F" w:rsidRDefault="00A8138F" w:rsidP="00A8138F">
      <w:pPr>
        <w:pStyle w:val="TextoNormalNegritaCentrado"/>
        <w:keepNext/>
      </w:pPr>
      <w:r>
        <w:t>I. Antecedentes</w:t>
      </w:r>
    </w:p>
    <w:p w14:paraId="5C40EEDA" w14:textId="421817BB" w:rsidR="00A8138F" w:rsidRDefault="00A8138F" w:rsidP="00A8138F">
      <w:pPr>
        <w:pStyle w:val="TextoNormalNegritaCentrado"/>
        <w:keepNext/>
      </w:pPr>
    </w:p>
    <w:p w14:paraId="64061180" w14:textId="6E5341B1" w:rsidR="00A8138F" w:rsidRDefault="00A8138F" w:rsidP="00A8138F">
      <w:pPr>
        <w:pStyle w:val="TextoNormal"/>
      </w:pPr>
      <w:r w:rsidRPr="00A8138F">
        <w:rPr>
          <w:rStyle w:val="NumeroAFNegritaCaracter"/>
        </w:rPr>
        <w:t>1</w:t>
      </w:r>
      <w:r>
        <w:t>. Mediante escrito presentado en el registro general de este tribunal el día 29 de octubre de 2024 por la procuradora de los tribunales doña María Yolanda Cortajarena Martínez, en nombre y representación de doña Oiane Salazar Alday, bajo la dirección letrada de don Carlos Alberto Cabodevilla Cabodevilla, se interpuso recurso de amparo frente a la resolución judicial a la que se ha hecho referencia en el encabezamiento de esta sentencia.</w:t>
      </w:r>
    </w:p>
    <w:p w14:paraId="67DB2A4D" w14:textId="77777777" w:rsidR="00A8138F" w:rsidRDefault="00A8138F" w:rsidP="00A8138F">
      <w:pPr>
        <w:pStyle w:val="TextoNormal"/>
      </w:pPr>
    </w:p>
    <w:p w14:paraId="5FCB1372" w14:textId="77777777" w:rsidR="00A8138F" w:rsidRDefault="00A8138F" w:rsidP="00A8138F">
      <w:pPr>
        <w:pStyle w:val="TextoNormal"/>
      </w:pPr>
      <w:r w:rsidRPr="00A8138F">
        <w:rPr>
          <w:rStyle w:val="NumeroAFNegritaCaracter"/>
        </w:rPr>
        <w:t>2</w:t>
      </w:r>
      <w:r>
        <w:t>. El presente recurso de amparo tiene su origen en los siguientes antecedentes:</w:t>
      </w:r>
    </w:p>
    <w:p w14:paraId="386D5BD4" w14:textId="77777777" w:rsidR="00A8138F" w:rsidRDefault="00A8138F" w:rsidP="00A8138F">
      <w:pPr>
        <w:pStyle w:val="TextoNormal"/>
      </w:pPr>
    </w:p>
    <w:p w14:paraId="7A26538C" w14:textId="77777777" w:rsidR="00A8138F" w:rsidRDefault="00A8138F" w:rsidP="00A8138F">
      <w:pPr>
        <w:pStyle w:val="TextoNormal"/>
      </w:pPr>
      <w:r>
        <w:t>a) La recurrente en amparo, madre biológica de un menor nacido el día 31 de mayo de 2020, con el que forma una familia monoparental, solicitó que se le ampliase la prestación por nacimiento y cuidado de hijo en las doce semanas que le hubieran correspondido al otro progenitor, para el caso de que se hubiera tratado de una familia biparental. Por resolución del Instituto Nacional de la Seguridad Social (INSS) de 10 de enero de 2021 le fue desestimada su pretensión.</w:t>
      </w:r>
    </w:p>
    <w:p w14:paraId="20BD005C" w14:textId="77777777" w:rsidR="00A8138F" w:rsidRDefault="00A8138F" w:rsidP="00A8138F">
      <w:pPr>
        <w:pStyle w:val="TextoNormal"/>
      </w:pPr>
    </w:p>
    <w:p w14:paraId="281275BD" w14:textId="77777777" w:rsidR="00A8138F" w:rsidRDefault="00A8138F" w:rsidP="00A8138F">
      <w:pPr>
        <w:pStyle w:val="TextoNormal"/>
      </w:pPr>
      <w:r>
        <w:t>b) Disconforme con esta decisión, la recurrente formuló demanda que recayó en el Juzgado de lo Social núm. 9 de Bilbao, dando lugar a los autos de seguridad social núm. 484-2021. Por sentencia 7/2022, de 17 de enero, se estimó parcialmente la demanda, en el sentido de reconocer que la actora tenía derecho a complementar la prestación de maternidad con otras ocho semanas. En su resolución, el juzgado asumió —y reprodujo ampliamente— el criterio expuesto en la sentencia de 6 de octubre de 2020, dictada en el recurso núm. 941-2020 por la Sala de lo Social del Tribunal Superior de Justicia del País Vasco (ECLI:ES:TSJPV:2020:396). En síntesis, consideró que la legislación aplicable [arts. 177 de la Ley general de la Seguridad Social (LGSS) y 48 de la Ley del estatuto de los trabajadores (LET)] debía ser interpretada de conformidad con la primacía del interés del menor y la igualdad de todos los hijos ante la ley, con independencia del núcleo familiar del que formen parte (arts. 39 y 14 CE, así como la normativa internacional aplicable por la vía del art. 10.2 CE); y se subrayó, además, que estadísticamente la mayoría de los hogares monoparentales estaban formados por mujeres, de modo que la denegación de la pretensión incidía en la igualdad entre mujeres y hombres, ocasionando una discriminación indirecta por razón de sexo (art. 14 CE).</w:t>
      </w:r>
    </w:p>
    <w:p w14:paraId="74D577B1" w14:textId="77777777" w:rsidR="00A8138F" w:rsidRDefault="00A8138F" w:rsidP="00A8138F">
      <w:pPr>
        <w:pStyle w:val="TextoNormal"/>
      </w:pPr>
    </w:p>
    <w:p w14:paraId="3E97C8FC" w14:textId="77777777" w:rsidR="00A8138F" w:rsidRDefault="00A8138F" w:rsidP="00A8138F">
      <w:pPr>
        <w:pStyle w:val="TextoNormal"/>
      </w:pPr>
      <w:r>
        <w:t>c) Frente a la referida sentencia se interpuso por el INSS recurso de suplicación ante la Sala de lo Social del Tribunal Superior de Justicia del País Vasco, tramitado bajo el núm. 1397-2022, que fue desestimado por la sentencia 2469/2022, de 28 de noviembre, que confirmó en su integridad la sentencia de instancia.</w:t>
      </w:r>
    </w:p>
    <w:p w14:paraId="6D4A257E" w14:textId="77777777" w:rsidR="00A8138F" w:rsidRDefault="00A8138F" w:rsidP="00A8138F">
      <w:pPr>
        <w:pStyle w:val="TextoNormal"/>
      </w:pPr>
    </w:p>
    <w:p w14:paraId="432E72F2" w14:textId="408AA5FA" w:rsidR="00A8138F" w:rsidRDefault="00A8138F" w:rsidP="00A8138F">
      <w:pPr>
        <w:pStyle w:val="TextoNormal"/>
      </w:pPr>
      <w:r>
        <w:t>d) El INSS presentó entonces un recurso de casación para la unificación de doctrina ante la Sala de lo Social del Tribunal Supremo, tramitado con el núm. 575-2023. Por medio de la sentencia núm. 1105/2024, de 12 de septiembre, ahora impugnada, el recurso de casación fue estimado, reiterando la doctrina expuesta en la STS 169/2023, de 2 de marzo, dictada en el recurso de casación para la unificación de la doctrina núm. 3972-2020 (ECLI:ES:TS:2023:783). En síntesis, el Tribunal Supremo consideraba que la normativa de aplicación no resultaba intrínsecamente discriminatoria, sino reflejo del amplio margen otorgado al legislador para la configuración legal del sistema de prestaciones de la Seguridad Social. Como consecuencia de esta sentencia, se revocaron las dictadas por el juzgado de lo social y por el Tribunal Superior de Justicia del País Vasco, confirmando así la resolución administrativa del INSS denegatoria de la pretensión formulada por la ahora recurrente.</w:t>
      </w:r>
    </w:p>
    <w:p w14:paraId="1713CC6A" w14:textId="77777777" w:rsidR="00A8138F" w:rsidRDefault="00A8138F" w:rsidP="00A8138F">
      <w:pPr>
        <w:pStyle w:val="TextoNormal"/>
      </w:pPr>
    </w:p>
    <w:p w14:paraId="7BFE6D29" w14:textId="77777777" w:rsidR="00A8138F" w:rsidRDefault="00A8138F" w:rsidP="00A8138F">
      <w:pPr>
        <w:pStyle w:val="TextoNormal"/>
      </w:pPr>
      <w:r w:rsidRPr="00A8138F">
        <w:rPr>
          <w:rStyle w:val="NumeroAFNegritaCaracter"/>
        </w:rPr>
        <w:t>3</w:t>
      </w:r>
      <w:r>
        <w:t>. La demanda de amparo invoca la infracción del derecho a la igualdad y a la no discriminación por razón de nacimiento o de sexo (art. 14 CE). Tras reseñar los antecedentes que consideró de interés y reiterar los argumentos expuestos en las sentencias de instancia, la fundamentación jurídica de la demanda se remite (mediante su amplia reproducción) a los votos particulares formulados a la STS 169/2023, así como a la sentencia del Tribunal Superior de Justicia de Canarias de 4 de mayo de 2023, dictada en el recurso núm. 559-2022 (ECLI:ES:TSJICAN:2023:382); a los que añade la STC 79/2020, de 2 de julio, sobre la perspectiva de género.</w:t>
      </w:r>
    </w:p>
    <w:p w14:paraId="49FC76A5" w14:textId="77777777" w:rsidR="00A8138F" w:rsidRDefault="00A8138F" w:rsidP="00A8138F">
      <w:pPr>
        <w:pStyle w:val="TextoNormal"/>
      </w:pPr>
    </w:p>
    <w:p w14:paraId="26327BAE" w14:textId="0DA6D21A" w:rsidR="00A8138F" w:rsidRDefault="00A8138F" w:rsidP="00A8138F">
      <w:pPr>
        <w:pStyle w:val="TextoNormal"/>
      </w:pPr>
      <w:r>
        <w:t>En cuanto a la especial trascendencia constitucional, la demanda alega la inexistencia de doctrina de este tribunal (en el momento de su presentación) sobre la cuestión planteada, con cita y reseña expresa del correspondiente motivo recogido en el fundamento jurídico 2 de la STC 155/2009, de 25 de junio.</w:t>
      </w:r>
    </w:p>
    <w:p w14:paraId="7719BA67" w14:textId="77777777" w:rsidR="00A8138F" w:rsidRDefault="00A8138F" w:rsidP="00A8138F">
      <w:pPr>
        <w:pStyle w:val="TextoNormal"/>
      </w:pPr>
    </w:p>
    <w:p w14:paraId="71C061CD" w14:textId="6FE4F96A" w:rsidR="00A8138F" w:rsidRDefault="00A8138F" w:rsidP="00A8138F">
      <w:pPr>
        <w:pStyle w:val="TextoNormal"/>
      </w:pPr>
      <w:r w:rsidRPr="00A8138F">
        <w:rPr>
          <w:rStyle w:val="NumeroAFNegritaCaracter"/>
        </w:rPr>
        <w:t>4</w:t>
      </w:r>
      <w:r>
        <w:t>. Por providencia de 16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575-2023 y al recurso de suplicación núm. 1397-2022, respectivamente. Asimismo, acordó dirigir atenta comunicación al Juzgado de lo Social núm. 9 de Bilbao a fin de que, en un plazo que no excediera de diez días, remitiese certificación o fotocopia adverada de las actuaciones correspondientes a los autos de seguridad social núm. 484-2021, emplazando a quienes hubieran sido parte en el procedimiento, excepto la parte recurrente en amparo, para que, si lo deseaban, pudieran comparecer en el presente recurso.</w:t>
      </w:r>
    </w:p>
    <w:p w14:paraId="6773650A" w14:textId="77777777" w:rsidR="00A8138F" w:rsidRDefault="00A8138F" w:rsidP="00A8138F">
      <w:pPr>
        <w:pStyle w:val="TextoNormal"/>
      </w:pPr>
    </w:p>
    <w:p w14:paraId="5B98FD5F" w14:textId="2DF97FFF" w:rsidR="00A8138F" w:rsidRDefault="00A8138F" w:rsidP="00A8138F">
      <w:pPr>
        <w:pStyle w:val="TextoNormal"/>
      </w:pPr>
      <w:r w:rsidRPr="00A8138F">
        <w:rPr>
          <w:rStyle w:val="NumeroAFNegritaCaracter"/>
        </w:rPr>
        <w:t>5</w:t>
      </w:r>
      <w:r>
        <w:t>. Por medio de diligencia de ordenación de 26 de marzo de 2025, la Secretaría de Justicia de la Sala Primera de este tribunal tuvo por recibido los testimonios de las actuaciones y por personado y parte a la letrada de la administración de la Seguridad Social, en nombre del INSS y de la TGSS. Asimismo, acordó dar vista de las actuaciones a las partes personadas y al Ministerio Fiscal, por el plazo común de veinte días, a fin de que pudieran presentar sus alegaciones de conformidad con lo dispuesto en el art. 52 LOTC.</w:t>
      </w:r>
    </w:p>
    <w:p w14:paraId="1DADE141" w14:textId="77777777" w:rsidR="00A8138F" w:rsidRDefault="00A8138F" w:rsidP="00A8138F">
      <w:pPr>
        <w:pStyle w:val="TextoNormal"/>
      </w:pPr>
    </w:p>
    <w:p w14:paraId="53CAEC94" w14:textId="1C27B292" w:rsidR="00A8138F" w:rsidRDefault="00A8138F" w:rsidP="00A8138F">
      <w:pPr>
        <w:pStyle w:val="TextoNormal"/>
      </w:pPr>
      <w:r w:rsidRPr="00A8138F">
        <w:rPr>
          <w:rStyle w:val="NumeroAFNegritaCaracter"/>
        </w:rPr>
        <w:t>6</w:t>
      </w:r>
      <w:r>
        <w:t>. El 22 de abril de 2025 tuvo entrada en el registro del Tribunal el escrito de alegaciones de la representación del INSS y de la TGSS, manifestando que se allanaba a las pretensiones del recurso de amparo. En tal sentido, señaló que a la vista de lo resuelto por el Pleno de este tribunal en su STC 140/2024, de 6 de noviembre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séptimo de la STC 140/2024, de 6 de noviembre, lo que sucedía en el presente caso.</w:t>
      </w:r>
    </w:p>
    <w:p w14:paraId="51BE4E4B" w14:textId="77777777" w:rsidR="00A8138F" w:rsidRDefault="00A8138F" w:rsidP="00A8138F">
      <w:pPr>
        <w:pStyle w:val="TextoNormal"/>
      </w:pPr>
    </w:p>
    <w:p w14:paraId="69A58F59" w14:textId="04F68DEF" w:rsidR="00A8138F" w:rsidRDefault="00A8138F" w:rsidP="00A8138F">
      <w:pPr>
        <w:pStyle w:val="TextoNormal"/>
      </w:pPr>
      <w:r w:rsidRPr="00A8138F">
        <w:rPr>
          <w:rStyle w:val="NumeroAFNegritaCaracter"/>
        </w:rPr>
        <w:t>7</w:t>
      </w:r>
      <w:r>
        <w:t>. El Ministerio Fiscal, mediante escrito registrado el 5 de mayo de 2025, presentó alegaciones interesando la estimación del recurso de amparo por vulneración del derecho a la igualdad y a la no discriminación por razón de nacimiento, en relación con la protección integral de los hijos, con independencia de su filiación y conforme a los convenios internacionales que velan por sus derechos (art. 14 CE en relación con el art. 39 CE). Para el fiscal, procedía la declaración de nulidad de la sentencia núm. 1105/2024, de 12 de septiembre, de la Sala de lo Social del Tribunal Supremo, recobrando con ello vigencia la dictada por el Juzgado de lo Social núm. 9 de Bilbao, que estimó la demanda de la recurrente declarando su derecho a la ampliación de la prestación en los términos recogidos en el fundamento jurídico 7 de la STC 140/2024, y argumentando la infracción del art. 14 CE de modo coincidente, en lo esencial, con la doctrina sentada en la citada sentencia.</w:t>
      </w:r>
    </w:p>
    <w:p w14:paraId="4E2642D5" w14:textId="77777777" w:rsidR="00A8138F" w:rsidRDefault="00A8138F" w:rsidP="00A8138F">
      <w:pPr>
        <w:pStyle w:val="TextoNormal"/>
      </w:pPr>
    </w:p>
    <w:p w14:paraId="7B238FF1" w14:textId="1E561507" w:rsidR="00A8138F" w:rsidRDefault="00A8138F" w:rsidP="00A8138F">
      <w:pPr>
        <w:pStyle w:val="TextoNormal"/>
      </w:pPr>
      <w:r w:rsidRPr="00A8138F">
        <w:rPr>
          <w:rStyle w:val="NumeroAFNegritaCaracter"/>
        </w:rPr>
        <w:t>8</w:t>
      </w:r>
      <w:r>
        <w:t>. La demandante de amparo no presentó alegaciones.</w:t>
      </w:r>
    </w:p>
    <w:p w14:paraId="0472C52E" w14:textId="77777777" w:rsidR="00A8138F" w:rsidRDefault="00A8138F" w:rsidP="00A8138F">
      <w:pPr>
        <w:pStyle w:val="TextoNormal"/>
      </w:pPr>
    </w:p>
    <w:p w14:paraId="0FC5974D" w14:textId="2A4A1959" w:rsidR="00A8138F" w:rsidRDefault="00A8138F" w:rsidP="00A8138F">
      <w:pPr>
        <w:pStyle w:val="TextoNormal"/>
      </w:pPr>
      <w:r w:rsidRPr="00A8138F">
        <w:rPr>
          <w:rStyle w:val="NumeroAFNegritaCaracter"/>
        </w:rPr>
        <w:t>9</w:t>
      </w:r>
      <w:r>
        <w:t>. Mediante providencia de 5 de junio de 2025 se acordó señalar para deliberación y votación de la presente sentencia el día 9 del mismo mes y año.</w:t>
      </w:r>
    </w:p>
    <w:p w14:paraId="66289CDA" w14:textId="77777777" w:rsidR="00A8138F" w:rsidRDefault="00A8138F" w:rsidP="00A8138F">
      <w:pPr>
        <w:pStyle w:val="TextoNormal"/>
      </w:pPr>
    </w:p>
    <w:p w14:paraId="20F12D89" w14:textId="77777777" w:rsidR="00A8138F" w:rsidRDefault="00A8138F" w:rsidP="00A8138F">
      <w:pPr>
        <w:pStyle w:val="TextoNormalNegritaCentrado"/>
        <w:keepNext/>
      </w:pPr>
      <w:r>
        <w:t>II. Fundamentos jurídicos</w:t>
      </w:r>
    </w:p>
    <w:p w14:paraId="561581E2" w14:textId="1224983E" w:rsidR="00A8138F" w:rsidRDefault="00A8138F" w:rsidP="00A8138F">
      <w:pPr>
        <w:pStyle w:val="TextoNormalNegritaCentrado"/>
        <w:keepNext/>
      </w:pPr>
    </w:p>
    <w:p w14:paraId="191E3C89" w14:textId="77777777" w:rsidR="00A8138F" w:rsidRDefault="00A8138F" w:rsidP="00A8138F">
      <w:pPr>
        <w:pStyle w:val="TextoNormal"/>
      </w:pPr>
      <w:r w:rsidRPr="00A8138F">
        <w:rPr>
          <w:rStyle w:val="NumeroAFNegritaCaracter"/>
        </w:rPr>
        <w:t>1</w:t>
      </w:r>
      <w:r>
        <w:t xml:space="preserve">. </w:t>
      </w:r>
      <w:r w:rsidRPr="00A8138F">
        <w:rPr>
          <w:i/>
        </w:rPr>
        <w:t>Objeto del recurso</w:t>
      </w:r>
    </w:p>
    <w:p w14:paraId="36E4EBAD" w14:textId="77777777" w:rsidR="00A8138F" w:rsidRDefault="00A8138F" w:rsidP="00A8138F">
      <w:pPr>
        <w:pStyle w:val="TextoNormal"/>
      </w:pPr>
    </w:p>
    <w:p w14:paraId="64FC5400" w14:textId="1A55FCD0" w:rsidR="00A8138F" w:rsidRDefault="00A8138F" w:rsidP="00A8138F">
      <w:pPr>
        <w:pStyle w:val="TextoNormal"/>
      </w:pPr>
      <w:r>
        <w:t>El objeto del presente proceso es dilucidar si la resolución impugnada ha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14:paraId="292B95DE" w14:textId="77777777" w:rsidR="00A8138F" w:rsidRDefault="00A8138F" w:rsidP="00A8138F">
      <w:pPr>
        <w:pStyle w:val="TextoNormal"/>
      </w:pPr>
    </w:p>
    <w:p w14:paraId="14D57891" w14:textId="77777777" w:rsidR="00A8138F" w:rsidRDefault="00A8138F" w:rsidP="00A8138F">
      <w:pPr>
        <w:pStyle w:val="TextoNormal"/>
      </w:pPr>
      <w:r w:rsidRPr="00A8138F">
        <w:rPr>
          <w:rStyle w:val="NumeroAFNegritaCaracter"/>
        </w:rPr>
        <w:t>2</w:t>
      </w:r>
      <w:r>
        <w:t xml:space="preserve">. </w:t>
      </w:r>
      <w:r w:rsidRPr="00A8138F">
        <w:rPr>
          <w:i/>
        </w:rPr>
        <w:t>Aplicación de la doctrina constitucional fijada en la STC 140/2024, de 6 de noviembre</w:t>
      </w:r>
    </w:p>
    <w:p w14:paraId="111E8C34" w14:textId="77777777" w:rsidR="00A8138F" w:rsidRDefault="00A8138F" w:rsidP="00A8138F">
      <w:pPr>
        <w:pStyle w:val="TextoNormal"/>
      </w:pPr>
    </w:p>
    <w:p w14:paraId="50EED0C4" w14:textId="77777777" w:rsidR="00A8138F" w:rsidRDefault="00A8138F" w:rsidP="00A8138F">
      <w:pPr>
        <w:pStyle w:val="TextoNormal"/>
      </w:pPr>
      <w:r>
        <w:t>Conviene comenzar recordando, en relación con la incidencia que tiene en el presente recurso el allanamiento a las pretensiones de la recurrente por parte de la letrada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14:paraId="478AEC93" w14:textId="77777777" w:rsidR="00A8138F" w:rsidRDefault="00A8138F" w:rsidP="00A8138F">
      <w:pPr>
        <w:pStyle w:val="TextoNormal"/>
      </w:pPr>
    </w:p>
    <w:p w14:paraId="4174FE90" w14:textId="77777777" w:rsidR="00A8138F" w:rsidRDefault="00A8138F" w:rsidP="00A8138F">
      <w:pPr>
        <w:pStyle w:val="TextoNormal"/>
      </w:pPr>
      <w:r>
        <w:t>Aclarado este punto, la cuestión de fondo planteada en este recurso de amparo es coincidente con la resuelta por la STC 140/2024, de 6 de noviembre, por lo que debemos remitirnos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14:paraId="57672391" w14:textId="77777777" w:rsidR="00A8138F" w:rsidRDefault="00A8138F" w:rsidP="00A8138F">
      <w:pPr>
        <w:pStyle w:val="TextoNormal"/>
      </w:pPr>
    </w:p>
    <w:p w14:paraId="5BC0C4E1" w14:textId="77777777" w:rsidR="00A8138F" w:rsidRDefault="00A8138F" w:rsidP="00A8138F">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DFD3547" w14:textId="77777777" w:rsidR="00A8138F" w:rsidRDefault="00A8138F" w:rsidP="00A8138F">
      <w:pPr>
        <w:pStyle w:val="TextoNormal"/>
      </w:pPr>
    </w:p>
    <w:p w14:paraId="0C13100C" w14:textId="77777777" w:rsidR="00A8138F" w:rsidRDefault="00A8138F" w:rsidP="00A8138F">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[en aquel caso], disfrutando del permiso (y también de la correspondiente prestación económica de la Seguridad Social) que se reconocería al otro progenitor, en caso de existir, generan </w:t>
      </w:r>
      <w:r w:rsidRPr="00A8138F">
        <w:rPr>
          <w:i/>
        </w:rPr>
        <w:t>ex silentio</w:t>
      </w:r>
      <w:r>
        <w:t xml:space="preserve">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14:paraId="16D2D6BB" w14:textId="77777777" w:rsidR="00A8138F" w:rsidRDefault="00A8138F" w:rsidP="00A8138F">
      <w:pPr>
        <w:pStyle w:val="TextoNormal"/>
      </w:pPr>
    </w:p>
    <w:p w14:paraId="34A599FD" w14:textId="77777777" w:rsidR="00A8138F" w:rsidRDefault="00A8138F" w:rsidP="00A8138F">
      <w:pPr>
        <w:pStyle w:val="TextoNormal"/>
      </w:pPr>
      <w:r>
        <w:t>En consecuencia, debe estimarse la demanda y otorgar el amparo solicitado. La estimación de la demanda ha de conllevar, conforme a lo interesado por el Ministerio Fiscal, la declaración de nulidad de la resolución ahora impugnada, esto es, la sentencia de la Sala de lo Social del Tribunal Supremo núm. 1105/2024, de 12 de septiembre, dictada en el recurso de casación para la unificación de doctrina núm. 575-2023, recobrando entonces su vigencia la sentencia del Juzgado de lo Social núm. 9 de Bilbao núm. 7/2022, de 17 de enero, dictada en los autos de seguridad social 484-2021, posteriormente confirmada por la Sala de lo Social del Tribunal Superior de Justicia del País Vasco en su sentencia 2469/2022, de 28 de noviembre, dictada en el recurso de suplicación núm. 1397-2022.</w:t>
      </w:r>
    </w:p>
    <w:p w14:paraId="4122767A" w14:textId="77777777" w:rsidR="00A8138F" w:rsidRDefault="00A8138F" w:rsidP="00A8138F">
      <w:pPr>
        <w:pStyle w:val="TextoNormal"/>
      </w:pPr>
    </w:p>
    <w:p w14:paraId="7C4E89F2" w14:textId="7EE60459" w:rsidR="00A8138F" w:rsidRDefault="00A8138F" w:rsidP="00A8138F">
      <w:pPr>
        <w:pStyle w:val="TextoNormal"/>
      </w:pPr>
      <w:r>
        <w:t>Como concretamos en la referida STC 140/2024, de 6 de noviembre,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 Por lo tanto, la sentencia del juzgado de lo social habrá de ejecutarse de conformidad con lo expuesto en el FJ 7 de la ya citada STC 140/2024 que, en lo que interesa ahora destacar en relación con este caso concreto, establece que la ampliación del permiso supone el disfrute de ocho semanas adicionales, al excluirse las cuatro primeras que, al ser de disfrute obligatorio, coincidirían con las del otro progenitor.</w:t>
      </w:r>
    </w:p>
    <w:p w14:paraId="48FE7E61" w14:textId="77777777" w:rsidR="00A8138F" w:rsidRDefault="00A8138F" w:rsidP="00A8138F">
      <w:pPr>
        <w:pStyle w:val="TextoNormal"/>
      </w:pPr>
    </w:p>
    <w:p w14:paraId="3BEC72BE" w14:textId="77777777" w:rsidR="00A8138F" w:rsidRDefault="00A8138F" w:rsidP="00A8138F">
      <w:pPr>
        <w:pStyle w:val="TextoNormalCentrado"/>
        <w:keepNext/>
      </w:pPr>
      <w:r>
        <w:t>FALLO</w:t>
      </w:r>
    </w:p>
    <w:p w14:paraId="3AF8C584" w14:textId="74BE19B0" w:rsidR="00A8138F" w:rsidRDefault="00A8138F" w:rsidP="00A8138F">
      <w:pPr>
        <w:pStyle w:val="TextoNormalCentrado"/>
        <w:keepNext/>
      </w:pPr>
    </w:p>
    <w:p w14:paraId="1D3856F3" w14:textId="77777777" w:rsidR="00A8138F" w:rsidRDefault="00A8138F" w:rsidP="00A8138F">
      <w:pPr>
        <w:pStyle w:val="TextoNormal"/>
      </w:pPr>
      <w:r>
        <w:t>En atención a todo lo expuesto, el Tribunal Constitucional, por la autoridad que le confiere la Constitución de la Nación española, ha decidido estimar el recurso presentado por doña Oiane Salazar Alday y, en su virtud:</w:t>
      </w:r>
    </w:p>
    <w:p w14:paraId="7B395390" w14:textId="77777777" w:rsidR="00A8138F" w:rsidRDefault="00A8138F" w:rsidP="00A8138F">
      <w:pPr>
        <w:pStyle w:val="TextoNormal"/>
      </w:pPr>
    </w:p>
    <w:p w14:paraId="33D9EB38" w14:textId="77777777" w:rsidR="00A8138F" w:rsidRDefault="00A8138F" w:rsidP="00A8138F">
      <w:pPr>
        <w:pStyle w:val="TextoNormal"/>
      </w:pPr>
      <w:r>
        <w:t>1º Declarar vulnerado el derecho fundamental a la igualdad ante la ley sin discriminación por razón de nacimiento (art. 14 CE).</w:t>
      </w:r>
    </w:p>
    <w:p w14:paraId="06082C37" w14:textId="77777777" w:rsidR="00A8138F" w:rsidRDefault="00A8138F" w:rsidP="00A8138F">
      <w:pPr>
        <w:pStyle w:val="TextoNormal"/>
      </w:pPr>
    </w:p>
    <w:p w14:paraId="05F97AA0" w14:textId="77777777" w:rsidR="00A8138F" w:rsidRDefault="00A8138F" w:rsidP="00A8138F">
      <w:pPr>
        <w:pStyle w:val="TextoNormal"/>
      </w:pPr>
      <w:r>
        <w:t>2º Restablecer a la recurrente en su derecho y, a tal fin, declarar la nulidad de la sentencia núm. 1105/2024, de 12 de septiembre, pronunciada en el recurso de casación para la unificación de doctrina núm. 575-2023.</w:t>
      </w:r>
    </w:p>
    <w:p w14:paraId="4FA18269" w14:textId="77777777" w:rsidR="00A8138F" w:rsidRDefault="00A8138F" w:rsidP="00A8138F">
      <w:pPr>
        <w:pStyle w:val="TextoNormal"/>
      </w:pPr>
    </w:p>
    <w:p w14:paraId="75389139" w14:textId="63155323" w:rsidR="00A8138F" w:rsidRDefault="00A8138F" w:rsidP="00A8138F">
      <w:pPr>
        <w:pStyle w:val="TextoNormal"/>
      </w:pPr>
      <w:r>
        <w:t>3º Declarar la firmeza de la sentencia 2469/2022, de 28 de noviembre, dictada por la Sala de lo Social del Tribunal Superior de Justicia del País Vasco en el recurso de suplicación núm. 1397-2022, que confirmó la sentencia núm. 7/2022, de 17 de enero, del Juzgado de lo Social núm. 9 de Bilbao, dictada en los autos de seguridad social 484-2021, cuya firmeza también se declara, y que habrá de ejecutarse de conformidad con lo expuesto en el FJ 7 de la STC 140/2024, de 6 de noviembre, tal y como se concreta en el FJ 2 de la presente resolución.</w:t>
      </w:r>
    </w:p>
    <w:p w14:paraId="19EA9E00" w14:textId="77777777" w:rsidR="00A8138F" w:rsidRDefault="00A8138F" w:rsidP="00A8138F">
      <w:pPr>
        <w:pStyle w:val="TextoNormal"/>
      </w:pPr>
    </w:p>
    <w:p w14:paraId="42A73B93" w14:textId="77777777" w:rsidR="00A8138F" w:rsidRDefault="00A8138F" w:rsidP="00A8138F">
      <w:pPr>
        <w:pStyle w:val="TextoNormal"/>
      </w:pPr>
      <w:r>
        <w:t>Publíquese esta sentencia en el “Boletín Oficial del Estado”.</w:t>
      </w:r>
    </w:p>
    <w:p w14:paraId="72C5460F" w14:textId="77777777" w:rsidR="00A8138F" w:rsidRDefault="00A8138F" w:rsidP="00A8138F">
      <w:pPr>
        <w:pStyle w:val="TextoNormal"/>
      </w:pPr>
      <w:r>
        <w:t>Dada en Madrid, a nueve de junio de dos mil veinticinco.</w:t>
      </w:r>
    </w:p>
    <w:p w14:paraId="2B939456" w14:textId="57AE6163" w:rsidR="00A8138F" w:rsidRDefault="00A8138F">
      <w:pPr>
        <w:spacing w:after="160" w:line="278" w:lineRule="auto"/>
        <w:rPr>
          <w:rFonts w:ascii="Times New Roman" w:eastAsia="Times New Roman" w:hAnsi="Times New Roman" w:cs="Times New Roman"/>
          <w:sz w:val="24"/>
          <w:szCs w:val="24"/>
          <w:lang w:eastAsia="es-ES"/>
        </w:rPr>
      </w:pPr>
      <w:r>
        <w:br w:type="page"/>
      </w:r>
    </w:p>
    <w:p w14:paraId="4EA4A33D" w14:textId="77777777" w:rsidR="00A8138F" w:rsidRDefault="00A8138F" w:rsidP="00A8138F">
      <w:pPr>
        <w:pStyle w:val="TtuloResolucin"/>
      </w:pPr>
      <w:bookmarkStart w:id="134" w:name="SENTENCIA_2025_132"/>
      <w:r>
        <w:t>SENTENCIA 132/2025, de 10 de junio de 2025</w:t>
      </w:r>
    </w:p>
    <w:bookmarkEnd w:id="134"/>
    <w:p w14:paraId="45AF84A8" w14:textId="77777777" w:rsidR="00A8138F" w:rsidRDefault="00A8138F" w:rsidP="00A8138F">
      <w:pPr>
        <w:pStyle w:val="TtuloResolucin"/>
      </w:pPr>
      <w:r>
        <w:t>Pleno</w:t>
      </w:r>
    </w:p>
    <w:p w14:paraId="6701ED62" w14:textId="77777777" w:rsidR="00A8138F" w:rsidRDefault="00A8138F" w:rsidP="00A8138F">
      <w:pPr>
        <w:pStyle w:val="TtuloBOE"/>
      </w:pPr>
      <w:r>
        <w:t>(BOE núm. 168, de 14 de julio de 2025)</w:t>
      </w:r>
    </w:p>
    <w:p w14:paraId="17A3B178" w14:textId="77777777" w:rsidR="00A8138F" w:rsidRDefault="00A8138F" w:rsidP="00A8138F">
      <w:pPr>
        <w:pStyle w:val="TextoNormalCentrado"/>
      </w:pPr>
      <w:r>
        <w:t>ECLI:ES:TC:2025:132</w:t>
      </w:r>
    </w:p>
    <w:p w14:paraId="2BCDC542" w14:textId="10152E73" w:rsidR="00A8138F" w:rsidRDefault="00A8138F" w:rsidP="00A8138F">
      <w:pPr>
        <w:pStyle w:val="TextoNormalCentrado"/>
      </w:pPr>
    </w:p>
    <w:p w14:paraId="10699F4D" w14:textId="77777777" w:rsidR="00A8138F" w:rsidRDefault="00A8138F" w:rsidP="00A8138F">
      <w:pPr>
        <w:pStyle w:val="SntesisDescriptiva"/>
      </w:pPr>
      <w:r>
        <w:t>Recurso de amparo 2835-2021. Promovido por doña Clara Ponsatí i Obiols respecto de las resoluciones dictadas por el magistrado instructor de causa especial y la Sala de lo Penal del Tribunal Supremo acordando mantener la orden nacional de búsqueda, detención e ingreso en prisión, así como las órdenes, europea de detención y entrega e internacional de búsqueda y detención, dictadas contra la recurrente en amparo.</w:t>
      </w:r>
    </w:p>
    <w:p w14:paraId="5D7480FC" w14:textId="64579E87" w:rsidR="00A8138F" w:rsidRDefault="00A8138F" w:rsidP="00A8138F">
      <w:pPr>
        <w:pStyle w:val="SntesisDescriptiva"/>
      </w:pPr>
    </w:p>
    <w:p w14:paraId="62454892" w14:textId="77777777" w:rsidR="00A8138F" w:rsidRDefault="00A8138F" w:rsidP="00A8138F">
      <w:pPr>
        <w:pStyle w:val="SntesisAnaltica"/>
      </w:pPr>
      <w:r>
        <w:t>Alegada vulneración de los derechos de participación política, en relación con la libertad personal y la libertad de circulación; a la igualdad, a la tutela judicial efectiva (motivación), al juez ordinario imparcial y predeterminado por la ley, a un proceso con todas las garantías y a la presunción de inocencia: extinción del recurso por pérdida sobrevenida de su objeto.</w:t>
      </w:r>
    </w:p>
    <w:p w14:paraId="097B6C8B" w14:textId="12C67363" w:rsidR="00A8138F" w:rsidRDefault="00A8138F" w:rsidP="00A8138F">
      <w:pPr>
        <w:pStyle w:val="SntesisAnaltica"/>
      </w:pPr>
    </w:p>
    <w:p w14:paraId="64F01C35" w14:textId="7125E30F" w:rsidR="00A8138F" w:rsidRDefault="00A8138F" w:rsidP="00A8138F">
      <w:pPr>
        <w:pStyle w:val="Extracto"/>
      </w:pPr>
      <w:r>
        <w:t>1.</w:t>
      </w:r>
      <w:r>
        <w:tab/>
        <w:t>Cuando la pretensión ejercitada a través de un recurso de amparo, dirigida al restablecimiento o la preservación de derechos, se ha visto satisfecha al margen del propio proceso de amparo y la lesión constitucional denunciada no pervive, debe concluirse que este carece desde ese momento de objeto (SSTC 73/2018 o 161/2020) [FJ 2].</w:t>
      </w:r>
    </w:p>
    <w:p w14:paraId="5FB072CB" w14:textId="77777777" w:rsidR="00A8138F" w:rsidRDefault="00A8138F" w:rsidP="00A8138F">
      <w:pPr>
        <w:pStyle w:val="Extracto"/>
      </w:pPr>
    </w:p>
    <w:p w14:paraId="5ABB746E" w14:textId="77777777" w:rsidR="00A8138F" w:rsidRDefault="00A8138F" w:rsidP="00A8138F">
      <w:pPr>
        <w:pStyle w:val="Extracto"/>
      </w:pPr>
    </w:p>
    <w:p w14:paraId="5EEC1A74" w14:textId="77777777" w:rsidR="00A8138F" w:rsidRDefault="00A8138F" w:rsidP="00A8138F">
      <w:pPr>
        <w:pStyle w:val="TextoNormal"/>
      </w:pPr>
      <w:r>
        <w:t>El Pleno del Tribunal Constitucional, compuesto por la magistrada doña Inmaculada Montalbán Huertas,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7DADDA5B" w14:textId="157C5C42" w:rsidR="00A8138F" w:rsidRDefault="00A8138F" w:rsidP="00A8138F">
      <w:pPr>
        <w:pStyle w:val="TextoNormal"/>
      </w:pPr>
    </w:p>
    <w:p w14:paraId="08D40DFF" w14:textId="77777777" w:rsidR="00A8138F" w:rsidRDefault="00A8138F" w:rsidP="00A8138F">
      <w:pPr>
        <w:pStyle w:val="TextoNormalCentrado"/>
        <w:keepNext/>
      </w:pPr>
      <w:r>
        <w:t>EN NOMBRE DEL REY</w:t>
      </w:r>
    </w:p>
    <w:p w14:paraId="0FC912B0" w14:textId="2FDE93AD" w:rsidR="00A8138F" w:rsidRDefault="00A8138F" w:rsidP="00A8138F">
      <w:pPr>
        <w:pStyle w:val="TextoNormalCentrado"/>
        <w:keepNext/>
      </w:pPr>
    </w:p>
    <w:p w14:paraId="3A1E6450" w14:textId="77777777" w:rsidR="00A8138F" w:rsidRDefault="00A8138F" w:rsidP="00A8138F">
      <w:pPr>
        <w:pStyle w:val="TextoNormalCentrado"/>
        <w:keepNext/>
      </w:pPr>
    </w:p>
    <w:p w14:paraId="72BE0B5E" w14:textId="77777777" w:rsidR="00A8138F" w:rsidRDefault="00A8138F" w:rsidP="00A8138F">
      <w:pPr>
        <w:pStyle w:val="TextoNormal"/>
      </w:pPr>
      <w:r>
        <w:t>la siguiente</w:t>
      </w:r>
    </w:p>
    <w:p w14:paraId="0AD0FD1A" w14:textId="0E8A8286" w:rsidR="00A8138F" w:rsidRDefault="00A8138F" w:rsidP="00A8138F">
      <w:pPr>
        <w:pStyle w:val="TextoNormal"/>
      </w:pPr>
    </w:p>
    <w:p w14:paraId="6DCF38CB" w14:textId="77777777" w:rsidR="00A8138F" w:rsidRDefault="00A8138F" w:rsidP="00A8138F">
      <w:pPr>
        <w:pStyle w:val="TextoNormalCentrado"/>
        <w:keepNext/>
      </w:pPr>
      <w:r>
        <w:t>SENTENCIA</w:t>
      </w:r>
    </w:p>
    <w:p w14:paraId="76E2ED80" w14:textId="7ABE339E" w:rsidR="00A8138F" w:rsidRDefault="00A8138F" w:rsidP="00A8138F">
      <w:pPr>
        <w:pStyle w:val="TextoNormalCentrado"/>
        <w:keepNext/>
      </w:pPr>
    </w:p>
    <w:p w14:paraId="39C44690" w14:textId="77777777" w:rsidR="00A8138F" w:rsidRDefault="00A8138F" w:rsidP="00A8138F">
      <w:pPr>
        <w:pStyle w:val="TextoNormal"/>
      </w:pPr>
      <w:r>
        <w:t>En el recurso de amparo núm. 2835-2021, promovido por doña Clara Ponsatí i Obiols, contra las siguientes resoluciones judiciales, dictadas todas ellas en la causa especial núm. 20907-2017: auto de la Sala de lo Penal del Tribunal Supremo de 11 de marzo de 2021, por el cual se desestima el incidente de nulidad de actuaciones interpuesto contra el auto de la misma Sala de 29 de diciembre de 2020 que, a su vez, desestimó el recurso de apelación interpuesto contra el auto del magistrado instructor de 21 de octubre de 2020, confirmatorio de los autos de 3 y 4 de febrero de 2020, en los que se acordó mantener la orden nacional de búsqueda, detención e ingreso en prisión, así como las órdenes, europea de detención y entrega e internacional de búsqueda y detención dictadas contra la recurrente en amparo, que había accedido a la condición de diputada del Parlamento Europeo. Recurrió esos autos que desconocían su inmediatez. Han intervenido el partido político Vox, el abogado del Estado y el Ministerio Fiscal. Ha sido ponente el magistrado don Enrique Arnaldo Alcubilla.</w:t>
      </w:r>
    </w:p>
    <w:p w14:paraId="59AA0D2E" w14:textId="7D6C2B41" w:rsidR="00A8138F" w:rsidRDefault="00A8138F" w:rsidP="00A8138F">
      <w:pPr>
        <w:pStyle w:val="TextoNormal"/>
      </w:pPr>
    </w:p>
    <w:p w14:paraId="65B88098" w14:textId="77777777" w:rsidR="00A8138F" w:rsidRDefault="00A8138F" w:rsidP="00A8138F">
      <w:pPr>
        <w:pStyle w:val="TextoNormalNegritaCentrado"/>
        <w:keepNext/>
      </w:pPr>
      <w:r>
        <w:t>I. Antecedentes</w:t>
      </w:r>
    </w:p>
    <w:p w14:paraId="3B9AF024" w14:textId="41FB6E05" w:rsidR="00A8138F" w:rsidRDefault="00A8138F" w:rsidP="00A8138F">
      <w:pPr>
        <w:pStyle w:val="TextoNormalNegritaCentrado"/>
        <w:keepNext/>
      </w:pPr>
    </w:p>
    <w:p w14:paraId="428515B0" w14:textId="6E8EB09A" w:rsidR="00A8138F" w:rsidRDefault="00A8138F" w:rsidP="00A8138F">
      <w:pPr>
        <w:pStyle w:val="TextoNormal"/>
      </w:pPr>
      <w:r w:rsidRPr="00A8138F">
        <w:rPr>
          <w:rStyle w:val="NumeroAFNegritaCaracter"/>
        </w:rPr>
        <w:t>1</w:t>
      </w:r>
      <w:r>
        <w:t>. Mediante escrito presentado en el registro general de este tribunal el 6 de mayo de 2021, el procurador de los tribunales don Javier Fernández Estrada, actuando en nombre y representación de doña Clara Ponsatí i Obiols, bajo la defensa del letrado don Gonzalo Boye Tuset, interpuso demanda de amparo contra las resoluciones judiciales arriba mencionadas.</w:t>
      </w:r>
    </w:p>
    <w:p w14:paraId="48CA6FCB" w14:textId="77777777" w:rsidR="00A8138F" w:rsidRDefault="00A8138F" w:rsidP="00A8138F">
      <w:pPr>
        <w:pStyle w:val="TextoNormal"/>
      </w:pPr>
    </w:p>
    <w:p w14:paraId="01368A26" w14:textId="77777777" w:rsidR="00A8138F" w:rsidRDefault="00A8138F" w:rsidP="00A8138F">
      <w:pPr>
        <w:pStyle w:val="TextoNormal"/>
      </w:pPr>
      <w:r w:rsidRPr="00A8138F">
        <w:rPr>
          <w:rStyle w:val="NumeroAFNegritaCaracter"/>
        </w:rPr>
        <w:t>2</w:t>
      </w:r>
      <w:r>
        <w:t>. Los hechos con relevancia para la resolución del presente recurso de amparo son los siguientes:</w:t>
      </w:r>
    </w:p>
    <w:p w14:paraId="5681C8F8" w14:textId="77777777" w:rsidR="00A8138F" w:rsidRDefault="00A8138F" w:rsidP="00A8138F">
      <w:pPr>
        <w:pStyle w:val="TextoNormal"/>
      </w:pPr>
    </w:p>
    <w:p w14:paraId="77185F6D" w14:textId="77777777" w:rsidR="00A8138F" w:rsidRDefault="00A8138F" w:rsidP="00A8138F">
      <w:pPr>
        <w:pStyle w:val="TextoNormal"/>
      </w:pPr>
      <w:r>
        <w:t>a) La recurrente se hallaba procesada y declarada en rebeldía en la causa especial núm. 20907-2017 por delitos de rebelión y malversación de caudales públicos (autos de 21 de marzo y de 9 de julio de 2018). Abierto el procedimiento penal, presentó su candidatura a las elecciones al Parlamento Europeo, convocadas por el Real Decreto 206/2019, de 1 de abril. El curso de la causa especial en relación con la recurrente se hallaba suspendido hasta que fuera hallada [art. 842 de la Ley de enjuiciamiento criminal (LECrim)], a cuyo efecto habían sido dictadas varias órdenes de detención en su contra por el magistrado instructor.</w:t>
      </w:r>
    </w:p>
    <w:p w14:paraId="31ED7441" w14:textId="77777777" w:rsidR="00A8138F" w:rsidRDefault="00A8138F" w:rsidP="00A8138F">
      <w:pPr>
        <w:pStyle w:val="TextoNormal"/>
      </w:pPr>
    </w:p>
    <w:p w14:paraId="3F855800" w14:textId="77777777" w:rsidR="00A8138F" w:rsidRDefault="00A8138F" w:rsidP="00A8138F">
      <w:pPr>
        <w:pStyle w:val="TextoNormal"/>
      </w:pPr>
      <w:r>
        <w:t>El 14 de octubre de 2019 se dictó por la Sala de lo Penal del Tribunal Supremo sentencia condenatoria en la causa especial núm. 20907-2017, en la que otros procesados, contra los que se siguió la totalidad del procedimiento al encontrarse a disposición del tribunal, fueron condenados por sedición, malversación de caudales públicos o desobediencia, según los casos.</w:t>
      </w:r>
    </w:p>
    <w:p w14:paraId="4E7ED062" w14:textId="77777777" w:rsidR="00A8138F" w:rsidRDefault="00A8138F" w:rsidP="00A8138F">
      <w:pPr>
        <w:pStyle w:val="TextoNormal"/>
      </w:pPr>
    </w:p>
    <w:p w14:paraId="1A838D51" w14:textId="77777777" w:rsidR="00A8138F" w:rsidRDefault="00A8138F" w:rsidP="00A8138F">
      <w:pPr>
        <w:pStyle w:val="TextoNormal"/>
      </w:pPr>
      <w:r>
        <w:t>b) El magistrado instructor, por auto de 4 de noviembre de 2019, emitió contra la recurrente una orden nacional de búsqueda, detención e ingreso en prisión, así como una orden europea de detención y entrega y una orden internacional de búsqueda y detención, por el delito de sedición; y excluyó al propio tiempo la atribución a aquella del delito de malversación de caudales públicos.</w:t>
      </w:r>
    </w:p>
    <w:p w14:paraId="48614B50" w14:textId="77777777" w:rsidR="00A8138F" w:rsidRDefault="00A8138F" w:rsidP="00A8138F">
      <w:pPr>
        <w:pStyle w:val="TextoNormal"/>
      </w:pPr>
    </w:p>
    <w:p w14:paraId="0B7E5D06" w14:textId="77777777" w:rsidR="00A8138F" w:rsidRDefault="00A8138F" w:rsidP="00A8138F">
      <w:pPr>
        <w:pStyle w:val="TextoNormal"/>
      </w:pPr>
      <w:r>
        <w:t>c) Tras ser proclamada la recurrente diputada electa al Parlamento Europeo el 23 de enero de 2020 (a causa del incremento de escaños que correspondían a España como consecuencia de la retirada del Reino Unido de la Unión Europea), solicitó al magistrado instructor que, en consideración a su inmunidad parlamentaria, se dejaran sin efecto las órdenes nacional, europea e internacional de detención dictadas contra ella.</w:t>
      </w:r>
    </w:p>
    <w:p w14:paraId="27845A84" w14:textId="77777777" w:rsidR="00A8138F" w:rsidRDefault="00A8138F" w:rsidP="00A8138F">
      <w:pPr>
        <w:pStyle w:val="TextoNormal"/>
      </w:pPr>
    </w:p>
    <w:p w14:paraId="138DA844" w14:textId="77777777" w:rsidR="00A8138F" w:rsidRDefault="00A8138F" w:rsidP="00A8138F">
      <w:pPr>
        <w:pStyle w:val="TextoNormal"/>
      </w:pPr>
      <w:r>
        <w:t>d) Por auto de 3 de febrero de 2020, el magistrado instructor reconoció a la recurrente, en su condición de diputada del Parlamento Europeo, las inmunidades y privilegios del art. 9 del Protocolo núm. 7 del Tratado de funcionamiento de la Unión Europea, sobre los privilegios y las inmunidades de la Unión Europea, y al propio tiempo acordó mantener la orden nacional de búsqueda, detención e ingreso en prisión, la orden europea de detención y entrega y la orden internacional de búsqueda y detención, así como comunicar al Parlamento Europeo, a través del presidente de la Sala de lo Penal del Tribunal Supremo, el previo procesamiento de la recurrente y solicitar de esta Cámara la suspensión de su inmunidad, de conformidad con el art. 9.3 del citado Protocolo núm. 7, a fin de que pueda continuar la ejecución de las órdenes europeas de detención y entrega ya dictadas. Acordó asimismo solicitar de la autoridad de ejecución del Reino Unido la continuación de la tramitación de la orden europea de detención y entrega cursada en su día.</w:t>
      </w:r>
    </w:p>
    <w:p w14:paraId="224C120E" w14:textId="77777777" w:rsidR="00A8138F" w:rsidRDefault="00A8138F" w:rsidP="00A8138F">
      <w:pPr>
        <w:pStyle w:val="TextoNormal"/>
      </w:pPr>
    </w:p>
    <w:p w14:paraId="2B29F481" w14:textId="77777777" w:rsidR="00A8138F" w:rsidRDefault="00A8138F" w:rsidP="00A8138F">
      <w:pPr>
        <w:pStyle w:val="TextoNormal"/>
      </w:pPr>
      <w:r>
        <w:t>e) Por auto de 4 de febrero de 2020, el magistrado instructor acordó emitir suplicatorio para recabar la suspensión de la inmunidad de la recurrente en su condición de diputada del Parlamento Europeo, y ordenó que se libraran respecto de esta las oportunas órdenes nacionales, europeas e internacionales de detención.</w:t>
      </w:r>
    </w:p>
    <w:p w14:paraId="22151F5B" w14:textId="77777777" w:rsidR="00A8138F" w:rsidRDefault="00A8138F" w:rsidP="00A8138F">
      <w:pPr>
        <w:pStyle w:val="TextoNormal"/>
      </w:pPr>
    </w:p>
    <w:p w14:paraId="2584BF3E" w14:textId="77777777" w:rsidR="00A8138F" w:rsidRDefault="00A8138F" w:rsidP="00A8138F">
      <w:pPr>
        <w:pStyle w:val="TextoNormal"/>
      </w:pPr>
      <w:r>
        <w:t>f) Contra los autos de 3 y 4 de febrero de 2020, la recurrente interpuso sendos recursos de reforma que fueron desestimados por auto del magistrado instructor de 21 de octubre de 2020. Contra este auto la recurrente interpuso recurso de apelación, que fue desestimado por auto de 29 de diciembre de 2020 de la Sala de lo Penal del Tribunal Supremo. Frente a este auto la recurrente promovió incidente de nulidad de actuaciones y la Sala, por auto de 11 de marzo de 2021, acordó no haber lugar al mismo.</w:t>
      </w:r>
    </w:p>
    <w:p w14:paraId="2E3D0030" w14:textId="77777777" w:rsidR="00A8138F" w:rsidRDefault="00A8138F" w:rsidP="00A8138F">
      <w:pPr>
        <w:pStyle w:val="TextoNormal"/>
      </w:pPr>
    </w:p>
    <w:p w14:paraId="73101510" w14:textId="77777777" w:rsidR="00A8138F" w:rsidRDefault="00A8138F" w:rsidP="00A8138F">
      <w:pPr>
        <w:pStyle w:val="TextoNormal"/>
      </w:pPr>
      <w:r>
        <w:t>g) El Parlamento Europeo, mediante decisiones adoptadas el 9 de marzo de 2021 [P9_TA (2021)0059, P9_TA (2021)0060, y P9_TA (2021)0061], en contestación al suplicatorio elevado por el Tribunal Supremo en la causa antecedente, resolvió suspender la inmunidad de la recurrente y de otros diputados declarados rebeldes en la causa especial núm. 20907-2017, en virtud del art. 9, párrafo primero, letra b), del Protocolo núm. 7 sobre los privilegios y las inmunidades de la Unión Europea, encargando al presidente de dicha Cámara transmitir las decisiones adoptadas y los informes de la comisión competente del Parlamento Europeo a las autoridades españolas.</w:t>
      </w:r>
    </w:p>
    <w:p w14:paraId="17787DD5" w14:textId="77777777" w:rsidR="00A8138F" w:rsidRDefault="00A8138F" w:rsidP="00A8138F">
      <w:pPr>
        <w:pStyle w:val="TextoNormal"/>
      </w:pPr>
    </w:p>
    <w:p w14:paraId="34DF5EAF" w14:textId="77777777" w:rsidR="00A8138F" w:rsidRDefault="00A8138F" w:rsidP="00A8138F">
      <w:pPr>
        <w:pStyle w:val="TextoNormal"/>
      </w:pPr>
      <w:r>
        <w:t>El recurso interpuesto contra estas decisiones del Parlamento Europeo fue desestimado por el Tribunal General de la Unión Europea por sentencia de 5 de julio de 2023, asunto T-272/21.</w:t>
      </w:r>
    </w:p>
    <w:p w14:paraId="50358838" w14:textId="77777777" w:rsidR="00A8138F" w:rsidRDefault="00A8138F" w:rsidP="00A8138F">
      <w:pPr>
        <w:pStyle w:val="TextoNormal"/>
      </w:pPr>
    </w:p>
    <w:p w14:paraId="0F21B9C0" w14:textId="77777777" w:rsidR="00A8138F" w:rsidRDefault="00A8138F" w:rsidP="00A8138F">
      <w:pPr>
        <w:pStyle w:val="TextoNormal"/>
      </w:pPr>
      <w:r>
        <w:t>Concluida la novena legislatura del Parlamento Europeo (de julio de 2019 a junio de 2024), la recurrente dejó de tener la condición de eurodiputada.</w:t>
      </w:r>
    </w:p>
    <w:p w14:paraId="71C0DAFF" w14:textId="77777777" w:rsidR="00A8138F" w:rsidRDefault="00A8138F" w:rsidP="00A8138F">
      <w:pPr>
        <w:pStyle w:val="TextoNormal"/>
      </w:pPr>
    </w:p>
    <w:p w14:paraId="764D1FA2" w14:textId="77777777" w:rsidR="00A8138F" w:rsidRDefault="00A8138F" w:rsidP="00A8138F">
      <w:pPr>
        <w:pStyle w:val="TextoNormal"/>
      </w:pPr>
      <w:r>
        <w:t>h) Tras la entrada en vigor de la reforma del Código penal operada por la Ley Orgánica 14/2022, de 22 de diciembre, que derogó el delito de sedición y reformó la regulación de los delitos de desórdenes públicos, el magistrado instructor dictó el auto de 12 de enero de 2023 en el que se valoraba que los hechos atribuidos a la recurrente podían ser constitutivos de un delito de desobediencia del art. 410 del Código penal vigente. Asimismo, acordó ratificar la declaración de la recurrente en situación de rebeldía y ordenó a nivel nacional su detención, al efecto de recibirle declaración indagatoria. Interpuesto recurso de reforma por la recurrente contra ese auto, ese recurso fue desestimado por auto de 21 de marzo de 2023.</w:t>
      </w:r>
    </w:p>
    <w:p w14:paraId="74BEFF61" w14:textId="77777777" w:rsidR="00A8138F" w:rsidRDefault="00A8138F" w:rsidP="00A8138F">
      <w:pPr>
        <w:pStyle w:val="TextoNormal"/>
      </w:pPr>
    </w:p>
    <w:p w14:paraId="506B1645" w14:textId="70ED3472" w:rsidR="00A8138F" w:rsidRDefault="00A8138F" w:rsidP="00A8138F">
      <w:pPr>
        <w:pStyle w:val="TextoNormal"/>
      </w:pPr>
      <w:r>
        <w:t>i) Detenida la recurrente en Barcelona el 28 de marzo de 2023 por la policía autonómica, fue puesta a disposición judicial en la misma fecha y, seguidamente, el magistrado instructor dictó el auto de 28 de marzo de 2023, por el que se acuerda dejar sin efecto la declaración de rebeldía, así como la orden nacional de detención que pesaba sobre ella. Acordó asimismo su citación personal para comparecer ante el instructor a fin de recibírsele declaración indagatoria en calidad de investigada en la fecha que se indica en el auto.</w:t>
      </w:r>
    </w:p>
    <w:p w14:paraId="7ECF96CD" w14:textId="77777777" w:rsidR="00A8138F" w:rsidRDefault="00A8138F" w:rsidP="00A8138F">
      <w:pPr>
        <w:pStyle w:val="TextoNormal"/>
      </w:pPr>
    </w:p>
    <w:p w14:paraId="4076EC7C" w14:textId="77777777" w:rsidR="00A8138F" w:rsidRDefault="00A8138F" w:rsidP="00A8138F">
      <w:pPr>
        <w:pStyle w:val="TextoNormal"/>
      </w:pPr>
      <w:r w:rsidRPr="00A8138F">
        <w:rPr>
          <w:rStyle w:val="NumeroAFNegritaCaracter"/>
        </w:rPr>
        <w:t>3</w:t>
      </w:r>
      <w:r>
        <w:t>. La demanda de amparo, registrada el 6 de mayo de 2021, se dirige contra las resoluciones judiciales referidas en el encabezamiento de la presente sentencia: autos de 3 y 4 de febrero de 2020 y de 21 de octubre de 2020 del magistrado instructor y autos de 29 de diciembre de 2020 y de 11 de marzo de 2021 de la Sala de lo Penal del Tribunal Supremo, resoluciones dictadas todas ellas en la causa especial núm. 20907-2017.</w:t>
      </w:r>
    </w:p>
    <w:p w14:paraId="1C108915" w14:textId="77777777" w:rsidR="00A8138F" w:rsidRDefault="00A8138F" w:rsidP="00A8138F">
      <w:pPr>
        <w:pStyle w:val="TextoNormal"/>
      </w:pPr>
    </w:p>
    <w:p w14:paraId="3F825F79" w14:textId="77777777" w:rsidR="00A8138F" w:rsidRDefault="00A8138F" w:rsidP="00A8138F">
      <w:pPr>
        <w:pStyle w:val="TextoNormal"/>
      </w:pPr>
      <w:r>
        <w:t>El recurso de amparo formula las quejas que seguidamente se resumen.</w:t>
      </w:r>
    </w:p>
    <w:p w14:paraId="0B37206B" w14:textId="77777777" w:rsidR="00A8138F" w:rsidRDefault="00A8138F" w:rsidP="00A8138F">
      <w:pPr>
        <w:pStyle w:val="TextoNormal"/>
      </w:pPr>
    </w:p>
    <w:p w14:paraId="4EF1ADAB" w14:textId="77777777" w:rsidR="00A8138F" w:rsidRDefault="00A8138F" w:rsidP="00A8138F">
      <w:pPr>
        <w:pStyle w:val="TextoNormal"/>
      </w:pPr>
      <w:r>
        <w:t>a) Vulneración del derecho al juez ordinario predeterminado por la ley (art. 24.2 CE) en relación con el derecho a la libertad (art. 17 CE)</w:t>
      </w:r>
    </w:p>
    <w:p w14:paraId="2D3ECF24" w14:textId="77777777" w:rsidR="00A8138F" w:rsidRDefault="00A8138F" w:rsidP="00A8138F">
      <w:pPr>
        <w:pStyle w:val="TextoNormal"/>
      </w:pPr>
    </w:p>
    <w:p w14:paraId="19E99717" w14:textId="77777777" w:rsidR="00A8138F" w:rsidRDefault="00A8138F" w:rsidP="00A8138F">
      <w:pPr>
        <w:pStyle w:val="TextoNormal"/>
      </w:pPr>
      <w:r>
        <w:t>Sostiene que la Sala de lo Penal del Tribunal Supremo carecía de competencia para conocer del procedimiento penal, y por tanto para emitir suplicatorio alguno, respecto de la recurrente que, con anterioridad a adquirir la condición de diputada del Parlamento Europeo en enero de 2020, no ostentaba cargo público alguno.</w:t>
      </w:r>
    </w:p>
    <w:p w14:paraId="4EF7142F" w14:textId="77777777" w:rsidR="00A8138F" w:rsidRDefault="00A8138F" w:rsidP="00A8138F">
      <w:pPr>
        <w:pStyle w:val="TextoNormal"/>
      </w:pPr>
    </w:p>
    <w:p w14:paraId="3B43A7D6" w14:textId="77777777" w:rsidR="00A8138F" w:rsidRDefault="00A8138F" w:rsidP="00A8138F">
      <w:pPr>
        <w:pStyle w:val="TextoNormal"/>
      </w:pPr>
      <w:r>
        <w:t>b) Vulneración del derecho al juez imparcial (art. 24.2 CE)</w:t>
      </w:r>
    </w:p>
    <w:p w14:paraId="3697BCA2" w14:textId="77777777" w:rsidR="00A8138F" w:rsidRDefault="00A8138F" w:rsidP="00A8138F">
      <w:pPr>
        <w:pStyle w:val="TextoNormal"/>
      </w:pPr>
    </w:p>
    <w:p w14:paraId="608DAF24" w14:textId="77777777" w:rsidR="00A8138F" w:rsidRDefault="00A8138F" w:rsidP="00A8138F">
      <w:pPr>
        <w:pStyle w:val="TextoNormal"/>
      </w:pPr>
      <w:r>
        <w:t>Alega, con cita de diversos pronunciamientos del Tribunal de Justicia de la Unión Europea, que un tribunal debe examinar de oficio si por su composición es un tribunal independiente e imparcial cuando surja sobre este punto una controversia que no parezca de entrada infundada, lo que se corresponde con el deber de abstención establecido en el art. 217 de la Ley Orgánica del Poder Judicial. En este sentido, aduce falta de imparcialidad del magistrado instructor de la causa especial núm. 20907-2017 y de tres de los magistrados integrantes de la Sala de lo Penal del Tribunal Supremo.</w:t>
      </w:r>
    </w:p>
    <w:p w14:paraId="2061D6F3" w14:textId="77777777" w:rsidR="00A8138F" w:rsidRDefault="00A8138F" w:rsidP="00A8138F">
      <w:pPr>
        <w:pStyle w:val="TextoNormal"/>
      </w:pPr>
    </w:p>
    <w:p w14:paraId="1FB358F9" w14:textId="77777777" w:rsidR="00A8138F" w:rsidRDefault="00A8138F" w:rsidP="00A8138F">
      <w:pPr>
        <w:pStyle w:val="TextoNormal"/>
      </w:pPr>
      <w:r>
        <w:t>c) Vulneración del derecho de participación política (art. 23.2 CE) en relación con el derecho a la libertad personal (art. 17 CE) y a la libertad de circulación (art. 19 CE), por no respetar las inmunidades que correspondían a la recurrente por ser diputada del Parlamento Europeo</w:t>
      </w:r>
    </w:p>
    <w:p w14:paraId="5EE0371D" w14:textId="77777777" w:rsidR="00A8138F" w:rsidRDefault="00A8138F" w:rsidP="00A8138F">
      <w:pPr>
        <w:pStyle w:val="TextoNormal"/>
      </w:pPr>
    </w:p>
    <w:p w14:paraId="6D4F2510" w14:textId="77777777" w:rsidR="00A8138F" w:rsidRDefault="00A8138F" w:rsidP="00A8138F">
      <w:pPr>
        <w:pStyle w:val="TextoNormal"/>
      </w:pPr>
      <w:r>
        <w:t>Sostiene que, al adquirir en enero de 2020 la condición de eurodiputada, gozaba desde ese momento de las inmunidades y privilegios reconocidos por el art. 343 del Tratado de funcionamiento de la Unión Europea y el art. 9 del Protocolo núm. 7 de dicho Tratado, sobre los privilegios y las inmunidades de la Unión Europea, lo que determinaba la obligación de dejar sin efecto las órdenes de busca, captura e ingreso en prisión dictadas contra ella, así como el propio auto de procesamiento. Las órdenes nacionales de detención impiden su regreso a territorio español y, por tanto, la posibilidad de tomar parte en actos que las comisiones del Parlamento Europeo puedan celebrar en España, por lo que la inmunidad se ve afectada. La nulidad de las órdenes nacionales de detención determina la nulidad de las órdenes internacionales de búsqueda y detención y de las órdenes europeas de detención y entrega que se fundan en aquellas, que serían contrarias a la Decisión Marco 2002/548/JAI, del Consejo, de 13 de junio de 2002, relativa a la orden de detención europea y a los procedimientos de entrega entre Estados miembros.</w:t>
      </w:r>
    </w:p>
    <w:p w14:paraId="14419195" w14:textId="77777777" w:rsidR="00A8138F" w:rsidRDefault="00A8138F" w:rsidP="00A8138F">
      <w:pPr>
        <w:pStyle w:val="TextoNormal"/>
      </w:pPr>
    </w:p>
    <w:p w14:paraId="6B84CB4F" w14:textId="77777777" w:rsidR="00A8138F" w:rsidRDefault="00A8138F" w:rsidP="00A8138F">
      <w:pPr>
        <w:pStyle w:val="TextoNormal"/>
      </w:pPr>
      <w:r>
        <w:t>A lo anterior se añade que no concurrían las condiciones legales para el dictado de una orden nacional de búsqueda y captura y, consecuentemente, tampoco para dictar órdenes de detención europea e internacional, pues la recurrente no se encuentra en ignorado paradero, como exige el art. 835.1 LECrim, y además los hechos por los que se la investiga no pueden entenderse como constitutivos de delito, sino ejercicio legítimo de derechos.</w:t>
      </w:r>
    </w:p>
    <w:p w14:paraId="095E5BCF" w14:textId="77777777" w:rsidR="00A8138F" w:rsidRDefault="00A8138F" w:rsidP="00A8138F">
      <w:pPr>
        <w:pStyle w:val="TextoNormal"/>
      </w:pPr>
    </w:p>
    <w:p w14:paraId="26D71BD2" w14:textId="77777777" w:rsidR="00A8138F" w:rsidRDefault="00A8138F" w:rsidP="00A8138F">
      <w:pPr>
        <w:pStyle w:val="TextoNormal"/>
      </w:pPr>
      <w:r>
        <w:t>d) Vulneración del derecho de participación política (art. 23.2 CE) en relación con el derecho a la libertad personal (art. 17 CE)</w:t>
      </w:r>
    </w:p>
    <w:p w14:paraId="7D36EE2E" w14:textId="77777777" w:rsidR="00A8138F" w:rsidRDefault="00A8138F" w:rsidP="00A8138F">
      <w:pPr>
        <w:pStyle w:val="TextoNormal"/>
      </w:pPr>
    </w:p>
    <w:p w14:paraId="3B015FA0" w14:textId="77777777" w:rsidR="00A8138F" w:rsidRDefault="00A8138F" w:rsidP="00A8138F">
      <w:pPr>
        <w:pStyle w:val="TextoNormal"/>
      </w:pPr>
      <w:r>
        <w:t>El mantenimiento de las órdenes de detención nacional, europea e internacional supone una restricción indebida del derecho de representación política en relación con el derecho a la libertad de la recurrente. Se ha instrumentalizado la orden europea de detención y entrega como medio de persecución política, con objeto de impedir la expresión de opiniones políticas favorables a la independencia de Cataluña, y se ha tratado de privar a la recurrente del ejercicio de su cargo representativo.</w:t>
      </w:r>
    </w:p>
    <w:p w14:paraId="24C52E4E" w14:textId="77777777" w:rsidR="00A8138F" w:rsidRDefault="00A8138F" w:rsidP="00A8138F">
      <w:pPr>
        <w:pStyle w:val="TextoNormal"/>
      </w:pPr>
    </w:p>
    <w:p w14:paraId="3B3B7F22" w14:textId="77777777" w:rsidR="00A8138F" w:rsidRDefault="00A8138F" w:rsidP="00A8138F">
      <w:pPr>
        <w:pStyle w:val="TextoNormal"/>
      </w:pPr>
      <w:r>
        <w:t>e) Vulneración del derecho a la igualdad (art. 14 CE) en relación con el cauce seguido para comunicar al Parlamento Europeo el procesamiento de la recurrente y para solicitar a la Eurocámara la suspensión de la inmunidad de aquella, a fin de que pudiera continuar la ejecución de las órdenes europeas de detención y entrega dictadas</w:t>
      </w:r>
    </w:p>
    <w:p w14:paraId="4A2708A9" w14:textId="77777777" w:rsidR="00A8138F" w:rsidRDefault="00A8138F" w:rsidP="00A8138F">
      <w:pPr>
        <w:pStyle w:val="TextoNormal"/>
      </w:pPr>
    </w:p>
    <w:p w14:paraId="1F3119DF" w14:textId="77777777" w:rsidR="00A8138F" w:rsidRDefault="00A8138F" w:rsidP="00A8138F">
      <w:pPr>
        <w:pStyle w:val="TextoNormal"/>
      </w:pPr>
      <w:r>
        <w:t>Sostiene que el cauce seguido por el magistrado instructor para llevar a cabo esas comunicaciones al Parlamento Europeo es incorrecto, pues debió hacerse a través del Ministerio de Justicia, no por conducto de la Presidencia de la Sala de lo Penal del Tribunal Supremo, que carece de competencia.</w:t>
      </w:r>
    </w:p>
    <w:p w14:paraId="38056C32" w14:textId="77777777" w:rsidR="00A8138F" w:rsidRDefault="00A8138F" w:rsidP="00A8138F">
      <w:pPr>
        <w:pStyle w:val="TextoNormal"/>
      </w:pPr>
    </w:p>
    <w:p w14:paraId="0440016A" w14:textId="77777777" w:rsidR="00A8138F" w:rsidRDefault="00A8138F" w:rsidP="00A8138F">
      <w:pPr>
        <w:pStyle w:val="TextoNormal"/>
      </w:pPr>
      <w:r>
        <w:t>f) Vulneración del derecho a la presunción de inocencia (art. 24.2 CE) en su dimensión extraprocesal</w:t>
      </w:r>
    </w:p>
    <w:p w14:paraId="08E15D06" w14:textId="77777777" w:rsidR="00A8138F" w:rsidRDefault="00A8138F" w:rsidP="00A8138F">
      <w:pPr>
        <w:pStyle w:val="TextoNormal"/>
      </w:pPr>
    </w:p>
    <w:p w14:paraId="0D56457C" w14:textId="77777777" w:rsidR="00A8138F" w:rsidRDefault="00A8138F" w:rsidP="00A8138F">
      <w:pPr>
        <w:pStyle w:val="TextoNormal"/>
      </w:pPr>
      <w:r>
        <w:t>Sostiene que la comunicación al Parlamento Europeo, realizada por el magistrado instructor, de la sentencia dictada por la Sala de lo Penal del Tribunal Supremo el 14 de octubre de 2019 en la causa especial núm. 20907-2017, en la que no participó la recurrente, supone una indebida referencia pública a su culpabilidad en los términos del art. 4 de la Directiva (UE) 2016/343 del Parlamento Europeo y del Consejo, de 9 de marzo de 2016, por la que se refuerzan en el proceso penal determinados aspectos de la presunción de inocencia y el derecho a estar presente en el juicio.</w:t>
      </w:r>
    </w:p>
    <w:p w14:paraId="3F317779" w14:textId="77777777" w:rsidR="00A8138F" w:rsidRDefault="00A8138F" w:rsidP="00A8138F">
      <w:pPr>
        <w:pStyle w:val="TextoNormal"/>
      </w:pPr>
    </w:p>
    <w:p w14:paraId="1F2F8C2B" w14:textId="77777777" w:rsidR="00A8138F" w:rsidRDefault="00A8138F" w:rsidP="00A8138F">
      <w:pPr>
        <w:pStyle w:val="TextoNormal"/>
      </w:pPr>
      <w:r>
        <w:t>g) Vulneración del derecho a la tutela judicial efectiva (art. 24.1 CE) en la vertiente de derecho a una resolución motivada y de los derechos a un proceso con todas las garantías y al juez predeterminado por la ley (art. 24.2 CE)</w:t>
      </w:r>
    </w:p>
    <w:p w14:paraId="563C0AD6" w14:textId="77777777" w:rsidR="00A8138F" w:rsidRDefault="00A8138F" w:rsidP="00A8138F">
      <w:pPr>
        <w:pStyle w:val="TextoNormal"/>
      </w:pPr>
    </w:p>
    <w:p w14:paraId="1BD01D65" w14:textId="77777777" w:rsidR="00A8138F" w:rsidRDefault="00A8138F" w:rsidP="00A8138F">
      <w:pPr>
        <w:pStyle w:val="TextoNormal"/>
      </w:pPr>
      <w:r>
        <w:t>Afirma que los autos impugnados se han negado sin razón alguna al planteamiento de las cuestiones prejudiciales ante el Tribunal de Justicia de la Unión Europea que se solicitaron por la recurrente; vulneración más grave si cabe en el caso del auto de la Sala de lo Penal del Tribunal Supremo de 29 de diciembre de 2020, pues la Sala, a diferencia del magistrado instructor, estaba obligado a plantearlas, de conformidad con el art. 267 del Tratado de funcionamiento de la Unión Europea, por no ser esa resolución susceptible de ulterior recurso judicial de Derecho interno. Además, la negativa a plantear ante el Tribunal de Justicia de la Unión Europea las cuestiones prejudiciales solicitadas vulnera el derecho al juez predeterminado por la ley, pues ese tribunal es el que debe pronunciarse sobre la correcta interpretación del Derecho de la Unión Europea.</w:t>
      </w:r>
    </w:p>
    <w:p w14:paraId="3464EA90" w14:textId="77777777" w:rsidR="00A8138F" w:rsidRDefault="00A8138F" w:rsidP="00A8138F">
      <w:pPr>
        <w:pStyle w:val="TextoNormal"/>
      </w:pPr>
    </w:p>
    <w:p w14:paraId="33D6FF63" w14:textId="48548AA0" w:rsidR="00A8138F" w:rsidRDefault="00A8138F" w:rsidP="00A8138F">
      <w:pPr>
        <w:pStyle w:val="TextoNormal"/>
      </w:pPr>
      <w:r>
        <w:t>Por todo ello, la recurrente solicita que se le otorgue el amparo, declarando la nulidad de las resoluciones judiciales impugnadas. Mediante otrosí interesa la suspensión de las órdenes de detención de manera cautelarísima [art. 56.6 de la Ley Orgánica del Tribunal Constitucional (LOTC)] o, subsidiariamente, de manera cautelar (art. 56.2 y 3 LOTC). En un segundo otrosí solicita el planteamiento de cinco cuestiones prejudiciales ante el Tribunal de Justicia de la Unión Europea, relacionadas con las quejas que se formulan en la demanda de amparo. Y en un tercer otrosí, la celebración de vista pública (art. 85.3 LOTC).</w:t>
      </w:r>
    </w:p>
    <w:p w14:paraId="1B3D7E5A" w14:textId="77777777" w:rsidR="00A8138F" w:rsidRDefault="00A8138F" w:rsidP="00A8138F">
      <w:pPr>
        <w:pStyle w:val="TextoNormal"/>
      </w:pPr>
    </w:p>
    <w:p w14:paraId="50DD375D" w14:textId="77777777" w:rsidR="00A8138F" w:rsidRDefault="00A8138F" w:rsidP="00A8138F">
      <w:pPr>
        <w:pStyle w:val="TextoNormal"/>
      </w:pPr>
      <w:r w:rsidRPr="00A8138F">
        <w:rPr>
          <w:rStyle w:val="NumeroAFNegritaCaracter"/>
        </w:rPr>
        <w:t>4</w:t>
      </w:r>
      <w:r>
        <w:t>. Recabado por el Pleno de este tribunal el conocimiento del asunto, el recurso de amparo fue admitido a trámite mediante providencia de 28 de octubre de 2021, tras apreciar que en el mismo concurre una especial trascendencia constitucional (art. 50.1 LOTC) porque plantea un problema o afecta a una faceta de un derecho fundamental sobre el que no hay doctrina de este tribunal [STC 155/2009, de 25 de junio, FJ 2 a)] y porque el asunto suscitado trasciende del caso concreto al plantear una cuestión jurídica de relevante y general repercusión social o económica [STC 155/2009, FJ 2 g)].</w:t>
      </w:r>
    </w:p>
    <w:p w14:paraId="482EA6B5" w14:textId="77777777" w:rsidR="00A8138F" w:rsidRDefault="00A8138F" w:rsidP="00A8138F">
      <w:pPr>
        <w:pStyle w:val="TextoNormal"/>
      </w:pPr>
    </w:p>
    <w:p w14:paraId="5EC330FA" w14:textId="77777777" w:rsidR="00A8138F" w:rsidRDefault="00A8138F" w:rsidP="00A8138F">
      <w:pPr>
        <w:pStyle w:val="TextoNormal"/>
      </w:pPr>
      <w:r>
        <w:t>Acordó asimismo el Pleno, en aplicación de lo dispuesto en el art. 51 LOTC, dirigir atenta comunicación a la Sala de lo Penal del Tribunal Supremo a fin de que, en plazo que no exceda de diez días, remitiera certificación o fotocopia adverada de las actuaciones correspondientes a los autos de 11 de marzo de 2021, de 29 de diciembre de 2020, de 21 de octubre de 2020 y de 3 y 4 de febrero de 2020, todos ellos dictados en la causa especial núm. 20907-2017; debiendo previamente emplazar a quienes hubieran sido parte en el procedimiento, excepto la recurrente en amparo, para que en el plazo de diez días, pudieran comparecer en el recurso de amparo.</w:t>
      </w:r>
    </w:p>
    <w:p w14:paraId="49C3B99D" w14:textId="77777777" w:rsidR="00A8138F" w:rsidRDefault="00A8138F" w:rsidP="00A8138F">
      <w:pPr>
        <w:pStyle w:val="TextoNormal"/>
      </w:pPr>
    </w:p>
    <w:p w14:paraId="3D04B590" w14:textId="77777777" w:rsidR="00A8138F" w:rsidRDefault="00A8138F" w:rsidP="00A8138F">
      <w:pPr>
        <w:pStyle w:val="TextoNormal"/>
      </w:pPr>
      <w:r>
        <w:t xml:space="preserve">En la misma providencia, en relación con la solicitud de suspensión cautelar de las resoluciones recurridas, el Pleno no apreció la urgencia excepcional a la que se refiere el art. 56.6 LOTC, que hubiera justificado su adopción </w:t>
      </w:r>
      <w:r w:rsidRPr="00A8138F">
        <w:rPr>
          <w:i/>
        </w:rPr>
        <w:t>inaudita parte</w:t>
      </w:r>
      <w:r>
        <w:t xml:space="preserve"> de forma inmotivada. Al mismo tiempo, a fin de pronunciarse sobre la petición de suspensión, el Pleno acordó formar la oportuna pieza separada y, en ella, conceder un plazo de tres días al Ministerio Fiscal y a la solicitante de amparo para que efectuasen las alegaciones oportunas respecto a dicha petición cautelar.</w:t>
      </w:r>
    </w:p>
    <w:p w14:paraId="7DFCD6B4" w14:textId="77777777" w:rsidR="00A8138F" w:rsidRDefault="00A8138F" w:rsidP="00A8138F">
      <w:pPr>
        <w:pStyle w:val="TextoNormal"/>
      </w:pPr>
    </w:p>
    <w:p w14:paraId="22104724" w14:textId="241EB6A0" w:rsidR="00A8138F" w:rsidRDefault="00A8138F" w:rsidP="00A8138F">
      <w:pPr>
        <w:pStyle w:val="TextoNormal"/>
      </w:pPr>
      <w:r>
        <w:t>Sustanciada la pieza separada, el Pleno, por ATC 27/2022, de 27 de enero, acordó denegar la suspensión de las resoluciones judiciales impugnadas en el presente recurso de amparo. El recurso de súplica interpuesto por la recurrente fue desestimado por ATC 71/2022, de 27 de abril.</w:t>
      </w:r>
    </w:p>
    <w:p w14:paraId="4123051E" w14:textId="77777777" w:rsidR="00A8138F" w:rsidRDefault="00A8138F" w:rsidP="00A8138F">
      <w:pPr>
        <w:pStyle w:val="TextoNormal"/>
      </w:pPr>
    </w:p>
    <w:p w14:paraId="3F1D592B" w14:textId="63F28FAD" w:rsidR="00A8138F" w:rsidRDefault="00A8138F" w:rsidP="00A8138F">
      <w:pPr>
        <w:pStyle w:val="TextoNormal"/>
      </w:pPr>
      <w:r w:rsidRPr="00A8138F">
        <w:rPr>
          <w:rStyle w:val="NumeroAFNegritaCaracter"/>
        </w:rPr>
        <w:t>5</w:t>
      </w:r>
      <w:r>
        <w:t>. Por ATC 99/2021, de 28 de octubre, el Pleno acordó aceptar la abstención del magistrado don Cándido Conde-Pumpido Tourón en el presente recurso de amparo y apartarle definitivamente del mismo y de todas sus incidencias.</w:t>
      </w:r>
    </w:p>
    <w:p w14:paraId="78390003" w14:textId="77777777" w:rsidR="00A8138F" w:rsidRDefault="00A8138F" w:rsidP="00A8138F">
      <w:pPr>
        <w:pStyle w:val="TextoNormal"/>
      </w:pPr>
    </w:p>
    <w:p w14:paraId="64FF3653" w14:textId="359D2B44" w:rsidR="00A8138F" w:rsidRDefault="00A8138F" w:rsidP="00A8138F">
      <w:pPr>
        <w:pStyle w:val="TextoNormal"/>
      </w:pPr>
      <w:r w:rsidRPr="00A8138F">
        <w:rPr>
          <w:rStyle w:val="NumeroAFNegritaCaracter"/>
        </w:rPr>
        <w:t>6</w:t>
      </w:r>
      <w:r>
        <w:t>. Por escrito registrado en este tribunal el 11 de noviembre de 2021, la procuradora de los tribunales doña Pilar Hidalgo López, en nombre y representación del partido político Vox y con asistencia letrada de doña Marta Castro Fuertes, solicitó que se la tuviera por personada en este recurso de amparo.</w:t>
      </w:r>
    </w:p>
    <w:p w14:paraId="11C94633" w14:textId="77777777" w:rsidR="00A8138F" w:rsidRDefault="00A8138F" w:rsidP="00A8138F">
      <w:pPr>
        <w:pStyle w:val="TextoNormal"/>
      </w:pPr>
    </w:p>
    <w:p w14:paraId="42BDA8F0" w14:textId="0106D223" w:rsidR="00A8138F" w:rsidRDefault="00A8138F" w:rsidP="00A8138F">
      <w:pPr>
        <w:pStyle w:val="TextoNormal"/>
      </w:pPr>
      <w:r w:rsidRPr="00A8138F">
        <w:rPr>
          <w:rStyle w:val="NumeroAFNegritaCaracter"/>
        </w:rPr>
        <w:t>7</w:t>
      </w:r>
      <w:r>
        <w:t>. El abogado del Estado, mediante escrito registrado en este tribunal el 18 de noviembre de 2021, solicitó que se le tuviera por personado en el presente recurso de amparo.</w:t>
      </w:r>
    </w:p>
    <w:p w14:paraId="205A106F" w14:textId="77777777" w:rsidR="00A8138F" w:rsidRDefault="00A8138F" w:rsidP="00A8138F">
      <w:pPr>
        <w:pStyle w:val="TextoNormal"/>
      </w:pPr>
    </w:p>
    <w:p w14:paraId="248D746C" w14:textId="38B96540" w:rsidR="00A8138F" w:rsidRDefault="00A8138F" w:rsidP="00A8138F">
      <w:pPr>
        <w:pStyle w:val="TextoNormal"/>
      </w:pPr>
      <w:r w:rsidRPr="00A8138F">
        <w:rPr>
          <w:rStyle w:val="NumeroAFNegritaCaracter"/>
        </w:rPr>
        <w:t>8</w:t>
      </w:r>
      <w:r>
        <w:t>. Por diligencia de ordenación del Secretario de Justicia del Pleno de 22 de noviembre de 2021 se tuvo por recibido el testimonio de las actuaciones remitidas por la Sala de lo Penal del Tribunal Supremo y por personados y parte en este proceso constitucional a la procuradora de los tribunales doña Pilar Hidalgo López, en representación del partido político Vox, y al abogado del Estado. Asimismo se ordenó, en aplicación de lo dispuesto en el art. 52 LOTC, dar vista de las actuaciones del presente recurso de amparo, por un plazo común de veinte días, al Ministerio Fiscal y a las partes personadas, para que dentro de dicho término pudieran presentar las alegaciones que a su derecho conviniesen.</w:t>
      </w:r>
    </w:p>
    <w:p w14:paraId="0975312C" w14:textId="77777777" w:rsidR="00A8138F" w:rsidRDefault="00A8138F" w:rsidP="00A8138F">
      <w:pPr>
        <w:pStyle w:val="TextoNormal"/>
      </w:pPr>
    </w:p>
    <w:p w14:paraId="573AF5A2" w14:textId="77777777" w:rsidR="00A8138F" w:rsidRDefault="00A8138F" w:rsidP="00A8138F">
      <w:pPr>
        <w:pStyle w:val="TextoNormal"/>
      </w:pPr>
      <w:r w:rsidRPr="00A8138F">
        <w:rPr>
          <w:rStyle w:val="NumeroAFNegritaCaracter"/>
        </w:rPr>
        <w:t>9</w:t>
      </w:r>
      <w:r>
        <w:t>. Por escrito presentado en el registro general de este tribunal el 2 de diciembre de 2021, la representación procesal de la recurrente promovió la recusación de los magistrados don Enrique Arnaldo Alcubilla y doña Concepción Espejel Jorquera en este recurso de amparo.</w:t>
      </w:r>
    </w:p>
    <w:p w14:paraId="485EA2AE" w14:textId="77777777" w:rsidR="00A8138F" w:rsidRDefault="00A8138F" w:rsidP="00A8138F">
      <w:pPr>
        <w:pStyle w:val="TextoNormal"/>
      </w:pPr>
    </w:p>
    <w:p w14:paraId="4ECC800A" w14:textId="7193D56F" w:rsidR="00A8138F" w:rsidRDefault="00A8138F" w:rsidP="00A8138F">
      <w:pPr>
        <w:pStyle w:val="TextoNormal"/>
      </w:pPr>
      <w:r>
        <w:t>Por ATC 107/2021, de 15 de diciembre, el Pleno acordó inadmitir la recusación. La solicitud de aclaración y el recurso de súplica de la recurrente frente a dicho auto fueron desestimados por ATC 17/2022, de 25 de enero.</w:t>
      </w:r>
    </w:p>
    <w:p w14:paraId="1552DA3E" w14:textId="77777777" w:rsidR="00A8138F" w:rsidRDefault="00A8138F" w:rsidP="00A8138F">
      <w:pPr>
        <w:pStyle w:val="TextoNormal"/>
      </w:pPr>
    </w:p>
    <w:p w14:paraId="778ED4E8" w14:textId="77777777" w:rsidR="00A8138F" w:rsidRDefault="00A8138F" w:rsidP="00A8138F">
      <w:pPr>
        <w:pStyle w:val="TextoNormal"/>
      </w:pPr>
      <w:r w:rsidRPr="00A8138F">
        <w:rPr>
          <w:rStyle w:val="NumeroAFNegritaCaracter"/>
        </w:rPr>
        <w:t>10</w:t>
      </w:r>
      <w:r>
        <w:t>. El abogado del Estado presentó sus alegaciones mediante escrito registrado en este tribunal el 23 de diciembre de 2021, interesando la inadmisión, o subsidiariamente la desestimación, del presente recurso de amparo.</w:t>
      </w:r>
    </w:p>
    <w:p w14:paraId="0E4BA50B" w14:textId="77777777" w:rsidR="00A8138F" w:rsidRDefault="00A8138F" w:rsidP="00A8138F">
      <w:pPr>
        <w:pStyle w:val="TextoNormal"/>
      </w:pPr>
    </w:p>
    <w:p w14:paraId="5F3CC21B" w14:textId="77777777" w:rsidR="00A8138F" w:rsidRDefault="00A8138F" w:rsidP="00A8138F">
      <w:pPr>
        <w:pStyle w:val="TextoNormal"/>
      </w:pPr>
      <w:r>
        <w:t>Advierte que, si bien la recurrente plantea en su demanda de amparo cuestiones que exceden el ámbito y alcance de las concretas resoluciones judiciales impugnadas, y van referidas a la causa especial núm. 20907-2017 en su conjunto, lo cierto es que el objeto del amparo no es otro que las órdenes de búsqueda y detención de la recurrente adoptadas por el magistrado instructor de la causa. Partiendo de esta premisa, el abogado del Estado entiende que el recurso de amparo tiene carácter prematuro en relación con todas las quejas formuladas (salvo en relación con la alegada vulneración del derecho garantizado por el art. 23 CE en su vertiente relativa a la valoración de la inmunidad de la recurrente por su condición de eurodiputada, y la también alegada vulneración de los derechos reconocidos por el art. 24 CE en cuanto a la falta de motivación de las resoluciones impugnadas) porque esas quejas se suscitan en relación con un proceso penal en tramitación, por lo que pueden ser planteadas a lo largo del proceso y no producen una vulneración inmediata de derechos fundamentales que impida una posterior reparación en el propio proceso penal (STC 71/2021, de 18 de marzo).</w:t>
      </w:r>
    </w:p>
    <w:p w14:paraId="54012049" w14:textId="77777777" w:rsidR="00A8138F" w:rsidRDefault="00A8138F" w:rsidP="00A8138F">
      <w:pPr>
        <w:pStyle w:val="TextoNormal"/>
      </w:pPr>
    </w:p>
    <w:p w14:paraId="1F20582C" w14:textId="77777777" w:rsidR="00A8138F" w:rsidRDefault="00A8138F" w:rsidP="00A8138F">
      <w:pPr>
        <w:pStyle w:val="TextoNormal"/>
      </w:pPr>
      <w:r>
        <w:t>Ello sin perjuicio de recordar, continúa el abogado del Estado, que la pretendida vulneración del derecho al juez predeterminado por la ley ya ha sido descartada por el Tribunal Constitucional en las sucesivas sentencias que resuelven los recursos de amparo presentados por los condenados en la causa especial núm. 20907-2017 (SSTC 91/2021, de 22 de abril; 106/2021, de 11 de mayo; 121/2021, de 2 de junio, y 122/2021, de 2 de junio) y que, en cuanto a la alegada vulneración del derecho al juez imparcial, la recurrente no ha solicitado en la causa la recusación del magistrado instructor y tampoco la de los tres integrantes de la Sala de lo Penal del Tribunal Supremo a los que se refiere su queja.</w:t>
      </w:r>
    </w:p>
    <w:p w14:paraId="4A0F9B7A" w14:textId="77777777" w:rsidR="00A8138F" w:rsidRDefault="00A8138F" w:rsidP="00A8138F">
      <w:pPr>
        <w:pStyle w:val="TextoNormal"/>
      </w:pPr>
    </w:p>
    <w:p w14:paraId="18A88BC4" w14:textId="77777777" w:rsidR="00A8138F" w:rsidRDefault="00A8138F" w:rsidP="00A8138F">
      <w:pPr>
        <w:pStyle w:val="TextoNormal"/>
      </w:pPr>
      <w:r>
        <w:t>Por lo que se refiere a la alegada vulneración del derecho de representación política (art. 23 CE), en su vertiente relativa a la valoración de la inmunidad de la recurrente por su condición de eurodiputada, el abogado del Estado considera inexistente esa pretendida lesión, remitiéndose a los razonamientos contenidos al respecto en el auto dictado en la referida causa por la Sala de lo Penal del Tribunal Supremo de 23 de octubre de 2020, por el que se desestima el recurso de apelación contra el auto de 10 de enero de 2020, que recoge la doctrina del Tribunal de Justicia de la Unión Europea sobre la inmunidad parlamentaria y la forma de proceder en el caso de eurodiputados. A lo que se añade que las resoluciones dictadas en el proceso seguido ante el Tribunal de Justicia de la Unión Europea por la recurrente contra la decisión del Parlamento Europeo relativa al levantamiento de su inmunidad (asunto T-272/21) confirman la interpretación recogida en el citado auto de la Sala de lo Penal del Tribunal Supremo sobre la compatibilidad de la emisión de órdenes de búsqueda y detención con la condición de eurodiputado, sin perjuicio de la solicitud de suspensión de la inmunidad al Parlamento Europeo para su efectividad, como así lo hizo el magistrado instructor en su auto de 3 de febrero de 2020.</w:t>
      </w:r>
    </w:p>
    <w:p w14:paraId="3B796A91" w14:textId="77777777" w:rsidR="00A8138F" w:rsidRDefault="00A8138F" w:rsidP="00A8138F">
      <w:pPr>
        <w:pStyle w:val="TextoNormal"/>
      </w:pPr>
    </w:p>
    <w:p w14:paraId="445E65F1" w14:textId="062741A5" w:rsidR="00A8138F" w:rsidRDefault="00A8138F" w:rsidP="00A8138F">
      <w:pPr>
        <w:pStyle w:val="TextoNormal"/>
      </w:pPr>
      <w:r>
        <w:t>También considera inexistente la alegada vulneración del derecho garantizado por el art. 24 CE en cuanto a la motivación de las resoluciones judiciales, pues la recurrente se limita en realidad a manifestar su discrepancia con las decisiones adoptadas en los autos impugnados.</w:t>
      </w:r>
    </w:p>
    <w:p w14:paraId="53200EA6" w14:textId="77777777" w:rsidR="00A8138F" w:rsidRDefault="00A8138F" w:rsidP="00A8138F">
      <w:pPr>
        <w:pStyle w:val="TextoNormal"/>
      </w:pPr>
    </w:p>
    <w:p w14:paraId="30CF973D" w14:textId="77777777" w:rsidR="00A8138F" w:rsidRDefault="00A8138F" w:rsidP="00A8138F">
      <w:pPr>
        <w:pStyle w:val="TextoNormal"/>
      </w:pPr>
      <w:r w:rsidRPr="00A8138F">
        <w:rPr>
          <w:rStyle w:val="NumeroAFNegritaCaracter"/>
        </w:rPr>
        <w:t>11</w:t>
      </w:r>
      <w:r>
        <w:t>. El 27 de diciembre de 2021 tuvo entrada en el registro de este tribunal el escrito de alegaciones del partido político Vox, que solicita la desestimación del recurso de amparo.</w:t>
      </w:r>
    </w:p>
    <w:p w14:paraId="7181E5D6" w14:textId="77777777" w:rsidR="00A8138F" w:rsidRDefault="00A8138F" w:rsidP="00A8138F">
      <w:pPr>
        <w:pStyle w:val="TextoNormal"/>
      </w:pPr>
    </w:p>
    <w:p w14:paraId="74F0DD8D" w14:textId="77777777" w:rsidR="00A8138F" w:rsidRDefault="00A8138F" w:rsidP="00A8138F">
      <w:pPr>
        <w:pStyle w:val="TextoNormal"/>
      </w:pPr>
      <w:r>
        <w:t>Afirma que, con la interposición de su recurso de amparo, la recurrente pretende, con abuso de derecho, obstaculizar y evadirse de una instrucción penal por delitos graves. No existe vulneración de ningún derecho fundamental. Los autos impugnados en amparo son resoluciones motivadas, razonadas y dictadas con todos los requisitos y garantías de nuestro ordenamiento jurídico.</w:t>
      </w:r>
    </w:p>
    <w:p w14:paraId="0B542FF1" w14:textId="77777777" w:rsidR="00A8138F" w:rsidRDefault="00A8138F" w:rsidP="00A8138F">
      <w:pPr>
        <w:pStyle w:val="TextoNormal"/>
      </w:pPr>
    </w:p>
    <w:p w14:paraId="71AA8EB4" w14:textId="77777777" w:rsidR="00A8138F" w:rsidRDefault="00A8138F" w:rsidP="00A8138F">
      <w:pPr>
        <w:pStyle w:val="TextoNormal"/>
      </w:pPr>
      <w:r>
        <w:t>En particular, no concurre la pretendida vulneración al derecho al juez ordinario predeterminado por la ley puesto que, como exige la doctrina constitucional, la Sala de lo Penal del Tribunal Supremo es un órgano judicial creado previamente por la norma jurídica, esta le ha investido de jurisdicción y competencia con anterioridad al hecho motivador de la actuación o proceso judicial y su régimen orgánico y procesal no permite calificarlo de órgano especial o excepcional. Tampoco existe vulneración del derecho al juez imparcial, sino que la recurrente se limita a incidir en la estrategia continuada de acusar sin fundamento alguno a los magistrados de la Sala de falta de imparcialidad cuando se encuentra en desacuerdo con sus decisiones, lo que se ha convertido en una constante sin causa alguna, con el único propósito de buscar el descrédito de los jueces y tribunales españoles ante gobiernos e instituciones internacionales.</w:t>
      </w:r>
    </w:p>
    <w:p w14:paraId="03EE4581" w14:textId="77777777" w:rsidR="00A8138F" w:rsidRDefault="00A8138F" w:rsidP="00A8138F">
      <w:pPr>
        <w:pStyle w:val="TextoNormal"/>
      </w:pPr>
    </w:p>
    <w:p w14:paraId="720C2B4D" w14:textId="379B6D6A" w:rsidR="00A8138F" w:rsidRDefault="00A8138F" w:rsidP="00A8138F">
      <w:pPr>
        <w:pStyle w:val="TextoNormal"/>
      </w:pPr>
      <w:r>
        <w:t>La pretendida vulneración de los derechos fundamentales de la recurrente como diputada del Parlamento Europeo carece igualmente de fundamento, pues la suspensión de su inmunidad parlamentaria ha sido solicitada por la Sala de lo Penal del Tribunal Supremo y acordada por el Parlamento Europeo, de conformidad con el art. 9 del Protocolo núm. 7 del Tratado de funcionamiento de la Unión Europea, sobre los privilegios y las inmunidades de la Unión Europea. Tampoco existe vulneración de los derechos a la libertad personal y circulación, puesto que no existe incompatibilidad entre las órdenes de detención y una hipotética vulneración, por lo que no se han vulnerado estos derechos.</w:t>
      </w:r>
    </w:p>
    <w:p w14:paraId="7478430D" w14:textId="77777777" w:rsidR="00A8138F" w:rsidRDefault="00A8138F" w:rsidP="00A8138F">
      <w:pPr>
        <w:pStyle w:val="TextoNormal"/>
      </w:pPr>
    </w:p>
    <w:p w14:paraId="1850853F" w14:textId="77777777" w:rsidR="00A8138F" w:rsidRDefault="00A8138F" w:rsidP="00A8138F">
      <w:pPr>
        <w:pStyle w:val="TextoNormal"/>
      </w:pPr>
      <w:r w:rsidRPr="00A8138F">
        <w:rPr>
          <w:rStyle w:val="NumeroAFNegritaCaracter"/>
        </w:rPr>
        <w:t>12</w:t>
      </w:r>
      <w:r>
        <w:t>. El Ministerio Fiscal presentó su escrito de alegaciones en este tribunal el 19 de enero de 2022, interesando la inadmisión del recurso de amparo en cuanto a las quejas referidas a la vulneración de los derechos al juez predeterminado por la ley y al juez imparcial, y la desestimación del recurso en lo restante.</w:t>
      </w:r>
    </w:p>
    <w:p w14:paraId="03AD1702" w14:textId="77777777" w:rsidR="00A8138F" w:rsidRDefault="00A8138F" w:rsidP="00A8138F">
      <w:pPr>
        <w:pStyle w:val="TextoNormal"/>
      </w:pPr>
    </w:p>
    <w:p w14:paraId="72EAB8AA" w14:textId="77777777" w:rsidR="00A8138F" w:rsidRDefault="00A8138F" w:rsidP="00A8138F">
      <w:pPr>
        <w:pStyle w:val="TextoNormal"/>
      </w:pPr>
      <w:r>
        <w:t>Afirma el Ministerio Fiscal que la controversia que plantea la recurrente en su demanda de amparo se fundamenta en la inmunidad que adquirió al ser proclamada diputada del Parlamento Europeo y en la ilegalidad de las órdenes nacionales de búsqueda, captura e ingreso en prisión y las de detención europea e internacional, de manera que el derecho a la libertad y el derecho de representación política aparecen como los principales derechos concernidos en el presente asunto.</w:t>
      </w:r>
    </w:p>
    <w:p w14:paraId="77E87745" w14:textId="77777777" w:rsidR="00A8138F" w:rsidRDefault="00A8138F" w:rsidP="00A8138F">
      <w:pPr>
        <w:pStyle w:val="TextoNormal"/>
      </w:pPr>
    </w:p>
    <w:p w14:paraId="27EA4B8F" w14:textId="77777777" w:rsidR="00A8138F" w:rsidRDefault="00A8138F" w:rsidP="00A8138F">
      <w:pPr>
        <w:pStyle w:val="TextoNormal"/>
      </w:pPr>
      <w:r>
        <w:t xml:space="preserve">La queja referida a la vulneración del derecho al juez predeterminado por la ley (art. 24.2 CE), vinculada al derecho a la libertad (art. 17.1 CE), resulta prematura y por tanto inadmisible, por referirse a un proceso penal en tramitación, en el que la recurrente tiene todavía la oportunidad procesal de plantear al tribunal de enjuiciamiento, como artículo de previo pronunciamiento, la declinatoria de jurisdicción que fundamenta su queja (arts. 26 </w:t>
      </w:r>
      <w:r w:rsidRPr="00A8138F">
        <w:rPr>
          <w:i/>
        </w:rPr>
        <w:t>in fine</w:t>
      </w:r>
      <w:r>
        <w:t xml:space="preserve"> y 666.1 LECrim). Lo mismo sucede con la queja referida a la lesión del derecho al juez imparcial (art. 24.2 CE), que la recurrente puede plantear ante el tribunal de enjuiciamiento a través de un artículo de previo pronunciamiento una vez abierto el juicio oral; ello sin perjuicio de que las dudas sobre la imparcialidad de los magistrados aludidos en la demanda de amparo carecen de consistencia.</w:t>
      </w:r>
    </w:p>
    <w:p w14:paraId="4E4115CF" w14:textId="77777777" w:rsidR="00A8138F" w:rsidRDefault="00A8138F" w:rsidP="00A8138F">
      <w:pPr>
        <w:pStyle w:val="TextoNormal"/>
      </w:pPr>
    </w:p>
    <w:p w14:paraId="7CE73E5F" w14:textId="77777777" w:rsidR="00A8138F" w:rsidRDefault="00A8138F" w:rsidP="00A8138F">
      <w:pPr>
        <w:pStyle w:val="TextoNormal"/>
      </w:pPr>
      <w:r>
        <w:t>Por lo que se refiere a la queja nuclear del recurso de amparo, esto es, la vulneración del derecho fundamental de participación política (art. 23.2 CE), que la recurrente considera ocasionada por la interpretación que la Sala de lo Penal del Tribunal Supremo ha efectuado de la prerrogativa de la inmunidad parlamentaria que asiste a los diputados del Parlamento Europeo, como era el caso de la recurrente, conforme a lo previsto en el art. 9 del Protocolo núm. 7 del Tratado de funcionamiento de la Unión Europea, sobre los privilegios y las inmunidades de la Unión Europea, el Ministerio Fiscal, con cita de la STC 71/2021, sostiene que no ha existido tal lesión. Recuerda que el proceso penal seguido contra la recurrente se inició dos años antes de que adquiriera la condición de diputada del Parlamento Europeo, condición que tampoco tenía cuando fue procesada (el 21 de marzo de 2018), de manera que no puede afirmarse, como hace la recurrente, que la vía penal se ha utilizado para privarla de su escaño o impedir el ejercicio de su actividad política. Es más, las órdenes impugnadas ya habían sido acordadas cuando tiene lugar la adquisición de la condición de diputada al Parlamento Europeo. La interpretación que la Sala de lo Penal del Tribunal Supremo efectúa de la prerrogativa de la inmunidad en las resoluciones judiciales impugnadas es acorde con una correcta comprensión del sentido de la prerrogativa misma y de la finalidad que esta pretende, esto es, asegurar la sujeción al proceso penal de la recurrente, a los efectos de procurar el desarrollo y culminación del proceso de manera que se respeten el imperio de la ley y el valor justicia.</w:t>
      </w:r>
    </w:p>
    <w:p w14:paraId="07E0DF8C" w14:textId="77777777" w:rsidR="00A8138F" w:rsidRDefault="00A8138F" w:rsidP="00A8138F">
      <w:pPr>
        <w:pStyle w:val="TextoNormal"/>
      </w:pPr>
    </w:p>
    <w:p w14:paraId="359E06F3" w14:textId="77777777" w:rsidR="00A8138F" w:rsidRDefault="00A8138F" w:rsidP="00A8138F">
      <w:pPr>
        <w:pStyle w:val="TextoNormal"/>
      </w:pPr>
      <w:r>
        <w:t>Puede afirmarse, en suma, que por la Sala de lo Penal del Tribunal Supremo se ha llevado a cabo un juicio de ponderación sobre los derechos e intereses de la recurrente y de la sociedad en materia de participación política, así como del buen funcionamiento de la justicia, en unos términos que no pueden merecer reproche constitucional alguno, pues se fundan en unas finalidades constitucionalmente legítimas a partir del análisis que realiza el órgano judicial sobre el alcance de la inmunidad que protege a los parlamentarios europeos. No puede considerarse desproporcionada la emisión de las órdenes cuestionadas y la injerencia que estas suponen en el derecho de representación política de la recurrente; el suplicatorio que se cursa es consecuencia de dicho derecho fundamental y responde a un fin legítimo y proporcional, como es el de obtener la sujeción al proceso penal. Y el Parlamento Europeo ha tramitado la solicitud de suplicatorio remitido por conducto de la Presidencia de la Sala Segunda del Tribunal Supremo y por decisión de 9 de marzo de 2021 ha decidido suspender la inmunidad de que gozaba la recurrente.</w:t>
      </w:r>
    </w:p>
    <w:p w14:paraId="08A1254F" w14:textId="77777777" w:rsidR="00A8138F" w:rsidRDefault="00A8138F" w:rsidP="00A8138F">
      <w:pPr>
        <w:pStyle w:val="TextoNormal"/>
      </w:pPr>
    </w:p>
    <w:p w14:paraId="6888F18B" w14:textId="77777777" w:rsidR="00A8138F" w:rsidRDefault="00A8138F" w:rsidP="00A8138F">
      <w:pPr>
        <w:pStyle w:val="TextoNormal"/>
      </w:pPr>
      <w:r>
        <w:t>Tampoco es de apreciar la pretendida vulneración del derecho a la presunción de inocencia (art. 24.2 CE), en su dimensión extraprocesal, por la comunicación que el magistrado instructor ha hecho al Parlamento Europeo de la sentencia dictada por la Sala de lo Penal del Tribunal Supremo el 14 de octubre de 2019 en la causa especial núm. 20907-2017. Esa comunicación no tiene más objeto que permitir a la Cámara contar con toda la información precisa para formarse un criterio sobre la procedencia de la suspensión de la inmunidad.</w:t>
      </w:r>
    </w:p>
    <w:p w14:paraId="735CBB3F" w14:textId="77777777" w:rsidR="00A8138F" w:rsidRDefault="00A8138F" w:rsidP="00A8138F">
      <w:pPr>
        <w:pStyle w:val="TextoNormal"/>
      </w:pPr>
    </w:p>
    <w:p w14:paraId="60B2D7BD" w14:textId="2CF88E5B" w:rsidR="00A8138F" w:rsidRDefault="00A8138F" w:rsidP="00A8138F">
      <w:pPr>
        <w:pStyle w:val="TextoNormal"/>
      </w:pPr>
      <w:r>
        <w:t>No existe, en fin, lesión de los derechos a la tutela judicial efectiva y a un proceso con todas las garantías (art. 24 CE) por la negativa de la Sala de lo Penal del Tribunal Supremo a plantear ante el Tribunal de Justicia de la Unión Europea las cuestiones prejudiciales que se solicitaron por la recurrente, pues las resoluciones que se impugnan contienen una motivación suficiente de las razones por las que la Sala no tiene dudas sobre la conformidad de la normativa española en que ha basado sus pronunciamientos con la normativa europea que invoca la recurrente, de suerte que esta ha obtenido una respuesta motivada y fundada en Derecho sobre la razón de la negativa al planteamiento de las cuestiones prejudiciales solicitadas.</w:t>
      </w:r>
    </w:p>
    <w:p w14:paraId="2111D750" w14:textId="77777777" w:rsidR="00A8138F" w:rsidRDefault="00A8138F" w:rsidP="00A8138F">
      <w:pPr>
        <w:pStyle w:val="TextoNormal"/>
      </w:pPr>
    </w:p>
    <w:p w14:paraId="28B9E186" w14:textId="7E0D8E85" w:rsidR="00A8138F" w:rsidRDefault="00A8138F" w:rsidP="00A8138F">
      <w:pPr>
        <w:pStyle w:val="TextoNormal"/>
      </w:pPr>
      <w:r w:rsidRPr="00A8138F">
        <w:rPr>
          <w:rStyle w:val="NumeroAFNegritaCaracter"/>
        </w:rPr>
        <w:t>13</w:t>
      </w:r>
      <w:r>
        <w:t>. La representación procesal de la recurrente en amparo no formuló alegaciones.</w:t>
      </w:r>
    </w:p>
    <w:p w14:paraId="42FA55B0" w14:textId="77777777" w:rsidR="00A8138F" w:rsidRDefault="00A8138F" w:rsidP="00A8138F">
      <w:pPr>
        <w:pStyle w:val="TextoNormal"/>
      </w:pPr>
    </w:p>
    <w:p w14:paraId="1DC0AF5F" w14:textId="0414968C" w:rsidR="00A8138F" w:rsidRDefault="00A8138F" w:rsidP="00A8138F">
      <w:pPr>
        <w:pStyle w:val="TextoNormal"/>
      </w:pPr>
      <w:r w:rsidRPr="00A8138F">
        <w:rPr>
          <w:rStyle w:val="NumeroAFNegritaCaracter"/>
        </w:rPr>
        <w:t>14</w:t>
      </w:r>
      <w:r>
        <w:t>. Por providencia de 10 de junio de 2025 se señaló ese mismo día para deliberación y votación de la presente sentencia.</w:t>
      </w:r>
    </w:p>
    <w:p w14:paraId="483123FB" w14:textId="77777777" w:rsidR="00A8138F" w:rsidRDefault="00A8138F" w:rsidP="00A8138F">
      <w:pPr>
        <w:pStyle w:val="TextoNormal"/>
      </w:pPr>
    </w:p>
    <w:p w14:paraId="61DA4B44" w14:textId="77777777" w:rsidR="00A8138F" w:rsidRDefault="00A8138F" w:rsidP="00A8138F">
      <w:pPr>
        <w:pStyle w:val="TextoNormalNegritaCentrado"/>
        <w:keepNext/>
      </w:pPr>
      <w:r>
        <w:t>II. Fundamentos jurídicos</w:t>
      </w:r>
    </w:p>
    <w:p w14:paraId="0DE29D8F" w14:textId="49C33BCF" w:rsidR="00A8138F" w:rsidRDefault="00A8138F" w:rsidP="00A8138F">
      <w:pPr>
        <w:pStyle w:val="TextoNormalNegritaCentrado"/>
        <w:keepNext/>
      </w:pPr>
    </w:p>
    <w:p w14:paraId="52BF0182" w14:textId="77777777" w:rsidR="00A8138F" w:rsidRDefault="00A8138F" w:rsidP="00A8138F">
      <w:pPr>
        <w:pStyle w:val="TextoNormal"/>
      </w:pPr>
      <w:r w:rsidRPr="00A8138F">
        <w:rPr>
          <w:rStyle w:val="NumeroAFNegritaCaracter"/>
        </w:rPr>
        <w:t>1</w:t>
      </w:r>
      <w:r>
        <w:t xml:space="preserve">. </w:t>
      </w:r>
      <w:r w:rsidRPr="00A8138F">
        <w:rPr>
          <w:i/>
        </w:rPr>
        <w:t>Delimitación del objeto del recurso de amparo</w:t>
      </w:r>
    </w:p>
    <w:p w14:paraId="7C3B1231" w14:textId="77777777" w:rsidR="00A8138F" w:rsidRDefault="00A8138F" w:rsidP="00A8138F">
      <w:pPr>
        <w:pStyle w:val="TextoNormal"/>
      </w:pPr>
    </w:p>
    <w:p w14:paraId="0C425394" w14:textId="77777777" w:rsidR="00A8138F" w:rsidRDefault="00A8138F" w:rsidP="00A8138F">
      <w:pPr>
        <w:pStyle w:val="TextoNormal"/>
      </w:pPr>
      <w:r>
        <w:t>El presente recurso de amparo se dirige contra las siguientes resoluciones judiciales, dictadas todas ellas en la causa especial núm. 20907-2017: auto de la Sala de lo Penal del Tribunal Supremo de 11 de marzo de 2021, por el cual se desestima el incidente de nulidad de actuaciones interpuesto contra el auto de la misma Sala de 29 de diciembre de 2020 que, a su vez, desestimó el recurso de apelación interpuesto contra el auto del magistrado instructor de 21 de octubre de 2020, confirmatorio de los autos de 3 y 4 de febrero de 2020, en los que se acordó mantener las órdenes nacional, europea e internacional de detención dictadas contra la recurrente en amparo y emitir suplicatorio respecto de esta al Parlamento Europeo. Quedó así rechazada la pretensión de la recurrente de que se dejaran sin efecto las órdenes de detención que pesaban sobre ella, en consideración a su inmunidad parlamentaria, adquirida al haber sido proclamada diputada electa al Parlamento Europeo el 23 de enero de 2020.</w:t>
      </w:r>
    </w:p>
    <w:p w14:paraId="2A289130" w14:textId="77777777" w:rsidR="00A8138F" w:rsidRDefault="00A8138F" w:rsidP="00A8138F">
      <w:pPr>
        <w:pStyle w:val="TextoNormal"/>
      </w:pPr>
    </w:p>
    <w:p w14:paraId="2DE4A6A2" w14:textId="77777777" w:rsidR="00A8138F" w:rsidRDefault="00A8138F" w:rsidP="00A8138F">
      <w:pPr>
        <w:pStyle w:val="TextoNormal"/>
      </w:pPr>
      <w:r>
        <w:t>La recurrente sostiene que han sido vulnerados sus derechos fundamentales al juez ordinario predeterminado por la ley; al juez imparcial; a la participación política, en relación con la libertad personal y la libertad de circulación; a la igualdad; a la presunción de inocencia, en su dimensión extraprocesal; a la tutela judicial efectiva, en la vertiente de derecho a una resolución motivada; y a un proceso con todas las garantías.</w:t>
      </w:r>
    </w:p>
    <w:p w14:paraId="2AB1F6E6" w14:textId="77777777" w:rsidR="00A8138F" w:rsidRDefault="00A8138F" w:rsidP="00A8138F">
      <w:pPr>
        <w:pStyle w:val="TextoNormal"/>
      </w:pPr>
    </w:p>
    <w:p w14:paraId="19F4EA36" w14:textId="31A6D7BE" w:rsidR="00A8138F" w:rsidRDefault="00A8138F" w:rsidP="00A8138F">
      <w:pPr>
        <w:pStyle w:val="TextoNormal"/>
      </w:pPr>
      <w:r>
        <w:t>Conforme a las razones que han quedado reflejadas en el relato de antecedentes de esta sentencia, el abogado del Estado interesa la inadmisión, o subsidiariamente la desestimación, del presente recurso de amparo; la representación procesal del partido político Vox solicita que sea desestimado; y el Ministerio Fiscal interesa la inadmisión del recurso de amparo en cuanto a las quejas referidas a la vulneración de los derechos al juez predeterminado por la ley y al juez imparcial y la desestimación del recurso en lo restante.</w:t>
      </w:r>
    </w:p>
    <w:p w14:paraId="2B619C9E" w14:textId="77777777" w:rsidR="00A8138F" w:rsidRDefault="00A8138F" w:rsidP="00A8138F">
      <w:pPr>
        <w:pStyle w:val="TextoNormal"/>
      </w:pPr>
    </w:p>
    <w:p w14:paraId="68F13CD2" w14:textId="77777777" w:rsidR="00A8138F" w:rsidRDefault="00A8138F" w:rsidP="00A8138F">
      <w:pPr>
        <w:pStyle w:val="TextoNormal"/>
      </w:pPr>
      <w:r w:rsidRPr="00A8138F">
        <w:rPr>
          <w:rStyle w:val="NumeroAFNegritaCaracter"/>
        </w:rPr>
        <w:t>2</w:t>
      </w:r>
      <w:r>
        <w:t xml:space="preserve">. </w:t>
      </w:r>
      <w:r w:rsidRPr="00A8138F">
        <w:rPr>
          <w:i/>
        </w:rPr>
        <w:t>Sobre la pérdida de objeto del presente recurso de amparo</w:t>
      </w:r>
    </w:p>
    <w:p w14:paraId="556CB739" w14:textId="77777777" w:rsidR="00A8138F" w:rsidRDefault="00A8138F" w:rsidP="00A8138F">
      <w:pPr>
        <w:pStyle w:val="TextoNormal"/>
      </w:pPr>
    </w:p>
    <w:p w14:paraId="7D3B0324" w14:textId="77777777" w:rsidR="00A8138F" w:rsidRDefault="00A8138F" w:rsidP="00A8138F">
      <w:pPr>
        <w:pStyle w:val="TextoNormal"/>
      </w:pPr>
      <w:r>
        <w:t>La satisfacción extraprocesal de las pretensiones formuladas y la desaparición sobrevenida del objeto del proceso, aun cuando no contempladas expresamente en el art. 86.1 LOTC, han sido reiteradamente admitidas por este tribunal como algunas de las formas de terminación de los distintos procesos constitucionales (por todas, SSTC 57/1993, de 15 de febrero, FJ único; 257/2000, de 30 de octubre, FJ 1; 73/2018, de 5 de julio, FJ 2; 120/2021, de 31 de mayo, FJ 2, y 26/2022, de 24 de febrero, FJ único).</w:t>
      </w:r>
    </w:p>
    <w:p w14:paraId="49E9AF03" w14:textId="77777777" w:rsidR="00A8138F" w:rsidRDefault="00A8138F" w:rsidP="00A8138F">
      <w:pPr>
        <w:pStyle w:val="TextoNormal"/>
      </w:pPr>
    </w:p>
    <w:p w14:paraId="2BCAEB9D" w14:textId="77777777" w:rsidR="00A8138F" w:rsidRDefault="00A8138F" w:rsidP="00A8138F">
      <w:pPr>
        <w:pStyle w:val="TextoNormal"/>
      </w:pPr>
      <w:r>
        <w:t>Así se ha apreciado en particular en procesos de amparo, pues, como recuerda la STC 144/2022, de 15 de noviembre, FJ 3, y reiteran, entre otras, las SSTC 62/2024, de 10 de abril, FJ 2, y 64/2024, de 10 de abril, FJ único, “el recurso de amparo es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En tal medida, con carácter general, hemos rechazado las pretensiones puramente declarativas desvinculadas de una lesión actual, real y efectiva del derecho invocado (STC 131/1998, de 16 de junio, FJ 2). Por ello, cuando la pretensión ejercitada dirigida al restablecimiento o la preservación de aquellos derechos se ha visto satisfecha fuera del propio proceso de amparo y la lesión constitucional denunciada no pervive, debe concluirse que este carece desde ese momento de objeto sobre el que deba pronunciarse este tribunal (SSTC 73/2018, de 5 de julio, FJ 2; 52/2019, de 11 de abril, FJ 3, y 161/2020, de 16 de noviembre, FJ único)”.</w:t>
      </w:r>
    </w:p>
    <w:p w14:paraId="623ABFC8" w14:textId="77777777" w:rsidR="00A8138F" w:rsidRDefault="00A8138F" w:rsidP="00A8138F">
      <w:pPr>
        <w:pStyle w:val="TextoNormal"/>
      </w:pPr>
    </w:p>
    <w:p w14:paraId="62B12C00" w14:textId="77777777" w:rsidR="00A8138F" w:rsidRDefault="00A8138F" w:rsidP="00A8138F">
      <w:pPr>
        <w:pStyle w:val="TextoNormal"/>
      </w:pPr>
      <w:r>
        <w:t>Conforme advierte esa misma doctrina constitucional, las circunstancias determinantes de la pérdida de objeto del recurso, ajenas a la actuación de este tribunal, pueden haberse producido ya en el momento de formulación de la demanda de amparo o bien sobrevenir con posterioridad a su iniciación, durante el desarrollo del proceso constitucional de amparo.</w:t>
      </w:r>
    </w:p>
    <w:p w14:paraId="76F89B84" w14:textId="77777777" w:rsidR="00A8138F" w:rsidRDefault="00A8138F" w:rsidP="00A8138F">
      <w:pPr>
        <w:pStyle w:val="TextoNormal"/>
      </w:pPr>
    </w:p>
    <w:p w14:paraId="45BF7CAC" w14:textId="77777777" w:rsidR="00A8138F" w:rsidRDefault="00A8138F" w:rsidP="00A8138F">
      <w:pPr>
        <w:pStyle w:val="TextoNormal"/>
      </w:pPr>
      <w:r>
        <w:t>Según ha quedado expuesto en el relato de antecedentes, la controversia suscitada en este recurso de amparo trae causa de la decisión del magistrado instructor, confirmada por la Sala de lo Penal del Tribunal Supremo, de mantener la orden nacional de búsqueda, detención e ingreso en prisión, así como las órdenes de detención europea e internacional, dictadas contra la recurrente en la causa especial núm. 20907-2017 (en concreto, a partir del auto del magistrado instructor de 4 de noviembre de 2019, por el delito de sedición, atendiendo a lo resuelto en la sentencia dictada en dicha causa por la Sala de lo Penal del Tribunal Supremo el 14 de octubre de 2019), en la que aquella se encontraba procesada y declarada en rebeldía.</w:t>
      </w:r>
    </w:p>
    <w:p w14:paraId="5786D7B0" w14:textId="77777777" w:rsidR="00A8138F" w:rsidRDefault="00A8138F" w:rsidP="00A8138F">
      <w:pPr>
        <w:pStyle w:val="TextoNormal"/>
      </w:pPr>
    </w:p>
    <w:p w14:paraId="714EF542" w14:textId="77777777" w:rsidR="00A8138F" w:rsidRDefault="00A8138F" w:rsidP="00A8138F">
      <w:pPr>
        <w:pStyle w:val="TextoNormal"/>
      </w:pPr>
      <w:r>
        <w:t xml:space="preserve">En efecto, tras ser proclamada diputada electa al Parlamento Europeo el 23 de enero de 2020, la recurrente, invocando la inmunidad parlamentaria </w:t>
      </w:r>
      <w:r w:rsidRPr="00A8138F">
        <w:rPr>
          <w:i/>
        </w:rPr>
        <w:t>ex</w:t>
      </w:r>
      <w:r>
        <w:t xml:space="preserve"> art. 9 del Protocolo núm. 7 del Tratado de funcionamiento de la Unión Europea, sobre los privilegios y las inmunidades de la Unión Europea, había solicitado al magistrado instructor que dejara sin efecto las órdenes nacional, europea e internacional de detención que pesaban sobre ella. La solicitud fue rechazada por el magistrado instructor en su auto de 3 de febrero de 2020, por el que se acuerda mantener esas órdenes. Esa resolución fue inmediatamente seguida del auto de 4 de febrero de 2020, por el que el magistrado instructor acuerda emitir suplicatorio para recabar la suspensión de la inmunidad de la recurrente en su condición de diputada del Parlamento Europeo, y ordena librar respecto de esta las oportunas órdenes nacional, europea e internacional de detención y entrega. Los recursos de reforma presentados contra los referidos autos de 3 y 4 de febrero de 2020 fueron desestimados por el magistrado instructor por auto de 21 de octubre de 2020, contra el que la recurrente interpuso recurso de apelación, desestimado por auto de 29 de diciembre de 2020 de la Sala de lo Penal del Tribunal Supremo; frente a este auto promovió incidente de nulidad, acordando la Sala, por auto de 11 de marzo de 2021, no haber lugar al mismo.</w:t>
      </w:r>
    </w:p>
    <w:p w14:paraId="635B7BA1" w14:textId="77777777" w:rsidR="00A8138F" w:rsidRDefault="00A8138F" w:rsidP="00A8138F">
      <w:pPr>
        <w:pStyle w:val="TextoNormal"/>
      </w:pPr>
    </w:p>
    <w:p w14:paraId="72C54AC1" w14:textId="77777777" w:rsidR="00A8138F" w:rsidRDefault="00A8138F" w:rsidP="00A8138F">
      <w:pPr>
        <w:pStyle w:val="TextoNormal"/>
      </w:pPr>
      <w:r>
        <w:t>El recurso de amparo se dirige contra los referidos autos del magistrado instructor y de la Sala de lo Penal del Tribunal Supremo, a los que la recurrente achaca la vulneración de diversos derechos fundamentales, por mantener las órdenes nacional, europea e internacional de detención que pesaban sobre ella, obviando la inmunidad que adquirió al ser proclamada diputada del Parlamento Europeo.</w:t>
      </w:r>
    </w:p>
    <w:p w14:paraId="2C88CF50" w14:textId="77777777" w:rsidR="00A8138F" w:rsidRDefault="00A8138F" w:rsidP="00A8138F">
      <w:pPr>
        <w:pStyle w:val="TextoNormal"/>
      </w:pPr>
    </w:p>
    <w:p w14:paraId="6A01EC5B" w14:textId="77777777" w:rsidR="00A8138F" w:rsidRDefault="00A8138F" w:rsidP="00A8138F">
      <w:pPr>
        <w:pStyle w:val="TextoNormal"/>
      </w:pPr>
      <w:r>
        <w:t>Sucede, sin embargo, como ha quedado indicado en el relato de antecedentes, que, tras la presentación de la demanda de amparo, han sido dictadas en la causa especial núm. 20907-2017 resoluciones que afectan directamente a la controversia suscitada en este proceso constitucional por la recurrente, cuya inmunidad parlamentaria, por cierto, ya había quedado suspendida por una decisión del Parlamento Europeo de 9 de marzo de 2021 (confirmada por sentencia de 5 de julio de 2023 del Tribunal General de la Unión Europea, asunto T-272/21), habiendo finalmente perdido su condición de eurodiputada al concluir en junio de 2024 la novena legislatura de esa Cámara.</w:t>
      </w:r>
    </w:p>
    <w:p w14:paraId="1D703BAB" w14:textId="77777777" w:rsidR="00A8138F" w:rsidRDefault="00A8138F" w:rsidP="00A8138F">
      <w:pPr>
        <w:pStyle w:val="TextoNormal"/>
      </w:pPr>
    </w:p>
    <w:p w14:paraId="7DEB2E2A" w14:textId="77777777" w:rsidR="00A8138F" w:rsidRDefault="00A8138F" w:rsidP="00A8138F">
      <w:pPr>
        <w:pStyle w:val="TextoNormal"/>
      </w:pPr>
      <w:r>
        <w:t>En efecto, tras entrar en vigor la reforma del Código penal operada por la Ley Orgánica 14/2022, de 22 de diciembre, que derogó el delito de sedición y reformó la regulación de los delitos de desórdenes públicos, el magistrado instructor dictó el auto de 12 de enero de 2023, confirmado en reforma por auto de 21 de marzo de 2023, en el que se entendía que los hechos atribuidos a la recurrente, conforme al Código penal vigente, podían ser constitutivos de un delito de desobediencia (quedando así excluida la consideración de esos hechos como delito de sedición); y, asimismo, acordó ratificar la declaración de la recurrente en situación de rebeldía y ordenó a nivel nacional su detención, al efecto de recibirle declaración indagatoria. Quedaban, en consecuencia, sin efecto, las órdenes de detención europea e internacional que pesaban en su contra.</w:t>
      </w:r>
    </w:p>
    <w:p w14:paraId="20B74868" w14:textId="77777777" w:rsidR="00A8138F" w:rsidRDefault="00A8138F" w:rsidP="00A8138F">
      <w:pPr>
        <w:pStyle w:val="TextoNormal"/>
      </w:pPr>
    </w:p>
    <w:p w14:paraId="0952AB47" w14:textId="77777777" w:rsidR="00A8138F" w:rsidRDefault="00A8138F" w:rsidP="00A8138F">
      <w:pPr>
        <w:pStyle w:val="TextoNormal"/>
      </w:pPr>
      <w:r>
        <w:t>Conocido por la recurrente ese auto, regresó a territorio español, siendo detenida en Barcelona el 28 de marzo de 2023 por la policía autonómica y puesta ese mismo día a disposición judicial, quedando seguidamente en libertad. En la misma fecha se dictó por el magistrado instructor un auto en el que se acordó dejar sin efecto la declaración de rebeldía, así como la orden nacional de detención que pesaba sobre la recurrente en virtud del auto de 12 de enero de 2023; y asimismo se acordó su citación personal para comparecer ante el instructor en la fecha que se indica, a fin de recibírsele declaración indagatoria en calidad de investigada.</w:t>
      </w:r>
    </w:p>
    <w:p w14:paraId="56A63DA1" w14:textId="77777777" w:rsidR="00A8138F" w:rsidRDefault="00A8138F" w:rsidP="00A8138F">
      <w:pPr>
        <w:pStyle w:val="TextoNormal"/>
      </w:pPr>
    </w:p>
    <w:p w14:paraId="480FC9A5" w14:textId="77777777" w:rsidR="00A8138F" w:rsidRDefault="00A8138F" w:rsidP="00A8138F">
      <w:pPr>
        <w:pStyle w:val="TextoNormal"/>
      </w:pPr>
      <w:r>
        <w:t>En suma, tras el auto dictado por el magistrado instructor el 12 de enero de 2023, confirmado por auto de 21 de marzo de 2023, quedaron sin efecto las órdenes de detención europea e internacional dictadas en su día contra la recurrente, y que el auto del magistrado instructor de 3 de febrero de 2020, ratificado por auto de 21 de octubre de 2020 (y luego por la Sala de lo Penal del Tribunal Supremo en los autos de 29 de diciembre de 2020 y 11 de marzo de 2021), había acordado mantener. Posteriormente, en virtud del auto dictado por el magistrado instructor el 28 de marzo de 2023, quedó también sin efecto la orden nacional de detención que pesaba en aquel momento sobre la recurrente (acordada por auto de 12 de enero de 2023, confirmado por auto de 21 de marzo); asimismo, quedó sin efecto la declaración de rebeldía.</w:t>
      </w:r>
    </w:p>
    <w:p w14:paraId="3F027B9B" w14:textId="77777777" w:rsidR="00A8138F" w:rsidRDefault="00A8138F" w:rsidP="00A8138F">
      <w:pPr>
        <w:pStyle w:val="TextoNormal"/>
      </w:pPr>
    </w:p>
    <w:p w14:paraId="63466A18" w14:textId="503CDD4C" w:rsidR="00A8138F" w:rsidRDefault="00A8138F" w:rsidP="00A8138F">
      <w:pPr>
        <w:pStyle w:val="TextoNormal"/>
      </w:pPr>
      <w:r>
        <w:t>Esta circunstancia, acaecida tras la interposición del recurso de amparo, permite apreciar ahora que este recurso de amparo ha decaído por desaparición sobrevenida de objeto. Al haber quedado sin efecto las órdenes de detención nacional, europea e internacional dictadas en su día contra la recurrente en la causa especial núm. 20907-2017, carece de sentido que nos pronunciemos sobre las censuras que aquella dirige a los autos impugnados en amparo, en los que se había decidido mantener aquellas medidas cautelares personales, dictadas en su momento para asegurar la sujeción de la recurrente al proceso penal y que en la actualidad ya no están vigentes.</w:t>
      </w:r>
    </w:p>
    <w:p w14:paraId="5C548DD0" w14:textId="77777777" w:rsidR="00A8138F" w:rsidRDefault="00A8138F" w:rsidP="00A8138F">
      <w:pPr>
        <w:pStyle w:val="TextoNormal"/>
      </w:pPr>
    </w:p>
    <w:p w14:paraId="28DFC4C2" w14:textId="77777777" w:rsidR="00A8138F" w:rsidRDefault="00A8138F" w:rsidP="00A8138F">
      <w:pPr>
        <w:pStyle w:val="TextoNormalCentrado"/>
        <w:keepNext/>
      </w:pPr>
      <w:r>
        <w:t>FALLO</w:t>
      </w:r>
    </w:p>
    <w:p w14:paraId="21B8370E" w14:textId="3324E130" w:rsidR="00A8138F" w:rsidRDefault="00A8138F" w:rsidP="00A8138F">
      <w:pPr>
        <w:pStyle w:val="TextoNormalCentrado"/>
        <w:keepNext/>
      </w:pPr>
    </w:p>
    <w:p w14:paraId="2573D752" w14:textId="047AFFEC" w:rsidR="00A8138F" w:rsidRDefault="00A8138F" w:rsidP="00A8138F">
      <w:pPr>
        <w:pStyle w:val="TextoNormal"/>
      </w:pPr>
      <w:r>
        <w:t>En atención a todo lo expuesto, el Tribunal Constitucional, por la autoridad que le confiere la Constitución de la Nación española, ha decidido declarar la extinción del recurso de amparo interpuesto por doña Clara Ponsatí i Obiols, por pérdida sobrevenida de objeto.</w:t>
      </w:r>
    </w:p>
    <w:p w14:paraId="34647094" w14:textId="77777777" w:rsidR="00A8138F" w:rsidRDefault="00A8138F" w:rsidP="00A8138F">
      <w:pPr>
        <w:pStyle w:val="TextoNormal"/>
      </w:pPr>
    </w:p>
    <w:p w14:paraId="6114783A" w14:textId="77777777" w:rsidR="00A8138F" w:rsidRDefault="00A8138F" w:rsidP="00A8138F">
      <w:pPr>
        <w:pStyle w:val="TextoNormal"/>
      </w:pPr>
      <w:r>
        <w:t>Publíquese esta sentencia en el “Boletín Oficial del Estado”.</w:t>
      </w:r>
    </w:p>
    <w:p w14:paraId="024B94C5" w14:textId="77777777" w:rsidR="00A8138F" w:rsidRDefault="00A8138F" w:rsidP="00A8138F">
      <w:pPr>
        <w:pStyle w:val="TextoNormal"/>
      </w:pPr>
      <w:r>
        <w:t>Dada en Madrid, a diez de junio de dos mil veinticinco.</w:t>
      </w:r>
    </w:p>
    <w:p w14:paraId="41BBB496" w14:textId="590BBD5A" w:rsidR="00A8138F" w:rsidRDefault="00A8138F">
      <w:pPr>
        <w:spacing w:after="160" w:line="278" w:lineRule="auto"/>
        <w:rPr>
          <w:rFonts w:ascii="Times New Roman" w:eastAsia="Times New Roman" w:hAnsi="Times New Roman" w:cs="Times New Roman"/>
          <w:sz w:val="24"/>
          <w:szCs w:val="24"/>
          <w:lang w:eastAsia="es-ES"/>
        </w:rPr>
      </w:pPr>
      <w:r>
        <w:br w:type="page"/>
      </w:r>
    </w:p>
    <w:p w14:paraId="02723ADA" w14:textId="77777777" w:rsidR="00A8138F" w:rsidRDefault="00A8138F" w:rsidP="00A8138F">
      <w:pPr>
        <w:pStyle w:val="TtuloResolucin"/>
      </w:pPr>
      <w:bookmarkStart w:id="135" w:name="SENTENCIA_2025_133"/>
      <w:r>
        <w:t>SENTENCIA 133/2025, de 10 de junio de 2025</w:t>
      </w:r>
    </w:p>
    <w:bookmarkEnd w:id="135"/>
    <w:p w14:paraId="39247199" w14:textId="77777777" w:rsidR="00A8138F" w:rsidRDefault="00A8138F" w:rsidP="00A8138F">
      <w:pPr>
        <w:pStyle w:val="TtuloResolucin"/>
      </w:pPr>
      <w:r>
        <w:t>Pleno</w:t>
      </w:r>
    </w:p>
    <w:p w14:paraId="3E84AB00" w14:textId="77777777" w:rsidR="00A8138F" w:rsidRDefault="00A8138F" w:rsidP="00A8138F">
      <w:pPr>
        <w:pStyle w:val="TtuloBOE"/>
      </w:pPr>
      <w:r>
        <w:t>(BOE núm. 168, de 14 de julio de 2025)</w:t>
      </w:r>
    </w:p>
    <w:p w14:paraId="41D15DE1" w14:textId="77777777" w:rsidR="00A8138F" w:rsidRDefault="00A8138F" w:rsidP="00A8138F">
      <w:pPr>
        <w:pStyle w:val="TextoNormalCentrado"/>
      </w:pPr>
      <w:r>
        <w:t>ECLI:ES:TC:2025:133</w:t>
      </w:r>
    </w:p>
    <w:p w14:paraId="73F8A777" w14:textId="253D757F" w:rsidR="00A8138F" w:rsidRDefault="00A8138F" w:rsidP="00A8138F">
      <w:pPr>
        <w:pStyle w:val="TextoNormalCentrado"/>
      </w:pPr>
    </w:p>
    <w:p w14:paraId="747E8324" w14:textId="77777777" w:rsidR="00A8138F" w:rsidRDefault="00A8138F" w:rsidP="00A8138F">
      <w:pPr>
        <w:pStyle w:val="SntesisDescriptiva"/>
      </w:pPr>
      <w:r>
        <w:t>Recurso de inconstitucionalidad 6174-2021. Interpuesto por más de cincuenta diputados del Grupo Parlamentario Vox en el Congreso en relación con diversos preceptos de la Ley del Parlamento Vasco 2/2021, de 24 de junio, de medidas para la gestión de la pandemia de covid-19.</w:t>
      </w:r>
    </w:p>
    <w:p w14:paraId="249F7DB6" w14:textId="2C0FC828" w:rsidR="00A8138F" w:rsidRDefault="00A8138F" w:rsidP="00A8138F">
      <w:pPr>
        <w:pStyle w:val="SntesisDescriptiva"/>
      </w:pPr>
    </w:p>
    <w:p w14:paraId="7A184755" w14:textId="77777777" w:rsidR="00A8138F" w:rsidRDefault="00A8138F" w:rsidP="00A8138F">
      <w:pPr>
        <w:pStyle w:val="SntesisAnaltica"/>
      </w:pPr>
      <w:r>
        <w:t>Alcance de la reserva de ley orgánica: nulidad de los preceptos que habilitan a los órganos autonómicos la adopción de medidas preventivas y tipifican infracciones en materia de salud pública (STC 136/2024); extensión, por conexión o consecuencia, de la declaración de nulidad a otros preceptos de la misma ley autonómica.</w:t>
      </w:r>
    </w:p>
    <w:p w14:paraId="2826DFCD" w14:textId="0A765E9C" w:rsidR="00A8138F" w:rsidRDefault="00A8138F" w:rsidP="00A8138F">
      <w:pPr>
        <w:pStyle w:val="SntesisAnaltica"/>
      </w:pPr>
    </w:p>
    <w:p w14:paraId="6061F672" w14:textId="70B35FE0" w:rsidR="00A8138F" w:rsidRDefault="00A8138F" w:rsidP="00A8138F">
      <w:pPr>
        <w:pStyle w:val="Extracto"/>
      </w:pPr>
      <w:r>
        <w:t>1.</w:t>
      </w:r>
      <w:r>
        <w:tab/>
        <w:t>La regulación de la vacunación incide, con carácter general y sin necesidad de que conlleve riesgos especiales para la salud, en el derecho a la integridad personal del art. 15 CE en su dimensión positiva, que implica la facultad de oposición a la asistencia médica, en ejercicio de un derecho de autodeterminación que tiene por objeto el propio sustrato corporal, como distinto del derecho a la salud o a la vida (SSTC 154/2002 o 136/2024) [FJ 3].</w:t>
      </w:r>
    </w:p>
    <w:p w14:paraId="2F94E333" w14:textId="77777777" w:rsidR="00A8138F" w:rsidRDefault="00A8138F" w:rsidP="00A8138F">
      <w:pPr>
        <w:pStyle w:val="Extracto"/>
      </w:pPr>
    </w:p>
    <w:p w14:paraId="20E906E2" w14:textId="44E47ADE" w:rsidR="00A8138F" w:rsidRDefault="00A8138F" w:rsidP="00A8138F">
      <w:pPr>
        <w:pStyle w:val="Extracto"/>
      </w:pPr>
      <w:r>
        <w:t>2.</w:t>
      </w:r>
      <w:r>
        <w:tab/>
        <w:t>Los términos “confinamiento”, “obligación de aislamiento”, “obligación de cuarentena”, “restricción de la movilidad nocturna”, “limitación de la libertad de circulación”, “restricciones de movilidad del territorio” o “restricciones de movilidad interna”, implementadas por la Administración pública no están necesariamente supeditadas a la prestación de consentimiento. Las facultades de autodeterminación características de los arts. 15, 17, 18.1, 19 y 21.1 CE quedan, con ello, potencialmente excluidas, lo que supone que el alcance material de estos derechos fundamentales resulta legalmente restringido o limitado (SSTC 136/2024 o 95/2025). Dichas medidas son coactivas (SSTC 136/2024 o 95/2025) [FJ 3].</w:t>
      </w:r>
    </w:p>
    <w:p w14:paraId="1C71781D" w14:textId="77777777" w:rsidR="00A8138F" w:rsidRDefault="00A8138F" w:rsidP="00A8138F">
      <w:pPr>
        <w:pStyle w:val="Extracto"/>
      </w:pPr>
    </w:p>
    <w:p w14:paraId="1D3C9BAA" w14:textId="7F5B4547" w:rsidR="00A8138F" w:rsidRDefault="00A8138F" w:rsidP="00A8138F">
      <w:pPr>
        <w:pStyle w:val="Extracto"/>
      </w:pPr>
      <w:r>
        <w:t>3.</w:t>
      </w:r>
      <w:r>
        <w:tab/>
        <w:t>La consideración de “medidas coactivas” alcanza a las pruebas diagnósticas, vacunación y cribados pues, aunque no se configuran formalmente como obligatorias, quien las rechace debe afrontar una serie de consecuencias adversas, como la imposibilidad de llevar a cabo su trabajo o actividad, o verse sometido a restricciones personalizadas (SSTC 136/2024 y 95/2025) [FJ 3].</w:t>
      </w:r>
    </w:p>
    <w:p w14:paraId="5075CDBB" w14:textId="77777777" w:rsidR="00A8138F" w:rsidRDefault="00A8138F" w:rsidP="00A8138F">
      <w:pPr>
        <w:pStyle w:val="Extracto"/>
      </w:pPr>
    </w:p>
    <w:p w14:paraId="22F16A39" w14:textId="5CE1394F" w:rsidR="00A8138F" w:rsidRDefault="00A8138F" w:rsidP="00A8138F">
      <w:pPr>
        <w:pStyle w:val="Extracto"/>
      </w:pPr>
      <w:r>
        <w:t>4.</w:t>
      </w:r>
      <w:r>
        <w:tab/>
        <w:t>La articulación de medidas de intervención como restrictivas de los derechos fundamentales reconocidos en los arts. 15, 17, 18.1, 19 y 21.1 CE, las sitúa ante un ámbito normativo reservado por la Constitución al legislador orgánico; por lo que los preceptos que regulen tales medidas a través de ley ordinaria infringen el art. 81.1 CE y resultan inconstitucionales y nulos. No como reproche formulado a su contenido, sino por vulnerar el sistema constitucional de fuentes del derecho (STC 136/2024) [FJ 3].</w:t>
      </w:r>
    </w:p>
    <w:p w14:paraId="5B548C13" w14:textId="77777777" w:rsidR="00A8138F" w:rsidRDefault="00A8138F" w:rsidP="00A8138F">
      <w:pPr>
        <w:pStyle w:val="Extracto"/>
      </w:pPr>
    </w:p>
    <w:p w14:paraId="5BCA00E1" w14:textId="3A743EBD" w:rsidR="00A8138F" w:rsidRDefault="00A8138F" w:rsidP="00A8138F">
      <w:pPr>
        <w:pStyle w:val="Extracto"/>
      </w:pPr>
      <w:r>
        <w:t>5.</w:t>
      </w:r>
      <w:r>
        <w:tab/>
        <w:t>El derecho fundamental a la libertad de empresa que reconoce el art. 38 CE ampara el iniciar y sostener en libertad la actividad empresarial (SSTC 8/1984 o148/2021). La limitación temporal de este derecho en una norma legal constriñe el libre mantenimiento de la actividad empresarial; sin embargo, tal limitación se encuentra amparada en la promoción de un objetivo constitucionalmente legítimo, como es la preservación y defensa de la salud, si se convierte en una medida idónea y necesaria para frenar la expansión de los contagios y revertir sus daños [FJ 4].</w:t>
      </w:r>
    </w:p>
    <w:p w14:paraId="0DECD295" w14:textId="77777777" w:rsidR="00A8138F" w:rsidRDefault="00A8138F" w:rsidP="00A8138F">
      <w:pPr>
        <w:pStyle w:val="Extracto"/>
      </w:pPr>
    </w:p>
    <w:p w14:paraId="1DB75AEC" w14:textId="77777777" w:rsidR="00A8138F" w:rsidRDefault="00A8138F" w:rsidP="00A8138F">
      <w:pPr>
        <w:pStyle w:val="Extracto"/>
      </w:pPr>
    </w:p>
    <w:p w14:paraId="42F7AE11"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79EB3895" w14:textId="5F7C69E7" w:rsidR="00A8138F" w:rsidRDefault="00A8138F" w:rsidP="00A8138F">
      <w:pPr>
        <w:pStyle w:val="TextoNormal"/>
      </w:pPr>
    </w:p>
    <w:p w14:paraId="6C28C4C2" w14:textId="77777777" w:rsidR="00A8138F" w:rsidRDefault="00A8138F" w:rsidP="00A8138F">
      <w:pPr>
        <w:pStyle w:val="TextoNormalCentrado"/>
        <w:keepNext/>
      </w:pPr>
      <w:r>
        <w:t>EN NOMBRE DEL REY</w:t>
      </w:r>
    </w:p>
    <w:p w14:paraId="10EFAD66" w14:textId="55DBCBDD" w:rsidR="00A8138F" w:rsidRDefault="00A8138F" w:rsidP="00A8138F">
      <w:pPr>
        <w:pStyle w:val="TextoNormalCentrado"/>
        <w:keepNext/>
      </w:pPr>
    </w:p>
    <w:p w14:paraId="77EE3D19" w14:textId="77777777" w:rsidR="00A8138F" w:rsidRDefault="00A8138F" w:rsidP="00A8138F">
      <w:pPr>
        <w:pStyle w:val="TextoNormalCentrado"/>
        <w:keepNext/>
      </w:pPr>
    </w:p>
    <w:p w14:paraId="55E83CCF" w14:textId="77777777" w:rsidR="00A8138F" w:rsidRDefault="00A8138F" w:rsidP="00A8138F">
      <w:pPr>
        <w:pStyle w:val="TextoNormal"/>
      </w:pPr>
      <w:r>
        <w:t>la siguiente</w:t>
      </w:r>
    </w:p>
    <w:p w14:paraId="668A40B9" w14:textId="60E1EA59" w:rsidR="00A8138F" w:rsidRDefault="00A8138F" w:rsidP="00A8138F">
      <w:pPr>
        <w:pStyle w:val="TextoNormal"/>
      </w:pPr>
    </w:p>
    <w:p w14:paraId="1EA2447A" w14:textId="77777777" w:rsidR="00A8138F" w:rsidRDefault="00A8138F" w:rsidP="00A8138F">
      <w:pPr>
        <w:pStyle w:val="TextoNormalCentrado"/>
        <w:keepNext/>
      </w:pPr>
      <w:r>
        <w:t>SENTENCIA</w:t>
      </w:r>
    </w:p>
    <w:p w14:paraId="57CC6F04" w14:textId="58CBD474" w:rsidR="00A8138F" w:rsidRDefault="00A8138F" w:rsidP="00A8138F">
      <w:pPr>
        <w:pStyle w:val="TextoNormalCentrado"/>
        <w:keepNext/>
      </w:pPr>
    </w:p>
    <w:p w14:paraId="62AC5F3E" w14:textId="77777777" w:rsidR="00A8138F" w:rsidRDefault="00A8138F" w:rsidP="00A8138F">
      <w:pPr>
        <w:pStyle w:val="TextoNormal"/>
      </w:pPr>
      <w:r>
        <w:t>En el recurso de inconstitucionalidad núm. 6174-2021, promovido por cincuenta y dos diputados del Grupo Parlamentario Vox en el Congreso de los Diputados contra los arts. 1 a), 2, 4, 8.1, 11.1, 14.3, 15.2, 19.3, 23.1, 24.3 y 4, 26.1 y 3, 30.1, 32.1, 33.2, 34.1 a) y b) y 36.2 a), b) y c) de la Ley del Parlamento Vasco 2/2021, de 24 de junio, de medidas para la gestión de la pandemia de covid-19. Han comparecido el Congreso de los Diputados, el Senado, el abogado del Estado, el Gobierno Vasco y el Parlamento Vasco. Han formulado alegaciones los dos últimos. Ha sido ponente la magistrada doña María Luisa Segoviano Astaburuaga.</w:t>
      </w:r>
    </w:p>
    <w:p w14:paraId="7D1B01C1" w14:textId="2573B325" w:rsidR="00A8138F" w:rsidRDefault="00A8138F" w:rsidP="00A8138F">
      <w:pPr>
        <w:pStyle w:val="TextoNormal"/>
      </w:pPr>
    </w:p>
    <w:p w14:paraId="5FF18066" w14:textId="77777777" w:rsidR="00A8138F" w:rsidRDefault="00A8138F" w:rsidP="00A8138F">
      <w:pPr>
        <w:pStyle w:val="TextoNormalNegritaCentrado"/>
        <w:keepNext/>
      </w:pPr>
      <w:r>
        <w:t>I. Antecedentes</w:t>
      </w:r>
    </w:p>
    <w:p w14:paraId="7A574B45" w14:textId="01EF99F2" w:rsidR="00A8138F" w:rsidRDefault="00A8138F" w:rsidP="00A8138F">
      <w:pPr>
        <w:pStyle w:val="TextoNormalNegritaCentrado"/>
        <w:keepNext/>
      </w:pPr>
    </w:p>
    <w:p w14:paraId="5C6E89BB" w14:textId="61E9B630" w:rsidR="00A8138F" w:rsidRDefault="00A8138F" w:rsidP="00A8138F">
      <w:pPr>
        <w:pStyle w:val="TextoNormal"/>
      </w:pPr>
      <w:r w:rsidRPr="00A8138F">
        <w:rPr>
          <w:rStyle w:val="NumeroAFNegritaCaracter"/>
        </w:rPr>
        <w:t>1</w:t>
      </w:r>
      <w:r>
        <w:t>. Mediante un escrito presentado en el registro de este tribunal el día 30 de septiembre de 2021, don Antonio Ortega Fuentes, procurador de los tribunales, actuando en nombre y representación de cincuenta y dos diputados del Grupo Parlamentario Vox en el Congreso de los Diputados, interpuso un recurso de inconstitucionalidad contra los preceptos de la Ley del Parlamento Vasco 2/2021, de 24 de junio, de medidas para la gestión de la pandemia de covid-19 (en adelante, Ley 2/2021) que se citan en el encabezamiento.</w:t>
      </w:r>
    </w:p>
    <w:p w14:paraId="2426B4B4" w14:textId="77777777" w:rsidR="00A8138F" w:rsidRDefault="00A8138F" w:rsidP="00A8138F">
      <w:pPr>
        <w:pStyle w:val="TextoNormal"/>
      </w:pPr>
    </w:p>
    <w:p w14:paraId="6ECBA06A" w14:textId="77777777" w:rsidR="00A8138F" w:rsidRDefault="00A8138F" w:rsidP="00A8138F">
      <w:pPr>
        <w:pStyle w:val="TextoNormal"/>
      </w:pPr>
      <w:r w:rsidRPr="00A8138F">
        <w:rPr>
          <w:rStyle w:val="NumeroAFNegritaCaracter"/>
        </w:rPr>
        <w:t>2</w:t>
      </w:r>
      <w:r>
        <w:t>. El contenido del recurso puede sintetizarse como sigue:</w:t>
      </w:r>
    </w:p>
    <w:p w14:paraId="6DFCB6D9" w14:textId="77777777" w:rsidR="00A8138F" w:rsidRDefault="00A8138F" w:rsidP="00A8138F">
      <w:pPr>
        <w:pStyle w:val="TextoNormal"/>
      </w:pPr>
    </w:p>
    <w:p w14:paraId="1B7F73F5" w14:textId="77777777" w:rsidR="00A8138F" w:rsidRDefault="00A8138F" w:rsidP="00A8138F">
      <w:pPr>
        <w:pStyle w:val="TextoNormal"/>
      </w:pPr>
      <w:r>
        <w:t>a) En primer lugar, la demanda indica que el recurso de inconstitucionalidad es similar a los interpuestos por los mismos diputados contra la legislación de medidas sanitarias para la gestión de la pandemia del covid-19 de otras comunidades autónomas.</w:t>
      </w:r>
    </w:p>
    <w:p w14:paraId="4EB8827E" w14:textId="77777777" w:rsidR="00A8138F" w:rsidRDefault="00A8138F" w:rsidP="00A8138F">
      <w:pPr>
        <w:pStyle w:val="TextoNormal"/>
      </w:pPr>
    </w:p>
    <w:p w14:paraId="2C580C05" w14:textId="77777777" w:rsidR="00A8138F" w:rsidRDefault="00A8138F" w:rsidP="00A8138F">
      <w:pPr>
        <w:pStyle w:val="TextoNormal"/>
      </w:pPr>
      <w:r>
        <w:t>A continuación, expone el marco jurídico aplicable, contenido en la Ley Orgánica 3/1986, de 14 de abril, de medidas especiales en materia de salud pública; la Ley 14/1986, de 25 de abril, general de sanidad; y la Ley 33/2011, de 4 de octubre, general de salud pública. Asimismo, cita la STC 148/2021, de 14 de julio, relativa al primer estado de alarma causado por la pandemia del covid-19, y el dictamen 213/2021 del Consejo de Estado, emitido sobre la impugnación de la Ley del Parlamento de Galicia 8/2021, de 25 de febrero.</w:t>
      </w:r>
    </w:p>
    <w:p w14:paraId="35ADEF0A" w14:textId="77777777" w:rsidR="00A8138F" w:rsidRDefault="00A8138F" w:rsidP="00A8138F">
      <w:pPr>
        <w:pStyle w:val="TextoNormal"/>
      </w:pPr>
    </w:p>
    <w:p w14:paraId="6C8F9DAB" w14:textId="77777777" w:rsidR="00A8138F" w:rsidRDefault="00A8138F" w:rsidP="00A8138F">
      <w:pPr>
        <w:pStyle w:val="TextoNormal"/>
      </w:pPr>
      <w:r>
        <w:t>Los motivos de inconstitucionalidad que se articulan contra los preceptos de la Ley 2/2021 son los siguientes:</w:t>
      </w:r>
    </w:p>
    <w:p w14:paraId="1625D999" w14:textId="77777777" w:rsidR="00A8138F" w:rsidRDefault="00A8138F" w:rsidP="00A8138F">
      <w:pPr>
        <w:pStyle w:val="TextoNormal"/>
      </w:pPr>
    </w:p>
    <w:p w14:paraId="5C817804" w14:textId="77777777" w:rsidR="00A8138F" w:rsidRDefault="00A8138F" w:rsidP="00A8138F">
      <w:pPr>
        <w:pStyle w:val="TextoNormal"/>
      </w:pPr>
      <w:r>
        <w:t>b) Los arts. 1 a), 2, 4, 8.1, 11.1 y 19.3 de la Ley regulan un estado de excepción fuera del marco constitucional, por lo que vulneran los arts. 116 y 55.1 CE.</w:t>
      </w:r>
    </w:p>
    <w:p w14:paraId="2DD607B6" w14:textId="77777777" w:rsidR="00A8138F" w:rsidRDefault="00A8138F" w:rsidP="00A8138F">
      <w:pPr>
        <w:pStyle w:val="TextoNormal"/>
      </w:pPr>
    </w:p>
    <w:p w14:paraId="5D5EA95A" w14:textId="77777777" w:rsidR="00A8138F" w:rsidRDefault="00A8138F" w:rsidP="00A8138F">
      <w:pPr>
        <w:pStyle w:val="TextoNormal"/>
      </w:pPr>
      <w:r>
        <w:t>Los recurrentes argumentan que la Ley 2/2021 establece, a través de los preceptos citados, sus propias medidas restrictivas de derechos fundamentales. En concreto, la Ley concibe un instrumento normativo análogo a la Ley Orgánica a la que se remite el art. 116.1 CE [Ley Orgánica 4/1981, de 1 de junio, de los estados de alarma, excepción y sitio (LOAES)]. Dichos preceptos crean una situación de emergencia que se mantiene mientras el indicador epidemiológico de la comunidad autónoma esté en nivel 1, aunque no se encuentre en vigor ninguno de los estados excepcionales del art. 116 CE.</w:t>
      </w:r>
    </w:p>
    <w:p w14:paraId="278831AF" w14:textId="77777777" w:rsidR="00A8138F" w:rsidRDefault="00A8138F" w:rsidP="00A8138F">
      <w:pPr>
        <w:pStyle w:val="TextoNormal"/>
      </w:pPr>
    </w:p>
    <w:p w14:paraId="5610C3CF" w14:textId="77777777" w:rsidR="00A8138F" w:rsidRDefault="00A8138F" w:rsidP="00A8138F">
      <w:pPr>
        <w:pStyle w:val="TextoNormal"/>
      </w:pPr>
      <w:r>
        <w:t>En esta línea, se faculta al presidente de la Comunidad Autónoma del País Vasco (Lehendakari) para suspender o limitar ciertos derechos fundamentales, asumiendo una potestad de dirección única de forma análoga a como se hizo en el Real Decreto 926/2020, de 25 de octubre, con las denominadas “autoridades autonómicas delegadas” en el segundo estado de alarma de la pandemia. Asimismo, se introduce la figura de las autoridades delegadas, sin que el legislador autonómico esté habilitado para hacerlo, pues el art. 116 CE y la LOAES reservan a los poderes estatales la declaración de los distintos estados de excepcionalidad constitucional y la determinación de su ámbito de aplicación y efectos.</w:t>
      </w:r>
    </w:p>
    <w:p w14:paraId="6DAE5577" w14:textId="77777777" w:rsidR="00A8138F" w:rsidRDefault="00A8138F" w:rsidP="00A8138F">
      <w:pPr>
        <w:pStyle w:val="TextoNormal"/>
      </w:pPr>
    </w:p>
    <w:p w14:paraId="316BACC6" w14:textId="77777777" w:rsidR="00A8138F" w:rsidRDefault="00A8138F" w:rsidP="00A8138F">
      <w:pPr>
        <w:pStyle w:val="TextoNormal"/>
      </w:pPr>
      <w:r>
        <w:t>Por su parte, el art. 19.3, al facultar la suspensión de “la apertura de cualquier establecimiento o la realización de cualquier actividad que pueda suponer un riesgo de contagio” mediante orden del titular del departamento competente en materia de salud, resulta contrario al art. 38 CE. De acuerdo con la doctrina sentada en la STC 148/2021, FJ 9, esto supone una constricción intensísima del libre mantenimiento de la actividad empresarial, adoptada fuera de los estados del art. 116 CE.</w:t>
      </w:r>
    </w:p>
    <w:p w14:paraId="68FA9312" w14:textId="77777777" w:rsidR="00A8138F" w:rsidRDefault="00A8138F" w:rsidP="00A8138F">
      <w:pPr>
        <w:pStyle w:val="TextoNormal"/>
      </w:pPr>
    </w:p>
    <w:p w14:paraId="73A395EC" w14:textId="77777777" w:rsidR="00A8138F" w:rsidRDefault="00A8138F" w:rsidP="00A8138F">
      <w:pPr>
        <w:pStyle w:val="TextoNormal"/>
      </w:pPr>
      <w:r>
        <w:t>c) Los arts. 14.3, 15.2, 23.1, 24.3 y 4, 26.1 y 3, 30.1, 32.1, 33.2, 34.1 a) y b) y 36.2 a), b) y c) de la Ley vulneran el contenido esencial (art. 53.1 CE) de los derechos fundamentales reconocidos en los arts. 15, 17.1, 18.1, 19 y 21 CE e infringen, asimismo, los arts. 24 y 25.1 CE.</w:t>
      </w:r>
    </w:p>
    <w:p w14:paraId="64ED6FC3" w14:textId="77777777" w:rsidR="00A8138F" w:rsidRDefault="00A8138F" w:rsidP="00A8138F">
      <w:pPr>
        <w:pStyle w:val="TextoNormal"/>
      </w:pPr>
    </w:p>
    <w:p w14:paraId="797CE4D8" w14:textId="77777777" w:rsidR="00A8138F" w:rsidRDefault="00A8138F" w:rsidP="00A8138F">
      <w:pPr>
        <w:pStyle w:val="TextoNormal"/>
      </w:pPr>
      <w:r>
        <w:t>En concreto, los arts. 23.1 (aislamientos y cuarentenas personales) y 34.1 b) (confinamientos individuales y colectivos) vulneran el derecho a la libertad personal del art. 17 CE. La privación del derecho citado no queda sanada por la ratificación judicial a que se refiere el art. 24.1 de la Ley, dado que el art. 24.4 prevé una amplísima excepción a dicha ratificación y el art. 24.3 establece una intolerable presunción favorable a las limitaciones de derechos fundamentales.</w:t>
      </w:r>
    </w:p>
    <w:p w14:paraId="690FECC7" w14:textId="77777777" w:rsidR="00A8138F" w:rsidRDefault="00A8138F" w:rsidP="00A8138F">
      <w:pPr>
        <w:pStyle w:val="TextoNormal"/>
      </w:pPr>
    </w:p>
    <w:p w14:paraId="72B95CA2" w14:textId="77777777" w:rsidR="00A8138F" w:rsidRDefault="00A8138F" w:rsidP="00A8138F">
      <w:pPr>
        <w:pStyle w:val="TextoNormal"/>
      </w:pPr>
      <w:r>
        <w:t>Por su parte, los arts. 26.1, 30.1 a) y b), 32.1 a) y 34.1 a) atentan contra la libertad de circulación reconocida en el art. 19 CE, al disponer medidas restrictivas de la movilidad en atención a los distintos niveles de alerta.</w:t>
      </w:r>
    </w:p>
    <w:p w14:paraId="105F746C" w14:textId="77777777" w:rsidR="00A8138F" w:rsidRDefault="00A8138F" w:rsidP="00A8138F">
      <w:pPr>
        <w:pStyle w:val="TextoNormal"/>
      </w:pPr>
    </w:p>
    <w:p w14:paraId="5DFF9BF3" w14:textId="77777777" w:rsidR="00A8138F" w:rsidRDefault="00A8138F" w:rsidP="00A8138F">
      <w:pPr>
        <w:pStyle w:val="TextoNormal"/>
      </w:pPr>
      <w:r>
        <w:t>Los arts. 26.3, 30.1 c), 32.1 b) y 33.2 lesionan el derecho de reunión protegido por el juego combinado de los arts. 21.1 y 18 CE, al prohibir las reuniones privadas “en espacios públicos o privados”. En apoyo de esta denuncia citan la STC 148/2021, FJ 5.</w:t>
      </w:r>
    </w:p>
    <w:p w14:paraId="75D8246D" w14:textId="77777777" w:rsidR="00A8138F" w:rsidRDefault="00A8138F" w:rsidP="00A8138F">
      <w:pPr>
        <w:pStyle w:val="TextoNormal"/>
      </w:pPr>
    </w:p>
    <w:p w14:paraId="4EB027B1" w14:textId="77777777" w:rsidR="00A8138F" w:rsidRDefault="00A8138F" w:rsidP="00A8138F">
      <w:pPr>
        <w:pStyle w:val="TextoNormal"/>
      </w:pPr>
      <w:r>
        <w:t>Los arts. 14.3 y 15.2 infringen los arts. 15 y 18.1 CE ya que la imposición de medidas profilácticas, tales como pruebas diagnósticas, vacunación, tests aleatorios y cribados vulneran el derecho a la integridad física y a la vida privada. Los preceptos indicados, además, prevén consecuencias de verdadero carácter punitivo —la imposibilidad de llevar a cabo el correspondiente trabajo o actividad de que se trate, o el establecimiento de restricciones u obligaciones personalizadas— para quienes no consientan someterse a las referidas medidas, lo que se efectúa sin ningún tipo de garantía procedimental. Por esto último, también contravienen los arts. 24 y 25.1 CE.</w:t>
      </w:r>
    </w:p>
    <w:p w14:paraId="4085A10F" w14:textId="77777777" w:rsidR="00A8138F" w:rsidRDefault="00A8138F" w:rsidP="00A8138F">
      <w:pPr>
        <w:pStyle w:val="TextoNormal"/>
      </w:pPr>
    </w:p>
    <w:p w14:paraId="275886CC" w14:textId="77777777" w:rsidR="00A8138F" w:rsidRDefault="00A8138F" w:rsidP="00A8138F">
      <w:pPr>
        <w:pStyle w:val="TextoNormal"/>
      </w:pPr>
      <w:r>
        <w:t>Los recurrentes sostienen en este punto que la afectación a los derechos fundamentales referidos queda agravada por dos razones. La primera es que, según el art. 24.4 de la Ley, no será necesaria la ratificación judicial “de las medidas generales aplicables por mandato de esta ley a cada uno de los niveles de alerta previstos”, de tal modo que todas las medidas previstas en los preceptos que suponen injerencias en derechos fundamentales se adoptan por la autoridad autonómica sin autorización judicial; la segunda es el régimen especial de medidas cautelares en el ámbito sancionador, que se recoge en el art. 36.2 a), b) y c) de la Ley, estableciendo una serie de presunciones que eluden la jurisprudencia constitucional relativa a la exigencia de proporcionalidad de las medidas restrictivas de derechos fundamentales.</w:t>
      </w:r>
    </w:p>
    <w:p w14:paraId="253711BA" w14:textId="77777777" w:rsidR="00A8138F" w:rsidRDefault="00A8138F" w:rsidP="00A8138F">
      <w:pPr>
        <w:pStyle w:val="TextoNormal"/>
      </w:pPr>
    </w:p>
    <w:p w14:paraId="62AD36DE" w14:textId="77777777" w:rsidR="00A8138F" w:rsidRDefault="00A8138F" w:rsidP="00A8138F">
      <w:pPr>
        <w:pStyle w:val="TextoNormal"/>
      </w:pPr>
      <w:r>
        <w:t>d) Asimismo, los artículos de la Ley 2/2021 enumerados en el apartado anterior vulneran la reserva de ley orgánica para el desarrollo de los derechos fundamentales y libertades públicas afectados, en relación con los arts. 15, 17.1, 18.1, 19 y 21 CE.</w:t>
      </w:r>
    </w:p>
    <w:p w14:paraId="7D25800C" w14:textId="77777777" w:rsidR="00A8138F" w:rsidRDefault="00A8138F" w:rsidP="00A8138F">
      <w:pPr>
        <w:pStyle w:val="TextoNormal"/>
      </w:pPr>
    </w:p>
    <w:p w14:paraId="5841A4F9" w14:textId="77777777" w:rsidR="00A8138F" w:rsidRDefault="00A8138F" w:rsidP="00A8138F">
      <w:pPr>
        <w:pStyle w:val="TextoNormal"/>
      </w:pPr>
      <w:r>
        <w:t xml:space="preserve">A juicio de los recurrentes, para el caso de no apreciarse que los indicados preceptos vulneran el contenido esencial de los derechos fundamentales invocados, debe recordarse que, en cualquier caso, la fijación de límites al ejercicio de tales derechos está constitucionalmente reservada al legislador orgánico </w:t>
      </w:r>
      <w:r w:rsidRPr="00A8138F">
        <w:rPr>
          <w:i/>
        </w:rPr>
        <w:t>ex</w:t>
      </w:r>
      <w:r>
        <w:t xml:space="preserve"> art. 81.1 CE. Se argumenta que las medidas contenidas en los preceptos impugnados se encuentran intensamente vinculadas con el desarrollo de los derechos fundamentales reconocidos en los arts. 15, 17, 19 y 21 CE, de manera que el legislador autonómico ha venido a desarrollar autónomamente la Ley Orgánica 3/1986. Esto vulnera la garantía que representa la ley orgánica para tales derechos fundamentales, pues ignora, conforme a la jurisprudencia constitucional, que la colaboración internormativa de la ley ordinaria solo cabe si lo prevé la ley orgánica.</w:t>
      </w:r>
    </w:p>
    <w:p w14:paraId="0DB229B2" w14:textId="77777777" w:rsidR="00A8138F" w:rsidRDefault="00A8138F" w:rsidP="00A8138F">
      <w:pPr>
        <w:pStyle w:val="TextoNormal"/>
      </w:pPr>
    </w:p>
    <w:p w14:paraId="7974A8ED" w14:textId="77777777" w:rsidR="00A8138F" w:rsidRDefault="00A8138F" w:rsidP="00A8138F">
      <w:pPr>
        <w:pStyle w:val="TextoNormal"/>
      </w:pPr>
      <w:r>
        <w:t>e) Adicionalmente, todos los preceptos impugnados en el recurso vulneran las competencias estatales previstas en el art. 149.1.1 y 16 CE.</w:t>
      </w:r>
    </w:p>
    <w:p w14:paraId="019772D4" w14:textId="77777777" w:rsidR="00A8138F" w:rsidRDefault="00A8138F" w:rsidP="00A8138F">
      <w:pPr>
        <w:pStyle w:val="TextoNormal"/>
      </w:pPr>
    </w:p>
    <w:p w14:paraId="29F3AC5A" w14:textId="77777777" w:rsidR="00A8138F" w:rsidRDefault="00A8138F" w:rsidP="00A8138F">
      <w:pPr>
        <w:pStyle w:val="TextoNormal"/>
      </w:pPr>
      <w:r>
        <w:t>Se sostiene que la definición de las medidas limitativas de derechos fundamentales ante una crisis sanitaria corresponde a la legislación estatal, para garantizar la igualdad en el acceso al derecho previsto en el artículo 43 CE, cuya observancia se vería gravemente afectada si se admitiese la incidencia de la legislación autonómica.</w:t>
      </w:r>
    </w:p>
    <w:p w14:paraId="018D6F84" w14:textId="77777777" w:rsidR="00A8138F" w:rsidRDefault="00A8138F" w:rsidP="00A8138F">
      <w:pPr>
        <w:pStyle w:val="TextoNormal"/>
      </w:pPr>
    </w:p>
    <w:p w14:paraId="20F8FD32" w14:textId="71559425" w:rsidR="00A8138F" w:rsidRDefault="00A8138F" w:rsidP="00A8138F">
      <w:pPr>
        <w:pStyle w:val="TextoNormal"/>
      </w:pPr>
      <w:r>
        <w:t>La demanda argumenta que, ya sea desde la perspectiva del apartado 1 o del 16 del art. 149.1 CE, es evidente que el establecimiento por razones sanitarias de supuestos en los que cabría imponer fuertes restricciones o incluso la auténtica suspensión de derechos fundamentales tan nucleares como los previstos en los arts. 15, 17, 18, 19 y 21 CE, es una competencia exclusiva del Estado que no puede abordarse desde una perspectiva territorial.</w:t>
      </w:r>
    </w:p>
    <w:p w14:paraId="4804BE2C" w14:textId="77777777" w:rsidR="00A8138F" w:rsidRDefault="00A8138F" w:rsidP="00A8138F">
      <w:pPr>
        <w:pStyle w:val="TextoNormal"/>
      </w:pPr>
    </w:p>
    <w:p w14:paraId="20863C66" w14:textId="7111F819" w:rsidR="00A8138F" w:rsidRDefault="00A8138F" w:rsidP="00A8138F">
      <w:pPr>
        <w:pStyle w:val="TextoNormal"/>
      </w:pPr>
      <w:r w:rsidRPr="00A8138F">
        <w:rPr>
          <w:rStyle w:val="NumeroAFNegritaCaracter"/>
        </w:rPr>
        <w:t>3</w:t>
      </w:r>
      <w:r>
        <w:t>. Por providencia de 27 de enero de 2022, el Pleno del Tribunal Constitucional, a propuesta de la Sección Segunda, acordó admitir a trámite el presente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 la ministra de Justicia, así como al Parlamento Vasco y al Gobierno Vasco, por conducto de sus presidentes, al objeto de que, en el plazo de quince días, pudieran personarse en el proceso y formular las alegaciones que estimaran convenientes. Por último, ordenó publicar la incoación del recurso en el “Boletín Oficial del Estado” y en el “Boletín Oficial del País Vasco”.</w:t>
      </w:r>
    </w:p>
    <w:p w14:paraId="7D2B7AC0" w14:textId="77777777" w:rsidR="00A8138F" w:rsidRDefault="00A8138F" w:rsidP="00A8138F">
      <w:pPr>
        <w:pStyle w:val="TextoNormal"/>
      </w:pPr>
    </w:p>
    <w:p w14:paraId="10DF73D7" w14:textId="676BB01B" w:rsidR="00A8138F" w:rsidRDefault="00A8138F" w:rsidP="00A8138F">
      <w:pPr>
        <w:pStyle w:val="TextoNormal"/>
      </w:pPr>
      <w:r w:rsidRPr="00A8138F">
        <w:rPr>
          <w:rStyle w:val="NumeroAFNegritaCaracter"/>
        </w:rPr>
        <w:t>4</w:t>
      </w:r>
      <w:r>
        <w:t>. Por escrito registrado en este tribunal el 10 de febrero de 2022, el presidente del Senado comunicó el acuerdo de la mesa de la Cámara de personarse en el procedimiento, ofreciendo su colaboración a los efectos del art. 88.1 LOTC.</w:t>
      </w:r>
    </w:p>
    <w:p w14:paraId="7B531E78" w14:textId="77777777" w:rsidR="00A8138F" w:rsidRDefault="00A8138F" w:rsidP="00A8138F">
      <w:pPr>
        <w:pStyle w:val="TextoNormal"/>
      </w:pPr>
    </w:p>
    <w:p w14:paraId="1E7F4A3E" w14:textId="5A732D97" w:rsidR="00A8138F" w:rsidRDefault="00A8138F" w:rsidP="00A8138F">
      <w:pPr>
        <w:pStyle w:val="TextoNormal"/>
      </w:pPr>
      <w:r w:rsidRPr="00A8138F">
        <w:rPr>
          <w:rStyle w:val="NumeroAFNegritaCaracter"/>
        </w:rPr>
        <w:t>5</w:t>
      </w:r>
      <w:r>
        <w:t>. Mediante escrito presentado en este tribunal el 16 de febrero de 2022, la letrada del Parlamento Vasco se personó en el procedimiento, solicitando la prórroga del plazo para formular alegaciones. Por diligencia de ordenación de la misma fecha, se acordó tenerla por personada y prorrogar en ocho días el plazo concedido para formular alegaciones.</w:t>
      </w:r>
    </w:p>
    <w:p w14:paraId="5AE8042C" w14:textId="77777777" w:rsidR="00A8138F" w:rsidRDefault="00A8138F" w:rsidP="00A8138F">
      <w:pPr>
        <w:pStyle w:val="TextoNormal"/>
      </w:pPr>
    </w:p>
    <w:p w14:paraId="7B413FE6" w14:textId="113D5358" w:rsidR="00A8138F" w:rsidRDefault="00A8138F" w:rsidP="00A8138F">
      <w:pPr>
        <w:pStyle w:val="TextoNormal"/>
      </w:pPr>
      <w:r w:rsidRPr="00A8138F">
        <w:rPr>
          <w:rStyle w:val="NumeroAFNegritaCaracter"/>
        </w:rPr>
        <w:t>6</w:t>
      </w:r>
      <w:r>
        <w:t>. Por escrito registrado en este tribunal el 17 de febrero de 2022, la presidenta del Congreso de los Diputados comunicó el acuerdo de la mesa de la Cámara de personarse en el procedimiento, ofreciendo su colaboración a los efectos del art. 88.1 LOTC.</w:t>
      </w:r>
    </w:p>
    <w:p w14:paraId="06851606" w14:textId="77777777" w:rsidR="00A8138F" w:rsidRDefault="00A8138F" w:rsidP="00A8138F">
      <w:pPr>
        <w:pStyle w:val="TextoNormal"/>
      </w:pPr>
    </w:p>
    <w:p w14:paraId="3C01EB4B" w14:textId="2C2C4CAC" w:rsidR="00A8138F" w:rsidRDefault="00A8138F" w:rsidP="00A8138F">
      <w:pPr>
        <w:pStyle w:val="TextoNormal"/>
      </w:pPr>
      <w:r w:rsidRPr="00A8138F">
        <w:rPr>
          <w:rStyle w:val="NumeroAFNegritaCaracter"/>
        </w:rPr>
        <w:t>7</w:t>
      </w:r>
      <w:r>
        <w:t>. El abogado del Estado, por escrito presentado el 18 de febrero de 2022, se personó en nombre del Gobierno y solicitó una prórroga del plazo para formular alegaciones. Igualmente, por escrito de 21 de febrero de 2022, el letrado del Gobierno Vasco se personó en el procedimiento e interesó que se le concediera prórroga del plazo para formular sus alegaciones. Por diligencia de ordenación de la misma fecha se tuvo a ambos por personados y se prorrogó en ocho días más el plazo concedido para formular sus alegaciones.</w:t>
      </w:r>
    </w:p>
    <w:p w14:paraId="48F642A5" w14:textId="77777777" w:rsidR="00A8138F" w:rsidRDefault="00A8138F" w:rsidP="00A8138F">
      <w:pPr>
        <w:pStyle w:val="TextoNormal"/>
      </w:pPr>
    </w:p>
    <w:p w14:paraId="6357D093" w14:textId="3AE9810D" w:rsidR="00A8138F" w:rsidRDefault="00A8138F" w:rsidP="00A8138F">
      <w:pPr>
        <w:pStyle w:val="TextoNormal"/>
      </w:pPr>
      <w:r w:rsidRPr="00A8138F">
        <w:rPr>
          <w:rStyle w:val="NumeroAFNegritaCaracter"/>
        </w:rPr>
        <w:t>8</w:t>
      </w:r>
      <w:r>
        <w:t>. Mediante escrito registrado en el Tribunal el 1 de marzo de 2022, la letrada del Parlamento Vasco solicitó una nueva prórroga del plazo para formular alegaciones, acordándose así, por ocho días más, por diligencia de ordenación de la misma fecha.</w:t>
      </w:r>
    </w:p>
    <w:p w14:paraId="0704837D" w14:textId="77777777" w:rsidR="00A8138F" w:rsidRDefault="00A8138F" w:rsidP="00A8138F">
      <w:pPr>
        <w:pStyle w:val="TextoNormal"/>
      </w:pPr>
    </w:p>
    <w:p w14:paraId="32CB372D" w14:textId="391078AA" w:rsidR="00A8138F" w:rsidRDefault="00A8138F" w:rsidP="00A8138F">
      <w:pPr>
        <w:pStyle w:val="TextoNormal"/>
      </w:pPr>
      <w:r w:rsidRPr="00A8138F">
        <w:rPr>
          <w:rStyle w:val="NumeroAFNegritaCaracter"/>
        </w:rPr>
        <w:t>9</w:t>
      </w:r>
      <w:r>
        <w:t>. La Abogacía del Estado, por escrito registrado el día 1 de marzo de 2022, comunicó que no formularía alegaciones y que su personación era exclusivamente a efectos de que en su día se le notificasen las resoluciones dictadas en el procedimiento.</w:t>
      </w:r>
    </w:p>
    <w:p w14:paraId="23F42045" w14:textId="77777777" w:rsidR="00A8138F" w:rsidRDefault="00A8138F" w:rsidP="00A8138F">
      <w:pPr>
        <w:pStyle w:val="TextoNormal"/>
      </w:pPr>
    </w:p>
    <w:p w14:paraId="3B46B142" w14:textId="77777777" w:rsidR="00A8138F" w:rsidRDefault="00A8138F" w:rsidP="00A8138F">
      <w:pPr>
        <w:pStyle w:val="TextoNormal"/>
      </w:pPr>
      <w:r w:rsidRPr="00A8138F">
        <w:rPr>
          <w:rStyle w:val="NumeroAFNegritaCaracter"/>
        </w:rPr>
        <w:t>10</w:t>
      </w:r>
      <w:r>
        <w:t>. Mediante escrito presentado el 8 de marzo de 2022 el letrado del Gobierno Vasco formuló sus alegaciones, interesando la desestimación íntegra del recurso, de acuerdo con los siguientes argumentos:</w:t>
      </w:r>
    </w:p>
    <w:p w14:paraId="18E4F10E" w14:textId="77777777" w:rsidR="00A8138F" w:rsidRDefault="00A8138F" w:rsidP="00A8138F">
      <w:pPr>
        <w:pStyle w:val="TextoNormal"/>
      </w:pPr>
    </w:p>
    <w:p w14:paraId="04378E59" w14:textId="77777777" w:rsidR="00A8138F" w:rsidRDefault="00A8138F" w:rsidP="00A8138F">
      <w:pPr>
        <w:pStyle w:val="TextoNormal"/>
      </w:pPr>
      <w:r>
        <w:t>a) En primer término, alega que la Ley 2/2021 ha sido dictada en el marco establecido por la Ley Orgánica 3/1986, negándose la creación de una suerte de estado de alarma autonómico, el quebranto a los derechos fundamentales de los ciudadanos o la infracción de las normas de reparto competencial.</w:t>
      </w:r>
    </w:p>
    <w:p w14:paraId="1709C9C1" w14:textId="77777777" w:rsidR="00A8138F" w:rsidRDefault="00A8138F" w:rsidP="00A8138F">
      <w:pPr>
        <w:pStyle w:val="TextoNormal"/>
      </w:pPr>
    </w:p>
    <w:p w14:paraId="4EF99899" w14:textId="77777777" w:rsidR="00A8138F" w:rsidRDefault="00A8138F" w:rsidP="00A8138F">
      <w:pPr>
        <w:pStyle w:val="TextoNormal"/>
      </w:pPr>
      <w:r>
        <w:t xml:space="preserve">Comenzando por esta última queja, el representante del Gobierno Vasco alega, en primer lugar, que los motivos invocados en este punto por los recurrentes consisten en una recopilación de la jurisprudencia de este tribunal, sin justificar las razones por las que los preceptos cuestionados vulneran las normas de reparto competencial en contraste con los parámetros constitucionales, lo que debiera llevar a rechazar este motivo </w:t>
      </w:r>
      <w:r w:rsidRPr="00A8138F">
        <w:rPr>
          <w:i/>
        </w:rPr>
        <w:t>a limine</w:t>
      </w:r>
      <w:r>
        <w:t>.</w:t>
      </w:r>
    </w:p>
    <w:p w14:paraId="73F0D9C2" w14:textId="77777777" w:rsidR="00A8138F" w:rsidRDefault="00A8138F" w:rsidP="00A8138F">
      <w:pPr>
        <w:pStyle w:val="TextoNormal"/>
      </w:pPr>
    </w:p>
    <w:p w14:paraId="49CA1C96" w14:textId="77777777" w:rsidR="00A8138F" w:rsidRDefault="00A8138F" w:rsidP="00A8138F">
      <w:pPr>
        <w:pStyle w:val="TextoNormal"/>
      </w:pPr>
      <w:r>
        <w:t>A pesar de ello, sostiene la adecuada competencia legislativa de la Comunidad Autónoma del País Vasco para dictar la norma recurrida, con fundamento en sus competencias en sanidad interior y protección civil, de conformidad con los arts. 18.1 y 17 del Estatuto de Autonomía para el País Vasco (EAPV).</w:t>
      </w:r>
    </w:p>
    <w:p w14:paraId="3D6D2973" w14:textId="77777777" w:rsidR="00A8138F" w:rsidRDefault="00A8138F" w:rsidP="00A8138F">
      <w:pPr>
        <w:pStyle w:val="TextoNormal"/>
      </w:pPr>
    </w:p>
    <w:p w14:paraId="715B6F72" w14:textId="77777777" w:rsidR="00A8138F" w:rsidRDefault="00A8138F" w:rsidP="00A8138F">
      <w:pPr>
        <w:pStyle w:val="TextoNormal"/>
      </w:pPr>
      <w:r>
        <w:t>En cuanto a las competencias en sanidad, el representante del Ejecutivo autonómico razona que, correspondiendo al Estado, al amparo del art. 149.1.16 CE, la competencia sobre las bases y coordinación general de la sanidad interior, le compete al País Vasco el desarrollo legislativo y la ejecución de dicha legislación básica en materia de sanidad. En lo que aquí concierne, el Estado ha fijado esas bases en la Ley Orgánica 3/1986, la Ley 14/1986 y, particularmente, en la Ley 2/2021, de 29 de marzo, de medidas urgentes de prevención, contención y coordinación para hacer frente a la crisis sanitaria ocasionada por el covid-19. Aclara que estas leyes no han sido dictadas al amparo del art. 149.1.1 CE. Por otro lado, el recurso no identifica ni menciona incompatibilidad alguna de la norma impugnada con las normas estatales mencionadas.</w:t>
      </w:r>
    </w:p>
    <w:p w14:paraId="3D049D22" w14:textId="77777777" w:rsidR="00A8138F" w:rsidRDefault="00A8138F" w:rsidP="00A8138F">
      <w:pPr>
        <w:pStyle w:val="TextoNormal"/>
      </w:pPr>
    </w:p>
    <w:p w14:paraId="650FB236" w14:textId="77777777" w:rsidR="00A8138F" w:rsidRDefault="00A8138F" w:rsidP="00A8138F">
      <w:pPr>
        <w:pStyle w:val="TextoNormal"/>
      </w:pPr>
      <w:r>
        <w:t>Respecto de las competencias en materia de protección civil, argumenta que la Ley se dirige a los servicios autonómicos en los casos en los que la gestión de la situación sea de su competencia, con pleno encaje en el conjunto de planes de emergencia, empezando por los de ámbito nacional, sin crear ninguna “división en compartimentos estancos” (cita la STC 58/2018, de 4 de junio). El legislador vasco se ciñe a disponer de un instrumento en su ámbito competencial para dar cumplimiento al art. 3.2 de la Ley estatal 2/2021, que atribuye a los órganos competentes de las comunidades autónomas, en el ámbito de sus competencias, las funciones de vigilancia, inspección y control del correcto cumplimiento de las medidas contempladas en la Ley.</w:t>
      </w:r>
    </w:p>
    <w:p w14:paraId="50AECA74" w14:textId="77777777" w:rsidR="00A8138F" w:rsidRDefault="00A8138F" w:rsidP="00A8138F">
      <w:pPr>
        <w:pStyle w:val="TextoNormal"/>
      </w:pPr>
    </w:p>
    <w:p w14:paraId="2BAB522F" w14:textId="77777777" w:rsidR="00A8138F" w:rsidRDefault="00A8138F" w:rsidP="00A8138F">
      <w:pPr>
        <w:pStyle w:val="TextoNormal"/>
      </w:pPr>
      <w:r>
        <w:t>b) En contestación al motivo de inconstitucionalidad atinente a la vulneración de los arts. 116, 55.1 y 38 CE, el letrado del Gobierno Vasco niega que a través de la Ley se cree un estado de alarma autonómico análogo al estatal, sino que se pretende ofrecer garantías jurídicas a los ciudadanos y a los poderes públicos en el marco legal de aplicación, que puede llegar a limitar los derechos en aras de la salud pública.</w:t>
      </w:r>
    </w:p>
    <w:p w14:paraId="535E5195" w14:textId="77777777" w:rsidR="00A8138F" w:rsidRDefault="00A8138F" w:rsidP="00A8138F">
      <w:pPr>
        <w:pStyle w:val="TextoNormal"/>
      </w:pPr>
    </w:p>
    <w:p w14:paraId="2C86BCCE" w14:textId="77777777" w:rsidR="00A8138F" w:rsidRDefault="00A8138F" w:rsidP="00A8138F">
      <w:pPr>
        <w:pStyle w:val="TextoNormal"/>
      </w:pPr>
      <w:r>
        <w:t>En este sentido, la situación de emergencia a que alude la Ley 2/2021 impugnada nada tiene que ver con el denominado derecho de emergencia del art. 116 CE, sino que persigue la mejor organización interna de las competencias vascas, mediante una declaración formal en la que el lehendakari es el competente para, conforme a cinco niveles de alerta, adoptar las medidas oportunas.</w:t>
      </w:r>
    </w:p>
    <w:p w14:paraId="28338670" w14:textId="77777777" w:rsidR="00A8138F" w:rsidRDefault="00A8138F" w:rsidP="00A8138F">
      <w:pPr>
        <w:pStyle w:val="TextoNormal"/>
      </w:pPr>
    </w:p>
    <w:p w14:paraId="703861D3" w14:textId="77777777" w:rsidR="00A8138F" w:rsidRDefault="00A8138F" w:rsidP="00A8138F">
      <w:pPr>
        <w:pStyle w:val="TextoNormal"/>
      </w:pPr>
      <w:r>
        <w:t>En desarrollo de lo anterior, argumenta que: (i) la única lógica de impugnar el art. 1 a) es eliminar de la norma cualquier mención a la declaración formal de la situación de emergencia; (ii) respecto del art. 2, la demanda ha incumplido la carga de justificar la tacha de inconstitucionalidad, dado que no se cuestiona su contenido, de modo que debe quedar extramuros del proceso; (iii) en cuanto al art. 4, de su apartado primero resultan dos situaciones, una primera bajo el estado de alarma, que se remite en pleno a su régimen, y otra fuera de dicho estado, pero siempre dentro de la normativa estatal; el apartado segundo, por su parte, no hace sino avocar al lehendakari competencias vascas en esta situación, sin afectar a las competencias estatales ni infringir la normativa básica; (iv) el art. 8.1 designa al Lehendakari como órgano competente para determinar, mediante decreto, las medidas específicas previstas para los distintos niveles de alerta, sin que por ello se cree estado de excepción alguno ni quede afectado ningún derecho fundamental.</w:t>
      </w:r>
    </w:p>
    <w:p w14:paraId="32C128DD" w14:textId="77777777" w:rsidR="00A8138F" w:rsidRDefault="00A8138F" w:rsidP="00A8138F">
      <w:pPr>
        <w:pStyle w:val="TextoNormal"/>
      </w:pPr>
    </w:p>
    <w:p w14:paraId="4606AFEB" w14:textId="77777777" w:rsidR="00A8138F" w:rsidRDefault="00A8138F" w:rsidP="00A8138F">
      <w:pPr>
        <w:pStyle w:val="TextoNormal"/>
      </w:pPr>
      <w:r>
        <w:t>En lo que hace a las autoridades competentes delegadas (art. 11.1 de la Ley), el propio precepto se remite a la Ley Orgánica 4/1981 y a lo que disponga la declaración de estado de alarma.</w:t>
      </w:r>
    </w:p>
    <w:p w14:paraId="1767159B" w14:textId="77777777" w:rsidR="00A8138F" w:rsidRDefault="00A8138F" w:rsidP="00A8138F">
      <w:pPr>
        <w:pStyle w:val="TextoNormal"/>
      </w:pPr>
    </w:p>
    <w:p w14:paraId="4BD4EF6A" w14:textId="77777777" w:rsidR="00A8138F" w:rsidRDefault="00A8138F" w:rsidP="00A8138F">
      <w:pPr>
        <w:pStyle w:val="TextoNormal"/>
      </w:pPr>
      <w:r>
        <w:t>Finalmente, el art. 19.3 permite el cierre de un establecimiento o la realización de cualquier actividad por riesgo de contagio. Esto no es una suspensión del derecho reconocido en el art. 38 CE, de acuerdo con la doctrina resultante de la STC 148/2021, FJ 9.</w:t>
      </w:r>
    </w:p>
    <w:p w14:paraId="45E1B45A" w14:textId="77777777" w:rsidR="00A8138F" w:rsidRDefault="00A8138F" w:rsidP="00A8138F">
      <w:pPr>
        <w:pStyle w:val="TextoNormal"/>
      </w:pPr>
    </w:p>
    <w:p w14:paraId="54B24109" w14:textId="77777777" w:rsidR="00A8138F" w:rsidRDefault="00A8138F" w:rsidP="00A8138F">
      <w:pPr>
        <w:pStyle w:val="TextoNormal"/>
      </w:pPr>
      <w:r>
        <w:t>c) A continuación, el escrito de alegaciones del Gobierno Vasco da respuesta conjunta a las censuras de inconstitucionalidad fundamentadas en la infracción de los arts. 53.1 y 81.1 CE, en relación con los derechos fundamentales reconocidos en los arts. 15, 17.1, 18.1, 19 y 21 CE.</w:t>
      </w:r>
    </w:p>
    <w:p w14:paraId="233C39AA" w14:textId="77777777" w:rsidR="00A8138F" w:rsidRDefault="00A8138F" w:rsidP="00A8138F">
      <w:pPr>
        <w:pStyle w:val="TextoNormal"/>
      </w:pPr>
    </w:p>
    <w:p w14:paraId="53789DF4" w14:textId="77777777" w:rsidR="00A8138F" w:rsidRDefault="00A8138F" w:rsidP="00A8138F">
      <w:pPr>
        <w:pStyle w:val="TextoNormal"/>
      </w:pPr>
      <w:r>
        <w:t>En primer término, niega que los preceptos impugnados prevean la suspensión de derechos fundamentales, sino que contemplan únicamente medidas de restricción o limitación de aquellos, en tanto sean idóneas, necesarias y proporcionadas para la lucha contra la pandemia y bajo la cobertura del art. 3 de la Ley Orgánica 3/1986.</w:t>
      </w:r>
    </w:p>
    <w:p w14:paraId="09515408" w14:textId="77777777" w:rsidR="00A8138F" w:rsidRDefault="00A8138F" w:rsidP="00A8138F">
      <w:pPr>
        <w:pStyle w:val="TextoNormal"/>
      </w:pPr>
    </w:p>
    <w:p w14:paraId="50C6A0F4" w14:textId="77777777" w:rsidR="00A8138F" w:rsidRDefault="00A8138F" w:rsidP="00A8138F">
      <w:pPr>
        <w:pStyle w:val="TextoNormal"/>
      </w:pPr>
      <w:r>
        <w:t>Tras ello, rechaza la idea de que la limitación de derechos fundamentales esté vedada a las leyes autonómicas, dada la remisión que el art. 53.1 CE hace a la ley, sin distinguir si es estatal o autonómica, siempre que la comunidad autónoma tenga competencias, como ocurre en el caso de la Comunidad Autónoma del País Vasco en materia de salud interior.</w:t>
      </w:r>
    </w:p>
    <w:p w14:paraId="4377B01F" w14:textId="77777777" w:rsidR="00A8138F" w:rsidRDefault="00A8138F" w:rsidP="00A8138F">
      <w:pPr>
        <w:pStyle w:val="TextoNormal"/>
      </w:pPr>
    </w:p>
    <w:p w14:paraId="44A2E309" w14:textId="77777777" w:rsidR="00A8138F" w:rsidRDefault="00A8138F" w:rsidP="00A8138F">
      <w:pPr>
        <w:pStyle w:val="TextoNormal"/>
      </w:pPr>
      <w:r>
        <w:t>En tercer lugar, aduce que no es precisa la declaración de un estado de alarma para proceder a la restricción de derechos fundamentales en la lucha contra la pandemia derivada del covid-19, pues el régimen excepcional y el ordinario no son alternativos ni excluyentes.</w:t>
      </w:r>
    </w:p>
    <w:p w14:paraId="0CCB2B68" w14:textId="77777777" w:rsidR="00A8138F" w:rsidRDefault="00A8138F" w:rsidP="00A8138F">
      <w:pPr>
        <w:pStyle w:val="TextoNormal"/>
      </w:pPr>
    </w:p>
    <w:p w14:paraId="6736BA02" w14:textId="77777777" w:rsidR="00A8138F" w:rsidRDefault="00A8138F" w:rsidP="00A8138F">
      <w:pPr>
        <w:pStyle w:val="TextoNormal"/>
      </w:pPr>
      <w:r>
        <w:t xml:space="preserve">Adentrándose en el motivo planteado, el letrado autonómico sostiene que la Ley del Parlamento Vasco 2/2021 ni vulnera la reserva de ley orgánica del art. 81.1 CE ni el contenido esencial de los derechos fundamentales </w:t>
      </w:r>
      <w:r w:rsidRPr="00A8138F">
        <w:rPr>
          <w:i/>
        </w:rPr>
        <w:t>ex</w:t>
      </w:r>
      <w:r>
        <w:t xml:space="preserve"> art. 53.1 CE. Argumenta que, mediante ley ordinaria, cabe limitar puntualmente un derecho fundamental, siempre respetando su contenido esencial y sin desnaturalizarlo. Los preceptos impugnados de la Ley del Parlamento Vasco no desarrollan ningún derecho fundamental de manera directa ni los elementos esenciales para su definición, ajustándose, así, a la doctrina constitucional (cita, entre otras, la STC 129/1999, de 1 de julio) de que el desarrollo a que se refiere el art. 81.1 CE ha de ser directo y estricto, sin que pueda equipararse a simplemente “afectar”. Admite que la regulación contenida en los preceptos cuestionados supone una restricción de determinados derechos fundamentales, pero no afecta al núcleo esencial ni es de carácter general, al tener un objetivo concreto, consistente en la lucha contra el covid-19.</w:t>
      </w:r>
    </w:p>
    <w:p w14:paraId="1F692434" w14:textId="77777777" w:rsidR="00A8138F" w:rsidRDefault="00A8138F" w:rsidP="00A8138F">
      <w:pPr>
        <w:pStyle w:val="TextoNormal"/>
      </w:pPr>
    </w:p>
    <w:p w14:paraId="25728302" w14:textId="77777777" w:rsidR="00A8138F" w:rsidRDefault="00A8138F" w:rsidP="00A8138F">
      <w:pPr>
        <w:pStyle w:val="TextoNormal"/>
      </w:pPr>
      <w:r>
        <w:t>Una vez razonado que la Ley Orgánica 3/1986 presta cobertura a la normativa impugnada, la representación del Ejecutivo vasco defiende la constitucionalidad de cada uno de los preceptos impugnados:</w:t>
      </w:r>
    </w:p>
    <w:p w14:paraId="0C02F0D7" w14:textId="77777777" w:rsidR="00A8138F" w:rsidRDefault="00A8138F" w:rsidP="00A8138F">
      <w:pPr>
        <w:pStyle w:val="TextoNormal"/>
      </w:pPr>
    </w:p>
    <w:p w14:paraId="4247B748" w14:textId="77777777" w:rsidR="00A8138F" w:rsidRDefault="00A8138F" w:rsidP="00A8138F">
      <w:pPr>
        <w:pStyle w:val="TextoNormal"/>
      </w:pPr>
      <w:r>
        <w:t>(i) Así, en cuanto a los arts. 14.3 y 15.2, sobre pruebas diagnósticas, vacunación y cribados, refuta que se imponga su obligatoriedad, de tal modo que sin el consentimiento de la persona afectada no se practicará ninguna de estas tres medidas, por lo que no hay restricción alguna sobre los derechos fundamentales. Tampoco hay infracción de los arts. 24 y 25.1 CE, por no tener dichos artículos una finalidad represiva ni regularse aspectos procesales o que vulneren la reserva de jurisdicción.</w:t>
      </w:r>
    </w:p>
    <w:p w14:paraId="78CCC0AB" w14:textId="77777777" w:rsidR="00A8138F" w:rsidRDefault="00A8138F" w:rsidP="00A8138F">
      <w:pPr>
        <w:pStyle w:val="TextoNormal"/>
      </w:pPr>
    </w:p>
    <w:p w14:paraId="1B3E3868" w14:textId="77777777" w:rsidR="00A8138F" w:rsidRDefault="00A8138F" w:rsidP="00A8138F">
      <w:pPr>
        <w:pStyle w:val="TextoNormal"/>
      </w:pPr>
      <w:r>
        <w:t>(ii) Respecto del art. 23.1 de la Ley, sobre aislamientos y cuarentenas personales, que los recurrentes consideran lesivos de los arts. 17 y 19 CE, únicamente se vería afectada la libertad personal del art. 17.1 CE, si bien no se trata de una medida indiscriminada sino referida a personas infectadas o sospechosas de estarlo, con base en el art. 3 de la Ley Orgánica 3/1986.</w:t>
      </w:r>
    </w:p>
    <w:p w14:paraId="45FA2965" w14:textId="77777777" w:rsidR="00A8138F" w:rsidRDefault="00A8138F" w:rsidP="00A8138F">
      <w:pPr>
        <w:pStyle w:val="TextoNormal"/>
      </w:pPr>
    </w:p>
    <w:p w14:paraId="42A3D8F6" w14:textId="77777777" w:rsidR="00A8138F" w:rsidRDefault="00A8138F" w:rsidP="00A8138F">
      <w:pPr>
        <w:pStyle w:val="TextoNormal"/>
      </w:pPr>
      <w:r>
        <w:t>(iii) El art. 24.3 y 4, sobre presunción de urgencia para la inmediata efectividad de las medidas de confinamiento y la falta de ratificación judicial de las medidas generales aplicables por mandato de la ley, respectivamente, no afectan a la medida de confinamiento sino a su eficacia. Tampoco pretenden eludir la aplicación de los arts. 8.6 y 10.8 de la Ley 29/1998, de 13 de julio, reguladora de la jurisdicción contencioso-administrativa. Debe tenerse en cuenta, al respecto, lo establecido en la disposición adicional segunda de la propia Ley 2/2021 impugnada, que alude al necesario juicio de proporcionalidad y el adecuado control político y judicial de las medidas preventivas y restrictivas adoptadas con base en ella.</w:t>
      </w:r>
    </w:p>
    <w:p w14:paraId="50FA3870" w14:textId="77777777" w:rsidR="00A8138F" w:rsidRDefault="00A8138F" w:rsidP="00A8138F">
      <w:pPr>
        <w:pStyle w:val="TextoNormal"/>
      </w:pPr>
    </w:p>
    <w:p w14:paraId="094FFC1A" w14:textId="77777777" w:rsidR="00A8138F" w:rsidRDefault="00A8138F" w:rsidP="00A8138F">
      <w:pPr>
        <w:pStyle w:val="TextoNormal"/>
      </w:pPr>
      <w:r>
        <w:t>(iv) Las medidas sobre limitaciones a la movilidad nocturna y territorial afectarían a la libertad deambulatoria del art. 19 CE. A pesar de ello, dicha libertad no queda suspendida, sino limitada dentro de un determinado horario y sin impedir el movimiento dentro del mismo municipio.</w:t>
      </w:r>
    </w:p>
    <w:p w14:paraId="48A8B782" w14:textId="77777777" w:rsidR="00A8138F" w:rsidRDefault="00A8138F" w:rsidP="00A8138F">
      <w:pPr>
        <w:pStyle w:val="TextoNormal"/>
      </w:pPr>
    </w:p>
    <w:p w14:paraId="1FD1CD52" w14:textId="77777777" w:rsidR="00A8138F" w:rsidRDefault="00A8138F" w:rsidP="00A8138F">
      <w:pPr>
        <w:pStyle w:val="TextoNormal"/>
      </w:pPr>
      <w:r>
        <w:t>(v) Los preceptos que establecen una limitación a la reunión de grupos de personas no afectan al derecho previsto en el art. 21 CE sino, nuevamente, a la libertad de circulación del art. 19 CE, sin que se impida su ejercicio, pues el precepto legal no impide las reuniones sino que limitan estas a un número máximo de personas.</w:t>
      </w:r>
    </w:p>
    <w:p w14:paraId="7D167180" w14:textId="77777777" w:rsidR="00A8138F" w:rsidRDefault="00A8138F" w:rsidP="00A8138F">
      <w:pPr>
        <w:pStyle w:val="TextoNormal"/>
      </w:pPr>
    </w:p>
    <w:p w14:paraId="5028F7A6" w14:textId="77777777" w:rsidR="00A8138F" w:rsidRDefault="00A8138F" w:rsidP="00A8138F">
      <w:pPr>
        <w:pStyle w:val="TextoNormal"/>
      </w:pPr>
      <w:r>
        <w:t>(vi) Por otro lado, en el caso del art. 33.2, que contempla la suspensión de actividades sociales y culturales de formato presencial, no queda, en cambio, afectado ningún derecho fundamental, pues lo que se suspende es la actividad misma, esto es, su organización.</w:t>
      </w:r>
    </w:p>
    <w:p w14:paraId="082A26A7" w14:textId="77777777" w:rsidR="00A8138F" w:rsidRDefault="00A8138F" w:rsidP="00A8138F">
      <w:pPr>
        <w:pStyle w:val="TextoNormal"/>
      </w:pPr>
    </w:p>
    <w:p w14:paraId="35AAF843" w14:textId="3EFF4E8D" w:rsidR="00A8138F" w:rsidRDefault="00A8138F" w:rsidP="00A8138F">
      <w:pPr>
        <w:pStyle w:val="TextoNormal"/>
      </w:pPr>
      <w:r>
        <w:t>(vii) Por último, en cuanto a las medidas cautelares en procedimientos sancionadores que se regulan en el art. 36.2 a), b) y c) de la Ley, el letrado autonómico expone que se limitan a modular, ante una situación excepcional de crisis sanitaria, las medidas cautelares a adoptar en el ejercicio de la potestad sancionadora. De este modo, tienen un régimen y duración limitados en el tiempo y, en todo caso, quedan sometidas a las mismas garantías judiciales que cualquier medida cautelar en un procedimiento administrativo.</w:t>
      </w:r>
    </w:p>
    <w:p w14:paraId="2737DE8A" w14:textId="77777777" w:rsidR="00A8138F" w:rsidRDefault="00A8138F" w:rsidP="00A8138F">
      <w:pPr>
        <w:pStyle w:val="TextoNormal"/>
      </w:pPr>
    </w:p>
    <w:p w14:paraId="43BFC683" w14:textId="77777777" w:rsidR="00A8138F" w:rsidRDefault="00A8138F" w:rsidP="00A8138F">
      <w:pPr>
        <w:pStyle w:val="TextoNormal"/>
      </w:pPr>
      <w:r w:rsidRPr="00A8138F">
        <w:rPr>
          <w:rStyle w:val="NumeroAFNegritaCaracter"/>
        </w:rPr>
        <w:t>11</w:t>
      </w:r>
      <w:r>
        <w:t>. Por escrito registrado el día 21 de marzo de 2022, la letrada del Parlamento Vasco formuló sus alegaciones, solicitando la desestimación del recurso con fundamento en las siguientes alegaciones:</w:t>
      </w:r>
    </w:p>
    <w:p w14:paraId="4B64D62E" w14:textId="77777777" w:rsidR="00A8138F" w:rsidRDefault="00A8138F" w:rsidP="00A8138F">
      <w:pPr>
        <w:pStyle w:val="TextoNormal"/>
      </w:pPr>
    </w:p>
    <w:p w14:paraId="0118D5F9" w14:textId="77777777" w:rsidR="00A8138F" w:rsidRDefault="00A8138F" w:rsidP="00A8138F">
      <w:pPr>
        <w:pStyle w:val="TextoNormal"/>
      </w:pPr>
      <w:r>
        <w:t xml:space="preserve">a) Sostiene que la Ley se ampara en las competencias estatutarias en materia de protección civil (art. 17 EAPV) y sanidad interior (art. 18 EAPV). En cuanto a las primeras, con cita de las SSTC 123/1984, de 18 de diciembre, y 31/2010, de 28 de junio, entre otras, sostiene que el País Vasco puede regular la manera de ordenar el comportamiento de las instituciones, agentes públicos y privados y ciudadanía en su territorio, de manera que los poderes públicos autonómicos puedan adecuar sus servicios y actuaciones a las necesidades específicas de la crisis sanitaria por covid-19. Todo ello, en el marco de la competencia de coordinación estatal </w:t>
      </w:r>
      <w:r w:rsidRPr="00A8138F">
        <w:rPr>
          <w:i/>
        </w:rPr>
        <w:t>ex</w:t>
      </w:r>
      <w:r>
        <w:t xml:space="preserve"> art. 149.1.16 CE.</w:t>
      </w:r>
    </w:p>
    <w:p w14:paraId="04E45E22" w14:textId="77777777" w:rsidR="00A8138F" w:rsidRDefault="00A8138F" w:rsidP="00A8138F">
      <w:pPr>
        <w:pStyle w:val="TextoNormal"/>
      </w:pPr>
    </w:p>
    <w:p w14:paraId="1D2E05D9" w14:textId="77777777" w:rsidR="00A8138F" w:rsidRDefault="00A8138F" w:rsidP="00A8138F">
      <w:pPr>
        <w:pStyle w:val="TextoNormal"/>
      </w:pPr>
      <w:r>
        <w:t>Respecto de las competencias en sanidad interior, con cita de las SSTC 32/1983, de 28 de abril, y 54/1990, de 28 de marzo, considera que permiten dictar una normativa dirigida a organizar y tutelar la salud pública de la Comunidad Autónoma del País Vasco ante una situación de crisis sanitaria originada por el covid-19, adoptando las medidas preventivas y estableciendo las prestaciones y servicios necesarios para gestionarla eficaz y adecuadamente. Para ello tiene cobertura en la legislación orgánica y ordinaria del Estado.</w:t>
      </w:r>
    </w:p>
    <w:p w14:paraId="527481A8" w14:textId="77777777" w:rsidR="00A8138F" w:rsidRDefault="00A8138F" w:rsidP="00A8138F">
      <w:pPr>
        <w:pStyle w:val="TextoNormal"/>
      </w:pPr>
    </w:p>
    <w:p w14:paraId="10EA0BEB" w14:textId="77777777" w:rsidR="00A8138F" w:rsidRDefault="00A8138F" w:rsidP="00A8138F">
      <w:pPr>
        <w:pStyle w:val="TextoNormal"/>
      </w:pPr>
      <w:r>
        <w:t>Por lo demás, rechaza la interpretación que hacen los recurrentes sobre la posible vulneración de la competencia del Estado prevista en el art. 149.1.1 CE, pues dicho título competencial no impone la uniformidad de regulación de los derechos y deberes afectados [STC 61/1997, de 20 de marzo, FJ 7 b)].</w:t>
      </w:r>
    </w:p>
    <w:p w14:paraId="5FBFD52A" w14:textId="77777777" w:rsidR="00A8138F" w:rsidRDefault="00A8138F" w:rsidP="00A8138F">
      <w:pPr>
        <w:pStyle w:val="TextoNormal"/>
      </w:pPr>
    </w:p>
    <w:p w14:paraId="633FCD5F" w14:textId="77777777" w:rsidR="00A8138F" w:rsidRDefault="00A8138F" w:rsidP="00A8138F">
      <w:pPr>
        <w:pStyle w:val="TextoNormal"/>
      </w:pPr>
      <w:r>
        <w:t>Asimismo, aduce que el art. 10.2 EAPV atribuye al País Vasco la competencia exclusiva en materia de organización, régimen y funcionamiento de sus instituciones de autogobierno, dentro de las normas del propio Estatuto. El art. 10.6 EAPV asume competencias en materia de normas procesales y de procedimientos administrativos que se deriven de las especialidades del Derecho sustantivo y de la organización propia del País Vasco. Por ello, en relación con la queja dirigida contra el art. 36.2 a), b) y c) de la Ley, a la Comunidad Autónoma del País Vasco le corresponde regular las especialidades en el procedimiento de adopción de medidas cautelares que resulten necesarias como consecuencia de la gestión de la pandemia derivada del covid-19.</w:t>
      </w:r>
    </w:p>
    <w:p w14:paraId="7871AA24" w14:textId="77777777" w:rsidR="00A8138F" w:rsidRDefault="00A8138F" w:rsidP="00A8138F">
      <w:pPr>
        <w:pStyle w:val="TextoNormal"/>
      </w:pPr>
    </w:p>
    <w:p w14:paraId="3093C7BD" w14:textId="77777777" w:rsidR="00A8138F" w:rsidRDefault="00A8138F" w:rsidP="00A8138F">
      <w:pPr>
        <w:pStyle w:val="TextoNormal"/>
      </w:pPr>
      <w:r>
        <w:t>b) La letrada del Parlamento autonómico defiende que estamos ante una ley de caso único que viene a concretar las facultades de que disponen las instituciones vascas, en virtud de sus competencias, para hacer frente a una situación de emergencia muy concreta como es la derivada de la pandemia por covid-19.</w:t>
      </w:r>
    </w:p>
    <w:p w14:paraId="488469BB" w14:textId="77777777" w:rsidR="00A8138F" w:rsidRDefault="00A8138F" w:rsidP="00A8138F">
      <w:pPr>
        <w:pStyle w:val="TextoNormal"/>
      </w:pPr>
    </w:p>
    <w:p w14:paraId="66D94E96" w14:textId="77777777" w:rsidR="00A8138F" w:rsidRDefault="00A8138F" w:rsidP="00A8138F">
      <w:pPr>
        <w:pStyle w:val="TextoNormal"/>
      </w:pPr>
      <w:r>
        <w:t>En este punto, defiende la constitucionalidad de la cuestionada designación de autoridades delegadas, rechazando la traslación automática de la doctrina resultante de la STC 183/2021, de 27 de octubre, que hacen los recurrentes, pues la posibilidad de delegación de las facultades de gestión en las autoridades autonómicas encaja con el principio de autonomía (art. 2 CE). Las referencias que hacen los arts. 4 y 11 de la Ley a las facultades que el Lehendakari puede ejercer en calidad de autoridad competente delegada quedan condicionadas al régimen jurídico que, en su caso, establezca una eventual y futura declaración de estado de alarma. No deben declararse inconstitucionales con fundamento en la STC 183/2021 los incisos relativos a dicha figura, dado que se refiere a una regulación circunstancial contenida en el Real Decreto 926/2020, por el que se declaró el segundo estado de alarma, objeto de la referida sentencia.</w:t>
      </w:r>
    </w:p>
    <w:p w14:paraId="1A8F2308" w14:textId="77777777" w:rsidR="00A8138F" w:rsidRDefault="00A8138F" w:rsidP="00A8138F">
      <w:pPr>
        <w:pStyle w:val="TextoNormal"/>
      </w:pPr>
    </w:p>
    <w:p w14:paraId="19D7B2FC" w14:textId="77777777" w:rsidR="00A8138F" w:rsidRDefault="00A8138F" w:rsidP="00A8138F">
      <w:pPr>
        <w:pStyle w:val="TextoNormal"/>
      </w:pPr>
      <w:r>
        <w:t>c) Las alegaciones del Parlamento Vasco prosiguen abordando las censuras de inconstitucionalidad concernientes a la posible vulneración de la reserva de ley orgánica y del contenido esencial de los derechos fundamentales afectados.</w:t>
      </w:r>
    </w:p>
    <w:p w14:paraId="5089D816" w14:textId="77777777" w:rsidR="00A8138F" w:rsidRDefault="00A8138F" w:rsidP="00A8138F">
      <w:pPr>
        <w:pStyle w:val="TextoNormal"/>
      </w:pPr>
    </w:p>
    <w:p w14:paraId="73B56367" w14:textId="77777777" w:rsidR="00A8138F" w:rsidRDefault="00A8138F" w:rsidP="00A8138F">
      <w:pPr>
        <w:pStyle w:val="TextoNormal"/>
      </w:pPr>
      <w:r>
        <w:t>Con carácter general, la letrada parte de la base de que las medidas sanitarias contempladas en la Ley 2/2021, cuando afectan de manera especialmente intensa o severa al ejercicio de un derecho fundamental, cumplen con la reserva de ley orgánica del art. 81 CE. Al amparo de la Ley Orgánica 3/1986 cabe regular las restricciones y limitaciones de derechos fundamentales que habilita dicha ley, siempre respetando el contenido esencial de los derechos.</w:t>
      </w:r>
    </w:p>
    <w:p w14:paraId="4E4689FE" w14:textId="77777777" w:rsidR="00A8138F" w:rsidRDefault="00A8138F" w:rsidP="00A8138F">
      <w:pPr>
        <w:pStyle w:val="TextoNormal"/>
      </w:pPr>
    </w:p>
    <w:p w14:paraId="60527972" w14:textId="77777777" w:rsidR="00A8138F" w:rsidRDefault="00A8138F" w:rsidP="00A8138F">
      <w:pPr>
        <w:pStyle w:val="TextoNormal"/>
      </w:pPr>
      <w:r>
        <w:t>Las medidas limitativas de derechos contenidas en la ley impugnada en modo alguno establecen la suspensión de derechos fundamentales, sino que vienen a establecer modulaciones admisibles en circunstancias determinadas y no generalizables. Dichas modulaciones están justificadas en la protección del derecho a la vida y la integridad física (art. 15 CE) y a la salud (art. 43 CE).</w:t>
      </w:r>
    </w:p>
    <w:p w14:paraId="31B18159" w14:textId="77777777" w:rsidR="00A8138F" w:rsidRDefault="00A8138F" w:rsidP="00A8138F">
      <w:pPr>
        <w:pStyle w:val="TextoNormal"/>
      </w:pPr>
    </w:p>
    <w:p w14:paraId="4E4A6D4D" w14:textId="77777777" w:rsidR="00A8138F" w:rsidRDefault="00A8138F" w:rsidP="00A8138F">
      <w:pPr>
        <w:pStyle w:val="TextoNormal"/>
      </w:pPr>
      <w:r>
        <w:t>Sobre la base anterior, la letrada del Parlamento Vasco examina cada una de las medidas recurridas:</w:t>
      </w:r>
    </w:p>
    <w:p w14:paraId="50ADDD35" w14:textId="77777777" w:rsidR="00A8138F" w:rsidRDefault="00A8138F" w:rsidP="00A8138F">
      <w:pPr>
        <w:pStyle w:val="TextoNormal"/>
      </w:pPr>
    </w:p>
    <w:p w14:paraId="0F980FDF" w14:textId="77777777" w:rsidR="00A8138F" w:rsidRDefault="00A8138F" w:rsidP="00A8138F">
      <w:pPr>
        <w:pStyle w:val="TextoNormal"/>
      </w:pPr>
      <w:r>
        <w:t>(i) Comenzando por las pruebas diagnósticas, vacunación y cribados previstos en los arts. 14.3 y 15.2 de la Ley, niega su carácter obligatorio. Dichas medidas están sometidas a la Ley 41/2002, de 14 de noviembre, básica reguladora de la autonomía del paciente y de derechos y obligaciones en materia de información y documentación clínica, de lo que se deduce que precisan del consentimiento libre y voluntario de la persona afectada. Únicamente cuando exista riesgo para la salud pública a causa de razones sanitarias establecidas por la ley, podrá eximirse de contar con el consentimiento de aquella.</w:t>
      </w:r>
    </w:p>
    <w:p w14:paraId="0435EC52" w14:textId="77777777" w:rsidR="00A8138F" w:rsidRDefault="00A8138F" w:rsidP="00A8138F">
      <w:pPr>
        <w:pStyle w:val="TextoNormal"/>
      </w:pPr>
    </w:p>
    <w:p w14:paraId="4B92C1B8" w14:textId="77777777" w:rsidR="00A8138F" w:rsidRDefault="00A8138F" w:rsidP="00A8138F">
      <w:pPr>
        <w:pStyle w:val="TextoNormal"/>
      </w:pPr>
      <w:r>
        <w:t>Las medidas en cuestión no son obligatorias, aunque sí anudan a la denegación del consentimiento unas consecuencias jurídicas que constituyen una injerencia legítima en el derecho a la intimidad, en atención a un fin preminente en situación de crisis sanitaria, como es la protección de la salud pública (arts. 43 CE y 8.2 del Convenio europeo de derechos humanos).</w:t>
      </w:r>
    </w:p>
    <w:p w14:paraId="28B6F7AD" w14:textId="77777777" w:rsidR="00A8138F" w:rsidRDefault="00A8138F" w:rsidP="00A8138F">
      <w:pPr>
        <w:pStyle w:val="TextoNormal"/>
      </w:pPr>
    </w:p>
    <w:p w14:paraId="1E95983E" w14:textId="77777777" w:rsidR="00A8138F" w:rsidRDefault="00A8138F" w:rsidP="00A8138F">
      <w:pPr>
        <w:pStyle w:val="TextoNormal"/>
      </w:pPr>
      <w:r>
        <w:t>Estas consecuencias jurídicas no son —como entienden los recurrentes—, una sanción, por lo que no está afectado el art. 25 CE. Tampoco es apreciable la lesión del derecho a la tutela judicial efectiva del art. 24.1 CE, pues la regulación en abstracto de las medidas sanitarias citadas no impide el acceso a la jurisdicción ordinaria para controlar la legalidad de su aplicación. En cualquier caso, los recurrentes no explicitan las razones que sustentan esta impugnación.</w:t>
      </w:r>
    </w:p>
    <w:p w14:paraId="1510D127" w14:textId="77777777" w:rsidR="00A8138F" w:rsidRDefault="00A8138F" w:rsidP="00A8138F">
      <w:pPr>
        <w:pStyle w:val="TextoNormal"/>
      </w:pPr>
    </w:p>
    <w:p w14:paraId="003A4156" w14:textId="77777777" w:rsidR="00A8138F" w:rsidRDefault="00A8138F" w:rsidP="00A8138F">
      <w:pPr>
        <w:pStyle w:val="TextoNormal"/>
      </w:pPr>
      <w:r>
        <w:t>(ii) Los aislamientos y cuarentenas personales (art. 23.1) y los confinamientos individuales y colectivos [art. 34.1 b)] pueden ser una injerencia en la libertad del art. 17 CE, pero no provocan la suspensión del derecho ni una invasión ilegítima de su núcleo esencial, sino una restricción en el modo, tiempo o lugar de su ejercicio, para preservar el derecho a la vida y la integridad de la ciudadanía en su conjunto.</w:t>
      </w:r>
    </w:p>
    <w:p w14:paraId="6BB48B12" w14:textId="77777777" w:rsidR="00A8138F" w:rsidRDefault="00A8138F" w:rsidP="00A8138F">
      <w:pPr>
        <w:pStyle w:val="TextoNormal"/>
      </w:pPr>
    </w:p>
    <w:p w14:paraId="6D56C1FF" w14:textId="77777777" w:rsidR="00A8138F" w:rsidRDefault="00A8138F" w:rsidP="00A8138F">
      <w:pPr>
        <w:pStyle w:val="TextoNormal"/>
      </w:pPr>
      <w:r>
        <w:t>(iii) Las limitaciones a la movilidad nocturna, de los arts. 26.1, 30.1 a) y 34.1 a), conciernen a la libertad de circulación reconocida en el art. 19 CE, pero no la suspenden, sino que la limitan de forma justificada para prevenir y atajar los riesgos sanitarios que la pandemia por el covid-19 suponen para el derecho a la vida y la integridad de las personas. La letrada del Parlamento Vasco considera que está amparada por el art. 3 de la Ley Orgánica 3/1986.</w:t>
      </w:r>
    </w:p>
    <w:p w14:paraId="796967D1" w14:textId="77777777" w:rsidR="00A8138F" w:rsidRDefault="00A8138F" w:rsidP="00A8138F">
      <w:pPr>
        <w:pStyle w:val="TextoNormal"/>
      </w:pPr>
    </w:p>
    <w:p w14:paraId="6D0ABA0F" w14:textId="77777777" w:rsidR="00A8138F" w:rsidRDefault="00A8138F" w:rsidP="00A8138F">
      <w:pPr>
        <w:pStyle w:val="TextoNormal"/>
      </w:pPr>
      <w:r>
        <w:t>(iv) Sobre las limitaciones a la movilidad, en este caso territorial, establecidas en los arts. 26.1, 30.1 b) y 32.1 a), cabe hacer análogo razonamiento. La finalidad de estas medidas es reducir los contactos interpersonales para evitar la expansión de la enfermedad y quedan supeditadas al pertinente juicio de proporcionalidad en su aplicación.</w:t>
      </w:r>
    </w:p>
    <w:p w14:paraId="7DCE3331" w14:textId="77777777" w:rsidR="00A8138F" w:rsidRDefault="00A8138F" w:rsidP="00A8138F">
      <w:pPr>
        <w:pStyle w:val="TextoNormal"/>
      </w:pPr>
    </w:p>
    <w:p w14:paraId="632C289D" w14:textId="77777777" w:rsidR="00A8138F" w:rsidRDefault="00A8138F" w:rsidP="00A8138F">
      <w:pPr>
        <w:pStyle w:val="TextoNormal"/>
      </w:pPr>
      <w:r>
        <w:t>(v) Por los mismos argumentos, tampoco cabe estimar el cuestionamiento que los recurrentes hacen de las limitaciones a las reuniones de grupos de personas [arts. 26.3, 30.1 c) y 32.1 b)].</w:t>
      </w:r>
    </w:p>
    <w:p w14:paraId="30C6BDC9" w14:textId="77777777" w:rsidR="00A8138F" w:rsidRDefault="00A8138F" w:rsidP="00A8138F">
      <w:pPr>
        <w:pStyle w:val="TextoNormal"/>
      </w:pPr>
    </w:p>
    <w:p w14:paraId="752900B8" w14:textId="77777777" w:rsidR="00A8138F" w:rsidRDefault="00A8138F" w:rsidP="00A8138F">
      <w:pPr>
        <w:pStyle w:val="TextoNormal"/>
      </w:pPr>
      <w:r>
        <w:t>(vi) En relación con el art. 33.2, que prevé la suspensión de actividades sociales y culturales en formato presencial, los recurrentes no satisfacen la carga de justificar la tacha de inconstitucionalidad. Al margen de esto, esta medida no supone la afectación directa de ningún derecho fundamental y se encuentra amparada, al igual que las anteriores, en la legislación orgánica y ordinaria del Estado.</w:t>
      </w:r>
    </w:p>
    <w:p w14:paraId="3ECC7C2E" w14:textId="77777777" w:rsidR="00A8138F" w:rsidRDefault="00A8138F" w:rsidP="00A8138F">
      <w:pPr>
        <w:pStyle w:val="TextoNormal"/>
      </w:pPr>
    </w:p>
    <w:p w14:paraId="7359C8C4" w14:textId="77777777" w:rsidR="00A8138F" w:rsidRDefault="00A8138F" w:rsidP="00A8138F">
      <w:pPr>
        <w:pStyle w:val="TextoNormal"/>
      </w:pPr>
      <w:r>
        <w:t>(vii) Por su parte, la regulación sobre medidas cautelares en procedimientos sancionadores, que se recoge en el art. 36.2 a), b) y c), es simplemente un régimen específico aplicable en el ámbito material de la Ley a los efectos de la contención de la pandemia, que queda sujeto a las mismas garantías judiciales que las restantes medidas cautelares en un procedimiento administrativo. Las medidas impugnadas son compatibles con las previsiones de la Ley 39/2015, de 1 de octubre, del procedimiento administrativo común de las administraciones públicas.</w:t>
      </w:r>
    </w:p>
    <w:p w14:paraId="55E370FA" w14:textId="77777777" w:rsidR="00A8138F" w:rsidRDefault="00A8138F" w:rsidP="00A8138F">
      <w:pPr>
        <w:pStyle w:val="TextoNormal"/>
      </w:pPr>
    </w:p>
    <w:p w14:paraId="37239B3C" w14:textId="77777777" w:rsidR="00A8138F" w:rsidRDefault="00A8138F" w:rsidP="00A8138F">
      <w:pPr>
        <w:pStyle w:val="TextoNormal"/>
      </w:pPr>
      <w:r>
        <w:t>(viii) Respecto del art. 19.3, en realidad este precepto se refiere a la suspensión de actividades empresariales cuando se considera que la actividad supone un riesgo de contagio. Por ello, no es una suspensión de un derecho fundamental ni de la libertad de empresa prevista en el art. 38 CE, que no goza de reserva de ley orgánic</w:t>
      </w:r>
      <w:r w:rsidRPr="00A8138F">
        <w:rPr>
          <w:i/>
        </w:rPr>
        <w:t xml:space="preserve">a </w:t>
      </w:r>
      <w:r>
        <w:t>ex art. 81.1 CE.</w:t>
      </w:r>
    </w:p>
    <w:p w14:paraId="69F78629" w14:textId="77777777" w:rsidR="00A8138F" w:rsidRDefault="00A8138F" w:rsidP="00A8138F">
      <w:pPr>
        <w:pStyle w:val="TextoNormal"/>
      </w:pPr>
    </w:p>
    <w:p w14:paraId="16B2BA3E" w14:textId="55CF01BD" w:rsidR="00A8138F" w:rsidRDefault="00A8138F" w:rsidP="00A8138F">
      <w:pPr>
        <w:pStyle w:val="TextoNormal"/>
      </w:pPr>
      <w:r>
        <w:t xml:space="preserve">(ix) Finalmente, el art. 24.3 establece una presunción </w:t>
      </w:r>
      <w:r w:rsidRPr="00A8138F">
        <w:rPr>
          <w:i/>
        </w:rPr>
        <w:t>iuris tantum</w:t>
      </w:r>
      <w:r>
        <w:t xml:space="preserve"> que opera sin perjuicio de las medidas cautelares que pudiera acordar la autoridad judicial, y siempre que concurran circunstancias de urgencia que justifiquen la inmediata efectividad de las medidas de confinamiento que pudieran acordarse. No se pretende evitar la autorización judicial. Por su parte, respecto del art. 23.4 cabe efectuar consideraciones similares, pues no excluye la autorización judicial previa a la que se refiere la Ley de la jurisdicción contencioso-administrativa.</w:t>
      </w:r>
    </w:p>
    <w:p w14:paraId="0C11F4F0" w14:textId="77777777" w:rsidR="00A8138F" w:rsidRDefault="00A8138F" w:rsidP="00A8138F">
      <w:pPr>
        <w:pStyle w:val="TextoNormal"/>
      </w:pPr>
    </w:p>
    <w:p w14:paraId="7BD6D23B" w14:textId="7B4C18FA" w:rsidR="00A8138F" w:rsidRDefault="00A8138F" w:rsidP="00A8138F">
      <w:pPr>
        <w:pStyle w:val="TextoNormal"/>
      </w:pPr>
      <w:r w:rsidRPr="00A8138F">
        <w:rPr>
          <w:rStyle w:val="NumeroAFNegritaCaracter"/>
        </w:rPr>
        <w:t>12</w:t>
      </w:r>
      <w:r>
        <w:t>. Mediante providencia de 10 de junio de 2025, se señaló ese mismo día para la deliberación y votación de la presente sentencia.</w:t>
      </w:r>
    </w:p>
    <w:p w14:paraId="6049F67E" w14:textId="77777777" w:rsidR="00A8138F" w:rsidRDefault="00A8138F" w:rsidP="00A8138F">
      <w:pPr>
        <w:pStyle w:val="TextoNormal"/>
      </w:pPr>
    </w:p>
    <w:p w14:paraId="123D084D" w14:textId="77777777" w:rsidR="00A8138F" w:rsidRDefault="00A8138F" w:rsidP="00A8138F">
      <w:pPr>
        <w:pStyle w:val="TextoNormalNegritaCentrado"/>
        <w:keepNext/>
      </w:pPr>
      <w:r>
        <w:t>II. Fundamentos jurídicos</w:t>
      </w:r>
    </w:p>
    <w:p w14:paraId="6B3FC0A5" w14:textId="07CE591B" w:rsidR="00A8138F" w:rsidRDefault="00A8138F" w:rsidP="00A8138F">
      <w:pPr>
        <w:pStyle w:val="TextoNormalNegritaCentrado"/>
        <w:keepNext/>
      </w:pPr>
    </w:p>
    <w:p w14:paraId="5D3D1A9B" w14:textId="77777777" w:rsidR="00A8138F" w:rsidRDefault="00A8138F" w:rsidP="00A8138F">
      <w:pPr>
        <w:pStyle w:val="TextoNormal"/>
      </w:pPr>
      <w:r w:rsidRPr="00A8138F">
        <w:rPr>
          <w:rStyle w:val="NumeroAFNegritaCaracter"/>
        </w:rPr>
        <w:t>1</w:t>
      </w:r>
      <w:r>
        <w:t xml:space="preserve">. </w:t>
      </w:r>
      <w:r w:rsidRPr="00A8138F">
        <w:rPr>
          <w:i/>
        </w:rPr>
        <w:t>Objeto del recurso y posiciones de las partes</w:t>
      </w:r>
    </w:p>
    <w:p w14:paraId="0B7638C7" w14:textId="77777777" w:rsidR="00A8138F" w:rsidRDefault="00A8138F" w:rsidP="00A8138F">
      <w:pPr>
        <w:pStyle w:val="TextoNormal"/>
      </w:pPr>
    </w:p>
    <w:p w14:paraId="434DCD33" w14:textId="77777777" w:rsidR="00A8138F" w:rsidRDefault="00A8138F" w:rsidP="00A8138F">
      <w:pPr>
        <w:pStyle w:val="TextoNormal"/>
      </w:pPr>
      <w:r>
        <w:t>El presente recurso de inconstitucionalidad, promovido por cincuenta y dos diputados del Grupo Parlamentario Vox en el Congreso de los Diputados, se dirige contra los arts. 1 a), 2, 4, 8.1, 11.1, 14.3, 15.2, 19.3, 23.1, 24.3 y 4, 26.1 y 3, 30.1, 32.1, 33.2, 34.1 a) y b) y 36.2 a), b) y c) de la Ley del Parlamento Vasco 2/2021, de 24 de junio, de medidas para la gestión de la pandemia de covid-19, cuyo tenor se transcribe a continuación:</w:t>
      </w:r>
    </w:p>
    <w:p w14:paraId="37FA5F75" w14:textId="77777777" w:rsidR="00A8138F" w:rsidRDefault="00A8138F" w:rsidP="00A8138F">
      <w:pPr>
        <w:pStyle w:val="TextoNormal"/>
      </w:pPr>
    </w:p>
    <w:p w14:paraId="398FF409" w14:textId="77777777" w:rsidR="00A8138F" w:rsidRDefault="00A8138F" w:rsidP="00A8138F">
      <w:pPr>
        <w:pStyle w:val="TextoNormal"/>
      </w:pPr>
      <w:r>
        <w:t>“Artículo 1. Objeto</w:t>
      </w:r>
    </w:p>
    <w:p w14:paraId="0E161472" w14:textId="77777777" w:rsidR="00A8138F" w:rsidRDefault="00A8138F" w:rsidP="00A8138F">
      <w:pPr>
        <w:pStyle w:val="TextoNormal"/>
      </w:pPr>
    </w:p>
    <w:p w14:paraId="0584B1F1" w14:textId="77777777" w:rsidR="00A8138F" w:rsidRDefault="00A8138F" w:rsidP="00A8138F">
      <w:pPr>
        <w:pStyle w:val="TextoNormal"/>
      </w:pPr>
      <w:r>
        <w:t>Es objeto de esta ley la regulación de los instrumentos jurídicos y actuaciones que competen a las administraciones públicas vascas con el fin de prevenir y preservar la salud pública, garantizar la seguridad de las personas y sostener las capacidades del sistema sanitario vasco durante la situación de emergencia sanitaria ocasionada por la pandemia de la covid-19, habilitando la adopción de aquellas medidas de respuesta que requieren normas con rango de ley en atención a las siguientes materias:</w:t>
      </w:r>
    </w:p>
    <w:p w14:paraId="1402575C" w14:textId="77777777" w:rsidR="00A8138F" w:rsidRDefault="00A8138F" w:rsidP="00A8138F">
      <w:pPr>
        <w:pStyle w:val="TextoNormal"/>
      </w:pPr>
    </w:p>
    <w:p w14:paraId="4A8020CD" w14:textId="77777777" w:rsidR="00A8138F" w:rsidRDefault="00A8138F" w:rsidP="00A8138F">
      <w:pPr>
        <w:pStyle w:val="TextoNormal"/>
      </w:pPr>
      <w:r>
        <w:t>a) Declaración de la situación de emergencia sanitaria y establecimiento de niveles de alerta, así como, en su caso, las que correspondan al estado de alarma, en relación con la pandemia de covid-19”.</w:t>
      </w:r>
    </w:p>
    <w:p w14:paraId="68929011" w14:textId="77777777" w:rsidR="00A8138F" w:rsidRDefault="00A8138F" w:rsidP="00A8138F">
      <w:pPr>
        <w:pStyle w:val="TextoNormal"/>
      </w:pPr>
    </w:p>
    <w:p w14:paraId="7CB8B4BF" w14:textId="77777777" w:rsidR="00A8138F" w:rsidRDefault="00A8138F" w:rsidP="00A8138F">
      <w:pPr>
        <w:pStyle w:val="TextoNormal"/>
      </w:pPr>
      <w:r>
        <w:t>“Artículo 2. Ámbito temporal</w:t>
      </w:r>
    </w:p>
    <w:p w14:paraId="39CBCBF3" w14:textId="77777777" w:rsidR="00A8138F" w:rsidRDefault="00A8138F" w:rsidP="00A8138F">
      <w:pPr>
        <w:pStyle w:val="TextoNormal"/>
      </w:pPr>
    </w:p>
    <w:p w14:paraId="102DAD9A" w14:textId="77777777" w:rsidR="00A8138F" w:rsidRDefault="00A8138F" w:rsidP="00A8138F">
      <w:pPr>
        <w:pStyle w:val="TextoNormal"/>
      </w:pPr>
      <w:r>
        <w:t>1. Los artículos de esta ley que comprenden medidas de contención de la pandemia de covid-19 estarán en vigor mientras se encuentre vigente la declaración de emergencia sanitaria contenida en el artículo 4 de la ley.</w:t>
      </w:r>
    </w:p>
    <w:p w14:paraId="4505AEE0" w14:textId="77777777" w:rsidR="00A8138F" w:rsidRDefault="00A8138F" w:rsidP="00A8138F">
      <w:pPr>
        <w:pStyle w:val="TextoNormal"/>
      </w:pPr>
    </w:p>
    <w:p w14:paraId="40C0DF05" w14:textId="77777777" w:rsidR="00A8138F" w:rsidRDefault="00A8138F" w:rsidP="00A8138F">
      <w:pPr>
        <w:pStyle w:val="TextoNormal"/>
      </w:pPr>
      <w:r>
        <w:t>2. Los artículos de esta ley que comprendan medidas restrictivas de derechos fundamentales con carácter general estarán en vigor mientras esté vigente la declaración del estado de alarma”.</w:t>
      </w:r>
    </w:p>
    <w:p w14:paraId="0ED6621D" w14:textId="77777777" w:rsidR="00A8138F" w:rsidRDefault="00A8138F" w:rsidP="00A8138F">
      <w:pPr>
        <w:pStyle w:val="TextoNormal"/>
      </w:pPr>
    </w:p>
    <w:p w14:paraId="052ED62F" w14:textId="77777777" w:rsidR="00A8138F" w:rsidRDefault="00A8138F" w:rsidP="00A8138F">
      <w:pPr>
        <w:pStyle w:val="TextoNormal"/>
      </w:pPr>
      <w:r>
        <w:t>“Artículo 4. Declaración de la situación de emergencia sanitaria</w:t>
      </w:r>
    </w:p>
    <w:p w14:paraId="30B30E79" w14:textId="77777777" w:rsidR="00A8138F" w:rsidRDefault="00A8138F" w:rsidP="00A8138F">
      <w:pPr>
        <w:pStyle w:val="TextoNormal"/>
      </w:pPr>
    </w:p>
    <w:p w14:paraId="6AE350EF" w14:textId="77777777" w:rsidR="00A8138F" w:rsidRDefault="00A8138F" w:rsidP="00A8138F">
      <w:pPr>
        <w:pStyle w:val="TextoNormal"/>
      </w:pPr>
      <w:r>
        <w:t>1. En tanto la Comunidad Autónoma de Euskadi o parte de ella, por razones vinculadas con la pandemia de covid-19, permanezca en estado de alarma, de acuerdo con el régimen previsto por la legislación orgánica, o se mantengan a nivel de la Comunidad Autónoma de Euskadi los indicadores epidemiológicos que determinan el establecimiento del nivel más bajo de alerta de entre los relacionados en este título (nivel 1), podrá permanecer en vigor la situación de emergencia.</w:t>
      </w:r>
    </w:p>
    <w:p w14:paraId="26545E28" w14:textId="77777777" w:rsidR="00A8138F" w:rsidRDefault="00A8138F" w:rsidP="00A8138F">
      <w:pPr>
        <w:pStyle w:val="TextoNormal"/>
      </w:pPr>
    </w:p>
    <w:p w14:paraId="67D0CD63" w14:textId="77777777" w:rsidR="00A8138F" w:rsidRDefault="00A8138F" w:rsidP="00A8138F">
      <w:pPr>
        <w:pStyle w:val="TextoNormal"/>
      </w:pPr>
      <w:r>
        <w:t>2. Mientras dure la situación de emergencia sanitaria, el Lehendakari, sin perjuicio de las facultades que le correspondan como autoridad delegada en virtud, en su caso, de la declaración del estado de alarma, asumirá también la dirección única y coordinación de las actividades de la emergencia contempladas en la presente ley y aquellas previstas ante la situación generada por la alerta sanitaria derivada de la propagación de la covid-19 en el plan de protección civil de Euskadi-Labi”.</w:t>
      </w:r>
    </w:p>
    <w:p w14:paraId="331897FA" w14:textId="77777777" w:rsidR="00A8138F" w:rsidRDefault="00A8138F" w:rsidP="00A8138F">
      <w:pPr>
        <w:pStyle w:val="TextoNormal"/>
      </w:pPr>
    </w:p>
    <w:p w14:paraId="4AC84E02" w14:textId="77777777" w:rsidR="00A8138F" w:rsidRDefault="00A8138F" w:rsidP="00A8138F">
      <w:pPr>
        <w:pStyle w:val="TextoNormal"/>
      </w:pPr>
      <w:r>
        <w:t>“Artículo 8. Determinación de las medidas específicas aplicables a cada nivel territorial y administraciones competentes</w:t>
      </w:r>
    </w:p>
    <w:p w14:paraId="2B3AF170" w14:textId="77777777" w:rsidR="00A8138F" w:rsidRDefault="00A8138F" w:rsidP="00A8138F">
      <w:pPr>
        <w:pStyle w:val="TextoNormal"/>
      </w:pPr>
    </w:p>
    <w:p w14:paraId="07C35EA5" w14:textId="77777777" w:rsidR="00A8138F" w:rsidRDefault="00A8138F" w:rsidP="00A8138F">
      <w:pPr>
        <w:pStyle w:val="TextoNormal"/>
      </w:pPr>
      <w:r>
        <w:t>1. Sin perjuicio de aquellas aplicables por mandato de esta ley y con carácter general en cada nivel, la determinación de las medidas específicas aplicables en cada nivel territorial en función del nivel de alerta se hará directamente por decreto del Lehendakari, como encargado de la dirección única y coordinación de las actividades de la emergencia según lo previsto en el artículo 4”.</w:t>
      </w:r>
    </w:p>
    <w:p w14:paraId="7BCF7B90" w14:textId="77777777" w:rsidR="00A8138F" w:rsidRDefault="00A8138F" w:rsidP="00A8138F">
      <w:pPr>
        <w:pStyle w:val="TextoNormal"/>
      </w:pPr>
    </w:p>
    <w:p w14:paraId="4050BCDB" w14:textId="77777777" w:rsidR="00A8138F" w:rsidRDefault="00A8138F" w:rsidP="00A8138F">
      <w:pPr>
        <w:pStyle w:val="TextoNormal"/>
      </w:pPr>
      <w:r>
        <w:t>“Artículo 11. Prestaciones personales conectadas a la declaración del estado de alarma</w:t>
      </w:r>
    </w:p>
    <w:p w14:paraId="21CEA403" w14:textId="77777777" w:rsidR="00A8138F" w:rsidRDefault="00A8138F" w:rsidP="00A8138F">
      <w:pPr>
        <w:pStyle w:val="TextoNormal"/>
      </w:pPr>
    </w:p>
    <w:p w14:paraId="57E8BDBC" w14:textId="77777777" w:rsidR="00A8138F" w:rsidRDefault="00A8138F" w:rsidP="00A8138F">
      <w:pPr>
        <w:pStyle w:val="TextoNormal"/>
      </w:pPr>
      <w:r>
        <w:t>1. De conformidad con lo dispuesto en el apartado b) del artículo 11 de la Ley Orgánica 4/1981, de 1 de junio, de los estados de alarma, excepción y sitio, y de acuerdo con lo que disponga la declaración vigente del estado de alarma, las autoridades competentes delegadas podrán imponer en su ámbito territorial la realización de las prestaciones personales obligatorias que resulten imprescindibles en el ámbito de sus sistemas sanitarios y sociosanitarios para responder a la situación de emergencia sanitaria que motiva la aprobación de esta ley”.</w:t>
      </w:r>
    </w:p>
    <w:p w14:paraId="6EAF2607" w14:textId="77777777" w:rsidR="00A8138F" w:rsidRDefault="00A8138F" w:rsidP="00A8138F">
      <w:pPr>
        <w:pStyle w:val="TextoNormal"/>
      </w:pPr>
    </w:p>
    <w:p w14:paraId="13571D51" w14:textId="77777777" w:rsidR="00A8138F" w:rsidRDefault="00A8138F" w:rsidP="00A8138F">
      <w:pPr>
        <w:pStyle w:val="TextoNormal"/>
      </w:pPr>
      <w:r>
        <w:t>“Artículo 14. Realización de pruebas diagnósticas y vacunación</w:t>
      </w:r>
    </w:p>
    <w:p w14:paraId="449A202B" w14:textId="77777777" w:rsidR="00A8138F" w:rsidRDefault="00A8138F" w:rsidP="00A8138F">
      <w:pPr>
        <w:pStyle w:val="TextoNormal"/>
      </w:pPr>
    </w:p>
    <w:p w14:paraId="566FADD2" w14:textId="77777777" w:rsidR="00A8138F" w:rsidRDefault="00A8138F" w:rsidP="00A8138F">
      <w:pPr>
        <w:pStyle w:val="TextoNormal"/>
      </w:pPr>
      <w:r>
        <w:t>[…]</w:t>
      </w:r>
    </w:p>
    <w:p w14:paraId="734EF0AE" w14:textId="77777777" w:rsidR="00A8138F" w:rsidRDefault="00A8138F" w:rsidP="00A8138F">
      <w:pPr>
        <w:pStyle w:val="TextoNormal"/>
      </w:pPr>
    </w:p>
    <w:p w14:paraId="2ED763F0" w14:textId="77777777" w:rsidR="00A8138F" w:rsidRDefault="00A8138F" w:rsidP="00A8138F">
      <w:pPr>
        <w:pStyle w:val="TextoNormal"/>
      </w:pPr>
      <w:r>
        <w:t>3. La realización de pruebas diagnósticas de acuerdo con lo previsto en esta ley se ajustará a lo previsto en los artículos 8 y 9.2 a) de la Ley 41/2002, de 14 de noviembre, básica reguladora de la autonomía del paciente y de derechos y obligaciones en materia de información y documentación clínica. La denegación del consentimiento para la realización de las pruebas por la persona afectada se recogerá por escrito y llevará aparejada como consecuencia la imposibilidad de llevar a cabo el trabajo o la actividad sujeta a la realización de la misma, así como, en su caso, la posibilidad de que se impongan restricciones u obligaciones personalizadas en los términos previstos por esta ley. Este mismo precepto se aplicará a los efectos de la exigencia de vacunación”.</w:t>
      </w:r>
    </w:p>
    <w:p w14:paraId="635F8213" w14:textId="77777777" w:rsidR="00A8138F" w:rsidRDefault="00A8138F" w:rsidP="00A8138F">
      <w:pPr>
        <w:pStyle w:val="TextoNormal"/>
      </w:pPr>
    </w:p>
    <w:p w14:paraId="4E6AA23A" w14:textId="77777777" w:rsidR="00A8138F" w:rsidRDefault="00A8138F" w:rsidP="00A8138F">
      <w:pPr>
        <w:pStyle w:val="TextoNormal"/>
      </w:pPr>
      <w:r>
        <w:t>“Artículo 15. Realización de test aleatorios y cribados</w:t>
      </w:r>
    </w:p>
    <w:p w14:paraId="4C11A47E" w14:textId="77777777" w:rsidR="00A8138F" w:rsidRDefault="00A8138F" w:rsidP="00A8138F">
      <w:pPr>
        <w:pStyle w:val="TextoNormal"/>
      </w:pPr>
    </w:p>
    <w:p w14:paraId="45EB1C43" w14:textId="77777777" w:rsidR="00A8138F" w:rsidRDefault="00A8138F" w:rsidP="00A8138F">
      <w:pPr>
        <w:pStyle w:val="TextoNormal"/>
      </w:pPr>
      <w:r>
        <w:t>[…]</w:t>
      </w:r>
    </w:p>
    <w:p w14:paraId="340057B7" w14:textId="77777777" w:rsidR="00A8138F" w:rsidRDefault="00A8138F" w:rsidP="00A8138F">
      <w:pPr>
        <w:pStyle w:val="TextoNormal"/>
      </w:pPr>
    </w:p>
    <w:p w14:paraId="539B4ACE" w14:textId="77777777" w:rsidR="00A8138F" w:rsidRDefault="00A8138F" w:rsidP="00A8138F">
      <w:pPr>
        <w:pStyle w:val="TextoNormal"/>
      </w:pPr>
      <w:r>
        <w:t>2. La denegación del consentimiento para la realización de las pruebas diagnósticas programadas en relación con dichos cribados se tramitará en la forma prevista en el artículo anterior y llevará aparejadas las consecuencias que en él se establecen”.</w:t>
      </w:r>
    </w:p>
    <w:p w14:paraId="7B6E47E8" w14:textId="77777777" w:rsidR="00A8138F" w:rsidRDefault="00A8138F" w:rsidP="00A8138F">
      <w:pPr>
        <w:pStyle w:val="TextoNormal"/>
      </w:pPr>
    </w:p>
    <w:p w14:paraId="610DC8B9" w14:textId="77777777" w:rsidR="00A8138F" w:rsidRDefault="00A8138F" w:rsidP="00A8138F">
      <w:pPr>
        <w:pStyle w:val="TextoNormal"/>
      </w:pPr>
      <w:r>
        <w:t>“Artículo 19. Inspección y control</w:t>
      </w:r>
    </w:p>
    <w:p w14:paraId="1709ADAE" w14:textId="77777777" w:rsidR="00A8138F" w:rsidRDefault="00A8138F" w:rsidP="00A8138F">
      <w:pPr>
        <w:pStyle w:val="TextoNormal"/>
      </w:pPr>
    </w:p>
    <w:p w14:paraId="0AF831D3" w14:textId="77777777" w:rsidR="00A8138F" w:rsidRDefault="00A8138F" w:rsidP="00A8138F">
      <w:pPr>
        <w:pStyle w:val="TextoNormal"/>
      </w:pPr>
      <w:r>
        <w:t>[…]</w:t>
      </w:r>
    </w:p>
    <w:p w14:paraId="76EA2094" w14:textId="77777777" w:rsidR="00A8138F" w:rsidRDefault="00A8138F" w:rsidP="00A8138F">
      <w:pPr>
        <w:pStyle w:val="TextoNormal"/>
      </w:pPr>
    </w:p>
    <w:p w14:paraId="30880541" w14:textId="77777777" w:rsidR="00A8138F" w:rsidRDefault="00A8138F" w:rsidP="00A8138F">
      <w:pPr>
        <w:pStyle w:val="TextoNormal"/>
      </w:pPr>
      <w:r>
        <w:t>3. Sin perjuicio de las medidas generales y específicas que esta ley prevé, mediante orden del titular del departamento competente en materia de salud, podrá suspenderse, en los términos previstos en este artículo, la apertura de cualquier establecimiento o la realización de cualquier actividad que pueda suponer un riesgo de contagio por las condiciones en las que se esté desarrollando la actividad de que se trate”.</w:t>
      </w:r>
    </w:p>
    <w:p w14:paraId="0AC4A3A6" w14:textId="77777777" w:rsidR="00A8138F" w:rsidRDefault="00A8138F" w:rsidP="00A8138F">
      <w:pPr>
        <w:pStyle w:val="TextoNormal"/>
      </w:pPr>
    </w:p>
    <w:p w14:paraId="49D12728" w14:textId="77777777" w:rsidR="00A8138F" w:rsidRDefault="00A8138F" w:rsidP="00A8138F">
      <w:pPr>
        <w:pStyle w:val="TextoNormal"/>
      </w:pPr>
      <w:r>
        <w:t>“Artículo 23. Aislamientos y cuarentenas personales</w:t>
      </w:r>
    </w:p>
    <w:p w14:paraId="333FF99E" w14:textId="77777777" w:rsidR="00A8138F" w:rsidRDefault="00A8138F" w:rsidP="00A8138F">
      <w:pPr>
        <w:pStyle w:val="TextoNormal"/>
      </w:pPr>
    </w:p>
    <w:p w14:paraId="4D255BF4" w14:textId="77777777" w:rsidR="00A8138F" w:rsidRDefault="00A8138F" w:rsidP="00A8138F">
      <w:pPr>
        <w:pStyle w:val="TextoNormal"/>
      </w:pPr>
      <w:r>
        <w:t>1. En virtud de las resoluciones que pudiera adoptar la autoridad sanitaria o de las actuaciones materiales desarrolladas por los servicios sanitarios para la contención de los brotes epidémicos de la pandemia de covid-19, las personas afectadas tendrán la siguiente obligación personal de confinamiento:</w:t>
      </w:r>
    </w:p>
    <w:p w14:paraId="6034F41E" w14:textId="77777777" w:rsidR="00A8138F" w:rsidRDefault="00A8138F" w:rsidP="00A8138F">
      <w:pPr>
        <w:pStyle w:val="TextoNormal"/>
      </w:pPr>
    </w:p>
    <w:p w14:paraId="26452EF3" w14:textId="77777777" w:rsidR="00A8138F" w:rsidRDefault="00A8138F" w:rsidP="00A8138F">
      <w:pPr>
        <w:pStyle w:val="TextoNormal"/>
      </w:pPr>
      <w:r>
        <w:t>a) Obligación de aislamiento, en cuya virtud cualquier persona contagiada por SARS-CoV-2 permanecerá en el lugar que se le indique, durante el plazo establecido en cada caso, sin posibilidad de desplazarse ni de relacionarse presencialmente con otras personas.</w:t>
      </w:r>
    </w:p>
    <w:p w14:paraId="3B0BBCF4" w14:textId="77777777" w:rsidR="00A8138F" w:rsidRDefault="00A8138F" w:rsidP="00A8138F">
      <w:pPr>
        <w:pStyle w:val="TextoNormal"/>
      </w:pPr>
    </w:p>
    <w:p w14:paraId="405CF3EA" w14:textId="77777777" w:rsidR="00A8138F" w:rsidRDefault="00A8138F" w:rsidP="00A8138F">
      <w:pPr>
        <w:pStyle w:val="TextoNormal"/>
      </w:pPr>
      <w:r>
        <w:t>b) Obligación de cuarentena, en cuya virtud cualquier persona o grupo de personas sospechosas de haber sido contagiadas permanecerá en el lugar que se le indique, durante el plazo establecido en cada caso, sin posibilidad de desplazarse ni de relacionarse presencialmente con otras personas”.</w:t>
      </w:r>
    </w:p>
    <w:p w14:paraId="0EE6B5AB" w14:textId="77777777" w:rsidR="00A8138F" w:rsidRDefault="00A8138F" w:rsidP="00A8138F">
      <w:pPr>
        <w:pStyle w:val="TextoNormal"/>
      </w:pPr>
    </w:p>
    <w:p w14:paraId="014B5458" w14:textId="77777777" w:rsidR="00A8138F" w:rsidRDefault="00A8138F" w:rsidP="00A8138F">
      <w:pPr>
        <w:pStyle w:val="TextoNormal"/>
      </w:pPr>
      <w:r>
        <w:t>“Artículo 24. Autorización o ratificación judicial</w:t>
      </w:r>
    </w:p>
    <w:p w14:paraId="195786F8" w14:textId="77777777" w:rsidR="00A8138F" w:rsidRDefault="00A8138F" w:rsidP="00A8138F">
      <w:pPr>
        <w:pStyle w:val="TextoNormal"/>
      </w:pPr>
    </w:p>
    <w:p w14:paraId="60FC0E7A" w14:textId="77777777" w:rsidR="00A8138F" w:rsidRDefault="00A8138F" w:rsidP="00A8138F">
      <w:pPr>
        <w:pStyle w:val="TextoNormal"/>
      </w:pPr>
      <w:r>
        <w:t>[…]</w:t>
      </w:r>
    </w:p>
    <w:p w14:paraId="4468DA85" w14:textId="77777777" w:rsidR="00A8138F" w:rsidRDefault="00A8138F" w:rsidP="00A8138F">
      <w:pPr>
        <w:pStyle w:val="TextoNormal"/>
      </w:pPr>
    </w:p>
    <w:p w14:paraId="4B7B2C31" w14:textId="77777777" w:rsidR="00A8138F" w:rsidRDefault="00A8138F" w:rsidP="00A8138F">
      <w:pPr>
        <w:pStyle w:val="TextoNormal"/>
      </w:pPr>
      <w:r>
        <w:t>3. En todo caso, atendida la evolución actual de la pandemia de covid-19 y la imperiosa necesidad de que las medidas para combatirla sean efectivas de inmediato para preservar la vida de las personas, garantizando la eficaz preservación de los intereses generales que exigen la intervención contra la pandemia de covid-19 y la preservación de la capacidad asistencial del sistema de salud, se presumirá, salvo prueba en contrario y siempre sin perjuicio de las medidas cautelares que pudiera acordar la autoridad judicial, que concurren circunstancias de urgencia que justifican la inmediata efectividad de las medidas de confinamiento que pudieran acordarse por la autoridad sanitaria y, consecuentemente, la aplicación del régimen de ratificación judicial de dichas medidas.</w:t>
      </w:r>
    </w:p>
    <w:p w14:paraId="7654D0DF" w14:textId="77777777" w:rsidR="00A8138F" w:rsidRDefault="00A8138F" w:rsidP="00A8138F">
      <w:pPr>
        <w:pStyle w:val="TextoNormal"/>
      </w:pPr>
    </w:p>
    <w:p w14:paraId="452B4853" w14:textId="77777777" w:rsidR="00A8138F" w:rsidRDefault="00A8138F" w:rsidP="00A8138F">
      <w:pPr>
        <w:pStyle w:val="TextoNormal"/>
      </w:pPr>
      <w:r>
        <w:t>4. Las medidas sanitarias acordadas por los órganos competentes que hayan de aplicarse por esta u otras leyes, o en virtud de disposición normativa con rango de ley, se regirán por su régimen específico. No será necesaria la ratificación judicial de las medidas generales aplicables por mandato de esta ley a cada uno de los niveles de alerta previstos”.</w:t>
      </w:r>
    </w:p>
    <w:p w14:paraId="2EA3F739" w14:textId="77777777" w:rsidR="00A8138F" w:rsidRDefault="00A8138F" w:rsidP="00A8138F">
      <w:pPr>
        <w:pStyle w:val="TextoNormal"/>
      </w:pPr>
    </w:p>
    <w:p w14:paraId="130DD896" w14:textId="77777777" w:rsidR="00A8138F" w:rsidRDefault="00A8138F" w:rsidP="00A8138F">
      <w:pPr>
        <w:pStyle w:val="TextoNormal"/>
      </w:pPr>
      <w:r>
        <w:t>“Artículo 26. Medidas generales por mandato de la ley en alerta 1</w:t>
      </w:r>
    </w:p>
    <w:p w14:paraId="08E94B25" w14:textId="77777777" w:rsidR="00A8138F" w:rsidRDefault="00A8138F" w:rsidP="00A8138F">
      <w:pPr>
        <w:pStyle w:val="TextoNormal"/>
      </w:pPr>
    </w:p>
    <w:p w14:paraId="4457521B" w14:textId="77777777" w:rsidR="00A8138F" w:rsidRDefault="00A8138F" w:rsidP="00A8138F">
      <w:pPr>
        <w:pStyle w:val="TextoNormal"/>
      </w:pPr>
      <w:r>
        <w:t>Con carácter general y por mandato de esta ley, en este nivel de alerta se aplicarán automáticamente las siguientes medidas:</w:t>
      </w:r>
    </w:p>
    <w:p w14:paraId="4051E5A0" w14:textId="77777777" w:rsidR="00A8138F" w:rsidRDefault="00A8138F" w:rsidP="00A8138F">
      <w:pPr>
        <w:pStyle w:val="TextoNormal"/>
      </w:pPr>
    </w:p>
    <w:p w14:paraId="1D304A61" w14:textId="77777777" w:rsidR="00A8138F" w:rsidRDefault="00A8138F" w:rsidP="00A8138F">
      <w:pPr>
        <w:pStyle w:val="TextoNormal"/>
      </w:pPr>
      <w:r>
        <w:t>1. Movilidad y circulación nocturnas. Se acordarán medidas circunstanciales de restricción de la movilidad nocturna o de limitación de la libertad de circulación de las personas en horario nocturno, que como mínimo habrán de respetar lo previsto en el régimen jurídico de la declaración del estado de alarma. Se valorará su desactivación en las situaciones de tendencia a la baja o estable.</w:t>
      </w:r>
    </w:p>
    <w:p w14:paraId="485E4EAF" w14:textId="77777777" w:rsidR="00A8138F" w:rsidRDefault="00A8138F" w:rsidP="00A8138F">
      <w:pPr>
        <w:pStyle w:val="TextoNormal"/>
      </w:pPr>
    </w:p>
    <w:p w14:paraId="65B6AA5A" w14:textId="77777777" w:rsidR="00A8138F" w:rsidRDefault="00A8138F" w:rsidP="00A8138F">
      <w:pPr>
        <w:pStyle w:val="TextoNormal"/>
      </w:pPr>
      <w:r>
        <w:t>Asimismo, se valorará en este nivel y, en su caso, de acuerdo con el régimen jurídico de la declaración del estado de alarma, la activación o desactivación de las restricciones de movilidad del territorio de la Comunidad Autónoma de Euskadi.</w:t>
      </w:r>
    </w:p>
    <w:p w14:paraId="6D2451C1" w14:textId="77777777" w:rsidR="00A8138F" w:rsidRDefault="00A8138F" w:rsidP="00A8138F">
      <w:pPr>
        <w:pStyle w:val="TextoNormal"/>
      </w:pPr>
    </w:p>
    <w:p w14:paraId="20C6801B" w14:textId="77777777" w:rsidR="00A8138F" w:rsidRDefault="00A8138F" w:rsidP="00A8138F">
      <w:pPr>
        <w:pStyle w:val="TextoNormal"/>
      </w:pPr>
      <w:r>
        <w:t>[…]</w:t>
      </w:r>
    </w:p>
    <w:p w14:paraId="37CA23B2" w14:textId="77777777" w:rsidR="00A8138F" w:rsidRDefault="00A8138F" w:rsidP="00A8138F">
      <w:pPr>
        <w:pStyle w:val="TextoNormal"/>
      </w:pPr>
    </w:p>
    <w:p w14:paraId="7738A59E" w14:textId="77777777" w:rsidR="00A8138F" w:rsidRDefault="00A8138F" w:rsidP="00A8138F">
      <w:pPr>
        <w:pStyle w:val="TextoNormal"/>
      </w:pPr>
      <w:r>
        <w:t>3. Régimen de reuniones sociales. Las reuniones sociales no podrán superar el número de treinta y cinco personas cuando tengan lugar en espacio cerrado, ni el de setenta y cinco personas cuando se produzcan al aire libre. En tales reuniones sociales no podrán realizarse barras libres, actividades de baile ni ninguna otra que favorezca en cualquier forma un incremento del riesgo como consecuencia de la reducción del distanciamiento social y el aumento de la interacción social. Se podrá limitar la permanencia de grupos de personas en espacios públicos y privados a un máximo de diez personas, respetando el máximo en su caso previsto en el régimen jurídico de la declaración del estado de alarma que en cada momento esté en vigor”.</w:t>
      </w:r>
    </w:p>
    <w:p w14:paraId="6DA3CE54" w14:textId="77777777" w:rsidR="00A8138F" w:rsidRDefault="00A8138F" w:rsidP="00A8138F">
      <w:pPr>
        <w:pStyle w:val="TextoNormal"/>
      </w:pPr>
    </w:p>
    <w:p w14:paraId="4E2953B2" w14:textId="77777777" w:rsidR="00A8138F" w:rsidRDefault="00A8138F" w:rsidP="00A8138F">
      <w:pPr>
        <w:pStyle w:val="TextoNormal"/>
      </w:pPr>
      <w:r>
        <w:t>“Artículo 30. Medidas generales por mandato de la ley en alerta 3</w:t>
      </w:r>
    </w:p>
    <w:p w14:paraId="22E28D81" w14:textId="77777777" w:rsidR="00A8138F" w:rsidRDefault="00A8138F" w:rsidP="00A8138F">
      <w:pPr>
        <w:pStyle w:val="TextoNormal"/>
      </w:pPr>
    </w:p>
    <w:p w14:paraId="134A9139" w14:textId="77777777" w:rsidR="00A8138F" w:rsidRDefault="00A8138F" w:rsidP="00A8138F">
      <w:pPr>
        <w:pStyle w:val="TextoNormal"/>
      </w:pPr>
      <w:r>
        <w:t>1. Con carácter general y por mandato de esta ley, en este nivel de alerta se aplicarán automáticamente las siguientes medidas:</w:t>
      </w:r>
    </w:p>
    <w:p w14:paraId="7DBD1788" w14:textId="77777777" w:rsidR="00A8138F" w:rsidRDefault="00A8138F" w:rsidP="00A8138F">
      <w:pPr>
        <w:pStyle w:val="TextoNormal"/>
      </w:pPr>
    </w:p>
    <w:p w14:paraId="7A83A841" w14:textId="77777777" w:rsidR="00A8138F" w:rsidRDefault="00A8138F" w:rsidP="00A8138F">
      <w:pPr>
        <w:pStyle w:val="TextoNormal"/>
      </w:pPr>
      <w:r>
        <w:t>a) Movilidad y circulación nocturnas: Se establecerán medidas de restricción de la movilidad nocturna o de limitación de la libertad de circulación de las personas en horario nocturno, respetando en su caso los límites dispuestos por el régimen jurídico de la declaración del estado de alarma.</w:t>
      </w:r>
    </w:p>
    <w:p w14:paraId="0FB2AB5D" w14:textId="77777777" w:rsidR="00A8138F" w:rsidRDefault="00A8138F" w:rsidP="00A8138F">
      <w:pPr>
        <w:pStyle w:val="TextoNormal"/>
      </w:pPr>
    </w:p>
    <w:p w14:paraId="4AAFC819" w14:textId="77777777" w:rsidR="00A8138F" w:rsidRDefault="00A8138F" w:rsidP="00A8138F">
      <w:pPr>
        <w:pStyle w:val="TextoNormal"/>
      </w:pPr>
      <w:r>
        <w:t>b) Movilidad territorial: Se establecerán restricciones de movilidad del territorio de la Comunidad Autónoma de Euskadi, respetando en su caso los límites dispuestos por el régimen jurídico de la declaración del estado de alarma.</w:t>
      </w:r>
    </w:p>
    <w:p w14:paraId="08BB77B0" w14:textId="77777777" w:rsidR="00A8138F" w:rsidRDefault="00A8138F" w:rsidP="00A8138F">
      <w:pPr>
        <w:pStyle w:val="TextoNormal"/>
      </w:pPr>
    </w:p>
    <w:p w14:paraId="1D4E6BC2" w14:textId="77777777" w:rsidR="00A8138F" w:rsidRDefault="00A8138F" w:rsidP="00A8138F">
      <w:pPr>
        <w:pStyle w:val="TextoNormal"/>
      </w:pPr>
      <w:r>
        <w:t>c) Grupos de personas: Se podrá limitar la permanencia de grupos de personas en espacios públicos y privados a un máximo de seis personas, respetando en su caso los límites dispuestos por el régimen jurídico de la declaración del estado de alarma”.</w:t>
      </w:r>
    </w:p>
    <w:p w14:paraId="69411568" w14:textId="77777777" w:rsidR="00A8138F" w:rsidRDefault="00A8138F" w:rsidP="00A8138F">
      <w:pPr>
        <w:pStyle w:val="TextoNormal"/>
      </w:pPr>
    </w:p>
    <w:p w14:paraId="09E945CA" w14:textId="77777777" w:rsidR="00A8138F" w:rsidRDefault="00A8138F" w:rsidP="00A8138F">
      <w:pPr>
        <w:pStyle w:val="TextoNormal"/>
      </w:pPr>
      <w:r>
        <w:t>“Artículo 32. Medidas generales por mandato de la ley en alerta 4</w:t>
      </w:r>
    </w:p>
    <w:p w14:paraId="55A3BABE" w14:textId="77777777" w:rsidR="00A8138F" w:rsidRDefault="00A8138F" w:rsidP="00A8138F">
      <w:pPr>
        <w:pStyle w:val="TextoNormal"/>
      </w:pPr>
    </w:p>
    <w:p w14:paraId="73EBF688" w14:textId="77777777" w:rsidR="00A8138F" w:rsidRDefault="00A8138F" w:rsidP="00A8138F">
      <w:pPr>
        <w:pStyle w:val="TextoNormal"/>
      </w:pPr>
      <w:r>
        <w:t>1. Con carácter general y por mandato de esta ley, en este nivel de alerta se aplicarán automáticamente las siguientes medidas:</w:t>
      </w:r>
    </w:p>
    <w:p w14:paraId="29314799" w14:textId="77777777" w:rsidR="00A8138F" w:rsidRDefault="00A8138F" w:rsidP="00A8138F">
      <w:pPr>
        <w:pStyle w:val="TextoNormal"/>
      </w:pPr>
    </w:p>
    <w:p w14:paraId="1BFB6618" w14:textId="77777777" w:rsidR="00A8138F" w:rsidRDefault="00A8138F" w:rsidP="00A8138F">
      <w:pPr>
        <w:pStyle w:val="TextoNormal"/>
      </w:pPr>
      <w:r>
        <w:t>a) Movilidad interna dentro del territorio: Se establecerán restricciones de movilidad interna dentro del territorio de la Comunidad Autónoma de Euskadi, que podrán afectar tanto al confinamiento perimetral territorial de municipios como al de territorios históricos, respetando en su caso los límites dispuestos por el régimen jurídico de la declaración del estado de alarma.</w:t>
      </w:r>
    </w:p>
    <w:p w14:paraId="07A88576" w14:textId="77777777" w:rsidR="00A8138F" w:rsidRDefault="00A8138F" w:rsidP="00A8138F">
      <w:pPr>
        <w:pStyle w:val="TextoNormal"/>
      </w:pPr>
    </w:p>
    <w:p w14:paraId="37988130" w14:textId="77777777" w:rsidR="00A8138F" w:rsidRDefault="00A8138F" w:rsidP="00A8138F">
      <w:pPr>
        <w:pStyle w:val="TextoNormal"/>
      </w:pPr>
      <w:r>
        <w:t>b) Grupos de personas: Se podrá limitar la permanencia de grupos de personas en espacios públicos y privados a un máximo de cuatro personas, respetando en su caso los límites dispuestos por el régimen jurídico de la declaración del estado de alarma”.</w:t>
      </w:r>
    </w:p>
    <w:p w14:paraId="662172CD" w14:textId="77777777" w:rsidR="00A8138F" w:rsidRDefault="00A8138F" w:rsidP="00A8138F">
      <w:pPr>
        <w:pStyle w:val="TextoNormal"/>
      </w:pPr>
    </w:p>
    <w:p w14:paraId="4E221BAB" w14:textId="77777777" w:rsidR="00A8138F" w:rsidRDefault="00A8138F" w:rsidP="00A8138F">
      <w:pPr>
        <w:pStyle w:val="TextoNormal"/>
      </w:pPr>
      <w:r>
        <w:t>“Artículo 33. Medidas específicas en alerta 4</w:t>
      </w:r>
    </w:p>
    <w:p w14:paraId="5B676510" w14:textId="77777777" w:rsidR="00A8138F" w:rsidRDefault="00A8138F" w:rsidP="00A8138F">
      <w:pPr>
        <w:pStyle w:val="TextoNormal"/>
      </w:pPr>
    </w:p>
    <w:p w14:paraId="281C6497" w14:textId="77777777" w:rsidR="00A8138F" w:rsidRDefault="00A8138F" w:rsidP="00A8138F">
      <w:pPr>
        <w:pStyle w:val="TextoNormal"/>
      </w:pPr>
      <w:r>
        <w:t>Además de las previstas por el artículo anterior, en este nivel de alerta se podrán adoptar las siguientes medidas específicas:</w:t>
      </w:r>
    </w:p>
    <w:p w14:paraId="4A8A7CBE" w14:textId="77777777" w:rsidR="00A8138F" w:rsidRDefault="00A8138F" w:rsidP="00A8138F">
      <w:pPr>
        <w:pStyle w:val="TextoNormal"/>
      </w:pPr>
    </w:p>
    <w:p w14:paraId="6378F7E5" w14:textId="77777777" w:rsidR="00A8138F" w:rsidRDefault="00A8138F" w:rsidP="00A8138F">
      <w:pPr>
        <w:pStyle w:val="TextoNormal"/>
      </w:pPr>
      <w:r>
        <w:t>[…]</w:t>
      </w:r>
    </w:p>
    <w:p w14:paraId="305A0AE0" w14:textId="77777777" w:rsidR="00A8138F" w:rsidRDefault="00A8138F" w:rsidP="00A8138F">
      <w:pPr>
        <w:pStyle w:val="TextoNormal"/>
      </w:pPr>
    </w:p>
    <w:p w14:paraId="44F62801" w14:textId="77777777" w:rsidR="00A8138F" w:rsidRDefault="00A8138F" w:rsidP="00A8138F">
      <w:pPr>
        <w:pStyle w:val="TextoNormal"/>
      </w:pPr>
      <w:r>
        <w:t>2. Suspensión de todo tipo de actividades sociales y culturales en formato presencial”.</w:t>
      </w:r>
    </w:p>
    <w:p w14:paraId="183306B1" w14:textId="77777777" w:rsidR="00A8138F" w:rsidRDefault="00A8138F" w:rsidP="00A8138F">
      <w:pPr>
        <w:pStyle w:val="TextoNormal"/>
      </w:pPr>
    </w:p>
    <w:p w14:paraId="39EBC377" w14:textId="77777777" w:rsidR="00A8138F" w:rsidRDefault="00A8138F" w:rsidP="00A8138F">
      <w:pPr>
        <w:pStyle w:val="TextoNormal"/>
      </w:pPr>
      <w:r>
        <w:t>“Artículo 34. Medidas generales por mandato de la ley en alerta 5</w:t>
      </w:r>
    </w:p>
    <w:p w14:paraId="07D242C5" w14:textId="77777777" w:rsidR="00A8138F" w:rsidRDefault="00A8138F" w:rsidP="00A8138F">
      <w:pPr>
        <w:pStyle w:val="TextoNormal"/>
      </w:pPr>
    </w:p>
    <w:p w14:paraId="5929CFFF" w14:textId="77777777" w:rsidR="00A8138F" w:rsidRDefault="00A8138F" w:rsidP="00A8138F">
      <w:pPr>
        <w:pStyle w:val="TextoNormal"/>
      </w:pPr>
      <w:r>
        <w:t>1. Con carácter general y por mandato de esta ley, en este nivel de alerta se aplicarán automáticamente las siguientes medidas:</w:t>
      </w:r>
    </w:p>
    <w:p w14:paraId="63E5D7A4" w14:textId="77777777" w:rsidR="00A8138F" w:rsidRDefault="00A8138F" w:rsidP="00A8138F">
      <w:pPr>
        <w:pStyle w:val="TextoNormal"/>
      </w:pPr>
    </w:p>
    <w:p w14:paraId="21C35FA0" w14:textId="77777777" w:rsidR="00A8138F" w:rsidRDefault="00A8138F" w:rsidP="00A8138F">
      <w:pPr>
        <w:pStyle w:val="TextoNormal"/>
      </w:pPr>
      <w:r>
        <w:t>a) Movilidad y circulación nocturnas: Se intensificarán las medidas de restricción de la movilidad nocturna o de limitación de la libertad de circulación de las personas en horario nocturno, respetando en su caso los límites dispuestos por el régimen jurídico de la declaración del estado de alarma.</w:t>
      </w:r>
    </w:p>
    <w:p w14:paraId="0BC6DD70" w14:textId="77777777" w:rsidR="00A8138F" w:rsidRDefault="00A8138F" w:rsidP="00A8138F">
      <w:pPr>
        <w:pStyle w:val="TextoNormal"/>
      </w:pPr>
    </w:p>
    <w:p w14:paraId="207F446E" w14:textId="77777777" w:rsidR="00A8138F" w:rsidRDefault="00A8138F" w:rsidP="00A8138F">
      <w:pPr>
        <w:pStyle w:val="TextoNormal"/>
      </w:pPr>
      <w:r>
        <w:t>b) Confinamientos individuales y colectivos: Se valorarán nuevas y más eficaces medidas de confinamiento individuales o para colectivos específicos, previa justificación y autorización o ratificación judicial”.</w:t>
      </w:r>
    </w:p>
    <w:p w14:paraId="7FF7442A" w14:textId="77777777" w:rsidR="00A8138F" w:rsidRDefault="00A8138F" w:rsidP="00A8138F">
      <w:pPr>
        <w:pStyle w:val="TextoNormal"/>
      </w:pPr>
    </w:p>
    <w:p w14:paraId="10C9218C" w14:textId="77777777" w:rsidR="00A8138F" w:rsidRDefault="00A8138F" w:rsidP="00A8138F">
      <w:pPr>
        <w:pStyle w:val="TextoNormal"/>
      </w:pPr>
      <w:r>
        <w:t>“Artículo 36. Normas especiales en materia de medidas cautelares</w:t>
      </w:r>
    </w:p>
    <w:p w14:paraId="4309D60A" w14:textId="77777777" w:rsidR="00A8138F" w:rsidRDefault="00A8138F" w:rsidP="00A8138F">
      <w:pPr>
        <w:pStyle w:val="TextoNormal"/>
      </w:pPr>
    </w:p>
    <w:p w14:paraId="2142231F" w14:textId="77777777" w:rsidR="00A8138F" w:rsidRDefault="00A8138F" w:rsidP="00A8138F">
      <w:pPr>
        <w:pStyle w:val="TextoNormal"/>
      </w:pPr>
      <w:r>
        <w:t>[…]</w:t>
      </w:r>
    </w:p>
    <w:p w14:paraId="13C2FAE2" w14:textId="77777777" w:rsidR="00A8138F" w:rsidRDefault="00A8138F" w:rsidP="00A8138F">
      <w:pPr>
        <w:pStyle w:val="TextoNormal"/>
      </w:pPr>
    </w:p>
    <w:p w14:paraId="7909E0AC" w14:textId="77777777" w:rsidR="00A8138F" w:rsidRDefault="00A8138F" w:rsidP="00A8138F">
      <w:pPr>
        <w:pStyle w:val="TextoNormal"/>
      </w:pPr>
      <w:r>
        <w:t>2. Las medidas cautelares previstas en el artículo 31 de la Ley 2/1998, de 20 de febrero, de la potestad sancionadora de las administraciones públicas de la Comunidad Autónoma del País Vasco o norma que la sustituya se regularán de acuerdo con lo previsto en dicha norma, con las siguientes especialidades:</w:t>
      </w:r>
    </w:p>
    <w:p w14:paraId="2CA26109" w14:textId="77777777" w:rsidR="00A8138F" w:rsidRDefault="00A8138F" w:rsidP="00A8138F">
      <w:pPr>
        <w:pStyle w:val="TextoNormal"/>
      </w:pPr>
    </w:p>
    <w:p w14:paraId="58A87366" w14:textId="77777777" w:rsidR="00A8138F" w:rsidRDefault="00A8138F" w:rsidP="00A8138F">
      <w:pPr>
        <w:pStyle w:val="TextoNormal"/>
      </w:pPr>
      <w:r>
        <w:t>a) A los efectos de lo previsto en el apartado 3 del citado artículo 31, se presumirá, salvo prueba en contrario, que las medidas adoptadas por las autoridades sanitarias a los efectos de la contención de la pandemia no implican violación de los derechos amparados en las leyes, cuando dichos derechos no sean relativos a la salud o integridad física de las personas o, en este último caso, cuando la medida no sea proporcionada en los términos de este artículo.</w:t>
      </w:r>
    </w:p>
    <w:p w14:paraId="6BCCF79F" w14:textId="77777777" w:rsidR="00A8138F" w:rsidRDefault="00A8138F" w:rsidP="00A8138F">
      <w:pPr>
        <w:pStyle w:val="TextoNormal"/>
      </w:pPr>
    </w:p>
    <w:p w14:paraId="1B1DF9E5" w14:textId="77777777" w:rsidR="00A8138F" w:rsidRDefault="00A8138F" w:rsidP="00A8138F">
      <w:pPr>
        <w:pStyle w:val="TextoNormal"/>
      </w:pPr>
      <w:r>
        <w:t>b) A los efectos de lo previsto en el apartado 3 del citado artículo 31, se presumirá, salvo prueba en contrario, que ninguna de las medidas que solo tengan efectos patrimoniales, o las relativas a la movilidad o circulación de personas, generan daños de difícil o imposible reparación, cuando estén encaminadas a evitar contagios o a garantizar el correcto funcionamiento de los servicios sanitarios o de emergencia.</w:t>
      </w:r>
    </w:p>
    <w:p w14:paraId="2A978B1E" w14:textId="77777777" w:rsidR="00A8138F" w:rsidRDefault="00A8138F" w:rsidP="00A8138F">
      <w:pPr>
        <w:pStyle w:val="TextoNormal"/>
      </w:pPr>
    </w:p>
    <w:p w14:paraId="09441A4C" w14:textId="77777777" w:rsidR="00A8138F" w:rsidRDefault="00A8138F" w:rsidP="00A8138F">
      <w:pPr>
        <w:pStyle w:val="TextoNormal"/>
      </w:pPr>
      <w:r>
        <w:t>c) A los efectos de lo previsto en el apartado 4 del citado artículo 31, se presumirá, salvo prueba en contrario, que las medidas adoptadas por las autoridades sanitarias a los efectos de la contención de la pandemia guardan la necesaria proporcionalidad, siempre que sean razonablemente o aparentemente efectivas para evitar contagios o garantizar el correcto funcionamiento de los servicios sanitarios o de emergencia”.</w:t>
      </w:r>
    </w:p>
    <w:p w14:paraId="77C87AF9" w14:textId="77777777" w:rsidR="00A8138F" w:rsidRDefault="00A8138F" w:rsidP="00A8138F">
      <w:pPr>
        <w:pStyle w:val="TextoNormal"/>
      </w:pPr>
    </w:p>
    <w:p w14:paraId="09D532FD" w14:textId="77777777" w:rsidR="00A8138F" w:rsidRDefault="00A8138F" w:rsidP="00A8138F">
      <w:pPr>
        <w:pStyle w:val="TextoNormal"/>
      </w:pPr>
      <w:r>
        <w:t>Según se ha expuesto con más detalle en los antecedentes, los recurrentes consideran que:</w:t>
      </w:r>
    </w:p>
    <w:p w14:paraId="6C854DD9" w14:textId="77777777" w:rsidR="00A8138F" w:rsidRDefault="00A8138F" w:rsidP="00A8138F">
      <w:pPr>
        <w:pStyle w:val="TextoNormal"/>
      </w:pPr>
    </w:p>
    <w:p w14:paraId="4EDCBEFA" w14:textId="77777777" w:rsidR="00A8138F" w:rsidRDefault="00A8138F" w:rsidP="00A8138F">
      <w:pPr>
        <w:pStyle w:val="TextoNormal"/>
      </w:pPr>
      <w:r>
        <w:t>(i) Los arts. 1 a), 2, 4, 8.1, 11.1 y 19.3 de la Ley infringen los arts. 116 y 55.1 CE, al regular una suspensión o una intensa restricción de derechos fundamentales fuera de la legislación excepcional de los estados de crisis. El art. 19.3, aunque incluido formalmente en este bloque, es impugnado de forma autónoma, por considerarse contrario a la libertad de empresa reconocida en el art. 38 CE.</w:t>
      </w:r>
    </w:p>
    <w:p w14:paraId="19F5A24B" w14:textId="77777777" w:rsidR="00A8138F" w:rsidRDefault="00A8138F" w:rsidP="00A8138F">
      <w:pPr>
        <w:pStyle w:val="TextoNormal"/>
      </w:pPr>
    </w:p>
    <w:p w14:paraId="3E251A09" w14:textId="77777777" w:rsidR="00A8138F" w:rsidRDefault="00A8138F" w:rsidP="00A8138F">
      <w:pPr>
        <w:pStyle w:val="TextoNormal"/>
      </w:pPr>
      <w:r>
        <w:t>(ii) Los arts. 14.3, 15.2, 23.1, 24.3 y 4, 26.1 y 3, 30.1, 32.1, 33.2, 34.1 a) y b) y 36.2 a), b) y c) son cuestionados, tanto por vulnerar el contenido esencial (art. 53.1 CE) de determinados derechos fundamentales, como la reserva de ley orgánica para su desarrollo (art. 81.1 CE). Además, a los arts. 14.3 y 15.2 también se les imputa la infracción de los arts. 24 y 25.1 CE.</w:t>
      </w:r>
    </w:p>
    <w:p w14:paraId="1EDA2376" w14:textId="77777777" w:rsidR="00A8138F" w:rsidRDefault="00A8138F" w:rsidP="00A8138F">
      <w:pPr>
        <w:pStyle w:val="TextoNormal"/>
      </w:pPr>
    </w:p>
    <w:p w14:paraId="056E4DDD" w14:textId="77777777" w:rsidR="00A8138F" w:rsidRDefault="00A8138F" w:rsidP="00A8138F">
      <w:pPr>
        <w:pStyle w:val="TextoNormal"/>
      </w:pPr>
      <w:r>
        <w:t>(iii) Finalmente, la demanda dirige una queja común a todos los artículos impugnados, por vulneración de las competencias estatales reconocidas en el art. 149.1.1 y 16 CE.</w:t>
      </w:r>
    </w:p>
    <w:p w14:paraId="6F311686" w14:textId="77777777" w:rsidR="00A8138F" w:rsidRDefault="00A8138F" w:rsidP="00A8138F">
      <w:pPr>
        <w:pStyle w:val="TextoNormal"/>
      </w:pPr>
    </w:p>
    <w:p w14:paraId="7874A241" w14:textId="5260CBF4" w:rsidR="00A8138F" w:rsidRDefault="00A8138F" w:rsidP="00A8138F">
      <w:pPr>
        <w:pStyle w:val="TextoNormal"/>
      </w:pPr>
      <w:r>
        <w:t>El Gobierno Vasco y el Parlamento Vasco argumentan, respecto de ciertos preceptos y quejas, que no se ha cumplido con la exigible carga alegatoria. Sobre el resto interesan la desestimación íntegra del recurso por las razones que se han detallado en los antecedentes.</w:t>
      </w:r>
    </w:p>
    <w:p w14:paraId="6BE0B784" w14:textId="77777777" w:rsidR="00A8138F" w:rsidRDefault="00A8138F" w:rsidP="00A8138F">
      <w:pPr>
        <w:pStyle w:val="TextoNormal"/>
      </w:pPr>
    </w:p>
    <w:p w14:paraId="5909A703" w14:textId="77777777" w:rsidR="00A8138F" w:rsidRDefault="00A8138F" w:rsidP="00A8138F">
      <w:pPr>
        <w:pStyle w:val="TextoNormal"/>
      </w:pPr>
      <w:r w:rsidRPr="00A8138F">
        <w:rPr>
          <w:rStyle w:val="NumeroAFNegritaCaracter"/>
        </w:rPr>
        <w:t>2</w:t>
      </w:r>
      <w:r>
        <w:t xml:space="preserve">. </w:t>
      </w:r>
      <w:r w:rsidRPr="00A8138F">
        <w:rPr>
          <w:i/>
        </w:rPr>
        <w:t>Consideraciones previas sobre el objeto del recurso</w:t>
      </w:r>
    </w:p>
    <w:p w14:paraId="0E9BA40D" w14:textId="77777777" w:rsidR="00A8138F" w:rsidRDefault="00A8138F" w:rsidP="00A8138F">
      <w:pPr>
        <w:pStyle w:val="TextoNormal"/>
      </w:pPr>
    </w:p>
    <w:p w14:paraId="67598062" w14:textId="77777777" w:rsidR="00A8138F" w:rsidRDefault="00A8138F" w:rsidP="00A8138F">
      <w:pPr>
        <w:pStyle w:val="TextoNormal"/>
      </w:pPr>
      <w:r>
        <w:t>A) El objeto de la Ley del Parlamento Vasco 2/2021 es “la regulación de los instrumentos jurídicos y actuaciones que competen a las administraciones públicas vascas con el fin de prevenir y preservar la salud pública, garantizar la seguridad de las personas y sostener las capacidades del sistema sanitario vasco durante la situación de emergencia sanitaria ocasionada por la pandemia de la covid-19, habilitando la adopción de aquellas medidas de respuesta que requieren normas con rango de ley” (art. 1).</w:t>
      </w:r>
    </w:p>
    <w:p w14:paraId="45EEC68E" w14:textId="77777777" w:rsidR="00A8138F" w:rsidRDefault="00A8138F" w:rsidP="00A8138F">
      <w:pPr>
        <w:pStyle w:val="TextoNormal"/>
      </w:pPr>
    </w:p>
    <w:p w14:paraId="45EBBB17" w14:textId="77777777" w:rsidR="00A8138F" w:rsidRDefault="00A8138F" w:rsidP="00A8138F">
      <w:pPr>
        <w:pStyle w:val="TextoNormal"/>
      </w:pPr>
      <w:r>
        <w:t>Por tanto, se enmarca en el conjunto de normas con rango de ley que han aprobado distintas comunidades autónomas para hacer frente a la pandemia de covid-19, respecto de las que este tribunal ya ha dictado las SSTC 136/2024, de 5 de noviembre (Ley del Parlamento de Galicia 8/2021, de 25 de febrero); 141/2024, de 19 de noviembre (Decreto-ley del Gobierno de las Illes Balears 5/2021, de 7 de mayo); y 95/2025, de 9 de abril (Decreto-ley del Gobierno de Canarias 11/2021, de 2 de septiembre); pronunciamientos a los que deberemos atender en lo que resulten aplicables para la resolución del presente recurso.</w:t>
      </w:r>
    </w:p>
    <w:p w14:paraId="4E6CEA58" w14:textId="77777777" w:rsidR="00A8138F" w:rsidRDefault="00A8138F" w:rsidP="00A8138F">
      <w:pPr>
        <w:pStyle w:val="TextoNormal"/>
      </w:pPr>
    </w:p>
    <w:p w14:paraId="29764A92" w14:textId="77777777" w:rsidR="00A8138F" w:rsidRDefault="00A8138F" w:rsidP="00A8138F">
      <w:pPr>
        <w:pStyle w:val="TextoNormal"/>
      </w:pPr>
      <w:r>
        <w:t>B) Antes de abordar nuestro enjuiciamiento, corresponde delimitar su objeto. Al respecto, las partes demandadas aducen, en relación con determinados preceptos e impugnaciones, que los recurrentes no han cumplido con la carga alegatoria que, según nuestra doctrina reiterada, les incumbe [por todas, STC 76/2024, de 8 de mayo, FJ 2 b) (i)].</w:t>
      </w:r>
    </w:p>
    <w:p w14:paraId="33C279C0" w14:textId="77777777" w:rsidR="00A8138F" w:rsidRDefault="00A8138F" w:rsidP="00A8138F">
      <w:pPr>
        <w:pStyle w:val="TextoNormal"/>
      </w:pPr>
    </w:p>
    <w:p w14:paraId="461BFC98" w14:textId="77777777" w:rsidR="00A8138F" w:rsidRDefault="00A8138F" w:rsidP="00A8138F">
      <w:pPr>
        <w:pStyle w:val="TextoNormal"/>
      </w:pPr>
      <w:r>
        <w:t>En concreto, el Gobierno Vasco denuncia la falta de carga argumentativa de la impugnación competencial en su conjunto y de la impugnación del art. 2 de la Ley, al que imputa vulnerar los arts. 116 y 55.1 CE. Igualmente, el Parlamento autonómico considera carente de carga alegatoria la impugnación de los arts. 14.3 y 15.2, por vulnerar los arts. 24 y 25.1 CE, y del art. 33.2, por infringir el contenido esencial de los derechos fundamentales (art. 53.1 CE) y la reserva de ley orgánica (art. 81.1 CE).</w:t>
      </w:r>
    </w:p>
    <w:p w14:paraId="7C978B57" w14:textId="77777777" w:rsidR="00A8138F" w:rsidRDefault="00A8138F" w:rsidP="00A8138F">
      <w:pPr>
        <w:pStyle w:val="TextoNormal"/>
      </w:pPr>
    </w:p>
    <w:p w14:paraId="2DA54D84" w14:textId="77777777" w:rsidR="00A8138F" w:rsidRDefault="00A8138F" w:rsidP="00A8138F">
      <w:pPr>
        <w:pStyle w:val="TextoNormal"/>
      </w:pPr>
      <w:r>
        <w:t>a) Comenzando por la queja competencial, la tesis de los recurrentes se resume en que “ya sea desde la perspectiva del apartado 1 o del 16 del artículo 149.1 CE resulta evidente que el establecimiento por razones sanitarias de supuestos en los que cabría imponer fuertes restricciones o incluso la auténtica suspensión de derechos fundamentales tan nucleares como los previstos en los artículos 15, 17, 19, 18 y 21 CE, integra una competencia exclusiva del Estado” (parágrafo 95 de la demanda).</w:t>
      </w:r>
    </w:p>
    <w:p w14:paraId="207D1BB5" w14:textId="77777777" w:rsidR="00A8138F" w:rsidRDefault="00A8138F" w:rsidP="00A8138F">
      <w:pPr>
        <w:pStyle w:val="TextoNormal"/>
      </w:pPr>
    </w:p>
    <w:p w14:paraId="2AD4314A" w14:textId="77777777" w:rsidR="00A8138F" w:rsidRDefault="00A8138F" w:rsidP="00A8138F">
      <w:pPr>
        <w:pStyle w:val="TextoNormal"/>
      </w:pPr>
      <w:r>
        <w:t xml:space="preserve">Aunque formalmente se imputa a todos los preceptos impugnados en el recurso, la queja competencial se argumenta en términos globales y solo por referencia a los supuestos en que se “impone[n] fuertes </w:t>
      </w:r>
      <w:r w:rsidRPr="00A8138F">
        <w:rPr>
          <w:i/>
        </w:rPr>
        <w:t>restricciones</w:t>
      </w:r>
      <w:r>
        <w:t xml:space="preserve"> o incluso la auténtica </w:t>
      </w:r>
      <w:r w:rsidRPr="00A8138F">
        <w:rPr>
          <w:i/>
        </w:rPr>
        <w:t>suspensión</w:t>
      </w:r>
      <w:r>
        <w:t xml:space="preserve"> de derechos fundamentales” (cursivas añadidas). Así las cosas, no cabe considerar que esta impugnación esté dirigida contra todos los preceptos enumerados por la demanda, sino que ha de entenderse limitada implícitamente a aquellos que regulan específicamente medidas de restricción o suspensión de derechos fundamentales [en igual sentido, en relación con la misma queja, </w:t>
      </w:r>
      <w:r w:rsidRPr="00A8138F">
        <w:rPr>
          <w:i/>
        </w:rPr>
        <w:t>vid</w:t>
      </w:r>
      <w:r>
        <w:t>. STC 95/2025, FJ 2 A) b)].</w:t>
      </w:r>
    </w:p>
    <w:p w14:paraId="553CF6AB" w14:textId="77777777" w:rsidR="00A8138F" w:rsidRDefault="00A8138F" w:rsidP="00A8138F">
      <w:pPr>
        <w:pStyle w:val="TextoNormal"/>
      </w:pPr>
    </w:p>
    <w:p w14:paraId="6A95F5D6" w14:textId="77777777" w:rsidR="00A8138F" w:rsidRDefault="00A8138F" w:rsidP="00A8138F">
      <w:pPr>
        <w:pStyle w:val="TextoNormal"/>
      </w:pPr>
      <w:r>
        <w:t>b) Del mismo modo, la demanda también hace una argumentación global sobre la alegada vulneración de los arts. 116 y 55.1 CE, que atribuye a los arts. 1 a), 2, 4, 8.1 y 11.1 de la Ley. Los recurrentes sostienen que tales preceptos son inconstitucionales por integrar un instrumento normativo que faculta a restringir los derechos fundamentales, sin la cobertura de ninguno de los estados excepcionales previstos en el art. 116 CE. Al igual que en la impugnación por razones competenciales, el razonamiento sobre los preceptos impugnados (incluido el art. 2, al que se refiere específicamente el Gobierno Vasco) es conjunto y va ligado a la incidencia en los derechos fundamentales.</w:t>
      </w:r>
    </w:p>
    <w:p w14:paraId="58E3200C" w14:textId="77777777" w:rsidR="00A8138F" w:rsidRDefault="00A8138F" w:rsidP="00A8138F">
      <w:pPr>
        <w:pStyle w:val="TextoNormal"/>
      </w:pPr>
    </w:p>
    <w:p w14:paraId="2CA4FAA7" w14:textId="77777777" w:rsidR="00A8138F" w:rsidRDefault="00A8138F" w:rsidP="00A8138F">
      <w:pPr>
        <w:pStyle w:val="TextoNormal"/>
      </w:pPr>
      <w:r>
        <w:t xml:space="preserve">Esta forma de motivar la impugnación, aunque no haya impedido a las demás partes defender sus respectivas posiciones, obliga al Tribunal a vincular su suerte con la dirigida contra aquellos preceptos que contienen medidas restrictivas de derechos fundamentales, dada la íntima conexión entre una y otra censura [en igual sentido, en relación con la misma queja, </w:t>
      </w:r>
      <w:r w:rsidRPr="00A8138F">
        <w:rPr>
          <w:i/>
        </w:rPr>
        <w:t>vid</w:t>
      </w:r>
      <w:r>
        <w:t>. STC 95/2025, FJ 2 B) e)].</w:t>
      </w:r>
    </w:p>
    <w:p w14:paraId="74181B1B" w14:textId="77777777" w:rsidR="00A8138F" w:rsidRDefault="00A8138F" w:rsidP="00A8138F">
      <w:pPr>
        <w:pStyle w:val="TextoNormal"/>
      </w:pPr>
    </w:p>
    <w:p w14:paraId="4BC23BE5" w14:textId="77777777" w:rsidR="00A8138F" w:rsidRDefault="00A8138F" w:rsidP="00A8138F">
      <w:pPr>
        <w:pStyle w:val="TextoNormal"/>
      </w:pPr>
      <w:r>
        <w:t>c) En cuanto a los arts. 14.3 y 15.2 de la Ley, pese a lo alegado por la letrada del Parlamento Vasco, cabe entender que los recurrentes sí han desplegado el debido esfuerzo argumental. En concreto, arguyen que, al prever los citados preceptos “la imposibilidad de llevar a cabo el trabajo o la actividad” de que se trate, o la imposición de “restricciones u obligaciones personalizadas” como consecuencia de no prestar consentimiento a las pruebas diagnósticas, vacunación y cribados, se imponen verdaderas sanciones, desproporcionadas y sin garantía procedimental, en contra de los arts. 25.1 y 24.1 CE.</w:t>
      </w:r>
    </w:p>
    <w:p w14:paraId="634B6370" w14:textId="77777777" w:rsidR="00A8138F" w:rsidRDefault="00A8138F" w:rsidP="00A8138F">
      <w:pPr>
        <w:pStyle w:val="TextoNormal"/>
      </w:pPr>
    </w:p>
    <w:p w14:paraId="31AFBCF9" w14:textId="77777777" w:rsidR="00A8138F" w:rsidRDefault="00A8138F" w:rsidP="00A8138F">
      <w:pPr>
        <w:pStyle w:val="TextoNormal"/>
      </w:pPr>
      <w:r>
        <w:t>d) En cambio, coincidimos con la letrada autonómica en que la argumentación referente al art. 33.2 de la Ley (“suspensión de todo tipo de actividades sociales y culturales en formato presencial”) es insuficiente. La demanda menciona este precepto junto con otros referidos a las reuniones sociales y de grupos de personas, achacándoles que vulneran los arts. 21.1 y 18 CE. Sin embargo, su razonamiento se circunscribe a las limitaciones de reuniones privadas (con invocación de la STC 148/2021, de 14 de julio, FJ 5), sin motivar nada sobre el art. 33.2. Por tanto, debemos excluir este precepto de nuestro examen.</w:t>
      </w:r>
    </w:p>
    <w:p w14:paraId="6EE1DD7F" w14:textId="77777777" w:rsidR="00A8138F" w:rsidRDefault="00A8138F" w:rsidP="00A8138F">
      <w:pPr>
        <w:pStyle w:val="TextoNormal"/>
      </w:pPr>
    </w:p>
    <w:p w14:paraId="312110B2" w14:textId="77777777" w:rsidR="00A8138F" w:rsidRDefault="00A8138F" w:rsidP="00A8138F">
      <w:pPr>
        <w:pStyle w:val="TextoNormal"/>
      </w:pPr>
      <w:r>
        <w:t>e) Adicionalmente, aunque no lo hayan planteado las partes demandadas, también debemos excluir de nuestro enjuiciamiento los arts. 24.3 y 4 (presunciones y excepciones en materia de ratificación judicial de medidas restrictivas de derechos fundamentales) y 36.2 a), b) y c) (especialidades en materia de medidas cautelares). Los citados preceptos se citan en el encabezamiento de las respectivas impugnaciones imputándoles la vulneración del contenido esencial de diversos derechos fundamentales y de la reserva de ley orgánica y aludiendo tangencialmente a su contradicción con el art. 24 CE.</w:t>
      </w:r>
    </w:p>
    <w:p w14:paraId="41E34783" w14:textId="77777777" w:rsidR="00A8138F" w:rsidRDefault="00A8138F" w:rsidP="00A8138F">
      <w:pPr>
        <w:pStyle w:val="TextoNormal"/>
      </w:pPr>
    </w:p>
    <w:p w14:paraId="2C72C395" w14:textId="77777777" w:rsidR="00A8138F" w:rsidRDefault="00A8138F" w:rsidP="00A8138F">
      <w:pPr>
        <w:pStyle w:val="TextoNormal"/>
      </w:pPr>
      <w:r>
        <w:t>Sin embargo, el Tribunal observa que, realmente, se sostiene que las censuras imputables a los preceptos restrictivos de derechos fundamentales se agravan como consecuencia de las previsiones contenidas en los indicados arts. 24.3 y 4 y 36.2 a), b) y c). Por tanto, estos preceptos no son objeto de impugnación concreta, sino meramente instrumental respecto de la dirigida contra las medidas restrictivas de derechos fundamentales. En consecuencia, también deben quedar fuera de nuestro pronunciamiento.</w:t>
      </w:r>
    </w:p>
    <w:p w14:paraId="4D128BC2" w14:textId="77777777" w:rsidR="00A8138F" w:rsidRDefault="00A8138F" w:rsidP="00A8138F">
      <w:pPr>
        <w:pStyle w:val="TextoNormal"/>
      </w:pPr>
    </w:p>
    <w:p w14:paraId="3246C8B3" w14:textId="77777777" w:rsidR="00A8138F" w:rsidRDefault="00A8138F" w:rsidP="00A8138F">
      <w:pPr>
        <w:pStyle w:val="TextoNormal"/>
      </w:pPr>
      <w:r>
        <w:t>f) En conclusión, al igual que hicimos en la STC 95/2025 en un caso análogo (se impugnaba en él el Decreto-ley 11/2021, de 2 de septiembre, sobre la gestión de la pandemia de covid-19 en Canarias), las impugnaciones por vulnerar las competencias estatales de los arts. 149.1.1 y 149.1.16 CE y el régimen de estados excepcionales de los arts. 116 y 55.1 CE solo se examinarán en relación con los preceptos restrictivos de derechos fundamentales que establece la Ley del Parlamento Vasco 2/2021.</w:t>
      </w:r>
    </w:p>
    <w:p w14:paraId="4D9D0E5E" w14:textId="77777777" w:rsidR="00A8138F" w:rsidRDefault="00A8138F" w:rsidP="00A8138F">
      <w:pPr>
        <w:pStyle w:val="TextoNormal"/>
      </w:pPr>
    </w:p>
    <w:p w14:paraId="100A83C0" w14:textId="77777777" w:rsidR="00A8138F" w:rsidRDefault="00A8138F" w:rsidP="00A8138F">
      <w:pPr>
        <w:pStyle w:val="TextoNormal"/>
      </w:pPr>
      <w:r>
        <w:t>Asimismo, debemos excluir del objeto del recurso, también por falta del exigible esfuerzo argumentativo, los arts. 24.3 y 4, 33.2 y 36.2 a), b) y c) de la citada ley.</w:t>
      </w:r>
    </w:p>
    <w:p w14:paraId="387359FC" w14:textId="77777777" w:rsidR="00A8138F" w:rsidRDefault="00A8138F" w:rsidP="00A8138F">
      <w:pPr>
        <w:pStyle w:val="TextoNormal"/>
      </w:pPr>
    </w:p>
    <w:p w14:paraId="36839B2B" w14:textId="77777777" w:rsidR="00A8138F" w:rsidRDefault="00A8138F" w:rsidP="00A8138F">
      <w:pPr>
        <w:pStyle w:val="TextoNormal"/>
      </w:pPr>
      <w:r>
        <w:t>C) Una vez delimitado el objeto de enjuiciamiento en los términos expuestos, corresponde a este tribunal, en función de las circunstancias concurrentes en cada caso, determinar el orden de examen de las distintas tachas de inconstitucionalidad planteadas (por todas, STC 146/2023, de 26 de octubre, FJ 2).</w:t>
      </w:r>
    </w:p>
    <w:p w14:paraId="688263FF" w14:textId="77777777" w:rsidR="00A8138F" w:rsidRDefault="00A8138F" w:rsidP="00A8138F">
      <w:pPr>
        <w:pStyle w:val="TextoNormal"/>
      </w:pPr>
    </w:p>
    <w:p w14:paraId="744DA8B2" w14:textId="1F50BA43" w:rsidR="00A8138F" w:rsidRDefault="00A8138F" w:rsidP="00A8138F">
      <w:pPr>
        <w:pStyle w:val="TextoNormal"/>
      </w:pPr>
      <w:r>
        <w:t>Nuestro examen habrá de comenzar con el motivo de impugnación por infracción de la reserva de ley orgánica del art. 81.1 CE, a cuya argumentación se remiten o deben reconducirse buena parte de las restantes. Acto seguido, se analizarán los demás motivos en los que se funda el recurso de inconstitucionalidad, salvo que la eventual estimación de alguna de las quejas hiciera innecesario el pronunciamiento sobre el resto.</w:t>
      </w:r>
    </w:p>
    <w:p w14:paraId="4B305411" w14:textId="77777777" w:rsidR="00A8138F" w:rsidRDefault="00A8138F" w:rsidP="00A8138F">
      <w:pPr>
        <w:pStyle w:val="TextoNormal"/>
      </w:pPr>
    </w:p>
    <w:p w14:paraId="07D36DB8" w14:textId="77777777" w:rsidR="00A8138F" w:rsidRDefault="00A8138F" w:rsidP="00A8138F">
      <w:pPr>
        <w:pStyle w:val="TextoNormal"/>
      </w:pPr>
      <w:r w:rsidRPr="00A8138F">
        <w:rPr>
          <w:rStyle w:val="NumeroAFNegritaCaracter"/>
        </w:rPr>
        <w:t>3</w:t>
      </w:r>
      <w:r>
        <w:t xml:space="preserve">. </w:t>
      </w:r>
      <w:r w:rsidRPr="00A8138F">
        <w:rPr>
          <w:i/>
        </w:rPr>
        <w:t>Infracción de la reserva de ley orgánica para el desarrollo de los derechos fundamentales (art. 81.1 CE). Estimación por remisión a la STC 136/2024, de 5 de noviembre</w:t>
      </w:r>
    </w:p>
    <w:p w14:paraId="0355D5EE" w14:textId="77777777" w:rsidR="00A8138F" w:rsidRDefault="00A8138F" w:rsidP="00A8138F">
      <w:pPr>
        <w:pStyle w:val="TextoNormal"/>
      </w:pPr>
    </w:p>
    <w:p w14:paraId="720024FE" w14:textId="77777777" w:rsidR="00A8138F" w:rsidRDefault="00A8138F" w:rsidP="00A8138F">
      <w:pPr>
        <w:pStyle w:val="TextoNormal"/>
      </w:pPr>
      <w:r>
        <w:t>A) La impugnación por vulnerar la reserva de ley orgánica para el desarrollo de los derechos fundamentales (art. 81.1 CE) se dirige contra los siguientes preceptos de la Ley 2/2021:</w:t>
      </w:r>
    </w:p>
    <w:p w14:paraId="0AD30173" w14:textId="77777777" w:rsidR="00A8138F" w:rsidRDefault="00A8138F" w:rsidP="00A8138F">
      <w:pPr>
        <w:pStyle w:val="TextoNormal"/>
      </w:pPr>
    </w:p>
    <w:p w14:paraId="3C68C718" w14:textId="77777777" w:rsidR="00A8138F" w:rsidRDefault="00A8138F" w:rsidP="00A8138F">
      <w:pPr>
        <w:pStyle w:val="TextoNormal"/>
      </w:pPr>
      <w:r>
        <w:t>(i) Los arts. 14.3 y 15.2 (pruebas diagnósticas, vacunación y cribados), en lo referente a los derechos a la integridad física (art. 15 CE) y a la intimidad (art. 18.1 CE).</w:t>
      </w:r>
    </w:p>
    <w:p w14:paraId="20908725" w14:textId="77777777" w:rsidR="00A8138F" w:rsidRDefault="00A8138F" w:rsidP="00A8138F">
      <w:pPr>
        <w:pStyle w:val="TextoNormal"/>
      </w:pPr>
    </w:p>
    <w:p w14:paraId="261DB78B" w14:textId="77777777" w:rsidR="00A8138F" w:rsidRDefault="00A8138F" w:rsidP="00A8138F">
      <w:pPr>
        <w:pStyle w:val="TextoNormal"/>
      </w:pPr>
      <w:r>
        <w:t>(ii) Los arts. 23.1 (aislamientos y cuarentenas personales) y 34.1 b) (confinamientos individuales y colectivos), en relación con el derecho a la libertad personal (art.17 CE).</w:t>
      </w:r>
    </w:p>
    <w:p w14:paraId="588EC878" w14:textId="77777777" w:rsidR="00A8138F" w:rsidRDefault="00A8138F" w:rsidP="00A8138F">
      <w:pPr>
        <w:pStyle w:val="TextoNormal"/>
      </w:pPr>
    </w:p>
    <w:p w14:paraId="056FCB13" w14:textId="77777777" w:rsidR="00A8138F" w:rsidRDefault="00A8138F" w:rsidP="00A8138F">
      <w:pPr>
        <w:pStyle w:val="TextoNormal"/>
      </w:pPr>
      <w:r>
        <w:t>(iii) Los arts. 26.1, 30.1 a) y b), 32.1 a) y 34.1 a) (restricciones de la movilidad), respecto de la libertad de circulación (art. 19 CE).</w:t>
      </w:r>
    </w:p>
    <w:p w14:paraId="012BBA0B" w14:textId="77777777" w:rsidR="00A8138F" w:rsidRDefault="00A8138F" w:rsidP="00A8138F">
      <w:pPr>
        <w:pStyle w:val="TextoNormal"/>
      </w:pPr>
    </w:p>
    <w:p w14:paraId="0ABF2C4C" w14:textId="77777777" w:rsidR="00A8138F" w:rsidRDefault="00A8138F" w:rsidP="00A8138F">
      <w:pPr>
        <w:pStyle w:val="TextoNormal"/>
      </w:pPr>
      <w:r>
        <w:t>(iv) Los arts. 26.3, 30.1 c) y 32.1 b) (limitaciones a las reuniones sociales), en cuanto al derecho de reunión (art. 21 CE).</w:t>
      </w:r>
    </w:p>
    <w:p w14:paraId="6DF3C50F" w14:textId="77777777" w:rsidR="00A8138F" w:rsidRDefault="00A8138F" w:rsidP="00A8138F">
      <w:pPr>
        <w:pStyle w:val="TextoNormal"/>
      </w:pPr>
    </w:p>
    <w:p w14:paraId="1AF83413" w14:textId="77777777" w:rsidR="00A8138F" w:rsidRDefault="00A8138F" w:rsidP="00A8138F">
      <w:pPr>
        <w:pStyle w:val="TextoNormal"/>
      </w:pPr>
      <w:r>
        <w:t>B) El art. 81.1 CE reserva a las leyes orgánicas, entre otras materias, el “desarrollo de los derechos fundamentales y de las libertades públicas”. La doctrina constitucional sobre el alcance de dicha reserva se sistematiza en el FJ 5.2 de la STC 136/2024, de 5 de noviembre, que, para evitar reiteraciones innecesarias, damos aquí por reproducido.</w:t>
      </w:r>
    </w:p>
    <w:p w14:paraId="78F006D3" w14:textId="77777777" w:rsidR="00A8138F" w:rsidRDefault="00A8138F" w:rsidP="00A8138F">
      <w:pPr>
        <w:pStyle w:val="TextoNormal"/>
      </w:pPr>
    </w:p>
    <w:p w14:paraId="18B625B5" w14:textId="77777777" w:rsidR="00A8138F" w:rsidRDefault="00A8138F" w:rsidP="00A8138F">
      <w:pPr>
        <w:pStyle w:val="TextoNormal"/>
      </w:pPr>
      <w:r>
        <w:t xml:space="preserve">a) A partir de dicha doctrina, la STC 136/2024 analizó las medidas que se contenían en la ley del Parlamento Gallego que en ella se enjuiciaba, muy similares a las de la Ley del Parlamento Vasco 2/2021, alcanzando unas conclusiones que son plenamente trasladables al presente proceso. Dicha doctrina ha sido también aplicada </w:t>
      </w:r>
      <w:r w:rsidRPr="00A8138F">
        <w:rPr>
          <w:i/>
        </w:rPr>
        <w:t>mutatis mutandis</w:t>
      </w:r>
      <w:r>
        <w:t xml:space="preserve"> en las SSTC 141/2024, FJ 3 D), y 95/2025, FJ 3 C), solo que desde la perspectiva de una impugnación por infracción de los límites materiales de los decretos-leyes (art. 86.1 CE), en relación con otras normas autonómicas —de las Illes Balears y Canarias, respectivamente— que regulaban también medidas para hacer frente al covid-19.</w:t>
      </w:r>
    </w:p>
    <w:p w14:paraId="5C16C9E8" w14:textId="77777777" w:rsidR="00A8138F" w:rsidRDefault="00A8138F" w:rsidP="00A8138F">
      <w:pPr>
        <w:pStyle w:val="TextoNormal"/>
      </w:pPr>
    </w:p>
    <w:p w14:paraId="0199BC9C" w14:textId="77777777" w:rsidR="00A8138F" w:rsidRDefault="00A8138F" w:rsidP="00A8138F">
      <w:pPr>
        <w:pStyle w:val="TextoNormal"/>
      </w:pPr>
      <w:r>
        <w:t>(i) En concreto, según dichas sentencias, las pruebas diagnósticas (art. 14.3 de la ley ahora impugnada) y los cribados con pruebas de detección de infección activa (art. 15) afectan potencialmente a los derechos a la integridad física (art. 15 CE) y a la intimidad personal (art. 18 CE). Como concluimos en la STC 136/2024, FJ 5.3 A) d), la utilización de medios más o menos intrusivos para la realización de cada medida determinará, en el caso concreto, el derecho fundamental específicamente afectado, pues la integridad física (art. 15 CE) y la intimidad personal (art. 18 CE) guardan una cierta relación de grado.</w:t>
      </w:r>
    </w:p>
    <w:p w14:paraId="59724EC9" w14:textId="77777777" w:rsidR="00A8138F" w:rsidRDefault="00A8138F" w:rsidP="00A8138F">
      <w:pPr>
        <w:pStyle w:val="TextoNormal"/>
      </w:pPr>
    </w:p>
    <w:p w14:paraId="28A181AA" w14:textId="77777777" w:rsidR="00A8138F" w:rsidRDefault="00A8138F" w:rsidP="00A8138F">
      <w:pPr>
        <w:pStyle w:val="TextoNormal"/>
      </w:pPr>
      <w:r>
        <w:t>En particular, cuando el método en el que se concreten las referidas medidas suponga un riesgo, aunque sea meramente potencial, de lesión o menoscabo de la salud, existirá, de acuerdo con nuestra doctrina, una intromisión en el derecho fundamental a la integridad física (por todas, STC 207/1996, de 16 de diciembre, FFJJ 2 y 3). En cambio, la afectación del art. 18 CE se producirá cuando el método empleado concierna al “criterio dominante en nuestra cultura sobre el recato corporal” (por todas, STC 37/1989, de 15 de febrero, FJ 7) y, en todo caso, cuando responda a una “finalidad” de indagación de datos íntimos, como ocurre, evidentemente, cuando trata de averiguarse si una persona es portadora de una determinada enfermedad [SSTC 207/1996, FJ 3; 234/1997, de 18 de diciembre, FJ 9 B); 206/2007, de 24 de septiembre, FJ 4, y 136/2024, FJ 5.3 A) d)].</w:t>
      </w:r>
    </w:p>
    <w:p w14:paraId="083408DD" w14:textId="77777777" w:rsidR="00A8138F" w:rsidRDefault="00A8138F" w:rsidP="00A8138F">
      <w:pPr>
        <w:pStyle w:val="TextoNormal"/>
      </w:pPr>
    </w:p>
    <w:p w14:paraId="4AFC789B" w14:textId="77777777" w:rsidR="00A8138F" w:rsidRDefault="00A8138F" w:rsidP="00A8138F">
      <w:pPr>
        <w:pStyle w:val="TextoNormal"/>
      </w:pPr>
      <w:r>
        <w:t>Por su parte, la vacunación (art. 14.3, último inciso) incide, con carácter general y sin necesidad de que conlleve riesgos especiales para la salud, en el derecho a la integridad personal del art. 15 CE en su “dimensión positiva”, que implica, de acuerdo con nuestra doctrina, “una facultad de oposición a la asistencia médica, en ejercicio de un derecho de autodeterminación que tiene por objeto el propio sustrato corporal, como distinto del derecho a la salud o a la vida” (SSTC 154/2002, de 18 de julio, FJ 9, y 38/2023, de 20 de abril, FJ 4). Como constatamos en la STC 136/2024, FJ 5.3 A) c), la afectación que sobre dicho derecho fundamental tiene esta concreta medida es “inequívoca”.</w:t>
      </w:r>
    </w:p>
    <w:p w14:paraId="1D79B0AE" w14:textId="77777777" w:rsidR="00A8138F" w:rsidRDefault="00A8138F" w:rsidP="00A8138F">
      <w:pPr>
        <w:pStyle w:val="TextoNormal"/>
      </w:pPr>
    </w:p>
    <w:p w14:paraId="006BE36B" w14:textId="77777777" w:rsidR="00A8138F" w:rsidRDefault="00A8138F" w:rsidP="00A8138F">
      <w:pPr>
        <w:pStyle w:val="TextoNormal"/>
      </w:pPr>
      <w:r>
        <w:t>(ii) Las medidas de “aislamiento”, consistentes en la obligación de cualquier persona contagiada por SARS-CoV-2 de permanecer “en el lugar que se le indique, durante el plazo establecido en cada caso, sin posibilidad de desplazarse ni de relacionarse presencialmente con otras personas” [art. 23.1 a) de la Ley 2/2021], así como los “confinamientos individuales y colectivos” [art. 34.1 b)], pueden implicar, en supuestos de riesgo de transmisión de enfermedades contagiosas especialmente graves, una privación radical de la capacidad de autodeterminación de movimientos de la persona, con incidencia directa en la libertad personal del art. 17 CE. Lo mismo puede llegar a ocurrir con la “obligación de cuarentena” que el art. 23.1 b) de la Ley impone a “cualquier persona o grupo de personas sospechosas de haber sido contagiadas” [STC 136/2024, FJ 5.3 A) a)].</w:t>
      </w:r>
    </w:p>
    <w:p w14:paraId="1034B537" w14:textId="77777777" w:rsidR="00A8138F" w:rsidRDefault="00A8138F" w:rsidP="00A8138F">
      <w:pPr>
        <w:pStyle w:val="TextoNormal"/>
      </w:pPr>
    </w:p>
    <w:p w14:paraId="74B3F0EA" w14:textId="77777777" w:rsidR="00A8138F" w:rsidRDefault="00A8138F" w:rsidP="00A8138F">
      <w:pPr>
        <w:pStyle w:val="TextoNormal"/>
      </w:pPr>
      <w:r>
        <w:t>(iii) En cambio, todas las citadas medidas afectarán únicamente a la libertad de circulación (art. 19 CE) cuando, por su contenido, delimiten los supuestos concretos de restricción de movilidad, salvaguardando de modo suficiente la capacidad de autodeterminación deambulatoria de las personas afectadas.</w:t>
      </w:r>
    </w:p>
    <w:p w14:paraId="270A0C0E" w14:textId="77777777" w:rsidR="00A8138F" w:rsidRDefault="00A8138F" w:rsidP="00A8138F">
      <w:pPr>
        <w:pStyle w:val="TextoNormal"/>
      </w:pPr>
    </w:p>
    <w:p w14:paraId="153682A2" w14:textId="77777777" w:rsidR="00A8138F" w:rsidRDefault="00A8138F" w:rsidP="00A8138F">
      <w:pPr>
        <w:pStyle w:val="TextoNormal"/>
      </w:pPr>
      <w:r>
        <w:t>Así pues, las medidas “de restricción de la movilidad nocturna o de limitación de la libertad de circulación de las personas en horario nocturno” [arts. 26.1, 30.1 a) y 34.1 a)], las “restricciones de movilidad del territorio de la Comunidad Autónoma de Euskadi” [art. 30.1 b)] y las “restricciones de movilidad interna dentro del territorio de la Comunidad Autónoma de Euskadi, que podrán afectar tanto al confinamiento perimetral territorial de municipios como al de territorios históricos” [art. 32.1 a)], implican, por concepto, un margen de libertad deambulatoria compatible con el art. 17 CE, de modo que puede considerarse que afectan exclusivamente a la libertad de circulación del art. 19 CE [STC 136/2024, FJ 5.3 A) a)].</w:t>
      </w:r>
    </w:p>
    <w:p w14:paraId="59058534" w14:textId="77777777" w:rsidR="00A8138F" w:rsidRDefault="00A8138F" w:rsidP="00A8138F">
      <w:pPr>
        <w:pStyle w:val="TextoNormal"/>
      </w:pPr>
    </w:p>
    <w:p w14:paraId="4B0A33B8" w14:textId="77777777" w:rsidR="00A8138F" w:rsidRDefault="00A8138F" w:rsidP="00A8138F">
      <w:pPr>
        <w:pStyle w:val="TextoNormal"/>
      </w:pPr>
      <w:r>
        <w:t>(iv) Por último, en lo que se refiere al derecho de reunión, las limitaciones a las “reuniones sociales” (art. 26.3 de la Ley) y a la permanencia de “grupos de personas” [arts. 30.1 c) y 32.1 b)] afectan, de acuerdo con la doctrina de este tribunal, al art. 21.1 CE, en conexión directa con el derecho a la intimidad personal y familiar reconocido en el art. 18.1 CE [SSTC 136/2024, FJ 5.3 A) b), y 95/2025, FJ 3 E) d)].</w:t>
      </w:r>
    </w:p>
    <w:p w14:paraId="777EDE24" w14:textId="77777777" w:rsidR="00A8138F" w:rsidRDefault="00A8138F" w:rsidP="00A8138F">
      <w:pPr>
        <w:pStyle w:val="TextoNormal"/>
      </w:pPr>
    </w:p>
    <w:p w14:paraId="00BBDE35" w14:textId="77777777" w:rsidR="00A8138F" w:rsidRDefault="00A8138F" w:rsidP="00A8138F">
      <w:pPr>
        <w:pStyle w:val="TextoNormal"/>
      </w:pPr>
      <w:r>
        <w:t>b) La regulación expuesta no solo “afecta” a los derechos fundamentales que hemos identificado. Lo hace en sentido restrictivo o limitativo. Los términos “confinamiento”, “obligación de aislamiento”, “obligación de cuarentena”, “restricción de la movilidad nocturna”, “limitación de la libertad de circulación”, “restricciones de movilidad del territorio” o “restricciones de movilidad interna”, muestran a las claras que nos encontramos ante intervenciones de la administración pública que no están necesariamente supeditadas a la prestación de consentimiento. Las facultades de autodeterminación características de los arts. 15, 17, 18.1, 19 y 21.1 CE quedan, con ello, potencialmente excluidas, lo que supone que el alcance material de estos derechos fundamentales resulta legalmente restringido o limitado [en el mismo sentido, SSTC 136/2024, FJ 5.3 B) a); 141/2024, FJ 3 D) c), y 95/2025, FJ 3 C)].</w:t>
      </w:r>
    </w:p>
    <w:p w14:paraId="6CD77D8A" w14:textId="77777777" w:rsidR="00A8138F" w:rsidRDefault="00A8138F" w:rsidP="00A8138F">
      <w:pPr>
        <w:pStyle w:val="TextoNormal"/>
      </w:pPr>
    </w:p>
    <w:p w14:paraId="5CD587BC" w14:textId="77777777" w:rsidR="00A8138F" w:rsidRDefault="00A8138F" w:rsidP="00A8138F">
      <w:pPr>
        <w:pStyle w:val="TextoNormal"/>
      </w:pPr>
      <w:r>
        <w:t>En este sentido, la Ley del Parlamento Vasco 2/2021 establece en su título VI, un régimen sancionador (arts. 35 a 43) en el que específicamente se sanciona, entre otras conductas, el incumplimiento de: (i) la obligación de presentar la documentación personal justificativa del traslado o desplazamiento [art. 40.1 d)]; (ii) las medidas de restricción de la movilidad nocturna y de limitación de la libertad de circulación de las personas en horario nocturno [art. 40.1 f)]; (iii) las obligaciones personales de aislamiento y cuarentena [art. 40.2 e)]; y (iv) los límites del número de asistentes a los actos y reuniones sociales de carácter privado [art. 40.3 j)].</w:t>
      </w:r>
    </w:p>
    <w:p w14:paraId="55766C1D" w14:textId="77777777" w:rsidR="00A8138F" w:rsidRDefault="00A8138F" w:rsidP="00A8138F">
      <w:pPr>
        <w:pStyle w:val="TextoNormal"/>
      </w:pPr>
    </w:p>
    <w:p w14:paraId="235E19C3" w14:textId="77777777" w:rsidR="00A8138F" w:rsidRDefault="00A8138F" w:rsidP="00A8138F">
      <w:pPr>
        <w:pStyle w:val="TextoNormal"/>
      </w:pPr>
      <w:r>
        <w:t>Todo lo cual confirma que dichas medidas son coactivas [en el mismo sentido, SSTC 136/2024, FJ 5.3 B) b), y 95/2025, FJ 3 C)]. Dicha conclusión alcanza también a las pruebas diagnósticas, vacunación y cribados, pues aunque no se configuran formalmente como obligatorias, quien las rechace debe afrontar una serie de consecuencias adversas, como la imposibilidad de llevar a cabo su trabajo o actividad, o verse sometido a restricciones personalizadas [</w:t>
      </w:r>
      <w:r w:rsidRPr="00A8138F">
        <w:rPr>
          <w:i/>
        </w:rPr>
        <w:t>vid</w:t>
      </w:r>
      <w:r>
        <w:t>. SSTC 136/2024, FJ 5.3 B) d), y 95/2025, FJ 3 D)].</w:t>
      </w:r>
    </w:p>
    <w:p w14:paraId="1B38BDFB" w14:textId="77777777" w:rsidR="00A8138F" w:rsidRDefault="00A8138F" w:rsidP="00A8138F">
      <w:pPr>
        <w:pStyle w:val="TextoNormal"/>
      </w:pPr>
    </w:p>
    <w:p w14:paraId="6DBC4EC5" w14:textId="77777777" w:rsidR="00A8138F" w:rsidRDefault="00A8138F" w:rsidP="00A8138F">
      <w:pPr>
        <w:pStyle w:val="TextoNormal"/>
      </w:pPr>
      <w:r>
        <w:t>c) Sentado que los preceptos impugnados articulan medidas de intervención restrictivas de los derechos fundamentales reconocidos en los arts. 15, 17, 18.1, 19 y 21.1 CE, es claro que nos encontramos ante un ámbito normativo reservado por la Constitución al legislador orgánico, al que corresponde “la determinación ‘en negativo’ del alcance del derecho fundamental mismo, ya que lo propio de la restricción es reducir el ámbito material de protección del derecho en ciertos supuestos concretos en los que deben prevalecer otros bienes jurídicos” [STC 136/2024, FJ 5.3 C)]; tarea que es justamente la que el legislador vasco ha realizado a través de las medidas examinadas, por lo que ha infringido el art. 81.1 CE.</w:t>
      </w:r>
    </w:p>
    <w:p w14:paraId="2612710C" w14:textId="77777777" w:rsidR="00A8138F" w:rsidRDefault="00A8138F" w:rsidP="00A8138F">
      <w:pPr>
        <w:pStyle w:val="TextoNormal"/>
      </w:pPr>
    </w:p>
    <w:p w14:paraId="3DE9F049" w14:textId="77777777" w:rsidR="00A8138F" w:rsidRDefault="00A8138F" w:rsidP="00A8138F">
      <w:pPr>
        <w:pStyle w:val="TextoNormal"/>
      </w:pPr>
      <w:r>
        <w:t>De acuerdo con lo expuesto, ha de concluirse que los arts. 14.3, 15.2, 23.1, 26.1 y 3, 30.1, 32.1 y 34.1 a) y b) de la Ley del Parlamento Vasco 2/2021 son inconstitucionales y nulos, no como reproche formulado a su contenido, sino por vulnerar el sistema constitucional de fuentes, pues una regulación de este tipo debe ser aprobada mediante ley orgánica (STC 136/2024, FJ 5.</w:t>
      </w:r>
      <w:r w:rsidRPr="00A8138F">
        <w:rPr>
          <w:i/>
        </w:rPr>
        <w:t>4 in fi</w:t>
      </w:r>
      <w:r>
        <w:t>ne).</w:t>
      </w:r>
    </w:p>
    <w:p w14:paraId="5A53F2BA" w14:textId="77777777" w:rsidR="00A8138F" w:rsidRDefault="00A8138F" w:rsidP="00A8138F">
      <w:pPr>
        <w:pStyle w:val="TextoNormal"/>
      </w:pPr>
    </w:p>
    <w:p w14:paraId="1FA9E76F" w14:textId="77777777" w:rsidR="00A8138F" w:rsidRDefault="00A8138F" w:rsidP="00A8138F">
      <w:pPr>
        <w:pStyle w:val="TextoNormal"/>
      </w:pPr>
      <w:r>
        <w:t>C) Esta declaración de inconstitucionalidad y nulidad debe llevar consigo, por conexión o consecuencia (art. 39.1 LOTC), la de los siguientes preceptos de la Ley que no han sido impugnados por los recurrentes (en cursiva lo declarado inconstitucional y nulo).</w:t>
      </w:r>
    </w:p>
    <w:p w14:paraId="7406CE48" w14:textId="77777777" w:rsidR="00A8138F" w:rsidRDefault="00A8138F" w:rsidP="00A8138F">
      <w:pPr>
        <w:pStyle w:val="TextoNormal"/>
      </w:pPr>
    </w:p>
    <w:p w14:paraId="2CC3A520" w14:textId="77777777" w:rsidR="00A8138F" w:rsidRDefault="00A8138F" w:rsidP="00A8138F">
      <w:pPr>
        <w:pStyle w:val="TextoNormal"/>
      </w:pPr>
      <w:r>
        <w:t>a) Los apartados 2 a 5 del art. 23, que regulan la aplicación de la medida de confinamiento prevista en el apartado 1 de dicho artículo, en los siguientes términos:</w:t>
      </w:r>
    </w:p>
    <w:p w14:paraId="3ED53787" w14:textId="77777777" w:rsidR="00A8138F" w:rsidRDefault="00A8138F" w:rsidP="00A8138F">
      <w:pPr>
        <w:pStyle w:val="TextoNormal"/>
      </w:pPr>
    </w:p>
    <w:p w14:paraId="240F06BA" w14:textId="77777777" w:rsidR="00A8138F" w:rsidRDefault="00A8138F" w:rsidP="00A8138F">
      <w:pPr>
        <w:pStyle w:val="TextoNormal"/>
      </w:pPr>
      <w:r>
        <w:t>“</w:t>
      </w:r>
      <w:r w:rsidRPr="00A8138F">
        <w:rPr>
          <w:i/>
        </w:rPr>
        <w:t>Artículo 23. Aislamientos y cuarentenas personales</w:t>
      </w:r>
    </w:p>
    <w:p w14:paraId="64BD02A5" w14:textId="77777777" w:rsidR="00A8138F" w:rsidRDefault="00A8138F" w:rsidP="00A8138F">
      <w:pPr>
        <w:pStyle w:val="TextoNormal"/>
      </w:pPr>
    </w:p>
    <w:p w14:paraId="2D69B8FC" w14:textId="77777777" w:rsidR="00A8138F" w:rsidRDefault="00A8138F" w:rsidP="00A8138F">
      <w:pPr>
        <w:pStyle w:val="TextoNormal"/>
      </w:pPr>
      <w:r>
        <w:t>[…]</w:t>
      </w:r>
    </w:p>
    <w:p w14:paraId="792B10B9" w14:textId="77777777" w:rsidR="00A8138F" w:rsidRDefault="00A8138F" w:rsidP="00A8138F">
      <w:pPr>
        <w:pStyle w:val="TextoNormal"/>
      </w:pPr>
    </w:p>
    <w:p w14:paraId="0F170D02" w14:textId="77777777" w:rsidR="00A8138F" w:rsidRPr="00A8138F" w:rsidRDefault="00A8138F" w:rsidP="00A8138F">
      <w:pPr>
        <w:pStyle w:val="TextoNormal"/>
        <w:rPr>
          <w:i/>
        </w:rPr>
      </w:pPr>
      <w:r>
        <w:t xml:space="preserve">2. </w:t>
      </w:r>
      <w:r w:rsidRPr="00A8138F">
        <w:rPr>
          <w:i/>
        </w:rPr>
        <w:t>La duración del confinamiento vendrá determinada por la situación concreta de cada caso según las indicaciones de la autoridad o los servicios sanitarios, conforme a los protocolos acordados por el Consejo Interterritorial del Sistema Nacional de Salud.</w:t>
      </w:r>
    </w:p>
    <w:p w14:paraId="6DB38F3B" w14:textId="77777777" w:rsidR="00A8138F" w:rsidRPr="00A8138F" w:rsidRDefault="00A8138F" w:rsidP="00A8138F">
      <w:pPr>
        <w:pStyle w:val="TextoNormal"/>
        <w:rPr>
          <w:i/>
        </w:rPr>
      </w:pPr>
    </w:p>
    <w:p w14:paraId="16554AE6" w14:textId="77777777" w:rsidR="00A8138F" w:rsidRPr="00A8138F" w:rsidRDefault="00A8138F" w:rsidP="00A8138F">
      <w:pPr>
        <w:pStyle w:val="TextoNormal"/>
        <w:rPr>
          <w:i/>
        </w:rPr>
      </w:pPr>
      <w:r w:rsidRPr="00A8138F">
        <w:rPr>
          <w:i/>
        </w:rPr>
        <w:t>3. La obligación de confinamiento, en la modalidad que proceda, se comunicará materialmente, de forma verbal o por medios telemáticos o telefónicos, a la persona o personas afectadas, por la autoridad o los servicios afectados y surtirá efecto de inmediato. De la obligación y de la comunicación se dejará constancia en la historia clínica del paciente o de la paciente.</w:t>
      </w:r>
    </w:p>
    <w:p w14:paraId="3284D992" w14:textId="77777777" w:rsidR="00A8138F" w:rsidRPr="00A8138F" w:rsidRDefault="00A8138F" w:rsidP="00A8138F">
      <w:pPr>
        <w:pStyle w:val="TextoNormal"/>
        <w:rPr>
          <w:i/>
        </w:rPr>
      </w:pPr>
    </w:p>
    <w:p w14:paraId="59EE3EAB" w14:textId="77777777" w:rsidR="00A8138F" w:rsidRPr="00A8138F" w:rsidRDefault="00A8138F" w:rsidP="00A8138F">
      <w:pPr>
        <w:pStyle w:val="TextoNormal"/>
        <w:rPr>
          <w:i/>
        </w:rPr>
      </w:pPr>
      <w:r w:rsidRPr="00A8138F">
        <w:rPr>
          <w:i/>
        </w:rPr>
        <w:t>4. La obligación de confinamiento se cumplirá, preferentemente, instando a la colaboración voluntaria de las personas obligadas. Cuando se nieguen a cumplirla podrá imponerse mediante resoluciones específicas, que podrán dictarse de forma individual o colectiva, sin perjuicio en todo caso de la sujeción, cuando proceda, al régimen de autorización o ratificación judicial.</w:t>
      </w:r>
    </w:p>
    <w:p w14:paraId="6FE512D0" w14:textId="77777777" w:rsidR="00A8138F" w:rsidRPr="00A8138F" w:rsidRDefault="00A8138F" w:rsidP="00A8138F">
      <w:pPr>
        <w:pStyle w:val="TextoNormal"/>
        <w:rPr>
          <w:i/>
        </w:rPr>
      </w:pPr>
    </w:p>
    <w:p w14:paraId="42E51431" w14:textId="77777777" w:rsidR="00A8138F" w:rsidRPr="00A8138F" w:rsidRDefault="00A8138F" w:rsidP="00A8138F">
      <w:pPr>
        <w:pStyle w:val="TextoNormal"/>
        <w:rPr>
          <w:i/>
        </w:rPr>
      </w:pPr>
      <w:r w:rsidRPr="00A8138F">
        <w:rPr>
          <w:i/>
        </w:rPr>
        <w:t>5. La obligación personal de confinamiento, en cualquiera de sus modalidades, es independiente de las obligaciones derivadas de los confinamientos perimetrales territoriales que pudieran acordarse”.</w:t>
      </w:r>
    </w:p>
    <w:p w14:paraId="00FD764A" w14:textId="77777777" w:rsidR="00A8138F" w:rsidRPr="00A8138F" w:rsidRDefault="00A8138F" w:rsidP="00A8138F">
      <w:pPr>
        <w:pStyle w:val="TextoNormal"/>
        <w:rPr>
          <w:i/>
        </w:rPr>
      </w:pPr>
    </w:p>
    <w:p w14:paraId="4D250F56" w14:textId="77777777" w:rsidR="00A8138F" w:rsidRDefault="00A8138F" w:rsidP="00A8138F">
      <w:pPr>
        <w:pStyle w:val="TextoNormal"/>
      </w:pPr>
      <w:r w:rsidRPr="00A8138F">
        <w:rPr>
          <w:i/>
        </w:rPr>
        <w:t>Ha</w:t>
      </w:r>
      <w:r>
        <w:t>biéndose anulado el apartado 1, debemos extender la declaración de inconstitucionalidad a todo el art. 23, pues los apartados restantes pierden su razón de ser una vez desaparecido el presupuesto para su aplicación (STC 204/2002, de 31 de octubre, FJ 6).</w:t>
      </w:r>
    </w:p>
    <w:p w14:paraId="627B8021" w14:textId="77777777" w:rsidR="00A8138F" w:rsidRDefault="00A8138F" w:rsidP="00A8138F">
      <w:pPr>
        <w:pStyle w:val="TextoNormal"/>
      </w:pPr>
    </w:p>
    <w:p w14:paraId="1C3C7BFF" w14:textId="77777777" w:rsidR="00A8138F" w:rsidRDefault="00A8138F" w:rsidP="00A8138F">
      <w:pPr>
        <w:pStyle w:val="TextoNormal"/>
      </w:pPr>
      <w:r>
        <w:t>b) El art. 28.1 a) de la Ley, por prever en el nivel de alerta 2 una medida análoga a la ya anulada para otros niveles de alerta, con el tenor siguiente:</w:t>
      </w:r>
    </w:p>
    <w:p w14:paraId="26FBACA4" w14:textId="77777777" w:rsidR="00A8138F" w:rsidRDefault="00A8138F" w:rsidP="00A8138F">
      <w:pPr>
        <w:pStyle w:val="TextoNormal"/>
      </w:pPr>
    </w:p>
    <w:p w14:paraId="43656073" w14:textId="77777777" w:rsidR="00A8138F" w:rsidRDefault="00A8138F" w:rsidP="00A8138F">
      <w:pPr>
        <w:pStyle w:val="TextoNormal"/>
      </w:pPr>
      <w:r>
        <w:t>“Artículo 28. Medidas generales por mandato de la ley en alerta 2</w:t>
      </w:r>
    </w:p>
    <w:p w14:paraId="4D2A3145" w14:textId="77777777" w:rsidR="00A8138F" w:rsidRDefault="00A8138F" w:rsidP="00A8138F">
      <w:pPr>
        <w:pStyle w:val="TextoNormal"/>
      </w:pPr>
    </w:p>
    <w:p w14:paraId="309ECCB8" w14:textId="77777777" w:rsidR="00A8138F" w:rsidRDefault="00A8138F" w:rsidP="00A8138F">
      <w:pPr>
        <w:pStyle w:val="TextoNormal"/>
      </w:pPr>
      <w:r>
        <w:t>1. Con carácter general y por mandato de esta ley, en este nivel de alerta se aplicarán automáticamente las siguientes medidas:</w:t>
      </w:r>
    </w:p>
    <w:p w14:paraId="153F9DB9" w14:textId="77777777" w:rsidR="00A8138F" w:rsidRDefault="00A8138F" w:rsidP="00A8138F">
      <w:pPr>
        <w:pStyle w:val="TextoNormal"/>
      </w:pPr>
    </w:p>
    <w:p w14:paraId="155E29AF" w14:textId="77777777" w:rsidR="00A8138F" w:rsidRDefault="00A8138F" w:rsidP="00A8138F">
      <w:pPr>
        <w:pStyle w:val="TextoNormal"/>
      </w:pPr>
      <w:r w:rsidRPr="00A8138F">
        <w:rPr>
          <w:i/>
        </w:rPr>
        <w:t>a) Grupos de personas: Se podrá limitar la permanencia de grupos de personas en espacios públicos y privados a un máximo de seis personas, o al máximo en su caso previsto en el régimen jurídico de la declaración del estado de alarma</w:t>
      </w:r>
      <w:r>
        <w:t>”.</w:t>
      </w:r>
    </w:p>
    <w:p w14:paraId="2268C4D4" w14:textId="77777777" w:rsidR="00A8138F" w:rsidRDefault="00A8138F" w:rsidP="00A8138F">
      <w:pPr>
        <w:pStyle w:val="TextoNormal"/>
      </w:pPr>
    </w:p>
    <w:p w14:paraId="54624E1E" w14:textId="77777777" w:rsidR="00A8138F" w:rsidRDefault="00A8138F" w:rsidP="00A8138F">
      <w:pPr>
        <w:pStyle w:val="TextoNormal"/>
      </w:pPr>
      <w:r>
        <w:t>La restricción del derecho de reunión que establece dicho precepto para el nivel de alerta 2 forma una unidad práctica inescindible junto con el resto de los niveles de alerta, cuyas reglas análogas para grupos de personas hemos declarado contrarias al art. 81.1 CE (STC 195/1998, de 1 de octubre, FJ 4).</w:t>
      </w:r>
    </w:p>
    <w:p w14:paraId="092067C9" w14:textId="77777777" w:rsidR="00A8138F" w:rsidRDefault="00A8138F" w:rsidP="00A8138F">
      <w:pPr>
        <w:pStyle w:val="TextoNormal"/>
      </w:pPr>
    </w:p>
    <w:p w14:paraId="054483A1" w14:textId="77777777" w:rsidR="00A8138F" w:rsidRDefault="00A8138F" w:rsidP="00A8138F">
      <w:pPr>
        <w:pStyle w:val="TextoNormal"/>
      </w:pPr>
      <w:r>
        <w:t>c) El régimen sancionador específicamente asociado a las medidas que resultan anuladas (en el mismo sentido, SSTC 72/2021, de 18 de marzo, FJ 6, y 136/2024, FJ 5.4). En concreto, los siguientes apartados o incisos del art. 40 (“Infracciones leves y grados y sanciones que les son aplicables”):</w:t>
      </w:r>
    </w:p>
    <w:p w14:paraId="608398A3" w14:textId="77777777" w:rsidR="00A8138F" w:rsidRDefault="00A8138F" w:rsidP="00A8138F">
      <w:pPr>
        <w:pStyle w:val="TextoNormal"/>
      </w:pPr>
    </w:p>
    <w:p w14:paraId="5A1AC650" w14:textId="77777777" w:rsidR="00A8138F" w:rsidRDefault="00A8138F" w:rsidP="00A8138F">
      <w:pPr>
        <w:pStyle w:val="TextoNormal"/>
      </w:pPr>
      <w:r>
        <w:t>“1. Son infracciones leves en grado menor, sancionables con multa de 100 a 150 euros, las siguientes:</w:t>
      </w:r>
    </w:p>
    <w:p w14:paraId="617734B7" w14:textId="77777777" w:rsidR="00A8138F" w:rsidRDefault="00A8138F" w:rsidP="00A8138F">
      <w:pPr>
        <w:pStyle w:val="TextoNormal"/>
      </w:pPr>
    </w:p>
    <w:p w14:paraId="4AC0936E" w14:textId="77777777" w:rsidR="00A8138F" w:rsidRDefault="00A8138F" w:rsidP="00A8138F">
      <w:pPr>
        <w:pStyle w:val="TextoNormal"/>
      </w:pPr>
      <w:r>
        <w:t>[…]</w:t>
      </w:r>
    </w:p>
    <w:p w14:paraId="5A9BF119" w14:textId="77777777" w:rsidR="00A8138F" w:rsidRDefault="00A8138F" w:rsidP="00A8138F">
      <w:pPr>
        <w:pStyle w:val="TextoNormal"/>
      </w:pPr>
    </w:p>
    <w:p w14:paraId="66400E1A" w14:textId="77777777" w:rsidR="00A8138F" w:rsidRDefault="00A8138F" w:rsidP="00A8138F">
      <w:pPr>
        <w:pStyle w:val="TextoNormal"/>
      </w:pPr>
      <w:r w:rsidRPr="00A8138F">
        <w:rPr>
          <w:i/>
        </w:rPr>
        <w:t>d) El incumplimiento de la obligación de presentar la documentación personal justificativa del traslado o desplazamiento, cuando la misma sea legalmente exigible a las personas físicas individuales en atención a las normas en materia de confinamiento perimetral, límites horarios para el tránsito o similares en relación con las medidas previstas en esta ley. La insuficiencia o simple irregularidad de la documentación personal justificativa del traslado o desplazamiento se equiparará en los mismos términos, sin perjuicio de la moderación que proceda a los efectos de la individualización de la sanción</w:t>
      </w:r>
      <w:r>
        <w:t>.</w:t>
      </w:r>
    </w:p>
    <w:p w14:paraId="767D85C2" w14:textId="77777777" w:rsidR="00A8138F" w:rsidRDefault="00A8138F" w:rsidP="00A8138F">
      <w:pPr>
        <w:pStyle w:val="TextoNormal"/>
      </w:pPr>
    </w:p>
    <w:p w14:paraId="26A33E58" w14:textId="77777777" w:rsidR="00A8138F" w:rsidRDefault="00A8138F" w:rsidP="00A8138F">
      <w:pPr>
        <w:pStyle w:val="TextoNormal"/>
      </w:pPr>
      <w:r>
        <w:t>[…]</w:t>
      </w:r>
    </w:p>
    <w:p w14:paraId="68542A25" w14:textId="77777777" w:rsidR="00A8138F" w:rsidRDefault="00A8138F" w:rsidP="00A8138F">
      <w:pPr>
        <w:pStyle w:val="TextoNormal"/>
      </w:pPr>
    </w:p>
    <w:p w14:paraId="11060DDF" w14:textId="77777777" w:rsidR="00A8138F" w:rsidRDefault="00A8138F" w:rsidP="00A8138F">
      <w:pPr>
        <w:pStyle w:val="TextoNormal"/>
      </w:pPr>
      <w:r>
        <w:t xml:space="preserve">f) El incumplimiento, con carácter individual, de las medidas de […] </w:t>
      </w:r>
      <w:r w:rsidRPr="00A8138F">
        <w:rPr>
          <w:i/>
        </w:rPr>
        <w:t>restricción de la movilidad nocturna y de limitación de la libertad de circulación de las personas en horario nocturno</w:t>
      </w:r>
      <w:r>
        <w:t xml:space="preserve"> […].</w:t>
      </w:r>
    </w:p>
    <w:p w14:paraId="5D291702" w14:textId="77777777" w:rsidR="00A8138F" w:rsidRDefault="00A8138F" w:rsidP="00A8138F">
      <w:pPr>
        <w:pStyle w:val="TextoNormal"/>
      </w:pPr>
    </w:p>
    <w:p w14:paraId="0B7173CF" w14:textId="77777777" w:rsidR="00A8138F" w:rsidRDefault="00A8138F" w:rsidP="00A8138F">
      <w:pPr>
        <w:pStyle w:val="TextoNormal"/>
      </w:pPr>
      <w:r>
        <w:t>[…]</w:t>
      </w:r>
    </w:p>
    <w:p w14:paraId="0549BF62" w14:textId="77777777" w:rsidR="00A8138F" w:rsidRDefault="00A8138F" w:rsidP="00A8138F">
      <w:pPr>
        <w:pStyle w:val="TextoNormal"/>
      </w:pPr>
    </w:p>
    <w:p w14:paraId="72CD3F59" w14:textId="77777777" w:rsidR="00A8138F" w:rsidRDefault="00A8138F" w:rsidP="00A8138F">
      <w:pPr>
        <w:pStyle w:val="TextoNormal"/>
      </w:pPr>
      <w:r>
        <w:t>2. Son infracciones leves en grado medio, sancionables con multa de 151 a 600 euros:</w:t>
      </w:r>
    </w:p>
    <w:p w14:paraId="07373912" w14:textId="77777777" w:rsidR="00A8138F" w:rsidRDefault="00A8138F" w:rsidP="00A8138F">
      <w:pPr>
        <w:pStyle w:val="TextoNormal"/>
      </w:pPr>
    </w:p>
    <w:p w14:paraId="2F87D6A2" w14:textId="77777777" w:rsidR="00A8138F" w:rsidRDefault="00A8138F" w:rsidP="00A8138F">
      <w:pPr>
        <w:pStyle w:val="TextoNormal"/>
      </w:pPr>
      <w:r>
        <w:t>[…]</w:t>
      </w:r>
    </w:p>
    <w:p w14:paraId="3F8D3806" w14:textId="77777777" w:rsidR="00A8138F" w:rsidRDefault="00A8138F" w:rsidP="00A8138F">
      <w:pPr>
        <w:pStyle w:val="TextoNormal"/>
      </w:pPr>
    </w:p>
    <w:p w14:paraId="6A0A4662" w14:textId="77777777" w:rsidR="00A8138F" w:rsidRDefault="00A8138F" w:rsidP="00A8138F">
      <w:pPr>
        <w:pStyle w:val="TextoNormal"/>
      </w:pPr>
      <w:r w:rsidRPr="00A8138F">
        <w:rPr>
          <w:i/>
        </w:rPr>
        <w:t>e) El incumplimiento de las obligaciones personales de aislamiento y cuarentena, cuando no constituyan una infracción más grave</w:t>
      </w:r>
      <w:r>
        <w:t>.</w:t>
      </w:r>
    </w:p>
    <w:p w14:paraId="1E8F2091" w14:textId="77777777" w:rsidR="00A8138F" w:rsidRDefault="00A8138F" w:rsidP="00A8138F">
      <w:pPr>
        <w:pStyle w:val="TextoNormal"/>
      </w:pPr>
    </w:p>
    <w:p w14:paraId="1E612364" w14:textId="77777777" w:rsidR="00A8138F" w:rsidRDefault="00A8138F" w:rsidP="00A8138F">
      <w:pPr>
        <w:pStyle w:val="TextoNormal"/>
      </w:pPr>
      <w:r>
        <w:t>[…]</w:t>
      </w:r>
    </w:p>
    <w:p w14:paraId="4060A6B6" w14:textId="77777777" w:rsidR="00A8138F" w:rsidRDefault="00A8138F" w:rsidP="00A8138F">
      <w:pPr>
        <w:pStyle w:val="TextoNormal"/>
      </w:pPr>
    </w:p>
    <w:p w14:paraId="19A6EAC6" w14:textId="77777777" w:rsidR="00A8138F" w:rsidRDefault="00A8138F" w:rsidP="00A8138F">
      <w:pPr>
        <w:pStyle w:val="TextoNormal"/>
      </w:pPr>
      <w:r>
        <w:t>3. Son infracciones leves en grado superior, sancionables con multa de 601 a 1.500 euros:</w:t>
      </w:r>
    </w:p>
    <w:p w14:paraId="3D138EC9" w14:textId="77777777" w:rsidR="00A8138F" w:rsidRDefault="00A8138F" w:rsidP="00A8138F">
      <w:pPr>
        <w:pStyle w:val="TextoNormal"/>
      </w:pPr>
    </w:p>
    <w:p w14:paraId="2D6366C8" w14:textId="77777777" w:rsidR="00A8138F" w:rsidRDefault="00A8138F" w:rsidP="00A8138F">
      <w:pPr>
        <w:pStyle w:val="TextoNormal"/>
      </w:pPr>
      <w:r>
        <w:t>[…]</w:t>
      </w:r>
    </w:p>
    <w:p w14:paraId="7189F875" w14:textId="77777777" w:rsidR="00A8138F" w:rsidRDefault="00A8138F" w:rsidP="00A8138F">
      <w:pPr>
        <w:pStyle w:val="TextoNormal"/>
      </w:pPr>
    </w:p>
    <w:p w14:paraId="1D8598B2" w14:textId="03AD9607" w:rsidR="00A8138F" w:rsidRDefault="00A8138F" w:rsidP="00A8138F">
      <w:pPr>
        <w:pStyle w:val="TextoNormal"/>
      </w:pPr>
      <w:r>
        <w:t xml:space="preserve">j) El incumplimiento de las obligaciones de aforo por parte de establecimientos, negocios, locales o instalaciones públicas o privadas, </w:t>
      </w:r>
      <w:r w:rsidRPr="00A8138F">
        <w:rPr>
          <w:i/>
        </w:rPr>
        <w:t>o de los límites del número de asistentes a los actos y reuniones sociales de carácter privado</w:t>
      </w:r>
      <w:r>
        <w:t>, cuando no constituyan una infracción más grave en función de los criterios de graduación previstos en esta ley”.</w:t>
      </w:r>
    </w:p>
    <w:p w14:paraId="70D11DC0" w14:textId="77777777" w:rsidR="00A8138F" w:rsidRDefault="00A8138F" w:rsidP="00A8138F">
      <w:pPr>
        <w:pStyle w:val="TextoNormal"/>
      </w:pPr>
    </w:p>
    <w:p w14:paraId="65D20E03" w14:textId="77777777" w:rsidR="00A8138F" w:rsidRDefault="00A8138F" w:rsidP="00A8138F">
      <w:pPr>
        <w:pStyle w:val="TextoNormal"/>
      </w:pPr>
      <w:r w:rsidRPr="00A8138F">
        <w:rPr>
          <w:rStyle w:val="NumeroAFNegritaCaracter"/>
        </w:rPr>
        <w:t>4</w:t>
      </w:r>
      <w:r>
        <w:t xml:space="preserve">. </w:t>
      </w:r>
      <w:r w:rsidRPr="00A8138F">
        <w:rPr>
          <w:i/>
        </w:rPr>
        <w:t>Otros motivos impugnatorios</w:t>
      </w:r>
    </w:p>
    <w:p w14:paraId="65BD3A83" w14:textId="77777777" w:rsidR="00A8138F" w:rsidRDefault="00A8138F" w:rsidP="00A8138F">
      <w:pPr>
        <w:pStyle w:val="TextoNormal"/>
      </w:pPr>
    </w:p>
    <w:p w14:paraId="0F3218C5" w14:textId="77777777" w:rsidR="00A8138F" w:rsidRDefault="00A8138F" w:rsidP="00A8138F">
      <w:pPr>
        <w:pStyle w:val="TextoNormal"/>
      </w:pPr>
      <w:r>
        <w:t xml:space="preserve">a) De lo resuelto hasta este punto se deriva que no es necesario analizar los motivos del recurso de inconstitucionalidad basados en la vulneración de las competencias estatales del art. 149.1.1 y 16 CE y en la infracción de los arts. 116 y 55.1 CE. Como concluimos en el fundamento jurídico 2 B) a) y b), la demanda vincula ambas impugnaciones, de forma inescindible, con aquellos preceptos que establecen medidas restrictivas de los derechos fundamentales. Habiendo declarado estos inconstitucionales y nulos, por infracción del art. 81.1 CE, resulta ya innecesario pronunciarnos sobre las citadas impugnaciones, atendiendo a los términos en que han sido formuladas [en igual sentido, </w:t>
      </w:r>
      <w:r w:rsidRPr="00A8138F">
        <w:rPr>
          <w:i/>
        </w:rPr>
        <w:t>vid</w:t>
      </w:r>
      <w:r>
        <w:t xml:space="preserve">. SSTC 141/2024, FJ 4 </w:t>
      </w:r>
      <w:r w:rsidRPr="00A8138F">
        <w:rPr>
          <w:i/>
        </w:rPr>
        <w:t>in fine</w:t>
      </w:r>
      <w:r>
        <w:t>, y 95/2025, FJ 3 F) b)].</w:t>
      </w:r>
    </w:p>
    <w:p w14:paraId="128006CC" w14:textId="77777777" w:rsidR="00A8138F" w:rsidRDefault="00A8138F" w:rsidP="00A8138F">
      <w:pPr>
        <w:pStyle w:val="TextoNormal"/>
      </w:pPr>
    </w:p>
    <w:p w14:paraId="1FC2DBEB" w14:textId="77777777" w:rsidR="00A8138F" w:rsidRDefault="00A8138F" w:rsidP="00A8138F">
      <w:pPr>
        <w:pStyle w:val="TextoNormal"/>
      </w:pPr>
      <w:r>
        <w:t>De igual forma, tampoco debemos abordar la impugnación específica por vulneración de los arts. 24 y 25.1 CE que se dirige contra los arts. 14.3 y 15.2 de la Ley (pruebas diagnósticas, vacunación y cribado), ya declarados inconstitucionales y nulos.</w:t>
      </w:r>
    </w:p>
    <w:p w14:paraId="4C45A5BE" w14:textId="77777777" w:rsidR="00A8138F" w:rsidRDefault="00A8138F" w:rsidP="00A8138F">
      <w:pPr>
        <w:pStyle w:val="TextoNormal"/>
      </w:pPr>
    </w:p>
    <w:p w14:paraId="233EBF9B" w14:textId="77777777" w:rsidR="00A8138F" w:rsidRDefault="00A8138F" w:rsidP="00A8138F">
      <w:pPr>
        <w:pStyle w:val="TextoNormal"/>
      </w:pPr>
      <w:r>
        <w:t>b) Por el contrario, subsiste la censura que aisladamente se dirige contra el art. 19.3 de la Ley, que prevé la suspensión de “la apertura de cualquier establecimiento o la realización de cualquier actividad que pueda suponer un riesgo de contagio por las condiciones en las que se esté desarrollando la actividad de que se trate”.</w:t>
      </w:r>
    </w:p>
    <w:p w14:paraId="514A828A" w14:textId="77777777" w:rsidR="00A8138F" w:rsidRDefault="00A8138F" w:rsidP="00A8138F">
      <w:pPr>
        <w:pStyle w:val="TextoNormal"/>
      </w:pPr>
    </w:p>
    <w:p w14:paraId="5E3D0BEA" w14:textId="77777777" w:rsidR="00A8138F" w:rsidRDefault="00A8138F" w:rsidP="00A8138F">
      <w:pPr>
        <w:pStyle w:val="TextoNormal"/>
      </w:pPr>
      <w:r>
        <w:t>Los recurrentes sostienen que esta disposición contraviene el art. 38 CE (libertad de empresa) al permitir una suspensión o constricción intensísima sobre la facultad de apertura de cualquier establecimiento o la realización de cualquier actividad. Invocan para ello la doctrina de la STC 148/2021, de 14 de julio, FJ 9, en relación con las medidas contenidas en el art. 10 del Real Decreto 463/2020, de 14 de marzo, por el que se declaró el estado de alarma para la gestión de la situación de crisis sanitaria ocasionada por el covid-19.</w:t>
      </w:r>
    </w:p>
    <w:p w14:paraId="5E6EE3B5" w14:textId="77777777" w:rsidR="00A8138F" w:rsidRDefault="00A8138F" w:rsidP="00A8138F">
      <w:pPr>
        <w:pStyle w:val="TextoNormal"/>
      </w:pPr>
    </w:p>
    <w:p w14:paraId="488DFA26" w14:textId="77777777" w:rsidR="00A8138F" w:rsidRDefault="00A8138F" w:rsidP="00A8138F">
      <w:pPr>
        <w:pStyle w:val="TextoNormal"/>
      </w:pPr>
      <w:r>
        <w:t>El motivo no puede ser acogido.</w:t>
      </w:r>
    </w:p>
    <w:p w14:paraId="7F13E5AE" w14:textId="77777777" w:rsidR="00A8138F" w:rsidRDefault="00A8138F" w:rsidP="00A8138F">
      <w:pPr>
        <w:pStyle w:val="TextoNormal"/>
      </w:pPr>
    </w:p>
    <w:p w14:paraId="47C3BD00" w14:textId="77777777" w:rsidR="00A8138F" w:rsidRDefault="00A8138F" w:rsidP="00A8138F">
      <w:pPr>
        <w:pStyle w:val="TextoNormal"/>
      </w:pPr>
      <w:r>
        <w:t>El derecho fundamental a la libertad de empresa que reconoce el art. 38 CE ampara “el iniciar y sostener en libertad la actividad empresarial” (STC 8/1984, de 27 de enero, FJ 3, reiterada, entre otras, en las SSTC 112/2006, de 5 de abril, FJ 8; 135/2012, de 19 de junio, FJ 5; 35/2016, de 3 de marzo, FJ 3, y 148/2021, de 14 de julio, FJ 9). No hay duda de que el art. 19.3 de la Ley constriñe, con carácter temporal, el libre mantenimiento de la actividad empresarial.</w:t>
      </w:r>
    </w:p>
    <w:p w14:paraId="33D37476" w14:textId="77777777" w:rsidR="00A8138F" w:rsidRDefault="00A8138F" w:rsidP="00A8138F">
      <w:pPr>
        <w:pStyle w:val="TextoNormal"/>
      </w:pPr>
    </w:p>
    <w:p w14:paraId="7DCD1A9F" w14:textId="77777777" w:rsidR="00A8138F" w:rsidRDefault="00A8138F" w:rsidP="00A8138F">
      <w:pPr>
        <w:pStyle w:val="TextoNormal"/>
      </w:pPr>
      <w:r>
        <w:t>Sin embargo, tal limitación se encuentra recogida en una norma legal, está amparada en la promoción de un objetivo constitucionalmente legítimo, como es la preservación y defensa de la salud, y es una medida idónea y necesaria para promover aquella finalidad, pues permite frenar la expansión de los contagios y revertir sus daños.</w:t>
      </w:r>
    </w:p>
    <w:p w14:paraId="06B2AB65" w14:textId="77777777" w:rsidR="00A8138F" w:rsidRDefault="00A8138F" w:rsidP="00A8138F">
      <w:pPr>
        <w:pStyle w:val="TextoNormal"/>
      </w:pPr>
    </w:p>
    <w:p w14:paraId="43F8B20C" w14:textId="56EE139C" w:rsidR="00A8138F" w:rsidRDefault="00A8138F" w:rsidP="00A8138F">
      <w:pPr>
        <w:pStyle w:val="TextoNormal"/>
      </w:pPr>
      <w:r>
        <w:t>Consecuentemente, la impugnación del art. 19.3 de la Ley 2/2021 ha de ser desestimada.</w:t>
      </w:r>
    </w:p>
    <w:p w14:paraId="0A9A079A" w14:textId="77777777" w:rsidR="00A8138F" w:rsidRDefault="00A8138F" w:rsidP="00A8138F">
      <w:pPr>
        <w:pStyle w:val="TextoNormal"/>
      </w:pPr>
    </w:p>
    <w:p w14:paraId="5F5BB203" w14:textId="77777777" w:rsidR="00A8138F" w:rsidRDefault="00A8138F" w:rsidP="00A8138F">
      <w:pPr>
        <w:pStyle w:val="TextoNormalCentrado"/>
        <w:keepNext/>
      </w:pPr>
      <w:r>
        <w:t>FALLO</w:t>
      </w:r>
    </w:p>
    <w:p w14:paraId="088D38BF" w14:textId="2CC6BD5F" w:rsidR="00A8138F" w:rsidRDefault="00A8138F" w:rsidP="00A8138F">
      <w:pPr>
        <w:pStyle w:val="TextoNormalCentrado"/>
        <w:keepNext/>
      </w:pPr>
    </w:p>
    <w:p w14:paraId="14963C8B" w14:textId="77777777" w:rsidR="00A8138F" w:rsidRDefault="00A8138F" w:rsidP="00A8138F">
      <w:pPr>
        <w:pStyle w:val="TextoNormal"/>
      </w:pPr>
      <w:r>
        <w:t>En atención a todo lo expuesto, el Tribunal Constitucional, por la autoridad que le confiere la Constitución de la Nación española, ha decidido</w:t>
      </w:r>
    </w:p>
    <w:p w14:paraId="4BE44403" w14:textId="77777777" w:rsidR="00A8138F" w:rsidRDefault="00A8138F" w:rsidP="00A8138F">
      <w:pPr>
        <w:pStyle w:val="TextoNormal"/>
      </w:pPr>
    </w:p>
    <w:p w14:paraId="31807EE3" w14:textId="77777777" w:rsidR="00A8138F" w:rsidRDefault="00A8138F" w:rsidP="00A8138F">
      <w:pPr>
        <w:pStyle w:val="TextoNormal"/>
      </w:pPr>
      <w:r>
        <w:t>1º Estimar parcialmente el recurso de inconstitucionalidad y, en consecuencia, declarar inconstitucionales y nulos los arts. 14.3, 15.2, 23.1, 26.1 y 3, 30.1, 32.1 y 34.1 a) y b) de la Ley del Parlamento Vasco 2/2021, de 24 de junio, de medidas para la gestión de la pandemia de covid-19.</w:t>
      </w:r>
    </w:p>
    <w:p w14:paraId="2A0AF7E5" w14:textId="77777777" w:rsidR="00A8138F" w:rsidRDefault="00A8138F" w:rsidP="00A8138F">
      <w:pPr>
        <w:pStyle w:val="TextoNormal"/>
      </w:pPr>
    </w:p>
    <w:p w14:paraId="7348F6BA" w14:textId="77777777" w:rsidR="00A8138F" w:rsidRDefault="00A8138F" w:rsidP="00A8138F">
      <w:pPr>
        <w:pStyle w:val="TextoNormal"/>
      </w:pPr>
      <w:r>
        <w:t>2º Extender, por conexión o consecuencia, la declaración de inconstitucionalidad y nulidad a los siguientes preceptos: arts. 23, apartados 2 a 5; 28.1 a); 40.1 d); 40.2 e); e incisos “restricción de la movilidad nocturna y de limitación de la libertad de circulación de las personas en horario nocturno” del art. 40.1 f) y “o de los límites del número de asistentes a los actos y reuniones sociales de carácter privado” del art. 40.3 j) de la citada Ley.</w:t>
      </w:r>
    </w:p>
    <w:p w14:paraId="76EA9C54" w14:textId="77777777" w:rsidR="00A8138F" w:rsidRDefault="00A8138F" w:rsidP="00A8138F">
      <w:pPr>
        <w:pStyle w:val="TextoNormal"/>
      </w:pPr>
    </w:p>
    <w:p w14:paraId="50A2FD7E" w14:textId="217C3276" w:rsidR="00A8138F" w:rsidRDefault="00A8138F" w:rsidP="00A8138F">
      <w:pPr>
        <w:pStyle w:val="TextoNormal"/>
      </w:pPr>
      <w:r>
        <w:t>3º Desestimar el recurso en todo lo demás.</w:t>
      </w:r>
    </w:p>
    <w:p w14:paraId="4344C4CF" w14:textId="77777777" w:rsidR="00A8138F" w:rsidRDefault="00A8138F" w:rsidP="00A8138F">
      <w:pPr>
        <w:pStyle w:val="TextoNormal"/>
      </w:pPr>
    </w:p>
    <w:p w14:paraId="6CF8B082" w14:textId="77777777" w:rsidR="00A8138F" w:rsidRDefault="00A8138F" w:rsidP="00A8138F">
      <w:pPr>
        <w:pStyle w:val="TextoNormal"/>
      </w:pPr>
      <w:r>
        <w:t>Publíquese esta sentencia en el “Boletín Oficial del Estado”.</w:t>
      </w:r>
    </w:p>
    <w:p w14:paraId="3ED489F0" w14:textId="77777777" w:rsidR="00A8138F" w:rsidRDefault="00A8138F" w:rsidP="00A8138F">
      <w:pPr>
        <w:pStyle w:val="TextoNormal"/>
      </w:pPr>
      <w:r>
        <w:t>Dada en Madrid, a diez de junio de dos mil veinticinco.</w:t>
      </w:r>
    </w:p>
    <w:p w14:paraId="2CA6E0D1" w14:textId="190B7464" w:rsidR="00A8138F" w:rsidRDefault="00A8138F">
      <w:pPr>
        <w:spacing w:after="160" w:line="278" w:lineRule="auto"/>
        <w:rPr>
          <w:rFonts w:ascii="Times New Roman" w:eastAsia="Times New Roman" w:hAnsi="Times New Roman" w:cs="Times New Roman"/>
          <w:sz w:val="24"/>
          <w:szCs w:val="24"/>
          <w:lang w:eastAsia="es-ES"/>
        </w:rPr>
      </w:pPr>
      <w:r>
        <w:br w:type="page"/>
      </w:r>
    </w:p>
    <w:p w14:paraId="3622572B" w14:textId="77777777" w:rsidR="00A8138F" w:rsidRDefault="00A8138F" w:rsidP="00A8138F">
      <w:pPr>
        <w:pStyle w:val="TtuloResolucin"/>
      </w:pPr>
      <w:bookmarkStart w:id="136" w:name="SENTENCIA_2025_134"/>
      <w:r>
        <w:t>SENTENCIA 134/2025, de 10 de junio de 2025</w:t>
      </w:r>
    </w:p>
    <w:bookmarkEnd w:id="136"/>
    <w:p w14:paraId="42E9607A" w14:textId="77777777" w:rsidR="00A8138F" w:rsidRDefault="00A8138F" w:rsidP="00A8138F">
      <w:pPr>
        <w:pStyle w:val="TtuloResolucin"/>
      </w:pPr>
      <w:r>
        <w:t>Pleno</w:t>
      </w:r>
    </w:p>
    <w:p w14:paraId="590837B1" w14:textId="77777777" w:rsidR="00A8138F" w:rsidRDefault="00A8138F" w:rsidP="00A8138F">
      <w:pPr>
        <w:pStyle w:val="TtuloBOE"/>
      </w:pPr>
      <w:r>
        <w:t>(BOE núm. 168, de 14 de julio de 2025)</w:t>
      </w:r>
    </w:p>
    <w:p w14:paraId="5B725A61" w14:textId="77777777" w:rsidR="00A8138F" w:rsidRDefault="00A8138F" w:rsidP="00A8138F">
      <w:pPr>
        <w:pStyle w:val="TextoNormalCentrado"/>
      </w:pPr>
      <w:r>
        <w:t>ECLI:ES:TC:2025:134</w:t>
      </w:r>
    </w:p>
    <w:p w14:paraId="512FCB71" w14:textId="319C7CF4" w:rsidR="00A8138F" w:rsidRDefault="00A8138F" w:rsidP="00A8138F">
      <w:pPr>
        <w:pStyle w:val="TextoNormalCentrado"/>
      </w:pPr>
    </w:p>
    <w:p w14:paraId="60C61056" w14:textId="77777777" w:rsidR="00A8138F" w:rsidRDefault="00A8138F" w:rsidP="00A8138F">
      <w:pPr>
        <w:pStyle w:val="SntesisDescriptiva"/>
      </w:pPr>
      <w:r>
        <w:t>Cuestión de inconstitucionalidad 5537-2023. Planteada por la Sala de lo Contencioso-Administrativo del Tribunal Superior de Justicia de Cantabria respecto del artículo 197.1 a) párrafo segundo de la Ley Orgánica de régimen electoral general.</w:t>
      </w:r>
    </w:p>
    <w:p w14:paraId="35B70ABE" w14:textId="4A23F6F6" w:rsidR="00A8138F" w:rsidRDefault="00A8138F" w:rsidP="00A8138F">
      <w:pPr>
        <w:pStyle w:val="SntesisDescriptiva"/>
      </w:pPr>
    </w:p>
    <w:p w14:paraId="73405DC0" w14:textId="77777777" w:rsidR="00A8138F" w:rsidRDefault="00A8138F" w:rsidP="00A8138F">
      <w:pPr>
        <w:pStyle w:val="SntesisAnaltica"/>
      </w:pPr>
      <w:r>
        <w:t>Derecho de acceso a los cargos públicos: nulidad del precepto legal que ajusta el quorum de concejales promotores de una moción de censura al alcalde en función de la pertenencia al mismo grupo municipal que el presidente de la corporación local; extensión, por conexión o consecuencia, de la declaración de inconstitucionalidad.</w:t>
      </w:r>
    </w:p>
    <w:p w14:paraId="5EDD42FB" w14:textId="10AA6063" w:rsidR="00A8138F" w:rsidRDefault="00A8138F" w:rsidP="00A8138F">
      <w:pPr>
        <w:pStyle w:val="SntesisAnaltica"/>
      </w:pPr>
    </w:p>
    <w:p w14:paraId="7380712B" w14:textId="231ABAED" w:rsidR="00A8138F" w:rsidRDefault="00A8138F" w:rsidP="00A8138F">
      <w:pPr>
        <w:pStyle w:val="Extracto"/>
      </w:pPr>
      <w:r>
        <w:t>1.</w:t>
      </w:r>
      <w:r>
        <w:tab/>
        <w:t>La naturaleza híbrida de la moción de censura no actúa sólo como medio de control y de exigencia de responsabilidad política por parte del pleno municipal, sino también como eventual causa de cese del alcalde inicialmente designado, poniendo fin a la efectividad de la elección inicial que deriva directamente de la convocatoria electoral [FJ 3].</w:t>
      </w:r>
    </w:p>
    <w:p w14:paraId="375AE457" w14:textId="77777777" w:rsidR="00A8138F" w:rsidRDefault="00A8138F" w:rsidP="00A8138F">
      <w:pPr>
        <w:pStyle w:val="Extracto"/>
      </w:pPr>
    </w:p>
    <w:p w14:paraId="75AC5BD2" w14:textId="51CD4627" w:rsidR="00A8138F" w:rsidRDefault="00A8138F" w:rsidP="00A8138F">
      <w:pPr>
        <w:pStyle w:val="Extracto"/>
      </w:pPr>
      <w:r>
        <w:t>2.</w:t>
      </w:r>
      <w:r>
        <w:tab/>
        <w:t xml:space="preserve">La anomalía que ha incidido negativamente en el sistema democrático y representativo y que se ha conocido como ‘transfuguismo’ no puede intervenirse por el legislador con restricciones al </w:t>
      </w:r>
      <w:r w:rsidRPr="00A8138F">
        <w:rPr>
          <w:i/>
        </w:rPr>
        <w:t>ius in officium</w:t>
      </w:r>
      <w:r>
        <w:t xml:space="preserve"> (STC 9/2012 y 151/2017) que impacten en el ejercicio natural del cargo público al amparo de la libertad de mandato con base en razones asociadas a la vinculación orgánica o política. Porque no es cierto que la desvinculación orgánica o política del grupo de origen desestabilice, por defecto o sin excepción, la vida municipal o que modifique la voluntad popular [FJ 5].</w:t>
      </w:r>
    </w:p>
    <w:p w14:paraId="3AEF3DF0" w14:textId="77777777" w:rsidR="00A8138F" w:rsidRDefault="00A8138F" w:rsidP="00A8138F">
      <w:pPr>
        <w:pStyle w:val="Extracto"/>
      </w:pPr>
    </w:p>
    <w:p w14:paraId="23D50E89" w14:textId="47EFA85F" w:rsidR="00A8138F" w:rsidRDefault="00A8138F" w:rsidP="00A8138F">
      <w:pPr>
        <w:pStyle w:val="Extracto"/>
      </w:pPr>
      <w:r>
        <w:t>3.</w:t>
      </w:r>
      <w:r>
        <w:tab/>
        <w:t>Debemos descartar que el legislador pueda diferenciar entre unos concejales y otros, según su pertenencia a un determinado grupo municipal o su condición de no adscrito, a la hora de ejercer el control de la acción municipal del alcalde a través de la propuesta y votación de una moción de censura [FJ 5].</w:t>
      </w:r>
    </w:p>
    <w:p w14:paraId="3DEEF745" w14:textId="77777777" w:rsidR="00A8138F" w:rsidRDefault="00A8138F" w:rsidP="00A8138F">
      <w:pPr>
        <w:pStyle w:val="Extracto"/>
      </w:pPr>
    </w:p>
    <w:p w14:paraId="38ABA0FB" w14:textId="312101CA" w:rsidR="00A8138F" w:rsidRDefault="00A8138F" w:rsidP="00A8138F">
      <w:pPr>
        <w:pStyle w:val="Extracto"/>
      </w:pPr>
      <w:r>
        <w:t>4.</w:t>
      </w:r>
      <w:r>
        <w:tab/>
        <w:t>De entre las dos posibilidades a que le habilita el penúltimo inciso del art. 140 CE, en la opción de atribuir a los concejales la facultad de elegir al alcalde, también a través de la moción de censura, el derecho de voto -que corresponde a todos ellos en esa elección con independencia de su adscripción política- no puede verse impedido ni limitado más allá de lo razonable, por la vía indirecta de excluir de la iniciativa, para plantear una moción de censura a determinados concejales por su pertenencia, pasada o actual, a un determinado grupo municipal. Ello vulnera el 23.2 CE por ser contrario a la naturaleza de la representación política [FJ 5].</w:t>
      </w:r>
    </w:p>
    <w:p w14:paraId="0DA4C38A" w14:textId="77777777" w:rsidR="00A8138F" w:rsidRDefault="00A8138F" w:rsidP="00A8138F">
      <w:pPr>
        <w:pStyle w:val="Extracto"/>
      </w:pPr>
    </w:p>
    <w:p w14:paraId="45236622" w14:textId="77777777" w:rsidR="00A8138F" w:rsidRDefault="00A8138F" w:rsidP="00A8138F">
      <w:pPr>
        <w:pStyle w:val="Extracto"/>
      </w:pPr>
    </w:p>
    <w:p w14:paraId="0CD37ABB"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1F19EF6D" w14:textId="255A1B3B" w:rsidR="00A8138F" w:rsidRDefault="00A8138F" w:rsidP="00A8138F">
      <w:pPr>
        <w:pStyle w:val="TextoNormal"/>
      </w:pPr>
    </w:p>
    <w:p w14:paraId="1D11E3A8" w14:textId="77777777" w:rsidR="00A8138F" w:rsidRDefault="00A8138F" w:rsidP="00A8138F">
      <w:pPr>
        <w:pStyle w:val="TextoNormalCentrado"/>
        <w:keepNext/>
      </w:pPr>
      <w:r>
        <w:t>EN NOMBRE DEL REY</w:t>
      </w:r>
    </w:p>
    <w:p w14:paraId="02DDF08B" w14:textId="1761C6BC" w:rsidR="00A8138F" w:rsidRDefault="00A8138F" w:rsidP="00A8138F">
      <w:pPr>
        <w:pStyle w:val="TextoNormalCentrado"/>
        <w:keepNext/>
      </w:pPr>
    </w:p>
    <w:p w14:paraId="7E378BB4" w14:textId="77777777" w:rsidR="00A8138F" w:rsidRDefault="00A8138F" w:rsidP="00A8138F">
      <w:pPr>
        <w:pStyle w:val="TextoNormalCentrado"/>
        <w:keepNext/>
      </w:pPr>
    </w:p>
    <w:p w14:paraId="141591AE" w14:textId="77777777" w:rsidR="00A8138F" w:rsidRDefault="00A8138F" w:rsidP="00A8138F">
      <w:pPr>
        <w:pStyle w:val="TextoNormal"/>
      </w:pPr>
      <w:r>
        <w:t>la siguiente</w:t>
      </w:r>
    </w:p>
    <w:p w14:paraId="4E32D3DA" w14:textId="0EF625D2" w:rsidR="00A8138F" w:rsidRDefault="00A8138F" w:rsidP="00A8138F">
      <w:pPr>
        <w:pStyle w:val="TextoNormal"/>
      </w:pPr>
    </w:p>
    <w:p w14:paraId="2B238087" w14:textId="77777777" w:rsidR="00A8138F" w:rsidRDefault="00A8138F" w:rsidP="00A8138F">
      <w:pPr>
        <w:pStyle w:val="TextoNormalCentrado"/>
        <w:keepNext/>
      </w:pPr>
      <w:r>
        <w:t>SENTENCIA</w:t>
      </w:r>
    </w:p>
    <w:p w14:paraId="3D8FA41A" w14:textId="4A97584E" w:rsidR="00A8138F" w:rsidRDefault="00A8138F" w:rsidP="00A8138F">
      <w:pPr>
        <w:pStyle w:val="TextoNormalCentrado"/>
        <w:keepNext/>
      </w:pPr>
    </w:p>
    <w:p w14:paraId="37C58232" w14:textId="77777777" w:rsidR="00A8138F" w:rsidRDefault="00A8138F" w:rsidP="00A8138F">
      <w:pPr>
        <w:pStyle w:val="TextoNormal"/>
      </w:pPr>
      <w:r>
        <w:t>En la cuestión de inconstitucionalidad núm. 5537-2023, promovida por la Sala de lo Contencioso-Administrativo del Tribunal Superior de Justicia de Cantabria, respecto del art. 197.1 a) párrafo segundo de la Ley Orgánica de régimen electoral general. Ha intervenido el fiscal general del Estado. Han comparecido y presentado alegaciones la Abogacía del Estado, don José Francisco Villegas Gómez y el Ayuntamiento de Arredondo. Ha sido ponente la magistrada doña María Luisa Balaguer Callejón.</w:t>
      </w:r>
    </w:p>
    <w:p w14:paraId="23FF2E78" w14:textId="02349F07" w:rsidR="00A8138F" w:rsidRDefault="00A8138F" w:rsidP="00A8138F">
      <w:pPr>
        <w:pStyle w:val="TextoNormal"/>
      </w:pPr>
    </w:p>
    <w:p w14:paraId="4F27E877" w14:textId="77777777" w:rsidR="00A8138F" w:rsidRDefault="00A8138F" w:rsidP="00A8138F">
      <w:pPr>
        <w:pStyle w:val="TextoNormalNegritaCentrado"/>
        <w:keepNext/>
      </w:pPr>
      <w:r>
        <w:t>I. Antecedentes</w:t>
      </w:r>
    </w:p>
    <w:p w14:paraId="70F30427" w14:textId="35F33AEA" w:rsidR="00A8138F" w:rsidRDefault="00A8138F" w:rsidP="00A8138F">
      <w:pPr>
        <w:pStyle w:val="TextoNormalNegritaCentrado"/>
        <w:keepNext/>
      </w:pPr>
    </w:p>
    <w:p w14:paraId="2B70367E" w14:textId="1C172720" w:rsidR="00A8138F" w:rsidRDefault="00A8138F" w:rsidP="00A8138F">
      <w:pPr>
        <w:pStyle w:val="TextoNormal"/>
      </w:pPr>
      <w:r w:rsidRPr="00A8138F">
        <w:rPr>
          <w:rStyle w:val="NumeroAFNegritaCaracter"/>
        </w:rPr>
        <w:t>1</w:t>
      </w:r>
      <w:r>
        <w:t>. El 31 de agosto de 2023 tuvo entrada en el registro general del Tribunal Constitucional oficio de la Sala de lo Contencioso-Administrativo del Tribunal Superior de Justicia de Cantabria, con sede en Santander, por el que se remite, junto con el testimonio de las actuaciones del recurso de apelación núm. 224-2022, el auto de 21 de agosto de 2023 por el que se plantea cuestión de inconstitucionalidad en relación con art. 197.1 a) párrafo segundo de la Ley Orgánica de régimen electoral general (en adelante. LOREG), por la posible vulneración del art. 23. 2 CE.</w:t>
      </w:r>
    </w:p>
    <w:p w14:paraId="4A4F6152" w14:textId="77777777" w:rsidR="00A8138F" w:rsidRDefault="00A8138F" w:rsidP="00A8138F">
      <w:pPr>
        <w:pStyle w:val="TextoNormal"/>
      </w:pPr>
    </w:p>
    <w:p w14:paraId="1E049DDD" w14:textId="77777777" w:rsidR="00A8138F" w:rsidRDefault="00A8138F" w:rsidP="00A8138F">
      <w:pPr>
        <w:pStyle w:val="TextoNormal"/>
      </w:pPr>
      <w:r w:rsidRPr="00A8138F">
        <w:rPr>
          <w:rStyle w:val="NumeroAFNegritaCaracter"/>
        </w:rPr>
        <w:t>2</w:t>
      </w:r>
      <w:r>
        <w:t>. Los antecedentes de la presente cuestión de inconstitucionalidad son los siguientes:</w:t>
      </w:r>
    </w:p>
    <w:p w14:paraId="68C9C98E" w14:textId="77777777" w:rsidR="00A8138F" w:rsidRDefault="00A8138F" w:rsidP="00A8138F">
      <w:pPr>
        <w:pStyle w:val="TextoNormal"/>
      </w:pPr>
    </w:p>
    <w:p w14:paraId="6EC2A8AB" w14:textId="77777777" w:rsidR="00A8138F" w:rsidRDefault="00A8138F" w:rsidP="00A8138F">
      <w:pPr>
        <w:pStyle w:val="TextoNormal"/>
      </w:pPr>
      <w:r>
        <w:t>a) El 4 de febrero de 2022 cuatro concejales del Ayuntamiento de Arredondo (Cantabria) presentaron un escrito para iniciar el trámite de una moción de censura al alcalde del municipio. La corporación municipal de Arredondo estaba formada por siete concejales, incluido el alcalde, representantes de dos fuerzas políticas. Tras las elecciones celebradas en el año 2019 resultaron elegidos cuatro representantes del Partido Regionalista de Cantabria y tres del Partido Socialista Obrero Español.</w:t>
      </w:r>
    </w:p>
    <w:p w14:paraId="356C702E" w14:textId="77777777" w:rsidR="00A8138F" w:rsidRDefault="00A8138F" w:rsidP="00A8138F">
      <w:pPr>
        <w:pStyle w:val="TextoNormal"/>
      </w:pPr>
    </w:p>
    <w:p w14:paraId="7B2B38E7" w14:textId="77777777" w:rsidR="00A8138F" w:rsidRDefault="00A8138F" w:rsidP="00A8138F">
      <w:pPr>
        <w:pStyle w:val="TextoNormal"/>
      </w:pPr>
      <w:r>
        <w:t>Entre los concejales proponentes de la moción se encontraba don José Francisco Villegas Gómez, que había sido expulsado en 2021 del Partido Regionalista de Cantabria y del grupo municipal, habiendo pasado, en su momento, a la condición de concejal no adscrito. El alcalde de Arredondo, contra el que se planteaba la moción de censura, pertenecía también al Partido Regionalista de Cantabria y al grupo municipal formado por los concejales electos de dicho partido.</w:t>
      </w:r>
    </w:p>
    <w:p w14:paraId="73356847" w14:textId="77777777" w:rsidR="00A8138F" w:rsidRDefault="00A8138F" w:rsidP="00A8138F">
      <w:pPr>
        <w:pStyle w:val="TextoNormal"/>
      </w:pPr>
    </w:p>
    <w:p w14:paraId="7F527685" w14:textId="77777777" w:rsidR="00A8138F" w:rsidRDefault="00A8138F" w:rsidP="00A8138F">
      <w:pPr>
        <w:pStyle w:val="TextoNormal"/>
      </w:pPr>
      <w:r>
        <w:t>b) El 7 de febrero de 2022, la señora secretaria del Ayuntamiento de Arredondo dictó diligencia inadmitiendo la moción, tras comprobar que no reunía los requisitos exigidos en el artículo 197.1 a) párrafo segundo LOREG. En la diligencia se ponía de manifiesto que “al ser uno de los proponentes de la moción de censura un concejal que forma o ha formado parte del grupo político municipal al que pertenece el alcalde cuya censura se propone, se precisa estar suscrita por la mayoría absoluta incrementada en el número de un concejal, es decir, en este caso debe ser suscrita por cinco concejales”. En caso de que el señor Villegas no hubiera firmado la propuesta de moción, la mayoría absoluta para plantearla hubiera sido de cuatro concejales. En estas circunstancias, se paraliza la tramitación de la moción de censura porque no hay más concejales, ajenos al grupo municipal del alcalde, que puedan firmar la interposición de la moción.</w:t>
      </w:r>
    </w:p>
    <w:p w14:paraId="3CFFD3C9" w14:textId="77777777" w:rsidR="00A8138F" w:rsidRDefault="00A8138F" w:rsidP="00A8138F">
      <w:pPr>
        <w:pStyle w:val="TextoNormal"/>
      </w:pPr>
    </w:p>
    <w:p w14:paraId="5ECFF219" w14:textId="77777777" w:rsidR="00A8138F" w:rsidRDefault="00A8138F" w:rsidP="00A8138F">
      <w:pPr>
        <w:pStyle w:val="TextoNormal"/>
      </w:pPr>
      <w:r>
        <w:t>c) El 17 de marzo de 2022, los cuatro concejales proponentes de la moción de censura requirieron al órgano competente para que dictara resolución “fundada en derecho sobre el motivo de inadmisión de la moción de censura presentada”.</w:t>
      </w:r>
    </w:p>
    <w:p w14:paraId="6CB35E06" w14:textId="77777777" w:rsidR="00A8138F" w:rsidRDefault="00A8138F" w:rsidP="00A8138F">
      <w:pPr>
        <w:pStyle w:val="TextoNormal"/>
      </w:pPr>
    </w:p>
    <w:p w14:paraId="7E79075D" w14:textId="77777777" w:rsidR="00A8138F" w:rsidRDefault="00A8138F" w:rsidP="00A8138F">
      <w:pPr>
        <w:pStyle w:val="TextoNormal"/>
      </w:pPr>
      <w:r>
        <w:t>El 23 de marzo de 2022, el alcalde se dirige a los interesados mediante un escrito en el que, a meros efectos informativos, se detalla la normativa aplicable que fundamentó la inadmisión de la moción refiriéndose al art. 197 LOREG, para concluir que “[e]n este sentido, y de acuerdo con la diligencia emitida por el secretario de la corporación, de fecha 7/2/2022, la moción de censura presentada, no reúne los requisitos exigidos en el artículo 197.1 a) párrafo segundo LOREG, que es el apartado que es de aplicación a este supuesto, al ser uno de los proponentes de la moción de censura un concejal que forma o ha formado parte del grupo político municipal al que pertenece el alcalde cuya censura se propone, ya que se precisa estar suscrita por la mayoría absoluta incrementada en el numero de un concejal, es decir, en este caso debe ser suscrita por cinco concejales, y por tanto, al no reunir los requisitos exigidos del artículo 197.1 a) párrafo segundo no se produce la convocatoria automática del pleno”.</w:t>
      </w:r>
    </w:p>
    <w:p w14:paraId="53CC6BE6" w14:textId="77777777" w:rsidR="00A8138F" w:rsidRDefault="00A8138F" w:rsidP="00A8138F">
      <w:pPr>
        <w:pStyle w:val="TextoNormal"/>
      </w:pPr>
    </w:p>
    <w:p w14:paraId="18330304" w14:textId="77777777" w:rsidR="00A8138F" w:rsidRDefault="00A8138F" w:rsidP="00A8138F">
      <w:pPr>
        <w:pStyle w:val="TextoNormal"/>
      </w:pPr>
      <w:r>
        <w:t>d) El señor Villegas Gómez interpuso recurso contencioso-administrativo el 6 de abril de 2022, contra el escrito de 23 de marzo firmado por el alcalde. Utilizó como vía de recurso el procedimiento preferente y sumario de protección de los derechos fundamentales de la persona (art. 114.1 de la Ley reguladora de la jurisdicción contencioso-administrativa). De este recurso (núm. 120-2022) conocería el Juzgado de lo Contencioso-Administrativo núm. 3 de Santander.</w:t>
      </w:r>
    </w:p>
    <w:p w14:paraId="4D861F29" w14:textId="77777777" w:rsidR="00A8138F" w:rsidRDefault="00A8138F" w:rsidP="00A8138F">
      <w:pPr>
        <w:pStyle w:val="TextoNormal"/>
      </w:pPr>
    </w:p>
    <w:p w14:paraId="581791EE" w14:textId="77777777" w:rsidR="00A8138F" w:rsidRDefault="00A8138F" w:rsidP="00A8138F">
      <w:pPr>
        <w:pStyle w:val="TextoNormal"/>
      </w:pPr>
      <w:r>
        <w:t xml:space="preserve">El concejal no adscrito considera que la inadmisión de la moción de censura vulnera el art. 23 CE, donde se reconoce el derecho a la participación política en condiciones de igualdad. El recurrente apoyaba su demanda en los fundamentos jurídicos de la STC 151/2017, de 21 de diciembre, en la que se declaraba inconstitucional el párrafo tercero del art. 197.1 a) LOREG, por conculcar el derecho de participación política. Los argumentos expuestos por el Tribunal Constitucional en dicha sentencia resultaban, según el recurrente, aplicables al supuesto de hecho en causa. Básicamente, el recurrente acudía a la argumentación de la sentencia para afirmar que el ejercicio de control al gobierno local, mediante la promoción de una moción de censura, forma parte del núcleo del derecho de participación política y la exigencia del </w:t>
      </w:r>
      <w:r w:rsidRPr="00A8138F">
        <w:rPr>
          <w:i/>
        </w:rPr>
        <w:t>quorum</w:t>
      </w:r>
      <w:r>
        <w:t xml:space="preserve"> altera el régimen jurídico ordinario de la función representativa de los concejales no adscritos, que ven limitadas sus facultades de control. En línea con esta argumentación el recurrente, en su escrito de conclusiones, solicitó al juzgado competente que elevara al Tribunal Constitucional la pertinente cuestión de inconstitucionalidad respecto del párrafo segundo del artículo 197.1 LOREG, por la vulneración del derecho fundamental de partición política en condiciones de igualdad (arts. 23 y 14 CE).</w:t>
      </w:r>
    </w:p>
    <w:p w14:paraId="70D811E1" w14:textId="77777777" w:rsidR="00A8138F" w:rsidRDefault="00A8138F" w:rsidP="00A8138F">
      <w:pPr>
        <w:pStyle w:val="TextoNormal"/>
      </w:pPr>
    </w:p>
    <w:p w14:paraId="312D82B8" w14:textId="77777777" w:rsidR="00A8138F" w:rsidRDefault="00A8138F" w:rsidP="00A8138F">
      <w:pPr>
        <w:pStyle w:val="TextoNormal"/>
      </w:pPr>
      <w:r>
        <w:t>e) Mediante sentencia de 8 de julio del 2022 (sentencia núm. 211/2022), el Juzgado de lo Contencioso-Administrativo núm. 3 de Santander desestimó el recurso. Después de transcribir varios fundamentos jurídicos de la STC 151/2017, la magistrada-juez titular del juzgado concluye que “la resolución recurrida aplica correctamente el párrafo segundo del artículo 197.1 a) de la LOREG”, porque el recurrente en la instancia pertenecía al grupo municipal del que formaba parte el alcalde hasta que fue expulsado en el año 2021, por lo que, para considerarse válida la propuesta de moción de censura se hubiera requerido la firma de cinco concejales y no cuatro. Respecto del planteamiento de la cuestión de inconstitucionalidad, señala el juzgado que dicha solicitud se efectúa con fundamento en la STC 151/2017 que “se limita a declarar la inconstitucionalidad del párrafo tercero, excluyendo expresamente el párrafo segundo por los motivos que expone, y sin extender el pronunciamiento a dicho párrafo segundo. El actor entiende que el supuesto contemplado en la citada sentencia es idéntico al que aquí se ventila, pero sin mayor justificación”. De donde la juzgadora concluía que “[l]a sentencia invocada, insistimos, viene referida al párrafo tercero, y no se ofrece argumento alguno para entender que el párrafo segundo pudiera vulnerar el derecho a la participación política del recurrente, por lo que no se aportan motivos para entender que pudiera haber dudas sobre la constitucionalidad de dicho párrafo segundo, por la mera existencia de la citada sentencia referida al párrafo tercero que contempla un supuesto distinto al que es objeto de recurso. Por ello, no justificándose dichas dudas la resolución debe ser confirmada y desestimado el recurso”.</w:t>
      </w:r>
    </w:p>
    <w:p w14:paraId="2CA1B89A" w14:textId="77777777" w:rsidR="00A8138F" w:rsidRDefault="00A8138F" w:rsidP="00A8138F">
      <w:pPr>
        <w:pStyle w:val="TextoNormal"/>
      </w:pPr>
    </w:p>
    <w:p w14:paraId="6AA00796" w14:textId="77777777" w:rsidR="00A8138F" w:rsidRDefault="00A8138F" w:rsidP="00A8138F">
      <w:pPr>
        <w:pStyle w:val="TextoNormal"/>
      </w:pPr>
      <w:r>
        <w:t>f) Contra la sentencia núm. 211/2022 de 8 de julio, del Juzgado de lo Contencioso-Administrativo núm. 3 de Santander, el señor Villegas presentó recurso de apelación, del que conocería el Tribunal Superior de Justicia de Cantabria. Por diligencia de ordenación del 12 de septiembre de 2022 se acordó su admisión a trámite y dar traslado a las partes personadas en el proceso para que, en el plazo común de quince días, pudieran formalizar su oposición. Personadas las partes y formuladas alegaciones, no habiéndose solicitado el recibimiento del recurso a prueba, ni la celebración de vista, ni la presentación de conclusiones, el rollo quedó pendiente de su señalamiento para votación y fallo, designándose magistrado ponente al Ilmo. señor don Rafael Losada Armada. Por providencia de la Sala de lo Contencioso-Administrativo del Tribunal Superior de Justicia de Cantabria, de 1 de febrero del 2023, se señala para votación y fallo del rollo de apelación el día 8 de marzo de 2023.</w:t>
      </w:r>
    </w:p>
    <w:p w14:paraId="511F8D86" w14:textId="77777777" w:rsidR="00A8138F" w:rsidRDefault="00A8138F" w:rsidP="00A8138F">
      <w:pPr>
        <w:pStyle w:val="TextoNormal"/>
      </w:pPr>
    </w:p>
    <w:p w14:paraId="001E07EF" w14:textId="77777777" w:rsidR="00A8138F" w:rsidRDefault="00A8138F" w:rsidP="00A8138F">
      <w:pPr>
        <w:pStyle w:val="TextoNormal"/>
      </w:pPr>
      <w:r>
        <w:t>g) Por providencia de 21 de junio de 2023, se decide convocar al Pleno de la sala, debido a la solicitud de la parte apelante de planteamiento de una cuestión de inconstitucionalidad. Celebrada la sesión de Pleno el día 19 de julio, por providencia de 20 de julio del 2023, se suspende el plazo para dictar sentencia en atención a lo dispuesto en el art. 35 de la Ley Orgánica del Tribunal Constitucional (LOTC), y se confiere traslado al Ministerio Fiscal y a las partes para que formulen alegaciones sobre la posible inconstitucionalidad del artículo 197.1 a) párrafo segundo LOREG. Se abre, por tanto, el plazo de diez días hábiles para que, tanto las partes como el Ministerio Fiscal, aleguen lo que consideren oportuno sobre la pertinencia de plantear la cuestión de inconstitucionalidad, o sobre la cuestión de fondo suscitada referente al párrafo segundo del art. 197.1 a) LOREG, en relación con la falta de proporcionalidad que la mayoría reforzada pudiera implicar y la restricción que conlleva para el derecho fundamental a la participación política de los concejales no adscritos.</w:t>
      </w:r>
    </w:p>
    <w:p w14:paraId="2CBDFB40" w14:textId="77777777" w:rsidR="00A8138F" w:rsidRDefault="00A8138F" w:rsidP="00A8138F">
      <w:pPr>
        <w:pStyle w:val="TextoNormal"/>
      </w:pPr>
    </w:p>
    <w:p w14:paraId="52106F62" w14:textId="77777777" w:rsidR="00A8138F" w:rsidRDefault="00A8138F" w:rsidP="00A8138F">
      <w:pPr>
        <w:pStyle w:val="TextoNormal"/>
      </w:pPr>
      <w:r>
        <w:t>h) Como respuesta a la anterior providencia, presentó alegaciones el Ministerio Fiscal el 10 de agosto de 2023. La fiscalía expresa su oposición a la interposición de la cuestión de inconstitucionalidad, manifestando compartir los argumentos expresados en la sentencia de 8 de julio de 2022 dictada por el juzgado de lo contencioso: (i) la resolución recurrida aplica correctamente el párrafo segundo del art. 197.1 a) LOREG, siendo reconocida por el recurrente la correcta aplicación del precepto; (ii) la STC 151/2017 se limita a declarar la inconstitucionalidad del párrafo tercero y excluye, expresamente, el párrafo segundo, al que no extiende su pronunciamiento; (iii) para mantener la inconstitucionalidad del párrafo segundo, el recurrente se basa en la STC 151/2017, que excluye pronunciarse sobre el párrafo segundo, de modo que dicho pronunciamiento, al contemplar un supuesto distinto al que aquí es objeto de cuestión, no permite dudar de la constitucionalidad del párrafo segundo del art. 197.1 a) LOREG; y (iv) por último, el recurrente no aporta más motivos para dudar de la constitucionalidad del párrafo segundo.</w:t>
      </w:r>
    </w:p>
    <w:p w14:paraId="6C6B6B6D" w14:textId="77777777" w:rsidR="00A8138F" w:rsidRDefault="00A8138F" w:rsidP="00A8138F">
      <w:pPr>
        <w:pStyle w:val="TextoNormal"/>
      </w:pPr>
    </w:p>
    <w:p w14:paraId="01B0836C" w14:textId="1248F3EA" w:rsidR="00A8138F" w:rsidRDefault="00A8138F" w:rsidP="00A8138F">
      <w:pPr>
        <w:pStyle w:val="TextoNormal"/>
      </w:pPr>
      <w:r>
        <w:t>i) El 21 de agosto, autorizada por la presidenta en funciones del Tribunal Superior de Justicia de Cantabria la configuración excepcional de la Sala, al encontrarse en período de vacaciones, esta composición aprueba el auto de planteamiento de la presente cuestión de inconstitucionalidad.</w:t>
      </w:r>
    </w:p>
    <w:p w14:paraId="15A9EC72" w14:textId="77777777" w:rsidR="00A8138F" w:rsidRDefault="00A8138F" w:rsidP="00A8138F">
      <w:pPr>
        <w:pStyle w:val="TextoNormal"/>
      </w:pPr>
    </w:p>
    <w:p w14:paraId="3DF20FBE" w14:textId="77777777" w:rsidR="00A8138F" w:rsidRDefault="00A8138F" w:rsidP="00A8138F">
      <w:pPr>
        <w:pStyle w:val="TextoNormal"/>
      </w:pPr>
      <w:r w:rsidRPr="00A8138F">
        <w:rPr>
          <w:rStyle w:val="NumeroAFNegritaCaracter"/>
        </w:rPr>
        <w:t>3</w:t>
      </w:r>
      <w:r>
        <w:t>. En el auto de planteamiento se fundamenta la procedencia de la cuestión de inconstitucionalidad en los siguientes términos:</w:t>
      </w:r>
    </w:p>
    <w:p w14:paraId="237DAC78" w14:textId="77777777" w:rsidR="00A8138F" w:rsidRDefault="00A8138F" w:rsidP="00A8138F">
      <w:pPr>
        <w:pStyle w:val="TextoNormal"/>
      </w:pPr>
    </w:p>
    <w:p w14:paraId="0C4BDCE7" w14:textId="77777777" w:rsidR="00A8138F" w:rsidRDefault="00A8138F" w:rsidP="00A8138F">
      <w:pPr>
        <w:pStyle w:val="TextoNormal"/>
      </w:pPr>
      <w:r>
        <w:t>a) La STC 151/2017 se ciñe a declarar la inconstitucionalidad del párrafo tercero del apartado a) del art. 197.1 LOREG, porque la duda de constitucionalidad allí planteada no abarcaba el párrafo segundo que se cuestiona en este caso, con lo cual los motivos expresados en aquella sentencia sobre el juicio de proporcionalidad en su fundamento jurídico 7 serían aplicables al presente supuesto. Así la medida aquí cuestionada, aunque pueda resultar idónea, adecuada y necesaria, tal y como desarrolla el fundamento jurídico 7 de la STC 151/2017, no resulta proporcionada al carecer de un fundamento objetivo frente a una medida restrictiva del derecho fundamental a la participación política.</w:t>
      </w:r>
    </w:p>
    <w:p w14:paraId="4C73D2B4" w14:textId="77777777" w:rsidR="00A8138F" w:rsidRDefault="00A8138F" w:rsidP="00A8138F">
      <w:pPr>
        <w:pStyle w:val="TextoNormal"/>
      </w:pPr>
    </w:p>
    <w:p w14:paraId="21CA3DA0" w14:textId="77777777" w:rsidR="00A8138F" w:rsidRDefault="00A8138F" w:rsidP="00A8138F">
      <w:pPr>
        <w:pStyle w:val="TextoNormal"/>
      </w:pPr>
      <w:r>
        <w:t xml:space="preserve">b) La declaración de inconstitucionalidad del precepto legal cuestionado llevaría aparejada la nulidad de la resolución de la alcaldía objeto del recurso contencioso- administrativo, porque esta última que se sostendría en la aplicación de un precepto declarado constitucional. Por tanto, el párrafo segundo del art. 197.1 a) LOREG es la norma aplicable al caso y de cuya validez depende exclusivamente la posible estimación del recurso de apelación núm. 224-2022. Su anulación supondría la total desaparición del </w:t>
      </w:r>
      <w:r w:rsidRPr="00A8138F">
        <w:rPr>
          <w:i/>
        </w:rPr>
        <w:t>quorum</w:t>
      </w:r>
      <w:r>
        <w:t xml:space="preserve"> reforzado para la tramitación de la moción de censura del alcalde, lo cual provocaría la retroacción del procedimiento de moción de censura a su fase inicial de admisión por el secretario de la corporación municipal.</w:t>
      </w:r>
    </w:p>
    <w:p w14:paraId="46617C4D" w14:textId="77777777" w:rsidR="00A8138F" w:rsidRDefault="00A8138F" w:rsidP="00A8138F">
      <w:pPr>
        <w:pStyle w:val="TextoNormal"/>
      </w:pPr>
    </w:p>
    <w:p w14:paraId="6DA40A7A" w14:textId="1D65389A" w:rsidR="00A8138F" w:rsidRDefault="00A8138F" w:rsidP="00A8138F">
      <w:pPr>
        <w:pStyle w:val="TextoNormal"/>
      </w:pPr>
      <w:r>
        <w:t>c) Es preciso analizar si la previsión contenida en la reforma operada en 2011 para mitigar el fenómeno del transfuguismo, no solo supone una injerencia en un derecho fundamental como es el de participación política, sino si existe una lesión constitucionalmente ilegítima cuya intensidad implica una vulneración al derecho a la participación política contemplado en el artículo 23.2 de la Constitución. O bien, por el contrario, si existiera algún fundamento constitucionalmente admisible que respalde tal medida por ser posible su armonización con el perfeccionamiento de la función representativa y la participación política en condiciones de igualdad.</w:t>
      </w:r>
    </w:p>
    <w:p w14:paraId="5F854C3D" w14:textId="77777777" w:rsidR="00A8138F" w:rsidRDefault="00A8138F" w:rsidP="00A8138F">
      <w:pPr>
        <w:pStyle w:val="TextoNormal"/>
      </w:pPr>
    </w:p>
    <w:p w14:paraId="2486B232" w14:textId="77777777" w:rsidR="00A8138F" w:rsidRDefault="00A8138F" w:rsidP="00A8138F">
      <w:pPr>
        <w:pStyle w:val="TextoNormal"/>
      </w:pPr>
      <w:r w:rsidRPr="00A8138F">
        <w:rPr>
          <w:rStyle w:val="NumeroAFNegritaCaracter"/>
        </w:rPr>
        <w:t>4</w:t>
      </w:r>
      <w:r>
        <w:t>. Por providencia de 16 de enero de 2024, el Pleno de este tribunal, a propuesta de la Sección Cuarta, acordó admitir a trámite la presente cuestión de inconstitucionalidad; reservar para sí su conocimiento [art. 10.1 c) LOTC];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proceso y formular alegaciones (art. 37.3 LOTC).</w:t>
      </w:r>
    </w:p>
    <w:p w14:paraId="606DF769" w14:textId="77777777" w:rsidR="00A8138F" w:rsidRDefault="00A8138F" w:rsidP="00A8138F">
      <w:pPr>
        <w:pStyle w:val="TextoNormal"/>
      </w:pPr>
    </w:p>
    <w:p w14:paraId="54688DD1" w14:textId="3FD036F3" w:rsidR="00A8138F" w:rsidRDefault="00A8138F" w:rsidP="00A8138F">
      <w:pPr>
        <w:pStyle w:val="TextoNormal"/>
      </w:pPr>
      <w:r>
        <w:t>Asimismo, decidió comunicar la resolución a la Sala de lo Contencioso-Administrativo del Tribunal Superior de Justicia de Cantabria, a fin de que, de conformidad con lo dispuesto en el art. 35.3 LOTC, permaneciera suspendido el proceso hasta que este tribunal resuelva definitivamente (art. 35.3 LOTC). Por último, se acuerda publicar la incoación de la cuestión en el “Boletín Oficial del Estado” (la publicación se produjo en el “BOE” núm. 20, de 23 de enero de 2024).</w:t>
      </w:r>
    </w:p>
    <w:p w14:paraId="68A98798" w14:textId="77777777" w:rsidR="00A8138F" w:rsidRDefault="00A8138F" w:rsidP="00A8138F">
      <w:pPr>
        <w:pStyle w:val="TextoNormal"/>
      </w:pPr>
    </w:p>
    <w:p w14:paraId="52A64AD9" w14:textId="18C755A1" w:rsidR="00A8138F" w:rsidRDefault="00A8138F" w:rsidP="00A8138F">
      <w:pPr>
        <w:pStyle w:val="TextoNormal"/>
      </w:pPr>
      <w:r w:rsidRPr="00A8138F">
        <w:rPr>
          <w:rStyle w:val="NumeroAFNegritaCaracter"/>
        </w:rPr>
        <w:t>5</w:t>
      </w:r>
      <w:r>
        <w:t>. A través de sendos escritos registrados en este tribunal, respectivamente, el 24 de enero y el 31 de enero de 2024, la presidenta del Congreso de los Diputados y el presidente del Senado comunicaron la personación de las respectivas cámaras en el proceso, ofreciendo su colaboración a los efectos del art. 88.1 LOTC.</w:t>
      </w:r>
    </w:p>
    <w:p w14:paraId="79EA8518" w14:textId="77777777" w:rsidR="00A8138F" w:rsidRDefault="00A8138F" w:rsidP="00A8138F">
      <w:pPr>
        <w:pStyle w:val="TextoNormal"/>
      </w:pPr>
    </w:p>
    <w:p w14:paraId="7FCFEC68" w14:textId="1FCABDEB" w:rsidR="00A8138F" w:rsidRDefault="00A8138F" w:rsidP="00A8138F">
      <w:pPr>
        <w:pStyle w:val="TextoNormal"/>
      </w:pPr>
      <w:r w:rsidRPr="00A8138F">
        <w:rPr>
          <w:rStyle w:val="NumeroAFNegritaCaracter"/>
        </w:rPr>
        <w:t>6</w:t>
      </w:r>
      <w:r>
        <w:t>. Mediante escrito presentado el 26 de enero de 2024, la procuradora de los tribunales doña Manuela Revuelta Ceballos se personó como parte en la cuestión de inconstitucionalidad en nombre y representación del Ayuntamiento de Arredondo. El 5 de febrero, fue registrada la personación de don Francisco Villegas Gómez, representado por la procuradora de los Tribunales doña Maria Isabel Torres Coello.</w:t>
      </w:r>
    </w:p>
    <w:p w14:paraId="405ECE1D" w14:textId="77777777" w:rsidR="00A8138F" w:rsidRDefault="00A8138F" w:rsidP="00A8138F">
      <w:pPr>
        <w:pStyle w:val="TextoNormal"/>
      </w:pPr>
    </w:p>
    <w:p w14:paraId="3979EEF8" w14:textId="1E934AC5" w:rsidR="00A8138F" w:rsidRDefault="00A8138F" w:rsidP="00A8138F">
      <w:pPr>
        <w:pStyle w:val="TextoNormal"/>
      </w:pPr>
      <w:r w:rsidRPr="00A8138F">
        <w:rPr>
          <w:rStyle w:val="NumeroAFNegritaCaracter"/>
        </w:rPr>
        <w:t>7</w:t>
      </w:r>
      <w:r>
        <w:t>. Por diligencia de ordenación de 6 de febrero de 2024, el secretario de justicia del Pleno acuerda tener por personados al Ayuntamiento de Arredondo y a don Francisco Villegas Gómez, acordándose entender con sus respectivos procuradores las sucesivas actuaciones y, conforme establece el art. 37.2 LOTC, concediéndoles un plazo común de quince días para formular las alegaciones que estimen convenientes.</w:t>
      </w:r>
    </w:p>
    <w:p w14:paraId="3319A70F" w14:textId="77777777" w:rsidR="00A8138F" w:rsidRDefault="00A8138F" w:rsidP="00A8138F">
      <w:pPr>
        <w:pStyle w:val="TextoNormal"/>
      </w:pPr>
    </w:p>
    <w:p w14:paraId="57232957" w14:textId="77777777" w:rsidR="00A8138F" w:rsidRDefault="00A8138F" w:rsidP="00A8138F">
      <w:pPr>
        <w:pStyle w:val="TextoNormal"/>
      </w:pPr>
      <w:r w:rsidRPr="00A8138F">
        <w:rPr>
          <w:rStyle w:val="NumeroAFNegritaCaracter"/>
        </w:rPr>
        <w:t>8</w:t>
      </w:r>
      <w:r>
        <w:t>. La abogacía del Estado, en nombre del gobierno, y mediante escrito registrado el 7 de febrero de 2024, solicita la desestimación de la cuestión de inconstitucionalidad.</w:t>
      </w:r>
    </w:p>
    <w:p w14:paraId="41B013BE" w14:textId="77777777" w:rsidR="00A8138F" w:rsidRDefault="00A8138F" w:rsidP="00A8138F">
      <w:pPr>
        <w:pStyle w:val="TextoNormal"/>
      </w:pPr>
    </w:p>
    <w:p w14:paraId="1A40E48F" w14:textId="77777777" w:rsidR="00A8138F" w:rsidRDefault="00A8138F" w:rsidP="00A8138F">
      <w:pPr>
        <w:pStyle w:val="TextoNormal"/>
      </w:pPr>
      <w:r>
        <w:t>Tras recordar que la redacción del apartado cuestionado procede de la modificación operada por la Ley Orgánica 2/2011, de 28 de enero, que, según su propia exposición de motivos, justifica la reforma en una anomalía que ha incidido negativamente en el sistema democrático y representativo y que se ha conocido como “transfuguismo”, sintetizar el auto de planteamiento de la cuestión y recordar sumariamente el contenido de la STC 151/2017, el abogado del Estado sostiene que el artículo 23.2 CE es un derecho de configuración legal y proclama tanto la prevalencia del principio representativo, como la necesidad de no defraudar la voluntad popular, finalidades legítimas a cuya garantía responde el artículo 197.1 a) párrafo segundo LOREG.</w:t>
      </w:r>
    </w:p>
    <w:p w14:paraId="2A7933B5" w14:textId="77777777" w:rsidR="00A8138F" w:rsidRDefault="00A8138F" w:rsidP="00A8138F">
      <w:pPr>
        <w:pStyle w:val="TextoNormal"/>
      </w:pPr>
    </w:p>
    <w:p w14:paraId="635CCFD4" w14:textId="77777777" w:rsidR="00A8138F" w:rsidRDefault="00A8138F" w:rsidP="00A8138F">
      <w:pPr>
        <w:pStyle w:val="TextoNormal"/>
      </w:pPr>
      <w:r>
        <w:t xml:space="preserve">Aplicando el canon interpretativo contenido en el fundamento jurídico 7 de la STC 151/2017, la abogacía del Estado entiende que la medida cuestionada supera los juicios de idoneidad, necesidad y proporcionalidad, a diferencia de lo que sucedía con las disposiciones declaradas inconstitucionales en la sentencia de 2017, que establecían una limitación al </w:t>
      </w:r>
      <w:r w:rsidRPr="00A8138F">
        <w:rPr>
          <w:i/>
        </w:rPr>
        <w:t>ius in officium</w:t>
      </w:r>
      <w:r>
        <w:t xml:space="preserve"> sin fundamento objetivo, entendido como obligado soporte constitucional. Considera esta parte que el Tribunal Constitucional tuvo especial cuidado en no extender la declaración de inconstitucionalidad en la STC 151/2017 al apartado ahora en litigio, al recoger este situaciones que no eran objeto de examen en aquel pronunciamiento al no concurrir en el supuesto de hecho entonces examinado. En aquel caso el supuesto fáctico declarado inconstitucional se refería a la limitación de facultades del representante local que hubiera “dejado de pertenecer, por cualquier causa, al grupo político municipal al que se adscribió al inicio de su mandato”, mientras que, en el supuesto actual, el límite se impone a la persona que “formara o haya formado parte del grupo político municipal al que pertenece el alcalde cuya censura se propone”.</w:t>
      </w:r>
    </w:p>
    <w:p w14:paraId="160C7344" w14:textId="77777777" w:rsidR="00A8138F" w:rsidRDefault="00A8138F" w:rsidP="00A8138F">
      <w:pPr>
        <w:pStyle w:val="TextoNormal"/>
      </w:pPr>
    </w:p>
    <w:p w14:paraId="51C26A35" w14:textId="067C1BC1" w:rsidR="00A8138F" w:rsidRDefault="00A8138F" w:rsidP="00A8138F">
      <w:pPr>
        <w:pStyle w:val="TextoNormal"/>
      </w:pPr>
      <w:r>
        <w:t>La medida ahora cuestionada, según la abogacía del Estado, es proporcionada a los fines perseguidos, precisamente por la diferencia subjetiva que plantea respecto del supuesto resuelto en la STC 151/2017. En este caso no se limita el derecho a personas que hayan dejado de pertenecer a cualquier grupo municipal y por cualquier causa, sino a quienes, en el momento de la elección del alcalde, apoyaron su candidatura por pertenecer al mismo grupo político. El juicio de proporcionalidad es aquí positivo porque existía un vínculo entre el sujeto cuyas facultades se limitan, y el grupo de concejales que apoyó al alcalde, y la norma impugnada concreta una disolución del vínculo político merecedora de una intervención que asegure la regeneración democrática. La desvinculación orgánica o política del grupo de origen desestabiliza por defecto la vida municipal y modifica la voluntad popular. La norma, en suma, se aplica al concejal perteneciente al grupo político que apoyó la elección del alcalde defraudando la voluntad popular.</w:t>
      </w:r>
    </w:p>
    <w:p w14:paraId="0333C8EB" w14:textId="77777777" w:rsidR="00A8138F" w:rsidRDefault="00A8138F" w:rsidP="00A8138F">
      <w:pPr>
        <w:pStyle w:val="TextoNormal"/>
      </w:pPr>
    </w:p>
    <w:p w14:paraId="0D07EA61" w14:textId="77777777" w:rsidR="00A8138F" w:rsidRDefault="00A8138F" w:rsidP="00A8138F">
      <w:pPr>
        <w:pStyle w:val="TextoNormal"/>
      </w:pPr>
      <w:r w:rsidRPr="00A8138F">
        <w:rPr>
          <w:rStyle w:val="NumeroAFNegritaCaracter"/>
        </w:rPr>
        <w:t>9</w:t>
      </w:r>
      <w:r>
        <w:t>. Por escrito registrado el 26 de febrero de 2024, el fiscal general del Estado presenta sus alegaciones interesando la desestimación de la cuestión de inconstitucionalidad planteada.</w:t>
      </w:r>
    </w:p>
    <w:p w14:paraId="28440046" w14:textId="77777777" w:rsidR="00A8138F" w:rsidRDefault="00A8138F" w:rsidP="00A8138F">
      <w:pPr>
        <w:pStyle w:val="TextoNormal"/>
      </w:pPr>
    </w:p>
    <w:p w14:paraId="736D3F9D" w14:textId="77777777" w:rsidR="00A8138F" w:rsidRDefault="00A8138F" w:rsidP="00A8138F">
      <w:pPr>
        <w:pStyle w:val="TextoNormal"/>
      </w:pPr>
      <w:r>
        <w:t>Tras sintetizar los antecedentes de la instancia, el contenido del auto de planteamiento de la cuestión, y evaluar positivamente que el juicio de aplicabilidad y relevancia del auto de planteamiento eran suficientes, el escrito de alegaciones de la fiscalía delimita el marco normativo aplicable, y constata que la STC 151/2017 no resuelve las dudas que se proyectan al precepto aquí cuestionado.</w:t>
      </w:r>
    </w:p>
    <w:p w14:paraId="2AA90F30" w14:textId="77777777" w:rsidR="00A8138F" w:rsidRDefault="00A8138F" w:rsidP="00A8138F">
      <w:pPr>
        <w:pStyle w:val="TextoNormal"/>
      </w:pPr>
    </w:p>
    <w:p w14:paraId="1C88E7B0" w14:textId="77777777" w:rsidR="00A8138F" w:rsidRDefault="00A8138F" w:rsidP="00A8138F">
      <w:pPr>
        <w:pStyle w:val="TextoNormal"/>
      </w:pPr>
      <w:r>
        <w:t xml:space="preserve">A partir de ahí, e invocando lo dicho por el Tribunal en la STC 151/2017, el Ministerio Fiscal establece como premisas del razonamiento que la cuestión planteada se mueve en la “órbita del art. 23.2 CE”, porque la moción de censura se ubica “en el ámbito de las funciones y facultades que integran el núcleo esencial de la función representativa”. Asimismo, se reconoce el carácter restrictivo de la medida cuestionada sobre el art. 23.2 CE, esto es de la modificación del </w:t>
      </w:r>
      <w:r w:rsidRPr="00A8138F">
        <w:rPr>
          <w:i/>
        </w:rPr>
        <w:t>quorum</w:t>
      </w:r>
      <w:r>
        <w:t xml:space="preserve"> exigible para promover una moción de censura.</w:t>
      </w:r>
    </w:p>
    <w:p w14:paraId="1D19C147" w14:textId="77777777" w:rsidR="00A8138F" w:rsidRDefault="00A8138F" w:rsidP="00A8138F">
      <w:pPr>
        <w:pStyle w:val="TextoNormal"/>
      </w:pPr>
    </w:p>
    <w:p w14:paraId="7F24405D" w14:textId="77777777" w:rsidR="00A8138F" w:rsidRDefault="00A8138F" w:rsidP="00A8138F">
      <w:pPr>
        <w:pStyle w:val="TextoNormal"/>
      </w:pPr>
      <w:r>
        <w:t xml:space="preserve">Para la fiscalía, los juicios de idoneidad y necesidad de la medida restrictiva se resuelven en términos prácticamente idénticos a los contenidos en la sentencia de 2017. Así, la medida es idónea porque “permite la consecución del fin perseguido, toda vez que el incremento del </w:t>
      </w:r>
      <w:r w:rsidRPr="00A8138F">
        <w:rPr>
          <w:i/>
        </w:rPr>
        <w:t>quorum</w:t>
      </w:r>
      <w:r>
        <w:t xml:space="preserve"> de iniciativa tiene como efecto derivado el de dificultar la exigencia de responsabilidad política y remoción del alcalde por quienes les invistieron de la confianza para serlo, entorpeciéndose de ese modo la verificación de cambios que incidan en la estabilidad en la vida municipal y den lugar a la modificación de gobiernos municipales con la participación en el impulso de la moción de censura de concejales que hayan dejado de pertenecer, por cualquier causa, al grupo político municipal al que se adscribieron al inicio de su mandato. Se trata, por tanto, en abstracto, de una medida idónea y adecuada para el logro del objetivo que se pretende con su adopción” (STC 151/2017).</w:t>
      </w:r>
    </w:p>
    <w:p w14:paraId="4A540CD9" w14:textId="77777777" w:rsidR="00A8138F" w:rsidRDefault="00A8138F" w:rsidP="00A8138F">
      <w:pPr>
        <w:pStyle w:val="TextoNormal"/>
      </w:pPr>
    </w:p>
    <w:p w14:paraId="20250D06" w14:textId="77777777" w:rsidR="00A8138F" w:rsidRDefault="00A8138F" w:rsidP="00A8138F">
      <w:pPr>
        <w:pStyle w:val="TextoNormal"/>
      </w:pPr>
      <w:r>
        <w:t xml:space="preserve">Desde la óptica de la necesidad, la medida legal puede “estimarse necesaria al propósito que nace, puesto que se limita a establecer un reforzamiento del </w:t>
      </w:r>
      <w:r w:rsidRPr="00A8138F">
        <w:rPr>
          <w:i/>
        </w:rPr>
        <w:t>quorum</w:t>
      </w:r>
      <w:r>
        <w:t xml:space="preserve"> de promoción de la moción de censura sin alterar más allá de ello la dinámica del procedimiento de exigencia de responsabilidad y remoción del alcalde, como acredita señaladamente que no se altere el régimen de mayorías de la fase de votación, momento en el que los concejales proponentes que hayan dejado de pertenecer, por cualquier causa, al grupo político municipal al que se adscribieron al inicio de su mandato no ven limitado su derecho, conservando la facultad de participar en la votación como cualquier otro concejal. En suma, se persigue dificultar su acción de promoción de la moción para evitar incidencias en la estabilidad en la vida municipal, sin añadir a ello, sin embargo, un escenario de restricción o distorsión abierta de su derecho en la fase de decisión” (STC 151/2017).</w:t>
      </w:r>
    </w:p>
    <w:p w14:paraId="42FEE4C7" w14:textId="77777777" w:rsidR="00A8138F" w:rsidRDefault="00A8138F" w:rsidP="00A8138F">
      <w:pPr>
        <w:pStyle w:val="TextoNormal"/>
      </w:pPr>
    </w:p>
    <w:p w14:paraId="54A3403B" w14:textId="77777777" w:rsidR="00A8138F" w:rsidRDefault="00A8138F" w:rsidP="00A8138F">
      <w:pPr>
        <w:pStyle w:val="TextoNormal"/>
      </w:pPr>
      <w:r>
        <w:t>Por lo que hace al juicio de proporcionalidad, la fiscalía considera preocupante la alteración sobrevenida de la configuración de los órganos de gobierno de los ayuntamientos emanada de la voluntad de los electores, particularmente cuando esa alteración se concreta en el trasvase de concejales de un grupo a otro. En el ámbito municipal los mecanismos de legitimación democrática combinan de forma singular el principio de representación política a través de los partidos o agrupaciones de electores con la relación directa entre el voto popular y la elección del alcalde, determinando un modelo de configuración del gobierno local muy sensible a todas las alteraciones que puedan distorsionar la voluntad manifestada en las urnas. Las normas incorporadas a los párrafos segundo y tercero del art. 197.1 a) LOREG obedecen al propósito preventivo de evitar posibles cambios de orientación política de voto surgidas con posterioridad a la elección de los concejales y subsiguiente formación del gobierno municipal.</w:t>
      </w:r>
    </w:p>
    <w:p w14:paraId="64BD1B53" w14:textId="77777777" w:rsidR="00A8138F" w:rsidRDefault="00A8138F" w:rsidP="00A8138F">
      <w:pPr>
        <w:pStyle w:val="TextoNormal"/>
      </w:pPr>
    </w:p>
    <w:p w14:paraId="06F8F903" w14:textId="77777777" w:rsidR="00A8138F" w:rsidRDefault="00A8138F" w:rsidP="00A8138F">
      <w:pPr>
        <w:pStyle w:val="TextoNormal"/>
      </w:pPr>
      <w:r>
        <w:t xml:space="preserve">Si en un primer nivel de respuesta normativa al transfuguismo se desarrolla la figura del concejal no adscrito (art. 73 de la Ley reguladora de las bases del régimen local: LBRL), y en un segundo nivel se ubicaba la afectación de las facultades relativas a la moción de censura del párrafo tercero del art. 197.1 a) LOREG, declarado inconstitucional, resta por analizar si la disposición cuestionada en el presente procedimiento vendría a configurar un tercer nivel de protección, en cuanto aplica la regla de ampliación del </w:t>
      </w:r>
      <w:r w:rsidRPr="00A8138F">
        <w:rPr>
          <w:i/>
        </w:rPr>
        <w:t>quorum</w:t>
      </w:r>
      <w:r>
        <w:t xml:space="preserve"> mínimo al caso especial de que alguno de los concejales que pretenden apoyar la moción de censura procedan del grupo del alcalde o pertenezcan aún a ese grupo al tiempo de suscribir la iniciativa.</w:t>
      </w:r>
    </w:p>
    <w:p w14:paraId="737ED41A" w14:textId="77777777" w:rsidR="00A8138F" w:rsidRDefault="00A8138F" w:rsidP="00A8138F">
      <w:pPr>
        <w:pStyle w:val="TextoNormal"/>
      </w:pPr>
    </w:p>
    <w:p w14:paraId="4C657A46" w14:textId="77777777" w:rsidR="00A8138F" w:rsidRDefault="00A8138F" w:rsidP="00A8138F">
      <w:pPr>
        <w:pStyle w:val="TextoNormal"/>
      </w:pPr>
      <w:r>
        <w:t xml:space="preserve">Esta aproximación gradual a la normativa examinada podría llevar a pensar que, declarada inconstitucional la medida prevista con carácter general en el párrafo tercero del art. 197.1 a) LOREG, por idénticos motivos habría que considerar inconstitucional la aplicación de la misma norma al caso del párrafo segundo. Sin embargo, admitidas la idoneidad y la necesidad de la norma de modificación del </w:t>
      </w:r>
      <w:r w:rsidRPr="00A8138F">
        <w:rPr>
          <w:i/>
        </w:rPr>
        <w:t>quorum</w:t>
      </w:r>
      <w:r>
        <w:t xml:space="preserve"> que el legislador establecía para ambos casos, la aplicación del filtro de proporcionalidad proyecta las diferencias existentes entre la disposición declarada inconstitucional y la que ahora se somete a examen. Esta última no establece ninguna diferenciación basada en los motivos que puedan determinar la conducta de los concejales afectados, sino que lo único determinante es la integración pasada o presente de la persona proponente en el grupo al que pertenece el alcalde, de manera que ese es el eje sobre el que debe pivotar el juicio de proporcionalidad </w:t>
      </w:r>
      <w:r w:rsidRPr="00A8138F">
        <w:rPr>
          <w:i/>
        </w:rPr>
        <w:t>stricto sensu</w:t>
      </w:r>
      <w:r>
        <w:t>. En cambio, contempla una situación en la que el alcalde puede verse sometido a una moción de censura que resultaría inviable si la iniciativa de presentarla no fuera apoyada por uno o varios concejales del mismo grupo municipal al que él pertenece.</w:t>
      </w:r>
    </w:p>
    <w:p w14:paraId="59344B77" w14:textId="77777777" w:rsidR="00A8138F" w:rsidRDefault="00A8138F" w:rsidP="00A8138F">
      <w:pPr>
        <w:pStyle w:val="TextoNormal"/>
      </w:pPr>
    </w:p>
    <w:p w14:paraId="5A931166" w14:textId="77777777" w:rsidR="00A8138F" w:rsidRDefault="00A8138F" w:rsidP="00A8138F">
      <w:pPr>
        <w:pStyle w:val="TextoNormal"/>
      </w:pPr>
      <w:r>
        <w:t>En este caso la alteración de la voluntad popular manifestada en las elecciones no depende de que concurran determinadas condiciones, sino que es clara y patente sin más requisitos, porque resulta objetivamente inherente a la conducta de quienes, atendiendo a la voluntad de los electores expresada en las urnas, presumiblemente debían, desde la perspectiva del elector, apoyar al alcalde. Esa afectación de la voluntad popular permite aproximarse a la noción de fraude de representación que manejaba la STC 151/2017. Además, la limitación de derechos ahora analizada se basa en la aplicación de un criterio objetivo: que quien promueve la destitución del alcalde fue elegido con él, para apoyarle. Así, la justificación objetiva de la medida se halla implícita en la descripción del supuesto de hecho, tratando de prevenir una modificación sobrevenida e imprevisible del resultado electoral que no obedece a una recomposición de la geometría de los apoyos democráticamente obtenidos por los distintos grupos en las urnas, sino a un cambio de posición de uno o algunos de los concejales que, tras ser elegidos para sostener al alcalde, pretenden destituir a dicho alcalde al margen de la posición de esa misma fuerza política.</w:t>
      </w:r>
    </w:p>
    <w:p w14:paraId="00A13F91" w14:textId="77777777" w:rsidR="00A8138F" w:rsidRDefault="00A8138F" w:rsidP="00A8138F">
      <w:pPr>
        <w:pStyle w:val="TextoNormal"/>
      </w:pPr>
    </w:p>
    <w:p w14:paraId="106A6BF2" w14:textId="3F42BC34" w:rsidR="00A8138F" w:rsidRDefault="00A8138F" w:rsidP="00A8138F">
      <w:pPr>
        <w:pStyle w:val="TextoNormal"/>
      </w:pPr>
      <w:r>
        <w:t xml:space="preserve">En síntesis, aunque la facultad de promover una moción de censura en el ámbito municipal se considere, de acuerdo con la STC 151/2017, incluida en la esfera del núcleo de representación que confirma el </w:t>
      </w:r>
      <w:r w:rsidRPr="00A8138F">
        <w:rPr>
          <w:i/>
        </w:rPr>
        <w:t>ius in officium</w:t>
      </w:r>
      <w:r>
        <w:t xml:space="preserve"> de los concejales, esto no significa que el derecho sea absoluto, porque puede tener incidencia sobre intereses y valores constitucionales tan relevantes como la tutela de la voluntad popular democráticamente expresada en las urnas y la estabilidad de los gobiernos municipales basada en el respeto al resultado de las elecciones. A tal efecto: (i) La norma cuestionada limita, sin excluir, la capacidad de apoyar una moción de censura de aquellos concejales que han sido elegidos por los ciudadanos con el presumible designio inicial de sostener a su alcalde; la limitación supone que, a la hora de adoptar la iniciativa de la moción, su apoyo no será jurídicamente relevante al quedar neutralizado por el correlativo incremento del </w:t>
      </w:r>
      <w:r w:rsidRPr="00A8138F">
        <w:rPr>
          <w:i/>
        </w:rPr>
        <w:t>quorum</w:t>
      </w:r>
      <w:r>
        <w:t xml:space="preserve"> necesario, de modo que tal limitación solo se hace efectiva en el caso y en la medida de que dicho apoyo resulte precisamente decisivo para que la iniciativa pueda prosperar en su fase inicial; (ii) la única restricción del art. 23.2 CE consiste en impedir que el concejal o concejales afectados decidan con su intervención que el alcalde sea sometido a dicha moción de censura; (iii) la norma impugnada es expresiva de una situación probable y común, en la que su aplicación resulta idónea y necesaria para la consecución del fin legítimo constitucional perseguido y razonablemente proporcionada en sus previsibles consecuencias aplicativas, porque trata de evitar situaciones objetivamente perturbadoras del principio de respeto a la voluntad democráticamente expresada por los electores y tiende a asegurar la estabilidad del gobierno local; (iv) incluso en los supuestos excepcionales en que de que la aplicación de la norma pueda derivar la imposibilidad de interponer cualquier moción de censura en un concreto ayuntamiento, ello no presupone desproporción de la medida, porque ese escenario resulta revelador de una anomalía seria de la vida democrática o institucional del ayuntamiento que puede obtener mejor solución mediante el recurso a otras medidas legales que no alteran el vínculo de representación, soluciones, como la intervención prevista en los arts. 59 y 60 LBRL, sin descartar la disolución de la corporación y la celebración de elecciones (art. 61 LBRL).</w:t>
      </w:r>
    </w:p>
    <w:p w14:paraId="3340E97D" w14:textId="77777777" w:rsidR="00A8138F" w:rsidRDefault="00A8138F" w:rsidP="00A8138F">
      <w:pPr>
        <w:pStyle w:val="TextoNormal"/>
      </w:pPr>
    </w:p>
    <w:p w14:paraId="0427ACA4" w14:textId="77777777" w:rsidR="00A8138F" w:rsidRDefault="00A8138F" w:rsidP="00A8138F">
      <w:pPr>
        <w:pStyle w:val="TextoNormal"/>
      </w:pPr>
      <w:r w:rsidRPr="00A8138F">
        <w:rPr>
          <w:rStyle w:val="NumeroAFNegritaCaracter"/>
        </w:rPr>
        <w:t>10</w:t>
      </w:r>
      <w:r>
        <w:t>. La representación del Ayuntamiento de Arredondo presentó el 28 de febrero de 2024 sus alegaciones, solicitando la desestimación de la cuestión.</w:t>
      </w:r>
    </w:p>
    <w:p w14:paraId="6384A7E4" w14:textId="77777777" w:rsidR="00A8138F" w:rsidRDefault="00A8138F" w:rsidP="00A8138F">
      <w:pPr>
        <w:pStyle w:val="TextoNormal"/>
      </w:pPr>
    </w:p>
    <w:p w14:paraId="276CF221" w14:textId="52E5EC6B" w:rsidR="00A8138F" w:rsidRDefault="00A8138F" w:rsidP="00A8138F">
      <w:pPr>
        <w:pStyle w:val="TextoNormal"/>
      </w:pPr>
      <w:r>
        <w:t xml:space="preserve">Entiende esta parte que la medida cuestionada supera el juicio de idoneidad, necesidad y proporcionalidad: (i) el juicio de idoneidad se supera, pues la limitación del derecho de promover la moción de censura local, permite la consecución del fin perseguido, que es dificultar la exigencia de responsabilidad política y remoción del alcalde por quienes le invistieron de la confianza para serlo, contribuyendo a la estabilidad en la vida municipal; (ii) el juicio de necesidad se supera porque la medida se limita a establecer un reforzamiento del </w:t>
      </w:r>
      <w:r w:rsidRPr="00A8138F">
        <w:rPr>
          <w:i/>
        </w:rPr>
        <w:t>quorum</w:t>
      </w:r>
      <w:r>
        <w:t xml:space="preserve"> de promoción de la moción de censura sin alterar en nada más la dinámica del procedimiento de exigencia de responsabilidad y remoción del alcalde, y no se altera el régimen de mayorías de la fase de votación, momento en el que los concejales tránsfugas no ven limitado su derecho; (iii) y se supera el juicio de proporcionalidad al limitarse a reforzar el </w:t>
      </w:r>
      <w:r w:rsidRPr="00A8138F">
        <w:rPr>
          <w:i/>
        </w:rPr>
        <w:t>quorum</w:t>
      </w:r>
      <w:r>
        <w:t xml:space="preserve"> de promoción de la moción de censura sin alterar más allá de ello la dinámica del procedimiento de exigencia de responsabilidad y remoción del alcalde.</w:t>
      </w:r>
    </w:p>
    <w:p w14:paraId="281F9BDA" w14:textId="77777777" w:rsidR="00A8138F" w:rsidRDefault="00A8138F" w:rsidP="00A8138F">
      <w:pPr>
        <w:pStyle w:val="TextoNormal"/>
      </w:pPr>
    </w:p>
    <w:p w14:paraId="459A9BDA" w14:textId="77777777" w:rsidR="00A8138F" w:rsidRDefault="00A8138F" w:rsidP="00A8138F">
      <w:pPr>
        <w:pStyle w:val="TextoNormal"/>
      </w:pPr>
      <w:r w:rsidRPr="00A8138F">
        <w:rPr>
          <w:rStyle w:val="NumeroAFNegritaCaracter"/>
        </w:rPr>
        <w:t>11</w:t>
      </w:r>
      <w:r>
        <w:t>. En la misma fecha, el 28 de febrero de 2024, se registró también el escrito de alegaciones de don José Francisco Villegas Gómez, interesando la estimación de la cuestión y la declaración de inconstitucionalidad del art. 197.1 a), párrafo segundo LOREG. Para sostener su pretensión, esta parte se remite a la STC 151/2017, afirmando que los fundamentos expuestos por el Tribunal Constitucional en tal pronunciamiento resultan igualmente aplicables al párrafo segundo, cuya única diferencia con el párrafo ya declarado inconstitucional es que aborda una especialidad del supuesto general, esto es, pertenecer o haber pertenecido al grupo político del alcalde. Recuerda el escrito de alegaciones que la propia sentencia de 2017 ya identificaba la relación entre los párrafos segundo y tercero.</w:t>
      </w:r>
    </w:p>
    <w:p w14:paraId="2DC05C94" w14:textId="77777777" w:rsidR="00A8138F" w:rsidRDefault="00A8138F" w:rsidP="00A8138F">
      <w:pPr>
        <w:pStyle w:val="TextoNormal"/>
      </w:pPr>
    </w:p>
    <w:p w14:paraId="4A0FA30F" w14:textId="77777777" w:rsidR="00A8138F" w:rsidRDefault="00A8138F" w:rsidP="00A8138F">
      <w:pPr>
        <w:pStyle w:val="TextoNormal"/>
      </w:pPr>
      <w:r>
        <w:t xml:space="preserve">Esta parte constata: que el ejercicio de control al gobierno local mediante la promoción de una moción de censura forma parte del núcleo del derecho de participación política; que la modificación del </w:t>
      </w:r>
      <w:r w:rsidRPr="00A8138F">
        <w:rPr>
          <w:i/>
        </w:rPr>
        <w:t>quorum</w:t>
      </w:r>
      <w:r>
        <w:t xml:space="preserve"> para su presentación altera el régimen jurídico de la función representativa de los concejales no adscritos; y que la limitación pretende “intervenir frente al transfuguismo” y, así, “asegurar la voluntad popular y la estabilidad municipal”, evitando que se modifiquen las mayorías de gobierno. No obstante, considera que la limitación impuesta es desproporcionada al no tener en cuenta las circunstancias concretas o los motivos específicos que dan lugar a la desvinculación, y no atender al tamaño de las localidades, dándose el caso de que la aplicación del artículo conduce a un punto virtualmente imposible para la promoción de la moción de censura en localidades pequeñas como la del supuesto de hecho.</w:t>
      </w:r>
    </w:p>
    <w:p w14:paraId="7A192D5F" w14:textId="77777777" w:rsidR="00A8138F" w:rsidRDefault="00A8138F" w:rsidP="00A8138F">
      <w:pPr>
        <w:pStyle w:val="TextoNormal"/>
      </w:pPr>
    </w:p>
    <w:p w14:paraId="34003833" w14:textId="2ED3269B" w:rsidR="00A8138F" w:rsidRDefault="00A8138F" w:rsidP="00A8138F">
      <w:pPr>
        <w:pStyle w:val="TextoNormal"/>
      </w:pPr>
      <w:r>
        <w:t>El derecho de participación política se atribuye a la persona singularmente, y no al grupo político en el que pueda estar integrado. El concejal, por consiguiente, puede y debe tener su propia libertad de decisión, o mandato libre, ya que debe representar a los ciudadanos que le han prestado su voto, y no a los intereses de su partido. Los dos párrafos del art. 197.1 a) LOREG evidencian la voluntad legislativa de favorecer a los partidos mayoritarios y al “antitransfugismo”. Por tanto, el límite es inidóneo para alcanzar el fin constitucionalmente establecido, y es innecesario, ya que la norma busca mantener la estabilidad en la vida municipal, pero no lo consigue cuando plantea un escenario de restricción absoluta al derecho de decisión. Además, también es desproporcionado, por cuando no atiende al caso o hechos concretos a los que se proyecta.</w:t>
      </w:r>
    </w:p>
    <w:p w14:paraId="51982D83" w14:textId="77777777" w:rsidR="00A8138F" w:rsidRDefault="00A8138F" w:rsidP="00A8138F">
      <w:pPr>
        <w:pStyle w:val="TextoNormal"/>
      </w:pPr>
    </w:p>
    <w:p w14:paraId="46AC3CF1" w14:textId="58AABBBF" w:rsidR="00A8138F" w:rsidRDefault="00A8138F" w:rsidP="00A8138F">
      <w:pPr>
        <w:pStyle w:val="TextoNormal"/>
      </w:pPr>
      <w:r w:rsidRPr="00A8138F">
        <w:rPr>
          <w:rStyle w:val="NumeroAFNegritaCaracter"/>
        </w:rPr>
        <w:t>12</w:t>
      </w:r>
      <w:r>
        <w:t>. Por providencia de 10 de junio de 2025 se señaló ese mismo día para la deliberación y votación de la presente sentencia.</w:t>
      </w:r>
    </w:p>
    <w:p w14:paraId="51B6998B" w14:textId="77777777" w:rsidR="00A8138F" w:rsidRDefault="00A8138F" w:rsidP="00A8138F">
      <w:pPr>
        <w:pStyle w:val="TextoNormal"/>
      </w:pPr>
    </w:p>
    <w:p w14:paraId="3BF0CD42" w14:textId="77777777" w:rsidR="00A8138F" w:rsidRDefault="00A8138F" w:rsidP="00A8138F">
      <w:pPr>
        <w:pStyle w:val="TextoNormalNegritaCentrado"/>
        <w:keepNext/>
      </w:pPr>
      <w:r>
        <w:t>II. Fundamentos jurídicos</w:t>
      </w:r>
    </w:p>
    <w:p w14:paraId="12C53FB4" w14:textId="3429A020" w:rsidR="00A8138F" w:rsidRDefault="00A8138F" w:rsidP="00A8138F">
      <w:pPr>
        <w:pStyle w:val="TextoNormalNegritaCentrado"/>
        <w:keepNext/>
      </w:pPr>
    </w:p>
    <w:p w14:paraId="120810EF" w14:textId="77777777" w:rsidR="00A8138F" w:rsidRDefault="00A8138F" w:rsidP="00A8138F">
      <w:pPr>
        <w:pStyle w:val="TextoNormal"/>
      </w:pPr>
      <w:r w:rsidRPr="00A8138F">
        <w:rPr>
          <w:rStyle w:val="NumeroAFNegritaCaracter"/>
        </w:rPr>
        <w:t>1</w:t>
      </w:r>
      <w:r>
        <w:t xml:space="preserve">. </w:t>
      </w:r>
      <w:r w:rsidRPr="00A8138F">
        <w:rPr>
          <w:i/>
        </w:rPr>
        <w:t>Objeto de la cuestión de inconstitucionalidad</w:t>
      </w:r>
    </w:p>
    <w:p w14:paraId="3C2FB73D" w14:textId="77777777" w:rsidR="00A8138F" w:rsidRDefault="00A8138F" w:rsidP="00A8138F">
      <w:pPr>
        <w:pStyle w:val="TextoNormal"/>
      </w:pPr>
    </w:p>
    <w:p w14:paraId="6C58CB8B" w14:textId="77777777" w:rsidR="00A8138F" w:rsidRDefault="00A8138F" w:rsidP="00A8138F">
      <w:pPr>
        <w:pStyle w:val="TextoNormal"/>
      </w:pPr>
      <w:r>
        <w:t>La presente cuestión de inconstitucionalidad ha sido promovida por la Sala de lo Contencioso-Administrativo del Tribunal Superior de Justicia de Cantabria, respecto del art. 197.1 a) párrafo segundo LOREG, en la redacción dada por la Ley Orgánica 2/2011, de 28 de enero, planteándose la posible vulneración del artículo 23.2 CE.</w:t>
      </w:r>
    </w:p>
    <w:p w14:paraId="0EED9DE2" w14:textId="77777777" w:rsidR="00A8138F" w:rsidRDefault="00A8138F" w:rsidP="00A8138F">
      <w:pPr>
        <w:pStyle w:val="TextoNormal"/>
      </w:pPr>
    </w:p>
    <w:p w14:paraId="2E40839A" w14:textId="77777777" w:rsidR="00A8138F" w:rsidRDefault="00A8138F" w:rsidP="00A8138F">
      <w:pPr>
        <w:pStyle w:val="TextoNormal"/>
      </w:pPr>
      <w:r>
        <w:t>El número 1 del artículo 197 LOREG, en el que se integra el párrafo segundo del apartado a), dispone lo siguiente:</w:t>
      </w:r>
    </w:p>
    <w:p w14:paraId="77DB662F" w14:textId="77777777" w:rsidR="00A8138F" w:rsidRDefault="00A8138F" w:rsidP="00A8138F">
      <w:pPr>
        <w:pStyle w:val="TextoNormal"/>
      </w:pPr>
    </w:p>
    <w:p w14:paraId="2871FAFD" w14:textId="77777777" w:rsidR="00A8138F" w:rsidRDefault="00A8138F" w:rsidP="00A8138F">
      <w:pPr>
        <w:pStyle w:val="TextoNormal"/>
      </w:pPr>
      <w:r>
        <w:t>“1. El alcalde puede ser destituido mediante moción de censura, cuya presentación, tramitación y votación se regirá por las siguientes normas:</w:t>
      </w:r>
    </w:p>
    <w:p w14:paraId="709C0F70" w14:textId="77777777" w:rsidR="00A8138F" w:rsidRDefault="00A8138F" w:rsidP="00A8138F">
      <w:pPr>
        <w:pStyle w:val="TextoNormal"/>
      </w:pPr>
    </w:p>
    <w:p w14:paraId="0ED1F0A4" w14:textId="77777777" w:rsidR="00A8138F" w:rsidRDefault="00A8138F" w:rsidP="00A8138F">
      <w:pPr>
        <w:pStyle w:val="TextoNormal"/>
      </w:pPr>
      <w:r>
        <w:t>a) La moción de censura deberá ser propuesta, al menos, por la mayoría absoluta del número legal de miembros de la Corporación y habrá de incluir un candidato a la Alcaldía, pudiendo serlo cualquier Concejal cuya aceptación expresa conste en el escrito de proposición de la moción.</w:t>
      </w:r>
    </w:p>
    <w:p w14:paraId="31F25CB5" w14:textId="77777777" w:rsidR="00A8138F" w:rsidRDefault="00A8138F" w:rsidP="00A8138F">
      <w:pPr>
        <w:pStyle w:val="TextoNormal"/>
      </w:pPr>
    </w:p>
    <w:p w14:paraId="56B006F5" w14:textId="77777777" w:rsidR="00A8138F" w:rsidRDefault="00A8138F" w:rsidP="00A8138F">
      <w:pPr>
        <w:pStyle w:val="TextoNormal"/>
      </w:pPr>
      <w:r>
        <w:t>En el caso de que alguno de los proponentes de la moción de censura formara o haya formado parte del grupo político municipal al que pertenece el alcalde cuya censura se propone, la mayoría exigida en el párrafo anterior se verá incrementada en el mismo número de concejales que se encuentren en tales circunstancias”.</w:t>
      </w:r>
    </w:p>
    <w:p w14:paraId="566D936C" w14:textId="77777777" w:rsidR="00A8138F" w:rsidRDefault="00A8138F" w:rsidP="00A8138F">
      <w:pPr>
        <w:pStyle w:val="TextoNormal"/>
      </w:pPr>
    </w:p>
    <w:p w14:paraId="76A6E405" w14:textId="77777777" w:rsidR="00A8138F" w:rsidRDefault="00A8138F" w:rsidP="00A8138F">
      <w:pPr>
        <w:pStyle w:val="TextoNormal"/>
      </w:pPr>
      <w:r>
        <w:t xml:space="preserve">El tercer párrafo de este art. 197.1 a) LOREG, fue declarado inconstitucional por la STC 151/2017, de 21 de diciembre, que presenta una relación muy estrecha con el problema ahora planteado, por lo que la cita a la misma será recurrente. El precepto entonces declarado inconstitucional se refería al incremento del </w:t>
      </w:r>
      <w:r w:rsidRPr="00A8138F">
        <w:rPr>
          <w:i/>
        </w:rPr>
        <w:t>quorum</w:t>
      </w:r>
      <w:r>
        <w:t xml:space="preserve"> “cuando alguno de los concejales proponentes de la moción haya dejado de pertenecer, por cualquier causa, al grupo político municipal al que se adscribió al inicio de su mandato”. Tanto el párrafo tercero, actualmente excluido de la redacción del precepto, como el párrafo segundo, ponen de manifiesto la voluntad del legislador de limitar el derecho a presentar mociones de censura a los concejales no adscritos, y ello mediante la exigencia de una mayoría especialmente reforzada en los casos en que la propuesta viniera firmada por uno o varios de estos concejales . Además, el párrafo segundo también incluye el supuesto de aquellos concejales censurantes que pertenezcan el día de la moción de censura al grupo político del alcalde, supuesto que, en puridad no se refiere a concejales que hayan perdido la adscripción al grupo al momento de ejercer el derecho sujeto a restricciones.</w:t>
      </w:r>
    </w:p>
    <w:p w14:paraId="752722D1" w14:textId="77777777" w:rsidR="00A8138F" w:rsidRDefault="00A8138F" w:rsidP="00A8138F">
      <w:pPr>
        <w:pStyle w:val="TextoNormal"/>
      </w:pPr>
    </w:p>
    <w:p w14:paraId="31DFA5E1" w14:textId="77777777" w:rsidR="00A8138F" w:rsidRDefault="00A8138F" w:rsidP="00A8138F">
      <w:pPr>
        <w:pStyle w:val="TextoNormal"/>
      </w:pPr>
      <w:r>
        <w:t>El órgano judicial que plantea la cuestión considera que hay que dilucidar si la previsión contenida en la reforma operada en 2011 para mitigar el fenómeno del “transfuguismo”, cuando este afecta a los concejales del mismo grupo del alcalde al momento en que se conforma el ayuntamiento, supone una injerencia en el derecho fundamental de participación política, cuya intensidad implica una vulneración de tal derecho. Esta duda surge frente a la posición que defendería la posibilidad de armonizar la medida con el perfeccionamiento de la función representativa y la participación política en condiciones de igualdad.</w:t>
      </w:r>
    </w:p>
    <w:p w14:paraId="41D29DE8" w14:textId="77777777" w:rsidR="00A8138F" w:rsidRDefault="00A8138F" w:rsidP="00A8138F">
      <w:pPr>
        <w:pStyle w:val="TextoNormal"/>
      </w:pPr>
    </w:p>
    <w:p w14:paraId="330FE43A" w14:textId="4E3AD467" w:rsidR="00A8138F" w:rsidRDefault="00A8138F" w:rsidP="00A8138F">
      <w:pPr>
        <w:pStyle w:val="TextoNormal"/>
      </w:pPr>
      <w:r>
        <w:t>La Abogacía del Estado, el Ministerio Fiscal y la representación procesal del Ayuntamiento de Arredondo interesan la desestimación de la cuestión de inconstitucionalidad, basando su juicio en que la medida superaría el juicio de proporcionalidad que no superó en su momento el párrafo tercero del mismo precepto; mientras que don José Francisco Villegas Gómez, el concejal que pretendió ejercer en su día el derecho a firmar el planteamiento de una moción de censura contra el alcalde de Arredondo, a cuyo grupo municipal había pertenecido, concluye lo contrario, considerando inidóneo el juicio de proporcionalidad realizado por el resto de partes y remitiéndose a los argumentos de la STC 151/2017 para concluir que la medida cuestionada supone una limitación desproporcionada del derecho de representación política del art. 23.2 CE.</w:t>
      </w:r>
    </w:p>
    <w:p w14:paraId="3049133C" w14:textId="77777777" w:rsidR="00A8138F" w:rsidRDefault="00A8138F" w:rsidP="00A8138F">
      <w:pPr>
        <w:pStyle w:val="TextoNormal"/>
      </w:pPr>
    </w:p>
    <w:p w14:paraId="51E25B45" w14:textId="77777777" w:rsidR="00A8138F" w:rsidRDefault="00A8138F" w:rsidP="00A8138F">
      <w:pPr>
        <w:pStyle w:val="TextoNormal"/>
      </w:pPr>
      <w:r w:rsidRPr="00A8138F">
        <w:rPr>
          <w:rStyle w:val="NumeroAFNegritaCaracter"/>
        </w:rPr>
        <w:t>2</w:t>
      </w:r>
      <w:r>
        <w:t xml:space="preserve">. </w:t>
      </w:r>
      <w:r w:rsidRPr="00A8138F">
        <w:rPr>
          <w:i/>
        </w:rPr>
        <w:t>La moción de censura local como parte integrante del</w:t>
      </w:r>
      <w:r>
        <w:t xml:space="preserve"> ius in officium </w:t>
      </w:r>
      <w:r w:rsidRPr="00A8138F">
        <w:rPr>
          <w:i/>
        </w:rPr>
        <w:t>de los concejales</w:t>
      </w:r>
    </w:p>
    <w:p w14:paraId="33B81585" w14:textId="77777777" w:rsidR="00A8138F" w:rsidRDefault="00A8138F" w:rsidP="00A8138F">
      <w:pPr>
        <w:pStyle w:val="TextoNormal"/>
      </w:pPr>
    </w:p>
    <w:p w14:paraId="3B1F8242" w14:textId="77777777" w:rsidR="00A8138F" w:rsidRDefault="00A8138F" w:rsidP="00A8138F">
      <w:pPr>
        <w:pStyle w:val="TextoNormal"/>
      </w:pPr>
      <w:r>
        <w:t>Evocando abundante jurisprudencia previa, la STC 151/2017 reitera que el art. 23.2 CE integra, junto al contenido explícito que consagra el derecho de los ciudadanos a acceder en condiciones de igualdad a las funciones y cargos públicos con los requisitos que señalen las leyes, el contenido implícito de permanecer, en condiciones de igualdad y con los requisitos que señalen las leyes, en los cargos o funciones públicas a los que se accedió (STC 5/1983, de 4 de febrero, FJ 3), y el derecho al ejercicio o desempeño del cargo público representativo conforme a lo previsto en las leyes (por ejemplo, STC 246/2012, de 20 de diciembre, FJ 2). Tanto el acceso al cargo público representativo, como la permanencia en el mismo o el desempeño de su ejercicio han de perfeccionarse en condiciones de igualdad y de acuerdo con los requisitos que señalen las leyes (por todas, STC 12/2019, de 28 de enero, y jurisprudencia allí citada).</w:t>
      </w:r>
    </w:p>
    <w:p w14:paraId="7F8CFA96" w14:textId="77777777" w:rsidR="00A8138F" w:rsidRDefault="00A8138F" w:rsidP="00A8138F">
      <w:pPr>
        <w:pStyle w:val="TextoNormal"/>
      </w:pPr>
    </w:p>
    <w:p w14:paraId="62D4C4F2" w14:textId="77777777" w:rsidR="00A8138F" w:rsidRDefault="00A8138F" w:rsidP="00A8138F">
      <w:pPr>
        <w:pStyle w:val="TextoNormal"/>
      </w:pPr>
      <w:r>
        <w:t>El derecho al ejercicio del cargo representativo se reconoce como derecho de configuración legal, “de suerte que corresponde a la ley fijar y ordenar los derechos y atribuciones de los representantes electos que, ‘una vez creados, quedan integrados en el [e]status propio del cargo, con la consecuencia de que podrán sus titulares, al amparo del artículo 23.2 CE, reclamar su protección cuando los consideren ilegítimamente constreñidos o ignorados por actos del poder público, incluidos los provenientes del propio órgano en que se integren’ (entre tantas otras, STC 36/2014, de 27 de febrero, FJ 5, y las allí citadas)” (STC 151/2017, FJ 3). Adicionalmente, la jurisprudencia constitucional sostiene que la vulneración de los derechos de representación no se verifica con cualquier acto que infrinja el estatus jurídico aplicable, “pues a estos efectos solo poseen relevancia constitucional los derechos o facultades atribuidos al representante que pertenezcan al núcleo de su función representativa” (STC 151/2017, FJ 3, y jurisprudencia allí citada).</w:t>
      </w:r>
    </w:p>
    <w:p w14:paraId="33DCBF13" w14:textId="77777777" w:rsidR="00A8138F" w:rsidRDefault="00A8138F" w:rsidP="00A8138F">
      <w:pPr>
        <w:pStyle w:val="TextoNormal"/>
      </w:pPr>
    </w:p>
    <w:p w14:paraId="4269683F" w14:textId="77777777" w:rsidR="00A8138F" w:rsidRDefault="00A8138F" w:rsidP="00A8138F">
      <w:pPr>
        <w:pStyle w:val="TextoNormal"/>
      </w:pPr>
      <w:r>
        <w:t xml:space="preserve">Al referirse al ámbito local, en que se manifiesta la limitación de derechos contenida en el art. 197.1 a) LOREG, la STC 151/2017, constata que quedan encuadradas en el núcleo de la función representativa, la participación “en la actividad de control del gobierno local y en las deliberaciones del pleno de la corporación; votar en los asuntos sometidos a este órgano; obtener la información necesaria para poder ejercer las facultades anteriores y, por último, participar en las comisiones informativas (por enunciarlas en su integridad, STC 246/2012, de 20 de diciembre, FJ 7)” (STC 151/2017, FJ 3). De esta constatación dedujo el Tribunal Constitucional que la participación de los miembros de una corporación local —adscritos o no adscritos— en la moción de censura local, es una facultad asociada a la actividad de control del gobierno local, que se encuadra en el núcleo de la función representativa </w:t>
      </w:r>
      <w:r w:rsidRPr="00A8138F">
        <w:rPr>
          <w:i/>
        </w:rPr>
        <w:t>ex</w:t>
      </w:r>
      <w:r>
        <w:t xml:space="preserve"> art. 23.2 CE.</w:t>
      </w:r>
    </w:p>
    <w:p w14:paraId="4EA02890" w14:textId="77777777" w:rsidR="00A8138F" w:rsidRDefault="00A8138F" w:rsidP="00A8138F">
      <w:pPr>
        <w:pStyle w:val="TextoNormal"/>
      </w:pPr>
    </w:p>
    <w:p w14:paraId="4118FC08" w14:textId="77777777" w:rsidR="00A8138F" w:rsidRDefault="00A8138F" w:rsidP="00A8138F">
      <w:pPr>
        <w:pStyle w:val="TextoNormal"/>
      </w:pPr>
      <w:r>
        <w:t>Profundizando en esta idea, y con cita del fundamento jurídico 3 de la STC 81/2012, de 18 de abril, el Tribunal recuerda: “(i) que la moción de censura es un instrumento clave de las formas de gobierno parlamentario —que se basan en la existencia de una relación de confianza entre el Gobierno y las Cámaras—, porque es un mecanismo a través del cual el Legislativo controla la gestión del Ejecutivo y exige responsabilidad política al mismo, configurándose como un cauce para la manifestación de la extinción de la confianza de las Cámaras en el Ejecutivo; (ii) que su virtualidad como mecanismo de control y exigencia de responsabilidad política de los gobernantes por quienes les invistieron de la confianza para serlo ha llevado al legislador a incorporar la moción de censura a otras instituciones que también reúnen las notas de representación democrática y confianza a la hora de elegir al poder ejecutivo, como es el caso de los gobiernos municipales, pese a las indudables diferencias que existen entre el pleno de un ayuntamiento o una asamblea vecinal (en el régimen de concejo abierto) y las asambleas legislativas y autonómicas; (iii) que la moción de censura al alcalde se presenta como un instrumento de naturaleza híbrida, pues es, primordialmente, un medio de control y de exigencia de responsabilidad política por parte del pleno y, por tanto, un mecanismo de relación entre los órganos del gobierno municipal, pero, por otro lado, cuando prospera, implica a su vez una causa de cese del alcalde inicialmente designado —poniendo fin a la efectividad de la elección inicial—, con la subsiguiente proclamación de uno nuevo; (iv) que, por las razones enunciadas, la moción de censura aparece como una pieza clave de la forma de gobierno local, esto es, del régimen institucional local; y finalmente (v) que la moción de censura local configura el ‘</w:t>
      </w:r>
      <w:r w:rsidRPr="00A8138F">
        <w:rPr>
          <w:i/>
        </w:rPr>
        <w:t>ius in officium</w:t>
      </w:r>
      <w:r>
        <w:t>, el estatus representativo de los concejales’, ya que, como se atribuye a estos la iniciativa y, por tanto, la puesta en marcha de un procedimiento extraordinario de elección de nuevo alcalde y de remoción del anterior, la facultad de presentar una moción de censura con los límites y garantías previstos en la legislación pasa a formar parte del núcleo de su función de representación política, siendo su regulación norma de desarrollo directo del artículo 23.2 CE” (STC 151/2017, FJ 4).</w:t>
      </w:r>
    </w:p>
    <w:p w14:paraId="16A1B57A" w14:textId="77777777" w:rsidR="00A8138F" w:rsidRDefault="00A8138F" w:rsidP="00A8138F">
      <w:pPr>
        <w:pStyle w:val="TextoNormal"/>
      </w:pPr>
    </w:p>
    <w:p w14:paraId="0012C2D1" w14:textId="77777777" w:rsidR="00A8138F" w:rsidRDefault="00A8138F" w:rsidP="00A8138F">
      <w:pPr>
        <w:pStyle w:val="TextoNormal"/>
      </w:pPr>
      <w:r>
        <w:t>Por tanto, la STC 151/2017 encuadra la facultad de promoción de la moción censura al alcalde en el núcleo de la función representativa en el ámbito local, y admite que, en aquel supuesto, el párrafo tercero del artículo 197.1 a) LOREG vino a introducir una alteración, para los concejales no adscritos, del régimen ordinario de ejercicio de un derecho de configuración legal como parte del núcleo de su función representativa. Trasladando este razonamiento al problema constitucional que ahora nos ocupa, podemos sostener que el párrafo segundo del art. 197.1 a) LOREG, en la redacción dada por la Ley Orgánica 2/2011, de 28 de enero, también introduce un límite, para los concejales que formen o hayan formado parte del grupo municipal del alcalde, en el núcleo de su función representativa.</w:t>
      </w:r>
    </w:p>
    <w:p w14:paraId="25A1C890" w14:textId="77777777" w:rsidR="00A8138F" w:rsidRDefault="00A8138F" w:rsidP="00A8138F">
      <w:pPr>
        <w:pStyle w:val="TextoNormal"/>
      </w:pPr>
    </w:p>
    <w:p w14:paraId="3715A09D" w14:textId="77777777" w:rsidR="00A8138F" w:rsidRDefault="00A8138F" w:rsidP="00A8138F">
      <w:pPr>
        <w:pStyle w:val="TextoNormal"/>
      </w:pPr>
      <w:r>
        <w:t>La redacción del precepto que se cuestiona en este caso establece, como norma de presentación de la moción de censura al alcalde, que “[e]n el caso de que alguno de los proponentes de la moción de censura formara o haya formado parte del grupo político municipal al que pertenece el Alcalde cuya censura se propone, la mayoría exigida en el párrafo anterior se verá incrementada en el mismo número de concejales que se encuentren en tales circunstancias”.</w:t>
      </w:r>
    </w:p>
    <w:p w14:paraId="742D49A4" w14:textId="77777777" w:rsidR="00A8138F" w:rsidRDefault="00A8138F" w:rsidP="00A8138F">
      <w:pPr>
        <w:pStyle w:val="TextoNormal"/>
      </w:pPr>
    </w:p>
    <w:p w14:paraId="52628F6C" w14:textId="77777777" w:rsidR="00A8138F" w:rsidRDefault="00A8138F" w:rsidP="00A8138F">
      <w:pPr>
        <w:pStyle w:val="TextoNormal"/>
      </w:pPr>
      <w:r>
        <w:t>A pesar de la indeterminación de la expresión “formara o haya formado parte del grupo político municipal al que pertenece el alcalde”, incluida en el párrafo segundo del art. 197.1 a) LOREG, de la dicción literal del precepto se deduce claramente la exigencia de un incremento del número de concejales en apoyo de la iniciativa de planteamiento de la moción, equivalente al número de concejales que la hubieran impulsado y que, o bien pertenecieran en el momento de presentación de la moción al grupo del alcalde, o bien hubieran pertenecido anteriormente al grupo municipal del alcalde contra el que se interpone la moción de censura. Dicho en otros términos, la norma priva de cualquier relevancia la participación de los concejales del grupo municipal del alcalde en ese momento o en el pasado, en la promoción de la moción de censura, porque para alcanzar la mayoría absoluta de integrantes de la corporación municipal requerida para la promoción de la moción, su iniciativa no cuenta, debiendo alcanzarse esa mayoría con el resto de los concejales proponentes (adscritos o no adscritos tras la STC 151/2017).</w:t>
      </w:r>
    </w:p>
    <w:p w14:paraId="6968653E" w14:textId="77777777" w:rsidR="00A8138F" w:rsidRDefault="00A8138F" w:rsidP="00A8138F">
      <w:pPr>
        <w:pStyle w:val="TextoNormal"/>
      </w:pPr>
    </w:p>
    <w:p w14:paraId="34E1B8E0" w14:textId="6F6FFB24" w:rsidR="00A8138F" w:rsidRDefault="00A8138F" w:rsidP="00A8138F">
      <w:pPr>
        <w:pStyle w:val="TextoNormal"/>
      </w:pPr>
      <w:r>
        <w:t xml:space="preserve">Se deriva de la norma cuestionada, por tanto, una restricción objetiva del margen de iniciativa o impulso de la remoción del alcalde y, por tanto, una limitación clara del </w:t>
      </w:r>
      <w:r w:rsidRPr="00A8138F">
        <w:rPr>
          <w:i/>
        </w:rPr>
        <w:t>ius in officium</w:t>
      </w:r>
      <w:r>
        <w:t xml:space="preserve"> de los concejales a quienes se dirige la medida.</w:t>
      </w:r>
    </w:p>
    <w:p w14:paraId="18284C23" w14:textId="77777777" w:rsidR="00A8138F" w:rsidRDefault="00A8138F" w:rsidP="00A8138F">
      <w:pPr>
        <w:pStyle w:val="TextoNormal"/>
      </w:pPr>
    </w:p>
    <w:p w14:paraId="21979108" w14:textId="77777777" w:rsidR="00A8138F" w:rsidRDefault="00A8138F" w:rsidP="00A8138F">
      <w:pPr>
        <w:pStyle w:val="TextoNormal"/>
      </w:pPr>
      <w:r w:rsidRPr="00A8138F">
        <w:rPr>
          <w:rStyle w:val="NumeroAFNegritaCaracter"/>
        </w:rPr>
        <w:t>3</w:t>
      </w:r>
      <w:r>
        <w:t xml:space="preserve">. </w:t>
      </w:r>
      <w:r w:rsidRPr="00A8138F">
        <w:rPr>
          <w:i/>
        </w:rPr>
        <w:t>La finalidad constitucionalmente legítima de la limitación del</w:t>
      </w:r>
      <w:r>
        <w:t xml:space="preserve"> ius in officium </w:t>
      </w:r>
      <w:r w:rsidRPr="00A8138F">
        <w:rPr>
          <w:i/>
        </w:rPr>
        <w:t>de los representantes locales</w:t>
      </w:r>
    </w:p>
    <w:p w14:paraId="740C4BC3" w14:textId="77777777" w:rsidR="00A8138F" w:rsidRDefault="00A8138F" w:rsidP="00A8138F">
      <w:pPr>
        <w:pStyle w:val="TextoNormal"/>
      </w:pPr>
    </w:p>
    <w:p w14:paraId="76DE690C" w14:textId="77777777" w:rsidR="00A8138F" w:rsidRDefault="00A8138F" w:rsidP="00A8138F">
      <w:pPr>
        <w:pStyle w:val="TextoNormal"/>
      </w:pPr>
      <w:r>
        <w:t xml:space="preserve">Como sucede con el resto de los derechos fundamentales, el derecho de acceso y permanencia en el ejercicio de las funciones y cargos públicos representativos no es incondicionado o absoluto. Bien al contrario, se trata de un derecho delimitado y delimitable en su contenido tanto por su naturaleza como por su función. Así, cuando hablamos de la limitación del art. 23.2 CE, y asumimos que las restricciones se proyectan sobre el </w:t>
      </w:r>
      <w:r w:rsidRPr="00A8138F">
        <w:rPr>
          <w:i/>
        </w:rPr>
        <w:t>ius in officium</w:t>
      </w:r>
      <w:r>
        <w:t>¸ como sucede en el caso que ahora nos ocupa, es preciso analizar si tales limitaciones, en este caso previstas por el legislador, respetan los imperativos del principio de igualdad, y se ordenan “a un fin legítimo, en términos proporcionados a dicha válida finalidad” (STC 71/1994, de 3 de marzo, FJ 6).</w:t>
      </w:r>
    </w:p>
    <w:p w14:paraId="01576E68" w14:textId="77777777" w:rsidR="00A8138F" w:rsidRDefault="00A8138F" w:rsidP="00A8138F">
      <w:pPr>
        <w:pStyle w:val="TextoNormal"/>
      </w:pPr>
    </w:p>
    <w:p w14:paraId="22716B32" w14:textId="77777777" w:rsidR="00A8138F" w:rsidRDefault="00A8138F" w:rsidP="00A8138F">
      <w:pPr>
        <w:pStyle w:val="TextoNormal"/>
      </w:pPr>
      <w:r>
        <w:t>Por tanto, para analizar la constitucionalidad del precepto legal sometido al presente examen de constitucionalidad, deberá considerarse: “(i) que el legislador no puede imponer en el derecho de acceso a las funciones y cargos públicos representativos (art. 23.2 CE) restricciones que, más allá de los imperativos del principio de igualdad y desde la perspectiva constitucional, no se ordenen a un fin legítimo (por todas, STC 71/1994, de 3 de marzo, FJ 6); (ii) que el artículo 23.2 CE determina, una vez dispuesta la facultad representativa de que se trate (aquí la moción de censura en el ámbito local), que su regulación no podrá conllevar restricciones ilegítimas contrarias a la garantía de igualdad, puesto que, como recordara la STC 10/1983, de 21 de febrero, la libertad del legislador para desarrollar el artículo 23.2 CE cuenta, entre otras limitaciones que aquí no están a debate, con las generales que derivan de ese principio; (iii) adicionalmente, en los términos de la STC 24/1990, de 15 de febrero, FJ 2, que en los cargos que se alcanzan a través de elección popular y tienen, por tanto, naturaleza representativa, ‘los requisitos que señalen las leyes’ a que se refiere el artículo 23.2 C.E. solo serán admisibles en la medida en que sean congruentes con su naturaleza y que ‘su carácter de derecho de configuración legal no nos puede hacer olvidar que los derechos del art. 23.2 son derechos fundamentales’, debiendo, por tanto, este tribunal revisar si ha quedado afectada su integridad. De no ser así, concluíamos entonces, los derechos fundamentales de configuración legal quedarían degradados al plano de la legalidad ordinaria” (STC 151/2017, FJ 6).</w:t>
      </w:r>
    </w:p>
    <w:p w14:paraId="0CAD96AD" w14:textId="77777777" w:rsidR="00A8138F" w:rsidRDefault="00A8138F" w:rsidP="00A8138F">
      <w:pPr>
        <w:pStyle w:val="TextoNormal"/>
      </w:pPr>
    </w:p>
    <w:p w14:paraId="07D89C05" w14:textId="77777777" w:rsidR="00A8138F" w:rsidRDefault="00A8138F" w:rsidP="00A8138F">
      <w:pPr>
        <w:pStyle w:val="TextoNormal"/>
      </w:pPr>
      <w:r>
        <w:t>El art. 197.1 a) LOREG es modificado por el artículo único, apartado cincuenta y siete, de la Ley Orgánica 2/2011, de 28 de enero, que explica la finalidad de la modificación de un modo sucinto al referirse al transfuguismo como anomalía “que ha incidido negativamente en el sistema democrático y representativo”, y establecer que la reforma no podrá evitar que sigan existiendo “tránsfugas”, pero sí que “con su actuación modifiquen la voluntad popular y cambien gobiernos municipales. Todos los partidos han sufrido la práctica de personas electas en sus candidaturas que abandonan su grupo y modifican las mayorías de gobierno. De ahí que fuera una necesidad imperiosa encontrar una fórmula para que, desde el respeto a la doctrina del Tribunal Constitucional, esto no volviera a producirse. Se trata, en definitiva, de una medida de regeneración democrática que contribuirá a eliminar las tensiones políticas y sociales y que favorecerá de cara al futuro la estabilidad en la vida municipal”.</w:t>
      </w:r>
    </w:p>
    <w:p w14:paraId="68003E42" w14:textId="77777777" w:rsidR="00A8138F" w:rsidRDefault="00A8138F" w:rsidP="00A8138F">
      <w:pPr>
        <w:pStyle w:val="TextoNormal"/>
      </w:pPr>
    </w:p>
    <w:p w14:paraId="14B93BE2" w14:textId="77777777" w:rsidR="00A8138F" w:rsidRDefault="00A8138F" w:rsidP="00A8138F">
      <w:pPr>
        <w:pStyle w:val="TextoNormal"/>
      </w:pPr>
      <w:r>
        <w:t>Considerando adecuado mantener el esquema de razonamiento empleado en la STC 151/2017, recuperamos para el pronunciamiento actual el juicio de idoneidad y de necesidad allí desarrollado, para concluir que la medida limitativa contenida en el párrafo segundo, como la que se reflejaba en el párrafo tercero, es idónea y necesaria, al responder ambas a la misma finalidad declarada por la exposición de motivos de la Ley Orgánica 2/2011. Así, procederemos a analizar “(a) si la medida es idónea o adecuada para alcanzar el fin constitucionalmente legítimo perseguido por ella, antes enunciado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(STC 151/2017, FJ 7).</w:t>
      </w:r>
    </w:p>
    <w:p w14:paraId="730477BB" w14:textId="77777777" w:rsidR="00A8138F" w:rsidRDefault="00A8138F" w:rsidP="00A8138F">
      <w:pPr>
        <w:pStyle w:val="TextoNormal"/>
      </w:pPr>
    </w:p>
    <w:p w14:paraId="31DA85DC" w14:textId="77777777" w:rsidR="00A8138F" w:rsidRDefault="00A8138F" w:rsidP="00A8138F">
      <w:pPr>
        <w:pStyle w:val="TextoNormal"/>
      </w:pPr>
      <w:r>
        <w:t xml:space="preserve">Tanto las previsiones del párrafo segundo como las del párrafo tercero del art. 197.1 a) LOREG responden a una intervención “sobre la anomalía que el transfuguismo representa, y que lo hace, específicamente y en síntesis, al objeto de asegurar la voluntad popular y la estabilidad de la vida municipal. Ese sería el fin de la norma o, si se prefiere, de normas como la aquí cuestionada contenidas en la ley orgánica de referencia como expresión de la opción legislativa frente al fenómeno del transfuguismo”. Y sigue afirmando la sentencia: “[e]sa lógica de regeneración democrática se concreta en este caso en una modalización para determinados concejales de un derecho que forma parte del </w:t>
      </w:r>
      <w:r w:rsidRPr="00A8138F">
        <w:rPr>
          <w:i/>
        </w:rPr>
        <w:t>ius in officium</w:t>
      </w:r>
      <w:r>
        <w:t xml:space="preserve"> y que se actualiza, en su ejercicio, con amparo en la libertad de mandato, resultando el presupuesto de la restricción del derecho al que atiende el legislador, con el que responde pretendidamente al fin normativo declarado en el preámbulo” (STC 151/2017, FJ 5).</w:t>
      </w:r>
    </w:p>
    <w:p w14:paraId="7A1735D7" w14:textId="77777777" w:rsidR="00A8138F" w:rsidRDefault="00A8138F" w:rsidP="00A8138F">
      <w:pPr>
        <w:pStyle w:val="TextoNormal"/>
      </w:pPr>
    </w:p>
    <w:p w14:paraId="4E14230F" w14:textId="77777777" w:rsidR="00A8138F" w:rsidRDefault="00A8138F" w:rsidP="00A8138F">
      <w:pPr>
        <w:pStyle w:val="TextoNormal"/>
      </w:pPr>
      <w:r>
        <w:t>A ese mismo fin responde la restricción contenida en el párrafo segundo y referida a los concejales que integran o integraron el mismo grupo municipal que el alcalde, esto es al propósito u objeto de “que no sea modificada ‘la voluntad popular’, no se modifiquen ‘las mayorías de gobierno’ ni ‘cambien gobiernos municipales’ y se favorezca con ello ‘la regeneración democrática’ o la ‘estabilidad en la vida municipal’” (STC 151/2017, FJ 5). Y este fin puede ser calificado como fin legítimo “ya que posee relevancia jurídica la adscripción política de los representantes (entre otras, en la STC 32/1985, de 6 de marzo, FJ 2). Es claro, en efecto,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solo política) a la adscripción política de los representantes. En consecuencia, como resultado de lo dicho, el fin de intervenir frente al transfuguismo con una regulación jurídica es en principio constitucionalmente legítimo” (STC 151/2017, FJ 6).</w:t>
      </w:r>
    </w:p>
    <w:p w14:paraId="75A5BBEA" w14:textId="77777777" w:rsidR="00A8138F" w:rsidRDefault="00A8138F" w:rsidP="00A8138F">
      <w:pPr>
        <w:pStyle w:val="TextoNormal"/>
      </w:pPr>
    </w:p>
    <w:p w14:paraId="4035B58D" w14:textId="77777777" w:rsidR="00A8138F" w:rsidRDefault="00A8138F" w:rsidP="00A8138F">
      <w:pPr>
        <w:pStyle w:val="TextoNormal"/>
      </w:pPr>
      <w:r>
        <w:t>Es preciso tener en cuenta, al formular el juicio de constitucionalidad, la naturaleza del mandato de los representantes electos en el sistema español. Si bien la prohibición de mandato imperativo contenida literalmente en el art. 67.2 CE se proyecta a diputados y senadores de forma inequívoca, esto es a los miembros de las Cortes Generales, la jurisprudencia constitucional extiende esa prohibición, y por tanto constata la naturaleza del mandato libre, a los representantes municipales [SSTC 185/1993, de 31 de mayo, FJ 5; 298/2006, de 23 de octubre, FFJJ 6 y 7; 246/2012, de 20 de diciembre, FJ 5; 125/2013, de 23 de mayo, FJ 6, y 123/2017, de 2 de noviembre, FJ 3 b)].</w:t>
      </w:r>
    </w:p>
    <w:p w14:paraId="1BCEF67F" w14:textId="77777777" w:rsidR="00A8138F" w:rsidRDefault="00A8138F" w:rsidP="00A8138F">
      <w:pPr>
        <w:pStyle w:val="TextoNormal"/>
      </w:pPr>
    </w:p>
    <w:p w14:paraId="7BDE41A6" w14:textId="77777777" w:rsidR="00A8138F" w:rsidRDefault="00A8138F" w:rsidP="00A8138F">
      <w:pPr>
        <w:pStyle w:val="TextoNormal"/>
      </w:pPr>
      <w:r>
        <w:t>La libertad de mandato, “permite construir la representación política a través de una vinculación inmediata entre los representantes y los representados (destacadamente, STC 10/1983, de 21 de febrero, FJ 2), ya que las funciones del núcleo de derechos y facultades de los cargos electos se atribuyen a su titular y en condiciones de igualdad, y no al partido político o grupo en el que se integre. […] El mandato libre supone, en definitiva,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(expresada del modo que se pretendiera) o de las organizaciones o grupos políticos en que se integre o en cuyas listas hubiera concurrido a las elecciones. Una sujeción que, de llegar a verificarse, contrariaría adicionalmente sus derechos al mantenimiento en el cargo y a ejercerlo sin constricciones ilegítimas (art. 23.2 CE). Los vínculos y lealtades de orden político de cualesquiera representantes populares son, en definitiva, consustanciales a una democracia representativa en la que los partidos, muy en especial, cumplen los cometidos capitales que enuncia el artículo 6 CE, pero es la propia racionalidad de esta forma de gobierno la que impide, precisamente en favor de una representación libre y abierta, que el ordenamiento haga suyos tales compromisos, prestándoles su sanción y convirtiéndolos, de este modo, en imperativos jurídicos” (STC 151/2017, FJ 6).</w:t>
      </w:r>
    </w:p>
    <w:p w14:paraId="6B2572A1" w14:textId="77777777" w:rsidR="00A8138F" w:rsidRDefault="00A8138F" w:rsidP="00A8138F">
      <w:pPr>
        <w:pStyle w:val="TextoNormal"/>
      </w:pPr>
    </w:p>
    <w:p w14:paraId="05BDA58E" w14:textId="46B35E8D" w:rsidR="00A8138F" w:rsidRDefault="00A8138F" w:rsidP="00A8138F">
      <w:pPr>
        <w:pStyle w:val="TextoNormal"/>
      </w:pPr>
      <w:r>
        <w:t>A pesar de esa prohibición de mandato imperativo derivada del texto constitucional, sucesivas reformas legales de la moción de censura en el ámbito municipal buscan dificultar la posibilidad de su planteamiento, con el objetivo de limitar los cambios en los gobiernos municipales, reforzando así la estabilidad en la política local y, consecuentemente, la confianza de los ciudadanos en las instituciones locales representativas. Cabe recordar la naturaleza híbrida de la moción de censura que no actúa solo como medio de control y de exigencia de responsabilidad política por parte del pleno municipal, sino también como causa de cese del alcalde inicialmente designado, poniendo fin a la efectividad de la elección inicial que deriva, directamente, de la convocatoria electoral.</w:t>
      </w:r>
    </w:p>
    <w:p w14:paraId="14D57E1D" w14:textId="77777777" w:rsidR="00A8138F" w:rsidRDefault="00A8138F" w:rsidP="00A8138F">
      <w:pPr>
        <w:pStyle w:val="TextoNormal"/>
      </w:pPr>
    </w:p>
    <w:p w14:paraId="0C1087A3" w14:textId="77777777" w:rsidR="00A8138F" w:rsidRDefault="00A8138F" w:rsidP="00A8138F">
      <w:pPr>
        <w:pStyle w:val="TextoNormal"/>
      </w:pPr>
      <w:r w:rsidRPr="00A8138F">
        <w:rPr>
          <w:rStyle w:val="NumeroAFNegritaCaracter"/>
        </w:rPr>
        <w:t>4</w:t>
      </w:r>
      <w:r>
        <w:t xml:space="preserve">. </w:t>
      </w:r>
      <w:r w:rsidRPr="00A8138F">
        <w:rPr>
          <w:i/>
        </w:rPr>
        <w:t>Idoneidad y necesidad de la limitación del art. 23.2 CE derivada del refuerzo del</w:t>
      </w:r>
      <w:r>
        <w:t xml:space="preserve"> quorum </w:t>
      </w:r>
      <w:r w:rsidRPr="00A8138F">
        <w:rPr>
          <w:i/>
        </w:rPr>
        <w:t>para plantear la moción de censura municipal</w:t>
      </w:r>
    </w:p>
    <w:p w14:paraId="5DE9AF6A" w14:textId="77777777" w:rsidR="00A8138F" w:rsidRDefault="00A8138F" w:rsidP="00A8138F">
      <w:pPr>
        <w:pStyle w:val="TextoNormal"/>
      </w:pPr>
    </w:p>
    <w:p w14:paraId="3A254EC1" w14:textId="77777777" w:rsidR="00A8138F" w:rsidRDefault="00A8138F" w:rsidP="00A8138F">
      <w:pPr>
        <w:pStyle w:val="TextoNormal"/>
      </w:pPr>
      <w:r>
        <w:t xml:space="preserve">Analizada la finalidad constitucionalmente legítima de la disposición limitativa del </w:t>
      </w:r>
      <w:r w:rsidRPr="00A8138F">
        <w:rPr>
          <w:i/>
        </w:rPr>
        <w:t>ius in officium</w:t>
      </w:r>
      <w:r>
        <w:t xml:space="preserve"> de los representantes municipales, y teniendo en cuenta la necesidad de preservar la naturaleza libre del mandato representativo en el ámbito local, es preciso analizar la norma cuestionada desde un prisma de igualdad y proporcionalidad de la diferencia de trato que contiene, al prever una limitación de la facultad de control integrada en el </w:t>
      </w:r>
      <w:r w:rsidRPr="00A8138F">
        <w:rPr>
          <w:i/>
        </w:rPr>
        <w:t>ius in officium</w:t>
      </w:r>
      <w:r>
        <w:t xml:space="preserve"> basada en la pertenencia o no de un determinado concejal al grupo municipal del alcalde contra el que se pretende instar una moción de censura.</w:t>
      </w:r>
    </w:p>
    <w:p w14:paraId="0FB2FA5E" w14:textId="77777777" w:rsidR="00A8138F" w:rsidRDefault="00A8138F" w:rsidP="00A8138F">
      <w:pPr>
        <w:pStyle w:val="TextoNormal"/>
      </w:pPr>
    </w:p>
    <w:p w14:paraId="5666C8E8" w14:textId="77777777" w:rsidR="00A8138F" w:rsidRDefault="00A8138F" w:rsidP="00A8138F">
      <w:pPr>
        <w:pStyle w:val="TextoNormal"/>
      </w:pPr>
      <w:r>
        <w:t xml:space="preserve">Por lo que hace al juicio de idoneidad, y proyectando al párrafo segundo del art. 197.1 a) LOREG, las consideraciones que el fundamento jurídico 7 de la STC 151/2017 formula respecto del párrafo tercero del mismo precepto, puede afirmarse que la restricción formulada sobre el “derecho de promoción de la moción de censura en el ámbito local, tal y como aparece definida en la norma cuestionada, permite la consecución del fin perseguido, toda vez que el incremento del </w:t>
      </w:r>
      <w:r w:rsidRPr="00A8138F">
        <w:rPr>
          <w:i/>
        </w:rPr>
        <w:t>quorum</w:t>
      </w:r>
      <w:r>
        <w:t xml:space="preserve"> de iniciativa tiene como efecto derivado el de dificultar la exigencia de responsabilidad política y remoción del alcalde por quienes le invistieron de la confianza para serlo, entorpeciéndose de ese modo la verificación de cambios que incidan en la estabilidad en la vida municipal y den lugar a la modificación de gobiernos municipales” con la participación en el impulso de la moción de censura, en el supuesto al que se refiere el párrafo segundo ahora cuestionado, de concejales que, en algún momento, hayan pertenecido al grupo político municipal del alcalde, presuponiéndose en estos supuestos una cierta identidad política entre el alcalde y los concejales de su grupo municipal, cuando menos, de cara al electorado que dio su voto al partido político, agrupación de electores o candidatura en sentido amplio sobre la base de la que posteriormente vendrá a configurarse el grupo municipal.</w:t>
      </w:r>
    </w:p>
    <w:p w14:paraId="7DD0BD8F" w14:textId="77777777" w:rsidR="00A8138F" w:rsidRDefault="00A8138F" w:rsidP="00A8138F">
      <w:pPr>
        <w:pStyle w:val="TextoNormal"/>
      </w:pPr>
    </w:p>
    <w:p w14:paraId="180FBAC9" w14:textId="77777777" w:rsidR="00A8138F" w:rsidRDefault="00A8138F" w:rsidP="00A8138F">
      <w:pPr>
        <w:pStyle w:val="TextoNormal"/>
      </w:pPr>
      <w:r>
        <w:t>En abstracto, por tanto, la medida limitativa de derechos podría ser considerada idónea y adecuada para el logro del objetivo que se pretende con su adopción, esto es, evitar que, de un comportamiento tránsfuga, se derive de forma inmediata o dilatada en el tiempo la posibilidad de desencadenar un proceso de modificación del gobierno municipal.</w:t>
      </w:r>
    </w:p>
    <w:p w14:paraId="1A713A3A" w14:textId="77777777" w:rsidR="00A8138F" w:rsidRDefault="00A8138F" w:rsidP="00A8138F">
      <w:pPr>
        <w:pStyle w:val="TextoNormal"/>
      </w:pPr>
    </w:p>
    <w:p w14:paraId="4CDBC435" w14:textId="77777777" w:rsidR="00A8138F" w:rsidRDefault="00A8138F" w:rsidP="00A8138F">
      <w:pPr>
        <w:pStyle w:val="TextoNormal"/>
      </w:pPr>
      <w:r>
        <w:t xml:space="preserve">El juicio de necesidad también responde, en el caso que ahora nos ocupa, a la lógica que se contiene en el fundamento jurídico 7 de la STC 151/2017, y que se reproduce literalmente: “la medida legal puede también estimarse necesaria al propósito que nace, puesto que se limita a establecer un reforzamiento del </w:t>
      </w:r>
      <w:r w:rsidRPr="00A8138F">
        <w:rPr>
          <w:i/>
        </w:rPr>
        <w:t>quorum</w:t>
      </w:r>
      <w:r>
        <w:t xml:space="preserve"> de promoción de la moción de censura sin alterar más allá de ello la dinámica del procedimiento de exigencia de responsabilidad y remoción del alcalde, como acredita señaladamente que no se altere el régimen de mayorías de la fase de votación”. En el momento de la votación, los concejales proponentes que pertenezcan o hubieran pertenecido al grupo municipal del alcalde, “no ven limitado su derecho, conservando la facultad de participar en la votación como cualquier otro concejal. En suma, se persigue dificultar su acción de promoción de la moción para evitar incidencias en la estabilidad en la vida municipal, sin añadir a ello, sin embargo, un escenario de restricción o distorsión abierta de su derecho en la fase de decisión”.</w:t>
      </w:r>
    </w:p>
    <w:p w14:paraId="5A4C210C" w14:textId="77777777" w:rsidR="00A8138F" w:rsidRDefault="00A8138F" w:rsidP="00A8138F">
      <w:pPr>
        <w:pStyle w:val="TextoNormal"/>
      </w:pPr>
    </w:p>
    <w:p w14:paraId="75FF93FD" w14:textId="3798D610" w:rsidR="00A8138F" w:rsidRDefault="00A8138F" w:rsidP="00A8138F">
      <w:pPr>
        <w:pStyle w:val="TextoNormal"/>
      </w:pPr>
      <w:r>
        <w:t xml:space="preserve">Efectivamente, las medidas legislativas adoptadas en 2011 endurecen el </w:t>
      </w:r>
      <w:r w:rsidRPr="00A8138F">
        <w:rPr>
          <w:i/>
        </w:rPr>
        <w:t>quorum</w:t>
      </w:r>
      <w:r>
        <w:t xml:space="preserve"> de procedibilidad, suavizando el de votación, de modo que el voto de los concejales que pertenecieron o pertenecen al grupo del alcalde es tomado en consideración para alcanzar la mayoría reforzada que requiere el voto favorable para aprobar la moción de censura. El legislador, por tanto, podría haber optado por cualificar la mayoría referida a la aprobación de la moción, o podría haber exigido la mayoría reforzada tanto en la interposición como en la votación. Un juicio sobre la alternatividad de las medidas nos conduciría a la conclusión de que se podrían haber escogido límites más severos a la facultad de control contenida en el </w:t>
      </w:r>
      <w:r w:rsidRPr="00A8138F">
        <w:rPr>
          <w:i/>
        </w:rPr>
        <w:t>ius in officium</w:t>
      </w:r>
      <w:r>
        <w:t xml:space="preserve"> (acumulación de mayorías cualificadas en las dos fases de tramitación de la moción) y también límites diferentes (cualificación de la mayoría solo en la votación), que, si bien podrían ser calificados como medios alternativos, no pueden ser calificados como menos gravosos que el adoptado, en relación con derecho contenido en el art. 23.2 CE.</w:t>
      </w:r>
    </w:p>
    <w:p w14:paraId="5A91BB22" w14:textId="77777777" w:rsidR="00A8138F" w:rsidRDefault="00A8138F" w:rsidP="00A8138F">
      <w:pPr>
        <w:pStyle w:val="TextoNormal"/>
      </w:pPr>
    </w:p>
    <w:p w14:paraId="2B4C9887" w14:textId="77777777" w:rsidR="00A8138F" w:rsidRDefault="00A8138F" w:rsidP="00A8138F">
      <w:pPr>
        <w:pStyle w:val="TextoNormal"/>
      </w:pPr>
      <w:r w:rsidRPr="00A8138F">
        <w:rPr>
          <w:rStyle w:val="NumeroAFNegritaCaracter"/>
        </w:rPr>
        <w:t>5</w:t>
      </w:r>
      <w:r>
        <w:t xml:space="preserve">. </w:t>
      </w:r>
      <w:r w:rsidRPr="00A8138F">
        <w:rPr>
          <w:i/>
        </w:rPr>
        <w:t>Juicio de proporcionalidad en sentido estricto. Estimación de la cuestión de inconstitucionalidad</w:t>
      </w:r>
    </w:p>
    <w:p w14:paraId="4EC0773A" w14:textId="77777777" w:rsidR="00A8138F" w:rsidRDefault="00A8138F" w:rsidP="00A8138F">
      <w:pPr>
        <w:pStyle w:val="TextoNormal"/>
      </w:pPr>
    </w:p>
    <w:p w14:paraId="4963F66B" w14:textId="77777777" w:rsidR="00A8138F" w:rsidRDefault="00A8138F" w:rsidP="00A8138F">
      <w:pPr>
        <w:pStyle w:val="TextoNormal"/>
      </w:pPr>
      <w:r>
        <w:t>El párrafo cuestionado, tal y como hemos venido exponiendo, crea una mayoría reforzada para el planteamiento de mociones de censura que sean apoyadas por concejales pertenecientes, en el momento de plantear la moción o antes de eso, al grupo municipal del alcalde. Este tipo de mayoría reforzada pretende poner freno, tal y como se ha descrito a conductas tránsfugas tendentes a alterar las mayorías de gobierno en las corporaciones locales, alteración asociada a una suerte de fraude al electorado que, cuando votó a los integrantes de una misma candidatura o formación política, pudo presuponer un comportamiento leal entre los integrantes de esa candidatura en aras a desarrollar el programa con el que se concurrió a las elecciones.</w:t>
      </w:r>
    </w:p>
    <w:p w14:paraId="34C2327D" w14:textId="77777777" w:rsidR="00A8138F" w:rsidRDefault="00A8138F" w:rsidP="00A8138F">
      <w:pPr>
        <w:pStyle w:val="TextoNormal"/>
      </w:pPr>
    </w:p>
    <w:p w14:paraId="41D5DB6A" w14:textId="77777777" w:rsidR="00A8138F" w:rsidRDefault="00A8138F" w:rsidP="00A8138F">
      <w:pPr>
        <w:pStyle w:val="TextoNormal"/>
      </w:pPr>
      <w:r>
        <w:t>Ahora bien, siendo constitucionalmente legítimo el fin perseguido, idónea la medida y también necesaria, sin embargo, ha de considerarse desproporcionada la restricción al afectar al núcleo básico de la función de control político propia del derecho de participación política del art. 23.2 CE en los términos siguientes.</w:t>
      </w:r>
    </w:p>
    <w:p w14:paraId="2ED7005A" w14:textId="77777777" w:rsidR="00A8138F" w:rsidRDefault="00A8138F" w:rsidP="00A8138F">
      <w:pPr>
        <w:pStyle w:val="TextoNormal"/>
      </w:pPr>
    </w:p>
    <w:p w14:paraId="1A2395AA" w14:textId="77777777" w:rsidR="00A8138F" w:rsidRDefault="00A8138F" w:rsidP="00A8138F">
      <w:pPr>
        <w:pStyle w:val="TextoNormal"/>
      </w:pPr>
      <w:r>
        <w:t>La mayoría reforzada que exige el precepto no es una mayoría determinada, sino que depende, en cada caso, del número de concejales “tránsfugas” que apoyen la interposición de la moción, incrementándose la mayoría de manera progresiva en función del mayor o menor apoyo que tuviera la propuesta entre los concejales que compartan o hayan compartido grupo municipal con el alcalde. Eso supone que el ejercicio de un derecho individual del concejal, y su eficacia real, dependerá del número y origen del resto de firmantes de la moción, razón por la que estará absolutamente condicionado a una serie de elementos que no dependen de la voluntad del representante municipal.</w:t>
      </w:r>
    </w:p>
    <w:p w14:paraId="1D4D4F06" w14:textId="77777777" w:rsidR="00A8138F" w:rsidRDefault="00A8138F" w:rsidP="00A8138F">
      <w:pPr>
        <w:pStyle w:val="TextoNormal"/>
      </w:pPr>
    </w:p>
    <w:p w14:paraId="50B740C9" w14:textId="77777777" w:rsidR="00A8138F" w:rsidRDefault="00A8138F" w:rsidP="00A8138F">
      <w:pPr>
        <w:pStyle w:val="TextoNormal"/>
      </w:pPr>
      <w:r>
        <w:t>El carácter relativo de la medida restrictiva puede suponer, en algunos municipios como el de Arredondo, la imposibilidad total de planteamiento de la moción, en determinadas circunstancias y, por tanto, la desaparición absoluta del escenario municipal de esta fórmula de control político. Así, devendría imposible el planteamiento de una moción de censura en municipios integrados por dos grupos municipales exclusivamente, separados por apenas un concejal de diferencia. En este escenario, incluso aunque el alcalde hubiera faltado a los compromisos electorales y perdido el apoyo de la totalidad de su propio grupo municipal, de la aplicación de la norma cuestionada resultaría la imposibilidad de la interposición de una moción de censura. No se trataría ya solo de una limitación de la facultad individual del control del concejal desleal con su alcalde, sino de la desaparición radical de un mecanismo de control político en el ámbito municipal que afecta no solo al concejal que forme o haya formado parte del grupo municipal del alcalde, sino a todos los que integran los grupos minoritarios en el ayuntamiento. En estos casos, la posibilidad de que estos últimos apoyen una moción de censura es meramente nominal y priva sus apoyos de efecto alguno.</w:t>
      </w:r>
    </w:p>
    <w:p w14:paraId="45C95570" w14:textId="77777777" w:rsidR="00A8138F" w:rsidRDefault="00A8138F" w:rsidP="00A8138F">
      <w:pPr>
        <w:pStyle w:val="TextoNormal"/>
      </w:pPr>
    </w:p>
    <w:p w14:paraId="7FEECCC8" w14:textId="77777777" w:rsidR="00A8138F" w:rsidRDefault="00A8138F" w:rsidP="00A8138F">
      <w:pPr>
        <w:pStyle w:val="TextoNormal"/>
      </w:pPr>
      <w:r>
        <w:t>La proyección de la mayoría cualificada que se cuestiona pretende asegurar las lealtades de orden político consustanciales a una democracia representativa, y de esa preservación se deriva también que no sea modificada la voluntad popular. Y, efectivamente, esos objetivos pueden ser alcanzados a través de la fórmula limitativa escogida por el legislador. Pero, al tiempo, puede quedar preterida la gobernabilidad municipal si la imposibilidad de moción deriva en un bloqueo político, y puede verse suprimido un determinado mecanismo de ejercicio del control político que resulta esencial para asegurar el adecuado sistema de pesos y contrapesos en el estado de derecho. Así, en supuestos en que el alcalde haya perdido la confianza de una gran parte de su grupo municipal, pero no sea posible interponer una moción de censura por la aplicación del párrafo segundo del art. 197.1 a) LOREG, podría verse bloqueada la gobernabilidad y paralizada la gestión local por el refuerzo de la oposición al que se habría unido parte del antiguo grupo de gobierno, y ello sin posibilidad de acudir a la moción de censura que es el mecanismo inicialmente previsto para solventar la inestabilidad del gobierno municipal. Ni la convocatoria de nuevas elecciones, ni la designación de una comisión gestora (art. 183.1 LOREG), ni la asunción de la gestión ordinaria de la corporación por la comunidad autónoma o la diputación provincial (art. 183.2 LOREG) son instrumentos propios de la gestión ordinaria, ni garantizan mejor que la moción de censura el respeto al criterio de los electores manifestado en las urnas.</w:t>
      </w:r>
    </w:p>
    <w:p w14:paraId="4F51FB0C" w14:textId="77777777" w:rsidR="00A8138F" w:rsidRDefault="00A8138F" w:rsidP="00A8138F">
      <w:pPr>
        <w:pStyle w:val="TextoNormal"/>
      </w:pPr>
    </w:p>
    <w:p w14:paraId="54325E8E" w14:textId="77777777" w:rsidR="00A8138F" w:rsidRDefault="00A8138F" w:rsidP="00A8138F">
      <w:pPr>
        <w:pStyle w:val="TextoNormal"/>
      </w:pPr>
      <w:r>
        <w:t>Como se afirmó en la STC 151/2017, “parte el legislador de que cualquier hipótesis de disolución del vínculo político es merecedora de una intervención que asegure la regeneración democrática, premisa esta que, ante la descrita falta de determinación normativa que lo fundamente, no puede aceptarse” (FJ 7). Y una afirmación similar es posible traer al caso que ahora nos ocupa. El legislador parte de la consideración de que cualquier oposición interna al alcalde, procedente de su propio grupo municipal, es merecedora de intervención y limitación, independientemente de las razones del disenso o del contexto político en que se produzcan, y esta premisa no coadyuva necesariamente a una mejor preservación o aseguramiento de la regeneración democrática, o a un mayor respeto de la voluntad ciudadana manifestada en las urnas. Imaginemos el supuesto en que sea el alcalde quien decida alinearse con los concejales que inicialmente integraban un grupo municipal de oposición, alejándose de su grupo municipal de origen, o que sea la mayoría del grupo municipal del alcalde, que constituya a su vez la mayoría absoluta de la corporación, la que pretende censurar a este. En estos supuestos, y dependiendo de la composición exacta de la corporación municipal, tampoco sería posible para los concejales que integran o integraron en su momento su grupo municipal plantear la iniciativa de la moción de censura de forma autónoma. E, incluso, dependiendo de la composición del consistorio, podría ser imposible el planteamiento de la moción.</w:t>
      </w:r>
    </w:p>
    <w:p w14:paraId="784EC4BE" w14:textId="77777777" w:rsidR="00A8138F" w:rsidRDefault="00A8138F" w:rsidP="00A8138F">
      <w:pPr>
        <w:pStyle w:val="TextoNormal"/>
      </w:pPr>
    </w:p>
    <w:p w14:paraId="0F987B73" w14:textId="77777777" w:rsidR="00A8138F" w:rsidRDefault="00A8138F" w:rsidP="00A8138F">
      <w:pPr>
        <w:pStyle w:val="TextoNormal"/>
      </w:pPr>
      <w:r>
        <w:t>Por tanto, de la aplicación de una medida que podríamos considerar, inicialmente, y en abstracto, idónea y necesaria, resulta un desequilibrio claro, porque de su aplicación se podrían derivar más perjuicios o ventajas para el interés general que beneficios sobre otros bienes o intereses en conflicto.</w:t>
      </w:r>
    </w:p>
    <w:p w14:paraId="7BA4C48B" w14:textId="77777777" w:rsidR="00A8138F" w:rsidRDefault="00A8138F" w:rsidP="00A8138F">
      <w:pPr>
        <w:pStyle w:val="TextoNormal"/>
      </w:pPr>
    </w:p>
    <w:p w14:paraId="2CF9A0AE" w14:textId="77777777" w:rsidR="00A8138F" w:rsidRDefault="00A8138F" w:rsidP="00A8138F">
      <w:pPr>
        <w:pStyle w:val="TextoNormal"/>
      </w:pPr>
      <w:r>
        <w:t>En el supuesto previsto en el párrafo segundo del art. 197.1 a) LOREG, el legislador vulnera el núcleo básico de las funciones representativas del concejal porque le impide no solo ejercer la iniciativa para plantear la moción de censura, que forma parte del núcleo duro de la función representativa, sino participar en cualquier modo en un voto de censura cuando de la proyección de la mayoría cualificada resultante de la aplicación de la medida cuestionada se derive, en el caso concreto, la imposibilidad de plantear dicha moción en el ámbito municipal concreto en que el concejal haya sido elegido. Y no solo se puede producir ese bloqueo respecto del concejal perteneciente al grupo municipal del alcalde, sino respecto de un conjunto indeterminado de concejales integrantes del o de los grupos de la oposición municipal. El automatismo en la aplicación de la consecuencia jurídica prevista en el párrafo segundo del art. 197.1 a) LOREG, su configuración excesivamente amplia, que no considera las circunstancias en que se esté produciendo la escisión del grupo municipal de gobierno, y el efecto reflejo que la indeterminación de la mayoría cualificada puede tener sobre la propia existencia, en el ámbito local, del instrumento de control político que es la moción de censura municipal, conducen a considerar que concurre un desequilibrio patente y excesivo o irrazonable entre la medida analizada y la finalidad constitucional de la norma.</w:t>
      </w:r>
    </w:p>
    <w:p w14:paraId="36214FB4" w14:textId="77777777" w:rsidR="00A8138F" w:rsidRDefault="00A8138F" w:rsidP="00A8138F">
      <w:pPr>
        <w:pStyle w:val="TextoNormal"/>
      </w:pPr>
    </w:p>
    <w:p w14:paraId="745AC24A" w14:textId="77777777" w:rsidR="00A8138F" w:rsidRDefault="00A8138F" w:rsidP="00A8138F">
      <w:pPr>
        <w:pStyle w:val="TextoNormal"/>
      </w:pPr>
      <w:r>
        <w:t xml:space="preserve">De todo ello se concluye, como hicimos en la STC 151/2017, FJ 7, «que “la anomalía que ha incidido negativamente en el sistema democrático y representativo y que se ha conocido como ‘transfuguismo’” no puede intervenirse por el legislador con restricciones al </w:t>
      </w:r>
      <w:r w:rsidRPr="00A8138F">
        <w:rPr>
          <w:i/>
        </w:rPr>
        <w:t>ius in officium</w:t>
      </w:r>
      <w:r>
        <w:t xml:space="preserve"> (STC 9/2012) que impacten en el ejercicio natural del cargo público al amparo de la libertad de mandato con base en razones asociadas, sin adjetivos, a la vinculación orgánica o política, sin fundamentos añadidos. Sencillamente porque no es cierto que la desvinculación orgánica o política del grupo de origen desestabilice por defecto o sin excepción la vida municipal o modifique la voluntad popular. […] La norma, en suma, sujeta al concejal al grupo político de origen bajo advertencia de restricción de las funciones representativas básicas, sin que ese efecto responda inevitablemente a una defraudación de la voluntad popular o a un hacer que busque la desestabilización de la dinámica municipal, como el preámbulo de la ley orgánica invoca».</w:t>
      </w:r>
    </w:p>
    <w:p w14:paraId="1E836417" w14:textId="77777777" w:rsidR="00A8138F" w:rsidRDefault="00A8138F" w:rsidP="00A8138F">
      <w:pPr>
        <w:pStyle w:val="TextoNormal"/>
      </w:pPr>
    </w:p>
    <w:p w14:paraId="520E7156" w14:textId="48E23970" w:rsidR="00A8138F" w:rsidRDefault="00A8138F" w:rsidP="00A8138F">
      <w:pPr>
        <w:pStyle w:val="TextoNormal"/>
      </w:pPr>
      <w:r>
        <w:t>En definitiva, debemos descartar que el legislador pueda diferenciar entre unos concejales y otros, según su pertenencia a un determinado grupo municipal o su condición de no adscrito, a la hora de ejercer el control de la acción municipal del alcalde a través de la propuesta y votación de una moción de censura. Desde el momento en que el legislador orgánico ha optado, de entre las dos posibilidades a que le habilita el penúltimo inciso del art. 140 CE, por atribuir a los concejales la facultad de elegir al alcalde, también a través de la moción de censura, el derecho de voto que corresponde a todos ellos en esa elección con independencia de su adscripción política no puede verse impedido, ni limitado más allá de lo razonable, por la vía indirecta de excluir de la iniciativa para plantear una moción de censura a determinados concejales por su pertenencia, pasada o actual, a un determinado grupo municipal, como hace la regulación legal objeto de esta cuestión de inconstitucionalidad. El artículo 23.2 CE, por tanto, resulta vulnerado porque la legalidad a la que remite es, en este caso, contraria a la Constitución y, en especial, a la naturaleza de la representación política. En consecuencia, debe declararse su inconstitucionalidad.</w:t>
      </w:r>
    </w:p>
    <w:p w14:paraId="1E7C950A" w14:textId="77777777" w:rsidR="00A8138F" w:rsidRDefault="00A8138F" w:rsidP="00A8138F">
      <w:pPr>
        <w:pStyle w:val="TextoNormal"/>
      </w:pPr>
    </w:p>
    <w:p w14:paraId="622B359F" w14:textId="77777777" w:rsidR="00A8138F" w:rsidRDefault="00A8138F" w:rsidP="00A8138F">
      <w:pPr>
        <w:pStyle w:val="TextoNormal"/>
      </w:pPr>
      <w:r w:rsidRPr="00A8138F">
        <w:rPr>
          <w:rStyle w:val="NumeroAFNegritaCaracter"/>
        </w:rPr>
        <w:t>6</w:t>
      </w:r>
      <w:r>
        <w:t xml:space="preserve">. </w:t>
      </w:r>
      <w:r w:rsidRPr="00A8138F">
        <w:rPr>
          <w:i/>
        </w:rPr>
        <w:t>Alcance y efectos del fallo</w:t>
      </w:r>
    </w:p>
    <w:p w14:paraId="6F157166" w14:textId="77777777" w:rsidR="00A8138F" w:rsidRDefault="00A8138F" w:rsidP="00A8138F">
      <w:pPr>
        <w:pStyle w:val="TextoNormal"/>
      </w:pPr>
    </w:p>
    <w:p w14:paraId="18509756" w14:textId="77777777" w:rsidR="00A8138F" w:rsidRDefault="00A8138F" w:rsidP="00A8138F">
      <w:pPr>
        <w:pStyle w:val="TextoNormal"/>
      </w:pPr>
      <w:r>
        <w:t>En un sentido idéntico al que determinó el alcance y efectos que correspondía atribuir a la declaración de inconstitucionalidad del párrafo tercero del art. 197.1 a) LOREG, en el presente supuesto, también debemos establecer que han de considerarse situaciones consolidadas no susceptibles de ser revisadas con fundamento en esta sentencia no solo aquellas que hayan sido definitivamente decididas por resoluciones judiciales con fuerza de cosa juzgada (art. 40.1 LOTC), sino también, por exigencia del principio de seguridad jurídica (art. 9.3 CE), todas las que no hubieran sido impugnadas en la fecha de publicación de esta sentencia (en ese sentido, SSTC 103/2013, de 25 de abril, FJ 6, o 179/1994, de 16 de junio, FJ 12).</w:t>
      </w:r>
    </w:p>
    <w:p w14:paraId="01CC76C0" w14:textId="77777777" w:rsidR="00A8138F" w:rsidRDefault="00A8138F" w:rsidP="00A8138F">
      <w:pPr>
        <w:pStyle w:val="TextoNormal"/>
      </w:pPr>
    </w:p>
    <w:p w14:paraId="437CEE47" w14:textId="77777777" w:rsidR="00A8138F" w:rsidRDefault="00A8138F" w:rsidP="00A8138F">
      <w:pPr>
        <w:pStyle w:val="TextoNormal"/>
      </w:pPr>
      <w:r>
        <w:t>Para eliminar el resultado inconstitucional al que conduce el párrafo segundo de la letra a) del artículo 197.1 LOREG procede declarar su inconstitucionalidad y su nulidad, y por conexión o consecuencia, aplicando la previsión contenida en el art. 39.1 LOTC, la inconstitucionalidad y nulidad del inciso “los tres párrafos” de la letra e) del artículo 197.1 LOREG, que ha quedado sin efecto a resultas de lo fallado en el presente pronunciamiento y en la STC 151/2017.</w:t>
      </w:r>
    </w:p>
    <w:p w14:paraId="3BD44AD5" w14:textId="77777777" w:rsidR="00A8138F" w:rsidRDefault="00A8138F" w:rsidP="00A8138F">
      <w:pPr>
        <w:pStyle w:val="TextoNormal"/>
      </w:pPr>
    </w:p>
    <w:p w14:paraId="1FEB245B" w14:textId="36F74B03" w:rsidR="00A8138F" w:rsidRDefault="00A8138F" w:rsidP="00A8138F">
      <w:pPr>
        <w:pStyle w:val="TextoNormal"/>
      </w:pPr>
      <w:r>
        <w:t xml:space="preserve">Por lo que hace a los efectos de esta declaración de inconstitucionalidad sobre el conflicto concreto que se plantea en el proceso contencioso administrativo en el seno del cual surge la presenta cuestión de inconstitucionalidad, el órgano judicial </w:t>
      </w:r>
      <w:r w:rsidRPr="00A8138F">
        <w:rPr>
          <w:i/>
        </w:rPr>
        <w:t>a quo</w:t>
      </w:r>
      <w:r>
        <w:t xml:space="preserve"> tendrá en cuenta que el Ayuntamiento de Arredondo, como el resto de los ayuntamientos en España, se disolvió y se ha renovado como consecuencia de la celebración de las elecciones municipales de mayo de 2023, de modo que la decisión del Tribunal Superior de Justicia de Cantabria sucesiva al presente fallo de inconstitucionalidad, tendrá efectos meramente declarativos, al proyectarse sobre una situación respecto de la que no cabe restitución ninguna por estar acabada.</w:t>
      </w:r>
    </w:p>
    <w:p w14:paraId="17D03B65" w14:textId="77777777" w:rsidR="00A8138F" w:rsidRDefault="00A8138F" w:rsidP="00A8138F">
      <w:pPr>
        <w:pStyle w:val="TextoNormal"/>
      </w:pPr>
    </w:p>
    <w:p w14:paraId="1638C288" w14:textId="77777777" w:rsidR="00A8138F" w:rsidRDefault="00A8138F" w:rsidP="00A8138F">
      <w:pPr>
        <w:pStyle w:val="TextoNormalCentrado"/>
        <w:keepNext/>
      </w:pPr>
      <w:r>
        <w:t>FALLO</w:t>
      </w:r>
    </w:p>
    <w:p w14:paraId="0A2C46D9" w14:textId="5FA69F43" w:rsidR="00A8138F" w:rsidRDefault="00A8138F" w:rsidP="00A8138F">
      <w:pPr>
        <w:pStyle w:val="TextoNormalCentrado"/>
        <w:keepNext/>
      </w:pPr>
    </w:p>
    <w:p w14:paraId="4CF31E01" w14:textId="77777777" w:rsidR="00A8138F" w:rsidRDefault="00A8138F" w:rsidP="00A8138F">
      <w:pPr>
        <w:pStyle w:val="TextoNormal"/>
      </w:pPr>
      <w:r>
        <w:t>En atención a todo lo expuesto, el Tribunal Constitucional, por la autoridad que le confiere la Constitución de la Nación española, ha decidido:</w:t>
      </w:r>
    </w:p>
    <w:p w14:paraId="28CD33EF" w14:textId="77777777" w:rsidR="00A8138F" w:rsidRDefault="00A8138F" w:rsidP="00A8138F">
      <w:pPr>
        <w:pStyle w:val="TextoNormal"/>
      </w:pPr>
    </w:p>
    <w:p w14:paraId="249464BA" w14:textId="77777777" w:rsidR="00A8138F" w:rsidRDefault="00A8138F" w:rsidP="00A8138F">
      <w:pPr>
        <w:pStyle w:val="TextoNormal"/>
      </w:pPr>
      <w:r>
        <w:t>1º Declarar, con el alcance establecido en el fundamento jurídico 6, la inconstitucionalidad y nulidad del párrafo segundo del artículo 197.1 a) de la Ley Orgánica 5/1985, de 19 de junio, de régimen electoral general, en la redacción dada por la Ley Orgánica 2/2011, de 28 de enero.</w:t>
      </w:r>
    </w:p>
    <w:p w14:paraId="64A91E5A" w14:textId="77777777" w:rsidR="00A8138F" w:rsidRDefault="00A8138F" w:rsidP="00A8138F">
      <w:pPr>
        <w:pStyle w:val="TextoNormal"/>
      </w:pPr>
    </w:p>
    <w:p w14:paraId="4FEB5F03" w14:textId="257E81C0" w:rsidR="00A8138F" w:rsidRDefault="00A8138F" w:rsidP="00A8138F">
      <w:pPr>
        <w:pStyle w:val="TextoNormal"/>
      </w:pPr>
      <w:r>
        <w:t>2 º Declarar la inconstitucionalidad por conexión o consecuencia del inciso “los tres párrafos de” de la letra e) del art. 197.1 de la Ley Orgánica 5/1985, de 19 de junio, de régimen electoral general, en la redacción dada por la Ley Orgánica 2/2011, de 28 de enero.</w:t>
      </w:r>
    </w:p>
    <w:p w14:paraId="37A0EA3E" w14:textId="77777777" w:rsidR="00A8138F" w:rsidRDefault="00A8138F" w:rsidP="00A8138F">
      <w:pPr>
        <w:pStyle w:val="TextoNormal"/>
      </w:pPr>
    </w:p>
    <w:p w14:paraId="2BF523B2" w14:textId="77777777" w:rsidR="00A8138F" w:rsidRDefault="00A8138F" w:rsidP="00A8138F">
      <w:pPr>
        <w:pStyle w:val="TextoNormal"/>
      </w:pPr>
      <w:r>
        <w:t>Publíquese esta sentencia en el “Boletín Oficial del Estado”.</w:t>
      </w:r>
    </w:p>
    <w:p w14:paraId="6CF2461C" w14:textId="77777777" w:rsidR="00A8138F" w:rsidRDefault="00A8138F" w:rsidP="00A8138F">
      <w:pPr>
        <w:pStyle w:val="TextoNormal"/>
      </w:pPr>
      <w:r>
        <w:t>Dada en Madrid, a diez de junio de dos mil veinticinco.</w:t>
      </w:r>
    </w:p>
    <w:p w14:paraId="1BC501A1" w14:textId="6FDC462B" w:rsidR="00A8138F" w:rsidRDefault="00A8138F">
      <w:pPr>
        <w:spacing w:after="160" w:line="278" w:lineRule="auto"/>
        <w:rPr>
          <w:rFonts w:ascii="Times New Roman" w:eastAsia="Times New Roman" w:hAnsi="Times New Roman" w:cs="Times New Roman"/>
          <w:sz w:val="24"/>
          <w:szCs w:val="24"/>
          <w:lang w:eastAsia="es-ES"/>
        </w:rPr>
      </w:pPr>
      <w:r>
        <w:br w:type="page"/>
      </w:r>
    </w:p>
    <w:p w14:paraId="20AFB1C1" w14:textId="77777777" w:rsidR="00A8138F" w:rsidRDefault="00A8138F" w:rsidP="00A8138F">
      <w:pPr>
        <w:pStyle w:val="TtuloResolucin"/>
      </w:pPr>
      <w:bookmarkStart w:id="137" w:name="SENTENCIA_2025_135"/>
      <w:r>
        <w:t>SENTENCIA 135/2025, de 11 de junio de 2025</w:t>
      </w:r>
    </w:p>
    <w:bookmarkEnd w:id="137"/>
    <w:p w14:paraId="5143FE62" w14:textId="77777777" w:rsidR="00A8138F" w:rsidRDefault="00A8138F" w:rsidP="00A8138F">
      <w:pPr>
        <w:pStyle w:val="TtuloResolucin"/>
      </w:pPr>
      <w:r>
        <w:t>Pleno</w:t>
      </w:r>
    </w:p>
    <w:p w14:paraId="64D6D008" w14:textId="77777777" w:rsidR="00A8138F" w:rsidRDefault="00A8138F" w:rsidP="00A8138F">
      <w:pPr>
        <w:pStyle w:val="TtuloBOE"/>
      </w:pPr>
      <w:r>
        <w:t>(BOE núm. 168, de 14 de julio de 2025)</w:t>
      </w:r>
    </w:p>
    <w:p w14:paraId="539D16E8" w14:textId="77777777" w:rsidR="00A8138F" w:rsidRDefault="00A8138F" w:rsidP="00A8138F">
      <w:pPr>
        <w:pStyle w:val="TextoNormalCentrado"/>
      </w:pPr>
      <w:r>
        <w:t>ECLI:ES:TC:2025:135</w:t>
      </w:r>
    </w:p>
    <w:p w14:paraId="7C1F3C35" w14:textId="5555B211" w:rsidR="00A8138F" w:rsidRDefault="00A8138F" w:rsidP="00A8138F">
      <w:pPr>
        <w:pStyle w:val="TextoNormalCentrado"/>
      </w:pPr>
    </w:p>
    <w:p w14:paraId="4D65DEA9" w14:textId="77777777" w:rsidR="00A8138F" w:rsidRDefault="00A8138F" w:rsidP="00A8138F">
      <w:pPr>
        <w:pStyle w:val="SntesisDescriptiva"/>
      </w:pPr>
      <w:r>
        <w:t>Conflicto entre órganos constitucionales 1219-2024. Promovido por el Gobierno de la Nación en relación con los acuerdos de la mesa del Senado de toma en consideración la proposición de ley presentada por el Grupo Parlamentario Popular por la que se deroga la Ley 29/1987, de 18 de diciembre, del impuesto sobre sucesiones y donaciones.</w:t>
      </w:r>
    </w:p>
    <w:p w14:paraId="594D63E9" w14:textId="30B5E6D9" w:rsidR="00A8138F" w:rsidRDefault="00A8138F" w:rsidP="00A8138F">
      <w:pPr>
        <w:pStyle w:val="SntesisDescriptiva"/>
      </w:pPr>
    </w:p>
    <w:p w14:paraId="28468829" w14:textId="77777777" w:rsidR="00A8138F" w:rsidRDefault="00A8138F" w:rsidP="00A8138F">
      <w:pPr>
        <w:pStyle w:val="SntesisAnaltica"/>
      </w:pPr>
      <w:r>
        <w:t>Veto presupuestario: levantamiento de un veto no referido al presupuesto en vigor sino al eventual impacto en los objetivos plurianuales de estabilidad presupuestaria (STC 34/2018).</w:t>
      </w:r>
    </w:p>
    <w:p w14:paraId="06C6691F" w14:textId="04BB80BD" w:rsidR="00A8138F" w:rsidRDefault="00A8138F" w:rsidP="00A8138F">
      <w:pPr>
        <w:pStyle w:val="SntesisAnaltica"/>
      </w:pPr>
    </w:p>
    <w:p w14:paraId="32B69D50" w14:textId="65583FB9" w:rsidR="00A8138F" w:rsidRDefault="00A8138F" w:rsidP="00A8138F">
      <w:pPr>
        <w:pStyle w:val="Extracto"/>
      </w:pPr>
      <w:r>
        <w:t>1.</w:t>
      </w:r>
      <w:r>
        <w:tab/>
        <w:t>El veto presupuestario no se puede ejercer en relación con presupuestos futuros, incluidos los denominados ‘escenarios plurianuales presupuestarios’, que no han sido elaborados por el Gobierno ni sometidos por tanto al proceso de aprobación regulado en el art. 134.1 CE. El ejercicio de la facultad gubernamental de veto presupuestario debe respetar la regla de la anualidad del presupuesto y, en consecuencia, el límite temporal que a su ejercicio impone el art. 134.6 CE  (STC 167/2023) [FFJJ 3 y 4].</w:t>
      </w:r>
    </w:p>
    <w:p w14:paraId="3B2ABC59" w14:textId="77777777" w:rsidR="00A8138F" w:rsidRDefault="00A8138F" w:rsidP="00A8138F">
      <w:pPr>
        <w:pStyle w:val="Extracto"/>
      </w:pPr>
    </w:p>
    <w:p w14:paraId="1A2AAB84" w14:textId="69BFF60F" w:rsidR="00A8138F" w:rsidRDefault="00A8138F" w:rsidP="00A8138F">
      <w:pPr>
        <w:pStyle w:val="Extracto"/>
      </w:pPr>
      <w:r>
        <w:t>2.</w:t>
      </w:r>
      <w:r>
        <w:tab/>
        <w:t>La prerrogativa del Gobierno a que se refiere el art. 134.6 CE se ciñe a aquellas medidas cuya incidencia sobre el presupuesto del Estado sea real y efectiva. Lo contrario supondría una interpretación extensiva de los límites contenidos en el art. 134 CE [FJ 4].</w:t>
      </w:r>
    </w:p>
    <w:p w14:paraId="7D995EC0" w14:textId="77777777" w:rsidR="00A8138F" w:rsidRDefault="00A8138F" w:rsidP="00A8138F">
      <w:pPr>
        <w:pStyle w:val="Extracto"/>
      </w:pPr>
    </w:p>
    <w:p w14:paraId="25810BFE" w14:textId="77A0107F" w:rsidR="00A8138F" w:rsidRDefault="00A8138F" w:rsidP="00A8138F">
      <w:pPr>
        <w:pStyle w:val="Extracto"/>
      </w:pPr>
      <w:r>
        <w:t>3.</w:t>
      </w:r>
      <w:r>
        <w:tab/>
        <w:t>Ha de justificarse una conexión con los ingresos y gastos presupuestarios directa e inmediata, actual, y no meramente hipotética. El posible “efecto anuncio” de una eventual supresión del impuesto sobre sucesiones y donaciones es una mera hipótesis, con una posible reacción de los particulares ante la medida propuesta; conjetura sobre la que no puede apoyarse el ejercicio de la prerrogativa gubernamental  (STC 34/2018) [FJ 4].</w:t>
      </w:r>
    </w:p>
    <w:p w14:paraId="3FC54F37" w14:textId="77777777" w:rsidR="00A8138F" w:rsidRDefault="00A8138F" w:rsidP="00A8138F">
      <w:pPr>
        <w:pStyle w:val="Extracto"/>
      </w:pPr>
    </w:p>
    <w:p w14:paraId="3FF3DDAE" w14:textId="77777777" w:rsidR="00A8138F" w:rsidRDefault="00A8138F" w:rsidP="00A8138F">
      <w:pPr>
        <w:pStyle w:val="Extracto"/>
      </w:pPr>
    </w:p>
    <w:p w14:paraId="6CCCA197"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615055EC" w14:textId="46D8233C" w:rsidR="00A8138F" w:rsidRDefault="00A8138F" w:rsidP="00A8138F">
      <w:pPr>
        <w:pStyle w:val="TextoNormal"/>
      </w:pPr>
    </w:p>
    <w:p w14:paraId="10986DE3" w14:textId="77777777" w:rsidR="00A8138F" w:rsidRDefault="00A8138F" w:rsidP="00A8138F">
      <w:pPr>
        <w:pStyle w:val="TextoNormalCentrado"/>
        <w:keepNext/>
      </w:pPr>
      <w:r>
        <w:t>EN NOMBRE DEL REY</w:t>
      </w:r>
    </w:p>
    <w:p w14:paraId="29D3A47C" w14:textId="3759F1A7" w:rsidR="00A8138F" w:rsidRDefault="00A8138F" w:rsidP="00A8138F">
      <w:pPr>
        <w:pStyle w:val="TextoNormalCentrado"/>
        <w:keepNext/>
      </w:pPr>
    </w:p>
    <w:p w14:paraId="4BB99366" w14:textId="77777777" w:rsidR="00A8138F" w:rsidRDefault="00A8138F" w:rsidP="00A8138F">
      <w:pPr>
        <w:pStyle w:val="TextoNormalCentrado"/>
        <w:keepNext/>
      </w:pPr>
    </w:p>
    <w:p w14:paraId="444FD02C" w14:textId="77777777" w:rsidR="00A8138F" w:rsidRDefault="00A8138F" w:rsidP="00A8138F">
      <w:pPr>
        <w:pStyle w:val="TextoNormal"/>
      </w:pPr>
      <w:r>
        <w:t>la siguiente</w:t>
      </w:r>
    </w:p>
    <w:p w14:paraId="07A11AB8" w14:textId="4A8AA7AF" w:rsidR="00A8138F" w:rsidRDefault="00A8138F" w:rsidP="00A8138F">
      <w:pPr>
        <w:pStyle w:val="TextoNormal"/>
      </w:pPr>
    </w:p>
    <w:p w14:paraId="799AA533" w14:textId="77777777" w:rsidR="00A8138F" w:rsidRDefault="00A8138F" w:rsidP="00A8138F">
      <w:pPr>
        <w:pStyle w:val="TextoNormalCentrado"/>
        <w:keepNext/>
      </w:pPr>
      <w:r>
        <w:t>SENTENCIA</w:t>
      </w:r>
    </w:p>
    <w:p w14:paraId="1032CBB1" w14:textId="07BD05F8" w:rsidR="00A8138F" w:rsidRDefault="00A8138F" w:rsidP="00A8138F">
      <w:pPr>
        <w:pStyle w:val="TextoNormalCentrado"/>
        <w:keepNext/>
      </w:pPr>
    </w:p>
    <w:p w14:paraId="601B298A" w14:textId="77777777" w:rsidR="00A8138F" w:rsidRDefault="00A8138F" w:rsidP="00A8138F">
      <w:pPr>
        <w:pStyle w:val="TextoNormal"/>
      </w:pPr>
      <w:r>
        <w:t>En el conflicto entre órganos constitucionales del Estado núm. 1219-2024, promovido por el Gobierno de la Nación contra el Senado, en relación con el acuerdo de la mesa de dicha Cámara de 21 de noviembre de 2023, ratificado el 18 de enero de 2024, mediante el que se toma en consideración la proposición de ley presentada por el Grupo Parlamentario Popular por la que se deroga la Ley 29/1987, de 18 de diciembre, del impuesto sobre sucesiones y donaciones (núm. 622/000014). Ha sido ponente la magistrada doña María Luisa Balaguer Callejón.</w:t>
      </w:r>
    </w:p>
    <w:p w14:paraId="20D6D2A9" w14:textId="5C3E60F9" w:rsidR="00A8138F" w:rsidRDefault="00A8138F" w:rsidP="00A8138F">
      <w:pPr>
        <w:pStyle w:val="TextoNormal"/>
      </w:pPr>
    </w:p>
    <w:p w14:paraId="6D1DCA13" w14:textId="77777777" w:rsidR="00A8138F" w:rsidRDefault="00A8138F" w:rsidP="00A8138F">
      <w:pPr>
        <w:pStyle w:val="TextoNormalNegritaCentrado"/>
        <w:keepNext/>
      </w:pPr>
      <w:r>
        <w:t>I. Antecedentes</w:t>
      </w:r>
    </w:p>
    <w:p w14:paraId="530B1B9D" w14:textId="6C2F4959" w:rsidR="00A8138F" w:rsidRDefault="00A8138F" w:rsidP="00A8138F">
      <w:pPr>
        <w:pStyle w:val="TextoNormalNegritaCentrado"/>
        <w:keepNext/>
      </w:pPr>
    </w:p>
    <w:p w14:paraId="3323ADDE" w14:textId="61D441D1" w:rsidR="00A8138F" w:rsidRDefault="00A8138F" w:rsidP="00A8138F">
      <w:pPr>
        <w:pStyle w:val="TextoNormal"/>
      </w:pPr>
      <w:r w:rsidRPr="00A8138F">
        <w:rPr>
          <w:rStyle w:val="NumeroAFNegritaCaracter"/>
        </w:rPr>
        <w:t>1</w:t>
      </w:r>
      <w:r>
        <w:t>. El día 22 de febrero de 2024 tuvo entrada en el registro general de este tribunal un escrito del abogado del Estado por el que, en representación del Gobierno de la Nación, planteaba un conflicto constitucional de atribuciones [art. 73.2 de la Ley Orgánica del Tribunal Constitucional (LOTC)] contra el acuerdo de la mesa del Senado señalado en el encabezamiento.</w:t>
      </w:r>
    </w:p>
    <w:p w14:paraId="0D584091" w14:textId="77777777" w:rsidR="00A8138F" w:rsidRDefault="00A8138F" w:rsidP="00A8138F">
      <w:pPr>
        <w:pStyle w:val="TextoNormal"/>
      </w:pPr>
    </w:p>
    <w:p w14:paraId="6B3FE4F1" w14:textId="77777777" w:rsidR="00A8138F" w:rsidRDefault="00A8138F" w:rsidP="00A8138F">
      <w:pPr>
        <w:pStyle w:val="TextoNormal"/>
      </w:pPr>
      <w:r w:rsidRPr="00A8138F">
        <w:rPr>
          <w:rStyle w:val="NumeroAFNegritaCaracter"/>
        </w:rPr>
        <w:t>2</w:t>
      </w:r>
      <w:r>
        <w:t>. El conflicto planteado trae causa de los siguientes antecedentes:</w:t>
      </w:r>
    </w:p>
    <w:p w14:paraId="402F8911" w14:textId="77777777" w:rsidR="00A8138F" w:rsidRDefault="00A8138F" w:rsidP="00A8138F">
      <w:pPr>
        <w:pStyle w:val="TextoNormal"/>
      </w:pPr>
    </w:p>
    <w:p w14:paraId="3CAF486E" w14:textId="77777777" w:rsidR="00A8138F" w:rsidRDefault="00A8138F" w:rsidP="00A8138F">
      <w:pPr>
        <w:pStyle w:val="TextoNormal"/>
      </w:pPr>
      <w:r>
        <w:t>a) El 26 de octubre de 2023 el Grupo Parlamentario Popular en el Senado presentó una proposición de ley (núm. 622/000014) para derogar la Ley 29/1987, de 18 de diciembre, del impuesto sobre sucesiones y donaciones. La proposición consta de un preámbulo, tres artículos, una disposición adicional, una derogatoria, dos transitorias y cinco finales. El preámbulo expone las razones por las que se considera necesario eliminar el impuesto sobre sucesiones y donaciones en España. De acuerdo con esto, el art. 1 prevé la derogación de su ley reguladora “quedando definitivamente suprimido este impuesto del ordenamiento tributario español”. Por su parte, los arts. 2 y 3 adaptan a dicha supresión determinados preceptos de la Ley Orgánica 8/1980, de 22 de septiembre, de financiación de las comunidades autónomas, y de la Ley 22/2009, de 18 de diciembre, por la que se regula el sistema de financiación de las comunidades autónomas (en lo sucesivo Ley 22/2009).</w:t>
      </w:r>
    </w:p>
    <w:p w14:paraId="12701338" w14:textId="77777777" w:rsidR="00A8138F" w:rsidRDefault="00A8138F" w:rsidP="00A8138F">
      <w:pPr>
        <w:pStyle w:val="TextoNormal"/>
      </w:pPr>
    </w:p>
    <w:p w14:paraId="7D6A2710" w14:textId="77777777" w:rsidR="00A8138F" w:rsidRDefault="00A8138F" w:rsidP="00A8138F">
      <w:pPr>
        <w:pStyle w:val="TextoNormal"/>
      </w:pPr>
      <w:r>
        <w:t>La disposición transitoria segunda prevé que las comunidades autónomas recibirán en concepto de compensación estatal por la supresión del gravamen del impuesto sobre sucesiones y donaciones, el importe recaudado por cada comunidad autónoma en el último ejercicio. Para hacer esto posible, se realizarán los ajustes y correcciones necesarios en los recursos del sistema de financiación. Los efectos de esta compensación se producirán una vez haya entrado en vigor la ley, lo que tendrá lugar el 1 de enero de 2024 (disposición final quinta).</w:t>
      </w:r>
    </w:p>
    <w:p w14:paraId="2A65A756" w14:textId="77777777" w:rsidR="00A8138F" w:rsidRDefault="00A8138F" w:rsidP="00A8138F">
      <w:pPr>
        <w:pStyle w:val="TextoNormal"/>
      </w:pPr>
    </w:p>
    <w:p w14:paraId="77898E98" w14:textId="77777777" w:rsidR="00A8138F" w:rsidRDefault="00A8138F" w:rsidP="00A8138F">
      <w:pPr>
        <w:pStyle w:val="TextoNormal"/>
      </w:pPr>
      <w:r>
        <w:t>En cumplimiento de lo dispuesto en el art. 108.2 del Reglamento del Senado (RS), la proposición se publicó en el “Boletín Oficial de las Cortes Generales” (“BOCG”) Senado, núm. 26, del 3 de noviembre de 2023, advirtiéndose que el Gobierno podía manifestar su disconformidad con su tramitación, al amparo de los arts. 134.6 CE y 151 RS.</w:t>
      </w:r>
    </w:p>
    <w:p w14:paraId="2215230E" w14:textId="77777777" w:rsidR="00A8138F" w:rsidRDefault="00A8138F" w:rsidP="00A8138F">
      <w:pPr>
        <w:pStyle w:val="TextoNormal"/>
      </w:pPr>
    </w:p>
    <w:p w14:paraId="719DEC3B" w14:textId="77777777" w:rsidR="00A8138F" w:rsidRDefault="00A8138F" w:rsidP="00A8138F">
      <w:pPr>
        <w:pStyle w:val="TextoNormal"/>
      </w:pPr>
      <w:r>
        <w:t>b) El 16 de noviembre de 2023 el secretario de Estado de Relaciones con las Cortes y Asuntos Constitucionales remitió al presidente del Senado un escrito en el que manifestaba la disconformidad del Gobierno con la tramitación de la proposición de ley, invocando los arts. 134.6 CE (“[t]oda proposición o enmienda que suponga aumento de los créditos o disminución de los ingresos presupuestarios requerirá la conformidad del Gobierno para su tramitación”) y 151 RS, que regula el procedimiento que debe seguirse para el ejercicio de dicha prerrogativa en el Senado.</w:t>
      </w:r>
    </w:p>
    <w:p w14:paraId="0E613B2D" w14:textId="77777777" w:rsidR="00A8138F" w:rsidRDefault="00A8138F" w:rsidP="00A8138F">
      <w:pPr>
        <w:pStyle w:val="TextoNormal"/>
      </w:pPr>
    </w:p>
    <w:p w14:paraId="1804519F" w14:textId="77777777" w:rsidR="00A8138F" w:rsidRDefault="00A8138F" w:rsidP="00A8138F">
      <w:pPr>
        <w:pStyle w:val="TextoNormal"/>
      </w:pPr>
      <w:r>
        <w:t>c) Mediante un acuerdo de 21 de noviembre de 2023, la mesa del Senado rechazó la disconformidad del Gobierno, con el argumento de que “al referirse la proposición de ley a un ejercicio presupuestario futuro no cabe, conforme a la jurisprudencia establecida en la STC 94/2018, de 17 de septiembre, que el Gobierno oponga su disconformidad a la tramitación en virtud de los arts. 134.6 CE y 151 RS”.</w:t>
      </w:r>
    </w:p>
    <w:p w14:paraId="61418F8A" w14:textId="77777777" w:rsidR="00A8138F" w:rsidRDefault="00A8138F" w:rsidP="00A8138F">
      <w:pPr>
        <w:pStyle w:val="TextoNormal"/>
      </w:pPr>
    </w:p>
    <w:p w14:paraId="14E4C30E" w14:textId="77777777" w:rsidR="00A8138F" w:rsidRDefault="00A8138F" w:rsidP="00A8138F">
      <w:pPr>
        <w:pStyle w:val="TextoNormal"/>
      </w:pPr>
      <w:r>
        <w:t>d) A la vista del criterio del Senado, el Consejo de Ministros adoptó un acuerdo el 19 de diciembre de 2023, por el que requería a dicha cámara, según prevé el art. 73.1 LOTC, la revocación del acuerdo de 21 de noviembre de 2023, suspendiendo la tramitación de la proposición de ley.</w:t>
      </w:r>
    </w:p>
    <w:p w14:paraId="6A72BC14" w14:textId="77777777" w:rsidR="00A8138F" w:rsidRDefault="00A8138F" w:rsidP="00A8138F">
      <w:pPr>
        <w:pStyle w:val="TextoNormal"/>
      </w:pPr>
    </w:p>
    <w:p w14:paraId="1519AAD9" w14:textId="77777777" w:rsidR="00A8138F" w:rsidRDefault="00A8138F" w:rsidP="00A8138F">
      <w:pPr>
        <w:pStyle w:val="TextoNormal"/>
      </w:pPr>
      <w:r>
        <w:t>e) Por medio de un acuerdo de 18 de enero de 2024, la mesa del Senado rechazó el anterior requerimiento del Gobierno, al estimar que “ha actuado en el ejercicio constitucional y reglamentario de sus competencias” y ratificó su decisión de no admitir a trámite la disconformidad del Gobierno con la tramitación de la iniciativa.</w:t>
      </w:r>
    </w:p>
    <w:p w14:paraId="09CC4265" w14:textId="77777777" w:rsidR="00A8138F" w:rsidRDefault="00A8138F" w:rsidP="00A8138F">
      <w:pPr>
        <w:pStyle w:val="TextoNormal"/>
      </w:pPr>
    </w:p>
    <w:p w14:paraId="73422D8C" w14:textId="6DED4977" w:rsidR="00A8138F" w:rsidRDefault="00A8138F" w:rsidP="00A8138F">
      <w:pPr>
        <w:pStyle w:val="TextoNormal"/>
      </w:pPr>
      <w:r>
        <w:t>f) Finalmente, por acuerdo del Consejo de Ministros de 20 de febrero de 2024, el Gobierno decidió que, por conducto del ministro de la Presidencia, Justicia y Relaciones con las Cortes, se instruyera a la Abogacía del Estado, para que, al amparo del art. 73.2 LOTC, plantease un conflicto entre órganos constitucionales contra el acuerdo de la mesa del Senado de 21 de noviembre de 2023 y su ratificación el 18 de enero de 2024, a fin de que se declare que se ha vulnerado la atribución que el art. 134.6 CE confiere al Gobierno de la Nación.</w:t>
      </w:r>
    </w:p>
    <w:p w14:paraId="7A1FF450" w14:textId="77777777" w:rsidR="00A8138F" w:rsidRDefault="00A8138F" w:rsidP="00A8138F">
      <w:pPr>
        <w:pStyle w:val="TextoNormal"/>
      </w:pPr>
    </w:p>
    <w:p w14:paraId="45C666B0" w14:textId="77777777" w:rsidR="00A8138F" w:rsidRDefault="00A8138F" w:rsidP="00A8138F">
      <w:pPr>
        <w:pStyle w:val="TextoNormal"/>
      </w:pPr>
      <w:r w:rsidRPr="00A8138F">
        <w:rPr>
          <w:rStyle w:val="NumeroAFNegritaCaracter"/>
        </w:rPr>
        <w:t>3</w:t>
      </w:r>
      <w:r>
        <w:t>. La demanda se dirige contra la decisión del Senado de rechazar el ejercicio por el Gobierno de la atribución reconocida por el art. 134.6 CE (denominada “veto presupuestario”), solicitando que el Tribunal declare que ha sido vulnerada.</w:t>
      </w:r>
    </w:p>
    <w:p w14:paraId="2536E303" w14:textId="77777777" w:rsidR="00A8138F" w:rsidRDefault="00A8138F" w:rsidP="00A8138F">
      <w:pPr>
        <w:pStyle w:val="TextoNormal"/>
      </w:pPr>
    </w:p>
    <w:p w14:paraId="46B209BD" w14:textId="77777777" w:rsidR="00A8138F" w:rsidRDefault="00A8138F" w:rsidP="00A8138F">
      <w:pPr>
        <w:pStyle w:val="TextoNormal"/>
      </w:pPr>
      <w:r>
        <w:t>a) Tras exponer los antecedentes del caso, el abogado del Estado indica que es el tercer conflicto de atribuciones que se plantea por desconocer las cámaras la prerrogativa de veto presupuestario del Gobierno. Si los precedentes existentes hasta el momento se refieren al Congreso (resueltos por las SSTC 34/2018, de 12 de abril, y 44/2018, de 26 de abril), ahora el conflicto se plantea con el Senado.</w:t>
      </w:r>
    </w:p>
    <w:p w14:paraId="3E92529B" w14:textId="77777777" w:rsidR="00A8138F" w:rsidRDefault="00A8138F" w:rsidP="00A8138F">
      <w:pPr>
        <w:pStyle w:val="TextoNormal"/>
      </w:pPr>
    </w:p>
    <w:p w14:paraId="66E422B3" w14:textId="77777777" w:rsidR="00A8138F" w:rsidRDefault="00A8138F" w:rsidP="00A8138F">
      <w:pPr>
        <w:pStyle w:val="TextoNormal"/>
      </w:pPr>
      <w:r>
        <w:t>Con cita de la STC 44/2018, la demanda sostiene que se ha producido un menoscabo de la competencia del Gobierno reconocida en los arts. 134.6 CE y 151 RS, lo que constituye un objeto idóneo del conflicto entre órganos constitucionales del Estado.</w:t>
      </w:r>
    </w:p>
    <w:p w14:paraId="717A9741" w14:textId="77777777" w:rsidR="00A8138F" w:rsidRDefault="00A8138F" w:rsidP="00A8138F">
      <w:pPr>
        <w:pStyle w:val="TextoNormal"/>
      </w:pPr>
    </w:p>
    <w:p w14:paraId="7FBA91DB" w14:textId="77777777" w:rsidR="00A8138F" w:rsidRDefault="00A8138F" w:rsidP="00A8138F">
      <w:pPr>
        <w:pStyle w:val="TextoNormal"/>
      </w:pPr>
      <w:r>
        <w:t>El representante del Gobierno asevera que, si concurren las condiciones previstas en los arts. 134.6 CE y 151 RS, como considera que es el caso, la mesa debe denegar la tramitación parlamentaria de la proposición de ley. Admite que, además de comprobar el cumplimiento de los requisitos formales, la mesa puede examinar el contenido de la motivación aportada por el Gobierno. Ahora bien, dicho control debe limitarse a verificar el carácter no arbitrario o manifiestamente irrazonable de la motivación, porque, de otra manera, estaría sustituyendo al Gobierno en el ejercicio de la prerrogativa constitucional que este tiene atribuida.</w:t>
      </w:r>
    </w:p>
    <w:p w14:paraId="7E242796" w14:textId="77777777" w:rsidR="00A8138F" w:rsidRDefault="00A8138F" w:rsidP="00A8138F">
      <w:pPr>
        <w:pStyle w:val="TextoNormal"/>
      </w:pPr>
    </w:p>
    <w:p w14:paraId="45160AD6" w14:textId="77777777" w:rsidR="00A8138F" w:rsidRDefault="00A8138F" w:rsidP="00A8138F">
      <w:pPr>
        <w:pStyle w:val="TextoNormal"/>
      </w:pPr>
      <w:r>
        <w:t>Pues bien, el abogado del Estado sostiene que en este supuesto se cumplen los requisitos para que el Gobierno pueda ejercer su derecho al veto porque la iniciativa afecta a una partida presupuestaria en vigor. Adicionalmente, solicita respetuosamente del tribunal una revisión de su jurisprudencia respecto de la afectación al presupuesto en vigor para ejercer el veto, habida cuenta de los cambios que ha experimentado la configuración de los presupuestos generales del Estado en los últimos años. Y ello, como consecuencia de las obligaciones derivadas del principio de estabilidad presupuestaria, pues la normativa europea y las leyes de estabilidad que desarrollan el art. 135 CE han introducido en nuestro país la preceptiva “presupuestación en dos fases”, que modifica el principio de anualidad y afecta directamente al límite temporal de veto presupuestario del Gobierno, cuando, como es el caso, se altera la previsión de ingresos de la Hacienda Pública.</w:t>
      </w:r>
    </w:p>
    <w:p w14:paraId="1C3A9F01" w14:textId="77777777" w:rsidR="00A8138F" w:rsidRDefault="00A8138F" w:rsidP="00A8138F">
      <w:pPr>
        <w:pStyle w:val="TextoNormal"/>
      </w:pPr>
    </w:p>
    <w:p w14:paraId="3A61BC94" w14:textId="77777777" w:rsidR="00A8138F" w:rsidRDefault="00A8138F" w:rsidP="00A8138F">
      <w:pPr>
        <w:pStyle w:val="TextoNormal"/>
      </w:pPr>
      <w:r>
        <w:t>b) La demanda recuerda que la iniciativa parlamentaria a la que se ha opuesto el veto prevé la derogación del impuesto sobre sucesiones y donaciones, con entrada en vigor el 1 de enero de 2024. Por tanto, los efectos económicos se producirán en el presupuesto del ejercicio 2024. Tales efectos económicos son dos: (i) la disminución de ingresos correspondientes a la desaparición del impuesto sobre sucesiones y donaciones no cedido a las comunidades autónomas; y (ii) la compensación a estas de la pérdida de recaudación ocasionada por la parte del tributo que sí les está cedida.</w:t>
      </w:r>
    </w:p>
    <w:p w14:paraId="699613D4" w14:textId="77777777" w:rsidR="00A8138F" w:rsidRDefault="00A8138F" w:rsidP="00A8138F">
      <w:pPr>
        <w:pStyle w:val="TextoNormal"/>
      </w:pPr>
    </w:p>
    <w:p w14:paraId="2F8ECD57" w14:textId="77777777" w:rsidR="00A8138F" w:rsidRDefault="00A8138F" w:rsidP="00A8138F">
      <w:pPr>
        <w:pStyle w:val="TextoNormal"/>
      </w:pPr>
      <w:r>
        <w:t>(i) Por un lado, la derogación de toda figura impositiva hace que se pierda la recaudación derivada de su aplicación. Esta pérdida será soportada por el Estado en los casos en que el impuesto sobre sucesiones y donaciones no está cedido a las comunidades autónomas, impactando en la aplicación presupuestaria 98.01.119.00. Si bien en una estimación inicial, atendiendo a la recaudación media de los últimos años, se consideró que la pérdida sería de 140 000 000 €, el impacto concreto en el presupuesto de 2023 y en el de 2024, como consecuencia de la prórroga del anterior, se estima en 124 762 740 €.</w:t>
      </w:r>
    </w:p>
    <w:p w14:paraId="0278B58C" w14:textId="77777777" w:rsidR="00A8138F" w:rsidRDefault="00A8138F" w:rsidP="00A8138F">
      <w:pPr>
        <w:pStyle w:val="TextoNormal"/>
      </w:pPr>
    </w:p>
    <w:p w14:paraId="4009C0C3" w14:textId="77777777" w:rsidR="00A8138F" w:rsidRDefault="00A8138F" w:rsidP="00A8138F">
      <w:pPr>
        <w:pStyle w:val="TextoNormal"/>
      </w:pPr>
      <w:r>
        <w:t>En efecto, puesto que a la fecha de promoverse el conflicto no se han aprobado los presupuestos generales del Estado para 2024, se consideran automáticamente prorrogados los presupuestos del ejercicio anterior, de modo que el impacto previsto se imputaría al presupuesto prorrogado.</w:t>
      </w:r>
    </w:p>
    <w:p w14:paraId="704168E0" w14:textId="77777777" w:rsidR="00A8138F" w:rsidRDefault="00A8138F" w:rsidP="00A8138F">
      <w:pPr>
        <w:pStyle w:val="TextoNormal"/>
      </w:pPr>
    </w:p>
    <w:p w14:paraId="5DF43FE5" w14:textId="77777777" w:rsidR="00A8138F" w:rsidRDefault="00A8138F" w:rsidP="00A8138F">
      <w:pPr>
        <w:pStyle w:val="TextoNormal"/>
      </w:pPr>
      <w:r>
        <w:t>En ese sentido, en los resúmenes de estados de ingresos y gastos correspondientes a los presupuestos generales del Estado para 2023 (sección noventa y ocho) aparece la aplicación 98.01.11, correspondiente a ingresos por impuestos sobre el capital, con una estimación de 196 347 920 €; y, dentro de ella, la partida correspondiente al impuesto sobre sucesiones y donaciones, con un importe de 124 762 740 €. Esta estimación sería la que se prorroga para 2024 y la partida que se verá reducida en la cuantía referida.</w:t>
      </w:r>
    </w:p>
    <w:p w14:paraId="15FD4202" w14:textId="77777777" w:rsidR="00A8138F" w:rsidRDefault="00A8138F" w:rsidP="00A8138F">
      <w:pPr>
        <w:pStyle w:val="TextoNormal"/>
      </w:pPr>
    </w:p>
    <w:p w14:paraId="07E8D358" w14:textId="77777777" w:rsidR="00A8138F" w:rsidRDefault="00A8138F" w:rsidP="00A8138F">
      <w:pPr>
        <w:pStyle w:val="TextoNormal"/>
      </w:pPr>
      <w:r>
        <w:t>Ello sin perjuicio de que, en el momento en que se aprobaran los presupuestos generales del Estado para 2024, las operaciones realizadas con cargo al presupuesto prorrogado se imputarían al nuevo, de forma que la disminución de ingresos afectaría al presupuesto de 2024.</w:t>
      </w:r>
    </w:p>
    <w:p w14:paraId="4F6D845F" w14:textId="77777777" w:rsidR="00A8138F" w:rsidRDefault="00A8138F" w:rsidP="00A8138F">
      <w:pPr>
        <w:pStyle w:val="TextoNormal"/>
      </w:pPr>
    </w:p>
    <w:p w14:paraId="697CCCC9" w14:textId="77777777" w:rsidR="00A8138F" w:rsidRDefault="00A8138F" w:rsidP="00A8138F">
      <w:pPr>
        <w:pStyle w:val="TextoNormal"/>
      </w:pPr>
      <w:r>
        <w:t>(ii) Respecto de los casos en que el impuesto sobre sucesiones y donaciones está cedido, la demanda transcribe la disposición transitoria segunda de la proposición de ley, que prevé que el Estado compense a las comunidades autónomas con el importe recaudado en el último ejercicio fiscal anterior a la entrada en vigor de la norma. Dado que la proposición prevé su entrada en vigor para el día 1 de enero de 2024, en el ejercicio 2024 las comunidades autónomas experimentarán la disminución de recaudación derivada de la supresión del impuesto, por lo que tendrán derecho a la compensación correspondiente.</w:t>
      </w:r>
    </w:p>
    <w:p w14:paraId="08429EC8" w14:textId="77777777" w:rsidR="00A8138F" w:rsidRDefault="00A8138F" w:rsidP="00A8138F">
      <w:pPr>
        <w:pStyle w:val="TextoNormal"/>
      </w:pPr>
    </w:p>
    <w:p w14:paraId="69995D6C" w14:textId="77777777" w:rsidR="00A8138F" w:rsidRDefault="00A8138F" w:rsidP="00A8138F">
      <w:pPr>
        <w:pStyle w:val="TextoNormal"/>
      </w:pPr>
      <w:r>
        <w:t>El importe global de la compensación se estima en 2 678 000 000 €, según la recaudación media de los años 2015 a 2019. Para hacer frente a ella, el Estado debería dotar en el presupuesto de 2024 un crédito extraordinario o un suplemento de crédito por el importe referido en la aplicación presupuestaria 36.941M.45 “Transferencias a comunidades autónomas”; o en la 37.01.9410.451 “Compensaciones que puedan reconocerse a comunidades autónomas por supresión del impuesto de sucesiones y donaciones”. Si la proposición de ley fuera aprobada antes que los presupuestos generales del Estado para 2024, el crédito se dotaría en el presupuesto prorrogado, imputándose al presupuesto nuevo cuando este se apruebe. En el caso de que la proposición de ley fuera aprobada después que los presupuestos generales del Estado para 2024, el crédito referido se dotaría directamente en estos.</w:t>
      </w:r>
    </w:p>
    <w:p w14:paraId="4E352456" w14:textId="77777777" w:rsidR="00A8138F" w:rsidRDefault="00A8138F" w:rsidP="00A8138F">
      <w:pPr>
        <w:pStyle w:val="TextoNormal"/>
      </w:pPr>
    </w:p>
    <w:p w14:paraId="273041D9" w14:textId="77777777" w:rsidR="00A8138F" w:rsidRDefault="00A8138F" w:rsidP="00A8138F">
      <w:pPr>
        <w:pStyle w:val="TextoNormal"/>
      </w:pPr>
      <w:r>
        <w:t>En consecuencia, la proposición de ley conlleva una disminución de ingresos y un incremento de gastos que afectan al presupuesto de 2024, por lo que concurren los requisitos exigidos por el art. 134.6 CE, para que el Gobierno pueda oponerse a su tramitación.</w:t>
      </w:r>
    </w:p>
    <w:p w14:paraId="166AF5B7" w14:textId="77777777" w:rsidR="00A8138F" w:rsidRDefault="00A8138F" w:rsidP="00A8138F">
      <w:pPr>
        <w:pStyle w:val="TextoNormal"/>
      </w:pPr>
    </w:p>
    <w:p w14:paraId="71E8596D" w14:textId="77777777" w:rsidR="00A8138F" w:rsidRDefault="00A8138F" w:rsidP="00A8138F">
      <w:pPr>
        <w:pStyle w:val="TextoNormal"/>
      </w:pPr>
      <w:r>
        <w:t xml:space="preserve">c) Tras justificar en la forma expuesta la incidencia en los presupuestos generales del Estado, el abogado del Estado solicita del tribunal un cambio de jurisprudencia respecto del límite de aplicación del veto presupuestario </w:t>
      </w:r>
      <w:r w:rsidRPr="00A8138F">
        <w:rPr>
          <w:i/>
        </w:rPr>
        <w:t>ex</w:t>
      </w:r>
      <w:r>
        <w:t xml:space="preserve"> art. 134.6 CE al presupuesto en vigor.</w:t>
      </w:r>
    </w:p>
    <w:p w14:paraId="2FA2AB80" w14:textId="77777777" w:rsidR="00A8138F" w:rsidRDefault="00A8138F" w:rsidP="00A8138F">
      <w:pPr>
        <w:pStyle w:val="TextoNormal"/>
      </w:pPr>
    </w:p>
    <w:p w14:paraId="1076DE69" w14:textId="77777777" w:rsidR="00A8138F" w:rsidRDefault="00A8138F" w:rsidP="00A8138F">
      <w:pPr>
        <w:pStyle w:val="TextoNormal"/>
      </w:pPr>
      <w:r>
        <w:t>Comienza señalando que la proposición de ley afectaría también materialmente al presupuesto en vigor, como consecuencia de las obligaciones derivadas del principio de estabilidad presupuestaria y de la exigencia de equilibrio. Y ello porque la normativa europea y las leyes de estabilidad que desarrollan el art. 135 CE han introducido la denominada “presupuestación en dos fases”, lo que modifica el ciclo presupuestario convencional y conlleva que el principio de anualidad quede diluido, de modo que el ejercicio de la facultad de veto del Gobierno no puede venir solo referido a la ley de presupuestos generales del Estado en vigor, cuando, como es el caso, se altera la previsión de ingresos de la hacienda pública.</w:t>
      </w:r>
    </w:p>
    <w:p w14:paraId="7E5B445C" w14:textId="77777777" w:rsidR="00A8138F" w:rsidRDefault="00A8138F" w:rsidP="00A8138F">
      <w:pPr>
        <w:pStyle w:val="TextoNormal"/>
      </w:pPr>
    </w:p>
    <w:p w14:paraId="5AC0A772" w14:textId="77777777" w:rsidR="00A8138F" w:rsidRDefault="00A8138F" w:rsidP="00A8138F">
      <w:pPr>
        <w:pStyle w:val="TextoNormal"/>
      </w:pPr>
      <w:r>
        <w:t>Teniendo esto en cuenta, el diferimiento de la entrada en vigor de las proposiciones de ley a otro ejercicio presupuestario no evita los efectos negativos frente a los que resulta de aplicación la previsión del art. 134.6 CE. Y ello por dos razones: (i) en primer lugar, porque las modificaciones tributarias (a diferencia de las previsiones de gasto) despliegan efectos sobre la realidad social y económica desde el momento de su aprobación, independientemente de su fecha de entrada en vigor; y, (ii) en segundo lugar, porque la entidad de la afectación resultante a los ingresos de la Hacienda Pública la hace incompatible con una serie de previsiones y decisiones presupuestarias de alcance plurianual, que superan, pues, la vigencia anual de la ley de presupuestos.</w:t>
      </w:r>
    </w:p>
    <w:p w14:paraId="7E712517" w14:textId="77777777" w:rsidR="00A8138F" w:rsidRDefault="00A8138F" w:rsidP="00A8138F">
      <w:pPr>
        <w:pStyle w:val="TextoNormal"/>
      </w:pPr>
    </w:p>
    <w:p w14:paraId="7AC4FC57" w14:textId="77777777" w:rsidR="00A8138F" w:rsidRDefault="00A8138F" w:rsidP="00A8138F">
      <w:pPr>
        <w:pStyle w:val="TextoNormal"/>
      </w:pPr>
      <w:r>
        <w:t>(i) Respecto del primer motivo, considera innegable que el tributo es una variable que condiciona en buena parte el comportamiento de los actores sociales y económicos en las conductas sometidas a ese gravamen. Así, la adopción de modificaciones tributarias del calado de las propuestas en este caso comportará, con toda seguridad, un freno a las actuaciones que son objeto del gravamen durante el presente ejercicio, que serán desplazadas en lo posible a los próximos ejercicios bajo un régimen fiscal más favorable. Al margen del freno a la actividad económica, el efecto fundamental de ese desplazamiento es una reducción de los ingresos tributarios previstos para el ejercicio vigente pues, aunque la entrada en vigor se traslade al futuro, de su mera aprobación resulta inmediatamente una modificación en el comportamiento de los actores económicos que ocasiona una reducción de los ingresos tributarios previstos en el presupuesto en vigor.</w:t>
      </w:r>
    </w:p>
    <w:p w14:paraId="2722FE28" w14:textId="77777777" w:rsidR="00A8138F" w:rsidRDefault="00A8138F" w:rsidP="00A8138F">
      <w:pPr>
        <w:pStyle w:val="TextoNormal"/>
      </w:pPr>
    </w:p>
    <w:p w14:paraId="1CF0EC53" w14:textId="77777777" w:rsidR="00A8138F" w:rsidRDefault="00A8138F" w:rsidP="00A8138F">
      <w:pPr>
        <w:pStyle w:val="TextoNormal"/>
      </w:pPr>
      <w:r>
        <w:t>(ii) En cuanto a las decisiones presupuestarias de alcance plurianual, recuerda que la reforma constitucional del año 2011 introdujo el principio de estabilidad presupuestaria en el art. 135 CE y fijó una serie de obligaciones que se imponen al Gobierno en la elaboración del proyecto de ley de presupuestos y a las Cortes Generales en su debate y aprobación. Estas obligaciones constitucionales, desarrolladas en nuestra legislación de estabilidad presupuestaria, se centran en la exigencia de equilibrio presupuestario (con los matices y excepciones previstos en la Ley Orgánica 2/2012, de 27 de abril, de estabilidad presupuestaria y sostenibilidad financiera), que se convierte así en elemento normativo esencial de la normativa presupuestaria, imponiéndose a todas y cada una de las leyes de presupuestos y las opciones que contienen.</w:t>
      </w:r>
    </w:p>
    <w:p w14:paraId="5C30FA63" w14:textId="77777777" w:rsidR="00A8138F" w:rsidRDefault="00A8138F" w:rsidP="00A8138F">
      <w:pPr>
        <w:pStyle w:val="TextoNormal"/>
      </w:pPr>
    </w:p>
    <w:p w14:paraId="6177CF24" w14:textId="77777777" w:rsidR="00A8138F" w:rsidRDefault="00A8138F" w:rsidP="00A8138F">
      <w:pPr>
        <w:pStyle w:val="TextoNormal"/>
      </w:pPr>
      <w:r>
        <w:t>El principio de estabilidad presupuestaria y la exigencia de equilibrio se integran en cada ley de presupuestos, de modo que se constituyen en parámetro de constitucionalidad para los actores del procedimiento presupuestario, incluidas las Cortes Generales. Sin duda, la necesidad de respetar el equilibrio presupuestario permite opciones distintas, pero impone dos exigencias: (i) por un lado, asumir el respeto de un sistema de ingresos ordenado y coherente, que sea suficiente para responder a las necesidades de gasto existentes y que resulte además previsible en sus magnitudes fundamentales para realizar las correspondientes estimaciones y previsiones para los próximos ejercicios. Al respecto, la proposición de ley en cuestión altera de tal modo las previsiones de ingresos de la Hacienda Pública que resultan incompatibles con esa exigencia constitucional; (ii) por otro, que la configuración normativa de los tributos, y sus ingresos resultantes, debe realizarse a partir del protagonismo que la Constitución reconoce al Gobierno, mediante su exclusiva iniciativa presupuestaria. Afirma que las modificaciones derivadas de la proposición de ley configuran de hecho un proyecto alternativo de presupuestos a partir de la determinación de los ingresos disponibles; y esa es precisamente la eventualidad a la que viene a reaccionar la Constitución con la previsión del instrumento del art. 134.6 CE. Que la iniciativa que se presenta no implique una alteración formal del presupuesto en vigor, no excluye que estemos ante una alteración material de sus principios fundamentales y, por tanto, no excluye la aplicabilidad del veto presupuestario, sino que, por el contrario, la refuerza.</w:t>
      </w:r>
    </w:p>
    <w:p w14:paraId="1569EDB2" w14:textId="77777777" w:rsidR="00A8138F" w:rsidRDefault="00A8138F" w:rsidP="00A8138F">
      <w:pPr>
        <w:pStyle w:val="TextoNormal"/>
      </w:pPr>
    </w:p>
    <w:p w14:paraId="3EEDC224" w14:textId="77777777" w:rsidR="00A8138F" w:rsidRDefault="00A8138F" w:rsidP="00A8138F">
      <w:pPr>
        <w:pStyle w:val="TextoNormal"/>
      </w:pPr>
      <w:r>
        <w:t>La demanda añade que la proposición de ley contradice el pacto de estabilidad y crecimiento adoptado en el ámbito de la Unión Europea en un doble sentido. En primer lugar, porque imposibilita el mantenimiento del equilibrio presupuestario ante la entidad de los efectos del conjunto de modificaciones propuestas y su impacto sobre la propia estructura de ingresos y gastos que debería aplicarse ya en el próximo ejercicio presupuestario. Y, en segundo lugar, porque vacía de contenido los instrumentos procedimentales previstos en el derecho de la Unión para concretar progresivamente y con la necesaria antelación y previsibilidad las magnitudes fundamentales de ingresos y gastos públicos. La mera aprobación de las modificaciones propuestas y su entrada en vigor en 2024 daría al traste con todo el procedimiento de discusión de escenarios presupuestarios entre las instituciones de la Unión y el Gobierno: los programas de estabilidad, los informes correspondientes de la Comisión y las propias decisiones del Ecofin al respecto se verían defraudadas por la intervención extemporánea de la iniciativa de reforma del grupo proponente. No puede olvidarse que el Gobierno es el interlocutor único con la Comisión Europea, en lo que se refiere a la negociación del balance presupuestario previsto para el siguiente ejercicio (lo que actualmente equivale a decir del déficit admisible), de modo que también es el primer responsable del cumplimiento de los compromisos asumidos por el Estado español ante Bruselas.</w:t>
      </w:r>
    </w:p>
    <w:p w14:paraId="53B28F23" w14:textId="77777777" w:rsidR="00A8138F" w:rsidRDefault="00A8138F" w:rsidP="00A8138F">
      <w:pPr>
        <w:pStyle w:val="TextoNormal"/>
      </w:pPr>
    </w:p>
    <w:p w14:paraId="385A365C" w14:textId="77777777" w:rsidR="00A8138F" w:rsidRDefault="00A8138F" w:rsidP="00A8138F">
      <w:pPr>
        <w:pStyle w:val="TextoNormal"/>
      </w:pPr>
      <w:r>
        <w:t>Para el abogado del Estado, el principio de anualidad sigue siendo adecuado y plenamente vigente cuando se plantean controversias referidas a una concreta y determinada previsión presupuestaria, esencialmente en materia de gasto. Ahora bien, el ordenamiento presupuestario ha introducido y desarrollado especialmente un principio fundamental de plurianualidad vinculado con sus grandes magnitudes y con el principio de estabilidad. La política presupuestaria, pues, ha dejado de ceñirse a la ley anual de presupuestos y engloba hoy toda una serie de procedimientos e instrumentos que despliegan su elaboración y su eficacia más allá del marco anual. Esas decisiones presupuestarias deben contar también, e incluso especialmente, con la protección que en su momento el art. 134.6 CE ciñó al único instrumento presupuestario entonces existente, la ley de presupuestos.</w:t>
      </w:r>
    </w:p>
    <w:p w14:paraId="0A078042" w14:textId="77777777" w:rsidR="00A8138F" w:rsidRDefault="00A8138F" w:rsidP="00A8138F">
      <w:pPr>
        <w:pStyle w:val="TextoNormal"/>
      </w:pPr>
    </w:p>
    <w:p w14:paraId="42AA7DE1" w14:textId="77777777" w:rsidR="00A8138F" w:rsidRDefault="00A8138F" w:rsidP="00A8138F">
      <w:pPr>
        <w:pStyle w:val="TextoNormal"/>
      </w:pPr>
      <w:r>
        <w:t>Por todo lo anterior, además del señalamiento de la partida presupuestaria afectada en el presupuesto prorrogado del estado, que supone una disminución de ingresos, y que justifica por sí solo el correcto ejercicio del veto presupuestario, a la luz de los argumentos anteriores se considera procedente reformular la interpretación constitucional, ampliando el ámbito temporal del veto, pues el férreo entendimiento de que ha de limitarse al presupuesto en vigor choca con otros preceptos constitucionales, como el principio de estabilidad presupuestaria que se deriva del art. 135 CE, la facultad exclusiva del gobierno de elaborar los presupuestos generales del estado (art. 134.1 CE), con la facultad exclusiva del gobierno de presentar proyectos de ley que impliquen aumento del gasto público y disminución de los ingresos (art. 134.5 CE) y con la facultad de prorrogar los presupuestos (art. 134.4 CE).</w:t>
      </w:r>
    </w:p>
    <w:p w14:paraId="5ACA9331" w14:textId="77777777" w:rsidR="00A8138F" w:rsidRDefault="00A8138F" w:rsidP="00A8138F">
      <w:pPr>
        <w:pStyle w:val="TextoNormal"/>
      </w:pPr>
    </w:p>
    <w:p w14:paraId="69ED6996" w14:textId="77777777" w:rsidR="00A8138F" w:rsidRDefault="00A8138F" w:rsidP="00A8138F">
      <w:pPr>
        <w:pStyle w:val="TextoNormal"/>
      </w:pPr>
      <w:r>
        <w:t>d) La demanda finaliza solicitando al tribunal que declare: (i) que el Senado ha infringido el art. 134.6 CE y, con ello, ha frustrado y desconocido el ejercicio de una atribución que corresponde al Gobierno (art. 75.2 LOTC); y (ii) que corresponde al Gobierno la atribución de impedir la tramitación parlamentaria de la proposición de ley objeto de conflicto y, en consecuencia, son nulos los acuerdos de la mesa del Senado que se impugnan, así como la tramitación parlamentaria subsiguiente (art. 75.2 LOTC).</w:t>
      </w:r>
    </w:p>
    <w:p w14:paraId="02F0EE67" w14:textId="77777777" w:rsidR="00A8138F" w:rsidRDefault="00A8138F" w:rsidP="00A8138F">
      <w:pPr>
        <w:pStyle w:val="TextoNormal"/>
      </w:pPr>
    </w:p>
    <w:p w14:paraId="2D3BB350" w14:textId="5FE4978A" w:rsidR="00A8138F" w:rsidRDefault="00A8138F" w:rsidP="00A8138F">
      <w:pPr>
        <w:pStyle w:val="TextoNormal"/>
      </w:pPr>
      <w:r>
        <w:t>Asimismo, interesa que el tribunal revise la jurisprudencia relativa al ejercicio del derecho de veto, de modo que este no se reduzca al presupuesto anual porque, “los objetivos de estabilidad presupuestaria forman parte integrante de los instrumentos presupuestarios, y deben ser cubiertos por las mismas garantías que la propia ley de presupuestos; de modo que, si una iniciativa parlamentaria resulta incompatible con los mismos, el Gobierno está obligado a ejercer su facultad prevista en el art. 134.6 CE, como sucede en este caso”.</w:t>
      </w:r>
    </w:p>
    <w:p w14:paraId="28F22A06" w14:textId="77777777" w:rsidR="00A8138F" w:rsidRDefault="00A8138F" w:rsidP="00A8138F">
      <w:pPr>
        <w:pStyle w:val="TextoNormal"/>
      </w:pPr>
    </w:p>
    <w:p w14:paraId="3E668EDA" w14:textId="03E973D0" w:rsidR="00A8138F" w:rsidRDefault="00A8138F" w:rsidP="00A8138F">
      <w:pPr>
        <w:pStyle w:val="TextoNormal"/>
      </w:pPr>
      <w:r w:rsidRPr="00A8138F">
        <w:rPr>
          <w:rStyle w:val="NumeroAFNegritaCaracter"/>
        </w:rPr>
        <w:t>4</w:t>
      </w:r>
      <w:r>
        <w:t>. El Pleno del Tribunal Constitucional, por providencia de 23 de abril de 2024, acordó admitir a trámite el conflicto entre órganos constitucionales promovido por el Gobierno y dar traslado de la demanda y los documentos presentados, de conformidad con lo establecido en el art. 74 LOTC, al Senado, al objeto de que, en el plazo de un mes, pudiera formular las alegaciones que estimase procedentes, así como al Congreso de los Diputados y al Consejo General del Poder Judicial, para que pudieran comparecer en el procedimiento en apoyo del demandante o del demandado, si entendieran que la solución del conflicto planteado afecta de algún modo a sus propias atribuciones. Asimismo, acordó publicar la incoación del conflicto en el “Boletín Oficial del Estado”, lo que tuvo lugar en el núm. 103, de 27 de abril de 2024.</w:t>
      </w:r>
    </w:p>
    <w:p w14:paraId="348FF339" w14:textId="77777777" w:rsidR="00A8138F" w:rsidRDefault="00A8138F" w:rsidP="00A8138F">
      <w:pPr>
        <w:pStyle w:val="TextoNormal"/>
      </w:pPr>
    </w:p>
    <w:p w14:paraId="747A0A91" w14:textId="2048C4BF" w:rsidR="00A8138F" w:rsidRDefault="00A8138F" w:rsidP="00A8138F">
      <w:pPr>
        <w:pStyle w:val="TextoNormal"/>
      </w:pPr>
      <w:r w:rsidRPr="00A8138F">
        <w:rPr>
          <w:rStyle w:val="NumeroAFNegritaCaracter"/>
        </w:rPr>
        <w:t>5</w:t>
      </w:r>
      <w:r>
        <w:t>. Mediante un oficio que tuvo entrada en el Tribunal Constitucional el 7 de mayo de 2024, la presidenta del Congreso de los Diputados comunicó el acuerdo de la mesa de dicha Cámara de personarse en el procedimiento y ofrecer su colaboración a los efectos del art. 88.1 LOTC.</w:t>
      </w:r>
    </w:p>
    <w:p w14:paraId="6E0F45F5" w14:textId="77777777" w:rsidR="00A8138F" w:rsidRDefault="00A8138F" w:rsidP="00A8138F">
      <w:pPr>
        <w:pStyle w:val="TextoNormal"/>
      </w:pPr>
    </w:p>
    <w:p w14:paraId="05372DDE" w14:textId="368D19E0" w:rsidR="00A8138F" w:rsidRDefault="00A8138F" w:rsidP="00A8138F">
      <w:pPr>
        <w:pStyle w:val="TextoNormal"/>
      </w:pPr>
      <w:r w:rsidRPr="00A8138F">
        <w:rPr>
          <w:rStyle w:val="NumeroAFNegritaCaracter"/>
        </w:rPr>
        <w:t>6</w:t>
      </w:r>
      <w:r>
        <w:t>. En la misma fecha tuvo entrada en el Tribunal Constitucional un oficio del presidente del Senado por el que comunicaba el acuerdo de la mesa de la Cámara de personarse en el procedimiento, encomendando su representación y defensa a la letrada de las Cortes Generales-directora de la asesoría jurídica de la Secretaría General del Senado.</w:t>
      </w:r>
    </w:p>
    <w:p w14:paraId="024E9AFB" w14:textId="77777777" w:rsidR="00A8138F" w:rsidRDefault="00A8138F" w:rsidP="00A8138F">
      <w:pPr>
        <w:pStyle w:val="TextoNormal"/>
      </w:pPr>
    </w:p>
    <w:p w14:paraId="3190C0C0" w14:textId="1A2A8FEE" w:rsidR="00A8138F" w:rsidRDefault="00A8138F" w:rsidP="00A8138F">
      <w:pPr>
        <w:pStyle w:val="TextoNormal"/>
      </w:pPr>
      <w:r w:rsidRPr="00A8138F">
        <w:rPr>
          <w:rStyle w:val="NumeroAFNegritaCaracter"/>
        </w:rPr>
        <w:t>7</w:t>
      </w:r>
      <w:r>
        <w:t>. El día 21 de mayo de 2024, se registró en el tribunal una comunicación del director del servicio central de la Secretaría General del Consejo General del Poder Judicial por la que se remitía un acuerdo de la Comisión Permanente tomando conocimiento de la admisión a trámite del conflicto y sometiendo a la consideración del Pleno si el Consejo General del Poder Judicial había de comparecer en el procedimiento. El 24 de mayo siguiente se recibió en el tribunal una segunda comunicación del citado director, dando traslado del acuerdo de la Comisión Permanente, adoptado por razones de urgencia, de comparecer en el procedimiento, elevando al Pleno la decisión que finalmente proceda. Por último, el 31 de mayo siguiente tuvo entrada en el Tribunal Constitucional una comunicación de la Secretaría General del Consejo General del Poder Judicial por la que se trasladaba el acuerdo del Pleno de dicho órgano de no ratificar la decisión de la Comisión Permanente.</w:t>
      </w:r>
    </w:p>
    <w:p w14:paraId="53AA408C" w14:textId="77777777" w:rsidR="00A8138F" w:rsidRDefault="00A8138F" w:rsidP="00A8138F">
      <w:pPr>
        <w:pStyle w:val="TextoNormal"/>
      </w:pPr>
    </w:p>
    <w:p w14:paraId="65ACBB75" w14:textId="77777777" w:rsidR="00A8138F" w:rsidRDefault="00A8138F" w:rsidP="00A8138F">
      <w:pPr>
        <w:pStyle w:val="TextoNormal"/>
      </w:pPr>
      <w:r w:rsidRPr="00A8138F">
        <w:rPr>
          <w:rStyle w:val="NumeroAFNegritaCaracter"/>
        </w:rPr>
        <w:t>8</w:t>
      </w:r>
      <w:r>
        <w:t>. La letrada de las Cortes Generales, actuando en representación del Senado, presentó un escrito de alegaciones en el registro general del Tribunal el día 27 de mayo de 2024, en el que interesa que se dicte sentencia desestimatoria, por las razones que a continuación se exponen:</w:t>
      </w:r>
    </w:p>
    <w:p w14:paraId="5A3D4D88" w14:textId="77777777" w:rsidR="00A8138F" w:rsidRDefault="00A8138F" w:rsidP="00A8138F">
      <w:pPr>
        <w:pStyle w:val="TextoNormal"/>
      </w:pPr>
    </w:p>
    <w:p w14:paraId="730D8140" w14:textId="77777777" w:rsidR="00A8138F" w:rsidRDefault="00A8138F" w:rsidP="00A8138F">
      <w:pPr>
        <w:pStyle w:val="TextoNormal"/>
      </w:pPr>
      <w:r>
        <w:t>a) Invoca, en primer lugar, la doctrina constitucional sobre la facultad de veto del art. 134.6 CE, transcribiendo, en particular, varios pasajes de la STC 34/2018. De esta subraya la afirmación de que, aunque “todo presupuesto está lógica y temporalmente conectado con las cuentas públicas aprobadas en ejercicios anteriores, y con las que se prevé elaborar para los ejercicios futuros […] [s]in embargo, tal conexión plurianual no desnaturaliza el carácter anual del presupuesto, por lo que el ejercicio de la potestad del art. 134.6 CE se restringe, igualmente, a la afectación de una medida al presupuesto del ejercicio en curso” [FJ 7 b)]. Sostiene que con este aserto podría quedar resuelto el presente conflicto y recuerda que la doctrina de la STC 34/2018 se ha mantenido sin variación, entre otras, en las SSTC 44/2018, de 26 de abril; 132/2023, de 23 de octubre, y 167/2023, de 22 de noviembre, referida esta última al Senado.</w:t>
      </w:r>
    </w:p>
    <w:p w14:paraId="554A494A" w14:textId="77777777" w:rsidR="00A8138F" w:rsidRDefault="00A8138F" w:rsidP="00A8138F">
      <w:pPr>
        <w:pStyle w:val="TextoNormal"/>
      </w:pPr>
    </w:p>
    <w:p w14:paraId="2581F581" w14:textId="77777777" w:rsidR="00A8138F" w:rsidRDefault="00A8138F" w:rsidP="00A8138F">
      <w:pPr>
        <w:pStyle w:val="TextoNormal"/>
      </w:pPr>
      <w:r>
        <w:t>b) La representante de Senado sostiene que en el presente caso no se verifica la exigencia del art. 134.6 CE de que el impacto presupuestario venga referido al presupuesto en vigor, ya que la proposición de ley se presentó en el año 2023, pero con entrada en vigor el 1 de enero de 2024. Es decir, fue vetada por el Gobierno en el momento de su presentación en 2023, a pesar de que no suponía una disminución de ingresos en el presupuesto en vigor en ese momento.</w:t>
      </w:r>
    </w:p>
    <w:p w14:paraId="6C8E3E73" w14:textId="77777777" w:rsidR="00A8138F" w:rsidRDefault="00A8138F" w:rsidP="00A8138F">
      <w:pPr>
        <w:pStyle w:val="TextoNormal"/>
      </w:pPr>
    </w:p>
    <w:p w14:paraId="1BE659DC" w14:textId="77777777" w:rsidR="00A8138F" w:rsidRDefault="00A8138F" w:rsidP="00A8138F">
      <w:pPr>
        <w:pStyle w:val="TextoNormal"/>
      </w:pPr>
      <w:r>
        <w:t xml:space="preserve">Considera que el Gobierno está intentando esquivar la doctrina constitucional, pretendiendo interpretar el art. 134.6 CE por referencia a las políticas europeas que exigen una planificación plurianual de los ingresos. A su juicio este </w:t>
      </w:r>
      <w:r w:rsidRPr="00A8138F">
        <w:rPr>
          <w:i/>
        </w:rPr>
        <w:t>overruling</w:t>
      </w:r>
      <w:r>
        <w:t xml:space="preserve"> puede tener graves consecuencias para el ejercicio de la función legislativa, por la ampliación que supone de la capacidad de veto gubernamental.</w:t>
      </w:r>
    </w:p>
    <w:p w14:paraId="23101EEC" w14:textId="77777777" w:rsidR="00A8138F" w:rsidRDefault="00A8138F" w:rsidP="00A8138F">
      <w:pPr>
        <w:pStyle w:val="TextoNormal"/>
      </w:pPr>
    </w:p>
    <w:p w14:paraId="65D3BC98" w14:textId="77777777" w:rsidR="00A8138F" w:rsidRDefault="00A8138F" w:rsidP="00A8138F">
      <w:pPr>
        <w:pStyle w:val="TextoNormal"/>
      </w:pPr>
      <w:r>
        <w:t xml:space="preserve">La letrada parlamentaria argumenta que el art. 134.6 CE no admite la interpretación que postula el Gobierno. Aunque este alega la conexión con el art. 135 CE, tal conexión no existe y tampoco se estableció cuando dicho art. 135 CE fue modificado en 2011, pudiendo haberse hecho. Así pues, ningún precepto constitucional menciona la plurianualidad presupuestaria, de modo que el </w:t>
      </w:r>
      <w:r w:rsidRPr="00A8138F">
        <w:rPr>
          <w:i/>
        </w:rPr>
        <w:t>overruling</w:t>
      </w:r>
      <w:r>
        <w:t xml:space="preserve"> pretendido supondría un cambio constitucional que corresponde hacer al constituyente.</w:t>
      </w:r>
    </w:p>
    <w:p w14:paraId="4E609709" w14:textId="77777777" w:rsidR="00A8138F" w:rsidRDefault="00A8138F" w:rsidP="00A8138F">
      <w:pPr>
        <w:pStyle w:val="TextoNormal"/>
      </w:pPr>
    </w:p>
    <w:p w14:paraId="74D92FB2" w14:textId="77777777" w:rsidR="00A8138F" w:rsidRDefault="00A8138F" w:rsidP="00A8138F">
      <w:pPr>
        <w:pStyle w:val="TextoNormal"/>
      </w:pPr>
      <w:r>
        <w:t>A continuación, el escrito del Senado descarta, por “políticos” o “económicos”, otros argumentos esgrimidos por el Gobierno en favor de una interpretación “plurianual” del art. 134.6 CE. Tal es el caso de la referencia a la afectación de la autonomía financiera de las comunidades autónomas y de la influencia inmediata en el comportamiento de los contribuyentes que tiene la derogación de un impuesto, según alega el ejecutivo.</w:t>
      </w:r>
    </w:p>
    <w:p w14:paraId="005BDBCD" w14:textId="77777777" w:rsidR="00A8138F" w:rsidRDefault="00A8138F" w:rsidP="00A8138F">
      <w:pPr>
        <w:pStyle w:val="TextoNormal"/>
      </w:pPr>
    </w:p>
    <w:p w14:paraId="7B7529C0" w14:textId="77777777" w:rsidR="00A8138F" w:rsidRDefault="00A8138F" w:rsidP="00A8138F">
      <w:pPr>
        <w:pStyle w:val="TextoNormal"/>
      </w:pPr>
      <w:r>
        <w:t>Tampoco comparte el argumento del Gobierno de que la proposición afecta materialmente al presupuesto en vigor como consecuencia de las obligaciones de equilibrio y estabilidad presupuestaria. La Constitución no prevé que el Gobierno pueda vetar las iniciativas parlamentarias por no respetar dichas obligaciones. Además, la obligación de acomodarse a los objetivos de estabilidad presupuestaria solo incumbe al Gobierno, al que corresponde la competencia de elaborar al presupuesto. Aunque las Cortes Generales también estén sometidas a la normativa sobre estabilidad presupuestaria, esto no implica que sus iniciativas tengan que ajustarse también a ella.</w:t>
      </w:r>
    </w:p>
    <w:p w14:paraId="31262CAA" w14:textId="77777777" w:rsidR="00A8138F" w:rsidRDefault="00A8138F" w:rsidP="00A8138F">
      <w:pPr>
        <w:pStyle w:val="TextoNormal"/>
      </w:pPr>
    </w:p>
    <w:p w14:paraId="56FB3318" w14:textId="77777777" w:rsidR="00A8138F" w:rsidRDefault="00A8138F" w:rsidP="00A8138F">
      <w:pPr>
        <w:pStyle w:val="TextoNormal"/>
      </w:pPr>
      <w:r>
        <w:t>De igual modo, la letrada de las Cortes Generales discrepa de la pretensión del Gobierno de diluir el principio de anualidad presupuestaria (art. 134.2 CE), que considera plenamente vigente. Arguye que anualidad y plurianualidad son compatibles, pero cada una referida a obligaciones de sujetos distintos. Entiende que resulta desproporcionado y contrario al ejercicio del derecho del art. 23.2 CE que los diputados y los senadores tengan ahora que ajustar sus iniciativas a una “nebulosa” de previsiones y estimaciones de ingresos para ejercicios futuros. Esto hipotecaría y bloquearía la iniciativa legislativa durante años, ya que bastaría con que afectase a un presupuesto futuro para que el Gobierno pueda vetarla.</w:t>
      </w:r>
    </w:p>
    <w:p w14:paraId="2F8D61BE" w14:textId="77777777" w:rsidR="00A8138F" w:rsidRDefault="00A8138F" w:rsidP="00A8138F">
      <w:pPr>
        <w:pStyle w:val="TextoNormal"/>
      </w:pPr>
    </w:p>
    <w:p w14:paraId="0D332ABC" w14:textId="77777777" w:rsidR="00A8138F" w:rsidRDefault="00A8138F" w:rsidP="00A8138F">
      <w:pPr>
        <w:pStyle w:val="TextoNormal"/>
      </w:pPr>
      <w:r>
        <w:t>El principio de seguridad jurídica también quedaría perturbado en caso de aceptar la interpretación pretendida por el Gobierno, ya que este podría oponerse a cualquier proposición de ley que, aunque no afecte formalmente al presupuesto en vigor, implique “una alteración material de sus principios fundamentales”, fórmula que resulta indeterminada e imprecisa frente a la certeza del art. 134.6 CE referido al presupuesto en vigor. Por ello, un concepto “material” de ley de presupuestos sería contrario a la seguridad jurídica e incompatible con el art. 134.2 CE que establece claramente la anualidad.</w:t>
      </w:r>
    </w:p>
    <w:p w14:paraId="051765EA" w14:textId="77777777" w:rsidR="00A8138F" w:rsidRDefault="00A8138F" w:rsidP="00A8138F">
      <w:pPr>
        <w:pStyle w:val="TextoNormal"/>
      </w:pPr>
    </w:p>
    <w:p w14:paraId="02C4FA52" w14:textId="77777777" w:rsidR="00A8138F" w:rsidRDefault="00A8138F" w:rsidP="00A8138F">
      <w:pPr>
        <w:pStyle w:val="TextoNormal"/>
      </w:pPr>
      <w:r>
        <w:t>Respecto al argumento del Gobierno de que la tramitación de la propuesta de derogar el impuesto sobre sucesiones y donaciones le obligaría a tener que equilibrar un presupuesto futuro, la representante del Senado recuerda que siempre cabría que el ejecutivo elabore un proyecto de ley de presupuestos que incluya medidas para contrarrestar el efecto de la aprobación de la proposición.</w:t>
      </w:r>
    </w:p>
    <w:p w14:paraId="486ECFD1" w14:textId="77777777" w:rsidR="00A8138F" w:rsidRDefault="00A8138F" w:rsidP="00A8138F">
      <w:pPr>
        <w:pStyle w:val="TextoNormal"/>
      </w:pPr>
    </w:p>
    <w:p w14:paraId="060C12D0" w14:textId="77777777" w:rsidR="00A8138F" w:rsidRDefault="00A8138F" w:rsidP="00A8138F">
      <w:pPr>
        <w:pStyle w:val="TextoNormal"/>
      </w:pPr>
      <w:r>
        <w:t>c) Seguidamente, el escrito de alegaciones del Senado se refiere a la compensación a las comunidades autónomas por la derogación del impuesto sobre sucesiones y donaciones. Esta sería una partida de gasto y no una disminución de ingresos, por lo que a dicha compensación le es plenamente aplicable la doctrina que interpreta la facultad de veto en materia de gastos con estricta sujeción al criterio de anualidad, como admite el Gobierno. Tampoco considera correcto asumir que la compensación deba hacerse efectiva en 2024, como mantiene la demanda, pues la disposición transitoria segunda la supedita a que se realicen los ajustes y correcciones necesarias en los recursos del sistema de financiación.</w:t>
      </w:r>
    </w:p>
    <w:p w14:paraId="153286EB" w14:textId="77777777" w:rsidR="00A8138F" w:rsidRDefault="00A8138F" w:rsidP="00A8138F">
      <w:pPr>
        <w:pStyle w:val="TextoNormal"/>
      </w:pPr>
    </w:p>
    <w:p w14:paraId="7B1B3DAB" w14:textId="77777777" w:rsidR="00A8138F" w:rsidRDefault="00A8138F" w:rsidP="00A8138F">
      <w:pPr>
        <w:pStyle w:val="TextoNormal"/>
      </w:pPr>
      <w:r>
        <w:t xml:space="preserve">Para aceptar el criterio interpretativo del Gobierno, el tribunal debería modificar su doctrina, pese a que la ha ratificado recientemente en la STC 167/2023, cuyo FJ 10 c), afirma que la facultad de veto “está lógicamente vinculada con el carácter anual del presupuesto y tiene como finalidad salvaguardar la disposición del Gobierno sobre su propio plan económico, una vez autorizado por el Parlamento, por lo que debe referirse al presupuesto en vigor en cada momento, en coherencia con el principio de anualidad del art. 134.6 CE, entendiendo por tal tanto el autorizado expresamente como incluso el que ha sido objeto de prórroga presupuestaria (art. 134.4 CE), pues no por ello deja de cumplir la función esencial de vehículo de dirección y orientación de la política económica del Gobierno. En consecuencia, el veto presupuestario no se puede ejercer en relación con presupuestos futuros, incluidos los denominados ‘escenarios plurianuales presupuestarios’, que no han sido elaborados por el Gobierno ni sometidos por tanto al proceso de aprobación regulado en el art. 134.1 CE. En definitiva, el ejercicio de la facultad del art. 134.6 CE se ha de entender restringido a las proposiciones de ley y enmiendas que afecten al presupuesto del ejercicio en curso [SSTC 34/2018, FJ 7 b); 44/2018, FJ 5 b); 94/2018, FJ 5 a), y 17/2019, FJ 3]”. Y continúa dicha sentencia refiriéndose al caso que examinaba, en el que la proposición que pretendía vetar el Gobierno “difería su entrada en vigor al día 1 de enero de 2022, por lo que no afectaba al presupuesto en vigor”, lo que conduce al tribunal a otorgar el amparo porque las resoluciones enjuiciadas, además de contravenir el art. 134.6 CE, han lesionado el </w:t>
      </w:r>
      <w:r w:rsidRPr="00A8138F">
        <w:rPr>
          <w:i/>
        </w:rPr>
        <w:t>ius in officium</w:t>
      </w:r>
      <w:r>
        <w:t xml:space="preserve"> del cargo de parlamentario (art. 23.2 CE).</w:t>
      </w:r>
    </w:p>
    <w:p w14:paraId="78B544B2" w14:textId="77777777" w:rsidR="00A8138F" w:rsidRDefault="00A8138F" w:rsidP="00A8138F">
      <w:pPr>
        <w:pStyle w:val="TextoNormal"/>
      </w:pPr>
    </w:p>
    <w:p w14:paraId="1BE95E14" w14:textId="77777777" w:rsidR="00A8138F" w:rsidRDefault="00A8138F" w:rsidP="00A8138F">
      <w:pPr>
        <w:pStyle w:val="TextoNormal"/>
      </w:pPr>
      <w:r>
        <w:t>d) La letrada de las Cortes Generales aduce que el criterio de “plurianualidad” que pretende el Gobierno, además de no estar previsto en la Constitución, plantea problemas que no se resuelven en el escrito de demanda. Y cuando se trata de innovar un criterio consolidado, se debería exigir una motivación rigurosa y detallada. Uno de esos problemas es cómo se aplicaría el nuevo criterio en aquellos casos en los que las Cortes Generales no han aprobado los objetivos de estabilidad, como ha sucedido en 2024. Se pregunta si tendría entonces que analizarse a la vista de los objetivos autorizados de 2023 aunque la proposición tiene entrada en vigor en 2024.</w:t>
      </w:r>
    </w:p>
    <w:p w14:paraId="1EF49424" w14:textId="77777777" w:rsidR="00A8138F" w:rsidRDefault="00A8138F" w:rsidP="00A8138F">
      <w:pPr>
        <w:pStyle w:val="TextoNormal"/>
      </w:pPr>
    </w:p>
    <w:p w14:paraId="7E1290A6" w14:textId="77777777" w:rsidR="00A8138F" w:rsidRDefault="00A8138F" w:rsidP="00A8138F">
      <w:pPr>
        <w:pStyle w:val="TextoNormal"/>
      </w:pPr>
      <w:r>
        <w:t>Además, apunta que, en el supuesto de que la proposición se hubiera tramitado, probablemente no se habría llegado a tiempo de que entrara en vigor el 1 de enero de 2024, y nos habríamos situado en un escenario más probable de entrada en vigor en 2025, respecto del que no hay aprobados objetivos de estabilidad presupuestaria.</w:t>
      </w:r>
    </w:p>
    <w:p w14:paraId="39A3AA5A" w14:textId="77777777" w:rsidR="00A8138F" w:rsidRDefault="00A8138F" w:rsidP="00A8138F">
      <w:pPr>
        <w:pStyle w:val="TextoNormal"/>
      </w:pPr>
    </w:p>
    <w:p w14:paraId="7F89AC2A" w14:textId="77777777" w:rsidR="00A8138F" w:rsidRDefault="00A8138F" w:rsidP="00A8138F">
      <w:pPr>
        <w:pStyle w:val="TextoNormal"/>
      </w:pPr>
      <w:r>
        <w:t>Igualmente, constata que en el requerimiento del Gobierno aportó una cuantificación de menores ingresos por importe de 140 000 000 € y, sorprendentemente, en la demanda pasa a ser de poco más de 124 000 000 €. Juzga completamente inadecuado que en esta fase el impacto se cuantifique de forma distinta que cuando se presentó la iniciativa.</w:t>
      </w:r>
    </w:p>
    <w:p w14:paraId="6A81BE29" w14:textId="77777777" w:rsidR="00A8138F" w:rsidRDefault="00A8138F" w:rsidP="00A8138F">
      <w:pPr>
        <w:pStyle w:val="TextoNormal"/>
      </w:pPr>
    </w:p>
    <w:p w14:paraId="7586B5BD" w14:textId="77777777" w:rsidR="00A8138F" w:rsidRDefault="00A8138F" w:rsidP="00A8138F">
      <w:pPr>
        <w:pStyle w:val="TextoNormal"/>
      </w:pPr>
      <w:r>
        <w:t>Si el Gobierno pretende que adopte un enfoque plurianual, debería aportar las previsiones de ingresos en el ciclo presupuestario que se vería afectado, lo que no hace. Debe tenerse en cuenta que el último aprobado fue la senda 2021-2023, ya que los objetivos 2024-2026 no se han aprobado y, sin ellos, el ejecutivo no puede aprobar el proyecto de presupuestos. Por tanto, el Gobierno solo podría invocar la regla de estabilidad autorizada en 2020 para el periodo 2021-2023, al que no puede afectar una iniciativa que entra en vigor en 2024, como es el caso.</w:t>
      </w:r>
    </w:p>
    <w:p w14:paraId="5DBF79B1" w14:textId="77777777" w:rsidR="00A8138F" w:rsidRDefault="00A8138F" w:rsidP="00A8138F">
      <w:pPr>
        <w:pStyle w:val="TextoNormal"/>
      </w:pPr>
    </w:p>
    <w:p w14:paraId="1CAAF627" w14:textId="43144A70" w:rsidR="00A8138F" w:rsidRDefault="00A8138F" w:rsidP="00A8138F">
      <w:pPr>
        <w:pStyle w:val="TextoNormal"/>
      </w:pPr>
      <w:r>
        <w:t>e) Por último, las alegaciones del Senado cuestionan, con cita de algunos trabajos doctrinales y de estadísticas del Ministerio de Hacienda, que el efecto de la derogación del impuesto sobre sucesiones y donaciones sea tan alto como alega el Gobierno. Aunque admite que a la mesa del Senado no le correspondía hacer este análisis, ya que no puede sustituir la valoración del Gobierno, entiende que la disconformidad del Gobierno no se basó en datos objetivos y que la medida propuesta no es susceptible de “dar al traste” —en expresión del Gobierno— con el sistema de financiación autonómica ni con los compromisos presupuestarios frente a la Unión Europea.</w:t>
      </w:r>
    </w:p>
    <w:p w14:paraId="3395A257" w14:textId="77777777" w:rsidR="00A8138F" w:rsidRDefault="00A8138F" w:rsidP="00A8138F">
      <w:pPr>
        <w:pStyle w:val="TextoNormal"/>
      </w:pPr>
    </w:p>
    <w:p w14:paraId="21DA9543" w14:textId="599CE9C1" w:rsidR="00A8138F" w:rsidRDefault="00A8138F" w:rsidP="00A8138F">
      <w:pPr>
        <w:pStyle w:val="TextoNormal"/>
      </w:pPr>
      <w:r w:rsidRPr="00A8138F">
        <w:rPr>
          <w:rStyle w:val="NumeroAFNegritaCaracter"/>
        </w:rPr>
        <w:t>9</w:t>
      </w:r>
      <w:r>
        <w:t>. Por providencia de 10 de junio de 2025, se señaló para la deliberación y votación de la presente sentencia el día 11 del mismo mes y año.</w:t>
      </w:r>
    </w:p>
    <w:p w14:paraId="39973002" w14:textId="77777777" w:rsidR="00A8138F" w:rsidRDefault="00A8138F" w:rsidP="00A8138F">
      <w:pPr>
        <w:pStyle w:val="TextoNormal"/>
      </w:pPr>
    </w:p>
    <w:p w14:paraId="64EB4126" w14:textId="77777777" w:rsidR="00A8138F" w:rsidRDefault="00A8138F" w:rsidP="00A8138F">
      <w:pPr>
        <w:pStyle w:val="TextoNormalNegritaCentrado"/>
        <w:keepNext/>
      </w:pPr>
      <w:r>
        <w:t>II. Fundamentos jurídicos</w:t>
      </w:r>
    </w:p>
    <w:p w14:paraId="096A0213" w14:textId="42DE4AE0" w:rsidR="00A8138F" w:rsidRDefault="00A8138F" w:rsidP="00A8138F">
      <w:pPr>
        <w:pStyle w:val="TextoNormalNegritaCentrado"/>
        <w:keepNext/>
      </w:pPr>
    </w:p>
    <w:p w14:paraId="3F1069D3" w14:textId="77777777" w:rsidR="00A8138F" w:rsidRDefault="00A8138F" w:rsidP="00A8138F">
      <w:pPr>
        <w:pStyle w:val="TextoNormal"/>
      </w:pPr>
      <w:r w:rsidRPr="00A8138F">
        <w:rPr>
          <w:rStyle w:val="NumeroAFNegritaCaracter"/>
        </w:rPr>
        <w:t>1</w:t>
      </w:r>
      <w:r>
        <w:t xml:space="preserve">. </w:t>
      </w:r>
      <w:r w:rsidRPr="00A8138F">
        <w:rPr>
          <w:i/>
        </w:rPr>
        <w:t>Objeto del conflicto y posiciones de las partes</w:t>
      </w:r>
    </w:p>
    <w:p w14:paraId="0C25B776" w14:textId="77777777" w:rsidR="00A8138F" w:rsidRDefault="00A8138F" w:rsidP="00A8138F">
      <w:pPr>
        <w:pStyle w:val="TextoNormal"/>
      </w:pPr>
    </w:p>
    <w:p w14:paraId="51AB173D" w14:textId="77777777" w:rsidR="00A8138F" w:rsidRDefault="00A8138F" w:rsidP="00A8138F">
      <w:pPr>
        <w:pStyle w:val="TextoNormal"/>
      </w:pPr>
      <w:r>
        <w:t>El Gobierno plantea un conflicto entre órganos constitucionales del Estado contra el acuerdo de la mesa del Senado de 21 de noviembre de 2023, ratificado el 18 de enero de 2024, por el que se acordó rechazar la disconformidad del Gobierno sobre la tramitación de la proposición de ley (núm. 622/000014), por la que se deroga la Ley 29/1987, de 18 de diciembre, del impuesto sobre sucesiones y donaciones. El rechazo de la mesa del Senado se fundó en el art. 134.6 CE, que dispone que “toda proposición o enmienda que suponga aumento de los créditos o disminución de los ingresos presupuestarios requerirá la conformidad del Gobierno para su tramitación”.</w:t>
      </w:r>
    </w:p>
    <w:p w14:paraId="5177FF5B" w14:textId="77777777" w:rsidR="00A8138F" w:rsidRDefault="00A8138F" w:rsidP="00A8138F">
      <w:pPr>
        <w:pStyle w:val="TextoNormal"/>
      </w:pPr>
    </w:p>
    <w:p w14:paraId="2414CD91" w14:textId="77777777" w:rsidR="00A8138F" w:rsidRDefault="00A8138F" w:rsidP="00A8138F">
      <w:pPr>
        <w:pStyle w:val="TextoNormal"/>
      </w:pPr>
      <w:r>
        <w:t>La proposición de ley fue registrada por el Grupo Parlamentario Popular el 26 de octubre de 2023 y publicada en el “BOCG”-Senado, núm. 26, del 3 de noviembre siguiente. En su art. 1 prevé la derogación de la ley reguladora del impuesto sobre sucesiones y donaciones. La disposición transitoria segunda establece que las comunidades autónomas sean compensadas por el Estado, tomando como referencia la recaudación obtenida en el último ejercicio fiscal antes de la entrada en vigor de la derogación, prevista para el 1 de enero de 2024 (disposición final quinta).</w:t>
      </w:r>
    </w:p>
    <w:p w14:paraId="35BED308" w14:textId="77777777" w:rsidR="00A8138F" w:rsidRDefault="00A8138F" w:rsidP="00A8138F">
      <w:pPr>
        <w:pStyle w:val="TextoNormal"/>
      </w:pPr>
    </w:p>
    <w:p w14:paraId="02BB7DDC" w14:textId="77777777" w:rsidR="00A8138F" w:rsidRDefault="00A8138F" w:rsidP="00A8138F">
      <w:pPr>
        <w:pStyle w:val="TextoNormal"/>
      </w:pPr>
      <w:r>
        <w:t>Según se ha expuesto detalladamente en los antecedentes, los argumentos del Gobierno para fundamentar su disconformidad con la tramitación de la iniciativa se pueden resumir en dos:</w:t>
      </w:r>
    </w:p>
    <w:p w14:paraId="1299A101" w14:textId="77777777" w:rsidR="00A8138F" w:rsidRDefault="00A8138F" w:rsidP="00A8138F">
      <w:pPr>
        <w:pStyle w:val="TextoNormal"/>
      </w:pPr>
    </w:p>
    <w:p w14:paraId="035EAB8E" w14:textId="77777777" w:rsidR="00A8138F" w:rsidRDefault="00A8138F" w:rsidP="00A8138F">
      <w:pPr>
        <w:pStyle w:val="TextoNormal"/>
      </w:pPr>
      <w:r>
        <w:t>(i) La proposición de ley da lugar a una disminución de ingresos y a un aumento de los créditos presupuestarios en las concretas partidas que se identifican. El ejecutivo admite que, a la vista de la fecha de entrada en vigor —el 1 de enero de 2024—, los efectos afectarían a los presupuestos del ejercicio 2024, que todavía no estaban ni siquiera presentados, pero advierte que, a falta de aprobación en tiempo, se prorrogarían los presupuestos de 2023.</w:t>
      </w:r>
    </w:p>
    <w:p w14:paraId="21A6D931" w14:textId="77777777" w:rsidR="00A8138F" w:rsidRDefault="00A8138F" w:rsidP="00A8138F">
      <w:pPr>
        <w:pStyle w:val="TextoNormal"/>
      </w:pPr>
    </w:p>
    <w:p w14:paraId="7E780640" w14:textId="77777777" w:rsidR="00A8138F" w:rsidRDefault="00A8138F" w:rsidP="00A8138F">
      <w:pPr>
        <w:pStyle w:val="TextoNormal"/>
      </w:pPr>
      <w:r>
        <w:t>Además, al ser la proposición de ley de contenido tributario, sostiene que sus efectos se producirían incluso antes de entrar en vigor, pues los ciudadanos podrían aplazar ciertas decisiones económicas, reduciendo así los ingresos tributarios ya en 2023.</w:t>
      </w:r>
    </w:p>
    <w:p w14:paraId="2F340737" w14:textId="77777777" w:rsidR="00A8138F" w:rsidRDefault="00A8138F" w:rsidP="00A8138F">
      <w:pPr>
        <w:pStyle w:val="TextoNormal"/>
      </w:pPr>
    </w:p>
    <w:p w14:paraId="5962F451" w14:textId="77777777" w:rsidR="00A8138F" w:rsidRDefault="00A8138F" w:rsidP="00A8138F">
      <w:pPr>
        <w:pStyle w:val="TextoNormal"/>
      </w:pPr>
      <w:r>
        <w:t>(ii) En cualquier caso, considera que la potestad del art. 134.6 CE no debe ceñirse a los presupuestos anuales, sino que debe interpretarse a la luz de los objetivos plurianuales de estabilidad presupuestaria. Aunque la iniciativa no afecta formalmente al presupuesto en vigor, sí implica “una alteración material de sus principios fundamentales”, dado que el presupuesto de 2023 se enmarca en dichos objetivos.</w:t>
      </w:r>
    </w:p>
    <w:p w14:paraId="755A13A9" w14:textId="77777777" w:rsidR="00A8138F" w:rsidRDefault="00A8138F" w:rsidP="00A8138F">
      <w:pPr>
        <w:pStyle w:val="TextoNormal"/>
      </w:pPr>
    </w:p>
    <w:p w14:paraId="6FB80730" w14:textId="1FE8F161" w:rsidR="00A8138F" w:rsidRDefault="00A8138F" w:rsidP="00A8138F">
      <w:pPr>
        <w:pStyle w:val="TextoNormal"/>
      </w:pPr>
      <w:r>
        <w:t xml:space="preserve">Por su parte, la letrada de las Cortes Generales, en representación del Senado, niega cualquier menoscabo en la atribución del Gobierno prevista en el art. 134.6 CE. Recuerda la doctrina del tribunal según la cual el llamado “veto presupuestario” solo puede ejercerse respecto del presupuesto del ejercicio en curso, lo que aquí no se cumple, dado que la proposición de ley se presentó en el año 2023, pero tenía prevista su entrada en vigor el 1 de enero de 2024. Pone de manifiesto que el Gobierno conoce esta doctrina y por eso propone que se cambie con el argumento de la planificación plurianual de los ingresos. A juicio de la letrada parlamentaria, este </w:t>
      </w:r>
      <w:r w:rsidRPr="00A8138F">
        <w:rPr>
          <w:i/>
        </w:rPr>
        <w:t>overruling</w:t>
      </w:r>
      <w:r>
        <w:t xml:space="preserve"> puede tener graves consecuencias para el ejercicio de la función legislativa, para los derechos de los parlamentarios y para el principio de seguridad jurídica.</w:t>
      </w:r>
    </w:p>
    <w:p w14:paraId="56233F03" w14:textId="77777777" w:rsidR="00A8138F" w:rsidRDefault="00A8138F" w:rsidP="00A8138F">
      <w:pPr>
        <w:pStyle w:val="TextoNormal"/>
      </w:pPr>
    </w:p>
    <w:p w14:paraId="54E3746E" w14:textId="77777777" w:rsidR="00A8138F" w:rsidRDefault="00A8138F" w:rsidP="00A8138F">
      <w:pPr>
        <w:pStyle w:val="TextoNormal"/>
      </w:pPr>
      <w:r w:rsidRPr="00A8138F">
        <w:rPr>
          <w:rStyle w:val="NumeroAFNegritaCaracter"/>
        </w:rPr>
        <w:t>2</w:t>
      </w:r>
      <w:r>
        <w:t xml:space="preserve">. </w:t>
      </w:r>
      <w:r w:rsidRPr="00A8138F">
        <w:rPr>
          <w:i/>
        </w:rPr>
        <w:t>Precisiones previas</w:t>
      </w:r>
    </w:p>
    <w:p w14:paraId="6D35CFF4" w14:textId="77777777" w:rsidR="00A8138F" w:rsidRDefault="00A8138F" w:rsidP="00A8138F">
      <w:pPr>
        <w:pStyle w:val="TextoNormal"/>
      </w:pPr>
    </w:p>
    <w:p w14:paraId="415C0A52" w14:textId="77777777" w:rsidR="00A8138F" w:rsidRDefault="00A8138F" w:rsidP="00A8138F">
      <w:pPr>
        <w:pStyle w:val="TextoNormal"/>
      </w:pPr>
      <w:r>
        <w:t>Antes de entrar en el examen del fondo del conflicto, conviene hacer las siguientes precisiones previas sobre su objeto.</w:t>
      </w:r>
    </w:p>
    <w:p w14:paraId="67ABB3D7" w14:textId="77777777" w:rsidR="00A8138F" w:rsidRDefault="00A8138F" w:rsidP="00A8138F">
      <w:pPr>
        <w:pStyle w:val="TextoNormal"/>
      </w:pPr>
    </w:p>
    <w:p w14:paraId="1A96570A" w14:textId="77777777" w:rsidR="00A8138F" w:rsidRDefault="00A8138F" w:rsidP="00A8138F">
      <w:pPr>
        <w:pStyle w:val="TextoNormal"/>
      </w:pPr>
      <w:r>
        <w:t>a) En primer lugar, debemos corroborar que los acuerdos impugnados de la mesa del Senado se adecuan al objeto propio del conflicto entre órganos constitucionales del Estado. Ninguna de las partes comparecidas ha cuestionado tal encaje en este tipo de proceso constitucional, refiriéndose, además, de modo expreso, a los precedentes en que este tribunal ha analizado casos análogos. En concreto, tanto el abogado del Estado como la letrada de las Cortes Generales hacen una amplia cita de las SSTC 34/2018, de 12 de abril, y 44/2018, de 26 de abril, por las que se resuelven sendos conflictos que planteó el Gobierno ante la negativa de la mesa del Congreso de los Diputados a aceptar la oposición de aquel a la tramitación de una proposición de ley con fundamento en el art. 134.6 CE. Como afirma el abogado del Estado, el presente conflicto es la tercera ocasión en que se plantea el posible menoscabo de la competencia del Gobierno prevista en el art. 134.6 CE por la negativa de una Cámara a aceptar el veto presupuestario. Ahora se trata del Senado, mientras que los precedentes indicados se refieren al Congreso de los Diputados.</w:t>
      </w:r>
    </w:p>
    <w:p w14:paraId="52B4B279" w14:textId="77777777" w:rsidR="00A8138F" w:rsidRDefault="00A8138F" w:rsidP="00A8138F">
      <w:pPr>
        <w:pStyle w:val="TextoNormal"/>
      </w:pPr>
    </w:p>
    <w:p w14:paraId="1FDECBAB" w14:textId="77777777" w:rsidR="00A8138F" w:rsidRDefault="00A8138F" w:rsidP="00A8138F">
      <w:pPr>
        <w:pStyle w:val="TextoNormal"/>
      </w:pPr>
      <w:r>
        <w:t>Así pues, hemos de concluir que los acuerdos de la mesa del Senado que aquí se impugnan se acomodan al objeto del conflicto entre órganos constitucionales del Estado, pues la controversia se refiere al menoscabo de la competencia prevista en los arts. 134.6 CE y 151 RS, que confieren al Gobierno la potestad de no prestar su conformidad a la tramitación de aquellas enmiendas o proposiciones de ley que supongan un aumento de los créditos o una disminución de los ingresos presupuestarios.</w:t>
      </w:r>
    </w:p>
    <w:p w14:paraId="205C1BAD" w14:textId="77777777" w:rsidR="00A8138F" w:rsidRDefault="00A8138F" w:rsidP="00A8138F">
      <w:pPr>
        <w:pStyle w:val="TextoNormal"/>
      </w:pPr>
    </w:p>
    <w:p w14:paraId="1ADCF9D4" w14:textId="77777777" w:rsidR="00A8138F" w:rsidRDefault="00A8138F" w:rsidP="00A8138F">
      <w:pPr>
        <w:pStyle w:val="TextoNormal"/>
      </w:pPr>
      <w:r>
        <w:t>b) El conflicto se plantea a raíz de la proposición de ley presentada por el Grupo Parlamentario Popular del Senado para que se derogue la ley reguladora del impuesto sobre sucesiones y donaciones, a fin de que “qued[e] definitivamente suprimido este impuesto del ordenamiento tributario español”.</w:t>
      </w:r>
    </w:p>
    <w:p w14:paraId="1834D7E3" w14:textId="77777777" w:rsidR="00A8138F" w:rsidRDefault="00A8138F" w:rsidP="00A8138F">
      <w:pPr>
        <w:pStyle w:val="TextoNormal"/>
      </w:pPr>
    </w:p>
    <w:p w14:paraId="4D61F21C" w14:textId="77777777" w:rsidR="00A8138F" w:rsidRDefault="00A8138F" w:rsidP="00A8138F">
      <w:pPr>
        <w:pStyle w:val="TextoNormal"/>
      </w:pPr>
      <w:r>
        <w:t xml:space="preserve">El impuesto sobre sucesiones y donaciones es un impuesto cedido a las comunidades autónomas, de acuerdo con lo previsto en la normativa reguladora del sistema de financiación [arts. 11 c) de la Ley Orgánica de financiación de las comunidades autónomas y 25.1 c) de la Ley 22/2009]. Ahora bien, la recaudación que se cede es solo la producida en el territorio de una comunidad autónoma, de acuerdo con los criterios de conexión que establece el art. 32 de la Ley 22/2009. En el resto de los casos, la recaudación del impuesto sobre sucesiones y donaciones no está cedida, sino que corresponde al Estado. En concreto: (i) en las adquisiciones </w:t>
      </w:r>
      <w:r w:rsidRPr="00A8138F">
        <w:rPr>
          <w:i/>
        </w:rPr>
        <w:t>mortis causa</w:t>
      </w:r>
      <w:r>
        <w:t xml:space="preserve">, cuando el causante o el adquirente no sean residentes en España; (ii) en las adquisiciones </w:t>
      </w:r>
      <w:r w:rsidRPr="00A8138F">
        <w:rPr>
          <w:i/>
        </w:rPr>
        <w:t>inter vivos</w:t>
      </w:r>
      <w:r>
        <w:t xml:space="preserve"> de inmuebles, cuando estén situados en el extranjero; y (iii) en las adquisiciones </w:t>
      </w:r>
      <w:r w:rsidRPr="00A8138F">
        <w:rPr>
          <w:i/>
        </w:rPr>
        <w:t>inter vivos</w:t>
      </w:r>
      <w:r>
        <w:t xml:space="preserve"> de bienes muebles, cuando el adquirente no sea residente en España.</w:t>
      </w:r>
    </w:p>
    <w:p w14:paraId="16EB2A86" w14:textId="77777777" w:rsidR="00A8138F" w:rsidRDefault="00A8138F" w:rsidP="00A8138F">
      <w:pPr>
        <w:pStyle w:val="TextoNormal"/>
      </w:pPr>
    </w:p>
    <w:p w14:paraId="43393B65" w14:textId="77777777" w:rsidR="00A8138F" w:rsidRDefault="00A8138F" w:rsidP="00A8138F">
      <w:pPr>
        <w:pStyle w:val="TextoNormal"/>
      </w:pPr>
      <w:r>
        <w:t>Lo anterior explica que, tal y como alega el abogado del Estado, la eventual supresión del impuesto sobre sucesiones y donaciones sea susceptible de producir efectos tanto en el presupuesto de ingresos del Estado, por la pérdida de la recaudación que no está cedida a las comunidades autónomas; como en el presupuesto de gastos, por la obligación que establece la disposición transitoria segunda de la proposición de ley de que el Estado compense a aquellas por la parte correspondiente al impuesto cedido.</w:t>
      </w:r>
    </w:p>
    <w:p w14:paraId="2AA7C144" w14:textId="77777777" w:rsidR="00A8138F" w:rsidRDefault="00A8138F" w:rsidP="00A8138F">
      <w:pPr>
        <w:pStyle w:val="TextoNormal"/>
      </w:pPr>
    </w:p>
    <w:p w14:paraId="2B9D6740" w14:textId="77777777" w:rsidR="00A8138F" w:rsidRDefault="00A8138F" w:rsidP="00A8138F">
      <w:pPr>
        <w:pStyle w:val="TextoNormal"/>
      </w:pPr>
      <w:r>
        <w:t>c) La proposición de ley que da origen al presente conflicto vino precedida de otra presentada el 21 de septiembre de 2023 (núm. 622/000007, “BOCG”-Senado del 28 de septiembre) por el mismo grupo parlamentario y con el mismo título y contenido. La única diferencia entre ambas era que la núm. 622/000007 preveía la entrada en vigor de la derogación del impuesto sobre sucesiones y donaciones de forma inmediata (al día siguiente de la publicación en el “BOE”), mientras que en el caso de la núm. 622/000014, objeto de este proceso, queda fijada para el día 1 de enero de 2024.</w:t>
      </w:r>
    </w:p>
    <w:p w14:paraId="131CD5DA" w14:textId="77777777" w:rsidR="00A8138F" w:rsidRDefault="00A8138F" w:rsidP="00A8138F">
      <w:pPr>
        <w:pStyle w:val="TextoNormal"/>
      </w:pPr>
    </w:p>
    <w:p w14:paraId="6B9D62DE" w14:textId="77777777" w:rsidR="00A8138F" w:rsidRDefault="00A8138F" w:rsidP="00A8138F">
      <w:pPr>
        <w:pStyle w:val="TextoNormal"/>
      </w:pPr>
      <w:r>
        <w:t>Pues bien, la disconformidad que opuso el Gobierno respecto de la proposición núm. 622/000007, que preveía la entrada en vigor inmediata, sí fue aceptada por la mesa del Senado, que dio por concluida su tramitación (acuerdo de 17 de octubre de 2023, “BOCG” de 19 de octubre). En cambio, respecto de la proposición núm. 622/000014, la mesa rechazó el veto, con el argumento de que, al referirse a un ejercicio presupuestario futuro, no cabe oponerse a su tramitación.</w:t>
      </w:r>
    </w:p>
    <w:p w14:paraId="25EC2F5C" w14:textId="77777777" w:rsidR="00A8138F" w:rsidRDefault="00A8138F" w:rsidP="00A8138F">
      <w:pPr>
        <w:pStyle w:val="TextoNormal"/>
      </w:pPr>
    </w:p>
    <w:p w14:paraId="13A72AAA" w14:textId="1B203C49" w:rsidR="00A8138F" w:rsidRDefault="00A8138F" w:rsidP="00A8138F">
      <w:pPr>
        <w:pStyle w:val="TextoNormal"/>
      </w:pPr>
      <w:r>
        <w:t>Por tanto, la cuestión a resolver en este proceso es si, al rechazar el veto presupuestario del Gobierno, la mesa del Senado ha menoscabado la prerrogativa reconocida en el art. 134.6 CE.</w:t>
      </w:r>
    </w:p>
    <w:p w14:paraId="5436FD0C" w14:textId="77777777" w:rsidR="00A8138F" w:rsidRDefault="00A8138F" w:rsidP="00A8138F">
      <w:pPr>
        <w:pStyle w:val="TextoNormal"/>
      </w:pPr>
    </w:p>
    <w:p w14:paraId="355F1030" w14:textId="77777777" w:rsidR="00A8138F" w:rsidRDefault="00A8138F" w:rsidP="00A8138F">
      <w:pPr>
        <w:pStyle w:val="TextoNormal"/>
      </w:pPr>
      <w:r w:rsidRPr="00A8138F">
        <w:rPr>
          <w:rStyle w:val="NumeroAFNegritaCaracter"/>
        </w:rPr>
        <w:t>3</w:t>
      </w:r>
      <w:r>
        <w:t xml:space="preserve">. </w:t>
      </w:r>
      <w:r w:rsidRPr="00A8138F">
        <w:rPr>
          <w:i/>
        </w:rPr>
        <w:t>Doctrina constitucional aplicable</w:t>
      </w:r>
    </w:p>
    <w:p w14:paraId="6F361E54" w14:textId="77777777" w:rsidR="00A8138F" w:rsidRDefault="00A8138F" w:rsidP="00A8138F">
      <w:pPr>
        <w:pStyle w:val="TextoNormal"/>
      </w:pPr>
    </w:p>
    <w:p w14:paraId="1BA75391" w14:textId="77777777" w:rsidR="00A8138F" w:rsidRDefault="00A8138F" w:rsidP="00A8138F">
      <w:pPr>
        <w:pStyle w:val="TextoNormal"/>
      </w:pPr>
      <w:r>
        <w:t xml:space="preserve">Sobre la facultad del denominado veto presupuestario del art. 134.6 CE existe una consolidada doctrina que el tribunal ha ido elaborando tanto al resolver los conflictos constitucionales de competencia planteados cuando la Cámara correspondiente ha rechazado el veto (caso de las anteriormente citadas SSTC 34/2018 y 44/2018); como al enjuiciar los recursos de amparo interpuestos por los parlamentarios cuando la mesa sí lo ha aceptado, por posible vulneración del </w:t>
      </w:r>
      <w:r w:rsidRPr="00A8138F">
        <w:rPr>
          <w:i/>
        </w:rPr>
        <w:t>ius in officium</w:t>
      </w:r>
      <w:r>
        <w:t xml:space="preserve"> (entre otras, SSTC 242/2006, de 24 de julio; 94/2018, de 17 de septiembre; 139/2018, de 17 de diciembre; 17/2019, de 11 de febrero; 53/2021, de 15 de marzo, y 132/2023, de 23 de octubre); o en un supuesto en que se enjuiciaban las resoluciones de la presidencia del Senado que declararon la nulidad de la votación de una enmienda en el Pleno de la Cámara (STC 167/2023, de 22 de noviembre).</w:t>
      </w:r>
    </w:p>
    <w:p w14:paraId="42DF992E" w14:textId="77777777" w:rsidR="00A8138F" w:rsidRDefault="00A8138F" w:rsidP="00A8138F">
      <w:pPr>
        <w:pStyle w:val="TextoNormal"/>
      </w:pPr>
    </w:p>
    <w:p w14:paraId="7066AA96" w14:textId="77777777" w:rsidR="00A8138F" w:rsidRDefault="00A8138F" w:rsidP="00A8138F">
      <w:pPr>
        <w:pStyle w:val="TextoNormal"/>
      </w:pPr>
      <w:r>
        <w:t>a) La doctrina sentada en las citadas resoluciones parte del sistema de contrapoderes que se proyecta sobre el presupuesto en nuestro sistema parlamentario, concretado en el art. 134 CE. La ley de presupuestos es una norma singular por su vinculación inmediata con la propia función del Gobierno, a quien corresponde la dirección y orientación de la política económica, como afirmó tempranamente este tribunal en la STC 27/1981, de 20 de julio, FJ 2, y ha reiterado después en numerosas ocasiones (por todas, SSTC 76/1992, de 14 de mayo, FJ 4; 223/2006, de 6 de julio, FJ 5, y 206/2013, de 5 de diciembre, FJ 2).</w:t>
      </w:r>
    </w:p>
    <w:p w14:paraId="1BD45AF8" w14:textId="77777777" w:rsidR="00A8138F" w:rsidRDefault="00A8138F" w:rsidP="00A8138F">
      <w:pPr>
        <w:pStyle w:val="TextoNormal"/>
      </w:pPr>
    </w:p>
    <w:p w14:paraId="2BF14124" w14:textId="77777777" w:rsidR="00A8138F" w:rsidRDefault="00A8138F" w:rsidP="00A8138F">
      <w:pPr>
        <w:pStyle w:val="TextoNormal"/>
      </w:pPr>
      <w:r>
        <w:t>Esta singularidad se refleja en el art. 134 CE, según el cual la iniciativa en materia presupuestaria corresponde en exclusiva al Gobierno, que controla las cifras generales del documento presupuestario (apartados 1, 5 y 6 del art. 134 CE), y al que también compete la ejecución. Por su parte, el art. 134.1 CE atribuye a las Cortes Generales el examen, enmienda y aprobación de la ley de presupuestos (principio de legalidad presupuestaria) (SSTC 34/2018, FJ 6, y 44/2018, FJ 4).</w:t>
      </w:r>
    </w:p>
    <w:p w14:paraId="3EF56001" w14:textId="77777777" w:rsidR="00A8138F" w:rsidRDefault="00A8138F" w:rsidP="00A8138F">
      <w:pPr>
        <w:pStyle w:val="TextoNormal"/>
      </w:pPr>
    </w:p>
    <w:p w14:paraId="159E828C" w14:textId="77777777" w:rsidR="00A8138F" w:rsidRDefault="00A8138F" w:rsidP="00A8138F">
      <w:pPr>
        <w:pStyle w:val="TextoNormal"/>
      </w:pPr>
      <w:r>
        <w:t>Debido a su naturaleza de ley temporal, la autorización del Parlamento tiene un plazo de vigencia constitucionalmente limitado, de acuerdo con el principio de anualidad que recoge el art. 134.2 CE, sin perjuicio de la posibilidad de que esa vigencia resulte temporalmente prorrogada en el caso de que, como indica el art. 134.4 CE, “la ley de presupuestos no se aprobara antes del primer día del ejercicio económico correspondiente” (SSTC 32/2000, de 3 de febrero, FJ 2; 109/2001, de 26 de abril, FJ 5, 67/2002, de 21 de marzo, FJ 3; 34/2018, FJ 6, y 44/2018, FJ 4).</w:t>
      </w:r>
    </w:p>
    <w:p w14:paraId="72DA4572" w14:textId="77777777" w:rsidR="00A8138F" w:rsidRDefault="00A8138F" w:rsidP="00A8138F">
      <w:pPr>
        <w:pStyle w:val="TextoNormal"/>
      </w:pPr>
    </w:p>
    <w:p w14:paraId="40095EB0" w14:textId="77777777" w:rsidR="00A8138F" w:rsidRDefault="00A8138F" w:rsidP="00A8138F">
      <w:pPr>
        <w:pStyle w:val="TextoNormal"/>
      </w:pPr>
      <w:r>
        <w:t>Este reparto de poderes entre el poder ejecutivo (elaboración y ejecución) y el poder legislativo (aprobación) hace que la ley de presupuestos tenga un contenido singular, acotado tanto positivamente, pues debe incluir “la totalidad de los gastos e ingresos del sector público estatal” y consignar “el importe de los beneficios fiscales que afecten a los tributos del Estado” (art. 134.2 CE); como negativamente, ya que no puede crear tributos (art. 134.7 CE) ni incluir materias no directamente vinculadas con el presupuesto. El papel preponderante del Gobierno en la elaboración y ejecución del presupuesto es común a todos los Estados de nuestro entorno, sin que ello implique un desplazamiento o preterición del Parlamento.</w:t>
      </w:r>
    </w:p>
    <w:p w14:paraId="1E78E8C7" w14:textId="77777777" w:rsidR="00A8138F" w:rsidRDefault="00A8138F" w:rsidP="00A8138F">
      <w:pPr>
        <w:pStyle w:val="TextoNormal"/>
      </w:pPr>
    </w:p>
    <w:p w14:paraId="33A09085" w14:textId="77777777" w:rsidR="00A8138F" w:rsidRDefault="00A8138F" w:rsidP="00A8138F">
      <w:pPr>
        <w:pStyle w:val="TextoNormal"/>
      </w:pPr>
      <w:r>
        <w:t>Una vez aprobado el presupuesto, el Gobierno puede incidir de forma directa sobre el volumen del gasto público autorizado y de los ingresos estimados; bien de forma positiva, presentando proyectos de ley con incidencia en ellos (art. 134.5 CE), bien de forma negativa, no prestando su conformidad a la tramitación de proposiciones de ley o enmiendas que supongan una alteración del presupuesto, en forma de aumento de créditos o disminución de ingresos (art. 134.6 CE). Estas potestades, exclusivas del Gobierno, no se proyectan sobre cualquier norma, sino que se encuentran lógicamente vinculadas al presupuesto aprobado por el Parlamento y, por ello mismo, sujetas a los límites indicados en el art. 134 CE (por todas, STC 44/2018, FJ 4).</w:t>
      </w:r>
    </w:p>
    <w:p w14:paraId="52F35768" w14:textId="77777777" w:rsidR="00A8138F" w:rsidRDefault="00A8138F" w:rsidP="00A8138F">
      <w:pPr>
        <w:pStyle w:val="TextoNormal"/>
      </w:pPr>
    </w:p>
    <w:p w14:paraId="012B7B45" w14:textId="77777777" w:rsidR="00A8138F" w:rsidRDefault="00A8138F" w:rsidP="00A8138F">
      <w:pPr>
        <w:pStyle w:val="TextoNormal"/>
      </w:pPr>
      <w:r>
        <w:t>b) Específicamente, respecto del art. 134.6 CE, el tribunal ha subrayado que la limitación que establece solo es predicable de las medidas que incidan directamente sobre los presupuestos generales del Estado aprobados, esto es, sobre “los gastos e ingresos del sector público estatal” (art. 134.2 CE). En ambos casos, la propia literalidad de la norma constitucional refiere la potestad del Gobierno a los ingresos y gastos que estén efectivamente reflejados en el presupuesto. Lógicamente, rara vez las iniciativas parlamentarias serán enteramente neutrales en relación con las cuentas públicas, de modo que cualquier propuesta de medida legislativa es susceptible de tener impacto sobre el volumen de los ingresos y gastos públicos, siquiera de forma hipotética o indirecta o, en todo caso, un impacto económico sobre alguna política pública. Ahora bien, la prerrogativa del Gobierno a que se refiere el art. 134.6 CE, cuyo efecto limitador de la actividad misma del Parlamento es evidente, se ciñe a aquellas medidas cuya incidencia sobre el presupuesto del Estado sea real y efectiva. Lo contrario supondría una interpretación extensiva de los límites contenidos en el art. 134 CE (por todas, SSTC 34/2018, FJ 6, y 44/2018, FJ 4).</w:t>
      </w:r>
    </w:p>
    <w:p w14:paraId="25231B60" w14:textId="77777777" w:rsidR="00A8138F" w:rsidRDefault="00A8138F" w:rsidP="00A8138F">
      <w:pPr>
        <w:pStyle w:val="TextoNormal"/>
      </w:pPr>
    </w:p>
    <w:p w14:paraId="27389120" w14:textId="77777777" w:rsidR="00A8138F" w:rsidRDefault="00A8138F" w:rsidP="00A8138F">
      <w:pPr>
        <w:pStyle w:val="TextoNormal"/>
      </w:pPr>
      <w:r>
        <w:t xml:space="preserve">Para el ejercicio de la potestad que le reconoce el art. 134.6 CE, el Gobierno debe expresar la incidencia de la iniciativa parlamentaria en el presupuesto, precisando las concretas partidas que se verían afectadas. El ejecutivo dispone de un amplio margen de apreciación en su estimación acerca de si la enmienda o proposición de ley en cuestión afecta o no, y en qué medida, a los ingresos y los gastos del presupuesto, siempre de acuerdo con el principio de lealtad institucional. Ahora bien, la mesa de la Cámara puede pronunciarse sobre el carácter manifiestamente infundado del criterio del Gobierno cuando resulte evidente, a la vista de la propia motivación aportada por este, que no queda justificada la afectación de la iniciativa a los ingresos y gastos contenidos en el presupuesto </w:t>
      </w:r>
      <w:r w:rsidRPr="00A8138F">
        <w:rPr>
          <w:i/>
        </w:rPr>
        <w:t>en vigor</w:t>
      </w:r>
      <w:r>
        <w:t xml:space="preserve">. Tal función de la mesa tendrá siempre carácter jurídico-técnico, no pudiendo responder en ningún caso a criterios de oportunidad política. A partir de esa limitada función de control, la mesa podrá rechazar la disconformidad del Gobierno en aquellos casos en los que este no haya justificado que la proposición de ley o enmienda a cuya tramitación se opone afectan al presupuesto </w:t>
      </w:r>
      <w:r w:rsidRPr="00A8138F">
        <w:rPr>
          <w:i/>
        </w:rPr>
        <w:t>en curso</w:t>
      </w:r>
      <w:r>
        <w:t xml:space="preserve"> [STC 44/2018, FJ 5 d), cursivas añadidas].</w:t>
      </w:r>
    </w:p>
    <w:p w14:paraId="4AA7E5FB" w14:textId="77777777" w:rsidR="00A8138F" w:rsidRDefault="00A8138F" w:rsidP="00A8138F">
      <w:pPr>
        <w:pStyle w:val="TextoNormal"/>
      </w:pPr>
    </w:p>
    <w:p w14:paraId="51E28FB3" w14:textId="77777777" w:rsidR="00A8138F" w:rsidRDefault="00A8138F" w:rsidP="00A8138F">
      <w:pPr>
        <w:pStyle w:val="TextoNormal"/>
      </w:pPr>
      <w:r>
        <w:t xml:space="preserve">c) En particular, sobre el requisito de que el veto se refiera a una iniciativa que afecte al presupuesto en curso, las SSTC 34/2018, FJ 7 b) y 44/2018, FJ 5 b) parten de que la facultad del art. 134.6 CE está lógicamente vinculada con el propio carácter anual del presupuesto (art. 134.2 CE) y tiene como finalidad salvaguardar la disposición del Gobierno sobre su propio plan económico, una vez autorizado por el Parlamento. Como afirmó la STC 242/2006, FJ 3, la potestad gubernamental </w:t>
      </w:r>
      <w:r w:rsidRPr="00A8138F">
        <w:rPr>
          <w:i/>
        </w:rPr>
        <w:t>ex</w:t>
      </w:r>
      <w:r>
        <w:t xml:space="preserve"> art. 134.6 CE “se basa en la confianza concedida al Gobierno a través de la aprobación del presupuesto para ejecutar su programa anual de política económica sin que este sea desnaturalizado a través de iniciativas legislativas parlamentarias”. Por ello, esa potestad debe entenderse como un instrumento que permite al Gobierno defender su legítimo ámbito de actuación constitucionalmente previsto.</w:t>
      </w:r>
    </w:p>
    <w:p w14:paraId="1F3B0F4B" w14:textId="77777777" w:rsidR="00A8138F" w:rsidRDefault="00A8138F" w:rsidP="00A8138F">
      <w:pPr>
        <w:pStyle w:val="TextoNormal"/>
      </w:pPr>
    </w:p>
    <w:p w14:paraId="45941B7E" w14:textId="77777777" w:rsidR="00A8138F" w:rsidRDefault="00A8138F" w:rsidP="00A8138F">
      <w:pPr>
        <w:pStyle w:val="TextoNormal"/>
      </w:pPr>
      <w:r>
        <w:t>Según las citadas sentencias, a los efectos del art. 134.6 CE, lo determinante es que la conformidad del Gobierno ha de referirse siempre al presupuesto en vigor en cada momento, en coherencia con el principio de anualidad contenido en el mismo artículo, entendiendo por tal tanto el autorizado expresamente como incluso el que ha sido objeto de prórroga presupuestaria (art. 134.4 CE), pues no por ello deja de cumplir la función esencial de vehículo de dirección y orientación de la política económica del Gobierno. Consecuencia de esto es que el veto presupuestario no podrá ejercerse en relación con presupuestos futuros, que aún no han sido elaborados por el Gobierno ni sometidos, por tanto, al proceso de aprobación regulado en el art. 134 CE. Ciertamente, todo presupuesto está lógica y temporalmente conectado con las cuentas públicas aprobadas en ejercicios anteriores y con las que se prevé elaborar para los ejercicios futuros, lo que encuentra su reflejo más evidente en los denominados “escenarios presupuestarios plurianuales” a que se refiere la Ley 47/2003, de 26 de noviembre, general presupuestaria (arts. 26 y ss.). Sin embargo, tal conexión plurianual no desnaturaliza el carácter anual del presupuesto, por lo que el ejercicio por el Gobierno de la potestad de veto ha de entenderse restringido a las proposiciones o enmiendas que afecten al presupuesto del ejercicio en curso.</w:t>
      </w:r>
    </w:p>
    <w:p w14:paraId="46C87BAF" w14:textId="77777777" w:rsidR="00A8138F" w:rsidRDefault="00A8138F" w:rsidP="00A8138F">
      <w:pPr>
        <w:pStyle w:val="TextoNormal"/>
      </w:pPr>
    </w:p>
    <w:p w14:paraId="1625F308" w14:textId="758F74C0" w:rsidR="00A8138F" w:rsidRDefault="00A8138F" w:rsidP="00A8138F">
      <w:pPr>
        <w:pStyle w:val="TextoNormal"/>
      </w:pPr>
      <w:r>
        <w:t>La STC 94/2018, de 17 de septiembre, desarrolló el razonamiento anterior para descartar la tesis del Gobierno según la cual la proposición de ley vetada, si bien no incidía al presupuesto en curso (pues retrasaba su aplicación al ejercicio siguiente), sí afectaba al principio de estabilidad presupuestaria del art. 135 CE. El Tribunal fue concluyente al responder que dicho argumento “contraviene la doctrina de este tribunal […] que, con claridad, ha delimitado el ámbito temporal de la aplicación de la potestad gubernamental de referencia, que lo circunscribe al ejercicio presupuestario en curso”. Prosigue afirmando que dicha interpretación “desnaturaliza la propia razón de ser de la potestad de veto del Gobierno del art. 134.6 CE [que] tiene su fundamento en la confianza que el Parlamento haya depositado en el ejecutivo para ejecutar un presupuesto que, previamente ha debatido, enmendado y definitivamente ha aprobado, de tal manera que, a partir de aquella aprobación, los presupuestos contienen el programa económico del Gobierno y es este el que debe tener el control de su efectiva realización, impidiendo cualesquiera actuaciones que puedan incidir negativamente en la realización de las partidas presupuestarias y sin que se vea sometido a iniciativas que interfieran en su ejecución”. A lo anterior añade que “el establecimiento de determinados objetivos de estabilidad para ‘escenarios presupuestarios plurianuales’, inmediatamente posteriores a los de un presupuesto en vigor, carecen de las características propias de la ejecución presupuestaria (por ejemplo, de partidas de gasto que hayan sido ya autorizadas por la ley de presupuestos correspondiente), y su eficacia se limita a determinar el marco en el que deberán elaborarse los presupuestos de ejercicios siguientes. Pero, ni las partidas de gasto, ni tampoco las específicas perspectivas de ingresos presupuestarios quedan concretadas y, mucho menos, autorizadas a su ejecución en aquel escenario de futuro, porque, en los citados períodos, los posibles cambios que experimenten los ciclos económicos y financieros, así como los que surjan de las nuevas necesidades sociales, requieren de la oportuna modificación de los objetivos que, lógicamente, deberán comportar también una actualización de aquellos, materializada en las posteriores leyes anuales de presupuestos, que deberán estar sometidas a la aprobación parlamentaria, al tiempo que la elaboración de las correspondientes partidas de ingresos y gastos, necesariamente deberá desarrollarse de acuerdo con los parámetros que aquellos hayan dispuesto”. Y concluye: “la decisión de aplicar la facultad del art. 134.6 CE a escenarios temporales posteriores a los de un presupuesto en vigor lleva consigo una extensión en la potestad de su ejercicio que excede del propio marco constitucional, que limita tal aplicación, como así lo ha declarado este tribunal, a las partidas presupuestarias que impliquen una modificación de las partidas de ingresos o de gastos ya autorizados y aprobados previamente por el Parlamento en la ley de presupuestos” [FJ 7 d)].</w:t>
      </w:r>
    </w:p>
    <w:p w14:paraId="6B0533E0" w14:textId="77777777" w:rsidR="00A8138F" w:rsidRDefault="00A8138F" w:rsidP="00A8138F">
      <w:pPr>
        <w:pStyle w:val="TextoNormal"/>
      </w:pPr>
    </w:p>
    <w:p w14:paraId="17457F3C" w14:textId="77777777" w:rsidR="00A8138F" w:rsidRDefault="00A8138F" w:rsidP="00A8138F">
      <w:pPr>
        <w:pStyle w:val="TextoNormal"/>
      </w:pPr>
      <w:r w:rsidRPr="00A8138F">
        <w:rPr>
          <w:rStyle w:val="NumeroAFNegritaCaracter"/>
        </w:rPr>
        <w:t>4</w:t>
      </w:r>
      <w:r>
        <w:t xml:space="preserve">. </w:t>
      </w:r>
      <w:r w:rsidRPr="00A8138F">
        <w:rPr>
          <w:i/>
        </w:rPr>
        <w:t>Aplicación al caso: desestimación</w:t>
      </w:r>
    </w:p>
    <w:p w14:paraId="7ED1BBC3" w14:textId="77777777" w:rsidR="00A8138F" w:rsidRDefault="00A8138F" w:rsidP="00A8138F">
      <w:pPr>
        <w:pStyle w:val="TextoNormal"/>
      </w:pPr>
    </w:p>
    <w:p w14:paraId="43F732DC" w14:textId="77777777" w:rsidR="00A8138F" w:rsidRDefault="00A8138F" w:rsidP="00A8138F">
      <w:pPr>
        <w:pStyle w:val="TextoNormal"/>
      </w:pPr>
      <w:r>
        <w:t>A partir de las consideraciones precedentes, debemos abordar el enjuiciamiento del conflicto planteado y determinar si, cuando el Gobierno manifestó su disconformidad a la tramitación de la proposición de ley (núm. 622/000014), por la que se deroga la Ley del impuesto sobre sucesiones y donaciones, lo hizo en el ejercicio legítimo de la potestad que le reconoce el art. 134.6 CE. En tal caso, el rechazo de la mesa del Senado habría menoscabado dicha atribución del Gobierno, debiendo estimarse el conflicto. En cambio, si el ejecutivo se excedió en el uso de su prerrogativa, el rechazo de la mesa estaría justificado, y deberá desestimarse.</w:t>
      </w:r>
    </w:p>
    <w:p w14:paraId="72737DE8" w14:textId="77777777" w:rsidR="00A8138F" w:rsidRDefault="00A8138F" w:rsidP="00A8138F">
      <w:pPr>
        <w:pStyle w:val="TextoNormal"/>
      </w:pPr>
    </w:p>
    <w:p w14:paraId="72ACB52A" w14:textId="77777777" w:rsidR="00A8138F" w:rsidRDefault="00A8138F" w:rsidP="00A8138F">
      <w:pPr>
        <w:pStyle w:val="TextoNormal"/>
      </w:pPr>
      <w:r>
        <w:t>a) Tal y como se ha expuesto en los antecedentes, el Gobierno defiende su competencia con un argumento principal y otro subsidiario. En cuanto al primero, sostiene que el veto opuesto se ajusta a la doctrina constitucional porque, aunque la supresión del impuesto sobre sucesiones y donaciones entraba en vigor el 1 de enero de 2024 y, en principio, solo produciría efectos en los presupuestos del ejercicio 2024, no era previsible que estos se aprobaran en plazo, por lo que se prorrogarían los de 2023. A esto añade que, siendo una medida tributaria, su impacto se anticiparía a 2023, al influir en la conducta de los contribuyentes (“efecto anuncio”). En segundo término, para el caso de no aceptarse lo anterior, solicita que el tribunal modifique su doctrina, admitiendo que el veto se ejerza respecto de medidas que afecten los objetivos plurianuales de estabilidad presupuestaria que “materialmente” subyacen al presupuesto en curso.</w:t>
      </w:r>
    </w:p>
    <w:p w14:paraId="62AC3190" w14:textId="77777777" w:rsidR="00A8138F" w:rsidRDefault="00A8138F" w:rsidP="00A8138F">
      <w:pPr>
        <w:pStyle w:val="TextoNormal"/>
      </w:pPr>
    </w:p>
    <w:p w14:paraId="1EAFBDC7" w14:textId="77777777" w:rsidR="00A8138F" w:rsidRDefault="00A8138F" w:rsidP="00A8138F">
      <w:pPr>
        <w:pStyle w:val="TextoNormal"/>
      </w:pPr>
      <w:r>
        <w:t>b) Debemos comenzar descartando la interpretación que postula el abogado del Estado y ratificar nuestra consolidada doctrina, expuesta en el fundamento jurídico anterior, según la cual la potestad gubernamental del art. 134.6 CE se refiere siempre al presupuesto en vigor en cada momento, en coherencia con el principio de anualidad presupuestaria. Así lo viene manteniendo invariablemente el tribunal ya desde la STC 242/2006, FJ 3, y en las posteriores SSTC 34/2018, FJ 7 b); 44/2018, FJ 5 b); 94/2018, FJ 7 d); 139/2018, FJ 6 b); 17/2019, FJ 4 a); 53/2021, FJ 5; 132/2023, FJ 3, y 167/2023, FJ 10.</w:t>
      </w:r>
    </w:p>
    <w:p w14:paraId="25BEEC22" w14:textId="77777777" w:rsidR="00A8138F" w:rsidRDefault="00A8138F" w:rsidP="00A8138F">
      <w:pPr>
        <w:pStyle w:val="TextoNormal"/>
      </w:pPr>
    </w:p>
    <w:p w14:paraId="0ED8D570" w14:textId="77777777" w:rsidR="00A8138F" w:rsidRDefault="00A8138F" w:rsidP="00A8138F">
      <w:pPr>
        <w:pStyle w:val="TextoNormal"/>
      </w:pPr>
      <w:r>
        <w:t>En particular, en las SSTC 34/2018, FJ 7 b), y 44/2018, FJ 5 b), ampliamente citadas tanto por el abogado del Estado como por la letrada de las Cortes Generales, se rechazó expresamente que para el ejercicio de la prerrogativa del art. 134.6 CE pudiera tenerse en cuenta el impacto en los objetivos plurianuales de estabilidad presupuestaria, según hemos expuesto en el fundamento jurídico 3, apartado c), de esta sentencia, al que nos remitimos.</w:t>
      </w:r>
    </w:p>
    <w:p w14:paraId="7BDFBAE1" w14:textId="77777777" w:rsidR="00A8138F" w:rsidRDefault="00A8138F" w:rsidP="00A8138F">
      <w:pPr>
        <w:pStyle w:val="TextoNormal"/>
      </w:pPr>
    </w:p>
    <w:p w14:paraId="5977B1AD" w14:textId="77777777" w:rsidR="00A8138F" w:rsidRDefault="00A8138F" w:rsidP="00A8138F">
      <w:pPr>
        <w:pStyle w:val="TextoNormal"/>
      </w:pPr>
      <w:r>
        <w:t>En el presente conflicto la mesa del Senado justificó el rechazo del veto invocando expresamente la STC 94/2018. Esta sentencia se dictó en un proceso de amparo contra el acuerdo de la mesa del Congreso que, asumiendo la interpretación plurianual propugnada ya en aquel momento por el Gobierno, aceptó el veto formulado a una proposición de ley por la que acordaba el cierre de las centrales nucleares, cuya entrada en vigor se posponía al ejercicio presupuestario siguiente. Tanto el Gobierno como el Congreso esgrimieron el principio de estabilidad presupuestaria del art. 135 CE para justificar el veto a la iniciativa, frente a lo que la sentencia, FJ 7 d), confirmó, en línea con las SSTC 34 y 44/2018, que no cabe apelar a los objetivos plurianuales de estabilidad presupuestaria para sortear la exigencia de que el veto se circunscriba al presupuesto en vigor. Otra interpretación —concluye— llevaría consigo una extensión de la potestad de veto que excede del marco constitucional. Nos remitimos al extracto de la STC 94/2018 transcrito en el fundamento jurídico 3, apartado c), de esta sentencia.</w:t>
      </w:r>
    </w:p>
    <w:p w14:paraId="67A6B453" w14:textId="77777777" w:rsidR="00A8138F" w:rsidRDefault="00A8138F" w:rsidP="00A8138F">
      <w:pPr>
        <w:pStyle w:val="TextoNormal"/>
      </w:pPr>
    </w:p>
    <w:p w14:paraId="1A7D2E18" w14:textId="77777777" w:rsidR="00A8138F" w:rsidRDefault="00A8138F" w:rsidP="00A8138F">
      <w:pPr>
        <w:pStyle w:val="TextoNormal"/>
      </w:pPr>
      <w:r>
        <w:t>La STC 17/2019 analizó igualmente el veto opuesto a una proposición de ley cuyas medidas con impacto presupuestario se diferían al ejercicio siguiente. A pesar de ello, el Gobierno manifestó su disconformidad reiterando el argumento de que el art. 134.6 CE también resulta aplicable cuando la proposición de ley pueda desplegar efectos en ejercicios presupuestarios posteriores al que se halla en vigor, a modo de salvaguardia de los objetivos de estabilidad presupuestaria, interpretación que fue compartida por la mesa del Congreso. Pues bien, una vez más, el tribunal ratificó su doctrina y concluyó que no cabe dicha aplicación extendida de la facultad del art. 134.6 CE, por lo que los acuerdos impugnados contravenían la doctrina del tribunal, que “con claridad ha delimitado el ámbito temporal de la aplicación de la potestad gubernamental de referencia al ejercicio presupuestario en curso” [FJ 4 a)].</w:t>
      </w:r>
    </w:p>
    <w:p w14:paraId="63A3F40D" w14:textId="77777777" w:rsidR="00A8138F" w:rsidRDefault="00A8138F" w:rsidP="00A8138F">
      <w:pPr>
        <w:pStyle w:val="TextoNormal"/>
      </w:pPr>
    </w:p>
    <w:p w14:paraId="0F24FD89" w14:textId="77777777" w:rsidR="00A8138F" w:rsidRDefault="00A8138F" w:rsidP="00A8138F">
      <w:pPr>
        <w:pStyle w:val="TextoNormal"/>
      </w:pPr>
      <w:r>
        <w:t>Más recientemente, la también citada STC 167/2023 ha rechazado nuevamente la interpretación del art. 134.6 CE en clave “plurianual”, al analizar el veto opuesto a una proposición de ley para reducir el tipo de gravamen de ciertos servicios en el impuesto sobre el valor añadido, cuya entrada en vigor se fijaba en el 1 de enero del año siguiente, supuesto análogo al que motiva el presente conflicto. Aunque las circunstancias procesales del caso eran diferentes a las actuales, dicha sentencia recuerda que el veto “no se puede ejercer en relación con presupuestos futuros, incluidos los denominados ‘escenarios plurianuales presupuestarios’, que no han sido elaborados por el Gobierno ni sometidos por tanto al proceso de aprobación regulado en el art. 134.1 CE”, por lo que “no hubiera podido prosperar, aún en el supuesto de que hubiera sido oportunamente resuelta, pues el ejercicio de la facultad gubernamental de veto presupuestario no respetaba, en este caso, la regla de la anualidad del presupuesto y, en consecuencia, el límite temporal que a su ejercicio impone el art. 134.6 CE”, ya que “la propuesta de modificación […] difería su entrada en vigor al día 1 de enero de 2022, por lo que no afectaba al presupuesto en vigor […]; basta la anterior constatación para sostener que la disconformidad gubernamental contravenía claramente la doctrina constitucional expuesta, que con absoluta nitidez ha delimitado el ámbito temporal del ejercicio de la facultad gubernamental de veto presupuestario a los presupuestos en vigor” [FJ 10 c)].</w:t>
      </w:r>
    </w:p>
    <w:p w14:paraId="5C7EC262" w14:textId="77777777" w:rsidR="00A8138F" w:rsidRDefault="00A8138F" w:rsidP="00A8138F">
      <w:pPr>
        <w:pStyle w:val="TextoNormal"/>
      </w:pPr>
    </w:p>
    <w:p w14:paraId="3DF18CCF" w14:textId="77777777" w:rsidR="00A8138F" w:rsidRDefault="00A8138F" w:rsidP="00A8138F">
      <w:pPr>
        <w:pStyle w:val="TextoNormal"/>
      </w:pPr>
      <w:r>
        <w:t>Por tanto, el presente conflicto no es la primera ocasión en que el Gobierno pretende la extensión a un ejercicio futuro de su facultad de veto, con base en los objetivos plurianuales de estabilidad presupuestaria, reinterpretación del art. 134.6 CE que este tribunal ha rechazado con claridad. No podemos dejar de subrayar, como también apunta la letrada de las Cortes Generales, que aceptar la tesis del Gobierno “supondría un ensanchamiento de la potestad de veto incompatible con el protagonismo que en materia legislativa otorga a las Cámaras la propia Constitución (art. 66 CE)” (STC 34/2018, FJ 9).</w:t>
      </w:r>
    </w:p>
    <w:p w14:paraId="68016177" w14:textId="77777777" w:rsidR="00A8138F" w:rsidRDefault="00A8138F" w:rsidP="00A8138F">
      <w:pPr>
        <w:pStyle w:val="TextoNormal"/>
      </w:pPr>
    </w:p>
    <w:p w14:paraId="172E81B1" w14:textId="77777777" w:rsidR="00A8138F" w:rsidRDefault="00A8138F" w:rsidP="00A8138F">
      <w:pPr>
        <w:pStyle w:val="TextoNormal"/>
      </w:pPr>
      <w:r>
        <w:t>c) Una vez ratificada la doctrina aplicable, nos resta analizar los argumentos con los que el Gobierno intenta justificar que la proposición de ley vetada sí afectaba a los presupuestos que estaban “en curso” o “en vigor” cuando fue presentada. Por una parte, aduce que, cuando el día 26 de octubre de 2023 se presentó la proposición de ley núm. 622/000014, era “previsible” que los presupuestos del ejercicio 2024 no se aprobaran en plazo, por lo que se prorrogarían los de 2023. Este argumento no puede prosperar porque, cuando la doctrina constitucional ciñe la prerrogativa de veto a los presupuestos “en curso”, se refiere a los que “estaban rigiendo al tiempo de presentación de la iniciativa legislativa” [por todas, STC 94/2018, FJ 7 c)]. Y en el momento de presentarse la iniciativa en cuestión los únicos presupuestos “en curso” eran los de 2023 (Ley 31/2022, de 23 de diciembre, de presupuestos generales del Estado para el año 2023), a los que no afectaba la medida ya que esta entraba en vigor el 1 de enero de 2024, que es ya otro ejercicio presupuestario distinto, con independencia de que los presupuestos de 2023 se prorrogasen o no. La hipotética prórroga es un acontecimiento futuro e incierto, que no está “en curso” ni “en vigor” a la fecha de presentación de la iniciativa.</w:t>
      </w:r>
    </w:p>
    <w:p w14:paraId="126444AF" w14:textId="77777777" w:rsidR="00A8138F" w:rsidRDefault="00A8138F" w:rsidP="00A8138F">
      <w:pPr>
        <w:pStyle w:val="TextoNormal"/>
      </w:pPr>
    </w:p>
    <w:p w14:paraId="79923A05" w14:textId="77777777" w:rsidR="00A8138F" w:rsidRDefault="00A8138F" w:rsidP="00A8138F">
      <w:pPr>
        <w:pStyle w:val="TextoNormal"/>
      </w:pPr>
      <w:r>
        <w:t>Distinta habría sido nuestra respuesta si la entrada en vigor de la derogación de la Ley del impuesto sobre sucesiones y donaciones hubiera sido inmediata, como en la proposición de ley núm. 622/000007, a la que nos hemos referido en el fundamento jurídico 2, apartado c), y respecto de la que la mesa del Senado sí aceptó el veto del Gobierno. A la vista de esto, el Grupo Parlamentario Popular reprodujo la proposición, pero con entrada en vigor el 1 de enero de 2024, como admite la STC 167/2023, FJ 8, según la cual no hay “ninguna previsión constitucional o del reglamento de la Cámara que impida que se posponga la entrada en vigor de una propuesta de modificación con una posible incidencia presupuestaria a un futuro ejercicio presupuestario. Precisamente, una medida de tal entidad tendería a preservar, por el contrario, la finalidad a la que responde dicha facultad, que no es otra que salvaguardar la autorización que el Gobierno ya ha obtenido de la Cámara sobre el volumen de ingresos y gastos públicos, de suerte que las previsiones económicas contenidas en el presupuesto se observen rigurosamente y no se dificulte su ejecución, permitiendo así que el ejecutivo pueda desarrollar su programa anual de política económica y, en suma, su propia acción de Gobierno (art. 97 CE; SSTC 34/2018, FJ 6, y 44/2018, FFJJ 3 y 4)”.</w:t>
      </w:r>
    </w:p>
    <w:p w14:paraId="276A7B4A" w14:textId="77777777" w:rsidR="00A8138F" w:rsidRDefault="00A8138F" w:rsidP="00A8138F">
      <w:pPr>
        <w:pStyle w:val="TextoNormal"/>
      </w:pPr>
    </w:p>
    <w:p w14:paraId="11D7B65F" w14:textId="77777777" w:rsidR="00A8138F" w:rsidRDefault="00A8138F" w:rsidP="00A8138F">
      <w:pPr>
        <w:pStyle w:val="TextoNormal"/>
      </w:pPr>
      <w:r>
        <w:t>Por último, tampoco enerva nuestra conclusión el argumento de que una medida tributaria como la derogación del impuesto sobre sucesiones y donaciones puede producir un “efecto anuncio” que reduzca la recaudación ya en el ejercicio en curso, aunque no entre en vigor hasta el 1 de enero siguiente. Debemos recordar nuevamente nuestra doctrina, expuesta en el fundamento jurídico 3, según la cual la prerrogativa del Gobierno a que se refiere el art. 134.6 CE “se ciñe a aquellas medidas cuya incidencia sobre el presupuesto del Estado sea real y efectiva. Lo contrario supondría una interpretación extensiva de los límites contenidos en el art. 134 CE”. Es decir, ha de justificarse una conexión con los ingresos y gastos presupuestarios “directa e inmediata, actual, por tanto, y no meramente hipotética”. El posible “efecto anuncio” de la supresión del impuesto sobre sucesiones y donaciones es una mera hipótesis sobre la posible reacción de los particulares ante la medida propuesta, conjetura sobre la que no puede apoyarse el ejercicio de la prerrogativa gubernamental “cuyo efecto limitador de la actividad misma del Parlamento es evidente” (por todas, STC 34/2018, FFJJ 6 y 9).</w:t>
      </w:r>
    </w:p>
    <w:p w14:paraId="04EBC9A6" w14:textId="77777777" w:rsidR="00A8138F" w:rsidRDefault="00A8138F" w:rsidP="00A8138F">
      <w:pPr>
        <w:pStyle w:val="TextoNormal"/>
      </w:pPr>
    </w:p>
    <w:p w14:paraId="4A4511A8" w14:textId="08F3D3C2" w:rsidR="00A8138F" w:rsidRDefault="00A8138F" w:rsidP="00A8138F">
      <w:pPr>
        <w:pStyle w:val="TextoNormal"/>
      </w:pPr>
      <w:r>
        <w:t>En definitiva, ha de concluirse que el Gobierno se ha excedido en el uso de la prerrogativa del art. 134.6 CE. Por consiguiente, la decisión de la mesa del Senado por la que se rechaza la disconformidad con la tramitación de la proposición de ley núm. 622/000014 no ha menoscabado la atribución reconocida al Gobierno, de modo que el conflicto debe desestimarse.</w:t>
      </w:r>
    </w:p>
    <w:p w14:paraId="25AB091B" w14:textId="77777777" w:rsidR="00A8138F" w:rsidRDefault="00A8138F" w:rsidP="00A8138F">
      <w:pPr>
        <w:pStyle w:val="TextoNormal"/>
      </w:pPr>
    </w:p>
    <w:p w14:paraId="2C01DFA1" w14:textId="77777777" w:rsidR="00A8138F" w:rsidRDefault="00A8138F" w:rsidP="00A8138F">
      <w:pPr>
        <w:pStyle w:val="TextoNormalCentrado"/>
        <w:keepNext/>
      </w:pPr>
      <w:r>
        <w:t>FALLO</w:t>
      </w:r>
    </w:p>
    <w:p w14:paraId="7E985D9E" w14:textId="364C666B" w:rsidR="00A8138F" w:rsidRDefault="00A8138F" w:rsidP="00A8138F">
      <w:pPr>
        <w:pStyle w:val="TextoNormalCentrado"/>
        <w:keepNext/>
      </w:pPr>
    </w:p>
    <w:p w14:paraId="70433D26" w14:textId="03AA46F5" w:rsidR="00A8138F" w:rsidRDefault="00A8138F" w:rsidP="00A8138F">
      <w:pPr>
        <w:pStyle w:val="TextoNormal"/>
      </w:pPr>
      <w:r>
        <w:t>En atención a todo lo expuesto, el Tribunal Constitucional, por la autoridad que le confiere la Constitución de la Nación española, ha decidido desestimar el conflicto entre órganos constitucionales del Estado núm. 1219-2024, promovido por el Gobierno de la Nación contra el Senado.</w:t>
      </w:r>
    </w:p>
    <w:p w14:paraId="2172E0C4" w14:textId="77777777" w:rsidR="00A8138F" w:rsidRDefault="00A8138F" w:rsidP="00A8138F">
      <w:pPr>
        <w:pStyle w:val="TextoNormal"/>
      </w:pPr>
    </w:p>
    <w:p w14:paraId="1F71B5F6" w14:textId="77777777" w:rsidR="00A8138F" w:rsidRDefault="00A8138F" w:rsidP="00A8138F">
      <w:pPr>
        <w:pStyle w:val="TextoNormal"/>
      </w:pPr>
      <w:r>
        <w:t>Publíquese esta sentencia en el “Boletín Oficial del Estado”.</w:t>
      </w:r>
    </w:p>
    <w:p w14:paraId="0584FC7F" w14:textId="77777777" w:rsidR="00A8138F" w:rsidRDefault="00A8138F" w:rsidP="00A8138F">
      <w:pPr>
        <w:pStyle w:val="TextoNormal"/>
      </w:pPr>
      <w:r>
        <w:t>Dada en Madrid, a once de junio de dos mil veinticinco.</w:t>
      </w:r>
    </w:p>
    <w:p w14:paraId="357B25D5" w14:textId="50673CE3" w:rsidR="00A8138F" w:rsidRDefault="00A8138F">
      <w:pPr>
        <w:spacing w:after="160" w:line="278" w:lineRule="auto"/>
        <w:rPr>
          <w:rFonts w:ascii="Times New Roman" w:eastAsia="Times New Roman" w:hAnsi="Times New Roman" w:cs="Times New Roman"/>
          <w:sz w:val="24"/>
          <w:szCs w:val="24"/>
          <w:lang w:eastAsia="es-ES"/>
        </w:rPr>
      </w:pPr>
      <w:r>
        <w:br w:type="page"/>
      </w:r>
    </w:p>
    <w:p w14:paraId="003CECBF" w14:textId="77777777" w:rsidR="00A8138F" w:rsidRDefault="00A8138F" w:rsidP="00A8138F">
      <w:pPr>
        <w:pStyle w:val="TtuloResolucin"/>
      </w:pPr>
      <w:bookmarkStart w:id="138" w:name="SENTENCIA_2025_136"/>
      <w:r>
        <w:t>SENTENCIA 136/2025, de 11 de junio de 2025</w:t>
      </w:r>
    </w:p>
    <w:bookmarkEnd w:id="138"/>
    <w:p w14:paraId="7ABDED52" w14:textId="77777777" w:rsidR="00A8138F" w:rsidRDefault="00A8138F" w:rsidP="00A8138F">
      <w:pPr>
        <w:pStyle w:val="TtuloResolucin"/>
      </w:pPr>
      <w:r>
        <w:t>Pleno</w:t>
      </w:r>
    </w:p>
    <w:p w14:paraId="5E44BECF" w14:textId="77777777" w:rsidR="00A8138F" w:rsidRDefault="00A8138F" w:rsidP="00A8138F">
      <w:pPr>
        <w:pStyle w:val="TtuloBOE"/>
      </w:pPr>
      <w:r>
        <w:t>(BOE núm. 168, de 14 de julio de 2025)</w:t>
      </w:r>
    </w:p>
    <w:p w14:paraId="7D4D3E65" w14:textId="77777777" w:rsidR="00A8138F" w:rsidRDefault="00A8138F" w:rsidP="00A8138F">
      <w:pPr>
        <w:pStyle w:val="TextoNormalCentrado"/>
      </w:pPr>
      <w:r>
        <w:t>ECLI:ES:TC:2025:136</w:t>
      </w:r>
    </w:p>
    <w:p w14:paraId="076AF35D" w14:textId="2D06EA0A" w:rsidR="00A8138F" w:rsidRDefault="00A8138F" w:rsidP="00A8138F">
      <w:pPr>
        <w:pStyle w:val="TextoNormalCentrado"/>
      </w:pPr>
    </w:p>
    <w:p w14:paraId="6B0D74FA" w14:textId="77777777" w:rsidR="00A8138F" w:rsidRDefault="00A8138F" w:rsidP="00A8138F">
      <w:pPr>
        <w:pStyle w:val="SntesisDescriptiva"/>
      </w:pPr>
      <w:r>
        <w:t>Recurso de amparo 4589-2024. Promovido por el Grupo Parlamentario Vox en el Parlamento de Cataluña y don Juan Garriga Domènech respecto del acuerdo de la mesa de edad y su presidente que, en la sesión constitutiva de la Cámara, aceptó la delegación de voto de los diputados don Carles Puigdemont i Casamajó y don Lluís Puig i Gordi en favor del diputado don Albert Batet i Canadell.</w:t>
      </w:r>
    </w:p>
    <w:p w14:paraId="60B01418" w14:textId="365EB9DF" w:rsidR="00A8138F" w:rsidRDefault="00A8138F" w:rsidP="00A8138F">
      <w:pPr>
        <w:pStyle w:val="SntesisDescriptiva"/>
      </w:pPr>
    </w:p>
    <w:p w14:paraId="2022A100" w14:textId="77777777" w:rsidR="00A8138F" w:rsidRDefault="00A8138F" w:rsidP="00A8138F">
      <w:pPr>
        <w:pStyle w:val="SntesisAnaltica"/>
      </w:pPr>
      <w:r>
        <w:t>Vulneración del derecho al ejercicio de las funciones representativas en conexión con el derecho de los ciudadanos a participar en los asuntos públicos a través de sus representantes: aceptación de la delegación de voto que excepciona el principio de presencialidad de quienes voluntariamente han decidido eludir la acción de la jurisdicción penal española y están sujetos a una orden judicial de busca y captura (SSTC 85/2022 y 86/2024).</w:t>
      </w:r>
    </w:p>
    <w:p w14:paraId="4A0E1A74" w14:textId="6681E45D" w:rsidR="00A8138F" w:rsidRDefault="00A8138F" w:rsidP="00A8138F">
      <w:pPr>
        <w:pStyle w:val="SntesisAnaltica"/>
      </w:pPr>
    </w:p>
    <w:p w14:paraId="784DF9AA" w14:textId="7CA4DFD6" w:rsidR="00A8138F" w:rsidRDefault="00A8138F" w:rsidP="00A8138F">
      <w:pPr>
        <w:pStyle w:val="Extracto"/>
      </w:pPr>
      <w:r>
        <w:t>1.</w:t>
      </w:r>
      <w:r>
        <w:tab/>
        <w:t xml:space="preserve">El principio en virtud del cual el voto de los representantes políticos es personal e indelegable, previsto en el art. 79.3 CE, resulta de aplicación a todos los cargos públicos representativos, incluyendo a los parlamentarios autonómicos. Y los acuerdos que admiten la delegación del voto de los parlamentarios pueden afectar al </w:t>
      </w:r>
      <w:r w:rsidRPr="00A8138F">
        <w:rPr>
          <w:i/>
        </w:rPr>
        <w:t xml:space="preserve">ius in officium </w:t>
      </w:r>
      <w:r>
        <w:t>del resto de los miembros de la Cámara (STC 65/2022) [FJ 2].</w:t>
      </w:r>
    </w:p>
    <w:p w14:paraId="2331EDF8" w14:textId="77777777" w:rsidR="00A8138F" w:rsidRDefault="00A8138F" w:rsidP="00A8138F">
      <w:pPr>
        <w:pStyle w:val="Extracto"/>
      </w:pPr>
    </w:p>
    <w:p w14:paraId="378A0A90" w14:textId="080C87C0" w:rsidR="00A8138F" w:rsidRDefault="00A8138F" w:rsidP="00A8138F">
      <w:pPr>
        <w:pStyle w:val="Extracto"/>
      </w:pPr>
      <w:r>
        <w:t>2.</w:t>
      </w:r>
      <w:r>
        <w:tab/>
        <w:t>Las normas parlamentarias que introducen excepciones al carácter personal e indelegable del voto de los representantes políticos sólo son constitucionalmente admisibles cuando se encuentran justificadas en la necesidad de salvaguardar otros bienes o valores constitucionales que se consideren merecedores de protección y respetan el principio de proporcionalidad, lo que no concurre en el caso de quien voluntariamente ha decidido eludir la acción de la jurisdicción penal española y sobre el que pesa una orden judicial de busca y captura (STC 65/2022) [FJ 2].</w:t>
      </w:r>
    </w:p>
    <w:p w14:paraId="6CB72A11" w14:textId="77777777" w:rsidR="00A8138F" w:rsidRDefault="00A8138F" w:rsidP="00A8138F">
      <w:pPr>
        <w:pStyle w:val="Extracto"/>
      </w:pPr>
    </w:p>
    <w:p w14:paraId="2741D4AE" w14:textId="77777777" w:rsidR="00A8138F" w:rsidRDefault="00A8138F" w:rsidP="00A8138F">
      <w:pPr>
        <w:pStyle w:val="Extracto"/>
      </w:pPr>
    </w:p>
    <w:p w14:paraId="33CF17FF"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14:paraId="5688FD6C" w14:textId="1B29F600" w:rsidR="00A8138F" w:rsidRDefault="00A8138F" w:rsidP="00A8138F">
      <w:pPr>
        <w:pStyle w:val="TextoNormal"/>
      </w:pPr>
    </w:p>
    <w:p w14:paraId="19AE2A9A" w14:textId="77777777" w:rsidR="00A8138F" w:rsidRDefault="00A8138F" w:rsidP="00A8138F">
      <w:pPr>
        <w:pStyle w:val="TextoNormalCentrado"/>
        <w:keepNext/>
      </w:pPr>
      <w:r>
        <w:t>EN NOMBRE DEL REY</w:t>
      </w:r>
    </w:p>
    <w:p w14:paraId="5952DA67" w14:textId="5A9177CF" w:rsidR="00A8138F" w:rsidRDefault="00A8138F" w:rsidP="00A8138F">
      <w:pPr>
        <w:pStyle w:val="TextoNormalCentrado"/>
        <w:keepNext/>
      </w:pPr>
    </w:p>
    <w:p w14:paraId="5AFFCA90" w14:textId="77777777" w:rsidR="00A8138F" w:rsidRDefault="00A8138F" w:rsidP="00A8138F">
      <w:pPr>
        <w:pStyle w:val="TextoNormalCentrado"/>
        <w:keepNext/>
      </w:pPr>
    </w:p>
    <w:p w14:paraId="462DF609" w14:textId="77777777" w:rsidR="00A8138F" w:rsidRDefault="00A8138F" w:rsidP="00A8138F">
      <w:pPr>
        <w:pStyle w:val="TextoNormal"/>
      </w:pPr>
      <w:r>
        <w:t>la siguiente</w:t>
      </w:r>
    </w:p>
    <w:p w14:paraId="6317955B" w14:textId="1AC9AE3C" w:rsidR="00A8138F" w:rsidRDefault="00A8138F" w:rsidP="00A8138F">
      <w:pPr>
        <w:pStyle w:val="TextoNormal"/>
      </w:pPr>
    </w:p>
    <w:p w14:paraId="7F2613EA" w14:textId="77777777" w:rsidR="00A8138F" w:rsidRDefault="00A8138F" w:rsidP="00A8138F">
      <w:pPr>
        <w:pStyle w:val="TextoNormalCentrado"/>
        <w:keepNext/>
      </w:pPr>
      <w:r>
        <w:t>SENTENCIA</w:t>
      </w:r>
    </w:p>
    <w:p w14:paraId="1966C448" w14:textId="1684C92A" w:rsidR="00A8138F" w:rsidRDefault="00A8138F" w:rsidP="00A8138F">
      <w:pPr>
        <w:pStyle w:val="TextoNormalCentrado"/>
        <w:keepNext/>
      </w:pPr>
    </w:p>
    <w:p w14:paraId="55676534" w14:textId="77777777" w:rsidR="00A8138F" w:rsidRDefault="00A8138F" w:rsidP="00A8138F">
      <w:pPr>
        <w:pStyle w:val="TextoNormal"/>
      </w:pPr>
      <w:r>
        <w:t>En el recurso de amparo núm. 4589-2024, interpuesto por el Grupo Parlamentario Vox en el Parlamento de Cataluña y don Juan Garriga Domènech, diputado y portavoz de ese Grupo Parlamentario, contra el acuerdo de la mesa de edad de dicho Parlamento, de 10 de junio de 2024, que admitió la delegación del voto de los diputados don Carles Puigdemont i Casamajó y don Lluís Puig i Gordi en favor del diputado don Albert Batet i Canadell, y contra la desestimación del presidente de la mesa de edad de ese Parlamento de la petición de reconsideración del acuerdo anterior. Han intervenido el Parlamento de Cataluña y el Ministerio Fiscal. Ha sido ponente el magistrado don Juan Carlos Campo Moreno.</w:t>
      </w:r>
    </w:p>
    <w:p w14:paraId="23A36A8A" w14:textId="69DCC466" w:rsidR="00A8138F" w:rsidRDefault="00A8138F" w:rsidP="00A8138F">
      <w:pPr>
        <w:pStyle w:val="TextoNormal"/>
      </w:pPr>
    </w:p>
    <w:p w14:paraId="6EF8F21C" w14:textId="77777777" w:rsidR="00A8138F" w:rsidRDefault="00A8138F" w:rsidP="00A8138F">
      <w:pPr>
        <w:pStyle w:val="TextoNormalNegritaCentrado"/>
        <w:keepNext/>
      </w:pPr>
      <w:r>
        <w:t>I. Antecedentes</w:t>
      </w:r>
    </w:p>
    <w:p w14:paraId="26C91223" w14:textId="0AC97E24" w:rsidR="00A8138F" w:rsidRDefault="00A8138F" w:rsidP="00A8138F">
      <w:pPr>
        <w:pStyle w:val="TextoNormalNegritaCentrado"/>
        <w:keepNext/>
      </w:pPr>
    </w:p>
    <w:p w14:paraId="740F1FF9" w14:textId="1C08310B" w:rsidR="00A8138F" w:rsidRDefault="00A8138F" w:rsidP="00A8138F">
      <w:pPr>
        <w:pStyle w:val="TextoNormal"/>
      </w:pPr>
      <w:r w:rsidRPr="00A8138F">
        <w:rPr>
          <w:rStyle w:val="NumeroAFNegritaCaracter"/>
        </w:rPr>
        <w:t>1</w:t>
      </w:r>
      <w:r>
        <w:t>. Mediante escrito presentado en el registro general de este tribunal el 18 de junio de 2024, la procuradora de los tribunales doña Pilar Hidalgo López, actuando en nombre y representación del Grupo Parlamentario Vox en el Parlamento de Cataluña y de don Juan Garriga Domènech, diputado y portavoz de ese Grupo Parlamentario, interpuso demanda de amparo contra el acuerdo de la mesa de edad del Parlamento de Cataluña, de 10 de junio de 2024, que admitió la delegación del voto de los diputados don Carles Puigdemont i Casamajó y don Lluís Puig i Gordi en favor del diputado don Albert Batet i Canadell, y “contra el acuerdo verbal de la misma fecha que desestimaba la reconsideración presentada por el Grupo Parlamentario Vox” contra el acuerdo anterior.</w:t>
      </w:r>
    </w:p>
    <w:p w14:paraId="2F601389" w14:textId="77777777" w:rsidR="00A8138F" w:rsidRDefault="00A8138F" w:rsidP="00A8138F">
      <w:pPr>
        <w:pStyle w:val="TextoNormal"/>
      </w:pPr>
    </w:p>
    <w:p w14:paraId="48F76A0B" w14:textId="77777777" w:rsidR="00A8138F" w:rsidRDefault="00A8138F" w:rsidP="00A8138F">
      <w:pPr>
        <w:pStyle w:val="TextoNormal"/>
      </w:pPr>
      <w:r w:rsidRPr="00A8138F">
        <w:rPr>
          <w:rStyle w:val="NumeroAFNegritaCaracter"/>
        </w:rPr>
        <w:t>2</w:t>
      </w:r>
      <w:r>
        <w:t>. Según resulta de la demanda y de las actuaciones correspondientes a los acuerdos impugnados, el presente recurso de amparo trae causa de los siguientes hechos:</w:t>
      </w:r>
    </w:p>
    <w:p w14:paraId="1FD7E007" w14:textId="77777777" w:rsidR="00A8138F" w:rsidRDefault="00A8138F" w:rsidP="00A8138F">
      <w:pPr>
        <w:pStyle w:val="TextoNormal"/>
      </w:pPr>
    </w:p>
    <w:p w14:paraId="5A9998FD" w14:textId="77777777" w:rsidR="00A8138F" w:rsidRDefault="00A8138F" w:rsidP="00A8138F">
      <w:pPr>
        <w:pStyle w:val="TextoNormal"/>
      </w:pPr>
      <w:r>
        <w:t>a) El día 10 de junio de 2024 se celebró la sesión constitutiva de la XV legislatura del Parlamento de Cataluña inicialmente presidida, según disponía el artículo 2 de su Reglamento, por la mesa de edad, conformada “por el diputado o diputada electo de más edad entre los presentes, asistido por los dos diputados más jóvenes, en calidad de secretarios”.</w:t>
      </w:r>
    </w:p>
    <w:p w14:paraId="79593882" w14:textId="77777777" w:rsidR="00A8138F" w:rsidRDefault="00A8138F" w:rsidP="00A8138F">
      <w:pPr>
        <w:pStyle w:val="TextoNormal"/>
      </w:pPr>
    </w:p>
    <w:p w14:paraId="36227EB8" w14:textId="77777777" w:rsidR="00A8138F" w:rsidRDefault="00A8138F" w:rsidP="00A8138F">
      <w:pPr>
        <w:pStyle w:val="TextoNormal"/>
      </w:pPr>
      <w:r>
        <w:t>b) Según consta en el “Diario de Sesiones del Parlamento de Cataluña”, XV legislatura, primer período, serie P, núm. 1, de 10 de junio de 2024, dicha mesa de edad decidió, antes de proceder a la votación para elegir al presidente o presidenta del Parlamento, y con el voto en contra de la secretaria doña Júlia Calvet Puig, admitir la delegación del voto “para la sesión constitutiva” en favor del diputado don Albert Batet i Canadell de “los diputados Carles Puigdemont i Casamajó y Lluís Puig i Gordi, de acuerdo con el artículo 95 del Reglamento, ‘con motivo de las circunstancias actuales que me incapacitan para poder ejercer de forma presencial el derecho al voto’” (“Diario de Sesiones” citado, página 12). Igualmente, la mesa decidió admitir “para la sesión constitutiva” la delegación del voto en favor de la diputada doña Marta Vilalta Torres del diputado don Rubén Wagensberg i Ramon “con motivo de su baja médica de larga duración” (“Diario de Sesiones” citado, página 12).</w:t>
      </w:r>
    </w:p>
    <w:p w14:paraId="729499C5" w14:textId="77777777" w:rsidR="00A8138F" w:rsidRDefault="00A8138F" w:rsidP="00A8138F">
      <w:pPr>
        <w:pStyle w:val="TextoNormal"/>
      </w:pPr>
    </w:p>
    <w:p w14:paraId="5E778655" w14:textId="77777777" w:rsidR="00A8138F" w:rsidRDefault="00A8138F" w:rsidP="00A8138F">
      <w:pPr>
        <w:pStyle w:val="TextoNormal"/>
      </w:pPr>
      <w:r>
        <w:t>c) Según consta igualmente en el “Diario de Sesiones” de la Cámara, don Juan Garriga Domènech hizo uso de la palabra durante la sesión indicada antes de que se procediera a la votación para elegir al presidente o presidenta del Parlamento de Cataluña, a fin de solicitar que se reconsiderase la admisión de la delegación de voto indicada, en tanto no concurrían en los diputados don Carles Puigdemont i Casamajó y don Lluís Puig i Gordi ninguna de las circunstancias que, según el artículo 95 del Reglamento del Parlamento de Cataluña, permitían esa delegación (“Diario de Sesiones” citado, página 11).</w:t>
      </w:r>
    </w:p>
    <w:p w14:paraId="27C26760" w14:textId="77777777" w:rsidR="00A8138F" w:rsidRDefault="00A8138F" w:rsidP="00A8138F">
      <w:pPr>
        <w:pStyle w:val="TextoNormal"/>
      </w:pPr>
    </w:p>
    <w:p w14:paraId="33FBB591" w14:textId="100C4748" w:rsidR="00A8138F" w:rsidRDefault="00A8138F" w:rsidP="00A8138F">
      <w:pPr>
        <w:pStyle w:val="TextoNormal"/>
      </w:pPr>
      <w:r>
        <w:t>d) El “Diario de Sesiones” de la Cámara recoge, igualmente, que, una vez finalizada la votación para elegir al presidente o presidenta del Parlamento de Cataluña, el presidente de la mesa de edad tomó la palabra a fin de dar cuenta de la formulación por escrito de una petición de reconsideración por parte de don Juan Garriga Domènech (“Diario de Sesiones” citado, página 12). La petición de reconsideración, registrada por don Juan Garriga Domènech el mismo día 10 de junio de 2024, al amparo del art. 38 del Reglamento del Parlamento, se formuló contra el acuerdo de la mesa de edad que admitió a trámite la delegación del voto de los diputados don Rubén Wagensberg i Ramon, don Carles Puigdemont i Casamajó y don Lluís Puig i Gordi. El escrito apunta, por lo que ahora interesa, que la situación personal de los diputados indicados no era subsumible en ninguno de los supuestos del art. 95 del Reglamento de la Cámara que permitían el ejercicio del derecho de voto por delegación. Consta en el “Diario de Sesiones” de la Cámara que el presidente de la mesa de edad no atendió la petición, al entender que “las peticiones de reconsideración no existen en esta sesión constitutiva” (“Diario de Sesiones” citado, página 12).</w:t>
      </w:r>
    </w:p>
    <w:p w14:paraId="147DA72E" w14:textId="77777777" w:rsidR="00A8138F" w:rsidRDefault="00A8138F" w:rsidP="00A8138F">
      <w:pPr>
        <w:pStyle w:val="TextoNormal"/>
      </w:pPr>
    </w:p>
    <w:p w14:paraId="1B29DE58" w14:textId="77777777" w:rsidR="00A8138F" w:rsidRDefault="00A8138F" w:rsidP="00A8138F">
      <w:pPr>
        <w:pStyle w:val="TextoNormal"/>
      </w:pPr>
      <w:r w:rsidRPr="00A8138F">
        <w:rPr>
          <w:rStyle w:val="NumeroAFNegritaCaracter"/>
        </w:rPr>
        <w:t>3</w:t>
      </w:r>
      <w:r>
        <w:t>. La demanda de amparo denuncia la vulneración del derecho de los parlamentarios recurrentes a ejercer las funciones representativas con los requisitos que señalan las leyes, en conexión con el derecho de los ciudadanos a participar en los asuntos públicos a través de sus representantes (art. 23.2 y 1 CE, respectivamente).</w:t>
      </w:r>
    </w:p>
    <w:p w14:paraId="296A12AF" w14:textId="77777777" w:rsidR="00A8138F" w:rsidRDefault="00A8138F" w:rsidP="00A8138F">
      <w:pPr>
        <w:pStyle w:val="TextoNormal"/>
      </w:pPr>
    </w:p>
    <w:p w14:paraId="7D2FCC93" w14:textId="77777777" w:rsidR="00A8138F" w:rsidRDefault="00A8138F" w:rsidP="00A8138F">
      <w:pPr>
        <w:pStyle w:val="TextoNormal"/>
      </w:pPr>
      <w:r>
        <w:t>a) Tras relatar los hechos de los que trae causa el presente recurso de amparo, la demanda de amparo comienza subrayando que don Juan Garriga Domènech, diputado y portavoz del Grupo Parlamentario Vox en el Parlamento de Cataluña, formuló oralmente y por escrito sendas peticiones de reconsideración de la decisión de la mesa de edad del Parlamento de Cataluña de admitir la delegación de voto de los diputados don Carles Puigdemont i Casamajó y don Lluís Puig i Gordi durante la sesión constitutiva de la XV legislatura y que la petición formulada por escrito nunca habría sido resuelta, a pesar de haber transcurrido el plazo de cuatro días que el art. 38.3 del Reglamento de la Cámara prevé para resolver tales solicitudes.</w:t>
      </w:r>
    </w:p>
    <w:p w14:paraId="6EE30778" w14:textId="77777777" w:rsidR="00A8138F" w:rsidRDefault="00A8138F" w:rsidP="00A8138F">
      <w:pPr>
        <w:pStyle w:val="TextoNormal"/>
      </w:pPr>
    </w:p>
    <w:p w14:paraId="7A9B218E" w14:textId="77777777" w:rsidR="00A8138F" w:rsidRDefault="00A8138F" w:rsidP="00A8138F">
      <w:pPr>
        <w:pStyle w:val="TextoNormal"/>
      </w:pPr>
      <w:r>
        <w:t xml:space="preserve">b) La demanda continúa analizando la doctrina constitucional que afirma que las funciones representativas deben desarrollarse, con carácter general, de forma personal y presencial (STC 19/2019, de 12 de febrero, FJ 4). Se subraya así que el ejercicio personal del cargo público representativo es una exigencia derivada del propio carácter de la representación que se ostenta, que corresponde únicamente al representante y no a terceros. Así se desprendería del art. 79.3 CE, que expresa un principio constitucional —el carácter personal e indelegable del oficio representativo—, que opera como una concreta manifestación del derecho consagrado en el art. 23.1 CE. Por tanto, señala la demanda, de la jurisprudencia constitucional se desprende que las facultades que integran el </w:t>
      </w:r>
      <w:r w:rsidRPr="00A8138F">
        <w:rPr>
          <w:i/>
        </w:rPr>
        <w:t>ius in officium</w:t>
      </w:r>
      <w:r>
        <w:t xml:space="preserve"> han de ser ejercidas personalmente por el representante, en tanto su delegación rompería el vínculo entre representantes y representados, salvo excepciones justificadas en la necesidad de salvaguardar un bien constitucional merecedor de mayor protección.</w:t>
      </w:r>
    </w:p>
    <w:p w14:paraId="74C64869" w14:textId="77777777" w:rsidR="00A8138F" w:rsidRDefault="00A8138F" w:rsidP="00A8138F">
      <w:pPr>
        <w:pStyle w:val="TextoNormal"/>
      </w:pPr>
    </w:p>
    <w:p w14:paraId="10F55BFB" w14:textId="77777777" w:rsidR="00A8138F" w:rsidRDefault="00A8138F" w:rsidP="00A8138F">
      <w:pPr>
        <w:pStyle w:val="TextoNormal"/>
      </w:pPr>
      <w:r>
        <w:t>Los recurrentes continúan indicando que la jurisprudencia constitucional también ha subrayado que las actuaciones parlamentarias han de ejercerse de modo presencial, en tanto la presencia de los parlamentarios en las cámaras y sus órganos internos es un requisito necesario para que puedan deliberar y adoptar acuerdos (art. 79 CE y art. 60.3 del Estatuto de Autonomía de Cataluña). Esa exigencia de presencialidad, señala la demanda, no admite otra excepción que la que pueda venir establecida en los reglamentos parlamentarios respecto de la posibilidad de votar en ausencia cuando concurran circunstancias excepcionales o de fuerza mayor.</w:t>
      </w:r>
    </w:p>
    <w:p w14:paraId="4F3D3B43" w14:textId="77777777" w:rsidR="00A8138F" w:rsidRDefault="00A8138F" w:rsidP="00A8138F">
      <w:pPr>
        <w:pStyle w:val="TextoNormal"/>
      </w:pPr>
    </w:p>
    <w:p w14:paraId="0FE25225" w14:textId="77777777" w:rsidR="00A8138F" w:rsidRDefault="00A8138F" w:rsidP="00A8138F">
      <w:pPr>
        <w:pStyle w:val="TextoNormal"/>
      </w:pPr>
      <w:r>
        <w:t>c) Construida sobre la base de la jurisprudencia constitucional citada, la demanda cuestiona la constitucionalidad del art. 95 del Reglamento del Parlamento de Cataluña; precepto que habría servido de base jurídica para la adopción del acuerdo que admitió la delegación del voto de los diputados don Carles Puigdemont i Casamajó y don Lluís Puig i Gordi en favor del diputado don Albert Batet i Canadell. Se señala así que el citado precepto reglamentario desnaturaliza la esencia de la función representativa, al permitir la delegación del voto de los diputados del Parlamento en ciertas circunstancias. La demanda llega a tal conclusión tras subrayar que el art. 79.3 CE debe entenderse aplicable no solo a diputados y senadores, sino también a diputados de los parlamentos autonómicos: se afirma así que, si el ejercicio personal de las funciones representativas se considera consustancial a la representación parlamentaria, el art. 79.3 CE habría de considerarse aplicable también a los diputados autonómicos, y que, en tal caso, el art. 95 del Reglamento del Parlamento de Cataluña sería inconstitucional por contravenir lo dispuesto en ese precepto.</w:t>
      </w:r>
    </w:p>
    <w:p w14:paraId="645D843D" w14:textId="77777777" w:rsidR="00A8138F" w:rsidRDefault="00A8138F" w:rsidP="00A8138F">
      <w:pPr>
        <w:pStyle w:val="TextoNormal"/>
      </w:pPr>
    </w:p>
    <w:p w14:paraId="0FA1D6FA" w14:textId="77777777" w:rsidR="00A8138F" w:rsidRDefault="00A8138F" w:rsidP="00A8138F">
      <w:pPr>
        <w:pStyle w:val="TextoNormal"/>
      </w:pPr>
      <w:r>
        <w:t>d) La demanda entiende que, no obstante, cabría una interpretación del art. 95 del Reglamento del Parlamento de Cataluña conforme al texto constitucional; interpretación que exigiría una aplicación estricta o restrictiva de los supuestos en que cabe la delegación de voto de los diputados del Parlamento de Cataluña según el citado precepto.</w:t>
      </w:r>
    </w:p>
    <w:p w14:paraId="5C56FDDB" w14:textId="77777777" w:rsidR="00A8138F" w:rsidRDefault="00A8138F" w:rsidP="00A8138F">
      <w:pPr>
        <w:pStyle w:val="TextoNormal"/>
      </w:pPr>
    </w:p>
    <w:p w14:paraId="6953D3F4" w14:textId="77777777" w:rsidR="00A8138F" w:rsidRDefault="00A8138F" w:rsidP="00A8138F">
      <w:pPr>
        <w:pStyle w:val="TextoNormal"/>
      </w:pPr>
      <w:r>
        <w:t>e) Sin embargo, sostiene la demanda, los acuerdos impugnados no habrían interpretado de forma estricta el citado precepto, admitiendo la delegación de voto por motivos de “oportunidad y prescindiendo de lo que prescribe taxativamente el Reglamento del Parlamento”. El art. 95 de ese Reglamento, afirman los recurrentes, “solo ampara la delegación de voto de los diputados ‘con motivo de una baja por maternidad o paternidad’ (apdo. 1), o en ‘los supuestos de hospitalización, enfermedad grave o incapacidad prolongada debidamente acreditada’ (apdo. 2)”. Si bien el art. 95.2 del Reglamento prevé que la mesa debe “establecer los criterios generales para delimitar los supuestos que permiten la delegación”, esa facultad de la mesa viene referida a los supuestos que se relacionan en ese apartado, no a otros que pudiera concretar ese órgano de la Cámara.</w:t>
      </w:r>
    </w:p>
    <w:p w14:paraId="5623F94F" w14:textId="77777777" w:rsidR="00A8138F" w:rsidRDefault="00A8138F" w:rsidP="00A8138F">
      <w:pPr>
        <w:pStyle w:val="TextoNormal"/>
      </w:pPr>
    </w:p>
    <w:p w14:paraId="4871FA60" w14:textId="77777777" w:rsidR="00A8138F" w:rsidRDefault="00A8138F" w:rsidP="00A8138F">
      <w:pPr>
        <w:pStyle w:val="TextoNormal"/>
      </w:pPr>
      <w:r>
        <w:t>f) La demanda continúa señalando que los diputados don Carles Puigdemont i Casamajó y don Lluís Puig i Gordi no se encontraban en ninguno de los supuestos tasados previstos en el art. 95 del Reglamento de la Cámara, en tanto “residen voluntariamente en Bélgica con el único propósito de no rendir cuentas con la justicia”; motivo por el cual los acuerdos impugnados vulnerarían el derecho de los parlamentarios recurrentes a ejercer las funciones representativas, así como el correlativo derecho de los ciudadanos a participar en los asuntos públicos a través de sus representantes (art. 23.2 y 1 CE, respectivamente).</w:t>
      </w:r>
    </w:p>
    <w:p w14:paraId="0A974495" w14:textId="77777777" w:rsidR="00A8138F" w:rsidRDefault="00A8138F" w:rsidP="00A8138F">
      <w:pPr>
        <w:pStyle w:val="TextoNormal"/>
      </w:pPr>
    </w:p>
    <w:p w14:paraId="6017D480" w14:textId="77777777" w:rsidR="00A8138F" w:rsidRDefault="00A8138F" w:rsidP="00A8138F">
      <w:pPr>
        <w:pStyle w:val="TextoNormal"/>
      </w:pPr>
      <w:r>
        <w:t>g) La demanda justifica la especial trascendencia constitucional del recurso por considerar que suscita una “cuestión jurídica de relevante y general repercusión social” y, muy especialmente, con consecuencias políticas generales, que trasciende por tanto el caso concreto, como admite este tribunal que ocurre con carácter general respecto de los amparos parlamentarios, invocando pues el supuesto previsto en la STC 155/2009, de 25 de junio, FJ 2, letra g). Se señala así que los acuerdos impugnados desvirtúan el principio constitucional en virtud del cual las funciones representativas deben ejercerse de forma presencial y personal, cuestionando aspectos que forman parte del núcleo mismo de la función representativa, de lo que se derivaría la especial trascendencia constitucional del presente recurso.</w:t>
      </w:r>
    </w:p>
    <w:p w14:paraId="6E066D30" w14:textId="77777777" w:rsidR="00A8138F" w:rsidRDefault="00A8138F" w:rsidP="00A8138F">
      <w:pPr>
        <w:pStyle w:val="TextoNormal"/>
      </w:pPr>
    </w:p>
    <w:p w14:paraId="4D539E82" w14:textId="22481225" w:rsidR="00A8138F" w:rsidRDefault="00A8138F" w:rsidP="00A8138F">
      <w:pPr>
        <w:pStyle w:val="TextoNormal"/>
      </w:pPr>
      <w:r>
        <w:t>h) Finalmente, en el suplico de la demanda se solicita a este tribunal que dicte en su día sentencia por la que se otorgue el amparo solicitado, declarando que las resoluciones combatidas vulneran el derecho de los parlamentarios recurrentes a ejercer las funciones representativas con los requisitos que señalan las leyes (art. 23.2 CE), así como el correlativo derecho de los ciudadanos a participar en los asuntos públicos a través de sus representantes (art. 23.1 CE), restableciéndoles en dichos derechos y acordando, en consecuencia, declarar la nulidad de los acuerdos impugnados, “dejando sin efecto los votos efectuados por dicha indebida delegación”.</w:t>
      </w:r>
    </w:p>
    <w:p w14:paraId="33E790EA" w14:textId="77777777" w:rsidR="00A8138F" w:rsidRDefault="00A8138F" w:rsidP="00A8138F">
      <w:pPr>
        <w:pStyle w:val="TextoNormal"/>
      </w:pPr>
    </w:p>
    <w:p w14:paraId="4C3ECD78" w14:textId="77777777" w:rsidR="00A8138F" w:rsidRDefault="00A8138F" w:rsidP="00A8138F">
      <w:pPr>
        <w:pStyle w:val="TextoNormal"/>
      </w:pPr>
      <w:r w:rsidRPr="00A8138F">
        <w:rPr>
          <w:rStyle w:val="NumeroAFNegritaCaracter"/>
        </w:rPr>
        <w:t>4</w:t>
      </w:r>
      <w:r>
        <w:t>. El Pleno del Tribunal acordó, por providencia de 2 de julio de 2024, recabar para sí el conocimiento del presente recurso de amparo.</w:t>
      </w:r>
    </w:p>
    <w:p w14:paraId="37ECDA9B" w14:textId="77777777" w:rsidR="00A8138F" w:rsidRDefault="00A8138F" w:rsidP="00A8138F">
      <w:pPr>
        <w:pStyle w:val="TextoNormal"/>
      </w:pPr>
    </w:p>
    <w:p w14:paraId="3DC21065" w14:textId="7F522FA1" w:rsidR="00A8138F" w:rsidRDefault="00A8138F" w:rsidP="00A8138F">
      <w:pPr>
        <w:pStyle w:val="TextoNormal"/>
      </w:pPr>
      <w:r>
        <w:t>En una segunda providencia de la misma fecha, acordó admitirlo a trámite, apreciando la concurrencia en el mismo de una especial trascendencia constitucional [art. 50.1 de la Ley Orgánica del Tribunal Constitucional (LOTC)], dado que el asunto suscitado trasciende del caso concreto al tener consecuencias políticas generales [STC 155/2009, de 25 de junio, FJ 2, letra g)]. Por ello, y en aplicación de lo dispuesto en el art. 51 LOTC, se acordó dirigir atenta comunicación al Parlamento de Cataluña a fin de que en plazo que no excediera de diez días, remitiera certificación o fotocopia adverada de las actuaciones correspondientes a los acuerdos impugnados, previo emplazamiento a quienes hubieran sido parte en el procedimiento, a efectos de su posible personación en el recurso de amparo en ese mismo plazo.</w:t>
      </w:r>
    </w:p>
    <w:p w14:paraId="2F953F5D" w14:textId="77777777" w:rsidR="00A8138F" w:rsidRDefault="00A8138F" w:rsidP="00A8138F">
      <w:pPr>
        <w:pStyle w:val="TextoNormal"/>
      </w:pPr>
    </w:p>
    <w:p w14:paraId="76709572" w14:textId="330F0326" w:rsidR="00A8138F" w:rsidRDefault="00A8138F" w:rsidP="00A8138F">
      <w:pPr>
        <w:pStyle w:val="TextoNormal"/>
      </w:pPr>
      <w:r w:rsidRPr="00A8138F">
        <w:rPr>
          <w:rStyle w:val="NumeroAFNegritaCaracter"/>
        </w:rPr>
        <w:t>5</w:t>
      </w:r>
      <w:r>
        <w:t>. Mediante escrito registrado el 19 de julio de 2024, el letrado del Parlamento de Cataluña, actuando en representación y defensa de la Cámara, compareció ante este tribunal, solicitando se tuvieran por presentadas las certificaciones y fotocopias adveradas de las actuaciones parlamentarias solicitadas, así como por personado al Parlamento de Cataluña.</w:t>
      </w:r>
    </w:p>
    <w:p w14:paraId="1ABB0329" w14:textId="77777777" w:rsidR="00A8138F" w:rsidRDefault="00A8138F" w:rsidP="00A8138F">
      <w:pPr>
        <w:pStyle w:val="TextoNormal"/>
      </w:pPr>
    </w:p>
    <w:p w14:paraId="07C244AE" w14:textId="5F843D4B" w:rsidR="00A8138F" w:rsidRDefault="00A8138F" w:rsidP="00A8138F">
      <w:pPr>
        <w:pStyle w:val="TextoNormal"/>
      </w:pPr>
      <w:r w:rsidRPr="00A8138F">
        <w:rPr>
          <w:rStyle w:val="NumeroAFNegritaCaracter"/>
        </w:rPr>
        <w:t>6</w:t>
      </w:r>
      <w:r>
        <w:t>. Por medio de diligencia de ordenación de 4 de septiembre de 2024 de la Secretaría de Justicia del Pleno, se tuvo por recibido el testimonio de las actuaciones solicitadas al Parlamento de Cataluña, se acordó tener por personado y parte en el proceso al letrado del Parlamento de Cataluña, en nombre y representación de dicha Cámara, y se acordó dar vista de las actuaciones a la parte recurrente, al Parlamento de Cataluña y al Ministerio Fiscal por un plazo común de veinte días para que, dentro de dicho término, presentaran las alegaciones que estimaran convenientes.</w:t>
      </w:r>
    </w:p>
    <w:p w14:paraId="29E6545B" w14:textId="77777777" w:rsidR="00A8138F" w:rsidRDefault="00A8138F" w:rsidP="00A8138F">
      <w:pPr>
        <w:pStyle w:val="TextoNormal"/>
      </w:pPr>
    </w:p>
    <w:p w14:paraId="3A23C420" w14:textId="77777777" w:rsidR="00A8138F" w:rsidRDefault="00A8138F" w:rsidP="00A8138F">
      <w:pPr>
        <w:pStyle w:val="TextoNormal"/>
      </w:pPr>
      <w:r w:rsidRPr="00A8138F">
        <w:rPr>
          <w:rStyle w:val="NumeroAFNegritaCaracter"/>
        </w:rPr>
        <w:t>7</w:t>
      </w:r>
      <w:r>
        <w:t>. Mediante escrito registrado el 10 de octubre de 2024, el letrado del Parlamento de Cataluña, actuando en representación y defensa de la Cámara, manifestó su oposición al recurso, interesando la denegación del amparo solicitado conforme a los siguientes argumentos:</w:t>
      </w:r>
    </w:p>
    <w:p w14:paraId="56B21437" w14:textId="77777777" w:rsidR="00A8138F" w:rsidRDefault="00A8138F" w:rsidP="00A8138F">
      <w:pPr>
        <w:pStyle w:val="TextoNormal"/>
      </w:pPr>
    </w:p>
    <w:p w14:paraId="569D907A" w14:textId="77777777" w:rsidR="00A8138F" w:rsidRDefault="00A8138F" w:rsidP="00A8138F">
      <w:pPr>
        <w:pStyle w:val="TextoNormal"/>
      </w:pPr>
      <w:r>
        <w:t>a) En primer lugar, subraya que el amparo se solicita frente a la actuación de la mesa de edad, un órgano excepcional por su composición y por su temporalidad cuya existencia se agota en una sola sesión y cuya actuación se orienta esencialmente a la elección de la mesa de la Cámara, en la que los votos delegados aquí controvertidos “no fueron en caso alguno determinantes de la elección o no elección de ninguno de los miembros de la mesa del Parlament de Catalunya”.</w:t>
      </w:r>
    </w:p>
    <w:p w14:paraId="5CFDD7D4" w14:textId="77777777" w:rsidR="00A8138F" w:rsidRDefault="00A8138F" w:rsidP="00A8138F">
      <w:pPr>
        <w:pStyle w:val="TextoNormal"/>
      </w:pPr>
    </w:p>
    <w:p w14:paraId="5AA664C4" w14:textId="77777777" w:rsidR="00A8138F" w:rsidRDefault="00A8138F" w:rsidP="00A8138F">
      <w:pPr>
        <w:pStyle w:val="TextoNormal"/>
      </w:pPr>
      <w:r>
        <w:t xml:space="preserve">b) En ese contexto, defiende que la mesa de edad aplicó correctamente la doctrina constitucional. Ciertamente, reconoce el escrito, el derecho al voto es uno de los que se integran en el </w:t>
      </w:r>
      <w:r w:rsidRPr="00A8138F">
        <w:rPr>
          <w:i/>
        </w:rPr>
        <w:t>ius in officium</w:t>
      </w:r>
      <w:r>
        <w:t xml:space="preserve"> de los parlamentarios y, conforme a dicha doctrina, debe ejercerse “de forma presencial y personal”, salvo en ciertos supuestos excepcionales.</w:t>
      </w:r>
    </w:p>
    <w:p w14:paraId="6216A558" w14:textId="77777777" w:rsidR="00A8138F" w:rsidRDefault="00A8138F" w:rsidP="00A8138F">
      <w:pPr>
        <w:pStyle w:val="TextoNormal"/>
      </w:pPr>
    </w:p>
    <w:p w14:paraId="09BC769E" w14:textId="77777777" w:rsidR="00A8138F" w:rsidRDefault="00A8138F" w:rsidP="00A8138F">
      <w:pPr>
        <w:pStyle w:val="TextoNormal"/>
      </w:pPr>
      <w:r>
        <w:t>A este último respecto, alude a diversos ordenamientos que admiten expresamente la posibilidad de votaciones en ausencia, ya sean telemáticas o delegadas; y sostiene que “[l]a tradicional personalidad e indelegabilidad del voto” parlamentario se ha flexibilizado ante “nuevas realidades y necesidades” como las derivadas de la conciliación familiar o los motivos de salud, según mostró la reciente situación pandémica. El escrito repasa la regulación de esta materia en las Cortes Generales y la doctrina constitucional sentada en diversas sentencias específicamente referidas al Parlamento de Cataluña, que confirman la exigencia de que el voto sea personal y presencial, salvo excepciones reglamentariamente previstas “cuando concurran circunstancias excepcionales o de fuerza mayor” y asegurando en todo caso que el voto del ausente exprese su voluntad “y no la de un tercero que pueda actuar en su nombre” (STC 19/2019, de 12 de febrero, FJ 4). Asimismo, el escrito resalta que el Tribunal Constitucional ha admitido que los reglamentos parlamentarios establezcan excepciones al carácter personal e indelegable del voto, siempre que se persiga salvaguardar otros bienes o valores constitucionales que se consideren merecedores de protección, se respeten las exigencias derivadas del principio de proporcionalidad y los supuestos que configuren la excepción sean interpretados de forma restrictiva (STC 65/2022, de 31 de mayo, FJ 6).</w:t>
      </w:r>
    </w:p>
    <w:p w14:paraId="320C0E68" w14:textId="77777777" w:rsidR="00A8138F" w:rsidRDefault="00A8138F" w:rsidP="00A8138F">
      <w:pPr>
        <w:pStyle w:val="TextoNormal"/>
      </w:pPr>
    </w:p>
    <w:p w14:paraId="2D849BF1" w14:textId="77777777" w:rsidR="00A8138F" w:rsidRDefault="00A8138F" w:rsidP="00A8138F">
      <w:pPr>
        <w:pStyle w:val="TextoNormal"/>
      </w:pPr>
      <w:r>
        <w:t>c) A la vista de esa doctrina, el escrito del letrado del Parlamento se centra en analizar qué circunstancias pueden considerarse “excepcionales o de fuerza mayor”, permitiendo la delegación del voto de los parlamentarios. Se apunta así que el Parlamento de Cataluña, como otros, admitió de forma “pacífica” la votación en ausencia durante la vigencia de la pandemia por covid-19, existiendo así una práctica parlamentaria incuestionada en la materia. Igualmente, se subraya que la jurisprudencia constitucional ha descartado en varias ocasiones que pueda considerarse una circunstancia excepcional o de fuerza mayor “a los efectos de excepcionar el voto presencial la [situación] de quien voluntariamente ha decidido eludir la acción de la jurisdicción penal española y sobre el que pesa una orden judicial de busca y captura” (SSTC 85/2022, de 27 de junio; 24/2023, de 27 de marzo, y 86/2024, de 3 de junio).</w:t>
      </w:r>
    </w:p>
    <w:p w14:paraId="073391FD" w14:textId="77777777" w:rsidR="00A8138F" w:rsidRDefault="00A8138F" w:rsidP="00A8138F">
      <w:pPr>
        <w:pStyle w:val="TextoNormal"/>
      </w:pPr>
    </w:p>
    <w:p w14:paraId="2C51217D" w14:textId="77777777" w:rsidR="00A8138F" w:rsidRDefault="00A8138F" w:rsidP="00A8138F">
      <w:pPr>
        <w:pStyle w:val="TextoNormal"/>
      </w:pPr>
      <w:r>
        <w:t>d) Sin embargo, el letrado del Parlamento de Cataluña entiende que no estamos ahora ante esa circunstancia, sino ante “un supuesto de hecho no examinado con carácter previo por el Tribunal [Constitucional] ni por el propio Parlament de Catalunya que, sin duda alguna, cabe reputar como excepcional”. En este sentido, el escrito invoca la Ley Orgánica 1/2024, de 10 de junio, de amnistía para la normalización institucional, política y social en Cataluña, subrayando que esa norma reconoce “una excepcionalidad motivada por voluntad de normalización institucional tras un período de grave perturbación”.</w:t>
      </w:r>
    </w:p>
    <w:p w14:paraId="7510FAAE" w14:textId="77777777" w:rsidR="00A8138F" w:rsidRDefault="00A8138F" w:rsidP="00A8138F">
      <w:pPr>
        <w:pStyle w:val="TextoNormal"/>
      </w:pPr>
    </w:p>
    <w:p w14:paraId="5BB2976E" w14:textId="77777777" w:rsidR="00A8138F" w:rsidRDefault="00A8138F" w:rsidP="00A8138F">
      <w:pPr>
        <w:pStyle w:val="TextoNormal"/>
      </w:pPr>
      <w:r>
        <w:t>La aprobación de esa Ley, publicada en el “Boletín Oficial del Estado” el 11 de junio de 2024 y, por tanto, el día posterior a la sesión constitutiva de la XV legislatura del Parlamento de Cataluña, tal y como reconoce el propio escrito del letrado del Parlamento, es un hecho de “gran trascendencia jurídica” que, a los efectos del presente amparo, supone el “reconocimiento expreso de una excepcionalidad fundada en principios, bienes y valores constitucionales merecedores de protección” y, por tanto, constitucionalmente hábil para exceptuar “la presencialidad o personalidad del voto parlamentario”.</w:t>
      </w:r>
    </w:p>
    <w:p w14:paraId="52EB25B6" w14:textId="77777777" w:rsidR="00A8138F" w:rsidRDefault="00A8138F" w:rsidP="00A8138F">
      <w:pPr>
        <w:pStyle w:val="TextoNormal"/>
      </w:pPr>
    </w:p>
    <w:p w14:paraId="2FF5F4AC" w14:textId="77777777" w:rsidR="00A8138F" w:rsidRDefault="00A8138F" w:rsidP="00A8138F">
      <w:pPr>
        <w:pStyle w:val="TextoNormal"/>
      </w:pPr>
      <w:r>
        <w:t>En este sentido, el escrito subraya que así lo habría entendido también el Parlamento de Cataluña, en un momento posterior al acuerdo aquí impugnado, al modificar su Reglamento para admitir de forma excepcional la delegación del voto a fin de “garantizar el ejercicio de la función parlamentaria de los diputados afectados por las causas judiciales incluidas en la Ley Orgánica […] de amnistía”; posibilidad validada por la junta de letrados del Parlamento y por el Consejo de Garantías Estatutarias. Este último señalaba, en su dictamen 2/2024, que la pendencia de “las decisiones judiciales sobre la aplicabilidad de la Ley Orgánica 1/2024” determina una situación “completamente diferente” a la voluntaria elusión de la acción de la justicia a la que aludía el Tribunal Constitucional en anteriores decisiones, cuya doctrina no sería pues aplicable a este caso.</w:t>
      </w:r>
    </w:p>
    <w:p w14:paraId="79594167" w14:textId="77777777" w:rsidR="00A8138F" w:rsidRDefault="00A8138F" w:rsidP="00A8138F">
      <w:pPr>
        <w:pStyle w:val="TextoNormal"/>
      </w:pPr>
    </w:p>
    <w:p w14:paraId="63EEF63E" w14:textId="77777777" w:rsidR="00A8138F" w:rsidRDefault="00A8138F" w:rsidP="00A8138F">
      <w:pPr>
        <w:pStyle w:val="TextoNormal"/>
      </w:pPr>
      <w:r>
        <w:t>e) En conclusión, y de acuerdo con esa línea de razonamiento, el letrado del Parlamento de Cataluña entiende que correspondía a la mesa de edad, condicionada por “la temporalidad de sus funciones y la inmediatez” de su decisión, “ponderar y validar si […] las nuevas circunstancias excepcionales son subsumibles dentro de los requisitos fijados por el Tribunal Constitucional”. Así lo hizo, concluyendo que “las nuevas circunstancias jurídicas” justificaban la decisión adoptada “con pleno respeto” a la doctrina constitucional.</w:t>
      </w:r>
    </w:p>
    <w:p w14:paraId="2B52D213" w14:textId="77777777" w:rsidR="00A8138F" w:rsidRDefault="00A8138F" w:rsidP="00A8138F">
      <w:pPr>
        <w:pStyle w:val="TextoNormal"/>
      </w:pPr>
    </w:p>
    <w:p w14:paraId="4DEAB96D" w14:textId="77777777" w:rsidR="00A8138F" w:rsidRDefault="00A8138F" w:rsidP="00A8138F">
      <w:pPr>
        <w:pStyle w:val="TextoNormal"/>
      </w:pPr>
      <w:r>
        <w:t xml:space="preserve">Tal conclusión viene reforzada por las consecuencias que se habrían derivado de una eventual decisión de la mesa en sentido contrario: en efecto, “[d]enegar la delegación del voto, habida cuenta de que nos hallamos ante una circunstancia excepcional que justifica la necesidad de salvaguardar otros bienes o valores constitucionales merecedores de protección, habría impedido, en beneficio de la personalidad e indelegabilidad del voto parlamentario, el mejor ‘conocimiento de la auténtica voluntad de la Cámara’, que se conforma con el parecer diverso de los diputados electos”, lesionando así “los derechos de los diputados individuales asistidos por su </w:t>
      </w:r>
      <w:r w:rsidRPr="00A8138F">
        <w:rPr>
          <w:i/>
        </w:rPr>
        <w:t>ius in officium</w:t>
      </w:r>
      <w:r>
        <w:t xml:space="preserve"> y por los ciudadanos que los eligieron determinados por la exposición de un programa político”. En definitiva, la decisión controvertida “fue acertada y garantista de los derechos de los diputados de la Cámara individualmente y de la Cámara en su conjunto”.</w:t>
      </w:r>
    </w:p>
    <w:p w14:paraId="4B88CC38" w14:textId="77777777" w:rsidR="00A8138F" w:rsidRDefault="00A8138F" w:rsidP="00A8138F">
      <w:pPr>
        <w:pStyle w:val="TextoNormal"/>
      </w:pPr>
    </w:p>
    <w:p w14:paraId="7BCDFA5E" w14:textId="3D45778D" w:rsidR="00A8138F" w:rsidRDefault="00A8138F" w:rsidP="00A8138F">
      <w:pPr>
        <w:pStyle w:val="TextoNormal"/>
      </w:pPr>
      <w:r>
        <w:t>f) Finalmente, el letrado del Parlamento de Cataluña señala que la autonomía parlamentaria otorga a los órganos rectores de las cámaras un margen en la interpretación de la legalidad parlamentaria que el Tribunal Constitucional no puede desconocer (ATC 262/2007, de 25 de mayo, FJ 2), debiendo validar la decisión adoptada por la mesa de edad del Parlamento de Cataluña respetando “cierta deferencia al Poder Legislativo”.</w:t>
      </w:r>
    </w:p>
    <w:p w14:paraId="2E25FFF6" w14:textId="77777777" w:rsidR="00A8138F" w:rsidRDefault="00A8138F" w:rsidP="00A8138F">
      <w:pPr>
        <w:pStyle w:val="TextoNormal"/>
      </w:pPr>
    </w:p>
    <w:p w14:paraId="7C2EAD65" w14:textId="77777777" w:rsidR="00A8138F" w:rsidRDefault="00A8138F" w:rsidP="00A8138F">
      <w:pPr>
        <w:pStyle w:val="TextoNormal"/>
      </w:pPr>
      <w:r w:rsidRPr="00A8138F">
        <w:rPr>
          <w:rStyle w:val="NumeroAFNegritaCaracter"/>
        </w:rPr>
        <w:t>8</w:t>
      </w:r>
      <w:r>
        <w:t>. Mediante escrito registrado el 4 de noviembre de 2024, el Ministerio Fiscal interesa que se dicte sentencia estimando el recurso de amparo interpuesto por los siguientes motivos:</w:t>
      </w:r>
    </w:p>
    <w:p w14:paraId="2AC6D275" w14:textId="77777777" w:rsidR="00A8138F" w:rsidRDefault="00A8138F" w:rsidP="00A8138F">
      <w:pPr>
        <w:pStyle w:val="TextoNormal"/>
      </w:pPr>
    </w:p>
    <w:p w14:paraId="541F06F3" w14:textId="77777777" w:rsidR="00A8138F" w:rsidRDefault="00A8138F" w:rsidP="00A8138F">
      <w:pPr>
        <w:pStyle w:val="TextoNormal"/>
      </w:pPr>
      <w:r>
        <w:t>a) Tras exponer los antecedentes de hecho y el contenido de la demanda, el Ministerio Fiscal rechaza las alegaciones de la parte recurrente relativas a la falta de respuesta al escrito por el que habrían solicitado la reconsideración del acuerdo de la mesa de edad del Parlamento de Cataluña que admitió la delegación del voto de los diputados don Carles Puigdemont i Casamajó y don Lluís Puig i Gordi. Señala así que tal petición habría sido desestimada verbalmente por el presidente de la mesa de edad del Parlamento durante la sesión, en tanto este habría puesto de manifiesto que “las peticiones de reconsideración no existen durante la sesión constitutiva”. En este sentido, el Ministerio Fiscal señala que el art. 38 del Reglamento de la Cámara regula las solicitudes de reconsideración de los acuerdos adoptados por la mesa de la Cámara, no refiriéndose en ningún caso a la mesa de edad; de lo que se deduce que no se prevé la formulación de solicitud de reconsideración alguna respecto de los acuerdos de la mesa de edad.</w:t>
      </w:r>
    </w:p>
    <w:p w14:paraId="3AF82DA3" w14:textId="77777777" w:rsidR="00A8138F" w:rsidRDefault="00A8138F" w:rsidP="00A8138F">
      <w:pPr>
        <w:pStyle w:val="TextoNormal"/>
      </w:pPr>
    </w:p>
    <w:p w14:paraId="34119C9F" w14:textId="77777777" w:rsidR="00A8138F" w:rsidRDefault="00A8138F" w:rsidP="00A8138F">
      <w:pPr>
        <w:pStyle w:val="TextoNormal"/>
      </w:pPr>
      <w:r>
        <w:t xml:space="preserve">b) El escrito del Ministerio Fiscal continúa sintetizando la doctrina constitucional relativa a la incidencia que tiene en el </w:t>
      </w:r>
      <w:r w:rsidRPr="00A8138F">
        <w:rPr>
          <w:i/>
        </w:rPr>
        <w:t>ius in officium</w:t>
      </w:r>
      <w:r>
        <w:t xml:space="preserve"> de los parlamentarios el ejercicio indebido de su derecho de voto por otros miembros de la Cámara (STC 65/2022, de 31 de mayo, FJ 3), así como la referida a la personalidad y el carácter indelegable del voto de los parlamentarios (STC 65/2022, de 31 de mayo, FFJJ 5 y 6). En aplicación de esa jurisprudencia, recuerda el Ministerio Fiscal, el Tribunal Constitucional se ha pronunciado en varias ocasiones sobre la delegación del voto por parlamentarios, señalando en relación con la delegación del voto del diputado don Lluís Puig i Gordi por causas semejantes a las que alegó para delegar su voto en el supuesto ahora analizado, lo siguiente:</w:t>
      </w:r>
    </w:p>
    <w:p w14:paraId="2EF07CF2" w14:textId="77777777" w:rsidR="00A8138F" w:rsidRDefault="00A8138F" w:rsidP="00A8138F">
      <w:pPr>
        <w:pStyle w:val="TextoNormal"/>
      </w:pPr>
    </w:p>
    <w:p w14:paraId="6C1DE46C" w14:textId="77777777" w:rsidR="00A8138F" w:rsidRDefault="00A8138F" w:rsidP="00A8138F">
      <w:pPr>
        <w:pStyle w:val="TextoNormal"/>
      </w:pPr>
      <w:r>
        <w:t xml:space="preserve">“(i) este tipo de acuerdos de delegación de voto pueden incidir en el derecho al </w:t>
      </w:r>
      <w:r w:rsidRPr="00A8138F">
        <w:rPr>
          <w:i/>
        </w:rPr>
        <w:t>ius in officium</w:t>
      </w:r>
      <w:r>
        <w:t xml:space="preserve"> de los recurrentes (FJ 3); (ii) el principio de personalidad del voto de los parlamentarios establecido en el art. 79.3 CE resulta de aplicación a todos los cargos públicos representativos incluyendo a los parlamentarios autonómicos (FJ 5); y (iii) la interpretación del art. 95.2 [del Reglamento del Parlamento de Cataluña], que prevé la delegación de voto en los supuestos de hospitalización, enfermedad grave e incapacidad prolongada, solo es constitucionalmente admisible cuando, por un lado, el diputado delegante haya manifestado previamente de forma fehaciente el sentido de su voto y, por otro, se encuentra justificada en la necesidad de salvaguardar otros bienes o valores constitucionales y respete el principio de proporcionalidad, lo que no concurre en el caso de quien voluntariamente ha decidido eludir la acción de la jurisdicción penal española y sobre el que pesa una orden judicial de busca y captura” (STC 24/2023, de 27 de marzo, FJ 3).</w:t>
      </w:r>
    </w:p>
    <w:p w14:paraId="56112463" w14:textId="77777777" w:rsidR="00A8138F" w:rsidRDefault="00A8138F" w:rsidP="00A8138F">
      <w:pPr>
        <w:pStyle w:val="TextoNormal"/>
      </w:pPr>
    </w:p>
    <w:p w14:paraId="659D697D" w14:textId="2D1C81FE" w:rsidR="00A8138F" w:rsidRDefault="00A8138F" w:rsidP="00A8138F">
      <w:pPr>
        <w:pStyle w:val="TextoNormal"/>
      </w:pPr>
      <w:r>
        <w:t>c) A juicio del Ministerio Fiscal, los acuerdos de la mesa de edad aquí impugnados admitieron la delegación del voto de los diputados concernidos, cuyo ejercicio se concretó en las votaciones para elegir a los miembros de la mesa del Parlamento de Cataluña, sin que constara el sentido del voto de los diputados delegantes, lo que rompe el principio de personalidad del voto. Además, la causa de la delegación alegada por los diputados delegantes (“las circunstancias actuales que me incapacitan para poder ejercer de forma presencial el derecho al voto”) no encaja en los supuestos previstos en el artículo 95.2 del Reglamento de la Cámara, que han de interpretarse restrictivamente. Por lo cual concluye que “procede otorgar el amparo solicitado por esta causa y declarar la nulidad del acuerdo […] que admitió la delegación del voto” de los diputados don Carles Puigdemont i Casamajó y don Lluís Puig i Gordi, “por haberse lesionado el derecho fundamental de los recurrentes a ejercer sus funciones representativas en condiciones de igualdad (art. 23.2 CE), en relación con el derecho de los ciudadanos a participar en los asuntos públicos a través de sus representantes (art. 23.1 CE)”.</w:t>
      </w:r>
    </w:p>
    <w:p w14:paraId="3EAE6EF1" w14:textId="77777777" w:rsidR="00A8138F" w:rsidRDefault="00A8138F" w:rsidP="00A8138F">
      <w:pPr>
        <w:pStyle w:val="TextoNormal"/>
      </w:pPr>
    </w:p>
    <w:p w14:paraId="52D36ED1" w14:textId="3A3C9479" w:rsidR="00A8138F" w:rsidRDefault="00A8138F" w:rsidP="00A8138F">
      <w:pPr>
        <w:pStyle w:val="TextoNormal"/>
      </w:pPr>
      <w:r w:rsidRPr="00A8138F">
        <w:rPr>
          <w:rStyle w:val="NumeroAFNegritaCaracter"/>
        </w:rPr>
        <w:t>9</w:t>
      </w:r>
      <w:r>
        <w:t>. Por medio de diligencia de ordenación de 5 de noviembre de 2024 de la Secretaría de Justicia del Pleno, se hace constar que han formulado escrito de alegaciones el Parlamento de Cataluña y el Ministerio Fiscal, quedando el recurso de amparo pendiente para deliberación cuando por turno corresponda.</w:t>
      </w:r>
    </w:p>
    <w:p w14:paraId="6A720A16" w14:textId="77777777" w:rsidR="00A8138F" w:rsidRDefault="00A8138F" w:rsidP="00A8138F">
      <w:pPr>
        <w:pStyle w:val="TextoNormal"/>
      </w:pPr>
    </w:p>
    <w:p w14:paraId="1242D33B" w14:textId="28AE4C83" w:rsidR="00A8138F" w:rsidRDefault="00A8138F" w:rsidP="00A8138F">
      <w:pPr>
        <w:pStyle w:val="TextoNormal"/>
      </w:pPr>
      <w:r w:rsidRPr="00A8138F">
        <w:rPr>
          <w:rStyle w:val="NumeroAFNegritaCaracter"/>
        </w:rPr>
        <w:t>10</w:t>
      </w:r>
      <w:r>
        <w:t>. Por providencia de 10 de junio de 2025, se señaló para deliberación y votación de la presente sentencia el día 11 del mismo mes y año.</w:t>
      </w:r>
    </w:p>
    <w:p w14:paraId="16EE9901" w14:textId="77777777" w:rsidR="00A8138F" w:rsidRDefault="00A8138F" w:rsidP="00A8138F">
      <w:pPr>
        <w:pStyle w:val="TextoNormal"/>
      </w:pPr>
    </w:p>
    <w:p w14:paraId="7536AED4" w14:textId="77777777" w:rsidR="00A8138F" w:rsidRDefault="00A8138F" w:rsidP="00A8138F">
      <w:pPr>
        <w:pStyle w:val="TextoNormalNegritaCentrado"/>
        <w:keepNext/>
      </w:pPr>
      <w:r>
        <w:t>II. Fundamentos jurídicos</w:t>
      </w:r>
    </w:p>
    <w:p w14:paraId="274A74EA" w14:textId="6E740D7F" w:rsidR="00A8138F" w:rsidRDefault="00A8138F" w:rsidP="00A8138F">
      <w:pPr>
        <w:pStyle w:val="TextoNormalNegritaCentrado"/>
        <w:keepNext/>
      </w:pPr>
    </w:p>
    <w:p w14:paraId="27110AF6" w14:textId="77777777" w:rsidR="00A8138F" w:rsidRDefault="00A8138F" w:rsidP="00A8138F">
      <w:pPr>
        <w:pStyle w:val="TextoNormal"/>
      </w:pPr>
      <w:r w:rsidRPr="00A8138F">
        <w:rPr>
          <w:rStyle w:val="NumeroAFNegritaCaracter"/>
        </w:rPr>
        <w:t>1</w:t>
      </w:r>
      <w:r>
        <w:t xml:space="preserve">. </w:t>
      </w:r>
      <w:r w:rsidRPr="00A8138F">
        <w:rPr>
          <w:i/>
        </w:rPr>
        <w:t>Objeto del recurso y pretensiones de las partes</w:t>
      </w:r>
    </w:p>
    <w:p w14:paraId="124DCC3C" w14:textId="77777777" w:rsidR="00A8138F" w:rsidRDefault="00A8138F" w:rsidP="00A8138F">
      <w:pPr>
        <w:pStyle w:val="TextoNormal"/>
      </w:pPr>
    </w:p>
    <w:p w14:paraId="7C066EC2" w14:textId="77777777" w:rsidR="00A8138F" w:rsidRDefault="00A8138F" w:rsidP="00A8138F">
      <w:pPr>
        <w:pStyle w:val="TextoNormal"/>
      </w:pPr>
      <w:r>
        <w:t>El presente recurso de amparo, interpuesto de conformidad con el art. 42 LOTC por el Grupo Parlamentario Vox en el Parlamento de Cataluña y don Juan Garriga Domènech, diputado y portavoz de ese Grupo Parlamentario, se dirige contra el acuerdo de la mesa de edad de dicho Parlamento, de 10 de junio de 2024, que decidió admitir la delegación del voto de los diputados don Carles Puigdemont i Casamajó y don Lluís Puig i Gordi en favor del diputado don Albert Batet i Canadell para la sesión constitutiva de la XV legislatura del Parlamento de Cataluña; y “contra el acuerdo verbal de la misma fecha que desestimaba la reconsideración presentada por el Grupo Parlamentario Vox” contra el acuerdo anterior.</w:t>
      </w:r>
    </w:p>
    <w:p w14:paraId="6797CCD3" w14:textId="77777777" w:rsidR="00A8138F" w:rsidRDefault="00A8138F" w:rsidP="00A8138F">
      <w:pPr>
        <w:pStyle w:val="TextoNormal"/>
      </w:pPr>
    </w:p>
    <w:p w14:paraId="03E2BDAD" w14:textId="77777777" w:rsidR="00A8138F" w:rsidRDefault="00A8138F" w:rsidP="00A8138F">
      <w:pPr>
        <w:pStyle w:val="TextoNormal"/>
      </w:pPr>
      <w:r>
        <w:t>En síntesis, y como se ha expuesto pormenorizadamente en los antecedentes, el recurso considera que los acuerdos impugnados, al admitir la delegación del voto de los citados diputados sin que concurriera en ellos ninguno de los supuestos previstos en el art. 95 del Reglamento del Parlamento de Cataluña (RPC), son contrarios a la consolidada doctrina de este tribunal sobre la personalidad y presencialidad del voto parlamentario, vulnerando el derecho de los recurrentes al ejercicio de su función representativa, así como el correlativo derecho de los ciudadanos a participar en los asuntos públicos por medio de sus representantes (art. 23.2 y 1 CE, respectivamente). Adicionalmente, el recurso cuestiona la constitucionalidad del propio art. 95 RPC, al entender que ese precepto sería contrario a lo previsto en el art. 79.3 CE.</w:t>
      </w:r>
    </w:p>
    <w:p w14:paraId="2AB59836" w14:textId="77777777" w:rsidR="00A8138F" w:rsidRDefault="00A8138F" w:rsidP="00A8138F">
      <w:pPr>
        <w:pStyle w:val="TextoNormal"/>
      </w:pPr>
    </w:p>
    <w:p w14:paraId="0C112287" w14:textId="77777777" w:rsidR="00A8138F" w:rsidRDefault="00A8138F" w:rsidP="00A8138F">
      <w:pPr>
        <w:pStyle w:val="TextoNormal"/>
      </w:pPr>
      <w:r>
        <w:t>Por su parte, el letrado del Parlamento de Cataluña solicita la desestimación íntegra del recurso. Entiende que la mesa de edad de la Cámara, en el ejercicio de sus funciones y conforme al principio de autonomía parlamentaria, ha aplicado correctamente la doctrina constitucional, flexibilizando las exigencias de presencialidad y personalidad del voto parlamentario ante una circunstancia excepcional aún no contemplada por esa doctrina, como es la aprobación de una ley orgánica de amnistía que, aunque no publicada ni por tanto vigente en el momento de la adopción del acuerdo, debía ser de aplicación a los recurrentes. Con ello, se salvaguardaban otros bienes merecedores de protección constitucional, como la participación efectiva de todos los parlamentarios en la formación de la voluntad de la Cámara y el derecho de los ciudadanos que los eligieron en función de un programa político determinado. En definitiva, la decisión garantizó los derechos de los diputados individualmente considerados, así como la correcta conformación de la voluntad de la Cámara.</w:t>
      </w:r>
    </w:p>
    <w:p w14:paraId="5968ABEC" w14:textId="77777777" w:rsidR="00A8138F" w:rsidRDefault="00A8138F" w:rsidP="00A8138F">
      <w:pPr>
        <w:pStyle w:val="TextoNormal"/>
      </w:pPr>
    </w:p>
    <w:p w14:paraId="6148C579" w14:textId="0C79955B" w:rsidR="00A8138F" w:rsidRDefault="00A8138F" w:rsidP="00A8138F">
      <w:pPr>
        <w:pStyle w:val="TextoNormal"/>
      </w:pPr>
      <w:r>
        <w:t>El Ministerio Fiscal interesa el otorgamiento del amparo y la declaración de nulidad del acuerdo de la mesa de edad que autorizó la delegación del voto ya que, a su juicio, lesiona el derecho fundamental de los recurrentes a ejercer sus funciones representativas en condiciones de igualdad (art. 23.2 CE), en relación con el derecho de los ciudadanos a participar en los asuntos públicos a través de sus representantes (art. 23.1 CE), al romper el principio de personalidad del voto sin que concurran los supuestos excepcionales que podrían justificarlo, conforme a reiterada doctrina constitucional.</w:t>
      </w:r>
    </w:p>
    <w:p w14:paraId="166C0EC1" w14:textId="77777777" w:rsidR="00A8138F" w:rsidRDefault="00A8138F" w:rsidP="00A8138F">
      <w:pPr>
        <w:pStyle w:val="TextoNormal"/>
      </w:pPr>
    </w:p>
    <w:p w14:paraId="41EBBACC" w14:textId="77777777" w:rsidR="00A8138F" w:rsidRDefault="00A8138F" w:rsidP="00A8138F">
      <w:pPr>
        <w:pStyle w:val="TextoNormal"/>
      </w:pPr>
      <w:r w:rsidRPr="00A8138F">
        <w:rPr>
          <w:rStyle w:val="NumeroAFNegritaCaracter"/>
        </w:rPr>
        <w:t>2</w:t>
      </w:r>
      <w:r>
        <w:t xml:space="preserve">. </w:t>
      </w:r>
      <w:r w:rsidRPr="00A8138F">
        <w:rPr>
          <w:i/>
        </w:rPr>
        <w:t>Síntesis de la doctrina constitucional relevante en la materia</w:t>
      </w:r>
    </w:p>
    <w:p w14:paraId="79746526" w14:textId="77777777" w:rsidR="00A8138F" w:rsidRDefault="00A8138F" w:rsidP="00A8138F">
      <w:pPr>
        <w:pStyle w:val="TextoNormal"/>
      </w:pPr>
    </w:p>
    <w:p w14:paraId="06B3ED9E" w14:textId="77777777" w:rsidR="00A8138F" w:rsidRDefault="00A8138F" w:rsidP="00A8138F">
      <w:pPr>
        <w:pStyle w:val="TextoNormal"/>
      </w:pPr>
      <w:r>
        <w:t>El problema constitucional que plantea el presente recurso, referido a la alegada vulneración del art. 23.2 CE de los demandantes de amparo derivada de la decisión de la mesa de edad del Parlamento de Cataluña de admitir la delegación del voto de los diputados don Carles Puigdemont i Casamajó y don Lluís Puig i Gordi en favor del diputado don Albert Batet i Canadell, es sustancialmente coincidente con el ya resuelto en las SSTC 85/2022, de 27 de junio; 92/2022 y 93/2022, de 11 de julio; 24/2023, de 27 de marzo; 86/2024, de 3 de junio, y 83/2025, de 26 de marzo, todas ellas dictadas a raíz de diversos recursos de amparo interpuestos por diputados del Parlamento de Cataluña contra decisiones de los órganos parlamentarios que admitieron el voto por delegación o por vía telemática de los mismos diputados aquí concernidos. La última de las resoluciones citadas se pronuncia, en concreto, sobre el acuerdo de la mesa de edad del Parlamento de Cataluña de 10 de junio de 2024, que admitió la delegación del voto de los diputados don Carles Puigdemont i Casamajó y don Lluís Puig i Gordi para la sesión constitutiva de la XV legislatura del Parlamento de Cataluña, que es también objeto del presente recurso de amparo.</w:t>
      </w:r>
    </w:p>
    <w:p w14:paraId="489E86A9" w14:textId="77777777" w:rsidR="00A8138F" w:rsidRDefault="00A8138F" w:rsidP="00A8138F">
      <w:pPr>
        <w:pStyle w:val="TextoNormal"/>
      </w:pPr>
    </w:p>
    <w:p w14:paraId="716CC0F3" w14:textId="77777777" w:rsidR="00A8138F" w:rsidRDefault="00A8138F" w:rsidP="00A8138F">
      <w:pPr>
        <w:pStyle w:val="TextoNormal"/>
      </w:pPr>
      <w:r>
        <w:t>Todas esas sentencias concluyeron declarando, en los términos que utiliza la última de ellas, “que se había vulnerado el derecho de los recurrentes a ejercer las funciones representativas con los requisitos que señalan las leyes (art. 23.2 CE), que se encuentra en conexión con el derecho de los ciudadanos a participar en los asuntos públicos a través de sus representantes (art. 23.1 CE)”, para cuyo restablecimiento se declaró la nulidad de los acuerdos parlamentarios que admitieron la delegación de voto o habilitaron su ejercicio por vía telemática.</w:t>
      </w:r>
    </w:p>
    <w:p w14:paraId="6808D86A" w14:textId="77777777" w:rsidR="00A8138F" w:rsidRDefault="00A8138F" w:rsidP="00A8138F">
      <w:pPr>
        <w:pStyle w:val="TextoNormal"/>
      </w:pPr>
    </w:p>
    <w:p w14:paraId="07D0CCA2" w14:textId="77777777" w:rsidR="00A8138F" w:rsidRDefault="00A8138F" w:rsidP="00A8138F">
      <w:pPr>
        <w:pStyle w:val="TextoNormal"/>
      </w:pPr>
      <w:r>
        <w:t xml:space="preserve">En todos los casos, la estimación del recurso tuvo como fundamento la doctrina sentada en la STC 65/2022, de 31 de mayo, en la que se razonaba, entre otros extremos y por lo que es relevante a este recurso, que: (i) los acuerdos que admiten la delegación del voto de los parlamentarios pueden afectar al </w:t>
      </w:r>
      <w:r w:rsidRPr="00A8138F">
        <w:rPr>
          <w:i/>
        </w:rPr>
        <w:t>ius in officium</w:t>
      </w:r>
      <w:r>
        <w:t xml:space="preserve"> del resto de los miembros de la Cámara (FJ 3); (ii) el principio en virtud del cual el voto de los representantes políticos es personal e indelegable, previsto en el art. 79.3 CE, resulta de aplicación a todos los cargos públicos representativos, incluyendo a los parlamentarios autonómicos (FJ 5); (iii) las normas parlamentarias que introducen excepciones al carácter personal e indelegable del voto de los representantes políticos solo son constitucionalmente admisibles cuando se encuentran justificadas en la necesidad de salvaguardar otros bienes o valores constitucionales que se consideren merecedores de protección y respetan el principio de proporcionalidad, lo que no concurre en el caso de quien voluntariamente ha decidido eludir la acción de la jurisdicción penal española y sobre el que pesa una orden judicial de busca y captura (FFJJ 6 y 7).</w:t>
      </w:r>
    </w:p>
    <w:p w14:paraId="7252E4A2" w14:textId="77777777" w:rsidR="00A8138F" w:rsidRDefault="00A8138F" w:rsidP="00A8138F">
      <w:pPr>
        <w:pStyle w:val="TextoNormal"/>
      </w:pPr>
    </w:p>
    <w:p w14:paraId="7B8A6232" w14:textId="64F3216E" w:rsidR="00A8138F" w:rsidRDefault="00A8138F" w:rsidP="00A8138F">
      <w:pPr>
        <w:pStyle w:val="TextoNormal"/>
      </w:pPr>
      <w:r>
        <w:t>La aplicación de tal doctrina desembocó en todas esas sentencias en sendos fallos estimatorios que declararon la nulidad de los acuerdos impugnados, limitando su alcance en virtud del principio de seguridad jurídica (art. 9.3 CE) en el sentido de que dicha nulidad no puede comunicarse a los actos que hubieren podido adoptarse con el voto no personal o presencial de los diputados correspondientes.</w:t>
      </w:r>
    </w:p>
    <w:p w14:paraId="3259E122" w14:textId="77777777" w:rsidR="00A8138F" w:rsidRDefault="00A8138F" w:rsidP="00A8138F">
      <w:pPr>
        <w:pStyle w:val="TextoNormal"/>
      </w:pPr>
    </w:p>
    <w:p w14:paraId="7F239408" w14:textId="77777777" w:rsidR="00A8138F" w:rsidRDefault="00A8138F" w:rsidP="00A8138F">
      <w:pPr>
        <w:pStyle w:val="TextoNormal"/>
      </w:pPr>
      <w:r w:rsidRPr="00A8138F">
        <w:rPr>
          <w:rStyle w:val="NumeroAFNegritaCaracter"/>
        </w:rPr>
        <w:t>3</w:t>
      </w:r>
      <w:r>
        <w:t xml:space="preserve">. </w:t>
      </w:r>
      <w:r w:rsidRPr="00A8138F">
        <w:rPr>
          <w:i/>
        </w:rPr>
        <w:t>Aplicación de la doctrina constitucional al presente recurso de amparo</w:t>
      </w:r>
    </w:p>
    <w:p w14:paraId="101286EC" w14:textId="77777777" w:rsidR="00A8138F" w:rsidRDefault="00A8138F" w:rsidP="00A8138F">
      <w:pPr>
        <w:pStyle w:val="TextoNormal"/>
      </w:pPr>
    </w:p>
    <w:p w14:paraId="38B1A39E" w14:textId="77777777" w:rsidR="00A8138F" w:rsidRDefault="00A8138F" w:rsidP="00A8138F">
      <w:pPr>
        <w:pStyle w:val="TextoNormal"/>
      </w:pPr>
      <w:r>
        <w:t>La doctrina expuesta conduce a la estimación del presente recurso en lo que hace a la admisión, por el acuerdo de la mesa de edad del Parlamento de Cataluña de 10 de junio de 2024, de la delegación del voto de los diputados don Carles Puigdemont i Casamajó y don Lluís Puig i Gordi para la sesión constitutiva de la XV legislatura del Parlamento de Cataluña. Esa delegación de voto es la única cuestionada ahora por los recurrentes en amparo, que también discutieron la admisión de la delegación de voto del diputado don Rubén Wagensberg i Ramon para la misma sesión constitutiva ante los órganos de la Cámara, pero no en el presente procedimiento.</w:t>
      </w:r>
    </w:p>
    <w:p w14:paraId="2A740D7A" w14:textId="77777777" w:rsidR="00A8138F" w:rsidRDefault="00A8138F" w:rsidP="00A8138F">
      <w:pPr>
        <w:pStyle w:val="TextoNormal"/>
      </w:pPr>
    </w:p>
    <w:p w14:paraId="32208459" w14:textId="77777777" w:rsidR="00A8138F" w:rsidRDefault="00A8138F" w:rsidP="00A8138F">
      <w:pPr>
        <w:pStyle w:val="TextoNormal"/>
      </w:pPr>
      <w:r>
        <w:t>Tal y como ya hemos indicado en la reciente STC 83/2025, de 26 de marzo, FJ 3, la admisión de la delegación del voto de los diputados don Carles Puigdemont i Casamajó y don Lluís Puig i Gordi ahora cuestionada no se ajusta a la interpretación restrictiva que conforme a la Constitución permite excepcionar el principio de personalidad en el ejercicio del derecho de voto por los parlamentarios, “al aceptar a tal efecto una circunstancia constitucionalmente inadmisible, como es la de quien voluntariamente elude la acción de la jurisdicción penal española y sobre quien pesa una orden judicial de busca y captura. Una situación que es, cabalmente, aquella en que se encuentran los diputados cuya delegación de voto fue aceptada por la mesa de edad, por más que se alegue, como hace aquí la representación procesal del Parlamento de Cataluña, que la mera adopción por las Cortes Generales de una ley orgánica de amnistía supone, por sí misma (y aún antes de su publicación y, por tanto, de su vigencia), la concurrencia de una circunstancia excepcional que, además, según se afirma sin aportar razonamiento específico alguno al respecto, habría de aplicarse a los diputados delegantes”.</w:t>
      </w:r>
    </w:p>
    <w:p w14:paraId="2E149048" w14:textId="77777777" w:rsidR="00A8138F" w:rsidRDefault="00A8138F" w:rsidP="00A8138F">
      <w:pPr>
        <w:pStyle w:val="TextoNormal"/>
      </w:pPr>
    </w:p>
    <w:p w14:paraId="5E560F69" w14:textId="191C3A4E" w:rsidR="00A8138F" w:rsidRDefault="00A8138F" w:rsidP="00A8138F">
      <w:pPr>
        <w:pStyle w:val="TextoNormal"/>
      </w:pPr>
      <w:r>
        <w:t>Tal y como acordamos también en la citada sentencia (fundamento jurídico 3), esta conclusión determina el otorgamiento del amparo solicitado. No obstante, en la medida en que el fallo de la STC 83/2025, de 26 de marzo, ha declarado la nulidad del acuerdo de la mesa de edad del Parlamento de Cataluña de 10 de junio de 2024, que admitió la delegación de voto de los diputados don Carles Puigdemont i Casamajó y don Lluís Puig i Gordi ahora cuestionada, sin extender esos efectos a los actos adoptados con los votos delegados, el otorgamiento del presente amparo solo conlleva la declaración de que el citado acuerdo lesionó el derecho fundamental de los demandantes a ejercer sus funciones representativas en condiciones de igualdad (art. 23.2 CE), en relación con el derecho de los ciudadanos a participar en los asuntos públicos a través de sus representantes (art. 23.1 CE). Tal declaración de nulidad, ya efectuada en la STC 83/2025, supone la reparación efectiva de la vulneración alegada del art. 23.1 y 2 CE, que ha sido reconocida.</w:t>
      </w:r>
    </w:p>
    <w:p w14:paraId="65736135" w14:textId="77777777" w:rsidR="00A8138F" w:rsidRDefault="00A8138F" w:rsidP="00A8138F">
      <w:pPr>
        <w:pStyle w:val="TextoNormal"/>
      </w:pPr>
    </w:p>
    <w:p w14:paraId="0A9B13ED" w14:textId="77777777" w:rsidR="00A8138F" w:rsidRDefault="00A8138F" w:rsidP="00A8138F">
      <w:pPr>
        <w:pStyle w:val="TextoNormalCentrado"/>
        <w:keepNext/>
      </w:pPr>
      <w:r>
        <w:t>FALLO</w:t>
      </w:r>
    </w:p>
    <w:p w14:paraId="3F9AB3DF" w14:textId="2CF33DEA" w:rsidR="00A8138F" w:rsidRDefault="00A8138F" w:rsidP="00A8138F">
      <w:pPr>
        <w:pStyle w:val="TextoNormalCentrado"/>
        <w:keepNext/>
      </w:pPr>
    </w:p>
    <w:p w14:paraId="743268F7" w14:textId="37322D66" w:rsidR="00A8138F" w:rsidRDefault="00A8138F" w:rsidP="00A8138F">
      <w:pPr>
        <w:pStyle w:val="TextoNormal"/>
      </w:pPr>
      <w:r>
        <w:t>En atención a todo lo expuesto, el Tribunal Constitucional, por la autoridad que le confiere la Constitución de la Nación española, ha decidido estimar el recurso de amparo interpuesto por el Grupo Parlamentario Vox en el Parlamento de Cataluña y don Juan Garriga Domènech, diputado y portavoz de ese Grupo Parlamentario, y en consecuencia, declarar que el acuerdo de la mesa de edad del Parlamento de Cataluña de 10 de junio de 2024, que admitió la delegación de voto de los diputados don Carles Puigdemont i Casamajó y don Lluís Puig i Gordi, ha vulnerado el derecho de los recurrentes a ejercer las funciones representativas con los requisitos que señalan las leyes (art. 23.2 CE), que se encuentra en conexión con el derecho de los ciudadanos a participar en los asuntos públicos a través de sus representantes (art. 23.1 CE).</w:t>
      </w:r>
    </w:p>
    <w:p w14:paraId="15E0F411" w14:textId="77777777" w:rsidR="00A8138F" w:rsidRDefault="00A8138F" w:rsidP="00A8138F">
      <w:pPr>
        <w:pStyle w:val="TextoNormal"/>
      </w:pPr>
    </w:p>
    <w:p w14:paraId="375D428C" w14:textId="77777777" w:rsidR="00A8138F" w:rsidRDefault="00A8138F" w:rsidP="00A8138F">
      <w:pPr>
        <w:pStyle w:val="TextoNormal"/>
      </w:pPr>
      <w:r>
        <w:t>Publíquese esta sentencia en el “Boletín Oficial del Estado”.</w:t>
      </w:r>
    </w:p>
    <w:p w14:paraId="08952077" w14:textId="77777777" w:rsidR="00A8138F" w:rsidRDefault="00A8138F" w:rsidP="00A8138F">
      <w:pPr>
        <w:pStyle w:val="TextoNormal"/>
      </w:pPr>
      <w:r>
        <w:t>Dada en Madrid, a once de junio de dos mil veinticinco.</w:t>
      </w:r>
    </w:p>
    <w:p w14:paraId="3530A1E4" w14:textId="25BF6C17" w:rsidR="00A8138F" w:rsidRDefault="00A8138F">
      <w:pPr>
        <w:spacing w:after="160" w:line="278" w:lineRule="auto"/>
        <w:rPr>
          <w:rFonts w:ascii="Times New Roman" w:eastAsia="Times New Roman" w:hAnsi="Times New Roman" w:cs="Times New Roman"/>
          <w:sz w:val="24"/>
          <w:szCs w:val="24"/>
          <w:lang w:eastAsia="es-ES"/>
        </w:rPr>
      </w:pPr>
      <w:r>
        <w:br w:type="page"/>
      </w:r>
    </w:p>
    <w:p w14:paraId="5E4F218B" w14:textId="77777777" w:rsidR="00A8138F" w:rsidRDefault="00A8138F" w:rsidP="00A8138F">
      <w:pPr>
        <w:pStyle w:val="TtuloResolucin"/>
      </w:pPr>
      <w:bookmarkStart w:id="139" w:name="SENTENCIA_2025_137"/>
      <w:r>
        <w:t>SENTENCIA 137/2025, de 26 de junio de 2025</w:t>
      </w:r>
    </w:p>
    <w:bookmarkEnd w:id="139"/>
    <w:p w14:paraId="52870B94" w14:textId="77777777" w:rsidR="00A8138F" w:rsidRDefault="00A8138F" w:rsidP="00A8138F">
      <w:pPr>
        <w:pStyle w:val="TtuloResolucin"/>
      </w:pPr>
      <w:r>
        <w:t>Pleno</w:t>
      </w:r>
    </w:p>
    <w:p w14:paraId="045016B2" w14:textId="77777777" w:rsidR="00A8138F" w:rsidRDefault="00A8138F" w:rsidP="00A8138F">
      <w:pPr>
        <w:pStyle w:val="TtuloBOE"/>
      </w:pPr>
      <w:r>
        <w:t>(BOE núm. 183, de 31 de julio de 2025)</w:t>
      </w:r>
    </w:p>
    <w:p w14:paraId="71280833" w14:textId="77777777" w:rsidR="00A8138F" w:rsidRDefault="00A8138F" w:rsidP="00A8138F">
      <w:pPr>
        <w:pStyle w:val="TextoNormalCentrado"/>
      </w:pPr>
      <w:r>
        <w:t>ECLI:ES:TC:2025:137</w:t>
      </w:r>
    </w:p>
    <w:p w14:paraId="3EF5CEC8" w14:textId="770AB754" w:rsidR="00A8138F" w:rsidRDefault="00A8138F" w:rsidP="00A8138F">
      <w:pPr>
        <w:pStyle w:val="TextoNormalCentrado"/>
      </w:pPr>
    </w:p>
    <w:p w14:paraId="4D974D10" w14:textId="77777777" w:rsidR="00A8138F" w:rsidRDefault="00A8138F" w:rsidP="00A8138F">
      <w:pPr>
        <w:pStyle w:val="SntesisDescriptiva"/>
      </w:pPr>
      <w:r>
        <w:t>Recurso de inconstitucionalidad 6436-2024. Interpuesto por más de cincuenta diputados y más de cincuenta senadores de los grupos parlamentarios Popular en el Congreso de los Diputados y en el Senado, respectivamente, en relación con la Ley Orgánica 1/2024, de 10 de junio, de amnistía para la normalización institucional, política y social en Cataluña.</w:t>
      </w:r>
    </w:p>
    <w:p w14:paraId="18A75FF3" w14:textId="1312A6D7" w:rsidR="00A8138F" w:rsidRDefault="00A8138F" w:rsidP="00A8138F">
      <w:pPr>
        <w:pStyle w:val="SntesisDescriptiva"/>
      </w:pPr>
    </w:p>
    <w:p w14:paraId="2299E2C8" w14:textId="77777777" w:rsidR="00A8138F" w:rsidRDefault="00A8138F" w:rsidP="00A8138F">
      <w:pPr>
        <w:pStyle w:val="SntesisAnaltica"/>
      </w:pPr>
      <w:r>
        <w:t>Estado democrático de Derecho, interdicción de la arbitrariedad y separación de poderes, reserva de jurisdicción y obligación de cumplir las resoluciones judiciales firmes; procedimiento legislativo; principio de igualdad, derechos a la tutela judicial efectiva y a la legalidad penal: inexistencia de una prohibición constitucional de conceder amnistías; inconstitucionalidad parcial de la delimitación del ámbito objetivo y temporal de la ley; interpretación conforme con la Constitución de los preceptos relativos a la extinción de procedimientos de depuración de responsabilidades contables. Votos particulares.</w:t>
      </w:r>
    </w:p>
    <w:p w14:paraId="01700049" w14:textId="45888D19" w:rsidR="00A8138F" w:rsidRDefault="00A8138F" w:rsidP="00A8138F">
      <w:pPr>
        <w:pStyle w:val="SntesisAnaltica"/>
      </w:pPr>
    </w:p>
    <w:p w14:paraId="6A3BEE64" w14:textId="18356A71" w:rsidR="00A8138F" w:rsidRDefault="00A8138F" w:rsidP="00A8138F">
      <w:pPr>
        <w:pStyle w:val="Extracto"/>
      </w:pPr>
      <w:r>
        <w:t>1.</w:t>
      </w:r>
      <w:r>
        <w:tab/>
        <w:t>El legislador puede regular toda materia que la Constitución no prohíba explícita o implícitamente. Respetando este límite, ningún contenido puede considerarse exento de la posibilidad de que el Parlamento lo atraiga hacia sí [FJ 3].</w:t>
      </w:r>
    </w:p>
    <w:p w14:paraId="631D3576" w14:textId="77777777" w:rsidR="00A8138F" w:rsidRDefault="00A8138F" w:rsidP="00A8138F">
      <w:pPr>
        <w:pStyle w:val="Extracto"/>
      </w:pPr>
    </w:p>
    <w:p w14:paraId="6E30ABE0" w14:textId="6A0386CA" w:rsidR="00A8138F" w:rsidRDefault="00A8138F" w:rsidP="00A8138F">
      <w:pPr>
        <w:pStyle w:val="Extracto"/>
      </w:pPr>
      <w:r>
        <w:t>2.</w:t>
      </w:r>
      <w:r>
        <w:tab/>
        <w:t>La circunstancia de que la amnistía pueda ser “general”, porque sus destinatarios no estén particularizados, no la hace equiparable al indulto general, constitucionalmente prohibido, pues son instituciones cuya naturaleza jurídica es diferente. Esta doctrina se cohonesta con nuestro constitucionalismo histórico, en particular con lo dispuesto en el art. 102 de la Constitución de 1931 que reconocía expresamente la amnistía y prohibía los indultos generales [FJ 3].</w:t>
      </w:r>
    </w:p>
    <w:p w14:paraId="33F453E2" w14:textId="77777777" w:rsidR="00A8138F" w:rsidRDefault="00A8138F" w:rsidP="00A8138F">
      <w:pPr>
        <w:pStyle w:val="Extracto"/>
      </w:pPr>
    </w:p>
    <w:p w14:paraId="0463EA3C" w14:textId="75A17F8A" w:rsidR="00A8138F" w:rsidRDefault="00A8138F" w:rsidP="00A8138F">
      <w:pPr>
        <w:pStyle w:val="Extracto"/>
      </w:pPr>
      <w:r>
        <w:t>3.</w:t>
      </w:r>
      <w:r>
        <w:tab/>
        <w:t>Las Cortes Generales, como titulares de la potestad legislativa del Estado ex art. 66.2 de la Constitución, pueden legislar en principio sobre cualquier materia sin necesidad de poseer un título específico para ello; sin perjuicio de que el legislador, al igual que el resto de los poderes en el Estado constitucional, tiene un poder limitado por la propia Constitución (SSTC 76/1983 y 49/2008) [FJ 3].</w:t>
      </w:r>
    </w:p>
    <w:p w14:paraId="4CBF8D2A" w14:textId="77777777" w:rsidR="00A8138F" w:rsidRDefault="00A8138F" w:rsidP="00A8138F">
      <w:pPr>
        <w:pStyle w:val="Extracto"/>
      </w:pPr>
    </w:p>
    <w:p w14:paraId="2AED40A4" w14:textId="203D0CA2" w:rsidR="00A8138F" w:rsidRDefault="00A8138F" w:rsidP="00A8138F">
      <w:pPr>
        <w:pStyle w:val="Extracto"/>
      </w:pPr>
      <w:r>
        <w:t>4.</w:t>
      </w:r>
      <w:r>
        <w:tab/>
        <w:t>La amnistía no es el olvido de los hechos, sino la extinción -total o parcial- de las consecuencias jurídicas de carácter represivo anudadas a ellos. Los hechos son o no son; y ninguna ley de amnistía puede borrarlos o hacerlos desaparecer. Con carácter general, una ley reguladora de amnistía lo único que conlleva es la exención de responsabilidad de carácter punitivo por una expresa decisión del legislador (ATC 343/1983) [FJ 4].</w:t>
      </w:r>
    </w:p>
    <w:p w14:paraId="4F316F5A" w14:textId="77777777" w:rsidR="00A8138F" w:rsidRDefault="00A8138F" w:rsidP="00A8138F">
      <w:pPr>
        <w:pStyle w:val="Extracto"/>
      </w:pPr>
    </w:p>
    <w:p w14:paraId="5CC36136" w14:textId="049A611B" w:rsidR="00A8138F" w:rsidRDefault="00A8138F" w:rsidP="00A8138F">
      <w:pPr>
        <w:pStyle w:val="Extracto"/>
      </w:pPr>
      <w:r>
        <w:t>5.</w:t>
      </w:r>
      <w:r>
        <w:tab/>
        <w:t>Una ley que extingue la responsabilidad de carácter punitivo, cualesquiera que sean las condiciones que establezca, no incide en la obligación de cumplimiento de las sentencias que impone el art. 118 CE; tampoco incide en la reserva de jurisdicción que consagra el art. 117.3 CE, dado que no hurta a los jueces y magistrados el ejercicio de la función jurisdiccional [FJ 4].</w:t>
      </w:r>
    </w:p>
    <w:p w14:paraId="61B395B1" w14:textId="77777777" w:rsidR="00A8138F" w:rsidRDefault="00A8138F" w:rsidP="00A8138F">
      <w:pPr>
        <w:pStyle w:val="Extracto"/>
      </w:pPr>
    </w:p>
    <w:p w14:paraId="47E30544" w14:textId="24ACF804" w:rsidR="00A8138F" w:rsidRDefault="00A8138F" w:rsidP="00A8138F">
      <w:pPr>
        <w:pStyle w:val="Extracto"/>
      </w:pPr>
      <w:r>
        <w:t>6.</w:t>
      </w:r>
      <w:r>
        <w:tab/>
        <w:t>Lo constitucionalmente relevante desde la óptica del art. 9.3 CE es la necesidad de una explicación racional, que podrá deducirse del preámbulo, del articulado o, en su caso, de los trabajos parlamentarios que han dado lugar al precepto o norma impugnados; son esos elementos los que sirven de base objetiva para que la jurisdicción constitucional determine si el legislador incurre en arbitrariedad, (STC 181/2000) [FJ 7].</w:t>
      </w:r>
    </w:p>
    <w:p w14:paraId="713938DA" w14:textId="77777777" w:rsidR="00A8138F" w:rsidRDefault="00A8138F" w:rsidP="00A8138F">
      <w:pPr>
        <w:pStyle w:val="Extracto"/>
      </w:pPr>
    </w:p>
    <w:p w14:paraId="2C5A88D3" w14:textId="3180A264" w:rsidR="00A8138F" w:rsidRDefault="00A8138F" w:rsidP="00A8138F">
      <w:pPr>
        <w:pStyle w:val="Extracto"/>
      </w:pPr>
      <w:r>
        <w:t>7.</w:t>
      </w:r>
      <w:r>
        <w:tab/>
        <w:t>No cabe esperar de este Tribunal un ejercicio de realismo político a partir de una suerte de “levantamiento del velo” para indagar y valorar hechos políticos subyacentes que explicarían, en última instancia, las intenciones de los parlamentarios que han votado a favor de la ley; la voluntad del legislador no puede confundirse con la de cada parlamentario que concurre, con su voto, a la formación de la voluntad de la Cámara. Este tribunal juzga la ley, y al contenido de la ley se atiene [FJ 7].</w:t>
      </w:r>
    </w:p>
    <w:p w14:paraId="49735475" w14:textId="77777777" w:rsidR="00A8138F" w:rsidRDefault="00A8138F" w:rsidP="00A8138F">
      <w:pPr>
        <w:pStyle w:val="Extracto"/>
      </w:pPr>
    </w:p>
    <w:p w14:paraId="73FE729D" w14:textId="65BB2ACB" w:rsidR="00A8138F" w:rsidRDefault="00A8138F" w:rsidP="00A8138F">
      <w:pPr>
        <w:pStyle w:val="Extracto"/>
      </w:pPr>
      <w:r>
        <w:t>8.</w:t>
      </w:r>
      <w:r>
        <w:tab/>
        <w:t>La exigencia constitucional de igualdad en la ley no impide al legislador valorar situaciones diferentes para regularlas de distinta manera, siempre que entre aquellas diferencias y esta distinción se dé una relación razonable que explique o justifique el trato desigual (STC 26/1987). Y ello porque diversidad no es discriminación, ni es situación por sí sola que contravenga el art. 14 CE, pues puede el legislador diferenciar los efectos jurídicos que haya de extraer de supuestos de hecho disímiles, en atención a la consecución de fines constitucionalmente lícitos (STC 19/1987) [FJ 8].</w:t>
      </w:r>
    </w:p>
    <w:p w14:paraId="4E8763B1" w14:textId="77777777" w:rsidR="00A8138F" w:rsidRDefault="00A8138F" w:rsidP="00A8138F">
      <w:pPr>
        <w:pStyle w:val="Extracto"/>
      </w:pPr>
    </w:p>
    <w:p w14:paraId="4B5CC23B" w14:textId="1F17E35F" w:rsidR="00A8138F" w:rsidRDefault="00A8138F" w:rsidP="00A8138F">
      <w:pPr>
        <w:pStyle w:val="Extracto"/>
      </w:pPr>
      <w:r>
        <w:t>9.</w:t>
      </w:r>
      <w:r>
        <w:tab/>
        <w:t xml:space="preserve">Pueden ser muy diversas las razones que conduzcan al legislador a disponer de su </w:t>
      </w:r>
      <w:r w:rsidRPr="00A8138F">
        <w:rPr>
          <w:i/>
        </w:rPr>
        <w:t>ius puniendi</w:t>
      </w:r>
      <w:r>
        <w:t xml:space="preserve">, renunciando al ejercicio de este para afrontar un contexto excepcional determinado; en cualquier caso, tanto la doctrina como la experiencia histórica y comparada ponen de relieve que los fines de reconciliación o pacificación política son característicos de las leyes de amnistía. Así lo reconoce, en particular, la opinión de la Comisión Europea para la Democracia por el Derecho (Comisión de Venecia) adoptada en su sesión plenaria de 15-16 de marzo de 2024, § 80 [FJ 8]. </w:t>
      </w:r>
    </w:p>
    <w:p w14:paraId="5DDEDD4B" w14:textId="77777777" w:rsidR="00A8138F" w:rsidRDefault="00A8138F" w:rsidP="00A8138F">
      <w:pPr>
        <w:pStyle w:val="Extracto"/>
      </w:pPr>
    </w:p>
    <w:p w14:paraId="2AE289AD" w14:textId="4FC88431" w:rsidR="00A8138F" w:rsidRDefault="00A8138F" w:rsidP="00A8138F">
      <w:pPr>
        <w:pStyle w:val="Extracto"/>
      </w:pPr>
      <w:r>
        <w:t>10.</w:t>
      </w:r>
      <w:r>
        <w:tab/>
        <w:t>La finalidad del legislador de favorecer la reconciliación y conseguir, con ello, que el conflicto político subyacente se encauce a través del diálogo no puede reputarse ilegítima [FJ 8].</w:t>
      </w:r>
    </w:p>
    <w:p w14:paraId="1E39CCFF" w14:textId="77777777" w:rsidR="00A8138F" w:rsidRDefault="00A8138F" w:rsidP="00A8138F">
      <w:pPr>
        <w:pStyle w:val="Extracto"/>
      </w:pPr>
    </w:p>
    <w:p w14:paraId="2A6E087D" w14:textId="7E5F6688" w:rsidR="00A8138F" w:rsidRDefault="00A8138F" w:rsidP="00A8138F">
      <w:pPr>
        <w:pStyle w:val="Extracto"/>
      </w:pPr>
      <w:r>
        <w:t>11.</w:t>
      </w:r>
      <w:r>
        <w:tab/>
        <w:t>La norma reguladora de la amnistía debe constatar una razón explicativa, si excluye un amplio elenco de conductas que están claramente enmarcadas en un mismo conflicto político que trata de reconducir al ámbito del diálogo, como son las realizadas por particulares o empleados públicos. Su omisión produce una consecuencia manifiestamente desigualitaria, pues deja fuera de la amnistía a un grupo de personas que, desde el punto de vista de la causa y finalidad legitimadora de la Ley de amnistía, es perfectamente equiparable al que resulta incluido. No obstante, si esta inconstitucionalidad no se encuentra en lo que la norma establece sino en lo que omite, no procede declarar su nulidad sino solo su inconstitucionalidad [FJ 8].</w:t>
      </w:r>
    </w:p>
    <w:p w14:paraId="28AF2A26" w14:textId="77777777" w:rsidR="00A8138F" w:rsidRDefault="00A8138F" w:rsidP="00A8138F">
      <w:pPr>
        <w:pStyle w:val="Extracto"/>
      </w:pPr>
    </w:p>
    <w:p w14:paraId="4933B9F4" w14:textId="031EC586" w:rsidR="00A8138F" w:rsidRDefault="00A8138F" w:rsidP="00A8138F">
      <w:pPr>
        <w:pStyle w:val="Extracto"/>
      </w:pPr>
      <w:r>
        <w:t>12.</w:t>
      </w:r>
      <w:r>
        <w:tab/>
        <w:t>La delimitación legislativa objetiva, si mantiene una razonable relación de proporcionalidad con los fines que presiden la amnistía otorgada -reconciliación y normalización de las relaciones políticas, sociales e institucionales-, y si  circunscribe estos efectos a infracciones que no pueden considerarse particularmente graves desde parámetros que resultan objetivos y razonables, tal delimitación de actos ilícitos amnistiables puede ser técnicamente mejorable pero obedece a una ponderación que no puede calificarse de arbitraria o irrazonable, si no incurre en excesos manifiestos en relación con su causa y finalidad justificativas que violen la cláusula general de igualdad [FJ 8].</w:t>
      </w:r>
    </w:p>
    <w:p w14:paraId="7AC6623F" w14:textId="77777777" w:rsidR="00A8138F" w:rsidRDefault="00A8138F" w:rsidP="00A8138F">
      <w:pPr>
        <w:pStyle w:val="Extracto"/>
      </w:pPr>
    </w:p>
    <w:p w14:paraId="3E0F4613" w14:textId="6B00248F" w:rsidR="00A8138F" w:rsidRDefault="00A8138F" w:rsidP="00A8138F">
      <w:pPr>
        <w:pStyle w:val="Extracto"/>
      </w:pPr>
      <w:r>
        <w:t>13.</w:t>
      </w:r>
      <w:r>
        <w:tab/>
        <w:t>Los límites fijados por el legislador para establecer un marco temporal en la norma deben tener una razón justificativa plausible [FJ 8].</w:t>
      </w:r>
    </w:p>
    <w:p w14:paraId="0CE3A08E" w14:textId="77777777" w:rsidR="00A8138F" w:rsidRDefault="00A8138F" w:rsidP="00A8138F">
      <w:pPr>
        <w:pStyle w:val="Extracto"/>
      </w:pPr>
    </w:p>
    <w:p w14:paraId="0FAFAD66" w14:textId="3B340C59" w:rsidR="00A8138F" w:rsidRDefault="00A8138F" w:rsidP="00A8138F">
      <w:pPr>
        <w:pStyle w:val="Extracto"/>
      </w:pPr>
      <w:r>
        <w:t>14.</w:t>
      </w:r>
      <w:r>
        <w:tab/>
        <w:t>La Ley carece de conexión suficiente con la razón justificativa de la amnistía si no puede explicar racionalmente que unos ciudadanos reciban del legislador una habilitación para continuar sus actividades criminales en el futuro, en contraste con el resto de los ciudadanos, que deben sujetar sus futuras acciones a las normas penales vigentes. En otras palabras, si unos ciudadanos quedan sometidos en lo sucesivo a las disposiciones del Código penal y otros no, esta consecuencia vulnera el art. 14 CE por reputarse desmedida y discriminatoria [FJ 8].</w:t>
      </w:r>
    </w:p>
    <w:p w14:paraId="30374AC6" w14:textId="77777777" w:rsidR="00A8138F" w:rsidRDefault="00A8138F" w:rsidP="00A8138F">
      <w:pPr>
        <w:pStyle w:val="Extracto"/>
      </w:pPr>
    </w:p>
    <w:p w14:paraId="2B5A6E44" w14:textId="4744FFB8" w:rsidR="00A8138F" w:rsidRDefault="00A8138F" w:rsidP="00A8138F">
      <w:pPr>
        <w:pStyle w:val="Extracto"/>
      </w:pPr>
      <w:r>
        <w:t>15.</w:t>
      </w:r>
      <w:r>
        <w:tab/>
        <w:t>Las disposiciones de la Ley han de entenderse aplicables, con las mismas condiciones, límites y requisitos que sus normas establecen, a todos los que realizaron actos amnistiables [FJ 8].</w:t>
      </w:r>
    </w:p>
    <w:p w14:paraId="1E170C37" w14:textId="77777777" w:rsidR="00A8138F" w:rsidRDefault="00A8138F" w:rsidP="00A8138F">
      <w:pPr>
        <w:pStyle w:val="Extracto"/>
      </w:pPr>
    </w:p>
    <w:p w14:paraId="28D86C1F" w14:textId="4C97AFA7" w:rsidR="00A8138F" w:rsidRDefault="00A8138F" w:rsidP="00A8138F">
      <w:pPr>
        <w:pStyle w:val="Extracto"/>
      </w:pPr>
      <w:r>
        <w:t>16.</w:t>
      </w:r>
      <w:r>
        <w:tab/>
        <w:t xml:space="preserve">El derecho a obtener una condena penal no forma parte del contenido de derecho fundamental alguno, pues la potestad punitiva nace de la ley, no de la Constitución, y esta no consagra un principio de legalidad invertido, esto es, un derecho fundamental de la víctima a obtener la condena penal a otro u otros (SSTC 41/1997 o 80/2024). Y el Tribunal Europeo de Derechos Humanos ha afirmado que el art. 6 CEDH no garantiza el derecho a condenar penalmente a terceros, ni tampoco reconoce ningún derecho a la “venganza privada” (STEDH de 12 de febrero de 2004, asunto </w:t>
      </w:r>
      <w:r w:rsidRPr="00A8138F">
        <w:rPr>
          <w:i/>
        </w:rPr>
        <w:t>Pérez c. Francia</w:t>
      </w:r>
      <w:r>
        <w:t>, § 70) [FJ 9].</w:t>
      </w:r>
    </w:p>
    <w:p w14:paraId="49EC3730" w14:textId="77777777" w:rsidR="00A8138F" w:rsidRDefault="00A8138F" w:rsidP="00A8138F">
      <w:pPr>
        <w:pStyle w:val="Extracto"/>
      </w:pPr>
    </w:p>
    <w:p w14:paraId="63E29A27" w14:textId="27EA923B" w:rsidR="00A8138F" w:rsidRDefault="00A8138F" w:rsidP="00A8138F">
      <w:pPr>
        <w:pStyle w:val="Extracto"/>
      </w:pPr>
      <w:r>
        <w:t>17.</w:t>
      </w:r>
      <w:r>
        <w:tab/>
        <w:t>No existe un derecho fundamental a la ejecución de la condena impuesta en una sentencia penal con fundamento en el art. 24.1 CE. El cumplimiento de la pena, sus modalidades, incidencias y modificaciones escapa al interés de quien fue acusador particular en la causa de la cual deriva la pena, en la medida en que el derecho a castigar (</w:t>
      </w:r>
      <w:r w:rsidRPr="00A8138F">
        <w:rPr>
          <w:i/>
        </w:rPr>
        <w:t>ius puniendi</w:t>
      </w:r>
      <w:r>
        <w:t>) lo ostenta en exclusiva el Estado, a quien le corresponde determinar cómo dicho castigo ha de cumplirse, siempre con respeto al principio de legalidad. Por lo que las decisiones que a tal fin se adopten no afectan en modo alguno a los derechos e intereses legítimos de quien en su día ejercitó la acusación particular (ATC 373/1989) [FJ 9].</w:t>
      </w:r>
    </w:p>
    <w:p w14:paraId="1D04604D" w14:textId="77777777" w:rsidR="00A8138F" w:rsidRDefault="00A8138F" w:rsidP="00A8138F">
      <w:pPr>
        <w:pStyle w:val="Extracto"/>
      </w:pPr>
    </w:p>
    <w:p w14:paraId="33FB2064" w14:textId="55E446D3" w:rsidR="00A8138F" w:rsidRDefault="00A8138F" w:rsidP="00A8138F">
      <w:pPr>
        <w:pStyle w:val="Extracto"/>
      </w:pPr>
      <w:r>
        <w:t>18.</w:t>
      </w:r>
      <w:r>
        <w:tab/>
        <w:t>Se encuentran amparadas por el derecho fundamental a la tutela judicial efectiva (art. 24.1 CE) las pretensiones que tienen por objeto la reparación de los perjuicios causados por los actos amnistiados, al tener como objeto la tutela de un derecho -el derecho a ser resarcido por los daños padecidos cuando hayan sido causados mediando culpa o negligencia (art. 1902 del Código civil)-. Ello conlleva a que el ordenamiento deba establecer un cauce judicial que permita ejercer este tipo de acciones y asegurar que las resoluciones judiciales dictadas se ejecuten [FJ 9].</w:t>
      </w:r>
    </w:p>
    <w:p w14:paraId="46BB190A" w14:textId="77777777" w:rsidR="00A8138F" w:rsidRDefault="00A8138F" w:rsidP="00A8138F">
      <w:pPr>
        <w:pStyle w:val="Extracto"/>
      </w:pPr>
    </w:p>
    <w:p w14:paraId="61EF893D" w14:textId="341FB497" w:rsidR="00A8138F" w:rsidRDefault="00A8138F" w:rsidP="00A8138F">
      <w:pPr>
        <w:pStyle w:val="Extracto"/>
      </w:pPr>
      <w:r>
        <w:t>19.</w:t>
      </w:r>
      <w:r>
        <w:tab/>
        <w:t>La categoría de la autoamnistía resulta improcedente para descalificar los pactos políticos entre grupos parlamentarios que hubieran motivado la iniciativa legislativa. Por principio, una ley debatida y aprobada por el Parlamento de un Estado democrático de Derecho que contempla la extinción de la responsabilidad penal por amnistía no puede calificarse de autoamnistía; institución ésta que es propia de sistemas políticos autoritarios o de Estados en transición, dictadas o autorizadas por quienes se benefician de inmunidad o por instituciones que han perpetrado actos o amparado a sus autores, para impedir la investigación y persecución de conductas constitutivas de graves crímenes contra los derechos humanos [FJ 10].</w:t>
      </w:r>
    </w:p>
    <w:p w14:paraId="5C176286" w14:textId="77777777" w:rsidR="00A8138F" w:rsidRDefault="00A8138F" w:rsidP="00A8138F">
      <w:pPr>
        <w:pStyle w:val="Extracto"/>
      </w:pPr>
    </w:p>
    <w:p w14:paraId="0BEA07EB" w14:textId="753B807B" w:rsidR="00A8138F" w:rsidRDefault="00A8138F" w:rsidP="00A8138F">
      <w:pPr>
        <w:pStyle w:val="Extracto"/>
      </w:pPr>
      <w:r>
        <w:t>20.</w:t>
      </w:r>
      <w:r>
        <w:tab/>
        <w:t>Las recomendaciones de la Comisión de Venecia no constituyen parámetro de constitucionalidad (SSTC 197/2014 y 15/2015). Para apreciar la conformidad o disconformidad de una ley, el Tribunal ha de atenerse únicamente a los preceptos constitucionales y, en su caso, al bloque de constitucionalidad [FJ 12].</w:t>
      </w:r>
    </w:p>
    <w:p w14:paraId="1861D502" w14:textId="77777777" w:rsidR="00A8138F" w:rsidRDefault="00A8138F" w:rsidP="00A8138F">
      <w:pPr>
        <w:pStyle w:val="Extracto"/>
      </w:pPr>
    </w:p>
    <w:p w14:paraId="29995A23" w14:textId="2677C2C3" w:rsidR="00A8138F" w:rsidRDefault="00A8138F" w:rsidP="00A8138F">
      <w:pPr>
        <w:pStyle w:val="Extracto"/>
      </w:pPr>
      <w:r>
        <w:t>21.</w:t>
      </w:r>
      <w:r>
        <w:tab/>
        <w:t>No se vulnera el procedimiento legislativo por el hecho de que una norma tenga su origen en una proposición de ley y no en un proyecto de ley porque no existe obstáculo alguno, en ninguna disposición del bloque de la constitucionalidad, para que la disposición normativa impugnada deba tener su origen en una u otra iniciativa legislativa (STC 128/2023) [FJ 12].</w:t>
      </w:r>
    </w:p>
    <w:p w14:paraId="0FDEF49E" w14:textId="77777777" w:rsidR="00A8138F" w:rsidRDefault="00A8138F" w:rsidP="00A8138F">
      <w:pPr>
        <w:pStyle w:val="Extracto"/>
      </w:pPr>
    </w:p>
    <w:p w14:paraId="799799E4" w14:textId="2AC9C754" w:rsidR="00A8138F" w:rsidRDefault="00A8138F" w:rsidP="00A8138F">
      <w:pPr>
        <w:pStyle w:val="Extracto"/>
      </w:pPr>
      <w:r>
        <w:t>22.</w:t>
      </w:r>
      <w:r>
        <w:tab/>
        <w:t>Por su propia naturaleza, la presentación de enmiendas transaccionales no puede estar sometida a los requisitos que establece el art. 69 RCD -que exige presentar la documentación que haya de servir de base al debate en el Pleno o en la comisión con al menos cuarenta y ocho horas de antelación-, sino que han de regirse por el precepto que expresamente las regula: el art. 114.3 RCD para las que se presentan en el debate en la comisión, y el art. 118.3 RCD cuando se formulan durante la deliberación en el Pleno [FJ 12].</w:t>
      </w:r>
    </w:p>
    <w:p w14:paraId="3F9065EE" w14:textId="77777777" w:rsidR="00A8138F" w:rsidRDefault="00A8138F" w:rsidP="00A8138F">
      <w:pPr>
        <w:pStyle w:val="Extracto"/>
      </w:pPr>
    </w:p>
    <w:p w14:paraId="0B215517" w14:textId="1B2137C9" w:rsidR="00A8138F" w:rsidRDefault="00A8138F" w:rsidP="00A8138F">
      <w:pPr>
        <w:pStyle w:val="Extracto"/>
      </w:pPr>
      <w:r>
        <w:t>23.</w:t>
      </w:r>
      <w:r>
        <w:tab/>
        <w:t>En el ATC 80/2021, al recapitular las exigencias impuestas a los Estados en los tratados internacionales de protección de derechos humanos suscritos por nuestro país, se concluyó que ninguno de ellos estipula la imprescriptibilidad de los  delitos, ni la prohibición de las amnistías [FJ 14].</w:t>
      </w:r>
    </w:p>
    <w:p w14:paraId="306F73F9" w14:textId="77777777" w:rsidR="00A8138F" w:rsidRDefault="00A8138F" w:rsidP="00A8138F">
      <w:pPr>
        <w:pStyle w:val="Extracto"/>
      </w:pPr>
    </w:p>
    <w:p w14:paraId="0AB3A542" w14:textId="723E1D6B" w:rsidR="00A8138F" w:rsidRDefault="00A8138F" w:rsidP="00A8138F">
      <w:pPr>
        <w:pStyle w:val="Extracto"/>
      </w:pPr>
      <w:r>
        <w:t>24.</w:t>
      </w:r>
      <w:r>
        <w:tab/>
        <w:t>Es contrario al derecho fundamental a la tutela judicial efectiva un régimen de medidas cautelares que conduzca, en el caso de que sea estimada la pretensión del proceso principal, a difíciles fórmulas reintegrativas, a situaciones irreversibles o a que el procedimiento principal no pueda alcanzar sus fines (SSTC 66/1984 y 237/1991) [FJ 15].</w:t>
      </w:r>
    </w:p>
    <w:p w14:paraId="73A72583" w14:textId="77777777" w:rsidR="00A8138F" w:rsidRDefault="00A8138F" w:rsidP="00A8138F">
      <w:pPr>
        <w:pStyle w:val="Extracto"/>
      </w:pPr>
    </w:p>
    <w:p w14:paraId="1DD1E390" w14:textId="48AD9B81" w:rsidR="00A8138F" w:rsidRDefault="00A8138F" w:rsidP="00A8138F">
      <w:pPr>
        <w:pStyle w:val="Extracto"/>
      </w:pPr>
      <w:r>
        <w:t>25.</w:t>
      </w:r>
      <w:r>
        <w:tab/>
        <w:t>El juicio positivo de aplicación de la amnistía, emanado del órgano judicial que conoce de la causa, supone el reconocimiento de que las conductas investigadas o enjuiciadas quedan exceptuadas de la aplicación de los tipos penales que sirvieron de fundamento a su imputación o condena, en virtud de una ley cuya constitucionalidad se presume en tanto este tribunal no establezca lo contrario [FJ 15].</w:t>
      </w:r>
    </w:p>
    <w:p w14:paraId="1BAF87FB" w14:textId="77777777" w:rsidR="00A8138F" w:rsidRDefault="00A8138F" w:rsidP="00A8138F">
      <w:pPr>
        <w:pStyle w:val="Extracto"/>
      </w:pPr>
    </w:p>
    <w:p w14:paraId="03D710E5" w14:textId="6CAFCBD3" w:rsidR="00A8138F" w:rsidRDefault="00A8138F" w:rsidP="00A8138F">
      <w:pPr>
        <w:pStyle w:val="Extracto"/>
      </w:pPr>
      <w:r>
        <w:t>26.</w:t>
      </w:r>
      <w:r>
        <w:tab/>
        <w:t>La exigencia de que sean los órganos judiciales quienes juzguen y declaren la aplicabilidad de la ley de amnistía salvaguarda la reserva de jurisdicción que garantiza el art. 117.3 CE [FJ 15].</w:t>
      </w:r>
    </w:p>
    <w:p w14:paraId="2A04F70A" w14:textId="77777777" w:rsidR="00A8138F" w:rsidRDefault="00A8138F" w:rsidP="00A8138F">
      <w:pPr>
        <w:pStyle w:val="Extracto"/>
      </w:pPr>
    </w:p>
    <w:p w14:paraId="7F2E75C2" w14:textId="2643AF82" w:rsidR="00A8138F" w:rsidRDefault="00A8138F" w:rsidP="00A8138F">
      <w:pPr>
        <w:pStyle w:val="Extracto"/>
      </w:pPr>
      <w:r>
        <w:t>27.</w:t>
      </w:r>
      <w:r>
        <w:tab/>
        <w:t>El principio de igualdad es un límite a la potestad del legislador que se ve vulnerado cuando introduce un elemento o factor de diferenciación entre situaciones sustancialmente iguales carente de fundamento racional, de modo que resulte arbitraria. La cláusula general de igualdad del inciso primero del art. 14 CE exige una justificación objetiva y razonable de aquella previsión legislativa que introduzca consecuencias jurídicas diversas para situaciones homogéneas, tanto de la finalidad como de los efectos de la medida, que no deben determinar resultados especialmente gravosos o desmedidos [FJ 16].</w:t>
      </w:r>
    </w:p>
    <w:p w14:paraId="55877413" w14:textId="77777777" w:rsidR="00A8138F" w:rsidRDefault="00A8138F" w:rsidP="00A8138F">
      <w:pPr>
        <w:pStyle w:val="Extracto"/>
      </w:pPr>
    </w:p>
    <w:p w14:paraId="772795A0" w14:textId="652C891B" w:rsidR="00A8138F" w:rsidRDefault="00A8138F" w:rsidP="00A8138F">
      <w:pPr>
        <w:pStyle w:val="Extracto"/>
      </w:pPr>
      <w:r>
        <w:t>28.</w:t>
      </w:r>
      <w:r>
        <w:tab/>
        <w:t>Como consecuencia de una amnistía, el alcance material de la restitución de multas impuestas en su día se amolda a la finalidad de avanzar en la distensión y el diálogo mediante la rebaja o la eliminación de un particular elemento tensor y generador de desafección: las sanciones de seguridad ciudadana impuestas a múltiples ciudadanos por conductas vinculadas con la movilización social [FJ 16].</w:t>
      </w:r>
    </w:p>
    <w:p w14:paraId="001A9227" w14:textId="77777777" w:rsidR="00A8138F" w:rsidRDefault="00A8138F" w:rsidP="00A8138F">
      <w:pPr>
        <w:pStyle w:val="Extracto"/>
      </w:pPr>
    </w:p>
    <w:p w14:paraId="53F697EC" w14:textId="47EA5F7C" w:rsidR="00A8138F" w:rsidRDefault="00A8138F" w:rsidP="00A8138F">
      <w:pPr>
        <w:pStyle w:val="Extracto"/>
      </w:pPr>
      <w:r>
        <w:t>29.</w:t>
      </w:r>
      <w:r>
        <w:tab/>
        <w:t>No infringe el art. 24.1 CE la norma que determina que la pretensión de reparación de los daños y perjuicios ocasionados por el delito deba deducirse por la vía civil, tras producirse el cierre definitivo del proceso penal por extinción o agotamiento de la acción penal [FJ 17].</w:t>
      </w:r>
    </w:p>
    <w:p w14:paraId="02572925" w14:textId="77777777" w:rsidR="00A8138F" w:rsidRDefault="00A8138F" w:rsidP="00A8138F">
      <w:pPr>
        <w:pStyle w:val="Extracto"/>
      </w:pPr>
    </w:p>
    <w:p w14:paraId="6F0045CA" w14:textId="39FE98B9" w:rsidR="00A8138F" w:rsidRDefault="00A8138F" w:rsidP="00A8138F">
      <w:pPr>
        <w:pStyle w:val="Extracto"/>
      </w:pPr>
      <w:r>
        <w:t>30.</w:t>
      </w:r>
      <w:r>
        <w:tab/>
        <w:t>La exigencia de certeza en la descripción de los tipos penales que dimana del art. 25.1 CE no se proyecta a la delimitación del ámbito de aplicación de la ley de amnistía, siendo que no contiene preceptos punitivos o determinantes de la existencia de responsabilidad penal, sino reglas relativas al procedimiento para aplicar la amnistía a actos constitutivos de delito [FJ 18].</w:t>
      </w:r>
    </w:p>
    <w:p w14:paraId="66E64F94" w14:textId="77777777" w:rsidR="00A8138F" w:rsidRDefault="00A8138F" w:rsidP="00A8138F">
      <w:pPr>
        <w:pStyle w:val="Extracto"/>
      </w:pPr>
    </w:p>
    <w:p w14:paraId="72C5E7A9" w14:textId="39918DDD" w:rsidR="00A8138F" w:rsidRDefault="00A8138F" w:rsidP="00A8138F">
      <w:pPr>
        <w:pStyle w:val="Extracto"/>
      </w:pPr>
      <w:r>
        <w:t>31.</w:t>
      </w:r>
      <w:r>
        <w:tab/>
        <w:t>La exigencia de resolución firme para entender amnistiado un hecho delictivo no impide que la aplicación judicial de la amnistía, de oficio o a instancia de parte, se articule en las sucesivas instancias desde la previsión más ventajosa para la libertad de los posibles beneficiados por la medida [FJ 18].</w:t>
      </w:r>
    </w:p>
    <w:p w14:paraId="2A73B919" w14:textId="77777777" w:rsidR="00A8138F" w:rsidRDefault="00A8138F" w:rsidP="00A8138F">
      <w:pPr>
        <w:pStyle w:val="Extracto"/>
      </w:pPr>
    </w:p>
    <w:p w14:paraId="3080DC32" w14:textId="5A8C2DE6" w:rsidR="00A8138F" w:rsidRDefault="00A8138F" w:rsidP="00A8138F">
      <w:pPr>
        <w:pStyle w:val="Extracto"/>
      </w:pPr>
      <w:r>
        <w:t>32.</w:t>
      </w:r>
      <w:r>
        <w:tab/>
        <w:t>No vulnera el derecho a la tutela judicial efectiva (art. 24.1 CE) la exigencia de finalización del proceso por auto de sobreseimiento libre, en la medida en que esta resolución se declara recurrible por medio de los recursos ordinarios [FJ 19].</w:t>
      </w:r>
    </w:p>
    <w:p w14:paraId="2AC5A8EA" w14:textId="77777777" w:rsidR="00A8138F" w:rsidRDefault="00A8138F" w:rsidP="00A8138F">
      <w:pPr>
        <w:pStyle w:val="Extracto"/>
      </w:pPr>
    </w:p>
    <w:p w14:paraId="717C0CA8" w14:textId="46620EDA" w:rsidR="00A8138F" w:rsidRDefault="00A8138F" w:rsidP="00A8138F">
      <w:pPr>
        <w:pStyle w:val="Extracto"/>
      </w:pPr>
      <w:r>
        <w:t>33.</w:t>
      </w:r>
      <w:r>
        <w:tab/>
        <w:t>Un remedio extraordinario, como es el recurso de revisión penal, que solo está previsto contra sentencias firmes condenatorias en los supuestos taxativamente determinados en el art. 954.1 LECrim, carece, por su propia configuración legal, de toda utilidad para revisar una errónea aplicación de la amnistía [FJ 19].</w:t>
      </w:r>
    </w:p>
    <w:p w14:paraId="5834FC95" w14:textId="77777777" w:rsidR="00A8138F" w:rsidRDefault="00A8138F" w:rsidP="00A8138F">
      <w:pPr>
        <w:pStyle w:val="Extracto"/>
      </w:pPr>
    </w:p>
    <w:p w14:paraId="16C568CF" w14:textId="2CF16C1A" w:rsidR="00A8138F" w:rsidRDefault="00A8138F" w:rsidP="00A8138F">
      <w:pPr>
        <w:pStyle w:val="Extracto"/>
      </w:pPr>
      <w:r>
        <w:t>34.</w:t>
      </w:r>
      <w:r>
        <w:tab/>
        <w:t>Aun cuando la redacción de una ley pudiera interpretarse de formas diversas, en materia de la aplicación de la amnistía a los hechos susceptibles de generar responsabilidad contable, resulta conforme con el art. 24 CE la exégesis que no impida oír a todas las partes ni articular un trámite que les permita formular las alegaciones que consideren convenientes [FJ 20].</w:t>
      </w:r>
    </w:p>
    <w:p w14:paraId="029B01B1" w14:textId="77777777" w:rsidR="00A8138F" w:rsidRDefault="00A8138F" w:rsidP="00A8138F">
      <w:pPr>
        <w:pStyle w:val="Extracto"/>
      </w:pPr>
    </w:p>
    <w:p w14:paraId="06E0AFFF" w14:textId="77777777" w:rsidR="00A8138F" w:rsidRDefault="00A8138F" w:rsidP="00A8138F">
      <w:pPr>
        <w:pStyle w:val="Extracto"/>
      </w:pPr>
    </w:p>
    <w:p w14:paraId="79B5E135" w14:textId="77777777" w:rsidR="00A8138F" w:rsidRDefault="00A8138F" w:rsidP="00A8138F">
      <w:pPr>
        <w:pStyle w:val="TextoNormal"/>
      </w:pPr>
      <w: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14:paraId="61EEA9F7" w14:textId="165FF139" w:rsidR="00A8138F" w:rsidRDefault="00A8138F" w:rsidP="00A8138F">
      <w:pPr>
        <w:pStyle w:val="TextoNormal"/>
      </w:pPr>
    </w:p>
    <w:p w14:paraId="20E9BD3F" w14:textId="77777777" w:rsidR="00A8138F" w:rsidRDefault="00A8138F" w:rsidP="00A8138F">
      <w:pPr>
        <w:pStyle w:val="TextoNormalCentrado"/>
        <w:keepNext/>
      </w:pPr>
      <w:r>
        <w:t>EN NOMBRE DEL REY</w:t>
      </w:r>
    </w:p>
    <w:p w14:paraId="24966F8E" w14:textId="3A426A03" w:rsidR="00A8138F" w:rsidRDefault="00A8138F" w:rsidP="00A8138F">
      <w:pPr>
        <w:pStyle w:val="TextoNormalCentrado"/>
        <w:keepNext/>
      </w:pPr>
    </w:p>
    <w:p w14:paraId="2BD61D8C" w14:textId="77777777" w:rsidR="00A8138F" w:rsidRDefault="00A8138F" w:rsidP="00A8138F">
      <w:pPr>
        <w:pStyle w:val="TextoNormalCentrado"/>
        <w:keepNext/>
      </w:pPr>
    </w:p>
    <w:p w14:paraId="34C8DFD1" w14:textId="77777777" w:rsidR="00A8138F" w:rsidRDefault="00A8138F" w:rsidP="00A8138F">
      <w:pPr>
        <w:pStyle w:val="TextoNormal"/>
      </w:pPr>
      <w:r>
        <w:t>la siguiente</w:t>
      </w:r>
    </w:p>
    <w:p w14:paraId="0D4E790A" w14:textId="16862F14" w:rsidR="00A8138F" w:rsidRDefault="00A8138F" w:rsidP="00A8138F">
      <w:pPr>
        <w:pStyle w:val="TextoNormal"/>
      </w:pPr>
    </w:p>
    <w:p w14:paraId="6803ED8D" w14:textId="77777777" w:rsidR="00A8138F" w:rsidRDefault="00A8138F" w:rsidP="00A8138F">
      <w:pPr>
        <w:pStyle w:val="TextoNormalCentrado"/>
        <w:keepNext/>
      </w:pPr>
      <w:r>
        <w:t>SENTENCIA</w:t>
      </w:r>
    </w:p>
    <w:p w14:paraId="6931F539" w14:textId="3C998158" w:rsidR="00A8138F" w:rsidRDefault="00A8138F" w:rsidP="00A8138F">
      <w:pPr>
        <w:pStyle w:val="TextoNormalCentrado"/>
        <w:keepNext/>
      </w:pPr>
    </w:p>
    <w:p w14:paraId="4B43A152" w14:textId="77777777" w:rsidR="00A8138F" w:rsidRDefault="00A8138F" w:rsidP="00A8138F">
      <w:pPr>
        <w:pStyle w:val="TextoNormal"/>
      </w:pPr>
      <w:r>
        <w:t>En el recurso de inconstitucionalidad núm. 6436-2024 interpuesto por más de cincuenta diputados y más de cincuenta senadores de los grupos parlamentarios Popular en el Congreso de los Diputados y en el Senado, respectivamente,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la magistrada doña Inmaculada Montalbán Huertas.</w:t>
      </w:r>
    </w:p>
    <w:p w14:paraId="1B4F9DC7" w14:textId="0F1F9FD7" w:rsidR="00A8138F" w:rsidRDefault="00A8138F" w:rsidP="00A8138F">
      <w:pPr>
        <w:pStyle w:val="TextoNormal"/>
      </w:pPr>
    </w:p>
    <w:p w14:paraId="59584975" w14:textId="77777777" w:rsidR="00A8138F" w:rsidRDefault="00A8138F" w:rsidP="00A8138F">
      <w:pPr>
        <w:pStyle w:val="TextoNormalNegritaCentrado"/>
        <w:keepNext/>
      </w:pPr>
      <w:r>
        <w:t>I. Antecedentes</w:t>
      </w:r>
    </w:p>
    <w:p w14:paraId="4DBEE108" w14:textId="2ECBBE82" w:rsidR="00A8138F" w:rsidRDefault="00A8138F" w:rsidP="00A8138F">
      <w:pPr>
        <w:pStyle w:val="TextoNormalNegritaCentrado"/>
        <w:keepNext/>
      </w:pPr>
    </w:p>
    <w:p w14:paraId="06146FA1" w14:textId="77777777" w:rsidR="00A8138F" w:rsidRDefault="00A8138F" w:rsidP="00A8138F">
      <w:pPr>
        <w:pStyle w:val="TextoNormal"/>
      </w:pPr>
      <w:r w:rsidRPr="00A8138F">
        <w:rPr>
          <w:rStyle w:val="NumeroAFNegritaCaracter"/>
        </w:rPr>
        <w:t>1</w:t>
      </w:r>
      <w:r>
        <w:t>. Mediante escrito registrado en el Tribunal Constitucional el 4 de septiembre de 2024, don Manuel Sánchez-Puelles y González-Carvajal, procurador de los tribunales, en nombre y representación de más de cincuenta diputados y de más cincuenta senadores de los grupos parlamentarios Popular en el Congreso de los Diputados y en el Senado, respectivamente, y don Jaime Eduardo de Olano Vela, en su condición de comisionado, han interpuesto recurso de inconstitucionalidad contra la Ley Orgánica 1/2024, de 10 de junio, de amnistía para la normalización institucional, política y social en Cataluña (en adelante, Ley de amnistía).</w:t>
      </w:r>
    </w:p>
    <w:p w14:paraId="1D47135E" w14:textId="77777777" w:rsidR="00A8138F" w:rsidRDefault="00A8138F" w:rsidP="00A8138F">
      <w:pPr>
        <w:pStyle w:val="TextoNormal"/>
      </w:pPr>
    </w:p>
    <w:p w14:paraId="0764D11C" w14:textId="77777777" w:rsidR="00A8138F" w:rsidRDefault="00A8138F" w:rsidP="00A8138F">
      <w:pPr>
        <w:pStyle w:val="TextoNormal"/>
      </w:pPr>
      <w:r>
        <w:t>En el escrito de demanda, tras referirse a los presupuestos procesales del presente recurso, se exponen los fundamentos materiales o de fondo en los que se sustenta.</w:t>
      </w:r>
    </w:p>
    <w:p w14:paraId="1DF29986" w14:textId="77777777" w:rsidR="00A8138F" w:rsidRDefault="00A8138F" w:rsidP="00A8138F">
      <w:pPr>
        <w:pStyle w:val="TextoNormal"/>
      </w:pPr>
    </w:p>
    <w:p w14:paraId="0B070E50" w14:textId="77777777" w:rsidR="00A8138F" w:rsidRDefault="00A8138F" w:rsidP="00A8138F">
      <w:pPr>
        <w:pStyle w:val="TextoNormal"/>
      </w:pPr>
      <w:r>
        <w:t>A) Se alega, en primer lugar, que la Constitución no habilita el otorgamiento de una amnistía y por este motivo se considera que la ley impugnada es inconstitucional. Esta consideración se justifica en que, según se mantiene en el escrito de demanda, la Ley de amnistía es inconstitucional por vulnerar la división de poderes, la reserva de jurisdicción y la tutela judicial efectiva (arts. 1.1, 24.1, 117.3 y 118 CE).</w:t>
      </w:r>
    </w:p>
    <w:p w14:paraId="6AE32748" w14:textId="77777777" w:rsidR="00A8138F" w:rsidRDefault="00A8138F" w:rsidP="00A8138F">
      <w:pPr>
        <w:pStyle w:val="TextoNormal"/>
      </w:pPr>
    </w:p>
    <w:p w14:paraId="6E4CAD4B" w14:textId="77777777" w:rsidR="00A8138F" w:rsidRDefault="00A8138F" w:rsidP="00A8138F">
      <w:pPr>
        <w:pStyle w:val="TextoNormal"/>
      </w:pPr>
      <w:r>
        <w:t>a) Los recurrentes sostienen que la Constitución no hace mención alguna a la amnistía y que esta decisión fue deliberada. Esta conclusión la basan en que en los trabajos parlamentarios se rechazaron dos enmiendas en las que expresamente se establecía que las “Cortes Generales […] otorgan amnistías” (enmienda núm. 504, propuesta por el Grupo Parlamentario Mixto) y que “[l]as amnistías solo podrán ser acordadas por el Parlamento” (enmienda núm. 744, del Grupo Parlamentario Unión de Centro Democrático). Ponen de manifiesto que en la minuta de la reunión de la ponencia constitucional de 3 de noviembre de 1977, en su punto cuarto, consta que “por lo que se refiere a la materia de la amnistía, se acuerda no constitucionalizar este tema”.</w:t>
      </w:r>
    </w:p>
    <w:p w14:paraId="50C53B1E" w14:textId="77777777" w:rsidR="00A8138F" w:rsidRDefault="00A8138F" w:rsidP="00A8138F">
      <w:pPr>
        <w:pStyle w:val="TextoNormal"/>
      </w:pPr>
    </w:p>
    <w:p w14:paraId="241CB38B" w14:textId="77777777" w:rsidR="00A8138F" w:rsidRDefault="00A8138F" w:rsidP="00A8138F">
      <w:pPr>
        <w:pStyle w:val="TextoNormal"/>
      </w:pPr>
      <w:r>
        <w:t>Los demandantes señalan que los letrados de las Cortes Generales adscritos a la Comisión de Justicia, cuando formularon las “observaciones técnicas a la proposición de ley orgánica de amnistía para la normalización institucional, política y social en Cataluña”, sostuvieron que, al no estar contemplada la amnistía entre las competencias que la Constitución atribuye a las Cortes Generales en el art. 66.2 CE ni en ningún otro precepto constitucional y al haber sido rechazadas las enmiendas que preveían su atribución, la iniciativa legislativa contenida en la referida proposición planteaba dudas de que pudiera tener cabida en la Constitución y por ello sostuvieron que hubiera debido ser articulada a través del procedimiento de reforma constitucional.</w:t>
      </w:r>
    </w:p>
    <w:p w14:paraId="0CCB4213" w14:textId="77777777" w:rsidR="00A8138F" w:rsidRDefault="00A8138F" w:rsidP="00A8138F">
      <w:pPr>
        <w:pStyle w:val="TextoNormal"/>
      </w:pPr>
    </w:p>
    <w:p w14:paraId="086BB919" w14:textId="77777777" w:rsidR="00A8138F" w:rsidRDefault="00A8138F" w:rsidP="00A8138F">
      <w:pPr>
        <w:pStyle w:val="TextoNormal"/>
      </w:pPr>
      <w:r>
        <w:t>Se afirma que el Poder Legislativo no es ilimitado, pues si lo fuera no estaríamos en un Estado democrático de Derecho (art. 1.1 CE). A juicio de los recurrentes, el principio de separación de poderes impone un sistema en el que cada uno de los poderes solo puede extenderse hasta los límites constitucionalmente reservados a los otros poderes. Con cita de la STC 70/2022, de 2 de junio, FJ 5, se afirma que la Constitución establece un sistema de relaciones entre órganos constitucionales dotados de competencias propias, un sistema de distribución de poderes que evita su concentración. Asimismo, se pone de manifiesto que, según lo sostenido por algunos autores —que se citan y se reseñan—, los órganos públicos, a diferencia de los ciudadanos, no parten de una situación de libertad, sino de sujeción y solo pueden hacer aquello que el ordenamiento les permite.</w:t>
      </w:r>
    </w:p>
    <w:p w14:paraId="0D0B60CC" w14:textId="77777777" w:rsidR="00A8138F" w:rsidRDefault="00A8138F" w:rsidP="00A8138F">
      <w:pPr>
        <w:pStyle w:val="TextoNormal"/>
      </w:pPr>
    </w:p>
    <w:p w14:paraId="5654D9C6" w14:textId="77777777" w:rsidR="00A8138F" w:rsidRDefault="00A8138F" w:rsidP="00A8138F">
      <w:pPr>
        <w:pStyle w:val="TextoNormal"/>
      </w:pPr>
      <w:r>
        <w:t>Por otra parte, se alega que la Constitución contiene una reserva de jurisdicción. Los demandantes consideran que la exclusividad de la jurisdicción que establece el art. 117.3 CE se complementa con la obligatoriedad de cumplimiento de las “sentencias y demás resoluciones firmes” (art. 118 CE) y, a su vez, integra una relevante dimensión de la tutela judicial efectiva que garantiza el art. 24.1 CE. Afirman que no cabe ninguna duda de que tanto los indultos como la amnistía invaden y suponen una frontal excepción a la exclusividad de la jurisdicción. Se cita la sentencia del Tribunal Supremo de 20 de noviembre de 2013, del Pleno de la Sala de lo Contencioso-Administrativo (ECLI:ES:TS:2013:5997), en la que, entre otras cosas, se sostiene que la prerrogativa de gracia es excepcional ya que “es un residuo histórico del poder absoluto del soberano”, “supone la excepción al principio de cumplimiento de las sentencias judiciales proclamada por el artículo 118 de la Constitución” y “una potestad extraordinaria de intervención de un poder estatal, el Ejecutivo [en el caso del indulto], en el ámbito de competencia de otro, el Judicial”, por lo que los recurrentes consideran que para su ejercicio es preciso que la prerrogativa esté constitucionalmente admitida.</w:t>
      </w:r>
    </w:p>
    <w:p w14:paraId="1E44DCB2" w14:textId="77777777" w:rsidR="00A8138F" w:rsidRDefault="00A8138F" w:rsidP="00A8138F">
      <w:pPr>
        <w:pStyle w:val="TextoNormal"/>
      </w:pPr>
    </w:p>
    <w:p w14:paraId="41CCC477" w14:textId="77777777" w:rsidR="00A8138F" w:rsidRDefault="00A8138F" w:rsidP="00A8138F">
      <w:pPr>
        <w:pStyle w:val="TextoNormal"/>
      </w:pPr>
      <w:r>
        <w:t>En el escrito de demanda se sostiene que la Ley de amnistía invade el espacio reservado a la jurisdicción. Los recurrentes alegan que la amnistía que otorga la ley impugnada, al privar a los órganos judiciales de juzgar a quienes se les imputan los actos que se consideran amnistiados y de hacer ejecutar lo juzgado respecto de los condenados en firme por la comisión de alguno de ellos invade la reserva de jurisdicción constitucionalmente garantizada. Junto a ello se sostiene que esta ley vulnera también el art. 24.1 CE, al privar a los perjudicados por los delitos amnistiados de la ejecución de las sentencias condenatorias y de la reparación de los perjuicios sufridos. Por todo ello, afirman que la Ley de amnistía vulnera los arts. 1.1, 117.3, 118 y 24.1 CE.</w:t>
      </w:r>
    </w:p>
    <w:p w14:paraId="179D24B6" w14:textId="77777777" w:rsidR="00A8138F" w:rsidRDefault="00A8138F" w:rsidP="00A8138F">
      <w:pPr>
        <w:pStyle w:val="TextoNormal"/>
      </w:pPr>
    </w:p>
    <w:p w14:paraId="6751F564" w14:textId="77777777" w:rsidR="00A8138F" w:rsidRDefault="00A8138F" w:rsidP="00A8138F">
      <w:pPr>
        <w:pStyle w:val="TextoNormal"/>
      </w:pPr>
      <w:r>
        <w:t>Se afirma, por otra parte, que hasta las elecciones generales de 23 de julio de 2023 existía un consenso prácticamente generalizado sobre la inconstitucionalidad de la amnistía. Entienden que ese fue el motivo por el que la Ley Orgánica 10/1995, de 23 de noviembre, del Código penal, eliminó la amnistía como forma de extinción de la responsabilidad criminal. Se alega, además, que el Gobierno, cuando deliberó y aprobó las propuestas motivadas que elevó al Ministerio de Justicia para la concesión de indultos parciales a los condenados por la STS 459/2019, de 14 de octubre, de la Sala de lo Penal del Tribunal Supremo (ECLI:ES:TS:2019:2997), afirmó que la amnistía era “claramente inconstitucional” (§ 35).</w:t>
      </w:r>
    </w:p>
    <w:p w14:paraId="04BAE0F1" w14:textId="77777777" w:rsidR="00A8138F" w:rsidRDefault="00A8138F" w:rsidP="00A8138F">
      <w:pPr>
        <w:pStyle w:val="TextoNormal"/>
      </w:pPr>
    </w:p>
    <w:p w14:paraId="4F26089C" w14:textId="77777777" w:rsidR="00A8138F" w:rsidRDefault="00A8138F" w:rsidP="00A8138F">
      <w:pPr>
        <w:pStyle w:val="TextoNormal"/>
      </w:pPr>
      <w:r>
        <w:t>El preámbulo de la Ley de amnistía, por el contrario, justifica su constitucionalidad al entender que a “quien se halla legitimado para tipificar o destipificar una determinada conducta se le reconoce, en lógica consecuencia, la facultad de amnistiar esos mismos hechos sin otros límites que los que directamente dimanen de la Constitución”. Los recurrentes también ponen de manifiesto que, según el preámbulo de esta norma, “la amnistía no afecta al principio de separación de poderes ni a la exclusividad de la jurisdicción prevista en el artículo 117 de la Constitución porque [...] el Poder Judicial está sometido al imperio de la ley y es precisamente una ley con valor de orgánica la que […] prevé los supuestos de exención de la responsabilidad, correspondiendo a los jueces y tribunales […] su aplicación a cada caso concreto”. A juicio de los demandantes, estos argumentos son falaces, pues entienden que la reserva de jurisdicción que se deriva de los arts. 1.1, 117.3 y 118 CE es una salvaguarda del Poder Judicial singularmente frente al Legislativo, por lo que se erige en un explícito límite a la ley, ya sea orgánica u ordinaria. Afirman, además, que, si bien el legislador puede despenalizar determinadas conductas cuando considere que el bien jurídico que a través de la norma penal trataba de preservarse ya no existe, tal potestad no le permite invadir la exclusividad de la jurisdicción e impedir que los órganos judiciales puedan enjuiciar actos que, con carácter general, se consideran delictivos o ejecutar las sentencias condenatorias. Tal forma de proceder, según los recurrentes, supone crear espacios singulares de inmunidad o de ausencia de jurisdicción sin que exista una habilitación constitucional que permita en tales casos excepcionar el principio de división de poderes.</w:t>
      </w:r>
    </w:p>
    <w:p w14:paraId="07BE17DF" w14:textId="77777777" w:rsidR="00A8138F" w:rsidRDefault="00A8138F" w:rsidP="00A8138F">
      <w:pPr>
        <w:pStyle w:val="TextoNormal"/>
      </w:pPr>
    </w:p>
    <w:p w14:paraId="26791B0D" w14:textId="77777777" w:rsidR="00A8138F" w:rsidRDefault="00A8138F" w:rsidP="00A8138F">
      <w:pPr>
        <w:pStyle w:val="TextoNormal"/>
      </w:pPr>
      <w:r>
        <w:t xml:space="preserve">Otro argumento que también se expone en el preámbulo de la Ley de amnistía y que rebaten, es entender que el constituyente de 1978 no prohibió la institución de la amnistía porque, entre otras razones, ello hubiera implicado la derogación del Real Decreto-ley 10/1976, de 30 de julio, sobre amnistía, y la Ley 46/1977, de 15 de octubre, de amnistía, “que constituyeron el punto de partida del pacto constitucional y sin las cuales no hubiera sido posible la transición democrática ni el amplio consenso parlamentario y social que avalaron e hicieron posible que la Constitución española de 1978 viera la luz”. A juicio de los parlamentarios que interponen el presente recurso, este argumento es inconsistente e ignora la prohibición de retroactividad </w:t>
      </w:r>
      <w:r w:rsidRPr="00A8138F">
        <w:rPr>
          <w:i/>
        </w:rPr>
        <w:t>in peius</w:t>
      </w:r>
      <w:r>
        <w:t xml:space="preserve"> que deriva de los convenios de protección de derechos humanos [se cita, por todos, el art. 7 del Convenio para la protección de los derechos humanos y de las libertades fundamentales (CEDH)] y el art. 25.1 CE. Los recurrentes alegan que, una vez extinguida la responsabilidad penal de los sujetos amnistiados por la Ley 46/1977, no podía aplicárseles retroactivamente la Constitución de 1978 en su perjuicio. Entienden que la aplicación de la Ley 46/1977, a pesar de que la Constitución de 1978 impide la amnistía, era una exigencia derivada de los arts. 7 CEDH y 25.1 CE.</w:t>
      </w:r>
    </w:p>
    <w:p w14:paraId="649BF74F" w14:textId="77777777" w:rsidR="00A8138F" w:rsidRDefault="00A8138F" w:rsidP="00A8138F">
      <w:pPr>
        <w:pStyle w:val="TextoNormal"/>
      </w:pPr>
    </w:p>
    <w:p w14:paraId="4148729A" w14:textId="77777777" w:rsidR="00A8138F" w:rsidRDefault="00A8138F" w:rsidP="00A8138F">
      <w:pPr>
        <w:pStyle w:val="TextoNormal"/>
      </w:pPr>
      <w:r>
        <w:t>Asimismo, discrepan de la afirmación que se sostiene en el preámbulo (apartado IV) de la Ley de amnistía en la que se señala que “[l]a constitucionalidad de la amnistía fue declarada por el Tribunal Constitucional, en su sentencia 147/1986, de 25 de noviembre, a propósito, precisamente de la aplicación de la Ley 46/1977. En este pronunciamiento, se afirma taxativamente que ‘no hay restricción constitucional directa sobre esta materia’”. Sin embargo, a juicio de los demandantes, no existe jurisprudencia constitucional que declare la conformidad a la Constitución de la potestad de amnistiar. Indican que en ninguno de los procesos constitucionales que se citan para referir que el Tribunal Constitucional ha validado la amnistía se planteó la posible inconstitucionalidad de la Ley 46/1977. En su opinión, la STC 63/1983, de 20 de julio, se refiere a la amnistía propiamente dicha, esto es, a la despenalización singular de determinados delitos para un conjunto de personas específicas (resolvió un recurso de amparo en el que la Asociación de Aviadores de la República solicitaba que quienes se incorporaron al Ejército Republicano después del 18 de julio de 1936 se les aplicara la amnistía laboral/funcionarial en la misma medida que se realizó a los funcionarios civiles). Lo mismo sucede, según sostienen, con la STC 76/1986, de 9 de junio, en la que la cuestión planteada es también una amnistía impropia —así la califican los recurrentes— de carácter laboral o funcionarial. Por lo que se refiere a la STC 147/1986, los recurrentes entienden que, cuando esta sentencia declara que “no hay restricción constitucional directa sobre esta materia” —cita que, como se ha indicado, recoge el preámbulo de la Ley de amnistía—, no se está refiriendo a la amnistía, sino a “la mera precisión” que introdujo la Ley 1/1984, de 9 de enero, de adición de un nuevo artículo a la Ley 46/1977, de 15 de octubre; ley que la STC 147/1986 considera que “ni siquiera supone en sí misma, manifestación del derecho de gracia”.</w:t>
      </w:r>
    </w:p>
    <w:p w14:paraId="1A1258F1" w14:textId="77777777" w:rsidR="00A8138F" w:rsidRDefault="00A8138F" w:rsidP="00A8138F">
      <w:pPr>
        <w:pStyle w:val="TextoNormal"/>
      </w:pPr>
    </w:p>
    <w:p w14:paraId="13D8D54E" w14:textId="77777777" w:rsidR="00A8138F" w:rsidRDefault="00A8138F" w:rsidP="00A8138F">
      <w:pPr>
        <w:pStyle w:val="TextoNormal"/>
      </w:pPr>
      <w:r>
        <w:t>Las consideraciones que se acaban de reseñar llevan a los recurrentes a mantener que no existe jurisprudencia sobre la constitucionalidad de una amnistía que declare penalmente inmunes a un conjunto de personas frente a delitos tipificados en un código penal democrático.</w:t>
      </w:r>
    </w:p>
    <w:p w14:paraId="25D5C146" w14:textId="77777777" w:rsidR="00A8138F" w:rsidRDefault="00A8138F" w:rsidP="00A8138F">
      <w:pPr>
        <w:pStyle w:val="TextoNormal"/>
      </w:pPr>
    </w:p>
    <w:p w14:paraId="22D01817" w14:textId="77777777" w:rsidR="00A8138F" w:rsidRDefault="00A8138F" w:rsidP="00A8138F">
      <w:pPr>
        <w:pStyle w:val="TextoNormal"/>
      </w:pPr>
      <w:r>
        <w:t>Por último, en lo que al preámbulo de la Ley de amnistía se refiere, los recurrentes consideran que no puede justificarse la constitucionalidad de la amnistía en que el art. 666.4 de la Ley de enjuiciamiento criminal (LECrim) se refiera a la amnistía como una de las causas que obligan al sobreseimiento, ya que el referido precepto es de una ley de 1882. Entienden que ha de tenerse presente que el Código penal de la democracia suprimió la amnistía como forma extintiva de la responsabilidad criminal. De igual modo consideran que tampoco puede aducirse como argumento de la pretendida constitucionalidad de la amnistía, como efectúa el citado preámbulo, lo dispuesto en normas reglamentarias estatales y leyes autonómicas, pues es obvio que tales normas no pueden interpretar la Constitución. De igual modo consideran irrelevante a estos efectos que la amnistía esté prevista en más de treinta acuerdos internacionales suscritos por España. A su juicio, este hecho no constituye un argumento, dado que tales tratados se elaboran tomando en consideración que existen Estados cuyas constituciones admiten expresamente la amnistía.</w:t>
      </w:r>
    </w:p>
    <w:p w14:paraId="3A2386AF" w14:textId="77777777" w:rsidR="00A8138F" w:rsidRDefault="00A8138F" w:rsidP="00A8138F">
      <w:pPr>
        <w:pStyle w:val="TextoNormal"/>
      </w:pPr>
    </w:p>
    <w:p w14:paraId="60FE578C" w14:textId="77777777" w:rsidR="00A8138F" w:rsidRDefault="00A8138F" w:rsidP="00A8138F">
      <w:pPr>
        <w:pStyle w:val="TextoNormal"/>
      </w:pPr>
      <w:r>
        <w:t>De todo lo anterior se concluye que, como existe una reserva constitucional de jurisdicción, el Legislativo no puede crear espacios singulares de inmunidad de jurisdicción careciendo como carece —según los recurrentes— de una habilitación constitucional para ello.</w:t>
      </w:r>
    </w:p>
    <w:p w14:paraId="578B6183" w14:textId="77777777" w:rsidR="00A8138F" w:rsidRDefault="00A8138F" w:rsidP="00A8138F">
      <w:pPr>
        <w:pStyle w:val="TextoNormal"/>
      </w:pPr>
    </w:p>
    <w:p w14:paraId="2A020472" w14:textId="77777777" w:rsidR="00A8138F" w:rsidRDefault="00A8138F" w:rsidP="00A8138F">
      <w:pPr>
        <w:pStyle w:val="TextoNormal"/>
      </w:pPr>
      <w:r>
        <w:t>b) En el recurso de inconstitucionalidad se sostiene que la Ley de amnistía es una ley penal singular constitucionalmente prohibida. Por ello se considera que esta ley es contraria a los arts. 14, 24.1, 17.1 y 25.1 CE.</w:t>
      </w:r>
    </w:p>
    <w:p w14:paraId="589DE171" w14:textId="77777777" w:rsidR="00A8138F" w:rsidRDefault="00A8138F" w:rsidP="00A8138F">
      <w:pPr>
        <w:pStyle w:val="TextoNormal"/>
      </w:pPr>
    </w:p>
    <w:p w14:paraId="0BE9F97B" w14:textId="77777777" w:rsidR="00A8138F" w:rsidRDefault="00A8138F" w:rsidP="00A8138F">
      <w:pPr>
        <w:pStyle w:val="TextoNormal"/>
      </w:pPr>
      <w:r>
        <w:t xml:space="preserve">Se aduce que la amnistía vulnera el art. 14 CE porque supone, respecto de los delitos a los que se refiere, crear un ámbito de inmunidad penal que se aplica a algunas personas mientras que la generalidad de la ciudadanía queda sometida a los tipos penales tipificados en el Código penal. A juicio de los recurrentes, la Ley de amnistía es una ley singular o de caso único que conlleva que la ley penal general no se aplique a determinadas personas. Los demandantes califican como una “verdadera antinomia” caracterizar a una ley penal como singular que contraviene los arts. 17 y 25 CE. Sostienen, con cita de doctrina constitucional, que estos preceptos constitucionales imponen una ley penal general que, mediante la “necesaria formulación abstracta” realice una “descripción estereotipada de las acciones y omisiones incriminadas” que, desde esa generalidad, tenga la suficiente precisión como para resultar previsible en su aplicación al caso. Por ello entienden que el principio de legalidad penal excluye </w:t>
      </w:r>
      <w:r w:rsidRPr="00A8138F">
        <w:rPr>
          <w:i/>
        </w:rPr>
        <w:t>per se</w:t>
      </w:r>
      <w:r>
        <w:t xml:space="preserve"> las leyes singulares, más cuando son una ley de amnistía, al suponer la creación de un privilegio personal de impunidad, contradictorio con la generalidad que caracteriza al Derecho penal. De ahí que no consideren aplicable la jurisprudencia constitucional en materia de leyes singulares, ya que esta jurisprudencia no se refiere a leyes singulares de carácter penal. Se sostiene, además, que de acuerdo con la referida doctrina constitucional las leyes singulares solo son admisibles en la delimitación entre los poderes Legislativo y Ejecutivo, dado que la Constitución permite que el Gobierno asuma excepcionalmente funciones legislativas y el Legislativo haga funciones ejecutivas a través de dichas leyes. Por el contrario, entienden que no existe una habilitación constitucional para que el legislador invada el espacio reservado a la jurisdicción.</w:t>
      </w:r>
    </w:p>
    <w:p w14:paraId="75A9B286" w14:textId="77777777" w:rsidR="00A8138F" w:rsidRDefault="00A8138F" w:rsidP="00A8138F">
      <w:pPr>
        <w:pStyle w:val="TextoNormal"/>
      </w:pPr>
    </w:p>
    <w:p w14:paraId="66712565" w14:textId="77777777" w:rsidR="00A8138F" w:rsidRDefault="00A8138F" w:rsidP="00A8138F">
      <w:pPr>
        <w:pStyle w:val="TextoNormal"/>
      </w:pPr>
      <w:r>
        <w:t>c) Los recurrentes consideran que, dada la frontal vulneración de los principios estructurales del Estado de Derecho que conlleva la amnistía, el silencio de la Constitución sobre esta institución solo puede entenderse como una evidente prohibición constitucional de esta prerrogativa de gracia.</w:t>
      </w:r>
    </w:p>
    <w:p w14:paraId="33192FAF" w14:textId="77777777" w:rsidR="00A8138F" w:rsidRDefault="00A8138F" w:rsidP="00A8138F">
      <w:pPr>
        <w:pStyle w:val="TextoNormal"/>
      </w:pPr>
    </w:p>
    <w:p w14:paraId="6AD14937" w14:textId="77777777" w:rsidR="00A8138F" w:rsidRDefault="00A8138F" w:rsidP="00A8138F">
      <w:pPr>
        <w:pStyle w:val="TextoNormal"/>
      </w:pPr>
      <w:r>
        <w:t>Recuerdan en este punto que la Constitución cuando se refiere a esta prerrogativa únicamente dispone: (i) que corresponde al rey ejercer el derecho de gracia con arreglo a la ley, que no podrá autorizar indultos generales [art. 62 i) CE]; (ii) que no procederá la iniciativa legislativa popular “en lo relativo a la prerrogativa de gracia” (art. 87.3 CE) y (iii) que la prerrogativa real de gracia no será aplicable a ninguno de los supuestos del art. 102 CE, esto es, a la responsabilidad criminal del presidente y de los demás miembros del Gobierno.</w:t>
      </w:r>
    </w:p>
    <w:p w14:paraId="712294A6" w14:textId="77777777" w:rsidR="00A8138F" w:rsidRDefault="00A8138F" w:rsidP="00A8138F">
      <w:pPr>
        <w:pStyle w:val="TextoNormal"/>
      </w:pPr>
    </w:p>
    <w:p w14:paraId="0150F740" w14:textId="77777777" w:rsidR="00A8138F" w:rsidRDefault="00A8138F" w:rsidP="00A8138F">
      <w:pPr>
        <w:pStyle w:val="TextoNormal"/>
      </w:pPr>
      <w:r>
        <w:t>En el escrito de interposición del recurso se afirma que la exclusión de la iniciativa legislativa popular en lo relativo a la prerrogativa de gracia debe entenderse referida a la ley que regule el indulto (materia reservada a la ley por el art. 62 CE cuando señala que el ejercicio del derecho de gracia ha de hacerse “con arreglo a la ley”).</w:t>
      </w:r>
    </w:p>
    <w:p w14:paraId="5AE52E53" w14:textId="77777777" w:rsidR="00A8138F" w:rsidRDefault="00A8138F" w:rsidP="00A8138F">
      <w:pPr>
        <w:pStyle w:val="TextoNormal"/>
      </w:pPr>
    </w:p>
    <w:p w14:paraId="6E31217B" w14:textId="77777777" w:rsidR="00A8138F" w:rsidRDefault="00A8138F" w:rsidP="00A8138F">
      <w:pPr>
        <w:pStyle w:val="TextoNormal"/>
      </w:pPr>
      <w:r>
        <w:t>Por otra parte, se afirma que, si fuera constitucionalmente admisible, es cuestionable que la potestad de amnistiar competa necesariamente al Parlamento. Se cita el decreto concediendo la amnistía de todos los delitos políticos y sociales (“Gaceta de Madrid”, núm. 105, de 15 de abril de 1931) otorgada por el “Gobierno provisional de la República”. Se pone también de manifiesto que tampoco en el Derecho comparado la amnistía se configura siempre como una potestad del Parlamento y el indulto como una potestad del Gobierno. Se citan el art. 79 de la Constitución italiana en el que se prevé que tanto el indulto como la amnistía serán otorgados por ley; el art. 169 de la Constitución portuguesa que establece análoga previsión y la Constitución de los Estados Unidos que atribuye al presidente la concesión de perdones por ofensas a los Estados Unidos (art. II, S. 2, C.1). Se invoca, además, el dictamen de la Comisión de Venecia en el que se afirma que en algunos países la facultad de conceder perdones recae en el presidente. También se alude al caso alemán en el que los indultos generales tienen la misma naturaleza jurídica que la amnistía, se llaman del mismo modo —</w:t>
      </w:r>
      <w:r w:rsidRPr="00A8138F">
        <w:rPr>
          <w:i/>
        </w:rPr>
        <w:t>amnestie</w:t>
      </w:r>
      <w:r>
        <w:t xml:space="preserve">— y se aprueban por ley del Parlamento federal, mientras que el otorgamiento del indulto particular corresponde al presidente federal. Se señala que el Tribunal Constitucional alemán ha admitido la constitucionalidad de la </w:t>
      </w:r>
      <w:r w:rsidRPr="00A8138F">
        <w:rPr>
          <w:i/>
        </w:rPr>
        <w:t>amnestie</w:t>
      </w:r>
      <w:r>
        <w:t xml:space="preserve"> porque, a diferencia de lo que ocurre en España, no existe una prohibición constitucional de los indultos generales. Sostienen que lo mismo ocurre en Bélgica, Irlanda o Suecia.</w:t>
      </w:r>
    </w:p>
    <w:p w14:paraId="06B5CE0C" w14:textId="77777777" w:rsidR="00A8138F" w:rsidRDefault="00A8138F" w:rsidP="00A8138F">
      <w:pPr>
        <w:pStyle w:val="TextoNormal"/>
      </w:pPr>
    </w:p>
    <w:p w14:paraId="7F23EB44" w14:textId="77777777" w:rsidR="00A8138F" w:rsidRDefault="00A8138F" w:rsidP="00A8138F">
      <w:pPr>
        <w:pStyle w:val="TextoNormal"/>
      </w:pPr>
      <w:r>
        <w:t>Estos argumentos ponen de relieve, según los parlamentarios recurrentes, que al no estar expresamente prevista la amnistía y existir una prohibición constitucional de los indultos generales en el art 62 i) CE, esta prohibición comprende también la de la amnistía.</w:t>
      </w:r>
    </w:p>
    <w:p w14:paraId="0E99FE09" w14:textId="77777777" w:rsidR="00A8138F" w:rsidRDefault="00A8138F" w:rsidP="00A8138F">
      <w:pPr>
        <w:pStyle w:val="TextoNormal"/>
      </w:pPr>
    </w:p>
    <w:p w14:paraId="7A5C01F4" w14:textId="77777777" w:rsidR="00A8138F" w:rsidRDefault="00A8138F" w:rsidP="00A8138F">
      <w:pPr>
        <w:pStyle w:val="TextoNormal"/>
      </w:pPr>
      <w:r>
        <w:t>B) En segundo lugar, se aduce en el escrito de interposición del recurso que, en el supuesto de que el Tribunal considerara que la amnistía es constitucionalmente posible, la amnistía que otorga la ley recurrida no es conforme con la Constitución.</w:t>
      </w:r>
    </w:p>
    <w:p w14:paraId="169C3CCE" w14:textId="77777777" w:rsidR="00A8138F" w:rsidRDefault="00A8138F" w:rsidP="00A8138F">
      <w:pPr>
        <w:pStyle w:val="TextoNormal"/>
      </w:pPr>
    </w:p>
    <w:p w14:paraId="70F590DC" w14:textId="77777777" w:rsidR="00A8138F" w:rsidRDefault="00A8138F" w:rsidP="00A8138F">
      <w:pPr>
        <w:pStyle w:val="TextoNormal"/>
      </w:pPr>
      <w:r>
        <w:t>a) En esta parte de la demanda, tras reiterar que al no existir una expresa mención a la amnistía en la Constitución esta medida de gracia ha de entenderse prohibida, se señala que en el caso de que el Tribunal no lo apreciara así y entendiera que, a pesar de no estar constitucionalmente prevista, es constitucionalmente posible, el ejercicio de este exorbitado poder debe estar rodeado de las máximas cautelas y sujeto a intensas exigencias. Entienden que, aunque las SSTC 76/1986 y 147/1986 no se pronunciaron sobre la constitucionalidad de la amnistía —esta cuestión no era la que se planteaba en los procesos resueltos por ellas—, en estas sentencias se esboza lo que ha de entenderse por amnistía y pueden deducirse sus requisitos materiales y su configuración al afirmarse que la amnistía “es una operación jurídica que, fundamentándose en un ideal de justicia (STC 63/1983) pretende eliminar, en el presente, las consecuencias de la aplicación de una determinada normativa —en sentido amplio— que se rechaza hoy por contraria a los principios inspiradores de un nuevo orden político. Es una operación excepcional, propia del momento de consolidación de los nuevos valores a los que sirve”. De igual modo, la STC 63/1983, FJ 2, señala que el fundamento de la amnistía es la “negación de las consecuencias subsistentes de un Derecho anterior cuya corrección se hizo indispensable”.</w:t>
      </w:r>
    </w:p>
    <w:p w14:paraId="39F20287" w14:textId="77777777" w:rsidR="00A8138F" w:rsidRDefault="00A8138F" w:rsidP="00A8138F">
      <w:pPr>
        <w:pStyle w:val="TextoNormal"/>
      </w:pPr>
    </w:p>
    <w:p w14:paraId="39EEE46E" w14:textId="77777777" w:rsidR="00A8138F" w:rsidRDefault="00A8138F" w:rsidP="00A8138F">
      <w:pPr>
        <w:pStyle w:val="TextoNormal"/>
      </w:pPr>
      <w:r>
        <w:t>De la citada jurisprudencia deducen que la amnistía, caso de que se considerase constitucionalmente admisible, debe ser una medida excepcional, que se enmarca, a su vez, en una categoría también excepcional, que es el derecho de gracia. También entienden que, al ser la amnistía una prerrogativa absolutamente excepcional que transgrede principios constitucionales estructurales del Estado de Derecho, solo podría fundarse en razones de justicia extraordinariamente justificadas y por ello entienden que la ley que la prevea debe exponer las razones de justicia a las que obedece el ejercicio de esta prerrogativa. Según sostienen los recurrentes, esta motivación, que ha de ser reforzada dada la excepcionalidad de esta potestad, no existe en el extenso preámbulo de la Ley de amnistía. Señalan los demandantes que el preámbulo de la ley parte de la justicia tanto de la ley penal aplicada como de la actuación de los tribunales y por ello no rechaza, desde la perspectiva de la justicia, que su aplicación sea contraria a unos supuestos valores de un nuevo orden. Por tal razón, consideran que, en el improbable caso de que el Tribunal admitiera la constitucionalidad de la amnistía, el único presupuesto objetivo que podría legitimar una ley que estableciera esta medida de gracia sería, conforme a la doctrina establecida en la STC 147/1986, la apreciación de un grave quebranto del principio de justicia. Al no fundamentarse en este motivo la amnistía prevista por la Ley de amnistía, los parlamentarios recurrentes consideran que no se cumple el presupuesto necesario para su constitucionalidad y, en tal medida, vulnera los arts. 1.1, 117.3, 118, 14, 17 y 25.1 CE.</w:t>
      </w:r>
    </w:p>
    <w:p w14:paraId="445C85E8" w14:textId="77777777" w:rsidR="00A8138F" w:rsidRDefault="00A8138F" w:rsidP="00A8138F">
      <w:pPr>
        <w:pStyle w:val="TextoNormal"/>
      </w:pPr>
    </w:p>
    <w:p w14:paraId="47AA5D24" w14:textId="77777777" w:rsidR="00A8138F" w:rsidRDefault="00A8138F" w:rsidP="00A8138F">
      <w:pPr>
        <w:pStyle w:val="TextoNormal"/>
      </w:pPr>
      <w:r>
        <w:t>b) Los recurrentes aducen, además, que la causa que motiva esta amnistía es bien simple y ha sido explícitamente reconocida por sus impulsores y por los principales representantes de los grupos parlamentarios que la han apoyado. Afirman que, mirando más allá de las palabras usadas por la norma y atendiendo a la realidad, resulta más evidente que la amnistía que recurren se configura como una verdadera transacción entre dos partes, que ponen la amnistía al servicio de fines propios y diversos para cada una de ellas. Entienden que los miembros del Grupo Parlamentario Socialista, proponente de la iniciativa, obtienen la investidura de su candidato como presidente del Gobierno; y, de otro, los grupos parlamentarios independentistas catalanes obtienen la “amnesia” de los delitos cometidos por sus principales líderes en el proceso secesionista de 2017. Se afirma que lo único que explica que antes de las elecciones de 23 de julio de 2023 el Gobierno de la Nación considerara que la amnistía era “claramente inconstitucional” y, sin embargo, tras las referidas elecciones, no lo considerase así es que los resultados electorales solo permitían la investidura del candidato del Partido Socialista Obrero Español (PSOE) como presidente del Gobierno si obtenía el apoyo de los partidos independentistas catalanes. Los recurrentes ponen de manifiesto que el “acuerdo PSOE-Junts” así lo refleja. Asimismo, señalan que el ahora presidente del Gobierno también necesitó el apoyo del Grupo Parlamentario Republicano para obtener los votos necesarios para ser investido presidente y que este grupo había presentado en la legislatura XIV una proposición de ley orgánica de amnistía análoga a la ahora impugnada que se rechazó. Por todo ello, consideran que la Ley de amnistía no tiene más objeto que el de cumplir el referido acuerdo. Destacan que así lo apreciaron unánimemente los medios de comunicación.</w:t>
      </w:r>
    </w:p>
    <w:p w14:paraId="140918B4" w14:textId="77777777" w:rsidR="00A8138F" w:rsidRDefault="00A8138F" w:rsidP="00A8138F">
      <w:pPr>
        <w:pStyle w:val="TextoNormal"/>
      </w:pPr>
    </w:p>
    <w:p w14:paraId="5119533A" w14:textId="77777777" w:rsidR="00A8138F" w:rsidRDefault="00A8138F" w:rsidP="00A8138F">
      <w:pPr>
        <w:pStyle w:val="TextoNormal"/>
      </w:pPr>
      <w:r>
        <w:t>Los recurrentes sostienen que si el PSOE no hubiera necesitado los votos de Junts para investir a su candidato a presidente del Gobierno no se hubiera aprobado la ley ahora recurrida. Se citan las declaraciones del presidente del Gobierno efectuadas el 21 de julio de 2023, en una entrevista en Radio Televisión Española, en la que afirmó que “el independentismo pedía la amnistía y no la ha tenido”. También se citan declaraciones de miembros del Gobierno realizadas con anterioridad a las elecciones celebradas el 23 de julio de 2023 en las que manifiestan que la amnistía no está reconocida en la Constitución. Junto a ello se señala que, en el Comité Federal del PSOE celebrado tras las referidas elecciones, Pedro Sánchez, en referencia a la amnistía “abogó por ‘hacer de la necesidad virtud’ y reconoció también que apuesta por esta medida de gracia para no ir a la repetición de elecciones, muy consciente de que sin esa amnistía es inviable que le apoyen ERC y, sobre todo, Junts, para la formación de un nuevo Gobierno de coalición” (se cita el siguiente vínculo: https://www.rtve.es/noticias/20231030/pasos-sanchez-hacia-amnistia/2459595.shtml). Se hace referencia, además, a las declaraciones del portavoz del Grupo Parlamentario Junts en el Congreso, en el debate sobre la toma en consideración de la proposición de ley en el que afirmó que “encaramos la toma en consideración de la Ley Orgánica de amnistía, presentada por el Grupo Socialista, como condición previa para que los siete votos de Junts facilitasen la investidura de Pedro Sánchez” (“Diario de Sesiones del Congreso de los Diputados” de 12 de diciembre de 2023, pág. 22).</w:t>
      </w:r>
    </w:p>
    <w:p w14:paraId="73234CBC" w14:textId="77777777" w:rsidR="00A8138F" w:rsidRDefault="00A8138F" w:rsidP="00A8138F">
      <w:pPr>
        <w:pStyle w:val="TextoNormal"/>
      </w:pPr>
    </w:p>
    <w:p w14:paraId="61B3F935" w14:textId="77777777" w:rsidR="00A8138F" w:rsidRDefault="00A8138F" w:rsidP="00A8138F">
      <w:pPr>
        <w:pStyle w:val="TextoNormal"/>
      </w:pPr>
      <w:r>
        <w:t>Los recurrentes alegan que por muy legítimo que sea formar un Gobierno estable en modo alguno justifica la excepción de principios estructurales de un Estado democrático y de Derecho que conlleva una amnistía.</w:t>
      </w:r>
    </w:p>
    <w:p w14:paraId="680B3A8A" w14:textId="77777777" w:rsidR="00A8138F" w:rsidRDefault="00A8138F" w:rsidP="00A8138F">
      <w:pPr>
        <w:pStyle w:val="TextoNormal"/>
      </w:pPr>
    </w:p>
    <w:p w14:paraId="3ECF74B7" w14:textId="77777777" w:rsidR="00A8138F" w:rsidRDefault="00A8138F" w:rsidP="00A8138F">
      <w:pPr>
        <w:pStyle w:val="TextoNormal"/>
      </w:pPr>
      <w:r>
        <w:t xml:space="preserve">c) En el escrito de demanda se aduce que, de conformidad con el art. 10.2 CE, la cláusula del Estado de Derecho del art. 1.1 CE, que se proyecta como garante del Poder Judicial (art. 117 CE) y del derecho a la tutela judicial efectiva (art. 24 CE), ha de entenderse de conformidad con lo previsto en el art. 2 del Tratado de la Unión Europea (TUE): “[l]a Unión se fundamenta en los valores de respeto de la […] democracia, igualdad, Estado de Derecho” y la jurisprudencia que lo interpreta. Alegan que el Tribunal de Justicia de la Unión Europea tiene declarado que “un Estado miembro no puede modificar su legislación de modo que dé lugar a una reducción de la protección del valor del Estado de Derecho, valor que se concreta, en particular, en el artículo 19 TUE [véase, en este sentido, la sentencia de 2 de marzo de 2021, </w:t>
      </w:r>
      <w:r w:rsidRPr="00A8138F">
        <w:rPr>
          <w:i/>
        </w:rPr>
        <w:t>A.B. y otros</w:t>
      </w:r>
      <w:r>
        <w:t xml:space="preserve"> (nombramiento de jueces del Tribunal Supremo) recurso C-824/18, ECLI:EU:C:2021:153, § 108]”. En particular, “los Estados miembros deben velar por evitar, en relación con este valor, cualquier regresión de su legislación en materia de organización de la administración de Justicia, absteniéndose de adoptar medidas que puedan menoscabar la independencia judicial” [STJUE (Gran Sala), de 20 de abril de 2021, C-896/19, ECLI: EU:C:2021:311, § 62-65].</w:t>
      </w:r>
    </w:p>
    <w:p w14:paraId="785700F3" w14:textId="77777777" w:rsidR="00A8138F" w:rsidRDefault="00A8138F" w:rsidP="00A8138F">
      <w:pPr>
        <w:pStyle w:val="TextoNormal"/>
      </w:pPr>
    </w:p>
    <w:p w14:paraId="37A4B327" w14:textId="77777777" w:rsidR="00A8138F" w:rsidRDefault="00A8138F" w:rsidP="00A8138F">
      <w:pPr>
        <w:pStyle w:val="TextoNormal"/>
      </w:pPr>
      <w:r>
        <w:t>Los recurrentes mantienen que para los partidos políticos independentistas catalanes que impulsaron y apoyaron la Ley de amnistía (Junts y ERC), la amnistía tenía como finalidad reivindicar lo que para ellos era la justicia del llamado procés y la total injusticia de la actuación posterior de los poderes públicos y, en particular, del Poder Judicial. Señalan que han sido tan reiteradas las manifestaciones de los partidos políticos independentistas que han apoyado la amnistía en este sentido, hasta el punto de que puede considerarse un hecho notorio que para ellos la amnistía parte de un absoluto rechazo a la actuación judicial llevada a cabo en relación con el llamado procés y, en particular, a la STS 459/2019. Asimismo, afirman, que, en contra de lo que se expone en el preámbulo de la Ley de amnistía, en un Estado de Derecho “una tensión institucional” no da lugar “a la intervención de la Justicia”. De igual modo, niegan que los poderes del Estado usen la vía penal para fines políticos y que exista judicialización de la política, como refieren los portavoces de los partidos que han apoyado la amnistía. Sostienen que los tribunales penales intervienen cuando se cometen delitos tipificados en el Código penal. En concreto, señalan que la Sala de lo Penal del Tribunal Supremo inició el proceso núm. 20907-2017 en virtud de una querella del fiscal general del Estado y dictó la STS 459/2019 no porque existiera una “tensión institucional” o por judicializar la política sino porque políticos y cargos públicos cometieron los más graves delitos contra el orden constitucional. Por ello consideran que no es que la justicia se entrometiera en la política, sino que hubo políticos que, a juicio del más Alto Tribunal de la jurisdicción penal, cometieron graves delitos.</w:t>
      </w:r>
    </w:p>
    <w:p w14:paraId="08DE7FE4" w14:textId="77777777" w:rsidR="00A8138F" w:rsidRDefault="00A8138F" w:rsidP="00A8138F">
      <w:pPr>
        <w:pStyle w:val="TextoNormal"/>
      </w:pPr>
    </w:p>
    <w:p w14:paraId="1DDBCC1E" w14:textId="77777777" w:rsidR="00A8138F" w:rsidRDefault="00A8138F" w:rsidP="00A8138F">
      <w:pPr>
        <w:pStyle w:val="TextoNormal"/>
      </w:pPr>
      <w:r>
        <w:t>En el escrito de demanda se afirma que la Ley de amnistía enjuicia y condena al Poder Judicial y con él a nuestro Estado de Derecho y lo hace porque supuestamente la justicia se habría entrometido en lo político. Junto a ello manifiestan que la ley recurrida entiende lo político como un espacio inmune a la jurisdicción, ya que conlleva que la comisión de delitos o ilegalidades resulte sanada por un fin político al impedir que puedan ser enjuiciados por los tribunales.</w:t>
      </w:r>
    </w:p>
    <w:p w14:paraId="6C3A04E9" w14:textId="77777777" w:rsidR="00A8138F" w:rsidRDefault="00A8138F" w:rsidP="00A8138F">
      <w:pPr>
        <w:pStyle w:val="TextoNormal"/>
      </w:pPr>
    </w:p>
    <w:p w14:paraId="72FB11A7" w14:textId="77777777" w:rsidR="00A8138F" w:rsidRDefault="00A8138F" w:rsidP="00A8138F">
      <w:pPr>
        <w:pStyle w:val="TextoNormal"/>
      </w:pPr>
      <w:r>
        <w:t xml:space="preserve">La demanda también se refiere a las menciones al </w:t>
      </w:r>
      <w:r w:rsidRPr="00A8138F">
        <w:rPr>
          <w:i/>
        </w:rPr>
        <w:t>lawfare</w:t>
      </w:r>
      <w:r>
        <w:t xml:space="preserve"> contenidas en el acuerdo entre PSOE-Junts. Según los recurrentes, al afirmar que el Poder Judicial habría incurrido en </w:t>
      </w:r>
      <w:r w:rsidRPr="00A8138F">
        <w:rPr>
          <w:i/>
        </w:rPr>
        <w:t>lawfare</w:t>
      </w:r>
      <w:r>
        <w:t xml:space="preserve"> y que eso justificaría la amnistía se está acusando de prevaricación a jueces y magistrados que han ejercitado conforme a Derecho su función jurisdiccional. Del mismo modo, sostienen que las referencias al “rechazo” a la actuación judicial unidas a las amenazas de apertura de comisiones de investigación son totalmente contrarias a las garantías de independencia judicial.</w:t>
      </w:r>
    </w:p>
    <w:p w14:paraId="6B11CBE7" w14:textId="77777777" w:rsidR="00A8138F" w:rsidRDefault="00A8138F" w:rsidP="00A8138F">
      <w:pPr>
        <w:pStyle w:val="TextoNormal"/>
      </w:pPr>
    </w:p>
    <w:p w14:paraId="1E0E7CBE" w14:textId="77777777" w:rsidR="00A8138F" w:rsidRDefault="00A8138F" w:rsidP="00A8138F">
      <w:pPr>
        <w:pStyle w:val="TextoNormal"/>
      </w:pPr>
      <w:r>
        <w:t>d) En el escrito de interposición de este recurso se afirma que la Ley de amnistía es una autoamnistía que vulnera los arts. 9.3 y 102 CE, así como la cláusula de Estado de Derecho (art. 1.1 CE, en relación con el art. 2 TUE).</w:t>
      </w:r>
    </w:p>
    <w:p w14:paraId="67347964" w14:textId="77777777" w:rsidR="00A8138F" w:rsidRDefault="00A8138F" w:rsidP="00A8138F">
      <w:pPr>
        <w:pStyle w:val="TextoNormal"/>
      </w:pPr>
    </w:p>
    <w:p w14:paraId="7A0ED0AD" w14:textId="77777777" w:rsidR="00A8138F" w:rsidRDefault="00A8138F" w:rsidP="00A8138F">
      <w:pPr>
        <w:pStyle w:val="TextoNormal"/>
      </w:pPr>
      <w:r>
        <w:t xml:space="preserve">Los recurrentes alegan que en el ámbito europeo existe un consenso generalizado sobre el rechazo a las denominadas “autoamnistías”, es decir, las amnistías concedidas por sus propios beneficiarios o a quienes tienen un poder efectivo para influir en la adopción de ese tipo de decisiones. Citan la opinión de la Comisión de Venecia, que, a su vez se remite, a la sentencia de 14 de marzo de 2001 de la Corte Interamericana de Derechos Humanos (asunto </w:t>
      </w:r>
      <w:r w:rsidRPr="00A8138F">
        <w:rPr>
          <w:i/>
        </w:rPr>
        <w:t>Barrios Altos c. Perú</w:t>
      </w:r>
      <w:r>
        <w:t>). También se alude a la Comisión Europea en el conocido caso de Rumanía de 2019 en el que se pretendió reformar los códigos penal y procesal penal para incorporar una amnistía a determinados cargos públicos por delitos de corrupción. Se aporta a tal efecto, como documentos anexos, una carta del entonces vicepresidente de la Comisión, señor Timmermans, y el informe de la Comisión sobre la situación de Rumanía bajo los mecanismos de cooperación y verificación. Según la demanda, la autoamnistía es contraria a la cláusula de Estado de Derecho recogida en el art. 2 TUE y, en consecuencia, por la vía del art. 10.2 CE, es contraria también a lo dispuesto en el art. 1.1 CE.</w:t>
      </w:r>
    </w:p>
    <w:p w14:paraId="32590714" w14:textId="77777777" w:rsidR="00A8138F" w:rsidRDefault="00A8138F" w:rsidP="00A8138F">
      <w:pPr>
        <w:pStyle w:val="TextoNormal"/>
      </w:pPr>
    </w:p>
    <w:p w14:paraId="0E4C5DF0" w14:textId="77777777" w:rsidR="00A8138F" w:rsidRDefault="00A8138F" w:rsidP="00A8138F">
      <w:pPr>
        <w:pStyle w:val="TextoNormal"/>
      </w:pPr>
      <w:r>
        <w:t>En el escrito de demanda se sostiene que la Ley de amnistía otorga una autoamnistía, pues son los propios políticos que cometen los delitos después amnistiados los que elaboran e impulsan su propia gracia. La aprobación de la Ley de amnistía fue elemento esencial del pacto de investidura negociado con los partidos políticos cuyos líderes iban a resultar beneficiados por la amnistía pactada. La circunstancia de que el ámbito de aplicación incluya a otras personas no impide, según los recurrentes, llegar a la referida conclusión, pues consideran que la amnistía solo se entiende porque se refiere directa y principalmente a los altos cargos de Junts y ERC que tuvieron participación en el denominado proceso independentista catalán.</w:t>
      </w:r>
    </w:p>
    <w:p w14:paraId="329153B9" w14:textId="77777777" w:rsidR="00A8138F" w:rsidRDefault="00A8138F" w:rsidP="00A8138F">
      <w:pPr>
        <w:pStyle w:val="TextoNormal"/>
      </w:pPr>
    </w:p>
    <w:p w14:paraId="5E514452" w14:textId="77777777" w:rsidR="00A8138F" w:rsidRDefault="00A8138F" w:rsidP="00A8138F">
      <w:pPr>
        <w:pStyle w:val="TextoNormal"/>
      </w:pPr>
      <w:r>
        <w:t>La demanda señala que la Constitución no prohíbe la autoamnistía porque no recoge esta institución. Sin embargo, respecto de la única manifestación constitucionalmente admitida de la prerrogativa de gracia, esto es, los indultos particulares sí se introdujo la necesaria cautela para evitar el ejercicio de tan excepcional prerrogativa en beneficio de quienes tuvieran el poder de influir (art. 102.3 CE).</w:t>
      </w:r>
    </w:p>
    <w:p w14:paraId="7B7A5F1E" w14:textId="77777777" w:rsidR="00A8138F" w:rsidRDefault="00A8138F" w:rsidP="00A8138F">
      <w:pPr>
        <w:pStyle w:val="TextoNormal"/>
      </w:pPr>
    </w:p>
    <w:p w14:paraId="11F4A9B0" w14:textId="77777777" w:rsidR="00A8138F" w:rsidRDefault="00A8138F" w:rsidP="00A8138F">
      <w:pPr>
        <w:pStyle w:val="TextoNormal"/>
      </w:pPr>
      <w:r>
        <w:t>e) Se alega, además, que la amnistía desatiende las más elementales exigencias formales y que vulnera el art. 23 CE. Los parlamentarios recurrentes consideran que ante una iniciativa de la trascendencia constitucional, política y social de la amnistía, lo mínimo exigible hubiera sido procurar el máximo consenso político y social y ser escrupulosamente respetuoso con las exigencias procedimentales y, en particular, con los derechos de las minorías. Aducen que la opinión de la Comisión de Venecia (§ 128) resalta la conveniencia de una mayoría cualificada suficientemente amplía para la aprobación de amnistías, por ello recomienda a las autoridades españolas que, aunque la Constitución no lo prevea, se intente alcanzar una mayoría cualificada superior a la mayoría absoluta de los miembros del Congreso que se exige para la aprobación de una ley orgánica. Afirman también que la Ley de amnistía, a diferencia de la Ley 46/1977, de amnistía, que fue apoyada por el 93 por 100 del Parlamento, obtuvo más votos en contra (321) que a favor (290). Los recurrentes fundamentan esta mayoría en que el texto aprobado por el Congreso obtuvo 177 votos a favor y 172 en contra. Junto a ello señalan que en el Senado se aprobó el veto de la proposición de ley orgánica de amnistía con 149 votos a favor y 113 en contra. De ello deducen que la Ley de amnistía obtuvo más votos en contra (321) que a favor (290) y que por este motivo fue rechazada por la mayoría de los representantes del titular de la soberanía.</w:t>
      </w:r>
    </w:p>
    <w:p w14:paraId="1920481A" w14:textId="77777777" w:rsidR="00A8138F" w:rsidRDefault="00A8138F" w:rsidP="00A8138F">
      <w:pPr>
        <w:pStyle w:val="TextoNormal"/>
      </w:pPr>
    </w:p>
    <w:p w14:paraId="10CA823E" w14:textId="77777777" w:rsidR="00A8138F" w:rsidRDefault="00A8138F" w:rsidP="00A8138F">
      <w:pPr>
        <w:pStyle w:val="TextoNormal"/>
      </w:pPr>
      <w:r>
        <w:t xml:space="preserve">Los recurrentes consideran que, como la ley impugnada fue “el pago de la transacción política”, se tramitó estando el Gobierno en funciones, antes, por tanto, de celebrarse la sesión de investidura, por lo que la iniciativa legislativa adoptó la forma de proposición de ley, omitiendo de este modo los informes preceptivos que hubiera requerido su tramitación como proyecto de ley. Aducen que tal forma de proceder supone una flagrante vulneración del art. 23 CE, al privar </w:t>
      </w:r>
      <w:r w:rsidRPr="00A8138F">
        <w:rPr>
          <w:i/>
        </w:rPr>
        <w:t>ab initio</w:t>
      </w:r>
      <w:r>
        <w:t xml:space="preserve"> a los parlamentarios de la información y documentación precisa para formarse opinión sobre tan relevante iniciativa.</w:t>
      </w:r>
    </w:p>
    <w:p w14:paraId="63147C8D" w14:textId="77777777" w:rsidR="00A8138F" w:rsidRDefault="00A8138F" w:rsidP="00A8138F">
      <w:pPr>
        <w:pStyle w:val="TextoNormal"/>
      </w:pPr>
    </w:p>
    <w:p w14:paraId="4066E6A3" w14:textId="77777777" w:rsidR="00A8138F" w:rsidRDefault="00A8138F" w:rsidP="00A8138F">
      <w:pPr>
        <w:pStyle w:val="TextoNormal"/>
      </w:pPr>
      <w:r>
        <w:t>Sostienen también que durante su tramitación se cometieron vicios procedimentales determinantes de su inconstitucionalidad. Se refieren, en primer lugar, a que tras haber sido aprobado por el Pleno del Congreso de los Diputados el dictamen de la Comisión de Justicia sobre la proposición, cuando se procedió a su votación final sobre el conjunto del proyecto, fue rechazada (171 votos a favor, 179 en contra). El resultado de esta votación no determinó el rechazo de la proposición, que es, a juicio de los recurrentes, lo que hubiera sido lo procedente, sino que se devolvió a la Comisión de Justicia para la elaboración de un nuevo dictamen. Alegan que, de conformidad con lo dispuesto en el art. 131.2 del Reglamento del Congreso de los Diputados (RCD), solo se prevé la devolución a la Comisión cuando la mayoría absoluta no se consiguiese, lo que determina que no proceda cuando el proyecto no solo no consiguió la mayoría absoluta, sino tampoco la simple, al haber obtenido más votos en contra que a favor. Esta decisión fue impugnada en amparo ante este tribunal por el Grupo Parlamentario Vox. Este recurso fue inadmitido por el ATC 24/2024, de 14 de marzo. Los recurrentes entienden que la inadmisión acordada en este auto, al no haber examinado la cuestión de fondo, no puede tomarse en consideración y por este motivo no prejuzga lo que pueda decidirse en este recurso. Entienden los recurrentes que tal forma de proceder vulnera los arts. 23 y 79.2 CE.</w:t>
      </w:r>
    </w:p>
    <w:p w14:paraId="2004AB0F" w14:textId="77777777" w:rsidR="00A8138F" w:rsidRDefault="00A8138F" w:rsidP="00A8138F">
      <w:pPr>
        <w:pStyle w:val="TextoNormal"/>
      </w:pPr>
    </w:p>
    <w:p w14:paraId="2AD7FB5A" w14:textId="77777777" w:rsidR="00A8138F" w:rsidRDefault="00A8138F" w:rsidP="00A8138F">
      <w:pPr>
        <w:pStyle w:val="TextoNormal"/>
      </w:pPr>
      <w:r>
        <w:t>En segundo lugar, señalan que, además de rehabilitar una proposición rechazada y devolverla a la Comisión de Justicia, no se emitió el “informe de la ponencia” que, de conformidad con el art. 114 RCD, siempre ha de preceder al “debate en comisión”. Consideran que la omisión de este trámite privó a los parlamentarios en la comisión y en el Pleno de la información precisa (el informe de la ponencia) para poder ejercer sus funciones representativas, vulnerando por ello el art. 23 CE en relación con el art. 114 RCD.</w:t>
      </w:r>
    </w:p>
    <w:p w14:paraId="347A2292" w14:textId="77777777" w:rsidR="00A8138F" w:rsidRDefault="00A8138F" w:rsidP="00A8138F">
      <w:pPr>
        <w:pStyle w:val="TextoNormal"/>
      </w:pPr>
    </w:p>
    <w:p w14:paraId="3B12C371" w14:textId="77777777" w:rsidR="00A8138F" w:rsidRDefault="00A8138F" w:rsidP="00A8138F">
      <w:pPr>
        <w:pStyle w:val="TextoNormal"/>
      </w:pPr>
      <w:r>
        <w:t>En tercer y último lugar, en lo que a los vicios procedimentales se refiere, se aduce que los parlamentarios tuvieron un conocimiento sorpresivo de las enmiendas transaccionales. Estas enmiendas fueron admitidas por la Comisión de Justicia mediante una reunión de la mesa no convocada previamente (con infracción de los arts. 79.1 CE y 78.1 RCD), y se sometieron a debate y votación sin respetar el plazo de cuarenta y ocho horas previsto en el art. 69 RCD.</w:t>
      </w:r>
    </w:p>
    <w:p w14:paraId="19574005" w14:textId="77777777" w:rsidR="00A8138F" w:rsidRDefault="00A8138F" w:rsidP="00A8138F">
      <w:pPr>
        <w:pStyle w:val="TextoNormal"/>
      </w:pPr>
    </w:p>
    <w:p w14:paraId="6546A420" w14:textId="77777777" w:rsidR="00A8138F" w:rsidRDefault="00A8138F" w:rsidP="00A8138F">
      <w:pPr>
        <w:pStyle w:val="TextoNormal"/>
      </w:pPr>
      <w:r>
        <w:t>f) Los recurrentes sostienen también que la Ley de amnistía es arbitraria y por este motivo vulnera el art. 9.3 CE. A su juicio, de acuerdo con la doctrina establecida en el ATC 72/2008, de 26 de febrero, el control constitucional del cumplimiento de la prohibición de arbitrariedad en el legislador supone “verificar si el precepto controvertido establece una discriminación, que entraña siempre una arbitrariedad, o bien, si aun no estableciéndola, carece de toda explicación racional, lo que también supondría una arbitrariedad”. Consideran que en el presente caso concurren las exigencias establecidas en el citado auto para apreciar que la ley es arbitraria, pues la amnistía impone una discriminación (en este aspecto se remite al siguiente motivo del recurso) y además, carece de explicación racional que conecte con el interés público, pues consideran, citando una opinión doctrinal que se reseña, que, al margen de la retórica del preámbulo de la Ley de amnistía, es un hecho notorio que esta ley obedece a una pura transacción política entre un candidato que necesita apoyos para la investidura y los líderes políticos que cometieron delitos y que a cambio de votos consiguieron “el olvido”.</w:t>
      </w:r>
    </w:p>
    <w:p w14:paraId="17E94C63" w14:textId="77777777" w:rsidR="00A8138F" w:rsidRDefault="00A8138F" w:rsidP="00A8138F">
      <w:pPr>
        <w:pStyle w:val="TextoNormal"/>
      </w:pPr>
    </w:p>
    <w:p w14:paraId="3EF16767" w14:textId="77777777" w:rsidR="00A8138F" w:rsidRDefault="00A8138F" w:rsidP="00A8138F">
      <w:pPr>
        <w:pStyle w:val="TextoNormal"/>
      </w:pPr>
      <w:r>
        <w:t xml:space="preserve">C) Se alega en la demanda, como tercer motivo del recurso de inconstitucionalidad, que la totalidad de la Ley de amnistía “vulnera la prohibición de discriminación del art. 14 CE y resulta desproporcionada y arbitraria”. Los recurrentes comienzan dicho motivo refiriéndose a la doctrina del Tribunal Constitucional sobre el art. 14 CE, concretamente a la sentada en relación con las prohibiciones de discriminación establecidas en dicho precepto y que implican un juicio de irrazonabilidad de la diferenciación establecida </w:t>
      </w:r>
      <w:r w:rsidRPr="00A8138F">
        <w:rPr>
          <w:i/>
        </w:rPr>
        <w:t>ex constitutione</w:t>
      </w:r>
      <w:r>
        <w:t>, por lo que solo pueden ser utilizadas de forma excepcional por el legislador. Sostienen que, por este motivo, el juicio de legitimidad constitucional de la ley que las establezca debe someterse a un canon de control mucho más estricto, así como a un mayor rigor respecto a las exigencias materiales de proporcionalidad.</w:t>
      </w:r>
    </w:p>
    <w:p w14:paraId="238BE7E0" w14:textId="77777777" w:rsidR="00A8138F" w:rsidRDefault="00A8138F" w:rsidP="00A8138F">
      <w:pPr>
        <w:pStyle w:val="TextoNormal"/>
      </w:pPr>
    </w:p>
    <w:p w14:paraId="79868E65" w14:textId="77777777" w:rsidR="00A8138F" w:rsidRDefault="00A8138F" w:rsidP="00A8138F">
      <w:pPr>
        <w:pStyle w:val="TextoNormal"/>
      </w:pPr>
      <w:r>
        <w:t>Según los recurrentes, la ley impugnada introduce una diferenciación que supone “una intervención más incisiva en la esfera individual, esto es, en la ley penal, que puede comportar incluso la privación de la libertad personal”, utilizando para ello, además, un criterio proscrito expresamente en el art. 14 CE que es la opinión o ideología: la aplicación o no de la amnistía es acreedora de una razón política consistente en favorecer el proceso secesionista.</w:t>
      </w:r>
    </w:p>
    <w:p w14:paraId="53DB075A" w14:textId="77777777" w:rsidR="00A8138F" w:rsidRDefault="00A8138F" w:rsidP="00A8138F">
      <w:pPr>
        <w:pStyle w:val="TextoNormal"/>
      </w:pPr>
    </w:p>
    <w:p w14:paraId="695F5AAF" w14:textId="77777777" w:rsidR="00A8138F" w:rsidRDefault="00A8138F" w:rsidP="00A8138F">
      <w:pPr>
        <w:pStyle w:val="TextoNormal"/>
      </w:pPr>
      <w:r>
        <w:t>Por otra parte, se señala que no son admisibles las justificaciones que el propio legislador establece en el preámbulo de la ley impugnada en el que, si bien reconoce su carácter singular, afirma que cumple con las exigencias de razonabilidad, proporcionalidad y adecuación. Los recurrentes vuelven a poner de relieve en este punto, la manifiesta inconstitucionalidad que supone la aprobación de una ley singular penal dado que condiciona frontalmente los derechos fundamentales garantizados en los arts. 17.1 y 25.1 CE a diferencia de lo que sucede con las leyes singulares expropiatorias, en las que no se condicionan los derechos fundamentales. Afirman que no pueden ser conformes con la Constitución, leyes singulares que utilicen como criterio diferenciador los expresamente prohibidos en el art. 14 CE como aquí sucede.</w:t>
      </w:r>
    </w:p>
    <w:p w14:paraId="1207C4C7" w14:textId="77777777" w:rsidR="00A8138F" w:rsidRDefault="00A8138F" w:rsidP="00A8138F">
      <w:pPr>
        <w:pStyle w:val="TextoNormal"/>
      </w:pPr>
    </w:p>
    <w:p w14:paraId="20751C64" w14:textId="77777777" w:rsidR="00A8138F" w:rsidRDefault="00A8138F" w:rsidP="00A8138F">
      <w:pPr>
        <w:pStyle w:val="TextoNormal"/>
      </w:pPr>
      <w:r>
        <w:t>Tras hacer referencia a la jurisprudencia constitucional relativa al canon de constitucionalidad que resulta aplicable a estos casos, así como a las excepcionalidades que son predicables de la amnistía y a las que ya se ha hecho referencia, sostienen que el escrutinio constitucional que ha de llevarse a cabo para enjuiciar la ley en relación con este motivo debe ser riguroso e incisivo tanto en el control de la concurrencia del fin constitucionalmente legítimo, como en el del cumplimiento del triple test de proporcionalidad. Según los demandantes, “[d]e no ser así, aceptaríamos que lo excepcionalísimo (la amnistía) se convirtiera en ordinario (sometido a los requisitos y controles también ordinarios), contrariamente a lo querido por nuestra Constitución cuando omitió toda referencia a la amnistía”.</w:t>
      </w:r>
    </w:p>
    <w:p w14:paraId="66DBB39C" w14:textId="77777777" w:rsidR="00A8138F" w:rsidRDefault="00A8138F" w:rsidP="00A8138F">
      <w:pPr>
        <w:pStyle w:val="TextoNormal"/>
      </w:pPr>
    </w:p>
    <w:p w14:paraId="1C7112AF" w14:textId="77777777" w:rsidR="00A8138F" w:rsidRDefault="00A8138F" w:rsidP="00A8138F">
      <w:pPr>
        <w:pStyle w:val="TextoNormal"/>
      </w:pPr>
      <w:r>
        <w:t>Se afirma en la demanda que la ley impugnada no supera ni el escrutinio ordinario ni mucho menos “el más incisivo que exige el ejercicio de una prerrogativa excepcional”. Por lo que se refiere a la existencia de un fin legítimo, resulta patente, a juicio de los recurrentes, que la ley impugnada tiene una doble finalidad: por un lado, lograr la investidura del candidato del PSOE a la Presidencia del Gobierno con el apoyo de los grupos parlamentarios independentistas y, por otro, “otorgar la amnesia tan largamente reclamada por esos mismos partidos para sus líderes y miembros que habían impulsado y perpetrado el atentado contra nuestro sistema constitucional que supuso el llamado proceso independentista catalán”. Sostienen que, aunque procurar la formación de un Gobierno estable es un fin constitucionalmente legítimo, “de ningún modo supera el juicio de proporcionalidad”, ya que existen medios menos lesivos para la consecución de ese fin. En el preámbulo de la ley se afirma, sin embargo, que la finalidad de la medida adoptada es garantizar la convivencia dentro del Estado de Derecho, procurando la normalización institucional tras un período de grave perturbación. Consideran que la aprobación de la amnistía no es una medida idónea para alcanzar la finalidad que dice perseguir la ley toda vez que “la quiebra de la normalidad institucional y de la convivencia dentro del Estado de Derecho fueron únicamente imputables a aquellos cargos institucionales que, consciente y voluntariamente, violentaron las normas que tenían el deber de cumplir y hacer cumplir, dando un verdadero golpe de Estado (en el sentido kelseniano)”. En la demanda se afirma que no es posible defender la idoneidad de la amnistía cuando el destinatario de dicha medida “reitera públicamente y siempre que tiene ocasión para ello que, en cuanto pueda, lo volverá a hacer”. Se da cuenta en la demanda de algunas manifestaciones de distintos líderes políticos que, según los recurrentes, aseveran tal afirmación que, además, en la medida en que se trata de un hecho notorio, no necesita ser probado.</w:t>
      </w:r>
    </w:p>
    <w:p w14:paraId="7F8E3B91" w14:textId="77777777" w:rsidR="00A8138F" w:rsidRDefault="00A8138F" w:rsidP="00A8138F">
      <w:pPr>
        <w:pStyle w:val="TextoNormal"/>
      </w:pPr>
    </w:p>
    <w:p w14:paraId="64DCC3B4" w14:textId="77777777" w:rsidR="00A8138F" w:rsidRDefault="00A8138F" w:rsidP="00A8138F">
      <w:pPr>
        <w:pStyle w:val="TextoNormal"/>
      </w:pPr>
      <w:r>
        <w:t>Por lo que respecta al juicio de necesidad, se alega que la ley no superaría el escrutinio ordinario que cabría aplicar a un supuesto de tal naturaleza. Se aduce que si el fin de la amnistía es normalizar la convivencia hubiera sido suficiente acudir a la técnica de los indultos o a una amnistía condicionada con la finalidad de evitar la reiteración en un futuro de una actuación similar a la que se ahora se amnistía. De esta manera se hubiera evitado el “intenso sacrificio de principios estructurales del Estado de Derecho que supone la amnistía configurada por la Ley Orgánica 1/2024”.</w:t>
      </w:r>
    </w:p>
    <w:p w14:paraId="0F44C76A" w14:textId="77777777" w:rsidR="00A8138F" w:rsidRDefault="00A8138F" w:rsidP="00A8138F">
      <w:pPr>
        <w:pStyle w:val="TextoNormal"/>
      </w:pPr>
    </w:p>
    <w:p w14:paraId="0DB137B6" w14:textId="77777777" w:rsidR="00A8138F" w:rsidRDefault="00A8138F" w:rsidP="00A8138F">
      <w:pPr>
        <w:pStyle w:val="TextoNormal"/>
      </w:pPr>
      <w:r>
        <w:t>La medida legislativa cuestionada tampoco supera, según se expone en el escrito de interposición del recurso, el test de proporcionalidad en sentido estricto, ya que los supuestos beneficios de la amnistía no son en modo alguno proporcionados al sacrificio tan intenso de determinados principios constitucionales.</w:t>
      </w:r>
    </w:p>
    <w:p w14:paraId="08A8A283" w14:textId="77777777" w:rsidR="00A8138F" w:rsidRDefault="00A8138F" w:rsidP="00A8138F">
      <w:pPr>
        <w:pStyle w:val="TextoNormal"/>
      </w:pPr>
    </w:p>
    <w:p w14:paraId="1C02C612" w14:textId="77777777" w:rsidR="00A8138F" w:rsidRDefault="00A8138F" w:rsidP="00A8138F">
      <w:pPr>
        <w:pStyle w:val="TextoNormal"/>
      </w:pPr>
      <w:r>
        <w:t>D) En el motivo cuarto de la demanda, que se formula con carácter subsidiario a los anteriores, se alega la inconstitucionalidad de los siguientes preceptos de la Ley de amnistía.</w:t>
      </w:r>
    </w:p>
    <w:p w14:paraId="7D8C6A77" w14:textId="77777777" w:rsidR="00A8138F" w:rsidRDefault="00A8138F" w:rsidP="00A8138F">
      <w:pPr>
        <w:pStyle w:val="TextoNormal"/>
      </w:pPr>
    </w:p>
    <w:p w14:paraId="0C0D7F3C" w14:textId="77777777" w:rsidR="00A8138F" w:rsidRDefault="00A8138F" w:rsidP="00A8138F">
      <w:pPr>
        <w:pStyle w:val="TextoNormal"/>
      </w:pPr>
      <w:r>
        <w:t>a) El art. 1 resulta inconstitucional, a juicio de los recurrentes, por los siguientes motivos: en primer lugar, porque consideran que la concesión de la amnistía a los líderes del proceso independentista es arbitraria y desproporcionada. La demanda, que se remite en este punto a lo alegado en el apartado anterior, afirma que pudiendo ser dudosa la idoneidad y necesidad de acordar con carácter general la amnistía para restaurar la normalidad en Cataluña, “no puede caber ninguna duda de la absoluta desproporción respecto de los líderes del proceso separatista, sin imponer condicionalidad alguna”, que se han comprometido públicamente a “volver a hacerlo”.</w:t>
      </w:r>
    </w:p>
    <w:p w14:paraId="58527655" w14:textId="77777777" w:rsidR="00A8138F" w:rsidRDefault="00A8138F" w:rsidP="00A8138F">
      <w:pPr>
        <w:pStyle w:val="TextoNormal"/>
      </w:pPr>
    </w:p>
    <w:p w14:paraId="2FF550B8" w14:textId="77777777" w:rsidR="00A8138F" w:rsidRDefault="00A8138F" w:rsidP="00A8138F">
      <w:pPr>
        <w:pStyle w:val="TextoNormal"/>
      </w:pPr>
      <w:r>
        <w:t>Alegan en segundo término, con base en el parágrafo 76 de la opinión de la Comisión de Venecia, que el art. 1 es inconstitucional por regular de forma arbitraria y desproporcionada el ámbito temporal de la amnistía. El legislador no ha formulado explicación alguna al periodo temporal en el que dicha medida resulta de aplicación. Se afirma en la demanda que, además, el art. 1.3 establece una extensión temporal prácticamente indefinida de la amnistía dado que posibilita que se aplique, por un lado, a hechos cometidos con anterioridad a 2011 y, por otro, que se extienda a hechos que, teniendo una finalidad separatista y estando vinculados a hechos anteriores, se cometan con posterioridad a 2023. El precepto cuestionado permitiría amnistiar un futuro e hipotético “golpe de Estado” ya que siempre tendría relación con el proceso independentista catalán de 2017.</w:t>
      </w:r>
    </w:p>
    <w:p w14:paraId="6BC6A00A" w14:textId="77777777" w:rsidR="00A8138F" w:rsidRDefault="00A8138F" w:rsidP="00A8138F">
      <w:pPr>
        <w:pStyle w:val="TextoNormal"/>
      </w:pPr>
    </w:p>
    <w:p w14:paraId="49352BAD" w14:textId="77777777" w:rsidR="00A8138F" w:rsidRDefault="00A8138F" w:rsidP="00A8138F">
      <w:pPr>
        <w:pStyle w:val="TextoNormal"/>
      </w:pPr>
      <w:r>
        <w:t>Se aduce también que los apartados a), b), c), d) y f) del art. 1.1 vulneran los arts. 25.1 y 17.1 CE, el principio de seguridad jurídica (art. 9.3 CE) e incurren en arbitrariedad y desproporción porque desvinculan su ámbito objetivo de la finalidad del delito y se hacen depender de la finalidad del autor. Por otro lado, no se contiene en dichos apartados una lista tasada o cerrada de delitos, realizando una extensión “ilimitada e indeterminada del ámbito objetivo de la amnistía” contraria al art. 25 CE, al principio de seguridad jurídica e incurriendo en arbitrariedad y desproporción.</w:t>
      </w:r>
    </w:p>
    <w:p w14:paraId="0858B70C" w14:textId="77777777" w:rsidR="00A8138F" w:rsidRDefault="00A8138F" w:rsidP="00A8138F">
      <w:pPr>
        <w:pStyle w:val="TextoNormal"/>
      </w:pPr>
    </w:p>
    <w:p w14:paraId="197A1AFF" w14:textId="77777777" w:rsidR="00A8138F" w:rsidRDefault="00A8138F" w:rsidP="00A8138F">
      <w:pPr>
        <w:pStyle w:val="TextoNormal"/>
      </w:pPr>
      <w:r>
        <w:t>Los demandantes consideran que el apartado e) del art. 1.1, en la medida en que introduce un elemento de diferenciación para conceder o no la amnistía entre las actuaciones orientadas a la consecución del proceso secesionista y las que se hubieran llevado a cabo para evitarlo, es contrario a los arts. 25.1 y 17.1 CE. Respecto de estas últimas solo se amnistían “[l]as acciones realizadas en el curso de las actuaciones policiales dirigidas a dificultar o impedir la realización de los actos determinantes de responsabilidad penal o administrativa comprendidos en este artículo”. Alegan que es inconstitucional hacer recaer únicamente la respuesta penal en función de la opinión o la ideología y, por ende, la “Ley Orgánica 1/2024 solo respetaría el principio de igualdad en la ley penal si incluyese todas las acciones desarrolladas ‘en el contexto del denominado proceso independentista catalán’, ya sea con la ‘intención’ de favorecerlo o de impedirlo”.</w:t>
      </w:r>
    </w:p>
    <w:p w14:paraId="188D4880" w14:textId="77777777" w:rsidR="00A8138F" w:rsidRDefault="00A8138F" w:rsidP="00A8138F">
      <w:pPr>
        <w:pStyle w:val="TextoNormal"/>
      </w:pPr>
    </w:p>
    <w:p w14:paraId="0743123B" w14:textId="77777777" w:rsidR="00A8138F" w:rsidRDefault="00A8138F" w:rsidP="00A8138F">
      <w:pPr>
        <w:pStyle w:val="TextoNormal"/>
      </w:pPr>
      <w:r>
        <w:t>b) Se insta la declaración de inconstitucionalidad del art. 2 a) de la Ley de amnistía, que excluye de la aplicación de la amnistía los actos dolosos contra las personas “que hubieran producido un resultado de muerte, aborto o lesiones al feto, la pérdida o la inutilidad de un órgano o miembro, la pérdida o inutilidad de un sentido, la impotencia, la esterilidad o una grave deformidad”. Se argumenta que este precepto, al excluir de la amnistía únicamente los actos dolosos que producen un resultado de muerte y las lesiones cualificadas enumeradas en el mismo, no proporciona la protección penal a la vida y a la integridad física que exige el art. 15 CE, en relación con los arts. 2 y 3 CEDH, que, a su entender, debería abarcar todos los delitos que atenten contra tales bienes, cualquiera que sea su grado de ejecución.</w:t>
      </w:r>
    </w:p>
    <w:p w14:paraId="481D8B27" w14:textId="77777777" w:rsidR="00A8138F" w:rsidRDefault="00A8138F" w:rsidP="00A8138F">
      <w:pPr>
        <w:pStyle w:val="TextoNormal"/>
      </w:pPr>
    </w:p>
    <w:p w14:paraId="7DD4FCAD" w14:textId="77777777" w:rsidR="00A8138F" w:rsidRDefault="00A8138F" w:rsidP="00A8138F">
      <w:pPr>
        <w:pStyle w:val="TextoNormal"/>
      </w:pPr>
      <w:r>
        <w:t>Se insta la declaración de inconstitucionalidad del art. 2 c) de la Ley de amnistía, que excluye de la aplicación de la amnistía los actos “que por su finalidad puedan ser calificados como terrorismo, según la Directiva (UE) 2017/541 del Parlamento Europeo y del Consejo, de 15 de marzo de 2017, relativa a la lucha contra el terrorismo y, a su vez, hayan causado de forma intencionada graves violaciones de derechos humanos, en particular las reguladas en los artículos 2 y 3 del Convenio Europeo para la protección de los derechos humanos y de las libertades fundamentales, y en el Derecho internacional humanitario”.</w:t>
      </w:r>
    </w:p>
    <w:p w14:paraId="4DEBB65D" w14:textId="77777777" w:rsidR="00A8138F" w:rsidRDefault="00A8138F" w:rsidP="00A8138F">
      <w:pPr>
        <w:pStyle w:val="TextoNormal"/>
      </w:pPr>
    </w:p>
    <w:p w14:paraId="5C34685E" w14:textId="77777777" w:rsidR="00A8138F" w:rsidRDefault="00A8138F" w:rsidP="00A8138F">
      <w:pPr>
        <w:pStyle w:val="TextoNormal"/>
      </w:pPr>
      <w:r>
        <w:t xml:space="preserve">Se argumenta que el precepto infringe el art. 25.1 CE, en concreto la exigencia de taxatividad de la ley penal, porque no delimita con precisión y certeza los delitos de terrorismo que quedan excluidos de la amnistía, dado que la cláusula de exclusión recogida en el mismo remite a la Directiva (UE) 2017/541, de 15 de marzo, relativa a la lucha contra el terrorismo, en lugar de a los arts. 573 a 580 </w:t>
      </w:r>
      <w:r w:rsidRPr="00A8138F">
        <w:rPr>
          <w:i/>
        </w:rPr>
        <w:t>bis</w:t>
      </w:r>
      <w:r>
        <w:t xml:space="preserve"> del Código penal (CP), que son los preceptos que determinan en nuestro ordenamiento penal las acciones y omisiones sancionables como delito de terrorismo.</w:t>
      </w:r>
    </w:p>
    <w:p w14:paraId="22D32608" w14:textId="77777777" w:rsidR="00A8138F" w:rsidRDefault="00A8138F" w:rsidP="00A8138F">
      <w:pPr>
        <w:pStyle w:val="TextoNormal"/>
      </w:pPr>
    </w:p>
    <w:p w14:paraId="693F8A40" w14:textId="77777777" w:rsidR="00A8138F" w:rsidRDefault="00A8138F" w:rsidP="00A8138F">
      <w:pPr>
        <w:pStyle w:val="TextoNormal"/>
      </w:pPr>
      <w:r>
        <w:t>También reprochan al precepto que condiciona la exclusión de la amnistía a que se haya consumado el resultado, lo que supone dejar desprotegido el bien jurídico respecto de las demás formas de ejecución, y que exija la doble condición de que el delito esté incluido en la Directiva (UE) 2017/541 y que además haya causado de forma intencionada graves violaciones de los derechos humanos. Se establece una dicotomía entre un terrorismo que sería respetuoso con los derechos humanos, y otro que no lo sería, distinción que resulta inconciliable con la citada directiva, que parte de que los actos de terrorismo son en sí mismos una violación de los derechos humanos, tal y como se desprende de su considerando 2.</w:t>
      </w:r>
    </w:p>
    <w:p w14:paraId="4B40CE51" w14:textId="77777777" w:rsidR="00A8138F" w:rsidRDefault="00A8138F" w:rsidP="00A8138F">
      <w:pPr>
        <w:pStyle w:val="TextoNormal"/>
      </w:pPr>
    </w:p>
    <w:p w14:paraId="02D40A88" w14:textId="77777777" w:rsidR="00A8138F" w:rsidRDefault="00A8138F" w:rsidP="00A8138F">
      <w:pPr>
        <w:pStyle w:val="TextoNormal"/>
      </w:pPr>
      <w:r>
        <w:t>Se argumenta, asimismo, que la Directiva contra el terrorismo exige adoptar sanciones penales eficaces, proporcionadas y disuasorias respecto de los delitos definidos en la misma, por lo que perdonarlos mediante la amnistía implica despenalizar esas conductas, siquiera sea de forma selectiva y limitada a un tiempo e intencionalidad determinados, “sin que la normativa europea parezca amparar semejantes excepciones”.</w:t>
      </w:r>
    </w:p>
    <w:p w14:paraId="192B4C3A" w14:textId="77777777" w:rsidR="00A8138F" w:rsidRDefault="00A8138F" w:rsidP="00A8138F">
      <w:pPr>
        <w:pStyle w:val="TextoNormal"/>
      </w:pPr>
    </w:p>
    <w:p w14:paraId="74128D5B" w14:textId="77777777" w:rsidR="00A8138F" w:rsidRDefault="00A8138F" w:rsidP="00A8138F">
      <w:pPr>
        <w:pStyle w:val="TextoNormal"/>
      </w:pPr>
      <w:r>
        <w:t>La exigencia de que el daño o resultado producido lo haya sido de forma intencionada, excluye la posibilidad de apreciar el dolo eventual y hace que los delitos de terrorismo que hubieran violado derechos humanos pero no con dolo directo estén también abarcados por la amnistía, lo que resulta inadmisible desde el punto de vista de las exigencias del Derecho nacional e internacional, sin perjuicio de las dificultades que supone determinar estos extremos antes de que se desarrolle de forma completa el proceso penal.</w:t>
      </w:r>
    </w:p>
    <w:p w14:paraId="6D415A60" w14:textId="77777777" w:rsidR="00A8138F" w:rsidRDefault="00A8138F" w:rsidP="00A8138F">
      <w:pPr>
        <w:pStyle w:val="TextoNormal"/>
      </w:pPr>
    </w:p>
    <w:p w14:paraId="36A0D1CF" w14:textId="77777777" w:rsidR="00A8138F" w:rsidRDefault="00A8138F" w:rsidP="00A8138F">
      <w:pPr>
        <w:pStyle w:val="TextoNormal"/>
      </w:pPr>
      <w:r>
        <w:t>Se afirma, finalmente, que la sanción del terrorismo es necesaria “en garantía de las cláusulas, entre otros, del artículo 1.1 CE y del art. 15 CE”, por lo que la amplitud de la amnistía en este terreno “supone una desprotección de bienes jurídicos esenciales”.</w:t>
      </w:r>
    </w:p>
    <w:p w14:paraId="08B823AF" w14:textId="77777777" w:rsidR="00A8138F" w:rsidRDefault="00A8138F" w:rsidP="00A8138F">
      <w:pPr>
        <w:pStyle w:val="TextoNormal"/>
      </w:pPr>
    </w:p>
    <w:p w14:paraId="06F9FB74" w14:textId="77777777" w:rsidR="00A8138F" w:rsidRDefault="00A8138F" w:rsidP="00A8138F">
      <w:pPr>
        <w:pStyle w:val="TextoNormal"/>
      </w:pPr>
      <w:r>
        <w:t>El art. 2 d) también es inconstitucional, a juicio de los recurrentes, debido a que establece distintos grados de protección a las víctimas de delitos de odio, lo que resulta contrario al principio de seguridad jurídica (art. 9.3 CE), a la igualdad (art. 14 CE) y al derecho a la tutela judicial efectiva (art. 24.1 CE). Según los demandantes, dicho precepto no exceptúa de la amnistía un supuesto delito de odio recogido en los arts. 22 y 510 CP, como es el cometido por “otra clase de discriminación referente a la ideología”.</w:t>
      </w:r>
    </w:p>
    <w:p w14:paraId="38412488" w14:textId="77777777" w:rsidR="00A8138F" w:rsidRDefault="00A8138F" w:rsidP="00A8138F">
      <w:pPr>
        <w:pStyle w:val="TextoNormal"/>
      </w:pPr>
    </w:p>
    <w:p w14:paraId="564652E0" w14:textId="77777777" w:rsidR="00A8138F" w:rsidRDefault="00A8138F" w:rsidP="00A8138F">
      <w:pPr>
        <w:pStyle w:val="TextoNormal"/>
      </w:pPr>
      <w:r>
        <w:t>c) También se solicita la declaración de inconstitucionalidad de los apartados a), b) y d) del art. 4 de la Ley de amnistía por diversas razones:</w:t>
      </w:r>
    </w:p>
    <w:p w14:paraId="356ED24A" w14:textId="77777777" w:rsidR="00A8138F" w:rsidRDefault="00A8138F" w:rsidP="00A8138F">
      <w:pPr>
        <w:pStyle w:val="TextoNormal"/>
      </w:pPr>
    </w:p>
    <w:p w14:paraId="12711138" w14:textId="77777777" w:rsidR="00A8138F" w:rsidRDefault="00A8138F" w:rsidP="00A8138F">
      <w:pPr>
        <w:pStyle w:val="TextoNormal"/>
      </w:pPr>
      <w:r>
        <w:t>El art. 4 a) establece que el órgano judicial que esté conociendo de la causa ordenará “la inmediata puesta en libertad de las personas beneficiarias de la amnistía que se hallaran en prisión ya sea por haberse decretado su prisión provisional o en cumplimiento de condena” así como “el inmediato alzamiento de cualesquiera medidas cautelares de naturaleza personal o real que hubieran sido adoptadas por las acciones u omisiones comprendidas en el ámbito objetivo de la presente ley, con la única salvedad de las medidas de carácter civil a las que se refiere el artículo 8.2”.</w:t>
      </w:r>
    </w:p>
    <w:p w14:paraId="355F6BCD" w14:textId="77777777" w:rsidR="00A8138F" w:rsidRDefault="00A8138F" w:rsidP="00A8138F">
      <w:pPr>
        <w:pStyle w:val="TextoNormal"/>
      </w:pPr>
    </w:p>
    <w:p w14:paraId="2D39EC6E" w14:textId="77777777" w:rsidR="00A8138F" w:rsidRDefault="00A8138F" w:rsidP="00A8138F">
      <w:pPr>
        <w:pStyle w:val="TextoNormal"/>
      </w:pPr>
      <w:r>
        <w:t>La demanda afirma que este precepto vulnera los arts. 24.1 y 117.3 CE, porque elimina la potestad jurisdiccional cautelar, al imponer al juez el levantamiento de las medidas cautelares personales y reales, lo que anticipa la tutela judicial definitiva, impide la ponderación de los elementos fácticos y probatorios del caso, y deja al juez sin margen para mantener una medida cautelar no privativa de libertad o una medida real.</w:t>
      </w:r>
    </w:p>
    <w:p w14:paraId="28EB59DD" w14:textId="77777777" w:rsidR="00A8138F" w:rsidRDefault="00A8138F" w:rsidP="00A8138F">
      <w:pPr>
        <w:pStyle w:val="TextoNormal"/>
      </w:pPr>
    </w:p>
    <w:p w14:paraId="2DAAA750" w14:textId="77777777" w:rsidR="00A8138F" w:rsidRDefault="00A8138F" w:rsidP="00A8138F">
      <w:pPr>
        <w:pStyle w:val="TextoNormal"/>
      </w:pPr>
      <w:r>
        <w:t>El art. 4 b) de la Ley de amnistía dice que el órgano judicial que esté conociendo de la causa “procederá a dejar sin efecto las órdenes de busca y captura e ingreso en prisión de las personas a las que resulte de aplicación esta amnistía, así como las órdenes nacionales, europeas e internacionales de detención”.</w:t>
      </w:r>
    </w:p>
    <w:p w14:paraId="13C89206" w14:textId="77777777" w:rsidR="00A8138F" w:rsidRDefault="00A8138F" w:rsidP="00A8138F">
      <w:pPr>
        <w:pStyle w:val="TextoNormal"/>
      </w:pPr>
    </w:p>
    <w:p w14:paraId="70FFECC7" w14:textId="77777777" w:rsidR="00A8138F" w:rsidRDefault="00A8138F" w:rsidP="00A8138F">
      <w:pPr>
        <w:pStyle w:val="TextoNormal"/>
      </w:pPr>
      <w:r>
        <w:t xml:space="preserve">La demanda sostiene que este precepto incide en el ámbito del Derecho de la Unión Europea, en concreto, en la regulación de las órdenes europeas de detención, con cita de la STJUE de 16 de diciembre de 2021, C-203/20, asunto </w:t>
      </w:r>
      <w:r w:rsidRPr="00A8138F">
        <w:rPr>
          <w:i/>
        </w:rPr>
        <w:t>AB y otros</w:t>
      </w:r>
      <w:r>
        <w:t>, en el punto en que se afirma que el Derecho de la Unión no es aplicable al proceso penal en el que se dicta la orden europea de detención, ya que el referido proceso penal es distinto del procedimiento de emisión de dicha orden, que es el único al que se aplica la Decisión Marco 2002/584/JAI del Consejo, de 13 de junio de 2002, relativa a la orden de detención europea y a los procedimientos de entrega entre Estados miembros.</w:t>
      </w:r>
    </w:p>
    <w:p w14:paraId="129EF48B" w14:textId="77777777" w:rsidR="00A8138F" w:rsidRDefault="00A8138F" w:rsidP="00A8138F">
      <w:pPr>
        <w:pStyle w:val="TextoNormal"/>
      </w:pPr>
    </w:p>
    <w:p w14:paraId="0B46C461" w14:textId="77777777" w:rsidR="00A8138F" w:rsidRDefault="00A8138F" w:rsidP="00A8138F">
      <w:pPr>
        <w:pStyle w:val="TextoNormal"/>
      </w:pPr>
      <w:r>
        <w:t>El art. 4 d) de la Ley de amnistía dice que el órgano judicial que esté conociendo de la causa “procederá a dar por finalizada la ejecución de todas las penas privativas de libertad, privativas de derechos y multa, que hubieran sido impuestas con el carácter de pena principal o de pena accesoria, y que tuvieran su origen en acciones u omisiones que hubieran sido amnistiadas”.</w:t>
      </w:r>
    </w:p>
    <w:p w14:paraId="549AA9C1" w14:textId="77777777" w:rsidR="00A8138F" w:rsidRDefault="00A8138F" w:rsidP="00A8138F">
      <w:pPr>
        <w:pStyle w:val="TextoNormal"/>
      </w:pPr>
    </w:p>
    <w:p w14:paraId="532E8FA5" w14:textId="77777777" w:rsidR="00A8138F" w:rsidRDefault="00A8138F" w:rsidP="00A8138F">
      <w:pPr>
        <w:pStyle w:val="TextoNormal"/>
      </w:pPr>
      <w:r>
        <w:t>La demanda sostiene que este precepto infringe el art. 24.1 CE porque elimina, sin razón, la efectividad de las sentencias condenatorias al imponer al órgano judicial dar por finalizada la ejecución de las penas.</w:t>
      </w:r>
    </w:p>
    <w:p w14:paraId="6DEF3F5E" w14:textId="77777777" w:rsidR="00A8138F" w:rsidRDefault="00A8138F" w:rsidP="00A8138F">
      <w:pPr>
        <w:pStyle w:val="TextoNormal"/>
      </w:pPr>
    </w:p>
    <w:p w14:paraId="0CA300B7" w14:textId="77777777" w:rsidR="00A8138F" w:rsidRDefault="00A8138F" w:rsidP="00A8138F">
      <w:pPr>
        <w:pStyle w:val="TextoNormal"/>
      </w:pPr>
      <w:r>
        <w:t>d) Asimismo, se recurre específicamente el segundo párrafo del art. 7 de la ley impugnada. Esta norma establece la irrepetibilidad de las cantidades abonadas en concepto de multa “salvo las satisfechas por imposición de sanciones al amparo de la Ley Orgánica 4/2015, de 30 de marzo, de protección de la seguridad ciudadana, con excepción de las impuestas por infracciones muy graves, siempre que, a criterio de la Administración que impuso la sanción, se estime que concurren para ello criterios de proporcionalidad”. Dicha regulación lesiona, según los recurrentes, el principio de legalidad sancionadora en su vertiente material, ya que posibilita que la administración actúe de forma “prácticamente libre y arbitraria” a la hora de sancionar determinadas conductas. Por otra parte, se alega en la demanda que dicho precepto también incurre en inconstitucionalidad por infracción de los arts. 9.3, 14 y 25.1 CE debido a que no expone las razones por las que se amnistían determinadas conductas que son constitutivas de infracción administrativa y no otras.</w:t>
      </w:r>
    </w:p>
    <w:p w14:paraId="30F4A8B6" w14:textId="77777777" w:rsidR="00A8138F" w:rsidRDefault="00A8138F" w:rsidP="00A8138F">
      <w:pPr>
        <w:pStyle w:val="TextoNormal"/>
      </w:pPr>
    </w:p>
    <w:p w14:paraId="2D13B440" w14:textId="77777777" w:rsidR="00A8138F" w:rsidRDefault="00A8138F" w:rsidP="00A8138F">
      <w:pPr>
        <w:pStyle w:val="TextoNormal"/>
      </w:pPr>
      <w:r>
        <w:t>e) El art. 8.2 de la Ley también es impugnado. Este precepto establece que “la amnistía otorgada dejará siempre a salvo la responsabilidad civil que pudiera corresponder por los daños sufridos por los particulares, que no se sustanciará ante la jurisdicción penal”. Los recurrentes consideran que es inconstitucional este último inciso debido a que obliga a las víctimas de determinados delitos a acudir a la jurisdicción civil, con los costes que eso conlleva, para instar la tutela de sus derechos e intereses legítimos, lo que vulnera el art. 24.1 CE. Además, sostienen que dicho precepto vulnera los arts. 24.1 y 14 CE por establecer diferencias arbitrarias entre víctimas, ya que las sujetas al régimen general pueden obtener sus indemnizaciones en el marco del proceso penal y con el auxilio del Ministerio Fiscal, sin necesidad de personarse con abogado y procurador en el proceso penal. Sin embargo, las víctimas de delitos cometidos en el contexto del procés no se ven beneficiadas de dicha regulación general, convirtiéndose en víctimas de segundo nivel.</w:t>
      </w:r>
    </w:p>
    <w:p w14:paraId="01A1D8D1" w14:textId="77777777" w:rsidR="00A8138F" w:rsidRDefault="00A8138F" w:rsidP="00A8138F">
      <w:pPr>
        <w:pStyle w:val="TextoNormal"/>
      </w:pPr>
    </w:p>
    <w:p w14:paraId="41B4D901" w14:textId="77777777" w:rsidR="00A8138F" w:rsidRDefault="00A8138F" w:rsidP="00A8138F">
      <w:pPr>
        <w:pStyle w:val="TextoNormal"/>
      </w:pPr>
      <w:r>
        <w:t>f) Se alega la inconstitucionalidad del párrafo segundo del art. 10, en relación con el art. 9.3 de la ley impugnada. Los recurrentes consideran que el inciso “que no tendrán efectos suspensivos” contemplado en el párrafo segundo del art. 10 de la ley impugnada en relación con los posibles recursos es lesivo de los arts. 25.1 y 17.1 CE, toda vez que entra en contradicción con el art. 9.3 de la misma ley que condiciona la eficacia de la amnistía a que se acuerde por resolución firme. Según los recurrentes si “solo es la resolución firme la que dota de eficacia a la amnistía, no se entiende que los recursos hasta el dictado de tal resolución firme no produzcan efectos suspensivos”.</w:t>
      </w:r>
    </w:p>
    <w:p w14:paraId="5BF8E07B" w14:textId="77777777" w:rsidR="00A8138F" w:rsidRDefault="00A8138F" w:rsidP="00A8138F">
      <w:pPr>
        <w:pStyle w:val="TextoNormal"/>
      </w:pPr>
    </w:p>
    <w:p w14:paraId="2ABD4467" w14:textId="77777777" w:rsidR="00A8138F" w:rsidRDefault="00A8138F" w:rsidP="00A8138F">
      <w:pPr>
        <w:pStyle w:val="TextoNormal"/>
      </w:pPr>
      <w:r>
        <w:t>g) Se recurren también específicamente los apartados segundo y tercero del art. 11. Según los demandantes, dichos preceptos, en la medida en que imponen un sobreseimiento libre de determinados procesos —en lugar del provisional que es el que debiera resultar de aplicación—, resultan lesivos del derecho a la tutela judicial efectiva (art. 24.1 CE). Al calificar como libre el sobreseimiento, el precepto impugnado “elimina el poder acudir al recurso de revisión penal frente a un eventual error judicial en el otorgamiento de la amnistía por sobreseimiento libre, y asimismo viene a petrificar (</w:t>
      </w:r>
      <w:r w:rsidRPr="00A8138F">
        <w:rPr>
          <w:i/>
        </w:rPr>
        <w:t>res iudicata</w:t>
      </w:r>
      <w:r>
        <w:t xml:space="preserve"> del sobreseimiento libre equivalente a una sentencia absolutoria) una absolución definitiva, que haría ilusoria una eventual declaración de nulidad en este recurso de inconstitucionalidad”.</w:t>
      </w:r>
    </w:p>
    <w:p w14:paraId="2BE50B74" w14:textId="77777777" w:rsidR="00A8138F" w:rsidRDefault="00A8138F" w:rsidP="00A8138F">
      <w:pPr>
        <w:pStyle w:val="TextoNormal"/>
      </w:pPr>
    </w:p>
    <w:p w14:paraId="1164035F" w14:textId="77777777" w:rsidR="00A8138F" w:rsidRDefault="00A8138F" w:rsidP="00A8138F">
      <w:pPr>
        <w:pStyle w:val="TextoNormal"/>
      </w:pPr>
      <w:r>
        <w:t>h) Por último, se recurren también los apartados segundo y tercero del art. 13. Este precepto establece que el archivo de los procedimientos en el ámbito contable se llevará a efecto únicamente con la intervención del Ministerio Fiscal y de las entidades públicas perjudicadas, sin la audiencia de las demás partes procesales, lesionando así determinados derechos del art. 24 CE, concretamente el derecho de defensa a alegar y probar en el proceso y la igualdad de armas procesales.</w:t>
      </w:r>
    </w:p>
    <w:p w14:paraId="30F01AD7" w14:textId="77777777" w:rsidR="00A8138F" w:rsidRDefault="00A8138F" w:rsidP="00A8138F">
      <w:pPr>
        <w:pStyle w:val="TextoNormal"/>
      </w:pPr>
      <w:r>
        <w:t>E) La demanda termina suplicando que se declare la inconstitucionalidad y nulidad de la ley impugnada o, subsidiariamente, que se estime el motivo cuarto de la demanda y se declare la inconstitucionalidad y nulidad de los arts. 1; 2, apartados a), c) y d); 4, apartados a), b) y d); 7, párrafo segundo; 8, párrafo segundo; 10, párrafo segundo; 11, párrafos segundo y tercero, y 13, párrafos segundo y tercero, de la Ley de amnistía.</w:t>
      </w:r>
    </w:p>
    <w:p w14:paraId="0B14CADE" w14:textId="0642654D" w:rsidR="00A8138F" w:rsidRDefault="00A8138F" w:rsidP="00A8138F">
      <w:pPr>
        <w:pStyle w:val="TextoNormal"/>
      </w:pPr>
      <w:r>
        <w:t>F) Por otrosí se recusa a don Cándido Conde-Pumpido Tourón, presidente del Tribunal; al magistrado don Juan Carlos Campo Moreno y a la magistrada doña Laura Díez Bueso.</w:t>
      </w:r>
    </w:p>
    <w:p w14:paraId="5886A299" w14:textId="77777777" w:rsidR="00A8138F" w:rsidRDefault="00A8138F" w:rsidP="00A8138F">
      <w:pPr>
        <w:pStyle w:val="TextoNormal"/>
      </w:pPr>
    </w:p>
    <w:p w14:paraId="3DEACC4F" w14:textId="77777777" w:rsidR="00A8138F" w:rsidRDefault="00A8138F" w:rsidP="00A8138F">
      <w:pPr>
        <w:pStyle w:val="TextoNormal"/>
      </w:pPr>
      <w:r w:rsidRPr="00A8138F">
        <w:rPr>
          <w:rStyle w:val="NumeroAFNegritaCaracter"/>
        </w:rPr>
        <w:t>2</w:t>
      </w:r>
      <w:r>
        <w:t>. Mediante diligencia de ordenación del secretario de justicia del Pleno de 9 de septiembre de 2024 se tuvo por recibido el escrito de demanda, así como los documentos adjuntos, designándose ponente al magistrado don José María Macías Castaño. Con carácter previo a decidir sobre la admisión a trámite del recurso se acordó conceder al procurador don Manuel Sánchez-Puelles y González-Carvajal un plazo de diez días para que acreditara documentalmente que los diputados y senadores promotores del recurso habían formalizado su voluntad de impugnar la Ley de amnistía dentro del plazo establecido en el art. 33 de la Ley Orgánica del Tribunal Constitucional (LOTC).</w:t>
      </w:r>
    </w:p>
    <w:p w14:paraId="45D0EB95" w14:textId="77777777" w:rsidR="00A8138F" w:rsidRDefault="00A8138F" w:rsidP="00A8138F">
      <w:pPr>
        <w:pStyle w:val="TextoNormal"/>
      </w:pPr>
    </w:p>
    <w:p w14:paraId="4E3E62A9" w14:textId="77777777" w:rsidR="00A8138F" w:rsidRDefault="00A8138F" w:rsidP="00A8138F">
      <w:pPr>
        <w:pStyle w:val="TextoNormal"/>
      </w:pPr>
      <w:r>
        <w:t>El 12 de septiembre de 2024 tuvo entrada en el registro general del Tribunal escrito del procurador don Manuel Sánchez-Puelles y González-Carvajal por el que acompañó los documentos que acreditan la voluntad de 127 senadores y 137 diputados de impugnar la Ley de amnistía. Asimismo, se acompañó: (i) un poder especial otorgado el 10 de septiembre de 2024 por 133 senadores para formular la recusación de don Cándido Conde-Pumpido Tourón, presidente del Tribunal; del magistrado don Juan Carlos Campo Moreno y de la magistrada doña Laura Díez Bueso; (ii) un poder especial para pleitos otorgado por 134 diputados el 11 de septiembre de 2024 para, entre otras facultades, formular la recusación de don Cándido Conde-Pumpido Tourón, presidente del Tribunal; del magistrado don Juan Carlos Campo Moreno y de la magistrada doña Laura Díez Bueso.</w:t>
      </w:r>
    </w:p>
    <w:p w14:paraId="3D42029E" w14:textId="77777777" w:rsidR="00A8138F" w:rsidRDefault="00A8138F" w:rsidP="00A8138F">
      <w:pPr>
        <w:pStyle w:val="TextoNormal"/>
      </w:pPr>
    </w:p>
    <w:p w14:paraId="10004F5A" w14:textId="46561A6F" w:rsidR="00A8138F" w:rsidRDefault="00A8138F" w:rsidP="00A8138F">
      <w:pPr>
        <w:pStyle w:val="TextoNormal"/>
      </w:pPr>
      <w:r>
        <w:t>El 23 de septiembre de 2024 tuvo entrada nuevo escrito del procurador don Manuel Sánchez-Puelles y González-Carvajal en el que, para terminar de dar cumplimiento a la diligencia de ordenación de 9 de septiembre de 2024, acompañó escritos en los que se deja constancia de que seis senadores manifiestan su voluntad de impugnar la Ley de amnistía.</w:t>
      </w:r>
    </w:p>
    <w:p w14:paraId="08BAF361" w14:textId="77777777" w:rsidR="00A8138F" w:rsidRDefault="00A8138F" w:rsidP="00A8138F">
      <w:pPr>
        <w:pStyle w:val="TextoNormal"/>
      </w:pPr>
    </w:p>
    <w:p w14:paraId="2AE2E3A3" w14:textId="0AFBAF78" w:rsidR="00A8138F" w:rsidRDefault="00A8138F" w:rsidP="00A8138F">
      <w:pPr>
        <w:pStyle w:val="TextoNormal"/>
      </w:pPr>
      <w:r w:rsidRPr="00A8138F">
        <w:rPr>
          <w:rStyle w:val="NumeroAFNegritaCaracter"/>
        </w:rPr>
        <w:t>3</w:t>
      </w:r>
      <w:r>
        <w:t>. El día 16 de septiembre de 2024, el magistrado don Juan Carlos Campo Moreno presentó escrito manifestando su voluntad de abstenerse del conocimiento del presente recurso de inconstitucionalidad por considerar que concurre en él la causa prevista en el apartado décimo del art. 219 de la Ley Orgánica del Poder Judicial (LOPJ).</w:t>
      </w:r>
    </w:p>
    <w:p w14:paraId="038003E8" w14:textId="77777777" w:rsidR="00A8138F" w:rsidRDefault="00A8138F" w:rsidP="00A8138F">
      <w:pPr>
        <w:pStyle w:val="TextoNormal"/>
      </w:pPr>
    </w:p>
    <w:p w14:paraId="042D8CC6" w14:textId="225A7831" w:rsidR="00A8138F" w:rsidRDefault="00A8138F" w:rsidP="00A8138F">
      <w:pPr>
        <w:pStyle w:val="TextoNormal"/>
      </w:pPr>
      <w:r w:rsidRPr="00A8138F">
        <w:rPr>
          <w:rStyle w:val="NumeroAFNegritaCaracter"/>
        </w:rPr>
        <w:t>4</w:t>
      </w:r>
      <w:r>
        <w:t>. El Pleno del Tribunal dictó el ATC 91/2024, de 24 de septiembre, estimando justificada la abstención formulada por el magistrado don Juan Carlos Campo Moreno apartándole definitivamente del conocimiento de este recurso de inconstitucionalidad y declarando la pérdida sobrevenida de objeto de la recusación de dicho magistrado instada por los recurrentes.</w:t>
      </w:r>
    </w:p>
    <w:p w14:paraId="3B86F414" w14:textId="77777777" w:rsidR="00A8138F" w:rsidRDefault="00A8138F" w:rsidP="00A8138F">
      <w:pPr>
        <w:pStyle w:val="TextoNormal"/>
      </w:pPr>
    </w:p>
    <w:p w14:paraId="36027C65" w14:textId="186AF98C" w:rsidR="00A8138F" w:rsidRDefault="00A8138F" w:rsidP="00A8138F">
      <w:pPr>
        <w:pStyle w:val="TextoNormal"/>
      </w:pPr>
      <w:r w:rsidRPr="00A8138F">
        <w:rPr>
          <w:rStyle w:val="NumeroAFNegritaCaracter"/>
        </w:rPr>
        <w:t>5</w:t>
      </w:r>
      <w:r>
        <w:t>. El Pleno del Tribunal dictó el ATC 93/2024, de 8 de octubre, por el que acordó inadmitir la recusación promovida por los recurrentes en relación con el presidente de este Tribunal, don Cándido Conde-Pumpido Tourón.</w:t>
      </w:r>
    </w:p>
    <w:p w14:paraId="659FED85" w14:textId="77777777" w:rsidR="00A8138F" w:rsidRDefault="00A8138F" w:rsidP="00A8138F">
      <w:pPr>
        <w:pStyle w:val="TextoNormal"/>
      </w:pPr>
    </w:p>
    <w:p w14:paraId="077CBBEF" w14:textId="5742759F" w:rsidR="00A8138F" w:rsidRDefault="00A8138F" w:rsidP="00A8138F">
      <w:pPr>
        <w:pStyle w:val="TextoNormal"/>
      </w:pPr>
      <w:r w:rsidRPr="00A8138F">
        <w:rPr>
          <w:rStyle w:val="NumeroAFNegritaCaracter"/>
        </w:rPr>
        <w:t>6</w:t>
      </w:r>
      <w:r>
        <w:t>. El Pleno de este tribunal dictó el ATC 105/2024, de 22 de octubre, por el que se acordó inadmitir la recusación de la magistrada doña Laura Díez Bueso promovida por los recurrentes.</w:t>
      </w:r>
    </w:p>
    <w:p w14:paraId="4A1ABFF1" w14:textId="77777777" w:rsidR="00A8138F" w:rsidRDefault="00A8138F" w:rsidP="00A8138F">
      <w:pPr>
        <w:pStyle w:val="TextoNormal"/>
      </w:pPr>
    </w:p>
    <w:p w14:paraId="2F928000" w14:textId="2245598B" w:rsidR="00A8138F" w:rsidRDefault="00A8138F" w:rsidP="00A8138F">
      <w:pPr>
        <w:pStyle w:val="TextoNormal"/>
      </w:pPr>
      <w:r w:rsidRPr="00A8138F">
        <w:rPr>
          <w:rStyle w:val="NumeroAFNegritaCaracter"/>
        </w:rPr>
        <w:t>7</w:t>
      </w:r>
      <w:r>
        <w:t>. El 20 de septiembre de 2024, el abogado del Estado presentó escrito formulando la recusación del magistrado don José María Macías Castaño, suplicando que fuera apartado del conocimiento de este recurso.</w:t>
      </w:r>
    </w:p>
    <w:p w14:paraId="72EB2A1E" w14:textId="77777777" w:rsidR="00A8138F" w:rsidRDefault="00A8138F" w:rsidP="00A8138F">
      <w:pPr>
        <w:pStyle w:val="TextoNormal"/>
      </w:pPr>
    </w:p>
    <w:p w14:paraId="35F4CAC0" w14:textId="0B12F96D" w:rsidR="00A8138F" w:rsidRDefault="00A8138F" w:rsidP="00A8138F">
      <w:pPr>
        <w:pStyle w:val="TextoNormal"/>
      </w:pPr>
      <w:r w:rsidRPr="00A8138F">
        <w:rPr>
          <w:rStyle w:val="NumeroAFNegritaCaracter"/>
        </w:rPr>
        <w:t>8</w:t>
      </w:r>
      <w:r>
        <w:t>. Mediante el ATC 116/2024, de 5 de noviembre, se acordó no admitir a trámite la recusación del magistrado don José María Macías Castaño formulada por el abogado del Estado por considerarse intempestiva.</w:t>
      </w:r>
    </w:p>
    <w:p w14:paraId="3E9B315A" w14:textId="77777777" w:rsidR="00A8138F" w:rsidRDefault="00A8138F" w:rsidP="00A8138F">
      <w:pPr>
        <w:pStyle w:val="TextoNormal"/>
      </w:pPr>
    </w:p>
    <w:p w14:paraId="2460A8C2" w14:textId="24D0472D" w:rsidR="00A8138F" w:rsidRDefault="00A8138F" w:rsidP="00A8138F">
      <w:pPr>
        <w:pStyle w:val="TextoNormal"/>
      </w:pPr>
      <w:r w:rsidRPr="00A8138F">
        <w:rPr>
          <w:rStyle w:val="NumeroAFNegritaCaracter"/>
        </w:rPr>
        <w:t>9</w:t>
      </w:r>
      <w:r>
        <w:t>. El 5 de noviembre de 2024 se dictó providencia por el Pleno del Tribunal por la que se acordó admitir a trámite el recurso de inconstitucionalidad; dar traslado de la demanda y de los documentos presentados, conforme establece el art. 34 LOTC, al Congreso de los Diputados y al Senado, por conducto de sus presidentes, y al Gobierno, a través del ministro de Justicia, al objeto de que, en el plazo de quince días, pudieran personarse en el procedimiento y formular las alegaciones que estimasen convenientes.</w:t>
      </w:r>
    </w:p>
    <w:p w14:paraId="7C819374" w14:textId="77777777" w:rsidR="00A8138F" w:rsidRDefault="00A8138F" w:rsidP="00A8138F">
      <w:pPr>
        <w:pStyle w:val="TextoNormal"/>
      </w:pPr>
    </w:p>
    <w:p w14:paraId="103243E0" w14:textId="070A72A9" w:rsidR="00A8138F" w:rsidRDefault="00A8138F" w:rsidP="00A8138F">
      <w:pPr>
        <w:pStyle w:val="TextoNormal"/>
      </w:pPr>
      <w:r w:rsidRPr="00A8138F">
        <w:rPr>
          <w:rStyle w:val="NumeroAFNegritaCaracter"/>
        </w:rPr>
        <w:t>10</w:t>
      </w:r>
      <w:r>
        <w:t>. Por escrito registrado en este tribunal el 14 de noviembre de 2024, la presidenta del Congreso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14:paraId="6606C64A" w14:textId="77777777" w:rsidR="00A8138F" w:rsidRDefault="00A8138F" w:rsidP="00A8138F">
      <w:pPr>
        <w:pStyle w:val="TextoNormal"/>
      </w:pPr>
    </w:p>
    <w:p w14:paraId="57759FCF" w14:textId="18F69F71" w:rsidR="00A8138F" w:rsidRDefault="00A8138F" w:rsidP="00A8138F">
      <w:pPr>
        <w:pStyle w:val="TextoNormal"/>
      </w:pPr>
      <w:r w:rsidRPr="00A8138F">
        <w:rPr>
          <w:rStyle w:val="NumeroAFNegritaCaracter"/>
        </w:rPr>
        <w:t>11</w:t>
      </w:r>
      <w:r>
        <w:t>. Por escrito registrado en este tribunal el 14 de noviembre de 2024, el presidente del Senado comunicó el acuerdo adoptado por la mesa de la Cámara el día 12 de noviembre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14:paraId="2D382CB4" w14:textId="77777777" w:rsidR="00A8138F" w:rsidRDefault="00A8138F" w:rsidP="00A8138F">
      <w:pPr>
        <w:pStyle w:val="TextoNormal"/>
      </w:pPr>
    </w:p>
    <w:p w14:paraId="2B4B6C16" w14:textId="48ED1CF8" w:rsidR="00A8138F" w:rsidRDefault="00A8138F" w:rsidP="00A8138F">
      <w:pPr>
        <w:pStyle w:val="TextoNormal"/>
      </w:pPr>
      <w:r w:rsidRPr="00A8138F">
        <w:rPr>
          <w:rStyle w:val="NumeroAFNegritaCaracter"/>
        </w:rPr>
        <w:t>12</w:t>
      </w:r>
      <w:r>
        <w:t>. El 20 de noviembre de 2024 se recibió en el registro general del Tribunal escrito del abogado del Estado promoviendo de nuevo la recusación del magistrado don José María Macías Castaño. Por ATC 12/2025, de 29 de enero, con remisión a la argumentación del ATC 6/2025, de 15 de enero, FJ 4, se acordó apartar definitivamente al citado magistrado del conocimiento, entre otros, de este recurso de inconstitucionalidad. Contra dicho auto se interpuso recurso de súplica, que fue desestimado por ATC 35/2025, de 13 de mayo.</w:t>
      </w:r>
    </w:p>
    <w:p w14:paraId="1C1ABBB5" w14:textId="77777777" w:rsidR="00A8138F" w:rsidRDefault="00A8138F" w:rsidP="00A8138F">
      <w:pPr>
        <w:pStyle w:val="TextoNormal"/>
      </w:pPr>
    </w:p>
    <w:p w14:paraId="34BFD989" w14:textId="5FBA4DC1" w:rsidR="00A8138F" w:rsidRDefault="00A8138F" w:rsidP="00A8138F">
      <w:pPr>
        <w:pStyle w:val="TextoNormal"/>
      </w:pPr>
      <w:r w:rsidRPr="00A8138F">
        <w:rPr>
          <w:rStyle w:val="NumeroAFNegritaCaracter"/>
        </w:rPr>
        <w:t>13</w:t>
      </w:r>
      <w:r>
        <w:t>. Mediante escrito que tuvo entrada en el registro general de este tribunal el 26 de noviembre de 2024, el abogado del Estado solicitó que se le tuviera por personado en el presente procedimiento y que se le concediera una prórroga por el máximo legal del plazo concedido para formular alegaciones.</w:t>
      </w:r>
    </w:p>
    <w:p w14:paraId="588F70B3" w14:textId="77777777" w:rsidR="00A8138F" w:rsidRDefault="00A8138F" w:rsidP="00A8138F">
      <w:pPr>
        <w:pStyle w:val="TextoNormal"/>
      </w:pPr>
    </w:p>
    <w:p w14:paraId="5F034D8E" w14:textId="1CC32092" w:rsidR="00A8138F" w:rsidRDefault="00A8138F" w:rsidP="00A8138F">
      <w:pPr>
        <w:pStyle w:val="TextoNormal"/>
      </w:pPr>
      <w:r w:rsidRPr="00A8138F">
        <w:rPr>
          <w:rStyle w:val="NumeroAFNegritaCaracter"/>
        </w:rPr>
        <w:t>14</w:t>
      </w:r>
      <w:r>
        <w:t>. Mediante diligencia de ordenación del secretario de justicia del Pleno del Tribunal de 27 de noviembre de 2025 se acordó tener por personado al abogado del Estado, así como prorrogar en ocho días más el plazo concedido para presentar alegaciones.</w:t>
      </w:r>
    </w:p>
    <w:p w14:paraId="2067B07E" w14:textId="77777777" w:rsidR="00A8138F" w:rsidRDefault="00A8138F" w:rsidP="00A8138F">
      <w:pPr>
        <w:pStyle w:val="TextoNormal"/>
      </w:pPr>
    </w:p>
    <w:p w14:paraId="53B0F665" w14:textId="77777777" w:rsidR="00A8138F" w:rsidRDefault="00A8138F" w:rsidP="00A8138F">
      <w:pPr>
        <w:pStyle w:val="TextoNormal"/>
      </w:pPr>
      <w:r w:rsidRPr="00A8138F">
        <w:rPr>
          <w:rStyle w:val="NumeroAFNegritaCaracter"/>
        </w:rPr>
        <w:t>15</w:t>
      </w:r>
      <w:r>
        <w:t>. El Senado formuló alegaciones mediante escrito registrado en este tribunal el día 28 de noviembre de 2024, en el que se solicita, de manera principal, la declaración de inconstitucionalidad y nulidad de la Ley de amnistía, conforme a los motivos primero, segundo y tercero de la demanda; y de manera subsidiaria, para el caso de estimar únicamente el motivo cuarto de la demanda, la declaración de inconstitucionalidad y nulidad de los arts. 1; 2, apartados a), c) y d); 4, apartados a), b) y d); 7, apartado segundo; 8, apartado segundo; 10, párrafo segundo; 11, apartados segundo y tercero, y 13, apartados segundo y tercero, de la citada ley.</w:t>
      </w:r>
    </w:p>
    <w:p w14:paraId="04E91B0D" w14:textId="77777777" w:rsidR="00A8138F" w:rsidRDefault="00A8138F" w:rsidP="00A8138F">
      <w:pPr>
        <w:pStyle w:val="TextoNormal"/>
      </w:pPr>
    </w:p>
    <w:p w14:paraId="5108079E" w14:textId="77777777" w:rsidR="00A8138F" w:rsidRDefault="00A8138F" w:rsidP="00A8138F">
      <w:pPr>
        <w:pStyle w:val="TextoNormal"/>
      </w:pPr>
      <w:r>
        <w:t>El escrito, después de referir la tramitación en el Congreso de los Diputados y en el Senado de la Ley de amnistía, así como de sintetizar el objeto del recurso de inconstitucionalidad, aprecia que el planteamiento de este coincide con la posición adoptada por la mayoría del Senado. Más concretamente, que las vulneraciones que se denuncian en él se encuentran ya mencionadas en los informes emitidos por la Secretaría General del Senado y distintos escritos presentados por diferentes grupos parlamentarios del Senado durante la tramitación de la proposición de ley y el planteamiento de un conflicto de atribuciones con el Congreso. Según se expresa, “[e]l Senado, por tanto, tiene un interés evidente en personarse y hacer alegaciones en este recurso de inconstitucionalidad en el que se trata de dilucidar la constitucionalidad de la citada norma. Y lo hace, no solo alegando vicios de procedimiento legislativo, como suele ser lo habitual en los recursos de inconstitucionalidad, sino también vulneraciones materiales, porque la denuncia de estas vulneraciones materiales ha sido desde el principio la posición invariable de la Cámara al respecto”.</w:t>
      </w:r>
    </w:p>
    <w:p w14:paraId="2B4D43C5" w14:textId="77777777" w:rsidR="00A8138F" w:rsidRDefault="00A8138F" w:rsidP="00A8138F">
      <w:pPr>
        <w:pStyle w:val="TextoNormal"/>
      </w:pPr>
    </w:p>
    <w:p w14:paraId="535F41B8" w14:textId="77777777" w:rsidR="00A8138F" w:rsidRDefault="00A8138F" w:rsidP="00A8138F">
      <w:pPr>
        <w:pStyle w:val="TextoNormal"/>
      </w:pPr>
      <w:r>
        <w:t>Las alegaciones se estructuran en dos “fundamentos generales” iniciales, en los que se trata: (a) la ausencia de definición en la Constitución y en la Ley de amnistía de lo que es la amnistía y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Española y (e) su condición de ley singular y ley orgánica, mientras que el último fundamento argumenta (f) la inconstitucionalidad de determinados preceptos en consonancia con el formato de la demanda. Las argumentaciones vertidas en estos fundamentos son, en síntesis, las que siguen.</w:t>
      </w:r>
    </w:p>
    <w:p w14:paraId="42267EEB" w14:textId="77777777" w:rsidR="00A8138F" w:rsidRDefault="00A8138F" w:rsidP="00A8138F">
      <w:pPr>
        <w:pStyle w:val="TextoNormal"/>
      </w:pPr>
    </w:p>
    <w:p w14:paraId="2E8B5B04" w14:textId="77777777" w:rsidR="00A8138F" w:rsidRDefault="00A8138F" w:rsidP="00A8138F">
      <w:pPr>
        <w:pStyle w:val="TextoNormal"/>
      </w:pPr>
      <w:r>
        <w:t xml:space="preserve">a) </w:t>
      </w:r>
      <w:r w:rsidRPr="00A8138F">
        <w:rPr>
          <w:i/>
        </w:rPr>
        <w:t>La ausencia de definición en la Constitución y en la Ley de amnistía de lo que es la amnistía y su relación con la certeza y seguridad jurídica</w:t>
      </w:r>
    </w:p>
    <w:p w14:paraId="3EBD9EE7" w14:textId="77777777" w:rsidR="00A8138F" w:rsidRDefault="00A8138F" w:rsidP="00A8138F">
      <w:pPr>
        <w:pStyle w:val="TextoNormal"/>
      </w:pPr>
    </w:p>
    <w:p w14:paraId="7E83174F" w14:textId="77777777" w:rsidR="00A8138F" w:rsidRDefault="00A8138F" w:rsidP="00A8138F">
      <w:pPr>
        <w:pStyle w:val="TextoNormal"/>
      </w:pPr>
      <w:r>
        <w:t>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 “[q]uedan amnistiados”. En particular se opone a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14:paraId="683D641C" w14:textId="77777777" w:rsidR="00A8138F" w:rsidRDefault="00A8138F" w:rsidP="00A8138F">
      <w:pPr>
        <w:pStyle w:val="TextoNormal"/>
      </w:pPr>
    </w:p>
    <w:p w14:paraId="41C8A556" w14:textId="77777777" w:rsidR="00A8138F" w:rsidRDefault="00A8138F" w:rsidP="00A8138F">
      <w:pPr>
        <w:pStyle w:val="TextoNormal"/>
      </w:pPr>
      <w:r>
        <w:t xml:space="preserve">b) </w:t>
      </w:r>
      <w:r w:rsidRPr="00A8138F">
        <w:rPr>
          <w:i/>
        </w:rPr>
        <w:t>La naturaleza de la amnistía</w:t>
      </w:r>
    </w:p>
    <w:p w14:paraId="282894EF" w14:textId="77777777" w:rsidR="00A8138F" w:rsidRDefault="00A8138F" w:rsidP="00A8138F">
      <w:pPr>
        <w:pStyle w:val="TextoNormal"/>
      </w:pPr>
    </w:p>
    <w:p w14:paraId="30681EF8" w14:textId="77777777" w:rsidR="00A8138F" w:rsidRDefault="00A8138F" w:rsidP="00A8138F">
      <w:pPr>
        <w:pStyle w:val="TextoNormal"/>
      </w:pPr>
      <w:r>
        <w:t>Desde la consideración de que “la amnistía es un acto jurídico de negación o, si se prefiere, de extinción de efectos […] ya producidos en el contexto del proceso ordinario y común de aplicación del Derecho”, en este apartado se pone en relación la naturaleza de la amnistía con “tres aspectos básicos de la idea de Estado de Derecho”: la prerrogativa de gracia, el principio de igualdad y el concepto de ley y la distribución de competencias.</w:t>
      </w:r>
    </w:p>
    <w:p w14:paraId="26B115AB" w14:textId="77777777" w:rsidR="00A8138F" w:rsidRDefault="00A8138F" w:rsidP="00A8138F">
      <w:pPr>
        <w:pStyle w:val="TextoNormal"/>
      </w:pPr>
    </w:p>
    <w:p w14:paraId="59EF3D7B" w14:textId="77777777" w:rsidR="00A8138F" w:rsidRDefault="00A8138F" w:rsidP="00A8138F">
      <w:pPr>
        <w:pStyle w:val="TextoNormal"/>
      </w:pPr>
      <w:r>
        <w:t xml:space="preserve">(i) Se razona primero que la amnistía se sitúa junto con el indulto en el derecho o prerrogativa de gracia, consistente en “la renuncia del </w:t>
      </w:r>
      <w:r w:rsidRPr="00A8138F">
        <w:rPr>
          <w:i/>
        </w:rPr>
        <w:t>ius puniendi</w:t>
      </w:r>
      <w:r>
        <w:t xml:space="preserve">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implica que la prerrogativa de gracia sea una potestad que debe ser reconocida de manera expresa y limitada por la Constitución, a juicio del Senado,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el que se acuerde, incluida una perspectiva transicional, y sin perjuicio de la necesidad adicional de no incurrir en arbitrariedad o discriminación.</w:t>
      </w:r>
    </w:p>
    <w:p w14:paraId="5910FEBB" w14:textId="77777777" w:rsidR="00A8138F" w:rsidRDefault="00A8138F" w:rsidP="00A8138F">
      <w:pPr>
        <w:pStyle w:val="TextoNormal"/>
      </w:pPr>
    </w:p>
    <w:p w14:paraId="466C662A" w14:textId="77777777" w:rsidR="00A8138F" w:rsidRDefault="00A8138F" w:rsidP="00A8138F">
      <w:pPr>
        <w:pStyle w:val="TextoNormal"/>
      </w:pPr>
      <w:r>
        <w:t>(ii)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14:paraId="362F0945" w14:textId="77777777" w:rsidR="00A8138F" w:rsidRDefault="00A8138F" w:rsidP="00A8138F">
      <w:pPr>
        <w:pStyle w:val="TextoNormal"/>
      </w:pPr>
    </w:p>
    <w:p w14:paraId="4E5B3589" w14:textId="77777777" w:rsidR="00A8138F" w:rsidRDefault="00A8138F" w:rsidP="00A8138F">
      <w:pPr>
        <w:pStyle w:val="TextoNormal"/>
      </w:pPr>
      <w:r>
        <w:t>(iii)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14:paraId="50319A4F" w14:textId="77777777" w:rsidR="00A8138F" w:rsidRDefault="00A8138F" w:rsidP="00A8138F">
      <w:pPr>
        <w:pStyle w:val="TextoNormal"/>
      </w:pPr>
    </w:p>
    <w:p w14:paraId="15DBF835" w14:textId="77777777" w:rsidR="00A8138F" w:rsidRDefault="00A8138F" w:rsidP="00A8138F">
      <w:pPr>
        <w:pStyle w:val="TextoNormal"/>
      </w:pPr>
      <w:r>
        <w:t>En este punto se recogen referencias de Derecho comparado, alusivas a los sistemas constitucionales en los que hay previsión expresa de la amnistía y a países en que, sin haberla, ha sido permitida, cuya utilidad no empece a que la validez de la ley interna deba acordarse conforme al propio sistema constitucional.</w:t>
      </w:r>
    </w:p>
    <w:p w14:paraId="1D8598CD" w14:textId="77777777" w:rsidR="00A8138F" w:rsidRDefault="00A8138F" w:rsidP="00A8138F">
      <w:pPr>
        <w:pStyle w:val="TextoNormal"/>
      </w:pPr>
    </w:p>
    <w:p w14:paraId="2570B65F" w14:textId="77777777" w:rsidR="00A8138F" w:rsidRDefault="00A8138F" w:rsidP="00A8138F">
      <w:pPr>
        <w:pStyle w:val="TextoNormal"/>
      </w:pPr>
      <w:r>
        <w:t xml:space="preserve">c) </w:t>
      </w:r>
      <w:r w:rsidRPr="00A8138F">
        <w:rPr>
          <w:i/>
        </w:rPr>
        <w:t>Vulneraciones de procedimiento durante la tramitación de la Ley de amnistía en el Congreso de los Diputados</w:t>
      </w:r>
    </w:p>
    <w:p w14:paraId="5ABF8428" w14:textId="77777777" w:rsidR="00A8138F" w:rsidRDefault="00A8138F" w:rsidP="00A8138F">
      <w:pPr>
        <w:pStyle w:val="TextoNormal"/>
      </w:pPr>
    </w:p>
    <w:p w14:paraId="506943EF" w14:textId="77777777" w:rsidR="00A8138F" w:rsidRDefault="00A8138F" w:rsidP="00A8138F">
      <w:pPr>
        <w:pStyle w:val="TextoNormal"/>
      </w:pPr>
      <w:r>
        <w:t>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Ley de amnistía, con la consiguiente vulneración del art. 23 CE.</w:t>
      </w:r>
    </w:p>
    <w:p w14:paraId="0C23DD50" w14:textId="77777777" w:rsidR="00A8138F" w:rsidRDefault="00A8138F" w:rsidP="00A8138F">
      <w:pPr>
        <w:pStyle w:val="TextoNormal"/>
      </w:pPr>
    </w:p>
    <w:p w14:paraId="04A96A39" w14:textId="77777777" w:rsidR="00A8138F" w:rsidRDefault="00A8138F" w:rsidP="00A8138F">
      <w:pPr>
        <w:pStyle w:val="TextoNormal"/>
      </w:pPr>
      <w:r>
        <w:t>De conformidad con lo argumentado en el informe de la Secretaría General del Senado se alegan las siguientes inobservancias de los preceptos que regulan el procedimiento legislativo:</w:t>
      </w:r>
    </w:p>
    <w:p w14:paraId="6DD7EAA0" w14:textId="77777777" w:rsidR="00A8138F" w:rsidRDefault="00A8138F" w:rsidP="00A8138F">
      <w:pPr>
        <w:pStyle w:val="TextoNormal"/>
      </w:pPr>
    </w:p>
    <w:p w14:paraId="256D6289" w14:textId="77777777" w:rsidR="00A8138F" w:rsidRDefault="00A8138F" w:rsidP="00A8138F">
      <w:pPr>
        <w:pStyle w:val="TextoNormal"/>
      </w:pPr>
      <w:r>
        <w:t xml:space="preserve">(i) </w:t>
      </w:r>
      <w:r w:rsidRPr="00A8138F">
        <w:rPr>
          <w:i/>
        </w:rPr>
        <w:t>Rechazo del dictamen del Pleno del Congreso en votación final sobre el conjunto en la sesión plenaria de 30 de enero de 2024 y, pese a ello, devolución a la Comisión de Justicia, con infracción de los arts. 79.2 CE y 79.1 RCD en relación con el art 131.2 RCD</w:t>
      </w:r>
    </w:p>
    <w:p w14:paraId="29CD050A" w14:textId="77777777" w:rsidR="00A8138F" w:rsidRDefault="00A8138F" w:rsidP="00A8138F">
      <w:pPr>
        <w:pStyle w:val="TextoNormal"/>
      </w:pPr>
    </w:p>
    <w:p w14:paraId="1F87B1D9" w14:textId="77777777" w:rsidR="00A8138F" w:rsidRDefault="00A8138F" w:rsidP="00A8138F">
      <w:pPr>
        <w:pStyle w:val="TextoNormal"/>
      </w:pPr>
      <w: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w:t>
      </w:r>
      <w:r w:rsidRPr="00A8138F">
        <w:rPr>
          <w:i/>
        </w:rPr>
        <w:t>in toto</w:t>
      </w:r>
      <w:r>
        <w:t xml:space="preserve">, como decisión final del Pleno del Congreso, y queda, por tanto, decaído el procedimiento legislativo, de modo que, si se desea que la iniciativa vuelva a ser traída a la consideración de las cámaras para su tramitación como ley, debe presentarse de nuevo y comenzar </w:t>
      </w:r>
      <w:r w:rsidRPr="00A8138F">
        <w:rPr>
          <w:i/>
        </w:rPr>
        <w:t>ab initio</w:t>
      </w:r>
      <w:r>
        <w:t xml:space="preserve"> e</w:t>
      </w:r>
      <w:r w:rsidRPr="00A8138F">
        <w:rPr>
          <w:i/>
        </w:rPr>
        <w:t>l it</w:t>
      </w:r>
      <w:r>
        <w:t>er legislativo”.</w:t>
      </w:r>
    </w:p>
    <w:p w14:paraId="3054AAA1" w14:textId="77777777" w:rsidR="00A8138F" w:rsidRDefault="00A8138F" w:rsidP="00A8138F">
      <w:pPr>
        <w:pStyle w:val="TextoNormal"/>
      </w:pPr>
    </w:p>
    <w:p w14:paraId="16DF2E7A" w14:textId="77777777" w:rsidR="00A8138F" w:rsidRDefault="00A8138F" w:rsidP="00A8138F">
      <w:pPr>
        <w:pStyle w:val="TextoNormal"/>
      </w:pPr>
      <w:r>
        <w:t>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14:paraId="1F2F7F1F" w14:textId="77777777" w:rsidR="00A8138F" w:rsidRDefault="00A8138F" w:rsidP="00A8138F">
      <w:pPr>
        <w:pStyle w:val="TextoNormal"/>
      </w:pPr>
    </w:p>
    <w:p w14:paraId="7BDE309D" w14:textId="77777777" w:rsidR="00A8138F" w:rsidRDefault="00A8138F" w:rsidP="00A8138F">
      <w:pPr>
        <w:pStyle w:val="TextoNormal"/>
      </w:pPr>
      <w:r>
        <w:t>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14:paraId="7ADBF86C" w14:textId="77777777" w:rsidR="00A8138F" w:rsidRDefault="00A8138F" w:rsidP="00A8138F">
      <w:pPr>
        <w:pStyle w:val="TextoNormal"/>
      </w:pPr>
    </w:p>
    <w:p w14:paraId="719F7088" w14:textId="77777777" w:rsidR="00A8138F" w:rsidRDefault="00A8138F" w:rsidP="00A8138F">
      <w:pPr>
        <w:pStyle w:val="TextoNormal"/>
      </w:pPr>
      <w:r>
        <w:t xml:space="preserve">Se descarta por último que la inadmisión por ATC 24/2024, del recurso de amparo formulado por el Grupo Parlamentario Vox contra la decisión </w:t>
      </w:r>
      <w:r w:rsidRPr="00A8138F">
        <w:rPr>
          <w:i/>
        </w:rPr>
        <w:t>in voce</w:t>
      </w:r>
      <w:r>
        <w:t xml:space="preserv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14:paraId="622571E9" w14:textId="77777777" w:rsidR="00A8138F" w:rsidRDefault="00A8138F" w:rsidP="00A8138F">
      <w:pPr>
        <w:pStyle w:val="TextoNormal"/>
      </w:pPr>
    </w:p>
    <w:p w14:paraId="1D8C81C8" w14:textId="77777777" w:rsidR="00A8138F" w:rsidRDefault="00A8138F" w:rsidP="00A8138F">
      <w:pPr>
        <w:pStyle w:val="TextoNormal"/>
      </w:pPr>
      <w:r>
        <w:t xml:space="preserve">(ii) </w:t>
      </w:r>
      <w:r w:rsidRPr="00A8138F">
        <w:rPr>
          <w:i/>
        </w:rPr>
        <w:t>Infracción del procedimiento de urgencia con la prórroga de quince días para que la Comisión de Justicia emita un nuevo dictamen</w:t>
      </w:r>
    </w:p>
    <w:p w14:paraId="00630417" w14:textId="77777777" w:rsidR="00A8138F" w:rsidRDefault="00A8138F" w:rsidP="00A8138F">
      <w:pPr>
        <w:pStyle w:val="TextoNormal"/>
      </w:pPr>
    </w:p>
    <w:p w14:paraId="72B18D96" w14:textId="77777777" w:rsidR="00A8138F" w:rsidRDefault="00A8138F" w:rsidP="00A8138F">
      <w:pPr>
        <w:pStyle w:val="TextoNormal"/>
      </w:pPr>
      <w:r>
        <w:t>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art.110 RCD, previsto para el procedimiento ordinario, o en el art. 91 RCD, que debe interpretarse como regulación paralela a la específica del art. 94 RCD.</w:t>
      </w:r>
    </w:p>
    <w:p w14:paraId="0F5454AD" w14:textId="77777777" w:rsidR="00A8138F" w:rsidRDefault="00A8138F" w:rsidP="00A8138F">
      <w:pPr>
        <w:pStyle w:val="TextoNormal"/>
      </w:pPr>
    </w:p>
    <w:p w14:paraId="4AFDABAE" w14:textId="77777777" w:rsidR="00A8138F" w:rsidRDefault="00A8138F" w:rsidP="00A8138F">
      <w:pPr>
        <w:pStyle w:val="TextoNormal"/>
      </w:pPr>
      <w:r>
        <w:t xml:space="preserve">(iii) </w:t>
      </w:r>
      <w:r w:rsidRPr="00A8138F">
        <w:rPr>
          <w:i/>
        </w:rPr>
        <w:t>Falta de emisión de un nuevo dictamen por la Comisión de Justicia, en contra de lo exigido en el art. 131.2 RCD en relación con los arts. 113 y 114 RCD</w:t>
      </w:r>
    </w:p>
    <w:p w14:paraId="7C5DE54E" w14:textId="77777777" w:rsidR="00A8138F" w:rsidRDefault="00A8138F" w:rsidP="00A8138F">
      <w:pPr>
        <w:pStyle w:val="TextoNormal"/>
      </w:pPr>
    </w:p>
    <w:p w14:paraId="36A7E897" w14:textId="77777777" w:rsidR="00A8138F" w:rsidRDefault="00A8138F" w:rsidP="00A8138F">
      <w:pPr>
        <w:pStyle w:val="TextoNormal"/>
      </w:pPr>
      <w:r>
        <w:t>Se defiende que la Comisión de Justicia elaboró un segundo dictamen sin previo informe de la ponencia en contra del procedimiento de doble lectura, ya que partió del antiguo dictamen e introdujo unas enmiendas transaccionales. Esa actuación, contraria al art. 131.2 RCD en relación con los arts. 113 y 114 RCD, fue impulsada por la mesa, que indicó a la Comisión que tuviera en cuenta el anterior dictamen. A su vez, se añade, que la falta de votación de un nuevo informe de la ponencia supuso ignorar la votación de las enmiendas inicialmente presentadas, o transaccionales, no incluidas en el mismo. En tal medida se mantiene que lo votado finalmente en el Pleno del Congreso el día 14 de marzo y luego remitido al Senado es un texto nulo, “resultado de un procedimiento irregular y con una notable falta de transparencia pues es imposible rastrear qué pasó con las mencionadas enmiendas que quedaron vivas en la primera sesión de la Comisión”.</w:t>
      </w:r>
    </w:p>
    <w:p w14:paraId="317AECE6" w14:textId="77777777" w:rsidR="00A8138F" w:rsidRDefault="00A8138F" w:rsidP="00A8138F">
      <w:pPr>
        <w:pStyle w:val="TextoNormal"/>
      </w:pPr>
    </w:p>
    <w:p w14:paraId="2F7648D7" w14:textId="77777777" w:rsidR="00A8138F" w:rsidRDefault="00A8138F" w:rsidP="00A8138F">
      <w:pPr>
        <w:pStyle w:val="TextoNormal"/>
      </w:pPr>
      <w:r>
        <w:t xml:space="preserve">(iv) </w:t>
      </w:r>
      <w:r w:rsidRPr="00A8138F">
        <w:rPr>
          <w:i/>
        </w:rPr>
        <w:t>Conocimiento sorpresivo de las enmiendas transaccionales, en contra del art. 69 RCD, y vulneración de los arts. 79.1 CE y 78.1 RCD</w:t>
      </w:r>
    </w:p>
    <w:p w14:paraId="75AD5DAB" w14:textId="77777777" w:rsidR="00A8138F" w:rsidRDefault="00A8138F" w:rsidP="00A8138F">
      <w:pPr>
        <w:pStyle w:val="TextoNormal"/>
      </w:pPr>
    </w:p>
    <w:p w14:paraId="0F8FE9EF" w14:textId="77777777" w:rsidR="00A8138F" w:rsidRDefault="00A8138F" w:rsidP="00A8138F">
      <w:pPr>
        <w:pStyle w:val="TextoNormal"/>
      </w:pPr>
      <w:r>
        <w:t>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14:paraId="7EEE4E26" w14:textId="77777777" w:rsidR="00A8138F" w:rsidRDefault="00A8138F" w:rsidP="00A8138F">
      <w:pPr>
        <w:pStyle w:val="TextoNormal"/>
      </w:pPr>
    </w:p>
    <w:p w14:paraId="697A4F53" w14:textId="77777777" w:rsidR="00A8138F" w:rsidRDefault="00A8138F" w:rsidP="00A8138F">
      <w:pPr>
        <w:pStyle w:val="TextoNormal"/>
      </w:pPr>
      <w:r>
        <w:t xml:space="preserve">d) </w:t>
      </w:r>
      <w:r w:rsidRPr="00A8138F">
        <w:rPr>
          <w:i/>
        </w:rPr>
        <w:t>La incompatibilidad de la Ley de amnistía con la Constitución</w:t>
      </w:r>
    </w:p>
    <w:p w14:paraId="4761B698" w14:textId="77777777" w:rsidR="00A8138F" w:rsidRDefault="00A8138F" w:rsidP="00A8138F">
      <w:pPr>
        <w:pStyle w:val="TextoNormal"/>
      </w:pPr>
    </w:p>
    <w:p w14:paraId="11D9901D" w14:textId="77777777" w:rsidR="00A8138F" w:rsidRDefault="00A8138F" w:rsidP="00A8138F">
      <w:pPr>
        <w:pStyle w:val="TextoNormal"/>
      </w:pPr>
      <w:r>
        <w:t>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14:paraId="0BA16B55" w14:textId="77777777" w:rsidR="00A8138F" w:rsidRDefault="00A8138F" w:rsidP="00A8138F">
      <w:pPr>
        <w:pStyle w:val="TextoNormal"/>
      </w:pPr>
    </w:p>
    <w:p w14:paraId="5F71882C" w14:textId="77777777" w:rsidR="00A8138F" w:rsidRDefault="00A8138F" w:rsidP="00A8138F">
      <w:pPr>
        <w:pStyle w:val="TextoNormal"/>
      </w:pPr>
      <w:r>
        <w:t xml:space="preserve">(i) </w:t>
      </w:r>
      <w:r w:rsidRPr="00A8138F">
        <w:rPr>
          <w:i/>
        </w:rPr>
        <w:t>Antecedentes históricos, legislativos y parlamentarios</w:t>
      </w:r>
    </w:p>
    <w:p w14:paraId="120651DB" w14:textId="77777777" w:rsidR="00A8138F" w:rsidRDefault="00A8138F" w:rsidP="00A8138F">
      <w:pPr>
        <w:pStyle w:val="TextoNormal"/>
      </w:pPr>
    </w:p>
    <w:p w14:paraId="11176F62" w14:textId="77777777" w:rsidR="00A8138F" w:rsidRDefault="00A8138F" w:rsidP="00A8138F">
      <w:pPr>
        <w:pStyle w:val="TextoNormal"/>
      </w:pPr>
      <w:r>
        <w:t>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la monarquía española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por las Cortes […] [y que] el indulto general, o bien estaba prohibido, o recibía el mismo tratamiento, en cuanto al órgano (las Cortes) y el instrumento (una ley especial) para autorizarlo, que la amnistía”.</w:t>
      </w:r>
    </w:p>
    <w:p w14:paraId="0FCFCAB4" w14:textId="77777777" w:rsidR="00A8138F" w:rsidRDefault="00A8138F" w:rsidP="00A8138F">
      <w:pPr>
        <w:pStyle w:val="TextoNormal"/>
      </w:pPr>
    </w:p>
    <w:p w14:paraId="5F10F40E" w14:textId="77777777" w:rsidR="00A8138F" w:rsidRDefault="00A8138F" w:rsidP="00A8138F">
      <w:pPr>
        <w:pStyle w:val="TextoNormal"/>
      </w:pPr>
      <w:r>
        <w:t>Por lo que atañe a los antecedentes legislativos inmediatos, los circunscribe a la Ley 46/1977,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14:paraId="5D7F0270" w14:textId="77777777" w:rsidR="00A8138F" w:rsidRDefault="00A8138F" w:rsidP="00A8138F">
      <w:pPr>
        <w:pStyle w:val="TextoNormal"/>
      </w:pPr>
    </w:p>
    <w:p w14:paraId="57E3BDDE" w14:textId="77777777" w:rsidR="00A8138F" w:rsidRDefault="00A8138F" w:rsidP="00A8138F">
      <w:pPr>
        <w:pStyle w:val="TextoNormal"/>
      </w:pPr>
      <w:r>
        <w:t>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en la Constitución la amnistía […]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w:t>
      </w:r>
    </w:p>
    <w:p w14:paraId="7CD79F1E" w14:textId="77777777" w:rsidR="00A8138F" w:rsidRDefault="00A8138F" w:rsidP="00A8138F">
      <w:pPr>
        <w:pStyle w:val="TextoNormal"/>
      </w:pPr>
    </w:p>
    <w:p w14:paraId="374994C8" w14:textId="77777777" w:rsidR="00A8138F" w:rsidRDefault="00A8138F" w:rsidP="00A8138F">
      <w:pPr>
        <w:pStyle w:val="TextoNormal"/>
      </w:pPr>
      <w:r>
        <w:t xml:space="preserve">(ii) </w:t>
      </w:r>
      <w:r w:rsidRPr="00A8138F">
        <w:rPr>
          <w:i/>
        </w:rPr>
        <w:t>La amnistía no está habilitada por la Constitución. Las Cortes Generales carecen de competencia para acordarla. La amnistía vulnera la reserva de jurisdicción del Poder Judicial</w:t>
      </w:r>
    </w:p>
    <w:p w14:paraId="7B8FFB8E" w14:textId="77777777" w:rsidR="00A8138F" w:rsidRDefault="00A8138F" w:rsidP="00A8138F">
      <w:pPr>
        <w:pStyle w:val="TextoNormal"/>
      </w:pPr>
    </w:p>
    <w:p w14:paraId="7A5F262A" w14:textId="77777777" w:rsidR="00A8138F" w:rsidRDefault="00A8138F" w:rsidP="00A8138F">
      <w:pPr>
        <w:pStyle w:val="TextoNormal"/>
      </w:pPr>
      <w: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w:t>
      </w:r>
      <w:r w:rsidRPr="00A8138F">
        <w:rPr>
          <w:i/>
        </w:rPr>
        <w:t>a minore ad maius</w:t>
      </w:r>
      <w:r>
        <w:t xml:space="preserve">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14:paraId="7D028A3B" w14:textId="77777777" w:rsidR="00A8138F" w:rsidRDefault="00A8138F" w:rsidP="00A8138F">
      <w:pPr>
        <w:pStyle w:val="TextoNormal"/>
      </w:pPr>
    </w:p>
    <w:p w14:paraId="3EFC55AD" w14:textId="77777777" w:rsidR="00A8138F" w:rsidRDefault="00A8138F" w:rsidP="00A8138F">
      <w:pPr>
        <w:pStyle w:val="TextoNormal"/>
      </w:pPr>
      <w:r>
        <w:t>Un segundo argumento contrario al entendimiento de que la amnistía está habilitada en la Constitución radica, según el Senado, en que, como potestad independiente y excepcional, altera el régimen que establecen los arts. 9.1 CE (sujeción de los poderes públicos y los particulares a la Constitución y el resto del ordenamiento jurídico), 9.3 CE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14:paraId="6168C4C4" w14:textId="77777777" w:rsidR="00A8138F" w:rsidRDefault="00A8138F" w:rsidP="00A8138F">
      <w:pPr>
        <w:pStyle w:val="TextoNormal"/>
      </w:pPr>
    </w:p>
    <w:p w14:paraId="33DA7C37" w14:textId="77777777" w:rsidR="00A8138F" w:rsidRDefault="00A8138F" w:rsidP="00A8138F">
      <w:pPr>
        <w:pStyle w:val="TextoNormal"/>
      </w:pPr>
      <w:r>
        <w:t>A continuación, se defiende que la Ley de amnistía ha vulnerado los límites competenciales de las Cortes Generales previstos en el art. 66.2 CE. El Senado parte de que la amnistía es “un ejemplo de medida o acto singular, pues, en atención a un hecho, su eficacia se agota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w:t>
      </w:r>
      <w:r w:rsidRPr="00A8138F">
        <w:rPr>
          <w:i/>
        </w:rPr>
        <w:t>n ultra vir</w:t>
      </w:r>
      <w:r>
        <w:t>es estricto que no se justifica por el legislador.</w:t>
      </w:r>
    </w:p>
    <w:p w14:paraId="171B51B8" w14:textId="77777777" w:rsidR="00A8138F" w:rsidRDefault="00A8138F" w:rsidP="00A8138F">
      <w:pPr>
        <w:pStyle w:val="TextoNormal"/>
      </w:pPr>
    </w:p>
    <w:p w14:paraId="76EA11B6" w14:textId="77777777" w:rsidR="00A8138F" w:rsidRDefault="00A8138F" w:rsidP="00A8138F">
      <w:pPr>
        <w:pStyle w:val="TextoNormal"/>
      </w:pPr>
      <w: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w:t>
      </w:r>
      <w:r w:rsidRPr="00A8138F">
        <w:rPr>
          <w:i/>
        </w:rPr>
        <w:t>Lilly France c. Francia</w:t>
      </w:r>
      <w:r>
        <w:t>,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14:paraId="4C003EBA" w14:textId="77777777" w:rsidR="00A8138F" w:rsidRDefault="00A8138F" w:rsidP="00A8138F">
      <w:pPr>
        <w:pStyle w:val="TextoNormal"/>
      </w:pPr>
    </w:p>
    <w:p w14:paraId="23B5A9E4" w14:textId="77777777" w:rsidR="00A8138F" w:rsidRDefault="00A8138F" w:rsidP="00A8138F">
      <w:pPr>
        <w:pStyle w:val="TextoNormal"/>
      </w:pPr>
      <w:r>
        <w:t xml:space="preserve">(iii) </w:t>
      </w:r>
      <w:r w:rsidRPr="00A8138F">
        <w:rPr>
          <w:i/>
        </w:rPr>
        <w:t>Contradicción con el art. 9.1 CE. La obligación de cumplimiento de la ley</w:t>
      </w:r>
    </w:p>
    <w:p w14:paraId="323CCDAF" w14:textId="77777777" w:rsidR="00A8138F" w:rsidRDefault="00A8138F" w:rsidP="00A8138F">
      <w:pPr>
        <w:pStyle w:val="TextoNormal"/>
      </w:pPr>
    </w:p>
    <w:p w14:paraId="1BC16EAF" w14:textId="77777777" w:rsidR="00A8138F" w:rsidRDefault="00A8138F" w:rsidP="00A8138F">
      <w:pPr>
        <w:pStyle w:val="TextoNormal"/>
      </w:pPr>
      <w:r>
        <w:t>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14:paraId="6C19E883" w14:textId="77777777" w:rsidR="00A8138F" w:rsidRDefault="00A8138F" w:rsidP="00A8138F">
      <w:pPr>
        <w:pStyle w:val="TextoNormal"/>
      </w:pPr>
    </w:p>
    <w:p w14:paraId="1F349B0F" w14:textId="77777777" w:rsidR="00A8138F" w:rsidRDefault="00A8138F" w:rsidP="00A8138F">
      <w:pPr>
        <w:pStyle w:val="TextoNormal"/>
      </w:pPr>
      <w:r>
        <w:t xml:space="preserve">(iv) </w:t>
      </w:r>
      <w:r w:rsidRPr="00A8138F">
        <w:rPr>
          <w:i/>
        </w:rPr>
        <w:t>Contradicción con el art. 9.3 CE: principio de seguridad jurídica, irretroactividad e interdicción de la arbitrariedad</w:t>
      </w:r>
    </w:p>
    <w:p w14:paraId="23EDAB45" w14:textId="77777777" w:rsidR="00A8138F" w:rsidRDefault="00A8138F" w:rsidP="00A8138F">
      <w:pPr>
        <w:pStyle w:val="TextoNormal"/>
      </w:pPr>
    </w:p>
    <w:p w14:paraId="1FE416CA" w14:textId="77777777" w:rsidR="00A8138F" w:rsidRDefault="00A8138F" w:rsidP="00A8138F">
      <w:pPr>
        <w:pStyle w:val="TextoNormal"/>
      </w:pPr>
      <w:r>
        <w:t xml:space="preserve">El Senado aduce que la Ley de amnistía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w:t>
      </w:r>
      <w:r w:rsidRPr="00A8138F">
        <w:rPr>
          <w:i/>
        </w:rPr>
        <w:t>ius puniendi</w:t>
      </w:r>
      <w:r>
        <w:t xml:space="preserve">.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w:t>
      </w:r>
      <w:r w:rsidRPr="00A8138F">
        <w:rPr>
          <w:i/>
        </w:rPr>
        <w:t>ius puniendi</w:t>
      </w:r>
      <w:r>
        <w:t>,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14:paraId="32E767DA" w14:textId="77777777" w:rsidR="00A8138F" w:rsidRDefault="00A8138F" w:rsidP="00A8138F">
      <w:pPr>
        <w:pStyle w:val="TextoNormal"/>
      </w:pPr>
    </w:p>
    <w:p w14:paraId="2F18ADB8" w14:textId="77777777" w:rsidR="00A8138F" w:rsidRDefault="00A8138F" w:rsidP="00A8138F">
      <w:pPr>
        <w:pStyle w:val="TextoNormal"/>
      </w:pPr>
      <w:r>
        <w:t>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14:paraId="3E673734" w14:textId="77777777" w:rsidR="00A8138F" w:rsidRDefault="00A8138F" w:rsidP="00A8138F">
      <w:pPr>
        <w:pStyle w:val="TextoNormal"/>
      </w:pPr>
    </w:p>
    <w:p w14:paraId="22ED419A" w14:textId="77777777" w:rsidR="00A8138F" w:rsidRDefault="00A8138F" w:rsidP="00A8138F">
      <w:pPr>
        <w:pStyle w:val="TextoNormal"/>
      </w:pPr>
      <w:r>
        <w:t>La Ley de amnistía tampoco satisface, según el Senado, las exigencias de claridad y certeza al delimitar su ámbito objetivo de aplicación material, temporal y subjetivamente en los arts. 1 y 2. No se limita a la preparación y realización de las consultas de 9 de noviembre de 2014 y 1 de octubre de 2017, sino que contempla de manera mucho más amplia actos realizados en el contexto del denominado proceso independentista catalán, en un periodo temporal que tampoco queda definitivamente acotado entre las fechas del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del año 2014 y 2017, o que, directamente, no tengan nada que ver.</w:t>
      </w:r>
    </w:p>
    <w:p w14:paraId="5BBA4B98" w14:textId="77777777" w:rsidR="00A8138F" w:rsidRDefault="00A8138F" w:rsidP="00A8138F">
      <w:pPr>
        <w:pStyle w:val="TextoNormal"/>
      </w:pPr>
    </w:p>
    <w:p w14:paraId="1156C9BD" w14:textId="77777777" w:rsidR="00A8138F" w:rsidRDefault="00A8138F" w:rsidP="00A8138F">
      <w:pPr>
        <w:pStyle w:val="TextoNormal"/>
      </w:pPr>
      <w:r>
        <w:t xml:space="preserve">(v) </w:t>
      </w:r>
      <w:r w:rsidRPr="00A8138F">
        <w:rPr>
          <w:i/>
        </w:rPr>
        <w:t>Infracción de los arts. 14 y 9.3 CE en cuanto a la interdicción de la arbitrariedad de los poderes públicos, así como la libertad ideológica garantizada en el art. 16.1 y 2 CE. La arbitrariedad del móvil exculpatorio</w:t>
      </w:r>
    </w:p>
    <w:p w14:paraId="3654D02A" w14:textId="77777777" w:rsidR="00A8138F" w:rsidRDefault="00A8138F" w:rsidP="00A8138F">
      <w:pPr>
        <w:pStyle w:val="TextoNormal"/>
      </w:pPr>
    </w:p>
    <w:p w14:paraId="210C26B6" w14:textId="77777777" w:rsidR="00A8138F" w:rsidRDefault="00A8138F" w:rsidP="00A8138F">
      <w:pPr>
        <w:pStyle w:val="TextoNormal"/>
      </w:pPr>
      <w:r>
        <w:t>En este apartado se reitera de inicio que toda amnistía, por definición, conlleva una diferencia de trato difícil de justificar, y la Ley de amnistía, de manera particular, porque parte de la base de diferenciar un colectivo frente a otros exclusivamente por razón de su ideología, lo que constituye una discriminación cometida por el legislador incursa necesariamente en arbitrariedad y, por ello, incompatible con los arts. 14 y 9.3 CE.</w:t>
      </w:r>
    </w:p>
    <w:p w14:paraId="30197725" w14:textId="77777777" w:rsidR="00A8138F" w:rsidRDefault="00A8138F" w:rsidP="00A8138F">
      <w:pPr>
        <w:pStyle w:val="TextoNormal"/>
      </w:pPr>
    </w:p>
    <w:p w14:paraId="40212C45" w14:textId="77777777" w:rsidR="00A8138F" w:rsidRDefault="00A8138F" w:rsidP="00A8138F">
      <w:pPr>
        <w:pStyle w:val="TextoNormal"/>
      </w:pPr>
      <w:r>
        <w:t>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14:paraId="0D7D6664" w14:textId="77777777" w:rsidR="00A8138F" w:rsidRDefault="00A8138F" w:rsidP="00A8138F">
      <w:pPr>
        <w:pStyle w:val="TextoNormal"/>
      </w:pPr>
    </w:p>
    <w:p w14:paraId="213EBA97" w14:textId="77777777" w:rsidR="00A8138F" w:rsidRDefault="00A8138F" w:rsidP="00A8138F">
      <w:pPr>
        <w:pStyle w:val="TextoNormal"/>
      </w:pPr>
      <w:r>
        <w:t>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14:paraId="699F2702" w14:textId="77777777" w:rsidR="00A8138F" w:rsidRDefault="00A8138F" w:rsidP="00A8138F">
      <w:pPr>
        <w:pStyle w:val="TextoNormal"/>
      </w:pPr>
    </w:p>
    <w:p w14:paraId="5635C85E" w14:textId="77777777" w:rsidR="00A8138F" w:rsidRDefault="00A8138F" w:rsidP="00A8138F">
      <w:pPr>
        <w:pStyle w:val="TextoNormal"/>
      </w:pPr>
      <w:r>
        <w:t>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inhibitorio —</w:t>
      </w:r>
      <w:r w:rsidRPr="00A8138F">
        <w:rPr>
          <w:i/>
        </w:rPr>
        <w:t>chilling effect</w:t>
      </w:r>
      <w:r>
        <w: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14:paraId="1276DE24" w14:textId="77777777" w:rsidR="00A8138F" w:rsidRDefault="00A8138F" w:rsidP="00A8138F">
      <w:pPr>
        <w:pStyle w:val="TextoNormal"/>
      </w:pPr>
    </w:p>
    <w:p w14:paraId="716A3010" w14:textId="77777777" w:rsidR="00A8138F" w:rsidRDefault="00A8138F" w:rsidP="00A8138F">
      <w:pPr>
        <w:pStyle w:val="TextoNormal"/>
      </w:pPr>
      <w:r>
        <w:t>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14:paraId="769CB708" w14:textId="77777777" w:rsidR="00A8138F" w:rsidRDefault="00A8138F" w:rsidP="00A8138F">
      <w:pPr>
        <w:pStyle w:val="TextoNormal"/>
      </w:pPr>
    </w:p>
    <w:p w14:paraId="68A751D8" w14:textId="77777777" w:rsidR="00A8138F" w:rsidRDefault="00A8138F" w:rsidP="00A8138F">
      <w:pPr>
        <w:pStyle w:val="TextoNormal"/>
      </w:pPr>
      <w:r>
        <w:t>(vi</w:t>
      </w:r>
      <w:r w:rsidRPr="00A8138F">
        <w:rPr>
          <w:i/>
        </w:rPr>
        <w:t xml:space="preserve">) Vulneración de los arts. 168 o 167 </w:t>
      </w:r>
      <w:r>
        <w:t>CE</w:t>
      </w:r>
    </w:p>
    <w:p w14:paraId="555FF293" w14:textId="77777777" w:rsidR="00A8138F" w:rsidRDefault="00A8138F" w:rsidP="00A8138F">
      <w:pPr>
        <w:pStyle w:val="TextoNormal"/>
      </w:pPr>
    </w:p>
    <w:p w14:paraId="01462EC5" w14:textId="77777777" w:rsidR="00A8138F" w:rsidRDefault="00A8138F" w:rsidP="00A8138F">
      <w:pPr>
        <w:pStyle w:val="TextoNormal"/>
      </w:pPr>
      <w:r>
        <w:t>El Senado aduce, a continuación, que la amnistía aprobada en la Ley 1/2024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14:paraId="5F922EAD" w14:textId="77777777" w:rsidR="00A8138F" w:rsidRDefault="00A8138F" w:rsidP="00A8138F">
      <w:pPr>
        <w:pStyle w:val="TextoNormal"/>
      </w:pPr>
    </w:p>
    <w:p w14:paraId="04EF547D" w14:textId="77777777" w:rsidR="00A8138F" w:rsidRDefault="00A8138F" w:rsidP="00A8138F">
      <w:pPr>
        <w:pStyle w:val="TextoNormal"/>
      </w:pPr>
      <w:r>
        <w:t>e</w:t>
      </w:r>
      <w:r w:rsidRPr="00A8138F">
        <w:rPr>
          <w:i/>
        </w:rPr>
        <w:t>) La Ley de amnistía como ley singular y como ley orgáni</w:t>
      </w:r>
      <w:r>
        <w:t>ca</w:t>
      </w:r>
    </w:p>
    <w:p w14:paraId="5BDDCB84" w14:textId="77777777" w:rsidR="00A8138F" w:rsidRDefault="00A8138F" w:rsidP="00A8138F">
      <w:pPr>
        <w:pStyle w:val="TextoNormal"/>
      </w:pPr>
    </w:p>
    <w:p w14:paraId="00FEBA56" w14:textId="77777777" w:rsidR="00A8138F" w:rsidRDefault="00A8138F" w:rsidP="00A8138F">
      <w:pPr>
        <w:pStyle w:val="TextoNormal"/>
      </w:pPr>
      <w:r>
        <w:t>El Senado, en el fundamento de Derecho sexto de su escrito de alegaciones, examina la Ley de amnistía como ley singular y como ley orgánica.</w:t>
      </w:r>
    </w:p>
    <w:p w14:paraId="5C99D18F" w14:textId="77777777" w:rsidR="00A8138F" w:rsidRDefault="00A8138F" w:rsidP="00A8138F">
      <w:pPr>
        <w:pStyle w:val="TextoNormal"/>
      </w:pPr>
    </w:p>
    <w:p w14:paraId="6FA2F3A5" w14:textId="77777777" w:rsidR="00A8138F" w:rsidRDefault="00A8138F" w:rsidP="00A8138F">
      <w:pPr>
        <w:pStyle w:val="TextoNormal"/>
      </w:pPr>
      <w:r>
        <w:t>(i)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14:paraId="505675CF" w14:textId="77777777" w:rsidR="00A8138F" w:rsidRDefault="00A8138F" w:rsidP="00A8138F">
      <w:pPr>
        <w:pStyle w:val="TextoNormal"/>
      </w:pPr>
    </w:p>
    <w:p w14:paraId="3951402B" w14:textId="77777777" w:rsidR="00A8138F" w:rsidRDefault="00A8138F" w:rsidP="00A8138F">
      <w:pPr>
        <w:pStyle w:val="TextoNormal"/>
      </w:pPr>
      <w:r>
        <w:t>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de amnistía,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14:paraId="0C9E5069" w14:textId="77777777" w:rsidR="00A8138F" w:rsidRDefault="00A8138F" w:rsidP="00A8138F">
      <w:pPr>
        <w:pStyle w:val="TextoNormal"/>
      </w:pPr>
    </w:p>
    <w:p w14:paraId="47DA3036" w14:textId="77777777" w:rsidR="00A8138F" w:rsidRDefault="00A8138F" w:rsidP="00A8138F">
      <w:pPr>
        <w:pStyle w:val="TextoNormal"/>
      </w:pPr>
      <w:r>
        <w:t>(ii)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14:paraId="5B14D022" w14:textId="77777777" w:rsidR="00A8138F" w:rsidRDefault="00A8138F" w:rsidP="00A8138F">
      <w:pPr>
        <w:pStyle w:val="TextoNormal"/>
      </w:pPr>
    </w:p>
    <w:p w14:paraId="00E4F1EC" w14:textId="77777777" w:rsidR="00A8138F" w:rsidRDefault="00A8138F" w:rsidP="00A8138F">
      <w:pPr>
        <w:pStyle w:val="TextoNormal"/>
      </w:pPr>
      <w:r>
        <w:t>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de amnistía,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14:paraId="23E81003" w14:textId="77777777" w:rsidR="00A8138F" w:rsidRDefault="00A8138F" w:rsidP="00A8138F">
      <w:pPr>
        <w:pStyle w:val="TextoNormal"/>
      </w:pPr>
    </w:p>
    <w:p w14:paraId="194EA3B4" w14:textId="77777777" w:rsidR="00A8138F" w:rsidRDefault="00A8138F" w:rsidP="00A8138F">
      <w:pPr>
        <w:pStyle w:val="TextoNormal"/>
      </w:pPr>
      <w:r>
        <w:t>f</w:t>
      </w:r>
      <w:r w:rsidRPr="00A8138F">
        <w:rPr>
          <w:i/>
        </w:rPr>
        <w:t>) Inconstitucionalidad de determinados preceptos de la Ley de amnist</w:t>
      </w:r>
      <w:r>
        <w:t>ía</w:t>
      </w:r>
    </w:p>
    <w:p w14:paraId="66542BE5" w14:textId="77777777" w:rsidR="00A8138F" w:rsidRDefault="00A8138F" w:rsidP="00A8138F">
      <w:pPr>
        <w:pStyle w:val="TextoNormal"/>
      </w:pPr>
    </w:p>
    <w:p w14:paraId="4BB653E4" w14:textId="77777777" w:rsidR="00A8138F" w:rsidRDefault="00A8138F" w:rsidP="00A8138F">
      <w:pPr>
        <w:pStyle w:val="TextoNormal"/>
      </w:pPr>
      <w:r>
        <w:t>El Senado, en el fundamento de Derecho séptimo de su escrito de alegaciones, con carácter subsidiario para el caso de que no se declarase la inconstitucionalidad completa de la Ley de amnistía, considera que incurren en inconstitucionalidad los siguientes preceptos:</w:t>
      </w:r>
    </w:p>
    <w:p w14:paraId="6EC2C1FE" w14:textId="77777777" w:rsidR="00A8138F" w:rsidRDefault="00A8138F" w:rsidP="00A8138F">
      <w:pPr>
        <w:pStyle w:val="TextoNormal"/>
      </w:pPr>
    </w:p>
    <w:p w14:paraId="24A6DE3B" w14:textId="77777777" w:rsidR="00A8138F" w:rsidRDefault="00A8138F" w:rsidP="00A8138F">
      <w:pPr>
        <w:pStyle w:val="TextoNormal"/>
      </w:pPr>
      <w:r>
        <w:t>(i)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CP, lo que pudiera representar una discriminación incompatible con la libertad ideológica.</w:t>
      </w:r>
    </w:p>
    <w:p w14:paraId="3FD66767" w14:textId="77777777" w:rsidR="00A8138F" w:rsidRDefault="00A8138F" w:rsidP="00A8138F">
      <w:pPr>
        <w:pStyle w:val="TextoNormal"/>
      </w:pPr>
    </w:p>
    <w:p w14:paraId="28A7C299" w14:textId="77777777" w:rsidR="00A8138F" w:rsidRDefault="00A8138F" w:rsidP="00A8138F">
      <w:pPr>
        <w:pStyle w:val="TextoNormal"/>
      </w:pPr>
      <w:r>
        <w:t>(ii)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14:paraId="49B1A841" w14:textId="77777777" w:rsidR="00A8138F" w:rsidRDefault="00A8138F" w:rsidP="00A8138F">
      <w:pPr>
        <w:pStyle w:val="TextoNormal"/>
      </w:pPr>
    </w:p>
    <w:p w14:paraId="2B63ED7A" w14:textId="77777777" w:rsidR="00A8138F" w:rsidRDefault="00A8138F" w:rsidP="00A8138F">
      <w:pPr>
        <w:pStyle w:val="TextoNormal"/>
      </w:pPr>
      <w:r>
        <w:t>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14:paraId="3AB4D56B" w14:textId="77777777" w:rsidR="00A8138F" w:rsidRDefault="00A8138F" w:rsidP="00A8138F">
      <w:pPr>
        <w:pStyle w:val="TextoNormal"/>
      </w:pPr>
    </w:p>
    <w:p w14:paraId="2A6307CC" w14:textId="77777777" w:rsidR="00A8138F" w:rsidRDefault="00A8138F" w:rsidP="00A8138F">
      <w:pPr>
        <w:pStyle w:val="TextoNormal"/>
      </w:pPr>
      <w: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C-408/161, asunto </w:t>
      </w:r>
      <w:r w:rsidRPr="00A8138F">
        <w:rPr>
          <w:i/>
        </w:rPr>
        <w:t>Compania Naţională de Administrare a Infrastructurii Rutiere S.A., c. Ministerul Fondurilor Europene - Direcţia Generală Managementul Fondurilor Externe</w:t>
      </w:r>
      <w:r>
        <w:t>) y cuyo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221, asunt</w:t>
      </w:r>
      <w:r w:rsidRPr="00A8138F">
        <w:rPr>
          <w:i/>
        </w:rPr>
        <w:t>o Euro Box Promotion y otr</w:t>
      </w:r>
      <w:r>
        <w:t>os, C-357/19).</w:t>
      </w:r>
    </w:p>
    <w:p w14:paraId="03BCD3E4" w14:textId="77777777" w:rsidR="00A8138F" w:rsidRDefault="00A8138F" w:rsidP="00A8138F">
      <w:pPr>
        <w:pStyle w:val="TextoNormal"/>
      </w:pPr>
    </w:p>
    <w:p w14:paraId="0365F1E3" w14:textId="77777777" w:rsidR="00A8138F" w:rsidRDefault="00A8138F" w:rsidP="00A8138F">
      <w:pPr>
        <w:pStyle w:val="TextoNormal"/>
      </w:pPr>
      <w:r>
        <w:t>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CE en relación con los arts. 103.4 y 31.2 CE.</w:t>
      </w:r>
    </w:p>
    <w:p w14:paraId="2910CECA" w14:textId="77777777" w:rsidR="00A8138F" w:rsidRDefault="00A8138F" w:rsidP="00A8138F">
      <w:pPr>
        <w:pStyle w:val="TextoNormal"/>
      </w:pPr>
    </w:p>
    <w:p w14:paraId="76E3B8F1" w14:textId="4CBE43A7" w:rsidR="00A8138F" w:rsidRDefault="00A8138F" w:rsidP="00A8138F">
      <w:pPr>
        <w:pStyle w:val="TextoNormal"/>
      </w:pPr>
      <w:r>
        <w:t>(iv) En relación con el terrorismo, el Senado sostiene que el art. 2 c) es inconstitucional, porque excluye de la amnistía los actos que hayan causado de forma intencionada graves violaciones de derechos humanos, en particular las reguladas en los arts. 2 y 3 CEDH y en el Derecho internacional humanitario, lo que deja dentro del ámbito de la amnistía otros actos que la Directiva (UE) 2017/541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de la Comisión de Venecia, de 15 de marzo de 2024,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14:paraId="5040C244" w14:textId="77777777" w:rsidR="00A8138F" w:rsidRDefault="00A8138F" w:rsidP="00A8138F">
      <w:pPr>
        <w:pStyle w:val="TextoNormal"/>
      </w:pPr>
    </w:p>
    <w:p w14:paraId="3F5E40A1" w14:textId="77777777" w:rsidR="00A8138F" w:rsidRDefault="00A8138F" w:rsidP="00A8138F">
      <w:pPr>
        <w:pStyle w:val="TextoNormal"/>
      </w:pPr>
      <w:r w:rsidRPr="00A8138F">
        <w:rPr>
          <w:rStyle w:val="NumeroAFNegritaCaracter"/>
        </w:rPr>
        <w:t>16</w:t>
      </w:r>
      <w:r>
        <w:t>. El 28 de noviembre de 2024,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14:paraId="0B5D34C2" w14:textId="77777777" w:rsidR="00A8138F" w:rsidRDefault="00A8138F" w:rsidP="00A8138F">
      <w:pPr>
        <w:pStyle w:val="TextoNormal"/>
      </w:pPr>
    </w:p>
    <w:p w14:paraId="555A80EF" w14:textId="77777777" w:rsidR="00A8138F" w:rsidRDefault="00A8138F" w:rsidP="00A8138F">
      <w:pPr>
        <w:pStyle w:val="TextoNormal"/>
      </w:pPr>
      <w:r>
        <w:t>A) Tras exponer prolijamente la tramitación del procedimiento legislativo que dio lugar a la aprobación de la ley recurrida, explica que el presente recurso contiene, en lo que se refiere a las decisiones relativas a la tramitación de la ley: (i) una serie de consideraciones genéricas, sobre el rechazo a la amnistía por parte de la mayoría de los representantes del pueblo español, el momento de la tramitación y la ausencia de informes; (ii) una suerte de alegación implícita, en relación con la calificación y admisión a trámite de la iniciativa por la mesa de la Cámara y (iii) tres vicios procedimentales concretos. Estos argumentos se analizan de forma sucesiva, agrupándose en cinco alegaciones.</w:t>
      </w:r>
    </w:p>
    <w:p w14:paraId="0CFA06C4" w14:textId="77777777" w:rsidR="00A8138F" w:rsidRDefault="00A8138F" w:rsidP="00A8138F">
      <w:pPr>
        <w:pStyle w:val="TextoNormal"/>
      </w:pPr>
    </w:p>
    <w:p w14:paraId="78178D8B" w14:textId="77777777" w:rsidR="00A8138F" w:rsidRDefault="00A8138F" w:rsidP="00A8138F">
      <w:pPr>
        <w:pStyle w:val="TextoNormal"/>
      </w:pPr>
      <w:r>
        <w:t xml:space="preserve">a) </w:t>
      </w:r>
      <w:r w:rsidRPr="00A8138F">
        <w:rPr>
          <w:i/>
        </w:rPr>
        <w:t>Sobre el consenso social y político</w:t>
      </w:r>
    </w:p>
    <w:p w14:paraId="5D94515B" w14:textId="77777777" w:rsidR="00A8138F" w:rsidRDefault="00A8138F" w:rsidP="00A8138F">
      <w:pPr>
        <w:pStyle w:val="TextoNormal"/>
      </w:pPr>
    </w:p>
    <w:p w14:paraId="02912077" w14:textId="77777777" w:rsidR="00A8138F" w:rsidRDefault="00A8138F" w:rsidP="00A8138F">
      <w:pPr>
        <w:pStyle w:val="TextoNormal"/>
      </w:pPr>
      <w:r>
        <w:t>La letrada de las Cortes Generales pone de relieve que el primer razonamiento de los recurrentes se construye sobre un argumento más político que jurídico, cual es señalar que la norma fue rechazada por los representantes del titular de la soberanía al haber obtenido más votos en contra que a favor. Refiere que tal conclusión se alcanza de combinar el resultado de la votación final de conjunto en la sesión plenaria del Congreso de los Diputados del 14 de marzo de 2024 y el de la votación del veto en la sesión plenaria del Senado del 14 de mayo de 2024, agregando los apoyos a la proposición de ley orgánica con las oposiciones al veto, y viceversa. Para los recurrentes, ello supone que quienes representan al pueblo español han rechazado la amnistía, pero la representante del Congreso de los Diputados rechaza esta tesis por varias razones.</w:t>
      </w:r>
    </w:p>
    <w:p w14:paraId="05214385" w14:textId="77777777" w:rsidR="00A8138F" w:rsidRDefault="00A8138F" w:rsidP="00A8138F">
      <w:pPr>
        <w:pStyle w:val="TextoNormal"/>
      </w:pPr>
    </w:p>
    <w:p w14:paraId="5441CC28" w14:textId="77777777" w:rsidR="00A8138F" w:rsidRDefault="00A8138F" w:rsidP="00A8138F">
      <w:pPr>
        <w:pStyle w:val="TextoNormal"/>
      </w:pPr>
      <w:r>
        <w:t>En primer lugar, por partir de una premisa contraria a la lógica parlamentaria, al acumular votos emitidos en distintas fases del procedimiento y en cámaras también diferentes, obviando que el objeto y el efecto jurídico de una votación y otra son diversos. Manifestarse en contra del texto sometido a votación en el Congreso de los Diputados supone no estar conforme con un concreto texto articulado, pero no necesariamente un rechazo frontal, pues no puede descartarse que se quisieran introducir enmiendas. Por tanto, de las sumas que realizan los recurrentes no se pueden establecer correspondencias unívocas ni extraer conclusiones jurídicamente relevantes.</w:t>
      </w:r>
    </w:p>
    <w:p w14:paraId="2AFB4130" w14:textId="77777777" w:rsidR="00A8138F" w:rsidRDefault="00A8138F" w:rsidP="00A8138F">
      <w:pPr>
        <w:pStyle w:val="TextoNormal"/>
      </w:pPr>
    </w:p>
    <w:p w14:paraId="498A463C" w14:textId="77777777" w:rsidR="00A8138F" w:rsidRDefault="00A8138F" w:rsidP="00A8138F">
      <w:pPr>
        <w:pStyle w:val="TextoNormal"/>
      </w:pPr>
      <w:r>
        <w:t>En segundo lugar, porque el procedimiento parlamentario establecido constitucional y reglamentariamente no prevé sesión conjunta de los integrantes de ambas cámaras, por lo que no puede inferirse de las dos votaciones plenarias una declaración común en el sentido indicado por los recurrentes.</w:t>
      </w:r>
    </w:p>
    <w:p w14:paraId="3D06B258" w14:textId="77777777" w:rsidR="00A8138F" w:rsidRDefault="00A8138F" w:rsidP="00A8138F">
      <w:pPr>
        <w:pStyle w:val="TextoNormal"/>
      </w:pPr>
    </w:p>
    <w:p w14:paraId="7ACDFBEE" w14:textId="77777777" w:rsidR="00A8138F" w:rsidRDefault="00A8138F" w:rsidP="00A8138F">
      <w:pPr>
        <w:pStyle w:val="TextoNormal"/>
      </w:pPr>
      <w:r>
        <w:t xml:space="preserve">b) </w:t>
      </w:r>
      <w:r w:rsidRPr="00A8138F">
        <w:rPr>
          <w:i/>
        </w:rPr>
        <w:t>Sobre los requisitos formales, materiales y temporales en la tramitación de la proposición de ley recurrida</w:t>
      </w:r>
    </w:p>
    <w:p w14:paraId="748429AF" w14:textId="77777777" w:rsidR="00A8138F" w:rsidRDefault="00A8138F" w:rsidP="00A8138F">
      <w:pPr>
        <w:pStyle w:val="TextoNormal"/>
      </w:pPr>
    </w:p>
    <w:p w14:paraId="4BAD58B9" w14:textId="77777777" w:rsidR="00A8138F" w:rsidRDefault="00A8138F" w:rsidP="00A8138F">
      <w:pPr>
        <w:pStyle w:val="TextoNormal"/>
      </w:pPr>
      <w:r>
        <w:t>En este punto se desgrana la regulación constitucional y legal de la presentación de proyectos y proposiciones de ley y, en particular, la documentación que debe acompañar a los diferentes tipos de iniciativas legislativas, así como los eventuales límites materiales relativos a su contenido, y el ejercicio de la iniciativa legislativa por parte de los diputados y senadores al inicio de su mandato, en el periodo comprendido entre la constitución de las cámaras y la investidura del presidente del Gobierno. A continuación, la letrada de las Cortes Generales concluye que la calificación de la iniciativa por la mesa de la Cámara se realizó correctamente y sin infracción del procedimiento legislativo que afecte al núcleo de la función representativa reconocida en el art. 23 CE. Ello porque:</w:t>
      </w:r>
    </w:p>
    <w:p w14:paraId="0AFDE50E" w14:textId="77777777" w:rsidR="00A8138F" w:rsidRDefault="00A8138F" w:rsidP="00A8138F">
      <w:pPr>
        <w:pStyle w:val="TextoNormal"/>
      </w:pPr>
    </w:p>
    <w:p w14:paraId="23D8D2D8" w14:textId="77777777" w:rsidR="00A8138F" w:rsidRDefault="00A8138F" w:rsidP="00A8138F">
      <w:pPr>
        <w:pStyle w:val="TextoNormal"/>
      </w:pPr>
      <w:r>
        <w:t>(i) Frente a la minuciosa regulación legal de la fase preparatoria de los proyectos de ley, la iniciativa legislativa de las cámaras cuenta con una escueta regulación. Esta solo exige que la proposición vaya acompañada de una exposición de motivos y de los antecedentes necesarios para poder pronunciarse sobre ella, regula la legitimación para su presentación y los trámites que tienen que seguirse tras su ejercicio. En ningún caso se exigen dictámenes o informes de carácter preceptivo y no cabe asimilar los requisitos de los proyectos a las proposiciones de ley. Así lo ha señalado la doctrina constitucional (por todas, STC 149/2023, de 7 de noviembre), concurriendo razones lógicas que derivan del principio de separación de poderes y de la autonomía normativa y organizativa de la Cámara.</w:t>
      </w:r>
    </w:p>
    <w:p w14:paraId="1331AF82" w14:textId="77777777" w:rsidR="00A8138F" w:rsidRDefault="00A8138F" w:rsidP="00A8138F">
      <w:pPr>
        <w:pStyle w:val="TextoNormal"/>
      </w:pPr>
    </w:p>
    <w:p w14:paraId="04FFD0EE" w14:textId="77777777" w:rsidR="00A8138F" w:rsidRDefault="00A8138F" w:rsidP="00A8138F">
      <w:pPr>
        <w:pStyle w:val="TextoNormal"/>
      </w:pPr>
      <w:r>
        <w:t xml:space="preserve">(ii) No existe ninguna reserva material </w:t>
      </w:r>
      <w:r w:rsidRPr="00A8138F">
        <w:rPr>
          <w:i/>
        </w:rPr>
        <w:t>in toto</w:t>
      </w:r>
      <w:r>
        <w:t xml:space="preserve"> de la materia de esta ley a la iniciativa del Gobierno y ejercer la iniciativa legislativa parlamentaria constituye la máxima expresión del ejercicio de la soberanía popular en el Estado democrático y una manifestación constitucionalmente relevante del </w:t>
      </w:r>
      <w:r w:rsidRPr="00A8138F">
        <w:rPr>
          <w:i/>
        </w:rPr>
        <w:t>ius in officium</w:t>
      </w:r>
      <w:r>
        <w:t xml:space="preserve"> del representante. Se invoca de nuevo doctrina constitucional, tanto en relación con el ejercicio general de la iniciativa legislativa por los parlamentarios (con transcripción de una parte de la STC 53/2021, de 15 de marzo), como en especial de los grupos que apoyan al Gobierno (invocando la STC 19/2023, de 22 de marzo). Que la iniciativa sea consecuencia de una negociación política, o que su contenido sea trascendente, relevante o importante no puede llevar a vetar la presentación de una proposición de ley (STC 153/2016, de 22 de septiembre). El ejercicio de un tipo u otro de iniciativa legislativa no viene predeterminado más que por los supuestos de hecho objetivos tasados en el Reglamento (STC 96/2019, de 15 de julio).</w:t>
      </w:r>
    </w:p>
    <w:p w14:paraId="234B5E3E" w14:textId="77777777" w:rsidR="00A8138F" w:rsidRDefault="00A8138F" w:rsidP="00A8138F">
      <w:pPr>
        <w:pStyle w:val="TextoNormal"/>
      </w:pPr>
    </w:p>
    <w:p w14:paraId="15C7ADF8" w14:textId="77777777" w:rsidR="00A8138F" w:rsidRDefault="00A8138F" w:rsidP="00A8138F">
      <w:pPr>
        <w:pStyle w:val="TextoNormal"/>
      </w:pPr>
      <w:r>
        <w:t>(iii) Tampoco existe limitación alguna desde el punto de vista temporal a la hora de presentar proposiciones de ley por parte de los diputados y los grupos parlamentarios. De conformidad con la Ley 50/1997, de 27 de noviembre, del Gobierno, un Gobierno en funciones no puede presentar proyectos de ley, pero nada dispone el Reglamento del Congreso de los Diputados sobre el ejercicio de las prerrogativas de sus miembros durante ese período.</w:t>
      </w:r>
    </w:p>
    <w:p w14:paraId="7E004901" w14:textId="77777777" w:rsidR="00A8138F" w:rsidRDefault="00A8138F" w:rsidP="00A8138F">
      <w:pPr>
        <w:pStyle w:val="TextoNormal"/>
      </w:pPr>
    </w:p>
    <w:p w14:paraId="6539603F" w14:textId="77777777" w:rsidR="00A8138F" w:rsidRDefault="00A8138F" w:rsidP="00A8138F">
      <w:pPr>
        <w:pStyle w:val="TextoNormal"/>
      </w:pPr>
      <w:r>
        <w:t>La letrada de las Cortes Generales ofrece todo un elenco de ejemplos de proposiciones de ley presentadas en un momento en que el Gobierno estaba en funciones, en algún caso por parte del grupo parlamentario al que pertenecen los diputados ahora recurrentes.</w:t>
      </w:r>
    </w:p>
    <w:p w14:paraId="3C8235AF" w14:textId="77777777" w:rsidR="00A8138F" w:rsidRDefault="00A8138F" w:rsidP="00A8138F">
      <w:pPr>
        <w:pStyle w:val="TextoNormal"/>
      </w:pPr>
    </w:p>
    <w:p w14:paraId="530A82BD" w14:textId="77777777" w:rsidR="00A8138F" w:rsidRDefault="00A8138F" w:rsidP="00A8138F">
      <w:pPr>
        <w:pStyle w:val="TextoNormal"/>
      </w:pPr>
      <w:r>
        <w:t>(iv) La calificación de las proposiciones de ley por parte de la mesa de la Cámara es una operación de verificación de los requisitos formales de las iniciativas, cabe la valoración del contenido material si se verifica una evidente y palmaria inconstitucionalidad (STC 46/2018, de 26 de abril) y el control constitucional al respecto se limita a las decisiones arbitrarias o manifiestamente irrazonables (STC 152/2016, de 22 de septiembre).</w:t>
      </w:r>
    </w:p>
    <w:p w14:paraId="0C5505F4" w14:textId="77777777" w:rsidR="00A8138F" w:rsidRDefault="00A8138F" w:rsidP="00A8138F">
      <w:pPr>
        <w:pStyle w:val="TextoNormal"/>
      </w:pPr>
    </w:p>
    <w:p w14:paraId="032457A4" w14:textId="77777777" w:rsidR="00A8138F" w:rsidRDefault="00A8138F" w:rsidP="00A8138F">
      <w:pPr>
        <w:pStyle w:val="TextoNormal"/>
      </w:pPr>
      <w:r>
        <w:t>La letrada de las Cortes Generales recuerda que, como se desprende del expediente, la mesa del Congreso acordó el 21 de noviembre de 2023 que se cumplían todos los requisitos formales, frente a lo que dos grupos parlamentarios (entre ellos aquel en el que se integran los recurrentes) solicitaron la reconsideración por entender que tendría que haberse inadmitido a trámite debido a que existía una contradicción palmaria y evidente con la Constitución española y un precedente en tal sentido (la proposición núm. 122-000132, inadmitida en la XIV Legislatura). La solicitud fue desestimada entendiendo que no existía una inconstitucionalidad clara e incontrovertible; que hay precedentes diversos y la inadmisión en 2021 no se produjo por la posible consideración de la amnistía como figura inconstitucional; que la presente iniciativa difiere de aquella y regula una figura que no ha sido objeto de un pronunciamiento concluyente del Tribunal Constitucional, y que los supuestos en los que la mesa ha inadmitido a trámite iniciativas por contradicción palmaria y evidente con la Constitución son muy reducidos, y en líneas generales se limitan a casos en los que se ha pretendido incidir sobre instituciones básicas del Estado en un sentido contrario al previsto en el texto constitucional (Estado de las autonomías, jefatura del Estado, prohibición de los indultos generales, reserva al Ejecutivo de la iniciativa legislativa en materia presupuestaria o alcance del papel de las Cortes Generales en relación con la política exterior del Estado).</w:t>
      </w:r>
    </w:p>
    <w:p w14:paraId="357C7E09" w14:textId="77777777" w:rsidR="00A8138F" w:rsidRDefault="00A8138F" w:rsidP="00A8138F">
      <w:pPr>
        <w:pStyle w:val="TextoNormal"/>
      </w:pPr>
    </w:p>
    <w:p w14:paraId="2A8D3A9E" w14:textId="77777777" w:rsidR="00A8138F" w:rsidRDefault="00A8138F" w:rsidP="00A8138F">
      <w:pPr>
        <w:pStyle w:val="TextoNormal"/>
      </w:pPr>
      <w:r>
        <w:t>De todo ello se desprende, concluye la representante del Congreso de los Diputados, que la mesa realizó el control que le corresponde y nada cabe objetar al acuerdo de admisión a trámite. La letrada subraya que según la nota de la Secretaría General que se emitió con motivo de la calificación de la proposición de ley objeto de este recurso, la misma difería de la presentada en el año 2021 en dos objetos fundamentales: la no inclusión de un listado de causas abiertas que podrían verse afectadas por la medida de gracia (que llevó a que, en el año 2021, se considerase que la proposición de ley suponía un “indulto encubierto”) y la introducción, en la exposición de motivos, de un nítido reconocimiento a los principios y bases del Estado de Derecho establecido en la Constitución. Y recuerda que la función de las mesas no es realizar un control de constitucionalidad, siquiera liminar (ATC 85/2006, de 15 de marzo).</w:t>
      </w:r>
    </w:p>
    <w:p w14:paraId="51CC9C5D" w14:textId="77777777" w:rsidR="00A8138F" w:rsidRDefault="00A8138F" w:rsidP="00A8138F">
      <w:pPr>
        <w:pStyle w:val="TextoNormal"/>
      </w:pPr>
    </w:p>
    <w:p w14:paraId="1B48E422" w14:textId="77777777" w:rsidR="00A8138F" w:rsidRDefault="00A8138F" w:rsidP="00A8138F">
      <w:pPr>
        <w:pStyle w:val="TextoNormal"/>
      </w:pPr>
      <w:r>
        <w:t xml:space="preserve">c) </w:t>
      </w:r>
      <w:r w:rsidRPr="00A8138F">
        <w:rPr>
          <w:i/>
        </w:rPr>
        <w:t>Sobre la aplicación del art. 131.2 RCD y la devolución de la proposición de ley orgánica a la Comisión de Justicia</w:t>
      </w:r>
    </w:p>
    <w:p w14:paraId="71E0854F" w14:textId="77777777" w:rsidR="00A8138F" w:rsidRDefault="00A8138F" w:rsidP="00A8138F">
      <w:pPr>
        <w:pStyle w:val="TextoNormal"/>
      </w:pPr>
    </w:p>
    <w:p w14:paraId="1A50492A" w14:textId="77777777" w:rsidR="00A8138F" w:rsidRDefault="00A8138F" w:rsidP="00A8138F">
      <w:pPr>
        <w:pStyle w:val="TextoNormal"/>
      </w:pPr>
      <w:r>
        <w:t>La letrada de las Cortes Generales aborda aquí la primera alegación procedimental expresa de los recurrentes relativa a una vulneración de los arts. 23 y 79 CE, al devolver la mesa el texto a la Comisión de Justicia para la elaboración de un nuevo dictamen tras la sesión plenaria extraordinaria de 30 de enero de 2024. Ello porque la proposición de ley no había obtenido ni mayoría absoluta ni simple.</w:t>
      </w:r>
    </w:p>
    <w:p w14:paraId="2891F665" w14:textId="77777777" w:rsidR="00A8138F" w:rsidRDefault="00A8138F" w:rsidP="00A8138F">
      <w:pPr>
        <w:pStyle w:val="TextoNormal"/>
      </w:pPr>
    </w:p>
    <w:p w14:paraId="0FFDDC35" w14:textId="77777777" w:rsidR="00A8138F" w:rsidRDefault="00A8138F" w:rsidP="00A8138F">
      <w:pPr>
        <w:pStyle w:val="TextoNormal"/>
      </w:pPr>
      <w:r>
        <w:t>Lo hace exponiendo, en primer lugar, la regulación del procedimiento legislativo en el texto constitucional y en el Reglamento del Congreso y diferenciando la votación del dictamen de la votación del conjunto de la ley. Después, subraya la existencia de una serie de especialidades en la tramitación de proyectos y proposiciones de ley orgánicas. Entre ellas, el art. 131.2 RCD, que, literalmente interpretado, imponía actuar como se hizo al no haberse alcanzado la mayoría absoluta en la votación de conjunto tras haber obtenido en cambio una amplia mayoría (absoluta) en la votación del dictamen. Así lo constaron en su momento, la Presidencia del Pleno y la mesa de la Cámara tanto a resultas de la votación como de la solicitud de reconsideración subsiguiente, y de conformidad con los dos únicos precedentes existentes.</w:t>
      </w:r>
    </w:p>
    <w:p w14:paraId="1F598C22" w14:textId="77777777" w:rsidR="00A8138F" w:rsidRDefault="00A8138F" w:rsidP="00A8138F">
      <w:pPr>
        <w:pStyle w:val="TextoNormal"/>
      </w:pPr>
    </w:p>
    <w:p w14:paraId="02B6D51B" w14:textId="77777777" w:rsidR="00A8138F" w:rsidRDefault="00A8138F" w:rsidP="00A8138F">
      <w:pPr>
        <w:pStyle w:val="TextoNormal"/>
      </w:pPr>
      <w:r>
        <w:t>Para la letrada de las Cortes Generales, la pretensión de los recurrentes no puede prosperar porque la finalización del procedimiento tras una votación sobre el proyecto que no alcanza la mayoría absoluta solo está prevista en el art. 131.3 RCD, que se refiere al debate sobre un nuevo dictamen. Tampoco puede entenderse que hubiera sido necesaria una mayoría simple para continuar con la tramitación porque tal cosa no está prevista. No cabe aplicar la regla general de toma de acuerdos, porque aquí queda excepcionada en atención a una especialidad procedimental al abrigo, precisamente, del art. 79 CE. Aprobado el dictamen, tras la sesión sobre la votación final de conjunto solo cabía la vuelta a la Comisión (se cita en este punto el ATC 24/2024, FJ 2); lo contrario supondría imponer el resultado de una votación a otra.</w:t>
      </w:r>
    </w:p>
    <w:p w14:paraId="73E8271B" w14:textId="77777777" w:rsidR="00A8138F" w:rsidRDefault="00A8138F" w:rsidP="00A8138F">
      <w:pPr>
        <w:pStyle w:val="TextoNormal"/>
      </w:pPr>
    </w:p>
    <w:p w14:paraId="2BDCCD73" w14:textId="77777777" w:rsidR="00A8138F" w:rsidRDefault="00A8138F" w:rsidP="00A8138F">
      <w:pPr>
        <w:pStyle w:val="TextoNormal"/>
      </w:pPr>
      <w:r>
        <w:t xml:space="preserve">d) </w:t>
      </w:r>
      <w:r w:rsidRPr="00A8138F">
        <w:rPr>
          <w:i/>
        </w:rPr>
        <w:t>Sobre el nuevo dictamen de la Comisión de Justicia y la supuesta omisión de la fase de ponencia</w:t>
      </w:r>
    </w:p>
    <w:p w14:paraId="51F49FEF" w14:textId="77777777" w:rsidR="00A8138F" w:rsidRDefault="00A8138F" w:rsidP="00A8138F">
      <w:pPr>
        <w:pStyle w:val="TextoNormal"/>
      </w:pPr>
    </w:p>
    <w:p w14:paraId="3FFA48B4" w14:textId="77777777" w:rsidR="00A8138F" w:rsidRDefault="00A8138F" w:rsidP="00A8138F">
      <w:pPr>
        <w:pStyle w:val="TextoNormal"/>
      </w:pPr>
      <w:r>
        <w:t>Se alega que debe rechazarse el segundo vicio procedimental concreto denunciado por los recurrentes, referido a la omisión del llamado informe de ponencia tras la devolución de la proposición de ley a la que se acaba de hacer referencia. Y es que, entiende, esa devolución no comporta una retroacción del procedimiento legislativo, sino una nueva fase, que se abre una vez que la ponencia ya ha elevado su informe a la Comisión, esta ha emitido su dictamen y el mismo ha sido aprobado en el Pleno y opera el art. 131.2 RCD. En ella no se prevé una nueva reunión de la ponencia, y así se ha actuado en otros precedentes sin que ningún grupo parlamentario haya manifestado disconformidad procedimental al respecto en las sesiones de la Comisión.</w:t>
      </w:r>
    </w:p>
    <w:p w14:paraId="192E5EC7" w14:textId="77777777" w:rsidR="00A8138F" w:rsidRDefault="00A8138F" w:rsidP="00A8138F">
      <w:pPr>
        <w:pStyle w:val="TextoNormal"/>
      </w:pPr>
    </w:p>
    <w:p w14:paraId="06B4056E" w14:textId="77777777" w:rsidR="00A8138F" w:rsidRDefault="00A8138F" w:rsidP="00A8138F">
      <w:pPr>
        <w:pStyle w:val="TextoNormal"/>
      </w:pPr>
      <w:r>
        <w:t>Destaca la letrada, incluso, que tampoco en este caso se manifestó desacuerdo al respecto; nadie reclamó una nueva reunión de la ponencia, solo se discutió, como se ha expuesto en el apartado anterior, el hecho de la devolución del texto a la Comisión para un nuevo dictamen.</w:t>
      </w:r>
    </w:p>
    <w:p w14:paraId="3124CA11" w14:textId="77777777" w:rsidR="00A8138F" w:rsidRDefault="00A8138F" w:rsidP="00A8138F">
      <w:pPr>
        <w:pStyle w:val="TextoNormal"/>
      </w:pPr>
    </w:p>
    <w:p w14:paraId="2AA93756" w14:textId="77777777" w:rsidR="00A8138F" w:rsidRDefault="00A8138F" w:rsidP="00A8138F">
      <w:pPr>
        <w:pStyle w:val="TextoNormal"/>
      </w:pPr>
      <w:r>
        <w:t xml:space="preserve">e) </w:t>
      </w:r>
      <w:r w:rsidRPr="00A8138F">
        <w:rPr>
          <w:i/>
        </w:rPr>
        <w:t>Sobre la presentación, calificación y aprobación de enmiendas transaccionales en Comisión</w:t>
      </w:r>
    </w:p>
    <w:p w14:paraId="3B564AA5" w14:textId="77777777" w:rsidR="00A8138F" w:rsidRDefault="00A8138F" w:rsidP="00A8138F">
      <w:pPr>
        <w:pStyle w:val="TextoNormal"/>
      </w:pPr>
    </w:p>
    <w:p w14:paraId="39A617DC" w14:textId="77777777" w:rsidR="00A8138F" w:rsidRDefault="00A8138F" w:rsidP="00A8138F">
      <w:pPr>
        <w:pStyle w:val="TextoNormal"/>
      </w:pPr>
      <w:r>
        <w:t>Finalmente, la letrada de las Cortes Generales rebate la argumentación de los recurrentes en relación con el funcionamiento de la Comisión el 7 de marzo de 2024, sosteniendo que la sesión discurrió siguiendo de forma exquisita el cauce reglamentario y los precedentes de la Cámara. Ello porque al iniciarse se dio cuenta de que la mesa acababa de tener conocimiento de unas enmiendas transaccionales cuyo texto iba a distribuirse seguidamente y, ante las manifestaciones de la portavoz del grupo parlamentario en que se incluyen los recurrentes, se hizo un receso tras el cual el presidente informó, en respuesta a lo solicitado por aquella, que cabían enmiendas por escrito en el mismo momento de la discusión y que las mismas habían sido admitidas a trámite por la mesa.</w:t>
      </w:r>
    </w:p>
    <w:p w14:paraId="4F69925A" w14:textId="77777777" w:rsidR="00A8138F" w:rsidRDefault="00A8138F" w:rsidP="00A8138F">
      <w:pPr>
        <w:pStyle w:val="TextoNormal"/>
      </w:pPr>
    </w:p>
    <w:p w14:paraId="6B4862ED" w14:textId="77777777" w:rsidR="00A8138F" w:rsidRDefault="00A8138F" w:rsidP="00A8138F">
      <w:pPr>
        <w:pStyle w:val="TextoNormal"/>
      </w:pPr>
      <w:r>
        <w:t>Destaca la letrada de las Cortes Generales que no es de aplicación el plazo del art. 69 RCD a la presentación de enmiendas como las que aquí interesan porque el mismo reglamento, en el art. 114.3, prevé que puedan presentarse en el transcurso del debate; aquí se anunciaron antes, al inicio de la Comisión. Tampoco puede esgrimirse que la mesa no se había convocado reglamentariamente, cuando fue la portavoz quien reclamó que se reuniera. La convocatoria oral inmediata era procedente por tratarse de una cuestión incidental y a la reunión asistieron todos sus miembros, sin que se planteara reproche alguno a la convocatoria. El acuerdo de la mesa se comunicó a la Comisión tan pronto como esta reanudó su sesión.</w:t>
      </w:r>
    </w:p>
    <w:p w14:paraId="766025AB" w14:textId="77777777" w:rsidR="00A8138F" w:rsidRDefault="00A8138F" w:rsidP="00A8138F">
      <w:pPr>
        <w:pStyle w:val="TextoNormal"/>
      </w:pPr>
    </w:p>
    <w:p w14:paraId="3F0ABDAB" w14:textId="77777777" w:rsidR="00A8138F" w:rsidRDefault="00A8138F" w:rsidP="00A8138F">
      <w:pPr>
        <w:pStyle w:val="TextoNormal"/>
      </w:pPr>
      <w:r>
        <w:t>B) En conclusión, se afirma que no se ha incurrido en vicio procedimental u omitido trámite alguno durante la tramitación en el Congreso de los Diputados de la ley orgánica recurrida, no habiéndose vulnerado ni el art. 23 ni el art. 79 CE. En relación con el art. 23.2 CE se recuerda la doctrina constitucional de la STC 96/2019, concluyéndose que ninguno de los vicios procedimentales alegados por los recurrentes ha afectado esencialmente al proceso de formación de la voluntad de la Cámara. Se insiste seguidamente en que la tramitación ha respetado escrupulosamente el procedimiento.</w:t>
      </w:r>
    </w:p>
    <w:p w14:paraId="1E836442" w14:textId="77777777" w:rsidR="00A8138F" w:rsidRDefault="00A8138F" w:rsidP="00A8138F">
      <w:pPr>
        <w:pStyle w:val="TextoNormal"/>
      </w:pPr>
    </w:p>
    <w:p w14:paraId="1837F3BE" w14:textId="77777777" w:rsidR="00A8138F" w:rsidRDefault="00A8138F" w:rsidP="00A8138F">
      <w:pPr>
        <w:pStyle w:val="TextoNormal"/>
      </w:pPr>
      <w:r>
        <w:t>A tales efectos, se recuerda, a modo de síntesis de la tramitación que, tras la presentación de la proposición de ley orgánica el 13 de noviembre de 2023, y su calificación por la mesa del Congreso de los Diputados el 21 de noviembre de 2023, esta se pronunció nuevamente, oída la junta de portavoces, para desestimar las solicitudes de reconsideración formuladas por dos grupos parlamentarios. Finalizado el plazo de enmiendas a la totalidad el día 3 de enero de 2024, se celebró el debate de totalidad el 10 de enero de 2024. El plazo de presentación de enmiendas al articulado terminó el 16 de enero de 2024, dando lugar a un incidente sobre su calificación que fue resuelto por la Comisión de Justicia tras la emisión de un informe en el que se acreditaron los fallos técnicos del proceso electrónico de registro de las enmiendas, si bien dio lugar con posterioridad a nuevas solicitudes de anulación y reconsideración, ante la mesa de la Cámara y la mesa de la Comisión de Justicia, respectivamente, debidamente resueltas.</w:t>
      </w:r>
    </w:p>
    <w:p w14:paraId="37F70462" w14:textId="77777777" w:rsidR="00A8138F" w:rsidRDefault="00A8138F" w:rsidP="00A8138F">
      <w:pPr>
        <w:pStyle w:val="TextoNormal"/>
      </w:pPr>
    </w:p>
    <w:p w14:paraId="53BCDB38" w14:textId="77777777" w:rsidR="00A8138F" w:rsidRDefault="00A8138F" w:rsidP="00A8138F">
      <w:pPr>
        <w:pStyle w:val="TextoNormal"/>
      </w:pPr>
      <w:r>
        <w:t>En cumplimiento del art. 113 RCD, la ponencia emitió informe el día 18 de enero de 2024, que fue objeto de debate y votación en la Comisión de Justicia el 23 de enero de 2024. Aprobado el dictamen de la proposición de ley orgánica por la Comisión, este fue sometido a debate y votación del Pleno de la Cámara, en su sesión extraordinaria de 30 de enero de 2024. Aunque el dictamen fue aprobado, el texto no obtuvo la mayoría absoluta requerida en la votación final sobre el conjunto, lo que supuso la vuelta del texto a la Comisión de Justicia —</w:t>
      </w:r>
      <w:r w:rsidRPr="00A8138F">
        <w:rPr>
          <w:i/>
        </w:rPr>
        <w:t>ex</w:t>
      </w:r>
      <w:r>
        <w:t xml:space="preserve"> art. 131.2 RCD— para la emisión de un nuevo dictamen, decisión que motivó nuevas solicitudes de anulación y de reconsideración que fueron resueltas por la mesa, oída la junta de portavoces. También fue objeto de solicitud de reconsideración la ampliación del plazo para la emisión de un nuevo dictamen de la Comisión de Justicia.</w:t>
      </w:r>
    </w:p>
    <w:p w14:paraId="2DB975EF" w14:textId="77777777" w:rsidR="00A8138F" w:rsidRDefault="00A8138F" w:rsidP="00A8138F">
      <w:pPr>
        <w:pStyle w:val="TextoNormal"/>
      </w:pPr>
    </w:p>
    <w:p w14:paraId="3548B880" w14:textId="77777777" w:rsidR="00A8138F" w:rsidRDefault="00A8138F" w:rsidP="00A8138F">
      <w:pPr>
        <w:pStyle w:val="TextoNormal"/>
      </w:pPr>
      <w:r>
        <w:t>Después, esta Comisión aprobó el nuevo dictamen, con la incorporación de enmiendas transaccionales, el 7 de marzo de 2024, no sin antes haber estudiado y resuelto una solicitud de suspensión de la sesión plenaria y otra, con audiencia de la junta de portavoces, de reconsideración sobre el acuerdo de calificación y admisión a trámite de las mismas. Por último, en la segunda sesión plenaria de 14 de marzo de 2024, la proposición de ley orgánica quedó aprobada por el Pleno del Congreso de los Diputados y fue remitida al Senado para que prosiguiese su tramitación.</w:t>
      </w:r>
    </w:p>
    <w:p w14:paraId="05FCAE59" w14:textId="77777777" w:rsidR="00A8138F" w:rsidRDefault="00A8138F" w:rsidP="00A8138F">
      <w:pPr>
        <w:pStyle w:val="TextoNormal"/>
      </w:pPr>
    </w:p>
    <w:p w14:paraId="65C7B02F" w14:textId="77777777" w:rsidR="00A8138F" w:rsidRDefault="00A8138F" w:rsidP="00A8138F">
      <w:pPr>
        <w:pStyle w:val="TextoNormal"/>
      </w:pPr>
      <w:r>
        <w:t>El Senado, tras la correspondiente tramitación en su sesión de 14 de mayo de 2024, acordó oponer su veto. Adicionalmente, inició un conflicto entre órganos constitucionales, requiriendo al Congreso de los Diputados, mediante acuerdo del Pleno del Senado de 10 de abril de 2024, la retirada de la proposición de ley orgánica o, subsidiariamente, la anulación de la calificación y admisión a trámite de la referida iniciativa, así como de todo lo actuado desde ese momento. El requerimiento fue rechazado por acuerdo motivado de la mesa del Congreso de los Diputados de 16 de abril de 2024, y finalmente el Pleno del Senado aprobó, el 16 de mayo, suspender el planteamiento del conflicto entre órganos constitucionales, quedando, en consecuencia, sin efecto.</w:t>
      </w:r>
    </w:p>
    <w:p w14:paraId="1186E6CC" w14:textId="77777777" w:rsidR="00A8138F" w:rsidRDefault="00A8138F" w:rsidP="00A8138F">
      <w:pPr>
        <w:pStyle w:val="TextoNormal"/>
      </w:pPr>
    </w:p>
    <w:p w14:paraId="6C7F0C24" w14:textId="0869E02D" w:rsidR="00A8138F" w:rsidRDefault="00A8138F" w:rsidP="00A8138F">
      <w:pPr>
        <w:pStyle w:val="TextoNormal"/>
      </w:pPr>
      <w:r>
        <w:t>La tramitación de la iniciativa finalizó con el acuerdo del Pleno del Congreso de los Diputados, adoptado en su sesión de 30 de mayo de 2024, de levantar el veto del Senado, ratificando el texto de la proposición de ley orgánica aprobado por el Congreso de los Diputados el 14 de marzo de 2024 (“Boletín Oficial de las Cortes Generales”. Congreso de los Diputados, serie B, núm. 32-13, de 6 de junio de 2024).</w:t>
      </w:r>
    </w:p>
    <w:p w14:paraId="379D932E" w14:textId="77777777" w:rsidR="00A8138F" w:rsidRDefault="00A8138F" w:rsidP="00A8138F">
      <w:pPr>
        <w:pStyle w:val="TextoNormal"/>
      </w:pPr>
    </w:p>
    <w:p w14:paraId="1331FE29" w14:textId="77777777" w:rsidR="00A8138F" w:rsidRDefault="00A8138F" w:rsidP="00A8138F">
      <w:pPr>
        <w:pStyle w:val="TextoNormal"/>
      </w:pPr>
      <w:r w:rsidRPr="00A8138F">
        <w:rPr>
          <w:rStyle w:val="NumeroAFNegritaCaracter"/>
        </w:rPr>
        <w:t>17</w:t>
      </w:r>
      <w:r>
        <w:t>. El 10 de diciembre de 2024 se recibió en este tribunal el escrito de alegaciones del abogado del Estado, cuyo contenido se expone sintéticamente a continuación.</w:t>
      </w:r>
    </w:p>
    <w:p w14:paraId="396558B6" w14:textId="77777777" w:rsidR="00A8138F" w:rsidRDefault="00A8138F" w:rsidP="00A8138F">
      <w:pPr>
        <w:pStyle w:val="TextoNormal"/>
      </w:pPr>
    </w:p>
    <w:p w14:paraId="193E4B3C" w14:textId="77777777" w:rsidR="00A8138F" w:rsidRDefault="00A8138F" w:rsidP="00A8138F">
      <w:pPr>
        <w:pStyle w:val="TextoNormal"/>
      </w:pPr>
      <w:r>
        <w:t>A) Se inicia el escrito con unas consideraciones preliminares sobre la figura de la amnistía, en cuanto manifestación del derecho de gracia, y sobre el encaje general de dicha institución en el ordenamiento constitucional. En ellas se realizan las siguientes afirmaciones:</w:t>
      </w:r>
    </w:p>
    <w:p w14:paraId="7326C9D1" w14:textId="77777777" w:rsidR="00A8138F" w:rsidRDefault="00A8138F" w:rsidP="00A8138F">
      <w:pPr>
        <w:pStyle w:val="TextoNormal"/>
      </w:pPr>
    </w:p>
    <w:p w14:paraId="26730810" w14:textId="77777777" w:rsidR="00A8138F" w:rsidRDefault="00A8138F" w:rsidP="00A8138F">
      <w:pPr>
        <w:pStyle w:val="TextoNormal"/>
      </w:pPr>
      <w:r>
        <w:t>a) La amnistía es, para el abogado del Estado, una figura jurídica distinta al indulto, no afectada, por ello, por la prohibición constitucional de indultos generales enunciada en el art. 62 i) CE. Amnistía e indulto son, según se alega, manifestaciones específicas de un mismo instituto, el derecho de gracia. Se cita, en este punto, la opinión CDL-AD(2024)003-spa, de 18 de marzo de 2024, de la Comisión Europea para la Democracia por el Derecho (Comisión de Venecia), sobre los requisitos del Estado de Derecho para decretar una amnistía con especial referencia a la proposición de ley parlamentaria “proposición de ley orgánica de amnistía para la normalización institucional, política y social en Cataluña”, en el que se señalan las diferencias que existen entre las figuras del indulto y la amnistía, concretamente: (i) que el indulto solo afecta a una condena firme mientras que la amnistía puede otorgarse antes, durante o después de la tramitación del proceso penal; (ii) que el indulto es una prerrogativa del jefe del Estado, mientras que la amnistía suele ser competencia del Poder Legislativo y (iii) que la amnistía afecta a una generalidad de personas comprendidas en su ámbito de aplicación mientras que el indulto se refiere a individuos concretos.</w:t>
      </w:r>
    </w:p>
    <w:p w14:paraId="43F33500" w14:textId="77777777" w:rsidR="00A8138F" w:rsidRDefault="00A8138F" w:rsidP="00A8138F">
      <w:pPr>
        <w:pStyle w:val="TextoNormal"/>
      </w:pPr>
    </w:p>
    <w:p w14:paraId="5BDED158" w14:textId="77777777" w:rsidR="00A8138F" w:rsidRDefault="00A8138F" w:rsidP="00A8138F">
      <w:pPr>
        <w:pStyle w:val="TextoNormal"/>
      </w:pPr>
      <w:r>
        <w:t>La Constitución no establece, en definitiva, ninguna restricción para la amnistía, tal y como, según sostiene el abogado del Estado, habría reconocido expresamente la STC 147/1986, FJ 2.</w:t>
      </w:r>
    </w:p>
    <w:p w14:paraId="61925C3E" w14:textId="77777777" w:rsidR="00A8138F" w:rsidRDefault="00A8138F" w:rsidP="00A8138F">
      <w:pPr>
        <w:pStyle w:val="TextoNormal"/>
      </w:pPr>
    </w:p>
    <w:p w14:paraId="462A90F9" w14:textId="77777777" w:rsidR="00A8138F" w:rsidRDefault="00A8138F" w:rsidP="00A8138F">
      <w:pPr>
        <w:pStyle w:val="TextoNormal"/>
      </w:pPr>
      <w:r>
        <w:t>b) La amnistía es, asimismo, compatible con la idea de Estado de Derecho siempre que se cumplan una serie de requisitos, concretamente, según el ya citado dictamen de la Comisión de Venecia, los dos siguientes: (i) la persecución de un objetivo legítimo, como puede ser el mantenimiento de la “unidad nacional” y la “reconciliación social y política” y (ii) el respeto al principio de separación de poderes a través de un procedimiento de aplicación que esté confiado al Poder Judicial y en el que se determine qué personas concretas cumplen los criterios generales establecidos por el Parlamento.</w:t>
      </w:r>
    </w:p>
    <w:p w14:paraId="6495CCC4" w14:textId="77777777" w:rsidR="00A8138F" w:rsidRDefault="00A8138F" w:rsidP="00A8138F">
      <w:pPr>
        <w:pStyle w:val="TextoNormal"/>
      </w:pPr>
    </w:p>
    <w:p w14:paraId="17F002C0" w14:textId="77777777" w:rsidR="00A8138F" w:rsidRDefault="00A8138F" w:rsidP="00A8138F">
      <w:pPr>
        <w:pStyle w:val="TextoNormal"/>
      </w:pPr>
      <w:r>
        <w:t xml:space="preserve">c) La amnistía constituye una opción legítima a disposición del legislador democrático, de suerte que no puede entenderse circunscrita a contextos de transición política o cambio de régimen. Con cita de la STC 34/2023, de 18 de abril, FJ 3, el abogado del Estado señala que en nuestro sistema constitucional el legislador no se limita a ejecutar la Constitución sino que tiene un amplio margen de decisión política para arbitrar medidas con las que afrontar los problemas políticos y sociales existentes, medidas entre las que puede encontrarse, tal y como argumenta el preámbulo de la Ley de amnistía, la renuncia al ejercicio del </w:t>
      </w:r>
      <w:r w:rsidRPr="00A8138F">
        <w:rPr>
          <w:i/>
        </w:rPr>
        <w:t>ius puniendi</w:t>
      </w:r>
      <w:r>
        <w:t xml:space="preserve"> para la consecución “de un interés superior: la convivencia democrática”. El Derecho histórico y comparado avalarían la idea de que la amnistía es un medio idóneo para afrontar legislativamente contextos de conflicto político en aras del interés general, en particular para lograr la reconciliación política y social.</w:t>
      </w:r>
    </w:p>
    <w:p w14:paraId="1D723973" w14:textId="77777777" w:rsidR="00A8138F" w:rsidRDefault="00A8138F" w:rsidP="00A8138F">
      <w:pPr>
        <w:pStyle w:val="TextoNormal"/>
      </w:pPr>
    </w:p>
    <w:p w14:paraId="1B98E7EA" w14:textId="77777777" w:rsidR="00A8138F" w:rsidRDefault="00A8138F" w:rsidP="00A8138F">
      <w:pPr>
        <w:pStyle w:val="TextoNormal"/>
      </w:pPr>
      <w:r>
        <w:t>d) Considera, finalmente, el abogado del Estado que la doctrina del Tribunal Constitucional ha admitido en diversas ocasiones la viabilidad constitucional de la amnistía, no solo en la ya citada STC 147/1986, sino también en otras resoluciones, en las que habría afirmado que la amnistía ha de ajustarse a los principios constitucionales (SSTC 28/1982, de 26 de mayo, FJ 2, y 63/1983, FJ 2) y que responde en su conjunto “a un valor superior de justicia” (STC 116/1987, de 7 de julio, FJ 7).</w:t>
      </w:r>
    </w:p>
    <w:p w14:paraId="7B186379" w14:textId="77777777" w:rsidR="00A8138F" w:rsidRDefault="00A8138F" w:rsidP="00A8138F">
      <w:pPr>
        <w:pStyle w:val="TextoNormal"/>
      </w:pPr>
    </w:p>
    <w:p w14:paraId="28C4B879" w14:textId="77777777" w:rsidR="00A8138F" w:rsidRDefault="00A8138F" w:rsidP="00A8138F">
      <w:pPr>
        <w:pStyle w:val="TextoNormal"/>
      </w:pPr>
      <w:r>
        <w:t>B) Hechas estas consideraciones, aborda el abogado del Estado el motivo primero de la demanda según el cual “la Constitución no habilita el otorgamiento de una amnistía, por lo que resulta inconstitucional”. Se agrupan en este motivo los distintos argumentos por los que se estima que una ley de amnistía, abstractamente considerada, ha de reputarse contraria al texto constitucional, a los que el abogado del Estado da respuesta del siguiente modo:</w:t>
      </w:r>
    </w:p>
    <w:p w14:paraId="12042CED" w14:textId="77777777" w:rsidR="00A8138F" w:rsidRDefault="00A8138F" w:rsidP="00A8138F">
      <w:pPr>
        <w:pStyle w:val="TextoNormal"/>
      </w:pPr>
    </w:p>
    <w:p w14:paraId="2ACF32D5" w14:textId="77777777" w:rsidR="00A8138F" w:rsidRDefault="00A8138F" w:rsidP="00A8138F">
      <w:pPr>
        <w:pStyle w:val="TextoNormal"/>
      </w:pPr>
      <w:r>
        <w:t>a) Niega, en primer lugar, que el instituto de la amnistía se oponga al principio de división de poderes, a la reserva de jurisdicción y a la tutela judicial efectiva (arts. 1.1, 24.1, 117.3 y 118 CE). Así:</w:t>
      </w:r>
    </w:p>
    <w:p w14:paraId="7EF04E63" w14:textId="77777777" w:rsidR="00A8138F" w:rsidRDefault="00A8138F" w:rsidP="00A8138F">
      <w:pPr>
        <w:pStyle w:val="TextoNormal"/>
      </w:pPr>
    </w:p>
    <w:p w14:paraId="4A87F813" w14:textId="77777777" w:rsidR="00A8138F" w:rsidRDefault="00A8138F" w:rsidP="00A8138F">
      <w:pPr>
        <w:pStyle w:val="TextoNormal"/>
      </w:pPr>
      <w:r>
        <w:t>(i) No se vulnera, en primer lugar, el principio de “división de poderes”, pues, tal y como señala el art. 117.1 CE, los jueces y magistrados están sometidos al imperio de la ley y su competencia para juzgar y hacer ejecutar lo juzgado no excluye, como señala la STC 181/2000, de 29 de junio, FJ 19, la libertad de configuración legislativa sobre una materia determinada. Corresponde, en particular, al legislador establecer los supuestos de exención de responsabilidad criminal que los órganos judiciales deben aplicar, después, a cada caso concreto. En relación particular con el instituto de la amnistía, la compatibilidad con la división de poderes depende precisamente, tal y como señala el dictamen de la Comisión de Venecia, de que esta causa de exclusión de la responsabilidad criminal se articule a través de un procedimiento judicial que permita verificar la aplicación a personas concretas de los criterios generalmente establecidos en la ley.</w:t>
      </w:r>
    </w:p>
    <w:p w14:paraId="360E0B12" w14:textId="77777777" w:rsidR="00A8138F" w:rsidRDefault="00A8138F" w:rsidP="00A8138F">
      <w:pPr>
        <w:pStyle w:val="TextoNormal"/>
      </w:pPr>
    </w:p>
    <w:p w14:paraId="6A0E5CF5" w14:textId="77777777" w:rsidR="00A8138F" w:rsidRDefault="00A8138F" w:rsidP="00A8138F">
      <w:pPr>
        <w:pStyle w:val="TextoNormal"/>
      </w:pPr>
      <w:r>
        <w:t>Esto, justamente, haría la Ley de amnistía, pues estamos, según reconoce el abogado del Estado, ante una ley singular en materia penal pero no ante una ley autoaplicativa. La aplicación de la amnistía a personas concretas queda reservada, en lo que se refiere a los hechos tipificados como delito, a los órganos de la jurisdicción penal (art. 9.1 de la Ley de amnistía) y, en el caso de las infracciones administrativas, a la administración pública, con posibilidad de revisión plena en el ámbito de la jurisdicción contencioso-administrativa (art. 12.1 de la Ley de amnistía).</w:t>
      </w:r>
    </w:p>
    <w:p w14:paraId="5DC5F95A" w14:textId="77777777" w:rsidR="00A8138F" w:rsidRDefault="00A8138F" w:rsidP="00A8138F">
      <w:pPr>
        <w:pStyle w:val="TextoNormal"/>
      </w:pPr>
    </w:p>
    <w:p w14:paraId="2108F6CF" w14:textId="77777777" w:rsidR="00A8138F" w:rsidRDefault="00A8138F" w:rsidP="00A8138F">
      <w:pPr>
        <w:pStyle w:val="TextoNormal"/>
      </w:pPr>
      <w:r>
        <w:t>(ii) Tampoco existiría vulneración alguna de la reserva de jurisdicción del art. 117.1 CE ni del derecho a la tutela judicial efectiva del art. 24.1 CE, pues el legislador, al establecer la amnistía, ni juzga ni ejecuta lo juzgado, sino que despenaliza determinadas conductas ejerciendo la misma potestad normativa que le permite tipificar o destipificar infracciones criminales, e instrumenta, en todo caso, la ejecución de esa regulación despenalizadora a través de un procedimiento judicial con todas las garantías.</w:t>
      </w:r>
    </w:p>
    <w:p w14:paraId="10D44771" w14:textId="77777777" w:rsidR="00A8138F" w:rsidRDefault="00A8138F" w:rsidP="00A8138F">
      <w:pPr>
        <w:pStyle w:val="TextoNormal"/>
      </w:pPr>
    </w:p>
    <w:p w14:paraId="45CAC5E7" w14:textId="77777777" w:rsidR="00A8138F" w:rsidRDefault="00A8138F" w:rsidP="00A8138F">
      <w:pPr>
        <w:pStyle w:val="TextoNormal"/>
      </w:pPr>
      <w:r>
        <w:t>b) En lo que se refiere a la alegación de inconstitucionalidad de la amnistía por tratarse de una ley penal singular incompatible con los arts. 14, 24.1, 17.1 y 25.1 CE, se realizan las siguientes consideraciones:</w:t>
      </w:r>
    </w:p>
    <w:p w14:paraId="7F33E91D" w14:textId="77777777" w:rsidR="00A8138F" w:rsidRDefault="00A8138F" w:rsidP="00A8138F">
      <w:pPr>
        <w:pStyle w:val="TextoNormal"/>
      </w:pPr>
    </w:p>
    <w:p w14:paraId="0AC56775" w14:textId="77777777" w:rsidR="00A8138F" w:rsidRDefault="00A8138F" w:rsidP="00A8138F">
      <w:pPr>
        <w:pStyle w:val="TextoNormal"/>
      </w:pPr>
      <w:r>
        <w:t>(i) Niega el abogado del Estado que exista una supuesta prohibición constitucional de leyes penales singulares. Considera que es perfectamente posible una ley singular en materia penal, en cuanto ley despenalizadora de conductas, y que deben aplicarse, para determinar su legitimidad constitucional, los criterios generales que la doctrina del Tribunal Constitucional ha elaborado en relación con cualquier otra ley de naturaleza singular.</w:t>
      </w:r>
    </w:p>
    <w:p w14:paraId="7E714BE9" w14:textId="77777777" w:rsidR="00A8138F" w:rsidRDefault="00A8138F" w:rsidP="00A8138F">
      <w:pPr>
        <w:pStyle w:val="TextoNormal"/>
      </w:pPr>
    </w:p>
    <w:p w14:paraId="2C4B1C45" w14:textId="77777777" w:rsidR="00A8138F" w:rsidRDefault="00A8138F" w:rsidP="00A8138F">
      <w:pPr>
        <w:pStyle w:val="TextoNormal"/>
      </w:pPr>
      <w:r>
        <w:t>Afirma, con cita de la STC 134/2019, de 13 de noviembre, FJ 5, que la Ley de amnistía cumple los referidos requisitos, pues versa sobre un hecho concreto y excepcional, carece de vocación de permanencia, es subjetivamente aplicable a un grupo de personas determinado o, en su caso, determinable, y cumple, en todo caso, con el juicio de “razonabilidad, proporcionalidad y adecuación” exigible (STC 129/2013, de 4 de junio, FJ 4).</w:t>
      </w:r>
    </w:p>
    <w:p w14:paraId="020DA5B5" w14:textId="77777777" w:rsidR="00A8138F" w:rsidRDefault="00A8138F" w:rsidP="00A8138F">
      <w:pPr>
        <w:pStyle w:val="TextoNormal"/>
      </w:pPr>
    </w:p>
    <w:p w14:paraId="4188FBEB" w14:textId="77777777" w:rsidR="00A8138F" w:rsidRDefault="00A8138F" w:rsidP="00A8138F">
      <w:pPr>
        <w:pStyle w:val="TextoNormal"/>
      </w:pPr>
      <w:r>
        <w:t>Existiría, en efecto, una “justificación objetiva y razonable” de la “singularidad” de la norma legal, pues esta atiende a “la necesidad de superar definitivamente la convulsión social y la confrontación política que vivió la sociedad catalana en el periodo comprendido entre el 1 de enero de 2013 y el 23 de junio de 2021, unido a la voluntad de avanzar en el camino del diálogo político y social necesario para superar un serio conflicto político”. La “proporcionalidad” se aseguraría, a su vez, con la concreción, en la norma legal, del elenco de infracciones punibles afectadas por la amnistía, que son exclusivamente aquellas que presentan una conexión directa con el “procés catalán”, así como con la exclusión expresa de los actos que hayan supuesto graves violaciones de derechos humanos y de la responsabilidad civil frente a terceras personas. Todo lo cual revelaría la “adecuación” de la ley singular a la finalidad perseguida.</w:t>
      </w:r>
    </w:p>
    <w:p w14:paraId="76918472" w14:textId="77777777" w:rsidR="00A8138F" w:rsidRDefault="00A8138F" w:rsidP="00A8138F">
      <w:pPr>
        <w:pStyle w:val="TextoNormal"/>
      </w:pPr>
    </w:p>
    <w:p w14:paraId="0C8C9D08" w14:textId="77777777" w:rsidR="00A8138F" w:rsidRDefault="00A8138F" w:rsidP="00A8138F">
      <w:pPr>
        <w:pStyle w:val="TextoNormal"/>
      </w:pPr>
      <w:r>
        <w:t>(ii) La superación del canon de enjuiciamiento propio de la ley singular afecta, según razona el abogado del Estado, a la alegación de la vulneración del principio de igualdad. Ciertamente, el derecho fundamental a la igualdad del art. 14 CE se proyecta, en la Constitución española, también frente al legislador, tal y como tempranamente destacó la doctrina constitucional (SSTC 49/1982, de 14 de julio, y 75/1983, de 3 de agosto), de modo que la diferencia de trato legalmente establecida debe responder siempre a una justificación objetiva y razonable. Ahora bien, al establecer la Ley de amnistía una medida de gracia que, por su propia naturaleza, es excepcional, no cabe realizar un “juicio de igualdad en el que el término de comparación sea ‘todos los ciudadanos españoles’” sino el juicio de razonabilidad, adecuación y proporcionalidad propio de las leyes singulares, que quedaría cumplido, tal y como se ha expuesto.</w:t>
      </w:r>
    </w:p>
    <w:p w14:paraId="4C461827" w14:textId="77777777" w:rsidR="00A8138F" w:rsidRDefault="00A8138F" w:rsidP="00A8138F">
      <w:pPr>
        <w:pStyle w:val="TextoNormal"/>
      </w:pPr>
    </w:p>
    <w:p w14:paraId="63D5842E" w14:textId="77777777" w:rsidR="00A8138F" w:rsidRDefault="00A8138F" w:rsidP="00A8138F">
      <w:pPr>
        <w:pStyle w:val="TextoNormal"/>
      </w:pPr>
      <w:r>
        <w:t>(iii) La alegación relativa a la vulneración del derecho a la legalidad penal (art. 25.1 CE) en relación con la igualdad (art. 14 CE) tampoco tiene sustento, a juicio del abogado del Estado, pues la Ley de amnistía no establece “nuevas tipificaciones penales, sino todo lo contrario: el perdón de conductas anteriormente punibles y por lo tanto con un efecto favorable para el autor de los hechos que se amnistían”. No sería, por tanto, aplicable el escrutinio propio del precepto constitucional invocado. En todo caso, la Ley de amnistía no crea “espacios singulares de impunidad, contrarios al principio de legalidad [penal]”, ya que tiene un ámbito fáctico y temporal claramente delimitado.</w:t>
      </w:r>
    </w:p>
    <w:p w14:paraId="643B131F" w14:textId="77777777" w:rsidR="00A8138F" w:rsidRDefault="00A8138F" w:rsidP="00A8138F">
      <w:pPr>
        <w:pStyle w:val="TextoNormal"/>
      </w:pPr>
    </w:p>
    <w:p w14:paraId="4BC88AFF" w14:textId="77777777" w:rsidR="00A8138F" w:rsidRDefault="00A8138F" w:rsidP="00A8138F">
      <w:pPr>
        <w:pStyle w:val="TextoNormal"/>
      </w:pPr>
      <w:r>
        <w:t>c) Se analiza, finalmente, la alegada inconstitucionalidad de la Ley de amnistía por infracción de la prohibición constitucional de indultos generales contenida en el art. 62 i) CE.</w:t>
      </w:r>
    </w:p>
    <w:p w14:paraId="164279E8" w14:textId="77777777" w:rsidR="00A8138F" w:rsidRDefault="00A8138F" w:rsidP="00A8138F">
      <w:pPr>
        <w:pStyle w:val="TextoNormal"/>
      </w:pPr>
    </w:p>
    <w:p w14:paraId="32F0A235" w14:textId="77777777" w:rsidR="00A8138F" w:rsidRDefault="00A8138F" w:rsidP="00A8138F">
      <w:pPr>
        <w:pStyle w:val="TextoNormal"/>
      </w:pPr>
      <w:r>
        <w:t>Tal y como anticipaba en sus reflexiones iniciales, el abogado del Estado estima aquí que la amnistía y el indulto son figuras distintas, como manifestaciones singulares de un instituto más general, al que puede darse la denominación de “derecho de gracia”. Reitera, en este punto, las diferencias trazadas entre la amnistía y el indulto en el dictamen de la Comisión de Venecia y considera que, dadas las diferencias existentes entre ambos institutos, la única conclusión cierta que puede extraerse del art. 62 i) CE es que no son posibles los indultos generales, sin que del precepto se derive ninguna prescripción normativa sobre las amnistías. Añade el abogado del Estado que las prohibiciones constitucionales “deben ser taxativas, no implícitas ni abstractas, ni tampoco basadas en la interpretación extensiva o analógica”, por lo que no puede sostenerse que el citado precepto afecte en modo alguno a la potestad del legislador de aprobar una ley de amnistía.</w:t>
      </w:r>
    </w:p>
    <w:p w14:paraId="0CA27763" w14:textId="77777777" w:rsidR="00A8138F" w:rsidRDefault="00A8138F" w:rsidP="00A8138F">
      <w:pPr>
        <w:pStyle w:val="TextoNormal"/>
      </w:pPr>
    </w:p>
    <w:p w14:paraId="2DC1AC41" w14:textId="77777777" w:rsidR="00A8138F" w:rsidRDefault="00A8138F" w:rsidP="00A8138F">
      <w:pPr>
        <w:pStyle w:val="TextoNormal"/>
      </w:pPr>
      <w:r>
        <w:t xml:space="preserve">Argumenta, asimismo, que la Constitución utiliza, en realidad, dos términos distintos, el de indulto cuando pretende referirse a esta concreta figura y el de “gracia” cuando alude al instituto común que comprende tanto el indulto como la amnistía. Un caso especialmente ilustrativo sería el del art. 87.3 CE, que prohíbe la iniciativa legislativa popular “en lo relativo a la prerrogativa de gracia”. Este precepto incide, a juicio del abogado del Estado, en la idea de que la amnistía no es más que una variante de un derecho de gracia, instrumentada a través del ejercicio de la potestad legislativa. Estima, en efecto, que si el art. 87.3 CE prohíbe la iniciativa legislativa popular en lo relativo al derecho de gracia, ha de entenderse que tal proscripción no opera, </w:t>
      </w:r>
      <w:r w:rsidRPr="00A8138F">
        <w:rPr>
          <w:i/>
        </w:rPr>
        <w:t>sensu contrario</w:t>
      </w:r>
      <w:r>
        <w:t>, en relación con los demás supuestos de iniciativa legislativa (arts. 88 y 89 CE), por lo que resulta constitucionalmente viable la tramitación de una ley de amnistía a iniciativa del Gobierno —como proyecto de ley— o del Congreso o el Senado —como proposición de ley—.</w:t>
      </w:r>
    </w:p>
    <w:p w14:paraId="051790E0" w14:textId="77777777" w:rsidR="00A8138F" w:rsidRDefault="00A8138F" w:rsidP="00A8138F">
      <w:pPr>
        <w:pStyle w:val="TextoNormal"/>
      </w:pPr>
    </w:p>
    <w:p w14:paraId="660DA83E" w14:textId="77777777" w:rsidR="00A8138F" w:rsidRDefault="00A8138F" w:rsidP="00A8138F">
      <w:pPr>
        <w:pStyle w:val="TextoNormal"/>
      </w:pPr>
      <w:r>
        <w:t>De la propia doctrina constitucional se desprendería, finalmente, la imposibilidad de equiparar el indulto y la amnistía, pues las SSTC 63/1983, 147/1986 y 73/2017, de 8 de junio, anularon amnistías —en el ámbito laboral y fiscal— no por considerar que tal instituto no tiene cabida en la Constitución sino porque la concreta normativa establecida vulneraba la seguridad jurídica y se había aprobado por decreto-ley. El análisis de fondo realizado por el Tribunal en dichas resoluciones revelaría que se asume implícitamente la potestad del legislador de abordar amnistías.</w:t>
      </w:r>
    </w:p>
    <w:p w14:paraId="4C74D878" w14:textId="77777777" w:rsidR="00A8138F" w:rsidRDefault="00A8138F" w:rsidP="00A8138F">
      <w:pPr>
        <w:pStyle w:val="TextoNormal"/>
      </w:pPr>
    </w:p>
    <w:p w14:paraId="31DE8D28" w14:textId="77777777" w:rsidR="00A8138F" w:rsidRDefault="00A8138F" w:rsidP="00A8138F">
      <w:pPr>
        <w:pStyle w:val="TextoNormal"/>
      </w:pPr>
      <w:r>
        <w:t>De todo ello se infiere, en suma, que la prohibición de indultos generales prevista en el art. 62 i) CE se refiere exclusivamente al ejercicio del perdón por parte del Gobierno prescindiendo de una motivación individualizada, sin afectar en ningún caso a la potestad del legislador de establecer amnistías, pues, “si la Constitución hubiese querido prohibir la amnistía, así lo habría hecho de modo expreso”.</w:t>
      </w:r>
    </w:p>
    <w:p w14:paraId="6601795F" w14:textId="77777777" w:rsidR="00A8138F" w:rsidRDefault="00A8138F" w:rsidP="00A8138F">
      <w:pPr>
        <w:pStyle w:val="TextoNormal"/>
      </w:pPr>
    </w:p>
    <w:p w14:paraId="40857D6C" w14:textId="77777777" w:rsidR="00A8138F" w:rsidRDefault="00A8138F" w:rsidP="00A8138F">
      <w:pPr>
        <w:pStyle w:val="TextoNormal"/>
      </w:pPr>
      <w:r>
        <w:t>C) El abogado del Estado analiza, a continuación, el motivo segundo de la demanda, en el que se expresan los argumentos por los que la concreta amnistía articulada por la Ley de amnistía resultaría, en todo caso, inconstitucional.</w:t>
      </w:r>
    </w:p>
    <w:p w14:paraId="3DBC4C8E" w14:textId="77777777" w:rsidR="00A8138F" w:rsidRDefault="00A8138F" w:rsidP="00A8138F">
      <w:pPr>
        <w:pStyle w:val="TextoNormal"/>
      </w:pPr>
    </w:p>
    <w:p w14:paraId="6C00F975" w14:textId="77777777" w:rsidR="00A8138F" w:rsidRDefault="00A8138F" w:rsidP="00A8138F">
      <w:pPr>
        <w:pStyle w:val="TextoNormal"/>
      </w:pPr>
      <w:r>
        <w:t>a) Se aclara, en primer lugar, que no se va a dar respuesta específica a las dos primeras alegaciones incluidas dentro de este motivo, conforme a las cuales la Ley de amnistía no perseguiría razones de justicia y obedecería, en última instancia, al mero interés particular de sus promotores, con la consiguiente contravención de la cláusula de Estado de Derecho (art. 1.1 CE), de la división de poderes y la exclusividad de la jurisdicción (arts. 117 y 118 CE) y del derecho a la igualdad en la aplicación de la ley penal (arts. 14, 17 y 25 CE).</w:t>
      </w:r>
    </w:p>
    <w:p w14:paraId="45B7E094" w14:textId="77777777" w:rsidR="00A8138F" w:rsidRDefault="00A8138F" w:rsidP="00A8138F">
      <w:pPr>
        <w:pStyle w:val="TextoNormal"/>
      </w:pPr>
    </w:p>
    <w:p w14:paraId="33137E81" w14:textId="77777777" w:rsidR="00A8138F" w:rsidRDefault="00A8138F" w:rsidP="00A8138F">
      <w:pPr>
        <w:pStyle w:val="TextoNormal"/>
      </w:pPr>
      <w:r>
        <w:t>Estima el abogado del Estado que la compatibilidad de la amnistía con los preceptos constitucionales aludidos ya ha sido suficientemente argumentada en las alegaciones precedentes y que, en todo caso, estas primeras impugnaciones del “motivo segundo” se basan en consideraciones extrajurídicas y en juicios de intenciones ajenos al objeto de debate propio de un proceso constitucional.</w:t>
      </w:r>
    </w:p>
    <w:p w14:paraId="3D8D48BA" w14:textId="77777777" w:rsidR="00A8138F" w:rsidRDefault="00A8138F" w:rsidP="00A8138F">
      <w:pPr>
        <w:pStyle w:val="TextoNormal"/>
      </w:pPr>
    </w:p>
    <w:p w14:paraId="33A85DEF" w14:textId="77777777" w:rsidR="00A8138F" w:rsidRDefault="00A8138F" w:rsidP="00A8138F">
      <w:pPr>
        <w:pStyle w:val="TextoNormal"/>
      </w:pPr>
      <w:r>
        <w:t xml:space="preserve">Añade que la Ley de amnistía dispone de un preámbulo en el que se expresan las razones que han guiado al legislador y que, de acuerdo con dicho texto, se ha procedido a “una renuncia al ejercicio del </w:t>
      </w:r>
      <w:r w:rsidRPr="00A8138F">
        <w:rPr>
          <w:i/>
        </w:rPr>
        <w:t>ius puniendi</w:t>
      </w:r>
      <w:r>
        <w:t xml:space="preserve"> por razones de utilidad social que se fundamenta en la consecución de un interés superior: la convivencia democrática”. A esta declaración expresa del legislador hay, por tanto, que atenerse.</w:t>
      </w:r>
    </w:p>
    <w:p w14:paraId="70DC359B" w14:textId="77777777" w:rsidR="00A8138F" w:rsidRDefault="00A8138F" w:rsidP="00A8138F">
      <w:pPr>
        <w:pStyle w:val="TextoNormal"/>
      </w:pPr>
    </w:p>
    <w:p w14:paraId="24422DFE" w14:textId="77777777" w:rsidR="00A8138F" w:rsidRDefault="00A8138F" w:rsidP="00A8138F">
      <w:pPr>
        <w:pStyle w:val="TextoNormal"/>
      </w:pPr>
      <w:r>
        <w:t>b) Entrando ya en los motivos con sustantividad jurídica propia, el abogado del Estado rechaza, en primer lugar, que nos encontremos ante una autoamnistía contraria al art. 102 CE —así como a los arts. 1.1 y 9.3 CE—, pues dicho precepto proscribe un autoindulto al presidente o a los demás miembros del Gobierno. Aquí nos encontramos ante una amnistía, no ante un indulto, y sus destinatarios no son, en todo caso, los miembros del Gobierno.</w:t>
      </w:r>
    </w:p>
    <w:p w14:paraId="6F529A09" w14:textId="77777777" w:rsidR="00A8138F" w:rsidRDefault="00A8138F" w:rsidP="00A8138F">
      <w:pPr>
        <w:pStyle w:val="TextoNormal"/>
      </w:pPr>
    </w:p>
    <w:p w14:paraId="22E81D66" w14:textId="77777777" w:rsidR="00A8138F" w:rsidRDefault="00A8138F" w:rsidP="00A8138F">
      <w:pPr>
        <w:pStyle w:val="TextoNormal"/>
      </w:pPr>
      <w:r>
        <w:t>c) Se analizan, acto seguido, los diversos motivos de inconstitucionalidad vinculados a la vulneración del art. 23 CE, a los que el abogado del Estado da la siguiente respuesta:</w:t>
      </w:r>
    </w:p>
    <w:p w14:paraId="082158A1" w14:textId="77777777" w:rsidR="00A8138F" w:rsidRDefault="00A8138F" w:rsidP="00A8138F">
      <w:pPr>
        <w:pStyle w:val="TextoNormal"/>
      </w:pPr>
    </w:p>
    <w:p w14:paraId="479B5B7A" w14:textId="77777777" w:rsidR="00A8138F" w:rsidRDefault="00A8138F" w:rsidP="00A8138F">
      <w:pPr>
        <w:pStyle w:val="TextoNormal"/>
      </w:pPr>
      <w:r>
        <w:t>(i) La Ley de amnistía no puede ser contraria a la Constitución, como pretenden los recurrentes, por no haber sido adoptada por una mayoría cualificada. El legislador ha estimado, según explica el preámbulo de la Ley de amnistía, que la amnistía debe ser aprobada mediante ley orgánica al tratarse de una ley en materia penal que afecta a derechos fundamentales, sin que en el procedimiento legislativo español se prevea una mayoría cualificada superior a la absoluta prevista para las leyes orgánicas en el art. 81.2 CE.</w:t>
      </w:r>
    </w:p>
    <w:p w14:paraId="66A00C28" w14:textId="77777777" w:rsidR="00A8138F" w:rsidRDefault="00A8138F" w:rsidP="00A8138F">
      <w:pPr>
        <w:pStyle w:val="TextoNormal"/>
      </w:pPr>
    </w:p>
    <w:p w14:paraId="268BE208" w14:textId="77777777" w:rsidR="00A8138F" w:rsidRDefault="00A8138F" w:rsidP="00A8138F">
      <w:pPr>
        <w:pStyle w:val="TextoNormal"/>
      </w:pPr>
      <w:r>
        <w:t>(ii) Tampoco resulta objetable que se haya tramitado la Ley de amnistía en virtud de una proposición de ley presentada cuando el Gobierno todavía se encontraba en funciones, pues no existe ninguna previsión constitucional que impida al Congreso de los Diputados ejercer, en esas circunstancias, la iniciativa legislativa prevista en el art. 88 CE. En todo caso, el art. 21.5 de la Ley 50/1997, de 27 de noviembre, del Gobierno, citado por los recurrentes, solo se refiere a los proyectos de ley, no a las proposiciones de ley.</w:t>
      </w:r>
    </w:p>
    <w:p w14:paraId="271A1FDA" w14:textId="77777777" w:rsidR="00A8138F" w:rsidRDefault="00A8138F" w:rsidP="00A8138F">
      <w:pPr>
        <w:pStyle w:val="TextoNormal"/>
      </w:pPr>
    </w:p>
    <w:p w14:paraId="08B427B5" w14:textId="77777777" w:rsidR="00A8138F" w:rsidRDefault="00A8138F" w:rsidP="00A8138F">
      <w:pPr>
        <w:pStyle w:val="TextoNormal"/>
      </w:pPr>
      <w:r>
        <w:t>(iii) La devolución de la proposición de ley orgánica de amnistía a la Comisión de Justicia para la elaboración de un nuevo dictamen —después de no haber obtenido un primer dictamen el voto favorable de la mayoría absoluta del Pleno del Congreso— se habría ajustado, por su parte, al tenor del art. 131.2 RCD, por lo que no existiría ningún vicio procedimental susceptible de vulnerar el art. 23 CE.</w:t>
      </w:r>
    </w:p>
    <w:p w14:paraId="4F81E199" w14:textId="77777777" w:rsidR="00A8138F" w:rsidRDefault="00A8138F" w:rsidP="00A8138F">
      <w:pPr>
        <w:pStyle w:val="TextoNormal"/>
      </w:pPr>
    </w:p>
    <w:p w14:paraId="77BF94C2" w14:textId="77777777" w:rsidR="00A8138F" w:rsidRDefault="00A8138F" w:rsidP="00A8138F">
      <w:pPr>
        <w:pStyle w:val="TextoNormal"/>
      </w:pPr>
      <w:r>
        <w:t>(iv) Tampoco se habría producido una admisión sorpresiva de enmiendas transaccionales, pues se habría respetado, en este caso, lo dispuesto en el art. 114.3 RCD.</w:t>
      </w:r>
    </w:p>
    <w:p w14:paraId="170D4284" w14:textId="77777777" w:rsidR="00A8138F" w:rsidRDefault="00A8138F" w:rsidP="00A8138F">
      <w:pPr>
        <w:pStyle w:val="TextoNormal"/>
      </w:pPr>
    </w:p>
    <w:p w14:paraId="36CDC638" w14:textId="77777777" w:rsidR="00A8138F" w:rsidRDefault="00A8138F" w:rsidP="00A8138F">
      <w:pPr>
        <w:pStyle w:val="TextoNormal"/>
      </w:pPr>
      <w:r>
        <w:t>d) La alegación de la vulneración del art. 14 CE por resultar la amnistía desproporcionada y arbitraria es contestada, a su vez, mediante una remisión a los argumentos ya esgrimidos en relación con el motivo primero de la demanda. Recuerda el abogado del Estado que la Ley de amnistía cumple con los principios de “razonabilidad, proporcionalidad y adecuación” y advierte, en todo caso, que la atribución de un vicio de arbitrariedad al legislador exige, en la doctrina constitucional, una argumentación suficiente, de suerte que corresponde al recurrente “probar la arbitrariedad del legislador democrático” a través de un “razonamiento mucho más detallado y una demostración convincente”.</w:t>
      </w:r>
    </w:p>
    <w:p w14:paraId="449E65AE" w14:textId="77777777" w:rsidR="00A8138F" w:rsidRDefault="00A8138F" w:rsidP="00A8138F">
      <w:pPr>
        <w:pStyle w:val="TextoNormal"/>
      </w:pPr>
    </w:p>
    <w:p w14:paraId="6525292B" w14:textId="77777777" w:rsidR="00A8138F" w:rsidRDefault="00A8138F" w:rsidP="00A8138F">
      <w:pPr>
        <w:pStyle w:val="TextoNormal"/>
      </w:pPr>
      <w:r>
        <w:t>Frente a la expresa y amplia justificación que el preámbulo de la Ley de amnistía realiza de la existencia de un objetivo legítimo y de la necesidad de utilizar la vía de la amnistía para alcanzarlo, los recurrentes solo habrían aportado juicios de intenciones políticas.</w:t>
      </w:r>
    </w:p>
    <w:p w14:paraId="40B77964" w14:textId="77777777" w:rsidR="00A8138F" w:rsidRDefault="00A8138F" w:rsidP="00A8138F">
      <w:pPr>
        <w:pStyle w:val="TextoNormal"/>
      </w:pPr>
    </w:p>
    <w:p w14:paraId="58494280" w14:textId="77777777" w:rsidR="00A8138F" w:rsidRDefault="00A8138F" w:rsidP="00A8138F">
      <w:pPr>
        <w:pStyle w:val="TextoNormal"/>
      </w:pPr>
      <w:r>
        <w:t>En todo caso, el “principal perjuicio aducido por los recurrentes, como es el trato diferenciado de quienes cometieron determinados actos ilícitos”, queda justificado, según señala el abogado del Estado, por la “excepcionalidad del contexto político y social” afrontado por la Ley de amnistía. La amnistía tiene, en consecuencia, un resultado neto positivo para el interés general, en cuanto refuerza “la cohesión social y la estabilidad institucional en España”.</w:t>
      </w:r>
    </w:p>
    <w:p w14:paraId="5BBB7A52" w14:textId="77777777" w:rsidR="00A8138F" w:rsidRDefault="00A8138F" w:rsidP="00A8138F">
      <w:pPr>
        <w:pStyle w:val="TextoNormal"/>
      </w:pPr>
    </w:p>
    <w:p w14:paraId="68FF6955" w14:textId="77777777" w:rsidR="00A8138F" w:rsidRDefault="00A8138F" w:rsidP="00A8138F">
      <w:pPr>
        <w:pStyle w:val="TextoNormal"/>
      </w:pPr>
      <w:r>
        <w:t>D) Se abordan, en un último bloque argumental, los motivos de inconstitucionalidad que versan sobre concretos preceptos legales.</w:t>
      </w:r>
    </w:p>
    <w:p w14:paraId="1B24ACB8" w14:textId="77777777" w:rsidR="00A8138F" w:rsidRDefault="00A8138F" w:rsidP="00A8138F">
      <w:pPr>
        <w:pStyle w:val="TextoNormal"/>
      </w:pPr>
    </w:p>
    <w:p w14:paraId="2E46A306" w14:textId="77777777" w:rsidR="00A8138F" w:rsidRDefault="00A8138F" w:rsidP="00A8138F">
      <w:pPr>
        <w:pStyle w:val="TextoNormal"/>
      </w:pPr>
      <w:r>
        <w:t>a) Sobre las diversas impugnaciones relativas al art. 1 de la Ley de amnistía, el abogado del Estado realiza las siguientes consideraciones:</w:t>
      </w:r>
    </w:p>
    <w:p w14:paraId="12E34649" w14:textId="77777777" w:rsidR="00A8138F" w:rsidRDefault="00A8138F" w:rsidP="00A8138F">
      <w:pPr>
        <w:pStyle w:val="TextoNormal"/>
      </w:pPr>
    </w:p>
    <w:p w14:paraId="7602DC24" w14:textId="77777777" w:rsidR="00A8138F" w:rsidRDefault="00A8138F" w:rsidP="00A8138F">
      <w:pPr>
        <w:pStyle w:val="TextoNormal"/>
      </w:pPr>
      <w:r>
        <w:t>(i) Señala que los argumentos ya utilizados para justificar la constitucionalidad global de la Ley de amnistía son, de por sí, suficientes para rebatir la objeción formulada por los recurrentes a la inclusión dentro de la amnistía de los líderes del proceso separatista pese a su reiterada manifestación de voluntad de repetir las mismas conductas delictivas.</w:t>
      </w:r>
    </w:p>
    <w:p w14:paraId="11BD27F2" w14:textId="77777777" w:rsidR="00A8138F" w:rsidRDefault="00A8138F" w:rsidP="00A8138F">
      <w:pPr>
        <w:pStyle w:val="TextoNormal"/>
      </w:pPr>
    </w:p>
    <w:p w14:paraId="5A7E327C" w14:textId="77777777" w:rsidR="00A8138F" w:rsidRDefault="00A8138F" w:rsidP="00A8138F">
      <w:pPr>
        <w:pStyle w:val="TextoNormal"/>
      </w:pPr>
      <w:r>
        <w:t>(ii) Afirma que el ámbito temporal de aplicación de la amnistía no resulta desproporcionado, pues comprende hechos ilícitos que “guardan una profunda conexión” con “la consulta celebrada en Cataluña el 9 de noviembre de 2014” y con el “referéndum de 1 de octubre de 2017”. Se trata de hechos ilícitos que, o bien se cometieron para facilitar que dicha consulta y el mencionado referendo tuvieran lugar, o bien se realizaron para oponerse a las condenas penales dictadas por los tribunales en relación con su celebración.</w:t>
      </w:r>
    </w:p>
    <w:p w14:paraId="2582B2EC" w14:textId="77777777" w:rsidR="00A8138F" w:rsidRDefault="00A8138F" w:rsidP="00A8138F">
      <w:pPr>
        <w:pStyle w:val="TextoNormal"/>
      </w:pPr>
    </w:p>
    <w:p w14:paraId="7AC8545E" w14:textId="77777777" w:rsidR="00A8138F" w:rsidRDefault="00A8138F" w:rsidP="00A8138F">
      <w:pPr>
        <w:pStyle w:val="TextoNormal"/>
      </w:pPr>
      <w:r>
        <w:t>(iii) Rechaza, en todo caso, la arbitrariedad y desproporción (arts. 9.3, 17.1 y 25.1 CE) de la extensión de la amnistía [art. 1.1 a), b), c) y d) de la Ley de amnistía], pues considera que esta es “limitada y adecuada a la finalidad perseguida”, que “[n]o tiene una duración indefinida” y que no se extiende a hechos que carezcan de relación con el proceso separatista que dio lugar a la consulta y el referendo ya citados.</w:t>
      </w:r>
    </w:p>
    <w:p w14:paraId="6FB4A0C5" w14:textId="77777777" w:rsidR="00A8138F" w:rsidRDefault="00A8138F" w:rsidP="00A8138F">
      <w:pPr>
        <w:pStyle w:val="TextoNormal"/>
      </w:pPr>
    </w:p>
    <w:p w14:paraId="0F2F0D0D" w14:textId="77777777" w:rsidR="00A8138F" w:rsidRDefault="00A8138F" w:rsidP="00A8138F">
      <w:pPr>
        <w:pStyle w:val="TextoNormal"/>
      </w:pPr>
      <w:r>
        <w:t>(iv) Niega, en particular, que la aplicación de la amnistía quede supeditada a la mera manifestación de la persona encausada de haber perseguido una finalidad independentista al realizar la conducta delictiva. Entiende que han de ser los órganos judiciales los que valoren la concurrencia de dicha finalidad de acuerdo con todos los elementos de juicio disponibles en cada caso concreto, sin que los tribunales estén vinculados a la “intención o el fin que […] [la persona encausada] manifieste haber perseguido con una determinada acción”.</w:t>
      </w:r>
    </w:p>
    <w:p w14:paraId="7904E8A4" w14:textId="77777777" w:rsidR="00A8138F" w:rsidRDefault="00A8138F" w:rsidP="00A8138F">
      <w:pPr>
        <w:pStyle w:val="TextoNormal"/>
      </w:pPr>
    </w:p>
    <w:p w14:paraId="05552834" w14:textId="77777777" w:rsidR="00A8138F" w:rsidRDefault="00A8138F" w:rsidP="00A8138F">
      <w:pPr>
        <w:pStyle w:val="TextoNormal"/>
      </w:pPr>
      <w:r>
        <w:t>(v) Considera que el art. 1.1 e) de la Ley de amnistía no incurre en una discriminación ideológica contraria al art. 14 CE al solo contemplar la aplicación de la amnistía para los que cometieron hechos delictivos con la finalidad de favorecer la independencia, excluyendo a los que se oponían a ella. Estima que, en principio, se trata de una opción legítima del legislador, que es el que debe establecer los límites de la medida de gracia. Subsidiariamente, alega que puede entenderse, en todo caso, que nos encontramos ante un mero defecto técnico de la ley, de suerte que esta no pretendería, en realidad, consumar la referida exclusión.</w:t>
      </w:r>
    </w:p>
    <w:p w14:paraId="62C1D486" w14:textId="77777777" w:rsidR="00A8138F" w:rsidRDefault="00A8138F" w:rsidP="00A8138F">
      <w:pPr>
        <w:pStyle w:val="TextoNormal"/>
      </w:pPr>
    </w:p>
    <w:p w14:paraId="0C7988F9" w14:textId="77777777" w:rsidR="00A8138F" w:rsidRDefault="00A8138F" w:rsidP="00A8138F">
      <w:pPr>
        <w:pStyle w:val="TextoNormal"/>
      </w:pPr>
      <w:r>
        <w:t>Según argumenta, aunque el art. 1.1 e) solo contempla una determinada finalidad ideológica, los delitos cometidos con motivo del proceso separatista con una finalidad distinta a la independentista estarían, en todo caso, amparados por la cláusula general del apartado primero del mismo artículo, que se refiere a todos los actos ejecutados en el marco de las consultas celebradas en Cataluña el 9 de noviembre de 2014 y el 1 de octubre de 2017, o ejecutados, en general, en el contexto del denominado proceso independentista catalán, siempre que se encuentren dentro del marco temporal expresamente establecido y que se trate de las infracciones que luego se especifican.</w:t>
      </w:r>
    </w:p>
    <w:p w14:paraId="67310F85" w14:textId="77777777" w:rsidR="00A8138F" w:rsidRDefault="00A8138F" w:rsidP="00A8138F">
      <w:pPr>
        <w:pStyle w:val="TextoNormal"/>
      </w:pPr>
    </w:p>
    <w:p w14:paraId="26D6861C" w14:textId="77777777" w:rsidR="00A8138F" w:rsidRDefault="00A8138F" w:rsidP="00A8138F">
      <w:pPr>
        <w:pStyle w:val="TextoNormal"/>
      </w:pPr>
      <w:r>
        <w:t>La amnistía, por tanto, sí daría “cobertura a las potenciales actuaciones de ciudadanos que tuvieran responsabilidad penal, administrativa o contable por hechos acontecidos en el contexto del proceso independentista catalán, independientemente que fueran a favor o en contra del mismo”.</w:t>
      </w:r>
    </w:p>
    <w:p w14:paraId="5147180E" w14:textId="77777777" w:rsidR="00A8138F" w:rsidRDefault="00A8138F" w:rsidP="00A8138F">
      <w:pPr>
        <w:pStyle w:val="TextoNormal"/>
      </w:pPr>
    </w:p>
    <w:p w14:paraId="2FADF675" w14:textId="77777777" w:rsidR="00A8138F" w:rsidRDefault="00A8138F" w:rsidP="00A8138F">
      <w:pPr>
        <w:pStyle w:val="TextoNormal"/>
      </w:pPr>
      <w:r>
        <w:t>b) Las alegaciones de inconstitucionalidad del art. 2 de la Ley de amnistía —que establece los supuestos excluidos de la aplicación de la amnistía— son, a su vez, rechazadas por el abogado del Estado con las siguientes razones:</w:t>
      </w:r>
    </w:p>
    <w:p w14:paraId="5FF220FE" w14:textId="77777777" w:rsidR="00A8138F" w:rsidRDefault="00A8138F" w:rsidP="00A8138F">
      <w:pPr>
        <w:pStyle w:val="TextoNormal"/>
      </w:pPr>
    </w:p>
    <w:p w14:paraId="6E8CF362" w14:textId="77777777" w:rsidR="00A8138F" w:rsidRDefault="00A8138F" w:rsidP="00A8138F">
      <w:pPr>
        <w:pStyle w:val="TextoNormal"/>
      </w:pPr>
      <w:r>
        <w:t>(i) Respecto del art. 2 a) de la Ley de amnistía, niega que solo queden excluidos de la aplicación de la amnistía los hechos que hayan producido los resultados (de muerte, aborto, lesiones, etc.) que el precepto contempla. Entiende que han de considerarse incluidos dentro de la excepción establecida en este apartado “todos los grados de ejecución del delito”, más allá de la valoración que pueda merecer la calidad técnica de la ley en este punto.</w:t>
      </w:r>
    </w:p>
    <w:p w14:paraId="390111B0" w14:textId="77777777" w:rsidR="00A8138F" w:rsidRDefault="00A8138F" w:rsidP="00A8138F">
      <w:pPr>
        <w:pStyle w:val="TextoNormal"/>
      </w:pPr>
    </w:p>
    <w:p w14:paraId="0BAC2B75" w14:textId="77777777" w:rsidR="00A8138F" w:rsidRDefault="00A8138F" w:rsidP="00A8138F">
      <w:pPr>
        <w:pStyle w:val="TextoNormal"/>
      </w:pPr>
      <w:r>
        <w:t>(ii) En relación con el art. 2 c) de la Ley de amnistía, señala el abogado del Estado, con cita del dictamen de la Comisión de Venecia, que las amnistías “solo son compatibles con las normas internacionales si se excluyen de su ámbito de aplicación las violaciones graves de los derechos humanos”. Eso precisamente haría la Ley de amnistía al distinguir los actos de terrorismo que recoge expresamente la Directiva (UE) 2017/541, de “cualesquiera actos graves terroristas que resultan recogidos en […] [el] art. 573 del Código penal”. Alega, en este punto, que es posible que “una conducta incardinable en el art. 573.1 del Código penal no sea ‘terrorismo según la Directiva’ de referencia, ya por su modalidad típica […], ya por la finalidad perseguida”.</w:t>
      </w:r>
    </w:p>
    <w:p w14:paraId="4C7DC51F" w14:textId="77777777" w:rsidR="00A8138F" w:rsidRDefault="00A8138F" w:rsidP="00A8138F">
      <w:pPr>
        <w:pStyle w:val="TextoNormal"/>
      </w:pPr>
    </w:p>
    <w:p w14:paraId="48A75567" w14:textId="77777777" w:rsidR="00A8138F" w:rsidRDefault="00A8138F" w:rsidP="00A8138F">
      <w:pPr>
        <w:pStyle w:val="TextoNormal"/>
      </w:pPr>
      <w:r>
        <w:t>c) Rechaza, asimismo, que el art. 2 d) de la Ley de amnistía resulte inconstitucional por no mencionar, dentro de las motivaciones delictivas que impiden la aplicación de la amnistía (como las racistas, antisemitas, antigitanas, etc.), cualquier “otra clase de discriminación referente a la ideología” (dicción esta que sí estaría incluida tanto en el art. 22 como en el art. 510 CP). Señala que la inconstitucionalidad de una norma por omisión solo puede producirse cuando es la propia Constitución la que impone al legislador la necesidad de “integrar su texto en aspectos no contemplados por ella”, no siendo este el caso.</w:t>
      </w:r>
    </w:p>
    <w:p w14:paraId="2625455C" w14:textId="77777777" w:rsidR="00A8138F" w:rsidRDefault="00A8138F" w:rsidP="00A8138F">
      <w:pPr>
        <w:pStyle w:val="TextoNormal"/>
      </w:pPr>
    </w:p>
    <w:p w14:paraId="49E22F9E" w14:textId="77777777" w:rsidR="00A8138F" w:rsidRDefault="00A8138F" w:rsidP="00A8138F">
      <w:pPr>
        <w:pStyle w:val="TextoNormal"/>
      </w:pPr>
      <w:r>
        <w:t>d) En cuanto a la impugnación del régimen jurídico de las medidas cautelares y de la ejecución de las penas contemplado en el art. 4 de la Ley de amnistía, se realizan las siguientes consideraciones:</w:t>
      </w:r>
    </w:p>
    <w:p w14:paraId="73500C19" w14:textId="77777777" w:rsidR="00A8138F" w:rsidRDefault="00A8138F" w:rsidP="00A8138F">
      <w:pPr>
        <w:pStyle w:val="TextoNormal"/>
      </w:pPr>
    </w:p>
    <w:p w14:paraId="4D0BEB91" w14:textId="77777777" w:rsidR="00A8138F" w:rsidRDefault="00A8138F" w:rsidP="00A8138F">
      <w:pPr>
        <w:pStyle w:val="TextoNormal"/>
      </w:pPr>
      <w:r>
        <w:t xml:space="preserve">(i) La regulación de las medidas cautelares prevista en el art. 4 a) de la Ley de amnistía [en relación con el apartado c)] no puede contradecir los arts. 24.1 y 117.3 CE, pues el referido precepto no establece un alzamiento </w:t>
      </w:r>
      <w:r w:rsidRPr="00A8138F">
        <w:rPr>
          <w:i/>
        </w:rPr>
        <w:t>ope legis</w:t>
      </w:r>
      <w:r>
        <w:t xml:space="preserve"> de las que hayan sido adoptadas; al contrario, existe “un juicio previo de valoración por parte del tribunal y solo si el juzgador considera que el hecho se integra entre los amnistiados procederá al levantamiento de las medidas cautelares”. En ese caso, “la apreciación de que el sujeto es beneficiario de la amnistía hace desaparecer el carácter delictivo del hecho y la responsabilidad criminal, por lo que no existe justificación alguna para su mantenimiento”.</w:t>
      </w:r>
    </w:p>
    <w:p w14:paraId="37C52929" w14:textId="77777777" w:rsidR="00A8138F" w:rsidRDefault="00A8138F" w:rsidP="00A8138F">
      <w:pPr>
        <w:pStyle w:val="TextoNormal"/>
      </w:pPr>
    </w:p>
    <w:p w14:paraId="78E51661" w14:textId="77777777" w:rsidR="00A8138F" w:rsidRDefault="00A8138F" w:rsidP="00A8138F">
      <w:pPr>
        <w:pStyle w:val="TextoNormal"/>
      </w:pPr>
      <w:r>
        <w:t>(ii) Tampoco cabría hacer reproche alguno al consiguiente régimen de alzamiento, conforme al art. 4 b) de la Ley de amnistía, de las órdenes de busca y captura e ingreso en prisión, así como de las órdenes europeas e internacionales de detención, pues, “si se perdona el delito[,] no tiene sentido que se cursen las órdenes de busca y captura e ingreso en prisión de las personas a las que resulte de aplicación esta amnistía, así como la órdenes nacionales, europeas o internacionales de detención”.</w:t>
      </w:r>
    </w:p>
    <w:p w14:paraId="01574E63" w14:textId="77777777" w:rsidR="00A8138F" w:rsidRDefault="00A8138F" w:rsidP="00A8138F">
      <w:pPr>
        <w:pStyle w:val="TextoNormal"/>
      </w:pPr>
    </w:p>
    <w:p w14:paraId="09332DF9" w14:textId="77777777" w:rsidR="00A8138F" w:rsidRDefault="00A8138F" w:rsidP="00A8138F">
      <w:pPr>
        <w:pStyle w:val="TextoNormal"/>
      </w:pPr>
      <w:r>
        <w:t>(iii) El mismo argumento sería aplicable al art. 4 d) de la Ley de amnistía y a la obligación que allí se contempla de dar por finalizada la ejecución de las penas privativas de libertad, privativas de derechos y de multa. Puesto que la Ley de amnistía “establece un perdón de los delitos incluidos en su ámbito objetivo […] sería incoherente con este propósito el mantenimiento de los efectos de un delito objeto de amnistía”. No se infringe, por tanto, el art. 24.1 CE.</w:t>
      </w:r>
    </w:p>
    <w:p w14:paraId="7DBF0849" w14:textId="77777777" w:rsidR="00A8138F" w:rsidRDefault="00A8138F" w:rsidP="00A8138F">
      <w:pPr>
        <w:pStyle w:val="TextoNormal"/>
      </w:pPr>
    </w:p>
    <w:p w14:paraId="7E0177AA" w14:textId="77777777" w:rsidR="00A8138F" w:rsidRDefault="00A8138F" w:rsidP="00A8138F">
      <w:pPr>
        <w:pStyle w:val="TextoNormal"/>
      </w:pPr>
      <w:r>
        <w:t>e) Se opone también el abogado del Estado a la inconstitucionalidad del art. 7, párrafo segundo de la Ley de amnistía, ligada al régimen de restitución de las cantidades abonadas en concepto de multa por infracciones impuestas al amparo de la Ley Orgánica 4/2015, de 30 de marzo, de protección de la seguridad ciudadana. Según se señala, el perdón de las infracciones administrativas se vincula al ámbito de aplicación de la Ley de amnistía y las decisiones de las autoridades administrativas son revisables por la jurisdicción contencioso-administrativa.</w:t>
      </w:r>
    </w:p>
    <w:p w14:paraId="7879D1D6" w14:textId="77777777" w:rsidR="00A8138F" w:rsidRDefault="00A8138F" w:rsidP="00A8138F">
      <w:pPr>
        <w:pStyle w:val="TextoNormal"/>
      </w:pPr>
    </w:p>
    <w:p w14:paraId="57C83FC5" w14:textId="77777777" w:rsidR="00A8138F" w:rsidRDefault="00A8138F" w:rsidP="00A8138F">
      <w:pPr>
        <w:pStyle w:val="TextoNormal"/>
      </w:pPr>
      <w:r>
        <w:t>f) Tampoco sería constitucionalmente reprochable el régimen de exclusión de la responsabilidad civil por daños ocasionados a particulares contemplado en el art. 8 de la Ley de amnistía. Ciertamente, las víctimas, al cerrarse la vía penal por razón de la amnistía, tendrán que acudir al procedimiento civil correspondiente, pero ese régimen legal en nada difiere de cualquier otro supuesto de archivo del proceso penal en el que siga resultando posible el ejercicio de la acción resarcitoria, de acuerdo con el art. 116 LECrim. No puede vulnerar el art. 24.1 CE ni entrañar discriminación alguna desde la óptica del art. 14 CE la aplicación de ese régimen general previsto en la propia Ley de enjuiciamiento criminal.</w:t>
      </w:r>
    </w:p>
    <w:p w14:paraId="0A961C15" w14:textId="77777777" w:rsidR="00A8138F" w:rsidRDefault="00A8138F" w:rsidP="00A8138F">
      <w:pPr>
        <w:pStyle w:val="TextoNormal"/>
      </w:pPr>
    </w:p>
    <w:p w14:paraId="1E865740" w14:textId="77777777" w:rsidR="00A8138F" w:rsidRDefault="00A8138F" w:rsidP="00A8138F">
      <w:pPr>
        <w:pStyle w:val="TextoNormal"/>
      </w:pPr>
      <w:r>
        <w:t>g) El régimen no suspensivo de los recursos interpuestos frente a las decisiones relativas a la aplicación de la Ley de amnistía, establecido en el art. 10 de la Ley de amnistía, sería, a su vez, compatible con la Constitución por la misma razón: se limita a reproducir el régimen general de la Ley de enjuiciamiento criminal y no hay, por tanto, vulneración de los arts. 25.1 y 17.1 CE.</w:t>
      </w:r>
    </w:p>
    <w:p w14:paraId="51A4EEB7" w14:textId="77777777" w:rsidR="00A8138F" w:rsidRDefault="00A8138F" w:rsidP="00A8138F">
      <w:pPr>
        <w:pStyle w:val="TextoNormal"/>
      </w:pPr>
    </w:p>
    <w:p w14:paraId="0774EEBD" w14:textId="77777777" w:rsidR="00A8138F" w:rsidRDefault="00A8138F" w:rsidP="00A8138F">
      <w:pPr>
        <w:pStyle w:val="TextoNormal"/>
      </w:pPr>
      <w:r>
        <w:t>h) Tampoco es constitucionalmente problemática la exigencia, contenida en el art. 11.2 de la Ley de amnistía, de que, en caso de que el proceso penal afectado se encuentre en fase de instrucción o intermedia, se adopte una decisión de sobreseimiento libre. Argumenta el abogado del Estado que estamos ante una decisión que no puede considerarse ni “arbitraria” ni “caprichosa”, y por ello contraria al art. 24.1 CE, pues, nuevamente, se aplica el régimen general de la Ley de enjuiciamiento criminal, en el que la exención de responsabilidad criminal por amnistía conlleva el correspondiente sobreseimiento libre de acuerdo con lo dispuesto en los arts. 637, 666 y 675 LECrim. Este tipo de sobreseimiento, según se alega con cita de la STS 5016/1980, de 23 de septiembre (ECLI:ES:TS:1980:5016), y del ATS 4739/2010, de 3 de febrero (ECLI:ES:TS:2010:4739A), habrían adoptado los tribunales en la aplicación de la amnistía otorgada a través de la Ley 46/1977.</w:t>
      </w:r>
    </w:p>
    <w:p w14:paraId="4DD2B9DF" w14:textId="77777777" w:rsidR="00A8138F" w:rsidRDefault="00A8138F" w:rsidP="00A8138F">
      <w:pPr>
        <w:pStyle w:val="TextoNormal"/>
      </w:pPr>
    </w:p>
    <w:p w14:paraId="271626D0" w14:textId="77777777" w:rsidR="00A8138F" w:rsidRDefault="00A8138F" w:rsidP="00A8138F">
      <w:pPr>
        <w:pStyle w:val="TextoNormal"/>
      </w:pPr>
      <w:r>
        <w:t>i) Descarta, por último, el abogado del Estado que el procedimiento de aplicación de la amnistía al ámbito contable, previsto en el art. 13 de la Ley de amnistía, genere la indefensión proscrita en el art. 24.1 CE o vulnere el derecho de defensa del art. 24.2 CE. Estima que las entidades públicas perjudicadas han de ser oídas, al igual que el Ministerio Fiscal, y que solo los particulares que hubieran ejercitado la acción popular resultan excluidos. Esto no generaría indefensión alguna pues estos “no tienen […] derecho a obtener una condena, sino un derecho a personarse en un proceso”. Añade que la acusación popular no actúa en función de un derecho o interés legítimo, por lo que sus derechos en el proceso son de pura configuración legal. Así, por ejemplo, se excluye su audiencia en el trámite del art. 24 de la Ley de 18 de junio de 1870 estableciendo reglas para el ejercicio de la gracia de indulto.</w:t>
      </w:r>
    </w:p>
    <w:p w14:paraId="62A99D5F" w14:textId="77777777" w:rsidR="00A8138F" w:rsidRDefault="00A8138F" w:rsidP="00A8138F">
      <w:pPr>
        <w:pStyle w:val="TextoNormal"/>
      </w:pPr>
    </w:p>
    <w:p w14:paraId="0D933A75" w14:textId="4DB4C112" w:rsidR="00A8138F" w:rsidRDefault="00A8138F" w:rsidP="00A8138F">
      <w:pPr>
        <w:pStyle w:val="TextoNormal"/>
      </w:pPr>
      <w:r>
        <w:t>Termina el abogado del Estado sus alegaciones solicitando, por todo lo expuesto, la “desestimación total del recurso de inconstitucionalidad”.</w:t>
      </w:r>
    </w:p>
    <w:p w14:paraId="358CA1E8" w14:textId="77777777" w:rsidR="00A8138F" w:rsidRDefault="00A8138F" w:rsidP="00A8138F">
      <w:pPr>
        <w:pStyle w:val="TextoNormal"/>
      </w:pPr>
    </w:p>
    <w:p w14:paraId="0A7B018A" w14:textId="35E9A21A" w:rsidR="00A8138F" w:rsidRDefault="00A8138F" w:rsidP="00A8138F">
      <w:pPr>
        <w:pStyle w:val="TextoNormal"/>
      </w:pPr>
      <w:r w:rsidRPr="00A8138F">
        <w:rPr>
          <w:rStyle w:val="NumeroAFNegritaCaracter"/>
        </w:rPr>
        <w:t>18</w:t>
      </w:r>
      <w:r>
        <w:t>. Por acuerdo del presidente del Tribunal Constitucional, de 29 de enero de 2025 y de conformidad con el turno previamente establecido, se designó a la magistrada doña Inmaculada Montalbán Huertas ponente en este recurso en sustitución del magistrado don José María Macías Castaño al que correspondía la ponencia, al haberse estimado su recusación.</w:t>
      </w:r>
    </w:p>
    <w:p w14:paraId="18C2B787" w14:textId="77777777" w:rsidR="00A8138F" w:rsidRDefault="00A8138F" w:rsidP="00A8138F">
      <w:pPr>
        <w:pStyle w:val="TextoNormal"/>
      </w:pPr>
    </w:p>
    <w:p w14:paraId="1381EF56" w14:textId="52882E7A" w:rsidR="00A8138F" w:rsidRDefault="00A8138F" w:rsidP="00A8138F">
      <w:pPr>
        <w:pStyle w:val="TextoNormal"/>
      </w:pPr>
      <w:r w:rsidRPr="00A8138F">
        <w:rPr>
          <w:rStyle w:val="NumeroAFNegritaCaracter"/>
        </w:rPr>
        <w:t>19</w:t>
      </w:r>
      <w:r>
        <w:t>. Por escrito de fecha 26 de mayo de 2025, los diputados recurrentes solicitaron al presidente del Tribunal que se abstuviera del conocimiento del presente proceso. Mediante providencia de 10 de junio de 2025, el Pleno acordó no haber lugar a atender a esta solicitud, al ser la abstención una decisión personalísima del juez o magistrado.</w:t>
      </w:r>
    </w:p>
    <w:p w14:paraId="3F6156C5" w14:textId="77777777" w:rsidR="00A8138F" w:rsidRDefault="00A8138F" w:rsidP="00A8138F">
      <w:pPr>
        <w:pStyle w:val="TextoNormal"/>
      </w:pPr>
    </w:p>
    <w:p w14:paraId="1447995D" w14:textId="77777777" w:rsidR="00A8138F" w:rsidRDefault="00A8138F" w:rsidP="00A8138F">
      <w:pPr>
        <w:pStyle w:val="TextoNormal"/>
      </w:pPr>
      <w:r w:rsidRPr="00A8138F">
        <w:rPr>
          <w:rStyle w:val="NumeroAFNegritaCaracter"/>
        </w:rPr>
        <w:t>20</w:t>
      </w:r>
      <w:r>
        <w:t>. Los días 22, 23 y 29 de mayo de 2025 los diputados recurrentes en el presente proceso constitucional presentaron sendos escritos solicitando, en síntesis: (i) el traslado a las partes de cierta documentación de la que habían tenido conocimiento por la prensa y relativa a la gestión del orden del día del Pleno por parte del presidente del Tribunal; (ii) la iniciación de los trámites procesales necesarios para elevar once cuestiones prejudiciales de interpretación ante el Tribunal de Justicia de la Unión Europea y (iii) con carácter subsidiario, la suspensión de la tramitación del presente proceso hasta la resolución por el Tribunal de Justicia de la Unión Europea de las cuestiones prejudiciales C-523/24, C-587/24, C-666/24 y C-123/25.</w:t>
      </w:r>
    </w:p>
    <w:p w14:paraId="5A35D093" w14:textId="77777777" w:rsidR="00A8138F" w:rsidRDefault="00A8138F" w:rsidP="00A8138F">
      <w:pPr>
        <w:pStyle w:val="TextoNormal"/>
      </w:pPr>
    </w:p>
    <w:p w14:paraId="2135DB66" w14:textId="77777777" w:rsidR="00A8138F" w:rsidRDefault="00A8138F" w:rsidP="00A8138F">
      <w:pPr>
        <w:pStyle w:val="TextoNormal"/>
      </w:pPr>
      <w:r>
        <w:t>Por su parte, el letrado de las Cortes Generales, en representación del Senado, presentó en fecha 26 de mayo de 2025 un escrito solicitando la iniciación de los trámites procesales pertinentes, en particular el de audiencia de las partes, para proceder al planteamiento de siete cuestiones prejudiciales de interpretación ante el Tribunal de Justicia de la Unión Europea.</w:t>
      </w:r>
    </w:p>
    <w:p w14:paraId="59E78CD5" w14:textId="77777777" w:rsidR="00A8138F" w:rsidRDefault="00A8138F" w:rsidP="00A8138F">
      <w:pPr>
        <w:pStyle w:val="TextoNormal"/>
      </w:pPr>
    </w:p>
    <w:p w14:paraId="0ECD21B7" w14:textId="346A3B00" w:rsidR="00A8138F" w:rsidRDefault="00A8138F" w:rsidP="00A8138F">
      <w:pPr>
        <w:pStyle w:val="TextoNormal"/>
      </w:pPr>
      <w:r>
        <w:t>Todas estas solicitudes fueron desestimadas, mediante el ATC 65/2025, de 11 de junio, dictado en este procedimiento, por no ser el momento procesal adecuado para decidir acerca del planteamiento de cuestiones prejudiciales ni sobre la posposición del dictado de la sentencia (debiendo esperarse, a estos efectos, a la deliberación del Pleno relativa al fondo del asunto) y por no haber lugar a trasladar a las partes una documentación de carácter interno y no jurisdiccional.</w:t>
      </w:r>
    </w:p>
    <w:p w14:paraId="70BD5502" w14:textId="77777777" w:rsidR="00A8138F" w:rsidRDefault="00A8138F" w:rsidP="00A8138F">
      <w:pPr>
        <w:pStyle w:val="TextoNormal"/>
      </w:pPr>
    </w:p>
    <w:p w14:paraId="1DD5CABC" w14:textId="2DCF3F00" w:rsidR="00A8138F" w:rsidRDefault="00A8138F" w:rsidP="00A8138F">
      <w:pPr>
        <w:pStyle w:val="TextoNormal"/>
      </w:pPr>
      <w:r w:rsidRPr="00A8138F">
        <w:rPr>
          <w:rStyle w:val="NumeroAFNegritaCaracter"/>
        </w:rPr>
        <w:t>21</w:t>
      </w:r>
      <w:r>
        <w:t>. Por providencia de 23 de junio de 2025 se señaló para deliberación y votación de la presente sentencia el día 26 del mismo mes y año.</w:t>
      </w:r>
    </w:p>
    <w:p w14:paraId="51AB1161" w14:textId="77777777" w:rsidR="00A8138F" w:rsidRDefault="00A8138F" w:rsidP="00A8138F">
      <w:pPr>
        <w:pStyle w:val="TextoNormal"/>
      </w:pPr>
    </w:p>
    <w:p w14:paraId="72D08B4C" w14:textId="77777777" w:rsidR="00A8138F" w:rsidRDefault="00A8138F" w:rsidP="00A8138F">
      <w:pPr>
        <w:pStyle w:val="TextoNormalNegritaCentrado"/>
        <w:keepNext/>
      </w:pPr>
      <w:r>
        <w:t>II. Fundamentos jurídicos</w:t>
      </w:r>
    </w:p>
    <w:p w14:paraId="2080A1B3" w14:textId="01C80E12" w:rsidR="00A8138F" w:rsidRDefault="00A8138F" w:rsidP="00A8138F">
      <w:pPr>
        <w:pStyle w:val="TextoNormalNegritaCentrado"/>
        <w:keepNext/>
      </w:pPr>
    </w:p>
    <w:p w14:paraId="7312AD4B" w14:textId="77777777" w:rsidR="00A8138F" w:rsidRDefault="00A8138F" w:rsidP="00A8138F">
      <w:pPr>
        <w:pStyle w:val="TextoNormal"/>
      </w:pPr>
      <w:r w:rsidRPr="00A8138F">
        <w:rPr>
          <w:rStyle w:val="NumeroAFNegritaCaracter"/>
        </w:rPr>
        <w:t>1</w:t>
      </w:r>
      <w:r>
        <w:t xml:space="preserve">. </w:t>
      </w:r>
      <w:r w:rsidRPr="00A8138F">
        <w:rPr>
          <w:i/>
        </w:rPr>
        <w:t>Objeto del recurso, posiciones de las partes, consideración previa y orden de examen de los motivos de inconstitucionalidad</w:t>
      </w:r>
    </w:p>
    <w:p w14:paraId="43685F6C" w14:textId="77777777" w:rsidR="00A8138F" w:rsidRDefault="00A8138F" w:rsidP="00A8138F">
      <w:pPr>
        <w:pStyle w:val="TextoNormal"/>
      </w:pPr>
    </w:p>
    <w:p w14:paraId="2004A6B5" w14:textId="77777777" w:rsidR="00A8138F" w:rsidRDefault="00A8138F" w:rsidP="00A8138F">
      <w:pPr>
        <w:pStyle w:val="TextoNormal"/>
      </w:pPr>
      <w:r>
        <w:t xml:space="preserve">1.1. </w:t>
      </w:r>
      <w:r w:rsidRPr="00A8138F">
        <w:rPr>
          <w:i/>
        </w:rPr>
        <w:t>Objeto del recurso y posiciones de las partes</w:t>
      </w:r>
    </w:p>
    <w:p w14:paraId="4EA07FC5" w14:textId="77777777" w:rsidR="00A8138F" w:rsidRDefault="00A8138F" w:rsidP="00A8138F">
      <w:pPr>
        <w:pStyle w:val="TextoNormal"/>
      </w:pPr>
    </w:p>
    <w:p w14:paraId="71BFA9E0" w14:textId="77777777" w:rsidR="00A8138F" w:rsidRDefault="00A8138F" w:rsidP="00A8138F">
      <w:pPr>
        <w:pStyle w:val="TextoNormal"/>
      </w:pPr>
      <w:r>
        <w:t>El presente recurso de inconstitucionalidad, promovido por más de cincuenta diputados del Grupo Parlamentario Popular en el Congreso y más de cincuenta senadores del Grupo Parlamentario Popular en el Senado, se dirige contra la totalidad de la Ley Orgánica 1/2024, de 10 de junio, de amnistía para la normalización institucional, política y social en Cataluña. Con carácter subsidiario, solicitan que se declare la inconstitucionalidad y nulidad de los artículos 1; 2, apartados a), c) y d); 4, apartados a), b) y d); 7, apartado 2; 8, apartado 2; 10, párrafo segundo; 11, apartados 2 y 3, y 13, apartados 2 y 3, de la citada ley orgánica.</w:t>
      </w:r>
    </w:p>
    <w:p w14:paraId="4653B172" w14:textId="77777777" w:rsidR="00A8138F" w:rsidRDefault="00A8138F" w:rsidP="00A8138F">
      <w:pPr>
        <w:pStyle w:val="TextoNormal"/>
      </w:pPr>
    </w:p>
    <w:p w14:paraId="0E6C8677" w14:textId="77777777" w:rsidR="00A8138F" w:rsidRDefault="00A8138F" w:rsidP="00A8138F">
      <w:pPr>
        <w:pStyle w:val="TextoNormal"/>
      </w:pPr>
      <w:r>
        <w:t>Los recurrentes sostienen, en primer lugar, que la amnistía, en sí misma considerada, es contraria a la Constitución ya que, según alegan, para que esta institución fuera admisible en nuestro Derecho requeriría una expresa habilitación en la Constitución que no existe. Afirman que la ley orgánica supone una quiebra grave de principios estructurales del Estado democrático de Derecho y, en particular, del principio del Estado de Derecho (art. 1.1 CE); de la separación de poderes, al interferir en la potestad jurisdiccional y vulnerar la reserva de jurisdicción que se deriva del art. 117.3 CE; de la obligación de cumplir las resoluciones judiciales firmes (art. 118 CE) y del derecho a la tutela judicial efectiva (art. 24.1 CE). Afirman también que la amnistía introduce espacios singulares de impunidad penal que lesionan el principio de igualdad (art. 14 CE) y el derecho a la legalidad penal (art. 25.1 CE) en relación con el art. 17.1 CE. Los demandantes señalan, por otra parte, que del art. 62 i) CE se deriva la prohibición constitucional de esta institución. Esta misma conclusión la deducen de los trabajos constituyentes. Entienden que, en contra de lo que se expone en el preámbulo de la Ley de amnistía, no existe jurisprudencia constitucional que declare conforme a la Constitución la potestad de amnistiar.</w:t>
      </w:r>
    </w:p>
    <w:p w14:paraId="67F1C22D" w14:textId="77777777" w:rsidR="00A8138F" w:rsidRDefault="00A8138F" w:rsidP="00A8138F">
      <w:pPr>
        <w:pStyle w:val="TextoNormal"/>
      </w:pPr>
    </w:p>
    <w:p w14:paraId="753A562F" w14:textId="77777777" w:rsidR="00A8138F" w:rsidRDefault="00A8138F" w:rsidP="00A8138F">
      <w:pPr>
        <w:pStyle w:val="TextoNormal"/>
      </w:pPr>
      <w:r>
        <w:t>En segundo lugar, los demandantes sostienen que, en la hipótesis de que la amnistía tuviera cabida en la Constitución, la Ley de amnistía sería inconstitucional en su integridad por varios motivos: (i) carece de una justificación material vinculada a razones extraordinarias de justicia, como exigiría su excepcionalidad y responde exclusivamente a una transacción política para asegurar la investidura del candidato del PSOE a la Presidencia del Gobierno, lo que evidencia un uso instrumental del Derecho que vulnera el principio de interdicción de la arbitrariedad del legislador (art. 9.3 CE); (ii) quiebra la cláusula del Estado de Derecho (art. 1.1 CE) en relación con lo establecido en el art. 2 TUE y supone un absoluto rechazo a la actuación de los órganos judiciales en relación con el llamado “procés”; (iii) es una forma de autoamnistía, dado que fue promovida por partidos políticos cuyos dirigentes se benefician directamente de ella, lo que socava su legitimidad y contraviene estándares internacionales; (iv) durante la tramitación parlamentaria de la ley se incurrió en vicios procedimentales especialmente graves que vulneran los arts. 23 y 79.2 CE; (v) vulnera los arts. 9.3 y 14 CE por ser discriminatoria, arbitraria y desproporcionada. A su juicio, la ley orgánica impugnada establece diferencias entre ciudadanos en la aplicación de la ley penal en atención a su ideología u opinión política. En resumen, los parlamentarios demandantes consideran que, debido a que la Ley en su conjunto excepciona importantes principios y derechos constitucionales, debe ser objeto de un estricto y riguroso escrutinio constitucional. Por todo ello, solicitan que se declare la inconstitucionalidad y nulidad de la ley impugnada en su integridad.</w:t>
      </w:r>
    </w:p>
    <w:p w14:paraId="2D6A674A" w14:textId="77777777" w:rsidR="00A8138F" w:rsidRDefault="00A8138F" w:rsidP="00A8138F">
      <w:pPr>
        <w:pStyle w:val="TextoNormal"/>
      </w:pPr>
    </w:p>
    <w:p w14:paraId="0B71597B" w14:textId="77777777" w:rsidR="00A8138F" w:rsidRDefault="00A8138F" w:rsidP="00A8138F">
      <w:pPr>
        <w:pStyle w:val="TextoNormal"/>
      </w:pPr>
      <w:r>
        <w:t>Subsidiariamente, la demanda solicita la declaración de inconstitucionalidad y nulidad de los arts. 1; 2, apartados a), c) y d); 4, apartados a), b) y d); 7, apartado 2; 8, apartado 2; 10, párrafo segundo; 11, apartados 2 y 3, y 13, apartados 2 y 3, de la citada ley orgánica por las razones que se han expuesto con detalle en los antecedentes y a las que de nuevo se hará referencia al enjuiciar la impugnación de cada uno de estos preceptos.</w:t>
      </w:r>
    </w:p>
    <w:p w14:paraId="24B521FE" w14:textId="77777777" w:rsidR="00A8138F" w:rsidRDefault="00A8138F" w:rsidP="00A8138F">
      <w:pPr>
        <w:pStyle w:val="TextoNormal"/>
      </w:pPr>
    </w:p>
    <w:p w14:paraId="7FC930D7" w14:textId="77777777" w:rsidR="00A8138F" w:rsidRDefault="00A8138F" w:rsidP="00A8138F">
      <w:pPr>
        <w:pStyle w:val="TextoNormal"/>
      </w:pPr>
      <w:r>
        <w:t>El representante del Senado solicita la estimación del recurso y que se declare la inconstitucionalidad y nulidad de toda la ley o, subsidiariamente, la inconstitucionalidad y nulidad, en los términos del fundamento jurídico-material séptimo de su escrito de alegaciones, y con carácter independiente, de todas y cada una de las siguientes disposiciones: letras a) y b) del artículo 1.1, en cuanto a la malversación; letra c) del artículo 2; letra d) del artículo 2; y letra f) del artículo 2 de la Ley Orgánica 1/2024, de 10 de junio.</w:t>
      </w:r>
    </w:p>
    <w:p w14:paraId="5E22D1AF" w14:textId="77777777" w:rsidR="00A8138F" w:rsidRDefault="00A8138F" w:rsidP="00A8138F">
      <w:pPr>
        <w:pStyle w:val="TextoNormal"/>
      </w:pPr>
    </w:p>
    <w:p w14:paraId="12B98E5B" w14:textId="77777777" w:rsidR="00A8138F" w:rsidRDefault="00A8138F" w:rsidP="00A8138F">
      <w:pPr>
        <w:pStyle w:val="TextoNormal"/>
      </w:pPr>
      <w:r>
        <w:t>La representación procesal del Congreso de los Diputados solicita que se desestime el recurso en todo lo que se refiere a los vicios del procedimiento legislativo que se denuncian en la demanda, en lo que afecta al Congreso de los Diputados.</w:t>
      </w:r>
    </w:p>
    <w:p w14:paraId="02B1D647" w14:textId="77777777" w:rsidR="00A8138F" w:rsidRDefault="00A8138F" w:rsidP="00A8138F">
      <w:pPr>
        <w:pStyle w:val="TextoNormal"/>
      </w:pPr>
    </w:p>
    <w:p w14:paraId="7CB04303" w14:textId="77777777" w:rsidR="00A8138F" w:rsidRDefault="00A8138F" w:rsidP="00A8138F">
      <w:pPr>
        <w:pStyle w:val="TextoNormal"/>
      </w:pPr>
      <w:r>
        <w:t>El abogado del Estado interesa la desestimación íntegra del recurso.</w:t>
      </w:r>
    </w:p>
    <w:p w14:paraId="72EE30BB" w14:textId="77777777" w:rsidR="00A8138F" w:rsidRDefault="00A8138F" w:rsidP="00A8138F">
      <w:pPr>
        <w:pStyle w:val="TextoNormal"/>
      </w:pPr>
    </w:p>
    <w:p w14:paraId="760ED15C" w14:textId="77777777" w:rsidR="00A8138F" w:rsidRDefault="00A8138F" w:rsidP="00A8138F">
      <w:pPr>
        <w:pStyle w:val="TextoNormal"/>
      </w:pPr>
      <w:r>
        <w:t xml:space="preserve">1.2. </w:t>
      </w:r>
      <w:r w:rsidRPr="00A8138F">
        <w:rPr>
          <w:i/>
        </w:rPr>
        <w:t>Consideraciones previas</w:t>
      </w:r>
    </w:p>
    <w:p w14:paraId="7B88ADC4" w14:textId="77777777" w:rsidR="00A8138F" w:rsidRDefault="00A8138F" w:rsidP="00A8138F">
      <w:pPr>
        <w:pStyle w:val="TextoNormal"/>
      </w:pPr>
    </w:p>
    <w:p w14:paraId="221B1E43" w14:textId="77777777" w:rsidR="00A8138F" w:rsidRDefault="00A8138F" w:rsidP="00A8138F">
      <w:pPr>
        <w:pStyle w:val="TextoNormal"/>
      </w:pPr>
      <w:r>
        <w:t>Antes de proceder al enjuiciamiento de las diversas vulneraciones constitucionales denunciadas, es necesario efectuar unas precisiones en torno a la delimitación del objeto del recurso.</w:t>
      </w:r>
    </w:p>
    <w:p w14:paraId="010A194F" w14:textId="77777777" w:rsidR="00A8138F" w:rsidRDefault="00A8138F" w:rsidP="00A8138F">
      <w:pPr>
        <w:pStyle w:val="TextoNormal"/>
      </w:pPr>
    </w:p>
    <w:p w14:paraId="25C41D03" w14:textId="77777777" w:rsidR="00A8138F" w:rsidRDefault="00A8138F" w:rsidP="00A8138F">
      <w:pPr>
        <w:pStyle w:val="TextoNormal"/>
      </w:pPr>
      <w:r>
        <w:t xml:space="preserve">1.2.1. El art. 33.1 LOTC dispone que la demanda del recurso de inconstitucionalidad, entre otros requisitos, debe “concretar la ley, disposición o acto impugnado, en todo o en parte, y precisar el precepto constitucional que se entiende infringido”. Este tribunal tiene declarado en relación con esta previsión legal que “[l]a acción de inconstitucionalidad, como toda acción, se concreta a través de su </w:t>
      </w:r>
      <w:r w:rsidRPr="00A8138F">
        <w:rPr>
          <w:i/>
        </w:rPr>
        <w:t>petitum</w:t>
      </w:r>
      <w:r>
        <w:t xml:space="preserve"> y de su </w:t>
      </w:r>
      <w:r w:rsidRPr="00A8138F">
        <w:rPr>
          <w:i/>
        </w:rPr>
        <w:t>causa petendi</w:t>
      </w:r>
      <w:r>
        <w:t>. Queda configurada por lo que se pide y por la causa en que la petición se fundamenta. La causa es un título formal, pero es también la argumentación a través de la cual el recurrente sostiene su razón” (STC 11/1981, de 8 de abril, FJ 3; doctrina que reitera, entre otras, la STC 104/2015, de 28 de mayo, FJ 9). De otra parte, es también consolidada doctrina constitucional que el objeto del recurso de inconstitucionalidad queda definitivamente delimitado o acotado, fijando los términos del debate, por la demanda, no siendo posible su ampliación en un momento posterior (STC 207/2013, de 5 de diciembre, FJ 1, y AATC 72/1991, de 26 de febrero, y 127/1992, de 12 de mayo).</w:t>
      </w:r>
    </w:p>
    <w:p w14:paraId="78CE1E5E" w14:textId="77777777" w:rsidR="00A8138F" w:rsidRDefault="00A8138F" w:rsidP="00A8138F">
      <w:pPr>
        <w:pStyle w:val="TextoNormal"/>
      </w:pPr>
    </w:p>
    <w:p w14:paraId="6EC390FC" w14:textId="77777777" w:rsidR="00A8138F" w:rsidRDefault="00A8138F" w:rsidP="00A8138F">
      <w:pPr>
        <w:pStyle w:val="TextoNormal"/>
      </w:pPr>
      <w:r>
        <w:t xml:space="preserve">En este caso, el </w:t>
      </w:r>
      <w:r w:rsidRPr="00A8138F">
        <w:rPr>
          <w:i/>
        </w:rPr>
        <w:t>petitum</w:t>
      </w:r>
      <w:r>
        <w:t xml:space="preserve"> de los recurrentes se concreta en la declaración de inconstitucionalidad de la Ley de amnistía en su totalidad y, con carácter subsidiario, en la de los individualizados preceptos que se recurren, sustentado en los motivos impugnatorios que a tal efecto se aducen en la demanda y que han quedado sintetizados en los antecedentes de esta sentencia. A dichos </w:t>
      </w:r>
      <w:r w:rsidRPr="00A8138F">
        <w:rPr>
          <w:i/>
        </w:rPr>
        <w:t>petitum</w:t>
      </w:r>
      <w:r>
        <w:t xml:space="preserve"> y </w:t>
      </w:r>
      <w:r w:rsidRPr="00A8138F">
        <w:rPr>
          <w:i/>
        </w:rPr>
        <w:t>causa petendi</w:t>
      </w:r>
      <w:r>
        <w:t xml:space="preserve"> contenidos en la demanda, en cuanto delimitan el objeto del recurso de inconstitucionalidad, ha de circunscribirse nuestro enjuiciamiento, sin que quepa esperar por parte de este tribunal toma en consideración ni pronunciamiento alguno en relación con nuevas pretensiones de inconstitucionalidad y nuevos motivos impugnatorios formulados por la representación letrada del Senado en el trámite de alegaciones del art. 34 LOTC. Sin entrar ahora en otro tipo de consideraciones, la personación y la facultad de formular alegaciones —que en lo que aquí interesa confiere el citado art. 34.1 LOTC a los órganos mencionados en este precepto— en modo alguno les habilita para modificar, alterar o ampliar mediante dicha intervención el objeto procesal del recurso, definitivamente acotado por el escrito de demanda (en este sentido, STC 207/2013, de 5 de diciembre, FJ 1, y ATC 144/2012, de 16 de julio, FJ 2), transmutando la posición de quien es llamado a intervenir en la sustanciación del recurso, una vez admitido a trámite, en una suerte de parte demandante de la inconstitucionalidad de la norma recurrida, por quien ni siquiera está legitimado para interponer recurso de inconstitucionalidad.</w:t>
      </w:r>
    </w:p>
    <w:p w14:paraId="4BE49B77" w14:textId="77777777" w:rsidR="00A8138F" w:rsidRDefault="00A8138F" w:rsidP="00A8138F">
      <w:pPr>
        <w:pStyle w:val="TextoNormal"/>
      </w:pPr>
    </w:p>
    <w:p w14:paraId="4B4D164E" w14:textId="77777777" w:rsidR="00A8138F" w:rsidRDefault="00A8138F" w:rsidP="00A8138F">
      <w:pPr>
        <w:pStyle w:val="TextoNormal"/>
      </w:pPr>
      <w:r>
        <w:t>1.2.2. Tal y como ha quedado reflejado en los antecedentes, los diputados recurrentes han presentado varios escritos sucesivos en los que han solicitado que se inicien los trámites procesales necesarios para elevar distintas cuestiones prejudiciales ante el Tribunal de Justicia de la Unión Europea y, con carácter subsidiario, que se suspenda la tramitación del presente proceso constitucional hasta la resolución por el Tribunal de Justicia de la Unión Europea de cuatro cuestiones prejudiciales interpretativas relativas a la Ley de amnistía (asuntos C-523/24, C-587/24, C-666/24 y C-123/25) planteadas por distintos órganos jurisdiccionales. En el mismo sentido lo ha solicitado el Senado.</w:t>
      </w:r>
    </w:p>
    <w:p w14:paraId="08A5CA63" w14:textId="77777777" w:rsidR="00A8138F" w:rsidRDefault="00A8138F" w:rsidP="00A8138F">
      <w:pPr>
        <w:pStyle w:val="TextoNormal"/>
      </w:pPr>
    </w:p>
    <w:p w14:paraId="48B6BAE8" w14:textId="77777777" w:rsidR="00A8138F" w:rsidRDefault="00A8138F" w:rsidP="00A8138F">
      <w:pPr>
        <w:pStyle w:val="TextoNormal"/>
      </w:pPr>
      <w:r>
        <w:t xml:space="preserve">En el ATC 65/2025, de 11 de junio, el Tribunal ha abordado dichas solicitudes, poniendo de manifiesto, en síntesis: (i) que el eventual planteamiento de una cuestión prejudicial está supeditado a la evaluación que el propio tribunal, tras la deliberación correspondiente, realice sobre la concurrencia, </w:t>
      </w:r>
      <w:r w:rsidRPr="00A8138F">
        <w:rPr>
          <w:i/>
        </w:rPr>
        <w:t>prima facie</w:t>
      </w:r>
      <w:r>
        <w:t>, de los presupuestos establecidos en el art. 267 del Tratado de funcionamiento de la Unión Europea (TFUE), por lo que la mera petición de parte no determina, por sí misma, la necesidad de iniciar trámite alguno; (ii) que solo una vez efectuada la deliberación correspondiente el Pleno procedería, por tanto, bien a abrir el trámite de audiencia con las partes, bien a expresar en la propia sentencia las razones por las que el planteamiento de la cuestión prejudicial no resulta procedente, y (iii) que también sería en la deliberación relativa al fondo del proceso cuando el colegio de magistrados valorase la posible concurrencia de una razón jurídica que pudiera determinar, en su caso, la necesidad de posponer el dictado de sentencia.</w:t>
      </w:r>
    </w:p>
    <w:p w14:paraId="5308F682" w14:textId="77777777" w:rsidR="00A8138F" w:rsidRDefault="00A8138F" w:rsidP="00A8138F">
      <w:pPr>
        <w:pStyle w:val="TextoNormal"/>
      </w:pPr>
    </w:p>
    <w:p w14:paraId="6DBFE8DE" w14:textId="77777777" w:rsidR="00A8138F" w:rsidRDefault="00A8138F" w:rsidP="00A8138F">
      <w:pPr>
        <w:pStyle w:val="TextoNormal"/>
      </w:pPr>
      <w:r>
        <w:t>La respuesta de este tribunal a las peticiones reseñadas ha de fundamentarse en las siguientes consideraciones generales:</w:t>
      </w:r>
    </w:p>
    <w:p w14:paraId="47BC3EF7" w14:textId="77777777" w:rsidR="00A8138F" w:rsidRDefault="00A8138F" w:rsidP="00A8138F">
      <w:pPr>
        <w:pStyle w:val="TextoNormal"/>
      </w:pPr>
    </w:p>
    <w:p w14:paraId="17163659" w14:textId="77777777" w:rsidR="00A8138F" w:rsidRDefault="00A8138F" w:rsidP="00A8138F">
      <w:pPr>
        <w:pStyle w:val="TextoNormal"/>
      </w:pPr>
      <w:r>
        <w:t xml:space="preserve">a) Ha de recordarse, en primer lugar, que este tribunal solo ha planteado una cuestión prejudicial ante el Tribunal de Justicia de la Unión Europea con ocasión de la tramitación de un proceso de amparo; en particular, con motivo de la resolución de un recurso de amparo en el que se enjuiciaba la aplicación efectuada por la Audiencia Nacional del contenido recogido en una disposición de la Unión Europea (Decisión Marco 2002/584/JAI, del Consejo, de 13 de junio de 2002, incorporada a nuestro ordenamiento por la Ley 3/2003, de 14 de marzo, y modificada por la Decisión Marco 2009/299/JAI, del Consejo, de 26 de febrero de 2009) y en el que estaba en juego, además, la eficacia </w:t>
      </w:r>
      <w:r w:rsidRPr="00A8138F">
        <w:rPr>
          <w:i/>
        </w:rPr>
        <w:t>ad extra</w:t>
      </w:r>
      <w:r>
        <w:t xml:space="preserve"> del derecho a la defensa y a un proceso con todas las garantías del art. 24.2 CE en relación con una solicitud de cooperación judicial penal presentada por otro Estado de la Unión (concretamente, por Italia).</w:t>
      </w:r>
    </w:p>
    <w:p w14:paraId="23818823" w14:textId="77777777" w:rsidR="00A8138F" w:rsidRDefault="00A8138F" w:rsidP="00A8138F">
      <w:pPr>
        <w:pStyle w:val="TextoNormal"/>
      </w:pPr>
    </w:p>
    <w:p w14:paraId="0C513E16" w14:textId="77777777" w:rsidR="00A8138F" w:rsidRDefault="00A8138F" w:rsidP="00A8138F">
      <w:pPr>
        <w:pStyle w:val="TextoNormal"/>
      </w:pPr>
      <w:r>
        <w:t xml:space="preserve">Tales circunstancias peculiares fueron subrayadas en el ATC 86/2011, de 9 de junio, por el que se acordó plantear la cuestión prejudicial citada. Dicho auto explicitaba, en efecto, que la resolución del recurso de amparo exigía determinar cuál era la interpretación vinculante del art. 4 </w:t>
      </w:r>
      <w:r w:rsidRPr="00A8138F">
        <w:rPr>
          <w:i/>
        </w:rPr>
        <w:t>bis</w:t>
      </w:r>
      <w:r>
        <w:t xml:space="preserve"> de la referida Decisión Marco 2002/584/JAI (ATC 86/2011, FJ 5), así como dilucidar el “contenido vinculante de los derechos fundamentales cuando se proyectan </w:t>
      </w:r>
      <w:r w:rsidRPr="00A8138F">
        <w:rPr>
          <w:i/>
        </w:rPr>
        <w:t>ad extra</w:t>
      </w:r>
      <w:r>
        <w:t>”, en cuanto contenido “más reducido”, que no comprende “todas y cada una de las garantías que hemos anudado al art. 24 CE, sino tan sólo sus exigencias más básicas o elementales”, pues solo ellas “pueden proyectarse en la valoración de la actuación de los poderes públicos extranjeros, determinando, en su caso, la inconstitucionalidad ‘indirecta’ de la actuación de la jurisdicción española que es la que, propiamente constituye el objeto de nuestro control” (ATC 86/2011, FJ 2).</w:t>
      </w:r>
    </w:p>
    <w:p w14:paraId="3B09FF3A" w14:textId="77777777" w:rsidR="00A8138F" w:rsidRDefault="00A8138F" w:rsidP="00A8138F">
      <w:pPr>
        <w:pStyle w:val="TextoNormal"/>
      </w:pPr>
    </w:p>
    <w:p w14:paraId="12855EA6" w14:textId="77777777" w:rsidR="00A8138F" w:rsidRDefault="00A8138F" w:rsidP="00A8138F">
      <w:pPr>
        <w:pStyle w:val="TextoNormal"/>
      </w:pPr>
      <w:r>
        <w:t xml:space="preserve">El planteamiento de cuestión prejudicial ante el Tribunal de Justicia de la Unión Europea estuvo determinado, por tanto, por la necesidad de dilucidar, para resolver el objeto de un recurso de amparo, tanto la interpretación vinculante de la disposición europea aplicada en el proceso judicial </w:t>
      </w:r>
      <w:r w:rsidRPr="00A8138F">
        <w:rPr>
          <w:i/>
        </w:rPr>
        <w:t>a quo</w:t>
      </w:r>
      <w:r>
        <w:t xml:space="preserve"> como el contenido </w:t>
      </w:r>
      <w:r w:rsidRPr="00A8138F">
        <w:rPr>
          <w:i/>
        </w:rPr>
        <w:t>ad extra</w:t>
      </w:r>
      <w:r>
        <w:t xml:space="preserve"> del derecho fundamental en juego que podía oponerse legítimamente frente a otro Estado de la Unión Europea.</w:t>
      </w:r>
    </w:p>
    <w:p w14:paraId="2E36058A" w14:textId="77777777" w:rsidR="00A8138F" w:rsidRDefault="00A8138F" w:rsidP="00A8138F">
      <w:pPr>
        <w:pStyle w:val="TextoNormal"/>
      </w:pPr>
    </w:p>
    <w:p w14:paraId="41CF1144" w14:textId="77777777" w:rsidR="00A8138F" w:rsidRDefault="00A8138F" w:rsidP="00A8138F">
      <w:pPr>
        <w:pStyle w:val="TextoNormal"/>
      </w:pPr>
      <w:r>
        <w:t>b) El supuesto que aquí se enjuicia difiere notoriamente de dicho precedente, pues se suscita ahora a este tribunal la posibilidad de plantear cuestiones prejudiciales con motivo de un proceso de control de constitucionalidad de una ley nacional.</w:t>
      </w:r>
    </w:p>
    <w:p w14:paraId="1A87A55E" w14:textId="77777777" w:rsidR="00A8138F" w:rsidRDefault="00A8138F" w:rsidP="00A8138F">
      <w:pPr>
        <w:pStyle w:val="TextoNormal"/>
      </w:pPr>
    </w:p>
    <w:p w14:paraId="20D3A594" w14:textId="77777777" w:rsidR="00A8138F" w:rsidRDefault="00A8138F" w:rsidP="00A8138F">
      <w:pPr>
        <w:pStyle w:val="TextoNormal"/>
      </w:pPr>
      <w:r>
        <w:t>Para afrontar este supuesto, ha de recordarse que el objeto de los procedimientos de declaración de inconstitucionalidad (título II LOTC) es garantizar la supremacía de la Constitución frente a toda ley nacional que la contradiga, a los fines de depurar el ordenamiento jurídico español de normas inconstitucionales; mientras que el de la cuestión prejudicial interpretativa es asegurar que no haya discrepancias en la interpretación del conjunto del Derecho de la Unión, facilitando, con ello, a los tribunales nacionales la inaplicación de las normas internas que sean incompatibles con aquel, de acuerdo con el principio de primacía.</w:t>
      </w:r>
    </w:p>
    <w:p w14:paraId="4608A77D" w14:textId="77777777" w:rsidR="00A8138F" w:rsidRDefault="00A8138F" w:rsidP="00A8138F">
      <w:pPr>
        <w:pStyle w:val="TextoNormal"/>
      </w:pPr>
    </w:p>
    <w:p w14:paraId="7FF08356" w14:textId="77777777" w:rsidR="00A8138F" w:rsidRDefault="00A8138F" w:rsidP="00A8138F">
      <w:pPr>
        <w:pStyle w:val="TextoNormal"/>
      </w:pPr>
      <w:r>
        <w:t>Este diferente objeto determina que ambos mecanismos procesales puedan operar, con carácter general, de forma autónoma; pues el hecho de que una norma con rango de ley resulte conforme con la Constitución (y no haya de ser expulsada del ordenamiento jurídico español por tal motivo) no excluye que, en un caso concreto, pueda considerarse inaplicable por su incompatibilidad con una norma de la Unión Europea.</w:t>
      </w:r>
    </w:p>
    <w:p w14:paraId="0B04CD57" w14:textId="77777777" w:rsidR="00A8138F" w:rsidRDefault="00A8138F" w:rsidP="00A8138F">
      <w:pPr>
        <w:pStyle w:val="TextoNormal"/>
      </w:pPr>
    </w:p>
    <w:p w14:paraId="61141A82" w14:textId="77777777" w:rsidR="00A8138F" w:rsidRDefault="00A8138F" w:rsidP="00A8138F">
      <w:pPr>
        <w:pStyle w:val="TextoNormal"/>
      </w:pPr>
      <w:r>
        <w:t>El juicio de validez no prejuzga, en definitiva, el de aplicabilidad (y viceversa), pues ambos juicios utilizan parámetros normativos de control distintos —ya que en los procesos constitucionales se dilucida la adecuación de la norma legal a la Constitución y en la cuestión prejudicial de interpretación se determina su compatibilidad con el Derecho de la Unión (a través de un mecanismo de colaboración entre los órganos jurisdiccionales ordinarios y el Tribunal de Justicia de la Unión Europea)— y son resueltos a través de instituciones jurídicas igualmente diversas —pues, en el primer caso, se decide sobre la validez de la norma y, en el segundo, sobre la aplicabilidad de esta—.</w:t>
      </w:r>
    </w:p>
    <w:p w14:paraId="3891C6E9" w14:textId="77777777" w:rsidR="00A8138F" w:rsidRDefault="00A8138F" w:rsidP="00A8138F">
      <w:pPr>
        <w:pStyle w:val="TextoNormal"/>
      </w:pPr>
    </w:p>
    <w:p w14:paraId="3CB4491D" w14:textId="77777777" w:rsidR="00A8138F" w:rsidRDefault="00A8138F" w:rsidP="00A8138F">
      <w:pPr>
        <w:pStyle w:val="TextoNormal"/>
      </w:pPr>
      <w:r>
        <w:t>c) Estas apreciaciones tienen, en todo caso, proyecciones matizadas para cada tipo de proceso de control de constitucionalidad de las leyes:</w:t>
      </w:r>
    </w:p>
    <w:p w14:paraId="35D18B39" w14:textId="77777777" w:rsidR="00A8138F" w:rsidRDefault="00A8138F" w:rsidP="00A8138F">
      <w:pPr>
        <w:pStyle w:val="TextoNormal"/>
      </w:pPr>
    </w:p>
    <w:p w14:paraId="2F474F91" w14:textId="77777777" w:rsidR="00A8138F" w:rsidRDefault="00A8138F" w:rsidP="00A8138F">
      <w:pPr>
        <w:pStyle w:val="TextoNormal"/>
      </w:pPr>
      <w:r>
        <w:t>(i) En el caso de la cuestión de inconstitucionalidad, estamos ante el mecanismo que permite salvaguardar la supremacía constitucional cuando los órganos judiciales ordinarios, que están sometidos al imperio de la ley, consideran aplicable una norma legal que, a su parecer, contradice la Constitución. La norma legal cuya validez constitucional resulta cuestionada necesariamente ha de ser, en este supuesto, aplicable al caso, pues así lo exige expresamente la propia Constitución (art. 163 CE). Por ello, el órgano judicial solo puede plantear legítimamente la cuestión de inconstitucionalidad una vez que ha resuelto, con carácter previo, cualquier problema de aplicabilidad que pueda suscitarse, incluida la posible concurrencia de una disposición del Derecho de la Unión Europea con la que la referida norma legal pueda resultar incompatible.</w:t>
      </w:r>
    </w:p>
    <w:p w14:paraId="4E76DEEF" w14:textId="77777777" w:rsidR="00A8138F" w:rsidRDefault="00A8138F" w:rsidP="00A8138F">
      <w:pPr>
        <w:pStyle w:val="TextoNormal"/>
      </w:pPr>
    </w:p>
    <w:p w14:paraId="61E29A17" w14:textId="77777777" w:rsidR="00A8138F" w:rsidRDefault="00A8138F" w:rsidP="00A8138F">
      <w:pPr>
        <w:pStyle w:val="TextoNormal"/>
      </w:pPr>
      <w:r>
        <w:t>Es, por ello, que si un juez ordinario duda, de forma concurrente, tanto de la condición de aplicabilidad de una ley (en relación con la falta de conformidad con el Derecho europeo) como de su condición de validez (en relación con la falta de conformidad con la Constitución) debe, por exigencia del art. 163 CE, resolver primero la duda relativa a la aplicabilidad de la norma a través, en su caso, del planteamiento de una cuestión prejudicial ante el Tribunal de Justicia de la Unión Europea.</w:t>
      </w:r>
    </w:p>
    <w:p w14:paraId="69CD7FD9" w14:textId="77777777" w:rsidR="00A8138F" w:rsidRDefault="00A8138F" w:rsidP="00A8138F">
      <w:pPr>
        <w:pStyle w:val="TextoNormal"/>
      </w:pPr>
    </w:p>
    <w:p w14:paraId="58A58A6F" w14:textId="77777777" w:rsidR="00A8138F" w:rsidRDefault="00A8138F" w:rsidP="00A8138F">
      <w:pPr>
        <w:pStyle w:val="TextoNormal"/>
      </w:pPr>
      <w:r>
        <w:t>Tal es la doctrina sentada, ente otros, en los AATC 168/2016, de 4 de octubre; 183/2016, de 15 de noviembre; 202/2016, de 13 de diciembre, y 116/2020, de 22 de septiembre, y recogida en el ATC 30/2024, de 9 de abril, FJ 3, que recuerda que,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solo sería admisible si se ha descartado la posibilidad de que la ley cuestionada sea incompatible con el Derecho de la Unión y, en consecuencia, inaplicable”.</w:t>
      </w:r>
    </w:p>
    <w:p w14:paraId="1E0C2BE9" w14:textId="77777777" w:rsidR="00A8138F" w:rsidRDefault="00A8138F" w:rsidP="00A8138F">
      <w:pPr>
        <w:pStyle w:val="TextoNormal"/>
      </w:pPr>
    </w:p>
    <w:p w14:paraId="131E592B" w14:textId="77777777" w:rsidR="00A8138F" w:rsidRDefault="00A8138F" w:rsidP="00A8138F">
      <w:pPr>
        <w:pStyle w:val="TextoNormal"/>
      </w:pPr>
      <w:r>
        <w:t xml:space="preserve">Debe subrayarse, en todo caso, que la posición del juez ordinario y la del Tribunal Constitucional es, en lo que a la cuestión de inconstitucionalidad se refiere, completamente distinta. Es el juez ordinario el que debe determinar si concurren las distintas condiciones de aplicabilidad, incluida la posible contravención del Derecho de la Unión. Una vez que el órgano judicial considera que la norma es aplicable y plantea la cuestión de inconstitucionalidad, a este tribunal, que tiene como sola competencia la garantía de la Constitución, le corresponde exclusivamente evaluar la validez constitucional de la norma cuestionada, que el órgano judicial </w:t>
      </w:r>
      <w:r w:rsidRPr="00A8138F">
        <w:rPr>
          <w:i/>
        </w:rPr>
        <w:t>a quo</w:t>
      </w:r>
      <w:r>
        <w:t>, en el ejercicio de una potestad interpretativa que solo a él corresponde ejercer, ya ha considerado, con carácter previo, aplicable al caso, despejando así las dudas que hayan podido existir en relación con la posible aplicabilidad de una disposición del Derecho de la Unión Europea.</w:t>
      </w:r>
    </w:p>
    <w:p w14:paraId="1942ABCF" w14:textId="77777777" w:rsidR="00A8138F" w:rsidRDefault="00A8138F" w:rsidP="00A8138F">
      <w:pPr>
        <w:pStyle w:val="TextoNormal"/>
      </w:pPr>
    </w:p>
    <w:p w14:paraId="04A20EB4" w14:textId="77777777" w:rsidR="00A8138F" w:rsidRDefault="00A8138F" w:rsidP="00A8138F">
      <w:pPr>
        <w:pStyle w:val="TextoNormal"/>
      </w:pPr>
      <w:r>
        <w:t>(ii) En lo que al recurso de inconstitucionalidad se refiere, este se interpone, por su parte, por los sujetos especialmente legitimados para ello en el art. 162.1 a) de la Constitución, tras la mera incorporación de la ley al ordenamiento jurídico y con total independencia de su aplicabilidad a casos concretos. Se trata de “un control abstracto de la norma recurrida, desvinculado de cualquier consideración concreta de su aplicación a un específico supuesto de hecho y también de un control ‘objetivo’, pues el precepto controvertido ha de ser enjuiciado en atención a su propio sentido” [STC 63/2025, de 12 de marzo, FJ 4 c)].</w:t>
      </w:r>
    </w:p>
    <w:p w14:paraId="14599FD8" w14:textId="77777777" w:rsidR="00A8138F" w:rsidRDefault="00A8138F" w:rsidP="00A8138F">
      <w:pPr>
        <w:pStyle w:val="TextoNormal"/>
      </w:pPr>
    </w:p>
    <w:p w14:paraId="78633D42" w14:textId="77777777" w:rsidR="00A8138F" w:rsidRDefault="00A8138F" w:rsidP="00A8138F">
      <w:pPr>
        <w:pStyle w:val="TextoNormal"/>
      </w:pPr>
      <w:r>
        <w:t>Por tanto, en el recurso de inconstitucionalidad el juicio de validez constitucional no conlleva, por concepto, ningún juicio de aplicabilidad previo, de suerte que la ley impugnada se somete, en exclusiva, a contraste abstracto con las exigencias que dimanan de la Constitución y el bloque de la constitucionalidad [por todas, STC 40/2025, de 11 de febrero, FJ 3 a)]. Dicho en otros términos, en este tipo de proceso de control de constitucionalidad no hay más norma aplicable que la Constitución misma. No hay, en definitiva, interferencia posible entre el juicio de validez constitucional y el juicio de aplicabilidad que sirve de presupuesto al hipotético planteamiento de una cuestión prejudicial interpretativa.</w:t>
      </w:r>
    </w:p>
    <w:p w14:paraId="243EFA53" w14:textId="77777777" w:rsidR="00A8138F" w:rsidRDefault="00A8138F" w:rsidP="00A8138F">
      <w:pPr>
        <w:pStyle w:val="TextoNormal"/>
      </w:pPr>
    </w:p>
    <w:p w14:paraId="0C8ADE70" w14:textId="77777777" w:rsidR="00A8138F" w:rsidRDefault="00A8138F" w:rsidP="00A8138F">
      <w:pPr>
        <w:pStyle w:val="TextoNormal"/>
      </w:pPr>
      <w:r>
        <w:t>Este tribunal ha señalado reiteradamente —en peticiones de planteamiento de cuestión prejudicial formuladas también en procesos de inconstitucionalidad— que “ni el Tratado de adhesión a las Comunidades Europeas ni el Derecho de estas integra, en virtud del referido art. 96.1, el canon de constitucionalidad bajo el que hayan de examinarse las leyes del Estado español” (STC 28/1991, de 14 de febrero, FJ 5); o, en otros términos, que el Derecho de la Unión Europea “no integra en sí mismo el canon de constitucionalidad bajo el que hayan de examinarse las leyes del Estado español, ni siquiera en el caso de que la supuesta contradicción sirviera para fundamentar la pretensión de inconstitucionalidad de una ley por oposición a un derecho fundamental, atendiendo a lo dispuesto en el art. 10.2 CE” [SSTC 61/2013, de 14 de marzo, FJ 5, y 140/2016, de 21 de julio, FJ 5 b)]. Por su parte, en la STC 156/2021, de 16 de septiembre, FJ 2 b), se concluyó que el recurso de inconstitucionalidad “tampoco es el proceso adecuado para examinar la adecuación del Derecho interno a las normas del Derecho de la Unión Europea, que no constituyen, por sí mismas, canon de constitucionalidad o parámetro de enjuiciamiento directo de constitucionalidad en los procesos constitucionales, tal y como se ha recordado de forma reiterada, entre otras en la STC 173/2005, de 23 de junio, FJ 9 c), en la que se recogen anteriores pronunciamientos en tal sentido (entre otras, SSTC 128/1999, de 1 de julio, FJ 9; 208/1999, de 11 de noviembre, FJ 4; 45/2001, de 15 de febrero, FJ 7, y 38/2002, de 14 de febrero, FJ 11)”.</w:t>
      </w:r>
    </w:p>
    <w:p w14:paraId="563C35A3" w14:textId="77777777" w:rsidR="00A8138F" w:rsidRDefault="00A8138F" w:rsidP="00A8138F">
      <w:pPr>
        <w:pStyle w:val="TextoNormal"/>
      </w:pPr>
    </w:p>
    <w:p w14:paraId="65510AF3" w14:textId="77777777" w:rsidR="00A8138F" w:rsidRDefault="00A8138F" w:rsidP="00A8138F">
      <w:pPr>
        <w:pStyle w:val="TextoNormal"/>
      </w:pPr>
      <w:r>
        <w:t>Al tiempo, lo expuesto tampoco obsta, obviamente, para que la jurisprudencia del Tribunal de Justicia de la Unión Europea recaída en relación con la Carta de derechos fundamentales de la Unión Europea (CDFUE) sea utilizada por este tribunal, por efecto del art. 10.2 CE, como fuente de interpretación para determinar el alcance de los derechos y libertades contemplados en nuestra Constitución (por todas, STC 87/2022, de 28 de junio, FJ 5).</w:t>
      </w:r>
    </w:p>
    <w:p w14:paraId="26EEB216" w14:textId="77777777" w:rsidR="00A8138F" w:rsidRDefault="00A8138F" w:rsidP="00A8138F">
      <w:pPr>
        <w:pStyle w:val="TextoNormal"/>
      </w:pPr>
    </w:p>
    <w:p w14:paraId="616E8EFF" w14:textId="77777777" w:rsidR="00A8138F" w:rsidRDefault="00A8138F" w:rsidP="00A8138F">
      <w:pPr>
        <w:pStyle w:val="TextoNormal"/>
      </w:pPr>
      <w:r>
        <w:t>Este tribunal conoce que los valores de la Unión —y en particular del Estado de Derecho— definen la propia identidad de la Unión Europea. Estos valores también se encuentran en la Constitución Española y, por tanto, nuestro tribunal puede utilizar la jurisprudencia del Tribunal de Justicia de la Unión Europea, como ya se hizo en la STC 15/2024, de 30 de enero, FJ 3 c), que utilizó parámetros de interpretación coincidentes entre los preceptos de nuestra Constitución y los arts. 2 y 4 TUE.</w:t>
      </w:r>
    </w:p>
    <w:p w14:paraId="2644333B" w14:textId="77777777" w:rsidR="00A8138F" w:rsidRDefault="00A8138F" w:rsidP="00A8138F">
      <w:pPr>
        <w:pStyle w:val="TextoNormal"/>
      </w:pPr>
    </w:p>
    <w:p w14:paraId="5D8AA92D" w14:textId="77777777" w:rsidR="00A8138F" w:rsidRDefault="00A8138F" w:rsidP="00A8138F">
      <w:pPr>
        <w:pStyle w:val="TextoNormal"/>
      </w:pPr>
      <w:r>
        <w:t>Pero incluso en estos supuestos “la medida de la constitucionalidad de la ley enjuiciada seguiría estando integrada por el precepto constitucional definidor del derecho o libertad, si bien interpretado, en cuanto a los perfiles exactos de su contenido, de conformidad con los tratados o acuerdos internacionales de que se trate (por todas, SSTC 28/1991, de 14 de febrero, FJ 5; 128/1999, de 1 de julio, FJ 9; 208/1999, de 11 de noviembre, FJ 4; 45/2001, de 15 de febrero, FJ 7; 38/2002, de 14 de febrero, FJ 11, y 173/2005, de 23 de junio, FJ 9), incluidos, en su caso, los Tratados de la Unión Europea y la Carta de derechos fundamentales de la Unión Europea, que tiene la misma eficacia jurídica vinculante que los Tratados, en virtud de lo dispuesto en el Tratado de Lisboa de 13 de diciembre de 2007” (STC 41/2013, de 14 de febrero, FJ 2).</w:t>
      </w:r>
    </w:p>
    <w:p w14:paraId="44D2A4AA" w14:textId="77777777" w:rsidR="00A8138F" w:rsidRDefault="00A8138F" w:rsidP="00A8138F">
      <w:pPr>
        <w:pStyle w:val="TextoNormal"/>
      </w:pPr>
    </w:p>
    <w:p w14:paraId="6CA9EA6D" w14:textId="77777777" w:rsidR="00A8138F" w:rsidRDefault="00A8138F" w:rsidP="00A8138F">
      <w:pPr>
        <w:pStyle w:val="TextoNormal"/>
      </w:pPr>
      <w:r>
        <w:t>Atendiendo a las consideraciones generales anteriores, la petición principal de planteamiento de cuestión prejudicial y la subsidiaria de suspensión del proceso hasta tanto se resuelvan las ya planteadas han de recibir la siguiente respuesta:</w:t>
      </w:r>
    </w:p>
    <w:p w14:paraId="2793B11F" w14:textId="77777777" w:rsidR="00A8138F" w:rsidRDefault="00A8138F" w:rsidP="00A8138F">
      <w:pPr>
        <w:pStyle w:val="TextoNormal"/>
      </w:pPr>
    </w:p>
    <w:p w14:paraId="1F7595C5" w14:textId="77777777" w:rsidR="00A8138F" w:rsidRDefault="00A8138F" w:rsidP="00A8138F">
      <w:pPr>
        <w:pStyle w:val="TextoNormal"/>
      </w:pPr>
      <w:r>
        <w:t>(a) El presente proceso constitucional es un recurso de inconstitucionalidad en el que se dilucida únicamente la validez constitucional de la Ley de amnistía, con independencia de los problemas de aplicabilidad que puedan suscitarse en supuestos de hecho concretos, en particular de los derivados de la posible incompatibilidad de la norma legal impugnada con alguna disposición del Derecho de la Unión Europea.</w:t>
      </w:r>
    </w:p>
    <w:p w14:paraId="6C141F52" w14:textId="77777777" w:rsidR="00A8138F" w:rsidRDefault="00A8138F" w:rsidP="00A8138F">
      <w:pPr>
        <w:pStyle w:val="TextoNormal"/>
      </w:pPr>
    </w:p>
    <w:p w14:paraId="2F305800" w14:textId="77777777" w:rsidR="00A8138F" w:rsidRDefault="00A8138F" w:rsidP="00A8138F">
      <w:pPr>
        <w:pStyle w:val="TextoNormal"/>
      </w:pPr>
      <w:r>
        <w:t>(b) La falta de interferencia jurídica entre el objeto del juicio abstracto de constitucionalidad que corresponde ahora realizar y la eventual inaplicabilidad de la norma legal enjuiciada (por razón de la alegada incompatibilidad con el Derecho de la Unión Europea) determina, por tanto, que ni sea pertinente plantear cuestiones prejudiciales de interpretación ante el Tribunal de Justicia de la Unión Europea en el presente proceso constitucional, ni tampoco esperar a que se resuelvan las cuestiones prejudiciales ya presentadas por órganos judiciales nacionales.</w:t>
      </w:r>
    </w:p>
    <w:p w14:paraId="3C7F5C57" w14:textId="77777777" w:rsidR="00A8138F" w:rsidRDefault="00A8138F" w:rsidP="00A8138F">
      <w:pPr>
        <w:pStyle w:val="TextoNormal"/>
      </w:pPr>
    </w:p>
    <w:p w14:paraId="42997A9F" w14:textId="77777777" w:rsidR="00A8138F" w:rsidRDefault="00A8138F" w:rsidP="00A8138F">
      <w:pPr>
        <w:pStyle w:val="TextoNormal"/>
      </w:pPr>
      <w:r>
        <w:t>(c) En relación particular con la pretensión de posponer la resolución del presente proceso hasta que se resuelvan las cuestiones prejudiciales ya planteadas en relación con la Ley de amnistía, cabe reiterar que la precedencia del juicio de aplicabilidad sobre el juicio de validez se impone a los jueces y tribunales ordinarios, en cuanto aplicadores del Derecho de la Unión Europea y como exigencia de nuestro art. 163 CE, en el marco de la cuestión de inconstitucionalidad; pero ni nuestro ordenamiento constitucional, ni tampoco el Derecho de la Unión, exigen que, en un supuesto como el que ahora se examina, dicha precedencia se produzca en todo caso y mucho menos que se proyecte sobre un recurso de inconstitucionalidad donde, por concepto, no hay una exigencia de aplicabilidad de la norma legal que impida dilucidar su validez constitucional.</w:t>
      </w:r>
    </w:p>
    <w:p w14:paraId="0A49F684" w14:textId="77777777" w:rsidR="00A8138F" w:rsidRDefault="00A8138F" w:rsidP="00A8138F">
      <w:pPr>
        <w:pStyle w:val="TextoNormal"/>
      </w:pPr>
    </w:p>
    <w:p w14:paraId="2B0D3F60" w14:textId="77777777" w:rsidR="00A8138F" w:rsidRDefault="00A8138F" w:rsidP="00A8138F">
      <w:pPr>
        <w:pStyle w:val="TextoNormal"/>
      </w:pPr>
      <w:r>
        <w:t>Finalmente, resulta claro que la norma legal concretamente impugnada, aun versando en esencia sobre la exclusión de responsabilidad de carácter punitivo de quienes fueron autores de comportamientos ilícitos de indudable gravedad, está íntimamente relacionada con cuestiones políticas subyacentes —arraigadas en la historia de nuestro país y relativas a la estructura territorial del Estado y a la integración de nuestras nacionalidades y regiones (art. 2 CE)— que son eminentemente nacionales. Es por ello también que este tribunal, en el ejercicio de la alta responsabilidad que le confiere la Constitución española, no puede eludir, sin que concurra ninguna razón jurídica que así lo exija, el enjuiciamiento constitucional que ahora le corresponde efectuar.</w:t>
      </w:r>
    </w:p>
    <w:p w14:paraId="1163693F" w14:textId="77777777" w:rsidR="00A8138F" w:rsidRDefault="00A8138F" w:rsidP="00A8138F">
      <w:pPr>
        <w:pStyle w:val="TextoNormal"/>
      </w:pPr>
    </w:p>
    <w:p w14:paraId="322107B6" w14:textId="77777777" w:rsidR="00A8138F" w:rsidRDefault="00A8138F" w:rsidP="00A8138F">
      <w:pPr>
        <w:pStyle w:val="TextoNormal"/>
      </w:pPr>
      <w:r>
        <w:t>No ha lugar, por tanto, a acordar el planteamiento de cuestiones prejudiciales de interpretación en el presente proceso constitucional ni tampoco a posponer su enjuiciamiento hasta que se resuelvan las ya planteadas ante el Tribunal de Justicia de la Unión Europea.</w:t>
      </w:r>
    </w:p>
    <w:p w14:paraId="654A213C" w14:textId="77777777" w:rsidR="00A8138F" w:rsidRDefault="00A8138F" w:rsidP="00A8138F">
      <w:pPr>
        <w:pStyle w:val="TextoNormal"/>
      </w:pPr>
    </w:p>
    <w:p w14:paraId="31A6DDA8" w14:textId="77777777" w:rsidR="00A8138F" w:rsidRDefault="00A8138F" w:rsidP="00A8138F">
      <w:pPr>
        <w:pStyle w:val="TextoNormal"/>
      </w:pPr>
      <w:r>
        <w:t>1.3</w:t>
      </w:r>
      <w:r w:rsidRPr="00A8138F">
        <w:rPr>
          <w:i/>
        </w:rPr>
        <w:t>. Orden de examen de los motivos de inconstitucionalid</w:t>
      </w:r>
      <w:r>
        <w:t>ad</w:t>
      </w:r>
    </w:p>
    <w:p w14:paraId="29C79573" w14:textId="77777777" w:rsidR="00A8138F" w:rsidRDefault="00A8138F" w:rsidP="00A8138F">
      <w:pPr>
        <w:pStyle w:val="TextoNormal"/>
      </w:pPr>
    </w:p>
    <w:p w14:paraId="2B31D813" w14:textId="77777777" w:rsidR="00A8138F" w:rsidRDefault="00A8138F" w:rsidP="00A8138F">
      <w:pPr>
        <w:pStyle w:val="TextoNormal"/>
      </w:pPr>
      <w:r>
        <w:t>El enjuiciamiento de las cuestiones planteadas en el presente recurso se va a efectuar de conformidad con el siguiente esquema. En un primer apartado A) se analizarán en los correspondientes fundamentos jurídicos aquellas alegaciones que afirman que la Constitución prohíbe la institución de la amnistía. A continuación, apartado B), serán objeto de examen, en su caso, las razones aducidas en la demanda en las que se sostiene que la amnistía que otorga la Ley impugnada es inconstitucional en su integridad. Y, por último, en el supuesto de que no se estimara en su totalidad la pretensión de los recurrentes a la que se refiere el apartado B), se analizará la pretensión subsidiaria, apartado C), por la que se impugnan determinados preceptos de esta ley orgánica.</w:t>
      </w:r>
    </w:p>
    <w:p w14:paraId="1E90DE7D" w14:textId="77777777" w:rsidR="00A8138F" w:rsidRDefault="00A8138F" w:rsidP="00A8138F">
      <w:pPr>
        <w:pStyle w:val="TextoNormal"/>
      </w:pPr>
    </w:p>
    <w:p w14:paraId="378EE33F" w14:textId="77777777" w:rsidR="00A8138F" w:rsidRDefault="00A8138F" w:rsidP="00A8138F">
      <w:pPr>
        <w:pStyle w:val="TextoNormal"/>
      </w:pPr>
      <w:r>
        <w:t>A)</w:t>
      </w:r>
      <w:r w:rsidRPr="00A8138F">
        <w:rPr>
          <w:i/>
        </w:rPr>
        <w:t xml:space="preserve"> Análisis de las alegaciones relativas a que la amnistía no cabe en la Constitució</w:t>
      </w:r>
      <w:r>
        <w:t>n</w:t>
      </w:r>
    </w:p>
    <w:p w14:paraId="3ADF6FED" w14:textId="77777777" w:rsidR="00A8138F" w:rsidRDefault="00A8138F" w:rsidP="00A8138F">
      <w:pPr>
        <w:pStyle w:val="TextoNormal"/>
      </w:pPr>
    </w:p>
    <w:p w14:paraId="7ED2F291" w14:textId="77777777" w:rsidR="00A8138F" w:rsidRDefault="00A8138F" w:rsidP="00A8138F">
      <w:pPr>
        <w:pStyle w:val="TextoNormal"/>
      </w:pPr>
      <w:r>
        <w:t>Los recurrentes alegan en primer término que la amnistía, en sí misma considerada, es incompatible con la Constitución y fundamentan esta alegación en diferentes motivos. Sostienen, por una parte, que la amnistía no puede ser otorgada por el legislador porque requeriría una habilitación expresa en la Constitución. Mantienen, además, que de la prohibición de indultos generales prevista en el art. 62 i) CE se deriva también la de las amnistías. Junto a ello argumentan que el art. 87.3 CE, al excluir de la iniciativa legislativa popular “lo relativo a la prerrogativa de gracia”, no supone un reconocimiento implícito de esta institución. Por otra parte, entienden que la amnistía es incompatible con principios estructurales del Estado de Derecho —la separación de poderes y la reserva de jurisdicción— y con el derecho fundamental garantizado en el art. 25.1 CE. Añaden que tanto la doctrina constitucional relativa a la amnistía como los trabajos constituyentes avalan sus alegaciones.</w:t>
      </w:r>
    </w:p>
    <w:p w14:paraId="7BD7A74F" w14:textId="77777777" w:rsidR="00A8138F" w:rsidRDefault="00A8138F" w:rsidP="00A8138F">
      <w:pPr>
        <w:pStyle w:val="TextoNormal"/>
      </w:pPr>
    </w:p>
    <w:p w14:paraId="15D22F91" w14:textId="1EBF89E1" w:rsidR="00A8138F" w:rsidRDefault="00A8138F" w:rsidP="00A8138F">
      <w:pPr>
        <w:pStyle w:val="TextoNormal"/>
      </w:pPr>
      <w:r>
        <w:t>Estas alegaciones van a ser enjuiciadas en este primer apartado que comprende los fundamentos jurídicos 2, 3, 4 y 5. El orden de análisis va a ser el siguiente. En primer lugar y como cuestión previa, se va a exponer la jurisprudencia constitucional relativa a la amnistía con el fin de analizar si el Tribunal ha avalado ya la constitucionalidad de este tipo de leyes (FJ 2). A continuación, se examinará si la amnistía, para poder ser otorgada, necesita una habilitación constitucional. Para ello se expondrá el modo en que la Constitución vincula al legislador y si, como sostienen los recurrentes, la prohibición de la amnistía se deriva del art. 62 i) CE y de los trabajos constituyentes (FJ 3). Por último, en los fundamentos jurídicos 4 y 5 se analizará la compatibilidad de la amnistía con el principio de separación de poderes, en particular con el de reserva de jurisdicción, y con el art. 25.1 CE.</w:t>
      </w:r>
    </w:p>
    <w:p w14:paraId="27468702" w14:textId="77777777" w:rsidR="00A8138F" w:rsidRDefault="00A8138F" w:rsidP="00A8138F">
      <w:pPr>
        <w:pStyle w:val="TextoNormal"/>
      </w:pPr>
    </w:p>
    <w:p w14:paraId="206E74F3" w14:textId="77777777" w:rsidR="00A8138F" w:rsidRDefault="00A8138F" w:rsidP="00A8138F">
      <w:pPr>
        <w:pStyle w:val="TextoNormal"/>
      </w:pPr>
      <w:r w:rsidRPr="00A8138F">
        <w:rPr>
          <w:rStyle w:val="NumeroAFNegritaCaracter"/>
        </w:rPr>
        <w:t>2</w:t>
      </w:r>
      <w:r>
        <w:t xml:space="preserve">. </w:t>
      </w:r>
      <w:r w:rsidRPr="00A8138F">
        <w:rPr>
          <w:i/>
        </w:rPr>
        <w:t>Cuestión preliminar: de la aplicabilidad de la doctrina constitucional sobre la amnistía al presente caso</w:t>
      </w:r>
    </w:p>
    <w:p w14:paraId="55A66F88" w14:textId="77777777" w:rsidR="00A8138F" w:rsidRDefault="00A8138F" w:rsidP="00A8138F">
      <w:pPr>
        <w:pStyle w:val="TextoNormal"/>
      </w:pPr>
    </w:p>
    <w:p w14:paraId="593C8E02" w14:textId="77777777" w:rsidR="00A8138F" w:rsidRDefault="00A8138F" w:rsidP="00A8138F">
      <w:pPr>
        <w:pStyle w:val="TextoNormal"/>
      </w:pPr>
      <w:r>
        <w:t xml:space="preserve">2.1. </w:t>
      </w:r>
      <w:r w:rsidRPr="00A8138F">
        <w:rPr>
          <w:i/>
        </w:rPr>
        <w:t>Alegaciones de las partes</w:t>
      </w:r>
    </w:p>
    <w:p w14:paraId="1DA92D6A" w14:textId="77777777" w:rsidR="00A8138F" w:rsidRDefault="00A8138F" w:rsidP="00A8138F">
      <w:pPr>
        <w:pStyle w:val="TextoNormal"/>
      </w:pPr>
    </w:p>
    <w:p w14:paraId="7419A74B" w14:textId="77777777" w:rsidR="00A8138F" w:rsidRDefault="00A8138F" w:rsidP="00A8138F">
      <w:pPr>
        <w:pStyle w:val="TextoNormal"/>
      </w:pPr>
      <w:r>
        <w:t>Los diputados y senadores recurrentes discrepan de las afirmaciones contenidas en el preámbulo de la Ley de amnistía en las que se sostiene que, según la doctrina constitucional, la amnistía es constitucionalmente posible. A su juicio, no existe jurisprudencia constitucional que declare la conformidad de la amnistía con la Constitución. Argumentan que, si bien el Tribunal Constitucional se refirió a la amnistía en las SSTC 63/1983, de 20 de julio, y 147/1986, de 25 de noviembre, estos pronunciamientos tienen por objeto únicamente las amnistías acordadas en el Real Decreto-ley 10/1976, de 30 de julio, y en la Ley 46/1977, de 15 de octubre, fundamentadas en la idea de justicia. Aducen también los demandantes que no hay doctrina constitucional referida a una ley de amnistía “que declare penalmente inmunes a un conjunto de personas frente a delitos tipificados en un Código penal democrático y al que ningún reproche se le realiza desde la perspectiva del principio de justicia”.</w:t>
      </w:r>
    </w:p>
    <w:p w14:paraId="3B8F0AF0" w14:textId="77777777" w:rsidR="00A8138F" w:rsidRDefault="00A8138F" w:rsidP="00A8138F">
      <w:pPr>
        <w:pStyle w:val="TextoNormal"/>
      </w:pPr>
    </w:p>
    <w:p w14:paraId="45092A2E" w14:textId="77777777" w:rsidR="00A8138F" w:rsidRDefault="00A8138F" w:rsidP="00A8138F">
      <w:pPr>
        <w:pStyle w:val="TextoNormal"/>
      </w:pPr>
      <w:r>
        <w:t>El Senado alega que las resoluciones dictadas por el Tribunal Constitucional que se refieren a esta institución aluden a normas aprobadas antes de la entrada en vigor de la Constitución, por lo que deducen que la jurisprudencia constitucional no se ha pronunciado sobre la conformidad de la amnistía con la Constitución.</w:t>
      </w:r>
    </w:p>
    <w:p w14:paraId="2F3441B2" w14:textId="77777777" w:rsidR="00A8138F" w:rsidRDefault="00A8138F" w:rsidP="00A8138F">
      <w:pPr>
        <w:pStyle w:val="TextoNormal"/>
      </w:pPr>
    </w:p>
    <w:p w14:paraId="1F2160E4" w14:textId="77777777" w:rsidR="00A8138F" w:rsidRDefault="00A8138F" w:rsidP="00A8138F">
      <w:pPr>
        <w:pStyle w:val="TextoNormal"/>
      </w:pPr>
      <w:r>
        <w:t>El abogado del Estado sostiene que el Tribunal Constitucional no ha cuestionado la constitucionalidad de esta figura sino que, al contrario, ha declarado que se trata de “una manifestación del ejercicio del derecho de gracia” y que “no hay restricción constitucional directa sobre esta materia” (STC 147/1986, FJ 2).</w:t>
      </w:r>
    </w:p>
    <w:p w14:paraId="29C7D2BA" w14:textId="77777777" w:rsidR="00A8138F" w:rsidRDefault="00A8138F" w:rsidP="00A8138F">
      <w:pPr>
        <w:pStyle w:val="TextoNormal"/>
      </w:pPr>
    </w:p>
    <w:p w14:paraId="2D09AA68" w14:textId="77777777" w:rsidR="00A8138F" w:rsidRDefault="00A8138F" w:rsidP="00A8138F">
      <w:pPr>
        <w:pStyle w:val="TextoNormal"/>
      </w:pPr>
      <w:r>
        <w:t xml:space="preserve">2.2. </w:t>
      </w:r>
      <w:r w:rsidRPr="00A8138F">
        <w:rPr>
          <w:i/>
        </w:rPr>
        <w:t>Examen de la doctrina constitucional en materia de amnistía</w:t>
      </w:r>
    </w:p>
    <w:p w14:paraId="7E4E3D7F" w14:textId="77777777" w:rsidR="00A8138F" w:rsidRDefault="00A8138F" w:rsidP="00A8138F">
      <w:pPr>
        <w:pStyle w:val="TextoNormal"/>
      </w:pPr>
    </w:p>
    <w:p w14:paraId="7AC6A15B" w14:textId="77777777" w:rsidR="00A8138F" w:rsidRDefault="00A8138F" w:rsidP="00A8138F">
      <w:pPr>
        <w:pStyle w:val="TextoNormal"/>
      </w:pPr>
      <w:r>
        <w:t>Ciertamente, hasta ahora el Tribunal Constitucional solo se ha pronunciado en relación con la amnistía que otorgaron el Real Decreto-ley 10/1976, de 30 de julio, sobre amnistía, y la Ley 46/1977, de 15 de octubre, de amnistía. Ambas normas son preconstitucionales y la amnistía que concedieron puede calificarse como transicional, dado que, en ambos casos, a través de esta medida se pretendía facilitar el tránsito de una dictadura a un sistema democrático, el instaurado por la vigente Constitución.</w:t>
      </w:r>
    </w:p>
    <w:p w14:paraId="1157610F" w14:textId="77777777" w:rsidR="00A8138F" w:rsidRDefault="00A8138F" w:rsidP="00A8138F">
      <w:pPr>
        <w:pStyle w:val="TextoNormal"/>
      </w:pPr>
    </w:p>
    <w:p w14:paraId="49B358C4" w14:textId="77777777" w:rsidR="00A8138F" w:rsidRDefault="00A8138F" w:rsidP="00A8138F">
      <w:pPr>
        <w:pStyle w:val="TextoNormal"/>
      </w:pPr>
      <w:r>
        <w:t>La STC 63/1983, recaída en un recurso de amparo, enjuició un supuesto en el que los recurrentes, militares que sirvieron al ejército que se mantuvo fiel a la República Española, consideraron que la amnistía concedida por las normas antes citadas otorgaba a los funcionarios civiles más ventajas que las que a ellos les dispensaron el Real Decreto-ley 6/1978, de 6 de marzo, por el que se regula la situación de los militares que tomaron parte en la guerra civil, y la Ley 10/1980, de 14 de marzo, por la que se modificó el citado real decreto-ley. En esta sentencia se afirmó que “[l]a amnistía responde así —en el caso de las disposiciones que hemos citado— a una razón de justicia, como exigencia derivada de la negación de las consecuencias de un derecho anterior” (FJ 2).</w:t>
      </w:r>
    </w:p>
    <w:p w14:paraId="2A4A5430" w14:textId="77777777" w:rsidR="00A8138F" w:rsidRDefault="00A8138F" w:rsidP="00A8138F">
      <w:pPr>
        <w:pStyle w:val="TextoNormal"/>
      </w:pPr>
    </w:p>
    <w:p w14:paraId="351C12DE" w14:textId="77777777" w:rsidR="00A8138F" w:rsidRDefault="00A8138F" w:rsidP="00A8138F">
      <w:pPr>
        <w:pStyle w:val="TextoNormal"/>
      </w:pPr>
      <w:r>
        <w:t xml:space="preserve">Asimismo, la STC 147/1986, FJ 2, refiriéndose igualmente a la Ley 46/1977, sostuvo que la amnistía “es una operación jurídica que, fundamentándose en un ideal de justicia (STC 63/1983), pretende eliminar, en el presente, las consecuencias de la aplicación de una determinada normativa —en sentido amplio— que se rechaza hoy por contraria a los principios inspiradores de un nuevo orden político. Es una operación excepcional, propia del momento de consolidación de los nuevos valores a los que sirve”. En dicha sentencia el Tribunal resolvió varias cuestiones de inconstitucionalidad en relación con la Ley 1/1984, de 9 de enero. Esta ley añadió un nuevo artículo —el 11 </w:t>
      </w:r>
      <w:r w:rsidRPr="00A8138F">
        <w:rPr>
          <w:i/>
        </w:rPr>
        <w:t>bis</w:t>
      </w:r>
      <w:r>
        <w:t>— a la Ley 46/1977, de amnistía, declarando el carácter imprescriptible de las acciones en ella reconocidas, sin perjuicio de que sus efectos económicos estuvieran sujetos a las normas de prescripción del ordenamiento jurídico.</w:t>
      </w:r>
    </w:p>
    <w:p w14:paraId="29CBC192" w14:textId="77777777" w:rsidR="00A8138F" w:rsidRDefault="00A8138F" w:rsidP="00A8138F">
      <w:pPr>
        <w:pStyle w:val="TextoNormal"/>
      </w:pPr>
    </w:p>
    <w:p w14:paraId="16FB72FF" w14:textId="77777777" w:rsidR="00A8138F" w:rsidRDefault="00A8138F" w:rsidP="00A8138F">
      <w:pPr>
        <w:pStyle w:val="TextoNormal"/>
      </w:pPr>
      <w:r>
        <w:t xml:space="preserve">Entre los motivos de inconstitucionalidad alegados por los órganos judiciales, se adujo que, dado que la Ley 46/1977 había agotado ya sus efectos, la Ley 1/1984 otorgaba una nueva amnistía, lo que suscitaba, en sí mismo, problemas de constitucionalidad. Por ello, algunos órganos judiciales, en sus autos de planteamiento, consideraron que una nueva amnistía era incompatible con la Constitución, en particular, con los arts. 9.3, 25.1, 62 i) y 118 CE. En relación con este motivo de inconstitucionalidad, el Tribunal declaró que la Ley 1/1984 no estableció una nueva amnistía, sino que introdujo “nuevos aspectos añadidos al régimen jurídico de la única existente” (STC 147/1986, FJ 2, </w:t>
      </w:r>
      <w:r w:rsidRPr="00A8138F">
        <w:rPr>
          <w:i/>
        </w:rPr>
        <w:t>in fine</w:t>
      </w:r>
      <w:r>
        <w:t xml:space="preserve">), admitiendo, en consecuencia, la posibilidad de que el legislador postconstitucional pudiera modificar el régimen jurídico de una ley de amnistía. De este modo, el Tribunal sostuvo que este cambio normativo “ni siquiera supone en sí mism[o] manifestación del ejercicio del derecho de gracia”, ya que constituye una “mera precisión en el régimen jurídico de aquel”. También declaró que “el legislador […] podía precisar ese régimen jurídico, pues no hay restricción constitucional directa sobre esta materia”. Por esta razón limitó su enjuiciamiento a verificar si dicho cambio normativo era contrario a “otras previsiones constitucionales” (STC 147/1986, FJ 2, </w:t>
      </w:r>
      <w:r w:rsidRPr="00A8138F">
        <w:rPr>
          <w:i/>
        </w:rPr>
        <w:t>in fine</w:t>
      </w:r>
      <w:r>
        <w:t>), en particular, a si la imprescriptibilidad de las acciones establecida en la norma vulneraba el principio de seguridad jurídica (art. 9.3 CE), que fue el argumento que determinó la inconstitucionalidad del precepto cuestionado.</w:t>
      </w:r>
    </w:p>
    <w:p w14:paraId="498EFAF0" w14:textId="77777777" w:rsidR="00A8138F" w:rsidRDefault="00A8138F" w:rsidP="00A8138F">
      <w:pPr>
        <w:pStyle w:val="TextoNormal"/>
      </w:pPr>
    </w:p>
    <w:p w14:paraId="7E35E289" w14:textId="77777777" w:rsidR="00A8138F" w:rsidRDefault="00A8138F" w:rsidP="00A8138F">
      <w:pPr>
        <w:pStyle w:val="TextoNormal"/>
      </w:pPr>
      <w:r>
        <w:t>En esta misma sentencia se realizan una serie de consideraciones generales sobre la naturaleza de esta institución. Parte de considerar que “la amnistía no es un fenómeno lineal, que pueda resolverse en una serie de principios y técnicas unitarios, sino un fenómeno complejo” (STC 147/1986, FJ 2); que es una “institución excepcional, que en parte desconoce las reglas usuales de evolución del ordenamiento jurídico” y es “productora de efectos excepcionales” (FJ 5). Además, alude a las diferencias entre la amnistía y el indulto, al afirmar que “es erróneo razonar sobre el indulto y la amnistía como figuras cuya diferencia es meramente cuantitativa, pues se hallan entre sí en una relación de diferenciación cualitativa”. Junto a ello, declara que una de las características que definen a esta institución es la eliminación de los efectos de la cosa juzgada. Considera que, aunque “es claro que una institución de este género [la amnistía] afecta a la seguridad jurídica, principio consagrado en el art. 9.3 CE”, la determinación de cuándo la alteración de la cosa juzgada como consecuencia del otorgamiento de una amnistía vulnera tal principio “es un problema de límites, de razonabilidad de los límites que han sido impuestos a la seguridad jurídica en aras de la prevalencia de la justicia material” [FJ 4 a)].</w:t>
      </w:r>
    </w:p>
    <w:p w14:paraId="6E871FB8" w14:textId="77777777" w:rsidR="00A8138F" w:rsidRDefault="00A8138F" w:rsidP="00A8138F">
      <w:pPr>
        <w:pStyle w:val="TextoNormal"/>
      </w:pPr>
    </w:p>
    <w:p w14:paraId="033C5D7D" w14:textId="1AFD4A5D" w:rsidR="00A8138F" w:rsidRDefault="00A8138F" w:rsidP="00A8138F">
      <w:pPr>
        <w:pStyle w:val="TextoNormal"/>
      </w:pPr>
      <w:r>
        <w:t>Ha de precisarse que la doctrina constitucional a la que se acaba de hacer referencia se ha dictado en relación con una modalidad de amnistía muy concreta, la que tiene lugar en contextos transicionales y, como se acaba de indicar, la amnistía es un fenómeno complejo que puede otorgarse por motivos muy diversos. En consecuencia, puede considerarse, como sostienen los recurrentes, que el problema que se suscita en este recurso es novedoso en la medida en que la amnistía otorgada por la ley ahora impugnada es distinta en muy diversos aspectos a la concedida en el Real Decreto-ley 10/1976 y en la Ley 46/1977. Ahora bien, dicho carácter novedoso no impide que la doctrina recaída en las SSTC 63/1983 y 147/1986, a propósito de las consideraciones generales sobre la naturaleza jurídica de la amnistía, sea aplicable a este caso. En particular, su carácter excepcional y complejo, así como las diferencias que dicha institución presenta respecto del indulto.</w:t>
      </w:r>
    </w:p>
    <w:p w14:paraId="50995470" w14:textId="77777777" w:rsidR="00A8138F" w:rsidRDefault="00A8138F" w:rsidP="00A8138F">
      <w:pPr>
        <w:pStyle w:val="TextoNormal"/>
      </w:pPr>
    </w:p>
    <w:p w14:paraId="5AA72CB0" w14:textId="77777777" w:rsidR="00A8138F" w:rsidRDefault="00A8138F" w:rsidP="00A8138F">
      <w:pPr>
        <w:pStyle w:val="TextoNormal"/>
      </w:pPr>
      <w:r w:rsidRPr="00A8138F">
        <w:rPr>
          <w:rStyle w:val="NumeroAFNegritaCaracter"/>
        </w:rPr>
        <w:t>3</w:t>
      </w:r>
      <w:r>
        <w:t xml:space="preserve">. </w:t>
      </w:r>
      <w:r w:rsidRPr="00A8138F">
        <w:rPr>
          <w:i/>
        </w:rPr>
        <w:t>La compatibilidad de la amnistía con la Constitución. Las consecuencias de la ausencia de una previsión constitucional expresa en materia de amnistía</w:t>
      </w:r>
    </w:p>
    <w:p w14:paraId="3A416693" w14:textId="77777777" w:rsidR="00A8138F" w:rsidRDefault="00A8138F" w:rsidP="00A8138F">
      <w:pPr>
        <w:pStyle w:val="TextoNormal"/>
      </w:pPr>
    </w:p>
    <w:p w14:paraId="42566023" w14:textId="77777777" w:rsidR="00A8138F" w:rsidRDefault="00A8138F" w:rsidP="00A8138F">
      <w:pPr>
        <w:pStyle w:val="TextoNormal"/>
      </w:pPr>
      <w:r>
        <w:t xml:space="preserve">3.1. </w:t>
      </w:r>
      <w:r w:rsidRPr="00A8138F">
        <w:rPr>
          <w:i/>
        </w:rPr>
        <w:t>Exposición del motivo y alegaciones de las partes</w:t>
      </w:r>
    </w:p>
    <w:p w14:paraId="1B522D1F" w14:textId="77777777" w:rsidR="00A8138F" w:rsidRDefault="00A8138F" w:rsidP="00A8138F">
      <w:pPr>
        <w:pStyle w:val="TextoNormal"/>
      </w:pPr>
    </w:p>
    <w:p w14:paraId="0AE0B57A" w14:textId="77777777" w:rsidR="00A8138F" w:rsidRDefault="00A8138F" w:rsidP="00A8138F">
      <w:pPr>
        <w:pStyle w:val="TextoNormal"/>
      </w:pPr>
      <w:r>
        <w:t>Los recurrentes aducen que la Ley de amnistía es inconstitucional debido a que la Constitución no habilita al legislador a otorgar amnistía alguna. Fundamentan esta alegación en que este tipo de leyes es contrario a la separación de poderes, a la reserva de jurisdicción (art. 117.3 CE), al cumplimiento obligatorio de las resoluciones judiciales firmes (art. 118 CE) y al derecho a la tutela judicial efectiva (art. 24.1 CE).</w:t>
      </w:r>
    </w:p>
    <w:p w14:paraId="08480099" w14:textId="77777777" w:rsidR="00A8138F" w:rsidRDefault="00A8138F" w:rsidP="00A8138F">
      <w:pPr>
        <w:pStyle w:val="TextoNormal"/>
      </w:pPr>
    </w:p>
    <w:p w14:paraId="12B09408" w14:textId="77777777" w:rsidR="00A8138F" w:rsidRDefault="00A8138F" w:rsidP="00A8138F">
      <w:pPr>
        <w:pStyle w:val="TextoNormal"/>
      </w:pPr>
      <w:r>
        <w:t>Afirman que el poder legislativo no es ilimitado y que la aprobación de una ley de amnistía hubiera exigido una habilitación expresa a las Cortes Generales en el art. 66.2 CE, como prevé el art. 62 i) CE en el caso del indulto. Entienden que, al no estar contemplada la amnistía en la Constitución, su aprobación hubiera requerido una reforma constitucional, toda vez que durante los trabajos parlamentarios fueron rechazadas las enmiendas que se referían a la amnistía.</w:t>
      </w:r>
    </w:p>
    <w:p w14:paraId="7442CE22" w14:textId="77777777" w:rsidR="00A8138F" w:rsidRDefault="00A8138F" w:rsidP="00A8138F">
      <w:pPr>
        <w:pStyle w:val="TextoNormal"/>
      </w:pPr>
    </w:p>
    <w:p w14:paraId="733D1F7A" w14:textId="77777777" w:rsidR="00A8138F" w:rsidRDefault="00A8138F" w:rsidP="00A8138F">
      <w:pPr>
        <w:pStyle w:val="TextoNormal"/>
      </w:pPr>
      <w:r>
        <w:t>El Senado alega que esta institución no cabe en la Constitución, pues entiende que las Cortes Generales, al no estar habilitadas expresamente por la Constitución, carecen de competencia para dictar una norma de este tipo. Asimismo, considera que la amnistía es contraria a la reserva de jurisdicción (art. 117.3 CE) y al art. 118 CE, que establece la obligación de cumplir las sentencias y demás resoluciones judiciales firmes.</w:t>
      </w:r>
    </w:p>
    <w:p w14:paraId="56957F6C" w14:textId="77777777" w:rsidR="00A8138F" w:rsidRDefault="00A8138F" w:rsidP="00A8138F">
      <w:pPr>
        <w:pStyle w:val="TextoNormal"/>
      </w:pPr>
    </w:p>
    <w:p w14:paraId="2C9C5568" w14:textId="77777777" w:rsidR="00A8138F" w:rsidRDefault="00A8138F" w:rsidP="00A8138F">
      <w:pPr>
        <w:pStyle w:val="TextoNormal"/>
      </w:pPr>
      <w:r>
        <w:t>El abogado del Estado aduce que la Constitución no prohíbe al Parlamento la potestad de amnistiar. Por ello afirma que, en su amplio margen de configuración, puede ejercerla siempre y cuando se ajuste a los postulados constitucionales. Considera que el instituto de la amnistía no vulnera el principio de separación de poderes ni, por ello, la reserva de jurisdicción (art. 117.3 CE) ni tampoco el derecho a la tutela judicial efectiva (art. 24.1 CE). En su opinión, la Ley de amnistía no enjuicia ni ejecuta lo juzgado, sino que establece unos supuestos de exención de responsabilidad criminal que los órganos judiciales deben aplicar. Asimismo, sostiene que el legislador, al despenalizar determinadas conductas a través de esta ley orgánica, está ejerciendo la misma potestad normativa que le permite tipificar o destipificar infracciones criminales.</w:t>
      </w:r>
    </w:p>
    <w:p w14:paraId="05EC1E0C" w14:textId="77777777" w:rsidR="00A8138F" w:rsidRDefault="00A8138F" w:rsidP="00A8138F">
      <w:pPr>
        <w:pStyle w:val="TextoNormal"/>
      </w:pPr>
    </w:p>
    <w:p w14:paraId="0D834726" w14:textId="77777777" w:rsidR="00A8138F" w:rsidRDefault="00A8138F" w:rsidP="00A8138F">
      <w:pPr>
        <w:pStyle w:val="TextoNormal"/>
      </w:pPr>
      <w:r>
        <w:t>Bajo esta genérica alegación de inconstitucionalidad se aducen cuestiones diversas que requieren una repuesta diferenciada. La alegación general de que la amnistía, como institución, es contraria a la Constitución porque vulnera el art. 24.1 CE no puede ser objeto de examen al carecer de todo soporte argumental. Como ha señalado reiteradamente la jurisprudencia constitucional, es carga del recurrente proporcionar la fundamentación que razonablemente es de esperar, sin que a este tribunal le corresponda suplir tal omisión (por todas, STC 155/1999, de 14 de septiembre, FJ 1). No obstante, como este motivo se formula también en relación con la pretendida inconstitucionalidad de la Ley de amnistía, será objeto de enjuiciamiento, en su caso, cuando se aborde esta cuestión.</w:t>
      </w:r>
    </w:p>
    <w:p w14:paraId="2B8A141B" w14:textId="77777777" w:rsidR="00A8138F" w:rsidRDefault="00A8138F" w:rsidP="00A8138F">
      <w:pPr>
        <w:pStyle w:val="TextoNormal"/>
      </w:pPr>
    </w:p>
    <w:p w14:paraId="7DAB6E6A" w14:textId="77777777" w:rsidR="00A8138F" w:rsidRDefault="00A8138F" w:rsidP="00A8138F">
      <w:pPr>
        <w:pStyle w:val="TextoNormal"/>
      </w:pPr>
      <w:r>
        <w:t xml:space="preserve">3.2. </w:t>
      </w:r>
      <w:r w:rsidRPr="00A8138F">
        <w:rPr>
          <w:i/>
        </w:rPr>
        <w:t>Enjuiciamiento del motivo</w:t>
      </w:r>
    </w:p>
    <w:p w14:paraId="087538BC" w14:textId="77777777" w:rsidR="00A8138F" w:rsidRDefault="00A8138F" w:rsidP="00A8138F">
      <w:pPr>
        <w:pStyle w:val="TextoNormal"/>
      </w:pPr>
    </w:p>
    <w:p w14:paraId="012810FA" w14:textId="77777777" w:rsidR="00A8138F" w:rsidRDefault="00A8138F" w:rsidP="00A8138F">
      <w:pPr>
        <w:pStyle w:val="TextoNormal"/>
      </w:pPr>
      <w:r>
        <w:t xml:space="preserve">3.2.1. </w:t>
      </w:r>
      <w:r w:rsidRPr="00A8138F">
        <w:rPr>
          <w:i/>
        </w:rPr>
        <w:t>La vinculación del legislador a la Constitución</w:t>
      </w:r>
    </w:p>
    <w:p w14:paraId="58CF7E6E" w14:textId="77777777" w:rsidR="00A8138F" w:rsidRDefault="00A8138F" w:rsidP="00A8138F">
      <w:pPr>
        <w:pStyle w:val="TextoNormal"/>
      </w:pPr>
    </w:p>
    <w:p w14:paraId="156A65C5" w14:textId="77777777" w:rsidR="00A8138F" w:rsidRDefault="00A8138F" w:rsidP="00A8138F">
      <w:pPr>
        <w:pStyle w:val="TextoNormal"/>
      </w:pPr>
      <w:r>
        <w:t>El artículo 66 CE, con el que comienza el capítulo primero, bajo la denominación “De las Cámaras”, de su título III, que tiene por rúbrica “De las Cortes Generales”, residencia en estas la potestad legislativa del Estado (art. 66.2 CE). El Tribunal ha declarado respecto de esta previsión constitucional que dicha potestad “se ejerce por cada una de las cámaras que la integran, esto es, el Congreso de los Diputados y el Senado, en la forma y con la extensión que el propio texto constitucional determina en el capítulo segundo” [SSTC 234/2000, de 3 de octubre, FJ 13, y 167/2023, de 22 de noviembre, FJ 5 a)]. Esta previsión constitucional debe ponerse en conexión con el apartado primero de este precepto, que establece que las Cortes Generales “representan al pueblo español”. La ley es, por tanto, el resultado de la potestad legislativa de las Cortes Generales, no la mera suma de voluntades individuales de quienes ocupan en un determinado momento un escaño. La ley es, bajo la Constitución, la fuente primaria del ordenamiento jurídico y se diferencia de las demás fuentes del Derecho por su forma democrática de elaboración. Por ello, este tipo de norma, con carácter general, tiene como peculiaridad su subordinación directa e inmediata, sin intermediación alguna, a la Constitución y, en su caso, al bloque de la constitucionalidad. De ahí que entre sus rasgos característicos se encuentre su libertad de contenidos, al ser el instrumento que juridifica las decisiones políticas de la comunidad.</w:t>
      </w:r>
    </w:p>
    <w:p w14:paraId="7909163B" w14:textId="77777777" w:rsidR="00A8138F" w:rsidRDefault="00A8138F" w:rsidP="00A8138F">
      <w:pPr>
        <w:pStyle w:val="TextoNormal"/>
      </w:pPr>
    </w:p>
    <w:p w14:paraId="15920160" w14:textId="77777777" w:rsidR="00A8138F" w:rsidRDefault="00A8138F" w:rsidP="00A8138F">
      <w:pPr>
        <w:pStyle w:val="TextoNormal"/>
      </w:pPr>
      <w:r>
        <w:t>Ahora bien, la libertad de configuración del legislador encuentra su límite en la Constitución. La ley no puede contradecirla. No cabe derivar de lo anterior, sin embargo, que esta norma se limite a desarrollar un programa previamente diseñado por la Constitución. La configuración del Estado como democrático (art. 1.1 CE) y, en coherencia con ello, la consagración del pluralismo político como valor superior del ordenamiento jurídico (art. 1.1 CE), imponen una concepción de la Constitución como una “norma abierta”. Esto es, la Constitución establece los límites a las diversas opciones políticas imperantes en cada momento. La Constitución, por tanto, no establece un régimen jurídico que el legislador haya de ejecutar. Al contrario, su naturaleza de norma fundamental exige partir del principio inverso, es decir, del que impone una vinculación negativa. Todo ello sin perjuicio, claro está, de que esta libertad de configuración depende de la estructura y densidad de las distintas normas constitucionales. Dentro del respeto a este marco negativo, todas las opciones son lícitas y la lógica democrática lleva a que las decisiones capitales para la colectividad sean tomadas por el legislador. Esto supone que la ley, como acto jurídico y siempre que respete lo establecido en la Constitución, es libre en cuanto a su fin, que se fija según criterios de oportunidad política.</w:t>
      </w:r>
    </w:p>
    <w:p w14:paraId="7158E397" w14:textId="77777777" w:rsidR="00A8138F" w:rsidRDefault="00A8138F" w:rsidP="00A8138F">
      <w:pPr>
        <w:pStyle w:val="TextoNormal"/>
      </w:pPr>
    </w:p>
    <w:p w14:paraId="5B3B7C69" w14:textId="77777777" w:rsidR="00A8138F" w:rsidRDefault="00A8138F" w:rsidP="00A8138F">
      <w:pPr>
        <w:pStyle w:val="TextoNormal"/>
      </w:pPr>
      <w:r>
        <w:t>El principio de la vinculación negativa del legislador a la Constitución constituye una idea basilar o inherente al constitucionalismo democrático que ha presidido la jurisprudencia constitucional desde sus inicios. Ya en la STC 11/1981, de 8 de abril, FJ 7, se afirmó que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 Esta doctrina es unánime y ha sido reiterada en diversas resoluciones, entre muchas otras en las SSTC 197/1996, de 28 de noviembre, FJ 8; 48/2003, de 12 de marzo, FJ 7; 126/2009, de 21 de mayo, FJ 9; 62/2011, de 5 de mayo, FJ 6; 191/2016, de 15 de noviembre, FJ 3 b); 124/2017, de 8 de noviembre, FJ 5 d); 161/2021, de 4 de octubre, FJ 6; 34/2023, de 18 de abril, FJ 5.3 h), y 44/2023, de 9 de mayo, FJ 2 A).</w:t>
      </w:r>
    </w:p>
    <w:p w14:paraId="43E4875B" w14:textId="77777777" w:rsidR="00A8138F" w:rsidRDefault="00A8138F" w:rsidP="00A8138F">
      <w:pPr>
        <w:pStyle w:val="TextoNormal"/>
      </w:pPr>
    </w:p>
    <w:p w14:paraId="3A6B9C6E" w14:textId="77777777" w:rsidR="00A8138F" w:rsidRDefault="00A8138F" w:rsidP="00A8138F">
      <w:pPr>
        <w:pStyle w:val="TextoNormal"/>
      </w:pPr>
      <w:r>
        <w:t>En consonancia y en palabras de la STC 191/2016, FJ 3 b), “en el juicio a la ley, este tribunal no ha de hacer las veces de propio legislador (SSTC 19/1988, de 16 de febrero, FJ 8, y 235/1999, de 16 de diciembre, FJ 13), constriñendo su libertad de disposición allá donde la Constitución no lo haga de manera inequívoca”.</w:t>
      </w:r>
    </w:p>
    <w:p w14:paraId="015AA6D5" w14:textId="77777777" w:rsidR="00A8138F" w:rsidRDefault="00A8138F" w:rsidP="00A8138F">
      <w:pPr>
        <w:pStyle w:val="TextoNormal"/>
      </w:pPr>
    </w:p>
    <w:p w14:paraId="6C823D32" w14:textId="77777777" w:rsidR="00A8138F" w:rsidRDefault="00A8138F" w:rsidP="00A8138F">
      <w:pPr>
        <w:pStyle w:val="TextoNormal"/>
      </w:pPr>
      <w:r>
        <w:t>A lo ya expuesto hay que añadir que no cabe confundir las motivaciones últimas que puedan subyacer a un determinado acto de legislación (más allá de lo que declare, de existir, su preámbulo) con las normas en él establecidas. Una cosa es el porqué de la ley, esto es, de las motivaciones, razones o transacciones políticas que llevaron a su aprobación, y otra muy distinta es lo que la norma es. Como afirmó la STC 239/1992, de 17 de diciembre, FJ 2, las alegaciones sobre las supuestas motivaciones partidistas del legislador no pueden ser objeto de consideración en el juicio de constitucionalidad, que no es un juicio de intenciones políticas. Según la sentencia citada “el concreto objetivo político que con ella [la ley] pretenda conseguir el legislador no es cuestión que incumba a este tribunal”, que no puede, por ello, basar el enjuiciamiento de la ley en la indagación de cuáles pudieran ser las razones últimas de las que, en su caso, traiga causa. Por ello, la ley es el único acto jurídico cuyo elemento teleológico, es decir, su porqué, es jurídicamente indiferente, con independencia de cuál sea su valoración política, circunstancia que es ajena al mundo del Derecho.</w:t>
      </w:r>
    </w:p>
    <w:p w14:paraId="587D339E" w14:textId="77777777" w:rsidR="00A8138F" w:rsidRDefault="00A8138F" w:rsidP="00A8138F">
      <w:pPr>
        <w:pStyle w:val="TextoNormal"/>
      </w:pPr>
    </w:p>
    <w:p w14:paraId="3A7A3000" w14:textId="77777777" w:rsidR="00A8138F" w:rsidRDefault="00A8138F" w:rsidP="00A8138F">
      <w:pPr>
        <w:pStyle w:val="TextoNormal"/>
      </w:pPr>
      <w:r>
        <w:t>En definitiva, el legislador puede regular toda materia que la Constitución no prohíba explícita o implícitamente. Respetando este límite, ningún contenido puede considerarse exento de la posibilidad de que el Parlamento lo atraiga hacia sí.</w:t>
      </w:r>
    </w:p>
    <w:p w14:paraId="473C8577" w14:textId="77777777" w:rsidR="00A8138F" w:rsidRDefault="00A8138F" w:rsidP="00A8138F">
      <w:pPr>
        <w:pStyle w:val="TextoNormal"/>
      </w:pPr>
    </w:p>
    <w:p w14:paraId="67FF7EB9" w14:textId="77777777" w:rsidR="00A8138F" w:rsidRDefault="00A8138F" w:rsidP="00A8138F">
      <w:pPr>
        <w:pStyle w:val="TextoNormal"/>
      </w:pPr>
      <w:r>
        <w:t>Partiendo de esta premisa, es obligado analizar si, como alegan los recurrentes, la Constitución prohíbe implícitamente la amnistía, al ser obvio que no existe una prohibición expresa. Se examinan a continuación los argumentos aducidos por los demandantes para fundar tal contrariedad de dicha institución con la Constitución.</w:t>
      </w:r>
    </w:p>
    <w:p w14:paraId="4A407BE2" w14:textId="77777777" w:rsidR="00A8138F" w:rsidRDefault="00A8138F" w:rsidP="00A8138F">
      <w:pPr>
        <w:pStyle w:val="TextoNormal"/>
      </w:pPr>
    </w:p>
    <w:p w14:paraId="15616D22" w14:textId="77777777" w:rsidR="00A8138F" w:rsidRDefault="00A8138F" w:rsidP="00A8138F">
      <w:pPr>
        <w:pStyle w:val="TextoNormal"/>
      </w:pPr>
      <w:r>
        <w:t>a) Compatibilidad de la amnistía con la prohibición de indultos generales que prevé el art. 62 i) CE</w:t>
      </w:r>
    </w:p>
    <w:p w14:paraId="1FE4FD5F" w14:textId="77777777" w:rsidR="00A8138F" w:rsidRDefault="00A8138F" w:rsidP="00A8138F">
      <w:pPr>
        <w:pStyle w:val="TextoNormal"/>
      </w:pPr>
    </w:p>
    <w:p w14:paraId="5DD5E8A2" w14:textId="77777777" w:rsidR="00A8138F" w:rsidRDefault="00A8138F" w:rsidP="00A8138F">
      <w:pPr>
        <w:pStyle w:val="TextoNormal"/>
      </w:pPr>
      <w:r>
        <w:t>Aducen los parlamentarios recurrentes que, al no estar expresamente prevista la amnistía en la Constitución y al existir una prohibición de los indultos generales en el art. 62 i) CE, esta prohibición comprende también la de la amnistía. El Senado comparte este argumento. El abogado del Estado, por el contrario, se opone a él.</w:t>
      </w:r>
    </w:p>
    <w:p w14:paraId="2CD871E1" w14:textId="77777777" w:rsidR="00A8138F" w:rsidRDefault="00A8138F" w:rsidP="00A8138F">
      <w:pPr>
        <w:pStyle w:val="TextoNormal"/>
      </w:pPr>
    </w:p>
    <w:p w14:paraId="26951B51" w14:textId="77777777" w:rsidR="00A8138F" w:rsidRDefault="00A8138F" w:rsidP="00A8138F">
      <w:pPr>
        <w:pStyle w:val="TextoNormal"/>
      </w:pPr>
      <w:r>
        <w:t>Esta alegación debe ser rechazada. Tal forma de razonar no se cohonesta con la doctrina constitucional, en particular con la STC 147/1986, FJ 2, en la que se establece que la relación existente entre el indulto y la amnistía no es cuantitativa o de grado, sino cualitativa. Esta afirmación se fundamenta en que estas instituciones presentan diferencias sustanciales.</w:t>
      </w:r>
    </w:p>
    <w:p w14:paraId="2892B9BD" w14:textId="77777777" w:rsidR="00A8138F" w:rsidRDefault="00A8138F" w:rsidP="00A8138F">
      <w:pPr>
        <w:pStyle w:val="TextoNormal"/>
      </w:pPr>
    </w:p>
    <w:p w14:paraId="62BAB3FD" w14:textId="77777777" w:rsidR="00A8138F" w:rsidRDefault="00A8138F" w:rsidP="00A8138F">
      <w:pPr>
        <w:pStyle w:val="TextoNormal"/>
      </w:pPr>
      <w:r>
        <w:t>Con carácter general, la amnistía supone excepcionar retroactivamente la aplicación de una norma punitiva y eliminar, total o parcialmente, respecto de aquellos a quienes beneficia, la responsabilidad de carácter represivo que se derive de la comisión de ese ilícito. El indulto, sin embargo, solo exime de las penas total o parcialmente impuestas, pero no afecta a otras consecuencias que se derivan del ilícito cometido. Al tratarse de instituciones diferentes, la inconstitucionalidad de una ley de amnistía no puede fundamentarse en la prohibición de los indultos generales que contiene el art. 62 i) CE.</w:t>
      </w:r>
    </w:p>
    <w:p w14:paraId="705D95FC" w14:textId="77777777" w:rsidR="00A8138F" w:rsidRDefault="00A8138F" w:rsidP="00A8138F">
      <w:pPr>
        <w:pStyle w:val="TextoNormal"/>
      </w:pPr>
    </w:p>
    <w:p w14:paraId="0EC01F18" w14:textId="77777777" w:rsidR="00A8138F" w:rsidRDefault="00A8138F" w:rsidP="00A8138F">
      <w:pPr>
        <w:pStyle w:val="TextoNormal"/>
      </w:pPr>
      <w:r>
        <w:t>Ha de señalarse que la conclusión anterior no quedaría desvirtuada aunque se considerase que tanto la amnistía como el indulto son especies del género “derecho de gracia”, como sostiene algún sector doctrinal. Con independencia de que puedan o no calificarse genéricamente como tales —cuestión que no va a ser objeto de examen al ser irrelevante para analizar este motivo del recurso—, lo determinante a estos efectos es que, más allá de que las dos instituciones puedan tener puntos en común (el hecho de que en ambos supuestos la consecuencia punitiva impuesta por el ilícito cometido se suprime o, en su caso, se reduce), el régimen jurídico que las define y, como consecuencia de ello, sus efectos jurídicos son muy distintos: los indultos, como institución jurídica, se caracterizan porque su otorgamiento conlleva la extinción total o parcial de una pena ya impuesta. Además, tal y como los define la Constitución, son actos del jefe del Estado, sujetos a refrendo del Poder Ejecutivo, que han de ejercerse conforme a la ley [arts. 62 i) y 64 CE] —esto es, cumpliendo los requisitos que la ley que regula el ejercicio de esta potestad establece— y, como esta decisión es un acto del Gobierno, puede ser objeto de control por la jurisdicción contencioso-administrativa (art. 106 CE).</w:t>
      </w:r>
    </w:p>
    <w:p w14:paraId="6A2B2A01" w14:textId="77777777" w:rsidR="00A8138F" w:rsidRDefault="00A8138F" w:rsidP="00A8138F">
      <w:pPr>
        <w:pStyle w:val="TextoNormal"/>
      </w:pPr>
    </w:p>
    <w:p w14:paraId="2799FB73" w14:textId="77777777" w:rsidR="00A8138F" w:rsidRDefault="00A8138F" w:rsidP="00A8138F">
      <w:pPr>
        <w:pStyle w:val="TextoNormal"/>
      </w:pPr>
      <w:r>
        <w:t>La amnistía presenta notas diferentes. Se caracteriza por ser un acto que, por lo general, tiene como objeto excepcionar con carácter retroactivo la aplicación de normas punitivas, tanto en lo que se refiere a la posibilidad de ser juzgado por la comisión de los hechos ilícitos que tales normas tipifican, como a la de extinguir, total o parcialmente, las condenas a las que su aplicación ha dado lugar. Por ello, un acto de estas características que, por su propia naturaleza, supone excepcionar de forma retroactiva la aplicación del Derecho para determinados sujetos (los que cometieron los hechos que se consideran exentos de responsabilidad de carácter punitivo) solo puede ser adoptado por el legislador, pues solo el Parlamento, en ejercicio de su potestad legislativa, puede excepcionar la ley. Con ello no se está afirmando que la amnistía sea constitucional si la adopta el legislador. Solamente se quiere señalar que una de las exigencias que impone la Constitución para que, en su caso, esta institución sea compatible con sus determinaciones es que ha de ser adoptada necesariamente por las Cortes Generales.</w:t>
      </w:r>
    </w:p>
    <w:p w14:paraId="73CA7C95" w14:textId="77777777" w:rsidR="00A8138F" w:rsidRDefault="00A8138F" w:rsidP="00A8138F">
      <w:pPr>
        <w:pStyle w:val="TextoNormal"/>
      </w:pPr>
    </w:p>
    <w:p w14:paraId="3989D83E" w14:textId="77777777" w:rsidR="00A8138F" w:rsidRDefault="00A8138F" w:rsidP="00A8138F">
      <w:pPr>
        <w:pStyle w:val="TextoNormal"/>
      </w:pPr>
      <w:r>
        <w:t>Por todo ello, la circunstancia de que la amnistía pueda ser “general” porque sus destinatarios no estén particularizados no la hace equiparable al indulto general, constitucionalmente prohibido, pues son instituciones cuya naturaleza jurídica es diferente.</w:t>
      </w:r>
    </w:p>
    <w:p w14:paraId="557B2A18" w14:textId="77777777" w:rsidR="00A8138F" w:rsidRDefault="00A8138F" w:rsidP="00A8138F">
      <w:pPr>
        <w:pStyle w:val="TextoNormal"/>
      </w:pPr>
    </w:p>
    <w:p w14:paraId="13BC415F" w14:textId="77777777" w:rsidR="00A8138F" w:rsidRDefault="00A8138F" w:rsidP="00A8138F">
      <w:pPr>
        <w:pStyle w:val="TextoNormal"/>
      </w:pPr>
      <w:r>
        <w:t>Por otro lado, hay que subrayar que esta doctrina se cohonesta con nuestro constitucionalismo histórico, en particular con lo dispuesto en el art. 102 de la Constitución de 1931 que reconocía expresamente la amnistía y prohibía los indultos generales.</w:t>
      </w:r>
    </w:p>
    <w:p w14:paraId="6D78351F" w14:textId="77777777" w:rsidR="00A8138F" w:rsidRDefault="00A8138F" w:rsidP="00A8138F">
      <w:pPr>
        <w:pStyle w:val="TextoNormal"/>
      </w:pPr>
    </w:p>
    <w:p w14:paraId="7EF53042" w14:textId="77777777" w:rsidR="00A8138F" w:rsidRDefault="00A8138F" w:rsidP="00A8138F">
      <w:pPr>
        <w:pStyle w:val="TextoNormal"/>
      </w:pPr>
      <w:r>
        <w:t>b) La exclusión de la iniciativa legislativa popular “en lo relativo a la prerrogativa de gracia” (art. 87.3 CE)</w:t>
      </w:r>
    </w:p>
    <w:p w14:paraId="57ED9FF6" w14:textId="77777777" w:rsidR="00A8138F" w:rsidRDefault="00A8138F" w:rsidP="00A8138F">
      <w:pPr>
        <w:pStyle w:val="TextoNormal"/>
      </w:pPr>
    </w:p>
    <w:p w14:paraId="19E8E173" w14:textId="77777777" w:rsidR="00A8138F" w:rsidRDefault="00A8138F" w:rsidP="00A8138F">
      <w:pPr>
        <w:pStyle w:val="TextoNormal"/>
      </w:pPr>
      <w:r>
        <w:t>Los recurrentes consideran que el art. 87.3 CE, al excluir de la iniciativa legislativa popular la prerrogativa de gracia, no está admitiendo implícitamente la amnistía. A su juicio, el precepto no tiene más alcance que el de prohibir que a través de este tipo de iniciativa se pueda promover la ley que debe regular el indulto particular [reserva de ley contenida en el art. art. 62 i) CE].</w:t>
      </w:r>
    </w:p>
    <w:p w14:paraId="0D31F699" w14:textId="77777777" w:rsidR="00A8138F" w:rsidRDefault="00A8138F" w:rsidP="00A8138F">
      <w:pPr>
        <w:pStyle w:val="TextoNormal"/>
      </w:pPr>
    </w:p>
    <w:p w14:paraId="0402B1CF" w14:textId="77777777" w:rsidR="00A8138F" w:rsidRDefault="00A8138F" w:rsidP="00A8138F">
      <w:pPr>
        <w:pStyle w:val="TextoNormal"/>
      </w:pPr>
      <w:r>
        <w:t xml:space="preserve">El abogado del Estado parte del presupuesto de que el derecho de gracia comprende la amnistía y el indulto. Por ello considera que esta previsión constitucional se limita a prohibir la iniciativa legislativa popular en esta materia, deduciendo </w:t>
      </w:r>
      <w:r w:rsidRPr="00A8138F">
        <w:rPr>
          <w:i/>
        </w:rPr>
        <w:t>sensu contrario</w:t>
      </w:r>
      <w:r>
        <w:t xml:space="preserve"> que es posible su tramitación como proyecto o proposición de ley.</w:t>
      </w:r>
    </w:p>
    <w:p w14:paraId="276AC34F" w14:textId="77777777" w:rsidR="00A8138F" w:rsidRDefault="00A8138F" w:rsidP="00A8138F">
      <w:pPr>
        <w:pStyle w:val="TextoNormal"/>
      </w:pPr>
    </w:p>
    <w:p w14:paraId="5A4C95AE" w14:textId="77777777" w:rsidR="00A8138F" w:rsidRDefault="00A8138F" w:rsidP="00A8138F">
      <w:pPr>
        <w:pStyle w:val="TextoNormal"/>
      </w:pPr>
      <w:r>
        <w:t>No procede ahora entrar a examinar cuál de las dos interpretaciones del art. 87.3 CE —la que sostienen los recurrentes o la que propone el abogado del Estado— es la que impone la Constitución. Lo único que debe enjuiciarse es si de este precepto se deriva una prohibición de la amnistía. Su mera lectura evidencia que de su tenor no cabe extraer esta consecuencia.</w:t>
      </w:r>
    </w:p>
    <w:p w14:paraId="5E14FCBB" w14:textId="77777777" w:rsidR="00A8138F" w:rsidRDefault="00A8138F" w:rsidP="00A8138F">
      <w:pPr>
        <w:pStyle w:val="TextoNormal"/>
      </w:pPr>
    </w:p>
    <w:p w14:paraId="6E32939A" w14:textId="77777777" w:rsidR="00A8138F" w:rsidRDefault="00A8138F" w:rsidP="00A8138F">
      <w:pPr>
        <w:pStyle w:val="TextoNormal"/>
      </w:pPr>
      <w:r>
        <w:t xml:space="preserve">3.2.2. </w:t>
      </w:r>
      <w:r w:rsidRPr="00A8138F">
        <w:rPr>
          <w:i/>
        </w:rPr>
        <w:t>Los trabajos parlamentarios de la Constitución en relación con la amnistía</w:t>
      </w:r>
    </w:p>
    <w:p w14:paraId="5B0356E5" w14:textId="77777777" w:rsidR="00A8138F" w:rsidRDefault="00A8138F" w:rsidP="00A8138F">
      <w:pPr>
        <w:pStyle w:val="TextoNormal"/>
      </w:pPr>
    </w:p>
    <w:p w14:paraId="651101D7" w14:textId="77777777" w:rsidR="00A8138F" w:rsidRDefault="00A8138F" w:rsidP="00A8138F">
      <w:pPr>
        <w:pStyle w:val="TextoNormal"/>
      </w:pPr>
      <w:r>
        <w:t>Los demandantes alegan que la Constitución ordena la atribución y delimitación de potestades entre los distintos poderes del Estado sin hacer mención alguna a la amnistía. A su juicio esta omisión es deliberada. Así lo deducen de los trabajos parlamentarios en los que se rechazaron dos enmiendas en las que expresamente se aludía a la amnistía, en concreto la enmienda núm. 504, en la que se establecía que “[l]as Cortes Generales […] otorgan amnistías” y la núm. 744 que en la que se preveía que “[l]as amnistías solo podrán ser acordadas por el Parlamento”. También ponen de relieve que, en la minuta de la reunión de la ponencia de 3 de noviembre de 1977, en su punto 4, consta que “[p]or lo que se refiere a la materia de la amnistía, se acuerda no constitucionalizar este tema”. Junto a estos argumentos hacen suyas las Observaciones técnicas a la proposición de ley orgánica de amnistía para la normalización institucional, política y social en Cataluña, que formularon los letrados de las Cortes Generales adscritos a la Comisión de Justicia del Congreso de los Diputados, en las que se sostiene que, como la amnistía no está atribuida a las Cortes Generales en el art. 66.2 CE ni en ningún otro precepto constitucional, esta medida hubiera exigido una reforma de la Constitución.</w:t>
      </w:r>
    </w:p>
    <w:p w14:paraId="5340FF2B" w14:textId="77777777" w:rsidR="00A8138F" w:rsidRDefault="00A8138F" w:rsidP="00A8138F">
      <w:pPr>
        <w:pStyle w:val="TextoNormal"/>
      </w:pPr>
    </w:p>
    <w:p w14:paraId="0DDD37C5" w14:textId="77777777" w:rsidR="00A8138F" w:rsidRDefault="00A8138F" w:rsidP="00A8138F">
      <w:pPr>
        <w:pStyle w:val="TextoNormal"/>
      </w:pPr>
      <w:r>
        <w:t>Estos argumentos no pueden prosperar. Del hecho de que durante los trabajos parlamentarios se rechazaran dos enmiendas que expresamente aludían a la amnistía no cabe deducir que la Constitución la prohíba. El rechazo de tales enmiendas se debió a otros motivos. La primera de ellas (la 504) se justificaba en razones meramente sistemáticas —no porque se requiriera una habilitación expresa en la norma fundamental para que fuera constitucionalmente admisible—; y la segunda (la 744) partía de la consideración de que la amnistía cabía en la Constitución y lo que pretendía, precisamente, era limitarla, de ahí que estableciera expresamente que debía otorgarse por el Parlamento. En todo caso, tal y como ponen de relieve los recurrentes, en las actas de la ponencia de la Comisión Constitucional provisional creada por acuerdo del Congreso el día 27 de julio de 1977, en su sesión del día 3 de noviembre de 1977, se hace constar en el punto 4 de su minuta que “[p]or lo que se refiere a la materia de la amnistía, se acuerda no constitucionalizar este tema”.</w:t>
      </w:r>
    </w:p>
    <w:p w14:paraId="7BA7B5D8" w14:textId="77777777" w:rsidR="00A8138F" w:rsidRDefault="00A8138F" w:rsidP="00A8138F">
      <w:pPr>
        <w:pStyle w:val="TextoNormal"/>
      </w:pPr>
    </w:p>
    <w:p w14:paraId="6BAA93F1" w14:textId="77777777" w:rsidR="00A8138F" w:rsidRDefault="00A8138F" w:rsidP="00A8138F">
      <w:pPr>
        <w:pStyle w:val="TextoNormal"/>
      </w:pPr>
      <w:r>
        <w:t>En relación con esta cuestión, el Tribunal ha tenido ya ocasión de pronunciarse en la STC 89/2019, de 2 de julio, FJ 10 b), en la que se declaró que “[e]l mero rechazo o no asunción de unas enmiendas y votos particulares no puede ser vista necesariamente como una exclusión o prohibición constitucional de alguna determinada medida, sino, más bien, como la opción de los constituyentes por preservar el carácter abierto de la previsión constitucional”.</w:t>
      </w:r>
    </w:p>
    <w:p w14:paraId="661DA766" w14:textId="77777777" w:rsidR="00A8138F" w:rsidRDefault="00A8138F" w:rsidP="00A8138F">
      <w:pPr>
        <w:pStyle w:val="TextoNormal"/>
      </w:pPr>
    </w:p>
    <w:p w14:paraId="28834819" w14:textId="77777777" w:rsidR="00A8138F" w:rsidRDefault="00A8138F" w:rsidP="00A8138F">
      <w:pPr>
        <w:pStyle w:val="TextoNormal"/>
      </w:pPr>
      <w:r>
        <w:t>Ha de tenerse en cuenta, además, que el rechazo de estas enmiendas no se fundamenta en que la amnistía no es constitucionalmente admisible, sino en otros argumentos, siendo especialmente clarificador que la propia comisión señalara expresamente su voluntad de no constitucionalizar esta institución. Tal afirmación, en contra de lo que sostienen los recurrentes, no puede entenderse como un rechazo deliberado de la amnistía. La decisión de la Comisión Constitucional de no constitucionalizar la amnistía y rechazar por ello las enmiendas relativas a esta institución solo puede significar que la Constitución quiere guardar silencio al respecto. El silencio constitucional, por sí solo, no equivale a la prohibición de una institución. Tal consecuencia solo es posible en los supuestos en los que dicha institución sea incompatible con la propia Constitución. Si no concurre esta circunstancia será el legislador el que, con la libertad de configuración que le es propia, la incorpore a nuestro ordenamiento jurídico y acometa su regulación sin más límites que los que se derivan de la norma fundamental. De otro modo, se estaría privando a la mayoría parlamentaria de opciones legislativas que no le han sido sustraídas por decisión del constituyente, lo que conllevaría, como se acaba de señalar, la infracción del principio democrático, eje vertebrador de nuestro sistema constitucional.</w:t>
      </w:r>
    </w:p>
    <w:p w14:paraId="55BEA08D" w14:textId="77777777" w:rsidR="00A8138F" w:rsidRDefault="00A8138F" w:rsidP="00A8138F">
      <w:pPr>
        <w:pStyle w:val="TextoNormal"/>
      </w:pPr>
    </w:p>
    <w:p w14:paraId="3DCF8FE1" w14:textId="77777777" w:rsidR="00A8138F" w:rsidRDefault="00A8138F" w:rsidP="00A8138F">
      <w:pPr>
        <w:pStyle w:val="TextoNormal"/>
      </w:pPr>
      <w:r>
        <w:t>En definitiva, como ya se ha expuesto, el legislador no precisa una habilitación expresa de la Constitución para poder ejercer la potestad legislativa. Si se entendiera que una ley de amnistía no es constitucionalmente admisible por no haber atribuido la Constitución esta competencia al Parlamento se estaría excepcionando, como se acaba de indicar, el principio democrático y, en particular, la potestad legislativa que, con carácter general, sin distinción alguna, atribuye el art. 66.2 CE a las Cortes Generales, contraviniendo por este motivo lo establecido en este precepto. Como afirma la STC 76/1983, de 5 de agosto, FJ 4, “[n]o cabe duda [de] que las Cortes Generales, como titulares ‘de la potestad legislativa del Estado’ (art. 66.2 de la Constitución), pueden legislar en principio sobre cualquier materia sin necesidad de poseer un título específico para ello”; sin perjuicio de que el legislador, al igual que el resto de los poderes en el Estado constitucional, tiene un poder limitado, como lo señala la propia STC 76/1983, FJ 4, al establecer que “esta potestad [legislativa] tiene sus límites, derivados de la propia Constitución”.</w:t>
      </w:r>
    </w:p>
    <w:p w14:paraId="56B9DA7E" w14:textId="77777777" w:rsidR="00A8138F" w:rsidRDefault="00A8138F" w:rsidP="00A8138F">
      <w:pPr>
        <w:pStyle w:val="TextoNormal"/>
      </w:pPr>
    </w:p>
    <w:p w14:paraId="70D90616" w14:textId="77777777" w:rsidR="00A8138F" w:rsidRDefault="00A8138F" w:rsidP="00A8138F">
      <w:pPr>
        <w:pStyle w:val="TextoNormal"/>
      </w:pPr>
      <w:r>
        <w:t xml:space="preserve">Esta misma </w:t>
      </w:r>
      <w:r w:rsidRPr="00A8138F">
        <w:rPr>
          <w:i/>
        </w:rPr>
        <w:t>ratio decidendi</w:t>
      </w:r>
      <w:r>
        <w:t xml:space="preserve"> fue también aplicada por el Tribunal a otro supuesto en el que se consideró por los entonces recurrentes que el silencio de la Constitución en cuanto a la falta de atribución de una determinada potestad a un órgano equivalía a su prohibición (STC 49/2008, de 9 de abril, FJ 12).</w:t>
      </w:r>
    </w:p>
    <w:p w14:paraId="28388C0E" w14:textId="77777777" w:rsidR="00A8138F" w:rsidRDefault="00A8138F" w:rsidP="00A8138F">
      <w:pPr>
        <w:pStyle w:val="TextoNormal"/>
      </w:pPr>
    </w:p>
    <w:p w14:paraId="783AB95D" w14:textId="77777777" w:rsidR="00A8138F" w:rsidRDefault="00A8138F" w:rsidP="00A8138F">
      <w:pPr>
        <w:pStyle w:val="TextoNormal"/>
      </w:pPr>
      <w:r>
        <w:t>Por todo ello, la interpretación que sostienen los demandantes es incompatible con la idea de Constitución abierta, que es inherente al Estado democrático y al pluralismo político.</w:t>
      </w:r>
    </w:p>
    <w:p w14:paraId="3B8D4B00" w14:textId="77777777" w:rsidR="00A8138F" w:rsidRDefault="00A8138F" w:rsidP="00A8138F">
      <w:pPr>
        <w:pStyle w:val="TextoNormal"/>
      </w:pPr>
    </w:p>
    <w:p w14:paraId="05AACB71" w14:textId="601D2D9A" w:rsidR="00A8138F" w:rsidRDefault="00A8138F" w:rsidP="00A8138F">
      <w:pPr>
        <w:pStyle w:val="TextoNormal"/>
      </w:pPr>
      <w:r>
        <w:t>Una vez descartado que la amnistía precise una expresa habilitación constitucional, para enjuiciar su compatibilidad con la Constitución ha de analizarse si de ella se derivan otras previsiones de las que pueda inferirse su prohibición.</w:t>
      </w:r>
    </w:p>
    <w:p w14:paraId="61DA8F6E" w14:textId="77777777" w:rsidR="00A8138F" w:rsidRDefault="00A8138F" w:rsidP="00A8138F">
      <w:pPr>
        <w:pStyle w:val="TextoNormal"/>
      </w:pPr>
    </w:p>
    <w:p w14:paraId="5F68F00C" w14:textId="77777777" w:rsidR="00A8138F" w:rsidRDefault="00A8138F" w:rsidP="00A8138F">
      <w:pPr>
        <w:pStyle w:val="TextoNormal"/>
      </w:pPr>
      <w:r w:rsidRPr="00A8138F">
        <w:rPr>
          <w:rStyle w:val="NumeroAFNegritaCaracter"/>
        </w:rPr>
        <w:t>4</w:t>
      </w:r>
      <w:r>
        <w:t xml:space="preserve">. </w:t>
      </w:r>
      <w:r w:rsidRPr="00A8138F">
        <w:rPr>
          <w:i/>
        </w:rPr>
        <w:t>La amnistía, la separación de poderes y la reserva de jurisdicción</w:t>
      </w:r>
    </w:p>
    <w:p w14:paraId="0E4EB7D3" w14:textId="77777777" w:rsidR="00A8138F" w:rsidRDefault="00A8138F" w:rsidP="00A8138F">
      <w:pPr>
        <w:pStyle w:val="TextoNormal"/>
      </w:pPr>
    </w:p>
    <w:p w14:paraId="703A7CEB" w14:textId="77777777" w:rsidR="00A8138F" w:rsidRDefault="00A8138F" w:rsidP="00A8138F">
      <w:pPr>
        <w:pStyle w:val="TextoNormal"/>
      </w:pPr>
      <w:r>
        <w:t xml:space="preserve">4.1. </w:t>
      </w:r>
      <w:r w:rsidRPr="00A8138F">
        <w:rPr>
          <w:i/>
        </w:rPr>
        <w:t>Exposición del motivo y alegaciones de las partes</w:t>
      </w:r>
    </w:p>
    <w:p w14:paraId="6EB364E9" w14:textId="77777777" w:rsidR="00A8138F" w:rsidRDefault="00A8138F" w:rsidP="00A8138F">
      <w:pPr>
        <w:pStyle w:val="TextoNormal"/>
      </w:pPr>
    </w:p>
    <w:p w14:paraId="3E9A3C02" w14:textId="77777777" w:rsidR="00A8138F" w:rsidRDefault="00A8138F" w:rsidP="00A8138F">
      <w:pPr>
        <w:pStyle w:val="TextoNormal"/>
      </w:pPr>
      <w:r>
        <w:t>Los recurrentes parten de considerar que, según el sistema de división de poderes racionalizado que establece la Constitución, si bien el Ejecutivo puede invadir la potestad legislativa a través de los decretos-leyes y los decretos legislativos porque expresamente lo autorizan los arts. 86 y 82 a 85 CE, respectivamente, no ocurre lo mismo respecto del Poder Judicial. Afirman que, en virtud de la reserva de jurisdicción que se deriva de los arts. 1.1, 117.3 y 118 CE, el principio de separación de poderes en relación con el judicial es estricto. Consideran que estos preceptos constituyen una salvaguarda del Poder Judicial, singularmente, frente al Legislativo. Por ello, entienden que esta reserva de jurisdicción prohíbe a la ley que establezca espacios singulares de inmunidad o de ausencia de jurisdicción. A su juicio, una ley que impide a los órganos judiciales enjuiciar actos que, con carácter general, se consideran delictivos o ejecutar sentencias condenatorias, que es, particularmente, el objeto de la amnistía, es contrario al referido principio.</w:t>
      </w:r>
    </w:p>
    <w:p w14:paraId="2CCFCC64" w14:textId="77777777" w:rsidR="00A8138F" w:rsidRDefault="00A8138F" w:rsidP="00A8138F">
      <w:pPr>
        <w:pStyle w:val="TextoNormal"/>
      </w:pPr>
    </w:p>
    <w:p w14:paraId="326F757E" w14:textId="77777777" w:rsidR="00A8138F" w:rsidRDefault="00A8138F" w:rsidP="00A8138F">
      <w:pPr>
        <w:pStyle w:val="TextoNormal"/>
      </w:pPr>
      <w:r>
        <w:t>El Senado, al igual que los recurrentes, afirma que la amnistía solo podría ser compatible con la reserva de jurisdicción si existiera una previsión constitucional expresa.</w:t>
      </w:r>
    </w:p>
    <w:p w14:paraId="552F544C" w14:textId="77777777" w:rsidR="00A8138F" w:rsidRDefault="00A8138F" w:rsidP="00A8138F">
      <w:pPr>
        <w:pStyle w:val="TextoNormal"/>
      </w:pPr>
    </w:p>
    <w:p w14:paraId="6A4B31DD" w14:textId="77777777" w:rsidR="00A8138F" w:rsidRDefault="00A8138F" w:rsidP="00A8138F">
      <w:pPr>
        <w:pStyle w:val="TextoNormal"/>
      </w:pPr>
      <w:r>
        <w:t>El abogado del Estado niega que se vulnere tal principio, pues entiende que la amnistía ni juzga ni ejecuta lo juzgado, sino que despenaliza determinadas conductas. Señala, asimismo, que la ejecución de esta ley corresponde a los órganos judiciales por lo que, en su opinión, no afecta a la reserva de jurisdicción (art. 117.3 CE).</w:t>
      </w:r>
    </w:p>
    <w:p w14:paraId="5699F979" w14:textId="77777777" w:rsidR="00A8138F" w:rsidRDefault="00A8138F" w:rsidP="00A8138F">
      <w:pPr>
        <w:pStyle w:val="TextoNormal"/>
      </w:pPr>
    </w:p>
    <w:p w14:paraId="056485E0" w14:textId="77777777" w:rsidR="00A8138F" w:rsidRDefault="00A8138F" w:rsidP="00A8138F">
      <w:pPr>
        <w:pStyle w:val="TextoNormal"/>
      </w:pPr>
      <w:r>
        <w:t xml:space="preserve">4.2. </w:t>
      </w:r>
      <w:r w:rsidRPr="00A8138F">
        <w:rPr>
          <w:i/>
        </w:rPr>
        <w:t>El principio de división de poderes</w:t>
      </w:r>
    </w:p>
    <w:p w14:paraId="055CE771" w14:textId="77777777" w:rsidR="00A8138F" w:rsidRDefault="00A8138F" w:rsidP="00A8138F">
      <w:pPr>
        <w:pStyle w:val="TextoNormal"/>
      </w:pPr>
    </w:p>
    <w:p w14:paraId="4AD54CBE" w14:textId="77777777" w:rsidR="00A8138F" w:rsidRDefault="00A8138F" w:rsidP="00A8138F">
      <w:pPr>
        <w:pStyle w:val="TextoNormal"/>
      </w:pPr>
      <w:r>
        <w:t>El principio de división de poderes es, como ha señalado reiteradamente la jurisprudencia del Tribunal, un principio esencial en nuestro constitucionalismo. Como afirma la STC 70/2022, de 2 de junio, FJ 5, “[l]a idea de que el poder público debe estar dividido en varias funciones, confiadas a autoridades distintas y separadas unas de otras, se encuentra en la raíz del constitucionalismo moderno y en el origen de nuestra tradición constitucional. La separación tripartita de los poderes del Estado, Legislativo, Ejecutivo y Judicial, quedó consagrada en la Constitución de Cádiz, promulgada el 19 de marzo de 1812, en términos que resuenan en nuestra Constitución vigente, como este tribunal ha tenido ocasión de recordar (STC 37/2012, de 19 de marzo, FFJJ 4 y 5)”.</w:t>
      </w:r>
    </w:p>
    <w:p w14:paraId="0947CD97" w14:textId="77777777" w:rsidR="00A8138F" w:rsidRDefault="00A8138F" w:rsidP="00A8138F">
      <w:pPr>
        <w:pStyle w:val="TextoNormal"/>
      </w:pPr>
    </w:p>
    <w:p w14:paraId="06BACADF" w14:textId="77777777" w:rsidR="00A8138F" w:rsidRDefault="00A8138F" w:rsidP="00A8138F">
      <w:pPr>
        <w:pStyle w:val="TextoNormal"/>
      </w:pPr>
      <w:r>
        <w:t>La Constitución, aunque no enuncia de forma explícita este principio, configura los distintos poderes del Estado de acuerdo con sus postulados, al disponer “que ‘[l]as Cortes Generales ejercen la potestad legislativa del Estado’ (art. 66.2 CE); que el Gobierno ‘[e]jerce la función ejecutiva y la potestad reglamentaria de acuerdo con la Constitución y las leyes’ (art. 97 CE); y que ‘[e]l ejercicio de la potestad jurisdiccional en todo tipo de procesos, juzgando y haciendo ejecutar lo juzgado, corresponde exclusivamente a los Juzgados y Tribunales determinados por las leyes’ (art. 117.3 CE); a lo que se añade que ‘los Tribunales controlan la potestad reglamentaria y la legalidad de la actuación administrativa, así como el sometimiento de esta a los fines que la justifican’ (art. 106.1 CE)” (STC 70/2022, FJ 5).</w:t>
      </w:r>
    </w:p>
    <w:p w14:paraId="3B6692D4" w14:textId="77777777" w:rsidR="00A8138F" w:rsidRDefault="00A8138F" w:rsidP="00A8138F">
      <w:pPr>
        <w:pStyle w:val="TextoNormal"/>
      </w:pPr>
    </w:p>
    <w:p w14:paraId="47826E38" w14:textId="77777777" w:rsidR="00A8138F" w:rsidRDefault="00A8138F" w:rsidP="00A8138F">
      <w:pPr>
        <w:pStyle w:val="TextoNormal"/>
      </w:pPr>
      <w:r>
        <w:t>En un sistema como el nuestro, el Parlamento, en virtud del principio democrático, tiene una posición preeminente. La doctrina constitucional utiliza la expresión “centralidad parlamentaria” para definir su posición cualificada [SSTC 124/2018, de 14 de noviembre, FJ 6; 133/2021, de 24 de junio, FJ 7 b); 77/2023, de 20 de junio, FJ 1, y 93/2024, de 19 de junio, FJ 4.3.1, entre otras]. Esa posición central de las Cortes Generales y, por tanto, de la ley —expresión de la voluntad popular, como dice el preámbulo de la Constitución, y dogma básico de todo sistema democrático— significa que no tiene más límites que los que se derivan de la Constitución. Como se afirma en la STC 70/2022, FJ 5,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Esta distribución o equilibrio de poderes […] responde a la forma parlamentaria de Gobierno (art. 1.3 CE), y más específicamente, a lo que se ha dado en denominar ‘parlamentarismo racionalizado’ (STC 223/2006, de 6 de julio, FJ 6)”.</w:t>
      </w:r>
    </w:p>
    <w:p w14:paraId="1C6417D3" w14:textId="77777777" w:rsidR="00A8138F" w:rsidRDefault="00A8138F" w:rsidP="00A8138F">
      <w:pPr>
        <w:pStyle w:val="TextoNormal"/>
      </w:pPr>
    </w:p>
    <w:p w14:paraId="01B7E284" w14:textId="77777777" w:rsidR="00A8138F" w:rsidRDefault="00A8138F" w:rsidP="00A8138F">
      <w:pPr>
        <w:pStyle w:val="TextoNormal"/>
      </w:pPr>
      <w:r>
        <w:t>La interacción entre poderes y órganos constitucionales que todo ello conlleva determina, en el marco del Estado de Derecho (art. 1.1 CE) y por lo que ahora importa, que los jueces y magistrados están vinculados al imperio de la ley (art. 117.3 CE). Por ello, la legitimación de la función jurisdiccional se fundamenta, esencialmente, en el carácter vinculante que tiene la ley, sujeta a su vez a la Constitución. La función del juez es juzgar y ejecutar lo juzgado (art. 117.3 CE) y esta función ha de efectuarse con pleno sometimiento a la Constitución y al ordenamiento jurídico (art. 9.1 CE) o, en particular, “al imperio de la ley” (art. 117.1 CE). Su función es decir el Derecho (</w:t>
      </w:r>
      <w:r w:rsidRPr="00A8138F">
        <w:rPr>
          <w:i/>
        </w:rPr>
        <w:t>ius dicere</w:t>
      </w:r>
      <w:r>
        <w:t>) en el caso concreto y el Derecho es lo que establece el ordenamiento jurídico conforme al sistema de fuentes que deriva de la Constitución. Por ello, la independencia judicial tiene su fundamento en garantizar una única dependencia: la del juez respecto del Derecho. Como afirmó la STC 48/2001, de 26 de febrero, FJ 4, “en un Estado democrático de Derecho, del que la separación de poderes y el sometimiento de los jueces al imperio de la ley constituye uno de sus pilares básicos, la creación de esta corresponde al Poder Legislativo, de forma que su función tiene una legitimación democrática, mientras que los tribunales tienen como cometido el ejercicio de la función jurisdiccional (art. 117 CE), derivando su legitimación, en consecuencia, de la aplicación de la ley creada por el Parlamento”. Es decir, el legislador, con respeto a la Constitución, define el alcance y las condiciones del ejercicio jurisdiccional tanto en su vertiente material como procesal. La exclusividad judicial coexiste, de este modo, con la potestad legislativa de configuración del proceso. Una adecuada interpretación sistemática de los arts. 117.3 y 118 CE, armonizada con el resto de la Constitución, debe reconocer tanto la independencia funcional de los jueces en la aplicación de la ley como la competencia de las Cortes Generales para establecer el marco normativo general en que aquella aplicación tiene lugar.</w:t>
      </w:r>
    </w:p>
    <w:p w14:paraId="7FB74208" w14:textId="77777777" w:rsidR="00A8138F" w:rsidRDefault="00A8138F" w:rsidP="00A8138F">
      <w:pPr>
        <w:pStyle w:val="TextoNormal"/>
      </w:pPr>
    </w:p>
    <w:p w14:paraId="57E53924" w14:textId="77777777" w:rsidR="00A8138F" w:rsidRDefault="00A8138F" w:rsidP="00A8138F">
      <w:pPr>
        <w:pStyle w:val="TextoNormal"/>
      </w:pPr>
      <w:r>
        <w:t xml:space="preserve">4.3. </w:t>
      </w:r>
      <w:r w:rsidRPr="00A8138F">
        <w:rPr>
          <w:i/>
        </w:rPr>
        <w:t>El principio de reserva de jurisdicción (art. 117.3 CE) y la obligación de ejecución de sentencias (art. 118 CE)</w:t>
      </w:r>
    </w:p>
    <w:p w14:paraId="6A839682" w14:textId="77777777" w:rsidR="00A8138F" w:rsidRDefault="00A8138F" w:rsidP="00A8138F">
      <w:pPr>
        <w:pStyle w:val="TextoNormal"/>
      </w:pPr>
    </w:p>
    <w:p w14:paraId="1411EE1B" w14:textId="77777777" w:rsidR="00A8138F" w:rsidRDefault="00A8138F" w:rsidP="00A8138F">
      <w:pPr>
        <w:pStyle w:val="TextoNormal"/>
      </w:pPr>
      <w:r>
        <w:t>La STC 70/2022, FJ 6, ha señalado que la Constitución, en el art. 117.3, al afirmar que corresponde exclusivamente a los juzgados y tribunales juzgar y ejecutar lo juzgado define con precisión en qué consiste la función jurisdiccional, consagrando una reserva de jurisdicción que “impide que ningún otro poder del Estado ejerza la potestad jurisdiccional”.</w:t>
      </w:r>
    </w:p>
    <w:p w14:paraId="002B2259" w14:textId="77777777" w:rsidR="00A8138F" w:rsidRDefault="00A8138F" w:rsidP="00A8138F">
      <w:pPr>
        <w:pStyle w:val="TextoNormal"/>
      </w:pPr>
    </w:p>
    <w:p w14:paraId="7E793315" w14:textId="77777777" w:rsidR="00A8138F" w:rsidRDefault="00A8138F" w:rsidP="00A8138F">
      <w:pPr>
        <w:pStyle w:val="TextoNormal"/>
      </w:pPr>
      <w:r>
        <w:t>El Tribunal ha afirmado, por otra parte, que del principio de exclusividad de jueces y magistrados en el ejercicio de la potestad jurisdiccional (art. 117.3 CE) no puede inferirse la existencia de una correlativa prohibición impuesta al legislador por la que se condicione su libertad de configuración para elegir el nivel de densidad normativa con que pretende regular una determinada materia (STC 181/2000, de 29 de junio, FJ 19). Del mismo modo, de este principio tampoco puede deducirse, como es obvio, que el legislador no pueda despenalizar ilícitos ni establecer causas de extinción de la responsabilidad sancionadora. Los jueces y magistrados han de ejercer su función “sometidos únicamente al imperio de la ley” (art. 117.1 CE). Es al legislador, por tanto, a quien incumbe configurar la política punitiva y determinar qué hechos han de considerarse punibles, la consecuencia represiva que su comisión conlleva, así como las excepciones que tales previsiones pueden tener.</w:t>
      </w:r>
    </w:p>
    <w:p w14:paraId="2AA8B582" w14:textId="77777777" w:rsidR="00A8138F" w:rsidRDefault="00A8138F" w:rsidP="00A8138F">
      <w:pPr>
        <w:pStyle w:val="TextoNormal"/>
      </w:pPr>
    </w:p>
    <w:p w14:paraId="56F38AF2" w14:textId="77777777" w:rsidR="00A8138F" w:rsidRDefault="00A8138F" w:rsidP="00A8138F">
      <w:pPr>
        <w:pStyle w:val="TextoNormal"/>
      </w:pPr>
      <w:r>
        <w:t xml:space="preserve">De igual modo, el legislador no puede ejercer funciones jurisdiccionales ni puede atribuirlas a órganos distintos de los que integran el Poder Judicial, salvo que la Constitución contemple expresamente esta excepción a lo previsto en el art. 117.3 CE. Así, este precepto constitucional impediría los llamados </w:t>
      </w:r>
      <w:r w:rsidRPr="00A8138F">
        <w:rPr>
          <w:i/>
        </w:rPr>
        <w:t>bills of attainder</w:t>
      </w:r>
      <w:r>
        <w:t xml:space="preserve"> o </w:t>
      </w:r>
      <w:r w:rsidRPr="00A8138F">
        <w:rPr>
          <w:i/>
        </w:rPr>
        <w:t>bill of pains</w:t>
      </w:r>
      <w:r>
        <w:t xml:space="preserve"> </w:t>
      </w:r>
      <w:r w:rsidRPr="00A8138F">
        <w:rPr>
          <w:i/>
        </w:rPr>
        <w:t>and penalties</w:t>
      </w:r>
      <w:r>
        <w:t>, propios del parlamentarismo británico en el siglo XVII, en virtud de los cuales el Legislativo imponía penas a personas acusadas de actuaciones ilícitas sin seguir el procedimiento establecido al efecto.</w:t>
      </w:r>
    </w:p>
    <w:p w14:paraId="4E7CBFE1" w14:textId="77777777" w:rsidR="00A8138F" w:rsidRDefault="00A8138F" w:rsidP="00A8138F">
      <w:pPr>
        <w:pStyle w:val="TextoNormal"/>
      </w:pPr>
    </w:p>
    <w:p w14:paraId="36D7130A" w14:textId="77777777" w:rsidR="00A8138F" w:rsidRDefault="00A8138F" w:rsidP="00A8138F">
      <w:pPr>
        <w:pStyle w:val="TextoNormal"/>
      </w:pPr>
      <w:r>
        <w:t>Sin remontarnos tanto en el tiempo y sin llegar a estos extremos, las constituciones modernas suelen incluir fórmulas que permiten al Parlamento realizar actuaciones que tienen incidencia en la función jurisdiccional. En nuestra propia Constitución, el art. 102.2, cuando regula la responsabilidad criminal del presidente y de los demás miembros del Gobierno, establece que “[s]i la acusación fuere por traición o por cualquier delito contra la seguridad del Estado en el ejercicio de sus funciones, solo podrá ser planteada por iniciativa de la cuarta parte de los miembros del Congreso, y con la aprobación de la mayoría absoluta del mismo”. Esta actuación de la Cámara baja es presupuesto necesario para que los órganos judiciales puedan enjuiciar este tipo de delitos cuando son cometidos por los miembros del Gobierno. Asimismo, el art. 71.2 CE establece que los diputados y senadores “[n]o podrán ser inculpados ni procesados sin la previa autorización de la Cámara respectiva”, por lo que la actuación parlamentaria que conceda o deniegue el correspondiente suplicatorio adquiere, según la STC 90/1985, de 22 de julio, FJ 4, “relieve jurisdiccional”. En el fundamento jurídico 6 de esa misma resolución se afirma que “la inmunidad, que se establece en el art. 71.2 de la CE se hace efectiva mediante actuaciones que son, por el órgano que las lleva a cabo, de naturaleza parlamentaria, pero que, según hemos señalado, adquieren también significado procesal, desde el punto de vista del derecho a la jurisdicción, en cuanto suponen, dentro del procedimiento penal, un elemento diferenciador, como es la necesidad de que las Cámaras respectivas den a la jurisdicción competente autorización para procesar, en el supuesto de que una acción penal se dirija frente a un diputado o un senador”.</w:t>
      </w:r>
    </w:p>
    <w:p w14:paraId="16562949" w14:textId="77777777" w:rsidR="00A8138F" w:rsidRDefault="00A8138F" w:rsidP="00A8138F">
      <w:pPr>
        <w:pStyle w:val="TextoNormal"/>
      </w:pPr>
    </w:p>
    <w:p w14:paraId="71A85A6C" w14:textId="77777777" w:rsidR="00A8138F" w:rsidRDefault="00A8138F" w:rsidP="00A8138F">
      <w:pPr>
        <w:pStyle w:val="TextoNormal"/>
      </w:pPr>
      <w:r>
        <w:t>Junto a ello, la Constitución excepciona la reserva de jurisdicción al otorgar funciones jurisdiccionales a órganos no integrados en el Poder Judicial. Así ocurre con la jurisdicción contable (art. 136 CE) que, según la STC 187/1988, de 17 de octubre, FJ 2, realiza funciones de “naturaleza jurisdiccional” (en el mismo sentido STC 215/2000, de 18 de septiembre, FFJJ 6 y 7, y ATC 312/1996, de 29 de octubre, FJ 2); los tribunales consuetudinarios (art. 125 CE) que, según la STC 113/2004, de 12 de julio, FJ 6, “son, en efecto, por decisión constitucional, órganos que ejercen funciones de naturaleza jurisdiccional, bien que limitadas dentro de los estrechos márgenes que resultan de la atribución a su conocimiento de las cuestiones simplemente de hecho que se susciten entre los usuarios de la comunidad”, y la propia jurisdicción constitucional (título IX CE).</w:t>
      </w:r>
    </w:p>
    <w:p w14:paraId="78242DEA" w14:textId="77777777" w:rsidR="00A8138F" w:rsidRDefault="00A8138F" w:rsidP="00A8138F">
      <w:pPr>
        <w:pStyle w:val="TextoNormal"/>
      </w:pPr>
    </w:p>
    <w:p w14:paraId="3B8901BD" w14:textId="77777777" w:rsidR="00A8138F" w:rsidRDefault="00A8138F" w:rsidP="00A8138F">
      <w:pPr>
        <w:pStyle w:val="TextoNormal"/>
      </w:pPr>
      <w:r>
        <w:t>4.4</w:t>
      </w:r>
      <w:r w:rsidRPr="00A8138F">
        <w:rPr>
          <w:i/>
        </w:rPr>
        <w:t>. Enjuiciamiento del moti</w:t>
      </w:r>
      <w:r>
        <w:t>vo</w:t>
      </w:r>
    </w:p>
    <w:p w14:paraId="3A9DD1A5" w14:textId="77777777" w:rsidR="00A8138F" w:rsidRDefault="00A8138F" w:rsidP="00A8138F">
      <w:pPr>
        <w:pStyle w:val="TextoNormal"/>
      </w:pPr>
    </w:p>
    <w:p w14:paraId="58AAB761" w14:textId="77777777" w:rsidR="00A8138F" w:rsidRDefault="00A8138F" w:rsidP="00A8138F">
      <w:pPr>
        <w:pStyle w:val="TextoNormal"/>
      </w:pPr>
      <w:r>
        <w:t xml:space="preserve">Con base en la doctrina constitucional que se acaba de citar, el motivo debe ser rechazado. La reserva de jurisdicción establecida en el art. 117.3 CE no impide al legislador otorgar una amnistía, entendiendo por tal aquella norma que extingue las responsabilidades de carácter punitivo o represivo derivadas de la comisión de hechos ilícitos solo </w:t>
      </w:r>
      <w:r w:rsidRPr="00A8138F">
        <w:rPr>
          <w:i/>
        </w:rPr>
        <w:t>pro praeterito</w:t>
      </w:r>
      <w:r>
        <w:t>, pues las conductas amnistiadas siguen siendo punible</w:t>
      </w:r>
      <w:r w:rsidRPr="00A8138F">
        <w:rPr>
          <w:i/>
        </w:rPr>
        <w:t>s pro futu</w:t>
      </w:r>
      <w:r>
        <w:t>ro.</w:t>
      </w:r>
    </w:p>
    <w:p w14:paraId="35BF6C98" w14:textId="77777777" w:rsidR="00A8138F" w:rsidRDefault="00A8138F" w:rsidP="00A8138F">
      <w:pPr>
        <w:pStyle w:val="TextoNormal"/>
      </w:pPr>
    </w:p>
    <w:p w14:paraId="3268F29C" w14:textId="77777777" w:rsidR="00A8138F" w:rsidRDefault="00A8138F" w:rsidP="00A8138F">
      <w:pPr>
        <w:pStyle w:val="TextoNormal"/>
      </w:pPr>
      <w:r>
        <w:t xml:space="preserve">Como se ha expuesto, la reserva de jurisdicción prohíbe que el Poder Legislativo juzgue o ejecute lo juzgado al ser estas las funciones que se atribuyen en exclusiva al Poder Judicial u otorgue estas potestades a órganos distintos de los jueces y tribunales. La concesión de una amnistía, entendiendo esta institución en los términos en los que se acaba de indicar, no supone ni juzgar ni ejecutar lo juzgado. Una ley de este tipo no entra a examinar si se cometieron o no los actos tipificados como ilícitos ni si las personas fueron responsables de su comisión conforme a la ley vigente en su momento. Es más, este tipo de normas legales no cuestiona, en caso de que exista, la declaración de culpabilidad realizada por los tribunales, sino que, para la realización de unos objetivos cuya apreciación corresponde en exclusiva al legislador, decide extinguir total o parcialmente las responsabilidades de carácter punitivo que puedan derivarse de esos actos. Por tanto, en esta clase de normas no hay decisión legislativa declarando inocentes o culpables —lo que sí violaría la reserva de jurisdicción—, sino una ley general y abstracta que renuncia al </w:t>
      </w:r>
      <w:r w:rsidRPr="00A8138F">
        <w:rPr>
          <w:i/>
        </w:rPr>
        <w:t>ius puniendi</w:t>
      </w:r>
      <w:r>
        <w:t xml:space="preserve"> en ciertos supuestos. La amnistía, prerrogativa legislativa, no efectúa juicio alguno, sino que redefine el carácter punible de hechos cometidos en el pasado.</w:t>
      </w:r>
    </w:p>
    <w:p w14:paraId="75E9DC44" w14:textId="77777777" w:rsidR="00A8138F" w:rsidRDefault="00A8138F" w:rsidP="00A8138F">
      <w:pPr>
        <w:pStyle w:val="TextoNormal"/>
      </w:pPr>
    </w:p>
    <w:p w14:paraId="7910FDBC" w14:textId="77777777" w:rsidR="00A8138F" w:rsidRDefault="00A8138F" w:rsidP="00A8138F">
      <w:pPr>
        <w:pStyle w:val="TextoNormal"/>
      </w:pPr>
      <w:r>
        <w:t>En consecuencia, no puede verse afectada la reserva de jurisdicción porque el Parlamento no está reemplazando a los tribunales en la determinación de la culpabilidad sino estableciendo, por motivos extrajurídicos, que los actos amnistiados, se hayan juzgado o no, carecerán, en todo o en parte, de las consecuencias punitivas que, con carácter general, se derivan de ellos. En contra de lo que se viene afirmando, la amnistía no es el olvido de los hechos, sino la extinción —total o parcial— de las consecuencias jurídicas de carácter represivo anudadas a ellos. Los hechos son o no son. Ninguna ley de amnistía puede borrarlos o hacerlos desaparecer. Con carácter general, una ley de este tipo lo único que conlleva es la exención de responsabilidad de carácter punitivo por una expresa decisión del legislador (ATC 343/1983, de 13 de julio, FJ 3).</w:t>
      </w:r>
    </w:p>
    <w:p w14:paraId="72FE92C2" w14:textId="77777777" w:rsidR="00A8138F" w:rsidRDefault="00A8138F" w:rsidP="00A8138F">
      <w:pPr>
        <w:pStyle w:val="TextoNormal"/>
      </w:pPr>
    </w:p>
    <w:p w14:paraId="5665872F" w14:textId="77777777" w:rsidR="00A8138F" w:rsidRDefault="00A8138F" w:rsidP="00A8138F">
      <w:pPr>
        <w:pStyle w:val="TextoNormal"/>
      </w:pPr>
      <w:r>
        <w:t>Estos mismos argumentos son trasladables a la alegación de los recurrentes por la que aducen que la amnistía no cabe en la Constitución debido a que impide la ejecución de resoluciones judiciales condenatorias. El art. 117.3 CE garantiza que la ejecución de lo juzgado se efectúe por jueces y tribunales impidiendo que esta función se atribuya a otros órganos distintos a los judiciales o que la propia ley altere el contenido del fallo. Una ley que de forma sobrevenida extinga la responsabilidad penal o punitiva desde la perspectiva del art. 117.3 CE no es de principio objetable. El hecho de que esa responsabilidad solo se extinga, en el marco de un proceso, respecto a sujetos determinados o determinables y en un plazo temporal definido, como ocurre con las leyes de amnistía, no vulnera el art. 117.3 CE, sin perjuicio de que pueda incidir en otros bienes o derechos dignos de protección constitucional.</w:t>
      </w:r>
    </w:p>
    <w:p w14:paraId="6BF3AF87" w14:textId="77777777" w:rsidR="00A8138F" w:rsidRDefault="00A8138F" w:rsidP="00A8138F">
      <w:pPr>
        <w:pStyle w:val="TextoNormal"/>
      </w:pPr>
    </w:p>
    <w:p w14:paraId="326A9D74" w14:textId="1C6A26FD" w:rsidR="00A8138F" w:rsidRDefault="00A8138F" w:rsidP="00A8138F">
      <w:pPr>
        <w:pStyle w:val="TextoNormal"/>
      </w:pPr>
      <w:r>
        <w:t>En definitiva, una ley que extingue la responsabilidad de carácter punitivo, cualesquiera que sean las condiciones que establezca, no incide en la reserva de jurisdicción que consagra el art. 117.3 CE; ni en la obligación de cumplimiento de las sentencias que impone el art. 118 CE, sin que ello implique que no pueda afectar al ámbito protegido por otros preceptos constitucionales.</w:t>
      </w:r>
    </w:p>
    <w:p w14:paraId="0A62E1E9" w14:textId="77777777" w:rsidR="00A8138F" w:rsidRDefault="00A8138F" w:rsidP="00A8138F">
      <w:pPr>
        <w:pStyle w:val="TextoNormal"/>
      </w:pPr>
    </w:p>
    <w:p w14:paraId="67C64D16" w14:textId="77777777" w:rsidR="00A8138F" w:rsidRDefault="00A8138F" w:rsidP="00A8138F">
      <w:pPr>
        <w:pStyle w:val="TextoNormal"/>
      </w:pPr>
      <w:r w:rsidRPr="00A8138F">
        <w:rPr>
          <w:rStyle w:val="NumeroAFNegritaCaracter"/>
        </w:rPr>
        <w:t>5</w:t>
      </w:r>
      <w:r>
        <w:t xml:space="preserve">. </w:t>
      </w:r>
      <w:r w:rsidRPr="00A8138F">
        <w:rPr>
          <w:i/>
        </w:rPr>
        <w:t>Amnistía y exigencias constitucionales de las leyes penales</w:t>
      </w:r>
    </w:p>
    <w:p w14:paraId="2A5E5FB1" w14:textId="77777777" w:rsidR="00A8138F" w:rsidRDefault="00A8138F" w:rsidP="00A8138F">
      <w:pPr>
        <w:pStyle w:val="TextoNormal"/>
      </w:pPr>
    </w:p>
    <w:p w14:paraId="1D3B6309" w14:textId="77777777" w:rsidR="00A8138F" w:rsidRDefault="00A8138F" w:rsidP="00A8138F">
      <w:pPr>
        <w:pStyle w:val="TextoNormal"/>
      </w:pPr>
      <w:r>
        <w:t xml:space="preserve">5.1. </w:t>
      </w:r>
      <w:r w:rsidRPr="00A8138F">
        <w:rPr>
          <w:i/>
        </w:rPr>
        <w:t>Exposición del motivo y alegaciones de las partes</w:t>
      </w:r>
    </w:p>
    <w:p w14:paraId="2F2DC344" w14:textId="77777777" w:rsidR="00A8138F" w:rsidRDefault="00A8138F" w:rsidP="00A8138F">
      <w:pPr>
        <w:pStyle w:val="TextoNormal"/>
      </w:pPr>
    </w:p>
    <w:p w14:paraId="256F91BC" w14:textId="77777777" w:rsidR="00A8138F" w:rsidRDefault="00A8138F" w:rsidP="00A8138F">
      <w:pPr>
        <w:pStyle w:val="TextoNormal"/>
      </w:pPr>
      <w:r>
        <w:t xml:space="preserve">El segundo bloque de alegaciones esgrimidas para sostener la incompatibilidad de cualquier amnistía con la Constitución, y en particular de la Ley Orgánica 1/2024, apela a la prohibición de leyes penales singulares en tanto que se dicen incompatibles con los arts. 14, 24.1, 17.1 y 25.1 CE. Se razona que toda amnistía crea un ámbito de impunidad penal para algunas personas frente a la ciudadanía general, de modo que no solo introduce una diferenciación en la ley, sino que lo hace en la ley penal, que impone la más intensa injerencia en los derechos fundamentales, con incidencia en la libertad personal. En tal medida los recurrentes entienden que, además de las exigencias del art. 14 CE, operan las más intensas derivadas de los arts. 17 y 25.1 CE. De la jurisprudencia constitucional sobre la dimensión material del principio de legalidad (se citan las SSTC 24/2004, de 24 de febrero, FJ 2, y 94/2024, de 2 de julio, FJ 3) infieren la necesidad de leyes generales articuladas a través de la formulación abstracta de tipos penales con una “descripción estereotipada de las acciones y omisiones incriminadas” </w:t>
      </w:r>
      <w:r w:rsidRPr="00A8138F">
        <w:rPr>
          <w:i/>
        </w:rPr>
        <w:t>ex ante</w:t>
      </w:r>
      <w:r>
        <w:t xml:space="preserve"> lo suficientemente precisa para ser previsible en su aplicación. En consecuencia, concluyen, no caben “en la legislación penal (por directa exigencia del artículo 25.1 CE) leyes singulares o de caso único”, “el principio de legalidad penal excluye </w:t>
      </w:r>
      <w:r w:rsidRPr="00A8138F">
        <w:rPr>
          <w:i/>
        </w:rPr>
        <w:t>per se</w:t>
      </w:r>
      <w:r>
        <w:t xml:space="preserve"> las leyes singulares”.</w:t>
      </w:r>
    </w:p>
    <w:p w14:paraId="7C13D5FA" w14:textId="77777777" w:rsidR="00A8138F" w:rsidRDefault="00A8138F" w:rsidP="00A8138F">
      <w:pPr>
        <w:pStyle w:val="TextoNormal"/>
      </w:pPr>
    </w:p>
    <w:p w14:paraId="0BF6FC1D" w14:textId="77777777" w:rsidR="00A8138F" w:rsidRDefault="00A8138F" w:rsidP="00A8138F">
      <w:pPr>
        <w:pStyle w:val="TextoNormal"/>
      </w:pPr>
      <w:r>
        <w:t>Por eso consideran sorprendente que la Ley de amnistía se “autocalifique” en su preámbulo como ley singular, pretendiendo una indebida aplicación de la doctrina constitucional sobre dicha figura sentada en la STC 166/1986, de 19 de diciembre, que no se refiere a leyes penales singulares que invaden la reserva de jurisdicción, como sería el caso, sino a la asunción excepcional de funciones ejecutivas por el Poder Legislativo. Con el añadido, advierten, de que dicha doctrina excluye una ley orgánica singular que condicione o impida el ejercicio de derechos fundamentales —en este caso, los recogidos en los arts. 14, 25.1 y 24.1 CE—, cuya regulación está reservada a leyes generales.</w:t>
      </w:r>
    </w:p>
    <w:p w14:paraId="3885C232" w14:textId="77777777" w:rsidR="00A8138F" w:rsidRDefault="00A8138F" w:rsidP="00A8138F">
      <w:pPr>
        <w:pStyle w:val="TextoNormal"/>
      </w:pPr>
    </w:p>
    <w:p w14:paraId="054848CE" w14:textId="77777777" w:rsidR="00A8138F" w:rsidRDefault="00A8138F" w:rsidP="00A8138F">
      <w:pPr>
        <w:pStyle w:val="TextoNormal"/>
      </w:pPr>
      <w:r>
        <w:t>El Senado, si bien considera de forma principal que la amnistía es una medida y no una ley, rechaza que, de considerarse ley singular, tal y como señala el preámbulo de la Ley Orgánica 1/2024, respete los límites de la doctrina constitucional.</w:t>
      </w:r>
    </w:p>
    <w:p w14:paraId="29FA9DD6" w14:textId="77777777" w:rsidR="00A8138F" w:rsidRDefault="00A8138F" w:rsidP="00A8138F">
      <w:pPr>
        <w:pStyle w:val="TextoNormal"/>
      </w:pPr>
    </w:p>
    <w:p w14:paraId="0D6E574F" w14:textId="77777777" w:rsidR="00A8138F" w:rsidRDefault="00A8138F" w:rsidP="00A8138F">
      <w:pPr>
        <w:pStyle w:val="TextoNormal"/>
      </w:pPr>
      <w:r>
        <w:t>El abogado del Estado niega que exista una prohibición constitucional de leyes penales singulares, a las que habrá de proyectarse la doctrina elaborada por el Tribunal Constitucional en relación con cualquier ley de naturaleza singular, cuyo canon de enjuiciamiento se concreta en un juicio de razonabilidad, proporcionalidad y adecuación vinculado al art. 14 CE. Descarta, además, que el derecho a la legalidad penal del art. 25.1 CE sea aplicable a la Ley de amnistía, ya que no establece nuevas tipificaciones, sino el perdón por conductas punibles y, en todo caso, tiene un ámbito fáctico y temporal claramente delimitado.</w:t>
      </w:r>
    </w:p>
    <w:p w14:paraId="031A783B" w14:textId="77777777" w:rsidR="00A8138F" w:rsidRDefault="00A8138F" w:rsidP="00A8138F">
      <w:pPr>
        <w:pStyle w:val="TextoNormal"/>
      </w:pPr>
    </w:p>
    <w:p w14:paraId="0ED90F89" w14:textId="77777777" w:rsidR="00A8138F" w:rsidRDefault="00A8138F" w:rsidP="00A8138F">
      <w:pPr>
        <w:pStyle w:val="TextoNormal"/>
      </w:pPr>
      <w:r>
        <w:t>Como ha quedado expuesto, el recurso argumenta que el art. 25.1 CE exige leyes generales y, en tal medida, incorpora una prohibición absoluta de leyes penales singulares, como sería una amnistía, sin que pueda oponerse a tal interdicción la doctrina constitucional sobre leyes singulares. El análisis abordará las dos líneas argumentativas comenzando por la última.</w:t>
      </w:r>
    </w:p>
    <w:p w14:paraId="7DB84093" w14:textId="77777777" w:rsidR="00A8138F" w:rsidRDefault="00A8138F" w:rsidP="00A8138F">
      <w:pPr>
        <w:pStyle w:val="TextoNormal"/>
      </w:pPr>
    </w:p>
    <w:p w14:paraId="24CC6E56" w14:textId="77777777" w:rsidR="00A8138F" w:rsidRDefault="00A8138F" w:rsidP="00A8138F">
      <w:pPr>
        <w:pStyle w:val="TextoNormal"/>
      </w:pPr>
      <w:r>
        <w:t xml:space="preserve">5.2. </w:t>
      </w:r>
      <w:r w:rsidRPr="00A8138F">
        <w:rPr>
          <w:i/>
        </w:rPr>
        <w:t>Inaplicabilidad de la doctrina constitucional sobre leyes singulares</w:t>
      </w:r>
    </w:p>
    <w:p w14:paraId="2658BF06" w14:textId="77777777" w:rsidR="00A8138F" w:rsidRDefault="00A8138F" w:rsidP="00A8138F">
      <w:pPr>
        <w:pStyle w:val="TextoNormal"/>
      </w:pPr>
    </w:p>
    <w:p w14:paraId="2A15AE38" w14:textId="77777777" w:rsidR="00A8138F" w:rsidRDefault="00A8138F" w:rsidP="00A8138F">
      <w:pPr>
        <w:pStyle w:val="TextoNormal"/>
      </w:pPr>
      <w:r>
        <w:t>Tienen razón los recurrentes cuando rechazan que pueda proyectarse a una ley de amnistía la doctrina constitucional sobre leyes singulares. Inaugurada en la STC 166/1986, de 19 de diciembre, se ha vertido en relación con leyes autoaplicativas, expropiatorias (SSTC 166/1986, de 19 de diciembre; 48/2005, de 3 de marzo, y 42/2018, de 26 de abril) o no (SSTC 129/2013, de 4 de junio; 231/2015, de 5 de noviembre, y 122/2016, de 23 de junio), y leyes no autoaplicativas pero dictadas en atención a un supuesto de hecho concreto, a una situación singular (SSTC 203/2013, de 5 de diciembre, o 50/2015, de 5 de marzo).</w:t>
      </w:r>
    </w:p>
    <w:p w14:paraId="776401C7" w14:textId="77777777" w:rsidR="00A8138F" w:rsidRDefault="00A8138F" w:rsidP="00A8138F">
      <w:pPr>
        <w:pStyle w:val="TextoNormal"/>
      </w:pPr>
    </w:p>
    <w:p w14:paraId="24F6DFE1" w14:textId="77777777" w:rsidR="00A8138F" w:rsidRDefault="00A8138F" w:rsidP="00A8138F">
      <w:pPr>
        <w:pStyle w:val="TextoNormal"/>
      </w:pPr>
      <w:r>
        <w:t>Esa doctrina aborda, principalmente, el problema de la actuación legislativa en materia ejecutiva o de administración desde una doble premisa. (i) Que “[l]a Constitución no contiene, en su artículo 97, una reserva de administración, de modo que cabe hablar, ‘salvo en reservas materiales de ley o en actividades de pura ejecución’, de una cierta fungibilidad entre el contenido de las decisiones propias de cada una de dichas funciones (STC 166/1986, de 19 de diciembre, FJ 11)” (STC 129/2013, FJ 4). (ii) Que, a pesar de ello, “no puede desconocerse que la Constitución encomienda la potestad legislativa del Estado a las Cortes Generales —art. 66.2— y la ejecución al Gobierno —art. 97— y, por tanto, esta separación debe ser normalmente respetada a fin de evitar el desequilibrio institucional que conlleva la intromisión de uno de dichos poderes en la función propia del otro” (STC 166/1986, FJ 11).</w:t>
      </w:r>
    </w:p>
    <w:p w14:paraId="0BE0FC67" w14:textId="77777777" w:rsidR="00A8138F" w:rsidRDefault="00A8138F" w:rsidP="00A8138F">
      <w:pPr>
        <w:pStyle w:val="TextoNormal"/>
      </w:pPr>
    </w:p>
    <w:p w14:paraId="27F7ECE4" w14:textId="77777777" w:rsidR="00A8138F" w:rsidRDefault="00A8138F" w:rsidP="00A8138F">
      <w:pPr>
        <w:pStyle w:val="TextoNormal"/>
      </w:pPr>
      <w:r>
        <w:t>En ese escenario, las cuestiones constitucionalmente problemáticas que suscitan las llamadas “leyes singulares” trascienden la posible contradicción con el art. 14 CE y se asocian al dato de que atañen a decisiones que podía adoptar la administración, que no precisan la intervención necesaria del legislador (STC 87/2018, de 19 de julio, FJ 2), por lo que se aprecia el menoscabo del derecho a la tutela judicial efectiva (art. 24.1 CE), al eliminarse la posibilidad de defender los intereses legítimos afectados por la ley ante los tribunales, que sí hubiera cabido de haberse visto alcanzados por una actuación administrativa (por todas, STC 129/2013, FFJJ 4 y 6).</w:t>
      </w:r>
    </w:p>
    <w:p w14:paraId="733EA2BB" w14:textId="77777777" w:rsidR="00A8138F" w:rsidRDefault="00A8138F" w:rsidP="00A8138F">
      <w:pPr>
        <w:pStyle w:val="TextoNormal"/>
      </w:pPr>
    </w:p>
    <w:p w14:paraId="41A1A8E4" w14:textId="77777777" w:rsidR="00A8138F" w:rsidRDefault="00A8138F" w:rsidP="00A8138F">
      <w:pPr>
        <w:pStyle w:val="TextoNormal"/>
      </w:pPr>
      <w:r>
        <w:t>En cambio, el Tribunal ha rechazado que pueda extenderse esta doctrina a los supuestos en que la disposición cuestionada como “ley singular”, por más que específica, sea una decisión que corresponde al legislador y solo él puede adoptar (SSTC 152/2017, de 21 de diciembre, FFJJ 5 y 6, y 87/2018, FJ 2). Tal circunstancia priva de sentido a las preguntas características de la doctrina constitucional sobre las leyes singulares acerca de “si las leyes en cada caso enjuiciadas ‘por [su] naturaleza de ley formal […] puede vulnerar el derecho a la tutela judicial que el art. 24.1 de la Constitución concede a los expropiados [o en general a los destinatarios de actos o disposiciones administrativas] para defender su propiedad [o en general derechos e intereses legítimos] ante los jueces y tribunales’ (SSTC 166/1986, FJ 10, y 129/2013, FJ 4); si las leyes cuestionadas entrañan una ‘creación arbitraria de supuestos de hecho’ [SSTC 166/1986, FJ 11 A), y 233/2015, de 5 de noviembre, FJ 15]; o si esos supuestos de hecho atendidos por las leyes en cuestión son casos ‘no […] remediables por los instrumentos normales de que dispone la Administración’ [SSTC 166/1986, FJ 11 B); 233/2015, ya citada, FJ 15; 38/2016, de 3 de marzo, FJ 7, y 152/2017, también citada, FJ 5]” (STC 87/2018, FJ 2). En buena lógica, la doctrina constitucional sobre leyes singulares surge al albur de leyes singulares autoaplicativas de expropiación (SSTC 166/1986 o 48/2005) y se ha proyectado posteriormente a actuaciones del legislador materialmente administrativas que evitan el control jurisdiccional de la medida ejecutiva que incorporan o disponen (SSTC 129/2013, 203/2013 o 50/2015), no a decisiones que solo puede adoptar el legislador (STC 87/2018, FJ 2).</w:t>
      </w:r>
    </w:p>
    <w:p w14:paraId="2D4C5EDE" w14:textId="77777777" w:rsidR="00A8138F" w:rsidRDefault="00A8138F" w:rsidP="00A8138F">
      <w:pPr>
        <w:pStyle w:val="TextoNormal"/>
      </w:pPr>
    </w:p>
    <w:p w14:paraId="61B26411" w14:textId="77777777" w:rsidR="00A8138F" w:rsidRDefault="00A8138F" w:rsidP="00A8138F">
      <w:pPr>
        <w:pStyle w:val="TextoNormal"/>
      </w:pPr>
      <w:r>
        <w:t>El contenido material de una amnistía, sin embargo, radica esencialmente en modificar (retrospectivamente) el régimen aplicativo de disposiciones que mantienen su vigencia; de forma más característica, como subraya el recurso en este motivo, de leyes penales, aunque no solo. Resulta obvio que solo el legislador está facultado para acordarla, pero en absoluto puede calificarse como actividad gubernativa o de administración. Su contenido atañe a decisiones y medidas que no puede adoptar la administración en virtud de sus potestades, que están sustraídas al Poder Ejecutivo y reservadas al legislador democrático, único facultado para introducirlas.</w:t>
      </w:r>
    </w:p>
    <w:p w14:paraId="40DE5866" w14:textId="77777777" w:rsidR="00A8138F" w:rsidRDefault="00A8138F" w:rsidP="00A8138F">
      <w:pPr>
        <w:pStyle w:val="TextoNormal"/>
      </w:pPr>
    </w:p>
    <w:p w14:paraId="77A381E4" w14:textId="77777777" w:rsidR="00A8138F" w:rsidRDefault="00A8138F" w:rsidP="00A8138F">
      <w:pPr>
        <w:pStyle w:val="TextoNormal"/>
      </w:pPr>
      <w:r>
        <w:t xml:space="preserve">En consonancia con las radicales diferencias señaladas, los elementos de tensión constitucional de una amnistía a los que ya se ha hecho referencia en los fundamentos anteriores distan notablemente de los que suscita la categoría de las leyes singulares elaborada por la jurisprudencia constitucional. Así lo reconocen los propios recurrentes al situar dicha categoría en el ámbito de las relaciones entre los poderes Legislativo y Ejecutivo y a la amnistía, sin embargo, en la delimitación entre el Poder Legislativo y el Poder Judicial. Mientras que el diseño constitucional, en especial de la separación de poderes, admite leyes singulares que incorporan actuaciones propias del Poder Ejecutivo en atención a la ausencia de reserva de administración, el reconocimiento constitucional en el art. 117.3 CE de una reserva de jurisdicción determina la inconstitucionalidad de una ley suplantadora de la actuación jurisdiccional. Sin embargo, como ya se ha razonado, una amnistía no implica </w:t>
      </w:r>
      <w:r w:rsidRPr="00A8138F">
        <w:rPr>
          <w:i/>
        </w:rPr>
        <w:t>per se</w:t>
      </w:r>
      <w:r>
        <w:t xml:space="preserve"> y en general invadir la reserva de jurisdicción.</w:t>
      </w:r>
    </w:p>
    <w:p w14:paraId="614F5FB8" w14:textId="77777777" w:rsidR="00A8138F" w:rsidRDefault="00A8138F" w:rsidP="00A8138F">
      <w:pPr>
        <w:pStyle w:val="TextoNormal"/>
      </w:pPr>
    </w:p>
    <w:p w14:paraId="0346A362" w14:textId="77777777" w:rsidR="00A8138F" w:rsidRDefault="00A8138F" w:rsidP="00A8138F">
      <w:pPr>
        <w:pStyle w:val="TextoNormal"/>
      </w:pPr>
      <w:r>
        <w:t>Estas coordenadas muestran, en definitiva, que no se trata aquí de examinar el ejercicio de la potestad legislativa en materias propias de la administración, esto es, de limitar la incidencia del Poder Legislativo en el ámbito funcional del Poder Ejecutivo, sino de analizar la constitucionalidad del ejercicio de una potestad exclusivamente legislativa. No puede proyectarse a las leyes de amnistía, por tanto, el canon constitucional relativo a las leyes singulares con los específicos límites y requisitos que impone (SSTC 129/2013, FJ 4, y 203/2013, FJ 4), sino que habrán de someterse a su propio test de compatibilidad con los principios y derechos que establece la Constitución.</w:t>
      </w:r>
    </w:p>
    <w:p w14:paraId="5A93022A" w14:textId="77777777" w:rsidR="00A8138F" w:rsidRDefault="00A8138F" w:rsidP="00A8138F">
      <w:pPr>
        <w:pStyle w:val="TextoNormal"/>
      </w:pPr>
    </w:p>
    <w:p w14:paraId="6C163781" w14:textId="77777777" w:rsidR="00A8138F" w:rsidRDefault="00A8138F" w:rsidP="00A8138F">
      <w:pPr>
        <w:pStyle w:val="TextoNormal"/>
      </w:pPr>
      <w:r>
        <w:t xml:space="preserve">5.3. </w:t>
      </w:r>
      <w:r w:rsidRPr="00A8138F">
        <w:rPr>
          <w:i/>
        </w:rPr>
        <w:t>Exigencia de generalidad, mandato de taxatividad y amnistía</w:t>
      </w:r>
    </w:p>
    <w:p w14:paraId="0A510936" w14:textId="77777777" w:rsidR="00A8138F" w:rsidRDefault="00A8138F" w:rsidP="00A8138F">
      <w:pPr>
        <w:pStyle w:val="TextoNormal"/>
      </w:pPr>
    </w:p>
    <w:p w14:paraId="39D29AB0" w14:textId="77777777" w:rsidR="00A8138F" w:rsidRDefault="00A8138F" w:rsidP="00A8138F">
      <w:pPr>
        <w:pStyle w:val="TextoNormal"/>
      </w:pPr>
      <w:r>
        <w:t>Sentado lo anterior, corresponde abordar el reproche de inconstitucionalidad formulado en el motivo de incompatibilidad de las amnistías con el art. 25.1 CE, que la demanda funda en una exigencia de generalidad de las leyes penales impuesta por la dimensión material del principio de legalidad penal.</w:t>
      </w:r>
    </w:p>
    <w:p w14:paraId="119FD1F8" w14:textId="77777777" w:rsidR="00A8138F" w:rsidRDefault="00A8138F" w:rsidP="00A8138F">
      <w:pPr>
        <w:pStyle w:val="TextoNormal"/>
      </w:pPr>
    </w:p>
    <w:p w14:paraId="286B36F8" w14:textId="77777777" w:rsidR="00A8138F" w:rsidRDefault="00A8138F" w:rsidP="00A8138F">
      <w:pPr>
        <w:pStyle w:val="TextoNormal"/>
      </w:pPr>
      <w:r>
        <w:t>5.3.1</w:t>
      </w:r>
      <w:r w:rsidRPr="00A8138F">
        <w:rPr>
          <w:i/>
        </w:rPr>
        <w:t>. Doctrina constitucion</w:t>
      </w:r>
      <w:r>
        <w:t>al</w:t>
      </w:r>
    </w:p>
    <w:p w14:paraId="11B74F17" w14:textId="77777777" w:rsidR="00A8138F" w:rsidRDefault="00A8138F" w:rsidP="00A8138F">
      <w:pPr>
        <w:pStyle w:val="TextoNormal"/>
      </w:pPr>
    </w:p>
    <w:p w14:paraId="2A5735B3" w14:textId="77777777" w:rsidR="00A8138F" w:rsidRDefault="00A8138F" w:rsidP="00A8138F">
      <w:pPr>
        <w:pStyle w:val="TextoNormal"/>
      </w:pPr>
      <w:r>
        <w:t>La alegación obliga a recordar la doctrina sobre el sentido, alcance y contenido del derecho fundamental a la legalidad penal, con especial atención al mandato de taxatividad que incorpora el art. 25.1 CE. Dicha doctrina se recoge, entre otras muchas resoluciones, en las citadas en el recurso —las SSTC 24/2004, de 24 de febrero, FJ 2, y 94/2024, de 2 de julio, FJ 3— o en las recientes SSTC 54/2023, de 22 de mayo, FJ 3; 75/2024, de 8 de mayo, FJ 3, y 93/2024, de 19 de junio, FJ 3. Sus principales aspectos en lo que ahora interesa pueden sintetizarse como sigue:</w:t>
      </w:r>
    </w:p>
    <w:p w14:paraId="0335A350" w14:textId="77777777" w:rsidR="00A8138F" w:rsidRDefault="00A8138F" w:rsidP="00A8138F">
      <w:pPr>
        <w:pStyle w:val="TextoNormal"/>
      </w:pPr>
    </w:p>
    <w:p w14:paraId="115C827D" w14:textId="77777777" w:rsidR="00A8138F" w:rsidRDefault="00A8138F" w:rsidP="00A8138F">
      <w:pPr>
        <w:pStyle w:val="TextoNormal"/>
      </w:pPr>
      <w:r>
        <w:t xml:space="preserve">(i) El principio de legalidad tiene su origen en la necesidad de garantizar la seguridad jurídica y la libertad de los ciudadanos frente al ejercicio arbitrario del </w:t>
      </w:r>
      <w:r w:rsidRPr="00A8138F">
        <w:rPr>
          <w:i/>
        </w:rPr>
        <w:t>ius puniendi</w:t>
      </w:r>
      <w:r>
        <w:t xml:space="preserve"> por parte del Estado, “de modo que expresa su potestad punitiva a través del instrumento de la ley y solo la ejercita en la medida en que está prevista en la ley” (STC 142/1999, de 22 de julio, FJ 3). A partir del texto de la ley, los ciudadanos pueden programar sus comportamientos sin el temor de verse sorprendidos por la posterior definición como delitos o infracciones de conductas que en el momento de ser realizadas no estaban sancionadas o por la aplicación de penas o sanciones que no existían o eran más leves cuando realizaron la conducta sancionada. El Tribunal ha señalado asimismo que “el conocimiento previo de la conducta prohibida y de la pena prevista, evita que se vacíe de sentido una de las finalidades, la de prevención general, que legitiman la pena (STC 132/2022, de 24 de octubre, FJ 4), y con ella la función intimidatoria y motivadora de la conducta de los ciudadanos frente a sus impulsos, determinación psíquica que se vincula a que los ciudadanos puedan conocer de antemano el ámbito de lo proscrito y prever, así, las consecuencias de sus acciones” (STC 54/2023, FJ 3).</w:t>
      </w:r>
    </w:p>
    <w:p w14:paraId="0EEB1737" w14:textId="77777777" w:rsidR="00A8138F" w:rsidRDefault="00A8138F" w:rsidP="00A8138F">
      <w:pPr>
        <w:pStyle w:val="TextoNormal"/>
      </w:pPr>
    </w:p>
    <w:p w14:paraId="16168DF2" w14:textId="77777777" w:rsidR="00A8138F" w:rsidRDefault="00A8138F" w:rsidP="00A8138F">
      <w:pPr>
        <w:pStyle w:val="TextoNormal"/>
      </w:pPr>
      <w:r>
        <w:t>Además, la predeterminación normativa, atendida la grave afectación que suponen las normas penales para los intereses más relevantes (STC 142/1999, FJ 3), se atribuye en exclusiva al órgano que representa la voluntad general, el Parlamento. “El imperio de la ley opera de este modo como garantía de los bienes jurídicos de los ciudadanos y como límite de la actuación de los jueces y magistrados (art. 117.1 CE)” (STC 54/2023, FJ 3).</w:t>
      </w:r>
    </w:p>
    <w:p w14:paraId="711B20F9" w14:textId="77777777" w:rsidR="00A8138F" w:rsidRDefault="00A8138F" w:rsidP="00A8138F">
      <w:pPr>
        <w:pStyle w:val="TextoNormal"/>
      </w:pPr>
    </w:p>
    <w:p w14:paraId="681192A7" w14:textId="77777777" w:rsidR="00A8138F" w:rsidRDefault="00A8138F" w:rsidP="00A8138F">
      <w:pPr>
        <w:pStyle w:val="TextoNormal"/>
      </w:pPr>
      <w:r>
        <w:t>(ii) La STC 93/2024 recuerda en su fundamento jurídico 3 —en los mismos términos que la STC 94/2024, FJ 3, traída a la demanda— que “[l]a primera garantía que contiene el principio de legalidad es la garantía formal, que impone una reserva de ley absoluta (STC 15/1981, de 7 de mayo, FJ 7) para definir delitos y fijar sus penas, quedando así acotadas las fuentes del Derecho en materia penal [SSTC 142/1999, de 22 de julio,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w:t>
      </w:r>
      <w:r w:rsidRPr="00A8138F">
        <w:rPr>
          <w:i/>
        </w:rPr>
        <w:t>lex praevia</w:t>
      </w:r>
      <w:r>
        <w:t>) que permitan predecir con el suficiente grado de certeza (</w:t>
      </w:r>
      <w:r w:rsidRPr="00A8138F">
        <w:rPr>
          <w:i/>
        </w:rPr>
        <w:t>lex certa</w:t>
      </w:r>
      <w:r>
        <w:t>) dichas conductas, y se sepa a qué atenerse en cuanto a la aneja responsabilidad y a la eventual sanción’ (SSTC 25/2004, de 26 de febrero, FJ 4; 218/2005, de 12 de septiembre, FJ 2; 297/2005, de 21 de noviembre, FJ 6, y 283/2006, de 9 de octubre, FJ 5)”.</w:t>
      </w:r>
    </w:p>
    <w:p w14:paraId="34B263A6" w14:textId="77777777" w:rsidR="00A8138F" w:rsidRDefault="00A8138F" w:rsidP="00A8138F">
      <w:pPr>
        <w:pStyle w:val="TextoNormal"/>
      </w:pPr>
    </w:p>
    <w:p w14:paraId="44FA41EF" w14:textId="77777777" w:rsidR="00A8138F" w:rsidRDefault="00A8138F" w:rsidP="00A8138F">
      <w:pPr>
        <w:pStyle w:val="TextoNormal"/>
      </w:pPr>
      <w:r>
        <w:t>(iii) Esta última dimensión de la llamada garantía material del principio de legalidad comporta para el legislador un mandato de taxatividad, contenido del art. 25.1 CE del que los recurrentes infieren la exigencia de generalidad de la ley penal.</w:t>
      </w:r>
    </w:p>
    <w:p w14:paraId="1E0B9C1F" w14:textId="77777777" w:rsidR="00A8138F" w:rsidRDefault="00A8138F" w:rsidP="00A8138F">
      <w:pPr>
        <w:pStyle w:val="TextoNormal"/>
      </w:pPr>
    </w:p>
    <w:p w14:paraId="4D951DC4" w14:textId="77777777" w:rsidR="00A8138F" w:rsidRDefault="00A8138F" w:rsidP="00A8138F">
      <w:pPr>
        <w:pStyle w:val="TextoNormal"/>
      </w:pPr>
      <w:r>
        <w:t xml:space="preserve">La STC 24/2004, también citada y extractada en el recurso, detalla que dicho mandato comporta “la exigencia de predeterminación normativa de las conductas y sus correspondientes sanciones, a través de una tipificación precisa dotada de la adecuada concreción en la descripción que incorpora. En este sentido hemos declarado —como recuerda la STC 142/1999, de 22 de julio, FJ 3— ‘que el legislador debe hacer el máximo esfuerzo posible en la definición de los tipos penales (SSTC 62/1982, 89/1993, 53/1994 y 151/1997), promulgando normas concretas, precisas, claras e inteligibles (SSTC 69/1989, 34/1996 y 137/1997). También hemos señalado que la ley ha de describir </w:t>
      </w:r>
      <w:r w:rsidRPr="00A8138F">
        <w:rPr>
          <w:i/>
        </w:rPr>
        <w:t>ex ante</w:t>
      </w:r>
      <w:r>
        <w:t xml:space="preserve"> el supuesto de hecho al que anuda la sanción y la punición correlativa (SSTC 196/1991, 95/1992 y 14/1998). Expresado con otras palabras, el legislador ha de operar con tipos; es decir, con una descripción estereotipada de las acciones y omisiones incriminadas, con indicación de las simétricas penas o sanciones (SSTC 120/1994 y 34/1996),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Todo ello orientado a garantizar la seguridad jurídica, de modo que los ciudadanos puedan conocer de antemano el ámbito de lo prohibido y prever, así, las consecuencias de sus acciones (STC 151/1997, de 29 de septiembre, FJ 3)” (FJ 2).</w:t>
      </w:r>
    </w:p>
    <w:p w14:paraId="613B32F6" w14:textId="77777777" w:rsidR="00A8138F" w:rsidRDefault="00A8138F" w:rsidP="00A8138F">
      <w:pPr>
        <w:pStyle w:val="TextoNormal"/>
      </w:pPr>
    </w:p>
    <w:p w14:paraId="41AFBCFD" w14:textId="77777777" w:rsidR="00A8138F" w:rsidRDefault="00A8138F" w:rsidP="00A8138F">
      <w:pPr>
        <w:pStyle w:val="TextoNormal"/>
      </w:pPr>
      <w:r>
        <w:t>5.3.2</w:t>
      </w:r>
      <w:r w:rsidRPr="00A8138F">
        <w:rPr>
          <w:i/>
        </w:rPr>
        <w:t>. Enjuiciamiento del moti</w:t>
      </w:r>
      <w:r>
        <w:t>vo</w:t>
      </w:r>
    </w:p>
    <w:p w14:paraId="1A6169C7" w14:textId="77777777" w:rsidR="00A8138F" w:rsidRDefault="00A8138F" w:rsidP="00A8138F">
      <w:pPr>
        <w:pStyle w:val="TextoNormal"/>
      </w:pPr>
    </w:p>
    <w:p w14:paraId="43F31B5D" w14:textId="77777777" w:rsidR="00A8138F" w:rsidRDefault="00A8138F" w:rsidP="00A8138F">
      <w:pPr>
        <w:pStyle w:val="TextoNormal"/>
      </w:pPr>
      <w:r>
        <w:t>a) La alegada exigencia de generalidad de las leyes penale</w:t>
      </w:r>
      <w:r w:rsidRPr="00A8138F">
        <w:rPr>
          <w:i/>
        </w:rPr>
        <w:t xml:space="preserve">s </w:t>
      </w:r>
      <w:r>
        <w:t>ex art. 25.1 CE</w:t>
      </w:r>
    </w:p>
    <w:p w14:paraId="6884D849" w14:textId="77777777" w:rsidR="00A8138F" w:rsidRDefault="00A8138F" w:rsidP="00A8138F">
      <w:pPr>
        <w:pStyle w:val="TextoNormal"/>
      </w:pPr>
    </w:p>
    <w:p w14:paraId="37DFBD9E" w14:textId="77777777" w:rsidR="00A8138F" w:rsidRDefault="00A8138F" w:rsidP="00A8138F">
      <w:pPr>
        <w:pStyle w:val="TextoNormal"/>
      </w:pPr>
      <w:r>
        <w:t>A la luz de la doctrina constitucional reseñada sobre el derecho a la legalidad penal, en particular sobre el mandato de taxatividad, debe rechazarse la alegación de los recurrentes según la cual una ley de amnistía debe considerarse, por concepto, inconstitucional por no ajustarse a una pretendida exigencia de generalidad de la ley penal inherente al art. 25.1 CE. Dicha doctrina muestra que del art. 25.1 CE resulta una exigencia absoluta de ley, que ha de ser clara y precisa, no una pretensión específica de generalidad de la norma penal, que es, de partida, la misma que acompaña a toda ley y que se vincula ante todo con el principio de igualdad (art. 14 CE) y, en el ámbito penal, con la reserva de jurisdicción (art. 117.3 CE).</w:t>
      </w:r>
    </w:p>
    <w:p w14:paraId="73AAA50E" w14:textId="77777777" w:rsidR="00A8138F" w:rsidRDefault="00A8138F" w:rsidP="00A8138F">
      <w:pPr>
        <w:pStyle w:val="TextoNormal"/>
      </w:pPr>
    </w:p>
    <w:p w14:paraId="601B7DF8" w14:textId="77777777" w:rsidR="00A8138F" w:rsidRDefault="00A8138F" w:rsidP="00A8138F">
      <w:pPr>
        <w:pStyle w:val="TextoNormal"/>
      </w:pPr>
      <w:r>
        <w:t>El significado garantista del derecho a la legalidad penal consagrado en el art. 25.1 CE se concreta en la exigencia de que sea el Poder Legislativo el que determine el ámbito de lo penalmente relevante y de que lo haga de forma que el ciudadano no resulte sorpresivamente penado, no en la imposición de un tratamiento penal ayuno de especialidades. La decisión del legislador de castigar ciertas conductas debe así articularse a través de una ley que sea previa a su comisión y describa con claridad las conductas incriminadas y las sanciones correspondientes. En tal sentido, la jurisprudencia sobre el art. 25.1 CE transcrita muestra que el contenido de garantía de la dimensión material del derecho a la legalidad penal que vincula al legislador no radica propiamente en la alusión a formulaciones abstractas o a descripciones estereotipadas, inevitable opción de técnica legislativa dirigida a articular las decisiones político-criminales con eficacia y justicia. Diseño formal que, por otro lado, es también el que emplea la Ley de amnistía, que define el espectro de actuaciones delictivas a las que se aplica según características generales, de manera que se ve concernido un número indeterminado y no individualizado de conductas subsumibles en las descripciones típicas y, en tal medida, de sujetos. La protección que dispensa el derecho recogido en el art. 25.1 CE, concretamente, el mandato de taxatividad que incorpora, dimana de la exigencia del “máximo esfuerzo posible en la definición de los tipos penales”, de promulgar “normas concretas, precisas, claras e inteligibles”, de lograr una “concreción y precisión de los elementos básicos de la correspondiente figura delictiva” en la creación de preceptos penales.</w:t>
      </w:r>
    </w:p>
    <w:p w14:paraId="6F32A165" w14:textId="77777777" w:rsidR="00A8138F" w:rsidRDefault="00A8138F" w:rsidP="00A8138F">
      <w:pPr>
        <w:pStyle w:val="TextoNormal"/>
      </w:pPr>
    </w:p>
    <w:p w14:paraId="43C07096" w14:textId="77777777" w:rsidR="00A8138F" w:rsidRDefault="00A8138F" w:rsidP="00A8138F">
      <w:pPr>
        <w:pStyle w:val="TextoNormal"/>
      </w:pPr>
      <w:r>
        <w:t>En suma, frente a lo que sostienen los recurrentes, el art. 25.1 CE no proclama una suerte de derecho absoluto a una perfecta universalidad y abstracción de las disposiciones penales, tampoco puesto en relación con el art. 17.1 CE, ni su fundamento estriba en procurar una previsión y aplicación de la ley penal ayuna de diferenciaciones.</w:t>
      </w:r>
    </w:p>
    <w:p w14:paraId="07C21E7D" w14:textId="77777777" w:rsidR="00A8138F" w:rsidRDefault="00A8138F" w:rsidP="00A8138F">
      <w:pPr>
        <w:pStyle w:val="TextoNormal"/>
      </w:pPr>
    </w:p>
    <w:p w14:paraId="6A970D76" w14:textId="77777777" w:rsidR="00A8138F" w:rsidRDefault="00A8138F" w:rsidP="00A8138F">
      <w:pPr>
        <w:pStyle w:val="TextoNormal"/>
      </w:pPr>
      <w:r>
        <w:t>b) Mandato de taxatividad y amnistía</w:t>
      </w:r>
    </w:p>
    <w:p w14:paraId="6847EFE7" w14:textId="77777777" w:rsidR="00A8138F" w:rsidRDefault="00A8138F" w:rsidP="00A8138F">
      <w:pPr>
        <w:pStyle w:val="TextoNormal"/>
      </w:pPr>
    </w:p>
    <w:p w14:paraId="040C518E" w14:textId="77777777" w:rsidR="00A8138F" w:rsidRDefault="00A8138F" w:rsidP="00A8138F">
      <w:pPr>
        <w:pStyle w:val="TextoNormal"/>
      </w:pPr>
      <w:r>
        <w:t>En relación todavía con la aducida incompatibilidad de las amnistías con el art. 25.1 CE, la conclusión anterior debe completarse con otra, a saber, que las exigencias de predeterminación normativa que impone el derecho a la legalidad penal no se proyectan a la amnistía.</w:t>
      </w:r>
    </w:p>
    <w:p w14:paraId="3572A760" w14:textId="77777777" w:rsidR="00A8138F" w:rsidRDefault="00A8138F" w:rsidP="00A8138F">
      <w:pPr>
        <w:pStyle w:val="TextoNormal"/>
      </w:pPr>
    </w:p>
    <w:p w14:paraId="270ACB5C" w14:textId="77777777" w:rsidR="00A8138F" w:rsidRDefault="00A8138F" w:rsidP="00A8138F">
      <w:pPr>
        <w:pStyle w:val="TextoNormal"/>
      </w:pPr>
      <w:r>
        <w:t xml:space="preserve">El efecto más característico de una amnistía es excepcionar la aplicación de normas vigentes —señaladamente, penales— respecto a los actos incluidos en su ámbito objetivo. Incide, por tanto, en la responsabilidad penal de todas aquellas personas comprendidas en su ámbito de aplicación. Existe, sin embargo, una diferencia esencial entre una ley de amnistía y la actuación legislativa penal en general y despenalizadora en particular. Un cambio normativo penal tiene efectos derogatorios del régimen anterior y despliega su eficacia por exigencia constitucional </w:t>
      </w:r>
      <w:r w:rsidRPr="00A8138F">
        <w:rPr>
          <w:i/>
        </w:rPr>
        <w:t>pro futuro</w:t>
      </w:r>
      <w:r>
        <w:t xml:space="preserve">. Así lo impone justamente la previsibilidad que garantiza el derecho a la legalidad penal, que cristaliza en la garantía de </w:t>
      </w:r>
      <w:r w:rsidRPr="00A8138F">
        <w:rPr>
          <w:i/>
        </w:rPr>
        <w:t>lex praevia</w:t>
      </w:r>
      <w:r>
        <w:t xml:space="preserve">. Las exigencias de calidad de las leyes penales que dimanan del art. 25.1 CE contenidas en el mandato de </w:t>
      </w:r>
      <w:r w:rsidRPr="00A8138F">
        <w:rPr>
          <w:i/>
        </w:rPr>
        <w:t>lex certa</w:t>
      </w:r>
      <w:r>
        <w:t xml:space="preserve"> están vinculadas asimismo a la previsibilidad y la eficacia prospectiva de las previsiones penales. Pretenden garantizar una predeterminación normativa que permita a los ciudadanos conocer las prohibiciones y mandatos cuya quiebra se castiga con injerencias notables en su esfera de derechos e intereses y, en general, el ámbito de lo (no) punible. Solo así es posible ordenar el propio comportamiento para evitar el ejercicio del </w:t>
      </w:r>
      <w:r w:rsidRPr="00A8138F">
        <w:rPr>
          <w:i/>
        </w:rPr>
        <w:t>ius puniendi</w:t>
      </w:r>
      <w:r>
        <w:t>. La certeza sobre las consecuencias negativas de la propia conducta es condición imprescindible de seguridad, a su vez, elemento necesario para la libertad.</w:t>
      </w:r>
    </w:p>
    <w:p w14:paraId="7BA7BD82" w14:textId="77777777" w:rsidR="00A8138F" w:rsidRDefault="00A8138F" w:rsidP="00A8138F">
      <w:pPr>
        <w:pStyle w:val="TextoNormal"/>
      </w:pPr>
    </w:p>
    <w:p w14:paraId="12904239" w14:textId="77777777" w:rsidR="00A8138F" w:rsidRDefault="00A8138F" w:rsidP="00A8138F">
      <w:pPr>
        <w:pStyle w:val="TextoNormal"/>
      </w:pPr>
      <w:r>
        <w:t>Así ocurre también cuando la modificación legal es despenalizadora o atemperadora de la responsabilidad penal. La nueva disposición deroga la ley anterior y es de aplicación prospectiva, base, por tanto, para establecer o excluir futuras responsabilidades penales; a lo que no obsta que, por razones de justicia y proporcionalidad y con apoyo en el art. 9.3 CE, según la jurisprudencia constitucional (STC 8/1981, de 30 de marzo, FJ 3), tenga aplicación retroactiva general en cuanto resulta beneficiosa. De lo que se trata es de evitar que el ciudadano pueda verse sorpresivamente penado, no de que sorpresivamente pueda verse exonerado o aliviado en su responsabilidad penal.</w:t>
      </w:r>
    </w:p>
    <w:p w14:paraId="6C72E3EE" w14:textId="77777777" w:rsidR="00A8138F" w:rsidRDefault="00A8138F" w:rsidP="00A8138F">
      <w:pPr>
        <w:pStyle w:val="TextoNormal"/>
      </w:pPr>
    </w:p>
    <w:p w14:paraId="37324195" w14:textId="77777777" w:rsidR="00A8138F" w:rsidRDefault="00A8138F" w:rsidP="00A8138F">
      <w:pPr>
        <w:pStyle w:val="TextoNormal"/>
      </w:pPr>
      <w:r>
        <w:t>Frente a la actuación legislativa penal ordinaria, la previsión de una amnistía no deroga precepto penal alguno y carece de cualquier finalidad prospectiva de ordenación de conductas de los ciudadanos asociada con el establecimiento de consecuencias jurídicas disuasorias. No despenaliza las conductas punibles, ni modifica su descripción típica o elimina o introduce elementos determinantes de la punibilidad con proyección hacia el futuro; no busca ejercer una función motivadora de la conducta de los ciudadanos. Se limita a suprimir los efectos jurídicos de la aplicación de unas normas cuya validez y vigencia no cuestiona. Sus efectos se proyectan a conductas pasadas, excepcionando retrospectivamente la aplicación a un determinado ámbito material, subjetivo y temporal de normas penales o sancionadoras que continúan vigentes. El efecto de exoneración de responsabilidad de la amnistía es en tal sentido absolutamente sorpresivo, ajeno a cualquier circunstancia que pudiera tener presente el autor de una conducta en el momento de realizarla en orden a prever su relevancia penal o infractora y sus consecuencias. En la medida en que la amnistía no constituye un presupuesto o elemento conformador de la responsabilidad penal (o administrativa) al tiempo de cometerse el hecho, no se proyecta a ella el mandato de determinación vinculado a la previsibilidad que impone el art. 25.1 CE (semejante, ATC 343/1983, de 13 de julio, FJ 3). No puede, por ello, oponerse tal garantía como elemento de incompatibilidad constitucional de toda amnistía.</w:t>
      </w:r>
    </w:p>
    <w:p w14:paraId="20473030" w14:textId="77777777" w:rsidR="00A8138F" w:rsidRDefault="00A8138F" w:rsidP="00A8138F">
      <w:pPr>
        <w:pStyle w:val="TextoNormal"/>
      </w:pPr>
    </w:p>
    <w:p w14:paraId="6E252AAE" w14:textId="77777777" w:rsidR="00A8138F" w:rsidRDefault="00A8138F" w:rsidP="00A8138F">
      <w:pPr>
        <w:pStyle w:val="TextoNormal"/>
      </w:pPr>
      <w:r>
        <w:t>No obsta a lo concluido en este fundamento jurídico la evidencia de que una amnistía incorpora una excepción en la aplicación de preceptos sancionadores acotada material y temporalmente y, en tal medida, subjetivamente. Pero, sentadas las anteriores consideraciones, esto es, que no se está ante una actuación legislativa que realice funciones materialmente administrativas ni que hurte a los jueces y magistrados el ejercicio de la función jurisdiccional, sino ante el ejercicio de la potestad legislativa que corresponde a las Cortes Generales (art. 66.2 CE), la duda sobre la admisibilidad constitucional de una ley de amnistía en general y de la Ley de amnistía aquí recurrida en particular se sitúa propiamente en el marco de los arts. 9.3 CE y 14 CE. Desde este encuadramiento debe analizarse la peculiaridad de toda amnistía, también de la Ley Orgánica 1/2024, cuyo efecto más típico es excepcionar retrospectivamente la aplicación de la ley penal vigente, generando diferencias de tratamiento.</w:t>
      </w:r>
    </w:p>
    <w:p w14:paraId="0467EB3E" w14:textId="77777777" w:rsidR="00A8138F" w:rsidRDefault="00A8138F" w:rsidP="00A8138F">
      <w:pPr>
        <w:pStyle w:val="TextoNormal"/>
      </w:pPr>
    </w:p>
    <w:p w14:paraId="0207FBB7" w14:textId="77777777" w:rsidR="00A8138F" w:rsidRDefault="00A8138F" w:rsidP="00A8138F">
      <w:pPr>
        <w:pStyle w:val="TextoNormal"/>
      </w:pPr>
      <w:r>
        <w:t xml:space="preserve">B) </w:t>
      </w:r>
      <w:r w:rsidRPr="00A8138F">
        <w:rPr>
          <w:i/>
        </w:rPr>
        <w:t>Análisis de las alegaciones relativas a la inconstitucionalidad de la Ley de amnistía en su integridad</w:t>
      </w:r>
    </w:p>
    <w:p w14:paraId="2E1D2840" w14:textId="77777777" w:rsidR="00A8138F" w:rsidRDefault="00A8138F" w:rsidP="00A8138F">
      <w:pPr>
        <w:pStyle w:val="TextoNormal"/>
      </w:pPr>
    </w:p>
    <w:p w14:paraId="026909FA" w14:textId="77777777" w:rsidR="00A8138F" w:rsidRDefault="00A8138F" w:rsidP="00A8138F">
      <w:pPr>
        <w:pStyle w:val="TextoNormal"/>
      </w:pPr>
      <w:r>
        <w:t xml:space="preserve">Una vez desestimado el motivo de la demanda según el cual la amnistía, considerada en sí misma, no es compatible con la Constitución, se analizan a continuación los motivos por los que se interesa que se declare la inconstitucionalidad de la totalidad de la Ley Orgánica 1/2024. Los recurrentes sostienen que esta ley orgánica no persigue un ideal de justicia, que sería, a su juicio, la única modalidad de amnistía que tendría cabida en la Constitución. También alegan la infracción de diversos preceptos constitucionales. En particular, afirman que la Ley de amnistía infringe la cláusula del Estado de Derecho (art. 1.1 CE) en relación con el art. 2 TUE; el principio de interdicción de la arbitrariedad (art. 9.3 CE); la prohibición de discriminación (art. 14 CE); el derecho al </w:t>
      </w:r>
      <w:r w:rsidRPr="00A8138F">
        <w:rPr>
          <w:i/>
        </w:rPr>
        <w:t>ius in officium</w:t>
      </w:r>
      <w:r>
        <w:t xml:space="preserve"> de los parlamentarios (art. 23 CE); el derecho a la tutela judicial efectiva en varias de sus vertientes (art. 24.1 CE); el derecho a la legalidad penal (art. 25 CE); así como la prohibición de que a los miembros del Gobierno y a su presidente se les aplique la prerrogativa de gracia (art. 102 CE).</w:t>
      </w:r>
    </w:p>
    <w:p w14:paraId="1811AC9C" w14:textId="77777777" w:rsidR="00A8138F" w:rsidRDefault="00A8138F" w:rsidP="00A8138F">
      <w:pPr>
        <w:pStyle w:val="TextoNormal"/>
      </w:pPr>
    </w:p>
    <w:p w14:paraId="3BCADCAA" w14:textId="77777777" w:rsidR="00A8138F" w:rsidRDefault="00A8138F" w:rsidP="00A8138F">
      <w:pPr>
        <w:pStyle w:val="TextoNormal"/>
      </w:pPr>
      <w:r>
        <w:t>El orden en que serán examinadas estas alegaciones, que comprenden los fundamentos jurídicos 6 a 12, es el siguiente. En primer lugar, se enjuiciará si la Ley de amnistía es inconstitucional debido a que su otorgamiento no responde a un ideal de justicia. A continuación, se examinará la compatibilidad de la Ley Orgánica 1/2024 con el principio de interdicción de la arbitrariedad (art. 9.3 CE), con el principio de igualdad (art. 14 CE), con el derecho a la tutela judicial efectiva en su vertiente a la ejecución de las resoluciones judiciales firmes (art. 24.1 CE), con el art. 102.3 CE, con el principio del Estado de Derecho (art. 1.1 CE en relación con el art. 2 TUE) y con el art. 23 CE. Se antepone así el enjuiciamiento de las cuestiones de fondo a las formales. Respecto de las primeras se sigue el orden en el que se encuentran en la Constitución salvo en lo relativo a la cláusula del Estado de Derecho, por condensarse en este principio los valores sobre los que se construye nuestro sistema constitucional.</w:t>
      </w:r>
    </w:p>
    <w:p w14:paraId="038D684A" w14:textId="77777777" w:rsidR="00A8138F" w:rsidRDefault="00A8138F" w:rsidP="00A8138F">
      <w:pPr>
        <w:pStyle w:val="TextoNormal"/>
      </w:pPr>
    </w:p>
    <w:p w14:paraId="1654A61F" w14:textId="4416533F" w:rsidR="00A8138F" w:rsidRDefault="00A8138F" w:rsidP="00A8138F">
      <w:pPr>
        <w:pStyle w:val="TextoNormal"/>
      </w:pPr>
      <w:r>
        <w:t>Por lo que se refiere a la invocación del art. 25.1 CE, como esta alegación ya ha sido examinada en el fundamento jurídico 5, procede remitirse a lo allí expuesto debido a que el planteamiento del motivo que se formula es idéntico al que ya se ha abordado.</w:t>
      </w:r>
    </w:p>
    <w:p w14:paraId="1FFD3362" w14:textId="77777777" w:rsidR="00A8138F" w:rsidRDefault="00A8138F" w:rsidP="00A8138F">
      <w:pPr>
        <w:pStyle w:val="TextoNormal"/>
      </w:pPr>
    </w:p>
    <w:p w14:paraId="7E77CA56" w14:textId="77777777" w:rsidR="00A8138F" w:rsidRDefault="00A8138F" w:rsidP="00A8138F">
      <w:pPr>
        <w:pStyle w:val="TextoNormal"/>
      </w:pPr>
      <w:r w:rsidRPr="00A8138F">
        <w:rPr>
          <w:rStyle w:val="NumeroAFNegritaCaracter"/>
        </w:rPr>
        <w:t>6</w:t>
      </w:r>
      <w:r>
        <w:t xml:space="preserve">. </w:t>
      </w:r>
      <w:r w:rsidRPr="00A8138F">
        <w:rPr>
          <w:i/>
        </w:rPr>
        <w:t>La alegada inconstitucionalidad de la Ley de amnistía porque no responde a un ideal de justicia</w:t>
      </w:r>
    </w:p>
    <w:p w14:paraId="3F0AA548" w14:textId="77777777" w:rsidR="00A8138F" w:rsidRDefault="00A8138F" w:rsidP="00A8138F">
      <w:pPr>
        <w:pStyle w:val="TextoNormal"/>
      </w:pPr>
    </w:p>
    <w:p w14:paraId="6833CE52" w14:textId="77777777" w:rsidR="00A8138F" w:rsidRDefault="00A8138F" w:rsidP="00A8138F">
      <w:pPr>
        <w:pStyle w:val="TextoNormal"/>
      </w:pPr>
      <w:r>
        <w:t xml:space="preserve">6.1. </w:t>
      </w:r>
      <w:r w:rsidRPr="00A8138F">
        <w:rPr>
          <w:i/>
        </w:rPr>
        <w:t>Exposición del motivo y alegaciones de las partes</w:t>
      </w:r>
    </w:p>
    <w:p w14:paraId="719CF740" w14:textId="77777777" w:rsidR="00A8138F" w:rsidRDefault="00A8138F" w:rsidP="00A8138F">
      <w:pPr>
        <w:pStyle w:val="TextoNormal"/>
      </w:pPr>
    </w:p>
    <w:p w14:paraId="5B6E4C06" w14:textId="77777777" w:rsidR="00A8138F" w:rsidRDefault="00A8138F" w:rsidP="00A8138F">
      <w:pPr>
        <w:pStyle w:val="TextoNormal"/>
      </w:pPr>
      <w:r>
        <w:t>Los diputados y senadores recurrentes sostienen que en el caso de que el Tribunal considerase que la amnistía es constitucionalmente posible aunque no exista un reconocimiento expreso en la Constitución, esta institución solo podría considerarse constitucional cuando su otorgamiento se fundara en “razones de justicia extraordinariamente justificadas”. Se apoyan en que la doctrina constitucional ha calificado la amnistía como una operación jurídica excepcional que solo puede fundamentarse en un ideal de justicia (STC 147/1986). Según se aduce, en tal supuesto pesaría sobre el legislador “una singular carga de motivación de las razones de justicia a que obedece el ejercicio de esta prerrogativa de gracia”. Señalan también que en el extenso preámbulo de la Ley de amnistía no encuentran razón alguna basada en criterios de justicia. Al contrario, según los recurrentes, el preámbulo de la Ley de amnistía parte de la justicia de las normas penales y de la correcta actuación de los órganos judiciales que las han aplicado a los actos que esta norma amnistía.</w:t>
      </w:r>
    </w:p>
    <w:p w14:paraId="67E85EF7" w14:textId="77777777" w:rsidR="00A8138F" w:rsidRDefault="00A8138F" w:rsidP="00A8138F">
      <w:pPr>
        <w:pStyle w:val="TextoNormal"/>
      </w:pPr>
    </w:p>
    <w:p w14:paraId="104B7F8F" w14:textId="77777777" w:rsidR="00A8138F" w:rsidRDefault="00A8138F" w:rsidP="00A8138F">
      <w:pPr>
        <w:pStyle w:val="TextoNormal"/>
      </w:pPr>
      <w:r>
        <w:t>El representante del Senado considera que ninguna finalidad puede legitimar en nuestro sistema el poder de amnistiar. Afirma que “[e]l contexto en el que se acuerde, a efectos de su habilitación, carece de relevancia. No puede haber un poder implícito de gracia, mucho menos un poder implícito de amnistiar”.</w:t>
      </w:r>
    </w:p>
    <w:p w14:paraId="4EC3AEAB" w14:textId="77777777" w:rsidR="00A8138F" w:rsidRDefault="00A8138F" w:rsidP="00A8138F">
      <w:pPr>
        <w:pStyle w:val="TextoNormal"/>
      </w:pPr>
    </w:p>
    <w:p w14:paraId="6F3B25F2" w14:textId="77777777" w:rsidR="00A8138F" w:rsidRDefault="00A8138F" w:rsidP="00A8138F">
      <w:pPr>
        <w:pStyle w:val="TextoNormal"/>
      </w:pPr>
      <w:r>
        <w:t>El abogado del Estado alega que “la amnistía exclusivamente transicional no está impuesta en el régimen constitucional”. A su juicio, este tipo de amnistía es un concepto doctrinal y no una categoría jurídica. Sostiene que no se puede negar al Poder Legislativo la aprobación de una ley orgánica que tenga como finalidad amnistiar determinados actos merecedores de responsabilidad penal, administrativa o contable que tiene un propósito definido —superar un conflicto político—, lo que excluye la arbitrariedad.</w:t>
      </w:r>
    </w:p>
    <w:p w14:paraId="66011AF4" w14:textId="77777777" w:rsidR="00A8138F" w:rsidRDefault="00A8138F" w:rsidP="00A8138F">
      <w:pPr>
        <w:pStyle w:val="TextoNormal"/>
      </w:pPr>
    </w:p>
    <w:p w14:paraId="2411107B" w14:textId="77777777" w:rsidR="00A8138F" w:rsidRDefault="00A8138F" w:rsidP="00A8138F">
      <w:pPr>
        <w:pStyle w:val="TextoNormal"/>
      </w:pPr>
      <w:r>
        <w:t xml:space="preserve">6.2. </w:t>
      </w:r>
      <w:r w:rsidRPr="00A8138F">
        <w:rPr>
          <w:i/>
        </w:rPr>
        <w:t>Doctrina constitucional</w:t>
      </w:r>
    </w:p>
    <w:p w14:paraId="7016AFE1" w14:textId="77777777" w:rsidR="00A8138F" w:rsidRDefault="00A8138F" w:rsidP="00A8138F">
      <w:pPr>
        <w:pStyle w:val="TextoNormal"/>
      </w:pPr>
    </w:p>
    <w:p w14:paraId="58EB8397" w14:textId="77777777" w:rsidR="00A8138F" w:rsidRDefault="00A8138F" w:rsidP="00A8138F">
      <w:pPr>
        <w:pStyle w:val="TextoNormal"/>
      </w:pPr>
      <w:r>
        <w:t>Las SSTC 63/1983, de 20 de julio, y 147/1986, de 25 de noviembre, en contra de lo que sostienen los recurrentes, no afirman que las amnistías solo son legítimas en los supuestos en los que exista un “grave quebrantamiento del principio de justicia”. Ciertamente, las sentencias citadas se refieren a un “ideal de justicia” (STC 147/1986) o a la “razón de justicia” (STC 63/1983), pero tales expresiones se efectúan en relación con las amnistías otorgadas como consecuencia de la transición a un sistema democrático y que tenían por objeto rechazar un Derecho contrario a los principios del nuevo orden político. No cabe, por tanto, deducir de tales afirmaciones que necesariamente la amnistía haya de responder al ideal de justicia al que las citadas resoluciones aluden. En estas mismas sentencias, como ya se ha puesto de relieve, se afirma también que la amnistía es “un fenómeno complejo” (STC 147/1986, FJ 2). Por ello, no puede quedar constreñida en cuanto a sus razones a los ideales de justicia que inspiraron las amnistías otorgadas por el Real Decreto-ley 10/1976, de 30 de julio, y por la Ley 46/1977, de 15 de octubre.</w:t>
      </w:r>
    </w:p>
    <w:p w14:paraId="28AAECA2" w14:textId="77777777" w:rsidR="00A8138F" w:rsidRDefault="00A8138F" w:rsidP="00A8138F">
      <w:pPr>
        <w:pStyle w:val="TextoNormal"/>
      </w:pPr>
    </w:p>
    <w:p w14:paraId="52E91B64" w14:textId="77777777" w:rsidR="00A8138F" w:rsidRDefault="00A8138F" w:rsidP="00A8138F">
      <w:pPr>
        <w:pStyle w:val="TextoNormal"/>
      </w:pPr>
      <w:r>
        <w:t>Cuestión distinta es que la amnistía, por su propia naturaleza, ha de ser excepcional. La STC 147/1986, FJ 2, así la califica al denominarla “operación excepcional”, y en su fundamento jurídico 5 insiste en este carácter. Por esta razón, esta institución ha de tener como presupuesto una situación también excepcional. En las amnistías transicionales a las que se acaba de aludir concurre, sin duda, esta circunstancia, pero podrían existir también otras causas que, al menos en abstracto, justificaran una medida de este tipo. Entre estas podrían encontrase, sin ánimo de exhaustividad, razones humanitarias, procesos de reconciliación nacional o necesidades específicas derivadas de acontecimientos políticos o sociales que requieran respuestas extraordinarias del ordenamiento jurídico. Por ello, las leyes de amnistía, si bien se adoptan en el ejercicio de la libertad de configuración del legislador, requieren la concurrencia de circunstancias excepcionales que justifiquen la exención de responsabilidad de carácter punitivo que comportan. Tal exigencia se impone por la lógica de la institución misma, cuya razón de ser reside en atender coyunturas extraordinarias que el ordenamiento jurídico no puede resolver con los instrumentos ordinarios.</w:t>
      </w:r>
    </w:p>
    <w:p w14:paraId="6DE908C8" w14:textId="77777777" w:rsidR="00A8138F" w:rsidRDefault="00A8138F" w:rsidP="00A8138F">
      <w:pPr>
        <w:pStyle w:val="TextoNormal"/>
      </w:pPr>
    </w:p>
    <w:p w14:paraId="71708844" w14:textId="77777777" w:rsidR="00A8138F" w:rsidRDefault="00A8138F" w:rsidP="00A8138F">
      <w:pPr>
        <w:pStyle w:val="TextoNormal"/>
      </w:pPr>
      <w:r>
        <w:t>La situación excepcional que ha de concurrir para que pueda dictarse una ley de amnistía constituye, pues, su presupuesto. Esta excepcionalidad, derivada de la función misma que cumple la amnistía en el sistema jurídico, es la circunstancia que permite descartar la arbitrariedad de una medida que conlleva la quiebra selectiva del principio de igualdad ante la ley, que inevitablemente se proyecta sobre quienes se ven beneficiados por la norma. Esta cuestión será analizada en los fundamentos jurídicos 7 y 8.</w:t>
      </w:r>
    </w:p>
    <w:p w14:paraId="7EE9ABC5" w14:textId="77777777" w:rsidR="00A8138F" w:rsidRDefault="00A8138F" w:rsidP="00A8138F">
      <w:pPr>
        <w:pStyle w:val="TextoNormal"/>
      </w:pPr>
    </w:p>
    <w:p w14:paraId="44AC9EAC" w14:textId="77777777" w:rsidR="00A8138F" w:rsidRDefault="00A8138F" w:rsidP="00A8138F">
      <w:pPr>
        <w:pStyle w:val="TextoNormal"/>
      </w:pPr>
      <w:r>
        <w:t>Corresponde al legislador apreciar las circunstancias que justifican el otorgamiento de la amnistía, sin que el Tribunal Constitucional pueda suplantarle en esta tarea. El control de constitucionalidad del presupuesto fáctico que justifica el otorgamiento de una amnistía —la existencia de una situación excepcional— debe ser un control meramente externo, sin reexaminar el juicio político subyacente.</w:t>
      </w:r>
    </w:p>
    <w:p w14:paraId="7473B446" w14:textId="77777777" w:rsidR="00A8138F" w:rsidRDefault="00A8138F" w:rsidP="00A8138F">
      <w:pPr>
        <w:pStyle w:val="TextoNormal"/>
      </w:pPr>
    </w:p>
    <w:p w14:paraId="1695EE90" w14:textId="77777777" w:rsidR="00A8138F" w:rsidRDefault="00A8138F" w:rsidP="00A8138F">
      <w:pPr>
        <w:pStyle w:val="TextoNormal"/>
      </w:pPr>
      <w:r>
        <w:t xml:space="preserve">6.3. </w:t>
      </w:r>
      <w:r w:rsidRPr="00A8138F">
        <w:rPr>
          <w:i/>
        </w:rPr>
        <w:t>Enjuiciamiento. Concurrencia del presupuesto de excepcionalidad</w:t>
      </w:r>
    </w:p>
    <w:p w14:paraId="0E2342B3" w14:textId="77777777" w:rsidR="00A8138F" w:rsidRDefault="00A8138F" w:rsidP="00A8138F">
      <w:pPr>
        <w:pStyle w:val="TextoNormal"/>
      </w:pPr>
    </w:p>
    <w:p w14:paraId="1CD134A6" w14:textId="77777777" w:rsidR="00A8138F" w:rsidRDefault="00A8138F" w:rsidP="00A8138F">
      <w:pPr>
        <w:pStyle w:val="TextoNormal"/>
      </w:pPr>
      <w:r>
        <w:t>Como ya se ha expuesto, los recurrentes, por un lado, niegan que la amnistía responda a exigencias de justicia que, según afirman, sería la única causa que la justificaría y, por otro, subrayan que la causa que motiva la ley orgánica es una transacción política para asegurar la investidura a la Presidencia del Gobierno. Por lo que se refiere a la necesidad de que la ley responda a la exigencia de justicia, ya se ha dicho que esas razones no son las únicas que pueden justificar una amnistía. Y respecto de cuáles sean los motivos o intenciones de quienes promovieron la aprobación de la ley orgánica, esta es, como se ha reiterado, una cuestión ajena a lo jurídico.</w:t>
      </w:r>
    </w:p>
    <w:p w14:paraId="6C34BAB9" w14:textId="77777777" w:rsidR="00A8138F" w:rsidRDefault="00A8138F" w:rsidP="00A8138F">
      <w:pPr>
        <w:pStyle w:val="TextoNormal"/>
      </w:pPr>
    </w:p>
    <w:p w14:paraId="3F529161" w14:textId="77777777" w:rsidR="00A8138F" w:rsidRDefault="00A8138F" w:rsidP="00A8138F">
      <w:pPr>
        <w:pStyle w:val="TextoNormal"/>
      </w:pPr>
      <w:r>
        <w:t>Ahora bien, el rechazo de las alegaciones de los recurrentes en relación con la ausencia de causa legítima de la Ley de amnistía no excluye que el Tribunal tenga que verificar si esta decisión responde a la concurrencia de circunstancias excepcionales que el ordenamiento jurídico no puede resolver con los instrumentos ordinarios.</w:t>
      </w:r>
    </w:p>
    <w:p w14:paraId="61B7F3E0" w14:textId="77777777" w:rsidR="00A8138F" w:rsidRDefault="00A8138F" w:rsidP="00A8138F">
      <w:pPr>
        <w:pStyle w:val="TextoNormal"/>
      </w:pPr>
    </w:p>
    <w:p w14:paraId="006E734C" w14:textId="77777777" w:rsidR="00A8138F" w:rsidRDefault="00A8138F" w:rsidP="00A8138F">
      <w:pPr>
        <w:pStyle w:val="TextoNormal"/>
      </w:pPr>
      <w:r>
        <w:t>En el apartado II del preámbulo, la Ley de amnistía anuncia la aplicación de la amnistía a los hechos enmarcados en el denominado proceso independentista, impulsado por las fuerzas políticas al frente de las instituciones de la Generalitat de Cataluña. Son los hechos que están, obviamente, en el origen de esta ley.</w:t>
      </w:r>
    </w:p>
    <w:p w14:paraId="3718A9CD" w14:textId="77777777" w:rsidR="00A8138F" w:rsidRDefault="00A8138F" w:rsidP="00A8138F">
      <w:pPr>
        <w:pStyle w:val="TextoNormal"/>
      </w:pPr>
    </w:p>
    <w:p w14:paraId="1DD7AF4C" w14:textId="77777777" w:rsidR="00A8138F" w:rsidRDefault="00A8138F" w:rsidP="00A8138F">
      <w:pPr>
        <w:pStyle w:val="TextoNormal"/>
      </w:pPr>
      <w:r>
        <w:t>La situación excepcional a la que atiende la ley orgánica es la escalada del proceso secesionista catalán “impulsado [dice el preámbulo de la ley] por las fuerzas políticas al frente de las instituciones de la Generalitat de Catalunya (President, Parlament y Govern) [hechos] apoyados por parte de la sociedad civil, así como [por] los representantes políticos al frente de un buen número de los ayuntamientos de Catalunya [que] desembocaron en una serie de movilizaciones intensas y sostenidas en el tiempo, así como en mayorías parlamentarias independentistas”. La celebración del segundo “referéndum” en octubre de 2017 y la declaración de independencia de Cataluña provocaron —por primera vez durante la vigencia de la Constitución— la aplicación de las medidas previstas en el art. 155 CE (aprobadas por acuerdo del Pleno del Senado de 27 de octubre de 2017) y la intervención por el Estado de las funciones de gobierno de la Comunidad. Una medida que hasta aquel momento se había considerado como excepcional y extrema para protección del Estado ante el fracaso de los mecanismos constitucionales ordinarios de control de la acción de una comunidad autónoma, cuando “atente gravemente al interés general de España”. El Senado constató en dicha resolución “[l]a extraordinaria gravedad en el incumplimiento de las obligaciones constitucionales y la realización de actuaciones gravemente contrarias al interés general por parte de las instituciones de la Generalitat de Cataluña”.</w:t>
      </w:r>
    </w:p>
    <w:p w14:paraId="4449C2B2" w14:textId="77777777" w:rsidR="00A8138F" w:rsidRDefault="00A8138F" w:rsidP="00A8138F">
      <w:pPr>
        <w:pStyle w:val="TextoNormal"/>
      </w:pPr>
    </w:p>
    <w:p w14:paraId="68DABFCC" w14:textId="77777777" w:rsidR="00A8138F" w:rsidRDefault="00A8138F" w:rsidP="00A8138F">
      <w:pPr>
        <w:pStyle w:val="TextoNormal"/>
      </w:pPr>
      <w:r>
        <w:t>Los hechos vividos en ese periodo constituyen un supuesto paradigmático de lo que significa una crisis político constitucional, en la medida en que se cuestionaba la supremacía de la Constitución y la unidad del Estado, además de la integridad del sujeto político de la soberanía, el pueblo español, la forma de Estado y de gobierno. El Tribunal Constitucional, a instancias del presidente del Gobierno de la Nación, debió intervenir en defensa de la Constitución para suspender y anular actos y leyes de la Comunidad Autónoma de Cataluña. A tales fines, por Ley Orgánica 15/2015, de 16 de octubre, para la ejecución de las resoluciones del Tribunal Constitucional como garantía del Estado de Derecho, se atribuyeron al Tribunal potestades ejecutivas para garantizar el cumplimiento de sus resoluciones por autoridades e instituciones autonómicas frente, decía el preámbulo de la ley, “a las nuevas situaciones que pretenden evitar o soslayar tal efectividad”.</w:t>
      </w:r>
    </w:p>
    <w:p w14:paraId="420EB5C2" w14:textId="77777777" w:rsidR="00A8138F" w:rsidRDefault="00A8138F" w:rsidP="00A8138F">
      <w:pPr>
        <w:pStyle w:val="TextoNormal"/>
      </w:pPr>
    </w:p>
    <w:p w14:paraId="54A0F9A6" w14:textId="77777777" w:rsidR="00A8138F" w:rsidRDefault="00A8138F" w:rsidP="00A8138F">
      <w:pPr>
        <w:pStyle w:val="TextoNormal"/>
      </w:pPr>
      <w:r>
        <w:t>Asimismo, estos hechos dieron lugar a la apertura de procesos penales y sancionadores para exigir responsabilidades de quienes cometieron hechos ilícitos, algunos de ellos aún en trámite y pendientes de decisión por las autoridades competentes. Por lo demás, esta crisis constitucional generó una profunda fractura social en Cataluña, afectando gravemente la convivencia ciudadana, dando lugar a antagonismos extremos, dividiendo a la sociedad y erosionando, en suma, el tejido social y la estabilidad política en Cataluña y en el resto de España.</w:t>
      </w:r>
    </w:p>
    <w:p w14:paraId="22A9CF78" w14:textId="77777777" w:rsidR="00A8138F" w:rsidRDefault="00A8138F" w:rsidP="00A8138F">
      <w:pPr>
        <w:pStyle w:val="TextoNormal"/>
      </w:pPr>
    </w:p>
    <w:p w14:paraId="1DF51545" w14:textId="0BEDA057" w:rsidR="00A8138F" w:rsidRDefault="00A8138F" w:rsidP="00A8138F">
      <w:pPr>
        <w:pStyle w:val="TextoNormal"/>
      </w:pPr>
      <w:r>
        <w:t>Lo hasta aquí descrito ha de ser, inevitablemente, una de las claves de nuestro enjuiciamiento. El contexto y la evolución a través del tiempo son cruciales para una comprensión completa y profunda de todo acto, en aras de no interpretar algo de forma incompleta, superficial o incluso errónea.</w:t>
      </w:r>
    </w:p>
    <w:p w14:paraId="732A14CA" w14:textId="77777777" w:rsidR="00A8138F" w:rsidRDefault="00A8138F" w:rsidP="00A8138F">
      <w:pPr>
        <w:pStyle w:val="TextoNormal"/>
      </w:pPr>
    </w:p>
    <w:p w14:paraId="18A023E7" w14:textId="77777777" w:rsidR="00A8138F" w:rsidRDefault="00A8138F" w:rsidP="00A8138F">
      <w:pPr>
        <w:pStyle w:val="TextoNormal"/>
      </w:pPr>
      <w:r w:rsidRPr="00A8138F">
        <w:rPr>
          <w:rStyle w:val="NumeroAFNegritaCaracter"/>
        </w:rPr>
        <w:t>7</w:t>
      </w:r>
      <w:r>
        <w:t xml:space="preserve">. </w:t>
      </w:r>
      <w:r w:rsidRPr="00A8138F">
        <w:rPr>
          <w:i/>
        </w:rPr>
        <w:t>La alegada inconstitucionalidad de la Ley de amnistía por constituir una arbitrariedad (art. 9.3 CE)</w:t>
      </w:r>
    </w:p>
    <w:p w14:paraId="310C9806" w14:textId="77777777" w:rsidR="00A8138F" w:rsidRDefault="00A8138F" w:rsidP="00A8138F">
      <w:pPr>
        <w:pStyle w:val="TextoNormal"/>
      </w:pPr>
    </w:p>
    <w:p w14:paraId="2F85568D" w14:textId="77777777" w:rsidR="00A8138F" w:rsidRDefault="00A8138F" w:rsidP="00A8138F">
      <w:pPr>
        <w:pStyle w:val="TextoNormal"/>
      </w:pPr>
      <w:r>
        <w:t xml:space="preserve">7.1. </w:t>
      </w:r>
      <w:r w:rsidRPr="00A8138F">
        <w:rPr>
          <w:i/>
        </w:rPr>
        <w:t>Exposición del motivo y alegaciones de las partes</w:t>
      </w:r>
    </w:p>
    <w:p w14:paraId="6AE95737" w14:textId="77777777" w:rsidR="00A8138F" w:rsidRDefault="00A8138F" w:rsidP="00A8138F">
      <w:pPr>
        <w:pStyle w:val="TextoNormal"/>
      </w:pPr>
    </w:p>
    <w:p w14:paraId="305BAB5D" w14:textId="77777777" w:rsidR="00A8138F" w:rsidRDefault="00A8138F" w:rsidP="00A8138F">
      <w:pPr>
        <w:pStyle w:val="TextoNormal"/>
      </w:pPr>
      <w:r>
        <w:t>En la demanda existe un bloque de motivos de inconstitucionalidad por los que se achaca a la Ley de amnistía, de forma muchas veces entrelazada, ser desproporcionada y arbitraria, por lo que vulneraría los arts. 9.3 y 14 CE. Esta interrelación argumental no impide un análisis separado de las dos tachas concernidas, que este tribunal acometerá de forma sucesiva, ocupándose en este fundamento jurídico de la alegación referida a que incurre en arbitrariedad.</w:t>
      </w:r>
    </w:p>
    <w:p w14:paraId="28CB69D7" w14:textId="77777777" w:rsidR="00A8138F" w:rsidRDefault="00A8138F" w:rsidP="00A8138F">
      <w:pPr>
        <w:pStyle w:val="TextoNormal"/>
      </w:pPr>
    </w:p>
    <w:p w14:paraId="1D9FF0EE" w14:textId="77777777" w:rsidR="00A8138F" w:rsidRDefault="00A8138F" w:rsidP="00A8138F">
      <w:pPr>
        <w:pStyle w:val="TextoNormal"/>
      </w:pPr>
      <w:r>
        <w:t>Para fundamentar la censura sobre la arbitrariedad del legislador el recurso dedica una amplia extensión –remitiéndose también a otros pasajes de la demanda— al argumento de que “esta amnistía es una pura transacción política”, describiendo insistentemente las circunstancias en que fue aprobada y el interés, no general sino particular, de determinados grupos parlamentarios, a que a su juicio responde. De ello concluyen que esta amnistía carece de explicación racional que la conecte con el interés público.</w:t>
      </w:r>
    </w:p>
    <w:p w14:paraId="1000A59D" w14:textId="77777777" w:rsidR="00A8138F" w:rsidRDefault="00A8138F" w:rsidP="00A8138F">
      <w:pPr>
        <w:pStyle w:val="TextoNormal"/>
      </w:pPr>
    </w:p>
    <w:p w14:paraId="0569DFF3" w14:textId="77777777" w:rsidR="00A8138F" w:rsidRDefault="00A8138F" w:rsidP="00A8138F">
      <w:pPr>
        <w:pStyle w:val="TextoNormal"/>
      </w:pPr>
      <w:r>
        <w:t xml:space="preserve">Afirman asimismo los recurrentes que, en este caso, es necesario atender a la “realidad”, más allá de “la retórica del preámbulo” de la Ley de amnistía, y aplicar un canon más incisivo —lo que llevaría a su inconstitucionalidad— porque la notoria finalidad de la Ley es absolutamente inadecuada para justificar la medida. Citan en su apoyo el párrafo 29 de la sentencia del Tribunal Europeo de Derechos Humanos de 20 de marzo de 2009, asunto </w:t>
      </w:r>
      <w:r w:rsidRPr="00A8138F">
        <w:rPr>
          <w:i/>
        </w:rPr>
        <w:t>Gorou c. Grecia</w:t>
      </w:r>
      <w:r>
        <w:t xml:space="preserve">, —núm. 2—, y también el párrafo 59 de la sentencia del Tribunal de Justicia de la Unión Europea de 11 de mayo de 2023, asunto C-817/21, </w:t>
      </w:r>
      <w:r w:rsidRPr="00A8138F">
        <w:rPr>
          <w:i/>
        </w:rPr>
        <w:t>Inspecţia Judiciară</w:t>
      </w:r>
      <w:r>
        <w:t>, que avalarían en su opinión “mirar más allá de las apariencias y de las palabras usadas por la norma y concentrarse en la realidad” y tomar en consideración no solo la normativa, sino también “el contexto jurídico-fáctico nacional”.</w:t>
      </w:r>
    </w:p>
    <w:p w14:paraId="10D320A2" w14:textId="77777777" w:rsidR="00A8138F" w:rsidRDefault="00A8138F" w:rsidP="00A8138F">
      <w:pPr>
        <w:pStyle w:val="TextoNormal"/>
      </w:pPr>
    </w:p>
    <w:p w14:paraId="049943D1" w14:textId="77777777" w:rsidR="00A8138F" w:rsidRDefault="00A8138F" w:rsidP="00A8138F">
      <w:pPr>
        <w:pStyle w:val="TextoNormal"/>
      </w:pPr>
      <w:r>
        <w:t>El Senado encabeza parte de sus alegaciones también sosteniendo que la amnistía infringe la interdicción de la arbitrariedad, pero vincula esta directamente a la vulneración del art. 14 CE. En relación con la arbitrariedad del legislador, se limita a citar y transcribir parcialmente las SSTC 203/2013, de 5 de diciembre, y 122/2016, de 23 de junio, y, en particular, un pasaje de esta última que hace referencia al contexto en que se dictaba en aquel caso el precepto cuestionado (FJ 5).</w:t>
      </w:r>
    </w:p>
    <w:p w14:paraId="4450F9D2" w14:textId="77777777" w:rsidR="00A8138F" w:rsidRDefault="00A8138F" w:rsidP="00A8138F">
      <w:pPr>
        <w:pStyle w:val="TextoNormal"/>
      </w:pPr>
    </w:p>
    <w:p w14:paraId="1805F54B" w14:textId="77777777" w:rsidR="00A8138F" w:rsidRDefault="00A8138F" w:rsidP="00A8138F">
      <w:pPr>
        <w:pStyle w:val="TextoNormal"/>
      </w:pPr>
      <w:r>
        <w:t>El abogado del Estado, por su parte, también recuerda la doctrina constitucional y los pronunciamientos de la Comisión de Venecia para descartar la arbitrariedad del legislador. Esta requeriría, sostiene en sus alegaciones, un razonamiento mucho más detallado y convincente, que vaya más allá de la discrepancia política, ya que la Ley de amnistía ofrece una explicación racional de las medidas adoptadas.</w:t>
      </w:r>
    </w:p>
    <w:p w14:paraId="100E809A" w14:textId="77777777" w:rsidR="00A8138F" w:rsidRDefault="00A8138F" w:rsidP="00A8138F">
      <w:pPr>
        <w:pStyle w:val="TextoNormal"/>
      </w:pPr>
    </w:p>
    <w:p w14:paraId="1A48E0B7" w14:textId="77777777" w:rsidR="00A8138F" w:rsidRDefault="00A8138F" w:rsidP="00A8138F">
      <w:pPr>
        <w:pStyle w:val="TextoNormal"/>
      </w:pPr>
      <w:r>
        <w:t xml:space="preserve">7.2. </w:t>
      </w:r>
      <w:r w:rsidRPr="00A8138F">
        <w:rPr>
          <w:i/>
        </w:rPr>
        <w:t>Doctrina constitucional</w:t>
      </w:r>
    </w:p>
    <w:p w14:paraId="7E97A46E" w14:textId="77777777" w:rsidR="00A8138F" w:rsidRDefault="00A8138F" w:rsidP="00A8138F">
      <w:pPr>
        <w:pStyle w:val="TextoNormal"/>
      </w:pPr>
    </w:p>
    <w:p w14:paraId="65309EC2" w14:textId="77777777" w:rsidR="00A8138F" w:rsidRDefault="00A8138F" w:rsidP="00A8138F">
      <w:pPr>
        <w:pStyle w:val="TextoNormal"/>
      </w:pPr>
      <w:r>
        <w:t>Este tribunal ha exigido, generalmente, dos condiciones para que prospere un reproche de arbitrariedad (art. 9.3 CE) dirigido al legislador: por un lado, que quien formule esa censura la razone en detalle, ofreciendo una justificación en principio convincente para destruir la presunción de constitucionalidad de la ley impugnada; y, por otro, desde un punto de vista material, que la arbitrariedad denunciada sea el resultado: (i) bien de una discriminación normativa; (ii) bien de la carencia absoluta de explicación racional de la medida adoptada, sin que sea pertinente realizar un análisis a fondo de todas las motivaciones posibles de la norma y de todas sus eventuales consecuencias (entre otras, SSTC 233/1999, de 16 de diciembre, FJ 11; 73/2000, de 14 de marzo, FJ 4; 96/2002, de 25 de abril, FJ 6; 215/2014, de 18 de diciembre, FJ 4; 118/2016, de 23 de junio, FJ 4, y 51/2018, de 10 de mayo, FJ 7).</w:t>
      </w:r>
    </w:p>
    <w:p w14:paraId="71E1FD66" w14:textId="77777777" w:rsidR="00A8138F" w:rsidRDefault="00A8138F" w:rsidP="00A8138F">
      <w:pPr>
        <w:pStyle w:val="TextoNormal"/>
      </w:pPr>
    </w:p>
    <w:p w14:paraId="366CE95B" w14:textId="77777777" w:rsidR="00A8138F" w:rsidRDefault="00A8138F" w:rsidP="00A8138F">
      <w:pPr>
        <w:pStyle w:val="TextoNormal"/>
      </w:pPr>
      <w:r>
        <w:t>El método de enjuiciamiento que los recurrentes reclaman para determinar la ausencia de explicación racional de la Ley de amnistía presenta, sin embargo, peculiaridades evidentes. Se insta a este tribunal a proceder a una suerte de levantamiento del velo, con consiguiente descubrimiento y censura del “fin oculto” que, en realidad, habría perseguido el legislador al aprobar la ley. La Ley respondería exclusivamente, según se alega, a una razón manifiestamente inidónea para cubrir las exigencias del art. 9.3 CE, pues estaríamos ante el mero pago de una transacción política, ajeno a cualquier fin de interés general y exclusivamente tendente a facilitar la investidura del candidato a la Presidencia del Gobierno. No habría, por tanto, ningún motivo legítimo que justificase la norma, que sería, por ello, arbitraria en cuanto meramente expresiva del interés particular de una facción política de alcanzar, pagando el precio correspondiente, el ejercicio del poder.</w:t>
      </w:r>
    </w:p>
    <w:p w14:paraId="5D4B1FE3" w14:textId="77777777" w:rsidR="00A8138F" w:rsidRDefault="00A8138F" w:rsidP="00A8138F">
      <w:pPr>
        <w:pStyle w:val="TextoNormal"/>
      </w:pPr>
    </w:p>
    <w:p w14:paraId="09ADBE8E" w14:textId="77777777" w:rsidR="00A8138F" w:rsidRDefault="00A8138F" w:rsidP="00A8138F">
      <w:pPr>
        <w:pStyle w:val="TextoNormal"/>
      </w:pPr>
      <w:r>
        <w:t>A la vista de este planteamiento, este tribunal considera imprescindible realizar unas consideraciones doctrinales previas, que han de servir como presupuesto de su posterior enjuiciamiento del motivo de inconstitucionalidad planteado:</w:t>
      </w:r>
    </w:p>
    <w:p w14:paraId="2430FF47" w14:textId="77777777" w:rsidR="00A8138F" w:rsidRDefault="00A8138F" w:rsidP="00A8138F">
      <w:pPr>
        <w:pStyle w:val="TextoNormal"/>
      </w:pPr>
    </w:p>
    <w:p w14:paraId="5F9F3C23" w14:textId="77777777" w:rsidR="00A8138F" w:rsidRDefault="00A8138F" w:rsidP="00A8138F">
      <w:pPr>
        <w:pStyle w:val="TextoNormal"/>
      </w:pPr>
      <w:r>
        <w:t>a) Este tribunal no desconoce, en primer lugar, las particulares circunstancias en las que fue aprobada la Ley de amnistía, así como la vinculación expresa que ha existido entre la aprobación de esa ley y la investidura de un candidato a la Presidencia del Gobierno. En este sentido, es claro que toda ley constituye, a la postre, el resultado de una serie de pactos que pueden responder a fines mediatos e inmediatos que pertenecen al ámbito de la negociación y transacción política. Este tribunal ni avala ni censura ese proceder, pues no es su cometido institucional. Su misión es analizar la ley impugnada y, en función del contenido de esta, determinar si existe un fin constitucional legítimo y, en lo que a la arbitrariedad interesa, una razón justificativa de interés general (art. 9.3 CE).</w:t>
      </w:r>
    </w:p>
    <w:p w14:paraId="0AF82656" w14:textId="77777777" w:rsidR="00A8138F" w:rsidRDefault="00A8138F" w:rsidP="00A8138F">
      <w:pPr>
        <w:pStyle w:val="TextoNormal"/>
      </w:pPr>
    </w:p>
    <w:p w14:paraId="047853C2" w14:textId="77777777" w:rsidR="00A8138F" w:rsidRDefault="00A8138F" w:rsidP="00A8138F">
      <w:pPr>
        <w:pStyle w:val="TextoNormal"/>
      </w:pPr>
      <w:r>
        <w:t>Por ello, la vinculación de la aprobación de la Ley de amnistía a una determinada transacción política entre partidos —entendida como única causa explicativa del acto del legislador— solo puede trascender al ámbito del enjuiciamiento de la constitucionalidad de la ley a través del análisis del propio texto legal aprobado por las Cortes Generales. Dicho de otro modo: si la Ley de amnistía responde exclusivamente a un interés particular inidóneo para justificar, desde la óptica del art. 9.3 CE, el ejercicio legítimo de la potestad legislativa es algo que este tribunal solo puede determinar ejerciendo escrupulosamente su jurisdicción, a través del examen jurídico del texto normativo que es objeto de enjuiciamiento.</w:t>
      </w:r>
    </w:p>
    <w:p w14:paraId="7275D1A3" w14:textId="77777777" w:rsidR="00A8138F" w:rsidRDefault="00A8138F" w:rsidP="00A8138F">
      <w:pPr>
        <w:pStyle w:val="TextoNormal"/>
      </w:pPr>
    </w:p>
    <w:p w14:paraId="2C3B4B6A" w14:textId="77777777" w:rsidR="00A8138F" w:rsidRDefault="00A8138F" w:rsidP="00A8138F">
      <w:pPr>
        <w:pStyle w:val="TextoNormal"/>
      </w:pPr>
      <w:r>
        <w:t>Lo constitucionalmente relevante desde la óptica del art. 9.3 CE es, en definitiva, la carencia de una explicación racional; y esta podrá deducirse, como viene señalando este tribunal, del preámbulo, del articulado o, en su caso, de los trabajos parlamentarios que han dado lugar al precepto impugnado. Son esos elementos los que sirven de base objetiva para que la jurisdicción constitucional determine si el legislador incurre en arbitrariedad, apreciando, en consecuencia, la carencia “de toda explicación racional” (STC 108/1986, de 29 de julio, FJ 18) a partir de las razones, explícitas o no, que justifican la regulación enjuiciada (por todas, STC 181/2000, de 29 de junio, FJ 13).</w:t>
      </w:r>
    </w:p>
    <w:p w14:paraId="2D28E4F9" w14:textId="77777777" w:rsidR="00A8138F" w:rsidRDefault="00A8138F" w:rsidP="00A8138F">
      <w:pPr>
        <w:pStyle w:val="TextoNormal"/>
      </w:pPr>
    </w:p>
    <w:p w14:paraId="1FF468E9" w14:textId="77777777" w:rsidR="00A8138F" w:rsidRDefault="00A8138F" w:rsidP="00A8138F">
      <w:pPr>
        <w:pStyle w:val="TextoNormal"/>
      </w:pPr>
      <w:r>
        <w:t>b) No cabe, en particular, esperar de este tribunal un ejercicio de realismo político a partir de una suerte de “levantamiento del velo” para indagar y valorar hechos políticos subyacentes que explicarían, en última instancia, las intenciones de los parlamentarios que han votado a favor de la ley que ha sido impugnada. La voluntad del legislador no puede confundirse con la de cada parlamentario que concurre, con su voto, a la formación de la voluntad de la Cámara. Este tribunal juzga la ley y al contenido de la ley se atiene.</w:t>
      </w:r>
    </w:p>
    <w:p w14:paraId="30ACD4D3" w14:textId="77777777" w:rsidR="00A8138F" w:rsidRDefault="00A8138F" w:rsidP="00A8138F">
      <w:pPr>
        <w:pStyle w:val="TextoNormal"/>
      </w:pPr>
    </w:p>
    <w:p w14:paraId="4F37DD0C" w14:textId="77777777" w:rsidR="00A8138F" w:rsidRDefault="00A8138F" w:rsidP="00A8138F">
      <w:pPr>
        <w:pStyle w:val="TextoNormal"/>
      </w:pPr>
      <w:r>
        <w:t>Una cosa es, en definitiva, el fin de la ley y otra la intención última de sus autores. Si del análisis riguroso de la ley resulta la ausencia de otra finalidad que no fuere la pura transacción partidista, sin cobertura en el interés general, la ley será arbitraria. Pero el camino para llegar a esta conclusión no puede ser otro que el examen de la norma. La alternativa que se propone por el recurrente equivaldría a convertir el juicio de validez de la ley en un juicio de oportunidad o bondad política.</w:t>
      </w:r>
    </w:p>
    <w:p w14:paraId="6FCB4C4D" w14:textId="77777777" w:rsidR="00A8138F" w:rsidRDefault="00A8138F" w:rsidP="00A8138F">
      <w:pPr>
        <w:pStyle w:val="TextoNormal"/>
      </w:pPr>
    </w:p>
    <w:p w14:paraId="5B66F341" w14:textId="77777777" w:rsidR="00A8138F" w:rsidRDefault="00A8138F" w:rsidP="00A8138F">
      <w:pPr>
        <w:pStyle w:val="TextoNormal"/>
      </w:pPr>
      <w:r>
        <w:t>Según ha señalado este tribunal, decidir sobre la legitimidad constitucional de un texto legal no supone que “haya que enjuiciar los criterios de aplicación del Derecho. La función del recurso [de inconstitucionalidad] es más modesta pero más clara” (STC 11/1981, de 8 de abril, FJ 4) porque “el recurso se dirige al enjuiciamiento de textos legales y de fórmulas legislativas determinados” (STC 24/1982, de 13 de mayo, FJ 2). Y es que “en el recurso de inconstitucionalidad, por tanto, el Tribunal garantiza la primacía de la Constitución y, a tal efecto, enjuicia la conformidad con la misma de la ley, disposición o acto impugnado. Esta es la primera observación que debemos efectuar. Nuestro juicio se ha de circunscribir a determinar la conformidad con la Constitución de la ley impugnada. No es, por tanto, un juicio de valor acerca de si la regulación adoptada es o no la más oportuna, porque este es el campo de actuación en que han de moverse las distintas opciones políticas, dentro del marco de la Constitución, como corresponde al pluralismo político que propugna su art. 1 como uno de los valores superiores del ordenamiento. No se puede pretender, pues, ni se puede esperar del Tribunal Constitucional, un tipo de actuación de alcance diverso al que ha quedado precisado por su Ley Orgánica” (STC 86/1982, de 23 de diciembre, FJ 1).</w:t>
      </w:r>
    </w:p>
    <w:p w14:paraId="63992487" w14:textId="77777777" w:rsidR="00A8138F" w:rsidRDefault="00A8138F" w:rsidP="00A8138F">
      <w:pPr>
        <w:pStyle w:val="TextoNormal"/>
      </w:pPr>
    </w:p>
    <w:p w14:paraId="6A7F65B6" w14:textId="77777777" w:rsidR="00A8138F" w:rsidRDefault="00A8138F" w:rsidP="00A8138F">
      <w:pPr>
        <w:pStyle w:val="TextoNormal"/>
      </w:pPr>
      <w:r>
        <w:t>No es, de hecho, la primera vez que ante este tribunal se plantea una alegación por falta de adecuación constitucional de la finalidad de una ley a partir de manifestaciones hechas, por ejemplo, en el curso de los debates parlamentarios (así la STC 66/1985, de 23 de mayo, FJ 1), o en otro tipo de declaraciones (STC 128/2016, de 7 de julio, FJ 5), ofreciendo la demanda una explicación contextual que no se desprende de la exposición de motivos (STC 122/2016, de 23 de junio, FJ 5), acusando a esta de responder a propósitos larvados (STC 197/2014, de 4 de diciembre, FJ 1), de no ser sincera y obedecer a intencionalidades partidistas [STC 15/2015, de 5 de febrero, FJ 2 b)] o incluso sosteniendo que el ejercicio de la iniciativa legislativa se ha hecho en fraude de ley (STC 128/2023, de 2 de octubre, FJ 3). Pero el Tribunal siempre ha descartado esos argumentos y rechazado entrar en el mérito de los juicios políticos, intenciones y estrategias (por todas, STC 77/2017, de 21 de junio, FJ 4). No se ignora el contexto jurídico-político, pero se atiende solo al enunciado y contenido de las disposiciones impugnadas (STC 90/2017, de 5 de julio, FJ 2). Ello dado que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(STC 49/2008, de 9 de abril, FJ 4).</w:t>
      </w:r>
    </w:p>
    <w:p w14:paraId="76491DE7" w14:textId="77777777" w:rsidR="00A8138F" w:rsidRDefault="00A8138F" w:rsidP="00A8138F">
      <w:pPr>
        <w:pStyle w:val="TextoNormal"/>
      </w:pPr>
    </w:p>
    <w:p w14:paraId="19558E07" w14:textId="77777777" w:rsidR="00A8138F" w:rsidRDefault="00A8138F" w:rsidP="00A8138F">
      <w:pPr>
        <w:pStyle w:val="TextoNormal"/>
      </w:pPr>
      <w:r>
        <w:t>En definitiva, el Tribunal no puede, tan siquiera, “introducir en nuestro enjuiciamiento, las intenciones o propósitos con los que se afirme se han aprobado y dictado las leyes, siendo la constitucionalidad o su contrario algo predicable de enunciados jurídico-positivos, solo de ellos”; ello porque “este Tribunal Constitucional analiza, en los distintos procesos de los que conoce y según su respectivo objeto, la constitucionalidad de normas y de actos jurídicos. No juzga, en otras palabras, las hipotéticas o presuntas ‘intenciones’ con las que disposiciones o actos jurídicos hayan sido adoptados, sino la constitucionalidad o inconstitucionalidad de las determinaciones del poder público que puedan ser, según la Constitución y la Ley Orgánica del Tribunal Constitucional, sometidas a su examen” (STC 197/2014, FJ 1). En esa misma sentencia, el Tribunal también recordó que aquella no era la primera ocasión en que lo anterior se había de poner de relieve (por todas, SSTC 88/1987, de 2 de junio, FJ 2; 49/2008, de 9 de abril, FJ 4, y 19/2011, de 3 de marzo, FJ 12), pero que era necesario reiterarlo ante las profusas referencias o alusiones que el recurso hace a lo que llama “motivo oculto” o “verdadera finalidad” (frente a la proclamada por su preámbulo) de la ley orgánica que entonces se enjuiciaba.</w:t>
      </w:r>
    </w:p>
    <w:p w14:paraId="7D1B269E" w14:textId="77777777" w:rsidR="00A8138F" w:rsidRDefault="00A8138F" w:rsidP="00A8138F">
      <w:pPr>
        <w:pStyle w:val="TextoNormal"/>
      </w:pPr>
    </w:p>
    <w:p w14:paraId="29E6D681" w14:textId="77777777" w:rsidR="00A8138F" w:rsidRDefault="00A8138F" w:rsidP="00A8138F">
      <w:pPr>
        <w:pStyle w:val="TextoNormal"/>
      </w:pPr>
      <w:r>
        <w:t>c) Todo lo anterior no significa, sin embargo, que haya de validarse sin más toda explicación expresa aportada por el legislador. Lo importante, cabe insistir en ello, es el análisis jurídico de la ley impugnada. Si el legislador pretende alcanzar, con ella, una finalidad espuria es, en definitiva, algo que este tribunal solo puede determinar legítimamente analizando el objeto normativo sobre el que versa su enjuiciamiento, y no a través de un juicio de intenciones políticas.</w:t>
      </w:r>
    </w:p>
    <w:p w14:paraId="36AC80CD" w14:textId="77777777" w:rsidR="00A8138F" w:rsidRDefault="00A8138F" w:rsidP="00A8138F">
      <w:pPr>
        <w:pStyle w:val="TextoNormal"/>
      </w:pPr>
    </w:p>
    <w:p w14:paraId="35E322C4" w14:textId="77777777" w:rsidR="00A8138F" w:rsidRDefault="00A8138F" w:rsidP="00A8138F">
      <w:pPr>
        <w:pStyle w:val="TextoNormal"/>
      </w:pPr>
      <w:r>
        <w:t>7.3</w:t>
      </w:r>
      <w:r w:rsidRPr="00A8138F">
        <w:rPr>
          <w:i/>
        </w:rPr>
        <w:t>. Enjuiciamiento del moti</w:t>
      </w:r>
      <w:r>
        <w:t>vo</w:t>
      </w:r>
    </w:p>
    <w:p w14:paraId="1AB84544" w14:textId="77777777" w:rsidR="00A8138F" w:rsidRDefault="00A8138F" w:rsidP="00A8138F">
      <w:pPr>
        <w:pStyle w:val="TextoNormal"/>
      </w:pPr>
    </w:p>
    <w:p w14:paraId="73D3DFDB" w14:textId="77777777" w:rsidR="00A8138F" w:rsidRDefault="00A8138F" w:rsidP="00A8138F">
      <w:pPr>
        <w:pStyle w:val="TextoNormal"/>
      </w:pPr>
      <w:r>
        <w:t xml:space="preserve">7.3.1. </w:t>
      </w:r>
      <w:r w:rsidRPr="00A8138F">
        <w:rPr>
          <w:i/>
        </w:rPr>
        <w:t>El alcance constitucional de los pactos políticos tras la Ley de amnistía</w:t>
      </w:r>
    </w:p>
    <w:p w14:paraId="06000C85" w14:textId="77777777" w:rsidR="00A8138F" w:rsidRDefault="00A8138F" w:rsidP="00A8138F">
      <w:pPr>
        <w:pStyle w:val="TextoNormal"/>
      </w:pPr>
    </w:p>
    <w:p w14:paraId="74453D00" w14:textId="77777777" w:rsidR="00A8138F" w:rsidRDefault="00A8138F" w:rsidP="00A8138F">
      <w:pPr>
        <w:pStyle w:val="TextoNormal"/>
      </w:pPr>
      <w:r>
        <w:t>Como se ha señalado, los recurrentes exponen con reiteración que, más allá de las palabras de la Ley de amnistía, esta es fruto de la simple arbitrariedad en cuanto obedece a una pura transacción política, entre un candidato que necesita apoyos para la investidura y los líderes políticos que cometieron delitos y ahora obtienen el olvido.</w:t>
      </w:r>
    </w:p>
    <w:p w14:paraId="47EE84BE" w14:textId="77777777" w:rsidR="00A8138F" w:rsidRDefault="00A8138F" w:rsidP="00A8138F">
      <w:pPr>
        <w:pStyle w:val="TextoNormal"/>
      </w:pPr>
    </w:p>
    <w:p w14:paraId="5640DBC2" w14:textId="77777777" w:rsidR="00A8138F" w:rsidRDefault="00A8138F" w:rsidP="00A8138F">
      <w:pPr>
        <w:pStyle w:val="TextoNormal"/>
      </w:pPr>
      <w:r>
        <w:t>La aplicación de la doctrina antes referida, y en particular la STC 197/2014, FJ 1, hace que tal alegación no pueda prosperar; y ello “sin que sea pertinente un análisis a fondo de todas las motivaciones posibles de la norma y de todas sus eventuales consecuencias” (SSTC 65/1990, de 5 de abril, FJ 6; 142/1993, de 22 de abril, FJ 9; 212/1996, de 19 de diciembre, FJ 16; 116/1999, de 17 de junio, FJ 16; 104/2000, de 13 de abril, FJ 8; 96/2002, de 25 de abril, FJ 6, o 242/2004, de 16 de diciembre, FJ 7, entre otras muchas).</w:t>
      </w:r>
    </w:p>
    <w:p w14:paraId="34B124AC" w14:textId="77777777" w:rsidR="00A8138F" w:rsidRDefault="00A8138F" w:rsidP="00A8138F">
      <w:pPr>
        <w:pStyle w:val="TextoNormal"/>
      </w:pPr>
    </w:p>
    <w:p w14:paraId="00406E5E" w14:textId="77777777" w:rsidR="00A8138F" w:rsidRDefault="00A8138F" w:rsidP="00A8138F">
      <w:pPr>
        <w:pStyle w:val="TextoNormal"/>
      </w:pPr>
      <w:r>
        <w:t xml:space="preserve">Y es que los recurrentes aluden a lo que la abogacía del Estado considera en sus alegaciones “cuestiones extrajurídicas”, lo que, según reiterada doctrina de este tribunal, impide que el motivo pueda, en este concreto punto, prosperar, dado que la indagación y valoración de los hechos políticos subyacentes que pudieran explicar, en última instancia, las intenciones de los parlamentarios que han votado a favor de la ley que ha sido impugnada no constituyen objeto de nuestro control. Dicho de otra manera, el contexto en que se alumbra la voluntad del Legislativo, los motivos por los que los diferentes actores políticos y parlamentarios prestan su apoyo y, por tanto, los “juicio[s] de oportunidad política” quedan extramuros de nuestro control (STC 35/2017, de 1 de marzo, FJ 4) y deben descartarse </w:t>
      </w:r>
      <w:r w:rsidRPr="00A8138F">
        <w:rPr>
          <w:i/>
        </w:rPr>
        <w:t>ab initio</w:t>
      </w:r>
      <w:r>
        <w:t xml:space="preserve"> las alegaciones sobre la finalidad de la ley que se funden en esos argumentos [STC 139/2024, de 6 de noviembre, FJ 3 c)].</w:t>
      </w:r>
    </w:p>
    <w:p w14:paraId="453FBAC1" w14:textId="77777777" w:rsidR="00A8138F" w:rsidRDefault="00A8138F" w:rsidP="00A8138F">
      <w:pPr>
        <w:pStyle w:val="TextoNormal"/>
      </w:pPr>
    </w:p>
    <w:p w14:paraId="3ACF9DA9" w14:textId="77777777" w:rsidR="00A8138F" w:rsidRDefault="00A8138F" w:rsidP="00A8138F">
      <w:pPr>
        <w:pStyle w:val="TextoNormal"/>
      </w:pPr>
      <w:r>
        <w:t>Resulta así innecesario ahondar en el argumento de que la finalidad declarada de la norma resulta falaz y ello habría sido explícitamente admitido por sus impulsores y por los principales representantes de los grupos parlamentarios que la han apoyado, circunstancia a la que los recurrentes anudan la arbitrariedad de la norma por su notoriedad. Baste aquí recordar lo dicho en el fundamento jurídico 3.2.1 de esta misma resolución sobre el alcance del enjuiciamiento de la ley por parte de este tribunal; pues “[u]na cosa es el porqué de la ley, esto es, de las motivaciones, razones o transacciones políticas que llevaron a su aprobación, y otra muy distinta es lo que la norma es”. Igualmente lo expuesto en el fundamento jurídico 6.3 sobre la concurrencia en esta ley del presupuesto de excepcionalidad.</w:t>
      </w:r>
    </w:p>
    <w:p w14:paraId="3737885F" w14:textId="77777777" w:rsidR="00A8138F" w:rsidRDefault="00A8138F" w:rsidP="00A8138F">
      <w:pPr>
        <w:pStyle w:val="TextoNormal"/>
      </w:pPr>
    </w:p>
    <w:p w14:paraId="5754A452" w14:textId="77777777" w:rsidR="00A8138F" w:rsidRDefault="00A8138F" w:rsidP="00A8138F">
      <w:pPr>
        <w:pStyle w:val="TextoNormal"/>
      </w:pPr>
      <w:r>
        <w:t>Como también se ha señalado, la demanda se apoya, en segundo lugar, en dos pronunciamientos europeos. Más allá del hecho de que estos no pueden constituir canon autónomo de enjuiciamiento constitucional, resulta que las sentencias traídas a colación por los recurrentes nada tienen que ver con la cuestión de la arbitrariedad de las actuaciones del Poder Legislativo, ni tampoco pueden avalar su pretensión de levantar el velo de la “retórica” del preámbulo para atender a la “notoria” finalidad de la Ley de amnistía. La demanda afirma que en este sentido se habría pronunciado ya la jurisprudencia europea en las resoluciones que cita, pero para probarlo se limita a subrayar determinadas expresiones y extractar pasajes que se toman literalmente, pero confundiendo el sentido en que fueron empleados. Las sentencias referidas no dan lugar a las conclusiones que los recurrentes les atribuyen, pues en absoluto sostienen que haya de buscarse una suerte de “verdad oculta”.</w:t>
      </w:r>
    </w:p>
    <w:p w14:paraId="1BCA4D17" w14:textId="77777777" w:rsidR="00A8138F" w:rsidRDefault="00A8138F" w:rsidP="00A8138F">
      <w:pPr>
        <w:pStyle w:val="TextoNormal"/>
      </w:pPr>
    </w:p>
    <w:p w14:paraId="6E8FDB6E" w14:textId="77777777" w:rsidR="00A8138F" w:rsidRDefault="00A8138F" w:rsidP="00A8138F">
      <w:pPr>
        <w:pStyle w:val="TextoNormal"/>
      </w:pPr>
      <w:r>
        <w:t>Así, la STJUE (Sala Primera) de 11 mayo de 2023, asunto C-817/21, tiene por objeto una petición de decisión prejudicial planteada, con arreglo al artículo 267 TFUE, por el Tribunal Superior de Bucarest en el marco de un litigio en relación con decisiones administrativas de archivo de denuncias. La resolución se limita a indicar que “el órgano jurisdiccional remitente deberá apreciar la normativa controvertida en el litigio principal como tal y en su contexto jurídico-fáctico nacional” una vez que el Tribunal de Justicia, en el marco de la cooperación judicial establecida en dicho artículo 267 TFUE, le proporcione, a partir de los datos obrantes en los autos, los elementos de interpretación del Derecho de la Unión que pudieran serle útiles. Algo totalmente habitual, propio de la interrelación entre ordenamientos y el diferente plano de enjuiciamiento de los respectivos órganos jurisdiccionales, que nada tiene que ver con lo que se plantea en la Ley de amnistía.</w:t>
      </w:r>
    </w:p>
    <w:p w14:paraId="3D29838F" w14:textId="77777777" w:rsidR="00A8138F" w:rsidRDefault="00A8138F" w:rsidP="00A8138F">
      <w:pPr>
        <w:pStyle w:val="TextoNormal"/>
      </w:pPr>
    </w:p>
    <w:p w14:paraId="474B4012" w14:textId="77777777" w:rsidR="00A8138F" w:rsidRDefault="00A8138F" w:rsidP="00A8138F">
      <w:pPr>
        <w:pStyle w:val="TextoNormal"/>
      </w:pPr>
      <w:r>
        <w:t xml:space="preserve">En la STEDH (Gran Sala) de 20 de marzo de 2009, asunto </w:t>
      </w:r>
      <w:r w:rsidRPr="00A8138F">
        <w:rPr>
          <w:i/>
        </w:rPr>
        <w:t>Gorou c. Grecia</w:t>
      </w:r>
      <w:r>
        <w:t>, —núm. 2—, el pasaje indicado en la demanda (§ 29) hace referencia a la manera antiformalista en que debe entenderse la existencia de un “recurso” y de un juicio civil a los efectos del art. 6.1 del Convenio europeo de derechos humanos. Es en ese marco en el que se afirma que “el espíritu del Convenio requiere que el término no sea considerado en una acepción demasiado técnica, dándole en cambio una definición sustantiva más que formal […]. Es más, para apreciar si existe o no una disputa sobre un derecho de carácter civil, debe mirarse más allá de las apariencias y del vocabulario empleado y concentrarse en la realidad de la situación […] de acuerdo con las circunstancias de cada caso”. Es también evidente que este pronunciamiento de ninguna manera puede ser aplicable al caso que se está enjuiciando aquí.</w:t>
      </w:r>
    </w:p>
    <w:p w14:paraId="0706B51A" w14:textId="77777777" w:rsidR="00A8138F" w:rsidRDefault="00A8138F" w:rsidP="00A8138F">
      <w:pPr>
        <w:pStyle w:val="TextoNormal"/>
      </w:pPr>
    </w:p>
    <w:p w14:paraId="6E96F80D" w14:textId="77777777" w:rsidR="00A8138F" w:rsidRDefault="00A8138F" w:rsidP="00A8138F">
      <w:pPr>
        <w:pStyle w:val="TextoNormal"/>
      </w:pPr>
      <w:r>
        <w:t>Otro tanto puede decirse de la jurisprudencia constitucional que el Senado invoca en sus alegaciones, que en este punto cita dos sentencias, las cuales, nuevamente, carecen de relación con el supuesto que ahora es objeto de enjuiciamiento.</w:t>
      </w:r>
    </w:p>
    <w:p w14:paraId="79DD2FD3" w14:textId="77777777" w:rsidR="00A8138F" w:rsidRDefault="00A8138F" w:rsidP="00A8138F">
      <w:pPr>
        <w:pStyle w:val="TextoNormal"/>
      </w:pPr>
    </w:p>
    <w:p w14:paraId="0C5229FD" w14:textId="77777777" w:rsidR="00A8138F" w:rsidRDefault="00A8138F" w:rsidP="00A8138F">
      <w:pPr>
        <w:pStyle w:val="TextoNormal"/>
      </w:pPr>
      <w:r>
        <w:t>Se menciona, de un lado, la STC 203/2013. Ahora bien, en esta resolución se estimó la inconstitucionalidad de los preceptos que entonces se impugnaban no por arbitrariedad del legislador (FFJJ 6 y 7), sino por no satisfacer el canon de constitucionalidad propio de las leyes singulares —canon que esta sentencia ya ha descartado que sea aplicable al caso que ahora nos ocupa (FJ 5.2)— en concreto porque las medidas adoptadas no eran razonables ni proporcionadas en relación con la situación excepcional a la que se pretendía dar respuesta.</w:t>
      </w:r>
    </w:p>
    <w:p w14:paraId="69B3D73B" w14:textId="77777777" w:rsidR="00A8138F" w:rsidRDefault="00A8138F" w:rsidP="00A8138F">
      <w:pPr>
        <w:pStyle w:val="TextoNormal"/>
      </w:pPr>
    </w:p>
    <w:p w14:paraId="5CF26472" w14:textId="77777777" w:rsidR="00A8138F" w:rsidRDefault="00A8138F" w:rsidP="00A8138F">
      <w:pPr>
        <w:pStyle w:val="TextoNormal"/>
      </w:pPr>
      <w:r>
        <w:t>El Senado alega, asimismo, algunos pasajes de la STC 122/2016 que, ciertamente, aluden a la necesidad de valorar el contexto de aprobación de la ley entonces impugnada. Ha de subrayarse, sin embargo, que en dicha resolución la norma legal objeto de enjuiciamiento era una ley singular autoaplicativa y de destinatario único (FJ 4), pues resultaba exclusivamente aplicable a la extinción de la adjudicación de la explotación de un determinado puerto deportivo (Andratx). Se trataba, además, de un supuesto en el que la ley dejaba sin efecto un único procedimiento administrativo de concurso, que llevaba paralizado varios años pese a que existía un informe-propuesta de adjudicación a favor de uno de los licitadores, mientras que seguía prestando el servicio la antigua concesionaria —tercera en la propuesta de adjudicación—, siendo esta última la que, a la postre, sería la beneficiaria de la nueva concesión. Tal era el contexto en que no pudo encontrarse una justificación razonable a la norma, contenida en una “ley de acompañamiento” a la ley de presupuestos, descartando este tribunal que pudiera aceptarse la ofrecida por la abogada de la comunidad autónoma, porque no era convincente ni se desprendía de la exposición de motivos (FJ 5).</w:t>
      </w:r>
    </w:p>
    <w:p w14:paraId="756EAE6A" w14:textId="77777777" w:rsidR="00A8138F" w:rsidRDefault="00A8138F" w:rsidP="00A8138F">
      <w:pPr>
        <w:pStyle w:val="TextoNormal"/>
      </w:pPr>
    </w:p>
    <w:p w14:paraId="7827AB89" w14:textId="77777777" w:rsidR="00A8138F" w:rsidRDefault="00A8138F" w:rsidP="00A8138F">
      <w:pPr>
        <w:pStyle w:val="TextoNormal"/>
      </w:pPr>
      <w:r>
        <w:t>Se trata, en definitiva, de dos resoluciones que no contienen una doctrina que sea aplicable al presente caso.</w:t>
      </w:r>
    </w:p>
    <w:p w14:paraId="26B745A8" w14:textId="77777777" w:rsidR="00A8138F" w:rsidRDefault="00A8138F" w:rsidP="00A8138F">
      <w:pPr>
        <w:pStyle w:val="TextoNormal"/>
      </w:pPr>
    </w:p>
    <w:p w14:paraId="493AF3DF" w14:textId="77777777" w:rsidR="00A8138F" w:rsidRDefault="00A8138F" w:rsidP="00A8138F">
      <w:pPr>
        <w:pStyle w:val="TextoNormal"/>
      </w:pPr>
      <w:r>
        <w:t>7.3.2.</w:t>
      </w:r>
      <w:r w:rsidRPr="00A8138F">
        <w:rPr>
          <w:i/>
        </w:rPr>
        <w:t xml:space="preserve"> La explicación de las razones en que se funda la Ley de amnistí</w:t>
      </w:r>
      <w:r>
        <w:t>a</w:t>
      </w:r>
    </w:p>
    <w:p w14:paraId="2B877313" w14:textId="77777777" w:rsidR="00A8138F" w:rsidRDefault="00A8138F" w:rsidP="00A8138F">
      <w:pPr>
        <w:pStyle w:val="TextoNormal"/>
      </w:pPr>
    </w:p>
    <w:p w14:paraId="465B3A8C" w14:textId="77777777" w:rsidR="00A8138F" w:rsidRDefault="00A8138F" w:rsidP="00A8138F">
      <w:pPr>
        <w:pStyle w:val="TextoNormal"/>
      </w:pPr>
      <w:r>
        <w:t>La explicación racional que sustenta una ley de amnistía —que, como ya se ha señalado, puede inferirse válidamente del preámbulo, del articulado o, en su caso, de los trabajos parlamentarios— ha de resultar especialmente inteligible por razones de congruencia o coherencia interna del ordenamiento jurídico.</w:t>
      </w:r>
    </w:p>
    <w:p w14:paraId="5A2289C6" w14:textId="77777777" w:rsidR="00A8138F" w:rsidRDefault="00A8138F" w:rsidP="00A8138F">
      <w:pPr>
        <w:pStyle w:val="TextoNormal"/>
      </w:pPr>
    </w:p>
    <w:p w14:paraId="7C26E522" w14:textId="77777777" w:rsidR="00A8138F" w:rsidRDefault="00A8138F" w:rsidP="00A8138F">
      <w:pPr>
        <w:pStyle w:val="TextoNormal"/>
      </w:pPr>
      <w:r>
        <w:t>Las peculiaridades que la amnistía plantea pueden ser fácilmente advertidas si se compara el efecto extintivo de la responsabilidad criminal que produce una ley de amnistía con el efecto análogo que —de acuerdo con el art. 2.2 CP, relativo a la aplicación retroactiva de las normas penales favorables, en conexión con el art. 9.3 CE— genera una ley despenalizadora de un determinado delito.</w:t>
      </w:r>
    </w:p>
    <w:p w14:paraId="29AF4310" w14:textId="77777777" w:rsidR="00A8138F" w:rsidRDefault="00A8138F" w:rsidP="00A8138F">
      <w:pPr>
        <w:pStyle w:val="TextoNormal"/>
      </w:pPr>
    </w:p>
    <w:p w14:paraId="018D553A" w14:textId="77777777" w:rsidR="00A8138F" w:rsidRDefault="00A8138F" w:rsidP="00A8138F">
      <w:pPr>
        <w:pStyle w:val="TextoNormal"/>
      </w:pPr>
      <w:r>
        <w:t>Y es que, en línea con lo que se viene sosteniendo, la despenalización —con consiguiente aplicación retroactiva de la nueva ley penal, en cuanto más favorable al reo— produce, ciertamente, efectos análogos a los que genera una ley de amnistía; pues los delitos cometidos bajo la legislación precedente dejan de ser perseguidos y las penas impuestas bajo tal legislación dejan de ser ejecutadas. Ahora bien, una ley despenalizadora responde, por su propia naturaleza, a una nueva valoración general de la reprochabilidad penal de una determinada conducta. Como es propio de una innovación legislativa, la nueva valoración del legislador —expresada en la ley despenalizadora— se proyecta de manera inmediata sobre las conductas sucesivas. Los efectos adicionales que la despenalización despliega hacia el pasado se deben, por su parte, a razones de coherencia valorativa que presiden la regulación del art. 2.2 CP: puesto que la conducta ha dejado de suscitar reproche penal a la comunidad política se estima coherente que las personas que han cometido el delito bajo la vigencia de la legislación precedente —y que no han extinguido plenamente su responsabilidad criminal— se vean también beneficiadas. Se trata de mantener, en definitiva, la congruencia o autovinculación del ordenamiento jurídico, evitando que coexista la aplicación de dos normas penales que responden a valoraciones contradictorias sobre la reprochabilidad de un mismo comportamiento.</w:t>
      </w:r>
    </w:p>
    <w:p w14:paraId="1A3E349D" w14:textId="77777777" w:rsidR="00A8138F" w:rsidRDefault="00A8138F" w:rsidP="00A8138F">
      <w:pPr>
        <w:pStyle w:val="TextoNormal"/>
      </w:pPr>
    </w:p>
    <w:p w14:paraId="6BD9B737" w14:textId="77777777" w:rsidR="00A8138F" w:rsidRDefault="00A8138F" w:rsidP="00A8138F">
      <w:pPr>
        <w:pStyle w:val="TextoNormal"/>
      </w:pPr>
      <w:r>
        <w:t>En cambio, al aprobar una ley de amnistía, la comunidad política no altera la valoración negativa que le merece la conducta amnistiada —abstractamente considerada— ni modifica su juicio general de reproche penal. Estima, antes bien, que ese tipo de conducta debe seguir siendo castigada, pero pretende excluir la sanción penal en un determinado contexto que se considera excepcional.</w:t>
      </w:r>
    </w:p>
    <w:p w14:paraId="0B83F7D4" w14:textId="77777777" w:rsidR="00A8138F" w:rsidRDefault="00A8138F" w:rsidP="00A8138F">
      <w:pPr>
        <w:pStyle w:val="TextoNormal"/>
      </w:pPr>
    </w:p>
    <w:p w14:paraId="737BDCB9" w14:textId="77777777" w:rsidR="00A8138F" w:rsidRDefault="00A8138F" w:rsidP="00A8138F">
      <w:pPr>
        <w:pStyle w:val="TextoNormal"/>
      </w:pPr>
      <w:r>
        <w:t>De ahí que la concesión de una amnistía, desde la óptica de la autovinculación o congruencia del ordenamiento, requiera que las razones o circunstancias extraordinarias que llevan al legislador a apartarse de la valoración general —favorable a la punibilidad de la conducta— que sigue presidiendo el Código penal sean claramente inteligibles.</w:t>
      </w:r>
    </w:p>
    <w:p w14:paraId="455D06A7" w14:textId="77777777" w:rsidR="00A8138F" w:rsidRDefault="00A8138F" w:rsidP="00A8138F">
      <w:pPr>
        <w:pStyle w:val="TextoNormal"/>
      </w:pPr>
    </w:p>
    <w:p w14:paraId="11369083" w14:textId="77777777" w:rsidR="00A8138F" w:rsidRDefault="00A8138F" w:rsidP="00A8138F">
      <w:pPr>
        <w:pStyle w:val="TextoNormal"/>
      </w:pPr>
      <w:r>
        <w:t>En el caso que nos ocupa, la Ley de amnistía cuenta con una explicación de motivos en el preámbulo que identifica el fin constitucional al que responde. Su mera lectura lleva a concluir que no puede apreciarse que la Ley de amnistía carezca de toda justificación razonable. Aun cuando pueda discreparse de ella, no cabe duda de que no responde a capricho o mero voluntarismo, al buscar una mejora de la convivencia y de la cohesión social, así como una integración de las diversas sensibilidades políticas, para superar, como objetivo de interés general, las tensiones sociales y políticas generadas con el denominado proceso independentista en Cataluña. La justificación es clara y está muy alejada de moverse en meras referencias generales imprecisas, como sostiene el Senado.</w:t>
      </w:r>
    </w:p>
    <w:p w14:paraId="7E11F4AA" w14:textId="77777777" w:rsidR="00A8138F" w:rsidRDefault="00A8138F" w:rsidP="00A8138F">
      <w:pPr>
        <w:pStyle w:val="TextoNormal"/>
      </w:pPr>
    </w:p>
    <w:p w14:paraId="596DAB89" w14:textId="77777777" w:rsidR="00A8138F" w:rsidRDefault="00A8138F" w:rsidP="00A8138F">
      <w:pPr>
        <w:pStyle w:val="TextoNormal"/>
      </w:pPr>
      <w:r>
        <w:t>La explicación existe y resulta razonable, pudiendo engarzarse con una política plasmada ya en manifestaciones ejecutivas y legislativas anteriores, tendente a paliar los efectos del meritado proceso y a conseguir una mayor paz ciudadana, mediante la reducción de las sanciones impuestas o a imponer como consecuencia de aquellos acontecimientos. No puede descartarse, como se señala en la STC 13/2007, de 18 de enero, FJ 4, que existieran otras alternativas, pero como también quedó dicho, por todas, en la STC 92/2024, de 18 de junio, FJ 6 C) a),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112/2021, de 13 de mayo, FJ 5, con cita de las SSTC 98/2018, de 19 de septiembre, FJ 5, y 149/2020, de 22 de octubre, FJ 6)”.</w:t>
      </w:r>
    </w:p>
    <w:p w14:paraId="2F7A6188" w14:textId="77777777" w:rsidR="00A8138F" w:rsidRDefault="00A8138F" w:rsidP="00A8138F">
      <w:pPr>
        <w:pStyle w:val="TextoNormal"/>
      </w:pPr>
    </w:p>
    <w:p w14:paraId="4B9CD735" w14:textId="64C05901" w:rsidR="00A8138F" w:rsidRDefault="00A8138F" w:rsidP="00A8138F">
      <w:pPr>
        <w:pStyle w:val="TextoNormal"/>
      </w:pPr>
      <w:r>
        <w:t>Sentada la existencia de una explicación racional de la Ley de amnistía, el examen del resto del motivo que concierne a la arbitrariedad quedaría subsumido en el de la denunciada vulneración del art. 14 CE, por referirse a la producción de una discriminación normativa, cuestión que se aborda seguidamente.</w:t>
      </w:r>
    </w:p>
    <w:p w14:paraId="648D8F43" w14:textId="77777777" w:rsidR="00A8138F" w:rsidRDefault="00A8138F" w:rsidP="00A8138F">
      <w:pPr>
        <w:pStyle w:val="TextoNormal"/>
      </w:pPr>
    </w:p>
    <w:p w14:paraId="66FD96A7" w14:textId="77777777" w:rsidR="00A8138F" w:rsidRDefault="00A8138F" w:rsidP="00A8138F">
      <w:pPr>
        <w:pStyle w:val="TextoNormal"/>
      </w:pPr>
      <w:r w:rsidRPr="00A8138F">
        <w:rPr>
          <w:rStyle w:val="NumeroAFNegritaCaracter"/>
        </w:rPr>
        <w:t>8</w:t>
      </w:r>
      <w:r>
        <w:t xml:space="preserve">. </w:t>
      </w:r>
      <w:r w:rsidRPr="00A8138F">
        <w:rPr>
          <w:i/>
        </w:rPr>
        <w:t>La alegada quiebra de la igualdad (art. 14 CE)</w:t>
      </w:r>
    </w:p>
    <w:p w14:paraId="177F8171" w14:textId="77777777" w:rsidR="00A8138F" w:rsidRDefault="00A8138F" w:rsidP="00A8138F">
      <w:pPr>
        <w:pStyle w:val="TextoNormal"/>
      </w:pPr>
    </w:p>
    <w:p w14:paraId="3215EF84" w14:textId="77777777" w:rsidR="00A8138F" w:rsidRDefault="00A8138F" w:rsidP="00A8138F">
      <w:pPr>
        <w:pStyle w:val="TextoNormal"/>
      </w:pPr>
      <w:r>
        <w:t xml:space="preserve">8.1. </w:t>
      </w:r>
      <w:r w:rsidRPr="00A8138F">
        <w:rPr>
          <w:i/>
        </w:rPr>
        <w:t>Exposición del motivo y alegaciones de las partes</w:t>
      </w:r>
    </w:p>
    <w:p w14:paraId="1F3933BA" w14:textId="77777777" w:rsidR="00A8138F" w:rsidRDefault="00A8138F" w:rsidP="00A8138F">
      <w:pPr>
        <w:pStyle w:val="TextoNormal"/>
      </w:pPr>
    </w:p>
    <w:p w14:paraId="703ACDE0" w14:textId="77777777" w:rsidR="00A8138F" w:rsidRDefault="00A8138F" w:rsidP="00A8138F">
      <w:pPr>
        <w:pStyle w:val="TextoNormal"/>
      </w:pPr>
      <w:r>
        <w:t>Según los recurrentes, la Ley de amnistía vulnera la prohibición de discriminación del art. 14 CE porque establece una intensa diferenciación en la ley, que hace que por los mismos hechos delictivos (como los mismos atentados contra la autoridad, desórdenes públicos, desobediencias o malversaciones) unas personas deban soportar las correspondientes consecuencias penales y otras no. Ello supone que dos conductas iguales en su dimensión penal serían tratadas de manera diferente. Y lo hace, añaden, con un criterio diferenciador expresamente proscrito, como es el de la opinión o ideología. Esto, junto al hecho de tratarse de una prerrogativa de gracia excepcional, implica para los demandantes un juicio constitucional más estricto, que no se supera, siendo la Ley de amnistía desproporcionada.</w:t>
      </w:r>
    </w:p>
    <w:p w14:paraId="5BBC281B" w14:textId="77777777" w:rsidR="00A8138F" w:rsidRDefault="00A8138F" w:rsidP="00A8138F">
      <w:pPr>
        <w:pStyle w:val="TextoNormal"/>
      </w:pPr>
    </w:p>
    <w:p w14:paraId="6ED74AFE" w14:textId="77777777" w:rsidR="00A8138F" w:rsidRDefault="00A8138F" w:rsidP="00A8138F">
      <w:pPr>
        <w:pStyle w:val="TextoNormal"/>
      </w:pPr>
      <w:r>
        <w:t>La demanda interpela a este tribunal para que se pronuncie sobre si caben leyes singulares que utilicen como criterio diferenciador uno de los expresamente proscritos por el art. 14 CE. A su juicio resulta evidente que la respuesta ha de ser negativa, empleando el parangón de las leyes singulares expropiatorias, a lo que deben añadirse las “incontables” excepcionalidades de la Ley de amnistía.</w:t>
      </w:r>
    </w:p>
    <w:p w14:paraId="3D52BFB0" w14:textId="77777777" w:rsidR="00A8138F" w:rsidRDefault="00A8138F" w:rsidP="00A8138F">
      <w:pPr>
        <w:pStyle w:val="TextoNormal"/>
      </w:pPr>
    </w:p>
    <w:p w14:paraId="489C7B13" w14:textId="77777777" w:rsidR="00A8138F" w:rsidRDefault="00A8138F" w:rsidP="00A8138F">
      <w:pPr>
        <w:pStyle w:val="TextoNormal"/>
      </w:pPr>
      <w:r>
        <w:t>En todo caso, consideran, sería necesario un juicio especialmente riguroso de los requisitos de tal ley singular, en términos de idoneidad, necesidad y proporcionalidad en sentido estricto; escrutinio que la Ley Orgánica 1/2024 no supera, y ello tanto si se atiende a la “real” finalidad de la norma como a su justificación formal en el preámbulo. Así, si bien la formación de un Gobierno estable puede ser un fin constitucionalmente legítimo, resulta evidente la existencia de medios alternativos menos lesivos de nuestro sistema constitucional. Sostienen los recurrentes que la amnistía provoca un “destrozo constitucional de tal calibre” que precisaría unos beneficios para el interés general superlativos, lo que no se aprecia en la simple formación ordinaria de un Gobierno.</w:t>
      </w:r>
    </w:p>
    <w:p w14:paraId="115C5A10" w14:textId="77777777" w:rsidR="00A8138F" w:rsidRDefault="00A8138F" w:rsidP="00A8138F">
      <w:pPr>
        <w:pStyle w:val="TextoNormal"/>
      </w:pPr>
    </w:p>
    <w:p w14:paraId="369772F1" w14:textId="77777777" w:rsidR="00A8138F" w:rsidRDefault="00A8138F" w:rsidP="00A8138F">
      <w:pPr>
        <w:pStyle w:val="TextoNormal"/>
      </w:pPr>
      <w:r>
        <w:t>Alegan, asimismo, que la normalización institucional de la convivencia dentro del Estado de Derecho también puede ser un fin constitucionalmente legítimo, pero en relación con ella la Ley de amnistía no resulta idónea, necesaria ni proporcionada. No es idónea porque “normalizar” supone la vuelta al funcionamiento regular de las instituciones, cuando su quiebra es imputable únicamente a los cargos institucionales que consciente y voluntariamente violentaron el ordenamiento jurídico y que han reiterado públicamente y en varias ocasiones que lo volverán a hacer. La amnistía, advierten, lejos de devolver a Cataluña a la normalidad institucional (que de hecho se recuperó tras la reacción del Estado de Derecho al “golpe de Estado” de 2017, con la celebración de elecciones periódicas dentro de la CE) es un reconocimiento de la justicia de aquel golpe unilateral y un impulso para volver a ejecutarlo, envalentonando nuevas revueltas como anuncian los responsables políticos a amnistiar. Aprecian que tampoco resulta necesaria porque existen otras medidas menos lesivas para la consecución del fin con igual (o mayor) eficacia, como una amnistía condicionada o indultos, totales o parciales. Finalmente, niegan que se supere el juicio de proporcionalidad en sentido estricto por el “roto constitucional” que provoca al sacrificar la igualdad en la aplicación de la ley penal sin suponer un acompasado beneficio para otros fines constitucionales relevantes. Se destaca de nuevo que Cataluña ya está en una situación de plena normalidad y convivencia antes de la amnistía, que no adopta cautela alguna para la no repetición de lo acaecido en 2017.</w:t>
      </w:r>
    </w:p>
    <w:p w14:paraId="79F592C2" w14:textId="77777777" w:rsidR="00A8138F" w:rsidRDefault="00A8138F" w:rsidP="00A8138F">
      <w:pPr>
        <w:pStyle w:val="TextoNormal"/>
      </w:pPr>
    </w:p>
    <w:p w14:paraId="21A7EA7F" w14:textId="77777777" w:rsidR="00A8138F" w:rsidRDefault="00A8138F" w:rsidP="00A8138F">
      <w:pPr>
        <w:pStyle w:val="TextoNormal"/>
      </w:pPr>
      <w:r>
        <w:t>En sus alegaciones el Senado acoge esta argumentación y añade que la Ley de amnistía es discriminatoria, no solo porque dispensa un trato diferenciado en atención a una creación artificiosa o subjetiva, sino también porque el móvil exoneratorio está en función de la ideología. Así, la base de la diferencia está en una de las categorías sospechosas de las que aparecen en el art. 14 CE y no otorga el mismo trato a esa ideología.</w:t>
      </w:r>
    </w:p>
    <w:p w14:paraId="267BDC68" w14:textId="77777777" w:rsidR="00A8138F" w:rsidRDefault="00A8138F" w:rsidP="00A8138F">
      <w:pPr>
        <w:pStyle w:val="TextoNormal"/>
      </w:pPr>
    </w:p>
    <w:p w14:paraId="17E6C515" w14:textId="77777777" w:rsidR="00A8138F" w:rsidRDefault="00A8138F" w:rsidP="00A8138F">
      <w:pPr>
        <w:pStyle w:val="TextoNormal"/>
      </w:pPr>
      <w:r>
        <w:t>Por su parte, la abogacía del Estado insiste en este punto en que el hecho de que la amnistía implique una diferencia de trato no la convierte automáticamente en discriminatoria, puesto que tal diferencia está justificada y se circunscribe a un supuesto de hecho excepcional y concreto.</w:t>
      </w:r>
    </w:p>
    <w:p w14:paraId="67852CAB" w14:textId="77777777" w:rsidR="00A8138F" w:rsidRDefault="00A8138F" w:rsidP="00A8138F">
      <w:pPr>
        <w:pStyle w:val="TextoNormal"/>
      </w:pPr>
    </w:p>
    <w:p w14:paraId="209C7173" w14:textId="77777777" w:rsidR="00A8138F" w:rsidRDefault="00A8138F" w:rsidP="00A8138F">
      <w:pPr>
        <w:pStyle w:val="TextoNormal"/>
      </w:pPr>
      <w:r>
        <w:t xml:space="preserve">8.2. </w:t>
      </w:r>
      <w:r w:rsidRPr="00A8138F">
        <w:rPr>
          <w:i/>
        </w:rPr>
        <w:t>Doctrina constitucional</w:t>
      </w:r>
    </w:p>
    <w:p w14:paraId="4FB21B49" w14:textId="77777777" w:rsidR="00A8138F" w:rsidRDefault="00A8138F" w:rsidP="00A8138F">
      <w:pPr>
        <w:pStyle w:val="TextoNormal"/>
      </w:pPr>
    </w:p>
    <w:p w14:paraId="306FF0DF" w14:textId="77777777" w:rsidR="00A8138F" w:rsidRDefault="00A8138F" w:rsidP="00A8138F">
      <w:pPr>
        <w:pStyle w:val="TextoNormal"/>
      </w:pPr>
      <w:r>
        <w:t xml:space="preserve">8.2.1. </w:t>
      </w:r>
      <w:r w:rsidRPr="00A8138F">
        <w:rPr>
          <w:i/>
        </w:rPr>
        <w:t>El derecho a la igualdad como exigencia de igualdad en la ley</w:t>
      </w:r>
    </w:p>
    <w:p w14:paraId="130B392F" w14:textId="77777777" w:rsidR="00A8138F" w:rsidRDefault="00A8138F" w:rsidP="00A8138F">
      <w:pPr>
        <w:pStyle w:val="TextoNormal"/>
      </w:pPr>
    </w:p>
    <w:p w14:paraId="34D1414E" w14:textId="77777777" w:rsidR="00A8138F" w:rsidRDefault="00A8138F" w:rsidP="00A8138F">
      <w:pPr>
        <w:pStyle w:val="TextoNormal"/>
      </w:pPr>
      <w:r>
        <w:t>Antes de resolver el motivo de inconstitucionalidad planteado por los recurrentes, procede realizar un recordatorio de la doctrina de este tribunal sobre el derecho a la igualdad del art. 14 CE, en particular sobre la sujeción del legislador a las exigencias derivadas de dicho derecho.</w:t>
      </w:r>
    </w:p>
    <w:p w14:paraId="098C7480" w14:textId="77777777" w:rsidR="00A8138F" w:rsidRDefault="00A8138F" w:rsidP="00A8138F">
      <w:pPr>
        <w:pStyle w:val="TextoNormal"/>
      </w:pPr>
    </w:p>
    <w:p w14:paraId="7F0BEF56" w14:textId="77777777" w:rsidR="00A8138F" w:rsidRDefault="00A8138F" w:rsidP="00A8138F">
      <w:pPr>
        <w:pStyle w:val="TextoNormal"/>
      </w:pPr>
      <w:r>
        <w:t>Ha de recordarse, para ello, que nuestro ordenamiento constitucional, en contraste con el Estado liberal decimonónico, ya no fundamenta la protección de la igualdad de los ciudadanos en el “dogma de la generalidad de la ley”, que se ha visto “afectado por el reconocimiento de la heterogeneidad y diversidad de las sociedades” (STC 159/2021, de 16 de septiembre, FJ 3). Se ha producido, en efecto, una “alteración de la estructura formal-tradicional de la ley, que […] lejos de conculcar principios constitucionales, en ocasiones proyecta la función social de la ley en la consecución de la igualdad real y efectiva (arts. 1.1 y 9.3 CE)” (STC 159/2021 citada, FJ 3). El Estado social y democrático de Derecho establecido en la Constitución (art. 1.1 CE) debe enfrentarse, en definitiva, a las necesidades plurales y heterogéneas de una sociedad compleja, razón por la cual legislar implica, tal y como se ha dicho, diferenciar entre situaciones que pueden considerarse distintas de cara a la consecución de los diversos fines e intereses públicos.</w:t>
      </w:r>
    </w:p>
    <w:p w14:paraId="2B3CEE45" w14:textId="77777777" w:rsidR="00A8138F" w:rsidRDefault="00A8138F" w:rsidP="00A8138F">
      <w:pPr>
        <w:pStyle w:val="TextoNormal"/>
      </w:pPr>
    </w:p>
    <w:p w14:paraId="545B2E7C" w14:textId="77777777" w:rsidR="00A8138F" w:rsidRDefault="00A8138F" w:rsidP="00A8138F">
      <w:pPr>
        <w:pStyle w:val="TextoNormal"/>
      </w:pPr>
      <w:r>
        <w:t>La facultad del legislador de dictar leyes que establecen un tratamiento jurídico diferenciado para diversos grupos de individuos no es, sin embargo, omnímoda y queda sometida al derecho fundamental a la igualdad contenido en el art. 14 CE. Tal exigencia abarca, obviamente, el supuesto de una ley de amnistía pues, como ha señalado este tribunal, “la legislación de amnistía […] se halla sometida al principio de igualdad” (SSTC 28/1982, de 26 de mayo, FJ 2, y 116/1987, de 7 de julio, FJ 7). Dicho principio constituye, por tanto, “un límite a la potestad del legislador” (SSTC 103/1983, de 22 de noviembre, FJ 5, y 68/1990, de 5 de abril, FJ 5) que exige “que las normas legales no creen entre los ciudadanos situaciones desiguales o discriminatorias” salvo que respondan a una justificación objetiva y razonable (STC 103/1983, FJ 5).</w:t>
      </w:r>
    </w:p>
    <w:p w14:paraId="021B605E" w14:textId="77777777" w:rsidR="00A8138F" w:rsidRDefault="00A8138F" w:rsidP="00A8138F">
      <w:pPr>
        <w:pStyle w:val="TextoNormal"/>
      </w:pPr>
    </w:p>
    <w:p w14:paraId="24EEB250" w14:textId="77777777" w:rsidR="00A8138F" w:rsidRDefault="00A8138F" w:rsidP="00A8138F">
      <w:pPr>
        <w:pStyle w:val="TextoNormal"/>
      </w:pPr>
      <w:r>
        <w:t xml:space="preserve">En este sentido, es doctrina reiterada de este tribunal que “[l]a igualdad ante la ley que consagra el art. 14 de la Constitución puede ser entendida también, según reiteradamente hemos declarado, como </w:t>
      </w:r>
      <w:r w:rsidRPr="00A8138F">
        <w:rPr>
          <w:i/>
        </w:rPr>
        <w:t>igualdad en la ley</w:t>
      </w:r>
      <w:r>
        <w:t xml:space="preserve"> [énfasis añadido], es decir, como obligación del legislador de no establecer distinciones artificiosas o arbitrarias entre situaciones de hecho cuyas diferencias reales, si existen, carecen de relevancia desde el punto de vista de la razón de ser discernible en la norma o de no anudar consecuencias jurídicas arbitrarias o irrazonables a los supuestos de hechos legítimamente diferenciados” (STC 83/1984, de 24 de julio, FJ 3).</w:t>
      </w:r>
    </w:p>
    <w:p w14:paraId="24F60755" w14:textId="77777777" w:rsidR="00A8138F" w:rsidRDefault="00A8138F" w:rsidP="00A8138F">
      <w:pPr>
        <w:pStyle w:val="TextoNormal"/>
      </w:pPr>
    </w:p>
    <w:p w14:paraId="3912A39A" w14:textId="77777777" w:rsidR="00A8138F" w:rsidRDefault="00A8138F" w:rsidP="00A8138F">
      <w:pPr>
        <w:pStyle w:val="TextoNormal"/>
      </w:pPr>
      <w:r>
        <w:t>En particular, “[l]a norma que en el art. 14 de la Constitución establece la igualdad de todos los españoles ante la ley, además de impedir las discriminaciones típicas allí previstas, pesa también, como tantas veces hemos dicho, sobre el legislador, pues este, en virtud de tal principio constitucional, no puede introducir entre los ciudadanos diferenciaciones carentes de todo fundamento razonable, esto es, no orientadas a la obtención de un fin constitucionalmente lícito o no articuladas, en tanto que reglas diferenciadoras, en torno a rasgos o elementos que resulten pertinentes, como tales criterios para la diferenciación normativa, en atención al fin así reconocible en la ley” (STC 19/1988, de 16 de febrero, FJ 6).</w:t>
      </w:r>
    </w:p>
    <w:p w14:paraId="7C369AFD" w14:textId="77777777" w:rsidR="00A8138F" w:rsidRDefault="00A8138F" w:rsidP="00A8138F">
      <w:pPr>
        <w:pStyle w:val="TextoNormal"/>
      </w:pPr>
    </w:p>
    <w:p w14:paraId="24143912" w14:textId="77777777" w:rsidR="00A8138F" w:rsidRDefault="00A8138F" w:rsidP="00A8138F">
      <w:pPr>
        <w:pStyle w:val="TextoNormal"/>
      </w:pPr>
      <w:r>
        <w:t>De todo ello se infiere que se vulnera la exigencia de igualdad en la ley cuando la introducción del elemento o factor de diferenciación entre supuestos de hecho haya de considerarse “falta de un fundamento racional” y “por ende arbitraria” (STC 103/1983, FJ 5) o, lo que es lo mismo, cuando “se encuentre carente de fundamento racional y sea, por tanto, arbitraria, porque tal factor diferencial no resulte necesario para la protección de bienes y derechos buscada por el legislador” (STC 68/1990, FJ 5).</w:t>
      </w:r>
    </w:p>
    <w:p w14:paraId="069EC200" w14:textId="77777777" w:rsidR="00A8138F" w:rsidRDefault="00A8138F" w:rsidP="00A8138F">
      <w:pPr>
        <w:pStyle w:val="TextoNormal"/>
      </w:pPr>
    </w:p>
    <w:p w14:paraId="5FBB8E8A" w14:textId="77777777" w:rsidR="00A8138F" w:rsidRDefault="00A8138F" w:rsidP="00A8138F">
      <w:pPr>
        <w:pStyle w:val="TextoNormal"/>
      </w:pPr>
      <w:r>
        <w:t>A la inversa, la exigencia constitucional de “igualdad en la ley” no impide “al legislador valorar situaciones diferentes para regularlas de distinta manera, siempre que entre aquellas diferencias y esta distinción se dé una relación razonable que explique o justifique el trato desigual” (STC 26/1987, de 27 de febrero, FJ 14). Y ello porque “[d]iversidad […] no es discriminación, ni es situación por sí sola que contravenga el art. 14 [CE]”, pues puede “el legislador diferenciar los efectos jurídicos que haya de extraer de supuestos de hecho disímiles, en atención a la consecución de fines constitucionalmente lícitos” (STC 19/1987, de 17 de febrero, FJ 3).</w:t>
      </w:r>
    </w:p>
    <w:p w14:paraId="07B30667" w14:textId="77777777" w:rsidR="00A8138F" w:rsidRDefault="00A8138F" w:rsidP="00A8138F">
      <w:pPr>
        <w:pStyle w:val="TextoNormal"/>
      </w:pPr>
    </w:p>
    <w:p w14:paraId="5534530C" w14:textId="77777777" w:rsidR="00A8138F" w:rsidRDefault="00A8138F" w:rsidP="00A8138F">
      <w:pPr>
        <w:pStyle w:val="TextoNormal"/>
      </w:pPr>
      <w:r>
        <w:t xml:space="preserve">8.2.2. </w:t>
      </w:r>
      <w:r w:rsidRPr="00A8138F">
        <w:rPr>
          <w:i/>
        </w:rPr>
        <w:t>Juicio de constitucionalidad. Término de comparación y diversidad de cánones</w:t>
      </w:r>
    </w:p>
    <w:p w14:paraId="13A2C9F5" w14:textId="77777777" w:rsidR="00A8138F" w:rsidRDefault="00A8138F" w:rsidP="00A8138F">
      <w:pPr>
        <w:pStyle w:val="TextoNormal"/>
      </w:pPr>
    </w:p>
    <w:p w14:paraId="7D3AA645" w14:textId="77777777" w:rsidR="00A8138F" w:rsidRDefault="00A8138F" w:rsidP="00A8138F">
      <w:pPr>
        <w:pStyle w:val="TextoNormal"/>
      </w:pPr>
      <w:r>
        <w:t>Como viene reiterando este tribunal, el de igualdad es un “derecho relacional” cuya infracción “requiere inexcusablemente como presupuesto la existencia de una diferencia de trato entre situaciones sustancialmente iguales, cuya razonabilidad o no deberá valorarse con posterioridad” [por todas, STC 88/2024, de 5 de junio, FJ 7 c)]. Todo juicio de igualdad precisa, por ello, “como componente inexcusable, la existencia de varios supuestos de hecho que puedan ser comparados” (STC 76/1986, de 9 de junio, FJ 3).</w:t>
      </w:r>
    </w:p>
    <w:p w14:paraId="64860942" w14:textId="77777777" w:rsidR="00A8138F" w:rsidRDefault="00A8138F" w:rsidP="00A8138F">
      <w:pPr>
        <w:pStyle w:val="TextoNormal"/>
      </w:pPr>
    </w:p>
    <w:p w14:paraId="4550ED47" w14:textId="77777777" w:rsidR="00A8138F" w:rsidRDefault="00A8138F" w:rsidP="00A8138F">
      <w:pPr>
        <w:pStyle w:val="TextoNormal"/>
      </w:pPr>
      <w:r>
        <w:t>Resulta, así, “imprescindible partir de la identificación del término de comparación en relación con el cual se pretende fundamentar el carácter discriminatorio del tratamiento diferenciado” (STC 116/1987, de 7 de julio, FJ 8), a cuyo efecto debe determinarse si la regulación legal “viene a colocar a un conjunto de personas […] en una situación no justificada de ventaja en comparación con el resto de los ciudadanos; situación que a su vez coloca en una posición de desventaja” a los que no reciben el mismo trato legal (STC 151/1985, de 5 de noviembre, FJ 6).</w:t>
      </w:r>
    </w:p>
    <w:p w14:paraId="6D263D60" w14:textId="77777777" w:rsidR="00A8138F" w:rsidRDefault="00A8138F" w:rsidP="00A8138F">
      <w:pPr>
        <w:pStyle w:val="TextoNormal"/>
      </w:pPr>
    </w:p>
    <w:p w14:paraId="61C866E2" w14:textId="77777777" w:rsidR="00A8138F" w:rsidRDefault="00A8138F" w:rsidP="00A8138F">
      <w:pPr>
        <w:pStyle w:val="TextoNormal"/>
      </w:pPr>
      <w:r>
        <w:t>Por tanto, el “primer requisito de los exigidos por la doctrina constitucional para que se pueda apreciar que una ley vulnera la cláusula de igualdad del art. 14 CE” es comprobar que “la medida normativa cuestionada [ha] introducido directa o indirectamente una diferencia de trato entre grupos o categorías de personas” (STC 110/2015, de 28 de mayo, FJ 4) y que las situaciones subjetivas que resultan comparadas “sean efectivamente homogéneas o comparables” [por todas, STC 64/2025, de 13 de marzo, FJ 7 a)].</w:t>
      </w:r>
    </w:p>
    <w:p w14:paraId="41D373DD" w14:textId="77777777" w:rsidR="00A8138F" w:rsidRDefault="00A8138F" w:rsidP="00A8138F">
      <w:pPr>
        <w:pStyle w:val="TextoNormal"/>
      </w:pPr>
    </w:p>
    <w:p w14:paraId="6BF4D606" w14:textId="77777777" w:rsidR="00A8138F" w:rsidRDefault="00A8138F" w:rsidP="00A8138F">
      <w:pPr>
        <w:pStyle w:val="TextoNormal"/>
      </w:pPr>
      <w:r>
        <w:t xml:space="preserve">Una vez aceptada la homogeneidad del término de comparación, el juicio de igualdad tiene una intensidad diversa según cuál sea el criterio de diferenciación utilizado por el legislador. El art. 14 CE contiene, en efecto, dos enunciados normativos que, si bien responden a una misma </w:t>
      </w:r>
      <w:r w:rsidRPr="00A8138F">
        <w:rPr>
          <w:i/>
        </w:rPr>
        <w:t>ratio</w:t>
      </w:r>
      <w:r>
        <w:t xml:space="preserve"> de proscripción de toda diferencia de tratamiento jurídico que pueda reputarse discriminatoria, reclaman un juicio de constitucionalidad distinto:</w:t>
      </w:r>
    </w:p>
    <w:p w14:paraId="2E2179CD" w14:textId="77777777" w:rsidR="00A8138F" w:rsidRDefault="00A8138F" w:rsidP="00A8138F">
      <w:pPr>
        <w:pStyle w:val="TextoNormal"/>
      </w:pPr>
    </w:p>
    <w:p w14:paraId="79917068" w14:textId="77777777" w:rsidR="00A8138F" w:rsidRDefault="00A8138F" w:rsidP="00A8138F">
      <w:pPr>
        <w:pStyle w:val="TextoNormal"/>
      </w:pPr>
      <w:r>
        <w:t>a) El inciso primero del art. 14 contiene una “cláusula general de igualdad” [por todas, SSTC 41/2013, de 14 de febrero, FJ 6, y 41/2015, de 2 de marzo, FJ 4 a)] que exige, únicamente, que la previsión legislativa de consecuencias jurídicas diferenciadas para distintos grupos de personas tenga una “justificación objetiva y razonable, de acuerdo con criterios y juicios de valor generalmente aceptados”. Tal exigencia tiene, no obstante, una doble proyección, pues “deb[e] aplicarse en relación con la finalidad y efectos de la medida considerada” (por todas, STC 75/1983, de 3 de agosto, FJ 2), esto es, “tanto por la causa que lo motiva como por la naturaleza de las propias medidas diferenciadoras” (STC 76/1986, FJ 3).</w:t>
      </w:r>
    </w:p>
    <w:p w14:paraId="15266B36" w14:textId="77777777" w:rsidR="00A8138F" w:rsidRDefault="00A8138F" w:rsidP="00A8138F">
      <w:pPr>
        <w:pStyle w:val="TextoNormal"/>
      </w:pPr>
    </w:p>
    <w:p w14:paraId="137CC4C9" w14:textId="77777777" w:rsidR="00A8138F" w:rsidRDefault="00A8138F" w:rsidP="00A8138F">
      <w:pPr>
        <w:pStyle w:val="TextoNormal"/>
      </w:pPr>
      <w:r>
        <w:t>b) En cambio, como resume la ya citada STC 41/2015, FJ 4 b), “[l]os concretos motivos de discriminación” referidos en el segundo inciso del art. 14 CE, “aunque excepcionalmente pueden ser tenidos en cuenta como criterio de diferenciación, están sujetos a un canon de constitucionalidad mucho más estricto y a una carga más rigurosa de acreditar el carácter justificado de dicha diferenciación”, así como a “exigencias [igualmente] más rigurosas de justificación y proporcionalidad”. Y lo mismo cabe decir de aquellas circunstancias que —por su analogía con las expresamente enunciadas en el propio precepto— resultan subsumibles en la cláusula de cierre relativa a “cualquier otra condición o circunstancia personal o social” (por todas, STC 41/2006, de 13 de febrero, FJ 3).</w:t>
      </w:r>
    </w:p>
    <w:p w14:paraId="7C97CFE1" w14:textId="77777777" w:rsidR="00A8138F" w:rsidRDefault="00A8138F" w:rsidP="00A8138F">
      <w:pPr>
        <w:pStyle w:val="TextoNormal"/>
      </w:pPr>
    </w:p>
    <w:p w14:paraId="2D0E1863" w14:textId="77777777" w:rsidR="00A8138F" w:rsidRDefault="00A8138F" w:rsidP="00A8138F">
      <w:pPr>
        <w:pStyle w:val="TextoNormal"/>
      </w:pPr>
      <w:r>
        <w:t>c) El diverso escrutinio constitucional determinado por la aplicación de uno u otro inciso se pone especialmente de manifiesto en lo relativo al examen de la adecuación y proporcionalidad de las concretas “medidas diferenciadoras”. Así:</w:t>
      </w:r>
    </w:p>
    <w:p w14:paraId="405357A1" w14:textId="77777777" w:rsidR="00A8138F" w:rsidRDefault="00A8138F" w:rsidP="00A8138F">
      <w:pPr>
        <w:pStyle w:val="TextoNormal"/>
      </w:pPr>
    </w:p>
    <w:p w14:paraId="46630FFF" w14:textId="77777777" w:rsidR="00A8138F" w:rsidRDefault="00A8138F" w:rsidP="00A8138F">
      <w:pPr>
        <w:pStyle w:val="TextoNormal"/>
      </w:pPr>
      <w:r>
        <w:t xml:space="preserve">(i) Los criterios de diferenciación especialmente mencionados en el inciso segundo del art. 14 CE, al estar expresamente enunciados como discriminatorios </w:t>
      </w:r>
      <w:r w:rsidRPr="00A8138F">
        <w:rPr>
          <w:i/>
        </w:rPr>
        <w:t>a priori</w:t>
      </w:r>
      <w:r>
        <w:t xml:space="preserve"> en el texto constitucional, solo excepcionalmente pueden ser utilizados por el legislador como factor de diferenciación y ello en función de un juicio de proporcionalidad estricto. Como sintetiza la STC 140/2024, de 6 de noviembre, FJ 6, recogiendo la abundante doctrina de este tribunal sobre la materia, “las prohibiciones de discriminación contenidas en el art. 14 CE […]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w:t>
      </w:r>
    </w:p>
    <w:p w14:paraId="286CCAEA" w14:textId="77777777" w:rsidR="00A8138F" w:rsidRDefault="00A8138F" w:rsidP="00A8138F">
      <w:pPr>
        <w:pStyle w:val="TextoNormal"/>
      </w:pPr>
    </w:p>
    <w:p w14:paraId="795D6BBE" w14:textId="77777777" w:rsidR="00A8138F" w:rsidRDefault="00A8138F" w:rsidP="00A8138F">
      <w:pPr>
        <w:pStyle w:val="TextoNormal"/>
      </w:pPr>
      <w:r>
        <w:t>(ii) En cambio, un factor de diferenciación que no pueda subsumirse en el segundo inciso del art. 14 CE puede considerarse, de partida, constitucionalmente neutro y su uso por parte del legislador democrático está, en principio, amparado por el margen general de libre configuración que la Constitución otorga a este. Por ello, la doctrina de este tribunal únicamente exige, en este segundo caso, una “relación razonable de proporcionalidad entre los medios empleados y la finalidad perseguida”, conforme a la cual han de reputarse inconstitucionales aquellos efectos o consecuencias que, por su carácter manifiestamente excesivo o desmedido, no pueden considerarse objetiva y racionalmente justificados para alcanzar el fin legalmente perseguido, de tal suerte que puedan considerarse “arbitrarias o irrazonables” (STC 83/1984, de 24 de julio, FJ 3).</w:t>
      </w:r>
    </w:p>
    <w:p w14:paraId="34D124B8" w14:textId="77777777" w:rsidR="00A8138F" w:rsidRDefault="00A8138F" w:rsidP="00A8138F">
      <w:pPr>
        <w:pStyle w:val="TextoNormal"/>
      </w:pPr>
    </w:p>
    <w:p w14:paraId="54776462" w14:textId="77777777" w:rsidR="00A8138F" w:rsidRDefault="00A8138F" w:rsidP="00A8138F">
      <w:pPr>
        <w:pStyle w:val="TextoNormal"/>
      </w:pPr>
      <w:r>
        <w:t>De ahí que este tribunal venga reiterando en su doctrina que una norma legal solo puede entenderse desproporcionada desde la óptica de la cláusula general de igualdad cuando genera “resultados especialmente gravosos o desmedidos” [SSTC 76/1990, de 26 de abril, FJ 9 A); 255/2004, de 23 de diciembre, FJ 4; 10/2005, de 20 de enero, FJ 5; 295/2006, de 11 de octubre, FJ 5; 83/2014, de 29 de mayo, FJ 7; 71/2016, de 14 de abril, FJ 3; 81/2016, de 25 de abril, FJ 2, y 167/2016, de 6 de octubre, FJ 5].</w:t>
      </w:r>
    </w:p>
    <w:p w14:paraId="1C0640B3" w14:textId="77777777" w:rsidR="00A8138F" w:rsidRDefault="00A8138F" w:rsidP="00A8138F">
      <w:pPr>
        <w:pStyle w:val="TextoNormal"/>
      </w:pPr>
    </w:p>
    <w:p w14:paraId="367C5509" w14:textId="77777777" w:rsidR="00A8138F" w:rsidRDefault="00A8138F" w:rsidP="00A8138F">
      <w:pPr>
        <w:pStyle w:val="TextoNormal"/>
      </w:pPr>
      <w:r>
        <w:t>8.3</w:t>
      </w:r>
      <w:r w:rsidRPr="00A8138F">
        <w:rPr>
          <w:i/>
        </w:rPr>
        <w:t>. Enjuiciamiento del moti</w:t>
      </w:r>
      <w:r>
        <w:t>vo</w:t>
      </w:r>
    </w:p>
    <w:p w14:paraId="088463D7" w14:textId="77777777" w:rsidR="00A8138F" w:rsidRDefault="00A8138F" w:rsidP="00A8138F">
      <w:pPr>
        <w:pStyle w:val="TextoNormal"/>
      </w:pPr>
    </w:p>
    <w:p w14:paraId="6D68366E" w14:textId="77777777" w:rsidR="00A8138F" w:rsidRDefault="00A8138F" w:rsidP="00A8138F">
      <w:pPr>
        <w:pStyle w:val="TextoNormal"/>
      </w:pPr>
      <w:r>
        <w:t>8.3.1</w:t>
      </w:r>
      <w:r w:rsidRPr="00A8138F">
        <w:rPr>
          <w:i/>
        </w:rPr>
        <w:t>. Idoneidad del término de comparación aporta</w:t>
      </w:r>
      <w:r>
        <w:t>do</w:t>
      </w:r>
    </w:p>
    <w:p w14:paraId="74A83D2C" w14:textId="77777777" w:rsidR="00A8138F" w:rsidRDefault="00A8138F" w:rsidP="00A8138F">
      <w:pPr>
        <w:pStyle w:val="TextoNormal"/>
      </w:pPr>
    </w:p>
    <w:p w14:paraId="2CB6EB7A" w14:textId="77777777" w:rsidR="00A8138F" w:rsidRDefault="00A8138F" w:rsidP="00A8138F">
      <w:pPr>
        <w:pStyle w:val="TextoNormal"/>
      </w:pPr>
      <w:r>
        <w:t>De acuerdo con lo expuesto en el apartado precedente, el enjuiciamiento del motivo de inconstitucionalidad planteado por los recurrentes debe comenzar con el examen del término de comparación aportado por estos, a los fines de dilucidar si realmente se identifican situaciones jurídicas susceptibles de ser comparadas, que puedan considerarse homogéneas desde la óptica del art. 14 CE. Sobre esta cuestión han de realizarse las siguientes consideraciones:</w:t>
      </w:r>
    </w:p>
    <w:p w14:paraId="0ED1277C" w14:textId="77777777" w:rsidR="00A8138F" w:rsidRDefault="00A8138F" w:rsidP="00A8138F">
      <w:pPr>
        <w:pStyle w:val="TextoNormal"/>
      </w:pPr>
    </w:p>
    <w:p w14:paraId="1CA3E2A0" w14:textId="77777777" w:rsidR="00A8138F" w:rsidRDefault="00A8138F" w:rsidP="00A8138F">
      <w:pPr>
        <w:pStyle w:val="TextoNormal"/>
      </w:pPr>
      <w:r>
        <w:t>a) Los recurrentes estiman que la Ley de amnistía otorga un tratamiento jurídico diferenciado a dos grupos de personas, pues la amnistía regulada “supone que, por unos mismos hechos delictivos, unas personas, pero no otras, deb[e]n soportar las correspondientes consecuencias penales (es decir, por los mismos desórdenes públicos, desobediencias o malversaciones unos irán a la cárcel y otros no)”. Ponen, por tanto, el acento de la diferencia legal de trato en las consecuencias jurídicas diversas que recibe la comisión de los mismos hechos criminales.</w:t>
      </w:r>
    </w:p>
    <w:p w14:paraId="06067E71" w14:textId="77777777" w:rsidR="00A8138F" w:rsidRDefault="00A8138F" w:rsidP="00A8138F">
      <w:pPr>
        <w:pStyle w:val="TextoNormal"/>
      </w:pPr>
    </w:p>
    <w:p w14:paraId="1F183E47" w14:textId="77777777" w:rsidR="00A8138F" w:rsidRDefault="00A8138F" w:rsidP="00A8138F">
      <w:pPr>
        <w:pStyle w:val="TextoNormal"/>
      </w:pPr>
      <w:r>
        <w:t>b) El art. 1 de la Ley de amnistía establece un ámbito de aplicación de la amnistía que queda configurado no solo por la comisión, en un periodo de tiempo concreto, de determinados delitos abstractamente considerados. Como se deprende del primer párrafo del art. 1.1 de la Ley, la concesión de la amnistía depende también de que la comisión de estos delitos se produzca en un contexto fáctico determinado, ligado al proceso independentista que dio lugar a la celebración de las consultas inconstitucionales de 9 de noviembre de 2014 y 1 de octubre de 2017, así como a sus consecuencias.</w:t>
      </w:r>
    </w:p>
    <w:p w14:paraId="7C0834B3" w14:textId="77777777" w:rsidR="00A8138F" w:rsidRDefault="00A8138F" w:rsidP="00A8138F">
      <w:pPr>
        <w:pStyle w:val="TextoNormal"/>
      </w:pPr>
    </w:p>
    <w:p w14:paraId="6E1DCBE8" w14:textId="77777777" w:rsidR="00A8138F" w:rsidRDefault="00A8138F" w:rsidP="00A8138F">
      <w:pPr>
        <w:pStyle w:val="TextoNormal"/>
      </w:pPr>
      <w:r>
        <w:t>Esto determina que, tal y como alegan los recurrentes, unos mismos actos ilícitos —cometidos en un mismo período de tiempo— queden o no exentos de responsabilidad criminal según su vinculación a un contexto fáctico específico. En el ejemplo utilizado por los actores, personas que cometen, en el mismo marco temporal, actos que puedan considerarse constitutivos de desórdenes públicos reciben un tratamiento jurídico claramente diferenciado respecto de quienes cometieron los mismos hechos en el contexto del llamado “procés”. Es más, se les aplican consecuencias jurídicas radicalmente opuestas, pues los beneficiarios de la amnistía quedan exentos de responsabilidad criminal por la comisión de las mismas infracciones que determinan, en cambio, la sujeción a plena responsabilidad de aquellos que actúan fuera del ámbito material delimitado en el art. 1.1 de la Ley de amnistía.</w:t>
      </w:r>
    </w:p>
    <w:p w14:paraId="7C959533" w14:textId="77777777" w:rsidR="00A8138F" w:rsidRDefault="00A8138F" w:rsidP="00A8138F">
      <w:pPr>
        <w:pStyle w:val="TextoNormal"/>
      </w:pPr>
    </w:p>
    <w:p w14:paraId="074148CE" w14:textId="77777777" w:rsidR="00A8138F" w:rsidRDefault="00A8138F" w:rsidP="00A8138F">
      <w:pPr>
        <w:pStyle w:val="TextoNormal"/>
      </w:pPr>
      <w:r>
        <w:t>c) Se observa, por tanto, que la Ley de amnistía determina que un mismo supuesto de hecho —la realización de los mismos actos delictivos en el mismo período de tiempo— lleve aparejadas consecuencias jurídicas completamente dispares —exigencia o exención de responsabilidad criminal— para dos grupos de personas —los que cometen esos actos ilícitos en el contexto fáctico delimitado en el art. 1.1 de la ley y quienes lo cometen fuera de él—.</w:t>
      </w:r>
    </w:p>
    <w:p w14:paraId="0F7DCFAB" w14:textId="77777777" w:rsidR="00A8138F" w:rsidRDefault="00A8138F" w:rsidP="00A8138F">
      <w:pPr>
        <w:pStyle w:val="TextoNormal"/>
      </w:pPr>
    </w:p>
    <w:p w14:paraId="49B8511F" w14:textId="77777777" w:rsidR="00A8138F" w:rsidRDefault="00A8138F" w:rsidP="00A8138F">
      <w:pPr>
        <w:pStyle w:val="TextoNormal"/>
      </w:pPr>
      <w:r>
        <w:t>Puede concluirse, por ello, que los recurrentes aportan un término de comparación idóneo, pues los supuestos de hecho comparados son sustancialmente iguales. Por ello, ha de enjuiciarse, a continuación, si el factor diferencial que conduce a la Ley de amnistía a establecer una disparidad de trato resulta compatible con las exigencias del art. 14 CE.</w:t>
      </w:r>
    </w:p>
    <w:p w14:paraId="7059D5A1" w14:textId="77777777" w:rsidR="00A8138F" w:rsidRDefault="00A8138F" w:rsidP="00A8138F">
      <w:pPr>
        <w:pStyle w:val="TextoNormal"/>
      </w:pPr>
    </w:p>
    <w:p w14:paraId="6B479669" w14:textId="77777777" w:rsidR="00A8138F" w:rsidRDefault="00A8138F" w:rsidP="00A8138F">
      <w:pPr>
        <w:pStyle w:val="TextoNormal"/>
      </w:pPr>
      <w:r>
        <w:t>8.3.2</w:t>
      </w:r>
      <w:r w:rsidRPr="00A8138F">
        <w:rPr>
          <w:i/>
        </w:rPr>
        <w:t>. Aplicabilidad de la cláusula general de iguald</w:t>
      </w:r>
      <w:r>
        <w:t>ad</w:t>
      </w:r>
    </w:p>
    <w:p w14:paraId="36BBA1A3" w14:textId="77777777" w:rsidR="00A8138F" w:rsidRDefault="00A8138F" w:rsidP="00A8138F">
      <w:pPr>
        <w:pStyle w:val="TextoNormal"/>
      </w:pPr>
    </w:p>
    <w:p w14:paraId="328E1D97" w14:textId="77777777" w:rsidR="00A8138F" w:rsidRDefault="00A8138F" w:rsidP="00A8138F">
      <w:pPr>
        <w:pStyle w:val="TextoNormal"/>
      </w:pPr>
      <w:r>
        <w:t>Una vez aceptada la idoneidad del término de comparación aportado, debe determinarse qué concreto inciso del art. 14 CE queda concernido por la diferencia de trato legalmente establecida.</w:t>
      </w:r>
    </w:p>
    <w:p w14:paraId="7747C1D2" w14:textId="77777777" w:rsidR="00A8138F" w:rsidRDefault="00A8138F" w:rsidP="00A8138F">
      <w:pPr>
        <w:pStyle w:val="TextoNormal"/>
      </w:pPr>
    </w:p>
    <w:p w14:paraId="3F989ADE" w14:textId="77777777" w:rsidR="00A8138F" w:rsidRDefault="00A8138F" w:rsidP="00A8138F">
      <w:pPr>
        <w:pStyle w:val="TextoNormal"/>
      </w:pPr>
      <w:r>
        <w:t>Estiman, en este punto, los recurrentes que el “criterio diferenciador” que el legislador utiliza para separar los dos grupos de personas aludidos y someterlos a consecuencias jurídicas dispares —exigiendo a unos y eximiendo a otros de las consecuencias asociadas a la comisión de determinados actos delictivos— es la “opinión” o “ideología” de los autores de la infracción criminal, pues la Ley de amnistía “incluye en un espacio exento de jurisdicción y de Derecho penal (respecto de determinados delitos) a personas caracterizadas por haber delinquido al servicio de una concreta ideología política (lograr la independencia de Cataluña a través de un referéndum de secesión)”.</w:t>
      </w:r>
    </w:p>
    <w:p w14:paraId="541EE2D4" w14:textId="77777777" w:rsidR="00A8138F" w:rsidRDefault="00A8138F" w:rsidP="00A8138F">
      <w:pPr>
        <w:pStyle w:val="TextoNormal"/>
      </w:pPr>
    </w:p>
    <w:p w14:paraId="798612BB" w14:textId="77777777" w:rsidR="00A8138F" w:rsidRDefault="00A8138F" w:rsidP="00A8138F">
      <w:pPr>
        <w:pStyle w:val="TextoNormal"/>
      </w:pPr>
      <w:r>
        <w:t>La utilización de un criterio de diferenciación que se encuentra “explícitamente proscrito por nuestra Constitución” determinaría, según añaden, la aplicación, por parte de este tribunal, de un “juicio de legitimidad constitucional mucho más estricto”, particularmente en lo que se refiere al “mayor rigor respecto de las exigencias materiales de proporcionalidad”.</w:t>
      </w:r>
    </w:p>
    <w:p w14:paraId="63F83A0C" w14:textId="77777777" w:rsidR="00A8138F" w:rsidRDefault="00A8138F" w:rsidP="00A8138F">
      <w:pPr>
        <w:pStyle w:val="TextoNormal"/>
      </w:pPr>
    </w:p>
    <w:p w14:paraId="2286533C" w14:textId="77777777" w:rsidR="00A8138F" w:rsidRDefault="00A8138F" w:rsidP="00A8138F">
      <w:pPr>
        <w:pStyle w:val="TextoNormal"/>
      </w:pPr>
      <w:r>
        <w:t>Es claro, sin embargo, que la aplicación del primer o segundo inciso del art. 14 CE —con su diferente escrutinio constitucional (</w:t>
      </w:r>
      <w:r w:rsidRPr="00A8138F">
        <w:rPr>
          <w:i/>
        </w:rPr>
        <w:t>vid. supra</w:t>
      </w:r>
      <w:r>
        <w:t xml:space="preserve"> FJ 8.2.2)— no puede quedar al albur de la parte promotora del proceso de inconstitucionalidad, pues lo realmente decisivo no es la apreciación subjetiva de los recurrentes sino el criterio de diferenciación que, objetivamente, utiliza la regulación enjuiciada. En consecuencia, este tribunal puede reconducir de oficio una alegación de discriminación del inciso segundo del art. 14 CE a la “cláusula general de igualdad del primer inciso” si el examen de la norma enjuiciada revela que la circunstancia especialmente prohibida que ha sido alegada no se corresponde, en realidad, con el criterio de diferenciación utilizado por el legislador (sirva a título de ejemplo, en relación con una alegación de discriminación por “orientación sexual”, la STC 41/2013, de 14 de febrero, FJ 6).</w:t>
      </w:r>
    </w:p>
    <w:p w14:paraId="601EEE87" w14:textId="77777777" w:rsidR="00A8138F" w:rsidRDefault="00A8138F" w:rsidP="00A8138F">
      <w:pPr>
        <w:pStyle w:val="TextoNormal"/>
      </w:pPr>
    </w:p>
    <w:p w14:paraId="43CBE1F5" w14:textId="77777777" w:rsidR="00A8138F" w:rsidRDefault="00A8138F" w:rsidP="00A8138F">
      <w:pPr>
        <w:pStyle w:val="TextoNormal"/>
      </w:pPr>
      <w:r>
        <w:t>La alegada concurrencia de un trato diferenciado basado en la “opinión” o la “ideología” debe ser valorada, por tanto, por este tribunal tomando en consideración los propios contenidos normativos de la ley impugnada.</w:t>
      </w:r>
    </w:p>
    <w:p w14:paraId="7460A46D" w14:textId="77777777" w:rsidR="00A8138F" w:rsidRDefault="00A8138F" w:rsidP="00A8138F">
      <w:pPr>
        <w:pStyle w:val="TextoNormal"/>
      </w:pPr>
    </w:p>
    <w:p w14:paraId="6EC58AF1" w14:textId="77777777" w:rsidR="00A8138F" w:rsidRDefault="00A8138F" w:rsidP="00A8138F">
      <w:pPr>
        <w:pStyle w:val="TextoNormal"/>
      </w:pPr>
      <w:r>
        <w:t>Con ese presupuesto, puede observarse que el art. 1.1 de la Ley de amnistía tiene un contenido heterogéneo en el que se distinguen dos enunciados normativos diferentes:</w:t>
      </w:r>
    </w:p>
    <w:p w14:paraId="0B8CE966" w14:textId="77777777" w:rsidR="00A8138F" w:rsidRDefault="00A8138F" w:rsidP="00A8138F">
      <w:pPr>
        <w:pStyle w:val="TextoNormal"/>
      </w:pPr>
    </w:p>
    <w:p w14:paraId="358A4E3A" w14:textId="77777777" w:rsidR="00A8138F" w:rsidRDefault="00A8138F" w:rsidP="00A8138F">
      <w:pPr>
        <w:pStyle w:val="TextoNormal"/>
      </w:pPr>
      <w:r>
        <w:t>(i) Contiene, en primer lugar, el referido precepto una enunciación general del ámbito objetivo y temporal al que resulta de aplicación la Ley de amnistía en su totalidad. Este primer fragmento, coincidente con el primer párrafo del apartado, es el único que tiene proyección común sobre las diversas conductas que resultan amnistiadas. En él no se contiene, según puede observarse, ninguna referencia a la finalidad que deban perseguir, con carácter general o común, los distintos sujetos beneficiarios.</w:t>
      </w:r>
    </w:p>
    <w:p w14:paraId="785F0256" w14:textId="77777777" w:rsidR="00A8138F" w:rsidRDefault="00A8138F" w:rsidP="00A8138F">
      <w:pPr>
        <w:pStyle w:val="TextoNormal"/>
      </w:pPr>
    </w:p>
    <w:p w14:paraId="3E68BC0E" w14:textId="77777777" w:rsidR="00A8138F" w:rsidRDefault="00A8138F" w:rsidP="00A8138F">
      <w:pPr>
        <w:pStyle w:val="TextoNormal"/>
      </w:pPr>
      <w:r>
        <w:t>(ii) Acto seguido, el precepto enuncia, en las letras a) a f) subsiguientes, un elenco de conductas que resultan específicamente amnistiadas, para las que sí se contemplan finalidades características y propias. Tales finalidades son, en unos casos, favorables a la “secesión o independencia de Cataluña” o a la celebración de consultas populares orientadas a facilitarla [letras a), b), c), d) y parcialmente f)], mientras que en otros casos se orientan justamente a lo contrario: oponerse a cualesquiera actos tendentes a facilitar la secesión o a la celebración de las consultas aludidas [letra e) y parcialmente f)].</w:t>
      </w:r>
    </w:p>
    <w:p w14:paraId="3E108197" w14:textId="77777777" w:rsidR="00A8138F" w:rsidRDefault="00A8138F" w:rsidP="00A8138F">
      <w:pPr>
        <w:pStyle w:val="TextoNormal"/>
      </w:pPr>
    </w:p>
    <w:p w14:paraId="51AF7FA0" w14:textId="77777777" w:rsidR="00A8138F" w:rsidRDefault="00A8138F" w:rsidP="00A8138F">
      <w:pPr>
        <w:pStyle w:val="TextoNormal"/>
      </w:pPr>
      <w:r>
        <w:t>De ello se infiere, como dato inequívoco, que no puede decirse, como hacen los recurrentes, que la Ley de amnistía en su conjunto sea exclusivamente aplicable a conductas que persiguen la finalidad de proclamar la independencia de Cataluña, esto es, a actos regidos única y exclusivamente por una intención ideológica determinada, concretamente la independentista.</w:t>
      </w:r>
    </w:p>
    <w:p w14:paraId="635E144E" w14:textId="77777777" w:rsidR="00A8138F" w:rsidRDefault="00A8138F" w:rsidP="00A8138F">
      <w:pPr>
        <w:pStyle w:val="TextoNormal"/>
      </w:pPr>
    </w:p>
    <w:p w14:paraId="64872754" w14:textId="77777777" w:rsidR="00A8138F" w:rsidRDefault="00A8138F" w:rsidP="00A8138F">
      <w:pPr>
        <w:pStyle w:val="TextoNormal"/>
      </w:pPr>
      <w:r>
        <w:t>El único denominador común de las diferentes conductas que resultan amnistiadas en la Ley es el marco objetivo general del párrafo primero del art. 1.1, según el cual la amnistía resulta aplicable a actos “ejecutados en el marco de las consultas celebradas en Cataluña el 9 de noviembre de 2014 y el 1 de octubre de 2017, de su preparación o de sus consecuencias” y a las “acciones ejecutadas […] en el contexto del denominado proceso independentista catalán, aunque no se encuentren relacionadas con las referidas consultas o hayan sido realizadas con posterioridad a su respectiva celebración”.</w:t>
      </w:r>
    </w:p>
    <w:p w14:paraId="09AFBA6C" w14:textId="77777777" w:rsidR="00A8138F" w:rsidRDefault="00A8138F" w:rsidP="00A8138F">
      <w:pPr>
        <w:pStyle w:val="TextoNormal"/>
      </w:pPr>
    </w:p>
    <w:p w14:paraId="71D52F66" w14:textId="77777777" w:rsidR="00A8138F" w:rsidRDefault="00A8138F" w:rsidP="00A8138F">
      <w:pPr>
        <w:pStyle w:val="TextoNormal"/>
      </w:pPr>
      <w:r>
        <w:t>En ese marco general de aplicación de la Ley caben, por tanto, actos realizados sin una finalidad ideológica independentista siempre que estén relacionados con el contexto material descrito. Es después, al enunciar los concretos actos amnistiados, cuando la Ley expresa finalidades determinadas, sin que estas sean siempre favorables a la secesión. No puede asumirse, por ello, la tesis de los recurrentes según la cual la Ley de amnistía, en su totalidad o conjunto, incluye un espacio de inmunidad penal exclusivamente basado en la ideología independentista perseguida por sus beneficiarios. Dicho en otros términos, el criterio de diferenciación que utiliza la Ley para definir el ámbito global de la amnistía no es la ideología o la opinión de estos.</w:t>
      </w:r>
    </w:p>
    <w:p w14:paraId="7D4DB607" w14:textId="77777777" w:rsidR="00A8138F" w:rsidRDefault="00A8138F" w:rsidP="00A8138F">
      <w:pPr>
        <w:pStyle w:val="TextoNormal"/>
      </w:pPr>
    </w:p>
    <w:p w14:paraId="5EB1D3A7" w14:textId="77777777" w:rsidR="00A8138F" w:rsidRDefault="00A8138F" w:rsidP="00A8138F">
      <w:pPr>
        <w:pStyle w:val="TextoNormal"/>
      </w:pPr>
      <w:r>
        <w:t>Ciertamente, el contexto material delimitado en el primer párrafo del art. 1.1 de la ley tiene un inequívoco componente político —que no excluye, obviamente, que haya dado lugar a la comisión de graves delitos—, pues el legislador trata precisamente —según explica largamente en el preámbulo— de contribuir a la resolución de un conflicto de dicha naturaleza. No obstante, la mera naturaleza política del conflicto que el legislador trata de afrontar en la Ley de amnistía no implica, por sí sola, una discriminación por razón de la opinión o ideología. Siguiendo un ejemplo utilizado por los propios recurrentes, es cierto que la Ley contiene un trato más beneficioso para quien ha lanzado una piedra en un acto de protesta independentista en comparación con quien ha realizado esa misma conducta en un acto de protesta contra un desahucio, pero lo decisivo ahora es que la propia Ley de amnistía también establece un trato más favorable o beneficioso para el funcionario de policía que, con independencia de su ideología, para impedir ese mismo acto independentista, comete algún hecho que pueda reputarse delictivo, excediéndose en el ejercicio de sus funciones. De ello se infiere que la comparación entre ideología independentista y no independentista no define realmente el tratamiento jurídico diverso que la Ley otorga, considerada en su globalidad, pues el elemento que el legislador toma realmente en consideración no es la finalidad ideológica perseguida —que no concurre en todos los sujetos que resultan amnistiados en el ejemplo que acaba de ser citado— sino el particular contexto socio-político en el que se enmarcan esas conductas.</w:t>
      </w:r>
    </w:p>
    <w:p w14:paraId="2A510C51" w14:textId="77777777" w:rsidR="00A8138F" w:rsidRDefault="00A8138F" w:rsidP="00A8138F">
      <w:pPr>
        <w:pStyle w:val="TextoNormal"/>
      </w:pPr>
    </w:p>
    <w:p w14:paraId="584AC854" w14:textId="77777777" w:rsidR="00A8138F" w:rsidRDefault="00A8138F" w:rsidP="00A8138F">
      <w:pPr>
        <w:pStyle w:val="TextoNormal"/>
      </w:pPr>
      <w:r>
        <w:t>En suma, en lo que al ámbito global de aplicación de la Ley de amnistía se refiere —y sin perjuicio de lo que después se dirá en relación con la alegación de discriminación referida a las concretas conductas que resultan amnistiadas—, ha de concluirse que el juicio de constitucionalidad relativo a la posible existencia de una discriminación legal contraria al derecho a la igualdad ha de realizarse desde la óptica exclusiva de la “cláusula general de igualdad” del art. 14 inciso primero CE, pues el diverso tratamiento legal que la Ley de amnistía otorga, con carácter general, a todos los sujetos beneficiarios de la amnistía no viene determinado, frente a lo que alegan los recurrentes, por la motivación independentista perseguida. En la Ley también quedan amnistiados quienes realizan actos delictivos con finalidades no independentistas, de suerte que el criterio de diferenciación que el legislador utiliza para delimitar la operatividad general de la amnistía es la existencia de un particular contexto de conflicto político y social que requiere, a su juicio, un tratamiento penal diferenciado a los fines de obtener un determinado resultado —de distensión o pacificación social— que se estima de interés general.</w:t>
      </w:r>
    </w:p>
    <w:p w14:paraId="7E0BD90D" w14:textId="77777777" w:rsidR="00A8138F" w:rsidRDefault="00A8138F" w:rsidP="00A8138F">
      <w:pPr>
        <w:pStyle w:val="TextoNormal"/>
      </w:pPr>
    </w:p>
    <w:p w14:paraId="33B4E8C9" w14:textId="77777777" w:rsidR="00A8138F" w:rsidRDefault="00A8138F" w:rsidP="00A8138F">
      <w:pPr>
        <w:pStyle w:val="TextoNormal"/>
      </w:pPr>
      <w:r>
        <w:t>De acuerdo con ello, el juicio de constitucionalidad que este tribunal debe acometer para determinar la compatibilidad de la Ley de amnistía con el art. 14 CE exige determinar si esta resulta razonablemente justificada, parámetro de enjuiciamiento que es, por cierto, coincidente con el que utilizan los tribunales constitucionales de democracias consolidadas de nuestro entorno, en particular el Tribunal Constitucional Federal alemán (auto de 15 de diciembre de 1959, BVerfGE 10, 234), para abordar la constitucionalidad de las leyes que tienen por objeto la concesión de una amnistía.</w:t>
      </w:r>
    </w:p>
    <w:p w14:paraId="1C16FC25" w14:textId="77777777" w:rsidR="00A8138F" w:rsidRDefault="00A8138F" w:rsidP="00A8138F">
      <w:pPr>
        <w:pStyle w:val="TextoNormal"/>
      </w:pPr>
    </w:p>
    <w:p w14:paraId="34CDF4FC" w14:textId="77777777" w:rsidR="00A8138F" w:rsidRDefault="00A8138F" w:rsidP="00A8138F">
      <w:pPr>
        <w:pStyle w:val="TextoNormal"/>
      </w:pPr>
      <w:r>
        <w:t>8.3.3</w:t>
      </w:r>
      <w:r w:rsidRPr="00A8138F">
        <w:rPr>
          <w:i/>
        </w:rPr>
        <w:t>. Justificación objetiva y razonable de la Ley de amnistía en relación con su causa y finalid</w:t>
      </w:r>
      <w:r>
        <w:t>ad</w:t>
      </w:r>
    </w:p>
    <w:p w14:paraId="0F23BEF3" w14:textId="77777777" w:rsidR="00A8138F" w:rsidRDefault="00A8138F" w:rsidP="00A8138F">
      <w:pPr>
        <w:pStyle w:val="TextoNormal"/>
      </w:pPr>
    </w:p>
    <w:p w14:paraId="755989C1" w14:textId="77777777" w:rsidR="00A8138F" w:rsidRDefault="00A8138F" w:rsidP="00A8138F">
      <w:pPr>
        <w:pStyle w:val="TextoNormal"/>
      </w:pPr>
      <w:r>
        <w:t>Tal y como se ha expuesto, el juicio de constitucionalidad derivado de la cláusula general del art. 14 CE exige determinar si la Ley de amnistía en su conjunto o globalidad responde a una justificación objetiva y razonable tanto en lo que se refiere a su “causa” o “finalidad” como en lo relativo a sus “efectos” o “consecuencias”.</w:t>
      </w:r>
    </w:p>
    <w:p w14:paraId="26D5E1DD" w14:textId="77777777" w:rsidR="00A8138F" w:rsidRDefault="00A8138F" w:rsidP="00A8138F">
      <w:pPr>
        <w:pStyle w:val="TextoNormal"/>
      </w:pPr>
    </w:p>
    <w:p w14:paraId="66F25952" w14:textId="77777777" w:rsidR="00A8138F" w:rsidRDefault="00A8138F" w:rsidP="00A8138F">
      <w:pPr>
        <w:pStyle w:val="TextoNormal"/>
      </w:pPr>
      <w:r>
        <w:t>Comenzando por la “causa” o “finalidad” de la Ley de amnistía, conviene aclarar, como premisa —y al margen de la polémica doctrinal existente sobre el alcance general de estos conceptos—, que, en lo que al enjuiciamiento de esta ley se refiere, ambos términos no son coincidentes. A estos efectos, la causa es la situación o supuesto de hecho que motiva o fundamenta la intervención del legislador, mientras que la finalidad es el efecto positivo o beneficioso que, desde la óptica del interés general, el legislador pretende alcanzar en relación con la referida causa.</w:t>
      </w:r>
    </w:p>
    <w:p w14:paraId="58DC82F9" w14:textId="77777777" w:rsidR="00A8138F" w:rsidRDefault="00A8138F" w:rsidP="00A8138F">
      <w:pPr>
        <w:pStyle w:val="TextoNormal"/>
      </w:pPr>
    </w:p>
    <w:p w14:paraId="698A5EE9" w14:textId="77777777" w:rsidR="00A8138F" w:rsidRDefault="00A8138F" w:rsidP="00A8138F">
      <w:pPr>
        <w:pStyle w:val="TextoNormal"/>
      </w:pPr>
      <w:r>
        <w:t>En el caso de la Ley de amnistía, la “causa” es la existencia de lo que el preámbulo define como un “conflicto político sostenido en el tiempo”, ligado a la integración de Cataluña en el conjunto de España, que habría tenido, en el actual período democrático, una manifestación particularmente crítica en los “hechos del proceso independentista” que dieron lugar a las consultas inconstitucionales de 9 de noviembre de 2014 y de 1 de octubre de 2017, así como a sus consecuencias posteriores.</w:t>
      </w:r>
    </w:p>
    <w:p w14:paraId="3B1C9764" w14:textId="77777777" w:rsidR="00A8138F" w:rsidRDefault="00A8138F" w:rsidP="00A8138F">
      <w:pPr>
        <w:pStyle w:val="TextoNormal"/>
      </w:pPr>
    </w:p>
    <w:p w14:paraId="26335D61" w14:textId="77777777" w:rsidR="00A8138F" w:rsidRDefault="00A8138F" w:rsidP="00A8138F">
      <w:pPr>
        <w:pStyle w:val="TextoNormal"/>
      </w:pPr>
      <w:r>
        <w:t>La “finalidad” de la Ley de amnistía es, por su parte, y según declara el referido preámbulo, contribuir a la reconciliación y “normalización” —término este que aparece en la rúbrica de la propia ley— del aludido conflicto, rebajando la “tensión social y política” en el entendimiento de que esta podría “agravarse en los próximos años a medida que se sustancien procedimientos judiciales” ligados a los hechos del llamado “procés”.</w:t>
      </w:r>
    </w:p>
    <w:p w14:paraId="4FC6430D" w14:textId="77777777" w:rsidR="00A8138F" w:rsidRDefault="00A8138F" w:rsidP="00A8138F">
      <w:pPr>
        <w:pStyle w:val="TextoNormal"/>
      </w:pPr>
    </w:p>
    <w:p w14:paraId="6956C284" w14:textId="77777777" w:rsidR="00A8138F" w:rsidRDefault="00A8138F" w:rsidP="00A8138F">
      <w:pPr>
        <w:pStyle w:val="TextoNormal"/>
      </w:pPr>
      <w:r>
        <w:t>Pues bien, este tribunal considera que la diferenciación que introduce el legislador, a los efectos de otorgar la amnistía, entre aquellos que han cometido determinados delitos en el contexto delimitado en el art. 1.1 de la Ley y quienes los han cometido fuera de dicho contexto, responde, en cuanto a su causa y finalidad, a una justificación objetiva y razonable. Y ello por las razones siguientes:</w:t>
      </w:r>
    </w:p>
    <w:p w14:paraId="53125511" w14:textId="77777777" w:rsidR="00A8138F" w:rsidRDefault="00A8138F" w:rsidP="00A8138F">
      <w:pPr>
        <w:pStyle w:val="TextoNormal"/>
      </w:pPr>
    </w:p>
    <w:p w14:paraId="106DAB5D" w14:textId="77777777" w:rsidR="00A8138F" w:rsidRDefault="00A8138F" w:rsidP="00A8138F">
      <w:pPr>
        <w:pStyle w:val="TextoNormal"/>
      </w:pPr>
      <w:r>
        <w:t>a) La Ley de amnistía parte de una premisa causal que no puede considerarse puramente retórica o carente de sustento fáctico, cual es que la realización de las referidas consultas y de las actuaciones inconstitucionales a ellas vinculadas, con la consiguiente respuesta legítima del Estado de Derecho para evitar la quiebra del orden constitucional y estatutario, ha generado un clima de tensión social y de desafección institucional en importantes sectores de la población de Cataluña.</w:t>
      </w:r>
    </w:p>
    <w:p w14:paraId="59957E6B" w14:textId="77777777" w:rsidR="00A8138F" w:rsidRDefault="00A8138F" w:rsidP="00A8138F">
      <w:pPr>
        <w:pStyle w:val="TextoNormal"/>
      </w:pPr>
    </w:p>
    <w:p w14:paraId="1C67667E" w14:textId="77777777" w:rsidR="00A8138F" w:rsidRDefault="00A8138F" w:rsidP="00A8138F">
      <w:pPr>
        <w:pStyle w:val="TextoNormal"/>
      </w:pPr>
      <w:r>
        <w:t>Es notorio, en este punto, que el proceso político de creación de un pretendido estado catalán independiente —el llamado “procés”— ha supuesto una de las mayores crisis que ha tenido que enfrentar nuestra democracia constitucional, tanto desde la perspectiva social como institucional. Dicho proceso, la fractura social a la que dio lugar, así como las actuaciones estatales que debieron promoverse para restaurar el quebranto constitucional ocasionado —que incluyeron la aplicación de la cláusula de coerción estatal del art. 155 CE— pueden considerarse acontecimientos extraordinarios en los que puede encontrar justificación el otorgamiento de una amnistía. La identificación de la causa que suscita la amnistía no puede considerarse, por ello, arbitraria.</w:t>
      </w:r>
    </w:p>
    <w:p w14:paraId="65EDC01B" w14:textId="77777777" w:rsidR="00A8138F" w:rsidRDefault="00A8138F" w:rsidP="00A8138F">
      <w:pPr>
        <w:pStyle w:val="TextoNormal"/>
      </w:pPr>
    </w:p>
    <w:p w14:paraId="64DF7345" w14:textId="77777777" w:rsidR="00A8138F" w:rsidRDefault="00A8138F" w:rsidP="00A8138F">
      <w:pPr>
        <w:pStyle w:val="TextoNormal"/>
      </w:pPr>
      <w:r>
        <w:t>b) En cuanto a la finalidad perseguida, se advierte que, según se desprende del preámbulo de la norma, la Ley de amnistía no se presenta a sí misma como el mecanismo de solución o superación definitiva del “conflicto político” vinculado al movimiento independentista, un conflicto que reconoce que es “sostenido en el tiempo” e incluso “recurrente en nuestra historia”. Aspira, más bien, según afirma expresamente, a “crear las condiciones” para que esa solución pueda alcanzarse en el ámbito de la política, a través del diálogo, a lo que pretende contribuir eliminando, o al menos rebajando, un concreto factor de tensión, como es la sustanciación de los procesos judiciales relacionados con el proceso separatista, en el entendimiento de que los nuevos enjuiciamientos y la ejecución de las penas ya impuestas contribuyen a mantener o incluso a incrementar esa “tensión” y “desafección”.</w:t>
      </w:r>
    </w:p>
    <w:p w14:paraId="61A8F0AD" w14:textId="77777777" w:rsidR="00A8138F" w:rsidRDefault="00A8138F" w:rsidP="00A8138F">
      <w:pPr>
        <w:pStyle w:val="TextoNormal"/>
      </w:pPr>
    </w:p>
    <w:p w14:paraId="4D531520" w14:textId="77777777" w:rsidR="00A8138F" w:rsidRDefault="00A8138F" w:rsidP="00A8138F">
      <w:pPr>
        <w:pStyle w:val="TextoNormal"/>
      </w:pPr>
      <w:r>
        <w:t>La amnistía concedida no persigue, por tanto, la merma o el cuestionamiento de la legitimidad de los procesos judiciales afectados por la Ley de amnistía, ni supone tampoco una suerte de juicio alternativo de atribución de responsabilidades. No niega que son quienes cometieron los actos ilícitos amnistiados los que situaron el conflicto subyacente fuera del ámbito de la política, al contravenir las reglas del marco democrático que a todos nos vincula, y los que se expusieron, de ese modo, a la reacción legítima del Estado de Derecho. Se limita a evaluar la presencia de un interés público que puede justificar, por los efectos benéficos para la convivencia pacífica y democrática que le atribuye, una decisión política de renuncia por parte del Estado al ejercicio de s</w:t>
      </w:r>
      <w:r w:rsidRPr="00A8138F">
        <w:rPr>
          <w:i/>
        </w:rPr>
        <w:t>u ius punien</w:t>
      </w:r>
      <w:r>
        <w:t>di en un contexto excepcional.</w:t>
      </w:r>
    </w:p>
    <w:p w14:paraId="4809C629" w14:textId="77777777" w:rsidR="00A8138F" w:rsidRDefault="00A8138F" w:rsidP="00A8138F">
      <w:pPr>
        <w:pStyle w:val="TextoNormal"/>
      </w:pPr>
    </w:p>
    <w:p w14:paraId="3C592B7A" w14:textId="77777777" w:rsidR="00A8138F" w:rsidRDefault="00A8138F" w:rsidP="00A8138F">
      <w:pPr>
        <w:pStyle w:val="TextoNormal"/>
      </w:pPr>
      <w:r>
        <w:t xml:space="preserve">Conviene reiterar aquí que la Constitución no predetermina el fin que puede perseguir una determinada legislación de amnistía, pues, como ya se ha expuesto anteriormente, no se está ante “un fenómeno lineal, que pueda resolverse en una serie de principios y técnicas unitarios, sino un fenómeno complejo” (STC 147/1986, FJ 2). Las razones que pueden conducir al legislador a disponer de su </w:t>
      </w:r>
      <w:r w:rsidRPr="00A8138F">
        <w:rPr>
          <w:i/>
        </w:rPr>
        <w:t>ius puniendi</w:t>
      </w:r>
      <w:r>
        <w:t>, renunciando al ejercicio de este para afrontar un contexto excepcional determinado, pueden ser muy diversas y, en cualquier caso, tanto la doctrina como la experiencia histórica y comparada ponen de relieve que los fines de reconciliación o pacificación política son característicos de las leyes de amnistía, como reconoce, en particular, la opinión de la Comisión Europea para la Democracia por el Derecho (Comisión de Venecia) adoptada en su sesión plenaria de 15-16 de marzo de 2024, § 80.</w:t>
      </w:r>
    </w:p>
    <w:p w14:paraId="5D86D237" w14:textId="77777777" w:rsidR="00A8138F" w:rsidRDefault="00A8138F" w:rsidP="00A8138F">
      <w:pPr>
        <w:pStyle w:val="TextoNormal"/>
      </w:pPr>
    </w:p>
    <w:p w14:paraId="6E571DB7" w14:textId="77777777" w:rsidR="00A8138F" w:rsidRDefault="00A8138F" w:rsidP="00A8138F">
      <w:pPr>
        <w:pStyle w:val="TextoNormal"/>
      </w:pPr>
      <w:r>
        <w:t>De ahí que la finalidad del legislador de favorecer la reconciliación y conseguir, con ello, que el conflicto político subyacente se encauce a través del diálogo no pueda reputarse ilegítima.</w:t>
      </w:r>
    </w:p>
    <w:p w14:paraId="0E4B50B9" w14:textId="77777777" w:rsidR="00A8138F" w:rsidRDefault="00A8138F" w:rsidP="00A8138F">
      <w:pPr>
        <w:pStyle w:val="TextoNormal"/>
      </w:pPr>
    </w:p>
    <w:p w14:paraId="5D51014D" w14:textId="77777777" w:rsidR="00A8138F" w:rsidRDefault="00A8138F" w:rsidP="00A8138F">
      <w:pPr>
        <w:pStyle w:val="TextoNormal"/>
      </w:pPr>
      <w:r>
        <w:t>c) Tampoco resulta irrazonable el juicio que realiza el legislador al entender que la amnistía puede contribuir a la finalidad indicada pues, en efecto, la exención de responsabilidad de quienes realizaron actos ilícitos en el contexto del proceso independentista puede considerarse un medio idóneo para eliminar —o al menos rebajar—, un particular foco de enfrentamiento social.</w:t>
      </w:r>
    </w:p>
    <w:p w14:paraId="63053DC0" w14:textId="77777777" w:rsidR="00A8138F" w:rsidRDefault="00A8138F" w:rsidP="00A8138F">
      <w:pPr>
        <w:pStyle w:val="TextoNormal"/>
      </w:pPr>
    </w:p>
    <w:p w14:paraId="07487AC8" w14:textId="77777777" w:rsidR="00A8138F" w:rsidRDefault="00A8138F" w:rsidP="00A8138F">
      <w:pPr>
        <w:pStyle w:val="TextoNormal"/>
      </w:pPr>
      <w:r>
        <w:t xml:space="preserve">Como se viene reiterando en la presente resolución, no corresponde a este tribunal —ni es cuestión que pertenezca al ámbito de lo jurídico— determinar si el juicio de oportunidad política que lleva al legislador a renunciar al ejercicio de su </w:t>
      </w:r>
      <w:r w:rsidRPr="00A8138F">
        <w:rPr>
          <w:i/>
        </w:rPr>
        <w:t>ius puniendi</w:t>
      </w:r>
      <w:r>
        <w:t xml:space="preserve"> para favorecer la reconciliación en Cataluña es acertado o erróneo o si dará lugar a unas consecuencias realmente significativas o trascendentales para resolver o superar el conflicto subyacente. Efectuar tales pronósticos y tomar las decisiones pertinentes, asumiendo los riesgos que procedan, pertenece al ámbito de la política. Nuestra tarea se circunscribe a efectuar un escrutinio de razonabilidad, puramente externo, desde el cual puede concluirse que la renuncia al ejercicio del </w:t>
      </w:r>
      <w:r w:rsidRPr="00A8138F">
        <w:rPr>
          <w:i/>
        </w:rPr>
        <w:t>ius puniendi</w:t>
      </w:r>
      <w:r>
        <w:t xml:space="preserve"> por parte del Estado puede considerarse abstractamente idónea para eliminar o atenuar la tensión política, social e institucional.</w:t>
      </w:r>
    </w:p>
    <w:p w14:paraId="0CF7C857" w14:textId="77777777" w:rsidR="00A8138F" w:rsidRDefault="00A8138F" w:rsidP="00A8138F">
      <w:pPr>
        <w:pStyle w:val="TextoNormal"/>
      </w:pPr>
    </w:p>
    <w:p w14:paraId="1BB9F324" w14:textId="77777777" w:rsidR="00A8138F" w:rsidRDefault="00A8138F" w:rsidP="00A8138F">
      <w:pPr>
        <w:pStyle w:val="TextoNormal"/>
      </w:pPr>
      <w:r>
        <w:t xml:space="preserve">8.3.4. </w:t>
      </w:r>
      <w:r w:rsidRPr="00A8138F">
        <w:rPr>
          <w:i/>
        </w:rPr>
        <w:t>Justificación objetiva y razonable de la Ley de amnistía en relación con sus efectos y consecuencias. Inconstitucionalidad parcial</w:t>
      </w:r>
    </w:p>
    <w:p w14:paraId="7C259B40" w14:textId="77777777" w:rsidR="00A8138F" w:rsidRDefault="00A8138F" w:rsidP="00A8138F">
      <w:pPr>
        <w:pStyle w:val="TextoNormal"/>
      </w:pPr>
    </w:p>
    <w:p w14:paraId="3ED0DFB5" w14:textId="77777777" w:rsidR="00A8138F" w:rsidRDefault="00A8138F" w:rsidP="00A8138F">
      <w:pPr>
        <w:pStyle w:val="TextoNormal"/>
      </w:pPr>
      <w:r>
        <w:t>La cláusula general de igualdad del art. 14 CE exige, en segundo lugar, verificar si las medidas arbitradas por el legislador son manifiestamente desproporcionadas y, en tal sentido, desigualitarias.</w:t>
      </w:r>
    </w:p>
    <w:p w14:paraId="4C6705BD" w14:textId="77777777" w:rsidR="00A8138F" w:rsidRDefault="00A8138F" w:rsidP="00A8138F">
      <w:pPr>
        <w:pStyle w:val="TextoNormal"/>
      </w:pPr>
    </w:p>
    <w:p w14:paraId="77190B7C" w14:textId="77777777" w:rsidR="00A8138F" w:rsidRDefault="00A8138F" w:rsidP="00A8138F">
      <w:pPr>
        <w:pStyle w:val="TextoNormal"/>
      </w:pPr>
      <w:r>
        <w:t>Ahora bien, la aludida desproporción puede producirse tanto por exceso como por defecto, pues tan contraria al art. 14 CE, por desmedida, resulta la regulación legal que establece supuestos que manifiestamente exceden de lo que razonablemente puede amparar su finalidad legítima como la que deja fuera del trato divergente otros supuestos (y con ello personas) que han de reputarse iguales desde el punto de vista de la finalidad de la norma.</w:t>
      </w:r>
    </w:p>
    <w:p w14:paraId="59343B7B" w14:textId="77777777" w:rsidR="00A8138F" w:rsidRDefault="00A8138F" w:rsidP="00A8138F">
      <w:pPr>
        <w:pStyle w:val="TextoNormal"/>
      </w:pPr>
    </w:p>
    <w:p w14:paraId="7F5B2DD2" w14:textId="77777777" w:rsidR="00A8138F" w:rsidRDefault="00A8138F" w:rsidP="00A8138F">
      <w:pPr>
        <w:pStyle w:val="TextoNormal"/>
      </w:pPr>
      <w:r>
        <w:t>Esto obliga a examinar —con carácter general y sin perjuicio del análisis que corresponda realizar a propósito del resto de impugnaciones formuladas— el alcance objetivo, los efectos y el ámbito material y temporal de la amnistía establecida en la Ley impugnada.</w:t>
      </w:r>
    </w:p>
    <w:p w14:paraId="7431B42D" w14:textId="77777777" w:rsidR="00A8138F" w:rsidRDefault="00A8138F" w:rsidP="00A8138F">
      <w:pPr>
        <w:pStyle w:val="TextoNormal"/>
      </w:pPr>
    </w:p>
    <w:p w14:paraId="5D956006" w14:textId="77777777" w:rsidR="00A8138F" w:rsidRDefault="00A8138F" w:rsidP="00A8138F">
      <w:pPr>
        <w:pStyle w:val="TextoNormal"/>
      </w:pPr>
      <w:r>
        <w:t>a) El alcance objetivo de la amnistía queda generalmente configurado en el primer párrafo del art. 1.1 Ley, conforme al cual la amnistía se aplica a los actos “ejecutados en el marco de las consultas celebradas en Cataluña el 9 de noviembre de 2014 y el 1 de octubre de 2017, de su preparación o de sus consecuencias” y a las “acciones ejecutadas […] en el contexto del denominado proceso independentista catalán, aunque no se encuentren relacionadas con las referidas consultas o hayan sido realizadas con posterioridad a su respectiva celebración”.</w:t>
      </w:r>
    </w:p>
    <w:p w14:paraId="5D1C0152" w14:textId="77777777" w:rsidR="00A8138F" w:rsidRDefault="00A8138F" w:rsidP="00A8138F">
      <w:pPr>
        <w:pStyle w:val="TextoNormal"/>
      </w:pPr>
    </w:p>
    <w:p w14:paraId="060570F1" w14:textId="77777777" w:rsidR="00A8138F" w:rsidRDefault="00A8138F" w:rsidP="00A8138F">
      <w:pPr>
        <w:pStyle w:val="TextoNormal"/>
      </w:pPr>
      <w:r>
        <w:t xml:space="preserve">Tal ámbito comprende, en principio, todo tipo de conductas, tanto favorables como contrarias a la secesión de Cataluña o a la celebración de las consultas inconstitucionales de 9 de noviembre de 2014 y 1 de octubre de 2017, lo que resulta coherente con los fines de reconciliación y favorecimiento del diálogo político que el propio legislador alega como justificativos de su renuncia al ejercicio del </w:t>
      </w:r>
      <w:r w:rsidRPr="00A8138F">
        <w:rPr>
          <w:i/>
        </w:rPr>
        <w:t>ius puniendi</w:t>
      </w:r>
      <w:r>
        <w:t>. Y es que la reconciliación y la distensión son, en efecto, conceptos que apelan a todos los implicados en un conflicto. Y lo mismo cabe decir, obviamente, del diálogo.</w:t>
      </w:r>
    </w:p>
    <w:p w14:paraId="0A6B4835" w14:textId="77777777" w:rsidR="00A8138F" w:rsidRDefault="00A8138F" w:rsidP="00A8138F">
      <w:pPr>
        <w:pStyle w:val="TextoNormal"/>
      </w:pPr>
    </w:p>
    <w:p w14:paraId="31DE37AE" w14:textId="77777777" w:rsidR="00A8138F" w:rsidRDefault="00A8138F" w:rsidP="00A8138F">
      <w:pPr>
        <w:pStyle w:val="TextoNormal"/>
      </w:pPr>
      <w:r>
        <w:t>Se observa, sin embargo, que, al concretar las conductas amnistiables, el legislador opta, acto seguido, por otorgar un amplísimo alcance a la amnistía en relación con los actos que persiguen la materialización de las referidas consultas inconstitucionales o la consecución de la independencia o secesión de Cataluña [letras a), b) c), d) y parcialmente f)]. En cambio, restringe notablemente la posibilidad de amnistiar actos encaminados a oponerse a esa secesión y a esas consultas, hasta el extremo de acotar la amnistía, en este punto, a las “actuaciones policiales” descritas en la letra e) y los hechos conexos con ellas de la letra f). El ámbito fáctico inicialmente fijado en el párrafo primero del art. 1.1. de la Ley de amnistía recibe, de ese modo, una concreción manifiestamente asimétrica, que implica la exclusión de un amplio elenco de conductas que se enmarcan inequívocamente en el contexto conflictivo inicialmente descrito en la norma.</w:t>
      </w:r>
    </w:p>
    <w:p w14:paraId="7B180C1F" w14:textId="77777777" w:rsidR="00A8138F" w:rsidRDefault="00A8138F" w:rsidP="00A8138F">
      <w:pPr>
        <w:pStyle w:val="TextoNormal"/>
      </w:pPr>
    </w:p>
    <w:p w14:paraId="14B8AF49" w14:textId="77777777" w:rsidR="00A8138F" w:rsidRDefault="00A8138F" w:rsidP="00A8138F">
      <w:pPr>
        <w:pStyle w:val="TextoNormal"/>
      </w:pPr>
      <w:r>
        <w:t xml:space="preserve">Ni del texto de la ley ni de su preámbulo puede inferirse, sin embargo, la razón justificativa de tal asimetría. Esta no resulta, desde luego, racionalmente inteligible si se parte de los fines de reconciliación y favorecimiento del diálogo político que, como ya se ha explicado, el propio legislador alega como justificativos de su renuncia al ejercicio del </w:t>
      </w:r>
      <w:r w:rsidRPr="00A8138F">
        <w:rPr>
          <w:i/>
        </w:rPr>
        <w:t>ius puniendi</w:t>
      </w:r>
      <w:r>
        <w:t>. El preámbulo de la Ley alude, de hecho, expresamente, a la necesidad de extender “la amnistía a las acciones delictivas que pudieran haberse ejecutado en la defensa de la legalidad y del orden constitucional” a los efectos de “sentar unas sólidas bases para, de una vez por todas, continuar mitigando las consecuencias de un conflicto que jamás debió producirse y que, a pesar de los pasos de los últimos años, aún sigue latente”.</w:t>
      </w:r>
    </w:p>
    <w:p w14:paraId="255A98DC" w14:textId="77777777" w:rsidR="00A8138F" w:rsidRDefault="00A8138F" w:rsidP="00A8138F">
      <w:pPr>
        <w:pStyle w:val="TextoNormal"/>
      </w:pPr>
    </w:p>
    <w:p w14:paraId="6DC45159" w14:textId="77777777" w:rsidR="00A8138F" w:rsidRDefault="00A8138F" w:rsidP="00A8138F">
      <w:pPr>
        <w:pStyle w:val="TextoNormal"/>
      </w:pPr>
      <w:r>
        <w:t>Es más, resulta curioso que, para lograr tales fines de reconciliación política, la amnistía abarque las actuaciones ilícitas llevadas a cabo por agentes y funcionarios de policía y no las realizadas por particulares; también que incluya a policías y excluya, al tiempo, a otros empleados públicos (por ejemplo, al director de un colegio que pudo realizar un acto ilícito excediéndose con ocasión de su negativa al uso del centro docente que dirige en una consulta secesionista).</w:t>
      </w:r>
    </w:p>
    <w:p w14:paraId="6628A166" w14:textId="77777777" w:rsidR="00A8138F" w:rsidRDefault="00A8138F" w:rsidP="00A8138F">
      <w:pPr>
        <w:pStyle w:val="TextoNormal"/>
      </w:pPr>
    </w:p>
    <w:p w14:paraId="5506A3B8" w14:textId="77777777" w:rsidR="00A8138F" w:rsidRDefault="00A8138F" w:rsidP="00A8138F">
      <w:pPr>
        <w:pStyle w:val="TextoNormal"/>
      </w:pPr>
      <w:r>
        <w:t>No se aprecia, en definitiva, en la norma impugnada, ni en su texto ni en su preámbulo, una razón explicativa de la exclusión de un amplio elenco de conductas que están claramente enmarcadas en el conflicto político que trata de reconducir al ámbito del diálogo, como son las realizadas por particulares o empleados públicos con la finalidad de oponerse a la secesión o independencia de Cataluña o a la celebración de consultas populares inconstitucionales.</w:t>
      </w:r>
    </w:p>
    <w:p w14:paraId="4198BDA6" w14:textId="77777777" w:rsidR="00A8138F" w:rsidRDefault="00A8138F" w:rsidP="00A8138F">
      <w:pPr>
        <w:pStyle w:val="TextoNormal"/>
      </w:pPr>
    </w:p>
    <w:p w14:paraId="085CD8E4" w14:textId="77777777" w:rsidR="00A8138F" w:rsidRDefault="00A8138F" w:rsidP="00A8138F">
      <w:pPr>
        <w:pStyle w:val="TextoNormal"/>
      </w:pPr>
      <w:r>
        <w:t>Puede concluirse, por ello, que el art. 1.1 de la Ley produce una consecuencia manifiestamente desigualitaria, pues deja fuera de la amnistía a un grupo de personas que, desde el punto de vista de la causa y finalidad legitimadora de la Ley de amnistía, es perfectamente equiparable al que resulta incluido.</w:t>
      </w:r>
    </w:p>
    <w:p w14:paraId="3268776B" w14:textId="77777777" w:rsidR="00A8138F" w:rsidRDefault="00A8138F" w:rsidP="00A8138F">
      <w:pPr>
        <w:pStyle w:val="TextoNormal"/>
      </w:pPr>
    </w:p>
    <w:p w14:paraId="68EB4A7A" w14:textId="77777777" w:rsidR="00A8138F" w:rsidRDefault="00A8138F" w:rsidP="00A8138F">
      <w:pPr>
        <w:pStyle w:val="TextoNormal"/>
      </w:pPr>
      <w:r>
        <w:t>No obstante, en la medida en que esta inconstitucionalidad no se encuentra en lo que la norma establece sino en lo que omite, no procede declarar su nulidad, sino solo su inconstitucionalidad con los efectos que serán señalados en el apartado 8.3.5.</w:t>
      </w:r>
    </w:p>
    <w:p w14:paraId="65C6D146" w14:textId="77777777" w:rsidR="00A8138F" w:rsidRDefault="00A8138F" w:rsidP="00A8138F">
      <w:pPr>
        <w:pStyle w:val="TextoNormal"/>
      </w:pPr>
    </w:p>
    <w:p w14:paraId="3CF744AD" w14:textId="77777777" w:rsidR="00A8138F" w:rsidRDefault="00A8138F" w:rsidP="00A8138F">
      <w:pPr>
        <w:pStyle w:val="TextoNormal"/>
      </w:pPr>
      <w:r>
        <w:t>b) En cuanto a los efectos de la amnistía, se observa, asimismo, que el legislador, al regularlos en el título II de la Ley de amnistía, opta por dejar “siempre a salvo la responsabilidad civil que pudiera corresponder por los daños sufridos por los particulares” (art. 8.2). Mantiene incólume, con ello, la posición subjetiva de los ciudadanos que puedan haber resultado perjudicados en su esfera personal por los actos ilícitos amnistiados, pues les reserva la posibilidad de reclamar por los daños y perjuicios correspondientes. La Ley de amnistía, por tanto, renuncia al ejercicio de</w:t>
      </w:r>
      <w:r w:rsidRPr="00A8138F">
        <w:rPr>
          <w:i/>
        </w:rPr>
        <w:t>l ius punien</w:t>
      </w:r>
      <w:r>
        <w:t>di, pero salvaguarda los derechos resarcitorios individuales.</w:t>
      </w:r>
    </w:p>
    <w:p w14:paraId="5E47A2A5" w14:textId="77777777" w:rsidR="00A8138F" w:rsidRDefault="00A8138F" w:rsidP="00A8138F">
      <w:pPr>
        <w:pStyle w:val="TextoNormal"/>
      </w:pPr>
    </w:p>
    <w:p w14:paraId="778A33C1" w14:textId="77777777" w:rsidR="00A8138F" w:rsidRDefault="00A8138F" w:rsidP="00A8138F">
      <w:pPr>
        <w:pStyle w:val="TextoNormal"/>
      </w:pPr>
      <w:r>
        <w:t>Ha de recordarse que, como ha señalado este tribunal, la sanción es “la irrogación de un mal añadido al que de suyo implica el cumplimiento forzoso de una obligación ya debida” (STC 48/2003, de 12 de marzo, FJ 9), es decir, una consecuencia jurídica que el poder público añade, por razones de interés general, al puro restablecimiento de la situación subjetiva violada o al resarcimiento de los daños correspondientes.</w:t>
      </w:r>
    </w:p>
    <w:p w14:paraId="221A6109" w14:textId="77777777" w:rsidR="00A8138F" w:rsidRDefault="00A8138F" w:rsidP="00A8138F">
      <w:pPr>
        <w:pStyle w:val="TextoNormal"/>
      </w:pPr>
    </w:p>
    <w:p w14:paraId="46A52434" w14:textId="77777777" w:rsidR="00A8138F" w:rsidRDefault="00A8138F" w:rsidP="00A8138F">
      <w:pPr>
        <w:pStyle w:val="TextoNormal"/>
      </w:pPr>
      <w:r>
        <w:t>Este tribunal considera que este dato es particularmente relevante en lo que al juicio de igualdad se refiere, en cuanto pone de relieve que el legislador no sacrifica los intereses individuales afectados por los actos ilícitos amnistiados. Esto cohonesta, además, con la expresa declaración legal de que los beneficiarios de la amnistía no tienen, con carácter general, “derecho a percibir indemnización de ninguna clase” ni a reclamar “derechos económicos de ningún tipo” alegando, como fundamento, la concesión de la amnistía misma (art. 7 de la Ley). En suma, no se privilegia a unos ciudadanos frente a otros, en sus relaciones recíprocas u horizontales, ya que los beneficiarios de la amnistía siguen sujetos al pago de los daños y perjuicios que han causado y no pueden reclamar, por razón de la amnistía misma, indemnización o reparación alguna.</w:t>
      </w:r>
    </w:p>
    <w:p w14:paraId="4331D91A" w14:textId="77777777" w:rsidR="00A8138F" w:rsidRDefault="00A8138F" w:rsidP="00A8138F">
      <w:pPr>
        <w:pStyle w:val="TextoNormal"/>
      </w:pPr>
    </w:p>
    <w:p w14:paraId="2DFABE93" w14:textId="77777777" w:rsidR="00A8138F" w:rsidRDefault="00A8138F" w:rsidP="00A8138F">
      <w:pPr>
        <w:pStyle w:val="TextoNormal"/>
      </w:pPr>
      <w:r>
        <w:t>c) En el plano material de análisis, resulta significativo que la Ley establezca un marco aplicativo que no comprende todos los actos ilícitos vinculados con el proceso separatista o independentista, pues el legislador ha decidido que la amnistía quede excluida en relación con infracciones penales de especial gravedad.</w:t>
      </w:r>
    </w:p>
    <w:p w14:paraId="19989D63" w14:textId="77777777" w:rsidR="00A8138F" w:rsidRDefault="00A8138F" w:rsidP="00A8138F">
      <w:pPr>
        <w:pStyle w:val="TextoNormal"/>
      </w:pPr>
    </w:p>
    <w:p w14:paraId="12A840B7" w14:textId="77777777" w:rsidR="00A8138F" w:rsidRDefault="00A8138F" w:rsidP="00A8138F">
      <w:pPr>
        <w:pStyle w:val="TextoNormal"/>
      </w:pPr>
      <w:r>
        <w:t xml:space="preserve">En primer lugar, la Ley de amnistía excluye expresamente de su ámbito de aplicación aquellos delitos que, bien por atentar contra la comunidad internacional —y por afectar, con ello, a un ámbito que trasciende de la soberanía del Estado—, bien por implicar especiales obligaciones de protección de la vida y la integridad personal de acuerdo con el art. 15 CE —en correspondencia con los arts. 2 y 3 CEDH—, pueden resultar incompatibles con la “unánimemente reconocida obligación de los Estados de perseguir y castigar graves violaciones de derechos humanos fundamentales” (STEDH de 27 de mayo de 2014, asunto </w:t>
      </w:r>
      <w:r w:rsidRPr="00A8138F">
        <w:rPr>
          <w:i/>
        </w:rPr>
        <w:t>Marguš c. Croacia</w:t>
      </w:r>
      <w:r>
        <w:t>, § 139). Traza, con ello, un primer ámbito de exclusión caracterizado por la salvaguarda de las obligaciones derivadas del Derecho internacional humanitario, así como de las obligaciones positivas de protección estatal vinculadas a la protección de la vida humana y la prohibición de torturas, tratos inhumanos y degradantes.</w:t>
      </w:r>
    </w:p>
    <w:p w14:paraId="0B7F62C1" w14:textId="77777777" w:rsidR="00A8138F" w:rsidRDefault="00A8138F" w:rsidP="00A8138F">
      <w:pPr>
        <w:pStyle w:val="TextoNormal"/>
      </w:pPr>
    </w:p>
    <w:p w14:paraId="62C62F1D" w14:textId="77777777" w:rsidR="00A8138F" w:rsidRDefault="00A8138F" w:rsidP="00A8138F">
      <w:pPr>
        <w:pStyle w:val="TextoNormal"/>
      </w:pPr>
      <w:r>
        <w:t xml:space="preserve">Se excluyen, concretamente: (i) los “delitos contra la comunidad internacional comprendidos en el título XXIV del libro II del Código penal” [art. 2 g)], lo que comprende los delitos contra el Derecho de gentes (arts. 605 y 606 CP), los delitos de genocidio (art. 607 CP), los de lesa humanidad (art. 607 </w:t>
      </w:r>
      <w:r w:rsidRPr="00A8138F">
        <w:rPr>
          <w:i/>
        </w:rPr>
        <w:t>bis</w:t>
      </w:r>
      <w:r>
        <w:t xml:space="preserve"> CP), los cometidos contra personas y bienes protegidos en caso de conflicto armado (arts. 608 a 614 </w:t>
      </w:r>
      <w:r w:rsidRPr="00A8138F">
        <w:rPr>
          <w:i/>
        </w:rPr>
        <w:t>bis</w:t>
      </w:r>
      <w:r>
        <w:t xml:space="preserve"> CP) y el delito de piratería (arts. 616 </w:t>
      </w:r>
      <w:r w:rsidRPr="00A8138F">
        <w:rPr>
          <w:i/>
        </w:rPr>
        <w:t>ter</w:t>
      </w:r>
      <w:r>
        <w:t xml:space="preserve"> y </w:t>
      </w:r>
      <w:r w:rsidRPr="00A8138F">
        <w:rPr>
          <w:i/>
        </w:rPr>
        <w:t>quater</w:t>
      </w:r>
      <w:r>
        <w:t xml:space="preserve"> CP); (ii) los “actos dolosos […] que hubieran producido un resultado de muerte, aborto o lesiones al feto, la pérdida o la inutilidad de un órgano o miembro, la pérdida o inutilidad de un sentido, la impotencia, la esterilidad o una grave deformidad” [art. 2 a)], elenco este que comprende los más graves atentados contra bienes jurídicos individuales y que va, con ello, más allá de la obligación positiva de protección estatal que puede derivar del art. 15 CE en relación con el art. 2 CEDH —vinculada a la protección de la vida—, pues también abarca la respuesta penal frente a resultados lesivos particularmente graves causados de forma dolosa; y (iii) los “actos tipificados como delitos de torturas o de tratos inhumanos o degradantes con arreglo al artículo 3 del Convenio para la protección de los derechos humanos y de las libertades fundamentales” [art. 2 b)], lo que conecta, a su vez, con la obligación positiva de especial protección estatal que puede derivar del art. 15 CE en su dimensión de prohibición absoluta de torturas, tratos inhumanos o degradantes.</w:t>
      </w:r>
    </w:p>
    <w:p w14:paraId="7022225E" w14:textId="77777777" w:rsidR="00A8138F" w:rsidRDefault="00A8138F" w:rsidP="00A8138F">
      <w:pPr>
        <w:pStyle w:val="TextoNormal"/>
      </w:pPr>
    </w:p>
    <w:p w14:paraId="1BFE2F53" w14:textId="77777777" w:rsidR="00A8138F" w:rsidRDefault="00A8138F" w:rsidP="00A8138F">
      <w:pPr>
        <w:pStyle w:val="TextoNormal"/>
      </w:pPr>
      <w:r>
        <w:t>En el caso de las torturas, conviene aclarar que, aunque el art. 2 b) de la Ley de amnistía excepciona “aquellos tratos que no superen un umbral mínimo de gravedad por no resultar idóneos para humillar o degradar a una persona o mostrar una disminución de su dignidad humana, o para provocar miedo, angustia o inferioridad de una forma capaz de quebrar su resistencia moral y física”, lo cierto es que esta pretendida “excepción” no constituye más que una referencia sintética a los criterios mínimos de delimitación de los actos contrarios al art. 3 CEDH de acuerdo con la jurisprudencia del Tribunal Europeo de Derechos Humanos.</w:t>
      </w:r>
    </w:p>
    <w:p w14:paraId="657910BB" w14:textId="77777777" w:rsidR="00A8138F" w:rsidRDefault="00A8138F" w:rsidP="00A8138F">
      <w:pPr>
        <w:pStyle w:val="TextoNormal"/>
      </w:pPr>
    </w:p>
    <w:p w14:paraId="50638F97" w14:textId="77777777" w:rsidR="00A8138F" w:rsidRDefault="00A8138F" w:rsidP="00A8138F">
      <w:pPr>
        <w:pStyle w:val="TextoNormal"/>
      </w:pPr>
      <w:r>
        <w:t>Este primer ámbito de exclusión tiene, además, una especificación adicional para el caso de delitos que puedan ser catalogados como terrorismo, que quedan excluidos cuando “hayan causado de forma intencionada graves violaciones de derechos humanos, en particular las reguladas en los artículos 2 y 3 del Convenio europeo para la protección de los derechos humanos y de las libertades fundamentales, y en el derecho internacional humanitario” [art. 2 c)].</w:t>
      </w:r>
    </w:p>
    <w:p w14:paraId="0E043363" w14:textId="77777777" w:rsidR="00A8138F" w:rsidRDefault="00A8138F" w:rsidP="00A8138F">
      <w:pPr>
        <w:pStyle w:val="TextoNormal"/>
      </w:pPr>
    </w:p>
    <w:p w14:paraId="5BC25B99" w14:textId="77777777" w:rsidR="00A8138F" w:rsidRDefault="00A8138F" w:rsidP="00A8138F">
      <w:pPr>
        <w:pStyle w:val="TextoNormal"/>
      </w:pPr>
      <w:r>
        <w:t>Asimismo, la Ley de amnistía también excluye infracciones que considera especialmente graves por obedecer a un elenco de motivos discriminatorios —“racistas, antisemitas, antigitan[o]s”, etc.— que estima especialmente repudiables desde la óptica de los derechos humanos [art. 2 d)].</w:t>
      </w:r>
    </w:p>
    <w:p w14:paraId="36490992" w14:textId="77777777" w:rsidR="00A8138F" w:rsidRDefault="00A8138F" w:rsidP="00A8138F">
      <w:pPr>
        <w:pStyle w:val="TextoNormal"/>
      </w:pPr>
    </w:p>
    <w:p w14:paraId="0C2AE68E" w14:textId="77777777" w:rsidR="00A8138F" w:rsidRDefault="00A8138F" w:rsidP="00A8138F">
      <w:pPr>
        <w:pStyle w:val="TextoNormal"/>
      </w:pPr>
      <w:r>
        <w:t>De otro lado, y en relación ya con las infracciones penales que protegen bienes jurídicos colectivos, se observa que la Ley excluye de su ámbito de aplicación aquellos delitos que atentan contra los intereses existenciales del propio Estado, en particular los “actos tipificados como delitos de traición y contra la paz o la independencia del Estado y relativos a la defensa nacional del título XXIII del libro II del Código penal, siempre que se haya producido tanto una amenaza efectiva y real como un uso efectivo de la fuerza” [art. 2 f)].</w:t>
      </w:r>
    </w:p>
    <w:p w14:paraId="56878C94" w14:textId="77777777" w:rsidR="00A8138F" w:rsidRDefault="00A8138F" w:rsidP="00A8138F">
      <w:pPr>
        <w:pStyle w:val="TextoNormal"/>
      </w:pPr>
    </w:p>
    <w:p w14:paraId="7743BE4E" w14:textId="77777777" w:rsidR="00A8138F" w:rsidRDefault="00A8138F" w:rsidP="00A8138F">
      <w:pPr>
        <w:pStyle w:val="TextoNormal"/>
      </w:pPr>
      <w:r>
        <w:t>En el caso particular de la malversación, se aprecia, asimismo, que la Ley rechaza expresamente amnistiar las malversaciones que afectan a intereses que trascienden a los de las administraciones públicas españolas, al salvaguardar los actos tipificados como delitos que “afectaran a los intereses financieros de la Unión Europea” [art. 2 e)].</w:t>
      </w:r>
    </w:p>
    <w:p w14:paraId="07C67144" w14:textId="77777777" w:rsidR="00A8138F" w:rsidRDefault="00A8138F" w:rsidP="00A8138F">
      <w:pPr>
        <w:pStyle w:val="TextoNormal"/>
      </w:pPr>
    </w:p>
    <w:p w14:paraId="6A0CA212" w14:textId="77777777" w:rsidR="00A8138F" w:rsidRDefault="00A8138F" w:rsidP="00A8138F">
      <w:pPr>
        <w:pStyle w:val="TextoNormal"/>
      </w:pPr>
      <w:r>
        <w:t>Pues bien, todo este elenco de exclusiones pone de relieve, en lo que al juicio de igualdad sobre la Ley de amnistía en su conjunto interesa, que el legislador trata de acotar el ámbito de aplicación de la amnistía, y con ello el trato más favorable que reciben sus beneficiarios: (i) a infracciones que entran dentro de su poder de disposición —excluyendo las afectadas por el Derecho internacional humanitario o las que atentan contra intereses de la Unión— y (ii) a infracciones que no revisten una gravedad manifiestamente desproporcionada en relación con el propósito de la amnistía, considerando como tales, fundamentalmente, las que protegen la vida o la integridad moral, las que implican resultados lesivos particularmente graves causados de forma dolosa, las que persiguen propósitos especialmente repudiables —por discriminatorios— y las que amenazan a intereses existenciales del propio Estado.</w:t>
      </w:r>
    </w:p>
    <w:p w14:paraId="38AEB3A1" w14:textId="77777777" w:rsidR="00A8138F" w:rsidRDefault="00A8138F" w:rsidP="00A8138F">
      <w:pPr>
        <w:pStyle w:val="TextoNormal"/>
      </w:pPr>
    </w:p>
    <w:p w14:paraId="6CA6A2D7" w14:textId="77777777" w:rsidR="00A8138F" w:rsidRDefault="00A8138F" w:rsidP="00A8138F">
      <w:pPr>
        <w:pStyle w:val="TextoNormal"/>
      </w:pPr>
      <w:r>
        <w:t>Este tribunal considera que esta delimitación objetiva, efectuada por el legislador, mantiene una razonable relación de proporcionalidad con los fines que presiden la amnistía otorgada —que son la reconciliación y normalización de las relaciones políticas, sociales e institucionales—, pues circunscribe los efectos o consecuencias de la amnistía a aquellas infracciones que no pueden considerarse particularmente graves desde parámetros que resultan objetivos y razonables.</w:t>
      </w:r>
    </w:p>
    <w:p w14:paraId="6153E8E5" w14:textId="77777777" w:rsidR="00A8138F" w:rsidRDefault="00A8138F" w:rsidP="00A8138F">
      <w:pPr>
        <w:pStyle w:val="TextoNormal"/>
      </w:pPr>
    </w:p>
    <w:p w14:paraId="5A544402" w14:textId="77777777" w:rsidR="00A8138F" w:rsidRDefault="00A8138F" w:rsidP="00A8138F">
      <w:pPr>
        <w:pStyle w:val="TextoNormal"/>
      </w:pPr>
      <w:r>
        <w:t>Tal delimitación de los actos ilícitos amnistiables puede ser técnicamente mejorable pero obedece, en los términos que han sido expuestos, a una ponderación que no puede calificarse de arbitraria o irrazonable. No correspondiendo a este tribunal enjuiciar la calidad técnica de la norma legal impugnada, no puede decirse que la Ley de amnistía incurra aquí en excesos manifiestos en relación con su causa y finalidad justificativas y que viole, con ello, la cláusula general de igualdad.</w:t>
      </w:r>
    </w:p>
    <w:p w14:paraId="45266D97" w14:textId="77777777" w:rsidR="00A8138F" w:rsidRDefault="00A8138F" w:rsidP="00A8138F">
      <w:pPr>
        <w:pStyle w:val="TextoNormal"/>
      </w:pPr>
    </w:p>
    <w:p w14:paraId="57CE60EA" w14:textId="77777777" w:rsidR="00A8138F" w:rsidRDefault="00A8138F" w:rsidP="00A8138F">
      <w:pPr>
        <w:pStyle w:val="TextoNormal"/>
      </w:pPr>
      <w:r>
        <w:t>d) Finalmente, se observa que el ámbito temporal de la amnistía se encuentra configurado a través del juego de dos preceptos distintos. El párrafo inicial del art. 1.1 de la Ley determina las fechas (inicial y final) en las que deben enmarcarse los actos amnistiados, mientras que el art. 1.3 establece, a su vez, un efecto adicional tanto retrospectivo (en el párrafo primero) como prospectivo (en el párrafo segundo). Estos dos preceptos deben ser examinados separadamente.</w:t>
      </w:r>
    </w:p>
    <w:p w14:paraId="07DE65A0" w14:textId="77777777" w:rsidR="00A8138F" w:rsidRDefault="00A8138F" w:rsidP="00A8138F">
      <w:pPr>
        <w:pStyle w:val="TextoNormal"/>
      </w:pPr>
    </w:p>
    <w:p w14:paraId="22FE91C5" w14:textId="77777777" w:rsidR="00A8138F" w:rsidRDefault="00A8138F" w:rsidP="00A8138F">
      <w:pPr>
        <w:pStyle w:val="TextoNormal"/>
      </w:pPr>
      <w:r>
        <w:t>(i) En cuanto al párrafo inicial del art. 1.1 de la Ley de amnistía, es obvio que la fijación de un marco temporal —en cualquier ámbito del Derecho— no siempre resulta plenamente satisfactoria desde una óptica racional pues responde, en buena medida, a la necesidad práctica de datar convencionalmente, por razones de seguridad jurídica, fenómenos que, por su complejidad, no siempre resultan claramente deslindables en el plano empírico (piénsese, por ejemplo, en el momento en que se alcanza la madurez necesaria para ser acreedor de responsabilidad penal). Lo decisivo es, por ello, que los límites fijados por el legislador para establecer el marco temporal correspondiente tengan una razón justificativa plausible.</w:t>
      </w:r>
    </w:p>
    <w:p w14:paraId="5CC72C1E" w14:textId="77777777" w:rsidR="00A8138F" w:rsidRDefault="00A8138F" w:rsidP="00A8138F">
      <w:pPr>
        <w:pStyle w:val="TextoNormal"/>
      </w:pPr>
    </w:p>
    <w:p w14:paraId="655EE9E1" w14:textId="77777777" w:rsidR="00A8138F" w:rsidRDefault="00A8138F" w:rsidP="00A8138F">
      <w:pPr>
        <w:pStyle w:val="TextoNormal"/>
      </w:pPr>
      <w:r>
        <w:t>Con esta premisa, no puede decirse que el art. 1.1 de la Ley —que acota el ámbito temporal de la amnistía a los actos “que hubieren sido realizados entre los días 1 de noviembre de 2011 y 13 de noviembre de 2023”— carezca de justificación.</w:t>
      </w:r>
    </w:p>
    <w:p w14:paraId="68B5740D" w14:textId="77777777" w:rsidR="00A8138F" w:rsidRDefault="00A8138F" w:rsidP="00A8138F">
      <w:pPr>
        <w:pStyle w:val="TextoNormal"/>
      </w:pPr>
    </w:p>
    <w:p w14:paraId="1D729F9B" w14:textId="77777777" w:rsidR="00A8138F" w:rsidRDefault="00A8138F" w:rsidP="00A8138F">
      <w:pPr>
        <w:pStyle w:val="TextoNormal"/>
      </w:pPr>
      <w:r>
        <w:t>Es claro que las conductas amnistiadas pivotan sobre dos puntos de conexión temporal objetivamente identificados, que son las consultas inconstitucionales de 9 de noviembre de 2014 y 1 de octubre de 2017, y que el propósito del legislador, como explica el preámbulo de la norma, es abarcar tanto los actos preparatorios de ambos eventos como aquellos otros que pueden considerarse su consecuencia directa.</w:t>
      </w:r>
    </w:p>
    <w:p w14:paraId="302BCE20" w14:textId="77777777" w:rsidR="00A8138F" w:rsidRDefault="00A8138F" w:rsidP="00A8138F">
      <w:pPr>
        <w:pStyle w:val="TextoNormal"/>
      </w:pPr>
    </w:p>
    <w:p w14:paraId="7F1F1843" w14:textId="77777777" w:rsidR="00A8138F" w:rsidRDefault="00A8138F" w:rsidP="00A8138F">
      <w:pPr>
        <w:pStyle w:val="TextoNormal"/>
      </w:pPr>
      <w:r>
        <w:t>Con este presupuesto, puede observarse que la fecha inicial de la amnistía (1 de noviembre de 2011) procede de una enmienda transaccional aprobada con motivo del segundo dictamen de la comisión de justicia y con fundamento en una previa enmienda (núm. 25) presentada por el Grupo Parlamentario Junts per Catalunya durante los debates de la ponencia. La referida enmienda fue justificada —en el debate parlamentario relativo al primer dictamen de la comisión de justicia— como necesaria para incluir hechos preparatorios de la consulta de 9 de noviembre de 2014 que aparecían mencionados en un informe de fiscalización del Tribunal de Cuentas, hechos estos que se remontaban a noviembre de 2011 (“Diario de Sesiones del Congreso de los Diputados”, Comisiones, XV legislatura, núm. 34, de 23 de enero de 2024, pág. 11).</w:t>
      </w:r>
    </w:p>
    <w:p w14:paraId="0C6885DD" w14:textId="77777777" w:rsidR="00A8138F" w:rsidRDefault="00A8138F" w:rsidP="00A8138F">
      <w:pPr>
        <w:pStyle w:val="TextoNormal"/>
      </w:pPr>
    </w:p>
    <w:p w14:paraId="2ABF5A3D" w14:textId="77777777" w:rsidR="00A8138F" w:rsidRDefault="00A8138F" w:rsidP="00A8138F">
      <w:pPr>
        <w:pStyle w:val="TextoNormal"/>
      </w:pPr>
      <w:r>
        <w:t>En relación con la fecha final, lo cierto es que el legislador considera, según consigna en el preámbulo de la norma, que la tensión política y social que justifica la amnistía sigue existiendo al momento de dictarse la propia Ley de amnistía, lo que indica que podía optar legítimamente por cualquier fecha anterior a su entrada en vigor sin perder la relación de congruencia con la causa y finalidad justificantes. La fecha establecida (13 de noviembre de 2023) es, concretamente, la de presentación, por parte del Grupo Parlamentario Socialista, de la proposición de ley con la que se inició el trámite parlamentario (véase, “Boletín Oficial de las Cortes Generales”, Sección Congreso de los Diputados, Serie B, XV legislatura, núm. 32-1, de 24 de noviembre de 2023).</w:t>
      </w:r>
    </w:p>
    <w:p w14:paraId="2D463186" w14:textId="77777777" w:rsidR="00A8138F" w:rsidRDefault="00A8138F" w:rsidP="00A8138F">
      <w:pPr>
        <w:pStyle w:val="TextoNormal"/>
      </w:pPr>
    </w:p>
    <w:p w14:paraId="0741B853" w14:textId="77777777" w:rsidR="00A8138F" w:rsidRDefault="00A8138F" w:rsidP="00A8138F">
      <w:pPr>
        <w:pStyle w:val="TextoNormal"/>
      </w:pPr>
      <w:r>
        <w:t>Ambas fechas cuentan, por tanto, con una explicación que no puede considerarse irrazonable.</w:t>
      </w:r>
    </w:p>
    <w:p w14:paraId="2C6052E1" w14:textId="77777777" w:rsidR="00A8138F" w:rsidRDefault="00A8138F" w:rsidP="00A8138F">
      <w:pPr>
        <w:pStyle w:val="TextoNormal"/>
      </w:pPr>
    </w:p>
    <w:p w14:paraId="15916D2E" w14:textId="77777777" w:rsidR="00A8138F" w:rsidRDefault="00A8138F" w:rsidP="00A8138F">
      <w:pPr>
        <w:pStyle w:val="TextoNormal"/>
      </w:pPr>
      <w:r>
        <w:t>(ii) No puede decirse lo mismo de la apostilla que introduce, en cuanto al límite temporal de la amnistía, el art. 1.3 de la Ley. Este precepto contiene, en párrafos separados, dos normas distintas. En su párrafo primero señala que “[l]os actos cuya realización se hubiera iniciado antes del día 1 de noviembre de 2011 únicamente se entenderán comprendidos en el ámbito de aplicación de la presente ley cuando su ejecución finalizase con posterioridad a esa fecha”. Dispone, a continuación, en su párrafo segundo que “[l]os actos cuya realización se hubiera iniciado antes del día 13 de noviembre de 2023 también se entenderán comprendidos en el ámbito de aplicación de la presente ley aunque su ejecución finalizase con posterioridad a esa fecha”.</w:t>
      </w:r>
    </w:p>
    <w:p w14:paraId="7A9A8266" w14:textId="77777777" w:rsidR="00A8138F" w:rsidRDefault="00A8138F" w:rsidP="00A8138F">
      <w:pPr>
        <w:pStyle w:val="TextoNormal"/>
      </w:pPr>
    </w:p>
    <w:p w14:paraId="4044DC91" w14:textId="77777777" w:rsidR="00A8138F" w:rsidRDefault="00A8138F" w:rsidP="00A8138F">
      <w:pPr>
        <w:pStyle w:val="TextoNormal"/>
      </w:pPr>
      <w:r>
        <w:t>Las reglas aludidas constituyen un complemento del período de aplicación de la amnistía del párrafo primero del art. 1.1 de la Ley de amnistía. Tratan, concretamente, de solucionar las dudas interpretativas que puedan surgir en relación con hechos delictivos que se dilatan en el tiempo. Así, si la unidad de acción que conforma la conducta punible puede entenderse parcialmente realizada fuera del marco temporal de la amnistía, sea porque su ejecución comenzó antes del 1 de noviembre de 2011, sea porque se prolonga más allá del 13 de noviembre de 2023, el correspondiente delito ha de resultar, por mandato de este precepto, igualmente amnistiado.</w:t>
      </w:r>
    </w:p>
    <w:p w14:paraId="079B4B59" w14:textId="77777777" w:rsidR="00A8138F" w:rsidRDefault="00A8138F" w:rsidP="00A8138F">
      <w:pPr>
        <w:pStyle w:val="TextoNormal"/>
      </w:pPr>
    </w:p>
    <w:p w14:paraId="59286A04" w14:textId="77777777" w:rsidR="00A8138F" w:rsidRDefault="00A8138F" w:rsidP="00A8138F">
      <w:pPr>
        <w:pStyle w:val="TextoNormal"/>
      </w:pPr>
      <w:r>
        <w:t>Es de reseñar que la redacción legal del art. 1.3 de la Ley de amnistía no admite otra interpretación lógica. El precepto no se refiere a los resultados que puedan manifestarse, al margen del comportamiento del autor de la infracción, después de que la conducta delictiva haya sido enteramente ejecutada por este. Establece, antes bien, una regla que resuelve los casos de conductas criminales cuya “ejecución” o “realización” se prolonga en el tiempo y que, por tal razón, solo parcialmente puede considerarse abarcada por el abanico temporal del art. 1.1 de la Ley.</w:t>
      </w:r>
    </w:p>
    <w:p w14:paraId="5BB3A849" w14:textId="77777777" w:rsidR="00A8138F" w:rsidRDefault="00A8138F" w:rsidP="00A8138F">
      <w:pPr>
        <w:pStyle w:val="TextoNormal"/>
      </w:pPr>
    </w:p>
    <w:p w14:paraId="0164DB33" w14:textId="77777777" w:rsidR="00A8138F" w:rsidRDefault="00A8138F" w:rsidP="00A8138F">
      <w:pPr>
        <w:pStyle w:val="TextoNormal"/>
      </w:pPr>
      <w:r>
        <w:t>Siendo esto así, se observa que el referido precepto —que puede considerarse razonable en lo que se refiere al efecto retrospectivo de su párrafo primero— genera, en su párrafo segundo, efectos prospectivos ilimitados. En efecto, de acuerdo con la regla del párrafo segundo del art. 1.3 de la Ley de amnistía, un individuo que ha comenzado su actividad criminal antes del 13 de noviembre de 2023 puede después prolongarla indefinidamente con la seguridad de que no recibirá sanción alguna. Semejante regla equivale, por tanto, al otorgamiento de una habilitación para seguir desarrollando en lo sucesivo, sin sufrir sanción alguna, un comportamiento criminal ya iniciado.</w:t>
      </w:r>
    </w:p>
    <w:p w14:paraId="6A45D8B0" w14:textId="77777777" w:rsidR="00A8138F" w:rsidRDefault="00A8138F" w:rsidP="00A8138F">
      <w:pPr>
        <w:pStyle w:val="TextoNormal"/>
      </w:pPr>
    </w:p>
    <w:p w14:paraId="4B469ED0" w14:textId="77777777" w:rsidR="00A8138F" w:rsidRDefault="00A8138F" w:rsidP="00A8138F">
      <w:pPr>
        <w:pStyle w:val="TextoNormal"/>
      </w:pPr>
      <w:r>
        <w:t xml:space="preserve">Este tribunal considera que no resulta inteligible ninguna razón justificativa de este efecto </w:t>
      </w:r>
      <w:r w:rsidRPr="00A8138F">
        <w:rPr>
          <w:i/>
        </w:rPr>
        <w:t>pro futuro</w:t>
      </w:r>
      <w:r>
        <w:t>, que cuestiona la dinámica misma de la amnistía como institución. Solo muy excepcionalmente se encuentran, en el Derecho comparado, supuestos que incluyen efectos exoneradores de conductas futuras y ello, en todo caso, en contextos muy distintos a los que concurren en la Ley de amnistía, concretamente en supuestos de enfrentamiento armado en los que legislador busca favorecer la deserción y el abandono de las armas, dando un plazo determinado (sin que el efecto exonerador quede, por tanto, indefinidamente abierto).</w:t>
      </w:r>
    </w:p>
    <w:p w14:paraId="222F5D3F" w14:textId="77777777" w:rsidR="00A8138F" w:rsidRDefault="00A8138F" w:rsidP="00A8138F">
      <w:pPr>
        <w:pStyle w:val="TextoNormal"/>
      </w:pPr>
    </w:p>
    <w:p w14:paraId="3525C761" w14:textId="77777777" w:rsidR="00A8138F" w:rsidRDefault="00A8138F" w:rsidP="00A8138F">
      <w:pPr>
        <w:pStyle w:val="TextoNormal"/>
      </w:pPr>
      <w:r>
        <w:t>De ello se desprende que la cláusula del párrafo segundo del art. 1.3 de la Ley carece de conexión suficiente con la razón justificativa de la amnistía, pues esta no puede explicar racionalmente que unos ciudadanos reciban del legislador una habilitación para continuar sus actividades criminales en el futuro, en contraste con el resto de los ciudadanos, que deben sujetar sus futuras acciones a las normas penales vigentes. En otras palabras, unos ciudadanos quedan sometidos en lo sucesivo a las disposiciones del Código penal y otros no, consecuencia esta que ha de reputarse desmedida y, en tal sentido, discriminatoria.</w:t>
      </w:r>
    </w:p>
    <w:p w14:paraId="19100C0F" w14:textId="77777777" w:rsidR="00A8138F" w:rsidRDefault="00A8138F" w:rsidP="00A8138F">
      <w:pPr>
        <w:pStyle w:val="TextoNormal"/>
      </w:pPr>
    </w:p>
    <w:p w14:paraId="58D9061F" w14:textId="77777777" w:rsidR="00A8138F" w:rsidRDefault="00A8138F" w:rsidP="00A8138F">
      <w:pPr>
        <w:pStyle w:val="TextoNormal"/>
      </w:pPr>
      <w:r>
        <w:t>Es por tal razón que procede declarar inconstitucional y nulo el párrafo segundo del art. 1.3 de la Ley de amnistía por vulnerar el art. 14 CE.</w:t>
      </w:r>
    </w:p>
    <w:p w14:paraId="03A2DBE0" w14:textId="77777777" w:rsidR="00A8138F" w:rsidRDefault="00A8138F" w:rsidP="00A8138F">
      <w:pPr>
        <w:pStyle w:val="TextoNormal"/>
      </w:pPr>
    </w:p>
    <w:p w14:paraId="52457F06" w14:textId="77777777" w:rsidR="00A8138F" w:rsidRDefault="00A8138F" w:rsidP="00A8138F">
      <w:pPr>
        <w:pStyle w:val="TextoNormal"/>
      </w:pPr>
      <w:r>
        <w:t>8.3</w:t>
      </w:r>
      <w:r w:rsidRPr="00A8138F">
        <w:rPr>
          <w:i/>
        </w:rPr>
        <w:t>.5. Efectos de la declaración de inconstitucional</w:t>
      </w:r>
      <w:r>
        <w:t>idad</w:t>
      </w:r>
    </w:p>
    <w:p w14:paraId="2504E447" w14:textId="77777777" w:rsidR="00A8138F" w:rsidRDefault="00A8138F" w:rsidP="00A8138F">
      <w:pPr>
        <w:pStyle w:val="TextoNormal"/>
      </w:pPr>
    </w:p>
    <w:p w14:paraId="37E24B79" w14:textId="77777777" w:rsidR="00A8138F" w:rsidRDefault="00A8138F" w:rsidP="00A8138F">
      <w:pPr>
        <w:pStyle w:val="TextoNormal"/>
      </w:pPr>
      <w:r>
        <w:t>De acuerdo con lo expuesto en los apartados precedentes, este tribunal concluye que:</w:t>
      </w:r>
    </w:p>
    <w:p w14:paraId="7552FA6F" w14:textId="77777777" w:rsidR="00A8138F" w:rsidRDefault="00A8138F" w:rsidP="00A8138F">
      <w:pPr>
        <w:pStyle w:val="TextoNormal"/>
      </w:pPr>
    </w:p>
    <w:p w14:paraId="3A23D587" w14:textId="77777777" w:rsidR="00A8138F" w:rsidRDefault="00A8138F" w:rsidP="00A8138F">
      <w:pPr>
        <w:pStyle w:val="TextoNormal"/>
      </w:pPr>
      <w:r>
        <w:t>(1) El art. 1.1 de la Ley resulta inconstitucional, por lesionar el art. 14 CE, en cuanto excluye del ámbito de aplicación de la amnistía, sin una justificación objetiva y razonable, los actos ilícitos que, estando comprendidos dentro del referido precepto, se realizaron con la finalidad de oponerse a la secesión o independencia de Cataluña o a la celebración de las consultas que tuvieron lugar en Cataluña el 9 de noviembre de 2014 o el 1 de octubre de 2017.</w:t>
      </w:r>
    </w:p>
    <w:p w14:paraId="66010017" w14:textId="77777777" w:rsidR="00A8138F" w:rsidRDefault="00A8138F" w:rsidP="00A8138F">
      <w:pPr>
        <w:pStyle w:val="TextoNormal"/>
      </w:pPr>
    </w:p>
    <w:p w14:paraId="7D8FFF3D" w14:textId="77777777" w:rsidR="00A8138F" w:rsidRDefault="00A8138F" w:rsidP="00A8138F">
      <w:pPr>
        <w:pStyle w:val="TextoNormal"/>
      </w:pPr>
      <w:r>
        <w:t>Del mismo modo que en supuestos similares abordados por nuestra doctrina (SSTC 45/1989, de 20 de febrero, FJ 11, y 222/1992, de 11 de diciembre, FJ 7), procede, por ello,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FJ 11) y, en el caso presente, una declaración de nulidad “dañaría, sin razón alguna” (STC 222/1992, FJ 7) a quienes sí han sido incluidos dentro del ámbito de aplicación de la norma.</w:t>
      </w:r>
    </w:p>
    <w:p w14:paraId="5FD0638D" w14:textId="77777777" w:rsidR="00A8138F" w:rsidRDefault="00A8138F" w:rsidP="00A8138F">
      <w:pPr>
        <w:pStyle w:val="TextoNormal"/>
      </w:pPr>
    </w:p>
    <w:p w14:paraId="4F330D25" w14:textId="77777777" w:rsidR="00A8138F" w:rsidRDefault="00A8138F" w:rsidP="00A8138F">
      <w:pPr>
        <w:pStyle w:val="TextoNormal"/>
      </w:pPr>
      <w:r>
        <w:t>En consecuencia, las disposiciones de la Ley han de entenderse aplicables, con las mismas condiciones, límites y requisitos que sus normas establecen, a quienes realizaron los actos amnistiables con la finalidad de oponerse a la secesión o independencia de Cataluña o a la celebración de las referidas consultas.</w:t>
      </w:r>
    </w:p>
    <w:p w14:paraId="3F58777B" w14:textId="77777777" w:rsidR="00A8138F" w:rsidRDefault="00A8138F" w:rsidP="00A8138F">
      <w:pPr>
        <w:pStyle w:val="TextoNormal"/>
      </w:pPr>
    </w:p>
    <w:p w14:paraId="0202AE36" w14:textId="71C8E2F7" w:rsidR="00A8138F" w:rsidRDefault="00A8138F" w:rsidP="00A8138F">
      <w:pPr>
        <w:pStyle w:val="TextoNormal"/>
      </w:pPr>
      <w:r>
        <w:t xml:space="preserve">(2) El párrafo segundo del art. 1.3 de la Ley es, a su vez, inconstitucional y nulo al otorgar un efecto </w:t>
      </w:r>
      <w:r w:rsidRPr="00A8138F">
        <w:rPr>
          <w:i/>
        </w:rPr>
        <w:t>pro futuro</w:t>
      </w:r>
      <w:r>
        <w:t xml:space="preserve"> a la amnistía que carece de justificación objetiva y razonable y que resulta, por ello, contrario al art. 14 CE.</w:t>
      </w:r>
    </w:p>
    <w:p w14:paraId="2CCE66A8" w14:textId="77777777" w:rsidR="00A8138F" w:rsidRDefault="00A8138F" w:rsidP="00A8138F">
      <w:pPr>
        <w:pStyle w:val="TextoNormal"/>
      </w:pPr>
    </w:p>
    <w:p w14:paraId="250BF515" w14:textId="77777777" w:rsidR="00A8138F" w:rsidRDefault="00A8138F" w:rsidP="00A8138F">
      <w:pPr>
        <w:pStyle w:val="TextoNormal"/>
      </w:pPr>
      <w:r w:rsidRPr="00A8138F">
        <w:rPr>
          <w:rStyle w:val="NumeroAFNegritaCaracter"/>
        </w:rPr>
        <w:t>9</w:t>
      </w:r>
      <w:r>
        <w:t xml:space="preserve">. </w:t>
      </w:r>
      <w:r w:rsidRPr="00A8138F">
        <w:rPr>
          <w:i/>
        </w:rPr>
        <w:t>La alegada vulneración del derecho a la tutela judicial efectiva (art. 24.1 CE)</w:t>
      </w:r>
    </w:p>
    <w:p w14:paraId="022FCE3F" w14:textId="77777777" w:rsidR="00A8138F" w:rsidRDefault="00A8138F" w:rsidP="00A8138F">
      <w:pPr>
        <w:pStyle w:val="TextoNormal"/>
      </w:pPr>
    </w:p>
    <w:p w14:paraId="724D1A3D" w14:textId="77777777" w:rsidR="00A8138F" w:rsidRDefault="00A8138F" w:rsidP="00A8138F">
      <w:pPr>
        <w:pStyle w:val="TextoNormal"/>
      </w:pPr>
      <w:r>
        <w:t xml:space="preserve">9.1. </w:t>
      </w:r>
      <w:r w:rsidRPr="00A8138F">
        <w:rPr>
          <w:i/>
        </w:rPr>
        <w:t>Exposición del motivo y alegaciones de las partes</w:t>
      </w:r>
    </w:p>
    <w:p w14:paraId="4A285754" w14:textId="77777777" w:rsidR="00A8138F" w:rsidRDefault="00A8138F" w:rsidP="00A8138F">
      <w:pPr>
        <w:pStyle w:val="TextoNormal"/>
      </w:pPr>
    </w:p>
    <w:p w14:paraId="558E35AF" w14:textId="77777777" w:rsidR="00A8138F" w:rsidRDefault="00A8138F" w:rsidP="00A8138F">
      <w:pPr>
        <w:pStyle w:val="TextoNormal"/>
      </w:pPr>
      <w:r>
        <w:t>Como ya se ha expuesto con detalle en los antecedentes, los recurrentes consideran que la Ley de amnistía es inconstitucional porque vulnera el derecho a la tutela judicial efectiva en su dimensión de la ejecución de las resoluciones judiciales firmes (art. 24.1 CE). Afirman que la Ley priva a los perjudicados por los delitos amnistiados de la ejecución de las sentencias condenatorias y de la reparación de los perjuicios sufridos.</w:t>
      </w:r>
    </w:p>
    <w:p w14:paraId="7DBA8C35" w14:textId="77777777" w:rsidR="00A8138F" w:rsidRDefault="00A8138F" w:rsidP="00A8138F">
      <w:pPr>
        <w:pStyle w:val="TextoNormal"/>
      </w:pPr>
    </w:p>
    <w:p w14:paraId="6F4036AF" w14:textId="77777777" w:rsidR="00A8138F" w:rsidRDefault="00A8138F" w:rsidP="00A8138F">
      <w:pPr>
        <w:pStyle w:val="TextoNormal"/>
      </w:pPr>
      <w:r>
        <w:t>Las demás partes de este proceso no han formulado alegaciones en relación con este motivo del recurso.</w:t>
      </w:r>
    </w:p>
    <w:p w14:paraId="53E4192A" w14:textId="77777777" w:rsidR="00A8138F" w:rsidRDefault="00A8138F" w:rsidP="00A8138F">
      <w:pPr>
        <w:pStyle w:val="TextoNormal"/>
      </w:pPr>
    </w:p>
    <w:p w14:paraId="334F0B6B" w14:textId="77777777" w:rsidR="00A8138F" w:rsidRDefault="00A8138F" w:rsidP="00A8138F">
      <w:pPr>
        <w:pStyle w:val="TextoNormal"/>
      </w:pPr>
      <w:r>
        <w:t xml:space="preserve">9.2. </w:t>
      </w:r>
      <w:r w:rsidRPr="00A8138F">
        <w:rPr>
          <w:i/>
        </w:rPr>
        <w:t>Doctrina constitucional y enjuiciamiento del motivo</w:t>
      </w:r>
    </w:p>
    <w:p w14:paraId="1874C860" w14:textId="77777777" w:rsidR="00A8138F" w:rsidRDefault="00A8138F" w:rsidP="00A8138F">
      <w:pPr>
        <w:pStyle w:val="TextoNormal"/>
      </w:pPr>
    </w:p>
    <w:p w14:paraId="1AE549EC" w14:textId="77777777" w:rsidR="00A8138F" w:rsidRDefault="00A8138F" w:rsidP="00A8138F">
      <w:pPr>
        <w:pStyle w:val="TextoNormal"/>
      </w:pPr>
      <w:r>
        <w:t>La ejecución de las resoluciones judiciales, además de estar prevista en el art. 118 CE, constituye una de las vertientes del derecho a la tutela judicial efectiva (art. 24.1 CE), como reiteradamente ha reconocido el Tribunal Constitucional. Este derecho está conectado con la cláusula de efectividad contenida en el art. 24.1 CE, que garantiza que las resoluciones judiciales no sean meras declaraciones de intenciones y, por ello, el fallo de estas resoluciones ha de cumplirse para otorgar así una tutela eficaz y real.</w:t>
      </w:r>
    </w:p>
    <w:p w14:paraId="7DF050C4" w14:textId="77777777" w:rsidR="00A8138F" w:rsidRDefault="00A8138F" w:rsidP="00A8138F">
      <w:pPr>
        <w:pStyle w:val="TextoNormal"/>
      </w:pPr>
    </w:p>
    <w:p w14:paraId="38909878" w14:textId="77777777" w:rsidR="00A8138F" w:rsidRDefault="00A8138F" w:rsidP="00A8138F">
      <w:pPr>
        <w:pStyle w:val="TextoNormal"/>
      </w:pPr>
      <w:r>
        <w:t>El derecho a la ejecución de las resoluciones judiciales, como derecho de configuración legal, ha de ejercerse conforme a las prescripciones legales, que deben respetar el contenido esencial del derecho. Como afirmó la STC 113/1989, de 22 de junio, FJ 3, “esta potestad de mediación legislativa de los derechos que se integran en el de tutela judicial no es absoluta, ni dependiente del arbitrio del legislador, pues, dentro del respeto debido al contenido esencial de los derechos fundamentales, resulta indiscutible que el art. 24.1 de la Constitución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(doctrina citada en las SSTC 166/1998, de 15 de julio, FJ 5; 73/2000, de 14 de marzo, FJ 10, y 26/2025, de 29 de enero, FJ 6).</w:t>
      </w:r>
    </w:p>
    <w:p w14:paraId="17DCAD76" w14:textId="77777777" w:rsidR="00A8138F" w:rsidRDefault="00A8138F" w:rsidP="00A8138F">
      <w:pPr>
        <w:pStyle w:val="TextoNormal"/>
      </w:pPr>
    </w:p>
    <w:p w14:paraId="5B724F40" w14:textId="77777777" w:rsidR="00A8138F" w:rsidRDefault="00A8138F" w:rsidP="00A8138F">
      <w:pPr>
        <w:pStyle w:val="TextoNormal"/>
      </w:pPr>
      <w:r>
        <w:t>El ámbito protegido por el derecho fundamental que garantiza el art. 24.1 CE no tiene el mismo alcance cuando lo que se pretende es ejercer la acción punitiva que cuando lo que se persigue es la tutela de otros derechos o intereses legítimos. En el primer caso, como a continuación se expondrá, es doctrina constitucional reiterada que no existe el derecho fundamental a una condena penal, lo que conlleva que nadie puede invocar el art. 24.1 CE con el fin de que se ejecute una condena que impone una pena.</w:t>
      </w:r>
    </w:p>
    <w:p w14:paraId="68A5FCCF" w14:textId="77777777" w:rsidR="00A8138F" w:rsidRDefault="00A8138F" w:rsidP="00A8138F">
      <w:pPr>
        <w:pStyle w:val="TextoNormal"/>
      </w:pPr>
    </w:p>
    <w:p w14:paraId="731EE5D2" w14:textId="77777777" w:rsidR="00A8138F" w:rsidRDefault="00A8138F" w:rsidP="00A8138F">
      <w:pPr>
        <w:pStyle w:val="TextoNormal"/>
      </w:pPr>
      <w:r>
        <w:t>Por lo tanto, para analizar la alegación de los recurrentes ha de tenerse en cuenta si la extinción de responsabilidad que establece la Ley de amnistía cuando se refiere a resoluciones judiciales firmes se proyecta sobre sus pronunciamientos de naturaleza punitiva o sobre otros que no tengan este carácter.</w:t>
      </w:r>
    </w:p>
    <w:p w14:paraId="1E9B78DB" w14:textId="77777777" w:rsidR="00A8138F" w:rsidRDefault="00A8138F" w:rsidP="00A8138F">
      <w:pPr>
        <w:pStyle w:val="TextoNormal"/>
      </w:pPr>
    </w:p>
    <w:p w14:paraId="06DD91D9" w14:textId="77777777" w:rsidR="00A8138F" w:rsidRDefault="00A8138F" w:rsidP="00A8138F">
      <w:pPr>
        <w:pStyle w:val="TextoNormal"/>
      </w:pPr>
      <w:r>
        <w:t>a) Por lo que se refiere a los primeros, nuestro enjuiciamiento ha de partir de que, como acaba de indicarse, no existe un derecho fundamental a obtener una condena penal. Desde la STC 41/1997, de 10 de marzo, FFJJ 4 y 5, el Tribunal Constitucional ha venido afirmando que “[e]l derecho a la condena penal no forma parte del contenido de derecho fundamental alguno, pues la potestad punitiva nace de la ley, no de la Constitución, y esta no consagra un ‘principio de legalidad invertido’, esto es, un derecho fundamental de la víctima a obtener la condena penal de otro” (STC 80/2024, de 3 de junio, FJ 4). En este sentido también, SSTC 218/1997, de 4 de diciembre, FJ 2; 16/2001, de 29 de enero, FJ 4; 81/2002, de 22 de abril, FJ 2; 21/2005, de 1 de febrero, FJ 4, y 176/2006, de 5 de junio, FJ 2, y ATC 365/2008, de 17 de noviembre, FJ 3, entre otros.</w:t>
      </w:r>
    </w:p>
    <w:p w14:paraId="55DFF022" w14:textId="77777777" w:rsidR="00A8138F" w:rsidRDefault="00A8138F" w:rsidP="00A8138F">
      <w:pPr>
        <w:pStyle w:val="TextoNormal"/>
      </w:pPr>
    </w:p>
    <w:p w14:paraId="08DB1009" w14:textId="77777777" w:rsidR="00A8138F" w:rsidRDefault="00A8138F" w:rsidP="00A8138F">
      <w:pPr>
        <w:pStyle w:val="TextoNormal"/>
      </w:pPr>
      <w:r>
        <w:t xml:space="preserve">En este mismo sentido, el Tribunal Europeo de Derechos Humanos ha afirmado que el art. 6 CEDH no garantiza el derecho a condenar penalmente a terceros ni tampoco reconoce ningún derecho a la “venganza privada” (STEDH de 12 de febrero de 2004, asunto </w:t>
      </w:r>
      <w:r w:rsidRPr="00A8138F">
        <w:rPr>
          <w:i/>
        </w:rPr>
        <w:t>Pérez c. Francia</w:t>
      </w:r>
      <w:r>
        <w:t>, § 70).</w:t>
      </w:r>
    </w:p>
    <w:p w14:paraId="24F51063" w14:textId="77777777" w:rsidR="00A8138F" w:rsidRDefault="00A8138F" w:rsidP="00A8138F">
      <w:pPr>
        <w:pStyle w:val="TextoNormal"/>
      </w:pPr>
    </w:p>
    <w:p w14:paraId="0011D66F" w14:textId="77777777" w:rsidR="00A8138F" w:rsidRDefault="00A8138F" w:rsidP="00A8138F">
      <w:pPr>
        <w:pStyle w:val="TextoNormal"/>
      </w:pPr>
      <w:r>
        <w:t>Lo anterior conlleva que tampoco exista un derecho fundamental a la ejecución de la condena impuesta en una sentencia penal con fundamento en el art. 24.1 CE. En efecto, como tiene señalado este tribunal el “cumplimiento [de la pena], sus modalidades, incidencias y modificaciones escapa al interés de quien fue acusador particular en la causa de la cual deriva la pena, en la medida en que el derecho a castigar (</w:t>
      </w:r>
      <w:r w:rsidRPr="00A8138F">
        <w:rPr>
          <w:i/>
        </w:rPr>
        <w:t>ius puniendi</w:t>
      </w:r>
      <w:r>
        <w:t>) lo ostenta en exclusiva el Estado y, por lo tanto, es a este, a través de los órganos competentes, a quien corresponde determinar cómo dicho castigo ha de cumplirse, siempre con respeto, claro está, al principio de legalidad, por lo que las decisiones que a tal fin se adopten no afectan en modo alguno a los derechos e intereses legítimos de quien en su día ejercitó la acusación particular” [ATC 373/1989, de 3 de julio, FJ 2 b)].</w:t>
      </w:r>
    </w:p>
    <w:p w14:paraId="30D283C5" w14:textId="77777777" w:rsidR="00A8138F" w:rsidRDefault="00A8138F" w:rsidP="00A8138F">
      <w:pPr>
        <w:pStyle w:val="TextoNormal"/>
      </w:pPr>
    </w:p>
    <w:p w14:paraId="322E1707" w14:textId="77777777" w:rsidR="00A8138F" w:rsidRDefault="00A8138F" w:rsidP="00A8138F">
      <w:pPr>
        <w:pStyle w:val="TextoNormal"/>
      </w:pPr>
      <w:r>
        <w:t>Por ello, ha de concluirse que, por lo que se refiere a la exención de la responsabilidad de carácter punitiva que establece la Ley de amnistía, el derecho fundamental a la ejecución de resoluciones judiciales firmes que consagra el art. 24.1 CE no se encuentra afectado.</w:t>
      </w:r>
    </w:p>
    <w:p w14:paraId="14158E2F" w14:textId="77777777" w:rsidR="00A8138F" w:rsidRDefault="00A8138F" w:rsidP="00A8138F">
      <w:pPr>
        <w:pStyle w:val="TextoNormal"/>
      </w:pPr>
    </w:p>
    <w:p w14:paraId="3BE6A352" w14:textId="77777777" w:rsidR="00A8138F" w:rsidRDefault="00A8138F" w:rsidP="00A8138F">
      <w:pPr>
        <w:pStyle w:val="TextoNormal"/>
      </w:pPr>
      <w:r>
        <w:t>Cuestión distinta es si el legislador, al establecer la extinción de responsabilidad, puede afectar al deber que impone al Estado esta misma norma de garantizar la ejecución de este tipo de resoluciones. Este es el mismo problema constitucional suscitado en relación con el art. 118 CE al que ya se ha hecho referencia y al que ahora procede remitirse para desestimar esta alegación (fundamento jurídico 4 de esta sentencia).</w:t>
      </w:r>
    </w:p>
    <w:p w14:paraId="1830C349" w14:textId="77777777" w:rsidR="00A8138F" w:rsidRDefault="00A8138F" w:rsidP="00A8138F">
      <w:pPr>
        <w:pStyle w:val="TextoNormal"/>
      </w:pPr>
    </w:p>
    <w:p w14:paraId="53E3972D" w14:textId="77777777" w:rsidR="00A8138F" w:rsidRDefault="00A8138F" w:rsidP="00A8138F">
      <w:pPr>
        <w:pStyle w:val="TextoNormal"/>
      </w:pPr>
      <w:r>
        <w:t>b) No ocurre lo mismo con las pretensiones que tienen por objeto la reparación de los perjuicios causados por los actos amnistiados. Este tipo de pretensiones, al tener como objeto la tutela de un derecho —el derecho a ser resarcido por los daños padecidos cuando hayan sido causados mediando culpa o negligencia (art. 1902 del Código civil)—, se encuentran amparadas por el derecho fundamental a la tutela judicial efectiva (art. 24.1 CE), lo que conlleva, entre otras cosas, que el ordenamiento ha de establecer un cauce judicial que permita ejercer este tipo de acciones y asegurar que las resoluciones judiciales dictadas se ejecuten.</w:t>
      </w:r>
    </w:p>
    <w:p w14:paraId="677E83A4" w14:textId="77777777" w:rsidR="00A8138F" w:rsidRDefault="00A8138F" w:rsidP="00A8138F">
      <w:pPr>
        <w:pStyle w:val="TextoNormal"/>
      </w:pPr>
    </w:p>
    <w:p w14:paraId="46BFDADD" w14:textId="11358363" w:rsidR="00A8138F" w:rsidRDefault="00A8138F" w:rsidP="00A8138F">
      <w:pPr>
        <w:pStyle w:val="TextoNormal"/>
      </w:pPr>
      <w:r>
        <w:t>En relación con esta alegación, los recurrentes se limitan a afirmar que la amnistía “vulnera el artículo 24.1 CE, al privar a los perjudicados […] de la reparación de los perjuicios sufridos”. Esta alegación no se compadece con lo previsto en el art. 8.2 de la Ley, que dispone que “la amnistía otorgada dejará siempre a salvo la responsabilidad civil que pudiera corresponder por los daños sufridos por los particulares”. En el escrito de demanda no se aduce argumento alguno del que pueda inferirse que esta previsión legal impide el resarcimiento de los perjuicios ocasionados por los actos amnistiados. Ha de tenerse en cuenta, además, que, aunque el art. 8.2 de la Ley de amnistía ha sido específicamente impugnado en este recurso —precepto que será objeto de enjuiciamiento más adelante—, su impugnación no se fundamenta en que no garantice la reparación de los daños que este tipo de actos han podido ocasionar, sino en la prohibición legal de que las acciones para solicitar este tipo de responsabilidad se sustancien por la jurisdicción penal.</w:t>
      </w:r>
    </w:p>
    <w:p w14:paraId="4C380056" w14:textId="77777777" w:rsidR="00A8138F" w:rsidRDefault="00A8138F" w:rsidP="00A8138F">
      <w:pPr>
        <w:pStyle w:val="TextoNormal"/>
      </w:pPr>
    </w:p>
    <w:p w14:paraId="5B73C27C" w14:textId="77777777" w:rsidR="00A8138F" w:rsidRDefault="00A8138F" w:rsidP="00A8138F">
      <w:pPr>
        <w:pStyle w:val="TextoNormal"/>
      </w:pPr>
      <w:r w:rsidRPr="00A8138F">
        <w:rPr>
          <w:rStyle w:val="NumeroAFNegritaCaracter"/>
        </w:rPr>
        <w:t>10</w:t>
      </w:r>
      <w:r>
        <w:t xml:space="preserve">. </w:t>
      </w:r>
      <w:r w:rsidRPr="00A8138F">
        <w:rPr>
          <w:i/>
        </w:rPr>
        <w:t>La alegada vulneración del art. 102.3 CE</w:t>
      </w:r>
    </w:p>
    <w:p w14:paraId="2607903A" w14:textId="77777777" w:rsidR="00A8138F" w:rsidRDefault="00A8138F" w:rsidP="00A8138F">
      <w:pPr>
        <w:pStyle w:val="TextoNormal"/>
      </w:pPr>
    </w:p>
    <w:p w14:paraId="04E76F06" w14:textId="77777777" w:rsidR="00A8138F" w:rsidRDefault="00A8138F" w:rsidP="00A8138F">
      <w:pPr>
        <w:pStyle w:val="TextoNormal"/>
      </w:pPr>
      <w:r>
        <w:t xml:space="preserve">10.1. </w:t>
      </w:r>
      <w:r w:rsidRPr="00A8138F">
        <w:rPr>
          <w:i/>
        </w:rPr>
        <w:t>Exposición del motivo y alegaciones de las partes</w:t>
      </w:r>
    </w:p>
    <w:p w14:paraId="7A5C0760" w14:textId="77777777" w:rsidR="00A8138F" w:rsidRDefault="00A8138F" w:rsidP="00A8138F">
      <w:pPr>
        <w:pStyle w:val="TextoNormal"/>
      </w:pPr>
    </w:p>
    <w:p w14:paraId="48DF65B8" w14:textId="77777777" w:rsidR="00A8138F" w:rsidRDefault="00A8138F" w:rsidP="00A8138F">
      <w:pPr>
        <w:pStyle w:val="TextoNormal"/>
      </w:pPr>
      <w:r>
        <w:t>Los recurrentes alegan también la inconstitucionalidad de la Ley de amnistía por infringir lo dispuesto en el art. 102.3 CE. Este precepto establece que “[l]a prerrogativa real de gracia no será aplicable a ninguno de los supuestos del presente artículo”, que regula la responsabilidad criminal del presidente y de los demás miembros del Gobierno. A juicio de los demandantes, la ley controvertida otorga una autoamnistía, pues consideran que son los propios políticos que cometen los delitos que luego serán amnistiados los que elaboraron e impulsaron la ley que determina la extinción de responsabilidad penal por hechos cometidos por ellos. Esta alegación se fundamenta en que la aprobación de la Ley de amnistía fue un elemento esencial del pacto de investidura que fue negociado con los partidos políticos cuyos líderes iban a resultar beneficiados por la amnistía establecida en esta ley orgánica.</w:t>
      </w:r>
    </w:p>
    <w:p w14:paraId="7765A4CC" w14:textId="77777777" w:rsidR="00A8138F" w:rsidRDefault="00A8138F" w:rsidP="00A8138F">
      <w:pPr>
        <w:pStyle w:val="TextoNormal"/>
      </w:pPr>
    </w:p>
    <w:p w14:paraId="5390E9E2" w14:textId="77777777" w:rsidR="00A8138F" w:rsidRDefault="00A8138F" w:rsidP="00A8138F">
      <w:pPr>
        <w:pStyle w:val="TextoNormal"/>
      </w:pPr>
      <w:r>
        <w:t>El abogado del Estado considera que lo que el art. 102.3 CE prohíbe es un autoindulto al presidente o a los demás miembros del Gobierno. Sostiene que no se vulnera tal precepto porque la Ley de amnistía no otorga indultos, sino una amnistía y, además, sus destinatarios no son los miembros del Gobierno.</w:t>
      </w:r>
    </w:p>
    <w:p w14:paraId="59CBFEF9" w14:textId="77777777" w:rsidR="00A8138F" w:rsidRDefault="00A8138F" w:rsidP="00A8138F">
      <w:pPr>
        <w:pStyle w:val="TextoNormal"/>
      </w:pPr>
    </w:p>
    <w:p w14:paraId="0CD91E4D" w14:textId="77777777" w:rsidR="00A8138F" w:rsidRDefault="00A8138F" w:rsidP="00A8138F">
      <w:pPr>
        <w:pStyle w:val="TextoNormal"/>
      </w:pPr>
      <w:r>
        <w:t xml:space="preserve">10.2. </w:t>
      </w:r>
      <w:r w:rsidRPr="00A8138F">
        <w:rPr>
          <w:i/>
        </w:rPr>
        <w:t>Enjuiciamiento del motivo</w:t>
      </w:r>
    </w:p>
    <w:p w14:paraId="50ACCF07" w14:textId="77777777" w:rsidR="00A8138F" w:rsidRDefault="00A8138F" w:rsidP="00A8138F">
      <w:pPr>
        <w:pStyle w:val="TextoNormal"/>
      </w:pPr>
    </w:p>
    <w:p w14:paraId="3C51EA44" w14:textId="77777777" w:rsidR="00A8138F" w:rsidRDefault="00A8138F" w:rsidP="00A8138F">
      <w:pPr>
        <w:pStyle w:val="TextoNormal"/>
      </w:pPr>
      <w:r>
        <w:t>De la literalidad de la Ley de amnistía no se deriva ni que el presidente ni que los demás miembros del Gobierno vayan a ser amnistiados. La ley impugnada amnistía los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 especificándose a continuación los actos que quedan comprendidos dentro de su ámbito de aplicación (art. 1.1) así como aquellos otros que quedan excluidos (art. 2).</w:t>
      </w:r>
    </w:p>
    <w:p w14:paraId="4B5C732A" w14:textId="77777777" w:rsidR="00A8138F" w:rsidRDefault="00A8138F" w:rsidP="00A8138F">
      <w:pPr>
        <w:pStyle w:val="TextoNormal"/>
      </w:pPr>
    </w:p>
    <w:p w14:paraId="473043BD" w14:textId="77777777" w:rsidR="00A8138F" w:rsidRDefault="00A8138F" w:rsidP="00A8138F">
      <w:pPr>
        <w:pStyle w:val="TextoNormal"/>
      </w:pPr>
      <w:r>
        <w:t>No es función del Tribunal examinar a través de un recurso de inconstitucionalidad si alguno de estos actos fue cometido por los miembros del Gobierno o su presidente (art. 102.3 CE), dado que ni la ley impugnada se refiere expresamente a ellos ni de sus determinaciones se puede deducir, desde la perspectiva abstracta que corresponde enjuiciar a través de esta vía, que los actos amnistiados son actos cometidos por miembros del Gobierno. En consecuencia, no corresponde al Tribunal enjuiciar si los miembros del Gobierno o su presidente han realizado alguno de los actos amnistiados por esta norma.</w:t>
      </w:r>
    </w:p>
    <w:p w14:paraId="16C81065" w14:textId="77777777" w:rsidR="00A8138F" w:rsidRDefault="00A8138F" w:rsidP="00A8138F">
      <w:pPr>
        <w:pStyle w:val="TextoNormal"/>
      </w:pPr>
    </w:p>
    <w:p w14:paraId="04371D3F" w14:textId="77777777" w:rsidR="00A8138F" w:rsidRDefault="00A8138F" w:rsidP="00A8138F">
      <w:pPr>
        <w:pStyle w:val="TextoNormal"/>
      </w:pPr>
      <w:r>
        <w:t>Por último, ha de rechazarse la alegación por la que se aduce que la Ley Orgánica 1/2024 constituye una autoamnistía debido a que puede beneficiar a determinados altos cargos pertenecientes a partidos políticos independentistas y que por este motivo es lesiva del art. 102.3 CE. Este precepto solo impide que se beneficien de la prerrogativa real de gracia los miembros del Gobierno de la Nación.</w:t>
      </w:r>
    </w:p>
    <w:p w14:paraId="605481A0" w14:textId="77777777" w:rsidR="00A8138F" w:rsidRDefault="00A8138F" w:rsidP="00A8138F">
      <w:pPr>
        <w:pStyle w:val="TextoNormal"/>
      </w:pPr>
    </w:p>
    <w:p w14:paraId="7384166A" w14:textId="035CCA46" w:rsidR="00A8138F" w:rsidRDefault="00A8138F" w:rsidP="00A8138F">
      <w:pPr>
        <w:pStyle w:val="TextoNormal"/>
      </w:pPr>
      <w:r>
        <w:t>Por lo demás, la categoría de la autoamnistía resulta improcedente para analizar alguna de las medidas que prevé la ley, y en concreto para descalificar los pactos políticos entre grupos parlamentarios que hubieran motivado la iniciativa legislativa. Por principio, una ley debatida y aprobada por el Parlamento de un Estado democrático de Derecho que contempla la extinción de la responsabilidad penal por amnistía no puede calificarse de autoamnistía, propia de sistemas políticos autoritarios o de Estados en transición, dictadas o autorizadas por quienes se benefician de tal inmunidad o por las instituciones que han perpetrado esos actos o amparado a sus autores, para impedir la investigación y persecución de conductas constitutivas de los más graves crímenes contra los derechos humanos. Además, ni las conductas dentro del ámbito objetivo de la Ley de amnistía son subsumibles en los delitos contra la comunidad internacional, excluidos en su art. 2 g), ni la mayoría de parlamentarios que aprobó la ley, todos ellos con libertad de mandato y en representación del cuerpo electoral (STC 10/1983, de 21 de febrero, FFJJ 2 y 3), pueden ser beneficiarios de las medidas de extinción de responsabilidad penal porque habrían sido inelegibles [art. 6.2 a) de la Ley Orgánica del régimen electoral general].</w:t>
      </w:r>
    </w:p>
    <w:p w14:paraId="403F8E5D" w14:textId="77777777" w:rsidR="00A8138F" w:rsidRDefault="00A8138F" w:rsidP="00A8138F">
      <w:pPr>
        <w:pStyle w:val="TextoNormal"/>
      </w:pPr>
    </w:p>
    <w:p w14:paraId="3FF1E110" w14:textId="77777777" w:rsidR="00A8138F" w:rsidRDefault="00A8138F" w:rsidP="00A8138F">
      <w:pPr>
        <w:pStyle w:val="TextoNormal"/>
      </w:pPr>
      <w:r w:rsidRPr="00A8138F">
        <w:rPr>
          <w:rStyle w:val="NumeroAFNegritaCaracter"/>
        </w:rPr>
        <w:t>11</w:t>
      </w:r>
      <w:r>
        <w:t xml:space="preserve">. </w:t>
      </w:r>
      <w:r w:rsidRPr="00A8138F">
        <w:rPr>
          <w:i/>
        </w:rPr>
        <w:t>La alegada vulneración del principio Estado de Derecho (art. 1.1 CE en relación con el art. 2 TUE)</w:t>
      </w:r>
    </w:p>
    <w:p w14:paraId="59136FB8" w14:textId="77777777" w:rsidR="00A8138F" w:rsidRDefault="00A8138F" w:rsidP="00A8138F">
      <w:pPr>
        <w:pStyle w:val="TextoNormal"/>
      </w:pPr>
    </w:p>
    <w:p w14:paraId="159D1105" w14:textId="77777777" w:rsidR="00A8138F" w:rsidRDefault="00A8138F" w:rsidP="00A8138F">
      <w:pPr>
        <w:pStyle w:val="TextoNormal"/>
      </w:pPr>
      <w:r>
        <w:t xml:space="preserve">11.1. </w:t>
      </w:r>
      <w:r w:rsidRPr="00A8138F">
        <w:rPr>
          <w:i/>
        </w:rPr>
        <w:t>Posiciones de las partes</w:t>
      </w:r>
    </w:p>
    <w:p w14:paraId="0F027FD9" w14:textId="77777777" w:rsidR="00A8138F" w:rsidRDefault="00A8138F" w:rsidP="00A8138F">
      <w:pPr>
        <w:pStyle w:val="TextoNormal"/>
      </w:pPr>
    </w:p>
    <w:p w14:paraId="08B2DE5A" w14:textId="77777777" w:rsidR="00A8138F" w:rsidRDefault="00A8138F" w:rsidP="00A8138F">
      <w:pPr>
        <w:pStyle w:val="TextoNormal"/>
      </w:pPr>
      <w:r>
        <w:t>Los recurrentes denuncian que la Ley de amnistía vulnera la cláusula del Estado de Derecho del art. 1.1 CE, cláusula que consideran que, de conformidad con el art. 10.2 CE, ha de ponerse en relación con el art. 2 TUE y la jurisprudencia del Tribunal de Justicia de la Unión Europea. Fundamentan esta impugnación con el argumento de que la aprobación de la ley orgánica implica un verdadero reproche o censura a la actuación del Poder Judicial —especialmente del Tribunal Supremo— en respuesta al llamado “procés”. Según la demanda, la Ley de amnistía parte de la consideración de que, en dicho contexto, la justicia se habría “entrometido” en lo político, ámbito este que la ley impugnada vendría a configurar como un espacio inmune a la jurisdicción, al prever que la comisión de delitos o de ilegalidades resulte sanada por un fin político y quede por lo tanto exenta de enjuiciamiento por los tribunales. Los recurrentes aducen también que los partidos independentistas que impulsaron y apoyaron la ley lo han hecho con la finalidad de reivindicar lo que para ellos era la justicia del “procés” y condenar la actuación de los poderes públicos. En relación con esta alegación los recurrentes se oponen, además, a determinadas afirmaciones contenidas en el preámbulo de la ley y a varios elementos de lo que denominan “el contexto jurídico-fáctico de la amnistía”, a saber, el acuerdo entre los partidos políticos PSOE y Junts per Catalunya previo a la investidura y los debates parlamentarios de tramitación de la ley impugnada.</w:t>
      </w:r>
    </w:p>
    <w:p w14:paraId="590D7EAD" w14:textId="77777777" w:rsidR="00A8138F" w:rsidRDefault="00A8138F" w:rsidP="00A8138F">
      <w:pPr>
        <w:pStyle w:val="TextoNormal"/>
      </w:pPr>
    </w:p>
    <w:p w14:paraId="3F447CD2" w14:textId="77777777" w:rsidR="00A8138F" w:rsidRDefault="00A8138F" w:rsidP="00A8138F">
      <w:pPr>
        <w:pStyle w:val="TextoNormal"/>
      </w:pPr>
      <w:r>
        <w:t>La demanda subraya en este punto la necesidad de garantizar la independencia del Poder Judicial frente a los poderes Legislativo y Ejecutivo y afirma que, desde esta óptica, la ley orgánica supone “una verdadera regresión en la garantía de la cláusula del Estado de Derecho”. Y ello porque, a juicio de los recurrentes, mediante esta amnistía “el Poder Legislativo se erige en juez del Poder Judicial, condenando lo resuelto en firme” por el Tribunal Supremo “y validado posteriormente por el propio Tribunal Constitucional” en la STC 91/2021, de 22 de abril, y otras posteriores. La demanda afirma asimismo que mediante la Ley de amnistía se realiza también una “advertencia” al Poder Judicial de “no inmiscuirse en lo político, en el entendimiento […] de que lo político permitiría la inobservancia de la Constitución o de las leyes”. Por todo ello, los recurrentes afirman que la Ley de amnistía es contraria al principio de Estado de Derecho y que, por esta razón, contraviene el art. 1.1 CE interpretado a la luz del art. 2 TUE, que “se proyecta sobre la salvaguarda del Poder Judicial (artículo 117 CE) como garantía del derecho a la tutela judicial efectiva (artículo 24 CE)”.</w:t>
      </w:r>
    </w:p>
    <w:p w14:paraId="4F248419" w14:textId="77777777" w:rsidR="00A8138F" w:rsidRDefault="00A8138F" w:rsidP="00A8138F">
      <w:pPr>
        <w:pStyle w:val="TextoNormal"/>
      </w:pPr>
    </w:p>
    <w:p w14:paraId="53A99B81" w14:textId="77777777" w:rsidR="00A8138F" w:rsidRDefault="00A8138F" w:rsidP="00A8138F">
      <w:pPr>
        <w:pStyle w:val="TextoNormal"/>
      </w:pPr>
      <w:r>
        <w:t>El abogado del Estado, por su parte, insta la desestimación de este motivo del recurso al entender que se fundamenta en consideraciones extrajurídicas y en juicios de intenciones ajenos al debate propio de un proceso constitucional.</w:t>
      </w:r>
    </w:p>
    <w:p w14:paraId="4C6B0FDA" w14:textId="77777777" w:rsidR="00A8138F" w:rsidRDefault="00A8138F" w:rsidP="00A8138F">
      <w:pPr>
        <w:pStyle w:val="TextoNormal"/>
      </w:pPr>
    </w:p>
    <w:p w14:paraId="76F308E3" w14:textId="77777777" w:rsidR="00A8138F" w:rsidRDefault="00A8138F" w:rsidP="00A8138F">
      <w:pPr>
        <w:pStyle w:val="TextoNormal"/>
      </w:pPr>
      <w:r>
        <w:t xml:space="preserve">11.2. </w:t>
      </w:r>
      <w:r w:rsidRPr="00A8138F">
        <w:rPr>
          <w:i/>
        </w:rPr>
        <w:t>Delimitación del motivo</w:t>
      </w:r>
    </w:p>
    <w:p w14:paraId="3F24B286" w14:textId="77777777" w:rsidR="00A8138F" w:rsidRDefault="00A8138F" w:rsidP="00A8138F">
      <w:pPr>
        <w:pStyle w:val="TextoNormal"/>
      </w:pPr>
    </w:p>
    <w:p w14:paraId="4D045A4C" w14:textId="77777777" w:rsidR="00A8138F" w:rsidRDefault="00A8138F" w:rsidP="00A8138F">
      <w:pPr>
        <w:pStyle w:val="TextoNormal"/>
      </w:pPr>
      <w:r>
        <w:t>Mediante el motivo de impugnación que ahora se examina, los recurrentes denuncian la incompatibilidad de la Ley de amnistía con la cláusula de Estado de Derecho, a la que también se alude en la demanda al hilo de otros motivos de impugnación. El análisis de la presente tacha de inconstitucionalidad ha de partir, por ello, de precisar su alcance frente a la de aquellas otras quejas.</w:t>
      </w:r>
    </w:p>
    <w:p w14:paraId="6135BC2E" w14:textId="77777777" w:rsidR="00A8138F" w:rsidRDefault="00A8138F" w:rsidP="00A8138F">
      <w:pPr>
        <w:pStyle w:val="TextoNormal"/>
      </w:pPr>
    </w:p>
    <w:p w14:paraId="1AAB9F93" w14:textId="77777777" w:rsidR="00A8138F" w:rsidRDefault="00A8138F" w:rsidP="00A8138F">
      <w:pPr>
        <w:pStyle w:val="TextoNormal"/>
      </w:pPr>
      <w:r>
        <w:t xml:space="preserve">El principio que garantiza el Estado de Derecho (art. 1.1 CE) —principio que, por exigencias del art. 10.2 CE, debe necesariamente alinearse con la cláusula del Estado de Derecho contenida en el art. 2 TUE—, exige que todos los poderes públicos actúen dentro de los límites marcados por la Constitución y el resto del ordenamiento jurídico, garantizando específicamente la separación de poderes, la independencia judicial y el derecho a la tutela judicial efectiva [SSTC 259/2015, de 2 de diciembre, FJ 5, y 114/2017, de 17 de octubre, FJ 5, y SSTJUE de 27 de febrero de 2018, asunto C-64/16, </w:t>
      </w:r>
      <w:r w:rsidRPr="00A8138F">
        <w:rPr>
          <w:i/>
        </w:rPr>
        <w:t>Asociación Sindical de Jueces Portugueses (ASJP)</w:t>
      </w:r>
      <w:r>
        <w:t xml:space="preserve">, y de 20 de abril de 2021, asunto C-896/19, </w:t>
      </w:r>
      <w:r w:rsidRPr="00A8138F">
        <w:rPr>
          <w:i/>
        </w:rPr>
        <w:t>Repubblika</w:t>
      </w:r>
      <w:r>
        <w:t>, entre otras muchas].</w:t>
      </w:r>
    </w:p>
    <w:p w14:paraId="68A70313" w14:textId="77777777" w:rsidR="00A8138F" w:rsidRDefault="00A8138F" w:rsidP="00A8138F">
      <w:pPr>
        <w:pStyle w:val="TextoNormal"/>
      </w:pPr>
    </w:p>
    <w:p w14:paraId="4CD46223" w14:textId="77777777" w:rsidR="00A8138F" w:rsidRDefault="00A8138F" w:rsidP="00A8138F">
      <w:pPr>
        <w:pStyle w:val="TextoNormal"/>
      </w:pPr>
      <w:r>
        <w:t>Se trata, por lo tanto, de una cláusula constitucional de contenido complejo, integrada por varios principios constitucionales que se encuentran estrechamente interrelacionados pero que son lógicamente diferenciables entre sí, y cuyo sentido último radica en asegurar “que los gobernantes sean servidores, no señores, de las leyes, y muy en primer lugar de la Constitución y de las normas que en ella disciplinan los procedimientos para su propia e ilimitada revisión formal; exigencias sin cuyo cumplimiento no puede hablarse de libertad política y civil” (STC 114/2017, de 17 de octubre, FJ 5).</w:t>
      </w:r>
    </w:p>
    <w:p w14:paraId="5EBE737A" w14:textId="77777777" w:rsidR="00A8138F" w:rsidRDefault="00A8138F" w:rsidP="00A8138F">
      <w:pPr>
        <w:pStyle w:val="TextoNormal"/>
      </w:pPr>
    </w:p>
    <w:p w14:paraId="08BA0DC0" w14:textId="77777777" w:rsidR="00A8138F" w:rsidRDefault="00A8138F" w:rsidP="00A8138F">
      <w:pPr>
        <w:pStyle w:val="TextoNormal"/>
      </w:pPr>
      <w:r>
        <w:t>Las reiteradas alusiones de los recurrentes a la cláusula de Estado de Derecho al fundamentar la impugnación que ahora se examina no impiden observar que, en realidad, esta se refiere específicamente a uno de los varios principios integrantes de dicha cláusula, a saber, la garantía de la independencia judicial. Al examen de su denunciada infracción habrá de ceñirse aquí, por lo tanto, nuestro enjuiciamiento. En cuanto a la compatibilidad de la amnistía con otros contenidos estructurales de la cláusula de Estado de Derecho, como —entre otros— la separación de poderes, la interdicción de la arbitrariedad, el principio de igualdad o la tutela judicial efectiva, procede la remisión a los correspondientes apartados de la fundamentación jurídica de la presente sentencia (fundamentos jurídicos 4, 7, 8 y 9, respectivamente).</w:t>
      </w:r>
    </w:p>
    <w:p w14:paraId="0C4D8FC7" w14:textId="77777777" w:rsidR="00A8138F" w:rsidRDefault="00A8138F" w:rsidP="00A8138F">
      <w:pPr>
        <w:pStyle w:val="TextoNormal"/>
      </w:pPr>
    </w:p>
    <w:p w14:paraId="6565B427" w14:textId="77777777" w:rsidR="00A8138F" w:rsidRDefault="00A8138F" w:rsidP="00A8138F">
      <w:pPr>
        <w:pStyle w:val="TextoNormal"/>
      </w:pPr>
      <w:r>
        <w:t>11.3.</w:t>
      </w:r>
      <w:r w:rsidRPr="00A8138F">
        <w:rPr>
          <w:i/>
        </w:rPr>
        <w:t xml:space="preserve"> Doctrina aplicabl</w:t>
      </w:r>
      <w:r>
        <w:t>e</w:t>
      </w:r>
    </w:p>
    <w:p w14:paraId="366997BE" w14:textId="77777777" w:rsidR="00A8138F" w:rsidRDefault="00A8138F" w:rsidP="00A8138F">
      <w:pPr>
        <w:pStyle w:val="TextoNormal"/>
      </w:pPr>
    </w:p>
    <w:p w14:paraId="1723B3E0" w14:textId="77777777" w:rsidR="00A8138F" w:rsidRDefault="00A8138F" w:rsidP="00A8138F">
      <w:pPr>
        <w:pStyle w:val="TextoNormal"/>
      </w:pPr>
      <w:r>
        <w:t>a) El principio de independencia judicial se encuentra consagrado en los arts. 117.1, 124, 127, 136.3 y 152 CE y en la disposición adicional cuarta CE, además de conectar con la garantía procesal prevista en el art. 24.1 CE (STC 15/2024, de 30 de enero, FJ 3). Este tribunal ha mantenido desde sus primeros pronunciamientos que la independencia judicial es “un componente esencial de la noción de Estado de Derecho” (SSTC 108/1986, de 29 de julio, FJ 6, y 144/1988, de 12 de julio, FJ 3), pues “si en un Estado no existe un poder judicial independiente […] entonces lo que no hay es Estado de Derecho, pieza esencial, como es sabido, de un Estado auténticamente constitucional” (STC 37/2012, de 19 de marzo, FJ 5).</w:t>
      </w:r>
    </w:p>
    <w:p w14:paraId="6D95EC9B" w14:textId="77777777" w:rsidR="00A8138F" w:rsidRDefault="00A8138F" w:rsidP="00A8138F">
      <w:pPr>
        <w:pStyle w:val="TextoNormal"/>
      </w:pPr>
    </w:p>
    <w:p w14:paraId="3A67CE60" w14:textId="77777777" w:rsidR="00A8138F" w:rsidRDefault="00A8138F" w:rsidP="00A8138F">
      <w:pPr>
        <w:pStyle w:val="TextoNormal"/>
      </w:pPr>
      <w:r>
        <w:t>La independencia judicial “se predica de todos y cada uno de los jueces en cuanto ejercen” la función jurisdiccional y “debe ser respetada tanto en el interior de la organización judicial (art. 2 de la LOPJ) como por ‘todos’ (art. 13 de la misma Ley)” (STC 108/1986, FJ 6). Tal independencia se garantiza asegurando que, en el ejercicio de su función, los jueces “están sujetos única y exclusivamente al imperio de la ley” (SSTC 37/2012, de 19 de marzo, FJ 4, y 238/2012, de 13 de diciembre, FJ 7). La Constitución “configura a la justicia como independiente, sometida únicamente al Derecho y no a opciones políticas”; “en el ejercicio de su función constitucional, el juez es libre en cuanto que solo está sujeto al imperio de la ley”; “[i]ndependencia judicial y sumisión al imperio de la ley son, en suma, anverso y reverso de la misma medalla” (STC 37/2012, de 19 de marzo, FJ 5). En efecto, “[l]a independencia judicial de cualquier presión o influencia externa, tiene como anverso el sometimiento exclusivo de los jueces a la ley y al Derecho, principio de juridicidad, más allá del de legalidad, que implica el respeto no solo a las normas sino también a los usos y costumbres, a los principios generales del Derecho y a la doctrina legal del Tribunal Supremo con valor complementario del ordenamiento jurídico” (STC 133/1995, de 25 de septiembre, FJ 5). La sumisión de los jueces al imperio de la ley significa, por lo que ahora especialmente importa, que “no están ligados a órdenes, instrucciones o indicaciones de ningún otro poder público, singularmente del Legislativo y del Ejecutivo” (SSTC 37/2012, de 19 de marzo, FJ 4, y 238/2012, de 13 de diciembre, FJ 7).</w:t>
      </w:r>
    </w:p>
    <w:p w14:paraId="2E133918" w14:textId="77777777" w:rsidR="00A8138F" w:rsidRDefault="00A8138F" w:rsidP="00A8138F">
      <w:pPr>
        <w:pStyle w:val="TextoNormal"/>
      </w:pPr>
    </w:p>
    <w:p w14:paraId="2B7BB27E" w14:textId="77777777" w:rsidR="00A8138F" w:rsidRDefault="00A8138F" w:rsidP="00A8138F">
      <w:pPr>
        <w:pStyle w:val="TextoNormal"/>
      </w:pPr>
      <w:r>
        <w:t xml:space="preserve">Esta doctrina, que subraya la necesidad de salvaguardar la independencia judicial respecto a los otros poderes del Estado, coincide con la del Tribunal Europeo de Derechos Humanos, que ha señalado que “[e]l carácter complejo de la relación entre los jueces y el Estado exige que el Poder Judicial esté lo suficientemente alejado de otros poderes del Estado en el ejercicio de sus funciones para que los jueces puedan tomar decisiones basadas </w:t>
      </w:r>
      <w:r w:rsidRPr="00A8138F">
        <w:rPr>
          <w:i/>
        </w:rPr>
        <w:t>a fortiori</w:t>
      </w:r>
      <w:r>
        <w:t xml:space="preserve"> en las exigencias del Derecho y la justicia, sin temer represalias ni esperar favores. Sería ilusorio creer que los jueces pueden defender el imperio de la ley y hacer efectivo el principio del Estado de Derecho si la legislación interna les priva de la protección de la Convención sobre cuestiones que afectan directamente a su independencia e imparcialidad” (SSTEDH de 9 de marzo de 2021, asunto </w:t>
      </w:r>
      <w:r w:rsidRPr="00A8138F">
        <w:rPr>
          <w:i/>
        </w:rPr>
        <w:t>Bilgen c. Turquía</w:t>
      </w:r>
      <w:r>
        <w:t xml:space="preserve">, § 79; de 29 de junio de 2021, asunto </w:t>
      </w:r>
      <w:r w:rsidRPr="00A8138F">
        <w:rPr>
          <w:i/>
        </w:rPr>
        <w:t>Broda y Bojara c. Polonia</w:t>
      </w:r>
      <w:r>
        <w:t xml:space="preserve">, § 120, y de 15 de marzo de 2022, asunto </w:t>
      </w:r>
      <w:r w:rsidRPr="00A8138F">
        <w:rPr>
          <w:i/>
        </w:rPr>
        <w:t>Grzęda c. Polonia</w:t>
      </w:r>
      <w:r>
        <w:t>, § 264).</w:t>
      </w:r>
    </w:p>
    <w:p w14:paraId="6E387DC0" w14:textId="77777777" w:rsidR="00A8138F" w:rsidRDefault="00A8138F" w:rsidP="00A8138F">
      <w:pPr>
        <w:pStyle w:val="TextoNormal"/>
      </w:pPr>
    </w:p>
    <w:p w14:paraId="6D08CD0A" w14:textId="77777777" w:rsidR="00A8138F" w:rsidRDefault="00A8138F" w:rsidP="00A8138F">
      <w:pPr>
        <w:pStyle w:val="TextoNormal"/>
      </w:pPr>
      <w:r>
        <w:t>Como este tribunal ha señalado en otras ocasiones, la proclamación constitucional de la independencia judicial va acompañada del establecimiento, en la propia Constitución, de diversas garantías adecuadas para asegurar su efectividad, como son, entre otras, la inamovilidad, que es su garantía esencial (art. 117.2 CE), pero también la reserva de ley orgánica para determinar la constitución, funcionamiento y gobierno de los juzgados y tribunales, así como el estatuto jurídico de los jueces y magistrados (art. 122.1 CE) y su régimen de incompatibilidades (art. 127.2 CE) (SSTC 108/1986, FJ 6; 37/2012, FJ 6, y 128/2023, de 2 de octubre, FJ 4).</w:t>
      </w:r>
    </w:p>
    <w:p w14:paraId="23848764" w14:textId="77777777" w:rsidR="00A8138F" w:rsidRDefault="00A8138F" w:rsidP="00A8138F">
      <w:pPr>
        <w:pStyle w:val="TextoNormal"/>
      </w:pPr>
    </w:p>
    <w:p w14:paraId="618A79AA" w14:textId="77777777" w:rsidR="00A8138F" w:rsidRDefault="00A8138F" w:rsidP="00A8138F">
      <w:pPr>
        <w:pStyle w:val="TextoNormal"/>
      </w:pPr>
      <w:r>
        <w:t>Por lo demás, es doctrina constitucional reiterada que la garantía de la independencia judicial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 (SSTC 108/1986, FJ 6, y 128/2023, FJ 4).</w:t>
      </w:r>
    </w:p>
    <w:p w14:paraId="403669D7" w14:textId="77777777" w:rsidR="00A8138F" w:rsidRDefault="00A8138F" w:rsidP="00A8138F">
      <w:pPr>
        <w:pStyle w:val="TextoNormal"/>
      </w:pPr>
    </w:p>
    <w:p w14:paraId="7280E464" w14:textId="77777777" w:rsidR="00A8138F" w:rsidRDefault="00A8138F" w:rsidP="00A8138F">
      <w:pPr>
        <w:pStyle w:val="TextoNormal"/>
      </w:pPr>
      <w:r>
        <w:t xml:space="preserve">b) El principio de independencia judicial encuentra también reconocimiento en el Derecho de la Unión (art. 19 TUE y art. 47 de la Carta de los derechos fundamentales de la Unión Europea) como uno de los contenidos de la cláusula de Estado de Derecho del art. 2 TUE, pues “la existencia de tutela judicial efectiva destinada a garantizar el respeto del Derecho de la Unión, tanto en los Estados miembros como en el ámbito de la Unión, por órganos jurisdiccionales independientes, es inherente a un Estado de Derecho” (STJUE de 16 de febrero de 2022, asunto C-157/21, </w:t>
      </w:r>
      <w:r w:rsidRPr="00A8138F">
        <w:rPr>
          <w:i/>
        </w:rPr>
        <w:t>Polonia c. Parlamento y Consejo</w:t>
      </w:r>
      <w:r>
        <w:t>, § 150).</w:t>
      </w:r>
    </w:p>
    <w:p w14:paraId="4796BF04" w14:textId="77777777" w:rsidR="00A8138F" w:rsidRDefault="00A8138F" w:rsidP="00A8138F">
      <w:pPr>
        <w:pStyle w:val="TextoNormal"/>
      </w:pPr>
    </w:p>
    <w:p w14:paraId="77E837FA" w14:textId="77777777" w:rsidR="00A8138F" w:rsidRDefault="00A8138F" w:rsidP="00A8138F">
      <w:pPr>
        <w:pStyle w:val="TextoNormal"/>
      </w:pPr>
      <w:r>
        <w:t xml:space="preserve">Según ha destacado el Tribunal de Justicia, la independencia judicial “reviste una importancia fundamental para el ordenamiento jurídico de la Unión por diversos motivos” (STJUE de 9 de julio de 2020, asunto C-272/19, </w:t>
      </w:r>
      <w:r w:rsidRPr="00A8138F">
        <w:rPr>
          <w:i/>
        </w:rPr>
        <w:t>Land Hessen</w:t>
      </w:r>
      <w:r>
        <w:t xml:space="preserve">, § 45). De una parte, porque dicha independencia “[r]esulta esencial para el buen funcionamiento del sistema de cooperación judicial ínsito en el mecanismo de remisión prejudicial previsto en el artículo 267 TFUE, habida cuenta de que tal mecanismo únicamente puede ser activado por un órgano que, con competencia para aplicar el Derecho de la Unión, se atenga, entre otros, al criterio de independencia”; y, por otro lado, porque “la exigencia de independencia de los tribunales, inherente a la función jurisdiccional, está integrada en el contenido esencial del derecho fundamental a la tutela judicial efectiva y a un proceso equitativo recogido en el artículo 47 de la Carta, que reviste una importancia capital como garante de la protección del conjunto de los derechos que el Derecho de la Unión confiere a los justiciables y de la salvaguarda de los valores comunes de los Estados miembros proclamados en el artículo 2 TUE, en particular el valor del Estado de Derecho” (STJUE de 20 de abril de 2021, asunto C-896/19, </w:t>
      </w:r>
      <w:r w:rsidRPr="00A8138F">
        <w:rPr>
          <w:i/>
        </w:rPr>
        <w:t>Repubblika c. Il-Prim Ministru</w:t>
      </w:r>
      <w:r>
        <w:t>, § 51, y jurisprudencia allí citada).</w:t>
      </w:r>
    </w:p>
    <w:p w14:paraId="19A1DA6E" w14:textId="77777777" w:rsidR="00A8138F" w:rsidRDefault="00A8138F" w:rsidP="00A8138F">
      <w:pPr>
        <w:pStyle w:val="TextoNormal"/>
      </w:pPr>
    </w:p>
    <w:p w14:paraId="172F9FCC" w14:textId="77777777" w:rsidR="00A8138F" w:rsidRDefault="00A8138F" w:rsidP="00A8138F">
      <w:pPr>
        <w:pStyle w:val="TextoNormal"/>
      </w:pPr>
      <w:r>
        <w:t xml:space="preserve">El Tribunal de Justicia de la Unión Europea ha afirmado que “conforme al principio de separación de poderes que caracteriza el funcionamiento de un Estado de Derecho, debe garantizarse la independencia de los tribunales en particular frente a los Poderes Legislativo y Ejecutivo” (por todas, STJUE de 19 de noviembre de 2019, asuntos acumulados C-585/18, C-624/18 y C-625/18, </w:t>
      </w:r>
      <w:r w:rsidRPr="00A8138F">
        <w:rPr>
          <w:i/>
        </w:rPr>
        <w:t>A.K. c. Krajowa Rada Sądownictwa</w:t>
      </w:r>
      <w:r>
        <w:t xml:space="preserve"> y </w:t>
      </w:r>
      <w:r w:rsidRPr="00A8138F">
        <w:rPr>
          <w:i/>
        </w:rPr>
        <w:t>CP y DO c. Sąd Najwyższy</w:t>
      </w:r>
      <w:r>
        <w:t>, § 124). Como se indicó también en la sentencia recién citada, dicha independencia supone “que el órgano en cuestión ejerza sus funciones […] sin estar sometido a ningún vínculo jerárquico o de subordinación respecto a terceros y sin recibir órdenes ni instrucciones de ningún tipo, cualquiera que sea su procedencia, de tal modo que quede protegido de injerencias o presiones externas que puedan hacer peligrar la independencia de sus miembros a la hora de juzgar o que puedan influir en sus decisiones” (§ 121).</w:t>
      </w:r>
    </w:p>
    <w:p w14:paraId="67330DE2" w14:textId="77777777" w:rsidR="00A8138F" w:rsidRDefault="00A8138F" w:rsidP="00A8138F">
      <w:pPr>
        <w:pStyle w:val="TextoNormal"/>
      </w:pPr>
    </w:p>
    <w:p w14:paraId="561B528C" w14:textId="77777777" w:rsidR="00A8138F" w:rsidRDefault="00A8138F" w:rsidP="00A8138F">
      <w:pPr>
        <w:pStyle w:val="TextoNormal"/>
      </w:pPr>
      <w:r>
        <w:t>11.4</w:t>
      </w:r>
      <w:r w:rsidRPr="00A8138F">
        <w:rPr>
          <w:i/>
        </w:rPr>
        <w:t>. Enjuiciamien</w:t>
      </w:r>
      <w:r>
        <w:t>to</w:t>
      </w:r>
    </w:p>
    <w:p w14:paraId="738D6C2D" w14:textId="77777777" w:rsidR="00A8138F" w:rsidRDefault="00A8138F" w:rsidP="00A8138F">
      <w:pPr>
        <w:pStyle w:val="TextoNormal"/>
      </w:pPr>
    </w:p>
    <w:p w14:paraId="273E3694" w14:textId="77777777" w:rsidR="00A8138F" w:rsidRDefault="00A8138F" w:rsidP="00A8138F">
      <w:pPr>
        <w:pStyle w:val="TextoNormal"/>
      </w:pPr>
      <w:r>
        <w:t>A la luz de la doctrina expuesta, la impugnación debe ser desestimada, pues ningún elemento hay en la concreta amnistía regulada en la ley impugnada que implique presión o influencia externa en la función jurisdiccional, ni que ligue a los jueces a órdenes, instrucciones o indicaciones de ningún otro poder público, ni que, más ampliamente, sitúe a los miembros del Poder Judicial en la tesitura de ejercer la función jurisdiccional temiendo represalias o esperando favores. No se ve tampoco concernida ninguna de las específicas garantías constitucionales de la independencia judicial, pues la Ley de amnistía no afecta a la inamovilidad de los jueces, ni a ningún otro elemento de su régimen estatutario, ni a la organización y funcionamiento de los tribunales. Hay simplemente, como se ha señalado ya, una ordenación legal del alcance del ejercicio jurisdiccional tanto en su vertiente material como procesal, potestad legislativa que coexiste, de este modo, con la exclusividad judicial de la función jurisdiccional, lo cual, según se ha razonado en los fundamentos jurídicos 4 y 9, tampoco vulnera el resto de contenidos de la cláusula de Estado de Derecho específicamente relativos al Poder Judicial, esto es, la reserva de jurisdicción (art. 117.3 CE) y el derecho a la tutela judicial efectiva de los perjudicados por las conductas que resultan amnistiadas (art. 24.1 CE).</w:t>
      </w:r>
    </w:p>
    <w:p w14:paraId="2F003B1D" w14:textId="77777777" w:rsidR="00A8138F" w:rsidRDefault="00A8138F" w:rsidP="00A8138F">
      <w:pPr>
        <w:pStyle w:val="TextoNormal"/>
      </w:pPr>
    </w:p>
    <w:p w14:paraId="2414350A" w14:textId="77777777" w:rsidR="00A8138F" w:rsidRDefault="00A8138F" w:rsidP="00A8138F">
      <w:pPr>
        <w:pStyle w:val="TextoNormal"/>
      </w:pPr>
      <w:r>
        <w:t>No es posible siquiera apreciar en la Ley de amnistía la finalidad de crítica o censura al Poder Judicial que los recurrentes le atribuyen. La ley impugnada se limita a eliminar con carácter retrospectivo la responsabilidad de carácter represivo derivada de las conductas ilícitas incluidas en su ámbito de aplicación, sin que de dicha circunstancia quepa derivar valoración legislativa alguna acerca de la actividad jurisdiccional que los órganos judiciales hubieren realizado en el pasado respecto de las conductas que devienen amnistiables. La demanda sustenta la existencia del referido ánimo de censura o reprobación no en el articulado de la Ley de amnistía —al que ninguna referencia se hace al fundamentar el presente motivo de impugnación—, sino en otros elementos que, por su naturaleza, no pueden afectar a la validez de la ley ni ser objeto de fiscalización a través de un recurso de inconstitucionalidad.</w:t>
      </w:r>
    </w:p>
    <w:p w14:paraId="585F1E96" w14:textId="77777777" w:rsidR="00A8138F" w:rsidRDefault="00A8138F" w:rsidP="00A8138F">
      <w:pPr>
        <w:pStyle w:val="TextoNormal"/>
      </w:pPr>
    </w:p>
    <w:p w14:paraId="37167201" w14:textId="77777777" w:rsidR="00A8138F" w:rsidRDefault="00A8138F" w:rsidP="00A8138F">
      <w:pPr>
        <w:pStyle w:val="TextoNormal"/>
      </w:pPr>
      <w:r>
        <w:t>Así, por una parte, los recurrentes manifiestan su rechazo a determinadas afirmaciones contenidas en el preámbulo de la Ley de amnistía, al considerar que no resultan acordes con la cláusula de Estado de Derecho. Ahora bien, según la reiterada jurisprudencia de este tribunal, “los preámbulos de las leyes al carecer de valor normativo no pueden ser objeto de un recurso de inconstitucionalidad”, lo cual no impide, claro está, que si “los conceptos y categorías que se contienen en el preámbulo de una ley se proyect[an] sobre su articulado posterior, la declaración de inconstitucionalidad y nulidad de uno o varios de los preceptos impugnados de la misma ley prive al párrafo o apartado del preámbulo que glose dicho precepto del valor jurídico interpretativo que le es característico” (ATC 95/2021, de 7 de octubre, FJ único, y jurisprudencia allí citada). En el presente caso, sin embargo, la demanda no vincula las afirmaciones del preámbulo que controvierte con ningún precepto de la ley, ni tal vinculación resulta objetivamente apreciable. En consecuencia, con independencia de la intención política o incluso partidista que pueda atribuirse a algunos pasajes del preámbulo de la Ley de amnistía y de la crítica que la utilización de un preámbulo legislativo con tales fines pueda merecer desde la perspectiva de la técnica legislativa, el Tribunal, de acuerdo con su jurisprudencia, no puede hacer ningún pronunciamiento al respecto (en un sentido similar se pronunció el citado ATC 95/2021).</w:t>
      </w:r>
    </w:p>
    <w:p w14:paraId="3D27039B" w14:textId="77777777" w:rsidR="00A8138F" w:rsidRDefault="00A8138F" w:rsidP="00A8138F">
      <w:pPr>
        <w:pStyle w:val="TextoNormal"/>
      </w:pPr>
    </w:p>
    <w:p w14:paraId="3F9FF5B5" w14:textId="23C338AC" w:rsidR="00A8138F" w:rsidRDefault="00A8138F" w:rsidP="00A8138F">
      <w:pPr>
        <w:pStyle w:val="TextoNormal"/>
      </w:pPr>
      <w:r>
        <w:t>De otro lado, la demanda funda la denunciada finalidad censora o reprobatoria de la Ley de amnistía respecto de la actuación del Poder Judicial en las manifestaciones realizadas, tanto en la tramitación parlamentaria de la ley como fuera de ella, por ciertas fuerzas políticas cuyos representantes en las Cortes Generales votaron a favor de la aprobación de la Ley de amnistía. Al respecto baste recordar nuevamente que el enjuiciamiento de las normas legales no puede fundarse en las intenciones —reales o presuntas— que hayan guiado su aprobación parlamentaria, sino únicamente en su contenido objetivo. Como declaró la STC 19/2011, de 3 de marzo, FJ 12, “el relato o las afirmaciones que hacen sobre los supuestos motivos que, a su juicio, han llevado al legislador a aprobar dicha ley [son] argumentos que no pueden formar parte de un debate procesal que se desarrolla en esta sede y que tiene por objeto normas, no intenciones (STC 49/2008, de 9 de abril, FJ 5)”. Por tanto, las opiniones y motivaciones políticas de los partidos que promovieron la ley de amnistía son ajenas al juicio de constitucionalidad que debe realizar el Tribunal.</w:t>
      </w:r>
    </w:p>
    <w:p w14:paraId="2C0B2D2B" w14:textId="77777777" w:rsidR="00A8138F" w:rsidRDefault="00A8138F" w:rsidP="00A8138F">
      <w:pPr>
        <w:pStyle w:val="TextoNormal"/>
      </w:pPr>
    </w:p>
    <w:p w14:paraId="56400BFD" w14:textId="77777777" w:rsidR="00A8138F" w:rsidRDefault="00A8138F" w:rsidP="00A8138F">
      <w:pPr>
        <w:pStyle w:val="TextoNormal"/>
      </w:pPr>
      <w:r w:rsidRPr="00A8138F">
        <w:rPr>
          <w:rStyle w:val="NumeroAFNegritaCaracter"/>
        </w:rPr>
        <w:t>12</w:t>
      </w:r>
      <w:r>
        <w:t xml:space="preserve">. </w:t>
      </w:r>
      <w:r w:rsidRPr="00A8138F">
        <w:rPr>
          <w:i/>
        </w:rPr>
        <w:t>La alegada vulneración del art. 23 CE</w:t>
      </w:r>
    </w:p>
    <w:p w14:paraId="39CBFEBE" w14:textId="77777777" w:rsidR="00A8138F" w:rsidRDefault="00A8138F" w:rsidP="00A8138F">
      <w:pPr>
        <w:pStyle w:val="TextoNormal"/>
      </w:pPr>
    </w:p>
    <w:p w14:paraId="38765055" w14:textId="77777777" w:rsidR="00A8138F" w:rsidRDefault="00A8138F" w:rsidP="00A8138F">
      <w:pPr>
        <w:pStyle w:val="TextoNormal"/>
      </w:pPr>
      <w:r>
        <w:t>Los diputados y senadores recurrentes alegan que la ley impugnada infringe las más elementales exigencias formales y vulnera el art. 23 CE. Debido a que son varias las causas por las que llegan a tal conclusión, se analizan a continuación las diferentes alegaciones en el mismo orden en que los recurrentes las han formulado en la demanda.</w:t>
      </w:r>
    </w:p>
    <w:p w14:paraId="1D819475" w14:textId="77777777" w:rsidR="00A8138F" w:rsidRDefault="00A8138F" w:rsidP="00A8138F">
      <w:pPr>
        <w:pStyle w:val="TextoNormal"/>
      </w:pPr>
    </w:p>
    <w:p w14:paraId="36638A27" w14:textId="77777777" w:rsidR="00A8138F" w:rsidRDefault="00A8138F" w:rsidP="00A8138F">
      <w:pPr>
        <w:pStyle w:val="TextoNormal"/>
      </w:pPr>
      <w:r>
        <w:t xml:space="preserve">12.1. </w:t>
      </w:r>
      <w:r w:rsidRPr="00A8138F">
        <w:rPr>
          <w:i/>
        </w:rPr>
        <w:t>La falta de mayoría necesaria para la aprobación de la Ley de amnistía</w:t>
      </w:r>
    </w:p>
    <w:p w14:paraId="5E5B81C0" w14:textId="77777777" w:rsidR="00A8138F" w:rsidRDefault="00A8138F" w:rsidP="00A8138F">
      <w:pPr>
        <w:pStyle w:val="TextoNormal"/>
      </w:pPr>
    </w:p>
    <w:p w14:paraId="12196741" w14:textId="77777777" w:rsidR="00A8138F" w:rsidRDefault="00A8138F" w:rsidP="00A8138F">
      <w:pPr>
        <w:pStyle w:val="TextoNormal"/>
      </w:pPr>
      <w:r>
        <w:t xml:space="preserve">12.1.1. </w:t>
      </w:r>
      <w:r w:rsidRPr="00A8138F">
        <w:rPr>
          <w:i/>
        </w:rPr>
        <w:t>Exposición del motivo y alegaciones de las partes</w:t>
      </w:r>
    </w:p>
    <w:p w14:paraId="17C0871B" w14:textId="77777777" w:rsidR="00A8138F" w:rsidRDefault="00A8138F" w:rsidP="00A8138F">
      <w:pPr>
        <w:pStyle w:val="TextoNormal"/>
      </w:pPr>
    </w:p>
    <w:p w14:paraId="3E4FB4D4" w14:textId="77777777" w:rsidR="00A8138F" w:rsidRDefault="00A8138F" w:rsidP="00A8138F">
      <w:pPr>
        <w:pStyle w:val="TextoNormal"/>
      </w:pPr>
      <w:r>
        <w:t>Los demandantes alegan, en primer lugar, que la Ley de amnistía, siguiendo las recomendaciones de la Comisión de Venecia, debería haberse aprobado por una mayoría cualificada. Asimismo, sostienen que la Ley Orgánica 1/2024 obtuvo más votos en contra que a favor por parte de los representantes de los ciudadanos.</w:t>
      </w:r>
    </w:p>
    <w:p w14:paraId="27F3B864" w14:textId="77777777" w:rsidR="00A8138F" w:rsidRDefault="00A8138F" w:rsidP="00A8138F">
      <w:pPr>
        <w:pStyle w:val="TextoNormal"/>
      </w:pPr>
    </w:p>
    <w:p w14:paraId="34951501" w14:textId="77777777" w:rsidR="00A8138F" w:rsidRDefault="00A8138F" w:rsidP="00A8138F">
      <w:pPr>
        <w:pStyle w:val="TextoNormal"/>
      </w:pPr>
      <w:r>
        <w:t>El Congreso de los Diputados se opone a este motivo del recurso. Niega que esta norma haya sido aprobada sin contar con la mayoría necesaria de los votos. Alega que el cálculo de los votos que realizan los recurrentes no es el que se corresponde con lo dispuesto en los reglamentos de las Cámaras.</w:t>
      </w:r>
    </w:p>
    <w:p w14:paraId="5E179F32" w14:textId="77777777" w:rsidR="00A8138F" w:rsidRDefault="00A8138F" w:rsidP="00A8138F">
      <w:pPr>
        <w:pStyle w:val="TextoNormal"/>
      </w:pPr>
    </w:p>
    <w:p w14:paraId="582205C6" w14:textId="77777777" w:rsidR="00A8138F" w:rsidRDefault="00A8138F" w:rsidP="00A8138F">
      <w:pPr>
        <w:pStyle w:val="TextoNormal"/>
      </w:pPr>
      <w:r>
        <w:t>El abogado del Estado se opone también a esta alegación al considerar que la Ley de amnistía, dado su carácter de ley orgánica, se ha aprobado a través del procedimiento legislativo que requiere la mayoría más exigente de las previstas en nuestro procedimiento legislativo.</w:t>
      </w:r>
    </w:p>
    <w:p w14:paraId="54659960" w14:textId="77777777" w:rsidR="00A8138F" w:rsidRDefault="00A8138F" w:rsidP="00A8138F">
      <w:pPr>
        <w:pStyle w:val="TextoNormal"/>
      </w:pPr>
    </w:p>
    <w:p w14:paraId="6E21CEF5" w14:textId="77777777" w:rsidR="00A8138F" w:rsidRDefault="00A8138F" w:rsidP="00A8138F">
      <w:pPr>
        <w:pStyle w:val="TextoNormal"/>
      </w:pPr>
      <w:r>
        <w:t xml:space="preserve">12.1.2. </w:t>
      </w:r>
      <w:r w:rsidRPr="00A8138F">
        <w:rPr>
          <w:i/>
        </w:rPr>
        <w:t>Doctrina constitucional y enjuiciamiento del motivo</w:t>
      </w:r>
    </w:p>
    <w:p w14:paraId="7A769873" w14:textId="77777777" w:rsidR="00A8138F" w:rsidRDefault="00A8138F" w:rsidP="00A8138F">
      <w:pPr>
        <w:pStyle w:val="TextoNormal"/>
      </w:pPr>
    </w:p>
    <w:p w14:paraId="71ECC6CD" w14:textId="77777777" w:rsidR="00A8138F" w:rsidRDefault="00A8138F" w:rsidP="00A8138F">
      <w:pPr>
        <w:pStyle w:val="TextoNormal"/>
      </w:pPr>
      <w:r>
        <w:t>El motivo debe ser rechazado. La alegación por la que se aduce que la Ley de amnistía no se aprobó por una mayoría cualificada, como recomienda la Comisión de Venecia, no puede prosperar. Como es patente, las recomendaciones de este organismo no constituyen parámetro de constitucionalidad (SSTC 197/2014, de 4 de diciembre, FJ 4, y 15/2015, de 5 de febrero, FJ 6). Para apreciar la conformidad o disconformidad de una ley, el Tribunal ha de atenerse únicamente a los preceptos constitucionales y, en su caso, al bloque de constitucionalidad.</w:t>
      </w:r>
    </w:p>
    <w:p w14:paraId="7200D182" w14:textId="77777777" w:rsidR="00A8138F" w:rsidRDefault="00A8138F" w:rsidP="00A8138F">
      <w:pPr>
        <w:pStyle w:val="TextoNormal"/>
      </w:pPr>
    </w:p>
    <w:p w14:paraId="633989B8" w14:textId="77777777" w:rsidR="00A8138F" w:rsidRDefault="00A8138F" w:rsidP="00A8138F">
      <w:pPr>
        <w:pStyle w:val="TextoNormal"/>
      </w:pPr>
      <w:r>
        <w:t>Tampoco puede prosperar la alegación en la que se sostiene que la Ley Orgánica 1/2024 fue aprobada a pesar de que, sumando los votos obtenidos en el Congreso y en el Senado, obtuvo más votos negativos que positivos. La Ley de amnistía fue aprobada por la mayoría constitucionalmente exigida para las leyes orgánicas (art. 81.2 CE). En la votación del Pleno del Congreso, celebrada en la sesión del día 14 de marzo de 2024, el dictamen de la comisión presentado obtuvo 178 votos a favor y 172 votos en contra. El Senado vetó la proposición de ley orgánica remitida por el Congreso en la sesión celebrada el 14 de mayo de 2024. De los 262 votos emitidos, la propuesta de veto obtuvo 149 votos a favor y 113 en contra. El veto del Senado fue levantado por el Congreso de los Diputados en la sesión plenaria celebrada el 30 de mayo. En esta segunda votación, la proposición obtuvo 177 votos a favor (mayoría absoluta) y 172 en contra, por lo que, de acuerdo con lo establecido en el art. 90.2 CE, se levantó el veto del Senado y, en consecuencia, se aprobó la Ley Orgánica 1/2024.</w:t>
      </w:r>
    </w:p>
    <w:p w14:paraId="15FE4C68" w14:textId="77777777" w:rsidR="00A8138F" w:rsidRDefault="00A8138F" w:rsidP="00A8138F">
      <w:pPr>
        <w:pStyle w:val="TextoNormal"/>
      </w:pPr>
    </w:p>
    <w:p w14:paraId="674C79A8" w14:textId="77777777" w:rsidR="00A8138F" w:rsidRDefault="00A8138F" w:rsidP="00A8138F">
      <w:pPr>
        <w:pStyle w:val="TextoNormal"/>
      </w:pPr>
      <w:r>
        <w:t>Resulta, por tanto, que la Ley de amnistía se aprobó contando con los votos necesarios para que se produjera este efecto, sin que para enjuiciar su constitucionalidad y, por tanto, su legitimidad sea relevante el cómputo total de la suma de los votos obtenidos en el Congreso y en el Senado, como sostienen los recurrentes.</w:t>
      </w:r>
    </w:p>
    <w:p w14:paraId="777886B1" w14:textId="77777777" w:rsidR="00A8138F" w:rsidRDefault="00A8138F" w:rsidP="00A8138F">
      <w:pPr>
        <w:pStyle w:val="TextoNormal"/>
      </w:pPr>
    </w:p>
    <w:p w14:paraId="1A75F906" w14:textId="77777777" w:rsidR="00A8138F" w:rsidRDefault="00A8138F" w:rsidP="00A8138F">
      <w:pPr>
        <w:pStyle w:val="TextoNormal"/>
      </w:pPr>
      <w:r>
        <w:t xml:space="preserve">12.2. </w:t>
      </w:r>
      <w:r w:rsidRPr="00A8138F">
        <w:rPr>
          <w:i/>
        </w:rPr>
        <w:t>La tramitación de la Ley de amnistía como proposición de ley y el ejercicio de esta iniciativa estando el Gobierno en funciones</w:t>
      </w:r>
    </w:p>
    <w:p w14:paraId="1D7B0F97" w14:textId="77777777" w:rsidR="00A8138F" w:rsidRDefault="00A8138F" w:rsidP="00A8138F">
      <w:pPr>
        <w:pStyle w:val="TextoNormal"/>
      </w:pPr>
    </w:p>
    <w:p w14:paraId="46A650C1" w14:textId="77777777" w:rsidR="00A8138F" w:rsidRDefault="00A8138F" w:rsidP="00A8138F">
      <w:pPr>
        <w:pStyle w:val="TextoNormal"/>
      </w:pPr>
      <w:r>
        <w:t xml:space="preserve">12.2.1. </w:t>
      </w:r>
      <w:r w:rsidRPr="00A8138F">
        <w:rPr>
          <w:i/>
        </w:rPr>
        <w:t>Exposición del motivo y alegaciones de las partes</w:t>
      </w:r>
    </w:p>
    <w:p w14:paraId="210F62FC" w14:textId="77777777" w:rsidR="00A8138F" w:rsidRDefault="00A8138F" w:rsidP="00A8138F">
      <w:pPr>
        <w:pStyle w:val="TextoNormal"/>
      </w:pPr>
    </w:p>
    <w:p w14:paraId="7B5A8E81" w14:textId="77777777" w:rsidR="00A8138F" w:rsidRDefault="00A8138F" w:rsidP="00A8138F">
      <w:pPr>
        <w:pStyle w:val="TextoNormal"/>
      </w:pPr>
      <w:r>
        <w:t>Como se ha indicado en los antecedentes, los recurrentes alegan que la Ley de amnistía fue tramitada como proposición de ley y su tramitación se inició cuando el Gobierno se encontraba en funciones. Entienden que, dada la relevancia de esta iniciativa legislativa, al haberse tramitado antes de la celebración de la sesión de investidura como una proposición de ley, vulnera el art. 23 CE por haber privado a los parlamentarios de la información y documentación necesaria para que pudieran formarse una opinión.</w:t>
      </w:r>
    </w:p>
    <w:p w14:paraId="65DAE545" w14:textId="77777777" w:rsidR="00A8138F" w:rsidRDefault="00A8138F" w:rsidP="00A8138F">
      <w:pPr>
        <w:pStyle w:val="TextoNormal"/>
      </w:pPr>
    </w:p>
    <w:p w14:paraId="569BC58F" w14:textId="77777777" w:rsidR="00A8138F" w:rsidRDefault="00A8138F" w:rsidP="00A8138F">
      <w:pPr>
        <w:pStyle w:val="TextoNormal"/>
      </w:pPr>
      <w:r>
        <w:t xml:space="preserve">12.2.2. </w:t>
      </w:r>
      <w:r w:rsidRPr="00A8138F">
        <w:rPr>
          <w:i/>
        </w:rPr>
        <w:t>Doctrina constitucional y enjuiciamiento del motivo</w:t>
      </w:r>
    </w:p>
    <w:p w14:paraId="0A885C4E" w14:textId="77777777" w:rsidR="00A8138F" w:rsidRDefault="00A8138F" w:rsidP="00A8138F">
      <w:pPr>
        <w:pStyle w:val="TextoNormal"/>
      </w:pPr>
    </w:p>
    <w:p w14:paraId="53C52A5E" w14:textId="77777777" w:rsidR="00A8138F" w:rsidRDefault="00A8138F" w:rsidP="00A8138F">
      <w:pPr>
        <w:pStyle w:val="TextoNormal"/>
      </w:pPr>
      <w:r>
        <w:t>Estas alegaciones tampoco pueden prosperar. Es doctrina constitucional reiterada (entre otras muchas, SSTC 15/2024, de 30 de enero, FJ 3, y 153/2024, de 16 de diciembre, FJ 2) que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[STC 128/2023, FJ 3 B)]”. Al no existir ninguna norma constitucional que imponga que este tipo de leyes ha de tramitarse a través de la iniciativa legislativa gubernamental, no existe impedimento constitucional alguno para que la Ley de amnistía haya sido tramitada como proposición de ley orgánica.</w:t>
      </w:r>
    </w:p>
    <w:p w14:paraId="210BB427" w14:textId="77777777" w:rsidR="00A8138F" w:rsidRDefault="00A8138F" w:rsidP="00A8138F">
      <w:pPr>
        <w:pStyle w:val="TextoNormal"/>
      </w:pPr>
    </w:p>
    <w:p w14:paraId="79FE5371" w14:textId="77777777" w:rsidR="00A8138F" w:rsidRDefault="00A8138F" w:rsidP="00A8138F">
      <w:pPr>
        <w:pStyle w:val="TextoNormal"/>
      </w:pPr>
      <w:r>
        <w:t>Tampoco es relevante, a efectos de apreciar si el procedimiento de elaboración parlamentaria de la Ley Orgánica 1/2024 fue respetuoso con las exigencias constitucionales, que el Gobierno estuviera en funciones cuando se presentó esta iniciativa legislativa. Tal circunstancia no impide presentar proposiciones de ley a quienes tienen legitimación para ello.</w:t>
      </w:r>
    </w:p>
    <w:p w14:paraId="5ED11415" w14:textId="77777777" w:rsidR="00A8138F" w:rsidRDefault="00A8138F" w:rsidP="00A8138F">
      <w:pPr>
        <w:pStyle w:val="TextoNormal"/>
      </w:pPr>
    </w:p>
    <w:p w14:paraId="0E0D9238" w14:textId="77777777" w:rsidR="00A8138F" w:rsidRDefault="00A8138F" w:rsidP="00A8138F">
      <w:pPr>
        <w:pStyle w:val="TextoNormal"/>
      </w:pPr>
      <w:r>
        <w:t>En consecuencia, estas alegaciones también han de ser rechazadas.</w:t>
      </w:r>
    </w:p>
    <w:p w14:paraId="11158B6B" w14:textId="77777777" w:rsidR="00A8138F" w:rsidRDefault="00A8138F" w:rsidP="00A8138F">
      <w:pPr>
        <w:pStyle w:val="TextoNormal"/>
      </w:pPr>
    </w:p>
    <w:p w14:paraId="3F99AFE4" w14:textId="77777777" w:rsidR="00A8138F" w:rsidRDefault="00A8138F" w:rsidP="00A8138F">
      <w:pPr>
        <w:pStyle w:val="TextoNormal"/>
      </w:pPr>
      <w:r>
        <w:t xml:space="preserve">12.3. </w:t>
      </w:r>
      <w:r w:rsidRPr="00A8138F">
        <w:rPr>
          <w:i/>
        </w:rPr>
        <w:t>Las consecuencias de aplicar lo dispuesto en el art. 131.2 RCD y devolver la proposición de ley orgánica a la comisión para la elaboración un nuevo dictamen</w:t>
      </w:r>
    </w:p>
    <w:p w14:paraId="6D263E7E" w14:textId="77777777" w:rsidR="00A8138F" w:rsidRDefault="00A8138F" w:rsidP="00A8138F">
      <w:pPr>
        <w:pStyle w:val="TextoNormal"/>
      </w:pPr>
    </w:p>
    <w:p w14:paraId="5E399EC3" w14:textId="77777777" w:rsidR="00A8138F" w:rsidRDefault="00A8138F" w:rsidP="00A8138F">
      <w:pPr>
        <w:pStyle w:val="TextoNormal"/>
      </w:pPr>
      <w:r>
        <w:t xml:space="preserve">12.3.1. </w:t>
      </w:r>
      <w:r w:rsidRPr="00A8138F">
        <w:rPr>
          <w:i/>
        </w:rPr>
        <w:t>Exposición del motivo y alegaciones de las partes</w:t>
      </w:r>
    </w:p>
    <w:p w14:paraId="1F493986" w14:textId="77777777" w:rsidR="00A8138F" w:rsidRDefault="00A8138F" w:rsidP="00A8138F">
      <w:pPr>
        <w:pStyle w:val="TextoNormal"/>
      </w:pPr>
    </w:p>
    <w:p w14:paraId="611C951F" w14:textId="77777777" w:rsidR="00A8138F" w:rsidRDefault="00A8138F" w:rsidP="00A8138F">
      <w:pPr>
        <w:pStyle w:val="TextoNormal"/>
      </w:pPr>
      <w:r>
        <w:t>Los recurrentes aducen que, aunque el Pleno del Congreso aprobó el dictamen de la Comisión de Justicia sobre la proposición de ley de amnistía, cuando se procedió a su votación final sobre el conjunto de la proposición, esta fue rechazada. Entienden que, al no haber obtenido en esta votación ni siquiera mayoría simple, la proposición hubiera debido decaer. A su juicio, para que pudiera aplicarse lo dispuesto en el art. 131.2 RCD hubiera sido necesario que en la votación sobre el conjunto de la proposición se hubiera obtenido una mayoría simple, lo que no ocurrió en este caso, al obtener 171 votos a favor y 179 en contra. En su opinión, la interpretación que efectuó la mesa de la Cámara del citado precepto contraviene el principio democrático mayoritario consagrado en el art. 79.2 CE en relación con el art. 23 CE.</w:t>
      </w:r>
    </w:p>
    <w:p w14:paraId="126F20CE" w14:textId="77777777" w:rsidR="00A8138F" w:rsidRDefault="00A8138F" w:rsidP="00A8138F">
      <w:pPr>
        <w:pStyle w:val="TextoNormal"/>
      </w:pPr>
    </w:p>
    <w:p w14:paraId="293209C8" w14:textId="77777777" w:rsidR="00A8138F" w:rsidRDefault="00A8138F" w:rsidP="00A8138F">
      <w:pPr>
        <w:pStyle w:val="TextoNormal"/>
      </w:pPr>
      <w:r>
        <w:t>El letrado de las Cortes Generales que actúa en representación del Senado se opone a la interpretación efectuada por la mesa del Congreso. A su juicio, es contraria al principio democrático que consagra el art. 79.2 CE, que exige que para que un asunto se pueda considerar aprobado es preciso que obtenga la mayoría de votos. Invoca la doctrina contenida en la STC 238/2012, de 13 de diciembre, FJ 3, aunque reconoce que el caso enjuiciado en la citada sentencia no es igual al que ahora se examina, al tratarse de un supuesto en el que se siguió el procedimiento de lectura única, lo que no ocurre en este caso.</w:t>
      </w:r>
    </w:p>
    <w:p w14:paraId="5302093E" w14:textId="77777777" w:rsidR="00A8138F" w:rsidRDefault="00A8138F" w:rsidP="00A8138F">
      <w:pPr>
        <w:pStyle w:val="TextoNormal"/>
      </w:pPr>
    </w:p>
    <w:p w14:paraId="72FDAE5C" w14:textId="77777777" w:rsidR="00A8138F" w:rsidRDefault="00A8138F" w:rsidP="00A8138F">
      <w:pPr>
        <w:pStyle w:val="TextoNormal"/>
      </w:pPr>
      <w:r>
        <w:t>La representación procesal del Congreso entiende que la mesa de la Cámara aplicó debidamente lo dispuesto en el art. 131.2 RCD, pues considera que esta previsión reglamentaria lo que está estableciendo es que si se alcanza la mayoría absoluta se remite la iniciativa al Senado y si no se alcanza esa mayoría se devuelve a la Comisión.</w:t>
      </w:r>
    </w:p>
    <w:p w14:paraId="4F4B920C" w14:textId="77777777" w:rsidR="00A8138F" w:rsidRDefault="00A8138F" w:rsidP="00A8138F">
      <w:pPr>
        <w:pStyle w:val="TextoNormal"/>
      </w:pPr>
    </w:p>
    <w:p w14:paraId="095BDC2A" w14:textId="77777777" w:rsidR="00A8138F" w:rsidRDefault="00A8138F" w:rsidP="00A8138F">
      <w:pPr>
        <w:pStyle w:val="TextoNormal"/>
      </w:pPr>
      <w:r>
        <w:t>El abogado del Estado se opone a esta alegación al apreciar que la devolución de la proposición de la ley orgánica de amnistía a la Comisión es lo que procede según el tenor del art. 131.2 RCD, ya que este precepto establece esta conclusión cuando la votación sobre el conjunto del texto no obtuviera mayoría absoluta.</w:t>
      </w:r>
    </w:p>
    <w:p w14:paraId="0F3E17C5" w14:textId="77777777" w:rsidR="00A8138F" w:rsidRDefault="00A8138F" w:rsidP="00A8138F">
      <w:pPr>
        <w:pStyle w:val="TextoNormal"/>
      </w:pPr>
    </w:p>
    <w:p w14:paraId="342C0BF7" w14:textId="77777777" w:rsidR="00A8138F" w:rsidRDefault="00A8138F" w:rsidP="00A8138F">
      <w:pPr>
        <w:pStyle w:val="TextoNormal"/>
      </w:pPr>
      <w:r>
        <w:t xml:space="preserve">12.3.2. </w:t>
      </w:r>
      <w:r w:rsidRPr="00A8138F">
        <w:rPr>
          <w:i/>
        </w:rPr>
        <w:t>Doctrina constitucional y enjuiciamiento del motivo</w:t>
      </w:r>
    </w:p>
    <w:p w14:paraId="10043E45" w14:textId="77777777" w:rsidR="00A8138F" w:rsidRDefault="00A8138F" w:rsidP="00A8138F">
      <w:pPr>
        <w:pStyle w:val="TextoNormal"/>
      </w:pPr>
    </w:p>
    <w:p w14:paraId="719D8571" w14:textId="77777777" w:rsidR="00A8138F" w:rsidRDefault="00A8138F" w:rsidP="00A8138F">
      <w:pPr>
        <w:pStyle w:val="TextoNormal"/>
      </w:pPr>
      <w:r>
        <w:t>Como se ha expuesto en los antecedentes, el 30 de enero de 2024, el Pleno del Congreso de los Diputados debatió y votó el dictamen de la ponencia sobre la proposición de la ley orgánica de amnistía y obtuvo 177 votos a favor y 172 en contra. A continuación, al tratarse de una proposición de ley orgánica, para considerarse aprobada por esta Cámara, era precisa una votación ulterior sobre el conjunto de la proposición (art. 81.2 CE). En esta votación obtuvo más votos en contra (179) que a favor (171). En aplicación de lo dispuesto en el art. 131.2 RCD, la mesa del Congreso acordó la devolución de la proposición de ley orgánica a la comisión de justicia a efectos de emitir un nuevo dictamen. La cuestión que ahora se plantea es si el hecho de que la proposición de ley orgánica hubiera tenido más votos en contra que a favor en esta segunda votación debe tener como efecto jurídico el decaimiento del procedimiento legislativo o, por el contrario, su devolución a la comisión con la finalidad de dar una segunda oportunidad a esta iniciativa, en aplicación de lo dispuesto en el art. 131.2 RCD.</w:t>
      </w:r>
    </w:p>
    <w:p w14:paraId="20F2D380" w14:textId="77777777" w:rsidR="00A8138F" w:rsidRDefault="00A8138F" w:rsidP="00A8138F">
      <w:pPr>
        <w:pStyle w:val="TextoNormal"/>
      </w:pPr>
    </w:p>
    <w:p w14:paraId="4619A846" w14:textId="77777777" w:rsidR="00A8138F" w:rsidRDefault="00A8138F" w:rsidP="00A8138F">
      <w:pPr>
        <w:pStyle w:val="TextoNormal"/>
      </w:pPr>
      <w:r>
        <w:t>Para resolver esta cuestión, ha de partirse de lo que establece el referido precepto reglamentario:</w:t>
      </w:r>
    </w:p>
    <w:p w14:paraId="3A3EA78B" w14:textId="77777777" w:rsidR="00A8138F" w:rsidRDefault="00A8138F" w:rsidP="00A8138F">
      <w:pPr>
        <w:pStyle w:val="TextoNormal"/>
      </w:pPr>
    </w:p>
    <w:p w14:paraId="01AAF8B3" w14:textId="77777777" w:rsidR="00A8138F" w:rsidRDefault="00A8138F" w:rsidP="00A8138F">
      <w:pPr>
        <w:pStyle w:val="TextoNormal"/>
      </w:pPr>
      <w:r>
        <w:t>“1. Los proyectos y proposiciones de ley orgánica se tramitarán por el procedimiento legislativo común, con las especialidades establecidas en la presente sección.</w:t>
      </w:r>
    </w:p>
    <w:p w14:paraId="676104C7" w14:textId="77777777" w:rsidR="00A8138F" w:rsidRDefault="00A8138F" w:rsidP="00A8138F">
      <w:pPr>
        <w:pStyle w:val="TextoNormal"/>
      </w:pPr>
    </w:p>
    <w:p w14:paraId="50E21396" w14:textId="77777777" w:rsidR="00A8138F" w:rsidRDefault="00A8138F" w:rsidP="00A8138F">
      <w:pPr>
        <w:pStyle w:val="TextoNormal"/>
      </w:pPr>
      <w:r>
        <w:t>2. Su aprobación requerirá el voto favorable de la mayoría absoluta de los miembros de la Cámara en una votación final sobre el conjunto del texto. La votación será anunciada con antelación por la Presidencia de la Cámara y, si en ella se consigue la citada mayoría, el proyecto será remitido al Senado. Si, por el contrario, aquella no se consiguiese, el proyecto será devuelto a la comisión, que deberá emitir nuevo dictamen en el plazo de un mes.</w:t>
      </w:r>
    </w:p>
    <w:p w14:paraId="4E4AA264" w14:textId="77777777" w:rsidR="00A8138F" w:rsidRDefault="00A8138F" w:rsidP="00A8138F">
      <w:pPr>
        <w:pStyle w:val="TextoNormal"/>
      </w:pPr>
    </w:p>
    <w:p w14:paraId="6D6A9D94" w14:textId="77777777" w:rsidR="00A8138F" w:rsidRDefault="00A8138F" w:rsidP="00A8138F">
      <w:pPr>
        <w:pStyle w:val="TextoNormal"/>
      </w:pPr>
      <w:r>
        <w:t>3. El debate sobre el nuevo dictamen se ajustará a las normas que regulan los de totalidad. Si en la votación se consiguiese el voto favorable de la mayoría absoluta de los miembros de la Cámara se enviará al Senado, entendiéndose rechazado en caso contrario”.</w:t>
      </w:r>
    </w:p>
    <w:p w14:paraId="706283FB" w14:textId="77777777" w:rsidR="00A8138F" w:rsidRDefault="00A8138F" w:rsidP="00A8138F">
      <w:pPr>
        <w:pStyle w:val="TextoNormal"/>
      </w:pPr>
    </w:p>
    <w:p w14:paraId="6E3726C5" w14:textId="77777777" w:rsidR="00A8138F" w:rsidRDefault="00A8138F" w:rsidP="00A8138F">
      <w:pPr>
        <w:pStyle w:val="TextoNormal"/>
      </w:pPr>
      <w:r>
        <w:t>Como se desprende de lo dispuesto en el apartado 1 del citado precepto, el Reglamento del Congreso dedica la sección primera del capítulo tercero del título V a la regulación de las especialidades de los proyectos y proposiciones de ley orgánica. Una de estas especialidades consiste, precisamente, en que, una vez que el Pleno ha aprobado el dictamen de la comisión, es precisa una segunda votación del Pleno de la Cámara sobre el conjunto del texto final y solo si se obtiene la mayoría absoluta se considera aprobada.</w:t>
      </w:r>
    </w:p>
    <w:p w14:paraId="5FF28990" w14:textId="77777777" w:rsidR="00A8138F" w:rsidRDefault="00A8138F" w:rsidP="00A8138F">
      <w:pPr>
        <w:pStyle w:val="TextoNormal"/>
      </w:pPr>
    </w:p>
    <w:p w14:paraId="2D7A20FE" w14:textId="77777777" w:rsidR="00A8138F" w:rsidRDefault="00A8138F" w:rsidP="00A8138F">
      <w:pPr>
        <w:pStyle w:val="TextoNormal"/>
      </w:pPr>
      <w:r>
        <w:t>Como se acaba de señalar, la cuestión que ha de resolverse es si el rechazo del texto en esta segunda votación lleva aparejada la finalización del procedimiento legislativo o si, por el contrario, procede la devolución a la comisión.</w:t>
      </w:r>
    </w:p>
    <w:p w14:paraId="48623CA2" w14:textId="77777777" w:rsidR="00A8138F" w:rsidRDefault="00A8138F" w:rsidP="00A8138F">
      <w:pPr>
        <w:pStyle w:val="TextoNormal"/>
      </w:pPr>
    </w:p>
    <w:p w14:paraId="6DD9EFB4" w14:textId="77777777" w:rsidR="00A8138F" w:rsidRDefault="00A8138F" w:rsidP="00A8138F">
      <w:pPr>
        <w:pStyle w:val="TextoNormal"/>
      </w:pPr>
      <w:r>
        <w:t>El art. 131.2 RCD se limita a establecer que en el caso de que la proposición o proyecto no obtuviera la mayoría absoluta en la votación final sobre el conjunto del texto “el proyecto será devuelto a la Comisión”. El precepto, por tanto, no distingue entre si la votación ha arrojado más votos positivos o negativos, sino que, únicamente, se refiere al caso de que no obtenga la mayoría absoluta y este resultado puede producirse tanto en los casos en que haya obtenido más votos en contra que a favor como en aquellos en los que ha obtenido más votos a favor, pero no la mayoría absoluta. Expresado en otros términos, la norma no prevé consecuencias jurídicas distintas para el caso de que el texto final no haya sido aprobado por mayoría absoluta o haya sido rechazado. Por ello, una interpretación literal de esta norma lleva a concluir que, en ambos casos —aprobación por mayoría simple o rechazo—, ha de devolverse el texto a la comisión, pues donde no distingue la norma tampoco debe hacerlo el intérprete</w:t>
      </w:r>
      <w:r w:rsidRPr="00A8138F">
        <w:rPr>
          <w:i/>
        </w:rPr>
        <w:t xml:space="preserve"> (ubi lex non distinguit, nec nos distinguere debem</w:t>
      </w:r>
      <w:r>
        <w:t>us).</w:t>
      </w:r>
    </w:p>
    <w:p w14:paraId="5E99101B" w14:textId="77777777" w:rsidR="00A8138F" w:rsidRDefault="00A8138F" w:rsidP="00A8138F">
      <w:pPr>
        <w:pStyle w:val="TextoNormal"/>
      </w:pPr>
    </w:p>
    <w:p w14:paraId="7362087B" w14:textId="77777777" w:rsidR="00A8138F" w:rsidRDefault="00A8138F" w:rsidP="00A8138F">
      <w:pPr>
        <w:pStyle w:val="TextoNormal"/>
      </w:pPr>
      <w:r>
        <w:t>La misma conclusión deriva de una interpretación sistemática del precepto. Por una parte, ha de tenerse en cuenta que el trámite previsto en el art. 131.2 RCD es una especialidad del procedimiento de tramitación de los proyectos y proposiciones de ley orgánica. Por tanto, sus previsiones —también las de adopción de acuerdos— han de considerarse prevalentes a las establecidas en el procedimiento ordinario. Así lo preceptúan las reglas de interpretación jurídica —ley especial prevalece frente a ley general—; así lo dispone el propio art. 131.1 RCD en el que expresamente se establece que estas iniciativas se tramitarán “por el procedimiento legislativo común, con las especialidades establecidas en la presente sección” y la misma previsión está contenida en el art. 79.2 CE, que excepciona la mayoría simple como regla general para adoptar acuerdos en los casos en los que la propia Constitución disponga mayorías especiales. Como en el procedimiento ordinario no se exige esta segunda votación sobre el conjunto del texto, ha de estarse a la norma especial que regula cómo ha de procederse en estos casos, que es el art. 131.2 RCD, no el art. 79.1 RCD. Este argumento sistemático fue el que aplicó el ATC 24/2024, de 14 de marzo, FJ 2 (que enjuició esta misma actuación de los órganos de la Cámara), para llegar a la conclusión de que la resolución adoptada por la Presidencia y la mesa del Congreso de remitir de nuevo la proposición de ley a la comisión para que en el plazo de un mes presentara un nuevo dictamen no vulneraba el art. 23.2 CE.</w:t>
      </w:r>
    </w:p>
    <w:p w14:paraId="10580E02" w14:textId="77777777" w:rsidR="00A8138F" w:rsidRDefault="00A8138F" w:rsidP="00A8138F">
      <w:pPr>
        <w:pStyle w:val="TextoNormal"/>
      </w:pPr>
    </w:p>
    <w:p w14:paraId="3D0E7C09" w14:textId="77777777" w:rsidR="00A8138F" w:rsidRDefault="00A8138F" w:rsidP="00A8138F">
      <w:pPr>
        <w:pStyle w:val="TextoNormal"/>
      </w:pPr>
      <w:r>
        <w:t>Desde esta perspectiva sistemática existe otro argumento que lleva a la misma conclusión. El art. 131.3 RCD regula expresamente cuándo ha de rechazarse el texto y, por tanto, cuándo se produce el decaimiento del procedimiento legislativo. Según dicho precepto, esta consecuencia solo procede en el caso de que, tras haberse seguido el trámite del art. 131.2 RCD, el nuevo texto tampoco haya obtenido la mayoría absoluta constitucionalmente exigible. En definitiva, como en este caso no se da la circunstancia prevista en el art. 131.3 RCD —no se había seguido aún el trámite del art. 131.2 RCD— no procede el rechazo de la proposición, sino la devolución a la comisión.</w:t>
      </w:r>
    </w:p>
    <w:p w14:paraId="30A892F5" w14:textId="77777777" w:rsidR="00A8138F" w:rsidRDefault="00A8138F" w:rsidP="00A8138F">
      <w:pPr>
        <w:pStyle w:val="TextoNormal"/>
      </w:pPr>
    </w:p>
    <w:p w14:paraId="69F5FB41" w14:textId="77777777" w:rsidR="00A8138F" w:rsidRDefault="00A8138F" w:rsidP="00A8138F">
      <w:pPr>
        <w:pStyle w:val="TextoNormal"/>
      </w:pPr>
      <w:r>
        <w:t>Afirmar, como sostienen los recurrentes y el letrado del Senado, que para la aplicación de lo dispuesto en el art. 131.2 RCD sea necesario que en la votación sobre el conjunto del proyecto se hayan obtenido más votos positivos que negativos, no tiene respaldo ni en la literalidad del precepto ni se deriva de su interpretación sistemática.</w:t>
      </w:r>
    </w:p>
    <w:p w14:paraId="6180FB88" w14:textId="77777777" w:rsidR="00A8138F" w:rsidRDefault="00A8138F" w:rsidP="00A8138F">
      <w:pPr>
        <w:pStyle w:val="TextoNormal"/>
      </w:pPr>
    </w:p>
    <w:p w14:paraId="04689C0E" w14:textId="77777777" w:rsidR="00A8138F" w:rsidRDefault="00A8138F" w:rsidP="00A8138F">
      <w:pPr>
        <w:pStyle w:val="TextoNormal"/>
      </w:pPr>
      <w:r>
        <w:t>Un análisis teleológico refuerza esta interpretación. El art. 131.2 RCD, al prever la devolución a la comisión de las iniciativas que no hayan alcanzado la mayoría absoluta, está configurando un sistema que evita el rechazo definitivo de una iniciativa sobre la que ya ha habido un pronunciamiento favorable del Pleno —la aprobación del dictamen de la comisión—, otorgando una segunda posibilidad a la Cámara para revisar o ajustar aspectos que pudieran ser objeto de acuerdo tras un segundo análisis en comisión, promoviendo de este modo una mayor deliberación y participación de los representantes. Este procedimiento, a diferencia del previsto para la tramitación de las leyes ordinarias, que se aprueban por mayoría simple, garantiza un consenso político amplio sobre normas que regulan materias de especial relevancia, como ocurre con las leyes orgánicas. Por ello, lejos de vulnerar el principio democrático, como alegan los recurrentes, la interpretación que de esta norma realizó la mesa del Congreso está en consonancia con este principio, al dar una posibilidad más de debate y análisis antes del rechazo definitivo de la iniciativa.</w:t>
      </w:r>
    </w:p>
    <w:p w14:paraId="36F95F68" w14:textId="77777777" w:rsidR="00A8138F" w:rsidRDefault="00A8138F" w:rsidP="00A8138F">
      <w:pPr>
        <w:pStyle w:val="TextoNormal"/>
      </w:pPr>
    </w:p>
    <w:p w14:paraId="3EBB7259" w14:textId="77777777" w:rsidR="00A8138F" w:rsidRDefault="00A8138F" w:rsidP="00A8138F">
      <w:pPr>
        <w:pStyle w:val="TextoNormal"/>
      </w:pPr>
      <w:r>
        <w:t>Por último, en contra de lo que sostienen los recurrentes, no existen precedentes de los que pueda deducirse que para que resulte de aplicación el art. 131.2 RCD sea necesario que el texto haya obtenido una mayoría simple para su devolución a la comisión. Ciertamente, en los supuestos que citan el texto obtuvo la referida mayoría, pero no se refieren a ningún precedente en el que el texto haya sido rechazado en este trámite por haber obtenido más votos negativos que positivos.</w:t>
      </w:r>
    </w:p>
    <w:p w14:paraId="07051311" w14:textId="77777777" w:rsidR="00A8138F" w:rsidRDefault="00A8138F" w:rsidP="00A8138F">
      <w:pPr>
        <w:pStyle w:val="TextoNormal"/>
      </w:pPr>
    </w:p>
    <w:p w14:paraId="2743FA96" w14:textId="77777777" w:rsidR="00A8138F" w:rsidRDefault="00A8138F" w:rsidP="00A8138F">
      <w:pPr>
        <w:pStyle w:val="TextoNormal"/>
      </w:pPr>
      <w:r>
        <w:t>En definitiva, no existe ninguna razón jurídico constitucional que justifique la aplicación del art. 131.2 RCD únicamente a situaciones en que se haya obtenido en la votación final una mayoría simple. Ni su interpretación teleológica ni sistemática ni literal permite atribuirle tal sentido. La norma es clara al establecer como umbral la mayoría absoluta y no una mayoría simple. De este modo, cualquier resultado negativo en la votación final —independientemente de si se alcanzó una mayoría simple o si hubo más votos en contra— debe activar el procedimiento de devolución a la comisión para su reconsideración. Una iniciativa solo puede decaer si así lo prevé expresamente la Constitución o, en su defecto, el reglamento parlamentario.</w:t>
      </w:r>
    </w:p>
    <w:p w14:paraId="3EFC60B1" w14:textId="77777777" w:rsidR="00A8138F" w:rsidRDefault="00A8138F" w:rsidP="00A8138F">
      <w:pPr>
        <w:pStyle w:val="TextoNormal"/>
      </w:pPr>
    </w:p>
    <w:p w14:paraId="34601C84" w14:textId="77777777" w:rsidR="00A8138F" w:rsidRDefault="00A8138F" w:rsidP="00A8138F">
      <w:pPr>
        <w:pStyle w:val="TextoNormal"/>
      </w:pPr>
      <w:r>
        <w:t xml:space="preserve">12.4. </w:t>
      </w:r>
      <w:r w:rsidRPr="00A8138F">
        <w:rPr>
          <w:i/>
        </w:rPr>
        <w:t>La emisión del dictamen de la comisión sin que previamente la ponencia hubiera emitido informe</w:t>
      </w:r>
    </w:p>
    <w:p w14:paraId="425EE0D6" w14:textId="77777777" w:rsidR="00A8138F" w:rsidRDefault="00A8138F" w:rsidP="00A8138F">
      <w:pPr>
        <w:pStyle w:val="TextoNormal"/>
      </w:pPr>
    </w:p>
    <w:p w14:paraId="6E7C160E" w14:textId="77777777" w:rsidR="00A8138F" w:rsidRDefault="00A8138F" w:rsidP="00A8138F">
      <w:pPr>
        <w:pStyle w:val="TextoNormal"/>
      </w:pPr>
      <w:r>
        <w:t>12.4.1</w:t>
      </w:r>
      <w:r w:rsidRPr="00A8138F">
        <w:rPr>
          <w:i/>
        </w:rPr>
        <w:t>. Exposición del motivo y alegaciones de las part</w:t>
      </w:r>
      <w:r>
        <w:t>es</w:t>
      </w:r>
    </w:p>
    <w:p w14:paraId="7179D4B3" w14:textId="77777777" w:rsidR="00A8138F" w:rsidRDefault="00A8138F" w:rsidP="00A8138F">
      <w:pPr>
        <w:pStyle w:val="TextoNormal"/>
      </w:pPr>
    </w:p>
    <w:p w14:paraId="638E3D78" w14:textId="77777777" w:rsidR="00A8138F" w:rsidRDefault="00A8138F" w:rsidP="00A8138F">
      <w:pPr>
        <w:pStyle w:val="TextoNormal"/>
      </w:pPr>
      <w:r>
        <w:t>Los recurrentes alegan también que tras la vuelta a la comisión de la proposición de la ley orgánica de amnistía no se emitió el informe de la ponencia que ha de preceder al debate en comisión y que, por este motivo, se infringió el art. 114 RCD. La vulneración de este precepto conlleva, según se afirma en el escrito de interposición de este recurso, que se ha vulnerado el derecho fundamental que consagra el art. 23 CE, al haber privado a los parlamentarios de una información (el informe de la ponencia) que consideran necesaria para poder ejercer sus funciones representativas.</w:t>
      </w:r>
    </w:p>
    <w:p w14:paraId="3C7CF947" w14:textId="77777777" w:rsidR="00A8138F" w:rsidRDefault="00A8138F" w:rsidP="00A8138F">
      <w:pPr>
        <w:pStyle w:val="TextoNormal"/>
      </w:pPr>
    </w:p>
    <w:p w14:paraId="1C2F88AD" w14:textId="77777777" w:rsidR="00A8138F" w:rsidRDefault="00A8138F" w:rsidP="00A8138F">
      <w:pPr>
        <w:pStyle w:val="TextoNormal"/>
      </w:pPr>
      <w:r>
        <w:t>El Senado también considera que la Comisión de Justicia elaboró un segundo dictamen sin previo informe de la ponencia. Entiende que esa actuación es contraria al art. 131.2 RCD en relación con los arts. 113 y 114 RCD.</w:t>
      </w:r>
    </w:p>
    <w:p w14:paraId="68EAF829" w14:textId="77777777" w:rsidR="00A8138F" w:rsidRDefault="00A8138F" w:rsidP="00A8138F">
      <w:pPr>
        <w:pStyle w:val="TextoNormal"/>
      </w:pPr>
    </w:p>
    <w:p w14:paraId="09CDF9EC" w14:textId="77777777" w:rsidR="00A8138F" w:rsidRDefault="00A8138F" w:rsidP="00A8138F">
      <w:pPr>
        <w:pStyle w:val="TextoNormal"/>
      </w:pPr>
      <w:r>
        <w:t>La letrada que actúa en representación del Congreso de los Diputados afirma que cuando resulta de aplicación lo dispuesto en el art. 131.2 RCD la ponencia no ha de emitir un nuevo informe. A su juicio, el informe ha de darse en la fase a la que se refieren los arts. 113 y 114 RCD, esto es, tras, en su caso, la celebración del debate de totalidad y la finalización del plazo de presentación de enmiendas, pero no cuando el Pleno ha votado sobre el conjunto de la proposición de ley orgánica y esta no ha logrado la mayoría absoluta.</w:t>
      </w:r>
    </w:p>
    <w:p w14:paraId="283CDBB0" w14:textId="77777777" w:rsidR="00A8138F" w:rsidRDefault="00A8138F" w:rsidP="00A8138F">
      <w:pPr>
        <w:pStyle w:val="TextoNormal"/>
      </w:pPr>
    </w:p>
    <w:p w14:paraId="334663C3" w14:textId="77777777" w:rsidR="00A8138F" w:rsidRDefault="00A8138F" w:rsidP="00A8138F">
      <w:pPr>
        <w:pStyle w:val="TextoNormal"/>
      </w:pPr>
      <w:r>
        <w:t>El abogado del Estado considera también que no existe la infracción invocada, al entender que la actuación de la Cámara es la procedente de acuerdo con lo dispuesto en el art. 131.2 RCD.</w:t>
      </w:r>
    </w:p>
    <w:p w14:paraId="4D0BFA2D" w14:textId="77777777" w:rsidR="00A8138F" w:rsidRDefault="00A8138F" w:rsidP="00A8138F">
      <w:pPr>
        <w:pStyle w:val="TextoNormal"/>
      </w:pPr>
    </w:p>
    <w:p w14:paraId="67A53742" w14:textId="77777777" w:rsidR="00A8138F" w:rsidRDefault="00A8138F" w:rsidP="00A8138F">
      <w:pPr>
        <w:pStyle w:val="TextoNormal"/>
      </w:pPr>
      <w:r>
        <w:t>12.4.2</w:t>
      </w:r>
      <w:r w:rsidRPr="00A8138F">
        <w:rPr>
          <w:i/>
        </w:rPr>
        <w:t>. Enjuiciamiento del moti</w:t>
      </w:r>
      <w:r>
        <w:t>vo</w:t>
      </w:r>
    </w:p>
    <w:p w14:paraId="379EC6C7" w14:textId="77777777" w:rsidR="00A8138F" w:rsidRDefault="00A8138F" w:rsidP="00A8138F">
      <w:pPr>
        <w:pStyle w:val="TextoNormal"/>
      </w:pPr>
    </w:p>
    <w:p w14:paraId="00AE4CEC" w14:textId="77777777" w:rsidR="00A8138F" w:rsidRDefault="00A8138F" w:rsidP="00A8138F">
      <w:pPr>
        <w:pStyle w:val="TextoNormal"/>
      </w:pPr>
      <w:r>
        <w:t>La alegación debe ser rechazada en atención a la literalidad de lo dispuesto en el art. 131.2 RCD, que establece que la consecuencia jurídica que determina la devolución del texto final tras no alcanzar la mayoría absoluta en el Pleno del Congreso es la emisión de un “nuevo dictamen en el plazo de un mes”. Como ya se ha expuesto, el trámite previsto en el art. 131.2 RCD es una especialidad del procedimiento de tramitación de los proyectos y proposiciones de ley orgánica y, como el supuesto que se enjuicia se refiere a una proposición de ley orgánica, no hay duda alguna de que es este el precepto, al ser norma especial, que debe aplicarse y no los arts. 113 y 114 RCD como aducen los recurrentes. En todo caso, dada la naturaleza de este trámite, a la que se ha hecho referencia más arriba —otorgar a la Cámara una segunda oportunidad para que pueda alcanzar la mayoría constitucionalmente exigida—, carece de sentido que la ponencia emita un nuevo informe. No se está, por tanto, ante una retroacción del procedimiento legislativo para que vuelva a aplicarse lo dispuesto en el art. 113 RCD (presentación de enmiendas, nombramiento de los ponentes y redacción del informe). A través de esta vía lo que se pretende es que la comisión pueda tomar en consideración cuestiones nuevas y que, como consecuencia de ello, emita un nuevo dictamen que pueda lograr la mayoría exigida para su aprobación. Por ello, como afirma el acuerdo de la mesa de 6 de febrero de 2024, para realizar el nuevo dictamen la comisión ha de partir del dictamen que ya emitió en su día, de las enmiendas mantenidas en relación con esta proposición y, en su caso, de las enmiendas transaccionales que en este momento procedimental pudieran presentarse. La no emisión de un nuevo informe por la ponencia no ha privado a los parlamentarios de ninguna información.</w:t>
      </w:r>
    </w:p>
    <w:p w14:paraId="0793F2FA" w14:textId="77777777" w:rsidR="00A8138F" w:rsidRDefault="00A8138F" w:rsidP="00A8138F">
      <w:pPr>
        <w:pStyle w:val="TextoNormal"/>
      </w:pPr>
    </w:p>
    <w:p w14:paraId="55743474" w14:textId="77777777" w:rsidR="00A8138F" w:rsidRDefault="00A8138F" w:rsidP="00A8138F">
      <w:pPr>
        <w:pStyle w:val="TextoNormal"/>
      </w:pPr>
      <w:r>
        <w:t>La pretensión de los recurrentes, por tanto, carece de fundamento, pues la Comisión de Justicia se limitó a cumplir la legalidad parlamentaria. En consecuencia, debe descartarse la vulneración del art. 23 CE aducida en la demanda.</w:t>
      </w:r>
    </w:p>
    <w:p w14:paraId="22FAB60D" w14:textId="77777777" w:rsidR="00A8138F" w:rsidRDefault="00A8138F" w:rsidP="00A8138F">
      <w:pPr>
        <w:pStyle w:val="TextoNormal"/>
      </w:pPr>
    </w:p>
    <w:p w14:paraId="7A634F18" w14:textId="77777777" w:rsidR="00A8138F" w:rsidRDefault="00A8138F" w:rsidP="00A8138F">
      <w:pPr>
        <w:pStyle w:val="TextoNormal"/>
      </w:pPr>
      <w:r>
        <w:t xml:space="preserve">12.5. </w:t>
      </w:r>
      <w:r w:rsidRPr="00A8138F">
        <w:rPr>
          <w:i/>
        </w:rPr>
        <w:t>La infracción del Reglamento del Congreso en la admisión, calificación y aprobación de las enmiendas transaccionales en la comisión</w:t>
      </w:r>
    </w:p>
    <w:p w14:paraId="407B1569" w14:textId="77777777" w:rsidR="00A8138F" w:rsidRDefault="00A8138F" w:rsidP="00A8138F">
      <w:pPr>
        <w:pStyle w:val="TextoNormal"/>
      </w:pPr>
    </w:p>
    <w:p w14:paraId="2F284838" w14:textId="77777777" w:rsidR="00A8138F" w:rsidRDefault="00A8138F" w:rsidP="00A8138F">
      <w:pPr>
        <w:pStyle w:val="TextoNormal"/>
      </w:pPr>
      <w:r>
        <w:t>12.5.1</w:t>
      </w:r>
      <w:r w:rsidRPr="00A8138F">
        <w:rPr>
          <w:i/>
        </w:rPr>
        <w:t>. Exposición del motivo y alegaciones de las part</w:t>
      </w:r>
      <w:r>
        <w:t>es</w:t>
      </w:r>
    </w:p>
    <w:p w14:paraId="1454EFEC" w14:textId="77777777" w:rsidR="00A8138F" w:rsidRDefault="00A8138F" w:rsidP="00A8138F">
      <w:pPr>
        <w:pStyle w:val="TextoNormal"/>
      </w:pPr>
    </w:p>
    <w:p w14:paraId="671F2CA8" w14:textId="77777777" w:rsidR="00A8138F" w:rsidRDefault="00A8138F" w:rsidP="00A8138F">
      <w:pPr>
        <w:pStyle w:val="TextoNormal"/>
      </w:pPr>
      <w:r>
        <w:t>La última de las alegaciones relativa a la lesión del art. 23 CE se refiere al “conocimiento sorpresivo de las enmiendas transaccionales” en el transcurso de la comisión de justicia celebrada el 7 de marzo de 2024, lo que contraviene, según los diputados y senadores recurrentes, los arts. 79.1 CE y 69 y 78.1 RCD. Aducen que, tal y como consta en el “Diario de sesiones de la Comisión” (“Diario de Sesiones del Congreso de los Diputados”, Comisiones, XV legislatura, año 2024, núm. 69, de 7 de marzo, pág. 1), dicha sesión tuvo que suspenderse por el desconocimiento de dichas enmiendas y para su calificación. Ponen de manifiesto que la mesa, sin haber sido convocada previamente, se reunió para pronunciarse sobre la admisión y calificación de las enmiendas. Los demandantes afirman que tal forma de proceder supuso una lesión del derecho de los parlamentarios a ejercer de forma adecuada su función representativa (art. 23 CE).</w:t>
      </w:r>
    </w:p>
    <w:p w14:paraId="6D1CC811" w14:textId="77777777" w:rsidR="00A8138F" w:rsidRDefault="00A8138F" w:rsidP="00A8138F">
      <w:pPr>
        <w:pStyle w:val="TextoNormal"/>
      </w:pPr>
    </w:p>
    <w:p w14:paraId="6CDDF1F4" w14:textId="77777777" w:rsidR="00A8138F" w:rsidRDefault="00A8138F" w:rsidP="00A8138F">
      <w:pPr>
        <w:pStyle w:val="TextoNormal"/>
      </w:pPr>
      <w:r>
        <w:t>La representación del Senado alega que la actuación de la comisión y de la mesa pudo lesionar los derechos de los parlamentarios (art. 23 CE), pues apenas tuvieron tiempo para examinar las enmiendas transaccionales. Considera que la admisión por la mesa de la comisión de estas enmiendas contraviene 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no estaba reglamentariamente convocada.</w:t>
      </w:r>
    </w:p>
    <w:p w14:paraId="7BB51986" w14:textId="77777777" w:rsidR="00A8138F" w:rsidRDefault="00A8138F" w:rsidP="00A8138F">
      <w:pPr>
        <w:pStyle w:val="TextoNormal"/>
      </w:pPr>
    </w:p>
    <w:p w14:paraId="68C63C2C" w14:textId="77777777" w:rsidR="00A8138F" w:rsidRDefault="00A8138F" w:rsidP="00A8138F">
      <w:pPr>
        <w:pStyle w:val="TextoNormal"/>
      </w:pPr>
      <w:r>
        <w:t>La representación procesal del Congreso de los Diputados se opone a esta alegación. A su juicio, la sesión de la Comisión de Justicia de 7 de marzo de 2024 respetó las previsiones reglamentarias, pues la presentación de las enmiendas transaccionales se efectuó por escrito, por los sujetos legitimados y respetando el límite temporal del art. 114.3 RCD. Asimismo, señala que las enmiendas transaccionales fueron calificadas y admitidas a trámite por la reunión de la mesa. Indica que a esta reunión asistieron todos sus miembros y fue convocada por su presidente en un receso de la comisión (no pudo ser convocada con antelación por la propia naturaleza de este tipo de enmiendas), adoptó el acuerdo de calificación de forma motivada y lo trasladó a los miembros de la Comisión tan pronto como se reanudó.</w:t>
      </w:r>
    </w:p>
    <w:p w14:paraId="3652750F" w14:textId="77777777" w:rsidR="00A8138F" w:rsidRDefault="00A8138F" w:rsidP="00A8138F">
      <w:pPr>
        <w:pStyle w:val="TextoNormal"/>
      </w:pPr>
    </w:p>
    <w:p w14:paraId="30317023" w14:textId="77777777" w:rsidR="00A8138F" w:rsidRDefault="00A8138F" w:rsidP="00A8138F">
      <w:pPr>
        <w:pStyle w:val="TextoNormal"/>
      </w:pPr>
      <w:r>
        <w:t>El abogado del Estado interesa también que se rechace este motivo del recurso. Se basa para ello en que las enmiendas transaccionales fueron admitidas por el órgano competente —la mesa de la Comisión de Justicia— siguiendo el procedimiento reglamentariamente establecido en el art. 114.3 RCD.</w:t>
      </w:r>
    </w:p>
    <w:p w14:paraId="064746F4" w14:textId="77777777" w:rsidR="00A8138F" w:rsidRDefault="00A8138F" w:rsidP="00A8138F">
      <w:pPr>
        <w:pStyle w:val="TextoNormal"/>
      </w:pPr>
    </w:p>
    <w:p w14:paraId="6FA7FC52" w14:textId="77777777" w:rsidR="00A8138F" w:rsidRDefault="00A8138F" w:rsidP="00A8138F">
      <w:pPr>
        <w:pStyle w:val="TextoNormal"/>
      </w:pPr>
      <w:r>
        <w:t>12.5.2</w:t>
      </w:r>
      <w:r w:rsidRPr="00A8138F">
        <w:rPr>
          <w:i/>
        </w:rPr>
        <w:t>. Doctrina constitucional y enjuiciamiento del moti</w:t>
      </w:r>
      <w:r>
        <w:t>vo</w:t>
      </w:r>
    </w:p>
    <w:p w14:paraId="662C79FC" w14:textId="77777777" w:rsidR="00A8138F" w:rsidRDefault="00A8138F" w:rsidP="00A8138F">
      <w:pPr>
        <w:pStyle w:val="TextoNormal"/>
      </w:pPr>
    </w:p>
    <w:p w14:paraId="1D750574" w14:textId="77777777" w:rsidR="00A8138F" w:rsidRDefault="00A8138F" w:rsidP="00A8138F">
      <w:pPr>
        <w:pStyle w:val="TextoNormal"/>
      </w:pPr>
      <w:r>
        <w:t>Dos son, por tanto, las cuestiones alegadas por los recurrentes. Por una parte, aducen que se ha vulnerado el derecho de los parlamentarios porque la Comisión de Justicia, en el trámite abierto como consecuencia de la aplicación del art. 131.2 RCD —devolución de la proposición de la ley orgánica de amnistía a la comisión para efectuar un nuevo dictamen por no haber obtenido el conjunto del texto la mayoría absoluta del Pleno de la Cámara— ha admitido a trámite de forma “sorpresiva” enmiendas transaccionales y, por otra, que la referida comisión se reunió sin cumplir los requisitos de tiempo y forma reglamentariamente previstos.</w:t>
      </w:r>
    </w:p>
    <w:p w14:paraId="2F73EE09" w14:textId="77777777" w:rsidR="00A8138F" w:rsidRDefault="00A8138F" w:rsidP="00A8138F">
      <w:pPr>
        <w:pStyle w:val="TextoNormal"/>
      </w:pPr>
    </w:p>
    <w:p w14:paraId="4CD636E6" w14:textId="77777777" w:rsidR="00A8138F" w:rsidRDefault="00A8138F" w:rsidP="00A8138F">
      <w:pPr>
        <w:pStyle w:val="TextoNormal"/>
      </w:pPr>
      <w:r>
        <w:t>Estas alegaciones no pueden prosperar. Las enmiendas transaccionales que se presentan en la Comisión no se rigen por el art. 69 RCD, sino por el art. 114.3 RCD. De acuerdo con este último precepto este tipo de enmiendas son admisibles si (i) son presentadas por un miembro de la Comisión, (ii) si se presentan por escrito y (iii) si tienen como objeto alcanzar un acuerdo por aproximación entre las enmiendas ya formuladas y el texto del artículo.</w:t>
      </w:r>
    </w:p>
    <w:p w14:paraId="45DC78CE" w14:textId="77777777" w:rsidR="00A8138F" w:rsidRDefault="00A8138F" w:rsidP="00A8138F">
      <w:pPr>
        <w:pStyle w:val="TextoNormal"/>
      </w:pPr>
    </w:p>
    <w:p w14:paraId="1A3C76E1" w14:textId="77777777" w:rsidR="00A8138F" w:rsidRDefault="00A8138F" w:rsidP="00A8138F">
      <w:pPr>
        <w:pStyle w:val="TextoNormal"/>
      </w:pPr>
      <w:r>
        <w:t>Estas enmiendas son un instrumento que permite aunar posiciones en el debate parlamentario, enriquecer el debate y lograr de este modo un consenso que facilite la formación de la voluntad legislativa. No obstante, como cualquier enmienda, no pueden plantear cuestiones nuevas, pues han de guardar conexión material, homogeneidad o afinidad material con el texto enmendado (en este sentido, STC 204/2011, de 15 de diciembre, FJ 5). Resulta, por tanto, que por su propia naturaleza, su presentación no puede estar sometida, como pretenden los recurrentes, a los requisitos que establece el art. 69 RCD —que exige presentar la documentación que haya de servir de base al debate en el Pleno o en la comisión con al menos cuarenta y ocho horas de antelación—, sino que han de regirse por el precepto que expresamente las regula: el art. 114.3 RCD para las que se presentan en el debate en la comisión, supuesto que ahora se examina, y el art. 118.3 RCD cuando se formulan durante la deliberación en el Pleno.</w:t>
      </w:r>
    </w:p>
    <w:p w14:paraId="295E6722" w14:textId="77777777" w:rsidR="00A8138F" w:rsidRDefault="00A8138F" w:rsidP="00A8138F">
      <w:pPr>
        <w:pStyle w:val="TextoNormal"/>
      </w:pPr>
    </w:p>
    <w:p w14:paraId="7ED71FFC" w14:textId="77777777" w:rsidR="00A8138F" w:rsidRDefault="00A8138F" w:rsidP="00A8138F">
      <w:pPr>
        <w:pStyle w:val="TextoNormal"/>
      </w:pPr>
      <w:r>
        <w:t>Por todo ello, la alegación por la que se aduce que las enmiendas transaccionales presentadas no cumplen lo dispuesto en el art. 69 RCD y que por este motivo lesionan el art. 23 CE no puede prosperar. De igual modo, tampoco se aprecia que el pretendido carácter “sorpresivo” que le atribuyen los recurrentes pueda ocasionar la vulneración del referido precepto constitucional. Como se acaba de indicar, la presentación durante el debate y sin apenas formalización es lo que caracteriza a este tipo de enmiendas, pues de otro modo no podrían cumplir su finalidad.</w:t>
      </w:r>
    </w:p>
    <w:p w14:paraId="1178ECEE" w14:textId="77777777" w:rsidR="00A8138F" w:rsidRDefault="00A8138F" w:rsidP="00A8138F">
      <w:pPr>
        <w:pStyle w:val="TextoNormal"/>
      </w:pPr>
    </w:p>
    <w:p w14:paraId="1EAC29B5" w14:textId="77777777" w:rsidR="00A8138F" w:rsidRDefault="00A8138F" w:rsidP="00A8138F">
      <w:pPr>
        <w:pStyle w:val="TextoNormal"/>
      </w:pPr>
      <w:r>
        <w:t>También debe rechazarse la tacha de inconstitucionalidad que se fundamenta en que la mesa se reunió sin que existiera convocatoria formal previa y que por este motivo vulneró el art. 79 CE y el art. 78.1 RCD. Según consta en el “Diario de Sesiones del Congreso de los Diputados”, (Comisiones, XV legislatura, año 2024, núm. 69, de 7 de marzo, pág. 2), la convocatoria de la mesa fue solicitada por la portavoz del Grupo Parlamentario Popular para que se calificasen las enmiendas presentadas. El presidente de la comisión, para atender esta petición, acordó hacer un receso y reunir a la mesa de la comisión con este objeto. La reunión empezó a las 11:20 horas de ese mismo día, 7 de marzo, finalizó a las 11:40 horas, y asistieron todos sus miembros (acta de la reunión de la mesa de la comisión de justicia celebrada el día 7 de marzo de 2024, XV legislatura, acta núm. 8), por lo que la celebración de esta reunión respetó las exigencias que se derivan de los arts. 23 y 79 CE y del art. 78.1 RCD.</w:t>
      </w:r>
    </w:p>
    <w:p w14:paraId="27FA44FD" w14:textId="77777777" w:rsidR="00A8138F" w:rsidRDefault="00A8138F" w:rsidP="00A8138F">
      <w:pPr>
        <w:pStyle w:val="TextoNormal"/>
      </w:pPr>
    </w:p>
    <w:p w14:paraId="70EB3BA0" w14:textId="77777777" w:rsidR="00A8138F" w:rsidRDefault="00A8138F" w:rsidP="00A8138F">
      <w:pPr>
        <w:pStyle w:val="TextoNormal"/>
      </w:pPr>
      <w:r>
        <w:t>En todo caso, ha de tenerse en cuenta que, como reiteradamente ha señalado el Tribunal, entre otras muchas, en la STC 97/2002, de 25 de abril, FJ 2, “[l]as normas constitucionales y parlamentarias que regulan la elaboración de las leyes tienen carácter instrumental respecto de uno de los valores superiores de nuestro ordenamiento, el del pluralismo político (art. 1.1 CE), de suerte que la ‘inobservancia de los preceptos que regulan el procedimiento legislativo podría viciar de inconstitucionalidad la ley cuando esa inobservancia altere de modo sustancial el proceso de formación de la voluntad en el seno de las Cámaras’ (STC 99/1987, de 11 de junio, FJ 1)”. En el presente caso, los recurrentes ni siquiera alegan que los pretendidos defectos en los que fundamentan la vulneración de los arts. 79 y 23 CE hayan alterado el proceso de formación de voluntad de la Cámara, por lo que hubiera bastado esta constatación para desestimar este motivo del recurso.</w:t>
      </w:r>
    </w:p>
    <w:p w14:paraId="4AD0C543" w14:textId="77777777" w:rsidR="00A8138F" w:rsidRDefault="00A8138F" w:rsidP="00A8138F">
      <w:pPr>
        <w:pStyle w:val="TextoNormal"/>
      </w:pPr>
    </w:p>
    <w:p w14:paraId="28C97CD2" w14:textId="77777777" w:rsidR="00A8138F" w:rsidRDefault="00A8138F" w:rsidP="00A8138F">
      <w:pPr>
        <w:pStyle w:val="TextoNormal"/>
      </w:pPr>
      <w:r>
        <w:t>Rechazadas, conforme a los razonamientos expuestos, las censuras de inconstitucionalidad dirigidas contra la totalidad de la Ley de amnistía, procede acometer el examen del tercer y último bloque de alegaciones de la demanda, mediante las cuales los recurrentes plantean, con carácter subsidiario, la inconstitucionalidad de algunos de los preceptos de la Ley de amnistía. Su examen se efectuará en los siguientes fundamentos conforme al orden en el que han sido alegados en la demanda.</w:t>
      </w:r>
    </w:p>
    <w:p w14:paraId="53C646D5" w14:textId="77777777" w:rsidR="00A8138F" w:rsidRDefault="00A8138F" w:rsidP="00A8138F">
      <w:pPr>
        <w:pStyle w:val="TextoNormal"/>
      </w:pPr>
    </w:p>
    <w:p w14:paraId="00C9AA57" w14:textId="77777777" w:rsidR="00A8138F" w:rsidRDefault="00A8138F" w:rsidP="00A8138F">
      <w:pPr>
        <w:pStyle w:val="TextoNormal"/>
      </w:pPr>
      <w:r>
        <w:t>C</w:t>
      </w:r>
      <w:r w:rsidRPr="00A8138F">
        <w:rPr>
          <w:i/>
        </w:rPr>
        <w:t>) Análisis de las alegaciones relativas a la inconstitucionalidad de diversos preceptos de la Ley de amnist</w:t>
      </w:r>
      <w:r>
        <w:t>ía</w:t>
      </w:r>
    </w:p>
    <w:p w14:paraId="1CA096AF" w14:textId="77777777" w:rsidR="00A8138F" w:rsidRDefault="00A8138F" w:rsidP="00A8138F">
      <w:pPr>
        <w:pStyle w:val="TextoNormal"/>
      </w:pPr>
    </w:p>
    <w:p w14:paraId="34288CB9" w14:textId="33CFB0E7" w:rsidR="00A8138F" w:rsidRDefault="00A8138F" w:rsidP="00A8138F">
      <w:pPr>
        <w:pStyle w:val="TextoNormal"/>
      </w:pPr>
      <w:r>
        <w:t>Los recurrentes, tras cuestionar la constitucionalidad de la Ley de amnistía en su integridad, plantean con carácter subsidiario la inconstitucionalidad de algunos de sus preceptos, cuyo examen se efectuará en los siguientes fundamentos conforme al orden en el que han sido alegados en la demanda.</w:t>
      </w:r>
    </w:p>
    <w:p w14:paraId="57EE47D9" w14:textId="77777777" w:rsidR="00A8138F" w:rsidRDefault="00A8138F" w:rsidP="00A8138F">
      <w:pPr>
        <w:pStyle w:val="TextoNormal"/>
      </w:pPr>
    </w:p>
    <w:p w14:paraId="461B7059" w14:textId="77777777" w:rsidR="00A8138F" w:rsidRDefault="00A8138F" w:rsidP="00A8138F">
      <w:pPr>
        <w:pStyle w:val="TextoNormal"/>
      </w:pPr>
      <w:r w:rsidRPr="00A8138F">
        <w:rPr>
          <w:rStyle w:val="NumeroAFNegritaCaracter"/>
        </w:rPr>
        <w:t>13</w:t>
      </w:r>
      <w:r>
        <w:t xml:space="preserve">. </w:t>
      </w:r>
      <w:r w:rsidRPr="00A8138F">
        <w:rPr>
          <w:i/>
        </w:rPr>
        <w:t>La impugnación del art. 1 de la Ley. Ámbito subjetivo, temporal y material de la amnistía</w:t>
      </w:r>
    </w:p>
    <w:p w14:paraId="3281DA36" w14:textId="77777777" w:rsidR="00A8138F" w:rsidRDefault="00A8138F" w:rsidP="00A8138F">
      <w:pPr>
        <w:pStyle w:val="TextoNormal"/>
      </w:pPr>
    </w:p>
    <w:p w14:paraId="37E4E282" w14:textId="77777777" w:rsidR="00A8138F" w:rsidRDefault="00A8138F" w:rsidP="00A8138F">
      <w:pPr>
        <w:pStyle w:val="TextoNormal"/>
      </w:pPr>
      <w:r>
        <w:t xml:space="preserve">13.1. </w:t>
      </w:r>
      <w:r w:rsidRPr="00A8138F">
        <w:rPr>
          <w:i/>
        </w:rPr>
        <w:t>Precisiones iniciales</w:t>
      </w:r>
    </w:p>
    <w:p w14:paraId="3A6F59B7" w14:textId="77777777" w:rsidR="00A8138F" w:rsidRDefault="00A8138F" w:rsidP="00A8138F">
      <w:pPr>
        <w:pStyle w:val="TextoNormal"/>
      </w:pPr>
    </w:p>
    <w:p w14:paraId="1ED85FF8" w14:textId="77777777" w:rsidR="00A8138F" w:rsidRDefault="00A8138F" w:rsidP="00A8138F">
      <w:pPr>
        <w:pStyle w:val="TextoNormal"/>
      </w:pPr>
      <w:r>
        <w:t>El recurso dirige cuatro reproches de inconstitucionalidad al art. 1 de la Ley de amnistía, definitorio del ámbito objetivo de la norma. En ellos se sostiene, en síntesis, (i) que la concesión de la amnistía a los líderes del proceso independentista es arbitraria y desproporcionada; (ii) que el ámbito temporal es igualmente arbitrario y desproporcionado, en especial, la previsión del art. 1.3, ampliatoria del mismo; (iii) que el ámbito material que se fija en los apartados a), b), c), d) y f) del art. 1.1 de la Ley vulnera los arts. 25.1 y 17.1 CE, el principio de seguridad jurídica (art. 9.3 CE) y es también arbitrario y desproporcionado, y (iv) que el art. 1.1 e) introduce la ideología (a favor o en contra del proceso independentista) como elemento de diferenciación de forma contraria al art. 14 CE en conexión con los arts. 25.1 y 17.1 CE.</w:t>
      </w:r>
    </w:p>
    <w:p w14:paraId="3EA29E34" w14:textId="77777777" w:rsidR="00A8138F" w:rsidRDefault="00A8138F" w:rsidP="00A8138F">
      <w:pPr>
        <w:pStyle w:val="TextoNormal"/>
      </w:pPr>
    </w:p>
    <w:p w14:paraId="5EC0D0E6" w14:textId="77777777" w:rsidR="00A8138F" w:rsidRDefault="00A8138F" w:rsidP="00A8138F">
      <w:pPr>
        <w:pStyle w:val="TextoNormal"/>
      </w:pPr>
      <w:r>
        <w:t>En relación con el ámbito temporal y material de la Ley de amnistía y su incompatibilidad con el art. 14 CE, debe tenerse presente lo ya resuelto en el fundamento jurídico 8.3.4 y 8.3.5. Por lo que se refiere al ámbito temporal, allí se descartó que el intervalo que fija el art. 1.1 de la Ley y la previsión del párrafo primero de su art. 1.3 carezcan de justificación y sean manifiestamente desproporcionados. Nada nuevo o distinto respecto de lo ya enjuiciado y resuelto se plantea ahora. En lo que atañe al párrafo segundo del art. 1.3, se apreció allí su inconstitucionalidad, por lo que no cabe ya enjuiciamiento alguno al respecto. Por otro lado, el pronunciamiento referido al ámbito de aplicación de la amnistía efectuado en el fundamento jurídico 8.3.5 deja sin objeto la alegación dirigida contra el art. 1.1 e) de la Ley de vulneración del art. 14 CE, ya que se asienta en la no inclusión en la amnistía de las manifestaciones o actuaciones de la ciudadanía en oposición al proceso secesionista, ámbito material al que el Tribunal ha extendido la aplicación de las previsiones de la Ley Orgánica 1/2024.</w:t>
      </w:r>
    </w:p>
    <w:p w14:paraId="74142585" w14:textId="77777777" w:rsidR="00A8138F" w:rsidRDefault="00A8138F" w:rsidP="00A8138F">
      <w:pPr>
        <w:pStyle w:val="TextoNormal"/>
      </w:pPr>
    </w:p>
    <w:p w14:paraId="2B13273F" w14:textId="77777777" w:rsidR="00A8138F" w:rsidRDefault="00A8138F" w:rsidP="00A8138F">
      <w:pPr>
        <w:pStyle w:val="TextoNormal"/>
      </w:pPr>
      <w:r>
        <w:t>De conformidad con lo señalado, el contenido impugnatorio de los motivos dirigidos contra el art. 1 de la Ley de amnistía queda circunscrito al cuestionamiento de la inclusión de los líderes políticos en el ámbito subjetivo de la amnistía y de la delimitación del ámbito material de la Ley.</w:t>
      </w:r>
    </w:p>
    <w:p w14:paraId="4D8E4F36" w14:textId="77777777" w:rsidR="00A8138F" w:rsidRDefault="00A8138F" w:rsidP="00A8138F">
      <w:pPr>
        <w:pStyle w:val="TextoNormal"/>
      </w:pPr>
    </w:p>
    <w:p w14:paraId="73D9AACF" w14:textId="77777777" w:rsidR="00A8138F" w:rsidRDefault="00A8138F" w:rsidP="00A8138F">
      <w:pPr>
        <w:pStyle w:val="TextoNormal"/>
      </w:pPr>
      <w:r>
        <w:t xml:space="preserve">13.2. </w:t>
      </w:r>
      <w:r w:rsidRPr="00A8138F">
        <w:rPr>
          <w:i/>
        </w:rPr>
        <w:t>Sobre la arbitrariedad y desproporción de amnistiar a los líderes políticos del proceso secesionista (art. 1 de la Ley de amnistía)</w:t>
      </w:r>
    </w:p>
    <w:p w14:paraId="025FFF3C" w14:textId="77777777" w:rsidR="00A8138F" w:rsidRDefault="00A8138F" w:rsidP="00A8138F">
      <w:pPr>
        <w:pStyle w:val="TextoNormal"/>
      </w:pPr>
    </w:p>
    <w:p w14:paraId="4F052113" w14:textId="77777777" w:rsidR="00A8138F" w:rsidRDefault="00A8138F" w:rsidP="00A8138F">
      <w:pPr>
        <w:pStyle w:val="TextoNormal"/>
      </w:pPr>
      <w:r>
        <w:t xml:space="preserve">13.2.1. </w:t>
      </w:r>
      <w:r w:rsidRPr="00A8138F">
        <w:rPr>
          <w:i/>
        </w:rPr>
        <w:t>Exposición del motivo y alegaciones de las partes</w:t>
      </w:r>
    </w:p>
    <w:p w14:paraId="35CCD34B" w14:textId="77777777" w:rsidR="00A8138F" w:rsidRDefault="00A8138F" w:rsidP="00A8138F">
      <w:pPr>
        <w:pStyle w:val="TextoNormal"/>
      </w:pPr>
    </w:p>
    <w:p w14:paraId="1C5D3802" w14:textId="77777777" w:rsidR="00A8138F" w:rsidRDefault="00A8138F" w:rsidP="00A8138F">
      <w:pPr>
        <w:pStyle w:val="TextoNormal"/>
      </w:pPr>
      <w:r>
        <w:t>El primer reproche de inconstitucionalidad esgrimido frente al art. 1 de la Ley de amnistía concreta una alegación dirigida también contra el conjunto de la norma —la que defendía que establece una diferencia en la ley que no superaría el triple juicio de proporcionalidad (por ser una medida inidónea, innecesaria y falta de proporcionalidad en sentido estricto)—, proyectándola sobre el hecho de que se amnistíe a los líderes del proceso secesionista vinculado a las consultas inconstitucionales de 9 de noviembre de 2014 y 1 de octubre de 2017. Los recurrentes consideran que es absolutamente desproporcionado, ya que se han comprometido pública y reiteradamente a “volver a hacerlo”. Por eso, sostienen, sin más explicación, se incurre en arbitrariedad y desproporción.</w:t>
      </w:r>
    </w:p>
    <w:p w14:paraId="3F4D726C" w14:textId="77777777" w:rsidR="00A8138F" w:rsidRDefault="00A8138F" w:rsidP="00A8138F">
      <w:pPr>
        <w:pStyle w:val="TextoNormal"/>
      </w:pPr>
    </w:p>
    <w:p w14:paraId="0ED15692" w14:textId="77777777" w:rsidR="00A8138F" w:rsidRDefault="00A8138F" w:rsidP="00A8138F">
      <w:pPr>
        <w:pStyle w:val="TextoNormal"/>
      </w:pPr>
      <w:r>
        <w:t>En relación con este motivo de inconstitucionalidad solo ha alegado el abogado del Estado, que lo rechaza con una remisión a los argumentos esgrimidos en relación con la alegación general expuesta por los recurrentes contra la Ley de amnistía en su totalidad.</w:t>
      </w:r>
    </w:p>
    <w:p w14:paraId="709A0E19" w14:textId="77777777" w:rsidR="00A8138F" w:rsidRDefault="00A8138F" w:rsidP="00A8138F">
      <w:pPr>
        <w:pStyle w:val="TextoNormal"/>
      </w:pPr>
    </w:p>
    <w:p w14:paraId="020917C2" w14:textId="77777777" w:rsidR="00A8138F" w:rsidRDefault="00A8138F" w:rsidP="00A8138F">
      <w:pPr>
        <w:pStyle w:val="TextoNormal"/>
      </w:pPr>
      <w:r>
        <w:t xml:space="preserve">13.2.2. </w:t>
      </w:r>
      <w:r w:rsidRPr="00A8138F">
        <w:rPr>
          <w:i/>
        </w:rPr>
        <w:t>Enjuiciamiento del motivo</w:t>
      </w:r>
    </w:p>
    <w:p w14:paraId="251E9DCA" w14:textId="77777777" w:rsidR="00A8138F" w:rsidRDefault="00A8138F" w:rsidP="00A8138F">
      <w:pPr>
        <w:pStyle w:val="TextoNormal"/>
      </w:pPr>
    </w:p>
    <w:p w14:paraId="4B120BC3" w14:textId="77777777" w:rsidR="00A8138F" w:rsidRDefault="00A8138F" w:rsidP="00A8138F">
      <w:pPr>
        <w:pStyle w:val="TextoNormal"/>
      </w:pPr>
      <w:r>
        <w:t>En la demanda se sostiene que la inclusión de los líderes del proceso independentista en la Ley Orgánica 1/2024 lleva la amnistía más allá de su fundamento legítimo, pues difícilmente puede conseguir la reconciliación amnistiar a quienes abiertamente declaran que van a repetir las conductas ilícitas. Se denuncia, entonces, de nuevo, la carencia de justificación razonable para la amnistía, ahora en cuanto a los líderes políticos secesionistas, y la desproporción subsiguiente, al establecerse un ámbito subjetivo de aplicación que excede de lo que razonablemente podría amparar su finalidad legítima. El motivo canaliza pues, en este sentido concreto, una alegación de quiebra de la interdicción de la arbitrariedad y del principio de igualdad.</w:t>
      </w:r>
    </w:p>
    <w:p w14:paraId="2FD83839" w14:textId="77777777" w:rsidR="00A8138F" w:rsidRDefault="00A8138F" w:rsidP="00A8138F">
      <w:pPr>
        <w:pStyle w:val="TextoNormal"/>
      </w:pPr>
    </w:p>
    <w:p w14:paraId="29C83973" w14:textId="77777777" w:rsidR="00A8138F" w:rsidRDefault="00A8138F" w:rsidP="00A8138F">
      <w:pPr>
        <w:pStyle w:val="TextoNormal"/>
      </w:pPr>
      <w:r>
        <w:t xml:space="preserve">El alegado carácter arbitrario del ámbito subjetivo de la Ley de amnistía debe descartarse, bastando, como hace el abogado del Estado en sus alegaciones, remitirse a la doctrina general que en esta sentencia ya se ha expuesto </w:t>
      </w:r>
      <w:r w:rsidRPr="00A8138F">
        <w:rPr>
          <w:i/>
        </w:rPr>
        <w:t>supra</w:t>
      </w:r>
      <w:r>
        <w:t>. La amnistía de todas las personas, sin excepción, que participaron en el proceso independentista cuenta con una explicación en el preámbulo de la Ley, que supera el juicio de razonabilidad: busca finalizar la ejecución de las condenas y los procesos judiciales relacionados con un proceso que ha generado tensión en toda la sociedad catalana y desafección hacia las instituciones estatales, para superar el conflicto político y generar un contexto social e institucional de estabilidad y concordia. Mantener la sustanciación de los procedimientos que afectan a los líderes políticos de aquel proceso, por más que como reconoce el preámbulo sean “los menos”, podría dificultar ese objetivo. Finalmente, y como es obvio, una vez aplicada la Ley de amnistía, lo que estos líderes, como las demás personas, hagan con posterioridad no entra ya en su objeto y merecerá, en su caso, la respuesta que prevea el ordenamiento jurídico.</w:t>
      </w:r>
    </w:p>
    <w:p w14:paraId="10802358" w14:textId="77777777" w:rsidR="00A8138F" w:rsidRDefault="00A8138F" w:rsidP="00A8138F">
      <w:pPr>
        <w:pStyle w:val="TextoNormal"/>
      </w:pPr>
    </w:p>
    <w:p w14:paraId="7290A76C" w14:textId="77777777" w:rsidR="00A8138F" w:rsidRDefault="00A8138F" w:rsidP="00A8138F">
      <w:pPr>
        <w:pStyle w:val="TextoNormal"/>
      </w:pPr>
      <w:r>
        <w:t>Tampoco puede decirse que la inclusión de los líderes del proceso independentista sea discriminatoria, por ser manifiestamente desproporcionada en relación con la justificación objetiva y razonable de la Ley de amnistía. Tal y como se ha explicado, el objetivo legítimo de “distensión” y “reconciliación” pretende alcanzarse, según se explica en el preámbulo de la norma, con la eliminación de un foco de tensión consistente, sintéticamente, en la exigencia de responsabilidad criminal por los hechos incardinados en el contexto del proceso independentista. Lo decisivo a los efectos de alcanzar ese objetivo no es tanto cómo pueden recibir, individualmente, la amnistía sus concretos beneficiarios —ni siquiera quienes actuaron como líderes—, sino el efecto general que la amnistía puede tener sobre el conjunto de la población catalana. Desde esa óptica, no es irrazonable pensar que un amplio sector de la población seguiría percibiendo la continuación de los procesos penales contra los líderes del movimiento independentista como un importante factor de tensión.</w:t>
      </w:r>
    </w:p>
    <w:p w14:paraId="1DBE7868" w14:textId="77777777" w:rsidR="00A8138F" w:rsidRDefault="00A8138F" w:rsidP="00A8138F">
      <w:pPr>
        <w:pStyle w:val="TextoNormal"/>
      </w:pPr>
    </w:p>
    <w:p w14:paraId="2C53E4BD" w14:textId="77777777" w:rsidR="00A8138F" w:rsidRDefault="00A8138F" w:rsidP="00A8138F">
      <w:pPr>
        <w:pStyle w:val="TextoNormal"/>
      </w:pPr>
      <w:r>
        <w:t>En consecuencia, no puede aceptarse la vulneración de los arts. 9.3 y 14 CE aquí alegada en relación con el art. 1 de la Ley de amnistía.</w:t>
      </w:r>
    </w:p>
    <w:p w14:paraId="6DF769DE" w14:textId="77777777" w:rsidR="00A8138F" w:rsidRDefault="00A8138F" w:rsidP="00A8138F">
      <w:pPr>
        <w:pStyle w:val="TextoNormal"/>
      </w:pPr>
    </w:p>
    <w:p w14:paraId="59D9DE43" w14:textId="77777777" w:rsidR="00A8138F" w:rsidRDefault="00A8138F" w:rsidP="00A8138F">
      <w:pPr>
        <w:pStyle w:val="TextoNormal"/>
      </w:pPr>
      <w:r>
        <w:t xml:space="preserve">13.3. </w:t>
      </w:r>
      <w:r w:rsidRPr="00A8138F">
        <w:rPr>
          <w:i/>
        </w:rPr>
        <w:t>La alegada indeterminación del ámbito material de aplicación de la Ley de amnistía [art. 1.1 a), b), c), d) y f)]</w:t>
      </w:r>
    </w:p>
    <w:p w14:paraId="63426991" w14:textId="77777777" w:rsidR="00A8138F" w:rsidRDefault="00A8138F" w:rsidP="00A8138F">
      <w:pPr>
        <w:pStyle w:val="TextoNormal"/>
      </w:pPr>
    </w:p>
    <w:p w14:paraId="66E747E6" w14:textId="77777777" w:rsidR="00A8138F" w:rsidRDefault="00A8138F" w:rsidP="00A8138F">
      <w:pPr>
        <w:pStyle w:val="TextoNormal"/>
      </w:pPr>
      <w:r>
        <w:t xml:space="preserve">13.3.1. </w:t>
      </w:r>
      <w:r w:rsidRPr="00A8138F">
        <w:rPr>
          <w:i/>
        </w:rPr>
        <w:t>Exposición del motivo y alegaciones de las partes</w:t>
      </w:r>
    </w:p>
    <w:p w14:paraId="07A445BA" w14:textId="77777777" w:rsidR="00A8138F" w:rsidRDefault="00A8138F" w:rsidP="00A8138F">
      <w:pPr>
        <w:pStyle w:val="TextoNormal"/>
      </w:pPr>
    </w:p>
    <w:p w14:paraId="5B26413C" w14:textId="77777777" w:rsidR="00A8138F" w:rsidRDefault="00A8138F" w:rsidP="00A8138F">
      <w:pPr>
        <w:pStyle w:val="TextoNormal"/>
      </w:pPr>
      <w:r>
        <w:t>La demanda dirige un reproche de inconstitucionalidad específico a los apartados a), b), c), d) y f) del art. 1.1 de la Ley de amnistía, que estima contrarios al art. 25.1 en relación con el art. 17.1 CE así como al art. 9.3 CE. Considera que, en tanto dotan a la amnistía de un ámbito material absolutamente indeterminado —pues depende de la declaración sobre la intencionalidad que la persona que solicite su aplicación manifieste haber tenido en las actuaciones— no responden al principio de taxatividad, vulneran el principio de seguridad jurídica aplicable a las amnistías (STC 147/1986, FJ 3) y resultan arbitrarios y desproporcionados al diferenciar singularmente en la ley penal.</w:t>
      </w:r>
    </w:p>
    <w:p w14:paraId="7F68D2D9" w14:textId="77777777" w:rsidR="00A8138F" w:rsidRDefault="00A8138F" w:rsidP="00A8138F">
      <w:pPr>
        <w:pStyle w:val="TextoNormal"/>
      </w:pPr>
    </w:p>
    <w:p w14:paraId="5531F5D0" w14:textId="77777777" w:rsidR="00A8138F" w:rsidRDefault="00A8138F" w:rsidP="00A8138F">
      <w:pPr>
        <w:pStyle w:val="TextoNormal"/>
      </w:pPr>
      <w:r>
        <w:t>Se razona al respecto en primer lugar que el tenor de los citados apartados identifica los comportamientos delictivos susceptibles de ser amnistiados por la finalidad o intención con que se cometieron, la de colaborar con el proceso secesionista, no por su aptitud objetiva para servir a tal proceso. Entienden los recurrentes que, de ese modo, bastaría con alegar que la conducta delictiva se realizó con tal intencionalidad para que le sea de aplicación la amnistía, por lo que la sanción penal dependería de la voluntad del infractor. De otro lado, achacan a la redacción de los apartados impugnados que realiza una extensión ilimitada e indeterminada del ámbito objetivo de la amnistía mediante el empleo de cláusulas generales en los apartados a), b) y c) del art. 1.1, que se transmite al resto de apartados, ampliada incluso con la dicción del art. 1.1 f).</w:t>
      </w:r>
    </w:p>
    <w:p w14:paraId="15681E48" w14:textId="77777777" w:rsidR="00A8138F" w:rsidRDefault="00A8138F" w:rsidP="00A8138F">
      <w:pPr>
        <w:pStyle w:val="TextoNormal"/>
      </w:pPr>
    </w:p>
    <w:p w14:paraId="21F58046" w14:textId="77777777" w:rsidR="00A8138F" w:rsidRDefault="00A8138F" w:rsidP="00A8138F">
      <w:pPr>
        <w:pStyle w:val="TextoNormal"/>
      </w:pPr>
      <w:r>
        <w:t>En relación con este motivo solo ha alegado el abogado del Estado para defender su rechazo. Sostiene que la extensión de la amnistía fijada en los preceptos cuestionados no resulta desproporcionada ni arbitraria, ya que no se extiende a hechos que carezcan de relación con el proceso separatista que dio lugar a la consulta de 2014 y el referéndum de 2017. En particular, niega que la aplicación de la amnistía quede supeditada a la mera manifestación de la persona encausada de haber perseguido una finalidad independentista, dato que deberán apreciar los órganos judiciales sin que exista imposición alguna por la ley sobre la cuestión.</w:t>
      </w:r>
    </w:p>
    <w:p w14:paraId="5116C240" w14:textId="77777777" w:rsidR="00A8138F" w:rsidRDefault="00A8138F" w:rsidP="00A8138F">
      <w:pPr>
        <w:pStyle w:val="TextoNormal"/>
      </w:pPr>
    </w:p>
    <w:p w14:paraId="7E04384A" w14:textId="77777777" w:rsidR="00A8138F" w:rsidRDefault="00A8138F" w:rsidP="00A8138F">
      <w:pPr>
        <w:pStyle w:val="TextoNormal"/>
      </w:pPr>
      <w:r>
        <w:t>13.3.2</w:t>
      </w:r>
      <w:r w:rsidRPr="00A8138F">
        <w:rPr>
          <w:i/>
        </w:rPr>
        <w:t>. Preceptos impugnad</w:t>
      </w:r>
      <w:r>
        <w:t>os</w:t>
      </w:r>
    </w:p>
    <w:p w14:paraId="5D4FABD3" w14:textId="77777777" w:rsidR="00A8138F" w:rsidRDefault="00A8138F" w:rsidP="00A8138F">
      <w:pPr>
        <w:pStyle w:val="TextoNormal"/>
      </w:pPr>
    </w:p>
    <w:p w14:paraId="730CFED4" w14:textId="77777777" w:rsidR="00A8138F" w:rsidRDefault="00A8138F" w:rsidP="00A8138F">
      <w:pPr>
        <w:pStyle w:val="TextoNormal"/>
      </w:pPr>
      <w:r>
        <w:t>En el desarrollo del motivo se alude específicamente a las siguientes expresiones normativas: (i) en el art. 1.1 a) a “cualquier otro acto tipificado como delito que tuviere idéntica finalidad”, que el recurso identifica con “la intención de reivindicar, promover o procurar la secesión o independencia de Cataluña”; (ii) en el párrafo segundo del art. 1.1 a) a cualquier acto realizado “con el fin de divulgar el proyecto independentista, recabar información y adquirir conocimiento sobre experiencias similares”; (iii) en el art. 1.1 b) a “cualquier otro acto tipificado como delito que tuviere idéntica finalidad”, que sería “la intención de convocar, promover o procurar la celebración de las consultas”; (iv) en el art. 1.1 c) a “cualesquiera otros actos tipificados como delitos realizados con idéntica intención”, esto es, “el propósito de permitir la celebración de las consultas populares a que se refiere la letra b) del presente artículo o sus consecuencias”; (v) en el art. 1.1 d) a determinados delitos “ejecutados con el propósito de mostrar apoyo a los objetivos y fines descritos en las letras precedentes o a los encausados o condenados por la ejecución de cualesquiera de los delitos comprendidos en el presente artículo”; y (vi) en el art. 1.1 f) a “[l]os actos cometidos con el propósito de favorecer, procurar o facilitar cualesquiera de las acciones determinantes de responsabilidad penal, administrativa o contable contempladas en los apartados anteriores del presente artículo” y a “cualesquiera otros que fueran materialmente conexos con tales acciones”.</w:t>
      </w:r>
    </w:p>
    <w:p w14:paraId="0E7E3306" w14:textId="77777777" w:rsidR="00A8138F" w:rsidRDefault="00A8138F" w:rsidP="00A8138F">
      <w:pPr>
        <w:pStyle w:val="TextoNormal"/>
      </w:pPr>
    </w:p>
    <w:p w14:paraId="7523C585" w14:textId="77777777" w:rsidR="00A8138F" w:rsidRDefault="00A8138F" w:rsidP="00A8138F">
      <w:pPr>
        <w:pStyle w:val="TextoNormal"/>
      </w:pPr>
      <w:r>
        <w:t>No obstante, para comprender el sentido y alcance de tales cláusulas y evaluar el reproche de indeterminación que les dirige la demanda, resulta imprescindible tener presente tanto el tenor completo de los apartados impugnados como el del párrafo inicial del art. 1.1 que los precede:</w:t>
      </w:r>
    </w:p>
    <w:p w14:paraId="35ACE62B" w14:textId="77777777" w:rsidR="00A8138F" w:rsidRDefault="00A8138F" w:rsidP="00A8138F">
      <w:pPr>
        <w:pStyle w:val="TextoNormal"/>
      </w:pPr>
    </w:p>
    <w:p w14:paraId="31616618" w14:textId="77777777" w:rsidR="00A8138F" w:rsidRDefault="00A8138F" w:rsidP="00A8138F">
      <w:pPr>
        <w:pStyle w:val="TextoNormal"/>
      </w:pPr>
      <w:r>
        <w:t>“Artículo 1</w:t>
      </w:r>
      <w:r w:rsidRPr="00A8138F">
        <w:rPr>
          <w:i/>
        </w:rPr>
        <w:t>. Ámbito objeti</w:t>
      </w:r>
      <w:r>
        <w:t>vo</w:t>
      </w:r>
    </w:p>
    <w:p w14:paraId="274D90F4" w14:textId="77777777" w:rsidR="00A8138F" w:rsidRDefault="00A8138F" w:rsidP="00A8138F">
      <w:pPr>
        <w:pStyle w:val="TextoNormal"/>
      </w:pPr>
    </w:p>
    <w:p w14:paraId="58FC0635" w14:textId="77777777" w:rsidR="00A8138F" w:rsidRDefault="00A8138F" w:rsidP="00A8138F">
      <w:pPr>
        <w:pStyle w:val="TextoNormal"/>
      </w:pPr>
      <w:r>
        <w:t>1. Quedan amnistiados los siguientes actos determinantes de responsabilidad penal, administrativa o contable, ejecutados en el marco de las consultas celebradas en Cataluña el 9 de noviembre de 2014 y el 1 de octubre de 2017, de su preparación o de sus consecuencias, siempre que hubieren sido realizados entre los días 1 de noviembre de 2011 y 13 de noviembre de 2023, así como las siguientes acciones ejecutadas entre estas fechas en el contexto del denominado proceso independentista catalán, aunque no se encuentren relacionadas con las referidas consultas o hayan sido realizadas con posterioridad a su respectiva celebración:</w:t>
      </w:r>
    </w:p>
    <w:p w14:paraId="740E3159" w14:textId="77777777" w:rsidR="00A8138F" w:rsidRDefault="00A8138F" w:rsidP="00A8138F">
      <w:pPr>
        <w:pStyle w:val="TextoNormal"/>
      </w:pPr>
    </w:p>
    <w:p w14:paraId="0A6CB287" w14:textId="77777777" w:rsidR="00A8138F" w:rsidRDefault="00A8138F" w:rsidP="00A8138F">
      <w:pPr>
        <w:pStyle w:val="TextoNormal"/>
      </w:pPr>
      <w:r>
        <w:t>a) Los actos cometidos con la intención de reivindicar, promover o procurar la secesión o independencia de Cataluña, así como los que hubieran contribuido a la consecución de tales propósitos.</w:t>
      </w:r>
    </w:p>
    <w:p w14:paraId="180479C6" w14:textId="77777777" w:rsidR="00A8138F" w:rsidRDefault="00A8138F" w:rsidP="00A8138F">
      <w:pPr>
        <w:pStyle w:val="TextoNormal"/>
      </w:pPr>
    </w:p>
    <w:p w14:paraId="5E056920" w14:textId="77777777" w:rsidR="00A8138F" w:rsidRDefault="00A8138F" w:rsidP="00A8138F">
      <w:pPr>
        <w:pStyle w:val="TextoNormal"/>
      </w:pPr>
      <w:r>
        <w:t>En todo caso, se entenderán comprendidos en este supuesto los actos tipificados como delitos de usurpación de funciones públicas o de malversación, únicamente cuando estén dirigidos a financiar, sufragar o facilitar la realización de cualesquiera de las conductas descritas en el primer párrafo de esta letra, directamente o a través de cualquier entidad pública o privada, siempre que no haya existido propósito de enriquecimiento, así como cualquier otro acto tipificado como delito que tuviere idéntica finalidad.</w:t>
      </w:r>
    </w:p>
    <w:p w14:paraId="3B42156E" w14:textId="77777777" w:rsidR="00A8138F" w:rsidRDefault="00A8138F" w:rsidP="00A8138F">
      <w:pPr>
        <w:pStyle w:val="TextoNormal"/>
      </w:pPr>
    </w:p>
    <w:p w14:paraId="3FF08DAD" w14:textId="77777777" w:rsidR="00A8138F" w:rsidRDefault="00A8138F" w:rsidP="00A8138F">
      <w:pPr>
        <w:pStyle w:val="TextoNormal"/>
      </w:pPr>
      <w:r>
        <w:t>También se entenderán comprendidas en este supuesto aquellas actuaciones desarrolladas, a título personal o institucional, con el fin de divulgar el proyecto independentista, recabar información y adquirir conocimiento sobre experiencias similares o lograr que otras entidades públicas o privadas prestaran su apoyo a la consecución de la independencia de Cataluña.</w:t>
      </w:r>
    </w:p>
    <w:p w14:paraId="3AE8F9F8" w14:textId="77777777" w:rsidR="00A8138F" w:rsidRDefault="00A8138F" w:rsidP="00A8138F">
      <w:pPr>
        <w:pStyle w:val="TextoNormal"/>
      </w:pPr>
    </w:p>
    <w:p w14:paraId="6A22C1BE" w14:textId="77777777" w:rsidR="00A8138F" w:rsidRDefault="00A8138F" w:rsidP="00A8138F">
      <w:pPr>
        <w:pStyle w:val="TextoNormal"/>
      </w:pPr>
      <w:r>
        <w:t>Asimismo, se entenderán comprendidos aquellos actos, vinculados directa o indirectamente al denominado proceso independentista desarrollado en Cataluña o a sus líderes en el marco de ese proceso, y realizados por quienes, de forma manifiesta o constatada, hubieran prestado asistencia, colaboración, asesoramiento de cualquier tipo, representación, protección o seguridad a los responsables de las conductas a las que se refiere el primer párrafo de esta letra, o hubieran recabado información a estos efectos.</w:t>
      </w:r>
    </w:p>
    <w:p w14:paraId="1A9306E5" w14:textId="77777777" w:rsidR="00A8138F" w:rsidRDefault="00A8138F" w:rsidP="00A8138F">
      <w:pPr>
        <w:pStyle w:val="TextoNormal"/>
      </w:pPr>
    </w:p>
    <w:p w14:paraId="03C71C33" w14:textId="77777777" w:rsidR="00A8138F" w:rsidRDefault="00A8138F" w:rsidP="00A8138F">
      <w:pPr>
        <w:pStyle w:val="TextoNormal"/>
      </w:pPr>
      <w:r>
        <w:t>b) Los actos cometidos con la intención de convocar, promover o procurar la celebración de las consultas que tuvieron lugar en Cataluña el 9 de noviembre de 2014 y el 1 de octubre de 2017 por quien careciera de competencias para ello o cuya convocatoria o celebración haya sido declarada ilícita, así como aquellos que hubieran contribuido a su consecución.</w:t>
      </w:r>
    </w:p>
    <w:p w14:paraId="52006658" w14:textId="77777777" w:rsidR="00A8138F" w:rsidRDefault="00A8138F" w:rsidP="00A8138F">
      <w:pPr>
        <w:pStyle w:val="TextoNormal"/>
      </w:pPr>
    </w:p>
    <w:p w14:paraId="144565D1" w14:textId="77777777" w:rsidR="00A8138F" w:rsidRDefault="00A8138F" w:rsidP="00A8138F">
      <w:pPr>
        <w:pStyle w:val="TextoNormal"/>
      </w:pPr>
      <w:r>
        <w:t>En todo caso, se entenderán comprendidos en este supuesto los actos tipificados como delitos de usurpación de funciones públicas o de malversación, únicamente cuando estén dirigidos a financiar, sufragar o facilitar la realización de cualesquiera de las conductas descritas en el párrafo anterior, siempre que no haya existido propósito de enriquecimiento, así como cualquier otro acto tipificado como delito que tuviere idéntica finalidad.</w:t>
      </w:r>
    </w:p>
    <w:p w14:paraId="05CE091C" w14:textId="77777777" w:rsidR="00A8138F" w:rsidRDefault="00A8138F" w:rsidP="00A8138F">
      <w:pPr>
        <w:pStyle w:val="TextoNormal"/>
      </w:pPr>
    </w:p>
    <w:p w14:paraId="15D5E475" w14:textId="77777777" w:rsidR="00A8138F" w:rsidRDefault="00A8138F" w:rsidP="00A8138F">
      <w:pPr>
        <w:pStyle w:val="TextoNormal"/>
      </w:pPr>
      <w:r>
        <w:t>c) Los actos de desobediencia, cualquiera que sea su naturaleza, desórdenes públicos, atentado contra la autoridad, sus agentes y los funcionarios públicos o resistencia que hubieran sido ejecutados con el propósito de permitir la celebración de las consultas populares a que se refiere la letra b) del presente artículo o sus consecuencias, así como cualesquiera otros actos tipificados como delitos realizados con idéntica intención.</w:t>
      </w:r>
    </w:p>
    <w:p w14:paraId="1EFCC1C9" w14:textId="77777777" w:rsidR="00A8138F" w:rsidRDefault="00A8138F" w:rsidP="00A8138F">
      <w:pPr>
        <w:pStyle w:val="TextoNormal"/>
      </w:pPr>
    </w:p>
    <w:p w14:paraId="2149FB21" w14:textId="77777777" w:rsidR="00A8138F" w:rsidRDefault="00A8138F" w:rsidP="00A8138F">
      <w:pPr>
        <w:pStyle w:val="TextoNormal"/>
      </w:pPr>
      <w:r>
        <w:t>En todo caso, se entenderán comprendidos en este supuesto los actos tipificados como delitos de prevaricación o cualesquiera otros actos que hubieran consistido en la aprobación o ejecución de leyes, normas o resoluciones por autoridades o funcionarios públicos que hayan sido realizados con el propósito de permitir, favorecer o coadyuvar a la celebración de las consultas populares a que se refiere la letra b) del presente artículo.</w:t>
      </w:r>
    </w:p>
    <w:p w14:paraId="17EBAE11" w14:textId="77777777" w:rsidR="00A8138F" w:rsidRDefault="00A8138F" w:rsidP="00A8138F">
      <w:pPr>
        <w:pStyle w:val="TextoNormal"/>
      </w:pPr>
    </w:p>
    <w:p w14:paraId="3869DA63" w14:textId="77777777" w:rsidR="00A8138F" w:rsidRDefault="00A8138F" w:rsidP="00A8138F">
      <w:pPr>
        <w:pStyle w:val="TextoNormal"/>
      </w:pPr>
      <w:r>
        <w:t>También quedarán amnistiados los actos de desconsideración, crítica o agravio vertidos contra las autoridades y funcionarios públicos, los entes e instituciones públicas, así como sus símbolos o emblemas, incluidos los actos llevados a cabo a través de la prensa, de la imprenta, de un medio de comunicación social, de internet o mediante el uso de redes sociales y servicios de la sociedad de la información equivalentes, así como en el curso de manifestaciones, asambleas, obras o actividades artísticas o educativas u otras de similar naturaleza que tuvieran por objeto reivindicar la independencia de Cataluña o la celebración de las consultas a las que se refiere la letra b) o prestar público apoyo a quienes hubieran ejecutado los actos amnistiados con arreglo a esta ley.</w:t>
      </w:r>
    </w:p>
    <w:p w14:paraId="25796213" w14:textId="77777777" w:rsidR="00A8138F" w:rsidRDefault="00A8138F" w:rsidP="00A8138F">
      <w:pPr>
        <w:pStyle w:val="TextoNormal"/>
      </w:pPr>
    </w:p>
    <w:p w14:paraId="650FBA97" w14:textId="77777777" w:rsidR="00A8138F" w:rsidRDefault="00A8138F" w:rsidP="00A8138F">
      <w:pPr>
        <w:pStyle w:val="TextoNormal"/>
      </w:pPr>
      <w:r>
        <w:t xml:space="preserve">d) Los actos de desobediencia, cualquiera que sea su naturaleza, desórdenes públicos, atentado contra la autoridad, sus agentes y los funcionarios públicos, resistencia u otros actos contra el orden y la paz pública que hubieran sido ejecutados con el propósito de mostrar apoyo a los objetivos y fines descritos en las letras precedentes o a los encausados o condenados por la ejecución de cualesquiera de los delitos comprendidos en el presente artículo. </w:t>
      </w:r>
    </w:p>
    <w:p w14:paraId="793BDE87" w14:textId="77777777" w:rsidR="00A8138F" w:rsidRDefault="00A8138F" w:rsidP="00A8138F">
      <w:pPr>
        <w:pStyle w:val="TextoNormal"/>
      </w:pPr>
    </w:p>
    <w:p w14:paraId="6933E6AB" w14:textId="77777777" w:rsidR="00A8138F" w:rsidRDefault="00A8138F" w:rsidP="00A8138F">
      <w:pPr>
        <w:pStyle w:val="TextoNormal"/>
      </w:pPr>
      <w:r>
        <w:t>[…]</w:t>
      </w:r>
    </w:p>
    <w:p w14:paraId="37D69EAE" w14:textId="77777777" w:rsidR="00A8138F" w:rsidRDefault="00A8138F" w:rsidP="00A8138F">
      <w:pPr>
        <w:pStyle w:val="TextoNormal"/>
      </w:pPr>
    </w:p>
    <w:p w14:paraId="47E5EEE7" w14:textId="77777777" w:rsidR="00A8138F" w:rsidRDefault="00A8138F" w:rsidP="00A8138F">
      <w:pPr>
        <w:pStyle w:val="TextoNormal"/>
      </w:pPr>
      <w:r>
        <w:t>f) Los actos cometidos con el propósito de favorecer, procurar o facilitar cualesquiera de las acciones determinantes de responsabilidad penal, administrativa o contable contempladas en los apartados anteriores del presente artículo, así como cualesquiera otros que fueran materialmente conexos con tales acciones”.</w:t>
      </w:r>
    </w:p>
    <w:p w14:paraId="4DEB362A" w14:textId="77777777" w:rsidR="00A8138F" w:rsidRDefault="00A8138F" w:rsidP="00A8138F">
      <w:pPr>
        <w:pStyle w:val="TextoNormal"/>
      </w:pPr>
    </w:p>
    <w:p w14:paraId="0916E603" w14:textId="77777777" w:rsidR="00A8138F" w:rsidRDefault="00A8138F" w:rsidP="00A8138F">
      <w:pPr>
        <w:pStyle w:val="TextoNormal"/>
      </w:pPr>
      <w:r>
        <w:t xml:space="preserve">13.3.3. </w:t>
      </w:r>
      <w:r w:rsidRPr="00A8138F">
        <w:rPr>
          <w:i/>
        </w:rPr>
        <w:t>Delimitación del motivo y del parámetro de control constitucional (art. 9.3 CE)</w:t>
      </w:r>
    </w:p>
    <w:p w14:paraId="053C6889" w14:textId="77777777" w:rsidR="00A8138F" w:rsidRDefault="00A8138F" w:rsidP="00A8138F">
      <w:pPr>
        <w:pStyle w:val="TextoNormal"/>
      </w:pPr>
    </w:p>
    <w:p w14:paraId="31D59B9C" w14:textId="77777777" w:rsidR="00A8138F" w:rsidRDefault="00A8138F" w:rsidP="00A8138F">
      <w:pPr>
        <w:pStyle w:val="TextoNormal"/>
      </w:pPr>
      <w:r>
        <w:t>La demanda predica la tacha de inconstitucionalidad de la conformación de un ámbito material de aplicación de la Ley de amnistía que se dice dependiente de la voluntad de quien la solicite y absolutamente indeterminado, fruto de la referencia en los apartados impugnados a la finalidad de la actuación como elemento definitorio del espectro comisivo al que se proyecta la amnistía y del empleo de cláusulas generales también centradas en el propósito o fin de la conducta. El análisis de la impugnación precisa una triple delimitación, referida tanto al sentido de los preceptos a que atañe como al contenido impugnatorio y su encuadre constitucional:</w:t>
      </w:r>
    </w:p>
    <w:p w14:paraId="50BABBE2" w14:textId="77777777" w:rsidR="00A8138F" w:rsidRDefault="00A8138F" w:rsidP="00A8138F">
      <w:pPr>
        <w:pStyle w:val="TextoNormal"/>
      </w:pPr>
    </w:p>
    <w:p w14:paraId="2DE8A579" w14:textId="77777777" w:rsidR="00A8138F" w:rsidRDefault="00A8138F" w:rsidP="00A8138F">
      <w:pPr>
        <w:pStyle w:val="TextoNormal"/>
      </w:pPr>
      <w:r>
        <w:t xml:space="preserve">a) En primer lugar, hay que descartar desde un inicio la premisa interpretativa sobre la que se construye el motivo de que la aplicación de la amnistía está en manos de los interesados. El elemento teleológico de orientación a una determinada finalidad, intención o propósito, dirigido a concretar los actos vinculados con el contexto al que atiende la Ley, incluso si se interpretara en términos puramente subjetivos, debe fijarse a partir de los elementos de juicio concurrentes por parte de los órganos judiciales y administrativos a los que corresponde aplicar la Ley de amnistía y decidir si concurren los requisitos para amnistiar. Los preceptos impugnados no contienen una suerte de prueba legal o tasada que obligue a afirmar la finalidad o intención requerida si así lo han declarado los infractores. El órgano judicial o administrativo podrá contar, entre otros datos, con lo declarado por la persona interesada, pero ni será necesariamente la única circunstancia significativa ni, desde luego, la determinante </w:t>
      </w:r>
      <w:r w:rsidRPr="00A8138F">
        <w:rPr>
          <w:i/>
        </w:rPr>
        <w:t>ex lege</w:t>
      </w:r>
      <w:r>
        <w:t>. Otros aspectos relevantes pueden ser, sin ánimo de exhaustividad, el tipo de acción u omisión, el momento y lugar en que tienen lugar o las manifestaciones previas o posteriores del autor.</w:t>
      </w:r>
    </w:p>
    <w:p w14:paraId="75E44E64" w14:textId="77777777" w:rsidR="00A8138F" w:rsidRDefault="00A8138F" w:rsidP="00A8138F">
      <w:pPr>
        <w:pStyle w:val="TextoNormal"/>
      </w:pPr>
    </w:p>
    <w:p w14:paraId="70417595" w14:textId="77777777" w:rsidR="00A8138F" w:rsidRDefault="00A8138F" w:rsidP="00A8138F">
      <w:pPr>
        <w:pStyle w:val="TextoNormal"/>
      </w:pPr>
      <w:r>
        <w:t>El motivo de inconstitucionalidad no puede asentarse en una premisa interpretativa insostenible, como en gran medida hace la demanda en este punto. Debe abordarse la tacha de inconstitucionalidad, no obstante, toda vez que también señala otros factores de indeterminación, en particular, el recurso a cláusulas generales que establecen la finalidad de los actos delictivos como único elemento que acota el ámbito material de la ley.</w:t>
      </w:r>
    </w:p>
    <w:p w14:paraId="77580DC2" w14:textId="77777777" w:rsidR="00A8138F" w:rsidRDefault="00A8138F" w:rsidP="00A8138F">
      <w:pPr>
        <w:pStyle w:val="TextoNormal"/>
      </w:pPr>
    </w:p>
    <w:p w14:paraId="6C064ECF" w14:textId="77777777" w:rsidR="00A8138F" w:rsidRDefault="00A8138F" w:rsidP="00A8138F">
      <w:pPr>
        <w:pStyle w:val="TextoNormal"/>
      </w:pPr>
      <w:r>
        <w:t>b) Excluido ya el referido entendimiento de las disposiciones impugnadas como fuente de reproche constitucional, la lectura del motivo muestra que solo la denuncia de falta de la taxatividad que exige el art. 25.1 CE se articula con un mínimo desarrollo argumentativo. La vulneración del principio de seguridad jurídica y la existencia de arbitrariedad y desproporción que también se atribuyen a los preceptos reseñados de la Ley Orgánica 1/2024 carece de exposición justificativa más allá de la insistencia en la indeterminación del ámbito objetivo de la amnistía y el establecimiento de una ley penal singular.</w:t>
      </w:r>
    </w:p>
    <w:p w14:paraId="2C953946" w14:textId="77777777" w:rsidR="00A8138F" w:rsidRDefault="00A8138F" w:rsidP="00A8138F">
      <w:pPr>
        <w:pStyle w:val="TextoNormal"/>
      </w:pPr>
    </w:p>
    <w:p w14:paraId="1F5943ED" w14:textId="77777777" w:rsidR="00A8138F" w:rsidRDefault="00A8138F" w:rsidP="00A8138F">
      <w:pPr>
        <w:pStyle w:val="TextoNormal"/>
      </w:pPr>
      <w:r>
        <w:t xml:space="preserve">De cualquier manera, la censura de arbitrariedad y desproporción del ámbito objetivo de la ley ya se ha enjuiciado en el fundamento jurídico 8.3.4, como también se descartó la aplicación de la doctrina de las leyes singulares (FJ 5.2), a cuyos razonamientos cabe remitirse ahora. Por otro lado, también al examinar la tacha general de la demanda en la que se defiende la incompatibilidad de toda amnistía con las exigencias materiales que el art. 25.1 CE impone al legislador, se excluyó que la ley de amnistía esté sujeta al mandato de certeza característico del principio de legalidad penal (FJ 5.3.2), de modo que la vulneración denunciada ahora en particular no puede prosperar con tal encuadramiento. No obstante, la garantía de taxatividad </w:t>
      </w:r>
      <w:r w:rsidRPr="00A8138F">
        <w:rPr>
          <w:i/>
        </w:rPr>
        <w:t>ex</w:t>
      </w:r>
      <w:r>
        <w:t xml:space="preserve"> art. 25.1 CE tiene su fundamento en una especial exigencia de seguridad jurídica en el ámbito sancionador, como a continuación se expondrá, lo que conecta el motivo con la afirmación apodíctica de desconocimiento del principio de seguridad jurídica del art. 9.3 CE que contiene el motivo, que enuncia a la postre el parámetro de control constitucional aplicable.</w:t>
      </w:r>
    </w:p>
    <w:p w14:paraId="28A77DAC" w14:textId="77777777" w:rsidR="00A8138F" w:rsidRDefault="00A8138F" w:rsidP="00A8138F">
      <w:pPr>
        <w:pStyle w:val="TextoNormal"/>
      </w:pPr>
    </w:p>
    <w:p w14:paraId="4B051F9A" w14:textId="77777777" w:rsidR="00A8138F" w:rsidRDefault="00A8138F" w:rsidP="00A8138F">
      <w:pPr>
        <w:pStyle w:val="TextoNormal"/>
      </w:pPr>
      <w:r>
        <w:t>c) En efecto, la doctrina sobre el sentido, alcance y contenido del derecho fundamental a la legalidad penal conduce a excluir que el mandato de taxatividad pueda verse infringido por las previsiones de la Ley de amnistía. Ahora bien, la exigencia de previsibilidad que sintetiza el contenido material del principio de legalidad penal recogido en el art. 25.1 CE concreta en el ámbito de las disposiciones penales o administrativo sancionadoras la exigencia de certeza que demanda el principio de seguridad jurídica proclamado en el art. 9.3 CE (SSTC 14/2021, de 28 de enero, FJ 2, y 75/2024, de 8 de mayo, FJ 3). De acuerdo con tal esquema, que la exigencia de taxatividad dimanante del art. 25.1 CE no se aplique a las previsiones de la Ley, en concreto, a los apartados del art. 1.1. controvertidos en este motivo, no significa que la ley no deba someterse al principio de seguridad jurídica y las exigencias de precisión y claridad que impone el art. 9.3 CE.</w:t>
      </w:r>
    </w:p>
    <w:p w14:paraId="1F5C3D84" w14:textId="77777777" w:rsidR="00A8138F" w:rsidRDefault="00A8138F" w:rsidP="00A8138F">
      <w:pPr>
        <w:pStyle w:val="TextoNormal"/>
      </w:pPr>
    </w:p>
    <w:p w14:paraId="47CBEFFA" w14:textId="77777777" w:rsidR="00A8138F" w:rsidRDefault="00A8138F" w:rsidP="00A8138F">
      <w:pPr>
        <w:pStyle w:val="TextoNormal"/>
      </w:pPr>
      <w:r>
        <w:t>Según exponen las citadas resoluciones, la seguridad jurídica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(STC 136/2011, de 13 de septiembre, FJ 9, y jurisprudencia allí citada).</w:t>
      </w:r>
    </w:p>
    <w:p w14:paraId="364BC022" w14:textId="77777777" w:rsidR="00A8138F" w:rsidRDefault="00A8138F" w:rsidP="00A8138F">
      <w:pPr>
        <w:pStyle w:val="TextoNormal"/>
      </w:pPr>
    </w:p>
    <w:p w14:paraId="67886170" w14:textId="77777777" w:rsidR="00A8138F" w:rsidRDefault="00A8138F" w:rsidP="00A8138F">
      <w:pPr>
        <w:pStyle w:val="TextoNormal"/>
      </w:pPr>
      <w:r>
        <w:t>13.3.4</w:t>
      </w:r>
      <w:r w:rsidRPr="00A8138F">
        <w:rPr>
          <w:i/>
        </w:rPr>
        <w:t>. Enjuiciamiento del moti</w:t>
      </w:r>
      <w:r>
        <w:t>vo</w:t>
      </w:r>
    </w:p>
    <w:p w14:paraId="370628A9" w14:textId="77777777" w:rsidR="00A8138F" w:rsidRDefault="00A8138F" w:rsidP="00A8138F">
      <w:pPr>
        <w:pStyle w:val="TextoNormal"/>
      </w:pPr>
    </w:p>
    <w:p w14:paraId="32AD0DBC" w14:textId="77777777" w:rsidR="00A8138F" w:rsidRDefault="00A8138F" w:rsidP="00A8138F">
      <w:pPr>
        <w:pStyle w:val="TextoNormal"/>
      </w:pPr>
      <w:r>
        <w:t>Los recurrentes sitúan la incertidumbre en la fijación por los preceptos recurridos de un ámbito material indeterminado, porque no se precisan los delitos amnistiados, sino que se define en torno a unas finalidades o intenciones en cláusulas generales. Sin embargo, ni uno ni otro dato conduce a apreciar tal indeterminación y, por ende, una infracción del principio de seguridad jurídica por falta de claridad y certeza.</w:t>
      </w:r>
    </w:p>
    <w:p w14:paraId="4D9227B1" w14:textId="77777777" w:rsidR="00A8138F" w:rsidRDefault="00A8138F" w:rsidP="00A8138F">
      <w:pPr>
        <w:pStyle w:val="TextoNormal"/>
      </w:pPr>
    </w:p>
    <w:p w14:paraId="3DC1B44E" w14:textId="77777777" w:rsidR="00A8138F" w:rsidRDefault="00A8138F" w:rsidP="00A8138F">
      <w:pPr>
        <w:pStyle w:val="TextoNormal"/>
      </w:pPr>
      <w:r>
        <w:t>El ámbito sustantivo de aplicación de la Ley de amnistía viene fijado en un sentido positivo en el art. 1.1 y, en un sentido negativo, por las exclusiones contempladas en el art. 2. El párrafo primero del art. 1.1 fija el contexto en el que han de haberse realizado los hechos amnistiados, el “proceso independentista catalán”. Junto a ese elemento delimitador global se alude de forma específica a los actos ejecutados “en el marco de las consultas celebradas en Cataluña el 9 de noviembre de 2014 y el 1 de octubre de 2017, de su preparación o de sus consecuencias”. Se configura así un ámbito material de aplicación, pero delimitado, el de las acciones determinantes de responsabilidad penal, administrativa o contable cometidas en ese contexto, al que también alude el preámbulo de la Ley (apartado V).</w:t>
      </w:r>
    </w:p>
    <w:p w14:paraId="620F6A8B" w14:textId="77777777" w:rsidR="00A8138F" w:rsidRDefault="00A8138F" w:rsidP="00A8138F">
      <w:pPr>
        <w:pStyle w:val="TextoNormal"/>
      </w:pPr>
    </w:p>
    <w:p w14:paraId="3B761BCD" w14:textId="77777777" w:rsidR="00A8138F" w:rsidRDefault="00A8138F" w:rsidP="00A8138F">
      <w:pPr>
        <w:pStyle w:val="TextoNormal"/>
      </w:pPr>
      <w:r>
        <w:t xml:space="preserve">A partir de esa caracterización general, el legislador precisa en los apartados siguientes diversos actos comprendidos. Para ello recurre en ocasiones a la enumeración de modalidades delictivas concretas —así, las alusiones a la usurpación de funciones públicas y la malversación en el art. 1 a) y b); a la desobediencia, desórdenes públicos, atentado o resistencia en el art. 1.1 c) y d), o a la prevaricación en el art. 1.1 c)—; otras veces, a la descripción del contenido de las conductas —apoyo a los responsables en el art. 1.1 a) </w:t>
      </w:r>
      <w:r w:rsidRPr="00A8138F">
        <w:rPr>
          <w:i/>
        </w:rPr>
        <w:t>in fine</w:t>
      </w:r>
      <w:r>
        <w:t xml:space="preserve"> o aprobación o ejecución de normas o resoluciones en el art. 1.1 c), donde también se alude a actos de desconsideración, crítica o agravio—. Pero incluso en estos casos, las especificaciones que operan los apartados a), b), c), d) y f) del ámbito objetivo de la ley no proceden en último término del tipo objetivo de conducta de que se trate, sino de la finalidad a la que se orienta la actuación, dada la presencia de cláusulas abiertas o redacciones generales que remiten a la motivación de la acción o la omisión penal, administrativa o contablemente relevante, a saber:</w:t>
      </w:r>
    </w:p>
    <w:p w14:paraId="78AA8713" w14:textId="77777777" w:rsidR="00A8138F" w:rsidRDefault="00A8138F" w:rsidP="00A8138F">
      <w:pPr>
        <w:pStyle w:val="TextoNormal"/>
      </w:pPr>
    </w:p>
    <w:p w14:paraId="2749E98A" w14:textId="77777777" w:rsidR="00A8138F" w:rsidRDefault="00A8138F" w:rsidP="00A8138F">
      <w:pPr>
        <w:pStyle w:val="TextoNormal"/>
      </w:pPr>
      <w:r>
        <w:t>(i) En el art. 1.1 a) se apela a “la intención de reivindicar, promover o procurar la secesión o independencia de Cataluña” con que se cometen los actos.</w:t>
      </w:r>
    </w:p>
    <w:p w14:paraId="2EA59E97" w14:textId="77777777" w:rsidR="00A8138F" w:rsidRDefault="00A8138F" w:rsidP="00A8138F">
      <w:pPr>
        <w:pStyle w:val="TextoNormal"/>
      </w:pPr>
    </w:p>
    <w:p w14:paraId="1CDF0B5E" w14:textId="77777777" w:rsidR="00A8138F" w:rsidRDefault="00A8138F" w:rsidP="00A8138F">
      <w:pPr>
        <w:pStyle w:val="TextoNormal"/>
      </w:pPr>
      <w:r>
        <w:t>(ii) En el apartado b) se atiende a “la intención de convocar, promover o procurar la celebración de las consultas que tuvieron lugar en Cataluña el 9 de noviembre de 2014 y el 1 de octubre de 2017”.</w:t>
      </w:r>
    </w:p>
    <w:p w14:paraId="7B8F6CCB" w14:textId="77777777" w:rsidR="00A8138F" w:rsidRDefault="00A8138F" w:rsidP="00A8138F">
      <w:pPr>
        <w:pStyle w:val="TextoNormal"/>
      </w:pPr>
    </w:p>
    <w:p w14:paraId="1D4119B5" w14:textId="77777777" w:rsidR="00A8138F" w:rsidRDefault="00A8138F" w:rsidP="00A8138F">
      <w:pPr>
        <w:pStyle w:val="TextoNormal"/>
      </w:pPr>
      <w:r>
        <w:t>(iii) El art. 1.1 c) alude, de un lado, al “propósito de permitir la celebración de las consultas populares a que se refiere la letra b) del presente artículo o sus consecuencias” que guíe cualquier acto tipificado como delito. De otro, a acciones que tuvieran “por objeto reivindicar la independencia de Cataluña o la celebración de las consultas a las que se refiere la letra b) o prestar público apoyo a quienes hubieran ejecutado los actos amnistiados con arreglo a esta ley”.</w:t>
      </w:r>
    </w:p>
    <w:p w14:paraId="14003F1D" w14:textId="77777777" w:rsidR="00A8138F" w:rsidRDefault="00A8138F" w:rsidP="00A8138F">
      <w:pPr>
        <w:pStyle w:val="TextoNormal"/>
      </w:pPr>
    </w:p>
    <w:p w14:paraId="6A038216" w14:textId="77777777" w:rsidR="00A8138F" w:rsidRDefault="00A8138F" w:rsidP="00A8138F">
      <w:pPr>
        <w:pStyle w:val="TextoNormal"/>
      </w:pPr>
      <w:r>
        <w:t>(iv) El apartado d) contempla “el propósito de mostrar apoyo a los objetivos y fines descritos en las letras precedentes o a los encausados o condenados por la ejecución de cualesquiera de los delitos comprendidos en el presente artículo”.</w:t>
      </w:r>
    </w:p>
    <w:p w14:paraId="285FD340" w14:textId="77777777" w:rsidR="00A8138F" w:rsidRDefault="00A8138F" w:rsidP="00A8138F">
      <w:pPr>
        <w:pStyle w:val="TextoNormal"/>
      </w:pPr>
    </w:p>
    <w:p w14:paraId="79C68832" w14:textId="77777777" w:rsidR="00A8138F" w:rsidRDefault="00A8138F" w:rsidP="00A8138F">
      <w:pPr>
        <w:pStyle w:val="TextoNormal"/>
      </w:pPr>
      <w:r>
        <w:t>(v) El art. 1.1 f) cierra la delimitación con la cláusula general que remite a actos cometidos con “el propósito de favorecer, procurar o facilitar cualesquiera de las acciones determinantes de responsabilidad penal, administrativa o contable contempladas en los apartados anteriores del presente artículo, así como cualesquiera otros que fueran materialmente conexos con tales acciones”.</w:t>
      </w:r>
    </w:p>
    <w:p w14:paraId="21812D61" w14:textId="77777777" w:rsidR="00A8138F" w:rsidRDefault="00A8138F" w:rsidP="00A8138F">
      <w:pPr>
        <w:pStyle w:val="TextoNormal"/>
      </w:pPr>
    </w:p>
    <w:p w14:paraId="31E2BC97" w14:textId="77777777" w:rsidR="00A8138F" w:rsidRDefault="00A8138F" w:rsidP="00A8138F">
      <w:pPr>
        <w:pStyle w:val="TextoNormal"/>
      </w:pPr>
      <w:r>
        <w:t>De esta forma queda inicialmente delimitado el ámbito objetivo de aplicación de la Ley de amnistía, que abarca cualquier acto determinante de responsabilidad penal, administrativa o contable cometido en aras de la celebración de las consultas y en apoyo de la independencia. La consistencia de la expectativa del ciudadano sobre la actuación del aplicador de la ley se ve asimismo reforzada en la medida en que el recurso a la específica intencionalidad delictiva o infractora con que se actuó se muestra como criterio adecuado para conectar la conducta amnistiable con la situación o contexto a que atiende la ley y su finalidad. A ello se añade que la alusión a específicas modalidades de conducta en los apartados cuestionados del art. 1.1 de la Ley ofrece pautas sobre los ilícitos indudablemente comprendidos en ella, aun cuando no excluyan otra clase de actuaciones cometidas en el contexto del proceso independentista con la finalidad colaboradora o impulsora reseñada. Pautas que asimismo ofrece la conexión de los apartados a), b), c), d) y f) del art. 1.1 con el apartado e) del mismo artículo, relativo a las actuaciones policiales dirigidas a dificultar o impedir la realización de los actos generadores de responsabilidad amnistiables y, especialmente, con las exclusiones del ámbito de aplicación de la ley que dispone su art. 2. Todo ello sin perjuicio de que dicho ámbito está integrado también por los supuestos que introducen los efectos de la inconstitucionalidad declarada del art. 1.1 de la Ley en el fundamento jurídico 8.3.5: los actos amnistiables realizados con la finalidad de oponerse a la secesión o independencia de Cataluña o a la celebración de las consultas de 2014 y 2017.</w:t>
      </w:r>
    </w:p>
    <w:p w14:paraId="0BB1121A" w14:textId="77777777" w:rsidR="00A8138F" w:rsidRDefault="00A8138F" w:rsidP="00A8138F">
      <w:pPr>
        <w:pStyle w:val="TextoNormal"/>
      </w:pPr>
    </w:p>
    <w:p w14:paraId="4E0D2A76" w14:textId="77777777" w:rsidR="00A8138F" w:rsidRDefault="00A8138F" w:rsidP="00A8138F">
      <w:pPr>
        <w:pStyle w:val="TextoNormal"/>
      </w:pPr>
      <w:r>
        <w:t>Por lo demás, la apreciación de la orientación finalística de las actuaciones por parte del aplicador de la Ley de amnistía no presenta particularidad alguna respecto de la operación probatoria y subsuntiva que exigen todas aquellas previsiones normativas que definen su supuesto de hecho con elementos subjetivos de carácter intencional, por ejemplo, el ánimo de lucro en relación con la conducta de apropiación para poder apreciar un hurto. En estos casos, la aplicación de la norma no solo requiere afirmar la concurrencia de un hecho, sino que su realización responde a la conducta intencional del agente exigida por el legislador, todo ello a partir de los elementos de juicio concurrentes. La Ley Orgánica 1/2024 no plantea desde esta perspectiva ninguna especialidad respecto a los casos en los que debe determinarse por los tribunales la intención con la que actuó la persona.</w:t>
      </w:r>
    </w:p>
    <w:p w14:paraId="542ECEC5" w14:textId="77777777" w:rsidR="00A8138F" w:rsidRDefault="00A8138F" w:rsidP="00A8138F">
      <w:pPr>
        <w:pStyle w:val="TextoNormal"/>
      </w:pPr>
    </w:p>
    <w:p w14:paraId="26FEFBAA" w14:textId="1D22E070" w:rsidR="00A8138F" w:rsidRDefault="00A8138F" w:rsidP="00A8138F">
      <w:pPr>
        <w:pStyle w:val="TextoNormal"/>
      </w:pPr>
      <w:r>
        <w:t>En conclusión, no se aprecia una falta de claridad o incertidumbre contrarias al art. 9.3 CE sobre la clase de conductas que son amnistiadas, sin perjuicio de la necesaria actuación judicial o administrativa para resolver sobre la aplicación al caso de la norma formulada de forma general y abstracta, concretando el enunciado legal. El motivo debe desestimarse.</w:t>
      </w:r>
    </w:p>
    <w:p w14:paraId="16D5F335" w14:textId="77777777" w:rsidR="00A8138F" w:rsidRDefault="00A8138F" w:rsidP="00A8138F">
      <w:pPr>
        <w:pStyle w:val="TextoNormal"/>
      </w:pPr>
    </w:p>
    <w:p w14:paraId="3EE6882B" w14:textId="77777777" w:rsidR="00A8138F" w:rsidRDefault="00A8138F" w:rsidP="00A8138F">
      <w:pPr>
        <w:pStyle w:val="TextoNormal"/>
      </w:pPr>
      <w:r w:rsidRPr="00A8138F">
        <w:rPr>
          <w:rStyle w:val="NumeroAFNegritaCaracter"/>
        </w:rPr>
        <w:t>14</w:t>
      </w:r>
      <w:r>
        <w:t xml:space="preserve">. </w:t>
      </w:r>
      <w:r w:rsidRPr="00A8138F">
        <w:rPr>
          <w:i/>
        </w:rPr>
        <w:t>La impugnación de las cláusulas de exclusión de la amnistía [art. 2 a), c) y d) de la Ley]</w:t>
      </w:r>
    </w:p>
    <w:p w14:paraId="5DE4ADEE" w14:textId="77777777" w:rsidR="00A8138F" w:rsidRDefault="00A8138F" w:rsidP="00A8138F">
      <w:pPr>
        <w:pStyle w:val="TextoNormal"/>
      </w:pPr>
    </w:p>
    <w:p w14:paraId="4FE3DF18" w14:textId="77777777" w:rsidR="00A8138F" w:rsidRDefault="00A8138F" w:rsidP="00A8138F">
      <w:pPr>
        <w:pStyle w:val="TextoNormal"/>
      </w:pPr>
      <w:r>
        <w:t>Los diputados y senadores recurrentes impugnan varios apartados del art. 2 de la Ley de amnistía, en concreto, los recogidos en sus letras a), c) y d), que establecen cláusulas de exclusión de la amnistía que, a su juicio, infringirían, por diversos motivos, los arts. 9.3, 14, 15, 17.1, 24 y 25.1 CE.</w:t>
      </w:r>
    </w:p>
    <w:p w14:paraId="39410D5A" w14:textId="77777777" w:rsidR="00A8138F" w:rsidRDefault="00A8138F" w:rsidP="00A8138F">
      <w:pPr>
        <w:pStyle w:val="TextoNormal"/>
      </w:pPr>
    </w:p>
    <w:p w14:paraId="01D69552" w14:textId="77777777" w:rsidR="00A8138F" w:rsidRDefault="00A8138F" w:rsidP="00A8138F">
      <w:pPr>
        <w:pStyle w:val="TextoNormal"/>
      </w:pPr>
      <w:r>
        <w:t xml:space="preserve">14.1. </w:t>
      </w:r>
      <w:r w:rsidRPr="00A8138F">
        <w:rPr>
          <w:i/>
        </w:rPr>
        <w:t>La alegada vulneración del derecho a la vida y a la integridad física y moral de las personas garantizado en el art. 15 CE [art. 2 a) de la Ley de amnistía</w:t>
      </w:r>
      <w:r>
        <w:t>]</w:t>
      </w:r>
    </w:p>
    <w:p w14:paraId="2F046199" w14:textId="77777777" w:rsidR="00A8138F" w:rsidRDefault="00A8138F" w:rsidP="00A8138F">
      <w:pPr>
        <w:pStyle w:val="TextoNormal"/>
      </w:pPr>
    </w:p>
    <w:p w14:paraId="490753AF" w14:textId="77777777" w:rsidR="00A8138F" w:rsidRDefault="00A8138F" w:rsidP="00A8138F">
      <w:pPr>
        <w:pStyle w:val="TextoNormal"/>
      </w:pPr>
      <w:r>
        <w:t xml:space="preserve">14.1.1. </w:t>
      </w:r>
      <w:r w:rsidRPr="00A8138F">
        <w:rPr>
          <w:i/>
        </w:rPr>
        <w:t>Exposición del motivo y alegaciones de las partes</w:t>
      </w:r>
    </w:p>
    <w:p w14:paraId="74582173" w14:textId="77777777" w:rsidR="00A8138F" w:rsidRDefault="00A8138F" w:rsidP="00A8138F">
      <w:pPr>
        <w:pStyle w:val="TextoNormal"/>
      </w:pPr>
    </w:p>
    <w:p w14:paraId="577871FA" w14:textId="77777777" w:rsidR="00A8138F" w:rsidRDefault="00A8138F" w:rsidP="00A8138F">
      <w:pPr>
        <w:pStyle w:val="TextoNormal"/>
      </w:pPr>
      <w:r>
        <w:t>En la demanda se afirma que el art. 2 a) de la Ley infringe el art. 15 CE, en relación con los arts. 2 y 3 CEDH, porque estos preceptos exigen una protección penal de la vida y la integridad física de las personas frente a los delitos que atenten contra tales bienes, cualquiera que sea su grado de ejecución, incluso aunque no se haya producido el resultado lesivo.</w:t>
      </w:r>
    </w:p>
    <w:p w14:paraId="5D4DA26D" w14:textId="77777777" w:rsidR="00A8138F" w:rsidRDefault="00A8138F" w:rsidP="00A8138F">
      <w:pPr>
        <w:pStyle w:val="TextoNormal"/>
      </w:pPr>
    </w:p>
    <w:p w14:paraId="49914C0B" w14:textId="77777777" w:rsidR="00A8138F" w:rsidRDefault="00A8138F" w:rsidP="00A8138F">
      <w:pPr>
        <w:pStyle w:val="TextoNormal"/>
      </w:pPr>
      <w:r>
        <w:t>El abogado del Estado rebate el motivo argumentando que lo que se plantea es una mera censura de la calidad técnica de la norma, lo que no compete al Tribunal Constitucional revisar, y porque cabe interpretar la norma impugnada, en conexión con el art. 1 de la Ley de amnistía, en el sentido de que quedan excluidas de la amnistía las formas imperfectas de ejecución porque también ellas generan la correspondiente responsabilidad penal.</w:t>
      </w:r>
    </w:p>
    <w:p w14:paraId="500ECE59" w14:textId="77777777" w:rsidR="00A8138F" w:rsidRDefault="00A8138F" w:rsidP="00A8138F">
      <w:pPr>
        <w:pStyle w:val="TextoNormal"/>
      </w:pPr>
    </w:p>
    <w:p w14:paraId="53864AFB" w14:textId="77777777" w:rsidR="00A8138F" w:rsidRDefault="00A8138F" w:rsidP="00A8138F">
      <w:pPr>
        <w:pStyle w:val="TextoNormal"/>
      </w:pPr>
      <w:r>
        <w:t xml:space="preserve">14.1.2. </w:t>
      </w:r>
      <w:r w:rsidRPr="00A8138F">
        <w:rPr>
          <w:i/>
        </w:rPr>
        <w:t>Doctrina constitucional</w:t>
      </w:r>
    </w:p>
    <w:p w14:paraId="6BC56E54" w14:textId="77777777" w:rsidR="00A8138F" w:rsidRDefault="00A8138F" w:rsidP="00A8138F">
      <w:pPr>
        <w:pStyle w:val="TextoNormal"/>
      </w:pPr>
    </w:p>
    <w:p w14:paraId="5B83ED29" w14:textId="77777777" w:rsidR="00A8138F" w:rsidRDefault="00A8138F" w:rsidP="00A8138F">
      <w:pPr>
        <w:pStyle w:val="TextoNormal"/>
      </w:pPr>
      <w:r>
        <w:t>El art. 15 CE establece que “[t]odos tienen derecho a la vida”, lo que supone un mandato dirigido al Estado de crear un marco legal de protección de la vida humana que, dado su carácter fundamental en el sistema constitucional, debe incluir también, como última garantía, el recurso a las normas penales. Este mandato no es, sin embargo, indeclinable: el legislador puede ceder en la defensa penal de la vida en caso de conflicto con otros derechos fundamentales, bienes y principios constitucionales de singular relevancia, pues la vida no posee un valor absoluto y debe coexistir con aquellos derechos, bienes y principios. En la interpretación del art. 15 CE este tribunal ha admitido que la ley pueda recurrir a diversas técnicas de exoneración de conductas que afectan a la vida humana tras tomar en consideración situaciones características de conflicto que afectan de manera específica a un ámbito determinado de prohibiciones penales. El juicio de ponderación efectuado por el legislador queda entonces sometido al escrutinio último de este tribunal, que debe atenerse en su análisis a un patrón estrictamente jurídico, depurado de consideraciones de política criminal, dado el amplio margen de apreciación que corresponde al legislador (</w:t>
      </w:r>
      <w:r w:rsidRPr="00A8138F">
        <w:rPr>
          <w:i/>
        </w:rPr>
        <w:t>vid.</w:t>
      </w:r>
      <w:r>
        <w:t xml:space="preserve"> SSTC 53/1985, de 11 de abril, FFJJ 3 y 7; 212/1996, de 19 de diciembre, FJ 3; 44/2023, de 9 de mayo, FFJJ 4 y 5, y 92/2024, de 18 de junio, FJ 2; asimismo, STC 19/2023, de 22 de marzo, FJ 4).</w:t>
      </w:r>
    </w:p>
    <w:p w14:paraId="5576E2CC" w14:textId="77777777" w:rsidR="00A8138F" w:rsidRDefault="00A8138F" w:rsidP="00A8138F">
      <w:pPr>
        <w:pStyle w:val="TextoNormal"/>
      </w:pPr>
    </w:p>
    <w:p w14:paraId="285D3433" w14:textId="77777777" w:rsidR="00A8138F" w:rsidRDefault="00A8138F" w:rsidP="00A8138F">
      <w:pPr>
        <w:pStyle w:val="TextoNormal"/>
      </w:pPr>
      <w:r>
        <w:t xml:space="preserve">El marco europeo de garantía de la vida y la dignidad personal, conformado por los arts. 2 y 3 CEDH, impone con carácter general a los Estados miembros obligaciones positivas de protección respecto de las personas que se hallan bajo su jurisdicción. Se exige, por ejemplo, defenderlas frente a actos que atenten o pongan en peligro su vida (STEDH de 28 de octubre de 1998, asunto </w:t>
      </w:r>
      <w:r w:rsidRPr="00A8138F">
        <w:rPr>
          <w:i/>
        </w:rPr>
        <w:t>Osman c. Reino Unido</w:t>
      </w:r>
      <w:r>
        <w:t xml:space="preserve">, § 115). Y se incide, con especial vigor, en el deber de emprender una persecución criminal eficaz de los ataques perpetrados por sus agentes que hayan resultado en muerte o en el padecimiento de torturas o cualquier clase de penas o tratos inhumanos o degradantes. La obligación de perseguir diligentemente estos hechos no solo ha de verse cumplida en la fase de investigación, sino que se extiende a la ejecución de los pronunciamientos penales condenatorios que se hubieran dictado en el procedimiento, resaltando el Tribunal Europeo de Derechos Humanos que una excesiva lenidad en la ejecución de las penas impuestas resultante de la aplicación de medidas de gracia y beneficios penales y penitenciarios, puede constituir una vulneración de la vertiente procesal de estos derechos en la medida en que el Estado invalida el efecto reparador y disuasorio de la condena, al tiempo que transmite a la sociedad un mensaje inaceptable de connivencia o tolerancia con los excesos cometidos por sus agentes (SSTEDH de 26 de abril de 2011, asunto </w:t>
      </w:r>
      <w:r w:rsidRPr="00A8138F">
        <w:rPr>
          <w:i/>
        </w:rPr>
        <w:t>Enukidze y Girgvliani c. Georgia</w:t>
      </w:r>
      <w:r>
        <w:t xml:space="preserve">, § 273 a 275, y de 8 de abril de 2008, asunto </w:t>
      </w:r>
      <w:r w:rsidRPr="00A8138F">
        <w:rPr>
          <w:i/>
        </w:rPr>
        <w:t>Alí y Ayşe Duran c. Turquía</w:t>
      </w:r>
      <w:r>
        <w:t xml:space="preserve">, § 68 a 72, así como los precedentes citados en ambas). Lo que no empece, por otra parte, para que semejantes deberes de protección se activen asimismo en caso de que el peligro contra la vida proceda de la acción de un particular (STEDH de 24 de marzo de 2011, asunto </w:t>
      </w:r>
      <w:r w:rsidRPr="00A8138F">
        <w:rPr>
          <w:i/>
        </w:rPr>
        <w:t>Giuliani y Gaggio c. Italia</w:t>
      </w:r>
      <w:r>
        <w:t xml:space="preserve">, § 244 a 251) o en el marco de un ataque terrorista (STEDH de 13 de abril de 2017, asunto </w:t>
      </w:r>
      <w:r w:rsidRPr="00A8138F">
        <w:rPr>
          <w:i/>
        </w:rPr>
        <w:t>Tagayeva y otros c. Rusia</w:t>
      </w:r>
      <w:r>
        <w:t>, § 562 y ss.).</w:t>
      </w:r>
    </w:p>
    <w:p w14:paraId="45EA0351" w14:textId="77777777" w:rsidR="00A8138F" w:rsidRDefault="00A8138F" w:rsidP="00A8138F">
      <w:pPr>
        <w:pStyle w:val="TextoNormal"/>
      </w:pPr>
    </w:p>
    <w:p w14:paraId="39668ADF" w14:textId="77777777" w:rsidR="00A8138F" w:rsidRDefault="00A8138F" w:rsidP="00A8138F">
      <w:pPr>
        <w:pStyle w:val="TextoNormal"/>
      </w:pPr>
      <w:r>
        <w:t>La doctrina europea de derechos humanos no ha interpretado, sin embargo, las necesidades de protección de la vida y la dignidad humana derivadas de los arts. 2 y 3 CEDH en el sentido de que conduzcan inexorablemente a la exclusión de toda institución o instrumento de extinción o atenuación de la responsabilidad criminal en la persecución de las conductas punibles que hayan supuesto su vulneración o puesta en peligro.</w:t>
      </w:r>
    </w:p>
    <w:p w14:paraId="13089B6D" w14:textId="77777777" w:rsidR="00A8138F" w:rsidRDefault="00A8138F" w:rsidP="00A8138F">
      <w:pPr>
        <w:pStyle w:val="TextoNormal"/>
      </w:pPr>
    </w:p>
    <w:p w14:paraId="0E947D68" w14:textId="77777777" w:rsidR="00A8138F" w:rsidRDefault="00A8138F" w:rsidP="00A8138F">
      <w:pPr>
        <w:pStyle w:val="TextoNormal"/>
      </w:pPr>
      <w:r>
        <w:t xml:space="preserve">En el ATC 80/2021, de 15 de septiembre, FJ 6, al recapitular las exigencias impuestas a los Estados en los tratados internacionales de protección de derechos humanos suscritos por nuestro país, se concluyó que ninguno de ellos estipula la imprescriptibilidad de los correspondientes delitos, ni la prohibición de las amnistías. Se constató entonces que “[e]l Tribunal Europeo de Derechos Humanos se ha venido mostrando más flexible que la Corte Interamericana, considerando que las obligaciones positivas y procesales no son siempre incompatibles con decisiones de no acometer procedimientos penales o no condenar (decisión del Tribunal Europeo de Derechos Humanos de 17 de marzo de 2009, asunto </w:t>
      </w:r>
      <w:r w:rsidRPr="00A8138F">
        <w:rPr>
          <w:i/>
        </w:rPr>
        <w:t>Ould Dah c. Francia</w:t>
      </w:r>
      <w:r>
        <w:t xml:space="preserve">). Y, si bien resoluciones más recientes aproximan su posición a la de su homólogo interamericano, tampoco se rechaza en ellas </w:t>
      </w:r>
      <w:r w:rsidRPr="00A8138F">
        <w:rPr>
          <w:i/>
        </w:rPr>
        <w:t>tout court</w:t>
      </w:r>
      <w:r>
        <w:t xml:space="preserve"> la posibilidad de prescripción, amnistía u otras limitaciones o atenuaciones de la respuesta penal (SSTEDH de 27 de mayo de 2014, asunto </w:t>
      </w:r>
      <w:r w:rsidRPr="00A8138F">
        <w:rPr>
          <w:i/>
        </w:rPr>
        <w:t>Marguš c. Croacia</w:t>
      </w:r>
      <w:r>
        <w:t xml:space="preserve">, § 125-138 y 346; y de 17 de septiembre de 2014, asunto </w:t>
      </w:r>
      <w:r w:rsidRPr="00A8138F">
        <w:rPr>
          <w:i/>
        </w:rPr>
        <w:t>Mocanu y otros c. Rumanía</w:t>
      </w:r>
      <w:r>
        <w:t>, § 316-319 y 326)”.</w:t>
      </w:r>
    </w:p>
    <w:p w14:paraId="7F2BE776" w14:textId="77777777" w:rsidR="00A8138F" w:rsidRDefault="00A8138F" w:rsidP="00A8138F">
      <w:pPr>
        <w:pStyle w:val="TextoNormal"/>
      </w:pPr>
    </w:p>
    <w:p w14:paraId="208A0DB5" w14:textId="77777777" w:rsidR="00A8138F" w:rsidRDefault="00A8138F" w:rsidP="00A8138F">
      <w:pPr>
        <w:pStyle w:val="TextoNormal"/>
      </w:pPr>
      <w:r>
        <w:t>Se ha reconocido, asimismo, que razones relacionadas con la consecución de un interés general pueden ser suficientes para justificar una limitación de la protección dispensada a los bienes y valores garantizados en los arts. 2 y 3 CEDH, en particular la amnistía como medio para resolver un conflicto político, si bien a condición de que se mantenga el equilibrio entre los legítimos intereses del Estado y el interés de los ciudadanos en que el derecho a la vida siga estando protegido por la ley [</w:t>
      </w:r>
      <w:r w:rsidRPr="00A8138F">
        <w:rPr>
          <w:i/>
        </w:rPr>
        <w:t>vid.</w:t>
      </w:r>
      <w:r>
        <w:t xml:space="preserve"> decisión de la Comisión Europea de Derechos Humanos de 2 de septiembre de 1991, asunto </w:t>
      </w:r>
      <w:r w:rsidRPr="00A8138F">
        <w:rPr>
          <w:i/>
        </w:rPr>
        <w:t>Dujardin y otros c. Francia</w:t>
      </w:r>
      <w:r>
        <w:t xml:space="preserve"> (demanda núm. 16734/90)].</w:t>
      </w:r>
    </w:p>
    <w:p w14:paraId="0E3295B8" w14:textId="77777777" w:rsidR="00A8138F" w:rsidRDefault="00A8138F" w:rsidP="00A8138F">
      <w:pPr>
        <w:pStyle w:val="TextoNormal"/>
      </w:pPr>
    </w:p>
    <w:p w14:paraId="1D0738C1" w14:textId="77777777" w:rsidR="00A8138F" w:rsidRDefault="00A8138F" w:rsidP="00A8138F">
      <w:pPr>
        <w:pStyle w:val="TextoNormal"/>
      </w:pPr>
      <w:r>
        <w:t xml:space="preserve">14.1.3. </w:t>
      </w:r>
      <w:r w:rsidRPr="00A8138F">
        <w:rPr>
          <w:i/>
        </w:rPr>
        <w:t>Enjuiciamiento del motivo</w:t>
      </w:r>
    </w:p>
    <w:p w14:paraId="115485B3" w14:textId="77777777" w:rsidR="00A8138F" w:rsidRDefault="00A8138F" w:rsidP="00A8138F">
      <w:pPr>
        <w:pStyle w:val="TextoNormal"/>
      </w:pPr>
    </w:p>
    <w:p w14:paraId="125D8801" w14:textId="77777777" w:rsidR="00A8138F" w:rsidRDefault="00A8138F" w:rsidP="00A8138F">
      <w:pPr>
        <w:pStyle w:val="TextoNormal"/>
      </w:pPr>
      <w:r>
        <w:t>El precepto impugnado establece:</w:t>
      </w:r>
    </w:p>
    <w:p w14:paraId="49F68EFB" w14:textId="77777777" w:rsidR="00A8138F" w:rsidRDefault="00A8138F" w:rsidP="00A8138F">
      <w:pPr>
        <w:pStyle w:val="TextoNormal"/>
      </w:pPr>
    </w:p>
    <w:p w14:paraId="13E95C20" w14:textId="77777777" w:rsidR="00A8138F" w:rsidRDefault="00A8138F" w:rsidP="00A8138F">
      <w:pPr>
        <w:pStyle w:val="TextoNormal"/>
      </w:pPr>
      <w:r>
        <w:t>“Artículo 2. Exclusiones</w:t>
      </w:r>
    </w:p>
    <w:p w14:paraId="175442AA" w14:textId="77777777" w:rsidR="00A8138F" w:rsidRDefault="00A8138F" w:rsidP="00A8138F">
      <w:pPr>
        <w:pStyle w:val="TextoNormal"/>
      </w:pPr>
    </w:p>
    <w:p w14:paraId="68DF9F4F" w14:textId="77777777" w:rsidR="00A8138F" w:rsidRDefault="00A8138F" w:rsidP="00A8138F">
      <w:pPr>
        <w:pStyle w:val="TextoNormal"/>
      </w:pPr>
      <w:r>
        <w:t>En todo caso, quedan excluidos de la aplicación de la amnistía prevista en el artículo 1:</w:t>
      </w:r>
    </w:p>
    <w:p w14:paraId="30A8AA5B" w14:textId="77777777" w:rsidR="00A8138F" w:rsidRDefault="00A8138F" w:rsidP="00A8138F">
      <w:pPr>
        <w:pStyle w:val="TextoNormal"/>
      </w:pPr>
    </w:p>
    <w:p w14:paraId="08C73D8B" w14:textId="77777777" w:rsidR="00A8138F" w:rsidRDefault="00A8138F" w:rsidP="00A8138F">
      <w:pPr>
        <w:pStyle w:val="TextoNormal"/>
      </w:pPr>
      <w:r>
        <w:t>a) Los actos dolosos contra las personas que hubieran producido un resultado de muerte, aborto o lesiones al feto, la pérdida o la inutilidad de un órgano o miembro, la pérdida o inutilidad de un sentido, la impotencia, la esterilidad o una grave deformidad”.</w:t>
      </w:r>
    </w:p>
    <w:p w14:paraId="729F7292" w14:textId="77777777" w:rsidR="00A8138F" w:rsidRDefault="00A8138F" w:rsidP="00A8138F">
      <w:pPr>
        <w:pStyle w:val="TextoNormal"/>
      </w:pPr>
    </w:p>
    <w:p w14:paraId="1D42D697" w14:textId="77777777" w:rsidR="00A8138F" w:rsidRDefault="00A8138F" w:rsidP="00A8138F">
      <w:pPr>
        <w:pStyle w:val="TextoNormal"/>
      </w:pPr>
      <w:r>
        <w:t>El precepto transcrito contiene una previsión normativa que, al delimitar la cláusula de exclusión de las conductas que afectan a los bienes y derechos protegidos en el art. 15 CE, determina que permanezcan dentro de la esfera de lo amnistiable conductas punibles (formas imperfectas de ejecución y resultados lesivos que no revisten una especial gravedad) que incidirían en distinto grado en la esfera de protección de dicho precepto constitucional.</w:t>
      </w:r>
    </w:p>
    <w:p w14:paraId="317D3170" w14:textId="77777777" w:rsidR="00A8138F" w:rsidRDefault="00A8138F" w:rsidP="00A8138F">
      <w:pPr>
        <w:pStyle w:val="TextoNormal"/>
      </w:pPr>
    </w:p>
    <w:p w14:paraId="0AEF2B0C" w14:textId="77777777" w:rsidR="00A8138F" w:rsidRDefault="00A8138F" w:rsidP="00A8138F">
      <w:pPr>
        <w:pStyle w:val="TextoNormal"/>
      </w:pPr>
      <w:r>
        <w:t>Los parlamentarios recurrentes parten de la premisa de que las exigencias de protección emanadas del art. 15 CE constituyen un impedimento insoslayable de la exoneración de cualquier forma o modalidad de ataque a la vida o integridad física o moral de las personas. Sin embargo, no se vislumbra un genuino conflicto entre el precepto impugnado y las exigencias de tutela de la vida y la integridad de las personas emanadas del art. 15 CE en relación con los arts. 2 y 3 CEDH pues, según se ha explicado, no existe ninguna prohibición categórica de aplicar la amnistía a delitos que afecten a tales derechos. A lo sumo, es necesario que se mantenga el equilibrio entre el interés general que el Estado trata de alcanzar con la aplicación de dicha medida y el interés de los ciudadanos en que la ley siga siendo una garantía suficiente de protección de la vida y de la dignidad de las personas.</w:t>
      </w:r>
    </w:p>
    <w:p w14:paraId="519F62C3" w14:textId="77777777" w:rsidR="00A8138F" w:rsidRDefault="00A8138F" w:rsidP="00A8138F">
      <w:pPr>
        <w:pStyle w:val="TextoNormal"/>
      </w:pPr>
    </w:p>
    <w:p w14:paraId="161D6F76" w14:textId="77777777" w:rsidR="00A8138F" w:rsidRDefault="00A8138F" w:rsidP="00A8138F">
      <w:pPr>
        <w:pStyle w:val="TextoNormal"/>
      </w:pPr>
      <w:r>
        <w:t>En la medida en que el art. 2 a) de la Ley de amnistía discierne el tratamiento jurídico que deben recibir las acciones dolosas que desencadenan la muerte de una persona y determinados resultados lesivos en base a un criterio fundado en la gravedad del resultado, no puede afirmarse que sea arbitrario, ni que incurra en un manifiesto desequilibrio al aquilatar la necesidad de defensa de los bienes y valores amparados en el art. 15 CE con los fines perseguidos por la ley.</w:t>
      </w:r>
    </w:p>
    <w:p w14:paraId="644B19C6" w14:textId="77777777" w:rsidR="00A8138F" w:rsidRDefault="00A8138F" w:rsidP="00A8138F">
      <w:pPr>
        <w:pStyle w:val="TextoNormal"/>
      </w:pPr>
    </w:p>
    <w:p w14:paraId="6F741470" w14:textId="77777777" w:rsidR="00A8138F" w:rsidRDefault="00A8138F" w:rsidP="00A8138F">
      <w:pPr>
        <w:pStyle w:val="TextoNormal"/>
      </w:pPr>
      <w:r>
        <w:t>Procede, por ello, desestimar el presente motivo de inconstitucionalidad y declarar que el art. 2 a) de la Ley de amnistía no vulnera el derecho a la vida y a la integridad física y moral de las personas garantizado en el art. 15 CE, en su conexión con los arts. 2 y 3 CEDH.</w:t>
      </w:r>
    </w:p>
    <w:p w14:paraId="01369CFA" w14:textId="77777777" w:rsidR="00A8138F" w:rsidRDefault="00A8138F" w:rsidP="00A8138F">
      <w:pPr>
        <w:pStyle w:val="TextoNormal"/>
      </w:pPr>
    </w:p>
    <w:p w14:paraId="550F51FF" w14:textId="77777777" w:rsidR="00A8138F" w:rsidRDefault="00A8138F" w:rsidP="00A8138F">
      <w:pPr>
        <w:pStyle w:val="TextoNormal"/>
      </w:pPr>
      <w:r>
        <w:t xml:space="preserve">14.2. </w:t>
      </w:r>
      <w:r w:rsidRPr="00A8138F">
        <w:rPr>
          <w:i/>
        </w:rPr>
        <w:t>La alegada vulneración del derecho a la legalidad penal (art. 25.1 CE) en la cláusula de exclusión de los delitos de terrorismo [art. 2 c) de la Ley de amnistía]</w:t>
      </w:r>
    </w:p>
    <w:p w14:paraId="18F7C66C" w14:textId="77777777" w:rsidR="00A8138F" w:rsidRDefault="00A8138F" w:rsidP="00A8138F">
      <w:pPr>
        <w:pStyle w:val="TextoNormal"/>
      </w:pPr>
    </w:p>
    <w:p w14:paraId="0365BFB4" w14:textId="77777777" w:rsidR="00A8138F" w:rsidRDefault="00A8138F" w:rsidP="00A8138F">
      <w:pPr>
        <w:pStyle w:val="TextoNormal"/>
      </w:pPr>
      <w:r>
        <w:t xml:space="preserve">14.2.1. </w:t>
      </w:r>
      <w:r w:rsidRPr="00A8138F">
        <w:rPr>
          <w:i/>
        </w:rPr>
        <w:t>Exposición del motivo y alegaciones de las partes</w:t>
      </w:r>
    </w:p>
    <w:p w14:paraId="24399E04" w14:textId="77777777" w:rsidR="00A8138F" w:rsidRDefault="00A8138F" w:rsidP="00A8138F">
      <w:pPr>
        <w:pStyle w:val="TextoNormal"/>
      </w:pPr>
    </w:p>
    <w:p w14:paraId="1265EA28" w14:textId="77777777" w:rsidR="00A8138F" w:rsidRDefault="00A8138F" w:rsidP="00A8138F">
      <w:pPr>
        <w:pStyle w:val="TextoNormal"/>
      </w:pPr>
      <w:r>
        <w:t xml:space="preserve">Los parlamentarios recurrentes denuncian que el art. 2 c) de la Ley infringe los arts. 25.1 y 17.1 CE por su falta de taxatividad e imprecisión en la determinación de los delitos amnistiables, lo que atribuyen a que, en lugar de referirse a los arts. 573 a 580 </w:t>
      </w:r>
      <w:r w:rsidRPr="00A8138F">
        <w:rPr>
          <w:i/>
        </w:rPr>
        <w:t>bis</w:t>
      </w:r>
      <w:r>
        <w:t xml:space="preserve"> CP, donde se tipifican los delitos de terrorismo, opta por remitir a la Directiva (UE) 2017/541, de 15 de marzo, relativa a la lucha contra el terrorismo. También le reprochan que solo excepciona de la amnistía los delitos consumados, al exigir la doble condición de que el delito esté incluido en la directiva y que además haya “causado” de forma intencionada graves violaciones de los derechos humanos, estableciendo una inaceptable dicotomía entre un terrorismo que sería respetuoso de los derechos humanos, y otro que no lo sería. Argumentan también que la directiva, al imponer a los Estados la obligación de adoptar sanciones penales eficaces, proporcionadas y disuasorias para los delitos definidos en la misma, no sería conciliable con su perdón por medio de la amnistía. Rechazan, asimismo, que se exija que el resultado del delito sea intencionado, porque se excluye así la posibilidad de apreciar el dolo eventual, y finalizan el motivo afirmando que la sanción del terrorismo es necesaria en garantía de los arts. 1.1 y 15 CE y que la amplitud de la amnistía “supone una desprotección de bienes jurídicos esenciales”.</w:t>
      </w:r>
    </w:p>
    <w:p w14:paraId="7C21ACDF" w14:textId="77777777" w:rsidR="00A8138F" w:rsidRDefault="00A8138F" w:rsidP="00A8138F">
      <w:pPr>
        <w:pStyle w:val="TextoNormal"/>
      </w:pPr>
    </w:p>
    <w:p w14:paraId="0379CF2A" w14:textId="77777777" w:rsidR="00A8138F" w:rsidRDefault="00A8138F" w:rsidP="00A8138F">
      <w:pPr>
        <w:pStyle w:val="TextoNormal"/>
      </w:pPr>
      <w:r>
        <w:t>La representación procesal del Senado sostiene que los arts. 10.1, 9.3 y 15 CE impiden al Poder Legislativo exceptuar la norma penal en materia de terrorismo y que la amnistía también afecta a las garantías de la legalidad penal.</w:t>
      </w:r>
    </w:p>
    <w:p w14:paraId="5D0BA187" w14:textId="77777777" w:rsidR="00A8138F" w:rsidRDefault="00A8138F" w:rsidP="00A8138F">
      <w:pPr>
        <w:pStyle w:val="TextoNormal"/>
      </w:pPr>
    </w:p>
    <w:p w14:paraId="66BD463F" w14:textId="77777777" w:rsidR="00A8138F" w:rsidRDefault="00A8138F" w:rsidP="00A8138F">
      <w:pPr>
        <w:pStyle w:val="TextoNormal"/>
      </w:pPr>
      <w:r>
        <w:t>El abogado del Estado rebate el motivo argumentando que las normas del Derecho de la Unión Europea carecen de rango y fuerza constitucionales y que el art. 2 c) de la ley controvertida es conforme con la directiva de terrorismo y con el Convenio europeo de derechos humanos, destacando que, según la opinión de la Comisión de Venecia, las amnistías solo son compatibles con las normas internacionales si se excluyen de su ámbito de aplicación las vulneraciones graves de derechos humanos, que es precisamente lo que ha hecho la norma impugnada.</w:t>
      </w:r>
    </w:p>
    <w:p w14:paraId="673BF30D" w14:textId="77777777" w:rsidR="00A8138F" w:rsidRDefault="00A8138F" w:rsidP="00A8138F">
      <w:pPr>
        <w:pStyle w:val="TextoNormal"/>
      </w:pPr>
    </w:p>
    <w:p w14:paraId="44E36C31" w14:textId="77777777" w:rsidR="00A8138F" w:rsidRDefault="00A8138F" w:rsidP="00A8138F">
      <w:pPr>
        <w:pStyle w:val="TextoNormal"/>
      </w:pPr>
      <w:r>
        <w:t>14.2.2</w:t>
      </w:r>
      <w:r w:rsidRPr="00A8138F">
        <w:rPr>
          <w:i/>
        </w:rPr>
        <w:t>. Enjuiciamiento del moti</w:t>
      </w:r>
      <w:r>
        <w:t>vo</w:t>
      </w:r>
    </w:p>
    <w:p w14:paraId="03072A01" w14:textId="77777777" w:rsidR="00A8138F" w:rsidRDefault="00A8138F" w:rsidP="00A8138F">
      <w:pPr>
        <w:pStyle w:val="TextoNormal"/>
      </w:pPr>
    </w:p>
    <w:p w14:paraId="5A05BDE1" w14:textId="77777777" w:rsidR="00A8138F" w:rsidRDefault="00A8138F" w:rsidP="00A8138F">
      <w:pPr>
        <w:pStyle w:val="TextoNormal"/>
      </w:pPr>
      <w:r>
        <w:t>El art. 2 c) de la Ley de amnistía establece lo siguiente:</w:t>
      </w:r>
    </w:p>
    <w:p w14:paraId="54056145" w14:textId="77777777" w:rsidR="00A8138F" w:rsidRDefault="00A8138F" w:rsidP="00A8138F">
      <w:pPr>
        <w:pStyle w:val="TextoNormal"/>
      </w:pPr>
    </w:p>
    <w:p w14:paraId="36CB29D6" w14:textId="77777777" w:rsidR="00A8138F" w:rsidRDefault="00A8138F" w:rsidP="00A8138F">
      <w:pPr>
        <w:pStyle w:val="TextoNormal"/>
      </w:pPr>
      <w:r>
        <w:t>“Artículo 2. Exclusiones</w:t>
      </w:r>
    </w:p>
    <w:p w14:paraId="400A6B32" w14:textId="77777777" w:rsidR="00A8138F" w:rsidRDefault="00A8138F" w:rsidP="00A8138F">
      <w:pPr>
        <w:pStyle w:val="TextoNormal"/>
      </w:pPr>
    </w:p>
    <w:p w14:paraId="45B66723" w14:textId="77777777" w:rsidR="00A8138F" w:rsidRDefault="00A8138F" w:rsidP="00A8138F">
      <w:pPr>
        <w:pStyle w:val="TextoNormal"/>
      </w:pPr>
      <w:r>
        <w:t>En todo caso, quedan excluidos de la aplicación de la amnistía prevista en el artículo 1:</w:t>
      </w:r>
    </w:p>
    <w:p w14:paraId="6021E946" w14:textId="77777777" w:rsidR="00A8138F" w:rsidRDefault="00A8138F" w:rsidP="00A8138F">
      <w:pPr>
        <w:pStyle w:val="TextoNormal"/>
      </w:pPr>
    </w:p>
    <w:p w14:paraId="4534B3C9" w14:textId="77777777" w:rsidR="00A8138F" w:rsidRDefault="00A8138F" w:rsidP="00A8138F">
      <w:pPr>
        <w:pStyle w:val="TextoNormal"/>
      </w:pPr>
      <w:r>
        <w:t>[…]</w:t>
      </w:r>
    </w:p>
    <w:p w14:paraId="28D06DB0" w14:textId="77777777" w:rsidR="00A8138F" w:rsidRDefault="00A8138F" w:rsidP="00A8138F">
      <w:pPr>
        <w:pStyle w:val="TextoNormal"/>
      </w:pPr>
    </w:p>
    <w:p w14:paraId="3E7BDA51" w14:textId="77777777" w:rsidR="00A8138F" w:rsidRDefault="00A8138F" w:rsidP="00A8138F">
      <w:pPr>
        <w:pStyle w:val="TextoNormal"/>
      </w:pPr>
      <w:r>
        <w:t>c) Los actos que por su finalidad puedan ser calificados como terrorismo, según la Directiva (UE) 2017/541 del Parlamento Europeo y del Consejo, de 15 de marzo de 2017, relativa a la lucha contra el terrorismo y, a su vez, hayan causado de forma intencionada graves violaciones de derechos humanos, en particular las reguladas en los artículos 2 y 3 del Convenio europeo para la protección de los derechos humanos y de las libertades fundamentales, y en el dDerecho internacional humanitario”.</w:t>
      </w:r>
    </w:p>
    <w:p w14:paraId="4D117F13" w14:textId="77777777" w:rsidR="00A8138F" w:rsidRDefault="00A8138F" w:rsidP="00A8138F">
      <w:pPr>
        <w:pStyle w:val="TextoNormal"/>
      </w:pPr>
    </w:p>
    <w:p w14:paraId="7FC32889" w14:textId="77777777" w:rsidR="00A8138F" w:rsidRDefault="00A8138F" w:rsidP="00A8138F">
      <w:pPr>
        <w:pStyle w:val="TextoNormal"/>
      </w:pPr>
      <w:r>
        <w:t>El motivo no puede ser acogido por las siguientes razones:</w:t>
      </w:r>
    </w:p>
    <w:p w14:paraId="2CB99A61" w14:textId="77777777" w:rsidR="00A8138F" w:rsidRDefault="00A8138F" w:rsidP="00A8138F">
      <w:pPr>
        <w:pStyle w:val="TextoNormal"/>
      </w:pPr>
    </w:p>
    <w:p w14:paraId="4C014DD6" w14:textId="77777777" w:rsidR="00A8138F" w:rsidRDefault="00A8138F" w:rsidP="00A8138F">
      <w:pPr>
        <w:pStyle w:val="TextoNormal"/>
      </w:pPr>
      <w:r>
        <w:t xml:space="preserve">a) En primer lugar, los parlamentarios argumentan que el precepto infringe el art. 25.1 CE, en concreto la exigencia de taxatividad de la ley penal, porque no delimita con precisión y certeza los delitos de terrorismo que quedan excluidos de la amnistía, dado que la cláusula de exclusión recogida en el mismo remite a la Directiva (UE) 2017/541, de 15 de marzo, relativa a la lucha contra el terrorismo, en lugar de a los arts. 573 a 580 </w:t>
      </w:r>
      <w:r w:rsidRPr="00A8138F">
        <w:rPr>
          <w:i/>
        </w:rPr>
        <w:t>bis</w:t>
      </w:r>
      <w:r>
        <w:t xml:space="preserve"> CP, que son los preceptos que determinan en nuestro ordenamiento penal las acciones y omisiones sancionables como delito de terrorismo.</w:t>
      </w:r>
    </w:p>
    <w:p w14:paraId="3EAA51F8" w14:textId="77777777" w:rsidR="00A8138F" w:rsidRDefault="00A8138F" w:rsidP="00A8138F">
      <w:pPr>
        <w:pStyle w:val="TextoNormal"/>
      </w:pPr>
    </w:p>
    <w:p w14:paraId="0DF27E22" w14:textId="77777777" w:rsidR="00A8138F" w:rsidRDefault="00A8138F" w:rsidP="00A8138F">
      <w:pPr>
        <w:pStyle w:val="TextoNormal"/>
      </w:pPr>
      <w:r>
        <w:t>Ya en el fundamento jurídico 5.3.2 de esta sentencia se ha explicado que el parámetro de constitucionalidad de la Ley de amnistía no puede derivarse del mandato de taxatividad del art. 25.1 CE, lo que no obsta para que el reproche de falta de taxatividad que enarbolan los demandantes pueda ser reconducido al más amplio principio de seguridad jurídica (art. 9.3 CE), que lo que veda es el uso en una norma jurídica de términos que puedan generar en el ciudadano, a la hora de planificar su conducta, y en los poderes públicos, a la hora de interpretarla y aplicarla, dudas irresolubles sobre su ámbito de aplicación.</w:t>
      </w:r>
    </w:p>
    <w:p w14:paraId="1277F4F3" w14:textId="77777777" w:rsidR="00A8138F" w:rsidRDefault="00A8138F" w:rsidP="00A8138F">
      <w:pPr>
        <w:pStyle w:val="TextoNormal"/>
      </w:pPr>
    </w:p>
    <w:p w14:paraId="0918911C" w14:textId="77777777" w:rsidR="00A8138F" w:rsidRDefault="00A8138F" w:rsidP="00A8138F">
      <w:pPr>
        <w:pStyle w:val="TextoNormal"/>
      </w:pPr>
      <w:r>
        <w:t>Una vez reconducido el motivo de impugnación, el mismo debe ser desestimado, pues ninguna quiebra a la seguridad jurídica se produce porque el art. 2 c) de la Ley de amnistía efectúe una remisión directa a la mencionada Directiva (UE) 2017/541, pues esta es la disposición comunitaria que precisamente armoniza en el espacio de la Unión Europea la definición de los delitos de terrorismo. Tal remisión en modo alguno dificulta ni hace imposible para el ciudadano ni para los órganos jurisdiccionales la determinación de las conductas que deban ser calificadas como terrorismo con arreglo al Derecho de la Unión Europea. Además, como reconocen los recurrentes, la directiva de referencia ha sido objeto de trasposición en nuestro Código penal en virtud de las reformas operadas por la Ley Orgánica 2/2015, de 30 de marzo, y la Ley Orgánica 1/2019, de 20 de febrero.</w:t>
      </w:r>
    </w:p>
    <w:p w14:paraId="6827E147" w14:textId="77777777" w:rsidR="00A8138F" w:rsidRDefault="00A8138F" w:rsidP="00A8138F">
      <w:pPr>
        <w:pStyle w:val="TextoNormal"/>
      </w:pPr>
    </w:p>
    <w:p w14:paraId="274FE986" w14:textId="77777777" w:rsidR="00A8138F" w:rsidRDefault="00A8138F" w:rsidP="00A8138F">
      <w:pPr>
        <w:pStyle w:val="TextoNormal"/>
      </w:pPr>
      <w:r>
        <w:t>A ello cabría añadir que, como indica el preámbulo de la Ley de amnistía, la referencia expresa y directa a la Directiva (UE) 2017/541 responde a la voluntad del legislador nacional de cohonestar el ámbito de aplicación de la Ley con el Derecho de la Unión. Como expresamente se indica, la norma pretende reflejar el “compromiso con la protección de los derechos fundamentales, equilibrando la amnistía con el respeto por los derechos humanos y los compromisos internacionales de España”.</w:t>
      </w:r>
    </w:p>
    <w:p w14:paraId="0879BD2E" w14:textId="77777777" w:rsidR="00A8138F" w:rsidRDefault="00A8138F" w:rsidP="00A8138F">
      <w:pPr>
        <w:pStyle w:val="TextoNormal"/>
      </w:pPr>
    </w:p>
    <w:p w14:paraId="2A24C1AC" w14:textId="77777777" w:rsidR="00A8138F" w:rsidRDefault="00A8138F" w:rsidP="00A8138F">
      <w:pPr>
        <w:pStyle w:val="TextoNormal"/>
      </w:pPr>
      <w:r>
        <w:t>Por todo ello, este tribunal declara que el art. 2 c) de la Ley de amnistía no vulnera los arts. 25.1 CE, en su vertiente material de exigencia de taxatividad de la ley penal, y 9.3 CE, que proclama el principio de seguridad jurídica.</w:t>
      </w:r>
    </w:p>
    <w:p w14:paraId="6A6DFF84" w14:textId="77777777" w:rsidR="00A8138F" w:rsidRDefault="00A8138F" w:rsidP="00A8138F">
      <w:pPr>
        <w:pStyle w:val="TextoNormal"/>
      </w:pPr>
    </w:p>
    <w:p w14:paraId="68C25DD0" w14:textId="77777777" w:rsidR="00A8138F" w:rsidRDefault="00A8138F" w:rsidP="00A8138F">
      <w:pPr>
        <w:pStyle w:val="TextoNormal"/>
      </w:pPr>
      <w:r>
        <w:t>b) En segundo lugar, la demanda introduce un giro argumental cuando, a continuación, funda la petición de declaración de inconstitucionalidad del art. 2 c) de la Ley de amnistía en que el precepto no respeta el contenido y finalidad de la Directiva de lucha contra el terrorismo; pues, según alega, distingue entre uno que atenta contra los derechos humanos de otro que no y de esta manera expulsa de la amnistía todas las conductas que, según la directiva, deben ser tipificadas como delito y sancionadas de forma eficaz y proporcionada.</w:t>
      </w:r>
    </w:p>
    <w:p w14:paraId="273E3E85" w14:textId="77777777" w:rsidR="00A8138F" w:rsidRDefault="00A8138F" w:rsidP="00A8138F">
      <w:pPr>
        <w:pStyle w:val="TextoNormal"/>
      </w:pPr>
    </w:p>
    <w:p w14:paraId="66117DA6" w14:textId="77777777" w:rsidR="00A8138F" w:rsidRDefault="00A8138F" w:rsidP="00A8138F">
      <w:pPr>
        <w:pStyle w:val="TextoNormal"/>
      </w:pPr>
      <w:r>
        <w:t>En este punto, en relación con el Derecho de la Unión Europea, este tribunal ha afirmado en reiteradas ocasiones que ni el fenómeno de la integración europea, ni el art. 93 CE a través del que esta se instrumenta, ni el principio de primacía del Derecho de la Unión que rige las relaciones entre ambos ordenamientos, han dotado a las normas del Derecho de la Unión Europea, originario o derivado, “de rango y fuerza constitucionales”, aunque corresponda a este tribunal velar por el respeto del principio de primacía del Derecho de la Unión Europea cuando exista una interpretación auténtica efectuada por el propio Tribunal de Justicia de la Unión Europea [SSTC 215/2014, de 18 de diciembre, FJ 3 a), y 75/2017, de 19 de junio, FJ 2].</w:t>
      </w:r>
    </w:p>
    <w:p w14:paraId="652A08CA" w14:textId="77777777" w:rsidR="00A8138F" w:rsidRDefault="00A8138F" w:rsidP="00A8138F">
      <w:pPr>
        <w:pStyle w:val="TextoNormal"/>
      </w:pPr>
    </w:p>
    <w:p w14:paraId="3F9CB785" w14:textId="77777777" w:rsidR="00A8138F" w:rsidRDefault="00A8138F" w:rsidP="00A8138F">
      <w:pPr>
        <w:pStyle w:val="TextoNormal"/>
      </w:pPr>
      <w:r>
        <w:t>A la luz de esta doctrina, el presente fundamento impugnatorio debe ser desestimado, porque en el mismo se nos insta a utilizar como parámetro de inconstitucionalidad de la ley su correspondencia con una norma del Derecho de la Unión Europea, lo que resulta improcedente.</w:t>
      </w:r>
    </w:p>
    <w:p w14:paraId="0022FA9B" w14:textId="77777777" w:rsidR="00A8138F" w:rsidRDefault="00A8138F" w:rsidP="00A8138F">
      <w:pPr>
        <w:pStyle w:val="TextoNormal"/>
      </w:pPr>
    </w:p>
    <w:p w14:paraId="7C69EAFD" w14:textId="77777777" w:rsidR="00A8138F" w:rsidRDefault="00A8138F" w:rsidP="00A8138F">
      <w:pPr>
        <w:pStyle w:val="TextoNormal"/>
      </w:pPr>
      <w:r>
        <w:t>c) No obstante lo anterior, la queja relativa a la distinción entre un terrorismo que atenta contra los derechos humanos y otro que no y la vaga alusión a la posible vulneración del art. 15 CE, que en ello pretende residenciarse este fundamento impugnatorio, debe dirimirse a partir de una lectura completa del art. 2 de la Ley de amnistía, que incorpora la cláusula de la letra a), determinante de la exclusión del ámbito aplicativo de la amnistía de toda conducta que produjera la muerte de una persona o alguna de las lesiones cualificadas enumeradas en dicho precepto. Siendo esta cláusula la que afecta directamente a los derechos y valores constitucionales consagrados en el art. 15 CE, es preciso remitirse a lo ya razonado en el fundamento jurídico 14.1.3 de esta resolución, en el que se ha descartado que el art. 2 a) de la Ley incurra en un déficit de protección inaceptable en términos constitucionales.</w:t>
      </w:r>
    </w:p>
    <w:p w14:paraId="7FD581B2" w14:textId="77777777" w:rsidR="00A8138F" w:rsidRDefault="00A8138F" w:rsidP="00A8138F">
      <w:pPr>
        <w:pStyle w:val="TextoNormal"/>
      </w:pPr>
    </w:p>
    <w:p w14:paraId="633C7317" w14:textId="77777777" w:rsidR="00A8138F" w:rsidRDefault="00A8138F" w:rsidP="00A8138F">
      <w:pPr>
        <w:pStyle w:val="TextoNormal"/>
      </w:pPr>
      <w:r>
        <w:t xml:space="preserve">14.3. </w:t>
      </w:r>
      <w:r w:rsidRPr="00A8138F">
        <w:rPr>
          <w:i/>
        </w:rPr>
        <w:t>La no exclusión de los delitos de odio por razón de ideología [art. 2 d) de la Ley de amnistía]</w:t>
      </w:r>
    </w:p>
    <w:p w14:paraId="34CA69A5" w14:textId="77777777" w:rsidR="00A8138F" w:rsidRDefault="00A8138F" w:rsidP="00A8138F">
      <w:pPr>
        <w:pStyle w:val="TextoNormal"/>
      </w:pPr>
    </w:p>
    <w:p w14:paraId="4542A042" w14:textId="77777777" w:rsidR="00A8138F" w:rsidRDefault="00A8138F" w:rsidP="00A8138F">
      <w:pPr>
        <w:pStyle w:val="TextoNormal"/>
      </w:pPr>
      <w:r>
        <w:t>14.3.1</w:t>
      </w:r>
      <w:r w:rsidRPr="00A8138F">
        <w:rPr>
          <w:i/>
        </w:rPr>
        <w:t>. Exposición del motivo y alegaciones de las part</w:t>
      </w:r>
      <w:r>
        <w:t>es</w:t>
      </w:r>
    </w:p>
    <w:p w14:paraId="45791AC0" w14:textId="77777777" w:rsidR="00A8138F" w:rsidRDefault="00A8138F" w:rsidP="00A8138F">
      <w:pPr>
        <w:pStyle w:val="TextoNormal"/>
      </w:pPr>
    </w:p>
    <w:p w14:paraId="0BE12E0D" w14:textId="77777777" w:rsidR="00A8138F" w:rsidRDefault="00A8138F" w:rsidP="00A8138F">
      <w:pPr>
        <w:pStyle w:val="TextoNormal"/>
      </w:pPr>
      <w:r>
        <w:t>Los recurrentes explican que el art. 2 d) de la Ley excluye de la amnistía los distintos supuestos determinantes del delito de odio del art. 510 CP o de la agravante del art. 22.4 CP, con la concreta salvedad de los delitos cometidos con una motivación discriminatoria basada en la ideología, que sí aparece expresamente contemplada en los citados preceptos de referencia. Esto, por ser injustificado, vulnera el art. 9.3 CE. Además, entienden, supone una diferenciación en el grado de protección de las víctimas que “infringe el artículo 14 CE y el artículo 24 CE por discriminar, dejando desprotegida a una tipología de víctimas de delito de odio frente a otras a las que sí se otorga protección penal”.</w:t>
      </w:r>
    </w:p>
    <w:p w14:paraId="037CE34B" w14:textId="77777777" w:rsidR="00A8138F" w:rsidRDefault="00A8138F" w:rsidP="00A8138F">
      <w:pPr>
        <w:pStyle w:val="TextoNormal"/>
      </w:pPr>
    </w:p>
    <w:p w14:paraId="4FEEC10F" w14:textId="77777777" w:rsidR="00A8138F" w:rsidRDefault="00A8138F" w:rsidP="00A8138F">
      <w:pPr>
        <w:pStyle w:val="TextoNormal"/>
      </w:pPr>
      <w:r>
        <w:t>Por su parte, y sobre este motivo de impugnación, el Senado reitera en este punto sus alegaciones generales en relación con el carácter discriminatorio, por razón ideológica, del móvil exoneratorio de esta amnistía.</w:t>
      </w:r>
    </w:p>
    <w:p w14:paraId="31793ADC" w14:textId="77777777" w:rsidR="00A8138F" w:rsidRDefault="00A8138F" w:rsidP="00A8138F">
      <w:pPr>
        <w:pStyle w:val="TextoNormal"/>
      </w:pPr>
    </w:p>
    <w:p w14:paraId="249E8734" w14:textId="77777777" w:rsidR="00A8138F" w:rsidRDefault="00A8138F" w:rsidP="00A8138F">
      <w:pPr>
        <w:pStyle w:val="TextoNormal"/>
      </w:pPr>
      <w:r>
        <w:t>Para el abogado del Estado, los recurrentes están planteando un supuesto de inconstitucionalidad por omisión, sin que se den los requisitos para poder apreciarla porque la Constitución no impone en este punto el dictado de norma alguna (cita en este punto las SSTC 87/1989, de 11 de mayo, FJ 2; 159/2011, de 19 de octubre, FJ 5, y 139/2016, de 21 de julio, FJ 10). Afirma no entender el alcance de las alegaciones en esta impugnación, toda vez que la finalidad del art. 2 de la Ley de amnistía es, precisamente, excluir del ámbito de aplicación de la amnistía ciertos actos tipificados como delictivos, por su entidad.</w:t>
      </w:r>
    </w:p>
    <w:p w14:paraId="02604A6C" w14:textId="77777777" w:rsidR="00A8138F" w:rsidRDefault="00A8138F" w:rsidP="00A8138F">
      <w:pPr>
        <w:pStyle w:val="TextoNormal"/>
      </w:pPr>
    </w:p>
    <w:p w14:paraId="6ACFB05F" w14:textId="77777777" w:rsidR="00A8138F" w:rsidRDefault="00A8138F" w:rsidP="00A8138F">
      <w:pPr>
        <w:pStyle w:val="TextoNormal"/>
      </w:pPr>
      <w:r>
        <w:t>14</w:t>
      </w:r>
      <w:r w:rsidRPr="00A8138F">
        <w:rPr>
          <w:i/>
        </w:rPr>
        <w:t xml:space="preserve">.3.2. Delimitación del </w:t>
      </w:r>
      <w:r>
        <w:t>objeto</w:t>
      </w:r>
    </w:p>
    <w:p w14:paraId="7FE5266F" w14:textId="77777777" w:rsidR="00A8138F" w:rsidRDefault="00A8138F" w:rsidP="00A8138F">
      <w:pPr>
        <w:pStyle w:val="TextoNormal"/>
      </w:pPr>
    </w:p>
    <w:p w14:paraId="4E065010" w14:textId="77777777" w:rsidR="00A8138F" w:rsidRDefault="00A8138F" w:rsidP="00A8138F">
      <w:pPr>
        <w:pStyle w:val="TextoNormal"/>
      </w:pPr>
      <w:r>
        <w:t>El precepto impugnado señala:</w:t>
      </w:r>
    </w:p>
    <w:p w14:paraId="4D6DBE17" w14:textId="77777777" w:rsidR="00A8138F" w:rsidRDefault="00A8138F" w:rsidP="00A8138F">
      <w:pPr>
        <w:pStyle w:val="TextoNormal"/>
      </w:pPr>
    </w:p>
    <w:p w14:paraId="70F6D475" w14:textId="77777777" w:rsidR="00A8138F" w:rsidRDefault="00A8138F" w:rsidP="00A8138F">
      <w:pPr>
        <w:pStyle w:val="TextoNormal"/>
      </w:pPr>
      <w:r>
        <w:t>“Artículo 2. Exclusiones</w:t>
      </w:r>
    </w:p>
    <w:p w14:paraId="156C7154" w14:textId="77777777" w:rsidR="00A8138F" w:rsidRDefault="00A8138F" w:rsidP="00A8138F">
      <w:pPr>
        <w:pStyle w:val="TextoNormal"/>
      </w:pPr>
    </w:p>
    <w:p w14:paraId="2CF53C40" w14:textId="77777777" w:rsidR="00A8138F" w:rsidRDefault="00A8138F" w:rsidP="00A8138F">
      <w:pPr>
        <w:pStyle w:val="TextoNormal"/>
      </w:pPr>
      <w:r>
        <w:t xml:space="preserve">En todo caso, quedan excluidos de la aplicación de la amnistía prevista en el artículo 1: </w:t>
      </w:r>
    </w:p>
    <w:p w14:paraId="604F0125" w14:textId="77777777" w:rsidR="00A8138F" w:rsidRDefault="00A8138F" w:rsidP="00A8138F">
      <w:pPr>
        <w:pStyle w:val="TextoNormal"/>
      </w:pPr>
    </w:p>
    <w:p w14:paraId="5E242355" w14:textId="77777777" w:rsidR="00A8138F" w:rsidRDefault="00A8138F" w:rsidP="00A8138F">
      <w:pPr>
        <w:pStyle w:val="TextoNormal"/>
      </w:pPr>
      <w:r>
        <w:t>[…]</w:t>
      </w:r>
    </w:p>
    <w:p w14:paraId="78891400" w14:textId="77777777" w:rsidR="00A8138F" w:rsidRDefault="00A8138F" w:rsidP="00A8138F">
      <w:pPr>
        <w:pStyle w:val="TextoNormal"/>
      </w:pPr>
    </w:p>
    <w:p w14:paraId="4989C119" w14:textId="77777777" w:rsidR="00A8138F" w:rsidRDefault="00A8138F" w:rsidP="00A8138F">
      <w:pPr>
        <w:pStyle w:val="TextoNormal"/>
      </w:pPr>
      <w:r>
        <w:t>d) Los actos tipificados como delitos en cuya ejecución hubieran sido apreciadas motivaciones racistas, antisemitas, antigitanas u otra clase de discriminación referente a la religión y creencias de la víctima, su etnia o raza, su sexo, edad, orientación o identidad sexual o de género, razones de género, de aporofobia o de exclusión social, la enfermedad que padezca o su discapacidad, con independencia de que tales condiciones o circunstancias concurrieran de forma efectiva en la persona sobre la que recayó la conducta”.</w:t>
      </w:r>
    </w:p>
    <w:p w14:paraId="55B7D88E" w14:textId="77777777" w:rsidR="00A8138F" w:rsidRDefault="00A8138F" w:rsidP="00A8138F">
      <w:pPr>
        <w:pStyle w:val="TextoNormal"/>
      </w:pPr>
    </w:p>
    <w:p w14:paraId="6496C81F" w14:textId="77777777" w:rsidR="00A8138F" w:rsidRDefault="00A8138F" w:rsidP="00A8138F">
      <w:pPr>
        <w:pStyle w:val="TextoNormal"/>
      </w:pPr>
      <w:r>
        <w:t>Es necesario realizar algunas precisiones sobre el objeto de la alegación puesto que la demanda invoca el art. 24 junto al art. 14 CE sin mayor explicación y razonando constantemente en términos de discriminación. Los demandantes incurren así en una falta de fundamentación en lo que se refiere a la posible infracción del derecho a la tutela judicial efectiva.</w:t>
      </w:r>
    </w:p>
    <w:p w14:paraId="100E4291" w14:textId="77777777" w:rsidR="00A8138F" w:rsidRDefault="00A8138F" w:rsidP="00A8138F">
      <w:pPr>
        <w:pStyle w:val="TextoNormal"/>
      </w:pPr>
    </w:p>
    <w:p w14:paraId="2C63A3AC" w14:textId="77777777" w:rsidR="00A8138F" w:rsidRDefault="00A8138F" w:rsidP="00A8138F">
      <w:pPr>
        <w:pStyle w:val="TextoNormal"/>
      </w:pPr>
      <w:r>
        <w:t>Es doctrina reiterada de este tribunal que “la presunción de constitucionalidad de normas con rango de ley no puede desvirtuarse sin un mínimo de argumentación y no caben impugnaciones globales y carentes de una razón suficientemente desarrollada” [por todas, STC 90/2022, de 30 de junio, FJ 1 b)]. Ciertamente “es carga de los recurrentes no solo la de abrir la vía para que el Tribunal pueda pronunciarse, sino también la de colaborar con la justicia del Tribunal en un pormenorizado análisis de las graves cuestiones que se suscitan. Es justo, por ello, hablar […] de una carga del recurrente y en los casos en que aquella no se observe, de una falta de la diligencia procesalmente exigible, que es la diligencia de ofrecer la fundamentación que razonablemente es de esperar” (así, desde la STC 11/1981, de 8 de abril, FJ 3, reiterada recientemente en la STC 64/2025, de 13 de marzo, FJ 6). Por ello, el motivo relativo a una posible vulneración del art. 24 CE por el precepto que nos ocupa queda fuera del objeto de análisis de esta sentencia.</w:t>
      </w:r>
    </w:p>
    <w:p w14:paraId="3601100A" w14:textId="77777777" w:rsidR="00A8138F" w:rsidRDefault="00A8138F" w:rsidP="00A8138F">
      <w:pPr>
        <w:pStyle w:val="TextoNormal"/>
      </w:pPr>
    </w:p>
    <w:p w14:paraId="7F06F6A9" w14:textId="77777777" w:rsidR="00A8138F" w:rsidRDefault="00A8138F" w:rsidP="00A8138F">
      <w:pPr>
        <w:pStyle w:val="TextoNormal"/>
      </w:pPr>
      <w:r>
        <w:t>Las tachas de inconstitucionalidad se imputan a la forma en que el legislador configura la exclusión de la aplicación de la amnistía en el art. 2 d), que supone que no cubra “[l]os actos tipificados como delitos en cuya ejecución hubieran sido apreciadas motivaciones racistas, antisemitas, antigitanas u otra clase de discriminación referente a la religión y creencias de la víctima, su etnia o raza, su sexo, edad, orientación o identidad sexual o de género, razones de género, de aporofobia o de exclusión social, la enfermedad que padezca o su discapacidad”, manteniendo por tanto la represión penal de los mismos. Pero el reparo que formulan los recurrentes no estaría en la exclusión creada para estos actos delictivos, sino en que no se contemple la imposibilidad de amnistiar también aquellos con otra motivación discriminatoria, en concreto la ideológica, a la que el marco penal da el mismo tratamiento que a los excluidos de la amnistía. De ello derivan un resultado discriminatorio y arbitrario.</w:t>
      </w:r>
    </w:p>
    <w:p w14:paraId="14937405" w14:textId="77777777" w:rsidR="00A8138F" w:rsidRDefault="00A8138F" w:rsidP="00A8138F">
      <w:pPr>
        <w:pStyle w:val="TextoNormal"/>
      </w:pPr>
    </w:p>
    <w:p w14:paraId="7E518B98" w14:textId="77777777" w:rsidR="00A8138F" w:rsidRDefault="00A8138F" w:rsidP="00A8138F">
      <w:pPr>
        <w:pStyle w:val="TextoNormal"/>
      </w:pPr>
      <w:r>
        <w:t>14.3.3</w:t>
      </w:r>
      <w:r w:rsidRPr="00A8138F">
        <w:rPr>
          <w:i/>
        </w:rPr>
        <w:t>. Enjuiciamiento del moti</w:t>
      </w:r>
      <w:r>
        <w:t>vo</w:t>
      </w:r>
    </w:p>
    <w:p w14:paraId="5F84955F" w14:textId="77777777" w:rsidR="00A8138F" w:rsidRDefault="00A8138F" w:rsidP="00A8138F">
      <w:pPr>
        <w:pStyle w:val="TextoNormal"/>
      </w:pPr>
    </w:p>
    <w:p w14:paraId="7EC3F42B" w14:textId="77777777" w:rsidR="00A8138F" w:rsidRDefault="00A8138F" w:rsidP="00A8138F">
      <w:pPr>
        <w:pStyle w:val="TextoNormal"/>
      </w:pPr>
      <w:r>
        <w:t>Como acaba de indicarse, los actores argumentan sin más que hay una discordancia entre los motivos discriminatorios excluidos de la Ley de amnistía en el art. 2 d) y los que se incluyen en dos preceptos del Código penal. Parecen dar por hecho que la dicción de aquellos artículos de la Ley Orgánica 10/1995, de 23 de noviembre, del Código penal, supone un estándar de constitucionalidad y que la Ley Orgánica 1/2024, al apartarse de ese estándar sin dar una explicación para ello y no reproducir especularmente los mismos tipos o agravantes en sus exclusiones, incurre en arbitrariedad y discriminación. Pero este es un planteamiento que no puede aceptarse.</w:t>
      </w:r>
    </w:p>
    <w:p w14:paraId="133D6E9D" w14:textId="77777777" w:rsidR="00A8138F" w:rsidRDefault="00A8138F" w:rsidP="00A8138F">
      <w:pPr>
        <w:pStyle w:val="TextoNormal"/>
      </w:pPr>
    </w:p>
    <w:p w14:paraId="5AE65D18" w14:textId="77777777" w:rsidR="00A8138F" w:rsidRDefault="00A8138F" w:rsidP="00A8138F">
      <w:pPr>
        <w:pStyle w:val="TextoNormal"/>
      </w:pPr>
      <w:r>
        <w:t>De partida, por la sencilla razón de que los preceptos del Código penal no son canon de constitucionalidad y el legislador no tiene, por tanto, que ajustarse a ellos necesariamente. Es algo obvio que evidencian, sin ir más lejos, las sucesivas reformas de su propio texto y que el Tribunal ha tenido ocasión de resaltar en varias ocasiones, aludiendo siempre al amplio margen de libertad de configuración de delitos y penas que corresponde al legislador democrático a la hora de la plasmación normativa de la política criminal (por todas, STC 60/2010, de 7 de octubre, FJ 3). Huelga insistir más en que el enjuiciamiento constitucional sobre la producción legislativa se sujeta a un rígido marco conceptual que solo tiene como parámetro de control los valores, principios y reglas de nuestra ley fundamental</w:t>
      </w:r>
      <w:r w:rsidRPr="00A8138F">
        <w:rPr>
          <w:i/>
        </w:rPr>
        <w:t xml:space="preserve"> (vi</w:t>
      </w:r>
      <w:r>
        <w:t>d</w:t>
      </w:r>
      <w:r w:rsidRPr="00A8138F">
        <w:rPr>
          <w:i/>
        </w:rPr>
        <w:t>. sup</w:t>
      </w:r>
      <w:r>
        <w:t>ra, FJ 3).</w:t>
      </w:r>
    </w:p>
    <w:p w14:paraId="36DD1F9F" w14:textId="77777777" w:rsidR="00A8138F" w:rsidRDefault="00A8138F" w:rsidP="00A8138F">
      <w:pPr>
        <w:pStyle w:val="TextoNormal"/>
      </w:pPr>
    </w:p>
    <w:p w14:paraId="41EBF8A6" w14:textId="77777777" w:rsidR="00A8138F" w:rsidRDefault="00A8138F" w:rsidP="00A8138F">
      <w:pPr>
        <w:pStyle w:val="TextoNormal"/>
      </w:pPr>
      <w:r>
        <w:t>En todo caso, no es complejo inferir del conjunto de la Ley de amnistía una explicación racional de la exclusión, en la letra d) del art. 2, de los delitos cometidos con una motivación que pueda entenderse discriminatoria por razones ideológicas. No puede ignorarse, en este punto, que el contexto conflictual al que la Ley Orgánica 1/2024 pretende dar respuesta es, según se expresa en el preámbulo, un escenario de confrontación en el que concurren motivaciones ideológicas contrapuestas. Por ello, aunque es cierto que puede distinguirse analíticamente entre la conducta cometida con una motivación subjetiva ideológica —en la que el móvil del agente es promover la realización de los objetivos propios de su particular ideología— y la que obedece a una motivación discriminatoria de tipo ideológico —en la que el autor del delito pretende, por el contrario, dañar o perjudicar ilícitamente a quienes profesan una determinada ideología—, en la práctica no siempre es fácil deslindar interpretativamente las conductas que persiguen la realización de la propia ideología de las que buscan dañar a quienes profesan un ideario contrapuesto. En tales circunstancias, no es irrazonable entender que el legislador ha valorado que la exclusión del ámbito de la amnistía de los delitos cometidos con una motivación de “discriminación ideológica” resultaría demasiado ambigua y que podría generar incertidumbre en cuanto al ámbito de aplicación de aquella.</w:t>
      </w:r>
    </w:p>
    <w:p w14:paraId="1095B491" w14:textId="77777777" w:rsidR="00A8138F" w:rsidRDefault="00A8138F" w:rsidP="00A8138F">
      <w:pPr>
        <w:pStyle w:val="TextoNormal"/>
      </w:pPr>
    </w:p>
    <w:p w14:paraId="310CFA7D" w14:textId="6B42A93C" w:rsidR="00A8138F" w:rsidRDefault="00A8138F" w:rsidP="00A8138F">
      <w:pPr>
        <w:pStyle w:val="TextoNormal"/>
      </w:pPr>
      <w:r>
        <w:t>Así las cosas, y una vez que los preceptos que suponían una asimetría —en el alcance material de la amnistía— por razón de la finalidad ideológica perseguida ya han sido depurados (FJ 8.3.5), no existe en el art. 2 d) de la Ley de amnistía una opción legislativa arbitraria ni tampoco contraria al art. 14 CE, ya que responde a una justificación objetiva y razonable.</w:t>
      </w:r>
    </w:p>
    <w:p w14:paraId="36227F11" w14:textId="77777777" w:rsidR="00A8138F" w:rsidRDefault="00A8138F" w:rsidP="00A8138F">
      <w:pPr>
        <w:pStyle w:val="TextoNormal"/>
      </w:pPr>
    </w:p>
    <w:p w14:paraId="6D39FEF2" w14:textId="77777777" w:rsidR="00A8138F" w:rsidRDefault="00A8138F" w:rsidP="00A8138F">
      <w:pPr>
        <w:pStyle w:val="TextoNormal"/>
      </w:pPr>
      <w:r w:rsidRPr="00A8138F">
        <w:rPr>
          <w:rStyle w:val="NumeroAFNegritaCaracter"/>
        </w:rPr>
        <w:t>15</w:t>
      </w:r>
      <w:r>
        <w:t xml:space="preserve">. </w:t>
      </w:r>
      <w:r w:rsidRPr="00A8138F">
        <w:rPr>
          <w:i/>
        </w:rPr>
        <w:t>La impugnación de los efectos de la amnistía sobre la responsabilidad penal (art. 4 de la Ley)</w:t>
      </w:r>
    </w:p>
    <w:p w14:paraId="5CAE05A7" w14:textId="77777777" w:rsidR="00A8138F" w:rsidRDefault="00A8138F" w:rsidP="00A8138F">
      <w:pPr>
        <w:pStyle w:val="TextoNormal"/>
      </w:pPr>
    </w:p>
    <w:p w14:paraId="27C0D470" w14:textId="77777777" w:rsidR="00A8138F" w:rsidRDefault="00A8138F" w:rsidP="00A8138F">
      <w:pPr>
        <w:pStyle w:val="TextoNormal"/>
      </w:pPr>
      <w:r>
        <w:t>En este fundamento jurídico se analizan los motivos de inconstitucionalidad que los diputados y senadores recurrentes esgrimen frente a la regulación de algunos de los efectos que, en el ámbito de la responsabilidad penal, se derivan, en virtud de lo previsto en el art. 4 de la Ley, de la aplicación de la amnistía. Se trata de las previsiones recogidas en las letras a), b) y d) del mencionado precepto.</w:t>
      </w:r>
    </w:p>
    <w:p w14:paraId="18B0682B" w14:textId="77777777" w:rsidR="00A8138F" w:rsidRDefault="00A8138F" w:rsidP="00A8138F">
      <w:pPr>
        <w:pStyle w:val="TextoNormal"/>
      </w:pPr>
    </w:p>
    <w:p w14:paraId="3C27158A" w14:textId="77777777" w:rsidR="00A8138F" w:rsidRDefault="00A8138F" w:rsidP="00A8138F">
      <w:pPr>
        <w:pStyle w:val="TextoNormal"/>
      </w:pPr>
      <w:r>
        <w:t xml:space="preserve">15.1. </w:t>
      </w:r>
      <w:r w:rsidRPr="00A8138F">
        <w:rPr>
          <w:i/>
        </w:rPr>
        <w:t>La alegada vulneración del derecho a la tutela cautelar (arts. 24.1 y 117.3 CE) por el efecto de levantamiento de las medidas cautelares [art. 4 a) de la Ley de amnistía]</w:t>
      </w:r>
    </w:p>
    <w:p w14:paraId="2DB7F6D5" w14:textId="77777777" w:rsidR="00A8138F" w:rsidRDefault="00A8138F" w:rsidP="00A8138F">
      <w:pPr>
        <w:pStyle w:val="TextoNormal"/>
      </w:pPr>
    </w:p>
    <w:p w14:paraId="5C1E559F" w14:textId="77777777" w:rsidR="00A8138F" w:rsidRDefault="00A8138F" w:rsidP="00A8138F">
      <w:pPr>
        <w:pStyle w:val="TextoNormal"/>
      </w:pPr>
      <w:r>
        <w:t xml:space="preserve">15.1.1. </w:t>
      </w:r>
      <w:r w:rsidRPr="00A8138F">
        <w:rPr>
          <w:i/>
        </w:rPr>
        <w:t>Exposición del motivo y alegaciones de las partes</w:t>
      </w:r>
    </w:p>
    <w:p w14:paraId="10D84C07" w14:textId="77777777" w:rsidR="00A8138F" w:rsidRDefault="00A8138F" w:rsidP="00A8138F">
      <w:pPr>
        <w:pStyle w:val="TextoNormal"/>
      </w:pPr>
    </w:p>
    <w:p w14:paraId="66803F25" w14:textId="77777777" w:rsidR="00A8138F" w:rsidRDefault="00A8138F" w:rsidP="00A8138F">
      <w:pPr>
        <w:pStyle w:val="TextoNormal"/>
      </w:pPr>
      <w:r>
        <w:t>Los parlamentarios recurrentes denuncian que el art. 4 a) de la Ley de amnistía, puesto en relación con el art. 4 c), vulnera los arts. 24.1 y 117.3 CE, porque elimina la potestad jurisdiccional cautelar al imponer al juez el levantamiento de las medidas cautelares personales y reales, lo que anticipa la tutela judicial definitiva, impide la ponderación de los elementos fácticos y probatorios del caso y deja al juez sin margen para mantener una medida cautelar no privativa de libertad o una medida real.</w:t>
      </w:r>
    </w:p>
    <w:p w14:paraId="56D8F9BD" w14:textId="77777777" w:rsidR="00A8138F" w:rsidRDefault="00A8138F" w:rsidP="00A8138F">
      <w:pPr>
        <w:pStyle w:val="TextoNormal"/>
      </w:pPr>
    </w:p>
    <w:p w14:paraId="45B3ACEA" w14:textId="77777777" w:rsidR="00A8138F" w:rsidRDefault="00A8138F" w:rsidP="00A8138F">
      <w:pPr>
        <w:pStyle w:val="TextoNormal"/>
      </w:pPr>
      <w:r>
        <w:t>El abogado del Estado en su escrito de alegaciones interesa la desestimación del motivo. Aduce que la Ley de amnistía no modifica la Ley de enjuiciamiento criminal, pues el levantamiento de las medidas cautelares, aunque sea inmediato, solo se producirá previo juicio de valoración efectuado por el juez sobre la inclusión de los hechos en la ley de amnistía. Si el juzgador considera que las personas encausadas son beneficiarias de la amnistía y, por lo tanto, que concurre en ellas una causa de extinción de la responsabilidad penal, desaparecen de inmediato los presupuestos que permiten el mantenimiento de cualquier medida cautelar, por lo que procede su levantamiento. Para la adopción de la prisión provisional el art. 503 LECrim exige que conste en la causa la existencia de uno o varios hechos que presenten caracteres de delito y que aparezcan motivos bastantes para creer responsable criminalmente del delito a la persona contra la que se vaya a dictar el auto de prisión. La apreciación de que el sujeto es beneficiario de la amnistía hace desaparecer el carácter delictivo del hecho y la responsabilidad criminal, por lo que no existe justificación alguna para su mantenimiento. Añade que lo mismo ocurre con la orden de detención, sujeta a unos motivos taxativos previstos en el art. 490 LECrim. Si el juez aprecia que el sujeto es beneficiario de la amnistía debe ponerlo en libertad, pues así lo exige el art. 489 LECrim y es la forma habitual de proceder de los tribunales cuando desaparecen los motivos de la medida cautelar.</w:t>
      </w:r>
    </w:p>
    <w:p w14:paraId="4C5F6481" w14:textId="77777777" w:rsidR="00A8138F" w:rsidRDefault="00A8138F" w:rsidP="00A8138F">
      <w:pPr>
        <w:pStyle w:val="TextoNormal"/>
      </w:pPr>
    </w:p>
    <w:p w14:paraId="1B3694DD" w14:textId="77777777" w:rsidR="00A8138F" w:rsidRDefault="00A8138F" w:rsidP="00A8138F">
      <w:pPr>
        <w:pStyle w:val="TextoNormal"/>
      </w:pPr>
      <w:r>
        <w:t xml:space="preserve">15.1.2. </w:t>
      </w:r>
      <w:r w:rsidRPr="00A8138F">
        <w:rPr>
          <w:i/>
        </w:rPr>
        <w:t>Doctrina constitucional</w:t>
      </w:r>
    </w:p>
    <w:p w14:paraId="5E51DBBB" w14:textId="77777777" w:rsidR="00A8138F" w:rsidRDefault="00A8138F" w:rsidP="00A8138F">
      <w:pPr>
        <w:pStyle w:val="TextoNormal"/>
      </w:pPr>
    </w:p>
    <w:p w14:paraId="5DE98642" w14:textId="77777777" w:rsidR="00A8138F" w:rsidRDefault="00A8138F" w:rsidP="00A8138F">
      <w:pPr>
        <w:pStyle w:val="TextoNormal"/>
      </w:pPr>
      <w:r>
        <w:t>Este tribunal ha dicho que “la tutela judicial no es tal sin medidas cautelares adecuadas que aseguren el efectivo cumplimiento de la resolución definitiva que recaiga en el proceso” (STC 14/1992, de 10 de febrero, FJ 7) y que, aunque el art. 24.1 CE no haga referencia a las medidas cautelares, “de ello no puede inferirse que quede libre el legislador de todo límite para disponer o no medidas de aquel género o para ordenarlas sin condicionamiento constitucional alguno”, pues “[l]a tutela judicial ha de ser, por imperativo constitucional, ‘efectiva’, y la medida en que lo sea o no ha de hallarse en la suficiencia de las potestades atribuidas por ley a los órganos del Poder Judicial para, efectivamente, salvaguardar los intereses o derechos cuya protección se demanda”. En definitiva, el legislador no puede “eliminar de manera absoluta la posibilidad de adoptar medidas cautelares dirigidas a asegurar la efectividad de la sentencia estimatoria que pudiera dictarse” (STC 238/1992, de 17 de diciembre, FJ 3). El derecho enunciado en el art. 24.1 CE tiene, “en cuanto límite frente al legislador, una sustantividad propia derivada de su contenido esencial”, límite que no opera “únicamente en la defensa procesal de un derecho fundamental” sino en cualesquiera otros derechos e intereses legítimos (art. 24.1 CE; STC 238/1992, FJ 4). Es contrario, por ello, al derecho fundamental a la tutela judicial efectiva el régimen de medidas cautelares que conduzca, en el caso de que sea estimada la pretensión del proceso principal, a difíciles fórmulas reintegrativas, a situaciones irreversibles o a que el procedimiento principal no pueda alcanzar sus fines (SSTC 66/1984, de 6 de junio, FJ 3, y 237/1991, de 12 de diciembre, FJ 2).</w:t>
      </w:r>
    </w:p>
    <w:p w14:paraId="7390C265" w14:textId="77777777" w:rsidR="00A8138F" w:rsidRDefault="00A8138F" w:rsidP="00A8138F">
      <w:pPr>
        <w:pStyle w:val="TextoNormal"/>
      </w:pPr>
    </w:p>
    <w:p w14:paraId="14F4A5F3" w14:textId="77777777" w:rsidR="00A8138F" w:rsidRDefault="00A8138F" w:rsidP="00A8138F">
      <w:pPr>
        <w:pStyle w:val="TextoNormal"/>
      </w:pPr>
      <w:r>
        <w:t xml:space="preserve">15.1.3. </w:t>
      </w:r>
      <w:r w:rsidRPr="00A8138F">
        <w:rPr>
          <w:i/>
        </w:rPr>
        <w:t>Enjuiciamiento del motivo</w:t>
      </w:r>
    </w:p>
    <w:p w14:paraId="7729A642" w14:textId="77777777" w:rsidR="00A8138F" w:rsidRDefault="00A8138F" w:rsidP="00A8138F">
      <w:pPr>
        <w:pStyle w:val="TextoNormal"/>
      </w:pPr>
    </w:p>
    <w:p w14:paraId="028094D3" w14:textId="77777777" w:rsidR="00A8138F" w:rsidRDefault="00A8138F" w:rsidP="00A8138F">
      <w:pPr>
        <w:pStyle w:val="TextoNormal"/>
      </w:pPr>
      <w:r>
        <w:t>El art. 4 de la Ley de amnistía, en sus letras a) y c), establece lo siguiente:</w:t>
      </w:r>
    </w:p>
    <w:p w14:paraId="5BB2C2A4" w14:textId="77777777" w:rsidR="00A8138F" w:rsidRDefault="00A8138F" w:rsidP="00A8138F">
      <w:pPr>
        <w:pStyle w:val="TextoNormal"/>
      </w:pPr>
    </w:p>
    <w:p w14:paraId="3C5B06D6" w14:textId="77777777" w:rsidR="00A8138F" w:rsidRDefault="00A8138F" w:rsidP="00A8138F">
      <w:pPr>
        <w:pStyle w:val="TextoNormal"/>
      </w:pPr>
      <w:r>
        <w:t>“Artículo 4. Efectos sobre la responsabilidad penal</w:t>
      </w:r>
    </w:p>
    <w:p w14:paraId="369836AA" w14:textId="77777777" w:rsidR="00A8138F" w:rsidRDefault="00A8138F" w:rsidP="00A8138F">
      <w:pPr>
        <w:pStyle w:val="TextoNormal"/>
      </w:pPr>
    </w:p>
    <w:p w14:paraId="38B11027" w14:textId="77777777" w:rsidR="00A8138F" w:rsidRDefault="00A8138F" w:rsidP="00A8138F">
      <w:pPr>
        <w:pStyle w:val="TextoNormal"/>
      </w:pPr>
      <w:r>
        <w:t>Sin perjuicio de lo dispuesto en el artículo 163 de la Constitución y en el artículo 267 del Tratado de funcionamiento de la Unión Europea, tras la entrada en vigor de esta ley:</w:t>
      </w:r>
    </w:p>
    <w:p w14:paraId="5FF19CBD" w14:textId="77777777" w:rsidR="00A8138F" w:rsidRDefault="00A8138F" w:rsidP="00A8138F">
      <w:pPr>
        <w:pStyle w:val="TextoNormal"/>
      </w:pPr>
    </w:p>
    <w:p w14:paraId="3CDC4389" w14:textId="77777777" w:rsidR="00A8138F" w:rsidRDefault="00A8138F" w:rsidP="00A8138F">
      <w:pPr>
        <w:pStyle w:val="TextoNormal"/>
      </w:pPr>
      <w:r>
        <w:t>a) El órgano judicial que esté conociendo de la causa ordenará la inmediata puesta en libertad de las personas beneficiarias de la amnistía que se hallaran en prisión ya sea por haberse decretado su prisión provisional o en cumplimiento de condena.</w:t>
      </w:r>
    </w:p>
    <w:p w14:paraId="4BA24668" w14:textId="77777777" w:rsidR="00A8138F" w:rsidRDefault="00A8138F" w:rsidP="00A8138F">
      <w:pPr>
        <w:pStyle w:val="TextoNormal"/>
      </w:pPr>
    </w:p>
    <w:p w14:paraId="5B223AFC" w14:textId="77777777" w:rsidR="00A8138F" w:rsidRDefault="00A8138F" w:rsidP="00A8138F">
      <w:pPr>
        <w:pStyle w:val="TextoNormal"/>
      </w:pPr>
      <w:r>
        <w:t>Así mismo, acordará el inmediato alzamiento de cualesquiera medidas cautelares de naturaleza personal o real que hubieran sido adoptadas por las acciones u omisiones comprendidas en el ámbito objetivo de la presente ley, con la única salvedad de las medidas de carácter civil a las que se refiere el artículo 8.2.</w:t>
      </w:r>
    </w:p>
    <w:p w14:paraId="1997EDF7" w14:textId="77777777" w:rsidR="00A8138F" w:rsidRDefault="00A8138F" w:rsidP="00A8138F">
      <w:pPr>
        <w:pStyle w:val="TextoNormal"/>
      </w:pPr>
    </w:p>
    <w:p w14:paraId="7536B467" w14:textId="77777777" w:rsidR="00A8138F" w:rsidRDefault="00A8138F" w:rsidP="00A8138F">
      <w:pPr>
        <w:pStyle w:val="TextoNormal"/>
      </w:pPr>
      <w:r>
        <w:t>[…]</w:t>
      </w:r>
    </w:p>
    <w:p w14:paraId="61B9644D" w14:textId="77777777" w:rsidR="00A8138F" w:rsidRDefault="00A8138F" w:rsidP="00A8138F">
      <w:pPr>
        <w:pStyle w:val="TextoNormal"/>
      </w:pPr>
    </w:p>
    <w:p w14:paraId="265A90D1" w14:textId="77777777" w:rsidR="00A8138F" w:rsidRDefault="00A8138F" w:rsidP="00A8138F">
      <w:pPr>
        <w:pStyle w:val="TextoNormal"/>
      </w:pPr>
      <w:r>
        <w:t>c) La suspensión del procedimiento penal por cualquier causa no impedirá el alzamiento de aquellas medidas cautelares que hubieran sido acordadas con anterioridad a la entrada en vigor de la presente ley y que implicasen la privación del ejercicio de derechos fundamentales y libertades públicas”.</w:t>
      </w:r>
    </w:p>
    <w:p w14:paraId="6E6B0942" w14:textId="77777777" w:rsidR="00A8138F" w:rsidRDefault="00A8138F" w:rsidP="00A8138F">
      <w:pPr>
        <w:pStyle w:val="TextoNormal"/>
      </w:pPr>
    </w:p>
    <w:p w14:paraId="117FE1B2" w14:textId="77777777" w:rsidR="00A8138F" w:rsidRDefault="00A8138F" w:rsidP="00A8138F">
      <w:pPr>
        <w:pStyle w:val="TextoNormal"/>
      </w:pPr>
      <w:r>
        <w:t>Se ordena, por lo tanto, la puesta en libertad de las personas beneficiarias de la amnistía que se hallaran en prisión, así como el alzamiento de cualesquiera medidas cautelares personales y reales que hubieran sido adoptadas con anterioridad a su entrada en vigor, consecuencias jurídicas que quedan supeditadas a que se pueda establecer que las acciones u omisiones acreditadas en el procedimiento penal están comprendidas en su ámbito de aplicación.</w:t>
      </w:r>
    </w:p>
    <w:p w14:paraId="585B0646" w14:textId="77777777" w:rsidR="00A8138F" w:rsidRDefault="00A8138F" w:rsidP="00A8138F">
      <w:pPr>
        <w:pStyle w:val="TextoNormal"/>
      </w:pPr>
    </w:p>
    <w:p w14:paraId="232D2C2E" w14:textId="77777777" w:rsidR="00A8138F" w:rsidRDefault="00A8138F" w:rsidP="00A8138F">
      <w:pPr>
        <w:pStyle w:val="TextoNormal"/>
      </w:pPr>
      <w:r>
        <w:t>El precepto impugnado parte del presupuesto de que la determinación de los hechos que han quedado acreditados en el procedimiento, y el juicio de subsunción de los mismos en el supuesto aplicativo de la ley de amnistía, lo ha de realizar el juez o tribunal que está conociendo de la causa, por lo que no hay razones que sustenten el motivo de que la norma despoja a los órganos judiciales de toda posibilidad de ejercer una tutela cautelar efectiva de los derechos e intereses concernidos en el procedimiento.</w:t>
      </w:r>
    </w:p>
    <w:p w14:paraId="2AD76C02" w14:textId="77777777" w:rsidR="00A8138F" w:rsidRDefault="00A8138F" w:rsidP="00A8138F">
      <w:pPr>
        <w:pStyle w:val="TextoNormal"/>
      </w:pPr>
    </w:p>
    <w:p w14:paraId="35D11184" w14:textId="77777777" w:rsidR="00A8138F" w:rsidRDefault="00A8138F" w:rsidP="00A8138F">
      <w:pPr>
        <w:pStyle w:val="TextoNormal"/>
      </w:pPr>
      <w:r>
        <w:t xml:space="preserve">De igual manera, se ha de concluir que la inmediatez en el levantamiento de las medidas a la que alude el precepto no es un mandato </w:t>
      </w:r>
      <w:r w:rsidRPr="00A8138F">
        <w:rPr>
          <w:i/>
        </w:rPr>
        <w:t>ope legis</w:t>
      </w:r>
      <w:r>
        <w:t>, ni mucho menos una suplantación o injerencia directa del legislador en el hacer jurisdiccional, pues es el propio precepto el que reclama de manera explícita la mediación judicial.</w:t>
      </w:r>
    </w:p>
    <w:p w14:paraId="18A78786" w14:textId="77777777" w:rsidR="00A8138F" w:rsidRDefault="00A8138F" w:rsidP="00A8138F">
      <w:pPr>
        <w:pStyle w:val="TextoNormal"/>
      </w:pPr>
    </w:p>
    <w:p w14:paraId="51C93847" w14:textId="77777777" w:rsidR="00A8138F" w:rsidRDefault="00A8138F" w:rsidP="00A8138F">
      <w:pPr>
        <w:pStyle w:val="TextoNormal"/>
      </w:pPr>
      <w:r>
        <w:t>El precepto impugnado es, además, coherente con las exigencias derivadas de la tutela judicial efectiva de la libertad personal (art. 17.1 CE) y de los restantes derechos fundamentales y libertades públicas sujetas a cualquier forma de privación o restricción temporal en virtud de decisiones judiciales adoptadas con anterioridad a la entrada en vigor de la ley, restricciones que, al limitar el pleno ejercicio de los derechos de quienes son parte pasiva del proceso penal, precisan de la subsistencia de una cobertura legal clara y suficiente para ser constitucionalmente admisibles.</w:t>
      </w:r>
    </w:p>
    <w:p w14:paraId="00398F5E" w14:textId="77777777" w:rsidR="00A8138F" w:rsidRDefault="00A8138F" w:rsidP="00A8138F">
      <w:pPr>
        <w:pStyle w:val="TextoNormal"/>
      </w:pPr>
    </w:p>
    <w:p w14:paraId="0361A26E" w14:textId="77777777" w:rsidR="00A8138F" w:rsidRDefault="00A8138F" w:rsidP="00A8138F">
      <w:pPr>
        <w:pStyle w:val="TextoNormal"/>
      </w:pPr>
      <w:r>
        <w:t>En este sentido, el juicio positivo de aplicación de la amnistía, emanado del órgano judicial que conoce de la causa, supone el reconocimiento de que las conductas investigadas o enjuiciadas han quedado exceptuadas de la aplicación de los tipos penales que sirvieron de fundamento a su imputación o condena, en virtud de una ley cuya constitucionalidad se presume en tanto este tribunal no establezca lo contrario, lo que basta para afirmar que ha desaparecido el presupuesto básico que justificaba la adopción de las medidas, que su cobertura legal ha quedado desplazada por la Ley de amnistía y que, en consecuencia, la opción por la que se decanta la ley, la de que el juez se pronuncie sobre su alzamiento, es idónea para una tempestiva tutela judicial del conjunto de los derechos y libertades que se ven involucrados en el proceso penal.</w:t>
      </w:r>
    </w:p>
    <w:p w14:paraId="6494D81D" w14:textId="77777777" w:rsidR="00A8138F" w:rsidRDefault="00A8138F" w:rsidP="00A8138F">
      <w:pPr>
        <w:pStyle w:val="TextoNormal"/>
      </w:pPr>
    </w:p>
    <w:p w14:paraId="3CDE9474" w14:textId="77777777" w:rsidR="00A8138F" w:rsidRDefault="00A8138F" w:rsidP="00A8138F">
      <w:pPr>
        <w:pStyle w:val="TextoNormal"/>
      </w:pPr>
      <w:r>
        <w:t>En lo que concierne a la tutela judicial de los intereses privados dañados por las conductas delictivas amnistiadas, queda salvaguardada en virtud de la remisión que hace el art. 4 a) de la Ley de amnistía, en el inciso final de su párrafo segundo, al art. 8.2 de la Ley, donde se dispone que “la amnistía otorgada dejará siempre a salvo la responsabilidad civil que pudiera corresponder por los daños sufridos por los particulares”.</w:t>
      </w:r>
    </w:p>
    <w:p w14:paraId="7B7D5749" w14:textId="77777777" w:rsidR="00A8138F" w:rsidRDefault="00A8138F" w:rsidP="00A8138F">
      <w:pPr>
        <w:pStyle w:val="TextoNormal"/>
      </w:pPr>
    </w:p>
    <w:p w14:paraId="653F2B0F" w14:textId="77777777" w:rsidR="00A8138F" w:rsidRDefault="00A8138F" w:rsidP="00A8138F">
      <w:pPr>
        <w:pStyle w:val="TextoNormal"/>
      </w:pPr>
      <w:r>
        <w:t>En atención a lo expuesto, procede desestimar que el art. 4 a) de la Ley de amnistía vulnere el derecho a la tutela judicial efectiva y el principio de reserva de jurisdicción garantizados en los arts. 24.1 y 117.3 CE.</w:t>
      </w:r>
    </w:p>
    <w:p w14:paraId="677BB432" w14:textId="77777777" w:rsidR="00A8138F" w:rsidRDefault="00A8138F" w:rsidP="00A8138F">
      <w:pPr>
        <w:pStyle w:val="TextoNormal"/>
      </w:pPr>
    </w:p>
    <w:p w14:paraId="43A418AD" w14:textId="77777777" w:rsidR="00A8138F" w:rsidRDefault="00A8138F" w:rsidP="00A8138F">
      <w:pPr>
        <w:pStyle w:val="TextoNormal"/>
      </w:pPr>
      <w:r>
        <w:t xml:space="preserve">15.2. </w:t>
      </w:r>
      <w:r w:rsidRPr="00A8138F">
        <w:rPr>
          <w:i/>
        </w:rPr>
        <w:t>Sobre el levantamiento de las órdenes europeas de detención [art. 4 b) de la Ley]</w:t>
      </w:r>
    </w:p>
    <w:p w14:paraId="658B9C73" w14:textId="77777777" w:rsidR="00A8138F" w:rsidRDefault="00A8138F" w:rsidP="00A8138F">
      <w:pPr>
        <w:pStyle w:val="TextoNormal"/>
      </w:pPr>
    </w:p>
    <w:p w14:paraId="745F07DE" w14:textId="77777777" w:rsidR="00A8138F" w:rsidRDefault="00A8138F" w:rsidP="00A8138F">
      <w:pPr>
        <w:pStyle w:val="TextoNormal"/>
      </w:pPr>
      <w:r>
        <w:t xml:space="preserve">En la demanda se denuncia que el art. 4 b) de la Ley de amnistía incide en el ámbito del Derecho de la Unión Europea, en concreto, en la regulación de las órdenes europeas de detención, especialmente cuando se hayan emitido por delitos de terrorismo o malversación de caudales públicos. Cita la STJUE de 16 de diciembre de 2021, asunto C-203/20, </w:t>
      </w:r>
      <w:r w:rsidRPr="00A8138F">
        <w:rPr>
          <w:i/>
        </w:rPr>
        <w:t>AB y otros</w:t>
      </w:r>
      <w:r>
        <w:t>, § 52 y 53, donde se dice que el Derecho de la Unión no es aplicable al proceso penal en el contexto del cual podría dictarse la orden europea de detención, ya que el referido proceso penal es distinto del procedimiento de emisión de dicha orden, que es el único al que se aplica la Decisión Marco 2002/584/JAI y, por tanto, el Derecho de la Unión.</w:t>
      </w:r>
    </w:p>
    <w:p w14:paraId="15D6810C" w14:textId="77777777" w:rsidR="00A8138F" w:rsidRDefault="00A8138F" w:rsidP="00A8138F">
      <w:pPr>
        <w:pStyle w:val="TextoNormal"/>
      </w:pPr>
    </w:p>
    <w:p w14:paraId="1EABF83D" w14:textId="77777777" w:rsidR="00A8138F" w:rsidRDefault="00A8138F" w:rsidP="00A8138F">
      <w:pPr>
        <w:pStyle w:val="TextoNormal"/>
      </w:pPr>
      <w:r>
        <w:t>El abogado del Estado en su escrito de alegaciones niega que el precepto contradiga el Derecho de la Unión Europea y la jurisprudencia del Tribunal de Justicia de la Unión Europea y aduce que, una vez amnistiado el delito, es inherente a la propia amnistía que se dejen sin efecto las medidas adoptadas, incluidas las órdenes de detención nacionales, internacionales o europeas.</w:t>
      </w:r>
    </w:p>
    <w:p w14:paraId="46049064" w14:textId="77777777" w:rsidR="00A8138F" w:rsidRDefault="00A8138F" w:rsidP="00A8138F">
      <w:pPr>
        <w:pStyle w:val="TextoNormal"/>
      </w:pPr>
    </w:p>
    <w:p w14:paraId="490915DC" w14:textId="77777777" w:rsidR="00A8138F" w:rsidRDefault="00A8138F" w:rsidP="00A8138F">
      <w:pPr>
        <w:pStyle w:val="TextoNormal"/>
      </w:pPr>
      <w:r>
        <w:t xml:space="preserve">Este motivo debe ser desestimado. A juicio del recurrente, el art. 4 b) de la Ley de amnistía incide en el ámbito del Derecho de la Unión con base en lo dispuesto en los parágrafos 52 y 53 de la STJUE de 16 de diciembre de 2021, asunto C-203/20, pero este argumento no puede compartirse. De la citada sentencia solo se desprende que el proceso de emisión de una euroorden y el proceso penal son procesos distintos y autónomos y que solo la orden europea de detención y entrega tiene su regulación en la Decisión Marco 2002/584/JAI. Como resulta evidente, las afirmaciones sostenidas en esta sentencia no se ven contradichas por el hecho de que una vez amnistiado un delito deban, </w:t>
      </w:r>
      <w:r w:rsidRPr="00A8138F">
        <w:rPr>
          <w:i/>
        </w:rPr>
        <w:t>per se</w:t>
      </w:r>
      <w:r>
        <w:t>, quedar sin efectos las órdenes de detención a que el mismo hubiera dado lugar, que es lo que preceptúa el art. 4 b) de la Ley Orgánica 1/2024. En suma, de la simple enunciación del motivo de impugnación y de la cita de la jurisprudencia del Tribunal de Justicia de la Unión Europea invocada en el recurso de inconstitucionalidad no se advierte la infracción de ningún precepto.</w:t>
      </w:r>
    </w:p>
    <w:p w14:paraId="0162FE67" w14:textId="77777777" w:rsidR="00A8138F" w:rsidRDefault="00A8138F" w:rsidP="00A8138F">
      <w:pPr>
        <w:pStyle w:val="TextoNormal"/>
      </w:pPr>
    </w:p>
    <w:p w14:paraId="0C8CC65A" w14:textId="77777777" w:rsidR="00A8138F" w:rsidRDefault="00A8138F" w:rsidP="00A8138F">
      <w:pPr>
        <w:pStyle w:val="TextoNormal"/>
      </w:pPr>
      <w:r>
        <w:t xml:space="preserve">15.3. </w:t>
      </w:r>
      <w:r w:rsidRPr="00A8138F">
        <w:rPr>
          <w:i/>
        </w:rPr>
        <w:t>La alegada vulneración del derecho a la ejecución de las resoluciones judiciales (art. 24.1 CE) por la finalización de la ejecución de las penas [art. 4 d) de la Ley de amnistía]</w:t>
      </w:r>
    </w:p>
    <w:p w14:paraId="5CD62857" w14:textId="77777777" w:rsidR="00A8138F" w:rsidRDefault="00A8138F" w:rsidP="00A8138F">
      <w:pPr>
        <w:pStyle w:val="TextoNormal"/>
      </w:pPr>
    </w:p>
    <w:p w14:paraId="24CD701A" w14:textId="77777777" w:rsidR="00A8138F" w:rsidRDefault="00A8138F" w:rsidP="00A8138F">
      <w:pPr>
        <w:pStyle w:val="TextoNormal"/>
      </w:pPr>
      <w:r>
        <w:t>15.3.1</w:t>
      </w:r>
      <w:r w:rsidRPr="00A8138F">
        <w:rPr>
          <w:i/>
        </w:rPr>
        <w:t>. Exposición del motivo y alegaciones de las part</w:t>
      </w:r>
      <w:r>
        <w:t>es</w:t>
      </w:r>
    </w:p>
    <w:p w14:paraId="0BF1A74D" w14:textId="77777777" w:rsidR="00A8138F" w:rsidRDefault="00A8138F" w:rsidP="00A8138F">
      <w:pPr>
        <w:pStyle w:val="TextoNormal"/>
      </w:pPr>
    </w:p>
    <w:p w14:paraId="289E946B" w14:textId="77777777" w:rsidR="00A8138F" w:rsidRDefault="00A8138F" w:rsidP="00A8138F">
      <w:pPr>
        <w:pStyle w:val="TextoNormal"/>
      </w:pPr>
      <w:r>
        <w:t>En la demanda se sostiene que el art. 4 d) de la Ley infringe el art. 24.1 CE porque elimina, sin razón, la efectividad de las sentencias condenatorias al imponer al órgano judicial dar por finalizada la ejecución de las penas.</w:t>
      </w:r>
    </w:p>
    <w:p w14:paraId="2123AF5D" w14:textId="77777777" w:rsidR="00A8138F" w:rsidRDefault="00A8138F" w:rsidP="00A8138F">
      <w:pPr>
        <w:pStyle w:val="TextoNormal"/>
      </w:pPr>
    </w:p>
    <w:p w14:paraId="60E16220" w14:textId="77777777" w:rsidR="00A8138F" w:rsidRDefault="00A8138F" w:rsidP="00A8138F">
      <w:pPr>
        <w:pStyle w:val="TextoNormal"/>
      </w:pPr>
      <w:r>
        <w:t>El abogado del Estado rebate el motivo manifestando que sería incoherente que la Ley de amnistía mantuviera los efectos de un delito amnistiado y que no se infringe el art. 24.1 CE porque se trata de una medida motivada y proporcionada al fin que persigue la ley.</w:t>
      </w:r>
    </w:p>
    <w:p w14:paraId="27A2785F" w14:textId="77777777" w:rsidR="00A8138F" w:rsidRDefault="00A8138F" w:rsidP="00A8138F">
      <w:pPr>
        <w:pStyle w:val="TextoNormal"/>
      </w:pPr>
    </w:p>
    <w:p w14:paraId="117A6E96" w14:textId="77777777" w:rsidR="00A8138F" w:rsidRDefault="00A8138F" w:rsidP="00A8138F">
      <w:pPr>
        <w:pStyle w:val="TextoNormal"/>
      </w:pPr>
      <w:r>
        <w:t>15.3.2</w:t>
      </w:r>
      <w:r w:rsidRPr="00A8138F">
        <w:rPr>
          <w:i/>
        </w:rPr>
        <w:t>. Enjuiciamiento del moti</w:t>
      </w:r>
      <w:r>
        <w:t>vo</w:t>
      </w:r>
    </w:p>
    <w:p w14:paraId="60B83356" w14:textId="77777777" w:rsidR="00A8138F" w:rsidRDefault="00A8138F" w:rsidP="00A8138F">
      <w:pPr>
        <w:pStyle w:val="TextoNormal"/>
      </w:pPr>
    </w:p>
    <w:p w14:paraId="45D4D0B7" w14:textId="77777777" w:rsidR="00A8138F" w:rsidRDefault="00A8138F" w:rsidP="00A8138F">
      <w:pPr>
        <w:pStyle w:val="TextoNormal"/>
      </w:pPr>
      <w:r>
        <w:t>El precepto impugnado establece lo siguiente:</w:t>
      </w:r>
    </w:p>
    <w:p w14:paraId="16A5E3DE" w14:textId="77777777" w:rsidR="00A8138F" w:rsidRDefault="00A8138F" w:rsidP="00A8138F">
      <w:pPr>
        <w:pStyle w:val="TextoNormal"/>
      </w:pPr>
    </w:p>
    <w:p w14:paraId="4571C457" w14:textId="77777777" w:rsidR="00A8138F" w:rsidRDefault="00A8138F" w:rsidP="00A8138F">
      <w:pPr>
        <w:pStyle w:val="TextoNormal"/>
      </w:pPr>
      <w:r>
        <w:t>“Artículo 4. Efectos sobre la responsabilidad penal</w:t>
      </w:r>
    </w:p>
    <w:p w14:paraId="0BF639D0" w14:textId="77777777" w:rsidR="00A8138F" w:rsidRDefault="00A8138F" w:rsidP="00A8138F">
      <w:pPr>
        <w:pStyle w:val="TextoNormal"/>
      </w:pPr>
    </w:p>
    <w:p w14:paraId="3126CDCE" w14:textId="77777777" w:rsidR="00A8138F" w:rsidRDefault="00A8138F" w:rsidP="00A8138F">
      <w:pPr>
        <w:pStyle w:val="TextoNormal"/>
      </w:pPr>
      <w:r>
        <w:t xml:space="preserve">Sin perjuicio de lo dispuesto en el artículo 163 de la Constitución y en el artículo 267 del Tratado de funcionamiento de la Unión Europea, tras la entrada en vigor de esta ley: </w:t>
      </w:r>
    </w:p>
    <w:p w14:paraId="25C42932" w14:textId="77777777" w:rsidR="00A8138F" w:rsidRDefault="00A8138F" w:rsidP="00A8138F">
      <w:pPr>
        <w:pStyle w:val="TextoNormal"/>
      </w:pPr>
    </w:p>
    <w:p w14:paraId="0326CAF1" w14:textId="77777777" w:rsidR="00A8138F" w:rsidRDefault="00A8138F" w:rsidP="00A8138F">
      <w:pPr>
        <w:pStyle w:val="TextoNormal"/>
      </w:pPr>
      <w:r>
        <w:t>[…]</w:t>
      </w:r>
    </w:p>
    <w:p w14:paraId="0C3B72AC" w14:textId="77777777" w:rsidR="00A8138F" w:rsidRDefault="00A8138F" w:rsidP="00A8138F">
      <w:pPr>
        <w:pStyle w:val="TextoNormal"/>
      </w:pPr>
    </w:p>
    <w:p w14:paraId="2B62401B" w14:textId="77777777" w:rsidR="00A8138F" w:rsidRDefault="00A8138F" w:rsidP="00A8138F">
      <w:pPr>
        <w:pStyle w:val="TextoNormal"/>
      </w:pPr>
      <w:r>
        <w:t>d) El órgano judicial que esté conociendo de la causa procederá a dar por finalizada la ejecución de todas las penas privativas de libertad, privativas de derechos y multa, que hubieran sido impuestas con el carácter de pena principal o de pena accesoria, y que tuvieran su origen en acciones u omisiones que hubieran sido amnistiadas”.</w:t>
      </w:r>
    </w:p>
    <w:p w14:paraId="4721D739" w14:textId="77777777" w:rsidR="00A8138F" w:rsidRDefault="00A8138F" w:rsidP="00A8138F">
      <w:pPr>
        <w:pStyle w:val="TextoNormal"/>
      </w:pPr>
    </w:p>
    <w:p w14:paraId="1C747654" w14:textId="77777777" w:rsidR="00A8138F" w:rsidRDefault="00A8138F" w:rsidP="00A8138F">
      <w:pPr>
        <w:pStyle w:val="TextoNormal"/>
      </w:pPr>
      <w:r>
        <w:t xml:space="preserve">Este efecto es consecuencia necesaria de la extinción de la responsabilidad penal que se deriva de la decisión judicial que declara aplicable al caso la amnistía (art. 3 de la Ley) lo que obliga a revisar las sentencias firmes “incluso en el supuesto de que la pena impuesta estuviera suspendida o la persona condenada se hallara en libertad condicional” (art. 11.5). Se ha de descartar que el mandato del art. 4 d) de la Ley de amnistía sea susceptible de vulnerar el derecho a la tutela judicial efectiva reconocido en el art. 24.1 CE, en su vertiente de derecho a la ejecución de las resoluciones judiciales, por dos motivos: (i) porque no altera ni menoscaba la jurisdicción de los jueces y tribunales llamados a aplicarlo, al exigir como presupuesto que sean esos mismos órganos judiciales quienes juzguen y declaren, si es el caso, la aplicabilidad de la ley de amnistía, quedando debidamente salvaguardada la reserva de jurisdicción (art. 117.3 CE); y (ii) porque, como ya se ha expuesto en el fundamento jurídico 9 de esta sentencia, no existe un derecho fundamental a obtener la condena penal de otro y a que se cumpla indefectiblemente la misma, pues la ejecución de las penas es una prerrogativa integrada en el </w:t>
      </w:r>
      <w:r w:rsidRPr="00A8138F">
        <w:rPr>
          <w:i/>
        </w:rPr>
        <w:t>ius puniendi</w:t>
      </w:r>
      <w:r>
        <w:t xml:space="preserve"> del Estado, que, a diferencia de lo que ocurre con las pretensiones que tienen por objeto la reparación de los daños y perjuicios ocasionados por los actos amnistiados, no queda comprendido en el derecho fundamental del art. 24.1 CE, ni en ningún otro derecho fundamental, y puede ser exceptuado, limitado o condicionado en la ley.</w:t>
      </w:r>
    </w:p>
    <w:p w14:paraId="101A94B5" w14:textId="77777777" w:rsidR="00A8138F" w:rsidRDefault="00A8138F" w:rsidP="00A8138F">
      <w:pPr>
        <w:pStyle w:val="TextoNormal"/>
      </w:pPr>
    </w:p>
    <w:p w14:paraId="6E8BDF32" w14:textId="147FA766" w:rsidR="00A8138F" w:rsidRDefault="00A8138F" w:rsidP="00A8138F">
      <w:pPr>
        <w:pStyle w:val="TextoNormal"/>
      </w:pPr>
      <w:r>
        <w:t>En atención a ello, procede declarar que el art. 4 d) de la Ley de amnistía no vulnera el derecho a la tutela judicial efectiva del art. 24.1 CE, en su vertiente de derecho a la ejecución de las resoluciones judiciales en sus propios términos.</w:t>
      </w:r>
    </w:p>
    <w:p w14:paraId="0C07D4C5" w14:textId="77777777" w:rsidR="00A8138F" w:rsidRDefault="00A8138F" w:rsidP="00A8138F">
      <w:pPr>
        <w:pStyle w:val="TextoNormal"/>
      </w:pPr>
    </w:p>
    <w:p w14:paraId="2F19B8EE" w14:textId="77777777" w:rsidR="00A8138F" w:rsidRDefault="00A8138F" w:rsidP="00A8138F">
      <w:pPr>
        <w:pStyle w:val="TextoNormal"/>
      </w:pPr>
      <w:r w:rsidRPr="00A8138F">
        <w:rPr>
          <w:rStyle w:val="NumeroAFNegritaCaracter"/>
        </w:rPr>
        <w:t>16</w:t>
      </w:r>
      <w:r>
        <w:t xml:space="preserve">. </w:t>
      </w:r>
      <w:r w:rsidRPr="00A8138F">
        <w:rPr>
          <w:i/>
        </w:rPr>
        <w:t>La alegada inconstitucionalidad del régimen de restitución de las multas impuestas en aplicación de la Ley Orgánica de protección de la seguridad ciudadana (art. 7.2 de la Ley de amnistía)</w:t>
      </w:r>
    </w:p>
    <w:p w14:paraId="6EF97BF9" w14:textId="77777777" w:rsidR="00A8138F" w:rsidRDefault="00A8138F" w:rsidP="00A8138F">
      <w:pPr>
        <w:pStyle w:val="TextoNormal"/>
      </w:pPr>
    </w:p>
    <w:p w14:paraId="0B7DB25A" w14:textId="77777777" w:rsidR="00A8138F" w:rsidRDefault="00A8138F" w:rsidP="00A8138F">
      <w:pPr>
        <w:pStyle w:val="TextoNormal"/>
      </w:pPr>
      <w:r>
        <w:t xml:space="preserve">16.1. </w:t>
      </w:r>
      <w:r w:rsidRPr="00A8138F">
        <w:rPr>
          <w:i/>
        </w:rPr>
        <w:t>Exposición del motivo y alegaciones de las partes</w:t>
      </w:r>
    </w:p>
    <w:p w14:paraId="788C47BD" w14:textId="77777777" w:rsidR="00A8138F" w:rsidRDefault="00A8138F" w:rsidP="00A8138F">
      <w:pPr>
        <w:pStyle w:val="TextoNormal"/>
      </w:pPr>
    </w:p>
    <w:p w14:paraId="681303C2" w14:textId="77777777" w:rsidR="00A8138F" w:rsidRDefault="00A8138F" w:rsidP="00A8138F">
      <w:pPr>
        <w:pStyle w:val="TextoNormal"/>
      </w:pPr>
      <w:r>
        <w:t>Se denuncia en el recurso la inconstitucionalidad del apartado segundo del art. 7 de la Ley de amnistía, que establece la irrepetibilidad de las cantidades abonadas en concepto de multa, salvo aquellas fruto de la imposición de sanciones por infracciones de la Ley Orgánica 4/2015, de 30 de marzo, de protección de la seguridad ciudadana, con excepción de las muy graves, en atención a criterios de proporcionalidad valorados por la administración sancionadora. A juicio de los recurrentes, esta previsión vulnera, de un lado, el principio de legalidad sancionadora en su vertiente material en tanto que “la sanción de las infracciones muy graves se deja a una decisión prácticamente libre y arbitraria de la administración”. De otro lado, consideran que introduce una diferenciación arbitraria contraria a los arts. 9.3, 14 y 25.1 CE entre las sanciones administrativas en general, “que son sancionables y no se incluyen en la amnistía”, y las tipificadas en la Ley Orgánica 4/2015, que “resultan privilegiadas por la amnistía”, sobre la que no existe explicación alguna.</w:t>
      </w:r>
    </w:p>
    <w:p w14:paraId="310F9A1F" w14:textId="77777777" w:rsidR="00A8138F" w:rsidRDefault="00A8138F" w:rsidP="00A8138F">
      <w:pPr>
        <w:pStyle w:val="TextoNormal"/>
      </w:pPr>
    </w:p>
    <w:p w14:paraId="69658B1D" w14:textId="77777777" w:rsidR="00A8138F" w:rsidRDefault="00A8138F" w:rsidP="00A8138F">
      <w:pPr>
        <w:pStyle w:val="TextoNormal"/>
      </w:pPr>
      <w:r>
        <w:t>El abogado del Estado considera inadmisible el motivo en tanto que es la Ley de amnistía la que establece qué infracciones pueden ser perdonadas y no impide que las decisiones de la administración puedan ser revisadas a través de los procedimientos previstos en la Ley reguladora de la jurisdicción contencioso-administrativa.</w:t>
      </w:r>
    </w:p>
    <w:p w14:paraId="70C8405D" w14:textId="77777777" w:rsidR="00A8138F" w:rsidRDefault="00A8138F" w:rsidP="00A8138F">
      <w:pPr>
        <w:pStyle w:val="TextoNormal"/>
      </w:pPr>
    </w:p>
    <w:p w14:paraId="1715587D" w14:textId="77777777" w:rsidR="00A8138F" w:rsidRDefault="00A8138F" w:rsidP="00A8138F">
      <w:pPr>
        <w:pStyle w:val="TextoNormal"/>
      </w:pPr>
      <w:r>
        <w:t xml:space="preserve">16.2. </w:t>
      </w:r>
      <w:r w:rsidRPr="00A8138F">
        <w:rPr>
          <w:i/>
        </w:rPr>
        <w:t>Enjuiciamiento del motivo</w:t>
      </w:r>
    </w:p>
    <w:p w14:paraId="2B936E06" w14:textId="77777777" w:rsidR="00A8138F" w:rsidRDefault="00A8138F" w:rsidP="00A8138F">
      <w:pPr>
        <w:pStyle w:val="TextoNormal"/>
      </w:pPr>
    </w:p>
    <w:p w14:paraId="3D129A29" w14:textId="77777777" w:rsidR="00A8138F" w:rsidRDefault="00A8138F" w:rsidP="00A8138F">
      <w:pPr>
        <w:pStyle w:val="TextoNormal"/>
      </w:pPr>
      <w:r>
        <w:t>El art. 7 de la Ley de amnistía, inserto en el título II de la Ley, relativo a los efectos de la amnistía, regula los “[e]fectos sobre indemnizaciones y restituciones”. Tras establecer en el apartado primero que la amnistía no dará derecho a percibir indemnización alguna ni generará derechos económicos, la previsión del segundo apartado que el recurso cuestiona dispone lo siguiente:</w:t>
      </w:r>
    </w:p>
    <w:p w14:paraId="55612CE0" w14:textId="77777777" w:rsidR="00A8138F" w:rsidRDefault="00A8138F" w:rsidP="00A8138F">
      <w:pPr>
        <w:pStyle w:val="TextoNormal"/>
      </w:pPr>
    </w:p>
    <w:p w14:paraId="63FB6AFE" w14:textId="77777777" w:rsidR="00A8138F" w:rsidRDefault="00A8138F" w:rsidP="00A8138F">
      <w:pPr>
        <w:pStyle w:val="TextoNormal"/>
      </w:pPr>
      <w:r>
        <w:t>“2. Tampoco dará derecho a la restitución de las cantidades abonadas en concepto de multa, salvo las satisfechas por imposición de sanciones al amparo de la Ley Orgánica 4/2015, de 30 de marzo, de protección de la seguridad ciudadana, con excepción de las impuestas por infracciones muy graves, siempre que, a criterio de la administración que impuso la sanción, se estime que concurren para ello criterios de proporcionalidad”.</w:t>
      </w:r>
    </w:p>
    <w:p w14:paraId="3EFFE5B1" w14:textId="77777777" w:rsidR="00A8138F" w:rsidRDefault="00A8138F" w:rsidP="00A8138F">
      <w:pPr>
        <w:pStyle w:val="TextoNormal"/>
      </w:pPr>
    </w:p>
    <w:p w14:paraId="722688BC" w14:textId="77777777" w:rsidR="00A8138F" w:rsidRDefault="00A8138F" w:rsidP="00A8138F">
      <w:pPr>
        <w:pStyle w:val="TextoNormal"/>
      </w:pPr>
      <w:r>
        <w:t>El tenor transcrito del art. 7.2 de la Ley de amnistía evidencia, frente al doble reproche de inconstitucionalidad que le dirigen los recurrentes, que la disposición en absoluto atañe a la sanción o no de las contravenciones de la Ley Orgánica de protección de la seguridad ciudadana ni, en general, tiene por objeto reglas específicas sobre el catálogo de infracciones administrativas exoneradas, que se fija por las disposiciones sobre el ámbito objetivo de la ley (arts. 1 y 2 de la Ley de amnistía). El precepto impugnado opera una vez que los actos ilícitos han sido amnistiados, por incluirse en el ámbito de aplicación de la ley a juicio de las autoridades judiciales o administrativas competentes, extinguiéndose la responsabilidad penal, administrativa o contable que corresponda, para establecer con carácter general que las cantidades abonadas en concepto de multa por los hechos amnistiados, sea cual sea su naturaleza, no serán restituidas. A continuación establece un régimen específico para las cantidades satisfechas por las infracciones de la Ley Orgánica de protección de la seguridad ciudadana, ya que dispone su repetición si, a criterio de la administración sancionadora, concurren criterios de proporcionalidad para ello. Esa posibilidad solo se prevé, además, para las multas impuestas por infracciones de seguridad ciudadana que no sean muy graves, esto es, para las leves o graves, según reza el artículo y especifica el preámbulo (apartado VI).</w:t>
      </w:r>
    </w:p>
    <w:p w14:paraId="1F48CFA1" w14:textId="77777777" w:rsidR="00A8138F" w:rsidRDefault="00A8138F" w:rsidP="00A8138F">
      <w:pPr>
        <w:pStyle w:val="TextoNormal"/>
      </w:pPr>
    </w:p>
    <w:p w14:paraId="19ACD7A4" w14:textId="77777777" w:rsidR="00A8138F" w:rsidRDefault="00A8138F" w:rsidP="00A8138F">
      <w:pPr>
        <w:pStyle w:val="TextoNormal"/>
      </w:pPr>
      <w:r>
        <w:t>A la luz del contenido del art. 7.2 de la Ley de amnistía descrito, carecen de base las censuras que efectúa el motivo. No deja en manos de la administración el castigo de infracción alguna, menos aún de las muy graves a las que se refieren los recurrentes, que la norma excluye de la posibilidad de reintegro. Tampoco incorpora la diferencia denunciada entre infracciones administrativas sancionables (o no amnistiables), las del Derecho administrativo sancionador con carácter general, y no sancionables (o amnistiables), las tipificadas en la Ley Orgánica 4/2015. La disposición legal se limita a determinar el régimen de restitución de las multas abonadas en concepto de sanción por hechos amnistiados, atribuyendo a la administración la decisión sobre el reintegro de las correspondientes a infracciones leves y graves de seguridad ciudadana, que debe adoptar, no libre o arbitrariamente, sino conforme a criterios de proporcionalidad, y sin perjuicio del control ulterior por la jurisdicción contencioso-administrativa. En definitiva, las alegaciones formuladas en la demanda tienen como presupuesto una lectura del contenido normativo del precepto que no se corresponde con la regulación que efectivamente incorpora, por lo que tal y como se formulan deben ser desestimadas.</w:t>
      </w:r>
    </w:p>
    <w:p w14:paraId="2F22E746" w14:textId="77777777" w:rsidR="00A8138F" w:rsidRDefault="00A8138F" w:rsidP="00A8138F">
      <w:pPr>
        <w:pStyle w:val="TextoNormal"/>
      </w:pPr>
    </w:p>
    <w:p w14:paraId="3E7A1ED4" w14:textId="77777777" w:rsidR="00A8138F" w:rsidRDefault="00A8138F" w:rsidP="00A8138F">
      <w:pPr>
        <w:pStyle w:val="TextoNormal"/>
      </w:pPr>
      <w:r>
        <w:t>Aun a riesgo de reconstruir el motivo, cabe entender que, cuando el recurso alude en él a sanción o emplea el término “sancionable”, pretender referirse a la restitución o el carácter restituible de las multas pagadas por ilícitos administrativos amnistiados. Y que, en consecuencia, se denuncia la arbitrariedad y discriminación de prever un régimen particular de devolución de las cantidades abonadas como sanción por infracciones leves y graves de la Ley Orgánica 4/2015 amnistiadas —restituibles— frente al resto de multas impuestas por contravenciones administrativas asimismo amnistiadas, que no generan derecho de reintegro alguno.</w:t>
      </w:r>
    </w:p>
    <w:p w14:paraId="3317E923" w14:textId="77777777" w:rsidR="00A8138F" w:rsidRDefault="00A8138F" w:rsidP="00A8138F">
      <w:pPr>
        <w:pStyle w:val="TextoNormal"/>
      </w:pPr>
    </w:p>
    <w:p w14:paraId="5A4E8BE5" w14:textId="77777777" w:rsidR="00A8138F" w:rsidRDefault="00A8138F" w:rsidP="00A8138F">
      <w:pPr>
        <w:pStyle w:val="TextoNormal"/>
      </w:pPr>
      <w:r>
        <w:t>Con ocasión del análisis de la alegación global de arbitrariedad y quiebra de la igualdad de la Ley de amnistía se ha expuesto con detalle la doctrina constitucional relevante (FFJJ 7.2 y 8.2), a cuyo desarrollo y referencias debemos remitirnos ahora. Conforme a lo indicado allí, quien formule la censura de arbitrariedad debe razonarla en detalle y el motivo prosperará solo si la medida adoptada carece absolutamente de explicación racional o es el resultado de una discriminación normativa, aspecto que enlaza con la denuncia de vulneración del art. 14 CE. Al respecto, resulta pertinente recordar de nuevo que el principio de igualdad es un límite a la potestad del legislador que se ve vulnerado cuando introduce un elemento o factor de diferenciación entre situaciones sustancialmente iguales carente de fundamento racional, de modo que resulte arbitraria. La cláusula general de igualdad del inciso primero del art. 14 CE exige una justificación objetiva y razonable de aquella previsión legislativa que introduzca consecuencias jurídicas diversas para situaciones homogéneas tanto de la finalidad como de los efectos de la medida, que no deben determinar resultados especialmente gravosos o desmedidos.</w:t>
      </w:r>
    </w:p>
    <w:p w14:paraId="1618F85B" w14:textId="77777777" w:rsidR="00A8138F" w:rsidRDefault="00A8138F" w:rsidP="00A8138F">
      <w:pPr>
        <w:pStyle w:val="TextoNormal"/>
      </w:pPr>
    </w:p>
    <w:p w14:paraId="137FE59B" w14:textId="77777777" w:rsidR="00A8138F" w:rsidRDefault="00A8138F" w:rsidP="00A8138F">
      <w:pPr>
        <w:pStyle w:val="TextoNormal"/>
      </w:pPr>
      <w:r>
        <w:t>A la previsión cuestionada alude el preámbulo de la Ley de amnistía en su apartado VI al describir el contenido del título II de la ley orgánica, relativo a los efectos de la exoneración de responsabilidad. Se explica allí que “la amnistía no dará derecho a percibir indemnización alguna, ni dará lugar a la restitución de las cantidades abonadas en concepto de multa o sanción salvo las satisfechas por imposición de sanciones leves o graves al amparo de la Ley Orgánica 4/2015, de 30 de marzo, de protección de la seguridad ciudadana, siempre que concurran para ello criterios de proporcionalidad según estime la administración que impuso la sanción”. De forma específica el legislador se limita a señalar la excepcional devolución de las cantidades abonadas en concepto de multa o sanción por infracciones de la Ley Orgánica de protección de la seguridad ciudadana y a aclarar que dicha excepción solo abarca las sanciones leves o graves y en tanto concurran razones de proporcionalidad que corresponde apreciar a la administración sancionadora.</w:t>
      </w:r>
    </w:p>
    <w:p w14:paraId="65A4F6E0" w14:textId="77777777" w:rsidR="00A8138F" w:rsidRDefault="00A8138F" w:rsidP="00A8138F">
      <w:pPr>
        <w:pStyle w:val="TextoNormal"/>
      </w:pPr>
    </w:p>
    <w:p w14:paraId="664631C5" w14:textId="77777777" w:rsidR="00A8138F" w:rsidRDefault="00A8138F" w:rsidP="00A8138F">
      <w:pPr>
        <w:pStyle w:val="TextoNormal"/>
      </w:pPr>
      <w:r>
        <w:t>No resulta difícil, sin embargo, apreciar la conexión de la previsión normativa en cuestión con la finalidad justificativa de la Ley de amnistía, previamente explicada en el preámbulo (apartado II), que, como se viene repitiendo, persigue favorecer la reconciliación y encauzar el conflicto político mediante la rebaja de los elementos de tensión. Entre otros, identifica como representativos de tal “tensión política, social e institucional” los ilícitos cometidos en “la organización y celebración de la consulta y el referéndum” y los que “guardan una profunda conexión con los mismos, como pueden ser […] las diferentes acciones de protesta para permitir su celebración o mostrar oposición al procesamiento o condena de sus responsables”; alude asimismo a las movilizaciones intensas y sostenidas en el tiempo que han acompañado al proceso independentista. De forma refleja, la delimitación inicial que el art. 1.1 de la Ley de amnistía efectúa de los hechos amnistiables por el criterio general de que se trate de actuaciones cometidas en el contexto del proceso independentista catalán, señaladamente en el marco de las consultas de 2014 y 2017, se concreta luego en sus diversos apartados, refiriéndose de forma específica, entre otros, a actos de desobediencia, desórdenes públicos, atentados contra la autoridad, sus agentes y los funcionarios públicos, resistencia, actos contra el orden y la paz pública o de desconsideración, crítica o agravio vertidos contra las autoridades y funcionarios públicos, los entes o instituciones públicas, así como sus símbolos o emblemas [apartados c) y d)], todos ellos ilícitos característicos del desenvolvimiento de las acciones de protesta y movilización social.</w:t>
      </w:r>
    </w:p>
    <w:p w14:paraId="747F4572" w14:textId="77777777" w:rsidR="00A8138F" w:rsidRDefault="00A8138F" w:rsidP="00A8138F">
      <w:pPr>
        <w:pStyle w:val="TextoNormal"/>
      </w:pPr>
    </w:p>
    <w:p w14:paraId="052F0DCA" w14:textId="77777777" w:rsidR="00A8138F" w:rsidRDefault="00A8138F" w:rsidP="00A8138F">
      <w:pPr>
        <w:pStyle w:val="TextoNormal"/>
      </w:pPr>
      <w:r>
        <w:t>Basta la lectura del catálogo de infracciones graves y leves de seguridad ciudadana (arts. 36 y 37 LOPSC), para apreciar que tales contravenciones se ven especialmente concernidas, pues por su contenido típico mantienen una clara conexión con el proceso independentista, ya que abarcan, por ejemplo, reuniones o manifestaciones no comunicadas, la negativa a disolverlas, la perturbación de su desarrollo o el incumplimiento de las restricciones de circulación, desórdenes públicos, la obstaculización y ocupación de la vía pública, daños a bienes muebles e inmuebles, actos de desobediencia o resistencia a la autoridad o a sus agentes o falta de respeto y consideración a los miembros de las fuerzas y cuerpos de seguridad del Estado. Resulta razonable considerar, por ello, que un amplio porcentaje de las conductas acontecidas en el contexto independentista determinantes de responsabilidad son infracciones de la Ley Orgánica de protección de la seguridad ciudadana. Las modalidades de conducta que el legislador enumera como inequívocas actuaciones amnistiables en el art. 1.1 de la Ley de amnistía se proyectan principal y mayoritariamente en las infracciones de seguridad ciudadana de desobediencia, faltas o resistencia a la autoridad en que incurrieron los ciudadanos que participaron en las numerosas manifestaciones y protestas que tuvieron lugar en el contexto y marco temporal al que atiende la ley. No ocurre así con las faltas muy graves tipificadas en el art. 35 LOPSC, que, si bien sanciona en su apartado primero reuniones o manifestaciones no comunicadas o prohibidas, vincula el desvalor de la conducta prohibida con que la celebración se produzca en infraestructuras o instalaciones en las que se prestan servicios básicos para la comunidad y, sobre todo, con la generación de un riesgo para la vida o la integridad física de las personas.</w:t>
      </w:r>
    </w:p>
    <w:p w14:paraId="5D68E7FA" w14:textId="77777777" w:rsidR="00A8138F" w:rsidRDefault="00A8138F" w:rsidP="00A8138F">
      <w:pPr>
        <w:pStyle w:val="TextoNormal"/>
      </w:pPr>
    </w:p>
    <w:p w14:paraId="66233FAB" w14:textId="77777777" w:rsidR="00A8138F" w:rsidRDefault="00A8138F" w:rsidP="00A8138F">
      <w:pPr>
        <w:pStyle w:val="TextoNormal"/>
      </w:pPr>
      <w:r>
        <w:t xml:space="preserve">Identificados los ilícitos graves y leves contra la seguridad ciudadana como un elemento de tensión particularmente significativo, no carece de justificación que el legislador haya puesto el acento en ellos y disponga una consecuencia adicional a los efectos generales de extinción de responsabilidad administrativa regulados en el art. 5 de la Ley de amnistía, que ya prevé en su segundo apartado la consecuencia específica de la eliminación del registro central de infracciones contra la seguridad ciudadana de las infracciones y sanciones a los que se aplique la amnistía. La devolución de las multas impuestas por infracciones leves y graves de la Ley Orgánica 4/2015, cuya cuantía puede oscilar entre 100 y 600 € y 601 y 30 000 € respectivamente (art. 39 LOPSC), constituye una medida complementaria de contenido económico </w:t>
      </w:r>
      <w:r w:rsidRPr="00A8138F">
        <w:rPr>
          <w:i/>
        </w:rPr>
        <w:t>a priori</w:t>
      </w:r>
      <w:r>
        <w:t xml:space="preserve"> idónea en orden a eliminar o rebajar en la mayor medida posible un relevante y singular factor de tensión y desafección por afectar a numerosos ciudadanos en aras de lograr o favorecer el objetivo de la reconciliación y de encauzar el conflicto político subyacente a través del diálogo.</w:t>
      </w:r>
    </w:p>
    <w:p w14:paraId="6908BBBD" w14:textId="77777777" w:rsidR="00A8138F" w:rsidRDefault="00A8138F" w:rsidP="00A8138F">
      <w:pPr>
        <w:pStyle w:val="TextoNormal"/>
      </w:pPr>
    </w:p>
    <w:p w14:paraId="1680C4D5" w14:textId="77777777" w:rsidR="00A8138F" w:rsidRDefault="00A8138F" w:rsidP="00A8138F">
      <w:pPr>
        <w:pStyle w:val="TextoNormal"/>
      </w:pPr>
      <w:r>
        <w:t>Desde las anteriores consideraciones, existe una justificación objetiva y razonable de la decisión de restituir el importe ya abonado por haber incurrido en una infracción grave o leve de seguridad ciudadana amnistiada frente a la ausencia de reintegro de las multas pagadas por otros actos determinantes de distintos tipos de responsabilidad en relación con el proceso independentista.</w:t>
      </w:r>
    </w:p>
    <w:p w14:paraId="156DA1A7" w14:textId="77777777" w:rsidR="00A8138F" w:rsidRDefault="00A8138F" w:rsidP="00A8138F">
      <w:pPr>
        <w:pStyle w:val="TextoNormal"/>
      </w:pPr>
    </w:p>
    <w:p w14:paraId="24FA5E3C" w14:textId="3863CE07" w:rsidR="00A8138F" w:rsidRDefault="00A8138F" w:rsidP="00A8138F">
      <w:pPr>
        <w:pStyle w:val="TextoNormal"/>
      </w:pPr>
      <w:r>
        <w:t>La previsión normativa tampoco puede considerarse discriminatoria por existir una manifiesta desproporción entre la medida y la finalidad perseguida. El alcance material de la posible restitución se amolda a la finalidad de avanzar en la distensión y el diálogo mediante la rebaja o la eliminación de un particular elemento tensor y generador de desafección: las sanciones de seguridad ciudadana impuestas a múltiples ciudadanos por conductas vinculadas con la movilización social que acompañó el proceso independentista catalán, favorables y contrarias al mismo, como ya se ha indicado, durante más de diez años. Quedan fuera, sin embargo, las multas abonadas por conductas atentatorias contra la seguridad ciudadana más graves, constitutivas de infracciones administrativas muy graves o delito, o contra otros intereses, que no pueden equipararse a las anteriores. Tampoco resulta irrazonable la consideración del legislador de que el reintegro de las cantidades pagadas en concepto de multa por tales ilícitos es en abstracto funcional para mitigar la confrontación y el conflicto en tanto revierte las consecuencias jurídicas peyorativas sufridas. Como se viene repitiendo, el diseño de la amnistía, de su alcance y efectos, podría ser otro, pero al Tribunal le corresponde solo examinar si el dibujado por la Ley de amnistía, en este punto respecto a la devolución de las multas, es razonablemente adecuado para cumplir su finalidad legítima y no tiene unas consecuencias manifiestamente excesivas, tal y como se ha apreciado, por lo que debe desestimarse el motivo.</w:t>
      </w:r>
    </w:p>
    <w:p w14:paraId="24016CD5" w14:textId="77777777" w:rsidR="00A8138F" w:rsidRDefault="00A8138F" w:rsidP="00A8138F">
      <w:pPr>
        <w:pStyle w:val="TextoNormal"/>
      </w:pPr>
    </w:p>
    <w:p w14:paraId="34AD8E90" w14:textId="77777777" w:rsidR="00A8138F" w:rsidRDefault="00A8138F" w:rsidP="00A8138F">
      <w:pPr>
        <w:pStyle w:val="TextoNormal"/>
      </w:pPr>
      <w:r w:rsidRPr="00A8138F">
        <w:rPr>
          <w:rStyle w:val="NumeroAFNegritaCaracter"/>
        </w:rPr>
        <w:t>17</w:t>
      </w:r>
      <w:r>
        <w:t xml:space="preserve">. </w:t>
      </w:r>
      <w:r w:rsidRPr="00A8138F">
        <w:rPr>
          <w:i/>
        </w:rPr>
        <w:t>La alegada inconstitucionalidad (arts. 14 y 24.1 CE) del régimen procesal de la responsabilidad civil (art. 8.2 de la Ley de amnistía)</w:t>
      </w:r>
    </w:p>
    <w:p w14:paraId="00894A5C" w14:textId="77777777" w:rsidR="00A8138F" w:rsidRDefault="00A8138F" w:rsidP="00A8138F">
      <w:pPr>
        <w:pStyle w:val="TextoNormal"/>
      </w:pPr>
    </w:p>
    <w:p w14:paraId="60A4BF26" w14:textId="77777777" w:rsidR="00A8138F" w:rsidRDefault="00A8138F" w:rsidP="00A8138F">
      <w:pPr>
        <w:pStyle w:val="TextoNormal"/>
      </w:pPr>
      <w:r>
        <w:t xml:space="preserve">17.1. </w:t>
      </w:r>
      <w:r w:rsidRPr="00A8138F">
        <w:rPr>
          <w:i/>
        </w:rPr>
        <w:t>Exposición del motivo y alegaciones de las partes</w:t>
      </w:r>
    </w:p>
    <w:p w14:paraId="38A6D629" w14:textId="77777777" w:rsidR="00A8138F" w:rsidRDefault="00A8138F" w:rsidP="00A8138F">
      <w:pPr>
        <w:pStyle w:val="TextoNormal"/>
      </w:pPr>
    </w:p>
    <w:p w14:paraId="12ABAE44" w14:textId="77777777" w:rsidR="00A8138F" w:rsidRDefault="00A8138F" w:rsidP="00A8138F">
      <w:pPr>
        <w:pStyle w:val="TextoNormal"/>
      </w:pPr>
      <w:r>
        <w:t>Los diputados y senadores recurrentes denuncian que la reserva de responsabilidad civil que se contiene en el segundo párrafo del art. 8.2 de la Ley de amnistía vulnera el derecho a la tutela judicial efectiva del art. 24.1 CE porque instaura un procedimiento para la reclamación de los perjuicios sufridos por las víctimas más gravoso que el ejercicio conjunto de la acción civil y penal, al imponerles el gravamen económico y procesal de reclamar separadamente en vía civil, con el coste de abogado y procurador y la dificultad añadida de no poder contar con las pruebas producidas en el proceso penal ya sobreseído. Vulnera también el art. 24.1 CE en relación con el art. 14 CE, al establecer una diferenciación arbitraria entre las víctimas sujetas al régimen general que pueden obtener la reparación de los daños sufridos en vía penal, con auxilio del Ministerio Fiscal, sin necesidad de personarse con abogado y procurador, y las víctimas que hayan sufrido daños por delitos cometidos en el contexto del denominado proceso independentista catalán, que se convierten en víctimas de segundo nivel simplemente por la intencionalidad política de los autores del delito.</w:t>
      </w:r>
    </w:p>
    <w:p w14:paraId="16359D94" w14:textId="77777777" w:rsidR="00A8138F" w:rsidRDefault="00A8138F" w:rsidP="00A8138F">
      <w:pPr>
        <w:pStyle w:val="TextoNormal"/>
      </w:pPr>
    </w:p>
    <w:p w14:paraId="3C481ABA" w14:textId="77777777" w:rsidR="00A8138F" w:rsidRDefault="00A8138F" w:rsidP="00A8138F">
      <w:pPr>
        <w:pStyle w:val="TextoNormal"/>
      </w:pPr>
      <w:r>
        <w:t>El abogado del Estado rebate este motivo argumentando que el art. 8.2 de la Ley de amnistía es mera reiteración de lo previsto en la Ley de enjuiciamiento criminal, arts. 100 y siguientes, en concreto en el art. 116, que dispone que la extinción de la acción penal no lleva consigo la extinción de la acción civil y que la persona a quien corresponda “podrá ejercitarla, ante la jurisdicción y por la vía de lo civil que proceda, contra quien estuviere obligado a la restitución de la cosa, reparación del daño o indemnización del perjuicio sufrido”. No se establece, por lo tanto, un régimen distinto al previsto en otros casos de extinción de la responsabilidad criminal, como la prescripción o el indulto, por lo que la censura no sería referenciable en la Ley de amnistía, sino en el propio sistema de la Ley de enjuiciamiento criminal, respecto del cual ninguna tacha de inconstitucionalidad se realiza. El precepto impugnado, lejos de suponer una vulneración del art. 24.1 CE, establece precisamente la salvaguarda del derecho de defensa de los particulares que hayan sufrido consecuencias de carácter civil.</w:t>
      </w:r>
    </w:p>
    <w:p w14:paraId="7A06CE7F" w14:textId="77777777" w:rsidR="00A8138F" w:rsidRDefault="00A8138F" w:rsidP="00A8138F">
      <w:pPr>
        <w:pStyle w:val="TextoNormal"/>
      </w:pPr>
    </w:p>
    <w:p w14:paraId="3AD10A04" w14:textId="77777777" w:rsidR="00A8138F" w:rsidRDefault="00A8138F" w:rsidP="00A8138F">
      <w:pPr>
        <w:pStyle w:val="TextoNormal"/>
      </w:pPr>
      <w:r>
        <w:t xml:space="preserve">17.2. </w:t>
      </w:r>
      <w:r w:rsidRPr="00A8138F">
        <w:rPr>
          <w:i/>
        </w:rPr>
        <w:t>Enjuiciamiento del motivo</w:t>
      </w:r>
    </w:p>
    <w:p w14:paraId="6592BB4C" w14:textId="77777777" w:rsidR="00A8138F" w:rsidRDefault="00A8138F" w:rsidP="00A8138F">
      <w:pPr>
        <w:pStyle w:val="TextoNormal"/>
      </w:pPr>
    </w:p>
    <w:p w14:paraId="33DEA1AC" w14:textId="77777777" w:rsidR="00A8138F" w:rsidRDefault="00A8138F" w:rsidP="00A8138F">
      <w:pPr>
        <w:pStyle w:val="TextoNormal"/>
      </w:pPr>
      <w:r>
        <w:t>El art. 8.2 de la Ley de amnistía dispone lo siguiente:</w:t>
      </w:r>
    </w:p>
    <w:p w14:paraId="667CEE00" w14:textId="77777777" w:rsidR="00A8138F" w:rsidRDefault="00A8138F" w:rsidP="00A8138F">
      <w:pPr>
        <w:pStyle w:val="TextoNormal"/>
      </w:pPr>
    </w:p>
    <w:p w14:paraId="143DA3E1" w14:textId="77777777" w:rsidR="00A8138F" w:rsidRDefault="00A8138F" w:rsidP="00A8138F">
      <w:pPr>
        <w:pStyle w:val="TextoNormal"/>
      </w:pPr>
      <w:r>
        <w:t>“Sin perjuicio de lo establecido en el apartado anterior, la amnistía otorgada dejará siempre a salvo la responsabilidad civil que pudiera corresponder por los daños sufridos por los particulares, que no se sustanciará ante la jurisdicción penal”.</w:t>
      </w:r>
    </w:p>
    <w:p w14:paraId="6022DA13" w14:textId="77777777" w:rsidR="00A8138F" w:rsidRDefault="00A8138F" w:rsidP="00A8138F">
      <w:pPr>
        <w:pStyle w:val="TextoNormal"/>
      </w:pPr>
    </w:p>
    <w:p w14:paraId="29B606BD" w14:textId="77777777" w:rsidR="00A8138F" w:rsidRDefault="00A8138F" w:rsidP="00A8138F">
      <w:pPr>
        <w:pStyle w:val="TextoNormal"/>
      </w:pPr>
      <w:r>
        <w:t>El art. 24.1 CE garantiza, ciertamente, el acceso a un proceso en el que se puedan hacer valer los derechos e intereses afectados, pero no incorpora un derecho fundamental a procesos determinados (SSTC 160/1998, de 14 de julio, FJ 4; 214/2000, de 18 de septiembre, FJ 5, y 112/2007, de 10 de mayo, FJ 5) pues se trata de un derecho fundamental que debe ser aplicado en cada caso según la naturaleza y fines de cada tipo de procedimiento (STC 7/1981, de 30 de marzo, FJ 6).</w:t>
      </w:r>
    </w:p>
    <w:p w14:paraId="311B3C00" w14:textId="77777777" w:rsidR="00A8138F" w:rsidRDefault="00A8138F" w:rsidP="00A8138F">
      <w:pPr>
        <w:pStyle w:val="TextoNormal"/>
      </w:pPr>
    </w:p>
    <w:p w14:paraId="30D8764A" w14:textId="77777777" w:rsidR="00A8138F" w:rsidRDefault="00A8138F" w:rsidP="00A8138F">
      <w:pPr>
        <w:pStyle w:val="TextoNormal"/>
      </w:pPr>
      <w:r>
        <w:t>El art. 8.2 de la Ley de amnistía no contradice, por lo tanto, las exigencias de la doctrina constitucional citada, ni tan siquiera se aparta de lo dispuesto en el art. 116 LECrim, que establece que la extinción de la acción penal, con carácter general, no lleva consigo la de la civil, y que la persona a quien corresponda la acción civil podrá ejercitarla, ante la jurisdicción y por la vía de lo civil que proceda, contra quien estuviere obligado a la restitución de la cosa, reparación del daño o indemnización del perjuicio sufrido. En definitiva, no infringe el art. 24.1 CE la norma que determina que la pretensión de reparación de los daños y perjuicios ocasionados por el delito deba deducirse por la vía civil, tras producirse el cierre definitivo del proceso penal por extinción o agotamiento de la acción penal, careciendo de relevancia, desde la perspectiva de dicho derecho fundamental, la alegación de que el procedimiento civil pueda presentar, por motivos como los que se exponen en la demanda, ciertas dificultades o inconvenientes que no se darían en el proceso penal.</w:t>
      </w:r>
    </w:p>
    <w:p w14:paraId="33E67CDF" w14:textId="77777777" w:rsidR="00A8138F" w:rsidRDefault="00A8138F" w:rsidP="00A8138F">
      <w:pPr>
        <w:pStyle w:val="TextoNormal"/>
      </w:pPr>
    </w:p>
    <w:p w14:paraId="7D2CA477" w14:textId="77777777" w:rsidR="00A8138F" w:rsidRDefault="00A8138F" w:rsidP="00A8138F">
      <w:pPr>
        <w:pStyle w:val="TextoNormal"/>
      </w:pPr>
      <w:r>
        <w:t>En lo que se refiere al trato dispar que reciben las víctimas de los delitos amnistiados que han de acudir a la vía civil para hacer valer sus derechos, no se puede afirmar que se trate de una diferenciación arbitraria o carente de toda razón, susceptible de vulnerar el derecho a la igualdad (art. 14 CE). El cierre del proceso penal es consecuencia de la extinción de la responsabilidad penal que deriva a su vez de un mandato legal. La desvinculación de la acción civil respecto de la acción penal extinta es una consecuencia necesaria de la ley y constituye una justificación suficiente del itinerario procesal divergente que han de seguir para el reconocimiento y satisfacción de sus derechos quienes fueron víctimas o perjudicados por un delito situado en el ámbito objetivo de aplicación de la Ley de amnistía.</w:t>
      </w:r>
    </w:p>
    <w:p w14:paraId="229C72A9" w14:textId="77777777" w:rsidR="00A8138F" w:rsidRDefault="00A8138F" w:rsidP="00A8138F">
      <w:pPr>
        <w:pStyle w:val="TextoNormal"/>
      </w:pPr>
    </w:p>
    <w:p w14:paraId="00D6080B" w14:textId="5C0C5CB4" w:rsidR="00A8138F" w:rsidRDefault="00A8138F" w:rsidP="00A8138F">
      <w:pPr>
        <w:pStyle w:val="TextoNormal"/>
      </w:pPr>
      <w:r>
        <w:t>Procede por ello declarar que el art. 8.2 de la Ley de amnistía no vulnera el derecho a la tutela judicial efectiva (art. 24.1 CE) ni el derecho a la igualdad (art. 14 CE).</w:t>
      </w:r>
    </w:p>
    <w:p w14:paraId="6C45E32E" w14:textId="77777777" w:rsidR="00A8138F" w:rsidRDefault="00A8138F" w:rsidP="00A8138F">
      <w:pPr>
        <w:pStyle w:val="TextoNormal"/>
      </w:pPr>
    </w:p>
    <w:p w14:paraId="0185AEF5" w14:textId="77777777" w:rsidR="00A8138F" w:rsidRDefault="00A8138F" w:rsidP="00A8138F">
      <w:pPr>
        <w:pStyle w:val="TextoNormal"/>
      </w:pPr>
      <w:r w:rsidRPr="00A8138F">
        <w:rPr>
          <w:rStyle w:val="NumeroAFNegritaCaracter"/>
        </w:rPr>
        <w:t>18</w:t>
      </w:r>
      <w:r>
        <w:t xml:space="preserve">. </w:t>
      </w:r>
      <w:r w:rsidRPr="00A8138F">
        <w:rPr>
          <w:i/>
        </w:rPr>
        <w:t>La alegada vulneración del derecho a la legalidad penal en relación con el derecho a la libertad (arts. 25.1 y 17.1 CE) por los efectos no suspensivos de los recursos (párrafo segundo del art. 10 de la Ley de amnistía)</w:t>
      </w:r>
    </w:p>
    <w:p w14:paraId="04C7BC8E" w14:textId="77777777" w:rsidR="00A8138F" w:rsidRDefault="00A8138F" w:rsidP="00A8138F">
      <w:pPr>
        <w:pStyle w:val="TextoNormal"/>
      </w:pPr>
    </w:p>
    <w:p w14:paraId="19BCCBB9" w14:textId="77777777" w:rsidR="00A8138F" w:rsidRDefault="00A8138F" w:rsidP="00A8138F">
      <w:pPr>
        <w:pStyle w:val="TextoNormal"/>
      </w:pPr>
      <w:r>
        <w:t xml:space="preserve">18.1. </w:t>
      </w:r>
      <w:r w:rsidRPr="00A8138F">
        <w:rPr>
          <w:i/>
        </w:rPr>
        <w:t>Exposición del motivo y alegaciones de las partes</w:t>
      </w:r>
    </w:p>
    <w:p w14:paraId="052C67EC" w14:textId="77777777" w:rsidR="00A8138F" w:rsidRDefault="00A8138F" w:rsidP="00A8138F">
      <w:pPr>
        <w:pStyle w:val="TextoNormal"/>
      </w:pPr>
    </w:p>
    <w:p w14:paraId="761B9E54" w14:textId="77777777" w:rsidR="00A8138F" w:rsidRDefault="00A8138F" w:rsidP="00A8138F">
      <w:pPr>
        <w:pStyle w:val="TextoNormal"/>
      </w:pPr>
      <w:r>
        <w:t>Este motivo aprecia una contradicción entre la exigencia de resolución firme para la eficacia de la amnistía que establece el art. 9.3 de la Ley de amnistía, que estima razonable, y el carácter no suspensivo de los recursos frente a las decisiones al respecto que dispone el párrafo segundo del art. 10 de la Ley de amnistía. A dicha contradicción achaca la vulneración de los arts. 25.1 y 17 CE, por “resultar determinante de la extinción de la responsabilidad criminal y, en su caso, de la recuperación de la plena libertad por parte de la persona sometida a medida cautelar o a pena privativa”. Circunscribe la inconstitucionalidad al inciso final del art. 10 de la Ley de amnistía “que no tendrán efectos suspensivos”.</w:t>
      </w:r>
    </w:p>
    <w:p w14:paraId="4168EC74" w14:textId="77777777" w:rsidR="00A8138F" w:rsidRDefault="00A8138F" w:rsidP="00A8138F">
      <w:pPr>
        <w:pStyle w:val="TextoNormal"/>
      </w:pPr>
    </w:p>
    <w:p w14:paraId="58AAE7F4" w14:textId="77777777" w:rsidR="00A8138F" w:rsidRDefault="00A8138F" w:rsidP="00A8138F">
      <w:pPr>
        <w:pStyle w:val="TextoNormal"/>
      </w:pPr>
      <w:r>
        <w:t>El abogado del Estado argumenta de contrario que el régimen no suspensivo de los recursos del art. 10 de la Ley de amnistía se limita a reproducir el régimen ordinario de recursos de la Ley de enjuiciamiento criminal, que prevé que la pena solo se ejecute cuando sea firme la resolución que la impone (art. 794 LECrim) y que la prisión provisional solo durará lo que subsistan los motivos que la hayan ocasionado (art. 528 LECrim). Sostiene que la decisión judicial inicial de aplicación de la amnistía determina el efecto provisional propio de la fase del proceso en que se haya apreciado y el efecto no suspensivo de los recursos ordinarios que quepan frente a ella tiene la finalidad evidente y proporcional de que “se dilate lo menos posible las consecuencias”.</w:t>
      </w:r>
    </w:p>
    <w:p w14:paraId="76DF31F6" w14:textId="77777777" w:rsidR="00A8138F" w:rsidRDefault="00A8138F" w:rsidP="00A8138F">
      <w:pPr>
        <w:pStyle w:val="TextoNormal"/>
      </w:pPr>
    </w:p>
    <w:p w14:paraId="7903B219" w14:textId="77777777" w:rsidR="00A8138F" w:rsidRDefault="00A8138F" w:rsidP="00A8138F">
      <w:pPr>
        <w:pStyle w:val="TextoNormal"/>
      </w:pPr>
      <w:r>
        <w:t xml:space="preserve">18.2. </w:t>
      </w:r>
      <w:r w:rsidRPr="00A8138F">
        <w:rPr>
          <w:i/>
        </w:rPr>
        <w:t>Enjuiciamiento del motivo</w:t>
      </w:r>
    </w:p>
    <w:p w14:paraId="784B0DAD" w14:textId="77777777" w:rsidR="00A8138F" w:rsidRDefault="00A8138F" w:rsidP="00A8138F">
      <w:pPr>
        <w:pStyle w:val="TextoNormal"/>
      </w:pPr>
    </w:p>
    <w:p w14:paraId="588FC96F" w14:textId="77777777" w:rsidR="00A8138F" w:rsidRDefault="00A8138F" w:rsidP="00A8138F">
      <w:pPr>
        <w:pStyle w:val="TextoNormal"/>
      </w:pPr>
      <w:r>
        <w:t>Bajo la rúbrica “Competencia y procedimiento” del título III de la Ley de amnistía, el art. 9, dedicado a la “Competencia para la aplicación de la amnistía”, después de atribuir a los órganos judiciales la aplicación de la amnistía de los actos tipificados como delito, dispone en su apartado 3 que:</w:t>
      </w:r>
    </w:p>
    <w:p w14:paraId="00BC68EB" w14:textId="77777777" w:rsidR="00A8138F" w:rsidRDefault="00A8138F" w:rsidP="00A8138F">
      <w:pPr>
        <w:pStyle w:val="TextoNormal"/>
      </w:pPr>
    </w:p>
    <w:p w14:paraId="2D738C4D" w14:textId="77777777" w:rsidR="00A8138F" w:rsidRDefault="00A8138F" w:rsidP="00A8138F">
      <w:pPr>
        <w:pStyle w:val="TextoNormal"/>
      </w:pPr>
      <w:r>
        <w:t>“3. Solo podrá entenderse amnistiado un acto determinante de responsabilidad penal, administrativa o contable concreto cuando así haya sido declarado por resolución firme dictada por el órgano competente para ello con arreglo a los preceptos de esta ley”.</w:t>
      </w:r>
    </w:p>
    <w:p w14:paraId="03088929" w14:textId="77777777" w:rsidR="00A8138F" w:rsidRDefault="00A8138F" w:rsidP="00A8138F">
      <w:pPr>
        <w:pStyle w:val="TextoNormal"/>
      </w:pPr>
    </w:p>
    <w:p w14:paraId="25295CAD" w14:textId="77777777" w:rsidR="00A8138F" w:rsidRDefault="00A8138F" w:rsidP="00A8138F">
      <w:pPr>
        <w:pStyle w:val="TextoNormal"/>
      </w:pPr>
      <w:r>
        <w:t>En el mismo título, el art. 10 de la Ley regula la “tramitación preferente y urgente” y establece en su párrafo segundo:</w:t>
      </w:r>
    </w:p>
    <w:p w14:paraId="11883853" w14:textId="77777777" w:rsidR="00A8138F" w:rsidRDefault="00A8138F" w:rsidP="00A8138F">
      <w:pPr>
        <w:pStyle w:val="TextoNormal"/>
      </w:pPr>
    </w:p>
    <w:p w14:paraId="224CBC78" w14:textId="77777777" w:rsidR="00A8138F" w:rsidRDefault="00A8138F" w:rsidP="00A8138F">
      <w:pPr>
        <w:pStyle w:val="TextoNormal"/>
      </w:pPr>
      <w:r>
        <w:t>“Las decisiones se adoptarán en el plazo máximo de dos meses, sin perjuicio de los ulteriores recursos, que no tendrán efectos suspensivos”.</w:t>
      </w:r>
    </w:p>
    <w:p w14:paraId="61455924" w14:textId="77777777" w:rsidR="00A8138F" w:rsidRDefault="00A8138F" w:rsidP="00A8138F">
      <w:pPr>
        <w:pStyle w:val="TextoNormal"/>
      </w:pPr>
    </w:p>
    <w:p w14:paraId="298BACF7" w14:textId="77777777" w:rsidR="00A8138F" w:rsidRDefault="00A8138F" w:rsidP="00A8138F">
      <w:pPr>
        <w:pStyle w:val="TextoNormal"/>
      </w:pPr>
      <w:r>
        <w:t>Es el carácter no suspensivo de los recursos que fija el último inciso del art. 10 de la Ley de amnistía el que, según los recurrentes, vulnera los arts. 25.1 y 17.1 CE por contradecir la exigencia de firmeza del art. 9.3 de la propia Ley.</w:t>
      </w:r>
    </w:p>
    <w:p w14:paraId="70C009B9" w14:textId="77777777" w:rsidR="00A8138F" w:rsidRDefault="00A8138F" w:rsidP="00A8138F">
      <w:pPr>
        <w:pStyle w:val="TextoNormal"/>
      </w:pPr>
    </w:p>
    <w:p w14:paraId="4B6116DE" w14:textId="77777777" w:rsidR="00A8138F" w:rsidRDefault="00A8138F" w:rsidP="00A8138F">
      <w:pPr>
        <w:pStyle w:val="TextoNormal"/>
      </w:pPr>
      <w:r>
        <w:t>El mínimo desarrollo argumentativo del motivo no permite atisbar dónde radica la afectación del derecho a la legalidad penal (art. 25.1 CE). No solo cabe reiterar aquí que la exigencia de certeza en la descripción de los tipos penales que dimana del art. 25.1 CE no se proyecta a la delimitación del ámbito de aplicación de la ley de amnistía [FJ 5.3.2 b)]. Debe tenerse en cuenta incluso con carácter previo que ni el inciso impugnado del art. 10 ni el art. 9.3 de la Ley de amnistía con que se contrasta contienen normas punitivas o determinantes de la existencia de responsabilidad penal, sino reglas relativas al procedimiento para aplicar la amnistía a actos constitutivos de delito.</w:t>
      </w:r>
    </w:p>
    <w:p w14:paraId="1B4B07E2" w14:textId="77777777" w:rsidR="00A8138F" w:rsidRDefault="00A8138F" w:rsidP="00A8138F">
      <w:pPr>
        <w:pStyle w:val="TextoNormal"/>
      </w:pPr>
    </w:p>
    <w:p w14:paraId="24E3E349" w14:textId="77777777" w:rsidR="00A8138F" w:rsidRDefault="00A8138F" w:rsidP="00A8138F">
      <w:pPr>
        <w:pStyle w:val="TextoNormal"/>
      </w:pPr>
      <w:r>
        <w:t>Por otro lado, tampoco desde la perspectiva del art. 17.1 CE se detalla o vislumbra incompatibilidad constitucional alguna, pues la exigencia de resolución firme para entender amnistiado un hecho delictivo no empece a que la aplicación judicial de la amnistía, de oficio o a instancia de parte, se articule en las sucesivas instancias desde la previsión más ventajosa para la libertad de los posibles beneficiados por la medida. No se aprecia la contradicción que denuncia el recurso ni, por ende, confusión alguna.</w:t>
      </w:r>
    </w:p>
    <w:p w14:paraId="0B64ED70" w14:textId="77777777" w:rsidR="00A8138F" w:rsidRDefault="00A8138F" w:rsidP="00A8138F">
      <w:pPr>
        <w:pStyle w:val="TextoNormal"/>
      </w:pPr>
    </w:p>
    <w:p w14:paraId="5B482DE4" w14:textId="1BC1B0F1" w:rsidR="00A8138F" w:rsidRDefault="00A8138F" w:rsidP="00A8138F">
      <w:pPr>
        <w:pStyle w:val="TextoNormal"/>
      </w:pPr>
      <w:r>
        <w:t>Ha de desestimarse la impugnación del inciso final del párrafo segundo del art. 10 de la Ley de amnistía.</w:t>
      </w:r>
    </w:p>
    <w:p w14:paraId="594DE79D" w14:textId="77777777" w:rsidR="00A8138F" w:rsidRDefault="00A8138F" w:rsidP="00A8138F">
      <w:pPr>
        <w:pStyle w:val="TextoNormal"/>
      </w:pPr>
    </w:p>
    <w:p w14:paraId="1C69645C" w14:textId="77777777" w:rsidR="00A8138F" w:rsidRDefault="00A8138F" w:rsidP="00A8138F">
      <w:pPr>
        <w:pStyle w:val="TextoNormal"/>
      </w:pPr>
      <w:r w:rsidRPr="00A8138F">
        <w:rPr>
          <w:rStyle w:val="NumeroAFNegritaCaracter"/>
        </w:rPr>
        <w:t>19</w:t>
      </w:r>
      <w:r>
        <w:t xml:space="preserve">. </w:t>
      </w:r>
      <w:r w:rsidRPr="00A8138F">
        <w:rPr>
          <w:i/>
        </w:rPr>
        <w:t>La alegada vulneración del derecho a la tutela judicial efectiva (art. 24.1 CE) como consecuencia de la exigencia de finalización del proceso por auto de sobreseimiento libre (art. 11.2 y 3 de la Ley de amnistía)</w:t>
      </w:r>
    </w:p>
    <w:p w14:paraId="1F16F335" w14:textId="77777777" w:rsidR="00A8138F" w:rsidRDefault="00A8138F" w:rsidP="00A8138F">
      <w:pPr>
        <w:pStyle w:val="TextoNormal"/>
      </w:pPr>
    </w:p>
    <w:p w14:paraId="50ADBAF5" w14:textId="77777777" w:rsidR="00A8138F" w:rsidRDefault="00A8138F" w:rsidP="00A8138F">
      <w:pPr>
        <w:pStyle w:val="TextoNormal"/>
      </w:pPr>
      <w:r>
        <w:t xml:space="preserve">19.1. </w:t>
      </w:r>
      <w:r w:rsidRPr="00A8138F">
        <w:rPr>
          <w:i/>
        </w:rPr>
        <w:t>Exposición del motivo y alegaciones de las partes</w:t>
      </w:r>
    </w:p>
    <w:p w14:paraId="36B7FC1E" w14:textId="77777777" w:rsidR="00A8138F" w:rsidRDefault="00A8138F" w:rsidP="00A8138F">
      <w:pPr>
        <w:pStyle w:val="TextoNormal"/>
      </w:pPr>
    </w:p>
    <w:p w14:paraId="5FF399DE" w14:textId="77777777" w:rsidR="00A8138F" w:rsidRDefault="00A8138F" w:rsidP="00A8138F">
      <w:pPr>
        <w:pStyle w:val="TextoNormal"/>
      </w:pPr>
      <w:r>
        <w:t xml:space="preserve">Se sostiene en la demanda que el art. 11 de la Ley de amnistía, en sus apartados 2 y 3, vulnera el derecho a la tutela judicial efectiva del art. 24.1 CE porque impone el sobreseimiento libre del art. 637 LECrim, cuando lo procedente sería, según entienden los parlamentarios recurrentes, el provisional del art. 641.2 LECrim, al tratarse de supuestos en los que quedó acreditada la perpetración de la infracción, pero no hay motivos para acusar a los responsables. Consideran que la Ley Orgánica 1/2024 impide de este modo acudir al recurso de revisión penal frente a un eventual error judicial en el otorgamiento de la amnistía, al tiempo que, dado que el sobreseimiento libre equivale a una sentencia absolutoria, “petrifica” la decisión por el efecto de </w:t>
      </w:r>
      <w:r w:rsidRPr="00A8138F">
        <w:rPr>
          <w:i/>
        </w:rPr>
        <w:t>res iudicata</w:t>
      </w:r>
      <w:r>
        <w:t>, deviniendo ilusoria la eventual declaración de nulidad que resultara del presente recurso de inconstitucionalidad.</w:t>
      </w:r>
    </w:p>
    <w:p w14:paraId="2C58285F" w14:textId="77777777" w:rsidR="00A8138F" w:rsidRDefault="00A8138F" w:rsidP="00A8138F">
      <w:pPr>
        <w:pStyle w:val="TextoNormal"/>
      </w:pPr>
    </w:p>
    <w:p w14:paraId="1C9C7D79" w14:textId="77777777" w:rsidR="00A8138F" w:rsidRDefault="00A8138F" w:rsidP="00A8138F">
      <w:pPr>
        <w:pStyle w:val="TextoNormal"/>
      </w:pPr>
      <w:r>
        <w:t>El abogado del Estado rebate este motivo argumentando que corresponde al juez, y no a la ley, apreciar la concurrencia de los presupuestos del precepto, y que la Ley de amnistía no innova ni modifica el sistema previsto en la Ley de enjuiciamiento criminal en caso de extinción de la responsabilidad criminal por amnistía (arts. 637.2 y 3, 666.4 y 675 LECrim).</w:t>
      </w:r>
    </w:p>
    <w:p w14:paraId="4BA2D3A9" w14:textId="77777777" w:rsidR="00A8138F" w:rsidRDefault="00A8138F" w:rsidP="00A8138F">
      <w:pPr>
        <w:pStyle w:val="TextoNormal"/>
      </w:pPr>
    </w:p>
    <w:p w14:paraId="1D352967" w14:textId="77777777" w:rsidR="00A8138F" w:rsidRDefault="00A8138F" w:rsidP="00A8138F">
      <w:pPr>
        <w:pStyle w:val="TextoNormal"/>
      </w:pPr>
      <w:r>
        <w:t xml:space="preserve">19.2. </w:t>
      </w:r>
      <w:r w:rsidRPr="00A8138F">
        <w:rPr>
          <w:i/>
        </w:rPr>
        <w:t>Enjuiciamiento del motivo</w:t>
      </w:r>
    </w:p>
    <w:p w14:paraId="684D18A7" w14:textId="77777777" w:rsidR="00A8138F" w:rsidRDefault="00A8138F" w:rsidP="00A8138F">
      <w:pPr>
        <w:pStyle w:val="TextoNormal"/>
      </w:pPr>
    </w:p>
    <w:p w14:paraId="5084AC53" w14:textId="77777777" w:rsidR="00A8138F" w:rsidRDefault="00A8138F" w:rsidP="00A8138F">
      <w:pPr>
        <w:pStyle w:val="TextoNormal"/>
      </w:pPr>
      <w:r>
        <w:t>Es oportuno transcribir aquí lo que dispone el art. 11 de la Ley de amnistía en sus tres primeros apartados:</w:t>
      </w:r>
    </w:p>
    <w:p w14:paraId="36B24CAA" w14:textId="77777777" w:rsidR="00A8138F" w:rsidRDefault="00A8138F" w:rsidP="00A8138F">
      <w:pPr>
        <w:pStyle w:val="TextoNormal"/>
      </w:pPr>
    </w:p>
    <w:p w14:paraId="71954594" w14:textId="77777777" w:rsidR="00A8138F" w:rsidRDefault="00A8138F" w:rsidP="00A8138F">
      <w:pPr>
        <w:pStyle w:val="TextoNormal"/>
      </w:pPr>
      <w:r>
        <w:t>“Artículo 11. Procedimiento en el ámbito penal</w:t>
      </w:r>
    </w:p>
    <w:p w14:paraId="09B2258A" w14:textId="77777777" w:rsidR="00A8138F" w:rsidRDefault="00A8138F" w:rsidP="00A8138F">
      <w:pPr>
        <w:pStyle w:val="TextoNormal"/>
      </w:pPr>
    </w:p>
    <w:p w14:paraId="744C9D86" w14:textId="77777777" w:rsidR="00A8138F" w:rsidRDefault="00A8138F" w:rsidP="00A8138F">
      <w:pPr>
        <w:pStyle w:val="TextoNormal"/>
      </w:pPr>
      <w:r>
        <w:t>1. La amnistía se aplicará por los órganos judiciales en cualquier fase del proceso penal.</w:t>
      </w:r>
    </w:p>
    <w:p w14:paraId="6104C6D0" w14:textId="77777777" w:rsidR="00A8138F" w:rsidRDefault="00A8138F" w:rsidP="00A8138F">
      <w:pPr>
        <w:pStyle w:val="TextoNormal"/>
      </w:pPr>
    </w:p>
    <w:p w14:paraId="2EA8168F" w14:textId="77777777" w:rsidR="00A8138F" w:rsidRDefault="00A8138F" w:rsidP="00A8138F">
      <w:pPr>
        <w:pStyle w:val="TextoNormal"/>
      </w:pPr>
      <w:r>
        <w:t>2. De aplicarse durante la fase de instrucción o la fase intermedia se decretará el sobreseimiento libre, previa audiencia del Ministerio Fiscal y de las partes, por el órgano judicial competente con arreglo al artículo 637.3 de la Ley de enjuiciamiento criminal.</w:t>
      </w:r>
    </w:p>
    <w:p w14:paraId="2ED0C58B" w14:textId="77777777" w:rsidR="00A8138F" w:rsidRDefault="00A8138F" w:rsidP="00A8138F">
      <w:pPr>
        <w:pStyle w:val="TextoNormal"/>
      </w:pPr>
    </w:p>
    <w:p w14:paraId="10B0FAA2" w14:textId="77777777" w:rsidR="00A8138F" w:rsidRDefault="00A8138F" w:rsidP="00A8138F">
      <w:pPr>
        <w:pStyle w:val="TextoNormal"/>
      </w:pPr>
      <w:r>
        <w:t>3. De aplicarse durante la fase de juicio oral el órgano judicial que estuviera conociendo del enjuiciamiento dictará auto de sobreseimiento libre o, en su caso, sentencia absolutoria, previo cumplimiento de los siguientes trámites:</w:t>
      </w:r>
    </w:p>
    <w:p w14:paraId="3ECE5CD1" w14:textId="77777777" w:rsidR="00A8138F" w:rsidRDefault="00A8138F" w:rsidP="00A8138F">
      <w:pPr>
        <w:pStyle w:val="TextoNormal"/>
      </w:pPr>
    </w:p>
    <w:p w14:paraId="3E424933" w14:textId="77777777" w:rsidR="00A8138F" w:rsidRDefault="00A8138F" w:rsidP="00A8138F">
      <w:pPr>
        <w:pStyle w:val="TextoNormal"/>
      </w:pPr>
      <w:r>
        <w:t>a) Las partes y el Ministerio Fiscal podrán proponer la aplicación de la amnistía como artículo de previo pronunciamiento de acuerdo con lo dispuesto en el artículo 666.4 de la Ley de enjuiciamiento criminal, con arreglo a lo establecido en el título II del libro III de la Ley de enjuiciamiento criminal o, en su caso, en el artículo 786 de la misma ley.</w:t>
      </w:r>
    </w:p>
    <w:p w14:paraId="4561DC9F" w14:textId="77777777" w:rsidR="00A8138F" w:rsidRDefault="00A8138F" w:rsidP="00A8138F">
      <w:pPr>
        <w:pStyle w:val="TextoNormal"/>
      </w:pPr>
    </w:p>
    <w:p w14:paraId="254F2DB7" w14:textId="77777777" w:rsidR="00A8138F" w:rsidRDefault="00A8138F" w:rsidP="00A8138F">
      <w:pPr>
        <w:pStyle w:val="TextoNormal"/>
      </w:pPr>
      <w:r>
        <w:t>b) También podrán las partes y el Ministerio Fiscal interesar su aplicación en cualquier momento del juicio oral o al formular sus conclusiones definitivas.</w:t>
      </w:r>
    </w:p>
    <w:p w14:paraId="42AD7F0D" w14:textId="77777777" w:rsidR="00A8138F" w:rsidRDefault="00A8138F" w:rsidP="00A8138F">
      <w:pPr>
        <w:pStyle w:val="TextoNormal"/>
      </w:pPr>
    </w:p>
    <w:p w14:paraId="62C55DA8" w14:textId="77777777" w:rsidR="00A8138F" w:rsidRDefault="00A8138F" w:rsidP="00A8138F">
      <w:pPr>
        <w:pStyle w:val="TextoNormal"/>
      </w:pPr>
      <w:r>
        <w:t>c) Cuando las partes o el Ministerio Fiscal no interesaran la aplicación de la amnistía, el órgano judicial deberá hacerlo de oficio, previa audiencia del Ministerio Fiscal y de las partes, si concurrieran los presupuestos para ello, dictando a tal efecto auto de sobreseimiento libre o, en su caso, sentencia absolutoria”.</w:t>
      </w:r>
    </w:p>
    <w:p w14:paraId="42731055" w14:textId="77777777" w:rsidR="00A8138F" w:rsidRDefault="00A8138F" w:rsidP="00A8138F">
      <w:pPr>
        <w:pStyle w:val="TextoNormal"/>
      </w:pPr>
    </w:p>
    <w:p w14:paraId="1F04DBED" w14:textId="77777777" w:rsidR="00A8138F" w:rsidRDefault="00A8138F" w:rsidP="00A8138F">
      <w:pPr>
        <w:pStyle w:val="TextoNormal"/>
      </w:pPr>
      <w:r>
        <w:t>La tacha de inconstitucionalidad propone como canon de control de estos preceptos el acierto o desacierto en la selección de la modalidad de sobreseimiento aplicable a los procedimientos que tienen por objeto delitos amnistiables. Los parlamentarios recurrentes sostienen que lo idóneo es el sobreseimiento provisional, no el libre. En cualquier caso, siendo la amnistía una causa de extinción de la responsabilidad criminal, la opción del legislador por el sobreseimiento libre no presenta viso alguno de irrazonabilidad.</w:t>
      </w:r>
    </w:p>
    <w:p w14:paraId="78F6AB15" w14:textId="77777777" w:rsidR="00A8138F" w:rsidRDefault="00A8138F" w:rsidP="00A8138F">
      <w:pPr>
        <w:pStyle w:val="TextoNormal"/>
      </w:pPr>
    </w:p>
    <w:p w14:paraId="2E24F7F6" w14:textId="77777777" w:rsidR="00A8138F" w:rsidRDefault="00A8138F" w:rsidP="00A8138F">
      <w:pPr>
        <w:pStyle w:val="TextoNormal"/>
      </w:pPr>
      <w:r>
        <w:t>El segundo argumento incide en que el sobreseimiento libre, que produce efectos de cosa juzgada, cierra el camino para el eventual planteamiento de un recurso de revisión penal frente a un eventual error judicial en la aplicación de la amnistía. No se hace ningún esfuerzo para explicar el parámetro de enjuiciamiento constitucional que habría que aplicar. En cualquier caso, el motivo resulta fallido porque el auto de sobreseimiento es recurrible por medio de los recursos ordinarios, en virtud de lo previsto en el art. 16.1 de la Ley de amnistía. Por otra parte, un remedio extraordinario, como es el recurso de revisión penal, que solo está previsto contra sentencias firmes condenatorias, en los supuestos taxativamente determinados en el art. 954.1 LECrim, carecería, por su propia configuración legal, de toda utilidad para revisar una errónea aplicación de la amnistía.</w:t>
      </w:r>
    </w:p>
    <w:p w14:paraId="29E9015C" w14:textId="77777777" w:rsidR="00A8138F" w:rsidRDefault="00A8138F" w:rsidP="00A8138F">
      <w:pPr>
        <w:pStyle w:val="TextoNormal"/>
      </w:pPr>
    </w:p>
    <w:p w14:paraId="59185983" w14:textId="146B5E9A" w:rsidR="00A8138F" w:rsidRDefault="00A8138F" w:rsidP="00A8138F">
      <w:pPr>
        <w:pStyle w:val="TextoNormal"/>
      </w:pPr>
      <w:r>
        <w:t>Por las razones expuestas, procede desestimar que el art. 11.2 y 3 de la Ley de amnistía infrinja el derecho a la tutela judicial efectiva garantizado en el art. 24.1 CE.</w:t>
      </w:r>
    </w:p>
    <w:p w14:paraId="36281098" w14:textId="77777777" w:rsidR="00A8138F" w:rsidRDefault="00A8138F" w:rsidP="00A8138F">
      <w:pPr>
        <w:pStyle w:val="TextoNormal"/>
      </w:pPr>
    </w:p>
    <w:p w14:paraId="2F8E83A9" w14:textId="77777777" w:rsidR="00A8138F" w:rsidRDefault="00A8138F" w:rsidP="00A8138F">
      <w:pPr>
        <w:pStyle w:val="TextoNormal"/>
      </w:pPr>
      <w:r w:rsidRPr="00A8138F">
        <w:rPr>
          <w:rStyle w:val="NumeroAFNegritaCaracter"/>
        </w:rPr>
        <w:t>20</w:t>
      </w:r>
      <w:r>
        <w:t xml:space="preserve">. </w:t>
      </w:r>
      <w:r w:rsidRPr="00A8138F">
        <w:rPr>
          <w:i/>
        </w:rPr>
        <w:t>La alegada vulneración de los derechos a la tutela judicial efectiva y a un proceso con todas las garantías (art. 24 CE) por no preverse la audiencia a todas las partes en el procedimiento contable (art. 13.2 y 3 de la Ley de amnistía)</w:t>
      </w:r>
    </w:p>
    <w:p w14:paraId="6A75238A" w14:textId="77777777" w:rsidR="00A8138F" w:rsidRDefault="00A8138F" w:rsidP="00A8138F">
      <w:pPr>
        <w:pStyle w:val="TextoNormal"/>
      </w:pPr>
    </w:p>
    <w:p w14:paraId="5985042C" w14:textId="77777777" w:rsidR="00A8138F" w:rsidRDefault="00A8138F" w:rsidP="00A8138F">
      <w:pPr>
        <w:pStyle w:val="TextoNormal"/>
      </w:pPr>
      <w:r>
        <w:t xml:space="preserve">20.1. </w:t>
      </w:r>
      <w:r w:rsidRPr="00A8138F">
        <w:rPr>
          <w:i/>
        </w:rPr>
        <w:t>Exposición del motivo y alegaciones de las partes</w:t>
      </w:r>
    </w:p>
    <w:p w14:paraId="4C7DCBCD" w14:textId="77777777" w:rsidR="00A8138F" w:rsidRDefault="00A8138F" w:rsidP="00A8138F">
      <w:pPr>
        <w:pStyle w:val="TextoNormal"/>
      </w:pPr>
    </w:p>
    <w:p w14:paraId="233F81ED" w14:textId="77777777" w:rsidR="00A8138F" w:rsidRDefault="00A8138F" w:rsidP="00A8138F">
      <w:pPr>
        <w:pStyle w:val="TextoNormal"/>
      </w:pPr>
      <w:r>
        <w:t>El último motivo del recurso de inconstitucionalidad señala que los párrafos 2 y 3 del art. 13 de la Ley de amnistía prescriben el archivo del procedimiento contable sin la audiencia de todas las partes procesales, incluyendo demandantes particulares, lo que constituiría una grave vulneración del art. 24.2 CE por desconocer los principios de audiencia y de igualdad de las partes, además de generar a los actores del proceso contable que no sean el Ministerio Fiscal o las entidades públicas perjudicadas la indefensión que proscribe el art. 24.1 CE.</w:t>
      </w:r>
    </w:p>
    <w:p w14:paraId="733A6DF1" w14:textId="77777777" w:rsidR="00A8138F" w:rsidRDefault="00A8138F" w:rsidP="00A8138F">
      <w:pPr>
        <w:pStyle w:val="TextoNormal"/>
      </w:pPr>
    </w:p>
    <w:p w14:paraId="4827ED14" w14:textId="77777777" w:rsidR="00A8138F" w:rsidRDefault="00A8138F" w:rsidP="00A8138F">
      <w:pPr>
        <w:pStyle w:val="TextoNormal"/>
      </w:pPr>
      <w:r>
        <w:t>El abogado del Estado opone que solo los particulares que hubieran ejercitado la acción popular resultan excluidos, pero ello no genera indefensión, pues no tienen derecho a obtener una condena, sino un derecho a personarse en un proceso, sin que actúen en función de un derecho o interés legítimo, sino de una genérica voluntad de aplicación de la legalidad, por lo que sus derechos en el proceso son de pura configuración legal (art. 125 CE). Aduce que también el trámite del art. 24 de la Ley de 18 de junio de 1870 de indulto excluye su audiencia y que la jurisprudencia constitucional (STC 67/2011, de 16 de mayo) subraya que es la ley la que determina los procesos en los que deba existir la acción popular.</w:t>
      </w:r>
    </w:p>
    <w:p w14:paraId="3E384908" w14:textId="77777777" w:rsidR="00A8138F" w:rsidRDefault="00A8138F" w:rsidP="00A8138F">
      <w:pPr>
        <w:pStyle w:val="TextoNormal"/>
      </w:pPr>
    </w:p>
    <w:p w14:paraId="65BA4BB1" w14:textId="77777777" w:rsidR="00A8138F" w:rsidRDefault="00A8138F" w:rsidP="00A8138F">
      <w:pPr>
        <w:pStyle w:val="TextoNormal"/>
      </w:pPr>
      <w:r>
        <w:t xml:space="preserve">20.2. </w:t>
      </w:r>
      <w:r w:rsidRPr="00A8138F">
        <w:rPr>
          <w:i/>
        </w:rPr>
        <w:t>Precepto impugnado y regulación sobre las partes en el procedimiento contable</w:t>
      </w:r>
    </w:p>
    <w:p w14:paraId="327CC920" w14:textId="77777777" w:rsidR="00A8138F" w:rsidRDefault="00A8138F" w:rsidP="00A8138F">
      <w:pPr>
        <w:pStyle w:val="TextoNormal"/>
      </w:pPr>
    </w:p>
    <w:p w14:paraId="4814438B" w14:textId="77777777" w:rsidR="00A8138F" w:rsidRDefault="00A8138F" w:rsidP="00A8138F">
      <w:pPr>
        <w:pStyle w:val="TextoNormal"/>
      </w:pPr>
      <w:r>
        <w:t>El art. 13 de la Ley de amnistía regula el “procedimiento en el ámbito contable” en los siguientes términos:</w:t>
      </w:r>
    </w:p>
    <w:p w14:paraId="0135FE29" w14:textId="77777777" w:rsidR="00A8138F" w:rsidRDefault="00A8138F" w:rsidP="00A8138F">
      <w:pPr>
        <w:pStyle w:val="TextoNormal"/>
      </w:pPr>
    </w:p>
    <w:p w14:paraId="0D60C98E" w14:textId="77777777" w:rsidR="00A8138F" w:rsidRDefault="00A8138F" w:rsidP="00A8138F">
      <w:pPr>
        <w:pStyle w:val="TextoNormal"/>
      </w:pPr>
      <w:r>
        <w:t>“1. La amnistía se aplicará por el Tribunal de Cuentas en cualquier fase del proceso.</w:t>
      </w:r>
    </w:p>
    <w:p w14:paraId="6CDCF520" w14:textId="77777777" w:rsidR="00A8138F" w:rsidRDefault="00A8138F" w:rsidP="00A8138F">
      <w:pPr>
        <w:pStyle w:val="TextoNormal"/>
      </w:pPr>
    </w:p>
    <w:p w14:paraId="6F59393B" w14:textId="77777777" w:rsidR="00A8138F" w:rsidRDefault="00A8138F" w:rsidP="00A8138F">
      <w:pPr>
        <w:pStyle w:val="TextoNormal"/>
      </w:pPr>
      <w:r>
        <w:t>2. En las actuaciones previas previstas en los artículos 45, 46 y 47 de la Ley 7/1988, de 5 de abril, de funcionamiento del Tribunal de Cuentas, se dictarán las correspondientes resoluciones declarando el archivo de las actuaciones, previa audiencia del Ministerio Fiscal y de las entidades del sector público perjudicadas por el menoscabo de los caudales o efectos públicos relacionados con los hechos amnistiados, cuando estas no se hayan opuesto.</w:t>
      </w:r>
    </w:p>
    <w:p w14:paraId="037D16D4" w14:textId="77777777" w:rsidR="00A8138F" w:rsidRDefault="00A8138F" w:rsidP="00A8138F">
      <w:pPr>
        <w:pStyle w:val="TextoNormal"/>
      </w:pPr>
    </w:p>
    <w:p w14:paraId="7D2CF026" w14:textId="77777777" w:rsidR="00A8138F" w:rsidRDefault="00A8138F" w:rsidP="00A8138F">
      <w:pPr>
        <w:pStyle w:val="TextoNormal"/>
      </w:pPr>
      <w:r>
        <w:t>3. Si el proceso de exigencia de responsabilidad contable tramitado por el Tribunal de Cuentas se hallara en fase de primera instancia o de apelación, los órganos competentes de dicho Tribunal, previa audiencia del Ministerio Fiscal y de las entidades del sector público perjudicadas por el menoscabo de los caudales o efectos públicos relacionados con los hechos amnistiados, dictarán resolución absolviendo de responsabilidad contable a las personas físicas o jurídicas demandadas, cuando dichas entidades no se hayan opuesto”.</w:t>
      </w:r>
    </w:p>
    <w:p w14:paraId="3D51B1C0" w14:textId="77777777" w:rsidR="00A8138F" w:rsidRDefault="00A8138F" w:rsidP="00A8138F">
      <w:pPr>
        <w:pStyle w:val="TextoNormal"/>
      </w:pPr>
    </w:p>
    <w:p w14:paraId="1048AFBA" w14:textId="77777777" w:rsidR="00A8138F" w:rsidRDefault="00A8138F" w:rsidP="00A8138F">
      <w:pPr>
        <w:pStyle w:val="TextoNormal"/>
      </w:pPr>
      <w:r>
        <w:t>La comprensión del motivo requiere tener presente la regulación legal sobre las partes procesales en el procedimiento ante el Tribunal de Cuentas, que pueden ser distintas del Ministerio Fiscal y las entidades del sector público perjudicadas a las que aluden los apartados impugnados.</w:t>
      </w:r>
    </w:p>
    <w:p w14:paraId="03217DAE" w14:textId="77777777" w:rsidR="00A8138F" w:rsidRDefault="00A8138F" w:rsidP="00A8138F">
      <w:pPr>
        <w:pStyle w:val="TextoNormal"/>
      </w:pPr>
    </w:p>
    <w:p w14:paraId="355CBBD0" w14:textId="77777777" w:rsidR="00A8138F" w:rsidRDefault="00A8138F" w:rsidP="00A8138F">
      <w:pPr>
        <w:pStyle w:val="TextoNormal"/>
      </w:pPr>
      <w:r>
        <w:t>El art. 47 de la Ley Orgánica 2/1982, de 12 de mayo, del Tribunal de Cuentas (LOTCu) reconoce en su apartado 1 legitimación para actuar ante la jurisdicción contable a “quienes tuvieran interés directo en el asunto o fueren titulares de derechos subjetivos relacionados con el caso”; precisa en su apartado 2 que “[l]as administraciones públicas podrán ejercer toda clase de pretensiones ante el Tribunal de Cuentas”, y acoge en su apartado 3 la acción pública para la exigencia de responsabilidad contable. La Ley 7/1988, de 5 de abril, de funcionamiento del Tribunal de Cuentas (en adelante, LFTCu) concreta en su art. 55.1 que, con arreglo a lo dispuesto en el citado art. 47 LOTCu, la legitimación activa para ejercer toda clase de pretensiones de responsabilidad contable ante el Tribunal de Cuentas corresponderá, en todo caso, a la administración o entidad pública perjudicada y al Ministerio Fiscal. Y el art. 56 LFTCu regula el ejercicio de la llamada “acción pública”, que confiere legitimación activa a todos los ciudadanos, tanto si se ha iniciado como si no un procedimiento jurisdiccional en exigencia de responsabilidad contable, que puede ser un juicio de cuentas o un reintegro por alcance. El art. 55.2 LFTCu especifica, además, que “[s]e considerarán legitimados pasivamente los presuntos responsables directos o subsidiarios, sus causahabientes y cuantas personas se consideren perjudicadas por el proceso”.</w:t>
      </w:r>
    </w:p>
    <w:p w14:paraId="62B330BA" w14:textId="77777777" w:rsidR="00A8138F" w:rsidRDefault="00A8138F" w:rsidP="00A8138F">
      <w:pPr>
        <w:pStyle w:val="TextoNormal"/>
      </w:pPr>
    </w:p>
    <w:p w14:paraId="2144475D" w14:textId="77777777" w:rsidR="00A8138F" w:rsidRDefault="00A8138F" w:rsidP="00A8138F">
      <w:pPr>
        <w:pStyle w:val="TextoNormal"/>
      </w:pPr>
      <w:r>
        <w:t xml:space="preserve">20.3. </w:t>
      </w:r>
      <w:r w:rsidRPr="00A8138F">
        <w:rPr>
          <w:i/>
        </w:rPr>
        <w:t>Doctrina constitucional</w:t>
      </w:r>
    </w:p>
    <w:p w14:paraId="6D2156C7" w14:textId="77777777" w:rsidR="00A8138F" w:rsidRDefault="00A8138F" w:rsidP="00A8138F">
      <w:pPr>
        <w:pStyle w:val="TextoNormal"/>
      </w:pPr>
    </w:p>
    <w:p w14:paraId="2F861C0E" w14:textId="77777777" w:rsidR="00A8138F" w:rsidRDefault="00A8138F" w:rsidP="00A8138F">
      <w:pPr>
        <w:pStyle w:val="TextoNormal"/>
      </w:pPr>
      <w:r>
        <w:t>Parte la doctrina constitucional de que el Tribunal de Cuentas, además de las funciones de fiscalización atribuidas por el art. 136 CE, tiene también relevantes funciones de enjuiciamiento contable que poseen un indudable carácter jurisdiccional (SSTC 187/1988, de 17 de octubre, FJ 2; 18/1991, de 31 de enero, FJ 2; 215/2000, de 18 de septiembre, FFJJ 6 y 7, y 126/2011, de 18 de julio, FJ 10). Cuando actúa en el ejercicio de su función jurisdiccional de enjuiciamiento contable, lo que supone la exigencia de una especie de responsabilidad civil (ATC 371/1993, de 16 de diciembre, FJ 1), queda sometido a las garantías que la Constitución anuda a todo proceso (STC 215/2000, FJ 6) y sus resoluciones son susceptibles de producir vulneraciones de los derechos establecidos en el art. 24 CE (ATC 312/1996, de 29 de octubre, FJ 2).</w:t>
      </w:r>
    </w:p>
    <w:p w14:paraId="5AE78548" w14:textId="77777777" w:rsidR="00A8138F" w:rsidRDefault="00A8138F" w:rsidP="00A8138F">
      <w:pPr>
        <w:pStyle w:val="TextoNormal"/>
      </w:pPr>
    </w:p>
    <w:p w14:paraId="34869F7F" w14:textId="77777777" w:rsidR="00A8138F" w:rsidRDefault="00A8138F" w:rsidP="00A8138F">
      <w:pPr>
        <w:pStyle w:val="TextoNormal"/>
      </w:pPr>
      <w:r>
        <w:t>Al respecto, este tribunal ha expresado en incontables ocasiones que “el art. 24 CE, en cuanto reconoce los derechos a la tutela judicial efectiva con interdicción de indefensión, a un proceso con todas las garantías y a la defensa, ha consagrado, entre otros, los principios de contradicción e igualdad de armas, imponiendo la necesidad de que todo proceso judicial esté presidido por la posibilidad de una efectiva y equilibrada contradicción entre las partes a fin de que puedan defender sus derechos e intereses. También hemos afirmado que la interdicción de la indefensión requiere del órgano jurisdiccional un indudable esfuerzo, a fin de preservar los derechos de defensa de las partes, correspondiendo a los órganos judiciales la obligación de procurar que en un proceso se dé la necesaria contradicción entre ellas, así como que posean idénticas posibilidades de alegar o probar y, en definitiva, de ejercer su derecho de defensa en cada una de las instancias que lo componen” (SSTC 307/2005, de 12 de diciembre, FJ 2, y 64/2019, de 9 de mayo, FJ 6).</w:t>
      </w:r>
    </w:p>
    <w:p w14:paraId="71E42C44" w14:textId="77777777" w:rsidR="00A8138F" w:rsidRDefault="00A8138F" w:rsidP="00A8138F">
      <w:pPr>
        <w:pStyle w:val="TextoNormal"/>
      </w:pPr>
    </w:p>
    <w:p w14:paraId="0DF20206" w14:textId="77777777" w:rsidR="00A8138F" w:rsidRDefault="00A8138F" w:rsidP="00A8138F">
      <w:pPr>
        <w:pStyle w:val="TextoNormal"/>
      </w:pPr>
      <w:r>
        <w:t>En tal sentido, “en ningún caso pueden ser privadas las partes de la oportunidad de alegar sobre la cuestión que, a juicio del órgano judicial, resulta determinante de la decisión del recurso, pues de otro modo sufre la confianza legítima generada por los términos en que fue conformada la realidad jurídica en el proceso, que no puede desconocerse por los órganos judiciales” [SSTC 278/2006, de 25 de septiembre, FJ 3 b), y 64/2019, FJ 8]. Se garantiza así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[SSTC 23/2003, de 10 de febrero, FJ 2, y 124/2024, de 21 de octubre, FJ 2 a)].</w:t>
      </w:r>
    </w:p>
    <w:p w14:paraId="0EF140BA" w14:textId="77777777" w:rsidR="00A8138F" w:rsidRDefault="00A8138F" w:rsidP="00A8138F">
      <w:pPr>
        <w:pStyle w:val="TextoNormal"/>
      </w:pPr>
    </w:p>
    <w:p w14:paraId="17C903C5" w14:textId="77777777" w:rsidR="00A8138F" w:rsidRDefault="00A8138F" w:rsidP="00A8138F">
      <w:pPr>
        <w:pStyle w:val="TextoNormal"/>
      </w:pPr>
      <w:r>
        <w:t xml:space="preserve">20.4. </w:t>
      </w:r>
      <w:r w:rsidRPr="00A8138F">
        <w:rPr>
          <w:i/>
        </w:rPr>
        <w:t>Enjuiciamiento del motivo: interpretación conforme</w:t>
      </w:r>
    </w:p>
    <w:p w14:paraId="0FBD1DF9" w14:textId="77777777" w:rsidR="00A8138F" w:rsidRDefault="00A8138F" w:rsidP="00A8138F">
      <w:pPr>
        <w:pStyle w:val="TextoNormal"/>
      </w:pPr>
    </w:p>
    <w:p w14:paraId="180B2D5B" w14:textId="77777777" w:rsidR="00A8138F" w:rsidRDefault="00A8138F" w:rsidP="00A8138F">
      <w:pPr>
        <w:pStyle w:val="TextoNormal"/>
      </w:pPr>
      <w:r>
        <w:t xml:space="preserve">20.4.1. </w:t>
      </w:r>
      <w:r w:rsidRPr="00A8138F">
        <w:rPr>
          <w:i/>
        </w:rPr>
        <w:t>Planteamiento interpretativo de los recurrentes</w:t>
      </w:r>
    </w:p>
    <w:p w14:paraId="128114E8" w14:textId="77777777" w:rsidR="00A8138F" w:rsidRDefault="00A8138F" w:rsidP="00A8138F">
      <w:pPr>
        <w:pStyle w:val="TextoNormal"/>
      </w:pPr>
    </w:p>
    <w:p w14:paraId="21FCEC85" w14:textId="77777777" w:rsidR="00A8138F" w:rsidRDefault="00A8138F" w:rsidP="00A8138F">
      <w:pPr>
        <w:pStyle w:val="TextoNormal"/>
      </w:pPr>
      <w:r>
        <w:t>Los recurrentes imputan a los apartados 2 y 3 del art. 13 de la Ley de amnistía la lesión del art. 24 CE desde el entendimiento de que prescribe el archivo “solo ‘con la intervención del Ministerio Fiscal y de las entidades públicas perjudicadas’”, sin la audiencia del resto de partes procesales, incluyendo demandantes particulares, con la correspondiente indefensión. Como se ha explicado, las normas reguladoras de la actuación del Tribunal de Cuentas identifican al presunto responsable (o sus causahabientes) como legitimado pasivo y acogen la posibilidad de actores distintos de la entidad perjudicada y el Ministerio Fiscal, regulando con gran generosidad la legitimación de cualquier ciudadano para ejercer la acción pública. En el motivo se sostiene que ni uno ni otros serían oídos en el incidente en que se resuelve la aplicación de la amnistía.</w:t>
      </w:r>
    </w:p>
    <w:p w14:paraId="4DB9CF87" w14:textId="77777777" w:rsidR="00A8138F" w:rsidRDefault="00A8138F" w:rsidP="00A8138F">
      <w:pPr>
        <w:pStyle w:val="TextoNormal"/>
      </w:pPr>
    </w:p>
    <w:p w14:paraId="1610F6D6" w14:textId="77777777" w:rsidR="00A8138F" w:rsidRDefault="00A8138F" w:rsidP="00A8138F">
      <w:pPr>
        <w:pStyle w:val="TextoNormal"/>
      </w:pPr>
      <w:r>
        <w:t>Si fuera como sostienen los demandantes, el precepto devendría inconstitucional por desconocer las garantías del art. 24 CE, al impedir a una parte, en el curso del proceso, el ejercicio de las facultades de alegación y, en su caso, de justificación de sus derechos e intereses legítimos, bien para la defensa de sus propias posiciones, bien para rebatir las posiciones contrarias [en análogos términos, ya la STC 1/1992, de 13 de enero, FJ 5, que citan, entre muchas, las referidas SSTC 23/2003, FJ 2, y 124/2024, FJ 3 b)]. Sin embargo, la conclusión interpretativa en que se asienta el motivo, esto es, que la mención específica a la audiencia del Ministerio Fiscal y la entidad pública perjudicada en los preceptos cuestionados excluye la audiencia del resto de partes, en particular de los actores públicos, no es la única intelección que admiten los enunciados legales ni viene impuesta por el contexto normativo en que se insertan las previsiones del art. 13 de la Ley de amnistía ni, en fin, impide una comprensión de las normas procesales cuestionadas respetuosa con las exigencias del art. 24 CE.</w:t>
      </w:r>
    </w:p>
    <w:p w14:paraId="05F58572" w14:textId="77777777" w:rsidR="00A8138F" w:rsidRDefault="00A8138F" w:rsidP="00A8138F">
      <w:pPr>
        <w:pStyle w:val="TextoNormal"/>
      </w:pPr>
    </w:p>
    <w:p w14:paraId="58D80654" w14:textId="77777777" w:rsidR="00A8138F" w:rsidRDefault="00A8138F" w:rsidP="00A8138F">
      <w:pPr>
        <w:pStyle w:val="TextoNormal"/>
      </w:pPr>
      <w:r>
        <w:t>20.4.2.</w:t>
      </w:r>
      <w:r w:rsidRPr="00A8138F">
        <w:rPr>
          <w:i/>
        </w:rPr>
        <w:t xml:space="preserve"> Enunciado legal y contexto normativ</w:t>
      </w:r>
      <w:r>
        <w:t>o</w:t>
      </w:r>
    </w:p>
    <w:p w14:paraId="73A3A7FA" w14:textId="77777777" w:rsidR="00A8138F" w:rsidRDefault="00A8138F" w:rsidP="00A8138F">
      <w:pPr>
        <w:pStyle w:val="TextoNormal"/>
      </w:pPr>
    </w:p>
    <w:p w14:paraId="058D9BDA" w14:textId="77777777" w:rsidR="00A8138F" w:rsidRDefault="00A8138F" w:rsidP="00A8138F">
      <w:pPr>
        <w:pStyle w:val="TextoNormal"/>
      </w:pPr>
      <w:r>
        <w:t>a) Sin duda alguna, el art. 13.2 y 3 de la Ley de amnistía dispone la audiencia obligatoria del Ministerio Fiscal y la entidad del sector público perjudicada por los hechos cuya posible amnistía se dirime antes de que el Tribunal de Cuentas decida, en su caso, archivar las actuaciones, si se está en la fase de actuaciones previas, o absolver, si el proceso está en fase de primera instancia o de apelación. Resulta de todo punto pertinente la previsión específica de la garantía de audiencia para quien tiene la misión de promover la acción de la justicia en defensa de la legalidad, de los derechos de los ciudadanos y del interés público tutelado por la ley —tal es el estatuto constitucional del Ministerio Fiscal (art. 124 CE)— y para quien ostenta la condición de perjudicado civil en el procedimiento. Puede darse, además, la circunstancia de que ninguno de ellos sea demandante en el procedimiento en el que se depura la responsabilidad contable, sea el juicio de cuentas, sea el procedimiento de reintegro por alcance, por no haber ejercitado la acción contable (arts. 55.1, 58.3, 69.1 y 2, 70.2 y 73.2 y 3 LFTCu). De este modo, la previsión legal refuerza el control de legalidad de la aplicación de la amnistía y la defensa de los derechos de los ciudadanos y el interés público, ya que asegura la intervención del Ministerio Fiscal, así como garantiza la intervención de quien siendo perjudicado no ostenta la condición de actor en el proceso. Por análogas razones, tratándose de una decisión tan trascendental como la extinción de la responsabilidad contable, resulta adecuado garantizar la intervención del Ministerio Fiscal y de la entidad perjudicada en la fase de actuaciones previas, que este tribunal ha considerado parte integrante del procedimiento de enjuiciamiento contable (STC 18/1991, de 31 de enero, FJ 4).</w:t>
      </w:r>
    </w:p>
    <w:p w14:paraId="4272D9D2" w14:textId="77777777" w:rsidR="00A8138F" w:rsidRDefault="00A8138F" w:rsidP="00A8138F">
      <w:pPr>
        <w:pStyle w:val="TextoNormal"/>
      </w:pPr>
    </w:p>
    <w:p w14:paraId="09CB8A83" w14:textId="77777777" w:rsidR="00A8138F" w:rsidRDefault="00A8138F" w:rsidP="00A8138F">
      <w:pPr>
        <w:pStyle w:val="TextoNormal"/>
      </w:pPr>
      <w:r>
        <w:t>b) Sin perjuicio del sentido del trámite procesal previsto en el art. 13.2 y 3 de la Ley de amnistía, resulta asimismo indudable que el enunciado legal no contiene una prohibición o exclusión del trámite de audiencia al resto de partes, sobre el que la norma guarda silencio. Como tampoco cabe duda de que las reglas mínimas de procedimiento que el legislador fija en el art. 13 de la Ley o, incluso, en su título III no agotan la reglamentación procesal aplicable ni, en tal medida, excluyen las previsiones de audiencia en ella previstas.</w:t>
      </w:r>
    </w:p>
    <w:p w14:paraId="2D9C3EAB" w14:textId="77777777" w:rsidR="00A8138F" w:rsidRDefault="00A8138F" w:rsidP="00A8138F">
      <w:pPr>
        <w:pStyle w:val="TextoNormal"/>
      </w:pPr>
    </w:p>
    <w:p w14:paraId="7D07CB42" w14:textId="77777777" w:rsidR="00A8138F" w:rsidRDefault="00A8138F" w:rsidP="00A8138F">
      <w:pPr>
        <w:pStyle w:val="TextoNormal"/>
      </w:pPr>
      <w:r>
        <w:t>Por lo que concierne a las disposiciones procesales de la Ley de amnistía, el art. 13.2 y 3 debe ponerse en relación ante todo con el art. 9.2, que prevé la audiencia del interesado en los procedimientos contables, parte a la que tampoco alude de forma expresa el art. 13 y que naturalmente ha de ser oída en relación con la aplicación de la amnistía. Pero también otras disposiciones de la ley son ilustrativas. Así, el art. 12 regula la aplicación de la amnistía en el ámbito contencioso-administrativo, que incluye la revisión de las resoluciones relativas a actos determinantes de responsabilidad contable. En sus previsiones para los distintos estadios en que se encuentre el procedimiento contempla la audiencia de las partes (art. 12.1, 2, 3 y 4, este último apartado puesto en relación con el art. 102 de la Ley 29/1998, de 13 de julio, de la jurisdicción contencioso-administrativa, al que remiten también los arts. 83 y 84.1 LFTCu).</w:t>
      </w:r>
    </w:p>
    <w:p w14:paraId="37BB9EBC" w14:textId="77777777" w:rsidR="00A8138F" w:rsidRDefault="00A8138F" w:rsidP="00A8138F">
      <w:pPr>
        <w:pStyle w:val="TextoNormal"/>
      </w:pPr>
    </w:p>
    <w:p w14:paraId="7836BAC5" w14:textId="77777777" w:rsidR="00A8138F" w:rsidRDefault="00A8138F" w:rsidP="00A8138F">
      <w:pPr>
        <w:pStyle w:val="TextoNormal"/>
      </w:pPr>
      <w:r>
        <w:t>Resulta también relevante que, conforme al párrafo segundo del art. 10 de la Ley de amnistía, “[l]as decisiones se adoptarán en el plazo máximo de dos meses, sin perjuicio de los ulteriores recursos, que no tendrán efectos suspensivos”. Esos recursos, según el art. 16.1 de la Ley, son los previstos en el ordenamiento jurídico, salvo en el caso de las resoluciones que resuelvan la revisión de sentencias o de resoluciones administrativas firmes, frente a las que el art. 16.2 de la Ley especifica que cabrá interponer los mismos recursos que, en su caso, hubieran procedido contra la sentencia dictada en primera instancia.</w:t>
      </w:r>
    </w:p>
    <w:p w14:paraId="576E6BDD" w14:textId="77777777" w:rsidR="00A8138F" w:rsidRDefault="00A8138F" w:rsidP="00A8138F">
      <w:pPr>
        <w:pStyle w:val="TextoNormal"/>
      </w:pPr>
    </w:p>
    <w:p w14:paraId="5112DE3E" w14:textId="77777777" w:rsidR="00A8138F" w:rsidRDefault="00A8138F" w:rsidP="00A8138F">
      <w:pPr>
        <w:pStyle w:val="TextoNormal"/>
      </w:pPr>
      <w:r>
        <w:t>Los recursos previstos para las resoluciones en materia de responsabilidad contable se contemplan en los arts. 80 y ss. LFTCu, que remiten a su vez, a la Ley reguladora de la jurisdicción contencioso-administrativa, sin especialidades en cuanto a la legitimación de las partes para interponerlos.</w:t>
      </w:r>
    </w:p>
    <w:p w14:paraId="74BB11DE" w14:textId="77777777" w:rsidR="00A8138F" w:rsidRDefault="00A8138F" w:rsidP="00A8138F">
      <w:pPr>
        <w:pStyle w:val="TextoNormal"/>
      </w:pPr>
    </w:p>
    <w:p w14:paraId="789F0ED1" w14:textId="77777777" w:rsidR="00A8138F" w:rsidRDefault="00A8138F" w:rsidP="00A8138F">
      <w:pPr>
        <w:pStyle w:val="TextoNormal"/>
      </w:pPr>
      <w:r>
        <w:t>Es también reseñable que el art. 46.2 LFTCu contempla la posibilidad de archivar las actuaciones previas; el art. 56.3 LFTCu, la de inadmitir el escrito en el que se ejercite la acción pública de responsabilidad; el art. 68.1 LFTCu (al que remite el art. 73.1 LFTCu) en relación con el art. 51 de la Ley reguladora de la jurisdicción contencioso-administrativa, la de declarar que no ha lugar a la incoación del procedimiento, y los arts. 71.2 y 74.2, en relación con el art. 79 LFTCu, la de sobreseer. En todos estos casos de terminación anticipada se prevé un trámite de audiencia a los interesados y partes existentes en cada momento previo a la decisión. Las normas citadas puestas en relación con los arts. 80 y 81 LFTCu establecen que contra todas las resoluciones mencionadas cabe interponer recurso ante la Sala de Justicia del Tribunal de Cuentas y, contra el auto que resuelva, recurso de casación ante el Tribunal Supremo.</w:t>
      </w:r>
    </w:p>
    <w:p w14:paraId="1E9A495D" w14:textId="77777777" w:rsidR="00A8138F" w:rsidRDefault="00A8138F" w:rsidP="00A8138F">
      <w:pPr>
        <w:pStyle w:val="TextoNormal"/>
      </w:pPr>
    </w:p>
    <w:p w14:paraId="4EB93B9B" w14:textId="77777777" w:rsidR="00A8138F" w:rsidRDefault="00A8138F" w:rsidP="00A8138F">
      <w:pPr>
        <w:pStyle w:val="TextoNormal"/>
      </w:pPr>
      <w:r>
        <w:t>20.4.3</w:t>
      </w:r>
      <w:r w:rsidRPr="00A8138F">
        <w:rPr>
          <w:i/>
        </w:rPr>
        <w:t>. Interpretación conforme a la Constituci</w:t>
      </w:r>
      <w:r>
        <w:t>ón</w:t>
      </w:r>
    </w:p>
    <w:p w14:paraId="672CBA16" w14:textId="77777777" w:rsidR="00A8138F" w:rsidRDefault="00A8138F" w:rsidP="00A8138F">
      <w:pPr>
        <w:pStyle w:val="TextoNormal"/>
      </w:pPr>
    </w:p>
    <w:p w14:paraId="098200CB" w14:textId="77777777" w:rsidR="00A8138F" w:rsidRDefault="00A8138F" w:rsidP="00A8138F">
      <w:pPr>
        <w:pStyle w:val="TextoNormal"/>
      </w:pPr>
      <w:r>
        <w:t>A la luz de la redacción legal, el contexto normativo reseñado y las exigencias del art. 24 CE, debe descartarse la tacha de inconstitucionalidad formulada, en tanto cabe una interpretación conforme a la Constitución de las previsiones legales impugnadas. De forma reiterada el Tribunal ha acogido el criterio hermenéutico de la interpretación conforme según el cual, siendo posibles dos interpretaciones de un precepto, una ajustada a la Constitución y la otra no conforme con ella, debe admitirse la primera, de modo que solo se declare la inconstitucionalidad en caso de incompatibilidad indudable con ella. La salvaguarda del principio de conservación de la norma encuentra su límite en las interpretaciones respetuosas tanto de la literalidad de la norma cuestionada como de su contenido [por todas, con numerosas referencias, SSTC 185/2014, de 6 de noviembre, FJ 7, y 17/2022, de 8 de febrero, FJ 4 c)]. En especial en el marco de las regulaciones procesales y las garantías de defensa del art. 24 CE, el Tribunal ha insistido en la interpretación de los silencios legales como no excluyentes de esas garantías (SSTC 74/1987, de 25 de mayo, FJ 4, o 110/1993, de 25 de marzo, FFJJ 6, 7 y 8).</w:t>
      </w:r>
    </w:p>
    <w:p w14:paraId="54769C55" w14:textId="77777777" w:rsidR="00A8138F" w:rsidRDefault="00A8138F" w:rsidP="00A8138F">
      <w:pPr>
        <w:pStyle w:val="TextoNormal"/>
      </w:pPr>
    </w:p>
    <w:p w14:paraId="31A5CEAC" w14:textId="77777777" w:rsidR="00A8138F" w:rsidRDefault="00A8138F" w:rsidP="00A8138F">
      <w:pPr>
        <w:pStyle w:val="TextoNormal"/>
      </w:pPr>
      <w:r>
        <w:t>Como se ha indicado, el tenor del art. 13.2 y 3 de la Ley de amnistía no limita necesariamente la audiencia en el procedimiento contable al Ministerio Fiscal y a la entidad pública perjudicada, excluyendo la del resto de partes. De otro lado, la expresa mención a la intervención de ambos y la falta de referencia a otras partes no puede desconocer la previsión específica del art. 9.2 de la Ley de dar audiencia al interesado. Como tampoco la posibilidad que establece el art. 16 de la misma ley de interponer los recursos que el ordenamiento jurídico prevé para las partes del procedimiento, sin limitación alguna en cuanto a los legitimados respecto a las reglas generales, frente a las resoluciones que resuelvan sobre la extinción de la responsabilidad contable en aplicación de la Ley.</w:t>
      </w:r>
    </w:p>
    <w:p w14:paraId="4723C27C" w14:textId="77777777" w:rsidR="00A8138F" w:rsidRDefault="00A8138F" w:rsidP="00A8138F">
      <w:pPr>
        <w:pStyle w:val="TextoNormal"/>
      </w:pPr>
    </w:p>
    <w:p w14:paraId="1CC277D3" w14:textId="77777777" w:rsidR="00A8138F" w:rsidRDefault="00A8138F" w:rsidP="00A8138F">
      <w:pPr>
        <w:pStyle w:val="TextoNormal"/>
      </w:pPr>
      <w:r>
        <w:t xml:space="preserve">En particular, esta última disposición supone, de acuerdo con el conjunto normativo descrito, que las partes de los procedimientos de enjuiciamiento contable distintos del Ministerio Fiscal y la entidad pública perjudicada, cuya condición procesal de parte no se ve afectada por la Ley de amnistía, pueden recurrir las decisiones de archivo y absolución. En esos recursos, cuya sustanciación se guía por las normas reguladoras del proceso contencioso-administrativo, podrán hacer valer no solo alegaciones sobre la inclusión de los hechos en cuestión en el ámbito de la amnistía, sino también la lesión de las garantías constitucionales anejas a su condición de parte </w:t>
      </w:r>
      <w:r w:rsidRPr="00A8138F">
        <w:rPr>
          <w:i/>
        </w:rPr>
        <w:t>ex</w:t>
      </w:r>
      <w:r>
        <w:t xml:space="preserve"> art. 24 CE. El régimen de recursos de la Ley de amnistía, además de evidenciar la consideración que la ley tiene hacia la posición de las partes en el procedimiento contable, que debe guiar la aplicación de la norma en general, muestra la aporía de una comprensión de su art. 13 que excluya la audiencia inicial de las partes no aludidas a las que, sin embargo, se les reconoce luego el derecho al recurso frente a la decisión de los órganos del Tribunal de Cuentas.</w:t>
      </w:r>
    </w:p>
    <w:p w14:paraId="016E53CC" w14:textId="77777777" w:rsidR="00A8138F" w:rsidRDefault="00A8138F" w:rsidP="00A8138F">
      <w:pPr>
        <w:pStyle w:val="TextoNormal"/>
      </w:pPr>
    </w:p>
    <w:p w14:paraId="4E5C3494" w14:textId="77777777" w:rsidR="00A8138F" w:rsidRDefault="00A8138F" w:rsidP="00A8138F">
      <w:pPr>
        <w:pStyle w:val="TextoNormal"/>
      </w:pPr>
      <w:r>
        <w:t>Si a ello se suma que la regulación propia de la jurisdicción contable prevé la intervención de todas las partes en las decisiones de terminación anticipada del procedimiento, se aprecia que la interdicción de la indefensión encuentra una vía adecuada en el procedimiento contable, sin perjuicio de otras, para preservar los derechos de defensa de las partes en tanto permite la necesaria contradicción entre ellas y les confiere idénticas posibilidades de alegar.</w:t>
      </w:r>
    </w:p>
    <w:p w14:paraId="103D1923" w14:textId="77777777" w:rsidR="00A8138F" w:rsidRDefault="00A8138F" w:rsidP="00A8138F">
      <w:pPr>
        <w:pStyle w:val="TextoNormal"/>
      </w:pPr>
    </w:p>
    <w:p w14:paraId="21F88D83" w14:textId="77777777" w:rsidR="00A8138F" w:rsidRDefault="00A8138F" w:rsidP="00A8138F">
      <w:pPr>
        <w:pStyle w:val="TextoNormal"/>
      </w:pPr>
      <w:r>
        <w:t>De lo anterior se sigue que, aun cuando la redacción legal pudiera interpretarse de formas diversas, incluida una interpretación no ajustada a la Constitución, cabe un entendimiento de los apartados 2 y 3 del art. 13 de la Ley de amnistía que no impide oír a todas las partes ni articular un trámite que les permita formular las alegaciones que consideren convenientes sobre la aplicación de la amnistía a los hechos susceptibles de generar responsabilidad contable, conforme, por tanto, con el art. 24 CE. Ese entendimiento viene avalado por el conglomerado normativo aplicable según la propia Ley de amnistía, cuyas disposiciones, además, no agotan el régimen procesal de los incidentes en los que se dirima la posibilidad de amnistiar, sino que aportan sucintas reglas que deben integrarse en los distintos procedimientos en los que inciden y hacerlo siempre de manera respetuosa con el art. 24 CE.</w:t>
      </w:r>
    </w:p>
    <w:p w14:paraId="235560B6" w14:textId="77777777" w:rsidR="00A8138F" w:rsidRDefault="00A8138F" w:rsidP="00A8138F">
      <w:pPr>
        <w:pStyle w:val="TextoNormal"/>
      </w:pPr>
    </w:p>
    <w:p w14:paraId="4BA68D0D" w14:textId="3B45A4E6" w:rsidR="00A8138F" w:rsidRDefault="00A8138F" w:rsidP="00A8138F">
      <w:pPr>
        <w:pStyle w:val="TextoNormal"/>
      </w:pPr>
      <w:r>
        <w:t>En virtud de lo razonado, el motivo de inconstitucionalidad debe descartarse en tanto que la exégesis del precepto como no obstativa a la audiencia de todas las partes del procedimiento contable resulta posible, pues, sin forzamiento textual que lo impida y en línea con las previsiones de la Ley de amnistía, supone una comprensión respetuosa con el derecho de defensa y la prohibición de indefensión (art. 24 CE). En orden a evitar que la aplicación del art. 13.2 y 3 de la Ley pueda dar lugar a posibles interpretaciones del precepto contrarias al art. 24 CE, y dado que es posible una comprensión acorde con la Constitución, la que entiende que la referencia expresa a la audiencia del Ministerio Fiscal y las entidades del sector público perjudicadas no excluye la preceptiva audiencia al resto de partes, esta interpretación conforme se llevará al fallo.</w:t>
      </w:r>
    </w:p>
    <w:p w14:paraId="4DB00C6B" w14:textId="77777777" w:rsidR="00A8138F" w:rsidRDefault="00A8138F" w:rsidP="00A8138F">
      <w:pPr>
        <w:pStyle w:val="TextoNormal"/>
      </w:pPr>
    </w:p>
    <w:p w14:paraId="6A065181" w14:textId="77777777" w:rsidR="00A8138F" w:rsidRDefault="00A8138F" w:rsidP="00A8138F">
      <w:pPr>
        <w:pStyle w:val="TextoNormalCentrado"/>
        <w:keepNext/>
      </w:pPr>
      <w:r>
        <w:t>FALLO</w:t>
      </w:r>
    </w:p>
    <w:p w14:paraId="2CC00157" w14:textId="5D0027DE" w:rsidR="00A8138F" w:rsidRDefault="00A8138F" w:rsidP="00A8138F">
      <w:pPr>
        <w:pStyle w:val="TextoNormalCentrado"/>
        <w:keepNext/>
      </w:pPr>
    </w:p>
    <w:p w14:paraId="202F0E6F" w14:textId="77777777" w:rsidR="00A8138F" w:rsidRDefault="00A8138F" w:rsidP="00A8138F">
      <w:pPr>
        <w:pStyle w:val="TextoNormal"/>
      </w:pPr>
      <w:r>
        <w:t>En atención a todo lo expuesto, el Tribunal Constitucional, por la autoridad que le confiere la Constitución de la Nación española, ha decidido estimar parcialmente el recurso de inconstitucionalidad interpuesto contra la Ley Orgánica 1/2024, de 10 de junio, de amnistía para la normalización institucional, política y social en Cataluña y, en consecuencia:</w:t>
      </w:r>
    </w:p>
    <w:p w14:paraId="46CFE594" w14:textId="77777777" w:rsidR="00A8138F" w:rsidRDefault="00A8138F" w:rsidP="00A8138F">
      <w:pPr>
        <w:pStyle w:val="TextoNormal"/>
      </w:pPr>
    </w:p>
    <w:p w14:paraId="1CC5A65E" w14:textId="77777777" w:rsidR="00A8138F" w:rsidRDefault="00A8138F" w:rsidP="00A8138F">
      <w:pPr>
        <w:pStyle w:val="TextoNormal"/>
      </w:pPr>
      <w:r>
        <w:t>1º Declarar inconstitucional el art. 1.1, con el alcance y los efectos que se indican en el fundamento jurídico 8.3.5 de esta sentencia.</w:t>
      </w:r>
    </w:p>
    <w:p w14:paraId="4CAF2D0F" w14:textId="77777777" w:rsidR="00A8138F" w:rsidRDefault="00A8138F" w:rsidP="00A8138F">
      <w:pPr>
        <w:pStyle w:val="TextoNormal"/>
      </w:pPr>
    </w:p>
    <w:p w14:paraId="503C62D4" w14:textId="77777777" w:rsidR="00A8138F" w:rsidRDefault="00A8138F" w:rsidP="00A8138F">
      <w:pPr>
        <w:pStyle w:val="TextoNormal"/>
      </w:pPr>
      <w:r>
        <w:t>2º Declarar inconstitucional y nulo el art. 1.3, párrafo segundo.</w:t>
      </w:r>
    </w:p>
    <w:p w14:paraId="4B3B1F7F" w14:textId="77777777" w:rsidR="00A8138F" w:rsidRDefault="00A8138F" w:rsidP="00A8138F">
      <w:pPr>
        <w:pStyle w:val="TextoNormal"/>
      </w:pPr>
    </w:p>
    <w:p w14:paraId="0C8C1931" w14:textId="77777777" w:rsidR="00A8138F" w:rsidRDefault="00A8138F" w:rsidP="00A8138F">
      <w:pPr>
        <w:pStyle w:val="TextoNormal"/>
      </w:pPr>
      <w:r>
        <w:t>3º Declarar que los apartados 2 y 3 del art. 13 no son inconstitucionales si se interpretan conforme a lo señalado en el fundamento jurídico 20.4.3 de esta sentencia.</w:t>
      </w:r>
    </w:p>
    <w:p w14:paraId="5884CBD6" w14:textId="77777777" w:rsidR="00A8138F" w:rsidRDefault="00A8138F" w:rsidP="00A8138F">
      <w:pPr>
        <w:pStyle w:val="TextoNormal"/>
      </w:pPr>
    </w:p>
    <w:p w14:paraId="22619D3C" w14:textId="27C601C8" w:rsidR="00A8138F" w:rsidRDefault="00A8138F" w:rsidP="00A8138F">
      <w:pPr>
        <w:pStyle w:val="TextoNormal"/>
      </w:pPr>
      <w:r>
        <w:t>4º Desestimar el recurso en todo lo demás.</w:t>
      </w:r>
    </w:p>
    <w:p w14:paraId="79A4141F" w14:textId="77777777" w:rsidR="00A8138F" w:rsidRDefault="00A8138F" w:rsidP="00A8138F">
      <w:pPr>
        <w:pStyle w:val="TextoNormal"/>
      </w:pPr>
    </w:p>
    <w:p w14:paraId="0B7DC852" w14:textId="77777777" w:rsidR="00A8138F" w:rsidRDefault="00A8138F" w:rsidP="00A8138F">
      <w:pPr>
        <w:pStyle w:val="TextoNormal"/>
      </w:pPr>
      <w:r>
        <w:t>Publíquese esta sentencia en el “Boletín Oficial del Estado”.</w:t>
      </w:r>
    </w:p>
    <w:p w14:paraId="44174862" w14:textId="77777777" w:rsidR="00A8138F" w:rsidRDefault="00A8138F" w:rsidP="00A8138F">
      <w:pPr>
        <w:pStyle w:val="TextoNormal"/>
      </w:pPr>
      <w:r>
        <w:t>Dada en Madrid, a veintiséis de junio de dos mil veinticinco.</w:t>
      </w:r>
    </w:p>
    <w:p w14:paraId="1D97E342" w14:textId="737AABA2" w:rsidR="00A8138F" w:rsidRDefault="00A8138F" w:rsidP="00A8138F">
      <w:pPr>
        <w:pStyle w:val="ParrafoNormal"/>
      </w:pPr>
    </w:p>
    <w:p w14:paraId="669A656D" w14:textId="77777777" w:rsidR="00A8138F" w:rsidRDefault="00A8138F" w:rsidP="00A8138F">
      <w:pPr>
        <w:pStyle w:val="TextoNormalNegritaCentrado"/>
        <w:keepNext/>
      </w:pPr>
      <w:r>
        <w:t>Voto particular que formula el magistrado don Ricardo Enríquez Sancho a la sentencia dictada en el recurso de inconstitucionalidad núm. 6436-2024</w:t>
      </w:r>
    </w:p>
    <w:p w14:paraId="7CBD6C34" w14:textId="09ED1063" w:rsidR="00A8138F" w:rsidRDefault="00A8138F" w:rsidP="00A8138F">
      <w:pPr>
        <w:pStyle w:val="TextoNormalNegritaCentrado"/>
        <w:keepNext/>
      </w:pPr>
    </w:p>
    <w:p w14:paraId="0A3EB880" w14:textId="77777777" w:rsidR="00A8138F" w:rsidRDefault="00A8138F" w:rsidP="00A8138F">
      <w:pPr>
        <w:pStyle w:val="TextoNormal"/>
      </w:pPr>
      <w:r>
        <w:t>En el ejercicio de la facultad que me confiere el art. 90.2 LOTC y con el máximo respeto a la opinión de la mayoría del Pleno, expreso mi discrepancia con el fallo y la fundamentación jurídica de la sentencia.</w:t>
      </w:r>
    </w:p>
    <w:p w14:paraId="5129CA2A" w14:textId="77777777" w:rsidR="00A8138F" w:rsidRDefault="00A8138F" w:rsidP="00A8138F">
      <w:pPr>
        <w:pStyle w:val="TextoNormal"/>
      </w:pPr>
    </w:p>
    <w:p w14:paraId="6C68C285" w14:textId="77777777" w:rsidR="00A8138F" w:rsidRDefault="00A8138F" w:rsidP="00A8138F">
      <w:pPr>
        <w:pStyle w:val="TextoNormal"/>
      </w:pPr>
      <w:r>
        <w:t>En mi opinión, de acuerdo con los argumentos que defendí en la deliberación del Pleno y que expongo a continuación, el recurso de inconstitucionalidad debió ser estimado tanto porque la amnistía en general no tiene cabida en la Constitución como, en particular, porque la ley de amnistía aprobada vulnera principios fundamentales que nuestra Constitución consagra. En la demanda del recurso se formularon motivos que impugnaban la totalidad de la Ley de amnistía, y otros, solo preceptos concretos de la misma; la sentencia los resuelve todos y apenas estima dos motivos de importancia relativa. Por lo que acabo de indicar, me limitaré en las líneas que siguen a dar las razones por las que entiendo que la totalidad de la Ley de amnistía es inconstitucional y así debió declararse.</w:t>
      </w:r>
    </w:p>
    <w:p w14:paraId="0BFCB29E" w14:textId="77777777" w:rsidR="00A8138F" w:rsidRDefault="00A8138F" w:rsidP="00A8138F">
      <w:pPr>
        <w:pStyle w:val="TextoNormal"/>
      </w:pPr>
    </w:p>
    <w:p w14:paraId="2676A1E0" w14:textId="77777777" w:rsidR="00A8138F" w:rsidRDefault="00A8138F" w:rsidP="00A8138F">
      <w:pPr>
        <w:pStyle w:val="TextoNormal"/>
      </w:pPr>
      <w:r>
        <w:t xml:space="preserve">1. </w:t>
      </w:r>
      <w:r w:rsidRPr="00A8138F">
        <w:rPr>
          <w:i/>
        </w:rPr>
        <w:t>Consideraciones previas</w:t>
      </w:r>
    </w:p>
    <w:p w14:paraId="40E7706D" w14:textId="77777777" w:rsidR="00A8138F" w:rsidRDefault="00A8138F" w:rsidP="00A8138F">
      <w:pPr>
        <w:pStyle w:val="TextoNormal"/>
      </w:pPr>
    </w:p>
    <w:p w14:paraId="44DFE1E3" w14:textId="77777777" w:rsidR="00A8138F" w:rsidRDefault="00A8138F" w:rsidP="00A8138F">
      <w:pPr>
        <w:pStyle w:val="TextoNormal"/>
      </w:pPr>
      <w:r>
        <w:t>(1) En su momento, no apoyé la petición de mis compañeros don César Tolosa Tribiño, doña Concepción Espejel Jorquera y don Enrique Arnaldo Alcubilla de que previamente a la deliberación de esta sentencia se produjera una decisión sobre si debía plantearse una cuestión prejudicial ante el Tribunal de Justicia de la Unión Europea, no porque discrepara de las razones de fondo que apoyaban esa petición, sino porque entendía que el momento adecuado para adoptar esa decisión era el de la deliberación del recurso presentado contra la Ley de amnistía, toda vez que, en principio, no podría descartarse que se adoptase una posición favorable a la estimación del recurso, en cuyo caso, la inconstitucionalidad declarada haría innecesario cualquier pronunciamiento del Tribunal de Luxemburgo sobre su ajuste al Derecho Europeo.</w:t>
      </w:r>
    </w:p>
    <w:p w14:paraId="294E8FA9" w14:textId="77777777" w:rsidR="00A8138F" w:rsidRDefault="00A8138F" w:rsidP="00A8138F">
      <w:pPr>
        <w:pStyle w:val="TextoNormal"/>
      </w:pPr>
    </w:p>
    <w:p w14:paraId="59061363" w14:textId="77777777" w:rsidR="00A8138F" w:rsidRDefault="00A8138F" w:rsidP="00A8138F">
      <w:pPr>
        <w:pStyle w:val="TextoNormal"/>
      </w:pPr>
      <w:r>
        <w:t>Vista la posición mayoritaria de mis compañeros, sustancialmente contraria a la desestimación del recurso, debo manifestar mi adhesión al voto particular redactado por mi compañero don César Tolosa Tribiño, y a las sólidas razones que en él se exponen en favor de la necesidad de haber planteado una cuestión prejudicial ante el Tribunal de Justicia de la Unión Europea y, en consecuencia, de haber suspendido la deliberación del presente recurso en tanto dicho tribunal no hubiera despejado las dudas muy fundadas que en ese voto se exponen respecto a la compatibilidad de la Ley de amnistía con principios fundamentales de la propia Unión Europea.</w:t>
      </w:r>
    </w:p>
    <w:p w14:paraId="2283E608" w14:textId="77777777" w:rsidR="00A8138F" w:rsidRDefault="00A8138F" w:rsidP="00A8138F">
      <w:pPr>
        <w:pStyle w:val="TextoNormal"/>
      </w:pPr>
    </w:p>
    <w:p w14:paraId="782012C8" w14:textId="77777777" w:rsidR="00A8138F" w:rsidRDefault="00A8138F" w:rsidP="00A8138F">
      <w:pPr>
        <w:pStyle w:val="TextoNormal"/>
      </w:pPr>
      <w:r>
        <w:t>Ya no es que en este momento considere la sentencia que no concurren las condiciones precisas para plantear una cuestión prejudicial, es que la motivación que ofrece determina para siempre la incomunicación constante entre ese tribunal y el Tribunal Constitucional, como si se movieran en compartimentos estancos, porque las resoluciones de uno y otro tienen efectos que se mueven en espacios que no llegan a interferirse. Nada ocurre si el Tribunal Constitucional declara constitucional una ley y luego el Tribunal de Justicia de la Unión Europea la declara inaplicable; es lo que dice la sentencia.</w:t>
      </w:r>
    </w:p>
    <w:p w14:paraId="4382CCBD" w14:textId="77777777" w:rsidR="00A8138F" w:rsidRDefault="00A8138F" w:rsidP="00A8138F">
      <w:pPr>
        <w:pStyle w:val="TextoNormal"/>
      </w:pPr>
    </w:p>
    <w:p w14:paraId="141864F5" w14:textId="77777777" w:rsidR="00A8138F" w:rsidRDefault="00A8138F" w:rsidP="00A8138F">
      <w:pPr>
        <w:pStyle w:val="TextoNormal"/>
      </w:pPr>
      <w:r>
        <w:t>Se acabó el tan ponderado diálogo entre tribunales. Se acabó la obligación del Tribunal Constitucional de velar por el respeto al principio de primacía del Derecho de la Unión Europea. Sencillamente, tras esta sentencia el Tribunal Constitucional queda fuera del sistema judicial europeo.</w:t>
      </w:r>
    </w:p>
    <w:p w14:paraId="386A139B" w14:textId="77777777" w:rsidR="00A8138F" w:rsidRDefault="00A8138F" w:rsidP="00A8138F">
      <w:pPr>
        <w:pStyle w:val="TextoNormal"/>
      </w:pPr>
    </w:p>
    <w:p w14:paraId="07824AA0" w14:textId="77777777" w:rsidR="00A8138F" w:rsidRDefault="00A8138F" w:rsidP="00A8138F">
      <w:pPr>
        <w:pStyle w:val="TextoNormal"/>
      </w:pPr>
      <w:r>
        <w:t>(2) En este momento, en el Tribunal Constitucional existen pendientes de resolver dieciséis recursos de inconstitucionalidad y seis cuestiones de inconstitucionalidad interpuestos o planteadas contra la Ley de amnistía. En muchos de ellos se plantean objeciones coincidentes, pero en otros se articulan motivos de inconstitucionalidad que no se plantean en el que se resuelve en esta primera sentencia.</w:t>
      </w:r>
    </w:p>
    <w:p w14:paraId="33AE68A8" w14:textId="77777777" w:rsidR="00A8138F" w:rsidRDefault="00A8138F" w:rsidP="00A8138F">
      <w:pPr>
        <w:pStyle w:val="TextoNormal"/>
      </w:pPr>
    </w:p>
    <w:p w14:paraId="3CF01B22" w14:textId="77777777" w:rsidR="00A8138F" w:rsidRDefault="00A8138F" w:rsidP="00A8138F">
      <w:pPr>
        <w:pStyle w:val="TextoNormal"/>
      </w:pPr>
      <w:r>
        <w:t>Podrían haberse acumulado todos ellos y resolverse en una sola sentencia, pero aunque no se haga así, no considero aceptable el criterio metodológico adoptado por la mayoría del Pleno de limitar el examen a las vulneraciones específicamente denunciadas en el recurso interpuesto por los diputados y senadores del Grupo Parlamentario Popular, entre otras razones porque el artículo 39.2 LOTC expresamente declara que “[e]l Tribunal Constitucional podrá fundar la declaración de inconstitucionalidad en la infracción de cualquier precepto constitucional, haya o no sido invocado en el curso del proceso”.</w:t>
      </w:r>
    </w:p>
    <w:p w14:paraId="5AB19537" w14:textId="77777777" w:rsidR="00A8138F" w:rsidRDefault="00A8138F" w:rsidP="00A8138F">
      <w:pPr>
        <w:pStyle w:val="TextoNormal"/>
      </w:pPr>
    </w:p>
    <w:p w14:paraId="10079272" w14:textId="77777777" w:rsidR="00A8138F" w:rsidRDefault="00A8138F" w:rsidP="00A8138F">
      <w:pPr>
        <w:pStyle w:val="TextoNormal"/>
      </w:pPr>
      <w:r>
        <w:t>Redacto este voto particular partiendo de esa interpretación amplia del que debió ser el objeto del presente proceso de inconstitucionalidad.</w:t>
      </w:r>
    </w:p>
    <w:p w14:paraId="7BFC0008" w14:textId="77777777" w:rsidR="00A8138F" w:rsidRDefault="00A8138F" w:rsidP="00A8138F">
      <w:pPr>
        <w:pStyle w:val="TextoNormal"/>
      </w:pPr>
    </w:p>
    <w:p w14:paraId="0090476B" w14:textId="77777777" w:rsidR="00A8138F" w:rsidRDefault="00A8138F" w:rsidP="00A8138F">
      <w:pPr>
        <w:pStyle w:val="TextoNormal"/>
      </w:pPr>
      <w:r>
        <w:t>(3) Con fecha 16 de marzo de 2021 fue presentado ante el Congreso de los Diputados por el Grupo Parlamentario Republicano (ERC) y el Grupo Parlamentario Plural (Junts, Cup y PDeCat), conforme a los artículos 124 y ss. RCD, una denominada “[p]roposición de Ley Orgánica de amnistía y resolución del conflicto político entre Catalunya y el Estado español”, en que como medio de resolver lo que calificaban de histórico conflicto político entre Catalunya y el Estado Español, cuyo momento inicial concretaban en la STC 31/2010, de 28 de junio, proponían la aprobación de una ley orgánica por la que se considerasen amnistiados “todos los actos de intencionalidad política, cualquiera que fuese su resultado, tipificados como delitos o como conductas determinantes de responsabilidad administrativa, realizados desde el 1 de enero de 2013 hasta el momento de la entrada en vigor de la presente ley, cualesquiera que sean su denominación y contenido”.</w:t>
      </w:r>
    </w:p>
    <w:p w14:paraId="27B20CAB" w14:textId="77777777" w:rsidR="00A8138F" w:rsidRDefault="00A8138F" w:rsidP="00A8138F">
      <w:pPr>
        <w:pStyle w:val="TextoNormal"/>
      </w:pPr>
    </w:p>
    <w:p w14:paraId="4E467507" w14:textId="77777777" w:rsidR="00A8138F" w:rsidRDefault="00A8138F" w:rsidP="00A8138F">
      <w:pPr>
        <w:pStyle w:val="TextoNormal"/>
      </w:pPr>
      <w:r>
        <w:t>Destacados miembros del Gobierno se pronunciaron en contra de la admisión a trámite de dicha proposición de ley por considerar que la amnistía era una institución que no tenía encaje en la Constitución. La Dirección de Asesoría Jurídica del Congreso emitió un informe preliminar en el que aconsejaba la inadmisión a trámite de la proposición de ley. Los letrados del Congreso fueron igualmente categóricos; concluyeron que procedía comunicar a los autores de la iniciativa “que no procede su admisión a trámite, en la medida en que de un examen liminar se desprende que la amnistía, al suponer la concesión de un indulto general que afecta a una pluralidad de sujetos condenados por sentencia firme entraría en una contradicción palmaria y evidente con lo dispuesto en el artículo 62 i) de la Constitución, de acuerdo con el cual no cabe que la ley autorice indultos generales”. Siguiendo este criterio, la mesa de la Cámara, por acuerdo de 23 de marzo de 2021, acordó inadmitirla a trámite.</w:t>
      </w:r>
    </w:p>
    <w:p w14:paraId="475D457A" w14:textId="77777777" w:rsidR="00A8138F" w:rsidRDefault="00A8138F" w:rsidP="00A8138F">
      <w:pPr>
        <w:pStyle w:val="TextoNormal"/>
      </w:pPr>
    </w:p>
    <w:p w14:paraId="4CB09070" w14:textId="77777777" w:rsidR="00A8138F" w:rsidRDefault="00A8138F" w:rsidP="00A8138F">
      <w:pPr>
        <w:pStyle w:val="TextoNormal"/>
      </w:pPr>
      <w:r>
        <w:t>Por el contrario, con fecha 13 de noviembre de 2024 tuvo entrada en el registro del Congreso de los Diputados la proposición de Ley Orgánica de amnistía para la normalización institucional, política y social de Cataluña, para resolver de este modo ese conflicto político al que aludía la proposición de ley antes referida. Pero ahora la presentaba el Grupo Parlamentario Socialista, o más bien, como más adelante se dirá, el Gobierno a través de su grupo parlamentario en el Congreso.</w:t>
      </w:r>
    </w:p>
    <w:p w14:paraId="59D10E82" w14:textId="77777777" w:rsidR="00A8138F" w:rsidRDefault="00A8138F" w:rsidP="00A8138F">
      <w:pPr>
        <w:pStyle w:val="TextoNormal"/>
      </w:pPr>
    </w:p>
    <w:p w14:paraId="39EA4B02" w14:textId="77777777" w:rsidR="00A8138F" w:rsidRDefault="00A8138F" w:rsidP="00A8138F">
      <w:pPr>
        <w:pStyle w:val="TextoNormal"/>
      </w:pPr>
      <w:r>
        <w:t>Y muchas de esas opiniones de miembros del Gobierno que antes se manifestaron rotundamente en contra de la constitucionalidad de la amnistía ahora lo han hecho a favor. Se alude a que esta amnistía no es la misma que la antes presentada por los grupos parlamentarios Republicano y Plural, pero el contenido de una y otra es sustancialmente igual, incluso es sustancialmente igual el objetivo que proclaman sus respectivas exposiciones de motivos. Lo único que ha cambiado es el contexto político en el que esa segunda proposición de ley de amnistía se ha presentado, que, según se examinará después, requiere los votos de los parlamentarios del Grupo Parlamentario Junts per Catalunya en el Congreso para que el candidato a la Presidencia del Gobierno obtuviera su investidura.</w:t>
      </w:r>
    </w:p>
    <w:p w14:paraId="4BB00887" w14:textId="77777777" w:rsidR="00A8138F" w:rsidRDefault="00A8138F" w:rsidP="00A8138F">
      <w:pPr>
        <w:pStyle w:val="TextoNormal"/>
      </w:pPr>
    </w:p>
    <w:p w14:paraId="3888CFF3" w14:textId="77777777" w:rsidR="00A8138F" w:rsidRDefault="00A8138F" w:rsidP="00A8138F">
      <w:pPr>
        <w:pStyle w:val="TextoNormal"/>
      </w:pPr>
      <w:r>
        <w:t xml:space="preserve">2. </w:t>
      </w:r>
      <w:r w:rsidRPr="00A8138F">
        <w:rPr>
          <w:i/>
        </w:rPr>
        <w:t>Nuestra Constitución no permite la amnistía</w:t>
      </w:r>
    </w:p>
    <w:p w14:paraId="1FD6DC63" w14:textId="77777777" w:rsidR="00A8138F" w:rsidRDefault="00A8138F" w:rsidP="00A8138F">
      <w:pPr>
        <w:pStyle w:val="TextoNormal"/>
      </w:pPr>
    </w:p>
    <w:p w14:paraId="7BBC64DC" w14:textId="77777777" w:rsidR="00A8138F" w:rsidRDefault="00A8138F" w:rsidP="00A8138F">
      <w:pPr>
        <w:pStyle w:val="TextoNormal"/>
      </w:pPr>
      <w:r>
        <w:t>El examen del posible encaje de la amnistía en la Constitución no puede hacerse a partir de un precepto aislado de ella sino del conjunto de las disposiciones que la mencionan, e incluso de los debates parlamentarios que precedieron a su aprobación, pues la Constitución constituye como ha destacado este Tribunal Constitucional desde el ATC 60/1981, un sistema normativo dotado de unidad que ha de ser interpretado en consecuencia en su relación recíproca con otros preceptos y con la unidad de la propia Constitución en la que están articulados (FJ 2). Tal unidad supone que “la Constitución no es la suma y el agregado de una multiplicidad de mandatos inconexos, sino precisamente el orden jurídico fundamental de la comunidad política, regido y orientado a su vez por la proclamación de su artículo 1.1, a partir del cual debe resultar un sistema coherente en el que todos sus contenidos encuentren el espacio y la eficacia que el constituyente quiso otorgarles” (STC 206/1992, de 27 de noviembre, FJ 3).</w:t>
      </w:r>
    </w:p>
    <w:p w14:paraId="26648423" w14:textId="77777777" w:rsidR="00A8138F" w:rsidRDefault="00A8138F" w:rsidP="00A8138F">
      <w:pPr>
        <w:pStyle w:val="TextoNormal"/>
      </w:pPr>
    </w:p>
    <w:p w14:paraId="058AC490" w14:textId="77777777" w:rsidR="00A8138F" w:rsidRDefault="00A8138F" w:rsidP="00A8138F">
      <w:pPr>
        <w:pStyle w:val="TextoNormal"/>
      </w:pPr>
      <w:r>
        <w:t>a) Ciertamente la Constitución no prohíbe expresamente la amnistía. De hecho, no se refiere a ella en su texto. Pero de ello no puede deducirse, como señala la sentencia, que, por lo tanto, las Cortes pueden aprobarla si lo consideran conveniente. Frente a los ciudadanos, cuya sujeción al ordenamiento jurídico (art. 9.1 CE) significa que pueden hacer todo lo que el ordenamiento jurídico no prohíbe, las Cortes Generales parten de un principio opuesto. Por un lado, su sujeción al ordenamiento jurídico no les impide modificar ese mismo ordenamiento (de acuerdo, obviamente con el procedimiento parlamentario correspondiente), en cambio, su sujeción a la Constitución significa que solo pueden hacer aquello que la Constitución les permita. Con lo cual volvemos al punto de partida; decidir si la Constitución permite o no la amnistía.</w:t>
      </w:r>
    </w:p>
    <w:p w14:paraId="1363E1FE" w14:textId="77777777" w:rsidR="00A8138F" w:rsidRDefault="00A8138F" w:rsidP="00A8138F">
      <w:pPr>
        <w:pStyle w:val="TextoNormal"/>
      </w:pPr>
    </w:p>
    <w:p w14:paraId="5DCE1D9C" w14:textId="77777777" w:rsidR="00A8138F" w:rsidRDefault="00A8138F" w:rsidP="00A8138F">
      <w:pPr>
        <w:pStyle w:val="TextoNormal"/>
      </w:pPr>
      <w:r>
        <w:t>La sentencia en el fundamento jurídico 3.2.1 califica a nuestra Constitución como una norma “abierta”, diciendo que el legislador no está sujeto a un plan que ejecutar. Pero una cosa es que, conforme a nuestra doctrina reiterada, el legislador en principio goza de un amplio margen de decisión política, acorde con el pluralismo que caracteriza a la propia composición del Parlamento, y otra que el legislador solo esté delimitado en lo negativo por prohibiciones constitucionales expresas, lo cual como decimos no es así. De allí que la propia sentencia tenga que reconocer al final, que los límites que vinculan al legislador con la Constitución no solo son expresos sino también implícitos.</w:t>
      </w:r>
    </w:p>
    <w:p w14:paraId="4D262A22" w14:textId="77777777" w:rsidR="00A8138F" w:rsidRDefault="00A8138F" w:rsidP="00A8138F">
      <w:pPr>
        <w:pStyle w:val="TextoNormal"/>
      </w:pPr>
    </w:p>
    <w:p w14:paraId="53E65031" w14:textId="77777777" w:rsidR="00A8138F" w:rsidRDefault="00A8138F" w:rsidP="00A8138F">
      <w:pPr>
        <w:pStyle w:val="TextoNormal"/>
      </w:pPr>
      <w:r>
        <w:t>b) El derecho de gracia, sea como indulto o como amnistía, supone la excepción de principios fundamentales que la Constitución consagra. En primer lugar, el de igualdad, reconocido en su art. 14 porque frente a unos mismos hechos delictivos se beneficia a los receptores de la gracia frente a los que no la obtienen; el principio de exclusividad de la jurisdicción que el art. 117.3 atribuye únicamente a los juzgados y tribunales, así como el de la obligatoriedad de cumplir las sentencias y demás resoluciones firmes de los jueces y tribunales que impone el art. 118, de donde se desprende que solo si la Constitución lo autoriza, como indudablemente sucede con los indultos particulares a los que se refiere el artículo 62 i), cabría aprobar amnistías. Algo que, en mi opinión, no resulta de la Constitución.</w:t>
      </w:r>
    </w:p>
    <w:p w14:paraId="0BF6279D" w14:textId="77777777" w:rsidR="00A8138F" w:rsidRDefault="00A8138F" w:rsidP="00A8138F">
      <w:pPr>
        <w:pStyle w:val="TextoNormal"/>
      </w:pPr>
    </w:p>
    <w:p w14:paraId="46AF2FC0" w14:textId="77777777" w:rsidR="00A8138F" w:rsidRDefault="00A8138F" w:rsidP="00A8138F">
      <w:pPr>
        <w:pStyle w:val="TextoNormal"/>
      </w:pPr>
      <w:r>
        <w:t>El artículo 66.2 CE enumera las funciones de las Cortes Generales, y entre estas funciones no se encuentra la de aprobar amnistías.</w:t>
      </w:r>
    </w:p>
    <w:p w14:paraId="0F2924DD" w14:textId="77777777" w:rsidR="00A8138F" w:rsidRDefault="00A8138F" w:rsidP="00A8138F">
      <w:pPr>
        <w:pStyle w:val="TextoNormal"/>
      </w:pPr>
    </w:p>
    <w:p w14:paraId="4D1F02D3" w14:textId="77777777" w:rsidR="00A8138F" w:rsidRDefault="00A8138F" w:rsidP="00A8138F">
      <w:pPr>
        <w:pStyle w:val="TextoNormal"/>
      </w:pPr>
      <w:r>
        <w:t>No pueden considerarse las amnistías entre las potestades legislativas a las que se refiere este artículo porque el ejercicio del derecho de gracia ni es potestad legislativa ni se atribuye a las Cortes porque es una facultad que el artículo 62 i) CE atribuye al rey, que es el que refrenda los decretos del Gobierno, pero no refrenda acto alguno de las Cortes. Sancionar las leyes, conforme al artículo 62 a) CE no tiene nada que ver con el refrendo de los actos del Gobierno. Amnistiar no es legislar, aunque la amnistía ahora cuestionada se haya aprobado utilizando el vehículo de una ley; sustancialmente tiene una distinta naturaleza.</w:t>
      </w:r>
    </w:p>
    <w:p w14:paraId="06AFDD81" w14:textId="77777777" w:rsidR="00A8138F" w:rsidRDefault="00A8138F" w:rsidP="00A8138F">
      <w:pPr>
        <w:pStyle w:val="TextoNormal"/>
      </w:pPr>
    </w:p>
    <w:p w14:paraId="03150BC1" w14:textId="77777777" w:rsidR="00A8138F" w:rsidRDefault="00A8138F" w:rsidP="00A8138F">
      <w:pPr>
        <w:pStyle w:val="TextoNormal"/>
      </w:pPr>
      <w:r>
        <w:t>c) Se ha señalado en favor de la constitucionalidad de la amnistía que la propia Constitución se refiere a ella en el art. 87.3 cuando excluye la posibilidad de ejercer la iniciativa popular, entre otras materias, en lo relativo a la prerrogativa de gracia. Esa aparente contradicción entre este artículo y los artículos 62 i) y 66.2 CE se explica porque en parte nuestra Constitución está inspirada en la italiana que sí prevé la amnistía. Pero, en todo caso, del art. 87.3 CE no puede deducirse una autorización implícita a las Cortes para aprobar leyes de amnistía. El artículo 62 i) CE atribuye al rey el ejercicio del derecho de gracia con arreglo a la ley, y lo que prohíbe ese art. 87.3 CE es que esas leyes con arreglo a las cuales debe ejercitarse el derecho de gracia puedan modificarse por una ley aprobada como consecuencia de una iniciativa popular.</w:t>
      </w:r>
    </w:p>
    <w:p w14:paraId="4DFA15A1" w14:textId="77777777" w:rsidR="00A8138F" w:rsidRDefault="00A8138F" w:rsidP="00A8138F">
      <w:pPr>
        <w:pStyle w:val="TextoNormal"/>
      </w:pPr>
    </w:p>
    <w:p w14:paraId="26883B63" w14:textId="77777777" w:rsidR="00A8138F" w:rsidRDefault="00A8138F" w:rsidP="00A8138F">
      <w:pPr>
        <w:pStyle w:val="TextoNormal"/>
      </w:pPr>
      <w:r>
        <w:t>d) El artículo 66 i) CE, que atribuye al rey el ejercicio del derecho de gracia con arreglo a la ley, advierte que esta ley no podrá autorizar indultos generales. Esto es, limita la concesión de indultos a personas concretas en atención a las circunstancias particulares que en ellas concurran, que, de acuerdo con jurisprudencia repetida del Tribunal Supremo, han de hacerse constar en el real decreto de concesión del indulto.</w:t>
      </w:r>
    </w:p>
    <w:p w14:paraId="66C87864" w14:textId="77777777" w:rsidR="00A8138F" w:rsidRDefault="00A8138F" w:rsidP="00A8138F">
      <w:pPr>
        <w:pStyle w:val="TextoNormal"/>
      </w:pPr>
    </w:p>
    <w:p w14:paraId="18B2483B" w14:textId="77777777" w:rsidR="00A8138F" w:rsidRDefault="00A8138F" w:rsidP="00A8138F">
      <w:pPr>
        <w:pStyle w:val="TextoNormal"/>
      </w:pPr>
      <w:r>
        <w:t>La incompatibilidad sustancial en términos generales entre amnistía e indultos generales puede sostenerse en términos lógicos partiendo de la prohibición de los indultos generales en la Constitución española y el silencio de esta respecto de la amnistía. Sin embargo, en términos constitucionales nada hubiera impedido al constituyente aceptar la proposición contraria, como hizo la Constitución de 1931, cuyo art. 102 que habilitaba al Parlamento para acordar amnistías, prohibía la concesión de indultos generales.</w:t>
      </w:r>
    </w:p>
    <w:p w14:paraId="61E04C73" w14:textId="77777777" w:rsidR="00A8138F" w:rsidRDefault="00A8138F" w:rsidP="00A8138F">
      <w:pPr>
        <w:pStyle w:val="TextoNormal"/>
      </w:pPr>
    </w:p>
    <w:p w14:paraId="1F3699E2" w14:textId="77777777" w:rsidR="00A8138F" w:rsidRDefault="00A8138F" w:rsidP="00A8138F">
      <w:pPr>
        <w:pStyle w:val="TextoNormal"/>
      </w:pPr>
      <w:r>
        <w:t>La amnistía resulta, en relación con los sujetos ya condenados, análoga al indulto, pero con un alcance mucho más intenso. No solo se perdona la pena, sino que hace que desaparezca por completo el delito por el que se produjo la condena. Además, la amnistía puede, como ocurre con esta Ley de amnistía extender su alcance a sujetos que no han sido juzgados, impidiendo la posibilidad misma de enjuiciarlos. Por ello, aunque entre amnistía e indulto se puedan encontrar diferencias cualitativas, en cuanto a sus efectos es patente la mayor intensidad de los que produce la amnistía respecto de los que corresponden al indulto, y por simples razones de lógica jurídica no pueden obtener los condenados o imputados por algún delito mediante una amnistía lo que no hubieran podido obtener por la concesión de un indulto.</w:t>
      </w:r>
    </w:p>
    <w:p w14:paraId="5FA867EE" w14:textId="77777777" w:rsidR="00A8138F" w:rsidRDefault="00A8138F" w:rsidP="00A8138F">
      <w:pPr>
        <w:pStyle w:val="TextoNormal"/>
      </w:pPr>
    </w:p>
    <w:p w14:paraId="68875288" w14:textId="77777777" w:rsidR="00A8138F" w:rsidRDefault="00A8138F" w:rsidP="00A8138F">
      <w:pPr>
        <w:pStyle w:val="TextoNormal"/>
      </w:pPr>
      <w:r>
        <w:t>Ni siquiera aduciendo las razones que, según el preámbulo de la Ley Orgánica 1/2024, y sin juzgar en este momento su suficiencia o verosimilitud, los beneficiarios de la amnistía podrían haber sido los destinatarios de un indulto general. Mucho menos, por tanto, de una amnistía que tiene unos efectos mucho más intensos que el indulto.</w:t>
      </w:r>
    </w:p>
    <w:p w14:paraId="11C1995D" w14:textId="77777777" w:rsidR="00A8138F" w:rsidRDefault="00A8138F" w:rsidP="00A8138F">
      <w:pPr>
        <w:pStyle w:val="TextoNormal"/>
      </w:pPr>
    </w:p>
    <w:p w14:paraId="2C0CB04E" w14:textId="77777777" w:rsidR="00A8138F" w:rsidRDefault="00A8138F" w:rsidP="00A8138F">
      <w:pPr>
        <w:pStyle w:val="TextoNormal"/>
      </w:pPr>
      <w:r>
        <w:t>e) Aunque una vez aprobada la ley, esta se desgaja de la voluntad del legislador y su interpretación ha de hacerse con arreglo a los criterios que enumera el art. 3.1 del Código civil, entre los que, estrictamente, no se encuentra el de la voluntad del legislador, la llamada a los “antecedentes históricos y legislativos” permite acudir a los debates parlamentarios previos a la aprobación de una ley para alcanzar su verdadero significado, pues no es del mismo interés la voluntad que los legisladores pudieron albergar como el sentido actual de una ley, atendiendo a unas nuevas circunstancias que han de valorarse.</w:t>
      </w:r>
    </w:p>
    <w:p w14:paraId="57916DDC" w14:textId="77777777" w:rsidR="00A8138F" w:rsidRDefault="00A8138F" w:rsidP="00A8138F">
      <w:pPr>
        <w:pStyle w:val="TextoNormal"/>
      </w:pPr>
    </w:p>
    <w:p w14:paraId="135D603E" w14:textId="77777777" w:rsidR="00A8138F" w:rsidRDefault="00A8138F" w:rsidP="00A8138F">
      <w:pPr>
        <w:pStyle w:val="TextoNormal"/>
      </w:pPr>
      <w:r>
        <w:t>Por eso, la llamada a los debates parlamentarios previos a la aprobación de una ley es tanto más interesante cuanto más próxima en el tiempo a esos debates sea la ley objeto de interpretación.</w:t>
      </w:r>
    </w:p>
    <w:p w14:paraId="7A16B5DC" w14:textId="77777777" w:rsidR="00A8138F" w:rsidRDefault="00A8138F" w:rsidP="00A8138F">
      <w:pPr>
        <w:pStyle w:val="TextoNormal"/>
      </w:pPr>
    </w:p>
    <w:p w14:paraId="75631AE7" w14:textId="77777777" w:rsidR="00A8138F" w:rsidRDefault="00A8138F" w:rsidP="00A8138F">
      <w:pPr>
        <w:pStyle w:val="TextoNormal"/>
      </w:pPr>
      <w:r>
        <w:t>Con independencia de lo anterior, la interpretación de la Constitución no se ajusta a los mismos cauces de la interpretación de las leyes por el carácter abierto de muchas de sus disposiciones, por estar su jurisprudencia fundada sobre todo en valores y principios morales que dejan mayor espacio al intérprete para encontrar la interpretación adecuada.</w:t>
      </w:r>
    </w:p>
    <w:p w14:paraId="44526F5C" w14:textId="77777777" w:rsidR="00A8138F" w:rsidRDefault="00A8138F" w:rsidP="00A8138F">
      <w:pPr>
        <w:pStyle w:val="TextoNormal"/>
      </w:pPr>
    </w:p>
    <w:p w14:paraId="23BB4278" w14:textId="77777777" w:rsidR="00A8138F" w:rsidRDefault="00A8138F" w:rsidP="00A8138F">
      <w:pPr>
        <w:pStyle w:val="TextoNormal"/>
      </w:pPr>
      <w:r>
        <w:t>Pero sí merece la pena poner de relieve que, frente a la jurisdicción ordinaria, la doctrina del Tribunal Constitucional acude muchas veces a los debates parlamentarios previos a la aprobación de la Constitución para interpretar algunos de sus preceptos (así, SSTC 124/1989, de 7 de julio, FJ 3; 113/2004, FJ 5; 198/2012, de 6 de noviembre, FJ 8; 148/2021, de 14 de julio, FJ 11, y 34/2023, FJ 5, entre otras muchas).</w:t>
      </w:r>
    </w:p>
    <w:p w14:paraId="10C75401" w14:textId="77777777" w:rsidR="00A8138F" w:rsidRDefault="00A8138F" w:rsidP="00A8138F">
      <w:pPr>
        <w:pStyle w:val="TextoNormal"/>
      </w:pPr>
    </w:p>
    <w:p w14:paraId="5FFD8F53" w14:textId="77777777" w:rsidR="00A8138F" w:rsidRDefault="00A8138F" w:rsidP="00A8138F">
      <w:pPr>
        <w:pStyle w:val="TextoNormal"/>
      </w:pPr>
      <w:r>
        <w:t>Pues bien, ante la ponencia encargada de la redacción del anteproyecto de Constitución, se planteó al tratar del Poder Judicial si procedía referirse a la amnistía y, en su reunión de 3 de noviembre de 1977 dicha ponencia decidió, “por lo que se refiere a la materia de amnistía, se acuerda no constitucionalizar este tema”. En relación con esto se presentaron dos enmiendas al anteproyecto aprobado, en las que se hacía expresa referencia a la amnistía y su atribución a las Cortes Generales, y ambas fueron rechazadas.</w:t>
      </w:r>
    </w:p>
    <w:p w14:paraId="77002102" w14:textId="77777777" w:rsidR="00A8138F" w:rsidRDefault="00A8138F" w:rsidP="00A8138F">
      <w:pPr>
        <w:pStyle w:val="TextoNormal"/>
      </w:pPr>
    </w:p>
    <w:p w14:paraId="33EB80B0" w14:textId="77777777" w:rsidR="00A8138F" w:rsidRDefault="00A8138F" w:rsidP="00A8138F">
      <w:pPr>
        <w:pStyle w:val="TextoNormal"/>
      </w:pPr>
      <w:r>
        <w:t>La lógica conclusión de este proceso es que, si los constituyentes acordaron incluir la regulación de los indultos en la Constitución, pero no la de la amnistía es porque esta no tiene encaje en ella. Y no cabe en ella porque las medidas de gracia constituyen en esencia quiebras al principio de exclusividad de la potestad jurisdiccional y también pueden serlo al principio de igualdad, de modo que su exclusión solo es posible si la propia Constitución lo permite.</w:t>
      </w:r>
    </w:p>
    <w:p w14:paraId="6CB7F3EB" w14:textId="77777777" w:rsidR="00A8138F" w:rsidRDefault="00A8138F" w:rsidP="00A8138F">
      <w:pPr>
        <w:pStyle w:val="TextoNormal"/>
      </w:pPr>
    </w:p>
    <w:p w14:paraId="4BC92450" w14:textId="77777777" w:rsidR="00A8138F" w:rsidRDefault="00A8138F" w:rsidP="00A8138F">
      <w:pPr>
        <w:pStyle w:val="TextoNormal"/>
      </w:pPr>
      <w:r>
        <w:t>No puedo compartir por ello el análisis que hace la sentencia sobre los preceptos de la Constitución que se refieren al derecho de gracia (FJ 3.2.1), como tampoco las inferencias que extrae de los debates parlamentarios que precedieron a la aprobación de la Carta Fundamental (FJ 3.2.2).</w:t>
      </w:r>
    </w:p>
    <w:p w14:paraId="02E44A47" w14:textId="77777777" w:rsidR="00A8138F" w:rsidRDefault="00A8138F" w:rsidP="00A8138F">
      <w:pPr>
        <w:pStyle w:val="TextoNormal"/>
      </w:pPr>
    </w:p>
    <w:p w14:paraId="49A5B13D" w14:textId="77777777" w:rsidR="00A8138F" w:rsidRDefault="00A8138F" w:rsidP="00A8138F">
      <w:pPr>
        <w:pStyle w:val="TextoNormal"/>
      </w:pPr>
      <w:r>
        <w:t>f) Este tribunal no ha realizado hasta ahora ningún pronunciamiento relativo a la conformidad de la amnistía con la Constitución. Los pronunciamientos que se citan se refieren a amnistías concedidas antes de la entrada en vigor de la Constitución o a alguna ley posterior que es simple complemento de aquellas.</w:t>
      </w:r>
    </w:p>
    <w:p w14:paraId="6A0D617B" w14:textId="77777777" w:rsidR="00A8138F" w:rsidRDefault="00A8138F" w:rsidP="00A8138F">
      <w:pPr>
        <w:pStyle w:val="TextoNormal"/>
      </w:pPr>
    </w:p>
    <w:p w14:paraId="26023DB5" w14:textId="77777777" w:rsidR="00A8138F" w:rsidRDefault="00A8138F" w:rsidP="00A8138F">
      <w:pPr>
        <w:pStyle w:val="TextoNormal"/>
      </w:pPr>
      <w:r>
        <w:t>— La STC 63/1983 trata de una petición de aviadores de la República que formulan una queja relativa a que la amnistía concedida a ellos era de menor alcance que la que se habría concedido a los funcionarios civiles del Estado republicano y, por ello, infringía el art. 14 CE, y pedían al Gobierno que tomara la iniciativa legislativa o no se opusiera a otras iniciativas en orden a promulgar otra ley que para los militares disponga una reintegración en sus situaciones quebradas por la guerra civil que responda a los mismos principios que han inspirado la amnistía de los funcionarios civiles. El recurso fue desestimado, pero, en todo caso, conviene advertir que la discusión se refería a los efectos de las amnistías acordadas por el Real Decreto-ley 10/1976 y luego por la Ley 46/1977, esto es, amnistías aprobadas bajo un régimen jurídico previo al instaurado por la Constitución. La desestimación del recurso supuso el rechazo de la pretensión deducida por los recurrentes y que no se llegase a examinar, ya bajo la vigencia de la Constitución, los problemas de constitucionalidad que pudiera plantear una ley ampliatoria de los efectos de una amnistía concedida antes de la Constitución.</w:t>
      </w:r>
    </w:p>
    <w:p w14:paraId="68B4DB09" w14:textId="77777777" w:rsidR="00A8138F" w:rsidRDefault="00A8138F" w:rsidP="00A8138F">
      <w:pPr>
        <w:pStyle w:val="TextoNormal"/>
      </w:pPr>
    </w:p>
    <w:p w14:paraId="019A047E" w14:textId="77777777" w:rsidR="00A8138F" w:rsidRDefault="00A8138F" w:rsidP="00A8138F">
      <w:pPr>
        <w:pStyle w:val="TextoNormal"/>
      </w:pPr>
      <w:r>
        <w:t>— Esto podría haberse planteado en la STC 147/1986 que enjuició una ley de 1984, la Ley 1/1984, de 9 de enero, de adición de un nuevo artículo a la Ley 46/1977, de 15 de octubre, de amnistía, a fin de declarar imprescriptibles los derechos laborales reconocidos en esta ley, de modo que los interesados podían solicitar la aplicación de la Ley 46/1977, de amnistía, incluso cuando hubiera habido resolución judicial declaratoria de la inadmisión del proceso por prescripción de acciones.</w:t>
      </w:r>
    </w:p>
    <w:p w14:paraId="188EADED" w14:textId="77777777" w:rsidR="00A8138F" w:rsidRDefault="00A8138F" w:rsidP="00A8138F">
      <w:pPr>
        <w:pStyle w:val="TextoNormal"/>
      </w:pPr>
    </w:p>
    <w:p w14:paraId="76409C6A" w14:textId="77777777" w:rsidR="00A8138F" w:rsidRDefault="00A8138F" w:rsidP="00A8138F">
      <w:pPr>
        <w:pStyle w:val="TextoNormal"/>
      </w:pPr>
      <w:r>
        <w:t>Pero esta sentencia no abordó el problema de la compatibilidad de la Ley 1/1984 con la Constitución y, en particular con su art. 62 i), que cita expresamente, porque previamente había decidido, resolviendo una posición mantenida por alguna de las partes, que la Ley 1/1984 no contiene una nueva amnistía, sino que solo añade una precisión al régimen jurídico de la amnistía que ya se perfiló en 1977:</w:t>
      </w:r>
    </w:p>
    <w:p w14:paraId="2C4702D1" w14:textId="77777777" w:rsidR="00A8138F" w:rsidRDefault="00A8138F" w:rsidP="00A8138F">
      <w:pPr>
        <w:pStyle w:val="TextoNormal"/>
      </w:pPr>
    </w:p>
    <w:p w14:paraId="48453C06" w14:textId="77777777" w:rsidR="00A8138F" w:rsidRDefault="00A8138F" w:rsidP="00A8138F">
      <w:pPr>
        <w:pStyle w:val="TextoNormal"/>
      </w:pPr>
      <w:r>
        <w:t>“La Ley 1/1984 no tiene sentido autónomo, sino que puntualiza algunos aspectos discutidos del régimen jurídico de la Ley de 1977 […] No se trata, pues, de una nueva [ley de] amnistía, sino de nuevos aspectos añadidos al régimen jurídico de la única existente. Esta caracterización […] de la Ley de 1984 no tiene un interés meramente teórico, sino que resulta trascendente para responder a alguna de las cuestiones planteadas, especialmente su presunta contradicción con lo dispuesto en el artículo 62 i) CE” (STC 147/1986, FJ 2).</w:t>
      </w:r>
    </w:p>
    <w:p w14:paraId="17B05EF3" w14:textId="77777777" w:rsidR="00A8138F" w:rsidRDefault="00A8138F" w:rsidP="00A8138F">
      <w:pPr>
        <w:pStyle w:val="TextoNormal"/>
      </w:pPr>
    </w:p>
    <w:p w14:paraId="1815F944" w14:textId="77777777" w:rsidR="00A8138F" w:rsidRDefault="00A8138F" w:rsidP="00A8138F">
      <w:pPr>
        <w:pStyle w:val="TextoNormal"/>
      </w:pPr>
      <w:r>
        <w:t>No cabe argüir que si la amnistía es contraria a la Constitución española, el propio Tribunal Constitucional hubiera debido anular las dos amnistías preconstitucionales decretadas por el Real Decreto-ley 10/1976 y la Ley 46/1977. Este tribunal ni siquiera se ha planteado esa posibilidad en las pocas ocasiones en que ha tenido que referirse a ellas, precisamente porque su carácter preconstitucional las blindaba de cualquier juicio negativo precisamente en virtud de la propia Constitución, cuyo art. 9.3 prohíbe la aplicación retroactiva de las normas no favorables y, en este extremo es claro que la Constitución española es menos favorable que aquellas leyes preconstitucionales.</w:t>
      </w:r>
    </w:p>
    <w:p w14:paraId="44B90432" w14:textId="77777777" w:rsidR="00A8138F" w:rsidRDefault="00A8138F" w:rsidP="00A8138F">
      <w:pPr>
        <w:pStyle w:val="TextoNormal"/>
      </w:pPr>
    </w:p>
    <w:p w14:paraId="0D8EA38B" w14:textId="77777777" w:rsidR="00A8138F" w:rsidRDefault="00A8138F" w:rsidP="00A8138F">
      <w:pPr>
        <w:pStyle w:val="TextoNormal"/>
      </w:pPr>
      <w:r>
        <w:t>g) Las referencias del preámbulo de la Ley de amnistía a cinco reales decretos que al tratar del régimen disciplinario de diversos cuerpos de funcionarios mencionan la amnistía son absolutamente irrelevantes dado el carácter infralegal de esas normas, como tampoco son importantes las referencias a la Ley 20/2022, de 19 de octubre, de memoria democrática, y a la Ley 46/1977, de 15 de octubre, de amnistía, porque nada supone el reconocimiento de los efectos de una amnistía aprobada antes de la Constitución española respecto a la habilitación a las Cortes para que apruebe nuevas amnistías.</w:t>
      </w:r>
    </w:p>
    <w:p w14:paraId="03ECA389" w14:textId="77777777" w:rsidR="00A8138F" w:rsidRDefault="00A8138F" w:rsidP="00A8138F">
      <w:pPr>
        <w:pStyle w:val="TextoNormal"/>
      </w:pPr>
    </w:p>
    <w:p w14:paraId="2EE9940C" w14:textId="77777777" w:rsidR="00A8138F" w:rsidRDefault="00A8138F" w:rsidP="00A8138F">
      <w:pPr>
        <w:pStyle w:val="TextoNormal"/>
      </w:pPr>
      <w:r>
        <w:t>Más significativa es la mención del preámbulo de la Ley de amnistía al art. 666.4 del Real Decreto de 14 septiembre de 1882, por el que se aprueba la Ley de enjuiciamiento criminal, donde se prevé la amnistía como una causa que obliga al sobreseimiento. En congruencia con esta disposición, el Código penal de 1944 (texto revisado de 1963) incluía la amnistía entre las causas de extinción de la responsabilidad penal (artículo 112.3); desde su publicación hasta su derogación por el Código penal de 1995, el de 1944 fue reformado varias veces, pero ninguna de esas reformas afectó a las causas de extinción de la responsabilidad penal.</w:t>
      </w:r>
    </w:p>
    <w:p w14:paraId="4FB6EF12" w14:textId="77777777" w:rsidR="00A8138F" w:rsidRDefault="00A8138F" w:rsidP="00A8138F">
      <w:pPr>
        <w:pStyle w:val="TextoNormal"/>
      </w:pPr>
    </w:p>
    <w:p w14:paraId="11FB4369" w14:textId="77777777" w:rsidR="00A8138F" w:rsidRDefault="00A8138F" w:rsidP="00A8138F">
      <w:pPr>
        <w:pStyle w:val="TextoNormal"/>
      </w:pPr>
      <w:r>
        <w:t>Lo significativo no es tanto lo que dice el preámbulo de la Ley de amnistía, como lo que no dice, y es que el Código penal de 1995, primero de la democracia, no menciona la amnistía entre las causas de extinción de la responsabilidad penal en su art. 130, y ha sido la disposición final segunda de la Ley de amnistía la que ha modificado ese art. 130. Precisamente para incluir en su número 1.4, la amnistía, junto al indulto, como causa de extinción de la responsabilidad criminal.</w:t>
      </w:r>
    </w:p>
    <w:p w14:paraId="4AA5BCEE" w14:textId="77777777" w:rsidR="00A8138F" w:rsidRPr="00A8138F" w:rsidRDefault="00A8138F" w:rsidP="00A8138F">
      <w:pPr>
        <w:pStyle w:val="TextoNormal"/>
        <w:rPr>
          <w:i/>
        </w:rPr>
      </w:pPr>
    </w:p>
    <w:p w14:paraId="6CF1D7FC" w14:textId="77777777" w:rsidR="00A8138F" w:rsidRDefault="00A8138F" w:rsidP="00A8138F">
      <w:pPr>
        <w:pStyle w:val="TextoNormal"/>
      </w:pPr>
      <w:r w:rsidRPr="00A8138F">
        <w:rPr>
          <w:i/>
        </w:rPr>
        <w:t>3. La Ley de amnistía es arbitr</w:t>
      </w:r>
      <w:r>
        <w:t>aria</w:t>
      </w:r>
    </w:p>
    <w:p w14:paraId="02351401" w14:textId="77777777" w:rsidR="00A8138F" w:rsidRDefault="00A8138F" w:rsidP="00A8138F">
      <w:pPr>
        <w:pStyle w:val="TextoNormal"/>
      </w:pPr>
    </w:p>
    <w:p w14:paraId="2DB27BF7" w14:textId="77777777" w:rsidR="00A8138F" w:rsidRDefault="00A8138F" w:rsidP="00A8138F">
      <w:pPr>
        <w:pStyle w:val="TextoNormal"/>
      </w:pPr>
      <w:r>
        <w:t>a</w:t>
      </w:r>
      <w:r w:rsidRPr="00A8138F">
        <w:rPr>
          <w:i/>
        </w:rPr>
        <w:t>) El preámbulo de la Ley Orgáni</w:t>
      </w:r>
      <w:r>
        <w:t>ca</w:t>
      </w:r>
    </w:p>
    <w:p w14:paraId="497C02B3" w14:textId="77777777" w:rsidR="00A8138F" w:rsidRDefault="00A8138F" w:rsidP="00A8138F">
      <w:pPr>
        <w:pStyle w:val="TextoNormal"/>
      </w:pPr>
    </w:p>
    <w:p w14:paraId="216D9D8F" w14:textId="77777777" w:rsidR="00A8138F" w:rsidRDefault="00A8138F" w:rsidP="00A8138F">
      <w:pPr>
        <w:pStyle w:val="TextoNormal"/>
      </w:pPr>
      <w:r>
        <w:t>La aprobación de la amnistía ha ido precedida de un intenso debate, social, político y jurídico, centrado, en lo que interesa a este tribunal, en su posible contradicción con determinados preceptos y principios constitucionales.</w:t>
      </w:r>
    </w:p>
    <w:p w14:paraId="5995A469" w14:textId="77777777" w:rsidR="00A8138F" w:rsidRDefault="00A8138F" w:rsidP="00A8138F">
      <w:pPr>
        <w:pStyle w:val="TextoNormal"/>
      </w:pPr>
    </w:p>
    <w:p w14:paraId="279A90DA" w14:textId="77777777" w:rsidR="00A8138F" w:rsidRDefault="00A8138F" w:rsidP="00A8138F">
      <w:pPr>
        <w:pStyle w:val="TextoNormal"/>
      </w:pPr>
      <w:r>
        <w:t>Los promotores de la proposición de ley que da lugar a la ley orgánica impugnada fueron conscientes de ello como evidencia su extenso preámbulo en el que tratan de rebatir muchas de las objeciones que se habían manifestado contra la constitucionalidad de esa disposición.</w:t>
      </w:r>
    </w:p>
    <w:p w14:paraId="5E7CA8E9" w14:textId="77777777" w:rsidR="00A8138F" w:rsidRDefault="00A8138F" w:rsidP="00A8138F">
      <w:pPr>
        <w:pStyle w:val="TextoNormal"/>
      </w:pPr>
    </w:p>
    <w:p w14:paraId="3A4C3B53" w14:textId="77777777" w:rsidR="00A8138F" w:rsidRDefault="00A8138F" w:rsidP="00A8138F">
      <w:pPr>
        <w:pStyle w:val="TextoNormal"/>
      </w:pPr>
      <w:r>
        <w:t>El preámbulo acumula una insólita variedad de argumentos justificadores de la constitucionalidad de la ley, tan inconducentes como superfluos.</w:t>
      </w:r>
    </w:p>
    <w:p w14:paraId="42CD860C" w14:textId="77777777" w:rsidR="00A8138F" w:rsidRDefault="00A8138F" w:rsidP="00A8138F">
      <w:pPr>
        <w:pStyle w:val="TextoNormal"/>
      </w:pPr>
    </w:p>
    <w:p w14:paraId="3526A73D" w14:textId="77777777" w:rsidR="00A8138F" w:rsidRDefault="00A8138F" w:rsidP="00A8138F">
      <w:pPr>
        <w:pStyle w:val="TextoNormal"/>
      </w:pPr>
      <w:r>
        <w:t>— Son inconducentes, porque ninguna de las razones expuestas permite descartar las tachas de inconstitucionalidad que se han presentado contra la ley finalmente aprobada.</w:t>
      </w:r>
    </w:p>
    <w:p w14:paraId="12318462" w14:textId="77777777" w:rsidR="00A8138F" w:rsidRDefault="00A8138F" w:rsidP="00A8138F">
      <w:pPr>
        <w:pStyle w:val="TextoNormal"/>
      </w:pPr>
    </w:p>
    <w:p w14:paraId="5A31531B" w14:textId="77777777" w:rsidR="00A8138F" w:rsidRDefault="00A8138F" w:rsidP="00A8138F">
      <w:pPr>
        <w:pStyle w:val="TextoNormal"/>
      </w:pPr>
      <w:r>
        <w:t>— Son superfluos, porque esas explicaciones explícitas no son las que han llevado a aprobar esta ley.</w:t>
      </w:r>
    </w:p>
    <w:p w14:paraId="1C5EB5ED" w14:textId="77777777" w:rsidR="00A8138F" w:rsidRDefault="00A8138F" w:rsidP="00A8138F">
      <w:pPr>
        <w:pStyle w:val="TextoNormal"/>
      </w:pPr>
    </w:p>
    <w:p w14:paraId="10BFE702" w14:textId="77777777" w:rsidR="00A8138F" w:rsidRDefault="00A8138F" w:rsidP="00A8138F">
      <w:pPr>
        <w:pStyle w:val="TextoNormal"/>
      </w:pPr>
      <w:r>
        <w:t>(i) El preámbulo comienza con una declaración general relativa a la naturaleza y finalidad de toda amnistía que nada prejuzga respecto a que en nuestro ordenamiento jurídico esa institución sea admisible.</w:t>
      </w:r>
    </w:p>
    <w:p w14:paraId="0A9794F8" w14:textId="77777777" w:rsidR="00A8138F" w:rsidRDefault="00A8138F" w:rsidP="00A8138F">
      <w:pPr>
        <w:pStyle w:val="TextoNormal"/>
      </w:pPr>
    </w:p>
    <w:p w14:paraId="34DE280C" w14:textId="77777777" w:rsidR="00A8138F" w:rsidRDefault="00A8138F" w:rsidP="00A8138F">
      <w:pPr>
        <w:pStyle w:val="TextoNormal"/>
      </w:pPr>
      <w:r>
        <w:t>Ciertamente, la amnistía tiene una amplia tradición jurídica, pero una institución que supone la excepción de normas penales vigentes no puede basarse en la tradición, sino en la existencia para ella de una cobertura constitucional.</w:t>
      </w:r>
    </w:p>
    <w:p w14:paraId="76B5F217" w14:textId="77777777" w:rsidR="00A8138F" w:rsidRDefault="00A8138F" w:rsidP="00A8138F">
      <w:pPr>
        <w:pStyle w:val="TextoNormal"/>
      </w:pPr>
    </w:p>
    <w:p w14:paraId="74FD0C37" w14:textId="77777777" w:rsidR="00A8138F" w:rsidRDefault="00A8138F" w:rsidP="00A8138F">
      <w:pPr>
        <w:pStyle w:val="TextoNormal"/>
      </w:pPr>
      <w:r>
        <w:t>Precisamente por eso, la cita que trae de la Ley 46/1977, nada aporta a la constitucionalidad de la ley porque aquella fue aprobada antes de la sanción por el rey de la vigente Constitución, el 27 de diciembre de 1978.</w:t>
      </w:r>
    </w:p>
    <w:p w14:paraId="39A0CDC9" w14:textId="77777777" w:rsidR="00A8138F" w:rsidRDefault="00A8138F" w:rsidP="00A8138F">
      <w:pPr>
        <w:pStyle w:val="TextoNormal"/>
      </w:pPr>
    </w:p>
    <w:p w14:paraId="48EC2523" w14:textId="77777777" w:rsidR="00A8138F" w:rsidRDefault="00A8138F" w:rsidP="00A8138F">
      <w:pPr>
        <w:pStyle w:val="TextoNormal"/>
      </w:pPr>
      <w:r>
        <w:t>Como tampoco aportan nada las referencias que trae el mismo preámbulo al Derecho comparado que, en lo que respecta a la Unión Europea, no refleja sino enormes diferencias entre los distintos países que la componen; no solo entre aquellos en cuyas constituciones se prevé la posibilidad de acordar amnistías, como los que no tienen previsión alguna sobre ella, sin que entre los primeros la regulación sea siquiera semejante. Me remito en este punto, al amplio examen que trae el apartado V de la opinión de la Comisión Europea para la Democracia por el Derecho (Comisión de Venecia), de 18 de marzo de 2024, sobre la entonces proposición de ley orgánica.</w:t>
      </w:r>
    </w:p>
    <w:p w14:paraId="54357BCD" w14:textId="77777777" w:rsidR="00A8138F" w:rsidRDefault="00A8138F" w:rsidP="00A8138F">
      <w:pPr>
        <w:pStyle w:val="TextoNormal"/>
      </w:pPr>
    </w:p>
    <w:p w14:paraId="3C75B9A4" w14:textId="77777777" w:rsidR="00A8138F" w:rsidRDefault="00A8138F" w:rsidP="00A8138F">
      <w:pPr>
        <w:pStyle w:val="TextoNormal"/>
      </w:pPr>
      <w:r>
        <w:t>De todo ello se sigue la inutilidad del esfuerzo argumental desplegado en este sentido por el preámbulo de la ley.</w:t>
      </w:r>
    </w:p>
    <w:p w14:paraId="6BA51A0C" w14:textId="77777777" w:rsidR="00A8138F" w:rsidRDefault="00A8138F" w:rsidP="00A8138F">
      <w:pPr>
        <w:pStyle w:val="TextoNormal"/>
      </w:pPr>
    </w:p>
    <w:p w14:paraId="1A54853D" w14:textId="77777777" w:rsidR="00A8138F" w:rsidRDefault="00A8138F" w:rsidP="00A8138F">
      <w:pPr>
        <w:pStyle w:val="TextoNormal"/>
      </w:pPr>
      <w:r>
        <w:t>(ii) Lo mismo cabe decir de las referencias que incluye dicho preámbulo al Derecho de la Unión Europea. El que la Decisión marco 2002/584/JAI (reformada en 2009) relativa a la orden de detención europea aluda a que dicha orden se denegará cuando el delito esté cubierto por la amnistía en el Estado miembro de ejecución, solo supone que se reconoce la posibilidad, evidente por otra parte, de que en algunos estados miembros pueda reconocerse esa institución, pero en nada prejuzga respecto de su constitucionalidad con arreglo al ordenamiento de cada Estado, lo mismo que sucede con las sentencias del Tribunal de Justicia de la Unión Europea o del Tribunal Europeo de Derechos Humanos que también se citan.</w:t>
      </w:r>
    </w:p>
    <w:p w14:paraId="7FD62C80" w14:textId="77777777" w:rsidR="00A8138F" w:rsidRDefault="00A8138F" w:rsidP="00A8138F">
      <w:pPr>
        <w:pStyle w:val="TextoNormal"/>
      </w:pPr>
    </w:p>
    <w:p w14:paraId="65CF02B6" w14:textId="77777777" w:rsidR="00A8138F" w:rsidRDefault="00A8138F" w:rsidP="00A8138F">
      <w:pPr>
        <w:pStyle w:val="TextoNormal"/>
      </w:pPr>
      <w:r>
        <w:t>(iii) También se extiende el preámbulo en explicar la finalidad de la ley orgánica, en el sentido de que con ella se pretende superar la tensión que, a su juicio, fue creciendo en Cataluña tras la sentencia de este tribunal, STC 31/2010, emprendiendo “un camino difícil, pero a la vez […] reconciliador”.</w:t>
      </w:r>
    </w:p>
    <w:p w14:paraId="30447376" w14:textId="77777777" w:rsidR="00A8138F" w:rsidRDefault="00A8138F" w:rsidP="00A8138F">
      <w:pPr>
        <w:pStyle w:val="TextoNormal"/>
      </w:pPr>
    </w:p>
    <w:p w14:paraId="0FD148DF" w14:textId="77777777" w:rsidR="00A8138F" w:rsidRDefault="00A8138F" w:rsidP="00A8138F">
      <w:pPr>
        <w:pStyle w:val="TextoNormal"/>
      </w:pPr>
      <w:r>
        <w:t>Trata de aproximarse así a los motivos que justificaron la amnistía de 1977, pero ni puede decirse que la STC 31/2010 inició un camino equivocado que ahora trata de reconducirse, ni esos objetivos pueden decirse cumplidos cuando los propios destinatarios de la gracia han afirmado repetidamente que lo volverán a hacer tan pronto la ocasión se presente.</w:t>
      </w:r>
    </w:p>
    <w:p w14:paraId="79FEAD5F" w14:textId="77777777" w:rsidR="00A8138F" w:rsidRDefault="00A8138F" w:rsidP="00A8138F">
      <w:pPr>
        <w:pStyle w:val="TextoNormal"/>
      </w:pPr>
    </w:p>
    <w:p w14:paraId="41F620B3" w14:textId="77777777" w:rsidR="00A8138F" w:rsidRDefault="00A8138F" w:rsidP="00A8138F">
      <w:pPr>
        <w:pStyle w:val="TextoNormal"/>
      </w:pPr>
      <w:r>
        <w:t>Con independencia de las discutibles valoraciones que se hacen al hilo de estas afirmaciones, cuando los sujetos destinatarios de esta ley han declarado repetidamente que volverán a actuar de la misma manera que la que dio lugar a su procesamiento o condena, es obvio que las buenas intenciones del legislador nada aportan en favor de la constitucionalidad de la norma cuando es evidente que con ella no resuelve lo que pretendía.</w:t>
      </w:r>
    </w:p>
    <w:p w14:paraId="3E1DF9E1" w14:textId="77777777" w:rsidR="00A8138F" w:rsidRDefault="00A8138F" w:rsidP="00A8138F">
      <w:pPr>
        <w:pStyle w:val="TextoNormal"/>
      </w:pPr>
    </w:p>
    <w:p w14:paraId="122062AF" w14:textId="77777777" w:rsidR="00A8138F" w:rsidRDefault="00A8138F" w:rsidP="00A8138F">
      <w:pPr>
        <w:pStyle w:val="TextoNormal"/>
      </w:pPr>
      <w:r>
        <w:t>(iv) Mención especial merece el respaldo que el preámbulo trata de conseguir con la doctrina de este Tribunal Constitucional, cuya cita va precedida, eso sí, por la calificación de la ley como la consecuencia de “un acto soberano de las Cortes Generales,” con olvido de que el Poder Legislativo, como los demás poderes del Estado son poderes constituidos sometidos ante todo a la Constitución.</w:t>
      </w:r>
    </w:p>
    <w:p w14:paraId="01DFC71F" w14:textId="77777777" w:rsidR="00A8138F" w:rsidRDefault="00A8138F" w:rsidP="00A8138F">
      <w:pPr>
        <w:pStyle w:val="TextoNormal"/>
      </w:pPr>
    </w:p>
    <w:p w14:paraId="7A2650D4" w14:textId="77777777" w:rsidR="00A8138F" w:rsidRDefault="00A8138F" w:rsidP="00A8138F">
      <w:pPr>
        <w:pStyle w:val="TextoNormal"/>
      </w:pPr>
      <w:r>
        <w:t>No cabe hablar de un sedicente principio democrático basado en la superioridad del Poder Legislativo, como representante del pueblo, sobre lo dispuesto en la Constitución. La doctrina de este tribunal es sobre este punto concluyente y reiterada: “En el Estado constitucional, el principio democrático no puede desvincularse de la primacía incondicional de la Constitución, que, como afirmó este tribunal en la STC 42/2014, FJ 4 c), ‘requiere que toda decisión del poder quede, sin excepción, sujeta a la Constitución, sin que existan para el poder público espacios libres de la Constitución o ámbitos de inmunidad frente a ella’” [STC 259/2015, FJ 4 b)].</w:t>
      </w:r>
    </w:p>
    <w:p w14:paraId="7D0871AA" w14:textId="77777777" w:rsidR="00A8138F" w:rsidRDefault="00A8138F" w:rsidP="00A8138F">
      <w:pPr>
        <w:pStyle w:val="TextoNormal"/>
      </w:pPr>
    </w:p>
    <w:p w14:paraId="79AF9BA4" w14:textId="77777777" w:rsidR="00A8138F" w:rsidRDefault="00A8138F" w:rsidP="00A8138F">
      <w:pPr>
        <w:pStyle w:val="TextoNormal"/>
      </w:pPr>
      <w:r>
        <w:t>De manera que “en el Estado social y democrático de Derecho configurado por la Constitución de 1978 no cabe contraponer legitimidad democrática y legitimidad constitucional en detrimento de la segunda: la legitimidad de una actuación o política del poder público consiste básicamente en su conformidad a la Constitución y al ordenamiento jurídico. Sin conformidad con la Constitución no puede predicarse legitimidad alguna. En una concepción democrática del poder no hay más legitimidad que la fundada en la Constitución” (STC 259/2015, FJ 5).</w:t>
      </w:r>
    </w:p>
    <w:p w14:paraId="5D2FEFA7" w14:textId="77777777" w:rsidR="00A8138F" w:rsidRDefault="00A8138F" w:rsidP="00A8138F">
      <w:pPr>
        <w:pStyle w:val="TextoNormal"/>
      </w:pPr>
    </w:p>
    <w:p w14:paraId="7612F594" w14:textId="77777777" w:rsidR="00A8138F" w:rsidRDefault="00A8138F" w:rsidP="00A8138F">
      <w:pPr>
        <w:pStyle w:val="TextoNormal"/>
      </w:pPr>
      <w:r>
        <w:t>(v) De la doctrina de este tribunal no puede deducirse que esta ley se ajuste a la Constitución, sino todo lo contrario.</w:t>
      </w:r>
    </w:p>
    <w:p w14:paraId="2AE13A81" w14:textId="77777777" w:rsidR="00A8138F" w:rsidRDefault="00A8138F" w:rsidP="00A8138F">
      <w:pPr>
        <w:pStyle w:val="TextoNormal"/>
      </w:pPr>
    </w:p>
    <w:p w14:paraId="041B6DF0" w14:textId="77777777" w:rsidR="00A8138F" w:rsidRDefault="00A8138F" w:rsidP="00A8138F">
      <w:pPr>
        <w:pStyle w:val="TextoNormal"/>
      </w:pPr>
      <w:r>
        <w:t>La STC 147/1986 resuelve varias cuestiones de inconstitucionalidad planteadas contra la Ley 1/1984, de 9 de enero, de adición de un nuevo artículo a la Ley 46/1977, de 15 de octubre, de amnistía.</w:t>
      </w:r>
    </w:p>
    <w:p w14:paraId="0014ADD1" w14:textId="77777777" w:rsidR="00A8138F" w:rsidRDefault="00A8138F" w:rsidP="00A8138F">
      <w:pPr>
        <w:pStyle w:val="TextoNormal"/>
      </w:pPr>
    </w:p>
    <w:p w14:paraId="51ADC405" w14:textId="77777777" w:rsidR="00A8138F" w:rsidRDefault="00A8138F" w:rsidP="00A8138F">
      <w:pPr>
        <w:pStyle w:val="TextoNormal"/>
      </w:pPr>
      <w:r>
        <w:t>La sentencia declara la inconstitucionalidad de esta ley, por infracción del principio de seguridad jurídica pero no llega a pronunciarse sobre su contradicción con el art. 62 i) CE, por una razón fundamental que ya he desarrollado antes (apartado 2 de este voto particular): porque esta ley de 1984 no puede considerarse como una ley nueva y distinta de la de 1977, sino aspectos añadidos al régimen jurídico de la única existente. Y se permite recordar la doctrina ya establecida en la STC 63/1983; que la amnistía es una operación jurídica que, fundamentándose en un ideal de justicia, pretende eliminar las consecuencias de la aplicación de una determinada normativa que se rechaza hoy por contraria a los principios inspiradores de un nuevo orden político. Pero se trataba de una operación excepcional propia del momento de consolidación de los nuevos valores a los que sirve.</w:t>
      </w:r>
    </w:p>
    <w:p w14:paraId="1DE095D2" w14:textId="77777777" w:rsidR="00A8138F" w:rsidRDefault="00A8138F" w:rsidP="00A8138F">
      <w:pPr>
        <w:pStyle w:val="TextoNormal"/>
      </w:pPr>
    </w:p>
    <w:p w14:paraId="7BC79501" w14:textId="77777777" w:rsidR="00A8138F" w:rsidRDefault="00A8138F" w:rsidP="00A8138F">
      <w:pPr>
        <w:pStyle w:val="TextoNormal"/>
      </w:pPr>
      <w:r>
        <w:t>En definitiva, no existe una sola sentencia de este tribunal que haga extensivas al ordenamiento constitucional sus consideraciones sobre una amnistía aprobada antes de nuestra Constitución.</w:t>
      </w:r>
    </w:p>
    <w:p w14:paraId="13DB331A" w14:textId="77777777" w:rsidR="00A8138F" w:rsidRDefault="00A8138F" w:rsidP="00A8138F">
      <w:pPr>
        <w:pStyle w:val="TextoNormal"/>
      </w:pPr>
    </w:p>
    <w:p w14:paraId="1B3E5A51" w14:textId="77777777" w:rsidR="00A8138F" w:rsidRDefault="00A8138F" w:rsidP="00A8138F">
      <w:pPr>
        <w:pStyle w:val="TextoNormal"/>
      </w:pPr>
      <w:r>
        <w:t>b</w:t>
      </w:r>
      <w:r w:rsidRPr="00A8138F">
        <w:rPr>
          <w:i/>
        </w:rPr>
        <w:t>) La verdadera razón por la que fue aprobada la Ley de amnist</w:t>
      </w:r>
      <w:r>
        <w:t>ía</w:t>
      </w:r>
    </w:p>
    <w:p w14:paraId="382E7742" w14:textId="77777777" w:rsidR="00A8138F" w:rsidRDefault="00A8138F" w:rsidP="00A8138F">
      <w:pPr>
        <w:pStyle w:val="TextoNormal"/>
      </w:pPr>
    </w:p>
    <w:p w14:paraId="3142AD79" w14:textId="77777777" w:rsidR="00A8138F" w:rsidRDefault="00A8138F" w:rsidP="00A8138F">
      <w:pPr>
        <w:pStyle w:val="TextoNormal"/>
      </w:pPr>
      <w:r>
        <w:t>Es un hecho notorio recogido en los principales medios de comunicación de aquellos días que la verdadera razón por la que se aprobó una amnistía que unos meses antes, los anteriores al 23 de julio de 2023, era considerada opuesta a la Constitución por todos los miembros del Gobierno que tuvieron ocasión de pronunciarse sobre ella, fue que tras el resultado de las elecciones celebradas en esa fecha, el entonces presidente del Gobierno en funciones necesitaba para revalidar su cargo los votos favorables de los diputados del partido político Junts per Catalunya en el Congreso de los Diputados, constituido para la actual legislatura (XV).</w:t>
      </w:r>
    </w:p>
    <w:p w14:paraId="05409023" w14:textId="77777777" w:rsidR="00A8138F" w:rsidRDefault="00A8138F" w:rsidP="00A8138F">
      <w:pPr>
        <w:pStyle w:val="TextoNormal"/>
      </w:pPr>
    </w:p>
    <w:p w14:paraId="4B0E3B0E" w14:textId="77777777" w:rsidR="00A8138F" w:rsidRDefault="00A8138F" w:rsidP="00A8138F">
      <w:pPr>
        <w:pStyle w:val="TextoNormal"/>
      </w:pPr>
      <w:r>
        <w:t>Así, en el acuerdo alcanzado entre esos dos partidos políticos en Bruselas el 9 de noviembre 2023, de público conocimiento, se plasmó algo que informalmente habían venido repitiendo los responsables de Junts per Catalunya: que la investidura del candidato del Grupo Parlamentario Socialista contaría con el voto a favor de todos los diputados de Junts, y que la aprobación de una ley de amnistía, con el contenido que detallaba ese acuerdo, actuaría como requisito imprescindible para ese apoyo.</w:t>
      </w:r>
    </w:p>
    <w:p w14:paraId="1BFAD622" w14:textId="77777777" w:rsidR="00A8138F" w:rsidRDefault="00A8138F" w:rsidP="00A8138F">
      <w:pPr>
        <w:pStyle w:val="TextoNormal"/>
      </w:pPr>
    </w:p>
    <w:p w14:paraId="5F9FE976" w14:textId="77777777" w:rsidR="00A8138F" w:rsidRDefault="00A8138F" w:rsidP="00A8138F">
      <w:pPr>
        <w:pStyle w:val="TextoNormal"/>
      </w:pPr>
      <w:r>
        <w:t>Ya lo había anticipado el propio señor presidente del Gobierno en funciones, en la reunión celebrada el 28 de octubre anterior por el Comité Federal del PSOE: la aprobación de la ley de amnistía era una condición necesaria para que pudiera haber lo que él consideraba un gobierno de progreso y “para evitar un gobierno de la derecha y la ultraderecha, PP y Vox”.</w:t>
      </w:r>
    </w:p>
    <w:p w14:paraId="7866E5E5" w14:textId="77777777" w:rsidR="00A8138F" w:rsidRDefault="00A8138F" w:rsidP="00A8138F">
      <w:pPr>
        <w:pStyle w:val="TextoNormal"/>
      </w:pPr>
    </w:p>
    <w:p w14:paraId="3286E462" w14:textId="77777777" w:rsidR="00A8138F" w:rsidRDefault="00A8138F" w:rsidP="00A8138F">
      <w:pPr>
        <w:pStyle w:val="TextoNormal"/>
      </w:pPr>
      <w:r>
        <w:t>Por eso, continuaba diciendo, “en el nombre de España, en el interés de España, en defensa de la convivencia entre españoles, defiendo hoy la amnistía en Cataluña […] porque esta es la única vía posible para que haya un Gobierno en España y no dar a Feijóo y a Abascal una segunda oportunidad de formar un gobierno que nos haga retroceder décadas en solo unos años”.</w:t>
      </w:r>
    </w:p>
    <w:p w14:paraId="67C5D453" w14:textId="77777777" w:rsidR="00A8138F" w:rsidRDefault="00A8138F" w:rsidP="00A8138F">
      <w:pPr>
        <w:pStyle w:val="TextoNormal"/>
      </w:pPr>
    </w:p>
    <w:p w14:paraId="1642045E" w14:textId="77777777" w:rsidR="00A8138F" w:rsidRDefault="00A8138F" w:rsidP="00A8138F">
      <w:pPr>
        <w:pStyle w:val="TextoNormal"/>
      </w:pPr>
      <w:r>
        <w:t>Esta es la verdadera razón por la que se ha aprobado la Ley Orgánica de amnistía. Evitar a toda costa y a cualquier precio, “hay que hacer de la necesidad virtud”, dijo también en esa intervención, la mera posibilidad de que tuviera lugar la alternancia en el poder. Esta es la verdadera justificación de la Ley de amnistía. Una justificación que no se han atrevido a plasmar en el preámbulo de la ley, pero que es la que ha de tenerse en cuenta para enjuiciarla desde el prisma de su posible arbitrariedad.</w:t>
      </w:r>
    </w:p>
    <w:p w14:paraId="2292BCE0" w14:textId="77777777" w:rsidR="00A8138F" w:rsidRDefault="00A8138F" w:rsidP="00A8138F">
      <w:pPr>
        <w:pStyle w:val="TextoNormal"/>
      </w:pPr>
    </w:p>
    <w:p w14:paraId="17C2451C" w14:textId="77777777" w:rsidR="00A8138F" w:rsidRDefault="00A8138F" w:rsidP="00A8138F">
      <w:pPr>
        <w:pStyle w:val="TextoNormal"/>
      </w:pPr>
      <w:r>
        <w:t>c</w:t>
      </w:r>
      <w:r w:rsidRPr="00A8138F">
        <w:rPr>
          <w:i/>
        </w:rPr>
        <w:t>) El control constitucional de la arbitrariedad de las ley</w:t>
      </w:r>
      <w:r>
        <w:t>es</w:t>
      </w:r>
    </w:p>
    <w:p w14:paraId="04E4EBC5" w14:textId="77777777" w:rsidR="00A8138F" w:rsidRDefault="00A8138F" w:rsidP="00A8138F">
      <w:pPr>
        <w:pStyle w:val="TextoNormal"/>
      </w:pPr>
    </w:p>
    <w:p w14:paraId="6CB7058A" w14:textId="77777777" w:rsidR="00A8138F" w:rsidRDefault="00A8138F" w:rsidP="00A8138F">
      <w:pPr>
        <w:pStyle w:val="TextoNormal"/>
      </w:pPr>
      <w:r>
        <w:t xml:space="preserve">(i) </w:t>
      </w:r>
      <w:r w:rsidRPr="00A8138F">
        <w:rPr>
          <w:i/>
        </w:rPr>
        <w:t>Con carácter general, el principio de interdicción de la arbitrariedad de los poderes públicos consagrado en el art. 9.3</w:t>
      </w:r>
      <w:r>
        <w:t xml:space="preserve"> in fin</w:t>
      </w:r>
      <w:r w:rsidRPr="00A8138F">
        <w:rPr>
          <w:i/>
        </w:rPr>
        <w:t>e CE alcanza a todos los poderes públicos y, en consecuencia, también al Poder Legislati</w:t>
      </w:r>
      <w:r>
        <w:t>vo</w:t>
      </w:r>
    </w:p>
    <w:p w14:paraId="273E09A7" w14:textId="77777777" w:rsidR="00A8138F" w:rsidRDefault="00A8138F" w:rsidP="00A8138F">
      <w:pPr>
        <w:pStyle w:val="TextoNormal"/>
      </w:pPr>
    </w:p>
    <w:p w14:paraId="59455F3D" w14:textId="77777777" w:rsidR="00A8138F" w:rsidRDefault="00A8138F" w:rsidP="00A8138F">
      <w:pPr>
        <w:pStyle w:val="TextoNormal"/>
      </w:pPr>
      <w:r>
        <w:t>Desde sus primeras sentencias (SSTC 27/1981, de 20 de julio o 51/1982, de 19 de julio), este tribunal ha venido asegurando la aplicación de ese principio con naturalidad, aunque advirtiendo que se trata de un control que debería llevarse a cabo con prudencia, para evitar constricciones indebidas al Poder Legislativo, respetando sus diferentes opciones políticas, consistente en verificar si la decisión adoptada carece de toda explicación racional o responde a un objetivo legítimo (STC 49/2018, de 10 de mayo, FJ 7, y las que en ella se citan), lo que exige examinar las verdaderas razones que dieron lugar a la aplicación de la ley independientemente de que la ley cuente con una exposición de motivos (o de un preámbulo) o de las explicaciones que hayan podido consignarse en ella.</w:t>
      </w:r>
    </w:p>
    <w:p w14:paraId="66446411" w14:textId="77777777" w:rsidR="00A8138F" w:rsidRDefault="00A8138F" w:rsidP="00A8138F">
      <w:pPr>
        <w:pStyle w:val="TextoNormal"/>
      </w:pPr>
    </w:p>
    <w:p w14:paraId="1F58713B" w14:textId="77777777" w:rsidR="00A8138F" w:rsidRDefault="00A8138F" w:rsidP="00A8138F">
      <w:pPr>
        <w:pStyle w:val="TextoNormal"/>
      </w:pPr>
      <w:r>
        <w:t>(ii</w:t>
      </w:r>
      <w:r w:rsidRPr="00A8138F">
        <w:rPr>
          <w:i/>
        </w:rPr>
        <w:t>) En particular, sobre la arbitrariedad de la Ley Orgánica 1/20</w:t>
      </w:r>
      <w:r>
        <w:t>24</w:t>
      </w:r>
    </w:p>
    <w:p w14:paraId="5BF7D055" w14:textId="77777777" w:rsidR="00A8138F" w:rsidRDefault="00A8138F" w:rsidP="00A8138F">
      <w:pPr>
        <w:pStyle w:val="TextoNormal"/>
      </w:pPr>
    </w:p>
    <w:p w14:paraId="35AC5F31" w14:textId="77777777" w:rsidR="00A8138F" w:rsidRDefault="00A8138F" w:rsidP="00A8138F">
      <w:pPr>
        <w:pStyle w:val="TextoNormal"/>
      </w:pPr>
      <w:r>
        <w:t>Dice el preámbulo de la Ley de amnistía que “[c]on la aprobación de esta ley orgánica […] lo que […] [se] pretende es excepcionar la aplicación de [las] normas vigentes a unos hechos acontecidos en el contexto del proceso independentista catalán en aras del interés general, consistente en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No solo es que esas menciones al interés general se emitan en términos altamente inespecíficos, frente a la jurisprudencia del Tribunal de Justicia de la Unión Europea que viene considerando insuficiente para justificar el interés general de una medida de este tipo, la invocación de circunstancias políticas o sociales (STJUE de 24 de febrero de 2022, asunto C-262/20</w:t>
      </w:r>
      <w:r w:rsidRPr="00A8138F">
        <w:rPr>
          <w:i/>
        </w:rPr>
        <w:t>, VB c. Glavna direktisia Pozharna bezopasnost i zashtita na naselenieto kam Ministerstvo na vatreshnite rabo</w:t>
      </w:r>
      <w:r>
        <w:t>ti, § 78).</w:t>
      </w:r>
    </w:p>
    <w:p w14:paraId="392C3E63" w14:textId="77777777" w:rsidR="00A8138F" w:rsidRDefault="00A8138F" w:rsidP="00A8138F">
      <w:pPr>
        <w:pStyle w:val="TextoNormal"/>
      </w:pPr>
    </w:p>
    <w:p w14:paraId="0C8D94FA" w14:textId="77777777" w:rsidR="00A8138F" w:rsidRDefault="00A8138F" w:rsidP="00A8138F">
      <w:pPr>
        <w:pStyle w:val="TextoNormal"/>
      </w:pPr>
      <w:r>
        <w:t>Es que ese sedicente interés general no responde a la verdadera motivación de la Ley de amnistía, que no es otro que obtener los votos favorables de unos diputados, cuyos dirigentes son directos beneficiarios de esa ley, para obtener el apoyo a la investidura del candidato a la Presidencia del Gobierno, lo que se traduce en una autoamnistía. La ley se convierte en una disposición normativa al servicio del interés particular de un determinado grupo de ciudadanos. Se pervierte así la finalidad a la que responde la existencia del Poder Legislativo y ello determina que el producto resultante pueda calificarse con toda propiedad de arbitrario.</w:t>
      </w:r>
    </w:p>
    <w:p w14:paraId="3D9E5866" w14:textId="77777777" w:rsidR="00A8138F" w:rsidRDefault="00A8138F" w:rsidP="00A8138F">
      <w:pPr>
        <w:pStyle w:val="TextoNormal"/>
      </w:pPr>
    </w:p>
    <w:p w14:paraId="663E77FF" w14:textId="77777777" w:rsidR="00A8138F" w:rsidRDefault="00A8138F" w:rsidP="00A8138F">
      <w:pPr>
        <w:pStyle w:val="TextoNormal"/>
      </w:pPr>
      <w:r>
        <w:t>La propia sentencia de la que discrepo reconoce en su fundamento jurídico 7.2 que no cabe negar a la exposición de motivos o preámbulo de una ley un valor interpretativo, del que puede eventualmente colegirse la carencia de una explicación racional de lo regulado en ella, sean razones “explícitas o no”, lo que permite así su toma en consideración. No se lleva sin embargo este razonamiento a su consecuencia lógica, toda vez que a continuación, como si se tratara de unos hechos que resultasen ajenos a todos los ciudadanos de este país y también a los magistrados de este tribunal, se da por buena la irrealidad que describe el preámbulo de la Ley de amnistía (FJ 7.3.1 y 7.3.3), como sostenedora de la medida.</w:t>
      </w:r>
    </w:p>
    <w:p w14:paraId="43F17F71" w14:textId="77777777" w:rsidR="00A8138F" w:rsidRDefault="00A8138F" w:rsidP="00A8138F">
      <w:pPr>
        <w:pStyle w:val="TextoNormal"/>
      </w:pPr>
    </w:p>
    <w:p w14:paraId="46216F37" w14:textId="77777777" w:rsidR="00A8138F" w:rsidRDefault="00A8138F" w:rsidP="00A8138F">
      <w:pPr>
        <w:pStyle w:val="TextoNormal"/>
      </w:pPr>
      <w:r>
        <w:t>4</w:t>
      </w:r>
      <w:r w:rsidRPr="00A8138F">
        <w:rPr>
          <w:i/>
        </w:rPr>
        <w:t>. La Ley de amnistía es contraria al artículo 14 de la Constituci</w:t>
      </w:r>
      <w:r>
        <w:t>ón</w:t>
      </w:r>
    </w:p>
    <w:p w14:paraId="2233BA51" w14:textId="77777777" w:rsidR="00A8138F" w:rsidRDefault="00A8138F" w:rsidP="00A8138F">
      <w:pPr>
        <w:pStyle w:val="TextoNormal"/>
      </w:pPr>
    </w:p>
    <w:p w14:paraId="6056C59B" w14:textId="77777777" w:rsidR="00A8138F" w:rsidRDefault="00A8138F" w:rsidP="00A8138F">
      <w:pPr>
        <w:pStyle w:val="TextoNormal"/>
      </w:pPr>
      <w:r>
        <w:t xml:space="preserve">a)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w:t>
      </w:r>
      <w:r w:rsidRPr="00A8138F">
        <w:rPr>
          <w:i/>
        </w:rPr>
        <w:t>ex constitutione</w:t>
      </w:r>
      <w:r>
        <w:t>,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(STC 71/2020, de 29 de junio, FJ 3, y las que en ella se citan).</w:t>
      </w:r>
    </w:p>
    <w:p w14:paraId="055D7EF1" w14:textId="77777777" w:rsidR="00A8138F" w:rsidRDefault="00A8138F" w:rsidP="00A8138F">
      <w:pPr>
        <w:pStyle w:val="TextoNormal"/>
      </w:pPr>
    </w:p>
    <w:p w14:paraId="7BC0B7A2" w14:textId="77777777" w:rsidR="00A8138F" w:rsidRDefault="00A8138F" w:rsidP="00A8138F">
      <w:pPr>
        <w:pStyle w:val="TextoNormal"/>
      </w:pPr>
      <w:r>
        <w:t>Doctrina que ha sido aplicada en relación con la discriminación que tiene lugar por razón de opinión (STC 104/2014, de 23 de junio) y desde luego por razón de las opiniones políticas.</w:t>
      </w:r>
    </w:p>
    <w:p w14:paraId="787D7CA0" w14:textId="77777777" w:rsidR="00A8138F" w:rsidRDefault="00A8138F" w:rsidP="00A8138F">
      <w:pPr>
        <w:pStyle w:val="TextoNormal"/>
      </w:pPr>
    </w:p>
    <w:p w14:paraId="22C29631" w14:textId="77777777" w:rsidR="00A8138F" w:rsidRDefault="00A8138F" w:rsidP="00A8138F">
      <w:pPr>
        <w:pStyle w:val="TextoNormal"/>
      </w:pPr>
      <w:r>
        <w:t>b) El art. 1 de la Ley de amnistía determina su ámbito objetivo de aplicación en razón a una causa común: se trata de actos determinantes de responsabilidad penal, administrativa o contable, “ejecutados en el marco de las consultas celebradas en Cataluña el 9 de noviembre de 2014 y el 1 de octubre de 2017, de su preparación o de sus consecuencias”, o bien aquellos otros determinantes de tales responsabilidades, a continuación descritos en el mismo precepto, que se realizaran dentro de esas mismas fechas, “en el contexto del denominado proceso independentista catalán, aunque no se encuentren relacionad[o]s con las referidas consultas”. No puede neutralizarse este efecto por el hecho de que también la ley se aplique a las acciones realizadas en el curso de actuaciones policiales dirigidas a dificultar o a impedir la realización de los actos determinantes de la responsabilidad penal o administrativa comprendidas en este artículo, porque en la actuación policial no hay finalidad ideológica alguna sino la voluntad estricta de aplicar la ley, con independencia de cualquier ideología política de los agentes policiales actuantes.</w:t>
      </w:r>
    </w:p>
    <w:p w14:paraId="48E05675" w14:textId="77777777" w:rsidR="00A8138F" w:rsidRDefault="00A8138F" w:rsidP="00A8138F">
      <w:pPr>
        <w:pStyle w:val="TextoNormal"/>
      </w:pPr>
    </w:p>
    <w:p w14:paraId="775A1845" w14:textId="77777777" w:rsidR="00A8138F" w:rsidRDefault="00A8138F" w:rsidP="00A8138F">
      <w:pPr>
        <w:pStyle w:val="TextoNormal"/>
      </w:pPr>
      <w:r>
        <w:t>Sí hay esa voluntad en los particulares que hubieran cometido los mismos actos previstos en el art. 1 de la Ley de amnistía pero no para promover la independencia de Cataluña sino para oponerse a ella.</w:t>
      </w:r>
    </w:p>
    <w:p w14:paraId="09B749FD" w14:textId="77777777" w:rsidR="00A8138F" w:rsidRDefault="00A8138F" w:rsidP="00A8138F">
      <w:pPr>
        <w:pStyle w:val="TextoNormal"/>
      </w:pPr>
    </w:p>
    <w:p w14:paraId="78F7F5D1" w14:textId="77777777" w:rsidR="00A8138F" w:rsidRDefault="00A8138F" w:rsidP="00A8138F">
      <w:pPr>
        <w:pStyle w:val="TextoNormal"/>
      </w:pPr>
      <w:r>
        <w:t>Así pues, de las personas que cometieran acciones incursas en delitos objeto de la misma tipificación penal, pero con motivos políticos opuestos, solo resultarían beneficiadas por la amnistía aquellas cuyos móviles políticos fueran los de apoyar o promover el proceso independentista catalán, pero no las que hubieran ejecutado esos actos para manifestar su oposición a ese proceso, con la única excepción de las actuaciones policiales a las que se refiere el artículo 1 d) de la Ley de amnistía.</w:t>
      </w:r>
    </w:p>
    <w:p w14:paraId="62AE98E8" w14:textId="77777777" w:rsidR="00A8138F" w:rsidRDefault="00A8138F" w:rsidP="00A8138F">
      <w:pPr>
        <w:pStyle w:val="TextoNormal"/>
      </w:pPr>
    </w:p>
    <w:p w14:paraId="0F20587F" w14:textId="77777777" w:rsidR="00A8138F" w:rsidRDefault="00A8138F" w:rsidP="00A8138F">
      <w:pPr>
        <w:pStyle w:val="TextoNormal"/>
      </w:pPr>
      <w:r>
        <w:t>Consagra de tal modo esta ley orgánica una verdadera discriminación por razones ideológicas, al referirse únicamente a determinadas personas que habían sido condenadas o encausadas por cometer unos gravísimos delitos contra la integridad territorial de la Nación y contra la convivencia democrática, escudándose en unas motivaciones que son las que la misma ley acoge dentro de los presupuestos para que se apliquen sus efectos.</w:t>
      </w:r>
    </w:p>
    <w:p w14:paraId="13910DCE" w14:textId="77777777" w:rsidR="00A8138F" w:rsidRDefault="00A8138F" w:rsidP="00A8138F">
      <w:pPr>
        <w:pStyle w:val="TextoNormal"/>
      </w:pPr>
    </w:p>
    <w:p w14:paraId="4F580C8D" w14:textId="77777777" w:rsidR="00A8138F" w:rsidRDefault="00A8138F" w:rsidP="00A8138F">
      <w:pPr>
        <w:pStyle w:val="TextoNormal"/>
      </w:pPr>
      <w:r>
        <w:t>c) El análisis sobre la concurrencia de una justificación objetiva y razonable que sostenga la ley, y el cumplimiento del principio de proporcionalidad, en sus tres pasos sucesivos (idoneidad, necesidad y proporcionalidad en sentido estricto), aplicados constantemente por este tribunal, no pueden desconocer que todo ese proceso está seriamente condicionado por la realidad subyacente que anima la Ley de amnistía frente a esa vana palabrería que pretende enmascararla.</w:t>
      </w:r>
    </w:p>
    <w:p w14:paraId="41DABBAB" w14:textId="77777777" w:rsidR="00A8138F" w:rsidRDefault="00A8138F" w:rsidP="00A8138F">
      <w:pPr>
        <w:pStyle w:val="TextoNormal"/>
      </w:pPr>
    </w:p>
    <w:p w14:paraId="02592F7E" w14:textId="77777777" w:rsidR="00A8138F" w:rsidRDefault="00A8138F" w:rsidP="00A8138F">
      <w:pPr>
        <w:pStyle w:val="TextoNormal"/>
      </w:pPr>
      <w:r>
        <w:t>No es el fin legítimo de buscar la restauración de la convivencia en Cataluña lo que anima la Ley de amnistía, sino el de obtener a cualquier precio el apoyo de Junts per Catalunya en una investidura para la Presidencia del Gobierno. Y si, según el propio preámbulo de la Ley, esa convivencia se deterioró entre los habitantes (nacionalistas y no nacionalistas) de aquella comunidad autónoma de forma especialmente intensa, desde finales de 2011 hasta llegar a los graves hechos delictivos que la Ley de amnistía acota entre el 9 de noviembre de 2014 y el 1 de octubre de 2017 y a la vez entre el 1 de noviembre de 2011 y 13 de noviembre de 2023, difícilmente puede decirse que ese fin sea legítimo, ni que las medidas adoptadas sean adecuadas a esa finalidad, cuando antes de la aprobación de la Ley, durante los debates parlamentarios que precedieron a su aprobación y aun ahora, los beneficiarios de la amnistía no han cesado de repetir que lo volverán a hacer.</w:t>
      </w:r>
    </w:p>
    <w:p w14:paraId="68DED478" w14:textId="77777777" w:rsidR="00A8138F" w:rsidRDefault="00A8138F" w:rsidP="00A8138F">
      <w:pPr>
        <w:pStyle w:val="TextoNormal"/>
      </w:pPr>
    </w:p>
    <w:p w14:paraId="24FF65EC" w14:textId="77777777" w:rsidR="00A8138F" w:rsidRDefault="00A8138F" w:rsidP="00A8138F">
      <w:pPr>
        <w:pStyle w:val="TextoNormal"/>
      </w:pPr>
      <w:r>
        <w:t>La negativa a cualquier acuerdo con la oposición justifica para el grupo parlamentario que propuso esta ley (una ley que como veremos después la propuso el Gobierno utilizando para ello a su grupo parlamentario), el recurso a un mecanismo que tiene carácter excepcional. No puede considerarse una medida necesaria el amnistiar los delitos e infracciones a los que se refiere, si se parte del presupuesto de que cualquier entendimiento con los partidos de la oposición es menos preferible que someterse al chantaje permanente del que le ofrece un apoyo coyuntural para obtener la Presidencia del Gobierno.</w:t>
      </w:r>
    </w:p>
    <w:p w14:paraId="176F9205" w14:textId="77777777" w:rsidR="00A8138F" w:rsidRDefault="00A8138F" w:rsidP="00A8138F">
      <w:pPr>
        <w:pStyle w:val="TextoNormal"/>
      </w:pPr>
    </w:p>
    <w:p w14:paraId="682FB1BC" w14:textId="77777777" w:rsidR="00A8138F" w:rsidRDefault="00A8138F" w:rsidP="00A8138F">
      <w:pPr>
        <w:pStyle w:val="TextoNormal"/>
      </w:pPr>
      <w:r>
        <w:t>Y este es el resultado del escrutinio del principio de proporcionalidad desde el punto de vista de la ponderación de los beneficios y perjuicios que su adopción ha deparado. Se ha hecho tabla rasa de gravísimos delitos cometidos por los beneficiados por la amnistía y estos no solo no han mostrado propósito de cambiar su comportamiento ni de variar en el futuro su forma de actuar. “Lo volveremos a hacer”, es el mantra que repiten constantemente, antes y después de la aprobación de la Ley de amnistía para recordar a quienes se la concedieron, que nada definitivo se ha conseguido a cambio de tan intensos sacrificios a principios esenciales de la Constitución que la Ley de amnistía ha producido.</w:t>
      </w:r>
    </w:p>
    <w:p w14:paraId="24943984" w14:textId="77777777" w:rsidR="00A8138F" w:rsidRDefault="00A8138F" w:rsidP="00A8138F">
      <w:pPr>
        <w:pStyle w:val="TextoNormal"/>
      </w:pPr>
    </w:p>
    <w:p w14:paraId="76A1921F" w14:textId="77777777" w:rsidR="00A8138F" w:rsidRDefault="00A8138F" w:rsidP="00A8138F">
      <w:pPr>
        <w:pStyle w:val="TextoNormal"/>
      </w:pPr>
      <w:r>
        <w:t>Por ello, también desde esta perspectiva la Ley Orgánica 1/2024 debería haber sido declarada inconstitucional.</w:t>
      </w:r>
    </w:p>
    <w:p w14:paraId="6760FFF1" w14:textId="77777777" w:rsidR="00A8138F" w:rsidRDefault="00A8138F" w:rsidP="00A8138F">
      <w:pPr>
        <w:pStyle w:val="TextoNormal"/>
      </w:pPr>
    </w:p>
    <w:p w14:paraId="1C859D17" w14:textId="77777777" w:rsidR="00A8138F" w:rsidRDefault="00A8138F" w:rsidP="00A8138F">
      <w:pPr>
        <w:pStyle w:val="TextoNormal"/>
      </w:pPr>
      <w:r>
        <w:t>La sentencia respaldada por la mayoría del Pleno, invocando de nuevo el relato del preámbulo de la ley, rechaza que esta sea contraria al art. 14 CE respecto de aquello que esta regula (la amnistía de los independentistas por los hechos descritos en el art. 1 de la Ley de amnistía), pero, para salvar la discriminación ideológica que a ella subyace, introduce la sentencia un reproche de discriminación por omisión (FJ 8.3.4), referida a la falta de cobertura de quienes no siendo policías defendieron la legalidad y el orden constitucional en aquellas fechas, ya fuesen funcionarios o particulares y hubieran incurrido en alguna de las conductas amnistiables. Así planteado, constato sin embargo que no existe ningún deber constitucional a amnistiar, del que pueda derivarse una inconstitucionalidad por omisión. En realidad, esa extensión objetiva no está prevista en la ley porque su finalidad es otra, como ya he dicho, y lo que se hace en este punto, la sentencia, es hacer de legislador. Sencillamente lo que sucede es que la Ley de amnistía es nula por la discriminación expresa por razones ideológicas.</w:t>
      </w:r>
    </w:p>
    <w:p w14:paraId="05339235" w14:textId="77777777" w:rsidR="00A8138F" w:rsidRDefault="00A8138F" w:rsidP="00A8138F">
      <w:pPr>
        <w:pStyle w:val="TextoNormal"/>
      </w:pPr>
    </w:p>
    <w:p w14:paraId="03CC5248" w14:textId="77777777" w:rsidR="00A8138F" w:rsidRDefault="00A8138F" w:rsidP="00A8138F">
      <w:pPr>
        <w:pStyle w:val="TextoNormal"/>
      </w:pPr>
      <w:r>
        <w:t>Para salvar la nulidad de la ley, la sentencia invoca dos antiguas sentencias, las SSTC 45/1989 y 222/1992, que, en mi opinión, no respaldan la solución adoptada. En la primera, se declaraba inconstitucional la obligación absoluta de tributar conjuntamente a la unidad familiar en la regulación del impuesto sobre la renta de las personas físicas, en el marco de un sistema tributario cuya legalidad y justicia no era puesto en cuestión. En la segunda, se ampliaba la protección que legítimante la Ley 29/1994, de 24 de noviembre, de arrendamientos urbanos (texto refundido de la Ley de arrendamientos urbanos, aprobado por Decreto 4104/1964, de 24 diciembre) concedía al cónyuge supérstite de una unión matrimonial a quien hubiera convivid</w:t>
      </w:r>
      <w:r w:rsidRPr="00A8138F">
        <w:rPr>
          <w:i/>
        </w:rPr>
        <w:t>o more uxor</w:t>
      </w:r>
      <w:r>
        <w:t>io con la persona titular del arrendamiento hasta su fallecimiento.</w:t>
      </w:r>
    </w:p>
    <w:p w14:paraId="72CCF107" w14:textId="77777777" w:rsidR="00A8138F" w:rsidRDefault="00A8138F" w:rsidP="00A8138F">
      <w:pPr>
        <w:pStyle w:val="TextoNormal"/>
      </w:pPr>
    </w:p>
    <w:p w14:paraId="678645B8" w14:textId="77777777" w:rsidR="00A8138F" w:rsidRDefault="00A8138F" w:rsidP="00A8138F">
      <w:pPr>
        <w:pStyle w:val="TextoNormal"/>
      </w:pPr>
      <w:r>
        <w:t>Por el contrario, en el presente caso estamos en presencia de una ley que adolece de un grave vicio de inconstitucionalidad por arbitrariedad y ese vicio no puede sanarse por el simple mecanismo de considerar ampliable su ámbito subjetivo.</w:t>
      </w:r>
    </w:p>
    <w:p w14:paraId="6203FD27" w14:textId="77777777" w:rsidR="00A8138F" w:rsidRDefault="00A8138F" w:rsidP="00A8138F">
      <w:pPr>
        <w:pStyle w:val="TextoNormal"/>
      </w:pPr>
    </w:p>
    <w:p w14:paraId="627BDE65" w14:textId="77777777" w:rsidR="00A8138F" w:rsidRDefault="00A8138F" w:rsidP="00A8138F">
      <w:pPr>
        <w:pStyle w:val="TextoNormal"/>
      </w:pPr>
      <w:r>
        <w:t>5</w:t>
      </w:r>
      <w:r w:rsidRPr="00A8138F">
        <w:rPr>
          <w:i/>
        </w:rPr>
        <w:t xml:space="preserve">. Inconcreción de la ley impugnada que vulnera el principio de legalidad del art. 25.1 </w:t>
      </w:r>
      <w:r>
        <w:t>CE</w:t>
      </w:r>
    </w:p>
    <w:p w14:paraId="06E32A2A" w14:textId="77777777" w:rsidR="00A8138F" w:rsidRDefault="00A8138F" w:rsidP="00A8138F">
      <w:pPr>
        <w:pStyle w:val="TextoNormal"/>
      </w:pPr>
    </w:p>
    <w:p w14:paraId="247BDDA7" w14:textId="77777777" w:rsidR="00A8138F" w:rsidRDefault="00A8138F" w:rsidP="00A8138F">
      <w:pPr>
        <w:pStyle w:val="TextoNormal"/>
      </w:pPr>
      <w:r>
        <w:t>a) Este tribunal ha insistido repetidamente en que, “[j]unto a la garantía formal, el principio de legalidad comprende una serie de garantías materiales que, en relación con el legislador, comportan fundamentalmente la exigencia de predeterminación normativa de las conductas y sus correspondientes sanciones, a través de una tipificación precisa dotada de la adecuada concreción en la descripción que incorpora” [STC 24/2004, FJ 2 b) y las que en ella se citan].</w:t>
      </w:r>
    </w:p>
    <w:p w14:paraId="0DE8DBCE" w14:textId="77777777" w:rsidR="00A8138F" w:rsidRDefault="00A8138F" w:rsidP="00A8138F">
      <w:pPr>
        <w:pStyle w:val="TextoNormal"/>
      </w:pPr>
    </w:p>
    <w:p w14:paraId="183BEC47" w14:textId="77777777" w:rsidR="00A8138F" w:rsidRDefault="00A8138F" w:rsidP="00A8138F">
      <w:pPr>
        <w:pStyle w:val="TextoNormal"/>
      </w:pPr>
      <w:r>
        <w:t>Si esta exigencia de taxatividad es predicable de la ley penal, tanto más debe requerirse de una ley, como la de amnistía, que supone pura y simplemente la total eliminación de los efectos de unos hechos comprendidos, o susceptibles de ser incluidos, en el ámbito de aplicación de unos tipos penales perfectamente delimitados.</w:t>
      </w:r>
    </w:p>
    <w:p w14:paraId="459283E6" w14:textId="77777777" w:rsidR="00A8138F" w:rsidRDefault="00A8138F" w:rsidP="00A8138F">
      <w:pPr>
        <w:pStyle w:val="TextoNormal"/>
      </w:pPr>
    </w:p>
    <w:p w14:paraId="34DA0A00" w14:textId="77777777" w:rsidR="00A8138F" w:rsidRDefault="00A8138F" w:rsidP="00A8138F">
      <w:pPr>
        <w:pStyle w:val="TextoNormal"/>
      </w:pPr>
      <w:r>
        <w:t>b) La ley aprobada tiene una estructura tan abierta que en modo alguno puede considerarse respetuosa con el principio de taxatividad exigible a toda ley penal. No solo en cuanto a su ámbito temporal, correctamente detectado en la sentencia, sino también en el ámbito objetivo que trata de delimitarse en los apartados a), b) y c) de ese mismo precepto. Porque en los respectivos párrafos segundos de esos preceptos se intenta una determinación de los actos a partir de un concreta tipificación como delitos en el Código penal, pero esa tipificación no agota el ámbito objetivo de la ley, pues va precedida o seguida de otros párrafos en que, sin aludir a ninguna tipificación determinada, se extiende la amnistía a cualesquiera otros actos, valorables en función de unas circunstancias que únicamente podrían evaluarse después de seguido el proceso penal correspondiente y, al menos, cuando este hubiere llegado a un grado de desarrollo en el que esas circunstancias pudieran determinarse con un mínimo nivel de certeza.</w:t>
      </w:r>
    </w:p>
    <w:p w14:paraId="42B37A88" w14:textId="77777777" w:rsidR="00A8138F" w:rsidRDefault="00A8138F" w:rsidP="00A8138F">
      <w:pPr>
        <w:pStyle w:val="TextoNormal"/>
      </w:pPr>
    </w:p>
    <w:p w14:paraId="52DD51D1" w14:textId="77777777" w:rsidR="00A8138F" w:rsidRDefault="00A8138F" w:rsidP="00A8138F">
      <w:pPr>
        <w:pStyle w:val="TextoNormal"/>
      </w:pPr>
      <w:r>
        <w:t xml:space="preserve">La propia Comisión de Venecia en el dictamen emitido sobre la proposición de ley orgánica, entre las críticas que vierte pone de manifiesto estas graves deficiencias y concluye con la recomendación —no seguida por el Parlamento— de acotar y definir el ámbito material y temporal de aplicación de la amnistía de un modo más preciso, para hacer los efectos de la ley más previsibles. Dado que la amnistía afecta al valor de </w:t>
      </w:r>
      <w:r w:rsidRPr="00A8138F">
        <w:rPr>
          <w:i/>
        </w:rPr>
        <w:t>res iudicata</w:t>
      </w:r>
      <w:r>
        <w:t xml:space="preserve"> en aquellos casos donde se han dictado resoluciones firmes de condena, debe observarse la seguridad jurídica ya que de otro modo erosionaría la confianza pública en la observancia y respeto de la Constitución y la ley (§ 96).</w:t>
      </w:r>
    </w:p>
    <w:p w14:paraId="6FFD9CC6" w14:textId="77777777" w:rsidR="00A8138F" w:rsidRDefault="00A8138F" w:rsidP="00A8138F">
      <w:pPr>
        <w:pStyle w:val="TextoNormal"/>
      </w:pPr>
    </w:p>
    <w:p w14:paraId="59B42CB8" w14:textId="77777777" w:rsidR="00A8138F" w:rsidRDefault="00A8138F" w:rsidP="00A8138F">
      <w:pPr>
        <w:pStyle w:val="TextoNormal"/>
      </w:pPr>
      <w:r>
        <w:t>Disiento por tanto de los razonamientos en sentido contrario que contiene la sentencia (FFJJ 5.3.2 y 13.3.4).</w:t>
      </w:r>
    </w:p>
    <w:p w14:paraId="43D02535" w14:textId="77777777" w:rsidR="00A8138F" w:rsidRDefault="00A8138F" w:rsidP="00A8138F">
      <w:pPr>
        <w:pStyle w:val="TextoNormal"/>
      </w:pPr>
    </w:p>
    <w:p w14:paraId="4177570F" w14:textId="77777777" w:rsidR="00A8138F" w:rsidRDefault="00A8138F" w:rsidP="00A8138F">
      <w:pPr>
        <w:pStyle w:val="TextoNormal"/>
      </w:pPr>
      <w:r>
        <w:t>c) Es significativo a este respecto que, siendo la ley aprobada la consecuencia de una exigencia de uno de los grupos parlamentarios del Congreso para apoyar la investidura como presidente del señor Pedro Sánchez Pérez-Castejón, y fruto de un acuerdo previo alcanzado para ello entre el Gobierno en funciones y ese grupo parlamentario, en ese acuerdo llega a plasmarse la necesidad de un control político en su aplicación judicial, con la grave previsión de la posibilidad de crear comisiones de investigación para verificar esa aplicación judicial de la ley, con funciones incluso coercitivas si de las actuaciones llevadas a cabo por aquellas pudiera deducirse el ejercicio de “acciones de responsabilidad”.</w:t>
      </w:r>
    </w:p>
    <w:p w14:paraId="1A7452D2" w14:textId="77777777" w:rsidR="00A8138F" w:rsidRDefault="00A8138F" w:rsidP="00A8138F">
      <w:pPr>
        <w:pStyle w:val="TextoNormal"/>
      </w:pPr>
    </w:p>
    <w:p w14:paraId="510D17C4" w14:textId="77777777" w:rsidR="00A8138F" w:rsidRDefault="00A8138F" w:rsidP="00A8138F">
      <w:pPr>
        <w:pStyle w:val="TextoNormal"/>
      </w:pPr>
      <w:r>
        <w:t>Con independencia de que ese pretendido control político sobre la actividad judicial merecería una respuesta que no puede anticiparse ahora, lo que sí debe ponerse de manifiesto es que en el pacto del que trae causa esta ley, al menos una de las partes ya era consciente de la vaguedad de muchos de los criterios que habrían de utilizarse en la determinación de su ámbito de aplicación.</w:t>
      </w:r>
    </w:p>
    <w:p w14:paraId="32EC8961" w14:textId="77777777" w:rsidR="00A8138F" w:rsidRDefault="00A8138F" w:rsidP="00A8138F">
      <w:pPr>
        <w:pStyle w:val="TextoNormal"/>
      </w:pPr>
    </w:p>
    <w:p w14:paraId="54F98252" w14:textId="77777777" w:rsidR="00A8138F" w:rsidRDefault="00A8138F" w:rsidP="00A8138F">
      <w:pPr>
        <w:pStyle w:val="TextoNormal"/>
      </w:pPr>
      <w:r>
        <w:t>6</w:t>
      </w:r>
      <w:r w:rsidRPr="00A8138F">
        <w:rPr>
          <w:i/>
        </w:rPr>
        <w:t>. Fraude de ley en su tramitación parlamentar</w:t>
      </w:r>
      <w:r>
        <w:t>ia</w:t>
      </w:r>
    </w:p>
    <w:p w14:paraId="1B70631C" w14:textId="77777777" w:rsidR="00A8138F" w:rsidRDefault="00A8138F" w:rsidP="00A8138F">
      <w:pPr>
        <w:pStyle w:val="TextoNormal"/>
      </w:pPr>
    </w:p>
    <w:p w14:paraId="6AF57816" w14:textId="77777777" w:rsidR="00A8138F" w:rsidRDefault="00A8138F" w:rsidP="00A8138F">
      <w:pPr>
        <w:pStyle w:val="TextoNormal"/>
      </w:pPr>
      <w:r>
        <w:t>Para resolver la queja de la demanda sobre la vulneración de los derechos políticos de los recurrentes (art. 23 CE), la sentencia aprobada se detiene en ciertas incidencias acaecidas durante el procedimiento previo a la aprobación de la Ley de amnistía en el Congreso de los Diputados. Deja fuera sin embargo lo que considero medular y que debió formar parte de su enjuiciamiento por la vía del art. 39 LOTC: el fraude derivado de la propia admisión a trámite de ese instrumento como proposición de ley. En efecto:</w:t>
      </w:r>
    </w:p>
    <w:p w14:paraId="135F74BF" w14:textId="77777777" w:rsidR="00A8138F" w:rsidRDefault="00A8138F" w:rsidP="00A8138F">
      <w:pPr>
        <w:pStyle w:val="TextoNormal"/>
      </w:pPr>
    </w:p>
    <w:p w14:paraId="33A62FD0" w14:textId="77777777" w:rsidR="00A8138F" w:rsidRDefault="00A8138F" w:rsidP="00A8138F">
      <w:pPr>
        <w:pStyle w:val="TextoNormal"/>
      </w:pPr>
      <w:r>
        <w:t>a) Al margen del supuesto extraordinario de la iniciativa popular para la presentación de proposiciones de ley, la iniciativa legislativa corresponde al Gobierno, al Congreso y al Senado, de acuerdo con la Constitución y los Reglamentos de las Cámaras (artículo 87 CE).</w:t>
      </w:r>
    </w:p>
    <w:p w14:paraId="51B57CB6" w14:textId="77777777" w:rsidR="00A8138F" w:rsidRDefault="00A8138F" w:rsidP="00A8138F">
      <w:pPr>
        <w:pStyle w:val="TextoNormal"/>
      </w:pPr>
    </w:p>
    <w:p w14:paraId="08E415FC" w14:textId="77777777" w:rsidR="00A8138F" w:rsidRDefault="00A8138F" w:rsidP="00A8138F">
      <w:pPr>
        <w:pStyle w:val="TextoNormal"/>
      </w:pPr>
      <w:r>
        <w:t>Aunque doctrinalmente se haya mantenido la preferencia de los proyectos de ley sobre las proposiciones de ley, con base en el artículo 89 CE que alude a una prioridad de los proyectos de ley respecto a las demás manifestaciones de la iniciativa legislativa, y en el art. 97 CE que atribuye al Gobierno, entre otras funciones la de dirección de la política interior, llevada a cabo, cuando proceda, a través de la correspondiente actividad legislativa, en la práctica se han utilizado indistintamente ambas modalidades y este Tribunal Constitucional no ha realizado pronunciamiento alguno al respecto, pese a que la elección de la vía de la proposición de ley supone la elusión de todas las garantías que la legislación ordinaria exige en la tramitación de los anteproyectos legislativos que se encaminan a la obtención de un producto normativo final de una superior calidad.</w:t>
      </w:r>
    </w:p>
    <w:p w14:paraId="01FBE2DE" w14:textId="77777777" w:rsidR="00A8138F" w:rsidRDefault="00A8138F" w:rsidP="00A8138F">
      <w:pPr>
        <w:pStyle w:val="TextoNormal"/>
      </w:pPr>
    </w:p>
    <w:p w14:paraId="214DC66F" w14:textId="77777777" w:rsidR="00A8138F" w:rsidRDefault="00A8138F" w:rsidP="00A8138F">
      <w:pPr>
        <w:pStyle w:val="TextoNormal"/>
      </w:pPr>
      <w:r>
        <w:t>Sin embargo, en el caso de la presente ley orgánica no se trata en este punto de la mayor o menor calidad técnica de la ley finalmente aprobada, claramente insuficiente como se ha señalado en el punto anterior, sino de que el Grupo Parlamentario Socialista ha conseguido con la presentación de una proposición de ley, algo que el Gobierno no hubiera podido hacer a través de la presentación de un proyecto de ley. Porque tratándose de un Gobierno en funciones, el art. 21.5 de la Ley 50/1997, de 27 de noviembre, del Gobierno, le impide presentar proyectos de ley al Congreso de los Diputados.</w:t>
      </w:r>
    </w:p>
    <w:p w14:paraId="1BF79267" w14:textId="77777777" w:rsidR="00A8138F" w:rsidRDefault="00A8138F" w:rsidP="00A8138F">
      <w:pPr>
        <w:pStyle w:val="TextoNormal"/>
      </w:pPr>
    </w:p>
    <w:p w14:paraId="6DDF111F" w14:textId="77777777" w:rsidR="00A8138F" w:rsidRDefault="00A8138F" w:rsidP="00A8138F">
      <w:pPr>
        <w:pStyle w:val="TextoNormal"/>
      </w:pPr>
      <w:r>
        <w:t>b) El art. 6.4 del Código civil define con toda precisión una categoría jurídica perteneciente a la teoría general del Derecho y aplicable, por tanto, a todas las ramas del Derecho, incluida, en su caso, el Derecho Constitucional: la del fraude de ley. Tiene lugar cuando se produzcan actos jurídicos realizados al amparo de una norma que persigan un resultado prohibido por el ordenamiento jurídico o contrario a él. Y también señala la consecuencia de esa actuación; tales actos no impedirán la debida aplicación de la norma que se trata de eludir.</w:t>
      </w:r>
    </w:p>
    <w:p w14:paraId="30470188" w14:textId="77777777" w:rsidR="00A8138F" w:rsidRDefault="00A8138F" w:rsidP="00A8138F">
      <w:pPr>
        <w:pStyle w:val="TextoNormal"/>
      </w:pPr>
    </w:p>
    <w:p w14:paraId="312F9485" w14:textId="77777777" w:rsidR="00A8138F" w:rsidRDefault="00A8138F" w:rsidP="00A8138F">
      <w:pPr>
        <w:pStyle w:val="TextoNormal"/>
      </w:pPr>
      <w:r>
        <w:t>La presentación por el Grupo Parlamentario Socialista de la Ley de amnistía responde a dicha mecánica. Es palmario, como ya he desarrollado antes, que la proposición de ley presentada no responde a una iniciativa autónoma de ese Grupo Parlamentario Socialista sino a un acuerdo concertado entre el Gobierno en funciones y el partido político Junts per Catalunya, en el que el citado grupo parlamentario no ha tenido intervención alguna. Este último ha sido el instrumento utilizado por el Gobierno en ese momento en funciones, para conseguir un resultado que él no habría podido obtener, por impedírselo el art. 21.5 de la Ley 50/1997, del Gobierno.</w:t>
      </w:r>
    </w:p>
    <w:p w14:paraId="7AD27429" w14:textId="77777777" w:rsidR="00A8138F" w:rsidRDefault="00A8138F" w:rsidP="00A8138F">
      <w:pPr>
        <w:pStyle w:val="TextoNormal"/>
      </w:pPr>
    </w:p>
    <w:p w14:paraId="375C33D1" w14:textId="77777777" w:rsidR="00A8138F" w:rsidRDefault="00A8138F" w:rsidP="00A8138F">
      <w:pPr>
        <w:pStyle w:val="TextoNormal"/>
      </w:pPr>
      <w:r>
        <w:t>La consecuencia de todo ello es que deben anularse los actos llevados a cabo al amparo de las normas del Reglamento del Congreso de los Diputados, que en condiciones normales permiten a los grupos parlamentarios presentar proposiciones de ley, e imponer en este caso las consecuencias derivadas de la prohibición establecida en el art. 21.5 de la Ley 50/1997, del Gobierno.</w:t>
      </w:r>
    </w:p>
    <w:p w14:paraId="1E919BA7" w14:textId="77777777" w:rsidR="00A8138F" w:rsidRDefault="00A8138F" w:rsidP="00A8138F">
      <w:pPr>
        <w:pStyle w:val="TextoNormal"/>
      </w:pPr>
    </w:p>
    <w:p w14:paraId="478A1080" w14:textId="77777777" w:rsidR="00A8138F" w:rsidRDefault="00A8138F" w:rsidP="00A8138F">
      <w:pPr>
        <w:pStyle w:val="TextoNormal"/>
      </w:pPr>
      <w:r>
        <w:t>No se trata de una infracción de la legalidad ordinaria, sino que tiene indudable trascendencia constitucional porque afecta a la correcta interpretación del art. 87.1 CE, en relación con el artículo 125 RCD; así como al control de un órgano constitucional como es el Gobierno, en particular en cuanto al ejercicio de sus competencias cuando se encuentre en funciones.</w:t>
      </w:r>
    </w:p>
    <w:p w14:paraId="3F573C76" w14:textId="77777777" w:rsidR="00A8138F" w:rsidRDefault="00A8138F" w:rsidP="00A8138F">
      <w:pPr>
        <w:pStyle w:val="TextoNormal"/>
      </w:pPr>
    </w:p>
    <w:p w14:paraId="2F2B3387" w14:textId="77777777" w:rsidR="00A8138F" w:rsidRDefault="00A8138F" w:rsidP="00A8138F">
      <w:pPr>
        <w:pStyle w:val="TextoNormal"/>
      </w:pPr>
      <w:r>
        <w:t>Presentada la proposición de ley orgánica que nos ocupa, la Cámara debió rechazar su toma en consideración, atendidas las circunstancias expuestas. Al no hacerlo, todo el trámite posterior hasta la aprobación de la ley queda viciado de nulidad e inconstitucionalidad.</w:t>
      </w:r>
    </w:p>
    <w:p w14:paraId="586F8DC6" w14:textId="77777777" w:rsidR="00A8138F" w:rsidRDefault="00A8138F" w:rsidP="00A8138F">
      <w:pPr>
        <w:pStyle w:val="TextoNormal"/>
      </w:pPr>
    </w:p>
    <w:p w14:paraId="499E7F7E" w14:textId="77777777" w:rsidR="00A8138F" w:rsidRDefault="00A8138F" w:rsidP="00A8138F">
      <w:pPr>
        <w:pStyle w:val="TextoNormal"/>
      </w:pPr>
      <w:r>
        <w:t>7</w:t>
      </w:r>
      <w:r w:rsidRPr="00A8138F">
        <w:rPr>
          <w:i/>
        </w:rPr>
        <w:t>. Consideración fin</w:t>
      </w:r>
      <w:r>
        <w:t>al</w:t>
      </w:r>
    </w:p>
    <w:p w14:paraId="3F3FEC16" w14:textId="77777777" w:rsidR="00A8138F" w:rsidRDefault="00A8138F" w:rsidP="00A8138F">
      <w:pPr>
        <w:pStyle w:val="TextoNormal"/>
      </w:pPr>
    </w:p>
    <w:p w14:paraId="39972836" w14:textId="77777777" w:rsidR="00A8138F" w:rsidRDefault="00A8138F" w:rsidP="00A8138F">
      <w:pPr>
        <w:pStyle w:val="TextoNormal"/>
      </w:pPr>
      <w:r>
        <w:t>Por su contenido e implicaciones, la Ley de amnistía supone sin duda uno de los mayores desafíos, sino el que más, planteado por una ley a nuestro Estado de Derecho (art. 1.1 CE) en estos cuarenta años de democracia. La respuesta que ofrece la sentencia aprobada, sin embargo, no está a la altura de lo que tanto la comunidad jurídica como la sociedad en general, nos demandaba. Los esfuerzos por armar una resolución tan extensa y de sistematizar la doctrina del Tribunal en diversas materias, se diluyen sin embargo al momento de enjuiciar, aceptando para todo y sin fisuras el relato de un preámbulo que, bien puede tener cabida en un mundo paralelo al nuestro, pero desde luego no en el que vivimos. La última palabra la tendrá la justicia europea. Si esta nos enmienda, será el último de los despropósitos.</w:t>
      </w:r>
    </w:p>
    <w:p w14:paraId="36B343CC" w14:textId="77777777" w:rsidR="00A8138F" w:rsidRDefault="00A8138F" w:rsidP="00A8138F">
      <w:pPr>
        <w:pStyle w:val="TextoNormal"/>
      </w:pPr>
    </w:p>
    <w:p w14:paraId="31695479" w14:textId="77777777" w:rsidR="00A8138F" w:rsidRDefault="00A8138F" w:rsidP="00A8138F">
      <w:pPr>
        <w:pStyle w:val="TextoNormal"/>
      </w:pPr>
      <w:r>
        <w:t>Y en tal sentido emito mi voto particular.</w:t>
      </w:r>
    </w:p>
    <w:p w14:paraId="4599F27E" w14:textId="77777777" w:rsidR="00A8138F" w:rsidRDefault="00A8138F" w:rsidP="00A8138F">
      <w:pPr>
        <w:pStyle w:val="TextoNormal"/>
      </w:pPr>
    </w:p>
    <w:p w14:paraId="217A65FE" w14:textId="3DF8B101" w:rsidR="00A8138F" w:rsidRDefault="00A8138F" w:rsidP="00A8138F">
      <w:pPr>
        <w:pStyle w:val="TextoNormal"/>
      </w:pPr>
      <w:r>
        <w:t>Madrid, a veintiséis de junio de dos mil veinticinco.</w:t>
      </w:r>
    </w:p>
    <w:p w14:paraId="2B455D87" w14:textId="77777777" w:rsidR="00A8138F" w:rsidRDefault="00A8138F" w:rsidP="00A8138F">
      <w:pPr>
        <w:pStyle w:val="TextoNormal"/>
      </w:pPr>
    </w:p>
    <w:p w14:paraId="7A8DDC34" w14:textId="77777777" w:rsidR="00A8138F" w:rsidRDefault="00A8138F" w:rsidP="00A8138F">
      <w:pPr>
        <w:pStyle w:val="TextoNormalNegritaCentrado"/>
        <w:keepNext/>
      </w:pPr>
      <w:r>
        <w:t>Voto particular que formula el magistrado don Enrique Arnaldo Alcubilla a la sentencia dictada en el recurso de inconstitucionalidad núm. 6436-2024</w:t>
      </w:r>
    </w:p>
    <w:p w14:paraId="6C958EF5" w14:textId="409A4D22" w:rsidR="00A8138F" w:rsidRDefault="00A8138F" w:rsidP="00A8138F">
      <w:pPr>
        <w:pStyle w:val="TextoNormalNegritaCentrado"/>
        <w:keepNext/>
      </w:pPr>
    </w:p>
    <w:p w14:paraId="605BFEFB" w14:textId="77777777" w:rsidR="00A8138F" w:rsidRDefault="00A8138F" w:rsidP="00A8138F">
      <w:pPr>
        <w:pStyle w:val="TextoNormal"/>
      </w:pPr>
      <w:r>
        <w:t>En el ejercicio de la facultad que me confiere el artículo 90.2 de la Ley Orgánica del Tribunal Constitucional (LOTC), y dado que no comparto ninguno de los argumentos ni, por supuesto, el fallo, de la sentencia recaída en el presente recurso de inconstitucionalidad, promovido por más de cincuenta diputados y más de cincuenta senadores del Grupo Parlamentario Popular en las respectivas Cámaras contra la Ley Orgánica 1/2024, de 10 de junio, de amnistía para la normalización institucional, política y social en Cataluña, formulo el presente voto particular discrepante.</w:t>
      </w:r>
    </w:p>
    <w:p w14:paraId="13CC874E" w14:textId="77777777" w:rsidR="00A8138F" w:rsidRDefault="00A8138F" w:rsidP="00A8138F">
      <w:pPr>
        <w:pStyle w:val="TextoNormal"/>
      </w:pPr>
    </w:p>
    <w:p w14:paraId="2786E8FA" w14:textId="77777777" w:rsidR="00A8138F" w:rsidRDefault="00A8138F" w:rsidP="00A8138F">
      <w:pPr>
        <w:pStyle w:val="TextoNormal"/>
      </w:pPr>
      <w:r>
        <w:t xml:space="preserve">En mi opinión, por las razones defendidas durante la deliberación y que expongo a continuación, el recurso debió ser estimado en su integridad, declarando la inconstitucionalidad y consiguiente nulidad de la ley impugnada. Entiendo que la Ley Orgánica 1/2024 es inconstitucional en su conjunto, y lo es con toda evidencia para cualquier juez de la constitucionalidad, como ha señalado el profesor Pedro Cruz Villalón (“Primeras consideraciones sobre el control constitucional de la Ley de amnistía”, </w:t>
      </w:r>
      <w:r w:rsidRPr="00A8138F">
        <w:rPr>
          <w:i/>
        </w:rPr>
        <w:t>El Cronista del Estado Social y de Derecho</w:t>
      </w:r>
      <w:r>
        <w:t>, núm. 108-109), al contrariar frontalmente principios esenciales de nuestro ordenamiento constitucional: la seguridad jurídica, la interdicción de la arbitrariedad de los poderes públicos, la igualdad de todos los ciudadanos ante la ley, la separación de poderes, la independencia del poder judicial y la exclusividad jurisdiccional, así como la propia supremacía de la Constitución, a la que están sujetos todos los poderes públicos y también, por consiguiente, las Cortes Generales. No me resisto a reproducir la frase completa del insigne constitucionalista, que fuera presidente de este tribunal: “No me parece que para ello [para concluir que la ley no supera el test de constitucionalidad] se requiera un juez constitucional rodeado de un extraordinario reconocimiento de la comunidad política afectada. Solo [se requiere] un juez de la constitucionalidad”.</w:t>
      </w:r>
    </w:p>
    <w:p w14:paraId="2900DC70" w14:textId="77777777" w:rsidR="00A8138F" w:rsidRDefault="00A8138F" w:rsidP="00A8138F">
      <w:pPr>
        <w:pStyle w:val="TextoNormal"/>
      </w:pPr>
    </w:p>
    <w:p w14:paraId="4E6ED63E" w14:textId="77777777" w:rsidR="00A8138F" w:rsidRDefault="00A8138F" w:rsidP="00A8138F">
      <w:pPr>
        <w:pStyle w:val="TextoNormal"/>
      </w:pPr>
      <w:r>
        <w:t xml:space="preserve">Con levísimas correcciones, por lo demás carentes de trascendencia real y efectiva para la culminación del fin perseguido, la ley enjuiciada que, en la apreciación certera de la Comisión de Venecia, ha dado lugar a una “profunda y virulenta” división en la sociedad española, ha obtenido por la vía rápida en esta sentencia el aval del Tribunal Constitucional. En efecto, la sentencia ha optado por la invención argumentativa —el legislador puede hacer todo lo que no está expresamente prohibido, se afirma sin rubor— y por la suplantación de la voluntad del constituyente —la no constitucionalización de la amnistía es prueba de que no está prohibida, se atreve a sostener—. Pero, sobre todo, la sentencia ha decidido apartarse de la búsqueda de la verdad, se ha puesto la venda ante la evidencia del hecho notorio, de la causa ilícita de una ley que debería haberse declarado </w:t>
      </w:r>
      <w:r w:rsidRPr="00A8138F">
        <w:rPr>
          <w:i/>
        </w:rPr>
        <w:t>in totum</w:t>
      </w:r>
      <w:r>
        <w:t xml:space="preserve"> contraria a la Constitución y ser expulsada del ordenamiento jurídico por contravenir los arts. 9.3, 14, 24 y 117 de nuestra Norma Fundamental. Estos preceptos han sido dejados en evidencia por una sentencia profundamente errada, además de errática, incapaz de corregir los excesos, la arbitrariedad del legislador, cuya obra se ampara por este tribunal mediante el recurso al torpe maquiavelismo del fin justificador de los medios, por más que se haya acreditado que estos suponen una flagrante violación de la Constitución.</w:t>
      </w:r>
    </w:p>
    <w:p w14:paraId="5178B950" w14:textId="77777777" w:rsidR="00A8138F" w:rsidRDefault="00A8138F" w:rsidP="00A8138F">
      <w:pPr>
        <w:pStyle w:val="TextoNormal"/>
      </w:pPr>
    </w:p>
    <w:p w14:paraId="63CBA109" w14:textId="77777777" w:rsidR="00A8138F" w:rsidRDefault="00A8138F" w:rsidP="00A8138F">
      <w:pPr>
        <w:pStyle w:val="TextoNormal"/>
      </w:pPr>
      <w:r>
        <w:t>Dada la pluralidad de motivos de inconstitucionalidad que los recurrentes plantean, a los que la sentencia da una respuesta notoriamente infundada por incompatible con la Constitución, he procedido a estructurar el presente voto particular en cinco partes diferenciadas.</w:t>
      </w:r>
    </w:p>
    <w:p w14:paraId="5F60DC1A" w14:textId="77777777" w:rsidR="00A8138F" w:rsidRDefault="00A8138F" w:rsidP="00A8138F">
      <w:pPr>
        <w:pStyle w:val="TextoNormal"/>
      </w:pPr>
    </w:p>
    <w:p w14:paraId="6DDF691E" w14:textId="77777777" w:rsidR="00A8138F" w:rsidRDefault="00A8138F" w:rsidP="00A8138F">
      <w:pPr>
        <w:pStyle w:val="TextoNormal"/>
      </w:pPr>
      <w:r>
        <w:t>La primera tiene un carácter preliminar, en cuanto referida al proceso de gestación de la presente sentencia, en el que cobran una especial importancia las decisiones tomadas por el Tribunal Constitucional —por la mayoría de este— en relación con la determinación de su final composición para resolver este recurso de inconstitucionalidad. Íntimamente ligada a estas consideraciones sobre la composición del Tribunal se encuentra mi discrepancia con la errónea decisión de no proceder al planteamiento de una cuestión prejudicial sobre la Ley Orgánica 1/2024 ante el Tribunal de Justicia de la Unión Europea —o alternativamente a posponer el debate y votación de este recurso hasta que el Tribunal de Justicia resuelva las cuestiones prejudiciales pendientes sobre la Ley Orgánica 1/2024— y con la propuesta que elevé al presidente de proceder a un debate sosegado y no acelerado del presente recurso, y que fue desatendida, dada su firme y decidida intención de que fuera aprobada la sentencia a la mayor brevedad posible; propuesta complementada con la solicitud, igualmente desoída, de aplazar el debate y votación del recurso hasta que el Tribunal de Justicia de la Unión Europea —que ha señalado la audiencia para el inmediato 15 de julio— se pronuncie, al menos, sobre la primera de las cuestiones prejudiciales planteadas.</w:t>
      </w:r>
    </w:p>
    <w:p w14:paraId="1309843B" w14:textId="77777777" w:rsidR="00A8138F" w:rsidRDefault="00A8138F" w:rsidP="00A8138F">
      <w:pPr>
        <w:pStyle w:val="TextoNormal"/>
      </w:pPr>
    </w:p>
    <w:p w14:paraId="08DF16BF" w14:textId="77777777" w:rsidR="00A8138F" w:rsidRDefault="00A8138F" w:rsidP="00A8138F">
      <w:pPr>
        <w:pStyle w:val="TextoNormal"/>
      </w:pPr>
      <w:r>
        <w:t>Las partes nucleares del voto se articulan, separadamente, en tres puntos principales: (a) La amnistía no cabe en la Constitución española; (b) la Ley Orgánica 1/2024, de amnistía, es en todo caso arbitraria (arbitrariedad de la que también adolece la tramitación parlamentaria que dio lugar a esa ley) y, por tanto, inconstitucional; (c) examen de la impugnación de algunos preceptos de la Ley Orgánica 1/2024.</w:t>
      </w:r>
    </w:p>
    <w:p w14:paraId="2D561BE5" w14:textId="77777777" w:rsidR="00A8138F" w:rsidRDefault="00A8138F" w:rsidP="00A8138F">
      <w:pPr>
        <w:pStyle w:val="TextoNormal"/>
      </w:pPr>
    </w:p>
    <w:p w14:paraId="330E5A34" w14:textId="77777777" w:rsidR="00A8138F" w:rsidRDefault="00A8138F" w:rsidP="00A8138F">
      <w:pPr>
        <w:pStyle w:val="TextoNormal"/>
      </w:pPr>
      <w:r>
        <w:t>El voto particular se cierra con un epílogo o coda, en el que se concluye que la presente sentencia —al igual que la propia Ley Orgánica 1/2024, de amnistía— supone una ruptura del pacto constitucional de 1978 y que este tribunal ha abdicado de su función de garante de la primacía de la Constitución.</w:t>
      </w:r>
    </w:p>
    <w:p w14:paraId="54D70B34" w14:textId="77777777" w:rsidR="00A8138F" w:rsidRDefault="00A8138F" w:rsidP="00A8138F">
      <w:pPr>
        <w:pStyle w:val="TextoNormal"/>
      </w:pPr>
    </w:p>
    <w:p w14:paraId="2ECADBBF" w14:textId="77777777" w:rsidR="00A8138F" w:rsidRDefault="00A8138F" w:rsidP="00A8138F">
      <w:pPr>
        <w:pStyle w:val="TextoNormal"/>
      </w:pPr>
      <w:r>
        <w:t xml:space="preserve">I. </w:t>
      </w:r>
      <w:r w:rsidRPr="00A8138F">
        <w:rPr>
          <w:i/>
        </w:rPr>
        <w:t>A modo de cuestión preliminar: la anómala gestación de la presente sentencia, con particular atención a la configuración del Tribunal que la ha aprobado</w:t>
      </w:r>
    </w:p>
    <w:p w14:paraId="034016B8" w14:textId="77777777" w:rsidR="00A8138F" w:rsidRDefault="00A8138F" w:rsidP="00A8138F">
      <w:pPr>
        <w:pStyle w:val="TextoNormal"/>
      </w:pPr>
    </w:p>
    <w:p w14:paraId="44CE448F" w14:textId="77777777" w:rsidR="00A8138F" w:rsidRDefault="00A8138F" w:rsidP="00A8138F">
      <w:pPr>
        <w:pStyle w:val="TextoNormal"/>
      </w:pPr>
      <w:r>
        <w:t>Si en todo proceso constitucional debe observarse el más escrupuloso respeto de las garantías del proceso justo (al igual que en los procesos judiciales sustanciados ante los jueces y tribunales ordinarios), con mayor razón resultaba obligado extremar ese respeto en un supuesto de tanta trascendencia como este, en el que el Tribunal Constitucional estaba llamado a pronunciarse sobre la conformidad con la Constitución de una Ley Orgánica de amnistía. Sin embargo, no ha ocurrido así, sino que, antes bien, el procedimiento que ha culminado con la sentencia que nos ocupa se ha caracterizado por una serie de incidentes que empañan las garantías del proceso justo, particularmente en lo que se refiere a la composición final del Pleno del Tribunal que ha dictado la sentencia, que, por una mayoría de seis magistrados frente a cuatro, ha venido a declarar que la amnistía es una institución que tiene perfecta cabida en la Constitución, y que la concreta amnistía otorgada por la Ley Orgánica 1/2024 no presenta (salvo en algún extremo menor, en el que no me voy a detener ahora) tacha de inconstitucionalidad.</w:t>
      </w:r>
    </w:p>
    <w:p w14:paraId="16255382" w14:textId="77777777" w:rsidR="00A8138F" w:rsidRDefault="00A8138F" w:rsidP="00A8138F">
      <w:pPr>
        <w:pStyle w:val="TextoNormal"/>
      </w:pPr>
    </w:p>
    <w:p w14:paraId="1C2D6176" w14:textId="77777777" w:rsidR="00A8138F" w:rsidRDefault="00A8138F" w:rsidP="00A8138F">
      <w:pPr>
        <w:pStyle w:val="TextoNormal"/>
      </w:pPr>
      <w:r>
        <w:t>Intentaré explicar seguidamente las razones de mis reservas sobre la anómala gestación de la presente sentencia.</w:t>
      </w:r>
    </w:p>
    <w:p w14:paraId="77F638BD" w14:textId="77777777" w:rsidR="00A8138F" w:rsidRDefault="00A8138F" w:rsidP="00A8138F">
      <w:pPr>
        <w:pStyle w:val="TextoNormal"/>
      </w:pPr>
    </w:p>
    <w:p w14:paraId="6DC3135B" w14:textId="77777777" w:rsidR="00A8138F" w:rsidRDefault="00A8138F" w:rsidP="00A8138F">
      <w:pPr>
        <w:pStyle w:val="TextoNormal"/>
      </w:pPr>
      <w:r>
        <w:t xml:space="preserve">I.1 </w:t>
      </w:r>
      <w:r w:rsidRPr="00A8138F">
        <w:rPr>
          <w:i/>
        </w:rPr>
        <w:t>La designación de ponente por parte del presidente del Tribunal tras la estimación de la recusación del magistrado señor Macías Castaño</w:t>
      </w:r>
    </w:p>
    <w:p w14:paraId="48D37654" w14:textId="77777777" w:rsidR="00A8138F" w:rsidRDefault="00A8138F" w:rsidP="00A8138F">
      <w:pPr>
        <w:pStyle w:val="TextoNormal"/>
      </w:pPr>
    </w:p>
    <w:p w14:paraId="6430F01C" w14:textId="77777777" w:rsidR="00A8138F" w:rsidRDefault="00A8138F" w:rsidP="00A8138F">
      <w:pPr>
        <w:pStyle w:val="TextoNormal"/>
      </w:pPr>
      <w:r>
        <w:t>I.1.1. Conviene advertir que el primer proceso constitucional sobre la Ley Orgánica 1/2024, de amnistía, no fue este recurso de inconstitucionalidad, culminado con la sentencia de la que disiento, sino la cuestión de inconstitucionalidad núm. 6053-2024, planteada por la Sala de lo Penal del Tribunal Supremo el 30 de julio de 2024 (cuya ponencia ha correspondido por el turno objetivo de reparto al magistrado señor Enríquez Sancho), admitida a trámite y pendiente de sentencia. El recurso de inconstitucionalidad núm. 6436-2024 fue presentado (por diputados y senadores del Grupo parlamentario Popular) más tarde, exactamente el 4 de septiembre de 2024 (antecedente 1 de la sentencia). Sin embargo, el presidente del Tribunal Constitucional decidió dar preferencia a este recurso, apartándose del uso consolidado del Tribunal de respeto de la cabecera cronológica.</w:t>
      </w:r>
    </w:p>
    <w:p w14:paraId="588B383F" w14:textId="77777777" w:rsidR="00A8138F" w:rsidRDefault="00A8138F" w:rsidP="00A8138F">
      <w:pPr>
        <w:pStyle w:val="TextoNormal"/>
      </w:pPr>
    </w:p>
    <w:p w14:paraId="5FA93704" w14:textId="77777777" w:rsidR="00A8138F" w:rsidRDefault="00A8138F" w:rsidP="00A8138F">
      <w:pPr>
        <w:pStyle w:val="TextoNormal"/>
      </w:pPr>
      <w:r>
        <w:t>La ponencia de este recurso de inconstitucionalidad correspondió al magistrado señor Macías Castaño por el turno objetivo de reparto de asuntos del Pleno. Habiendo sido recusado por otrosí en el recurso el magistrado señor Campo Moreno (junto al magistrado y presidente del Tribunal, señor Conde-Pumpido, y la magistrada señora Díez Bueso), inmediatamente manifestó dicho magistrado su voluntad de abstenerse en dicho recurso (así como en la citada cuestión de inconstitucionalidad y en el resto de recursos y cuestiones de inconstitucionalidad que a la fecha ya se habían planteado sobre la Ley Orgánica 1/2024, de amnistía), debido a su participación, en su anterior condición de ministro de Justicia, en la tramitación y aprobación por el Consejo de Ministros de 22 de junio de 2021, del que formó parte, de las propuestas de indulto a los condenados en la sentencia de 14 de octubre de 2019 de la Sala de lo Penal del Tribunal Supremo en la causa especial del llamado procés, en las que expresó su criterio de que la amnistía no cabe en la Constitución. La abstención del magistrado señor Campo Moreno fue aceptada por ATC 91/2024, de 24 de septiembre, quedando así apartado definitivamente del conocimiento de este recurso de inconstitucionalidad y del resto de procesos constitucionales sobre la Ley Orgánica 1/2024, de amnistía (antecedentes 3 y 4 de la sentencia).</w:t>
      </w:r>
    </w:p>
    <w:p w14:paraId="045DF890" w14:textId="77777777" w:rsidR="00A8138F" w:rsidRDefault="00A8138F" w:rsidP="00A8138F">
      <w:pPr>
        <w:pStyle w:val="TextoNormal"/>
      </w:pPr>
    </w:p>
    <w:p w14:paraId="59C85B49" w14:textId="77777777" w:rsidR="00A8138F" w:rsidRDefault="00A8138F" w:rsidP="00A8138F">
      <w:pPr>
        <w:pStyle w:val="TextoNormal"/>
      </w:pPr>
      <w:r>
        <w:t>Antes incluso de que este recurso de inconstitucionalidad contra la Ley Orgánica 1/2024, de amnistía, hubiera sido admitido a trámite, el magistrado ponente, señor Macías Castaño, fue recusado el 20 de octubre de 2024 por el abogado del Estado (que rarísimamente ha sido el promotor de incidentes de recusación en recursos y cuestiones de inconstitucionalidad). Si bien ese intento de apartar al ponente no tuvo éxito en ese momento, siendo inadmitida la recusación, por su carácter intempestivo, mediante ATC 116/2024, de 5 de octubre, una vez admitido a trámite el recurso de inconstitucionalidad (por providencia de 5 de noviembre de 2024), el abogado del Estado volvió a la carga, recusando de nuevo al ponente el 20 de noviembre de 2024, y alcanzando esta vez el resultado apetecido, pues este tribunal, por ATC 12/2025, de 29 de enero, con remisión a lo razonado en el ATC 6/2025, de 15 de enero, en el que se había estimado la recusación del mismo magistrado por el fiscal general del Estado (que, como el abogado de Estado, rarísimamente ha sido el promotor de incidentes de recusación en procesos de declaración de inconstitucionalidad) en la cuestión de inconstitucionalidad núm. 6053-2024, acordó estimar la recusación formulada por el abogado del Estado, apartando al magistrado señor Macías Castaño del conocimiento de este recurso de inconstitucionalidad, del que era ponente, así como del resto de procesos constitucionales sobre la Ley Orgánica 1/2024, de amnistía. El recurso de súplica interpuesto contra el ATC 12/2025 fue desestimado por ATC 35/2025, de 13 de mayo, por los mismos fundamentos que el recurrido.</w:t>
      </w:r>
    </w:p>
    <w:p w14:paraId="4A25257D" w14:textId="77777777" w:rsidR="00A8138F" w:rsidRDefault="00A8138F" w:rsidP="00A8138F">
      <w:pPr>
        <w:pStyle w:val="TextoNormal"/>
      </w:pPr>
    </w:p>
    <w:p w14:paraId="57C82D81" w14:textId="77777777" w:rsidR="00A8138F" w:rsidRDefault="00A8138F" w:rsidP="00A8138F">
      <w:pPr>
        <w:pStyle w:val="TextoNormal"/>
      </w:pPr>
      <w:r>
        <w:t>Por cierto que —aunque sobre ello volveré más adelante—, al conocer los recurrentes que este último ATC 35/2025 confirmaba el apartamiento del precedente, instaron la abstención del presidente del Tribunal a la vista de ese nuevo criterio, solicitud que fue inadmitida por providencia de 10 de junio de 2025, habiendo sido dictada la presente sentencia sin estar resuelto el recurso de súplica interpuesto contra la referida providencia.</w:t>
      </w:r>
    </w:p>
    <w:p w14:paraId="0624C9A7" w14:textId="77777777" w:rsidR="00A8138F" w:rsidRDefault="00A8138F" w:rsidP="00A8138F">
      <w:pPr>
        <w:pStyle w:val="TextoNormal"/>
      </w:pPr>
    </w:p>
    <w:p w14:paraId="750125A6" w14:textId="77777777" w:rsidR="00A8138F" w:rsidRDefault="00A8138F" w:rsidP="00A8138F">
      <w:pPr>
        <w:pStyle w:val="TextoNormal"/>
      </w:pPr>
      <w:r>
        <w:t>I.1.2. Como ya advertí en los votos particulares suscritos junto a otros magistrados respecto de los AATC 6/2025, 12/2025 y 35/2025, y debo reiterar ahora, además de las gravísimas quiebras procesales en las que incurrió la tramitación de las recusaciones promovidas por el fiscal general del Estado y el abogado del Estado, hasta el punto de prescindir del procedimiento legalmente establecido, sucede que las causas de recusación apreciadas por la mayoría de este tribunal para apartar al magistrado señor Macías Castaño (causas 13 y 16 del art. 219 de la Ley Orgánica del Poder Judicial: LOPJ), por haber participado en su día como vocal del Consejo General del Poder Judicial en el informe facultativo emitido por este órgano sobre la proposición de ley que daría lugar a la Ley Orgánica 1/2024, de amnistía, no solo se revelan como infundadas, pues no cabe apartar a un magistrado constitucional de su cometido por el mero hecho de tener un criterio jurídico anticipado sobre los asuntos a resolver, según la doctrina constitucional (por todos, AATC 18/2006, de 24 de enero, 180/2013, de 17 de septiembre, y 107/2021, de 15 de diciembre), sino que también contradicen los propios e inmediatos precedentes de este tribunal al respecto.</w:t>
      </w:r>
    </w:p>
    <w:p w14:paraId="68A4769C" w14:textId="77777777" w:rsidR="00A8138F" w:rsidRDefault="00A8138F" w:rsidP="00A8138F">
      <w:pPr>
        <w:pStyle w:val="TextoNormal"/>
      </w:pPr>
    </w:p>
    <w:p w14:paraId="5FD88571" w14:textId="77777777" w:rsidR="00A8138F" w:rsidRDefault="00A8138F" w:rsidP="00A8138F">
      <w:pPr>
        <w:pStyle w:val="TextoNormal"/>
      </w:pPr>
      <w:r>
        <w:t>En efecto, en el ATC 28/2023, de 7 de febrero, adoptado por la misma composición colegiada —a salvo, claro está, de la abstenida— que ha resuelto los incidentes de recusación del magistrado señor Macías Castaño, el Tribunal no aceptó la abstención de la magistrada señora Espejel Jorquera en el recurso de inconstitucionalidad interpuesto contra la Ley del aborto (Ley Orgánica 2/2010, de 3 de marzo), que esta solicitaba por la misma razón, esto es, por el hecho de haber participado —con una intervención destacada además— como vocal del Consejo General del Poder Judicial en el informe preceptivo emitido por este órgano sobre el anteproyecto de esa ley.</w:t>
      </w:r>
    </w:p>
    <w:p w14:paraId="387D1F02" w14:textId="77777777" w:rsidR="00A8138F" w:rsidRDefault="00A8138F" w:rsidP="00A8138F">
      <w:pPr>
        <w:pStyle w:val="TextoNormal"/>
      </w:pPr>
    </w:p>
    <w:p w14:paraId="0191A7FF" w14:textId="77777777" w:rsidR="00A8138F" w:rsidRDefault="00A8138F" w:rsidP="00A8138F">
      <w:pPr>
        <w:pStyle w:val="TextoNormal"/>
      </w:pPr>
      <w:r>
        <w:t>De este modo, como hemos señalado en el voto particular al ATC 35/2025, el magistrado señor Macías Castaño ha sido apartado por la mayoría del Tribunal, sin justificación y con grave quiebra de las garantías procesales, del conocimiento de este recurso de inconstitucionalidad, y del resto de recursos y cuestiones sobre la Ley Orgánica 1/2024, de amnistía. Repitamos ahora que el principio de imparcialidad se ve asegurado a través del respeto al procedimiento legalmente establecido: sin su sujeción a la ley no puede existir juez imparcial. Prescindir del procedimiento y de las garantías constitucionalmente establecidas —que también son de orden público— es precisamente el camino más corto para vulnerar el derecho al juez imparcial (art. 24.2 CE), pues la imparcialidad del juez se garantiza a través del cumplimiento de las normas y procedimientos establecidos por la Constitución. La percepción de la justicia no solo depende del resultado, sino también de la forma en que se llega a él, a lo que debe añadirse que los atajos en el respeto de las garantías constitucionales no suelen conducir a la realización de la mejor justicia. Me remito en este punto a la extensa y clara jurisprudencia del Tribunal Europeo de Derechos Humanos sobre la imparcialidad judicial como garantía del juicio justo, que no necesita de citas, por ser sobradamente conocida.</w:t>
      </w:r>
    </w:p>
    <w:p w14:paraId="659D661B" w14:textId="77777777" w:rsidR="00A8138F" w:rsidRDefault="00A8138F" w:rsidP="00A8138F">
      <w:pPr>
        <w:pStyle w:val="TextoNormal"/>
      </w:pPr>
    </w:p>
    <w:p w14:paraId="655B2A7D" w14:textId="77777777" w:rsidR="00A8138F" w:rsidRDefault="00A8138F" w:rsidP="00A8138F">
      <w:pPr>
        <w:pStyle w:val="TextoNormal"/>
      </w:pPr>
      <w:r>
        <w:t>Pero, al tiempo que se apartaba al magistrado señor Macías Castaño del conocimiento de este recurso de inconstitucionalidad, del que además era ponente, la mayoría del Tribunal rechazaba apartar del mismo al presidente señor Conde-Pumpido y a la magistrada señora Díez Bueso, al inadmitir, por AATC 93/2024, de 8 de octubre, y 105/2024, de 22 de octubre, respectivamente, las recusaciones planteadas por los recurrentes. Y esto se lleva a cabo a través de un procedimiento singular —por decir lo menos— pues, como ya advertí en mis votos particulares al ATC 93/2024 y al ATC 105/2024, conforme a los precedentes de este tribunal la recusación del presidente señor Conde-Pumpido y de la magistrada señora Díez Bueso, planteada conjuntamente por los recurrentes —aunque por hechos y fundamentos distintos, claro está— no debió resolverse de manera fraccionada o separada y sucesivamente, como se ha hecho, sino de forma simultánea, por un Pleno del Tribunal con una composición en la que no interviniesen ninguno de los magistrados recusados. Con esa anómala forma de resolver las recusaciones que ha adoptado este tribunal se ha producido el llamativo resultado de que esos dos magistrados recusados han podido intervenir en la decisión de la recusación del magistrado señor Macías Castaño, mientras que este ha sido excluido de intervenir en la decisión de la recusación del presidente señor Conde-Pumpido y de la magistrada señora Díez Bueso. Reitero ahora lo que ya dije entonces: que la forma elegida por este tribunal para resolver las recusaciones promovidas en este asunto, de capital importancia política y social, como es notorio, puede generar en la opinión pública una indeseable percepción de que, al apartarse de los precedentes, y resolver de modo asimétrico las referidas recusaciones, se alteran sin justificación las reglas que han de regir la decisión ni más ni menos que sobre la composición del Pleno llamado a resolver los recursos y cuestiones de inconstitucionalidad sobre una ley cuyo debate y aprobación ha protagonizado y al tiempo polarizado la sociedad española desde hace más de un año, la Ley Orgánica 1/2024, de amnistía.</w:t>
      </w:r>
    </w:p>
    <w:p w14:paraId="620398BA" w14:textId="77777777" w:rsidR="00A8138F" w:rsidRDefault="00A8138F" w:rsidP="00A8138F">
      <w:pPr>
        <w:pStyle w:val="TextoNormal"/>
      </w:pPr>
    </w:p>
    <w:p w14:paraId="0CEFC116" w14:textId="77777777" w:rsidR="00A8138F" w:rsidRDefault="00A8138F" w:rsidP="00A8138F">
      <w:pPr>
        <w:pStyle w:val="TextoNormal"/>
      </w:pPr>
      <w:r>
        <w:t>Apartado injustificadamente el magistrado señor Macías Castaño y abstenido el magistrado señor Campo Moreno, quedó conformado así un Tribunal de diez miembros para resolver este recurso de inconstitucionalidad contra la Ley Orgánica 1/2024, de amnistía, procediendo seguidamente el presidente del Tribunal a designar como ponente a la vicepresidenta señora Montalbán Huertas, por un acuerdo de 29 de enero de 2025 que dice basarse en el turno previamente establecido (antecedente 18 de la sentencia), si bien es lo cierto que se desconoce qué normas de reparto existan al respecto para el cambio de ponente cuando se haya estimado la recusación de este; en todo caso, esas supuestas normas no están publicadas.</w:t>
      </w:r>
    </w:p>
    <w:p w14:paraId="7BBCF425" w14:textId="77777777" w:rsidR="00A8138F" w:rsidRDefault="00A8138F" w:rsidP="00A8138F">
      <w:pPr>
        <w:pStyle w:val="TextoNormal"/>
      </w:pPr>
    </w:p>
    <w:p w14:paraId="65EC7423" w14:textId="77777777" w:rsidR="00A8138F" w:rsidRDefault="00A8138F" w:rsidP="00A8138F">
      <w:pPr>
        <w:pStyle w:val="TextoNormal"/>
      </w:pPr>
      <w:r>
        <w:t xml:space="preserve">I.2. </w:t>
      </w:r>
      <w:r w:rsidRPr="00A8138F">
        <w:rPr>
          <w:i/>
        </w:rPr>
        <w:t>El grupo de trabajo formado por letrados para la redacción de la ponencia</w:t>
      </w:r>
    </w:p>
    <w:p w14:paraId="4636723F" w14:textId="77777777" w:rsidR="00A8138F" w:rsidRDefault="00A8138F" w:rsidP="00A8138F">
      <w:pPr>
        <w:pStyle w:val="TextoNormal"/>
      </w:pPr>
    </w:p>
    <w:p w14:paraId="5EB8B7B6" w14:textId="77777777" w:rsidR="00A8138F" w:rsidRDefault="00A8138F" w:rsidP="00A8138F">
      <w:pPr>
        <w:pStyle w:val="TextoNormal"/>
      </w:pPr>
      <w:r>
        <w:t>El siguiente paso, que hemos conocido a través de las informaciones publicadas en distintos medios de comunicación, fue la designación por el presidente del Tribunal de un llamado “grupo de trabajo” formado por un letrado coordinador y cinco letrados, todos ellos adscritos o bien al presidente o bien a alguno de los magistrados que conforman la mayoría del Tribunal que ha aprobado esta sentencia con sus votos, para elaborar el proyecto de ponencia.</w:t>
      </w:r>
    </w:p>
    <w:p w14:paraId="369542C0" w14:textId="77777777" w:rsidR="00A8138F" w:rsidRDefault="00A8138F" w:rsidP="00A8138F">
      <w:pPr>
        <w:pStyle w:val="TextoNormal"/>
      </w:pPr>
    </w:p>
    <w:p w14:paraId="236BFFCB" w14:textId="77777777" w:rsidR="00A8138F" w:rsidRDefault="00A8138F" w:rsidP="00A8138F">
      <w:pPr>
        <w:pStyle w:val="TextoNormal"/>
      </w:pPr>
      <w:r>
        <w:t>La encomienda fue, según parece, en régimen de dedicación exclusiva y con rebaja, por tanto, de cualquier otra tarea para esos cinco letrados. El “grupo de trabajo” se reunía periódicamente para aunar criterios, sin perjuicio de la labor individual de cada uno. Se aplicó, en suma, el mismo sistema que se había seguido un año antes para la redacción de los proyectos de ponencia en los recursos de amparo avocados al Pleno en el conocido como “caso de los ERE de Andalucía”. Finalmente, el “grupo de trabajo” entregó el texto del proyecto de ponencia tanto a la ponente como presumiblemente al presidente.</w:t>
      </w:r>
    </w:p>
    <w:p w14:paraId="2E2B2213" w14:textId="77777777" w:rsidR="00A8138F" w:rsidRDefault="00A8138F" w:rsidP="00A8138F">
      <w:pPr>
        <w:pStyle w:val="TextoNormal"/>
      </w:pPr>
    </w:p>
    <w:p w14:paraId="16A0963E" w14:textId="77777777" w:rsidR="00A8138F" w:rsidRDefault="00A8138F" w:rsidP="00A8138F">
      <w:pPr>
        <w:pStyle w:val="TextoNormal"/>
      </w:pPr>
      <w:r>
        <w:t>Con la decisión adoptada por el presidente del Tribunal de creación de un grupo de trabajo como el descrito, del que ni se dio información alguna a quien suscribe —pues solo tuve noticia de su existencia por los medios de comunicación— quedó perfectamente definido el objetivo pretendido, que no era otro que el de, con la plena marginación de los magistrados que se presumía podrían ser discrepantes, redactar una sentencia que descartase la inconstitucionalidad de la Ley Orgánica 1/2024, de amnistía.</w:t>
      </w:r>
    </w:p>
    <w:p w14:paraId="71642240" w14:textId="77777777" w:rsidR="00A8138F" w:rsidRDefault="00A8138F" w:rsidP="00A8138F">
      <w:pPr>
        <w:pStyle w:val="TextoNormal"/>
      </w:pPr>
    </w:p>
    <w:p w14:paraId="67DC4312" w14:textId="77777777" w:rsidR="00A8138F" w:rsidRDefault="00A8138F" w:rsidP="00A8138F">
      <w:pPr>
        <w:pStyle w:val="TextoNormal"/>
      </w:pPr>
      <w:r>
        <w:t xml:space="preserve">I.3. </w:t>
      </w:r>
      <w:r w:rsidRPr="00A8138F">
        <w:rPr>
          <w:i/>
        </w:rPr>
        <w:t>Se cumplió el calendario previsto para que estuviera resuelto el recurso antes de las vacaciones de verano de 2005</w:t>
      </w:r>
    </w:p>
    <w:p w14:paraId="693AE081" w14:textId="77777777" w:rsidR="00A8138F" w:rsidRDefault="00A8138F" w:rsidP="00A8138F">
      <w:pPr>
        <w:pStyle w:val="TextoNormal"/>
      </w:pPr>
    </w:p>
    <w:p w14:paraId="0786E82B" w14:textId="77777777" w:rsidR="00A8138F" w:rsidRDefault="00A8138F" w:rsidP="00A8138F">
      <w:pPr>
        <w:pStyle w:val="TextoNormal"/>
      </w:pPr>
      <w:r>
        <w:t>Por otra parte, en la tramitación de este proceso constitucional se ha cumplido el calendario que el presidente del Tribunal adelantó informalmente a finales del año pasado a distintos medios de comunicación, y que confirmó de nuevo ante diferentes medios al anunciar en mayo de este año que en el siguiente mes de junio se celebraría un primer Pleno de estudio de la ponencia y un segundo monográfico, de deliberación y votación, como así ha sucedido, efectivamente. El primero de estos Plenos, que tuvo lugar el día 11 de junio, no fue sino una exposición resumida por la ponente del proyecto de sentencia. No se abrió por la presidencia debate alguno. El segundo, de deliberación y votación, fue convocado por el presidente el 16 de junio ampliado en dos días (el lunes 23 y el viernes 27); es decir, se planteó como un debate concentrado en forma de cónclave, con la previsión de que dentro de la misma semana (del 23 al 27 de junio de 2025) estuviera votada la sentencia, “sin necesidad de llegar a julio”, como así reflejaron distintos medios de comunicación el día 9 de junio, que era justamente la previsión que siempre se había hecho por el presidente, quien entiende que los cinco días previstos para el Pleno monográfico del 23 al 27 de junio de 2025 es “tiempo suficiente” para la deliberación de la ponencia por parte de los magistrados (los entrecomillados aparecen así en los medios de comunicación). Sobre esta cuestión volveré en el epígrafe final de este voto.</w:t>
      </w:r>
    </w:p>
    <w:p w14:paraId="63B13E80" w14:textId="77777777" w:rsidR="00A8138F" w:rsidRDefault="00A8138F" w:rsidP="00A8138F">
      <w:pPr>
        <w:pStyle w:val="TextoNormal"/>
      </w:pPr>
    </w:p>
    <w:p w14:paraId="7170A035" w14:textId="77777777" w:rsidR="00A8138F" w:rsidRDefault="00A8138F" w:rsidP="00A8138F">
      <w:pPr>
        <w:pStyle w:val="TextoNormal"/>
      </w:pPr>
      <w:r>
        <w:t xml:space="preserve">I.4. </w:t>
      </w:r>
      <w:r w:rsidRPr="00A8138F">
        <w:rPr>
          <w:i/>
        </w:rPr>
        <w:t>La desatención de la solicitud de planteamiento de la cuestión prejudicial ante el Tribunal de Justicia de la Unión Europea, o el aplazamiento de la deliberación y votación de la sentencia mientras ese Tribunal no resuelva las cuestiones prejudiciales planteadas por otros tribunales españoles</w:t>
      </w:r>
    </w:p>
    <w:p w14:paraId="24894D34" w14:textId="77777777" w:rsidR="00A8138F" w:rsidRDefault="00A8138F" w:rsidP="00A8138F">
      <w:pPr>
        <w:pStyle w:val="TextoNormal"/>
      </w:pPr>
    </w:p>
    <w:p w14:paraId="3D254837" w14:textId="77777777" w:rsidR="00A8138F" w:rsidRDefault="00A8138F" w:rsidP="00A8138F">
      <w:pPr>
        <w:pStyle w:val="TextoNormal"/>
      </w:pPr>
      <w:r>
        <w:t xml:space="preserve">Cuando tuve conocimiento de la </w:t>
      </w:r>
      <w:r w:rsidRPr="00A8138F">
        <w:rPr>
          <w:i/>
        </w:rPr>
        <w:t>decisión</w:t>
      </w:r>
      <w:r>
        <w:t xml:space="preserve"> —subrayo el sustantivo schmittiano— presidencial de celebrar el mes de junio los dos Plenos referidos, con la intención de que en la última semana de ese mes estuviera votada la sentencia, remití al presidente un escrito juntamente con el magistrado señor Tolosa Tribiño y la magistrada señora Espejel Jorquera en el que se interesaba, alternativamente, el planteamiento por este tribunal de cuestión prejudicial ante el Tribunal de Justicia de la Unión Europea o el aplazamiento del debate sobre la ponencia de la Ley de amnistía por la pendencia de cuatro cuestiones prejudiciales en el Tribunal de Justicia. La respuesta del presidente fue de rechazo absoluto a nuestra petición.</w:t>
      </w:r>
    </w:p>
    <w:p w14:paraId="529379A2" w14:textId="77777777" w:rsidR="00A8138F" w:rsidRDefault="00A8138F" w:rsidP="00A8138F">
      <w:pPr>
        <w:pStyle w:val="TextoNormal"/>
      </w:pPr>
    </w:p>
    <w:p w14:paraId="4A160F77" w14:textId="77777777" w:rsidR="00A8138F" w:rsidRDefault="00A8138F" w:rsidP="00A8138F">
      <w:pPr>
        <w:pStyle w:val="TextoNormal"/>
      </w:pPr>
      <w:r>
        <w:t>Posteriormente, los recurrentes solicitaron el 22 de mayo de 2025 la apertura de un trámite de audiencia a las partes en este recurso de inconstitucionalidad para pronunciarse sobre la anterior petición de quien suscribe y los otros dos magistrados, así como de la resolución de la presidencia del Tribunal por la cual se rechaza tal petición, e interesaron también la suspensión de la tramitación del procedimiento hasta la resolución por el Tribunal de Justicia de la Unión Europea de las cuestiones prejudiciales referenciadas. Y el 29 de mayo de 2025 presentaron nuevo escrito en el que solicitaron al Tribunal Constitucional que iniciara los trámites procesales necesarios para elevar al Tribunal de Justicia de la Unión Europea las once cuestiones prejudiciales en relación con la Ley Orgánica 1/2024, de amnistía, que señalan en ese escrito; y subsidiariamente, que se suspendiera la tramitación de este recurso de inconstitucionalidad hasta tanto no fueran resueltas por el Tribunal de Justicia las cuestiones prejudiciales ya planteadas por otros órganos españoles en relación con esa ley.</w:t>
      </w:r>
    </w:p>
    <w:p w14:paraId="280424AE" w14:textId="77777777" w:rsidR="00A8138F" w:rsidRDefault="00A8138F" w:rsidP="00A8138F">
      <w:pPr>
        <w:pStyle w:val="TextoNormal"/>
      </w:pPr>
    </w:p>
    <w:p w14:paraId="68174CF1" w14:textId="77777777" w:rsidR="00A8138F" w:rsidRDefault="00A8138F" w:rsidP="00A8138F">
      <w:pPr>
        <w:pStyle w:val="TextoNormal"/>
      </w:pPr>
      <w:r>
        <w:t>A su vez, el Senado, mediante escrito presentado el 26 de mayo de 2025, solicitó que, previo traslado a las partes, el Tribunal Constitucional plantease las siete cuestiones prejudiciales que señala ante el Tribunal de Justicia de la Unión Europea en relación con la Ley Orgánica 1/2024, de amnistía.</w:t>
      </w:r>
    </w:p>
    <w:p w14:paraId="64CD7447" w14:textId="77777777" w:rsidR="00A8138F" w:rsidRDefault="00A8138F" w:rsidP="00A8138F">
      <w:pPr>
        <w:pStyle w:val="TextoNormal"/>
      </w:pPr>
    </w:p>
    <w:p w14:paraId="44EDA17B" w14:textId="77777777" w:rsidR="00A8138F" w:rsidRDefault="00A8138F" w:rsidP="00A8138F">
      <w:pPr>
        <w:pStyle w:val="TextoNormal"/>
      </w:pPr>
      <w:r>
        <w:t>Por auto de 11 de junio de 2025, el Tribunal Constitucional acordó no haber lugar a ninguna de dichas pretensiones, “sin perjuicio de lo que pueda decidirse, a este respecto, en la deliberación del Pleno de este tribunal en la que se aborde el objeto del presente proceso constitucional”. A este auto formulamos voto particular conjunto los referidos tres magistrados, en el que se ponía de manifiesto que nuestra petición de fijar un debate jurídico sobre la necesidad de plantear una cuestión prejudicial ante el Tribunal de Justicia de la Unión Europea debió ser atendida, por haberse realizado en el momento oportuno —de acuerdo con la propia jurisprudencia del Tribunal de Justicia— y con fundamento en la potestad que les reconoce el art. 10.1 n) LOTC. Asimismo, que la desestimación por motivos formales de la petición de elevar cuestiones prejudiciales, debidamente planteada por las partes, es contraria al Derecho de la Unión Europea (arts. 267, párrafo tercero TFUE y 47 CDFUE) y al derecho a la tutela judicial efectiva (arts. 24.1 CE y 6 CEDH). Añadíamos que son evidentes las dudas existentes sobre la interpretación del Derecho de la Unión que impedían resolver el presente recurso de inconstitucionalidad sin plantear con carácter previo una cuestión prejudicial al Tribunal de Justicia de la Unión Europea, y que, en cualquier caso, el aplazamiento de la deliberación y votación de la sentencia sobre este recurso contra la Ley Orgánica 1/2024, de amnistía, era obligado, pues una mera lectura de las cuestiones prejudiciales pendientes ante el Tribunal de Justicia permitía colegir sin dificultad alguna que las dudas que se han trasladado a dicho Tribunal coinciden con las cuestiones que se han planteado en este recurso de inconstitucionalidad.</w:t>
      </w:r>
    </w:p>
    <w:p w14:paraId="48480FB9" w14:textId="77777777" w:rsidR="00A8138F" w:rsidRDefault="00A8138F" w:rsidP="00A8138F">
      <w:pPr>
        <w:pStyle w:val="TextoNormal"/>
      </w:pPr>
    </w:p>
    <w:p w14:paraId="745E87C1" w14:textId="77777777" w:rsidR="00A8138F" w:rsidRDefault="00A8138F" w:rsidP="00A8138F">
      <w:pPr>
        <w:pStyle w:val="TextoNormal"/>
      </w:pPr>
      <w:r>
        <w:t>Contra el auto de 11 de junio de 2025 interpusieron recurso de súplica los recurrentes y el Senado, que no ha sido resuelto por este tribunal a la fecha de dictar sentencia en el presente recurso de inconstitucionalidad.</w:t>
      </w:r>
    </w:p>
    <w:p w14:paraId="130252F7" w14:textId="77777777" w:rsidR="00A8138F" w:rsidRDefault="00A8138F" w:rsidP="00A8138F">
      <w:pPr>
        <w:pStyle w:val="TextoNormal"/>
      </w:pPr>
    </w:p>
    <w:p w14:paraId="5A50C47B" w14:textId="77777777" w:rsidR="00A8138F" w:rsidRDefault="00A8138F" w:rsidP="00A8138F">
      <w:pPr>
        <w:pStyle w:val="TextoNormal"/>
      </w:pPr>
      <w:r>
        <w:t>Como tampoco estaba resuelto en ese momento, por cierto, como ya se advirtió, el recurso de súplica interpuesto contra la providencia de 10 de junio de 2025, por la que este Tribunal acordó inadmitir la solicitud de abstención del presidente señor Conde-Pumpido, planteada por los recurrentes al tener conocimiento del ATC 35/2025, de 13 de mayo, que confirma el criterio sentado en el ATC 12/2025.</w:t>
      </w:r>
    </w:p>
    <w:p w14:paraId="6484C1B9" w14:textId="77777777" w:rsidR="00A8138F" w:rsidRDefault="00A8138F" w:rsidP="00A8138F">
      <w:pPr>
        <w:pStyle w:val="TextoNormal"/>
      </w:pPr>
    </w:p>
    <w:p w14:paraId="1FBE34D7" w14:textId="77777777" w:rsidR="00A8138F" w:rsidRDefault="00A8138F" w:rsidP="00A8138F">
      <w:pPr>
        <w:pStyle w:val="TextoNormal"/>
      </w:pPr>
      <w:r>
        <w:t xml:space="preserve">I.5. </w:t>
      </w:r>
      <w:r w:rsidRPr="00A8138F">
        <w:rPr>
          <w:i/>
        </w:rPr>
        <w:t>Negativa del presidente a un debate sosegado en varias lecturas de la ponencia sobre el recurso de inconstitucionalidad contra la Ley Orgánica 1/2024, de amnistía</w:t>
      </w:r>
    </w:p>
    <w:p w14:paraId="4E052B47" w14:textId="77777777" w:rsidR="00A8138F" w:rsidRDefault="00A8138F" w:rsidP="00A8138F">
      <w:pPr>
        <w:pStyle w:val="TextoNormal"/>
      </w:pPr>
    </w:p>
    <w:p w14:paraId="7C369429" w14:textId="77777777" w:rsidR="00A8138F" w:rsidRDefault="00A8138F" w:rsidP="00A8138F">
      <w:pPr>
        <w:pStyle w:val="TextoNormal"/>
      </w:pPr>
      <w:r>
        <w:t>Quien suscribe remitió también al presidente del Tribunal un escrito el 4 de junio de 2025 (del que di cuenta al resto de magistrados) en el que solicitaba que el debate sobre la constitucionalidad de la Ley de amnistía no fuera apresurado ni se limitase a los dos plenos previstos, sino que pudiera extenderse al mes de julio, para llevar a cabo una deliberación serena y sosegada. El presidente, como es sabido (pues los medios de comunicación han dado cumplida información al respecto), rechazó mi petición el 9 de junio y mantuvo el calendario previsto, si bien consideró oportuno, como ya quedó señalado, ampliar el Pleno para la deliberación y votación de la sentencia en dos días, para celebrarse del lunes 23 a viernes 27 de junio de 2025.</w:t>
      </w:r>
    </w:p>
    <w:p w14:paraId="085901F9" w14:textId="77777777" w:rsidR="00A8138F" w:rsidRDefault="00A8138F" w:rsidP="00A8138F">
      <w:pPr>
        <w:pStyle w:val="TextoNormal"/>
      </w:pPr>
    </w:p>
    <w:p w14:paraId="285FF352" w14:textId="77777777" w:rsidR="00A8138F" w:rsidRDefault="00A8138F" w:rsidP="00A8138F">
      <w:pPr>
        <w:pStyle w:val="TextoNormal"/>
      </w:pPr>
      <w:r>
        <w:t>Tras el frustrante debate que concluyó con el citado auto de 11 de junio de 2025, el 16 de junio volví a solicitar por escrito al presidente que el debate de la ponencia sobre el recurso contra la Ley Orgánica 1/2024, de amnistía, fuese sosegado, en varias lecturas sucesivas, y le expuse de nuevo la conveniencia de esperar a la decisión del Tribunal de Justicia de la Unión Europea en las cuestiones prejudiciales ya planteadas por diversos tribunales españoles en relación con dicha ley, habida cuenta, además, de que el Tribunal de Justicia ha fijado una vista sobre esas cuestiones para el día 15 de julio de 2025, esto es, a solo tres semanas desde el debate del Tribunal Constitucional.</w:t>
      </w:r>
    </w:p>
    <w:p w14:paraId="031ECC38" w14:textId="77777777" w:rsidR="00A8138F" w:rsidRDefault="00A8138F" w:rsidP="00A8138F">
      <w:pPr>
        <w:pStyle w:val="TextoNormal"/>
      </w:pPr>
    </w:p>
    <w:p w14:paraId="2DFF262B" w14:textId="77777777" w:rsidR="00A8138F" w:rsidRDefault="00A8138F" w:rsidP="00A8138F">
      <w:pPr>
        <w:pStyle w:val="TextoNormal"/>
      </w:pPr>
      <w:r>
        <w:t>Como era previsible, el presidente desatendió mi petición, y el día 17 de junio comunicó a los magistrados que la ponencia de la vicepresidenta señora Montalbán incluiría un nuevo apartado con un pronunciamiento expreso de rechazo al planteamiento de una cuestión prejudicial por el Tribunal Constitucional, así como de suspensión o aplazamiento de la resolución del recurso de inconstitucionalidad hasta que se dé respuesta por el Tribunal de Justicia de la Unión Europea a las cuestiones prejudiciales ya planteadas. Efectivamente, dos días después, el 19 de junio, se nos facilitó a los magistrados el apartado en cuestión a incluir en la ponencia, en la que se rechaza el planteamiento de una cuestión prejudicial ante el Tribunal de Justicia de la Unión Europea y asimismo se declara que no ha lugar a posponer la deliberación y votación de la sentencia hasta que ese tribunal resuelva las cuestiones prejudiciales que ante él penden en relación con la Ley Orgánica 1/2024, de amnistía.</w:t>
      </w:r>
    </w:p>
    <w:p w14:paraId="202AA924" w14:textId="77777777" w:rsidR="00A8138F" w:rsidRDefault="00A8138F" w:rsidP="00A8138F">
      <w:pPr>
        <w:pStyle w:val="TextoNormal"/>
      </w:pPr>
    </w:p>
    <w:p w14:paraId="7C6AE9FF" w14:textId="77777777" w:rsidR="00A8138F" w:rsidRDefault="00A8138F" w:rsidP="00A8138F">
      <w:pPr>
        <w:pStyle w:val="TextoNormal"/>
      </w:pPr>
      <w:r>
        <w:t xml:space="preserve">I.6. </w:t>
      </w:r>
      <w:r w:rsidRPr="00A8138F">
        <w:rPr>
          <w:i/>
        </w:rPr>
        <w:t>El injustificado rechazo a plantear la cuestión prejudicial o a esperar la resolución de las pendientes</w:t>
      </w:r>
    </w:p>
    <w:p w14:paraId="0D3FE795" w14:textId="77777777" w:rsidR="00A8138F" w:rsidRDefault="00A8138F" w:rsidP="00A8138F">
      <w:pPr>
        <w:pStyle w:val="TextoNormal"/>
      </w:pPr>
    </w:p>
    <w:p w14:paraId="668904C8" w14:textId="77777777" w:rsidR="00A8138F" w:rsidRDefault="00A8138F" w:rsidP="00A8138F">
      <w:pPr>
        <w:pStyle w:val="TextoNormal"/>
      </w:pPr>
      <w:r>
        <w:t>I.6.1. En mi opinión con esa decisión se viene a desconocer que el funcionamiento de la Unión Europea se basa, a su vez, en el principio de cooperación leal (art. 4.3 TUE) que, en el caso del sistema de Justicia (art. 19 TUE), atribuye al Tribunal de Justicia de la Unión Europea la misión de garantizar el respeto al Derecho en la interpretación y aplicación de los tratados, misión compartida con todos y cada uno de los órganos jurisdiccionales de los Estados miembros, a través del mecanismo de la cuestión prejudicial (art. 267 TFUE). Para que el mecanismo de la cuestión prejudicial resulte verdaderamente eficaz, se hace necesaria la colaboración leal de los órganos jurisdiccionales nacionales, en una suerte de tarea común de conformación del Derecho de la Unión, a través de su interpretación y aplicación uniforme.</w:t>
      </w:r>
    </w:p>
    <w:p w14:paraId="7F13D1BF" w14:textId="77777777" w:rsidR="00A8138F" w:rsidRDefault="00A8138F" w:rsidP="00A8138F">
      <w:pPr>
        <w:pStyle w:val="TextoNormal"/>
      </w:pPr>
    </w:p>
    <w:p w14:paraId="3C61E89C" w14:textId="77777777" w:rsidR="00A8138F" w:rsidRDefault="00A8138F" w:rsidP="00A8138F">
      <w:pPr>
        <w:pStyle w:val="TextoNormal"/>
      </w:pPr>
      <w:r>
        <w:t xml:space="preserve">La efectividad del instrumento prejudicial se garantiza mediante la exigencia de su planteamiento ante el Tribunal de Justicia de la Unión Europea en cuanto se aprecie cualquier duda que pueda afectar a la interpretación y/o aplicación del Derecho de la Unión. Esa obligación solo decae cuando nos encontremos ante alguno de los supuestos recogidos en la conocida como doctrina </w:t>
      </w:r>
      <w:r w:rsidRPr="00A8138F">
        <w:rPr>
          <w:i/>
        </w:rPr>
        <w:t>Cilfit</w:t>
      </w:r>
      <w:r>
        <w:t>, y resulta aplicable, en todo caso, a los órganos jurisdiccionales de última instancia, que habrán de motivar expresamente si procede o no el planteamiento y, en su caso, la decisión adoptada. En suma, el Tribunal de Justicia de la Unión Europea, al interpretar el 267 TFUE, establece la obligatoriedad de plantear cuestión prejudicial al órgano jurisdiccional nacional de última instancia, salvo que la duda no sea relevante, ya haya sido resuelta por el Tribunal de Justicia o, en fin, que la interpretación del Derecho de la Unión sea evidente y no dé lugar a ninguna duda razonable, extremo este último en el que hay que tener en cuenta el principio de interpretación uniforme del Derecho de la Unión. Así, si órganos jurisdiccionales de otros estados miembros tienen interpretaciones diversas, el juez nacional está intensamente obligado a plantear la cuestión. Cuando las dudas se suscitan por otros órganos jurisdiccionales del mismo Estado miembro sobre una misma norma y el Tribunal de Justicia de la Unión Europea ha admitido cuestiones prejudiciales en relación con dicha norma, estimo que el órgano jurisdiccional de última instancia, en este caso, este Tribunal Constitucional, está, a mi juicio, sujeto a una mayor vinculación —vinculación más fuerte, como diría la doctrina alemana— a ese deber de plantear la cuestión (o al menos suspender el proceso hasta que el Tribunal de Justicia se pronuncie sobre las ya planteadas), ya que la duda sobre la compatibilidad con el Derecho de la Unión se objetiviza de algún modo, es decir, adquiere mayores dosis de verosimilitud, como consecuencia de la previa admisión a trámite de diversas cuestiones prejudiciales sobre la misma norma. En estos casos estimo que el órgano jurisdiccional de última instancia no puede ni debe independizarse de forma absoluta de las dudas planteadas por otros órganos judiciales del mismo Estado y de la admisión a trámite de otras cuestiones por el Tribunal de Justicia a la hora de cumplir con su doble deber de suscitar la cuestión prejudicial en caso de duda y de vincularse a la interpretación uniforme del Derecho de la Unión.</w:t>
      </w:r>
    </w:p>
    <w:p w14:paraId="1DD0D283" w14:textId="77777777" w:rsidR="00A8138F" w:rsidRDefault="00A8138F" w:rsidP="00A8138F">
      <w:pPr>
        <w:pStyle w:val="TextoNormal"/>
      </w:pPr>
    </w:p>
    <w:p w14:paraId="1E87CDBA" w14:textId="77777777" w:rsidR="00A8138F" w:rsidRDefault="00A8138F" w:rsidP="00A8138F">
      <w:pPr>
        <w:pStyle w:val="TextoNormal"/>
      </w:pPr>
      <w:r>
        <w:t>Siendo el Tribunal Constitucional un órgano jurisdiccional de última instancia encargado de asegurar la vigencia del Derecho de la Unión en nuestro país, está obligado a plantear una cuestión prejudicial cuando advierta cualquier duda sobre la interpretación y aplicación del Derecho de la Unión para la adecuada resolución del objeto del litigio, lo que, correlativamente, exige un especial esfuerzo de motivación para el caso de que considere innecesario el planteamiento de la cuestión. Por eso, estimo que las exigencias del necesario diálogo entre tribunales y las del mencionado principio de cooperación legal demandaban, al menos, una reflexión más sosegada sobre la conveniencia de que el Tribunal Constitucional plantease las cuestiones prejudiciales solicitadas por algunas de las partes comparecidas o, siquiera, que la deliberación de este tribunal se pospusiese hasta la resolución de las ya planteadas por otros tribunales españoles. A mi juicio, resulta evidente que la norma impugnada sometida a nuestra consideración aborda materias susceptibles de afectar al Derecho de la Unión que hubieran exigido una consulta previa al Tribunal de Justicia de la Unión Europea y, en todo caso, una motivación mucho más exhaustiva para rechazar su planteamiento, sobre todo cuando se considera que las diversas cuestiones prejudiciales ya planteadas, e incluso la opinión ya conocida de la Comisión Europea sobre la Ley de amnistía, extremo este sobre el que luego volveré.</w:t>
      </w:r>
    </w:p>
    <w:p w14:paraId="2C467DA7" w14:textId="77777777" w:rsidR="00A8138F" w:rsidRDefault="00A8138F" w:rsidP="00A8138F">
      <w:pPr>
        <w:pStyle w:val="TextoNormal"/>
      </w:pPr>
    </w:p>
    <w:p w14:paraId="33B49ABC" w14:textId="77777777" w:rsidR="00A8138F" w:rsidRDefault="00A8138F" w:rsidP="00A8138F">
      <w:pPr>
        <w:pStyle w:val="TextoNormal"/>
      </w:pPr>
      <w:r>
        <w:t>Es notorio que la mayoría del Tribunal Constitucional ha preferido no hacer ni lo uno ni lo otro, en una decisión, en mi criterio, ayuna de toda fundamentación. Es en este plano, el de las razones y los argumentos, en el que se sitúa mi discrepancia, pues la sentencia de la que disiento no solo descarta la relevancia del Derecho de la Unión Europea —cuya primacía se empecina en desconocer— para la resolución de este procedimiento, sino que ofrece un panorama significativamente sombrío en su motivación.</w:t>
      </w:r>
    </w:p>
    <w:p w14:paraId="634DF48B" w14:textId="77777777" w:rsidR="00A8138F" w:rsidRDefault="00A8138F" w:rsidP="00A8138F">
      <w:pPr>
        <w:pStyle w:val="TextoNormal"/>
      </w:pPr>
    </w:p>
    <w:p w14:paraId="67D8D033" w14:textId="77777777" w:rsidR="00A8138F" w:rsidRDefault="00A8138F" w:rsidP="00A8138F">
      <w:pPr>
        <w:pStyle w:val="TextoNormal"/>
      </w:pPr>
      <w:r>
        <w:t>I.6.2. No puedo ahora sino reiterar que algunos de los integrantes del Tribunal ya expusimos en un informe aportado en fecha 12 de mayo de 2025 que la norma impugnada no solo afecta al Derecho de la Unión, sino que suscita muchas dudas sobre su adecuación a ese Derecho. Esas dudas razonables afectan al principio de Estado de Derecho (art. 2 TUE); al compromiso europeo en la lucha contra la corrupción y contra el terrorismo; y la propia efectividad de los instrumentos de cooperación judicial penal, en particular, la orden europea de detención y entrega.</w:t>
      </w:r>
    </w:p>
    <w:p w14:paraId="4A75D681" w14:textId="77777777" w:rsidR="00A8138F" w:rsidRDefault="00A8138F" w:rsidP="00A8138F">
      <w:pPr>
        <w:pStyle w:val="TextoNormal"/>
      </w:pPr>
    </w:p>
    <w:p w14:paraId="14A1BD97" w14:textId="77777777" w:rsidR="00A8138F" w:rsidRDefault="00A8138F" w:rsidP="00A8138F">
      <w:pPr>
        <w:pStyle w:val="TextoNormal"/>
      </w:pPr>
      <w:r>
        <w:t>Frente a ello, las razones de la sentencia para no tramitar las cuestiones prejudiciales solicitadas ni aplazar la deliberación y votación del recurso hasta la resolución de las ya planteadas no son, en modo alguno, convincentes. De hecho, la sentencia aborda el problema sometido a su consideración desde un determinado ángulo que, por su limitado enfoque, impide apreciar la verdadera dimensión del objeto de este recurso, ofreciendo una respuesta inadecuada.</w:t>
      </w:r>
    </w:p>
    <w:p w14:paraId="5415B5BD" w14:textId="77777777" w:rsidR="00A8138F" w:rsidRDefault="00A8138F" w:rsidP="00A8138F">
      <w:pPr>
        <w:pStyle w:val="TextoNormal"/>
      </w:pPr>
    </w:p>
    <w:p w14:paraId="4C0BBFC9" w14:textId="77777777" w:rsidR="00A8138F" w:rsidRDefault="00A8138F" w:rsidP="00A8138F">
      <w:pPr>
        <w:pStyle w:val="TextoNormal"/>
      </w:pPr>
      <w:r>
        <w:t>El argumento central que la sentencia emplea es el de la improcedencia, en general, de plantear cuestiones prejudiciales o de posponer el enjuiciamiento hasta la resolución de las ya planteadas por otros tribunales, en el marco de un proceso de control abstracto de constitucionalidad de una norma nacional, jugando para ello con las diferencias entre procesos de constitucionalidad de control abstracto (el recurso de inconstitucionalidad) frente al denominado de control concreto (la cuestión de inconstitucionalidad), en el que pasaría a primer plano el juicio de aplicabilidad y la eventual primacía del Derecho de la Unión. Lo anterior se completa con otros dos argumentos. El primero que ni nuestro ordenamiento constitucional, ni tampoco el Derecho de la Unión, exigen que, en un supuesto como el que ahora se examina, dicha precedencia se produzca en todo caso y mucho menos que se proyecte sobre un recurso de inconstitucionalidad donde, por concepto, no hay una exigencia de aplicabilidad de la norma legal que impida dilucidar su validez constitucional. El segundo es la afirmación de que la ley impugnada “está íntimamente relacionada con cuestiones políticas subyacentes —arraigadas en la historia de nuestro país y relativas a la estructura territorial del Estado y a la integración de nuestras nacionalidades y regiones (art. 2 CE)— que son eminentemente nacionales”, concluyendo que por ello “este tribunal, en el ejercicio de la alta responsabilidad que le confiere la Constitución española, no puede eludir ni deferir a terceros, sin que concurra ninguna razón jurídica que así lo exija, el enjuiciamiento constitucional que ahora le corresponde efectuar” (FJ 1.2.2).</w:t>
      </w:r>
    </w:p>
    <w:p w14:paraId="3DC46DDC" w14:textId="77777777" w:rsidR="00A8138F" w:rsidRDefault="00A8138F" w:rsidP="00A8138F">
      <w:pPr>
        <w:pStyle w:val="TextoNormal"/>
      </w:pPr>
    </w:p>
    <w:p w14:paraId="22C6E4EC" w14:textId="77777777" w:rsidR="00A8138F" w:rsidRDefault="00A8138F" w:rsidP="00A8138F">
      <w:pPr>
        <w:pStyle w:val="TextoNormal"/>
      </w:pPr>
      <w:r>
        <w:t xml:space="preserve">Además de que no los comparto, estimo que los elementos tenidos en cuenta para elaborar los referidos razonamientos de la sentencia no superan, a mi juicio, las exigencias de motivación reforzada impuestas por la jurisprudencia del Tribunal de Justicia de la Unión Europea para descartar el planteamiento de una cuestión prejudicial. Con ello, el Tribunal Constitucional se aparta deliberadamente de esa jurisprudencia y, en consecuencia, del propio sistema judicial europeo, lo que tiene una gravedad no ocultable, más aún cuando </w:t>
      </w:r>
      <w:r w:rsidRPr="00A8138F">
        <w:rPr>
          <w:i/>
        </w:rPr>
        <w:t>de facto</w:t>
      </w:r>
      <w:r>
        <w:t xml:space="preserve"> ese apartamiento se basa en la crítica al Tribunal de Justicia de la Unión Europea por la extensión de sus funciones —como la relativa a la determinación del alcance de la noción de Estado de Derecho— a ámbitos sobre los que la Unión Europea carece de competencias.</w:t>
      </w:r>
    </w:p>
    <w:p w14:paraId="5FDE6B28" w14:textId="77777777" w:rsidR="00A8138F" w:rsidRDefault="00A8138F" w:rsidP="00A8138F">
      <w:pPr>
        <w:pStyle w:val="TextoNormal"/>
      </w:pPr>
    </w:p>
    <w:p w14:paraId="2324591A" w14:textId="77777777" w:rsidR="00A8138F" w:rsidRDefault="00A8138F" w:rsidP="00A8138F">
      <w:pPr>
        <w:pStyle w:val="TextoNormal"/>
      </w:pPr>
      <w:r>
        <w:t>En cuanto al primero de ellos, conviene recordar que la “preferencia de la cuestión prejudicial” está sólidamente establecida en la doctrina constitucional, que puede resumirse en la afirmación de que resolver sobre la aplicabilidad de una norma, en función de su correspondencia o no con el Derecho de la Unión, es una cuestión que debe despejarse con carácter previo al enjuiciamiento de su constitucionalidad. Según lo expuesto en el ATC 30/2024, de 9 de abril, FJ 3, con cita de otros anteriores (AATC 168/2016, de 4 de octubre; 183/2016, de 15 de noviembre; 202/2016, de 13 de diciembre, y 116/2020, de 22 de septiembre), cuando un órgano judicial “considere en un proceso que una norma con rango de ley, aplicable al caso y de cuya validez dependa el fallo, puede ser contraria a la Constitución y, al propio tiempo, albergue dudas sobre su compatibilidad con el Derecho de la Unión Europea […]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w:t>
      </w:r>
      <w:r w:rsidRPr="00A8138F">
        <w:rPr>
          <w:i/>
        </w:rPr>
        <w:t xml:space="preserve"> (</w:t>
      </w:r>
      <w:r>
        <w:t>ex arts. 163 CE y 35.1 LOTC).</w:t>
      </w:r>
    </w:p>
    <w:p w14:paraId="3EBADDBB" w14:textId="77777777" w:rsidR="00A8138F" w:rsidRDefault="00A8138F" w:rsidP="00A8138F">
      <w:pPr>
        <w:pStyle w:val="TextoNormal"/>
      </w:pPr>
    </w:p>
    <w:p w14:paraId="3C75293D" w14:textId="77777777" w:rsidR="00A8138F" w:rsidRDefault="00A8138F" w:rsidP="00A8138F">
      <w:pPr>
        <w:pStyle w:val="TextoNormal"/>
      </w:pPr>
      <w:r>
        <w:t>Soy perfectamente consciente de que esta doctrina se ha establecido con ocasión del planteamiento de cuestiones de inconstitucionalidad, pero, a diferencia de la sentencia, no veo inconveniente alguno en su aplicación en el recurso de inconstitucionalidad. Amén de recordar que tan abstracto es el control de ley que lleva a cabo este tribunal en el recurso como en la cuestión de inconstitucionalidad, es de tener en cuenta que, frente al énfasis que la sentencia pone en la aplicabilidad de la norma al caso concreto, lo relevante aquí es salvaguardar tanto la primacía del Derecho de la Unión como el valor de una sentencia constitucional en un asunto tan trascendental como este. Parece lógico que, antes de abordar su correspondencia con la Constitución, deba descartarse o no la aplicación del precepto en función de su correcta adecuación al Derecho de la Unión. No creo procedente pronunciarse sobre la constitucionalidad en abstracto de una norma cuando existen dudas fundadas sobre su adecuación al Derecho de la Unión, así como sobre los efectos que pudiera tener en un proceso de esta naturaleza la eventual declaración por parte del Tribunal de Justicia de la Unión Europea de la contravención de una norma con el Derecho de la Unión, una vez se resuelvan las cuestiones prejudiciales ya promovidas o que se pudieran promover ante el Tribunal de Justicia. Es de todo punto evidente que lo aquí prematura y rápidamente decidido por la mayoría va a poder verse afectado por los futuros pronunciamientos del Tribunal de Justicia de la Unión Europea sobre esta cuestión, hasta el punto de correr el riesgo de que la Ley Orgánica 1/2024 devenga sencillamente inaplicable por su incompatibilidad con el Derecho de la Unión.</w:t>
      </w:r>
    </w:p>
    <w:p w14:paraId="42B5B78B" w14:textId="77777777" w:rsidR="00A8138F" w:rsidRDefault="00A8138F" w:rsidP="00A8138F">
      <w:pPr>
        <w:pStyle w:val="TextoNormal"/>
      </w:pPr>
    </w:p>
    <w:p w14:paraId="2B134C28" w14:textId="77777777" w:rsidR="00A8138F" w:rsidRDefault="00A8138F" w:rsidP="00A8138F">
      <w:pPr>
        <w:pStyle w:val="TextoNormal"/>
      </w:pPr>
      <w:r>
        <w:t>I.6.3. Además, la sentencia de la que discrepo ha orillado su deber de motivar la improcedencia de plantear las cuestiones prejudiciales promovidas por los recurrentes, lo que hubiera exigido contrastar, al menos provisoriamente, las normas del Derecho de la Unión invocadas, los preceptos de la Ley Orgánica 1/2024 impugnados y el objeto de las cuestiones prejudiciales ya planteadas ante el Tribunal de Justicia de la Unión Europea.</w:t>
      </w:r>
    </w:p>
    <w:p w14:paraId="7EEAB8D9" w14:textId="77777777" w:rsidR="00A8138F" w:rsidRDefault="00A8138F" w:rsidP="00A8138F">
      <w:pPr>
        <w:pStyle w:val="TextoNormal"/>
      </w:pPr>
    </w:p>
    <w:p w14:paraId="79ECDCD6" w14:textId="77777777" w:rsidR="00A8138F" w:rsidRDefault="00A8138F" w:rsidP="00A8138F">
      <w:pPr>
        <w:pStyle w:val="TextoNormal"/>
      </w:pPr>
      <w:r>
        <w:t>La mera existencia de varias cuestiones prejudiciales planteadas por otros tribunales españoles, y admitidas por el propio Tribunal de Justicia de la Unión Europea, extiende, al menos, una sombra de duda sobre la conformidad de la aquí enjuiciada Ley Orgánica 1/2024, de amnistía, con el Derecho de la Unión y pone de manifiesto la insostenibilidad de una posición como la sostenida por la sentencia, que ha descartado de forma categórica cualquier duda sobre la interpretación o validez de la ley impugnada en relación con el Derecho de la Unión. A mi juicio, esa posición, en la que se ha colocado el Tribunal Constitucional, es difícilmente compatible con el cumplimiento del deber de colaboración impuesto por el art. 4.3 TUE. Eso implica que, en caso de duda, es necesario —como se ha reiterado— plantear previamente la correspondiente cuestión prejudicial para garantizar una interpretación y aplicación uniforme del Derecho de la Unión; y, de forma consecuente, una vez resuelta la cuestión por el Tribunal de Justicia de la Unión Europea, su criterio debe ser asumido por el Tribunal Constitucional.</w:t>
      </w:r>
    </w:p>
    <w:p w14:paraId="67F104DE" w14:textId="77777777" w:rsidR="00A8138F" w:rsidRDefault="00A8138F" w:rsidP="00A8138F">
      <w:pPr>
        <w:pStyle w:val="TextoNormal"/>
      </w:pPr>
    </w:p>
    <w:p w14:paraId="5EDBAA23" w14:textId="77777777" w:rsidR="00A8138F" w:rsidRDefault="00A8138F" w:rsidP="00A8138F">
      <w:pPr>
        <w:pStyle w:val="TextoNormal"/>
      </w:pPr>
      <w:r>
        <w:t>No ha sido este planteamiento acogido en la sentencia, que se refugia en la reiteración del canon fijado en el ámbito de los procesos de control abstracto de constitucionalidad, en el que la doctrina del Tribunal Constitucional se resume en una idea: la irrelevancia del Derecho de la Unión como canon de control de constitucional de una norma nacional [se cita al efecto la STC 156/2021, de 16 de septiembre, FJ 2 b), entre otras]. Viene a decir, en suma, que se aborda el mismo objeto, la Ley Orgánica 1/2024, desde parámetros diferentes y aislados e incomunicables entre sí. Es decir, y en síntesis: si el Derecho de la Unión no se configura como un elemento del canon de control aplicable para determinar la constitucionalidad de la norma, resulta irrelevante plantear una cuestión prejudicial para la resolución de este recurso. La conclusión es que la adecuación de la norma al Derecho de la Unión no guardaría relación alguna con el objeto de este procedimiento. El argumento es falaz, ya que el hecho de la contravención con el Derecho de la Unión no sea canon de constitucionalidad de una norma, no impide que proceda plantear la cuestión prejudicial, porque, a diferencia de lo que parece deducirse de la sentencia, la decisión del Tribunal de Justicia de la Unión Europea sí hubiera tenido incidencia para la resolución de este recurso de inconstitucionalidad.</w:t>
      </w:r>
    </w:p>
    <w:p w14:paraId="1E841CA5" w14:textId="77777777" w:rsidR="00A8138F" w:rsidRDefault="00A8138F" w:rsidP="00A8138F">
      <w:pPr>
        <w:pStyle w:val="TextoNormal"/>
      </w:pPr>
    </w:p>
    <w:p w14:paraId="41BB36A0" w14:textId="77777777" w:rsidR="00A8138F" w:rsidRDefault="00A8138F" w:rsidP="00A8138F">
      <w:pPr>
        <w:pStyle w:val="TextoNormal"/>
      </w:pPr>
      <w:r>
        <w:t>Por eso, creo que la cuestión era más compleja que la respuesta que recibe en la sentencia, y no solo por la trascendencia y excepcionalidad de la propia norma enjuiciada en el recurso (que, como se expondrá, exigía un examen de fondo, y no meramente formal, sobre todos los elementos circunstanciales necesarios para evaluar la legitimidad constitucional de la Ley Orgánica 1/2024). También porque una norma española que afecte a una materia regulada por el Derecho de la Unión ha de ser interpretada y aplicada conforme a lo dispuesto en él por el supremo interprete de ese Derecho, de manera que, una vez que el Tribunal de Justicia de la Unión Europea se pronuncie al respecto, su criterio inevitablemente vinculará la decisión que deba adoptar el Tribunal Constitucional. De ahí que sea cuestionable la decisión de la sentencia pronunciándose sobre la constitucionalidad en abstracto de una norma cuando existen dudas fundadas sobre su adecuación al Derecho de la Unión, así como sobre los efectos que pudiera tener en un proceso de esta naturaleza la eventual declaración por parte del Tribunal de Justicia de la contravención de una norma con el Derecho de la Unión, una vez se resuelvan las cuestiones prejudiciales ya promovidas o que se pudieran promover ante el tribunal europeo.</w:t>
      </w:r>
    </w:p>
    <w:p w14:paraId="0BAEA32F" w14:textId="77777777" w:rsidR="00A8138F" w:rsidRDefault="00A8138F" w:rsidP="00A8138F">
      <w:pPr>
        <w:pStyle w:val="TextoNormal"/>
      </w:pPr>
    </w:p>
    <w:p w14:paraId="35C2493C" w14:textId="77777777" w:rsidR="00A8138F" w:rsidRDefault="00A8138F" w:rsidP="00A8138F">
      <w:pPr>
        <w:pStyle w:val="TextoNormal"/>
      </w:pPr>
      <w:r>
        <w:t>De ello se sigue, finalmente, que el hecho de que se trate de una muy trascendente cuestión de Derecho nacional es irrelevante desde la perspectiva de examen que debería haberse adoptado, pues el criterio a tener en cuenta no es el carácter nacional del asunto sino si, pese a ese carácter nacional, la cuestión debatida era susceptible de afectar al Derecho de la Unión y esto está fuera de toda duda razonable.</w:t>
      </w:r>
    </w:p>
    <w:p w14:paraId="4BCDB221" w14:textId="77777777" w:rsidR="00A8138F" w:rsidRDefault="00A8138F" w:rsidP="00A8138F">
      <w:pPr>
        <w:pStyle w:val="TextoNormal"/>
      </w:pPr>
    </w:p>
    <w:p w14:paraId="3970CAB8" w14:textId="77777777" w:rsidR="00A8138F" w:rsidRDefault="00A8138F" w:rsidP="00A8138F">
      <w:pPr>
        <w:pStyle w:val="TextoNormal"/>
      </w:pPr>
      <w:r>
        <w:t xml:space="preserve">I.6.4. Como ha recordado el profesor Tajadura Tejada (“La Comisión Europea y la autoamnistía”, </w:t>
      </w:r>
      <w:r w:rsidRPr="00A8138F">
        <w:rPr>
          <w:i/>
        </w:rPr>
        <w:t>El Correo Vasco</w:t>
      </w:r>
      <w:r>
        <w:t>, 18 de junio de 2025), la Ley de amnistía no solo ha sido recurrida ante el Tribunal Constitucional por su incompatibilidad con la Constitución, sino que ha sido también objeto de diversas cuestiones prejudiciales ante el Tribunal de Justicia de la Unión Europea por contradecir el Derecho de la Unión. La más elemental lógica jurídica y la prudencia exigen que sea el Tribunal de Justicia el que se pronuncie primero sobre si la Ley de amnistía es conforme o no con el Derecho europeo porque, si no lo es, ya no podría ser aplicada en España. El pronunciamiento del Tribunal de Justicia tendría el doble efecto de impedir la aplicación de la ley a todos los órganos jurisdiccionales y, por el principio de lealtad, de requerir a los poderes públicos españoles la inmediata expulsión de la norma del ordenamiento jurídico. Tras un pronunciamiento de ese tipo, el Tribunal Constitucional ya no tendría que resolver ninguna cuestión de inconstitucionalidad contra la norma al ser esta inaplicable. Y al decidir sobre los recursos debería hacerlo siguiendo la doctrina sentada por el Tribunal de Justicia de la Unión.</w:t>
      </w:r>
    </w:p>
    <w:p w14:paraId="0A0E0999" w14:textId="77777777" w:rsidR="00A8138F" w:rsidRDefault="00A8138F" w:rsidP="00A8138F">
      <w:pPr>
        <w:pStyle w:val="TextoNormal"/>
      </w:pPr>
    </w:p>
    <w:p w14:paraId="608E5DB0" w14:textId="77777777" w:rsidR="00A8138F" w:rsidRDefault="00A8138F" w:rsidP="00A8138F">
      <w:pPr>
        <w:pStyle w:val="TextoNormal"/>
      </w:pPr>
      <w:r>
        <w:t xml:space="preserve">El empeño del presidente del Tribunal Constitucional por resolver a toda prisa este recurso de inconstitucionalidad, sin esperar al pronunciamiento del Tribunal de Justicia de la Unión Europea, podría terminar en una desautorización de la sentencia del Tribunal Constitucional por un posterior pronunciamiento del Tribunal de Justicia. Este eventual conflicto entre jurisdicciones (constitucional y comunitaria) podía y debía haber sido evitado: hubiera bastado con que el Tribunal Constitucional hubiera seguido la que hasta ahora había sido su doctrina: en el caso de que haya cuestiones prejudiciales pendientes ante el Tribunal de Justicia de la Unión Europea, esperar a que este se pronuncie. Contrasta vivamente esta forma de proceder con la opinión no hace siquiera un año expresada por el presidente señor Conde-Pumpido (“El Tribunal Constitucional como valedor del Derecho de la Unión”, </w:t>
      </w:r>
      <w:r w:rsidRPr="00A8138F">
        <w:rPr>
          <w:i/>
        </w:rPr>
        <w:t>Revista Española de Derecho Europeo</w:t>
      </w:r>
      <w:r>
        <w:t>, núm. 91, 2024), cuando señalaba que “es una verdad incontestable que el Tribunal Constitucional coopera de forma muy relevante a la implementación del Derecho de la Unión en el ordenamiento jurídico español”, y que “resulta especialmente interesante como el Tribunal Constitucional también en el ejercicio del control de constitucionalidad de las leyes, tanto a través del recurso de inconstitucionalidad como de la cuestión de inconstitucionalidad, no solo asegura la supremacía de la Constitución, sino igualmente el respeto y la correcta aplicación del Derecho de la Unión”.</w:t>
      </w:r>
    </w:p>
    <w:p w14:paraId="187B7C07" w14:textId="77777777" w:rsidR="00A8138F" w:rsidRDefault="00A8138F" w:rsidP="00A8138F">
      <w:pPr>
        <w:pStyle w:val="TextoNormal"/>
      </w:pPr>
    </w:p>
    <w:p w14:paraId="617E42B2" w14:textId="77777777" w:rsidR="00A8138F" w:rsidRDefault="00A8138F" w:rsidP="00A8138F">
      <w:pPr>
        <w:pStyle w:val="TextoNormal"/>
      </w:pPr>
      <w:r>
        <w:t>Se ha recorrido por el Tribunal el camino inverso, con absoluto desconocimiento de los tratados de la Unión Europea y despreciando también su sistema judicial, con total desconsideración hacia el papel del Tribunal de Justicia de la Unión Europea como valedor del Derecho de la Unión, con el que el Tribunal Constitucional ha dejado de cooperar y por tanto de dialogar.</w:t>
      </w:r>
    </w:p>
    <w:p w14:paraId="5A943FFF" w14:textId="77777777" w:rsidR="00A8138F" w:rsidRDefault="00A8138F" w:rsidP="00A8138F">
      <w:pPr>
        <w:pStyle w:val="TextoNormal"/>
      </w:pPr>
    </w:p>
    <w:p w14:paraId="22D1E28C" w14:textId="77777777" w:rsidR="00A8138F" w:rsidRDefault="00A8138F" w:rsidP="00A8138F">
      <w:pPr>
        <w:pStyle w:val="TextoNormal"/>
      </w:pPr>
      <w:r>
        <w:t>I.7</w:t>
      </w:r>
      <w:r w:rsidRPr="00A8138F">
        <w:rPr>
          <w:i/>
        </w:rPr>
        <w:t>. La no completitud de los antecedentes de las sentenci</w:t>
      </w:r>
      <w:r>
        <w:t>as</w:t>
      </w:r>
    </w:p>
    <w:p w14:paraId="60668A8C" w14:textId="77777777" w:rsidR="00A8138F" w:rsidRDefault="00A8138F" w:rsidP="00A8138F">
      <w:pPr>
        <w:pStyle w:val="TextoNormal"/>
      </w:pPr>
    </w:p>
    <w:p w14:paraId="0135ED4F" w14:textId="77777777" w:rsidR="00A8138F" w:rsidRDefault="00A8138F" w:rsidP="00A8138F">
      <w:pPr>
        <w:pStyle w:val="TextoNormal"/>
      </w:pPr>
      <w:r>
        <w:t>Los antecedentes de una sentencia deben ser completos y los de la presente no lo son, pues se excluye indebidamente la referencia a actos o trámites sustantivos que no podían ocultarse del conocimiento de otros tribunales que pudieran ser llamados a resolver controversias sobre la misma ley enjuiciada.</w:t>
      </w:r>
    </w:p>
    <w:p w14:paraId="2FE90E94" w14:textId="77777777" w:rsidR="00A8138F" w:rsidRDefault="00A8138F" w:rsidP="00A8138F">
      <w:pPr>
        <w:pStyle w:val="TextoNormal"/>
      </w:pPr>
    </w:p>
    <w:p w14:paraId="35BA06C2" w14:textId="77777777" w:rsidR="00A8138F" w:rsidRDefault="00A8138F" w:rsidP="00A8138F">
      <w:pPr>
        <w:pStyle w:val="TextoNormal"/>
      </w:pPr>
      <w:r>
        <w:t>El penúltimo antecedente de la sentencia se refiere a la designación como ponente de la magistrada señora Montalbán Huertas, en sustitución del magistrado señor Macías Castaño, “de conformidad con el turno previamente establecido”. No es exacta la dicción de este antecedente 18, pues el acuerdo del presidente del Tribunal de 29 de enero de 2025 fue literalmente el de designar a dicha magistrada, “a quien por turno corresponde, ponente en el recurso de inconstitucionalidad núm. 6436-2024 […] en sustitución del magistrado Excmo. Sr. don José María Macías Castaño, al que correspondía la ponencia, al haberse estimado su recusación”. En cualquier caso, como ya he señalado, esas normas de reparto que se invocan son desconocidas; nunca han sido publicadas, como es exigible. El relato de antecedentes de la sentencia concluye con el 19, en el que, conforme a la fórmula de rigor, se alude a la providencia de señalamiento para deliberación y votación de la sentencia.</w:t>
      </w:r>
    </w:p>
    <w:p w14:paraId="30C47384" w14:textId="77777777" w:rsidR="00A8138F" w:rsidRDefault="00A8138F" w:rsidP="00A8138F">
      <w:pPr>
        <w:pStyle w:val="TextoNormal"/>
      </w:pPr>
    </w:p>
    <w:p w14:paraId="54FA7C6E" w14:textId="77777777" w:rsidR="00A8138F" w:rsidRDefault="00A8138F" w:rsidP="00A8138F">
      <w:pPr>
        <w:pStyle w:val="TextoNormal"/>
      </w:pPr>
      <w:r>
        <w:t>Sin embargo, se omite en el relato de antecedentes que los recurrentes, al tener conocimiento del ATC 35/2025, de 13 de mayo, que desestima el recurso de súplica contra el ATC 12/2025 (antecedente 12 de la sentencia), instaron la abstención del presidente del Tribunal a la vista del novedoso criterio que aquel auto confirmaba, solicitud que fue inadmitida por providencia de 10 de junio de 2025, contra la que interpusieron recurso de súplica, no resuelto en el momento de comenzar la deliberación de esta sentencia, como ya indiqué anteriormente. A mi entender, ese recurso de súplica debió ser examinado por este tribunal antes de dictar sentencia en el presente recurso, y además estimado, declarando la nulidad de la providencia impugnada, a fin de oír al presidente del Tribunal al objeto de que por este pudieran ofrecerse y darse a conocer a las partes las razones de su decisión de no abstenerse, en su caso, del conocimiento del presente asunto, como ya expresé en el debate inicial. Sin embargo, ese recurso ha quedado sin resolver.</w:t>
      </w:r>
    </w:p>
    <w:p w14:paraId="7DB39895" w14:textId="77777777" w:rsidR="00A8138F" w:rsidRDefault="00A8138F" w:rsidP="00A8138F">
      <w:pPr>
        <w:pStyle w:val="TextoNormal"/>
      </w:pPr>
    </w:p>
    <w:p w14:paraId="627916F6" w14:textId="77777777" w:rsidR="00A8138F" w:rsidRDefault="00A8138F" w:rsidP="00A8138F">
      <w:pPr>
        <w:pStyle w:val="TextoNormal"/>
      </w:pPr>
      <w:r>
        <w:t>También se omite en el relato de antecedentes la referencia al auto de 11 de junio de 2025, que, rechazando las peticiones de los recurrentes y del Senado, acuerda no haber lugar a la apertura de un trámite de audiencia relativa al posible planteamiento de cuestiones prejudiciales ante el Tribunal de Justicia de la Unión Europa y tampoco a suspender la deliberación y votación de la sentencia hasta que ese Tribunal resuelva las cuestiones prejudiciales que ante él penden sobre la Ley Orgánica 1/2024, de amnistía. Y se omite, asimismo, como ya he señalado, que tanto los recurrentes como el Senado han interpuesto contra el auto referido sendos recursos de súplica, que este tribunal tampoco había resuelto a la fecha de dictar la sentencia, como hubiera sido necesario.</w:t>
      </w:r>
    </w:p>
    <w:p w14:paraId="00C07FD9" w14:textId="77777777" w:rsidR="00A8138F" w:rsidRDefault="00A8138F" w:rsidP="00A8138F">
      <w:pPr>
        <w:pStyle w:val="TextoNormal"/>
      </w:pPr>
    </w:p>
    <w:p w14:paraId="114D5589" w14:textId="77777777" w:rsidR="00A8138F" w:rsidRDefault="00A8138F" w:rsidP="00A8138F">
      <w:pPr>
        <w:pStyle w:val="TextoNormal"/>
      </w:pPr>
      <w:r>
        <w:t>I.8</w:t>
      </w:r>
      <w:r w:rsidRPr="00A8138F">
        <w:rPr>
          <w:i/>
        </w:rPr>
        <w:t>. La acelerada deliberación y votación de la sentenc</w:t>
      </w:r>
      <w:r>
        <w:t>ia</w:t>
      </w:r>
    </w:p>
    <w:p w14:paraId="7D0A5290" w14:textId="77777777" w:rsidR="00A8138F" w:rsidRDefault="00A8138F" w:rsidP="00A8138F">
      <w:pPr>
        <w:pStyle w:val="TextoNormal"/>
      </w:pPr>
    </w:p>
    <w:p w14:paraId="35985604" w14:textId="77777777" w:rsidR="00A8138F" w:rsidRDefault="00A8138F" w:rsidP="00A8138F">
      <w:pPr>
        <w:pStyle w:val="TextoNormal"/>
      </w:pPr>
      <w:r>
        <w:t>Tras poco más de nueve horas de deliberación de la ponencia presentada por la vicepresidenta del Tribunal, a lo largo de tres mañanas, entre el lunes 23 y el miércoles 25 de junio, se señaló por el presidente la votación para el siguiente jueves 26, a las 10:30 horas, anunciando al concluir la sesión del miércoles 25 que por la ponente se remitiría a los magistrados el texto con las modificaciones que propondría de la ponencia. Y en efecto así lo hizo la ponente, de suerte que una hora antes de la señalada para la votación de la sentencia se dejó en la mesa del despacho de cada uno de los magistrados, sin aviso previo alguno y sin confirmación de entrega, un sobre que contenía el ejemplar de la ponencia con las modificaciones introducidas, que afectaban sustancialmente al texto inicialmente repartido y sobre el que había girado la deliberación durante los días 23, 24 y 25 de junio.</w:t>
      </w:r>
    </w:p>
    <w:p w14:paraId="239C6221" w14:textId="77777777" w:rsidR="00A8138F" w:rsidRDefault="00A8138F" w:rsidP="00A8138F">
      <w:pPr>
        <w:pStyle w:val="TextoNormal"/>
      </w:pPr>
    </w:p>
    <w:p w14:paraId="4E089FEE" w14:textId="77777777" w:rsidR="00A8138F" w:rsidRDefault="00A8138F" w:rsidP="00A8138F">
      <w:pPr>
        <w:pStyle w:val="TextoNormal"/>
      </w:pPr>
      <w:r>
        <w:t>Quien este voto suscribe solicitó disponer de tiempo suficiente para estudiar el nuevo texto repartido por la ponente, pero el presidente rechazó esta petición y dispuso que estaba ya señalada la votación de la sentencia y no procedía dilatarla. Se confirma así, una vez más, que en el proceso de gestación de esta sentencia, y ya en el momento mismo de expresión de la voluntad decisoria del Pleno del Tribunal, ha primado la premura, el ritmo forzado, y no el sosiego necesario que debe caracterizar a todo proceso jurisdiccional.</w:t>
      </w:r>
    </w:p>
    <w:p w14:paraId="718C713F" w14:textId="77777777" w:rsidR="00A8138F" w:rsidRDefault="00A8138F" w:rsidP="00A8138F">
      <w:pPr>
        <w:pStyle w:val="TextoNormal"/>
      </w:pPr>
    </w:p>
    <w:p w14:paraId="4588632D" w14:textId="77777777" w:rsidR="00A8138F" w:rsidRDefault="00A8138F" w:rsidP="00A8138F">
      <w:pPr>
        <w:pStyle w:val="TextoNormal"/>
      </w:pPr>
      <w:r>
        <w:t xml:space="preserve">I.9. </w:t>
      </w:r>
      <w:r w:rsidRPr="00A8138F">
        <w:rPr>
          <w:i/>
        </w:rPr>
        <w:t>El Tribunal Constitucional debe ser ajeno a los aplausos y a las críticas, pero no debe serlo ni a la doctrina académica, mayoritariamente contraria a la constitucionalidad de la Ley de amnistía, ni a la Comisión de Venecia</w:t>
      </w:r>
    </w:p>
    <w:p w14:paraId="7D82120A" w14:textId="77777777" w:rsidR="00A8138F" w:rsidRDefault="00A8138F" w:rsidP="00A8138F">
      <w:pPr>
        <w:pStyle w:val="TextoNormal"/>
      </w:pPr>
    </w:p>
    <w:p w14:paraId="0FAE6880" w14:textId="77777777" w:rsidR="00A8138F" w:rsidRDefault="00A8138F" w:rsidP="00A8138F">
      <w:pPr>
        <w:pStyle w:val="TextoNormal"/>
      </w:pPr>
      <w:r>
        <w:t>Ciertamente, como dijo el presidente del Tribunal Constitucional don Francisco Tomás y Valiente, cuyo retrato está colgado en el salón de Plenos, este tribunal no puede “obsesionarse por el eco de sus resoluciones”, por los aplausos o las censuras, pero tampoco puede hacer oídos sordos a las consideraciones de la doctrina académica que, aunque no sea fuente del Derecho, sí tiene el cualificado valor de informar e ilustrar la interpretación periódica de este. Dar la espalda a la que se conoce en el mundo académico como la mejor doctrina —por lo demás ampliamente mayoritaria— supone apartarse de la forma en que con carácter general se abordan y resuelven los problemas jurídicos; y no hacer caso alguno de un informe, objetivo e independiente como el de la Comisión Europea para la Democracia a través del Derecho (Comisión de Venecia), es aun de mayor gravedad, pues supone apartarse de los estándares del Estado de Derecho, de la interpretación que este relevante organismo del Consejo de Europa realiza de nuestro acervo o patrimonio constitucional común.</w:t>
      </w:r>
    </w:p>
    <w:p w14:paraId="5D20DF44" w14:textId="77777777" w:rsidR="00A8138F" w:rsidRDefault="00A8138F" w:rsidP="00A8138F">
      <w:pPr>
        <w:pStyle w:val="TextoNormal"/>
      </w:pPr>
    </w:p>
    <w:p w14:paraId="5E759274" w14:textId="77777777" w:rsidR="00A8138F" w:rsidRDefault="00A8138F" w:rsidP="00A8138F">
      <w:pPr>
        <w:pStyle w:val="TextoNormal"/>
      </w:pPr>
      <w:r>
        <w:t>No hablamos de asumir acríticamente los planteamientos doctrinales, o el informe de la Comisión de Venecia sobre la iniciativa parlamentaria que ha dado lugar a la Ley Orgánica 1/2024, de amnistía, ni tampoco de reproducir exactamente la propia doctrina sentada por la jurisprudencia constitucional, pero sí de excluir o hacer tabla rasa por una mayoría coyuntural del Tribunal Constitucional, en un contexto determinado, y más aún cuando, como —según aparece reflejado en algunos medios de comunicación— el propio presidente del Tribunal, ha señalado que “notamos las presiones, directas e indirectas, de grupo de poder, políticos, económicos, mediáticos”. Yo, por mi parte, no he notado presión alguna, sino que tanto en la deliberación como en este voto particular actúo con plena libertad de criterio, por supuesto ajustado íntegramente a la Constitución.</w:t>
      </w:r>
    </w:p>
    <w:p w14:paraId="59CCA00A" w14:textId="77777777" w:rsidR="00A8138F" w:rsidRDefault="00A8138F" w:rsidP="00A8138F">
      <w:pPr>
        <w:pStyle w:val="TextoNormal"/>
      </w:pPr>
    </w:p>
    <w:p w14:paraId="0790C363" w14:textId="77777777" w:rsidR="00A8138F" w:rsidRDefault="00A8138F" w:rsidP="00A8138F">
      <w:pPr>
        <w:pStyle w:val="TextoNormal"/>
      </w:pPr>
      <w:r>
        <w:t>II</w:t>
      </w:r>
      <w:r w:rsidRPr="00A8138F">
        <w:rPr>
          <w:i/>
        </w:rPr>
        <w:t>. La amnistía no está prevista en la Constitución. Necesidad de cobertura constitucional expresa dada su naturale</w:t>
      </w:r>
      <w:r>
        <w:t>za</w:t>
      </w:r>
    </w:p>
    <w:p w14:paraId="585F5D5C" w14:textId="77777777" w:rsidR="00A8138F" w:rsidRDefault="00A8138F" w:rsidP="00A8138F">
      <w:pPr>
        <w:pStyle w:val="TextoNormal"/>
      </w:pPr>
    </w:p>
    <w:p w14:paraId="5B4A618B" w14:textId="77777777" w:rsidR="00A8138F" w:rsidRDefault="00A8138F" w:rsidP="00A8138F">
      <w:pPr>
        <w:pStyle w:val="TextoNormal"/>
      </w:pPr>
      <w:r>
        <w:t>II.1</w:t>
      </w:r>
      <w:r w:rsidRPr="00A8138F">
        <w:rPr>
          <w:i/>
        </w:rPr>
        <w:t>. La falaz construcción según la cual los poderes públicos pueden hacer todo lo que no se les prohíba expresamen</w:t>
      </w:r>
      <w:r>
        <w:t>te</w:t>
      </w:r>
    </w:p>
    <w:p w14:paraId="700CC74B" w14:textId="77777777" w:rsidR="00A8138F" w:rsidRDefault="00A8138F" w:rsidP="00A8138F">
      <w:pPr>
        <w:pStyle w:val="TextoNormal"/>
      </w:pPr>
    </w:p>
    <w:p w14:paraId="210F3915" w14:textId="77777777" w:rsidR="00A8138F" w:rsidRDefault="00A8138F" w:rsidP="00A8138F">
      <w:pPr>
        <w:pStyle w:val="TextoNormal"/>
      </w:pPr>
      <w:r>
        <w:t xml:space="preserve">La ausencia de una prohibición expresa en la Constitución, o la omisión de toda referencia explícita a la institución de la amnistía en esta, lleva —sorprendentemente— a la sentencia a afirmar que el poder legislativo queda habilitado para aprobar una norma con rango de ley orgánica que permita la concesión de amnistías en determinadas circunstancias excepcionales, como se afirma que sucede en el caso de la Ley Orgánica 1/2024. Como bien han señalado prestigiosos juristas, entre ellos el profesor Tomás Ramón Fernández (“Amnistía: las razones de la sinrazón”, en </w:t>
      </w:r>
      <w:r w:rsidRPr="00A8138F">
        <w:rPr>
          <w:i/>
        </w:rPr>
        <w:t>La amnistía en España: Constitución y Estado de Derecho</w:t>
      </w:r>
      <w:r>
        <w:t>, A Coruña, 2024), que la Constitución no prohíba expresamente la amnistía no quiere decir en absoluto que la permita, sino justo lo contrario.</w:t>
      </w:r>
    </w:p>
    <w:p w14:paraId="03B82BFC" w14:textId="77777777" w:rsidR="00A8138F" w:rsidRDefault="00A8138F" w:rsidP="00A8138F">
      <w:pPr>
        <w:pStyle w:val="TextoNormal"/>
      </w:pPr>
    </w:p>
    <w:p w14:paraId="7B334BE1" w14:textId="77777777" w:rsidR="00A8138F" w:rsidRDefault="00A8138F" w:rsidP="00A8138F">
      <w:pPr>
        <w:pStyle w:val="TextoNormal"/>
      </w:pPr>
      <w:r>
        <w:t>Para sostener su conclusión, la sentencia parte de una serie de premisas que en modo alguno puedo compartir. En primer lugar (FJ 3.2.1 y 3.2.2), se dice que la configuración del Estado como democrático y, en coherencia con ello, la consagración del pluralismo político como valor superior del ordenamiento jurídico (art. 1.1 CE), “imponen una concepción de la Constitución como una norma abierta”, concepto que solamente se enuncia pero que en ningún momento se define con claridad, del que se derivaría que la Constitución no vincula positivamente al legislador, sino que, antes al contrario, la Constitución parte del principio de la “vinculación negativa” del legislador: este puede hacerlo todo, menos lo prohibido explícita o implícitamente por la Constitución. Consuma de este modo la actual mayoría del Tribunal una deriva interpretativa que, desde la apelación a la doctrina norteamericana de la Constitución viva (</w:t>
      </w:r>
      <w:r w:rsidRPr="00A8138F">
        <w:rPr>
          <w:i/>
        </w:rPr>
        <w:t>living constitution</w:t>
      </w:r>
      <w:r>
        <w:t>), para justificar una pretendida “interpretación evolutiva” de la Norma Fundamental (plasmada en sentencias tan significativas como la STC 19/2023, de 22 de marzo, y la STC 44/2023, de 9 de mayo, entre otras), llega a la presente sentencia, que concibe a la Constitución como una norma “abierta”, conforme a la cual el legislador (las Cortes Generales, más precisamente), al no existir una prohibición de la amnistía en la Constitución de 1978, no necesitaría de una expresa habilitación constitucional para conceder amnistías.</w:t>
      </w:r>
    </w:p>
    <w:p w14:paraId="7726A23F" w14:textId="77777777" w:rsidR="00A8138F" w:rsidRDefault="00A8138F" w:rsidP="00A8138F">
      <w:pPr>
        <w:pStyle w:val="TextoNormal"/>
      </w:pPr>
    </w:p>
    <w:p w14:paraId="4397C73D" w14:textId="77777777" w:rsidR="00A8138F" w:rsidRDefault="00A8138F" w:rsidP="00A8138F">
      <w:pPr>
        <w:pStyle w:val="TextoNormal"/>
      </w:pPr>
      <w:r>
        <w:t>Esas afirmaciones de la sentencia que nos ocupa suponen, digámoslo sin ambages, una grave mixtificación, que distorsiona el correcto entendimiento de lo que significa una Constitución normativa, como lo es la nuestra, y el verdadero significado del pluralismo político. La distorsión a la que acude la sentencia es manipulativa y consecuentemente insostenible según los más elementales principios de la interpretación jurídica del Estado de Derecho. La sentencia invierte las categorías para inscribirse en una concepción o corriente de pensamiento según la cual el Derecho debe quedar sometido a la política, lo que se traduce en la libertad omnímoda del legislador, esto es, de las coyunturales mayorías parlamentarias.</w:t>
      </w:r>
    </w:p>
    <w:p w14:paraId="4CBDAEBA" w14:textId="77777777" w:rsidR="00A8138F" w:rsidRDefault="00A8138F" w:rsidP="00A8138F">
      <w:pPr>
        <w:pStyle w:val="TextoNormal"/>
      </w:pPr>
    </w:p>
    <w:p w14:paraId="3464D324" w14:textId="77777777" w:rsidR="00A8138F" w:rsidRDefault="00A8138F" w:rsidP="00A8138F">
      <w:pPr>
        <w:pStyle w:val="TextoNormal"/>
      </w:pPr>
      <w:r>
        <w:t>Conviene recordar que el principio de “vinculación negativa” fue enunciado por Franz Julius Stahl, el “jurista reaccionario” del que hablaba García de Enterría, en el contexto histórico de la monarquía prusiana de la segunda mitad del siglo XIX, y sirvió como aparato dogmático para que el canciller Bismarck impusiera una orientación autoritaria a su política. No es extraño que el principio que se acaba imponiendo en el siglo XX en los sistemas parlamentarios fuera justamente el contrario, esto es, es el de la “vinculación positiva” de los poderes públicos, incluido el legislador: estos necesitan de una atribución constitucional expresa de potestades. A diferencia del ciudadano, para el que sí rige el principio de “vinculación negativa” (puede hacerse todo lo que no está prohibido), el legislador queda sujeto al principio de “vinculación positiva”: tiene las potestades que la Constitución le atribuye, las cuales, a su vez, están sujetas a los límites que la Norma Fundamental establece, como son el respeto a los principios, valores y derechos que esta consagra. Dicho de otro modo, en un Estado de libertades, un Estado democrático de Derecho, como el nuestro (art. 1.1 CE), los ciudadanos pueden hacer todo aquello que las normas no prohíban, porque en este caso el principio, la regla general, es la libertad (</w:t>
      </w:r>
      <w:r w:rsidRPr="00A8138F">
        <w:rPr>
          <w:i/>
        </w:rPr>
        <w:t>Permissum quia non prohibitur</w:t>
      </w:r>
      <w:r>
        <w:t>). Para los poderes públicos la regla es exactamente la contraria: solo pueden hacer aquello que la ley (en el caso del poder legislativo, la Constitución) les permi</w:t>
      </w:r>
      <w:r w:rsidRPr="00A8138F">
        <w:rPr>
          <w:i/>
        </w:rPr>
        <w:t>te (Prohibitur quia non permi</w:t>
      </w:r>
      <w:r>
        <w:t>ssum).</w:t>
      </w:r>
    </w:p>
    <w:p w14:paraId="2534A2B6" w14:textId="77777777" w:rsidR="00A8138F" w:rsidRDefault="00A8138F" w:rsidP="00A8138F">
      <w:pPr>
        <w:pStyle w:val="TextoNormal"/>
      </w:pPr>
    </w:p>
    <w:p w14:paraId="269D32E8" w14:textId="77777777" w:rsidR="00A8138F" w:rsidRDefault="00A8138F" w:rsidP="00A8138F">
      <w:pPr>
        <w:pStyle w:val="TextoNormal"/>
      </w:pPr>
      <w:r>
        <w:t>II.2</w:t>
      </w:r>
      <w:r w:rsidRPr="00A8138F">
        <w:rPr>
          <w:i/>
        </w:rPr>
        <w:t>. Entre las funciones de las Cortes Generales la Constitución no incluye la aprobación de amnistí</w:t>
      </w:r>
      <w:r>
        <w:t>as</w:t>
      </w:r>
    </w:p>
    <w:p w14:paraId="390B8BBD" w14:textId="77777777" w:rsidR="00A8138F" w:rsidRDefault="00A8138F" w:rsidP="00A8138F">
      <w:pPr>
        <w:pStyle w:val="TextoNormal"/>
      </w:pPr>
    </w:p>
    <w:p w14:paraId="2DDACD6A" w14:textId="77777777" w:rsidR="00A8138F" w:rsidRDefault="00A8138F" w:rsidP="00A8138F">
      <w:pPr>
        <w:pStyle w:val="TextoNormal"/>
      </w:pPr>
      <w:r>
        <w:t>Defender lo contrario, como hace la sentencia, es, lisa y llanamente, negar la sujeción de los poderes públicos a la Constitución (con expreso vaciamiento del claro enunciado del art. 9.1 CE) y limitar la capacidad de esta de regular y ordenar esas potestades de los poderes públicos en garantía de los derechos de todos los ciudadanos. De este modo, como respuesta a la necesidad de habilitación constitucional expresa, es como ha de entenderse el art. 66.2 CE, cuando establece que “Las Cortes Generales ejercen la potestad legislativa del Estado, aprueban sus presupuestos, controlan la acción del Gobierno y tienen las demás competencias que les atribuya la Constitución”. Entre esas potestades constitucionalmente atribuidas al legislador no se encuentra la de aprobar amnistías. No existe en la Constitución una atribución de semejante potestad excepcional, la cual, por contravenir principios constitucionales básicos, solamente podría ser atribuida a las Cortes Generales por nuestra Norma Fundamental. Sin una previsión expresa en la Constitución que permita una institución excepcional como es la amnistía no cabe otorgar esta. Tan excepcionalísima es una amnistía en el Estado democrático de Derecho —en cuanto supone que se suspende para sus beneficiarios su sometimiento a la ley—, que en aquellos países en que sí se prevé es la Constitución la que lo hace, como sucede en Italia, en donde además se requiere para su aprobación la misma mayoría que para la reforma constitucional.</w:t>
      </w:r>
    </w:p>
    <w:p w14:paraId="3191574E" w14:textId="77777777" w:rsidR="00A8138F" w:rsidRDefault="00A8138F" w:rsidP="00A8138F">
      <w:pPr>
        <w:pStyle w:val="TextoNormal"/>
      </w:pPr>
    </w:p>
    <w:p w14:paraId="1A17D6A5" w14:textId="77777777" w:rsidR="00A8138F" w:rsidRDefault="00A8138F" w:rsidP="00A8138F">
      <w:pPr>
        <w:pStyle w:val="TextoNormal"/>
      </w:pPr>
      <w:r>
        <w:t>Sí se refiere la Constitución al llamado “derecho de gracia” (del que, en el plano teórico tanto el indulto como la amnistía serían modalidades), en general, en el art. 62 i), al delimitar las potestades del rey, al que se confiere su ejercicio con arreglo a la ley, “que no podrá autorizar indultos generales”. Asimismo, de manera especial, en el art. 87.3, para excluir la “prerrogativa de gracia” en la iniciativa legislativa popular, y en el art. 102.3, de nuevo para excluir la aplicación de la “prerrogativa real de gracia” en todos los supuestos de responsabilidad criminal del presidente y de los demás miembros del Gobierno. En ningún momento se contempla la amnistía en la Constitución; y este silencio constitucional no obedece a un descuido u olvido del constituyente, sino que, antes al contrario, el silencio constitucional es el resultado de la decisión de este de excluir la amnistía de la Norma Fundamental, cuestión sobre la que más adelante volveré.</w:t>
      </w:r>
    </w:p>
    <w:p w14:paraId="469E0DC6" w14:textId="77777777" w:rsidR="00A8138F" w:rsidRDefault="00A8138F" w:rsidP="00A8138F">
      <w:pPr>
        <w:pStyle w:val="TextoNormal"/>
      </w:pPr>
    </w:p>
    <w:p w14:paraId="13663A30" w14:textId="77777777" w:rsidR="00A8138F" w:rsidRDefault="00A8138F" w:rsidP="00A8138F">
      <w:pPr>
        <w:pStyle w:val="TextoNormal"/>
      </w:pPr>
      <w:r>
        <w:t>El legislador, como cualquier poder público, está sujeto a la Constitución (art. 9.1 CE) y el Tribunal Constitucional es el garante de que esa sujeción se respete. Por ello, es necesario advertir que, frente a lo que sostiene la sentencia, en el Estado democrático de Derecho la regla de principio es la vinculación positiva del legislador: este puede hacer aquello que la Constitución le permite (obviamente, en sentido inverso, no puede hacer aquello que la Constitución, expresa o implícitamente, le prohíbe). Y al Tribunal Constitucional, como garante último del equilibrio de poderes constitucionalmente establecido, le incumbe limitar la capacidad de actuación del legislador cuando este exceda de los márgenes constitucionales al vulnerar cualesquiera de sus principios y reglas, como sucede en el caso de la Ley Orgánica 1/2024, al otorgar una amnistía para la que el poder legislativo carece de habilitación en la Constitución.</w:t>
      </w:r>
    </w:p>
    <w:p w14:paraId="623FBF2F" w14:textId="77777777" w:rsidR="00A8138F" w:rsidRDefault="00A8138F" w:rsidP="00A8138F">
      <w:pPr>
        <w:pStyle w:val="TextoNormal"/>
      </w:pPr>
    </w:p>
    <w:p w14:paraId="344C97B0" w14:textId="77777777" w:rsidR="00A8138F" w:rsidRDefault="00A8138F" w:rsidP="00A8138F">
      <w:pPr>
        <w:pStyle w:val="TextoNormal"/>
      </w:pPr>
      <w:r>
        <w:t>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siempre según la interpretación que de los mismos haga, en el ejercicio de su irrenunciable responsabilidad constitucional, este tribunal. Como se recuerda, en otro contexto, en la STC 185/2016, de 3 de noviembre, FJ 3 b), “al legislador le corresponde respetar los límites materiales y formales del texto constitucional, y a este tribunal controlar, en su función de intérprete supremo, el cumplimiento de estos límites”. Pues lo contrario supondría, como declara la STC 49/2008, de 9 de abril, FJ 3, “no solo admitir una zona inmune al control de constitucionalidad, sino también hacer dejación de nuestra función en el ámbito tan decisivo para la propia supremacía de la Constitución como la jurisdicción de este tribunal”.</w:t>
      </w:r>
    </w:p>
    <w:p w14:paraId="0BA9B412" w14:textId="77777777" w:rsidR="00A8138F" w:rsidRDefault="00A8138F" w:rsidP="00A8138F">
      <w:pPr>
        <w:pStyle w:val="TextoNormal"/>
      </w:pPr>
    </w:p>
    <w:p w14:paraId="4ADD8240" w14:textId="77777777" w:rsidR="00A8138F" w:rsidRDefault="00A8138F" w:rsidP="00A8138F">
      <w:pPr>
        <w:pStyle w:val="TextoNormal"/>
      </w:pPr>
      <w:r>
        <w:t xml:space="preserve">Los órganos públicos, como las Cortes Generales, no pueden hacer todo lo que no está prohibido, sino solo lo que está expresamente permitido. La regla </w:t>
      </w:r>
      <w:r w:rsidRPr="00A8138F">
        <w:rPr>
          <w:i/>
        </w:rPr>
        <w:t>quae non sunt permissa prohibita intelliguntur</w:t>
      </w:r>
      <w:r>
        <w:t xml:space="preserve"> (lo que no está permitido, se entiende prohibido), que recoge el principio de vinculación positiva que rige en nuestro ordenamiento jurídico las relaciones entre el poder público y el Derecho, no permite a cualquiera de los poderes del Estado, incluido el legislativo, extenderse a aquellos ámbitos para los que no tienen habilitación constitucional. Y esta, en relación con la amnistía, no se presume implícita, ni ha sido autorizada por la Constitución.</w:t>
      </w:r>
    </w:p>
    <w:p w14:paraId="145B749E" w14:textId="77777777" w:rsidR="00A8138F" w:rsidRDefault="00A8138F" w:rsidP="00A8138F">
      <w:pPr>
        <w:pStyle w:val="TextoNormal"/>
      </w:pPr>
    </w:p>
    <w:p w14:paraId="6C9DD34A" w14:textId="77777777" w:rsidR="00A8138F" w:rsidRDefault="00A8138F" w:rsidP="00A8138F">
      <w:pPr>
        <w:pStyle w:val="TextoNormal"/>
      </w:pPr>
      <w:r>
        <w:t xml:space="preserve">II.3. </w:t>
      </w:r>
      <w:r w:rsidRPr="00A8138F">
        <w:rPr>
          <w:i/>
        </w:rPr>
        <w:t>La concepción omnímoda del Parlamento es contraria al art. 9.1 de la Constitución. La libertad de configuración de que el legislador dispone no le faculta para actuar libérrimamente, como hace el autor de la ley recurrida</w:t>
      </w:r>
    </w:p>
    <w:p w14:paraId="3E20386E" w14:textId="77777777" w:rsidR="00A8138F" w:rsidRDefault="00A8138F" w:rsidP="00A8138F">
      <w:pPr>
        <w:pStyle w:val="TextoNormal"/>
      </w:pPr>
    </w:p>
    <w:p w14:paraId="479B1EFB" w14:textId="77777777" w:rsidR="00A8138F" w:rsidRDefault="00A8138F" w:rsidP="00A8138F">
      <w:pPr>
        <w:pStyle w:val="TextoNormal"/>
      </w:pPr>
      <w:r>
        <w:t>El Parlamento puede regular aquello que la Constitución le permite. El poder legislativo, en cuanto poder constituido, únicamente dispone de aquellas potestades que se amparen en una habilitación constitucional. La pretendida contraposición entre el principio democrático y la legalidad constitucional supone una grave distorsión de los valores esenciales en que se sustenta todo el orden constitucional, es decir, la quiebra más absoluta y determinante de las reglas elementales en las que se basa un Estado Democrático de Derecho. El poder legislativo, en suma, no ostenta una potestad omnímoda para poder configurar “libremente” cualquier “decisión política” ni goza de una potestad omnímoda solo limitada por cláusulas expresamente prohibitivas, sino que solo puede hacer aquello que la Constitución le permite. Esa es la consecuencia en todos los sistemas normativos en los que existe una Constitución rígida, en la que los poderes y públicos están sujetos a esta, como establece expresamente el art. 9.1 CE. La Constitución es la fuente de legitimación de la existencia y de las atribuciones de que están dotados aquellos. De esta suerte, cualquier decisión de los poderes públicos debe configurarse conforme a las exigencias que impone la Constitución.</w:t>
      </w:r>
    </w:p>
    <w:p w14:paraId="19E681E4" w14:textId="77777777" w:rsidR="00A8138F" w:rsidRDefault="00A8138F" w:rsidP="00A8138F">
      <w:pPr>
        <w:pStyle w:val="TextoNormal"/>
      </w:pPr>
    </w:p>
    <w:p w14:paraId="57E8FCBF" w14:textId="77777777" w:rsidR="00A8138F" w:rsidRDefault="00A8138F" w:rsidP="00A8138F">
      <w:pPr>
        <w:pStyle w:val="TextoNormal"/>
      </w:pPr>
      <w:r>
        <w:t>Se asienta la sentencia en este punto en una insostenible concepción, por más que algunos la repitan. El Parlamento no es soberano, en las Cortes Generales no reside la soberanía nacional; no son, por tanto, el supremo hacedor. Las Cortes Generales (art. 66.2 CE) solo representan al pueblo español (nada más y nada menos), que es el dueño del poder, el titular de la soberanía nacional (art. 1.2 CE). Tampoco el Tribunal Constitucional es, por cierto, en su condición de intérprete supremo de la Constitución (art. 1.1 LOTC), el dueño de esta, como parece desprenderse de la sentencia, sino su guardián y garante fundamental.</w:t>
      </w:r>
    </w:p>
    <w:p w14:paraId="2C7DFA99" w14:textId="77777777" w:rsidR="00A8138F" w:rsidRDefault="00A8138F" w:rsidP="00A8138F">
      <w:pPr>
        <w:pStyle w:val="TextoNormal"/>
      </w:pPr>
    </w:p>
    <w:p w14:paraId="475C4C9D" w14:textId="77777777" w:rsidR="00A8138F" w:rsidRDefault="00A8138F" w:rsidP="00A8138F">
      <w:pPr>
        <w:pStyle w:val="TextoNormal"/>
      </w:pPr>
      <w:r>
        <w:t>Por eso no es correcta la afirmación de la sentencia de la que disiento según la cual nuestra jurisprudencia constitucional ha venido proclamando desde sus inicios el principio de vinculación negativa del legislador a la Constitución. Lo que el Tribunal Constitucional viene afirmando ya desde su STC 11/1981, de 8 de abril, FJ 7, es que la pluralidad de opciones que la Constitución abre al legislador deriva de la concepción de esta como un marco de coincidencias lo suficientemente amplio como para permitir alternativas diversas, sin que necesariamente se imponga una de modo exclusivo y excluyente, salvo en aquellos puntos en que la Constitución de modo inequívoco e incondicionado lo establezca.</w:t>
      </w:r>
    </w:p>
    <w:p w14:paraId="3E5B41FC" w14:textId="77777777" w:rsidR="00A8138F" w:rsidRDefault="00A8138F" w:rsidP="00A8138F">
      <w:pPr>
        <w:pStyle w:val="TextoNormal"/>
      </w:pPr>
    </w:p>
    <w:p w14:paraId="3D4A4DD9" w14:textId="77777777" w:rsidR="00A8138F" w:rsidRDefault="00A8138F" w:rsidP="00A8138F">
      <w:pPr>
        <w:pStyle w:val="TextoNormal"/>
      </w:pPr>
      <w:r>
        <w:t>Ciertamente, el legislador dispone de una amplia “libertad de configuración” (</w:t>
      </w:r>
      <w:r w:rsidRPr="00A8138F">
        <w:rPr>
          <w:i/>
        </w:rPr>
        <w:t>Gestaltungsfreiheit</w:t>
      </w:r>
      <w:r>
        <w:t>), como consecuencia del pluralismo político consustancial al Estado democrático de Derecho (art. 1.1 CE). Pero ello en modo alguno permite concebir la Constitución, según pretende la sentencia, como una norma “abierta” a la libérrima decisión del legislador, difuminando, hasta hacerla desaparecer, la nítida distinción entre poderes constituyentes y poderes constituidos. Como este tribunal afirmó en su capital STC 76/1983, de 5 de agosto, FJ 4, “la distinción entre poder constituyente y poderes constituidos no opera tan solo en el momento de establecerse la Constitución; la voluntad y racionalidad del poder constituyente objetivadas en la Constitución no solo fundan en su origen, sino que fundamentan permanentemente el orden jurídico y estatal y suponen un límite a la potestad del legislador. Al Tribunal Constitucional corresponde, en su función de intérprete supremo de la Constitución (art. 1 LOTC), custodiar la permanente distinción entre la objetivación del poder constituyente y la actuación de los poderes constituidos, los cuales nunca podrán rebasar los límites y las competencias establecidas por aquel”. A mi entender, es evidente que el legislador, al aprobar la Ley Orgánica 1/2024, ha olvidado “la permanente distinción entre la objetivación del poder constituyente [formalizado en la Constitución] y la actuación de los poderes constituidos, los cuales nunca podrán rebasar los límites y las competencias establecidos por aquel” [STC 76/1983, FJ 4; en análogos términos, SSTC 15/2000, de 20 de enero, FJ 3; 247/2007, de 12 de diciembre, FJ 8 a), y 114/2017, de 17 de octubre, FJ 5 a)].</w:t>
      </w:r>
    </w:p>
    <w:p w14:paraId="25210382" w14:textId="77777777" w:rsidR="00A8138F" w:rsidRDefault="00A8138F" w:rsidP="00A8138F">
      <w:pPr>
        <w:pStyle w:val="TextoNormal"/>
      </w:pPr>
    </w:p>
    <w:p w14:paraId="543B5421" w14:textId="77777777" w:rsidR="00A8138F" w:rsidRDefault="00A8138F" w:rsidP="00A8138F">
      <w:pPr>
        <w:pStyle w:val="TextoNormal"/>
      </w:pPr>
      <w:r>
        <w:t>Por ello, me parece una tergiversación la apelación que se hace en la sentencia (FJ 3.2.2) a la competencia “universal” del legislador estatal, con pretendido apoyo en la citada STC 76/1983, FJ 4 (caso LOAPA: Ley Orgánica de armonización del proceso autonómico), pues lo que allí se dice se refiere al sistema constitucional de reparto de competencias y en tal contexto ha de ser entendido. En efecto, sabido es que el art. 149.1 CE no es la relación exhaustiva (y por ello cerrada) de las competencias del Estado, sino solo el catálogo de materias que son de su competencia exclusiva. Y el art. 149.3 CE, primer inciso, precisando lo establecido en el art. 147.2 d) CE, prevé que “las materias no atribuidas expresamente al Estado por esta Constitución podrán corresponder a las Comunidades Autónomas en virtud de sus Estatutos”, de manera que “la competencia sobre las materias que no se hayan asumido por los Estatutos corresponderá al Estado” (art. 149.3, segundo inciso, CE), que fue lo que este tribunal ya declaró en la citada STC 76/1983, FJ 4, al señalar que “las Cortes Generales, como titulares ‘de la potestad legislativa del Estado’ (art. 66.2 CE), pueden legislar en principio sobre cualquier materia sin necesidad de poseer un título específico para ello”, sin perjuicio de advertir también que “esta potestad tiene sus límites, derivados de la propia Constitución, y, en todo caso, lo que las Cortes no pueden hacer es colocarse en el mismo plano del poder constituyente realizando actos propios de este, salvo en el caso en que la propia Constitución les atribuya alguna función constituyente”. La Constitución no faculta a las Cortes para aprobar amnistías. Al aprobar la Ley Orgánica 1/2024, de amnistía, las Cortes Generales se salen del marco constitucional, se separan de este, para asumir una función que no corresponde a su libertad de configuración que lo es solo dentro, y no fuera, de la Constitución, como también se infiere inequívocamente del informe de la Comisión de Venecia sobre la iniciativa legislativa que dio lugar a dicha ley.</w:t>
      </w:r>
    </w:p>
    <w:p w14:paraId="3124A0C4" w14:textId="77777777" w:rsidR="00A8138F" w:rsidRDefault="00A8138F" w:rsidP="00A8138F">
      <w:pPr>
        <w:pStyle w:val="TextoNormal"/>
      </w:pPr>
    </w:p>
    <w:p w14:paraId="4D22BB6A" w14:textId="77777777" w:rsidR="00A8138F" w:rsidRDefault="00A8138F" w:rsidP="00A8138F">
      <w:pPr>
        <w:pStyle w:val="TextoNormal"/>
      </w:pPr>
      <w:r>
        <w:t>Por tanto, que la Constitución no sea un programa cerrado, sino un marco de coincidencias lo suficientemente amplio como para permitir la adopción legítima de políticas legislativas diferentes según las mayorías parlamentarias que existan en cada momento no es, en definitiva, más que la expresión del pluralismo político como valor superior del ordenamiento (art. 1.1 CE). Pero esas opciones políticas no pueden rebasar el marco que la Constitución establece, conforme este tribunal se ha ocupado de resaltar también reiteradamente. Como bien se ha dicho por autorizadas voces, “la Constitución no es una hoja en blanco que pueda reescribir el legislador a su capricho”, así como “tampoco es una hoja en blanco que pueda reescribir, sin límites, su supremo intérprete”. El pluralismo político que la Constitución garantiza ha de respetar, por tanto, otros principios, valores y elementos estructurales del Estado democrático de Derecho (separación de poderes, independencia del poder judicial y reserva de jurisdicción, seguridad jurídica, interdicción de la arbitrariedad, respeto al contenido esencial de los derechos fundamentales protegido frente al legislador, respeto a los procedimientos establecidos, etc.). Y si el legislador excede ese marco constitucional, este tribunal, como guardián de la Constitución, habrá declarar, cuando así se le demande, la inconstitucionalidad y nulidad del texto legal en cuestión, expulsándolo del ordenamiento jurídico. Los “principios estructurales del ordenamiento” (STC 128/2016, de 7 de julio, FJ 5) son prescripciones cuyo desconocimiento por el legislador conlleva también, inseparablemente, la infracción de los principios que configuran nuestro Estado como “de derecho” y “democrático” (art. 1.1 CE).</w:t>
      </w:r>
    </w:p>
    <w:p w14:paraId="705097D0" w14:textId="77777777" w:rsidR="00A8138F" w:rsidRDefault="00A8138F" w:rsidP="00A8138F">
      <w:pPr>
        <w:pStyle w:val="TextoNormal"/>
      </w:pPr>
    </w:p>
    <w:p w14:paraId="7F37D00F" w14:textId="77777777" w:rsidR="00A8138F" w:rsidRDefault="00A8138F" w:rsidP="00A8138F">
      <w:pPr>
        <w:pStyle w:val="TextoNormal"/>
      </w:pPr>
      <w:r>
        <w:t>En suma, la Constitución no solo contiene reglas para hacer posible el pluralismo político, esto es, para permitir la adopción de políticas legislativas distintas según las mayorías políticas coyunturales, siempre dentro del marco constitucional, sino que también contiene reglas y normas que impiden el abuso de poder y la arbitrariedad de los poderes públicos y, en consecuencia, obligan al cumplimento de las previsiones constitucionales. No cabe, por tanto, confundir la “apertura” constitucional (en el sentido de que la Constitución ofrece cobertura a plurales “opciones políticas” y “de muy diferente signo”, siempre que no la contradigan: STC 11/1981, FJ 7) con el menosprecio constitucional.</w:t>
      </w:r>
    </w:p>
    <w:p w14:paraId="773030A8" w14:textId="77777777" w:rsidR="00A8138F" w:rsidRDefault="00A8138F" w:rsidP="00A8138F">
      <w:pPr>
        <w:pStyle w:val="TextoNormal"/>
      </w:pPr>
    </w:p>
    <w:p w14:paraId="7C8ECCB5" w14:textId="77777777" w:rsidR="00A8138F" w:rsidRDefault="00A8138F" w:rsidP="00A8138F">
      <w:pPr>
        <w:pStyle w:val="TextoNormal"/>
      </w:pPr>
      <w:r>
        <w:t xml:space="preserve">II.4. </w:t>
      </w:r>
      <w:r w:rsidRPr="00A8138F">
        <w:rPr>
          <w:i/>
        </w:rPr>
        <w:t>El constructivismo jurídico al que recurre la sentencia para avalar la Ley de amnistía convierte al Tribunal Constitucional en un poder constituyente que reescribe a su gusto la Constitución</w:t>
      </w:r>
    </w:p>
    <w:p w14:paraId="5A35B675" w14:textId="77777777" w:rsidR="00A8138F" w:rsidRDefault="00A8138F" w:rsidP="00A8138F">
      <w:pPr>
        <w:pStyle w:val="TextoNormal"/>
      </w:pPr>
    </w:p>
    <w:p w14:paraId="303E222C" w14:textId="77777777" w:rsidR="00A8138F" w:rsidRDefault="00A8138F" w:rsidP="00A8138F">
      <w:pPr>
        <w:pStyle w:val="TextoNormal"/>
      </w:pPr>
      <w:r>
        <w:t xml:space="preserve">Disiento radicalmente por tanto de la posición dogmática expresada por la mayoría de este tribunal en la sentencia que nos ocupa, que concibe la Constitución como una “norma abierta”, que da al legislador una libertad de configuración prácticamente omnímoda (con lo que más que de una Constitución “abierta” cabría hablar de una Constitución “líquida”), y coincido con lo expresado al respecto por muchos ilustres juristas, entre ellos el profesor Aragón Reyes, magistrado emérito de este tribunal: la Constitución no permite la amnistía (“Una amnistía falaz” y “La Constitución no permite la amnistía”, en </w:t>
      </w:r>
      <w:r w:rsidRPr="00A8138F">
        <w:rPr>
          <w:i/>
        </w:rPr>
        <w:t>La amnistía en España: Constitución y Estado de Derecho</w:t>
      </w:r>
      <w:r>
        <w:t>, A Coruña, 2024; entre otros trabajos). Que la Constitución no la prohíba expresamente en modo alguno significa que las Cortes Generales queden facultadas para acordar amnistías, como se pretende en la sentencia, de la que discrepo. Para que pudieran hacerlo habría sido necesario que la Constitución contuviera una autorización expresa de la amnistía, lo que es evidente que no sucede. Más aun, ocurre justamente lo contrario, a mi entender; esto es, que del propio texto constitucional se deriva implícitamente la exclusión de la institución de la amnistía, lo que resulta confirmado por los trabajos parlamentarios de elaboración de la Constitución, como se dirá más adelante.</w:t>
      </w:r>
    </w:p>
    <w:p w14:paraId="6DB7DF6E" w14:textId="77777777" w:rsidR="00A8138F" w:rsidRDefault="00A8138F" w:rsidP="00A8138F">
      <w:pPr>
        <w:pStyle w:val="TextoNormal"/>
      </w:pPr>
    </w:p>
    <w:p w14:paraId="2E8F7699" w14:textId="77777777" w:rsidR="00A8138F" w:rsidRDefault="00A8138F" w:rsidP="00A8138F">
      <w:pPr>
        <w:pStyle w:val="TextoNormal"/>
      </w:pPr>
      <w:r>
        <w:t>Por ello, la aprobación de una ley que otorgue la amnistía, como sucede en el caso de la Ley Orgánica 1/2024, hubiera requerido la previa reforma de la Constitución. Al no apreciarlo así, la sentencia de la que disiento consiente una mutación constitucional, una verdadera ruptura del pacto constitucional de 1978, pues permite que el legislador (la mayoría parlamentaria coyuntural), modifique la Constitución sin acudir al procedimiento de reforma previsto en su título X, de suerte que a partir de ahora habrá que entender que el art. 66.2 CE incluye entre las potestades de las Cortes Generales la de aprobar amnistías, pese a no estar prevista de forma expresa y haber sido rechazada en su día por el poder constituyente.</w:t>
      </w:r>
    </w:p>
    <w:p w14:paraId="4699523D" w14:textId="77777777" w:rsidR="00A8138F" w:rsidRDefault="00A8138F" w:rsidP="00A8138F">
      <w:pPr>
        <w:pStyle w:val="TextoNormal"/>
      </w:pPr>
    </w:p>
    <w:p w14:paraId="437DDA45" w14:textId="77777777" w:rsidR="00A8138F" w:rsidRDefault="00A8138F" w:rsidP="00A8138F">
      <w:pPr>
        <w:pStyle w:val="TextoNormal"/>
      </w:pPr>
      <w:r>
        <w:t xml:space="preserve">Los preceptos de la Constitución (también, por tanto, su art. 66.2) son, sin excepción, susceptibles de reconsideración y revisión en Derecho. Como este tribunal tiene reiteradamente declarado, “la Constitución, como ley superior, no pretende para sí la condición de </w:t>
      </w:r>
      <w:r w:rsidRPr="00A8138F">
        <w:rPr>
          <w:i/>
        </w:rPr>
        <w:t>lex perpetua</w:t>
      </w:r>
      <w:r>
        <w:t>. La nuestra admite y regula, en efecto, su ‘revisión total’ (art. 168 CE y STC 48/2003, de 12 de marzo, FJ 7)”. Asegura así que “solo los ciudadanos, actuando necesariamente al final del proceso de reforma, puedan disponer del poder supremo, esto es, del poder de modificar sin límites la propia Constitución” (STC 103/2008, de 11 de septiembre, FJ 2). Todas y cada una de las determinaciones constitucionales son susceptibles de modificación, pero para ello es preciso que “el intento de su consecución efectiva se realice en el marco de los procedimientos de reforma de la Constitución, pues el respeto a estos procedimientos es, siempre y en todo caso, inexcusable” (STC 138/2015, de 11 de junio, FJ 4, y jurisprudencia allí citada). Es plena la apertura de la Norma Fundamental a su revisión formal. El debate público, dentro o fuera de las instituciones, sobre proyectos políticos que propugnaran la reforma constitucional goza, precisamente al amparo de la Constitución misma, de una irrestricta libertad. Por el contrario, la conversión de esos proyectos en normas no es posible sino mediante el procedimiento de reforma constitucional. “Otra cosa supondría liberar al poder público de toda sujeción a derecho, con daño irreparable para la libertad de los ciudadanos” [STC 259/2015, de 2 de diciembre, FJ 7; en análogo sentido, SSTC 122/1983, de 16 de diciembre, FJ 5; 52/2017, de 10 de mayo, FJ 5; 90/2017, de 5 de julio, FJ 6 b), y 114/2017, FJ 5 c)]. Esto último es, sin embargo, lo que ha consumado el legislador estatal al aprobar la Ley Orgánica 1/2024, de amnistía, pese a que la mayoría del Tribunal Constitucional, en la sentencia de la que radicalmente disiento, ha preferido no verlo así, avalando esa ley mediante un ejercicio de constructivismo jurídico que convierte al Tribunal Constitucional en un poder constituyente que reescribe a su gusto la Constitución. Un exceso inaceptable, pues el Tribunal Constitucional es el guardián de la Constitución, no su dueño.</w:t>
      </w:r>
    </w:p>
    <w:p w14:paraId="728F43AA" w14:textId="77777777" w:rsidR="00A8138F" w:rsidRDefault="00A8138F" w:rsidP="00A8138F">
      <w:pPr>
        <w:pStyle w:val="TextoNormal"/>
      </w:pPr>
    </w:p>
    <w:p w14:paraId="60D52D64" w14:textId="77777777" w:rsidR="00A8138F" w:rsidRDefault="00A8138F" w:rsidP="00A8138F">
      <w:pPr>
        <w:pStyle w:val="TextoNormal"/>
      </w:pPr>
      <w:r>
        <w:t>III</w:t>
      </w:r>
      <w:r w:rsidRPr="00A8138F">
        <w:rPr>
          <w:i/>
        </w:rPr>
        <w:t xml:space="preserve">. La pretendida compatibilidad de la amnistía con la prohibición de indultos generales que establece el art. 62 i) </w:t>
      </w:r>
      <w:r>
        <w:t>CE</w:t>
      </w:r>
    </w:p>
    <w:p w14:paraId="17CE99C5" w14:textId="77777777" w:rsidR="00A8138F" w:rsidRDefault="00A8138F" w:rsidP="00A8138F">
      <w:pPr>
        <w:pStyle w:val="TextoNormal"/>
      </w:pPr>
    </w:p>
    <w:p w14:paraId="56DC92D2" w14:textId="77777777" w:rsidR="00A8138F" w:rsidRDefault="00A8138F" w:rsidP="00A8138F">
      <w:pPr>
        <w:pStyle w:val="TextoNormal"/>
      </w:pPr>
      <w:r>
        <w:t>La sentencia (FJ 3.2.1), partiendo de la premisa de que amnistía e indulto son instituciones diferentes desde el punto de vista cualitativo (que se hace derivar de la STC 147/1986, de 25 de noviembre, FJ 2), viene a concluir que de la prohibición constitucional de indultos generales no puede inferirse que también la amnistía quede constitucionalmente excluida. Se argumenta que la Constitución solo prohíbe en el art. 62 i) los indultos generales, prohibición que estaría dirigida al poder ejecutivo, en cuanto titular de la facultad de indultar, pero que no se aplicaría al poder legislativo, que estaría legitimado para aprobar una ley de amnistía, conforme al previamente afirmado principio de “vinculación negativa” del legislador, que la sentencia anuda a su concepción de la Constitución como “norma abierta”. Se omite en la sentencia, por cierto, que ya en 2021 una proposición de ley presentada en el Congreso cuyo contenido era práctica y sustancialmente idéntico a la proposición de ley que dio lugar a la Ley Orgánica 1/2024, de amnistía, fue inadmitida a trámite por acuerdo de la mesa del Congreso de los Diputados de 23 de marzo de 2021, por entrar “en contradicción palmaria y evidente con lo dispuesto en el art 62 i) de la Constitución, de acuerdo con el cual no cabe que la ley autorice indultos generales”.</w:t>
      </w:r>
    </w:p>
    <w:p w14:paraId="0B60C0D9" w14:textId="77777777" w:rsidR="00A8138F" w:rsidRDefault="00A8138F" w:rsidP="00A8138F">
      <w:pPr>
        <w:pStyle w:val="TextoNormal"/>
      </w:pPr>
    </w:p>
    <w:p w14:paraId="4E2239A5" w14:textId="77777777" w:rsidR="00A8138F" w:rsidRDefault="00A8138F" w:rsidP="00A8138F">
      <w:pPr>
        <w:pStyle w:val="TextoNormal"/>
      </w:pPr>
      <w:r>
        <w:t>En todo caso no voy a repetir el juicio que me merece esta concepción desnormativizadora de la Constitución de la que la presente sentencia hace gala.</w:t>
      </w:r>
    </w:p>
    <w:p w14:paraId="31E717B0" w14:textId="77777777" w:rsidR="00A8138F" w:rsidRDefault="00A8138F" w:rsidP="00A8138F">
      <w:pPr>
        <w:pStyle w:val="TextoNormal"/>
      </w:pPr>
    </w:p>
    <w:p w14:paraId="14343490" w14:textId="77777777" w:rsidR="00A8138F" w:rsidRDefault="00A8138F" w:rsidP="00A8138F">
      <w:pPr>
        <w:pStyle w:val="TextoNormal"/>
      </w:pPr>
      <w:r>
        <w:t>Tampoco me voy a extender, para no hacer inacabable este voto particular, en la crítica a la manera sesgada —grueso adjetivo, pero es el que se ajusta para definirla— en que, en numerosas ocasiones, se cita la jurisprudencia constitucional en esta sentencia. Baste a tal efecto con dejar aquí apuntado que no existe en las sentencias que se citan “en materia de amnistía”, esto es, la STC 63/1983, de 20 de julio, y la STC 147/1986, de 25 de noviembre, base alguna para sostener, sin faltar a la verdad, que de la doctrina constitucional se infiere una posición favorable a entender que la amnistía tiene cabida en nuestra Constitución. Como en la sentencia no puede dejar de reconocerse (FJ 2.2), ambos pronunciamientos (como algún otro que pudiera citarse) lo son en relación con la amnistía transicional acordada en el Real Decreto-ley 10/1976, de 30 de julio, sobre amnistía y en la Ley 46/1977, de 15 de octubre, de Amnistía. No existe en esas sentencias del Tribunal una doctrina constitucional en relación con la amnistía, sino, todo lo más, referencias tangenciales o instrumentales vinculadas al caso concreto a resolver, en ese contexto de aplicación de normas preconstitucionales con las que se trataba de facilitar el tránsito de una dictadura a un sistema democrático, el que se instauró con la Constitución de 1978.</w:t>
      </w:r>
    </w:p>
    <w:p w14:paraId="40029C22" w14:textId="77777777" w:rsidR="00A8138F" w:rsidRDefault="00A8138F" w:rsidP="00A8138F">
      <w:pPr>
        <w:pStyle w:val="TextoNormal"/>
      </w:pPr>
    </w:p>
    <w:p w14:paraId="0B81A77A" w14:textId="77777777" w:rsidR="00A8138F" w:rsidRDefault="00A8138F" w:rsidP="00A8138F">
      <w:pPr>
        <w:pStyle w:val="TextoNormal"/>
      </w:pPr>
      <w:r>
        <w:t>En tal sentido, la afirmación, en la STC 147/1986, FJ 2, de que la amnistía y el indulto son instituciones cualitativamente diferentes no permite sustentar la tesis de la compatibilidad de la amnistía con la prohibición de indultos generales que establece el art. 62 i) CE, como pretende la sentencia de la que disiento; en efecto, si se lee toda la STC 147/1986 se puede advertir que esa afirmación aparece formulada en directa conexión con el papel del jefe del Estado en relación con una y otra institución, indulto y amnistía, modalidades ambas del llamado “derecho de gracia”, para advertir de que sería erróneo sostener que, siendo el jefe del Estado quien puede acordar lo menos (el indulto), también habría de ser el que acuerde lo más (la amnistía). En definitiva, la cita que en la sentencia se hace de la STC 147/1986, FJ 2, en cuanto a la afirmación de que amnistía e indulto son instituciones cualitativamente diferentes no se corresponde ni con el sentido ni con el contenido de la argumentación que el Tribunal Constitucional pretendió transmitir, sino que estada sacada de contexto. De hecho, la sentencia hubiera debido reconocer que no existe un pronunciamiento de este tribunal que se refería a la amnistía y la ponga en relación, como tal institución, con las previsiones de la Constitución de 1978. Es una ausencia de doctrina constitucional sobre la amnistía que no puede sorprender, en la medida en que tampoco existe un paralelismo entre la Ley de amnistía de 1977 y la Ley Orgánica 1/2024 ni por el contexto histórico-político en el que una y otra norma se aprueban ni desde una perspectiva puramente técnico-jurídica.</w:t>
      </w:r>
    </w:p>
    <w:p w14:paraId="6B46B4F0" w14:textId="77777777" w:rsidR="00A8138F" w:rsidRDefault="00A8138F" w:rsidP="00A8138F">
      <w:pPr>
        <w:pStyle w:val="TextoNormal"/>
      </w:pPr>
    </w:p>
    <w:p w14:paraId="24E857C9" w14:textId="77777777" w:rsidR="00A8138F" w:rsidRDefault="00A8138F" w:rsidP="00A8138F">
      <w:pPr>
        <w:pStyle w:val="TextoNormal"/>
      </w:pPr>
      <w:r>
        <w:t xml:space="preserve">Efectuada la precisión que antecede, debo señalar que, a mi entender, de las distintas modalidades del “derecho de gracia” posibles (la antigua </w:t>
      </w:r>
      <w:r w:rsidRPr="00A8138F">
        <w:rPr>
          <w:i/>
        </w:rPr>
        <w:t>clementia principis</w:t>
      </w:r>
      <w:r>
        <w:t xml:space="preserve">) que, por cierto, era atributo del </w:t>
      </w:r>
      <w:r w:rsidRPr="00A8138F">
        <w:rPr>
          <w:i/>
        </w:rPr>
        <w:t>princeps legibus solutus</w:t>
      </w:r>
      <w:r>
        <w:t>, como dejó sentado Bodino (uno de los grandes pensadores del absolutismo político, que definió como facultad intrínseca del soberano el “poder de conceder gracia a los condenados por encima de las sentencias y con el rigor de las leyes”), los constituyentes se decantaron por admitir solo los indultos individuales, excluyendo tanto los indultos generales como la amnistía. Esta fue la decisión del poder constituyente, la que se adoptó por el pueblo español en el referéndum constitucional de 6 de diciembre de 1978. Esa decisión es la que es violada por esta Ley de amnistía, y el Tribunal Constitucional —juez de la primacía de la Constitución— debería haberlo así constatado, ejerciendo su misión de guardián de la Constitución, es decir, de garante de la voluntad del pueblo constituyente, el soberano (art. 1.2 CE). El Tribunal Constitucional también está sometido a la Constitución (art. 1.1 LOTC), de la que es guardián, no su dueño, por lo que no puede hacer decir a la Norma Fundamental lo que a su capricho le parezca, que es precisamente lo que la hace la presente sentencia.</w:t>
      </w:r>
    </w:p>
    <w:p w14:paraId="444D0719" w14:textId="77777777" w:rsidR="00A8138F" w:rsidRDefault="00A8138F" w:rsidP="00A8138F">
      <w:pPr>
        <w:pStyle w:val="TextoNormal"/>
      </w:pPr>
    </w:p>
    <w:p w14:paraId="2F6BF351" w14:textId="77777777" w:rsidR="00A8138F" w:rsidRDefault="00A8138F" w:rsidP="00A8138F">
      <w:pPr>
        <w:pStyle w:val="TextoNormal"/>
      </w:pPr>
      <w:r>
        <w:t>Como es sabido, el derecho de gracia, al que genéricamente se refiere el art. 62 i) CE, tiene dos manifestaciones o modalidades: la amnistía y el indulto, si bien ambas instituciones tienen una naturaleza, ámbito de aplicación y efectos diferentes. Es decir, su diferencia no es cuantitativa, sino cualitativa.</w:t>
      </w:r>
    </w:p>
    <w:p w14:paraId="61ED8CE0" w14:textId="77777777" w:rsidR="00A8138F" w:rsidRDefault="00A8138F" w:rsidP="00A8138F">
      <w:pPr>
        <w:pStyle w:val="TextoNormal"/>
      </w:pPr>
    </w:p>
    <w:p w14:paraId="4E330428" w14:textId="77777777" w:rsidR="00A8138F" w:rsidRDefault="00A8138F" w:rsidP="00A8138F">
      <w:pPr>
        <w:pStyle w:val="TextoNormal"/>
      </w:pPr>
      <w:r>
        <w:t xml:space="preserve">Con el indulto, como manifestación del derecho de gracia, el Estado, como único titular del </w:t>
      </w:r>
      <w:r w:rsidRPr="00A8138F">
        <w:rPr>
          <w:i/>
        </w:rPr>
        <w:t>ius puniendi</w:t>
      </w:r>
      <w:r>
        <w:t>, renuncia, mediante una decisión del poder ejecutivo, a exigir el cumplimiento de una pena impuesta por un juez o tribunal. El indulto, por otra parte, puede ser particular o general.</w:t>
      </w:r>
    </w:p>
    <w:p w14:paraId="4BA92BCB" w14:textId="77777777" w:rsidR="00A8138F" w:rsidRDefault="00A8138F" w:rsidP="00A8138F">
      <w:pPr>
        <w:pStyle w:val="TextoNormal"/>
      </w:pPr>
    </w:p>
    <w:p w14:paraId="624A11D2" w14:textId="77777777" w:rsidR="00A8138F" w:rsidRDefault="00A8138F" w:rsidP="00A8138F">
      <w:pPr>
        <w:pStyle w:val="TextoNormal"/>
      </w:pPr>
      <w:r>
        <w:t>Por el contrario, la amnistía es una institución que supone la extinción de la responsabilidad penal del autor del hecho típico, convirtiéndose en una derogación de la ley penal respecto de hechos ya realizados, llevada a cabo por el poder público en atención a circunstancias singularmente políticas (habitualmente, en contextos de justicia transicional, como fue el caso de las amnistías aprobadas por el Real Decreto-ley 10/1976 y la Ley 46/1977). Si el indulto se proyecta sobre la pena, la amnistía lo hace sobre la acción penal, ya que supone poner fin a toda persecución penal de los delitos cometidos y sus autores.</w:t>
      </w:r>
    </w:p>
    <w:p w14:paraId="180BE6AA" w14:textId="77777777" w:rsidR="00A8138F" w:rsidRDefault="00A8138F" w:rsidP="00A8138F">
      <w:pPr>
        <w:pStyle w:val="TextoNormal"/>
      </w:pPr>
    </w:p>
    <w:p w14:paraId="38594279" w14:textId="77777777" w:rsidR="00A8138F" w:rsidRDefault="00A8138F" w:rsidP="00A8138F">
      <w:pPr>
        <w:pStyle w:val="TextoNormal"/>
      </w:pPr>
      <w:r>
        <w:t>Como se ha dicho, la Constitución establece en el art. 62 i) como función del rey (sujeta por supuesto al correspondiente refrendo, como determina el art. 64.1 CE), la de “ejercer el derecho de gracia con arreglo a la ley, que no podrá autorizar indultos generales”. La Constitución excluye también, en todo caso, la iniciativa legislativa popular en relación con la “prerrogativa de gracia” (art. 87.3 CE), y, más importante aún, determina que “la prerrogativa real de gracia” no será aplicable en los supuestos de responsabilidad criminal del presidente y demás miembros del Gobierno (art. 102.3 CE), sabia previsión del constituyente para excluir que estos pudieran sentir la tentación de indultarse a sí mismos.</w:t>
      </w:r>
    </w:p>
    <w:p w14:paraId="6D640879" w14:textId="77777777" w:rsidR="00A8138F" w:rsidRDefault="00A8138F" w:rsidP="00A8138F">
      <w:pPr>
        <w:pStyle w:val="TextoNormal"/>
      </w:pPr>
    </w:p>
    <w:p w14:paraId="5B08EEBD" w14:textId="77777777" w:rsidR="00A8138F" w:rsidRDefault="00A8138F" w:rsidP="00A8138F">
      <w:pPr>
        <w:pStyle w:val="TextoNormal"/>
      </w:pPr>
      <w:r>
        <w:t>En todo caso, como se ha indicado, la Constitución [art. 62 i)] prohíbe expresamente al legislador regular los indultos generales y, por tanto, al jefe del Estado otorgarlos. De ello se desprende que, si no se pueden autorizar indultos generales, menos se podrán acordar amnistías (</w:t>
      </w:r>
      <w:r w:rsidRPr="00A8138F">
        <w:rPr>
          <w:i/>
        </w:rPr>
        <w:t>a maiore ad minus</w:t>
      </w:r>
      <w:r>
        <w:t>), pues quien no puede lo menos (el indulto general, que tiene un efecto menor que la amnistía, porque extingue solo la pena, no el delito), no puede lo más (la amnistía, que extingue no solo la pena, sino también el delito mismo). El legislador, que no puede aprobar un indulto general, menos aún podría aprobar una ley de amnistía que, a la postre, actúa de modo más extremo sobre la responsabilidad a la que ha dado lugar la conducta de los que ahora se pretenden amnistiar, en tanto que no solo la perdona, sino que también la olvida.</w:t>
      </w:r>
    </w:p>
    <w:p w14:paraId="3BEAFC6D" w14:textId="77777777" w:rsidR="00A8138F" w:rsidRDefault="00A8138F" w:rsidP="00A8138F">
      <w:pPr>
        <w:pStyle w:val="TextoNormal"/>
      </w:pPr>
    </w:p>
    <w:p w14:paraId="5C3C691C" w14:textId="77777777" w:rsidR="00A8138F" w:rsidRDefault="00A8138F" w:rsidP="00A8138F">
      <w:pPr>
        <w:pStyle w:val="TextoNormal"/>
      </w:pPr>
      <w:r>
        <w:t>La amnistía y el indulto son especies del mismo género, el derecho de gracia, en tanto que suponen excepciones al monopolio jurisdiccional de jueces y magistrados integrantes del poder judicial (art. 117.3 CE). La amnistía comporta la potestad de los poderes públicos de excluir la pena impuesta, o que se pudiera imponer, a cualquier persona que haya sido o pudiera ser condenada conforme a las leyes penales y de acuerdo con el procedimiento legalmente establecido. Dado que el poder para imponer sanciones penales queda reservado, en el Estado de Derecho, al poder judicial, el derecho de gracia incide directamente sobre la potestad jurisdiccional, porque deja sin efecto lo declarado, o que pueda declararse, en las sentencias condenatorias y, por la misma razón afecta al principio constitucional de la separación de poderes, al excepcionar las atribuciones del poder judicial. Dadas sus implicaciones y como tal excepción, para ser admisible debe estar prevista expresamente en la Constitución, lo que es evidente que sucede con el indulto individual, pero no con el indulto general (expresamente excluido y que, por tanto, no puede ser legislado), ni, por consiguiente, con la amnistía.</w:t>
      </w:r>
    </w:p>
    <w:p w14:paraId="555E81B9" w14:textId="77777777" w:rsidR="00A8138F" w:rsidRDefault="00A8138F" w:rsidP="00A8138F">
      <w:pPr>
        <w:pStyle w:val="TextoNormal"/>
      </w:pPr>
    </w:p>
    <w:p w14:paraId="18DD1618" w14:textId="77777777" w:rsidR="00A8138F" w:rsidRDefault="00A8138F" w:rsidP="00A8138F">
      <w:pPr>
        <w:pStyle w:val="TextoNormal"/>
      </w:pPr>
      <w:r>
        <w:t xml:space="preserve">En suma, la prohibición de indultos generales que se contiene en el art. 62 i) CE y la falta de mención expresa de la amnistía en el texto constitucional, conducen a entender que el constituyente ha querido que el derecho de gracia se limite al denominado indulto individual o particular. Dicho de otro modo, pueden concederse indultos individuales (que suponen la intromisión del poder ejecutivo en la función jurisdiccional de imponer penas y hacerlas cumplir) precisamente porque la Constitución lo permite [art. 62 i) CE, </w:t>
      </w:r>
      <w:r w:rsidRPr="00A8138F">
        <w:rPr>
          <w:i/>
        </w:rPr>
        <w:t>a contrario</w:t>
      </w:r>
      <w:r>
        <w:t xml:space="preserve">], pero no indultos generales, porque la Constitución expresamente los prohíbe [en el citado art. 62 i) CE], ni tampoco amnistías (que suponen una intromisión del poder legislativo en la función jurisdiccional de mayor intensidad que los indultos, en cuanto dejan sin efecto no ya la pena, sino el delito mismo), porque la Constitución no las autoriza. La amnistía es una medida de gracia, igual que el indulto individual y el general. La Constitución prohíbe expresamente los indultos generales, con lo que de manera implícita y </w:t>
      </w:r>
      <w:r w:rsidRPr="00A8138F">
        <w:rPr>
          <w:i/>
        </w:rPr>
        <w:t>a fortiori</w:t>
      </w:r>
      <w:r>
        <w:t xml:space="preserve"> excluye que el legislador pueda conceder amnistías, pues la contradicción de la institución de la amnistía con principios constitucionales básicos hace que estos solamente puedan ser desplazados con una previsión constitucional expresa. Admitir lo contrario implica, como ya he señalado, que la vigencia de tales principios queda al albur de las mayorías parlamentarias coyunturales y supone, directamente, negar el carácter normativo de la Constitución.</w:t>
      </w:r>
    </w:p>
    <w:p w14:paraId="069A5521" w14:textId="77777777" w:rsidR="00A8138F" w:rsidRDefault="00A8138F" w:rsidP="00A8138F">
      <w:pPr>
        <w:pStyle w:val="TextoNormal"/>
      </w:pPr>
    </w:p>
    <w:p w14:paraId="25886287" w14:textId="77777777" w:rsidR="00A8138F" w:rsidRDefault="00A8138F" w:rsidP="00A8138F">
      <w:pPr>
        <w:pStyle w:val="TextoNormal"/>
      </w:pPr>
      <w:r>
        <w:t>Por eso, no cabe admitir que el poder legislativo pueda integrar la Constitución para llenar sus supuestos vacíos, pues estaría suplantando al poder constituyente. Si la Constitución ha prohibido lo menos, los indultos generales, ha de entenderse que también ha prohibido lo más, la amnistía, que no solamente perdona la pena, sino que borra la existencia misma del delito, como se ha dicho. Y ello con independencia de que se considere la amnistía como facultad reservada al poder legislativo y el indulto como propio del poder ejecutivo, pues es evidente que uno y otro, en tanto que poderes públicos, están sometidos a los principios constitucionales.</w:t>
      </w:r>
    </w:p>
    <w:p w14:paraId="1FFCA670" w14:textId="77777777" w:rsidR="00A8138F" w:rsidRDefault="00A8138F" w:rsidP="00A8138F">
      <w:pPr>
        <w:pStyle w:val="TextoNormal"/>
      </w:pPr>
    </w:p>
    <w:p w14:paraId="21BD0C35" w14:textId="77777777" w:rsidR="00A8138F" w:rsidRDefault="00A8138F" w:rsidP="00A8138F">
      <w:pPr>
        <w:pStyle w:val="TextoNormal"/>
      </w:pPr>
      <w:r>
        <w:t>La amnistía solo procede frente al derecho injusto y el emanado a partir de una Constitución democrática no lo es. En un contexto democrático la amnistía carece de sentido para perdonar conductas relacionadas con la agresión al orden constitucional y a los derechos y libertades constitucionales, pues ello comportaría la descalificación en buena medida de la vigente Constitución. Es lo que sucede con la Ley Orgánica 1/2024, que supone reconocer que fue justo el proceso separatista que culminó en los graves hechos del otoño de 2017, esto es, en la subversión del orden constitucional, e injustas las actuaciones e intervenciones de los órganos e instituciones públicas competentes (entre ellas el Tribunal Constitucional) en respuesta a tales hechos, a los que ahora se viene a deslegitimar por esa ley de amnistía precisamente por haber aplicado a tales hechos las previsiones del ordenamiento jurídico que los sediciosos pretendieron arrumbar.</w:t>
      </w:r>
    </w:p>
    <w:p w14:paraId="09B1A4EA" w14:textId="77777777" w:rsidR="00A8138F" w:rsidRDefault="00A8138F" w:rsidP="00A8138F">
      <w:pPr>
        <w:pStyle w:val="TextoNormal"/>
      </w:pPr>
    </w:p>
    <w:p w14:paraId="592111D3" w14:textId="77777777" w:rsidR="00A8138F" w:rsidRDefault="00A8138F" w:rsidP="00A8138F">
      <w:pPr>
        <w:pStyle w:val="TextoNormal"/>
      </w:pPr>
      <w:r>
        <w:t xml:space="preserve">Bueno será recordar (y lo hago gracias a la rememoración que hace un gran romanista, el profesor Reinoso-Barbero: “El perdón legislativo en la República romana”, </w:t>
      </w:r>
      <w:r w:rsidRPr="00A8138F">
        <w:rPr>
          <w:i/>
        </w:rPr>
        <w:t>Iura, Rivista Internazionale di Diritto Romano e Antico</w:t>
      </w:r>
      <w:r>
        <w:t xml:space="preserve">, LXXII, 2024) las célebres palabras de Cicerón, pronunciadas en el discurso de acusación contra Verres en el año 70 A.C., poco después de otorgarse la amnistía a cientos de rebeldes sertorianos por la </w:t>
      </w:r>
      <w:r w:rsidRPr="00A8138F">
        <w:rPr>
          <w:i/>
        </w:rPr>
        <w:t>Lex Plautia de reditu Lepidanorum</w:t>
      </w:r>
      <w:r>
        <w:t>: “Cuando una ciudad está perdida y toda esperanza ha desaparecido, tienden a producirse ciertos resultados: los condenados recuperan todos sus derechos, se repatría a los exiliados y se anulan las sentencias judiciales. Estos acontecimientos significan el colapso de la República y, en circunstancias tan terribles, no hay esperanza de salvación” (Cic. Verr., 2.5.12). No sobra tampoco el recuerdo de Aristóteles, que hace 2300 años advirtió que “las democracias degeneran en tiranías por la falta de escrúpulos de los rastreros demagogos”. Demagogia se hace cuando se trastocan los principios, cuando se tergiversan para alcanzar el fin buscado, aunque lo sea a costa de derruir el empeño convivencial.</w:t>
      </w:r>
    </w:p>
    <w:p w14:paraId="297AAED9" w14:textId="77777777" w:rsidR="00A8138F" w:rsidRDefault="00A8138F" w:rsidP="00A8138F">
      <w:pPr>
        <w:pStyle w:val="TextoNormal"/>
      </w:pPr>
    </w:p>
    <w:p w14:paraId="25987ACC" w14:textId="77777777" w:rsidR="00A8138F" w:rsidRDefault="00A8138F" w:rsidP="00A8138F">
      <w:pPr>
        <w:pStyle w:val="TextoNormal"/>
      </w:pPr>
      <w:r>
        <w:t>En suma, tanto el indulto general como la amnistía carecen de encaje constitucional, atendida la instauración de un régimen democrático pleno, que vino precedido de las amnistías de 1976 y 1977, entendidas como medidas necesarias de ruptura definitiva con el pasado dictatorial y como paso decisivo para la implantación de un sistema democrático en España. De ahí que sea irrelevante que, a falta de una determinación constitucional expresa, se diga que la amnistía es una institución que cuenta con precedentes en el derecho histórico español (la sentencia se refiere expresamente al art. 102 de la Constitución de 1931) o con referencias descontextualizadas en el derecho positivo, pues es evidente que es este el que ha de ajustarse a la Constitución y no al revés. Del mismo modo que resulta irrelevante el reconocimiento de la amnistía, en su caso, en países de nuestro entorno, conforme a su propio régimen constitucional, pues ello, claro está, no implica la existencia de una habilitación constitucional en España para conceder una amnistía (en todo caso la referencia a Alemania, cuya Constitución no la prevé, es inocua a cualquier efecto, pues tiene unos condicionantes histórico-políticos que no pueden obviarse y que, desde luego, no la asimilan ni de lejos a la aprobada por las Cortes Generales). Como ya he señalado, para que las Cortes Generales puedan aprobar amnistías sería necesaria una reforma constitucional.</w:t>
      </w:r>
    </w:p>
    <w:p w14:paraId="052AACEA" w14:textId="77777777" w:rsidR="00A8138F" w:rsidRDefault="00A8138F" w:rsidP="00A8138F">
      <w:pPr>
        <w:pStyle w:val="TextoNormal"/>
      </w:pPr>
    </w:p>
    <w:p w14:paraId="3AB33211" w14:textId="77777777" w:rsidR="00A8138F" w:rsidRDefault="00A8138F" w:rsidP="00A8138F">
      <w:pPr>
        <w:pStyle w:val="TextoNormal"/>
      </w:pPr>
      <w:r>
        <w:t>IV</w:t>
      </w:r>
      <w:r w:rsidRPr="00A8138F">
        <w:rPr>
          <w:i/>
        </w:rPr>
        <w:t>. La inclusión de la amnistía en el texto constitucional fue descartada adrede en el debate constituyen</w:t>
      </w:r>
      <w:r>
        <w:t>te</w:t>
      </w:r>
    </w:p>
    <w:p w14:paraId="6726D4FD" w14:textId="77777777" w:rsidR="00A8138F" w:rsidRDefault="00A8138F" w:rsidP="00A8138F">
      <w:pPr>
        <w:pStyle w:val="TextoNormal"/>
      </w:pPr>
    </w:p>
    <w:p w14:paraId="4B673C2A" w14:textId="77777777" w:rsidR="00A8138F" w:rsidRDefault="00A8138F" w:rsidP="00A8138F">
      <w:pPr>
        <w:pStyle w:val="TextoNormal"/>
      </w:pPr>
      <w:r>
        <w:t>A diferencia de lo que sucedía en la Constitución de 1931, cuyo art. 102 admitía expresamente tanto la amnistía como los indultos, la Constitución de 1978 solo permite los indultos individuales, como se ha dicho. El silencio constitucional acerca de la amnistía no es el resultado del azar, ni de un olvido o descuido del poder constituyente, sino de una decisión deliberada de excluir esa excepcional medida de gracia.</w:t>
      </w:r>
    </w:p>
    <w:p w14:paraId="783639BE" w14:textId="77777777" w:rsidR="00A8138F" w:rsidRDefault="00A8138F" w:rsidP="00A8138F">
      <w:pPr>
        <w:pStyle w:val="TextoNormal"/>
      </w:pPr>
    </w:p>
    <w:p w14:paraId="3B889F40" w14:textId="77777777" w:rsidR="00A8138F" w:rsidRDefault="00A8138F" w:rsidP="00A8138F">
      <w:pPr>
        <w:pStyle w:val="TextoNormal"/>
      </w:pPr>
      <w:r>
        <w:t>Frente a lo que sostiene la sentencia (FJ 3.2.2) me parece indiscutible que los constituyentes descartaron la posibilidad de que el legislador pudiera conceder amnistías, como resulta del examen de las fuentes parlamentarias sobre el debate constituyente, en el que fueron rechazadas dos enmiendas para su introducción en el texto constitucional, que tenían el propósito de reconocer al legislador la potestad de aprobar amnistías.</w:t>
      </w:r>
    </w:p>
    <w:p w14:paraId="01E79C14" w14:textId="77777777" w:rsidR="00A8138F" w:rsidRDefault="00A8138F" w:rsidP="00A8138F">
      <w:pPr>
        <w:pStyle w:val="TextoNormal"/>
      </w:pPr>
    </w:p>
    <w:p w14:paraId="233ABF9F" w14:textId="77777777" w:rsidR="00A8138F" w:rsidRDefault="00A8138F" w:rsidP="00A8138F">
      <w:pPr>
        <w:pStyle w:val="TextoNormal"/>
      </w:pPr>
      <w:r>
        <w:t>En efecto, en tal sentido, fueron presentadas dos enmiendas al texto de la ponencia:</w:t>
      </w:r>
    </w:p>
    <w:p w14:paraId="6EFA9BA3" w14:textId="77777777" w:rsidR="00A8138F" w:rsidRDefault="00A8138F" w:rsidP="00A8138F">
      <w:pPr>
        <w:pStyle w:val="TextoNormal"/>
      </w:pPr>
    </w:p>
    <w:p w14:paraId="5B5A947C" w14:textId="77777777" w:rsidR="00A8138F" w:rsidRDefault="00A8138F" w:rsidP="00A8138F">
      <w:pPr>
        <w:pStyle w:val="TextoNormal"/>
      </w:pPr>
      <w:r>
        <w:t>(i) La primera de ellas, la enmienda núm. 504, al entonces art. 58.1 del Proyecto, presentada por el Grupo Parlamentario Mixto (a instancias de dos diputados que eran a su vez catedráticos del por entonces llamado Derecho Político: don Raúl Morodo Leoncio y don Enrique Tierno Galván), que proponía sustituir el texto inicial de este apartado, que pasaría a ser el apartado 2, y disponer, respecto del apartado 1, el siguiente texto: “Las Cortes Generales, que representarán al pueblo español, ejercen la potestad legislativa, sin perjuicio de lo dispuesto en el título VIII, otorgan amnistías, controlan la acción del Gobierno y tienen las demás competencias que les atribuye la Constitución”. En el informe final de la ponencia constitucional (“Boletín Oficial de las Cortes” núm. 82, del 17 de abril de 1978) el inicial art. 58 se convierte más tarde en el art. 61.1, encuadrado dentro del título IV (De las Cortes Generales), capítulo I, y se acoge el texto propuesto por la enmienda núm. 504, si bien se suprime toda referencia a la amnistía. El texto final del informe de la ponencia era el siguiente: “Las Cortes Generales representan al pueblo español y están formadas por el Congreso de los Diputados y el Senado” (lo que se corresponde con el vigente art. 66.1 CE). Por su parte, el apartado 2 de aquel art. 61 quedó redactado en el informe de la ponencia con el siguiente texto: “Las Cortes Generales ejercen la potestad legislativa del Estado, aprueban sus presupuestos, controlan la acción del Gobierno y tienen las demás competencias que les atribuya la Constitución” (lo que se corresponde con el vigente art. 66.2 CE). La prohibición de los indultos generales se incluyó en el nuevo art. 57 i) del informe de la ponencia, entre las prerrogativas del rey [se corresponde con el vigente art. 62 i) CE].</w:t>
      </w:r>
    </w:p>
    <w:p w14:paraId="293B3301" w14:textId="77777777" w:rsidR="00A8138F" w:rsidRDefault="00A8138F" w:rsidP="00A8138F">
      <w:pPr>
        <w:pStyle w:val="TextoNormal"/>
      </w:pPr>
    </w:p>
    <w:p w14:paraId="0B64FA17" w14:textId="77777777" w:rsidR="00A8138F" w:rsidRDefault="00A8138F" w:rsidP="00A8138F">
      <w:pPr>
        <w:pStyle w:val="TextoNormal"/>
      </w:pPr>
      <w:r>
        <w:t>(ii) La segunda de las enmiendas fue la núm. 744, presentada por un diputado del grupo parlamentario de Unión de Centro Democrático (don César Llorens Bargés), y que, dentro del título correspondiente a la Administración de Justicia (título VIII del Proyecto), proponía una nueva redacción del art. 109 del Proyecto, inspirada en el texto del art. 102 de la Constitución de 1931: “Se prohíben los indultos generales. Los individuales serán concedidos por el Rey, previo informe del Tribunal Supremo y del fiscal del Reino, en los casos y por el procedimiento que las leyes establezcan. Las amnistías solo podrán ser acordadas por el Parlamento”. Preveía, pues, la posibilidad de conceder amnistías por el Parlamento, si bien justificaba la introducción de la enmienda con la finalidad de contrarrestar la afirmada proliferación de indultos que se habían otorgado durante la dictadura franquista, siendo necesario establecer unos límites con objeto de que no constituyeran “una quiebra en la Administración de Justicia de imprevisibles consecuencias para la ejemplaridad, seguridad jurídica, intereses afectados y el propio sentir de los condenados dentro de la sociedad española”. El informe de la ponencia aceptó incluir la prohibición de los indultos generales, pero haciéndolo en el art. 57 i) del proyecto, dentro de las prerrogativas del Rey [vigente art. 62 i) CE], al “regular esta materia junto con el derecho de gracia”. Ofreció, al respecto, la siguiente redacción correspondiente al art. 109: “La justicia será gratuita cuando así lo disponga la ley y, en todo caso, respecto de quienes acrediten insuficiencia de recursos para litigar”. El informe de la ponencia decidió excluir la referencia a la amnistía.</w:t>
      </w:r>
    </w:p>
    <w:p w14:paraId="5D1738E2" w14:textId="77777777" w:rsidR="00A8138F" w:rsidRDefault="00A8138F" w:rsidP="00A8138F">
      <w:pPr>
        <w:pStyle w:val="TextoNormal"/>
      </w:pPr>
    </w:p>
    <w:p w14:paraId="53B7F199" w14:textId="77777777" w:rsidR="00A8138F" w:rsidRDefault="00A8138F" w:rsidP="00A8138F">
      <w:pPr>
        <w:pStyle w:val="TextoNormal"/>
      </w:pPr>
      <w:r>
        <w:t>Las actas levantadas de las sesiones de la Comisión Constitucional recogen, en la minuta correspondiente a la sesión del día 3 de noviembre de 1978, un apartado 4 con el siguiente texto: “Por lo que se refiere a la materia de la amnistía, se acuerda no constitucionalizar este tema”. Tal decisión explica que finalmente la Constitución no hiciera mención alguna a la amnistía. Un silencio que, como digo, no cabe interpretar como posibilidad de regular la amnistía por el legislador, sino que, por el contrario, como un rechazo al reconocimiento de esta institución excepcional. Los constituyentes tenían delante el precedente de la Constitución de 1931 y otros precedentes del constitucionalismo histórico en cuanto al reconocimiento de esa potestad, y optaron por no incorporarlos a la vigente Constitución. Tuvieron presente, sobre todo, la Ley de amnistía de 1977, que cumplió la función histórica a la que se refería Carl Schmitt de “terminar una guerra civil”, pues la amnistía de 1977 fue la expresión jurídica y política del principio de reconciliación nacional que presidió nuestro proceso de transición a la democracia y en la consideración como “Derecho injusto” del ordenamiento bajo cuya vigencia se habían cometido los actos que eran amnistiados. La Ley de amnistía de 1977 supuso así una suerte de condena moral del régimen franquista. Una vez promulgada la Constitución de 1978 y constituida España como un auténtico Estado social y democrático de Derecho (art. 1.1 CE), resultaba lógico cerrar la puerta a nuevas amnistías, pues su admisión supondría cuestionar la legitimidad misma del ordenamiento democrático. Que es precisamente lo que acontece con la amnistía concedida por la Ley Orgánica 1/2014 (autoconcedida, cabría mejor decir, aunque sobre este punto volveremos más adelante) a los políticos separatistas catalanes y sus seguidores que pretendieron subvertir el orden constitucional y las bases de la convivencia democrática. Esa ley supone una gravísima deslegitimación de nuestro Estado constitucional y de sus instituciones democráticas.</w:t>
      </w:r>
    </w:p>
    <w:p w14:paraId="1DC8E75E" w14:textId="77777777" w:rsidR="00A8138F" w:rsidRDefault="00A8138F" w:rsidP="00A8138F">
      <w:pPr>
        <w:pStyle w:val="TextoNormal"/>
      </w:pPr>
    </w:p>
    <w:p w14:paraId="314698BA" w14:textId="77777777" w:rsidR="00A8138F" w:rsidRDefault="00A8138F" w:rsidP="00A8138F">
      <w:pPr>
        <w:pStyle w:val="TextoNormal"/>
      </w:pPr>
      <w:r>
        <w:t>En suma, los constituyentes de 1978 rechazaron las enmiendas que proponían la inclusión de la amnistía en el texto de la Constitución y, además, dejaron constancia expresa de no querer constitucionalizarla. Por tanto, cualquier iniciativa del poder legislativo que vaya encaminada a la regulación y concesión de amnistías supone una ruptura del pacto constitucional y contraviene frontalmente la Constitución, porque el legislador carece de habilitación constitucional para poder aprobar leyes de amnistía. Esta es la gran diferencia que existe entre el marco que ofrece la Constitución de 1978 y los que hayan podido o puedan prever otras Constituciones de nuestro Derecho histórico (como las Constituciones de 1869 o de 1931) o algunas de otros Estados dentro del entorno de la Unión Europea, como es el caso, ya mencionado, de la República Italiana (donde, por cierto, para aprobar amnistías se requiere una mayoría parlamentaria sumamente reforzada: dos tercios, esto es, la misma que se exige para la reforma constitucional).</w:t>
      </w:r>
    </w:p>
    <w:p w14:paraId="3A878061" w14:textId="77777777" w:rsidR="00A8138F" w:rsidRDefault="00A8138F" w:rsidP="00A8138F">
      <w:pPr>
        <w:pStyle w:val="TextoNormal"/>
      </w:pPr>
    </w:p>
    <w:p w14:paraId="0009E199" w14:textId="77777777" w:rsidR="00A8138F" w:rsidRDefault="00A8138F" w:rsidP="00A8138F">
      <w:pPr>
        <w:pStyle w:val="TextoNormal"/>
      </w:pPr>
      <w:r>
        <w:t xml:space="preserve">V. </w:t>
      </w:r>
      <w:r w:rsidRPr="00A8138F">
        <w:rPr>
          <w:i/>
        </w:rPr>
        <w:t>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w:t>
      </w:r>
    </w:p>
    <w:p w14:paraId="73635E61" w14:textId="77777777" w:rsidR="00A8138F" w:rsidRDefault="00A8138F" w:rsidP="00A8138F">
      <w:pPr>
        <w:pStyle w:val="TextoNormal"/>
      </w:pPr>
    </w:p>
    <w:p w14:paraId="1A75B87C" w14:textId="77777777" w:rsidR="00A8138F" w:rsidRDefault="00A8138F" w:rsidP="00A8138F">
      <w:pPr>
        <w:pStyle w:val="TextoNormal"/>
      </w:pPr>
      <w:r>
        <w:t>La amnistía supone una medida excepcional y singular, que conlleva que deje de aplicarse a determinadas personas, partícipes de unos hechos penal o sancionadoramente típicos, una ley preexistente y democrática cuando concurran los factores, elementos o circunstancias previstas en la propia ley aprobatoria de la amnistía y, además, con efectos retroactivos, lo que afecta directamente a la igualdad de todos ante la ley (art. 14 CE), particularmente la ley penal. Supone, asimismo, dejar sin efecto el principio de exclusividad de jurisdicción (art. 117.3 CE) y el principio de obligado cumplimiento de las sentencias (art. 118 CE), y vulnera también, en consecuencia, el principio de separación de poderes, en cuanto supone una suspensión parlamentaria de la potestad jurisdiccional exclusiva de jueces y magistrados de juzgar y hacer ejecutar lo juzgado, lo que no puede hacerse en ausencia de un reconocimiento constitucional expreso de la potestad de amnistiar concedida al poder legislativo. El legislador no puede suplantar a los jueces y tribunales en su función exclusiva de juzgar y hacer ejecutar lo juzgado, aplicando el derecho vigente en cada momento. Por eso, como excepción a la reserva de jurisdicción y a la misma separación de poderes, la amnistía solo sería válida si estuviera expresamente prevista en la Constitución.</w:t>
      </w:r>
    </w:p>
    <w:p w14:paraId="12A158C7" w14:textId="77777777" w:rsidR="00A8138F" w:rsidRDefault="00A8138F" w:rsidP="00A8138F">
      <w:pPr>
        <w:pStyle w:val="TextoNormal"/>
      </w:pPr>
    </w:p>
    <w:p w14:paraId="7799F35B" w14:textId="77777777" w:rsidR="00A8138F" w:rsidRDefault="00A8138F" w:rsidP="00A8138F">
      <w:pPr>
        <w:pStyle w:val="TextoNormal"/>
      </w:pPr>
      <w:r>
        <w:t>En todo caso, la amnistía otorgada por la Ley Orgánica 1/2024 a quienes, en el marco del llamado “procés” pretendieron subvertir el orden constitucional y romper la convivencia entre españoles, es una medida de gracia del legislador estatal, de las Cortes Generales, que vulnera la reserva constitucional de jurisdicción y el principio de separación de poderes, pues está dirigida a dejar sin efecto resoluciones judiciales ya dictadas, y firmes, en relación con tales actuaciones delictivas (y a vedar que puedan dictarse otras respecto de esos hechos), por lo que se trata de una invasión en toda regla de la función jurisdiccional exclusiva de los jueces y tribunales integrantes del poder judicial. En efecto, la amnistía, por su propia naturaleza, vulnera la división de poderes y el monopolio jurisdiccional, en cuanto comporta dejar sin efecto lo declarado en sentencias que han adquirido firmeza, o resoluciones interlocutorias en procesos en tramitación, dictadas por los jueces y tribunales del poder judicial, que ostentan, en exclusividad, la potestad jurisdiccional de juzgar y hacer ejecutar lo juzgado, de conformidad con lo establecido en el art 117.3 CE. La amnistía supone esa intromisión del poder legislativo en el ámbito constitucionalmente reservado al poder judicial porque, en definitiva, declarando la extinción de los delitos, con efectos retroactivos, se viene a dejar sin eficacia las resoluciones de los tribunales de justicia.</w:t>
      </w:r>
    </w:p>
    <w:p w14:paraId="46BB2CD0" w14:textId="77777777" w:rsidR="00A8138F" w:rsidRDefault="00A8138F" w:rsidP="00A8138F">
      <w:pPr>
        <w:pStyle w:val="TextoNormal"/>
      </w:pPr>
    </w:p>
    <w:p w14:paraId="7A8E03BE" w14:textId="77777777" w:rsidR="00A8138F" w:rsidRDefault="00A8138F" w:rsidP="00A8138F">
      <w:pPr>
        <w:pStyle w:val="TextoNormal"/>
      </w:pPr>
      <w:r>
        <w:t>El respeto al principio de separación de poderes, sin el cual no puede hablarse de Estado de Derecho, no se garantiza, como quieren el preámbulo de la Ley Orgánica 1/2024 y la sentencia de este tribunal, con la decisión judicial sobre la aplicación de la amnistía a cada caso concreto, porque la vulneración de ese principio constitucional ya se ha consumado en un momento anterior, esto es, en la misma aprobación de la ley, que ya declara ineficaces determinadas resoluciones judiciales que han adquirido firmeza. Se trata, en suma, de excepcionar la vigencia de normas y la aplicabilidad de resoluciones judiciales firmes, lo que afecta directamente al poder judicial y al legítimo desempeño de sus funciones, afectación que no puede ser salvada con el simplista argumento formal de señalar que los jueces y tribunales están sometidos a la ley y, por tanto, a la de amnistía, sin tener en cuenta el significado material de esta. La Constitución no permite que se declare a un grupo de personas, no determinados pero determinables, inmunes frente al derecho, borrando para ellas la existencia de delitos.</w:t>
      </w:r>
    </w:p>
    <w:p w14:paraId="715DA106" w14:textId="77777777" w:rsidR="00A8138F" w:rsidRDefault="00A8138F" w:rsidP="00A8138F">
      <w:pPr>
        <w:pStyle w:val="TextoNormal"/>
      </w:pPr>
    </w:p>
    <w:p w14:paraId="3C7C48AA" w14:textId="77777777" w:rsidR="00A8138F" w:rsidRDefault="00A8138F" w:rsidP="00A8138F">
      <w:pPr>
        <w:pStyle w:val="TextoNormal"/>
      </w:pPr>
      <w:r w:rsidRPr="00A8138F">
        <w:rPr>
          <w:i/>
        </w:rPr>
        <w:t>VI. Una amnistía arbitr</w:t>
      </w:r>
      <w:r>
        <w:t>aria</w:t>
      </w:r>
    </w:p>
    <w:p w14:paraId="1BC8B4AB" w14:textId="77777777" w:rsidR="00A8138F" w:rsidRDefault="00A8138F" w:rsidP="00A8138F">
      <w:pPr>
        <w:pStyle w:val="TextoNormal"/>
      </w:pPr>
    </w:p>
    <w:p w14:paraId="713D215D" w14:textId="77777777" w:rsidR="00A8138F" w:rsidRDefault="00A8138F" w:rsidP="00A8138F">
      <w:pPr>
        <w:pStyle w:val="TextoNormal"/>
      </w:pPr>
      <w:r>
        <w:t>VI.1</w:t>
      </w:r>
      <w:r w:rsidRPr="00A8138F">
        <w:rPr>
          <w:i/>
        </w:rPr>
        <w:t>. El pacto político en el que se funda la Ley Orgánica 1/2024, de amnist</w:t>
      </w:r>
      <w:r>
        <w:t>ía</w:t>
      </w:r>
    </w:p>
    <w:p w14:paraId="1C3BFE62" w14:textId="77777777" w:rsidR="00A8138F" w:rsidRDefault="00A8138F" w:rsidP="00A8138F">
      <w:pPr>
        <w:pStyle w:val="TextoNormal"/>
      </w:pPr>
    </w:p>
    <w:p w14:paraId="242F51B3" w14:textId="77777777" w:rsidR="00A8138F" w:rsidRDefault="00A8138F" w:rsidP="00A8138F">
      <w:pPr>
        <w:pStyle w:val="TextoNormal"/>
      </w:pPr>
      <w:r>
        <w:t>La amnistía otorgada por la Ley Orgánica 1/2024, como es público y notorio, trae causa del acuerdo político suscrito el 9 de noviembre de 2023 entre el partido al que pertenecen los diputados del grupo parlamentario autor de la proposición que dio lugar a referida ley (PSOE) y el partido al que pertenecen algunos de los eventuales beneficiarios de la amnistía regulada en esa ley (Junts per Catalunya, cuyo líder es el prófugo Carles Puigdemont). Dicho acuerdo, negociado por parte del Grupo Socialista por el entonces secretario de organización del PSOE y diputado de este partido don Santos Cerdán León, supuso el decisivo apoyo de los siete diputados del grupo parlamentario Junts a la investidura como presidente del Gobierno del candidato socialista don Pedro Sánchez Pérez-Castejón, quien, por cierto, antes de las elecciones generales de 23 de julio de 2023 (al igual que otros destacados miembros de su formación política), había venido sosteniendo públicamente que la amnistía no tiene cabida en la Constitución española; y en lógica coherencia con tales manifestaciones, ni en el programa electoral de su partido ni en sus intervenciones en la campaña electoral del mes de julio de 2023 aludió en momento alguno a la posibilidad de conceder la amnistía a los involucrados en los hechos delictivos derivados del llamado procés. Una posición esta coincidente, por cierto, con la sostenida con ocasión de los indultos a los políticos condenados por la Sala de lo Penal del Tribunal Supremo en la sentencia de la causa especial seguida por aquellos hechos, pues en la propuesta motivada elevada por el entonces ministro de Justicia don Juan Carlos Campo (actualmente magistrado del Tribunal Constitucional, y abstenido en este recurso) al Consejo de Ministros para la concesión de esos indultos, se justificaban precisamente estos por contraposición a la amnistía, ya que el indulto no hace desaparecer el delito, “a diferencia de la amnistía, claramente inconstitucional”.</w:t>
      </w:r>
    </w:p>
    <w:p w14:paraId="1DE606F1" w14:textId="77777777" w:rsidR="00A8138F" w:rsidRDefault="00A8138F" w:rsidP="00A8138F">
      <w:pPr>
        <w:pStyle w:val="TextoNormal"/>
      </w:pPr>
    </w:p>
    <w:p w14:paraId="0436F223" w14:textId="77777777" w:rsidR="00A8138F" w:rsidRDefault="00A8138F" w:rsidP="00A8138F">
      <w:pPr>
        <w:pStyle w:val="TextoNormal"/>
      </w:pPr>
      <w:r>
        <w:t xml:space="preserve">En efecto, en ese acuerdo PSOE-Junts, aparte de otros compromisos que no vienen ahora al caso, destaca de manera especial el relativo a la aprobación de (y reproducimos literalmente el texto del acuerdo, que lleva las firmas del citado don Santos Cerdán y del secretario general de Junts per Catalunya, don Jordi Turull): “La Ley de amnistía, para procurar la plena normalidad política, institucional y social como requisito imprescindible para abordar los retos del futuro inmediato. Esta ley debe incluir tanto a los responsables como a los ciudadanos que, antes y después de la consulta de 2014 y del referéndum de 2017, han sido objeto de decisiones o procesos judiciales vinculados a estos eventos. En este sentido, las conclusiones de las comisiones de investigación que se constituirán en la próxima legislatura se tendrán en cuenta en la aplicación de la Ley de amnistía en la medida que pudieran derivarse situaciones comprendidas en el concepto </w:t>
      </w:r>
      <w:r w:rsidRPr="00A8138F">
        <w:rPr>
          <w:i/>
        </w:rPr>
        <w:t>lawfare</w:t>
      </w:r>
      <w:r>
        <w:t xml:space="preserve"> o judicialización de la política, con las consecuencias que, en su caso, puedan dar lugar a acciones de responsabilidad o modificaciones legislativas”. Como contrapartida, se acuerda “La investidura de Pedro Sánchez, con el voto a favor de todos los diputados de Junts”.</w:t>
      </w:r>
    </w:p>
    <w:p w14:paraId="08C6104E" w14:textId="77777777" w:rsidR="00A8138F" w:rsidRDefault="00A8138F" w:rsidP="00A8138F">
      <w:pPr>
        <w:pStyle w:val="TextoNormal"/>
      </w:pPr>
    </w:p>
    <w:p w14:paraId="2EC47077" w14:textId="77777777" w:rsidR="00A8138F" w:rsidRDefault="00A8138F" w:rsidP="00A8138F">
      <w:pPr>
        <w:pStyle w:val="TextoNormal"/>
      </w:pPr>
      <w:r>
        <w:t>Pocos días antes, se había cerrado otro acuerdo entre el PSOE y Esquerra Republicana de Catalunya (ERC), en el que también se incluyó el compromiso de votar los diputados de este partido a favor de la investidura de don Pedro Sánchez como presidente del Gobierno a cambio de la aprobación de una ley de amnistía.</w:t>
      </w:r>
    </w:p>
    <w:p w14:paraId="4D3E5F35" w14:textId="77777777" w:rsidR="00A8138F" w:rsidRDefault="00A8138F" w:rsidP="00A8138F">
      <w:pPr>
        <w:pStyle w:val="TextoNormal"/>
      </w:pPr>
    </w:p>
    <w:p w14:paraId="1C4E5C75" w14:textId="77777777" w:rsidR="00A8138F" w:rsidRDefault="00A8138F" w:rsidP="00A8138F">
      <w:pPr>
        <w:pStyle w:val="TextoNormal"/>
      </w:pPr>
      <w:r>
        <w:t xml:space="preserve">Quienes iban a beneficiarse de la futura ley de amnistía dejaron muy claro el alcance del acuerdo al que llegaron con el Grupo Socialista: votos para la investidura del candidato Pedro Sánchez a cambio del otorgamiento de una amnistía plena. Estamos, en suma, ante un “trato” en favor del interés particular de quien pretendía continuar siendo presidente del Gobierno de la Nación y el de quienes querían ver borradas por completo las consecuencias punitivas derivadas de su intentona de subversión del orden constitucional llevada a cabo años atrás. Uno y otros han logrado sus propósitos respectivos. Utilizando las palabras de Cicerón (en su discurso contra Clodio, que había hecho que se confiscasen sus bienes), la Ley de amnistía resulta ser así una ley </w:t>
      </w:r>
      <w:r w:rsidRPr="00A8138F">
        <w:rPr>
          <w:i/>
        </w:rPr>
        <w:t>pro domo sua</w:t>
      </w:r>
      <w:r>
        <w:t>, es decir, en favor de los propios intereses de quienes firman el referido acuerdo y, por tanto, es una ley que no responde al interés general o común por el que los poderes públicos (también el legisla</w:t>
      </w:r>
      <w:r w:rsidRPr="00A8138F">
        <w:rPr>
          <w:i/>
        </w:rPr>
        <w:t>do</w:t>
      </w:r>
      <w:r>
        <w:t>r ex art. 9.1 CE) están obligados a velar.</w:t>
      </w:r>
    </w:p>
    <w:p w14:paraId="2E1C4369" w14:textId="77777777" w:rsidR="00A8138F" w:rsidRDefault="00A8138F" w:rsidP="00A8138F">
      <w:pPr>
        <w:pStyle w:val="TextoNormal"/>
      </w:pPr>
    </w:p>
    <w:p w14:paraId="3FFE80DE" w14:textId="77777777" w:rsidR="00A8138F" w:rsidRDefault="00A8138F" w:rsidP="00A8138F">
      <w:pPr>
        <w:pStyle w:val="TextoNormal"/>
      </w:pPr>
      <w:r>
        <w:t>VI.2</w:t>
      </w:r>
      <w:r w:rsidRPr="00A8138F">
        <w:rPr>
          <w:i/>
        </w:rPr>
        <w:t>. La Ley Orgánica 1/2024, de amnistía, no responde a la defensa del interés general o com</w:t>
      </w:r>
      <w:r>
        <w:t>ún</w:t>
      </w:r>
    </w:p>
    <w:p w14:paraId="7692D3FC" w14:textId="77777777" w:rsidR="00A8138F" w:rsidRDefault="00A8138F" w:rsidP="00A8138F">
      <w:pPr>
        <w:pStyle w:val="TextoNormal"/>
      </w:pPr>
    </w:p>
    <w:p w14:paraId="7D48252F" w14:textId="77777777" w:rsidR="00A8138F" w:rsidRDefault="00A8138F" w:rsidP="00A8138F">
      <w:pPr>
        <w:pStyle w:val="TextoNormal"/>
      </w:pPr>
      <w:r>
        <w:t xml:space="preserve">Esa transacción política a la que nos hemos referido es efectivamente la razón de ser (quizás más que de razón cabe hablar de explicación, pues la razón es la voz del Derecho) y no otra de la amnistía otorgada por la Ley Orgánica 1/2024. Los argumentos (que no razones) invocados en su preámbulo, que a la sentencia, si se me permite la expresión, le parecen de perlas (una justificación clara y razonable de la amnistía, se afirma: FJ 7.3.2), referidas a “buscar una mejora de la convivencia y de la cohesión social”, a “conseguir una mayor paz ciudadana”, etc., no son más que pura palabrería vana para encubrir el hecho notorio, la verdadera causa de esa amnistía, que no es otra que la indicada transacción. Así lo han advertido numerosos juristas de reconocido prestigio, entre ellos el magistrado emérito de este tribunal, don Javier Delgado Barrio, quien ha señalado que “Expresado descarnadamente, este el trato: tú me das los votos que me hacen falta y yo te consigo el olvido —amnistía viene de amnesia— de tus delitos para que puedas volver a España sin que los jueces te juzguen. Luce aquí claramente un interés personal muy alejado del campo de los intereses públicos en el que viven los fines en atención a los cuales la Constitución ha establecido la prerrogativa de gracia” (“Una amnistía arbitraria”, en </w:t>
      </w:r>
      <w:r w:rsidRPr="00A8138F">
        <w:rPr>
          <w:i/>
        </w:rPr>
        <w:t>La amnistía en España: Constitución y Estado de Derecho</w:t>
      </w:r>
      <w:r>
        <w:t>, A Coruña, 2024). Pero la sentencia de la que discrepo se autoaplica la amnesia y desconoce o no le importa el hecho notorio. El Tribunal Constitucional renuncia así a ejercer la función de control jurisdiccional que le corresponde como órgano de garantías constitucionales, asumiendo acríticamente lo que el preámbulo de la Ley Orgánica 1/2024 expresa; es decir, el Tribunal Constitucional se somete al juicio del legislador, cuando es la obra de este la que debe someterse al enjuiciamiento del Tribunal, en razón que a este le corresponde la alta misión de garantizar la primacía de la Constitución (art. 27.1 LOTC). La sentencia aprobada por la mayoría del Tribunal (seis votos frente a cuatro) escamotea la gran cuestión que plantea la Ley Orgánica 1/2024, de amnistía, esto es, la arbitrariedad del legislador, porque presume que si el Tribunal la afronta estaría haciendo un juicio político o de las intenciones políticas del legislador.</w:t>
      </w:r>
    </w:p>
    <w:p w14:paraId="256233DA" w14:textId="77777777" w:rsidR="00A8138F" w:rsidRDefault="00A8138F" w:rsidP="00A8138F">
      <w:pPr>
        <w:pStyle w:val="TextoNormal"/>
      </w:pPr>
    </w:p>
    <w:p w14:paraId="5A898B4A" w14:textId="77777777" w:rsidR="00A8138F" w:rsidRDefault="00A8138F" w:rsidP="00A8138F">
      <w:pPr>
        <w:pStyle w:val="TextoNormal"/>
      </w:pPr>
      <w:r>
        <w:t>Este argumento es extravagante e inconsistente, pues no tiene en cuenta que el art. 9.3 CE, al proclamar la interdicción de la arbitrariedad de los poderes públicos, incluye entre estos al legislador, como así resulta del art. 9.1 CE; el legislador no puede actuar arbitrariamente, y en razón de ello el juez de la constitucionalidad ha de entrar a examinar no los propósitos o preferencias, estrategias o intenciones políticas del legislador, pero sí debe someter a su escrutinio los enunciados del texto legal enjuiciado para contrastar si las razones ofrecidas por el propio legislador obedecen o no al objetivo de interés general que se indica por aquel, y ello en la inexcusable defensa —de la que el Tribunal Constitucional no puede abdicar— de los principios constitucionales que definen el Estado democrático de Derecho (art. 1.1 CE).</w:t>
      </w:r>
    </w:p>
    <w:p w14:paraId="56460752" w14:textId="77777777" w:rsidR="00A8138F" w:rsidRDefault="00A8138F" w:rsidP="00A8138F">
      <w:pPr>
        <w:pStyle w:val="TextoNormal"/>
      </w:pPr>
    </w:p>
    <w:p w14:paraId="15E689CD" w14:textId="77777777" w:rsidR="00A8138F" w:rsidRDefault="00A8138F" w:rsidP="00A8138F">
      <w:pPr>
        <w:pStyle w:val="TextoNormal"/>
      </w:pPr>
      <w:r>
        <w:t>Y es que, en efecto, ese inexcusable control constitucional lleva a la conclusión de que la Ley Orgánica 1/2024, de amnistía, no responde a ningún pretendido objetivo de interés general, sino al mero y descarnado interés particular de quienes suscribieron (y se beneficiaron de las consiguientes contrapartidas reciprocas) los referidos pactos políticos, en particular el acordado entre PSOE y Junts.</w:t>
      </w:r>
    </w:p>
    <w:p w14:paraId="071F760A" w14:textId="77777777" w:rsidR="00A8138F" w:rsidRDefault="00A8138F" w:rsidP="00A8138F">
      <w:pPr>
        <w:pStyle w:val="TextoNormal"/>
      </w:pPr>
    </w:p>
    <w:p w14:paraId="65849104" w14:textId="77777777" w:rsidR="00A8138F" w:rsidRDefault="00A8138F" w:rsidP="00A8138F">
      <w:pPr>
        <w:pStyle w:val="TextoNormal"/>
      </w:pPr>
      <w:r>
        <w:t>Así lo ha advertido, por cierto, la propia Comisión Europea en las alegaciones ante el Tribunal de Justicia de la Unión Europea en la cuestión prejudicial que sobre la Ley Orgánica 1/2024 ha planteado el Tribunal de Cuentas español, que se han hecho públicas, al señalar, entre otros extremos muy relevantes, que “no parece que la Ley Orgánica de Amnistia [Ley Orgánica 1/2024] responda efectivamente a un objetivo de interés general reconocido por la Unión. De entrada, la Ley de amnistía parece constituir una autoamnistía, por dos motivos. En primer lugar, porque los votos de sus beneficiarios han sido fundamentales para su aprobación en el Parlamento español. En segundo lugar, porque el proyecto de ley es parte de un acuerdo político para lograr la investidura del Gobierno de España. Pues bien, si hay respaldo para considerar que las autoamnistías en las que quien ostenta el poder político pretende blindarse garantizándose su inmunidad jurídica son contrarias al principio del Estado de Derecho, parece que el mismo criterio habría que aplicar cuando quien está en el Gobierno garantiza la impunidad de sus socios a cambio del apoyo parlamentario” (parágrafo 94 del informe).</w:t>
      </w:r>
    </w:p>
    <w:p w14:paraId="347CC8E6" w14:textId="77777777" w:rsidR="00A8138F" w:rsidRDefault="00A8138F" w:rsidP="00A8138F">
      <w:pPr>
        <w:pStyle w:val="TextoNormal"/>
      </w:pPr>
    </w:p>
    <w:p w14:paraId="4BA7C4EE" w14:textId="77777777" w:rsidR="00A8138F" w:rsidRDefault="00A8138F" w:rsidP="00A8138F">
      <w:pPr>
        <w:pStyle w:val="TextoNormal"/>
      </w:pPr>
      <w:r>
        <w:t>Y añade aún la Comisión Europea: “Constituye otro indicio en la misma dirección el hecho de que la tramitación de la Ley de amnistía siguiera un procedimiento por vía de urgencia, eludiendo así importantes informes de órganos consultivos y sin consulta pública. Como lo ha señalado la Comisión de Venecia, la Ley de amnistía ha ahondado una división profunda y virulenta en la clase política, en las instituciones, en el mundo judicial, en el mundo académico y en la sociedad española” (parágrafo 95 del informe).</w:t>
      </w:r>
    </w:p>
    <w:p w14:paraId="30D68FF4" w14:textId="77777777" w:rsidR="00A8138F" w:rsidRDefault="00A8138F" w:rsidP="00A8138F">
      <w:pPr>
        <w:pStyle w:val="TextoNormal"/>
      </w:pPr>
    </w:p>
    <w:p w14:paraId="10EF7123" w14:textId="77777777" w:rsidR="00A8138F" w:rsidRDefault="00A8138F" w:rsidP="00A8138F">
      <w:pPr>
        <w:pStyle w:val="TextoNormal"/>
      </w:pPr>
      <w:r>
        <w:t>Otro hecho que corrobora la ausencia de interés general en la amnistía decretada por la Ley Orgánica 1/2024 es que los principales beneficiarios de esta (que a la vez son sus impulsores, como está acreditado) han seguido haciendo pública y reiterada ostentación tras los acuerdos referidos, e incluso tras aprobarse por esa ley la amnistía pactada, de su nula voluntad de “buscar una mejora de la convivencia y la cohesión social” y de “superar […] las tensiones sociales y políticas generadas con el denominado proceso independentista en Cataluña”: ho tornarem a fer (“lo volveremos a hacer”); expresión que implica la intención de repetir las actuaciones de subversión del orden constitucional que culminaron en los graves sucesos de septiembre y octubre de 2017.</w:t>
      </w:r>
    </w:p>
    <w:p w14:paraId="7C8FE55B" w14:textId="77777777" w:rsidR="00A8138F" w:rsidRDefault="00A8138F" w:rsidP="00A8138F">
      <w:pPr>
        <w:pStyle w:val="TextoNormal"/>
      </w:pPr>
    </w:p>
    <w:p w14:paraId="0139022B" w14:textId="77777777" w:rsidR="00A8138F" w:rsidRDefault="00A8138F" w:rsidP="00A8138F">
      <w:pPr>
        <w:pStyle w:val="TextoNormal"/>
      </w:pPr>
      <w:r>
        <w:t xml:space="preserve">No existe, en suma, el supuesto interés general al que falazmente alude el extenso y gárrulo preámbulo de la Ley Orgánica 1/2024 para justificar la amnistía pactada, consistente en restañar la convivencia social y política quebrada por la insurrección independentista catalana, pues esa pretendida finalidad sanadora queda plenamente desvirtuada por los hechos anteriores, coetáneos e incluso posteriores a la aprobación de dicha ley. Lo que hay de cierto en este caso es una conjunción de intereses privativos, particulares: por una parte, el de quien accede a conceder la amnistía (que poco antes rechazaba por inconstitucional) para conseguir su investidura como presidente del Gobierno de la Nación, y por otra el de quienes se benefician directamente de la amnistía a cambio de apoyar con sus votos esa investidura (de ahí que pueda perfectamente hablarse de “autoamnistía”, o de una amnistía </w:t>
      </w:r>
      <w:r w:rsidRPr="00A8138F">
        <w:rPr>
          <w:i/>
        </w:rPr>
        <w:t>ad personam</w:t>
      </w:r>
      <w:r>
        <w:t>, por más que el beneficio se extienda a un número indeterminado de sujetos). Como se ha dicho, se trata de un pacto por el que, a cambio de que el secretario general del PSOE don Pedro Sánchez fuera investido como presidente del Gobierno, el Parlamento español aprueba una ley de amnistía diseñada para el mayor beneficio de una políticos que han cometido delitos gravísimos de sedición y malversación de caudales públicos en el intento de segregar una parte del territorio nacional, quebrar la convivencia entre españoles y expulsar a millones de catalanes de su condición ciudadana. Por lo demás, la Ley Orgánica 1/2024, de amnistía, no ha traído concordia alguna, sino que lo que ha provocado, ya desde el comienzo de su andadura parlamentaria, es mayores desgarros y fracturas sociales, como es perfectamente conocido por todos.</w:t>
      </w:r>
    </w:p>
    <w:p w14:paraId="54182840" w14:textId="77777777" w:rsidR="00A8138F" w:rsidRDefault="00A8138F" w:rsidP="00A8138F">
      <w:pPr>
        <w:pStyle w:val="TextoNormal"/>
      </w:pPr>
    </w:p>
    <w:p w14:paraId="7E91528C" w14:textId="77777777" w:rsidR="00A8138F" w:rsidRDefault="00A8138F" w:rsidP="00A8138F">
      <w:pPr>
        <w:pStyle w:val="TextoNormal"/>
      </w:pPr>
      <w:r>
        <w:t>VI.3</w:t>
      </w:r>
      <w:r w:rsidRPr="00A8138F">
        <w:rPr>
          <w:i/>
        </w:rPr>
        <w:t>. La Ley Orgánica 1/2024, de amnistía, es un supuesto paradigmático de arbitrariedad del legislad</w:t>
      </w:r>
      <w:r>
        <w:t>or</w:t>
      </w:r>
    </w:p>
    <w:p w14:paraId="57FF578F" w14:textId="77777777" w:rsidR="00A8138F" w:rsidRDefault="00A8138F" w:rsidP="00A8138F">
      <w:pPr>
        <w:pStyle w:val="TextoNormal"/>
      </w:pPr>
    </w:p>
    <w:p w14:paraId="1842AD40" w14:textId="77777777" w:rsidR="00A8138F" w:rsidRDefault="00A8138F" w:rsidP="00A8138F">
      <w:pPr>
        <w:pStyle w:val="TextoNormal"/>
      </w:pPr>
      <w:r>
        <w:t>Cuanto acaba de afirmarse no es, en modo alguno, un juicio de intenciones políticas, vedado al Tribunal Constitucional en su control de la ley, como se dice en la sentencia, sino el resultado de la constatación de hechos plenamente acreditados porque son notorios. Como ha señalado quien fuera presidente de este tribunal y abogado del Tribunal de Justicia de la Unión Europea, el profesor Cruz Villalón (“Primeras consideraciones sobre el control constitucional de la Ley de amnistía”, cit.), estamos “ante una amnistía política en toda regla, en la que se acumula excepción sobre excepción. Como tal amnistía política implica ya que la excepcionalidad por definición de toda amnistía se eleva al cubo: es excepcional dentro de la propia excepción de la medida. Por ello no basta con que esté justificada, sino que ha de estar excepcionalmente justificada”. Lo que, además, determina que resulte obligado el enjuiciamiento de la legitimidad constitucional de esa decisión, que en último término remite al control desde la perspectiva de la interdicción de la arbitrariedad de los poderes públicos (art. 9.3 CE), y ese control no lo supera para un juez de la constitucionalidad, pues como expone Cándido Paz-Ares (</w:t>
      </w:r>
      <w:r w:rsidRPr="00A8138F">
        <w:rPr>
          <w:i/>
        </w:rPr>
        <w:t>Las falacias de la amnistía</w:t>
      </w:r>
      <w:r>
        <w:t>, Granada, 2024), “el proceder del legislador, vistos los motivos empíricos que lo guiarán realiza un supuesto paradigmático de desviación de poder, y por ende incurre en arbitrariedad. El fundamento último del reproche de arbitrariedad estriba en el carácter insólitamente interesado de la amnistía, a través de la cual permiten ventajas particulares o faccionales: el poder para unos y la impunidad para otros”.</w:t>
      </w:r>
    </w:p>
    <w:p w14:paraId="1C8C6E82" w14:textId="77777777" w:rsidR="00A8138F" w:rsidRDefault="00A8138F" w:rsidP="00A8138F">
      <w:pPr>
        <w:pStyle w:val="TextoNormal"/>
      </w:pPr>
    </w:p>
    <w:p w14:paraId="36560426" w14:textId="77777777" w:rsidR="00A8138F" w:rsidRDefault="00A8138F" w:rsidP="00A8138F">
      <w:pPr>
        <w:pStyle w:val="TextoNormal"/>
      </w:pPr>
      <w:r>
        <w:t xml:space="preserve">Más recientemente, el profesor Cruz Villalón ha insistido en la misma idea, señalando certeramente (“Las intenciones del legislador”, </w:t>
      </w:r>
      <w:r w:rsidRPr="00A8138F">
        <w:rPr>
          <w:i/>
        </w:rPr>
        <w:t>El País</w:t>
      </w:r>
      <w:r>
        <w:t>, 20 de junio de 2025), que si el recurso de inconstitucionalidad contra la Ley de amnistía pivota sobre la arbitrariedad del legislador, el Tribunal tiene que examinar su objetivo político, porque es el propio legislador el que ha plasmado sus intenciones en el texto de la Ley Orgánica 1/2024, de amnistía, de suerte que “a diferencia de las denunciadas por los recurrentes, tachadas de extrajurídicas” por la sentencia del Tribunal, “estas otras intenciones confesadas […] han sido puestas negro sobre blanco por el legislador. Y esto con la consecuencia ineluctable de ser las que cuentan”.</w:t>
      </w:r>
    </w:p>
    <w:p w14:paraId="5543CE2B" w14:textId="77777777" w:rsidR="00A8138F" w:rsidRDefault="00A8138F" w:rsidP="00A8138F">
      <w:pPr>
        <w:pStyle w:val="TextoNormal"/>
      </w:pPr>
    </w:p>
    <w:p w14:paraId="2930355F" w14:textId="77777777" w:rsidR="00A8138F" w:rsidRDefault="00A8138F" w:rsidP="00A8138F">
      <w:pPr>
        <w:pStyle w:val="TextoNormal"/>
      </w:pPr>
      <w:r>
        <w:t>Ese escrutinio constitucional, obligado para este tribunal, conduce directamente a apreciar que la Ley Orgánica 1/2024, de amnistía, no es en modo alguno el resultado del ejercicio legítimo por parte del legislador (de las Cortes Generales) de su libertad de configuración de una determinada materia, como se pretende en la sentencia que nos ocupa, sino que se trata de una decisión que excede de las potestades que le han sido constitucionalmente atribuidas a aquel y que, además, es arbitraria de manera patente, pues ha quedado constatado que la amnistía otorgada no pretende satisfacer el supuesto interés general falazmente invocado en el preámbulo de la ley (por más que otra cosa haya entendido la mayoría de este tribunal en la lamentable sentencia de la que disiento), sino que responde en realidad al particular y espurio interés —dígase con toda crudeza— del intercambio de votos por impunidad. Una decisión o actuación de un poder público cuyo fundamento último no descansa en el ordenamiento jurídico, ni pretende satisfacer el interés general, cae de lleno en la interdicción constitucional de la arbitrariedad de los poderes públicos (art. 9.3 CE). Su sanción, cuando esa decisión se plasma en una ley, como ocurre en este caso, no puede ser otra que la declaración de inconstitucionalidad y nulidad de esa norma por parte de este tribunal. Lo contrario supone una lamentable abdicación de este en la irrenunciable responsabilidad que le incumbe como guardián de la Constitución, pues no puede olvidarse que la expresa voluntad del constituyente sitúa al Tribunal Constitucional como garante último del equilibrio de poderes constitucionalmente establecido, incluyendo por tanto la posibilidad de limitar la capacidad de actuación del legislador cuando este exceda de los márgenes constitucionales, como patentemente sucede en el supuesto que nos ocupa.</w:t>
      </w:r>
    </w:p>
    <w:p w14:paraId="7116360A" w14:textId="77777777" w:rsidR="00A8138F" w:rsidRDefault="00A8138F" w:rsidP="00A8138F">
      <w:pPr>
        <w:pStyle w:val="TextoNormal"/>
      </w:pPr>
    </w:p>
    <w:p w14:paraId="14AD42F6" w14:textId="77777777" w:rsidR="00A8138F" w:rsidRDefault="00A8138F" w:rsidP="00A8138F">
      <w:pPr>
        <w:pStyle w:val="TextoNormal"/>
      </w:pPr>
      <w:r>
        <w:t>VI.4</w:t>
      </w:r>
      <w:r w:rsidRPr="00A8138F">
        <w:rPr>
          <w:i/>
        </w:rPr>
        <w:t>. El Tribunal Constitucional ha renunciado explícitamente a la búsqueda de la verdad, al desconocer el hecho notorio de que la Ley Orgánica 1/2024 trae causa de un trato no fundado en el interés general o com</w:t>
      </w:r>
      <w:r>
        <w:t>ún</w:t>
      </w:r>
    </w:p>
    <w:p w14:paraId="3D53DAFE" w14:textId="77777777" w:rsidR="00A8138F" w:rsidRDefault="00A8138F" w:rsidP="00A8138F">
      <w:pPr>
        <w:pStyle w:val="TextoNormal"/>
      </w:pPr>
    </w:p>
    <w:p w14:paraId="122B9B03" w14:textId="77777777" w:rsidR="00A8138F" w:rsidRDefault="00A8138F" w:rsidP="00A8138F">
      <w:pPr>
        <w:pStyle w:val="TextoNormal"/>
      </w:pPr>
      <w:r>
        <w:t>En definitiva, la verdadera finalidad perseguida por la Ley Orgánica 1/2024, de amnistía, no se corresponde con la que de forma mendaz se alega en su preámbulo, que la sentencia aprobada por la mayoría del Tribunal Constitucional asume acríticamente, utilizando razonamientos meramente tautológicos. La mayoría del Tribunal, por tanto, renuncia explícitamente a la verdad, a la búsqueda de la verdad, que en el proceso jurisdiccional nace de los hechos probados. El Tribunal renuncia a garantizar la primacía de la Constitución (art. 27.1 LOTC), se aparta de esta al soslayar la búsqueda de la verdad, en este caso notoria a primera vista, abdicando así de su función de defensa de la Constitución. No cabe apreciar el supuesto interés general en el que dice fundarse la amnistía según el mendaz preámbulo de la Ley Orgánica 1/2024. Si la finalidad del legislador fuera fomentar la convivencia democrática en Cataluña y contribuir a la reconciliación y “normalización” no tendría sentido (y la sentencia aprobada por la mayoría del Tribunal así lo reconoce en el fundamento jurídico 8.3.4 y 8.3.5 con su creativa interpretación que completa la ley en aquello que esta omitió, extendiendo su ámbito de aplicación subjetivo), que se hubiera excluido del beneficio de la amnistía a quienes realizaron actos contrarios al denominado procés. No existe, pues, ese supuesto interés general que se invoca en el preámbulo de la Ley Orgánica 1/2024, que tampoco responde a una supuesta voluntad mayoritaria que pueda apreciarse en ningún ámbito, habida cuenta del carácter profundamente divisivo y conflictivo de la amnistía. De ser constitucionalmente posible, una medida de gracia como esta solo cabría por estar al servicio del mantenimiento de determinados valores constitucionales de especial trascendencia, justificativos del sacrificio, siquiera ocasional, de principios constitucionales básicos como los de interdicción de la arbitrariedad de los poderes públicos, igualdad de los ciudadanos ante la ley y separación de poderes.</w:t>
      </w:r>
    </w:p>
    <w:p w14:paraId="7D306DBB" w14:textId="77777777" w:rsidR="00A8138F" w:rsidRDefault="00A8138F" w:rsidP="00A8138F">
      <w:pPr>
        <w:pStyle w:val="TextoNormal"/>
      </w:pPr>
    </w:p>
    <w:p w14:paraId="7BE48170" w14:textId="77777777" w:rsidR="00A8138F" w:rsidRDefault="00A8138F" w:rsidP="00A8138F">
      <w:pPr>
        <w:pStyle w:val="TextoNormal"/>
      </w:pPr>
      <w:r>
        <w:t>Por lo demás, si la finalidad de la Ley Orgánica 1/2024, de amnistía, fuera facilitar la reconciliación y superar un “conflicto político sostenido en el tiempo”, es evidente que la realidad desmiente rotundamente que pueda servir para la consecución de ese objetivo, habida cuenta de las graves disensiones que la norma, ya desde el comienzo de la tramitación parlamentaria que culminó con su aprobación, ha generado. Así lo apreció la Comisión de Venecia en su informe sobre la proposición de ley que daría lugar a la Ley Orgánica 1/2024, cuando señala, como ya hemos indicado antes, que esa iniciativa legislativa “ha intensificado una profunda y virulenta división en la clase política, las instituciones, el poder judicial, el mundo académico y la sociedad española”. La amnistía otorgada por la Ley Orgánica 1/2024 no ha conseguido el supuesto objetivo de la reconciliación y la superación del conflicto político al que alude el preámbulo de la ley, sino que, por el contrario, ha conducido a exacerbar la polarización y la división social, como evidencian las encuestas publicadas al respecto en distintos medios de comunicación social, con el riesgo añadido de alentar a quienes, merced a una transacción política, han visto olvidados sus delitos, a volver a intentar la subversión del ordenamiento constitucional, como ya han amenazado hacer (ho tornarem a fer).</w:t>
      </w:r>
    </w:p>
    <w:p w14:paraId="182BFB07" w14:textId="77777777" w:rsidR="00A8138F" w:rsidRDefault="00A8138F" w:rsidP="00A8138F">
      <w:pPr>
        <w:pStyle w:val="TextoNormal"/>
      </w:pPr>
    </w:p>
    <w:p w14:paraId="2F354BAB" w14:textId="77777777" w:rsidR="00A8138F" w:rsidRDefault="00A8138F" w:rsidP="00A8138F">
      <w:pPr>
        <w:pStyle w:val="TextoNormal"/>
      </w:pPr>
      <w:r>
        <w:t>VI.5</w:t>
      </w:r>
      <w:r w:rsidRPr="00A8138F">
        <w:rPr>
          <w:i/>
        </w:rPr>
        <w:t>. La Ley Orgánica 1/2024 es inconsecuente con la pretensión de reconciliación en la que afirma basar</w:t>
      </w:r>
      <w:r>
        <w:t>se</w:t>
      </w:r>
    </w:p>
    <w:p w14:paraId="08EEAE5C" w14:textId="77777777" w:rsidR="00A8138F" w:rsidRDefault="00A8138F" w:rsidP="00A8138F">
      <w:pPr>
        <w:pStyle w:val="TextoNormal"/>
      </w:pPr>
    </w:p>
    <w:p w14:paraId="6BA6311E" w14:textId="77777777" w:rsidR="00A8138F" w:rsidRDefault="00A8138F" w:rsidP="00A8138F">
      <w:pPr>
        <w:pStyle w:val="TextoNormal"/>
      </w:pPr>
      <w:r>
        <w:t xml:space="preserve">Para que pueda aceptarse como veraz el objetivo de reconciliación y de reencuentro que se traza en el preámbulo de la Ley Orgánica 1/2024 por el legislador, este debería acreditar que el procedimiento por el que pretende alcanzarse —la amnistía— es compartido por la sociedad española a la que se llama a esa reconciliación. En efecto, cabe razonablemente dudar de que ese procedimiento para conseguir el pretendido objetivo “pacificador” sea compartido por la sociedad española, si atendemos a las numerosas encuestas de opinión publicadas en los medios de comunicación, de las que se hace eco la Comisión de Venecia, y cuyos titulares reproducimos: </w:t>
      </w:r>
      <w:r w:rsidRPr="00A8138F">
        <w:rPr>
          <w:i/>
        </w:rPr>
        <w:t>El Español</w:t>
      </w:r>
      <w:r>
        <w:t xml:space="preserve">, 8 de marzo de 2024, “Sánchez da luz verde a la amnistía con el 71 por 100 del país en contra, incluido el 40 por 100 de los votantes del PSOE”; </w:t>
      </w:r>
      <w:r w:rsidRPr="00A8138F">
        <w:rPr>
          <w:i/>
        </w:rPr>
        <w:t>El País</w:t>
      </w:r>
      <w:r>
        <w:t>, 4 de diciembre de 2023, “Un 60 por 100 de los españoles considera que la amnistía es injusta y supone un privilegio”; El Mundo, 29 de marzo de 2024: “Más de la mitad de los españoles y un tercio de los socialistas cree que la amnistía traerá un nuevo procés”. La oposición a la medida de gracia sigue instalada por encima del 62 por 100, en fin, la muy reciente d</w:t>
      </w:r>
      <w:r w:rsidRPr="00A8138F">
        <w:rPr>
          <w:i/>
        </w:rPr>
        <w:t>e El Periódi</w:t>
      </w:r>
      <w:r>
        <w:t>co, 19 de junio de 2025: “el 62 por 100 de los españoles se oponen a la amnistía pese al aval del Constitucional”.</w:t>
      </w:r>
    </w:p>
    <w:p w14:paraId="4F233C4C" w14:textId="77777777" w:rsidR="00A8138F" w:rsidRDefault="00A8138F" w:rsidP="00A8138F">
      <w:pPr>
        <w:pStyle w:val="TextoNormal"/>
      </w:pPr>
    </w:p>
    <w:p w14:paraId="2F3FF2B8" w14:textId="77777777" w:rsidR="00A8138F" w:rsidRDefault="00A8138F" w:rsidP="00A8138F">
      <w:pPr>
        <w:pStyle w:val="TextoNormal"/>
      </w:pPr>
      <w:r>
        <w:t xml:space="preserve">Estamos, en fin, ante una ley inconsecuente e incoherente con la pretensión buscada y que no es sino una flagrante autoamnistía. Como escribe Germán Teruel (“Sobre la ilegitimidad constitucional de la amnistía al procés”, </w:t>
      </w:r>
      <w:r w:rsidRPr="00A8138F">
        <w:rPr>
          <w:i/>
        </w:rPr>
        <w:t>El Cronista del Estado Social y de Derecho</w:t>
      </w:r>
      <w:r>
        <w:t>, núm. 114), la supuesta finalidad de interés general que se invoca para justificar la amnistía, esto es, restablecer la convivencia en Cataluña, se muestra inalcanzable a la luz de los hechos concretos y de los efectos pretendidamente positivos que podría llegar a tener, y palidece ante el desproporcionado sacrificio que se produce de los principios constitucionales.</w:t>
      </w:r>
    </w:p>
    <w:p w14:paraId="541C7BFF" w14:textId="77777777" w:rsidR="00A8138F" w:rsidRDefault="00A8138F" w:rsidP="00A8138F">
      <w:pPr>
        <w:pStyle w:val="TextoNormal"/>
      </w:pPr>
    </w:p>
    <w:p w14:paraId="0B9C9F11" w14:textId="77777777" w:rsidR="00A8138F" w:rsidRDefault="00A8138F" w:rsidP="00A8138F">
      <w:pPr>
        <w:pStyle w:val="TextoNormal"/>
      </w:pPr>
      <w:r>
        <w:t>En suma, como he señalado, la pretendida finalidad “pacificadora” que se invoca de manera falaz en el preámbulo de la Ley Orgánica 1/2024 no se corresponde con la realidad, como es público y notorio, pues la amnistía otorgada por esa ley, lejos de servir a los intereses generales, solo ha sido un medio para obtener el apoyo parlamentario a la investidura del presidente del Gobierno a cambio de la inmunidad de quienes a quienes subvirtieron gravemente el orden constitucional, esto es, ha respondido a un interés particular de los propios impulsores de la Ley de amnistía, que deslegitima a nuestras instituciones y degrada nuestro Estado social y democrático de Derecho. La arbitrariedad de esta ley está fuera de toda duda, lo cual sería suficiente para declarar su inconstitucionalidad y consiguiente nulidad, aún en la hipótesis (que no comparto, por lo ya expuesto) de que se entendiera que la Constitución no impide aprobar amnistías. Al dejar fuera la sentencia el reproche de arbitrariedad del legislador, “puede hacer que el reproche de arbitrariedad emigre de la ley al propio juez”, esto es, al juez constitucional, como bien dice el profesor Cruz Villalón (en el ya citado artículo “Las intenciones del legislador”</w:t>
      </w:r>
      <w:r w:rsidRPr="00A8138F">
        <w:rPr>
          <w:i/>
        </w:rPr>
        <w:t>, El Pa</w:t>
      </w:r>
      <w:r>
        <w:t>ís, 20 de junio de 2025), toda vez que es inencontrable, añado por mi cuenta, un supuesto más palmario de arbitrariedad legislativa que el que nos ocupa.</w:t>
      </w:r>
    </w:p>
    <w:p w14:paraId="117168D8" w14:textId="77777777" w:rsidR="00A8138F" w:rsidRDefault="00A8138F" w:rsidP="00A8138F">
      <w:pPr>
        <w:pStyle w:val="TextoNormal"/>
      </w:pPr>
    </w:p>
    <w:p w14:paraId="7A9A5FAD" w14:textId="77777777" w:rsidR="00A8138F" w:rsidRDefault="00A8138F" w:rsidP="00A8138F">
      <w:pPr>
        <w:pStyle w:val="TextoNormal"/>
      </w:pPr>
      <w:r>
        <w:t>En efecto, la sentencia aprobada por la mayoría del Tribunal pretende hacer un traje a la medida del objetivo perseguido por las fuerzas políticas impulsoras de la Ley Orgánica 1/2024 y beneficiadas por esta, intentando coser a ese traje las mangas del interés público y las perneras según las cuales con la amnistía decretada por esa ley se consigue la normalización política en forma de reconciliación y restauración de la convivencia democrática tanto en Cataluña como en el resto de España. Vanos intentos de la sentencia con los que busca completar (y hasta mejorar) la ley impugnada. Pero no es cierto que la Ley Orgánica 1/2024, de amnistía, suponga un refuerzo del Estado de Derecho, sino justamente lo contrario, su absoluta deslegitimación. Fuera de la Constitución no hay democracia, Estado de Derecho y convivencia posibles, sino despotismo y arbitrariedad.</w:t>
      </w:r>
    </w:p>
    <w:p w14:paraId="5A2326C7" w14:textId="77777777" w:rsidR="00A8138F" w:rsidRDefault="00A8138F" w:rsidP="00A8138F">
      <w:pPr>
        <w:pStyle w:val="TextoNormal"/>
      </w:pPr>
    </w:p>
    <w:p w14:paraId="254C05B1" w14:textId="77777777" w:rsidR="00A8138F" w:rsidRDefault="00A8138F" w:rsidP="00A8138F">
      <w:pPr>
        <w:pStyle w:val="TextoNormal"/>
      </w:pPr>
      <w:r>
        <w:t>VII</w:t>
      </w:r>
      <w:r w:rsidRPr="00A8138F">
        <w:rPr>
          <w:i/>
        </w:rPr>
        <w:t>. El procedimiento parlamentario que llevó a la aprobación de la Ley Orgánica 1/2024 corrobora la arbitrariedad del legislad</w:t>
      </w:r>
      <w:r>
        <w:t>or</w:t>
      </w:r>
    </w:p>
    <w:p w14:paraId="6F55398C" w14:textId="77777777" w:rsidR="00A8138F" w:rsidRDefault="00A8138F" w:rsidP="00A8138F">
      <w:pPr>
        <w:pStyle w:val="TextoNormal"/>
      </w:pPr>
    </w:p>
    <w:p w14:paraId="0719D387" w14:textId="77777777" w:rsidR="00A8138F" w:rsidRDefault="00A8138F" w:rsidP="00A8138F">
      <w:pPr>
        <w:pStyle w:val="TextoNormal"/>
      </w:pPr>
      <w:r>
        <w:t>Importa recordar ahora que la Ley Orgánica 1/2024 no solo es materialmente el resultado directo de los acuerdos políticos suscritos a primeros de noviembre de 2023 entre el partido al que pertenecen los diputados del grupo parlamentario autor de la proposición de ley que dio lugar a referida ley (PSOE) y los partidos a los que pertenecen algunos de los eventuales beneficiarios de la amnistía regulada en esa ley (Junts per Catalunya y Esquerra Republicana de Catalunya), sino que, además, la tramitación parlamentaria de esa proposición de ley evidencia la existencia de gravísimas irregularidades, que ponen en tela de juicio la limpieza misma del procedimiento parlamentario seguido para la aprobación de la ley, con directa afectación para el principio de pluralismo político (art. 1.1 CE) y los derechos de los parlamentarios (art. 23 CE), en particular de la minoría.</w:t>
      </w:r>
    </w:p>
    <w:p w14:paraId="6967CD46" w14:textId="77777777" w:rsidR="00A8138F" w:rsidRDefault="00A8138F" w:rsidP="00A8138F">
      <w:pPr>
        <w:pStyle w:val="TextoNormal"/>
      </w:pPr>
    </w:p>
    <w:p w14:paraId="5B77638F" w14:textId="77777777" w:rsidR="00A8138F" w:rsidRDefault="00A8138F" w:rsidP="00A8138F">
      <w:pPr>
        <w:pStyle w:val="TextoNormal"/>
      </w:pPr>
      <w:r>
        <w:t>La doctrina constitucional ha enfatizado la necesidad de verificar que la tramitación del procedimiento legislativo se haya ajustado en el caso concreto a los principios que, conforme a su normativa reguladora y a la interpretación que de esta viene haciendo este tribunal, han de presidirlo, y ello, como recuerda el ATC 177/2022, de 19 de diciembre, FJ 6, “en garantía no solo del derecho de la mayoría parlamentaria a adoptar las decisiones que legítimamente le corresponden, sino también del derecho de las minorías a participar en los procesos de formación de la ley, expresión, como se ha dicho, de la voluntad popular que ha de integrar, a través precisamente del procedimiento legislativo, la expresión del pluralismo político, elevado por el art. 1.1 CE a la categoría de ‘valor superior’ de nuestro ordenamiento jurídico”.</w:t>
      </w:r>
    </w:p>
    <w:p w14:paraId="61AE7E04" w14:textId="77777777" w:rsidR="00A8138F" w:rsidRDefault="00A8138F" w:rsidP="00A8138F">
      <w:pPr>
        <w:pStyle w:val="TextoNormal"/>
      </w:pPr>
    </w:p>
    <w:p w14:paraId="3DE330E3" w14:textId="77777777" w:rsidR="00A8138F" w:rsidRDefault="00A8138F" w:rsidP="00A8138F">
      <w:pPr>
        <w:pStyle w:val="TextoNormal"/>
      </w:pPr>
      <w:r>
        <w:t>Y es que, en efecto, “la doctrina constitucional ha puesto de relieve la necesidad de asegurar el adecuado ejercicio de la función de representación política de las minorías parlamentarias en la oposición, pues el respeto a la posición y los derechos de las minorías actúa como elemento constitutivo del propio sistema, que legitima su propio funcionamiento. Sin respeto a los derechos de las minorías políticas no hay modo de preservar el pluralismo propio del Estado democrático (STC 226/2016, de 22 de diciembre, FJ 5), propugnado por el art. 1.1 CE como uno de los valores superiores de nuestro ordenamiento jurídico (STC 115/2019, FJ 3, citando las SSTC 86/1982, de 23 de diciembre; 99/1987, de 11 de junio; 20/1990, de 15 de febrero; 119/1990, de 21 de junio; 217/1992, de 1 de diciembre; 27/2018, de 5 de marzo, y 25/2019, de 25 de febrero)” (ATC 177/2022, FJ 6). No puede olvidarse que, aunque la decisión final que dé lugar a la ley quede en manos de la mayoría parlamentaria, en el procedimiento de formación de la voluntad de las Cámaras debe quedar plenamente garantizado el derecho de la minoría a la integridad del debate parlamentario.</w:t>
      </w:r>
    </w:p>
    <w:p w14:paraId="11541E7A" w14:textId="77777777" w:rsidR="00A8138F" w:rsidRDefault="00A8138F" w:rsidP="00A8138F">
      <w:pPr>
        <w:pStyle w:val="TextoNormal"/>
      </w:pPr>
    </w:p>
    <w:p w14:paraId="33F18624" w14:textId="77777777" w:rsidR="00A8138F" w:rsidRDefault="00A8138F" w:rsidP="00A8138F">
      <w:pPr>
        <w:pStyle w:val="TextoNormal"/>
      </w:pPr>
      <w:r>
        <w:t>Asimismo, el Tribunal Europeo de Derechos Humanos ha destacado que “el pluralismo, tolerancia y espíritu de apertura caracterizan una ‘sociedad democrática’. Aunque deban subordinarse, en ocasiones, los intereses de los individuos a los de un grupo, la democracia no se reconduce a la supremacía constante de la opinión de una mayoría, sino que exige un equilibrio que asegure a los individuos minoritarios un tratamiento justo, que evite todo abuso de una posición dominante” (STEDH de 26 de abril de 2016, asunt</w:t>
      </w:r>
      <w:r w:rsidRPr="00A8138F">
        <w:rPr>
          <w:i/>
        </w:rPr>
        <w:t>o Izzettin Doğan y otros c.Turqu</w:t>
      </w:r>
      <w:r>
        <w:t>ía, § 100; en el mismo sentido las SSTEDH de 29 de junio de 2007, asunt</w:t>
      </w:r>
      <w:r w:rsidRPr="00A8138F">
        <w:rPr>
          <w:i/>
        </w:rPr>
        <w:t>o Folgerø y otros c. Norue</w:t>
      </w:r>
      <w:r>
        <w:t>ga, § 84, y de 13 de agosto de 1981, asunt</w:t>
      </w:r>
      <w:r w:rsidRPr="00A8138F">
        <w:rPr>
          <w:i/>
        </w:rPr>
        <w:t>o Young, James y Webster c. Reino Uni</w:t>
      </w:r>
      <w:r>
        <w:t>do, § 63).</w:t>
      </w:r>
    </w:p>
    <w:p w14:paraId="377DF197" w14:textId="77777777" w:rsidR="00A8138F" w:rsidRDefault="00A8138F" w:rsidP="00A8138F">
      <w:pPr>
        <w:pStyle w:val="TextoNormal"/>
      </w:pPr>
    </w:p>
    <w:p w14:paraId="2E64B641" w14:textId="77777777" w:rsidR="00A8138F" w:rsidRDefault="00A8138F" w:rsidP="00A8138F">
      <w:pPr>
        <w:pStyle w:val="TextoNormal"/>
      </w:pPr>
      <w:r>
        <w:t>Pues bien, ese respeto a la posición y los derechos de las minorías parlamentarias, obligado en un sistema democrático, ha brillado por su ausencia a lo largo de la tramitación de la proposición de ley que daría lugar a la Ley Orgánica 1/2024. No es solo que se haya obviado la prudente recomendación de la Comisión de Venecia en cuanto al tipo de mayoría que debe compartir la decisión de amnistiar (consideraba en su informe que, en tanto la amnistía genera efectos seriamente conflictivos en la sociedad, el Parlamento debería esforzarse en contar con una mayoría cualificada lo suficientemente amplia para aprobarla), sino que el procedimiento mismo para la aprobación de la Ley de amnistía se ha caracterizado por el desprecio puro y simple de los derechos y garantías de los diputados de la minoría.</w:t>
      </w:r>
    </w:p>
    <w:p w14:paraId="5CC6A4FA" w14:textId="77777777" w:rsidR="00A8138F" w:rsidRDefault="00A8138F" w:rsidP="00A8138F">
      <w:pPr>
        <w:pStyle w:val="TextoNormal"/>
      </w:pPr>
    </w:p>
    <w:p w14:paraId="7D1E7616" w14:textId="77777777" w:rsidR="00A8138F" w:rsidRDefault="00A8138F" w:rsidP="00A8138F">
      <w:pPr>
        <w:pStyle w:val="TextoNormal"/>
      </w:pPr>
      <w:r>
        <w:t>En primer lugar, es significativo que la iniciativa legislativa provenga de una proposición de ley, presentada el 13 de noviembre de 2023 por el grupo parlamentario del partido político que había acordado otorgar la amnistía a cambio del apoyo a la investidura del candidato de dicho partido a la Presidencia del Gobierno, pues el texto de la iniciativa se había pactado con los partidos que aportaban sus votos a cambio de obtener el beneficio de la amnistía. Tres días más tarde, el Pleno del Congreso de los Diputados otorgaba su confianza a ese candidato en la primera votación de la sesión de investidura, con 179 votos a favor y 171 en contra.</w:t>
      </w:r>
    </w:p>
    <w:p w14:paraId="1FC66C89" w14:textId="77777777" w:rsidR="00A8138F" w:rsidRDefault="00A8138F" w:rsidP="00A8138F">
      <w:pPr>
        <w:pStyle w:val="TextoNormal"/>
      </w:pPr>
    </w:p>
    <w:p w14:paraId="5C898D76" w14:textId="77777777" w:rsidR="00A8138F" w:rsidRDefault="00A8138F" w:rsidP="00A8138F">
      <w:pPr>
        <w:pStyle w:val="TextoNormal"/>
      </w:pPr>
      <w:r>
        <w:t>La sentencia quita importancia a este extremo, acogiéndose a la conocida doctrina constitucional según la cual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[por todas, SSTC 153/2016, de 22 de septiembre, FJ 3 a), y 128/2023, de 2 de octubre, FJ 3 B)].</w:t>
      </w:r>
    </w:p>
    <w:p w14:paraId="65C74B94" w14:textId="77777777" w:rsidR="00A8138F" w:rsidRDefault="00A8138F" w:rsidP="00A8138F">
      <w:pPr>
        <w:pStyle w:val="TextoNormal"/>
      </w:pPr>
    </w:p>
    <w:p w14:paraId="13DF0005" w14:textId="77777777" w:rsidR="00A8138F" w:rsidRDefault="00A8138F" w:rsidP="00A8138F">
      <w:pPr>
        <w:pStyle w:val="TextoNormal"/>
      </w:pPr>
      <w:r>
        <w:t>Sin embargo, pese a esa doctrina, sería ingenuo pretender desconocer que la opción de acudir a la proposición de ley, a instancias precisamente del grupo parlamentario Socialista, mayoritario entre los que sustentaban la coalición gubernamental, para llevar a cabo el intercambio de votos por impunidad pactado a principios de noviembre de 2023 por el PSOE con Junts y ERC, además de cumplir ese compromiso político, pretendía eludir las mayores garantías que habría supuesto encauzar la iniciativa a través de un proyecto de ley del Gobierno. En efecto, la presentación de un proyecto de ley no solo exige que venga acompañado de una exposición de motivos, sino también de los antecedentes necesarios para pronunciarse sobre ellos, conforme al art. 88 CE y al art. 109 RCD. Además, debe venir precedido de la elaboración del correspondiente anteproyecto de ley, sujeto al garantista procedimiento previsto en el art. 26 de la Ley del Gobierno, entre cuyos trámites destaca la necesidad de realizar una consulta pública en la que se recabará la opinión de los sujetos afectados, así como de contar con los informes de determinados órganos (destacadamente, el Consejo de Estado y el Consejo General del Poder Judicial). Nada de esto es necesario en el caso de la proposición de ley, obviamente. Una vez presentada la iniciativa, la tramitación parlamentaria también difiere según se trate de proyectos de ley o de proposiciones de ley, siendo más garantista la de aquellos, que comporta (arts. 109 a 123 RCD) la presentación de enmiendas, el debate a la totalidad, la deliberación en comisión y ulteriormente en el Pleno; mientras que para las proposiciones de ley se simplifican los trámites (arts. 124 a 125 RCD).</w:t>
      </w:r>
    </w:p>
    <w:p w14:paraId="2A8E5CA5" w14:textId="77777777" w:rsidR="00A8138F" w:rsidRDefault="00A8138F" w:rsidP="00A8138F">
      <w:pPr>
        <w:pStyle w:val="TextoNormal"/>
      </w:pPr>
    </w:p>
    <w:p w14:paraId="59FB2D5E" w14:textId="77777777" w:rsidR="00A8138F" w:rsidRDefault="00A8138F" w:rsidP="00A8138F">
      <w:pPr>
        <w:pStyle w:val="TextoNormal"/>
      </w:pPr>
      <w:r>
        <w:t>No es difícil entender que, como regla en nuestro sistema parlamentario, el proyecto de ley es el instrumento que debe adoptar la iniciativa legislativa gubernamental, mientras que la proposición de ley es el instrumento que ha de adoptar la iniciativa legislativa cuando la impulsan las minorías parlamentarias; de suerte que si una iniciativa legislativa propiamente del Gobierno es presentada como proposición de ley por el grupo parlamentario mayoritario que le da sustento en el Parlamento, estamos cabalmente ante un fraude constitucional, pues lo que se pretende es evitar las mayores garantías que para la oposición supone la tramitación por la vía de la proposición de ley, en vez de por la vía del proyecto de ley. Que es justamente lo acontecido con la Ley Orgánica 1/2024, de amnistía.</w:t>
      </w:r>
    </w:p>
    <w:p w14:paraId="208DF96D" w14:textId="77777777" w:rsidR="00A8138F" w:rsidRDefault="00A8138F" w:rsidP="00A8138F">
      <w:pPr>
        <w:pStyle w:val="TextoNormal"/>
      </w:pPr>
    </w:p>
    <w:p w14:paraId="6B3C8F24" w14:textId="77777777" w:rsidR="00A8138F" w:rsidRDefault="00A8138F" w:rsidP="00A8138F">
      <w:pPr>
        <w:pStyle w:val="TextoNormal"/>
      </w:pPr>
      <w:r>
        <w:t>Ciertamente, la proposición de ley que da lugar a la Ley Orgánica 1/2024, de amnistía, se registra en el Congreso de los Diputados por el grupo parlamentario Socialista cuando el Gobierno se encuentra en funciones y, por tanto, no puede este presentar proyectos de ley (art. 21.5 de la Ley del Gobierno). Pero esto no viene sino a corroborar el carácter fraudulento de la actuación. Nada impedía esperar a que se conformase el nuevo Gobierno para presentar, en su caso, con todas las garantías formales requeridas, un proyecto de ley de amnistía. Nada, salvo el hecho incontestable de que, si el Grupo Socialista no presentaba esa proposición de ley no habría investidura de su candidato a la Presidencia del Gobierno y, por tanto, no habría nuevo Gobierno. Esa es la realidad que nos devuelve al punto de partida: la razón de ser de la amnistía otorgada por la Ley Orgánica 1/2024 no es ningún pretendido interés general, sino el interés particular que nace de una transacción política perfectamente conocida por todos desde el primer momento: votos para la investidura del candidato a la Presidencia del Gobierno a cambio de impunidad para quienes subvirtieron el orden constitucional (y amenazan con volver a hacerlo, no se olvide).</w:t>
      </w:r>
    </w:p>
    <w:p w14:paraId="4467F964" w14:textId="77777777" w:rsidR="00A8138F" w:rsidRDefault="00A8138F" w:rsidP="00A8138F">
      <w:pPr>
        <w:pStyle w:val="TextoNormal"/>
      </w:pPr>
    </w:p>
    <w:p w14:paraId="0A64135B" w14:textId="77777777" w:rsidR="00A8138F" w:rsidRDefault="00A8138F" w:rsidP="00A8138F">
      <w:pPr>
        <w:pStyle w:val="TextoNormal"/>
      </w:pPr>
      <w:r>
        <w:t>Se suma a lo expuesto que, a solicitud del grupo parlamentario autor de la iniciativa y sus socios parlamentarios (los que sostenían en el Congreso a la coalición de gobierno), la mesa del Congreso acordó en su reunión de 19 de diciembre de 2023 la tramitación de la proposición de ley por el procedimiento de urgencia (art. 93 RCD), lo que supone, como efecto principal, la reducción de los plazos previstos en el procedimiento ordinario a la mitad (art. 94 RCD). Aunque acudir al procedimiento de urgencia constituya “una decisión de mera oportunidad política” (STC 136/2011, de 13 de septiembre, FJ 10), su verdadera razón de ser reside en la conveniencia de economizar tiempos y trámites en función de la iniciativa de que se trate, estando pensada para iniciativas legislativas que no presenten complejidad. Por eso, resulta de imposible justificación la decisión de acordar la tramitación por el procedimiento de urgencia en un supuesto como el presente, en el que la iniciativa en cuestión es de gran calado constitucional y está sujeta a una gran controversia, tanto pública como en el propio ámbito parlamentario. Así lo puso de relieve la Comisión Europea para la Democracia por el Derecho (Comisión de Venecia) en su informe sobre la proposición de ley, al señalar que “los procedimientos legislativos acelerados no son apropiados para aprobar leyes de amnistía, dadas sus consecuencias de largo alcance y su naturaleza a menudo controvertida”. Y ciertamente no lo son, como tampoco —como ya dijimos al comienzo de este inevitablemente extenso voto particular— lo es la aceleración del debate en el Tribunal Constitucional.</w:t>
      </w:r>
    </w:p>
    <w:p w14:paraId="16244A85" w14:textId="77777777" w:rsidR="00A8138F" w:rsidRDefault="00A8138F" w:rsidP="00A8138F">
      <w:pPr>
        <w:pStyle w:val="TextoNormal"/>
      </w:pPr>
    </w:p>
    <w:p w14:paraId="6A84E287" w14:textId="77777777" w:rsidR="00A8138F" w:rsidRDefault="00A8138F" w:rsidP="00A8138F">
      <w:pPr>
        <w:pStyle w:val="TextoNormal"/>
      </w:pPr>
      <w:r>
        <w:t>En esta tesitura, no parece temerario conjeturar que la articulación de la iniciativa por la vía de la proposición de ley, unida a la decisión de tramitarla por el procedimiento de urgencia, pretendía evitar que el Consejo General del Poder Judicial, el Consejo de Estado y los sectores afectados fueran oídos en la tramitación parlamentaria de la iniciativa y, al propio tiempo, acelerar esa tramitación, frustrando así un debate suficiente en las Cortes Generales sobre una cuestión trascendental como la amnistía.</w:t>
      </w:r>
    </w:p>
    <w:p w14:paraId="3B99776B" w14:textId="77777777" w:rsidR="00A8138F" w:rsidRDefault="00A8138F" w:rsidP="00A8138F">
      <w:pPr>
        <w:pStyle w:val="TextoNormal"/>
      </w:pPr>
    </w:p>
    <w:p w14:paraId="1FEA7C86" w14:textId="77777777" w:rsidR="00A8138F" w:rsidRDefault="00A8138F" w:rsidP="00A8138F">
      <w:pPr>
        <w:pStyle w:val="TextoNormal"/>
      </w:pPr>
      <w:r>
        <w:t>Pero la cuestión no acaba aquí.</w:t>
      </w:r>
    </w:p>
    <w:p w14:paraId="06DF56DA" w14:textId="77777777" w:rsidR="00A8138F" w:rsidRDefault="00A8138F" w:rsidP="00A8138F">
      <w:pPr>
        <w:pStyle w:val="TextoNormal"/>
      </w:pPr>
    </w:p>
    <w:p w14:paraId="32DD2D0B" w14:textId="77777777" w:rsidR="00A8138F" w:rsidRDefault="00A8138F" w:rsidP="00A8138F">
      <w:pPr>
        <w:pStyle w:val="TextoNormal"/>
      </w:pPr>
      <w:r>
        <w:t>En efecto, sucede que en la sesión del Pleno del Congreso de los Diputados celebrada el 30 de enero de 2024, a continuación de haberse sometido a debate y votación las enmiendas no incorporadas al dictamen de la Comisión de Justicia sobre la “proposición de ley orgánica de amnistía para la normalización institucional, política y social en Cataluña”, que fueron rechazadas, y a votación el referido dictamen (que fue aprobado por 177 votos a favor frente a 172 en contra), se procedió a la votación final sobre el conjunto de la iniciativa legislativa, por tener carácter orgánico, que fue rechazada por 171 votos a favor y 179 en contra.</w:t>
      </w:r>
    </w:p>
    <w:p w14:paraId="6434CF84" w14:textId="77777777" w:rsidR="00A8138F" w:rsidRDefault="00A8138F" w:rsidP="00A8138F">
      <w:pPr>
        <w:pStyle w:val="TextoNormal"/>
      </w:pPr>
    </w:p>
    <w:p w14:paraId="7F121C30" w14:textId="77777777" w:rsidR="00A8138F" w:rsidRDefault="00A8138F" w:rsidP="00A8138F">
      <w:pPr>
        <w:pStyle w:val="TextoNormal"/>
      </w:pPr>
      <w:r>
        <w:t xml:space="preserve">De esta manera, como ya advertí en mi voto particular al ATC 24/2024, de 14 de marzo, la iniciativa no alcanzó la preceptiva mayoría absoluta </w:t>
      </w:r>
      <w:r w:rsidRPr="00A8138F">
        <w:rPr>
          <w:i/>
        </w:rPr>
        <w:t>ex</w:t>
      </w:r>
      <w:r>
        <w:t xml:space="preserve"> art. 81.2 CE, por lo que no sin razón los diputados de la minoría entendían que, conforme a lo dispuesto en el art. 79.1 RCD, al no haberse alcanzado en la votación final sobre el conjunto de la proposición de ley ni siquiera la mayoría simple a su favor, la iniciativa legislativa había de entenderse rechazada y, en consecuencia, decaída, por lo que no procedía su devolución a la Comisión de Justicia para que emitiera un nuevo dictamen, que fue lo acordado por la presidenta de la Cámara, en decisión luego confirmada por la mesa, invocando lo dispuesto en el art. 131.2 RCD. Pero, para que fuera aplicable el art. 131.2 RCD, que prevé la devolución del proyecto a la comisión en caso de no conseguirse la mayoría absoluta en una votación final sobre el conjunto del texto, al objeto de que emita un nuevo dictamen en el plazo de un mes, era necesario que la iniciativa legislativa hubiera alcanzado la mayoría simple en dicha votación final, lo que resulta palmario que no sucedió en el presente caso.</w:t>
      </w:r>
    </w:p>
    <w:p w14:paraId="7934E7DB" w14:textId="77777777" w:rsidR="00A8138F" w:rsidRDefault="00A8138F" w:rsidP="00A8138F">
      <w:pPr>
        <w:pStyle w:val="TextoNormal"/>
      </w:pPr>
    </w:p>
    <w:p w14:paraId="779D6813" w14:textId="77777777" w:rsidR="00A8138F" w:rsidRDefault="00A8138F" w:rsidP="00A8138F">
      <w:pPr>
        <w:pStyle w:val="TextoNormal"/>
      </w:pPr>
      <w:r>
        <w:t>La anómala reviviscencia de la iniciativa legislativa, que permitiría finalmente su aprobación, convirtiéndose en la Ley Orgánica 1/2024, de 10 de junio, para la normalización institucional, política y social en Cataluña, consuma así una tramitación parlamentaria arbitraria desde su inicio, que se corresponde con la arbitrariedad material de su contenido.</w:t>
      </w:r>
    </w:p>
    <w:p w14:paraId="011CC95B" w14:textId="77777777" w:rsidR="00A8138F" w:rsidRDefault="00A8138F" w:rsidP="00A8138F">
      <w:pPr>
        <w:pStyle w:val="TextoNormal"/>
      </w:pPr>
    </w:p>
    <w:p w14:paraId="34268489" w14:textId="77777777" w:rsidR="00A8138F" w:rsidRDefault="00A8138F" w:rsidP="00A8138F">
      <w:pPr>
        <w:pStyle w:val="TextoNormal"/>
      </w:pPr>
      <w:r>
        <w:t>Se sigue de cuanto antecede que, aunque la mayoría de este tribunal, en la sentencia de la que disiento radicalmente, haya preferido no verlo así, en la tramitación parlamentaria de lo que terminó siendo la Ley Orgánica 1/2024 se incurrió en graves quiebras del procedimiento legislativo, que afectaron sin duda a los derechos de las minorías y a los derechos de todos los ciudadanos a participar en los asuntos públicos mediante representantes (art. 23.1 y 2 CE). A este propósito este tribunal ha recordado en su STC 114/2017, FJ 6 E), que “es función primordial de toda asamblea parlamentaria […] representar a la ciudadanía; función que solo se cumple cabalmente si los elegidos por el cuerpo electoral para realizarla se atienen, en general, a los procedimientos que el ordenamiento dispone y a las reglas jurídicas que, integradas sobre todo en los reglamentos de las Cámaras, aseguran una participación no discriminatoria de unos y otros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entre sus presupuestos inexcusables (STC 109/2016, de 7 de junio, FJ 5)”.</w:t>
      </w:r>
    </w:p>
    <w:p w14:paraId="463FABA8" w14:textId="77777777" w:rsidR="00A8138F" w:rsidRDefault="00A8138F" w:rsidP="00A8138F">
      <w:pPr>
        <w:pStyle w:val="TextoNormal"/>
      </w:pPr>
    </w:p>
    <w:p w14:paraId="5C2CE187" w14:textId="77777777" w:rsidR="00A8138F" w:rsidRDefault="00A8138F" w:rsidP="00A8138F">
      <w:pPr>
        <w:pStyle w:val="TextoNormal"/>
      </w:pPr>
      <w:r>
        <w:t>VI</w:t>
      </w:r>
      <w:r w:rsidRPr="00A8138F">
        <w:rPr>
          <w:i/>
        </w:rPr>
        <w:t>II. Consideraciones sobre la impugnación de determinados preceptos de la Ley Orgánica 1/</w:t>
      </w:r>
      <w:r>
        <w:t>2024</w:t>
      </w:r>
    </w:p>
    <w:p w14:paraId="3EE3A404" w14:textId="77777777" w:rsidR="00A8138F" w:rsidRDefault="00A8138F" w:rsidP="00A8138F">
      <w:pPr>
        <w:pStyle w:val="TextoNormal"/>
      </w:pPr>
    </w:p>
    <w:p w14:paraId="1896798B" w14:textId="77777777" w:rsidR="00A8138F" w:rsidRDefault="00A8138F" w:rsidP="00A8138F">
      <w:pPr>
        <w:pStyle w:val="TextoNormal"/>
      </w:pPr>
      <w:r>
        <w:t>Lo hasta aquí expuesto es muestra más que evidente de la radical inconstitucionalidad y nulidad de la Ley Orgánica 1/2024, de amnistía, en su integridad.</w:t>
      </w:r>
    </w:p>
    <w:p w14:paraId="21031EAB" w14:textId="77777777" w:rsidR="00A8138F" w:rsidRDefault="00A8138F" w:rsidP="00A8138F">
      <w:pPr>
        <w:pStyle w:val="TextoNormal"/>
      </w:pPr>
    </w:p>
    <w:p w14:paraId="1AC84568" w14:textId="77777777" w:rsidR="00A8138F" w:rsidRDefault="00A8138F" w:rsidP="00A8138F">
      <w:pPr>
        <w:pStyle w:val="TextoNormal"/>
      </w:pPr>
      <w:r>
        <w:t>Pero no puedo, sin embargo, dejar de mencionar, siquiera brevemente, mi discrepancia con determinados aspectos del enjuiciamiento que la sentencia realiza de algunas de las tachas concretas formuladas por los recurrentes contra determinados preceptos de la Ley Orgánica 1/2024.</w:t>
      </w:r>
    </w:p>
    <w:p w14:paraId="075F0540" w14:textId="77777777" w:rsidR="00A8138F" w:rsidRDefault="00A8138F" w:rsidP="00A8138F">
      <w:pPr>
        <w:pStyle w:val="TextoNormal"/>
      </w:pPr>
    </w:p>
    <w:p w14:paraId="6EEAE4D3" w14:textId="77777777" w:rsidR="00A8138F" w:rsidRDefault="00A8138F" w:rsidP="00A8138F">
      <w:pPr>
        <w:pStyle w:val="TextoNormal"/>
      </w:pPr>
      <w:r>
        <w:t>a) El abuso de la técnica de la interpretación conforme.</w:t>
      </w:r>
    </w:p>
    <w:p w14:paraId="3214814C" w14:textId="77777777" w:rsidR="00A8138F" w:rsidRDefault="00A8138F" w:rsidP="00A8138F">
      <w:pPr>
        <w:pStyle w:val="TextoNormal"/>
      </w:pPr>
    </w:p>
    <w:p w14:paraId="49DC404B" w14:textId="77777777" w:rsidR="00A8138F" w:rsidRDefault="00A8138F" w:rsidP="00A8138F">
      <w:pPr>
        <w:pStyle w:val="TextoNormal"/>
      </w:pPr>
      <w:r>
        <w:t>Como es bien conocido la interpretación conforme solamente procede cuando, bien de todas las interpretaciones posibles de un precepto solamente una, la que aprecia el Tribunal, es constitucional o bien cuando es necesario excluir alguna posible interpretación legal que, a juicio del propio Tribunal, sería inconstitucional. Dicha técnica, que parte de un respetable principio de conservación de la ley, en modo alguno puede justificar una auto atribuida facultad del Tribunal Constitucional de reconfigurar la ley que juzga, recreándola; lo que, en mi criterio, implica invadir el espacio lógico de la potestad legislativa, atribuida por la Constitución a las Cortes Generales como representantes del pueblo español (art. 66 CE). Por ello este tribunal, en su doctrina más tradicional, ha sido especialmente riguroso al fijar los límites de la técnica de la interpretación conforme impidiendo ignorar o desfigurar el sentido de enunciados legales meridianos (SSTC 22/1985, de 15 de febrero, FJ 5, y 24/2004, de 24 de febrero, FJ 6). Sin embargo, la prudencia para no inmiscuirse como árbitro de opciones políticas, y la limitación institucional de su cometido en exclusiva al enjuiciamiento jurídico-constitucional de las normas, debe ir unida a la conciencia del alto papel que el Tribunal tiene constitucionalmente atribuido de garante de la efectividad de la Constitución como norma, de la primacía de la Constitución (art. 27.1 LOTC), que es tanto como decir del Estado de Derecho. Pues bien, creo que ese papel ha sido significativamente eludido por la sentencia, recurriendo al abuso de la técnica de la interpretación conforme en dos ocasiones.</w:t>
      </w:r>
    </w:p>
    <w:p w14:paraId="5E4C2577" w14:textId="77777777" w:rsidR="00A8138F" w:rsidRDefault="00A8138F" w:rsidP="00A8138F">
      <w:pPr>
        <w:pStyle w:val="TextoNormal"/>
      </w:pPr>
    </w:p>
    <w:p w14:paraId="5587DCA2" w14:textId="77777777" w:rsidR="00A8138F" w:rsidRDefault="00A8138F" w:rsidP="00A8138F">
      <w:pPr>
        <w:pStyle w:val="TextoNormal"/>
      </w:pPr>
      <w:r>
        <w:t>La primera es la relativa al examen de la queja de la alegada quiebra de la igualdad, ya que, por los mismos hechos delictivos unas personas han de soportar las correspondientes consecuencias penales y otras no, estando fijado el criterio de diferenciación en la distinta ideología de quién comete la conducta, que es unos casos es punible y en otros no.</w:t>
      </w:r>
    </w:p>
    <w:p w14:paraId="15811CB2" w14:textId="77777777" w:rsidR="00A8138F" w:rsidRDefault="00A8138F" w:rsidP="00A8138F">
      <w:pPr>
        <w:pStyle w:val="TextoNormal"/>
      </w:pPr>
    </w:p>
    <w:p w14:paraId="57EFD6F9" w14:textId="77777777" w:rsidR="00A8138F" w:rsidRDefault="00A8138F" w:rsidP="00A8138F">
      <w:pPr>
        <w:pStyle w:val="TextoNormal"/>
      </w:pPr>
      <w:r>
        <w:t>La sentencia reconoce la existencia de esta llamativa asimetría, pero no extrae de ella la debida consecuencia, la inconstitucionalidad del precepto legal que establece dicha diferencia, por su radical vulneración del principio y derecho de igualdad ante la ley (art. 14 CE). Ya de por sí, el argumento de que la amnistía no vulnera el principio de igualdad, sino que solamente lo excepciona en supuestos extraordinarios calificados por la existencia de un interés general, no se sostiene seriamente. A lo ya afirmado antes cabe añadir ahora que es el propio legislador autor de la norma quien quiere hacer la situación excepcional. No puede entenderse que no vulnere la igualdad una norma que se aplica a un supuesto concreto, en un contexto concreto, en un ámbito temporal determinado y con unos beneficiarios determinables a través de la aplicación de unos criterios ideológicos claramente discriminatorios, consistentes en excluir de la amnistía aquellas conductas realizadas por particulares o empleados públicos con la finalidad de oponerse al denominado procés.</w:t>
      </w:r>
    </w:p>
    <w:p w14:paraId="37BD4782" w14:textId="77777777" w:rsidR="00A8138F" w:rsidRDefault="00A8138F" w:rsidP="00A8138F">
      <w:pPr>
        <w:pStyle w:val="TextoNormal"/>
      </w:pPr>
    </w:p>
    <w:p w14:paraId="0AC92FD5" w14:textId="77777777" w:rsidR="00A8138F" w:rsidRDefault="00A8138F" w:rsidP="00A8138F">
      <w:pPr>
        <w:pStyle w:val="TextoNormal"/>
      </w:pPr>
      <w:r>
        <w:t>Toda la pormenorizada y correcta exposición en la sentencia de la doctrina constitucional sobre el principio de igualdad no sirve para encubrir el único problema que ha de resolverse ahora. Aun entendiendo justificada la finalidad de la Ley Orgánica 1/2024, en términos meramente hipotéticos y a efectos de la argumentación, pues ya hemos dejado sentado que tal finalidad no existe, y admitido también el término de comparación que la sentencia propone, resulta que esta lleva la deferencia con el legislador, mediante el forzamiento de la técnica de la interpretación conforme, hasta niveles pocas veces vistos en la doctrina constitucional. Nada tiene de extraño, pues, que algún comentarista haya llegado a afirmar que el Tribunal Constitucional “mejora” con su sentencia la propia Ley Orgánica 1/2024 de amnistía.</w:t>
      </w:r>
    </w:p>
    <w:p w14:paraId="2CC1B63D" w14:textId="77777777" w:rsidR="00A8138F" w:rsidRDefault="00A8138F" w:rsidP="00A8138F">
      <w:pPr>
        <w:pStyle w:val="TextoNormal"/>
      </w:pPr>
    </w:p>
    <w:p w14:paraId="289EFEC9" w14:textId="77777777" w:rsidR="00A8138F" w:rsidRDefault="00A8138F" w:rsidP="00A8138F">
      <w:pPr>
        <w:pStyle w:val="TextoNormal"/>
      </w:pPr>
      <w:r>
        <w:t>En resumen, la sentencia hace decir a la norma lo que no dice porque, leído en sus exactos términos, sería inconstitucional, algo que hay que evitar a toda costa. Y lo hace de forma marcadamente apodíctica, pues reconoce que la norma, el art. 1.1. de la Ley Orgánica 1/2024, es discriminatoria por excluir a determinados sujetos, pero luego evita declararla nula, ya que no la juzga en su estricto contenido normativo, sino que el Tribunal, sin justificación alguna, considera que esa exclusión discriminatoria es, en realidad, una omisión, un olvido del legislador. El resultado es que la sentencia crea un precepto nuevo en cuyo ámbito de aplicación ha incluido a quienes realizaron los actos amnistiables con la finalidad de oponerse a la secesión o independencia de Cataluña, superando así con mucho los límites de la interpretación conforme a los que antes se ha aludido. Estamos, en suma, ante un claro exceso de jurisdicción del Tribunal.</w:t>
      </w:r>
    </w:p>
    <w:p w14:paraId="22E4105F" w14:textId="77777777" w:rsidR="00A8138F" w:rsidRDefault="00A8138F" w:rsidP="00A8138F">
      <w:pPr>
        <w:pStyle w:val="TextoNormal"/>
      </w:pPr>
    </w:p>
    <w:p w14:paraId="5A746ACD" w14:textId="77777777" w:rsidR="00A8138F" w:rsidRDefault="00A8138F" w:rsidP="00A8138F">
      <w:pPr>
        <w:pStyle w:val="TextoNormal"/>
      </w:pPr>
      <w:r>
        <w:t>Tales límites también se superan en relación con el análisis de la impugnación del procedimiento contable previsto en el art. 13 de la Ley Orgánica 1/2024, pues, de nuevo, se le hace decir al precepto lo que no dice, contra su expresa dicción literal, que únicamente prevé la audiencia del Ministerio Fiscal y de las entidades del sector público perjudicadas por el menoscabo de los fondos públicos, lo que, como la sentencia reconoce, determina la vulneración del art. 24 CE. Vulneración que, sin embargo, no se declara, en tanto que se atribuye valor normativo al silencio de la norma respecto a la exclusión del trámite para el resto de las partes, entendiendo que su exclusión expresa no impide un entendimiento de la norma que incluya su intervención. De nuevo, pues, un ejemplo de control constitucional creativo.</w:t>
      </w:r>
    </w:p>
    <w:p w14:paraId="02CE69DF" w14:textId="77777777" w:rsidR="00A8138F" w:rsidRDefault="00A8138F" w:rsidP="00A8138F">
      <w:pPr>
        <w:pStyle w:val="TextoNormal"/>
      </w:pPr>
    </w:p>
    <w:p w14:paraId="3EED039E" w14:textId="77777777" w:rsidR="00A8138F" w:rsidRDefault="00A8138F" w:rsidP="00A8138F">
      <w:pPr>
        <w:pStyle w:val="TextoNormal"/>
      </w:pPr>
      <w:r>
        <w:t>b) Otro de los aspectos cuestionables de la sentencia es el uso que hace de argumentos elusivos o cuando no tautológicos para no resolver algunas de las tachas planteadas por los diputados y senadores recurrentes respecto de determinados preceptos de la Ley Orgánica 1/2024, de amnistía.</w:t>
      </w:r>
    </w:p>
    <w:p w14:paraId="01D6314E" w14:textId="77777777" w:rsidR="00A8138F" w:rsidRDefault="00A8138F" w:rsidP="00A8138F">
      <w:pPr>
        <w:pStyle w:val="TextoNormal"/>
      </w:pPr>
    </w:p>
    <w:p w14:paraId="11AC554F" w14:textId="77777777" w:rsidR="00A8138F" w:rsidRDefault="00A8138F" w:rsidP="00A8138F">
      <w:pPr>
        <w:pStyle w:val="TextoNormal"/>
      </w:pPr>
      <w:r>
        <w:t>Sirva como ejemplo de ello la falta de contestación a la queja de los recurrentes centrada en que la Ley Orgánica 1/2024, incluye en su ámbito de aplicación los delitos de terrorismo en función de su resultado, haciendo una artificiosa diferenciación entre el terrorismo que atenta contra los derechos humanos (que no sería amnistiable) y el que no (al que se extiende la amnistía).</w:t>
      </w:r>
    </w:p>
    <w:p w14:paraId="1E1C086D" w14:textId="77777777" w:rsidR="00A8138F" w:rsidRDefault="00A8138F" w:rsidP="00A8138F">
      <w:pPr>
        <w:pStyle w:val="TextoNormal"/>
      </w:pPr>
    </w:p>
    <w:p w14:paraId="0D5E5785" w14:textId="77777777" w:rsidR="00A8138F" w:rsidRDefault="00A8138F" w:rsidP="00A8138F">
      <w:pPr>
        <w:pStyle w:val="TextoNormal"/>
      </w:pPr>
      <w:r>
        <w:t>La sentencia elude contestar a esa queja acudiendo a dos argumentos formales que no son convincentes. El primero es un supuesto incumplimiento de la carga alegatoria, que no es tal. El segundo, la afirmación, reiterada en la doctrina constitucional de que el Derecho de la Unión no es canon de constitucionalidad, lo cual, sin dejar de ser cierto, no sirve más que para confirmar la falta de voluntad de la mayoría del Tribunal de abordar esta cuestión. Máxime cuando la queja de los recurrentes se centraba en la vulneración del art. 25.1 CE, que, en la lógica de la sentencia, se reconduce a la infracción del art. 9.3 CE, lo que, en todo caso, es irrelevante, pues lo cierto es que la referida queja, entendida en un sentido u otro, ha quedado sin respuesta.</w:t>
      </w:r>
    </w:p>
    <w:p w14:paraId="5ED3EB6A" w14:textId="77777777" w:rsidR="00A8138F" w:rsidRDefault="00A8138F" w:rsidP="00A8138F">
      <w:pPr>
        <w:pStyle w:val="TextoNormal"/>
      </w:pPr>
    </w:p>
    <w:p w14:paraId="367B9ED2" w14:textId="77777777" w:rsidR="00A8138F" w:rsidRDefault="00A8138F" w:rsidP="00A8138F">
      <w:pPr>
        <w:pStyle w:val="TextoNormal"/>
      </w:pPr>
      <w:r>
        <w:t>c) Finalmente, algún comentario merece la forma en la que la sentencia aborda las denunciadas vulneraciones del art. 25.1 CE, que cabe cuestionar desde un doble punto de vista.</w:t>
      </w:r>
    </w:p>
    <w:p w14:paraId="790732F0" w14:textId="77777777" w:rsidR="00A8138F" w:rsidRDefault="00A8138F" w:rsidP="00A8138F">
      <w:pPr>
        <w:pStyle w:val="TextoNormal"/>
      </w:pPr>
    </w:p>
    <w:p w14:paraId="5A14B852" w14:textId="77777777" w:rsidR="00A8138F" w:rsidRDefault="00A8138F" w:rsidP="00A8138F">
      <w:pPr>
        <w:pStyle w:val="TextoNormal"/>
      </w:pPr>
      <w:r>
        <w:t>El primero es que se emplea una suerte de razonamiento circular a partir de la consideración de que la amnistía es una institución peculiar y excepcional, lo que hace que no le sean aplicables las exigencias que derivan del art. 25.1 CE, en cuanto que se trata de una cuestión que queda remitida a la libertad de configuración de las Cortes Generales, según la sentencia. Ese planteamiento, deudor como es obvio de la concepción de la mayoría del Tribunal según la cual la amnistía decidida por el legislador orgánico es ajena a la práctica totalidad de los principios y valores constitucionales, a partir de la consideración de la Constitución como una norma “abierta”, no me parece asumible de ningún modo. Sin necesidad de insistir en los reproches a esta concepción desnormativizadora de la Constitución, baste ahora añadir que, si la excepción a la aplicación de los principios del Derecho penal que la amnistía supone no es posible en términos constitucionales, fácilmente puede llegarse a la conclusión de que la exclusión, injustificada e injustificable, de la generalidad de la ley penal determina, en este caso, la vulneración del art. 25.1 CE.</w:t>
      </w:r>
    </w:p>
    <w:p w14:paraId="00E7CF60" w14:textId="77777777" w:rsidR="00A8138F" w:rsidRDefault="00A8138F" w:rsidP="00A8138F">
      <w:pPr>
        <w:pStyle w:val="TextoNormal"/>
      </w:pPr>
    </w:p>
    <w:p w14:paraId="5E0274AA" w14:textId="77777777" w:rsidR="00A8138F" w:rsidRDefault="00A8138F" w:rsidP="00A8138F">
      <w:pPr>
        <w:pStyle w:val="TextoNormal"/>
      </w:pPr>
      <w:r>
        <w:t>El segundo es la reconducción de la queja de la vulneración del art. 25.1 CE al principio de seguridad jurídica del art. 9.3 CE, solución que tampoco es la mejor desde el punto de vista de la coherencia interna de la sentencia.</w:t>
      </w:r>
    </w:p>
    <w:p w14:paraId="57A4AFB4" w14:textId="77777777" w:rsidR="00A8138F" w:rsidRDefault="00A8138F" w:rsidP="00A8138F">
      <w:pPr>
        <w:pStyle w:val="TextoNormal"/>
      </w:pPr>
    </w:p>
    <w:p w14:paraId="18608FAC" w14:textId="77777777" w:rsidR="00A8138F" w:rsidRDefault="00A8138F" w:rsidP="00A8138F">
      <w:pPr>
        <w:pStyle w:val="TextoNormal"/>
      </w:pPr>
      <w:r>
        <w:t xml:space="preserve">No lo es porque, cabe recordar ahora, la sentencia ha declarado inconstitucional, por vulnerar el principio constitucional de igualdad (art. 14 CE), parte del ámbito temporal de aplicación de la Ley Orgánica 1/2024, de amnistía, y mediante una interpretación manipulativa ha declarado constitucional la delimitación como amnistiables de determinadas conductas específicamente relacionadas con actos de apoyo u oposición al denominado </w:t>
      </w:r>
      <w:r w:rsidRPr="00A8138F">
        <w:rPr>
          <w:i/>
        </w:rPr>
        <w:t>procés</w:t>
      </w:r>
      <w:r>
        <w:t>. En los dos casos no se oculta que el problema subyacente no es solamente de igualdad, sino de certeza de la norma en atención a los efectos que produce en la responsabilidad penal de sus destinatarios. En suma, el problema no abordado por la sentencia es el incumplimiento de las exigencias de precisión y claridad que impone el art. 9.3 CE. De hecho, la propia sentencia se ve obligada a reconocer que la desestimación de la queja así reformulada lo es sin perjuicio de la inconstitucionalidad antes declarada y, cabría añadir ahora, con perjuicio de la seguridad jurídica, en cuanto que el Tribunal ha actuado como legislador positivo al extender el ámbito de aplicación subjetivo de la Ley Orgánica 1/2024, de amnistía (FJ 8.3.5 de la sentencia).</w:t>
      </w:r>
    </w:p>
    <w:p w14:paraId="4FC96568" w14:textId="77777777" w:rsidR="00A8138F" w:rsidRDefault="00A8138F" w:rsidP="00A8138F">
      <w:pPr>
        <w:pStyle w:val="TextoNormal"/>
      </w:pPr>
    </w:p>
    <w:p w14:paraId="5B14B769" w14:textId="77777777" w:rsidR="00A8138F" w:rsidRDefault="00A8138F" w:rsidP="00A8138F">
      <w:pPr>
        <w:pStyle w:val="TextoNormal"/>
      </w:pPr>
      <w:r>
        <w:t>IX</w:t>
      </w:r>
      <w:r w:rsidRPr="00A8138F">
        <w:rPr>
          <w:i/>
        </w:rPr>
        <w:t>. Epílogo o co</w:t>
      </w:r>
      <w:r>
        <w:t>da</w:t>
      </w:r>
    </w:p>
    <w:p w14:paraId="099E6A65" w14:textId="77777777" w:rsidR="00A8138F" w:rsidRDefault="00A8138F" w:rsidP="00A8138F">
      <w:pPr>
        <w:pStyle w:val="TextoNormal"/>
      </w:pPr>
    </w:p>
    <w:p w14:paraId="668D6828" w14:textId="77777777" w:rsidR="00A8138F" w:rsidRDefault="00A8138F" w:rsidP="00A8138F">
      <w:pPr>
        <w:pStyle w:val="TextoNormal"/>
      </w:pPr>
      <w:r>
        <w:t>La amnistía otorgada por la Ley Orgánica 1/2024 supone la ruptura del pacto constitucional de 1978, la quiebra del consenso fundante de nuestra democracia, que lamentablemente la sentencia aprobada por la mayoría del Tribunal consiente, al dar por bueno que el legislador (una mayoría parlamentaria coyuntural) lleve a cabo una mutación constitucional sin acudir al procedimiento de reforma previsto en el título X de la Constitución. La Constitución no solo no permite la amnistía, sino que la rechaza, por más que en la sentencia se pretenda sostener lo contrario. Entre las potestades constitucionalmente atribuidas a las Cortes Generales no se encuentra la excepcionalísima de aprobar amnistías. La prohibición de indultos generales que se contiene en el art. 62 i) CE y la falta de mención expresa de la amnistía en el texto constitucional, así como los trabajos parlamentarios que dieron lugar a la Constitución española de 1978, conducen a entender que el constituyente ha querido que el derecho de gracia se limite al denominado indulto individual o particular, quedando excluidos tanto los indultos generales como las amnistías. Y ello por buenas razones, que he dejado expuestas en este voto.</w:t>
      </w:r>
    </w:p>
    <w:p w14:paraId="40424924" w14:textId="77777777" w:rsidR="00A8138F" w:rsidRDefault="00A8138F" w:rsidP="00A8138F">
      <w:pPr>
        <w:pStyle w:val="TextoNormal"/>
      </w:pPr>
    </w:p>
    <w:p w14:paraId="0C62B1EE" w14:textId="77777777" w:rsidR="00A8138F" w:rsidRDefault="00A8138F" w:rsidP="00A8138F">
      <w:pPr>
        <w:pStyle w:val="TextoNormal"/>
      </w:pPr>
      <w:r>
        <w:t>Al afirmar la sentencia que nuestra Constitución es “abierta” y que el principio del que parte es el de la “vinculación negativa” del legislador, de suerte que este puede hacer todo aquello que la Norma Fundamental no prohíbe, la mayoría del Tribunal distorsiona el correcto entendimiento de lo que significa una Constitución normativa (en el sentido señalado por García-Pelayo, García de Enterría o Rubio Llorente, entre otros), como lo es la nuestra, y el verdadero significado del pluralismo político que consagra su art. 1.1 como valor superior del ordenamiento jurídico. El pluralismo político, consustancial al Estado democrático de Derecho, en modo alguno permite concebir la Constitución, según pretende la sentencia, como una norma “abierta” a la libérrima decisión del legislador, difuminando, hasta hacerla desaparecer, la nítida distinción entre poderes constituyentes y poderes constituidos.</w:t>
      </w:r>
    </w:p>
    <w:p w14:paraId="50279A6F" w14:textId="77777777" w:rsidR="00A8138F" w:rsidRDefault="00A8138F" w:rsidP="00A8138F">
      <w:pPr>
        <w:pStyle w:val="TextoNormal"/>
      </w:pPr>
    </w:p>
    <w:p w14:paraId="3F150C54" w14:textId="77777777" w:rsidR="00A8138F" w:rsidRDefault="00A8138F" w:rsidP="00A8138F">
      <w:pPr>
        <w:pStyle w:val="TextoNormal"/>
      </w:pPr>
      <w:r>
        <w:t>Conforme al constructivismo jurídico de que hace gala la sentencia, la Constitución, de tan “abierta” que se concibe, acaba por convertirse, como dice el profesor Aragón Reyes, en una Constitución “líquida” (y aun diría yo que “gaseosa”, por su dilución, aunque tampoco me descontenta el calificativo de “menguante” que emplea el profesor Cruz Villalón). La sentencia aprobada por la mayoría del Tribunal invierte las categorías para inscribirse en una corriente de pensamiento según la cual el Derecho debe quedar sometido a la política (en vez de esta al Derecho, que es la razón por la que surge la justicia constitucional), lo que se traduce en la libertad omnímoda del legislador, esto es, de las coyunturales mayorías parlamentarias, lo que en último término conduce al despotismo parlamentario. Pero —importa mucho insistir en ello— en un Estado democrático de Derecho (art. 1.1 CE) es la política la que debe estar sometida al Derecho y no a la inversa, como expresamente establece el art. 9.1 CE.</w:t>
      </w:r>
    </w:p>
    <w:p w14:paraId="3E5ABC3E" w14:textId="77777777" w:rsidR="00A8138F" w:rsidRDefault="00A8138F" w:rsidP="00A8138F">
      <w:pPr>
        <w:pStyle w:val="TextoNormal"/>
      </w:pPr>
    </w:p>
    <w:p w14:paraId="411CDF34" w14:textId="77777777" w:rsidR="00A8138F" w:rsidRDefault="00A8138F" w:rsidP="00A8138F">
      <w:pPr>
        <w:pStyle w:val="TextoNormal"/>
      </w:pPr>
      <w:r>
        <w:t>Al dictar la Ley Orgánica 1/2024, de amnistía, las Cortes Generales se salen del marco constitucional para asumir una función que no corresponde a su libertad de configuración, que lo es solo dentro de la Constitución. La amnistía supone una excepción a diversos principios constitucionales, como la igualdad ante la ley, la división de poderes y la reserva de jurisdicción, por lo que, para que fuera legítima, sería necesario que, en tanto que tal excepción —la amnistía es una medida excepcionalísima—, estuviera constitucionalmente prevista, lo que no es el caso. Solo mediante una reforma constitucional que les atribuyese la potestad excepcional de decretar amnistías podrían las Cortes aprobar una ley como la impugnada en este recurso.</w:t>
      </w:r>
    </w:p>
    <w:p w14:paraId="517717D0" w14:textId="77777777" w:rsidR="00A8138F" w:rsidRDefault="00A8138F" w:rsidP="00A8138F">
      <w:pPr>
        <w:pStyle w:val="TextoNormal"/>
      </w:pPr>
    </w:p>
    <w:p w14:paraId="550AB478" w14:textId="77777777" w:rsidR="00A8138F" w:rsidRDefault="00A8138F" w:rsidP="00A8138F">
      <w:pPr>
        <w:pStyle w:val="TextoNormal"/>
      </w:pPr>
      <w:r>
        <w:t>A su vez, al avalar esa Ley de amnistía, pese a su palmaria inconstitucionalidad, el Tribunal Constitucional se erige en una suerte de poder constituyente que reescribe a su gusto la Constitución, olvidando que es el guardián de esta, no su propietario. De modo que el Tribunal Constitucional deja de ser el garante de la primacía de la Constitución para convertirse en un actor político más, que hace decir a la Constitución lo que a la mayoría coyuntural del Tribunal le place.</w:t>
      </w:r>
    </w:p>
    <w:p w14:paraId="023CDD5C" w14:textId="77777777" w:rsidR="00A8138F" w:rsidRDefault="00A8138F" w:rsidP="00A8138F">
      <w:pPr>
        <w:pStyle w:val="TextoNormal"/>
      </w:pPr>
    </w:p>
    <w:p w14:paraId="7709D7EE" w14:textId="77777777" w:rsidR="00A8138F" w:rsidRDefault="00A8138F" w:rsidP="00A8138F">
      <w:pPr>
        <w:pStyle w:val="TextoNormal"/>
      </w:pPr>
      <w:r>
        <w:t>Sin perjuicio de que la amnistía sea una medida de gracia excepcional que no tiene cabida en la vigente Constitución española, sucede que la amnistía otorgada por la Ley Orgánica 1/2024 a quienes pretendieron quebrantar el orden constitucional y romper la convivencia entre españoles es, además, un acto arbitrario del legislador; arbitrariedad corroborada, por cierto, por la tramitación parlamentaria que llevó a la aprobación de esa ley, como han puesto de relieve tanto la Comisión Europea en su informe sobre la cuestión prejudicial planteada por el Tribunal de Cuentas respecto de la Ley Orgánica 1/2024, como la Comisión de Venecia en su informe sobre la iniciativa legislativa que dio lugar a dicha ley (utilización de la proposición de ley, en lugar del proyecto de ley, eludiendo así importantes informes de órganos consultivos y la consulta pública, tramitación acelerada de la iniciativa, por vía de urgencia, interpretación forzada del reglamento parlamentario para revivir la iniciativa decaída, etc.).</w:t>
      </w:r>
    </w:p>
    <w:p w14:paraId="581D6129" w14:textId="77777777" w:rsidR="00A8138F" w:rsidRDefault="00A8138F" w:rsidP="00A8138F">
      <w:pPr>
        <w:pStyle w:val="TextoNormal"/>
      </w:pPr>
    </w:p>
    <w:p w14:paraId="35792896" w14:textId="77777777" w:rsidR="00A8138F" w:rsidRDefault="00A8138F" w:rsidP="00A8138F">
      <w:pPr>
        <w:pStyle w:val="TextoNormal"/>
      </w:pPr>
      <w:r>
        <w:t>En efecto, la Ley Orgánica 1/2024, de amnistía, es una norma arbitraria, pues, como es público y notorio, trae causa directa de los acuerdos políticos suscritos a primeros de noviembre de 2023 entre el partido al que pertenecen los diputados del grupo parlamentario autor de la proposición que dio lugar a referida ley (PSOE) y los partidos a los que pertenecen los principales beneficiarios de la amnistía regulada en ella (Junts y ERC); en efecto, en esos acuerdos se pactó la concesión de la más amplia amnistía para los políticos independentistas y sus seguidores que protagonizaron un gravísimo intento de subversión del orden constitucional (lo que permite hablar de “autoamnistía”), a cambio de apoyar con sus votos la investidura como presidente del Gobierno del candidato del Grupo Parlamentario Socialista.</w:t>
      </w:r>
    </w:p>
    <w:p w14:paraId="7B0E3616" w14:textId="77777777" w:rsidR="00A8138F" w:rsidRDefault="00A8138F" w:rsidP="00A8138F">
      <w:pPr>
        <w:pStyle w:val="TextoNormal"/>
      </w:pPr>
    </w:p>
    <w:p w14:paraId="53B64E41" w14:textId="77777777" w:rsidR="00A8138F" w:rsidRDefault="00A8138F" w:rsidP="00A8138F">
      <w:pPr>
        <w:pStyle w:val="TextoNormal"/>
      </w:pPr>
      <w:r>
        <w:t>Se trata, pues, de una decisión arbitraria del legislador, en flagrante contradicción con el principio de interdicción de la arbitrariedad de los poderes públicos (art. 9.3 CE), pues está acreditado que la Ley Orgánica 1/2024 no responde al pretendido objetivo de interés general que en su falaz preámbulo se invoca (restablecer la convivencia social y política quebrada por la insurrección independentista catalana), sino al mero interés particular de quienes suscribieron los referidos pactos políticos y se beneficiaron de las consiguientes contrapartidas reciprocas, como así lo ha advertido no solo lo mejor de la doctrina académica, sino incluso la Comisión Europea en el informe referido sobre la cuestión prejudicial sobre la Ley Orgánica 1/2024. Contrasta vivamente, por cierto, el mendaz preámbulo de la Ley Orgánica 1/2024, de amnistía, con el sencillo y vigoroso enunciado del preámbulo de la Constitución, en el que la Nación Española, entre otros extremos no menos relevantes, proclama su voluntad de “garantizar la convivencia democrática dentro de la Constitución y de las leyes conforme a un orden social y económicamente justo”.</w:t>
      </w:r>
    </w:p>
    <w:p w14:paraId="5275F5CB" w14:textId="77777777" w:rsidR="00A8138F" w:rsidRDefault="00A8138F" w:rsidP="00A8138F">
      <w:pPr>
        <w:pStyle w:val="TextoNormal"/>
      </w:pPr>
    </w:p>
    <w:p w14:paraId="5FB912AE" w14:textId="77777777" w:rsidR="00A8138F" w:rsidRDefault="00A8138F" w:rsidP="00A8138F">
      <w:pPr>
        <w:pStyle w:val="TextoNormal"/>
      </w:pPr>
      <w:r>
        <w:t>Este es un recurso que pivota esencialmente sobre la arbitrariedad del legislador, como ha señalado el profesor Cruz Villalón. Por eso, quedarse, como la sentencia hace, en un mero control formal o externo del mendaz argumentario contenido en el preámbulo de la Ley Orgánica 1/2024, de amnistía, es desconocer el papel que este tribunal ha de desempeñar en defensa del valor normativo directo del texto constitucional. Pues, en efecto, el legislador se olvida de la voluntad popular a la que el preámbulo de la Ley Orgánica 1/2024 dice falazmente que esta ley atiende, cuando lo cierto es que no responde a la voluntad popular ni al interés común o general de la Nación española, sino al particularísimo interés de determinadas fuerzas políticas que impulsaron la aprobación de la ley en su propio y exclusivo beneficio personal. La ley enjuiciada en este recurso —y vuelvo a servirme de las palabras del preámbulo de la Constitución, es decir, del pórtico con el que comienza esta— no está al servicio de “garantizar la convivencia democrática dentro de la Constitución” y de “consolidar un Estado de Derecho”, sino que es una ley, como ya señalé</w:t>
      </w:r>
      <w:r w:rsidRPr="00A8138F">
        <w:rPr>
          <w:i/>
        </w:rPr>
        <w:t>, pro domo s</w:t>
      </w:r>
      <w:r>
        <w:t>ua, en favor de los propios intereses de quienes impulsaron su aprobación y se benefician de ella, por más que la sentencia se empecine en sostener otra cosa.</w:t>
      </w:r>
    </w:p>
    <w:p w14:paraId="79A92BFE" w14:textId="77777777" w:rsidR="00A8138F" w:rsidRDefault="00A8138F" w:rsidP="00A8138F">
      <w:pPr>
        <w:pStyle w:val="TextoNormal"/>
      </w:pPr>
    </w:p>
    <w:p w14:paraId="6E3555E5" w14:textId="77777777" w:rsidR="00A8138F" w:rsidRDefault="00A8138F" w:rsidP="00A8138F">
      <w:pPr>
        <w:pStyle w:val="TextoNormal"/>
      </w:pPr>
      <w:r>
        <w:t>Por tanto, el escrutinio constitucional que a este tribunal corresponde debió conducir, como he razonado, a apreciar que la Ley Orgánica 1/2024, de amnistía, no solo es una decisión que excede de las potestades que le han sido constitucionalmente atribuidas a las Cortes Generales, sino que, además, y en todo caso, es una decisión patentemente arbitraria, pues no pretende satisfacer ningún interés general legítimo, sino que responde en realidad al particular —y por muchas razones censurable— interés del intercambio de votos por impunidad. La sanción para una norma semejante no puede ser otra que su declaración de inconstitucionalidad y nulidad por parte de este tribunal.</w:t>
      </w:r>
    </w:p>
    <w:p w14:paraId="512FFE40" w14:textId="77777777" w:rsidR="00A8138F" w:rsidRDefault="00A8138F" w:rsidP="00A8138F">
      <w:pPr>
        <w:pStyle w:val="TextoNormal"/>
      </w:pPr>
    </w:p>
    <w:p w14:paraId="2143E3B2" w14:textId="77777777" w:rsidR="00A8138F" w:rsidRDefault="00A8138F" w:rsidP="00A8138F">
      <w:pPr>
        <w:pStyle w:val="TextoNormal"/>
      </w:pPr>
      <w:r>
        <w:t>Se pide el respeto a las decisiones judiciales y también se pide, por el propio presidente del Tribunal, que “respetemos la Constitución, así como al Parlamento y a nuestro sistema judicial y hagamos valer la legitimidad democrática de la gozamos”, petición que comparto plenamente. Ahora bien, no puedo concluir este voto sin advertir que el respeto de la Constitución comporta garantizar su supremacía, no dejarla de lado en un momento dado, renunciando a preservar su carácter de norma suprema cuyas prescripciones vinculan a todos los poderes públicos (por tanto, también al poder legislativo) mediante una interpretación tan forzada que la hace irreconocible para aquellos que la aprobaron y para todos aquellos que la han respetado y cumplido. Esto es lo que, a mi entender, lamentablemente ha sucedido en la sentencia aprobada por la mayoría del Tribunal (seis votos frente a cuatro), por lo que me veo obligado a reiterar mi más radical discrepancia.</w:t>
      </w:r>
    </w:p>
    <w:p w14:paraId="6D27D35B" w14:textId="77777777" w:rsidR="00A8138F" w:rsidRDefault="00A8138F" w:rsidP="00A8138F">
      <w:pPr>
        <w:pStyle w:val="TextoNormal"/>
      </w:pPr>
    </w:p>
    <w:p w14:paraId="0D569AB0" w14:textId="2BE44072" w:rsidR="00A8138F" w:rsidRDefault="00A8138F" w:rsidP="00A8138F">
      <w:pPr>
        <w:pStyle w:val="TextoNormal"/>
      </w:pPr>
      <w:r>
        <w:t>Madrid, a veintiséis de junio de dos mil veinticinco.</w:t>
      </w:r>
    </w:p>
    <w:p w14:paraId="1FDB22CE" w14:textId="77777777" w:rsidR="00A8138F" w:rsidRDefault="00A8138F" w:rsidP="00A8138F">
      <w:pPr>
        <w:pStyle w:val="TextoNormal"/>
      </w:pPr>
    </w:p>
    <w:p w14:paraId="675123B6" w14:textId="77777777" w:rsidR="00A8138F" w:rsidRDefault="00A8138F" w:rsidP="00A8138F">
      <w:pPr>
        <w:pStyle w:val="TextoNormalNegritaCentrado"/>
        <w:keepNext/>
      </w:pPr>
      <w:r>
        <w:t>Voto particular que formula la magistrada doña Concepción Espejel Jorquera a la sentencia de 26 de junio de 2025, dictada por el Pleno en el recurso de inconstitucionalidad núm. 6436-2024, interpuesto por más de cincuenta diputados y más de cincuenta senadores del grupo parlamentario Popular en el Congreso de los Diputados y en el Senado, respectivamente, contra la Ley Orgánica 1/2024, de 10 de junio, de amnistía para la normalización institucional, política y social en Cataluña</w:t>
      </w:r>
    </w:p>
    <w:p w14:paraId="1D2D6ECD" w14:textId="753E04F5" w:rsidR="00A8138F" w:rsidRDefault="00A8138F" w:rsidP="00A8138F">
      <w:pPr>
        <w:pStyle w:val="TextoNormalNegritaCentrado"/>
        <w:keepNext/>
      </w:pPr>
    </w:p>
    <w:p w14:paraId="23D563EC" w14:textId="77777777" w:rsidR="00A8138F" w:rsidRDefault="00A8138F" w:rsidP="00A8138F">
      <w:pPr>
        <w:pStyle w:val="TextoNormal"/>
      </w:pPr>
      <w:r>
        <w:t>En el ejercicio de la facultad conferida por el art. 90.2 de la Ley Orgánica del Tribunal Constitucional (LOTC) y con respeto a la opinión de mis compañeros, formulo el presente voto particular por discrepar de la fundamentación jurídica y del fallo de la sentencia por cuanto, como expuse durante la deliberación en el Pleno, el recurso de inconstitucionalidad debió ser estimado en su integridad.</w:t>
      </w:r>
    </w:p>
    <w:p w14:paraId="2AD35D46" w14:textId="77777777" w:rsidR="00A8138F" w:rsidRDefault="00A8138F" w:rsidP="00A8138F">
      <w:pPr>
        <w:pStyle w:val="TextoNormal"/>
      </w:pPr>
    </w:p>
    <w:p w14:paraId="75A3450F" w14:textId="77777777" w:rsidR="00A8138F" w:rsidRDefault="00A8138F" w:rsidP="00A8138F">
      <w:pPr>
        <w:pStyle w:val="TextoNormal"/>
      </w:pPr>
      <w:r>
        <w:t>I. Sobre el procedimiento de aprobación de la sentencia</w:t>
      </w:r>
    </w:p>
    <w:p w14:paraId="126028B2" w14:textId="77777777" w:rsidR="00A8138F" w:rsidRDefault="00A8138F" w:rsidP="00A8138F">
      <w:pPr>
        <w:pStyle w:val="TextoNormal"/>
      </w:pPr>
    </w:p>
    <w:p w14:paraId="6786DEA4" w14:textId="77777777" w:rsidR="00A8138F" w:rsidRDefault="00A8138F" w:rsidP="00A8138F">
      <w:pPr>
        <w:pStyle w:val="TextoNormal"/>
      </w:pPr>
      <w:r>
        <w:t>La sentencia de la que disiento ha sido aprobada con una irregular composición del Pleno del Tribunal, antes del momento en que la prudencia y el Derecho determinaban para su aprobación y siguiendo un periplo que no se compadece con la forma en la que debería ejercer sus funciones el Tribunal Constitucional.</w:t>
      </w:r>
    </w:p>
    <w:p w14:paraId="0825A291" w14:textId="77777777" w:rsidR="00A8138F" w:rsidRDefault="00A8138F" w:rsidP="00A8138F">
      <w:pPr>
        <w:pStyle w:val="TextoNormal"/>
      </w:pPr>
    </w:p>
    <w:p w14:paraId="1D2EC771" w14:textId="77777777" w:rsidR="00A8138F" w:rsidRDefault="00A8138F" w:rsidP="00A8138F">
      <w:pPr>
        <w:pStyle w:val="TextoNormal"/>
      </w:pPr>
      <w:r>
        <w:t>1. La composición del Pleno del Tribunal Constitucional</w:t>
      </w:r>
    </w:p>
    <w:p w14:paraId="462BCA80" w14:textId="77777777" w:rsidR="00A8138F" w:rsidRDefault="00A8138F" w:rsidP="00A8138F">
      <w:pPr>
        <w:pStyle w:val="TextoNormal"/>
      </w:pPr>
    </w:p>
    <w:p w14:paraId="5939BFBC" w14:textId="77777777" w:rsidR="00A8138F" w:rsidRDefault="00A8138F" w:rsidP="00A8138F">
      <w:pPr>
        <w:pStyle w:val="TextoNormal"/>
      </w:pPr>
      <w:r>
        <w:t>Dos magistrados del Tribunal fueron apartados del conocimiento del presente recurso de inconstitucionalidad.</w:t>
      </w:r>
    </w:p>
    <w:p w14:paraId="41625372" w14:textId="77777777" w:rsidR="00A8138F" w:rsidRDefault="00A8138F" w:rsidP="00A8138F">
      <w:pPr>
        <w:pStyle w:val="TextoNormal"/>
      </w:pPr>
    </w:p>
    <w:p w14:paraId="2450D7E2" w14:textId="77777777" w:rsidR="00A8138F" w:rsidRDefault="00A8138F" w:rsidP="00A8138F">
      <w:pPr>
        <w:pStyle w:val="TextoNormal"/>
      </w:pPr>
      <w:r>
        <w:t>El primero de ellos, don Juan Carlos Campo Moreno, por ATC 91/2024, de 24 de septiembre, que estimó justificada la abstención formulada por el mismo, a cuya decisión nada tengo que objetar.</w:t>
      </w:r>
    </w:p>
    <w:p w14:paraId="042B68E0" w14:textId="77777777" w:rsidR="00A8138F" w:rsidRDefault="00A8138F" w:rsidP="00A8138F">
      <w:pPr>
        <w:pStyle w:val="TextoNormal"/>
      </w:pPr>
    </w:p>
    <w:p w14:paraId="28CFB0CE" w14:textId="77777777" w:rsidR="00A8138F" w:rsidRDefault="00A8138F" w:rsidP="00A8138F">
      <w:pPr>
        <w:pStyle w:val="TextoNormal"/>
      </w:pPr>
      <w:r>
        <w:t>El segundo magistrado apartado del conocimiento del presente recurso de inconstitucionalidad fue don José María Macías Castaño, a través de un procedimiento que califico de extraordinario por separarse de la tramitación seguida hasta ahora de los incidentes de recusación de magistrados del Tribunal y que paso a describir.</w:t>
      </w:r>
    </w:p>
    <w:p w14:paraId="25379F18" w14:textId="77777777" w:rsidR="00A8138F" w:rsidRDefault="00A8138F" w:rsidP="00A8138F">
      <w:pPr>
        <w:pStyle w:val="TextoNormal"/>
      </w:pPr>
    </w:p>
    <w:p w14:paraId="026D80F2" w14:textId="77777777" w:rsidR="00A8138F" w:rsidRDefault="00A8138F" w:rsidP="00A8138F">
      <w:pPr>
        <w:pStyle w:val="TextoNormal"/>
      </w:pPr>
      <w:r>
        <w:t>Mediante el ATC 6/2025, de 15 de enero, el Pleno acordó estimar la recusación formulada por el fiscal general del Estado frente al citado magistrado de este tribunal en la cuestión de inconstitucionalidad núm. 6053-2024, y apartarlo definitivamente de su conocimiento, por concurrir en él las causas de recusación previstas en los apartados 13 y 16 del art. 219 de la Ley Orgánica del Poder Judicial (LOPJ).</w:t>
      </w:r>
    </w:p>
    <w:p w14:paraId="7F7F0F35" w14:textId="77777777" w:rsidR="00A8138F" w:rsidRDefault="00A8138F" w:rsidP="00A8138F">
      <w:pPr>
        <w:pStyle w:val="TextoNormal"/>
      </w:pPr>
    </w:p>
    <w:p w14:paraId="1F5F8F53" w14:textId="77777777" w:rsidR="00A8138F" w:rsidRDefault="00A8138F" w:rsidP="00A8138F">
      <w:pPr>
        <w:pStyle w:val="TextoNormal"/>
      </w:pPr>
      <w:r>
        <w:t>En el voto particular a dicho auto, que suscribí junto con los magistrados don Enrique Arnaldo Alcubilla y don César Tolosa Tribiño, ya manifestamos, en síntesis,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14:paraId="11DBA495" w14:textId="77777777" w:rsidR="00A8138F" w:rsidRDefault="00A8138F" w:rsidP="00A8138F">
      <w:pPr>
        <w:pStyle w:val="TextoNormal"/>
      </w:pPr>
    </w:p>
    <w:p w14:paraId="505D3786" w14:textId="77777777" w:rsidR="00A8138F" w:rsidRDefault="00A8138F" w:rsidP="00A8138F">
      <w:pPr>
        <w:pStyle w:val="TextoNormal"/>
      </w:pPr>
      <w:r>
        <w:t>Como señalamos en aquel voto particular, el apartamiento de un magistrado del Tribunal Constitucional en un proceso de inconstitucionalidad de una ley por haber emitido, como miembro del órgano de gobierno de los jueces, opiniones jurídicas facultativas en el proceso de elaboración de la norma sometida al control de constitucionalidad afectaría a una eventual proyección futura de su carrera profesional. Estos pueden ver limitadas sus posibilidades para ser nombrados magistrados de este tribunal por el solo hecho de cumplir rectamente con las obligaciones de su cargo.</w:t>
      </w:r>
    </w:p>
    <w:p w14:paraId="50E25AB3" w14:textId="77777777" w:rsidR="00A8138F" w:rsidRDefault="00A8138F" w:rsidP="00A8138F">
      <w:pPr>
        <w:pStyle w:val="TextoNormal"/>
      </w:pPr>
    </w:p>
    <w:p w14:paraId="457190F1" w14:textId="77777777" w:rsidR="00A8138F" w:rsidRDefault="00A8138F" w:rsidP="00A8138F">
      <w:pPr>
        <w:pStyle w:val="TextoNormal"/>
      </w:pPr>
      <w:r>
        <w:t>Con ello se debilita la posibilidad de que los vocales del Consejo puedan tomar decisiones objetivas, libres de presiones políticas y, de modo reflejo, se imposibilita injustificadamente que el magistrado recusado ejerza las funciones de magistrado del Tribunal Constitucional.</w:t>
      </w:r>
    </w:p>
    <w:p w14:paraId="0E0F58BF" w14:textId="77777777" w:rsidR="00A8138F" w:rsidRDefault="00A8138F" w:rsidP="00A8138F">
      <w:pPr>
        <w:pStyle w:val="TextoNormal"/>
      </w:pPr>
    </w:p>
    <w:p w14:paraId="0645192A" w14:textId="77777777" w:rsidR="00A8138F" w:rsidRDefault="00A8138F" w:rsidP="00A8138F">
      <w:pPr>
        <w:pStyle w:val="TextoNormal"/>
      </w:pPr>
      <w:r>
        <w:t>Insistimos en el voto particular, y en otros posteriores, en la gravedad de que el Tribunal Constitucional para apartar al referido magistrado se separara de la doctrina aplicable con carácter general a las recusaciones y, particularmente, de que pasara a sostener un criterio totalmente contrario al mantenido en el ATC 28/2023, de 7 de febrero, en el que se decidió no aceptar la abstención que formulé al amparo de la causa 16 del artículo 219 LOPJ por haber emitido, como vocal del Consejo General del Poder Judicial, una enmienda al proyecto de informe de la comisión de estudios e informes al anteproyecto de ley orgánica de salud sexual y reproductiva y de la interrupción voluntaria del embarazo, en la que hice constar que las objeciones que planteé a la constitucionalidad del anteproyecto de ley que dio lugar a la aprobación de la norma entonces objeto de examen, eran plenamente coincidentes con el parecer que sobre las mismas cuestiones habría de sostener en la deliberación del recurso de inconstitucionalidad, lo que afectaría a mi imagen de imparcialidad y, por extensión, a la del propio Tribunal. Señalamos que las consideraciones que dieron lugar a que no se aceptara mi abstención debían aplicarse, con mayor motivo, a una recusación que no fue aceptada por el magistrado afectado, quien sostenía que su participación en el informe como vocal del Consejo General del Poder Judicial no comprometía su imparcialidad, argumento que no fue atendido por el Pleno.</w:t>
      </w:r>
    </w:p>
    <w:p w14:paraId="56B8A4A7" w14:textId="77777777" w:rsidR="00A8138F" w:rsidRDefault="00A8138F" w:rsidP="00A8138F">
      <w:pPr>
        <w:pStyle w:val="TextoNormal"/>
      </w:pPr>
    </w:p>
    <w:p w14:paraId="34FD41F9" w14:textId="77777777" w:rsidR="00A8138F" w:rsidRDefault="00A8138F" w:rsidP="00A8138F">
      <w:pPr>
        <w:pStyle w:val="TextoNormal"/>
      </w:pPr>
      <w:r>
        <w:t>Con posterioridad a la estimación de la recusación, mediante el ATC 12/2025, de 29 de enero, se extendieron los efectos de la recusación acordada en la cuestión de inconstitucionalidad núm. 6053-2024 por el ATC 6/2025 a dieciséis recursos de inconstitucionalidad y cinco cuestiones de inconstitucionalidad planteados en relación con la Ley de amnistía y, entre otros, al recurso de inconstitucionalidad resuelto por la sentencia de la que ahora discrepo.</w:t>
      </w:r>
    </w:p>
    <w:p w14:paraId="02A751AC" w14:textId="77777777" w:rsidR="00A8138F" w:rsidRDefault="00A8138F" w:rsidP="00A8138F">
      <w:pPr>
        <w:pStyle w:val="TextoNormal"/>
      </w:pPr>
    </w:p>
    <w:p w14:paraId="38A2E3ED" w14:textId="77777777" w:rsidR="00A8138F" w:rsidRDefault="00A8138F" w:rsidP="00A8138F">
      <w:pPr>
        <w:pStyle w:val="TextoNormal"/>
      </w:pPr>
      <w:r>
        <w:t>En el voto particular a este auto, que formulé con el magistrado don César Tolosa Tribiño, señalamos que el ATC 6/2025 no podía servir de sustento para apartar definitivamente al magistrado señor Macías Castaño, no solo en la cuestión de inconstitucionalidad anteriormente citada, sino en todos los procesos constitucionales que se encuentran en tramitación ante este tribunal que tienen por objeto la Ley Orgánica 1/2024. Las razones, también resumidas, que expresamos fueron que el Tribunal prescindió del procedimiento legalmente establecido y menoscabó el derecho a un proceso equitativo, vulnerando las garantías y los derechos procesales de las partes (igualdad de armas y principio contradictorio) y las garantías del recusado.</w:t>
      </w:r>
    </w:p>
    <w:p w14:paraId="3CECB0D0" w14:textId="77777777" w:rsidR="00A8138F" w:rsidRDefault="00A8138F" w:rsidP="00A8138F">
      <w:pPr>
        <w:pStyle w:val="TextoNormal"/>
      </w:pPr>
    </w:p>
    <w:p w14:paraId="5FD7EC78" w14:textId="77777777" w:rsidR="00A8138F" w:rsidRDefault="00A8138F" w:rsidP="00A8138F">
      <w:pPr>
        <w:pStyle w:val="TextoNormal"/>
      </w:pPr>
      <w:r>
        <w:t>Finalmente, mediante el ATC 35/2025, de 13 de mayo, se desestimaron los recursos de súplica planteados contra el ATC 12/2025. También en el voto particular frente al citado auto pusimos de relieve que no se dio respuesta alguna a los recursos de súplica planteados. A este respecto, afirmamos que “los argumentos expuestos en los recursos tienen carácter decisivo, se refieren a cuestiones esenciales, ya que abordan cuestiones fundamentales relacionadas con la necesidad de una base legal para que las injerencias en los derechos fundamentales (a un tribunal independiente e imparcial, establecido por la ley —arts. 24.2 CE y 6.1 CEDH—, y el derecho a un proceso con todas las garantías —arts. 24.2 CE y 6.1 CEDH—) sean constitucionalmente válidas. Pese a lo cual solo han merecido una respuesta lacónica y estereotipada. No se alegan por los recurrentes meras irregularidades procesales sino la alteración no autorizada de la composición del Tribunal realizada de oficio, sin respaldo normativo —ni procesal ni sustantivo— y al margen del procedimiento legalmente previsto”.</w:t>
      </w:r>
    </w:p>
    <w:p w14:paraId="49708171" w14:textId="77777777" w:rsidR="00A8138F" w:rsidRDefault="00A8138F" w:rsidP="00A8138F">
      <w:pPr>
        <w:pStyle w:val="TextoNormal"/>
      </w:pPr>
    </w:p>
    <w:p w14:paraId="6E0B144A" w14:textId="77777777" w:rsidR="00A8138F" w:rsidRDefault="00A8138F" w:rsidP="00A8138F">
      <w:pPr>
        <w:pStyle w:val="TextoNormal"/>
      </w:pPr>
      <w:r>
        <w:t>Además, añadimos que el ATC 12/2025 y el que lo confirma, al haber sido dictado sin que exista una previsión legal específica, prescindiendo del procedimiento establecido en los arts. 223.4 LOPJ y 107.4 de la Ley de enjuiciamiento civil, que garantiza la intervención del magistrado apartado, vulneró la garantía del propio magistrado recusado [STC 91/2021, de 22 de abril, FJ 5.2.3 b)]. Concluimos, en consecuencia, que el citado magistrado fue privado de su derecho al ejercicio del cargo (art. 23.2 CE), no solo separándose el Tribunal, sin justificación alguna, de su precedente inmediato (ATC 28/2023, al que se ha hecho referencia), sino sin tan siquiera ofrecerle la oportunidad de intervenir, a pesar de haber sido parte activa en todas las decisiones de admisión de los procesos de inconstitucionalidad relativos a la Ley de amnistía.</w:t>
      </w:r>
    </w:p>
    <w:p w14:paraId="05A018F4" w14:textId="77777777" w:rsidR="00A8138F" w:rsidRDefault="00A8138F" w:rsidP="00A8138F">
      <w:pPr>
        <w:pStyle w:val="TextoNormal"/>
      </w:pPr>
    </w:p>
    <w:p w14:paraId="2FF39C43" w14:textId="77777777" w:rsidR="00A8138F" w:rsidRDefault="00A8138F" w:rsidP="00A8138F">
      <w:pPr>
        <w:pStyle w:val="TextoNormal"/>
      </w:pPr>
      <w:r>
        <w:t>En todo caso, y en lo que ahora interesa, por las razones que resumidamente he expuesto, y que expresamos en los votos particulares a los citados AATC 6/2025, 12/2025 y 35/2025, a los que me remito, considero que la sentencia ha sido deliberada y aprobada por un Pleno indebidamente integrado, al haber apartado el ATC 12/2025 al magistrado don José María Macías Castaño del conocimiento de este recurso de inconstitucionalidad, tras extender a este proceso los efectos del ATC 6/2025, en el que se estimó su recusación.</w:t>
      </w:r>
    </w:p>
    <w:p w14:paraId="3A104484" w14:textId="77777777" w:rsidR="00A8138F" w:rsidRDefault="00A8138F" w:rsidP="00A8138F">
      <w:pPr>
        <w:pStyle w:val="TextoNormal"/>
      </w:pPr>
    </w:p>
    <w:p w14:paraId="2B468147" w14:textId="77777777" w:rsidR="00A8138F" w:rsidRDefault="00A8138F" w:rsidP="00A8138F">
      <w:pPr>
        <w:pStyle w:val="TextoNormal"/>
      </w:pPr>
      <w:r>
        <w:t>2. El proceso constitucional</w:t>
      </w:r>
    </w:p>
    <w:p w14:paraId="349798C0" w14:textId="77777777" w:rsidR="00A8138F" w:rsidRDefault="00A8138F" w:rsidP="00A8138F">
      <w:pPr>
        <w:pStyle w:val="TextoNormal"/>
      </w:pPr>
    </w:p>
    <w:p w14:paraId="243C1546" w14:textId="77777777" w:rsidR="00A8138F" w:rsidRDefault="00A8138F" w:rsidP="00A8138F">
      <w:pPr>
        <w:pStyle w:val="TextoNormal"/>
      </w:pPr>
      <w:r>
        <w:t>Una vez apartado el magistrado don José María Macías Castaño del conocimiento del presente recurso de inconstitucionalidad, del que era ponente, por acuerdo del presidente del Tribunal Constitucional, de 29 de enero de 2025, se designó ponente en el mismo a la magistrada doña Inmaculada Montalbán Huertas, a quien por turno corresponde, según se especifica en dicho acuerdo. No tengo conocimiento de esa norma de reparto. Sí me consta que, en otros casos, tras las correspondientes abstenciones, a las que deberían equipararse los supuestos de recusación, el turno ha girado comenzando por el magistrado más moderno, por lo que la ponencia no hubiera recaído en la vicepresidenta del Tribunal.</w:t>
      </w:r>
    </w:p>
    <w:p w14:paraId="62154D27" w14:textId="77777777" w:rsidR="00A8138F" w:rsidRDefault="00A8138F" w:rsidP="00A8138F">
      <w:pPr>
        <w:pStyle w:val="TextoNormal"/>
      </w:pPr>
    </w:p>
    <w:p w14:paraId="767C4827" w14:textId="77777777" w:rsidR="00A8138F" w:rsidRDefault="00A8138F" w:rsidP="00A8138F">
      <w:pPr>
        <w:pStyle w:val="TextoNormal"/>
      </w:pPr>
      <w:r>
        <w:t>En febrero del presente año fue creado por la ponente un grupo de trabajo para el estudio del recurso y preparación del borrador de la ponencia y el 1 de junio tuvimos conocimiento, por los medios de comunicación, tanto de los días en los que se pretendía deliberar la misma, como de su contenido. Es incalificable el hecho de que la prensa tuviera noticia del contenido de la ponencia de esta sentencia antes de que la conociéramos algunos de los magistrados del Tribunal. La filtración del borrador ha provocado un debate paralelo minando la serenidad y discreción que debe regir la labor de los magistrados y ha supuesto un desprestigio para el Tribunal.</w:t>
      </w:r>
    </w:p>
    <w:p w14:paraId="3D4FF33A" w14:textId="77777777" w:rsidR="00A8138F" w:rsidRDefault="00A8138F" w:rsidP="00A8138F">
      <w:pPr>
        <w:pStyle w:val="TextoNormal"/>
      </w:pPr>
    </w:p>
    <w:p w14:paraId="6154DF9A" w14:textId="77777777" w:rsidR="00A8138F" w:rsidRDefault="00A8138F" w:rsidP="00A8138F">
      <w:pPr>
        <w:pStyle w:val="TextoNormal"/>
      </w:pPr>
      <w:r>
        <w:t>Además, el presidente del Tribunal ha determinado el momento en que se tiene que aprobar la sentencia, independientemente de las necesidades de estudio y deliberación en un asunto de la relevancia jurídico constitucional como el abordado. No han sido atendidas las peticiones de que se pospusiera el inicio de la deliberación y la votación hasta que todos los miembros del Pleno tuviéramos tiempo bastante para el estudio reposado del proyecto de sentencia, el cual debería haberse facilitado con antelación suficiente a todos los magistrados.</w:t>
      </w:r>
    </w:p>
    <w:p w14:paraId="43472E33" w14:textId="77777777" w:rsidR="00A8138F" w:rsidRDefault="00A8138F" w:rsidP="00A8138F">
      <w:pPr>
        <w:pStyle w:val="TextoNormal"/>
      </w:pPr>
    </w:p>
    <w:p w14:paraId="68240F8F" w14:textId="77777777" w:rsidR="00A8138F" w:rsidRDefault="00A8138F" w:rsidP="00A8138F">
      <w:pPr>
        <w:pStyle w:val="TextoNormal"/>
      </w:pPr>
      <w:r>
        <w:t>Sin embargo, el texto de la ponencia se nos entregó con la misma antelación con la que lo son habitualmente otros de mucha menor complejidad y transcendencia. A ello no obsta que se hiciera un señalamiento para un primer estudio, práctica no infrecuente en otros recursos, que no son en forma alguna equiparables al que nos ocupa.</w:t>
      </w:r>
    </w:p>
    <w:p w14:paraId="265431F7" w14:textId="77777777" w:rsidR="00A8138F" w:rsidRDefault="00A8138F" w:rsidP="00A8138F">
      <w:pPr>
        <w:pStyle w:val="TextoNormal"/>
      </w:pPr>
    </w:p>
    <w:p w14:paraId="7152974A" w14:textId="77777777" w:rsidR="00A8138F" w:rsidRDefault="00A8138F" w:rsidP="00A8138F">
      <w:pPr>
        <w:pStyle w:val="TextoNormal"/>
      </w:pPr>
      <w:r>
        <w:t>Ninguna duda hay de las competencias de convocatoria del Pleno y de ordenación del funcionamiento del Tribunal que corresponden a su presidente. Pero considero que excede con mucho de las funciones que reconoce al presidente del Tribunal el art. 15 LOTC, predeterminar de manera inflexible, en lo que parece ejecución de una agenda preestablecida, el momento en que va a aprobarse una sentencia de esta importancia, sin atender a la solicitud motivada de mayor tiempo de estudio. A ello se añade que, igualmente, no dio trámite a una solicitud como la planteada por tres miembros del Tribunal para la convocatoria de un Pleno para el análisis previo de la procedencia de plantear cuestión prejudicial ante el Tribunal de Justicia de la Unión Europea, o de esperar a que el mismo se pronuncie sobre alguna de las cuestiones admitidas, tratando como comunicaciones internas lo que eran escritos de contenido jurisdiccional, que deberían haber sido objeto de la correspondiente tramitación.</w:t>
      </w:r>
    </w:p>
    <w:p w14:paraId="22BC05AC" w14:textId="77777777" w:rsidR="00A8138F" w:rsidRDefault="00A8138F" w:rsidP="00A8138F">
      <w:pPr>
        <w:pStyle w:val="TextoNormal"/>
      </w:pPr>
    </w:p>
    <w:p w14:paraId="2C6EDD46" w14:textId="77777777" w:rsidR="00A8138F" w:rsidRDefault="00A8138F" w:rsidP="00A8138F">
      <w:pPr>
        <w:pStyle w:val="TextoNormal"/>
      </w:pPr>
      <w:r>
        <w:t>La mencionada e inexplicable precipitación en la aprobación de esta sentencia se ha puesto de manifiesto, también, en que se haya aprobado sin haber resuelto los recursos de súplica que se habían presentado contra la providencia de 10 de junio de 2025, en la que se inadmitía la solicitud interesando la abstención de don Cándido Conde-Pumpido, y contra el ATC 65/2025, de 11 de junio, por medio del cual inadmiten las solicitudes de 22 de mayo, 23 de mayo y 29 de mayo de 2025, relativas a la suspensión del procedimiento hasta la resolución de determinadas cuestiones prejudiciales, el traslado de la solicitud formulada el día 12 de mayo por tres magistrados y sus documentos anexos.</w:t>
      </w:r>
    </w:p>
    <w:p w14:paraId="08641C2B" w14:textId="77777777" w:rsidR="00A8138F" w:rsidRDefault="00A8138F" w:rsidP="00A8138F">
      <w:pPr>
        <w:pStyle w:val="TextoNormal"/>
      </w:pPr>
    </w:p>
    <w:p w14:paraId="38E79EC1" w14:textId="77777777" w:rsidR="00A8138F" w:rsidRDefault="00A8138F" w:rsidP="00A8138F">
      <w:pPr>
        <w:pStyle w:val="TextoNormal"/>
      </w:pPr>
      <w:r>
        <w:t>Todo parece indicar que el fallo de esta sentencia estaba ya decidido, lo que nos ha llevado a alguno de los componentes del Pleno a plantearnos que la deliberación era un mero trámite formal sin que existiese la más mínima posibilidad de que nuestros argumentos pudieran ser atendidos, como finalmente ha sucedido.</w:t>
      </w:r>
    </w:p>
    <w:p w14:paraId="3880DADB" w14:textId="77777777" w:rsidR="00A8138F" w:rsidRDefault="00A8138F" w:rsidP="00A8138F">
      <w:pPr>
        <w:pStyle w:val="TextoNormal"/>
      </w:pPr>
    </w:p>
    <w:p w14:paraId="158063CB" w14:textId="77777777" w:rsidR="00A8138F" w:rsidRDefault="00A8138F" w:rsidP="00A8138F">
      <w:pPr>
        <w:pStyle w:val="TextoNormal"/>
      </w:pPr>
      <w:r>
        <w:t>A todo ello se añade que la deliberación del asunto se inició la semana siguiente a haberse producido una grave crisis institucional en España, que ha conducido a una gran crispación política y social de la que se van haciendo constante eco los medios de comunicación, que emiten comparecencias y manifestaciones de líderes políticos, algunos de los cuales han condicionado públicamente el mantenimiento de su apoyo parlamentario al cumplimiento de los compromisos previos al pacto de investidura o a exigencias de otra índole, a las que más adelante me referiré.</w:t>
      </w:r>
    </w:p>
    <w:p w14:paraId="69B40990" w14:textId="77777777" w:rsidR="00A8138F" w:rsidRDefault="00A8138F" w:rsidP="00A8138F">
      <w:pPr>
        <w:pStyle w:val="TextoNormal"/>
      </w:pPr>
    </w:p>
    <w:p w14:paraId="42FA67DC" w14:textId="77777777" w:rsidR="00A8138F" w:rsidRDefault="00A8138F" w:rsidP="00A8138F">
      <w:pPr>
        <w:pStyle w:val="TextoNormal"/>
      </w:pPr>
      <w:r>
        <w:t>Entrar en este momento crítico y enrarecido a deliberar este recurso de inconstitucionalidad, en mi opinión, es contrario a la más elemental prudencia que ha de guiar el enjuiciamiento de este tribunal, la cual debería extenderse también al momento en que adopta sus decisiones. Así nos apartamos de la norma no escrita de no interferir en los procesos políticos, sobre la cual se ha venido evitando adoptar resoluciones en periodos electorales o en momentos en que nuestros pronunciamientos pudieran interpretarse como coadyuvantes a una determinada posición en la contienda política. De manera que razones de prudencia y de oportunidad aconsejaban haber distanciado la decisión de este recurso de inconstitucionalidad ante los acontecimientos que se están produciendo en España. La precipitación en el actual contexto de la fase de decisión de este recurso, contrastada con los varios meses empleados en la redacción de la ponencia, así como la negativa a esperar a que el Tribunal de Justicia de la Unión Europea se pronuncie sobre las cuestiones prejudiciales planteadas, puede comportar un grave deterioro del prestigio y de la necesaria apariencia de imparcialidad del Tribunal, esenciales para la confianza en el máximo intérprete de la Constitución.</w:t>
      </w:r>
    </w:p>
    <w:p w14:paraId="16E51D39" w14:textId="77777777" w:rsidR="00A8138F" w:rsidRDefault="00A8138F" w:rsidP="00A8138F">
      <w:pPr>
        <w:pStyle w:val="TextoNormal"/>
      </w:pPr>
    </w:p>
    <w:p w14:paraId="5F2042A1" w14:textId="77777777" w:rsidR="00A8138F" w:rsidRDefault="00A8138F" w:rsidP="00A8138F">
      <w:pPr>
        <w:pStyle w:val="TextoNormal"/>
      </w:pPr>
      <w:r>
        <w:t>Probablemente, esta sentencia ha abordado uno de los problemas jurídicos de mayor complejidad de los que ha tenido que afrontar el Tribunal Constitucional en sus cuarenta y cinco años de historia. La complejidad y la trascendencia del asunto, cuyo tratamiento en la ley impugnada ha sido objeto de severas críticas por la mayoría de eminentes representantes de la doctrina científica en las materias concernidas, requería, como he señalado, el debate sosegado que exige la prudencia, durante el tiempo que hubiera sido necesario para analizar todas las cuestiones planteadas en el recurso. Llama la atención que la transcendencia del mismo ha sido implícitamente reconocida por el presidente del Tribunal, quien en lugar de someter al Pleno la posibilidad de celebración de vista, dada la importancia y trascendencia del asunto, decidió convocar, antes del inicio del Pleno, a los medios de comunicación para una sesión fotográfica y videográfica de sus miembros, práctica usualmente reservada al inicio del periodo de sesiones o al cambio en la composición del Tribunal. Sin embargo, la excepcionalidad y trascendencia del caso no han bastado para atender a las peticiones de mayor disponibilidad de tiempo de estudio de la ponencia y recuperación de la normalidad, ausentes ambos en el momento en que se abordó la deliberación, tal como solicitamos varios magistrados del Tribunal.</w:t>
      </w:r>
    </w:p>
    <w:p w14:paraId="388BD452" w14:textId="77777777" w:rsidR="00A8138F" w:rsidRDefault="00A8138F" w:rsidP="00A8138F">
      <w:pPr>
        <w:pStyle w:val="TextoNormal"/>
      </w:pPr>
    </w:p>
    <w:p w14:paraId="2809D677" w14:textId="77777777" w:rsidR="00A8138F" w:rsidRDefault="00A8138F" w:rsidP="00A8138F">
      <w:pPr>
        <w:pStyle w:val="TextoNormal"/>
      </w:pPr>
      <w:r>
        <w:t>Por todo ello, considero que lo acontecido en el curso de este proceso constitucional ha ido en detrimento del ejercicio de las funciones que el art. 161.1 a) de nuestra Constitución atribuyen al Tribunal Constitucional.</w:t>
      </w:r>
    </w:p>
    <w:p w14:paraId="5DC3F5C8" w14:textId="77777777" w:rsidR="00A8138F" w:rsidRDefault="00A8138F" w:rsidP="00A8138F">
      <w:pPr>
        <w:pStyle w:val="TextoNormal"/>
      </w:pPr>
    </w:p>
    <w:p w14:paraId="0AF4C04A" w14:textId="77777777" w:rsidR="00A8138F" w:rsidRDefault="00A8138F" w:rsidP="00A8138F">
      <w:pPr>
        <w:pStyle w:val="TextoNormal"/>
      </w:pPr>
      <w:r>
        <w:t>3. El Tribunal debía haber planteado cuestión prejudicial o, en su defecto, haber esperado la resolución de las cuestiones prejudiciales planteadas ante el Tribunal de Justicia de la Unión Europea antes de deliberar y aprobar esta sentencia</w:t>
      </w:r>
    </w:p>
    <w:p w14:paraId="04DF9188" w14:textId="77777777" w:rsidR="00A8138F" w:rsidRDefault="00A8138F" w:rsidP="00A8138F">
      <w:pPr>
        <w:pStyle w:val="TextoNormal"/>
      </w:pPr>
    </w:p>
    <w:p w14:paraId="34FC5B82" w14:textId="77777777" w:rsidR="00A8138F" w:rsidRDefault="00A8138F" w:rsidP="00A8138F">
      <w:pPr>
        <w:pStyle w:val="TextoNormal"/>
      </w:pPr>
      <w:r>
        <w:t>Discrepo de las consideraciones vertidas en el fundamento jurídico 1.2.2 de la sentencia, en el que se concluye la improcedencia del planteamiento de las cuestiones prejudiciales interesadas por la parte recurrente y el Senado y se deniega la petición subsidiaria de esperar a la decisión del Tribunal de Justicia de la Unión Europea de las cuestiones ya formuladas y admitidas, algunas de las cuales han sido señaladas para la vista del 15 de julio próximo.</w:t>
      </w:r>
    </w:p>
    <w:p w14:paraId="0DE492B3" w14:textId="77777777" w:rsidR="00A8138F" w:rsidRDefault="00A8138F" w:rsidP="00A8138F">
      <w:pPr>
        <w:pStyle w:val="TextoNormal"/>
      </w:pPr>
    </w:p>
    <w:p w14:paraId="317227DA" w14:textId="77777777" w:rsidR="00A8138F" w:rsidRDefault="00A8138F" w:rsidP="00A8138F">
      <w:pPr>
        <w:pStyle w:val="TextoNormal"/>
      </w:pPr>
      <w:r>
        <w:t>La sentencia comienza por recordar que el Tribunal abordó las solicitudes presentadas en diversos escritos de la parte recurrente en el ATC 65/2025, de 11 de junio, frente al que formulé voto particular junto a los magistrados don Enrique Arnaldo Alcubilla y don César Tolosa Tribiño.</w:t>
      </w:r>
    </w:p>
    <w:p w14:paraId="6F22D68B" w14:textId="77777777" w:rsidR="00A8138F" w:rsidRDefault="00A8138F" w:rsidP="00A8138F">
      <w:pPr>
        <w:pStyle w:val="TextoNormal"/>
      </w:pPr>
    </w:p>
    <w:p w14:paraId="3D7D5E94" w14:textId="77777777" w:rsidR="00A8138F" w:rsidRDefault="00A8138F" w:rsidP="00A8138F">
      <w:pPr>
        <w:pStyle w:val="TextoNormal"/>
      </w:pPr>
      <w:r>
        <w:t>Como indicamos en aquel voto particular, la resolución de la que disentimos no dio ninguna respuesta a lo pedido expresamente por las partes y acordó que “no ha lugar, en este momento procesal, a la apertura de un trámite de audiencia relativa al posible planteamiento de cuestiones prejudiciales ante el Tribunal de Justicia de la Unión Europea, sin perjuicio de lo que pueda decidirse, a este respecto, en la deliberación del Pleno de este tribunal en la que se aborde el objeto del presente proceso constitucional”.</w:t>
      </w:r>
    </w:p>
    <w:p w14:paraId="22ADDA1F" w14:textId="77777777" w:rsidR="00A8138F" w:rsidRDefault="00A8138F" w:rsidP="00A8138F">
      <w:pPr>
        <w:pStyle w:val="TextoNormal"/>
      </w:pPr>
    </w:p>
    <w:p w14:paraId="31E60CA5" w14:textId="77777777" w:rsidR="00A8138F" w:rsidRDefault="00A8138F" w:rsidP="00A8138F">
      <w:pPr>
        <w:pStyle w:val="TextoNormal"/>
      </w:pPr>
      <w:r>
        <w:t>Ya apuntamos entonces que, para evitar enfrentarse a la existencia de dos peticiones expresas de planteamiento de cuestión prejudicial, tanto de la parte recurrente como del Senado, el auto las consideró, indebidamente, como una solicitud de inicio de un trámite de audiencia, pedimento que las partes no habían efectuado, dado que lo interesado no fue que se abriera ningún trámite “procesal”, sino que se plantearan distintas cuestiones prejudiciales ante el Tribunal de Justicia, y explicamos de forma pormenorizada los problemas de interpretación del Derecho de la Unión que deberían haberse examinado con carácter previo al de los motivos de inconstitucionalidad que dejaron expuestos en su respectiva demanda y escrito de alegaciones.</w:t>
      </w:r>
    </w:p>
    <w:p w14:paraId="04667A19" w14:textId="77777777" w:rsidR="00A8138F" w:rsidRDefault="00A8138F" w:rsidP="00A8138F">
      <w:pPr>
        <w:pStyle w:val="TextoNormal"/>
      </w:pPr>
    </w:p>
    <w:p w14:paraId="68D059D2" w14:textId="77777777" w:rsidR="00A8138F" w:rsidRDefault="00A8138F" w:rsidP="00A8138F">
      <w:pPr>
        <w:pStyle w:val="TextoNormal"/>
      </w:pPr>
      <w:r>
        <w:t>Igualmente, pusimos de relieve que en el auto se omitió enumerar las preguntas que se pretendía plantear, lo que impedía analizar su pertinencia, y que así se llegó, mediante argumentos formales, a denegar el planteamiento de una cuestión prejudicial solicitada de modo expreso y motivado, en momento procesal idóneo para ello, denegación que se produjo sin explicar las razones de fondo en que se fundó la decisión.</w:t>
      </w:r>
    </w:p>
    <w:p w14:paraId="14F853C3" w14:textId="77777777" w:rsidR="00A8138F" w:rsidRDefault="00A8138F" w:rsidP="00A8138F">
      <w:pPr>
        <w:pStyle w:val="TextoNormal"/>
      </w:pPr>
    </w:p>
    <w:p w14:paraId="59E1472B" w14:textId="77777777" w:rsidR="00A8138F" w:rsidRDefault="00A8138F" w:rsidP="00A8138F">
      <w:pPr>
        <w:pStyle w:val="TextoNormal"/>
      </w:pPr>
      <w:r>
        <w:t>Ya avanzamos en aquel momento que tal forma de proceder determinaba que, si finalmente este tribunal se considerara dispensado de su obligación de plantear una cuestión prejudicial al Tribunal de Justicia de la Unión Europea, sería necesario dar una respuesta expresa a esta petición en la sentencia que se dictara resolviendo el recurso de inconstitucionalidad, pues de lo contrario se produciría una vulneración del derecho a la tutela judicial efectiva de las partes.</w:t>
      </w:r>
    </w:p>
    <w:p w14:paraId="2D90DBE2" w14:textId="77777777" w:rsidR="00A8138F" w:rsidRDefault="00A8138F" w:rsidP="00A8138F">
      <w:pPr>
        <w:pStyle w:val="TextoNormal"/>
      </w:pPr>
    </w:p>
    <w:p w14:paraId="5895732D" w14:textId="77777777" w:rsidR="00A8138F" w:rsidRDefault="00A8138F" w:rsidP="00A8138F">
      <w:pPr>
        <w:pStyle w:val="TextoNormal"/>
      </w:pPr>
      <w:r>
        <w:t>Como era previsible, esa situación se ha consumado dado que, pese a que se han añadido a la ponencia inicialmente presentada unas “Consideraciones previas”, en el fundamento jurídico 1.2.2, donde se dice dar respuesta a las cuestiones planteadas, continúa sin motivarse suficientemente la denegación del planteamiento de las cuestiones prejudiciales, que igualmente solicitamos los magistrados que suscribimos el citado voto particular.</w:t>
      </w:r>
    </w:p>
    <w:p w14:paraId="093FEEC7" w14:textId="77777777" w:rsidR="00A8138F" w:rsidRDefault="00A8138F" w:rsidP="00A8138F">
      <w:pPr>
        <w:pStyle w:val="TextoNormal"/>
      </w:pPr>
    </w:p>
    <w:p w14:paraId="09326344" w14:textId="77777777" w:rsidR="00A8138F" w:rsidRDefault="00A8138F" w:rsidP="00A8138F">
      <w:pPr>
        <w:pStyle w:val="TextoNormal"/>
      </w:pPr>
      <w:r>
        <w:t>Como se hizo en el auto referenciado, nuevamente en la sentencia se omite detallar las once preguntas que formuló el Grupo Parlamentario Popular recurrente que sintéticamente, por razones de rigor expositivo y metodológico, dado que lo que se analiza es la pertinencia y utilidad de las cuestiones para el enjuiciamiento sobre la constitucionalidad de la Ley Orgánica 1/2024, son las siguientes: (1) compatibilidad de una amnistía gestada por los políticos beneficiarios de la misma, como un pacto extraparlamentario para la investidura del Gobierno de un Estado miembro, con los arts. 2 y 19.1 TUE del Estado de Derecho; (2) compatibilidad de la amnistía por motivos independentistas (art. 1 de la Ley de amnistía) con los principios de igualdad e interdicción de la discriminación por razón de la ideología de los arts. 2 y 3.3 TUE, arts. 10, 18 y 19 TFUE y arts. 20 y 21 CDFUE; (3) compatibilidad de la amnistía del terrorismo del art. 2 c) (salvo “graves violaciones de derechos humanos”) con los arts. 3 a 15 de la Directiva UE/2017/541, de 15 de marzo de 2017; (4) compatibilidad del principio de legalidad y tipicidad penal (art. 49 CDFUE) y del principio de seguridad jurídica con la exclusión penal de la amnistía exclusivamente mediante una directiva europea, omitiendo la remisión a la normativa nacional de trasposición (Ley Orgánica 10/1995, del Código penal); (5) compatibilidad de la amnistía de delitos de terrorismo incluidos en la Directiva UE/2017/541 con el principio de primacía del Derecho de la Unión Europea y con el principio de cooperación leal del art. 4.3 TUE; (6) compatibilidad de la amnistía de delitos terroristas, sin una modificación penal sustantiva nacional, con la exigencia de tipificación y persecución penal efectiva de estos en la Directiva UE/2017/541; (7) compatibilidad de la amnistía del delito de malversación de caudales públicos (art. 1.1 a) y b) de la Ley de amnistía) con el art. 325 TFUE y los arts. 2.1 a) y 4.2 de la Directiva UE/2017/1371, de 5 de julio de 2017, de protección de los intereses financieros de la Unión Europea; (8) compatibilidad de la amnistía de conductas que comprometen, directa o indirectamente, los intereses financieros de la Unión Europea con la obligación de adoptar sanciones disuasorias, efectivas y eficaces al respecto del art. 325.1 TFUE; (9) En el marco del art. 2 e) de la Ley de amnistía (exclusión de la amnistía para delitos contra intereses financieros de la Unión Europea) ¿el desvío de fondos públicos del presupuesto de una comunidad autónoma de un Estado miembro y su aplicación para la secesión unilateral del Estado miembro, comprometería los intereses financieros de la Unión Europea, su estabilidad presupuestaria e integridad financiera, en el sentido del art. 2.1 a) de la Directiva UE/2017/1371 y del art. 2.1 del Reglamento UE/883/2013, de 11 de septiembre de 2013?; (10) ¿constituye una invasión de la potestad jurisdiccional de los jueces, incompatible con los arts. 2, 19.1 y 267 TFUE y arts. 47 y 54 CDFUE —cláusula del Estado de Derecho de la Unión Europea— la eliminación del margen de apreciación judicial, en materia cautelar y en la aplicación de la Ley de amnistía, mientras penden cuestiones prejudiciales sobre la Ley de amnistía ante el Tribunal de Justicia de la Unión Europea?; y (11) compatibilidad de la amnistía de delitos contra el orden constitucional de un Estado miembro, con finalidad de segregar parte del territorio de este y de la Unión Europea, con los arts. 2, 3.2 y 4.2 TUE y arts. 20.2 a) y 21.1 TFUE.</w:t>
      </w:r>
    </w:p>
    <w:p w14:paraId="2389B25E" w14:textId="77777777" w:rsidR="00A8138F" w:rsidRDefault="00A8138F" w:rsidP="00A8138F">
      <w:pPr>
        <w:pStyle w:val="TextoNormal"/>
      </w:pPr>
    </w:p>
    <w:p w14:paraId="423255E6" w14:textId="77777777" w:rsidR="00A8138F" w:rsidRDefault="00A8138F" w:rsidP="00A8138F">
      <w:pPr>
        <w:pStyle w:val="TextoNormal"/>
      </w:pPr>
      <w:r>
        <w:t>Y tampoco se recogen las siete preguntas cuyo planteamiento interesa el Senado —interviniente—, de las que también doy cuenta, en sus aspectos principales: (1) compatibilidad de la Ley de amnistía con el principio de cooperación leal de España con la Unión Europea del art. 4.3 TUE; (2) compatibilidad del art. 1.1 y 2 de la Ley de amnistía con el principio de seguridad jurídica y la efectividad del espacio de libertad, seguridad y justicia de los arts. 3.2 TUE y 67 TFUE; (3) compatibilidad del art. 1.1 a), b), c), d) y f) con el principio de igualdad de interdicción de la discriminación por razón de la ideología de art. 2 TUE y arts. 20 y 21 CDFUE; (4) compatibilidad de los mandatos imperativos a los jueces que apliquen la amnistía de la Ley de amnistía con la exclusividad de la potestad jurisdiccional propia del Estado de Derecho de los arts. 2 y 19.1, segundo párrafo, TUE y art. 47 CDFUE; (5) compatibilidad del perdón de la malversación de los arts. 1.1 a) y b), 1.4 y 2 e) de la Ley de amnistía con la protección de los intereses financieros de la Unión Europea de los arts. 83.1, 310.6 y 325.1 TFUE y el Reglamento CE/2988/95 del Consejo, de 18 de diciembre de 1995, y la Directiva UE/2017/1371 del Parlamento y del Consejo; (6) compatibilidad de la amnistía por terrorismo del art. 2 c) de la Ley de amnistía con el art. 83.1 TFUE y la Directiva UE/2017/541; y (7) compatibilidad del levantamiento cautelar inmediato de las órdenes europeas de detención y entrega del art. 4 b) de la Ley de amnistía con los arts. 82.1 y 87.3 TFUE y la Decisión Marco 2002/584/JAI.</w:t>
      </w:r>
    </w:p>
    <w:p w14:paraId="0E4D61BB" w14:textId="77777777" w:rsidR="00A8138F" w:rsidRDefault="00A8138F" w:rsidP="00A8138F">
      <w:pPr>
        <w:pStyle w:val="TextoNormal"/>
      </w:pPr>
    </w:p>
    <w:p w14:paraId="6A2DFCF0" w14:textId="77777777" w:rsidR="00A8138F" w:rsidRDefault="00A8138F" w:rsidP="00A8138F">
      <w:pPr>
        <w:pStyle w:val="TextoNormal"/>
      </w:pPr>
      <w:r>
        <w:t>Tal omisión del análisis de las alegaciones presentadas que es imprescindible para resolver, evidencia, a mi juicio, el claro propósito de soslayar una respuesta motivada a la procedencia del planteamiento de las cuestiones planteadas por las partes, ya que mal podría juzgarse la corrección del juicio de pertinencia sobre la admisibilidad de las cuestiones prejudiciales sin explicitar previamente su contenido, que ni siquiera es objeto de los antecedentes de la sentencia.</w:t>
      </w:r>
    </w:p>
    <w:p w14:paraId="1537EAB1" w14:textId="77777777" w:rsidR="00A8138F" w:rsidRDefault="00A8138F" w:rsidP="00A8138F">
      <w:pPr>
        <w:pStyle w:val="TextoNormal"/>
      </w:pPr>
    </w:p>
    <w:p w14:paraId="71C15AFA" w14:textId="77777777" w:rsidR="00A8138F" w:rsidRDefault="00A8138F" w:rsidP="00A8138F">
      <w:pPr>
        <w:pStyle w:val="TextoNormal"/>
      </w:pPr>
      <w:r>
        <w:t>Para poder desestimar motivadamente las solicitudes de planteamiento de las cuestiones prejudiciales, el Tribunal debería haber efectuado un contraste provisorio entre, de una parte, las normas del Derecho de la Unión Europea invocadas [como (i) el principio de igualdad e interdicción de la discriminación de los arts. 20 y 21 de la Carta de derechos fundamentales de la Unión Europea —CDFUE—); (ii) los principios de seguridad jurídica y confianza legitima, así como los de legalidad y proporcionalidad del art. 49 CDFUE; (iii) el ejercicio ordinario de la potestad jurisdiccional por los tribunales; (iv) la protección eficaz y disuasoria de los intereses financieros de la Unión Europea y la lucha contra la corrupción del art. 325 del Tratado de funcionamiento de la Unión Europea —TFUE—, el Reglamento CE/2988/95 y la Directiva UE/2017/1371; (v) la persecución eficaz y eficiente del terrorismo del art. 83.1 TFUE y la Directiva UE/2017/541; (vi) el levantamiento de las órdenes europeas de detención y entrega y la Decisión Marco 2002/584/JAI; y (vii) el Estado de Derecho de los arts. 2, 19.1, segundo párrafo, del Tratado de la Unión Europea —TUE— y los arts. 47 y 49 CDFUE] interpretadas por la jurisprudencia del Tribunal de Justicia de la Unión Europea y, por otro lado, los preceptos de la Ley de amnistía impugnados junto a los que son objeto de las cuestiones prejudiciales ya planteadas sobre esta ley ante el Tribunal de Justicia de la Unión Europea (asuntos C-523/24, C-587/24, C-666/24 y C-123/25), que no pasan de la mera cita en la sentencia.</w:t>
      </w:r>
    </w:p>
    <w:p w14:paraId="2EEA2CF7" w14:textId="77777777" w:rsidR="00A8138F" w:rsidRDefault="00A8138F" w:rsidP="00A8138F">
      <w:pPr>
        <w:pStyle w:val="TextoNormal"/>
      </w:pPr>
    </w:p>
    <w:p w14:paraId="5DA7350B" w14:textId="77777777" w:rsidR="00A8138F" w:rsidRDefault="00A8138F" w:rsidP="00A8138F">
      <w:pPr>
        <w:pStyle w:val="TextoNormal"/>
      </w:pPr>
      <w:r>
        <w:t xml:space="preserve">En lugar del mencionado examen sobre la incidencia del Derecho de la Unión Europea en la ley impugnada, la sentencia contiene una fundamentación que no justifica la concurrencia de alguna de las excepciones a la obligación de plantear cuestión prejudicial mencionadas en los asuntos C-283/81, </w:t>
      </w:r>
      <w:r w:rsidRPr="00A8138F">
        <w:rPr>
          <w:i/>
        </w:rPr>
        <w:t>Cilfit y Lanificio di Gavardo SpA</w:t>
      </w:r>
      <w:r>
        <w:t xml:space="preserve">, y C-561/19, </w:t>
      </w:r>
      <w:r w:rsidRPr="00A8138F">
        <w:rPr>
          <w:i/>
        </w:rPr>
        <w:t>Consorzio Italian Management y Catania Multiservizi SpA</w:t>
      </w:r>
      <w:r>
        <w:t>, a las que haré posterior alusión.</w:t>
      </w:r>
    </w:p>
    <w:p w14:paraId="1C8F1996" w14:textId="77777777" w:rsidR="00A8138F" w:rsidRDefault="00A8138F" w:rsidP="00A8138F">
      <w:pPr>
        <w:pStyle w:val="TextoNormal"/>
      </w:pPr>
    </w:p>
    <w:p w14:paraId="4792A428" w14:textId="77777777" w:rsidR="00A8138F" w:rsidRDefault="00A8138F" w:rsidP="00A8138F">
      <w:pPr>
        <w:pStyle w:val="TextoNormal"/>
      </w:pPr>
      <w:r>
        <w:t xml:space="preserve">El fundamento jurídico 1.2.2 recuerda que este tribunal únicamente ha planteado una cuestión prejudicial ante el Tribunal de Justicia de la Unión Europea en un recurso de amparo en el que debía determinarse cuál había de ser la interpretación vinculante del art. 4 </w:t>
      </w:r>
      <w:r w:rsidRPr="00A8138F">
        <w:rPr>
          <w:i/>
        </w:rPr>
        <w:t>bis</w:t>
      </w:r>
      <w:r>
        <w:t xml:space="preserve"> de la Decisión Marco 2002/584/JAI. Seguidamente, se vierten una serie de consideraciones dirigidas a poner de relieve las diferencias que concurren respecto de dicho precedente en un proceso de control de constitucionalidad como el que nos ocupa. A continuación, se exponen variadas consideraciones tendentes a sustentar la tesis de que el diverso objeto de los procedimientos de declaración de constitucionalidad y el de la cuestión prejudicial interpretativa determina que ambos mecanismos procesales puedan operar, con carácter general, de forma autónoma, para señalar seguidamente que “[e]l juicio de validez no prejuzga, en definitiva, el de aplicabilidad (y viceversa), pues ambos juicios utilizan parámetros normativos de control distintos”. Esta argumentación concluye aseverando que “en el primer caso, se decide sobre la validez de la norma y, en el segundo, sobre la aplicabilidad de esta”.</w:t>
      </w:r>
    </w:p>
    <w:p w14:paraId="0F2BBF53" w14:textId="77777777" w:rsidR="00A8138F" w:rsidRDefault="00A8138F" w:rsidP="00A8138F">
      <w:pPr>
        <w:pStyle w:val="TextoNormal"/>
      </w:pPr>
    </w:p>
    <w:p w14:paraId="0C660119" w14:textId="77777777" w:rsidR="00A8138F" w:rsidRDefault="00A8138F" w:rsidP="00A8138F">
      <w:pPr>
        <w:pStyle w:val="TextoNormal"/>
      </w:pPr>
      <w:r>
        <w:t>Considero que tal exposición confunde conceptos básicos pues es evidente, desde la óptica del enjuiciamiento constitucional, que el juicio de aplicabilidad es presupuesto del de validez y que el Tribunal solo se puede pronunciar sobre la validez constitucional de una norma, ya sea en vía de recurso directo —a instancia de los legitimados en el art. 162.1 a) CE—, como por vía indirecta —a instancia de los legitimados en el art. 163 CE—, cuando aquella sea aplicable. Si la norma no resultase aplicable, no habría objeto del juicio de inconstitucionalidad.</w:t>
      </w:r>
    </w:p>
    <w:p w14:paraId="2C7F1FBE" w14:textId="77777777" w:rsidR="00A8138F" w:rsidRDefault="00A8138F" w:rsidP="00A8138F">
      <w:pPr>
        <w:pStyle w:val="TextoNormal"/>
      </w:pPr>
    </w:p>
    <w:p w14:paraId="120148BD" w14:textId="77777777" w:rsidR="00A8138F" w:rsidRDefault="00A8138F" w:rsidP="00A8138F">
      <w:pPr>
        <w:pStyle w:val="TextoNormal"/>
      </w:pPr>
      <w:r>
        <w:t>Sin perjuicio de lo anterior, creo que introducir las categorías de validez y aplicabilidad en el juicio de constitucionalidad cuando en este concurre el Derecho de la Unión Europea resulta artificial y se dirige a orillar la reiterada doctrina de este tribunal que viene estableciendo que, si se plantean en un mismo caso cuestiones prejudiciales de interpretación del Derecho de la Unión Europea y cuestiones de inconstitucionalidad, es prioritaria la resolución de las primeras.</w:t>
      </w:r>
    </w:p>
    <w:p w14:paraId="5C856C34" w14:textId="77777777" w:rsidR="00A8138F" w:rsidRDefault="00A8138F" w:rsidP="00A8138F">
      <w:pPr>
        <w:pStyle w:val="TextoNormal"/>
      </w:pPr>
    </w:p>
    <w:p w14:paraId="277F5DBD" w14:textId="77777777" w:rsidR="00A8138F" w:rsidRDefault="00A8138F" w:rsidP="00A8138F">
      <w:pPr>
        <w:pStyle w:val="TextoNormal"/>
      </w:pPr>
      <w:r>
        <w:t xml:space="preserve">Tal prioridad en la resolución de las cuestiones prejudiciales (juicio de aplicabilidad) sobre las de constitucionalidad (juicio de validez) viene siendo reiteradamente declarada por este tribunal, aunque sea en el ámbito de las cuestiones de inconstitucionalidad. Cabe remitirse aquí a los AATC 168/2016, de 4 de octubre; 183/2016, de 15 de noviembre; 202/2016, de 13 de diciembre, y 116/2020, de 22 de septiembre, y, coincidiendo con la doctrina del Tribunal de Justicia de la Unión Europea, a las SSTJUE de 15 de enero de 2013, asunto C-416/10, </w:t>
      </w:r>
      <w:r w:rsidRPr="00A8138F">
        <w:rPr>
          <w:i/>
        </w:rPr>
        <w:t>Križan y otros</w:t>
      </w:r>
      <w:r>
        <w:t xml:space="preserve">, § 70 y 72; de 4 de junio de 2015, asunto C-5/14, </w:t>
      </w:r>
      <w:r w:rsidRPr="00A8138F">
        <w:rPr>
          <w:i/>
        </w:rPr>
        <w:t>Kernkraftwerke Lippe-Ems</w:t>
      </w:r>
      <w:r>
        <w:t xml:space="preserve">, § 31 a 35; de 22 de junio de 2010, asuntos acumulados C‑188/10 y C‑189/10, </w:t>
      </w:r>
      <w:r w:rsidRPr="00A8138F">
        <w:rPr>
          <w:i/>
        </w:rPr>
        <w:t>Melki y Abdeli</w:t>
      </w:r>
      <w:r>
        <w:t xml:space="preserve">, § 41 a 45; de 22 de febrero de 2022, asunto C-430/21, </w:t>
      </w:r>
      <w:r w:rsidRPr="00A8138F">
        <w:rPr>
          <w:i/>
        </w:rPr>
        <w:t>RS</w:t>
      </w:r>
      <w:r>
        <w:t>, § 38, 39 y 51. La finalidad de este orden de análisis es, en primer lugar, que se esclarezca la aplicabilidad de la norma por el Tribunal de Justicia de la Unión Europea, para luego proceder por este tribunal a dilucidar la constitucionalidad de la norma sometida a su escrutinio.</w:t>
      </w:r>
    </w:p>
    <w:p w14:paraId="01CA923F" w14:textId="77777777" w:rsidR="00A8138F" w:rsidRDefault="00A8138F" w:rsidP="00A8138F">
      <w:pPr>
        <w:pStyle w:val="TextoNormal"/>
      </w:pPr>
    </w:p>
    <w:p w14:paraId="3863E9CB" w14:textId="77777777" w:rsidR="00A8138F" w:rsidRDefault="00A8138F" w:rsidP="00A8138F">
      <w:pPr>
        <w:pStyle w:val="TextoNormal"/>
      </w:pPr>
      <w:r>
        <w:t>El propósito de evitar el planteamiento de las cuestiones prejudiciales y de no aceptar el pedimento subsidiario de esperar a la resolución de otras ya admitidas, que ya avanzamos tras la aprobación del ATC 65/2025, de 11 de junio, se ha visto confirmado en la sentencia, atendido que, tras haber afirmado categóricamente que ambos mecanismos procesales (el procedimiento de declaración de constitucionalidad y el de la cuestión prejudicial interpretativa) pueden operar, en general, de forma autónoma y que el juicio de validez no prejuzga el de aplicabilidad, y viceversa, el fundamento jurídico 1.2.2 continúa argumentando que dichas apreciaciones tienen proyecciones matizadas para cada tipo de proceso de control constitucional.</w:t>
      </w:r>
    </w:p>
    <w:p w14:paraId="435FF2E5" w14:textId="77777777" w:rsidR="00A8138F" w:rsidRDefault="00A8138F" w:rsidP="00A8138F">
      <w:pPr>
        <w:pStyle w:val="TextoNormal"/>
      </w:pPr>
    </w:p>
    <w:p w14:paraId="21DA53C5" w14:textId="77777777" w:rsidR="00A8138F" w:rsidRDefault="00A8138F" w:rsidP="00A8138F">
      <w:pPr>
        <w:pStyle w:val="TextoNormal"/>
      </w:pPr>
      <w:r>
        <w:t>Así, se construye una argumentación que parte de afirmar que en la cuestión de inconstitucionalidad “[l]a norma legal cuya validez constitucional resulta cuestionada necesariamente ha de ser, en este supuesto, aplicable al caso, pues así lo exige expresamente la propia Constitución (art. 163 CE). Por ello, el órgano judicial solo puede plantear legítimamente la cuestión de inconstitucionalidad una vez que ha resuelto, con carácter previo, cualquier problema de aplicabilidad que pueda suscitarse, incluida la posible concurrencia de una disposición del Derecho de la Unión Europea con la que la referida norma legal pueda resultar incompatible”.</w:t>
      </w:r>
    </w:p>
    <w:p w14:paraId="6F596E7C" w14:textId="77777777" w:rsidR="00A8138F" w:rsidRDefault="00A8138F" w:rsidP="00A8138F">
      <w:pPr>
        <w:pStyle w:val="TextoNormal"/>
      </w:pPr>
    </w:p>
    <w:p w14:paraId="7AEF818B" w14:textId="77777777" w:rsidR="00A8138F" w:rsidRDefault="00A8138F" w:rsidP="00A8138F">
      <w:pPr>
        <w:pStyle w:val="TextoNormal"/>
      </w:pPr>
      <w:r>
        <w:t xml:space="preserve">Se subraya, seguidamente, que “la posición del juez ordinario y la del Tribunal Constitucional es, en lo que a la cuestión de inconstitucionalidad se refiere, completamente distinta” y que “a este tribunal, que tiene como sola competencia la garantía de la Constitución, le corresponde exclusivamente evaluar la validez constitucional de la norma cuestionada, que el órgano judicial </w:t>
      </w:r>
      <w:r w:rsidRPr="00A8138F">
        <w:rPr>
          <w:i/>
        </w:rPr>
        <w:t>a quo</w:t>
      </w:r>
      <w:r>
        <w:t>, en el ejercicio de una potestad interpretativa que solo a él corresponde ejercer, ya ha considerado, con carácter previo, aplicable al caso, despejando así las dudas que hayan podido existir en relación con la posible aplicabilidad de una disposición del Derecho de la Unión Europea”.</w:t>
      </w:r>
    </w:p>
    <w:p w14:paraId="113068DA" w14:textId="77777777" w:rsidR="00A8138F" w:rsidRDefault="00A8138F" w:rsidP="00A8138F">
      <w:pPr>
        <w:pStyle w:val="TextoNormal"/>
      </w:pPr>
    </w:p>
    <w:p w14:paraId="583E2377" w14:textId="77777777" w:rsidR="00A8138F" w:rsidRDefault="00A8138F" w:rsidP="00A8138F">
      <w:pPr>
        <w:pStyle w:val="TextoNormal"/>
      </w:pPr>
      <w:r>
        <w:t>Se cierra el círculo de la fundamentación de la sentencia en este punto al argüir que, en el recurso de inconstitucionalidad, el juicio de validez constitucional no conlleva, por concepto, ningún juicio de aplicabilidad previo y que, en este tipo de proceso de control, no hay más norma aplicable que la Constitución misma y que no hay interferencia posible entre el juicio de validez constitucional y el juicio de aplicabilidad que sirve de presupuesto al hipotético planteamiento de una cuestión prejudicial interpretativa.</w:t>
      </w:r>
    </w:p>
    <w:p w14:paraId="4B5C14DB" w14:textId="77777777" w:rsidR="00A8138F" w:rsidRDefault="00A8138F" w:rsidP="00A8138F">
      <w:pPr>
        <w:pStyle w:val="TextoNormal"/>
      </w:pPr>
    </w:p>
    <w:p w14:paraId="41CEE9DA" w14:textId="77777777" w:rsidR="00A8138F" w:rsidRDefault="00A8138F" w:rsidP="00A8138F">
      <w:pPr>
        <w:pStyle w:val="TextoNormal"/>
      </w:pPr>
      <w:r>
        <w:t>Esta argumentación tautológica, tendente a esquivar la necesidad de plantear las cuestiones prejudiciales planteadas mediante la distinción entre las cuestiones de inconstitucionalidad y los recursos de inconstitucionalidad, y la diferente posición frente el problema que adoptan los tribunales y el Tribunal Constitucional, al margen de olvidar que el título II LOTC regula conjuntamente “los procedimientos de declaración de inconstitucionalidad”, tanto del recurso de inconstitucionalidad (arts. 31 a 34 LOTC) como de la cuestión de inconstitucionalidad (arts. 35 a 37 LOTC), con el régimen común ubicado en su capítulo I “Disposiciones generales” (arts. 27 a 30 LOTC) y en su capítulo IV, titulado “De la sentencia en procedimientos de inconstitucionalidad y de sus efectos” (arts. 38 a 40 LOTC), en modo alguno justifica que este tribunal no venga obligado a examinar la invocada inaplicabilidad de la norma por ser contraria al Derecho de la Unión Europea, cuando resulta obvio que, en el juicio de constitucionalidad, la Constitución y las normas, primero, deben ser aplicables.</w:t>
      </w:r>
    </w:p>
    <w:p w14:paraId="01032A9E" w14:textId="77777777" w:rsidR="00A8138F" w:rsidRDefault="00A8138F" w:rsidP="00A8138F">
      <w:pPr>
        <w:pStyle w:val="TextoNormal"/>
      </w:pPr>
    </w:p>
    <w:p w14:paraId="51F4CEFC" w14:textId="77777777" w:rsidR="00A8138F" w:rsidRDefault="00A8138F" w:rsidP="00A8138F">
      <w:pPr>
        <w:pStyle w:val="TextoNormal"/>
      </w:pPr>
      <w:r>
        <w:t xml:space="preserve">Debo recordar que es jurisprudencia consolidada del Tribunal Europeo de Derechos Humanos que el artículo 6.1 CEDH exige que los tribunales nacionales motiven cualquier decisión por la que denieguen la remisión de una petición de decisión prejudicial al Tribunal de Justicia de la Unión Europea, por todas, STEDH de 15 de diciembre de 2022, asunto </w:t>
      </w:r>
      <w:r w:rsidRPr="00A8138F">
        <w:rPr>
          <w:i/>
        </w:rPr>
        <w:t>Rutar y Rutar Marketing d.o.o., c. Eslovenia</w:t>
      </w:r>
      <w:r>
        <w:t xml:space="preserve">, § 62. Razona el Tribunal que el derecho a una decisión motivada responde a la regla general recogida en el Convenio que protege al justiciable contra la arbitrariedad, exigiendo que las partes sean oídas, y obliga a los órganos jurisdiccionales a basar su decisión en razones objetivas (STEDH de 20 de septiembre de 2011, asunto </w:t>
      </w:r>
      <w:r w:rsidRPr="00A8138F">
        <w:rPr>
          <w:i/>
        </w:rPr>
        <w:t>Ullens de Schooten y Rezabek c. Bélgica</w:t>
      </w:r>
      <w:r>
        <w:t>, § 54 a 59). Recuerda que el imperio de la ley y la evitación de la arbitrariedad son principios que subyacen a la Convención. En el ámbito judicial, estos principios sirven para fomentar la confianza de los ciudadanos en un sistema judicial objetivo y transparente, uno de los fundamentos de una sociedad democrática.</w:t>
      </w:r>
    </w:p>
    <w:p w14:paraId="4979D338" w14:textId="77777777" w:rsidR="00A8138F" w:rsidRDefault="00A8138F" w:rsidP="00A8138F">
      <w:pPr>
        <w:pStyle w:val="TextoNormal"/>
      </w:pPr>
    </w:p>
    <w:p w14:paraId="4DE9DDCF" w14:textId="77777777" w:rsidR="00A8138F" w:rsidRDefault="00A8138F" w:rsidP="00A8138F">
      <w:pPr>
        <w:pStyle w:val="TextoNormal"/>
      </w:pPr>
      <w:r>
        <w:t xml:space="preserve">Además, el Tribunal Europeo de Derechos Humanos ha afirmado que para que el artículo 6.1 CEDH sea aplicable, debe existir una “controversia” genuina y seria sobre un derecho, añadiendo que el hecho de que el proceso haya tenido lugar ante un tribunal constitucional no basta para excluirlo del ámbito del art. 6.1 CEDH. Solo exige que en el procedimiento ante el tribunal constitucional estén involucrados “derechos y obligaciones civiles” del demandante (STEDH de 6 de enero de 2011, asunto </w:t>
      </w:r>
      <w:r w:rsidRPr="00A8138F">
        <w:rPr>
          <w:i/>
        </w:rPr>
        <w:t>Paksas c. Lituania</w:t>
      </w:r>
      <w:r>
        <w:t>, [GS], núm. 34932/04, § 65, ECHR 2011). En el caso que nos ocupa, no es discutible que los derechos afectados de la parte recurrente, como son los de acceso al recurso, imparcialidad judicial, igualdad, contradicción y defensa, interdicción de dilaciones indebidas y motivación, están reconocidos en el art. 6 CEDH.</w:t>
      </w:r>
    </w:p>
    <w:p w14:paraId="3469FE9C" w14:textId="77777777" w:rsidR="00A8138F" w:rsidRDefault="00A8138F" w:rsidP="00A8138F">
      <w:pPr>
        <w:pStyle w:val="TextoNormal"/>
      </w:pPr>
    </w:p>
    <w:p w14:paraId="07D49502" w14:textId="77777777" w:rsidR="00A8138F" w:rsidRDefault="00A8138F" w:rsidP="00A8138F">
      <w:pPr>
        <w:pStyle w:val="TextoNormal"/>
      </w:pPr>
      <w:r>
        <w:t>La sentencia tampoco tiene en cuenta que, cuando ante el Tribunal Constitucional se suscitan cuestiones de Derecho de la Unión Europea —como en este caso se ha planteado por los recurrentes en la demanda y en la solicitud de 29 de mayo de 2025, de planteamiento de once cuestiones prejudiciales— el propio Tribunal Constitucional actúa como “juez comunitario” en el sentido del art. 19.1, segundo párrafo, TUE, siendo el recurso de inconstitucionalidad la “vía de recurso necesaria para garantizar la tutela judicial efectiva en los ámbitos cubiertos por el Derecho de la Unión” mientras que, conforme al art. 19.3 b) TUE, este tribunal deviene “órgano jurisdiccional nacional con carácter prejudicial”. En virtud del art. 93 CE, desde el 1 de enero de 1986 el Reino de España cedió a las Comunidades Europeas parcelas del ejercicio de competencias derivadas de la Constitución, en particular las jurisdiccionales, a los efectos de la integración en el mercado común, que requiere la interpretación uniforme del Derecho comunitario, para lo cual se previó el instrumento procesal de la cuestión prejudicial ante el Tribunal de Justicia de la Unión Europea (en la actualidad, art. 267 TFUE).</w:t>
      </w:r>
    </w:p>
    <w:p w14:paraId="1D72F3B0" w14:textId="77777777" w:rsidR="00A8138F" w:rsidRDefault="00A8138F" w:rsidP="00A8138F">
      <w:pPr>
        <w:pStyle w:val="TextoNormal"/>
      </w:pPr>
    </w:p>
    <w:p w14:paraId="17E77B3F" w14:textId="77777777" w:rsidR="00A8138F" w:rsidRDefault="00A8138F" w:rsidP="00A8138F">
      <w:pPr>
        <w:pStyle w:val="TextoNormal"/>
      </w:pPr>
      <w:r>
        <w:t>Si, como sugiere la ponencia, el Reino de España hubiera querido exceptuar el procedimiento de control abstracto de constitucionalidad de la ley (arts. 31 a 34 LOTC) como “vía de recurso necesaria para garantizar la tutela judicial efectiva en los ámbitos cubiertos por el Derecho de la Unión” (art. 19.1, segundo párrafo, TUE) de la obligatoriedad de plantear cuestiones prejudiciales como órgano de última instancia (párrafo tercero del art. 267 TFUE) o de las garantías procesales del art. 47 CDFUE, el Estado español debería haber formulado las correspondientes reservas, excepciones o salvedades en su adhesión a los Tratados y a la CDFUE, mediante Protocolo o Anexo adicional (como hicieron Dinamarca, Reino Unido o Francia a los Protocolos núm. 15 a 22 en diversas materias, o Polonia y el Reino Unido al Protocolo 30 relativo a la CDFUE). Al no haberse formulado reserva alguna, la excepción que se pretende introducir ahora para este recurso de inconstitucionalidad en materia de control abstracto de constitucionalidad es contraria a los arts. 93 y 96 CE y al Derecho de la Unión Europea (art. 4.3 TUE).</w:t>
      </w:r>
    </w:p>
    <w:p w14:paraId="2DC1294A" w14:textId="77777777" w:rsidR="00A8138F" w:rsidRDefault="00A8138F" w:rsidP="00A8138F">
      <w:pPr>
        <w:pStyle w:val="TextoNormal"/>
      </w:pPr>
    </w:p>
    <w:p w14:paraId="227E8AB1" w14:textId="77777777" w:rsidR="00A8138F" w:rsidRDefault="00A8138F" w:rsidP="00A8138F">
      <w:pPr>
        <w:pStyle w:val="TextoNormal"/>
      </w:pPr>
      <w:r>
        <w:t xml:space="preserve">Por ello, el orden de enjuiciamiento de esta </w:t>
      </w:r>
      <w:r w:rsidRPr="00A8138F">
        <w:rPr>
          <w:i/>
        </w:rPr>
        <w:t>litis</w:t>
      </w:r>
      <w:r>
        <w:t xml:space="preserve"> exige al Tribunal proceder, en primer lugar, al examen provisorio de la aplicabilidad de la norma y de la Constitución, y si en ese momento, de oficio o a instancia de parte, surgen razones que lleven “a preguntarse sobre la interpretación o la validez de determinadas disposiciones del Derecho de la Unión, así como de la relación que a su juicio existe entre dichas disposiciones y la normativa nacional aplicable en el litigio principal” (art. 94 del Reglamento de procedimiento del Tribunal de Justicia de la Unión Europea), entonces este tribunal, como cualquier otro, está obligado a plantear la cuestión prejudicial. Pero, es más, el planteamiento de la cuestión prejudicial es preceptivo para el Tribunal Constitucional, al disponer el art. 267, párrafo tercero, TFUE que “[c]uando se plantee una cuestión de este tipo en un asunto pendiente ante un órgano jurisdiccional nacional, cuyas decisiones no sean susceptibles de ulterior recurso judicial de Derecho interno, dicho órgano estará obligado a someter la cuestión al Tribunal”. Y el Tribunal Constitucional ocupa esa posición (</w:t>
      </w:r>
      <w:r w:rsidRPr="00A8138F">
        <w:rPr>
          <w:i/>
        </w:rPr>
        <w:t>ex</w:t>
      </w:r>
      <w:r>
        <w:t xml:space="preserve"> SSTJUE de 22 de febrero de 2022, asunto C‑430/21, </w:t>
      </w:r>
      <w:r w:rsidRPr="00A8138F">
        <w:rPr>
          <w:i/>
        </w:rPr>
        <w:t>RS</w:t>
      </w:r>
      <w:r>
        <w:t>; de 22 de junio de 2010, asuntos acumulados C‑188/10 y C‑189/10</w:t>
      </w:r>
      <w:r w:rsidRPr="00A8138F">
        <w:rPr>
          <w:i/>
        </w:rPr>
        <w:t>, Melki y Abde</w:t>
      </w:r>
      <w:r>
        <w:t>li, o de 26 de febrero de 2013, asunto C-399/11</w:t>
      </w:r>
      <w:r w:rsidRPr="00A8138F">
        <w:rPr>
          <w:i/>
        </w:rPr>
        <w:t>, Mello</w:t>
      </w:r>
      <w:r>
        <w:t>ni).</w:t>
      </w:r>
    </w:p>
    <w:p w14:paraId="46E81BBE" w14:textId="77777777" w:rsidR="00A8138F" w:rsidRDefault="00A8138F" w:rsidP="00A8138F">
      <w:pPr>
        <w:pStyle w:val="TextoNormal"/>
      </w:pPr>
    </w:p>
    <w:p w14:paraId="7D310826" w14:textId="77777777" w:rsidR="00A8138F" w:rsidRDefault="00A8138F" w:rsidP="00A8138F">
      <w:pPr>
        <w:pStyle w:val="TextoNormal"/>
      </w:pPr>
      <w:r>
        <w:t>La decisión de no efectuar dicho examen de aplicabilidad de la norma se evidenció, como he apuntado, desde que fue aprobado el ATC 65/2025, de 11 de junio, en el que se omitió reseñar las cuestiones que pretendían introducir las partes, no dando respuesta a lo realmente pedido por las mismas ni a la petición, de contenido jurisdiccional, planteada por tres integrantes del Pleno, cuya solicitud fue tratada como un asunto de trámite que se recondujo indebidamente a las facultades gubernativas del presidente del Tribunal cuando, tanto el planteamiento de la cuestión prejudicial, como el momento en que dicha decisión debía adoptarse, eran clara competencia del Pleno.</w:t>
      </w:r>
    </w:p>
    <w:p w14:paraId="2BF34456" w14:textId="77777777" w:rsidR="00A8138F" w:rsidRDefault="00A8138F" w:rsidP="00A8138F">
      <w:pPr>
        <w:pStyle w:val="TextoNormal"/>
      </w:pPr>
    </w:p>
    <w:p w14:paraId="1A32C148" w14:textId="77777777" w:rsidR="00A8138F" w:rsidRDefault="00A8138F" w:rsidP="00A8138F">
      <w:pPr>
        <w:pStyle w:val="TextoNormal"/>
      </w:pPr>
      <w:r>
        <w:t>Por tanto, ni en el auto citado ni ahora en la sentencia el Tribunal da debida respuesta a la obligación de planteamiento de la cuestión prejudicial.</w:t>
      </w:r>
    </w:p>
    <w:p w14:paraId="7C35609E" w14:textId="77777777" w:rsidR="00A8138F" w:rsidRDefault="00A8138F" w:rsidP="00A8138F">
      <w:pPr>
        <w:pStyle w:val="TextoNormal"/>
      </w:pPr>
    </w:p>
    <w:p w14:paraId="01E06D06" w14:textId="77777777" w:rsidR="00A8138F" w:rsidRDefault="00A8138F" w:rsidP="00A8138F">
      <w:pPr>
        <w:pStyle w:val="TextoNormal"/>
      </w:pPr>
      <w:r>
        <w:t>Aunque es cierto que la posibilidad de planteamiento de cuestiones prejudiciales al Tribunal de Justicia de la Unión Europea constituye una facultad exclusiva del órgano jurisdiccional nacional (</w:t>
      </w:r>
      <w:r w:rsidRPr="00A8138F">
        <w:rPr>
          <w:i/>
        </w:rPr>
        <w:t>cfr</w:t>
      </w:r>
      <w:r>
        <w:t xml:space="preserve">. las Recomendaciones a los órganos jurisdiccionales nacionales, relativas al planteamiento de cuestiones prejudiciales C/2024/6008), también lo es que el citado párrafo tercero del art. 267 TFUE, acabado de transcribir, trasforma la facultad en obligación de planteamiento, sobre lo que se ha venido pronunciando la doctrina clásica en las sentencias del Tribunal de Justicia de las Comunidades Europeas de 16 de enero de 1974, asunto C-166/73, </w:t>
      </w:r>
      <w:r w:rsidRPr="00A8138F">
        <w:rPr>
          <w:i/>
        </w:rPr>
        <w:t>Rheinmühlen Düsseldorf</w:t>
      </w:r>
      <w:r>
        <w:t xml:space="preserve">, y de 24 de mayo de 1977, asunto C-107/76, </w:t>
      </w:r>
      <w:r w:rsidRPr="00A8138F">
        <w:rPr>
          <w:i/>
        </w:rPr>
        <w:t>Hoffmann-La Roche</w:t>
      </w:r>
      <w:r>
        <w:t xml:space="preserve">, y ha sido recordado en las SSTJUE de 18 de julio de 2013, asunto C‑136/12, </w:t>
      </w:r>
      <w:r w:rsidRPr="00A8138F">
        <w:rPr>
          <w:i/>
        </w:rPr>
        <w:t>Consiglio nazionale dei geologi</w:t>
      </w:r>
      <w:r>
        <w:t xml:space="preserve">, § 25; de 6 de octubre 2021, asunto C‑561/19, </w:t>
      </w:r>
      <w:r w:rsidRPr="00A8138F">
        <w:rPr>
          <w:i/>
        </w:rPr>
        <w:t>Consorzio Italian Management</w:t>
      </w:r>
      <w:r>
        <w:t xml:space="preserve">, § 32, y de 22 de diciembre de 2022, asunto C‑83/21, </w:t>
      </w:r>
      <w:r w:rsidRPr="00A8138F">
        <w:rPr>
          <w:i/>
        </w:rPr>
        <w:t>Airbnb Ireland y Airbnb Payments UK</w:t>
      </w:r>
      <w:r>
        <w:t>, § 79, y recogido en la recomendación núm. 6 de las aprobadas por el Tribunal de Justicia de la Unión Europea (C/2024/6008).</w:t>
      </w:r>
    </w:p>
    <w:p w14:paraId="7138E02B" w14:textId="77777777" w:rsidR="00A8138F" w:rsidRDefault="00A8138F" w:rsidP="00A8138F">
      <w:pPr>
        <w:pStyle w:val="TextoNormal"/>
      </w:pPr>
    </w:p>
    <w:p w14:paraId="2F27EB89" w14:textId="77777777" w:rsidR="00A8138F" w:rsidRDefault="00A8138F" w:rsidP="00A8138F">
      <w:pPr>
        <w:pStyle w:val="TextoNormal"/>
      </w:pPr>
      <w:r>
        <w:t xml:space="preserve">Esta regla admite excepciones a la obligación de plantear la cuestión prejudicial, formuladas en la STJUE de 6 de octubre de 1982, asunto C-283/81, </w:t>
      </w:r>
      <w:r w:rsidRPr="00A8138F">
        <w:rPr>
          <w:i/>
        </w:rPr>
        <w:t>Cilfit y Lanificio di Gavardo SpA</w:t>
      </w:r>
      <w:r>
        <w:t>. Estas excepciones son que: (i) el tribunal haya comprobado que la cuestión suscitada no es pertinente; (ii) la disposición del Derecho de la Unión de que se trata fue ya objeto de interpretación por el Tribunal de Justicia de la Unión Europea; o (iii) la correcta aplicación del Derecho de la Unión se impone con tal evidencia que no deja lugar a duda razonable alguna. Esta doctrina se ha reiterado al cabo del tiempo, entre las últimas, en la STJUE, Gran Sala, de 15 de octubre de 2024, asunto C-144/23</w:t>
      </w:r>
      <w:r w:rsidRPr="00A8138F">
        <w:rPr>
          <w:i/>
        </w:rPr>
        <w:t>, Kube</w:t>
      </w:r>
      <w:r>
        <w:t>ra.</w:t>
      </w:r>
    </w:p>
    <w:p w14:paraId="3B9593F8" w14:textId="77777777" w:rsidR="00A8138F" w:rsidRDefault="00A8138F" w:rsidP="00A8138F">
      <w:pPr>
        <w:pStyle w:val="TextoNormal"/>
      </w:pPr>
    </w:p>
    <w:p w14:paraId="3A485551" w14:textId="77777777" w:rsidR="00A8138F" w:rsidRDefault="00A8138F" w:rsidP="00A8138F">
      <w:pPr>
        <w:pStyle w:val="TextoNormal"/>
      </w:pPr>
      <w:r>
        <w:t xml:space="preserve">A la hora de determinar si la interpretación del Derecho de la Unión “se impone sin ninguna duda razonable”, ha de tenerse en cuenta si aquella interpretación “ha suscitado múltiples dudas en un gran número de órganos jurisdiccionales nacionales, que, en consecuencia, se han visto obligados a remitir el asunto al Tribunal de Justicia. Estas dudas demuestran no solo la existencia de dificultades de interpretación, sino también la existencia de riesgos de divergencias de jurisprudencia en el ámbito de la Unión” (STJUE de 9 de septiembre de 2015, asunto C-160/14, </w:t>
      </w:r>
      <w:r w:rsidRPr="00A8138F">
        <w:rPr>
          <w:i/>
        </w:rPr>
        <w:t>Ferreira da Silva e Brito y otros</w:t>
      </w:r>
      <w:r>
        <w:t>, § 42 a 43). Asimismo, si el tribunal cuyas decisiones no sean susceptibles de ulterior recurso judicial de Derecho interno estima que “la correcta aplicación del Derecho de la Unión puede imponerse con tal evidencia que no deje lugar a duda razonable alguna sobre la solución de la cuestión suscitada. Antes de concluir que se da tal situación, el órgano jurisdiccional nacional que resuelve en la última instancia debe llegar a la convicción de que la misma evidencia se impondría igualmente a los órganos jurisdiccionales nacionales de los otros Estados miembros, así como al Tribunal de Justicia. Tan solo si estas condiciones se cumplen puede abstenerse el órgano jurisdiccional nacional de someter la cuestión al Tribunal de Justicia y resolver bajo su propia responsabilidad” (STJUE de 28 de julio de 2016, asunto C-379/15</w:t>
      </w:r>
      <w:r w:rsidRPr="00A8138F">
        <w:rPr>
          <w:i/>
        </w:rPr>
        <w:t>, Association France Nature Environneme</w:t>
      </w:r>
      <w:r>
        <w:t>nt, § 48).</w:t>
      </w:r>
    </w:p>
    <w:p w14:paraId="3C7E514D" w14:textId="77777777" w:rsidR="00A8138F" w:rsidRDefault="00A8138F" w:rsidP="00A8138F">
      <w:pPr>
        <w:pStyle w:val="TextoNormal"/>
      </w:pPr>
    </w:p>
    <w:p w14:paraId="50F1323A" w14:textId="77777777" w:rsidR="00A8138F" w:rsidRDefault="00A8138F" w:rsidP="00A8138F">
      <w:pPr>
        <w:pStyle w:val="TextoNormal"/>
      </w:pPr>
      <w:r>
        <w:t>Al ser este tribunal órgano de última instancia y solicitado el planteamiento de cuestiones prejudiciales, debería haber motivado en cuál de los tres supuestos excepcionales reiteradamente reconocidos por el Tribunal de Justicia de la Unión Europea se basa para denegar las pretensiones oportunamente deducidas, argumentación que en modo alguno ofrece la sentencia. En concreto, no se pronuncia sobre un dato evidente como es que cuatro tribunales españoles han planteado cuestiones prejudiciales sobre esta ley y han sido admitidas por el Tribunal de Justicia de la Unión Europea (asuntos C-523/24, C-587/24, C-666/24 y C-123/25). A ello se añade que en modo alguno se ha razonado si “la misma evidencia se impondría igualmente a los órganos jurisdiccionales nacionales de los otros Estados miembros, así como al Tribunal de Justicia”, lo que evidentemente hay que excluir pues en caso contrario habría inadmitido las cuestiones prejudiciales que le han sido planteadas.</w:t>
      </w:r>
    </w:p>
    <w:p w14:paraId="14D6FD25" w14:textId="77777777" w:rsidR="00A8138F" w:rsidRDefault="00A8138F" w:rsidP="00A8138F">
      <w:pPr>
        <w:pStyle w:val="TextoNormal"/>
      </w:pPr>
    </w:p>
    <w:p w14:paraId="13336D84" w14:textId="77777777" w:rsidR="00A8138F" w:rsidRDefault="00A8138F" w:rsidP="00A8138F">
      <w:pPr>
        <w:pStyle w:val="TextoNormal"/>
      </w:pPr>
      <w:r>
        <w:t>En mi opinión, la falta de respuesta debidamente motivada conforme a los parámetros definidos por el Tribunal de Justicia de la Unión Europea, se explica por la circunstancia de que no cabe sostener que concurra ninguna de las excepciones mencionadas, máxime cuando, aunque la sentencia evita enumerar las preguntas formuladas en las diversas cuestiones prejudiciales planteadas al Tribunal de Justicia de la Unión Europea por los cuatro tribunales españoles, es clara la coincidencia de las normas concernidas y las cuestiones prejudiciales planteadas y admitidas con las ahora formuladas por los recurrentes y por el Senado en el seno del presente recurso de inconstitucionalidad: la compatibilidad de los arts. 1, 2, 4, 8.2 y 3, 10, 11 y 13.3 de la Ley de amnistía con (i) el principio de igualdad e interdicción de la discriminación (arts. 20 y 21 CDFUE); (ii) el principio de seguridad jurídica y confianza legitima; (iii) el ejercicio ordinario de la potestad jurisdiccional por los tribunales; (iv) la protección eficaz y disuasoria de los intereses financieros de la Unión Europea y lucha contra la corrupción (art. 325 TFUE, Reglamento CE/2988/95 y Directiva UE/2017/1371); (v) la persecución eficaz del terrorismo (art. 83.1 TFUE y Directiva UE/2017/541); (vi) el levantamiento de las órdenes europeas de detención y entrega (Decisión Marco 2002/584/JAI); y (vii) el Estado de Derecho (arts. 2, 19.1, segundo párrafo, TUE y arts. 47 y 49 CDFUE), tal como ha sido perfilado por la doctrina del Tribunal de Justicia de la Unión Europea, lo que justifica la necesidad de elevarle la cuestión prejudicial al objeto de mantener una interpretación uniforme del Derecho de la Unión Europea. Al no hacerlo así, el Tribunal ha generado un evidente riesgo de disparidad interpretativa de este Derecho, que estaba obligado a evitar.</w:t>
      </w:r>
    </w:p>
    <w:p w14:paraId="248A22B5" w14:textId="77777777" w:rsidR="00A8138F" w:rsidRDefault="00A8138F" w:rsidP="00A8138F">
      <w:pPr>
        <w:pStyle w:val="TextoNormal"/>
      </w:pPr>
    </w:p>
    <w:p w14:paraId="79993278" w14:textId="77777777" w:rsidR="00A8138F" w:rsidRDefault="00A8138F" w:rsidP="00A8138F">
      <w:pPr>
        <w:pStyle w:val="TextoNormal"/>
      </w:pPr>
      <w:r>
        <w:t xml:space="preserve">Ante tal evidencia, la sentencia, para denegar tanto el planteamiento de cuestiones prejudiciales como la necesidad de esperar a que el Tribunal de Justicia de la Unión Europea se pronuncie sobre alguna de las cuestiones planteadas, por un lado, se acantona en su reducido fuero constitucional (prevalencia de nuestra identidad constitucional —por cierto, superada definitivamente en las SSTJUE de 16 de junio de 2015, asunto C-62/14, </w:t>
      </w:r>
      <w:r w:rsidRPr="00A8138F">
        <w:rPr>
          <w:i/>
        </w:rPr>
        <w:t>Gauweiler y otros</w:t>
      </w:r>
      <w:r>
        <w:t xml:space="preserve">, y de 11 de diciembre de 2018, asunto C-493/17, </w:t>
      </w:r>
      <w:r w:rsidRPr="00A8138F">
        <w:rPr>
          <w:i/>
        </w:rPr>
        <w:t>Weiss y otros</w:t>
      </w:r>
      <w:r>
        <w:t>—, limitación del juicio del Derecho de la Unión Europea a la trasposición de directivas y a vinculación de los derechos fundamentales de la Unión Europea vía art. 10.2 CE) y, por otro lado, asevera apodícticamente (de manera irrazonable) que en el recurso de inconstitucionalidad como juicio abstracto no concurre juicio de aplicabilidad de la norma, argumentos que no puedo compartir.</w:t>
      </w:r>
    </w:p>
    <w:p w14:paraId="6F87B8CA" w14:textId="77777777" w:rsidR="00A8138F" w:rsidRDefault="00A8138F" w:rsidP="00A8138F">
      <w:pPr>
        <w:pStyle w:val="TextoNormal"/>
      </w:pPr>
    </w:p>
    <w:p w14:paraId="11E9A5CD" w14:textId="77777777" w:rsidR="00A8138F" w:rsidRDefault="00A8138F" w:rsidP="00A8138F">
      <w:pPr>
        <w:pStyle w:val="TextoNormal"/>
      </w:pPr>
      <w:r>
        <w:t xml:space="preserve">No cabe olvidar que, tanto el Tribunal de Justicia de la Unión Europea como el Tribunal Europeo de Derechos Humanos han reconocido un derecho subjetivo de las partes a la solicitud del planteamiento de cuestión prejudicial (SSTEDH de 20 de septiembre de 2011, asunto </w:t>
      </w:r>
      <w:r w:rsidRPr="00A8138F">
        <w:rPr>
          <w:i/>
        </w:rPr>
        <w:t>Ullens de Schooten y Rezabek</w:t>
      </w:r>
      <w:r>
        <w:t xml:space="preserve">, § 56; de 8 de abril de 2014, asunto </w:t>
      </w:r>
      <w:r w:rsidRPr="00A8138F">
        <w:rPr>
          <w:i/>
        </w:rPr>
        <w:t>Dhahbi c. Italia</w:t>
      </w:r>
      <w:r>
        <w:t xml:space="preserve">, § 33; de 16 de abril de 2019, asunto </w:t>
      </w:r>
      <w:r w:rsidRPr="00A8138F">
        <w:rPr>
          <w:i/>
        </w:rPr>
        <w:t>Baltic Master Ltd., c. Lituania</w:t>
      </w:r>
      <w:r>
        <w:t xml:space="preserve">, § 36 a 38, y de 13 de febrero de 2020, asunto </w:t>
      </w:r>
      <w:r w:rsidRPr="00A8138F">
        <w:rPr>
          <w:i/>
        </w:rPr>
        <w:t>Sanofi Pasteur c. Francia</w:t>
      </w:r>
      <w:r>
        <w:t>, § 68 a 70), e infractora del art. 4.3 TUE en relación con los arts. 19.3 b) TUE y art. 267, párrafo tercero, TFUE (</w:t>
      </w:r>
      <w:r w:rsidRPr="00A8138F">
        <w:rPr>
          <w:i/>
        </w:rPr>
        <w:t>cfr</w:t>
      </w:r>
      <w:r>
        <w:t xml:space="preserve">. sobre el “derecho” de la parte a la prejudicial, las conclusiones del abogado general M. Wathelet en el asunto C‑416/17, </w:t>
      </w:r>
      <w:r w:rsidRPr="00A8138F">
        <w:rPr>
          <w:i/>
        </w:rPr>
        <w:t>Comisión Europea c. Francia (retención)</w:t>
      </w:r>
      <w:r>
        <w:t xml:space="preserve">, § 56, 81 y 99; las conclusiones del abogado general M. Bobek en el asunto C‑561/19, </w:t>
      </w:r>
      <w:r w:rsidRPr="00A8138F">
        <w:rPr>
          <w:i/>
        </w:rPr>
        <w:t>Consorzio Italian Management</w:t>
      </w:r>
      <w:r>
        <w:t xml:space="preserve">, § 55, y STJUE de 15 de octubre de 2024, asunto C-144/23, </w:t>
      </w:r>
      <w:r w:rsidRPr="00A8138F">
        <w:rPr>
          <w:i/>
        </w:rPr>
        <w:t>Kubera</w:t>
      </w:r>
      <w:r>
        <w:t xml:space="preserve">, § 57 a 58 y 62 a 64)) y a ser atendido mediante una respuesta suficientemente motivada (SSTEDH de 20 de septiembre de 2011, asunto </w:t>
      </w:r>
      <w:r w:rsidRPr="00A8138F">
        <w:rPr>
          <w:i/>
        </w:rPr>
        <w:t>Ullens de Schooten y Rezabek</w:t>
      </w:r>
      <w:r>
        <w:t xml:space="preserve">, § 56; de 8 de abril de 2014, asunto </w:t>
      </w:r>
      <w:r w:rsidRPr="00A8138F">
        <w:rPr>
          <w:i/>
        </w:rPr>
        <w:t>Dhahbi c. Italia</w:t>
      </w:r>
      <w:r>
        <w:t xml:space="preserve">, § 33; de 16 de abril de 2019, asunto </w:t>
      </w:r>
      <w:r w:rsidRPr="00A8138F">
        <w:rPr>
          <w:i/>
        </w:rPr>
        <w:t>Baltic Master Ltd., c. Lituania</w:t>
      </w:r>
      <w:r>
        <w:t xml:space="preserve">, § 36 a 38, y de 13 de febrero de 2020, asunto </w:t>
      </w:r>
      <w:r w:rsidRPr="00A8138F">
        <w:rPr>
          <w:i/>
        </w:rPr>
        <w:t>Sanofi Pasteur c. Francia</w:t>
      </w:r>
      <w:r>
        <w:t>, § 69) a fin de contribuir a la depuración del Derecho de la Unión Europea, también a nivel nacional; de modo que la falta de motivación absoluta de las negativas al planteamiento —por irrazonabilidad—, resulta lesiva del derecho del art. 6.1 CEDH de los justiciables.</w:t>
      </w:r>
    </w:p>
    <w:p w14:paraId="1678A3D0" w14:textId="77777777" w:rsidR="00A8138F" w:rsidRDefault="00A8138F" w:rsidP="00A8138F">
      <w:pPr>
        <w:pStyle w:val="TextoNormal"/>
      </w:pPr>
    </w:p>
    <w:p w14:paraId="7793FAC7" w14:textId="77777777" w:rsidR="00A8138F" w:rsidRDefault="00A8138F" w:rsidP="00A8138F">
      <w:pPr>
        <w:pStyle w:val="TextoNormal"/>
      </w:pPr>
      <w:r>
        <w:t>No puedo sino concluir que todo lo anterior evidencia la voluntad de la mayoría del Tribunal de evitar la colaboración y el dialogo con el Tribunal de Justicia de la Unión Europea en detrimento de la interpretación uniforme del Derecho de la Unión Europea en las materias arriba mencionadas, vinculadas a los valores recogidos en el art. 2 TUE, y que puede ser constitutivo del incumplimiento de las obligaciones que incumben a los Estados (art. 258 TFUE y STJUE de 4 de octubre de 2018, asunto C-416/17, dictada en un recurso por incumplimiento interpuesto por la Comisión Europea contra la República Francesa). Según mi criterio, la elusión de acudir al Tribunal de Justicia de la Unión Europea emplea un doble artificio jurídico: (i) cuando los recurrentes en la demanda invocaron el Derecho de la Unión Europea como motivo de inconstitucionalidad, la sentencia ha realizado una lectura parcial de las alegaciones realmente efectuadas; y (ii) cuando los recurrentes han suscitado el planteamiento de cuestiones prejudiciales obligatorias —coincidentes con otras ya planteadas y admitidas por el Tribunal de Justicia de la Unión Europea—, se les ha denegado irrazonablemente con el argumento de que constitucionalidad y conformidad con el Derecho de la Unión Europea son dos líneas paralelas.</w:t>
      </w:r>
    </w:p>
    <w:p w14:paraId="7A5133D9" w14:textId="77777777" w:rsidR="00A8138F" w:rsidRDefault="00A8138F" w:rsidP="00A8138F">
      <w:pPr>
        <w:pStyle w:val="TextoNormal"/>
      </w:pPr>
    </w:p>
    <w:p w14:paraId="3FE92CD7" w14:textId="77777777" w:rsidR="00A8138F" w:rsidRDefault="00A8138F" w:rsidP="00A8138F">
      <w:pPr>
        <w:pStyle w:val="TextoNormal"/>
      </w:pPr>
      <w:r>
        <w:t>En consecuencia, resultan contrarias a una buena administración de justicia, al derecho a la tutela judicial efectiva, al derecho a un proceso con las debidas garantías, especialmente del principio de audiencia, que rigen también en este recurso de inconstitucionalidad, y al deber de colaboración de los tribunales nacionales con el Tribunal de Justicia de la Unión Europea, las siguientes decisiones adoptadas por este Tribunal Constitucional:</w:t>
      </w:r>
    </w:p>
    <w:p w14:paraId="512A5FA8" w14:textId="77777777" w:rsidR="00A8138F" w:rsidRDefault="00A8138F" w:rsidP="00A8138F">
      <w:pPr>
        <w:pStyle w:val="TextoNormal"/>
      </w:pPr>
    </w:p>
    <w:p w14:paraId="0322B6CE" w14:textId="77777777" w:rsidR="00A8138F" w:rsidRDefault="00A8138F" w:rsidP="00A8138F">
      <w:pPr>
        <w:pStyle w:val="TextoNormal"/>
      </w:pPr>
      <w:r>
        <w:t>(i) El acuerdo de su presidente de 20 de mayo de 2025, que dilató inmotivadamente la petición de deliberación sobre el planteamiento de cuestiones perjudiciales formulada por tres magistrados integrantes del Pleno, remitiéndoles a la deliberación de este recurso que ha tenido lugar en el Pleno de los días 23 a 26 de junio de 2025.</w:t>
      </w:r>
    </w:p>
    <w:p w14:paraId="5161985F" w14:textId="77777777" w:rsidR="00A8138F" w:rsidRDefault="00A8138F" w:rsidP="00A8138F">
      <w:pPr>
        <w:pStyle w:val="TextoNormal"/>
      </w:pPr>
    </w:p>
    <w:p w14:paraId="77E47CAF" w14:textId="77777777" w:rsidR="00A8138F" w:rsidRDefault="00A8138F" w:rsidP="00A8138F">
      <w:pPr>
        <w:pStyle w:val="TextoNormal"/>
      </w:pPr>
      <w:r>
        <w:t>(ii) El ATC 65/2025, de 11 de junio, que inadmitió de plano e inmotivadamente las peticiones en tal sentido de la parte recurrente y del Senado y que consideró como una cuestión gubernativa la solicitud de contenido jurisdiccional planteada por tres miembros del Tribunal, rechazando el planteamiento de cuestiones manifiestamente razonables y pertinentes, al resultar coincidentes en todos sus aspectos con las prejudiciales ya planteadas por otros tribunales nacionales y admitidas por el Tribunal de Justicia de la Unión Europea.</w:t>
      </w:r>
    </w:p>
    <w:p w14:paraId="1D735BD7" w14:textId="77777777" w:rsidR="00A8138F" w:rsidRDefault="00A8138F" w:rsidP="00A8138F">
      <w:pPr>
        <w:pStyle w:val="TextoNormal"/>
      </w:pPr>
    </w:p>
    <w:p w14:paraId="565F7D8C" w14:textId="77777777" w:rsidR="00A8138F" w:rsidRDefault="00A8138F" w:rsidP="00A8138F">
      <w:pPr>
        <w:pStyle w:val="TextoNormal"/>
      </w:pPr>
      <w:r>
        <w:t>(iii) Y finalmente la sentencia que rechazó tales pedimentos sin motivación razonable.</w:t>
      </w:r>
    </w:p>
    <w:p w14:paraId="103A018C" w14:textId="77777777" w:rsidR="00A8138F" w:rsidRDefault="00A8138F" w:rsidP="00A8138F">
      <w:pPr>
        <w:pStyle w:val="TextoNormal"/>
      </w:pPr>
    </w:p>
    <w:p w14:paraId="7C64D1D7" w14:textId="77777777" w:rsidR="00A8138F" w:rsidRDefault="00A8138F" w:rsidP="00A8138F">
      <w:pPr>
        <w:pStyle w:val="TextoNormal"/>
      </w:pPr>
      <w:r>
        <w:t>Por otra parte, estimo que resulta contraria a la doctrina del Tribunal de Justicia de la Unión Europea y a la más elemental prudencia la negativa a la suspensión de este procedimiento hasta que sean resueltas las cuestiones prejudiciales ya planteadas, máxime atendidas las severas calificaciones dirigidas a la Ley de amnistía en el recientemente divulgado contenido del informe de alegaciones de la Comisión Europea en el asunto C-523/24, que tiene por objeto la cuestión prejudicial planteada por el Tribunal de Cuentas. En dicho informe se ha señalado que la Ley de amnistía parece constituir una autoamnistía, por dos motivos. En primer lugar, porque los votos de sus beneficiarios han sido fundamentales para su aprobación en el Parlamento español. En segundo lugar, porque la proposición de ley es parte de un acuerdo político para lograr la investidura del Gobierno de España. Se considera que hay respaldo para considerar que las autoamnistías, en las que quien ostenta el poder político pretende blindarse garantizándose su inmunidad jurídica, son contrarias al principio del Estado de Derecho, ya que el Gobierno garantiza la impunidad de sus socios a cambio del apoyo parlamentario. Además, el procedimiento legislativo es criticado porque, desoyendo la opinión de la Comisión de Venecia, se tramitó por el procedimiento de urgencia, eludiendo así importantes informes de órganos consultivos y sin consulta pública. Como ha señalado la Comisión de Venecia, la Ley de amnistía ha ahondado una división profunda y virulenta en la clase política, en las instituciones, en el mundo judicial, en el mundo académico y en la sociedad española.</w:t>
      </w:r>
    </w:p>
    <w:p w14:paraId="36349CF0" w14:textId="77777777" w:rsidR="00A8138F" w:rsidRDefault="00A8138F" w:rsidP="00A8138F">
      <w:pPr>
        <w:pStyle w:val="TextoNormal"/>
      </w:pPr>
    </w:p>
    <w:p w14:paraId="5F82897C" w14:textId="77777777" w:rsidR="00A8138F" w:rsidRDefault="00A8138F" w:rsidP="00A8138F">
      <w:pPr>
        <w:pStyle w:val="TextoNormal"/>
      </w:pPr>
      <w:r>
        <w:t xml:space="preserve">En mi opinión, la negativa a la suspensión del procedimiento no parece lo más ajustado a la prudencia que se presume de una jurisdicción constitucional cabal y respetuosa con la unidad y el efecto útil del Derecho de la Unión Europea, y contradiría al </w:t>
      </w:r>
      <w:r w:rsidRPr="00A8138F">
        <w:rPr>
          <w:i/>
        </w:rPr>
        <w:t>thelos</w:t>
      </w:r>
      <w:r>
        <w:t xml:space="preserve"> del art. 23 del Estatuto del Tribunal de Justicia de la Unión Europea (Protocolo núm. 3 al TUE), a la recomendación núm. 30 de las aprobadas por el Tribunal de Justicia de la Unión Europea a los jueces nacionales para el planteamiento de estas cuestiones (C/2024/6008) (“Diario Oficial de la Unión Europea” de 9 de octubre de 2024) y a las SSTJUE de 17 de mayo de 2023, asunto C-176/22</w:t>
      </w:r>
      <w:r w:rsidRPr="00A8138F">
        <w:rPr>
          <w:i/>
        </w:rPr>
        <w:t>, BK y Z</w:t>
      </w:r>
      <w:r>
        <w:t>hP, § 32, y de 6 de junio de 2024, asuntos acumulados C‑255/23 y C‑285/23</w:t>
      </w:r>
      <w:r w:rsidRPr="00A8138F">
        <w:rPr>
          <w:i/>
        </w:rPr>
        <w:t>, AVVA y otr</w:t>
      </w:r>
      <w:r>
        <w:t>os, § 35 a 37.</w:t>
      </w:r>
    </w:p>
    <w:p w14:paraId="386FE503" w14:textId="77777777" w:rsidR="00A8138F" w:rsidRDefault="00A8138F" w:rsidP="00A8138F">
      <w:pPr>
        <w:pStyle w:val="TextoNormal"/>
      </w:pPr>
    </w:p>
    <w:p w14:paraId="5D9B1F8D" w14:textId="77777777" w:rsidR="00A8138F" w:rsidRDefault="00A8138F" w:rsidP="00A8138F">
      <w:pPr>
        <w:pStyle w:val="TextoNormal"/>
      </w:pPr>
      <w:r>
        <w:t>En todo caso, y con esto termino, el Tribunal de Justicia de la Unión Europea va a pronunciarse en breve sobre las cuestiones C-523/24 y C-666/24 y, sin perjuicio de las consecuencias que las transgresiones del Derecho de la Unión Europea ya cometidas puedan tener —denunciadas en nuestro voto particular al ATC 65/2025, de 11 de junio—, será aquel Tribunal el que tenga la última palabra en lo que afecta al Derecho de la Unión.</w:t>
      </w:r>
    </w:p>
    <w:p w14:paraId="297FA4A8" w14:textId="77777777" w:rsidR="00A8138F" w:rsidRDefault="00A8138F" w:rsidP="00A8138F">
      <w:pPr>
        <w:pStyle w:val="TextoNormal"/>
      </w:pPr>
    </w:p>
    <w:p w14:paraId="468518D8" w14:textId="77777777" w:rsidR="00A8138F" w:rsidRDefault="00A8138F" w:rsidP="00A8138F">
      <w:pPr>
        <w:pStyle w:val="TextoNormal"/>
      </w:pPr>
      <w:r>
        <w:t>II. La Ley Orgánica 1/2024 es inconstitucional</w:t>
      </w:r>
    </w:p>
    <w:p w14:paraId="3A1957DB" w14:textId="77777777" w:rsidR="00A8138F" w:rsidRDefault="00A8138F" w:rsidP="00A8138F">
      <w:pPr>
        <w:pStyle w:val="TextoNormal"/>
      </w:pPr>
    </w:p>
    <w:p w14:paraId="692E7999" w14:textId="77777777" w:rsidR="00A8138F" w:rsidRDefault="00A8138F" w:rsidP="00A8138F">
      <w:pPr>
        <w:pStyle w:val="TextoNormal"/>
      </w:pPr>
      <w:r>
        <w:t>En mi opinión, la amnistía no tiene cabida en la Constitución y, aunque se considerase que la Constitución no prohíbe la amnistía, la Ley Orgánica 1/2024 es inconstitucional. En los apartados que siguen expondré las razones que me han llevado a dicha conclusión.</w:t>
      </w:r>
    </w:p>
    <w:p w14:paraId="778012F7" w14:textId="77777777" w:rsidR="00A8138F" w:rsidRDefault="00A8138F" w:rsidP="00A8138F">
      <w:pPr>
        <w:pStyle w:val="TextoNormal"/>
      </w:pPr>
    </w:p>
    <w:p w14:paraId="49A45C0D" w14:textId="77777777" w:rsidR="00A8138F" w:rsidRDefault="00A8138F" w:rsidP="00A8138F">
      <w:pPr>
        <w:pStyle w:val="TextoNormal"/>
      </w:pPr>
      <w:r>
        <w:t>1. En primer lugar, y como cuestión previa, no comparto el tratamiento de los motivos de inconstitucionalidad aducidos en la demanda que ha realizado la sentencia</w:t>
      </w:r>
    </w:p>
    <w:p w14:paraId="6F38C430" w14:textId="77777777" w:rsidR="00A8138F" w:rsidRDefault="00A8138F" w:rsidP="00A8138F">
      <w:pPr>
        <w:pStyle w:val="TextoNormal"/>
      </w:pPr>
    </w:p>
    <w:p w14:paraId="304AEA7F" w14:textId="77777777" w:rsidR="00A8138F" w:rsidRDefault="00A8138F" w:rsidP="00A8138F">
      <w:pPr>
        <w:pStyle w:val="TextoNormal"/>
      </w:pPr>
      <w:r>
        <w:t>De inicio, tengo que poner de relieve mi discrepancia con el tratamiento de los motivos de inconstitucionalidad aducidos en la demanda:</w:t>
      </w:r>
    </w:p>
    <w:p w14:paraId="7DD840FC" w14:textId="77777777" w:rsidR="00A8138F" w:rsidRDefault="00A8138F" w:rsidP="00A8138F">
      <w:pPr>
        <w:pStyle w:val="TextoNormal"/>
      </w:pPr>
    </w:p>
    <w:p w14:paraId="7F8912C4" w14:textId="77777777" w:rsidR="00A8138F" w:rsidRDefault="00A8138F" w:rsidP="00A8138F">
      <w:pPr>
        <w:pStyle w:val="TextoNormal"/>
      </w:pPr>
      <w:r>
        <w:t xml:space="preserve">En primer término, porque hay quejas que no se han resuelto. La sentencia comienza recordando lo afirmado en la STC 11/1981, de 8 de abril, FJ 3, cuando declara que “[l]a acción de inconstitucionalidad, como toda acción, se concreta a través de su </w:t>
      </w:r>
      <w:r w:rsidRPr="00A8138F">
        <w:rPr>
          <w:i/>
        </w:rPr>
        <w:t>petitum</w:t>
      </w:r>
      <w:r>
        <w:t xml:space="preserve"> y de su </w:t>
      </w:r>
      <w:r w:rsidRPr="00A8138F">
        <w:rPr>
          <w:i/>
        </w:rPr>
        <w:t>causa petendi</w:t>
      </w:r>
      <w:r>
        <w:t>. Queda configurada por lo que se pide y por la causa en que la petición se fundamenta. La causa es un título formal, pero es también la argumentación a través de la cual el recurrente sostiene su razón”. Hasta aquí nada que decir, salvo que quizá hubiera sido necesario, para la adecuada comprensión de la doctrina constitucional, incluir todo lo que añade el Tribunal en el párrafo transcrito: “Por ello, puede el Tribunal rechazar la acción en la medida en que la fundamentación jurídica sea manifiestamente insuficiente” y “[n]o debe, sin embargo, olvidarse que es función del Tribunal la depuración del ordenamiento jurídico y que, por esto, ante él no rige de manera completa el principio dispositivo. Así en los casos de fundamentación insuficiente, el Tribunal resta en libertad para rechazar la acción en aquello en que se encuentre insuficientemente fundada o para examinar el fondo del asunto si encuentra razones para ello”.</w:t>
      </w:r>
    </w:p>
    <w:p w14:paraId="0821F9E9" w14:textId="77777777" w:rsidR="00A8138F" w:rsidRDefault="00A8138F" w:rsidP="00A8138F">
      <w:pPr>
        <w:pStyle w:val="TextoNormal"/>
      </w:pPr>
    </w:p>
    <w:p w14:paraId="703229F1" w14:textId="77777777" w:rsidR="00A8138F" w:rsidRDefault="00A8138F" w:rsidP="00A8138F">
      <w:pPr>
        <w:pStyle w:val="TextoNormal"/>
      </w:pPr>
      <w:r>
        <w:t>De otra parte, conforme a nuestra jurisprudencia, “nuestro enjuiciamiento podrá realizarse a partir de cualesquiera normas de la Constitución, hayan sido invocadas o no en el recurso (art. 39.2 LOTC)” (STC 114/2017, de 17 de octubre, FJ 4).</w:t>
      </w:r>
    </w:p>
    <w:p w14:paraId="7861AC9F" w14:textId="77777777" w:rsidR="00A8138F" w:rsidRDefault="00A8138F" w:rsidP="00A8138F">
      <w:pPr>
        <w:pStyle w:val="TextoNormal"/>
      </w:pPr>
    </w:p>
    <w:p w14:paraId="59454700" w14:textId="77777777" w:rsidR="00A8138F" w:rsidRDefault="00A8138F" w:rsidP="00A8138F">
      <w:pPr>
        <w:pStyle w:val="TextoNormal"/>
      </w:pPr>
      <w:r>
        <w:t>En atención a la anterior jurisprudencia y dada la entidad de las cuestiones planteadas, el Tribunal debería haber agotado en esta sentencia su enjuiciamiento, y no haber descartado el análisis de determinadas vulneraciones aducidas en la demanda, en un excesivamente riguroso entendimiento del cumplimiento del requisito de alzar la carga alegatoria que incumbe al demandante.</w:t>
      </w:r>
    </w:p>
    <w:p w14:paraId="1124CC82" w14:textId="77777777" w:rsidR="00A8138F" w:rsidRDefault="00A8138F" w:rsidP="00A8138F">
      <w:pPr>
        <w:pStyle w:val="TextoNormal"/>
      </w:pPr>
    </w:p>
    <w:p w14:paraId="547EEAD0" w14:textId="77777777" w:rsidR="00A8138F" w:rsidRDefault="00A8138F" w:rsidP="00A8138F">
      <w:pPr>
        <w:pStyle w:val="TextoNormal"/>
      </w:pPr>
      <w:r>
        <w:t>Considero que no es adecuada la delimitación del objeto que realiza la sentencia en su fundamento jurídico 1.2.1, donde no se ha interpretado adecuadamente la jurisprudencia constitucional sobre el art. 34 LOTC.</w:t>
      </w:r>
    </w:p>
    <w:p w14:paraId="233FCC18" w14:textId="77777777" w:rsidR="00A8138F" w:rsidRDefault="00A8138F" w:rsidP="00A8138F">
      <w:pPr>
        <w:pStyle w:val="TextoNormal"/>
      </w:pPr>
    </w:p>
    <w:p w14:paraId="55E9D89C" w14:textId="77777777" w:rsidR="00A8138F" w:rsidRDefault="00A8138F" w:rsidP="00A8138F">
      <w:pPr>
        <w:pStyle w:val="TextoNormal"/>
      </w:pPr>
      <w:r>
        <w:t>La sentencia afirma que no se van a analizar nuevas pretensiones de inconstitucionalidad ni nuevos motivos impugnatorios, formulados por la representación letrada del Senado en el trámite de alegaciones del art. 34 LOTC.</w:t>
      </w:r>
    </w:p>
    <w:p w14:paraId="1C9B735D" w14:textId="77777777" w:rsidR="00A8138F" w:rsidRDefault="00A8138F" w:rsidP="00A8138F">
      <w:pPr>
        <w:pStyle w:val="TextoNormal"/>
      </w:pPr>
    </w:p>
    <w:p w14:paraId="320AB783" w14:textId="77777777" w:rsidR="00A8138F" w:rsidRDefault="00A8138F" w:rsidP="00A8138F">
      <w:pPr>
        <w:pStyle w:val="TextoNormal"/>
      </w:pPr>
      <w:r>
        <w:t>Hay que destacar que la STC 207/2013, de 5 de diciembre, que cita la sentencia de la que ahora discrepo, no se refiere a la inadmisión de nuevos motivos de inconstitucionalidad de una ley impugnada en el trámite del art. 34 LOTC, sino a que este trámite “[n]o les habilita a modificar con dicha intervención, sin embargo, el objeto procesal previamente delimitado, convirtiendo la defensa de la constitucionalidad de la norma impugnada en una suerte de recurso de inconstitucionalidad de las normas eventualmente violentadas, convirtiéndose así la parte demandada en la demandante de la inconstitucionalidad de la norma que se considera violada. Dado el carácter estrictamente objetivo y abstracto del recurso de inconstitucionalidad, ‘no pueden hacerse valer en él intereses distintos a la pura o simple impugnación o defensa de la ley recurrida’ (AATC 378/1996, de 17 de diciembre, FJ 3; 142/1998, de 16 de junio, FJ 2; 455/2004, de 16 de noviembre, FJ 2; 263/2008, de 20 de agosto, FJ 4, y 264/2008, de 20 de agosto, FJ 4)” (STC 207/2013, FJ l).</w:t>
      </w:r>
    </w:p>
    <w:p w14:paraId="0288C478" w14:textId="77777777" w:rsidR="00A8138F" w:rsidRDefault="00A8138F" w:rsidP="00A8138F">
      <w:pPr>
        <w:pStyle w:val="TextoNormal"/>
      </w:pPr>
    </w:p>
    <w:p w14:paraId="67F050A8" w14:textId="77777777" w:rsidR="00A8138F" w:rsidRDefault="00A8138F" w:rsidP="00A8138F">
      <w:pPr>
        <w:pStyle w:val="TextoNormal"/>
      </w:pPr>
      <w:r>
        <w:t>Asimismo, tengo que poner de manifiesto que, como se ha pronunciado reiteradamente nuestra jurisprudencia, no corresponde a este tribunal reconstruir las demandas (por todas, STC 54/2018, de 24 de mayo, FJ 9), pero también he de añadir ahora que tampoco debe deconstruirla. La sentencia, en varias de las impugnaciones, analiza por separado una serie de quejas cuya motivación en la demanda es conjunta.</w:t>
      </w:r>
    </w:p>
    <w:p w14:paraId="56A957C4" w14:textId="77777777" w:rsidR="00A8138F" w:rsidRDefault="00A8138F" w:rsidP="00A8138F">
      <w:pPr>
        <w:pStyle w:val="TextoNormal"/>
      </w:pPr>
    </w:p>
    <w:p w14:paraId="5C60D962" w14:textId="77777777" w:rsidR="00A8138F" w:rsidRDefault="00A8138F" w:rsidP="00A8138F">
      <w:pPr>
        <w:pStyle w:val="TextoNormal"/>
      </w:pPr>
      <w:r>
        <w:t>2. En segundo lugar, disiento de la decisión que adopta la sentencia sobre la aplicación de las sentencias relativas a la amnistía transicional</w:t>
      </w:r>
    </w:p>
    <w:p w14:paraId="7D431DB9" w14:textId="77777777" w:rsidR="00A8138F" w:rsidRDefault="00A8138F" w:rsidP="00A8138F">
      <w:pPr>
        <w:pStyle w:val="TextoNormal"/>
      </w:pPr>
    </w:p>
    <w:p w14:paraId="2CF14FAB" w14:textId="77777777" w:rsidR="00A8138F" w:rsidRDefault="00A8138F" w:rsidP="00A8138F">
      <w:pPr>
        <w:pStyle w:val="TextoNormal"/>
      </w:pPr>
      <w:r>
        <w:t>Incluido entre las cuestiones previas de este voto particular, expongo mi desacuerdo con la decisión que adopta la sentencia sobre la aplicación de los precedentes constituidos por las sentencias del Tribunal en materia de amnistía transicional.</w:t>
      </w:r>
    </w:p>
    <w:p w14:paraId="0B17A2A7" w14:textId="77777777" w:rsidR="00A8138F" w:rsidRDefault="00A8138F" w:rsidP="00A8138F">
      <w:pPr>
        <w:pStyle w:val="TextoNormal"/>
      </w:pPr>
    </w:p>
    <w:p w14:paraId="64CC89DA" w14:textId="77777777" w:rsidR="00A8138F" w:rsidRDefault="00A8138F" w:rsidP="00A8138F">
      <w:pPr>
        <w:pStyle w:val="TextoNormal"/>
      </w:pPr>
      <w:r>
        <w:t>Tal y como señala la demanda y confirma la sentencia objeto de mi discrepancia, no hay jurisprudencia constitucional que declare la conformidad de la amnistía con la Constitución. Así, la sentencia afirma que “hasta ahora el Tribunal Constitucional solo se ha pronunciado en relación con la amnistía que otorgaron el Real Decreto-ley 10/1976, de 30 de julio, sobre amnistía, y la Ley 46/1977, de 15 de octubre, de amnistía. Ambas normas son preconstitucionales y la amnistía que concedieron puede calificarse como transicional, dado que, en ambos casos, a través de esta medida se pretendía facilitar el tránsito de una dictadura a un sistema democrático, el instaurado por la vigente Constitución” y que como sostienen los recurrentes, “el problema que se suscita en este recurso es novedoso en la medida en que la amnistía otorgada por la ley ahora impugnada es distinta en muy diversos aspectos a la concedida en el Real Decreto-ley 10/1976 y en la Ley 46/1977”.</w:t>
      </w:r>
    </w:p>
    <w:p w14:paraId="1A5F7DF1" w14:textId="77777777" w:rsidR="00A8138F" w:rsidRDefault="00A8138F" w:rsidP="00A8138F">
      <w:pPr>
        <w:pStyle w:val="TextoNormal"/>
      </w:pPr>
    </w:p>
    <w:p w14:paraId="205D883E" w14:textId="77777777" w:rsidR="00A8138F" w:rsidRDefault="00A8138F" w:rsidP="00A8138F">
      <w:pPr>
        <w:pStyle w:val="TextoNormal"/>
      </w:pPr>
      <w:r>
        <w:t>A pesar de afirmar que el problema es diferente y que las amnistías a las que se refieren dichas sentencias de este tribunal son preconstitucionales, que tuvieron lugar en contextos transicionales, la sentencia decide que va a aplicar esa jurisprudencia a la resolución de este recurso de inconstitucionalidad, pero lo hace de forma selectiva, pues no invoca todo en lo que aquellas sentencias se fundaron —respecto a amnistías transicionales—, sino solo lo que a la sentencia ha convenido. Esta conveniencia se expresa en la sentencia cuando declara que “dicho carácter novedoso no impide que la doctrina recaída en las SSTC 63/1983 y 147/1986, a propósito de las consideraciones generales sobre la naturaleza jurídica de la amnistía, sea aplicable a este caso. En particular, su carácter excepcional y complejo, así como las diferencias que dicha institución presenta respecto del indulto”. La razón de tal elección no está expresada en la sentencia y llama poderosamente la atención que se apliquen las resoluciones en lo que interesa a la tesis sustentada en la sentencia y, por el contrario, se orillen en extremos esenciales como las referencias a un “ideal de justicia” (STC 147/1986) o a la “razón de justicia” (STC 63/1983), llegando al extremo de argumentar que tales expresiones se refirieron a amnistías que se otorgaron como consecuencia de la transición a un sistema democrático y que “[n]o cabe, por tanto, deducir de tales afirmaciones que necesariamente la amnistía haya de responder al ideal de justicia al que las citadas resoluciones aluden”, planteamiento que no puedo compartir y que inicia la vía para validar lo que, como más adelante expondré, incurre de lleno en el vicio de arbitrariedad.</w:t>
      </w:r>
    </w:p>
    <w:p w14:paraId="27A69C5E" w14:textId="77777777" w:rsidR="00A8138F" w:rsidRDefault="00A8138F" w:rsidP="00A8138F">
      <w:pPr>
        <w:pStyle w:val="TextoNormal"/>
      </w:pPr>
    </w:p>
    <w:p w14:paraId="3FEFBC77" w14:textId="77777777" w:rsidR="00A8138F" w:rsidRDefault="00A8138F" w:rsidP="00A8138F">
      <w:pPr>
        <w:pStyle w:val="TextoNormal"/>
      </w:pPr>
      <w:r>
        <w:t>En definitiva, la sentencia se apoya, según dice, en jurisprudencia previa. Pero no es así. No puede haber doctrina previa sobre una institución inédita en España. La amnistía de 1977 es una amnistía que por razones históricas responde a otra naturaleza, como afirma la propia sentencia, y es anterior a la Constitución de 1978. La sentencia no explica la razón por la que aplica la doctrina de esas sentencias, ni por la que su invocación sea tan parcial y sesgada.</w:t>
      </w:r>
    </w:p>
    <w:p w14:paraId="756CD348" w14:textId="77777777" w:rsidR="00A8138F" w:rsidRDefault="00A8138F" w:rsidP="00A8138F">
      <w:pPr>
        <w:pStyle w:val="TextoNormal"/>
      </w:pPr>
    </w:p>
    <w:p w14:paraId="6FD7407B" w14:textId="77777777" w:rsidR="00A8138F" w:rsidRDefault="00A8138F" w:rsidP="00A8138F">
      <w:pPr>
        <w:pStyle w:val="TextoNormal"/>
      </w:pPr>
      <w:r>
        <w:t>3. La amnistía no tiene cabida en la Constitución</w:t>
      </w:r>
    </w:p>
    <w:p w14:paraId="168BB61E" w14:textId="77777777" w:rsidR="00A8138F" w:rsidRDefault="00A8138F" w:rsidP="00A8138F">
      <w:pPr>
        <w:pStyle w:val="TextoNormal"/>
      </w:pPr>
    </w:p>
    <w:p w14:paraId="3D7D27AC" w14:textId="77777777" w:rsidR="00A8138F" w:rsidRDefault="00A8138F" w:rsidP="00A8138F">
      <w:pPr>
        <w:pStyle w:val="TextoNormal"/>
      </w:pPr>
      <w:r>
        <w:t>La amnistía no cabe en la Constitución española de 1978. La Ley Orgánica 1/2024, es inconstitucional.</w:t>
      </w:r>
    </w:p>
    <w:p w14:paraId="77779D46" w14:textId="77777777" w:rsidR="00A8138F" w:rsidRDefault="00A8138F" w:rsidP="00A8138F">
      <w:pPr>
        <w:pStyle w:val="TextoNormal"/>
      </w:pPr>
    </w:p>
    <w:p w14:paraId="2BE11FB0" w14:textId="77777777" w:rsidR="00A8138F" w:rsidRDefault="00A8138F" w:rsidP="00A8138F">
      <w:pPr>
        <w:pStyle w:val="TextoNormal"/>
      </w:pPr>
      <w:r>
        <w:t>Esta parecía ser la opinión común al respecto, aunque, finalmente, en la sentencia de la que discrepo se acabe concluyendo lo contrario.</w:t>
      </w:r>
    </w:p>
    <w:p w14:paraId="13930F52" w14:textId="77777777" w:rsidR="00A8138F" w:rsidRDefault="00A8138F" w:rsidP="00A8138F">
      <w:pPr>
        <w:pStyle w:val="TextoNormal"/>
      </w:pPr>
    </w:p>
    <w:p w14:paraId="55D43BF8" w14:textId="77777777" w:rsidR="00A8138F" w:rsidRDefault="00A8138F" w:rsidP="00A8138F">
      <w:pPr>
        <w:pStyle w:val="TextoNormal"/>
      </w:pPr>
      <w:r>
        <w:t>Inicialmente, procede recordar el camino que ha seguido la amnistía, desde su indignada negación, por ser algo fuera de nuestra Constitución, hasta su consideración como una magnífica noticia. Considero que no hay más salida que considerar que estamos ante un claro supuesto de “constitucionalidad sobrevenida”, como seguidamente explicaré.</w:t>
      </w:r>
    </w:p>
    <w:p w14:paraId="02ED7642" w14:textId="77777777" w:rsidR="00A8138F" w:rsidRDefault="00A8138F" w:rsidP="00A8138F">
      <w:pPr>
        <w:pStyle w:val="TextoNormal"/>
      </w:pPr>
    </w:p>
    <w:p w14:paraId="5D5BD258" w14:textId="77777777" w:rsidR="00A8138F" w:rsidRDefault="00A8138F" w:rsidP="00A8138F">
      <w:pPr>
        <w:pStyle w:val="TextoNormal"/>
      </w:pPr>
      <w:r>
        <w:t>El 16 de marzo de 2021 los grupos parlamentarios Republicano (ERC) y Plural (Junts y PDeCat) presentaron en el registro general del Congreso de los Diputados una iniciativa legislativa similar. La mesa del Congreso de los Diputados inadmitió a trámite dicha iniciativa en la medida en que, “de un examen preliminar se desprende que la misma, al suponer la concesión de un indulto general que afecta a una pluralidad de sujetos condenados por sentencia firme, entraría en una contradicción palmaria y evidente con los dispuesto en el artículo 62.i) de la Constitución, de acuerdo con el cual no cabe que la ley autorice indultos generales”. En términos similares se expresan los informes elevados por el titular de Justicia al Consejo de Ministros con ocasión de los indultos a las nueve personas condenadas por estos hechos y que dicho órgano hizo suyos en su reunión de 22 de junio de 2021.</w:t>
      </w:r>
    </w:p>
    <w:p w14:paraId="1ACA87D1" w14:textId="77777777" w:rsidR="00A8138F" w:rsidRDefault="00A8138F" w:rsidP="00A8138F">
      <w:pPr>
        <w:pStyle w:val="TextoNormal"/>
      </w:pPr>
    </w:p>
    <w:p w14:paraId="7C192805" w14:textId="77777777" w:rsidR="00A8138F" w:rsidRDefault="00A8138F" w:rsidP="00A8138F">
      <w:pPr>
        <w:pStyle w:val="TextoNormal"/>
      </w:pPr>
      <w:r>
        <w:t>A la vista de todos sus antecedentes, la norma impugnada, al contrario que cualquier otra ley, nació ya con la presunción de inconstitucionalidad. Esta presunción estuvo avalada por los miembros del propio grupo parlamentario que luego promovieron la proposición de ley. Además, uno de los magistrados de este tribunal se abstuvo del conocimiento de este recurso precisamente porque en la exposición motivada que se acompañó a las referidas propuestas de indulto se expuso que “[a] diferencia de la amnistía, claramente inconstitucional, que se retoma desde algunos sectores independentistas, el indulto no hace desaparecer el delito”. También es notorio que destacados miembros del grupo parlamentario proponente y destacadísimos miembros del Gobierno, declararon reiteradamente la inconstitucionalidad de una ley de amnistía.</w:t>
      </w:r>
    </w:p>
    <w:p w14:paraId="53DD5940" w14:textId="77777777" w:rsidR="00A8138F" w:rsidRDefault="00A8138F" w:rsidP="00A8138F">
      <w:pPr>
        <w:pStyle w:val="TextoNormal"/>
      </w:pPr>
    </w:p>
    <w:p w14:paraId="116B7209" w14:textId="77777777" w:rsidR="00A8138F" w:rsidRDefault="00A8138F" w:rsidP="00A8138F">
      <w:pPr>
        <w:pStyle w:val="TextoNormal"/>
      </w:pPr>
      <w:r>
        <w:t>Por ello, estamos ante un claro caso de “constitucionalidad sobrevenida”. Al contrario del proceso ordinario de cualquier ley, que se presume constitucional hasta que el Tribunal declara su inconstitucionalidad, en la presente ley de amnistía nos encontramos ante un singular proceso inverso: el contenido de la norma nació con una presunción de inconstitucionalidad según los que fueron sus propios autores y el Tribunal declara su constitucionalidad con cierta celeridad. Quizá, a pesar de su “constitucionalidad sobrevenida”, pueda ser declara inaplicable por ser contraria al Derecho europeo.</w:t>
      </w:r>
    </w:p>
    <w:p w14:paraId="135311E8" w14:textId="77777777" w:rsidR="00A8138F" w:rsidRDefault="00A8138F" w:rsidP="00A8138F">
      <w:pPr>
        <w:pStyle w:val="TextoNormal"/>
      </w:pPr>
    </w:p>
    <w:p w14:paraId="2FAB97AA" w14:textId="77777777" w:rsidR="00A8138F" w:rsidRDefault="00A8138F" w:rsidP="00A8138F">
      <w:pPr>
        <w:pStyle w:val="TextoNormal"/>
      </w:pPr>
      <w:r>
        <w:t>Como he afirmado, la amnistía no cabe en la Constitución española de 1978. O, cuando menos, la sentencia, que parece inacabada, no ofrece ninguna argumentación ni convincente, ni consistente, que permita considerar descartado que la amnistía precise una expresa habilitación constitucional, como afirma en el fundamento jurídico 3.</w:t>
      </w:r>
    </w:p>
    <w:p w14:paraId="6C8B2147" w14:textId="77777777" w:rsidR="00A8138F" w:rsidRDefault="00A8138F" w:rsidP="00A8138F">
      <w:pPr>
        <w:pStyle w:val="TextoNormal"/>
      </w:pPr>
    </w:p>
    <w:p w14:paraId="2C31AB4B" w14:textId="77777777" w:rsidR="00A8138F" w:rsidRDefault="00A8138F" w:rsidP="00A8138F">
      <w:pPr>
        <w:pStyle w:val="TextoNormal"/>
      </w:pPr>
      <w:r>
        <w:t>Ya he recordado que no es tarea de este tribunal reconstruir las demandas (por todas, STC 54/2018, de 24 de mayo, FJ 9) pero, como también he señalado, tampoco deconstruirlas. La sentencia, en relación con un aspecto crucial, como es si la institución de la amnistía tenía que estar prevista en la Constitución, analiza por separado una serie de quejas cuya motivación en la demanda es conjunta.</w:t>
      </w:r>
    </w:p>
    <w:p w14:paraId="771D16D2" w14:textId="77777777" w:rsidR="00A8138F" w:rsidRDefault="00A8138F" w:rsidP="00A8138F">
      <w:pPr>
        <w:pStyle w:val="TextoNormal"/>
      </w:pPr>
    </w:p>
    <w:p w14:paraId="334E5442" w14:textId="77777777" w:rsidR="00A8138F" w:rsidRDefault="00A8138F" w:rsidP="00A8138F">
      <w:pPr>
        <w:pStyle w:val="TextoNormal"/>
      </w:pPr>
      <w:r>
        <w:t>La demanda plantea, como primer motivo de inconstitucionalidad, que la Constitución no menciona la amnistía y que, careciendo de una expresa habilitación constitucional, el Legislativo no puede invadir un espacio reservado al Poder Judicial. También sostiene que el principio de división de poderes, consustancial al Estado democrático de Derecho, impone que cada uno de los poderes solo pueda extenderse hasta los límites constitucionalmente reservados a los otros poderes y, es sabido, que la Constitución reconoce la reserva de jurisdicción a los tribunales de justicia. La amnistía es una medida de gracia que invade y supone una frontal excepción a la exclusividad de la jurisdicción reservada constitucionalmente al Poder Judicial. La demanda añade que “en las constituciones normativas, como sin duda lo es la de 1978, el legislador puede mucho, pero no lo puede todo: puede regular con una amplia libertad de configuración, pero con sometimiento a la Constitución y, en lo que aquí interesa, con respeto a la delimitación constitucional del otro poder al que reserva, con singular intensidad, un espacio propio infranqueable. El legislador puede legislar sobre cualquier materia, pero no puede privar a jueces y tribunales de la potestad constitucionalmente reservada al Poder Judicial de juzgar y hacer ejecutar lo juzgado”.</w:t>
      </w:r>
    </w:p>
    <w:p w14:paraId="17B3A69F" w14:textId="77777777" w:rsidR="00A8138F" w:rsidRDefault="00A8138F" w:rsidP="00A8138F">
      <w:pPr>
        <w:pStyle w:val="TextoNormal"/>
      </w:pPr>
    </w:p>
    <w:p w14:paraId="1F60CAD8" w14:textId="77777777" w:rsidR="00A8138F" w:rsidRDefault="00A8138F" w:rsidP="00A8138F">
      <w:pPr>
        <w:pStyle w:val="TextoNormal"/>
      </w:pPr>
      <w:r>
        <w:t>Por lo tanto, a mi entender, la sentencia debería haber comenzado con el análisis de si la amnistía es una excepción a diferentes principios constitucionales y, a partir de dicho examen, determinar si, para aprobar una ley de amnistía, por su carácter excepcional, era necesaria su previsión constitucional.</w:t>
      </w:r>
    </w:p>
    <w:p w14:paraId="7C61781D" w14:textId="77777777" w:rsidR="00A8138F" w:rsidRDefault="00A8138F" w:rsidP="00A8138F">
      <w:pPr>
        <w:pStyle w:val="TextoNormal"/>
      </w:pPr>
    </w:p>
    <w:p w14:paraId="193F218E" w14:textId="77777777" w:rsidR="00A8138F" w:rsidRDefault="00A8138F" w:rsidP="00A8138F">
      <w:pPr>
        <w:pStyle w:val="TextoNormal"/>
      </w:pPr>
      <w:r>
        <w:t>No lo hace así la sentencia, que se limita a considerar que, ante el silencio de la Constitución, la amnistía tiene cabida en ella, refiriéndose tan solo al art. 62 i) CE y a los trabajos parlamentarios de elaboración de la Constitución como sus límites implícitos. Y, seguidamente, tras considerar en su fundamento jurídico 3 que “descartado que la amnistía precise una expresa habilitación constitucional, para enjuiciar su compatibilidad con la Constitución” analiza si de la Constitución se derivan otras previsiones de las que pueda inferirse su prohibición. No contesta, en mi opinión, a lo que se ha planteado en la demanda.</w:t>
      </w:r>
    </w:p>
    <w:p w14:paraId="0E60B1F2" w14:textId="77777777" w:rsidR="00A8138F" w:rsidRDefault="00A8138F" w:rsidP="00A8138F">
      <w:pPr>
        <w:pStyle w:val="TextoNormal"/>
      </w:pPr>
    </w:p>
    <w:p w14:paraId="2C746499" w14:textId="77777777" w:rsidR="00A8138F" w:rsidRDefault="00A8138F" w:rsidP="00A8138F">
      <w:pPr>
        <w:pStyle w:val="TextoNormal"/>
      </w:pPr>
      <w:r>
        <w:t>Si el Tribunal hubiera comprendido rectamente el alcance de la queja debería haber enjuiciado si la amnistía, que por su propia definición es una excepción a la Constitución —al Estado de Derecho y, especialmente, a los principios de igualdad y a la reserva de jurisdicción—, requería una habilitación constitucional expresa, y la sentencia debería asimismo haberlo analizado con la profundidad que requiere un asunto de extrema gravedad como el sometido a nuestra consideración.</w:t>
      </w:r>
    </w:p>
    <w:p w14:paraId="3395A12E" w14:textId="77777777" w:rsidR="00A8138F" w:rsidRDefault="00A8138F" w:rsidP="00A8138F">
      <w:pPr>
        <w:pStyle w:val="TextoNormal"/>
      </w:pPr>
    </w:p>
    <w:p w14:paraId="34353958" w14:textId="77777777" w:rsidR="00A8138F" w:rsidRDefault="00A8138F" w:rsidP="00A8138F">
      <w:pPr>
        <w:pStyle w:val="TextoNormal"/>
      </w:pPr>
      <w:r>
        <w:t>Lamentablemente, en la ocasión que ahora se le ofrecía, el Tribunal no ha dado respuesta a esta cuestión. La sentencia declara que uno de los rasgos característicos de la ley es su “libertad de contenidos” y que “la libertad de configuración del legislador encuentra su límite en la Constitución”, así como que “[l]a configuración del Estado como democrático (art. 1.1 CE) y, en coherencia con ello, la consagración del pluralismo político como valor superior del ordenamiento jurídico (art. 1.1 CE), imponen una concepción de la Constitución como una ‛norma abierta’. Esto es, la Constitución establece los límites a las diversas opciones políticas imperantes en cada momento”. Para concluir que “el legislador puede regular toda materia que la Constitución no prohíba explícita o implícitamente. Respetando este límite, ningún contenido puede considerarse exento de la posibilidad de que el Parlamento lo atraiga hacia sí”.</w:t>
      </w:r>
    </w:p>
    <w:p w14:paraId="217115E4" w14:textId="77777777" w:rsidR="00A8138F" w:rsidRDefault="00A8138F" w:rsidP="00A8138F">
      <w:pPr>
        <w:pStyle w:val="TextoNormal"/>
      </w:pPr>
    </w:p>
    <w:p w14:paraId="52F7CC9E" w14:textId="77777777" w:rsidR="00A8138F" w:rsidRDefault="00A8138F" w:rsidP="00A8138F">
      <w:pPr>
        <w:pStyle w:val="TextoNormal"/>
      </w:pPr>
      <w:r>
        <w:t>Y se limita a analizar si las prohibiciones implícitas se derivan de los arts. 62 i) y 87.3 CE a la luz de los trabajos parlamentarios, para llegar a la conclusión de que la amnistía no requiere una habilitación expresa en la Constitución.</w:t>
      </w:r>
    </w:p>
    <w:p w14:paraId="313662CD" w14:textId="77777777" w:rsidR="00A8138F" w:rsidRDefault="00A8138F" w:rsidP="00A8138F">
      <w:pPr>
        <w:pStyle w:val="TextoNormal"/>
      </w:pPr>
    </w:p>
    <w:p w14:paraId="1519896D" w14:textId="77777777" w:rsidR="00A8138F" w:rsidRDefault="00A8138F" w:rsidP="00A8138F">
      <w:pPr>
        <w:pStyle w:val="TextoNormal"/>
      </w:pPr>
      <w:r>
        <w:t>Como ya he señalado, no comparto que se llegue a esa conclusión sin un previo análisis relativo a los principios constitucionales que la institución de la amnistía excepciona. Considero, como vengo sosteniendo, que la amnistía requiere una habilitación expresa en la Constitución en cuanto excepción a la misma.</w:t>
      </w:r>
    </w:p>
    <w:p w14:paraId="66967B66" w14:textId="77777777" w:rsidR="00A8138F" w:rsidRDefault="00A8138F" w:rsidP="00A8138F">
      <w:pPr>
        <w:pStyle w:val="TextoNormal"/>
      </w:pPr>
    </w:p>
    <w:p w14:paraId="55F0D7F8" w14:textId="77777777" w:rsidR="00A8138F" w:rsidRDefault="00A8138F" w:rsidP="00A8138F">
      <w:pPr>
        <w:pStyle w:val="TextoNormal"/>
      </w:pPr>
      <w:r>
        <w:t>Pues bien, a la vista de la argumentación expuesta en la demanda y de la fundamentación de la sentencia objeto de mi disentimiento, paso a exponer una serie de consideraciones.</w:t>
      </w:r>
    </w:p>
    <w:p w14:paraId="1B849E48" w14:textId="77777777" w:rsidR="00A8138F" w:rsidRDefault="00A8138F" w:rsidP="00A8138F">
      <w:pPr>
        <w:pStyle w:val="TextoNormal"/>
      </w:pPr>
    </w:p>
    <w:p w14:paraId="3EC2C1E0" w14:textId="77777777" w:rsidR="00A8138F" w:rsidRDefault="00A8138F" w:rsidP="00A8138F">
      <w:pPr>
        <w:pStyle w:val="TextoNormal"/>
      </w:pPr>
      <w:r>
        <w:t>En primer lugar, considero innecesaria la exposición teórica que desarrolla la sentencia sobre el modo en que la Constitución vincula al legislador. De una parte, porque, como ya he señalado, es una cuestión que debería ser lo suficientemente clara. Por otro lado, porque la demanda parte —y también la sentencia— de la libertad de configuración de la que goza el legislador, pero sometida a la Constitución, lo que parece también inferirse de la sentencia, como expondré más adelante.</w:t>
      </w:r>
    </w:p>
    <w:p w14:paraId="6D79B4CE" w14:textId="77777777" w:rsidR="00A8138F" w:rsidRDefault="00A8138F" w:rsidP="00A8138F">
      <w:pPr>
        <w:pStyle w:val="TextoNormal"/>
      </w:pPr>
    </w:p>
    <w:p w14:paraId="3E5B7DA0" w14:textId="77777777" w:rsidR="00A8138F" w:rsidRDefault="00A8138F" w:rsidP="00A8138F">
      <w:pPr>
        <w:pStyle w:val="TextoNormal"/>
      </w:pPr>
      <w:r>
        <w:t>No era cuestión, por lo tanto, de optar por uno u otro modelo de Constitución, o de la preeminencia de unos principios constitucionales sobre otros. Tampoco era necesario, para examinar la constitucionalidad de la amnistía, analizar las materias que puede regular el legislador, por más que no crea que este tribunal pueda limitarse a tratar la amnistía como una materia ordinaria más. Se debería haber profundizado sobre si se puede ejercer el derecho de gracia mediante la aprobación de una ley de amnistía, cuando no está prevista en la Constitución y sus dictados constituyen excepciones a principios básicos de nuestro texto constitucional.</w:t>
      </w:r>
    </w:p>
    <w:p w14:paraId="33EE56CC" w14:textId="77777777" w:rsidR="00A8138F" w:rsidRDefault="00A8138F" w:rsidP="00A8138F">
      <w:pPr>
        <w:pStyle w:val="TextoNormal"/>
      </w:pPr>
    </w:p>
    <w:p w14:paraId="3D11719C" w14:textId="77777777" w:rsidR="00A8138F" w:rsidRDefault="00A8138F" w:rsidP="00A8138F">
      <w:pPr>
        <w:pStyle w:val="TextoNormal"/>
      </w:pPr>
      <w:r>
        <w:t>En mi opinión, la sentencia no lleva a sus últimas consecuencias los límites que, dice, establece la Constitución al legislador; y, más allá del riesgo que, a mi juicio, tienen determinadas afirmaciones sobre todo lo que puede hacer el legislador, parece privarse a la Constitución de todo valor normativo.</w:t>
      </w:r>
    </w:p>
    <w:p w14:paraId="77B13907" w14:textId="77777777" w:rsidR="00A8138F" w:rsidRDefault="00A8138F" w:rsidP="00A8138F">
      <w:pPr>
        <w:pStyle w:val="TextoNormal"/>
      </w:pPr>
    </w:p>
    <w:p w14:paraId="4A49176E" w14:textId="77777777" w:rsidR="00A8138F" w:rsidRDefault="00A8138F" w:rsidP="00A8138F">
      <w:pPr>
        <w:pStyle w:val="TextoNormal"/>
      </w:pPr>
      <w:r>
        <w:t>A este respecto, he de insistir en que son preocupantes, especialmente de cara al futuro, las afirmaciones de la sentencia sobre el concepto de Constitución y el contenido de la ley, porque pueden ser fácilmente sacadas de contexto y hacer perder de vista lo que ha afirmado el Tribunal en reiteradas ocasiones: “En el Estado constitucional no puede desvincularse el principio democrático de la primacía incondicional de la Constitución” [SSTC 259/2015, FJ 4 b), y 114/2017, FJ 5, entre otras].</w:t>
      </w:r>
    </w:p>
    <w:p w14:paraId="425C5F46" w14:textId="77777777" w:rsidR="00A8138F" w:rsidRDefault="00A8138F" w:rsidP="00A8138F">
      <w:pPr>
        <w:pStyle w:val="TextoNormal"/>
      </w:pPr>
    </w:p>
    <w:p w14:paraId="49697467" w14:textId="77777777" w:rsidR="00A8138F" w:rsidRDefault="00A8138F" w:rsidP="00A8138F">
      <w:pPr>
        <w:pStyle w:val="TextoNormal"/>
      </w:pPr>
      <w:r>
        <w:t>Pero lo más alarmante, a mi entender, es que minusvalore los límites que la Constitución establece al legislador, y a los que la propia sentencia hace referencia, repetidamente. Resulta necesario tener presente lo afirmado por la doctrina científica que entiende que la Constitución no es una página en blanco en la que el legislador pueda escribir a su capricho, tampoco el Tribunal Constitucional.</w:t>
      </w:r>
    </w:p>
    <w:p w14:paraId="32B1827E" w14:textId="77777777" w:rsidR="00A8138F" w:rsidRDefault="00A8138F" w:rsidP="00A8138F">
      <w:pPr>
        <w:pStyle w:val="TextoNormal"/>
      </w:pPr>
    </w:p>
    <w:p w14:paraId="032560F4" w14:textId="77777777" w:rsidR="00A8138F" w:rsidRDefault="00A8138F" w:rsidP="00A8138F">
      <w:pPr>
        <w:pStyle w:val="TextoNormal"/>
      </w:pPr>
      <w:r>
        <w:t>A mi modo de ver, el silencio de la Constitución sobre la amnistía no significa que la misma tenga encaje en la Constitución.</w:t>
      </w:r>
    </w:p>
    <w:p w14:paraId="7C4D2450" w14:textId="77777777" w:rsidR="00A8138F" w:rsidRDefault="00A8138F" w:rsidP="00A8138F">
      <w:pPr>
        <w:pStyle w:val="TextoNormal"/>
      </w:pPr>
    </w:p>
    <w:p w14:paraId="60E6563F" w14:textId="77777777" w:rsidR="00A8138F" w:rsidRDefault="00A8138F" w:rsidP="00A8138F">
      <w:pPr>
        <w:pStyle w:val="TextoNormal"/>
      </w:pPr>
      <w:r>
        <w:t>Al contrario, la amnistía, al ser una institución que excepciona la aplicación de determinadas normas constitucionales, requería de una previsión expresa en el texto constitucional. La prerrogativa de gracia, de la que son modalidades la amnistía y el indulto, constituyen excepciones en muchas materias de rango constitucional que iré detallando en este voto particular y, como tales, deben estar expresamente previstas en la propia Constitucional y, en caso contrario, solo tendrán encaje constitucional tras un proceso de reforma constitucional que las incluya.</w:t>
      </w:r>
    </w:p>
    <w:p w14:paraId="0DDCF603" w14:textId="77777777" w:rsidR="00A8138F" w:rsidRDefault="00A8138F" w:rsidP="00A8138F">
      <w:pPr>
        <w:pStyle w:val="TextoNormal"/>
      </w:pPr>
    </w:p>
    <w:p w14:paraId="33F8B9E2" w14:textId="77777777" w:rsidR="00A8138F" w:rsidRDefault="00A8138F" w:rsidP="00A8138F">
      <w:pPr>
        <w:pStyle w:val="TextoNormal"/>
      </w:pPr>
      <w:r>
        <w:t>La Ley de amnistía tiene el efecto de extinguir, en los supuestos abarcados en su ámbito de aplicación, la eficacia de las leyes que tipifican y sancionan determinadas conductas ilícitas. De acuerdo con su definición, la amnistía es una excepción a los principios del Estado de Derecho y, en concreto a la reserva de jurisdicción, ya que limita sustancialmente la potestad de los tribunales competentes de juzgar y hacer ejecutar lo juzgado (art. 117.3 CE), así como al principio de igualdad, dado que el art. 14 CE no permite que ante las mismas conductas se aplique la ley en unos casos y en otros no.</w:t>
      </w:r>
    </w:p>
    <w:p w14:paraId="5C0CFAF1" w14:textId="77777777" w:rsidR="00A8138F" w:rsidRDefault="00A8138F" w:rsidP="00A8138F">
      <w:pPr>
        <w:pStyle w:val="TextoNormal"/>
      </w:pPr>
    </w:p>
    <w:p w14:paraId="24EC897D" w14:textId="77777777" w:rsidR="00A8138F" w:rsidRDefault="00A8138F" w:rsidP="00A8138F">
      <w:pPr>
        <w:pStyle w:val="TextoNormal"/>
      </w:pPr>
      <w:r>
        <w:t>En definitiva, la amnistía, por su propia naturaleza, supone una excepción a la aplicación de la Constitución.</w:t>
      </w:r>
    </w:p>
    <w:p w14:paraId="78B5BB82" w14:textId="77777777" w:rsidR="00A8138F" w:rsidRDefault="00A8138F" w:rsidP="00A8138F">
      <w:pPr>
        <w:pStyle w:val="TextoNormal"/>
      </w:pPr>
    </w:p>
    <w:p w14:paraId="3D6F9BE8" w14:textId="77777777" w:rsidR="00A8138F" w:rsidRDefault="00A8138F" w:rsidP="00A8138F">
      <w:pPr>
        <w:pStyle w:val="TextoNormal"/>
      </w:pPr>
      <w:r>
        <w:t>Puede compartirse la idea de que una ley de amnistía supone, por su propia naturaleza, una excepción a la vigencia y aplicación de la Constitución o, cuando menos, una excepción a la aplicación de alguno de sus valores superiores como la igualdad o la justicia (art. 1.1 CE), a la noción de Estado de Derecho o a la reserva de jurisdicción. Es un claro ejemplo de fractura de los principios fundamentales de nuestra Constitución.</w:t>
      </w:r>
    </w:p>
    <w:p w14:paraId="54406BAA" w14:textId="77777777" w:rsidR="00A8138F" w:rsidRDefault="00A8138F" w:rsidP="00A8138F">
      <w:pPr>
        <w:pStyle w:val="TextoNormal"/>
      </w:pPr>
    </w:p>
    <w:p w14:paraId="65F32ED1" w14:textId="77777777" w:rsidR="00A8138F" w:rsidRDefault="00A8138F" w:rsidP="00A8138F">
      <w:pPr>
        <w:pStyle w:val="TextoNormal"/>
      </w:pPr>
      <w:r>
        <w:t>La Constitución ha previsto en su articulado excepciones a su plena aplicación. Sirva de ejemplo la lectura de su art. 116, sobre los estados de alarma, excepción y sitio, para poder constatar que las potenciales limitaciones constitucionales previstas para tiempos de graves crisis se hallan recogidas en el propio texto constitucional. La Constitución también contempla otras excepciones, por ejemplo, a la reserva de jurisdicción, como recoge la propia sentencia (arts. 125 y 136 CE).</w:t>
      </w:r>
    </w:p>
    <w:p w14:paraId="7387BF51" w14:textId="77777777" w:rsidR="00A8138F" w:rsidRDefault="00A8138F" w:rsidP="00A8138F">
      <w:pPr>
        <w:pStyle w:val="TextoNormal"/>
      </w:pPr>
    </w:p>
    <w:p w14:paraId="26D067AB" w14:textId="77777777" w:rsidR="00A8138F" w:rsidRDefault="00A8138F" w:rsidP="00A8138F">
      <w:pPr>
        <w:pStyle w:val="TextoNormal"/>
      </w:pPr>
      <w:r>
        <w:t>Dejar de aplicar la Constitución, que obviamente incluye sus principios y valores esenciales, solo puede ser posible si la propia Constitución así lo ha previsto. Con otras palabras, las excepciones a la aplicación de la Constitución solo son posibles cuando alguno de sus preceptos así lo prevea o, al menos, se puedan erigir con una sólida argumentación fundada en Derecho, no meramente voluntarista, y respetuosa de los valores y principios informadores de la Constitución.</w:t>
      </w:r>
    </w:p>
    <w:p w14:paraId="5B7D322B" w14:textId="77777777" w:rsidR="00A8138F" w:rsidRDefault="00A8138F" w:rsidP="00A8138F">
      <w:pPr>
        <w:pStyle w:val="TextoNormal"/>
      </w:pPr>
    </w:p>
    <w:p w14:paraId="04A0C771" w14:textId="77777777" w:rsidR="00A8138F" w:rsidRDefault="00A8138F" w:rsidP="00A8138F">
      <w:pPr>
        <w:pStyle w:val="TextoNormal"/>
      </w:pPr>
      <w:r>
        <w:t>En este sentido se pronunció el Tribunal, en un escenario diferente, en la DTC 1/2004, de 13 de diciembre, al resolver el problema de la compatibilidad de nuestra norma fundamental y su “desplazamiento” por la primacía del Derecho comunitario europeo.</w:t>
      </w:r>
    </w:p>
    <w:p w14:paraId="2726DC17" w14:textId="77777777" w:rsidR="00A8138F" w:rsidRDefault="00A8138F" w:rsidP="00A8138F">
      <w:pPr>
        <w:pStyle w:val="TextoNormal"/>
      </w:pPr>
    </w:p>
    <w:p w14:paraId="217376C9" w14:textId="77777777" w:rsidR="00A8138F" w:rsidRDefault="00A8138F" w:rsidP="00A8138F">
      <w:pPr>
        <w:pStyle w:val="TextoNormal"/>
      </w:pPr>
      <w:r>
        <w:t>Se solicitaba del Tribunal que resolviera la duda de si la Constitución pudiera ser inaplicada, desplazada, por otras normas. Así, ante la pregunta de si la Constitución podría llegar a ser desplazada (inaplicada) por el Derecho de la Unión Europea y su primacía, recordábamos “[q]ue la Constitución es la norma suprema del ordenamiento español es cuestión que, aun cuando no se proclame expresamente en ninguno de sus preceptos, se deriva sin duda del enunciado de muchos de ellos, entre otros de sus arts. 1.2, 9.1, 95, 161, 163, 167, 168 y disposición derogatoria, y es consustancial a su condición de norma fundamental; supremacía o rango superior de la Constitución frente a cualquier otra norma, y en concreto frente a los tratados internacionales, que afirmamos en la Declaración 1/1992 (DTC 1/1992, FJ 1). Pues bien, la proclamación de la primacía del Derecho de la Unión por el art. I-6 del Tratado no contradice la supremacía de la Constitución”.</w:t>
      </w:r>
    </w:p>
    <w:p w14:paraId="63714959" w14:textId="77777777" w:rsidR="00A8138F" w:rsidRDefault="00A8138F" w:rsidP="00A8138F">
      <w:pPr>
        <w:pStyle w:val="TextoNormal"/>
      </w:pPr>
    </w:p>
    <w:p w14:paraId="75774464" w14:textId="77777777" w:rsidR="00A8138F" w:rsidRDefault="00A8138F" w:rsidP="00A8138F">
      <w:pPr>
        <w:pStyle w:val="TextoNormal"/>
      </w:pPr>
      <w:r>
        <w:t>Ahora bien, al diferenciar la supremacía de la que goza la Constitución de la primacía del Derecho de la Unión Europea, afirmamos: “Toda supremacía implica, en principio, primacía […], salvo que la misma norma suprema haya previsto, en algún ámbito, su propio desplazamiento o inaplicación.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estos. En suma, la Constitución ha aceptado, ella misma, en virtud de su art. 93, la primacía del Derecho de la Unión en el ámbito que a ese Derecho le es propio, según se reconoce ahora expresamente en el art. I-6 del Tratado”.</w:t>
      </w:r>
    </w:p>
    <w:p w14:paraId="1DE2B64C" w14:textId="77777777" w:rsidR="00A8138F" w:rsidRDefault="00A8138F" w:rsidP="00A8138F">
      <w:pPr>
        <w:pStyle w:val="TextoNormal"/>
      </w:pPr>
    </w:p>
    <w:p w14:paraId="43B85D36" w14:textId="77777777" w:rsidR="00A8138F" w:rsidRDefault="00A8138F" w:rsidP="00A8138F">
      <w:pPr>
        <w:pStyle w:val="TextoNormal"/>
      </w:pPr>
      <w:r>
        <w:t>Es decir, conforme al razonamiento del Tribunal, para que el desplazamiento o inaplicación de la Constitución fuera constitucional, era necesario que la propia Constitución así lo hubiera previsto.</w:t>
      </w:r>
    </w:p>
    <w:p w14:paraId="3931C8F1" w14:textId="77777777" w:rsidR="00A8138F" w:rsidRDefault="00A8138F" w:rsidP="00A8138F">
      <w:pPr>
        <w:pStyle w:val="TextoNormal"/>
      </w:pPr>
    </w:p>
    <w:p w14:paraId="7C62A370" w14:textId="77777777" w:rsidR="00A8138F" w:rsidRDefault="00A8138F" w:rsidP="00A8138F">
      <w:pPr>
        <w:pStyle w:val="TextoNormal"/>
      </w:pPr>
      <w:r>
        <w:t>Este razonamiento es, a mi juicio, aplicable ahora, cuando se nos plantea si valores y principios constitucionales pueden quedar desplazados, inaplicados u omitidos, en favor de una ley de amnistía cuyo anclaje constitucional es inexistente.</w:t>
      </w:r>
    </w:p>
    <w:p w14:paraId="7AB0119B" w14:textId="77777777" w:rsidR="00A8138F" w:rsidRDefault="00A8138F" w:rsidP="00A8138F">
      <w:pPr>
        <w:pStyle w:val="TextoNormal"/>
      </w:pPr>
    </w:p>
    <w:p w14:paraId="4C6E69A7" w14:textId="77777777" w:rsidR="00A8138F" w:rsidRDefault="00A8138F" w:rsidP="00A8138F">
      <w:pPr>
        <w:pStyle w:val="TextoNormal"/>
      </w:pPr>
      <w:r>
        <w:t>Debo insistir que no existe precepto constitucional alguno que prevea la amnistía, ni ningún otro que permita interpretar que una ley de esta naturaleza sea constitucionalmente posible. Más bien, como voy manifestando a lo largo de este voto particular, hay valores, principios y preceptos concretos de la Constitución que son incompatibles con la Ley de amnistía.</w:t>
      </w:r>
    </w:p>
    <w:p w14:paraId="76E1C0AB" w14:textId="77777777" w:rsidR="00A8138F" w:rsidRDefault="00A8138F" w:rsidP="00A8138F">
      <w:pPr>
        <w:pStyle w:val="TextoNormal"/>
      </w:pPr>
    </w:p>
    <w:p w14:paraId="18291D19" w14:textId="77777777" w:rsidR="00A8138F" w:rsidRDefault="00A8138F" w:rsidP="00A8138F">
      <w:pPr>
        <w:pStyle w:val="TextoNormal"/>
      </w:pPr>
      <w:r>
        <w:t>Como acabo de mantener, a mi juicio era necesaria una previsión constitucional de la amnistía. Pero, además, del art. 62 i) CE se deriva su prohibición. Conforme a dicho precepto, como es sabido, corresponde al rey “i) Ejercer el derecho de gracia con arreglo a la ley, que no podrá autorizar indultos generales”.</w:t>
      </w:r>
    </w:p>
    <w:p w14:paraId="5792E4CB" w14:textId="77777777" w:rsidR="00A8138F" w:rsidRDefault="00A8138F" w:rsidP="00A8138F">
      <w:pPr>
        <w:pStyle w:val="TextoNormal"/>
      </w:pPr>
    </w:p>
    <w:p w14:paraId="71E1FB44" w14:textId="77777777" w:rsidR="00A8138F" w:rsidRDefault="00A8138F" w:rsidP="00A8138F">
      <w:pPr>
        <w:pStyle w:val="TextoNormal"/>
      </w:pPr>
      <w:r>
        <w:t>La prohibición de indultos generales conlleva, como luego razonaré, la prohibición de la amnistía. La literalidad del art. 62 i) CE determina que la ley no podrá autorizar indultos generales.</w:t>
      </w:r>
    </w:p>
    <w:p w14:paraId="688A83AF" w14:textId="77777777" w:rsidR="00A8138F" w:rsidRDefault="00A8138F" w:rsidP="00A8138F">
      <w:pPr>
        <w:pStyle w:val="TextoNormal"/>
      </w:pPr>
    </w:p>
    <w:p w14:paraId="1D9F9916" w14:textId="77777777" w:rsidR="00A8138F" w:rsidRDefault="00A8138F" w:rsidP="00A8138F">
      <w:pPr>
        <w:pStyle w:val="TextoNormal"/>
      </w:pPr>
      <w:r>
        <w:t>El indulto y la amnistía son medidas de gracia, aunque con características diferentes. A mi entender, del art. 62 i) CE se infiere que, si la ley no puede autorizar indultos generales, tampoco podrá autorizar amnistías, ya que si está prohibido lo menos (el indulto general) no puede no estar prohibido lo más (la amnistía). De ahí que, pese a lo afirmado en la sentencia, considero que, si la ley no puede autorizar indultos generales tampoco podrá autorizar amnistías, que es una medida de gracia, como los indultos, pero más amplia (argument</w:t>
      </w:r>
      <w:r w:rsidRPr="00A8138F">
        <w:rPr>
          <w:i/>
        </w:rPr>
        <w:t>o a minori ad mai</w:t>
      </w:r>
      <w:r>
        <w:t>us o “quien no puede lo menos, no puede lo más”).</w:t>
      </w:r>
    </w:p>
    <w:p w14:paraId="0CCD541D" w14:textId="77777777" w:rsidR="00A8138F" w:rsidRDefault="00A8138F" w:rsidP="00A8138F">
      <w:pPr>
        <w:pStyle w:val="TextoNormal"/>
      </w:pPr>
    </w:p>
    <w:p w14:paraId="20774A8D" w14:textId="77777777" w:rsidR="00A8138F" w:rsidRDefault="00A8138F" w:rsidP="00A8138F">
      <w:pPr>
        <w:pStyle w:val="TextoNormal"/>
      </w:pPr>
      <w:r>
        <w:t>Finalmente, a la vista de los trabajos parlamentarios, entiendo que el silencio de la Constitución no significa, sin mayores precisiones, que el legislador pueda regular esta materia. Al contrario, a mi modo de ver el constituyente renunció a introducir la amnistía entre las potestades de las Cortes Generales.</w:t>
      </w:r>
    </w:p>
    <w:p w14:paraId="43D28491" w14:textId="77777777" w:rsidR="00A8138F" w:rsidRDefault="00A8138F" w:rsidP="00A8138F">
      <w:pPr>
        <w:pStyle w:val="TextoNormal"/>
      </w:pPr>
    </w:p>
    <w:p w14:paraId="3860B143" w14:textId="77777777" w:rsidR="00A8138F" w:rsidRDefault="00A8138F" w:rsidP="00A8138F">
      <w:pPr>
        <w:pStyle w:val="TextoNormal"/>
      </w:pPr>
      <w:r>
        <w:t>Me parece palmario que al excluirse la enmienda 744 —“las amnistía solo podrán ser acordadas por el Parlamento”—, se eliminó la posibilidad de una amnistía penal en el texto constitucional de 1978. Además, las actas de la ponencia de la Comisión Constitucional de 3 de noviembre de 1977 confirmarían dicha exclusión. La interpretación que efectúa la sentencia me parece errónea: si la Comisión Constitucional no aceptó constitucionalizar la amnistía, y tampoco habilitó expresamente al Parlamento, no cabe ahora —tras cuarenta años sin aprobar leyes de amnistía ni haber incluido en el Código penal de 1995 la amnistía entre las causas de extinción de la responsabilidad criminal— interpretar el silencio de la Constitución como autorización al Parlamento para abrogar la potestad de juzgar y hacer ejecutar lo juzgado de los tribunales, lo que se traduce en una interferencia del Poder Legislativo en el Poder Judicial, sino, por el contrario, como una exclusión deliberada. La amnistía es incompatible con la Constitución, en cuanto refleja la ilegitimidad de la actuación del Poder Judicial y demás instituciones del régimen constitucional, al transmitir la idea de que la idea de justicia no presidió la sanción de determinados delitos.</w:t>
      </w:r>
    </w:p>
    <w:p w14:paraId="0D9DE5D8" w14:textId="77777777" w:rsidR="00A8138F" w:rsidRDefault="00A8138F" w:rsidP="00A8138F">
      <w:pPr>
        <w:pStyle w:val="TextoNormal"/>
      </w:pPr>
    </w:p>
    <w:p w14:paraId="305F5D50" w14:textId="77777777" w:rsidR="00A8138F" w:rsidRDefault="00A8138F" w:rsidP="00A8138F">
      <w:pPr>
        <w:pStyle w:val="TextoNormal"/>
      </w:pPr>
      <w:r>
        <w:t>Quizá la sentencia podría haber estimado que los aludidos trabajos parlamentarios no ofrecen un criterio hermenéutico concluyente sobre este motivo de inconstitucionalidad. No en vano la jurisprudencia constitucional ha declarado que “[l]os trabajos parlamentarios de elaboración de la Constitución, conforme a una reiterada doctrina constitucional, son un elemento importante, aunque no determinante, para desentrañar el sentido y alcance de las normas [por todas, SSTC 12/1982, de 31 de marzo, FJ 6, y 87/2022, de 28 de junio, FJ 3 C) d)]” (STC 63/2025, de 12 de marzo, FJ 6).</w:t>
      </w:r>
    </w:p>
    <w:p w14:paraId="683775F3" w14:textId="77777777" w:rsidR="00A8138F" w:rsidRDefault="00A8138F" w:rsidP="00A8138F">
      <w:pPr>
        <w:pStyle w:val="TextoNormal"/>
      </w:pPr>
    </w:p>
    <w:p w14:paraId="14ABD64C" w14:textId="77777777" w:rsidR="00A8138F" w:rsidRDefault="00A8138F" w:rsidP="00A8138F">
      <w:pPr>
        <w:pStyle w:val="TextoNormal"/>
      </w:pPr>
      <w:r>
        <w:t>Pero para lo que no son determinantes, en ningún caso, es para permitir deducir una inconstitucional libertad de configuración por parte del legislador de la amnistía. Entre otras cosas porque, como afirma la sentencia “[e]l silencio constitucional, por sí solo, no equivale a la prohibición de una institución. Tal consecuencia solo es posible en los supuestos en los que dicha institución sea incompatible con la propia Constitución”. Y es precisamente, como vengo sosteniendo en este voto particular, que, a mi juicio, la amnistía es incompatible con aquella.</w:t>
      </w:r>
    </w:p>
    <w:p w14:paraId="47A5045B" w14:textId="77777777" w:rsidR="00A8138F" w:rsidRDefault="00A8138F" w:rsidP="00A8138F">
      <w:pPr>
        <w:pStyle w:val="TextoNormal"/>
      </w:pPr>
    </w:p>
    <w:p w14:paraId="7D40237B" w14:textId="77777777" w:rsidR="00A8138F" w:rsidRDefault="00A8138F" w:rsidP="00A8138F">
      <w:pPr>
        <w:pStyle w:val="TextoNormal"/>
      </w:pPr>
      <w:r>
        <w:t>Para dar la relevancia requerida al rechazo de las enmiendas presentadas durante la tramitación parlamentaria de la Constitución, en la sentencia se invoca la STC 89/2019, de 2 de julio, FJ 10 b), en la que se declaró que “[e]l mero rechazo o no asunción de unas enmiendas y votos particulares no puede ser vista necesariamente como una exclusión o prohibición constitucional de alguna determinada medida, sino, más bien, como la opción de los constituyentes por preservar el carácter abierto de la previsión constitucional”. Basta la lectura de este pasaje para comprobar que la sentencia citada se refiere a una previsión constitucional, que el constituyente decidió dejar abierta. En el caso objeto de nuestro actual enjuiciamiento, sin embargo, nos enfrentamos a una ausencia de previsión constitucional y al significado que cabe atribuir al silencio constitucional en una cuestión capital como esta.</w:t>
      </w:r>
    </w:p>
    <w:p w14:paraId="6E8202D0" w14:textId="77777777" w:rsidR="00A8138F" w:rsidRDefault="00A8138F" w:rsidP="00A8138F">
      <w:pPr>
        <w:pStyle w:val="TextoNormal"/>
      </w:pPr>
    </w:p>
    <w:p w14:paraId="435F61D2" w14:textId="77777777" w:rsidR="00A8138F" w:rsidRDefault="00A8138F" w:rsidP="00A8138F">
      <w:pPr>
        <w:pStyle w:val="TextoNormal"/>
      </w:pPr>
      <w:r>
        <w:t>Una vez más, la jurisprudencia citada en la sentencia para fundamentar el rechazo a esta alegación no es aplicable, ni, por tanto, determinante.</w:t>
      </w:r>
    </w:p>
    <w:p w14:paraId="3B177658" w14:textId="77777777" w:rsidR="00A8138F" w:rsidRDefault="00A8138F" w:rsidP="00A8138F">
      <w:pPr>
        <w:pStyle w:val="TextoNormal"/>
      </w:pPr>
    </w:p>
    <w:p w14:paraId="11C9523D" w14:textId="77777777" w:rsidR="00A8138F" w:rsidRDefault="00A8138F" w:rsidP="00A8138F">
      <w:pPr>
        <w:pStyle w:val="TextoNormal"/>
      </w:pPr>
      <w:r>
        <w:t>4. La separación de poderes y la reserva de jurisdicción</w:t>
      </w:r>
    </w:p>
    <w:p w14:paraId="77ECECA0" w14:textId="77777777" w:rsidR="00A8138F" w:rsidRDefault="00A8138F" w:rsidP="00A8138F">
      <w:pPr>
        <w:pStyle w:val="TextoNormal"/>
      </w:pPr>
    </w:p>
    <w:p w14:paraId="2E8AFF30" w14:textId="77777777" w:rsidR="00A8138F" w:rsidRDefault="00A8138F" w:rsidP="00A8138F">
      <w:pPr>
        <w:pStyle w:val="TextoNormal"/>
      </w:pPr>
      <w:r>
        <w:t>Con anterioridad he puesto de manifiesto que para que el Tribunal Constitucional considerase descartado que la amnistía precise una expresa habilitación constitucional, debería haber analizado previamente este motivo dado que, si la amnistía es una excepción al Estado de Derecho y, entre otros, a la reserva de jurisdicción, requería dicha habilitación. Pero, como ya he puesto de relieve, no lo ha hecho así.</w:t>
      </w:r>
    </w:p>
    <w:p w14:paraId="50872397" w14:textId="77777777" w:rsidR="00A8138F" w:rsidRDefault="00A8138F" w:rsidP="00A8138F">
      <w:pPr>
        <w:pStyle w:val="TextoNormal"/>
      </w:pPr>
    </w:p>
    <w:p w14:paraId="3FE009AB" w14:textId="77777777" w:rsidR="00A8138F" w:rsidRDefault="00A8138F" w:rsidP="00A8138F">
      <w:pPr>
        <w:pStyle w:val="TextoNormal"/>
      </w:pPr>
      <w:r>
        <w:t>A continuación, desarrollaré los motivos por los que considero que la Ley de amnistía constituye una excepción al Estado de Derecho y a la reserva de jurisdicción y, en consecuencia, los vulnera.</w:t>
      </w:r>
    </w:p>
    <w:p w14:paraId="734BCDEC" w14:textId="77777777" w:rsidR="00A8138F" w:rsidRDefault="00A8138F" w:rsidP="00A8138F">
      <w:pPr>
        <w:pStyle w:val="TextoNormal"/>
      </w:pPr>
    </w:p>
    <w:p w14:paraId="4C17D6C4" w14:textId="77777777" w:rsidR="00A8138F" w:rsidRDefault="00A8138F" w:rsidP="00A8138F">
      <w:pPr>
        <w:pStyle w:val="TextoNormal"/>
      </w:pPr>
      <w:r>
        <w:t>En el fundamento jurídico 4.4, la sentencia desarrolla una serie de consideraciones orientadas a la desestimación de este motivo, con las que mantengo mi discrepancia y de las que pueden extraerse las siguientes líneas maestras: (i) la Ley de amnistía no supone ni juzgar ni ejecutar lo juzgado (art. 117.3 CE), pues no entra a examinar si se cometieron o no los actos ilícitos ni las personas responsables de su comisión; (ii) tampoco cuestiona la declaración de culpabilidad realizada por los tribunales, sino que decide extinguir, total o parcialmente, las responsabilidades de carácter punitivo que sean o puedan ser consecuencia de esos actos; y (iii) es una ley general y abstracta que renuncia a</w:t>
      </w:r>
      <w:r w:rsidRPr="00A8138F">
        <w:rPr>
          <w:i/>
        </w:rPr>
        <w:t>l ius punien</w:t>
      </w:r>
      <w:r>
        <w:t>di en ciertos supuestos por motivos extrajurídicos.</w:t>
      </w:r>
    </w:p>
    <w:p w14:paraId="3D5CCC04" w14:textId="77777777" w:rsidR="00A8138F" w:rsidRDefault="00A8138F" w:rsidP="00A8138F">
      <w:pPr>
        <w:pStyle w:val="TextoNormal"/>
      </w:pPr>
    </w:p>
    <w:p w14:paraId="272079F8" w14:textId="77777777" w:rsidR="00A8138F" w:rsidRDefault="00A8138F" w:rsidP="00A8138F">
      <w:pPr>
        <w:pStyle w:val="TextoNormal"/>
      </w:pPr>
      <w:r>
        <w:t>Frente a estos argumentos sucintamente expuestos, me parece pertinente traer a colación la temprana STC 76/1983, de 5 de agosto, FJ 4, cuando declara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este, salvo en el caso en que la propia Constitución les atribuya alguna función constituyente. La distinción entre poder constituyente y poderes constituidos no opera tan solo en el momento de establecerse la Constitución; la voluntad y racionalidad del poder constituyente objetivadas en la Constitución no solo fundan en su origen sino que fundamentan permanentemente el orden jurídico y estatal y suponen un límite a la potestad del legislador. Al Tribunal Constitucional corresponde, en su función de intérprete supremo de la Constitución (art. 1 de la LOTC), custodiar la permanente distinción entre la objetivación del poder constituyente y la actuación de los poderes constituidos, los cuales nunca podrán rebasar los límites y las competencias establecidas por aquel”.</w:t>
      </w:r>
    </w:p>
    <w:p w14:paraId="6045EA25" w14:textId="77777777" w:rsidR="00A8138F" w:rsidRDefault="00A8138F" w:rsidP="00A8138F">
      <w:pPr>
        <w:pStyle w:val="TextoNormal"/>
      </w:pPr>
    </w:p>
    <w:p w14:paraId="0C50C4A6" w14:textId="77777777" w:rsidR="00A8138F" w:rsidRDefault="00A8138F" w:rsidP="00A8138F">
      <w:pPr>
        <w:pStyle w:val="TextoNormal"/>
      </w:pPr>
      <w:r>
        <w:t>Con posterioridad, como reconoce la sentencia de la que disiento al citar la STC 70/2022, de 2 de junio, FJ 5, el Tribunal ha afirmado que “[l]a Constitución establece un sistema de relaciones entre órganos constitucionales dotados de competencias propias (SSTC 45/1986, FJ 4, y 234/2000, FJ 4), un sistema de distribución de poderes que evita su concentración y hace posible la aplicación de las técnicas de relación y control entre quienes lo ejercen legítimamente (ATC 60/1981, de 17 de junio, FJ 4). En definitiva, un entramado institucional y normativo, de cuyo concreto funcionamiento resulta un sistema de poderes, derechos y equilibrios sobre el que toma cuerpo una variable del modelo democrático que es la que propiamente la Constitución asume al constituir a España en un Estado social y democrático de Derecho (art. 1.1 CE; STC 48/2003, de 12 de marzo, FJ 7)”. Declaración reiterada recientemente en la STC 93/2024, de 19 de junio, FJ 4.3.5, al proclamar que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en su dimensión material, sino también por la forma en que han de relacionarse entre ellos. Cuando un poder del Estado se extralimita en el ejercicio de sus atribuciones se infringe el principio de separación de poderes y se altera el diseño institucional constitucionalmente previsto”.</w:t>
      </w:r>
    </w:p>
    <w:p w14:paraId="130C1479" w14:textId="77777777" w:rsidR="00A8138F" w:rsidRDefault="00A8138F" w:rsidP="00A8138F">
      <w:pPr>
        <w:pStyle w:val="TextoNormal"/>
      </w:pPr>
    </w:p>
    <w:p w14:paraId="680684D3" w14:textId="77777777" w:rsidR="00A8138F" w:rsidRDefault="00A8138F" w:rsidP="00A8138F">
      <w:pPr>
        <w:pStyle w:val="TextoNormal"/>
      </w:pPr>
      <w:r>
        <w:t xml:space="preserve">Pese a la posición preeminente que ocupa el Parlamento y la doctrina constitucional relativa a la “centralidad parlamentaria”, no debe olvidarse que en defensa de la libertad individual que se erige como valor superior del ordenamiento jurídico (art. 1.1. CE), todos los poderes públicos, incluido el Legislativo, gozan de unas potestades que están constitucionalmente limitadas con sujeción al principio de legalidad (art. 9.1 y 3 CE), potestades que no pueden ser sobrepasadas so pretexto de una legitimación </w:t>
      </w:r>
      <w:r w:rsidRPr="00A8138F">
        <w:rPr>
          <w:i/>
        </w:rPr>
        <w:t>ex silentio</w:t>
      </w:r>
      <w:r>
        <w:t xml:space="preserve"> —al no estar la amnistía explícitamente proscrita en el texto constitucional— que en una democracia constitucional ya constituida desconocería la única fuente de legitimidad del ejercicio del poder y elevaría al legislador ordinario a la posición de legislador constituyente.</w:t>
      </w:r>
    </w:p>
    <w:p w14:paraId="0FF6096D" w14:textId="77777777" w:rsidR="00A8138F" w:rsidRDefault="00A8138F" w:rsidP="00A8138F">
      <w:pPr>
        <w:pStyle w:val="TextoNormal"/>
      </w:pPr>
    </w:p>
    <w:p w14:paraId="3E8CEA33" w14:textId="77777777" w:rsidR="00A8138F" w:rsidRDefault="00A8138F" w:rsidP="00A8138F">
      <w:pPr>
        <w:pStyle w:val="TextoNormal"/>
      </w:pPr>
      <w:r>
        <w:t>Consecuente con el principio de separación de poderes en el marco de la constitución de España como Estado social y democrático de Derecho (art. 1.1 CE), en lo que aquí interesa, el art. 66.2 CE asigna a las Cortes Generales unas funciones limitadas al ejercicio de la potestad legislativa del Estado, la aprobación de sus presupuestos, el control de la acción del Gobierno y las demás competencias que les atribuya la Constitución.</w:t>
      </w:r>
    </w:p>
    <w:p w14:paraId="382D81BE" w14:textId="77777777" w:rsidR="00A8138F" w:rsidRDefault="00A8138F" w:rsidP="00A8138F">
      <w:pPr>
        <w:pStyle w:val="TextoNormal"/>
      </w:pPr>
    </w:p>
    <w:p w14:paraId="34AF1CA2" w14:textId="77777777" w:rsidR="00A8138F" w:rsidRDefault="00A8138F" w:rsidP="00A8138F">
      <w:pPr>
        <w:pStyle w:val="TextoNormal"/>
      </w:pPr>
      <w:r>
        <w:t>Por su parte, el art. 117.3 CE atribuye con carácter de exclusividad a los juzgados y tribunales la potestad jurisdiccional, que la ejercen, en garantía del Estado de Derecho, con total y única sujeción al imperio de la ley (art. 117.1 CE) y está “caracterizada por las notas de independencia, imparcialidad y desinterés objetivo definitorias funcionalmente del ejercicio de jurisdicción” conforme a los principios que configuran a la jurisdicción (STC 12/2025, de 15 de enero, FJ 4), notas de las que no participa el Poder Legislativo.</w:t>
      </w:r>
    </w:p>
    <w:p w14:paraId="00905661" w14:textId="77777777" w:rsidR="00A8138F" w:rsidRDefault="00A8138F" w:rsidP="00A8138F">
      <w:pPr>
        <w:pStyle w:val="TextoNormal"/>
      </w:pPr>
    </w:p>
    <w:p w14:paraId="2B5B37F8" w14:textId="77777777" w:rsidR="00A8138F" w:rsidRDefault="00A8138F" w:rsidP="00A8138F">
      <w:pPr>
        <w:pStyle w:val="TextoNormal"/>
      </w:pPr>
      <w:r>
        <w:t>La potestad jurisdiccional comprende dos manifestaciones fundamentales de la función jurisdiccional: la función de juzgar y la de ejecutar lo juzgado (art. 117.3 CE), ambas enmarcadas en los límites que imponen los principios constitucionales nucleares del sistema democrático, de separación de poderes y Estado de Derecho, indisponibles para el legislador ordinario.</w:t>
      </w:r>
    </w:p>
    <w:p w14:paraId="52A55867" w14:textId="77777777" w:rsidR="00A8138F" w:rsidRDefault="00A8138F" w:rsidP="00A8138F">
      <w:pPr>
        <w:pStyle w:val="TextoNormal"/>
      </w:pPr>
    </w:p>
    <w:p w14:paraId="437556C6" w14:textId="77777777" w:rsidR="00A8138F" w:rsidRDefault="00A8138F" w:rsidP="00A8138F">
      <w:pPr>
        <w:pStyle w:val="TextoNormal"/>
      </w:pPr>
      <w:r>
        <w:t>La atribución en exclusiva al Poder Judicial de la función jurisdiccional impide que esa función pueda ser ejercida por el legislador, que ciertamente tiene en su mano la facultad de destipificar conductas como ilícitos penales o de otra naturaleza; pero, en caso contrario, si mantiene determinadas conductas en el catálogo de delitos del Código penal y demás leyes penales, es competencia exclusiva de los tribunales del orden penal la potestad de investigarlas y, eventualmente, juzgarlas, imponer condenas a sus responsables y hacer que sean ejecutadas.</w:t>
      </w:r>
    </w:p>
    <w:p w14:paraId="0BFEC279" w14:textId="77777777" w:rsidR="00A8138F" w:rsidRDefault="00A8138F" w:rsidP="00A8138F">
      <w:pPr>
        <w:pStyle w:val="TextoNormal"/>
      </w:pPr>
    </w:p>
    <w:p w14:paraId="598D849D" w14:textId="77777777" w:rsidR="00A8138F" w:rsidRDefault="00A8138F" w:rsidP="00A8138F">
      <w:pPr>
        <w:pStyle w:val="TextoNormal"/>
      </w:pPr>
      <w:r>
        <w:t>Como he señalado, las excepciones al principio constitucional de exclusividad jurisdiccional solo caben si el constituyente las ha previsto de forma expresa, como en el caso del derecho de gracia ejercido por el rey a través del indulto [art. 62 i) CE], mediante cual el Poder Ejecutivo interfiere en la potestad jurisdiccional de hacer ejecutar lo juzgado en sentencias firmes de condena, con expresa prohibición de los indultos generales. Como todo lo regulado con carácter excepcional, ha de ser interpretado restrictivamente, criterio hermenéutico que prohíbe extender el indulto a posibles medidas de gracia no previstas en la Constitución.</w:t>
      </w:r>
    </w:p>
    <w:p w14:paraId="25CB34D0" w14:textId="77777777" w:rsidR="00A8138F" w:rsidRDefault="00A8138F" w:rsidP="00A8138F">
      <w:pPr>
        <w:pStyle w:val="TextoNormal"/>
      </w:pPr>
    </w:p>
    <w:p w14:paraId="2B8B58AD" w14:textId="77777777" w:rsidR="00A8138F" w:rsidRDefault="00A8138F" w:rsidP="00A8138F">
      <w:pPr>
        <w:pStyle w:val="TextoNormal"/>
      </w:pPr>
      <w:r>
        <w:t>Con respecto a la potestad jurisdiccional de “juzgar”, las leyes establecen las condiciones para su ejercicio en la legislación orgánica y procesal [“según las normas de competencia y procedimiento que las mismas [las leyes] establezcan” (art. 117.3 CE)], con el carácter de generalidad propio de la ley. Y el texto constitucional establece con carácter taxativo los supuestos de inviolabilidad en que se excepciona el ejercicio de esta potestad (arts. 56.3 y 71.1 CE).</w:t>
      </w:r>
    </w:p>
    <w:p w14:paraId="728571A8" w14:textId="77777777" w:rsidR="00A8138F" w:rsidRDefault="00A8138F" w:rsidP="00A8138F">
      <w:pPr>
        <w:pStyle w:val="TextoNormal"/>
      </w:pPr>
    </w:p>
    <w:p w14:paraId="23C30BAD" w14:textId="77777777" w:rsidR="00A8138F" w:rsidRDefault="00A8138F" w:rsidP="00A8138F">
      <w:pPr>
        <w:pStyle w:val="TextoNormal"/>
      </w:pPr>
      <w:r>
        <w:t>En cuanto a la potestad jurisdiccional de “ejecutar lo juzgado”, directamente conectada con el obligado cumplimiento por parte de todos de las sentencias y demás resoluciones firmes de jueces y tribunales (art. 118 CE), ya he expresado que la Constitución prevé la figura del indulto particular [art. 62 i)] como manifestación del derecho de gracia que constituye una excepción constitucionalmente prevista a la ejecución de las sentencias penales firmes. Por tanto, esta Ley de amnistía provoca la inexistencia jurídica de una categoría determinada de sentencias firmes de condena —las abarcadas por los ámbitos material y temporal definidos por la propia Ley—, que carece de toda cobertura constitucional y que, lo mismo que sucede con la potestad de juzgar, desborda, como también he apuntado, los límites de la potestad legislativa de la Cortes Generales (art. 66.2 CE), en perjuicio de los principios constitucionales acabados de señalar.</w:t>
      </w:r>
    </w:p>
    <w:p w14:paraId="00D87A24" w14:textId="77777777" w:rsidR="00A8138F" w:rsidRDefault="00A8138F" w:rsidP="00A8138F">
      <w:pPr>
        <w:pStyle w:val="TextoNormal"/>
      </w:pPr>
    </w:p>
    <w:p w14:paraId="3EE0246D" w14:textId="77777777" w:rsidR="00A8138F" w:rsidRDefault="00A8138F" w:rsidP="00A8138F">
      <w:pPr>
        <w:pStyle w:val="TextoNormal"/>
      </w:pPr>
      <w:r>
        <w:t>Menos aún puedo compartir el argumento empleado en el preámbulo de la Ley de amnistía, y asumido por la sentencia, con el que pretende justificar la ocupación del espacio reservado a los tribunales, conforme al cual con la Ley de amnistía “se devuelve la resolución del conflicto político a los cauces de la discusión política” (preámbulo, apartado V). Esta afirmación, que en modo alguno puedo compartir, da a entender que, hasta la promulgación de la Ley de amnistía, la “resolución del conflicto político” se estaba llevando a cabo, inadecuadamente, por los tribunales y demás instituciones del Estado.</w:t>
      </w:r>
    </w:p>
    <w:p w14:paraId="7B9E6FBF" w14:textId="77777777" w:rsidR="00A8138F" w:rsidRDefault="00A8138F" w:rsidP="00A8138F">
      <w:pPr>
        <w:pStyle w:val="TextoNormal"/>
      </w:pPr>
    </w:p>
    <w:p w14:paraId="19CB6A54" w14:textId="77777777" w:rsidR="00A8138F" w:rsidRDefault="00A8138F" w:rsidP="00A8138F">
      <w:pPr>
        <w:pStyle w:val="TextoNormal"/>
      </w:pPr>
      <w:r>
        <w:t>En esta misma línea deslegitimadora del Poder Judicial, a mi juicio gravemente errónea y perniciosa para el Estado de Derecho, la sentencia acepta la idea del preámbulo de la Ley de amnistía que considera, nada menos, como “factor de tensión” a “la sustanciación de los procesos judiciales relacionados con el proceso separatista, en el entendimiento de que los nuevos enjuiciamientos y la ejecución de las penas ya impuestas contribuyen a mantener o incluso a incrementar esa ‘tensión’ y ‘desafección’”. Esta declaración y la notoria realidad de la situación, desmiente lo que se afirma acto seguido: “La amnistía concedida no persigue, por tanto, la merma o el cuestionamiento de la legitimidad de los procesos judiciales afectados por la Ley de amnistía, ni supone tampoco una suerte de juicio alternativo de atribución de responsabilidades” [FJ 8.3.3 b)]. Entiendo que no se puede afirmar con un mínimo de coherencia que los procesos judiciales han contribuido a mantener o incrementar la tensión política y, a la vez, que ello no determine la merma o cuestionamiento de esos mismos procesos judiciales. Esta grave proclamación vertida en la sentencia de la que disiento desautoriza la intervención que han tenido los tribunales, entre otros actores, en defensa del Estado de Derecho y del orden constitucional frente a las acciones ilícitas enmarcadas en el proceso separatista, que ahora quedan impunes y en cierta medida legitimadas por la Ley de amnistía.</w:t>
      </w:r>
    </w:p>
    <w:p w14:paraId="3C5DF0D6" w14:textId="77777777" w:rsidR="00A8138F" w:rsidRDefault="00A8138F" w:rsidP="00A8138F">
      <w:pPr>
        <w:pStyle w:val="TextoNormal"/>
      </w:pPr>
    </w:p>
    <w:p w14:paraId="73EF6D73" w14:textId="77777777" w:rsidR="00A8138F" w:rsidRDefault="00A8138F" w:rsidP="00A8138F">
      <w:pPr>
        <w:pStyle w:val="TextoNormal"/>
      </w:pPr>
      <w:r>
        <w:t>En este punto debo recordar que la aplicación del Código penal y demás normas sancionadoras aplicadas ante estas conductas ilícitas no ha tenido por finalidad la resolución de conflicto político alguno que haya de ser devuelto al campo político, porque el ejercicio de la función jurisdiccional en aplicación del Derecho no constituye un instrumento de acción política, sino de aplicación del Derecho, es decir, estrictamente jurídico. Cuando los tribunales sancionan conductas perpetradas por políticos o con motivación política, están sujetos única y exclusivamente a los tipos penales que sean de aplicación y no persiguen otra finalidad que la de aplicar la ley con independencia e imparcialidad.</w:t>
      </w:r>
    </w:p>
    <w:p w14:paraId="10820635" w14:textId="77777777" w:rsidR="00A8138F" w:rsidRDefault="00A8138F" w:rsidP="00A8138F">
      <w:pPr>
        <w:pStyle w:val="TextoNormal"/>
      </w:pPr>
    </w:p>
    <w:p w14:paraId="34BF03DA" w14:textId="77777777" w:rsidR="00A8138F" w:rsidRDefault="00A8138F" w:rsidP="00A8138F">
      <w:pPr>
        <w:pStyle w:val="TextoNormal"/>
      </w:pPr>
      <w:r>
        <w:t>En cambio, la Ley de amnistía —que, como más adelante expondré con más detalle, no es una ley general sino una ley que comparte rasgos esenciales de las leyes singulares que trascienden de su marco conceptual— excluye del ejercicio de la jurisdicción supuestos perfectamente identificables por sus señas políticas y que están comprendidos en su ámbito de aplicación (arts. 1 y 2), supuestos de exclusión que carecen de amparo constitucional y que lesionan los principios de separación de poderes y de reserva de jurisdicción.</w:t>
      </w:r>
    </w:p>
    <w:p w14:paraId="68327AB1" w14:textId="77777777" w:rsidR="00A8138F" w:rsidRDefault="00A8138F" w:rsidP="00A8138F">
      <w:pPr>
        <w:pStyle w:val="TextoNormal"/>
      </w:pPr>
    </w:p>
    <w:p w14:paraId="72CACD8E" w14:textId="77777777" w:rsidR="00A8138F" w:rsidRDefault="00A8138F" w:rsidP="00A8138F">
      <w:pPr>
        <w:pStyle w:val="TextoNormal"/>
      </w:pPr>
      <w:r>
        <w:t>Finalmente, aunque se admitiera la hipótesis, que no comparto, de que el Parlamento por su posición cualificada (centralidad parlamentaria) pudiera aprobar una ley de amnistía y legislar el perdón (como ha hecho en los arts. 1 y 2 de la Ley de amnistía) y aunque existan excepciones a la reserva de jurisdicción en la propia CE (arts. 71.2, 102.2, 125 o 136 CE) —</w:t>
      </w:r>
      <w:r w:rsidRPr="00A8138F">
        <w:rPr>
          <w:i/>
        </w:rPr>
        <w:t>quod non</w:t>
      </w:r>
      <w:r>
        <w:t>—, el legislador no puede imponer a los jueces integrantes del Poder Judicial independiente un régimen jurisdiccional o procesal excepcional, como el de los arts. 4 a 16 de la Ley de amnistía, regulando cómo tienen que enjuiciar y aplicar el perdón ya concedido por el art. 1 de la ley en cada caso (</w:t>
      </w:r>
      <w:r w:rsidRPr="00A8138F">
        <w:rPr>
          <w:i/>
        </w:rPr>
        <w:t>vgr</w:t>
      </w:r>
      <w:r>
        <w:t>. alzamiento inmediato de medidas cautelares, levantamiento de las órdenes de busca y captura y de órdenes europeas de detención y entrega, tramitación de los procedimientos judiciales en dos meses, archivo por sobreseimiento libre, con exclusión del provisional, recursos no suspensivos, archivo sin audiencia a los perjudicados, etc.) porque con ese régimen jurídico no es que simplemente se traspasasen los límites de la reserva de jurisdicción, sino que además se quebranta el otro límite que la Constitución ha impuesto al Parlamento y a la administración, a saber, el respeto al núcleo esencial de los derechos fundamentales, en concreto, al derecho fundamental de los ciudadanos afectados por la amnistía a un juicio justo y equitativo, con las debidas garantía de igualdad, contradicción y defensa (art. 24 CE y art. 6.1 CEDH).</w:t>
      </w:r>
    </w:p>
    <w:p w14:paraId="5B2172AD" w14:textId="77777777" w:rsidR="00A8138F" w:rsidRDefault="00A8138F" w:rsidP="00A8138F">
      <w:pPr>
        <w:pStyle w:val="TextoNormal"/>
      </w:pPr>
    </w:p>
    <w:p w14:paraId="54FAC731" w14:textId="77777777" w:rsidR="00A8138F" w:rsidRDefault="00A8138F" w:rsidP="00A8138F">
      <w:pPr>
        <w:pStyle w:val="TextoNormal"/>
      </w:pPr>
      <w:r>
        <w:t>Por lo tanto, la excepción a la reserva de jurisdicción que introduce la Ley de amnistía implica una intromisión del Poder Legislativo en el Judicial, no prevista constitucionalmente, mediante una “doble suplantación de las funciones judiciales” ordinarias por parte de la Ley de amnistía: primero, para excepcionar en el “momento normativo” los efectos ordinarios de las leyes penales; y, segundo, para en el “momento aplicativo” exceptuar nuevamente la eficacia de las reglas ordinarias de los procedimientos penales, administrativos y contables, en los que los jueces, en el momento preciso en que actúen, deban aplicar esas normas con las garantías del art. 24 CE, que la Ley de amnistía excepciona.</w:t>
      </w:r>
    </w:p>
    <w:p w14:paraId="46F7383C" w14:textId="77777777" w:rsidR="00A8138F" w:rsidRDefault="00A8138F" w:rsidP="00A8138F">
      <w:pPr>
        <w:pStyle w:val="TextoNormal"/>
      </w:pPr>
    </w:p>
    <w:p w14:paraId="5095ABE2" w14:textId="77777777" w:rsidR="00A8138F" w:rsidRDefault="00A8138F" w:rsidP="00A8138F">
      <w:pPr>
        <w:pStyle w:val="TextoNormal"/>
      </w:pPr>
      <w:r>
        <w:t>En definitiva, esta ley supone una doble excepción a la reserva de jurisdicción: por una parte, excepción de la potestad exclusiva de juzgar y hacer ejecutar lo juzgado (arts. 117.3 y 118 CE) que la Constitución atribuye a los jueces; y, por otro lado, de las facultades ordinarias que la Constitución les atribuye para la defensa de los derechos fundamentales, tanto de los amnistiados como de los perjudicados y demás ciudadanos afectados por las conductas ilícitas, extensivo a los titulares de la acción popula</w:t>
      </w:r>
      <w:r w:rsidRPr="00A8138F">
        <w:rPr>
          <w:i/>
        </w:rPr>
        <w:t xml:space="preserve">r </w:t>
      </w:r>
      <w:r>
        <w:t>ex art. 125 CE.</w:t>
      </w:r>
    </w:p>
    <w:p w14:paraId="473A8903" w14:textId="77777777" w:rsidR="00A8138F" w:rsidRDefault="00A8138F" w:rsidP="00A8138F">
      <w:pPr>
        <w:pStyle w:val="TextoNormal"/>
      </w:pPr>
    </w:p>
    <w:p w14:paraId="064A9068" w14:textId="77777777" w:rsidR="00A8138F" w:rsidRDefault="00A8138F" w:rsidP="00A8138F">
      <w:pPr>
        <w:pStyle w:val="TextoNormal"/>
      </w:pPr>
      <w:r>
        <w:t xml:space="preserve">Para concluir, la suplantación de los jueces que impone la Ley de amnistía produce un resultado semejante al calificado en el fundamento jurídico 19 de la STC 181/2000, de 29 junio, citada en la sentencia, sobre la inconstitucionalidad del baremo judicial para la valoración de los daños y perjuicios causados a las personas en accidentes de circulación, respecto de los arts. 117.3 CE y 24 CE, cuando declaró que los condicionamientos de la potestad jurisdiccional solo son aceptables si subsiste la posibilidad de libre apreciación del juzgador en función de los diversos materiales probatorios, razón por la que, contrastados los arts. 4 a 16 de la Ley de amnistía, resulta evidente que estos preceptos no dejan margen alguno al juzgador de la amnistía en aspectos inmanentes al enjuiciamiento (medida cautelares, principios generales del proceso de contradicción y de igualdad de armas, plazos, recursos, derechos de las partes acusadoras en el proceso, etc.), produciéndose, </w:t>
      </w:r>
      <w:r w:rsidRPr="00A8138F">
        <w:rPr>
          <w:i/>
        </w:rPr>
        <w:t>mutatis mutandis</w:t>
      </w:r>
      <w:r>
        <w:t>, una situación como la apreciada en el FJ 20 de la citada STC 181/2000: “el legislador ha establecido un[a serie de] impedimento[s] insuperable[s] para la adecuada individualización del real alcance o extensión de” los derechos y pretensiones procesales de las partes, lesivos del art. 24.1 y 2 CE. La mutilación de la potestad jurisdiccional de los jueces ha sido censurada en más de veinte ocasiones por este tribunal sede de amparo respecto de la Ley 30/1995, de 8 de noviembre, de ordenación y supervisión de los seguros privados (entre otras, SSTC 242/2000, de 16 de octubre, FJ 3; 244/2000, de 16 de octubre, FJ 3; 267/2000, de 13 de noviembre, FJ 3; 21/2001, de 29 de enero, FFJJ 2, 3 y 4; 49/2002, de 25 de febrero, FFJJ 2 y 3, y 134/2003, de 30 de junio, FJ 3). Y semejante lesión de la reserva de jurisdicción se apreció en las SSTC 58/2016, de 17 de marzo, FFJJ 3 y 7, y 34/2019, de 14 de marzo, FFJJ 2, 5 y 7.</w:t>
      </w:r>
    </w:p>
    <w:p w14:paraId="1644912D" w14:textId="77777777" w:rsidR="00A8138F" w:rsidRDefault="00A8138F" w:rsidP="00A8138F">
      <w:pPr>
        <w:pStyle w:val="TextoNormal"/>
      </w:pPr>
    </w:p>
    <w:p w14:paraId="19F9212B" w14:textId="77777777" w:rsidR="00A8138F" w:rsidRDefault="00A8138F" w:rsidP="00A8138F">
      <w:pPr>
        <w:pStyle w:val="TextoNormal"/>
      </w:pPr>
      <w:r>
        <w:t>5. Amnistía y exigencias constitucionales de las leyes penales</w:t>
      </w:r>
    </w:p>
    <w:p w14:paraId="388C557D" w14:textId="77777777" w:rsidR="00A8138F" w:rsidRDefault="00A8138F" w:rsidP="00A8138F">
      <w:pPr>
        <w:pStyle w:val="TextoNormal"/>
      </w:pPr>
    </w:p>
    <w:p w14:paraId="3E3C608F" w14:textId="77777777" w:rsidR="00A8138F" w:rsidRDefault="00A8138F" w:rsidP="00A8138F">
      <w:pPr>
        <w:pStyle w:val="TextoNormal"/>
      </w:pPr>
      <w:r>
        <w:t>Comparto con la sentencia que la Ley de amnistía no compromete las garantías de previsibilidad propias del derecho a la legalidad penal del art. 25.1 CE</w:t>
      </w:r>
      <w:r w:rsidRPr="00A8138F">
        <w:rPr>
          <w:i/>
        </w:rPr>
        <w:t xml:space="preserve"> —lex praev</w:t>
      </w:r>
      <w:r>
        <w:t>ia</w:t>
      </w:r>
      <w:r w:rsidRPr="00A8138F">
        <w:rPr>
          <w:i/>
        </w:rPr>
        <w:t>, lex cer</w:t>
      </w:r>
      <w:r>
        <w:t xml:space="preserve">ta </w:t>
      </w:r>
      <w:r w:rsidRPr="00A8138F">
        <w:rPr>
          <w:i/>
        </w:rPr>
        <w:t>y lex stric</w:t>
      </w:r>
      <w:r>
        <w:t>ta—, respecto a los beneficiarios responsables de las conductas que despenaliza la ley. Sin embargo, el problema de la legalidad penal puede ser analizado desde otra perspectiva.</w:t>
      </w:r>
    </w:p>
    <w:p w14:paraId="19FDC9C3" w14:textId="77777777" w:rsidR="00A8138F" w:rsidRDefault="00A8138F" w:rsidP="00A8138F">
      <w:pPr>
        <w:pStyle w:val="TextoNormal"/>
      </w:pPr>
    </w:p>
    <w:p w14:paraId="581367BB" w14:textId="77777777" w:rsidR="00A8138F" w:rsidRDefault="00A8138F" w:rsidP="00A8138F">
      <w:pPr>
        <w:pStyle w:val="TextoNormal"/>
      </w:pPr>
      <w:r>
        <w:t xml:space="preserve">A mi juicio, es relevante en términos constitucionales la relación consustancial entre los principios de legalidad penal y de seguridad jurídica, junto con la proscripción de la arbitrariedad en el ejercicio del </w:t>
      </w:r>
      <w:r w:rsidRPr="00A8138F">
        <w:rPr>
          <w:i/>
        </w:rPr>
        <w:t>ius puniendi</w:t>
      </w:r>
      <w:r>
        <w:t>. Se incurre en la arbitrariedad proscrita en el art. 9.3 CE, de forma evidente como acabo de afirmar, cuando se castiga al margen de las garantías derivadas del principio de legalidad penal, pero también, y este es el problema que introduce la Ley de amnistía, cuando de modo arbitrario, en cuanto no está fundado en razones de política criminal —sino de concesiones para obtener el apoyo parlamentario necesario para ser investido presidente del Gobierno— ni menos aún de justicia material</w:t>
      </w:r>
      <w:r w:rsidRPr="00A8138F">
        <w:rPr>
          <w:i/>
        </w:rPr>
        <w:t xml:space="preserve"> (c</w:t>
      </w:r>
      <w:r>
        <w:t>fr. SSTC 63/1983 y 147/1986), se seleccionan determinadas conductas que dejan de ser sancionadas en un ámbito objetivo y temporal imperfectamente delimitado por la ley, mientras que la norma sancionadora continúa desplegando su eficacia en la generalidad de los casos no afectados por la amnistía.</w:t>
      </w:r>
    </w:p>
    <w:p w14:paraId="61835023" w14:textId="77777777" w:rsidR="00A8138F" w:rsidRDefault="00A8138F" w:rsidP="00A8138F">
      <w:pPr>
        <w:pStyle w:val="TextoNormal"/>
      </w:pPr>
    </w:p>
    <w:p w14:paraId="1397D12E" w14:textId="77777777" w:rsidR="00A8138F" w:rsidRDefault="00A8138F" w:rsidP="00A8138F">
      <w:pPr>
        <w:pStyle w:val="TextoNormal"/>
      </w:pPr>
      <w:r>
        <w:t>El déficit de seguridad jurídica se conecta con la vulneración del principio basilar de igualdad (art. 1.1 CE) y con el principio de interdicción de la arbitrariedad de los poderes públicos (art. 9.3 CE) cuando, con carácter general, se hace depender la imposición de sanciones de determinadas circunstancias de carácter político caracterizadas por atentar contra el orden constitucional.</w:t>
      </w:r>
    </w:p>
    <w:p w14:paraId="40539355" w14:textId="77777777" w:rsidR="00A8138F" w:rsidRDefault="00A8138F" w:rsidP="00A8138F">
      <w:pPr>
        <w:pStyle w:val="TextoNormal"/>
      </w:pPr>
    </w:p>
    <w:p w14:paraId="7DEC13E1" w14:textId="77777777" w:rsidR="00A8138F" w:rsidRDefault="00A8138F" w:rsidP="00A8138F">
      <w:pPr>
        <w:pStyle w:val="TextoNormal"/>
      </w:pPr>
      <w:r>
        <w:t>En cuanto a los parámetros objetivo y temporal de la Ley de amnistía, no cumplen con el requisito de calidad de la ley en el ámbito sancionador, como dimensión sustantiva de los principios de seguridad jurídica (art. 9.3 CE) y de legalidad penal (art. 25.1 CE), que en relación con la exención de responsabilidades penales, administrativas o contables la Ley de amnistía no determina con la suficiente concreción —y, correlativamente, sin la necesaria cognoscibilidad del alcance de la exención de responsabilidad— los supuestos excluidos de la amnistía y, por tanto, susceptibles de ser enjuiciados y sancionados.</w:t>
      </w:r>
    </w:p>
    <w:p w14:paraId="3CB2F7F5" w14:textId="77777777" w:rsidR="00A8138F" w:rsidRDefault="00A8138F" w:rsidP="00A8138F">
      <w:pPr>
        <w:pStyle w:val="TextoNormal"/>
      </w:pPr>
    </w:p>
    <w:p w14:paraId="01F3774C" w14:textId="77777777" w:rsidR="00A8138F" w:rsidRDefault="00A8138F" w:rsidP="00A8138F">
      <w:pPr>
        <w:pStyle w:val="TextoNormal"/>
      </w:pPr>
      <w:r>
        <w:t>Con independencia de la prudencia y rigor jurídico de los tribunales que, en su caso, deban aplicar la Ley de amnistía que la sentencia declara constitucional casi en su integridad, ello no puede sanar la imprecisión del ámbito material que me parece evidente en la redacción de la ley y que puede resumirse, sin ánimo de exhaustividad, en la cláusula de cierre del art. 1.1, párrafo inicial, que extiende la amnistía a las “acciones ejecutadas entre estas fechas [1 de noviembre de 2011 y 13 de noviembre de 2023] en el contexto del denominado proceso independentista catalán, aunque no se encuentren relacionadas con las referidas consultas o hayan sido realizadas con posterioridad a su respectiva celebración”, con las exclusiones del art. 2.</w:t>
      </w:r>
    </w:p>
    <w:p w14:paraId="15C52D1A" w14:textId="77777777" w:rsidR="00A8138F" w:rsidRDefault="00A8138F" w:rsidP="00A8138F">
      <w:pPr>
        <w:pStyle w:val="TextoNormal"/>
      </w:pPr>
    </w:p>
    <w:p w14:paraId="56119FC1" w14:textId="77777777" w:rsidR="00A8138F" w:rsidRDefault="00A8138F" w:rsidP="00A8138F">
      <w:pPr>
        <w:pStyle w:val="TextoNormal"/>
      </w:pPr>
      <w:r>
        <w:t>También se incurre en igual vicio de fondo en la letra a) del mismo art. 1.1, referida a actos “vinculados directa o indirectamente al denominado proceso independentista desarrollado en Cataluña o a sus líderes en el marco de ese proceso” por quienes dieron soporte a estas conductas en diferentes formas. Esta relación “directa” es poco clara, pero si a ella se añade la vinculación “indirecta”, me resulta poco discutible que se pretende alojar dentro del ámbito de la amnistía cualquier conducta en la que la motivación del sujeto tenga relación con el proceso separatista.</w:t>
      </w:r>
    </w:p>
    <w:p w14:paraId="6305E202" w14:textId="77777777" w:rsidR="00A8138F" w:rsidRDefault="00A8138F" w:rsidP="00A8138F">
      <w:pPr>
        <w:pStyle w:val="TextoNormal"/>
      </w:pPr>
    </w:p>
    <w:p w14:paraId="26A504A1" w14:textId="77777777" w:rsidR="00A8138F" w:rsidRDefault="00A8138F" w:rsidP="00A8138F">
      <w:pPr>
        <w:pStyle w:val="TextoNormal"/>
      </w:pPr>
      <w:r>
        <w:t>Lo mismo observo respecto al reseñado ámbito temporal, que en lugar de quedar delimitado por las consultas inconstitucionales de 9 de noviembre de 2014 y 1 de octubre de 2017, como es público y notorio se ha ido ampliando a fechas anteriores y posteriores no por razones objetivas, sino a impulso de imposiciones y consecutivas cesiones de carácter político materializadas en el texto de la ley.</w:t>
      </w:r>
    </w:p>
    <w:p w14:paraId="173D56D6" w14:textId="77777777" w:rsidR="00A8138F" w:rsidRDefault="00A8138F" w:rsidP="00A8138F">
      <w:pPr>
        <w:pStyle w:val="TextoNormal"/>
      </w:pPr>
    </w:p>
    <w:p w14:paraId="1B8E49FB" w14:textId="77777777" w:rsidR="00A8138F" w:rsidRDefault="00A8138F" w:rsidP="00A8138F">
      <w:pPr>
        <w:pStyle w:val="TextoNormal"/>
      </w:pPr>
      <w:r>
        <w:t>La causa expresada de la Ley de amnistía la deslegitima de origen y determina no solo el trato discriminatorio que reciben los justiciables que no puedan acogerse a esta ley singular, resultante de una negociación política orientada al fin de lograr la investidura del presidente del Gobierno, sino también porque se frustra no solo la restauración plena del orden jurídico vulnerado lograda a través de los instrumentos institucionales propios de nuestro Estado de Derecho —entre los que cabe destacar el mensaje de S.M. el Rey de 3 de octubre de 2017, la aplicación del art. 155 CE, la intervención legítima de las fuerzas y cuerpos de seguridad del Estado, la promoción de la acción de la justicia por el Ministerio Fiscal y, finalmente, las resoluciones dictadas por las diferentes jurisdicciones concernidas, incluidos los pronunciamientos declarativos y ejecutivos de este tribunal—, sino también los fines retributivos y de prevención general y especial de la ley penal, sentando un grave precedente de impunidad.</w:t>
      </w:r>
    </w:p>
    <w:p w14:paraId="1AD53B77" w14:textId="77777777" w:rsidR="00A8138F" w:rsidRDefault="00A8138F" w:rsidP="00A8138F">
      <w:pPr>
        <w:pStyle w:val="TextoNormal"/>
      </w:pPr>
    </w:p>
    <w:p w14:paraId="2401584A" w14:textId="77777777" w:rsidR="00A8138F" w:rsidRDefault="00A8138F" w:rsidP="00A8138F">
      <w:pPr>
        <w:pStyle w:val="TextoNormal"/>
      </w:pPr>
      <w:r>
        <w:t>La prevención general tiene como presupuesto que los destinatarios de la norma sancionadora no tengan duda, sino certeza, acerca de la efectividad de la ley y la seguridad de que será aplicada en caso de transgresión. Esta finalidad de la pena padece, por una parte, si se instala la convicción de que los actos ilícitos cometidos serán perseguidos y sancionados en función de coyunturas políticas ajenas al interés general, que respondan a puras dinámicas de poder. Por otra parte, la pena deja de tener efecto disuasorio para quienes piensen transgredir gravemente el orden jurídico, con la convicción de que quedarán impunes gracias a medidas de gracia como la amnistía.</w:t>
      </w:r>
    </w:p>
    <w:p w14:paraId="6B5444E2" w14:textId="77777777" w:rsidR="00A8138F" w:rsidRDefault="00A8138F" w:rsidP="00A8138F">
      <w:pPr>
        <w:pStyle w:val="TextoNormal"/>
      </w:pPr>
    </w:p>
    <w:p w14:paraId="2DAF331C" w14:textId="77777777" w:rsidR="00A8138F" w:rsidRDefault="00A8138F" w:rsidP="00A8138F">
      <w:pPr>
        <w:pStyle w:val="TextoNormal"/>
      </w:pPr>
      <w:r>
        <w:t>Mientras que la finalidad de prevención especial no puede alcanzase dado que la exención de responsabilidad criminal impide que, en el caso de las penas privativas de libertad y las medidas de seguridad impuestas, puedan cumplir los fines de reeducación y reinserción social a las que están constitucionalmente orientadas (art. 25.2 CE).</w:t>
      </w:r>
    </w:p>
    <w:p w14:paraId="38CA3377" w14:textId="77777777" w:rsidR="00A8138F" w:rsidRDefault="00A8138F" w:rsidP="00A8138F">
      <w:pPr>
        <w:pStyle w:val="TextoNormal"/>
      </w:pPr>
    </w:p>
    <w:p w14:paraId="6E674468" w14:textId="77777777" w:rsidR="00A8138F" w:rsidRDefault="00A8138F" w:rsidP="00A8138F">
      <w:pPr>
        <w:pStyle w:val="TextoNormal"/>
      </w:pPr>
      <w:r>
        <w:t>6. Inaplicabilidad de la doctrina constitucional sobre leyes singulares y control jurídico del presupuesto de validez de la Ley de amnistía</w:t>
      </w:r>
    </w:p>
    <w:p w14:paraId="59EA0681" w14:textId="77777777" w:rsidR="00A8138F" w:rsidRDefault="00A8138F" w:rsidP="00A8138F">
      <w:pPr>
        <w:pStyle w:val="TextoNormal"/>
      </w:pPr>
    </w:p>
    <w:p w14:paraId="6E5D2D61" w14:textId="77777777" w:rsidR="00A8138F" w:rsidRDefault="00A8138F" w:rsidP="00A8138F">
      <w:pPr>
        <w:pStyle w:val="TextoNormal"/>
      </w:pPr>
      <w:r>
        <w:t>He de expresar, también, mi desacuerdo con el modo en que la sentencia aborda, en el fundamento jurídico 5.2, la cuestión relativa a la eventual categorización de la una ley de amnistía como ley singular.</w:t>
      </w:r>
    </w:p>
    <w:p w14:paraId="0A9A2BA2" w14:textId="77777777" w:rsidR="00A8138F" w:rsidRDefault="00A8138F" w:rsidP="00A8138F">
      <w:pPr>
        <w:pStyle w:val="TextoNormal"/>
      </w:pPr>
    </w:p>
    <w:p w14:paraId="15E9BAA1" w14:textId="77777777" w:rsidR="00A8138F" w:rsidRDefault="00A8138F" w:rsidP="00A8138F">
      <w:pPr>
        <w:pStyle w:val="TextoNormal"/>
      </w:pPr>
      <w:r>
        <w:t>Mi opinión en este punto se vertebra en tres argumentos principales: primero, una crítica dirigida a la interpretación equivocada de las alegaciones de los recurrentes; segundo, una objeción a la manera en que la sentencia expone la doctrina constitucional relativa a las leyes singulares; y, finalmente, mi consideración sobre la amnistía desde la perspectiva que ofrece la doctrina constitucional sobre las leyes singulares y el control al que deben ser sometidas.</w:t>
      </w:r>
    </w:p>
    <w:p w14:paraId="7BC177F9" w14:textId="77777777" w:rsidR="00A8138F" w:rsidRDefault="00A8138F" w:rsidP="00A8138F">
      <w:pPr>
        <w:pStyle w:val="TextoNormal"/>
      </w:pPr>
    </w:p>
    <w:p w14:paraId="075A9217" w14:textId="77777777" w:rsidR="00A8138F" w:rsidRDefault="00A8138F" w:rsidP="00A8138F">
      <w:pPr>
        <w:pStyle w:val="TextoNormal"/>
      </w:pPr>
      <w:r>
        <w:t>La sentencia, a mi juicio, efectúa una reformulación interesada de las alegaciones de los recurrentes; dando a entender que, a criterio de estos, nuestra doctrina sobre las leyes singulares no puede proyectarse a una ley de amnistía. Esta forma de interpretar lo sostenido por los recurrentes no tendría, aparentemente, otra finalidad que la de rehuir del riguroso canon al que, conforme a nuestra jurisprudencia, ha de someterse esta categoría de leyes.</w:t>
      </w:r>
    </w:p>
    <w:p w14:paraId="65C8430F" w14:textId="77777777" w:rsidR="00A8138F" w:rsidRDefault="00A8138F" w:rsidP="00A8138F">
      <w:pPr>
        <w:pStyle w:val="TextoNormal"/>
      </w:pPr>
    </w:p>
    <w:p w14:paraId="1491635A" w14:textId="77777777" w:rsidR="00A8138F" w:rsidRDefault="00A8138F" w:rsidP="00A8138F">
      <w:pPr>
        <w:pStyle w:val="TextoNormal"/>
      </w:pPr>
      <w:r>
        <w:t>La lectura de la demanda permite concluir que lo que los recurrentes argumentan es que la Ley de amnistía no supera los requisitos que, conforme a nuestra doctrina, han de reunir las leyes singulares para ser conformes a la Constitución.</w:t>
      </w:r>
    </w:p>
    <w:p w14:paraId="335E6D58" w14:textId="77777777" w:rsidR="00A8138F" w:rsidRDefault="00A8138F" w:rsidP="00A8138F">
      <w:pPr>
        <w:pStyle w:val="TextoNormal"/>
      </w:pPr>
    </w:p>
    <w:p w14:paraId="657FCAA5" w14:textId="77777777" w:rsidR="00A8138F" w:rsidRDefault="00A8138F" w:rsidP="00A8138F">
      <w:pPr>
        <w:pStyle w:val="TextoNormal"/>
      </w:pPr>
      <w:r>
        <w:t>Así resulta del hecho de que, a juicio de los recurrentes, con invocación de lo declarado en la STC 166/1986, de 19 de diciembre, —a partir de la cual se inicia la doctrina constitucional sobre las leyes singulares, como reconoce la propia sentencia— los derechos fundamentales no consienten por su propia naturaleza leyes singulares que tengan el específico objeto de condicionar o impedir su ejercicio, por ser materia reservada a leyes generales. Por ello, consideran que la Ley de amnistía infringe el art. 25.1 CE en relación con el 17.1 CE, así como el 24.1 CE dada la imposibilidad de obtención por parte de los perjudicados por los delitos amnistiados la ejecución de las sentencias que, en su caso, se hubiesen dictado.</w:t>
      </w:r>
    </w:p>
    <w:p w14:paraId="4F173D6B" w14:textId="77777777" w:rsidR="00A8138F" w:rsidRDefault="00A8138F" w:rsidP="00A8138F">
      <w:pPr>
        <w:pStyle w:val="TextoNormal"/>
      </w:pPr>
    </w:p>
    <w:p w14:paraId="01A5605D" w14:textId="77777777" w:rsidR="00A8138F" w:rsidRDefault="00A8138F" w:rsidP="00A8138F">
      <w:pPr>
        <w:pStyle w:val="TextoNormal"/>
      </w:pPr>
      <w:r>
        <w:t>Los recurrentes defienden, pues, la aplicabilidad de nuestra doctrina sobre leyes singulares para fundamentar las quejas sustentadas en la vulneración de los arts. 25.1, 17.1 y 24.1 CE.</w:t>
      </w:r>
    </w:p>
    <w:p w14:paraId="6A527726" w14:textId="77777777" w:rsidR="00A8138F" w:rsidRDefault="00A8138F" w:rsidP="00A8138F">
      <w:pPr>
        <w:pStyle w:val="TextoNormal"/>
      </w:pPr>
    </w:p>
    <w:p w14:paraId="00774E41" w14:textId="77777777" w:rsidR="00A8138F" w:rsidRDefault="00A8138F" w:rsidP="00A8138F">
      <w:pPr>
        <w:pStyle w:val="TextoNormal"/>
      </w:pPr>
      <w:r>
        <w:t>La consideración de que para los recurrentes es aplicable la doctrina constitucional concerniente a las leyes singulares se corrobora atendiendo, por otro lado, al tercer fundamento de Derecho material de la demanda en que, bajo la rúbrica “La Ley Orgánica 1/2024 vulnera la prohibición de discriminación del artículo 14 CE y resulta desproporcionada y arbitraria”, los demandantes no solo insisten en que la Ley de amnistía contradice la doctrina contenida en la STC 166/1986, consistente en que las leyes singulares no pueden condicionar derechos fundamentales por ser materia reservada a las leyes generales, sino que sostienen también la infracción de los arts. 14 y 9.3 CE por considerar que la Ley de amnistía incumple manifiestamente las exigencias constitucionales aplicables a las leyes singulares, por lo que defienden su implementación a la Ley de amnistía con el necesario rigor derivado de la absoluta excepcionalidad que supone el instituto de la amnistía y la falta de habilitación constitucional para su ejercicio.</w:t>
      </w:r>
    </w:p>
    <w:p w14:paraId="6C704151" w14:textId="77777777" w:rsidR="00A8138F" w:rsidRDefault="00A8138F" w:rsidP="00A8138F">
      <w:pPr>
        <w:pStyle w:val="TextoNormal"/>
      </w:pPr>
    </w:p>
    <w:p w14:paraId="735A98E4" w14:textId="77777777" w:rsidR="00A8138F" w:rsidRDefault="00A8138F" w:rsidP="00A8138F">
      <w:pPr>
        <w:pStyle w:val="TextoNormal"/>
      </w:pPr>
      <w:r>
        <w:t>Sobre esta base, argumentan, la suma de excepcionalidades que representa la Ley de amnistía impone un juicio especialmente riguroso de los requisitos previstos para las leyes singulares, lo que, conforme a la jurisprudencia constitucional (se citan las SSTC 203/2013, FJ 5; 50/2015, FJ 5, y 231/2015, FJ 3) supone la aplicación del canon de razonabilidad, proporcionalidad y adecuación —es decir, el propio de las leyes singulares— en cuya virtud corresponde al Tribunal comprobar si la excepcionalidad del supuesto de hecho contemplado en la norma tiene una justificación objetiva —pues, en caso contrario la ley sería arbitraria— y, si es así, si la utilización de la ley es una medida proporcionada a la excepcionalidad que ha justificado su aprobación.</w:t>
      </w:r>
    </w:p>
    <w:p w14:paraId="547C633A" w14:textId="77777777" w:rsidR="00A8138F" w:rsidRDefault="00A8138F" w:rsidP="00A8138F">
      <w:pPr>
        <w:pStyle w:val="TextoNormal"/>
      </w:pPr>
    </w:p>
    <w:p w14:paraId="4A1AB19D" w14:textId="77777777" w:rsidR="00A8138F" w:rsidRDefault="00A8138F" w:rsidP="00A8138F">
      <w:pPr>
        <w:pStyle w:val="TextoNormal"/>
      </w:pPr>
      <w:r>
        <w:t>Es claro, pues, que los demandantes interesan la aplicación de la doctrina constitucional relativa a las leyes singulares, a fin de que por medio del canon de control que de ella se deriva, se declare la inconstitucionalidad de la Ley de amnistía por contravenir diversos preceptos constitucionales.</w:t>
      </w:r>
    </w:p>
    <w:p w14:paraId="4E0E15A7" w14:textId="77777777" w:rsidR="00A8138F" w:rsidRDefault="00A8138F" w:rsidP="00A8138F">
      <w:pPr>
        <w:pStyle w:val="TextoNormal"/>
      </w:pPr>
    </w:p>
    <w:p w14:paraId="5A4CCF83" w14:textId="77777777" w:rsidR="00A8138F" w:rsidRDefault="00A8138F" w:rsidP="00A8138F">
      <w:pPr>
        <w:pStyle w:val="TextoNormal"/>
      </w:pPr>
      <w:r>
        <w:t>En segundo lugar, es necesario poner de manifiesto que la sentencia, lejos de atender a la complejidad y evolución progresiva de nuestra doctrina sobre leyes singulares, opta por una visión reductiva que confunde el género normativo con una de sus especies.</w:t>
      </w:r>
    </w:p>
    <w:p w14:paraId="543C4468" w14:textId="77777777" w:rsidR="00A8138F" w:rsidRDefault="00A8138F" w:rsidP="00A8138F">
      <w:pPr>
        <w:pStyle w:val="TextoNormal"/>
      </w:pPr>
    </w:p>
    <w:p w14:paraId="579CEC4A" w14:textId="77777777" w:rsidR="00A8138F" w:rsidRDefault="00A8138F" w:rsidP="00A8138F">
      <w:pPr>
        <w:pStyle w:val="TextoNormal"/>
      </w:pPr>
      <w:r>
        <w:t>En este sentido, viene a afirmar que esta doctrina “aborda, principalmente, el problema de la actuación legislativa en materia ejecutiva o de administración”, rechazando su extensión “a los supuestos en que la disposición cuestionada como ‘ley singular’, por más que específica, sea una decisión que corresponde al legislador y solo él puede adoptar” (FJ 5.2).</w:t>
      </w:r>
    </w:p>
    <w:p w14:paraId="381FF010" w14:textId="77777777" w:rsidR="00A8138F" w:rsidRDefault="00A8138F" w:rsidP="00A8138F">
      <w:pPr>
        <w:pStyle w:val="TextoNormal"/>
      </w:pPr>
    </w:p>
    <w:p w14:paraId="33C229EB" w14:textId="77777777" w:rsidR="00A8138F" w:rsidRDefault="00A8138F" w:rsidP="00A8138F">
      <w:pPr>
        <w:pStyle w:val="TextoNormal"/>
      </w:pPr>
      <w:r>
        <w:t>Sin embargo, el hecho de que nuestra doctrina naciera —efectivamente, como afirma la sentencia, en la STC 166/1986— y se desarrollara principalmente en relación con supuestos en que el legislador actúa en ámbitos propiamente ejecutivos o de la administración, no excluye que otros supuestos en que no se dé tal nota puedan encuadrarse en la categoría de leyes singulares, pues su rasgo definitorio es la ausencia de generalidad, de ahí su nombre.</w:t>
      </w:r>
    </w:p>
    <w:p w14:paraId="2F277A0B" w14:textId="77777777" w:rsidR="00A8138F" w:rsidRDefault="00A8138F" w:rsidP="00A8138F">
      <w:pPr>
        <w:pStyle w:val="TextoNormal"/>
      </w:pPr>
    </w:p>
    <w:p w14:paraId="588DA790" w14:textId="77777777" w:rsidR="00A8138F" w:rsidRDefault="00A8138F" w:rsidP="00A8138F">
      <w:pPr>
        <w:pStyle w:val="TextoNormal"/>
      </w:pPr>
      <w:r>
        <w:t>La evolución de nuestra jurisprudencia en esta materia evidencia la consolidación de una línea doctrinal tendente a exigir el elemento de la actuación del legislador en materia ejecutiva solo en relación con una concreta tipología de leyes singulares, esto es, las denominadas “leyes autoaplicativas”; abandonando, en cambio, la exigencia de este aspecto en relación con las dos restantes modalidades de leyes singulares que se han ido gestando por nuestra doctrina: las “leyes de destinatario único” y las “leyes dictadas en atención a un supuesto de hecho concreto y singular”.</w:t>
      </w:r>
    </w:p>
    <w:p w14:paraId="480417FC" w14:textId="77777777" w:rsidR="00A8138F" w:rsidRDefault="00A8138F" w:rsidP="00A8138F">
      <w:pPr>
        <w:pStyle w:val="TextoNormal"/>
      </w:pPr>
    </w:p>
    <w:p w14:paraId="0853BC28" w14:textId="77777777" w:rsidR="00A8138F" w:rsidRDefault="00A8138F" w:rsidP="00A8138F">
      <w:pPr>
        <w:pStyle w:val="TextoNormal"/>
      </w:pPr>
      <w:r>
        <w:t>Ilustrativas de esta evolución son, entre otras, las SSTC 203/2013, de 5 de diciembre, FJ 3; 50/2015, de 5 de marzo, FJ 3; 170/2016, de 6 de octubre, FJ 4; 152/2017, de 21 de diciembre, FJ 3; 42/2018, de 26 de abril, FJ 6; 134/2019, de 13 de noviembre, FJ 5; 148/2020, de 22 de octubre, FJ 5; 15/2024, de 30 de enero, FJ 7; 139/2024, de 6 de noviembre, FJ 5, y finalmente, 95/2025, de 9 de abril, FJ 4.</w:t>
      </w:r>
    </w:p>
    <w:p w14:paraId="557E1387" w14:textId="77777777" w:rsidR="00A8138F" w:rsidRDefault="00A8138F" w:rsidP="00A8138F">
      <w:pPr>
        <w:pStyle w:val="TextoNormal"/>
      </w:pPr>
    </w:p>
    <w:p w14:paraId="436219EA" w14:textId="77777777" w:rsidR="00A8138F" w:rsidRDefault="00A8138F" w:rsidP="00A8138F">
      <w:pPr>
        <w:pStyle w:val="TextoNormal"/>
      </w:pPr>
      <w:r>
        <w:t>En virtud de los pronunciamientos contenidos en estas sentencias, se han ido sistematizando los rasgos propios de cada uno de estos subtipos de leyes singulares:</w:t>
      </w:r>
    </w:p>
    <w:p w14:paraId="15F100CE" w14:textId="77777777" w:rsidR="00A8138F" w:rsidRDefault="00A8138F" w:rsidP="00A8138F">
      <w:pPr>
        <w:pStyle w:val="TextoNormal"/>
      </w:pPr>
    </w:p>
    <w:p w14:paraId="524CB1F0" w14:textId="77777777" w:rsidR="00A8138F" w:rsidRDefault="00A8138F" w:rsidP="00A8138F">
      <w:pPr>
        <w:pStyle w:val="TextoNormal"/>
      </w:pPr>
      <w:r>
        <w:t>a) Las leyes autoaplicativas son aquellas que “contienen una actividad, típicamente ejecutiva, de aplicación de la norma al caso concreto” (STC 203/2013, FJ 3), no teniendo tal consideración aquellas que son autosuficientes y no requieran de posteriores actos de aplicación (STC 42/2018, FJ 6), sin que sea suficiente que la “norma pueda aplicarse directamente sin precisar desarrollo reglamentario ni actos intermedios de aplicación; [sino que] es preciso, además, que a través de la ley se realice una actividad ‘materialmente administrativa’ (STC 129/2013, FJ 4) o ‘típicamente ejecutiva, de aplicación de la norma al caso concreto’ (SSTC 50/2015, FJ 3; 231/2015, FJ 3, y 134/2019, FJ 5)” (STC 148/2020, FJ 5).</w:t>
      </w:r>
    </w:p>
    <w:p w14:paraId="07D33749" w14:textId="77777777" w:rsidR="00A8138F" w:rsidRDefault="00A8138F" w:rsidP="00A8138F">
      <w:pPr>
        <w:pStyle w:val="TextoNormal"/>
      </w:pPr>
    </w:p>
    <w:p w14:paraId="53100821" w14:textId="77777777" w:rsidR="00A8138F" w:rsidRDefault="00A8138F" w:rsidP="00A8138F">
      <w:pPr>
        <w:pStyle w:val="TextoNormal"/>
      </w:pPr>
      <w:r>
        <w:t>Ciertamente claro es el último de nuestros pronunciamientos sobre la materia —la STC 95/2025, FJ 4— que sintetiza los anteriores y declara que dentro de la tipología de leyes autoaplicativas “se engloban aquellas leyes que contienen una actividad puramente ejecutiva, de aplicación de una norma a un caso concreto, a través de la cual el legislador desarrolla una actividad materialmente propia de la administración, desplegando unos efecto</w:t>
      </w:r>
      <w:r w:rsidRPr="00A8138F">
        <w:rPr>
          <w:i/>
        </w:rPr>
        <w:t>s ope leg</w:t>
      </w:r>
      <w:r>
        <w:t>is o por ministerio de la ley, sin necesidad de que se dicten actos administrativos de aplicación de la norma”.</w:t>
      </w:r>
    </w:p>
    <w:p w14:paraId="1AA5594B" w14:textId="77777777" w:rsidR="00A8138F" w:rsidRDefault="00A8138F" w:rsidP="00A8138F">
      <w:pPr>
        <w:pStyle w:val="TextoNormal"/>
      </w:pPr>
    </w:p>
    <w:p w14:paraId="45430317" w14:textId="77777777" w:rsidR="00A8138F" w:rsidRDefault="00A8138F" w:rsidP="00A8138F">
      <w:pPr>
        <w:pStyle w:val="TextoNormal"/>
      </w:pPr>
      <w:r>
        <w:t>b) Las leyes de destinatario único son aquellas que son singulares en atención a los destinatarios a los que van dirigidas (STC 203/2013, FJ 3), no teniendo tal consideración aquellas en que resulte notorio que “la identidad de los destinatarios de la disposición cuestionada no ha[ya] sido tenida en cuenta como factor determinante del contenido de su regulación ni constituy[a] en sí un dato obvio o que se aprecie con su simple lectura” (STC 42/2018, FJ 6, y en análogo sentido, STC 148/2020, FJ 5).</w:t>
      </w:r>
    </w:p>
    <w:p w14:paraId="7236512E" w14:textId="77777777" w:rsidR="00A8138F" w:rsidRDefault="00A8138F" w:rsidP="00A8138F">
      <w:pPr>
        <w:pStyle w:val="TextoNormal"/>
      </w:pPr>
    </w:p>
    <w:p w14:paraId="6B318C2D" w14:textId="77777777" w:rsidR="00A8138F" w:rsidRDefault="00A8138F" w:rsidP="00A8138F">
      <w:pPr>
        <w:pStyle w:val="TextoNormal"/>
      </w:pPr>
      <w:r>
        <w:t>c) Finalmente, las leyes dictadas en atención a un supuesto de hecho concreto o singular nacen como subtipo de ley singular en la STC 203/2013, FJ 3, aunque asumiendo la definición primigenia que la STC 166/1986, FJ 10, atribuyó a las leyes singulares como género de leyes, esto es, “[a]quellas dictadas en atención a un supuesto de hecho concreto y singular, que agotan su contenido y eficacia en la adopción y ejecución de la medida tomada por el legislador ante ese supuesto de hecho, aislado en la ley singular y no comunicable con ningún otro”, al afirmar que “una ley que no fuera de destinatario único, ni autoplicativa, adolece de tal naturaleza si ha sido dictada en atención a un supuesto de hecho concreto, esto es, a una situación singular o excepcional” que, conforme a la STC 42/2018, FJ 6, es la que justificaría la utilización de la ley.</w:t>
      </w:r>
    </w:p>
    <w:p w14:paraId="0F3E2225" w14:textId="77777777" w:rsidR="00A8138F" w:rsidRDefault="00A8138F" w:rsidP="00A8138F">
      <w:pPr>
        <w:pStyle w:val="TextoNormal"/>
      </w:pPr>
    </w:p>
    <w:p w14:paraId="78278D31" w14:textId="77777777" w:rsidR="00A8138F" w:rsidRDefault="00A8138F" w:rsidP="00A8138F">
      <w:pPr>
        <w:pStyle w:val="TextoNormal"/>
      </w:pPr>
      <w:r>
        <w:t>Recientemente, el Tribunal ha declarado en la ya mencionada STC 95/2025, FJ 4, que no tendrán la consideración de leyes singulares de supuesto de hecho concreto o singular aquellas cuya “regulación no se agota en la aplicación de una medida concreta a un supuesto de hecho concreto, sino que tiene un contenido abstracto y con vocación para ser aplicado en todo tipo de supuestos y de relaciones jurídicas”.</w:t>
      </w:r>
    </w:p>
    <w:p w14:paraId="2FA85327" w14:textId="77777777" w:rsidR="00A8138F" w:rsidRDefault="00A8138F" w:rsidP="00A8138F">
      <w:pPr>
        <w:pStyle w:val="TextoNormal"/>
      </w:pPr>
    </w:p>
    <w:p w14:paraId="6DC2E85A" w14:textId="77777777" w:rsidR="00A8138F" w:rsidRDefault="00A8138F" w:rsidP="00A8138F">
      <w:pPr>
        <w:pStyle w:val="TextoNormal"/>
      </w:pPr>
      <w:r>
        <w:t>En definitiva, resulta que, en atención a estos pronunciamientos, no puede sostenerse, como afirma la sentencia, que la doctrina constitucional sobre leyes singulares se limita a abordar el problema de la actuación legislativa en materia ejecutiva o de administración.</w:t>
      </w:r>
    </w:p>
    <w:p w14:paraId="0C220D57" w14:textId="77777777" w:rsidR="00A8138F" w:rsidRDefault="00A8138F" w:rsidP="00A8138F">
      <w:pPr>
        <w:pStyle w:val="TextoNormal"/>
      </w:pPr>
    </w:p>
    <w:p w14:paraId="448F94E8" w14:textId="77777777" w:rsidR="00A8138F" w:rsidRDefault="00A8138F" w:rsidP="00A8138F">
      <w:pPr>
        <w:pStyle w:val="TextoNormal"/>
      </w:pPr>
      <w:r>
        <w:t>Sin embargo, más que sus diferencias, lo esencial es el elemento común y nota distintiva de todas las leyes singulares, cual es —como evidencia su terminología— la ausencia de generalidad, de lo que se deriva su anormalidad como supuesto excepcional de ejercicio de la potestad legislativa y, consecuentemente, su sometimiento a unos límites y a un control caracterizados por su rigurosidad, como nuestra doctrina se ha encargado de enfatizar.</w:t>
      </w:r>
    </w:p>
    <w:p w14:paraId="4B784BF6" w14:textId="77777777" w:rsidR="00A8138F" w:rsidRDefault="00A8138F" w:rsidP="00A8138F">
      <w:pPr>
        <w:pStyle w:val="TextoNormal"/>
      </w:pPr>
    </w:p>
    <w:p w14:paraId="508FECFE" w14:textId="77777777" w:rsidR="00A8138F" w:rsidRDefault="00A8138F" w:rsidP="00A8138F">
      <w:pPr>
        <w:pStyle w:val="TextoNormal"/>
      </w:pPr>
      <w:r>
        <w:t>Ello explica que la STC 166/1986, FJ 10, que inicia la doctrina que analizamos, acto seguido de ofrecer la definición de ley singular, declarase que “[l]a resistencia conceptual que, en principio, suscitó esta clase de leyes se encuentra actualmente superada por la moderna doctrina científica, según la cual, el dogma de la generalidad de la ley no es obstáculo insalvable que impida al legislador dictar, con valor de ley, preceptos específicos para supuestos únicos o sujetos concretos”, para continuar afirmando que, por ello, no son totalmente equiparables a las leyes generales “en el sentido de que constituyan ejercicio normal de la potestad legislativa, sino que se configuran como ejercicio excepcional de esta potestad, subordinada a rigurosos límites […] en el marco de nuestro Derecho constitucional”.</w:t>
      </w:r>
    </w:p>
    <w:p w14:paraId="2052062D" w14:textId="77777777" w:rsidR="00A8138F" w:rsidRDefault="00A8138F" w:rsidP="00A8138F">
      <w:pPr>
        <w:pStyle w:val="TextoNormal"/>
      </w:pPr>
    </w:p>
    <w:p w14:paraId="3DE9BB86" w14:textId="77777777" w:rsidR="00A8138F" w:rsidRDefault="00A8138F" w:rsidP="00A8138F">
      <w:pPr>
        <w:pStyle w:val="TextoNormal"/>
      </w:pPr>
      <w:r>
        <w:t>Es pues, su excepcionalidad, por prescindir del elemento de la generalidad, lo que justifica su sometimiento a un control especialmente incisivo, cuyas propiedades esenciales han permanecido, como se verá, prácticamente sin menoscabo a lo largo de nuestra jurisprudencia.</w:t>
      </w:r>
    </w:p>
    <w:p w14:paraId="07F5C066" w14:textId="77777777" w:rsidR="00A8138F" w:rsidRDefault="00A8138F" w:rsidP="00A8138F">
      <w:pPr>
        <w:pStyle w:val="TextoNormal"/>
      </w:pPr>
    </w:p>
    <w:p w14:paraId="66C23140" w14:textId="77777777" w:rsidR="00A8138F" w:rsidRDefault="00A8138F" w:rsidP="00A8138F">
      <w:pPr>
        <w:pStyle w:val="TextoNormal"/>
      </w:pPr>
      <w:r>
        <w:t>La originaria STC 166/1986, FJ 11, situó como principal límite de las leyes singulares la eventual vulneración del principio de igualdad, declarando que este principio “no prohíbe al legislador contemplar la necesidad o la conveniencia de diferenciar situaciones distintas y darles un tratamiento diverso, porque la esencia de la igualdad consiste, no en proscribir diferenciaciones o singularizaciones, sino en evitar que estas carezcan de justificación objetivamente razonable, enjuiciada en el marco de la proporcionalidad de medios al fin discernible en la norma diferenciadora. Esto equivale a decir que la prohibición de desigualdad arbitraria o injustificada no se refiere al alcance subjetivo de la norma, sino a su contenido y, en su virtud, que la ley singular supuesto el más intenso de ley diferenciadora debe responder a una situación excepcional igualmente singular y que su canon de constitucionalidad es la razonabilidad y proporcionalidad de la misma al supuesto de hecho sobre el que se proyecta.</w:t>
      </w:r>
    </w:p>
    <w:p w14:paraId="678531C5" w14:textId="77777777" w:rsidR="00A8138F" w:rsidRDefault="00A8138F" w:rsidP="00A8138F">
      <w:pPr>
        <w:pStyle w:val="TextoNormal"/>
      </w:pPr>
    </w:p>
    <w:p w14:paraId="0F729572" w14:textId="77777777" w:rsidR="00A8138F" w:rsidRDefault="00A8138F" w:rsidP="00A8138F">
      <w:pPr>
        <w:pStyle w:val="TextoNormal"/>
      </w:pPr>
      <w:r>
        <w:t>Según ello, la ley singular solo será compatible con el principio de igualdad cuando la singularidad de la situación resulte inmediatamente de los hechos, de manera que el supuesto de la norma venga dado por ellos y solo quepa al legislador establecer las consecuencias jurídicas necesarias para alcanzar el fin que se propone. El control de constitucionalidad opera así en un doble plano, para excluir la creación arbitraria de supuestos de hecho, que solo resultarían singulares en razón de esa arbitrariedad y para asegurar la razonabilidad, en función del fin propuesto, de las medidas adoptadas”.</w:t>
      </w:r>
    </w:p>
    <w:p w14:paraId="45499A42" w14:textId="77777777" w:rsidR="00A8138F" w:rsidRDefault="00A8138F" w:rsidP="00A8138F">
      <w:pPr>
        <w:pStyle w:val="TextoNormal"/>
      </w:pPr>
    </w:p>
    <w:p w14:paraId="20570809" w14:textId="77777777" w:rsidR="00A8138F" w:rsidRDefault="00A8138F" w:rsidP="00A8138F">
      <w:pPr>
        <w:pStyle w:val="TextoNormal"/>
      </w:pPr>
      <w:r>
        <w:t>Sobre la base de esta sentencia, la STC 129/2013, de 4 de junio, formula con carácter expreso el canon específico de constitucionalidad para las leyes singulares, configurándolo en torno a los criterios de “razonabilidad, proporcionalidad y adecuación” (FJ 4), canon que fue confirmado poco tiempo después en la STC 203/2013, FJ 4, al declarar que “[e]ste es, en definitiva, el triple canon que habrá de superar cualquier ley singular para que pueda considerarse constitucional”, para proceder a continuación (FJ 5) a detallar el modo en que se implementa el canon anunciado: “[L]a previsión por una ley singular de una regulación material distinta para un determinado supuesto de hecho, no solo debe tener una justificación objetiva y razonable sino que, en atención al contenido de la norma, debe ser proporcionada a la situación excepcional que justifica la regulación singular. […]</w:t>
      </w:r>
    </w:p>
    <w:p w14:paraId="2293D1B3" w14:textId="77777777" w:rsidR="00A8138F" w:rsidRDefault="00A8138F" w:rsidP="00A8138F">
      <w:pPr>
        <w:pStyle w:val="TextoNormal"/>
      </w:pPr>
    </w:p>
    <w:p w14:paraId="44EE9965" w14:textId="77777777" w:rsidR="00A8138F" w:rsidRDefault="00A8138F" w:rsidP="00A8138F">
      <w:pPr>
        <w:pStyle w:val="TextoNormal"/>
      </w:pPr>
      <w:r>
        <w:t>En aplicación de [ello] habrá que analizar si la excepcionalidad del supuesto de hecho que regula la ley impugnada tiene una justificación objetiva pues, de no ser así, esta se habría creado arbitrariamente por el legislador, para a continuación resolver si la ley impugnada contiene una regulación razonable y proporcionada para resolver esta situación excepcional”.</w:t>
      </w:r>
    </w:p>
    <w:p w14:paraId="0B99C214" w14:textId="77777777" w:rsidR="00A8138F" w:rsidRDefault="00A8138F" w:rsidP="00A8138F">
      <w:pPr>
        <w:pStyle w:val="TextoNormal"/>
      </w:pPr>
    </w:p>
    <w:p w14:paraId="74FCE25C" w14:textId="77777777" w:rsidR="00A8138F" w:rsidRDefault="00A8138F" w:rsidP="00A8138F">
      <w:pPr>
        <w:pStyle w:val="TextoNormal"/>
      </w:pPr>
      <w:r>
        <w:t>Este mismo control es aplicado en las SSTC 50/2015, FJ 5, y 170/2016, FJ 4, desgranando esta última la metodología a emplear en lo que al canon de proporcionalidad se refiere, al declarar que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w:t>
      </w:r>
    </w:p>
    <w:p w14:paraId="15884C0E" w14:textId="77777777" w:rsidR="00A8138F" w:rsidRDefault="00A8138F" w:rsidP="00A8138F">
      <w:pPr>
        <w:pStyle w:val="TextoNormal"/>
      </w:pPr>
    </w:p>
    <w:p w14:paraId="69FB259C" w14:textId="77777777" w:rsidR="00A8138F" w:rsidRDefault="00A8138F" w:rsidP="00A8138F">
      <w:pPr>
        <w:pStyle w:val="TextoNormal"/>
      </w:pPr>
      <w:r>
        <w:t>Y en este mismo sentido, se han pronunciado, finalmente, las SSTC 152/2017, FJ 3, y 45/2018, de 26 de abril, FJ 4.</w:t>
      </w:r>
    </w:p>
    <w:p w14:paraId="1903D19A" w14:textId="77777777" w:rsidR="00A8138F" w:rsidRDefault="00A8138F" w:rsidP="00A8138F">
      <w:pPr>
        <w:pStyle w:val="TextoNormal"/>
      </w:pPr>
    </w:p>
    <w:p w14:paraId="2C8A928B" w14:textId="77777777" w:rsidR="00A8138F" w:rsidRDefault="00A8138F" w:rsidP="00A8138F">
      <w:pPr>
        <w:pStyle w:val="TextoNormal"/>
      </w:pPr>
      <w:r>
        <w:t>Por último, resta por determinar si a la Ley de amnistía le es aplicable la doctrina relativa a las leyes singulares y, en su caso, el control al que debe quedar sujeta.</w:t>
      </w:r>
    </w:p>
    <w:p w14:paraId="29399E81" w14:textId="77777777" w:rsidR="00A8138F" w:rsidRDefault="00A8138F" w:rsidP="00A8138F">
      <w:pPr>
        <w:pStyle w:val="TextoNormal"/>
      </w:pPr>
    </w:p>
    <w:p w14:paraId="5FDA3958" w14:textId="77777777" w:rsidR="00A8138F" w:rsidRDefault="00A8138F" w:rsidP="00A8138F">
      <w:pPr>
        <w:pStyle w:val="TextoNormal"/>
      </w:pPr>
      <w:r>
        <w:t>Una cuestión es si la Ley de amnistía puede categorizarse o no como ley singular, y otra es que haya de llegarse a la conclusión —como hace la sentencia— de que, de no serlo, no haya de aplicarse la rigurosidad que caracteriza a su control, pues, bajo mi criterio, la excepcionalidad de la Ley de amnistía —no por ser la primera ocasión en que las Cortes Generales han hecho uso de esta prerrogativa, sino por sus extraordinarios efectos— impone la implementación de un canon de, al menos, equivalente exigencia.</w:t>
      </w:r>
    </w:p>
    <w:p w14:paraId="3981F8EB" w14:textId="77777777" w:rsidR="00A8138F" w:rsidRDefault="00A8138F" w:rsidP="00A8138F">
      <w:pPr>
        <w:pStyle w:val="TextoNormal"/>
      </w:pPr>
    </w:p>
    <w:p w14:paraId="72EFF867" w14:textId="77777777" w:rsidR="00A8138F" w:rsidRDefault="00A8138F" w:rsidP="00A8138F">
      <w:pPr>
        <w:pStyle w:val="TextoNormal"/>
      </w:pPr>
      <w:r>
        <w:t>En mi opinión,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—recuérdese que así ha venido calificando este tribunal a la ley singular desde la STC 166/1986, FJ 11—. En este sentido, admitida hipotéticamente la amnistía como prerrogativa ejercitable por las Cortes Generales, y materializada en ley, se erigiría en el paradigma más extremo de trato normativo diferenciado si, como sostiene la sentencia en su fundamento jurídico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14:paraId="1A80B273" w14:textId="77777777" w:rsidR="00A8138F" w:rsidRDefault="00A8138F" w:rsidP="00A8138F">
      <w:pPr>
        <w:pStyle w:val="TextoNormal"/>
      </w:pPr>
    </w:p>
    <w:p w14:paraId="42E6DB03" w14:textId="77777777" w:rsidR="00A8138F" w:rsidRDefault="00A8138F" w:rsidP="00A8138F">
      <w:pPr>
        <w:pStyle w:val="TextoNormal"/>
      </w:pPr>
      <w:r>
        <w:t>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Su razón de ser y sus efectos están inequívocamente ligados a circunstancias contextuales singulares y específicas que hacen que la ley se agote en su aplicación a ese único contexto no reproducible ni trasladable.</w:t>
      </w:r>
    </w:p>
    <w:p w14:paraId="45ADFA94" w14:textId="77777777" w:rsidR="00A8138F" w:rsidRDefault="00A8138F" w:rsidP="00A8138F">
      <w:pPr>
        <w:pStyle w:val="TextoNormal"/>
      </w:pPr>
    </w:p>
    <w:p w14:paraId="798BCC5D" w14:textId="77777777" w:rsidR="00A8138F" w:rsidRDefault="00A8138F" w:rsidP="00A8138F">
      <w:pPr>
        <w:pStyle w:val="TextoNormal"/>
      </w:pPr>
      <w:r>
        <w:t>Sin embargo, la Ley de amnistía no se limita a regular un supuesto de hecho concreto y singular, sino que altera, en atención a este, el contenido normativo del ordenamiento con un efecto retroactivo que blinda ciertos comportamientos de la aplicación de la ley penal general. Es decir, no se limita a crear un régimen jurídic</w:t>
      </w:r>
      <w:r w:rsidRPr="00A8138F">
        <w:rPr>
          <w:i/>
        </w:rPr>
        <w:t>o ad h</w:t>
      </w:r>
      <w:r>
        <w:t>oc, sino que invalida con efectos retroactivos la operatividad de normas penales previas, introduciendo en ellas una excepción estructural a su aplicación.</w:t>
      </w:r>
    </w:p>
    <w:p w14:paraId="48932029" w14:textId="77777777" w:rsidR="00A8138F" w:rsidRDefault="00A8138F" w:rsidP="00A8138F">
      <w:pPr>
        <w:pStyle w:val="TextoNormal"/>
      </w:pPr>
    </w:p>
    <w:p w14:paraId="6AB78850" w14:textId="77777777" w:rsidR="00A8138F" w:rsidRDefault="00A8138F" w:rsidP="00A8138F">
      <w:pPr>
        <w:pStyle w:val="TextoNormal"/>
      </w:pPr>
      <w:r>
        <w:t>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FJ 4, y todas las posteriores, antes citadas, que lo han implementado), como “triple canon que habrá de superar […] para que pueda considerarse constitucional” (parafraseando la STC 203/2013, FJ 4), lo que efectuaré —al haber abdicado de ello la sentencia— en los apartados 8 y 9 del presente voto particular, dedicados al examen de las impugnaciones basadas en la posible vulneración de los principios de interdicción de la arbitrariedad (art. 9.3 CE) e igualdad (art. 14 CE).</w:t>
      </w:r>
    </w:p>
    <w:p w14:paraId="69465E5E" w14:textId="77777777" w:rsidR="00A8138F" w:rsidRDefault="00A8138F" w:rsidP="00A8138F">
      <w:pPr>
        <w:pStyle w:val="TextoNormal"/>
      </w:pPr>
    </w:p>
    <w:p w14:paraId="4882D4D9" w14:textId="77777777" w:rsidR="00A8138F" w:rsidRDefault="00A8138F" w:rsidP="00A8138F">
      <w:pPr>
        <w:pStyle w:val="TextoNormal"/>
      </w:pPr>
      <w:r>
        <w:t>En definitiva, la idea que quiero trasladar es que es lógico aplicar un control más intenso cuanto más intensa sea, a su vez, la excepcionalidad operada a través de la ley que constituye el objeto de enjuiciamiento.</w:t>
      </w:r>
    </w:p>
    <w:p w14:paraId="69815EC1" w14:textId="77777777" w:rsidR="00A8138F" w:rsidRDefault="00A8138F" w:rsidP="00A8138F">
      <w:pPr>
        <w:pStyle w:val="TextoNormal"/>
      </w:pPr>
    </w:p>
    <w:p w14:paraId="2C9C8760" w14:textId="77777777" w:rsidR="00A8138F" w:rsidRDefault="00A8138F" w:rsidP="00A8138F">
      <w:pPr>
        <w:pStyle w:val="TextoNormal"/>
      </w:pPr>
      <w:r>
        <w:t>7. La alegada inconstitucionalidad de la Ley de amnistía porque no responde a la idea de justicia</w:t>
      </w:r>
    </w:p>
    <w:p w14:paraId="4DBCD234" w14:textId="77777777" w:rsidR="00A8138F" w:rsidRDefault="00A8138F" w:rsidP="00A8138F">
      <w:pPr>
        <w:pStyle w:val="TextoNormal"/>
      </w:pPr>
    </w:p>
    <w:p w14:paraId="03709846" w14:textId="77777777" w:rsidR="00A8138F" w:rsidRDefault="00A8138F" w:rsidP="00A8138F">
      <w:pPr>
        <w:pStyle w:val="TextoNormal"/>
      </w:pPr>
      <w:r>
        <w:t>No comparto los argumentos en base a los cuales la sentencia rechaza la exigencia de que la amnistía responda a la idea de justicia.</w:t>
      </w:r>
    </w:p>
    <w:p w14:paraId="20B72E4F" w14:textId="77777777" w:rsidR="00A8138F" w:rsidRDefault="00A8138F" w:rsidP="00A8138F">
      <w:pPr>
        <w:pStyle w:val="TextoNormal"/>
      </w:pPr>
    </w:p>
    <w:p w14:paraId="21431378" w14:textId="77777777" w:rsidR="00A8138F" w:rsidRDefault="00A8138F" w:rsidP="00A8138F">
      <w:pPr>
        <w:pStyle w:val="TextoNormal"/>
      </w:pPr>
      <w:r>
        <w:t>Tras reconocer que las SSTC 147/1986 y 63/1983 se refieren a un “ideal de justicia” o a la “razón de justicia”, se indica que tales expresiones se efectuaron en relación con las amnistías otorgadas como consecuencia de la transición a un sistema democrático y que tenían por objeto rechazar un Derecho contrario a los principios del nuevo orden político y que “[n]o cabe, por tanto, deducir de tales afirmaciones que necesariamente la amnistía haya de responder al ideal de justicia al que las citadas resoluciones aluden”.</w:t>
      </w:r>
    </w:p>
    <w:p w14:paraId="53671C22" w14:textId="77777777" w:rsidR="00A8138F" w:rsidRDefault="00A8138F" w:rsidP="00A8138F">
      <w:pPr>
        <w:pStyle w:val="TextoNormal"/>
      </w:pPr>
    </w:p>
    <w:p w14:paraId="7A546445" w14:textId="77777777" w:rsidR="00A8138F" w:rsidRDefault="00A8138F" w:rsidP="00A8138F">
      <w:pPr>
        <w:pStyle w:val="TextoNormal"/>
      </w:pPr>
      <w:r>
        <w:t>Como he señalado precedentemente, aunque efectivamente la sentencia reconoce que no hay doctrina constitucional sobre la amnistía y que las mencionadas resoluciones se refirieron a la amnistía transicional, como nuevamente se reitera en este apartado, la propia resolución de la que discrepo selecciona determinadas consideraciones de dichas resoluciones en cuanto las considera favorables al rechazo de los argumentos de los recurrentes, y excluye otras que llevarían a un resultado distinto, en concreto, las relativas al ideal de justicia o a la razón de justicia.</w:t>
      </w:r>
    </w:p>
    <w:p w14:paraId="5C92CA44" w14:textId="77777777" w:rsidR="00A8138F" w:rsidRDefault="00A8138F" w:rsidP="00A8138F">
      <w:pPr>
        <w:pStyle w:val="TextoNormal"/>
      </w:pPr>
    </w:p>
    <w:p w14:paraId="6D6F4581" w14:textId="77777777" w:rsidR="00A8138F" w:rsidRDefault="00A8138F" w:rsidP="00A8138F">
      <w:pPr>
        <w:pStyle w:val="TextoNormal"/>
      </w:pPr>
      <w:r>
        <w:t>No encuentro justificación para tan sesgada selección de argumentos y, menos aún, para que los rechazados se refieran precisamente a la justicia, uno de los valores superiores de nuestro ordenamiento jurídico, consagrado en el artículo 1.1 CE.</w:t>
      </w:r>
    </w:p>
    <w:p w14:paraId="4FFF68D1" w14:textId="77777777" w:rsidR="00A8138F" w:rsidRDefault="00A8138F" w:rsidP="00A8138F">
      <w:pPr>
        <w:pStyle w:val="TextoNormal"/>
      </w:pPr>
    </w:p>
    <w:p w14:paraId="1C760BDF" w14:textId="77777777" w:rsidR="00A8138F" w:rsidRDefault="00A8138F" w:rsidP="00A8138F">
      <w:pPr>
        <w:pStyle w:val="TextoNormal"/>
      </w:pPr>
      <w:r>
        <w:t>Después de reiterar que las leyes de amnistía se adoptan en ejercicio de la libertad de configuración del legislador, la resolución admite que se requiere la concurrencia de circunstancias excepcionales que justifiquen la exención de responsabilidad de carácter punitivo que comportan y que tal exigencia se impone por la lógica de la institución misma, cuya razón de ser reside en atender coyunturas extraordinarias que el ordenamiento jurídico no puede resolver con los instrumentos ordinarios.</w:t>
      </w:r>
    </w:p>
    <w:p w14:paraId="09893A69" w14:textId="77777777" w:rsidR="00A8138F" w:rsidRDefault="00A8138F" w:rsidP="00A8138F">
      <w:pPr>
        <w:pStyle w:val="TextoNormal"/>
      </w:pPr>
    </w:p>
    <w:p w14:paraId="4860BB72" w14:textId="77777777" w:rsidR="00A8138F" w:rsidRDefault="00A8138F" w:rsidP="00A8138F">
      <w:pPr>
        <w:pStyle w:val="TextoNormal"/>
      </w:pPr>
      <w:r>
        <w:t>Con el fin de excluir la exigencia del ideal de justicia, en el fundamento jurídico 6, apartados 2 y 3, se construyen una serie de argumentos tendentes a sostener la concurrencia de circunstancias excepcionales, a las que me referiré con detalle en el apartado siguiente, dado que en el propio fundamento 6.2 se reconoce que “[e]sta excepcionalidad […] es la circunstancia que permite descartar la arbitrariedad de una medida que conlleva la quiebra selectiva del principio de igualdad ante la ley, que inevitablemente se proyecta sobre quienes se ven beneficiados por la norma”.</w:t>
      </w:r>
    </w:p>
    <w:p w14:paraId="2BD9599C" w14:textId="77777777" w:rsidR="00A8138F" w:rsidRDefault="00A8138F" w:rsidP="00A8138F">
      <w:pPr>
        <w:pStyle w:val="TextoNormal"/>
      </w:pPr>
    </w:p>
    <w:p w14:paraId="1EFCF1BB" w14:textId="77777777" w:rsidR="00A8138F" w:rsidRDefault="00A8138F" w:rsidP="00A8138F">
      <w:pPr>
        <w:pStyle w:val="TextoNormal"/>
      </w:pPr>
      <w:r>
        <w:t>Al amparo de una pretendida excepcionalidad, que realmente no fue tal, se pretende orillar el ideal de justicia, que debería ser una exigencia indeclinable para sustentar la Ley de amnistía, en el hipotético supuesto de que la amnistía cupiese en la Constitución, lo que, como he dicho, no comparto.</w:t>
      </w:r>
    </w:p>
    <w:p w14:paraId="69E62DA5" w14:textId="77777777" w:rsidR="00A8138F" w:rsidRDefault="00A8138F" w:rsidP="00A8138F">
      <w:pPr>
        <w:pStyle w:val="TextoNormal"/>
      </w:pPr>
    </w:p>
    <w:p w14:paraId="260E2FA4" w14:textId="77777777" w:rsidR="00A8138F" w:rsidRDefault="00A8138F" w:rsidP="00A8138F">
      <w:pPr>
        <w:pStyle w:val="TextoNormal"/>
      </w:pPr>
      <w:r>
        <w:t>La artificiosa construcción que se introduce en el fundamento jurídico 6.2 de la sentencia, que luego detallaré, no consigue ocultar que la justicia jamás podría estar presente en una norma que, como se reconoce en la propia resolución,“conlleva la quiebra selectiva del principio de igualdad ante la ley”, a lo que, añado, y también la frontal vulneración de otros múltiples principios constitucionales, como los de separación de poderes y reserva de jurisdicción, interdicción de la arbitrariedad, seguridad jurídica y tutela judicial efectiva, por todo lo cual debió ser declarara su inconstitucionalidad.</w:t>
      </w:r>
    </w:p>
    <w:p w14:paraId="70BF1A48" w14:textId="77777777" w:rsidR="00A8138F" w:rsidRDefault="00A8138F" w:rsidP="00A8138F">
      <w:pPr>
        <w:pStyle w:val="TextoNormal"/>
      </w:pPr>
    </w:p>
    <w:p w14:paraId="3F629CF8" w14:textId="77777777" w:rsidR="00A8138F" w:rsidRDefault="00A8138F" w:rsidP="00A8138F">
      <w:pPr>
        <w:pStyle w:val="TextoNormal"/>
      </w:pPr>
      <w:r>
        <w:t xml:space="preserve">Al margen de que se elabora un relato que parte de un examen fragmentario e interesado de la situación existente cuando se aprobó a ley, considero que, en un sistema democrático como el español, el obligado ejercicio del </w:t>
      </w:r>
      <w:r w:rsidRPr="00A8138F">
        <w:rPr>
          <w:i/>
        </w:rPr>
        <w:t>ius puniendi</w:t>
      </w:r>
      <w:r>
        <w:t xml:space="preserve"> del Estado no puede exceptuarse con motivo de unos pretendidos fines de “reconciliación” que, inevitablemente, han de asociarse al discurso político secesionista del “conflicto político”, que la sentencia asume plenamente y que la Ley de amnistía pretende solucionar favoreciendo a los actores de graves ataques a la Nación y al orden constitucional. Y en cuanto al “diálogo”, una vez más la sentencia da la espalda a la realidad, que se manifiesta en la reiteradamente declarada voluntad de reincidir en el delito.</w:t>
      </w:r>
    </w:p>
    <w:p w14:paraId="5CFC05CA" w14:textId="77777777" w:rsidR="00A8138F" w:rsidRDefault="00A8138F" w:rsidP="00A8138F">
      <w:pPr>
        <w:pStyle w:val="TextoNormal"/>
      </w:pPr>
    </w:p>
    <w:p w14:paraId="5A0B6B0E" w14:textId="77777777" w:rsidR="00A8138F" w:rsidRDefault="00A8138F" w:rsidP="00A8138F">
      <w:pPr>
        <w:pStyle w:val="TextoNormal"/>
      </w:pPr>
      <w:r>
        <w:t>En otros términos, en ningún caso puede prescindirse del valor justicia para excepcionar la quiebra del principio de igualdad que causa la amnistía. En palabras del Tribunal Constitucional Federal alemán (auto de la Sala Primera de 15 de diciembre de 1959 —1 BvL 10/55—) en el caso de una ley de amnistía existe una violación del principio general de igualdad, cuando las reglas especiales establecidas por el legislador para las circunstancias individuales no se orientan abiertamente por criterios de justicia, es decir, como cuando tampoco se puede encontrar en ellas alguna consideración razonable, derivada de la naturaleza de las cosas o que de algún otro modo resulte evidente.</w:t>
      </w:r>
    </w:p>
    <w:p w14:paraId="1DAE40B4" w14:textId="77777777" w:rsidR="00A8138F" w:rsidRDefault="00A8138F" w:rsidP="00A8138F">
      <w:pPr>
        <w:pStyle w:val="TextoNormal"/>
      </w:pPr>
    </w:p>
    <w:p w14:paraId="2E0BFA63" w14:textId="77777777" w:rsidR="00A8138F" w:rsidRDefault="00A8138F" w:rsidP="00A8138F">
      <w:pPr>
        <w:pStyle w:val="TextoNormal"/>
      </w:pPr>
      <w:r>
        <w:t>Es un principio elemental de orden moral, jurídico y político, que una finalidad lícita no puede alcanzarse por medios ilícitos, que fueron, como veremos a continuación, los empleados durante la elaboración de esta ley.</w:t>
      </w:r>
    </w:p>
    <w:p w14:paraId="158F491D" w14:textId="77777777" w:rsidR="00A8138F" w:rsidRDefault="00A8138F" w:rsidP="00A8138F">
      <w:pPr>
        <w:pStyle w:val="TextoNormal"/>
      </w:pPr>
    </w:p>
    <w:p w14:paraId="5075C46C" w14:textId="77777777" w:rsidR="00A8138F" w:rsidRDefault="00A8138F" w:rsidP="00A8138F">
      <w:pPr>
        <w:pStyle w:val="TextoNormal"/>
      </w:pPr>
      <w:r>
        <w:t>Por tal motivo, me resulta tan incomprensible como rechazable que la sentencia prescinda tanto del valor “justicia” como del canon constitucional establecido, como se ha hecho al descartar con afirmaciones apodícticas las diversas quejas planteadas.</w:t>
      </w:r>
    </w:p>
    <w:p w14:paraId="20479A9E" w14:textId="77777777" w:rsidR="00A8138F" w:rsidRDefault="00A8138F" w:rsidP="00A8138F">
      <w:pPr>
        <w:pStyle w:val="TextoNormal"/>
      </w:pPr>
    </w:p>
    <w:p w14:paraId="3BACC47C" w14:textId="77777777" w:rsidR="00A8138F" w:rsidRDefault="00A8138F" w:rsidP="00A8138F">
      <w:pPr>
        <w:pStyle w:val="TextoNormal"/>
      </w:pPr>
      <w:r>
        <w:t>Ello me lleva a la conclusión de que, si la justicia no ha presidido la aprobación de la Ley de amnistía, a la vista de la realidad incuestionable de los hechos, la misma responde a la satisfacción de otros intereses, personales o de partido, que no justifican su excepcionalidad y que inciden de lleno en la arbitrariedad y en la manifiesta vulneración de diversos derechos fundamentales, como he apuntado y posteriormente reiteraré.</w:t>
      </w:r>
    </w:p>
    <w:p w14:paraId="41732538" w14:textId="77777777" w:rsidR="00A8138F" w:rsidRDefault="00A8138F" w:rsidP="00A8138F">
      <w:pPr>
        <w:pStyle w:val="TextoNormal"/>
      </w:pPr>
    </w:p>
    <w:p w14:paraId="16D890DB" w14:textId="77777777" w:rsidR="00A8138F" w:rsidRDefault="00A8138F" w:rsidP="00A8138F">
      <w:pPr>
        <w:pStyle w:val="TextoNormal"/>
      </w:pPr>
      <w:r>
        <w:t>8. La alegada inconstitucionalidad de la Ley de amnistía por constituir una arbitrariedad (art. 9.3 CE)</w:t>
      </w:r>
    </w:p>
    <w:p w14:paraId="0182EB5B" w14:textId="77777777" w:rsidR="00A8138F" w:rsidRDefault="00A8138F" w:rsidP="00A8138F">
      <w:pPr>
        <w:pStyle w:val="TextoNormal"/>
      </w:pPr>
    </w:p>
    <w:p w14:paraId="14E2CB44" w14:textId="77777777" w:rsidR="00A8138F" w:rsidRDefault="00A8138F" w:rsidP="00A8138F">
      <w:pPr>
        <w:pStyle w:val="TextoNormal"/>
      </w:pPr>
      <w:r>
        <w:t>a) Con carácter previo a aplicar a la Ley de amnistía el triple canon de razonabilidad, proporcionalidad y adecuación con ocasión del enjuiciamiento de los motivos atinentes a la vulneración de los principios de interdicción de la arbitrariedad (art. 9.3 CE) e igualdad (art. 14 CE), resulta preciso también, por estar ligado a ello y facilitar la comprensión del enjuiciamiento que abordaré, poner de manifiesto la enorme incoherencia en que incurre la sentencia en el fundamento jurídico 6, apartados 2 y 3, relativos, respectivamente, a la doctrina constitucional y al enjuiciamiento del motivo atinente a la inconstitucionalidad de la Ley de amnistía por no responder a un ideal de justicia, tratados precedentemente.</w:t>
      </w:r>
    </w:p>
    <w:p w14:paraId="2731FF16" w14:textId="77777777" w:rsidR="00A8138F" w:rsidRDefault="00A8138F" w:rsidP="00A8138F">
      <w:pPr>
        <w:pStyle w:val="TextoNormal"/>
      </w:pPr>
    </w:p>
    <w:p w14:paraId="0B7A5F1A" w14:textId="77777777" w:rsidR="00A8138F" w:rsidRDefault="00A8138F" w:rsidP="00A8138F">
      <w:pPr>
        <w:pStyle w:val="TextoNormal"/>
      </w:pPr>
      <w:r>
        <w:t>Ya hemos visto que en el fundamento jurídico 4.4 de la sentencia se sostiene que el Parlamento, a través de la amnistía establece “por motivos extrajurídicos, que los actos amnistiados, se hayan juzgado o no, carecerán, en todo o en parte, de las consecuencias punitivas que, con carácter general, se derivan de ellos”. De ello, quiero poner el énfasis en que la sentencia argumenta que son motivos extrajurídicos los que dan lugar a efectos puramente jurídicos.</w:t>
      </w:r>
    </w:p>
    <w:p w14:paraId="2110ABA5" w14:textId="77777777" w:rsidR="00A8138F" w:rsidRDefault="00A8138F" w:rsidP="00A8138F">
      <w:pPr>
        <w:pStyle w:val="TextoNormal"/>
      </w:pPr>
    </w:p>
    <w:p w14:paraId="1BD2DE36" w14:textId="77777777" w:rsidR="00A8138F" w:rsidRDefault="00A8138F" w:rsidP="00A8138F">
      <w:pPr>
        <w:pStyle w:val="TextoNormal"/>
      </w:pPr>
      <w:r>
        <w:t>Pues bien, en el fundamento jurídico 6.2 se destaca el carácter excepcional de la amnistía —“la amnistía, por su propia naturaleza, ha de ser excepcional”—. En desarrollo de esta idea se dice que: “[p]or esta razón, esta institución ha de tener como presupuesto una situación también excepcional” y que “[p]or ello, las leyes de amnistía, si bien se adoptan en el ejercicio de la libertad de configuración del legislador, requieren la concurrencia de circunstancias excepcionales que justifiquen la exención de responsabilidad de carácter punitivo que comportan. Tal exigencia se impone por la lógica de la institución misma, cuya razón de ser reside en atender coyunturas extraordinarias que el ordenamiento jurídico no puede resolver con los instrumentos ordinarios”, para culminar señalando que “[l]a situación excepcional que ha de concurrir para que pueda dictarse una ley de amnistía constituye, pues, su presupuesto”.</w:t>
      </w:r>
    </w:p>
    <w:p w14:paraId="301F786D" w14:textId="77777777" w:rsidR="00A8138F" w:rsidRDefault="00A8138F" w:rsidP="00A8138F">
      <w:pPr>
        <w:pStyle w:val="TextoNormal"/>
      </w:pPr>
    </w:p>
    <w:p w14:paraId="153D9058" w14:textId="77777777" w:rsidR="00A8138F" w:rsidRDefault="00A8138F" w:rsidP="00A8138F">
      <w:pPr>
        <w:pStyle w:val="TextoNormal"/>
      </w:pPr>
      <w:r>
        <w:t>Puestos en común los pronunciamientos contenidos en los fundamentos jurídicos 4.4 y 6.2, se deriva que el carácter excepcional de la amnistía exige una situación igualmente excepcional que constituye su presupuesto de validez y materialización de los motivos extrajurídicos en que se basa el Parlamento para su adopción. Solo, por tanto, concurriendo esa situación excepcional, puede una ley de amnistía desplegar sus efectos jurídicos de exención de responsabilidad punitiva.</w:t>
      </w:r>
    </w:p>
    <w:p w14:paraId="5B7E925A" w14:textId="77777777" w:rsidR="00A8138F" w:rsidRDefault="00A8138F" w:rsidP="00A8138F">
      <w:pPr>
        <w:pStyle w:val="TextoNormal"/>
      </w:pPr>
    </w:p>
    <w:p w14:paraId="16F7FDD6" w14:textId="77777777" w:rsidR="00A8138F" w:rsidRDefault="00A8138F" w:rsidP="00A8138F">
      <w:pPr>
        <w:pStyle w:val="TextoNormal"/>
      </w:pPr>
      <w:r>
        <w:t>Es de entender que, con base en lo anterior, corresponda a este tribunal el examen de concurrencia del presupuesto de validez de la amnistía, esto es, la situación excepcional que la justifica, y que se identifica con los motivos extrajurídicos en los que se basa el Parlamento para acordarla.</w:t>
      </w:r>
    </w:p>
    <w:p w14:paraId="03D88C35" w14:textId="77777777" w:rsidR="00A8138F" w:rsidRDefault="00A8138F" w:rsidP="00A8138F">
      <w:pPr>
        <w:pStyle w:val="TextoNormal"/>
      </w:pPr>
    </w:p>
    <w:p w14:paraId="69BFA9D5" w14:textId="77777777" w:rsidR="00A8138F" w:rsidRDefault="00A8138F" w:rsidP="00A8138F">
      <w:pPr>
        <w:pStyle w:val="TextoNormal"/>
      </w:pPr>
      <w:r>
        <w:t>Sin embargo, lejos de llegar a esa conclusión, la sentencia finaliza el fundamento jurídico 6.2 advirtiendo que solo al legislador corresponde “apreciar las circunstancias que justifican el otorgamiento de la amnistía sin que el Tribunal Constitucional pueda suplantarle en esta tarea”, correspondiéndole a este tribunal efectuar un control meramente externo y siendo “los motivos o intenciones de quienes promovieron la aprobación de la ley orgánica […] una cuestión ajena a lo jurídico”, es decir, una cuestión extrajurídica.</w:t>
      </w:r>
    </w:p>
    <w:p w14:paraId="3EF6EB15" w14:textId="77777777" w:rsidR="00A8138F" w:rsidRDefault="00A8138F" w:rsidP="00A8138F">
      <w:pPr>
        <w:pStyle w:val="TextoNormal"/>
      </w:pPr>
    </w:p>
    <w:p w14:paraId="6195E2B6" w14:textId="77777777" w:rsidR="00A8138F" w:rsidRDefault="00A8138F" w:rsidP="00A8138F">
      <w:pPr>
        <w:pStyle w:val="TextoNormal"/>
      </w:pPr>
      <w:r>
        <w:t>Este modo de razonar, amén de venir sustentado en una concepción equivocada de lo que constituye un control externo, supone una incoherencia difícilmente comprensible.</w:t>
      </w:r>
    </w:p>
    <w:p w14:paraId="5345EDE6" w14:textId="77777777" w:rsidR="00A8138F" w:rsidRDefault="00A8138F" w:rsidP="00A8138F">
      <w:pPr>
        <w:pStyle w:val="TextoNormal"/>
      </w:pPr>
    </w:p>
    <w:p w14:paraId="207E6B69" w14:textId="77777777" w:rsidR="00A8138F" w:rsidRDefault="00A8138F" w:rsidP="00A8138F">
      <w:pPr>
        <w:pStyle w:val="TextoNormal"/>
      </w:pPr>
      <w:r>
        <w:t>Si el motivo extrajurídico de una amnistía es su presupuesto necesario de validez debe poder ser objeto de control jurídico. De lo contrario, si las motivaciones o intenciones que fundaron la aprobación de la norma constituyen una cuestión ajena a lo jurídico sobre las que el Tribunal no puede entrar, entonces no pueden operar como presupuesto jurídico de validez de la norma. En definitiva, si es una condición es esencial, debe poder verificarse jurídicamente.</w:t>
      </w:r>
    </w:p>
    <w:p w14:paraId="5B02F21F" w14:textId="77777777" w:rsidR="00A8138F" w:rsidRDefault="00A8138F" w:rsidP="00A8138F">
      <w:pPr>
        <w:pStyle w:val="TextoNormal"/>
      </w:pPr>
    </w:p>
    <w:p w14:paraId="05ECCFB3" w14:textId="77777777" w:rsidR="00A8138F" w:rsidRDefault="00A8138F" w:rsidP="00A8138F">
      <w:pPr>
        <w:pStyle w:val="TextoNormal"/>
      </w:pPr>
      <w:r>
        <w:t>El que al Tribunal corresponda efectuar un control externo del presupuesto fáctico que justifica el otorgamiento de una amnistía significa que su intervención no puede dirigirse a enjuiciar la norma en términos de oportunidad o acierto político de la medida adoptada por el legislador [STC 19/2013, de 31 de enero, FJ 2 e) y f)] o de su corrección técnica (SSTC 341/1993, de 18 de noviembre, FJ 2, y 142/2024, de 20 de noviembre, FJ 4), debiéndose, en cambio, limitar “a determinar si se han trasgredido los márgenes dentro de los cuales los órganos del Estado [en este caso, las Cortes Generales] pueden actuar con libertad” (SSTC 40/1998, de 19 de febrero, FJ 17; 65/1998, de 18 de marzo, FJ 10; 168/2009, de 9 de julio, FJ 3; 245/2012, de 18 de diciembre, FJ 4, y 63/2023, de 24 de mayo, FJ 3), y ya hemos visto como los principios de interdicción de la arbitrariedad (art. 9.3 CE) y de igualdad (art. 14 CE) se erigen en límites de toda ley que, como la Ley de amnistía, se dicte “en atención a un supuesto de hecho concreto y singular, que agota su contenido y eficacia en la adopción y ejecución de la medida tomada por el legislador ante ese supuesto de hecho, aislado en la ley singular y no comunicable con ningún otro” (entre otras, SSTC 166/1986, FJ 10, y 203/2013, FJ 3); correspondiendo, precisamente en su virtud, a este tribunal verificar “si la excepcionalidad del supuesto de hecho contemplado tiene una justificación objetiva —en caso contrario la ley sería arbitraria— y si es así, si la utilización de la ley es una medida proporcionada a la excepcionalidad que ha justificado su aprobación” (SSTC 203/2013, FJ 5; 170/2016, FJ 4; 152/2017, FJ 3, y 45/2018, FJ 4).</w:t>
      </w:r>
    </w:p>
    <w:p w14:paraId="44A28A35" w14:textId="77777777" w:rsidR="00A8138F" w:rsidRDefault="00A8138F" w:rsidP="00A8138F">
      <w:pPr>
        <w:pStyle w:val="TextoNormal"/>
      </w:pPr>
    </w:p>
    <w:p w14:paraId="213F72E5" w14:textId="77777777" w:rsidR="00A8138F" w:rsidRDefault="00A8138F" w:rsidP="00A8138F">
      <w:pPr>
        <w:pStyle w:val="TextoNormal"/>
      </w:pPr>
      <w:r>
        <w:t>Es evidente, y en contra, por tanto, de lo que se sostiene en la sentencia, que este tribunal puede —y debe— verificar si el supuesto de hecho, la situación excepcional, en que se basa la Ley de amnistía tiene o no una justificación, una motivación objetiva, pues de lo contrario infringiría el art. 9.3 CE, y seguidamente si la utilización de la Ley de amnistía es una medida proporcionada a la excepcionalidad que ha justificado su aprobación pues, de no ser así, sería, en este caso, contraria al art. 14 CE.</w:t>
      </w:r>
    </w:p>
    <w:p w14:paraId="79FAB7AE" w14:textId="77777777" w:rsidR="00A8138F" w:rsidRDefault="00A8138F" w:rsidP="00A8138F">
      <w:pPr>
        <w:pStyle w:val="TextoNormal"/>
      </w:pPr>
    </w:p>
    <w:p w14:paraId="63E2509B" w14:textId="77777777" w:rsidR="00A8138F" w:rsidRDefault="00A8138F" w:rsidP="00A8138F">
      <w:pPr>
        <w:pStyle w:val="TextoNormal"/>
      </w:pPr>
      <w:r>
        <w:t>Considero que limitar el examen del Tribunal a un mero control formal externo, sin entrar en hechos, aun cuando estos sean notorios y, en consecuencia, estén relevados de prueba, lleva a renunciar a la primacía de la Constitución en favor del legislador. Si se efectúa el examen aceptando acríticamente las consideraciones vertidas en el preámbulo, cuando es obvio que no responden a la realidad de lo acontecido, ello haría innecesario seguir enjuiciando el resto de las quejas dado que, con tal planteamiento, quedarían automáticamente rechazadas las relativas a la arbitrariedad o a la contradicción con otros preceptos constitucionales, como así efectivamente ocurre en los siguientes apartados de la sentencia.</w:t>
      </w:r>
    </w:p>
    <w:p w14:paraId="040ED5AC" w14:textId="77777777" w:rsidR="00A8138F" w:rsidRDefault="00A8138F" w:rsidP="00A8138F">
      <w:pPr>
        <w:pStyle w:val="TextoNormal"/>
      </w:pPr>
    </w:p>
    <w:p w14:paraId="5CB3E2E3" w14:textId="77777777" w:rsidR="00A8138F" w:rsidRDefault="00A8138F" w:rsidP="00A8138F">
      <w:pPr>
        <w:pStyle w:val="TextoNormal"/>
      </w:pPr>
      <w:r>
        <w:t>Si basta un juicio meramente externo, sin atender a hechos ni pruebas, cualquier justificación de las exposiciones de motivos o preámbulos de las leyes resultarían suficientes y constitucionales, si coincidieran mínimamente con algún valor del art. 1 CE; por lo que difícilmente cabrá la arbitrariedad, salvo una improbable, por insólita, confesión del propio autor de la norma.</w:t>
      </w:r>
    </w:p>
    <w:p w14:paraId="25D8F21F" w14:textId="77777777" w:rsidR="00A8138F" w:rsidRDefault="00A8138F" w:rsidP="00A8138F">
      <w:pPr>
        <w:pStyle w:val="TextoNormal"/>
      </w:pPr>
    </w:p>
    <w:p w14:paraId="3CE05EC9" w14:textId="77777777" w:rsidR="00A8138F" w:rsidRDefault="00A8138F" w:rsidP="00A8138F">
      <w:pPr>
        <w:pStyle w:val="TextoNormal"/>
      </w:pPr>
      <w:r>
        <w:t>Por otro lado, el argumento también recogido en el fundamento jurídico 6.3, relativo a que los motivos o intenciones de quienes promovieron la aprobación de la ley son una cuestión ajena a lo jurídico, ignora el más básico concepto de la jurisdicción constitucional, eliminando la posibilidad alegatoria de los recurrentes [conferida por el art. 162.1 a) CE] o de enjuiciamiento constitucional al respecto [estipulado en el art. 161.1 a) CE y art. 27.1 LOTC].</w:t>
      </w:r>
    </w:p>
    <w:p w14:paraId="6F9F5EC7" w14:textId="77777777" w:rsidR="00A8138F" w:rsidRDefault="00A8138F" w:rsidP="00A8138F">
      <w:pPr>
        <w:pStyle w:val="TextoNormal"/>
      </w:pPr>
    </w:p>
    <w:p w14:paraId="24794226" w14:textId="77777777" w:rsidR="00A8138F" w:rsidRDefault="00A8138F" w:rsidP="00A8138F">
      <w:pPr>
        <w:pStyle w:val="TextoNormal"/>
      </w:pPr>
      <w:r>
        <w:t>No puedo compartir, por tanto, el enfoque de la sentencia que, por excesivamente deferente para con el legislador, deviene irresponsable al renunciar a los medios a nuestra disposición para el eficaz desenvolvimiento de nuestra función: garantizar la primacía de la Constitución sobre las restantes normas del ordenamiento jurídico.</w:t>
      </w:r>
    </w:p>
    <w:p w14:paraId="16C3B004" w14:textId="77777777" w:rsidR="00A8138F" w:rsidRDefault="00A8138F" w:rsidP="00A8138F">
      <w:pPr>
        <w:pStyle w:val="TextoNormal"/>
      </w:pPr>
    </w:p>
    <w:p w14:paraId="022413E7" w14:textId="77777777" w:rsidR="00A8138F" w:rsidRDefault="00A8138F" w:rsidP="00A8138F">
      <w:pPr>
        <w:pStyle w:val="TextoNormal"/>
      </w:pPr>
      <w:r>
        <w:t>Entrando en el examen de las consideraciones en virtud de las cuales se pretende concluir la concurrencia del presupuesto de excepcionalidad, procede poner de manifiesto que, pese a reconocer que el Tribunal tiene que verificar si la decisión del legislador responde a la concurrencia de circunstancias excepcionales que el ordenamiento jurídico no pueda resolver con otros instrumentos, el fundamento jurídico 6.3 se limita a asumir el selectivo relato de hechos desgranados en el apartado II del preámbulo de la norma; entremezclándolos con algunos hechos notorios que también escoge selectivamente. Entre ellos, se refiere a la celebración del segundo “referéndum” en octubre de 2017, a la declaración de independencia de Cataluña, a la aplicación de las medidas previstas en el art. 155 CE y a la intervención del Tribunal Constitucional en defensa de la Constitución para suspender y anular actos y leyes de la Comunidad Autónoma de Cataluña. Seguidamente, la sentencia afirma que “[l]os hechos vividos en ese periodo constituyen un supuesto paradigmático de lo que significa una crisis político constitucional, en la medida en que se cuestionaba la supremacía de la Constitución y la unidad del Estado, además de la integridad del sujeto político de la soberanía, el pueblo español, la forma de Estado y de gobierno”. Se continúa mencionado que “[e]l Tribunal Constitucional, a instancias del presidente del Gobierno de la Nación, debió intervenir en defensa de la Constitución para suspender y anular actos y leyes de la Comunidad Autónoma de Cataluña” y se refiere finalmente a que, por Ley Orgánica 15/2015, para la ejecución de las resoluciones del Tribunal Constitucional como garantía del Estado de Derecho, se atribuyeron al Tribunal potestades ejecutivas para garantizar el cumplimiento de sus resoluciones por autoridades e instituciones autonómicas.</w:t>
      </w:r>
    </w:p>
    <w:p w14:paraId="00EE1260" w14:textId="77777777" w:rsidR="00A8138F" w:rsidRDefault="00A8138F" w:rsidP="00A8138F">
      <w:pPr>
        <w:pStyle w:val="TextoNormal"/>
      </w:pPr>
    </w:p>
    <w:p w14:paraId="7212D92A" w14:textId="77777777" w:rsidR="00A8138F" w:rsidRDefault="00A8138F" w:rsidP="00A8138F">
      <w:pPr>
        <w:pStyle w:val="TextoNormal"/>
      </w:pPr>
      <w:r>
        <w:t>Finalmente, el citado fundamento jurídico 6.3 de la sentencia concluye apodícticamente con la siguiente afirmación: “Lo hasta aquí descrito ha de ser, inevitablemente, una de las claves de nuestro enjuiciamiento. El contexto y la evolución a través del tiempo son cruciales para una comprensión completa y profunda de todo acto, en aras de no interpretar algo de forma incompleta, superficial o incluso errónea”.</w:t>
      </w:r>
    </w:p>
    <w:p w14:paraId="2CB4E9B0" w14:textId="77777777" w:rsidR="00A8138F" w:rsidRDefault="00A8138F" w:rsidP="00A8138F">
      <w:pPr>
        <w:pStyle w:val="TextoNormal"/>
      </w:pPr>
    </w:p>
    <w:p w14:paraId="134AD456" w14:textId="77777777" w:rsidR="00A8138F" w:rsidRDefault="00A8138F" w:rsidP="00A8138F">
      <w:pPr>
        <w:pStyle w:val="TextoNormal"/>
      </w:pPr>
      <w:r>
        <w:t>Ante tal planteamiento tendente a justificar la pretendida “concurrencia de circunstancias excepcionales que el ordenamiento jurídico no puede resolver con los instrumentos ordinarios”, he de poner de relieve, inicialmente, que la selección de hechos excepcionales, en los que la sentencia quiere amparar el otorgamiento de la amnistía, omite que los mismos se produjeron años antes de la presentación de la proposición de ley. También olvida que la crisis político constitucional a la que alude y que, reconoce, cuestionó la supremacía de la Constitución, la integridad territorial de España y los pilares esenciales de nuestro Estado de Derecho, fue abordada por los cauces ordinarios de que dispone nuestro ordenamiento jurídico constitucional, a saber, mediante la acción de la justicia en respuesta a los hechos constitutivos de delito, y que dio lugar a la sentencia núm. 459/2019, de 14 de octubre, dictada por la Sala de lo Penal del Tribunal Supremo, en la causa especial núm. 20907-2017 (ECLI:ES:TS:2019:2997); sentencia sometida al enjuiciamiento de este tribunal, que desestimó los recursos planteados, en sus SSTC 91/2021, de 22 de abril; 106/2021, de 11 de mayo; 121/2021, de 2 de junio; 184/2021, de 28 de octubre; 45/2022, de 23 de marzo, y 47/2022, de 24 de marzo, al no apreciar lesión alguna de los derechos fundamentales de los recurrentes.</w:t>
      </w:r>
    </w:p>
    <w:p w14:paraId="4E9226CF" w14:textId="77777777" w:rsidR="00A8138F" w:rsidRDefault="00A8138F" w:rsidP="00A8138F">
      <w:pPr>
        <w:pStyle w:val="TextoNormal"/>
      </w:pPr>
    </w:p>
    <w:p w14:paraId="18056337" w14:textId="77777777" w:rsidR="00A8138F" w:rsidRDefault="00A8138F" w:rsidP="00A8138F">
      <w:pPr>
        <w:pStyle w:val="TextoNormal"/>
      </w:pPr>
      <w:r>
        <w:t>Considero esencial destacar que, en el relato de hechos que se nos presenta para justificar la concurrencia de un supuesto excepcional que el ordenamiento jurídico no pudiera solventar por los medios ordinarios, se silencian otros hechos próximos al momento en que se aprobó la ley, igualmente notorios y mucho más relevantes, los cuales llevan a una conclusión distinta y permiten afirmar sin género de dudas que la Ley de amnistía obedeció a una causa ilícita.</w:t>
      </w:r>
    </w:p>
    <w:p w14:paraId="420AF414" w14:textId="77777777" w:rsidR="00A8138F" w:rsidRDefault="00A8138F" w:rsidP="00A8138F">
      <w:pPr>
        <w:pStyle w:val="TextoNormal"/>
      </w:pPr>
    </w:p>
    <w:p w14:paraId="1F189220" w14:textId="77777777" w:rsidR="00A8138F" w:rsidRDefault="00A8138F" w:rsidP="00A8138F">
      <w:pPr>
        <w:pStyle w:val="TextoNormal"/>
      </w:pPr>
      <w:r>
        <w:t>En efecto, frente a la apariencia de justificación de la Ley de amnistía, que se pretende amparar en los argumentos que se enumeran en el fundamento jurídico 6.3, a los que he hecho mención, se alza la realidad incuestionable de la verdadera situación existente cuando se aprobó la ley, que no era otra que la urgente necesidad de lograr los siete votos precisos para asegurar la investidura del presidente del Gobierno.</w:t>
      </w:r>
    </w:p>
    <w:p w14:paraId="0842FAA0" w14:textId="77777777" w:rsidR="00A8138F" w:rsidRDefault="00A8138F" w:rsidP="00A8138F">
      <w:pPr>
        <w:pStyle w:val="TextoNormal"/>
      </w:pPr>
    </w:p>
    <w:p w14:paraId="69B1977E" w14:textId="77777777" w:rsidR="00A8138F" w:rsidRDefault="00A8138F" w:rsidP="00A8138F">
      <w:pPr>
        <w:pStyle w:val="TextoNormal"/>
      </w:pPr>
      <w:r>
        <w:t>Como justificaré a continuación, la ley no tuvo otro propósito que cumplir las exigencias de quienes ofrecían votos a cambio de impunidad, como he apuntado y expondré seguidamente con mayor detalle. Este es el verdaderamente relevante hecho notorio que necesariamente debe de ser enjuiciado si se quieren respetar las garantías del proceso justo (art. 6.1 CEDH).</w:t>
      </w:r>
    </w:p>
    <w:p w14:paraId="705FF3C9" w14:textId="77777777" w:rsidR="00A8138F" w:rsidRDefault="00A8138F" w:rsidP="00A8138F">
      <w:pPr>
        <w:pStyle w:val="TextoNormal"/>
      </w:pPr>
    </w:p>
    <w:p w14:paraId="7B46477B" w14:textId="77777777" w:rsidR="00A8138F" w:rsidRDefault="00A8138F" w:rsidP="00A8138F">
      <w:pPr>
        <w:pStyle w:val="TextoNormal"/>
      </w:pPr>
      <w:r>
        <w:t>Resulta llamativo que el fundamento en el que se rechaza la exigencia del ideal de justicia se concluya, como he apuntado, diciendo que “[e]l contexto y la evolución a través del tiempo son cruciales para una comprensión completa y profunda de todo acto, en aras de no interpretar algo de forma incompleta, superficial o incluso errónea”. Me parece obvio que, de haberse analizado el contexto real de una forma completa, no superficial, ni errónea, se hubiera llegado a una solución contraria a la sostenida en la resolución y no hubiera sido necesario hacer tantos y tan vanos esfuerzos argumentativos para excluir la exigencia del ideal de justicia que, desgraciadamente, brilla por su ausencia en la ley enjuiciada.</w:t>
      </w:r>
    </w:p>
    <w:p w14:paraId="44A0958F" w14:textId="77777777" w:rsidR="00A8138F" w:rsidRDefault="00A8138F" w:rsidP="00A8138F">
      <w:pPr>
        <w:pStyle w:val="TextoNormal"/>
      </w:pPr>
    </w:p>
    <w:p w14:paraId="6FB7E8B4" w14:textId="77777777" w:rsidR="00A8138F" w:rsidRDefault="00A8138F" w:rsidP="00A8138F">
      <w:pPr>
        <w:pStyle w:val="TextoNormal"/>
      </w:pPr>
      <w:r>
        <w:t>b) Una vez definidos correctamente los límites de nuestro enjuiciamiento, procede, ahora sí, proyectarlo sobre la Ley de amnistía, en primer término, desde la óptica de la arbitrariedad proscrita por el art. 9.3 CE.</w:t>
      </w:r>
    </w:p>
    <w:p w14:paraId="7A835609" w14:textId="77777777" w:rsidR="00A8138F" w:rsidRDefault="00A8138F" w:rsidP="00A8138F">
      <w:pPr>
        <w:pStyle w:val="TextoNormal"/>
      </w:pPr>
    </w:p>
    <w:p w14:paraId="51C9FA3E" w14:textId="77777777" w:rsidR="00A8138F" w:rsidRDefault="00A8138F" w:rsidP="00A8138F">
      <w:pPr>
        <w:pStyle w:val="TextoNormal"/>
      </w:pPr>
      <w:r>
        <w:t>Para ello, esbozaré cuáles son las alegaciones de los recurrentes en este punto y cómo se resuelve el motivo en la sentencia, para finalmente ofrecer mi criterio al respecto.</w:t>
      </w:r>
    </w:p>
    <w:p w14:paraId="1A653444" w14:textId="77777777" w:rsidR="00A8138F" w:rsidRDefault="00A8138F" w:rsidP="00A8138F">
      <w:pPr>
        <w:pStyle w:val="TextoNormal"/>
      </w:pPr>
    </w:p>
    <w:p w14:paraId="6DA35AEA" w14:textId="77777777" w:rsidR="00A8138F" w:rsidRDefault="00A8138F" w:rsidP="00A8138F">
      <w:pPr>
        <w:pStyle w:val="TextoNormal"/>
      </w:pPr>
      <w:r>
        <w:t>Sostienen los recurrentes, con cita de doctrina de este tribunal (entre otros, el ATC 72/2008, de 26 de febrero), que no es dable confundir lo que es arbitrio legítimo del legislador con capricho, inconsistencia o incoherencia creadores de desigualdad o distorsión de efectos legales. Tras invocar un artículo doctrinal de un magistrado emérito de este tribunal, arguyen que la verdadera finalidad de la Ley de amnistía fue la obtención por el candidato a la Presidencia del Gobierno de los votos favorables del Grupo Parlamentario Junts per Catalunya, necesarios para su investidura por lo que, lejos de tener una explicación racional que la conecte con el interés público, luce, en realidad, y de forma clara, un interés personal alejado del campo de los intereses públicos en el que se encuentran los fines en atención a los cuales la Constitución ha establecido la prerrogativa de gracia.</w:t>
      </w:r>
    </w:p>
    <w:p w14:paraId="7040DD55" w14:textId="77777777" w:rsidR="00A8138F" w:rsidRDefault="00A8138F" w:rsidP="00A8138F">
      <w:pPr>
        <w:pStyle w:val="TextoNormal"/>
      </w:pPr>
    </w:p>
    <w:p w14:paraId="77FA761A" w14:textId="77777777" w:rsidR="00A8138F" w:rsidRDefault="00A8138F" w:rsidP="00A8138F">
      <w:pPr>
        <w:pStyle w:val="TextoNormal"/>
      </w:pPr>
      <w:r>
        <w:t>Es por lo anterior que consideran los promotores del recurso que dicho objetivo real de la Ley de amnistía carece de eficacia para justificar la amnistía, encontrándonos, así, de forma ostensible, ante un supuesto de falta de justificación que hace de la Ley de amnistía un caso de rotunda arbitrariedad prohibida por el art. 9.3 CE.</w:t>
      </w:r>
    </w:p>
    <w:p w14:paraId="177BFAF5" w14:textId="77777777" w:rsidR="00A8138F" w:rsidRDefault="00A8138F" w:rsidP="00A8138F">
      <w:pPr>
        <w:pStyle w:val="TextoNormal"/>
      </w:pPr>
    </w:p>
    <w:p w14:paraId="3977E2EE" w14:textId="77777777" w:rsidR="00A8138F" w:rsidRDefault="00A8138F" w:rsidP="00A8138F">
      <w:pPr>
        <w:pStyle w:val="TextoNormal"/>
      </w:pPr>
      <w:r>
        <w:t>En definitiva, incide la demanda en que es un hecho notorio que, al margen de la retórica del preámbulo de la Ley Orgánica 1/2024, esta es fruto de la simple arbitrariedad, en cuanto obedece a una pura transacción política entre un candidato que necesita apoyos para la investidura y los líderes políticos que cometieron o a los que se imputan delitos y que, como consecuencia de la Ley de amnistía, obtienen el olvido.</w:t>
      </w:r>
    </w:p>
    <w:p w14:paraId="6FFFADFC" w14:textId="77777777" w:rsidR="00A8138F" w:rsidRDefault="00A8138F" w:rsidP="00A8138F">
      <w:pPr>
        <w:pStyle w:val="TextoNormal"/>
      </w:pPr>
    </w:p>
    <w:p w14:paraId="24417573" w14:textId="77777777" w:rsidR="00A8138F" w:rsidRDefault="00A8138F" w:rsidP="00A8138F">
      <w:pPr>
        <w:pStyle w:val="TextoNormal"/>
      </w:pPr>
      <w:r>
        <w:t>La sentencia, en su fundamento jurídico 7, tras exponer la doctrina considerada de aplicación, sustentada en la improcedencia de efectuar un análisis de fondo de todas las motivaciones posibles de la norma, desestima el motivo al asumir obsecuentemente la justificación dada por la Ley de amnistía en su preámbulo (“una mejora de la convivencia y de la cohesión social, así como una integración de las diversas sensibilidades políticas, para superar, como objetivo de interés general, las tensiones sociales y políticas generadas con el denominado proceso independentista en Cataluña”), para validarla, en definitiva, como “explicación racional” a los efectos de rechazar la denunciada vulneración del art. 9.3 CE.</w:t>
      </w:r>
    </w:p>
    <w:p w14:paraId="7C41BEC4" w14:textId="77777777" w:rsidR="00A8138F" w:rsidRDefault="00A8138F" w:rsidP="00A8138F">
      <w:pPr>
        <w:pStyle w:val="TextoNormal"/>
      </w:pPr>
    </w:p>
    <w:p w14:paraId="0F402BE6" w14:textId="77777777" w:rsidR="00A8138F" w:rsidRDefault="00A8138F" w:rsidP="00A8138F">
      <w:pPr>
        <w:pStyle w:val="TextoNormal"/>
      </w:pPr>
      <w:r>
        <w:t>Una vez expuestos los argumentos contenidos en el motivo de inconstitucionalidad articulado por los recurrentes y la respuesta dada a ellos en la sentencia, paso a detallar las razones por las que discrepo, también en este punto, de las consideraciones que llevan a rechazar la arbitrariedad de la Ley de amnistía.</w:t>
      </w:r>
    </w:p>
    <w:p w14:paraId="67FD0A4C" w14:textId="77777777" w:rsidR="00A8138F" w:rsidRDefault="00A8138F" w:rsidP="00A8138F">
      <w:pPr>
        <w:pStyle w:val="TextoNormal"/>
      </w:pPr>
    </w:p>
    <w:p w14:paraId="0082F7F2" w14:textId="77777777" w:rsidR="00A8138F" w:rsidRDefault="00A8138F" w:rsidP="00A8138F">
      <w:pPr>
        <w:pStyle w:val="TextoNormal"/>
      </w:pPr>
      <w:r>
        <w:t>Ciertamente, como este tribunal ha venido reiterando, calificar una ley de arbitraria a los efectos del art. 9.3 CE exige cierta prudencia, pues la ley es la “expresión de la voluntad popular”, como dice el preámbulo de la Constitución y es dogma básico de todo sistema democrático (entre otras, SSTC 108/1986, de 29 de julio, FJ 18; 233/1999, de 16 de diciembre, FJ 12; 111/2013, de 9 de mayo, FJ 5; 98/2018, de 19 de septiembre, FJ 5, y 120/2024, de 8 de octubre, FJ 8).</w:t>
      </w:r>
    </w:p>
    <w:p w14:paraId="1F150B25" w14:textId="77777777" w:rsidR="00A8138F" w:rsidRDefault="00A8138F" w:rsidP="00A8138F">
      <w:pPr>
        <w:pStyle w:val="TextoNormal"/>
      </w:pPr>
    </w:p>
    <w:p w14:paraId="16A9549C" w14:textId="77777777" w:rsidR="00A8138F" w:rsidRDefault="00A8138F" w:rsidP="00A8138F">
      <w:pPr>
        <w:pStyle w:val="TextoNormal"/>
      </w:pPr>
      <w:r>
        <w:t>Ahora bien, en un régimen constitucional como el nuestro, también el Poder Legislativo, al igual que los restantes poderes públicos, está sujeto a la Constitución (art. 9.1 CE), de ahí que practicar la prudencia no debe hacer perder de vista que nuestra misión, como también nos hemos encargado de enfatizar en numerosas ocasiones, es velar por que se mantenga esa sujeción, que no es más que otra forma de sumisión a la voluntad popular, expresada, esta vez, como poder constituyente (SSTC 108/1986, de 29 de julio, FJ 18; 233/1999, de 16 de diciembre, FJ 12; 111/2013, de 9 de mayo, FJ 5; 98/2018, de 19 de septiembre, FJ 5, y 120/2024, de 8 de octubre, FJ 8, entre muchas otras).</w:t>
      </w:r>
    </w:p>
    <w:p w14:paraId="4FA9129C" w14:textId="77777777" w:rsidR="00A8138F" w:rsidRDefault="00A8138F" w:rsidP="00A8138F">
      <w:pPr>
        <w:pStyle w:val="TextoNormal"/>
      </w:pPr>
    </w:p>
    <w:p w14:paraId="6C2D7C1A" w14:textId="77777777" w:rsidR="00A8138F" w:rsidRDefault="00A8138F" w:rsidP="00A8138F">
      <w:pPr>
        <w:pStyle w:val="TextoNormal"/>
      </w:pPr>
      <w:r>
        <w:t>Un ejercicio prudente de nuestro enjuiciamiento aconseja un conocimiento riguroso de su objeto, la determinación de sus límites y presupuestos, así como la identificación de los medios pertinentes para su desenvolvimiento.</w:t>
      </w:r>
    </w:p>
    <w:p w14:paraId="7A24A380" w14:textId="77777777" w:rsidR="00A8138F" w:rsidRDefault="00A8138F" w:rsidP="00A8138F">
      <w:pPr>
        <w:pStyle w:val="TextoNormal"/>
      </w:pPr>
    </w:p>
    <w:p w14:paraId="3E0FDC75" w14:textId="77777777" w:rsidR="00A8138F" w:rsidRDefault="00A8138F" w:rsidP="00A8138F">
      <w:pPr>
        <w:pStyle w:val="TextoNormal"/>
      </w:pPr>
      <w:r>
        <w:t>En cuanto al objeto de nuestro enjuiciamiento, para determinar si una disposición legal vulnera el principio de interdicción de la arbitrariedad, procede valorar si la medida responde a un objetivo legítimo (SSTC 93/2017, de 6 de julio, FJ 3, y 49/2018, de 10 de mayo, FJ 7). En lo que aquí concierne, nos corresponda verificar si la situación singular que legitima que la Ley de amnistía pueda desplegar sus efectos exoneradores tiene una justificación objetiva, siendo preciso que la singularidad de la situación en que se funda “resulte inmediatamente de los hechos, de manera que el supuesto de la norma venga dado por ellos”, excluyéndose así “la creación arbitraria de supuestos de hecho, que solo resultarían singulares en razón de esa arbitrariedad” (entre otras, las SSTC 166/1986, FJ 11, y 203/2013, FJ 5).</w:t>
      </w:r>
    </w:p>
    <w:p w14:paraId="0A13E8B7" w14:textId="77777777" w:rsidR="00A8138F" w:rsidRDefault="00A8138F" w:rsidP="00A8138F">
      <w:pPr>
        <w:pStyle w:val="TextoNormal"/>
      </w:pPr>
    </w:p>
    <w:p w14:paraId="4206FCB5" w14:textId="77777777" w:rsidR="00A8138F" w:rsidRDefault="00A8138F" w:rsidP="00A8138F">
      <w:pPr>
        <w:pStyle w:val="TextoNormal"/>
      </w:pPr>
      <w:r>
        <w:t>En lo que a los límites se refiere, también he expresado ya que para alcanzar el objeto de nuestro enjuiciamiento solo hemos de determinar si se han transgredido los márgenes dentro de los cuales las Cortes Generales pueden actuar con libertad —erigiéndose el principio de interdicción de la arbitrariedad (art. 9.3 CE) en uno de tales márgenes—, y sin que nuestra intervención pueda encaminarse a examinar la oportunidad de la medida legal y decidir si es la mejor de las posibles (STC 156/2014, de 25 de septiembre, FJ 6), su acierto político [STC 19/2013, de 31 de enero, FJ 2 e) y f)] o su corrección o bondad técnica (SSTC 341/1993, de 18 de noviembre, FJ 2; 112/2021, de 13 de mayo, FJ 5, y 142/2024, de 20 de noviembre, FJ 4).</w:t>
      </w:r>
    </w:p>
    <w:p w14:paraId="6877F443" w14:textId="77777777" w:rsidR="00A8138F" w:rsidRDefault="00A8138F" w:rsidP="00A8138F">
      <w:pPr>
        <w:pStyle w:val="TextoNormal"/>
      </w:pPr>
    </w:p>
    <w:p w14:paraId="08960BCF" w14:textId="77777777" w:rsidR="00A8138F" w:rsidRDefault="00A8138F" w:rsidP="00A8138F">
      <w:pPr>
        <w:pStyle w:val="TextoNormal"/>
      </w:pPr>
      <w:r>
        <w:t>En tercer lugar, nuestro juicio debe partir de una denuncia de arbitrariedad argumentada y verosímil. En este sentido, hemos exigido que quien formule esta censura la razone con detalle, ofreciendo una justificación convincente para destruir la presunción de constitucionalidad de la ley impugnada, sin que en ningún caso se entienda debidamente fundada esa tacha de inconstitucionalidad si se sustenta en una mera discrepancia política respecto al contenido de la norma legal impugnada (STC 122/2016, de 23 de junio, FJ 4). El razonamiento del recurrente debe aportar siquiera indicios, a confirmar o no en el juicio, de que la disposición legal incurre en la arbitrariedad denunciada (STC 140/2018, de 20 de diciembre, FJ 7).</w:t>
      </w:r>
    </w:p>
    <w:p w14:paraId="30DE92AB" w14:textId="77777777" w:rsidR="00A8138F" w:rsidRDefault="00A8138F" w:rsidP="00A8138F">
      <w:pPr>
        <w:pStyle w:val="TextoNormal"/>
      </w:pPr>
    </w:p>
    <w:p w14:paraId="0A1A366A" w14:textId="77777777" w:rsidR="00A8138F" w:rsidRDefault="00A8138F" w:rsidP="00A8138F">
      <w:pPr>
        <w:pStyle w:val="TextoNormal"/>
      </w:pPr>
      <w:r>
        <w:t>Por último, respecto a los medios a emplear, también hemos tenido ocasión de afirmar que el despliegue del análisis a realizar por el Tribunal no ha de limitarse al plano meramente formal, prescindiendo del contexto en que se ha dictado la disposición cuestionada, pues este resulta esencial para valorar si su finalidad concurre realmente o no. Ello faculta al Tribunal a recordar las circunstancias en que se aprobó la disposición legal, a fin de arrojar luz acerca de la concurrencia material en la misma de una finalidad admisible constitucionalmente (STC 122/2016, de 23 de junio, FJ 5).</w:t>
      </w:r>
    </w:p>
    <w:p w14:paraId="434DB16E" w14:textId="77777777" w:rsidR="00A8138F" w:rsidRDefault="00A8138F" w:rsidP="00A8138F">
      <w:pPr>
        <w:pStyle w:val="TextoNormal"/>
      </w:pPr>
    </w:p>
    <w:p w14:paraId="67926DB0" w14:textId="77777777" w:rsidR="00A8138F" w:rsidRDefault="00A8138F" w:rsidP="00A8138F">
      <w:pPr>
        <w:pStyle w:val="TextoNormal"/>
      </w:pPr>
      <w:r>
        <w:t>Por ello, a efectos de concretar la verdadera voluntad del legislador, son numerosos los pronunciamientos de este tribunal que avalan acudir tanto al preámbulo o exposición de motivos de la norma impugnada —pues aun careciendo de valor normativo (SSTC 36/1981, de 12 de noviembre; 173/1998, de 23 de julio, FJ 4, y 222/2006, de 6 de julio, FJ 8), sirven sin embargo como criterio interpretativo de las disposiciones normativas a las que acompañan para la búsqueda de la voluntad de legislador (SSTC 36/1981, de 12 de noviembre, FJ 7; 222/2006, de 6 de julio, FJ 8, y 90/2009, de 20 de abril, FJ 6)—, como a su tramitación parlamentaria, dado que también los debates parlamentarios constituyen un elemento importante de interpretación para desentrañar el alcance y sentido de las normas (SSTC 108/1986, de 29 de julio, FJ 13; 109/1998, de 21 de mayo, FJ 2; 15/2000, de 20 de enero, FJ 7; 193/2004, de 4 de noviembre, FJ 6; 68/2007, de 28 de marzo, FJ 6, y 90/2009, de 20 de abril, FJ 6).</w:t>
      </w:r>
    </w:p>
    <w:p w14:paraId="0C2858C2" w14:textId="77777777" w:rsidR="00A8138F" w:rsidRDefault="00A8138F" w:rsidP="00A8138F">
      <w:pPr>
        <w:pStyle w:val="TextoNormal"/>
      </w:pPr>
    </w:p>
    <w:p w14:paraId="742B4075" w14:textId="77777777" w:rsidR="00A8138F" w:rsidRDefault="00A8138F" w:rsidP="00A8138F">
      <w:pPr>
        <w:pStyle w:val="TextoNormal"/>
      </w:pPr>
      <w:r>
        <w:t>Identificado el objeto de nuestro juicio y fijados los contornos en los que hemos de movernos, procede examinar si la queja de inconstitucionalidad relativa a la interdicción de la arbitrariedad se encuentra debidamente argumentada como exige nuestra doctrina y, en tal caso, hacer uso de los medios a nuestro alcance para el adecuado desempeño del examen que nos ocupa.</w:t>
      </w:r>
    </w:p>
    <w:p w14:paraId="62A18E1E" w14:textId="77777777" w:rsidR="00A8138F" w:rsidRDefault="00A8138F" w:rsidP="00A8138F">
      <w:pPr>
        <w:pStyle w:val="TextoNormal"/>
      </w:pPr>
    </w:p>
    <w:p w14:paraId="49056C4F" w14:textId="77777777" w:rsidR="00A8138F" w:rsidRDefault="00A8138F" w:rsidP="00A8138F">
      <w:pPr>
        <w:pStyle w:val="TextoNormal"/>
      </w:pPr>
      <w:r>
        <w:t>Para los recurrentes la presunción de constitucionalidad de la Ley de amnistía queda desvirtuada, resumidamente, por la consideración de que su verdadera finalidad no se encuentra vinculada a los motivos de interés público que, en apariencia, la justifican en atención su preámbulo, sino a la existencia de un interés particular traducido en la necesidad del candidato a la Presidencia del Gobierno de obtener el voto afirmativo para su investidura del Grupo Parlamentario Junts per Catalunya, cuyos líderes políticos serían, a su vez y entre otros, eventuales destinatarios de la amnistía aprobada.</w:t>
      </w:r>
    </w:p>
    <w:p w14:paraId="0A4518A2" w14:textId="77777777" w:rsidR="00A8138F" w:rsidRDefault="00A8138F" w:rsidP="00A8138F">
      <w:pPr>
        <w:pStyle w:val="TextoNormal"/>
      </w:pPr>
    </w:p>
    <w:p w14:paraId="352FFFCC" w14:textId="77777777" w:rsidR="00A8138F" w:rsidRDefault="00A8138F" w:rsidP="00A8138F">
      <w:pPr>
        <w:pStyle w:val="TextoNormal"/>
      </w:pPr>
      <w:r>
        <w:t>Se comparta o no este alegato, lo que se verá a continuación, es apreciable que los recurrentes ofrecen una argumentación suficientemente desarrollada, que no viene apoyada en la simple discrepancia política respecto del contenido de la Ley de amnistía, aportando indicios —la existencia del acuerdo o transacción aludido— de que la Ley de amnistía incurriría en una arbitrariedad prohibida por el art. 9.3 CE, por lo que puede tenerse por cumplido el presupuesto del que debemos partir para abordar el juicio de arbitrariedad.</w:t>
      </w:r>
    </w:p>
    <w:p w14:paraId="5BB4D583" w14:textId="77777777" w:rsidR="00A8138F" w:rsidRDefault="00A8138F" w:rsidP="00A8138F">
      <w:pPr>
        <w:pStyle w:val="TextoNormal"/>
      </w:pPr>
    </w:p>
    <w:p w14:paraId="3701ED9D" w14:textId="77777777" w:rsidR="00A8138F" w:rsidRDefault="00A8138F" w:rsidP="00A8138F">
      <w:pPr>
        <w:pStyle w:val="TextoNormal"/>
      </w:pPr>
      <w:r>
        <w:t>Procede, a continuación, tomar en consideración los distintos elementos de que disponemos para verificar si la amnistía aprobada por la Ley de amnistía tiene una justificación objetiva o si, al contrario, se habría creado arbitrariamente por el legislador.</w:t>
      </w:r>
    </w:p>
    <w:p w14:paraId="495B8380" w14:textId="77777777" w:rsidR="00A8138F" w:rsidRDefault="00A8138F" w:rsidP="00A8138F">
      <w:pPr>
        <w:pStyle w:val="TextoNormal"/>
      </w:pPr>
    </w:p>
    <w:p w14:paraId="77F678D0" w14:textId="77777777" w:rsidR="00A8138F" w:rsidRDefault="00A8138F" w:rsidP="00A8138F">
      <w:pPr>
        <w:pStyle w:val="TextoNormal"/>
      </w:pPr>
      <w:r>
        <w:t>Ya he advertido cómo la sentencia acepta acríticamente que la justificación de la Ley de amnistía es la aportada sin más por el preámbulo de la propia norma, en cuya virtud esta perseguiría una mejora de la convivencia y de la cohesión social para superar las tensiones sociales y políticas derivadas del proceso independentista catalán, proclamando la sentencia que dichas razones constituyen las circunstancias extraordinarias “claramente inteligibles” que han llevado al legislador a excluir en este determinado contexto la sanción penal generalmente aplicable a una serie de conductas.</w:t>
      </w:r>
    </w:p>
    <w:p w14:paraId="366C56B2" w14:textId="77777777" w:rsidR="00A8138F" w:rsidRDefault="00A8138F" w:rsidP="00A8138F">
      <w:pPr>
        <w:pStyle w:val="TextoNormal"/>
      </w:pPr>
    </w:p>
    <w:p w14:paraId="12480D5E" w14:textId="77777777" w:rsidR="00A8138F" w:rsidRDefault="00A8138F" w:rsidP="00A8138F">
      <w:pPr>
        <w:pStyle w:val="TextoNormal"/>
      </w:pPr>
      <w:r>
        <w:t>Los recurrentes, como he dicho, divergen de los motivos ofrecidos en el preámbulo y sostienen que, en realidad, la justificación de la Ley de amnistía no sería más que la de dar cumplimiento a un pacto entre dos partidos políticos —PSOE y Junts per Catalunya—, en cuya virtud la aprobación de la norma, con efectos favorables para, entre otros, determinados dirigentes de esta última formación, habría operado como contrapartida para asegurar el respaldo parlamentario a la investidura del candidato del Grupo Parlamentario Socialista a la Presidencia del Gobierno de la Nación.</w:t>
      </w:r>
    </w:p>
    <w:p w14:paraId="2CBE875A" w14:textId="77777777" w:rsidR="00A8138F" w:rsidRDefault="00A8138F" w:rsidP="00A8138F">
      <w:pPr>
        <w:pStyle w:val="TextoNormal"/>
      </w:pPr>
    </w:p>
    <w:p w14:paraId="0260E0A9" w14:textId="77777777" w:rsidR="00A8138F" w:rsidRDefault="00A8138F" w:rsidP="00A8138F">
      <w:pPr>
        <w:pStyle w:val="TextoNormal"/>
      </w:pPr>
      <w:r>
        <w:t>De aceptar tal justificación, resultaría obligado concluir que la Ley de amnistía es inconstitucional por arbitraria, al constituir lisa y llanamente una norma que consagra la impunidad por mera conveniencia, revelando una lógica transaccional que pervierte los canales legítimos de formación de la voluntad general para asegurar, en realidad, privilegios jurídicos de unos a cambio del poder de otros.</w:t>
      </w:r>
    </w:p>
    <w:p w14:paraId="22B3AF45" w14:textId="77777777" w:rsidR="00A8138F" w:rsidRDefault="00A8138F" w:rsidP="00A8138F">
      <w:pPr>
        <w:pStyle w:val="TextoNormal"/>
      </w:pPr>
    </w:p>
    <w:p w14:paraId="71D78BDE" w14:textId="77777777" w:rsidR="00A8138F" w:rsidRDefault="00A8138F" w:rsidP="00A8138F">
      <w:pPr>
        <w:pStyle w:val="TextoNormal"/>
      </w:pPr>
      <w:r>
        <w:t>Ofrecidos por los recurrentes estos indicios de arbitrariedad en que incurriría la Ley de amnistía, no puedo sino confirmar su existencia atendiendo a tres elementos distintos —hechos notorios, tramitación parlamentaria y debates parlamentarios— que, en contraposición con el elemento al que se abraza la sentencia con entregada fe —el preámbulo—, evidenciarían que la justificación dada en este no sería sino mero maquillaje de un acto de colusión institucional.</w:t>
      </w:r>
    </w:p>
    <w:p w14:paraId="0E37DEAD" w14:textId="77777777" w:rsidR="00A8138F" w:rsidRDefault="00A8138F" w:rsidP="00A8138F">
      <w:pPr>
        <w:pStyle w:val="TextoNormal"/>
      </w:pPr>
    </w:p>
    <w:p w14:paraId="6BFDDC6D" w14:textId="77777777" w:rsidR="00A8138F" w:rsidRDefault="00A8138F" w:rsidP="00A8138F">
      <w:pPr>
        <w:pStyle w:val="TextoNormal"/>
      </w:pPr>
      <w:r>
        <w:t>No procede, así, levantar velo alguno, como vendría a sostener la sentencia al rechazar el pertinente juicio a aplicar, pues el artificio en que se sustenta la Ley de amnistía se exhibe con meridiana claridad a través de los siguientes elementos a considerar:</w:t>
      </w:r>
    </w:p>
    <w:p w14:paraId="25EAACC8" w14:textId="77777777" w:rsidR="00A8138F" w:rsidRDefault="00A8138F" w:rsidP="00A8138F">
      <w:pPr>
        <w:pStyle w:val="TextoNormal"/>
      </w:pPr>
    </w:p>
    <w:p w14:paraId="2F295E04" w14:textId="77777777" w:rsidR="00A8138F" w:rsidRDefault="00A8138F" w:rsidP="00A8138F">
      <w:pPr>
        <w:pStyle w:val="TextoNormal"/>
      </w:pPr>
      <w:r>
        <w:t>En primer lugar, es de dominio público que, el 9 de noviembre de 2023, se formalizó en Bruselas un acuerdo político entre don Santos Cerdán León, quien fuera —hasta hace bien poco— secretario de organización del PSOE, y don Jordi Turull i Negre, secretario general de Junts per Catalunya, mediante el cual esta última formación se comprometía a apoyar la investidura del candidato del PSOE a la Presidencia del Gobierno, a cambio de la tramitación y aprobación de una ley de amnistía.</w:t>
      </w:r>
    </w:p>
    <w:p w14:paraId="21C8459A" w14:textId="77777777" w:rsidR="00A8138F" w:rsidRDefault="00A8138F" w:rsidP="00A8138F">
      <w:pPr>
        <w:pStyle w:val="TextoNormal"/>
      </w:pPr>
    </w:p>
    <w:p w14:paraId="250BBF6E" w14:textId="77777777" w:rsidR="00A8138F" w:rsidRDefault="00A8138F" w:rsidP="00A8138F">
      <w:pPr>
        <w:pStyle w:val="TextoNormal"/>
      </w:pPr>
      <w:r>
        <w:t>En dicho documento, de general conocimiento y acceso, se expone que en el marco definido por ambas partes estas tendrán que acordar, entre otros puntos:</w:t>
      </w:r>
    </w:p>
    <w:p w14:paraId="11AD8DA8" w14:textId="77777777" w:rsidR="00A8138F" w:rsidRDefault="00A8138F" w:rsidP="00A8138F">
      <w:pPr>
        <w:pStyle w:val="TextoNormal"/>
      </w:pPr>
    </w:p>
    <w:p w14:paraId="7698D684" w14:textId="77777777" w:rsidR="00A8138F" w:rsidRDefault="00A8138F" w:rsidP="00A8138F">
      <w:pPr>
        <w:pStyle w:val="TextoNormal"/>
      </w:pPr>
      <w:r>
        <w:t>“La Ley de amnistía, para procurar la plena normalidad política, institucional y social como requisito imprescindible para abordar los retos del futuro inmediato. Esta ley debe incluir tanto a los responsables como a los ciudadanos que, antes y después de la consulta de 2014 y del referéndum de 2017, han sido objeto de decisiones o procesos judiciales vinculados a estos eventos. En este sentido, las conclusiones de las comisiones de investigación de esta legislatura se tendrán en cuenta en la aplicación de la ley de amnistía en la medida que pudieran derivarse situaciones comprendidas en el con</w:t>
      </w:r>
      <w:r w:rsidRPr="00A8138F">
        <w:rPr>
          <w:i/>
        </w:rPr>
        <w:t>cepto l</w:t>
      </w:r>
      <w:r>
        <w:t>awfare o judicialización de la política, con las consecuencias que, en su caso, puedan dar lugar a acciones de responsabilidad o modificaciones legislativas.</w:t>
      </w:r>
    </w:p>
    <w:p w14:paraId="7000116A" w14:textId="77777777" w:rsidR="00A8138F" w:rsidRDefault="00A8138F" w:rsidP="00A8138F">
      <w:pPr>
        <w:pStyle w:val="TextoNormal"/>
      </w:pPr>
    </w:p>
    <w:p w14:paraId="6A312669" w14:textId="77777777" w:rsidR="00A8138F" w:rsidRDefault="00A8138F" w:rsidP="00A8138F">
      <w:pPr>
        <w:pStyle w:val="TextoNormal"/>
      </w:pPr>
      <w:r>
        <w:t>[…]</w:t>
      </w:r>
    </w:p>
    <w:p w14:paraId="39BE8509" w14:textId="77777777" w:rsidR="00A8138F" w:rsidRDefault="00A8138F" w:rsidP="00A8138F">
      <w:pPr>
        <w:pStyle w:val="TextoNormal"/>
      </w:pPr>
    </w:p>
    <w:p w14:paraId="2290A621" w14:textId="77777777" w:rsidR="00A8138F" w:rsidRDefault="00A8138F" w:rsidP="00A8138F">
      <w:pPr>
        <w:pStyle w:val="TextoNormal"/>
      </w:pPr>
      <w:r>
        <w:t>La investidura de Pedro Sánchez, con el voto a favor de todos los diputados de Junts”.</w:t>
      </w:r>
    </w:p>
    <w:p w14:paraId="5C58D206" w14:textId="77777777" w:rsidR="00A8138F" w:rsidRDefault="00A8138F" w:rsidP="00A8138F">
      <w:pPr>
        <w:pStyle w:val="TextoNormal"/>
      </w:pPr>
    </w:p>
    <w:p w14:paraId="260ABFDB" w14:textId="77777777" w:rsidR="00A8138F" w:rsidRDefault="00A8138F" w:rsidP="00A8138F">
      <w:pPr>
        <w:pStyle w:val="TextoNormal"/>
      </w:pPr>
      <w:r>
        <w:t>En cumplimiento de dicho acuerdo, también es de general conocimiento y he puesto de relieve en su lugar, que la entonces futura ley de amnistía fue registrada en el Congreso de los Diputados como proposición de ley, a propuesta del Grupo Parlamentario Socialista, el 13 de noviembre de 2023. Tres días después y de forma paralela, el día 16 de noviembre el candidato del PSOE resultó investido presidente del Gobierno con el voto favorable, entre otros, de los siete diputados del Grupo Parlamentario Junts per Catalunya. La Ley fue aprobada definitivamente por el Congreso, tras el veto del Senado, el día 30 de mayo de 2024.</w:t>
      </w:r>
    </w:p>
    <w:p w14:paraId="0F577E70" w14:textId="77777777" w:rsidR="00A8138F" w:rsidRDefault="00A8138F" w:rsidP="00A8138F">
      <w:pPr>
        <w:pStyle w:val="TextoNormal"/>
      </w:pPr>
    </w:p>
    <w:p w14:paraId="28BB7D6E" w14:textId="77777777" w:rsidR="00A8138F" w:rsidRDefault="00A8138F" w:rsidP="00A8138F">
      <w:pPr>
        <w:pStyle w:val="TextoNormal"/>
      </w:pPr>
      <w:r>
        <w:t>La notoriedad de estos hechos y su secuencia temporal evidencian, por sí solos, la verosimilitud de la queja de los recurrentes en el sentido de que la tramitación de la ley de amnistía y la investidura del presidente del Gobierno se encontraban sustancialmente vinculadas, de tal modo que la primera actuaba como condición necesaria de la segunda. Es decir, se desprende un nexo funcional claro entre ambos acontecimientos, que se presentan, por tanto, como elementos interdependientes.</w:t>
      </w:r>
    </w:p>
    <w:p w14:paraId="7446A5D0" w14:textId="77777777" w:rsidR="00A8138F" w:rsidRDefault="00A8138F" w:rsidP="00A8138F">
      <w:pPr>
        <w:pStyle w:val="TextoNormal"/>
      </w:pPr>
    </w:p>
    <w:p w14:paraId="05942CAC" w14:textId="77777777" w:rsidR="00A8138F" w:rsidRDefault="00A8138F" w:rsidP="00A8138F">
      <w:pPr>
        <w:pStyle w:val="TextoNormal"/>
      </w:pPr>
      <w:r>
        <w:t>Esta consideración se confirma si tenemos en cuenta la tramitación parlamentaria de la norma, concretamente, el modo en que se ejerció la iniciativa legislativa. Así, la tramitación de la Ley de amnistía como proposición de ley, en lugar de como proyecto de ley, constituye también un elemento revelador de su imbricación con el proceso de investidura del presidente del Gobierno.</w:t>
      </w:r>
    </w:p>
    <w:p w14:paraId="49D15A92" w14:textId="77777777" w:rsidR="00A8138F" w:rsidRDefault="00A8138F" w:rsidP="00A8138F">
      <w:pPr>
        <w:pStyle w:val="TextoNormal"/>
      </w:pPr>
    </w:p>
    <w:p w14:paraId="5A4CF3F5" w14:textId="77777777" w:rsidR="00A8138F" w:rsidRDefault="00A8138F" w:rsidP="00A8138F">
      <w:pPr>
        <w:pStyle w:val="TextoNormal"/>
      </w:pPr>
      <w:r>
        <w:t>La opción por esta vía procedimental, que tiene una explicación por encontrarse el Gobierno en funciones y, por tanto, jurídicamente impedido para promover proyectos de ley [art. 21.5 b) de la Ley 50/1997, de 27 de noviembre, del Gobierno] permite constatar, adicionalmente, el carácter instrumental de la norma como requisito para la obtención de los apoyos necesarios para la investidura.</w:t>
      </w:r>
    </w:p>
    <w:p w14:paraId="5ACD863A" w14:textId="77777777" w:rsidR="00A8138F" w:rsidRDefault="00A8138F" w:rsidP="00A8138F">
      <w:pPr>
        <w:pStyle w:val="TextoNormal"/>
      </w:pPr>
    </w:p>
    <w:p w14:paraId="108F566C" w14:textId="77777777" w:rsidR="00A8138F" w:rsidRDefault="00A8138F" w:rsidP="00A8138F">
      <w:pPr>
        <w:pStyle w:val="TextoNormal"/>
      </w:pPr>
      <w:r>
        <w:t>Por último, el análisis de los debates parlamentarios habidos a lo largo de la tramitación de la Ley de amnistía no solo faculta para apreciar la estrecha vinculación entre la concesión de la amnistía y el proceso de investidura del presidente del Gobierno, sino que además arroja serias dudas sobre la autenticidad de la finalidad declarada en el preámbulo de la norma, a saber, la superación del conflicto político en Cataluña y la mejora de la convivencia. A modo ejemplificativo pueden citarse las siguientes intervenciones:</w:t>
      </w:r>
    </w:p>
    <w:p w14:paraId="3B743534" w14:textId="77777777" w:rsidR="00A8138F" w:rsidRDefault="00A8138F" w:rsidP="00A8138F">
      <w:pPr>
        <w:pStyle w:val="TextoNormal"/>
      </w:pPr>
    </w:p>
    <w:p w14:paraId="344C10AA" w14:textId="77777777" w:rsidR="00A8138F" w:rsidRDefault="00A8138F" w:rsidP="00A8138F">
      <w:pPr>
        <w:pStyle w:val="TextoNormal"/>
      </w:pPr>
      <w:r>
        <w:t>En la sesión del Pleno del Congreso de los Diputados, con objeto de la toma en consideración de la proposición de Ley de amnistía, de 12 de diciembre de 2023, el diputado señor Cervera Pinart, del Grupo Parlamentario Junts per Catalunya, afirmó:</w:t>
      </w:r>
    </w:p>
    <w:p w14:paraId="4F521D1C" w14:textId="77777777" w:rsidR="00A8138F" w:rsidRDefault="00A8138F" w:rsidP="00A8138F">
      <w:pPr>
        <w:pStyle w:val="TextoNormal"/>
      </w:pPr>
    </w:p>
    <w:p w14:paraId="0013DAD9" w14:textId="77777777" w:rsidR="00A8138F" w:rsidRDefault="00A8138F" w:rsidP="00A8138F">
      <w:pPr>
        <w:pStyle w:val="TextoNormal"/>
      </w:pPr>
      <w:r>
        <w:t>“Gracias, presidenta.</w:t>
      </w:r>
    </w:p>
    <w:p w14:paraId="0B7B6B9D" w14:textId="77777777" w:rsidR="00A8138F" w:rsidRDefault="00A8138F" w:rsidP="00A8138F">
      <w:pPr>
        <w:pStyle w:val="TextoNormal"/>
      </w:pPr>
    </w:p>
    <w:p w14:paraId="47E88EEF" w14:textId="77777777" w:rsidR="00A8138F" w:rsidRDefault="00A8138F" w:rsidP="00A8138F">
      <w:pPr>
        <w:pStyle w:val="TextoNormal"/>
      </w:pPr>
      <w:r>
        <w:t>Buenas tardes, señorías, hoy —y en catalán— encaramos la toma en consideración de la Ley Orgánica de amnistía, presentada por el Grupo Socialista, como condición previa para que los siete votos de Junts facilitasen la investidura de Pedro Sánchez.</w:t>
      </w:r>
    </w:p>
    <w:p w14:paraId="501B4D4C" w14:textId="77777777" w:rsidR="00A8138F" w:rsidRDefault="00A8138F" w:rsidP="00A8138F">
      <w:pPr>
        <w:pStyle w:val="TextoNormal"/>
      </w:pPr>
    </w:p>
    <w:p w14:paraId="0C064E2B" w14:textId="77777777" w:rsidR="00A8138F" w:rsidRDefault="00A8138F" w:rsidP="00A8138F">
      <w:pPr>
        <w:pStyle w:val="TextoNormal"/>
      </w:pPr>
      <w:r>
        <w:t>[…]</w:t>
      </w:r>
    </w:p>
    <w:p w14:paraId="14738F97" w14:textId="77777777" w:rsidR="00A8138F" w:rsidRDefault="00A8138F" w:rsidP="00A8138F">
      <w:pPr>
        <w:pStyle w:val="TextoNormal"/>
      </w:pPr>
    </w:p>
    <w:p w14:paraId="393DF274" w14:textId="77777777" w:rsidR="00A8138F" w:rsidRDefault="00A8138F" w:rsidP="00A8138F">
      <w:pPr>
        <w:pStyle w:val="TextoNormal"/>
      </w:pPr>
      <w:r>
        <w:t>Lo que estamos haciendo no va de perdón ni de convivencia. Dicho de otro modo, va de reparar una injusticia, de hacer justicia, aquella que no han hecho los jueces y tribunales, que han primado la unidad de la patria, abusando del Derecho penal para castigar la disidencia durante todo el procés. Y si se aprueba la amnistía en el sentido que la hemos trabajado, en ningún caso significará que nuestro pueblo olvida y perdona; en ningún caso será una renuncia a la independencia de Cataluña.</w:t>
      </w:r>
    </w:p>
    <w:p w14:paraId="2EE64CB7" w14:textId="77777777" w:rsidR="00A8138F" w:rsidRDefault="00A8138F" w:rsidP="00A8138F">
      <w:pPr>
        <w:pStyle w:val="TextoNormal"/>
      </w:pPr>
    </w:p>
    <w:p w14:paraId="00906F84" w14:textId="77777777" w:rsidR="00A8138F" w:rsidRDefault="00A8138F" w:rsidP="00A8138F">
      <w:pPr>
        <w:pStyle w:val="TextoNormal"/>
      </w:pPr>
      <w:r>
        <w:t>[…]</w:t>
      </w:r>
    </w:p>
    <w:p w14:paraId="2CCB2088" w14:textId="77777777" w:rsidR="00A8138F" w:rsidRDefault="00A8138F" w:rsidP="00A8138F">
      <w:pPr>
        <w:pStyle w:val="TextoNormal"/>
      </w:pPr>
    </w:p>
    <w:p w14:paraId="7D540D9D" w14:textId="77777777" w:rsidR="00A8138F" w:rsidRDefault="00A8138F" w:rsidP="00A8138F">
      <w:pPr>
        <w:pStyle w:val="TextoNormal"/>
      </w:pPr>
      <w:r>
        <w:t>Somos tan conscientes, que hoy sabemos que vivimos un hecho excepcional, porque los mismos que votaron el 155, que nos han espiado, que nos han puesto en las listas de terroristas, votarán a favor de lo que nos han negado en los últimos años. Esta es la virtud de Junts, y es que cuando Junts entra en la ecuación pasan cosas. Pasan cosas que nos decían que eran imposibles.</w:t>
      </w:r>
    </w:p>
    <w:p w14:paraId="0CC5416C" w14:textId="77777777" w:rsidR="00A8138F" w:rsidRDefault="00A8138F" w:rsidP="00A8138F">
      <w:pPr>
        <w:pStyle w:val="TextoNormal"/>
      </w:pPr>
    </w:p>
    <w:p w14:paraId="748AAF92" w14:textId="77777777" w:rsidR="00A8138F" w:rsidRDefault="00A8138F" w:rsidP="00A8138F">
      <w:pPr>
        <w:pStyle w:val="TextoNormal"/>
      </w:pPr>
      <w:r>
        <w:t>Nosotros también votaremos a favor de esta toma en consideración. Lo haremos convencidos de que la amnistía ayudará a abrir una vía muy difícil, la de la negociación entre dos naciones: la española y la catalana, una negociación de tú a tú para decidir nuestro futuro, que para Junts, para nosotros, solo puede ser uno: el de una Cataluña libre”.</w:t>
      </w:r>
    </w:p>
    <w:p w14:paraId="198EBCA7" w14:textId="77777777" w:rsidR="00A8138F" w:rsidRDefault="00A8138F" w:rsidP="00A8138F">
      <w:pPr>
        <w:pStyle w:val="TextoNormal"/>
      </w:pPr>
    </w:p>
    <w:p w14:paraId="52FA05D9" w14:textId="77777777" w:rsidR="00A8138F" w:rsidRDefault="00A8138F" w:rsidP="00A8138F">
      <w:pPr>
        <w:pStyle w:val="TextoNormal"/>
      </w:pPr>
      <w:r>
        <w:t>En la sesión de la comisión de justicia del Congreso de los Diputados del día 7 de marzo de 2024, el diputado señor Cervera Pinart, del Grupo Parlamentario Junts per Catalunya, afirmó:</w:t>
      </w:r>
    </w:p>
    <w:p w14:paraId="30800988" w14:textId="77777777" w:rsidR="00A8138F" w:rsidRDefault="00A8138F" w:rsidP="00A8138F">
      <w:pPr>
        <w:pStyle w:val="TextoNormal"/>
      </w:pPr>
    </w:p>
    <w:p w14:paraId="6B732A0E" w14:textId="77777777" w:rsidR="00A8138F" w:rsidRDefault="00A8138F" w:rsidP="00A8138F">
      <w:pPr>
        <w:pStyle w:val="TextoNormal"/>
      </w:pPr>
      <w:r>
        <w:t>“Y aunque la votación definitiva la tendremos la semana que viene en el Pleno, me permitirán transmitir un agradecimiento por el mucho y buen trabajo hecho por todo el equipo de juristas, encabezados por Gonzalo Boye y Josep Pagès, y también a todo el equipo negociador, liderado, como ustedes saben, por el legítimo presidente de Cataluña, el presidente Puigdemont, por nuestro secretario general, Jordi Turull, y nuestra portavoz, Míriam Nogueras.</w:t>
      </w:r>
    </w:p>
    <w:p w14:paraId="66A99859" w14:textId="77777777" w:rsidR="00A8138F" w:rsidRDefault="00A8138F" w:rsidP="00A8138F">
      <w:pPr>
        <w:pStyle w:val="TextoNormal"/>
      </w:pPr>
    </w:p>
    <w:p w14:paraId="3417D784" w14:textId="77777777" w:rsidR="00A8138F" w:rsidRDefault="00A8138F" w:rsidP="00A8138F">
      <w:pPr>
        <w:pStyle w:val="TextoNormal"/>
      </w:pPr>
      <w:r>
        <w:t>Y querría acabar refiriéndome a</w:t>
      </w:r>
      <w:r w:rsidRPr="00A8138F">
        <w:rPr>
          <w:i/>
        </w:rPr>
        <w:t>l no surrend</w:t>
      </w:r>
      <w:r>
        <w:t>er y el persistir con el que nos identificamos la gente de Junts y con el que a menudo sabios iluminados y opinadores de vida triste han hecho mofa y que hoy seguramente se entiende mejor. Hoy e</w:t>
      </w:r>
      <w:r w:rsidRPr="00A8138F">
        <w:rPr>
          <w:i/>
        </w:rPr>
        <w:t>l no surrend</w:t>
      </w:r>
      <w:r>
        <w:t>er y el persistir toman más sentido que nunca porque nos permiten enviar un mensaje de esperanza, hoy sí, absolutamente a todas las personas injustamente represaliadas y a sus familias, que desde el primer momento han sido el motor de nuestra negociación política. Esta ley de amnistía, ahora sí, va por todas ellas”.</w:t>
      </w:r>
    </w:p>
    <w:p w14:paraId="33148653" w14:textId="77777777" w:rsidR="00A8138F" w:rsidRDefault="00A8138F" w:rsidP="00A8138F">
      <w:pPr>
        <w:pStyle w:val="TextoNormal"/>
      </w:pPr>
    </w:p>
    <w:p w14:paraId="4227D58F" w14:textId="77777777" w:rsidR="00A8138F" w:rsidRDefault="00A8138F" w:rsidP="00A8138F">
      <w:pPr>
        <w:pStyle w:val="TextoNormal"/>
      </w:pPr>
      <w:r>
        <w:t>En la sesión de la comisión conjunta de las comisiones constitucional y de justicia del Senado, de 9 de mayo de 2024, el senador señor Cleries i González, del Grupo Parlamentario Plural (en el que se integra el partido político Junts per Catalunya), afirmó:</w:t>
      </w:r>
    </w:p>
    <w:p w14:paraId="52739642" w14:textId="77777777" w:rsidR="00A8138F" w:rsidRDefault="00A8138F" w:rsidP="00A8138F">
      <w:pPr>
        <w:pStyle w:val="TextoNormal"/>
      </w:pPr>
    </w:p>
    <w:p w14:paraId="52E9A555" w14:textId="77777777" w:rsidR="00A8138F" w:rsidRDefault="00A8138F" w:rsidP="00A8138F">
      <w:pPr>
        <w:pStyle w:val="TextoNormal"/>
      </w:pPr>
      <w:r>
        <w:t>“Esta proposición de ley presentada por el Grupo Socialista, no por convicción, como ahora pretende vender Salvador Illa, sino como resultado del acuerdo de investidura con Junts per Catalunya.</w:t>
      </w:r>
    </w:p>
    <w:p w14:paraId="753A55A6" w14:textId="77777777" w:rsidR="00A8138F" w:rsidRDefault="00A8138F" w:rsidP="00A8138F">
      <w:pPr>
        <w:pStyle w:val="TextoNormal"/>
      </w:pPr>
    </w:p>
    <w:p w14:paraId="1AD64AD3" w14:textId="77777777" w:rsidR="00A8138F" w:rsidRDefault="00A8138F" w:rsidP="00A8138F">
      <w:pPr>
        <w:pStyle w:val="TextoNormal"/>
      </w:pPr>
      <w:r>
        <w:t>[…]</w:t>
      </w:r>
    </w:p>
    <w:p w14:paraId="0DD76988" w14:textId="77777777" w:rsidR="00A8138F" w:rsidRDefault="00A8138F" w:rsidP="00A8138F">
      <w:pPr>
        <w:pStyle w:val="TextoNormal"/>
      </w:pPr>
    </w:p>
    <w:p w14:paraId="1C4D299E" w14:textId="77777777" w:rsidR="00A8138F" w:rsidRDefault="00A8138F" w:rsidP="00A8138F">
      <w:pPr>
        <w:pStyle w:val="TextoNormal"/>
      </w:pPr>
      <w:r>
        <w:t>Quiero hacer un reconocimiento al trabajo ingente de referentes como el abogado Gonzalo Boye o el exdiputado Josep Pagès, que han contribuido a hacer este texto de la ley de amnistía.</w:t>
      </w:r>
    </w:p>
    <w:p w14:paraId="2753D375" w14:textId="77777777" w:rsidR="00A8138F" w:rsidRDefault="00A8138F" w:rsidP="00A8138F">
      <w:pPr>
        <w:pStyle w:val="TextoNormal"/>
      </w:pPr>
    </w:p>
    <w:p w14:paraId="27CE8C13" w14:textId="77777777" w:rsidR="00A8138F" w:rsidRDefault="00A8138F" w:rsidP="00A8138F">
      <w:pPr>
        <w:pStyle w:val="TextoNormal"/>
      </w:pPr>
      <w:r>
        <w:t>[…]</w:t>
      </w:r>
    </w:p>
    <w:p w14:paraId="73F101CD" w14:textId="77777777" w:rsidR="00A8138F" w:rsidRDefault="00A8138F" w:rsidP="00A8138F">
      <w:pPr>
        <w:pStyle w:val="TextoNormal"/>
      </w:pPr>
    </w:p>
    <w:p w14:paraId="3443EB5B" w14:textId="77777777" w:rsidR="00A8138F" w:rsidRDefault="00A8138F" w:rsidP="00A8138F">
      <w:pPr>
        <w:pStyle w:val="TextoNormal"/>
      </w:pPr>
      <w:r>
        <w:t>Hay quien afirma querer pasar página con esta amnistía. Les quiero dejar muy claro que lo único que dejamos atrás es la represión y la injusticia. Lo demás sigue presente. Cuando hablan de pasar página, ustedes pretenden bajar la persiana de nuestra nación, de Cataluña, de nuestras reivindicaciones, de nuestra lengua, y no lo vamos a permitir de ninguna de las maneras. El conflicto político e histórico entre la nación catalana y la española sigue existiendo. Lo que estamos haciendo no va ni de perdón ni de convivencia, no se engañen. Va de reparar una injusticia, de hacer justicia, aquella que no han hecho los jueces y tribunales, que han primado una supuesta unidad de la patria abusando del derecho penal para castigar la disidencia durante todo el proceso.</w:t>
      </w:r>
    </w:p>
    <w:p w14:paraId="60E427F2" w14:textId="77777777" w:rsidR="00A8138F" w:rsidRDefault="00A8138F" w:rsidP="00A8138F">
      <w:pPr>
        <w:pStyle w:val="TextoNormal"/>
      </w:pPr>
    </w:p>
    <w:p w14:paraId="381A0075" w14:textId="77777777" w:rsidR="00A8138F" w:rsidRDefault="00A8138F" w:rsidP="00A8138F">
      <w:pPr>
        <w:pStyle w:val="TextoNormal"/>
      </w:pPr>
      <w:r>
        <w:t>La amnistía, en el sentido que la hemos trabajado, en ningún caso significará que nuestro pueblo olvida y perdona. En ningún caso será una renuncia a la independencia de Cataluña. Lo que hace la amnistía, esta amnistía, como siempre ha dicho el president Carles Puigdemont, es simplemente devolver a la política lo que es de la política, eso sí, abriendo una ventana de oportunidad para negociar de tú a tú el futuro de Cataluña, de una Cataluña que nosaltres volem lliure”.</w:t>
      </w:r>
    </w:p>
    <w:p w14:paraId="3710D085" w14:textId="77777777" w:rsidR="00A8138F" w:rsidRDefault="00A8138F" w:rsidP="00A8138F">
      <w:pPr>
        <w:pStyle w:val="TextoNormal"/>
      </w:pPr>
    </w:p>
    <w:p w14:paraId="76CE5A46" w14:textId="77777777" w:rsidR="00A8138F" w:rsidRDefault="00A8138F" w:rsidP="00A8138F">
      <w:pPr>
        <w:pStyle w:val="TextoNormal"/>
      </w:pPr>
      <w:r>
        <w:t>En la sesión del Pleno del Congreso de los Diputados (tras el veto del Senado) de 30 de mayo de 2024, la diputada señora Nogueras i Camero, del Grupo Parlamentario Junts per Catalunya, afirmó:</w:t>
      </w:r>
    </w:p>
    <w:p w14:paraId="3284B020" w14:textId="77777777" w:rsidR="00A8138F" w:rsidRDefault="00A8138F" w:rsidP="00A8138F">
      <w:pPr>
        <w:pStyle w:val="TextoNormal"/>
      </w:pPr>
    </w:p>
    <w:p w14:paraId="46A14A88" w14:textId="77777777" w:rsidR="00A8138F" w:rsidRDefault="00A8138F" w:rsidP="00A8138F">
      <w:pPr>
        <w:pStyle w:val="TextoNormal"/>
      </w:pPr>
      <w:r>
        <w:t>“Hoy es un día histórico en toda la amplitud del término. Hoy no se perdona, hoy se gana; se gana una batalla del conflicto que hace siglos existe entre las dos naciones: la nación catalana y la nación española. Esta ley no es perdón ni es clemencia, es victoria, una victoria democrática y colectiva en la cual ciertamente todos tenemos determinada responsabilidad.</w:t>
      </w:r>
    </w:p>
    <w:p w14:paraId="211EE35B" w14:textId="77777777" w:rsidR="00A8138F" w:rsidRDefault="00A8138F" w:rsidP="00A8138F">
      <w:pPr>
        <w:pStyle w:val="TextoNormal"/>
      </w:pPr>
    </w:p>
    <w:p w14:paraId="0CA36086" w14:textId="77777777" w:rsidR="00A8138F" w:rsidRDefault="00A8138F" w:rsidP="00A8138F">
      <w:pPr>
        <w:pStyle w:val="TextoNormal"/>
      </w:pPr>
      <w:r>
        <w:t>[…]</w:t>
      </w:r>
    </w:p>
    <w:p w14:paraId="00D4358C" w14:textId="77777777" w:rsidR="00A8138F" w:rsidRDefault="00A8138F" w:rsidP="00A8138F">
      <w:pPr>
        <w:pStyle w:val="TextoNormal"/>
      </w:pPr>
    </w:p>
    <w:p w14:paraId="0A4E057E" w14:textId="77777777" w:rsidR="00A8138F" w:rsidRDefault="00A8138F" w:rsidP="00A8138F">
      <w:pPr>
        <w:pStyle w:val="TextoNormal"/>
      </w:pPr>
      <w:r>
        <w:t>Esta ley no es de pacificación, como algunos pretenden presentarla, es de reparación de una parte de las injusticias cometidas en estos años de persecución al independentismo catalán, y es fruto de la fuerza negociadora que los ciudadanos de Cataluña, con sus votos, nos han dado.</w:t>
      </w:r>
    </w:p>
    <w:p w14:paraId="1486158F" w14:textId="77777777" w:rsidR="00A8138F" w:rsidRDefault="00A8138F" w:rsidP="00A8138F">
      <w:pPr>
        <w:pStyle w:val="TextoNormal"/>
      </w:pPr>
    </w:p>
    <w:p w14:paraId="4EC30F2A" w14:textId="77777777" w:rsidR="00A8138F" w:rsidRDefault="00A8138F" w:rsidP="00A8138F">
      <w:pPr>
        <w:pStyle w:val="TextoNormal"/>
      </w:pPr>
      <w:r>
        <w:t>[…]</w:t>
      </w:r>
    </w:p>
    <w:p w14:paraId="5277CBDB" w14:textId="77777777" w:rsidR="00A8138F" w:rsidRDefault="00A8138F" w:rsidP="00A8138F">
      <w:pPr>
        <w:pStyle w:val="TextoNormal"/>
      </w:pPr>
    </w:p>
    <w:p w14:paraId="33075941" w14:textId="77777777" w:rsidR="00A8138F" w:rsidRDefault="00A8138F" w:rsidP="00A8138F">
      <w:pPr>
        <w:pStyle w:val="TextoNormal"/>
      </w:pPr>
      <w:r>
        <w:t>Hoy se aprueba una ley de amnistía porque lo hemos forzado […]</w:t>
      </w:r>
    </w:p>
    <w:p w14:paraId="2E850EDA" w14:textId="77777777" w:rsidR="00A8138F" w:rsidRDefault="00A8138F" w:rsidP="00A8138F">
      <w:pPr>
        <w:pStyle w:val="TextoNormal"/>
      </w:pPr>
    </w:p>
    <w:p w14:paraId="47951CD8" w14:textId="77777777" w:rsidR="00A8138F" w:rsidRDefault="00A8138F" w:rsidP="00A8138F">
      <w:pPr>
        <w:pStyle w:val="TextoNormal"/>
      </w:pPr>
      <w:r>
        <w:t>Como decía el president, Carles Puigdemont, en su conferencia del 5 de septiembre, que nadie se engañe, con el acuerdo de investidura y con la amnistía no se resolverá el problema de fondo, no hay una receta autonómica para resolver los problemas de Cataluña; lo determinante es el reconocimiento nacional de Cataluña. Seguimos aquí, y mientras los catalanes no alcancemos la plena libertad, seguiremos luchando.</w:t>
      </w:r>
    </w:p>
    <w:p w14:paraId="5BFA1A60" w14:textId="77777777" w:rsidR="00A8138F" w:rsidRDefault="00A8138F" w:rsidP="00A8138F">
      <w:pPr>
        <w:pStyle w:val="TextoNormal"/>
      </w:pPr>
    </w:p>
    <w:p w14:paraId="41013A1A" w14:textId="77777777" w:rsidR="00A8138F" w:rsidRDefault="00A8138F" w:rsidP="00A8138F">
      <w:pPr>
        <w:pStyle w:val="TextoNormal"/>
      </w:pPr>
      <w:r>
        <w:t>[…]</w:t>
      </w:r>
    </w:p>
    <w:p w14:paraId="23E833D9" w14:textId="77777777" w:rsidR="00A8138F" w:rsidRDefault="00A8138F" w:rsidP="00A8138F">
      <w:pPr>
        <w:pStyle w:val="TextoNormal"/>
      </w:pPr>
    </w:p>
    <w:p w14:paraId="10D1E8F5" w14:textId="77777777" w:rsidR="00A8138F" w:rsidRDefault="00A8138F" w:rsidP="00A8138F">
      <w:pPr>
        <w:pStyle w:val="TextoNormal"/>
      </w:pPr>
      <w:r>
        <w:t>Han insultado, amenazado, perseguido y demonizado al presidente Carles Puigdemont, han dicho que no se podía negociar con él, y hoy le necesitan, hoy negocian, porque lo hemos forzado. Nos dijeron que no habría amnistía y hoy tendremos amnistía, porque lo hemos forzado. Y nos dicen que nunca habrá independencia, y hoy tenemos más claro que nunca que es de ustedes de quienes menos depende; depende del pueblo de Cataluña.</w:t>
      </w:r>
    </w:p>
    <w:p w14:paraId="195E4DE8" w14:textId="77777777" w:rsidR="00A8138F" w:rsidRDefault="00A8138F" w:rsidP="00A8138F">
      <w:pPr>
        <w:pStyle w:val="TextoNormal"/>
      </w:pPr>
    </w:p>
    <w:p w14:paraId="0600BC9D" w14:textId="77777777" w:rsidR="00A8138F" w:rsidRDefault="00A8138F" w:rsidP="00A8138F">
      <w:pPr>
        <w:pStyle w:val="TextoNormal"/>
      </w:pPr>
      <w:r>
        <w:t>[…]</w:t>
      </w:r>
    </w:p>
    <w:p w14:paraId="5FC9044B" w14:textId="77777777" w:rsidR="00A8138F" w:rsidRDefault="00A8138F" w:rsidP="00A8138F">
      <w:pPr>
        <w:pStyle w:val="TextoNormal"/>
      </w:pPr>
    </w:p>
    <w:p w14:paraId="55353B53" w14:textId="77777777" w:rsidR="00A8138F" w:rsidRDefault="00A8138F" w:rsidP="00A8138F">
      <w:pPr>
        <w:pStyle w:val="TextoNormal"/>
      </w:pPr>
      <w:r>
        <w:t>Si me permite, presidenta, no quisiera retirarme sin que constara en el ‘Diario de Sesiones’ nuestro más sincero agradecimiento, de parte de Junts per Catalunya, a tres personas que han trabajado mucho por esta ley, Gonzalo Boye, Josep Pagès y el diputado Josep Maria Cervera. Muchas gracias a todos los que vais a votar que sí hoy a esta ley. Gracias, presidenta Forcadell. Gracias, conseller Turull. Gracias, vicepresidente Junqueras. Gracias, consejera Bassa”.</w:t>
      </w:r>
    </w:p>
    <w:p w14:paraId="6D44F1ED" w14:textId="77777777" w:rsidR="00A8138F" w:rsidRDefault="00A8138F" w:rsidP="00A8138F">
      <w:pPr>
        <w:pStyle w:val="TextoNormal"/>
      </w:pPr>
    </w:p>
    <w:p w14:paraId="2B81B536" w14:textId="77777777" w:rsidR="00A8138F" w:rsidRDefault="00A8138F" w:rsidP="00A8138F">
      <w:pPr>
        <w:pStyle w:val="TextoNormal"/>
      </w:pPr>
      <w:r>
        <w:t>Finalmente, en esta misma sesión del Congreso, el diputado señor Rufián Romero, del Grupo Parlamentario Republicano, afirmó:</w:t>
      </w:r>
    </w:p>
    <w:p w14:paraId="7EED5E3D" w14:textId="77777777" w:rsidR="00A8138F" w:rsidRDefault="00A8138F" w:rsidP="00A8138F">
      <w:pPr>
        <w:pStyle w:val="TextoNormal"/>
      </w:pPr>
    </w:p>
    <w:p w14:paraId="789A569C" w14:textId="77777777" w:rsidR="00A8138F" w:rsidRDefault="00A8138F" w:rsidP="00A8138F">
      <w:pPr>
        <w:pStyle w:val="TextoNormal"/>
      </w:pPr>
      <w:r>
        <w:t>“Hoy es un día histórico, porque estamos ante la primera derrota del régimen del 78”.</w:t>
      </w:r>
    </w:p>
    <w:p w14:paraId="2A36EA5D" w14:textId="77777777" w:rsidR="00A8138F" w:rsidRDefault="00A8138F" w:rsidP="00A8138F">
      <w:pPr>
        <w:pStyle w:val="TextoNormal"/>
      </w:pPr>
    </w:p>
    <w:p w14:paraId="77BB508A" w14:textId="77777777" w:rsidR="00A8138F" w:rsidRDefault="00A8138F" w:rsidP="00A8138F">
      <w:pPr>
        <w:pStyle w:val="TextoNormal"/>
      </w:pPr>
      <w:r>
        <w:t>El contenido de las anteriores intervenciones pertenecientes a diversos parlamentarios integrantes de formaciones políticas cuyos dirigentes resultarían beneficiarios directos de la Ley de amnistía, y cuyo voto afirmativo facultó su aprobación, pone de manifiesto una significativa disonancia entre la finalidad declarada en el preámbulo de la norma —esto es, la promoción de la convivencia, la cohesión social, la integración de distintas sensibilidades políticas y, en definitiva, la superación de las tensiones sociales derivadas del denominado proceso independentista catalán— y la justificación sustantiva expresada durante los debates parlamentarios en que se insistió en la no concepción de la amnistía como instrumento de reconciliación y en la vigencia del proyecto independentista y la inalterabilidad de sus objetivos políticos.</w:t>
      </w:r>
    </w:p>
    <w:p w14:paraId="72CFF50A" w14:textId="77777777" w:rsidR="00A8138F" w:rsidRDefault="00A8138F" w:rsidP="00A8138F">
      <w:pPr>
        <w:pStyle w:val="TextoNormal"/>
      </w:pPr>
    </w:p>
    <w:p w14:paraId="07512FB1" w14:textId="77777777" w:rsidR="00A8138F" w:rsidRDefault="00A8138F" w:rsidP="00A8138F">
      <w:pPr>
        <w:pStyle w:val="TextoNormal"/>
      </w:pPr>
      <w:r>
        <w:t>Esta disonancia entre la finalidad expuesta en el preámbulo y la declarada a lo largo del debate parlamentario de la ley es determinante para corroborar que la pretendida singularidad de la situación que justificaría la amnistía carece de entidad real, resultando una mera apariencia. Ello pone de relieve que la medida excepcional que introduce la Ley de amnistía no se desprende de manera inmediata del supuesto de hecho en que se funda, sino que ha sido construido de forma arbitraria por el legislador para dotar de cobertura formal a una decisión previamente adoptada por motivos alejados de los formalmente invocados.</w:t>
      </w:r>
    </w:p>
    <w:p w14:paraId="09B32715" w14:textId="77777777" w:rsidR="00A8138F" w:rsidRDefault="00A8138F" w:rsidP="00A8138F">
      <w:pPr>
        <w:pStyle w:val="TextoNormal"/>
      </w:pPr>
    </w:p>
    <w:p w14:paraId="2581CD62" w14:textId="77777777" w:rsidR="00A8138F" w:rsidRDefault="00A8138F" w:rsidP="00A8138F">
      <w:pPr>
        <w:pStyle w:val="TextoNormal"/>
      </w:pPr>
      <w:r>
        <w:t>No estamos, por tanto, ante una amnistía que se derive de forma natural y lógica del contexto fáctico esgrimido, sino que este ha sido deliberadamente configurado por el legislador para encubrir una finalidad distinta de aquella que, hipotéticamente, la validaría constitucionalmente. Se evidencia, así, la configuración artificiosa de un supuesto de hecho cre</w:t>
      </w:r>
      <w:r w:rsidRPr="00A8138F">
        <w:rPr>
          <w:i/>
        </w:rPr>
        <w:t>ado ex pro</w:t>
      </w:r>
      <w:r>
        <w:t>feso por el legislador.</w:t>
      </w:r>
    </w:p>
    <w:p w14:paraId="41D4BBF6" w14:textId="77777777" w:rsidR="00A8138F" w:rsidRDefault="00A8138F" w:rsidP="00A8138F">
      <w:pPr>
        <w:pStyle w:val="TextoNormal"/>
      </w:pPr>
    </w:p>
    <w:p w14:paraId="407758DE" w14:textId="77777777" w:rsidR="00A8138F" w:rsidRDefault="00A8138F" w:rsidP="00A8138F">
      <w:pPr>
        <w:pStyle w:val="TextoNormal"/>
      </w:pPr>
      <w:r>
        <w:t>Todo lo expuesto evidencia que con esta ley se ha producido un fraude al parlamentarismo. La misma tuvo su origen en una causa ilícita, al ser fruto de un pacto realizado fuera del Parlamento, en el extranjero, sin testigos, con una persona que se ha sustraído a la acción de la justicia, para su beneficio. La presentación de una proposición de ley, posteriormente aprobada con las irregularidades en su tramitación a las que luego me referiré, con afectación en la formación de la voluntad de la Cámara, sirvió para dar la apariencia de ser fruto de la soberanía popular.</w:t>
      </w:r>
    </w:p>
    <w:p w14:paraId="3265A916" w14:textId="77777777" w:rsidR="00A8138F" w:rsidRDefault="00A8138F" w:rsidP="00A8138F">
      <w:pPr>
        <w:pStyle w:val="TextoNormal"/>
      </w:pPr>
    </w:p>
    <w:p w14:paraId="0B9AA501" w14:textId="77777777" w:rsidR="00A8138F" w:rsidRDefault="00A8138F" w:rsidP="00A8138F">
      <w:pPr>
        <w:pStyle w:val="TextoNormal"/>
      </w:pPr>
      <w:r>
        <w:t>9. La alegada quiebra de la igualdad (art. 14 CE)</w:t>
      </w:r>
    </w:p>
    <w:p w14:paraId="39E2FBEF" w14:textId="77777777" w:rsidR="00A8138F" w:rsidRDefault="00A8138F" w:rsidP="00A8138F">
      <w:pPr>
        <w:pStyle w:val="TextoNormal"/>
      </w:pPr>
    </w:p>
    <w:p w14:paraId="05764B24" w14:textId="77777777" w:rsidR="00A8138F" w:rsidRDefault="00A8138F" w:rsidP="00A8138F">
      <w:pPr>
        <w:pStyle w:val="TextoNormal"/>
      </w:pPr>
      <w:r>
        <w:t>No es preciso razonar en demasía por qué, bajo la perspectiva antes ofrecida, la Ley de amnistía es también lesiva del principio de igualdad (art. 14 CE). Ante una expresión de la potestad legislativa tan sumamente arbitraria, el trato diferenciador que se opera a través de ella es claramente discriminatorio, pues la esencia de la igualdad es la de proscribir diferenciaciones o singularizaciones que carezcan de justificación objetivamente razonable (STC 166/1986, FJ 11), y ya hemos visto cómo la singularidad de la situación formalmente expuesta en el preámbulo de la Ley de amnistía no resulta inmediatamente de los hechos realmente acaecidos, sino de una construcción argumental falaz, por lo que no puede tenerse por compatible con el principio de igualdad.</w:t>
      </w:r>
    </w:p>
    <w:p w14:paraId="36E338F9" w14:textId="77777777" w:rsidR="00A8138F" w:rsidRDefault="00A8138F" w:rsidP="00A8138F">
      <w:pPr>
        <w:pStyle w:val="TextoNormal"/>
      </w:pPr>
    </w:p>
    <w:p w14:paraId="5C98B4D4" w14:textId="77777777" w:rsidR="00A8138F" w:rsidRDefault="00A8138F" w:rsidP="00A8138F">
      <w:pPr>
        <w:pStyle w:val="TextoNormal"/>
      </w:pPr>
      <w:r>
        <w:t>En cualquier caso, y con carácter subsidiario, es necesario combatir también, por su manifiesto error, la concreta solución dada por la sentencia en su fundamento jurídico 8 al motivo fundado en la quiebra de la igualdad. Para ello es necesario asumir, hipotéticamente, la tesis de la que parte la sentencia en el fundamento jurídico 7 de que la Ley de amnistía goza de una explicación racional fundamentada en “buscar una mejora de la convivencia y de la cohesión social, así como una integración de las diversas sensibilidades políticas, para superar, como objetivo de interés general, las tensiones sociales y políticas generadas con el denominado proceso independentista en Cataluña”; y, a partir de dicha hipotética base, que no comparto, ofreceré la siguiente argumentación que lleva a una solución distinta a la alcanzada en la sentencia.</w:t>
      </w:r>
    </w:p>
    <w:p w14:paraId="5801ED52" w14:textId="77777777" w:rsidR="00A8138F" w:rsidRDefault="00A8138F" w:rsidP="00A8138F">
      <w:pPr>
        <w:pStyle w:val="TextoNormal"/>
      </w:pPr>
    </w:p>
    <w:p w14:paraId="7B1292B4" w14:textId="77777777" w:rsidR="00A8138F" w:rsidRDefault="00A8138F" w:rsidP="00A8138F">
      <w:pPr>
        <w:pStyle w:val="TextoNormal"/>
      </w:pPr>
      <w:r>
        <w:t>Asumiendo, como se ha dicho, que la Ley de amnistía superase el control de razonabilidad, procedería su sometimiento al canon de proporcionalidad, para lo cual es necesario, conforme a nuestra jurisprudencia,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(entre otras, SSTC 170/2016, FJ 4; 152/2017, FJ 3, y 45/2018, FJ 4).</w:t>
      </w:r>
    </w:p>
    <w:p w14:paraId="2A9F2B2E" w14:textId="77777777" w:rsidR="00A8138F" w:rsidRDefault="00A8138F" w:rsidP="00A8138F">
      <w:pPr>
        <w:pStyle w:val="TextoNormal"/>
      </w:pPr>
    </w:p>
    <w:p w14:paraId="793AE2EE" w14:textId="77777777" w:rsidR="00A8138F" w:rsidRDefault="00A8138F" w:rsidP="00A8138F">
      <w:pPr>
        <w:pStyle w:val="TextoNormal"/>
      </w:pPr>
      <w:r>
        <w:t>A mi juicio, la Ley de amnistía no supera ninguna de estas condiciones:</w:t>
      </w:r>
    </w:p>
    <w:p w14:paraId="7AF78192" w14:textId="77777777" w:rsidR="00A8138F" w:rsidRDefault="00A8138F" w:rsidP="00A8138F">
      <w:pPr>
        <w:pStyle w:val="TextoNormal"/>
      </w:pPr>
    </w:p>
    <w:p w14:paraId="65745B08" w14:textId="77777777" w:rsidR="00A8138F" w:rsidRDefault="00A8138F" w:rsidP="00A8138F">
      <w:pPr>
        <w:pStyle w:val="TextoNormal"/>
      </w:pPr>
      <w:r>
        <w:t>a) En cuanto al juicio de idoneidad, si la finalidad de la Ley de amnistía consiste en mejorar la convivencia, la cohesión social, así como la integración de diversas sensibilidades políticas, es más que discutible que dichos fines sean alcanzables introduciendo una diferenciación materializada en la aplicación o exoneración, según la intención o propósito de su autor —a favor o en contra de la secesión o independencia de Cataluña o de la celebración de las consultas populares—, de la norma penal derivada de la conducta punible cometida por aquel.</w:t>
      </w:r>
    </w:p>
    <w:p w14:paraId="7EAC6578" w14:textId="77777777" w:rsidR="00A8138F" w:rsidRDefault="00A8138F" w:rsidP="00A8138F">
      <w:pPr>
        <w:pStyle w:val="TextoNormal"/>
      </w:pPr>
    </w:p>
    <w:p w14:paraId="165A213B" w14:textId="77777777" w:rsidR="00A8138F" w:rsidRDefault="00A8138F" w:rsidP="00A8138F">
      <w:pPr>
        <w:pStyle w:val="TextoNormal"/>
      </w:pPr>
      <w:r>
        <w:t>La propia sentencia es consciente de ello (FJ 8.3.4), solo que califica como mera “asimetría” esta diferencia de trato y afirma que “[n]i del texto de la ley ni de su preámbulo puede inferirse […] la razón justificativa” de ello, y considera en tal sentido que dicho efecto no resulta “racionalmente inteligible si se parte de los fines de reconciliación y favorecimiento del diálogo político que […] el propio legislador alega como justificativos de su renuncia al ejercicio de</w:t>
      </w:r>
      <w:r w:rsidRPr="00A8138F">
        <w:rPr>
          <w:i/>
        </w:rPr>
        <w:t>l ius punien</w:t>
      </w:r>
      <w:r>
        <w:t>di”, razón por la cual concluye apreciando una lesión del art. 14 CE, que, de forma cuestionable, se repara después por la propia sentencia desempeñando una suerte de función paralegislativa.</w:t>
      </w:r>
    </w:p>
    <w:p w14:paraId="5C7A11FA" w14:textId="77777777" w:rsidR="00A8138F" w:rsidRDefault="00A8138F" w:rsidP="00A8138F">
      <w:pPr>
        <w:pStyle w:val="TextoNormal"/>
      </w:pPr>
    </w:p>
    <w:p w14:paraId="22CB777D" w14:textId="77777777" w:rsidR="00A8138F" w:rsidRDefault="00A8138F" w:rsidP="00A8138F">
      <w:pPr>
        <w:pStyle w:val="TextoNormal"/>
      </w:pPr>
      <w:r>
        <w:t>Es claro que una diferenciación de tal magnitud, en atención a las motivaciones ideológicas del sujeto responsable de la conducta de que se trate, no contribuye sino a una mayor polarización de la sociedad y a la exclusión de determinadas posiciones políticas, por lo que, desde este punto de vista, la Ley de amnistía no es idónea o adecuada para al supuesto fin constitucionalmente legítimo que persigue. La no superación del juicio de idoneidad llevaría, por sí sola e indefectiblemente, a declarar la Ley de amnistía inconstitucional por vulnerar el art. 14 CE.</w:t>
      </w:r>
    </w:p>
    <w:p w14:paraId="7246F299" w14:textId="77777777" w:rsidR="00A8138F" w:rsidRDefault="00A8138F" w:rsidP="00A8138F">
      <w:pPr>
        <w:pStyle w:val="TextoNormal"/>
      </w:pPr>
    </w:p>
    <w:p w14:paraId="39B6BC3F" w14:textId="77777777" w:rsidR="00A8138F" w:rsidRDefault="00A8138F" w:rsidP="00A8138F">
      <w:pPr>
        <w:pStyle w:val="TextoNormal"/>
      </w:pPr>
      <w:r>
        <w:t>b) Tampoco puede tenerse por superado, en cualquier caso, el juicio de necesidad. En su virtud, la medida implementada por el legislador ha de ser necesaria en el sentido de no existir otra medida, igual o más eficaz, para alcanzar el fin propuesto de forma menos lesiva.</w:t>
      </w:r>
    </w:p>
    <w:p w14:paraId="3F01A98D" w14:textId="77777777" w:rsidR="00A8138F" w:rsidRDefault="00A8138F" w:rsidP="00A8138F">
      <w:pPr>
        <w:pStyle w:val="TextoNormal"/>
      </w:pPr>
    </w:p>
    <w:p w14:paraId="0D779716" w14:textId="77777777" w:rsidR="00A8138F" w:rsidRDefault="00A8138F" w:rsidP="00A8138F">
      <w:pPr>
        <w:pStyle w:val="TextoNormal"/>
      </w:pPr>
      <w:r>
        <w:t>Es un juicio a realizar con cautela por ser limítrofe al enjuiciamiento de oportunidad o acierto político de la medida, sobre lo que este tribunal no ha de entrar. Por ello, prescindiendo, siquiera, de valorar otras medidas por las que hubiese podido optar el legislador para alcanzar el fin propuesto, cabe considerar que la misma medida implementada —la amnistía— pudo haberse articulado de forma menos lesiva y potencialmente más eficaz si el otorgamiento definitivo por parte del órgano aplicador del beneficio derivado de aquella se supeditara al compromiso del beneficiario de no reincidir en conductas de naturaleza equiparable a las amnistiadas.</w:t>
      </w:r>
    </w:p>
    <w:p w14:paraId="5811A947" w14:textId="77777777" w:rsidR="00A8138F" w:rsidRDefault="00A8138F" w:rsidP="00A8138F">
      <w:pPr>
        <w:pStyle w:val="TextoNormal"/>
      </w:pPr>
    </w:p>
    <w:p w14:paraId="677C7838" w14:textId="77777777" w:rsidR="00A8138F" w:rsidRDefault="00A8138F" w:rsidP="00A8138F">
      <w:pPr>
        <w:pStyle w:val="TextoNormal"/>
      </w:pPr>
      <w:r>
        <w:t>En mi opinión, el simple condicionamiento del efecto extintivo de la responsabilidad punitiva que tiene la amnistía contribuiría, por un lado, a reducir el impacto negativo que una medida de tipo disruptivo como esta produce en el ordenamiento constitucional y jurídico en general, generando una mayor aceptación social al evitar o minimizar que sea percibida como una forma de impunidad absoluta; y, por otro lado, a favorecer el cumplimiento de los fines perseguidos al incentivar una salida sostenible del —en este caso— invocado conflicto político, reforzando un objetivo de reconciliación pues, al efecto típico de exoneración, se unirían también los efectos preventivo y disuasorio.</w:t>
      </w:r>
    </w:p>
    <w:p w14:paraId="4B1D0386" w14:textId="77777777" w:rsidR="00A8138F" w:rsidRDefault="00A8138F" w:rsidP="00A8138F">
      <w:pPr>
        <w:pStyle w:val="TextoNormal"/>
      </w:pPr>
    </w:p>
    <w:p w14:paraId="62B34EA1" w14:textId="77777777" w:rsidR="00A8138F" w:rsidRDefault="00A8138F" w:rsidP="00A8138F">
      <w:pPr>
        <w:pStyle w:val="TextoNormal"/>
      </w:pPr>
      <w:r>
        <w:t>No se trata de que los sujetos amnistiables rueguen ser perdonados ni de que se despojen de sus ideales, pues nuestra Constitución no es militante, sino de que se comprometan a canalizar su ejercicio exclusivamente a través de los cauces previstos por el ordenamiento jurídico vigente, que son las normas de las que se han dotado los ciudadanos para regir su convivencia.</w:t>
      </w:r>
    </w:p>
    <w:p w14:paraId="07B76489" w14:textId="77777777" w:rsidR="00A8138F" w:rsidRDefault="00A8138F" w:rsidP="00A8138F">
      <w:pPr>
        <w:pStyle w:val="TextoNormal"/>
      </w:pPr>
    </w:p>
    <w:p w14:paraId="72C80C0F" w14:textId="77777777" w:rsidR="00A8138F" w:rsidRDefault="00A8138F" w:rsidP="00A8138F">
      <w:pPr>
        <w:pStyle w:val="TextoNormal"/>
      </w:pPr>
      <w:r>
        <w:t>Existía, por tanto, un modo menos gravoso y más eficaz de articular la amnistía, por lo que la Ley de amnistía resultaría aquí también desproporcionada desde la perspectiva ofrecida por el juicio de necesidad.</w:t>
      </w:r>
    </w:p>
    <w:p w14:paraId="751FBC9F" w14:textId="77777777" w:rsidR="00A8138F" w:rsidRDefault="00A8138F" w:rsidP="00A8138F">
      <w:pPr>
        <w:pStyle w:val="TextoNormal"/>
      </w:pPr>
    </w:p>
    <w:p w14:paraId="59B4676A" w14:textId="77777777" w:rsidR="00A8138F" w:rsidRDefault="00A8138F" w:rsidP="00A8138F">
      <w:pPr>
        <w:pStyle w:val="TextoNormal"/>
      </w:pPr>
      <w:r>
        <w:t>Finalmente, la Ley de amnistía es también contraria al art. 14 CE desde la óptica de la proporcionalidad en sentido estricto. Así, existen elementos que permiten desvirtuar los teóricos beneficios que para el interés general se derivarían de la Ley de amnistía respecto de los perjuicios, ampliamente abordados a lo largo del presente voto particular, sobre otros bienes en conflicto. La realidad de las cosas de nuevo permite cuestionar los deseos en que se apoya el legislador para justificar en su preámbulo las bondades de la ley.</w:t>
      </w:r>
    </w:p>
    <w:p w14:paraId="33558E26" w14:textId="77777777" w:rsidR="00A8138F" w:rsidRDefault="00A8138F" w:rsidP="00A8138F">
      <w:pPr>
        <w:pStyle w:val="TextoNormal"/>
      </w:pPr>
    </w:p>
    <w:p w14:paraId="2EBA451B" w14:textId="77777777" w:rsidR="00A8138F" w:rsidRDefault="00A8138F" w:rsidP="00A8138F">
      <w:pPr>
        <w:pStyle w:val="TextoNormal"/>
      </w:pPr>
      <w:r>
        <w:t>A estos efectos, si en el juicio de necesidad ha sido puesta de manifiesto la pertinencia de haber implementado un condicionamiento al otorgamiento definitivo de la amnistía, en el presente juicio se constatan ya las primeras consecuencias de no haberlo hecho, de acuerdo con el contenido de los debates parlamentarios, pues una cuestión es que en la hipótesis de asumir la tesis de la sentencia, sea atendible para verificar la razonabilidad de la justificación de la Ley de amnistía su preámbulo y no el contenido de las manifestaciones efectuadas en los debates parlamentarios, y otra distinta que a la hora de implementar el canon de proporcionalidad pueda negarse la existencia de dichas manifestaciones, pues existir, existieron, y así consta documentado, integrándose de esta forma en la realidad subyacente a este proceso constitucional, realidad sobre la cual este tribunal no puede cerrar los ojos (STC 43/2025, de 12 de febrero, FJ 3).</w:t>
      </w:r>
    </w:p>
    <w:p w14:paraId="1EE0395D" w14:textId="77777777" w:rsidR="00A8138F" w:rsidRDefault="00A8138F" w:rsidP="00A8138F">
      <w:pPr>
        <w:pStyle w:val="TextoNormal"/>
      </w:pPr>
    </w:p>
    <w:p w14:paraId="68F67BA1" w14:textId="77777777" w:rsidR="00A8138F" w:rsidRDefault="00A8138F" w:rsidP="00A8138F">
      <w:pPr>
        <w:pStyle w:val="TextoNormal"/>
      </w:pPr>
      <w:r>
        <w:t>Y ya se ha visto que gran parte de las intervenciones de los parlamentarios, sin cuyo voto afirmativo no hubiese resultado aprobada la Ley de amnistía, se caracterizaron por la persistencia en una dinámica de confrontación política y en la negativa a conceder a la ley una finalidad de pacificación o de mejora de la convivencia; por el contrario, en esas intervenciones se reafirmó la pervivencia de la conflictividad y la voluntad de perseverar en las actuaciones que —aparentemente, según el preámbulo— habrían motivado, precisamente, esta ley. Es en este punto reseñable lo ocurrido en el Pleno de aprobación definitiva de la norma, tras el veto del Senado, en el que se afirmó que ese era un día histórico por estar “ante la primera derrota del régimen del 78”, régimen, recuérdese, sustentado en la Constitución, de la que, justamente, como magistrados del Tribunal Constitucional, somos garantes.</w:t>
      </w:r>
    </w:p>
    <w:p w14:paraId="1D80BB9A" w14:textId="77777777" w:rsidR="00A8138F" w:rsidRDefault="00A8138F" w:rsidP="00A8138F">
      <w:pPr>
        <w:pStyle w:val="TextoNormal"/>
      </w:pPr>
    </w:p>
    <w:p w14:paraId="01F5C5D2" w14:textId="77777777" w:rsidR="00A8138F" w:rsidRDefault="00A8138F" w:rsidP="00A8138F">
      <w:pPr>
        <w:pStyle w:val="TextoNormal"/>
      </w:pPr>
      <w:r>
        <w:t>10. La alegada vulneración del derecho a la tutela judicial efectiva (art. 24.1 CE)</w:t>
      </w:r>
    </w:p>
    <w:p w14:paraId="00DAF30D" w14:textId="77777777" w:rsidR="00A8138F" w:rsidRDefault="00A8138F" w:rsidP="00A8138F">
      <w:pPr>
        <w:pStyle w:val="TextoNormal"/>
      </w:pPr>
    </w:p>
    <w:p w14:paraId="27447DD0" w14:textId="77777777" w:rsidR="00A8138F" w:rsidRDefault="00A8138F" w:rsidP="00A8138F">
      <w:pPr>
        <w:pStyle w:val="TextoNormal"/>
      </w:pPr>
      <w:r>
        <w:t>En primer lugar, he de ponerse de manifiesto que la sentencia, en el fundamento en el que expone las alegaciones de las partes, excluye indebidamente la queja de que la amnistía vulnera el art. 24.1 CE del objeto del recurso de inconstitucionalidad, señalando que “el art. 24.1 CE no puede ser objeto de examen al carecer de todo soporte argumental. [...] No obstante, como este motivo se formula también en relación con la pretendida inconstitucionalidad de la Ley de amnistía, será objeto de enjuiciamiento, en su caso, cuando se aborde esta cuestión”.</w:t>
      </w:r>
    </w:p>
    <w:p w14:paraId="26BFA6F1" w14:textId="77777777" w:rsidR="00A8138F" w:rsidRDefault="00A8138F" w:rsidP="00A8138F">
      <w:pPr>
        <w:pStyle w:val="TextoNormal"/>
      </w:pPr>
    </w:p>
    <w:p w14:paraId="540C8FC1" w14:textId="77777777" w:rsidR="00A8138F" w:rsidRDefault="00A8138F" w:rsidP="00A8138F">
      <w:pPr>
        <w:pStyle w:val="TextoNormal"/>
      </w:pPr>
      <w:r>
        <w:t>No comparto que la parte no haya levantado la carga alegatoria, ya que la parte recurrente argumentó la vulneración de “la división de poderes, la reserva de jurisdicción y la tutela judicial efectiva (artículos 1.1, 24.1, 117.3 y 118 CE)”, como motivos de inconstitucionalidad de la Ley de amnistía; y el Senado alegó que la amnistía constituía una excepción a la función jurisdiccional, e insistió sobre la reserva absoluta de jurisdicción de los arts. 117.3 y 118 CE. Por lo tanto, sin perjuicio del contraste de los concretos artículos de la Ley de amnistía recurridos con la tutela judicial efectiva, es palmario que, tanto la recurrente como el interviniente, argumentaron la contradicción de la amnistía con el ejercicio exclusivo de la potestad jurisdiccional por los tribunales ordinarios y con la tutela judicial efectiva que les corresponde proveer. Y sobre dicho particular (la trasgresión del art. 24.1 CE) la sentencia no se pronuncia en términos generales.</w:t>
      </w:r>
    </w:p>
    <w:p w14:paraId="20A3BEF8" w14:textId="77777777" w:rsidR="00A8138F" w:rsidRDefault="00A8138F" w:rsidP="00A8138F">
      <w:pPr>
        <w:pStyle w:val="TextoNormal"/>
      </w:pPr>
    </w:p>
    <w:p w14:paraId="02536CBB" w14:textId="77777777" w:rsidR="00A8138F" w:rsidRDefault="00A8138F" w:rsidP="00A8138F">
      <w:pPr>
        <w:pStyle w:val="TextoNormal"/>
      </w:pPr>
      <w:r>
        <w:t xml:space="preserve">La sentencia declara que “es doctrina constitucional reiterada que no existe el derecho fundamental a una condena penal, lo que conlleva que nadie puede invocar el art. 24.1 CE con el fin de que se ejecute una condena que impone una pena” (FJ 9.2), como derivación </w:t>
      </w:r>
      <w:r w:rsidRPr="00A8138F">
        <w:rPr>
          <w:i/>
        </w:rPr>
        <w:t>del ius puni</w:t>
      </w:r>
      <w:r>
        <w:t>endi cuya titularidad es exclusiva del Estado.</w:t>
      </w:r>
    </w:p>
    <w:p w14:paraId="04DE34B3" w14:textId="77777777" w:rsidR="00A8138F" w:rsidRDefault="00A8138F" w:rsidP="00A8138F">
      <w:pPr>
        <w:pStyle w:val="TextoNormal"/>
      </w:pPr>
    </w:p>
    <w:p w14:paraId="4BB13C90" w14:textId="77777777" w:rsidR="00A8138F" w:rsidRDefault="00A8138F" w:rsidP="00A8138F">
      <w:pPr>
        <w:pStyle w:val="TextoNormal"/>
      </w:pPr>
      <w:r>
        <w:t>Sin embargo, entiendo que de lo que aquí se trata no es del derecho al castigo, sino del derecho de los justiciables que ocupan la posición de parte procesal o que ostentan un interés legítimo a ejercer las facultades de actuación que les otorgan las normas procesales, tanto en los procesos declarativos, ejecutivos o cautelares, como en todas sus fases, en particular, el derecho a una investigación eficaz y suficiente de hechos con apariencia delictiva, manifestación que es del derecho a la tutela judicial efectiva.</w:t>
      </w:r>
    </w:p>
    <w:p w14:paraId="1F4FA0E0" w14:textId="77777777" w:rsidR="00A8138F" w:rsidRDefault="00A8138F" w:rsidP="00A8138F">
      <w:pPr>
        <w:pStyle w:val="TextoNormal"/>
      </w:pPr>
    </w:p>
    <w:p w14:paraId="7E221904" w14:textId="77777777" w:rsidR="00A8138F" w:rsidRDefault="00A8138F" w:rsidP="00A8138F">
      <w:pPr>
        <w:pStyle w:val="TextoNormal"/>
      </w:pPr>
      <w:r>
        <w:t>La Ley de amnistía no solo exceptúa la exclusividad jurisdiccional, imponiendo a los jueces aplicar la amnistía, sino que además establece que al hacerlo enjuicien empleando reglas procesales extraordinarias; privando a los perjudicados de facultades de alegación y prueba y remitiendo a los mismos a la vía civil para reclamar el resarcimiento debido.</w:t>
      </w:r>
    </w:p>
    <w:p w14:paraId="507A2F9B" w14:textId="77777777" w:rsidR="00A8138F" w:rsidRDefault="00A8138F" w:rsidP="00A8138F">
      <w:pPr>
        <w:pStyle w:val="TextoNormal"/>
      </w:pPr>
    </w:p>
    <w:p w14:paraId="5A8C621B" w14:textId="77777777" w:rsidR="00A8138F" w:rsidRDefault="00A8138F" w:rsidP="00A8138F">
      <w:pPr>
        <w:pStyle w:val="TextoNormal"/>
      </w:pPr>
      <w:r>
        <w:t>Me resulta evidente que la Ley de amnistía, al extinguir los procesos judiciales en oposición a las previsiones constitucionales, por las razones que vengo exponiendo a lo largo de este voto particular, priva a los justiciables de derechos fundamentales de naturaleza procesal de los que son titulares, como son</w:t>
      </w:r>
      <w:r w:rsidRPr="00A8138F">
        <w:rPr>
          <w:i/>
        </w:rPr>
        <w:t xml:space="preserve"> el ius ut proced</w:t>
      </w:r>
      <w:r>
        <w:t>atur y el derecho a la ejecución de las resoluciones judiciales en sus propios términos, ninguno de los dos identificables con el derecho sustantivo al castigo, como acabo de indicar.</w:t>
      </w:r>
    </w:p>
    <w:p w14:paraId="4E890194" w14:textId="77777777" w:rsidR="00A8138F" w:rsidRDefault="00A8138F" w:rsidP="00A8138F">
      <w:pPr>
        <w:pStyle w:val="TextoNormal"/>
      </w:pPr>
    </w:p>
    <w:p w14:paraId="077280B9" w14:textId="77777777" w:rsidR="00A8138F" w:rsidRDefault="00A8138F" w:rsidP="00A8138F">
      <w:pPr>
        <w:pStyle w:val="TextoNormal"/>
      </w:pPr>
      <w:r>
        <w:t>Como he expuesto, esta situación lesiva para derechos fundamentales ha sido provocada mediante una ley singular, tal como es calificada por el propio legislador, cuando este tribunal ha declarado que “no es posible condicionar o impedir por una ley singular el ejercicio de derechos fundamentales que son materia reservada a leyes generales (STC 166/1986, de 19 de diciembre, FJ 11)” (STC 203/2013, de 5 de diciembre, FJ 4).</w:t>
      </w:r>
    </w:p>
    <w:p w14:paraId="5CC5CA68" w14:textId="77777777" w:rsidR="00A8138F" w:rsidRDefault="00A8138F" w:rsidP="00A8138F">
      <w:pPr>
        <w:pStyle w:val="TextoNormal"/>
      </w:pPr>
    </w:p>
    <w:p w14:paraId="52CDDF27" w14:textId="77777777" w:rsidR="00A8138F" w:rsidRDefault="00A8138F" w:rsidP="00A8138F">
      <w:pPr>
        <w:pStyle w:val="TextoNormal"/>
      </w:pPr>
      <w:r>
        <w:t>En lo relativo al derecho a la ejecución de las resoluciones judiciales, sin distinción de la materia que sea objeto de pronunciamiento, he señalado que es un derecho que asiste a quienes tienen la condición de parte u ostentan un interés legítimo, diferente de aquel del que se sea titular en la situación jurídico material subyacente (como</w:t>
      </w:r>
      <w:r w:rsidRPr="00A8138F">
        <w:rPr>
          <w:i/>
        </w:rPr>
        <w:t xml:space="preserve"> el ius puni</w:t>
      </w:r>
      <w:r>
        <w:t>endi o el derecho al resarcimiento civil).</w:t>
      </w:r>
    </w:p>
    <w:p w14:paraId="19F53A9E" w14:textId="77777777" w:rsidR="00A8138F" w:rsidRDefault="00A8138F" w:rsidP="00A8138F">
      <w:pPr>
        <w:pStyle w:val="TextoNormal"/>
      </w:pPr>
    </w:p>
    <w:p w14:paraId="11110410" w14:textId="77777777" w:rsidR="00A8138F" w:rsidRDefault="00A8138F" w:rsidP="00A8138F">
      <w:pPr>
        <w:pStyle w:val="TextoNormal"/>
      </w:pPr>
      <w:r>
        <w:t>La doctrina constitucional se ha pronunciado en esta materia, entre otras, en la STC 73/2000, de 14 de marzo, que declara en el fundamento jurídico 10, lo siguiente:</w:t>
      </w:r>
    </w:p>
    <w:p w14:paraId="1F4C850C" w14:textId="77777777" w:rsidR="00A8138F" w:rsidRDefault="00A8138F" w:rsidP="00A8138F">
      <w:pPr>
        <w:pStyle w:val="TextoNormal"/>
      </w:pPr>
    </w:p>
    <w:p w14:paraId="6A550C09" w14:textId="77777777" w:rsidR="00A8138F" w:rsidRDefault="00A8138F" w:rsidP="00A8138F">
      <w:pPr>
        <w:pStyle w:val="TextoNormal"/>
      </w:pPr>
      <w:r>
        <w:t>“[L]a duda de inconstitucionalidad de la Sala basada en el art. 24.1 CE requiere determinar [...] si se infringe este precepto en aquellos supuestos en los que el efecto directo de una ley o del régimen jurídico de una materia en ella establecido es, precisamente, el de impedir que un determinado fallo judicial se cumpla. Pues es claro que en esos supuestos podría quedar afectado el derecho a la ejecución de las resoluciones judiciales firmes que la Constitución reconoce y garantiza, por entrañar un efecto obstativo para el cumplimiento del fallo.</w:t>
      </w:r>
    </w:p>
    <w:p w14:paraId="4A675D8D" w14:textId="77777777" w:rsidR="00A8138F" w:rsidRDefault="00A8138F" w:rsidP="00A8138F">
      <w:pPr>
        <w:pStyle w:val="TextoNormal"/>
      </w:pPr>
    </w:p>
    <w:p w14:paraId="33DDE4D8" w14:textId="77777777" w:rsidR="00A8138F" w:rsidRDefault="00A8138F" w:rsidP="00A8138F">
      <w:pPr>
        <w:pStyle w:val="TextoNormal"/>
      </w:pPr>
      <w:r>
        <w:t>a) En efecto, ha de tenerse presente, de un lado, que el derecho a la tutela judicial en la que se integra el derecho a la ejecución ‘se califica por la nota de efectividad’ en nuestra Constitución (STC 1/1981, de 26 de enero, FJ 1). Por lo que hemos declarado que solo cuando se da cumplimiento a las resoluciones judiciales firmes ‘el derecho al proceso se hace real y efectivo ya que, si fuera de otro modo, el derecho no pasaría de ser una entidad ilusoria’ (STC 61/1984, de 16 de mayo, FJ 1), al igual que las decisiones judiciales ‘no serían otra cosa que meras declaraciones de intenciones sin alcance práctico ni efectividad alguna’ (STC 107/1992, de 1 de julio, con cita de las SSTC 167/1987, de 28 de octubre, y 92/1988, de 23 de mayo). De otro lado, también se ha declarado que el cumplimiento de lo acordado por los jueces y tribunales en el ejercicio de su función jurisdiccional constituye una ‘exigencia objetiva del sistema jurídico’ y ‘una de las más importantes garantías para el funcionamiento y desarrollo del Estado de Derecho’ (STC 15/1986, de 31 de enero, FJ 3), pues implica, entre otras manifestaciones, ‘la vinculación de todos los sujetos al ordenamiento jurídico y a las decisiones que adoptan los órganos judiciales, no solo juzgando sino también haciendo ejecutar lo juzgado’ (STC 107/1992, FJ 2, con cita de las SSTC 67/1984, de 7 de junio, y 92/1988, de 23 de mayo).</w:t>
      </w:r>
    </w:p>
    <w:p w14:paraId="52F85732" w14:textId="77777777" w:rsidR="00A8138F" w:rsidRDefault="00A8138F" w:rsidP="00A8138F">
      <w:pPr>
        <w:pStyle w:val="TextoNormal"/>
      </w:pPr>
    </w:p>
    <w:p w14:paraId="4974B0D3" w14:textId="77777777" w:rsidR="00A8138F" w:rsidRDefault="00A8138F" w:rsidP="00A8138F">
      <w:pPr>
        <w:pStyle w:val="TextoNormal"/>
      </w:pPr>
      <w:r>
        <w:t>Ciertamente, el derecho constitucional a la ejecución de las resoluciones judiciales firmes ‘participa de la naturaleza de derecho de prestación que caracteriza a aquel en que viene integrado y, en tal sentido, sus concretas condiciones de ejercicio corresponde establecerlas al legislador, y ello hace indudable que el derecho a que se ejecuten las resoluciones judiciales firmes viene sometido a los requisitos y limitaciones formales y materiales que disponga la legislación’. Aunque a continuación hemos declarado que ‘Sin embargo, esta potestad de mediación legislativa de los derechos que se integran en el de la tutela judicial no es absoluta, ni dependiente del arbitrio del legislador, pues, dentro del respeto debido al contenido esencial de los derechos fundamentales, resulta indiscutible que el art. 24.1 CE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 como hemos declarado en relación a ciertas declaraciones legales de inembargabilidad en la STC 113/1989, de 22 de junio, FJ 3”.</w:t>
      </w:r>
    </w:p>
    <w:p w14:paraId="38156AE4" w14:textId="77777777" w:rsidR="00A8138F" w:rsidRDefault="00A8138F" w:rsidP="00A8138F">
      <w:pPr>
        <w:pStyle w:val="TextoNormal"/>
      </w:pPr>
    </w:p>
    <w:p w14:paraId="758FFECB" w14:textId="77777777" w:rsidR="00A8138F" w:rsidRDefault="00A8138F" w:rsidP="00A8138F">
      <w:pPr>
        <w:pStyle w:val="TextoNormal"/>
      </w:pPr>
      <w:r>
        <w:t>La misma STC 73/2000 añade en el FJ 11 lo que sigue:</w:t>
      </w:r>
    </w:p>
    <w:p w14:paraId="09C9B079" w14:textId="77777777" w:rsidR="00A8138F" w:rsidRDefault="00A8138F" w:rsidP="00A8138F">
      <w:pPr>
        <w:pStyle w:val="TextoNormal"/>
      </w:pPr>
    </w:p>
    <w:p w14:paraId="116495FD" w14:textId="77777777" w:rsidR="00A8138F" w:rsidRDefault="00A8138F" w:rsidP="00A8138F">
      <w:pPr>
        <w:pStyle w:val="TextoNormal"/>
      </w:pPr>
      <w:r>
        <w:t>“[A]un siendo indudable que la Constitución reconoce al legislador un amplio margen de libertad al configurar sus opciones, no es menos cierto que también le somete a determinados límites. Y en lo que aquí interesa, no solo al genérico límite antes aludido de la interdicción de la arbitrariedad de los poderes públicos (art. 9.3 CE) y al que impone al principio de igualdad (art. 14 CE) sino también al límite que se deriva del art. 24.1 CE. Lo que se corresponde, como antes se ha dicho, con la importancia que posee el logro de una tutela judicial efectiva y el cumplimiento de las resoluciones judiciales firmes en un Estado de Derecho como el que ha configurado nuestra Constitución en su art. 1.1 y constituye, además, patrimonio común con otros Estados de nuestro entorno europeo [art. 3 en relación con el art. 1 a) del Estatuto del Consejo de Europa, hecho en Londres el 5 de mayo de 1949].</w:t>
      </w:r>
    </w:p>
    <w:p w14:paraId="1578E59F" w14:textId="77777777" w:rsidR="00A8138F" w:rsidRDefault="00A8138F" w:rsidP="00A8138F">
      <w:pPr>
        <w:pStyle w:val="TextoNormal"/>
      </w:pPr>
    </w:p>
    <w:p w14:paraId="08EE39C3" w14:textId="77777777" w:rsidR="00A8138F" w:rsidRDefault="00A8138F" w:rsidP="00A8138F">
      <w:pPr>
        <w:pStyle w:val="TextoNormal"/>
      </w:pPr>
      <w:r>
        <w:t>Por tanto, aun no siendo en sí misma arbitraria ni atentando a la igualdad,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19 de octubre, FJ 4, y 91/1993, de 15 de marzo, FJ 3), cabría estimar que tal ley sería contraria al art. 24.1 CE en relación con los arts. 117.3 y 118 CE, al faltar la debida proporción ‘entre la finalidad perseguida y el sacrificio impuesto’ (STC 4/1988, de 21 de enero, FJ 5)”.</w:t>
      </w:r>
    </w:p>
    <w:p w14:paraId="1EB4987E" w14:textId="77777777" w:rsidR="00A8138F" w:rsidRDefault="00A8138F" w:rsidP="00A8138F">
      <w:pPr>
        <w:pStyle w:val="TextoNormal"/>
      </w:pPr>
    </w:p>
    <w:p w14:paraId="0B102BE4" w14:textId="77777777" w:rsidR="00A8138F" w:rsidRDefault="00A8138F" w:rsidP="00A8138F">
      <w:pPr>
        <w:pStyle w:val="TextoNormal"/>
      </w:pPr>
      <w:r>
        <w:t>No veo necesario insistir en los argumentos expuestos que me llevan a afirmar la inconstitucionalidad de la Ley de amnistía, los cuales, proyectados al problema del que ahora me ocupo, determinan a mi juicio que la extinción de los procesos de ejecución de sentencias firmes carece de título habilitante que la legitime.</w:t>
      </w:r>
    </w:p>
    <w:p w14:paraId="26304EBC" w14:textId="77777777" w:rsidR="00A8138F" w:rsidRDefault="00A8138F" w:rsidP="00A8138F">
      <w:pPr>
        <w:pStyle w:val="TextoNormal"/>
      </w:pPr>
    </w:p>
    <w:p w14:paraId="113779D2" w14:textId="77777777" w:rsidR="00A8138F" w:rsidRDefault="00A8138F" w:rsidP="00A8138F">
      <w:pPr>
        <w:pStyle w:val="TextoNormal"/>
      </w:pPr>
      <w:r>
        <w:t>Sin embargo, debo ahora añadir que la Ley de amnistía tiene un efecto sobre la ejecución de sentencias firmes muy superior a la que tienen las sentencias dictadas en procesos constitucionales que declaran la nulidad de leyes, cuyos efectos no privan de fuerza de cosa juzgada a las sentencias judiciales dictadas durante su vigencia, ya que las sentencias dictadas sobre la base de una ley declarada inconstitucional “no perderán el valor de cosa juzgada” [art. 161.1 a) CE]. Considero por tan</w:t>
      </w:r>
      <w:r w:rsidRPr="00A8138F">
        <w:rPr>
          <w:i/>
        </w:rPr>
        <w:t xml:space="preserve">to que, a </w:t>
      </w:r>
      <w:r>
        <w:t>fortiori, el efecto anulatorio propio de la Ley de amnistía tampoco se justifica cuando las sentencias que se dejan sin efecto alguno han sido dictadas en aplicación de normas sin tacha de inconstitucionalidad alguna, como los preceptos del Código penal en los procesos afectados por la amnistía.</w:t>
      </w:r>
    </w:p>
    <w:p w14:paraId="482A547F" w14:textId="77777777" w:rsidR="00A8138F" w:rsidRDefault="00A8138F" w:rsidP="00A8138F">
      <w:pPr>
        <w:pStyle w:val="TextoNormal"/>
      </w:pPr>
    </w:p>
    <w:p w14:paraId="466739C0" w14:textId="77777777" w:rsidR="00A8138F" w:rsidRDefault="00A8138F" w:rsidP="00A8138F">
      <w:pPr>
        <w:pStyle w:val="TextoNormal"/>
      </w:pPr>
      <w:r>
        <w:t>11. La alegada vulneración del art. 102.3 CE</w:t>
      </w:r>
    </w:p>
    <w:p w14:paraId="2B27E914" w14:textId="77777777" w:rsidR="00A8138F" w:rsidRDefault="00A8138F" w:rsidP="00A8138F">
      <w:pPr>
        <w:pStyle w:val="TextoNormal"/>
      </w:pPr>
    </w:p>
    <w:p w14:paraId="5F61D97F" w14:textId="77777777" w:rsidR="00A8138F" w:rsidRDefault="00A8138F" w:rsidP="00A8138F">
      <w:pPr>
        <w:pStyle w:val="TextoNormal"/>
      </w:pPr>
      <w:r>
        <w:t>La Ley de amnistía es una “autoamnistía” vulneradora del art. 102.3 CE.</w:t>
      </w:r>
    </w:p>
    <w:p w14:paraId="3DC471FC" w14:textId="77777777" w:rsidR="00A8138F" w:rsidRDefault="00A8138F" w:rsidP="00A8138F">
      <w:pPr>
        <w:pStyle w:val="TextoNormal"/>
      </w:pPr>
    </w:p>
    <w:p w14:paraId="579E50CE" w14:textId="77777777" w:rsidR="00A8138F" w:rsidRDefault="00A8138F" w:rsidP="00A8138F">
      <w:pPr>
        <w:pStyle w:val="TextoNormal"/>
      </w:pPr>
      <w:r>
        <w:t>Sostengo en el presente voto una visión distinta a la efectuada en la sentencia, en su fundamento jurídico 10, acerca de la alegada vulneración del art. 102.3 CE.</w:t>
      </w:r>
    </w:p>
    <w:p w14:paraId="55CC0E77" w14:textId="77777777" w:rsidR="00A8138F" w:rsidRDefault="00A8138F" w:rsidP="00A8138F">
      <w:pPr>
        <w:pStyle w:val="TextoNormal"/>
      </w:pPr>
    </w:p>
    <w:p w14:paraId="13BE1430" w14:textId="77777777" w:rsidR="00A8138F" w:rsidRDefault="00A8138F" w:rsidP="00A8138F">
      <w:pPr>
        <w:pStyle w:val="TextoNormal"/>
      </w:pPr>
      <w:r>
        <w:t>De acuerdo con la demanda, la Ley de amnistía es una autoamnistía que vulnera los arts. 9.3 y 102 CE, argumentándose, entre otros aspectos, que la Constitución no regula la amnistía pero sí el indulto particular, prohibiendo el art. 102.3 CE el llamado autoindulto al “presidente y los demás miembros del Gobierno”, siendo el sentido de dicha prohibición constitucional el de evitar que pueda beneficiarse del derecho de gracia quien tiene el poder de influir en la decisión de su otorgamiento. Teniendo en cuenta lo anterior, entienden los recurrentes que la Ley de amnistía incorpora una manifestación de la autoamnistía en la que los propios políticos que cometen los delitos elaboran, impulsan e imponen su propia medida de gracia, siendo así que, dado que la Constitución no pudo incluir análoga prohibición para la amnistía, debe entenderse que queda sujeta al mismo límite.</w:t>
      </w:r>
    </w:p>
    <w:p w14:paraId="287F70F2" w14:textId="77777777" w:rsidR="00A8138F" w:rsidRDefault="00A8138F" w:rsidP="00A8138F">
      <w:pPr>
        <w:pStyle w:val="TextoNormal"/>
      </w:pPr>
    </w:p>
    <w:p w14:paraId="06366D36" w14:textId="77777777" w:rsidR="00A8138F" w:rsidRDefault="00A8138F" w:rsidP="00A8138F">
      <w:pPr>
        <w:pStyle w:val="TextoNormal"/>
      </w:pPr>
      <w:r>
        <w:t>La claridad del motivo no obtiene, a mi juicio, una respuesta equivalente de la sentencia. Desde la perspectiva de que el art. 102.3 CE solo impide que se beneficien de la prerrogativa real de gracia —se entiende que el indulto— los miembros del Gobierno de la Nación, la sentencia señala, por un lado, que de la literalidad de la Ley de amnistía no se deriva ni que el presidente ni que los demás miembros del Gobierno vayan a ser amnistiados, sin que sea función del Tribunal examinar a través de un recurso de inconstitucionalidad si alguno de los actos amnistiables conforme a su ámbito de aplicación (art. 1 de la Ley de amnistía) fue cometido por miembros del Gobierno o su presidente; y descarta, por otro, que la medida operada a través de la Ley de amnistía pueda calificarse como “autoamnistía”, por ser una ley debatida y aprobada por el Parlamento de un Estado democrático de Derecho y no el fruto de un sistema político autoritario o de un Estado en transición.</w:t>
      </w:r>
    </w:p>
    <w:p w14:paraId="672BDE76" w14:textId="77777777" w:rsidR="00A8138F" w:rsidRDefault="00A8138F" w:rsidP="00A8138F">
      <w:pPr>
        <w:pStyle w:val="TextoNormal"/>
      </w:pPr>
    </w:p>
    <w:p w14:paraId="0769FD87" w14:textId="77777777" w:rsidR="00A8138F" w:rsidRDefault="00A8138F" w:rsidP="00A8138F">
      <w:pPr>
        <w:pStyle w:val="TextoNormal"/>
      </w:pPr>
      <w:r>
        <w:t>En mi opinión, el motivo requería una respuesta más fundada, que defenderé aquí sobre la base de dos argumentaciones diferenciadas:</w:t>
      </w:r>
    </w:p>
    <w:p w14:paraId="2F7A0ED5" w14:textId="77777777" w:rsidR="00A8138F" w:rsidRDefault="00A8138F" w:rsidP="00A8138F">
      <w:pPr>
        <w:pStyle w:val="TextoNormal"/>
      </w:pPr>
    </w:p>
    <w:p w14:paraId="7CE6A6BE" w14:textId="77777777" w:rsidR="00A8138F" w:rsidRDefault="00A8138F" w:rsidP="00A8138F">
      <w:pPr>
        <w:pStyle w:val="TextoNormal"/>
      </w:pPr>
      <w:r>
        <w:t>En primer lugar, la eventual aplicabilidad de la Ley de amnistía a dirigentes políticos pertenecientes a las mismas formaciones que los parlamentarios sin cuyos votos no hubiese resultado aprobada la norma, y como exigencia o contrapartida para apoyar al candidato a la presidencia del Gobierno del partido político cuyo grupo parlamentario fue promotor de la iniciativa legislativa ciertamente contraría la esencia del art. 102.3 CE, cuya prohibición operaría como una concreción específica de la prohibición general de arbitrariedad del art. 9.3 CE, sobre la que creo haberme ya extendido —y a ello me remito— para concluir que la Ley de amnistía la vulnera, precisamente por ser la culminación de una transacción poder-impunidad que instrumentalizó perversamente el cauce de expresión de la voluntad de los ciudadanos, constando del contenido de los debates parlamentarios la participación, indirecta al menos, en la redacción de la norma de quien, por ser de público y general conocimiento, habiendo desempeñado funciones ejecutivas como presidente de un gobierno autonómico, sería destinatario de la ley y beneficiario de sus efectos extintivos de responsabilidad.</w:t>
      </w:r>
    </w:p>
    <w:p w14:paraId="55D101A9" w14:textId="77777777" w:rsidR="00A8138F" w:rsidRDefault="00A8138F" w:rsidP="00A8138F">
      <w:pPr>
        <w:pStyle w:val="TextoNormal"/>
      </w:pPr>
    </w:p>
    <w:p w14:paraId="7B01AFEF" w14:textId="77777777" w:rsidR="00A8138F" w:rsidRDefault="00A8138F" w:rsidP="00A8138F">
      <w:pPr>
        <w:pStyle w:val="TextoNormal"/>
      </w:pPr>
      <w:r>
        <w:t>En segundo término y al margen de lo anterior, la sentencia no da efectiva respuesta a la eventual inconstitucionalidad de la Ley de amnistía de aplicarse a quien ostentase o hubiese ostentado, ya sea como presidente o miembro, funciones de gobierno autonómico en el concreto contexto fáctico a que se refiere el art. 1 de la Ley de amnistía.</w:t>
      </w:r>
    </w:p>
    <w:p w14:paraId="1EAB6E6A" w14:textId="77777777" w:rsidR="00A8138F" w:rsidRDefault="00A8138F" w:rsidP="00A8138F">
      <w:pPr>
        <w:pStyle w:val="TextoNormal"/>
      </w:pPr>
    </w:p>
    <w:p w14:paraId="0BC7620D" w14:textId="77777777" w:rsidR="00A8138F" w:rsidRDefault="00A8138F" w:rsidP="00A8138F">
      <w:pPr>
        <w:pStyle w:val="TextoNormal"/>
      </w:pPr>
      <w:r>
        <w:t>Y he de decir que es comprensible, en este punto, la ausencia de respuesta efectiva, pues comparto la consideración de la sentencia —solo que esta la limita al Gobierno de la Nación— de que no corresponde a este tribunal enjuiciar si el presidente o miembros de un ejecutivo han perpetrado alguno de los actos amnistiados por la Ley de amnistía, pues dicha función corresponde realmente a los órganos judiciales, quienes, de así verificarse y existir duda constitucional al respecto, estarían facultados a plantear la pertinente cuestión de inconstitucionalidad al respecto.</w:t>
      </w:r>
    </w:p>
    <w:p w14:paraId="2D948ED4" w14:textId="77777777" w:rsidR="00A8138F" w:rsidRDefault="00A8138F" w:rsidP="00A8138F">
      <w:pPr>
        <w:pStyle w:val="TextoNormal"/>
      </w:pPr>
    </w:p>
    <w:p w14:paraId="3B9775AC" w14:textId="77777777" w:rsidR="00A8138F" w:rsidRDefault="00A8138F" w:rsidP="00A8138F">
      <w:pPr>
        <w:pStyle w:val="TextoNormal"/>
      </w:pPr>
      <w:r>
        <w:t xml:space="preserve">Por lo demás, terminaré señalando que, sin pronunciarme sobre el caso concreto, sino desde la perspectiva de abstracción propia del recurso de inconstitucionalidad que nos ha sido sometido, es mi criterio que el art. 102.3 CE es proyectable al ámbito de los gobiernos autonómicos en atención a la equivalencia funcional en sus respectivos ámbitos de competencias respecto del Gobierno “central”, la unidad de los principios rectores de la actuación de la administración </w:t>
      </w:r>
      <w:r w:rsidRPr="00A8138F">
        <w:rPr>
          <w:i/>
        </w:rPr>
        <w:t>ex</w:t>
      </w:r>
      <w:r>
        <w:t xml:space="preserve"> art. 103.1 CE —trasladable sin duda al ámbito no solo estatal sino también a todas las esferas de la organización administrativa—, la falta de competencia autonómica para el ejercicio de la prerrogativa de gracia —ya sea del Ejecutivo autonómico en relación con el indulto o del legislador autonómico de admitirse la amnistía como manifestación de aquella potestad—, el silencio que guarda la Constitución acerca de la institución de la amnistía, por lo que, no regulándose expresamente esta, no se previeron, con lógica, límites explícitos a su ejercicio, pero, fundamentalmente, el espíritu extraíble del art. 102.3 CE en relación con el principio de responsabilidad del art. 9.3 CE, como límite implícito de toda prerrogativa de gracia: el impedir que el Poder Ejecutivo pueda beneficiarse de mecanismos excepcionales que le eximan de responsabilidad penal, particularmente en relación con delitos cometidos en el ejercicio del cargo.</w:t>
      </w:r>
    </w:p>
    <w:p w14:paraId="16DA651C" w14:textId="77777777" w:rsidR="00A8138F" w:rsidRDefault="00A8138F" w:rsidP="00A8138F">
      <w:pPr>
        <w:pStyle w:val="TextoNormal"/>
      </w:pPr>
    </w:p>
    <w:p w14:paraId="7A14FE33" w14:textId="77777777" w:rsidR="00A8138F" w:rsidRDefault="00A8138F" w:rsidP="00A8138F">
      <w:pPr>
        <w:pStyle w:val="TextoNormal"/>
      </w:pPr>
      <w:r>
        <w:t>12. La alegada vulneración del principio de Estado de Derecho (art. 1.1. CE en relación con el art. 2 TUE)</w:t>
      </w:r>
    </w:p>
    <w:p w14:paraId="5CE2669D" w14:textId="77777777" w:rsidR="00A8138F" w:rsidRDefault="00A8138F" w:rsidP="00A8138F">
      <w:pPr>
        <w:pStyle w:val="TextoNormal"/>
      </w:pPr>
    </w:p>
    <w:p w14:paraId="39AA2CB9" w14:textId="77777777" w:rsidR="00A8138F" w:rsidRDefault="00A8138F" w:rsidP="00A8138F">
      <w:pPr>
        <w:pStyle w:val="TextoNormal"/>
      </w:pPr>
      <w:r>
        <w:t>Los recurrentes denuncian la incompatibilidad de la Ley de amnistía con la cláusula de Estado de Derecho, a la que también se alude en la demanda al hilo de otros motivos de impugnación. La sentencia reconduce esta queja, únicamente, a uno de los principios integrantes de dicha cláusula: la garantía de la independencia judicial. En mi opinión, al hacerlo así no se da respuesta a lo alegado en la demanda.</w:t>
      </w:r>
    </w:p>
    <w:p w14:paraId="39BCA7CB" w14:textId="77777777" w:rsidR="00A8138F" w:rsidRDefault="00A8138F" w:rsidP="00A8138F">
      <w:pPr>
        <w:pStyle w:val="TextoNormal"/>
      </w:pPr>
    </w:p>
    <w:p w14:paraId="1603BAED" w14:textId="77777777" w:rsidR="00A8138F" w:rsidRDefault="00A8138F" w:rsidP="00A8138F">
      <w:pPr>
        <w:pStyle w:val="TextoNormal"/>
      </w:pPr>
      <w:r>
        <w:t>En la misma se invocaron, como argumento nuclear la contradicción de la Ley de amnistía con la cláusula del Estado de Derecho (art. 2 TUE) de la Unión Europea, en las alegaciones relativas a que la amnistía otorgada por la Ley Orgánica 1/2024 es inconstitucional, en el segundo fundamento de Derecho material, de forma más accidental en el apartado “1-. La Ley Orgánica 1/2024 vulnera la cláusula de Estado de Derecho (artículo 1.1 CE), la división de poderes y la exclusividad de la jurisdicción […]”; y de forma sustancial en el apartado “2-. La realidad tras esta amnistía, explícitamente admitida por sus impulsores, determina la obvia inconstitucionalidad de la Ley Orgánica 1/2024”. Igualmente se invoca la contradicción con el Estado de Derecho de la Unión Europea, en particular, en el apartado relativo a que «3-.La Ley Orgánica 1/2024 es una autoamnistía que vulnera los artículos 9.3 CE y 102 CE; así como la cláusula de Estado de Derecho (artículo 1.1 CE, en conexión con el artículo 2 TUE)”.</w:t>
      </w:r>
    </w:p>
    <w:p w14:paraId="7634B9DC" w14:textId="77777777" w:rsidR="00A8138F" w:rsidRDefault="00A8138F" w:rsidP="00A8138F">
      <w:pPr>
        <w:pStyle w:val="TextoNormal"/>
      </w:pPr>
    </w:p>
    <w:p w14:paraId="78561DC9" w14:textId="77777777" w:rsidR="00A8138F" w:rsidRDefault="00A8138F" w:rsidP="00A8138F">
      <w:pPr>
        <w:pStyle w:val="TextoNormal"/>
      </w:pPr>
      <w:r>
        <w:t>Hubiera sido imprescindible que el Tribunal, en el ejercicio de la competencia que ostenta, analizara si la Ley de amnistía vulnera los principios más básicos del estado de Derecho con relación, no solo obviamente a la Constitución Española, sino también al estándar comunitario, por exigirlo así, además del elemental sentido común, el principio de primacía y el efecto directo del Derecho de la Unión (arts. 2 y 19.1, segundo párrafo, TUE y art. 47 CDFUE).</w:t>
      </w:r>
    </w:p>
    <w:p w14:paraId="11990D75" w14:textId="77777777" w:rsidR="00A8138F" w:rsidRDefault="00A8138F" w:rsidP="00A8138F">
      <w:pPr>
        <w:pStyle w:val="TextoNormal"/>
      </w:pPr>
    </w:p>
    <w:p w14:paraId="339E33F8" w14:textId="77777777" w:rsidR="00A8138F" w:rsidRDefault="00A8138F" w:rsidP="00A8138F">
      <w:pPr>
        <w:pStyle w:val="TextoNormal"/>
      </w:pPr>
      <w:r>
        <w:t>El Estado de Derecho del art. 2 TUE comprende: (i) el respeto a los principios de legalidad (incluido un proceso legislativo transparente, democrático, pluralista y sujeto a rendición de cuentas), de seguridad jurídica y de interdicción de la arbitrariedad; (ii) el derecho a la tutela judicial efectiva (que incluye el acceso a la justicia) y a los tribunales independientes e imparciales; (iii) el respeto de los demás derechos fundamentales, especialmente de la igualdad ante la ley y la interdicción de toda discriminación; y (iv) el respeto del principio de separación de poderes.</w:t>
      </w:r>
    </w:p>
    <w:p w14:paraId="472C75B2" w14:textId="77777777" w:rsidR="00A8138F" w:rsidRDefault="00A8138F" w:rsidP="00A8138F">
      <w:pPr>
        <w:pStyle w:val="TextoNormal"/>
      </w:pPr>
    </w:p>
    <w:p w14:paraId="16C155B6" w14:textId="77777777" w:rsidR="00A8138F" w:rsidRDefault="00A8138F" w:rsidP="00A8138F">
      <w:pPr>
        <w:pStyle w:val="TextoNormal"/>
      </w:pPr>
      <w:r>
        <w:t>Además, la jurisprudencia del Tribunal de Justicia de la Unión Europea considera como atentados al Estado de Derecho: (i) la puesta en peligro de la independencia judicial, (ii) la falta de persecución de los actos ilícitos o arbitrarios, (iii) la limitación de la disponibilidad de las vías de recurso judiciales mediante normas procesales restrictivas y (iv) la inejecución de las resoluciones judiciales. Estos contenidos del Estado de Derecho de la Unión Europea han sido invocados por la parte recurrente.</w:t>
      </w:r>
    </w:p>
    <w:p w14:paraId="702288BD" w14:textId="77777777" w:rsidR="00A8138F" w:rsidRDefault="00A8138F" w:rsidP="00A8138F">
      <w:pPr>
        <w:pStyle w:val="TextoNormal"/>
      </w:pPr>
    </w:p>
    <w:p w14:paraId="5EB76953" w14:textId="77777777" w:rsidR="00A8138F" w:rsidRDefault="00A8138F" w:rsidP="00A8138F">
      <w:pPr>
        <w:pStyle w:val="TextoNormal"/>
      </w:pPr>
      <w:r>
        <w:t>De lo anterior se extrae la inadmisibilidad para el Derecho de la Unión de que el constituyente español (por la vía del art. 93 CE) hubiere aceptado más salvedades a la separación de poderes y a la independencia judicial que los marcados por el art. 2 TUE. La inviabilidad para el Derecho de la Unión Europea de que el legislador español —en el marco de la Ley de amnistía o de cualquier otra norma— decline perseguir infracciones penales graves (máxime si afectan a intereses comunitarios). La incompatibilidad con el Derecho de la Unión Europea se manifiesta en el procedimiento para la obtención de la amnistía, que no deja margen para la ponderación de los hechos y las pruebas por el juez, que no cumple con las reglas procesales básicas de los demás procedimientos ordinarios (audiencia, contradicción, igualdad de armas y defensa), que excepciona el régimen ordinario de recursos en materia de amnistía o que anula los efectos de las sentencias firmes en ejecución.</w:t>
      </w:r>
    </w:p>
    <w:p w14:paraId="5511B1AA" w14:textId="77777777" w:rsidR="00A8138F" w:rsidRDefault="00A8138F" w:rsidP="00A8138F">
      <w:pPr>
        <w:pStyle w:val="TextoNormal"/>
      </w:pPr>
    </w:p>
    <w:p w14:paraId="5EFE9652" w14:textId="77777777" w:rsidR="00A8138F" w:rsidRDefault="00A8138F" w:rsidP="00A8138F">
      <w:pPr>
        <w:pStyle w:val="TextoNormal"/>
      </w:pPr>
      <w:r>
        <w:t>Se deduciría la incompatibilidad con la cláusula de Estado de Derecho del Derecho de la Unión Europea de lo siguiente: (i) la fórmula abierta de configuración del ámbito material, temporal y subjetivo de la amnistía (art. 1.1 y 3 de la Ley de amnistía); (ii) del perdón de la malversación sin propósito de enriquecimiento [art. 1.1 a) y 1.4, en relación con el art. 2 e) de la Ley]; (iii) la amnistía de los delitos de terrorismo sin graves violaciones de derechos humanos [art. 2 c) de la Ley de amnistía]; (iv) el levantamiento de medidas cautelares unidireccionalmente (arts. 4, 5.3 y 8.3 de la Ley), especialmente si acarrea la ineficacia de una orden europea de detención y entrega [art. 4 b) de la Ley]; (v) la inejecución de las condenas penales firmes impuestas a los responsables directos o indirectos del proceso de secesión [art. 4 d) de la Ley de amnistía] y la eliminació</w:t>
      </w:r>
      <w:r w:rsidRPr="00A8138F">
        <w:rPr>
          <w:i/>
        </w:rPr>
        <w:t>n ope leg</w:t>
      </w:r>
      <w:r>
        <w:t>is de antecedentes penales [arts. 4 f) y 5.2 de la Ley]; (vi) la gravosa exigencia de ejercicio separado de la acción civi</w:t>
      </w:r>
      <w:r w:rsidRPr="00A8138F">
        <w:rPr>
          <w:i/>
        </w:rPr>
        <w:t>l ex delic</w:t>
      </w:r>
      <w:r>
        <w:t>to (art. 8.2 de la Ley); (vii) la tramitación expeditiva y sumaria de la amnistía en dos meses y sin recursos suspensivos (art. 10 de la Ley); (viii) la articulación de la amnistía penal como sobreseimiento libre, irrevocable e inalterable (art. 11.2 de la Ley de amnistía), y (ix) el archivo de las actuaciones contables sin audiencia del denunciante (art. 13 de la Ley).</w:t>
      </w:r>
    </w:p>
    <w:p w14:paraId="282AD4D6" w14:textId="77777777" w:rsidR="00A8138F" w:rsidRDefault="00A8138F" w:rsidP="00A8138F">
      <w:pPr>
        <w:pStyle w:val="TextoNormal"/>
      </w:pPr>
    </w:p>
    <w:p w14:paraId="3D9FE65F" w14:textId="77777777" w:rsidR="00A8138F" w:rsidRDefault="00A8138F" w:rsidP="00A8138F">
      <w:pPr>
        <w:pStyle w:val="TextoNormal"/>
      </w:pPr>
      <w:r>
        <w:t>Todas estas normas excepcionales de la Ley de amnistía, individualmente, recogen atentados contra la separación de poderes, menoscabos de la independencia e imparcialidad de los jueces, excepciones desproporcionadas en las reglas ordinarias de tutela judicial efectiva, recursos y ejecución de las resoluciones firmes (respecto de los procedimientos nacionales que constituyen vías de recurso necesarias para la tutela del Derecho de la Unión Europea), que en conjunto quebrantan la tutela judicial efectiva y las reglas del juicio justo que prevé aquel Derecho (art. 19.1, segundo párrafo, TUE y art. 47 CDFUE) para la protección de sus bienes e intereses y que, consecuentemente, lesionan la cláusula de Estado de Derecho del art. 2 TUE.</w:t>
      </w:r>
    </w:p>
    <w:p w14:paraId="0083B9E9" w14:textId="77777777" w:rsidR="00A8138F" w:rsidRDefault="00A8138F" w:rsidP="00A8138F">
      <w:pPr>
        <w:pStyle w:val="TextoNormal"/>
      </w:pPr>
    </w:p>
    <w:p w14:paraId="5B876F91" w14:textId="77777777" w:rsidR="00A8138F" w:rsidRDefault="00A8138F" w:rsidP="00A8138F">
      <w:pPr>
        <w:pStyle w:val="TextoNormal"/>
      </w:pPr>
      <w:r>
        <w:t>Me parece obvio que compartimos con la Unión Europea el concepto de Estado de Derecho. No puede existir un concepto diferente en el Derecho nacional y en el europeo, según convenga. El respeto a los principios que se acaban de señalar en el párrafo precedente es requisito para ser miembro de la Unión Europea y un compromiso de nuestra Constitución.</w:t>
      </w:r>
    </w:p>
    <w:p w14:paraId="43256DCF" w14:textId="77777777" w:rsidR="00A8138F" w:rsidRDefault="00A8138F" w:rsidP="00A8138F">
      <w:pPr>
        <w:pStyle w:val="TextoNormal"/>
      </w:pPr>
    </w:p>
    <w:p w14:paraId="6B81FC0D" w14:textId="77777777" w:rsidR="00A8138F" w:rsidRDefault="00A8138F" w:rsidP="00A8138F">
      <w:pPr>
        <w:pStyle w:val="TextoNormal"/>
      </w:pPr>
      <w:r>
        <w:t>Los recurrentes han cuestionado en su recurso si la Ley de amnistía respeta ese concepto de Estado de Derecho, y diversos órganos judiciales nacionales se lo han preguntado también al Tribunal de Justicia de la Unión Europea. No es ocioso recordar en este punto que, además, ante la excepcionalidad de la situación de la norma impugnada, tres magistrados del Tribunal, entre los que me hallo, solicitamos que el propio Tribunal planteara una cuestión prejudicial ante el Tribunal de Justicia de la Unión Europea, precisamente por el menoscabo del Estado de Derecho, de la protección de los intereses financieros de la Unión Europea y de la lucha contra el terrorismo.</w:t>
      </w:r>
    </w:p>
    <w:p w14:paraId="097D34AE" w14:textId="77777777" w:rsidR="00A8138F" w:rsidRDefault="00A8138F" w:rsidP="00A8138F">
      <w:pPr>
        <w:pStyle w:val="TextoNormal"/>
      </w:pPr>
    </w:p>
    <w:p w14:paraId="745B7BF2" w14:textId="77777777" w:rsidR="00A8138F" w:rsidRDefault="00A8138F" w:rsidP="00A8138F">
      <w:pPr>
        <w:pStyle w:val="TextoNormal"/>
      </w:pPr>
      <w:r>
        <w:t>Reiterando el claro riesgo en que se encuentran estos principios esenciales de nuestro sistema democrático, la propia parte recurrente solicitó recientemente que el Tribunal esperara a la resolución por parte del Tribunal de Justicia de la Unión Europea de las cuestiones prejudiciales C-523/24, planteada por el Tribunal de Cuentas del Reino de España; C-666/24, planteada por la Sala de lo Penal de la Audiencia Nacional, y C-587/24, remitida por la Sala de lo Civil y Penal del Tribunal Superior de Justicia de Cataluña.</w:t>
      </w:r>
    </w:p>
    <w:p w14:paraId="77BA0BBF" w14:textId="77777777" w:rsidR="00A8138F" w:rsidRDefault="00A8138F" w:rsidP="00A8138F">
      <w:pPr>
        <w:pStyle w:val="TextoNormal"/>
      </w:pPr>
    </w:p>
    <w:p w14:paraId="3734ACA2" w14:textId="77777777" w:rsidR="00A8138F" w:rsidRDefault="00A8138F" w:rsidP="00A8138F">
      <w:pPr>
        <w:pStyle w:val="TextoNormal"/>
      </w:pPr>
      <w:r>
        <w:t>Además de los criterios jurídicos que antes he expresado con relación a la obligación jurídica de priorizar el pronunciamiento del Tribunal de Justicia de la Unión Europea con relación a las señaladas cuestiones prejudiciales, concurre un incontrovertible principio de prudencia, virtud lastimosamente ajena últimamente en la forma de proceder del Tribunal.</w:t>
      </w:r>
    </w:p>
    <w:p w14:paraId="0A0E603A" w14:textId="77777777" w:rsidR="00A8138F" w:rsidRDefault="00A8138F" w:rsidP="00A8138F">
      <w:pPr>
        <w:pStyle w:val="TextoNormal"/>
      </w:pPr>
    </w:p>
    <w:p w14:paraId="4558C161" w14:textId="77777777" w:rsidR="00A8138F" w:rsidRDefault="00A8138F" w:rsidP="00A8138F">
      <w:pPr>
        <w:pStyle w:val="TextoNormal"/>
      </w:pPr>
      <w:r>
        <w:t xml:space="preserve">No cabe olvidar que, con independencia del resultado final contenido en la sentencia de la que no puedo discrepar más, nos estamos enfrentando al análisis de una ley que supone una ruptura temporal de los principios básicos constitucionales, una norma excepcional, por lo que esperar a la opinión fundada en Derecho proveniente del máximo intérprete del Derecho de la Unión, debería ser el mínimo estándar de prudencia exigible. Considero que no se debería haber renunciado, en la resolución de un caso único y excepcional como el que nos ocupa, a contar con una opinión jurídica más, aun cuando la considerara no vinculante, emitida por quien posee una </w:t>
      </w:r>
      <w:r w:rsidRPr="00A8138F">
        <w:rPr>
          <w:i/>
        </w:rPr>
        <w:t xml:space="preserve">indudable </w:t>
      </w:r>
      <w:r>
        <w:t>auctoritas. Las prisas solo pueden estar justificadas por un fundado temor a una censura europea de la norma avalada ahora por la mayoría.</w:t>
      </w:r>
    </w:p>
    <w:p w14:paraId="7CF57007" w14:textId="77777777" w:rsidR="00A8138F" w:rsidRDefault="00A8138F" w:rsidP="00A8138F">
      <w:pPr>
        <w:pStyle w:val="TextoNormal"/>
      </w:pPr>
    </w:p>
    <w:p w14:paraId="3EA31872" w14:textId="77777777" w:rsidR="00A8138F" w:rsidRDefault="00A8138F" w:rsidP="00A8138F">
      <w:pPr>
        <w:pStyle w:val="TextoNormal"/>
      </w:pPr>
      <w:r>
        <w:t>En qué posición quedará el Tribunal Constitucional si, después de declarar la constitucionalidad de la Ley de amnistía casi en su integridad, fuera declarada contraria al Derecho de la Unión Europea. Qué harán los órganos judiciales a la hora de intentar aplicar una ley “constitucional” y contraria al Derecho Europeo.</w:t>
      </w:r>
    </w:p>
    <w:p w14:paraId="64FF9CBE" w14:textId="77777777" w:rsidR="00A8138F" w:rsidRDefault="00A8138F" w:rsidP="00A8138F">
      <w:pPr>
        <w:pStyle w:val="TextoNormal"/>
      </w:pPr>
    </w:p>
    <w:p w14:paraId="02655405" w14:textId="77777777" w:rsidR="00A8138F" w:rsidRDefault="00A8138F" w:rsidP="00A8138F">
      <w:pPr>
        <w:pStyle w:val="TextoNormal"/>
      </w:pPr>
      <w:r>
        <w:t>Estas dos cuestiones son evitables con un elemental ejercicio de sentido común.</w:t>
      </w:r>
    </w:p>
    <w:p w14:paraId="4CCA90F6" w14:textId="77777777" w:rsidR="00A8138F" w:rsidRDefault="00A8138F" w:rsidP="00A8138F">
      <w:pPr>
        <w:pStyle w:val="TextoNormal"/>
      </w:pPr>
    </w:p>
    <w:p w14:paraId="1FFAD964" w14:textId="77777777" w:rsidR="00A8138F" w:rsidRDefault="00A8138F" w:rsidP="00A8138F">
      <w:pPr>
        <w:pStyle w:val="TextoNormal"/>
      </w:pPr>
      <w:r>
        <w:t>13. La alegada contrariedad de la Ley de amnistía con el art. 23 CE</w:t>
      </w:r>
    </w:p>
    <w:p w14:paraId="4A7989AA" w14:textId="77777777" w:rsidR="00A8138F" w:rsidRDefault="00A8138F" w:rsidP="00A8138F">
      <w:pPr>
        <w:pStyle w:val="TextoNormal"/>
      </w:pPr>
    </w:p>
    <w:p w14:paraId="139A2FC2" w14:textId="77777777" w:rsidR="00A8138F" w:rsidRDefault="00A8138F" w:rsidP="00A8138F">
      <w:pPr>
        <w:pStyle w:val="TextoNormal"/>
      </w:pPr>
      <w:r>
        <w:t>Discrepo, también, del enjuiciamiento de la vulneración del art. 23 CE.</w:t>
      </w:r>
    </w:p>
    <w:p w14:paraId="74F96A59" w14:textId="77777777" w:rsidR="00A8138F" w:rsidRDefault="00A8138F" w:rsidP="00A8138F">
      <w:pPr>
        <w:pStyle w:val="TextoNormal"/>
      </w:pPr>
    </w:p>
    <w:p w14:paraId="7EC209D9" w14:textId="77777777" w:rsidR="00A8138F" w:rsidRDefault="00A8138F" w:rsidP="00A8138F">
      <w:pPr>
        <w:pStyle w:val="TextoNormal"/>
      </w:pPr>
      <w:r>
        <w:t>La sentencia efectúa un análisis fragmentado de la queja de la parte recurrente, que versó sobre la introducción —por primera vez en nuestra historia parlamentaria— de una proposición de ley del Grupo Parlamentario Socialista para tramitar una materia tan trascendente como la amnistía, con un Gobierno del PSOE en funciones, eliminando la exigibilidad de los informes y documentación de órganos constitucionales consultivos que habría hecho que la opinión de los diputados y senadores fuese cabal (art. 23 CE). Además, dicha proposición de ley se presentó y tramitó por el Congreso con una presteza inhabitual, a fin de conseguir la pronta investidura del candidato del PSOE (investidura a cambio de amnistía, según queda acreditado notoriamente en el pacto de PSOE y Junts de 9 de noviembre de 2023 en Ginebra). La sentencia responde fracturando el argumento en dos, para desestimarlo, por la inexistencia de una interdicción para la tramitación de proposiciones de ley por grupos parlamentarios; y por la inexistencia de una interdicción a la presentación de proposiciones de ley cuando el Gobierno está en funciones. De esta forma, la resolución adoptada no responde globalmente a la queja conjuntamente planteada; de forma que se incurre en incongruencia en la motivación.</w:t>
      </w:r>
    </w:p>
    <w:p w14:paraId="3C927327" w14:textId="77777777" w:rsidR="00A8138F" w:rsidRDefault="00A8138F" w:rsidP="00A8138F">
      <w:pPr>
        <w:pStyle w:val="TextoNormal"/>
      </w:pPr>
    </w:p>
    <w:p w14:paraId="0E93A2E7" w14:textId="77777777" w:rsidR="00A8138F" w:rsidRDefault="00A8138F" w:rsidP="00A8138F">
      <w:pPr>
        <w:pStyle w:val="TextoNormal"/>
      </w:pPr>
      <w:r>
        <w:t>Como se recordó en la STC 114/2017, FJ 6, “la preservación del pluralismo político en el curso de los procedimientos legislativos es inseparable del respeto a la posición y derechos de las minorías (por todas, STC 136/2011, de 13 de septiembre, FJ 8) y a la integridad misma de los derechos de los representantes para el ejercicio en condiciones de igualdad, y con arreglo a las normas reglamentarias, de sus funciones propias; derechos mediante los que se realiza, al propio tiempo, el derecho fundamental de todos los ciudadanos a participar en los asuntos públicos a través de la institución de la representación política (art. 23.1 CE). Estos derechos fundamentales, estrechamente relacionados, podrían resultar vulnerados en el caso de que se hubiera incurrido en infracciones de los reglamentos de las cámaras, o de otras normas ordenadoras de los procedimientos parlamentarios, que hubieran afectado al núcleo de la función de los representantes políticos, núcleo del que forma parte, desde luego, el ejercicio de la función legislativa (por todas, SSTC 38/1999, de 22 de marzo, FJ 2; 27/2000, de 31 de enero, FJ 4, y 57/2011, de 3 de mayo, FJ 2)”.</w:t>
      </w:r>
    </w:p>
    <w:p w14:paraId="53040EC3" w14:textId="77777777" w:rsidR="00A8138F" w:rsidRDefault="00A8138F" w:rsidP="00A8138F">
      <w:pPr>
        <w:pStyle w:val="TextoNormal"/>
      </w:pPr>
    </w:p>
    <w:p w14:paraId="5C17C0D2" w14:textId="77777777" w:rsidR="00A8138F" w:rsidRDefault="00A8138F" w:rsidP="00A8138F">
      <w:pPr>
        <w:pStyle w:val="TextoNormal"/>
      </w:pPr>
      <w:r>
        <w:t>A este respecto he de recordar que “este tribunal tiene declarado que se puede alterar de forma sustancial el proceso de formación de la voluntad de las Cámaras en el procedimiento legislativo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 (STC 139/2017, de 29 de noviembre, FJ 5).</w:t>
      </w:r>
    </w:p>
    <w:p w14:paraId="258F4FBB" w14:textId="77777777" w:rsidR="00A8138F" w:rsidRDefault="00A8138F" w:rsidP="00A8138F">
      <w:pPr>
        <w:pStyle w:val="TextoNormal"/>
      </w:pPr>
    </w:p>
    <w:p w14:paraId="490FCB0D" w14:textId="77777777" w:rsidR="00A8138F" w:rsidRDefault="00A8138F" w:rsidP="00A8138F">
      <w:pPr>
        <w:pStyle w:val="TextoNormal"/>
      </w:pPr>
      <w:r>
        <w:t>En este caso, como en muchos anteriores, y así lo hemos expresado ya en diferentes votos particulares (por ejemplo, en el voto particular que suscribí con el magistrado don Enrique Arnaldo a la STC 136/2024, de 5 de noviembre), el Tribunal ha desaprovechado la ocasión de advertir al legislador de la necesidad de realizar un uso adecuado de los procedimientos parlamentarios a su disposición en atención al hondo calado de la regulación abordada.</w:t>
      </w:r>
    </w:p>
    <w:p w14:paraId="1F600A58" w14:textId="77777777" w:rsidR="00A8138F" w:rsidRDefault="00A8138F" w:rsidP="00A8138F">
      <w:pPr>
        <w:pStyle w:val="TextoNormal"/>
      </w:pPr>
    </w:p>
    <w:p w14:paraId="11D77D47" w14:textId="77777777" w:rsidR="00A8138F" w:rsidRDefault="00A8138F" w:rsidP="00A8138F">
      <w:pPr>
        <w:pStyle w:val="TextoNormal"/>
      </w:pPr>
      <w:r>
        <w:t>Además, varias de las decisiones adoptadas, denunciadas en la demanda, han alterado, no de cualquier manera, sino de forma sustancial, el proceso de formación de la voluntad de la Cámara.</w:t>
      </w:r>
    </w:p>
    <w:p w14:paraId="45ED4920" w14:textId="77777777" w:rsidR="00A8138F" w:rsidRDefault="00A8138F" w:rsidP="00A8138F">
      <w:pPr>
        <w:pStyle w:val="TextoNormal"/>
      </w:pPr>
    </w:p>
    <w:p w14:paraId="4C0783EC" w14:textId="77777777" w:rsidR="00A8138F" w:rsidRDefault="00A8138F" w:rsidP="00A8138F">
      <w:pPr>
        <w:pStyle w:val="TextoNormal"/>
      </w:pPr>
      <w:r>
        <w:t>En primer lugar, tengo que hacer referencia a las recomendaciones de la Comisión de Venecia. Como afirma la sentencia, dichas recomendaciones no constituyen parámetro de constitucionalidad (SSTC 197/2014, de 4 de diciembre, FJ 4, y 15/2015, de 5 de febrero, FJ 6). Ello determina que la sentencia no tenga en cuenta dichas recomendaciones en la resolución de la queja relativa a la vulneración del art. 23 CE.</w:t>
      </w:r>
    </w:p>
    <w:p w14:paraId="1FDD9E86" w14:textId="77777777" w:rsidR="00A8138F" w:rsidRDefault="00A8138F" w:rsidP="00A8138F">
      <w:pPr>
        <w:pStyle w:val="TextoNormal"/>
      </w:pPr>
    </w:p>
    <w:p w14:paraId="54069B1E" w14:textId="77777777" w:rsidR="00A8138F" w:rsidRDefault="00A8138F" w:rsidP="00A8138F">
      <w:pPr>
        <w:pStyle w:val="TextoNormal"/>
      </w:pPr>
      <w:r>
        <w:t>Dicha circunstancia, sin embargo, no parece ser obstáculo para que sustente la fundamentación de la sentencia en esas mismas recomendaciones de la Comisión de Venecia (FJ 8) en el análisis de la vulneración del art. 14 CE en el que se concluye la justificación objetiva y razonable de la Ley de amnistía en relación con su causa y finalidad.</w:t>
      </w:r>
    </w:p>
    <w:p w14:paraId="04A8B25E" w14:textId="77777777" w:rsidR="00A8138F" w:rsidRDefault="00A8138F" w:rsidP="00A8138F">
      <w:pPr>
        <w:pStyle w:val="TextoNormal"/>
      </w:pPr>
    </w:p>
    <w:p w14:paraId="7A2BFB93" w14:textId="77777777" w:rsidR="00A8138F" w:rsidRDefault="00A8138F" w:rsidP="00A8138F">
      <w:pPr>
        <w:pStyle w:val="TextoNormal"/>
      </w:pPr>
      <w:r>
        <w:t>Es preciso tener en cuenta que dichas recomendaciones afectan a todo el procedimiento parlamentario, ya que ponen de relieve que se “observa que la proposición de ley de amnistía se ha presentado en forma de proposición de ley, que es un procedimiento sin consulta al público, a las partes interesadas o a otras instituciones del Estado, y que se ha seguido un procedimiento de urgencia. Sin embargo, la proposición de ley de amnistía ha ahondado una profunda y virulenta división en la clase política, en las instituciones, en el Poder Judicial, en el mundo académico y en la sociedad española. La Comisión anima a todas las autoridades y fuerzas políticas españolas a que se tomen el tiempo necesario para entablar un diálogo significativo en un espíritu de cooperación leal entre las instituciones del Estado, así como entre la mayoría y la oposición, con el fin de lograr la reconciliación social y política, y a que estudien la posibilidad de explorar procedimientos de justicia restaurativa”.</w:t>
      </w:r>
    </w:p>
    <w:p w14:paraId="4FF035D2" w14:textId="77777777" w:rsidR="00A8138F" w:rsidRDefault="00A8138F" w:rsidP="00A8138F">
      <w:pPr>
        <w:pStyle w:val="TextoNormal"/>
      </w:pPr>
    </w:p>
    <w:p w14:paraId="62EB0E26" w14:textId="77777777" w:rsidR="00A8138F" w:rsidRDefault="00A8138F" w:rsidP="00A8138F">
      <w:pPr>
        <w:pStyle w:val="TextoNormal"/>
      </w:pPr>
      <w:r>
        <w:t>Dado que la sentencia no descarta dichas recomendaciones en la resolución de otras quejas, quizá habría debido tener en cuenta las referidas a la forma de aprobación de la amnistía a los efectos de garantizar, en una materia cuya regulación no está prevista expresamente en la Constitución, ni su tramitación en el Reglamento del Congreso de los Diputados, la interpretación más favorable al art. 23 CE.</w:t>
      </w:r>
    </w:p>
    <w:p w14:paraId="5B89D905" w14:textId="77777777" w:rsidR="00A8138F" w:rsidRDefault="00A8138F" w:rsidP="00A8138F">
      <w:pPr>
        <w:pStyle w:val="TextoNormal"/>
      </w:pPr>
    </w:p>
    <w:p w14:paraId="096E14FB" w14:textId="77777777" w:rsidR="00A8138F" w:rsidRDefault="00A8138F" w:rsidP="00A8138F">
      <w:pPr>
        <w:pStyle w:val="TextoNormal"/>
      </w:pPr>
      <w:r>
        <w:t>De otra parte, y en cuanto a la admisión de la práctica de las proposiciones de ley, ya he expresado con anterioridad que deberían entenderse como forma de iniciativa legislativa al servicio de las minorías parlamentarias y en ningún caso ser utilizadas para eludir consultas, informes o dictámenes que, en otro caso, serían preceptivos.</w:t>
      </w:r>
    </w:p>
    <w:p w14:paraId="0C81DFEF" w14:textId="77777777" w:rsidR="00A8138F" w:rsidRDefault="00A8138F" w:rsidP="00A8138F">
      <w:pPr>
        <w:pStyle w:val="TextoNormal"/>
      </w:pPr>
    </w:p>
    <w:p w14:paraId="624B3602" w14:textId="77777777" w:rsidR="00A8138F" w:rsidRDefault="00A8138F" w:rsidP="00A8138F">
      <w:pPr>
        <w:pStyle w:val="TextoNormal"/>
      </w:pPr>
      <w:r>
        <w:t>A dicho respecto he de precisar que es cierto que, en este caso, el Gobierno estaba en funciones y, conforme al art. 21.5 b) de la Ley 50/1997, de 27 de noviembre, del Gobierno, el Gobierno en funciones no puede “[p]resentar proyectos de ley al Congreso de los Diputados o, en su caso, al Senado”. No cabe duda, y ya lo he afirmado previamente en este voto particular, que uno de los indicios de arbitrariedad en que incurriría la Ley de amnistía es su tramitación parlamentaria. Dadas las circunstancias, era necesaria la presentación de esta iniciativa como proposición de ley, porque la tramitación y aprobación de la ley de amnistía era condición necesaria para la investidura del candidato del PSOE a la Presidencia del Gobierno, según se pudo saber en el momento en que se dio publicidad al acuerdo político entre el señor Santos Cerdán León y el señor Jordi Turull i Negre, al que ya me he referido. En definitiva, el momento en que se presentó la proposición de ley no puede ser considerado como una excusa para no haber presentado un proyecto de ley, sino como una explicación de las razones que movieron a su presentación.</w:t>
      </w:r>
    </w:p>
    <w:p w14:paraId="60C09D1D" w14:textId="77777777" w:rsidR="00A8138F" w:rsidRDefault="00A8138F" w:rsidP="00A8138F">
      <w:pPr>
        <w:pStyle w:val="TextoNormal"/>
      </w:pPr>
    </w:p>
    <w:p w14:paraId="70EA441B" w14:textId="77777777" w:rsidR="00A8138F" w:rsidRDefault="00A8138F" w:rsidP="00A8138F">
      <w:pPr>
        <w:pStyle w:val="TextoNormal"/>
      </w:pPr>
      <w:r>
        <w:t>Además, la presentación de la proposición de ley dio lugar a la elusión de informes, consultas y dictámenes en su tramitación en el Congreso de los Diputados. En este caso, estimo que la ausencia de informes y comparecencias, dado el alcance de proposición de ley, que proponía la regulación de una institución inédita en nuestra democracia, afectó a la formación de la voluntad de la Cámara y, por tanto, determina la inconstitucionalidad de la ley.</w:t>
      </w:r>
    </w:p>
    <w:p w14:paraId="4C36325C" w14:textId="77777777" w:rsidR="00A8138F" w:rsidRDefault="00A8138F" w:rsidP="00A8138F">
      <w:pPr>
        <w:pStyle w:val="TextoNormal"/>
      </w:pPr>
    </w:p>
    <w:p w14:paraId="0EB99C99" w14:textId="77777777" w:rsidR="00A8138F" w:rsidRDefault="00A8138F" w:rsidP="00A8138F">
      <w:pPr>
        <w:pStyle w:val="TextoNormal"/>
      </w:pPr>
      <w:r>
        <w:t>Se privó a los diputados, entre otros, del informe del Consejo General del Poder Judicial sobre esta proposición de ley. Informe que fue contundente en sus apreciaciones y que concluyó que “se evidencia que su única motivación y finalidad es un acuerdo celebrado entre fuerzas políticas y con el fin de atender a sus intereses particulares, en concreto, el apoyo parlamentario al candidato a la Presidencia del Gobierno y el beneficio de la amnistía a los miembros de formaciones políticas que han sido condenados o investigados por hechos que se consideraron delictivos en su momento y, casi en idénticas circunstancias, siguen siéndolo en la actualidad” (conclusión cuarta); que “[h]a quedado constatado con la última iniciativa parlamentaria en el Parlament, que las fuerzas independentistas están nuevamente acometiendo la proclamación de la independencia de Cataluña, en abierta vulneración de nuestro ordenamiento constitucional, poniendo de manifiesto que nada habría servido la medida de gracia proyectada” (conclusión quinta); que “[e]l silencio sobre la amnistía en la Constitución, unido a la prohibición de los indultos generales, no puede interpretarse como que tiene reconocimiento constitucional implícito. Así debe concluirse, además, que en la elaboración de la CE la voluntad fue la de excluir, de manera expresa, toda referencia a la amnistía en el texto constitucional” (conclusión sexta); que “vulnera el principio de igualdad” (conclusión decimoprimera); la separación de poderes (conclusión decimosegunda); o que es “una ley singular que no se adecúa a las exigencias de la jurisprudencia del Tribunal Constitucional sobre la legitimidad este tipo de leyes” (conclusión decimotercera).</w:t>
      </w:r>
    </w:p>
    <w:p w14:paraId="3D27261D" w14:textId="77777777" w:rsidR="00A8138F" w:rsidRDefault="00A8138F" w:rsidP="00A8138F">
      <w:pPr>
        <w:pStyle w:val="TextoNormal"/>
      </w:pPr>
    </w:p>
    <w:p w14:paraId="3C84666D" w14:textId="77777777" w:rsidR="00A8138F" w:rsidRDefault="00A8138F" w:rsidP="00A8138F">
      <w:pPr>
        <w:pStyle w:val="TextoNormal"/>
      </w:pPr>
      <w:r>
        <w:t>Entiendo, por otro lado, que en la tramitación de la ley se vulneró el art. 23 CE y se afectó a la formación de la voluntad de la Cámara, por la devolución a la comisión de justicia tras la votación final sobre el conjunto de la iniciativa en la sesión plenaria de 30 de enero de 2024.</w:t>
      </w:r>
    </w:p>
    <w:p w14:paraId="25335789" w14:textId="77777777" w:rsidR="00A8138F" w:rsidRDefault="00A8138F" w:rsidP="00A8138F">
      <w:pPr>
        <w:pStyle w:val="TextoNormal"/>
      </w:pPr>
    </w:p>
    <w:p w14:paraId="6FD4505C" w14:textId="77777777" w:rsidR="00A8138F" w:rsidRDefault="00A8138F" w:rsidP="00A8138F">
      <w:pPr>
        <w:pStyle w:val="TextoNormal"/>
      </w:pPr>
      <w:r>
        <w:t>El día 30 de enero de 2024, el Pleno del Congreso de los Diputados debatió y votó el dictamen de la ponencia sobre la proposición de la ley orgánica de amnistía y obtuvo 177 votos a favor y 172 en contra. A continuación, de acuerdo con el art. 81.2 CE, que establece que “[l]a aprobación, modificación o derogación de las leyes orgánicas exigirá mayoría absoluta del Congreso, en una votación final sobre el conjunto del proyecto”, se procedió a dicha votación, cuyo resultado fue de 179 votos en contra y 171 a favor. Ante dicho resultado, la presidenta del Congreso de los Diputados y la mesa decidieron su devolución a la comisión de justicia a efectos de emitir un nuevo dictamen.</w:t>
      </w:r>
    </w:p>
    <w:p w14:paraId="2905D1A2" w14:textId="77777777" w:rsidR="00A8138F" w:rsidRDefault="00A8138F" w:rsidP="00A8138F">
      <w:pPr>
        <w:pStyle w:val="TextoNormal"/>
      </w:pPr>
    </w:p>
    <w:p w14:paraId="32A4C4C3" w14:textId="77777777" w:rsidR="00A8138F" w:rsidRDefault="00A8138F" w:rsidP="00A8138F">
      <w:pPr>
        <w:pStyle w:val="TextoNormal"/>
      </w:pPr>
      <w:r>
        <w:t>La sentencia descarta la lesión del art. 23 CE por la aprobación final de la Ley de amnistía en el Congreso, a pesar de que el dictamen de la comisión de justicia en segunda votación fue rechazado en el Pleno del Congreso por 179 votos, lo cual debería haber dado lugar a su rechazo [art. 131.2 del Reglamento del Congreso de los Diputados (RCD)], y no la vuelta a la Comisión de Justicia. Según los recurrentes, la mayoría de los votos en contra en segunda votación debía haber dado lugar al decaimiento del procedimiento legislativo y no a la devolución a la comisión para una segunda oportunidad. La sentencia sostiene que la interpretación literal, sistemática y teleológica del art. 131.2 RCD debe conducir a rechazar la queja, como se hizo en el ATC 24/2024, de 14 de marzo, (inadmisión de recurso de amparo contra la decisión de la Presidencia del Congreso sobre la tramitación parlamentaria).</w:t>
      </w:r>
    </w:p>
    <w:p w14:paraId="58C65A11" w14:textId="77777777" w:rsidR="00A8138F" w:rsidRDefault="00A8138F" w:rsidP="00A8138F">
      <w:pPr>
        <w:pStyle w:val="TextoNormal"/>
      </w:pPr>
    </w:p>
    <w:p w14:paraId="06117F6F" w14:textId="77777777" w:rsidR="00A8138F" w:rsidRDefault="00A8138F" w:rsidP="00A8138F">
      <w:pPr>
        <w:pStyle w:val="TextoNormal"/>
      </w:pPr>
      <w:r>
        <w:t>A diferencia de lo que ha apreciado la sentencia, considero que la devolución a la comisión de justicia alteró la formación de la voluntad de la Cámara.</w:t>
      </w:r>
    </w:p>
    <w:p w14:paraId="40E54BA4" w14:textId="77777777" w:rsidR="00A8138F" w:rsidRDefault="00A8138F" w:rsidP="00A8138F">
      <w:pPr>
        <w:pStyle w:val="TextoNormal"/>
      </w:pPr>
    </w:p>
    <w:p w14:paraId="1C22E1D8" w14:textId="77777777" w:rsidR="00A8138F" w:rsidRDefault="00A8138F" w:rsidP="00A8138F">
      <w:pPr>
        <w:pStyle w:val="TextoNormal"/>
      </w:pPr>
      <w:r>
        <w:t xml:space="preserve">A este respecto, comparto las razones expresadas por el magistrado don Enrique Arnaldo Alcubilla en el voto particular formulado al ATC 24/2024, que inadmitió un recurso de amparo parlamentario planteado contra dicho acuerdo, y en el que afirmó que la interpretación del Reglamento parlamentario que efectuaron los órganos rectores de la Cámara dista mucho de ajustarse a la letra y el espíritu de los arts. 79.1 y 131.2 RCD, y que “no es descartable que afecte al núcleo esencial de los derechos de los diputados recurrentes, que forman parte de la minoría, a participar en una tramitación parlamentaria conforme a Derecho y con plenas garantías de la Cámara, esto es, a la integridad del procedimiento legislativo. En definitiva, es muy verosímil que la interpretación y aplicación que de los preceptos reglamentarios han hecho los órganos rectores del Congreso en este caso ha producido una quiebra </w:t>
      </w:r>
      <w:r w:rsidRPr="00A8138F">
        <w:rPr>
          <w:i/>
        </w:rPr>
        <w:t>del ius in offi</w:t>
      </w:r>
      <w:r>
        <w:t>cium de los diputados recurrentes que el art. 23.2 CE garantiza”.</w:t>
      </w:r>
    </w:p>
    <w:p w14:paraId="6511037E" w14:textId="77777777" w:rsidR="00A8138F" w:rsidRDefault="00A8138F" w:rsidP="00A8138F">
      <w:pPr>
        <w:pStyle w:val="TextoNormal"/>
      </w:pPr>
    </w:p>
    <w:p w14:paraId="52E19150" w14:textId="77777777" w:rsidR="00A8138F" w:rsidRDefault="00A8138F" w:rsidP="00A8138F">
      <w:pPr>
        <w:pStyle w:val="TextoNormal"/>
      </w:pPr>
      <w:r>
        <w:t>En la votación sobre el conjunto de la iniciativa exigida por el art. 81.2 CE no se alcanzó la preceptiva mayoría absolut</w:t>
      </w:r>
      <w:r w:rsidRPr="00A8138F">
        <w:rPr>
          <w:i/>
        </w:rPr>
        <w:t xml:space="preserve">a </w:t>
      </w:r>
      <w:r>
        <w:t>ex art. 81.2 CE, ni tampoco la mayoría simple. Es por ello por lo que, en aplicación de los arts. 79.2 CE y 79.1 y 131.2 RCD, la iniciativa legislativa había de entenderse rechazada y, en consecuencia, decaída, por lo que no procedía su devolución a la comisión de justicia para que emitiera un nuevo dictamen, que fue lo acordado por la presidenta, en decisión luego confirmada por la mesa.</w:t>
      </w:r>
    </w:p>
    <w:p w14:paraId="6C12D2BE" w14:textId="77777777" w:rsidR="00A8138F" w:rsidRDefault="00A8138F" w:rsidP="00A8138F">
      <w:pPr>
        <w:pStyle w:val="TextoNormal"/>
      </w:pPr>
    </w:p>
    <w:p w14:paraId="048F6FD0" w14:textId="77777777" w:rsidR="00A8138F" w:rsidRDefault="00A8138F" w:rsidP="00A8138F">
      <w:pPr>
        <w:pStyle w:val="TextoNormal"/>
      </w:pPr>
      <w:r>
        <w:t>Los órganos de la Cámara interpretaron el art. 131.2 RCD en el sentido de que procedía la devolución a la comisión. Dicho precepto establece, respecto a los proyectos y proposiciones de ley orgánica, que “[s]u aprobación requerirá el voto favorable de la mayoría absoluta de los miembros de la Cámara en una votación final sobre el conjunto del texto. La votación será anunciada con antelación por la Presidencia de la Cámara y, si en ella se consigue la citada mayoría, el proyecto será remitido al Senado. Si, por el contrario, aquella no se consiguiese, el proyecto será devuelto a la comisión, que deberá emitir nuevo dictamen en el plazo de un mes”. Pero ha de entenderse implícito en dicho precepto que dicha votación deberá obtener la mayoría de la Cámara y, caso de no ser mayoría absoluta, se devolverá a la comisión. Como señala el letrado de las Cortes Generales en representación del Senado, se habría vulnerado el art. 79.2 CE, que establece que los “acuerdos, para ser válidos, deberán ser aprobados por la mayoría de los miembros presentes, sin perjuicio de las mayorías especiales que establezcan la Constitución o las leyes orgánicas y las que para elección de personas establezcan los Reglamentos de las Cámaras”. Esta es la regla general para la adopción de acuerdos de tal manera que, a mi entender, lo que significó el resultado de la votación fue el rechazo de la iniciativa (STC 238/2012, de 13 de diciembre, FJ 3).</w:t>
      </w:r>
    </w:p>
    <w:p w14:paraId="4647EB36" w14:textId="77777777" w:rsidR="00A8138F" w:rsidRDefault="00A8138F" w:rsidP="00A8138F">
      <w:pPr>
        <w:pStyle w:val="TextoNormal"/>
      </w:pPr>
    </w:p>
    <w:p w14:paraId="3DA07AC5" w14:textId="77777777" w:rsidR="00A8138F" w:rsidRDefault="00A8138F" w:rsidP="00A8138F">
      <w:pPr>
        <w:pStyle w:val="TextoNormal"/>
      </w:pPr>
      <w:r>
        <w:t>Es cierto que nuestra jurisprudencia es, como no puede ser de otra manera, respetuosa con la autonomía parlamentaria. Pero no debe desconocer los derechos de las minorías y la importancia de los procedimientos para garantizar dichos derechos. Como ha insistido en numerosas ocasiones la jurisprudencia constitucional “[l]a democracia parlamentaria no se agota, ciertamente, en formas y procedimientos, pero el respeto a unas y otros está, sin duda, entre sus presupuestos inexcusables” (entre otras, STC 19/2019, de 12 de febrero, FJ 6). Quizá no deberíamos olvidarnos de ello.</w:t>
      </w:r>
    </w:p>
    <w:p w14:paraId="27B248B0" w14:textId="77777777" w:rsidR="00A8138F" w:rsidRDefault="00A8138F" w:rsidP="00A8138F">
      <w:pPr>
        <w:pStyle w:val="TextoNormal"/>
      </w:pPr>
    </w:p>
    <w:p w14:paraId="48969B24" w14:textId="77777777" w:rsidR="00A8138F" w:rsidRDefault="00A8138F" w:rsidP="00A8138F">
      <w:pPr>
        <w:pStyle w:val="TextoNormal"/>
      </w:pPr>
      <w:r>
        <w:t>La sentencia descarta también que la emisión de nuevas enmiendas transaccionales en la comisión de 7 de marzo de 2024 hubiere sido sorpresiva, y la sentencia invoca el art. 114.3 RCD. Sin embargo, se prescinde voluntariamente del dato de que las enmiendas fueron introducidas en el propio acto de la reunión de la comisión de justicia de 7 de marzo, y que carecían de la necesaria homogeneidad o afinidad con la anterior versión de la Ley de amnistía, al aceptar nuevas exigencias de Junts sobre el ámbito temporal y las exclusiones de la Ley de amnistía (merced a las críticas académicas que habían aparecido en la prensa), cambiando sustancialmente el sentido de la ley para intentar esquivar la inconstitucionalidad anunciada en la prensa. Esta suerte de rectificación permanente ante las críticas extraparlamentarias evidencia también una falta de virtualidad democrática del procedimiento legislativo en este caso de la Ley de amnistía.</w:t>
      </w:r>
    </w:p>
    <w:p w14:paraId="7C14A69F" w14:textId="77777777" w:rsidR="00A8138F" w:rsidRDefault="00A8138F" w:rsidP="00A8138F">
      <w:pPr>
        <w:pStyle w:val="TextoNormal"/>
      </w:pPr>
    </w:p>
    <w:p w14:paraId="74E50440" w14:textId="77777777" w:rsidR="00A8138F" w:rsidRDefault="00A8138F" w:rsidP="00A8138F">
      <w:pPr>
        <w:pStyle w:val="TextoNormal"/>
      </w:pPr>
      <w:r>
        <w:t>14. Otras vulneraciones alegadas</w:t>
      </w:r>
    </w:p>
    <w:p w14:paraId="20C9BD9F" w14:textId="77777777" w:rsidR="00A8138F" w:rsidRDefault="00A8138F" w:rsidP="00A8138F">
      <w:pPr>
        <w:pStyle w:val="TextoNormal"/>
      </w:pPr>
    </w:p>
    <w:p w14:paraId="58D15D56" w14:textId="77777777" w:rsidR="00A8138F" w:rsidRDefault="00A8138F" w:rsidP="00A8138F">
      <w:pPr>
        <w:pStyle w:val="TextoNormal"/>
      </w:pPr>
      <w:r>
        <w:t>En el fundamento jurídico 14.2 [sobre la queja del recurrente de vulneración del principio de legalidad art. 25.1 CE en la tipificación del art. 2 c) de la Ley de la exclusión de la amnistía de los delitos de terrorismo de la Directiva (UE) 2017/541], en el punto 14.2.2, la sentencia descarta las quejas sobre la anormalidad de la definición de delitos de terrorismo por una directiva y no por el Derecho interno, la impunidad de los delitos de terrorismo intentados, la inventada dicotomía de terrorismo lesivo de los derechos humanos y del respetuoso con estos (incompatible con la seguridad jurídica), la eliminación de la persecución eficaz del terrorismo y la impunidad de las infracciones imprudentes o por dolo eventual.</w:t>
      </w:r>
    </w:p>
    <w:p w14:paraId="7B1490A9" w14:textId="77777777" w:rsidR="00A8138F" w:rsidRDefault="00A8138F" w:rsidP="00A8138F">
      <w:pPr>
        <w:pStyle w:val="TextoNormal"/>
      </w:pPr>
    </w:p>
    <w:p w14:paraId="5A8D4CAB" w14:textId="77777777" w:rsidR="00A8138F" w:rsidRDefault="00A8138F" w:rsidP="00A8138F">
      <w:pPr>
        <w:pStyle w:val="TextoNormal"/>
      </w:pPr>
      <w:r>
        <w:t>Con independencia de lo técnicamente censurable que resulte, desde el punto de vista de la seguridad jurídica, que el legislador español recurra a una directiva (Derecho de la Unión Europea externo) para la definición en Derecho interno de conductas penales, en lugar de atender a su norma de transposición nacional (Ley Orgánica 2/2015 y Ley Orgánica 1/2019), la sentencia comete un error grave sobre el concepto mismo de directiva del art. 288 TFUE (párrafo tercero: “[l]a directiva obligará al Estado miembro destinatario en cuanto al resultado […] dejando, sin embargo, a las autoridades nacionales la elección de la forma y de los medios”) al imputar la imprecisión normativa a la directiva (dejando de lado que a quien corresponde la interpretación del art. 288 TFUE es al Tribunal de Justicia de la Unión Europea), olvidando que una “relativa indeterminación” resulta intrínseca a la naturaleza jurídica de esta norma, puesto que si la misma fuere agotadora lesionaría el principio de subsidiariedad del Derecho de la Unión Europea (art. 5 TUE) por no respetar las competencias de los Estados miembros ni su autonomía normativa. Sin embargo, es al legislador nacional a quien obliga el mandato final de la directiva (art. 288 TFUE) y —sobre todo— el principio de taxatividad (art. 25.1 CE) y de seguridad jurídica (art. 9.3 CE), y no al legislador comunitario (que ya se encuentra constreñido por su propio principio de seguridad jurídica y de confianza legítima, que fiscalizará —en su caso— el Tribunal de Justicia de la Unión Europea, SSTJUE de 30 de abril de 2020, asunto C-184/19</w:t>
      </w:r>
      <w:r w:rsidRPr="00A8138F">
        <w:rPr>
          <w:i/>
        </w:rPr>
        <w:t>, Hecta Viticol SRL c. Agenţia Naţională de Administrare Fisca</w:t>
      </w:r>
      <w:r>
        <w:t>lă, § 53, y jurisprudencia citada, y de 16 de febrero de 2022, asunto C-157/21</w:t>
      </w:r>
      <w:r w:rsidRPr="00A8138F">
        <w:rPr>
          <w:i/>
        </w:rPr>
        <w:t>, Polonia, apoyada por Hungría, c. el Parlamento y el Conse</w:t>
      </w:r>
      <w:r>
        <w:t>jo, § 223, y jurisprudencia citada).</w:t>
      </w:r>
    </w:p>
    <w:p w14:paraId="4FC626A7" w14:textId="77777777" w:rsidR="00A8138F" w:rsidRDefault="00A8138F" w:rsidP="00A8138F">
      <w:pPr>
        <w:pStyle w:val="TextoNormal"/>
      </w:pPr>
    </w:p>
    <w:p w14:paraId="4644C15D" w14:textId="77777777" w:rsidR="00A8138F" w:rsidRDefault="00A8138F" w:rsidP="00A8138F">
      <w:pPr>
        <w:pStyle w:val="TextoNormal"/>
      </w:pPr>
      <w:r>
        <w:t>En definitiva, desviar la alegación de una eventual indeterminación lesiva del art. 25.1 CE hacia la Directiva (UE) 2017/541 resulta irrazonable (pues la directiva solo determina las líneas maestras u objetivos); y, sin embargo, no examinar la relevancia sobre la punibilidad o perdón de las conductas terroristas imprudentes (o con dolo eventual), de las intentadas, o de las figuras del mero colaborador, provocador, facilitador o financiador tipificadas en los arts. 573 a 580 CP, o la dualidad de terrorismo lenitivo y el lesivo de derechos fundamentales, entraña una violación flagrante del art. 24.1 CE (falta de motivación) por el propio Tribunal Constitucional, tergiversando las quejas.</w:t>
      </w:r>
    </w:p>
    <w:p w14:paraId="5CE06644" w14:textId="77777777" w:rsidR="00A8138F" w:rsidRDefault="00A8138F" w:rsidP="00A8138F">
      <w:pPr>
        <w:pStyle w:val="TextoNormal"/>
      </w:pPr>
    </w:p>
    <w:p w14:paraId="7ED26E00" w14:textId="77777777" w:rsidR="00A8138F" w:rsidRDefault="00A8138F" w:rsidP="00A8138F">
      <w:pPr>
        <w:pStyle w:val="TextoNormal"/>
      </w:pPr>
      <w:r>
        <w:t>Además, en el fundamento jurídico 15.2 la sentencia desestima sucintamente la posible lesión por art. 4 b) de la Ley de amnistía del Derecho de la Unión Europea, respecto del imperativo de levantamiento de las órdenes europeas de detención. El recurrente invocó la doctrina de la STJUE de 16 de diciembre de 2021, asunto C-203/20</w:t>
      </w:r>
      <w:r w:rsidRPr="00A8138F">
        <w:rPr>
          <w:i/>
        </w:rPr>
        <w:t>, AB y otr</w:t>
      </w:r>
      <w:r>
        <w:t>os, § 52 y 53, y el contenido de la Decisión Marco 2002/584/JAI sobre la orden europea de detención y entrega.</w:t>
      </w:r>
    </w:p>
    <w:p w14:paraId="5AAF77EB" w14:textId="77777777" w:rsidR="00A8138F" w:rsidRDefault="00A8138F" w:rsidP="00A8138F">
      <w:pPr>
        <w:pStyle w:val="TextoNormal"/>
      </w:pPr>
    </w:p>
    <w:p w14:paraId="5542F60F" w14:textId="77777777" w:rsidR="00A8138F" w:rsidRDefault="00A8138F" w:rsidP="00A8138F">
      <w:pPr>
        <w:pStyle w:val="TextoNormal"/>
      </w:pPr>
      <w:r>
        <w:t>Debe tenerse presente que la impugnación del art. 4 de la Ley de amnistía se formuló por contradecir los arts. 24.1 y 117.3 CE, y que este art. 4 de la Ley de amnistía se abre con la frase “[s]in perjuicio de lo dispuesto en […] el artículo 267 del Tratado de funcionamiento de la Unión Europea”, sobre el planteamiento de cuestiones prejudiciales al Tribunal de Justicia de la Unión Europea. Ello hace comprender al lector que si la norma eslovena que otorgó un archivo formal del procedimiento penal, sin enjuiciar el fondo, no constituyó un óbice para la posterior emisión de una orden europea de detención y entrega por un juez esloveno (evidenciándose una autonomía del procedimiento comunitario cautelar de la orden europea de detención y entrega respecto del procedimiento penal nacional) tampoco el art. 4 b) de la Ley de amnistía sobre la amnistía al procés constituiría un obstáculo para la emisión o el mantenimiento de una orden europea de detención y entrega por un juez español que conozca de una amnistía en proceso penal. En definitiva, el recurrente esgrime que el procedimiento penal y el procedimiento de la orden europea de detención y entrega resultan dos procedimientos autónomos y —en consecuencia— la exigibilidad del mantenimiento de la orden europea de detención y entrega, salvo que el juez nacional, como juez comunitario, la levante, sin que el legislador nacional ni el Derecho interno puedan condicionarla ni obstaculizarla. Esta reflexión del demandante se enmarcó en el frontispicio del art. 4 de la Ley de amnistía, que remite al art. 267 TFUE (sobre el necesario planteamiento de cuestiones prejudiciales por tribunales de ulterior instancia —como el Tribunal Constitucional— cuando se suscitan normas de Derecho de la Unión Europea, como la que rige la orden europea de detención y entrega). Por lo tanto, el recurrente efectuó una argumentación jurídica explícita y comprensible sobre la incompatibilidad del art. 4 b) de la Ley de amnistía (inciso levantamiento “órdenes europeas de detención” en casos de amnistía del procés) con los arts. 24 y 117 CE y con el Derecho de la Unión Europea.</w:t>
      </w:r>
    </w:p>
    <w:p w14:paraId="19D9D3C8" w14:textId="77777777" w:rsidR="00A8138F" w:rsidRDefault="00A8138F" w:rsidP="00A8138F">
      <w:pPr>
        <w:pStyle w:val="TextoNormal"/>
      </w:pPr>
    </w:p>
    <w:p w14:paraId="055A9F1A" w14:textId="77777777" w:rsidR="00A8138F" w:rsidRDefault="00A8138F" w:rsidP="00A8138F">
      <w:pPr>
        <w:pStyle w:val="TextoNormal"/>
      </w:pPr>
      <w:r>
        <w:t>La lacónica respuesta del Tribunal en este fundamento jurídico 15.2 —a mi entender— resulta lesiva de la obligación de motivación del art. 24.1 CE; pero —sobre todo— es trasgresora del art. 93 CE e infractora del propio Derecho de la Unión Europea, por partida doble, tanto al ignorar los límites del art. 82 TFUE y la Decisión Marco 2002/584/JAI, como al prescindir del art. 267, párrafo tercero, TFUE sobre la obligación de planteamiento de cuestión prejudicial sobre la interpretación del Derecho derivado), máxime cuando introduce en el Derecho interno un distinto nivel de protección nacional y comunitario en la medida cautelar europea.</w:t>
      </w:r>
    </w:p>
    <w:p w14:paraId="24204098" w14:textId="77777777" w:rsidR="00A8138F" w:rsidRDefault="00A8138F" w:rsidP="00A8138F">
      <w:pPr>
        <w:pStyle w:val="TextoNormal"/>
      </w:pPr>
    </w:p>
    <w:p w14:paraId="44898090" w14:textId="77777777" w:rsidR="00A8138F" w:rsidRDefault="00A8138F" w:rsidP="00A8138F">
      <w:pPr>
        <w:pStyle w:val="TextoNormal"/>
      </w:pPr>
      <w:r>
        <w:t xml:space="preserve">En definitiva, el legislador español no podía disponer sobre los efectos de las órdenes europeas de detención y entrega en el art. 4 b) de la Ley de amnistía, al regirse la orden europea de detención y entrega por la Decisión Marco 2002/584/JAI (y no por la Ley de amnistía) de forma autónoma e independiente de lo que se decida formalmente en el procedimiento penal </w:t>
      </w:r>
      <w:r w:rsidRPr="00A8138F">
        <w:rPr>
          <w:i/>
        </w:rPr>
        <w:t>a quo</w:t>
      </w:r>
      <w:r>
        <w:t>. Conforme a la Decisión Marco 2002/584/JAI, el juez nacional es el único soberano sobre la orden europea de detención y entrega; y el Derecho de la Unión Europea no permite que cada Estado miembro —ni su “magnánimo” legislador del perdón— configure asimétricamente (de forma no-equivalente) los efectos de la orden europea de detención y entrega en cada territorio (con ocasión de una amnistía, o de cualquier otra vicisitud extintiva del procedimiento penal), porque la aplicación uniforme del Derecho de la Unión Europea en la materia resulta impera</w:t>
      </w:r>
      <w:r w:rsidRPr="00A8138F">
        <w:rPr>
          <w:i/>
        </w:rPr>
        <w:t>tiv</w:t>
      </w:r>
      <w:r>
        <w:t>a (cfr. SSTJUE de 30 de junio de 2022, asunto C-10</w:t>
      </w:r>
      <w:r w:rsidRPr="00A8138F">
        <w:rPr>
          <w:i/>
        </w:rPr>
        <w:t>5/21, IR c. Spetsializirana proku</w:t>
      </w:r>
      <w:r>
        <w:t>ratura, § 50; de 31 de enero de 2023, asunto C-15</w:t>
      </w:r>
      <w:r w:rsidRPr="00A8138F">
        <w:rPr>
          <w:i/>
        </w:rPr>
        <w:t>8/21, Puig Gordi y</w:t>
      </w:r>
      <w:r>
        <w:t xml:space="preserve"> otros, § 75; de 6 de junio de 2023, asunto C-70</w:t>
      </w:r>
      <w:r w:rsidRPr="00A8138F">
        <w:rPr>
          <w:i/>
        </w:rPr>
        <w:t>0/21</w:t>
      </w:r>
      <w:r>
        <w:t>, O.G., § 38 a 40; de 14 de septiembre de 2023, asunto C-7</w:t>
      </w:r>
      <w:r w:rsidRPr="00A8138F">
        <w:rPr>
          <w:i/>
        </w:rPr>
        <w:t>1/21, KT c. Sofiyska gradska proku</w:t>
      </w:r>
      <w:r>
        <w:t>ratura, § 35 y 53; de 21 de septiembre de 2023, asunto C-16</w:t>
      </w:r>
      <w:r w:rsidRPr="00A8138F">
        <w:rPr>
          <w:i/>
        </w:rPr>
        <w:t>4/22</w:t>
      </w:r>
      <w:r>
        <w:t>, Juan, § 27, y ATJUE de 16 de noviembre de 2023, asunto C-63</w:t>
      </w:r>
      <w:r w:rsidRPr="00A8138F">
        <w:rPr>
          <w:i/>
        </w:rPr>
        <w:t>6/</w:t>
      </w:r>
      <w:r>
        <w:t>22, PY, § 25).</w:t>
      </w:r>
    </w:p>
    <w:p w14:paraId="68F621F7" w14:textId="77777777" w:rsidR="00A8138F" w:rsidRDefault="00A8138F" w:rsidP="00A8138F">
      <w:pPr>
        <w:pStyle w:val="TextoNormal"/>
      </w:pPr>
    </w:p>
    <w:p w14:paraId="22AAB934" w14:textId="77777777" w:rsidR="00A8138F" w:rsidRDefault="00A8138F" w:rsidP="00A8138F">
      <w:pPr>
        <w:pStyle w:val="TextoNormal"/>
      </w:pPr>
      <w:r>
        <w:t>III. Conclusiones</w:t>
      </w:r>
    </w:p>
    <w:p w14:paraId="4856727F" w14:textId="77777777" w:rsidR="00A8138F" w:rsidRDefault="00A8138F" w:rsidP="00A8138F">
      <w:pPr>
        <w:pStyle w:val="TextoNormal"/>
      </w:pPr>
    </w:p>
    <w:p w14:paraId="2728CE40" w14:textId="77777777" w:rsidR="00A8138F" w:rsidRDefault="00A8138F" w:rsidP="00A8138F">
      <w:pPr>
        <w:pStyle w:val="TextoNormal"/>
      </w:pPr>
      <w:r>
        <w:t>La sentencia ha sido dictada por un Pleno defectuosamente integrado, por haber sido apartado indebidamente del mismo el magistrado don José María Macías Castaño, en el que no concurría la causa de recusación alegada por el Ministerio Fiscal, que debió, además, ser inadmitida de plano por extemporánea.</w:t>
      </w:r>
    </w:p>
    <w:p w14:paraId="582E4E40" w14:textId="77777777" w:rsidR="00A8138F" w:rsidRDefault="00A8138F" w:rsidP="00A8138F">
      <w:pPr>
        <w:pStyle w:val="TextoNormal"/>
      </w:pPr>
    </w:p>
    <w:p w14:paraId="53933ABC" w14:textId="77777777" w:rsidR="00A8138F" w:rsidRDefault="00A8138F" w:rsidP="00A8138F">
      <w:pPr>
        <w:pStyle w:val="TextoNormal"/>
      </w:pPr>
      <w:r>
        <w:t>Debería haberse planteado la cuestión prejudicial que fue tempestiva y fundadamente solicitada por los recurrentes o, al menos, haber esperado a la resolución de las ya admitidas que penden ante el Tribunal de Justicia de la Unión Europea. La precipitación con la que se ha abordado el análisis de una ley que supone una ruptura temporal de los principios básicos constitucionales, una norma excepcional, solo puede estar justificada por el fundado temor a una censura europea de la norma avalada ahora por la mayoría.</w:t>
      </w:r>
    </w:p>
    <w:p w14:paraId="290528D5" w14:textId="77777777" w:rsidR="00A8138F" w:rsidRDefault="00A8138F" w:rsidP="00A8138F">
      <w:pPr>
        <w:pStyle w:val="TextoNormal"/>
      </w:pPr>
    </w:p>
    <w:p w14:paraId="1D9AC6A8" w14:textId="77777777" w:rsidR="00A8138F" w:rsidRDefault="00A8138F" w:rsidP="00A8138F">
      <w:pPr>
        <w:pStyle w:val="TextoNormal"/>
      </w:pPr>
      <w:r>
        <w:t>No debería haberse entrado en este momento en el examen de la validez de la norma. Dado que se ha resuelto, desatendiendo la obligación de planteamiento de cuestión prejudicial y faltando a las más elementales exigencias de prudencia, el recurso de inconstitucionalidad, por las razones que detalladamente he expuesto, debió ser íntegramente estimado, expulsando la Ley Orgánica 1/2024 del ordenamiento jurídico.</w:t>
      </w:r>
    </w:p>
    <w:p w14:paraId="55713067" w14:textId="77777777" w:rsidR="00A8138F" w:rsidRDefault="00A8138F" w:rsidP="00A8138F">
      <w:pPr>
        <w:pStyle w:val="TextoNormal"/>
      </w:pPr>
    </w:p>
    <w:p w14:paraId="5EC7DAD9" w14:textId="77777777" w:rsidR="00A8138F" w:rsidRDefault="00A8138F" w:rsidP="00A8138F">
      <w:pPr>
        <w:pStyle w:val="TextoNormal"/>
      </w:pPr>
      <w:r>
        <w:t>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14:paraId="53C82447" w14:textId="77777777" w:rsidR="00A8138F" w:rsidRDefault="00A8138F" w:rsidP="00A8138F">
      <w:pPr>
        <w:pStyle w:val="TextoNormal"/>
      </w:pPr>
    </w:p>
    <w:p w14:paraId="48566335" w14:textId="77777777" w:rsidR="00A8138F" w:rsidRDefault="00A8138F" w:rsidP="00A8138F">
      <w:pPr>
        <w:pStyle w:val="TextoNormal"/>
      </w:pPr>
      <w:r>
        <w:t xml:space="preserve">En la hipótesis, que no comparto, de que la amnistía tuviera encaje en la Constitución, la contemplada en la Ley de amnistía es inconstitucional por las siguientes razones: es contraria al principio de Estado de Derecho del art. 1.1 CE en relación con el art. 2 TUE; vulnera los de separación de poderes y de reserva de jurisdicción; comparte rasgos esenciales de las leyes singulares e incluso transciende su marco conceptual y no supera el estricto canon exigible para su validez; no responde al ideal de justicia; es una norma arbitraria que obedece a una causa ilícita; vulnera el derecho a la igualdad e incurre en discriminación por razones ideológicas; es contraria al derecho a la tutela judicial efectiva; carece de calidad normativa y contraviene la exigencia de seguridad jurídica; fue aprobada con irregularidades en el procedimiento parlamentario que comportaron vulneración </w:t>
      </w:r>
      <w:r w:rsidRPr="00A8138F">
        <w:rPr>
          <w:i/>
        </w:rPr>
        <w:t>del ius in offi</w:t>
      </w:r>
      <w:r>
        <w:t>cium; constituye una “autoamistía”, como la ha calificado la propia Comisión Europea en sus alegaciones ante el Tribunal de Justicia de la Unión Europea y, finalmente, en relación con los delitos de terrorismo y de las órdenes europeas de detención y entrega, la regulación que contiene vulnera la normativa europea.</w:t>
      </w:r>
    </w:p>
    <w:p w14:paraId="79880EEB" w14:textId="77777777" w:rsidR="00A8138F" w:rsidRDefault="00A8138F" w:rsidP="00A8138F">
      <w:pPr>
        <w:pStyle w:val="TextoNormal"/>
      </w:pPr>
    </w:p>
    <w:p w14:paraId="6789F187" w14:textId="77777777" w:rsidR="00A8138F" w:rsidRDefault="00A8138F" w:rsidP="00A8138F">
      <w:pPr>
        <w:pStyle w:val="TextoNormal"/>
      </w:pPr>
      <w:r>
        <w:t>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14:paraId="528B3412" w14:textId="77777777" w:rsidR="00A8138F" w:rsidRDefault="00A8138F" w:rsidP="00A8138F">
      <w:pPr>
        <w:pStyle w:val="TextoNormal"/>
      </w:pPr>
    </w:p>
    <w:p w14:paraId="4382B65D" w14:textId="77777777" w:rsidR="00A8138F" w:rsidRDefault="00A8138F" w:rsidP="00A8138F">
      <w:pPr>
        <w:pStyle w:val="TextoNormal"/>
      </w:pPr>
      <w:r>
        <w:t>En definitiva, la pluralidad de elementos considerados en los apartados precedentes me lleva a sostener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14:paraId="36E33742" w14:textId="77777777" w:rsidR="00A8138F" w:rsidRDefault="00A8138F" w:rsidP="00A8138F">
      <w:pPr>
        <w:pStyle w:val="TextoNormal"/>
      </w:pPr>
    </w:p>
    <w:p w14:paraId="3E499EB5" w14:textId="77777777" w:rsidR="00A8138F" w:rsidRDefault="00A8138F" w:rsidP="00A8138F">
      <w:pPr>
        <w:pStyle w:val="TextoNormal"/>
      </w:pPr>
      <w:r>
        <w:t>Estamos ante una auténtica anomalía jurídica, revestida de normalidad legislativa, ante un claro ejemplo de sometimiento del Derecho por la política, de la razón por el poder.</w:t>
      </w:r>
    </w:p>
    <w:p w14:paraId="07ED401B" w14:textId="77777777" w:rsidR="00A8138F" w:rsidRDefault="00A8138F" w:rsidP="00A8138F">
      <w:pPr>
        <w:pStyle w:val="TextoNormal"/>
      </w:pPr>
    </w:p>
    <w:p w14:paraId="7EA6F278" w14:textId="77777777" w:rsidR="00A8138F" w:rsidRDefault="00A8138F" w:rsidP="00A8138F">
      <w:pPr>
        <w:pStyle w:val="TextoNormal"/>
      </w:pPr>
      <w:r>
        <w:t>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 obviando que en la tramitación parlamentaria se llegó a mencionar: “Hoy es un día histórico, porque estamos ante la primera derrota del régimen del 78”.</w:t>
      </w:r>
    </w:p>
    <w:p w14:paraId="4E97B2FE" w14:textId="77777777" w:rsidR="00A8138F" w:rsidRDefault="00A8138F" w:rsidP="00A8138F">
      <w:pPr>
        <w:pStyle w:val="TextoNormal"/>
      </w:pPr>
    </w:p>
    <w:p w14:paraId="32CA1D33" w14:textId="77777777" w:rsidR="00A8138F" w:rsidRDefault="00A8138F" w:rsidP="00A8138F">
      <w:pPr>
        <w:pStyle w:val="TextoNormal"/>
      </w:pPr>
      <w:r>
        <w:t>Temo que la aprobación de la sentencia, avalada por la mayoría de este órgano,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14:paraId="36747D2B" w14:textId="77777777" w:rsidR="00A8138F" w:rsidRDefault="00A8138F" w:rsidP="00A8138F">
      <w:pPr>
        <w:pStyle w:val="TextoNormal"/>
      </w:pPr>
    </w:p>
    <w:p w14:paraId="5C5DE683" w14:textId="77777777" w:rsidR="00A8138F" w:rsidRDefault="00A8138F" w:rsidP="00A8138F">
      <w:pPr>
        <w:pStyle w:val="TextoNormal"/>
      </w:pPr>
      <w:r>
        <w:t>No puedo concluir sin expresar mi preocupación por el hecho de que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14:paraId="3C4BC045" w14:textId="77777777" w:rsidR="00A8138F" w:rsidRDefault="00A8138F" w:rsidP="00A8138F">
      <w:pPr>
        <w:pStyle w:val="TextoNormal"/>
      </w:pPr>
    </w:p>
    <w:p w14:paraId="454FB9E6" w14:textId="77777777" w:rsidR="00A8138F" w:rsidRDefault="00A8138F" w:rsidP="00A8138F">
      <w:pPr>
        <w:pStyle w:val="TextoNormal"/>
      </w:pPr>
      <w:r>
        <w:t>Cuando las instituciones se pliegan a esta lógica, se crea un precedente peligroso: el poder puede comprarse con impunidad y la ley se convierte, no en una herramienta al servicio de los ciudadanos, sino de los poderosos.</w:t>
      </w:r>
    </w:p>
    <w:p w14:paraId="519EE9EB" w14:textId="77777777" w:rsidR="00A8138F" w:rsidRDefault="00A8138F" w:rsidP="00A8138F">
      <w:pPr>
        <w:pStyle w:val="TextoNormal"/>
      </w:pPr>
    </w:p>
    <w:p w14:paraId="0C3EAAE6" w14:textId="77777777" w:rsidR="00A8138F" w:rsidRDefault="00A8138F" w:rsidP="00A8138F">
      <w:pPr>
        <w:pStyle w:val="TextoNormal"/>
      </w:pPr>
      <w:r>
        <w:t>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14:paraId="3300154D" w14:textId="77777777" w:rsidR="00A8138F" w:rsidRDefault="00A8138F" w:rsidP="00A8138F">
      <w:pPr>
        <w:pStyle w:val="TextoNormal"/>
      </w:pPr>
    </w:p>
    <w:p w14:paraId="7ADFFF6B" w14:textId="77777777" w:rsidR="00A8138F" w:rsidRDefault="00A8138F" w:rsidP="00A8138F">
      <w:pPr>
        <w:pStyle w:val="TextoNormal"/>
      </w:pPr>
      <w:r>
        <w:t>En virtud de todo lo expuesto, formulo el presente voto particular con plena convicción, con la tranquilidad interna que ofrece saber que cumplo con mi deber como magistrada constitucional, pero con la impotencia de no haber logrado convencer a mis compañeros de que la presente Ley de amnistía, representa la mayor regresión institucional habida en la historia constitucional reciente, consolida una desigualdad entre iguales y constituye (salvedad hecha de las afectantes al derecho a la vida) la más injusta de cuantas leyes han sido sometidas al escrutinio de este tribunal.</w:t>
      </w:r>
    </w:p>
    <w:p w14:paraId="5FDA609A" w14:textId="77777777" w:rsidR="00A8138F" w:rsidRDefault="00A8138F" w:rsidP="00A8138F">
      <w:pPr>
        <w:pStyle w:val="TextoNormal"/>
      </w:pPr>
    </w:p>
    <w:p w14:paraId="6828A4C6" w14:textId="77777777" w:rsidR="00A8138F" w:rsidRDefault="00A8138F" w:rsidP="00A8138F">
      <w:pPr>
        <w:pStyle w:val="TextoNormal"/>
      </w:pPr>
      <w:r>
        <w:t>Y en este sentido emito mi voto particular.</w:t>
      </w:r>
    </w:p>
    <w:p w14:paraId="738D303A" w14:textId="77777777" w:rsidR="00A8138F" w:rsidRDefault="00A8138F" w:rsidP="00A8138F">
      <w:pPr>
        <w:pStyle w:val="TextoNormal"/>
      </w:pPr>
    </w:p>
    <w:p w14:paraId="07931746" w14:textId="0A8026F9" w:rsidR="00A8138F" w:rsidRDefault="00A8138F" w:rsidP="00A8138F">
      <w:pPr>
        <w:pStyle w:val="TextoNormal"/>
      </w:pPr>
      <w:r>
        <w:t>Madrid, a veintiséis de junio de dos mil veinticinco.</w:t>
      </w:r>
    </w:p>
    <w:p w14:paraId="1B23AA66" w14:textId="77777777" w:rsidR="00A8138F" w:rsidRDefault="00A8138F" w:rsidP="00A8138F">
      <w:pPr>
        <w:pStyle w:val="TextoNormal"/>
      </w:pPr>
    </w:p>
    <w:p w14:paraId="6AB54732" w14:textId="77777777" w:rsidR="00A8138F" w:rsidRDefault="00A8138F" w:rsidP="00A8138F">
      <w:pPr>
        <w:pStyle w:val="TextoNormalNegritaCentrado"/>
        <w:keepNext/>
      </w:pPr>
      <w:r>
        <w:t>Voto particular que formula el magistrado don César Tolosa Tribiño a la sentencia dictada por el Pleno en el recurso de inconstitucionalidad núm. 6436-2024, interpuesto por más de cincuenta diputados y senadores del Grupo Parlamentario Popular en el Congreso de los Diputados contra la Ley Orgánica 1/2024, de 10 de junio, de amnistía para la normalización institucional, política y social en Cataluña</w:t>
      </w:r>
    </w:p>
    <w:p w14:paraId="1724A2D6" w14:textId="37E51722" w:rsidR="00A8138F" w:rsidRDefault="00A8138F" w:rsidP="00A8138F">
      <w:pPr>
        <w:pStyle w:val="TextoNormalNegritaCentrado"/>
        <w:keepNext/>
      </w:pPr>
    </w:p>
    <w:p w14:paraId="7884E156" w14:textId="77777777" w:rsidR="00A8138F" w:rsidRDefault="00A8138F" w:rsidP="00A8138F">
      <w:pPr>
        <w:pStyle w:val="TextoNormal"/>
      </w:pPr>
      <w:r>
        <w:t>En el ejercicio de la facultad prevista en el artículo 90.2 LOTC y con respeto a la opinión del resto de magistrados que han mostrado su conformidad con la sentencia, formulo el presente voto particular al considerar necesario exponer mi discrepancia con la argumentación de la sentencia y el fallo de esta.</w:t>
      </w:r>
    </w:p>
    <w:p w14:paraId="62925F37" w14:textId="77777777" w:rsidR="00A8138F" w:rsidRDefault="00A8138F" w:rsidP="00A8138F">
      <w:pPr>
        <w:pStyle w:val="TextoNormal"/>
      </w:pPr>
    </w:p>
    <w:p w14:paraId="6A2C9200" w14:textId="77777777" w:rsidR="00A8138F" w:rsidRDefault="00A8138F" w:rsidP="00A8138F">
      <w:pPr>
        <w:pStyle w:val="TextoNormal"/>
      </w:pPr>
      <w:r w:rsidRPr="00A8138F">
        <w:rPr>
          <w:i/>
        </w:rPr>
        <w:t>Estructura del voto particular</w:t>
      </w:r>
    </w:p>
    <w:p w14:paraId="0DF57151" w14:textId="77777777" w:rsidR="00A8138F" w:rsidRDefault="00A8138F" w:rsidP="00A8138F">
      <w:pPr>
        <w:pStyle w:val="TextoNormal"/>
      </w:pPr>
    </w:p>
    <w:p w14:paraId="2B3B7101" w14:textId="77777777" w:rsidR="00A8138F" w:rsidRDefault="00A8138F" w:rsidP="00A8138F">
      <w:pPr>
        <w:pStyle w:val="TextoNormal"/>
      </w:pPr>
      <w:r>
        <w:t>1. Este voto particular se articula en cuatro apartados. El primero se dedica, por un lado, a cuestionar tanto la indebida composición del Tribunal que dictó la sentencia como consecuencia de la improcedente estimación de la recusación del magistrado don José María Macías Castaño; y, por otro, a denunciar la filtración del texto de la ponencia a los medios de comunicación. El segundo argumenta el incumplimiento por parte de este tribunal de la obligación que tenía de plantear previamente una cuestión prejudicial al Tribunal de Justicia, con clara infracción del artículo 267, párrafo tercero, TFUE. A continuación, se analizan los principales motivos de inconstitucionalidad de la Ley Orgánica 1/2024, de amnistía, y, finalmente, el incumplimiento del Derecho de la Unión por desviarse la sentencia del valor de Estado de Derecho que consagra el artículo 2 TUE y la jurisprudencia del Tribunal de Justicia.</w:t>
      </w:r>
    </w:p>
    <w:p w14:paraId="7D935054" w14:textId="77777777" w:rsidR="00A8138F" w:rsidRDefault="00A8138F" w:rsidP="00A8138F">
      <w:pPr>
        <w:pStyle w:val="TextoNormal"/>
      </w:pPr>
    </w:p>
    <w:p w14:paraId="4FD6D2C2" w14:textId="77777777" w:rsidR="00A8138F" w:rsidRDefault="00A8138F" w:rsidP="00A8138F">
      <w:pPr>
        <w:pStyle w:val="TextoNormal"/>
      </w:pPr>
      <w:r>
        <w:t>2. Antes de abordar tales bloques, se expondrán de forma sintética los argumentos esenciales que estructuran el desarrollo posterior y permiten dar una visión global de los distintos motivos de discrepancia con el razonamiento de la sentencia. Se advierte que algunas de las cuestiones que se abordan al examinar los principales motivos de inconstitucionalidad se retoman de nuevo en el apartado cuarto, al examinar el incumplimiento del Derecho de la Unión; ello tiene por finalidad explicar por qué si este tribunal hubiera tomado en consideración el Derecho de la Unión y la jurisprudencia de su Tribunal de Justicia, habría tenido que estimar el presente recurso de inconstitucionalidad.</w:t>
      </w:r>
    </w:p>
    <w:p w14:paraId="2744A7CB" w14:textId="77777777" w:rsidR="00A8138F" w:rsidRDefault="00A8138F" w:rsidP="00A8138F">
      <w:pPr>
        <w:pStyle w:val="TextoNormal"/>
      </w:pPr>
    </w:p>
    <w:p w14:paraId="7E94327A" w14:textId="77777777" w:rsidR="00A8138F" w:rsidRDefault="00A8138F" w:rsidP="00A8138F">
      <w:pPr>
        <w:pStyle w:val="TextoNormal"/>
      </w:pPr>
      <w:r w:rsidRPr="00A8138F">
        <w:rPr>
          <w:i/>
        </w:rPr>
        <w:t>Adelanto preliminar de los argumentos esenciales</w:t>
      </w:r>
    </w:p>
    <w:p w14:paraId="340E8972" w14:textId="77777777" w:rsidR="00A8138F" w:rsidRDefault="00A8138F" w:rsidP="00A8138F">
      <w:pPr>
        <w:pStyle w:val="TextoNormal"/>
      </w:pPr>
    </w:p>
    <w:p w14:paraId="27F0763A" w14:textId="77777777" w:rsidR="00A8138F" w:rsidRDefault="00A8138F" w:rsidP="00A8138F">
      <w:pPr>
        <w:pStyle w:val="TextoNormal"/>
      </w:pPr>
      <w:r w:rsidRPr="00A8138F">
        <w:rPr>
          <w:i/>
        </w:rPr>
        <w:t>La indebida composición del Pleno del Tribunal Constitucional y la filtración del texto de la ponencia</w:t>
      </w:r>
    </w:p>
    <w:p w14:paraId="0EC8E295" w14:textId="77777777" w:rsidR="00A8138F" w:rsidRDefault="00A8138F" w:rsidP="00A8138F">
      <w:pPr>
        <w:pStyle w:val="TextoNormal"/>
      </w:pPr>
    </w:p>
    <w:p w14:paraId="2499FF34" w14:textId="77777777" w:rsidR="00A8138F" w:rsidRDefault="00A8138F" w:rsidP="00A8138F">
      <w:pPr>
        <w:pStyle w:val="TextoNormal"/>
      </w:pPr>
      <w:r>
        <w:t>3. El Pleno del Tribunal que ha resuelto el recurso de inconstitucionalidad estuvo irregularmente constituido como consecuencia de la indebida tramitación, estimación y extensión de efectos de la recusación del magistrado don José María Macías a veintiún procedimientos de inconstitucionalidad, como así hice constar en los votos particulares formulados frente a los AATC 6/2025, de 15 de enero; 12/2025, de 29 de enero, y 35/2025, de 13 de mayo, que desestima el recurso de súplica frente al anterior. Dicha recusación se acordó vulnerando el principio de contradicción, apartándose de la aplicación de la doctrina constitucional sobre la extemporaneidad y del precedente inmediato relativo a la magistrada doña Concepción Espejel. Asimismo, la decisión fue indebidamente extendida a otros veintiún procesos —entre ellos el presente— sin cobertura legal, sin respeto a los derechos de las partes ni a las garantías del recusado, y sin haber otorgado audiencia al Grupo Parlamentario Popular ni a diversos consejos de Gobierno autonómicos, cuyos recursos de súplica fueron desestimados sin motivación. El apartamiento del magistrado señor Macías, inicialmente designado ponente del recurso de inconstitucionalidad núm. 6436-2024, dio lugar a la reasignación de la ponencia a la magistrada doña Inmaculada Montalbán, mediante acuerdo del presidente del Tribunal Constitucional de 29 de enero de 2025. Esta reasignación se efectuó al margen del criterio ordinario de antigüedad y edad, sin que conste justificación expresa que avale tal decisión.</w:t>
      </w:r>
    </w:p>
    <w:p w14:paraId="2B83E3CA" w14:textId="77777777" w:rsidR="00A8138F" w:rsidRDefault="00A8138F" w:rsidP="00A8138F">
      <w:pPr>
        <w:pStyle w:val="TextoNormal"/>
      </w:pPr>
    </w:p>
    <w:p w14:paraId="2E71F848" w14:textId="77777777" w:rsidR="00A8138F" w:rsidRDefault="00A8138F" w:rsidP="00A8138F">
      <w:pPr>
        <w:pStyle w:val="TextoNormal"/>
      </w:pPr>
      <w:r>
        <w:t>4. La filtración del contenido de la sentencia a los medios antes de que todos los magistrados tuvieran acceso oficial supone una grave irregularidad y deslealtad sin precedentes, que compromete la credibilidad del funcionamiento deliberativo del Tribunal, proyectando la imagen de un órgano cuya decisión final no resulta de una deliberación colegiada genuina, sino de una resolución preconfigurada y comunicada por cauces ajenos al procedimiento legalmente establecido.</w:t>
      </w:r>
    </w:p>
    <w:p w14:paraId="161C5381" w14:textId="77777777" w:rsidR="00A8138F" w:rsidRDefault="00A8138F" w:rsidP="00A8138F">
      <w:pPr>
        <w:pStyle w:val="TextoNormal"/>
      </w:pPr>
    </w:p>
    <w:p w14:paraId="6BC6D360" w14:textId="77777777" w:rsidR="00A8138F" w:rsidRDefault="00A8138F" w:rsidP="00A8138F">
      <w:pPr>
        <w:pStyle w:val="TextoNormal"/>
      </w:pPr>
      <w:r w:rsidRPr="00A8138F">
        <w:rPr>
          <w:i/>
        </w:rPr>
        <w:t>El incumplimiento de la obligación de plantear una cuestión prejudicial</w:t>
      </w:r>
    </w:p>
    <w:p w14:paraId="588C4A8C" w14:textId="77777777" w:rsidR="00A8138F" w:rsidRDefault="00A8138F" w:rsidP="00A8138F">
      <w:pPr>
        <w:pStyle w:val="TextoNormal"/>
      </w:pPr>
    </w:p>
    <w:p w14:paraId="7575EAFE" w14:textId="77777777" w:rsidR="00A8138F" w:rsidRDefault="00A8138F" w:rsidP="00A8138F">
      <w:pPr>
        <w:pStyle w:val="TextoNormal"/>
      </w:pPr>
      <w:r>
        <w:t>5. La mayoría del Tribunal ha tomado la decisión deliberada de incumplir la obligación que nos impone el artículo 267, párrafo tercero, TFUE, que obliga a los órganos de última instancia a plantear una cuestión prejudicial ante el Tribunal de Justicia cuando se plantee alguna duda relativa a la “interpretación” del Derecho de la Unión. Esta decisión se ha tomado ignorando las dudas de interpretación que se han suscitado en el presente recurso de inconstitucionalidad, en relación con la cláusula del Estado de Derecho del artículo 2 TUE y de la jurisprudencia del Tribunal de Justicia, y sin prestar tampoco ninguna atención al contenido de las cuatro cuestiones prejudiciales pendientes en la actualidad ante el Tribunal de Justicia en las que se cuestiona que la Ley de amnistía respete dicho valor.</w:t>
      </w:r>
    </w:p>
    <w:p w14:paraId="6B3248CB" w14:textId="77777777" w:rsidR="00A8138F" w:rsidRDefault="00A8138F" w:rsidP="00A8138F">
      <w:pPr>
        <w:pStyle w:val="TextoNormal"/>
      </w:pPr>
    </w:p>
    <w:p w14:paraId="44785678" w14:textId="77777777" w:rsidR="00A8138F" w:rsidRDefault="00A8138F" w:rsidP="00A8138F">
      <w:pPr>
        <w:pStyle w:val="TextoNormal"/>
      </w:pPr>
      <w:r>
        <w:t>6. Que no plantear una cuestión prejudicial ha sido una decisión deliberada para evitar estimar el presente recurso de inconstitucionalidad ha quedado confirmado con las razones que da ahora la sentencia para no hacerlo, aludiendo a una distinción entre procedimientos constitucionales que es artificiosa —que impide según la mayoría plantear una cuestión prejudicial en un recurso de inconstitucionalidad—; partiendo de un conocimiento totalmente equivocado de qué es el mecanismo de la cuestión prejudicial —lo configuran como un mecanismo de inaplicación de normas nacionales, cuando su objeto es ofrecer al juez nacional las pautas necesarias para dirimir un litigio en el que surjan dudas sobre la interpretación del Derecho de la Unión—; y, finalmente, pretendiendo hacer valer un problema de identidad nacional que no solo es totalmente inexistente sino que además obligaría en todo caso a dirigirse previamente al Tribunal de Justicia planteando una cuestión prejudicial.</w:t>
      </w:r>
    </w:p>
    <w:p w14:paraId="4D4176FD" w14:textId="77777777" w:rsidR="00A8138F" w:rsidRDefault="00A8138F" w:rsidP="00A8138F">
      <w:pPr>
        <w:pStyle w:val="TextoNormal"/>
      </w:pPr>
    </w:p>
    <w:p w14:paraId="7DC9E9C1" w14:textId="77777777" w:rsidR="00A8138F" w:rsidRDefault="00A8138F" w:rsidP="00A8138F">
      <w:pPr>
        <w:pStyle w:val="TextoNormal"/>
      </w:pPr>
      <w:r w:rsidRPr="00A8138F">
        <w:rPr>
          <w:i/>
        </w:rPr>
        <w:t>La inconstitucionalidad de la Ley de amnistía: finalidad ilegítima, ausencia de previsión constitucional de la institución de la amnistía, desviación del Poder Legislativo, ruptura de los principios estructurales del Estado de Derecho e inhibición del control de constitucionalidad</w:t>
      </w:r>
    </w:p>
    <w:p w14:paraId="5DD762F2" w14:textId="77777777" w:rsidR="00A8138F" w:rsidRDefault="00A8138F" w:rsidP="00A8138F">
      <w:pPr>
        <w:pStyle w:val="TextoNormal"/>
      </w:pPr>
    </w:p>
    <w:p w14:paraId="581AAA89" w14:textId="77777777" w:rsidR="00A8138F" w:rsidRDefault="00A8138F" w:rsidP="00A8138F">
      <w:pPr>
        <w:pStyle w:val="TextoNormal"/>
      </w:pPr>
      <w:r>
        <w:t>7. La Ley de amnistía aprobada con los siete votos del grupo político al que pertenecen los líderes amnistiados, por la exigua mayoría de 177 votos a favor y 172 votos en contra, vetada por el Senado por 149 votos —frente a 113 que rechazaron el veto— no responde a una finalidad constitucionalmente legítima, sino que constituye una autoamnistía articulada como una ley singular, arbitraria y carente de justificación real, cuyo origen se encuentra en un acuerdo político orientado a asegurar los votos necesarios para la investidura del presidente del Gobierno a cambio de impunidad y no en la búsqueda del interés general, ni en un verdadero proceso de reconciliación institucional. Se sustenta en una mal entendida soberanía parlamentaria usada como instrumento rupturista de los principios en los que se cimienta la democracia constitucional, única democracia posible, incompatible, por su esencia, con cualquier tipo de despotismo, incluido el de la mayoría parlamentaria.</w:t>
      </w:r>
    </w:p>
    <w:p w14:paraId="1F9FCC61" w14:textId="77777777" w:rsidR="00A8138F" w:rsidRDefault="00A8138F" w:rsidP="00A8138F">
      <w:pPr>
        <w:pStyle w:val="TextoNormal"/>
      </w:pPr>
    </w:p>
    <w:p w14:paraId="5C705831" w14:textId="77777777" w:rsidR="00A8138F" w:rsidRDefault="00A8138F" w:rsidP="00A8138F">
      <w:pPr>
        <w:pStyle w:val="TextoNormal"/>
      </w:pPr>
      <w:r>
        <w:t>8. La Ley Orgánica de amnistía supone la quiebra del principio de sujeción de la política al Derecho en tanto que representa con toda su crudeza el sometimiento del Derecho a la política. Su resultado es el desplazamiento de la Constitución, al extralimitarse las Cortes Generales de su función constitucional (artículo 66.1 y 2 CE) debilitando la democracia constitucional. De este modo, la aprobación de la Ley de amnistía y su convalidación por la sentencia de la mayoría se asienta en una inexistente soberanía parlamentaria que desplaza a la soberanía popular y con ella, la democracia constitucional. Las Cortes Generales se han extralimitado en su función legislativa al carecer de la necesaria habilitación constitucional expresa para aprobar la Ley de amnistía. El resultado es el quebranto, entre otros, del principio de separación de poderes lo que supone un gravísimo ataque a la independencia judicial y, con ello, a la garantía misma del Estado de Derecho (artículos 9.1, 117.3 y 118 CE).</w:t>
      </w:r>
    </w:p>
    <w:p w14:paraId="1D50315E" w14:textId="77777777" w:rsidR="00A8138F" w:rsidRDefault="00A8138F" w:rsidP="00A8138F">
      <w:pPr>
        <w:pStyle w:val="TextoNormal"/>
      </w:pPr>
    </w:p>
    <w:p w14:paraId="023F10C5" w14:textId="77777777" w:rsidR="00A8138F" w:rsidRDefault="00A8138F" w:rsidP="00A8138F">
      <w:pPr>
        <w:pStyle w:val="TextoNormal"/>
      </w:pPr>
      <w:r>
        <w:t>9. La sentencia de la que discrepo ha erigido el silencio constitucional en improcedente fundamento habilitante para atribuir al legislador una potestad —la de conceder amnistías— que no solo no está reconocida ni expresa ni implícitamente en el texto constitucional, sino que conforme a una interpretación basada en los antecedentes constituyentes, histórica, sistemática, axiológica y en el Derecho comparado aparece claramente negada. Con ello la sentencia se aparta del principio de supremacía constitucional, pervierte la cláusula final del artículo 66.2 CE y subvierte el modelo cerrado de competencias parlamentarias, pues la concesión de la amnistía por el Parlamento no supone el ejercicio de la potestad legislativa.</w:t>
      </w:r>
    </w:p>
    <w:p w14:paraId="00C9F5B1" w14:textId="77777777" w:rsidR="00A8138F" w:rsidRDefault="00A8138F" w:rsidP="00A8138F">
      <w:pPr>
        <w:pStyle w:val="TextoNormal"/>
      </w:pPr>
    </w:p>
    <w:p w14:paraId="3B735C73" w14:textId="77777777" w:rsidR="00A8138F" w:rsidRDefault="00A8138F" w:rsidP="00A8138F">
      <w:pPr>
        <w:pStyle w:val="TextoNormal"/>
      </w:pPr>
      <w:r>
        <w:t>10. El principio de separación de poderes, reconocido en la Constitución, solo admite flexibilización cuando el constituyente lo ha previsto expresamente. A falta de previsión constitucional expresa, la incursión de un poder en el ámbito de otro distinto determina la censura de inconstitucionalidad de dicha injerencia, por el desconocimiento que supone de la arquitectura constitucional (STC 70/2022). Las Cortes Generales están sujetas a la Constitución, su función legislativa no habilita la aprobación de la amnistía. La tesis sostenida por la sentencia, según la cual el legislador puede actuar en cualquier ámbito que no le esté expresamente vedado es incompatible no solo con el principio de separación de poderes, sino también con la propia noción de democracia constitucional que fundamenta nuestro Estado de Derecho y con el artículo 66.2 CE que asigna a las Cortes Generales las “competencias que les atribuya la Constitución”. No solo por la falta de habilitación constitucional expresa la Ley de amnistía invade funciones reservadas al Poder Judicial (artículos 117.3 y 118 CE), sino que la amnistía fue excluida de modo deliberado en el proceso constituyente —al rechazar dos enmiendas— y en el ordenamiento democrático posterior —al excluirse su reconocimiento en el Código penal de 1995, llamado “de la democracia”—.</w:t>
      </w:r>
    </w:p>
    <w:p w14:paraId="691F7706" w14:textId="77777777" w:rsidR="00A8138F" w:rsidRDefault="00A8138F" w:rsidP="00A8138F">
      <w:pPr>
        <w:pStyle w:val="TextoNormal"/>
      </w:pPr>
    </w:p>
    <w:p w14:paraId="3C150D80" w14:textId="77777777" w:rsidR="00A8138F" w:rsidRDefault="00A8138F" w:rsidP="00A8138F">
      <w:pPr>
        <w:pStyle w:val="TextoNormal"/>
      </w:pPr>
      <w:r>
        <w:t>11. La sentencia incurre en una distorsión doctrinal inaceptable al invocar de forma extrapolada y descontextualizada los principios de la “libertad de configuración del legislador”, de vinculación negativa y de una supuesta “Constitución concebida como norma abierta” (FJ 3.2.1), para justificar que el silencio constitucional legitime la actuación del Parlamento. La consecuencia es que atribuye a las Cortes Generales una potestad ilimitada que desborda su función legislativa y la aproxima al ejercicio de un verdadero poder constituyente.</w:t>
      </w:r>
    </w:p>
    <w:p w14:paraId="20F5F950" w14:textId="77777777" w:rsidR="00A8138F" w:rsidRDefault="00A8138F" w:rsidP="00A8138F">
      <w:pPr>
        <w:pStyle w:val="TextoNormal"/>
      </w:pPr>
    </w:p>
    <w:p w14:paraId="495B7B28" w14:textId="77777777" w:rsidR="00A8138F" w:rsidRDefault="00A8138F" w:rsidP="00A8138F">
      <w:pPr>
        <w:pStyle w:val="TextoNormal"/>
      </w:pPr>
      <w:r>
        <w:t xml:space="preserve">12. La Ley de amnistía, con la validación otorgada por la sentencia aprobada por la mayoría del Pleno, desvirtúa el concepto técnico-jurídico tradicional de la amnistía. En efecto, la norma no responde a los presupuestos clásicos que fundamentan esta figura —como el ideal de justicia, consideraciones humanitarias o la superación de un régimen político anterior—, sino que ha sido aprobada en un contexto de plena vigencia del orden constitucional y por motivaciones ajenas al interés general. Esta circunstancia revela una vulneración del principio de interdicción de la arbitrariedad de los poderes públicos (artículo 9.3 CE), al instrumentalizarse la norma como medio de obtención de los apoyos parlamentarios necesarios para la investidura a cambio de impunidad. Tal forma de arbitrariedad, que el Tribunal ha rehusado examinar, entraña una negación sustancial del Estado de Derecho, consagrado en el artículo 1.1 CE y desarrollado por la jurisprudencia del Tribunal Europeo de Derechos Humanos (STEDH de 21 de junio de 2016, asunto </w:t>
      </w:r>
      <w:r w:rsidRPr="00A8138F">
        <w:rPr>
          <w:i/>
        </w:rPr>
        <w:t>Al-Dulimi y Montana Management Inc., c. Suiza</w:t>
      </w:r>
      <w:r>
        <w:t>, § 145).</w:t>
      </w:r>
    </w:p>
    <w:p w14:paraId="26CE005B" w14:textId="77777777" w:rsidR="00A8138F" w:rsidRDefault="00A8138F" w:rsidP="00A8138F">
      <w:pPr>
        <w:pStyle w:val="TextoNormal"/>
      </w:pPr>
    </w:p>
    <w:p w14:paraId="25D73A11" w14:textId="77777777" w:rsidR="00A8138F" w:rsidRDefault="00A8138F" w:rsidP="00A8138F">
      <w:pPr>
        <w:pStyle w:val="TextoNormal"/>
      </w:pPr>
      <w:r>
        <w:t>13. La sentencia niega expresamente, apartándose de la doctrina constitucional, que toda amnistía deba responder a un ideal de justicia. Ello supone, por una parte, el reconocimiento de la posibilidad de que existan amnistías arbitrarias e injustas, al amparo de que las amnistías son “un fenómeno complejo” y de “naturaleza excepcional” y por otra, la renuncia al control de la Ley de amnistía desde el parámetro sustantivo de la idea o valor de justicia (artículo 1.1 CE).</w:t>
      </w:r>
    </w:p>
    <w:p w14:paraId="1919B454" w14:textId="77777777" w:rsidR="00A8138F" w:rsidRDefault="00A8138F" w:rsidP="00A8138F">
      <w:pPr>
        <w:pStyle w:val="TextoNormal"/>
      </w:pPr>
    </w:p>
    <w:p w14:paraId="2A443E27" w14:textId="77777777" w:rsidR="00A8138F" w:rsidRDefault="00A8138F" w:rsidP="00A8138F">
      <w:pPr>
        <w:pStyle w:val="TextoNormal"/>
      </w:pPr>
      <w:r>
        <w:t>14. En efecto, la sentencia abdica de su deber como garante del orden constitucional al limitarse a un control externo y formal de la norma, declinando examinar si la amnistía responde a un fin constitucionalmente legítimo. Con ello, el Tribunal vacía de contenido el principio de interdicción de la arbitrariedad (artículo 9.3 CE) y erosiona su función de contrapeso institucional frente a decisiones legislativas excepcionalmente disruptivas.</w:t>
      </w:r>
    </w:p>
    <w:p w14:paraId="08D56AF7" w14:textId="77777777" w:rsidR="00A8138F" w:rsidRDefault="00A8138F" w:rsidP="00A8138F">
      <w:pPr>
        <w:pStyle w:val="TextoNormal"/>
      </w:pPr>
    </w:p>
    <w:p w14:paraId="177311B9" w14:textId="77777777" w:rsidR="00A8138F" w:rsidRDefault="00A8138F" w:rsidP="00A8138F">
      <w:pPr>
        <w:pStyle w:val="TextoNormal"/>
      </w:pPr>
      <w:r>
        <w:t>15. De este modo, la sentencia de la mayoría incurre en una grave desnaturalización del juicio de constitucionalidad, al desvincular explícitamente a la amnistía del ideal de justicia consagrado en el artículo 1.1 CE. Esta afirmación no solo contradice la doctrina constitucional, sino que rompe con el canon axiológico que ha guiado históricamente el control de medidas excepcionales. Al admitir que una amnistía pueda prescindir de todo sustento en el valor constitucional de justicia, el Tribunal ha abierto la puerta a su utilización como simple herramienta de oportunidad política al servicio de la arbitrariedad, vaciando de contenido los límites materiales que el Estado de Derecho impone al legislador y legitimando la arbitrariedad bajo la apariencia de legalidad, con desconocimiento de los fundamentos mismos del constitucionalismo democrático.</w:t>
      </w:r>
    </w:p>
    <w:p w14:paraId="0456652A" w14:textId="77777777" w:rsidR="00A8138F" w:rsidRDefault="00A8138F" w:rsidP="00A8138F">
      <w:pPr>
        <w:pStyle w:val="TextoNormal"/>
      </w:pPr>
    </w:p>
    <w:p w14:paraId="331AE631" w14:textId="77777777" w:rsidR="00A8138F" w:rsidRDefault="00A8138F" w:rsidP="00A8138F">
      <w:pPr>
        <w:pStyle w:val="TextoNormal"/>
      </w:pPr>
      <w:r>
        <w:t>16. La Ley Orgánica 1/2024, avalada constitucionalmente por la sentencia en su práctica totalidad, realmente justifica la amnistía en la necesidad de paliar las consecuencias producidas por las legítimas decisiones adoptadas, tanto por las Cortes Generales como por el Tribunal Constitucional y el Poder Judicial, para frenar el frontal ataque a la Constitución que representó el proceso secesionista. Esto supone asentar la amnistía en la deslegitimación misma de la Constitución y de la propia función del Tribunal Constitucional y del Poder Judicial que fue ejercida en su defensa contra quienes se alzaron frente a la soberanía nacional y atentaron contra el Estado como Estado de Derecho y democrático. La finalidad de la norma, que el preámbulo identifica, como “procurar la normalización institucional”, es falaz. La normalización institucional ya se garantizó por la intensa actuación de este tribunal —de composición distinta a la actual— y del Poder Judicial, y se logró en junio de 2018, una vez finalizada la aplicación del artículo 155 CE aprobada por más del 80 por 100 de los votos del Senado y avalada posteriormente por decisión unánime del Tribunal Constitucional (SSTC 89/2019 y 90/2019, de 2 de julio).</w:t>
      </w:r>
    </w:p>
    <w:p w14:paraId="02A2F6D0" w14:textId="77777777" w:rsidR="00A8138F" w:rsidRDefault="00A8138F" w:rsidP="00A8138F">
      <w:pPr>
        <w:pStyle w:val="TextoNormal"/>
      </w:pPr>
    </w:p>
    <w:p w14:paraId="5AC6C417" w14:textId="77777777" w:rsidR="00A8138F" w:rsidRDefault="00A8138F" w:rsidP="00A8138F">
      <w:pPr>
        <w:pStyle w:val="TextoNormal"/>
      </w:pPr>
      <w:r>
        <w:t>17. La sentencia dictada por la mayoría, al declarar la constitucionalidad de la Ley de amnistía, debilita los pilares del orden constitucional y establece un precedente inquietante, que previsiblemente alentará futuros intentos de erosión del marco constitucional, una vez que el Derecho penal ha sido despojado de su función de prevención general. Esta decisión no solo consolida una doctrina constitucional muy preocupante, sino que inaugura un escenario en el que la amnistía podrá ser utilizada de forma recurrente como instrumento de negociación política, permitiendo el trueque de impunidad por apoyos parlamentarios, en abierta contradicción con los principios y valores fundamentales sobre los que se asienta el Estado de Derecho (artículo 1.1 CE).</w:t>
      </w:r>
    </w:p>
    <w:p w14:paraId="1C95C9A1" w14:textId="77777777" w:rsidR="00A8138F" w:rsidRDefault="00A8138F" w:rsidP="00A8138F">
      <w:pPr>
        <w:pStyle w:val="TextoNormal"/>
      </w:pPr>
    </w:p>
    <w:p w14:paraId="2338E6E1" w14:textId="77777777" w:rsidR="00A8138F" w:rsidRDefault="00A8138F" w:rsidP="00A8138F">
      <w:pPr>
        <w:pStyle w:val="TextoNormal"/>
      </w:pPr>
      <w:r>
        <w:t>18. La Ley de amnistía no responde a una finalidad constitucionalmente legítima, sino que constituye una autoamnistía articulada como una ley singular, arbitraria y carente de justificación real, cuyo origen se encuentra en un acuerdo político orientado a asegurar los votos necesarios para la investidura del presidente del Gobierno, y no en la búsqueda del interés general, ni en un verdadero proceso de reconciliación institucional.</w:t>
      </w:r>
    </w:p>
    <w:p w14:paraId="2661F5B5" w14:textId="77777777" w:rsidR="00A8138F" w:rsidRDefault="00A8138F" w:rsidP="00A8138F">
      <w:pPr>
        <w:pStyle w:val="TextoNormal"/>
      </w:pPr>
    </w:p>
    <w:p w14:paraId="0B1C86B0" w14:textId="77777777" w:rsidR="00A8138F" w:rsidRDefault="00A8138F" w:rsidP="00A8138F">
      <w:pPr>
        <w:pStyle w:val="TextoNormal"/>
      </w:pPr>
      <w:r>
        <w:t>19. La sentencia, en su fundamento jurídico 10, incurre en un inadmisible reduccionismo conceptual al declarar inaplicable la categoría de autoamnistía a la Ley de amnistía. Es engañoso oponer —como hace la sentencia— la Ley de amnistía a las autoamnistías de regímenes autoritarios: presenta los mismos rasgos, al ser aprobada por quienes necesitan el apoyo de sus beneficiarios para “normalizar” su situación judicial. El argumento de que los diputados no se benefician por ser inelegibles rebaja de modo insoportable la complejidad del conflicto, pues ignora que el problema es institucional: el uso del Poder Legislativo para lograr la impunidad de aliados políticos. Que la ley alcance a no políticos no desvirtúa su esencia: la Ley de amnistía constituye, en todos sus elementos, una autoamnistía según los estándares europeos.</w:t>
      </w:r>
    </w:p>
    <w:p w14:paraId="08E3C0A1" w14:textId="77777777" w:rsidR="00A8138F" w:rsidRDefault="00A8138F" w:rsidP="00A8138F">
      <w:pPr>
        <w:pStyle w:val="TextoNormal"/>
      </w:pPr>
    </w:p>
    <w:p w14:paraId="7DF93741" w14:textId="77777777" w:rsidR="00A8138F" w:rsidRDefault="00A8138F" w:rsidP="00A8138F">
      <w:pPr>
        <w:pStyle w:val="TextoNormal"/>
      </w:pPr>
      <w:r>
        <w:t>20. La sentencia evidencia una incoherencia insalvable al reconocer —en el fundamento jurídico 7.2 a)— que la Ley de amnistía fue fruto de una transacción política —investidura a cambio de impunidad penal— y, a la vez, pretender que debe “indagarse” si persigue un fin constitucional legítimo. Este planteamiento no solo carece de coherencia lógica, sino que desnaturaliza el juicio de constitucionalidad al ignorar deliberadamente el origen espurio de la norma. El hecho de que la Ley de amnistía se base en un trueque entre apoyo parlamentario e inmunidad penal desactiva toda presunción de legitimidad constitucional y convierte al Poder Legislativo en un instrumento de autoprotección política. Sostener que cabe aún explorar un eventual interés general, cuando el pacto de impunidad es reconocido por la propia fundamentación, implica legitimar el vaciamiento de los principios básicos del Estado de Derecho e incurrir en una autoinculpación argumental que confirma, sin necesidad de hipótesis, la naturaleza inconstitucional de la Ley de amnistía.</w:t>
      </w:r>
    </w:p>
    <w:p w14:paraId="4292F25C" w14:textId="77777777" w:rsidR="00A8138F" w:rsidRDefault="00A8138F" w:rsidP="00A8138F">
      <w:pPr>
        <w:pStyle w:val="TextoNormal"/>
      </w:pPr>
    </w:p>
    <w:p w14:paraId="188132B0" w14:textId="77777777" w:rsidR="00A8138F" w:rsidRDefault="00A8138F" w:rsidP="00A8138F">
      <w:pPr>
        <w:pStyle w:val="TextoNormal"/>
      </w:pPr>
      <w:r>
        <w:t>21. Sin embargo, la sentencia, por una parte, ignora la doctrina constitucional consolidada en torno al concepto de ley singular y evita caracterizar la Ley de amnistía como tal, de este modo elude someterla al test más exigente de constitucionalidad que corresponde aplicar a este tipo de normas. Esta renuncia, materializada en la negativa a proyectar el canon específico de razonabilidad, proporcionalidad y delimitación objetiva del supuesto de hecho, ha dado lugar a un juicio de constitucionalidad meramente aparente. Y por otra, la sentencia incurre en parte de su argumentación en una preocupante e innecesaria inclinación apologética hacia el texto legal, impropia de un órgano cuya función es ejercer un control riguroso de constitucionalidad.</w:t>
      </w:r>
    </w:p>
    <w:p w14:paraId="31B765FA" w14:textId="77777777" w:rsidR="00A8138F" w:rsidRDefault="00A8138F" w:rsidP="00A8138F">
      <w:pPr>
        <w:pStyle w:val="TextoNormal"/>
      </w:pPr>
    </w:p>
    <w:p w14:paraId="50001D18" w14:textId="77777777" w:rsidR="00A8138F" w:rsidRDefault="00A8138F" w:rsidP="00A8138F">
      <w:pPr>
        <w:pStyle w:val="TextoNormal"/>
      </w:pPr>
      <w:r>
        <w:t>22. Por todo lo expuesto, se debe concluir que la ley, además de producir una quiebra del principio de igualdad (artículo 14 CE) y de la interdicción de la arbitrariedad de los poderes públicos (artículo 9.3 CE), vulnera el principio de separación de poderes y los principios esenciales del Estado de Derecho como la exclusividad jurisdiccional (artículo 117.3 CE), el deber de cumplimiento de las resoluciones judiciales firmes (artículo 118 CE), así como el derecho a la tutela judicial efectiva de las víctimas, que ven cercenado su derecho a una investigación eficaz y completa (artículo 24.1 CE).</w:t>
      </w:r>
    </w:p>
    <w:p w14:paraId="69F4A9B4" w14:textId="77777777" w:rsidR="00A8138F" w:rsidRDefault="00A8138F" w:rsidP="00A8138F">
      <w:pPr>
        <w:pStyle w:val="TextoNormal"/>
      </w:pPr>
    </w:p>
    <w:p w14:paraId="4FF2C519" w14:textId="77777777" w:rsidR="00A8138F" w:rsidRDefault="00A8138F" w:rsidP="00A8138F">
      <w:pPr>
        <w:pStyle w:val="TextoNormal"/>
      </w:pPr>
      <w:r w:rsidRPr="00A8138F">
        <w:rPr>
          <w:i/>
        </w:rPr>
        <w:t>El incumplimiento del Derecho de la Unión por desviarse la sentencia del valor de Estado de Derecho que consagra el artículo 2 TUE y la jurisprudencia del Tribunal de Justicia</w:t>
      </w:r>
    </w:p>
    <w:p w14:paraId="63A9CAD6" w14:textId="77777777" w:rsidR="00A8138F" w:rsidRDefault="00A8138F" w:rsidP="00A8138F">
      <w:pPr>
        <w:pStyle w:val="TextoNormal"/>
      </w:pPr>
    </w:p>
    <w:p w14:paraId="5D054B97" w14:textId="77777777" w:rsidR="00A8138F" w:rsidRDefault="00A8138F" w:rsidP="00A8138F">
      <w:pPr>
        <w:pStyle w:val="TextoNormal"/>
      </w:pPr>
      <w:r>
        <w:t>23. La sentencia evade examinar el problema nuclear de constitucionalidad que tiene la Ley de amnistía, que es la infracción del valor del Estado de Derecho que consagra el artículo 2 TUE, conforme a la jurisprudencia del Tribunal de Justicia, en la medida en que reconduce el motivo de inconstitucionalidad alegado por los recurrentes al principio de la garantía de la independencia judicial. Es inaceptable que la sentencia sí examine si las amnistías, como institución y en abstracto, respetan los principios relativos a la división de poderes y la exclusividad de la jurisdicción, pero descarte luego examinar si esta concreta amnistía, la regulada por la Ley Orgánica 1/2024, de 10 de junio, respeta estos mismos principios.</w:t>
      </w:r>
    </w:p>
    <w:p w14:paraId="2636FF17" w14:textId="77777777" w:rsidR="00A8138F" w:rsidRDefault="00A8138F" w:rsidP="00A8138F">
      <w:pPr>
        <w:pStyle w:val="TextoNormal"/>
      </w:pPr>
    </w:p>
    <w:p w14:paraId="207B63B2" w14:textId="77777777" w:rsidR="00A8138F" w:rsidRDefault="00A8138F" w:rsidP="00A8138F">
      <w:pPr>
        <w:pStyle w:val="TextoNormal"/>
      </w:pPr>
      <w:r>
        <w:t>24. En cualquier caso, la interpretación de la Constitución que la sentencia realiza se aparta frontalmente de la jurisprudencia del Tribunal de Justicia en materia de Estado de Derecho. La aplicación de los criterios jurisprudenciales establecidos por el Tribunal de Justicia exige indagar cuál ha sido la finalidad real del legislador para poder comprobar si existe un fin legítimo que justifique una norma como la amnistía, que incide en el principio de separación de poderes e introduce una desigualdad en la aplicación de la ley penal. Este examen implica valorar conjuntamente todos los elementos pertinentes, incluidos los elementos de hecho y de Derecho existentes en el momento de la aprobación de la norma. Este examen lleva a la conclusión de que dicho interés legítimo está ausente porque la Ley de amnistía ha sido una mera transacción política que ha tenido como única finalidad que un partido político se mantenga en el poder, cuando carecía de la mayoría parlamentaria para ello, y, por otro lado, que beneficie a los que han dado su apoyo con los votos que faltaban para dicha mayoría parlamentaria.</w:t>
      </w:r>
    </w:p>
    <w:p w14:paraId="4804E153" w14:textId="77777777" w:rsidR="00A8138F" w:rsidRDefault="00A8138F" w:rsidP="00A8138F">
      <w:pPr>
        <w:pStyle w:val="TextoNormal"/>
      </w:pPr>
    </w:p>
    <w:p w14:paraId="5C61C706" w14:textId="77777777" w:rsidR="00A8138F" w:rsidRDefault="00A8138F" w:rsidP="00A8138F">
      <w:pPr>
        <w:pStyle w:val="TextoNormal"/>
      </w:pPr>
      <w:r>
        <w:t>25. Está por lo tanto ausente el fin legítimo que la jurisprudencia del Tribunal de Justicia exige para justificar una desigualdad en la aplicación de la ley penal o una injerencia en el Poder Judicial. Es más, el fin real perseguido no solo no es legítimo sino que traspasa los límites mínimos que pueden hacer recognoscible el Estado de Derecho, pues la confianza de los ciudadanos en las democracias desaparece si el poder político deja de perseguir las infracciones penales en su propio beneficio.</w:t>
      </w:r>
    </w:p>
    <w:p w14:paraId="2EBA8845" w14:textId="77777777" w:rsidR="00A8138F" w:rsidRDefault="00A8138F" w:rsidP="00A8138F">
      <w:pPr>
        <w:pStyle w:val="TextoNormal"/>
      </w:pPr>
    </w:p>
    <w:p w14:paraId="1843B2E7" w14:textId="77777777" w:rsidR="00A8138F" w:rsidRDefault="00A8138F" w:rsidP="00A8138F">
      <w:pPr>
        <w:pStyle w:val="TextoNormal"/>
      </w:pPr>
      <w:r>
        <w:t>26. La Ley de amnistía vulnera gravemente el principio de seguridad jurídica, un pilar esencial del Estado de Derecho protegido también por el artículo 2 TUE, al presentar una indeterminación normativa inadmisible tanto en su ámbito material como temporal. La indeterminación es además flagrante cuando hace una remisión a la Directiva (UE) 2017/541 para delimitar qué delitos de terrorismo son amnistiables y cuales no, desplazando nuestra normativa interna de trasposición. Esta aplicación directa, con el correlativo desplazamiento de la norma nacional, no es posible en este supuesto porque las directivas de la Unión, por regla general, no tienen efecto directo. La sentencia avala dicha posibilidad alterando los principios que rigen el sistema de fuentes del Derecho de la Unión que parte de la distinción esencial que existe entre normas que tienen efecto directo y normas que carecen de él.</w:t>
      </w:r>
    </w:p>
    <w:p w14:paraId="5AD42178" w14:textId="77777777" w:rsidR="00A8138F" w:rsidRDefault="00A8138F" w:rsidP="00A8138F">
      <w:pPr>
        <w:pStyle w:val="TextoNormal"/>
      </w:pPr>
    </w:p>
    <w:p w14:paraId="753BABC4" w14:textId="77777777" w:rsidR="00A8138F" w:rsidRDefault="00A8138F" w:rsidP="00A8138F">
      <w:pPr>
        <w:pStyle w:val="TextoNormal"/>
      </w:pPr>
      <w:r>
        <w:t>27. La Ley de amnistía viola el principio de independencia judicial, que forma parte del Estado de Derecho y que concretiza el artículo 19 TUE, desde el momento en que el legislador suplanta a los órganos jurisdiccionales al ordenar el alzamiento automático de las medidas cautelares adoptadas, y la pérdida de vigencia de las órdenes europeas de detención y entrega acordadas. Esta suplantación, que la sentencia permite, es incompatible con el artículo 19 TUE, pues el juez nacional es el único que debe poder valorar si levanta o mantiene, tanto las medidas cautelares, como las órdenes europeas de detención y entrega que haya adoptado. Además, la Ley de amnistía ha afectado de forma directa a la regulación que hace la Decisión Marco 2002/584/JAI, del Consejo, de 13 de junio de 2002, del mecanismo europeo de la orden de detención y entrega, y ha puesto en cuestión los principios de confianza y de reconocimiento mutuos que rigen el espacio de libertad, seguridad y justicia en la Unión Europea.</w:t>
      </w:r>
    </w:p>
    <w:p w14:paraId="7106B549" w14:textId="77777777" w:rsidR="00A8138F" w:rsidRDefault="00A8138F" w:rsidP="00A8138F">
      <w:pPr>
        <w:pStyle w:val="TextoNormal"/>
      </w:pPr>
    </w:p>
    <w:p w14:paraId="2F4EBA73" w14:textId="77777777" w:rsidR="00A8138F" w:rsidRDefault="00A8138F" w:rsidP="00A8138F">
      <w:pPr>
        <w:pStyle w:val="TextoNormal"/>
      </w:pPr>
      <w:r>
        <w:t>28. Finalmente, la sentencia avala una norma que amnistía delitos de extrema gravedad, los delitos de terrorismo, con clara violación de los valores universales de la dignidad humana, la libertad, la igualdad y la solidaridad, en los que se fundamenta también el Estado de Derecho. A ello debe añadirse que la Ley de amnistía al distinguir entre delitos de terrorismo que causen de forma intencionada graves violaciones de derechos humanos y los que no las causan, pone en cuestión también la eficacia de la Directiva (UE) 2017/541, cuya finalidad es la de dar una definición armonizada de los delitos de terrorismo en todos los Estados miembros, y que constituye la piedra angular de la respuesta de la justicia penal de los países de la Unión Europea en la lucha contra el terrorismo.</w:t>
      </w:r>
    </w:p>
    <w:p w14:paraId="72195AB2" w14:textId="77777777" w:rsidR="00A8138F" w:rsidRDefault="00A8138F" w:rsidP="00A8138F">
      <w:pPr>
        <w:pStyle w:val="TextoNormal"/>
      </w:pPr>
    </w:p>
    <w:p w14:paraId="4BECE543" w14:textId="77777777" w:rsidR="00A8138F" w:rsidRDefault="00A8138F" w:rsidP="00A8138F">
      <w:pPr>
        <w:pStyle w:val="TextoNormal"/>
      </w:pPr>
      <w:r>
        <w:t>I</w:t>
      </w:r>
    </w:p>
    <w:p w14:paraId="35F6EFC1" w14:textId="77777777" w:rsidR="00A8138F" w:rsidRDefault="00A8138F" w:rsidP="00A8138F">
      <w:pPr>
        <w:pStyle w:val="TextoNormal"/>
      </w:pPr>
    </w:p>
    <w:p w14:paraId="28EE1177" w14:textId="77777777" w:rsidR="00A8138F" w:rsidRDefault="00A8138F" w:rsidP="00A8138F">
      <w:pPr>
        <w:pStyle w:val="TextoNormal"/>
      </w:pPr>
      <w:r w:rsidRPr="00A8138F">
        <w:rPr>
          <w:i/>
        </w:rPr>
        <w:t>Acerca de la indebida composición del Tribunal y la filtración del texto de la sentencia</w:t>
      </w:r>
    </w:p>
    <w:p w14:paraId="1326C413" w14:textId="77777777" w:rsidR="00A8138F" w:rsidRDefault="00A8138F" w:rsidP="00A8138F">
      <w:pPr>
        <w:pStyle w:val="TextoNormal"/>
      </w:pPr>
    </w:p>
    <w:p w14:paraId="1D01DC6E" w14:textId="77777777" w:rsidR="00A8138F" w:rsidRDefault="00A8138F" w:rsidP="00A8138F">
      <w:pPr>
        <w:pStyle w:val="TextoNormal"/>
      </w:pPr>
      <w:r>
        <w:t xml:space="preserve">A) </w:t>
      </w:r>
      <w:r w:rsidRPr="00A8138F">
        <w:rPr>
          <w:i/>
        </w:rPr>
        <w:t>Sobre la indebida composición del Tribunal: indebida recusación del magistrado don José María Macías Castaño y reasignación de la ponencia</w:t>
      </w:r>
    </w:p>
    <w:p w14:paraId="13B02812" w14:textId="77777777" w:rsidR="00A8138F" w:rsidRDefault="00A8138F" w:rsidP="00A8138F">
      <w:pPr>
        <w:pStyle w:val="TextoNormal"/>
      </w:pPr>
    </w:p>
    <w:p w14:paraId="7760BED2" w14:textId="77777777" w:rsidR="00A8138F" w:rsidRDefault="00A8138F" w:rsidP="00A8138F">
      <w:pPr>
        <w:pStyle w:val="TextoNormal"/>
      </w:pPr>
      <w:r>
        <w:t>29. Por el ATC 6/2025, de 15 de enero, previa tramitación irregular —privilegiando la posición del fiscal y quebrantando la igualdad procesal y el principio de contradicción—, se estimó la recusación de don José María Macías Castaño planteada por el fiscal general del Estado en la cuestión de inconstitucionalidad núm. 6053-2024. La estimación de la recusación sorteó por una parte su carácter extemporáneo —incompatible con la doctrina constitucional tradicional y ratificada nuevamente dos meses después (ATC 30/2025, de 25 de marzo)— y por otra, su carácter infundado —separándose del precedente inmediato (ATC 28/2023) en que se decidió no apartar a la magistrada señora Espejel que pretendía abstenerse por haber emitido un informe como vocal del Consejo General del Poder Judicial y nuevamente de la consolidada doctrina del Tribunal (AATC 180/2013 y 107/2021). Contra el ATC 6/2025 formulé un voto particular junto con el magistrado don Enrique Arnaldo Alcubilla y la magistrada doña Concepción Espejel Jorquera, a cuyos argumentos me debo remitir.</w:t>
      </w:r>
    </w:p>
    <w:p w14:paraId="7D863730" w14:textId="77777777" w:rsidR="00A8138F" w:rsidRDefault="00A8138F" w:rsidP="00A8138F">
      <w:pPr>
        <w:pStyle w:val="TextoNormal"/>
      </w:pPr>
    </w:p>
    <w:p w14:paraId="3F1B6404" w14:textId="77777777" w:rsidR="00A8138F" w:rsidRDefault="00A8138F" w:rsidP="00A8138F">
      <w:pPr>
        <w:pStyle w:val="TextoNormal"/>
      </w:pPr>
      <w:r>
        <w:t>30. El ATC 6/2025 sirvió de improcedente presupuesto para que por el ATC 12/2025, de 29 de enero, el Pleno decidiera apartar definitivamente a dicho magistrado, de veintiún procesos de inconstitucionalidad, entre los que se encuentra el presente recurso. Frente a dicho auto formulé junto con la magistrada doña Concepción Espejel Jorquera, un voto particular al que me debo remitir. En él indicamos que el apartamiento del magistrado de la totalidad de los recursos de inconstitucionalidad y de las cuestiones de inconstitucionalidad, incluso de aquellas en las que no había sido recusado, mediante el ATC 12/2025, careció de previsión legal y desconoció los derechos de las partes y la garantía del recusado [artículos 24.2 CE; 6.1 CEDH y 47 de la Carta de los derechos fundamentales de la Unión Europea (CDFUE)], incurriendo el Tribunal en una renuncia del obligado control de oficio de los presupuestos temporales y formales legalmente establecidos, que —conforme a la doctrina del Tribunal— tienen naturaleza de orden público procesal (ATC 6/2012, de 13 de enero, FJ 1).</w:t>
      </w:r>
    </w:p>
    <w:p w14:paraId="4C5BACBC" w14:textId="77777777" w:rsidR="00A8138F" w:rsidRDefault="00A8138F" w:rsidP="00A8138F">
      <w:pPr>
        <w:pStyle w:val="TextoNormal"/>
      </w:pPr>
    </w:p>
    <w:p w14:paraId="5569AE78" w14:textId="77777777" w:rsidR="00A8138F" w:rsidRDefault="00A8138F" w:rsidP="00A8138F">
      <w:pPr>
        <w:pStyle w:val="TextoNormal"/>
      </w:pPr>
      <w:r>
        <w:t>31. Finalmente, el ATC 12/2025, que apartaba al magistrado, entre otros, del presente recurso de inconstitucionalidad, fue confirmado por el ATC 35/2025 dictado el 13 de mayo, al desestimarse el recurso de súplica interpuesto por el Grupo Parlamentario Popular y por los consejos de Gobierno de las comunidades autónomas de Madrid, Islas Baleares, Región de Murcia, La Rioja, Castilla y León, Aragón, Galicia, Extremadura, Comunidad Valenciana, Cantabria y Andalucía.</w:t>
      </w:r>
    </w:p>
    <w:p w14:paraId="6F338072" w14:textId="77777777" w:rsidR="00A8138F" w:rsidRDefault="00A8138F" w:rsidP="00A8138F">
      <w:pPr>
        <w:pStyle w:val="TextoNormal"/>
      </w:pPr>
    </w:p>
    <w:p w14:paraId="7D844A62" w14:textId="77777777" w:rsidR="00A8138F" w:rsidRDefault="00A8138F" w:rsidP="00A8138F">
      <w:pPr>
        <w:pStyle w:val="TextoNormal"/>
      </w:pPr>
      <w:r>
        <w:t>32. En tales recursos de súplica, por vez primera, podían expresar su posicionamiento las referidas —y silenciadas— partes en la pluralidad de procedimientos de inconstitucionalidad en los que se había apartado al magistrado sin oírlas. Estas se manifestaron de forma unánime en contra de la recusación admitida. Frente a dicho auto formulé un voto particular, junto con el magistrado don Enrique Arnaldo Alcubilla y la magistrada doña Concepción Espejel Jorquera, a cuyos argumentos me debo remitir.</w:t>
      </w:r>
    </w:p>
    <w:p w14:paraId="7E5DF606" w14:textId="77777777" w:rsidR="00A8138F" w:rsidRDefault="00A8138F" w:rsidP="00A8138F">
      <w:pPr>
        <w:pStyle w:val="TextoNormal"/>
      </w:pPr>
    </w:p>
    <w:p w14:paraId="51D1851F" w14:textId="77777777" w:rsidR="00A8138F" w:rsidRDefault="00A8138F" w:rsidP="00A8138F">
      <w:pPr>
        <w:pStyle w:val="TextoNormal"/>
      </w:pPr>
      <w:r>
        <w:t xml:space="preserve">33. La discrepancia se sustentó, entre otras razones, en la omisión de la exigencia constitucional de responder de manera adecuada a los argumentos formulados en los doce recursos de súplica interpuestos frente al ATC 12/2025, vulnerando con ello el deber de motivación exigido por el artículo 24.1 CE, así como en el desconocimiento de las garantías inherentes al derecho a un juicio justo consagrado en el artículo 6.1 CEDH (STEDH de 18 de marzo de 2025, asunto </w:t>
      </w:r>
      <w:r w:rsidRPr="00A8138F">
        <w:rPr>
          <w:i/>
        </w:rPr>
        <w:t>Mustafa Aydin c. Turquía</w:t>
      </w:r>
      <w:r>
        <w:t>, § 48). Dicho auto dejó sin respuesta, entre otros, los argumentos sustanciales de los recurrentes que versaban sobre: (i) la inexistencia de previsión legal para disponer el apartamiento definitivo del magistrado señor Macías, de oficio y por vía de extensión, en la totalidad de los recursos de inconstitucionalidad en los que son parte; (ii) la vulneración del derecho a un procedimiento equitativo, que comprende los principios de contradicción e igualdad de las partes, porque no han tenido conocimiento del procedimiento de recusación resuelto por el ATC 6/2025, ni se les ha notificado el mismo, pese a que luego se ha proyectado a los recursos en los que eran parte; (iii) la inexistencia de identidad sustancial en que se apoya el ATC 12/2025, en tanto que la cuestión de inconstitucionalidad núm. 6053-2024 solo se refiere al artículo 1 de la Ley de amnistía, mientras que sus respectivos recursos impugnan el conjunto del texto legal, y (iv) tampoco concurre la triple identidad exigida para la proyección de la cosa juzgada, al no coincidir ni las partes, ni el proceso, ni el objeto de la recusación.</w:t>
      </w:r>
    </w:p>
    <w:p w14:paraId="323FF860" w14:textId="77777777" w:rsidR="00A8138F" w:rsidRDefault="00A8138F" w:rsidP="00A8138F">
      <w:pPr>
        <w:pStyle w:val="TextoNormal"/>
      </w:pPr>
    </w:p>
    <w:p w14:paraId="75C80C64" w14:textId="77777777" w:rsidR="00A8138F" w:rsidRDefault="00A8138F" w:rsidP="00A8138F">
      <w:pPr>
        <w:pStyle w:val="TextoNormal"/>
      </w:pPr>
      <w:r>
        <w:t>34. Insistimos entonces y debemos hacerlo también ahora en que la percepción de la justicia no solo depende del resultado, sino también de la forma en que se llega a él, y que los atajos en el respeto de las garantías constitucionales no suelen conducir a la realización de la mejor justicia. Y señalamos entonces y ahora debemos insistir en ello, que el principio de imparcialidad se ve asegurado a través del respeto al procedimiento legalmente establecido: sin sujeción a la ley, no puede existir juez imparcial. Prescindir del procedimiento y de las garantías constitucionalmente establecidas —que también son de orden público— es precisamente el camino más corto para vulnerar el derecho al juez imparcial.</w:t>
      </w:r>
    </w:p>
    <w:p w14:paraId="37F7E9E1" w14:textId="77777777" w:rsidR="00A8138F" w:rsidRDefault="00A8138F" w:rsidP="00A8138F">
      <w:pPr>
        <w:pStyle w:val="TextoNormal"/>
      </w:pPr>
    </w:p>
    <w:p w14:paraId="7D0788D2" w14:textId="77777777" w:rsidR="00A8138F" w:rsidRDefault="00A8138F" w:rsidP="00A8138F">
      <w:pPr>
        <w:pStyle w:val="TextoNormal"/>
      </w:pPr>
      <w:r>
        <w:t>35. El apartamiento del magistrado don José María Macías, inicialmente designado ponente del recurso de inconstitucionalidad núm. 6436-2024, dio lugar a la reasignación de la ponencia a la magistrada doña Inmaculada Montalbán, mediante acuerdo del presidente del Tribunal Constitucional de 29 de enero de 2025. Esta reasignación no siguió el criterio habitual de antigüedad y edad, y no consta una justificación expresa que motive dicha decisión.</w:t>
      </w:r>
    </w:p>
    <w:p w14:paraId="43BFD23F" w14:textId="77777777" w:rsidR="00A8138F" w:rsidRDefault="00A8138F" w:rsidP="00A8138F">
      <w:pPr>
        <w:pStyle w:val="TextoNormal"/>
      </w:pPr>
    </w:p>
    <w:p w14:paraId="3DCCA1CA" w14:textId="77777777" w:rsidR="00A8138F" w:rsidRDefault="00A8138F" w:rsidP="00A8138F">
      <w:pPr>
        <w:pStyle w:val="TextoNormal"/>
      </w:pPr>
      <w:r>
        <w:t xml:space="preserve">B) </w:t>
      </w:r>
      <w:r w:rsidRPr="00A8138F">
        <w:rPr>
          <w:i/>
        </w:rPr>
        <w:t>La ruptura del principio de reserva y la deslealtad institucional como amenaza a la legitimidad del Tribunal Constitucional</w:t>
      </w:r>
    </w:p>
    <w:p w14:paraId="147A0F91" w14:textId="77777777" w:rsidR="00A8138F" w:rsidRDefault="00A8138F" w:rsidP="00A8138F">
      <w:pPr>
        <w:pStyle w:val="TextoNormal"/>
      </w:pPr>
    </w:p>
    <w:p w14:paraId="044D4952" w14:textId="77777777" w:rsidR="00A8138F" w:rsidRDefault="00A8138F" w:rsidP="00A8138F">
      <w:pPr>
        <w:pStyle w:val="TextoNormal"/>
      </w:pPr>
      <w:r>
        <w:t>36. Un día antes de que la ponencia me fuera formalmente entregada —en el interior de un sobre cerrado con el sello “confidencial”—, su contenido ya había sido difundido por diversos medios de comunicación, que se hicieron eco del fallo. Posteriormente, pude comprobar que las informaciones publicadas coincidían íntegramente con el texto recibido, lo que confirma que la filtración se produjo antes de que, cuanto menos, algunos magistrados del Pleno tuviéramos acceso oficial al documento.</w:t>
      </w:r>
    </w:p>
    <w:p w14:paraId="1190E241" w14:textId="77777777" w:rsidR="00A8138F" w:rsidRDefault="00A8138F" w:rsidP="00A8138F">
      <w:pPr>
        <w:pStyle w:val="TextoNormal"/>
      </w:pPr>
    </w:p>
    <w:p w14:paraId="7A4708CC" w14:textId="77777777" w:rsidR="00A8138F" w:rsidRDefault="00A8138F" w:rsidP="00A8138F">
      <w:pPr>
        <w:pStyle w:val="TextoNormal"/>
      </w:pPr>
      <w:r>
        <w:t>37. Dicha filtración a los medios de comunicación del contenido de la sentencia del Tribunal Constitucional antes de su formal entrega a los magistrados constituye una grave irregularidad sin precedentes en el funcionamiento del Tribunal, que quebranta de forma directa el principio de reserva que debe regir el proceso deliberativo y decisorio de este órgano jurisdiccional.</w:t>
      </w:r>
    </w:p>
    <w:p w14:paraId="5B4EEBEE" w14:textId="77777777" w:rsidR="00A8138F" w:rsidRDefault="00A8138F" w:rsidP="00A8138F">
      <w:pPr>
        <w:pStyle w:val="TextoNormal"/>
      </w:pPr>
    </w:p>
    <w:p w14:paraId="4A3E2E6D" w14:textId="77777777" w:rsidR="00A8138F" w:rsidRDefault="00A8138F" w:rsidP="00A8138F">
      <w:pPr>
        <w:pStyle w:val="TextoNormal"/>
      </w:pPr>
      <w:r>
        <w:t>38. Este acto erosiona gravemente la confianza de los ciudadanos en la imparcialidad, seriedad y neutralidad institucional del Tribunal, al exponer al juicio público una resolución que aún no ha sido discutida ni asumida formalmente por quienes deben adoptarla en el ejercicio de su función jurisdiccional. El principio de reserva no es una formalidad secundaria, sino una garantía estructural de la independencia y del carácter colegiado del Tribunal, sin la cual se convierte en irreconocible como poder neutral del Estado.</w:t>
      </w:r>
    </w:p>
    <w:p w14:paraId="517948D4" w14:textId="77777777" w:rsidR="00A8138F" w:rsidRDefault="00A8138F" w:rsidP="00A8138F">
      <w:pPr>
        <w:pStyle w:val="TextoNormal"/>
      </w:pPr>
    </w:p>
    <w:p w14:paraId="427165B6" w14:textId="77777777" w:rsidR="00A8138F" w:rsidRDefault="00A8138F" w:rsidP="00A8138F">
      <w:pPr>
        <w:pStyle w:val="TextoNormal"/>
      </w:pPr>
      <w:r>
        <w:t>39. Filtrar el contenido de una sentencia antes de su comunicación oficial a todos los magistrados constituye, además, una deslealtad institucional inadmisible hacia los propios integrantes del Pleno, cuyas funciones deliberativas quedan seriamente en entredicho cuando la decisión final ya ha sido trasladada a los medios de comunicación como un hecho consumado. Esta actuación vilipendia la virtualidad misma del debate interno, reduciendo la deliberación colegiada a una mera formalida</w:t>
      </w:r>
      <w:r w:rsidRPr="00A8138F">
        <w:rPr>
          <w:i/>
        </w:rPr>
        <w:t>d ex po</w:t>
      </w:r>
      <w:r>
        <w:t>st, carente de eficacia real.</w:t>
      </w:r>
    </w:p>
    <w:p w14:paraId="2C3CEA10" w14:textId="77777777" w:rsidR="00A8138F" w:rsidRDefault="00A8138F" w:rsidP="00A8138F">
      <w:pPr>
        <w:pStyle w:val="TextoNormal"/>
      </w:pPr>
    </w:p>
    <w:p w14:paraId="73C5DC3F" w14:textId="77777777" w:rsidR="00A8138F" w:rsidRDefault="00A8138F" w:rsidP="00A8138F">
      <w:pPr>
        <w:pStyle w:val="TextoNormal"/>
      </w:pPr>
      <w:r>
        <w:t>40. El daño institucional es aún mayor cuando el fallo anticipado por la prensa se confirma tras la deliberación, como ha sido el caso, pues ello proyecta la imagen de un tribunal cuyo pronunciamiento no es fruto de un proceso colegiado genuino, sino de una decisión preconfigurada y difundida por cauces ajenos al procedimiento legalmente establecido. Esta percepción compromete la legitimidad del Tribunal y socava su autoridad como intérprete supremo de la Constitución.</w:t>
      </w:r>
    </w:p>
    <w:p w14:paraId="630B40F6" w14:textId="77777777" w:rsidR="00A8138F" w:rsidRDefault="00A8138F" w:rsidP="00A8138F">
      <w:pPr>
        <w:pStyle w:val="TextoNormal"/>
      </w:pPr>
    </w:p>
    <w:p w14:paraId="2FBB786D" w14:textId="77777777" w:rsidR="00A8138F" w:rsidRDefault="00A8138F" w:rsidP="00A8138F">
      <w:pPr>
        <w:pStyle w:val="TextoNormal"/>
      </w:pPr>
      <w:r>
        <w:t>41. En definitiva, no se trata de un simple incidente de comunicación, sino de una ruptura profunda de las reglas básicas que sostienen el funcionamiento del Tribunal Constitucional como órgano imparcial, colegiado y reservado, cuya principal fuente de legitimidad es la confianza pública en su rigor, integridad y autonomía.</w:t>
      </w:r>
    </w:p>
    <w:p w14:paraId="315E7DAC" w14:textId="77777777" w:rsidR="00A8138F" w:rsidRDefault="00A8138F" w:rsidP="00A8138F">
      <w:pPr>
        <w:pStyle w:val="TextoNormal"/>
      </w:pPr>
    </w:p>
    <w:p w14:paraId="7D68BAAA" w14:textId="77777777" w:rsidR="00A8138F" w:rsidRDefault="00A8138F" w:rsidP="00A8138F">
      <w:pPr>
        <w:pStyle w:val="TextoNormal"/>
      </w:pPr>
      <w:r>
        <w:t>II</w:t>
      </w:r>
    </w:p>
    <w:p w14:paraId="3C0CB55B" w14:textId="77777777" w:rsidR="00A8138F" w:rsidRDefault="00A8138F" w:rsidP="00A8138F">
      <w:pPr>
        <w:pStyle w:val="TextoNormal"/>
      </w:pPr>
    </w:p>
    <w:p w14:paraId="0E394013" w14:textId="77777777" w:rsidR="00A8138F" w:rsidRDefault="00A8138F" w:rsidP="00A8138F">
      <w:pPr>
        <w:pStyle w:val="TextoNormal"/>
      </w:pPr>
      <w:r w:rsidRPr="00A8138F">
        <w:rPr>
          <w:i/>
        </w:rPr>
        <w:t>El Tribunal Constitucional ha avalado la Ley de amnistía incumpliendo la obligación que tenía de plantear previamente una cuestión prejudicial, con clara infracción del artículo 267, párrafo tercero, TFUE</w:t>
      </w:r>
    </w:p>
    <w:p w14:paraId="71544D86" w14:textId="77777777" w:rsidR="00A8138F" w:rsidRDefault="00A8138F" w:rsidP="00A8138F">
      <w:pPr>
        <w:pStyle w:val="TextoNormal"/>
      </w:pPr>
    </w:p>
    <w:p w14:paraId="4D3146D7" w14:textId="77777777" w:rsidR="00A8138F" w:rsidRDefault="00A8138F" w:rsidP="00A8138F">
      <w:pPr>
        <w:pStyle w:val="TextoNormal"/>
      </w:pPr>
      <w:r>
        <w:t xml:space="preserve">A) </w:t>
      </w:r>
      <w:r w:rsidRPr="00A8138F">
        <w:rPr>
          <w:i/>
        </w:rPr>
        <w:t>El planteamiento de una cuestión prejudicial al Tribunal de Justicia era obligado conforme a las razones que se expusieron en el voto particular al ATC 65/2025, de 11 de junio</w:t>
      </w:r>
    </w:p>
    <w:p w14:paraId="5F7A4F58" w14:textId="77777777" w:rsidR="00A8138F" w:rsidRDefault="00A8138F" w:rsidP="00A8138F">
      <w:pPr>
        <w:pStyle w:val="TextoNormal"/>
      </w:pPr>
    </w:p>
    <w:p w14:paraId="74BF80A7" w14:textId="77777777" w:rsidR="00A8138F" w:rsidRDefault="00A8138F" w:rsidP="00A8138F">
      <w:pPr>
        <w:pStyle w:val="TextoNormal"/>
      </w:pPr>
      <w:r>
        <w:t>42. Es mi obligación poner de manifiesto que este tribunal, al adoptar la sentencia de la que discrepo, sin haberse dirigido previamente al Tribunal de Justicia planteando una cuestión prejudicial, ha incumplido la obligación que le impone el artículo 267, párrafo tercero, TFUE; este artículo obliga a los órganos de última instancia a plantear una cuestión prejudicial ante el Tribunal de Justicia cuando se plantee alguna duda relativa a la “interpretación” del Derecho de la Unión.</w:t>
      </w:r>
    </w:p>
    <w:p w14:paraId="29D79E16" w14:textId="77777777" w:rsidR="00A8138F" w:rsidRDefault="00A8138F" w:rsidP="00A8138F">
      <w:pPr>
        <w:pStyle w:val="TextoNormal"/>
      </w:pPr>
    </w:p>
    <w:p w14:paraId="76F459DB" w14:textId="77777777" w:rsidR="00A8138F" w:rsidRDefault="00A8138F" w:rsidP="00A8138F">
      <w:pPr>
        <w:pStyle w:val="TextoNormal"/>
      </w:pPr>
      <w:r>
        <w:t>43. Las razones por las cuales entiendo que concurre dicha obligación están expuestas en el voto particular al ATC 65/2025, de 11 de junio, que formulé junto con el magistrado don Enrique Arnaldo Alcubilla y la magistrada doña Concepción Espejel Jorquera; auto que desestimó la petición de planteamiento de una cuestión prejudicial de la parte recurrente y del Senado, por motivos formales, y denegó dar traslado de la petición que en igual sentido habíamos hecho ya los mismos magistrados al presidente del Tribunal, mediante el escrito de 12 de mayo de 2025.</w:t>
      </w:r>
    </w:p>
    <w:p w14:paraId="769E0409" w14:textId="77777777" w:rsidR="00A8138F" w:rsidRDefault="00A8138F" w:rsidP="00A8138F">
      <w:pPr>
        <w:pStyle w:val="TextoNormal"/>
      </w:pPr>
    </w:p>
    <w:p w14:paraId="027EE61F" w14:textId="77777777" w:rsidR="00A8138F" w:rsidRDefault="00A8138F" w:rsidP="00A8138F">
      <w:pPr>
        <w:pStyle w:val="TextoNormal"/>
      </w:pPr>
      <w:r>
        <w:t>44. Procede aquí hacer una remisión a dicho voto particular, sin perjuicio de recordar que las dudas sobre la interpretación del Derecho de la Unión que han surgido en el presente recurso de inconstitucionalidad son evidentes y la sentencia que ha aprobado la mayoría, como examinaré en el apartado cuarto del presente voto particular, ha incurrido, en mi opinión, en una interpretación incompatible con el Derecho de la Unión poniendo en cuestión el principio de primacía de dicho Derecho. Esta incompatibilidad se hubiera evitado con el planteamiento de una cuestión prejudicial.</w:t>
      </w:r>
    </w:p>
    <w:p w14:paraId="44751821" w14:textId="77777777" w:rsidR="00A8138F" w:rsidRDefault="00A8138F" w:rsidP="00A8138F">
      <w:pPr>
        <w:pStyle w:val="TextoNormal"/>
      </w:pPr>
    </w:p>
    <w:p w14:paraId="1DE03BA0" w14:textId="77777777" w:rsidR="00A8138F" w:rsidRDefault="00A8138F" w:rsidP="00A8138F">
      <w:pPr>
        <w:pStyle w:val="TextoNormal"/>
      </w:pPr>
      <w:r>
        <w:t xml:space="preserve">45. A estos efectos solo recordaré que este tribunal, en tanto órgano de última instancia, solo queda dispensado de su obligación de plantear una cuestión prejudicial cuando concurra alguna de las excepciones que el Tribunal de Justicia reconoció en la sentencia de 6 de octubre de 1982, dictada en el asunto C-283/81, </w:t>
      </w:r>
      <w:r w:rsidRPr="00A8138F">
        <w:rPr>
          <w:i/>
        </w:rPr>
        <w:t>Srl Cilfit y Lanificio di Gavardo SpA c. Ministero della Sanità</w:t>
      </w:r>
      <w:r>
        <w:t xml:space="preserve">, y que recientemente ha sistematizado en la sentencia de 6 de octubre de 2021, dictada en el asunto C-561/19, </w:t>
      </w:r>
      <w:r w:rsidRPr="00A8138F">
        <w:rPr>
          <w:i/>
        </w:rPr>
        <w:t>Consorzio Italian Management y Catania Multiservizi SpA c. Rete Ferroviaria Italiana SpA</w:t>
      </w:r>
      <w:r>
        <w:t>. Esto ocurre cuando (i) la cuestión suscitada no sea pertinente; (ii) la disposición del Derecho de la Unión controvertida ya ha sido interpretada por el Tribunal de Justicia (que exista el denominado “acto aclarado”) o (iii) la interpretación correcta del Derecho de la Unión se impone con tal evidencia que “no deja lugar a ninguna duda razonable” (que exista el denominado “acto claro”).</w:t>
      </w:r>
    </w:p>
    <w:p w14:paraId="6ECAB13A" w14:textId="77777777" w:rsidR="00A8138F" w:rsidRDefault="00A8138F" w:rsidP="00A8138F">
      <w:pPr>
        <w:pStyle w:val="TextoNormal"/>
      </w:pPr>
    </w:p>
    <w:p w14:paraId="59250B37" w14:textId="77777777" w:rsidR="00A8138F" w:rsidRDefault="00A8138F" w:rsidP="00A8138F">
      <w:pPr>
        <w:pStyle w:val="TextoNormal"/>
      </w:pPr>
      <w:r>
        <w:t>46. Ninguna de las tres excepciones concurre pues:</w:t>
      </w:r>
    </w:p>
    <w:p w14:paraId="2185302B" w14:textId="77777777" w:rsidR="00A8138F" w:rsidRDefault="00A8138F" w:rsidP="00A8138F">
      <w:pPr>
        <w:pStyle w:val="TextoNormal"/>
      </w:pPr>
    </w:p>
    <w:p w14:paraId="3FD322C1" w14:textId="77777777" w:rsidR="00A8138F" w:rsidRDefault="00A8138F" w:rsidP="00A8138F">
      <w:pPr>
        <w:pStyle w:val="TextoNormal"/>
      </w:pPr>
      <w:r>
        <w:t>(i</w:t>
      </w:r>
      <w:r w:rsidRPr="00A8138F">
        <w:rPr>
          <w:i/>
        </w:rPr>
        <w:t>) La cuestión es pertinen</w:t>
      </w:r>
      <w:r>
        <w:t>te</w:t>
      </w:r>
    </w:p>
    <w:p w14:paraId="04C4049D" w14:textId="77777777" w:rsidR="00A8138F" w:rsidRDefault="00A8138F" w:rsidP="00A8138F">
      <w:pPr>
        <w:pStyle w:val="TextoNormal"/>
      </w:pPr>
    </w:p>
    <w:p w14:paraId="2FF6F9C1" w14:textId="77777777" w:rsidR="00A8138F" w:rsidRDefault="00A8138F" w:rsidP="00A8138F">
      <w:pPr>
        <w:pStyle w:val="TextoNormal"/>
      </w:pPr>
      <w:r>
        <w:t>47. La cuestión es pertinente dado que en el recurso de inconstitucionalidad se plantea de forma tajante que la Ley de amnistía es inconstitucional porque vulnera la cláusula de Estado de Derecho recogida en el artículo 2 TUE, tal y como la interpreta el Tribunal de Justicia.</w:t>
      </w:r>
    </w:p>
    <w:p w14:paraId="72409579" w14:textId="77777777" w:rsidR="00A8138F" w:rsidRDefault="00A8138F" w:rsidP="00A8138F">
      <w:pPr>
        <w:pStyle w:val="TextoNormal"/>
      </w:pPr>
    </w:p>
    <w:p w14:paraId="5DE048C2" w14:textId="77777777" w:rsidR="00A8138F" w:rsidRDefault="00A8138F" w:rsidP="00A8138F">
      <w:pPr>
        <w:pStyle w:val="TextoNormal"/>
      </w:pPr>
      <w:r>
        <w:t xml:space="preserve">48. No resulta posible discernir si la Ley de amnistía respeta o no el Estado de Derecho sin conocer previamente si una amnistía como la que nos ocupa es compatible con las exigencias que derivan de los artículos 2 y 19 TUE. Y esto es así porque el Estado de Derecho es un concepto regulado por el Derecho de la Unión y así lo dejó sentado el Tribunal de Justicia en la sentencia de Gran Sala dictada el 20 de abril de 2021, en el asunto C-896/19, </w:t>
      </w:r>
      <w:r w:rsidRPr="00A8138F">
        <w:rPr>
          <w:i/>
        </w:rPr>
        <w:t>Repubblika c. Il-Prim Ministru</w:t>
      </w:r>
      <w:r>
        <w:t>, donde explicó que la Unión reúne a Estados que, libre y voluntariamente, han hecho suyos, respetan y se comprometen a promover “los valores comunes” mencionados en el actual artículo 2 TUE, y, en particular, el Estado de Derecho.</w:t>
      </w:r>
    </w:p>
    <w:p w14:paraId="359C0D97" w14:textId="77777777" w:rsidR="00A8138F" w:rsidRDefault="00A8138F" w:rsidP="00A8138F">
      <w:pPr>
        <w:pStyle w:val="TextoNormal"/>
      </w:pPr>
    </w:p>
    <w:p w14:paraId="05AF7C0F" w14:textId="77777777" w:rsidR="00A8138F" w:rsidRDefault="00A8138F" w:rsidP="00A8138F">
      <w:pPr>
        <w:pStyle w:val="TextoNormal"/>
      </w:pPr>
      <w:r>
        <w:t xml:space="preserve">49. Es decir, el valor del Estado de Derecho que recoge nuestra Constitución española debe respetar el marco establecido por el artículo 2 TUE, tal y como lo viene configurando la jurisprudencia del Tribunal de Justicia, porque desde nuestra adhesión son valores “comunes” que nos hemos comprometido a respetar y promover. Y el respeto a estos valores, y, en particular, al valor del Estado de Derecho, no solo fue un requisito necesario para que España pudiera ser admitida en las entonces Comunidades Europeas, sino que sigue siendo un requisito necesario para permanecer en la Unión Europea, pues, como siguió explicando el Tribunal de Justicia en el asunto </w:t>
      </w:r>
      <w:r w:rsidRPr="00A8138F">
        <w:rPr>
          <w:i/>
        </w:rPr>
        <w:t>Repubblika</w:t>
      </w:r>
      <w:r>
        <w:t>, “un Estado miembro no puede modificar su legislación de modo que dé lugar a una reducción de la protección del valor del Estado de Derecho, valor que se concreta, en particular, en el artículo 19 TUE”.</w:t>
      </w:r>
    </w:p>
    <w:p w14:paraId="2F718C32" w14:textId="77777777" w:rsidR="00A8138F" w:rsidRDefault="00A8138F" w:rsidP="00A8138F">
      <w:pPr>
        <w:pStyle w:val="TextoNormal"/>
      </w:pPr>
    </w:p>
    <w:p w14:paraId="52D6D14C" w14:textId="77777777" w:rsidR="00A8138F" w:rsidRDefault="00A8138F" w:rsidP="00A8138F">
      <w:pPr>
        <w:pStyle w:val="TextoNormal"/>
      </w:pPr>
      <w:r>
        <w:t xml:space="preserve">50. Es más, en la sentencia de 16 de febrero de 2022, dictada en el asunto C-156/21, </w:t>
      </w:r>
      <w:r w:rsidRPr="00A8138F">
        <w:rPr>
          <w:i/>
        </w:rPr>
        <w:t>Hungría c. Parlamento Europeo y Consejo de la Unión Europea</w:t>
      </w:r>
      <w:r>
        <w:t>, el Pleno del Tribunal de Justicia afirmó que el artículo 2 TUE no constituye una mera enunciación de orientaciones o de intenciones de naturaleza política, sino que contiene valores que forman parte de la propia “identidad de la Unión” como ordenamiento jurídico común; valores que se concretan en principios que comportan obligaciones jurídicamente vinculantes para los Estados miembros (C-156/21, § 232; de forma similar en la sentencia de la misma fecha dictada en el asunto C-157/21</w:t>
      </w:r>
      <w:r w:rsidRPr="00A8138F">
        <w:rPr>
          <w:i/>
        </w:rPr>
        <w:t>, República de Polonia c. Parlamento Europeo y Consejo de la Unión Europ</w:t>
      </w:r>
      <w:r>
        <w:t>ea, § 264 a 266).</w:t>
      </w:r>
    </w:p>
    <w:p w14:paraId="1DD7709E" w14:textId="77777777" w:rsidR="00A8138F" w:rsidRDefault="00A8138F" w:rsidP="00A8138F">
      <w:pPr>
        <w:pStyle w:val="TextoNormal"/>
      </w:pPr>
    </w:p>
    <w:p w14:paraId="614C3B2E" w14:textId="77777777" w:rsidR="00A8138F" w:rsidRDefault="00A8138F" w:rsidP="00A8138F">
      <w:pPr>
        <w:pStyle w:val="TextoNormal"/>
      </w:pPr>
      <w:r>
        <w:t xml:space="preserve">51. Y más recientemente, en la sentencia de 5 de junio de 2023 dictada en el asunto </w:t>
      </w:r>
      <w:r w:rsidRPr="00A8138F">
        <w:rPr>
          <w:i/>
        </w:rPr>
        <w:t>Comisión Europea c. República de Polonia (indépendance et vie privée des juges</w:t>
      </w:r>
      <w:r>
        <w:t>), se afirma que si bien los Estados miembros disponen de cierto margen de apreciación para garantizar la aplicación de los principios del Estado de Derecho, “de ello no se deriva en modo alguno que la referida obligación de resultado pueda variar de un Estado miembro a otro” (C-204/21, § 73).</w:t>
      </w:r>
    </w:p>
    <w:p w14:paraId="149A217B" w14:textId="77777777" w:rsidR="00A8138F" w:rsidRDefault="00A8138F" w:rsidP="00A8138F">
      <w:pPr>
        <w:pStyle w:val="TextoNormal"/>
      </w:pPr>
    </w:p>
    <w:p w14:paraId="6AE03DAD" w14:textId="77777777" w:rsidR="00A8138F" w:rsidRDefault="00A8138F" w:rsidP="00A8138F">
      <w:pPr>
        <w:pStyle w:val="TextoNormal"/>
      </w:pPr>
      <w:r>
        <w:t>52. Por lo tanto, a la luz de esta reiterada y consolidada jurisprudencia no es posible sostener que el Estado de Derecho puede ser una cosa para la Constitución española de 1978, y a la vez una cosa distinta para el artículo 2 del Tratado de la Unión Europea (TUE), de modo que no podemos enjuiciar la constitucionalidad de la Ley de amnistía y saber si respeta o no el Estado de Derecho, tal y como lo configura nuestra Constitución, sin saber antes si respeta o no el valor de Estado de Derecho que consagra el artículo 2 del Tratado de la Unión Europea y que concretiza el artículo 19 TUE.</w:t>
      </w:r>
    </w:p>
    <w:p w14:paraId="3588CFCA" w14:textId="77777777" w:rsidR="00A8138F" w:rsidRDefault="00A8138F" w:rsidP="00A8138F">
      <w:pPr>
        <w:pStyle w:val="TextoNormal"/>
      </w:pPr>
    </w:p>
    <w:p w14:paraId="10912EE2" w14:textId="77777777" w:rsidR="00A8138F" w:rsidRDefault="00A8138F" w:rsidP="00A8138F">
      <w:pPr>
        <w:pStyle w:val="TextoNormal"/>
      </w:pPr>
      <w:r>
        <w:t>53. Llevar a cabo un control abstracto de constitucionalidad sin consultar antes al Tribunal de Justicia puede llevar a este tribunal, como así ha ocurrido finalmente, a dictar una sentencia que sea contraria a los artículos 2 y 19 TUE, infringiendo así el principio de primacía del Derecho de la Unión. Solo entablando un diálogo con el Tribunal de Justicia podremos saber si una amnistía como la que nos ocupa es tolerable en el sistema de valores de la Unión Europea, especialmente desde el punto de vista del principio de separación de poderes, de la necesidad de tener un Poder Judicial independiente y de asegurar el respeto al derecho a la igualdad.</w:t>
      </w:r>
    </w:p>
    <w:p w14:paraId="67C8E776" w14:textId="77777777" w:rsidR="00A8138F" w:rsidRDefault="00A8138F" w:rsidP="00A8138F">
      <w:pPr>
        <w:pStyle w:val="TextoNormal"/>
      </w:pPr>
    </w:p>
    <w:p w14:paraId="28B17628" w14:textId="77777777" w:rsidR="00A8138F" w:rsidRDefault="00A8138F" w:rsidP="00A8138F">
      <w:pPr>
        <w:pStyle w:val="TextoNormal"/>
      </w:pPr>
      <w:r>
        <w:t>(ii</w:t>
      </w:r>
      <w:r w:rsidRPr="00A8138F">
        <w:rPr>
          <w:i/>
        </w:rPr>
        <w:t>) No existe el “acto aclarad</w:t>
      </w:r>
      <w:r>
        <w:t>o”</w:t>
      </w:r>
    </w:p>
    <w:p w14:paraId="3BB6EBDE" w14:textId="77777777" w:rsidR="00A8138F" w:rsidRDefault="00A8138F" w:rsidP="00A8138F">
      <w:pPr>
        <w:pStyle w:val="TextoNormal"/>
      </w:pPr>
    </w:p>
    <w:p w14:paraId="219F66C0" w14:textId="77777777" w:rsidR="00A8138F" w:rsidRDefault="00A8138F" w:rsidP="00A8138F">
      <w:pPr>
        <w:pStyle w:val="TextoNormal"/>
      </w:pPr>
      <w:r>
        <w:t>54. No existe el acto “aclarado” porque la cuestión que se plantea no ha sido trasladada previamente al Tribunal de Justicia, que no se ha pronunciado nunca sobre los límites que el artículo 2 TUE impone a la soberanía nacional cuando los Estados regulan las amnistías, cuando estas pueden incidir en los valores de la Unión, en particular, en lo que respecta al Estado de Derecho, al principio de igualdad, y al principio de independencia judicial.</w:t>
      </w:r>
    </w:p>
    <w:p w14:paraId="5038463E" w14:textId="77777777" w:rsidR="00A8138F" w:rsidRDefault="00A8138F" w:rsidP="00A8138F">
      <w:pPr>
        <w:pStyle w:val="TextoNormal"/>
      </w:pPr>
    </w:p>
    <w:p w14:paraId="7BF65B7D" w14:textId="77777777" w:rsidR="00A8138F" w:rsidRDefault="00A8138F" w:rsidP="00A8138F">
      <w:pPr>
        <w:pStyle w:val="TextoNormal"/>
      </w:pPr>
      <w:r>
        <w:t>(iii</w:t>
      </w:r>
      <w:r w:rsidRPr="00A8138F">
        <w:rPr>
          <w:i/>
        </w:rPr>
        <w:t>) No existe el “acto clar</w:t>
      </w:r>
      <w:r>
        <w:t>o”</w:t>
      </w:r>
    </w:p>
    <w:p w14:paraId="47CFE659" w14:textId="77777777" w:rsidR="00A8138F" w:rsidRDefault="00A8138F" w:rsidP="00A8138F">
      <w:pPr>
        <w:pStyle w:val="TextoNormal"/>
      </w:pPr>
    </w:p>
    <w:p w14:paraId="1F6C3CE4" w14:textId="77777777" w:rsidR="00A8138F" w:rsidRDefault="00A8138F" w:rsidP="00A8138F">
      <w:pPr>
        <w:pStyle w:val="TextoNormal"/>
      </w:pPr>
      <w:r>
        <w:t>55. No existe tampoco el “acto claro” pues no es posible afirmar que no hay dudas a la luz del amplio debate que se ha suscitado al respecto en nuestra doctrina y en nuestros tribunales nacionales, así como los distintos argumentos de peso que se van desgranando en el recurso de inconstitucionalidad que estamos examinando. A ello se añade que existen cuatro cuestiones prejudiciales pendientes sobre la amnistía, que cuestionan su compatibilidad con los principios que derivan del valor Estado de Derecho (artículo 2 TUE), y otras disposiciones de Derecho derivado, que evidencian que no existe un acto claro conforme a la jurisprudencia del Tribunal de Justicia (STJUE de 9 de septiembre de 2015, asunto C- 160/14</w:t>
      </w:r>
      <w:r w:rsidRPr="00A8138F">
        <w:rPr>
          <w:i/>
        </w:rPr>
        <w:t>, João Filipe Ferreira da Silva e Brito y otros c. Estado portugu</w:t>
      </w:r>
      <w:r>
        <w:t>és, § 43 y 44).</w:t>
      </w:r>
    </w:p>
    <w:p w14:paraId="4A992A24" w14:textId="77777777" w:rsidR="00A8138F" w:rsidRDefault="00A8138F" w:rsidP="00A8138F">
      <w:pPr>
        <w:pStyle w:val="TextoNormal"/>
      </w:pPr>
    </w:p>
    <w:p w14:paraId="183B2C82" w14:textId="77777777" w:rsidR="00A8138F" w:rsidRDefault="00A8138F" w:rsidP="00A8138F">
      <w:pPr>
        <w:pStyle w:val="TextoNormal"/>
      </w:pPr>
      <w:r>
        <w:t>56. A la luz de todo ello se pone de manifiesto la arbitrariedad de la motivación que la mayoría da para denegar el planteamiento de la cuestión prejudicial instada por la parte recurrente —también fue pedida por el Senado—, pues no solo no atiende a los criterios que acabo de exponer, sino que, además, no examina ninguna de las catorce cuestiones cuya remisión ha instado el Senado, ni ninguna de las siete cuestiones cuya remisión ha instado la parte recurrente.</w:t>
      </w:r>
    </w:p>
    <w:p w14:paraId="4659102B" w14:textId="77777777" w:rsidR="00A8138F" w:rsidRDefault="00A8138F" w:rsidP="00A8138F">
      <w:pPr>
        <w:pStyle w:val="TextoNormal"/>
      </w:pPr>
    </w:p>
    <w:p w14:paraId="60EA7044" w14:textId="77777777" w:rsidR="00A8138F" w:rsidRDefault="00A8138F" w:rsidP="00A8138F">
      <w:pPr>
        <w:pStyle w:val="TextoNormal"/>
      </w:pPr>
      <w:r>
        <w:t xml:space="preserve">57. Tampoco ha prestado ninguna atención al alcance de las cuatro cuestiones prejudiciales pendientes ante el Tribunal de Justicia, cuyo contenido también expuse en el voto particular al ATC 65/2025, de 11 de junio. Estas son las cuestiones prejudiciales: asuntos C-523/24, </w:t>
      </w:r>
      <w:r w:rsidRPr="00A8138F">
        <w:rPr>
          <w:i/>
        </w:rPr>
        <w:t>Sociedad Civil Catalana</w:t>
      </w:r>
      <w:r>
        <w:t xml:space="preserve">, planteada por el Tribunal de Cuentas; C-587/24, </w:t>
      </w:r>
      <w:r w:rsidRPr="00A8138F">
        <w:rPr>
          <w:i/>
        </w:rPr>
        <w:t>Vox</w:t>
      </w:r>
      <w:r>
        <w:t xml:space="preserve">, planteada por el Tribunal Superior de Justicia de Cataluña; C-666/24, </w:t>
      </w:r>
      <w:r w:rsidRPr="00A8138F">
        <w:rPr>
          <w:i/>
        </w:rPr>
        <w:t>Asociación Catalana de Víctimas de Organizaciones Terroristas (ACV</w:t>
      </w:r>
      <w:r>
        <w:t>OT), planteada por la Audiencia Nacional, y C-123/25</w:t>
      </w:r>
      <w:r w:rsidRPr="00A8138F">
        <w:rPr>
          <w:i/>
        </w:rPr>
        <w:t>, Mani</w:t>
      </w:r>
      <w:r>
        <w:t>zo, planteada por el Juzgado de lo Penal número 3 de Vilanova i La Geltrú.</w:t>
      </w:r>
    </w:p>
    <w:p w14:paraId="1C1FC843" w14:textId="77777777" w:rsidR="00A8138F" w:rsidRDefault="00A8138F" w:rsidP="00A8138F">
      <w:pPr>
        <w:pStyle w:val="TextoNormal"/>
      </w:pPr>
    </w:p>
    <w:p w14:paraId="54D30190" w14:textId="77777777" w:rsidR="00A8138F" w:rsidRDefault="00A8138F" w:rsidP="00A8138F">
      <w:pPr>
        <w:pStyle w:val="TextoNormal"/>
      </w:pPr>
      <w:r>
        <w:t xml:space="preserve">58. Al no hacerlo así se pone de manifiesto la arbitrariedad de la sentencia adoptada por la mayoría pues, como se recuerda en la STJUE </w:t>
      </w:r>
      <w:r w:rsidRPr="00A8138F">
        <w:rPr>
          <w:i/>
        </w:rPr>
        <w:t>Consorzio Italian Management</w:t>
      </w:r>
      <w:r>
        <w:t>, un tribunal de última instancia debe apreciar si se halla en alguno de los supuestos que impiden plantear una cuestión prejudicial, “bajo su responsabilidad”, “de manera independiente”, y “con toda la atención requerida” (C-561/19, § 50).</w:t>
      </w:r>
    </w:p>
    <w:p w14:paraId="369E82D2" w14:textId="77777777" w:rsidR="00A8138F" w:rsidRDefault="00A8138F" w:rsidP="00A8138F">
      <w:pPr>
        <w:pStyle w:val="TextoNormal"/>
      </w:pPr>
    </w:p>
    <w:p w14:paraId="6E84426B" w14:textId="77777777" w:rsidR="00A8138F" w:rsidRDefault="00A8138F" w:rsidP="00A8138F">
      <w:pPr>
        <w:pStyle w:val="TextoNormal"/>
      </w:pPr>
      <w:r>
        <w:t>59. Esta arbitrariedad queda confirmada desde el momento en que su justificación para no plantear una cuestión prejudicial reside en la circunstancia de que en los procedimientos de control de constitucionalidad de las leyes, en particular, en el seno de un recurso de inconstitucionalidad, no cabe plantear una cuestión prejudicial, razonamiento con el que no estoy de acuerdo, por las razones que paso a explicar.</w:t>
      </w:r>
    </w:p>
    <w:p w14:paraId="69AC8271" w14:textId="77777777" w:rsidR="00A8138F" w:rsidRDefault="00A8138F" w:rsidP="00A8138F">
      <w:pPr>
        <w:pStyle w:val="TextoNormal"/>
      </w:pPr>
    </w:p>
    <w:p w14:paraId="2C1C3E43" w14:textId="77777777" w:rsidR="00A8138F" w:rsidRDefault="00A8138F" w:rsidP="00A8138F">
      <w:pPr>
        <w:pStyle w:val="TextoNormal"/>
      </w:pPr>
      <w:r>
        <w:t xml:space="preserve">B) </w:t>
      </w:r>
      <w:r w:rsidRPr="00A8138F">
        <w:rPr>
          <w:i/>
        </w:rPr>
        <w:t>Se ha rechazado la petición de planteamiento de la cuestión prejudicial sin cumplir las exigencias de motivación que exige el Tribunal de Justicia, y con unos argumentos que ponen de manifiesto el absoluto desconocimiento por la mayoría de para qué sirve el planteamiento de una cuestión prejudicial y cuál es la eficacia de la respuesta dada por el Tribunal de Justicia</w:t>
      </w:r>
    </w:p>
    <w:p w14:paraId="126963D7" w14:textId="77777777" w:rsidR="00A8138F" w:rsidRDefault="00A8138F" w:rsidP="00A8138F">
      <w:pPr>
        <w:pStyle w:val="TextoNormal"/>
      </w:pPr>
    </w:p>
    <w:p w14:paraId="6525D445" w14:textId="77777777" w:rsidR="00A8138F" w:rsidRDefault="00A8138F" w:rsidP="00A8138F">
      <w:pPr>
        <w:pStyle w:val="TextoNormal"/>
      </w:pPr>
      <w:r>
        <w:t>a</w:t>
      </w:r>
      <w:r w:rsidRPr="00A8138F">
        <w:rPr>
          <w:i/>
        </w:rPr>
        <w:t>) No se cumplen los requisitos de motivación sentados en las sentenci</w:t>
      </w:r>
      <w:r>
        <w:t>as Consorzio Italian Management</w:t>
      </w:r>
      <w:r w:rsidRPr="00A8138F">
        <w:rPr>
          <w:i/>
        </w:rPr>
        <w:t>,</w:t>
      </w:r>
      <w:r>
        <w:t xml:space="preserve"> y Kubera</w:t>
      </w:r>
    </w:p>
    <w:p w14:paraId="689192D7" w14:textId="77777777" w:rsidR="00A8138F" w:rsidRDefault="00A8138F" w:rsidP="00A8138F">
      <w:pPr>
        <w:pStyle w:val="TextoNormal"/>
      </w:pPr>
    </w:p>
    <w:p w14:paraId="61F7D2C4" w14:textId="77777777" w:rsidR="00A8138F" w:rsidRDefault="00A8138F" w:rsidP="00A8138F">
      <w:pPr>
        <w:pStyle w:val="TextoNormal"/>
      </w:pPr>
      <w:r>
        <w:t xml:space="preserve">60. En primer lugar, la respuesta que ahora se da no se ajusta a los criterios que el Tribunal de Justicia exige a los órganos jurisdiccionales de última instancia para motivar su decisión de no plantear una cuestión prejudicial. Así, la decisión de no plantear una cuestión prejudicial en el supuesto que nos ocupa hace surgir la correlativa obligación de motivar en cuál de las tres excepciones antes citadas se basa este tribunal para no plantear una cuestión prejudicial. Esta obligación de motivación se ha hecho explícita por primera vez por el Tribunal de Justicia en la sentencia </w:t>
      </w:r>
      <w:r w:rsidRPr="00A8138F">
        <w:rPr>
          <w:i/>
        </w:rPr>
        <w:t>Consorzio Italian Management</w:t>
      </w:r>
      <w:r>
        <w:t>, y se ha confirmado en la reciente sentencia de 15 de octubre de 2024, dictada en el asunto C-144/23</w:t>
      </w:r>
      <w:r w:rsidRPr="00A8138F">
        <w:rPr>
          <w:i/>
        </w:rPr>
        <w:t>, Kubera trgovanje s hrano in pijačo, d.o.o. c. Republika Sloveni</w:t>
      </w:r>
      <w:r>
        <w:t>ja.</w:t>
      </w:r>
    </w:p>
    <w:p w14:paraId="4DF1C93C" w14:textId="77777777" w:rsidR="00A8138F" w:rsidRDefault="00A8138F" w:rsidP="00A8138F">
      <w:pPr>
        <w:pStyle w:val="TextoNormal"/>
      </w:pPr>
    </w:p>
    <w:p w14:paraId="3C8C4ACF" w14:textId="77777777" w:rsidR="00A8138F" w:rsidRDefault="00A8138F" w:rsidP="00A8138F">
      <w:pPr>
        <w:pStyle w:val="TextoNormal"/>
      </w:pPr>
      <w:r>
        <w:t>61. Con arreglo a estos dos últimos pronunciamientos, cuando un órgano jurisdiccional nacional cuyas decisiones no sean susceptibles de ulterior recurso judicial de Derecho interno considera que queda dispensado de la obligación de plantear una cuestión prejudicial al Tribunal de Justicia “la fundamentación de su resolución debe poner de manifiesto bien que la cuestión de Derecho de la Unión que se haya planteado no es pertinente para la solución del litigio, bien que la interpretación de la disposición del Derecho de la Unión de que se trate se basa en la jurisprudencia del Tribunal de Justicia, o bien, a falta de tal jurisprudencia, que la interpretación del Derecho de la Unión se impone al órgano jurisdiccional nacional que resuelve en última instancia con tal evidencia que no deja lugar a ninguna duda razonable” (§ 51 y 63 respectivamente).</w:t>
      </w:r>
    </w:p>
    <w:p w14:paraId="4D7F09B9" w14:textId="77777777" w:rsidR="00A8138F" w:rsidRDefault="00A8138F" w:rsidP="00A8138F">
      <w:pPr>
        <w:pStyle w:val="TextoNormal"/>
      </w:pPr>
    </w:p>
    <w:p w14:paraId="51D96B57" w14:textId="77777777" w:rsidR="00A8138F" w:rsidRDefault="00A8138F" w:rsidP="00A8138F">
      <w:pPr>
        <w:pStyle w:val="TextoNormal"/>
      </w:pPr>
      <w:r>
        <w:t xml:space="preserve">62. Esta obligación de motivación deriva directamente del artículo 267 TFUE, interpretado a la luz del artículo 47, párrafo segundo, de la Carta de los derechos fundamentales de la Unión Europea, y su incumplimiento da lugar a una vulneración del artículo 6 CEDH (entre otras, SSTEDH de 20 de septiembre de 2011, asunto </w:t>
      </w:r>
      <w:r w:rsidRPr="00A8138F">
        <w:rPr>
          <w:i/>
        </w:rPr>
        <w:t>Ullens de Schooten y Rezabeck c. Bélgica</w:t>
      </w:r>
      <w:r>
        <w:t xml:space="preserve">; de 8 de abril de 2014, asunto </w:t>
      </w:r>
      <w:r w:rsidRPr="00A8138F">
        <w:rPr>
          <w:i/>
        </w:rPr>
        <w:t>Dhahbi c. Italia</w:t>
      </w:r>
      <w:r>
        <w:t xml:space="preserve">; de 21 de julio de 2015, asunto </w:t>
      </w:r>
      <w:r w:rsidRPr="00A8138F">
        <w:rPr>
          <w:i/>
        </w:rPr>
        <w:t>Shipani y otros c. Italia</w:t>
      </w:r>
      <w:r>
        <w:t xml:space="preserve">; de 13 de febrero de 2020, asunto </w:t>
      </w:r>
      <w:r w:rsidRPr="00A8138F">
        <w:rPr>
          <w:i/>
        </w:rPr>
        <w:t>Sanofi Pasteur c. Francia</w:t>
      </w:r>
      <w:r>
        <w:t xml:space="preserve">, y de 15 de diciembre de 2022, asunto </w:t>
      </w:r>
      <w:r w:rsidRPr="00A8138F">
        <w:rPr>
          <w:i/>
        </w:rPr>
        <w:t>Rutar y Rutar Marketing d.o.o., c. Eslovenia</w:t>
      </w:r>
      <w:r>
        <w:t>). Y resulta especialmente relevante en el supuesto que nos ocupa, por la importancia de las cuestiones relativas al Derecho de la Unión que han sido suscitadas en el recurso de inconstitucionalidad, que atienden al Estado de Derecho, un valor fundacional que define la identidad de la Unión (puede vers</w:t>
      </w:r>
      <w:r w:rsidRPr="00A8138F">
        <w:rPr>
          <w:i/>
        </w:rPr>
        <w:t>e a sensu contrar</w:t>
      </w:r>
      <w:r>
        <w:t>io la reciente STEDH de 13 de mayo de 2025, asunt</w:t>
      </w:r>
      <w:r w:rsidRPr="00A8138F">
        <w:rPr>
          <w:i/>
        </w:rPr>
        <w:t>o Spiteri c. Mal</w:t>
      </w:r>
      <w:r>
        <w:t>ta, § 105).</w:t>
      </w:r>
    </w:p>
    <w:p w14:paraId="69C88B9E" w14:textId="77777777" w:rsidR="00A8138F" w:rsidRDefault="00A8138F" w:rsidP="00A8138F">
      <w:pPr>
        <w:pStyle w:val="TextoNormal"/>
      </w:pPr>
    </w:p>
    <w:p w14:paraId="79619305" w14:textId="77777777" w:rsidR="00A8138F" w:rsidRDefault="00A8138F" w:rsidP="00A8138F">
      <w:pPr>
        <w:pStyle w:val="TextoNormal"/>
      </w:pPr>
      <w:r>
        <w:t>b</w:t>
      </w:r>
      <w:r w:rsidRPr="00A8138F">
        <w:rPr>
          <w:i/>
        </w:rPr>
        <w:t>) La cuestión prejudicial no es un simple mecanismo de inaplicación de las normas nacionales, como pretende hacer valer la sentenc</w:t>
      </w:r>
      <w:r>
        <w:t>ia</w:t>
      </w:r>
    </w:p>
    <w:p w14:paraId="7AB03F04" w14:textId="77777777" w:rsidR="00A8138F" w:rsidRDefault="00A8138F" w:rsidP="00A8138F">
      <w:pPr>
        <w:pStyle w:val="TextoNormal"/>
      </w:pPr>
    </w:p>
    <w:p w14:paraId="741A1EE5" w14:textId="77777777" w:rsidR="00A8138F" w:rsidRDefault="00A8138F" w:rsidP="00A8138F">
      <w:pPr>
        <w:pStyle w:val="TextoNormal"/>
      </w:pPr>
      <w:r>
        <w:t>63. El razonamiento de la mayoría para justificar por qué el Tribunal no plantea una cuestión prejudicial se asienta en la premisa de que el objeto de la cuestión prejudicial es “asegurar que no haya discrepancias en la interpretación del conjunto del Derecho de la Unión”, “facilitando, con ello, a los tribunales la inaplicación de las normas internas que sean incompatibles con aquel, de acuerdo con el principio de primacía”. De este modo entiende que como el objeto del recurso de inconstitucionalidad es un “juicio de validez” que “no prejuzga, en definitiva, el de aplicabilidad” no existen interferencias entre ambos instrumentos; afirma así la sentencia que, en el recurso de inconstitucionalidad “se decide sobre la validez de la norma” y en la cuestión prejudicial “sobre la aplicabilidad de esta”.</w:t>
      </w:r>
    </w:p>
    <w:p w14:paraId="5547606F" w14:textId="77777777" w:rsidR="00A8138F" w:rsidRDefault="00A8138F" w:rsidP="00A8138F">
      <w:pPr>
        <w:pStyle w:val="TextoNormal"/>
      </w:pPr>
    </w:p>
    <w:p w14:paraId="397A9206" w14:textId="77777777" w:rsidR="00A8138F" w:rsidRDefault="00A8138F" w:rsidP="00A8138F">
      <w:pPr>
        <w:pStyle w:val="TextoNormal"/>
      </w:pPr>
      <w:r>
        <w:t>64. Es decir, para la mayoría del Pleno, como en el recurso de inconstitucionalidad no hay que dilucidar si la norma es o no es aplicable, solo si es válida constitucionalmente “en abstracto”, nunca se va a tener que plantear una cuestión prejudicial en este tipo de procedimientos, porque el objeto de la cuestión prejudicial —según el razonamiento de la sentencia— es simplemente determinar si la norma nacional puede ser aplicada.</w:t>
      </w:r>
    </w:p>
    <w:p w14:paraId="085BFEEE" w14:textId="77777777" w:rsidR="00A8138F" w:rsidRDefault="00A8138F" w:rsidP="00A8138F">
      <w:pPr>
        <w:pStyle w:val="TextoNormal"/>
      </w:pPr>
    </w:p>
    <w:p w14:paraId="4D870373" w14:textId="77777777" w:rsidR="00A8138F" w:rsidRDefault="00A8138F" w:rsidP="00A8138F">
      <w:pPr>
        <w:pStyle w:val="TextoNormal"/>
      </w:pPr>
      <w:r>
        <w:t>65. Pues bien, considerar que la cuestión prejudicial es un procedimiento en el que se decide sobre la aplicabilidad de la norma nacional, supone desconocer cuál es la naturaleza, el objeto, y la finalidad de este mecanismo tal y como lo diseñaron los tratados fundacionales de la Unión Europea (ahora regulado en el artículo 267 TFUE), y tal y como lo viene interpretando el Tribunal de Justicia en su jurisprudencia.</w:t>
      </w:r>
    </w:p>
    <w:p w14:paraId="36C72B4B" w14:textId="77777777" w:rsidR="00A8138F" w:rsidRDefault="00A8138F" w:rsidP="00A8138F">
      <w:pPr>
        <w:pStyle w:val="TextoNormal"/>
      </w:pPr>
    </w:p>
    <w:p w14:paraId="144D5686" w14:textId="77777777" w:rsidR="00A8138F" w:rsidRDefault="00A8138F" w:rsidP="00A8138F">
      <w:pPr>
        <w:pStyle w:val="TextoNormal"/>
      </w:pPr>
      <w:r>
        <w:t>66. La razón por la cual los órganos jurisdiccionales nacionales plantean cuestiones prejudiciales al Tribunal de Justicia no es simplemente porque quieran “inaplicar” normas nacionales que puedan ser contrarias al Derecho de la Unión. La posible “inaplicación” de una norma nacional no es una consecuencia directa del planteamiento de una cuestión prejudicial, es simplemente una facultad que tienen los órganos jurisdiccionales a su disposición para asegurar la primacía y la plena efectividad del Derecho de la Unión, que surge cuando no puedan dar a la norma nacional una interpretación que sea conforme a las exigencias de ese Derecho (STJUE de 24 de junio de 2019, asunto C-573/17</w:t>
      </w:r>
      <w:r w:rsidRPr="00A8138F">
        <w:rPr>
          <w:i/>
        </w:rPr>
        <w:t>, Daniel Adam Poplaws</w:t>
      </w:r>
      <w:r>
        <w:t>ki, § 58).</w:t>
      </w:r>
    </w:p>
    <w:p w14:paraId="061BA721" w14:textId="77777777" w:rsidR="00A8138F" w:rsidRDefault="00A8138F" w:rsidP="00A8138F">
      <w:pPr>
        <w:pStyle w:val="TextoNormal"/>
      </w:pPr>
    </w:p>
    <w:p w14:paraId="25CA6DA5" w14:textId="77777777" w:rsidR="00A8138F" w:rsidRDefault="00A8138F" w:rsidP="00A8138F">
      <w:pPr>
        <w:pStyle w:val="TextoNormal"/>
      </w:pPr>
      <w:r>
        <w:t xml:space="preserve">67. Además, es una facultad de inaplicación que se les reconoce desde la sentencia </w:t>
      </w:r>
      <w:r w:rsidRPr="00A8138F">
        <w:rPr>
          <w:i/>
        </w:rPr>
        <w:t>Simmenthal</w:t>
      </w:r>
      <w:r>
        <w:t>, y que pueden ejercer sin necesidad de plantear una cuestión prejudicial, pues tal y como se explicó en este pronunciamiento, y se reitera en todos los que le han seguido, el juez nacional encargado de aplicar, en el marco de su competencia, las disposiciones del Derecho comunitario, está obligado a garantizar la plena eficacia de dichas normas dejando, si procede, inaplicadas, por su propia iniciativa, cualesquiera disposiciones contrarias de la legislación nacional, aunque sean posteriores, sin que esté obligado a solicitar o a esperar la derogación previa de estas por vía legislativa o por cualquier otro procedimiento constitucional” (sentencia del Tribunal de Justicia de las Comunidades Europeas de 9 de marzo de 1978, asunto C-106/77</w:t>
      </w:r>
      <w:r w:rsidRPr="00A8138F">
        <w:rPr>
          <w:i/>
        </w:rPr>
        <w:t>, Amministrazione delle Finanze dello Stato c. SpA Simmenth</w:t>
      </w:r>
      <w:r>
        <w:t>al, § 24).</w:t>
      </w:r>
    </w:p>
    <w:p w14:paraId="777446BB" w14:textId="77777777" w:rsidR="00A8138F" w:rsidRDefault="00A8138F" w:rsidP="00A8138F">
      <w:pPr>
        <w:pStyle w:val="TextoNormal"/>
      </w:pPr>
    </w:p>
    <w:p w14:paraId="33498CA5" w14:textId="77777777" w:rsidR="00A8138F" w:rsidRDefault="00A8138F" w:rsidP="00A8138F">
      <w:pPr>
        <w:pStyle w:val="TextoNormal"/>
      </w:pPr>
      <w:r>
        <w:t>68. Por lo tanto, la “inaplicación” de normas nacionales no es la razón por la cual los órganos jurisdiccionales plantean una cuestión prejudicial ni el objeto directo de la misma. Por el contrario, el objeto de la cuestión prejudicial de interpretación —que es de la que estamos hablando aquí— es, como su propio nombre indica, conseguir una “interpretación” de una norma del Derecho de la Unión por parte del Tribunal de Justicia, que es el intérprete supremo de ese Derecho; esta interpretación la necesita el órgano jurisdiccional nacional para resolver sobre el fondo de un asunto que está tramitando y por ello entabla un diálogo de juez a juez con el Tribunal de Justicia.</w:t>
      </w:r>
    </w:p>
    <w:p w14:paraId="1009057B" w14:textId="77777777" w:rsidR="00A8138F" w:rsidRDefault="00A8138F" w:rsidP="00A8138F">
      <w:pPr>
        <w:pStyle w:val="TextoNormal"/>
      </w:pPr>
    </w:p>
    <w:p w14:paraId="0060DA0F" w14:textId="77777777" w:rsidR="00A8138F" w:rsidRDefault="00A8138F" w:rsidP="00A8138F">
      <w:pPr>
        <w:pStyle w:val="TextoNormal"/>
      </w:pPr>
      <w:r>
        <w:t>69. Y así se desprende de una reiterada jurisprudencia del Tribunal de Justicia que explica “que el procedimiento establecido por el artículo 267 TFUE es un instrumento de cooperación entre el Tribunal de Justicia y los órganos jurisdiccionales nacionales, por medio del cual el primero aporta a los segundos los elementos de interpretación del Derecho de la Unión que precisan para la solución del litigio que deban dirimir” (STJUE de 5 de julio de 2016, asunto C-614/14</w:t>
      </w:r>
      <w:r w:rsidRPr="00A8138F">
        <w:rPr>
          <w:i/>
        </w:rPr>
        <w:t>, Atanas Ognyan</w:t>
      </w:r>
      <w:r>
        <w:t>ov, § 16, y jurisprudencia que cita).</w:t>
      </w:r>
    </w:p>
    <w:p w14:paraId="1B2582A9" w14:textId="77777777" w:rsidR="00A8138F" w:rsidRDefault="00A8138F" w:rsidP="00A8138F">
      <w:pPr>
        <w:pStyle w:val="TextoNormal"/>
      </w:pPr>
    </w:p>
    <w:p w14:paraId="468AACA8" w14:textId="77777777" w:rsidR="00A8138F" w:rsidRDefault="00A8138F" w:rsidP="00A8138F">
      <w:pPr>
        <w:pStyle w:val="TextoNormal"/>
      </w:pPr>
      <w:r>
        <w:t>70. De este modo se consigue la finalidad que se persiguió cuando se implantó este mecanismo de cooperación, que no es otro que “garantizar que, en cualesquiera circunstancias, este Derecho [el Derecho de la UE] produzca el mismo efecto en todos los Estados de la Comunidad”, y “evitar divergencias en la interpretación del Derecho comunitario que han de aplicar”; ello solo se consigue poniendo a disposición de los órganos judiciales un instrumento que les faculte para someter al Tribunal de Justicia las dudas que tengan sobre la interpretación —cuestión prejudicial de interpretación— o validez —cuestión prejudicial de validez— del Derecho de la Unión (puede verse al efecto la sentencia del Tribunal de Justicia de las Comunidades Europeas de 16 de enero de 1974, asunto C-166/73</w:t>
      </w:r>
      <w:r w:rsidRPr="00A8138F">
        <w:rPr>
          <w:i/>
        </w:rPr>
        <w:t>, Rheinmühlen-Düsseldorf c. Einfuhr- und Vorratsstelle für Getreide und Futtermitt</w:t>
      </w:r>
      <w:r>
        <w:t>el, § 2).</w:t>
      </w:r>
    </w:p>
    <w:p w14:paraId="3238B3C8" w14:textId="77777777" w:rsidR="00A8138F" w:rsidRDefault="00A8138F" w:rsidP="00A8138F">
      <w:pPr>
        <w:pStyle w:val="TextoNormal"/>
      </w:pPr>
    </w:p>
    <w:p w14:paraId="283CBF01" w14:textId="77777777" w:rsidR="00A8138F" w:rsidRDefault="00A8138F" w:rsidP="00A8138F">
      <w:pPr>
        <w:pStyle w:val="TextoNormal"/>
      </w:pPr>
      <w:r>
        <w:t xml:space="preserve">71. Es más, al dar respuesta a una cuestión prejudicial, el Tribunal de Justicia no declara propiamente que una norma de Derecho nacional es incompatible con el Derecho de la Unión, o que deba inaplicarse con carácter imperativo, lo que hace es “ofrecer al juez nacional las pautas necesarias para dirimir un litigio en el que surjan dudas sobre la interpretación del derecho de la Unión” (conclusiones del abogado general don Manuel Campos Sánchez-Bordona, de 5 de julio de 2018, presentadas en la STJUE de 28 de noviembre de 2018, asunto C-328/17, </w:t>
      </w:r>
      <w:r w:rsidRPr="00A8138F">
        <w:rPr>
          <w:i/>
        </w:rPr>
        <w:t>Amt Azienda Trasporti e Mobilità SpA y otros c. Atpl Liguria - Agenzia regionale per il trasporto pubblico locale SpA y Regione Liguria</w:t>
      </w:r>
      <w:r>
        <w:t>, § 35). Con esta interpretación es el juez nacional el que debe extraer las consecuencias que correspondan, entre las cuales obviamente está una posible incompatibilidad de la norma nacional con el Derecho de la Unión, pero, en este caso, y a diferencia por ejemplo de lo que ocurre con el recurso de incumplimiento, que también tramita el Tribunal de Justicia, en la cuestión prejudicial la incompatibilidad dependerá de la apreciación última que haga el juez nacional del alcance de la norma nacional.</w:t>
      </w:r>
    </w:p>
    <w:p w14:paraId="4B46B8CF" w14:textId="77777777" w:rsidR="00A8138F" w:rsidRDefault="00A8138F" w:rsidP="00A8138F">
      <w:pPr>
        <w:pStyle w:val="TextoNormal"/>
      </w:pPr>
    </w:p>
    <w:p w14:paraId="07CAD2D2" w14:textId="77777777" w:rsidR="00A8138F" w:rsidRDefault="00A8138F" w:rsidP="00A8138F">
      <w:pPr>
        <w:pStyle w:val="TextoNormal"/>
      </w:pPr>
      <w:r>
        <w:t>72. De todo ello se deriva que no podemos afirmar que la cuestión prejudicial tenga por objeto decidir la aplicabilidad o inaplicabilidad de una norma nacional, por lo que el primer argumento que utiliza la mayoría para sostener que estamos ante procedimientos con objetos distintos que operan “de forma autónoma”, a través de “instituciones jurídicas igualmente diversas” y con “parámetros normativos de control distintos” que de esta forma no interactúan, no solo no es compatible con el régimen de la cuestión prejudicial, sino que menoscaba la eficacia de este sistema que es “la piedra angular” del sistema jurisdiccional de la Unión instituido por los tratados (dictamen 2/13 del Tribunal de Justicia de la Unión Europea, de 18 de diciembre de 2014, sobre la adhesión de la Unión Europea al Convenio europeo para la protección de los derechos humanos y de las libertades fundamentales, § 176, y STJUE de 22 de febrero de 2022, asunto C-430/</w:t>
      </w:r>
      <w:r w:rsidRPr="00A8138F">
        <w:rPr>
          <w:i/>
        </w:rPr>
        <w:t xml:space="preserve">21, </w:t>
      </w:r>
      <w:r>
        <w:t>R.S., §73].</w:t>
      </w:r>
    </w:p>
    <w:p w14:paraId="13C39C27" w14:textId="77777777" w:rsidR="00A8138F" w:rsidRDefault="00A8138F" w:rsidP="00A8138F">
      <w:pPr>
        <w:pStyle w:val="TextoNormal"/>
      </w:pPr>
    </w:p>
    <w:p w14:paraId="0E09A5B5" w14:textId="77777777" w:rsidR="00A8138F" w:rsidRDefault="00A8138F" w:rsidP="00A8138F">
      <w:pPr>
        <w:pStyle w:val="TextoNormal"/>
      </w:pPr>
      <w:r>
        <w:t>c</w:t>
      </w:r>
      <w:r w:rsidRPr="00A8138F">
        <w:rPr>
          <w:i/>
        </w:rPr>
        <w:t>) La naturaleza del procedimiento que tramita el Tribunal Constitucional no condiciona la obligación de plantear una cuestión prejudici</w:t>
      </w:r>
      <w:r>
        <w:t>al</w:t>
      </w:r>
    </w:p>
    <w:p w14:paraId="2395E256" w14:textId="77777777" w:rsidR="00A8138F" w:rsidRDefault="00A8138F" w:rsidP="00A8138F">
      <w:pPr>
        <w:pStyle w:val="TextoNormal"/>
      </w:pPr>
    </w:p>
    <w:p w14:paraId="74DC653F" w14:textId="77777777" w:rsidR="00A8138F" w:rsidRDefault="00A8138F" w:rsidP="00A8138F">
      <w:pPr>
        <w:pStyle w:val="TextoNormal"/>
      </w:pPr>
      <w:r>
        <w:t xml:space="preserve">(i) </w:t>
      </w:r>
      <w:r w:rsidRPr="00A8138F">
        <w:rPr>
          <w:i/>
        </w:rPr>
        <w:t>La distinción entre procedimientos constitucionales es artificiosa: el contenido de los derechos fundamentales y las libertades públicas no puede variar según el procedimiento constitucional concernido</w:t>
      </w:r>
    </w:p>
    <w:p w14:paraId="168041CD" w14:textId="77777777" w:rsidR="00A8138F" w:rsidRDefault="00A8138F" w:rsidP="00A8138F">
      <w:pPr>
        <w:pStyle w:val="TextoNormal"/>
      </w:pPr>
    </w:p>
    <w:p w14:paraId="29A082D6" w14:textId="77777777" w:rsidR="00A8138F" w:rsidRDefault="00A8138F" w:rsidP="00A8138F">
      <w:pPr>
        <w:pStyle w:val="TextoNormal"/>
      </w:pPr>
      <w:r>
        <w:t>73. La sentencia de la que discrepo hace un sorprendente esfuerzo en intentar distinguir el objeto del recurso de inconstitucionalidad del objeto del recurso de amparo, en un primer momento, y del de la cuestión de inconstitucionalidad en un segundo momento, en lo que se refiere a la interrelación de estos procedimientos con el Derecho de la Unión, para excluir cualquier interferencia con el mismo en el caso del recurso de inconstitucionalidad.</w:t>
      </w:r>
    </w:p>
    <w:p w14:paraId="512024C4" w14:textId="77777777" w:rsidR="00A8138F" w:rsidRDefault="00A8138F" w:rsidP="00A8138F">
      <w:pPr>
        <w:pStyle w:val="TextoNormal"/>
      </w:pPr>
    </w:p>
    <w:p w14:paraId="3BD74A02" w14:textId="77777777" w:rsidR="00A8138F" w:rsidRDefault="00A8138F" w:rsidP="00A8138F">
      <w:pPr>
        <w:pStyle w:val="TextoNormal"/>
      </w:pPr>
      <w:r>
        <w:t xml:space="preserve">74. Para la mayoría es normal que este tribunal plantease una cuestión prejudicial en el conocido como asunto </w:t>
      </w:r>
      <w:r w:rsidRPr="00A8138F">
        <w:rPr>
          <w:i/>
        </w:rPr>
        <w:t>Melloni</w:t>
      </w:r>
      <w:r>
        <w:t xml:space="preserve"> —la primera y única cuestión prejudicial planteada hasta la fecha— porque se trataba de dilucidar el contenido vinculante de los derechos fundamentales “cuando se proyectan </w:t>
      </w:r>
      <w:r w:rsidRPr="00A8138F">
        <w:rPr>
          <w:i/>
        </w:rPr>
        <w:t>ad extra</w:t>
      </w:r>
      <w:r>
        <w:t>”, es decir, respecto “a la actuación de los poderes públicos extranjeros”. Y, en lo que se refiere a la cuestión de inconstitucionalidad, el punto de conexión con el Derecho de la Unión residiría únicamente en la inadmisión de la cuestión si hubiera alguna duda sobre la incompatibilidad de la ley nacional con el Derecho de la Unión, pues ello sería causa de inaplicación de la norma, y el juez nacional debe plantear la cuestión prejudicial antes que la cuestión de inconstitucionalidad (el control europeo precede al de constitucionalidad).</w:t>
      </w:r>
    </w:p>
    <w:p w14:paraId="06DF2CDA" w14:textId="77777777" w:rsidR="00A8138F" w:rsidRDefault="00A8138F" w:rsidP="00A8138F">
      <w:pPr>
        <w:pStyle w:val="TextoNormal"/>
      </w:pPr>
    </w:p>
    <w:p w14:paraId="004D6F7C" w14:textId="77777777" w:rsidR="00A8138F" w:rsidRDefault="00A8138F" w:rsidP="00A8138F">
      <w:pPr>
        <w:pStyle w:val="TextoNormal"/>
      </w:pPr>
      <w:r>
        <w:t>75. Pero entiende que el recurso de inconstitucionalidad es independiente del planteamiento de una cuestión prejudicial, ya sea porque opera un juicio abstracto, que no depende del juicio de aplicabilidad previo —como ocurre en la cuestión de inconstitucionalidad—, o porque el Derecho de la Unión no integra el canon de constitucionalidad —lo que la diferencia del recurso de amparo que integra la jurisprudencia por la vía del artículo 10.2 CE—.</w:t>
      </w:r>
    </w:p>
    <w:p w14:paraId="4FF9375D" w14:textId="77777777" w:rsidR="00A8138F" w:rsidRDefault="00A8138F" w:rsidP="00A8138F">
      <w:pPr>
        <w:pStyle w:val="TextoNormal"/>
      </w:pPr>
    </w:p>
    <w:p w14:paraId="3B925A0F" w14:textId="77777777" w:rsidR="00A8138F" w:rsidRDefault="00A8138F" w:rsidP="00A8138F">
      <w:pPr>
        <w:pStyle w:val="TextoNormal"/>
      </w:pPr>
      <w:r>
        <w:t>76. Esta distinción no solo es artificiosa, sino que no puede sostenerse a la luz del objeto y finalidad de la cuestión prejudicial que, como acabo de exponer, es simplemente dar una interpretación del Derecho de la Unión cuando sea necesaria para resolver el procedimiento.</w:t>
      </w:r>
    </w:p>
    <w:p w14:paraId="2457368F" w14:textId="77777777" w:rsidR="00A8138F" w:rsidRDefault="00A8138F" w:rsidP="00A8138F">
      <w:pPr>
        <w:pStyle w:val="TextoNormal"/>
      </w:pPr>
    </w:p>
    <w:p w14:paraId="2FE1CFC6" w14:textId="77777777" w:rsidR="00A8138F" w:rsidRDefault="00A8138F" w:rsidP="00A8138F">
      <w:pPr>
        <w:pStyle w:val="TextoNormal"/>
      </w:pPr>
      <w:r>
        <w:t>77. La sentencia pretende configurar nuestro Derecho constitucional nacional como un Derecho estanco cuando se trata de enjuiciar la constitucionalidad de las normas nacionales cuando, en el momento actual, existen elementos de conexión entre el Derecho constitucional europeo y el Derecho constitucional nacional, y entre la jurisprudencia de los tribunales constitucionales nacionales y la del Tribunal de Justicia.</w:t>
      </w:r>
    </w:p>
    <w:p w14:paraId="04A7DB37" w14:textId="77777777" w:rsidR="00A8138F" w:rsidRDefault="00A8138F" w:rsidP="00A8138F">
      <w:pPr>
        <w:pStyle w:val="TextoNormal"/>
      </w:pPr>
    </w:p>
    <w:p w14:paraId="0D0E76B7" w14:textId="77777777" w:rsidR="00A8138F" w:rsidRDefault="00A8138F" w:rsidP="00A8138F">
      <w:pPr>
        <w:pStyle w:val="TextoNormal"/>
      </w:pPr>
      <w:r>
        <w:t>78. No solo es que haya cierta “permeabilidad” entre ambos sistemas, sino que el contenido de los derechos fundamentales y libertades públicas de nuestro texto constitucional, en aplicación del artículo 10.2 CE, debe integrarse necesariamente con los derechos y libertades reconocidos tanto en los tratados fundacionales, como en la Carta de los derechos fundamentales de la Unión Europea (instrumentos jurídicos con el mismo valor jurídico conforme al artículo 6, apartado primero, TUE); esto es además, como luego desarrollaré, una exigencia que deriva del principio de primacía del Derecho de la Unión, que también opera respecto a las normas constitucionales (sentencia del Tribunal de Justicia de las Comunidades Europeas de 17 de diciembre de 1970, asunto C-11/70</w:t>
      </w:r>
      <w:r w:rsidRPr="00A8138F">
        <w:rPr>
          <w:i/>
        </w:rPr>
        <w:t>, Internationale Handelsgesellschaft mbH c. Einfuhr- und Vorratsstelle für Getreide und Futtermitt</w:t>
      </w:r>
      <w:r>
        <w:t>el, § 21, y las que le han seguido).</w:t>
      </w:r>
    </w:p>
    <w:p w14:paraId="64B4F33A" w14:textId="77777777" w:rsidR="00A8138F" w:rsidRDefault="00A8138F" w:rsidP="00A8138F">
      <w:pPr>
        <w:pStyle w:val="TextoNormal"/>
      </w:pPr>
    </w:p>
    <w:p w14:paraId="581FF212" w14:textId="77777777" w:rsidR="00A8138F" w:rsidRDefault="00A8138F" w:rsidP="00A8138F">
      <w:pPr>
        <w:pStyle w:val="TextoNormal"/>
      </w:pPr>
      <w:r>
        <w:t>79. Esta confluencia impide que se dé un alcance distinto al contenido de estos derechos y libertades según el procedimiento en el que nos encontremos, ya estemos resolviendo un recurso de amparo en el que un ciudadano ha sufrido la infracción de un derecho, ya tengamos que resolver un recurso de inconstitucionalidad contra una norma porque infrinja el mismo derecho. Este es el resultado al que aboca el razonamiento de la mayoría.</w:t>
      </w:r>
    </w:p>
    <w:p w14:paraId="13E0920F" w14:textId="77777777" w:rsidR="00A8138F" w:rsidRDefault="00A8138F" w:rsidP="00A8138F">
      <w:pPr>
        <w:pStyle w:val="TextoNormal"/>
      </w:pPr>
    </w:p>
    <w:p w14:paraId="3E642FE8" w14:textId="77777777" w:rsidR="00A8138F" w:rsidRDefault="00A8138F" w:rsidP="00A8138F">
      <w:pPr>
        <w:pStyle w:val="TextoNormal"/>
      </w:pPr>
      <w:r>
        <w:t>80. De este modo, si surgen dudas sobre el alcance de un derecho o de una libertad y la jurisprudencia del Tribunal de Justicia que la interpreta, será necesario remitir una cuestión prejudicial y solicitar una interpretación del Tribunal de Justicia, si el procedimiento en el que surja la duda no condiciona su planteamiento, pues es evidente que el contenido del derecho o libertad no puede variar, ni podemos darle un trato distinto, según estemos en un recurso de amparo o en un procedimiento de control de constitucionalidad de las leyes. Es decir, no es justificable que en el recurso de amparo sí se pueda plantear una cuestión prejudicial, pero por el contrario, no se pueda en un recurso de inconstitucionalidad.</w:t>
      </w:r>
    </w:p>
    <w:p w14:paraId="0E81A2B7" w14:textId="77777777" w:rsidR="00A8138F" w:rsidRDefault="00A8138F" w:rsidP="00A8138F">
      <w:pPr>
        <w:pStyle w:val="TextoNormal"/>
      </w:pPr>
    </w:p>
    <w:p w14:paraId="72887EF8" w14:textId="77777777" w:rsidR="00A8138F" w:rsidRDefault="00A8138F" w:rsidP="00A8138F">
      <w:pPr>
        <w:pStyle w:val="TextoNormal"/>
      </w:pPr>
      <w:r>
        <w:t>81. Precisamente, lo que ocurre en el presente recurso de inconstitucionalidad es que se tiene que dilucidar si la Ley de amnistía respeta o no el Estado de Derecho, y los principios que del mismo derivan, siendo el Estado de Derecho un valor regulado en el artículo 2 TUE, interpretado por la jurisprudencia del Tribunal de Justicia de la Unión Europea y que es un principio que comparte con los Estados miembros.</w:t>
      </w:r>
    </w:p>
    <w:p w14:paraId="203A8254" w14:textId="77777777" w:rsidR="00A8138F" w:rsidRDefault="00A8138F" w:rsidP="00A8138F">
      <w:pPr>
        <w:pStyle w:val="TextoNormal"/>
      </w:pPr>
    </w:p>
    <w:p w14:paraId="337B696D" w14:textId="77777777" w:rsidR="00A8138F" w:rsidRDefault="00A8138F" w:rsidP="00A8138F">
      <w:pPr>
        <w:pStyle w:val="TextoNormal"/>
      </w:pPr>
      <w:r>
        <w:t>(ii</w:t>
      </w:r>
      <w:r w:rsidRPr="00A8138F">
        <w:rPr>
          <w:i/>
        </w:rPr>
        <w:t>) En nuestra doctrina no existe tal dicotomía entre el recurso de amparo y el recurso de inconstitucionalid</w:t>
      </w:r>
      <w:r>
        <w:t>ad</w:t>
      </w:r>
    </w:p>
    <w:p w14:paraId="29B197A3" w14:textId="77777777" w:rsidR="00A8138F" w:rsidRDefault="00A8138F" w:rsidP="00A8138F">
      <w:pPr>
        <w:pStyle w:val="TextoNormal"/>
      </w:pPr>
    </w:p>
    <w:p w14:paraId="28460D53" w14:textId="77777777" w:rsidR="00A8138F" w:rsidRDefault="00A8138F" w:rsidP="00A8138F">
      <w:pPr>
        <w:pStyle w:val="TextoNormal"/>
      </w:pPr>
      <w:r>
        <w:t>82. Es más, la dicotomía que pretende establecer ahora la sentencia, para denegar el planteamiento de una cuestión prejudicial, resulta incoherente a la luz de la doctrina que este tribunal tiene ya sentada en su jurisprudencia sobre el Derecho de la Unión.</w:t>
      </w:r>
    </w:p>
    <w:p w14:paraId="3C282F16" w14:textId="77777777" w:rsidR="00A8138F" w:rsidRDefault="00A8138F" w:rsidP="00A8138F">
      <w:pPr>
        <w:pStyle w:val="TextoNormal"/>
      </w:pPr>
    </w:p>
    <w:p w14:paraId="7A229C30" w14:textId="77777777" w:rsidR="00A8138F" w:rsidRDefault="00A8138F" w:rsidP="00A8138F">
      <w:pPr>
        <w:pStyle w:val="TextoNormal"/>
      </w:pPr>
      <w:r>
        <w:t>83. Así, por un lado, se considera el garante del Derecho de la Unión cuando resuelve recursos de amparo, dado que le corresponde “velar” por el respeto del principio de primacía del Derecho de la Unión cuando exista una interpretación auténtica efectuada por el propio Tribunal de Justicia de la Unión Europea [STC 232/2015, de 5 de noviembre, FJ 5 c); STC 31/2019, de 28 de febrero, FJ 4, y, más recientemente, STC 121/2025, de 26 de mayo, FJ 3]; pero ahora, en el presente recurso de inconstitucionalidad, la mayoría se olvida de este rol del que tan orgulloso se siente el Tribunal como “valedor del Derecho de la Unión”, porque nos encontramos simplemente ante un procedimiento de control de constitucionalidad de las normas.</w:t>
      </w:r>
    </w:p>
    <w:p w14:paraId="45E61C16" w14:textId="77777777" w:rsidR="00A8138F" w:rsidRDefault="00A8138F" w:rsidP="00A8138F">
      <w:pPr>
        <w:pStyle w:val="TextoNormal"/>
      </w:pPr>
    </w:p>
    <w:p w14:paraId="7A5D9ED7" w14:textId="77777777" w:rsidR="00A8138F" w:rsidRDefault="00A8138F" w:rsidP="00A8138F">
      <w:pPr>
        <w:pStyle w:val="TextoNormal"/>
      </w:pPr>
      <w:r>
        <w:t>84. Es además una dicotomía que no existe en nuestra doctrina, y para demostrar que esto es así basta al efecto la cita de la STC 156/2021, de 16 de septiembre, en la que este tribunal declaró la inconstitucionalidad de parte del Real Decreto-ley 1/2017, de 20 de enero, de medidas urgentes de protección de consumidores en materia de cláusulas suelo, y lo hizo porque resultaba irrazonable a la luz de la jurisprudencia del Tribunal de Justicia, y dicha jurisprudencia se tomó en consideración como valor hermenéutico, con fundamento en el artículo 10.2 CE.</w:t>
      </w:r>
    </w:p>
    <w:p w14:paraId="4579D658" w14:textId="77777777" w:rsidR="00A8138F" w:rsidRDefault="00A8138F" w:rsidP="00A8138F">
      <w:pPr>
        <w:pStyle w:val="TextoNormal"/>
      </w:pPr>
    </w:p>
    <w:p w14:paraId="64DDD587" w14:textId="77777777" w:rsidR="00A8138F" w:rsidRDefault="00A8138F" w:rsidP="00A8138F">
      <w:pPr>
        <w:pStyle w:val="TextoNormal"/>
      </w:pPr>
      <w:r>
        <w:t>85. En este último supuesto, que llevó a una declaración de inconstitucionalidad en el seno de un recurso de inconstitucionalidad, no solo es que tomase en consideración el Derecho de la Unión, sino que este valor hermenéutico lo extendió el Tribunal no solo a “los tratados constitutivos y sus sucesivas reformas” sino también al “Derecho derivado […] así como la interpretación que de tales normas realiza el Tribunal de Justicia de la Unión Europea” [FJ 2 b)]. Debemos recordar que en dicho recurso la jurisprudencia del Tribunal de Justicia concernía el Derecho derivado, en particular, la Directiva 93/13/CEE del Consejo, de 5 de abril de 1993, sobre las cláusulas abusivas en los contratos celebrados con consumidores.</w:t>
      </w:r>
    </w:p>
    <w:p w14:paraId="457DCF68" w14:textId="77777777" w:rsidR="00A8138F" w:rsidRDefault="00A8138F" w:rsidP="00A8138F">
      <w:pPr>
        <w:pStyle w:val="TextoNormal"/>
      </w:pPr>
    </w:p>
    <w:p w14:paraId="6A46D32A" w14:textId="77777777" w:rsidR="00A8138F" w:rsidRDefault="00A8138F" w:rsidP="00A8138F">
      <w:pPr>
        <w:pStyle w:val="TextoNormal"/>
      </w:pPr>
      <w:r>
        <w:t>86. Por ello precisamente debe integrarse con más razón aún la jurisprudencia del Tribunal de Justicia para determinar la compatibilidad de la Ley de amnistía con el Derecho de la Unión, porque no afecta a cualquier derecho o a cualquier precepto de los tratados, sino más concretamente al valor del Estado de Derecho y la independencia judicial que se consagra en los artículos 2 y 19 TUE y que, conforme a la jurisprudencia del Tribunal de Justicia a la que ya he hecho referencia, define la identidad de la Unión y establecen una obligación de resultado que no puede variar de un Estado a otro.</w:t>
      </w:r>
    </w:p>
    <w:p w14:paraId="73722F65" w14:textId="77777777" w:rsidR="00A8138F" w:rsidRDefault="00A8138F" w:rsidP="00A8138F">
      <w:pPr>
        <w:pStyle w:val="TextoNormal"/>
      </w:pPr>
    </w:p>
    <w:p w14:paraId="27A6F6F2" w14:textId="77777777" w:rsidR="00A8138F" w:rsidRDefault="00A8138F" w:rsidP="00A8138F">
      <w:pPr>
        <w:pStyle w:val="TextoNormal"/>
      </w:pPr>
      <w:r>
        <w:t>87. Y, como han surgido dudas de interpretación, es necesario plantear una cuestión prejudicial al Tribunal de Justicia para solventar dichas dudas, tal y como nos obliga el artículo 267, párrafo tercero, TFUE, al ser un órgano de última instancia.</w:t>
      </w:r>
    </w:p>
    <w:p w14:paraId="356C13A4" w14:textId="77777777" w:rsidR="00A8138F" w:rsidRDefault="00A8138F" w:rsidP="00A8138F">
      <w:pPr>
        <w:pStyle w:val="TextoNormal"/>
      </w:pPr>
    </w:p>
    <w:p w14:paraId="6CF0D39F" w14:textId="77777777" w:rsidR="00A8138F" w:rsidRDefault="00A8138F" w:rsidP="00A8138F">
      <w:pPr>
        <w:pStyle w:val="TextoNormal"/>
      </w:pPr>
      <w:r>
        <w:t>(iii</w:t>
      </w:r>
      <w:r w:rsidRPr="00A8138F">
        <w:rPr>
          <w:i/>
        </w:rPr>
        <w:t>) El Derecho de la Unión juega un papel importante en procedimientos distintos al recurso de ampa</w:t>
      </w:r>
      <w:r>
        <w:t>ro</w:t>
      </w:r>
    </w:p>
    <w:p w14:paraId="2DDE68CA" w14:textId="77777777" w:rsidR="00A8138F" w:rsidRDefault="00A8138F" w:rsidP="00A8138F">
      <w:pPr>
        <w:pStyle w:val="TextoNormal"/>
      </w:pPr>
    </w:p>
    <w:p w14:paraId="22D903A9" w14:textId="77777777" w:rsidR="00A8138F" w:rsidRDefault="00A8138F" w:rsidP="00A8138F">
      <w:pPr>
        <w:pStyle w:val="TextoNormal"/>
      </w:pPr>
      <w:r>
        <w:t>88. Más allá de los procedimientos que se citan por la mayoría, en su intento de hacer del recurso de inconstitucionalidad un procedimiento blindado a la cuestión prejudicial, a diferencia del recurso de amparo —aunque en este procedimiento solo admite el planteamiento de la cuestión prejudicial cuando esté concernida una proyecció</w:t>
      </w:r>
      <w:r w:rsidRPr="00A8138F">
        <w:rPr>
          <w:i/>
        </w:rPr>
        <w:t>n ad ext</w:t>
      </w:r>
      <w:r>
        <w:t>ra, respecto a poderes públicos extranjeros, de un derecho fundamental—, debo recordar que existen otros procedimientos constitucionales en los que el Derecho de la Unión también juega un papel importante.</w:t>
      </w:r>
    </w:p>
    <w:p w14:paraId="702EA6A5" w14:textId="77777777" w:rsidR="00A8138F" w:rsidRDefault="00A8138F" w:rsidP="00A8138F">
      <w:pPr>
        <w:pStyle w:val="TextoNormal"/>
      </w:pPr>
    </w:p>
    <w:p w14:paraId="595CC035" w14:textId="77777777" w:rsidR="00A8138F" w:rsidRDefault="00A8138F" w:rsidP="00A8138F">
      <w:pPr>
        <w:pStyle w:val="TextoNormal"/>
      </w:pPr>
      <w:r>
        <w:t>89. Así ocurre, en particular, con los conflictos competenciales, donde si bien este tribunal ha reconocido que no altera el reparto constitucional interno de competencia, lo cierto es que reconoce que el Derecho de la Unión es un “elemento interpretativo útil para encuadrar materialmente la cuestión” (STC 33/2005, de 17 de febrero). En particular, y en lo que refiere a estos procedimientos, hemos dicho en nuestra doctrina que “prestar atención a cómo se ha configurado una institución por la directiva comunitaria puede ser no solo útil, sino incluso obligado para aplicar correctamente sobre ella el esquema interno de distribución competencial” (STC 13/1998, de 22 de enero); enfatizando incluso que “[e]n la incorporación de las directivas al ordenamiento interno como, en general, en la ejecución del Derecho de la Unión por los poderes públicos españoles se deben conciliar, en la mayor medida posible, el orden interno de distribución de poderes, por un lado, y el cumplimiento pleno y tempestivo de las obligaciones del Estado en el seno de la Unión, por otro” (STC 1/2012, de 13 de enero).</w:t>
      </w:r>
    </w:p>
    <w:p w14:paraId="6AF9CD66" w14:textId="77777777" w:rsidR="00A8138F" w:rsidRDefault="00A8138F" w:rsidP="00A8138F">
      <w:pPr>
        <w:pStyle w:val="TextoNormal"/>
      </w:pPr>
    </w:p>
    <w:p w14:paraId="6C4784AB" w14:textId="77777777" w:rsidR="00A8138F" w:rsidRDefault="00A8138F" w:rsidP="00A8138F">
      <w:pPr>
        <w:pStyle w:val="TextoNormal"/>
      </w:pPr>
      <w:r>
        <w:t>90. En estos supuestos en que, en palabras del Tribunal, “es obligado” tomar en consideración el Derecho de la Unión, si se plantease alguna duda de interpretación, el criterio que acaba de sentar el Pleno en esta sentencia impediría también que pudiésemos plantear una cuestión prejudicial. Esto supondría, una vez más, una interpretación contraria a la finalidad del mecanismo de la cuestión prejudicial regulada en el artículo 267, párrafo tercero, TFUE, que, como ya he explicado, consiste, precisamente, en dirimir las dudas de Derecho de la Unión que tenga un órgano jurisdiccional nacional al resolver una controversia de la que conoce.</w:t>
      </w:r>
    </w:p>
    <w:p w14:paraId="7EBE79DE" w14:textId="77777777" w:rsidR="00A8138F" w:rsidRDefault="00A8138F" w:rsidP="00A8138F">
      <w:pPr>
        <w:pStyle w:val="TextoNormal"/>
      </w:pPr>
    </w:p>
    <w:p w14:paraId="49072515" w14:textId="77777777" w:rsidR="00A8138F" w:rsidRDefault="00A8138F" w:rsidP="00A8138F">
      <w:pPr>
        <w:pStyle w:val="TextoNormal"/>
      </w:pPr>
      <w:r>
        <w:t>d</w:t>
      </w:r>
      <w:r w:rsidRPr="00A8138F">
        <w:rPr>
          <w:i/>
        </w:rPr>
        <w:t>) Sobre la contradicción interna del razonamiento que lleva a la mayoría a afirmar que en un recurso de inconstitucionalidad no cabe plantear una cuestión prejudici</w:t>
      </w:r>
      <w:r>
        <w:t>al</w:t>
      </w:r>
    </w:p>
    <w:p w14:paraId="06E3A6B6" w14:textId="77777777" w:rsidR="00A8138F" w:rsidRDefault="00A8138F" w:rsidP="00A8138F">
      <w:pPr>
        <w:pStyle w:val="TextoNormal"/>
      </w:pPr>
    </w:p>
    <w:p w14:paraId="3018FEBB" w14:textId="77777777" w:rsidR="00A8138F" w:rsidRDefault="00A8138F" w:rsidP="00A8138F">
      <w:pPr>
        <w:pStyle w:val="TextoNormal"/>
      </w:pPr>
      <w:r>
        <w:t>(i</w:t>
      </w:r>
      <w:r w:rsidRPr="00A8138F">
        <w:rPr>
          <w:i/>
        </w:rPr>
        <w:t>) No es jurídicamente coherente excluir el planteamiento de cuestiones prejudiciales y la integración del Derecho de la Unión en el canon de constitucionalidad, y al mismo tiempo aceptar su uso como criterio “interpretativ</w:t>
      </w:r>
      <w:r>
        <w:t>o”</w:t>
      </w:r>
    </w:p>
    <w:p w14:paraId="4262B8B0" w14:textId="77777777" w:rsidR="00A8138F" w:rsidRDefault="00A8138F" w:rsidP="00A8138F">
      <w:pPr>
        <w:pStyle w:val="TextoNormal"/>
      </w:pPr>
    </w:p>
    <w:p w14:paraId="2B253091" w14:textId="77777777" w:rsidR="00A8138F" w:rsidRDefault="00A8138F" w:rsidP="00A8138F">
      <w:pPr>
        <w:pStyle w:val="TextoNormal"/>
      </w:pPr>
      <w:r>
        <w:t>91. Finalmente, y tras la deliberación que tuvo lugar en el Pleno, la mayoría aprobó introducir un nuevo párrafo en la sentencia para dejar constancia de que “conoce que los valores de la Unión —y en particular del Estado de Derecho— definen la identidad de la Unión Europea”, y que, como estos valores también están en la Constitución, puede utilizarlos como parámetro de interpretación.</w:t>
      </w:r>
    </w:p>
    <w:p w14:paraId="3A9C0C89" w14:textId="77777777" w:rsidR="00A8138F" w:rsidRDefault="00A8138F" w:rsidP="00A8138F">
      <w:pPr>
        <w:pStyle w:val="TextoNormal"/>
      </w:pPr>
    </w:p>
    <w:p w14:paraId="5EF05438" w14:textId="77777777" w:rsidR="00A8138F" w:rsidRDefault="00A8138F" w:rsidP="00A8138F">
      <w:pPr>
        <w:pStyle w:val="TextoNormal"/>
      </w:pPr>
      <w:r>
        <w:t>92. Esta afirmación confirma la incoherencia del razonamiento que la mayoría ha utilizado para sostener que no se puede plantear una cuestión prejudicial en el presente procedimiento, porque se trata de un recurso de inconstitucionalidad, en el cual —según mantienen— no hay posible relación con la cuestión prejudicial. Y esto es así porque no resulta coherente afirmar, al mismo tiempo, que en los recursos de inconstitucionalidad no cabe plantear una cuestión prejudicial porque el objeto es distinto al de la cuestión prejudicial, y defender, sin embargo, que el Derecho de la Unión puede emplearse como criterio interpretativo.</w:t>
      </w:r>
    </w:p>
    <w:p w14:paraId="40EB71C2" w14:textId="77777777" w:rsidR="00A8138F" w:rsidRDefault="00A8138F" w:rsidP="00A8138F">
      <w:pPr>
        <w:pStyle w:val="TextoNormal"/>
      </w:pPr>
    </w:p>
    <w:p w14:paraId="6FEF5B99" w14:textId="77777777" w:rsidR="00A8138F" w:rsidRDefault="00A8138F" w:rsidP="00A8138F">
      <w:pPr>
        <w:pStyle w:val="TextoNormal"/>
      </w:pPr>
      <w:r>
        <w:t>93. Si el Derecho de la Unión es relevante para resolver la controversia de la que conoce este tribunal —y ya he puesto de manifiesto que así es en un gran número de procedimientos de control de constitucionalidad de las leyes— entonces no solo podrá, sino que estará obligado a plantear una cuestión prejudicial en los términos del artículo 267, párrafo tercero, TFUE.</w:t>
      </w:r>
    </w:p>
    <w:p w14:paraId="4AA8DB03" w14:textId="77777777" w:rsidR="00A8138F" w:rsidRDefault="00A8138F" w:rsidP="00A8138F">
      <w:pPr>
        <w:pStyle w:val="TextoNormal"/>
      </w:pPr>
    </w:p>
    <w:p w14:paraId="04BAC9E3" w14:textId="77777777" w:rsidR="00A8138F" w:rsidRDefault="00A8138F" w:rsidP="00A8138F">
      <w:pPr>
        <w:pStyle w:val="TextoNormal"/>
      </w:pPr>
      <w:r>
        <w:t xml:space="preserve">94. Cabe recordar además que con arreglo a la jurisprudencia del Tribunal de Justicia, existe un interés manifiesto de la Unión, con el fin de evitar futuras divergencias, en que “toda disposición de Derecho comunitario reciba una interpretación uniforme, cualesquiera que sean las condiciones en que tenga que aplicarse” (sentencia del Tribunal de Justicia de las Comunidades Europeas de 18 de octubre de 1990, asunto C-297/88, </w:t>
      </w:r>
      <w:r w:rsidRPr="00A8138F">
        <w:rPr>
          <w:i/>
        </w:rPr>
        <w:t>Massam Dzodzi c. Estado belga</w:t>
      </w:r>
      <w:r>
        <w:t>, § 37). Por lo tanto, si se toman en consideración determinadas disposiciones del Derecho de la Unión, es evidente que se puede plantear una cuestión prejudicial si existen dudas sobre el alcance de las mismas, y el Tribunal de Justicia se limitará a “deducir de la letra y del espíritu de estas el significado de las normas comunitarias que se trate”</w:t>
      </w:r>
      <w:r w:rsidRPr="00A8138F">
        <w:rPr>
          <w:i/>
        </w:rPr>
        <w:t xml:space="preserve"> (Dzod</w:t>
      </w:r>
      <w:r>
        <w:t>zi, § 38).</w:t>
      </w:r>
    </w:p>
    <w:p w14:paraId="7DC50234" w14:textId="77777777" w:rsidR="00A8138F" w:rsidRDefault="00A8138F" w:rsidP="00A8138F">
      <w:pPr>
        <w:pStyle w:val="TextoNormal"/>
      </w:pPr>
    </w:p>
    <w:p w14:paraId="5CC1290F" w14:textId="77777777" w:rsidR="00A8138F" w:rsidRDefault="00A8138F" w:rsidP="00A8138F">
      <w:pPr>
        <w:pStyle w:val="TextoNormal"/>
      </w:pPr>
      <w:r>
        <w:t>95. En cualquier caso, la regla de que, a los efectos del recurso de inconstitucionalidad, el Derecho de la Unión es para este tribunal un criterio interpretativo, al mismo nivel que la jurisprudencia del Tribunal Europeo de Derechos Humanos, no puede erigirse en un principio general a aplicar sin discernir si la norma nacional cuya constitucionalidad se está examinando entra dentro del ámbito de aplicación del Derecho de la Unión, o cuál es la norma de Derecho de la Unión que está concernida.</w:t>
      </w:r>
    </w:p>
    <w:p w14:paraId="366E4992" w14:textId="77777777" w:rsidR="00A8138F" w:rsidRDefault="00A8138F" w:rsidP="00A8138F">
      <w:pPr>
        <w:pStyle w:val="TextoNormal"/>
      </w:pPr>
    </w:p>
    <w:p w14:paraId="68F8A9A5" w14:textId="77777777" w:rsidR="00A8138F" w:rsidRDefault="00A8138F" w:rsidP="00A8138F">
      <w:pPr>
        <w:pStyle w:val="TextoNormal"/>
      </w:pPr>
      <w:r>
        <w:t>96. Efectivamente, la regla general que este tribunal tiene consagrada en su doctrina con arreglo a la cual el Derecho de la Unión no integra el canon de constitucionalidad, es la que normalmente debe regir en aquellos supuestos en los que se pida a este tribunal que determine directamente que existe una contradicción entre el Derecho nacional y el Derecho de la Unión, al margen de nuestro texto constitucional, pues dicha declaración solo compete al Tribunal de Justicia. En este sentido, son muchos los recursos en los que se nos plantea la posible contradicción entre normas nacionales y las directivas comunitarias y otras disposiciones de Derecho derivado que no conciernen derechos fundamentales ni libertades públicas, contradicción sobre la que este tribunal no puede pronunciarse.</w:t>
      </w:r>
    </w:p>
    <w:p w14:paraId="260BDB25" w14:textId="77777777" w:rsidR="00A8138F" w:rsidRDefault="00A8138F" w:rsidP="00A8138F">
      <w:pPr>
        <w:pStyle w:val="TextoNormal"/>
      </w:pPr>
    </w:p>
    <w:p w14:paraId="193E56D1" w14:textId="77777777" w:rsidR="00A8138F" w:rsidRDefault="00A8138F" w:rsidP="00A8138F">
      <w:pPr>
        <w:pStyle w:val="TextoNormal"/>
      </w:pPr>
      <w:r>
        <w:t>97. Pero esta regla no puede aplicarse siempre, porque, por ejemplo, cuando estamos ante una situación regulada por el Derecho de la Unión, la Carta de los derechos fundamentales de la Unión Europea y los principios y valores que recogen los tratados, no pueden tener un mero valor hermenéutico similar al que damos a la jurisprudencia del Tribunal Europeo de Derechos Humanos.</w:t>
      </w:r>
    </w:p>
    <w:p w14:paraId="0427F984" w14:textId="77777777" w:rsidR="00A8138F" w:rsidRDefault="00A8138F" w:rsidP="00A8138F">
      <w:pPr>
        <w:pStyle w:val="TextoNormal"/>
      </w:pPr>
    </w:p>
    <w:p w14:paraId="01CF0FB4" w14:textId="77777777" w:rsidR="00A8138F" w:rsidRDefault="00A8138F" w:rsidP="00A8138F">
      <w:pPr>
        <w:pStyle w:val="TextoNormal"/>
      </w:pPr>
      <w:r>
        <w:t xml:space="preserve">98. Esta reflexión no es nueva, pues quedó también reflejada en los votos particulares que hicieron las magistradas doña Adela Asua Batarrita y doña Encarnación Roca Trías a la STC 26/2014, de 13 de febrero (sentencia dictada en el asunto </w:t>
      </w:r>
      <w:r w:rsidRPr="00A8138F">
        <w:rPr>
          <w:i/>
        </w:rPr>
        <w:t>Melloni</w:t>
      </w:r>
      <w:r>
        <w:t>), explicando, respectivamente, que cuando estemos ante supuestos que entran de lleno en el ámbito de aplicación del Derecho de la Unión, “lo que hay que aplicar son única y exclusivamente los derechos fundamentales de la Unión […] tal y como han sido específicamente interpretados […] por el Tribunal de Justicia”; e, igualmente, que “equiparar en la sentencia ambos niveles de protección, Tribunal de Justicia de la Unión Europea y Tribunal Europeo de Derechos Humanos, pone en entredicho principios [...] básicos para la construcción europea”, pues “[e]n el ámbito de aplicación del Derecho de la Unión, el contenido de los derechos fundamentales queda fijado por sus normas y por la interpretación que de ellas y de los derechos de la Carta haga el Tribunal de Justicia de la Unión Europea”.</w:t>
      </w:r>
    </w:p>
    <w:p w14:paraId="59437C9C" w14:textId="77777777" w:rsidR="00A8138F" w:rsidRDefault="00A8138F" w:rsidP="00A8138F">
      <w:pPr>
        <w:pStyle w:val="TextoNormal"/>
      </w:pPr>
    </w:p>
    <w:p w14:paraId="079C44DF" w14:textId="77777777" w:rsidR="00A8138F" w:rsidRDefault="00A8138F" w:rsidP="00A8138F">
      <w:pPr>
        <w:pStyle w:val="TextoNormal"/>
      </w:pPr>
      <w:r>
        <w:t>99. Once años después de aquella sentencia se nos plantea de nuevo un problema similar, si bien esta vez están concernidos el valor del Estado de Derecho y la cláusula de independencia judicial, que derivan de los artículos 2 y 19 TUE, y estas disposiciones se refieren a un ámbito que está cubierto por el Derecho de la Unión, y que, por lo tanto, deben tomarse en consideración cuando los órganos jurisdiccionales nacionales —incluidos los tribunales constitucionales— enjuician si una norma nacional respeta esos principios (pueden verse en este sentido las SSTJUE de 27 de febrero de 2018, asunto C-64/16</w:t>
      </w:r>
      <w:r w:rsidRPr="00A8138F">
        <w:rPr>
          <w:i/>
        </w:rPr>
        <w:t>, AS</w:t>
      </w:r>
      <w:r>
        <w:t>JP, § 29, y de 24 de junio de 2019, asunto C-619/18</w:t>
      </w:r>
      <w:r w:rsidRPr="00A8138F">
        <w:rPr>
          <w:i/>
        </w:rPr>
        <w:t>, Comisión Europea c. República de Polon</w:t>
      </w:r>
      <w:r>
        <w:t>ia, § 51).</w:t>
      </w:r>
    </w:p>
    <w:p w14:paraId="6493759A" w14:textId="77777777" w:rsidR="00A8138F" w:rsidRDefault="00A8138F" w:rsidP="00A8138F">
      <w:pPr>
        <w:pStyle w:val="TextoNormal"/>
      </w:pPr>
    </w:p>
    <w:p w14:paraId="0EB3E6AB" w14:textId="77777777" w:rsidR="00A8138F" w:rsidRDefault="00A8138F" w:rsidP="00A8138F">
      <w:pPr>
        <w:pStyle w:val="TextoNormal"/>
      </w:pPr>
      <w:r>
        <w:t>100. La respuesta que da la sentencia que ahora se ha aprobado vuelve a ser la misma una década después, pues este tribunal sigue sin reconocer que cuando estamos ante situaciones en las que se aplica el Derecho de la Unión, el “canon de constitucionalidad” debe abrirse al “canon constitucional europeo”.</w:t>
      </w:r>
    </w:p>
    <w:p w14:paraId="20B9E1E0" w14:textId="77777777" w:rsidR="00A8138F" w:rsidRDefault="00A8138F" w:rsidP="00A8138F">
      <w:pPr>
        <w:pStyle w:val="TextoNormal"/>
      </w:pPr>
    </w:p>
    <w:p w14:paraId="1E3F7FB3" w14:textId="77777777" w:rsidR="00A8138F" w:rsidRDefault="00A8138F" w:rsidP="00A8138F">
      <w:pPr>
        <w:pStyle w:val="TextoNormal"/>
      </w:pPr>
      <w:r>
        <w:t>101. La postura que sostiene la sentencia es una postura inconciliable con el proceso de integración europea, que merma la efectividad de los derechos fundamentales y de las libertades que reconoce el Derecho de la Unión; es más, es una postura en la que este Tribunal Constitucional se ha quedado ya solo en el espacio jurídico europeo, donde el resto de tribunales constitucionales ya han asumido el rol que les corresponde a estos efectos, existiendo algunos que incluso llegan a revisar la legislación interna aplicando directamente la Carta de los derechos fundamentales de la Unión Europea como criterio de control [así lo viene haciendo el Tribunal Constitucional federal alemán desde la sentencia de 6 de noviembre de 2019 (1 BvR 276/17), derecho al olvido II, o el Tribunal Constitucional austriaco desde la senten</w:t>
      </w:r>
      <w:r w:rsidRPr="00A8138F">
        <w:rPr>
          <w:i/>
        </w:rPr>
        <w:t>cia Erkenn</w:t>
      </w:r>
      <w:r>
        <w:t>tnis, de 14 de marzo de 2012].</w:t>
      </w:r>
    </w:p>
    <w:p w14:paraId="394DDC68" w14:textId="77777777" w:rsidR="00A8138F" w:rsidRDefault="00A8138F" w:rsidP="00A8138F">
      <w:pPr>
        <w:pStyle w:val="TextoNormal"/>
      </w:pPr>
    </w:p>
    <w:p w14:paraId="56E60643" w14:textId="77777777" w:rsidR="00A8138F" w:rsidRDefault="00A8138F" w:rsidP="00A8138F">
      <w:pPr>
        <w:pStyle w:val="TextoNormal"/>
      </w:pPr>
      <w:r>
        <w:t>(ii</w:t>
      </w:r>
      <w:r w:rsidRPr="00A8138F">
        <w:rPr>
          <w:i/>
        </w:rPr>
        <w:t>) El respeto al valor del Estado de Derecho (artículo 2 TUE) no se interpreta: se garanti</w:t>
      </w:r>
      <w:r>
        <w:t>za</w:t>
      </w:r>
    </w:p>
    <w:p w14:paraId="5F25A1CE" w14:textId="77777777" w:rsidR="00A8138F" w:rsidRDefault="00A8138F" w:rsidP="00A8138F">
      <w:pPr>
        <w:pStyle w:val="TextoNormal"/>
      </w:pPr>
    </w:p>
    <w:p w14:paraId="6954B19E" w14:textId="77777777" w:rsidR="00A8138F" w:rsidRDefault="00A8138F" w:rsidP="00A8138F">
      <w:pPr>
        <w:pStyle w:val="TextoNormal"/>
      </w:pPr>
      <w:r>
        <w:t>102. En cualquier caso, en el presente recurso de inconstitucionalidad no se le está pidiendo a este tribunal que declare que la Ley de amnistía es contraria al Derecho de la Unión, sino que el motivo de inconstitucionalidad radica en la vulneración del valor del Estado de Derecho, que es un principio que viene reconocido en nuestro texto constitucional. Ahora bien, lo que ocurre es que esta cláusula o valor es común con la del artículo 2 TUE, y además, como ya he explicado, establece una obligación de resultado que no puede variar de un Estado a otro.</w:t>
      </w:r>
    </w:p>
    <w:p w14:paraId="30486F07" w14:textId="77777777" w:rsidR="00A8138F" w:rsidRDefault="00A8138F" w:rsidP="00A8138F">
      <w:pPr>
        <w:pStyle w:val="TextoNormal"/>
      </w:pPr>
    </w:p>
    <w:p w14:paraId="678E0FB6" w14:textId="77777777" w:rsidR="00A8138F" w:rsidRDefault="00A8138F" w:rsidP="00A8138F">
      <w:pPr>
        <w:pStyle w:val="TextoNormal"/>
      </w:pPr>
      <w:r>
        <w:t>103. En consecuencia, el hecho de estar ante valores “comunes”, que establecen obligaciones jurídicas “vinculantes”, y que deben tener el mismo “resultado”, determina que ni el artículo 2 TUE, ni la jurisprudencia del Tribunal de Justicia que lo interpreta, pueden ser un mero criterio interpretativo. Es necesario saber si la Ley de amnistía es tolerable en el sistema de valores de la Unión Europea, pues solo en ese caso podremos concluir que también tiene cabida en nuestro texto constitucional.</w:t>
      </w:r>
    </w:p>
    <w:p w14:paraId="4F7141DD" w14:textId="77777777" w:rsidR="00A8138F" w:rsidRDefault="00A8138F" w:rsidP="00A8138F">
      <w:pPr>
        <w:pStyle w:val="TextoNormal"/>
      </w:pPr>
    </w:p>
    <w:p w14:paraId="234739B0" w14:textId="77777777" w:rsidR="00A8138F" w:rsidRDefault="00A8138F" w:rsidP="00A8138F">
      <w:pPr>
        <w:pStyle w:val="TextoNormal"/>
      </w:pPr>
      <w:r>
        <w:t>C</w:t>
      </w:r>
      <w:r w:rsidRPr="00A8138F">
        <w:rPr>
          <w:i/>
        </w:rPr>
        <w:t>) La sentencia distorsiona la realidad al afirmar que la amnistía otorgada por el legislador orgánico es una cuestión eminentemente nacional, argumento que además no solo no le exime, sino que le obliga al planteamiento de una cuestión prejudici</w:t>
      </w:r>
      <w:r>
        <w:t>al</w:t>
      </w:r>
    </w:p>
    <w:p w14:paraId="18D00641" w14:textId="77777777" w:rsidR="00A8138F" w:rsidRDefault="00A8138F" w:rsidP="00A8138F">
      <w:pPr>
        <w:pStyle w:val="TextoNormal"/>
      </w:pPr>
    </w:p>
    <w:p w14:paraId="51DF7A18" w14:textId="77777777" w:rsidR="00A8138F" w:rsidRDefault="00A8138F" w:rsidP="00A8138F">
      <w:pPr>
        <w:pStyle w:val="TextoNormal"/>
      </w:pPr>
      <w:r>
        <w:t>a</w:t>
      </w:r>
      <w:r w:rsidRPr="00A8138F">
        <w:rPr>
          <w:i/>
        </w:rPr>
        <w:t>) La activación de una cláusula de salvaguarda nacional aboca a un conflicto inédito en nuestro país con el Derecho de la Unión y con su Tribunal de Justic</w:t>
      </w:r>
      <w:r>
        <w:t>ia</w:t>
      </w:r>
    </w:p>
    <w:p w14:paraId="2E006312" w14:textId="77777777" w:rsidR="00A8138F" w:rsidRDefault="00A8138F" w:rsidP="00A8138F">
      <w:pPr>
        <w:pStyle w:val="TextoNormal"/>
      </w:pPr>
    </w:p>
    <w:p w14:paraId="7E20FFAC" w14:textId="77777777" w:rsidR="00A8138F" w:rsidRDefault="00A8138F" w:rsidP="00A8138F">
      <w:pPr>
        <w:pStyle w:val="TextoNormal"/>
      </w:pPr>
      <w:r>
        <w:t>104. No puedo tampoco dejar de mostrar no solo mi desacuerdo, sino también mi preocupación, con el último argumento que la mayoría opone como fundamento para no plantear una cuestión prejudicial al Tribunal de Justicia en el presente recurso de inconstitucionalidad.</w:t>
      </w:r>
    </w:p>
    <w:p w14:paraId="5E2B5DED" w14:textId="77777777" w:rsidR="00A8138F" w:rsidRDefault="00A8138F" w:rsidP="00A8138F">
      <w:pPr>
        <w:pStyle w:val="TextoNormal"/>
      </w:pPr>
    </w:p>
    <w:p w14:paraId="30BDA04E" w14:textId="77777777" w:rsidR="00A8138F" w:rsidRDefault="00A8138F" w:rsidP="00A8138F">
      <w:pPr>
        <w:pStyle w:val="TextoNormal"/>
      </w:pPr>
      <w:r>
        <w:t>105. Explica así la mayoría que “la norma legal concretamente impugnada, aun versando en esencia sobre la exclusión de responsabilidad de carácter punitivo de quienes fueron autores de comportamientos ilícitos de indudable gravedad, está íntimamente relacionada con cuestiones políticas subyacentes —arraigadas en la historia de nuestro país y relativas a la estructura territorial del Estado y a la integración de nuestras nacionalidades y regiones (art. 2 CE)— que son eminentemente nacionales” y que, por ello, “en el ejercicio de la alta responsabilidad que le confiere la Constitución española, no puede eludir, sin que concurra ninguna razón jurídica que así lo exija, el enjuiciamiento constitucional que ahora le corresponde efectuar”.</w:t>
      </w:r>
    </w:p>
    <w:p w14:paraId="3A264CE9" w14:textId="77777777" w:rsidR="00A8138F" w:rsidRDefault="00A8138F" w:rsidP="00A8138F">
      <w:pPr>
        <w:pStyle w:val="TextoNormal"/>
      </w:pPr>
    </w:p>
    <w:p w14:paraId="27694574" w14:textId="77777777" w:rsidR="00A8138F" w:rsidRDefault="00A8138F" w:rsidP="00A8138F">
      <w:pPr>
        <w:pStyle w:val="TextoNormal"/>
      </w:pPr>
      <w:r>
        <w:t>106. Con esta afirmación la mayoría parece pretender construir un supuesto de identidad nacional que le habilite para hacer prevalecer su interpretación constitucional y no seguir la jurisprudencia del Tribunal de Justicia. Se trataría de uno de los límites que, más en la teoría que en la práctica, suelen oponer los tribunales constitucionales para salvaguardar la supremacía de sus constituciones nacionales cuando la aplicación del Derecho de la Unión podría ir en contra de uno de los principios de su estructura nacional, y que encuentra su fundamento en el artículo 4, apartado segundo, TUE, que reconoce que la Unión Europea respeta las identidades nacionales.</w:t>
      </w:r>
    </w:p>
    <w:p w14:paraId="14A240B7" w14:textId="77777777" w:rsidR="00A8138F" w:rsidRDefault="00A8138F" w:rsidP="00A8138F">
      <w:pPr>
        <w:pStyle w:val="TextoNormal"/>
      </w:pPr>
    </w:p>
    <w:p w14:paraId="43F7F741" w14:textId="77777777" w:rsidR="00A8138F" w:rsidRDefault="00A8138F" w:rsidP="00A8138F">
      <w:pPr>
        <w:pStyle w:val="TextoNormal"/>
      </w:pPr>
      <w:r>
        <w:t>107. Dispone el artículo 4, apartado segundo, TUE, que la Unión respetará “la igualdad de los Estados miembros ante los tratados, así como su identidad nacional, inherente a las estructuras fundamentales políticas y constitucionales de estos, también en lo referente a la autonomía local y regional”.</w:t>
      </w:r>
    </w:p>
    <w:p w14:paraId="0724A2A8" w14:textId="77777777" w:rsidR="00A8138F" w:rsidRDefault="00A8138F" w:rsidP="00A8138F">
      <w:pPr>
        <w:pStyle w:val="TextoNormal"/>
      </w:pPr>
    </w:p>
    <w:p w14:paraId="40215CC0" w14:textId="77777777" w:rsidR="00A8138F" w:rsidRDefault="00A8138F" w:rsidP="00A8138F">
      <w:pPr>
        <w:pStyle w:val="TextoNormal"/>
      </w:pPr>
      <w:r>
        <w:t>108. No obstante, este artículo no es una carta blanca a los Estados miembros para dejar sin efecto el Derecho de la Unión y el principio de primacía del mismo, dado que su activación implica abrir un conflicto con el Derecho de la Unión y con el Tribunal de Justicia, que, como veremos, corresponde resolver a este último que tiene al respecto la última palabra.</w:t>
      </w:r>
    </w:p>
    <w:p w14:paraId="42BD96C6" w14:textId="77777777" w:rsidR="00A8138F" w:rsidRDefault="00A8138F" w:rsidP="00A8138F">
      <w:pPr>
        <w:pStyle w:val="TextoNormal"/>
      </w:pPr>
    </w:p>
    <w:p w14:paraId="11863328" w14:textId="77777777" w:rsidR="00A8138F" w:rsidRDefault="00A8138F" w:rsidP="00A8138F">
      <w:pPr>
        <w:pStyle w:val="TextoNormal"/>
      </w:pPr>
      <w:r>
        <w:t>b</w:t>
      </w:r>
      <w:r w:rsidRPr="00A8138F">
        <w:rPr>
          <w:i/>
        </w:rPr>
        <w:t>) No se dan las condiciones que el Derecho de la Unión exige para activar una cláusula de salvaguarda nacion</w:t>
      </w:r>
      <w:r>
        <w:t>al</w:t>
      </w:r>
    </w:p>
    <w:p w14:paraId="1AB04EBF" w14:textId="77777777" w:rsidR="00A8138F" w:rsidRDefault="00A8138F" w:rsidP="00A8138F">
      <w:pPr>
        <w:pStyle w:val="TextoNormal"/>
      </w:pPr>
    </w:p>
    <w:p w14:paraId="14AC9C91" w14:textId="77777777" w:rsidR="00A8138F" w:rsidRDefault="00A8138F" w:rsidP="00A8138F">
      <w:pPr>
        <w:pStyle w:val="TextoNormal"/>
      </w:pPr>
      <w:r>
        <w:t>109. No obstante, no es cierto que nos encontremos ante un problema que afecte a la identidad constitucional de España e incluso, aunque así fuese, este Tribunal Constitucional no puede hacer valer dicho límite sin plantear antes una cuestión prejudicial al Tribunal de Justicia, siendo además así que en el supuesto que nos ocupa se desprende de la jurisprudencia del Tribunal de Justicia que dicho límite es simplemente inoperante pues no cabe oponer la existencia de una identidad nacional que afecte al valor de Estado de Derecho, que es precisamente el valor que define la identidad de la Unión.</w:t>
      </w:r>
    </w:p>
    <w:p w14:paraId="225033B2" w14:textId="77777777" w:rsidR="00A8138F" w:rsidRDefault="00A8138F" w:rsidP="00A8138F">
      <w:pPr>
        <w:pStyle w:val="TextoNormal"/>
      </w:pPr>
    </w:p>
    <w:p w14:paraId="321359DC" w14:textId="77777777" w:rsidR="00A8138F" w:rsidRDefault="00A8138F" w:rsidP="00A8138F">
      <w:pPr>
        <w:pStyle w:val="TextoNormal"/>
      </w:pPr>
      <w:r>
        <w:t>(i</w:t>
      </w:r>
      <w:r w:rsidRPr="00A8138F">
        <w:rPr>
          <w:i/>
        </w:rPr>
        <w:t>) El límite de la identidad constitucional nacional debe referirse a un principio fundamental consagrado en el texto constitucion</w:t>
      </w:r>
      <w:r>
        <w:t>al</w:t>
      </w:r>
    </w:p>
    <w:p w14:paraId="48A0F9AD" w14:textId="77777777" w:rsidR="00A8138F" w:rsidRDefault="00A8138F" w:rsidP="00A8138F">
      <w:pPr>
        <w:pStyle w:val="TextoNormal"/>
      </w:pPr>
    </w:p>
    <w:p w14:paraId="2C5C7FFA" w14:textId="77777777" w:rsidR="00A8138F" w:rsidRDefault="00A8138F" w:rsidP="00A8138F">
      <w:pPr>
        <w:pStyle w:val="TextoNormal"/>
      </w:pPr>
      <w:r>
        <w:t>110. Al límite de la identidad constitucional nacional ya se refirió este tribunal en la DTC 1/2004, de 13 de diciembre, al referirse a la existencia de límites materiales que se imponen a la cesión constitucional que el artículo 93 CE posibilita, y esos límites materiales “no recogidos expresamente en el precepto constitucional, pero que implícitamente se derivan de la Constitución y del sentido esencial del propio precepto, se traducen en el respeto de la soberanía del Estado, de nuestras estructuras constitucionales básicas y del sistema de valores y principios fundamentales consagrados en nuestra Constitución, en el que los derechos fundamentales adquieren sustantividad propia (art. 10.1 CE)” (DTC 1/2004, FJ 2).</w:t>
      </w:r>
    </w:p>
    <w:p w14:paraId="4EF002C5" w14:textId="77777777" w:rsidR="00A8138F" w:rsidRDefault="00A8138F" w:rsidP="00A8138F">
      <w:pPr>
        <w:pStyle w:val="TextoNormal"/>
      </w:pPr>
    </w:p>
    <w:p w14:paraId="1FE4477A" w14:textId="77777777" w:rsidR="00A8138F" w:rsidRDefault="00A8138F" w:rsidP="00A8138F">
      <w:pPr>
        <w:pStyle w:val="TextoNormal"/>
      </w:pPr>
      <w:r>
        <w:t>111. La existencia de estos límites materiales y la competencia del Tribunal Constitucional para activarlos fueron reiterados en la STC 26/2014, de 13 de febrero, FJ 3, dictada en el conocido asunt</w:t>
      </w:r>
      <w:r w:rsidRPr="00A8138F">
        <w:rPr>
          <w:i/>
        </w:rPr>
        <w:t>o Mello</w:t>
      </w:r>
      <w:r>
        <w:t>ni.</w:t>
      </w:r>
    </w:p>
    <w:p w14:paraId="1F34D9A8" w14:textId="77777777" w:rsidR="00A8138F" w:rsidRDefault="00A8138F" w:rsidP="00A8138F">
      <w:pPr>
        <w:pStyle w:val="TextoNormal"/>
      </w:pPr>
    </w:p>
    <w:p w14:paraId="61F53D42" w14:textId="77777777" w:rsidR="00A8138F" w:rsidRDefault="00A8138F" w:rsidP="00A8138F">
      <w:pPr>
        <w:pStyle w:val="TextoNormal"/>
      </w:pPr>
      <w:r>
        <w:t>112. Pero estos límites se refieren a las dudas de constitucionalidad que deben resolverse en los distintos procedimientos de constitucionalidad internos de cada Estado, por lo que no cabe alegar de forma genérica y vaga que en el presente recurso de inconstitucionalidad está en cuestión la estructura territorial del Estado y la integración de nuestras nacionalidades y regiones; no estamos ante un límite material para no aplicar la cláusula de Estado de Derecho del artículo 2 TUE y la jurisprudencia del Tribunal de Justicia que la interpreta.</w:t>
      </w:r>
    </w:p>
    <w:p w14:paraId="4F3A98C4" w14:textId="77777777" w:rsidR="00A8138F" w:rsidRDefault="00A8138F" w:rsidP="00A8138F">
      <w:pPr>
        <w:pStyle w:val="TextoNormal"/>
      </w:pPr>
    </w:p>
    <w:p w14:paraId="0A124E88" w14:textId="77777777" w:rsidR="00A8138F" w:rsidRDefault="00A8138F" w:rsidP="00A8138F">
      <w:pPr>
        <w:pStyle w:val="TextoNormal"/>
      </w:pPr>
      <w:r>
        <w:t>113. En el presente recurso de inconstitucionalidad no se tiene que sentar jurisprudencia sobre la integración de nuestras “nacionalidades y regiones”, ni sobre una cuestión eminentemente nacional, dado que de lo que se trata es de determinar si la norma de amnistía que ha aprobado el legislador orgánico, que produce una injerencia en el Poder Judicial, y se privilegia con el perdón penal a unos ciudadanos frente a otros, respeta o no los límites mínimos que hacen recognoscible al Estado de Derecho.</w:t>
      </w:r>
    </w:p>
    <w:p w14:paraId="00564CCA" w14:textId="77777777" w:rsidR="00A8138F" w:rsidRDefault="00A8138F" w:rsidP="00A8138F">
      <w:pPr>
        <w:pStyle w:val="TextoNormal"/>
      </w:pPr>
    </w:p>
    <w:p w14:paraId="09FE7C03" w14:textId="77777777" w:rsidR="00A8138F" w:rsidRDefault="00A8138F" w:rsidP="00A8138F">
      <w:pPr>
        <w:pStyle w:val="TextoNormal"/>
      </w:pPr>
      <w:r>
        <w:t>(ii</w:t>
      </w:r>
      <w:r w:rsidRPr="00A8138F">
        <w:rPr>
          <w:i/>
        </w:rPr>
        <w:t>) La identidad nacional no puede dejar sin efecto la identidad europea conformada por el valor del Estado de Derec</w:t>
      </w:r>
      <w:r>
        <w:t>ho</w:t>
      </w:r>
    </w:p>
    <w:p w14:paraId="1F7E2AA9" w14:textId="77777777" w:rsidR="00A8138F" w:rsidRDefault="00A8138F" w:rsidP="00A8138F">
      <w:pPr>
        <w:pStyle w:val="TextoNormal"/>
      </w:pPr>
    </w:p>
    <w:p w14:paraId="43DCC446" w14:textId="77777777" w:rsidR="00A8138F" w:rsidRDefault="00A8138F" w:rsidP="00A8138F">
      <w:pPr>
        <w:pStyle w:val="TextoNormal"/>
      </w:pPr>
      <w:r>
        <w:t>114. Además, la alegación que hace la mayoría apelando a que estamos ante una cuestión nacional resulta estéril, pues la jurisprudencia del Tribunal de Justicia no permite alegar que está en cuestión la identidad constitucional de un Estado para que esta prevalezca sobre la cláusula de Estado de Derecho consagrada en el artículo 2 TUE que define, como ya he explicado, la identidad de la Unión.</w:t>
      </w:r>
    </w:p>
    <w:p w14:paraId="6A5D698C" w14:textId="77777777" w:rsidR="00A8138F" w:rsidRDefault="00A8138F" w:rsidP="00A8138F">
      <w:pPr>
        <w:pStyle w:val="TextoNormal"/>
      </w:pPr>
    </w:p>
    <w:p w14:paraId="11512FD3" w14:textId="77777777" w:rsidR="00A8138F" w:rsidRDefault="00A8138F" w:rsidP="00A8138F">
      <w:pPr>
        <w:pStyle w:val="TextoNormal"/>
      </w:pPr>
      <w:r>
        <w:t xml:space="preserve">115. Así, en la sentencia de 5 de junio de 2023 dictada en el asunto </w:t>
      </w:r>
      <w:r w:rsidRPr="00A8138F">
        <w:rPr>
          <w:i/>
        </w:rPr>
        <w:t>Comisión c. Polonia</w:t>
      </w:r>
      <w:r>
        <w:t xml:space="preserve"> (</w:t>
      </w:r>
      <w:r w:rsidRPr="00A8138F">
        <w:rPr>
          <w:i/>
        </w:rPr>
        <w:t>indépendance et vie privée des juges</w:t>
      </w:r>
      <w:r>
        <w:t>), se afirma que “no cabe sostener que las exigencias derivadas [...] del respeto de valores y principios tales como el Estado de Derecho, la tutela judicial efectiva y la independencia judicial, consagrados en los artículos 2 TUE y 19 TUE, apartado 1, párrafo segundo, pueden afectar a la identidad nacional de un Estado miembro, en el sentido del artículo 4 TUE, apartado 2”. Y añade que el artículo 4, apartado segundo, TUE, tiene “idéntico rango” que los artículos 2 TUE y 19, apartado primero, párrafo segundo, TUE, por lo que “no puede eximir a los Estados miembros del respeto de los requisitos que de ellas se derivan” (asunto C-204/21, § 72).</w:t>
      </w:r>
    </w:p>
    <w:p w14:paraId="296F01A7" w14:textId="77777777" w:rsidR="00A8138F" w:rsidRDefault="00A8138F" w:rsidP="00A8138F">
      <w:pPr>
        <w:pStyle w:val="TextoNormal"/>
      </w:pPr>
    </w:p>
    <w:p w14:paraId="6D448C01" w14:textId="77777777" w:rsidR="00A8138F" w:rsidRDefault="00A8138F" w:rsidP="00A8138F">
      <w:pPr>
        <w:pStyle w:val="TextoNormal"/>
      </w:pPr>
      <w:r>
        <w:t>116. Es decir, cuando está en juego un principio fundacional que define la identidad de la Unión como es el Estado de Derecho (artículo 2 TUE), que es lo que está precisamente en juego en el presente recurso de inconstitucionalidad, no cabe que un tribunal constitucional de un Estado miembro oponga que se afecta su identidad constitucional nacional para no tener en cuenta la jurisprudencia del Tribunal de Justicia, o como ocurre en el presente supuesto también, para no plantear una cuestión prejudicial.</w:t>
      </w:r>
    </w:p>
    <w:p w14:paraId="388836CB" w14:textId="77777777" w:rsidR="00A8138F" w:rsidRDefault="00A8138F" w:rsidP="00A8138F">
      <w:pPr>
        <w:pStyle w:val="TextoNormal"/>
      </w:pPr>
    </w:p>
    <w:p w14:paraId="1F29AE5C" w14:textId="77777777" w:rsidR="00A8138F" w:rsidRDefault="00A8138F" w:rsidP="00A8138F">
      <w:pPr>
        <w:pStyle w:val="TextoNormal"/>
      </w:pPr>
      <w:r>
        <w:t>(iii</w:t>
      </w:r>
      <w:r w:rsidRPr="00A8138F">
        <w:rPr>
          <w:i/>
        </w:rPr>
        <w:t>) El planteamiento de una cuestión prejudicial es una condición previa y necesaria para aplicar la cláusula de salvaguarda de la identidad nacion</w:t>
      </w:r>
      <w:r>
        <w:t>al</w:t>
      </w:r>
    </w:p>
    <w:p w14:paraId="766239CE" w14:textId="77777777" w:rsidR="00A8138F" w:rsidRDefault="00A8138F" w:rsidP="00A8138F">
      <w:pPr>
        <w:pStyle w:val="TextoNormal"/>
      </w:pPr>
    </w:p>
    <w:p w14:paraId="68C8F57C" w14:textId="77777777" w:rsidR="00A8138F" w:rsidRDefault="00A8138F" w:rsidP="00A8138F">
      <w:pPr>
        <w:pStyle w:val="TextoNormal"/>
      </w:pPr>
      <w:r>
        <w:t>117. En cualquier caso, la jurisprudencia del Tribunal de Justicia no reconoce a los tribunales constitucionales nacionales la facultad de activar esta cláusula de salvaguarda de forma unilateral y sin condiciones, pues tratándose de la aplicación de un precepto de la Unión, el artículo 4, apartado segundo, TUE, establece que no basta con que un Tribunal Constitucional nacional alegue que se vulnera su identidad nacional. Esto es así, pues de lo contrario a los tribunales constitucionales les bastaría alegar —como hace la sentencia de la que discrepo— que queda afectada de cualquier manera su identidad nacional para excluir la aplicación del Derecho de la Unión.</w:t>
      </w:r>
    </w:p>
    <w:p w14:paraId="133A33AF" w14:textId="77777777" w:rsidR="00A8138F" w:rsidRDefault="00A8138F" w:rsidP="00A8138F">
      <w:pPr>
        <w:pStyle w:val="TextoNormal"/>
      </w:pPr>
    </w:p>
    <w:p w14:paraId="69C016CC" w14:textId="77777777" w:rsidR="00A8138F" w:rsidRDefault="00A8138F" w:rsidP="00A8138F">
      <w:pPr>
        <w:pStyle w:val="TextoNormal"/>
      </w:pPr>
      <w:r>
        <w:t>118. Con la finalidad de evitar un abuso de Derecho y que la definición de lo que es identidad nacional quede en manos del Tribunal Constitucional nacional que no quiere sujetarse al Derecho de la Unión —que es lo que pretende la mayoría en el presente recurso de inconstitucionalidad—, el Tribunal de Justicia ha establecido una “hoja de ruta” que debe seguir dicho tribunal para hacer valer su identidad nacional, conforme a la cual vienen obligados a suspender el procedimiento que tramitan y dirigirse primero al Tribunal de Justicia para que así quede autorizado.</w:t>
      </w:r>
    </w:p>
    <w:p w14:paraId="3091A24D" w14:textId="77777777" w:rsidR="00A8138F" w:rsidRDefault="00A8138F" w:rsidP="00A8138F">
      <w:pPr>
        <w:pStyle w:val="TextoNormal"/>
      </w:pPr>
    </w:p>
    <w:p w14:paraId="544D6FCC" w14:textId="77777777" w:rsidR="00A8138F" w:rsidRDefault="00A8138F" w:rsidP="00A8138F">
      <w:pPr>
        <w:pStyle w:val="TextoNormal"/>
      </w:pPr>
      <w:r>
        <w:t xml:space="preserve">119. Esta “hoja de ruta” quedó impuesta por el Tribunal de Justicia en la sentencia </w:t>
      </w:r>
      <w:r w:rsidRPr="00A8138F">
        <w:rPr>
          <w:i/>
        </w:rPr>
        <w:t>R.S.</w:t>
      </w:r>
      <w:r>
        <w:t>, en la que dejó sentado, por un lado, que el artículo 4, apartado segundo, TUE “no tiene por objeto ni por efecto autorizar al Tribunal Constitucional de un Estado miembro, [...] a abstenerse de aplicar una norma de Derecho de la Unión por el motivo de que esa norma vulnera la identidad nacional del Estado miembro en cuestión tal como ha sido definida por el Tribunal Constitucional nacional”.</w:t>
      </w:r>
    </w:p>
    <w:p w14:paraId="1730F21E" w14:textId="77777777" w:rsidR="00A8138F" w:rsidRDefault="00A8138F" w:rsidP="00A8138F">
      <w:pPr>
        <w:pStyle w:val="TextoNormal"/>
      </w:pPr>
    </w:p>
    <w:p w14:paraId="0A7E4AAC" w14:textId="77777777" w:rsidR="00A8138F" w:rsidRDefault="00A8138F" w:rsidP="00A8138F">
      <w:pPr>
        <w:pStyle w:val="TextoNormal"/>
      </w:pPr>
      <w:r>
        <w:t>120. Y, por otro lado, que “[c]uando un tribunal constitucional de un Estado miembro estima que una disposición del Derecho derivado de la Unión, tal como ha sido interpretada por el Tribunal de Justicia, incumple la obligación de respetar la identidad nacional de ese Estado miembro, dicho tribunal constitucional debe suspender el procedimiento y plantear al Tribunal de Justicia una cuestión prejudicial, en virtud del artículo 267 TFUE, a fin de determinar la validez de tal disposición a la luz del artículo 4 TUE, apartado 2, ya que el Tribunal de Justicia es el único competente para declarar la invalidez de un acto de la Unión” (asunto C-430/21, § 70 y 71).</w:t>
      </w:r>
    </w:p>
    <w:p w14:paraId="5F44AE85" w14:textId="77777777" w:rsidR="00A8138F" w:rsidRDefault="00A8138F" w:rsidP="00A8138F">
      <w:pPr>
        <w:pStyle w:val="TextoNormal"/>
      </w:pPr>
    </w:p>
    <w:p w14:paraId="21241C86" w14:textId="77777777" w:rsidR="00A8138F" w:rsidRDefault="00A8138F" w:rsidP="00A8138F">
      <w:pPr>
        <w:pStyle w:val="TextoNormal"/>
      </w:pPr>
      <w:r>
        <w:t xml:space="preserve">121. Por lo tanto, lo que nos dice la sentencia </w:t>
      </w:r>
      <w:r w:rsidRPr="00A8138F">
        <w:rPr>
          <w:i/>
        </w:rPr>
        <w:t>R.S.</w:t>
      </w:r>
      <w:r>
        <w:t>, sin ningún género de duda, es que cuando un Estado quiere hacer valer su identidad nacional al amparo del artículo 4, apartado segundo, TUE, es imperativo plantear una cuestión prejudicial pues en estos casos el Tribunal de Justicia conserva la “última palabra”. Por lo que la excusa que da la sentencia para cerrar las puertas al diálogo prejudicial es frontalmente contraria a la jurisprudencia del Tribunal de Justicia y pone en tela de juicio la eficacia no solo del instrumento de la cuestión prejudicial sino del propio ordenamiento jurídico de la Unión.</w:t>
      </w:r>
    </w:p>
    <w:p w14:paraId="65F67119" w14:textId="77777777" w:rsidR="00A8138F" w:rsidRDefault="00A8138F" w:rsidP="00A8138F">
      <w:pPr>
        <w:pStyle w:val="TextoNormal"/>
      </w:pPr>
    </w:p>
    <w:p w14:paraId="2B69B86D" w14:textId="77777777" w:rsidR="00A8138F" w:rsidRDefault="00A8138F" w:rsidP="00A8138F">
      <w:pPr>
        <w:pStyle w:val="TextoNormal"/>
      </w:pPr>
      <w:r>
        <w:t>D</w:t>
      </w:r>
      <w:r w:rsidRPr="00A8138F">
        <w:rPr>
          <w:i/>
        </w:rPr>
        <w:t>) La decisión deliberada de resolver el presente recurso de inconstitucionalidad —desestimándolo— sin esperar a la respuesta del Tribunal de Justicia a las cuestiones prejudiciales pendientes supone, en cualquier caso, una infracción del principio de cooperación leal (artículo 4, apartado tercero, TU</w:t>
      </w:r>
      <w:r>
        <w:t>E)</w:t>
      </w:r>
    </w:p>
    <w:p w14:paraId="309752E2" w14:textId="77777777" w:rsidR="00A8138F" w:rsidRDefault="00A8138F" w:rsidP="00A8138F">
      <w:pPr>
        <w:pStyle w:val="TextoNormal"/>
      </w:pPr>
    </w:p>
    <w:p w14:paraId="60566BC2" w14:textId="77777777" w:rsidR="00A8138F" w:rsidRDefault="00A8138F" w:rsidP="00A8138F">
      <w:pPr>
        <w:pStyle w:val="TextoNormal"/>
      </w:pPr>
      <w:r>
        <w:t>122. Finalmente debo concluir este apartado poniendo de manifiesto que la decisión que ha tomado la mayoría de no esperar a que el Tribunal de Justicia dé respuesta a las cuatro cuestiones prejudiciales pendientes en las que se cuestiona la compatibilidad de la Ley de amnistía con el Derecho de la Unión, a la luz del valor de Estado de Derecho previsto en el artículo 2 TUE, y los principios que de él se derivan, así como en relación con determinadas disposiciones de Derecho derivado [principalmente, las directivas (UE) 2017/541 (relativa a la lucha contra el terrorismo) y 2017/1371 (intereses financieros de la Unión), y la Decisión Marco 2002/584/JAI (orden europea de detención y entrega)] supone una infracción del principio de cooperación al que está sujeto este tribunal en su relación con el Tribunal de Justicia conforme al artículo 4, apartado tercero, TUE.</w:t>
      </w:r>
    </w:p>
    <w:p w14:paraId="7B11B31E" w14:textId="77777777" w:rsidR="00A8138F" w:rsidRDefault="00A8138F" w:rsidP="00A8138F">
      <w:pPr>
        <w:pStyle w:val="TextoNormal"/>
      </w:pPr>
    </w:p>
    <w:p w14:paraId="5F57B3C1" w14:textId="77777777" w:rsidR="00A8138F" w:rsidRDefault="00A8138F" w:rsidP="00A8138F">
      <w:pPr>
        <w:pStyle w:val="TextoNormal"/>
      </w:pPr>
      <w:r>
        <w:t>123. Conforme a dicho precepto: “Los Estados miembros ayudarán a la Unión en el cumplimiento de su misión y se abstendrán de toda medida que pueda poner en peligro la consecución de los objetivos de la Unión”.</w:t>
      </w:r>
    </w:p>
    <w:p w14:paraId="58FCAC01" w14:textId="77777777" w:rsidR="00A8138F" w:rsidRDefault="00A8138F" w:rsidP="00A8138F">
      <w:pPr>
        <w:pStyle w:val="TextoNormal"/>
      </w:pPr>
    </w:p>
    <w:p w14:paraId="43A66D5F" w14:textId="77777777" w:rsidR="00A8138F" w:rsidRDefault="00A8138F" w:rsidP="00A8138F">
      <w:pPr>
        <w:pStyle w:val="TextoNormal"/>
      </w:pPr>
      <w:r>
        <w:t>124. La mayoría concluye que puede dictar una sentencia, ignorando todos los problemas de Derecho de la Unión que se han planteado y la existencia de cuatro cuestiones prejudiciales pendientes sobre la Ley de amnistía, porque —según alega— va a emitir un juicio de “validez constitucional” y ello lo es “con independencia de los problemas de aplicabilidad que puedan suscitarse en supuestos de hechos concretos, en particular de los derivados de la posible incompatibilidad de la norma legal impugnada con alguna disposición del Derecho de la Unión”.</w:t>
      </w:r>
    </w:p>
    <w:p w14:paraId="48C15CB6" w14:textId="77777777" w:rsidR="00A8138F" w:rsidRDefault="00A8138F" w:rsidP="00A8138F">
      <w:pPr>
        <w:pStyle w:val="TextoNormal"/>
      </w:pPr>
    </w:p>
    <w:p w14:paraId="0837CC09" w14:textId="77777777" w:rsidR="00A8138F" w:rsidRDefault="00A8138F" w:rsidP="00A8138F">
      <w:pPr>
        <w:pStyle w:val="TextoNormal"/>
      </w:pPr>
      <w:r>
        <w:t>125. Esta argumentación es inaceptable porque dictar una sentencia en un asunto en el que es evidente que existen dudas de Derecho de la Unión —dudas que ni siquiera se han puesto en entredicho por la mayoría—, y asumiendo que va a haber problemas de aplicabilidad de la norma que se declara constitucional, es incompatible con la función que corresponde a este Tribunal Constitucional, que no solo es garante de la Constitución, sino que también es un tribunal integrado en la estructura jurídica de los tratados de la Unión Europea, que debe garantizar la eficacia del Derecho de la Unión y evitar cualquier posible conflicto con su Tribunal de Justicia.</w:t>
      </w:r>
    </w:p>
    <w:p w14:paraId="5F2EF0C8" w14:textId="77777777" w:rsidR="00A8138F" w:rsidRDefault="00A8138F" w:rsidP="00A8138F">
      <w:pPr>
        <w:pStyle w:val="TextoNormal"/>
      </w:pPr>
    </w:p>
    <w:p w14:paraId="1C4FABD8" w14:textId="77777777" w:rsidR="00A8138F" w:rsidRDefault="00A8138F" w:rsidP="00A8138F">
      <w:pPr>
        <w:pStyle w:val="TextoNormal"/>
      </w:pPr>
      <w:r>
        <w:t>126. El principio de cooperación leal exigía que si este tribunal no cumplía con su obligación de plantear una cuestión prejudicial —como al final no ha hecho— hubiese al menos suspendido el procedimiento a la espera de que el Tribunal de Justicia diese respuesta, porque validar constitucionalmente una norma de la que existen dudas fundadas de que es contraria a la cláusula de Estado de Derecho prevista en el artículo 2 TUE, que define la identidad de la Unión, pone en cuestión la eficacia también del ordenamiento jurídico comunitario.</w:t>
      </w:r>
    </w:p>
    <w:p w14:paraId="4DA8B127" w14:textId="77777777" w:rsidR="00A8138F" w:rsidRPr="00A8138F" w:rsidRDefault="00A8138F" w:rsidP="00A8138F">
      <w:pPr>
        <w:pStyle w:val="TextoNormal"/>
        <w:rPr>
          <w:i/>
        </w:rPr>
      </w:pPr>
    </w:p>
    <w:p w14:paraId="4A7AC05D" w14:textId="77777777" w:rsidR="00A8138F" w:rsidRDefault="00A8138F" w:rsidP="00A8138F">
      <w:pPr>
        <w:pStyle w:val="TextoNormal"/>
      </w:pPr>
      <w:r w:rsidRPr="00A8138F">
        <w:rPr>
          <w:i/>
        </w:rPr>
        <w:t>E) Conclu</w:t>
      </w:r>
      <w:r>
        <w:t>sión</w:t>
      </w:r>
    </w:p>
    <w:p w14:paraId="48944843" w14:textId="77777777" w:rsidR="00A8138F" w:rsidRDefault="00A8138F" w:rsidP="00A8138F">
      <w:pPr>
        <w:pStyle w:val="TextoNormal"/>
      </w:pPr>
    </w:p>
    <w:p w14:paraId="5A6D90D3" w14:textId="77777777" w:rsidR="00A8138F" w:rsidRDefault="00A8138F" w:rsidP="00A8138F">
      <w:pPr>
        <w:pStyle w:val="TextoNormal"/>
      </w:pPr>
      <w:r>
        <w:t>127. Como abordaré en el apartado cuarto de este voto particular, considero que la sentencia que en el día de hoy se ha aprobado realiza una interpretación de la Constitución que se aparta frontalmente de la jurisprudencia del Tribunal de Justicia en materia de Estado de Derecho.</w:t>
      </w:r>
    </w:p>
    <w:p w14:paraId="6A9AD6D8" w14:textId="77777777" w:rsidR="00A8138F" w:rsidRDefault="00A8138F" w:rsidP="00A8138F">
      <w:pPr>
        <w:pStyle w:val="TextoNormal"/>
      </w:pPr>
    </w:p>
    <w:p w14:paraId="4467102D" w14:textId="77777777" w:rsidR="00A8138F" w:rsidRDefault="00A8138F" w:rsidP="00A8138F">
      <w:pPr>
        <w:pStyle w:val="TextoNormal"/>
      </w:pPr>
      <w:r>
        <w:t>128. Ya advertimos en el voto particular al ATC 65/2025, de 11 de junio, que ignorar el Derecho de la Unión en el supuesto que nos ocupa, en el que está en cuestión el Estado de Derecho, un valor fundacional que define la propia identidad de la Unión, y decidir que no es necesario plantear una cuestión prejudicial, supone no solo negar la fuerza vinculante que tiene el artículo 2 TUE sino, lo que es más grave, pone de manifiesto la decisión deliberada de la mayoría de dar la espalda a la Unión Europea y a su Tribunal de Justicia, dejando de lado el compromiso y las obligaciones que asumimos al integrarnos en las entonces Comunidades Europeas como Estado miembro.</w:t>
      </w:r>
    </w:p>
    <w:p w14:paraId="1580AAFC" w14:textId="77777777" w:rsidR="00A8138F" w:rsidRDefault="00A8138F" w:rsidP="00A8138F">
      <w:pPr>
        <w:pStyle w:val="TextoNormal"/>
      </w:pPr>
    </w:p>
    <w:p w14:paraId="7659EC58" w14:textId="77777777" w:rsidR="00A8138F" w:rsidRDefault="00A8138F" w:rsidP="00A8138F">
      <w:pPr>
        <w:pStyle w:val="TextoNormal"/>
      </w:pPr>
      <w:r>
        <w:t>129. Que no plantear una cuestión prejudicial ha sido una decisión deliberada para evitar estimar el presente recurso de inconstitucionalidad ha quedado confirmado con las razones que da ahora la sentencia, aludiendo a una distinción entre procedimientos constitucionales que es artificiosa, partiendo de un conocimiento totalmente equivocado de qué es el mecanismo de la cuestión prejudicial, y pretendiendo hacer valer un problema de identidad nacional que es totalmente inexistente.</w:t>
      </w:r>
    </w:p>
    <w:p w14:paraId="3BE3366B" w14:textId="77777777" w:rsidR="00A8138F" w:rsidRDefault="00A8138F" w:rsidP="00A8138F">
      <w:pPr>
        <w:pStyle w:val="TextoNormal"/>
      </w:pPr>
    </w:p>
    <w:p w14:paraId="49FD343E" w14:textId="77777777" w:rsidR="00A8138F" w:rsidRPr="00A8138F" w:rsidRDefault="00A8138F" w:rsidP="00A8138F">
      <w:pPr>
        <w:pStyle w:val="TextoNormal"/>
        <w:rPr>
          <w:i/>
        </w:rPr>
      </w:pPr>
      <w:r>
        <w:t>I</w:t>
      </w:r>
      <w:r w:rsidRPr="00A8138F">
        <w:rPr>
          <w:i/>
        </w:rPr>
        <w:t>II</w:t>
      </w:r>
    </w:p>
    <w:p w14:paraId="0C82028D" w14:textId="77777777" w:rsidR="00A8138F" w:rsidRPr="00A8138F" w:rsidRDefault="00A8138F" w:rsidP="00A8138F">
      <w:pPr>
        <w:pStyle w:val="TextoNormal"/>
        <w:rPr>
          <w:i/>
        </w:rPr>
      </w:pPr>
    </w:p>
    <w:p w14:paraId="5BDF5830" w14:textId="77777777" w:rsidR="00A8138F" w:rsidRDefault="00A8138F" w:rsidP="00A8138F">
      <w:pPr>
        <w:pStyle w:val="TextoNormal"/>
      </w:pPr>
      <w:r w:rsidRPr="00A8138F">
        <w:rPr>
          <w:i/>
        </w:rPr>
        <w:t>Sobre la inconstitucionalidad de la Ley de amni</w:t>
      </w:r>
      <w:r>
        <w:t>stía</w:t>
      </w:r>
    </w:p>
    <w:p w14:paraId="1A7D9F26" w14:textId="77777777" w:rsidR="00A8138F" w:rsidRDefault="00A8138F" w:rsidP="00A8138F">
      <w:pPr>
        <w:pStyle w:val="TextoNormal"/>
      </w:pPr>
    </w:p>
    <w:p w14:paraId="575908DF" w14:textId="77777777" w:rsidR="00A8138F" w:rsidRDefault="00A8138F" w:rsidP="00A8138F">
      <w:pPr>
        <w:pStyle w:val="TextoNormal"/>
      </w:pPr>
      <w:r>
        <w:t>A</w:t>
      </w:r>
      <w:r w:rsidRPr="00A8138F">
        <w:rPr>
          <w:i/>
        </w:rPr>
        <w:t>) Consideraciones general</w:t>
      </w:r>
      <w:r>
        <w:t>es</w:t>
      </w:r>
    </w:p>
    <w:p w14:paraId="21E90D1A" w14:textId="77777777" w:rsidR="00A8138F" w:rsidRDefault="00A8138F" w:rsidP="00A8138F">
      <w:pPr>
        <w:pStyle w:val="TextoNormal"/>
      </w:pPr>
    </w:p>
    <w:p w14:paraId="67FFAA96" w14:textId="77777777" w:rsidR="00A8138F" w:rsidRDefault="00A8138F" w:rsidP="00A8138F">
      <w:pPr>
        <w:pStyle w:val="TextoNormal"/>
      </w:pPr>
      <w:r>
        <w:t>130. Este epígrafe III se estructura en dos grandes bloques argumentativos, a los que se añade una parte final. En primer lugar [epígrafe III A)], se analizará la inexistencia de un reconocimiento constitucional expreso de la amnistía, lo que, dada la intensa afectación que esta figura produce sobre pilares esenciales del Estado de Derecho —como el principio de igualdad, el monopolio jurisdiccional del Poder Judicial y la seguridad jurídica—, impide a las Cortes Generales aprobar válidamente una ley de esta naturaleza sin cobertura constitucional. Se sostendrá que la Ley Orgánica 1/2024 vulnera el principio de sumisión de los poderes públicos a la Constitución (art. 9.1 CE) y quebranta la separación de poderes, al exceder las Cortes su función legislativa. En segundo lugar [epígrafe III B)], se expondrá que, incluso admitiendo a efectos dialécticos la posibilidad de una amnistía con fundamento constitucional, la Ley de amnistía no responde al concepto ni a los fines propios de esta figura, sino que constituye una ley singular de contenido arbitrario que desborda los límites materiales exigibles a toda norma general y abstracta, infringiendo así el artículo 9.3 CE. Por último, se cerrará el epígrafe III, con el bloque D), en el que se examina cómo la Ley Orgánica 1/2024 infringe los principios constitucionales de interdicción de la arbitrariedad, legalidad, y seguridad jurídica. Se analiza, en particular, la delimitación del ámbito objetivo y temporal de la amnistía, sus criterios ideológicos discriminatorios y su formulación imprecisa.</w:t>
      </w:r>
    </w:p>
    <w:p w14:paraId="7412C7A2" w14:textId="77777777" w:rsidR="00A8138F" w:rsidRDefault="00A8138F" w:rsidP="00A8138F">
      <w:pPr>
        <w:pStyle w:val="TextoNormal"/>
      </w:pPr>
    </w:p>
    <w:p w14:paraId="3751662F" w14:textId="77777777" w:rsidR="00A8138F" w:rsidRDefault="00A8138F" w:rsidP="00A8138F">
      <w:pPr>
        <w:pStyle w:val="TextoNormal"/>
      </w:pPr>
      <w:r>
        <w:t>131. Antes de entrar a examinar la compatibilidad de la Ley Orgánica 1/2024, de 10 de junio, de amnistía para la normalización institucional, política y social en Cataluña, con la Constitución española, debo adelantar unas consideraciones de carácter general a los efectos de situar la norma en su contexto político y jurídico para apuntar los principales problemas constitucionales que su aprobación ha suscitado. Estas observaciones preliminares permitirán enmarcar adecuadamente las impugnaciones que serán analizadas más adelante.</w:t>
      </w:r>
    </w:p>
    <w:p w14:paraId="0317939C" w14:textId="77777777" w:rsidR="00A8138F" w:rsidRDefault="00A8138F" w:rsidP="00A8138F">
      <w:pPr>
        <w:pStyle w:val="TextoNormal"/>
      </w:pPr>
    </w:p>
    <w:p w14:paraId="0F86EF0B" w14:textId="77777777" w:rsidR="00A8138F" w:rsidRDefault="00A8138F" w:rsidP="00A8138F">
      <w:pPr>
        <w:pStyle w:val="TextoNormal"/>
      </w:pPr>
      <w:r>
        <w:t>132. La Ley de amnistía fue aprobada por la exigua mayoría de 177 votos a favor y 172 votos en contra y con el voto contrario a su aprobación del Senado que aprobó la propuesta de veto de la proposición de ley orgánica de amnistía por 149 votos a favor y 113 en contra. Mayoría nimia y veto ampliamente validado, que, sin embargo, sirve de sustento ideológico a una mal entendida soberanía parlamentaria usada como instrumento negociador, arbitrario y rupturista de las instituciones, reglas y principios, diseñados por la democracia constitucional, que encarna la Constitución española, única democracia posible e incompatible, por su esencia, con cualquier tipo de despotismo, incluido el de la mayoría parlamentaria.</w:t>
      </w:r>
    </w:p>
    <w:p w14:paraId="3106EE98" w14:textId="77777777" w:rsidR="00A8138F" w:rsidRDefault="00A8138F" w:rsidP="00A8138F">
      <w:pPr>
        <w:pStyle w:val="TextoNormal"/>
      </w:pPr>
    </w:p>
    <w:p w14:paraId="1127145B" w14:textId="77777777" w:rsidR="00A8138F" w:rsidRDefault="00A8138F" w:rsidP="00A8138F">
      <w:pPr>
        <w:pStyle w:val="TextoNormal"/>
      </w:pPr>
      <w:r>
        <w:t xml:space="preserve">133. La ley de amnistía —del griego </w:t>
      </w:r>
      <w:r w:rsidRPr="00A8138F">
        <w:rPr>
          <w:i/>
        </w:rPr>
        <w:t>amnēstía</w:t>
      </w:r>
      <w:r>
        <w:t xml:space="preserve"> cuyo significado literal es olvido— pretende el borrado de los delitos cometidos, cuanto menos, desde el 1 de noviembre de 2011 al 13 de noviembre de 2023, y —según su exposición de motivos— es “adoptada bajo el principio de justicia”, como paso “valiente” y, precisamente también, “reconciliador”. De modo que prioriza una idea de “justicia reconciliadora” frente al “Derecho”. Ello supone su apalancamiento en un ficticio reconocimiento del fracaso de la democracia constitucional como instrumento de cohesión en torno a un proyecto común de convivencia.</w:t>
      </w:r>
    </w:p>
    <w:p w14:paraId="1881FB9C" w14:textId="77777777" w:rsidR="00A8138F" w:rsidRDefault="00A8138F" w:rsidP="00A8138F">
      <w:pPr>
        <w:pStyle w:val="TextoNormal"/>
      </w:pPr>
    </w:p>
    <w:p w14:paraId="369A6E6C" w14:textId="77777777" w:rsidR="00A8138F" w:rsidRDefault="00A8138F" w:rsidP="00A8138F">
      <w:pPr>
        <w:pStyle w:val="TextoNormal"/>
      </w:pPr>
      <w:r>
        <w:t>134. A tal fin, la Ley de amnistía desplaza los principios constitucionales de separación de poderes y de igualdad, sin dar voz al constituyente, único legitimado para eventualmente restablecer el proyecto común de convivencia constitucionalmente diseñado.</w:t>
      </w:r>
    </w:p>
    <w:p w14:paraId="37209C51" w14:textId="77777777" w:rsidR="00A8138F" w:rsidRDefault="00A8138F" w:rsidP="00A8138F">
      <w:pPr>
        <w:pStyle w:val="TextoNormal"/>
      </w:pPr>
    </w:p>
    <w:p w14:paraId="73D3A345" w14:textId="77777777" w:rsidR="00A8138F" w:rsidRDefault="00A8138F" w:rsidP="00A8138F">
      <w:pPr>
        <w:pStyle w:val="TextoNormal"/>
      </w:pPr>
      <w:r>
        <w:t>135. La Ley de amnistía fundamenta su aplicación en la necesidad de borrar los efectos jurídicos derivados de decisiones legítimas adoptadas por las Cortes Generales, el Tribunal Constitucional y el Poder Judicial, con el objetivo de frenar el grave desafío que supuso el proceso independentista contra la Constitución. Sin embargo, esto implica, en la práctica, deslegitimar la propia Constitución, así como la labor que tanto el Tribunal Constitucional como el Poder Judicial llevaron a cabo en su defensa frente a quienes se enfrentaron a la soberanía nacional y atentaron contra el Estado democrático y de Derecho.</w:t>
      </w:r>
    </w:p>
    <w:p w14:paraId="382E711B" w14:textId="77777777" w:rsidR="00A8138F" w:rsidRDefault="00A8138F" w:rsidP="00A8138F">
      <w:pPr>
        <w:pStyle w:val="TextoNormal"/>
      </w:pPr>
    </w:p>
    <w:p w14:paraId="2982D044" w14:textId="77777777" w:rsidR="00A8138F" w:rsidRDefault="00A8138F" w:rsidP="00A8138F">
      <w:pPr>
        <w:pStyle w:val="TextoNormal"/>
      </w:pPr>
      <w:r>
        <w:t>136. La Ley de amnistía supone, en términos de proporcionalidad, un sacrificio ilegítimo y desorbitado de los pilares fundamentales en que se asienta la Constitución para lograr una quimérica convivencia y reconciliación alejada de la única “vida en común” posible —salvo reforma constitucional— esto es, la que garantiza la Constitución en su preámbulo: “la convivencia democrática dentro de la Constitución y de las leyes” y no otra. No hay convivencia posible fuera de la Constitución y de la ley. No es posible sostener que la Ley de amnistía sirve al interés general cuando se basa en un pacto de investidura que discrimina a los perjudicados y a las víctimas del proceso independentista, beneficiando a quienes alteraron la convivencia y a quien pretendía alzarse con la Presidencia del Gobierno.</w:t>
      </w:r>
    </w:p>
    <w:p w14:paraId="34FD4950" w14:textId="77777777" w:rsidR="00A8138F" w:rsidRDefault="00A8138F" w:rsidP="00A8138F">
      <w:pPr>
        <w:pStyle w:val="TextoNormal"/>
      </w:pPr>
    </w:p>
    <w:p w14:paraId="41E3CB3E" w14:textId="77777777" w:rsidR="00A8138F" w:rsidRDefault="00A8138F" w:rsidP="00A8138F">
      <w:pPr>
        <w:pStyle w:val="TextoNormal"/>
      </w:pPr>
      <w:r>
        <w:t>137. No cabe, ni es posible amparar de ningún modo, “la convivencia” fuera de la Constitución. La norma recurrida, defiende, frente a la convivencia constitucional, una idea de convivencia que sacrifica los pilares básicos en que se asienta la Constitución y la pone en riesgo al debilitar la efectividad tanto de las resoluciones de este tribunal como garante de la misma, y también de los órganos judiciales, impidiendo su función jurisdiccional de investigar, enjuiciar determinados delitos o de ejecutar las penas impuestas por su comisión.</w:t>
      </w:r>
    </w:p>
    <w:p w14:paraId="17151108" w14:textId="77777777" w:rsidR="00A8138F" w:rsidRDefault="00A8138F" w:rsidP="00A8138F">
      <w:pPr>
        <w:pStyle w:val="TextoNormal"/>
      </w:pPr>
    </w:p>
    <w:p w14:paraId="470F15E1" w14:textId="77777777" w:rsidR="00A8138F" w:rsidRDefault="00A8138F" w:rsidP="00A8138F">
      <w:pPr>
        <w:pStyle w:val="TextoNormal"/>
      </w:pPr>
      <w:r>
        <w:t>138. La finalidad de la norma, que el preámbulo identifica, como “procurar la normalización institucional”, es falaz, como se expondrá más adelante. La normalización institucional ya se garantizó por la intensa actuación de este tribunal —de composición distinta a la actual—, y se logró en junio de 2018 —hace de eso ya siete años—, una vez finalizada la aplicación del artículo 155 CE —que había sido aprobada por más del 80 por 100 de los votos del Senado y avalada posteriormente por decisión unánime del Tribunal Constitucional (SSTC 89/2019 y 90/2019)—.</w:t>
      </w:r>
    </w:p>
    <w:p w14:paraId="7C622FA4" w14:textId="77777777" w:rsidR="00A8138F" w:rsidRDefault="00A8138F" w:rsidP="00A8138F">
      <w:pPr>
        <w:pStyle w:val="TextoNormal"/>
      </w:pPr>
    </w:p>
    <w:p w14:paraId="369C5667" w14:textId="77777777" w:rsidR="00A8138F" w:rsidRDefault="00A8138F" w:rsidP="00A8138F">
      <w:pPr>
        <w:pStyle w:val="TextoNormal"/>
      </w:pPr>
      <w:r>
        <w:t>139. La restauración de una normalidad institucional ya restablecida no puede ser lógicamente el fin de la norma y en esto se insistirá más adelante. Carece de cualquier lógica racional pretender restablecer la normalidad constitucional ya garantizada por el legítimo ejercicio de las competencias constitucionalmente atribuidas, desconociendo precisamente que la normalidad institucional conlleva el normal cumplimiento de las normas administrativas, contables y penales.</w:t>
      </w:r>
    </w:p>
    <w:p w14:paraId="1C936A9C" w14:textId="77777777" w:rsidR="00A8138F" w:rsidRDefault="00A8138F" w:rsidP="00A8138F">
      <w:pPr>
        <w:pStyle w:val="TextoNormal"/>
      </w:pPr>
    </w:p>
    <w:p w14:paraId="288511E0" w14:textId="77777777" w:rsidR="00A8138F" w:rsidRDefault="00A8138F" w:rsidP="00A8138F">
      <w:pPr>
        <w:pStyle w:val="TextoNormal"/>
      </w:pPr>
      <w:r>
        <w:t>140. Por otra parte, no cabe entender como fin de la Ley de amnistía la vuelta a la norma, de eso trata el retorno a la eventual normalidad aludida por la ley, y pretender conseguirlo precisamente exceptuando la normalidad constitucional y al margen de la Constitución. La Ley de amnistía antepone una inexistente democracia parlamentaria frente a la única democracia, la constitucional, para garantizar la impunidad de quienes rompieron la regla constitucional y situarles nuevamente en posición de volver a atentar contra la misma, algo a lo que no han renunciado y de lo que nunca se han arrepentido. La excepción del derecho a la igualdad, al monopolio del ejercicio de la función jurisdiccional por el Poder Judicial —de su exclusividad y reserva—, de la seguridad jurídica inherente al Estado de Derecho, solo podría admitirse si la Constitución reconociera expresamente la amnistía, como luego se insistirá.</w:t>
      </w:r>
    </w:p>
    <w:p w14:paraId="1851D065" w14:textId="77777777" w:rsidR="00A8138F" w:rsidRDefault="00A8138F" w:rsidP="00A8138F">
      <w:pPr>
        <w:pStyle w:val="TextoNormal"/>
      </w:pPr>
    </w:p>
    <w:p w14:paraId="02AC24F7" w14:textId="77777777" w:rsidR="00A8138F" w:rsidRDefault="00A8138F" w:rsidP="00A8138F">
      <w:pPr>
        <w:pStyle w:val="TextoNormal"/>
      </w:pPr>
      <w:r>
        <w:t>141. Toda potestad únicamente se puede desenvolver en el marco de lo habilitado. La ley como producto del ejercicio de una potestad siempre se debe justificar en un título habilitante constitucionalmente establecido, sea competencial o material. Sin embargo, la amnistía como decisión política excepcional no se encuentra comprendida en la potestad ordinaria de legislar y requiere, como cualquier derecho de excepción que exceptúa y altera la arquitectura constitucional, de expresa legitimación en la norma que vertebra todo el ordenamiento jurídico. Su falta de reconocimiento constitucional imposibilita que el poder constituido al que se le atribuye la potestad ordinaria de legislar pueda regularla o concederla, a diferencia de lo que sucede con el indulto, en que se habilita al legislador a regularlo y al Gobierno —materialmente— y al jefe del Estado —formalmente— a concederlo [art. 62 i) CE].</w:t>
      </w:r>
    </w:p>
    <w:p w14:paraId="6B9424B3" w14:textId="77777777" w:rsidR="00A8138F" w:rsidRDefault="00A8138F" w:rsidP="00A8138F">
      <w:pPr>
        <w:pStyle w:val="TextoNormal"/>
      </w:pPr>
    </w:p>
    <w:p w14:paraId="42036589" w14:textId="77777777" w:rsidR="00A8138F" w:rsidRDefault="00A8138F" w:rsidP="00A8138F">
      <w:pPr>
        <w:pStyle w:val="TextoNormal"/>
      </w:pPr>
      <w:r>
        <w:t>B</w:t>
      </w:r>
      <w:r w:rsidRPr="00A8138F">
        <w:rPr>
          <w:i/>
        </w:rPr>
        <w:t>) La Ley Orgánica 1/2024, de amnistía para la normalización institucional, política y social en Cataluña, vulnera el principio de separación de poderes (artículos 9.1, 66.1 y 117.3 C</w:t>
      </w:r>
      <w:r>
        <w:t>E)</w:t>
      </w:r>
    </w:p>
    <w:p w14:paraId="1C197A05" w14:textId="77777777" w:rsidR="00A8138F" w:rsidRDefault="00A8138F" w:rsidP="00A8138F">
      <w:pPr>
        <w:pStyle w:val="TextoNormal"/>
      </w:pPr>
    </w:p>
    <w:p w14:paraId="704100D1" w14:textId="77777777" w:rsidR="00A8138F" w:rsidRDefault="00A8138F" w:rsidP="00A8138F">
      <w:pPr>
        <w:pStyle w:val="TextoNormal"/>
      </w:pPr>
      <w:r>
        <w:t>En este apartado me referiré a que, atendida la intensa afectación a la arquitectura constitucional que supone la amnistía, al excepcionar el derecho a la igualdad, el monopolio del ejercicio de la función jurisdiccional por el Poder Judicial, y la seguridad jurídica, pilares del Estado de Derecho, las Cortes Generales no podían aprobar la Ley de amnistía sin un reconocimiento constitucional expreso de dicha institución. Descartaré, con distintos argumentos, que dicha previsión constitucional exista, por lo que concluiré que la Ley de amnistía ha vulnerado el principio de sumisión de las Cortes Generales a la Constitución (artículo 9.1 CE) al excederse en su función legislativa y con ello también, la separación de poderes. Finalmente expondré que, aunque hubiera existido reconocimiento constitucional expreso de la institución de la amnistía en la Constitución, la impunidad que la Ley de amnistía aprueba no encaja en el concepto de amnistía y la desnaturaliza convirtiéndose en un acto arbitrario (artículo 9.3 CE).</w:t>
      </w:r>
    </w:p>
    <w:p w14:paraId="2BCB6B7B" w14:textId="77777777" w:rsidR="00A8138F" w:rsidRDefault="00A8138F" w:rsidP="00A8138F">
      <w:pPr>
        <w:pStyle w:val="TextoNormal"/>
      </w:pPr>
    </w:p>
    <w:p w14:paraId="7F2EF97F" w14:textId="77777777" w:rsidR="00A8138F" w:rsidRDefault="00A8138F" w:rsidP="00A8138F">
      <w:pPr>
        <w:pStyle w:val="TextoNormal"/>
      </w:pPr>
      <w:r>
        <w:t>a</w:t>
      </w:r>
      <w:r w:rsidRPr="00A8138F">
        <w:rPr>
          <w:i/>
        </w:rPr>
        <w:t>) El principio de separación de poderes y su reconocimiento constitucion</w:t>
      </w:r>
      <w:r>
        <w:t>al</w:t>
      </w:r>
    </w:p>
    <w:p w14:paraId="063BF499" w14:textId="77777777" w:rsidR="00A8138F" w:rsidRDefault="00A8138F" w:rsidP="00A8138F">
      <w:pPr>
        <w:pStyle w:val="TextoNormal"/>
      </w:pPr>
    </w:p>
    <w:p w14:paraId="0FC85F78" w14:textId="77777777" w:rsidR="00A8138F" w:rsidRDefault="00A8138F" w:rsidP="00A8138F">
      <w:pPr>
        <w:pStyle w:val="TextoNormal"/>
      </w:pPr>
      <w:r>
        <w:t>142. La Constitución de 1978, a diferencia de la Constitución de Cádiz de 1812, no enuncia expresamente el principio de separación de poderes. El artículo 243 de la Constitución de Cádiz declaró que: “[n]i las Cortes ni el rey podrán ejercer en ningún caso las funciones judiciales, avocar causas pendientes, ni mandar abrir juicios fenecidos”. Sin embargo, el sustento constitucional de la separación de poderes resulta de la distinción de las distintas ramas del poder, al indicar que “[l]as Cortes Generales ejercen la potestad legislativa del Estado” (artículo 66.2 CE); que el Gobierno “[e]jerce la función ejecutiva y la potestad reglamentaria de acuerdo con la Constitución y las leyes” (artículo 97 CE); y que “[e]l ejercicio de la potestad jurisdiccional en todo tipo de procesos, juzgando y haciendo ejecutar lo juzgado, corresponde exclusivamente a los juzgados y tribunales determinados por las leyes” (artículo 117.3 CE).</w:t>
      </w:r>
    </w:p>
    <w:p w14:paraId="34B92454" w14:textId="77777777" w:rsidR="00A8138F" w:rsidRDefault="00A8138F" w:rsidP="00A8138F">
      <w:pPr>
        <w:pStyle w:val="TextoNormal"/>
      </w:pPr>
    </w:p>
    <w:p w14:paraId="1EE5914C" w14:textId="77777777" w:rsidR="00A8138F" w:rsidRDefault="00A8138F" w:rsidP="00A8138F">
      <w:pPr>
        <w:pStyle w:val="TextoNormal"/>
      </w:pPr>
      <w:r>
        <w:t>143. Ningún poder puede inmiscuirse en el ámbito del otro, de modo que los titulares de un poder no pueden pertenecer a otro con la excepción del mandato parlamentario y la condición de miembro del Gobierno [artículos 70 b), 98.3 y 110 CE].</w:t>
      </w:r>
    </w:p>
    <w:p w14:paraId="764F3197" w14:textId="77777777" w:rsidR="00A8138F" w:rsidRDefault="00A8138F" w:rsidP="00A8138F">
      <w:pPr>
        <w:pStyle w:val="TextoNormal"/>
      </w:pPr>
    </w:p>
    <w:p w14:paraId="18DFC20B" w14:textId="77777777" w:rsidR="00A8138F" w:rsidRDefault="00A8138F" w:rsidP="00A8138F">
      <w:pPr>
        <w:pStyle w:val="TextoNormal"/>
      </w:pPr>
      <w:r>
        <w:t>144. El principio de división y separación de poderes es el eje vertebral del Estado social y democrático de Derecho que los españoles hemos diseñado, como poder constituyente, mediante la Constitución de 1978 (artículo 1.1 CE). Es, por otra parte, un principio político y jurídico que impregna la estructura de todos los Estados democráticos.</w:t>
      </w:r>
    </w:p>
    <w:p w14:paraId="0A5784E8" w14:textId="77777777" w:rsidR="00A8138F" w:rsidRDefault="00A8138F" w:rsidP="00A8138F">
      <w:pPr>
        <w:pStyle w:val="TextoNormal"/>
      </w:pPr>
    </w:p>
    <w:p w14:paraId="3DA01903" w14:textId="77777777" w:rsidR="00A8138F" w:rsidRDefault="00A8138F" w:rsidP="00A8138F">
      <w:pPr>
        <w:pStyle w:val="TextoNormal"/>
      </w:pPr>
      <w:r>
        <w:t>145. Este tribunal, desde sus primeros pronunciamientos, ha configurado las notas características del principio de división y separación de poderes (SSTC 108/1986, de 29 de julio, FJ 6; 166/1986, de 19 de diciembre, FJ 11; 123/2001, de 4 de junio, FJ 11; 38/2003, de 27 de febrero, FJ 8; 231/2015, de 5 de noviembre, FJ 4; 33/2019, de 14 de marzo, FJ 3; 149/2020, de 22 de octubre, FJ 4, y 34/2021, de 17 de febrero, FJ 3, por todas). Su carácter vertebrador ha sido destacado resaltando que se trata de un principio esencial del Estado social y democrático de Derecho (artículo 1.1 CE). Las propias previsiones constitucionales, como han recordado las SSTC 48/2001, de 26 de febrero, FJ 4, y 124/2018, de 14 de noviembre, FJ 6, lo han perfilado en sus artículos 66.2, 96 y 117.1.3 y 4 CE a los que aluden los recurrentes en su escrito de impugnación.</w:t>
      </w:r>
    </w:p>
    <w:p w14:paraId="2308A98F" w14:textId="77777777" w:rsidR="00A8138F" w:rsidRDefault="00A8138F" w:rsidP="00A8138F">
      <w:pPr>
        <w:pStyle w:val="TextoNormal"/>
      </w:pPr>
    </w:p>
    <w:p w14:paraId="48AC2C24" w14:textId="77777777" w:rsidR="00A8138F" w:rsidRDefault="00A8138F" w:rsidP="00A8138F">
      <w:pPr>
        <w:pStyle w:val="TextoNormal"/>
      </w:pPr>
      <w:r>
        <w:t>b</w:t>
      </w:r>
      <w:r w:rsidRPr="00A8138F">
        <w:rPr>
          <w:i/>
        </w:rPr>
        <w:t>) La flexibilización del principio de separación de poderes: sus límit</w:t>
      </w:r>
      <w:r>
        <w:t>es</w:t>
      </w:r>
    </w:p>
    <w:p w14:paraId="24D4A4E0" w14:textId="77777777" w:rsidR="00A8138F" w:rsidRDefault="00A8138F" w:rsidP="00A8138F">
      <w:pPr>
        <w:pStyle w:val="TextoNormal"/>
      </w:pPr>
    </w:p>
    <w:p w14:paraId="1C6337AD" w14:textId="77777777" w:rsidR="00A8138F" w:rsidRDefault="00A8138F" w:rsidP="00A8138F">
      <w:pPr>
        <w:pStyle w:val="TextoNormal"/>
      </w:pPr>
      <w:r>
        <w:t>146. Es cierto que el devenir histórico del sistema constitucional de división de poderes ha conducido a una adaptación o modulación de dicho principio que permite hoy hablar de una cierta disolución entre el contenido de las decisiones propias de cada una de dichas funciones —legislativa, ejecutiva y judicial— que es admitida “siempre que no exista intromisión de uno de dichos poderes en la función propia del otro” (STC 166/1986, FJ 11) y esté expresamente reconocida en la propia Constitución.</w:t>
      </w:r>
    </w:p>
    <w:p w14:paraId="491A3187" w14:textId="77777777" w:rsidR="00A8138F" w:rsidRDefault="00A8138F" w:rsidP="00A8138F">
      <w:pPr>
        <w:pStyle w:val="TextoNormal"/>
      </w:pPr>
    </w:p>
    <w:p w14:paraId="4F50F434" w14:textId="77777777" w:rsidR="00A8138F" w:rsidRDefault="00A8138F" w:rsidP="00A8138F">
      <w:pPr>
        <w:pStyle w:val="TextoNormal"/>
      </w:pPr>
      <w:r>
        <w:t>147. Esa flexibilización no ha sido rechazada constitucionalmente cuando la propia Constitución ha omitido reservar de modo expreso y exclusivo a uno de los tres poderes del Estado una determinada competencia. Esto es, se admite la flexibilización cuando el constituyente considera que la misma es connatural a la propia esencia de dicho poder y no lo desnaturaliza. Así ha sucedido con la función legislativa, en que la Constitución no ha establecido un monopolio exclusivo para las Cortes Generales, reconociendo expresamente que el Gobierno pueda dictar, con límites en muchas ocasiones desbordados, decretos-leyes.</w:t>
      </w:r>
    </w:p>
    <w:p w14:paraId="18B3FF9C" w14:textId="77777777" w:rsidR="00A8138F" w:rsidRDefault="00A8138F" w:rsidP="00A8138F">
      <w:pPr>
        <w:pStyle w:val="TextoNormal"/>
      </w:pPr>
    </w:p>
    <w:p w14:paraId="3A07C13F" w14:textId="77777777" w:rsidR="00A8138F" w:rsidRDefault="00A8138F" w:rsidP="00A8138F">
      <w:pPr>
        <w:pStyle w:val="TextoNormal"/>
      </w:pPr>
      <w:r>
        <w:t>148. Por el contrario, cuando existe una previsión constitucional en virtud de la cual el constituyente ha reservado en exclusiva a determinado poder una concreta función, como sucede con el ejercicio de la función jurisdiccional: “[e]l ejercicio de la función jurisdiccional en todo tipo de procesos, juzgando y haciendo ejecutar lo juzgado, corresponde exclusivamente a los juzgados y tribunales determinados por la leyes” (artículo 117.3 CE), la incursión en la misma de otro poder distinto determina la censura de inconstitucionalidad de dicha injerencia por el desconocimiento que supone de la arquitectura constitucional en la que la separación de poderes es una piedra angular.</w:t>
      </w:r>
    </w:p>
    <w:p w14:paraId="0897CA58" w14:textId="77777777" w:rsidR="00A8138F" w:rsidRDefault="00A8138F" w:rsidP="00A8138F">
      <w:pPr>
        <w:pStyle w:val="TextoNormal"/>
      </w:pPr>
    </w:p>
    <w:p w14:paraId="3D531766" w14:textId="77777777" w:rsidR="00A8138F" w:rsidRDefault="00A8138F" w:rsidP="00A8138F">
      <w:pPr>
        <w:pStyle w:val="TextoNormal"/>
      </w:pPr>
      <w:r>
        <w:t xml:space="preserve">149. Este tribunal se ha hecho eco de dicho planteamiento. De este modo hemos censurado dicha injerencia en los casos en que el Ejecutivo, desbordando la habilitación constitucional, ha irrumpido en el Poder Legislativo y ha regulado materias reservadas al Parlamento, sea en forma de ley o de ley orgánica, mereciendo entonces el reproche de inconstitucionalidad de este tribunal (SSTC 111/1983, de 2 de diciembre, FJ 5, o 182/1997, de 28 de octubre, FJ </w:t>
      </w:r>
      <w:r w:rsidRPr="00A8138F">
        <w:rPr>
          <w:i/>
        </w:rPr>
        <w:t>7 b</w:t>
      </w:r>
      <w:r>
        <w:t>is, en relación con los artículos 31.1 y 133.1 CE, entre otras muchas).</w:t>
      </w:r>
    </w:p>
    <w:p w14:paraId="47DF750C" w14:textId="77777777" w:rsidR="00A8138F" w:rsidRDefault="00A8138F" w:rsidP="00A8138F">
      <w:pPr>
        <w:pStyle w:val="TextoNormal"/>
      </w:pPr>
    </w:p>
    <w:p w14:paraId="5B1F1FA6" w14:textId="77777777" w:rsidR="00A8138F" w:rsidRDefault="00A8138F" w:rsidP="00A8138F">
      <w:pPr>
        <w:pStyle w:val="TextoNormal"/>
      </w:pPr>
      <w:r>
        <w:t>150. También las Cortes Generales han merecido nuestro reproche y hemos censurado constitucionalmente su labor, por desconocer el principio de separación de poderes. No hace mucho de ello, en la STC 70/2022, de 2 de junio, tuvimos ocasión de declarar la inconstitucionalidad de determinados preceptos de la Ley 29/1998, de 13 de julio, reguladora de la jurisdicción contencioso-administrativa, en la redacción dada por la disposición final segunda de la Ley 3/2020, de 18 de septiembre, de medidas procesales y organizativas para hacer frente al covid-19 en el ámbito de la administración de justicia.</w:t>
      </w:r>
    </w:p>
    <w:p w14:paraId="3BD71686" w14:textId="77777777" w:rsidR="00A8138F" w:rsidRDefault="00A8138F" w:rsidP="00A8138F">
      <w:pPr>
        <w:pStyle w:val="TextoNormal"/>
      </w:pPr>
    </w:p>
    <w:p w14:paraId="2CEC09B3" w14:textId="77777777" w:rsidR="00A8138F" w:rsidRDefault="00A8138F" w:rsidP="00A8138F">
      <w:pPr>
        <w:pStyle w:val="TextoNormal"/>
      </w:pPr>
      <w:r>
        <w:t>151. La razón de nuestro pronunciamiento fue clara: la ausencia de previsión constitucional expresa en el artículo 117.4 CE que admitiera un control judicial preventivo erigido como condición de eficacia de una disposición reglamentaria, socava el principio de separación de poderes al producir “una inconstitucional confusión de las funciones ejecutiva y judicial, que despoja al Poder Ejecutivo de la potestad reglamentaria que tiene constitucionalmente atribuida (artículo 97 CE) y al mismo tiempo compromete la independencia del Poder Judicial (artículos 117.1, 124.1 y 127.2 CE), al hacerle corresponsable de la decisión política que solo al Poder Ejecutivo corresponde”.</w:t>
      </w:r>
    </w:p>
    <w:p w14:paraId="1AD8662B" w14:textId="77777777" w:rsidR="00A8138F" w:rsidRDefault="00A8138F" w:rsidP="00A8138F">
      <w:pPr>
        <w:pStyle w:val="TextoNormal"/>
      </w:pPr>
    </w:p>
    <w:p w14:paraId="1F86E754" w14:textId="77777777" w:rsidR="00A8138F" w:rsidRDefault="00A8138F" w:rsidP="00A8138F">
      <w:pPr>
        <w:pStyle w:val="TextoNormal"/>
      </w:pPr>
      <w:r>
        <w:t>152. De modo que, solamente cabe admitir la maleabilidad del principio de separación de poderes cuando exista una previsión constitucional que atribuya dicha concreta potestad a uno de los poderes —la ley no puede suplir la inexistencia de previsión constitucional en este ámbito— y, por otra parte, es necesario que la concreta función atribuida no despoje al otro poder de sus funciones, no lo desnaturalice.</w:t>
      </w:r>
    </w:p>
    <w:p w14:paraId="6BD34AB6" w14:textId="77777777" w:rsidR="00A8138F" w:rsidRDefault="00A8138F" w:rsidP="00A8138F">
      <w:pPr>
        <w:pStyle w:val="TextoNormal"/>
      </w:pPr>
    </w:p>
    <w:p w14:paraId="1ACAF2F0" w14:textId="77777777" w:rsidR="00A8138F" w:rsidRDefault="00A8138F" w:rsidP="00A8138F">
      <w:pPr>
        <w:pStyle w:val="TextoNormal"/>
      </w:pPr>
      <w:r>
        <w:t>153. Como es evidente, una institución como la amnistía, que supone una desviación palmaria del principio de separación de poderes, exige la expresa previsión en la Constitución, en tanto que, como norma fundamental y vertebradora, protege la funcionalidad de la democracia constitucional.</w:t>
      </w:r>
    </w:p>
    <w:p w14:paraId="2425ABFF" w14:textId="77777777" w:rsidR="00A8138F" w:rsidRDefault="00A8138F" w:rsidP="00A8138F">
      <w:pPr>
        <w:pStyle w:val="TextoNormal"/>
      </w:pPr>
    </w:p>
    <w:p w14:paraId="544ECA7A" w14:textId="77777777" w:rsidR="00A8138F" w:rsidRDefault="00A8138F" w:rsidP="00A8138F">
      <w:pPr>
        <w:pStyle w:val="TextoNormal"/>
      </w:pPr>
      <w:r>
        <w:t>c</w:t>
      </w:r>
      <w:r w:rsidRPr="00A8138F">
        <w:rPr>
          <w:i/>
        </w:rPr>
        <w:t>) El sometimiento de las Cortes Generales a la Constituci</w:t>
      </w:r>
      <w:r>
        <w:t>ón</w:t>
      </w:r>
    </w:p>
    <w:p w14:paraId="2A300AC1" w14:textId="77777777" w:rsidR="00A8138F" w:rsidRDefault="00A8138F" w:rsidP="00A8138F">
      <w:pPr>
        <w:pStyle w:val="TextoNormal"/>
      </w:pPr>
    </w:p>
    <w:p w14:paraId="09A8E640" w14:textId="77777777" w:rsidR="00A8138F" w:rsidRDefault="00A8138F" w:rsidP="00A8138F">
      <w:pPr>
        <w:pStyle w:val="TextoNormal"/>
      </w:pPr>
      <w:r>
        <w:t xml:space="preserve">154. Conviene recordar que el deber de fidelidad a la Constitución por parte de los poderes públicos constituye un soporte esencial del funcionamiento del Estado, cuya observancia resulta obligada (STC 247/2007, de 12 diciembre, FJ 4). Por tanto, son las Cortes Generales, en su condición de poder constituido, las que, </w:t>
      </w:r>
      <w:r w:rsidRPr="00A8138F">
        <w:rPr>
          <w:i/>
        </w:rPr>
        <w:t>prima facie</w:t>
      </w:r>
      <w:r>
        <w:t>, deben velar por que sus decisiones se acomoden, en todo momento, a la Constitución y al resto del ordenamiento jurídico (artículo 9.1 CE). Que “esto sea así para todo poder público deriva, inexcusablemente, de la condición de nuestro Estado como constitucional y de Derecho” (STC 259/2015, FJ 4). El juego de las mayorías propio de la soberanía parlamentaria no puede significar el desconocimiento de la democracia constitucional que es la única democracia posible en nuestro Estado de Derecho.</w:t>
      </w:r>
    </w:p>
    <w:p w14:paraId="22604C7A" w14:textId="77777777" w:rsidR="00A8138F" w:rsidRDefault="00A8138F" w:rsidP="00A8138F">
      <w:pPr>
        <w:pStyle w:val="TextoNormal"/>
      </w:pPr>
    </w:p>
    <w:p w14:paraId="6CADA889" w14:textId="77777777" w:rsidR="00A8138F" w:rsidRDefault="00A8138F" w:rsidP="00A8138F">
      <w:pPr>
        <w:pStyle w:val="TextoNormal"/>
      </w:pPr>
      <w:r>
        <w:t>155. Por tanto, “el ordenamiento jurídico, con la Constitución en su cúspide, en ningún caso puede ser considerado como límite de la democracia, sino como su garantía misma” (STC 259/2015, FJ 5). Dicha garantía exige, como esencial, el correcto y eficaz funcionamiento del control de constitucionalidad, pues también el Tribunal Constitucional está sujeto a la Constitución y no se puede sustraer de ella.</w:t>
      </w:r>
    </w:p>
    <w:p w14:paraId="51948EAA" w14:textId="77777777" w:rsidR="00A8138F" w:rsidRDefault="00A8138F" w:rsidP="00A8138F">
      <w:pPr>
        <w:pStyle w:val="TextoNormal"/>
      </w:pPr>
    </w:p>
    <w:p w14:paraId="660E8A6C" w14:textId="77777777" w:rsidR="00A8138F" w:rsidRDefault="00A8138F" w:rsidP="00A8138F">
      <w:pPr>
        <w:pStyle w:val="TextoNormal"/>
      </w:pPr>
      <w:r>
        <w:t>156. La Constitución es la encarnación del poder constituyente. De este modo, el “pueblo soberano, concebido como la unidad ideal de imputación del poder constituyente, ratificó en referéndum el texto acordado previamente por sus representantes políticos. La primacía incondicional de la Constitución también protege el principio democrático” (STC 259/2015, FJ 5).</w:t>
      </w:r>
    </w:p>
    <w:p w14:paraId="1A85A3D0" w14:textId="77777777" w:rsidR="00A8138F" w:rsidRDefault="00A8138F" w:rsidP="00A8138F">
      <w:pPr>
        <w:pStyle w:val="TextoNormal"/>
      </w:pPr>
    </w:p>
    <w:p w14:paraId="0359DA35" w14:textId="77777777" w:rsidR="00A8138F" w:rsidRDefault="00A8138F" w:rsidP="00A8138F">
      <w:pPr>
        <w:pStyle w:val="TextoNormal"/>
      </w:pPr>
      <w:r>
        <w:t>157. Ha de reiterarse igualmente que “en el Estado social y democrático de Derecho configurado por la Constitución de 1978 no cabe contraponer legitimidad democrática y legalidad constitucional en detrimento de la segunda”, pues la legitimidad de cualquier actuación del poder público se basa en su conformidad con la Constitución, que tiene, precisamente, su fundamento en el principio democrático y en el valor superior de la justicia (artículo 1.1 CE). De modo que “la primacía incondicional de la Constitución es la garantía de la democracia tanto por su fuente de legitimación y por su contenido, como por la previsión misma de procedimientos para su reforma” (STC 259/2015, FJ 5).</w:t>
      </w:r>
    </w:p>
    <w:p w14:paraId="1E900058" w14:textId="77777777" w:rsidR="00A8138F" w:rsidRDefault="00A8138F" w:rsidP="00A8138F">
      <w:pPr>
        <w:pStyle w:val="TextoNormal"/>
      </w:pPr>
    </w:p>
    <w:p w14:paraId="48C0A3B0" w14:textId="77777777" w:rsidR="00A8138F" w:rsidRDefault="00A8138F" w:rsidP="00A8138F">
      <w:pPr>
        <w:pStyle w:val="TextoNormal"/>
      </w:pPr>
      <w:r>
        <w:t>158. De este modo, siguiendo con la cita referida, este tribunal destaca que “el principio democrático, que constituye un valor superior de nuestro ordenamiento jurídico reflejado en el artículo 1.1 CE (STC 204/2011, de 15 de diciembre, FJ 8) y que cuenta con diversas manifestaciones constitucionales [STC 42/2014, FJ 4 a)], no puede concebirse, como principio constitucional, de forma aislada y desvinculada del conjunto del ordenamiento constitucional y sus procesos. […] [L]a primacía incondicional de la Constitución es garantía de la democracia tanto por su fuente de legitimación y por su contenido como por la previsión misma de procedimientos para su reforma”.</w:t>
      </w:r>
    </w:p>
    <w:p w14:paraId="3F3816CF" w14:textId="77777777" w:rsidR="00A8138F" w:rsidRDefault="00A8138F" w:rsidP="00A8138F">
      <w:pPr>
        <w:pStyle w:val="TextoNormal"/>
      </w:pPr>
    </w:p>
    <w:p w14:paraId="6231F00B" w14:textId="77777777" w:rsidR="00A8138F" w:rsidRDefault="00A8138F" w:rsidP="00A8138F">
      <w:pPr>
        <w:pStyle w:val="TextoNormal"/>
      </w:pPr>
      <w:r>
        <w:t>159. El sometimiento a la Constitución de todos los poderes y demás instituciones públicas (artículo 9.1 CE) comporta necesariamente el sometimiento de todo poder constituido a control, en aras a garantizar la libertad de los ciudadanos, evitando así las tentaciones de arbitrariedad. Ningún poder constituido puede situarse en el lugar del poder constituyente. Su poder será el que el constituyente le haya atribuido.</w:t>
      </w:r>
    </w:p>
    <w:p w14:paraId="20511827" w14:textId="77777777" w:rsidR="00A8138F" w:rsidRDefault="00A8138F" w:rsidP="00A8138F">
      <w:pPr>
        <w:pStyle w:val="TextoNormal"/>
      </w:pPr>
    </w:p>
    <w:p w14:paraId="5CCD2A3A" w14:textId="77777777" w:rsidR="00A8138F" w:rsidRDefault="00A8138F" w:rsidP="00A8138F">
      <w:pPr>
        <w:pStyle w:val="TextoNormal"/>
      </w:pPr>
      <w:r>
        <w:t>d</w:t>
      </w:r>
      <w:r w:rsidRPr="00A8138F">
        <w:rPr>
          <w:i/>
        </w:rPr>
        <w:t>) La función legislativa no habilita la aprobación de la amnist</w:t>
      </w:r>
      <w:r>
        <w:t>ía</w:t>
      </w:r>
    </w:p>
    <w:p w14:paraId="50770E3A" w14:textId="77777777" w:rsidR="00A8138F" w:rsidRDefault="00A8138F" w:rsidP="00A8138F">
      <w:pPr>
        <w:pStyle w:val="TextoNormal"/>
      </w:pPr>
    </w:p>
    <w:p w14:paraId="2DC1901B" w14:textId="77777777" w:rsidR="00A8138F" w:rsidRDefault="00A8138F" w:rsidP="00A8138F">
      <w:pPr>
        <w:pStyle w:val="TextoNormal"/>
      </w:pPr>
      <w:r>
        <w:t>160. Desde el prisma de que toda legitimación de los poderes constituidos emana de la Constitución y de la consideración de esta como instrumento de limitación del poder político, no es posible sostener que el silencio en la Constitución española acerca de la amnistía permita deducir que la misma está permitida. El pretendido fundamento de la amnistía en la mudez constitucional que la sentencia sostiene en un mal entendido principio de vinculación negativa (FJ 3.2.1), entra en clara contradicción, además de con el principio de separación de poderes, con el concepto de Constitución, y con los orígenes del constitucionalismo, en cuanto se concibe a la norma fundamental como fuente legitimadora y limitadora de las atribuciones de los poderes públicos en garantía de la libertad de los ciudadanos.</w:t>
      </w:r>
    </w:p>
    <w:p w14:paraId="354C2197" w14:textId="77777777" w:rsidR="00A8138F" w:rsidRDefault="00A8138F" w:rsidP="00A8138F">
      <w:pPr>
        <w:pStyle w:val="TextoNormal"/>
      </w:pPr>
    </w:p>
    <w:p w14:paraId="00E7C820" w14:textId="77777777" w:rsidR="00A8138F" w:rsidRDefault="00A8138F" w:rsidP="00A8138F">
      <w:pPr>
        <w:pStyle w:val="TextoNormal"/>
      </w:pPr>
      <w:r>
        <w:t>161. La invocación del silencio constitucional como fuente de legitimación tropieza con la propia naturaleza de la amnistía, que, tal y como reconoce la propia sentencia (en su fundamento jurídico 2.2), constituye una institución excepcional en el sistema jurídico y, como tal, desplaza o altera el funcionamiento ordinario de los principios constitucionales. La invocación extrapolada e impropia de la doctrina constitucional sobre la “libertad de configuración del legislador” y sobre una supuesta “Constitución concebida como norma abierta”, a la que se refiere la sentencia en su fundamento jurídico 3.2.1, no puede erigirse en justificación para considerar el silencio constitucional como fuente de legitimación de la actuación del Parlamento. Tal fundamentación resulta insuficiente para atribuir a las Cortes Generales potestades que no se hallen expresamente reconocidas —ni siquiera implícitamente inferidas— del texto constitucional, so pena de vaciar de contenido los principios de supremacía constitucional y de distribución competencial entre los poderes del Estado.</w:t>
      </w:r>
    </w:p>
    <w:p w14:paraId="14B09038" w14:textId="77777777" w:rsidR="00A8138F" w:rsidRDefault="00A8138F" w:rsidP="00A8138F">
      <w:pPr>
        <w:pStyle w:val="TextoNormal"/>
      </w:pPr>
    </w:p>
    <w:p w14:paraId="7055E067" w14:textId="77777777" w:rsidR="00A8138F" w:rsidRDefault="00A8138F" w:rsidP="00A8138F">
      <w:pPr>
        <w:pStyle w:val="TextoNormal"/>
      </w:pPr>
      <w:r>
        <w:t>162. La tesis sostenida por la sentencia, según la cual el legislador puede actuar en cualquier ámbito que no le esté expresamente vedado, conduce a admitir, como efectivamente ocurre con la Ley Orgánica de amnistía, la intervención del Parlamento en esferas constitucionalmente reservadas a otros poderes del Estado. Esta concepción resulta incompatible no solo con el principio de separación de poderes, sino también con la propia noción de democracia constitucional que fundamenta nuestro Estado de Derecho. En este marco, la potestad de conceder amnistías no figura entre las funciones atribuidas a las Cortes Generales por el artículo 66.2 de la Constitución, como se expondrá más adelante.</w:t>
      </w:r>
    </w:p>
    <w:p w14:paraId="65194B71" w14:textId="77777777" w:rsidR="00A8138F" w:rsidRDefault="00A8138F" w:rsidP="00A8138F">
      <w:pPr>
        <w:pStyle w:val="TextoNormal"/>
      </w:pPr>
    </w:p>
    <w:p w14:paraId="216483F6" w14:textId="77777777" w:rsidR="00A8138F" w:rsidRDefault="00A8138F" w:rsidP="00A8138F">
      <w:pPr>
        <w:pStyle w:val="TextoNormal"/>
      </w:pPr>
      <w:r>
        <w:t xml:space="preserve">163. Si bien para los ciudadanos, de modo coherente con el reconocimiento de la libertad como valor superior del ordenamiento jurídico (artículo 1.1 CE), rige la máxima </w:t>
      </w:r>
      <w:r w:rsidRPr="00A8138F">
        <w:rPr>
          <w:i/>
        </w:rPr>
        <w:t>permissum quia non prohibitur</w:t>
      </w:r>
      <w:r>
        <w:t xml:space="preserve"> (está permitido todo lo no prohibido); para los poderes, la regla es la inversa </w:t>
      </w:r>
      <w:r w:rsidRPr="00A8138F">
        <w:rPr>
          <w:i/>
        </w:rPr>
        <w:t>quae non sunt permissa prohibita intelliguntur</w:t>
      </w:r>
      <w:r>
        <w:t xml:space="preserve"> (lo que no está permitido, se entiende prohibido). Esta regla recoge el principio de vinculación positiva que rige en nuestro ordenamiento jurídico en las relaciones entre el poder público y el Derecho. Se impide a cualquiera de los poderes del Estado, incluido el Legislativo, extenderse a aquellos ámbitos expresamente protegidos constitucionalmente para los que no tiene habilitación constitucional.</w:t>
      </w:r>
    </w:p>
    <w:p w14:paraId="0138FAC2" w14:textId="77777777" w:rsidR="00A8138F" w:rsidRDefault="00A8138F" w:rsidP="00A8138F">
      <w:pPr>
        <w:pStyle w:val="TextoNormal"/>
      </w:pPr>
    </w:p>
    <w:p w14:paraId="484322A8" w14:textId="77777777" w:rsidR="00A8138F" w:rsidRDefault="00A8138F" w:rsidP="00A8138F">
      <w:pPr>
        <w:pStyle w:val="TextoNormal"/>
      </w:pPr>
      <w:r>
        <w:t>164. Hasta ahora ha sido aceptada la distinción esencial entre la esfera de actuación de los ciudadanos y la de los poderes públicos. En un régimen democrático y constitucional, como el configurado por la Constitución española de 1978, los ciudadanos gozan de una presunción general de libertad. Esto significa que su comportamiento no necesita una habilitación legal específica, salvo en los casos en que el ordenamiento prohíba o limite una determinada conducta por razones justificadas (protección del orden público, derechos de terceros, interés general, etc.). Así, la libertad se presume y la restricción debe estar legalmente justificada y proporcionada, conforme al principio de legalidad y al de intervención mínima.</w:t>
      </w:r>
    </w:p>
    <w:p w14:paraId="4A0AE1A7" w14:textId="77777777" w:rsidR="00A8138F" w:rsidRDefault="00A8138F" w:rsidP="00A8138F">
      <w:pPr>
        <w:pStyle w:val="TextoNormal"/>
      </w:pPr>
    </w:p>
    <w:p w14:paraId="276234A2" w14:textId="77777777" w:rsidR="00A8138F" w:rsidRDefault="00A8138F" w:rsidP="00A8138F">
      <w:pPr>
        <w:pStyle w:val="TextoNormal"/>
      </w:pPr>
      <w:r>
        <w:t>165. Esta lógica se corresponde con el reconocimiento de la libertad como valor superior del ordenamiento jurídico (artículo 1.1 CE) y con la amplia proclamación de derechos fundamentales y libertades públicas en el título I de la Constitución. De ahí que se diga que, para los ciudadanos, todo lo que no está expresamente prohibido está permitido. Lo ha afirmado el Tribunal desde sus primeras sentencias al expresar que “el principio general de libertad que la Constitución (artículo 1.1) consagra, autoriza a los ciudadanos a llevar a cabo todas aquellas actividades que la ley no prohíba, o cuyo ejercicio no subordine a requisitos o condiciones determinados; […] el principio de legalidad (arts. 9.3 y 103.1) [en cambio] impide que la Administración dicte normas sin la suficiente habilitación legal” (STC 83/1984, de 24 de julio, FJ 3)”.</w:t>
      </w:r>
    </w:p>
    <w:p w14:paraId="2F4AF55C" w14:textId="77777777" w:rsidR="00A8138F" w:rsidRDefault="00A8138F" w:rsidP="00A8138F">
      <w:pPr>
        <w:pStyle w:val="TextoNormal"/>
      </w:pPr>
    </w:p>
    <w:p w14:paraId="4163CAD8" w14:textId="77777777" w:rsidR="00A8138F" w:rsidRDefault="00A8138F" w:rsidP="00A8138F">
      <w:pPr>
        <w:pStyle w:val="TextoNormal"/>
      </w:pPr>
      <w:r>
        <w:t>166. Por el contrario, los poderes públicos están sometidos al principio de legalidad en un sentido estricto, tal como lo establece el artículo 103.1 CE para la administración pública: “la Administración actúa con sometimiento pleno a la ley y al Derecho” y el artículo 9.3 CE. Este último consagra el principio de legalidad como garantía de los derechos fundamentales y de la seguridad jurídica. Esta sumisión implica que los poderes públicos solo pueden actuar si existe una norma jurídica previa que les habilite para ello. Dicho de otro modo, frente a lo que viene a sostener la sentencia en su fundamento jurídico 3.2.1, los poderes públicos no pueden “inventar” competencias, ni atribuirse facultades, ni tomar decisiones, que no estén claramente previstas por el ordenamiento jurídico. Previsión que, como hemos reiterado, se proyecta también sobre las Cortes Generales conforme al artículo 9.1 CE.</w:t>
      </w:r>
    </w:p>
    <w:p w14:paraId="686050BE" w14:textId="77777777" w:rsidR="00A8138F" w:rsidRDefault="00A8138F" w:rsidP="00A8138F">
      <w:pPr>
        <w:pStyle w:val="TextoNormal"/>
      </w:pPr>
    </w:p>
    <w:p w14:paraId="0C089D55" w14:textId="77777777" w:rsidR="00A8138F" w:rsidRDefault="00A8138F" w:rsidP="00A8138F">
      <w:pPr>
        <w:pStyle w:val="TextoNormal"/>
      </w:pPr>
      <w:r>
        <w:t>167. Esta regla es consustancial con la lógica del Estado de Derecho, donde el poder se concibe como un instrumento al servicio del ciudadano, no al revés. Por tanto, mientras que el ciudadano se mueve en un ámbito de libertad, el poder se mueve en un ámbito de competencia estrictamente delimitada. No hay libertad sin límites al poder, y esos límites vienen impuestos por la ley, entendida en sentido amplio, esto es, comprensiva de la norma constitucional.</w:t>
      </w:r>
    </w:p>
    <w:p w14:paraId="2A205B31" w14:textId="77777777" w:rsidR="00A8138F" w:rsidRDefault="00A8138F" w:rsidP="00A8138F">
      <w:pPr>
        <w:pStyle w:val="TextoNormal"/>
      </w:pPr>
    </w:p>
    <w:p w14:paraId="1D167D5C" w14:textId="77777777" w:rsidR="00A8138F" w:rsidRDefault="00A8138F" w:rsidP="00A8138F">
      <w:pPr>
        <w:pStyle w:val="TextoNormal"/>
      </w:pPr>
      <w:r>
        <w:t>168. La ausencia de previsión expresa de la amnistía en la Constitución —sobre la que luego se insistirá— tiene relevancia, atendida su naturaleza distinta de la función legislativa entendida como “ejercicio de una potestad legislativa del Estado” en el artículo 66.2 CE. En el marco habilitado al legislador, es doctrina constitucional, concretada en la STC 149/2020, que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(STC 156/2014, FJ 6)”.</w:t>
      </w:r>
    </w:p>
    <w:p w14:paraId="163019D7" w14:textId="77777777" w:rsidR="00A8138F" w:rsidRDefault="00A8138F" w:rsidP="00A8138F">
      <w:pPr>
        <w:pStyle w:val="TextoNormal"/>
      </w:pPr>
    </w:p>
    <w:p w14:paraId="58547816" w14:textId="77777777" w:rsidR="00A8138F" w:rsidRDefault="00A8138F" w:rsidP="00A8138F">
      <w:pPr>
        <w:pStyle w:val="TextoNormal"/>
      </w:pPr>
      <w:r>
        <w:t>169. Es decir, la función legislativa supone una facultad habilitada y delimitada por la Constitución. A diferencia del poder, que puede ser legítimo o no —atributo que es inherente al mismo— y que necesariamente se desenvuelve de modo ilimitado, la potestad es por esencia limitada y se despliega siempre en el marco de facultades y límites habilitados y previstos por una norma —su ejercicio siempre es legítimo—. Tratándose de la potestad legislativa su ejercicio es siempre legítimo, al ser la Constitución la que residencia tal función en las Cortes Generales y le confiere la legitimidad de su ejercicio.</w:t>
      </w:r>
    </w:p>
    <w:p w14:paraId="16555054" w14:textId="77777777" w:rsidR="00A8138F" w:rsidRDefault="00A8138F" w:rsidP="00A8138F">
      <w:pPr>
        <w:pStyle w:val="TextoNormal"/>
      </w:pPr>
    </w:p>
    <w:p w14:paraId="2FB9077B" w14:textId="77777777" w:rsidR="00A8138F" w:rsidRDefault="00A8138F" w:rsidP="00A8138F">
      <w:pPr>
        <w:pStyle w:val="TextoNormal"/>
      </w:pPr>
      <w:r>
        <w:t>170. Ahora bien, ni las Cortes Generales pueden ejercer funciones que son propias del poder constituyente, ni pueden arrogarse otras que le corresponden en exclusiva —por atribución constitucional— a otros poderes del Estado, sin que exista una previsión constitucional expresa a tal fin, salvo que se quebrante el principio de sometimiento a la Constitución y se desconozca el principio de separación de poderes.</w:t>
      </w:r>
    </w:p>
    <w:p w14:paraId="6218F5F5" w14:textId="77777777" w:rsidR="00A8138F" w:rsidRDefault="00A8138F" w:rsidP="00A8138F">
      <w:pPr>
        <w:pStyle w:val="TextoNormal"/>
      </w:pPr>
    </w:p>
    <w:p w14:paraId="10DB81B4" w14:textId="77777777" w:rsidR="00A8138F" w:rsidRDefault="00A8138F" w:rsidP="00A8138F">
      <w:pPr>
        <w:pStyle w:val="TextoNormal"/>
      </w:pPr>
      <w:r>
        <w:t>171. El Tribunal Constitucional expresó, al respecto, que “las Cortes Generales, como titulares ‘de la potestad legislativa del Estado’ (art. 66.2 de la Constitución), pueden legislar en principio sobre cualquier materia sin necesidad de poseer un título específico para ello, pero esta potestad tiene sus límites, derivados de la propia Constitución, y, en todo caso, lo que las Cortes no pueden hacer es colocarse en el mismo plano del poder constituyente realizando actos propios de este, salvo en el caso en que la propia Constitución les atribuya alguna función constituyente. La distinción entre poder constituyente y poderes constituidos no opera tan solo en el momento de establecerse la Constitución; la voluntad y racionalidad del poder constituyente objetivadas en la Constitución no solo fundan en su origen sino que fundamentan permanentemente el orden jurídico y estatal y suponen un límite a la potestad del legislador. Al Tribunal Constitucional corresponde, en su función de intérprete supremo de la Constitución (artículo 1 LOTC), custodiar la permanente distinción entre la objetivación del poder constituyente y la actuación de los poderes constituidos, los cuales nunca podrán rebasar los límites y las competencias establecidas por aquel” (STC 76/1983, de 5 de agosto, FJ 4).</w:t>
      </w:r>
    </w:p>
    <w:p w14:paraId="652521C9" w14:textId="77777777" w:rsidR="00A8138F" w:rsidRDefault="00A8138F" w:rsidP="00A8138F">
      <w:pPr>
        <w:pStyle w:val="TextoNormal"/>
      </w:pPr>
    </w:p>
    <w:p w14:paraId="60348E34" w14:textId="77777777" w:rsidR="00A8138F" w:rsidRDefault="00A8138F" w:rsidP="00A8138F">
      <w:pPr>
        <w:pStyle w:val="TextoNormal"/>
      </w:pPr>
      <w:r>
        <w:t>172. El Poder Legislativo, como cualquier otro poder constituido al amparo de la legitimidad constitucional, está sometido a la Constitución española en el ejercicio de las atribuciones y funciones que aquella le autorice. Del artículo 66.2 CE resulta claro que la amnistía no está comprendida en el listado de funciones que el constituyente le ha atribuido “[…] ejercen la potestad legislativa del Estado, aprueban sus presupuestos, controlan la acción del Gobierno y tienen las demás competencias que les atribuya la Constitución”. Sin atribución constitucional de la amnistía a las Cortes Generales no cabe que estas puedan amnistiar.</w:t>
      </w:r>
    </w:p>
    <w:p w14:paraId="4E5E3876" w14:textId="77777777" w:rsidR="00A8138F" w:rsidRDefault="00A8138F" w:rsidP="00A8138F">
      <w:pPr>
        <w:pStyle w:val="TextoNormal"/>
      </w:pPr>
    </w:p>
    <w:p w14:paraId="7EC4EF33" w14:textId="77777777" w:rsidR="00A8138F" w:rsidRDefault="00A8138F" w:rsidP="00A8138F">
      <w:pPr>
        <w:pStyle w:val="TextoNormal"/>
      </w:pPr>
      <w:r>
        <w:t>173. La fórmula recogida en el artículo 66.2 CE configura un catálogo cerrado de funciones atribuidas a las Cortes Generales, que exige una habilitación constitucional expresa para el ejercicio de cualquier competencia adicional. Así se ha venido sosteniendo de forma reiterada en este voto particular, en oposición al criterio mantenido por la mayoría en la sentencia. En esta línea, la amnistía no figura en ningún precepto constitucional como competencia atribuida al legislador, a diferencia de otros supuestos como la aprobación de leyes, de los presupuestos generales del Estado; la declaración de los estados excepcionales (arts. 81 y 116 CE), o el indulto individual [regulado por ley pero ejecutado por el Gobierno, conforme al artículo 62 i) CE].</w:t>
      </w:r>
    </w:p>
    <w:p w14:paraId="3CE59735" w14:textId="77777777" w:rsidR="00A8138F" w:rsidRDefault="00A8138F" w:rsidP="00A8138F">
      <w:pPr>
        <w:pStyle w:val="TextoNormal"/>
      </w:pPr>
    </w:p>
    <w:p w14:paraId="4BCE3DCC" w14:textId="77777777" w:rsidR="00A8138F" w:rsidRDefault="00A8138F" w:rsidP="00A8138F">
      <w:pPr>
        <w:pStyle w:val="TextoNormal"/>
      </w:pPr>
      <w:r>
        <w:t>174. La cláusula final del artículo 66.2 CE —“y las demás competencias que les atribuya la Constitución”— no admite, bajo ningún criterio constitucionalmente válido, una interpretación expansiva que transforme el silencio del texto en fuente de legitimación competencial. Pretender lo contrario implica subvertir abiertamente el principio de legalidad constitucional, pues dicha cláusula no constituye una habilitación general, ni puede operar como una puerta trasera para introducir potestades no previstas en el marco normativo constitucional.</w:t>
      </w:r>
    </w:p>
    <w:p w14:paraId="3565D03F" w14:textId="77777777" w:rsidR="00A8138F" w:rsidRDefault="00A8138F" w:rsidP="00A8138F">
      <w:pPr>
        <w:pStyle w:val="TextoNormal"/>
      </w:pPr>
    </w:p>
    <w:p w14:paraId="015E5FC3" w14:textId="77777777" w:rsidR="00A8138F" w:rsidRDefault="00A8138F" w:rsidP="00A8138F">
      <w:pPr>
        <w:pStyle w:val="TextoNormal"/>
      </w:pPr>
      <w:r>
        <w:t>175. Por ello, invocar el silencio constitucional como fundamento habilitante para que el Parlamento conceda una amnistía (fundamento jurídico 3.2.1 de la sentencia) no solo carece de sustento jurídico, sino que supone una reinterpretación forzada y contraria a la lógica del texto constitucional, que altera el equilibrio de poderes y desfigura los límites que el propio constituyente impuso al Poder Legislativo. Convertir el silencio en fuente de poder es negar la supremacía de la Constitución, y abrir la vía a una concepción ilimitada de la potestad parlamentaria, radicalmente incompatible con los principios del constitucionalismo democrático.</w:t>
      </w:r>
    </w:p>
    <w:p w14:paraId="52C54607" w14:textId="77777777" w:rsidR="00A8138F" w:rsidRPr="00A8138F" w:rsidRDefault="00A8138F" w:rsidP="00A8138F">
      <w:pPr>
        <w:pStyle w:val="TextoNormal"/>
        <w:rPr>
          <w:i/>
        </w:rPr>
      </w:pPr>
    </w:p>
    <w:p w14:paraId="23AC2AE3" w14:textId="77777777" w:rsidR="00A8138F" w:rsidRDefault="00A8138F" w:rsidP="00A8138F">
      <w:pPr>
        <w:pStyle w:val="TextoNormal"/>
      </w:pPr>
      <w:r w:rsidRPr="00A8138F">
        <w:rPr>
          <w:i/>
        </w:rPr>
        <w:t>e) La falta de habilitación constitucional para aprobar una ley de amnistía y su incompatibilidad con el principio de separación de poderes al invadir funciones reservadas al Poder Judicial (artículos 117.3 y 11</w:t>
      </w:r>
      <w:r>
        <w:t>8 CE)</w:t>
      </w:r>
    </w:p>
    <w:p w14:paraId="5D7404DE" w14:textId="77777777" w:rsidR="00A8138F" w:rsidRDefault="00A8138F" w:rsidP="00A8138F">
      <w:pPr>
        <w:pStyle w:val="TextoNormal"/>
      </w:pPr>
    </w:p>
    <w:p w14:paraId="5964D44B" w14:textId="77777777" w:rsidR="00A8138F" w:rsidRDefault="00A8138F" w:rsidP="00A8138F">
      <w:pPr>
        <w:pStyle w:val="TextoNormal"/>
      </w:pPr>
      <w:r>
        <w:t>(i</w:t>
      </w:r>
      <w:r w:rsidRPr="00A8138F">
        <w:rPr>
          <w:i/>
        </w:rPr>
        <w:t>) Exigencia de reconocimiento constitucional expreso de la amnist</w:t>
      </w:r>
      <w:r>
        <w:t>ía</w:t>
      </w:r>
    </w:p>
    <w:p w14:paraId="53700696" w14:textId="77777777" w:rsidR="00A8138F" w:rsidRDefault="00A8138F" w:rsidP="00A8138F">
      <w:pPr>
        <w:pStyle w:val="TextoNormal"/>
      </w:pPr>
    </w:p>
    <w:p w14:paraId="007078FB" w14:textId="77777777" w:rsidR="00A8138F" w:rsidRDefault="00A8138F" w:rsidP="00A8138F">
      <w:pPr>
        <w:pStyle w:val="TextoNormal"/>
      </w:pPr>
      <w:r>
        <w:t>176. Aun admitiendo, a efectos dialécticos, que la Ley Orgánica 1/2024 contemplara en términos materiales una amnistía —en el siguiente apartado se justificará que la exoneración de responsabilidad aprobada por la Ley de amnistía no puede considerarse como tal, sino como un acto arbitrario de ejercicio del poder—, las Cortes Generales no tendrían legitimación para aprobarla.</w:t>
      </w:r>
    </w:p>
    <w:p w14:paraId="5A33EF99" w14:textId="77777777" w:rsidR="00A8138F" w:rsidRDefault="00A8138F" w:rsidP="00A8138F">
      <w:pPr>
        <w:pStyle w:val="TextoNormal"/>
      </w:pPr>
    </w:p>
    <w:p w14:paraId="7B133CDE" w14:textId="77777777" w:rsidR="00A8138F" w:rsidRDefault="00A8138F" w:rsidP="00A8138F">
      <w:pPr>
        <w:pStyle w:val="TextoNormal"/>
      </w:pPr>
      <w:r>
        <w:t>177. Una norma de tanto impacto en los derechos y principios fundamentales y que exceptúa principios constitucionales expresamente reconocidos en la Constitución, despoja al Poder Judicial de su función propia (artículo 117.3 CE) y socava el obligado cumplimiento de las sentencias y demás resoluciones firmes de los jueces y tribunales (artículo 118 CE); únicamente podría tener cabida constitucional, como se ha adelantado, si expresamente la propia Constitución atribuyera a las Cortes dicha facultad, como sucede en otros textos constitucionales de nuestro entorno y de más allá del mismo.</w:t>
      </w:r>
    </w:p>
    <w:p w14:paraId="7201925F" w14:textId="77777777" w:rsidR="00A8138F" w:rsidRDefault="00A8138F" w:rsidP="00A8138F">
      <w:pPr>
        <w:pStyle w:val="TextoNormal"/>
      </w:pPr>
    </w:p>
    <w:p w14:paraId="07A189F5" w14:textId="77777777" w:rsidR="00A8138F" w:rsidRDefault="00A8138F" w:rsidP="00A8138F">
      <w:pPr>
        <w:pStyle w:val="TextoNormal"/>
      </w:pPr>
      <w:r>
        <w:t>178. Solo con la expresa atribución constitucional a las Cortes Generales para su aprobación cabría salvar su inconstitucionalidad. En tal sentido, el poder constituyente, puede disponer —y ha dispuesto— excepciones a la vigencia de los derechos y principios que la Constitución contempla [artículos 57.1 y 62 i) CE a modo de ejemplo, con relación al orden de sucesión a la Corona —en relación con el artículo 14 CE— y al ejercicio del derecho de gracia —en relación con el artículo 117.3 CE—]. Pero los poderes constituidos —entre ellos las Cortes Generales y los parlamentos autonómicos— no pueden suplantar al poder constituyente y arrogarse funciones que contravienen los principios que la Constitución preserva o que están reservadas por el poder constituyente al Poder Judicial.</w:t>
      </w:r>
    </w:p>
    <w:p w14:paraId="49DC46F1" w14:textId="77777777" w:rsidR="00A8138F" w:rsidRDefault="00A8138F" w:rsidP="00A8138F">
      <w:pPr>
        <w:pStyle w:val="TextoNormal"/>
      </w:pPr>
    </w:p>
    <w:p w14:paraId="405754E5" w14:textId="77777777" w:rsidR="00A8138F" w:rsidRDefault="00A8138F" w:rsidP="00A8138F">
      <w:pPr>
        <w:pStyle w:val="TextoNormal"/>
      </w:pPr>
      <w:r>
        <w:t>179. No cabe sustituir la ausencia de reconocimiento expreso constitucional mediante el argumento de que el legislador puede aprobar y derogar leyes penales, a modo de quien puede lo más puede lo menos. De ser válido dicho argumento sería innecesaria cualquier referencia constitucional a la amnistía en las constituciones de nuestro entorno y consiguientemente el debate constituyente que tuvo lugar sobre su inclusión o no en las Cortes constituyentes hubiera sido estéril.</w:t>
      </w:r>
    </w:p>
    <w:p w14:paraId="2469E01E" w14:textId="77777777" w:rsidR="00A8138F" w:rsidRDefault="00A8138F" w:rsidP="00A8138F">
      <w:pPr>
        <w:pStyle w:val="TextoNormal"/>
      </w:pPr>
    </w:p>
    <w:p w14:paraId="604915D5" w14:textId="77777777" w:rsidR="00A8138F" w:rsidRDefault="00A8138F" w:rsidP="00A8138F">
      <w:pPr>
        <w:pStyle w:val="TextoNormal"/>
      </w:pPr>
      <w:r>
        <w:t>180. Por otra parte, no es asimilable ontológicamente el ejercicio de la facultad legislativa (artículo 66.2 CE) de aprobar o derogar leyes que tipifican conductas y que afectan por igual a todos los destinatarios y que en el ámbito penal expresan la necesidad o no de tutelar determinados bienes jurídicos en cada momento histórico (STC 26/2018, de 5 de marzo), que exonerar de responsabilidad e impedir el ejercicio de la potestad jurisdiccional y de la jurisdicción contable exclusivamente respecto de determinadas personas y seguir manteniendo la tipicidad de esas mismas conductas respecto de las demás personas no incluidas en el ámbito de la ley.</w:t>
      </w:r>
    </w:p>
    <w:p w14:paraId="595C59CC" w14:textId="77777777" w:rsidR="00A8138F" w:rsidRDefault="00A8138F" w:rsidP="00A8138F">
      <w:pPr>
        <w:pStyle w:val="TextoNormal"/>
      </w:pPr>
    </w:p>
    <w:p w14:paraId="65382A75" w14:textId="77777777" w:rsidR="00A8138F" w:rsidRDefault="00A8138F" w:rsidP="00A8138F">
      <w:pPr>
        <w:pStyle w:val="TextoNormal"/>
      </w:pPr>
      <w:r>
        <w:t>181. El término de comparación entre la potestad en que se inserta la función legislativa y el poder que representa aprobar una ley de amnistía no es cuantitativo sino cualitativo y entronca con el concepto de legitimidad. El extraordinario poder de disposición que supone la amnistía, por el que algunos ciudadanos dejan de ser delincuentes, cuando otros, por esos mismos hechos, son condenados, exige su expreso reconocimiento constitucional.</w:t>
      </w:r>
    </w:p>
    <w:p w14:paraId="3F09A749" w14:textId="77777777" w:rsidR="00A8138F" w:rsidRDefault="00A8138F" w:rsidP="00A8138F">
      <w:pPr>
        <w:pStyle w:val="TextoNormal"/>
      </w:pPr>
    </w:p>
    <w:p w14:paraId="6CA21B4A" w14:textId="77777777" w:rsidR="00A8138F" w:rsidRDefault="00A8138F" w:rsidP="00A8138F">
      <w:pPr>
        <w:pStyle w:val="TextoNormal"/>
      </w:pPr>
      <w:r>
        <w:t>182. Tampoco cabe justificar que la amnistía se encuentre reconocida en que el artículo 87.3 CE determina la improcedencia de la iniciativa popular para la presentación de proposiciones de ley “en lo relativo a la prerrogativa de gracia”. El artículo 62 i) de la Constitución española establece expresamente que corresponde al rey el ejercicio del derecho de gracia, señalando que le compete “ejercer el derecho de gracia con arreglo a la ley”. En términos de mera hipótesis si la amnistía estuviera, conforme a dicha tesis, incluida en la prerrogativa de gracia o en el derecho de gracia, se llegaría al absurdo, contrario a la naturaleza de la amnistía y a la tradición constitucional, que su atribución le correspondería al jefe del Estado y no al Parlamento. Es por ello por lo que el único modo de entender la prohibición constitucional de la iniciativa legislativa popular en relación con la prerrogativa de gracia es vinculando dicho precepto a la ley reguladora del derecho de gracia cuyo ejercicio le corresponde al rey.</w:t>
      </w:r>
    </w:p>
    <w:p w14:paraId="22BBBF66" w14:textId="77777777" w:rsidR="00A8138F" w:rsidRDefault="00A8138F" w:rsidP="00A8138F">
      <w:pPr>
        <w:pStyle w:val="TextoNormal"/>
      </w:pPr>
    </w:p>
    <w:p w14:paraId="79BC70C5" w14:textId="77777777" w:rsidR="00A8138F" w:rsidRDefault="00A8138F" w:rsidP="00A8138F">
      <w:pPr>
        <w:pStyle w:val="TextoNormal"/>
      </w:pPr>
      <w:r>
        <w:t>183. En fin, la interpretación que hace descansar en el artículo 87.3 CE el reconocimiento del derecho de gracia llevaría al absurdo de atribuirle al rey el ejercicio de conceder amnistías y no al Parlamento.</w:t>
      </w:r>
    </w:p>
    <w:p w14:paraId="0E129771" w14:textId="77777777" w:rsidR="00A8138F" w:rsidRDefault="00A8138F" w:rsidP="00A8138F">
      <w:pPr>
        <w:pStyle w:val="TextoNormal"/>
      </w:pPr>
    </w:p>
    <w:p w14:paraId="0701C578" w14:textId="77777777" w:rsidR="00A8138F" w:rsidRDefault="00A8138F" w:rsidP="00A8138F">
      <w:pPr>
        <w:pStyle w:val="TextoNormal"/>
      </w:pPr>
      <w:r>
        <w:t>184. No cabe por tanto modular o flexibilizar la separación de poderes en este ámbito. No existe previsión constitucional en relación con la atribución a las Cortes Generales de la amnistía. No se encuentra entre las competencias que atribuye la Constitución a las Cortes Generales (artículo 66.2 CE) y no cabe entenderla comprendida en la función legislativa dada la diferencia ontológica entre ambas potestades.</w:t>
      </w:r>
    </w:p>
    <w:p w14:paraId="4FF4E254" w14:textId="77777777" w:rsidR="00A8138F" w:rsidRDefault="00A8138F" w:rsidP="00A8138F">
      <w:pPr>
        <w:pStyle w:val="TextoNormal"/>
      </w:pPr>
    </w:p>
    <w:p w14:paraId="244F5EB0" w14:textId="77777777" w:rsidR="00A8138F" w:rsidRDefault="00A8138F" w:rsidP="00A8138F">
      <w:pPr>
        <w:pStyle w:val="TextoNormal"/>
      </w:pPr>
      <w:r>
        <w:t>185. Por otra parte, a los jueces y tribunales se les reserva la exclusividad jurisdiccional de juzgar y hacer ejecutar lo juzgado con sometimiento a la Constitución y a la ley (artículo 117.3 CE) y todos deben cumplir sus resoluciones firmes (artículo 118 CE). El Parlamento no puede exceptuar dicho principio para una parte de los procesos pendientes o resueltos, los que afectan exclusivamente a delitos —o ilícitos de otra naturaleza— cometidos con determinada finalidad política o conexos con ella y decidir la exoneración de la responsabilidad a los investigados, condenados o ejecutoriados. La reserva jurisdiccional atribuida en exclusiva al Poder Judicial no lo permite (artículos 117.3 y 118 CE) y la Constitución no ha excepcionado dicho principio, a diferencia de lo que sucede en los artículos 57.1 y 62 i) CE.</w:t>
      </w:r>
    </w:p>
    <w:p w14:paraId="02D45DCE" w14:textId="77777777" w:rsidR="00A8138F" w:rsidRDefault="00A8138F" w:rsidP="00A8138F">
      <w:pPr>
        <w:pStyle w:val="TextoNormal"/>
      </w:pPr>
    </w:p>
    <w:p w14:paraId="13906C34" w14:textId="77777777" w:rsidR="00A8138F" w:rsidRDefault="00A8138F" w:rsidP="00A8138F">
      <w:pPr>
        <w:pStyle w:val="TextoNormal"/>
      </w:pPr>
      <w:r>
        <w:t>186. De este modo, la inconstitucionalidad de la Ley de amnistía por infringir el principio de separación de poderes se advierte con claridad y deriva de la ausencia de previsión constitucional de la misma y de la invasión de las funciones que ocasiona al irrumpir en el ámbito de las que son propias del Poder Judicial, pues es este último el único poder que puede juzgar y hacer ejecutar lo juzgado (artículo 117.3 CE), al posibilitar que el legislador incumpla las sentencias y resoluciones judiciales firmes (artículo 118 CE).</w:t>
      </w:r>
    </w:p>
    <w:p w14:paraId="0F443896" w14:textId="77777777" w:rsidR="00A8138F" w:rsidRDefault="00A8138F" w:rsidP="00A8138F">
      <w:pPr>
        <w:pStyle w:val="TextoNormal"/>
      </w:pPr>
    </w:p>
    <w:p w14:paraId="01237D47" w14:textId="77777777" w:rsidR="00A8138F" w:rsidRDefault="00A8138F" w:rsidP="00A8138F">
      <w:pPr>
        <w:pStyle w:val="TextoNormal"/>
      </w:pPr>
      <w:r>
        <w:t>(ii</w:t>
      </w:r>
      <w:r w:rsidRPr="00A8138F">
        <w:rPr>
          <w:i/>
        </w:rPr>
        <w:t>) Exclusión deliberada de la amnistía en el proceso constituyente y en el ordenamiento jurídico democrático posteri</w:t>
      </w:r>
      <w:r>
        <w:t>or</w:t>
      </w:r>
    </w:p>
    <w:p w14:paraId="4257831F" w14:textId="77777777" w:rsidR="00A8138F" w:rsidRDefault="00A8138F" w:rsidP="00A8138F">
      <w:pPr>
        <w:pStyle w:val="TextoNormal"/>
      </w:pPr>
    </w:p>
    <w:p w14:paraId="592FB406" w14:textId="77777777" w:rsidR="00A8138F" w:rsidRDefault="00A8138F" w:rsidP="00A8138F">
      <w:pPr>
        <w:pStyle w:val="TextoNormal"/>
      </w:pPr>
      <w:r>
        <w:t>187. El proceso constituyente reflejó la voluntad de excluir toda referencia a la amnistía en el texto constitucional finalmente aprobado. La inclusión de la amnistía fue expresamente rechazada. La igualdad en el sometimiento a la investigación de los ilícitos administrativos, contables y penales, en su enjuiciamiento y en el cumplimiento de las consecuencias de los mismos, no se vio exceptuada en el texto constitucional por el reconocimiento de la amnistía.</w:t>
      </w:r>
    </w:p>
    <w:p w14:paraId="07EF76EF" w14:textId="77777777" w:rsidR="00A8138F" w:rsidRDefault="00A8138F" w:rsidP="00A8138F">
      <w:pPr>
        <w:pStyle w:val="TextoNormal"/>
      </w:pPr>
    </w:p>
    <w:p w14:paraId="16370FF5" w14:textId="77777777" w:rsidR="00A8138F" w:rsidRDefault="00A8138F" w:rsidP="00A8138F">
      <w:pPr>
        <w:pStyle w:val="TextoNormal"/>
      </w:pPr>
      <w:r>
        <w:t>188. El anteproyecto de Constitución (“Boletín Oficial de las Cortes Generales” núm. 44, de 5 de enero de 1978), atribuía al jefe del Estado el ejercicio del derecho de gracia [artículo 54 h)] y expresamente excluía dicha prerrogativa en los delitos cometidos por el presidente y los demás miembros del Gobierno y en los de “traición o contra la seguridad del Estado (artículo 100). Asimismo, excluía de la iniciativa legislativa popular la prerrogativa de gracia (artículo 80.4) y no preveía la amnistía.</w:t>
      </w:r>
    </w:p>
    <w:p w14:paraId="18C398E1" w14:textId="77777777" w:rsidR="00A8138F" w:rsidRDefault="00A8138F" w:rsidP="00A8138F">
      <w:pPr>
        <w:pStyle w:val="TextoNormal"/>
      </w:pPr>
    </w:p>
    <w:p w14:paraId="3188F71B" w14:textId="77777777" w:rsidR="00A8138F" w:rsidRDefault="00A8138F" w:rsidP="00A8138F">
      <w:pPr>
        <w:pStyle w:val="TextoNormal"/>
      </w:pPr>
      <w:r>
        <w:t>189. Dedicaba el título VI a la regulación “[d]el Poder Judicial” en sus artículos 107 a 117 CE. Mediante la enmienda núm. 744 instada por Unión de Centro Democrático se pretendía introducir después del artículo 108 —esto es en el título “[d]el Poder Judicial”— un nuevo precepto para limitar constitucionalmente “los indultos generales indiscriminados” e introducir “las amnistías”.</w:t>
      </w:r>
    </w:p>
    <w:p w14:paraId="3A493EB9" w14:textId="77777777" w:rsidR="00A8138F" w:rsidRDefault="00A8138F" w:rsidP="00A8138F">
      <w:pPr>
        <w:pStyle w:val="TextoNormal"/>
      </w:pPr>
    </w:p>
    <w:p w14:paraId="2954290F" w14:textId="77777777" w:rsidR="00A8138F" w:rsidRDefault="00A8138F" w:rsidP="00A8138F">
      <w:pPr>
        <w:pStyle w:val="TextoNormal"/>
      </w:pPr>
      <w:r>
        <w:t>190. El texto pretendido era: “Se prohíben los indultos generales. Los individuales serán concedidos por el rey, previo informe del Tribunal Supremo y del fiscal del Reino, en los casos y por el procedimiento que las leyes establezcan. Las amnistías solo podrán ser acordadas por el Parlamento”. Se justificaba la enmienda en el artículo de la Constitución de la República de 1931. La enmienda fue aceptada por el informe de la ponencia, pero solo en lo relativo a la prohibición de los indultos generales (“Boletín Oficial de las Cortes Generales” núm. 82, de 17 de abril de 1978). Se excluyó del texto la amnistía acordada por el Parlamento.</w:t>
      </w:r>
    </w:p>
    <w:p w14:paraId="558CDDA1" w14:textId="77777777" w:rsidR="00A8138F" w:rsidRDefault="00A8138F" w:rsidP="00A8138F">
      <w:pPr>
        <w:pStyle w:val="TextoNormal"/>
      </w:pPr>
    </w:p>
    <w:p w14:paraId="41559592" w14:textId="77777777" w:rsidR="00A8138F" w:rsidRDefault="00A8138F" w:rsidP="00A8138F">
      <w:pPr>
        <w:pStyle w:val="TextoNormal"/>
      </w:pPr>
      <w:r>
        <w:t>191. Precisamente, la Constitución de 1931 a la que se aludía en la justificación, dentro del título VII “Justicia”, contenía el artículo 102 en que se reservaban los indultos individuales al Tribunal Supremo —no al Gobierno— y las amnistías al Parlamento: “Las amnistías solo podrán ser acordadas por el Parlamento. No se concederán indultos generales. El Tribunal Supremo otorgará los individuales a propuesta del sentenciador, del fiscal, de la junta de prisiones o a petición de parte”. Por tanto, la Constitución de 1931, a diferencia de la de 1978, preveía expresamente la amnistía en su tenor literal. Sin embargo, la Constitución española de 1978 excluyó expresamente su reconocimiento.</w:t>
      </w:r>
    </w:p>
    <w:p w14:paraId="44A91BC0" w14:textId="77777777" w:rsidR="00A8138F" w:rsidRDefault="00A8138F" w:rsidP="00A8138F">
      <w:pPr>
        <w:pStyle w:val="TextoNormal"/>
      </w:pPr>
    </w:p>
    <w:p w14:paraId="6E4448CD" w14:textId="77777777" w:rsidR="00A8138F" w:rsidRDefault="00A8138F" w:rsidP="00A8138F">
      <w:pPr>
        <w:pStyle w:val="TextoNormal"/>
      </w:pPr>
      <w:r>
        <w:t>192. Debe indicarse que el precepto de la Constitución de 1931, en lo atinente a las amnistías, al poco tiempo fue cuestionado, pues se incluyó en el proyecto de reforma constitucional aprobado por el Consejo de Ministros el 5 de julio de 1935. Merece la pena destacar las razones de la propuesta al dar razón de la indefensión social que el reconocimiento de la amnistía suponía: “El artículo 102, en la parte relativa a la amnistía, debe reformarse, sin llegar a la prohibición absoluta establecida respecto a los indultos generales. Por lo fácilmente que la amnistía puede conducir a la indefensión social, demanda restricciones, que pueden ser la intervención de otros poderes, como el judicial, la limitación de iniciativas, la existencia de una estadística tranquilizadora, el transcurso de un determinado plazo, el cumplimiento de una cuota de la pena, etc.”.</w:t>
      </w:r>
    </w:p>
    <w:p w14:paraId="2CA9F82F" w14:textId="77777777" w:rsidR="00A8138F" w:rsidRDefault="00A8138F" w:rsidP="00A8138F">
      <w:pPr>
        <w:pStyle w:val="TextoNormal"/>
      </w:pPr>
    </w:p>
    <w:p w14:paraId="15C8CF95" w14:textId="77777777" w:rsidR="00A8138F" w:rsidRDefault="00A8138F" w:rsidP="00A8138F">
      <w:pPr>
        <w:pStyle w:val="TextoNormal"/>
      </w:pPr>
      <w:r>
        <w:t>193. Otra enmienda al anteproyecto de la Constitución de 1978, la núm. 504, presentada por el Grupo Parlamentario Mixto, y, en su nombre, por el diputado don Raúl Morodo Leoncio, su portavoz, pretendía introducir la posibilidad de conceder amnistías, pero esta vez insertando la modificación en el primero de los artículos que el título IV dedicaba a las “Cortes Generales”, esto es, el artículo 58.1 del anteproyecto, que numéricamente se correspondería al vigente artículo 66.1 CE encuadrado dentro del título IV (de las Cortes Generales).</w:t>
      </w:r>
    </w:p>
    <w:p w14:paraId="79B7F7B2" w14:textId="77777777" w:rsidR="00A8138F" w:rsidRDefault="00A8138F" w:rsidP="00A8138F">
      <w:pPr>
        <w:pStyle w:val="TextoNormal"/>
      </w:pPr>
    </w:p>
    <w:p w14:paraId="3509D0B3" w14:textId="77777777" w:rsidR="00A8138F" w:rsidRDefault="00A8138F" w:rsidP="00A8138F">
      <w:pPr>
        <w:pStyle w:val="TextoNormal"/>
      </w:pPr>
      <w:r>
        <w:t>194. La redacción pretendía sustituir la inicial del artículo 58.1 de la ponencia, cuyo tenor era: “Las Cortes Generales estarán formadas por el Congreso de los Diputados y el Senado”, por la de “Las Cortes Generales, que representarán al pueblo español, ejercen la potestad legislativa, sin perjuicio de lo dispuesto en el título VIII, otorgan amnistías, controlan la acción del Gobierno y tienen las demás competencias que les atribuye la Constitución”. En la justificación de la misma nada se decía sobre la inclusión de la amnistía.</w:t>
      </w:r>
    </w:p>
    <w:p w14:paraId="6D5B99BA" w14:textId="77777777" w:rsidR="00A8138F" w:rsidRDefault="00A8138F" w:rsidP="00A8138F">
      <w:pPr>
        <w:pStyle w:val="TextoNormal"/>
      </w:pPr>
    </w:p>
    <w:p w14:paraId="1015E7DD" w14:textId="77777777" w:rsidR="00A8138F" w:rsidRDefault="00A8138F" w:rsidP="00A8138F">
      <w:pPr>
        <w:pStyle w:val="TextoNormal"/>
      </w:pPr>
      <w:r>
        <w:t>195. Ninguna de las dos enmiendas (núm. 744 y 504) prosperó y el constituyente, a diferencia de la Constitución de 1931, no atribuyó a las Cortes Generales la potestad de otorgar amnistías. Sin embargo, la sentencia de la que disiento sostiene, en su fundamento jurídico 3.2.2, una interpretación sorprendentemente inversa a la que cabría deducir de los antecedentes constituyentes: el hecho de que no prosperaran las enmiendas dirigidas a incluir expresamente la amnistía en el texto constitucional se interpreta como una confirmación del supuesto poder ilimitado e incondicionado del legislador para aprobarla. Esta conclusión resulta no solo contraria a la lógica normativa y sistemática de la Constitución, sino también carente de sustento hermenéutico.</w:t>
      </w:r>
    </w:p>
    <w:p w14:paraId="6D44BA00" w14:textId="77777777" w:rsidR="00A8138F" w:rsidRDefault="00A8138F" w:rsidP="00A8138F">
      <w:pPr>
        <w:pStyle w:val="TextoNormal"/>
      </w:pPr>
    </w:p>
    <w:p w14:paraId="7E73163C" w14:textId="77777777" w:rsidR="00A8138F" w:rsidRDefault="00A8138F" w:rsidP="00A8138F">
      <w:pPr>
        <w:pStyle w:val="TextoNormal"/>
      </w:pPr>
      <w:r>
        <w:t>196. Frente a dicha afirmación, cabe formular legítimamente varias preguntas: ¿Por qué razón los constituyentes habrían promovido enmiendas específicas para reconocer expresamente la amnistía si, como sugiere la sentencia, su ausencia implicaba ya su inclusión tácita en el anteproyecto constitucional?; ¿por qué fue necesario reconocer expresamente el indulto en el artículo 62 i) CE, si, conforme a la lógica de la sentencia, el legislador podría haberlo atribuido al jefe del Estado mediante una simple ley ordinaria?; ¿qué sentido tiene que el artículo 66.2 CE cierre el catálogo de funciones parlamentarias con la cláusula “y las demás competencias que les atribuya la Constitución”, si, según la tesis defendida por la mayoría, las Cortes Generales podrían ejercer cualquier función no expresamente prohibida?; y, finalmente, ¿por qué las constituciones que nos precedieron —como la de 1931— y muchas de nuestro entorno reconocen expresamente la potestad de conceder amnistías junto con la función legislativa, si, según la sentencia, bastaría con el silencio constitucional para legitimar dicha prerrogativa?</w:t>
      </w:r>
    </w:p>
    <w:p w14:paraId="6049D2E2" w14:textId="77777777" w:rsidR="00A8138F" w:rsidRDefault="00A8138F" w:rsidP="00A8138F">
      <w:pPr>
        <w:pStyle w:val="TextoNormal"/>
      </w:pPr>
    </w:p>
    <w:p w14:paraId="4C8C0C84" w14:textId="77777777" w:rsidR="00A8138F" w:rsidRDefault="00A8138F" w:rsidP="00A8138F">
      <w:pPr>
        <w:pStyle w:val="TextoNormal"/>
      </w:pPr>
      <w:r>
        <w:t>197. La conclusión que se impone es clara: la tesis de la mayoría carece de lógica jurídica, desvirtúa el sentido de los antecedentes constituyentes, contradice el diseño cerrado de competencias del legislador ordinario en la Constitución de 1978 y rompe con la tradición constitucional comparada. Asumir que el silencio habilita competencias excepcionales como la amnistía supone, en realidad, atribuir al legislador ordinario una capacidad constituyente que la propia Constitución le niega expresamente.</w:t>
      </w:r>
    </w:p>
    <w:p w14:paraId="3F4A571A" w14:textId="77777777" w:rsidR="00A8138F" w:rsidRDefault="00A8138F" w:rsidP="00A8138F">
      <w:pPr>
        <w:pStyle w:val="TextoNormal"/>
      </w:pPr>
    </w:p>
    <w:p w14:paraId="355880FB" w14:textId="77777777" w:rsidR="00A8138F" w:rsidRDefault="00A8138F" w:rsidP="00A8138F">
      <w:pPr>
        <w:pStyle w:val="TextoNormal"/>
      </w:pPr>
      <w:r>
        <w:t>198. La voluntad de “no constitucionalizar” un instituto como la amnistía —utilizado recurrentemente en regímenes de excepción o transiciones políticas— implicaba, a diferencia de lo que sostiene de modo inconsistente la sentencia, sustraerla del catálogo de instrumentos ordinarios del Estado de Derecho democrático y, en consecuencia, vedar su utilización futura salvo que se reformase la Constitución para introducirla expresamente. En este caso, el silencio no es fruto de un olvido ni de una laguna técnica, sino de una decisión deliberada del poder constituyente de no integrar la amnistía en el nuevo marco constitucional. Por tanto, ese silencio adquiere un carácter prohibitivo, en la medida en que la voluntad de excluir expresamente una institución del texto constitucional impide su recuperación posterior por vía legislativa ordinaria, pues ello equivaldría a contradecir la voluntad expresa del constituyente.</w:t>
      </w:r>
    </w:p>
    <w:p w14:paraId="2F29BF78" w14:textId="77777777" w:rsidR="00A8138F" w:rsidRDefault="00A8138F" w:rsidP="00A8138F">
      <w:pPr>
        <w:pStyle w:val="TextoNormal"/>
      </w:pPr>
    </w:p>
    <w:p w14:paraId="0857265F" w14:textId="77777777" w:rsidR="00A8138F" w:rsidRDefault="00A8138F" w:rsidP="00A8138F">
      <w:pPr>
        <w:pStyle w:val="TextoNormal"/>
      </w:pPr>
      <w:r>
        <w:t>199. No debe obviarse la doctrina constitucional en virtud de la cual los trabajos parlamentarios de elaboración de la Constitución “conforme a una reiterada jurisprudencia constitucional son un elemento importante de interpretación, aunque no determinante, para desentrañar el sentido y alcance de la norma” (desde la STC 5/1981, de 13 de febrero, hasta la más reciente STC 87/2022, de 28 de junio).</w:t>
      </w:r>
    </w:p>
    <w:p w14:paraId="31A57C70" w14:textId="77777777" w:rsidR="00A8138F" w:rsidRDefault="00A8138F" w:rsidP="00A8138F">
      <w:pPr>
        <w:pStyle w:val="TextoNormal"/>
      </w:pPr>
    </w:p>
    <w:p w14:paraId="470D1B56" w14:textId="77777777" w:rsidR="00A8138F" w:rsidRDefault="00A8138F" w:rsidP="00A8138F">
      <w:pPr>
        <w:pStyle w:val="TextoNormal"/>
      </w:pPr>
      <w:r>
        <w:t>200. La Constitución únicamente prevé expresamente como prerrogativa de gracia el indulto y no contempla la amnistía. Incluso en relación con la prerrogativa de gracia que supone el indulto adopta una posición restrictiva y excluye que puedan existir leyes singulares autoaplicativas en virtud de la iniciativa legislativa popular (artículo 87.3 CE).</w:t>
      </w:r>
    </w:p>
    <w:p w14:paraId="5FE1DC9C" w14:textId="77777777" w:rsidR="00A8138F" w:rsidRDefault="00A8138F" w:rsidP="00A8138F">
      <w:pPr>
        <w:pStyle w:val="TextoNormal"/>
      </w:pPr>
    </w:p>
    <w:p w14:paraId="708383BD" w14:textId="77777777" w:rsidR="00A8138F" w:rsidRDefault="00A8138F" w:rsidP="00A8138F">
      <w:pPr>
        <w:pStyle w:val="TextoNormal"/>
      </w:pPr>
      <w:r>
        <w:t>201. La sentencia en su fundamento jurídico 3.2.1 b), en relación con la discusión acerca de si la exclusión de la iniciativa legislativa popular “en lo relativo a la prerrogativa de gracia” (artículo 87.3 CE) supone la admisión o no de la amnistía, se limita a restarle relevancia interpretativa al afirmar que “su mera lectura evidencia que de su tenor no cabe extraer esta consecuencia”, esto es, que el artículo 87.3 CE no prohíbe expresamente la amnistía. Dado que la sentencia se ha limitado a una lectura meramente literal del artículo 87.3 CE, y abdica de su función hermenéutica resulta ineludible aludir al influjo que ha ejercido la Constitución italiana de 1947 en la configuración del artículo 87.3 CE, tanto en su formulación literal como en su contenido material. Este paralelismo con el modelo italiano, cuya influencia fue reconocida en los trabajos preparatorios de nuestra Constitución, refuerza la interpretación restrictiva del precepto y desacredita cualquier intento de justificar en el silencio constitucional una habilitación implícita para aprobar amnistías.</w:t>
      </w:r>
    </w:p>
    <w:p w14:paraId="4413FA89" w14:textId="77777777" w:rsidR="00A8138F" w:rsidRDefault="00A8138F" w:rsidP="00A8138F">
      <w:pPr>
        <w:pStyle w:val="TextoNormal"/>
      </w:pPr>
    </w:p>
    <w:p w14:paraId="688E3A1C" w14:textId="77777777" w:rsidR="00A8138F" w:rsidRDefault="00A8138F" w:rsidP="00A8138F">
      <w:pPr>
        <w:pStyle w:val="TextoNormal"/>
      </w:pPr>
      <w:r>
        <w:t>202. Dicho precepto, como hemos anticipado, refleja el influjo de la Constitución italiana en la restricción de las materias que pueden ser objeto de la iniciativa legislativa popular, se aparta del redactado de aquella sustituyendo “el indulto y la amnistía” —a los que alude la Constitución de Italia al limitar, en su caso, la posibilidad de referéndum— por la “prerrogativa de gracia”.</w:t>
      </w:r>
    </w:p>
    <w:p w14:paraId="5897F2D6" w14:textId="77777777" w:rsidR="00A8138F" w:rsidRDefault="00A8138F" w:rsidP="00A8138F">
      <w:pPr>
        <w:pStyle w:val="TextoNormal"/>
      </w:pPr>
    </w:p>
    <w:p w14:paraId="355E431D" w14:textId="77777777" w:rsidR="00A8138F" w:rsidRDefault="00A8138F" w:rsidP="00A8138F">
      <w:pPr>
        <w:pStyle w:val="TextoNormal"/>
      </w:pPr>
      <w:r>
        <w:t>203. Indica el párrafo segundo del artículo 75 de la Constitución de la República de Italia que “[n]o se admitirá el referéndum para las leyes tributarias y presupuestarias, de amnistía y de indulto, ni de autorización para la ratificación de tratados internacionales”. Mientras que el artículo 87.3 CE, que se inspira en dicho precepto para delimitar las materias que pueden ser objeto no ya de referéndum, sino de iniciativa legislativa popular, en buena lógica no menciona la amnistía, pues no la reconocía el anteproyecto, y señala que “[n]o procederá dicha iniciativa en materias propias de ley orgánica, tributarias o de carácter internacional, ni en lo relativo a la prerrogativa de gracia”. Lo cual revela, en coherencia con el rechazo de las dos enmiendas constituyentes, que la Constitución excluye la posibilidad de conceder amnistías.</w:t>
      </w:r>
    </w:p>
    <w:p w14:paraId="78F53CE8" w14:textId="77777777" w:rsidR="00A8138F" w:rsidRDefault="00A8138F" w:rsidP="00A8138F">
      <w:pPr>
        <w:pStyle w:val="TextoNormal"/>
      </w:pPr>
    </w:p>
    <w:p w14:paraId="1FC8166D" w14:textId="77777777" w:rsidR="00A8138F" w:rsidRDefault="00A8138F" w:rsidP="00A8138F">
      <w:pPr>
        <w:pStyle w:val="TextoNormal"/>
      </w:pPr>
      <w:r>
        <w:t>204. Es más, la Constitución italiana, en coherencia con la exclusión expresa de la amnistía y del indulto del ámbito del referéndum, atribuía expresamente hasta 1992, entre las facultades presidenciales, la concesión de la amnistía y el indulto (artículo 75 de su Constitución), que se entendían ejercidas por delegación del Parlamento.</w:t>
      </w:r>
    </w:p>
    <w:p w14:paraId="5E2EA8B2" w14:textId="77777777" w:rsidR="00A8138F" w:rsidRDefault="00A8138F" w:rsidP="00A8138F">
      <w:pPr>
        <w:pStyle w:val="TextoNormal"/>
      </w:pPr>
    </w:p>
    <w:p w14:paraId="04D82622" w14:textId="77777777" w:rsidR="00A8138F" w:rsidRDefault="00A8138F" w:rsidP="00A8138F">
      <w:pPr>
        <w:pStyle w:val="TextoNormal"/>
      </w:pPr>
      <w:r>
        <w:t>205. La Constitución española de 1978, de modo coherente con el artículo 87.3 CE, en el artículo 62 i) CE únicamente atribuye al rey “[e]jercer el derecho de gracia con arreglo a la ley, que no podrá autorizar indultos generales”, vinculando el derecho de gracia exclusivamente al indulto y no comprendiendo en el mismo la amnistía.</w:t>
      </w:r>
    </w:p>
    <w:p w14:paraId="51440348" w14:textId="77777777" w:rsidR="00A8138F" w:rsidRDefault="00A8138F" w:rsidP="00A8138F">
      <w:pPr>
        <w:pStyle w:val="TextoNormal"/>
      </w:pPr>
    </w:p>
    <w:p w14:paraId="17DC5B65" w14:textId="77777777" w:rsidR="00A8138F" w:rsidRDefault="00A8138F" w:rsidP="00A8138F">
      <w:pPr>
        <w:pStyle w:val="TextoNormal"/>
      </w:pPr>
      <w:r>
        <w:t>206. Una omisión especialmente relevante en la sentencia es la absoluta falta de consideración del cambio de tratamiento que ha experimentado la amnistía en el ordenamiento penal español tras la entrada en vigor de la Constitución de 1978. En efecto, el Código penal de 1973, redactado bajo un régimen autoritario, incluía tanto la amnistía como el indulto como causas legales de extinción de la responsabilidad criminal. Esta inclusión respondía a un contexto histórico en el que la amnistía se utilizaba como instrumento político para resolver crisis institucionales o como mecanismo de transición entre regímenes.</w:t>
      </w:r>
    </w:p>
    <w:p w14:paraId="67AD62B4" w14:textId="77777777" w:rsidR="00A8138F" w:rsidRDefault="00A8138F" w:rsidP="00A8138F">
      <w:pPr>
        <w:pStyle w:val="TextoNormal"/>
      </w:pPr>
    </w:p>
    <w:p w14:paraId="0603F480" w14:textId="77777777" w:rsidR="00A8138F" w:rsidRDefault="00A8138F" w:rsidP="00A8138F">
      <w:pPr>
        <w:pStyle w:val="TextoNormal"/>
      </w:pPr>
      <w:r>
        <w:t>207. Sin embargo, este panorama cambió radicalmente con la promulgación del Código penal de 1995, calificado doctrinalmente como el “Código penal de la democracia”. El legislador democrático decidió excluir expresamente la amnistía del catálogo de causas de extinción de la responsabilidad penal, incorporando únicamente el indulto (artículo 130.4 CP). Esta omisión no fue casual ni meramente técnica: respondía a la consolidación del Estado de Derecho y a la voluntad de alejar el Derecho penal de herramientas políticas propias de regímenes de excepción, en coherencia con el silencio constitucional sobre la figura de la amnistía.</w:t>
      </w:r>
    </w:p>
    <w:p w14:paraId="63C17E97" w14:textId="77777777" w:rsidR="00A8138F" w:rsidRDefault="00A8138F" w:rsidP="00A8138F">
      <w:pPr>
        <w:pStyle w:val="TextoNormal"/>
      </w:pPr>
    </w:p>
    <w:p w14:paraId="5978F210" w14:textId="77777777" w:rsidR="00A8138F" w:rsidRDefault="00A8138F" w:rsidP="00A8138F">
      <w:pPr>
        <w:pStyle w:val="TextoNormal"/>
      </w:pPr>
      <w:r>
        <w:t>208. Este giro normativo —de gran valor interpretativo— ha sido completamente ignorado por el Tribunal Constitucional, que no ha considerado cómo el nuevo modelo penal democrático relegó la amnistía al plano de una figura histórica y extraordinaria, ajena ya al sistema penal vigente. La única mención que quedaba como vestigio era la del artículo 666.4 de la Ley de enjuiciamiento criminal de 1882, en su redacción originaria, que nunca fue actualizada y permanecía como anacronismo legal sin eficacia práctica.</w:t>
      </w:r>
    </w:p>
    <w:p w14:paraId="4EAC1AAE" w14:textId="77777777" w:rsidR="00A8138F" w:rsidRDefault="00A8138F" w:rsidP="00A8138F">
      <w:pPr>
        <w:pStyle w:val="TextoNormal"/>
      </w:pPr>
    </w:p>
    <w:p w14:paraId="5DD4F7ED" w14:textId="77777777" w:rsidR="00A8138F" w:rsidRDefault="00A8138F" w:rsidP="00A8138F">
      <w:pPr>
        <w:pStyle w:val="TextoNormal"/>
      </w:pPr>
      <w:r>
        <w:t>(iii</w:t>
      </w:r>
      <w:r w:rsidRPr="00A8138F">
        <w:rPr>
          <w:i/>
        </w:rPr>
        <w:t>) La amnistía como figura de derecho de excepción en el constitucionalismo comparado: exigencia de reconocimiento expreso y límites material</w:t>
      </w:r>
      <w:r>
        <w:t>es</w:t>
      </w:r>
    </w:p>
    <w:p w14:paraId="5D20D2D1" w14:textId="77777777" w:rsidR="00A8138F" w:rsidRDefault="00A8138F" w:rsidP="00A8138F">
      <w:pPr>
        <w:pStyle w:val="TextoNormal"/>
      </w:pPr>
    </w:p>
    <w:p w14:paraId="411BAEAC" w14:textId="77777777" w:rsidR="00A8138F" w:rsidRDefault="00A8138F" w:rsidP="00A8138F">
      <w:pPr>
        <w:pStyle w:val="TextoNormal"/>
      </w:pPr>
      <w:r>
        <w:t>209. Tales razonamientos se completan con una mirada al Derecho comparado. En efecto, la aludida distinción ontológica entre la potestad legislativa ordinaria y la de aprobar amnistías, que la sentencia de la mayoría confunde de modo reiterado en su argumentación (entre otros, fundamento jurídico 3.2.2), es patente si tomamos en consideración que sistemas de constitución normativa rígida, asimilables a la nuestra, han previsto la amnistía expresamente, lo que revela que la misma no está comprendida en la potestad ordinaria de legislar y que como derecho de excepción precisa su reconocimiento constitucional expreso, señalando buena parte de dichas constituciones, de modo coherente con su naturaleza excepcional, limitaciones en cuanto a su ejercicio.</w:t>
      </w:r>
    </w:p>
    <w:p w14:paraId="10FC8364" w14:textId="77777777" w:rsidR="00A8138F" w:rsidRDefault="00A8138F" w:rsidP="00A8138F">
      <w:pPr>
        <w:pStyle w:val="TextoNormal"/>
      </w:pPr>
    </w:p>
    <w:p w14:paraId="4EA7FBE0" w14:textId="77777777" w:rsidR="00A8138F" w:rsidRDefault="00A8138F" w:rsidP="00A8138F">
      <w:pPr>
        <w:pStyle w:val="TextoNormal"/>
      </w:pPr>
      <w:r>
        <w:t>210. La confusión conceptual de la sentencia debe ser despejada. Una de las características definitorias de la ley en sentido propio, conforme al entendimiento clásico del Derecho constitucional, es que su contenido debe tener carácter general, abstracto y permanente. La amnistía, en cambio, no responde a este patrón normativo. Su estructura y función consisten en extinguir o eliminar la responsabilidad penal derivada de hechos ya acaecidos, normalmente relacionados con un grupo concreto de personas. Por tanto, su contenido es particularizado, retroactivo y limitado en el tiempo, su eficacia se agota con el cumplimiento, lo cual la aleja radicalmente del tipo de regulación que caracteriza a la función legislativa. La concesión de la amnistía por el Parlamento no supone, por tanto, ejercicio de la potestad legislativa.</w:t>
      </w:r>
    </w:p>
    <w:p w14:paraId="6A7FBC38" w14:textId="77777777" w:rsidR="00A8138F" w:rsidRDefault="00A8138F" w:rsidP="00A8138F">
      <w:pPr>
        <w:pStyle w:val="TextoNormal"/>
      </w:pPr>
    </w:p>
    <w:p w14:paraId="19542BB1" w14:textId="77777777" w:rsidR="00A8138F" w:rsidRDefault="00A8138F" w:rsidP="00A8138F">
      <w:pPr>
        <w:pStyle w:val="TextoNormal"/>
      </w:pPr>
      <w:r>
        <w:t>211. Si se parte de la premisa —como aquí se sostiene— en virtud de la cual la aprobación de una amnistía no constituye un ejercicio auténtico de la potestad legislativa, entonces no puede justificarse su legitimidad constitucional, como realiza el fundamento jurídico 3.2.2 de la sentencia, en el principio de libertad de configuración del legislador, pues este principio opera exclusivamente dentro del ámbito de competencias que la Constitución reconoce expresamente al Parlamento. Y tampoco, es posible, efectuar el paralelismo con l</w:t>
      </w:r>
      <w:r w:rsidRPr="00A8138F">
        <w:rPr>
          <w:i/>
        </w:rPr>
        <w:t>a ratio deciden</w:t>
      </w:r>
      <w:r>
        <w:t>di de la STC 49/2008, a la que alude ese mismo fundamento, pues lo que se enjuiciaba entonces es si este tribunal, al que le corresponde por mandato constitucional controlar la constitucionalidad de las leyes, podía enjuiciar la constitucionalidad de su propia ley orgánica.</w:t>
      </w:r>
    </w:p>
    <w:p w14:paraId="6744D57F" w14:textId="77777777" w:rsidR="00A8138F" w:rsidRDefault="00A8138F" w:rsidP="00A8138F">
      <w:pPr>
        <w:pStyle w:val="TextoNormal"/>
      </w:pPr>
    </w:p>
    <w:p w14:paraId="7FC324F5" w14:textId="77777777" w:rsidR="00A8138F" w:rsidRDefault="00A8138F" w:rsidP="00A8138F">
      <w:pPr>
        <w:pStyle w:val="TextoNormal"/>
      </w:pPr>
      <w:r>
        <w:t>212. Admitir la amnistía en España sin reconocimiento expreso en la Constitución conduce, una vez más, a una conclusión carente de coherencia jurídica y lógica constitucional. Para insistir en este extremo, resulta imprescindible acudir al análisis del Derecho comparado, a fin de valorar cómo las democracias consolidadas tratan esta institución excepcional. Sin embargo, la sentencia prescinde por completo de dicho análisis, omitiendo un elemento interpretativo fundamental que habría permitido contrastar la compatibilidad de la amnistía con los principios estructurales de un Estado de Derecho. De este modo, en los Estados en que se reconoce expresamente la amnistía, en las constituciones se introducen garantías y limitaciones en su ejercicio, mientras que en España, donde no se reconoce expresamente en la Constitución, pues así se rechazó en el proceso constituyente, el legislador conforme a la tesis de la mayoría, sería omnipotente para aprobar —sin condicionamiento temporal, objetivo o subjetivo y sin mayorías reforzadas— por una mayoría simple del Congreso de los Diputados, una ley de amnistía.</w:t>
      </w:r>
    </w:p>
    <w:p w14:paraId="19EBAFA8" w14:textId="77777777" w:rsidR="00A8138F" w:rsidRDefault="00A8138F" w:rsidP="00A8138F">
      <w:pPr>
        <w:pStyle w:val="TextoNormal"/>
      </w:pPr>
    </w:p>
    <w:p w14:paraId="21DEA5D5" w14:textId="77777777" w:rsidR="00A8138F" w:rsidRDefault="00A8138F" w:rsidP="00A8138F">
      <w:pPr>
        <w:pStyle w:val="TextoNormal"/>
      </w:pPr>
      <w:r>
        <w:t>213. Otras constituciones de nuestro entorno (Portugal —artículo 161—, Francia —artículo 34—, Italia —artículo 79—, Austria —artículo 93—, Suiza —artículo 173 de la Constitución federal—, Finlandia —artículos 1 y 2—, Países Bajos —artículo 122—, Hungría —artículo 19—, Letonia —artículo 45—, Lituania —artículo 67.1 y 19— y Grecia —artículo 47—), a diferencia de la Constitución española de 1978, prevén expresamente la amnistía. Veamos su tratamiento constitucional.</w:t>
      </w:r>
    </w:p>
    <w:p w14:paraId="2DF1953A" w14:textId="77777777" w:rsidR="00A8138F" w:rsidRDefault="00A8138F" w:rsidP="00A8138F">
      <w:pPr>
        <w:pStyle w:val="TextoNormal"/>
      </w:pPr>
    </w:p>
    <w:p w14:paraId="521D0436" w14:textId="77777777" w:rsidR="00A8138F" w:rsidRDefault="00A8138F" w:rsidP="00A8138F">
      <w:pPr>
        <w:pStyle w:val="TextoNormal"/>
      </w:pPr>
      <w:r>
        <w:t>214. En Portugal se atribuye expresamente a la Asamblea de la República “conceder amnistías y perdones genéricos”; en Francia, el presidente de la República tiene la prerrogativa del indulto individual y se admite expresamente la amnistía, reservada a la ley; en Italia, como he referido, la Constitución admite la amnistía y el indulto expresamente, y prohíbe, tras la reforma de 1992, que la amnistía “se aplique a delitos cometidos con posterioridad a la presentación del proyecto de ley y exige que sea aprobada por mayoría de dos tercios de los miembros de cada Cámara, en cada uno de sus artículos y en la votación final”; en Austria se reconoce expresamente, además del indulto atribuido al presidente federal, la amnistía por delitos penales —pese a lo que erróneamente y sin el rigor exigido señala el preámbulo de la Ley de amnistía—; en Suiza, la Constitución federal atribuye a la Asamblea federal la posibilidad de amnistiar delitos previstos en el ordenamiento penal federal, pero exige superar un referéndum, y Grecia reconoce la amnistía para los delitos políticos pero la excluye para los delitos comunes.</w:t>
      </w:r>
    </w:p>
    <w:p w14:paraId="6FC2F996" w14:textId="77777777" w:rsidR="00A8138F" w:rsidRDefault="00A8138F" w:rsidP="00A8138F">
      <w:pPr>
        <w:pStyle w:val="TextoNormal"/>
      </w:pPr>
    </w:p>
    <w:p w14:paraId="3446C37D" w14:textId="77777777" w:rsidR="00A8138F" w:rsidRDefault="00A8138F" w:rsidP="00A8138F">
      <w:pPr>
        <w:pStyle w:val="TextoNormal"/>
      </w:pPr>
      <w:r>
        <w:t>215. Es cierto que la amnistía no se prevé en las constituciones de Bélgica, Irlanda y Alemania. No existe habilitación para la amnistía y pese a ello se han dictado leyes de impunidad. Ahora bien, en el caso de Alemania, se trata de leyes generales no singulares y además no existe la expresa prohibición de los indultos generales como sí sucede en España, habiendo aplicado la amnistía en cuatro leyes. Además, se trataba de leyes relacionadas con el cambio de régimen y la lucha contra el nazismo o contra sus consecuencias o con cambios generales del Derecho penal.</w:t>
      </w:r>
    </w:p>
    <w:p w14:paraId="6B3F4FEA" w14:textId="77777777" w:rsidR="00A8138F" w:rsidRDefault="00A8138F" w:rsidP="00A8138F">
      <w:pPr>
        <w:pStyle w:val="TextoNormal"/>
      </w:pPr>
    </w:p>
    <w:p w14:paraId="3B1BD527" w14:textId="77777777" w:rsidR="00A8138F" w:rsidRDefault="00A8138F" w:rsidP="00A8138F">
      <w:pPr>
        <w:pStyle w:val="TextoNormal"/>
      </w:pPr>
      <w:r>
        <w:t>216. Por otra parte, no cabe señalar como referencias de Derecho comparado, tal y como realiza el preámbulo de la Ley de amnistía al referirse a Suecia, Irlanda o Bélgica, pues su modelo de Constitución, a diferencia del nuestro, no es rígido, sino flexible, esto es, no pretende establecer de modo pormenorizado el diseño jurídico normativo del marco político y de creación del ordenamiento jurídico.</w:t>
      </w:r>
    </w:p>
    <w:p w14:paraId="17FFFE29" w14:textId="77777777" w:rsidR="00A8138F" w:rsidRDefault="00A8138F" w:rsidP="00A8138F">
      <w:pPr>
        <w:pStyle w:val="TextoNormal"/>
      </w:pPr>
    </w:p>
    <w:p w14:paraId="09E6A89F" w14:textId="77777777" w:rsidR="00A8138F" w:rsidRDefault="00A8138F" w:rsidP="00A8138F">
      <w:pPr>
        <w:pStyle w:val="TextoNormal"/>
      </w:pPr>
      <w:r>
        <w:t>217. Debe añadirse que no solo la amnistía no se incluye en el ámbito de la potestad legislativa al no haber previsto su existencia el poder constituyente —a diferencia de otros textos constitucionales de nuestro entorno—, sino que prohíbe expresamente los indultos generales y los trabajos de las Cortes constituyentes revelan que los dos intentos, por vía de enmienda, de introducir la amnistía en el texto constitucional fueron rechazados.</w:t>
      </w:r>
    </w:p>
    <w:p w14:paraId="4B0E2E43" w14:textId="77777777" w:rsidR="00A8138F" w:rsidRDefault="00A8138F" w:rsidP="00A8138F">
      <w:pPr>
        <w:pStyle w:val="TextoNormal"/>
      </w:pPr>
    </w:p>
    <w:p w14:paraId="13348747" w14:textId="77777777" w:rsidR="00A8138F" w:rsidRDefault="00A8138F" w:rsidP="00A8138F">
      <w:pPr>
        <w:pStyle w:val="TextoNormal"/>
      </w:pPr>
      <w:r>
        <w:t>(iv</w:t>
      </w:r>
      <w:r w:rsidRPr="00A8138F">
        <w:rPr>
          <w:i/>
        </w:rPr>
        <w:t>) Crítica a la diferenciación entre amnistía e indulto general: interpretación sistemática y el principio “quien no puede lo menos, no puede lo má</w:t>
      </w:r>
      <w:r>
        <w:t>s”</w:t>
      </w:r>
    </w:p>
    <w:p w14:paraId="01392227" w14:textId="77777777" w:rsidR="00A8138F" w:rsidRDefault="00A8138F" w:rsidP="00A8138F">
      <w:pPr>
        <w:pStyle w:val="TextoNormal"/>
      </w:pPr>
    </w:p>
    <w:p w14:paraId="2B795617" w14:textId="77777777" w:rsidR="00A8138F" w:rsidRDefault="00A8138F" w:rsidP="00A8138F">
      <w:pPr>
        <w:pStyle w:val="TextoNormal"/>
      </w:pPr>
      <w:r>
        <w:t>218. Como hemos adelantado, desde una interpretación sistemática, si la Constitución prohíbe los indultos generales [artículo 62 i) CE], con más razón habría de entenderse proscrita la amnistía, que tiene efectos más amplios. Esto es</w:t>
      </w:r>
      <w:r w:rsidRPr="00A8138F">
        <w:rPr>
          <w:i/>
        </w:rPr>
        <w:t>, qui non potest minus, non potest mai</w:t>
      </w:r>
      <w:r>
        <w:t>us, quien no puede lo menos no puede lo más. Esta lógica fue aceptada en la anterior legislatura incluso por los letrados del Congreso de los Diputados, al proponer la inadmisión de la proposición de ley orgánica de amnistía y resolución del conflicto político entre Catalunya y el Estado español, presentada por los grupos parlamentarios Republicano y Plural en la mesa del Congreso de los Diputados.</w:t>
      </w:r>
    </w:p>
    <w:p w14:paraId="36E5ED11" w14:textId="77777777" w:rsidR="00A8138F" w:rsidRDefault="00A8138F" w:rsidP="00A8138F">
      <w:pPr>
        <w:pStyle w:val="TextoNormal"/>
      </w:pPr>
    </w:p>
    <w:p w14:paraId="0945F086" w14:textId="77777777" w:rsidR="00A8138F" w:rsidRDefault="00A8138F" w:rsidP="00A8138F">
      <w:pPr>
        <w:pStyle w:val="TextoNormal"/>
      </w:pPr>
      <w:r>
        <w:t>219. Frente a dicha proposición, el informe de los letrados de la Cámara, recogido en el “Boletín Oficial de las Cortes Generales” —Congreso de los Diputados, XIV Legislatura, núm. 285, de 3 de junio de 2021, págs. 9-10, señaló:</w:t>
      </w:r>
    </w:p>
    <w:p w14:paraId="4BAB6063" w14:textId="77777777" w:rsidR="00A8138F" w:rsidRDefault="00A8138F" w:rsidP="00A8138F">
      <w:pPr>
        <w:pStyle w:val="TextoNormal"/>
      </w:pPr>
    </w:p>
    <w:p w14:paraId="49043288" w14:textId="77777777" w:rsidR="00A8138F" w:rsidRDefault="00A8138F" w:rsidP="00A8138F">
      <w:pPr>
        <w:pStyle w:val="TextoNormal"/>
      </w:pPr>
      <w:r>
        <w:t xml:space="preserve">“Por la manera en la que se definen los hechos que quedarían comprendidos en el ámbito objetivo de la ley y especialmente por la forma en que se concreta el alcance del concepto de intencionalidad política; así como por la individualización de los procedimientos que se hace en la citada disposición adicional única, cabe concluir que, con independencia de cómo se titule y del objetivo de la proposición de ley analizada, esta contiene en sí misma todos los elementos de un indulto de carácter general. </w:t>
      </w:r>
    </w:p>
    <w:p w14:paraId="206D9012" w14:textId="77777777" w:rsidR="00A8138F" w:rsidRDefault="00A8138F" w:rsidP="00A8138F">
      <w:pPr>
        <w:pStyle w:val="TextoNormal"/>
      </w:pPr>
    </w:p>
    <w:p w14:paraId="4D4602CE" w14:textId="77777777" w:rsidR="00A8138F" w:rsidRDefault="00A8138F" w:rsidP="00A8138F">
      <w:pPr>
        <w:pStyle w:val="TextoNormal"/>
      </w:pPr>
      <w:r>
        <w:t xml:space="preserve">A este respecto ha de recordarse que, de acuerdo con lo previsto en el artículo 62 i) de la Constitución (“[c]orresponde al rey ejercer el derecho de gracia con arreglo a la ley, que no podrá autorizar indultos generales”), no caben en nuestro sistema constitucional los indultos generales. En consonancia con ello, frente a la previsión del Código penal de 1973 (artículo 112), en el vigente de 1995 (artículo 130) no se contempla como causa de extinción de la responsabilidad criminal la amnistía, sino tan solo el indulto que, como se ha señalado, por expresa previsión constitucional solo puede tramitarse y concederse de manera individual. </w:t>
      </w:r>
    </w:p>
    <w:p w14:paraId="515FA1CB" w14:textId="77777777" w:rsidR="00A8138F" w:rsidRDefault="00A8138F" w:rsidP="00A8138F">
      <w:pPr>
        <w:pStyle w:val="TextoNormal"/>
      </w:pPr>
    </w:p>
    <w:p w14:paraId="32674820" w14:textId="77777777" w:rsidR="00A8138F" w:rsidRDefault="00A8138F" w:rsidP="00A8138F">
      <w:pPr>
        <w:pStyle w:val="TextoNormal"/>
      </w:pPr>
      <w:r>
        <w:t>Por todo lo anterior la proposición de ley de referencia parece entrar en una contradicción palmaria y evidente con lo dispuesto en el artículo 62 i) de la Constitución”.</w:t>
      </w:r>
    </w:p>
    <w:p w14:paraId="1898D32D" w14:textId="77777777" w:rsidR="00A8138F" w:rsidRDefault="00A8138F" w:rsidP="00A8138F">
      <w:pPr>
        <w:pStyle w:val="TextoNormal"/>
      </w:pPr>
    </w:p>
    <w:p w14:paraId="64BE88B6" w14:textId="77777777" w:rsidR="00A8138F" w:rsidRDefault="00A8138F" w:rsidP="00A8138F">
      <w:pPr>
        <w:pStyle w:val="TextoNormal"/>
      </w:pPr>
      <w:r>
        <w:t>De modo que el informe propuso —y así fue acogido—:</w:t>
      </w:r>
    </w:p>
    <w:p w14:paraId="2B289F1D" w14:textId="77777777" w:rsidR="00A8138F" w:rsidRDefault="00A8138F" w:rsidP="00A8138F">
      <w:pPr>
        <w:pStyle w:val="TextoNormal"/>
      </w:pPr>
    </w:p>
    <w:p w14:paraId="2E6A9D39" w14:textId="77777777" w:rsidR="00A8138F" w:rsidRDefault="00A8138F" w:rsidP="00A8138F">
      <w:pPr>
        <w:pStyle w:val="TextoNormal"/>
      </w:pPr>
      <w:r>
        <w:t>“Comunicar a los grupos parlamentarios autores de la iniciativa que no procede su admisión a trámite, en la medida en que, de un examen liminar se desprende que la misma, al suponer la concesión de un indulto general que afecta a una pluralidad de sujetos condenados por sentencia firme entraría en una contradicción palmaria y evidente con lo dispuesto en el artículo 62 i) de la Constitución, de acuerdo con el cual no cabe que la ley autorice indultos generales”.</w:t>
      </w:r>
    </w:p>
    <w:p w14:paraId="69940312" w14:textId="77777777" w:rsidR="00A8138F" w:rsidRDefault="00A8138F" w:rsidP="00A8138F">
      <w:pPr>
        <w:pStyle w:val="TextoNormal"/>
      </w:pPr>
    </w:p>
    <w:p w14:paraId="21BC06B6" w14:textId="77777777" w:rsidR="00A8138F" w:rsidRDefault="00A8138F" w:rsidP="00A8138F">
      <w:pPr>
        <w:pStyle w:val="TextoNormal"/>
      </w:pPr>
      <w:r>
        <w:t>220. Por tanto, la posibilidad de flexibilizar o modular la separación de poderes, conforme a la doctrina constitucional anteriormente citada, no es posible, y por lo tanto, ante la inexistencia de un reconocimiento constitucional de la amnistía, las Cortes Generales carecen de la potestad de aprobar amnistías sin quiebra del principio de separación de poderes y de la exclusividad jurisdiccional (artículos 9.1, 66.1 y 117.3 CE).</w:t>
      </w:r>
    </w:p>
    <w:p w14:paraId="2EB383A2" w14:textId="77777777" w:rsidR="00A8138F" w:rsidRDefault="00A8138F" w:rsidP="00A8138F">
      <w:pPr>
        <w:pStyle w:val="TextoNormal"/>
      </w:pPr>
    </w:p>
    <w:p w14:paraId="59EDE666" w14:textId="77777777" w:rsidR="00A8138F" w:rsidRDefault="00A8138F" w:rsidP="00A8138F">
      <w:pPr>
        <w:pStyle w:val="TextoNormal"/>
      </w:pPr>
      <w:r>
        <w:t xml:space="preserve">221. No puede compartirse la afirmación sostenida por la sentencia en el fundamento jurídico 3.2.1 a), mediante la cual se rechaza el argumento clásico </w:t>
      </w:r>
      <w:r w:rsidRPr="00A8138F">
        <w:rPr>
          <w:i/>
        </w:rPr>
        <w:t>qui non potest minus, non potest maius</w:t>
      </w:r>
      <w:r>
        <w:t xml:space="preserve"> —quien no puede lo menos, no puede lo más—, al tratar de diferenciar la naturaleza jurídica de la amnistía respecto del indulto general. Para la sentencia, la diferente naturaleza resulta de que la amnistía, a diferencia de los indultos generales, “solo puede ser adoptad[a] por el legislador, pues solo el Parlamento, en ejercicio de su potestad legislativa, puede excepcionar la ley. Con ello […] se quiere señalar que una de las exigencias que impone la Constitución para que, en su caso, esta institución sea compatible con sus determinaciones es que ha de ser adoptada necesariamente por las Cortes Generales”.</w:t>
      </w:r>
    </w:p>
    <w:p w14:paraId="79B7B69C" w14:textId="77777777" w:rsidR="00A8138F" w:rsidRDefault="00A8138F" w:rsidP="00A8138F">
      <w:pPr>
        <w:pStyle w:val="TextoNormal"/>
      </w:pPr>
    </w:p>
    <w:p w14:paraId="24099A22" w14:textId="77777777" w:rsidR="00A8138F" w:rsidRDefault="00A8138F" w:rsidP="00A8138F">
      <w:pPr>
        <w:pStyle w:val="TextoNormal"/>
      </w:pPr>
      <w:r>
        <w:t>222. Dicho razonamiento es circular, contradictorio con la propia fundamentación de la sentencia y carente de sustento constitucional. En efecto, pese a que la sentencia reconoce que no existe un reconocimiento constitucional de la amnistía, pues la Constitución —a diferencia de otras— guarda silencio sobre este aspecto, sin embargo, asienta la diferente naturaleza de la misma con el indulto general en que la Constitución impone como exigencia para que la amnistía sea compatible con sus determinaciones que sea adoptada necesariamente por las Cortes Generales. Las dos afirmaciones no pueden sostenerse simultáneamente sin incurrir en incoherencia. Admitir la primera —el silencio constitucional respecto de la amnistía— supone negar la segunda —que la Constitución imponga que la amnistía se adopte por las Cortes Generales—.</w:t>
      </w:r>
    </w:p>
    <w:p w14:paraId="5DFE344E" w14:textId="77777777" w:rsidR="00A8138F" w:rsidRDefault="00A8138F" w:rsidP="00A8138F">
      <w:pPr>
        <w:pStyle w:val="TextoNormal"/>
      </w:pPr>
    </w:p>
    <w:p w14:paraId="09A99D08" w14:textId="77777777" w:rsidR="00A8138F" w:rsidRDefault="00A8138F" w:rsidP="00A8138F">
      <w:pPr>
        <w:pStyle w:val="TextoNormal"/>
      </w:pPr>
      <w:r>
        <w:t>223. En el marco del poder constituyente originario, no existía ningún límite normativo, conceptual o institucional que impidiera atribuir la potestad de conceder amnistías a un órgano determinado del Estado, ya fuera el Parlamento, el Gobierno o el propio jefe del Estado. Como expresión de soberanía, el constituyente tenía libertad plena para configurar la arquitectura de poderes y las competencias constitucionales, incluyendo la posibilidad de reconocer la amnistía como una función ordinaria de alguno de esos órganos, sin necesidad de establecer restricciones materiales, procedimentales ni funcionales. Es más, como se ha afirmado anteriormente en términos de mera hipótesis, si la amnistía estuviera reconocida en la prerrogativa de gracia o en el derecho de gracia al que aluden los artículos 87.3 y 62 i) CE se llegaría precisamente a la conclusión, contraria a la naturaleza de la amnistía y a la tradición constitucional y de Derecho comparado, de que la Constitución la habría atribuido al jefe del Estado y no al Parlamento.</w:t>
      </w:r>
    </w:p>
    <w:p w14:paraId="749D2F06" w14:textId="77777777" w:rsidR="00A8138F" w:rsidRDefault="00A8138F" w:rsidP="00A8138F">
      <w:pPr>
        <w:pStyle w:val="TextoNormal"/>
      </w:pPr>
    </w:p>
    <w:p w14:paraId="3F2FC9BD" w14:textId="77777777" w:rsidR="00A8138F" w:rsidRDefault="00A8138F" w:rsidP="00A8138F">
      <w:pPr>
        <w:pStyle w:val="TextoNormal"/>
      </w:pPr>
      <w:r>
        <w:t xml:space="preserve">224. Por tanto, dicho argumento no puede excluir la aplicación del argumento clásico </w:t>
      </w:r>
      <w:r w:rsidRPr="00A8138F">
        <w:rPr>
          <w:i/>
        </w:rPr>
        <w:t>qui non potest minus, non potest maius</w:t>
      </w:r>
      <w:r>
        <w:t>. Tanto la amnistía como el indulto general comparten una misma naturaleza jurídica de medidas excepcionales de gracia, adoptadas por decisión política y ajenas al funcionamiento ordinario del Derecho penal. No se basan en la inocencia del destinatario, sino en una voluntad de perdón que rompe con la aplicación automática de la ley penal. Ambas figuras han sido empleadas históricamente como instrumentos de resolución política de conflictos, con finalidades de reconciliación o cierre de etapas críticas, fundamentadas en un ideal de justicia, y actúan sobre hechos pasados, extinguiendo o perdonando responsabilidades penales. Si bien la amnistía elimina el delito y sus efectos jurídicos, y el indulto general solo suprime la pena, ambas producen un resultado materialmente extintivo. Además, comparten su carácter retroactivo. También afectan directamente a la potestad jurisdiccional, al suprimir procedimientos penales o impedir la ejecución de sentencias, lo que plantea serios problemas de separación de poderes, en el caso de que no estén expresamente reconocidas en el texto constitucional.</w:t>
      </w:r>
    </w:p>
    <w:p w14:paraId="721EFACE" w14:textId="77777777" w:rsidR="00A8138F" w:rsidRDefault="00A8138F" w:rsidP="00A8138F">
      <w:pPr>
        <w:pStyle w:val="TextoNormal"/>
      </w:pPr>
    </w:p>
    <w:p w14:paraId="0FEC8E78" w14:textId="77777777" w:rsidR="00A8138F" w:rsidRDefault="00A8138F" w:rsidP="00A8138F">
      <w:pPr>
        <w:pStyle w:val="TextoNormal"/>
      </w:pPr>
      <w:r>
        <w:t>(v</w:t>
      </w:r>
      <w:r w:rsidRPr="00A8138F">
        <w:rPr>
          <w:i/>
        </w:rPr>
        <w:t>) La desnaturalización de la amnistía por la Ley Orgánica 1/2024 y su tratamiento en la sentenc</w:t>
      </w:r>
      <w:r>
        <w:t>ia</w:t>
      </w:r>
    </w:p>
    <w:p w14:paraId="1C4783A0" w14:textId="77777777" w:rsidR="00A8138F" w:rsidRDefault="00A8138F" w:rsidP="00A8138F">
      <w:pPr>
        <w:pStyle w:val="TextoNormal"/>
      </w:pPr>
    </w:p>
    <w:p w14:paraId="2E989819" w14:textId="77777777" w:rsidR="00A8138F" w:rsidRDefault="00A8138F" w:rsidP="00A8138F">
      <w:pPr>
        <w:pStyle w:val="TextoNormal"/>
      </w:pPr>
      <w:r>
        <w:t>225. Debe indicarse que la amnistía aprobada por las Cortes Generales, además de contradecir el marco constitucional vigente que garantiza la separación de poderes, altera la naturaleza y ontología del instituto de la amnistía y la convierte, con el respaldo argumental expreso de la sentencia, en su fundamento jurídico 6.2, al negar que deba responder a un ideal de justicia y al renunciar a su control constitucional, en un inadmisible instrumento arbitrario del ejercicio del poder. Las razones dadas en el preámbulo de la norma y por la sentencia, no son sostenibles.</w:t>
      </w:r>
    </w:p>
    <w:p w14:paraId="0B7B8EAC" w14:textId="77777777" w:rsidR="00A8138F" w:rsidRDefault="00A8138F" w:rsidP="00A8138F">
      <w:pPr>
        <w:pStyle w:val="TextoNormal"/>
      </w:pPr>
    </w:p>
    <w:p w14:paraId="5A0BB848" w14:textId="77777777" w:rsidR="00A8138F" w:rsidRDefault="00A8138F" w:rsidP="00A8138F">
      <w:pPr>
        <w:pStyle w:val="TextoNormal"/>
      </w:pPr>
      <w:r>
        <w:t>(</w:t>
      </w:r>
      <w:r w:rsidRPr="00A8138F">
        <w:rPr>
          <w:i/>
        </w:rPr>
        <w:t>vi) La STC 147/1986 y su indebida invocación como aval constitucional de la amni</w:t>
      </w:r>
      <w:r>
        <w:t>stía</w:t>
      </w:r>
    </w:p>
    <w:p w14:paraId="19B2D888" w14:textId="77777777" w:rsidR="00A8138F" w:rsidRDefault="00A8138F" w:rsidP="00A8138F">
      <w:pPr>
        <w:pStyle w:val="TextoNormal"/>
      </w:pPr>
    </w:p>
    <w:p w14:paraId="5A7E5CDA" w14:textId="77777777" w:rsidR="00A8138F" w:rsidRDefault="00A8138F" w:rsidP="00A8138F">
      <w:pPr>
        <w:pStyle w:val="TextoNormal"/>
      </w:pPr>
      <w:r>
        <w:t>226. Del examen del preámbulo de la norma, no puede aceptarse que la STC 147/1986, de 25 de noviembre, declarase “[l]a constitucionalidad de la amnistía” (inicio del apartado IV de la exposición de motivos).</w:t>
      </w:r>
    </w:p>
    <w:p w14:paraId="3871CCB1" w14:textId="77777777" w:rsidR="00A8138F" w:rsidRDefault="00A8138F" w:rsidP="00A8138F">
      <w:pPr>
        <w:pStyle w:val="TextoNormal"/>
      </w:pPr>
    </w:p>
    <w:p w14:paraId="11287EAA" w14:textId="77777777" w:rsidR="00A8138F" w:rsidRDefault="00A8138F" w:rsidP="00A8138F">
      <w:pPr>
        <w:pStyle w:val="TextoNormal"/>
      </w:pPr>
      <w:r>
        <w:t>227. La STC 147/1986 en cuestión tenía por finalidad, como indica la sentencia de la que discrepo en el fundamento jurídico 2.2, resolver una cuestión de inconstitucionalidad planteada respecto de varios artículos de la Ley 1/1984, de 9 de enero. La controversia giraba, en particular, en torno a la relación de dicha norma con los artículos 5 y 8 de la Ley 46/1977, de 15 de octubre, de amnistía, que regulaban ciertos “derechos activos” de los trabajadores por cuenta ajena. Así, el análisis del Tribunal se centró exclusivamente en este aspecto específico de la Ley 1/1984, tal como se señala en su fundamento jurídico 1 b).</w:t>
      </w:r>
    </w:p>
    <w:p w14:paraId="03C08779" w14:textId="77777777" w:rsidR="00A8138F" w:rsidRDefault="00A8138F" w:rsidP="00A8138F">
      <w:pPr>
        <w:pStyle w:val="TextoNormal"/>
      </w:pPr>
    </w:p>
    <w:p w14:paraId="54159B05" w14:textId="77777777" w:rsidR="00A8138F" w:rsidRDefault="00A8138F" w:rsidP="00A8138F">
      <w:pPr>
        <w:pStyle w:val="TextoNormal"/>
      </w:pPr>
      <w:r>
        <w:t>228. En efecto, lo que realmente examinó el Tribunal Constitucional fue una serie de cuestiones de inconstitucionalidad promovidas por distintos órganos jurisdiccionales en torno a un asunto concreto: la imprescriptibilidad de las acciones dirigidas al reconocimiento de derechos contemplados en la Ley de amnistía de 1977. Para regular esta cuestión, la Ley 1/1984 introdujo un nuevo artículo, el 1</w:t>
      </w:r>
      <w:r w:rsidRPr="00A8138F">
        <w:rPr>
          <w:i/>
        </w:rPr>
        <w:t>1 b</w:t>
      </w:r>
      <w:r>
        <w:t>is, que proclamaba dicha imprescriptibilidad de forma expresa, así como una disposición adicional que permitía solicitar la aplicación de la ley de amnistía incluso en los casos en los que previamente se hubiera inadmitido una demanda por considerar prescrita la acción correspondiente.</w:t>
      </w:r>
    </w:p>
    <w:p w14:paraId="14C17DB6" w14:textId="77777777" w:rsidR="00A8138F" w:rsidRDefault="00A8138F" w:rsidP="00A8138F">
      <w:pPr>
        <w:pStyle w:val="TextoNormal"/>
      </w:pPr>
    </w:p>
    <w:p w14:paraId="0A94319E" w14:textId="77777777" w:rsidR="00A8138F" w:rsidRDefault="00A8138F" w:rsidP="00A8138F">
      <w:pPr>
        <w:pStyle w:val="TextoNormal"/>
      </w:pPr>
      <w:r>
        <w:t>229. En resumen, lo que se encontraba en discusión era si resultaba constitucional establecer que estas acciones no prescribían, en el marco de las relaciones laborales, lo cual suponía una especificación de ciertos aspectos controvertidos del régimen jurídico introducido por la Ley de 1977 —ley en la que se materializó, según el Tribunal, el ejercicio real de la gracia legislativa (véanse los fundamentos jurídicos 1 y 2)—. Por tanto, la sentencia no analizó directamente la validez constitucional de la Ley de 1977, sino de una norma posterior aprobada ya bajo el marco de la Constitución vigente.</w:t>
      </w:r>
    </w:p>
    <w:p w14:paraId="254923BC" w14:textId="77777777" w:rsidR="00A8138F" w:rsidRDefault="00A8138F" w:rsidP="00A8138F">
      <w:pPr>
        <w:pStyle w:val="TextoNormal"/>
      </w:pPr>
    </w:p>
    <w:p w14:paraId="70F5C6D5" w14:textId="77777777" w:rsidR="00A8138F" w:rsidRDefault="00A8138F" w:rsidP="00A8138F">
      <w:pPr>
        <w:pStyle w:val="TextoNormal"/>
      </w:pPr>
      <w:r>
        <w:t>(vii</w:t>
      </w:r>
      <w:r w:rsidRPr="00A8138F">
        <w:rPr>
          <w:i/>
        </w:rPr>
        <w:t>) La limitación del alcance de la STC 147/1986 y su indebida utilizaci</w:t>
      </w:r>
      <w:r>
        <w:t>ón</w:t>
      </w:r>
    </w:p>
    <w:p w14:paraId="0468C734" w14:textId="77777777" w:rsidR="00A8138F" w:rsidRDefault="00A8138F" w:rsidP="00A8138F">
      <w:pPr>
        <w:pStyle w:val="TextoNormal"/>
      </w:pPr>
    </w:p>
    <w:p w14:paraId="4E9320BD" w14:textId="77777777" w:rsidR="00A8138F" w:rsidRDefault="00A8138F" w:rsidP="00A8138F">
      <w:pPr>
        <w:pStyle w:val="TextoNormal"/>
      </w:pPr>
      <w:r>
        <w:t>230. Así pues, la STC 147/1986 tenía un alcance claramente más limitado que el que le pretende atribuir el preámbulo de la Ley de amnistía. En dicha resolución, el Tribunal concluyó que los preceptos añadidos por la Ley 1/1984 eran inconstitucionales, al considerar que la norma de 1977 no contemplaba expresamente la imprescriptibilidad de las acciones y, por tanto, su inclusión posterior alteraba el equilibrio del régimen excepcional de la amnistía. Esta modificación, en opinión del Tribunal, suponía una restricción adicional al principio de seguridad jurídica consagrado en el artículo 9.3 CE, motivo por el cual se declaró la invalidez de ambos preceptos introducidos en 1984, que ampliaban los efectos de la norma de 1977.</w:t>
      </w:r>
    </w:p>
    <w:p w14:paraId="46FD4DF2" w14:textId="77777777" w:rsidR="00A8138F" w:rsidRDefault="00A8138F" w:rsidP="00A8138F">
      <w:pPr>
        <w:pStyle w:val="TextoNormal"/>
      </w:pPr>
    </w:p>
    <w:p w14:paraId="10AA4DF1" w14:textId="77777777" w:rsidR="00A8138F" w:rsidRDefault="00A8138F" w:rsidP="00A8138F">
      <w:pPr>
        <w:pStyle w:val="TextoNormal"/>
      </w:pPr>
      <w:r>
        <w:t>231. Lo que sí hace la STC 147/1986 es ofrecer una caracterización general de lo que representa una ley de amnistía como la de 1977, cuyas notas esenciales difieren profundamente de la Ley Orgánica 1/2024, y de la exégesis que de la misma efectúa la sentencia de la que discrepo.</w:t>
      </w:r>
    </w:p>
    <w:p w14:paraId="7DEC4562" w14:textId="77777777" w:rsidR="00A8138F" w:rsidRDefault="00A8138F" w:rsidP="00A8138F">
      <w:pPr>
        <w:pStyle w:val="TextoNormal"/>
      </w:pPr>
    </w:p>
    <w:p w14:paraId="5A50DD71" w14:textId="77777777" w:rsidR="00A8138F" w:rsidRDefault="00A8138F" w:rsidP="00A8138F">
      <w:pPr>
        <w:pStyle w:val="TextoNormal"/>
      </w:pPr>
      <w:r>
        <w:t>(viii</w:t>
      </w:r>
      <w:r w:rsidRPr="00A8138F">
        <w:rPr>
          <w:i/>
        </w:rPr>
        <w:t>) La desvinculación de la amnistía del ideal de justicia y su incompatibilidad con los valores estructurales del Estado constitucion</w:t>
      </w:r>
      <w:r>
        <w:t>al</w:t>
      </w:r>
    </w:p>
    <w:p w14:paraId="61E99765" w14:textId="77777777" w:rsidR="00A8138F" w:rsidRDefault="00A8138F" w:rsidP="00A8138F">
      <w:pPr>
        <w:pStyle w:val="TextoNormal"/>
      </w:pPr>
    </w:p>
    <w:p w14:paraId="4CD8CBDF" w14:textId="77777777" w:rsidR="00A8138F" w:rsidRDefault="00A8138F" w:rsidP="00A8138F">
      <w:pPr>
        <w:pStyle w:val="TextoNormal"/>
      </w:pPr>
      <w:r>
        <w:t>232. La sentencia frente a la que formulo voto particular, en su fundamento jurídico 2.2, elude explícitamente afirmar, como correspondería desde una posición interpretativa coherente con las alegaciones de los recurrentes, que las SSTC 147/1986 y 63/1983 no constituyen en modo alguno un aval para el reconocimiento constitucional de la amnistía. De este modo, la sentencia incurre en una ambigüedad argumentativa que, lejos de esclarecer el valor normativo de los precedentes citados, los instrumentaliza parcialmente para sustentar una tesis que aquellos pronunciamientos ni enuncian ni respaldan.</w:t>
      </w:r>
    </w:p>
    <w:p w14:paraId="353590D2" w14:textId="77777777" w:rsidR="00A8138F" w:rsidRDefault="00A8138F" w:rsidP="00A8138F">
      <w:pPr>
        <w:pStyle w:val="TextoNormal"/>
      </w:pPr>
    </w:p>
    <w:p w14:paraId="3F1A26AC" w14:textId="77777777" w:rsidR="00A8138F" w:rsidRDefault="00A8138F" w:rsidP="00A8138F">
      <w:pPr>
        <w:pStyle w:val="TextoNormal"/>
      </w:pPr>
      <w:r>
        <w:t>233. En efecto, la sentencia niega expresamente en su fundamento jurídico 6.2 —y adelanta en el fundamento jurídico 2.2— apartándose de la doctrina constitucional, que toda amnistía deba responder a un ideal de justicia. Ello supone el reconocimiento expreso de las amnistías arbitrarias e injustas, al amparo de que las amnistías son “un fenómeno complejo” y de “naturaleza excepcional”.</w:t>
      </w:r>
    </w:p>
    <w:p w14:paraId="67EFF264" w14:textId="77777777" w:rsidR="00A8138F" w:rsidRDefault="00A8138F" w:rsidP="00A8138F">
      <w:pPr>
        <w:pStyle w:val="TextoNormal"/>
      </w:pPr>
    </w:p>
    <w:p w14:paraId="707FC5A7" w14:textId="77777777" w:rsidR="00A8138F" w:rsidRDefault="00A8138F" w:rsidP="00A8138F">
      <w:pPr>
        <w:pStyle w:val="TextoNormal"/>
      </w:pPr>
      <w:r>
        <w:t>234. La sentencia expresa de modo explícito en el fundamento jurídico 6.2 que “[n]o cabe, por tanto, deducir de tales afirmaciones [las que efectúan las SSTC 147/1986 y 63/1983] que necesariamente la amnistía ha de responder al ideal de justicia al que las citadas resoluciones aluden”. La tesis según la cual las sentencias mencionadas no exigen que la amnistía responda a un ideal de justicia desvirtúa el canon jurisprudencial que ellas mismas construyen.</w:t>
      </w:r>
    </w:p>
    <w:p w14:paraId="40C1D677" w14:textId="77777777" w:rsidR="00A8138F" w:rsidRDefault="00A8138F" w:rsidP="00A8138F">
      <w:pPr>
        <w:pStyle w:val="TextoNormal"/>
      </w:pPr>
    </w:p>
    <w:p w14:paraId="4416A8D8" w14:textId="77777777" w:rsidR="00A8138F" w:rsidRDefault="00A8138F" w:rsidP="00A8138F">
      <w:pPr>
        <w:pStyle w:val="TextoNormal"/>
      </w:pPr>
      <w:r>
        <w:t>235. En tal sentido, la sentencia incurre en una grave omisión interpretativa al desvincular la amnistía de los ideales de justicia y de la exigencia de que persiga un fin constitucionalmente legítimo. En su fundamento jurídico 2.2, el Tribunal descarta que el ideal de justicia que pudiera inspirar la medida de amnistía resulte una característica relevante en el juicio de constitucionalidad. Sin embargo, esta afirmación contradice abiertamente tanto el contenido sustantivo de la amnistía como institución jurídica, como la doctrina consolidada del propio Tribunal sobre el valor normativo del artículo 1.1 CE, que consagra la justicia como uno de los valores superiores del ordenamiento jurídico.</w:t>
      </w:r>
    </w:p>
    <w:p w14:paraId="3768D6BA" w14:textId="77777777" w:rsidR="00A8138F" w:rsidRDefault="00A8138F" w:rsidP="00A8138F">
      <w:pPr>
        <w:pStyle w:val="TextoNormal"/>
      </w:pPr>
    </w:p>
    <w:p w14:paraId="7BBD2ED0" w14:textId="77777777" w:rsidR="00A8138F" w:rsidRDefault="00A8138F" w:rsidP="00A8138F">
      <w:pPr>
        <w:pStyle w:val="TextoNormal"/>
      </w:pPr>
      <w:r>
        <w:t>236. Cuando la sentencia reconoce —como lo hace en otros pasajes— que la amnistía se configura como un mecanismo extraordinario destinado a mitigar la severidad del Derecho penal en contextos excepcionales, tales como razones humanitarias, procesos de reconciliación nacional o crisis de naturaleza política o social, está admitiendo implícitamente —de modo contradictorio con lo que previamente afirma— que su adopción exige una justificación sustantiva, fundada en valores constitucionales y no en la mera voluntad del legislador. No se trata, por tanto, de una herramienta disponible libremente en manos del Parlamento, sino de una medida que debe responder a un juicio material de justicia, orientado a restablecer la convivencia, reparar agravios históricos o corregir disfunciones estructurales del orden jurídico anterior.</w:t>
      </w:r>
    </w:p>
    <w:p w14:paraId="2BFD518E" w14:textId="77777777" w:rsidR="00A8138F" w:rsidRDefault="00A8138F" w:rsidP="00A8138F">
      <w:pPr>
        <w:pStyle w:val="TextoNormal"/>
      </w:pPr>
    </w:p>
    <w:p w14:paraId="653290E8" w14:textId="77777777" w:rsidR="00A8138F" w:rsidRDefault="00A8138F" w:rsidP="00A8138F">
      <w:pPr>
        <w:pStyle w:val="TextoNormal"/>
      </w:pPr>
      <w:r>
        <w:t>237. Negar que tales razones formen parte del juicio de constitucionalidad desnaturaliza la función garantista del Tribunal Constitucional y erosiona la fuerza normativa del artículo 1.1 CE, que no es un simple enunciado programático, sino una cláusula de interpretación estructural del conjunto del ordenamiento jurídico, convirtiendo la amnistía en un instrumento al servicio de la oportunidad política y de la arbitrariedad.</w:t>
      </w:r>
    </w:p>
    <w:p w14:paraId="4A7AF764" w14:textId="77777777" w:rsidR="00A8138F" w:rsidRDefault="00A8138F" w:rsidP="00A8138F">
      <w:pPr>
        <w:pStyle w:val="TextoNormal"/>
      </w:pPr>
    </w:p>
    <w:p w14:paraId="24D1CE27" w14:textId="77777777" w:rsidR="00A8138F" w:rsidRDefault="00A8138F" w:rsidP="00A8138F">
      <w:pPr>
        <w:pStyle w:val="TextoNormal"/>
      </w:pPr>
      <w:r>
        <w:t>(ix</w:t>
      </w:r>
      <w:r w:rsidRPr="00A8138F">
        <w:rPr>
          <w:i/>
        </w:rPr>
        <w:t>) Abdicación de la sentencia: renuncia al control sustantivo y erosión del Estado de Derec</w:t>
      </w:r>
      <w:r>
        <w:t>ho</w:t>
      </w:r>
    </w:p>
    <w:p w14:paraId="34F25EF9" w14:textId="77777777" w:rsidR="00A8138F" w:rsidRDefault="00A8138F" w:rsidP="00A8138F">
      <w:pPr>
        <w:pStyle w:val="TextoNormal"/>
      </w:pPr>
    </w:p>
    <w:p w14:paraId="01B7AEA3" w14:textId="77777777" w:rsidR="00A8138F" w:rsidRDefault="00A8138F" w:rsidP="00A8138F">
      <w:pPr>
        <w:pStyle w:val="TextoNormal"/>
      </w:pPr>
      <w:r>
        <w:t>238. La argumentación contenida en el fundamento jurídico 6.2, según la cual la situación excepcional derivada de la amnistía permite descartar la arbitrariedad de la misma y su apreciación corresponde exclusivamente al legislador, de modo que el Tribunal Constitucional debe limitarse a un “control meramente externo” sin reexaminar el juicio político subyacente, supone en realidad una inaceptable renuncia y dejación de funciones respecto al ejercicio de la jurisdicción constitucional en un asunto que afecta de forma directa a los principios estructurales del Estado de Derecho.</w:t>
      </w:r>
    </w:p>
    <w:p w14:paraId="40879C2F" w14:textId="77777777" w:rsidR="00A8138F" w:rsidRDefault="00A8138F" w:rsidP="00A8138F">
      <w:pPr>
        <w:pStyle w:val="TextoNormal"/>
      </w:pPr>
    </w:p>
    <w:p w14:paraId="3D5A65EB" w14:textId="77777777" w:rsidR="00A8138F" w:rsidRDefault="00A8138F" w:rsidP="00A8138F">
      <w:pPr>
        <w:pStyle w:val="TextoNormal"/>
      </w:pPr>
      <w:r>
        <w:t>239. En primer lugar, asumir que el Tribunal debe abstenerse de valorar sustantivamente si concurren o no las circunstancias excepcionales que justificarían una amnistía, implica transformar el control de constitucionalidad en una revisión meramente formal, lo cual contradice frontalmente la función que le atribuye el artículo 161 CE y la Ley Orgánica del Tribunal Constitucional. No se trata de que el Tribunal supla al legislador en la valoración política de una situación histórica o social, sino de que verifique, con criterios jurídicos, si la amnistía persigue un fin constitucionalmente legítimo y respeta los límites que impone el orden constitucional.</w:t>
      </w:r>
    </w:p>
    <w:p w14:paraId="609B8ECC" w14:textId="77777777" w:rsidR="00A8138F" w:rsidRDefault="00A8138F" w:rsidP="00A8138F">
      <w:pPr>
        <w:pStyle w:val="TextoNormal"/>
      </w:pPr>
    </w:p>
    <w:p w14:paraId="7DED11C5" w14:textId="77777777" w:rsidR="00A8138F" w:rsidRDefault="00A8138F" w:rsidP="00A8138F">
      <w:pPr>
        <w:pStyle w:val="TextoNormal"/>
      </w:pPr>
      <w:r>
        <w:t>240. En segundo lugar, la amnistía no es una medida neutra, sino una figura que quiebra intencionadamente principios estructurales del Estado de Derecho, como el principio de igualdad ante la ley (artículo 14 CE), el principio de legalidad penal (artículo 25 CE), el principio de seguridad jurídica (artículo 9.3 CE) y la separación de poderes (artículo 117 CE). Justamente por ello, su adopción exige un control constitucional especialmente riguroso, que no puede limitarse a comprobar si el legislador menciona la palabra “excepcionalidad”, sino que debe examinar la razonabilidad, proporcionalidad y finalidad constitucional de la medida.</w:t>
      </w:r>
    </w:p>
    <w:p w14:paraId="5ED5EC9F" w14:textId="77777777" w:rsidR="00A8138F" w:rsidRDefault="00A8138F" w:rsidP="00A8138F">
      <w:pPr>
        <w:pStyle w:val="TextoNormal"/>
      </w:pPr>
    </w:p>
    <w:p w14:paraId="345DC9C9" w14:textId="77777777" w:rsidR="00A8138F" w:rsidRDefault="00A8138F" w:rsidP="00A8138F">
      <w:pPr>
        <w:pStyle w:val="TextoNormal"/>
      </w:pPr>
      <w:r>
        <w:t>241. Aceptar que el Tribunal no puede “reexaminar el juicio político subyacente” equivale a abdicar de su responsabilidad como garante último de la Constitución. Supone colocar al legislador en una posición de supremacía política por encima del marco constitucional, en clara contradicción con el principio de supremacía constitucional (artículo 9.1 CE), que impone límites materiales a todos los poderes públicos, incluido el Legislativo y que subordina la legislación de amnistía a “un valor superior de justicia” y “los principios constitucionales” (STC 116/1987, de 7 de julio, FJ 7).</w:t>
      </w:r>
    </w:p>
    <w:p w14:paraId="2985766B" w14:textId="77777777" w:rsidR="00A8138F" w:rsidRDefault="00A8138F" w:rsidP="00A8138F">
      <w:pPr>
        <w:pStyle w:val="TextoNormal"/>
      </w:pPr>
    </w:p>
    <w:p w14:paraId="7B4032FA" w14:textId="77777777" w:rsidR="00A8138F" w:rsidRDefault="00A8138F" w:rsidP="00A8138F">
      <w:pPr>
        <w:pStyle w:val="TextoNormal"/>
      </w:pPr>
      <w:r>
        <w:t>242. En definitiva, esta argumentación encubre, bajo una aparente deferencia institucional, una auténtica renuncia al control constitucional efectivo, en un ámbito donde precisamente se hace más necesario: cuando el legislador adopta una medida excepcional que suspende la aplicación del Derecho penal ordinario en beneficio de un grupo determinado de personas. Al replegarse a un control externo puramente formal, el Tribunal se priva de aplicar el juicio de proporcionalidad, razonabilidad y legitimidad material que exige la jurisprudencia constitucional cuando se ven afectados principios esenciales del orden democrático.</w:t>
      </w:r>
    </w:p>
    <w:p w14:paraId="6FAF33C2" w14:textId="77777777" w:rsidR="00A8138F" w:rsidRDefault="00A8138F" w:rsidP="00A8138F">
      <w:pPr>
        <w:pStyle w:val="TextoNormal"/>
      </w:pPr>
    </w:p>
    <w:p w14:paraId="7789CCB3" w14:textId="77777777" w:rsidR="00A8138F" w:rsidRDefault="00A8138F" w:rsidP="00A8138F">
      <w:pPr>
        <w:pStyle w:val="TextoNormal"/>
      </w:pPr>
      <w:r>
        <w:t>243. En fin, si la aprobación de la Ley Orgánica de amnistía ha supuesto un auténtico terremoto para los pilares estructurales sobre los que se asienta el orden constitucional de 1978, la argumentación contenida en la sentencia que avala su constitucionalidad constituye un verdadero cataclismo jurídico, al debilitar los límites materiales del Poder Legislativo, relativizar los principios esenciales del Estado de Derecho y erosionar gravemente la función garantista del Tribunal Constitucional.</w:t>
      </w:r>
    </w:p>
    <w:p w14:paraId="29FD7B04" w14:textId="77777777" w:rsidR="00A8138F" w:rsidRDefault="00A8138F" w:rsidP="00A8138F">
      <w:pPr>
        <w:pStyle w:val="TextoNormal"/>
      </w:pPr>
    </w:p>
    <w:p w14:paraId="2133B3B8" w14:textId="77777777" w:rsidR="00A8138F" w:rsidRDefault="00A8138F" w:rsidP="00A8138F">
      <w:pPr>
        <w:pStyle w:val="TextoNormal"/>
      </w:pPr>
      <w:r>
        <w:t>(x</w:t>
      </w:r>
      <w:r w:rsidRPr="00A8138F">
        <w:rPr>
          <w:i/>
        </w:rPr>
        <w:t>) Desfiguración de la doctrina constitucional: el verdadero sentido de las SSTC 147/1986 y 63/1983 frente a su uso tergiversa</w:t>
      </w:r>
      <w:r>
        <w:t>do</w:t>
      </w:r>
    </w:p>
    <w:p w14:paraId="3F0D9B3E" w14:textId="77777777" w:rsidR="00A8138F" w:rsidRDefault="00A8138F" w:rsidP="00A8138F">
      <w:pPr>
        <w:pStyle w:val="TextoNormal"/>
      </w:pPr>
    </w:p>
    <w:p w14:paraId="5ACD531D" w14:textId="77777777" w:rsidR="00A8138F" w:rsidRDefault="00A8138F" w:rsidP="00A8138F">
      <w:pPr>
        <w:pStyle w:val="TextoNormal"/>
      </w:pPr>
      <w:r>
        <w:t>244. Del examen de los precedentes que representan las SSTC 147/1986 y 63/1983 resulta precisamente lo contrario. La STC 147/1986 describe la amnistía como una medida jurídica excepcional basada en un ideal de justicia —tal como ya apuntó la STC 63/1983—, cuyo propósito es suprimir los efectos jurídicos de normas consideradas incompatibles con los principios que inspiran un nuevo marco político. Se trata, por tanto, de una respuesta excepcional vinculada al proceso de consolidación de unos valores democráticos emergentes. En ese contexto, se justifica la amnistía cuyo efecto es anular retroactivamente los límites impuestos a ciertos derechos, restaurándolos como si nunca hubiesen sido restringidos en aras a satisfacer el ideal de justicia.</w:t>
      </w:r>
    </w:p>
    <w:p w14:paraId="4D183FFA" w14:textId="77777777" w:rsidR="00A8138F" w:rsidRDefault="00A8138F" w:rsidP="00A8138F">
      <w:pPr>
        <w:pStyle w:val="TextoNormal"/>
      </w:pPr>
    </w:p>
    <w:p w14:paraId="4E2B2761" w14:textId="77777777" w:rsidR="00A8138F" w:rsidRDefault="00A8138F" w:rsidP="00A8138F">
      <w:pPr>
        <w:pStyle w:val="TextoNormal"/>
      </w:pPr>
      <w:r>
        <w:t>245. Así, el Tribunal —en la STC 147/1986— enmarca la amnistía de 1977 en un contexto de transformación institucional, identificándola con un cambio profundo de sistema y con un juicio crítico sobre el pasado. Es decir, responde a la instauración de un nuevo orden político y jurídico.</w:t>
      </w:r>
    </w:p>
    <w:p w14:paraId="58C34E0D" w14:textId="77777777" w:rsidR="00A8138F" w:rsidRDefault="00A8138F" w:rsidP="00A8138F">
      <w:pPr>
        <w:pStyle w:val="TextoNormal"/>
      </w:pPr>
    </w:p>
    <w:p w14:paraId="352066D7" w14:textId="77777777" w:rsidR="00A8138F" w:rsidRDefault="00A8138F" w:rsidP="00A8138F">
      <w:pPr>
        <w:pStyle w:val="TextoNormal"/>
      </w:pPr>
      <w:r>
        <w:t>(</w:t>
      </w:r>
      <w:r w:rsidRPr="00A8138F">
        <w:rPr>
          <w:i/>
        </w:rPr>
        <w:t>xi) Carencia de nuevo paradigma constitucional en la Ley de amni</w:t>
      </w:r>
      <w:r>
        <w:t>stía</w:t>
      </w:r>
    </w:p>
    <w:p w14:paraId="64FFCDAA" w14:textId="77777777" w:rsidR="00A8138F" w:rsidRDefault="00A8138F" w:rsidP="00A8138F">
      <w:pPr>
        <w:pStyle w:val="TextoNormal"/>
      </w:pPr>
    </w:p>
    <w:p w14:paraId="2BACA64C" w14:textId="77777777" w:rsidR="00A8138F" w:rsidRDefault="00A8138F" w:rsidP="00A8138F">
      <w:pPr>
        <w:pStyle w:val="TextoNormal"/>
      </w:pPr>
      <w:r>
        <w:t>246. Nada de esto se encuentra en la Ley de amnistía, que, según se desprende de su exposición de motivos (apartados II y III), se apoya en conceptos como el diálogo, el entendimiento, la convivencia, o la estabilidad institucional y económica. Estas ideas, por legítimas que sean, no representan un nuevo paradigma constitucional, sino que operan dentro del mismo marco normativo de 1978, sin cuestionarlo ni superarlo, por lo que no pueden justificar la impunidad, ni la excepcionalidad del Derecho penal.</w:t>
      </w:r>
    </w:p>
    <w:p w14:paraId="22A43FAA" w14:textId="77777777" w:rsidR="00A8138F" w:rsidRDefault="00A8138F" w:rsidP="00A8138F">
      <w:pPr>
        <w:pStyle w:val="TextoNormal"/>
      </w:pPr>
    </w:p>
    <w:p w14:paraId="0C27D977" w14:textId="77777777" w:rsidR="00A8138F" w:rsidRDefault="00A8138F" w:rsidP="00A8138F">
      <w:pPr>
        <w:pStyle w:val="TextoNormal"/>
      </w:pPr>
      <w:r>
        <w:t>247. Desde esta perspectiva, si se interpretan literalmente los términos empleados por el Tribunal para referirse a la naturaleza de la amnistía, queda claro que cualquier medida que no esté fundamentada simultáneamente en un ideal de justicia y en la construcción de un nuevo orden político carece del respaldo conceptual necesario para justificar su aprobación y el sacrificio de los principios constitucionales esenciales en el Estado de Derecho, particularmente de la igualdad ante la ley y de la separación de poderes</w:t>
      </w:r>
      <w:r w:rsidRPr="00A8138F">
        <w:rPr>
          <w:i/>
        </w:rPr>
        <w:t>. A sensu contr</w:t>
      </w:r>
      <w:r>
        <w:t>ario, se extrae de la referida sentencia que, si el motivo de fondo responde a intereses políticos coyunturales, dirigidos a beneficiar puntualmente a determinados actores, la amnistía así entendida vulneraría principios constitucionales básicos.</w:t>
      </w:r>
    </w:p>
    <w:p w14:paraId="5AD3E717" w14:textId="77777777" w:rsidR="00A8138F" w:rsidRDefault="00A8138F" w:rsidP="00A8138F">
      <w:pPr>
        <w:pStyle w:val="TextoNormal"/>
      </w:pPr>
    </w:p>
    <w:p w14:paraId="1CA6C61C" w14:textId="77777777" w:rsidR="00A8138F" w:rsidRDefault="00A8138F" w:rsidP="00A8138F">
      <w:pPr>
        <w:pStyle w:val="TextoNormal"/>
      </w:pPr>
      <w:r>
        <w:t>(xii</w:t>
      </w:r>
      <w:r w:rsidRPr="00A8138F">
        <w:rPr>
          <w:i/>
        </w:rPr>
        <w:t>) Doctrina del Consejo de Europa y la incompatibilidad con la Ley de amnist</w:t>
      </w:r>
      <w:r>
        <w:t>ía</w:t>
      </w:r>
    </w:p>
    <w:p w14:paraId="4DB0BE98" w14:textId="77777777" w:rsidR="00A8138F" w:rsidRDefault="00A8138F" w:rsidP="00A8138F">
      <w:pPr>
        <w:pStyle w:val="TextoNormal"/>
      </w:pPr>
    </w:p>
    <w:p w14:paraId="6E211EAC" w14:textId="77777777" w:rsidR="00A8138F" w:rsidRDefault="00A8138F" w:rsidP="00A8138F">
      <w:pPr>
        <w:pStyle w:val="TextoNormal"/>
      </w:pPr>
      <w:r>
        <w:t>248. El enfoque dado por el Tribunal en sus precedentes no se separa del que efectúa el Comité de Ministros del Consejo de Europa en su Recomendación CM/Rec(2010)12, de 17 de noviembre de 2010, sobre los jueces: independencia, eficiencia y responsabilidad. Dicha recomendación del Comité configura la “amnistía” como una “excepción” al principio general según el cual “los poderes Ejecutivo y Legislativo no deben tomar decisiones que invaliden decisiones judiciales” (§ 17). En referencia a la justificación de tales excepciones el Comité de Ministros indica que “se puede encontrar en altos principios humanitarios”, que desde luego no se localizan en el resultado de la negociación política —impunidad por investidura— que germina en la Ley de amnistía.</w:t>
      </w:r>
    </w:p>
    <w:p w14:paraId="02EADA2D" w14:textId="77777777" w:rsidR="00A8138F" w:rsidRDefault="00A8138F" w:rsidP="00A8138F">
      <w:pPr>
        <w:pStyle w:val="TextoNormal"/>
      </w:pPr>
    </w:p>
    <w:p w14:paraId="36101FD2" w14:textId="77777777" w:rsidR="00A8138F" w:rsidRDefault="00A8138F" w:rsidP="00A8138F">
      <w:pPr>
        <w:pStyle w:val="TextoNormal"/>
      </w:pPr>
      <w:r>
        <w:t>249. No es distinta la Opinión 710/2012, de la Comisión de Venecia, de 11 de marzo de 2013, CDL-AD(2013)009-e, sobre las disposiciones relativas a los presos políticos en la Ley de amnistía de Georgia, que, al examinar la ley de amnistía para presos políticos de Georgia, circunscribe la amnistía al “contexto del fin de conflictos, dictaduras, insurrecciones, justo después de la transición democrática, pero no más allá”, y que tampoco puede predicarse de la Ley de amnistía. Por otra parte, la opinión de la Comisión de Venecia exige que la amnistía sea conforme con “los principios del Estado de Derecho, de legalidad, prohibición de arbitrariedad, así como no discriminación e igualdad ante la ley”.</w:t>
      </w:r>
    </w:p>
    <w:p w14:paraId="057BEBDA" w14:textId="77777777" w:rsidR="00A8138F" w:rsidRDefault="00A8138F" w:rsidP="00A8138F">
      <w:pPr>
        <w:pStyle w:val="TextoNormal"/>
      </w:pPr>
    </w:p>
    <w:p w14:paraId="2E806CE9" w14:textId="77777777" w:rsidR="00A8138F" w:rsidRDefault="00A8138F" w:rsidP="00A8138F">
      <w:pPr>
        <w:pStyle w:val="TextoNormal"/>
      </w:pPr>
      <w:r>
        <w:t>(xi</w:t>
      </w:r>
      <w:r w:rsidRPr="00A8138F">
        <w:rPr>
          <w:i/>
        </w:rPr>
        <w:t>ii) Interpretación indebida de la jurisprudencia constitucional en la Ley de amni</w:t>
      </w:r>
      <w:r>
        <w:t>stía</w:t>
      </w:r>
    </w:p>
    <w:p w14:paraId="76A1638E" w14:textId="77777777" w:rsidR="00A8138F" w:rsidRDefault="00A8138F" w:rsidP="00A8138F">
      <w:pPr>
        <w:pStyle w:val="TextoNormal"/>
      </w:pPr>
    </w:p>
    <w:p w14:paraId="6EEB0372" w14:textId="77777777" w:rsidR="00A8138F" w:rsidRDefault="00A8138F" w:rsidP="00A8138F">
      <w:pPr>
        <w:pStyle w:val="TextoNormal"/>
      </w:pPr>
      <w:r>
        <w:t>250. Debe destacarse que el preámbulo de la Ley de amnistía —en su apartado V— hace una interpretación parcial de la jurisprudencia del Tribunal Constitucional, al sostener que este habría fijado ciertos “requisitos” para validar normativamente una ley de amnistía como la propuesta. Se mencionan al efecto las SSTC 28/1982, 63/1983 y 116/1987, entre otras. Sin embargo, en ninguna de ellas se analiza directamente la constitucionalidad de la Ley de amnistía de 1977 ni se establecen tales condiciones.</w:t>
      </w:r>
    </w:p>
    <w:p w14:paraId="3CFE6869" w14:textId="77777777" w:rsidR="00A8138F" w:rsidRDefault="00A8138F" w:rsidP="00A8138F">
      <w:pPr>
        <w:pStyle w:val="TextoNormal"/>
      </w:pPr>
    </w:p>
    <w:p w14:paraId="40AEA98B" w14:textId="77777777" w:rsidR="00A8138F" w:rsidRDefault="00A8138F" w:rsidP="00A8138F">
      <w:pPr>
        <w:pStyle w:val="TextoNormal"/>
      </w:pPr>
      <w:r>
        <w:t>251. Así, por ejemplo, la STC 28/1982 resolvió un recurso relativo a la aplicación retroactiva de decretos dictados en 1936 y 1937 en relación con las milicias republicanas; la STC 63/1983 trató una reclamación de igualdad de trato entre funcionarios militares y civiles, desestimando además la pretensión de que la falta de una iniciativa legislativa fuese revisable judicialmente y la STC 116/1987 analizó si una distinción basada en una fecha concreta (el 18 de julio de 1936) vulneraba el principio de igualdad al definir los derechos del personal militar republicano, concluyendo que no podía aplicarse un criterio temporal más restrictivo que el previsto para los funcionarios civiles.</w:t>
      </w:r>
    </w:p>
    <w:p w14:paraId="489EA116" w14:textId="77777777" w:rsidR="00A8138F" w:rsidRDefault="00A8138F" w:rsidP="00A8138F">
      <w:pPr>
        <w:pStyle w:val="TextoNormal"/>
      </w:pPr>
    </w:p>
    <w:p w14:paraId="54650B26" w14:textId="77777777" w:rsidR="00A8138F" w:rsidRDefault="00A8138F" w:rsidP="00A8138F">
      <w:pPr>
        <w:pStyle w:val="TextoNormal"/>
      </w:pPr>
      <w:r>
        <w:t>252. En consecuencia, un examen completo y riguroso de estas resoluciones impide utilizarlas como argumento para sostener que el Tribunal ha validado de forma expresa o implícita la constitucionalidad de la amnistía como institución.</w:t>
      </w:r>
    </w:p>
    <w:p w14:paraId="43ADC577" w14:textId="77777777" w:rsidR="00A8138F" w:rsidRDefault="00A8138F" w:rsidP="00A8138F">
      <w:pPr>
        <w:pStyle w:val="TextoNormal"/>
      </w:pPr>
    </w:p>
    <w:p w14:paraId="60FBE2BA" w14:textId="77777777" w:rsidR="00A8138F" w:rsidRDefault="00A8138F" w:rsidP="00A8138F">
      <w:pPr>
        <w:pStyle w:val="TextoNormal"/>
      </w:pPr>
      <w:r>
        <w:t>(xiv</w:t>
      </w:r>
      <w:r w:rsidRPr="00A8138F">
        <w:rPr>
          <w:i/>
        </w:rPr>
        <w:t>) Falacia interpretativa de la Ley de amnistía respecto a la STC 147/19</w:t>
      </w:r>
      <w:r>
        <w:t>86</w:t>
      </w:r>
    </w:p>
    <w:p w14:paraId="3DE535DA" w14:textId="77777777" w:rsidR="00A8138F" w:rsidRDefault="00A8138F" w:rsidP="00A8138F">
      <w:pPr>
        <w:pStyle w:val="TextoNormal"/>
      </w:pPr>
    </w:p>
    <w:p w14:paraId="5F9DB1F5" w14:textId="77777777" w:rsidR="00A8138F" w:rsidRDefault="00A8138F" w:rsidP="00A8138F">
      <w:pPr>
        <w:pStyle w:val="TextoNormal"/>
      </w:pPr>
      <w:r>
        <w:t>253. Por último, en la propia STC 147/1986, y dentro del contexto analizado, el Tribunal realiza ciertos comentarios —que el preámbulo de la Ley de amnistía recoge— cuyo alcance debe matizarse. Las diferencias entre amnistía e indulto se abordan como observaciones accesorias, ya que el Tribunal deja claro que no entra a valorar si la amnistía puede entrar en conflicto con el artículo 62 i) de la Constitución (relativo al derecho de gracia). De hecho, parte de la base de que la Ley 1/1984 no constituye, en sí misma, una manifestación del ejercicio de ese derecho, y enmarca el problema en términos de si el legislador, al modificar una ley anterior mediante una nueva disposición, ha infringido otros principios constitucionales.</w:t>
      </w:r>
    </w:p>
    <w:p w14:paraId="699A84A2" w14:textId="77777777" w:rsidR="00A8138F" w:rsidRDefault="00A8138F" w:rsidP="00A8138F">
      <w:pPr>
        <w:pStyle w:val="TextoNormal"/>
      </w:pPr>
    </w:p>
    <w:p w14:paraId="78D2120F" w14:textId="77777777" w:rsidR="00A8138F" w:rsidRDefault="00A8138F" w:rsidP="00A8138F">
      <w:pPr>
        <w:pStyle w:val="TextoNormal"/>
      </w:pPr>
      <w:r>
        <w:t>254. Cuando el Tribunal señala que “no hay restricción constitucional directa sobre esta materia”, lo hace refiriéndose a la posibilidad de que el legislador regule o aclare el régimen jurídico de una ley anterior a la Constitución, como es la de 1977. Por tanto, no puede sostenerse, como parece insinuar la Ley de amnistía, que tal afirmación constituya un aval implícito a la constitucionalidad de cualquier ley de amnistía futura.</w:t>
      </w:r>
    </w:p>
    <w:p w14:paraId="165AB0CC" w14:textId="77777777" w:rsidR="00A8138F" w:rsidRPr="00A8138F" w:rsidRDefault="00A8138F" w:rsidP="00A8138F">
      <w:pPr>
        <w:pStyle w:val="TextoNormal"/>
        <w:rPr>
          <w:i/>
        </w:rPr>
      </w:pPr>
    </w:p>
    <w:p w14:paraId="3A820788" w14:textId="77777777" w:rsidR="00A8138F" w:rsidRDefault="00A8138F" w:rsidP="00A8138F">
      <w:pPr>
        <w:pStyle w:val="TextoNormal"/>
      </w:pPr>
      <w:r w:rsidRPr="00A8138F">
        <w:rPr>
          <w:i/>
        </w:rPr>
        <w:t>(xv) La Ley de amnistía como ley singular encu</w:t>
      </w:r>
      <w:r>
        <w:t>bierta</w:t>
      </w:r>
    </w:p>
    <w:p w14:paraId="0B9DA28A" w14:textId="77777777" w:rsidR="00A8138F" w:rsidRDefault="00A8138F" w:rsidP="00A8138F">
      <w:pPr>
        <w:pStyle w:val="TextoNormal"/>
      </w:pPr>
    </w:p>
    <w:p w14:paraId="56506D55" w14:textId="77777777" w:rsidR="00A8138F" w:rsidRDefault="00A8138F" w:rsidP="00A8138F">
      <w:pPr>
        <w:pStyle w:val="TextoNormal"/>
      </w:pPr>
      <w:r>
        <w:t>255. Al tratarse de una exoneración de las responsabilidades de determinadas personas al margen de toda idea de justicia y de los altos principios humanitarios a los que alude la indicada recomendación del Comité de Ministros, la norma impugnada carece de cualquier sustento constitucional, lo que aleja la impunidad de la Ley Orgánica 1/2024 del carácter de amnistía y la convierte, como se verá, en una proscrita ley singular.</w:t>
      </w:r>
    </w:p>
    <w:p w14:paraId="3A9DFD43" w14:textId="77777777" w:rsidR="00A8138F" w:rsidRDefault="00A8138F" w:rsidP="00A8138F">
      <w:pPr>
        <w:pStyle w:val="TextoNormal"/>
      </w:pPr>
    </w:p>
    <w:p w14:paraId="461C835B" w14:textId="77777777" w:rsidR="00A8138F" w:rsidRDefault="00A8138F" w:rsidP="00A8138F">
      <w:pPr>
        <w:pStyle w:val="TextoNormal"/>
      </w:pPr>
      <w:r>
        <w:t>(xvi</w:t>
      </w:r>
      <w:r w:rsidRPr="00A8138F">
        <w:rPr>
          <w:i/>
        </w:rPr>
        <w:t>) Requisitos sustantivos para la legitimidad constitucional de la amnist</w:t>
      </w:r>
      <w:r>
        <w:t>ía</w:t>
      </w:r>
    </w:p>
    <w:p w14:paraId="384D505B" w14:textId="77777777" w:rsidR="00A8138F" w:rsidRDefault="00A8138F" w:rsidP="00A8138F">
      <w:pPr>
        <w:pStyle w:val="TextoNormal"/>
      </w:pPr>
    </w:p>
    <w:p w14:paraId="1411198E" w14:textId="77777777" w:rsidR="00A8138F" w:rsidRDefault="00A8138F" w:rsidP="00A8138F">
      <w:pPr>
        <w:pStyle w:val="TextoNormal"/>
      </w:pPr>
      <w:r>
        <w:t>256. En realidad, la amnistía solo puede concebirse como una medida de supresión de la responsabilidad penal o de otro tipo —como la administrativa o contable— cuando la sanción de las conductas afectadas se vincula a un marco normativo ya superado, considerado contrario a los principios del nuevo orden político vigente y obedece a razones de justicia o humanitarias. Es decir, solo resulta legítima cuando, además de prevista en la norma constitucional, pretende corregir injusticias derivadas de un sistema anterior que ha sido sustituido por otro fundado en valores opuestos, tal como reconoció el Tribunal Constitucional en su STC 76/1986, FJ 2.</w:t>
      </w:r>
    </w:p>
    <w:p w14:paraId="0B627247" w14:textId="77777777" w:rsidR="00A8138F" w:rsidRDefault="00A8138F" w:rsidP="00A8138F">
      <w:pPr>
        <w:pStyle w:val="TextoNormal"/>
      </w:pPr>
    </w:p>
    <w:p w14:paraId="642810E1" w14:textId="77777777" w:rsidR="00A8138F" w:rsidRDefault="00A8138F" w:rsidP="00A8138F">
      <w:pPr>
        <w:pStyle w:val="TextoNormal"/>
      </w:pPr>
      <w:r>
        <w:t>257. No se trata aquí de reparar una injusticia derivada de un sistema político derogado, sino de anular los efectos jurídicos de actuaciones juzgadas o sancionadas, e impedir la investigación de otras que se llevaron a cabo conforme al ordenamiento democrático actual. Es decir, se pretende suprimir la aplicación que se hizo de la Constitución, precisamente para preservar el vigente modelo constitucional de convivencia.</w:t>
      </w:r>
    </w:p>
    <w:p w14:paraId="0BE3BBEC" w14:textId="77777777" w:rsidR="00A8138F" w:rsidRDefault="00A8138F" w:rsidP="00A8138F">
      <w:pPr>
        <w:pStyle w:val="TextoNormal"/>
      </w:pPr>
    </w:p>
    <w:p w14:paraId="1D29C40C" w14:textId="77777777" w:rsidR="00A8138F" w:rsidRDefault="00A8138F" w:rsidP="00A8138F">
      <w:pPr>
        <w:pStyle w:val="TextoNormal"/>
      </w:pPr>
      <w:r>
        <w:t>(xv</w:t>
      </w:r>
      <w:r w:rsidRPr="00A8138F">
        <w:rPr>
          <w:i/>
        </w:rPr>
        <w:t>ii) Ausencia de condiciones para la amnistía en la Ley Orgánica 1/</w:t>
      </w:r>
      <w:r>
        <w:t>2024</w:t>
      </w:r>
    </w:p>
    <w:p w14:paraId="0E14A70E" w14:textId="77777777" w:rsidR="00A8138F" w:rsidRDefault="00A8138F" w:rsidP="00A8138F">
      <w:pPr>
        <w:pStyle w:val="TextoNormal"/>
      </w:pPr>
    </w:p>
    <w:p w14:paraId="124A1A01" w14:textId="77777777" w:rsidR="00A8138F" w:rsidRDefault="00A8138F" w:rsidP="00A8138F">
      <w:pPr>
        <w:pStyle w:val="TextoNormal"/>
      </w:pPr>
      <w:r>
        <w:t>258. En este marco, la Ley emplea el término “amnistía” en su denominación, pero sin que se den las condiciones que apuntalarían, de estar constitucionalmente reconocida, la utilización legítima de esta institución.</w:t>
      </w:r>
    </w:p>
    <w:p w14:paraId="524DFC29" w14:textId="77777777" w:rsidR="00A8138F" w:rsidRDefault="00A8138F" w:rsidP="00A8138F">
      <w:pPr>
        <w:pStyle w:val="TextoNormal"/>
      </w:pPr>
    </w:p>
    <w:p w14:paraId="7ED71587" w14:textId="77777777" w:rsidR="00A8138F" w:rsidRDefault="00A8138F" w:rsidP="00A8138F">
      <w:pPr>
        <w:pStyle w:val="TextoNormal"/>
      </w:pPr>
      <w:r>
        <w:t>259. Sorprende, además, que el preámbulo de la Ley de amnistía no haga referencia alguna —salvo menciones vagas y formales, adelantadas al principio de este voto— al principio de justicia como valor rector de esta medida. Es claro que el contenido de la norma, su carácter arbitrario, no consiente su uso. El único modo de sostener la constitucionalidad de la norma es desvincular, como hace la sentencia de modo expreso, la amnistía de los ideales de justicia impidiendo aplicar el canon axiológico que la Constitución impone en el artículo 1.1 CE y en los citados precedentes, y que resulta indispensable para determinar su validez. Lejos de ser neutral o políticamente abierta, la amnistía debe estar constitucionalmente condicionada por la justicia material, sin la cual se convierte en un acto de poder arbitrario, y por tanto, incompatible con los principios fundamentales del Estado constitucional de Derecho.</w:t>
      </w:r>
    </w:p>
    <w:p w14:paraId="6E7C8EF6" w14:textId="77777777" w:rsidR="00A8138F" w:rsidRDefault="00A8138F" w:rsidP="00A8138F">
      <w:pPr>
        <w:pStyle w:val="TextoNormal"/>
      </w:pPr>
    </w:p>
    <w:p w14:paraId="0648A017" w14:textId="77777777" w:rsidR="00A8138F" w:rsidRDefault="00A8138F" w:rsidP="00A8138F">
      <w:pPr>
        <w:pStyle w:val="TextoNormal"/>
      </w:pPr>
      <w:r>
        <w:t>260. Las escasas alocuciones al término “justicia” en los apartados II y III del preámbulo no están acompañadas de una argumentación que conecte ese principio con el contenido real de la ley. Se apela, de manera superficial, a que esta amnistía se adopta “bajo el principio de justicia” o que tal valor debe presidir sus fines, pero no se explica en qué medida se está reparando una injusticia en el sentido constitucionalmente relevante.</w:t>
      </w:r>
    </w:p>
    <w:p w14:paraId="453490F4" w14:textId="77777777" w:rsidR="00A8138F" w:rsidRDefault="00A8138F" w:rsidP="00A8138F">
      <w:pPr>
        <w:pStyle w:val="TextoNormal"/>
      </w:pPr>
    </w:p>
    <w:p w14:paraId="65587E61" w14:textId="77777777" w:rsidR="00A8138F" w:rsidRDefault="00A8138F" w:rsidP="00A8138F">
      <w:pPr>
        <w:pStyle w:val="TextoNormal"/>
      </w:pPr>
      <w:r>
        <w:t>(xviii</w:t>
      </w:r>
      <w:r w:rsidRPr="00A8138F">
        <w:rPr>
          <w:i/>
        </w:rPr>
        <w:t>) Persistencia del orden constitucional y falta de justificación en la Ley de amnist</w:t>
      </w:r>
      <w:r>
        <w:t>ía</w:t>
      </w:r>
    </w:p>
    <w:p w14:paraId="73D5D524" w14:textId="77777777" w:rsidR="00A8138F" w:rsidRDefault="00A8138F" w:rsidP="00A8138F">
      <w:pPr>
        <w:pStyle w:val="TextoNormal"/>
      </w:pPr>
    </w:p>
    <w:p w14:paraId="6F036306" w14:textId="77777777" w:rsidR="00A8138F" w:rsidRDefault="00A8138F" w:rsidP="00A8138F">
      <w:pPr>
        <w:pStyle w:val="TextoNormal"/>
      </w:pPr>
      <w:r>
        <w:t>261. Adicionalmente, resulta evidente que la Ley de amnistía —afortunadamente— no repudia el orden político vigente en el momento en que ocurrieron los hechos objeto de la amnistía. De hecho, ese orden sigue plenamente en vigor. Los comportamientos vinculados a la consulta del 9 de noviembre de 2014 y al referéndum del 1 de octubre de 2017 —ambos declarados inconstitucionales por el Tribunal Constitucional en las sentencias 31/2015, de 25 de febrero, y 114/2017— no han dejado de estar tipificados. Los bienes jurídicos protegidos por las normas infringidas siguen vigentes y son merecedores de protección. La doctrina constitucional en la que se ampararon las resoluciones judiciales continúa siendo aplicable y no ha sido objeto de modificación.</w:t>
      </w:r>
    </w:p>
    <w:p w14:paraId="069E63D5" w14:textId="77777777" w:rsidR="00A8138F" w:rsidRDefault="00A8138F" w:rsidP="00A8138F">
      <w:pPr>
        <w:pStyle w:val="TextoNormal"/>
      </w:pPr>
    </w:p>
    <w:p w14:paraId="4F5F6BD2" w14:textId="77777777" w:rsidR="00A8138F" w:rsidRDefault="00A8138F" w:rsidP="00A8138F">
      <w:pPr>
        <w:pStyle w:val="TextoNormal"/>
      </w:pPr>
      <w:r>
        <w:t>262. En consecuencia, la Ley de amnistía responde a una decisión que colisiona con los principios de interdicción de la arbitrariedad de los poderes públicos, legalidad y seguridad jurídica, recogidos en el artículo 9.3 CE y con el derecho a la igualdad (artículo 14 CE).</w:t>
      </w:r>
    </w:p>
    <w:p w14:paraId="27ABEBE0" w14:textId="77777777" w:rsidR="00A8138F" w:rsidRDefault="00A8138F" w:rsidP="00A8138F">
      <w:pPr>
        <w:pStyle w:val="TextoNormal"/>
      </w:pPr>
    </w:p>
    <w:p w14:paraId="4E57D24B" w14:textId="77777777" w:rsidR="00A8138F" w:rsidRDefault="00A8138F" w:rsidP="00A8138F">
      <w:pPr>
        <w:pStyle w:val="TextoNormal"/>
      </w:pPr>
      <w:r>
        <w:t>(x</w:t>
      </w:r>
      <w:r w:rsidRPr="00A8138F">
        <w:rPr>
          <w:i/>
        </w:rPr>
        <w:t>ix) Implicaciones para el Estado de Derecho y la tutela judi</w:t>
      </w:r>
      <w:r>
        <w:t>cial</w:t>
      </w:r>
    </w:p>
    <w:p w14:paraId="0BDF6A30" w14:textId="77777777" w:rsidR="00A8138F" w:rsidRDefault="00A8138F" w:rsidP="00A8138F">
      <w:pPr>
        <w:pStyle w:val="TextoNormal"/>
      </w:pPr>
    </w:p>
    <w:p w14:paraId="14297762" w14:textId="77777777" w:rsidR="00A8138F" w:rsidRDefault="00A8138F" w:rsidP="00A8138F">
      <w:pPr>
        <w:pStyle w:val="TextoNormal"/>
      </w:pPr>
      <w:r>
        <w:t>263. Además, resulta incompatible con los valores fundamentales del Estado democrático que, en un contexto de normalidad constitucional, por motivos irrazonables y desproporcionados —sobre los que volveremos en el siguiente apartado—, para asegurar la impunidad de ciertos líderes políticos, y de modo absolutamente indeterminado, se modifique la legislación penal común.</w:t>
      </w:r>
    </w:p>
    <w:p w14:paraId="3FA550DC" w14:textId="77777777" w:rsidR="00A8138F" w:rsidRDefault="00A8138F" w:rsidP="00A8138F">
      <w:pPr>
        <w:pStyle w:val="TextoNormal"/>
      </w:pPr>
    </w:p>
    <w:p w14:paraId="44944646" w14:textId="77777777" w:rsidR="00A8138F" w:rsidRDefault="00A8138F" w:rsidP="00A8138F">
      <w:pPr>
        <w:pStyle w:val="TextoNormal"/>
      </w:pPr>
      <w:r>
        <w:t>264. La ley también impide injustificadamente que determinadas conductas puedan ser objeto de investigación o enjuiciamiento, obstaculizando la aplicación de sentencias firmes. Esta restricción afecta de manera directa la potestad jurisdiccional, que corresponde exclusivamente al Poder Judicial (artículo 117.3 CE), y compromete el derecho a la tutela judicial efectiva (artículo 24.1 CE).</w:t>
      </w:r>
    </w:p>
    <w:p w14:paraId="72ABE436" w14:textId="77777777" w:rsidR="00A8138F" w:rsidRDefault="00A8138F" w:rsidP="00A8138F">
      <w:pPr>
        <w:pStyle w:val="TextoNormal"/>
      </w:pPr>
    </w:p>
    <w:p w14:paraId="1DC09D87" w14:textId="77777777" w:rsidR="00A8138F" w:rsidRDefault="00A8138F" w:rsidP="00A8138F">
      <w:pPr>
        <w:pStyle w:val="TextoNormal"/>
      </w:pPr>
      <w:r>
        <w:t>(</w:t>
      </w:r>
      <w:r w:rsidRPr="00A8138F">
        <w:rPr>
          <w:i/>
        </w:rPr>
        <w:t>xx) Conclusión: distorsión de la amnistía y debilitamiento del orden constituci</w:t>
      </w:r>
      <w:r>
        <w:t>onal</w:t>
      </w:r>
    </w:p>
    <w:p w14:paraId="0CF41677" w14:textId="77777777" w:rsidR="00A8138F" w:rsidRDefault="00A8138F" w:rsidP="00A8138F">
      <w:pPr>
        <w:pStyle w:val="TextoNormal"/>
      </w:pPr>
    </w:p>
    <w:p w14:paraId="2FA29358" w14:textId="77777777" w:rsidR="00A8138F" w:rsidRDefault="00A8138F" w:rsidP="00A8138F">
      <w:pPr>
        <w:pStyle w:val="TextoNormal"/>
      </w:pPr>
      <w:r>
        <w:t>265. En definitiva, las disposiciones contenidas en la Ley de amnistía distorsionan profundamente el sentido legítimo de la amnistía, despojándola de su fundamento jurídico tradicional y transformándola, con respaldo argumental en la sentencia, en una herramienta al servicio de la arbitraria impunidad.</w:t>
      </w:r>
    </w:p>
    <w:p w14:paraId="6A4630D4" w14:textId="77777777" w:rsidR="00A8138F" w:rsidRDefault="00A8138F" w:rsidP="00A8138F">
      <w:pPr>
        <w:pStyle w:val="TextoNormal"/>
      </w:pPr>
    </w:p>
    <w:p w14:paraId="14567092" w14:textId="77777777" w:rsidR="00A8138F" w:rsidRDefault="00A8138F" w:rsidP="00A8138F">
      <w:pPr>
        <w:pStyle w:val="TextoNormal"/>
      </w:pPr>
      <w:r>
        <w:t>266. La sentencia aprobada por la mayoría al declarar la constitucionalidad de la Ley de amnistía debilita el orden constitucional y cimenta un precedente muy preocupante que mucho me temo va a servir de aliento a nuevos intentos de subversión del marco constitucional una vez despojado el Derecho penal de su finalidad de prevención general. Con ello, no solo se consolida un precedente jurídico altamente preocupante, sino que se abre peligrosamente la puerta a que en el futuro pueda instrumentalizarse la amnistía como moneda de cambio política, permitiendo el intercambio de impunidad por apoyos parlamentarios, en abierta contradicción con los valores fundamentales que inspiran nuestra Constitución.</w:t>
      </w:r>
    </w:p>
    <w:p w14:paraId="7261402C" w14:textId="77777777" w:rsidR="00A8138F" w:rsidRDefault="00A8138F" w:rsidP="00A8138F">
      <w:pPr>
        <w:pStyle w:val="TextoNormal"/>
      </w:pPr>
    </w:p>
    <w:p w14:paraId="0370B8B7" w14:textId="77777777" w:rsidR="00A8138F" w:rsidRDefault="00A8138F" w:rsidP="00A8138F">
      <w:pPr>
        <w:pStyle w:val="TextoNormal"/>
      </w:pPr>
      <w:r>
        <w:t>C</w:t>
      </w:r>
      <w:r w:rsidRPr="00A8138F">
        <w:rPr>
          <w:i/>
        </w:rPr>
        <w:t>) La Ley Orgánica 1/2024, de amnistía para la normalización institucional, política y social en Cataluña vulnera los artículos 9.3, 14, 24.1, 117.3 y 118 CE por tratarse de una ley singular que carece de justificación constitucion</w:t>
      </w:r>
      <w:r>
        <w:t>al</w:t>
      </w:r>
    </w:p>
    <w:p w14:paraId="1ED45968" w14:textId="77777777" w:rsidR="00A8138F" w:rsidRDefault="00A8138F" w:rsidP="00A8138F">
      <w:pPr>
        <w:pStyle w:val="TextoNormal"/>
      </w:pPr>
    </w:p>
    <w:p w14:paraId="2871A46D" w14:textId="77777777" w:rsidR="00A8138F" w:rsidRDefault="00A8138F" w:rsidP="00A8138F">
      <w:pPr>
        <w:pStyle w:val="TextoNormal"/>
      </w:pPr>
      <w:r>
        <w:t>En este apartado profundizaré sobre la finalidad de la Ley de amnistía y su correspondencia con la expresada en su exposición de motivos. Para ello, conforme al modo en que este tribunal ha establecido que debe enjuiciarse constitucionalmente la norma, examinaré las circunstancias en las que se aprobó: los datos que constan en el acuerdo de investidura, en el preámbulo de la Ley de amnistía y en las intervenciones reflejadas en el “Diario de Sesiones del Congreso de los Diputados” referidas a la investidura y a la tramitación de la proposición. No es posible sustraerse de tales circunstancias —como efectúa la sentencia con claro abandono de las funciones de control de constitucionalidad de la norma— que son las que dibujan el contexto en el que se ha dictado la norma, esencial para indagar si concurre la existencia de una justificación objetiva orientada a una finalidad constitucionalmente legítima.</w:t>
      </w:r>
    </w:p>
    <w:p w14:paraId="479BAF70" w14:textId="77777777" w:rsidR="00A8138F" w:rsidRDefault="00A8138F" w:rsidP="00A8138F">
      <w:pPr>
        <w:pStyle w:val="TextoNormal"/>
      </w:pPr>
    </w:p>
    <w:p w14:paraId="096DD40C" w14:textId="77777777" w:rsidR="00A8138F" w:rsidRDefault="00A8138F" w:rsidP="00A8138F">
      <w:pPr>
        <w:pStyle w:val="TextoNormal"/>
      </w:pPr>
      <w:r>
        <w:t>La conclusión del análisis es que la motivación real que subyace en la aprobación de la Ley de amnistía no reside en promover la convivencia ni en reforzar el marco constitucional. Su justificación real es lograr el voto favorable a la investidura del presidente del Gobierno por parte de los diputados de los partidos políticos a los que pertenecen los líderes políticos investigados y condenados penalmente en diversas causas a los que se privilegia con la impunidad de la amnistía. Para lo cual, se tramita una ley singular que contraviene los principios de interdicción de la arbitrariedad de los poderes públicos, seguridad jurídica y el derecho a la igualdad (arts. 9.3 y 14 CE), tutela judicial efectiva (art. 24.1 CE), así como el principio de exclusividad jurisdiccional (artículo 117.3 CE) y el respeto a la ejecución de las resoluciones judiciales (artículo 118 CE).</w:t>
      </w:r>
    </w:p>
    <w:p w14:paraId="400A4EE8" w14:textId="77777777" w:rsidR="00A8138F" w:rsidRPr="00A8138F" w:rsidRDefault="00A8138F" w:rsidP="00A8138F">
      <w:pPr>
        <w:pStyle w:val="TextoNormal"/>
        <w:rPr>
          <w:i/>
        </w:rPr>
      </w:pPr>
    </w:p>
    <w:p w14:paraId="4AA1EA40" w14:textId="77777777" w:rsidR="00A8138F" w:rsidRDefault="00A8138F" w:rsidP="00A8138F">
      <w:pPr>
        <w:pStyle w:val="TextoNormal"/>
      </w:pPr>
      <w:r w:rsidRPr="00A8138F">
        <w:rPr>
          <w:i/>
        </w:rPr>
        <w:t>a) Justificación real de la ley orgánica: El acuerdo de investidura; la sesión de investidura celebrada el 15 y 16 de noviembre; el contenido del preámbulo de la Ley de amnistía y las intervenciones durante la tramitación de la</w:t>
      </w:r>
      <w:r>
        <w:t xml:space="preserve"> ley</w:t>
      </w:r>
    </w:p>
    <w:p w14:paraId="7EEE95E3" w14:textId="77777777" w:rsidR="00A8138F" w:rsidRDefault="00A8138F" w:rsidP="00A8138F">
      <w:pPr>
        <w:pStyle w:val="TextoNormal"/>
      </w:pPr>
    </w:p>
    <w:p w14:paraId="6E382217" w14:textId="77777777" w:rsidR="00A8138F" w:rsidRDefault="00A8138F" w:rsidP="00A8138F">
      <w:pPr>
        <w:pStyle w:val="TextoNormal"/>
      </w:pPr>
      <w:r w:rsidRPr="00A8138F">
        <w:rPr>
          <w:i/>
        </w:rPr>
        <w:t>(i) La exigencia de control constitucional sustantivo frente a pactos políticos: aplicación tergiversada de la STC 122/</w:t>
      </w:r>
      <w:r>
        <w:t>2016</w:t>
      </w:r>
    </w:p>
    <w:p w14:paraId="3779DB0C" w14:textId="77777777" w:rsidR="00A8138F" w:rsidRDefault="00A8138F" w:rsidP="00A8138F">
      <w:pPr>
        <w:pStyle w:val="TextoNormal"/>
      </w:pPr>
    </w:p>
    <w:p w14:paraId="7F3F2753" w14:textId="77777777" w:rsidR="00A8138F" w:rsidRDefault="00A8138F" w:rsidP="00A8138F">
      <w:pPr>
        <w:pStyle w:val="TextoNormal"/>
      </w:pPr>
      <w:r>
        <w:t>267. El preámbulo de la Ley Orgánica 1/2024 contiene la justificación formal de la amnistía. Sin embargo, atendida la naturaleza de ley singular y excepcional de la norma, no podemos limitar el análisis a una dimensión meramente formal y prescindir del contexto político y normativo en el que se inserta la disposición cuestionada.</w:t>
      </w:r>
    </w:p>
    <w:p w14:paraId="5CA634CD" w14:textId="77777777" w:rsidR="00A8138F" w:rsidRDefault="00A8138F" w:rsidP="00A8138F">
      <w:pPr>
        <w:pStyle w:val="TextoNormal"/>
      </w:pPr>
    </w:p>
    <w:p w14:paraId="492AE2D9" w14:textId="77777777" w:rsidR="00A8138F" w:rsidRDefault="00A8138F" w:rsidP="00A8138F">
      <w:pPr>
        <w:pStyle w:val="TextoNormal"/>
      </w:pPr>
      <w:r>
        <w:t>268. Tal consideración contextual resulta indispensable para valorar con precisión si la finalidad expresada posee un sustento real y no meramente aparente, conforme a la doctrina constitucional (STC 122/2016). En tal sentido, el canon de constitucionalidad de la ley singular es la razonabilidad y proporcionalidad de la misma proyectada al supuesto de hecho que contempla. El enjuiciamiento constitucional consiste en verificar la existencia de una justificación objetiva que constituya una finalidad constitucionalmente lícita. “[H]a de advertirse que […] nuestro análisis no puede entrañar un juicio de intenciones políticas […]. Esto no significa que deba desplegarse exclusivamente en el plano meramente formal, prescindiendo del contexto en el que se ha dictado el precepto cuestionado, que resulta esencial para valorar si dicha finalidad concurre realmente o no” (FJ 5).</w:t>
      </w:r>
    </w:p>
    <w:p w14:paraId="6E43C55D" w14:textId="77777777" w:rsidR="00A8138F" w:rsidRDefault="00A8138F" w:rsidP="00A8138F">
      <w:pPr>
        <w:pStyle w:val="TextoNormal"/>
      </w:pPr>
    </w:p>
    <w:p w14:paraId="07D795C9" w14:textId="77777777" w:rsidR="00A8138F" w:rsidRDefault="00A8138F" w:rsidP="00A8138F">
      <w:pPr>
        <w:pStyle w:val="TextoNormal"/>
      </w:pPr>
      <w:r>
        <w:t>(ii</w:t>
      </w:r>
      <w:r w:rsidRPr="00A8138F">
        <w:rPr>
          <w:i/>
        </w:rPr>
        <w:t>) La claudicación del Tribunal: de garante constitucional a notario del legislad</w:t>
      </w:r>
      <w:r>
        <w:t>or</w:t>
      </w:r>
    </w:p>
    <w:p w14:paraId="505E8979" w14:textId="77777777" w:rsidR="00A8138F" w:rsidRDefault="00A8138F" w:rsidP="00A8138F">
      <w:pPr>
        <w:pStyle w:val="TextoNormal"/>
      </w:pPr>
    </w:p>
    <w:p w14:paraId="29E08CAC" w14:textId="77777777" w:rsidR="00A8138F" w:rsidRDefault="00A8138F" w:rsidP="00A8138F">
      <w:pPr>
        <w:pStyle w:val="TextoNormal"/>
      </w:pPr>
      <w:r>
        <w:t>269. Sin embargo, la sentencia refleja con claridad, en su fundamento jurídico 7.3.1, lo contrario. Opta por un análisis meramente externo y formal de la ley, al declarar que el control constitucional no puede adentrarse en las motivaciones políticas, los pactos parlamentarios o las intenciones últimas del legislador. Esta posición implica una concepción extremadamente limitada del juicio de constitucionalidad, que se abstiene de valorar si la finalidad alegada de la norma —la reconciliación, la convivencia o la normalización institucional— concurre realmente en términos jurídicamente relevantes. Le basta a la sentencia, como dice más adelante en el fundamento jurídico 7.3.3, que las razones o circunstancias extraordinarias sean claramente inteligibles.</w:t>
      </w:r>
    </w:p>
    <w:p w14:paraId="4B3BAAFF" w14:textId="77777777" w:rsidR="00A8138F" w:rsidRDefault="00A8138F" w:rsidP="00A8138F">
      <w:pPr>
        <w:pStyle w:val="TextoNormal"/>
      </w:pPr>
    </w:p>
    <w:p w14:paraId="69016319" w14:textId="77777777" w:rsidR="00A8138F" w:rsidRDefault="00A8138F" w:rsidP="00A8138F">
      <w:pPr>
        <w:pStyle w:val="TextoNormal"/>
      </w:pPr>
      <w:r>
        <w:t>270. Reducir el examen de su justificación a la mera inteligibilidad formal de las razones alegadas equivale a abdicar de la obligación del legislador y del Tribunal Constitucional de verificar, en términos materiales y sustantivos, si la medida persigue un fin constitucionalmente legítimo, es proporcionada, razonable y compatible con los valores superiores del ordenamiento jurídico consagrados en el artículo 1.1 CE.</w:t>
      </w:r>
    </w:p>
    <w:p w14:paraId="3C767C96" w14:textId="77777777" w:rsidR="00A8138F" w:rsidRDefault="00A8138F" w:rsidP="00A8138F">
      <w:pPr>
        <w:pStyle w:val="TextoNormal"/>
      </w:pPr>
    </w:p>
    <w:p w14:paraId="0647957C" w14:textId="77777777" w:rsidR="00A8138F" w:rsidRDefault="00A8138F" w:rsidP="00A8138F">
      <w:pPr>
        <w:pStyle w:val="TextoNormal"/>
      </w:pPr>
      <w:r>
        <w:t>271. La inteligibilidad no garantiza legitimidad. Una ley puede exponer sus motivos con claridad —por ejemplo, razones de conveniencia política o acuerdos parlamentarios coyunturales— sin que ello implique que dichas razones sean constitucionalmente aceptables. En el caso de una amnistía, no basta con comprender qué dice pretender el legislador; es indispensable examinar si ese propósito es real y si se alinea con los principios del Estado constitucional de Derecho.</w:t>
      </w:r>
    </w:p>
    <w:p w14:paraId="0E0C7837" w14:textId="77777777" w:rsidR="00A8138F" w:rsidRDefault="00A8138F" w:rsidP="00A8138F">
      <w:pPr>
        <w:pStyle w:val="TextoNormal"/>
      </w:pPr>
    </w:p>
    <w:p w14:paraId="69C97B70" w14:textId="77777777" w:rsidR="00A8138F" w:rsidRDefault="00A8138F" w:rsidP="00A8138F">
      <w:pPr>
        <w:pStyle w:val="TextoNormal"/>
      </w:pPr>
      <w:r>
        <w:t>272. Al adoptar esta perspectiva, que materializa en los escasos diez párrafos que le dedica el fundamento jurídico 7.3.3, la sentencia y el Tribunal han declinado su responsabilidad de verificar la existencia de un fin constitucionalmente legítimo, sustituyéndolo por una confianza ciega en la declaración formal contenida en el preámbulo de la ley. Se produce así una escisión artificiosa entre el “porqué” de la norma (el contexto político y las motivaciones reales que condujeron a su aprobación) y su “contenido jurídico”, cuando en realidad la validez constitucional de una medida excepcional como la amnistía exige una correspondencia entre el contenido de la ley y la finalidad que la justifica.</w:t>
      </w:r>
    </w:p>
    <w:p w14:paraId="7341480D" w14:textId="77777777" w:rsidR="00A8138F" w:rsidRDefault="00A8138F" w:rsidP="00A8138F">
      <w:pPr>
        <w:pStyle w:val="TextoNormal"/>
      </w:pPr>
    </w:p>
    <w:p w14:paraId="77C8F95A" w14:textId="77777777" w:rsidR="00A8138F" w:rsidRDefault="00A8138F" w:rsidP="00A8138F">
      <w:pPr>
        <w:pStyle w:val="TextoNormal"/>
      </w:pPr>
      <w:r>
        <w:t>273. Al negarse a valorar el carácter material y sustantivo de esa finalidad, la sentencia desnaturaliza el juicio de constitucionalidad, reduciéndolo a una mera verificación gramatical y formalista. Esta posición impide detectar si el uso de la figura de la amnistía responde a un interés público constitucionalmente legítimo o si, por el contrario, sirve a intereses particulares, partidistas o coyunturales, lo cual sería incompatible con los principios estructurales del Estado de Derecho.</w:t>
      </w:r>
    </w:p>
    <w:p w14:paraId="14754623" w14:textId="77777777" w:rsidR="00A8138F" w:rsidRDefault="00A8138F" w:rsidP="00A8138F">
      <w:pPr>
        <w:pStyle w:val="TextoNormal"/>
      </w:pPr>
    </w:p>
    <w:p w14:paraId="470EB976" w14:textId="77777777" w:rsidR="00A8138F" w:rsidRDefault="00A8138F" w:rsidP="00A8138F">
      <w:pPr>
        <w:pStyle w:val="TextoNormal"/>
      </w:pPr>
      <w:r>
        <w:t>274. En definitiva, la sentencia de la mayoría renuncia de un modo absolutamente injustificado al control efectivo de la arbitrariedad de la norma, pues vacía de contenido el principio de interdicción de la misma (artículo 9.3 CE), en tanto que elude analizar si la norma persigue efectivamente un fin constitucional válido o si disfraza de legalidad una transacción política —votos por impunidad— ajena a la justicia y a los valores superiores del ordenamiento. El Tribunal, al refugiarse en un control formal, abdica de su papel como garante último del equilibrio entre legalidad y legitimidad constitucional y asola el propio concepto de democracia constitucional.</w:t>
      </w:r>
    </w:p>
    <w:p w14:paraId="2DE14DF0" w14:textId="77777777" w:rsidR="00A8138F" w:rsidRDefault="00A8138F" w:rsidP="00A8138F">
      <w:pPr>
        <w:pStyle w:val="TextoNormal"/>
      </w:pPr>
    </w:p>
    <w:p w14:paraId="745AE7AD" w14:textId="77777777" w:rsidR="00A8138F" w:rsidRDefault="00A8138F" w:rsidP="00A8138F">
      <w:pPr>
        <w:pStyle w:val="TextoNormal"/>
      </w:pPr>
      <w:r>
        <w:t>(iii</w:t>
      </w:r>
      <w:r w:rsidRPr="00A8138F">
        <w:rPr>
          <w:i/>
        </w:rPr>
        <w:t>) La aplicación de la STC 122/2016, de 23 de junio y la necesidad de valorar el contexto político y legislati</w:t>
      </w:r>
      <w:r>
        <w:t>vo</w:t>
      </w:r>
    </w:p>
    <w:p w14:paraId="10091F5F" w14:textId="77777777" w:rsidR="00A8138F" w:rsidRDefault="00A8138F" w:rsidP="00A8138F">
      <w:pPr>
        <w:pStyle w:val="TextoNormal"/>
      </w:pPr>
    </w:p>
    <w:p w14:paraId="2373603E" w14:textId="77777777" w:rsidR="00A8138F" w:rsidRDefault="00A8138F" w:rsidP="00A8138F">
      <w:pPr>
        <w:pStyle w:val="TextoNormal"/>
      </w:pPr>
      <w:r>
        <w:t>275. La propia argumentación contenida en el fundamento jurídico 7.3.2 de la sentencia, al intentar diferenciar el supuesto resuelto en la STC 122/2016, pone de relieve —aunque involuntariamente— la necesidad aún más acuciante de valorar el contexto político y legislativo de aprobación de la Ley de amnistía. En efecto, en la STC 122/2016 —invocada por las partes— el Tribunal Constitucional no dudó en declarar inconstitucional una ley singular autoaplicativa al constatar, precisamente mediante el análisis del contexto real de su aprobación, que la justificación ofrecida no era razonable ni congruente con la finalidad declarada en su exposición de motivos. Si en ese caso —relativo a un único procedimiento administrativo sobre la gestión de un puerto deportivo— el Tribunal estimó imprescindible examinar el entorno de aprobación de la norma, con mayor razón debería hacerlo ante una ley que anula de forma masiva responsabilidades penales, administrativas y contables, afectando al núcleo mismo del principio de legalidad, a la separación de poderes, y a la igualdad ante la ley.</w:t>
      </w:r>
    </w:p>
    <w:p w14:paraId="5CFD3797" w14:textId="77777777" w:rsidR="00A8138F" w:rsidRDefault="00A8138F" w:rsidP="00A8138F">
      <w:pPr>
        <w:pStyle w:val="TextoNormal"/>
      </w:pPr>
    </w:p>
    <w:p w14:paraId="60763C69" w14:textId="77777777" w:rsidR="00A8138F" w:rsidRDefault="00A8138F" w:rsidP="00A8138F">
      <w:pPr>
        <w:pStyle w:val="TextoNormal"/>
      </w:pPr>
      <w:r>
        <w:t>276. La gravedad constitucional de una amnistía general, en tanto instrumento de quiebra excepcional del principio de legalidad penal, exige que su finalidad no solo sea declarada en abstracto, sino que concurra materialmente. En este sentido, el contexto político de su aprobación —marcado por una transacción parlamentaria cuyo objetivo evidente era garantizar una investidura— no puede ser ignorado, so pena de convertir el juicio de constitucionalidad en una revisión meramente formalista, incapaz de garantizar el respeto a los principios del Estado de Derecho.</w:t>
      </w:r>
    </w:p>
    <w:p w14:paraId="008B72ED" w14:textId="77777777" w:rsidR="00A8138F" w:rsidRDefault="00A8138F" w:rsidP="00A8138F">
      <w:pPr>
        <w:pStyle w:val="TextoNormal"/>
      </w:pPr>
    </w:p>
    <w:p w14:paraId="23010531" w14:textId="77777777" w:rsidR="00A8138F" w:rsidRDefault="00A8138F" w:rsidP="00A8138F">
      <w:pPr>
        <w:pStyle w:val="TextoNormal"/>
      </w:pPr>
      <w:r>
        <w:t>277. Por tanto, si en un caso de relevancia administrativa relativamente menor como el analizado en la STC 122/2016 se exigió una justificación objetiva, razonable y verificable, y se declaró inconstitucional la norma al no concurrir tal justificación, la renuncia a examinar la concurrencia real de la finalidad en el caso de la Ley de amnistía supone una desprotección constitucional aún más grave. En suma, la excepcionalidad de la amnistía impone al Tribunal el deber de un control reforzado y sustantivo, que no puede eludirse con el pretexto de respetar la discrecionalidad política del legislador.</w:t>
      </w:r>
    </w:p>
    <w:p w14:paraId="6770288F" w14:textId="77777777" w:rsidR="00A8138F" w:rsidRDefault="00A8138F" w:rsidP="00A8138F">
      <w:pPr>
        <w:pStyle w:val="TextoNormal"/>
      </w:pPr>
    </w:p>
    <w:p w14:paraId="4F37B3CD" w14:textId="77777777" w:rsidR="00A8138F" w:rsidRDefault="00A8138F" w:rsidP="00A8138F">
      <w:pPr>
        <w:pStyle w:val="TextoNormal"/>
      </w:pPr>
      <w:r>
        <w:t>278. En consecuencia, corresponde ahora acometer el examen que la sentencia ha rehusado llevar a cabo, al abdicar de la función de control de constitucionalidad que incumbe al Tribunal Constitucional en virtud de su posición como garante último del orden constitucional.</w:t>
      </w:r>
    </w:p>
    <w:p w14:paraId="52640DC0" w14:textId="77777777" w:rsidR="00A8138F" w:rsidRDefault="00A8138F" w:rsidP="00A8138F">
      <w:pPr>
        <w:pStyle w:val="TextoNormal"/>
      </w:pPr>
    </w:p>
    <w:p w14:paraId="6670FCA2" w14:textId="77777777" w:rsidR="00A8138F" w:rsidRDefault="00A8138F" w:rsidP="00A8138F">
      <w:pPr>
        <w:pStyle w:val="TextoNormal"/>
      </w:pPr>
      <w:r>
        <w:t>(</w:t>
      </w:r>
      <w:r w:rsidRPr="00A8138F">
        <w:rPr>
          <w:i/>
        </w:rPr>
        <w:t>iv) La amnistía como moneda de cambio. La coartada de la convivencia para encubrir una transacción: votos a cambio de impun</w:t>
      </w:r>
      <w:r>
        <w:t>idad</w:t>
      </w:r>
    </w:p>
    <w:p w14:paraId="574E1229" w14:textId="77777777" w:rsidR="00A8138F" w:rsidRDefault="00A8138F" w:rsidP="00A8138F">
      <w:pPr>
        <w:pStyle w:val="TextoNormal"/>
      </w:pPr>
    </w:p>
    <w:p w14:paraId="632245E5" w14:textId="77777777" w:rsidR="00A8138F" w:rsidRDefault="00A8138F" w:rsidP="00A8138F">
      <w:pPr>
        <w:pStyle w:val="TextoNormal"/>
      </w:pPr>
      <w:r>
        <w:t>(1</w:t>
      </w:r>
      <w:r w:rsidRPr="00A8138F">
        <w:rPr>
          <w:i/>
        </w:rPr>
        <w:t>) El acuerdo de investidura y autoamnist</w:t>
      </w:r>
      <w:r>
        <w:t>ía</w:t>
      </w:r>
    </w:p>
    <w:p w14:paraId="1B6B7990" w14:textId="77777777" w:rsidR="00A8138F" w:rsidRDefault="00A8138F" w:rsidP="00A8138F">
      <w:pPr>
        <w:pStyle w:val="TextoNormal"/>
      </w:pPr>
    </w:p>
    <w:p w14:paraId="2B150086" w14:textId="77777777" w:rsidR="00A8138F" w:rsidRDefault="00A8138F" w:rsidP="00A8138F">
      <w:pPr>
        <w:pStyle w:val="TextoNormal"/>
      </w:pPr>
      <w:r>
        <w:t>279. La existencia de un pacto suscrito entre el PSOE y Junts per Catalunya el 9 de noviembre de 2023 es un hecho notorio —como reconocen los recurrentes y recoge la propia sentencia—, ampliamente difundido por los medios de comunicación, incorporado al recurso de inconstitucionalidad núm. 6547-2024 como “[d]ocumento núm. 1 - [a]cuerdo PSOE-Junts -16546”, y objeto de reiteradas alusiones tanto en los debates parlamentarios sobre la norma como en la sesión de investidura a la que hace referencia. El pacto fue fruto de intensas negociaciones entre ambas formaciones, orientadas a asegurar la gobernabilidad durante la XV legislatura, transcurridos más de tres meses desde las elecciones generales anticipadas sin que se hubiera logrado la investidura.</w:t>
      </w:r>
    </w:p>
    <w:p w14:paraId="29170D79" w14:textId="77777777" w:rsidR="00A8138F" w:rsidRDefault="00A8138F" w:rsidP="00A8138F">
      <w:pPr>
        <w:pStyle w:val="TextoNormal"/>
      </w:pPr>
    </w:p>
    <w:p w14:paraId="2B28CADD" w14:textId="77777777" w:rsidR="00A8138F" w:rsidRDefault="00A8138F" w:rsidP="00A8138F">
      <w:pPr>
        <w:pStyle w:val="TextoNormal"/>
      </w:pPr>
      <w:r>
        <w:t>280. En dicho acuerdo se evidencia un intercambio político, una transacción: el compromiso de impulsar una ley de amnistía —cuyo contenido sería consensuado con los grupos parlamentarios de Junts y Esquerra Republicana de Catalunya (ERC), fuerzas a las que pertenecen muchos de los potenciales beneficiarios de la medida— a cambio del respaldo parlamentario de todos los diputados de Junts —siete en total— a la investidura de don Pedro Sánchez. Según el texto firmado, esta norma debía amparar tanto a los responsables institucionales como a ciudadanos que, antes o después de la consulta de 2014 y del referéndum del 1 de octubre de 2017, hubiesen sido objeto de actuaciones judiciales vinculadas a dichos acontecimientos, a cambio del “voto a favor de todos los diputados de Junts”.</w:t>
      </w:r>
    </w:p>
    <w:p w14:paraId="02759E0B" w14:textId="77777777" w:rsidR="00A8138F" w:rsidRDefault="00A8138F" w:rsidP="00A8138F">
      <w:pPr>
        <w:pStyle w:val="TextoNormal"/>
      </w:pPr>
    </w:p>
    <w:p w14:paraId="4833EF40" w14:textId="77777777" w:rsidR="00A8138F" w:rsidRDefault="00A8138F" w:rsidP="00A8138F">
      <w:pPr>
        <w:pStyle w:val="TextoNormal"/>
      </w:pPr>
      <w:r>
        <w:t>281. El acuerdo parte de una narrativa netamente nacionalista, que desconoce la validez de las resoluciones del Tribunal Constitucional y sostiene que el conflicto político de fondo sigue sin haber sido resuelto, esto es, soslaya la solución dada por este tribunal. Ambas partes interpretan los resultados electorales como una oportunidad política que debe ser aprovechada, comprometiéndose a promover acuerdos que contribuyan a afrontar lo que denominan “el conflicto histórico sobre el futuro político de Cataluña”. Se afirma, además, que estos pactos deben responder a las demandas expresadas mayoritariamente por el Parlamento catalán, al que se reconoce, en virtud del Estatut, como legítima representación del pueblo catalán. Junts, por su parte, reitera en el acuerdo su reconocimiento del referéndum del 1 de octubre de 2017 y de la posterior declaración unilateral de independencia del 27 de ese mismo mes.</w:t>
      </w:r>
    </w:p>
    <w:p w14:paraId="1EE3C74A" w14:textId="77777777" w:rsidR="00A8138F" w:rsidRDefault="00A8138F" w:rsidP="00A8138F">
      <w:pPr>
        <w:pStyle w:val="TextoNormal"/>
      </w:pPr>
    </w:p>
    <w:p w14:paraId="2BF10B57" w14:textId="77777777" w:rsidR="00A8138F" w:rsidRDefault="00A8138F" w:rsidP="00A8138F">
      <w:pPr>
        <w:pStyle w:val="TextoNormal"/>
      </w:pPr>
      <w:r>
        <w:t>282. Tan solo cuatro días después de alcanzar el acuerdo político, el 13 de noviembre de 2023, se registró en el Congreso de los Diputados la proposición de ley orgánica de amnistía para la normalización institucional, política y social en Cataluña, como parte del acuerdo alcanzado, presentada por el Grupo Parlamentario Socialista —sin que existiera previsión de fecha para la sesión de investidura—, que fue tramitada por el procedimiento de urgencia.</w:t>
      </w:r>
    </w:p>
    <w:p w14:paraId="7245275D" w14:textId="77777777" w:rsidR="00A8138F" w:rsidRDefault="00A8138F" w:rsidP="00A8138F">
      <w:pPr>
        <w:pStyle w:val="TextoNormal"/>
      </w:pPr>
    </w:p>
    <w:p w14:paraId="135A5E22" w14:textId="77777777" w:rsidR="00A8138F" w:rsidRDefault="00A8138F" w:rsidP="00A8138F">
      <w:pPr>
        <w:pStyle w:val="TextoNormal"/>
      </w:pPr>
      <w:r>
        <w:t>283. Ese mismo día, la presidenta del Congreso convocó la sesión de investidura para los días 15 y 16 de noviembre de 2023 (“Diario de Sesiones del Congreso de los Diputados”, Pleno y Diputación Permanente, núm. 7, de 15 de noviembre de 2023) y de este modo poder cumplir con la otra parte del acuerdo alcanzado. Finalmente, don Pedro Sánchez Pérez-Castejón fue investido presidente del Gobierno con el respaldo acordado con Junts. Entre el acuerdo político y las sesiones de investidura únicamente transcurrieron cinco días.</w:t>
      </w:r>
    </w:p>
    <w:p w14:paraId="1EA0D4E4" w14:textId="77777777" w:rsidR="00A8138F" w:rsidRDefault="00A8138F" w:rsidP="00A8138F">
      <w:pPr>
        <w:pStyle w:val="TextoNormal"/>
      </w:pPr>
    </w:p>
    <w:p w14:paraId="6672E9C5" w14:textId="77777777" w:rsidR="00A8138F" w:rsidRDefault="00A8138F" w:rsidP="00A8138F">
      <w:pPr>
        <w:pStyle w:val="TextoNormal"/>
      </w:pPr>
      <w:r>
        <w:t>(2</w:t>
      </w:r>
      <w:r w:rsidRPr="00A8138F">
        <w:rPr>
          <w:i/>
        </w:rPr>
        <w:t>) Las sesiones de investidura celebradas el 15 y 16 de noviemb</w:t>
      </w:r>
      <w:r>
        <w:t>re</w:t>
      </w:r>
    </w:p>
    <w:p w14:paraId="65AFC3B6" w14:textId="77777777" w:rsidR="00A8138F" w:rsidRDefault="00A8138F" w:rsidP="00A8138F">
      <w:pPr>
        <w:pStyle w:val="TextoNormal"/>
      </w:pPr>
    </w:p>
    <w:p w14:paraId="471EA3AA" w14:textId="77777777" w:rsidR="00A8138F" w:rsidRDefault="00A8138F" w:rsidP="00A8138F">
      <w:pPr>
        <w:pStyle w:val="TextoNormal"/>
      </w:pPr>
      <w:r>
        <w:t>284. El debate sobre la amnistía estuvo muy presente en la sesión de investidura. En la intervención ante la Cámara, el entonces candidato a la Presidencia —hoy presidente—, esgrimió las razones formales en defensa de la amnistía, parecidas a las del preámbulo de la entonces proposición de la Ley de amnistía que se había registrado cinco días antes, pero poco compatibles con las verdaderas razones plasmadas en el acuerdo político alcanzado. Habló de la concordia, de superar la fractura que se abrió el 1 de octubre de 2017, de acercar posturas, de la vía del diálogo, del entendimiento y del perdón, de mejorar la convivencia, de reencuentro, de restablecer puentes políticos, de persuadirles que nuestro país es un buen país también para ellos, de que Cataluña está lista para el reencuentro total, de que la amnistía no va a ser un ataque a la Constitución del 78, sino una muestra de su fortaleza y de su vigencia.</w:t>
      </w:r>
    </w:p>
    <w:p w14:paraId="3C92CC90" w14:textId="77777777" w:rsidR="00A8138F" w:rsidRDefault="00A8138F" w:rsidP="00A8138F">
      <w:pPr>
        <w:pStyle w:val="TextoNormal"/>
      </w:pPr>
    </w:p>
    <w:p w14:paraId="7005736D" w14:textId="77777777" w:rsidR="00A8138F" w:rsidRDefault="00A8138F" w:rsidP="00A8138F">
      <w:pPr>
        <w:pStyle w:val="TextoNormal"/>
      </w:pPr>
      <w:r>
        <w:t>285. No obstante, la portavoz de Junts, en su intervención [“Diario de Sesiones del Congreso de los Diputados”, Pleno y Diputación Permanente, núm. 7, de 15 de noviembre de 2023 (págs. 76 y 78)] fue tajante: “si alguien dice que este acuerdo sirve para pasar página, engaña a los ciudadanos”, y refiriéndose al acuerdo político alcanzado dijo: “no aparece ni una sola vez la palabra diálogo”.</w:t>
      </w:r>
    </w:p>
    <w:p w14:paraId="1504A8A4" w14:textId="77777777" w:rsidR="00A8138F" w:rsidRDefault="00A8138F" w:rsidP="00A8138F">
      <w:pPr>
        <w:pStyle w:val="TextoNormal"/>
      </w:pPr>
    </w:p>
    <w:p w14:paraId="7952856B" w14:textId="77777777" w:rsidR="00A8138F" w:rsidRDefault="00A8138F" w:rsidP="00A8138F">
      <w:pPr>
        <w:pStyle w:val="TextoNormal"/>
      </w:pPr>
      <w:r>
        <w:t>286. La portavoz desmintió las razones dadas por el candidato a la Presidencia y desveló las verdaderas motivaciones del pacto de investidura que no eran el encuentro, la mejora de la convivencia y la cohesión social, sino precisamente todo lo contrario. Reivindicó: la independencia y no la concordia y convivencia; la confrontación, la autodeterminación y la lucha para satisfacer las aspiraciones nacionales y no el reencuentro; la afirmación de la vigencia del mandato del 1 de octubre y no la superación de la fractura que se abrió el 1 de octubre; el reconocimiento nacional, el referéndum de autodeterminación, el Parlament como único límite de la nación de Cataluña, en contraposición al candidato que sostenía que la amnistía no iba a ser un ataque a la Constitución sino una muestra de su fortaleza y vigencia. Podríamos seguir.</w:t>
      </w:r>
    </w:p>
    <w:p w14:paraId="2BF627C6" w14:textId="77777777" w:rsidR="00A8138F" w:rsidRDefault="00A8138F" w:rsidP="00A8138F">
      <w:pPr>
        <w:pStyle w:val="TextoNormal"/>
      </w:pPr>
    </w:p>
    <w:p w14:paraId="1E062E4C" w14:textId="77777777" w:rsidR="00A8138F" w:rsidRDefault="00A8138F" w:rsidP="00A8138F">
      <w:pPr>
        <w:pStyle w:val="TextoNormal"/>
      </w:pPr>
      <w:r>
        <w:t>287. Quedó así de manifiesto que los argumentos expuestos en el discurso del presidente y en el preámbulo de la ley carecían de consistencia, es más, eran una impostura.</w:t>
      </w:r>
    </w:p>
    <w:p w14:paraId="7D82FA35" w14:textId="77777777" w:rsidR="00A8138F" w:rsidRDefault="00A8138F" w:rsidP="00A8138F">
      <w:pPr>
        <w:pStyle w:val="TextoNormal"/>
      </w:pPr>
    </w:p>
    <w:p w14:paraId="1F741051" w14:textId="77777777" w:rsidR="00A8138F" w:rsidRDefault="00A8138F" w:rsidP="00A8138F">
      <w:pPr>
        <w:pStyle w:val="TextoNormal"/>
      </w:pPr>
      <w:r>
        <w:t>288. La amnistía no fue fruto de un proceso de reflexión jurídica o de búsqueda de estabilidad institucional, sino el resultado directo de una exigencia política por parte de Junts per Catalunya y de una concesión del PSOE para garantizar la continuidad del Ejecutivo y la investidura del presidente del Gobierno. En definitiva, se trató de una negociación basada en el intercambio de apoyos para la investidura por una impunidad absolutamente irrazonable y desproporcionada, ajena a cualquier lógica de justicia, y que representó no solo una grave deslealtad hacia los principios constitucionales, sino la materialización de una transacción desleal, votos por impunidad, que carecía por tanto de justificación razonable.</w:t>
      </w:r>
    </w:p>
    <w:p w14:paraId="790B8DFF" w14:textId="77777777" w:rsidR="00A8138F" w:rsidRDefault="00A8138F" w:rsidP="00A8138F">
      <w:pPr>
        <w:pStyle w:val="TextoNormal"/>
      </w:pPr>
    </w:p>
    <w:p w14:paraId="77DDF9F2" w14:textId="77777777" w:rsidR="00A8138F" w:rsidRDefault="00A8138F" w:rsidP="00A8138F">
      <w:pPr>
        <w:pStyle w:val="TextoNormal"/>
      </w:pPr>
      <w:r>
        <w:t>289. A continuación, se recogen extractos de la intervención de la diputada de Junts, señora Nogueras Camero, quien inició su alocución criticando que el candidato utilizara el término diálogo y negando que la proposición de ley fuera realmente una amnistía:</w:t>
      </w:r>
    </w:p>
    <w:p w14:paraId="10748DED" w14:textId="77777777" w:rsidR="00A8138F" w:rsidRDefault="00A8138F" w:rsidP="00A8138F">
      <w:pPr>
        <w:pStyle w:val="TextoNormal"/>
      </w:pPr>
    </w:p>
    <w:p w14:paraId="4BE393B6" w14:textId="77777777" w:rsidR="00A8138F" w:rsidRDefault="00A8138F" w:rsidP="00A8138F">
      <w:pPr>
        <w:pStyle w:val="TextoNormal"/>
      </w:pPr>
      <w:r>
        <w:t>“Hoy usted tenía que empezar a desmentir a quienes dice que no cumplen los acuerdos, que su palabra no vale, que solo le interesa el poder y que es capaz de aliarse con quien sea para conservarlo […] Y ahora que estoy en la parte inicial de mi intervención, quiero darle un consejo […] con nosotros no pruebe a tentar la suerte porque no le funcionará. Su discurso no ha sido valiente […] Hemos pasado muchas horas trabajando en el marco del acuerdo, sobre todo los antecedentes y el relato. Un acuerdo en que no aparece ni una sola vez la palabra diálogo […] En ese acuerdo hablamos de amnistía, la desjudicialización de la política también […]. Ni olvido ni perdón. […] Los dos sabemos que esto no es una medida de gracia. Eso fueron los indultos […] El debate vivo e intenso que se ha vivido en Cataluña siempre, no solo en los últimos diez años, es el propio de una sociedad madura democráticamente y no con problemas de convivencia […] Nos sentimos muy orgullosos de defender Cataluña, reconociendo nuestros defectos y nuestras carencias que nos hacen, afortunadamente, una nación imperfecta, pero sí una nación. […] Y ni qué decir tiene el derecho a la autodeterminación. Si estamos aquí hoy es para hacer que estos grandes consensos que el Parlamento de Cataluña ha recogido a lo largo de su historia sean atendidos. Por eso hemos definido en nuestro acuerdo político que el único límite es el Parlamento, que es, como muy bien pone en el texto, el representante legítimo del pueblo de Cataluña […]. Para que la legislatura avance, nuestro país, Cataluña, necesita que pasen cosas y que se culmine un acuerdo que cambie la historia. […] Ciertamente estamos emprendiendo una legislatura donde nada será igual. Le hemos transmitido… señor Sánchez, lo sabe, es consciente y se lo digo ahora porque todavía está a tiempo de desistir. Está a tiempo, pero, si sigue adelante, que lo sepa todo el mundo que nosotros no engañamos a nadie, que somos fieles a nuestros compromisos adquiridos y que si estamos aquí hoy es para hacer que las cosas cambien de verdad. Y si estos cambios no son posibles, si no se avanza, no apoyaremos ninguna iniciativa que se presente desde su Gobierno y desde su mayoría, a ninguna […] Les recuerdo los dos ámbitos para que quede constancia en el ‘Diario de Sesiones’: el ámbito del reconocimiento nacional, donde nosotros planteamos el referéndum de autodeterminación, y el ámbito de los déficits y el autogobierno. Plantearemos otras cosas: la cesión del cien por cien de los impuestos que pagan los ciudadanos de Cataluña. […] La distancia y el desacuerdo permanente entre las dos naciones han sido fruto de tensiones políticas […] Este relato como origen y perpetuación del conflicto por primera vez se acepta por la parte española, y esa parte de nuestro acuerdo es especialmente relevante, porque marca los adelantos que deben darse en la resolución del reconocimiento nacional de Cataluña. […] Todos ustedes saben que los últimos intentos de acordar una vía de restitución de nuestros derechos históricos perdidos […] ni la reforma del Estatuto, ni en 2012 la aprobación en el Pleno del Parlamento de Cataluña de la propuesta del pacto fiscal, que, pocas semanas después, el presidente Mas llevó al presidente del Gobierno español de entonces, que rechazó discutirlo y, menos aún, negociarlo. Y en 2014, cuando una amplia mayoría del Parlamento aprueba presentar en la mesa del Congreso de los Diputados una proposición de ley para delegar las competencias para celebrar un referéndum sobre el futuro político de Cataluña, son Turull, Rovira y Herrera los diputados encargados de venir a defender aquí aquello que fue rechazado por el Congreso. Y tampoco la aprobación de la ley de consultas populares, sobre la base de la cual se convocó la consulta del 9-N, con una participación de más de dos millones de personas, y con el conseller Francesc Homs, el presidente Mas, la consellera Ortega y la consellera Rigau condenados por desobediencia e inhabilitados. Ni tampoco la petición del referéndum acordado después de la aprobación de la cuestión de confianza a la que se sometió al presidente Puigdemont, nada ha funcionado nunca. A la luz del rechazo de todos los intentos que hemos expuesto, el Gobierno y el Parlamento de Cataluña deciden organizar un referéndum de independencia, de autodeterminación el 1 de octubre de 2017. […] Es necesario, pues, que cualquier nuevo intento de resolver el conflicto político de forma negociada conlleve […] que se vean satisfechas las aspiraciones nacionales de la sociedad catalana. […] Vistas las circunstancias […] hemos elegido una forma distinta a la que el catalanismo normalmente usaba para pactar con España […] en lugar de hacer una lista de la compra, siempre incompleta, nunca satisfecha, queremos hablar del supermercado entero. Necesitábamos pasar de la mentalidad autonomista en la que algunos han quedado atrapados por una mala diagnosis del origen y la naturaleza del conflicto a una mentalidad de Estado que cualquier nación debe tener para hacer que las cosas se muevan, cambien y que las cosas se transformen […] Era necesario lograr un cambio de paradigma, pasar de una relación de subordinación a una relación de igual a igual […] Hacía falta —y por eso lo hacemos constar— un acuerdo sin renuncias, en el que explicitamos que para nosotros el mandato del 1 de octubre está vigente y el compromiso con la independencia es irrenunciable, sin renuncias y sin engañar a nadie. Porque si alguien dice que este acuerdo sirve para pasar página, engaña a los ciudadanos. […] Si hoy estamos aquí es porque esos elementos y otros incluidos en la conferencia del presidente Puigdemont están presentes en el acuerdo que hemos rubricado. Somos conscientes de los riesgos, de las dificultades y también de las profundas discrepancias, porque ustedes no han dejado de ser aquel partido que abrazó con entusiasmo la aplicación del 155 contra nuestro país, y nosotros no hemos dejado de ser aquella fuerza que promovió el referéndum y la declaración de independencia. […]Nosotros no queremos romper nada, no queremos que nos rompan y nos defenderemos siempre que alguien lo intente, sea desde los tribunales, sea desde la ingeniería fiscal, sea desde el incumplimiento de los compromisos. Nosotros lo que queremos es lo mejor para nuestra nación y, por lo tanto, el mejor futuro para nuestros hijos e hijas. No debería sorprenderles, pues, que pongamos todo esto en el centro del debate político que hoy celebramos aquí. Nos debemos a ellos y por ellos lucharemos, incluso pactando con quien tanto daño nos ha deseado, porque nuestro compromiso es con Cataluña. Nuestro compromiso es con el pueblo de Cataluña, con nadie más. ¡Viva Cataluña libre!”.</w:t>
      </w:r>
    </w:p>
    <w:p w14:paraId="32804318" w14:textId="77777777" w:rsidR="00A8138F" w:rsidRDefault="00A8138F" w:rsidP="00A8138F">
      <w:pPr>
        <w:pStyle w:val="TextoNormal"/>
      </w:pPr>
    </w:p>
    <w:p w14:paraId="3233F2AA" w14:textId="77777777" w:rsidR="00A8138F" w:rsidRDefault="00A8138F" w:rsidP="00A8138F">
      <w:pPr>
        <w:pStyle w:val="TextoNormal"/>
      </w:pPr>
      <w:r w:rsidRPr="00A8138F">
        <w:rPr>
          <w:i/>
        </w:rPr>
        <w:t>(3) El preámbulo de la Ley de amni</w:t>
      </w:r>
      <w:r>
        <w:t>stía</w:t>
      </w:r>
    </w:p>
    <w:p w14:paraId="766E1AF2" w14:textId="77777777" w:rsidR="00A8138F" w:rsidRDefault="00A8138F" w:rsidP="00A8138F">
      <w:pPr>
        <w:pStyle w:val="TextoNormal"/>
      </w:pPr>
    </w:p>
    <w:p w14:paraId="43693EE8" w14:textId="77777777" w:rsidR="00A8138F" w:rsidRDefault="00A8138F" w:rsidP="00A8138F">
      <w:pPr>
        <w:pStyle w:val="TextoNormal"/>
      </w:pPr>
      <w:r>
        <w:t>290. La justificación de la Ley de amnistía que se contiene en su desproporcionada —por extensa— exposición de motivos, en línea con el discurso de investidura, debe censurarse por irreal y desleal a la Constitución y a las instituciones que con su decidida actuación frenaron el golpe secesionista.</w:t>
      </w:r>
    </w:p>
    <w:p w14:paraId="70BAB99A" w14:textId="77777777" w:rsidR="00A8138F" w:rsidRDefault="00A8138F" w:rsidP="00A8138F">
      <w:pPr>
        <w:pStyle w:val="TextoNormal"/>
      </w:pPr>
    </w:p>
    <w:p w14:paraId="7A16990E" w14:textId="77777777" w:rsidR="00A8138F" w:rsidRDefault="00A8138F" w:rsidP="00A8138F">
      <w:pPr>
        <w:pStyle w:val="TextoNormal"/>
      </w:pPr>
      <w:r>
        <w:t>291. Las reiterativas razones aparentes y simuladas con las que se pretende justificar la amnistía, con el objetivo de salvar su inconstitucionalidad, derivada de su imprevisión constitucional y su carácter de ley singular, se pueden sintetizar en mejorar la convivencia y cohesión social, eliminar las causas de desafección de una parte de la población con el Estado, superar las tensiones y generar un contexto que fomente la estabilidad económica y el progreso de Cataluña y procurar la normalización institucional tras un periodo de grave perturbación.</w:t>
      </w:r>
    </w:p>
    <w:p w14:paraId="5D791003" w14:textId="77777777" w:rsidR="00A8138F" w:rsidRDefault="00A8138F" w:rsidP="00A8138F">
      <w:pPr>
        <w:pStyle w:val="TextoNormal"/>
      </w:pPr>
    </w:p>
    <w:p w14:paraId="727DA241" w14:textId="77777777" w:rsidR="00A8138F" w:rsidRDefault="00A8138F" w:rsidP="00A8138F">
      <w:pPr>
        <w:pStyle w:val="TextoNormal"/>
      </w:pPr>
      <w:r>
        <w:t>292. Dichos argumentos, que habrían sido innecesarios si la figura de la amnistía estuviera contemplada expresamente en la Constitución —como ocurre en Portugal, cuyo artículo 161 permite su adopción y donde se aprobó la Ley 38-A/2023, de 2 de agosto, sobre “perdón de penas y amnistía de infracciones”, sin necesidad siquiera de incluir una sola línea de exposición de motivos—, resultan además incongruentes con las verdaderas razones que se desprenden tanto del debate de investidura como de la propia tramitación parlamentaria de la proposición. En ningún momento se sugiere que tales justificaciones fueran las que realmente motivaron el acuerdo de investidura. Muy al contrario, la intervención de la diputada señora Nogueras —antes transcrita— pone de manifiesto lo opuesto: la voluntad de mantener vivo el mandato unilateral del 1 de octubre de 2017, a pesar de su carácter abiertamente inconstitucional y del grave conflicto institucional y social que provocó. Se niega expresamente que la impunidad acordada sea una medida de gracia y que se pueda justificar por el retorno a una normalidad institucional que es expresamente rechazada.</w:t>
      </w:r>
    </w:p>
    <w:p w14:paraId="53C1156F" w14:textId="77777777" w:rsidR="00A8138F" w:rsidRDefault="00A8138F" w:rsidP="00A8138F">
      <w:pPr>
        <w:pStyle w:val="TextoNormal"/>
      </w:pPr>
    </w:p>
    <w:p w14:paraId="6329B143" w14:textId="77777777" w:rsidR="00A8138F" w:rsidRDefault="00A8138F" w:rsidP="00A8138F">
      <w:pPr>
        <w:pStyle w:val="TextoNormal"/>
      </w:pPr>
      <w:r>
        <w:t>293. Como si de una realidad distópica se tratara —que el fundamento jurídico 7.3.3 de la sentencia reproduce acríticamente acogiendo sin contraste alguno la justificación formal de la amnistía, como si bastara su mera proclamación para acreditar su legitimidad constitucional—, el preámbulo justifica la amnistía y su carácter excepcional. Destaca, como sustento de la norma, la búsqueda del interés general y la necesidad de canalizar conflictos sociales y políticos de larga duración. Se alude también a la importancia de fortalecer la convivencia ciudadana, promover la cohesión interna, integrar diversas posturas ideológicas y restablecer la confianza institucional, especialmente en aquellos sectores de la sociedad que se sienten desvinculados del marco estatal. Asimismo, se argumenta que, una vez superados los momentos de mayor tensión vividos en el pasado reciente, es necesario sentar las bases para una convivencia futura más sólida, que permita eliminar los factores que han generado malestar o alejamiento respecto a las instituciones comunes. En ese sentido, se presenta esta medida como un instrumento orientado a reforzar la estabilidad institucional y económica, favorecer el progreso social y cultural, y ofrecer una respuesta global a lo que se califica como un conflicto político.</w:t>
      </w:r>
    </w:p>
    <w:p w14:paraId="0A7A6554" w14:textId="77777777" w:rsidR="00A8138F" w:rsidRDefault="00A8138F" w:rsidP="00A8138F">
      <w:pPr>
        <w:pStyle w:val="TextoNormal"/>
      </w:pPr>
    </w:p>
    <w:p w14:paraId="47F70B63" w14:textId="77777777" w:rsidR="00A8138F" w:rsidRDefault="00A8138F" w:rsidP="00A8138F">
      <w:pPr>
        <w:pStyle w:val="TextoNormal"/>
      </w:pPr>
      <w:r>
        <w:t>294. En tal sentido se alude a la concurrencia de “circunstancias políticas excepcionales”, “la consecución de un interés general”, “la necesidad de superar y encauzar conflictos políticos y sociales arraigados”, “la búsqueda de la mejora de la convivencia y la cohesión social”, “la integración de las diversas sensibilidades políticas”, “cuando ya se han superado los momentos más acusados de la crisis y toca establecer las bases para garantizar la convivencia de cara al futuro”, “superar las tensiones referidas y eliminar algunas de las circunstancias que provocan la desafección que mantiene alejada de las instituciones estatales a una parte de la población”,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 “razones de utilidad social que se fundamenta en la consecución de un interés superior: la convivencia democrática”, “procurar la normalización institucional tras un periodo de grave perturbación, así como seguir favoreciendo el diálogo, el entendimiento y la convivencia”.</w:t>
      </w:r>
    </w:p>
    <w:p w14:paraId="2905E99D" w14:textId="77777777" w:rsidR="00A8138F" w:rsidRDefault="00A8138F" w:rsidP="00A8138F">
      <w:pPr>
        <w:pStyle w:val="TextoNormal"/>
      </w:pPr>
    </w:p>
    <w:p w14:paraId="4B2F6C5E" w14:textId="77777777" w:rsidR="00A8138F" w:rsidRDefault="00A8138F" w:rsidP="00A8138F">
      <w:pPr>
        <w:pStyle w:val="TextoNormal"/>
      </w:pPr>
      <w:r>
        <w:t>295. Tras calificarla de ley singular se alude a la gravedad del periodo de polarización vivido, especialmente desde el año 2012. Se plantea, por tanto, como un mecanismo que aspira a consolidar un nuevo marco de diálogo y encuentro entre posiciones políticas diversas, buscando que la sociedad catalana, en toda su pluralidad, pueda encarar los retos futuros desde el respeto mutuo, la negociación y el entendimiento democrático. Bajo esta óptica, la amnistía se concibe como un punto de inflexión que permitiría superar barreras y reconstruir consensos en favor de una convivencia pacífica y estable.</w:t>
      </w:r>
    </w:p>
    <w:p w14:paraId="117065F7" w14:textId="77777777" w:rsidR="00A8138F" w:rsidRDefault="00A8138F" w:rsidP="00A8138F">
      <w:pPr>
        <w:pStyle w:val="TextoNormal"/>
      </w:pPr>
    </w:p>
    <w:p w14:paraId="0A3A851A" w14:textId="77777777" w:rsidR="00A8138F" w:rsidRDefault="00A8138F" w:rsidP="00A8138F">
      <w:pPr>
        <w:pStyle w:val="TextoNormal"/>
      </w:pPr>
      <w:r>
        <w:t>296. De este modo afirma que “[l]a razonabilidad de la misma se vincula a la justificación objetiva y razonable de su singularidad, que se enmarca en la necesidad de superar, como ya se ha puesto de manifiesto, la situación de alta tensión política que vivió la sociedad catalana de forma especialmente intensa desde 2012. Se consagra así legalmente la voluntad de avanzar en el camino del diálogo político y social necesario para la cohesión y el progreso de la sociedad catalana, en el entendimiento de que el refuerzo de la convivencia justifica la presente ley de amnistía, que supone un punto de inflexión, con la finalidad de superar obstáculos y mejorar la convivencia avanzando hacia la plena normalización de una sociedad plural que aborda los principales debates sobre su futuro mediante el diálogo, la negociación, y los acuerdos democráticos”.</w:t>
      </w:r>
    </w:p>
    <w:p w14:paraId="5EF068A3" w14:textId="77777777" w:rsidR="00A8138F" w:rsidRDefault="00A8138F" w:rsidP="00A8138F">
      <w:pPr>
        <w:pStyle w:val="TextoNormal"/>
      </w:pPr>
    </w:p>
    <w:p w14:paraId="5060433F" w14:textId="77777777" w:rsidR="00A8138F" w:rsidRDefault="00A8138F" w:rsidP="00A8138F">
      <w:pPr>
        <w:pStyle w:val="TextoNormal"/>
      </w:pPr>
      <w:r w:rsidRPr="00A8138F">
        <w:rPr>
          <w:i/>
        </w:rPr>
        <w:t>(4) Las enmiendas e intervenciones durante la tramitación de la proposición de</w:t>
      </w:r>
      <w:r>
        <w:t xml:space="preserve"> ley</w:t>
      </w:r>
    </w:p>
    <w:p w14:paraId="6A0A1C98" w14:textId="77777777" w:rsidR="00A8138F" w:rsidRDefault="00A8138F" w:rsidP="00A8138F">
      <w:pPr>
        <w:pStyle w:val="TextoNormal"/>
      </w:pPr>
    </w:p>
    <w:p w14:paraId="1E6CCB98" w14:textId="77777777" w:rsidR="00A8138F" w:rsidRDefault="00A8138F" w:rsidP="00A8138F">
      <w:pPr>
        <w:pStyle w:val="TextoNormal"/>
      </w:pPr>
      <w:r>
        <w:t>297. El 12 de diciembre de 2023, apenas un mes después de la sesión de investidura, el Pleno del Congreso de los Diputados tomó en consideración la proposición de ley orgánica. El 19 de diciembre de 2023, la mesa de la Cámara encargó un dictamen a la Comisión de Justicia y su tramitación por el procedimiento de urgencia y abrió el plazo de presentación de enmiendas.</w:t>
      </w:r>
    </w:p>
    <w:p w14:paraId="66ECA243" w14:textId="77777777" w:rsidR="00A8138F" w:rsidRDefault="00A8138F" w:rsidP="00A8138F">
      <w:pPr>
        <w:pStyle w:val="TextoNormal"/>
      </w:pPr>
    </w:p>
    <w:p w14:paraId="167F00DC" w14:textId="77777777" w:rsidR="00A8138F" w:rsidRDefault="00A8138F" w:rsidP="00A8138F">
      <w:pPr>
        <w:pStyle w:val="TextoNormal"/>
      </w:pPr>
      <w:r>
        <w:t>298. La portavoz del Grupo Parlamentario Junts per Catalunya, presentó las enmiendas núm. 23, 24, 25, 26, 27, 28, 29, 30, 31, 32, 33 y 34. Destacaremos el contenido de las siguientes y particularmente de su justificación y de su posterior defensa en el debate plenario. Esa justificación y defensa revelan, por un lado, que lo aprobado constituye una auténtica autoamnistía, cuyo texto fue moldeándose progresivamente para satisfacer las exigencias de impunidad de los dirigentes políticos de Junts, cuyos votos resultaban imprescindibles para asegurar su aprobación parlamentaria. Por otra parte, la decidida voluntad de menoscabar la “reserva de jurisdicción” constitucionalmente atribuida al Poder Judicial y con ello el principio de separación de poderes y la preocupación de que los tribunales pudieran promover cuestiones prejudiciales de validez ante el Tribunal de Justicia de la Unión Europea en aras a preservar el principio de primacía del Derecho de la Unión Europea, pretendiendo evitar el planteamiento de las mismas:</w:t>
      </w:r>
    </w:p>
    <w:p w14:paraId="31169F58" w14:textId="77777777" w:rsidR="00A8138F" w:rsidRDefault="00A8138F" w:rsidP="00A8138F">
      <w:pPr>
        <w:pStyle w:val="TextoNormal"/>
      </w:pPr>
    </w:p>
    <w:p w14:paraId="09BADB5A" w14:textId="77777777" w:rsidR="00A8138F" w:rsidRDefault="00A8138F" w:rsidP="00A8138F">
      <w:pPr>
        <w:pStyle w:val="TextoNormal"/>
      </w:pPr>
      <w:r>
        <w:t>(i) Enmienda núm. 29 al artículo 2 c) y d) que pretende reducir los delitos excluidos para que queden comprendidos los delitos de terrorismo, capítulo VII del título XXII del libro II del Código penal, y los delitos de traición y contra la paz o la independencia del Estado y relativos a la defensa nacional del título XXIII del libro II del Código penal.</w:t>
      </w:r>
    </w:p>
    <w:p w14:paraId="53F08316" w14:textId="77777777" w:rsidR="00A8138F" w:rsidRDefault="00A8138F" w:rsidP="00A8138F">
      <w:pPr>
        <w:pStyle w:val="TextoNormal"/>
      </w:pPr>
    </w:p>
    <w:p w14:paraId="0B4F8678" w14:textId="77777777" w:rsidR="00A8138F" w:rsidRDefault="00A8138F" w:rsidP="00A8138F">
      <w:pPr>
        <w:pStyle w:val="TextoNormal"/>
      </w:pPr>
      <w:r>
        <w:t>En concreto se justifica en estos aspectos la enmienda:</w:t>
      </w:r>
    </w:p>
    <w:p w14:paraId="13A197D2" w14:textId="77777777" w:rsidR="00A8138F" w:rsidRDefault="00A8138F" w:rsidP="00A8138F">
      <w:pPr>
        <w:pStyle w:val="TextoNormal"/>
      </w:pPr>
    </w:p>
    <w:p w14:paraId="3673E857" w14:textId="77777777" w:rsidR="00A8138F" w:rsidRDefault="00A8138F" w:rsidP="00A8138F">
      <w:pPr>
        <w:pStyle w:val="TextoNormal"/>
      </w:pPr>
      <w:r>
        <w:t>“[A] la vista del uso indebido que se hace del Código penal y de los instrumentos del Estado para perseguir a los independentistas catalanes, resulta del todo conveniente retirar de entre los delitos excluidos los actos así tipificados porque es una realidad que, nada más hacerse público el proposición de Ley de amnistía se han reactivado procesos que se asumía estaban destinados al sobreseimiento. […]. [N]os encontramos que, al menos, existen dos procedimientos en los que, arbitraria e injustificadamente, se investiga y persigue a independentistas catalanes por hechos que no serían tipificables como tales pero que lo están siendo”.</w:t>
      </w:r>
    </w:p>
    <w:p w14:paraId="3788FA30" w14:textId="77777777" w:rsidR="00A8138F" w:rsidRDefault="00A8138F" w:rsidP="00A8138F">
      <w:pPr>
        <w:pStyle w:val="TextoNormal"/>
      </w:pPr>
    </w:p>
    <w:p w14:paraId="0B68F0F1" w14:textId="77777777" w:rsidR="00A8138F" w:rsidRDefault="00A8138F" w:rsidP="00A8138F">
      <w:pPr>
        <w:pStyle w:val="TextoNormal"/>
      </w:pPr>
      <w:r>
        <w:t>(ii) Enmienda núm. 33, incorpora una disposición adicional tercera, por la que el planteamiento de una cuestión de inconstitucionalidad no tendrá en ningún caso efectos suspensivos y la suspensión del proceso no impedirá la reforma de los autos y providencias en que se hubiese acordado la detención, prisión o procesamiento, así como cualesquiera otras medidas restrictivas de derechos.</w:t>
      </w:r>
    </w:p>
    <w:p w14:paraId="378710AF" w14:textId="77777777" w:rsidR="00A8138F" w:rsidRDefault="00A8138F" w:rsidP="00A8138F">
      <w:pPr>
        <w:pStyle w:val="TextoNormal"/>
      </w:pPr>
    </w:p>
    <w:p w14:paraId="03F3B715" w14:textId="77777777" w:rsidR="00A8138F" w:rsidRDefault="00A8138F" w:rsidP="00A8138F">
      <w:pPr>
        <w:pStyle w:val="TextoNormal"/>
      </w:pPr>
      <w:r>
        <w:t>Se justifica:</w:t>
      </w:r>
    </w:p>
    <w:p w14:paraId="5AC0AA04" w14:textId="77777777" w:rsidR="00A8138F" w:rsidRDefault="00A8138F" w:rsidP="00A8138F">
      <w:pPr>
        <w:pStyle w:val="TextoNormal"/>
      </w:pPr>
    </w:p>
    <w:p w14:paraId="210B4F64" w14:textId="77777777" w:rsidR="00A8138F" w:rsidRDefault="00A8138F" w:rsidP="00A8138F">
      <w:pPr>
        <w:pStyle w:val="TextoNormal"/>
      </w:pPr>
      <w:r>
        <w:t>“[D]e acuerdo con el carácter de ley singular que excepciona la aplicación de normas vigentes a unos determinados hechos, garantiza la aplicación inmediata de la ley de amnistía […] mediante el alzamiento de todas las medidas que impidan su eficacia”.</w:t>
      </w:r>
    </w:p>
    <w:p w14:paraId="4CE9A4B0" w14:textId="77777777" w:rsidR="00A8138F" w:rsidRDefault="00A8138F" w:rsidP="00A8138F">
      <w:pPr>
        <w:pStyle w:val="TextoNormal"/>
      </w:pPr>
    </w:p>
    <w:p w14:paraId="582CB67B" w14:textId="77777777" w:rsidR="00A8138F" w:rsidRDefault="00A8138F" w:rsidP="00A8138F">
      <w:pPr>
        <w:pStyle w:val="TextoNormal"/>
      </w:pPr>
      <w:r>
        <w:t>(iii) Enmienda núm. 34, incorpora una nueva disposición adicional para que el planteamiento de una cuestión prejudicial no afecte a la vigencia y aplicabilidad general de la ley orgánica, y al igual que en el caso de la cuestión de inconstitucionalidad no impide adoptar resoluciones sobre las medidas cautelares.</w:t>
      </w:r>
    </w:p>
    <w:p w14:paraId="2458D551" w14:textId="77777777" w:rsidR="00A8138F" w:rsidRDefault="00A8138F" w:rsidP="00A8138F">
      <w:pPr>
        <w:pStyle w:val="TextoNormal"/>
      </w:pPr>
    </w:p>
    <w:p w14:paraId="2E2A1CE2" w14:textId="77777777" w:rsidR="00A8138F" w:rsidRDefault="00A8138F" w:rsidP="00A8138F">
      <w:pPr>
        <w:pStyle w:val="TextoNormal"/>
      </w:pPr>
      <w:r>
        <w:t>Es particularmente interesante la justificación de la misma, cuando se indica:</w:t>
      </w:r>
    </w:p>
    <w:p w14:paraId="21C5009B" w14:textId="77777777" w:rsidR="00A8138F" w:rsidRDefault="00A8138F" w:rsidP="00A8138F">
      <w:pPr>
        <w:pStyle w:val="TextoNormal"/>
      </w:pPr>
    </w:p>
    <w:p w14:paraId="22B3CB76" w14:textId="77777777" w:rsidR="00A8138F" w:rsidRDefault="00A8138F" w:rsidP="00A8138F">
      <w:pPr>
        <w:pStyle w:val="TextoNormal"/>
      </w:pPr>
      <w:r>
        <w:t>“Desde la presentación del proposición de ley de amnistía se ha […] permitido constatar, empíricamente y a diario, las dudas de ciertos sectores aparentemente mayoritarios del Poder Judicial respecto de esta ley de amnistía y su inclinación, una vez entre en vigor, a agotar todas las vías necesarias para reducir al máximo su inmediata aplicación. Algunas de estas vías (unas legítimas, otras no, pero todas jurídicamente viables) son fácilmente previsibles: interpretaciones restrictivas de los supuestos dudosos y planteamiento de cuestiones de inconstitucionalidad ante el Tribunal Constitucional o de cuestiones prejudiciales ante el Tribunal de Justicia de la Unión Europea. […]. El objeto de la presente enmienda se refiere, por el contrario, a otra posible vía judicial para reducir la eficacia de la futura norma, una vía radical y excepcional, seguramente muy improbable, pero no imposible. Se trata de la vía de inaplicar directamente, sin más, la futura ley, sin ni siquiera acudir antes al Tribunal de Justicia de la Unión Europea a través de una cuestión prejudicial. Esta vía (en abstracto factible) se basaría en una interpretación formalista del principio de primacía del Derecho de la Unión Europea y de la jurisprudencia elaborada por el propio Tribunal de Justicia de la Unión Europea admitiendo y creando esta facultad. […]. [L]a finalidad o virtualidad de esta enmienda sería la siguiente: al prever la norma, ella misma y de modo expreso, cuál es el efecto (planteamiento de una cuestión prejudicial, con suspensión del procedimiento) para el caso de que un tribunal aprecie esa posible oposición entre ley de amnistía y norma europea, ello haría más dificultosa (más excepcional) y, por ello, más improbable la posibilidad de acudir a la vía excepcional de la inaplicación directa en base a la doctrina ya referida del Tribunal de Justicia de la Unión Europea. […]. [D]e no introducirse ninguna referencia, podría entenderse que quedan abiertas las dos vías (cuestión prejudicial e inaplicación directa)”.</w:t>
      </w:r>
    </w:p>
    <w:p w14:paraId="6D08CCFA" w14:textId="77777777" w:rsidR="00A8138F" w:rsidRDefault="00A8138F" w:rsidP="00A8138F">
      <w:pPr>
        <w:pStyle w:val="TextoNormal"/>
      </w:pPr>
    </w:p>
    <w:p w14:paraId="6FAF396F" w14:textId="77777777" w:rsidR="00A8138F" w:rsidRDefault="00A8138F" w:rsidP="00A8138F">
      <w:pPr>
        <w:pStyle w:val="TextoNormal"/>
      </w:pPr>
      <w:r>
        <w:t>299. En la Sesión plenaria de 10 de enero de 2024 (“Diario de Sesiones del Congreso de los Diputados”, Pleno y Diputación Permanente, núm. 16, de 10 de enero de 2024), se produjo el debate de totalidad de la proposición de ley orgánica y la defensa de las enmiendas presentadas.</w:t>
      </w:r>
    </w:p>
    <w:p w14:paraId="6F464B9D" w14:textId="77777777" w:rsidR="00A8138F" w:rsidRDefault="00A8138F" w:rsidP="00A8138F">
      <w:pPr>
        <w:pStyle w:val="TextoNormal"/>
      </w:pPr>
    </w:p>
    <w:p w14:paraId="18E4274A" w14:textId="77777777" w:rsidR="00A8138F" w:rsidRDefault="00A8138F" w:rsidP="00A8138F">
      <w:pPr>
        <w:pStyle w:val="TextoNormal"/>
      </w:pPr>
      <w:r>
        <w:t>300. En la defensa de las enmiendas de Junts intervino el señor Cervera, que en su exposición indicó:</w:t>
      </w:r>
    </w:p>
    <w:p w14:paraId="1390EF17" w14:textId="77777777" w:rsidR="00A8138F" w:rsidRDefault="00A8138F" w:rsidP="00A8138F">
      <w:pPr>
        <w:pStyle w:val="TextoNormal"/>
      </w:pPr>
    </w:p>
    <w:p w14:paraId="5A51F3FB" w14:textId="77777777" w:rsidR="00A8138F" w:rsidRDefault="00A8138F" w:rsidP="00A8138F">
      <w:pPr>
        <w:pStyle w:val="TextoNormal"/>
      </w:pPr>
      <w:r>
        <w:t>“Son enmiendas para blindar esta ley, con un doble objetivo: que la ley de amnistía incluya todos los casos de persecución contra el independentismo, sin excepciones —para Junts la amnistía debe incluir a todos los perseguidos</w:t>
      </w:r>
      <w:r w:rsidRPr="00A8138F">
        <w:rPr>
          <w:i/>
        </w:rPr>
        <w:t>: Tsuna</w:t>
      </w:r>
      <w:r>
        <w:t>mi, Operación Judas, etcétera—, y que la ley de amnistía tenga efectos inmediatos en su aplicación […]. Y esta insistencia nuestra para incorporar nuestras enmiendas responde a la necesidad de superar, como dice Gonzalo Boye, la imaginación de algunos magistrados, que quieren incardinar algunos hechos en unos tipos penales, cuando todos sabemos que de ninguna manera lo son […]. Finalmente, nuestras enmiendas pretenden ampliar el plazo de la amnistía, para que empiece en noviembre de 2011, con la finalidad de que se incluyan las actuaciones que el Tribunal de Cuentas incluye en su informe de fiscalización”.</w:t>
      </w:r>
    </w:p>
    <w:p w14:paraId="329214EE" w14:textId="77777777" w:rsidR="00A8138F" w:rsidRDefault="00A8138F" w:rsidP="00A8138F">
      <w:pPr>
        <w:pStyle w:val="TextoNormal"/>
      </w:pPr>
    </w:p>
    <w:p w14:paraId="499A3998" w14:textId="77777777" w:rsidR="00A8138F" w:rsidRDefault="00A8138F" w:rsidP="00A8138F">
      <w:pPr>
        <w:pStyle w:val="TextoNormal"/>
      </w:pPr>
      <w:r>
        <w:t>301. En la sesión plenaria de 30 de enero de 2024 se produjo la defensa de las enmiendas y la votación final en que la proposición de ley fue rechazada. La señora Nogueras, en su intervención, volvió a referirse al acuerdo firmado con el PSOE y a la única finalidad de incidir en los procedimientos judiciales en curso y salir al paso de los nuevos hechos para dejar sin efecto las investigaciones seguidas contra el señor Carles Puigdemont, líder del partido Junts, por delito de terrorismo por su participación en “Tsunami Democràtic” dictadas por el magistrado señor Manuel García Castellón, magistrado-juez del Juzgado Central de Instrucción núm. 6 de la Audiencia Nacional (autos de 5 de noviembre de 2023 y 25 de enero de 2024 y exposición razonada al Tribunal Supremo de 21 de noviembre de 2023); y las seguidas por un delito de traición contra el mismo, por las conexiones rusas en el procés (Operación Voloh), por el magistrado señor Aguirre, titular del Juzgado de Instrucción núm. 1 de Barcelona (1).</w:t>
      </w:r>
    </w:p>
    <w:p w14:paraId="6BB3CA68" w14:textId="77777777" w:rsidR="00A8138F" w:rsidRDefault="00A8138F" w:rsidP="00A8138F">
      <w:pPr>
        <w:pStyle w:val="TextoNormal"/>
      </w:pPr>
    </w:p>
    <w:p w14:paraId="5CAED6E7" w14:textId="77777777" w:rsidR="00A8138F" w:rsidRDefault="00A8138F" w:rsidP="00A8138F">
      <w:pPr>
        <w:pStyle w:val="TextoNormal"/>
      </w:pPr>
      <w:r>
        <w:t>302. Rechazadas las enmiendas presentadas por el Grupo Parlamentario Junts, fue aprobado el dictamen de la proposición de ley orgánica, pero rechazada la misma en la votación de conjunto, al no ser apoyada por Junts.</w:t>
      </w:r>
    </w:p>
    <w:p w14:paraId="09F7496B" w14:textId="77777777" w:rsidR="00A8138F" w:rsidRDefault="00A8138F" w:rsidP="00A8138F">
      <w:pPr>
        <w:pStyle w:val="TextoNormal"/>
      </w:pPr>
    </w:p>
    <w:p w14:paraId="40CC7CFB" w14:textId="77777777" w:rsidR="00A8138F" w:rsidRDefault="00A8138F" w:rsidP="00A8138F">
      <w:pPr>
        <w:pStyle w:val="TextoNormal"/>
      </w:pPr>
      <w:r w:rsidRPr="00A8138F">
        <w:rPr>
          <w:i/>
        </w:rPr>
        <w:t>(5) Conclusiones: La ley de amnistía supone la impunidad a cambio de poder y es incompatible con el Estado de Der</w:t>
      </w:r>
      <w:r>
        <w:t>echo</w:t>
      </w:r>
    </w:p>
    <w:p w14:paraId="53888CFC" w14:textId="77777777" w:rsidR="00A8138F" w:rsidRDefault="00A8138F" w:rsidP="00A8138F">
      <w:pPr>
        <w:pStyle w:val="TextoNormal"/>
      </w:pPr>
    </w:p>
    <w:p w14:paraId="6C6C1582" w14:textId="77777777" w:rsidR="00A8138F" w:rsidRDefault="00A8138F" w:rsidP="00A8138F">
      <w:pPr>
        <w:pStyle w:val="TextoNormal"/>
      </w:pPr>
      <w:r>
        <w:t>303. A partir de lo analizado, tanto en el acuerdo suscrito entre el PSOE y Junts como en las intervenciones recogidas en el “Diario de Sesiones del Congreso de los Diputados”, tanto en las sesiones de investidura, como en defensa de la proposición de ley y de las enmiendas, se desprende —tal como ya se avanzó— que la motivación real que subyace tras la iniciativa legislativa no reside en promover la convivencia ni en reforzar el marco constitucional.</w:t>
      </w:r>
    </w:p>
    <w:p w14:paraId="5E5BA75C" w14:textId="77777777" w:rsidR="00A8138F" w:rsidRDefault="00A8138F" w:rsidP="00A8138F">
      <w:pPr>
        <w:pStyle w:val="TextoNormal"/>
      </w:pPr>
    </w:p>
    <w:p w14:paraId="41574E79" w14:textId="77777777" w:rsidR="00A8138F" w:rsidRDefault="00A8138F" w:rsidP="00A8138F">
      <w:pPr>
        <w:pStyle w:val="TextoNormal"/>
      </w:pPr>
      <w:r>
        <w:t>304. Por el contrario, su propósito esencial está orientado a garantizar la impunidad de los investigados, muchos líderes de las formaciones políticas que aprobaron con su voto la Ley de amnistía, en diversas causas penales de relevancia, entre otras, las denominadas “Tsunami Democràtic”, “Operación Judas” u “Operación Voloh”, a cambio del apoyo para la investidura. A ello se añade la intención de ajustar progresivamente tanto el contenido material como el periodo temporal de la amnistía para asegurar que futuras imputaciones que afecten, por ejemplo, a don Carles Puigdemont, queden también amparadas por la norma. Las consecuencias de dicha arbitraria finalidad serán objeto de análisis más detallado en el apartado siguiente.</w:t>
      </w:r>
    </w:p>
    <w:p w14:paraId="03BF660D" w14:textId="77777777" w:rsidR="00A8138F" w:rsidRPr="00A8138F" w:rsidRDefault="00A8138F" w:rsidP="00A8138F">
      <w:pPr>
        <w:pStyle w:val="TextoNormal"/>
        <w:rPr>
          <w:i/>
        </w:rPr>
      </w:pPr>
    </w:p>
    <w:p w14:paraId="00AFFDE0" w14:textId="77777777" w:rsidR="00A8138F" w:rsidRDefault="00A8138F" w:rsidP="00A8138F">
      <w:pPr>
        <w:pStyle w:val="TextoNormal"/>
      </w:pPr>
      <w:r w:rsidRPr="00A8138F">
        <w:rPr>
          <w:i/>
        </w:rPr>
        <w:t>b) La Ley de amnistía debe ser calificada de ley singular contraria a las exigencias constitucion</w:t>
      </w:r>
      <w:r>
        <w:t>ales</w:t>
      </w:r>
    </w:p>
    <w:p w14:paraId="1466D1BC" w14:textId="77777777" w:rsidR="00A8138F" w:rsidRDefault="00A8138F" w:rsidP="00A8138F">
      <w:pPr>
        <w:pStyle w:val="TextoNormal"/>
      </w:pPr>
    </w:p>
    <w:p w14:paraId="654A236E" w14:textId="77777777" w:rsidR="00A8138F" w:rsidRDefault="00A8138F" w:rsidP="00A8138F">
      <w:pPr>
        <w:pStyle w:val="TextoNormal"/>
      </w:pPr>
      <w:r>
        <w:t>(i</w:t>
      </w:r>
      <w:r w:rsidRPr="00A8138F">
        <w:rPr>
          <w:i/>
        </w:rPr>
        <w:t>) Contradicción interna en la sentencia sobre el contenido del recur</w:t>
      </w:r>
      <w:r>
        <w:t>so</w:t>
      </w:r>
    </w:p>
    <w:p w14:paraId="305E1C0F" w14:textId="77777777" w:rsidR="00A8138F" w:rsidRDefault="00A8138F" w:rsidP="00A8138F">
      <w:pPr>
        <w:pStyle w:val="TextoNormal"/>
      </w:pPr>
    </w:p>
    <w:p w14:paraId="471C6450" w14:textId="77777777" w:rsidR="00A8138F" w:rsidRDefault="00A8138F" w:rsidP="00A8138F">
      <w:pPr>
        <w:pStyle w:val="TextoNormal"/>
      </w:pPr>
      <w:r>
        <w:t>305. Los recurrentes afirman que la Ley de amnistía es una ley singular o de caso único que conlleva que la ley penal general no se aplique a determinadas personas, [así lo indica la sentencia en su antecedente de hecho 1 A) b)]. Esa categorización de la ley como singular por los recurrentes está claramente reflejada también en el fundamento jurídico 8.1 de la sentencia, cuando refleja las alegaciones de los recurrentes en relación con la vulneración del principio de igualdad. Sin embargo, esa misma sentencia abre su fundamento jurídico 5.2, de modo incomprensible, incoherente y sorpresivo indicando que “[t]ienen razón los recurrentes cuando rechazan que pueda proyectarse a una ley de amnistía la doctrina constitucional sobre leyes singulares”.</w:t>
      </w:r>
    </w:p>
    <w:p w14:paraId="0A70CD96" w14:textId="77777777" w:rsidR="00A8138F" w:rsidRDefault="00A8138F" w:rsidP="00A8138F">
      <w:pPr>
        <w:pStyle w:val="TextoNormal"/>
      </w:pPr>
    </w:p>
    <w:p w14:paraId="24966AF6" w14:textId="77777777" w:rsidR="00A8138F" w:rsidRDefault="00A8138F" w:rsidP="00A8138F">
      <w:pPr>
        <w:pStyle w:val="TextoNormal"/>
      </w:pPr>
      <w:r>
        <w:t>306. Resulta especialmente llamativo el razonamiento que ofrece la sentencia en su fundamento jurídico 7.2 a), que debemos calificar de radicalmente inconsistente e incompatible con los principios más elementales del Estado de Derecho. No es intelectualmente admisible —ni jurídicamente honesto— sostener, en una misma línea argumentativa, que la Ley de amnistía ha sido el resultado de una transacción política —investidura a cambio de impunidad— y, al mismo tiempo, declarar que no cabe presumir su carácter arbitrario, sino que debe aún indagarse si persigue un fin constitucional legítimo y si obedece a una razón justificativa de interés general.</w:t>
      </w:r>
    </w:p>
    <w:p w14:paraId="37EBEBF9" w14:textId="77777777" w:rsidR="00A8138F" w:rsidRDefault="00A8138F" w:rsidP="00A8138F">
      <w:pPr>
        <w:pStyle w:val="TextoNormal"/>
      </w:pPr>
    </w:p>
    <w:p w14:paraId="76D4C05E" w14:textId="77777777" w:rsidR="00A8138F" w:rsidRDefault="00A8138F" w:rsidP="00A8138F">
      <w:pPr>
        <w:pStyle w:val="TextoNormal"/>
      </w:pPr>
      <w:r>
        <w:t>307. Este tipo de razonamiento incurre en una contradicción lógica insalvable. Si se reconoce que la norma nace de un pacto político explícito —impunidad penal a cambio de apoyo parlamentario— el juicio de constitucionalidad no puede simplemente abstraerse de ese hecho y plantear la existencia hipotética de un fin constitucional legítimo que pudiera justificar la medida. El propio reconocimiento de la transacción revela, de manera directa, un uso instrumental del Poder Legislativo contrario a la interdicción de la arbitrariedad (art. 9.3 CE), a la separación de poderes y al principio de igualdad ante la ley.</w:t>
      </w:r>
    </w:p>
    <w:p w14:paraId="18142B9D" w14:textId="77777777" w:rsidR="00A8138F" w:rsidRDefault="00A8138F" w:rsidP="00A8138F">
      <w:pPr>
        <w:pStyle w:val="TextoNormal"/>
      </w:pPr>
    </w:p>
    <w:p w14:paraId="7D74DDED" w14:textId="77777777" w:rsidR="00A8138F" w:rsidRDefault="00A8138F" w:rsidP="00A8138F">
      <w:pPr>
        <w:pStyle w:val="TextoNormal"/>
      </w:pPr>
      <w:r>
        <w:t>308. Es más: aceptar como base del análisis que la ley responde a un acuerdo que explícitamente intercambia votos por inmunidad penal desactiva cualquier posibilidad de entenderla como una norma neutra, general y orientada al interés general. La lógica del trueque político que subyace a la Ley de amnistía es incompatible con la idea misma de que una amnistía pueda perseguir fines constitucionalmente legítimos. No es posible construir legitimidad constitucional sobre la base de una finalidad ilegítima. El fin no puede redimir al medio cuando el medio es, por su propia naturaleza, estructuralmente corrupto: el otorgamiento de inmunidad jurídica a determinados grupos políticos en función de su capacidad de condicionar mayorías parlamentarias.</w:t>
      </w:r>
    </w:p>
    <w:p w14:paraId="58C52588" w14:textId="77777777" w:rsidR="00A8138F" w:rsidRDefault="00A8138F" w:rsidP="00A8138F">
      <w:pPr>
        <w:pStyle w:val="TextoNormal"/>
      </w:pPr>
    </w:p>
    <w:p w14:paraId="6B716ED2" w14:textId="77777777" w:rsidR="00A8138F" w:rsidRDefault="00A8138F" w:rsidP="00A8138F">
      <w:pPr>
        <w:pStyle w:val="TextoNormal"/>
      </w:pPr>
      <w:r>
        <w:t>309. En consecuencia, la afirmación de que debe “indagarse” si la norma persigue un interés general o un fin constitucional, cuando al mismo tiempo se admite que responde a una negociación cuyo resultado es la obtención de poder político a cambio de impunidad penal, falsea las premisas del razonamiento jurídico y vacía de contenido real el juicio de constitucionalidad. Se presenta como hipótesis lo que la propia sentencia reconoce como hecho constatado: una transacción parlamentaria en la que la ley se convierte en moneda de cambio. No hay mayor prueba de arbitrariedad que la autoincriminación estructural de la propia fundamentación.</w:t>
      </w:r>
    </w:p>
    <w:p w14:paraId="3C54B7E0" w14:textId="77777777" w:rsidR="00A8138F" w:rsidRDefault="00A8138F" w:rsidP="00A8138F">
      <w:pPr>
        <w:pStyle w:val="TextoNormal"/>
      </w:pPr>
    </w:p>
    <w:p w14:paraId="7E6099FC" w14:textId="77777777" w:rsidR="00A8138F" w:rsidRDefault="00A8138F" w:rsidP="00A8138F">
      <w:pPr>
        <w:pStyle w:val="TextoNormal"/>
      </w:pPr>
      <w:r>
        <w:t>(</w:t>
      </w:r>
      <w:r w:rsidRPr="00A8138F">
        <w:rPr>
          <w:i/>
        </w:rPr>
        <w:t>ii) Desnaturalización por la sentencia de la doctrina constitucional al limitar la ley singular al campo administrativo y eludir el control constitucional refor</w:t>
      </w:r>
      <w:r>
        <w:t>zado</w:t>
      </w:r>
    </w:p>
    <w:p w14:paraId="344E9278" w14:textId="77777777" w:rsidR="00A8138F" w:rsidRDefault="00A8138F" w:rsidP="00A8138F">
      <w:pPr>
        <w:pStyle w:val="TextoNormal"/>
      </w:pPr>
    </w:p>
    <w:p w14:paraId="4C1A4B1C" w14:textId="77777777" w:rsidR="00A8138F" w:rsidRDefault="00A8138F" w:rsidP="00A8138F">
      <w:pPr>
        <w:pStyle w:val="TextoNormal"/>
      </w:pPr>
      <w:r>
        <w:t>310. El fundamento jurídico 5.2 de la sentencia, rechaza que la Ley de amnistía pertenezca a la categoría de “ley singular” acuñada por el Tribunal Constitucional, obteniendo como resultado, como la propia sentencia indica, “que no se proyecte sobre la amnistía el canon constitucional relativo a las leyes singulares con los específicos límites y requisitos que impone”. Para la sentencia, si la ley no se puede calificar de “actividad gubernativa o de administración” no es una ley singular.</w:t>
      </w:r>
    </w:p>
    <w:p w14:paraId="16C2BE00" w14:textId="77777777" w:rsidR="00A8138F" w:rsidRDefault="00A8138F" w:rsidP="00A8138F">
      <w:pPr>
        <w:pStyle w:val="TextoNormal"/>
      </w:pPr>
    </w:p>
    <w:p w14:paraId="01675868" w14:textId="77777777" w:rsidR="00A8138F" w:rsidRDefault="00A8138F" w:rsidP="00A8138F">
      <w:pPr>
        <w:pStyle w:val="TextoNormal"/>
      </w:pPr>
      <w:r>
        <w:t>311. La sentencia ignora la doctrina constitucional consolidada en torno al concepto de ley singular. Tal como se desprende de la lectura del fundamento jurídico 3 de la STC 203/2013, esta categoría incluye tanto leyes autoaplicativas como leyes dirigidas a destinatarios concretos, sin que sea preciso que concurran simultáneamente ambas características para que una norma sea calificada como singular.</w:t>
      </w:r>
    </w:p>
    <w:p w14:paraId="35B6CDFF" w14:textId="77777777" w:rsidR="00A8138F" w:rsidRDefault="00A8138F" w:rsidP="00A8138F">
      <w:pPr>
        <w:pStyle w:val="TextoNormal"/>
      </w:pPr>
    </w:p>
    <w:p w14:paraId="636C2006" w14:textId="77777777" w:rsidR="00A8138F" w:rsidRDefault="00A8138F" w:rsidP="00A8138F">
      <w:pPr>
        <w:pStyle w:val="TextoNormal"/>
      </w:pPr>
      <w:r>
        <w:t>312. Así, en dicha resolución se distinguen, por un lado, las leyes que incorporan una actividad típicamente ejecutiva de aplicación directa de la norma al caso concreto —esto es, leyes autoaplicativas que no requieren de actos ulteriores para desplegar sus efectos jurídicos, y que se sitúan en el eje abstracto/concreto—, y por otro, aquellas que son singulares únicamente por su referencia a destinatarios o supuestos determinados, lo que corresponde a la dimensión general/especial.</w:t>
      </w:r>
    </w:p>
    <w:p w14:paraId="41B49C14" w14:textId="77777777" w:rsidR="00A8138F" w:rsidRDefault="00A8138F" w:rsidP="00A8138F">
      <w:pPr>
        <w:pStyle w:val="TextoNormal"/>
      </w:pPr>
    </w:p>
    <w:p w14:paraId="51007886" w14:textId="77777777" w:rsidR="00A8138F" w:rsidRDefault="00A8138F" w:rsidP="00A8138F">
      <w:pPr>
        <w:pStyle w:val="TextoNormal"/>
      </w:pPr>
      <w:r>
        <w:t>313. Esta comprensión plural de la categoría ya había sido esbozada en la STC 166/1986, de 19 de diciembre, FJ 10, donde por primera vez se definió la ley singular como aquella “dictada en atención a un supuesto de hecho concreto y singular”, cuyo contenido y eficacia quedan agotados con la adopción de la medida legislativa. Sin embargo, la propia doctrina constitucional posterior ha precisado que no es necesario que se den conjuntamente la concreción del supuesto de hecho y la autoaplicabilidad para que una ley sea considerada singular.</w:t>
      </w:r>
    </w:p>
    <w:p w14:paraId="551C1A12" w14:textId="77777777" w:rsidR="00A8138F" w:rsidRDefault="00A8138F" w:rsidP="00A8138F">
      <w:pPr>
        <w:pStyle w:val="TextoNormal"/>
      </w:pPr>
    </w:p>
    <w:p w14:paraId="3D7869BA" w14:textId="77777777" w:rsidR="00A8138F" w:rsidRDefault="00A8138F" w:rsidP="00A8138F">
      <w:pPr>
        <w:pStyle w:val="TextoNormal"/>
      </w:pPr>
      <w:r>
        <w:t>314. En este sentido, la STC 203/2013 amplía el concepto al considerar singulares también aquellas normas cuyo carácter se deriva bien del supuesto regulado, bien de su proyección sobre destinatarios concretos. Por tanto, restringir, como hace el fundamento jurídico 5.2, el concepto de ley singular exclusivamente a aquellas que contienen decisiones autoaplicativas o ejecutivas supone una lectura parcial y sesgada de la jurisprudencia constitucional, que desnaturaliza el riguroso control que esta categoría permite frente a potenciales desviaciones del Poder Legislativo o a la elusión del control jurisdiccional.</w:t>
      </w:r>
    </w:p>
    <w:p w14:paraId="02B8477A" w14:textId="77777777" w:rsidR="00A8138F" w:rsidRDefault="00A8138F" w:rsidP="00A8138F">
      <w:pPr>
        <w:pStyle w:val="TextoNormal"/>
      </w:pPr>
    </w:p>
    <w:p w14:paraId="0266969B" w14:textId="77777777" w:rsidR="00A8138F" w:rsidRDefault="00A8138F" w:rsidP="00A8138F">
      <w:pPr>
        <w:pStyle w:val="TextoNormal"/>
      </w:pPr>
      <w:r>
        <w:t>315. La sentencia, al eludir calificar la Ley de amnistía como ley singular, evita deliberadamente someterla al test más exigente de constitucionalidad que corresponde aplicar a este tipo de normas. Al negar que la amnistía reúna las características propias de una ley singular, la sentencia evita aplicar este marco reforzado de control constitucional, lo que debilita las garantías frente a posibles desviaciones del Poder Legislativo. Esto no solo empobrece el juicio de constitucionalidad, sino que también reduce el estándar de exigencia al que debería haberse sometido una norma de tan profunda incidencia institucional y política.</w:t>
      </w:r>
    </w:p>
    <w:p w14:paraId="53D2A529" w14:textId="77777777" w:rsidR="00A8138F" w:rsidRDefault="00A8138F" w:rsidP="00A8138F">
      <w:pPr>
        <w:pStyle w:val="TextoNormal"/>
      </w:pPr>
    </w:p>
    <w:p w14:paraId="26F292D1" w14:textId="77777777" w:rsidR="00A8138F" w:rsidRDefault="00A8138F" w:rsidP="00A8138F">
      <w:pPr>
        <w:pStyle w:val="TextoNormal"/>
      </w:pPr>
      <w:r>
        <w:t>316. En consecuencia, procede afirmar que la sentencia ha declinado el ejercicio efectivo de la función de control que le es propia, al abstenerse de aplicar a la Ley de amnistía los estándares reforzados de constitucionalidad que derivan de su consolidada doctrina sobre las leyes singulares. Esta renuncia, materializada en la negativa a proyectar el canon específico de razonabilidad, proporcionalidad y delimitación objetiva del supuesto de hecho, ha dado lugar a un juicio de constitucionalidad meramente aparente. Es por ello que frente a la renuncia de la sentencia a ejercer un auténtico control de constitucionalidad sobre aspectos sustantivos de la ley, se procederá a realizar ese análisis a fin de ocupar ese espacio ausente. Como resultado del análisis que se desarrollará a continuación, se concluirá que la Ley de amnistía no encuentra sustento real en las finalidades que formalmente proclama en su exposición de motivos, sino que obedece a motivaciones sustancialmente ajenas al interés general. Ello conduce a situarla fuera de los márgenes materiales propios de un Estado constitucional de Derecho.</w:t>
      </w:r>
    </w:p>
    <w:p w14:paraId="1C1F2832" w14:textId="77777777" w:rsidR="00A8138F" w:rsidRDefault="00A8138F" w:rsidP="00A8138F">
      <w:pPr>
        <w:pStyle w:val="TextoNormal"/>
      </w:pPr>
    </w:p>
    <w:p w14:paraId="5E5AD344" w14:textId="77777777" w:rsidR="00A8138F" w:rsidRDefault="00A8138F" w:rsidP="00A8138F">
      <w:pPr>
        <w:pStyle w:val="TextoNormal"/>
      </w:pPr>
      <w:r>
        <w:t>(iii</w:t>
      </w:r>
      <w:r w:rsidRPr="00A8138F">
        <w:rPr>
          <w:i/>
        </w:rPr>
        <w:t>) La razón por la que se caracteriza la Ley de amnistía como una ley singul</w:t>
      </w:r>
      <w:r>
        <w:t>ar</w:t>
      </w:r>
    </w:p>
    <w:p w14:paraId="6F26E6C0" w14:textId="77777777" w:rsidR="00A8138F" w:rsidRDefault="00A8138F" w:rsidP="00A8138F">
      <w:pPr>
        <w:pStyle w:val="TextoNormal"/>
      </w:pPr>
    </w:p>
    <w:p w14:paraId="239E2458" w14:textId="77777777" w:rsidR="00A8138F" w:rsidRDefault="00A8138F" w:rsidP="00A8138F">
      <w:pPr>
        <w:pStyle w:val="TextoNormal"/>
      </w:pPr>
      <w:r>
        <w:t>317. A diferencia de la sentencia, el preámbulo presenta la norma, con reiteración, como una ley de carácter singular. Afirma que “solo cabe entender esta opción legislativa en el marco de las leyes singulares […] toda vez que su objeto y ámbito se dirige a un grupo concreto de destinatarios y agota su contenido en la adopción de la medida para un supuesto de hecho singular, en este caso el conjunto de actos vinculados, de diversas formas, al ya mencionado proceso independentista, que quedan acotados material y temporalmente” (apartado V del preámbulo). Sin embargo, es cierto que no podemos detenernos ahí. En efecto, la caracterización como ley singular no puede depender exclusivamente de lo que afirme el preámbulo, que carece de valor normativo vinculante y no puede sustituir el juicio jurídico sobre la verdadera estructura, alcance y efectos de la norma. En consecuencia, corresponde valorar, so riesgo en caso contrario de declinar la función que le corresponde al Tribunal, a partir del contenido dispositivo y sus efectos concretos, si realmente concurren efectivamente los elementos definitorios de una ley singular.</w:t>
      </w:r>
    </w:p>
    <w:p w14:paraId="5F8B1B5C" w14:textId="77777777" w:rsidR="00A8138F" w:rsidRDefault="00A8138F" w:rsidP="00A8138F">
      <w:pPr>
        <w:pStyle w:val="TextoNormal"/>
      </w:pPr>
    </w:p>
    <w:p w14:paraId="6EBCEFF4" w14:textId="77777777" w:rsidR="00A8138F" w:rsidRDefault="00A8138F" w:rsidP="00A8138F">
      <w:pPr>
        <w:pStyle w:val="TextoNormal"/>
      </w:pPr>
      <w:r>
        <w:t>318. El contenido y eficacia de la Ley de amnistía se agota con la extinción de la responsabilidad penal, administrativa o contable de sus destinatarios, el levantamiento de las medidas cautelares que les afecten y el sobreseimiento libre o sentencia absolutoria en los procedimientos en que están incursos.</w:t>
      </w:r>
    </w:p>
    <w:p w14:paraId="15ACDA90" w14:textId="77777777" w:rsidR="00A8138F" w:rsidRDefault="00A8138F" w:rsidP="00A8138F">
      <w:pPr>
        <w:pStyle w:val="TextoNormal"/>
      </w:pPr>
    </w:p>
    <w:p w14:paraId="22CDC1A7" w14:textId="77777777" w:rsidR="00A8138F" w:rsidRDefault="00A8138F" w:rsidP="00A8138F">
      <w:pPr>
        <w:pStyle w:val="TextoNormal"/>
      </w:pPr>
      <w:r>
        <w:t>319. En los términos utilizados por la Comisión de Venecia en la “Opinión sobre los requisitos del Estado de Derecho para decretar una amnistía, con especial referencia a la proposición de ley parlamentaria ‘proposición de ley orgánica de amnistía para la normalización institucional, política y social en Cataluña’, adoptada por la Comisión de Venecia en su 138 sesión plenaria (Venecia, 15-16 de marzo de 2024) (opiniones núm. 1167/2023 y 1168/2023) [CDL-AD(2024)003]. Estrasburgo, 18 de marzo de 2024”:</w:t>
      </w:r>
    </w:p>
    <w:p w14:paraId="503AC0C3" w14:textId="77777777" w:rsidR="00A8138F" w:rsidRDefault="00A8138F" w:rsidP="00A8138F">
      <w:pPr>
        <w:pStyle w:val="TextoNormal"/>
      </w:pPr>
    </w:p>
    <w:p w14:paraId="4B1A5CF7" w14:textId="77777777" w:rsidR="00A8138F" w:rsidRDefault="00A8138F" w:rsidP="00A8138F">
      <w:pPr>
        <w:pStyle w:val="TextoNormal"/>
      </w:pPr>
      <w:r>
        <w:t>“Las amnistías son medidas excepcionales que despenalizan actos que normalmente son perseguidos penalmente. Por definición, conceden beneficios jurídicos especiales a un determinado grupo de personas que reúnen los requisitos exigidos por la ley. En consecuencia, introducen una diferencia de trato con respecto a las personas que han cometido los mismos hechos pero en contextos diferentes, por motivos diferentes o en momentos diferentes, y por lo tanto no se benefician de la amnistía y siguen siendo objeto de procedimientos y sanciones penales […]. Para que la diferencia de trato no sea arbitraria, las amnistías deben perseguir un objetivo legítimo en interés de la comunidad; cuanto más radicales sean las amnistías, más legítimo debe ser el objetivo”.</w:t>
      </w:r>
    </w:p>
    <w:p w14:paraId="771087A0" w14:textId="77777777" w:rsidR="00A8138F" w:rsidRDefault="00A8138F" w:rsidP="00A8138F">
      <w:pPr>
        <w:pStyle w:val="TextoNormal"/>
      </w:pPr>
    </w:p>
    <w:p w14:paraId="22B0B3E1" w14:textId="77777777" w:rsidR="00A8138F" w:rsidRDefault="00A8138F" w:rsidP="00A8138F">
      <w:pPr>
        <w:pStyle w:val="TextoNormal"/>
      </w:pPr>
      <w:r>
        <w:t>320. La Ley de amnistía, por su propia naturaleza, se aparta del principio de generalidad que tradicionalmente define a la ley. Es por ello por lo que la Ley de amnistía es una ley singular, pues no constituye “un ejercicio normal de la potestad legislativa” (STC 231/2015, de 5 de noviembre, FJ 3), se aparta del concepto de generalidad que define a la ley. Se legisla para unos pocos. No obstante, dicho alejamiento de la nota de generalidad no implica necesariamente —aunque sí en este caso—, por sí misma, una infracción constitucional. La alteración de la estructura formal-tradicional de la ley, que puede incluso vislumbrarse en el propio texto constitucional (arts. 57.5, 93, 128.2 y 141.1 CE, entre otros), lejos de conculcar principios constitucionales, en determinados casos puede responder a la finalidad legítima, como la de promover la dimensión social del derecho y de favorecer la consecución de la igualdad real y efectiva (arts. 1.1 y 9.3 CE).</w:t>
      </w:r>
    </w:p>
    <w:p w14:paraId="2029F1F4" w14:textId="77777777" w:rsidR="00A8138F" w:rsidRDefault="00A8138F" w:rsidP="00A8138F">
      <w:pPr>
        <w:pStyle w:val="TextoNormal"/>
      </w:pPr>
    </w:p>
    <w:p w14:paraId="3E13A267" w14:textId="77777777" w:rsidR="00A8138F" w:rsidRDefault="00A8138F" w:rsidP="00A8138F">
      <w:pPr>
        <w:pStyle w:val="TextoNormal"/>
      </w:pPr>
      <w:r>
        <w:t>321. La Ley de amnistía pertenece al tipo de leyes singulares que establecen un régimen específico para un supuesto de hecho singular. Esto es, establece la impunidad penal, administrativa y contable de “un grupo concreto” de personas, identificables solo aparentemente —como se verá al examinar la indefinición de la norma—, en relación con actos definidos por ciertas circunstancias. La total impunidad que la norma prevé dota a la Ley de amnistía de una radicalidad y excepcionalidad sin precedentes y consiguientemente requiere de una especial intensidad en la exigencia no solo en la legitimidad del objetivo perseguido sino también en la delimitación del supuesto de hecho contemplado.</w:t>
      </w:r>
    </w:p>
    <w:p w14:paraId="41B02738" w14:textId="77777777" w:rsidR="00A8138F" w:rsidRPr="00A8138F" w:rsidRDefault="00A8138F" w:rsidP="00A8138F">
      <w:pPr>
        <w:pStyle w:val="TextoNormal"/>
        <w:rPr>
          <w:i/>
        </w:rPr>
      </w:pPr>
    </w:p>
    <w:p w14:paraId="32ADFB14" w14:textId="77777777" w:rsidR="00A8138F" w:rsidRDefault="00A8138F" w:rsidP="00A8138F">
      <w:pPr>
        <w:pStyle w:val="TextoNormal"/>
      </w:pPr>
      <w:r w:rsidRPr="00A8138F">
        <w:rPr>
          <w:i/>
        </w:rPr>
        <w:t>(iv) Ausencia de finalidad legítima e indeterminación del supuesto de hecho: la inconstitucionalidad estructural de la Ley de am</w:t>
      </w:r>
      <w:r>
        <w:t>nistía</w:t>
      </w:r>
    </w:p>
    <w:p w14:paraId="4C67A02D" w14:textId="77777777" w:rsidR="00A8138F" w:rsidRDefault="00A8138F" w:rsidP="00A8138F">
      <w:pPr>
        <w:pStyle w:val="TextoNormal"/>
      </w:pPr>
    </w:p>
    <w:p w14:paraId="4820012A" w14:textId="77777777" w:rsidR="00A8138F" w:rsidRDefault="00A8138F" w:rsidP="00A8138F">
      <w:pPr>
        <w:pStyle w:val="TextoNormal"/>
      </w:pPr>
      <w:r>
        <w:t>322. Tales exigencias —legitimidad del objetivo perseguido y delimitación del supuesto de hecho contemplado— no son satisfechas por la Ley de amnistía. No concurre la legitimidad del objetivo pretendido, ajeno al interés de la comunidad —como se ha expuesto—, ni tampoco la definición de la realidad a la que se aplica, que se muestra —como veremos— absolutamente indeterminada. Tales incumplimientos evidencian la arbitrariedad en la que incurre el legislador y determinan la incompatibilidad de la norma con el orden constitucional.</w:t>
      </w:r>
    </w:p>
    <w:p w14:paraId="4A71DE78" w14:textId="77777777" w:rsidR="00A8138F" w:rsidRDefault="00A8138F" w:rsidP="00A8138F">
      <w:pPr>
        <w:pStyle w:val="TextoNormal"/>
      </w:pPr>
    </w:p>
    <w:p w14:paraId="2DFD115A" w14:textId="77777777" w:rsidR="00A8138F" w:rsidRDefault="00A8138F" w:rsidP="00A8138F">
      <w:pPr>
        <w:pStyle w:val="TextoNormal"/>
      </w:pPr>
      <w:r>
        <w:t>(v</w:t>
      </w:r>
      <w:r w:rsidRPr="00A8138F">
        <w:rPr>
          <w:i/>
        </w:rPr>
        <w:t>) Indeterminación normativa de la Ley de amnist</w:t>
      </w:r>
      <w:r>
        <w:t>ía</w:t>
      </w:r>
    </w:p>
    <w:p w14:paraId="7C349642" w14:textId="77777777" w:rsidR="00A8138F" w:rsidRDefault="00A8138F" w:rsidP="00A8138F">
      <w:pPr>
        <w:pStyle w:val="TextoNormal"/>
      </w:pPr>
    </w:p>
    <w:p w14:paraId="143D69AD" w14:textId="77777777" w:rsidR="00A8138F" w:rsidRDefault="00A8138F" w:rsidP="00A8138F">
      <w:pPr>
        <w:pStyle w:val="TextoNormal"/>
      </w:pPr>
      <w:r>
        <w:t>323. La expresa voluntad de la norma —según reza su exposición de motivos— de alcanzar “a todas las personas, sin excepción, que participaron en el proceso independentista” conlleva que el supuesto de hecho de la misma, sobre el que debe proyectarse el canon de razonabilidad y proporcionalidad, se muestre tan intensamente indeterminado que imposibilita aplicar el canon de constitucionalidad exigido y determinar los resultados de la aplicación de la norma. En los siguientes apartados examinaré los tres aspectos que la norma utiliza para delimitar el supuesto de hecho, adelantando que el carácter absolutamente expansivo de la norma le priva de cualquier justificación racional y la convierte en un privilegio incompatible con los principios constitucionales de interdicción de la arbitrariedad, igualdad y seguridad jurídica.</w:t>
      </w:r>
    </w:p>
    <w:p w14:paraId="4894B0AF" w14:textId="77777777" w:rsidR="00A8138F" w:rsidRDefault="00A8138F" w:rsidP="00A8138F">
      <w:pPr>
        <w:pStyle w:val="TextoNormal"/>
      </w:pPr>
    </w:p>
    <w:p w14:paraId="1D9AC020" w14:textId="77777777" w:rsidR="00A8138F" w:rsidRDefault="00A8138F" w:rsidP="00A8138F">
      <w:pPr>
        <w:pStyle w:val="TextoNormal"/>
      </w:pPr>
      <w:r>
        <w:t>324. En primer lugar, la indeterminación en relación con el objeto, al comprender los actos o las acciones amnistiables siguientes: reivindicar, promover, procurar, contribuir, financiar, sufragar, facilitar, divulgar, recabar información, adquirir conocimiento, lograr que se preste apoyo, convocar [artículo 1.1 a) y b)], desobedecer, atentar, resistir, cualquier acto tipificado como delito, prevaricar, malversar, permitir, favorecer, coadyuvar, desconsiderar, criticar, agraviar, prestar público apoyo, mostrar apoyo [artículo 1.1 c) y d)], así como los actos “ejecutados en el marco de las consultas celebradas en Cataluña el 9 de noviembre de 2014 y el 1 de octubre de 2017, de su preparación o de sus consecuencias”, “las acciones ejecutadas en el contexto del denominado proceso independentista catalán, aunque no se encuentren relacionadas con las referidas consultas o hayan sido realizadas con posterioridad a su respectiva celebración”, y no solo los “actos, vinculados directa o indirectamente al denominado proceso independentista desarrollado en Cataluña”, sino también los directa o indirectamente vinculados “a sus líderes en el marco de ese proceso”, “así como cualesquiera otros que fueran materialmente conexos con tales acciones” [artículo 1.1 f)].</w:t>
      </w:r>
    </w:p>
    <w:p w14:paraId="474D1CB4" w14:textId="77777777" w:rsidR="00A8138F" w:rsidRDefault="00A8138F" w:rsidP="00A8138F">
      <w:pPr>
        <w:pStyle w:val="TextoNormal"/>
      </w:pPr>
    </w:p>
    <w:p w14:paraId="59A24EB2" w14:textId="77777777" w:rsidR="00A8138F" w:rsidRDefault="00A8138F" w:rsidP="00A8138F">
      <w:pPr>
        <w:pStyle w:val="TextoNormal"/>
      </w:pPr>
      <w:r>
        <w:t>325. En segundo lugar, la indeterminación temporal, al abarcar tales actos y acciones sin límite temporal alguno. Tanto los anteriores al 1 de noviembre de 2011, como los posteriores a dicha fecha y hasta el 13 de noviembre de 2023, comprendiendo los que se ejecuten con posterioridad a esta última fecha, incluso una vez entre en vigor la norma, lo que supone una patente de impunidad</w:t>
      </w:r>
      <w:r w:rsidRPr="00A8138F">
        <w:rPr>
          <w:i/>
        </w:rPr>
        <w:t xml:space="preserve"> —pro futu</w:t>
      </w:r>
      <w:r>
        <w:t>ro— vinculada al proceso independentista catalán (artículo 1.1 y 1.3 de la Ley de amnistía) y una indeterminación temporal absolutamente arbitraria e incompatible con los aludidos —en el preámbulo— fines de reconciliación institucional.</w:t>
      </w:r>
    </w:p>
    <w:p w14:paraId="3CA44FB1" w14:textId="77777777" w:rsidR="00A8138F" w:rsidRDefault="00A8138F" w:rsidP="00A8138F">
      <w:pPr>
        <w:pStyle w:val="TextoNormal"/>
      </w:pPr>
    </w:p>
    <w:p w14:paraId="136B9460" w14:textId="77777777" w:rsidR="00A8138F" w:rsidRDefault="00A8138F" w:rsidP="00A8138F">
      <w:pPr>
        <w:pStyle w:val="TextoNormal"/>
      </w:pPr>
      <w:r>
        <w:t>326. De lo anterior resulta que la Ley de amnistía establece un ámbito de indeterminación normativa que imposibilita la certeza de la norma y la previsibilidad de los resultados de su aplicación. La Ley de amnistía comporta una incertidumbre razonablemente insuperable acerca de la conducta exigible para cumplir con la norma y para prever sus efectos (STC 135/2018, de 13 de diciembre). La imprevisibilidad e indeterminación del supuesto de la norma la torna en irrazonable y desproporcionada en una materia especialmente sensible dado su carácter penal y por tanto afectante a la libertad de los ciudadanos (artículo 17 CE).</w:t>
      </w:r>
    </w:p>
    <w:p w14:paraId="126BEF4D" w14:textId="77777777" w:rsidR="00A8138F" w:rsidRDefault="00A8138F" w:rsidP="00A8138F">
      <w:pPr>
        <w:pStyle w:val="TextoNormal"/>
      </w:pPr>
    </w:p>
    <w:p w14:paraId="0DE6D4E3" w14:textId="77777777" w:rsidR="00A8138F" w:rsidRDefault="00A8138F" w:rsidP="00A8138F">
      <w:pPr>
        <w:pStyle w:val="TextoNormal"/>
      </w:pPr>
      <w:r>
        <w:t>(</w:t>
      </w:r>
      <w:r w:rsidRPr="00A8138F">
        <w:rPr>
          <w:i/>
        </w:rPr>
        <w:t>vi) Control de constitucionalidad reforzado sobre leyes singulares: exigencia de justificación objetiva y análisis contex</w:t>
      </w:r>
      <w:r>
        <w:t>tual</w:t>
      </w:r>
    </w:p>
    <w:p w14:paraId="6995A66C" w14:textId="77777777" w:rsidR="00A8138F" w:rsidRDefault="00A8138F" w:rsidP="00A8138F">
      <w:pPr>
        <w:pStyle w:val="TextoNormal"/>
      </w:pPr>
    </w:p>
    <w:p w14:paraId="6F0B72D7" w14:textId="77777777" w:rsidR="00A8138F" w:rsidRDefault="00A8138F" w:rsidP="00A8138F">
      <w:pPr>
        <w:pStyle w:val="TextoNormal"/>
      </w:pPr>
      <w:r>
        <w:t>327. Es cierto que el legislador tiene la facultad de aprobar normas que se refieran a un supuesto de hecho concreto y singular, y cuyo contenido y efectos queden limitados a la resolución de esa situación particular. Ahora bien, en esos casos, en los que la norma se dicta para una situación singular o excepcional, dado que carece de las notas típicas de generalidad y abstracción, es necesario comprobar que la norma no introduce una diferencia de trato arbitraria o carente de justificación objetiva (véanse, entre otras, las SSTC 166/1986, FJ 11; 129/2013, de 4 de junio, FJ 4, y 233/2015, de 5 de noviembre, FJ 15).</w:t>
      </w:r>
    </w:p>
    <w:p w14:paraId="60D18FE5" w14:textId="77777777" w:rsidR="00A8138F" w:rsidRDefault="00A8138F" w:rsidP="00A8138F">
      <w:pPr>
        <w:pStyle w:val="TextoNormal"/>
      </w:pPr>
    </w:p>
    <w:p w14:paraId="1E8C6C06" w14:textId="77777777" w:rsidR="00A8138F" w:rsidRDefault="00A8138F" w:rsidP="00A8138F">
      <w:pPr>
        <w:pStyle w:val="TextoNormal"/>
      </w:pPr>
      <w:r>
        <w:t>328. Si bien la ley, como expresión de la voluntad general, goza de una presunción de constitucionalidad, de modo que quien alegue su carácter arbitrario debe acreditar que la medida legislativa genera una discriminación normativa o carece de una justificación racional mínima.</w:t>
      </w:r>
    </w:p>
    <w:p w14:paraId="321F44CE" w14:textId="77777777" w:rsidR="00A8138F" w:rsidRDefault="00A8138F" w:rsidP="00A8138F">
      <w:pPr>
        <w:pStyle w:val="TextoNormal"/>
      </w:pPr>
    </w:p>
    <w:p w14:paraId="2A40519B" w14:textId="77777777" w:rsidR="00A8138F" w:rsidRDefault="00A8138F" w:rsidP="00A8138F">
      <w:pPr>
        <w:pStyle w:val="TextoNormal"/>
      </w:pPr>
      <w:r>
        <w:t>329. No bastará, en ningún caso, con expresar una simple discrepancia política respecto al contenido de la norma para considerar fundada una acusación de inconstitucionalidad dirigida contra el legislador (STC 49/2008, de 9 de abril, FJ 3).</w:t>
      </w:r>
    </w:p>
    <w:p w14:paraId="68FC85C7" w14:textId="77777777" w:rsidR="00A8138F" w:rsidRDefault="00A8138F" w:rsidP="00A8138F">
      <w:pPr>
        <w:pStyle w:val="TextoNormal"/>
      </w:pPr>
    </w:p>
    <w:p w14:paraId="7504ADA5" w14:textId="77777777" w:rsidR="00A8138F" w:rsidRDefault="00A8138F" w:rsidP="00A8138F">
      <w:pPr>
        <w:pStyle w:val="TextoNormal"/>
      </w:pPr>
      <w:r>
        <w:t>330. En el marco de la aplicación del canon de razonabilidad —o, alternativamente, del requisito de existencia de una justificación objetiva orientada a una finalidad constitucionalmente legítima—, como hemos adelantado, el análisis no puede circunscribirse a una dimensión meramente formal ni prescindir del contexto político y normativo en el que se inserta la disposición cuestionada. Tal consideración contextual, como ya se ha explicitado, resulta indispensable para valorar con precisión si la finalidad alegada posee un sustento real y no meramente aparente, conforme a la doctrina constituci</w:t>
      </w:r>
      <w:r w:rsidRPr="00A8138F">
        <w:rPr>
          <w:i/>
        </w:rPr>
        <w:t>ona</w:t>
      </w:r>
      <w:r>
        <w:t>l (vid. STC 122/2016).</w:t>
      </w:r>
    </w:p>
    <w:p w14:paraId="76AE3C4B" w14:textId="77777777" w:rsidR="00A8138F" w:rsidRDefault="00A8138F" w:rsidP="00A8138F">
      <w:pPr>
        <w:pStyle w:val="TextoNormal"/>
      </w:pPr>
    </w:p>
    <w:p w14:paraId="4A0EC0A5" w14:textId="77777777" w:rsidR="00A8138F" w:rsidRDefault="00A8138F" w:rsidP="00A8138F">
      <w:pPr>
        <w:pStyle w:val="TextoNormal"/>
      </w:pPr>
      <w:r>
        <w:t>(v</w:t>
      </w:r>
      <w:r w:rsidRPr="00A8138F">
        <w:rPr>
          <w:i/>
        </w:rPr>
        <w:t>ii) Inexistencia de una finalidad constitucionalmente legítima. Circunstancias político-institucionales que motivaron la aprobación de la Ley de amnistía: investidura a cambio de impun</w:t>
      </w:r>
      <w:r>
        <w:t>idad</w:t>
      </w:r>
    </w:p>
    <w:p w14:paraId="542EBA61" w14:textId="77777777" w:rsidR="00A8138F" w:rsidRDefault="00A8138F" w:rsidP="00A8138F">
      <w:pPr>
        <w:pStyle w:val="TextoNormal"/>
      </w:pPr>
    </w:p>
    <w:p w14:paraId="7D1719B5" w14:textId="77777777" w:rsidR="00A8138F" w:rsidRDefault="00A8138F" w:rsidP="00A8138F">
      <w:pPr>
        <w:pStyle w:val="TextoNormal"/>
      </w:pPr>
      <w:r>
        <w:t>331. En este contexto, resulta imprescindible considerar las circunstancias político-institucionales que motivaron la presentación de la proposición de ley objeto de análisis y a las que ya nos hemos referido. Como se ha indicado, la proposición convertida en la Ley de amnistía encuentra su origen inmediato en el acuerdo político alcanzado entre el Partido Socialista Obrero Español y la formación política Junts per Catalunya en el marco de las negociaciones y en el logro de los votos necesarios para la investidura del señor Sánchez como presidente del Gobierno.</w:t>
      </w:r>
    </w:p>
    <w:p w14:paraId="579D7C45" w14:textId="77777777" w:rsidR="00A8138F" w:rsidRDefault="00A8138F" w:rsidP="00A8138F">
      <w:pPr>
        <w:pStyle w:val="TextoNormal"/>
      </w:pPr>
    </w:p>
    <w:p w14:paraId="43EA2BDC" w14:textId="77777777" w:rsidR="00A8138F" w:rsidRDefault="00A8138F" w:rsidP="00A8138F">
      <w:pPr>
        <w:pStyle w:val="TextoNormal"/>
      </w:pPr>
      <w:r>
        <w:t>332. Del contenido de dicho acuerdo se desprende el compromiso del PSOE de impulsar la tramitación de una ley de amnistía que abarque “tanto a los responsables como a los ciudadanos que, antes y después de la consulta de 2014 y del referéndum de 2017, han sido objeto de decisiones o procesos judiciales vinculados a esos eventos”, mientras que, en contrapartida, Junts per Catalunya se comprometía a prestar su apoyo a la investidura del candidato socialista. La estrecha vinculación entre la tramitación de la proposición de ley y el proceso de investidura se evidencia, entre otros extremos, en el hecho de que el mismo día en que se registra la proposición de ley en el Congreso de los Diputados, la presidenta del Congreso convoca las sesiones de investidura para dos días después.</w:t>
      </w:r>
    </w:p>
    <w:p w14:paraId="0EB819D0" w14:textId="77777777" w:rsidR="00A8138F" w:rsidRDefault="00A8138F" w:rsidP="00A8138F">
      <w:pPr>
        <w:pStyle w:val="TextoNormal"/>
      </w:pPr>
    </w:p>
    <w:p w14:paraId="67E6D5E8" w14:textId="77777777" w:rsidR="00A8138F" w:rsidRDefault="00A8138F" w:rsidP="00A8138F">
      <w:pPr>
        <w:pStyle w:val="TextoNormal"/>
      </w:pPr>
      <w:r>
        <w:t>333. Desde el punto de vista político y discursivo, los argumentos esgrimidos por el candidato a la Presidencia del Gobierno, así como los recogidos en el preámbulo de la propia iniciativa legislativa, apelan a la superación de la fractura territorial y social abierta tras los acontecimientos del 1 de octubre de 2017, subrayando la necesidad de avanzar hacia un escenario de diálogo, entendimiento y reconciliación. En esta línea, se presentan como objetivos de la amnistía el restablecimiento de la convivencia, la reconstrucción de puentes políticos y el fortalecimiento del reencuentro entre instituciones y ciudadanos. Finalidades incompatibles con la intensa controversia y división que precisamente se ha generado en España como consecuencia de su aprobación.</w:t>
      </w:r>
    </w:p>
    <w:p w14:paraId="7CB0FBFC" w14:textId="77777777" w:rsidR="00A8138F" w:rsidRDefault="00A8138F" w:rsidP="00A8138F">
      <w:pPr>
        <w:pStyle w:val="TextoNormal"/>
      </w:pPr>
    </w:p>
    <w:p w14:paraId="2B9418E4" w14:textId="77777777" w:rsidR="00A8138F" w:rsidRDefault="00A8138F" w:rsidP="00A8138F">
      <w:pPr>
        <w:pStyle w:val="TextoNormal"/>
      </w:pPr>
      <w:r>
        <w:t>334. No obstante, estas justificaciones fueron rechazadas como fundamento del acuerdo alcanzado por la representante de Junts per Catalunya. En particular, la diputada doña Míriam Nogueras negó que se tratara de una amnistía y llegó a indicar que “si alguien dice que este acuerdo sirve para pasar página, engaña a los ciudadanos” y subrayó que en el texto del pacto “no aparece ni una sola vez la palabra diálogo”.</w:t>
      </w:r>
    </w:p>
    <w:p w14:paraId="685C3A1D" w14:textId="77777777" w:rsidR="00A8138F" w:rsidRDefault="00A8138F" w:rsidP="00A8138F">
      <w:pPr>
        <w:pStyle w:val="TextoNormal"/>
      </w:pPr>
    </w:p>
    <w:p w14:paraId="47524701" w14:textId="77777777" w:rsidR="00A8138F" w:rsidRDefault="00A8138F" w:rsidP="00A8138F">
      <w:pPr>
        <w:pStyle w:val="TextoNormal"/>
      </w:pPr>
      <w:r>
        <w:t>335. El discurso de la señora Nogueras era coherente con el acuerdo de investidura en el que constaba que “Junts considera legítimo el resultado y el mandato del referéndum del 1 de octubre, así como la declaración de independencia del 27 de octubre de 2017” y en la intervención de la representante de Junts en la investidura, fue mucho más explícita sobre el pacto alcanzado y reiteró que “el mandato del 1 de octubre está vigente y el compromiso con la independencia es irrenunciable, sin renuncias y sin engañar a nadie”.</w:t>
      </w:r>
    </w:p>
    <w:p w14:paraId="161CC12F" w14:textId="77777777" w:rsidR="00A8138F" w:rsidRDefault="00A8138F" w:rsidP="00A8138F">
      <w:pPr>
        <w:pStyle w:val="TextoNormal"/>
      </w:pPr>
    </w:p>
    <w:p w14:paraId="31199523" w14:textId="77777777" w:rsidR="00A8138F" w:rsidRDefault="00A8138F" w:rsidP="00A8138F">
      <w:pPr>
        <w:pStyle w:val="TextoNormal"/>
      </w:pPr>
      <w:r>
        <w:t>336. Las manifestaciones de la diputada aludida y el acuerdo de investidura alcanzado reavivan el discurso —sofocado por la actuación decidida de los poderes del Estado y de este tribunal—, en torno a la persistencia de la fractura territorial y social generada tras los acontecimientos acaecidos el 1 de octubre de 2017, y se distancian, por su incoherencia, de cualquier planteamiento orientado al diálogo institucional, la reconciliación o la reconstrucción de consensos políticos en los que el preámbulo de la Ley de amnistía pretende apuntalar la norma.</w:t>
      </w:r>
    </w:p>
    <w:p w14:paraId="377EFABF" w14:textId="77777777" w:rsidR="00A8138F" w:rsidRDefault="00A8138F" w:rsidP="00A8138F">
      <w:pPr>
        <w:pStyle w:val="TextoNormal"/>
      </w:pPr>
    </w:p>
    <w:p w14:paraId="46B506B1" w14:textId="77777777" w:rsidR="00A8138F" w:rsidRDefault="00A8138F" w:rsidP="00A8138F">
      <w:pPr>
        <w:pStyle w:val="TextoNormal"/>
      </w:pPr>
      <w:r>
        <w:t>337. En lugar de contribuir a un marco de superación del conflicto, dichas declaraciones reactivan el significado político atribuido al referéndum celebrado el 1 de octubre de 2017, cuya base normativa se encontraba en la Ley del Parlamento de Cataluña 19/2017, de 6 de septiembre, del referéndum de autodeterminación (en adelante, Ley del Parlamento de Cataluña 19/2017).</w:t>
      </w:r>
    </w:p>
    <w:p w14:paraId="7685B1D9" w14:textId="77777777" w:rsidR="00A8138F" w:rsidRDefault="00A8138F" w:rsidP="00A8138F">
      <w:pPr>
        <w:pStyle w:val="TextoNormal"/>
      </w:pPr>
    </w:p>
    <w:p w14:paraId="43CCD9C2" w14:textId="77777777" w:rsidR="00A8138F" w:rsidRDefault="00A8138F" w:rsidP="00A8138F">
      <w:pPr>
        <w:pStyle w:val="TextoNormal"/>
      </w:pPr>
      <w:r>
        <w:t>338. Precisamente la Ley del Parlamento de Cataluña 19/2017 atribuía al referéndum carácter vinculante (artículo 4), estableciendo expresamente que, en caso de que el número de votos afirmativos superara al de los negativos, ello implicaría el reconocimiento de la independencia de Cataluña (artículo 4.4 de la Ley 19/2017).</w:t>
      </w:r>
    </w:p>
    <w:p w14:paraId="0FC924B9" w14:textId="77777777" w:rsidR="00A8138F" w:rsidRDefault="00A8138F" w:rsidP="00A8138F">
      <w:pPr>
        <w:pStyle w:val="TextoNormal"/>
      </w:pPr>
    </w:p>
    <w:p w14:paraId="401AA310" w14:textId="77777777" w:rsidR="00A8138F" w:rsidRDefault="00A8138F" w:rsidP="00A8138F">
      <w:pPr>
        <w:pStyle w:val="TextoNormal"/>
      </w:pPr>
      <w:r>
        <w:t>339. Al sugerir de manera implícita la vigencia política tanto del marco normativo que dio cobertura al referéndum del 1 de octubre de 2017 como de sus resultados, la diputada desvincula la iniciativa legislativa de los objetivos de reconciliación y restablecimiento de la convivencia que se proclaman en el preámbulo de la ley. En su lugar, dicha intervención contribuye a reactivar el conflicto institucional que fue reconducido mediante la intervención decidida de este tribunal, de la jurisdicción ordinaria y de las propias Cortes Generales. Esta proyección resulta difícilmente conciliable con la finalidad alegada por la Ley de amnistía, que, en tales condiciones, se ve desprovista y huérfana de una justificación material que respalde su proclamada orientación integradora.</w:t>
      </w:r>
    </w:p>
    <w:p w14:paraId="511F4142" w14:textId="77777777" w:rsidR="00A8138F" w:rsidRDefault="00A8138F" w:rsidP="00A8138F">
      <w:pPr>
        <w:pStyle w:val="TextoNormal"/>
      </w:pPr>
    </w:p>
    <w:p w14:paraId="76E10B5B" w14:textId="77777777" w:rsidR="00A8138F" w:rsidRDefault="00A8138F" w:rsidP="00A8138F">
      <w:pPr>
        <w:pStyle w:val="TextoNormal"/>
      </w:pPr>
      <w:r>
        <w:t>340. La Ley del Parlamento de Cataluña 19/2017, de 6 de septiembre, fue declarada inconstitucional por la STC 114/2017, de 17 de octubre, que anuló su contenido por contravenir de forma directa los principios estructurales del orden constitucional español. En dicha resolución, el Tribunal señaló que el referéndum convocado al amparo de dicha ley “no puede entenderse celebrado en Derecho, ni verificada por tanto aquella condición, dada la suspensión de la que fue objeto la Ley 19/2017 […] por providencia de 7 de septiembre de 2017”.</w:t>
      </w:r>
    </w:p>
    <w:p w14:paraId="19988C93" w14:textId="77777777" w:rsidR="00A8138F" w:rsidRDefault="00A8138F" w:rsidP="00A8138F">
      <w:pPr>
        <w:pStyle w:val="TextoNormal"/>
      </w:pPr>
    </w:p>
    <w:p w14:paraId="50877534" w14:textId="77777777" w:rsidR="00A8138F" w:rsidRDefault="00A8138F" w:rsidP="00A8138F">
      <w:pPr>
        <w:pStyle w:val="TextoNormal"/>
      </w:pPr>
      <w:r>
        <w:t>341. La STC 114/2017 afirma de forma expresa que el contenido de la ley autonómica —que el acuerdo de investidura que justifica la Ley de amnistía pretende retomar— vulnera principios esenciales del orden constitucional, tales como la soberanía nacional, atribuida al conjunto del pueblo español, la unidad de la Nación, configurada como Estado social y democrático de Derecho, y la supremacía de la Constitución, que obliga a todos los poderes públicos, incluidos los órganos representativos autonómicos como el Parlamento de Cataluña (artículos 1.1, 1.2, 2 y 9.1 CE).</w:t>
      </w:r>
    </w:p>
    <w:p w14:paraId="074C592A" w14:textId="77777777" w:rsidR="00A8138F" w:rsidRDefault="00A8138F" w:rsidP="00A8138F">
      <w:pPr>
        <w:pStyle w:val="TextoNormal"/>
      </w:pPr>
    </w:p>
    <w:p w14:paraId="1AEF427A" w14:textId="77777777" w:rsidR="00A8138F" w:rsidRDefault="00A8138F" w:rsidP="00A8138F">
      <w:pPr>
        <w:pStyle w:val="TextoNormal"/>
      </w:pPr>
      <w:r>
        <w:t>342. Conviene recordar que mediante las providencias de 7 de septiembre de 2017, el Tribunal Constitucional acordó la suspensión cautelar de diversos actos normativos y administrativos dictados por las autoridades catalanas, los cuales dieron lugar posteriormente a la apertura de procesos penales por desobediencia contra responsables políticos y altos cargos públicos. Entre los actos suspendidos se incluyen: la Resolución 807/XI, por la que se designan los miembros de la Sindicatura Electoral de Cataluña; el Decreto 140/2017, de 6 de septiembre, de normas complementarias para la celebración del referéndum de autodeterminación de Cataluña, y el Decreto 139/2017, de 6 de septiembre, de convocatoria del referéndum de autodeterminación de Cataluña. Pese a estas suspensiones, la consulta fue llevada a cabo, lo que desencadenó graves alteraciones del orden público e institucional.</w:t>
      </w:r>
    </w:p>
    <w:p w14:paraId="1959E138" w14:textId="77777777" w:rsidR="00A8138F" w:rsidRDefault="00A8138F" w:rsidP="00A8138F">
      <w:pPr>
        <w:pStyle w:val="TextoNormal"/>
      </w:pPr>
    </w:p>
    <w:p w14:paraId="192E0CFF" w14:textId="77777777" w:rsidR="00A8138F" w:rsidRDefault="00A8138F" w:rsidP="00A8138F">
      <w:pPr>
        <w:pStyle w:val="TextoNormal"/>
      </w:pPr>
      <w:r>
        <w:t>343. El reconocimiento de la vigencia del mandato del 1 de octubre de 2017 que la justifica es incompatible con la consecución de un interés general, la búsqueda de la mejora de la convivencia y la cohesión social o la integración de las diversas sensibilidades políticas, razones estas expuestas, entre otras similares por el preámbulo de la ley. Menos aún con “superar las tensiones referidas y eliminar algunas de las circunstancias que provocan la desafección que mantiene alejada de las instituciones estatales a una parte de la población” o con “garantizar la convivencia dentro del Estado de Derecho, y generar un contexto social, político e institucional que fomente la estabilidad económica y el progreso cultural y social tanto de Cataluña como del conjunto de España, sirviendo al mismo tiempo de base para la superación de un conflicto político”.</w:t>
      </w:r>
    </w:p>
    <w:p w14:paraId="45692006" w14:textId="77777777" w:rsidR="00A8138F" w:rsidRDefault="00A8138F" w:rsidP="00A8138F">
      <w:pPr>
        <w:pStyle w:val="TextoNormal"/>
      </w:pPr>
    </w:p>
    <w:p w14:paraId="7B258973" w14:textId="77777777" w:rsidR="00A8138F" w:rsidRDefault="00A8138F" w:rsidP="00A8138F">
      <w:pPr>
        <w:pStyle w:val="TextoNormal"/>
      </w:pPr>
      <w:r>
        <w:t>344. El acuerdo de investidura, verdadero germen de la Ley de amnistía, nada tiene que ver con esas razones, sino todo lo contrario, lograr el apoyo parlamentario necesario para la investidura, aunque comporte reactivar la sofocada vía soberanista que tanto conflicto generó al socavar los fundamentos de la Constitución y la unidad misma de la Nación.</w:t>
      </w:r>
    </w:p>
    <w:p w14:paraId="0C0117CD" w14:textId="77777777" w:rsidR="00A8138F" w:rsidRDefault="00A8138F" w:rsidP="00A8138F">
      <w:pPr>
        <w:pStyle w:val="TextoNormal"/>
      </w:pPr>
    </w:p>
    <w:p w14:paraId="1A0E22EF" w14:textId="77777777" w:rsidR="00A8138F" w:rsidRDefault="00A8138F" w:rsidP="00A8138F">
      <w:pPr>
        <w:pStyle w:val="TextoNormal"/>
      </w:pPr>
      <w:r>
        <w:t>345. La reivindicación del mandato del 1 de octubre de 2017 es la expresión de lo contrario a lo expresado para la justificación de la norma. Es la manifestación expresa de la voluntad de no acatar los pronunciamientos del Tribunal Constitucional. La portavoz de la formación parlamentaria Junts manifestó de forma inequívoca que “si alguien dice que este acuerdo sirve para pasar página, engaña a los ciudadanos”. Esta declaración revela una disonancia significativa entre las finalidades expresadas en el preámbulo de la Ley de amnistía y la verdadera razón subyacente a su tramitación legislativa.</w:t>
      </w:r>
    </w:p>
    <w:p w14:paraId="724398FA" w14:textId="77777777" w:rsidR="00A8138F" w:rsidRDefault="00A8138F" w:rsidP="00A8138F">
      <w:pPr>
        <w:pStyle w:val="TextoNormal"/>
      </w:pPr>
    </w:p>
    <w:p w14:paraId="4789D12C" w14:textId="77777777" w:rsidR="00A8138F" w:rsidRDefault="00A8138F" w:rsidP="00A8138F">
      <w:pPr>
        <w:pStyle w:val="TextoNormal"/>
      </w:pPr>
      <w:r>
        <w:t>346. En efecto, lejos de fundarse en criterios de reconciliación o restablecimiento de la convivencia, la norma aparece directamente vinculada a un acuerdo político en virtud del cual se ofrece la exoneración de responsabilidades penales a cambio de apoyos parlamentarios. Esta circunstancia introduce un elemento de arbitrariedad en el proceso legislativo y plantea una seria quiebra del principio de sujeción de todos los poderes públicos a la Constitución (artículo 9.1 CE), afectando gravemente a los fundamentos del Estado de Derecho.</w:t>
      </w:r>
    </w:p>
    <w:p w14:paraId="2C79425A" w14:textId="77777777" w:rsidR="00A8138F" w:rsidRDefault="00A8138F" w:rsidP="00A8138F">
      <w:pPr>
        <w:pStyle w:val="TextoNormal"/>
      </w:pPr>
    </w:p>
    <w:p w14:paraId="1316EC7D" w14:textId="77777777" w:rsidR="00A8138F" w:rsidRDefault="00A8138F" w:rsidP="00A8138F">
      <w:pPr>
        <w:pStyle w:val="TextoNormal"/>
      </w:pPr>
      <w:r>
        <w:t>347. Adicionalmente, conforme a la doctrina establecida por el Tribunal Constitucional en su STC 76/1986, de 9 de junio, FJ 2, la única justificación que podría eventualmente legitimar una medida de amnistía en un sistema constitucional plenamente operativo sería que las conductas penalmente reprochadas hubieran tenido lugar en el marco de un régimen político superado y se consideraran ajenas a la noción misma de justicia, por haber sido sancionadas desde un orden incompatible con los valores del nuevo sistema democrático. Sin embargo, tal ruptura de legalidad o transformación del régimen político no se ha producido en el presente caso, por lo que ninguna de esas condiciones excepcionales concurre. En consecuencia, la amnistía no encuentra sustento en ninguna causa jurídicamente atendible dentro del marco constitucional vigente.</w:t>
      </w:r>
    </w:p>
    <w:p w14:paraId="204DF3ED" w14:textId="77777777" w:rsidR="00A8138F" w:rsidRDefault="00A8138F" w:rsidP="00A8138F">
      <w:pPr>
        <w:pStyle w:val="TextoNormal"/>
      </w:pPr>
    </w:p>
    <w:p w14:paraId="5F9D2B5D" w14:textId="77777777" w:rsidR="00A8138F" w:rsidRDefault="00A8138F" w:rsidP="00A8138F">
      <w:pPr>
        <w:pStyle w:val="TextoNormal"/>
      </w:pPr>
      <w:r>
        <w:t>348. A la luz de lo expuesto, se constata la ausencia de una justificación razonable que sustente la decisión del legislador de aprobar una ley de amnistía diseñada para la exoneración de responsabilidad penal, administrativa o contable de determinados líderes políticos junto con un conjunto indeterminado de personas investigadas, sancionadas o condenadas por delitos cometidos bajo el impulso de una específica orientación ideológica o sin dicha orientación pero conexos o vinculados de algún modo con aquellos o con quienes lideraron los intentos de secesión e independencia.</w:t>
      </w:r>
    </w:p>
    <w:p w14:paraId="21B86750" w14:textId="77777777" w:rsidR="00A8138F" w:rsidRDefault="00A8138F" w:rsidP="00A8138F">
      <w:pPr>
        <w:pStyle w:val="TextoNormal"/>
      </w:pPr>
    </w:p>
    <w:p w14:paraId="75AD38F1" w14:textId="77777777" w:rsidR="00A8138F" w:rsidRDefault="00A8138F" w:rsidP="00A8138F">
      <w:pPr>
        <w:pStyle w:val="TextoNormal"/>
      </w:pPr>
      <w:r>
        <w:t>349. Buena parte de esas personas eran perfectamente identificables en los debates parlamentarios como ex altos cargos del Gobierno y del Parlamento de Cataluña pertenecientes a los grupos parlamentarios Junts y Esquerra Republicana, cuyos diputados, con sus votos, fueron determinantes para aprobar la Ley de amnistía.</w:t>
      </w:r>
    </w:p>
    <w:p w14:paraId="558B8027" w14:textId="77777777" w:rsidR="00A8138F" w:rsidRDefault="00A8138F" w:rsidP="00A8138F">
      <w:pPr>
        <w:pStyle w:val="TextoNormal"/>
      </w:pPr>
    </w:p>
    <w:p w14:paraId="3E86FEC7" w14:textId="77777777" w:rsidR="00A8138F" w:rsidRDefault="00A8138F" w:rsidP="00A8138F">
      <w:pPr>
        <w:pStyle w:val="TextoNormal"/>
      </w:pPr>
      <w:r>
        <w:t>350. La Comisión de Venecia, en la opinión antes referida, advierte del consenso existente en la prohibición de las “autoamnistías”, esto es, de la medida legislativa por la cual los propios responsables o beneficiarios del ejercicio del poder público aprueban una norma que les exime de responsabilidad penal o administrativa por hechos ilícitos cometidos, normalmente durante su ejercicio del poder.</w:t>
      </w:r>
    </w:p>
    <w:p w14:paraId="12251975" w14:textId="77777777" w:rsidR="00A8138F" w:rsidRDefault="00A8138F" w:rsidP="00A8138F">
      <w:pPr>
        <w:pStyle w:val="TextoNormal"/>
      </w:pPr>
    </w:p>
    <w:p w14:paraId="1C90C715" w14:textId="77777777" w:rsidR="00A8138F" w:rsidRDefault="00A8138F" w:rsidP="00A8138F">
      <w:pPr>
        <w:pStyle w:val="TextoNormal"/>
      </w:pPr>
      <w:r>
        <w:t>351. Esta medida, por tanto, no puede entenderse como una expresión legítima del margen de configuración normativa del legislador, en la medida en que no responde a los estándares constitucionales exigibles cuando se afecta el núcleo de los principios y derechos fundamentales. No existen esas supuestas razones de interés general sino la desnaturalizada utilización del instrumento de la amnistía como medio al servicio del interés particular de alcanzar la Presidencia del Gobierno con menoscabo de la interdicción de la arbitrariedad de los poderes públicos (artículo 9.3 CE) y con la consecuencia de degradar la democracia constitucional.</w:t>
      </w:r>
    </w:p>
    <w:p w14:paraId="146C084D" w14:textId="77777777" w:rsidR="00A8138F" w:rsidRDefault="00A8138F" w:rsidP="00A8138F">
      <w:pPr>
        <w:pStyle w:val="TextoNormal"/>
      </w:pPr>
    </w:p>
    <w:p w14:paraId="604E148F" w14:textId="77777777" w:rsidR="00A8138F" w:rsidRDefault="00A8138F" w:rsidP="00A8138F">
      <w:pPr>
        <w:pStyle w:val="TextoNormal"/>
      </w:pPr>
      <w:r>
        <w:t>352. En efecto, una norma de tan profundo impacto en el sistema constitucional —por su incidencia en los principios de igualdad, justicia, legalidad, independencia judicial y respeto a las resoluciones firmes— no puede eludir la exigencia de una motivación suficiente, racionalmente fundada y constitucionalmente legítima. Y aun en el supuesto de que existiese una finalidad constitucionalmente válida, la medida habría de superar un juicio de proporcionalidad que garantizase su necesidad e idoneidad para alcanzarla. Nada de ello concurre en el presente caso.</w:t>
      </w:r>
    </w:p>
    <w:p w14:paraId="3E70B111" w14:textId="77777777" w:rsidR="00A8138F" w:rsidRDefault="00A8138F" w:rsidP="00A8138F">
      <w:pPr>
        <w:pStyle w:val="TextoNormal"/>
      </w:pPr>
    </w:p>
    <w:p w14:paraId="70349226" w14:textId="77777777" w:rsidR="00A8138F" w:rsidRDefault="00A8138F" w:rsidP="00A8138F">
      <w:pPr>
        <w:pStyle w:val="TextoNormal"/>
      </w:pPr>
      <w:r>
        <w:t>353. Hemos afirmado que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19 de octubre, FJ 4, y 91/1993, de 15 de marzo, FJ 3), cabría estimar que tal ley sería contraria al artículo 24.1 CE en relación con los arts. 117.3 y 118 CE, al faltar la debida proporción ‘entre la finalidad perseguida y el sacrificio impuesto’ (STC 4/1988, de 21 de enero, FJ 5)” (STC 73/2000, de 14 de marzo, FJ 11).</w:t>
      </w:r>
    </w:p>
    <w:p w14:paraId="0A9FD528" w14:textId="77777777" w:rsidR="00A8138F" w:rsidRDefault="00A8138F" w:rsidP="00A8138F">
      <w:pPr>
        <w:pStyle w:val="TextoNormal"/>
      </w:pPr>
    </w:p>
    <w:p w14:paraId="215C541F" w14:textId="77777777" w:rsidR="00A8138F" w:rsidRDefault="00A8138F" w:rsidP="00A8138F">
      <w:pPr>
        <w:pStyle w:val="TextoNormal"/>
      </w:pPr>
      <w:r>
        <w:t>354. Tales “supuestos han de ser objeto de un escrutinio especialmente riguroso asentado sobre la interpretación más favorable al derecho a la ejecución de las resoluciones judiciales firmes como parte integrante del derecho fundamental a la tutela judicial efectiva (art. 24.1 CE), que se traduce en la ‘garantía de que el fallo se cumpla, impidiendo que las sentencias y los derechos en ellas reconocidos se conviertan en meras declaraciones de intenciones sin alcance práctico ni efectividad alguna’ (por todas, STC 223/2004, de 29 de noviembre, FJ 6)” (STC 50/2015, de 5 de marzo, FJ 8).</w:t>
      </w:r>
    </w:p>
    <w:p w14:paraId="0BF3C5BB" w14:textId="77777777" w:rsidR="00A8138F" w:rsidRDefault="00A8138F" w:rsidP="00A8138F">
      <w:pPr>
        <w:pStyle w:val="TextoNormal"/>
      </w:pPr>
    </w:p>
    <w:p w14:paraId="12118A4F" w14:textId="77777777" w:rsidR="00A8138F" w:rsidRDefault="00A8138F" w:rsidP="00A8138F">
      <w:pPr>
        <w:pStyle w:val="TextoNormal"/>
      </w:pPr>
      <w:r>
        <w:t>355. El Tribunal Europeo de Derechos Humanos, desde la perspectiva del derecho que recoge el artículo 6.1 del Convenio, en la STEDH de 28 de octubre de 1999, asunt</w:t>
      </w:r>
      <w:r w:rsidRPr="00A8138F">
        <w:rPr>
          <w:i/>
        </w:rPr>
        <w:t>o Zielinski y Pradal y otros c. Franc</w:t>
      </w:r>
      <w:r>
        <w:t>ia, ha subrayado que el principio de la preeminencia del proceso —judicial— y la noción de proceso equitativo se oponen, salvo por imperiosos motivos de interés general, a la intromisión del Poder Legislativo en la administración de justicia con el fin de influir en el pronunciamiento judicial.</w:t>
      </w:r>
    </w:p>
    <w:p w14:paraId="3134FF9B" w14:textId="77777777" w:rsidR="00A8138F" w:rsidRDefault="00A8138F" w:rsidP="00A8138F">
      <w:pPr>
        <w:pStyle w:val="TextoNormal"/>
      </w:pPr>
    </w:p>
    <w:p w14:paraId="73AC7777" w14:textId="77777777" w:rsidR="00A8138F" w:rsidRDefault="00A8138F" w:rsidP="00A8138F">
      <w:pPr>
        <w:pStyle w:val="TextoNormal"/>
      </w:pPr>
      <w:r>
        <w:t>356. Por tanto, la falta de justificación de la Ley de amnistía, y más aún, su carácter arbitrario, se erige así en un impedimento insalvable desde el punto de vista constitucional, al vulnerar principios esenciales como el derecho de igualdad (artículo 14 CE), el principio de exclusividad jurisdiccional (artículo 117.3 CE), el deber de cumplimiento de las resoluciones judiciales firmes (artículo 118 CE), así como el derecho a la tutela judicial efectiva de las víctimas, que ven cercenado su derecho a una investigación eficaz y completa (artículo 24.1 CE). Asimismo, se produce una quiebra del principio de igualdad, de la seguridad jurídica y de la interdicción de la arbitrariedad de los poderes públicos (artículos 14 y 9.3 CE), lo que compromete gravemente los fundamentos del Estado constitucional de Derecho.</w:t>
      </w:r>
    </w:p>
    <w:p w14:paraId="770B3150" w14:textId="77777777" w:rsidR="00A8138F" w:rsidRDefault="00A8138F" w:rsidP="00A8138F">
      <w:pPr>
        <w:pStyle w:val="TextoNormal"/>
      </w:pPr>
    </w:p>
    <w:p w14:paraId="72FD0108" w14:textId="77777777" w:rsidR="00A8138F" w:rsidRDefault="00A8138F" w:rsidP="00A8138F">
      <w:pPr>
        <w:pStyle w:val="TextoNormal"/>
      </w:pPr>
      <w:r>
        <w:t>(vi</w:t>
      </w:r>
      <w:r w:rsidRPr="00A8138F">
        <w:rPr>
          <w:i/>
        </w:rPr>
        <w:t>ii) Autoamnistía y erosión del Estado de Derecho: crítica al inadmisible reduccionismo conceptual del Tribunal Constituci</w:t>
      </w:r>
      <w:r>
        <w:t>onal</w:t>
      </w:r>
    </w:p>
    <w:p w14:paraId="59069855" w14:textId="77777777" w:rsidR="00A8138F" w:rsidRDefault="00A8138F" w:rsidP="00A8138F">
      <w:pPr>
        <w:pStyle w:val="TextoNormal"/>
      </w:pPr>
    </w:p>
    <w:p w14:paraId="138F006A" w14:textId="77777777" w:rsidR="00A8138F" w:rsidRDefault="00A8138F" w:rsidP="00A8138F">
      <w:pPr>
        <w:pStyle w:val="TextoNormal"/>
      </w:pPr>
      <w:r>
        <w:t>357. La afirmación que efectúa la sentencia en su fundamento jurídico 10, de que la categoría de autoamnistía resulta improcedente para analizar las medidas previstas en la Ley de amnistía revela una profunda desconexión con la realidad jurídica, política e institucional que rodea su aprobación. No basta con invocar el carácter democrático del procedimiento parlamentario para vaciar de contenido una noción, como la de la autoamnistía, que no se define por el régimen formal en el que se promulga la norma, sino por la sustancia del pacto político que la origina, sus beneficiarios y la instrumentalización del Poder Legislativo para bloquear la responsabilidad penal.</w:t>
      </w:r>
    </w:p>
    <w:p w14:paraId="22BFE1CA" w14:textId="77777777" w:rsidR="00A8138F" w:rsidRDefault="00A8138F" w:rsidP="00A8138F">
      <w:pPr>
        <w:pStyle w:val="TextoNormal"/>
      </w:pPr>
    </w:p>
    <w:p w14:paraId="082CF8EF" w14:textId="77777777" w:rsidR="00A8138F" w:rsidRDefault="00A8138F" w:rsidP="00A8138F">
      <w:pPr>
        <w:pStyle w:val="TextoNormal"/>
      </w:pPr>
      <w:r>
        <w:t>358. Resulta especialmente falaz el intento de oponer la Ley de amnistía a las autoamnistías propias de regímenes autoritarios, como si la existencia de un Parlamento plural y la libertad de mandato de los diputados bastara para eliminar toda sospecha de autoprotección. Esta visión formalista olvida que el Estado de Derecho no se garantiza solo por el procedimiento, sino también por el contenido de las normas y por el contexto en que se adoptan. En este caso, la Comisión Europea ha sido meridianamente clara en su análisis del asunto C-523/24: la Ley de amnistía presenta todos los rasgos definitorios de una autoamnistía. En primer lugar, porque su aprobación parlamentaria ha dependido de los votos de quienes resultan beneficiarios de la propia ley. En segundo lugar, porque su adopción forma parte de un acuerdo político para garantizar la investidura del Gobierno. Este trueque entre impunidad penal y apoyo institucional constituye, sin ambigüedad, una forma de inmunidad negociada, incompatible con el principio de igualdad ante la ley.</w:t>
      </w:r>
    </w:p>
    <w:p w14:paraId="534A2394" w14:textId="77777777" w:rsidR="00A8138F" w:rsidRDefault="00A8138F" w:rsidP="00A8138F">
      <w:pPr>
        <w:pStyle w:val="TextoNormal"/>
      </w:pPr>
    </w:p>
    <w:p w14:paraId="018CDB56" w14:textId="77777777" w:rsidR="00A8138F" w:rsidRDefault="00A8138F" w:rsidP="00A8138F">
      <w:pPr>
        <w:pStyle w:val="TextoNormal"/>
      </w:pPr>
      <w:r>
        <w:t>359. A ello se añade la doctrina de la Comisión de Venecia, antes referida, que alerta contra las autoamnistías como uno de los límites estructurales del poder de amnistiar en un Estado de Derecho. Según su informe sobre la proposición de ley de amnistía en Cataluña, son inadmisibles aquellas medidas que socavan el Poder Judicial o mediante las cuales los autores de los actos delictivos, o las instituciones que los protegieron, se otorgan inmunidad a sí mismos o a sus miembros, especialmente en contextos de cambio político. La Ley de amnistía cumple, punto por punto, esta definición: se aprueba por quienes necesitan el apoyo de sus beneficiarios, con el propósito explícito de normalizar una situación política que gira en torno a la impunidad de aquellos. Que no se trate de crímenes contra la humanidad no neutraliza el problema: el vicio estructural de la autoamnistía no reside en el tipo penal amnistiado, sino en la quiebra de los principios democráticos y en la apropiación ilegítima de la potestad legislativa.</w:t>
      </w:r>
    </w:p>
    <w:p w14:paraId="59D0D796" w14:textId="77777777" w:rsidR="00A8138F" w:rsidRDefault="00A8138F" w:rsidP="00A8138F">
      <w:pPr>
        <w:pStyle w:val="TextoNormal"/>
      </w:pPr>
    </w:p>
    <w:p w14:paraId="7D96884A" w14:textId="77777777" w:rsidR="00A8138F" w:rsidRDefault="00A8138F" w:rsidP="00A8138F">
      <w:pPr>
        <w:pStyle w:val="TextoNormal"/>
      </w:pPr>
      <w:r>
        <w:t>360. Finalmente, el argumento de la sentencia, según el cual no cabe hablar de autoamnistía porque los parlamentarios que aprobaron la Ley de amnistía no pueden beneficiarse de ella al ser inelegibles [art. 6.2 a) de la Ley Orgánica del régimen electoral general], no solo es insostenible, sino que representa una interpretación profundamente reduccionista y funcionalmente ciega del fenómeno de la autoamnistía. Al limitar su análisis al plano estrictamente individual, el Tribunal elude deliberadamente el verdadero problema institucional: la instrumentalización del Poder Legislativo para asegurar la impunidad penal de actores políticamente afines. La autoamnistía no exige que los diputados se libren personalmente de responsabilidad, sino que basta con que usen su mayoría para proteger a sus socios políticos, lo que aquí sucede de forma palmaria. La Ley de amnistía fue aprobada como pieza central de una negociación para investir al presidente del Gobierno, y sus efectos favorecen directamente a dirigentes de los partidos que sostienen esa mayoría.</w:t>
      </w:r>
    </w:p>
    <w:p w14:paraId="3DF5682B" w14:textId="77777777" w:rsidR="00A8138F" w:rsidRDefault="00A8138F" w:rsidP="00A8138F">
      <w:pPr>
        <w:pStyle w:val="TextoNormal"/>
      </w:pPr>
    </w:p>
    <w:p w14:paraId="674B43F6" w14:textId="77777777" w:rsidR="00A8138F" w:rsidRDefault="00A8138F" w:rsidP="00A8138F">
      <w:pPr>
        <w:pStyle w:val="TextoNormal"/>
      </w:pPr>
      <w:r>
        <w:t>361. Además, el hecho de que la amnistía se extienda también a personas que no ostentan cargos políticos no neutraliza su carácter de autoamnistía, pues la calificación no depende de la exclusividad de los beneficiarios, sino de si el núcleo impulsor de la norma utiliza el Poder Legislativo para garantizar impunidad a actores implicados en su propia legitimación y sostenimiento institucional.</w:t>
      </w:r>
    </w:p>
    <w:p w14:paraId="0A2C7BC2" w14:textId="77777777" w:rsidR="00A8138F" w:rsidRDefault="00A8138F" w:rsidP="00A8138F">
      <w:pPr>
        <w:pStyle w:val="TextoNormal"/>
      </w:pPr>
    </w:p>
    <w:p w14:paraId="58AEA6D1" w14:textId="77777777" w:rsidR="00A8138F" w:rsidRDefault="00A8138F" w:rsidP="00A8138F">
      <w:pPr>
        <w:pStyle w:val="TextoNormal"/>
      </w:pPr>
      <w:r>
        <w:t>362. En definitiva, la Ley de amnistía se inscribe plenamente en la noción de autoamnistía denunciada por las instituciones europeas. Negarlo es negar no solo los hechos políticos constatables, sino también los principios esenciales sobre los que se edifica el Estado de Derecho. Y hacerlo en nombre de una mayoría parlamentaria circunstancial es tanto como afirmar que la legalidad democrática puede ser utilizada para vaciar de contenido la democracia constitucional.</w:t>
      </w:r>
    </w:p>
    <w:p w14:paraId="75E41340" w14:textId="77777777" w:rsidR="00A8138F" w:rsidRPr="00A8138F" w:rsidRDefault="00A8138F" w:rsidP="00A8138F">
      <w:pPr>
        <w:pStyle w:val="TextoNormal"/>
        <w:rPr>
          <w:i/>
        </w:rPr>
      </w:pPr>
    </w:p>
    <w:p w14:paraId="399398B8" w14:textId="77777777" w:rsidR="00A8138F" w:rsidRDefault="00A8138F" w:rsidP="00A8138F">
      <w:pPr>
        <w:pStyle w:val="TextoNormal"/>
      </w:pPr>
      <w:r w:rsidRPr="00A8138F">
        <w:rPr>
          <w:i/>
        </w:rPr>
        <w:t>D) La Ley Orgánica 1/2024, de amnistía para la normalización institucional, política y social en Cataluña, vulnera los principios de interdicción de la arbitrariedad, legalidad y seguridad jurídica (artículos 9.3 y 25.1</w:t>
      </w:r>
      <w:r>
        <w:t xml:space="preserve"> CE)</w:t>
      </w:r>
    </w:p>
    <w:p w14:paraId="0E0C92D6" w14:textId="77777777" w:rsidR="00A8138F" w:rsidRDefault="00A8138F" w:rsidP="00A8138F">
      <w:pPr>
        <w:pStyle w:val="TextoNormal"/>
      </w:pPr>
    </w:p>
    <w:p w14:paraId="5B67FE39" w14:textId="77777777" w:rsidR="00A8138F" w:rsidRDefault="00A8138F" w:rsidP="00A8138F">
      <w:pPr>
        <w:pStyle w:val="TextoNormal"/>
      </w:pPr>
      <w:r>
        <w:t>a</w:t>
      </w:r>
      <w:r w:rsidRPr="00A8138F">
        <w:rPr>
          <w:i/>
        </w:rPr>
        <w:t xml:space="preserve">) La delimitación del ámbito objetivo de la Ley de amnistía vulnera los principios de igualdad e interdicción de la arbitrariedad (artículos 14 y 9.3 </w:t>
      </w:r>
      <w:r>
        <w:t>CE)</w:t>
      </w:r>
    </w:p>
    <w:p w14:paraId="2F66A671" w14:textId="77777777" w:rsidR="00A8138F" w:rsidRDefault="00A8138F" w:rsidP="00A8138F">
      <w:pPr>
        <w:pStyle w:val="TextoNormal"/>
      </w:pPr>
    </w:p>
    <w:p w14:paraId="33091604" w14:textId="77777777" w:rsidR="00A8138F" w:rsidRDefault="00A8138F" w:rsidP="00A8138F">
      <w:pPr>
        <w:pStyle w:val="TextoNormal"/>
      </w:pPr>
      <w:r>
        <w:t>363. Como se ha afirmado al examinar el supuesto de hecho de la Ley de amnistía como ley singular, en relación con el objeto, la Ley de amnistía comprende como amnistiables los actos o las acciones siguientes: reivindicar, promover, procurar, contribuir, financiar, sufragar, facilitar, divulgar, recabar información, adquirir conocimiento, lograr que se preste apoyo, convocar [artículo 1.1 a) y b)]; desobedecer, atentar, resistir, cualquier acto tipificado como delito, prevaricar, malversar, permitir, favorecer, coadyuvar, desconsiderar, criticar, agraviar, prestar público apoyo, mostrar apoyo [artículo 1.1 c) y d)], así como los actos “ejecutados en el marco de las consultas celebradas en Cataluña el 9 de noviembre de 2014 y el 1 de octubre de 2017, de su preparación o de sus consecuencias”, “las acciones ejecutadas en el contexto del denominado proceso independentista catalán, aunque no se encuentran relacionadas con las referidas consultas o hayan sido realizadas con posterioridad a su respectiva celebración”, y no solo los “actos, vinculados directa o indirectamente al denominado proceso independentista desarrollado en Cataluña”, sino también los directa o indirectamente vinculados “a sus líderes en el marco de ese proceso”, “así como cualesquiera otros que fueran materialmente conexos con tales acciones” [artículo 1.1 f)]. El ámbito objetivo de la amnistía se construye sobre un criterio ideológico, basado en la “intención de reivindicar, promover o procurar la secesión o independencia de Cataluña” tal como se recoge en el artículo 1.1 a) de la Ley de amnistía que carece de la razonabilidad en la aplicación del artículo 14 CE. Esto es, salvo determinadas actuaciones policiales [artículo 1.1 e) de la Ley de amnistía], los actos que carezcan de ese factor ideológico, aun cuando se hayan ejecutado en el marco o contexto del proceso independentista darán lugar a responsabilidad penal, administrativa y contable.</w:t>
      </w:r>
    </w:p>
    <w:p w14:paraId="1BD2656F" w14:textId="77777777" w:rsidR="00A8138F" w:rsidRDefault="00A8138F" w:rsidP="00A8138F">
      <w:pPr>
        <w:pStyle w:val="TextoNormal"/>
      </w:pPr>
    </w:p>
    <w:p w14:paraId="16EBEE5C" w14:textId="77777777" w:rsidR="00A8138F" w:rsidRDefault="00A8138F" w:rsidP="00A8138F">
      <w:pPr>
        <w:pStyle w:val="TextoNormal"/>
      </w:pPr>
      <w:r>
        <w:t>364. Aun aceptando, a los solos efectos dialécticos, la finalidad de la norma expresada en el preámbulo: “procurar la normalización institucional”, no estaría justificado —y esto sí lo reconoce la sentencia en el fundamento jurídico 8.3.4, al declarar la inconstitucionalidad parcial por omisión— que únicamente se amnistíe a quienes cometieron delitos o los sigan cometiendo (artículo 1.3, párrafo segundo, de la Ley de amnistía) en el contexto que define la norma con intencionalidad secesionista o independentista, y no a los que los cometieron o sigan cometiéndolos con la contraria, igualmente lícita: esto es, la “intención de defender, preservar o fortalecer la unidad constitucional de España y el respeto al orden territorial establecido” o vinculados directa o indirectamente a dicha finalidad o a sus líderes o conexos con la misma.</w:t>
      </w:r>
    </w:p>
    <w:p w14:paraId="25F2E7A5" w14:textId="77777777" w:rsidR="00A8138F" w:rsidRDefault="00A8138F" w:rsidP="00A8138F">
      <w:pPr>
        <w:pStyle w:val="TextoNormal"/>
      </w:pPr>
    </w:p>
    <w:p w14:paraId="702A13DC" w14:textId="77777777" w:rsidR="00A8138F" w:rsidRDefault="00A8138F" w:rsidP="00A8138F">
      <w:pPr>
        <w:pStyle w:val="TextoNormal"/>
      </w:pPr>
      <w:r>
        <w:t>b</w:t>
      </w:r>
      <w:r w:rsidRPr="00A8138F">
        <w:rPr>
          <w:i/>
        </w:rPr>
        <w:t>) Crítica a la argumentación utilizada al resolver la queja sobre la quiebra del principio de igualdad. De intérprete a defensor de la ley: falacias argumentativas y apologías implícit</w:t>
      </w:r>
      <w:r>
        <w:t>as</w:t>
      </w:r>
    </w:p>
    <w:p w14:paraId="1BAD4010" w14:textId="77777777" w:rsidR="00A8138F" w:rsidRDefault="00A8138F" w:rsidP="00A8138F">
      <w:pPr>
        <w:pStyle w:val="TextoNormal"/>
      </w:pPr>
    </w:p>
    <w:p w14:paraId="711DE242" w14:textId="77777777" w:rsidR="00A8138F" w:rsidRDefault="00A8138F" w:rsidP="00A8138F">
      <w:pPr>
        <w:pStyle w:val="TextoNormal"/>
      </w:pPr>
      <w:r>
        <w:t>365. Ciertamente, la sentencia reconoce esta objeción —la existencia de un trato desigual por razón de la ideología entre situaciones sustancialmente análogas—, pero no podemos por menos destacar que lo hace empleando unos argumentos —en el fundamento jurídico 8.3.4 a)— que carecen de rigor jurídico y resultan difícilmente conciliables con los principios más elementales de racionalidad normativa. Algunas de las comparaciones que se introducen a modo de ejemplo —como la equiparación entre el manifestante que lanza una piedra en el marco de una protesta independentista y aquel que lo hace en el contexto de un desahucio, o la sorprendente contraposición de aquellos con las conductas de los funcionarios de policía y otros empleados públicos, como un director de colegio, que velaron por cumplir las órdenes de este tribunal— no solo sobresaltan al lector por su falta de coherencia, sino que provocan una comprensible repulsión intelectual, al situar en un mismo plano a quienes actuaron en defensa del orden constitucional y a quienes, por el contrario, lo pretendieron quebrantar.</w:t>
      </w:r>
    </w:p>
    <w:p w14:paraId="52684C41" w14:textId="77777777" w:rsidR="00A8138F" w:rsidRDefault="00A8138F" w:rsidP="00A8138F">
      <w:pPr>
        <w:pStyle w:val="TextoNormal"/>
      </w:pPr>
    </w:p>
    <w:p w14:paraId="49477903" w14:textId="77777777" w:rsidR="00A8138F" w:rsidRDefault="00A8138F" w:rsidP="00A8138F">
      <w:pPr>
        <w:pStyle w:val="TextoNormal"/>
      </w:pPr>
      <w:r>
        <w:t>366. De este modo, la introducción de ejemplos improcedentes resulta innecesaria y contribuye a menoscabar la solidez argumentativa que debe exigirse a una sentencia de este tribunal en relación con el control de constitucionalidad de una ley de tanta trascendencia. Bastaba con razonar, con la sobriedad y precisión propias del juicio de constitucionalidad, que el precepto impugnado incurre en una infracción del orden constitucional al establecer una diferenciación carente de justificación objetiva y razonable, vulnerando así los principios de igualdad ante la ley y de interdicción de la arbitrariedad de los poderes públicos (artículos 14 y 9.3 CE). En efecto, al tomar como criterio diferenciador la ideología que inspira al autor de la conducta infractora —desvinculándola del fin declarado de la norma—, se consagra una distinción normativa que no solo carece de conexión racional con el interés general, sino que resulta constitucionalmente inadmisible.</w:t>
      </w:r>
    </w:p>
    <w:p w14:paraId="7E7DA515" w14:textId="77777777" w:rsidR="00A8138F" w:rsidRDefault="00A8138F" w:rsidP="00A8138F">
      <w:pPr>
        <w:pStyle w:val="TextoNormal"/>
      </w:pPr>
    </w:p>
    <w:p w14:paraId="294DBB03" w14:textId="77777777" w:rsidR="00A8138F" w:rsidRDefault="00A8138F" w:rsidP="00A8138F">
      <w:pPr>
        <w:pStyle w:val="TextoNormal"/>
      </w:pPr>
      <w:r>
        <w:t>367. No podemos detener el análisis del fundamento jurídico 8.3.4, sin hacer referencia también a su apartado b). Debe indicarse que la insistencia con la que la sentencia destaca la exclusión de la responsabilidad civil del ámbito de aplicación de la Ley de amnistía, en virtud del artículo 8.2 de la Ley de amnistía, no solo resulta ajena a la cuestión de constitucionalidad efectivamente planteada, sino que introduce una distorsión argumentativa de notable gravedad. En primer lugar, ninguna de las partes ha cuestionado dicha exclusión, cuya constitucionalidad no estaba bajo examen, y cuya incorporación normativa responde a un estándar mínimo exigible en cualquier amnistía compatible con los principios del Estado de Derecho. En consecuencia, su invocación no responde a una necesidad argumentativa, sino a una voluntad deliberada de enfatizar supuestos equilibrios normativos inexistentes.</w:t>
      </w:r>
    </w:p>
    <w:p w14:paraId="3C44A393" w14:textId="77777777" w:rsidR="00A8138F" w:rsidRDefault="00A8138F" w:rsidP="00A8138F">
      <w:pPr>
        <w:pStyle w:val="TextoNormal"/>
      </w:pPr>
    </w:p>
    <w:p w14:paraId="48F6D306" w14:textId="77777777" w:rsidR="00A8138F" w:rsidRDefault="00A8138F" w:rsidP="00A8138F">
      <w:pPr>
        <w:pStyle w:val="TextoNormal"/>
      </w:pPr>
      <w:r>
        <w:t>368. Más allá de su irrelevancia jurídica en este contexto, lo verdaderamente objetable es el tono de alabanza impropia con que se presenta una disposición que, lejos de constituir un gesto generoso o prudente del legislador, no es sino una exigencia estructural de justicia material. Ninguna amnistía puede considerarse legítima si cercena el derecho de las víctimas a reclamar la reparación del daño sufrido. Atribuir mérito político o jurídico a esta previsión revela un preocupante desconocimiento del fundamento constitucional de los derechos resarcitorios, y del principio básico conforme al cual la renuncia del Estado al ejercici</w:t>
      </w:r>
      <w:r w:rsidRPr="00A8138F">
        <w:rPr>
          <w:i/>
        </w:rPr>
        <w:t>o del ius pu</w:t>
      </w:r>
      <w:r>
        <w:t>niendi no puede suprimir ni limitar la acción civil derivada del delito.</w:t>
      </w:r>
    </w:p>
    <w:p w14:paraId="69DFBF55" w14:textId="77777777" w:rsidR="00A8138F" w:rsidRDefault="00A8138F" w:rsidP="00A8138F">
      <w:pPr>
        <w:pStyle w:val="TextoNormal"/>
      </w:pPr>
    </w:p>
    <w:p w14:paraId="4E5BA456" w14:textId="77777777" w:rsidR="00A8138F" w:rsidRDefault="00A8138F" w:rsidP="00A8138F">
      <w:pPr>
        <w:pStyle w:val="TextoNormal"/>
      </w:pPr>
      <w:r>
        <w:t>369. La afirmación de que el legislador “salvaguarda los derechos individuales” mediante esta previsión no resiste el más elemental análisis constitucional. No hay en ello salvaguarda alguna, sino mera evitación de una lesión aún mayor. De hecho, si la Ley de amnistía hubiese amnistiado también la responsabilidad civil, la vulneración del principio de tutela judicial efectiva (artículo 24 CE) habría sido manifiesta. Por tanto, destacar esta exclusión como un factor legitimador del juicio de igualdad no solo es jurídicamente irrelevante, sino intelectualmente desconcertante.</w:t>
      </w:r>
    </w:p>
    <w:p w14:paraId="4F430704" w14:textId="77777777" w:rsidR="00A8138F" w:rsidRDefault="00A8138F" w:rsidP="00A8138F">
      <w:pPr>
        <w:pStyle w:val="TextoNormal"/>
      </w:pPr>
    </w:p>
    <w:p w14:paraId="04A04919" w14:textId="77777777" w:rsidR="00A8138F" w:rsidRDefault="00A8138F" w:rsidP="00A8138F">
      <w:pPr>
        <w:pStyle w:val="TextoNormal"/>
      </w:pPr>
      <w:r>
        <w:t>370. En suma, esta exaltación innecesaria de una exigencia mínima de justicia no solo carece de valor argumentativo, sino que revela una preocupante inclinación apologética hacia el texto legal, impropia de un órgano cuya función es ejercer un control riguroso de constitucionalidad.</w:t>
      </w:r>
    </w:p>
    <w:p w14:paraId="4F4D400D" w14:textId="77777777" w:rsidR="00A8138F" w:rsidRDefault="00A8138F" w:rsidP="00A8138F">
      <w:pPr>
        <w:pStyle w:val="TextoNormal"/>
      </w:pPr>
    </w:p>
    <w:p w14:paraId="4C12DEB9" w14:textId="77777777" w:rsidR="00A8138F" w:rsidRDefault="00A8138F" w:rsidP="00A8138F">
      <w:pPr>
        <w:pStyle w:val="TextoNormal"/>
      </w:pPr>
      <w:r>
        <w:t>371. La sentencia dedica un amplio desarrollo argumental a destacar —en el fundamento jurídico 8.3.4 d)— que la Ley de amnistía excluye de su ámbito de aplicación determinadas infracciones penales de especial gravedad —como los delitos de genocidio, lesa humanidad, tortura, terrorismo agravado, o aquellos cometidos con móviles discriminatorios—, presentando esta delimitación como una muestra del esfuerzo ponderado del legislador por acotar los efectos de la amnistía dentro de los márgenes constitucionalmente aceptables. Sin embargo, dicha exposición no solo es innecesaria —nuevamente— para dar respuesta a la queja planteada por los recurrentes, sino que resulta conceptualmente equívoca y jurídicamente superflua.</w:t>
      </w:r>
    </w:p>
    <w:p w14:paraId="4A2069D9" w14:textId="77777777" w:rsidR="00A8138F" w:rsidRDefault="00A8138F" w:rsidP="00A8138F">
      <w:pPr>
        <w:pStyle w:val="TextoNormal"/>
      </w:pPr>
    </w:p>
    <w:p w14:paraId="724EA562" w14:textId="77777777" w:rsidR="00A8138F" w:rsidRDefault="00A8138F" w:rsidP="00A8138F">
      <w:pPr>
        <w:pStyle w:val="TextoNormal"/>
      </w:pPr>
      <w:r>
        <w:t>372. En primer lugar, ninguna de las partes ha cuestionado la constitucionalidad de las exclusiones mencionadas. Al contrario, la exclusión de este tipo de delitos no solo es pacífica, sino constitucionalmente obligada, en atención a los compromisos internacionales asumidos por España —especialmente los derivados del Convenio Europeo de derechos humanos y del Derecho internacional humanitario—. El propio fundamento jurídico de la sentencia reconoce expresamente esa obligatoriedad, por lo que insistir en ello a modo de justificación del diseño legal no aporta ningún valor argumentativo adicional: la exclusión de delitos que comprometen gravemente derechos fundamentales no es una opción política ni una concesión graciosa del legislador, sino una exigencia constitucional ineludible.</w:t>
      </w:r>
    </w:p>
    <w:p w14:paraId="769780B0" w14:textId="77777777" w:rsidR="00A8138F" w:rsidRDefault="00A8138F" w:rsidP="00A8138F">
      <w:pPr>
        <w:pStyle w:val="TextoNormal"/>
      </w:pPr>
    </w:p>
    <w:p w14:paraId="0E6F8DAC" w14:textId="77777777" w:rsidR="00A8138F" w:rsidRDefault="00A8138F" w:rsidP="00A8138F">
      <w:pPr>
        <w:pStyle w:val="TextoNormal"/>
      </w:pPr>
      <w:r>
        <w:t>373. En segundo lugar, el tratamiento que la sentencia otorga a este listado de exclusiones está impregnado nuevamente de un tono apologético impropio de un órgano jurisdiccional que debe ejercer un control crítico y desapasionado de la norma legal. Se presenta como ejercicio de ponderación lo que, en realidad, es el mínimo indispensable para evitar una frontal inconstitucionalidad, elevando a mérito lo que debería ser considerado un presupuesto de constitucionalidad. El Tribunal se detiene con detalle en un punto no controvertido, desbordando innecesariamente el verdadero núcleo de la queja ya resuelta: la selección ideológica del colectivo amnistiado.</w:t>
      </w:r>
    </w:p>
    <w:p w14:paraId="14B317CE" w14:textId="77777777" w:rsidR="00A8138F" w:rsidRDefault="00A8138F" w:rsidP="00A8138F">
      <w:pPr>
        <w:pStyle w:val="TextoNormal"/>
      </w:pPr>
    </w:p>
    <w:p w14:paraId="17DD75B4" w14:textId="77777777" w:rsidR="00A8138F" w:rsidRDefault="00A8138F" w:rsidP="00A8138F">
      <w:pPr>
        <w:pStyle w:val="TextoNormal"/>
      </w:pPr>
      <w:r>
        <w:t>374. Por tanto, el conjunto de exclusiones reseñado no neutraliza ni atenúa el reproche de arbitrariedad formulado por los recurrentes, dado que no es la amplitud del ámbito excluido lo que debe analizarse en clave de igualdad, sino la razón por la cual determinados hechos —objetivamente semejantes en su lesividad— reciben un trato diferenciado en función del contexto político o de la finalidad subjetiva del autor. La Ley de amnistía no es arbitraria por lo que excluye, sino por lo que incluye.</w:t>
      </w:r>
    </w:p>
    <w:p w14:paraId="67975ED2" w14:textId="77777777" w:rsidR="00A8138F" w:rsidRDefault="00A8138F" w:rsidP="00A8138F">
      <w:pPr>
        <w:pStyle w:val="TextoNormal"/>
      </w:pPr>
    </w:p>
    <w:p w14:paraId="1B6A7572" w14:textId="77777777" w:rsidR="00A8138F" w:rsidRPr="00A8138F" w:rsidRDefault="00A8138F" w:rsidP="00A8138F">
      <w:pPr>
        <w:pStyle w:val="TextoNormal"/>
        <w:rPr>
          <w:i/>
        </w:rPr>
      </w:pPr>
      <w:r>
        <w:t>375. En suma, esta parte de la sentencia no solo no responde al reproche de inconstitucionalidad planteado, sino que revela una preocupante e innecesaria —una vez reconocida la vulneración del principio de igualdad— tendencia legitimadora de la norma que desnaturaliza el rol del Tribunal como garante imparcial de la Constitución. Presentar como ponderación razonable lo que es mera evitación del escándalo jurídico internacional, lejos de fortalecer el fallo, lo vacía de autoridad crítica</w:t>
      </w:r>
      <w:r w:rsidRPr="00A8138F">
        <w:rPr>
          <w:i/>
        </w:rPr>
        <w:t>.</w:t>
      </w:r>
    </w:p>
    <w:p w14:paraId="4D7EC0C8" w14:textId="77777777" w:rsidR="00A8138F" w:rsidRPr="00A8138F" w:rsidRDefault="00A8138F" w:rsidP="00A8138F">
      <w:pPr>
        <w:pStyle w:val="TextoNormal"/>
        <w:rPr>
          <w:i/>
        </w:rPr>
      </w:pPr>
    </w:p>
    <w:p w14:paraId="50683632" w14:textId="77777777" w:rsidR="00A8138F" w:rsidRDefault="00A8138F" w:rsidP="00A8138F">
      <w:pPr>
        <w:pStyle w:val="TextoNormal"/>
      </w:pPr>
      <w:r w:rsidRPr="00A8138F">
        <w:rPr>
          <w:i/>
        </w:rPr>
        <w:t>c) La delimitación del ámbito temporal de la Ley de amnistía incurre en arbitrariedad (artículo 9</w:t>
      </w:r>
      <w:r>
        <w:t>.3 CE)</w:t>
      </w:r>
    </w:p>
    <w:p w14:paraId="50C1743A" w14:textId="77777777" w:rsidR="00A8138F" w:rsidRDefault="00A8138F" w:rsidP="00A8138F">
      <w:pPr>
        <w:pStyle w:val="TextoNormal"/>
      </w:pPr>
    </w:p>
    <w:p w14:paraId="37EFE230" w14:textId="77777777" w:rsidR="00A8138F" w:rsidRDefault="00A8138F" w:rsidP="00A8138F">
      <w:pPr>
        <w:pStyle w:val="TextoNormal"/>
      </w:pPr>
      <w:r>
        <w:t>376. El ámbito temporal de la amnistía se concreta a las infracciones relacionadas con la consulta informal de 2014 y el referéndum de 2017, que hayan tenido lugar entre el 1 de noviembre de 2011 y el 13 de noviembre de 2023 (artículo 1.1 de la Ley de amnistía).</w:t>
      </w:r>
    </w:p>
    <w:p w14:paraId="0C5F5B8C" w14:textId="77777777" w:rsidR="00A8138F" w:rsidRDefault="00A8138F" w:rsidP="00A8138F">
      <w:pPr>
        <w:pStyle w:val="TextoNormal"/>
      </w:pPr>
    </w:p>
    <w:p w14:paraId="7B145CEF" w14:textId="77777777" w:rsidR="00A8138F" w:rsidRDefault="00A8138F" w:rsidP="00A8138F">
      <w:pPr>
        <w:pStyle w:val="TextoNormal"/>
      </w:pPr>
      <w:r>
        <w:t>377. Consta en el informe de la Comisión de Venecia lo siguiente:</w:t>
      </w:r>
    </w:p>
    <w:p w14:paraId="076501FD" w14:textId="77777777" w:rsidR="00A8138F" w:rsidRDefault="00A8138F" w:rsidP="00A8138F">
      <w:pPr>
        <w:pStyle w:val="TextoNormal"/>
      </w:pPr>
    </w:p>
    <w:p w14:paraId="0DDD7EDB" w14:textId="77777777" w:rsidR="00A8138F" w:rsidRDefault="00A8138F" w:rsidP="00A8138F">
      <w:pPr>
        <w:pStyle w:val="TextoNormal"/>
      </w:pPr>
      <w:r>
        <w:t>“Las enmiendas adoptadas el 14 de marzo de 2024 han ampliado el ámbito temporal de la amnistía, que ahora comienza el 1 de noviembre de 2011. Por lo tanto, la amnistía se aplica a un periodo de tiempo muy largo: entre el 1 de noviembre de 2011 y el 13 de noviembre de 2023.El legislador español no ha dado ninguna explicación de por qué estas fechas son ‘apropiadas’. La Comisión de Venecia no ve la relación causal entre la lógica de la amnistía y estas fechas. Por ello, recomienda reducir el ámbito temporal de aplicación de la amnistía” (§ 95).</w:t>
      </w:r>
    </w:p>
    <w:p w14:paraId="27B384E6" w14:textId="77777777" w:rsidR="00A8138F" w:rsidRDefault="00A8138F" w:rsidP="00A8138F">
      <w:pPr>
        <w:pStyle w:val="TextoNormal"/>
      </w:pPr>
    </w:p>
    <w:p w14:paraId="563FF226" w14:textId="77777777" w:rsidR="00A8138F" w:rsidRDefault="00A8138F" w:rsidP="00A8138F">
      <w:pPr>
        <w:pStyle w:val="TextoNormal"/>
      </w:pPr>
      <w:r>
        <w:t>378. En efecto, la aprobación de una amnistía, por su naturaleza excepcional, exige un control especialmente riguroso de su fundamentación constitucional, tanto desde la perspectiva de la proporcionalidad como del principio de interdicción de la arbitrariedad del legislador (artículo 9.3 CE). En este sentido, además de lo hasta ahora señalado, la fijación de un ámbito temporal tan amplio como el comprendido entre el 1 de noviembre de 2011 y el 13 de noviembre de 2023 suscita una objeción de gran calado, al no existir en la norma —ni tampoco en la sentencia que la valida, como se verá— justificación racional alguna del vínculo entre el inicio del periodo amnistiado y los hechos que constituyen el supuesto legitimador de la medida.</w:t>
      </w:r>
    </w:p>
    <w:p w14:paraId="2D298F34" w14:textId="77777777" w:rsidR="00A8138F" w:rsidRDefault="00A8138F" w:rsidP="00A8138F">
      <w:pPr>
        <w:pStyle w:val="TextoNormal"/>
      </w:pPr>
    </w:p>
    <w:p w14:paraId="29614102" w14:textId="77777777" w:rsidR="00A8138F" w:rsidRDefault="00A8138F" w:rsidP="00A8138F">
      <w:pPr>
        <w:pStyle w:val="TextoNormal"/>
      </w:pPr>
      <w:r>
        <w:t>379. El pretexto argumental de la Ley de amnistía pivota en torno a dos fechas: el 9 de noviembre de 2014, día de la primera consulta independentista declarada inconstitucional, y el 1 de octubre de 2017, fecha del referéndum ilegal impulsado por las autoridades catalanas. Sin embargo, la inclusión de hechos cometidos desde noviembre de 2011, esto es, tres años antes de la primera consulta, carece de toda justificación objetiva, concreta y verificable. No se establece, ni en el preámbulo ni en el articulado, qué relación directa o indirecta tienen los hechos ocurridos a partir de esa fecha con los procesos de desobediencia constitucional que formalmente sustentan la amnistía.</w:t>
      </w:r>
    </w:p>
    <w:p w14:paraId="2BB5858C" w14:textId="77777777" w:rsidR="00A8138F" w:rsidRDefault="00A8138F" w:rsidP="00A8138F">
      <w:pPr>
        <w:pStyle w:val="TextoNormal"/>
      </w:pPr>
    </w:p>
    <w:p w14:paraId="3EB598AC" w14:textId="77777777" w:rsidR="00A8138F" w:rsidRDefault="00A8138F" w:rsidP="00A8138F">
      <w:pPr>
        <w:pStyle w:val="TextoNormal"/>
      </w:pPr>
      <w:r>
        <w:t>380. Esta ausencia de nexo causal entre la conducta amnistiada y la finalidad política que se invoca —la “reconciliación institucional”— vacía de contenido racional el criterio temporal, y transforma lo que debería ser una ley de excepción en una cobertura generalizada y arbitraria que engulle conductas heterogéneas sin conexión sustancial con los hechos que se pretenden superar. Una amnistía no puede extenderse a hechos desvinculados del invocado conflicto político que supuestamente la motiva, so pena de incurrir en una vulneración directa del principio de igualdad, al privilegiar de forma injustificada a determinados autores en función de su proximidad política o institucional, y no por la naturaleza ni el contexto de sus actos.</w:t>
      </w:r>
    </w:p>
    <w:p w14:paraId="67CDAF6B" w14:textId="77777777" w:rsidR="00A8138F" w:rsidRDefault="00A8138F" w:rsidP="00A8138F">
      <w:pPr>
        <w:pStyle w:val="TextoNormal"/>
      </w:pPr>
    </w:p>
    <w:p w14:paraId="380FD0D7" w14:textId="77777777" w:rsidR="00A8138F" w:rsidRDefault="00A8138F" w:rsidP="00A8138F">
      <w:pPr>
        <w:pStyle w:val="TextoNormal"/>
      </w:pPr>
      <w:r>
        <w:t>381. Más aún, este marco temporal desproporcionado permite amnistiar conductas completamente ajenas a los procesos de votación ilegal, lo cual evidencia el uso instrumental y expansivo de la medida, sin el control de necesidad y conexidad que la Constitución exige para una norma tan incisiva en el orden jurídico penal. En otras palabras: sin justificación, no hay límite; y sin límite, no hay legitimidad.</w:t>
      </w:r>
    </w:p>
    <w:p w14:paraId="083F3E8F" w14:textId="77777777" w:rsidR="00A8138F" w:rsidRDefault="00A8138F" w:rsidP="00A8138F">
      <w:pPr>
        <w:pStyle w:val="TextoNormal"/>
      </w:pPr>
    </w:p>
    <w:p w14:paraId="7E79BDED" w14:textId="77777777" w:rsidR="00A8138F" w:rsidRDefault="00A8138F" w:rsidP="00A8138F">
      <w:pPr>
        <w:pStyle w:val="TextoNormal"/>
      </w:pPr>
      <w:r>
        <w:t>382. Por tanto, la aprobación de una amnistía con una delimitación temporal de más de doce años, sin que se identifique un hilo causal mínimamente razonable entre los hechos y los hitos que se invocan como justificación política, constituye una grave desviación del Poder Legislativo y una manifestación clara de arbitrariedad constitucionalmente proscrita. La excepcionalidad no puede convertirse en coartada para el privilegio, ni el silencio del legislador sustituir la exigencia de motivación reforzada que este tipo de leyes requiere.</w:t>
      </w:r>
    </w:p>
    <w:p w14:paraId="5F15C43D" w14:textId="77777777" w:rsidR="00A8138F" w:rsidRDefault="00A8138F" w:rsidP="00A8138F">
      <w:pPr>
        <w:pStyle w:val="TextoNormal"/>
      </w:pPr>
    </w:p>
    <w:p w14:paraId="1BB2A17D" w14:textId="77777777" w:rsidR="00A8138F" w:rsidRDefault="00A8138F" w:rsidP="00A8138F">
      <w:pPr>
        <w:pStyle w:val="TextoNormal"/>
      </w:pPr>
      <w:r>
        <w:t>d</w:t>
      </w:r>
      <w:r w:rsidRPr="00A8138F">
        <w:rPr>
          <w:i/>
        </w:rPr>
        <w:t>) La ampliación del plazo inicial como manifestación palmaria de una autoamnistía aceptada acríticamente por la sentenc</w:t>
      </w:r>
      <w:r>
        <w:t>ia</w:t>
      </w:r>
    </w:p>
    <w:p w14:paraId="5F0B3523" w14:textId="77777777" w:rsidR="00A8138F" w:rsidRDefault="00A8138F" w:rsidP="00A8138F">
      <w:pPr>
        <w:pStyle w:val="TextoNormal"/>
      </w:pPr>
    </w:p>
    <w:p w14:paraId="2F6B9407" w14:textId="77777777" w:rsidR="00A8138F" w:rsidRDefault="00A8138F" w:rsidP="00A8138F">
      <w:pPr>
        <w:pStyle w:val="TextoNormal"/>
      </w:pPr>
      <w:r>
        <w:t>383. En relación con la fecha inicial, la sentencia lo justifica en un párrafo, al que seguidamente aludiré —contenido en su fundamento jurídico 8.3.4 d) e i)—. Sin embargo, nuevamente y con carácter previo, incurre en una fallida técnica de argumentación por analogía, al equiparar la delimitación temporal de la amnistía con la fijación legal de la mayoría de edad. El establecimiento del marco temporal de una amnistía no responde a una necesidad de convención general abstracta, como sucede con las edades legales, sino a la exigencia concreta de justificar por qué unos actos sí y otros no deben beneficiarse de la extinción de la responsabilidad penal y administrativa, en un contexto jurídico y político determinado. Lo más preocupante, sin embargo, es que esta comparación forma parte de una tendencia reiterada en la sentencia a sustituir el análisis constitucional por razonamientos ejemplificativos que eluden el núcleo de la cuestión jurídica debatida. Se recurre a ejemplos forzados —ya sea una piedra lanzada en una manifestación, un desahucio o la mayoría de edad— con el aparente objetivo de ilustrar, pero con el resultado real de trivializar el análisis constitucional.</w:t>
      </w:r>
    </w:p>
    <w:p w14:paraId="12664A85" w14:textId="77777777" w:rsidR="00A8138F" w:rsidRDefault="00A8138F" w:rsidP="00A8138F">
      <w:pPr>
        <w:pStyle w:val="TextoNormal"/>
      </w:pPr>
    </w:p>
    <w:p w14:paraId="2E69070C" w14:textId="77777777" w:rsidR="00A8138F" w:rsidRDefault="00A8138F" w:rsidP="00A8138F">
      <w:pPr>
        <w:pStyle w:val="TextoNormal"/>
      </w:pPr>
      <w:r>
        <w:t>384. La justificación ofrecida en el fundamento jurídico 8.3.4 d) e i) para ampliar el plazo de aplicación de la amnistía hasta el 1 de noviembre de 2011, basada en la aceptación de una enmienda presentada por el Grupo Parlamentario Junts per Catalunya, no resiste el más elemental escrutinio constitucional. La sentencia recoge esta modificación como un simple hecho del procedimiento legislativo, pero evita pronunciarse sobre lo esencial: que dicha ampliación no responde a un criterio objetivo ni neutral, sino a una estrategia consciente de incluir actos imputables a miembros de la propia formación política proponente, con el único fin de garantizar su impunidad penal y contable.</w:t>
      </w:r>
    </w:p>
    <w:p w14:paraId="4D8CFBA4" w14:textId="77777777" w:rsidR="00A8138F" w:rsidRDefault="00A8138F" w:rsidP="00A8138F">
      <w:pPr>
        <w:pStyle w:val="TextoNormal"/>
      </w:pPr>
    </w:p>
    <w:p w14:paraId="0D3E6909" w14:textId="77777777" w:rsidR="00A8138F" w:rsidRDefault="00A8138F" w:rsidP="00A8138F">
      <w:pPr>
        <w:pStyle w:val="TextoNormal"/>
      </w:pPr>
      <w:r>
        <w:t>385. Aceptar sin crítica este mecanismo como “causa justificativa” del nuevo marco temporal introducido por una enmienda de Junts, equivale a normalizar una forma de autoamnistía, incompatible con los principios más básicos del Estado constitucional de Derecho. No es jurídicamente admisible que la extensión del ámbito de aplicación de la amnistía se determine a la medida de las necesidades procesales de quienes tienen capacidad decisoria en el Parlamento, y menos aun cuando el éxito de la ley depende de sus propios votos. Ello convierte a la Ley de amnistía en una norma de parte, no dictada en atención al interés general, sino al interés personal o partidista de los directamente beneficiados.</w:t>
      </w:r>
    </w:p>
    <w:p w14:paraId="591215B5" w14:textId="77777777" w:rsidR="00A8138F" w:rsidRDefault="00A8138F" w:rsidP="00A8138F">
      <w:pPr>
        <w:pStyle w:val="TextoNormal"/>
      </w:pPr>
    </w:p>
    <w:p w14:paraId="5778F315" w14:textId="77777777" w:rsidR="00A8138F" w:rsidRDefault="00A8138F" w:rsidP="00A8138F">
      <w:pPr>
        <w:pStyle w:val="TextoNormal"/>
      </w:pPr>
      <w:r>
        <w:t>386. Una ley de amnistía elaborada y aprobada con el concurso decisivo de los propios amnistiados carece de legitimidad sustantiva, aunque haya seguido formalmente el procedimiento parlamentario. Resulta, por tanto, especialmente grave que el Tribunal no solo no cuestione esta ampliación arbitraria del plazo, sino que la recoja acríticamente. Esa actitud convalida, de hecho, una inversión intolerable del principio democrático: la ley no surge del mandato ciudadano, sino de la necesidad coyuntural de inmunidad de quienes han condicionado su apoyo al Gobierno a la concesión de esta medida. No se trata de reconciliación ni de normalización institucional, sino de una ley instrumental dictada por y para los afectados. En suma, asumir como legítima la enmienda de ampliación del plazo propuesta por Junts per Catalunya supone aceptar sin reservas que la amnistía ha sido diseñada por sus propios destinatarios, no para cerrar heridas colectivas, sino para cerrar expedientes penales personales. La neutralidad constitucional exige al Tribunal que censure esta deriva, no que la legitime. Su silencio, aquí, es claudicante.</w:t>
      </w:r>
    </w:p>
    <w:p w14:paraId="16263B45" w14:textId="77777777" w:rsidR="00A8138F" w:rsidRPr="00A8138F" w:rsidRDefault="00A8138F" w:rsidP="00A8138F">
      <w:pPr>
        <w:pStyle w:val="TextoNormal"/>
        <w:rPr>
          <w:i/>
        </w:rPr>
      </w:pPr>
    </w:p>
    <w:p w14:paraId="0A9A1EAC" w14:textId="77777777" w:rsidR="00A8138F" w:rsidRDefault="00A8138F" w:rsidP="00A8138F">
      <w:pPr>
        <w:pStyle w:val="TextoNormal"/>
      </w:pPr>
      <w:r w:rsidRPr="00A8138F">
        <w:rPr>
          <w:i/>
        </w:rPr>
        <w:t>e) Plazo final como nueva manifestación palmaria de una autoamnistía aceptada acríticamente por la sente</w:t>
      </w:r>
      <w:r>
        <w:t>ncia</w:t>
      </w:r>
    </w:p>
    <w:p w14:paraId="29357578" w14:textId="77777777" w:rsidR="00A8138F" w:rsidRDefault="00A8138F" w:rsidP="00A8138F">
      <w:pPr>
        <w:pStyle w:val="TextoNormal"/>
      </w:pPr>
    </w:p>
    <w:p w14:paraId="66766CD0" w14:textId="77777777" w:rsidR="00A8138F" w:rsidRDefault="00A8138F" w:rsidP="00A8138F">
      <w:pPr>
        <w:pStyle w:val="TextoNormal"/>
      </w:pPr>
      <w:r>
        <w:t>387. Nuevamente la sentencia despacha la corrección constitucional del límite temporal final de la amnistía en su fundamento jurídico 8.3.4 d) e i), en un solo párrafo. En efecto, la determinación del 13 de noviembre de 2023 como fecha final del ámbito de aplicación de la amnistía, es presentada por la sentencia como una opción legislativa razonable, sobre la base de que la tensión política y social que justificaría la medida seguía vigente en ese momento y que fue el día en que se presentó la proposición de ley. No obstante, esta afirmación, además de insuficiente en términos jurídicos, revela una grave desviación de los estándares de exigencia argumentativa que debe desplegar un auténtico juicio de constitucionalidad, especialmente ante una norma de naturaleza tan excepcional como la amnistía.</w:t>
      </w:r>
    </w:p>
    <w:p w14:paraId="7A8E5B8E" w14:textId="77777777" w:rsidR="00A8138F" w:rsidRDefault="00A8138F" w:rsidP="00A8138F">
      <w:pPr>
        <w:pStyle w:val="TextoNormal"/>
      </w:pPr>
    </w:p>
    <w:p w14:paraId="4BB5848B" w14:textId="77777777" w:rsidR="00A8138F" w:rsidRDefault="00A8138F" w:rsidP="00A8138F">
      <w:pPr>
        <w:pStyle w:val="TextoNormal"/>
      </w:pPr>
      <w:r>
        <w:t>388. En primer lugar, la fecha de presentación de la proposición de ley, esto es, el 13 de noviembre de 2023, carece de toda relevancia jurídica como punto de cierre del ámbito temporal de la amnistía. Que el legislador haya presentado la iniciativa en ese día no implica que los delitos cometidos hasta entonces puedan considerarse en conexión con los hechos que formalmente justifican la medida, ni mucho menos que mantengan una vinculación lógica con los referendos inconstitucionales de 2014 y 2017. No existe ningún razonamiento causal, ni político ni jurídico, que permita sostener que hechos cometidos hasta 2023 —seis años después del último referéndum— estén subsumidos en la misma lógica de desobediencia constitucional, y mucho menos que su amnistía sea indispensable para la supuesta —y negada en este voto— reconciliación o normalización institucional.</w:t>
      </w:r>
    </w:p>
    <w:p w14:paraId="67EE7A38" w14:textId="77777777" w:rsidR="00A8138F" w:rsidRDefault="00A8138F" w:rsidP="00A8138F">
      <w:pPr>
        <w:pStyle w:val="TextoNormal"/>
      </w:pPr>
    </w:p>
    <w:p w14:paraId="7108DB5B" w14:textId="77777777" w:rsidR="00A8138F" w:rsidRDefault="00A8138F" w:rsidP="00A8138F">
      <w:pPr>
        <w:pStyle w:val="TextoNormal"/>
      </w:pPr>
      <w:r>
        <w:t>389. En segundo lugar, invocar una genérica “tensión institucional persistente” no puede sustituir la exigencia de una justificación concreta y objetiva de los hechos cubiertos por la amnistía, ni sirve como base constitucional suficiente para fijar el ámbito temporal de forma retrospectiva. La tensión política es, por definición, un fenómeno continuo en democracia, pero la amnistía no puede proyectarse sobre un horizonte indeterminado o fluctuante, ni convertirse en una cláusula de blindaje para futuras infracciones que, cometidas antes de noviembre de 2023, se investiguen en un futuro, so pretexto de contextos de polarización. Ello supone una banalización institucional del principio de legalidad penal (artículo 25.1 CE).</w:t>
      </w:r>
    </w:p>
    <w:p w14:paraId="13490C2A" w14:textId="77777777" w:rsidR="00A8138F" w:rsidRDefault="00A8138F" w:rsidP="00A8138F">
      <w:pPr>
        <w:pStyle w:val="TextoNormal"/>
      </w:pPr>
    </w:p>
    <w:p w14:paraId="2A4998E6" w14:textId="77777777" w:rsidR="00A8138F" w:rsidRDefault="00A8138F" w:rsidP="00A8138F">
      <w:pPr>
        <w:pStyle w:val="TextoNormal"/>
      </w:pPr>
      <w:r>
        <w:t>390. La ausencia de relación causal entre los hechos cometidos entre 2018 y 2023 y los referendos de 2014 y 2017, invalida por completo la tesis de que el legislador actuó con racionalidad constitucional al fijar esa fecha final y la acrítica asunción por la sentencia de la misma. El principio de proporcionalidad, ni tan siquiera mencionado en la sentencia al examinar esta cuestión —y en especial su vertiente de adecuación o idoneidad del medio para alcanzar el fin perseguido— exige que exista una conexión objetiva y verificable entre las conductas amnistiadas y la finalidad reconciliadora alegada. Amnistiar actos posteriores al ciclo de movilización institucionalizado y rupturista del procés, en ausencia de hechos justificativos nuevos, supone simplemente extender artificialmente el privilegio penal, vulnerando el principio de igualdad y el de interdicción de la arbitrariedad (artículos 14 y 9.3 CE).</w:t>
      </w:r>
    </w:p>
    <w:p w14:paraId="724739E1" w14:textId="77777777" w:rsidR="00A8138F" w:rsidRDefault="00A8138F" w:rsidP="00A8138F">
      <w:pPr>
        <w:pStyle w:val="TextoNormal"/>
      </w:pPr>
    </w:p>
    <w:p w14:paraId="4FF7D2B1" w14:textId="77777777" w:rsidR="00A8138F" w:rsidRDefault="00A8138F" w:rsidP="00A8138F">
      <w:pPr>
        <w:pStyle w:val="TextoNormal"/>
      </w:pPr>
      <w:r>
        <w:t>391. Finalmente, el Tribunal Constitucional incurre nuevamente en una inaceptable dejación de funciones al aceptar esta fecha sin someterla al más mínimo contraste de racionalidad constitucional. No hay en el fundamento jurídico correspondiente ninguna prueba, dato o razonamiento que vincule los delitos cometidos hasta noviembre de 2023, con los hechos estructurales que dieron lugar a la crisis constitucional que se pretende superar. La sentencia, lejos de ejercer el control que le es propio, avala con su silencio una ampliación arbitraria de la impunidad, al permitir que la conveniencia política del momento de presentación de la ley se convierta en el límite jurídico de la amnistía. Tal validación acrítica desnaturaliza el control constitucional y convierte el principio de legalidad penal en una variable dependiente de la estrategia legislativa de los amnistiados.</w:t>
      </w:r>
    </w:p>
    <w:p w14:paraId="41BED067" w14:textId="77777777" w:rsidR="00A8138F" w:rsidRDefault="00A8138F" w:rsidP="00A8138F">
      <w:pPr>
        <w:pStyle w:val="TextoNormal"/>
      </w:pPr>
    </w:p>
    <w:p w14:paraId="4CE100FF" w14:textId="77777777" w:rsidR="00A8138F" w:rsidRDefault="00A8138F" w:rsidP="00A8138F">
      <w:pPr>
        <w:pStyle w:val="TextoNormal"/>
      </w:pPr>
      <w:r>
        <w:t>f</w:t>
      </w:r>
      <w:r w:rsidRPr="00A8138F">
        <w:rPr>
          <w:i/>
        </w:rPr>
        <w:t>) La determinación del ámbito objetivo de la Ley de amnistía vulnera las exigencias de seguridad jurídica y el principio de legalidad penal (artículos 9.3 y 25.1 C</w:t>
      </w:r>
      <w:r>
        <w:t>E)</w:t>
      </w:r>
    </w:p>
    <w:p w14:paraId="0B2AC4B1" w14:textId="77777777" w:rsidR="00A8138F" w:rsidRDefault="00A8138F" w:rsidP="00A8138F">
      <w:pPr>
        <w:pStyle w:val="TextoNormal"/>
      </w:pPr>
    </w:p>
    <w:p w14:paraId="5C11359A" w14:textId="77777777" w:rsidR="00A8138F" w:rsidRDefault="00A8138F" w:rsidP="00A8138F">
      <w:pPr>
        <w:pStyle w:val="TextoNormal"/>
      </w:pPr>
      <w:r>
        <w:t>392. El título I de la Ley de amnistía, dedica sus artículos 1 y 2 a delimitar el ámbito objetivo y temporal de la amnistía. Su reverso es claro: todos aquellos actos y acciones no amnistiados estarán penados por la ley y no se verán beneficiados por la impunidad que establece la norma. Es por ello por lo que, a diferencia de lo que sostiene la sentencia en su fundamento jurídico 5.3.2 b), las exigencias de previsibilidad y calidad de la ley —dimensiones sustantivas del principio de seguridad jurídica (artículo 9.3 CE) y de legalidad penal (artículo 25.1 CE)— son plenamente proyectables sobre una ley de amnistía, como la Ley Orgánica 1/2024, por cuanto dicha norma produce efectos materiales directamente vinculados al ámbito sancionador, especialmente en materia penal. En efecto, si bien el propósito de la ley consiste en eximir de responsabilidad penal, administrativa o contable a determinadas personas, su aplicación genera, como reverso inevitable, una delimitación de los supuestos que no quedan cubiertos por la medida de gracia y que, por tanto, seguirán siendo objeto de enjuiciamiento y sanción.</w:t>
      </w:r>
    </w:p>
    <w:p w14:paraId="58737F60" w14:textId="77777777" w:rsidR="00A8138F" w:rsidRDefault="00A8138F" w:rsidP="00A8138F">
      <w:pPr>
        <w:pStyle w:val="TextoNormal"/>
      </w:pPr>
    </w:p>
    <w:p w14:paraId="030A54B9" w14:textId="77777777" w:rsidR="00A8138F" w:rsidRDefault="00A8138F" w:rsidP="00A8138F">
      <w:pPr>
        <w:pStyle w:val="TextoNormal"/>
      </w:pPr>
      <w:r>
        <w:t xml:space="preserve">393. La exclusión de la amnistía del ámbito de aplicación del principio de previsibilidad —basada en la idea de que no posee efectos prospectivos ni modifica el régimen penal vigente— como se afirma en el fundamento jurídico 5.3.2 b), constituye una vez más un artificio argumental que permite eludir el control constitucional sobre una exigencia esencial como es la calidad normativa de una norma que, pese a presentarse como excepción, produce una reconfiguración sustantiva del alcance </w:t>
      </w:r>
      <w:r w:rsidRPr="00A8138F">
        <w:rPr>
          <w:i/>
        </w:rPr>
        <w:t>del ius puni</w:t>
      </w:r>
      <w:r>
        <w:t>endi estatal.</w:t>
      </w:r>
    </w:p>
    <w:p w14:paraId="2934AD48" w14:textId="77777777" w:rsidR="00A8138F" w:rsidRDefault="00A8138F" w:rsidP="00A8138F">
      <w:pPr>
        <w:pStyle w:val="TextoNormal"/>
      </w:pPr>
    </w:p>
    <w:p w14:paraId="6567105F" w14:textId="77777777" w:rsidR="00A8138F" w:rsidRDefault="00A8138F" w:rsidP="00A8138F">
      <w:pPr>
        <w:pStyle w:val="TextoNormal"/>
      </w:pPr>
      <w:r>
        <w:t xml:space="preserve">394. Que la amnistía no derogue preceptos penales y carezca de finalidad prospectiva no supone que, al excluir determinados supuestos </w:t>
      </w:r>
      <w:r w:rsidRPr="00A8138F">
        <w:rPr>
          <w:i/>
        </w:rPr>
        <w:t>del ius puni</w:t>
      </w:r>
      <w:r>
        <w:t>endi del Estado, genere un impacto negativo inverso: todos aquellos actos no comprendidos en el ámbito de la amnistía continúan siendo sancionables, y su punibilidad se ve reforzada en la medida en que no se benefician del efecto exonerador de la norma. Por tanto, la norma no es jurídicamente neutra desde el punto de vista del ciudadano. Altera sustancialmente el perímetro del castigo penal en un contexto determinado, estableciendo un criterio excluyente que debe ser cognoscible, previsible y objetivamente razonable.</w:t>
      </w:r>
    </w:p>
    <w:p w14:paraId="214695F6" w14:textId="77777777" w:rsidR="00A8138F" w:rsidRDefault="00A8138F" w:rsidP="00A8138F">
      <w:pPr>
        <w:pStyle w:val="TextoNormal"/>
      </w:pPr>
    </w:p>
    <w:p w14:paraId="57B9ED89" w14:textId="77777777" w:rsidR="00A8138F" w:rsidRDefault="00A8138F" w:rsidP="00A8138F">
      <w:pPr>
        <w:pStyle w:val="TextoNormal"/>
      </w:pPr>
      <w:r>
        <w:t>395. La constitucionalidad de una ley de amnistía depende, precisamente, de que su delimitación material, subjetiva y temporal sea racional, previsible, no arbitraria y ajustada a fines constitucionalmente legítimos. En este sentido, las garantías</w:t>
      </w:r>
      <w:r w:rsidRPr="00A8138F">
        <w:rPr>
          <w:i/>
        </w:rPr>
        <w:t xml:space="preserve"> de lex c</w:t>
      </w:r>
      <w:r>
        <w:t>erta, previsibilidad y seguridad jurídica no solo son proyectables, sino imprescindibles para que una norma excepcional como la amnistía no erosione los fundamentos del Estado de Derecho.</w:t>
      </w:r>
    </w:p>
    <w:p w14:paraId="668F76F3" w14:textId="77777777" w:rsidR="00A8138F" w:rsidRDefault="00A8138F" w:rsidP="00A8138F">
      <w:pPr>
        <w:pStyle w:val="TextoNormal"/>
      </w:pPr>
    </w:p>
    <w:p w14:paraId="487177D1" w14:textId="77777777" w:rsidR="00A8138F" w:rsidRDefault="00A8138F" w:rsidP="00A8138F">
      <w:pPr>
        <w:pStyle w:val="TextoNormal"/>
      </w:pPr>
      <w:r>
        <w:t>g</w:t>
      </w:r>
      <w:r w:rsidRPr="00A8138F">
        <w:rPr>
          <w:i/>
        </w:rPr>
        <w:t>) La Ley de amnistía vulnera la seguridad jurídica y desnaturaliza el Derecho pen</w:t>
      </w:r>
      <w:r>
        <w:t>al</w:t>
      </w:r>
    </w:p>
    <w:p w14:paraId="79E7C396" w14:textId="77777777" w:rsidR="00A8138F" w:rsidRDefault="00A8138F" w:rsidP="00A8138F">
      <w:pPr>
        <w:pStyle w:val="TextoNormal"/>
      </w:pPr>
    </w:p>
    <w:p w14:paraId="04C09E43" w14:textId="77777777" w:rsidR="00A8138F" w:rsidRDefault="00A8138F" w:rsidP="00A8138F">
      <w:pPr>
        <w:pStyle w:val="TextoNormal"/>
      </w:pPr>
      <w:r>
        <w:t>396. La delimitación de los actos y acciones amnistiados comienza por la indeterminación de las acciones comprendidas, cuando se refiere a las ejecutadas “en el contexto del denominado proceso independentista catalán, aunque no se encuentren relacionadas con las referidas consultas”. A ello se le suma la indeterminación de las finalidades o propósitos o vínculos que las hacen merecedoras de la amnistía: “intención de reivindicar, promover o procurar la secesión o independencia de Cataluña” —artículo 1.1 a)—, y de los delitos que son merecedores de amnistía: “así como cualquier otro acto tipificado como delito que tuviere idéntica finalidad” —artículo 1.1 a)—, se le añade, por si fuera poco, “cualesquiera otros que fueran materialmente conexos con tales acciones” —artículo1.1 f)— y finalmente se amplía en el artículo 1.3 de la Ley de amnistía a los “actos cuya realización se hubiera iniciado antes del día 13 de noviembre de 2023 […] aunque su ejecución finalizase con posterioridad a esa fecha”.</w:t>
      </w:r>
    </w:p>
    <w:p w14:paraId="25C06AB1" w14:textId="77777777" w:rsidR="00A8138F" w:rsidRDefault="00A8138F" w:rsidP="00A8138F">
      <w:pPr>
        <w:pStyle w:val="TextoNormal"/>
      </w:pPr>
    </w:p>
    <w:p w14:paraId="4248B4BD" w14:textId="77777777" w:rsidR="00A8138F" w:rsidRDefault="00A8138F" w:rsidP="00A8138F">
      <w:pPr>
        <w:pStyle w:val="TextoNormal"/>
      </w:pPr>
      <w:r>
        <w:t>397. Al llamativo carácter abierto e indeterminado del precepto se le añade la indeterminación absoluta en lo temporal, a la que se ha hecho referencia, que ocasiona la impunidad proyectada hacia el futuro de los actos o acciones que integren cualquier delito —salvo los exceptuados del artículo 2—, cometidos en el contexto del proceso independentista catalán, aunque no estén relacionados con las consultas, cuya intención sea reivindicar, promover o procurar la secesión o independencia de Cataluña, vinculados directa o indirectamente con el llamado proceso independentista desarrollado en Cataluña o con sus líderes —en el marco de ese proceso—, o materialmente conexos, cuya realización se hubiera iniciado antes del 1 de noviembre de 2011 que finalicen con posterioridad a esa fecha (artículo 1.3, párrafo primero) o iniciados antes del 13 de noviembre de 2023, aunque su ejecución finalice con posterioridad a esa fecha (artículo 1.3, párrafo segundo).</w:t>
      </w:r>
    </w:p>
    <w:p w14:paraId="1BEC3546" w14:textId="77777777" w:rsidR="00A8138F" w:rsidRDefault="00A8138F" w:rsidP="00A8138F">
      <w:pPr>
        <w:pStyle w:val="TextoNormal"/>
      </w:pPr>
    </w:p>
    <w:p w14:paraId="6730B873" w14:textId="77777777" w:rsidR="00A8138F" w:rsidRDefault="00A8138F" w:rsidP="00A8138F">
      <w:pPr>
        <w:pStyle w:val="TextoNormal"/>
      </w:pPr>
      <w:r>
        <w:t>398. La inseguridad jurídica del objeto de la amnistía tiene como reverso, como ya se ha afirmado, la incertidumbre en la tipificación de cualesquiera hechos delictivos o sus conexos en que no concurra tal contexto o tales propósitos, finalidades o vínculos directos e indirectos que la norma indica. Dicha falta de determinación en el ámbito de aplicación de la ley regulado en su artículo 1, tanto en cuanto a los delitos amnistiados como al plazo en que se cometieron, afecta al principio constitucional de seguridad jurídica (artículo 9.3 CE) y como consecuencia de ello al principio de legalidad penal (artículo 25.1 CE), tal y como insistiré a continuación.</w:t>
      </w:r>
    </w:p>
    <w:p w14:paraId="322E8DBA" w14:textId="77777777" w:rsidR="00A8138F" w:rsidRDefault="00A8138F" w:rsidP="00A8138F">
      <w:pPr>
        <w:pStyle w:val="TextoNormal"/>
      </w:pPr>
    </w:p>
    <w:p w14:paraId="40B0E0DE" w14:textId="77777777" w:rsidR="00A8138F" w:rsidRDefault="00A8138F" w:rsidP="00A8138F">
      <w:pPr>
        <w:pStyle w:val="TextoNormal"/>
      </w:pPr>
      <w:r>
        <w:t>399. La Ley de amnistía incumple las exigencias de certeza, certidumbre, confianza y previsibilidad de las conductas alcanzadas por la amnistía. Con ello infringe la seguridad jurídica entendida desde un plano objetivo como la certeza sobre el ordenamiento jurídico aplicable y los intereses jurídicamente tutelados (STC 15/1986, de 31 de enero, FJ 1); pero además, la expectativa razonablemente fundada del ciudadano en cual ha de ser la actuación del poder en la aplicación del Derecho (STC 36/1991, de 14 de febrero, FJ 5).</w:t>
      </w:r>
    </w:p>
    <w:p w14:paraId="5523E11B" w14:textId="77777777" w:rsidR="00A8138F" w:rsidRDefault="00A8138F" w:rsidP="00A8138F">
      <w:pPr>
        <w:pStyle w:val="TextoNormal"/>
      </w:pPr>
    </w:p>
    <w:p w14:paraId="216104F9" w14:textId="77777777" w:rsidR="00A8138F" w:rsidRDefault="00A8138F" w:rsidP="00A8138F">
      <w:pPr>
        <w:pStyle w:val="TextoNormal"/>
      </w:pPr>
      <w:r>
        <w:t>400. La utilización acumulativa, a efectos de aplicar la amnistía, de términos como “contexto del denominado proceso independentista” o “vinculados directa o indirectamente al denominado proceso independentista” o “vinculados directa o indirectamente […] a sus líderes en el marco de ese proceso” o “materialmente conexo con tales acciones” o las referencias a la intención de “reivindicar, promover o procurar la secesión o independencia” o, en fin, la ampliación del ámbito temporal a las acciones “cuya realización” se hubiera iniciado antes del 1 de noviembre de 2011 o del 13 de noviembre de 2023, “aunque su ejecución finalice” con posterioridad a esas fechas, infringe las notas de certidumbre y previsibilidad, pues provoca situaciones de aplicabilidad objetivamente confusas que generan una incertidumbre razonablemente insuperable acerca de los actos (SSTC 150/1990, de 4 de octubre, FJ 8; 142/1993, de 22 de abril, FJ 4, y 212/1996, de 19 de diciembre, FJ 15).</w:t>
      </w:r>
    </w:p>
    <w:p w14:paraId="3D6335AA" w14:textId="77777777" w:rsidR="00A8138F" w:rsidRDefault="00A8138F" w:rsidP="00A8138F">
      <w:pPr>
        <w:pStyle w:val="TextoNormal"/>
      </w:pPr>
    </w:p>
    <w:p w14:paraId="4F00D154" w14:textId="77777777" w:rsidR="00A8138F" w:rsidRDefault="00A8138F" w:rsidP="00A8138F">
      <w:pPr>
        <w:pStyle w:val="TextoNormal"/>
      </w:pPr>
      <w:r>
        <w:t>401. El problema excede de lo que pueda considerarse “defectos de técnica legislativa” o de “corrección técnica” (STC 341/1993, de 18 de noviembre, FJ 2), se trata del empleo de una terminología que es absolutamente imprecisa [STC 160/1987, de 27 de octubre, FJ 5 a)]. La acumulación de expresiones imprecisas en el artículo 1 de la ley, todas aplicables para delimitar el ámbito de la amnistía, produce una incertidumbre insuperable acerca de los aspectos a tomar en consideración para aplicar la misma. La norma no permite definir qué es el “contexto del denominado proceso”, qué se entiende por “vinculación indirecta al denominado proceso independentista o a sus líderes en el marco del proceso”, qué actos serán los que “no reivindiquen, promuevan o procuren la independencia o la secesión” o los que sí “reivindiquen, promuevan o procuren la independencia o la secesión” o hasta cuándo se pueden ejecutar los actos que quedaran bajo el paraguas de la amnistía.</w:t>
      </w:r>
    </w:p>
    <w:p w14:paraId="496DCECD" w14:textId="77777777" w:rsidR="00A8138F" w:rsidRDefault="00A8138F" w:rsidP="00A8138F">
      <w:pPr>
        <w:pStyle w:val="TextoNormal"/>
      </w:pPr>
    </w:p>
    <w:p w14:paraId="43085702" w14:textId="77777777" w:rsidR="00A8138F" w:rsidRDefault="00A8138F" w:rsidP="00A8138F">
      <w:pPr>
        <w:pStyle w:val="TextoNormal"/>
      </w:pPr>
      <w:r>
        <w:t>402. Esta ausencia de precisión del precepto no solo afecta a quien debe aplicar la norma, sino también y fundamentalmente al destinatario de la misma que no puede confiar ni calcular, el resultado de su aplicación y a los ciudadanos en general que no alcanzan a conocer que actos ejecutados después de las fechas señaladas serán punibles y cuales quedarán impunes.</w:t>
      </w:r>
    </w:p>
    <w:p w14:paraId="12C546D6" w14:textId="77777777" w:rsidR="00A8138F" w:rsidRDefault="00A8138F" w:rsidP="00A8138F">
      <w:pPr>
        <w:pStyle w:val="TextoNormal"/>
      </w:pPr>
    </w:p>
    <w:p w14:paraId="1C91DCF3" w14:textId="77777777" w:rsidR="00A8138F" w:rsidRDefault="00A8138F" w:rsidP="00A8138F">
      <w:pPr>
        <w:pStyle w:val="TextoNormal"/>
      </w:pPr>
      <w:r>
        <w:t>403. La incertidumbre del precepto, atendidas las consecuencias que produce, la exoneración de todo tipo de responsabilidades penales, administrativas y contables se proyecta sobre la determinación de las conductas que seguirán siendo perseguibles o que podrán ser perseguidas en un futuro, lo que entra de lleno en el ámbito de tutela del principio de legalidad penal (artículo 25.1 CE).</w:t>
      </w:r>
    </w:p>
    <w:p w14:paraId="08D39C31" w14:textId="77777777" w:rsidR="00A8138F" w:rsidRDefault="00A8138F" w:rsidP="00A8138F">
      <w:pPr>
        <w:pStyle w:val="TextoNormal"/>
      </w:pPr>
    </w:p>
    <w:p w14:paraId="5B3A0D0F" w14:textId="77777777" w:rsidR="00A8138F" w:rsidRDefault="00A8138F" w:rsidP="00A8138F">
      <w:pPr>
        <w:pStyle w:val="TextoNormal"/>
      </w:pPr>
      <w:r>
        <w:t>404. La delimitación del ámbito de aplicación de la Ley de amnistía quiebra la imperiosa exigencia de la predeterminación normativa de las conductas ilícitas, es decir, la existencia de preceptos jurídic</w:t>
      </w:r>
      <w:r w:rsidRPr="00A8138F">
        <w:rPr>
          <w:i/>
        </w:rPr>
        <w:t>os (lex pra</w:t>
      </w:r>
      <w:r>
        <w:t>evia) que permitan predecir con el suficiente grado de certe</w:t>
      </w:r>
      <w:r w:rsidRPr="00A8138F">
        <w:rPr>
          <w:i/>
        </w:rPr>
        <w:t>za (lex c</w:t>
      </w:r>
      <w:r>
        <w:t>erta) las conductas punibles, y sepa a qué atenerse en cuanto a la aneja responsabilidad y a la eventual sanción (SSTC 25/2004, de 26 de febrero, FJ 4; 218/2005, de 12 de septiembre, FJ 2; 297/2005, de 21 de noviembre, FJ 6, y 283/2006, de 9 de octubre, FJ 5).</w:t>
      </w:r>
    </w:p>
    <w:p w14:paraId="5CADD019" w14:textId="77777777" w:rsidR="00A8138F" w:rsidRDefault="00A8138F" w:rsidP="00A8138F">
      <w:pPr>
        <w:pStyle w:val="TextoNormal"/>
      </w:pPr>
    </w:p>
    <w:p w14:paraId="2F06F2BC" w14:textId="77777777" w:rsidR="00A8138F" w:rsidRDefault="00A8138F" w:rsidP="00A8138F">
      <w:pPr>
        <w:pStyle w:val="TextoNormal"/>
      </w:pPr>
      <w:r>
        <w:t>405. La tipicidad de las infracciones viene impuesta por el artículo 25.1 CE en función de la seguridad jurídica de la persona. Exige con este fin la predeterminación normativa de las conductas infractoras con la mayor precisión posible, para que los ciudadanos puedan conocer de antemano el ámbito de lo proscrito y prever, de esta manera, las consecuencias de sus acciones (SSTC 145/2013, de 11 de julio y 160/2019, de 12 de diciembre).</w:t>
      </w:r>
    </w:p>
    <w:p w14:paraId="2BA1F8E3" w14:textId="77777777" w:rsidR="00A8138F" w:rsidRDefault="00A8138F" w:rsidP="00A8138F">
      <w:pPr>
        <w:pStyle w:val="TextoNormal"/>
      </w:pPr>
    </w:p>
    <w:p w14:paraId="0F20E1BA" w14:textId="77777777" w:rsidR="00A8138F" w:rsidRPr="00A8138F" w:rsidRDefault="00A8138F" w:rsidP="00A8138F">
      <w:pPr>
        <w:pStyle w:val="TextoNormal"/>
        <w:rPr>
          <w:i/>
        </w:rPr>
      </w:pPr>
      <w:r>
        <w:t>406. Dicha imprecisión resulta constitucionalmente intolerable, pues la formulación tan abierta por su amplitud e indefinición, la proyección sobre todos los delitos del Código penal —salvo las excepciones del artículo 2 de la Ley de amnistía— hace depender la condena de las acciones y omisiones o la ejecución de las penas y sanciones, de una decisión prácticamente libre del intérprete y juzgador (entre muchas, SSTC 104/2009, de 4 de mayo, FJ 2; 145/2013, de 11 de julio, FJ 4; 9/2018, de 5 de febrero, FJ 6, o 14/2021, de 28 de enero, FJ 2).</w:t>
      </w:r>
    </w:p>
    <w:p w14:paraId="03667B3A" w14:textId="77777777" w:rsidR="00A8138F" w:rsidRPr="00A8138F" w:rsidRDefault="00A8138F" w:rsidP="00A8138F">
      <w:pPr>
        <w:pStyle w:val="TextoNormal"/>
        <w:rPr>
          <w:i/>
        </w:rPr>
      </w:pPr>
    </w:p>
    <w:p w14:paraId="37B43727" w14:textId="77777777" w:rsidR="00A8138F" w:rsidRPr="00A8138F" w:rsidRDefault="00A8138F" w:rsidP="00A8138F">
      <w:pPr>
        <w:pStyle w:val="TextoNormal"/>
        <w:rPr>
          <w:i/>
        </w:rPr>
      </w:pPr>
      <w:r w:rsidRPr="00A8138F">
        <w:rPr>
          <w:i/>
        </w:rPr>
        <w:t>IV</w:t>
      </w:r>
    </w:p>
    <w:p w14:paraId="095837A9" w14:textId="77777777" w:rsidR="00A8138F" w:rsidRPr="00A8138F" w:rsidRDefault="00A8138F" w:rsidP="00A8138F">
      <w:pPr>
        <w:pStyle w:val="TextoNormal"/>
        <w:rPr>
          <w:i/>
        </w:rPr>
      </w:pPr>
    </w:p>
    <w:p w14:paraId="706FAC97" w14:textId="77777777" w:rsidR="00A8138F" w:rsidRDefault="00A8138F" w:rsidP="00A8138F">
      <w:pPr>
        <w:pStyle w:val="TextoNormal"/>
      </w:pPr>
      <w:r w:rsidRPr="00A8138F">
        <w:rPr>
          <w:i/>
        </w:rPr>
        <w:t>El aval de este tribunal a la Ley de amnistía supone un incumplimiento del Derecho de la Unión por desviarse la sentencia del valor del Estado de Derecho que consagra el artículo 2 TUE y la jurisprudencia del Tribunal de Ju</w:t>
      </w:r>
      <w:r>
        <w:t>sticia</w:t>
      </w:r>
    </w:p>
    <w:p w14:paraId="4CEA0D22" w14:textId="77777777" w:rsidR="00A8138F" w:rsidRPr="00A8138F" w:rsidRDefault="00A8138F" w:rsidP="00A8138F">
      <w:pPr>
        <w:pStyle w:val="TextoNormal"/>
        <w:rPr>
          <w:i/>
        </w:rPr>
      </w:pPr>
    </w:p>
    <w:p w14:paraId="7B9D7715" w14:textId="77777777" w:rsidR="00A8138F" w:rsidRDefault="00A8138F" w:rsidP="00A8138F">
      <w:pPr>
        <w:pStyle w:val="TextoNormal"/>
      </w:pPr>
      <w:r w:rsidRPr="00A8138F">
        <w:rPr>
          <w:i/>
        </w:rPr>
        <w:t>A) Cuestión previa: la sentencia no examina si la Ley de amnistía respeta o no todas las exigencias del Estado de Der</w:t>
      </w:r>
      <w:r>
        <w:t>echo</w:t>
      </w:r>
    </w:p>
    <w:p w14:paraId="6EC074A4" w14:textId="77777777" w:rsidR="00A8138F" w:rsidRDefault="00A8138F" w:rsidP="00A8138F">
      <w:pPr>
        <w:pStyle w:val="TextoNormal"/>
      </w:pPr>
    </w:p>
    <w:p w14:paraId="554DF791" w14:textId="77777777" w:rsidR="00A8138F" w:rsidRDefault="00A8138F" w:rsidP="00A8138F">
      <w:pPr>
        <w:pStyle w:val="TextoNormal"/>
      </w:pPr>
      <w:r>
        <w:t>407. Antes de explicar las razones por las cuales considero que la sentencia que se acaba de aprobar por la mayoría de este tribunal supone una frontal oposición al artículo 2 TUE, que consagra el respeto al valor del Estado de Derecho, debo advertir que se ha avalado la constitucionalidad de la Ley de amnistía, pero, de forma totalmente incomprensible la sentencia reconduce el motivo de inconstitucionalidad alegado por los recurrentes a uno de los principios que integran dicha cláusula, en concreto, a la garantía de la independencia judicial.</w:t>
      </w:r>
    </w:p>
    <w:p w14:paraId="6B5FAAF1" w14:textId="77777777" w:rsidR="00A8138F" w:rsidRDefault="00A8138F" w:rsidP="00A8138F">
      <w:pPr>
        <w:pStyle w:val="TextoNormal"/>
      </w:pPr>
    </w:p>
    <w:p w14:paraId="56930500" w14:textId="77777777" w:rsidR="00A8138F" w:rsidRDefault="00A8138F" w:rsidP="00A8138F">
      <w:pPr>
        <w:pStyle w:val="TextoNormal"/>
      </w:pPr>
      <w:r>
        <w:t>408. No estoy de acuerdo con esta recalificación que hace la sentencia de las pretensiones de los recurrentes pues, como ya he recordado, el recurso de inconstitucionalidad denuncia que la Ley de amnistía ha vulnerado la cláusula de Estado de Derecho, la división de poderes y la exclusividad de la jurisdicción, acudiendo expresamente al artículo 2 TUE y a la jurisprudencia que el Tribunal de Justicia ha desarrollado en relación con la protección de dicha cláusula.</w:t>
      </w:r>
    </w:p>
    <w:p w14:paraId="18B76E8D" w14:textId="77777777" w:rsidR="00A8138F" w:rsidRDefault="00A8138F" w:rsidP="00A8138F">
      <w:pPr>
        <w:pStyle w:val="TextoNormal"/>
      </w:pPr>
    </w:p>
    <w:p w14:paraId="62B20A26" w14:textId="77777777" w:rsidR="00A8138F" w:rsidRDefault="00A8138F" w:rsidP="00A8138F">
      <w:pPr>
        <w:pStyle w:val="TextoNormal"/>
      </w:pPr>
      <w:r>
        <w:t>409. En este sentido, la sentencia de la que discrepo únicamente ha examinado si el Estado de Derecho permite al legislador otorgar amnistías, dedicando a tal efecto un extenso fundamento jurídico (el cuarto) a examinar si la amnistía, como institución y en abstracto, respeta el “principio de separación de poderes” y la “reserva de jurisdicción” que lo caracterizan. Este último examen no es en sí relevante, pues una vez admitida, como hace la sentencia, que la amnistía cabe en la Constitución, se presupone que respeta dichos principios, de modo que lo que resultaba obligado examinar es si esta concreta amnistía, en la forma en que se ha regulado por la Ley Orgánica 1/2024, de 10 de junio, los respeta también.</w:t>
      </w:r>
    </w:p>
    <w:p w14:paraId="17735BD2" w14:textId="77777777" w:rsidR="00A8138F" w:rsidRDefault="00A8138F" w:rsidP="00A8138F">
      <w:pPr>
        <w:pStyle w:val="TextoNormal"/>
      </w:pPr>
    </w:p>
    <w:p w14:paraId="13E72866" w14:textId="77777777" w:rsidR="00A8138F" w:rsidRDefault="00A8138F" w:rsidP="00A8138F">
      <w:pPr>
        <w:pStyle w:val="TextoNormal"/>
      </w:pPr>
      <w:r>
        <w:t>410. A este examen parece que se encamina el fundamento jurídico decimoprimero, si bien no llega a acometer esta tarea, dado que la denuncia de los recurrentes se reconduce a un problema de garantía de independencia judicial, y no examina si la Ley Orgánica de amnistía respeta o no los principios de separación de poderes y la reserva de jurisdicción.</w:t>
      </w:r>
    </w:p>
    <w:p w14:paraId="3F9FC5B6" w14:textId="77777777" w:rsidR="00A8138F" w:rsidRDefault="00A8138F" w:rsidP="00A8138F">
      <w:pPr>
        <w:pStyle w:val="TextoNormal"/>
      </w:pPr>
    </w:p>
    <w:p w14:paraId="3150B484" w14:textId="77777777" w:rsidR="00A8138F" w:rsidRDefault="00A8138F" w:rsidP="00A8138F">
      <w:pPr>
        <w:pStyle w:val="TextoNormal"/>
      </w:pPr>
      <w:r>
        <w:t>411. No puedo compartir esta conclusión, pues los recurrentes han explicado de forma concreta las exigencias que se derivan de la jurisprudencia del Tribunal de Justicia en torno al valor del Estado de Derecho, y que es más amplio que la garantía de la independencia judicial. Además, si la sentencia tiene los elementos suficientes para enjuiciar si las amnistías, como institución y en abstracto, respetan el principio de separación de poderes y el de la reserva de la jurisdicción (en el fundamento jurídico cuarto), los mismos elementos permiten examinar ya de forma concreta si esta amnistía respeta dichos valores, tarea que debía haber acometido en el fundamento jurídico decimoprimero.</w:t>
      </w:r>
    </w:p>
    <w:p w14:paraId="64AEEB20" w14:textId="77777777" w:rsidR="00A8138F" w:rsidRDefault="00A8138F" w:rsidP="00A8138F">
      <w:pPr>
        <w:pStyle w:val="TextoNormal"/>
      </w:pPr>
    </w:p>
    <w:p w14:paraId="58570DB6" w14:textId="77777777" w:rsidR="00A8138F" w:rsidRDefault="00A8138F" w:rsidP="00A8138F">
      <w:pPr>
        <w:pStyle w:val="TextoNormal"/>
      </w:pPr>
      <w:r>
        <w:t>412. La respuesta dada por la sentencia incurre así en una patente incongruencia omisiva con una directa vulneración del derecho a la tutela judicial efectiva de los recurrentes al no haber resuelto sus pretensiones. Ello carece de justificación siendo así además que estamos ante uno de los motivos nucleares en los que se funda el recurso de inconstitucionalidad, su incompatibilidad con el valor del Estado de Derecho, recogido en el artículo 1.1 de la Constitución y en el artículo 2 del Tratado de la Unión Europea, lo que incluye examinar los principios de división de poderes y el de la exclusividad de la jurisdicción.</w:t>
      </w:r>
    </w:p>
    <w:p w14:paraId="42119803" w14:textId="77777777" w:rsidR="00A8138F" w:rsidRDefault="00A8138F" w:rsidP="00A8138F">
      <w:pPr>
        <w:pStyle w:val="TextoNormal"/>
      </w:pPr>
    </w:p>
    <w:p w14:paraId="2A4D5F71" w14:textId="77777777" w:rsidR="00A8138F" w:rsidRDefault="00A8138F" w:rsidP="00A8138F">
      <w:pPr>
        <w:pStyle w:val="TextoNormal"/>
      </w:pPr>
      <w:r>
        <w:t>413. Y la única justificación que puede haber para tal proceder de la mayoría no puede ser otra que la de no querer enfrentarse a la obligación que sobre este tribunal pesa de examinar también la jurisprudencia del Tribunal de Justicia, que ha sido debidamente invocada por la parte recurrente.</w:t>
      </w:r>
    </w:p>
    <w:p w14:paraId="15939286" w14:textId="77777777" w:rsidR="00A8138F" w:rsidRPr="00A8138F" w:rsidRDefault="00A8138F" w:rsidP="00A8138F">
      <w:pPr>
        <w:pStyle w:val="TextoNormal"/>
        <w:rPr>
          <w:i/>
        </w:rPr>
      </w:pPr>
    </w:p>
    <w:p w14:paraId="25F412F6" w14:textId="77777777" w:rsidR="00A8138F" w:rsidRDefault="00A8138F" w:rsidP="00A8138F">
      <w:pPr>
        <w:pStyle w:val="TextoNormal"/>
      </w:pPr>
      <w:r w:rsidRPr="00A8138F">
        <w:rPr>
          <w:i/>
        </w:rPr>
        <w:t>B) La sentencia desconoce el carácter jurídico vinculante del artículo 2 del Tratado de la Unión Eur</w:t>
      </w:r>
      <w:r>
        <w:t>opea</w:t>
      </w:r>
    </w:p>
    <w:p w14:paraId="491221BC" w14:textId="77777777" w:rsidR="00A8138F" w:rsidRDefault="00A8138F" w:rsidP="00A8138F">
      <w:pPr>
        <w:pStyle w:val="TextoNormal"/>
      </w:pPr>
    </w:p>
    <w:p w14:paraId="6727D6B8" w14:textId="77777777" w:rsidR="00A8138F" w:rsidRPr="00A8138F" w:rsidRDefault="00A8138F" w:rsidP="00A8138F">
      <w:pPr>
        <w:pStyle w:val="TextoNormal"/>
        <w:rPr>
          <w:i/>
        </w:rPr>
      </w:pPr>
      <w:r>
        <w:t>414. Como ya he explicado al comienzo del presente voto particular, el Estado de Derecho tal y como lo configura el artículo 2 TUE, es un valor común entre la Unión Europea y los Estados que se adhirieron a ella y que se comprometieron a promover y respetar. Por lo tanto, el juicio de constitucionalidad que hemos de realizar respecto a la Ley de amnistía, al examinar si respeta o no el Estado de Derecho, exige tomar en consideración de forma ineludible los elementos que según la jurisprudencia del Tribunal de Justicia lo caracterizan, y si bien el Tribunal de Luxemburgo aún no se ha pronunciado sobre los límites o estándares que deben cumplir las normas nacionales de amnistía para respetar este valor, a la luz de esta jurisprudencia podemos concluir que la norma que la mayoría acaba de validar infringe el valor del Estado de Derecho y no tiene cabida en el ordenamiento jurídico de la Unión, y, por lo tanto, tampoco en el nuestro</w:t>
      </w:r>
      <w:r w:rsidRPr="00A8138F">
        <w:rPr>
          <w:i/>
        </w:rPr>
        <w:t>.</w:t>
      </w:r>
    </w:p>
    <w:p w14:paraId="0D004C45" w14:textId="77777777" w:rsidR="00A8138F" w:rsidRPr="00A8138F" w:rsidRDefault="00A8138F" w:rsidP="00A8138F">
      <w:pPr>
        <w:pStyle w:val="TextoNormal"/>
        <w:rPr>
          <w:i/>
        </w:rPr>
      </w:pPr>
    </w:p>
    <w:p w14:paraId="22F5818E" w14:textId="77777777" w:rsidR="00A8138F" w:rsidRDefault="00A8138F" w:rsidP="00A8138F">
      <w:pPr>
        <w:pStyle w:val="TextoNormal"/>
      </w:pPr>
      <w:r w:rsidRPr="00A8138F">
        <w:rPr>
          <w:i/>
        </w:rPr>
        <w:t>a) El artículo 2 TUE es un principio que tiene un valor jurídico vinculante y co</w:t>
      </w:r>
      <w:r>
        <w:t>ncreto</w:t>
      </w:r>
    </w:p>
    <w:p w14:paraId="7799B917" w14:textId="77777777" w:rsidR="00A8138F" w:rsidRDefault="00A8138F" w:rsidP="00A8138F">
      <w:pPr>
        <w:pStyle w:val="TextoNormal"/>
      </w:pPr>
    </w:p>
    <w:p w14:paraId="4D93E797" w14:textId="77777777" w:rsidR="00A8138F" w:rsidRDefault="00A8138F" w:rsidP="00A8138F">
      <w:pPr>
        <w:pStyle w:val="TextoNormal"/>
      </w:pPr>
      <w:r>
        <w:t>415. En relación con dichos elementos, lo primero que debe ponerse de manifiesto es que el valor del Estado de Derecho (tal y como resulta del artículo 2 TUE), es un principio que tiene un valor jurídico vinculante.</w:t>
      </w:r>
    </w:p>
    <w:p w14:paraId="32392827" w14:textId="77777777" w:rsidR="00A8138F" w:rsidRDefault="00A8138F" w:rsidP="00A8138F">
      <w:pPr>
        <w:pStyle w:val="TextoNormal"/>
      </w:pPr>
    </w:p>
    <w:p w14:paraId="6B6F056D" w14:textId="77777777" w:rsidR="00A8138F" w:rsidRDefault="00A8138F" w:rsidP="00A8138F">
      <w:pPr>
        <w:pStyle w:val="TextoNormal"/>
      </w:pPr>
      <w:r>
        <w:t>416. Así se desprende de las consideraciones que hizo el Tribunal de Justicia en las dos sentencias de 16 de febrero de 2022 en las que examinó el mecanismo de condicionalidad introducido por el Reglamento (UE, Euratom) 2020/2092 del Parlamento Europeo y del Consejo, de 16 de diciembre de 2020, sobre un régimen general de condicionalidad para la protección del presupuesto de la Unión, y que había sido recurrido tanto por Polonia como por Hungría (SSTJUE de 16 de febrero de 2022, asunto C-157/</w:t>
      </w:r>
      <w:r w:rsidRPr="00A8138F">
        <w:rPr>
          <w:i/>
        </w:rPr>
        <w:t>21, Polonia c. Parlamento y Con</w:t>
      </w:r>
      <w:r>
        <w:t>sejo, y de 16 de febrero de 2022, asunto C-156/</w:t>
      </w:r>
      <w:r w:rsidRPr="00A8138F">
        <w:rPr>
          <w:i/>
        </w:rPr>
        <w:t>21, Hungría c. Parlamento y Con</w:t>
      </w:r>
      <w:r>
        <w:t>sejo).</w:t>
      </w:r>
    </w:p>
    <w:p w14:paraId="5A16E62F" w14:textId="77777777" w:rsidR="00A8138F" w:rsidRDefault="00A8138F" w:rsidP="00A8138F">
      <w:pPr>
        <w:pStyle w:val="TextoNormal"/>
      </w:pPr>
    </w:p>
    <w:p w14:paraId="0533947E" w14:textId="77777777" w:rsidR="00A8138F" w:rsidRDefault="00A8138F" w:rsidP="00A8138F">
      <w:pPr>
        <w:pStyle w:val="TextoNormal"/>
      </w:pPr>
      <w:r>
        <w:t>417. En estos dos pronunciamientos el Tribunal de Justicia dejó dicho que la vulneración de los principios constitutivos del Estado de Derecho “se caracteriza por el incumplimiento de exigencias que los Estados miembros conocen de manera suficientemente concreta y precisa” (STJU</w:t>
      </w:r>
      <w:r w:rsidRPr="00A8138F">
        <w:rPr>
          <w:i/>
        </w:rPr>
        <w:t>E Polonia c. Parlamento y Conse</w:t>
      </w:r>
      <w:r>
        <w:t>jo, § 171). También señaló que el artículo 2 TUE “no constituye una mera enunciación de orientaciones o de intenciones de naturaleza política”, sino que contiene valores que forman parte de la propia identidad de la Unión como ordenamiento jurídico común, valores que se concretan en principios que comportan “obligaciones jurídicamente vinculantes para los Estados miembros” (STJU</w:t>
      </w:r>
      <w:r w:rsidRPr="00A8138F">
        <w:rPr>
          <w:i/>
        </w:rPr>
        <w:t>E Polonia c. Parlamento y Conse</w:t>
      </w:r>
      <w:r>
        <w:t>jo, § 264).</w:t>
      </w:r>
    </w:p>
    <w:p w14:paraId="3E33DE1C" w14:textId="77777777" w:rsidR="00A8138F" w:rsidRDefault="00A8138F" w:rsidP="00A8138F">
      <w:pPr>
        <w:pStyle w:val="TextoNormal"/>
      </w:pPr>
    </w:p>
    <w:p w14:paraId="11F66ABE" w14:textId="77777777" w:rsidR="00A8138F" w:rsidRDefault="00A8138F" w:rsidP="00A8138F">
      <w:pPr>
        <w:pStyle w:val="TextoNormal"/>
      </w:pPr>
      <w:r>
        <w:t>418. Todo ello le lleva a reprochar a Polonia que pretenda alegar que carece de un conocimiento concreto y preciso de las obligaciones de resultado a las que está sujeta por su adhesión a la Unión en lo que atañe al respeto del valor del Estado de Derecho, recordando también que estos principios del Estado de Derecho, tal como se han desarrollado en la jurisprudencia del Tribunal de Justicia sobre la base de los tratados de la Unión, se encuentran así reconocidos y precisados en el ordenamiento jurídico de la Unión y tienen su origen en valores comunes reconocidos y aplicados también por los Estados miembros en sus propios ordenamientos juríd</w:t>
      </w:r>
      <w:r w:rsidRPr="00A8138F">
        <w:rPr>
          <w:i/>
        </w:rPr>
        <w:t>icos (Polonia c. Parlamento y C</w:t>
      </w:r>
      <w:r>
        <w:t>onsejo, § 289 y 291). Y de forma similar afirmó que Hungría no podía sostener que los Estados miembros no estuviesen en condiciones de determinar con la suficiente precisión el contenido esencial y las exigencias que se derivan de los principios de Estado de Derecho, como tampoco podía afirmar que dichos principios eran de naturaleza meramente política y que el control de su respeto no puede ser objeto de una apreciación estrictamente jurídica</w:t>
      </w:r>
      <w:r w:rsidRPr="00A8138F">
        <w:rPr>
          <w:i/>
        </w:rPr>
        <w:t xml:space="preserve"> (STJUE Hungría c. Parlamento y</w:t>
      </w:r>
      <w:r>
        <w:t xml:space="preserve"> Consejo, § 240).</w:t>
      </w:r>
    </w:p>
    <w:p w14:paraId="33C265E1" w14:textId="77777777" w:rsidR="00A8138F" w:rsidRDefault="00A8138F" w:rsidP="00A8138F">
      <w:pPr>
        <w:pStyle w:val="TextoNormal"/>
      </w:pPr>
    </w:p>
    <w:p w14:paraId="13FB45B2" w14:textId="77777777" w:rsidR="00A8138F" w:rsidRPr="00A8138F" w:rsidRDefault="00A8138F" w:rsidP="00A8138F">
      <w:pPr>
        <w:pStyle w:val="TextoNormal"/>
        <w:rPr>
          <w:i/>
        </w:rPr>
      </w:pPr>
      <w:r>
        <w:t>419. Este mismo reproche merece por lo tanto la sentencia aprobada por la mayoría por no examinar si esta concreta amnistía respeta los principios de separación de poderes y la reserva de jurisdicción</w:t>
      </w:r>
      <w:r w:rsidRPr="00A8138F">
        <w:rPr>
          <w:i/>
        </w:rPr>
        <w:t>.</w:t>
      </w:r>
    </w:p>
    <w:p w14:paraId="7DA3A634" w14:textId="77777777" w:rsidR="00A8138F" w:rsidRPr="00A8138F" w:rsidRDefault="00A8138F" w:rsidP="00A8138F">
      <w:pPr>
        <w:pStyle w:val="TextoNormal"/>
        <w:rPr>
          <w:i/>
        </w:rPr>
      </w:pPr>
    </w:p>
    <w:p w14:paraId="58F69D99" w14:textId="77777777" w:rsidR="00A8138F" w:rsidRDefault="00A8138F" w:rsidP="00A8138F">
      <w:pPr>
        <w:pStyle w:val="TextoNormal"/>
      </w:pPr>
      <w:r w:rsidRPr="00A8138F">
        <w:rPr>
          <w:i/>
        </w:rPr>
        <w:t xml:space="preserve">a) Los principios que derivan del valor del Estado de Derecho (artículo </w:t>
      </w:r>
      <w:r>
        <w:t>2 TUE)</w:t>
      </w:r>
    </w:p>
    <w:p w14:paraId="5971FFE4" w14:textId="77777777" w:rsidR="00A8138F" w:rsidRDefault="00A8138F" w:rsidP="00A8138F">
      <w:pPr>
        <w:pStyle w:val="TextoNormal"/>
      </w:pPr>
    </w:p>
    <w:p w14:paraId="2DDB9D68" w14:textId="77777777" w:rsidR="00A8138F" w:rsidRDefault="00A8138F" w:rsidP="00A8138F">
      <w:pPr>
        <w:pStyle w:val="TextoNormal"/>
      </w:pPr>
      <w:r>
        <w:t>420. En segundo lugar, de la jurisprudencia del Tribunal de Justicia se desprende que los elementos principales que conforman esta obligación jurídica que deriva del respeto del Estado de Derecho son el del respeto a la separación de poderes —con la correlativa reserva de la potestad jurisdiccional— y la existencia de un Poder Judicial independiente, así como el respeto al principio de igualdad. Estos tres elementos, tal y como los configura el Tribunal de Justicia, son el principal obstáculo a la constitucionalidad de la Ley de amnistía y por ello los examinaré en primer lugar.</w:t>
      </w:r>
    </w:p>
    <w:p w14:paraId="74CB979C" w14:textId="77777777" w:rsidR="00A8138F" w:rsidRDefault="00A8138F" w:rsidP="00A8138F">
      <w:pPr>
        <w:pStyle w:val="TextoNormal"/>
      </w:pPr>
    </w:p>
    <w:p w14:paraId="7ABC5CD9" w14:textId="77777777" w:rsidR="00A8138F" w:rsidRDefault="00A8138F" w:rsidP="00A8138F">
      <w:pPr>
        <w:pStyle w:val="TextoNormal"/>
      </w:pPr>
      <w:r>
        <w:t>421. No obstante, el Estado de Derecho también exige que se respete el principio de legalidad y de seguridad jurídica junto con la interdicción de la arbitrariedad, elementos que no se cumplen por la presente Ley de amnistía, como examinaré en un segundo momento.</w:t>
      </w:r>
    </w:p>
    <w:p w14:paraId="4F9B6734" w14:textId="77777777" w:rsidR="00A8138F" w:rsidRPr="00A8138F" w:rsidRDefault="00A8138F" w:rsidP="00A8138F">
      <w:pPr>
        <w:pStyle w:val="TextoNormal"/>
        <w:rPr>
          <w:i/>
        </w:rPr>
      </w:pPr>
    </w:p>
    <w:p w14:paraId="7B8F6437" w14:textId="77777777" w:rsidR="00A8138F" w:rsidRDefault="00A8138F" w:rsidP="00A8138F">
      <w:pPr>
        <w:pStyle w:val="TextoNormal"/>
      </w:pPr>
      <w:r w:rsidRPr="00A8138F">
        <w:rPr>
          <w:i/>
        </w:rPr>
        <w:t>C) La ley de amnistía, al perseguir un fin meramente político, es incompatible con los principios de separación de poderes, independencia judicial e igualdad ante la ley que protege el artículo 2</w:t>
      </w:r>
      <w:r>
        <w:t xml:space="preserve"> TUE</w:t>
      </w:r>
    </w:p>
    <w:p w14:paraId="13D0B930" w14:textId="77777777" w:rsidR="00A8138F" w:rsidRDefault="00A8138F" w:rsidP="00A8138F">
      <w:pPr>
        <w:pStyle w:val="TextoNormal"/>
      </w:pPr>
    </w:p>
    <w:p w14:paraId="0D5569E1" w14:textId="77777777" w:rsidR="00A8138F" w:rsidRDefault="00A8138F" w:rsidP="00A8138F">
      <w:pPr>
        <w:pStyle w:val="TextoNormal"/>
      </w:pPr>
      <w:r>
        <w:t>422. El principio de separación de poderes es un elemento estructural en la jurisprudencia del Tribunal de Justicia de la Unión Europea, y en todas las sentencias en las que ha examinado si las normas nacionales de determinados Estados miembros respetaban el valor del Estado de Derecho y la independencia judicial, a la luz de los artículos 2 y 19 TUE, tienen como denominador común la necesidad de garantizar que las decisiones judiciales no queden sometidas al poder político.</w:t>
      </w:r>
    </w:p>
    <w:p w14:paraId="3B5A2BCF" w14:textId="77777777" w:rsidR="00A8138F" w:rsidRDefault="00A8138F" w:rsidP="00A8138F">
      <w:pPr>
        <w:pStyle w:val="TextoNormal"/>
      </w:pPr>
    </w:p>
    <w:p w14:paraId="29C17E05" w14:textId="77777777" w:rsidR="00A8138F" w:rsidRDefault="00A8138F" w:rsidP="00A8138F">
      <w:pPr>
        <w:pStyle w:val="TextoNormal"/>
      </w:pPr>
      <w:r>
        <w:t>423. Bajo esa premisa el Tribunal de Justicia ha dictado un gran número de sentencias declarando contrarias al valor del Estado de Derecho aquellas normas nacionales en las que había riesgo de que el poder político influyese en las decisiones del Poder Judicial, y que habían sido aprobadas principalmente en Polonia y Rumanía. Todas estas sentencias se asientan, como nos recuerda el Tribunal de Justicia, en la premisa de que “[c]onforme al principio de separación de poderes que caracteriza el funcionamiento de un Estado de Derecho, debe garantizarse la independencia de los tribunales frente a los poderes Legislativo y Ejecutivo”, y, a este respecto, resulta importante que los jueces se encuentren protegidos frente a intervenciones o presiones externas que puedan amenazar su independencia [entre otras, SSTJUE de 19 de noviembre de 2019, asuntos acumulados C-585/18, C-624/18 y C-625/18</w:t>
      </w:r>
      <w:r w:rsidRPr="00A8138F">
        <w:rPr>
          <w:i/>
        </w:rPr>
        <w:t>, A.K. y otr</w:t>
      </w:r>
      <w:r>
        <w:t>os (independencia de la Sala Disciplinaria del Tribunal Supremo), § 124 y 125; de 2 de marzo de 2021, asunto C-824/</w:t>
      </w:r>
      <w:r w:rsidRPr="00A8138F">
        <w:rPr>
          <w:i/>
        </w:rPr>
        <w:t xml:space="preserve">18, </w:t>
      </w:r>
      <w:r>
        <w:t>A.</w:t>
      </w:r>
      <w:r w:rsidRPr="00A8138F">
        <w:rPr>
          <w:i/>
        </w:rPr>
        <w:t>B., y otros c. Krajowa Rada Sadownictwa y o</w:t>
      </w:r>
      <w:r>
        <w:t>tros, § 118 y 119; de 20 de abril de 2021, C-89</w:t>
      </w:r>
      <w:r w:rsidRPr="00A8138F">
        <w:rPr>
          <w:i/>
        </w:rPr>
        <w:t>6/19, Repu</w:t>
      </w:r>
      <w:r>
        <w:t>blikka, § 54 y 55, y de 16 de noviembre de 2021, asuntos acumulados C-748/19 a C-75</w:t>
      </w:r>
      <w:r w:rsidRPr="00A8138F">
        <w:rPr>
          <w:i/>
        </w:rPr>
        <w:t>4/19, W.B., y</w:t>
      </w:r>
      <w:r>
        <w:t xml:space="preserve"> otros, § 68 a 69].</w:t>
      </w:r>
    </w:p>
    <w:p w14:paraId="16D2F7D2" w14:textId="77777777" w:rsidR="00A8138F" w:rsidRDefault="00A8138F" w:rsidP="00A8138F">
      <w:pPr>
        <w:pStyle w:val="TextoNormal"/>
      </w:pPr>
    </w:p>
    <w:p w14:paraId="66AD0922" w14:textId="77777777" w:rsidR="00A8138F" w:rsidRDefault="00A8138F" w:rsidP="00A8138F">
      <w:pPr>
        <w:pStyle w:val="TextoNormal"/>
      </w:pPr>
      <w:r>
        <w:t>424. Tratándose en el caso que nos ocupa de una norma de amnistía, debe partirse del hecho de que toda amnistía supone, por su propia naturaleza, una injerencia en el Poder Judicial, dado que se anulan las condenas impuestas, se dejan sin efecto las ejecuciones de las penas, se sobreseen los procedimientos iniciados y no se inician los que están pendientes de iniciarse. Es decir, es una norma que, por un lado, priva a los jueces de su función jurisdiccional —tanto la ya ejercida como la que está llamada a ejercerse— y, por otro lado, privilegia a unos ciudadanos frente a otros en el castigo penal, introduciendo una diferencia de trato en la aplicación de la ley penal. Es precisamente por estas dos razones por las que es aún más importante que toda ley de amnistía respete las exigencias mínimas propias de un Estado de Derecho.</w:t>
      </w:r>
    </w:p>
    <w:p w14:paraId="300BB8B5" w14:textId="77777777" w:rsidR="00A8138F" w:rsidRPr="00A8138F" w:rsidRDefault="00A8138F" w:rsidP="00A8138F">
      <w:pPr>
        <w:pStyle w:val="TextoNormal"/>
        <w:rPr>
          <w:i/>
        </w:rPr>
      </w:pPr>
    </w:p>
    <w:p w14:paraId="0B241A03" w14:textId="77777777" w:rsidR="00A8138F" w:rsidRDefault="00A8138F" w:rsidP="00A8138F">
      <w:pPr>
        <w:pStyle w:val="TextoNormal"/>
      </w:pPr>
      <w:r w:rsidRPr="00A8138F">
        <w:rPr>
          <w:i/>
        </w:rPr>
        <w:t>a) Una norma de amnistía solo puede responder a un ideal de just</w:t>
      </w:r>
      <w:r>
        <w:t>icia</w:t>
      </w:r>
    </w:p>
    <w:p w14:paraId="30B2D1DB" w14:textId="77777777" w:rsidR="00A8138F" w:rsidRDefault="00A8138F" w:rsidP="00A8138F">
      <w:pPr>
        <w:pStyle w:val="TextoNormal"/>
      </w:pPr>
    </w:p>
    <w:p w14:paraId="35A00B60" w14:textId="77777777" w:rsidR="00A8138F" w:rsidRDefault="00A8138F" w:rsidP="00A8138F">
      <w:pPr>
        <w:pStyle w:val="TextoNormal"/>
      </w:pPr>
      <w:r>
        <w:t>425. Lo primero que debo poner de manifiesto es que, como ya he señalado al examinar los motivos del recurso de inconstitucionalidad (apartado 235), resulta cuanto menos sorprendente que una sentencia dictada por este tribunal pueda llegar a afirmar que las normas no tienen por qué responder a un ideal de justicia. Obviamente, las motivaciones que llevan al legislador a aprobar las normas pueden ser varias y diversas, pues las normas que rigen nuestro ordenamiento jurídico inciden en ámbitos a su vez muy diversos y variados y no podemos pedir una homogeneidad de fines al legislador.</w:t>
      </w:r>
    </w:p>
    <w:p w14:paraId="72F9B879" w14:textId="77777777" w:rsidR="00A8138F" w:rsidRDefault="00A8138F" w:rsidP="00A8138F">
      <w:pPr>
        <w:pStyle w:val="TextoNormal"/>
      </w:pPr>
    </w:p>
    <w:p w14:paraId="0024038B" w14:textId="77777777" w:rsidR="00A8138F" w:rsidRDefault="00A8138F" w:rsidP="00A8138F">
      <w:pPr>
        <w:pStyle w:val="TextoNormal"/>
      </w:pPr>
      <w:r>
        <w:t>426. Pero afirmar que una norma no tiene que responder a un ideal último de justicia no es compatible con ningún sistema jurídico, que precisamente tiende a ese ideal. Resulta verdaderamente preocupante que para poder respaldar esta afirmación tengamos que acudir al Tribunal de Justicia que desde la senten</w:t>
      </w:r>
      <w:r w:rsidRPr="00A8138F">
        <w:rPr>
          <w:i/>
        </w:rPr>
        <w:t xml:space="preserve">cia </w:t>
      </w:r>
      <w:r>
        <w:t>ASJP nos recuerda que “la Unión se fundamenta en valores, tales como el Estado de Derecho, que son comunes a los Estados miembros en una sociedad caracterizada, entre otras cosas, por la justicia” (STJUE de 27 de febrero de 2018, asunto C-64/</w:t>
      </w:r>
      <w:r w:rsidRPr="00A8138F">
        <w:rPr>
          <w:i/>
        </w:rPr>
        <w:t xml:space="preserve">16, </w:t>
      </w:r>
      <w:r>
        <w:t>ASJP, § 30, y también en la STJUE de 20 de abril de 2021, asunto C-896/</w:t>
      </w:r>
      <w:r w:rsidRPr="00A8138F">
        <w:rPr>
          <w:i/>
        </w:rPr>
        <w:t>19, Repubb</w:t>
      </w:r>
      <w:r>
        <w:t>lika, § 62).</w:t>
      </w:r>
    </w:p>
    <w:p w14:paraId="61DBB1A0" w14:textId="77777777" w:rsidR="00A8138F" w:rsidRDefault="00A8138F" w:rsidP="00A8138F">
      <w:pPr>
        <w:pStyle w:val="TextoNormal"/>
      </w:pPr>
    </w:p>
    <w:p w14:paraId="22E766BD" w14:textId="77777777" w:rsidR="00A8138F" w:rsidRDefault="00A8138F" w:rsidP="00A8138F">
      <w:pPr>
        <w:pStyle w:val="TextoNormal"/>
      </w:pPr>
      <w:r>
        <w:t>427. El hecho de que las sociedades democráticas se caractericen por la justicia implica que ninguna manifestación jurídica puede prescindir del ideal de la justicia. Y ello es aún más imperativo cuando se trata del uso de un instrumento tan excepcional como es el de la amnistía, en cuyo caso la legitimidad constitucional de su uso solo y únicamente puede residir en una finalidad que sea compatible con los valores propios de un sistema democrático, y debe responder imperativamente a dicho ideal.</w:t>
      </w:r>
    </w:p>
    <w:p w14:paraId="6B21AE9F" w14:textId="77777777" w:rsidR="00A8138F" w:rsidRDefault="00A8138F" w:rsidP="00A8138F">
      <w:pPr>
        <w:pStyle w:val="TextoNormal"/>
      </w:pPr>
    </w:p>
    <w:p w14:paraId="1E0607FB" w14:textId="77777777" w:rsidR="00A8138F" w:rsidRDefault="00A8138F" w:rsidP="00A8138F">
      <w:pPr>
        <w:pStyle w:val="TextoNormal"/>
      </w:pPr>
      <w:r>
        <w:t>428. La sentencia aprobada por la mayoría destierra estos requisitos y adopta una tesis que se va repitiendo recurrentemente con arreglo a la cual lo esencial es que la amnistía responda a una situación que sea “excepcional”; ahora bien, en ningún momento nos llega a explicar cuáles son los parámetros objetivos y generales que permiten verificar que una situación es excepcional, y, por otro lado, se olvida de que en los precedentes constitucionales en los que se basa (SSTC 63/1983 y 147/1986, que he examinado en los apartados 250 a 254 de este voto), lo excepcional no es la situación, o el fin que se persigue, sino el uso en sí mismo del instrumento jurídico de la amnistía.</w:t>
      </w:r>
    </w:p>
    <w:p w14:paraId="35CBB631" w14:textId="77777777" w:rsidR="00A8138F" w:rsidRDefault="00A8138F" w:rsidP="00A8138F">
      <w:pPr>
        <w:pStyle w:val="TextoNormal"/>
      </w:pPr>
    </w:p>
    <w:p w14:paraId="0597CBDA" w14:textId="77777777" w:rsidR="00A8138F" w:rsidRDefault="00A8138F" w:rsidP="00A8138F">
      <w:pPr>
        <w:pStyle w:val="TextoNormal"/>
      </w:pPr>
      <w:r>
        <w:t>429. Una medida de amnistía, como nos ha dicho también el Tribunal Europeo de Derechos Humanos, solo es posible cuando existen determinadas circunstancias “particulares” —que no “excepcionales”— residiendo dicha particularidad, por ejemplo, en la existencia de un proceso de reconciliación y/o una forma de compensación para las víctimas (STEDH de 27 de mayo de 2014, asu</w:t>
      </w:r>
      <w:r w:rsidRPr="00A8138F">
        <w:rPr>
          <w:i/>
        </w:rPr>
        <w:t>nto Marguš c. Cro</w:t>
      </w:r>
      <w:r>
        <w:t>acia, § 139).</w:t>
      </w:r>
    </w:p>
    <w:p w14:paraId="234C6282" w14:textId="77777777" w:rsidR="00A8138F" w:rsidRDefault="00A8138F" w:rsidP="00A8138F">
      <w:pPr>
        <w:pStyle w:val="TextoNormal"/>
      </w:pPr>
    </w:p>
    <w:p w14:paraId="3B39AE11" w14:textId="77777777" w:rsidR="00A8138F" w:rsidRDefault="00A8138F" w:rsidP="00A8138F">
      <w:pPr>
        <w:pStyle w:val="TextoNormal"/>
      </w:pPr>
      <w:r>
        <w:t>430. A estos fines que legitiman el uso de una amnistía ya me he referido al examinar los motivos de inconstitucionalidad (apartados 248 y 249), si bien debo insistir en que en una sociedad caracterizada por la justicia no es tolerable el argumento que da la sentencia para desterrar la arbitrariedad del legislador cuando identifica como acontecimientos extraordinarios en los que puede encontrar justificación el otorgamiento de una amnistía la respuesta legítima que el Estado de Derecho dio a las consultas independentistas.</w:t>
      </w:r>
    </w:p>
    <w:p w14:paraId="1F21C74B" w14:textId="77777777" w:rsidR="00A8138F" w:rsidRDefault="00A8138F" w:rsidP="00A8138F">
      <w:pPr>
        <w:pStyle w:val="TextoNormal"/>
      </w:pPr>
    </w:p>
    <w:p w14:paraId="00DD1B39" w14:textId="77777777" w:rsidR="00A8138F" w:rsidRDefault="00A8138F" w:rsidP="00A8138F">
      <w:pPr>
        <w:pStyle w:val="TextoNormal"/>
      </w:pPr>
      <w:r>
        <w:t>431. Esta respuesta se materializó en las actuaciones estatales que debieron promoverse con carácter necesario para restaurar el quebranto constitucional, incluyendo, como explica la sentencia, la aplicación del artículo 155 CE y la aplicación de la legislación penal correspondiente. Es decir, el Estado de Derecho respondió por las vías constitucionales y legales a la subversión del orden constitucional que produjo la celebración de las consultas ilegales, ante la negación de los derechos a los ciudadanos y ante las graves intimidaciones que se produjeron, y esta respuesta fue legítima y no puede considerarse, como hace la sentencia, la causa extraordinaria que justifica la concesión de la amnistía.</w:t>
      </w:r>
    </w:p>
    <w:p w14:paraId="29EFE595" w14:textId="77777777" w:rsidR="00A8138F" w:rsidRDefault="00A8138F" w:rsidP="00A8138F">
      <w:pPr>
        <w:pStyle w:val="TextoNormal"/>
      </w:pPr>
    </w:p>
    <w:p w14:paraId="51BB0796" w14:textId="77777777" w:rsidR="00A8138F" w:rsidRDefault="00A8138F" w:rsidP="00A8138F">
      <w:pPr>
        <w:pStyle w:val="TextoNormal"/>
      </w:pPr>
      <w:r>
        <w:t>432. La amnistía, insisto, produce un desequilibrio entre la relación normal de poderes que debe haber en un Estado de Derecho, e introduce una desigualdad entre los ciudadanos en la aplicación de la ley penal, por ello debe perseguir un fin compatible con el Estado de Derecho y atender al ideal de justicia. De lo contrario, estaríamos avalando la arbitrariedad en el uso de un instrumento que sup</w:t>
      </w:r>
      <w:r w:rsidRPr="00A8138F">
        <w:rPr>
          <w:i/>
        </w:rPr>
        <w:t>one pe</w:t>
      </w:r>
      <w:r>
        <w:t>r se la intromisión en el ejercicio del Poder Judicial y el privilegio de la impunidad a determinadas a personas.</w:t>
      </w:r>
    </w:p>
    <w:p w14:paraId="2E92CFBE" w14:textId="77777777" w:rsidR="00A8138F" w:rsidRDefault="00A8138F" w:rsidP="00A8138F">
      <w:pPr>
        <w:pStyle w:val="TextoNormal"/>
      </w:pPr>
    </w:p>
    <w:p w14:paraId="5F50CB76" w14:textId="77777777" w:rsidR="00A8138F" w:rsidRDefault="00A8138F" w:rsidP="00A8138F">
      <w:pPr>
        <w:pStyle w:val="TextoNormal"/>
      </w:pPr>
      <w:r>
        <w:t>433. En este sentido cabe también recordar que para amparar una diferencia de trato establecida por ley, y considerarla compatible con el derecho a la igualdad recogido en el artículo 20 CDFUE, el Tribunal de Justicia viene exigiendo que esta diferencia se base en “un criterio objetivo y razonable”, es decir, debe concurrir “un fin legalmente admisible” perseguido por la normativa en cuestión, y esta diferencia debe ser “proporcionada al objetivo perseguido por dicho trato” (por todas, STJUE de 22 de mayo de 2014, asunto C-35</w:t>
      </w:r>
      <w:r w:rsidRPr="00A8138F">
        <w:rPr>
          <w:i/>
        </w:rPr>
        <w:t xml:space="preserve">6/12, Wolfgang Glatzel c. Freistaat </w:t>
      </w:r>
      <w:r>
        <w:t>Bayern, § 43).</w:t>
      </w:r>
    </w:p>
    <w:p w14:paraId="6F059931" w14:textId="77777777" w:rsidR="00A8138F" w:rsidRDefault="00A8138F" w:rsidP="00A8138F">
      <w:pPr>
        <w:pStyle w:val="TextoNormal"/>
      </w:pPr>
    </w:p>
    <w:p w14:paraId="2ECF7D31" w14:textId="77777777" w:rsidR="00A8138F" w:rsidRDefault="00A8138F" w:rsidP="00A8138F">
      <w:pPr>
        <w:pStyle w:val="TextoNormal"/>
      </w:pPr>
      <w:r>
        <w:t>434. Estos criterios son trasladables a cualquier norma de amnistía, como la Comisión de Venecia dejó constancia en el dictamen en el que examinó la proposición de ley de amnistía española, explicando que las amnistías deben perseguir un objetivo legítimo en interés de la comunidad, y, cuanto más radicales sean las amnistías, más legítimos deben ser los objetivos; también dejó señalado que era necesario que la medida fuese proporcionada y, a tal efecto, la amnistía propuesta debería ser un medio adecuado para lograr en última instancia dicho objetivo legítimo (§ 80 del dictamen aprobado en su sesión 130, 15-16 marzo de 2024).</w:t>
      </w:r>
    </w:p>
    <w:p w14:paraId="1F5E8C04" w14:textId="77777777" w:rsidR="00A8138F" w:rsidRPr="00A8138F" w:rsidRDefault="00A8138F" w:rsidP="00A8138F">
      <w:pPr>
        <w:pStyle w:val="TextoNormal"/>
        <w:rPr>
          <w:i/>
        </w:rPr>
      </w:pPr>
    </w:p>
    <w:p w14:paraId="4F968E13" w14:textId="77777777" w:rsidR="00A8138F" w:rsidRDefault="00A8138F" w:rsidP="00A8138F">
      <w:pPr>
        <w:pStyle w:val="TextoNormal"/>
      </w:pPr>
      <w:r w:rsidRPr="00A8138F">
        <w:rPr>
          <w:i/>
        </w:rPr>
        <w:t>b) En aplicación de la jurisprudencia del Tribunal de Justicia, el control de constitucionalidad exige indagar cuál es la verdadera finalidad que persiguió el legislador orgánico al aprobar la Ley de amni</w:t>
      </w:r>
      <w:r>
        <w:t>stía</w:t>
      </w:r>
    </w:p>
    <w:p w14:paraId="5AD2ED01" w14:textId="77777777" w:rsidR="00A8138F" w:rsidRDefault="00A8138F" w:rsidP="00A8138F">
      <w:pPr>
        <w:pStyle w:val="TextoNormal"/>
      </w:pPr>
    </w:p>
    <w:p w14:paraId="7DF354C8" w14:textId="77777777" w:rsidR="00A8138F" w:rsidRDefault="00A8138F" w:rsidP="00A8138F">
      <w:pPr>
        <w:pStyle w:val="TextoNormal"/>
      </w:pPr>
      <w:r>
        <w:t>435. La legitimidad constitucional de una amnistía, como acabo de explicar, solo puede depender de la finalidad que ha guiado al legislador en su aprobación, y se exige que esta finalidad sea compatible con los postulados democráticos, en particular, con el citado valor de justicia. Y, en contra de lo que afirma la sentencia, ello exige un control que no se agote en lo formal o en las justificaciones aparentes dadas por el legislador, sino que es necesario ahondar y descubrir la finalidad real o última.</w:t>
      </w:r>
    </w:p>
    <w:p w14:paraId="11993F6E" w14:textId="77777777" w:rsidR="00A8138F" w:rsidRDefault="00A8138F" w:rsidP="00A8138F">
      <w:pPr>
        <w:pStyle w:val="TextoNormal"/>
      </w:pPr>
    </w:p>
    <w:p w14:paraId="6C2D8149" w14:textId="77777777" w:rsidR="00A8138F" w:rsidRDefault="00A8138F" w:rsidP="00A8138F">
      <w:pPr>
        <w:pStyle w:val="TextoNormal"/>
      </w:pPr>
      <w:r>
        <w:t>436. Nos encontramos ante un instrumento cuyo uso solo puede admitirse en un Estado democrático de forma totalmente excepcional, dado que altera el normal equilibrio entre poderes que lo caracterizan y que debe partir de la premisa general de que ni el Poder Ejecutivo ni el Poder Legislativo pueden invalidar las decisiones judiciales. Precisamente es esta excepcionalidad lo que determina que los principios generales de control a los que se sujeta la actividad del legislador no pueden extrapolarse de forma automática porque el legislador no está llevando a cabo su función legislativa ordinaria, está aprobando una norma que, insisto, invalida decisiones judiciales y rompe la igualdad entre los ciudadanos y que, en consecuencia, exige unas cautelas y controles específicos.</w:t>
      </w:r>
    </w:p>
    <w:p w14:paraId="44F3E0AA" w14:textId="77777777" w:rsidR="00A8138F" w:rsidRDefault="00A8138F" w:rsidP="00A8138F">
      <w:pPr>
        <w:pStyle w:val="TextoNormal"/>
      </w:pPr>
    </w:p>
    <w:p w14:paraId="6A401790" w14:textId="77777777" w:rsidR="00A8138F" w:rsidRDefault="00A8138F" w:rsidP="00A8138F">
      <w:pPr>
        <w:pStyle w:val="TextoNormal"/>
      </w:pPr>
      <w:r>
        <w:t>437. Por ello, no puedo compartir el razonamiento de la sentencia aprobada por la mayoría cuando considera que este tribunal no puede examinar cual ha sido la verdadera intención del legislador orgánico al aprobar la amnistía, y que el control debe ser “meramente externo, sin examinar el juicio político subyacente”. Esta afirmación se va justificando en distintos momentos del razonamiento jurídico adoptado por la mayoría en que se va haciendo referencia a la imposibilidad de controlar las intenciones del legislador, llegando a afirmar que los motivos o intenciones de quienes promovieron la aprobación de esta ley orgánica son “una cuestión ajena a lo jurídico”.</w:t>
      </w:r>
    </w:p>
    <w:p w14:paraId="7A2FC396" w14:textId="77777777" w:rsidR="00A8138F" w:rsidRDefault="00A8138F" w:rsidP="00A8138F">
      <w:pPr>
        <w:pStyle w:val="TextoNormal"/>
      </w:pPr>
    </w:p>
    <w:p w14:paraId="0B558EF9" w14:textId="77777777" w:rsidR="00A8138F" w:rsidRDefault="00A8138F" w:rsidP="00A8138F">
      <w:pPr>
        <w:pStyle w:val="TextoNormal"/>
      </w:pPr>
      <w:r>
        <w:t>438. Esta premisa de la que parte la sentencia, y que impide en un momento posterior controlar si la norma ha sido o no arbitraria en atención a la finalidad perseguida, no solo está huérfana de argumentos sólidos que la sustente, sino que además es incompatible con las exigencias propias del Estado de Derecho, tal y como lo define la jurisprudencia del Tribunal de Justicia.</w:t>
      </w:r>
    </w:p>
    <w:p w14:paraId="6D4E5AC9" w14:textId="77777777" w:rsidR="00A8138F" w:rsidRDefault="00A8138F" w:rsidP="00A8138F">
      <w:pPr>
        <w:pStyle w:val="TextoNormal"/>
      </w:pPr>
    </w:p>
    <w:p w14:paraId="787A9CF7" w14:textId="77777777" w:rsidR="00A8138F" w:rsidRDefault="00A8138F" w:rsidP="00A8138F">
      <w:pPr>
        <w:pStyle w:val="TextoNormal"/>
      </w:pPr>
      <w:r>
        <w:t>439. La jurisprudencia de este último tribunal exige que el juez que debe examinar si una norma nacional respeta los postulados del Estado de Derecho, lleve a cabo una valoración en conjunto o “combinado” de todos los elementos pertinentes, tal y como dejó sentado e</w:t>
      </w:r>
      <w:r w:rsidRPr="00A8138F">
        <w:rPr>
          <w:i/>
        </w:rPr>
        <w:t>n A.</w:t>
      </w:r>
      <w:r>
        <w:t>K. (STJUE de 19 de noviembre de 2019, C-585/18, C-624/18 y C-625/18, § 142). Y se refiere más concretamente al “conjunto de los elementos pertinentes que caracterizan tal proceso en un contexto jurídico-fáctico nacional”, como dejó sentado</w:t>
      </w:r>
      <w:r w:rsidRPr="00A8138F">
        <w:rPr>
          <w:i/>
        </w:rPr>
        <w:t xml:space="preserve"> en</w:t>
      </w:r>
      <w:r>
        <w:t xml:space="preserve"> A.B. (STJUE de 2 de marzo de 2021, C-824/18, § 129 y 156), y ha reiterado más recientemente en la sentencia de 22 de marzo de 2022, asunto C-508/</w:t>
      </w:r>
      <w:r w:rsidRPr="00A8138F">
        <w:rPr>
          <w:i/>
        </w:rPr>
        <w:t>19, Prokurator Generalny (Chambre disciplinaire de la Cour suprême – Nominat</w:t>
      </w:r>
      <w:r>
        <w:t>ion), § 80.</w:t>
      </w:r>
    </w:p>
    <w:p w14:paraId="69949D20" w14:textId="77777777" w:rsidR="00A8138F" w:rsidRDefault="00A8138F" w:rsidP="00A8138F">
      <w:pPr>
        <w:pStyle w:val="TextoNormal"/>
      </w:pPr>
    </w:p>
    <w:p w14:paraId="507D1D79" w14:textId="77777777" w:rsidR="00A8138F" w:rsidRDefault="00A8138F" w:rsidP="00A8138F">
      <w:pPr>
        <w:pStyle w:val="TextoNormal"/>
      </w:pPr>
      <w:r>
        <w:t>440. La sentencia aprobada por la mayoría rechaza aplicar esta jurisprudencia porque no la considera pertinente, aduciendo al respecto, por un lado, que los pronunciamientos europeos “no pueden constituir canon autónomo de enjuiciamiento constitucional”, y, por otro lado, argumentando que las sentencias del Tribunal de Justicia nada tienen que ver con la cuestión de la arbitrariedad de las actuaciones del Poder Legislativo, ni pueden avalar la pretensión de levantar el velo de la retórica del preámbulo; y llega a afirmar que cuando las sentencias se refieren a la apreciación del contexto fáctico-jurídico nacional eso es simplemente algo totalmente habitual, propio de la interrelación entre ordenamientos y el diferente plano de enjuiciamiento de los respectivos órganos jurisdiccionales que nada tiene que ver con lo que se plantea en la Ley de amnistía.</w:t>
      </w:r>
    </w:p>
    <w:p w14:paraId="41FD1BA9" w14:textId="77777777" w:rsidR="00A8138F" w:rsidRDefault="00A8138F" w:rsidP="00A8138F">
      <w:pPr>
        <w:pStyle w:val="TextoNormal"/>
      </w:pPr>
    </w:p>
    <w:p w14:paraId="29361B68" w14:textId="77777777" w:rsidR="00A8138F" w:rsidRDefault="00A8138F" w:rsidP="00A8138F">
      <w:pPr>
        <w:pStyle w:val="TextoNormal"/>
      </w:pPr>
      <w:r>
        <w:t>441. A la luz de la jurisprudencia del Tribunal de Justicia que acabo de exponer no cabe sostener este razonamiento, porque, en primer lugar, seguir el criterio que impone el Tribunal de Justicia e indagar la intención real del legislador no tiene nada que ver con la doctrina sobre el canon autónomo de enjuiciamiento constitucional que ha desarrollado este tribunal y que supone la imposibilidad de declarar inconstitucional una norma por vulnerar el Derecho de la Unión; lo que las sentencias del Tribunal de Justicia exigen simplemente es que para enjuiciar si se respeta o no el Estado de Derecho este tribunal debe analizar la finalidad real del legislador, y esto no tiene nada que ver con dicho canon autónomo de enjuiciamiento constitucional.</w:t>
      </w:r>
    </w:p>
    <w:p w14:paraId="1C9FCAFE" w14:textId="77777777" w:rsidR="00A8138F" w:rsidRDefault="00A8138F" w:rsidP="00A8138F">
      <w:pPr>
        <w:pStyle w:val="TextoNormal"/>
      </w:pPr>
    </w:p>
    <w:p w14:paraId="177AED09" w14:textId="77777777" w:rsidR="00A8138F" w:rsidRDefault="00A8138F" w:rsidP="00A8138F">
      <w:pPr>
        <w:pStyle w:val="TextoNormal"/>
      </w:pPr>
      <w:r>
        <w:t>442. Y, en segundo lugar, como acabo de explicar, las sentencias del Tribunal de Justicia sí tratan de la cuestión de la arbitrariedad del Poder Legislativo pues no se refieren a otra cosa distinta que precisamente a la infracción que se produce en el valor de Estado de Derecho cuando el legislador aprueba normas que producen una injerencia en el Poder Judicial, y para saber si se produce esa injerencia no es suficiente tomar los elementos pertinentes de forma independiente sino que debe hacerse un examen en conjunto y tomando en cuenta el contexto tanto fáctico como jurídico en el que se aprobó la norma.</w:t>
      </w:r>
    </w:p>
    <w:p w14:paraId="0A159037" w14:textId="77777777" w:rsidR="00A8138F" w:rsidRDefault="00A8138F" w:rsidP="00A8138F">
      <w:pPr>
        <w:pStyle w:val="TextoNormal"/>
      </w:pPr>
    </w:p>
    <w:p w14:paraId="1FBD50FF" w14:textId="77777777" w:rsidR="00A8138F" w:rsidRDefault="00A8138F" w:rsidP="00A8138F">
      <w:pPr>
        <w:pStyle w:val="TextoNormal"/>
      </w:pPr>
      <w:r>
        <w:t>443. Es evidente que esta es además la única forma de saber si con una norma determinada el legislador pretende controlar al Poder Judicial, o si introduce injerencias en el mismo persiguiendo un fin que es arbitrario, porque, como es evidente, no es esperable que así nos lo explique el legislador en el preámbulo de la norma, finalidad que va a intentar “camuflar” con justificaciones aparentemente legítimas. Por ello, solo examinando todos los elementos pertinentes, fácticos y jurídicos que se dieron en el momento de la aprobación de la norma podremos saber si dicha injerencia se produce o no.</w:t>
      </w:r>
    </w:p>
    <w:p w14:paraId="6E1C3862" w14:textId="77777777" w:rsidR="00A8138F" w:rsidRDefault="00A8138F" w:rsidP="00A8138F">
      <w:pPr>
        <w:pStyle w:val="TextoNormal"/>
      </w:pPr>
    </w:p>
    <w:p w14:paraId="5048F453" w14:textId="77777777" w:rsidR="00A8138F" w:rsidRDefault="00A8138F" w:rsidP="00A8138F">
      <w:pPr>
        <w:pStyle w:val="TextoNormal"/>
      </w:pPr>
      <w:r>
        <w:t>444. Por lo tanto, la sentencia aprobada por la mayoría se separa de la jurisprudencia del Tribunal de Justicia cuando rechaza controlar las circunstancias de hecho y de Derecho en que se ha aprobado la Ley Orgánica de amnistía para comprobar si respeta o no la cláusula del Estado de Derecho.</w:t>
      </w:r>
    </w:p>
    <w:p w14:paraId="29589045" w14:textId="77777777" w:rsidR="00A8138F" w:rsidRPr="00A8138F" w:rsidRDefault="00A8138F" w:rsidP="00A8138F">
      <w:pPr>
        <w:pStyle w:val="TextoNormal"/>
        <w:rPr>
          <w:i/>
        </w:rPr>
      </w:pPr>
    </w:p>
    <w:p w14:paraId="458E6CD5" w14:textId="77777777" w:rsidR="00A8138F" w:rsidRDefault="00A8138F" w:rsidP="00A8138F">
      <w:pPr>
        <w:pStyle w:val="TextoNormal"/>
      </w:pPr>
      <w:r w:rsidRPr="00A8138F">
        <w:rPr>
          <w:i/>
        </w:rPr>
        <w:t>c) La amnistía fue fruto de una transacción política para conseguir la investidura del candidato a la Presidencia de Gobierno a cambio de la impunidad penal de los que la vot</w:t>
      </w:r>
      <w:r>
        <w:t>aron</w:t>
      </w:r>
    </w:p>
    <w:p w14:paraId="78675905" w14:textId="77777777" w:rsidR="00A8138F" w:rsidRDefault="00A8138F" w:rsidP="00A8138F">
      <w:pPr>
        <w:pStyle w:val="TextoNormal"/>
      </w:pPr>
    </w:p>
    <w:p w14:paraId="7E3391D2" w14:textId="77777777" w:rsidR="00A8138F" w:rsidRDefault="00A8138F" w:rsidP="00A8138F">
      <w:pPr>
        <w:pStyle w:val="TextoNormal"/>
      </w:pPr>
      <w:r>
        <w:t>445. El examen de todos los elementos de hecho y de Derecho y el contexto en el que se aprobó la Ley de amnistía permite afirmar que el legislador incurre en una clara y patente desviación de poder, al presentarnos como justificación de la medida adoptada la supuesta voluntad de pacificación social, cuando la única finalidad que llevó a la aprobación de la amnistía fue la de conseguir el voto de siete diputados del partido político Junts per Catalunya para la investidura del candidato a la Presidencia del Gobierno de España.</w:t>
      </w:r>
    </w:p>
    <w:p w14:paraId="6BBDE339" w14:textId="77777777" w:rsidR="00A8138F" w:rsidRDefault="00A8138F" w:rsidP="00A8138F">
      <w:pPr>
        <w:pStyle w:val="TextoNormal"/>
      </w:pPr>
    </w:p>
    <w:p w14:paraId="5AAB5688" w14:textId="77777777" w:rsidR="00A8138F" w:rsidRDefault="00A8138F" w:rsidP="00A8138F">
      <w:pPr>
        <w:pStyle w:val="TextoNormal"/>
      </w:pPr>
      <w:r>
        <w:t>446. Esta tergiversación resulta evidente, a raíz de las declaraciones que los partidos políticos que la aprobaron hicieron en los debates parlamentarios, que he incorporado en los apartados 284 a 289 de este voto particular, siendo ahora procedente simplemente recordar como el partido político Junts per Catalunya explicó que el diálogo no existía, ni tampoco la concordia, afirmando que continuaría hasta conseguir la independencia de Cataluña.</w:t>
      </w:r>
    </w:p>
    <w:p w14:paraId="3FFD3FE4" w14:textId="77777777" w:rsidR="00A8138F" w:rsidRDefault="00A8138F" w:rsidP="00A8138F">
      <w:pPr>
        <w:pStyle w:val="TextoNormal"/>
      </w:pPr>
    </w:p>
    <w:p w14:paraId="29759C69" w14:textId="77777777" w:rsidR="00A8138F" w:rsidRDefault="00A8138F" w:rsidP="00A8138F">
      <w:pPr>
        <w:pStyle w:val="TextoNormal"/>
      </w:pPr>
      <w:r>
        <w:t>447. A la falta de voluntad de las partes hacia la pretendida reconciliación se suman la premura con que se tramitó la norma, mediante el procedimiento legislativo urgente, sin recabar informe de ningún órgano consultivo, con el voto en contra de una de las dos cámaras que integran las Cortes Generales (el Senado), y, además, se aprobó en medio de una frontal oposición por parte de las instituciones de este país, de la sociedad y de la doctrina jurídica.</w:t>
      </w:r>
    </w:p>
    <w:p w14:paraId="78643025" w14:textId="77777777" w:rsidR="00A8138F" w:rsidRDefault="00A8138F" w:rsidP="00A8138F">
      <w:pPr>
        <w:pStyle w:val="TextoNormal"/>
      </w:pPr>
    </w:p>
    <w:p w14:paraId="7E26B3B1" w14:textId="77777777" w:rsidR="00A8138F" w:rsidRDefault="00A8138F" w:rsidP="00A8138F">
      <w:pPr>
        <w:pStyle w:val="TextoNormal"/>
      </w:pPr>
      <w:r>
        <w:t>448. Es decir, la norma se aprobó sin un examen jurídico en profundidad, sin consenso social ni político y de forma deprisa, y, además, sin seguir ninguna de las recomendaciones puestas de manifiesto por la Comisión de Venecia que instaba a las autoridades españolas a tomarse el tiempo necesario para un diálogo significativo y con un espíritu de cooperación leal, así como para intentar una mayoría cualificada para la aprobación de la amnistía (§ 127 y 128 del dictamen).</w:t>
      </w:r>
    </w:p>
    <w:p w14:paraId="037BCD82" w14:textId="77777777" w:rsidR="00A8138F" w:rsidRDefault="00A8138F" w:rsidP="00A8138F">
      <w:pPr>
        <w:pStyle w:val="TextoNormal"/>
      </w:pPr>
    </w:p>
    <w:p w14:paraId="7F26025F" w14:textId="77777777" w:rsidR="00A8138F" w:rsidRDefault="00A8138F" w:rsidP="00A8138F">
      <w:pPr>
        <w:pStyle w:val="TextoNormal"/>
      </w:pPr>
      <w:r>
        <w:t>449. A todo ello debe añadirse que la norma tuvo su antecedente inmediato, tal y como ya he explicado (apartados 279 a 283 del presente voto), en un acuerdo suscrito el 9 de noviembre de 2023 en Bruselas entre el secretario de organización del Partido Socialista Obrero Español y el secretario general del partido político Junts per Catalunya, en el que acordaron la aprobación de una ley de amnistía y “[l]a investidura de Pedro Sánchez, con el voto a favor de todos los diputados de Junts”; el 13 de noviembre el Grupo Parlamentario Socialista registró en el Congreso de los Diputados la proposición de la ley de amnistía; el debate de investidura se convocó para los días 15 y 16 de noviembre; y, finalmente, el 16 de noviembre fue investido presidente del Gobierno.</w:t>
      </w:r>
    </w:p>
    <w:p w14:paraId="5F46F33F" w14:textId="77777777" w:rsidR="00A8138F" w:rsidRDefault="00A8138F" w:rsidP="00A8138F">
      <w:pPr>
        <w:pStyle w:val="TextoNormal"/>
      </w:pPr>
    </w:p>
    <w:p w14:paraId="3AB462A6" w14:textId="77777777" w:rsidR="00A8138F" w:rsidRDefault="00A8138F" w:rsidP="00A8138F">
      <w:pPr>
        <w:pStyle w:val="TextoNormal"/>
      </w:pPr>
      <w:r>
        <w:t>450. Todos estos factores son pertinentes en el examen, de acuerdo con la jurisprudencia del Tribunal de Justicia, y solo pueden llevar a concluir que con esta norma en ningún momento se pretendió, como nos intenta convencer el preámbulo, ni como asume acríticamente la sentencia, poner fin al conflicto ni avanzar en la reconciliación, pues cómo va a tener ese fin si los amnistiados insisten en que lo volverán a hacer.</w:t>
      </w:r>
    </w:p>
    <w:p w14:paraId="7294AA2A" w14:textId="77777777" w:rsidR="00A8138F" w:rsidRDefault="00A8138F" w:rsidP="00A8138F">
      <w:pPr>
        <w:pStyle w:val="TextoNormal"/>
      </w:pPr>
    </w:p>
    <w:p w14:paraId="75B025B2" w14:textId="77777777" w:rsidR="00A8138F" w:rsidRDefault="00A8138F" w:rsidP="00A8138F">
      <w:pPr>
        <w:pStyle w:val="TextoNormal"/>
      </w:pPr>
      <w:r>
        <w:t>451. La manipulación del fin de la norma que lleva a cabo el legislador tiene por única finalidad ocultar lo proscrito en cualquier Estado de Derecho, que la amnistía es una mera negociación política que las partes llevan a cabo, unos para conseguir el apoyo político de un partido a la investidura del candidato a la Presidencia de Gobierno y, otros, para conseguir a cambio la exclusión de la vigencia material y temporal de una ley penal respecto a determinados ciudadanos. Los primeros consiguieron siete votos que hicieron posible esa investidura, y los segundos consiguieron la exención de la responsabilidad penal, administrativa y contable.</w:t>
      </w:r>
    </w:p>
    <w:p w14:paraId="68730E31" w14:textId="77777777" w:rsidR="00A8138F" w:rsidRDefault="00A8138F" w:rsidP="00A8138F">
      <w:pPr>
        <w:pStyle w:val="TextoNormal"/>
      </w:pPr>
    </w:p>
    <w:p w14:paraId="3856DE8F" w14:textId="77777777" w:rsidR="00A8138F" w:rsidRDefault="00A8138F" w:rsidP="00A8138F">
      <w:pPr>
        <w:pStyle w:val="TextoNormal"/>
      </w:pPr>
      <w:r>
        <w:t>452. Pero, además, esta exención de responsabilidad penal no solo alcanza a los ciudadanos anónimos que participaron en el procés, sino muy particularmente a los políticos que lo dirigieron y que hicieron posible la celebración de un referéndum ilegal en Cataluña, y que son los que dieron sus votos para esa investidura, de modo que los sujetos que han aprobado la ley penal coinciden también con los que directamente se han beneficiado de la misma.</w:t>
      </w:r>
    </w:p>
    <w:p w14:paraId="0D9F2BEB" w14:textId="77777777" w:rsidR="00A8138F" w:rsidRDefault="00A8138F" w:rsidP="00A8138F">
      <w:pPr>
        <w:pStyle w:val="TextoNormal"/>
      </w:pPr>
    </w:p>
    <w:p w14:paraId="4DEE14A7" w14:textId="77777777" w:rsidR="00A8138F" w:rsidRDefault="00A8138F" w:rsidP="00A8138F">
      <w:pPr>
        <w:pStyle w:val="TextoNormal"/>
      </w:pPr>
      <w:r>
        <w:t>453. Esta finalidad es incompatible con las exigencias del Estado de Derecho impuestas por el artículo 2 TUE, por un lado, porque su uso ha tenido como única finalidad que un partido político se mantenga en el poder, cuando carecía de la mayoría parlamentaria para ello, y, por otro lado, porque es una amnistía particular que beneficia a los que la han aprobado, que de esta forma se han “autoamnistiado”; es decir, los privilegiados son los políticos que han pactado la norma, y, como dejó sentado la Comisión de Venecia en el dictamen al que antes he hecho referencia, las “autoamnistías” no tienen cabida en el Estado de Derecho (§ 74 del dictamen).</w:t>
      </w:r>
    </w:p>
    <w:p w14:paraId="7866FA4D" w14:textId="77777777" w:rsidR="00A8138F" w:rsidRDefault="00A8138F" w:rsidP="00A8138F">
      <w:pPr>
        <w:pStyle w:val="TextoNormal"/>
      </w:pPr>
    </w:p>
    <w:p w14:paraId="6EF852A6" w14:textId="77777777" w:rsidR="00A8138F" w:rsidRDefault="00A8138F" w:rsidP="00A8138F">
      <w:pPr>
        <w:pStyle w:val="TextoNormal"/>
      </w:pPr>
      <w:r>
        <w:t>454. Estamos ante una arbitrariedad que excede de los límites mínimos que permiten hacer recognoscible los principios que dimanan del Estado de Derecho pues nos encontramos con crudeza ante un supuesto en el que el poder político ha llevado a cabo una injerencia directa en el Poder Judicial, anulando decisiones judiciales, y lo ha hecho atendiendo a un fin político, ajeno a cualquier interés general de justicia, es decir, solo en su beneficio individual.</w:t>
      </w:r>
    </w:p>
    <w:p w14:paraId="364F80E5" w14:textId="77777777" w:rsidR="00A8138F" w:rsidRDefault="00A8138F" w:rsidP="00A8138F">
      <w:pPr>
        <w:pStyle w:val="TextoNormal"/>
      </w:pPr>
    </w:p>
    <w:p w14:paraId="79F83CD6" w14:textId="77777777" w:rsidR="00A8138F" w:rsidRPr="00A8138F" w:rsidRDefault="00A8138F" w:rsidP="00A8138F">
      <w:pPr>
        <w:pStyle w:val="TextoNormal"/>
        <w:rPr>
          <w:i/>
        </w:rPr>
      </w:pPr>
      <w:r>
        <w:t>455. Está por lo tanto ausente el fin legítimo que la jurisprudencia del Tribunal de Justicia exige para justificar una desigualdad en la aplicación de la ley penal o una injerencia en el Poder Judicial. Es más, el fin real perseguido no solo no es legítimo sino que traspasa los límites mínimos que pueden hacer recognoscible el Estado de Derecho, pues la confianza de los ciudadanos en las democracias desaparece si el poder político deja de perseguir las infracciones penales en su propio benefic</w:t>
      </w:r>
      <w:r w:rsidRPr="00A8138F">
        <w:rPr>
          <w:i/>
        </w:rPr>
        <w:t>io.</w:t>
      </w:r>
    </w:p>
    <w:p w14:paraId="76214BE7" w14:textId="77777777" w:rsidR="00A8138F" w:rsidRPr="00A8138F" w:rsidRDefault="00A8138F" w:rsidP="00A8138F">
      <w:pPr>
        <w:pStyle w:val="TextoNormal"/>
        <w:rPr>
          <w:i/>
        </w:rPr>
      </w:pPr>
    </w:p>
    <w:p w14:paraId="2DC6F814" w14:textId="77777777" w:rsidR="00A8138F" w:rsidRPr="00A8138F" w:rsidRDefault="00A8138F" w:rsidP="00A8138F">
      <w:pPr>
        <w:pStyle w:val="TextoNormal"/>
        <w:rPr>
          <w:i/>
        </w:rPr>
      </w:pPr>
      <w:r w:rsidRPr="00A8138F">
        <w:rPr>
          <w:i/>
        </w:rPr>
        <w:t>D) La indeterminación normativa de la Ley de amnistía conlleva una violación del principio de seguridad jurídica protegido también por el Estado de Derecho (artícul</w:t>
      </w:r>
      <w:r>
        <w:t>o 2 TUE</w:t>
      </w:r>
      <w:r w:rsidRPr="00A8138F">
        <w:rPr>
          <w:i/>
        </w:rPr>
        <w:t>)</w:t>
      </w:r>
    </w:p>
    <w:p w14:paraId="27EF0F44" w14:textId="77777777" w:rsidR="00A8138F" w:rsidRPr="00A8138F" w:rsidRDefault="00A8138F" w:rsidP="00A8138F">
      <w:pPr>
        <w:pStyle w:val="TextoNormal"/>
        <w:rPr>
          <w:i/>
        </w:rPr>
      </w:pPr>
    </w:p>
    <w:p w14:paraId="678B719F" w14:textId="77777777" w:rsidR="00A8138F" w:rsidRDefault="00A8138F" w:rsidP="00A8138F">
      <w:pPr>
        <w:pStyle w:val="TextoNormal"/>
      </w:pPr>
      <w:r w:rsidRPr="00A8138F">
        <w:rPr>
          <w:i/>
        </w:rPr>
        <w:t>a) Sin seguridad jurídica no hay Estado de D</w:t>
      </w:r>
      <w:r>
        <w:t>erecho</w:t>
      </w:r>
    </w:p>
    <w:p w14:paraId="7CF85376" w14:textId="77777777" w:rsidR="00A8138F" w:rsidRDefault="00A8138F" w:rsidP="00A8138F">
      <w:pPr>
        <w:pStyle w:val="TextoNormal"/>
      </w:pPr>
    </w:p>
    <w:p w14:paraId="1FFE435D" w14:textId="77777777" w:rsidR="00A8138F" w:rsidRDefault="00A8138F" w:rsidP="00A8138F">
      <w:pPr>
        <w:pStyle w:val="TextoNormal"/>
      </w:pPr>
      <w:r>
        <w:t>456. La sentencia de la que discrepo descarta en un único fundamento jurídico (el fundamento jurídico decimotercero) distintos motivos del recurso de inconstitucionalidad en los que se denunciaba que las previsiones de la Ley de amnistía vulneraban el principio de seguridad jurídica en atención a su indeterminación normativa.</w:t>
      </w:r>
    </w:p>
    <w:p w14:paraId="3FDB16CA" w14:textId="77777777" w:rsidR="00A8138F" w:rsidRDefault="00A8138F" w:rsidP="00A8138F">
      <w:pPr>
        <w:pStyle w:val="TextoNormal"/>
      </w:pPr>
    </w:p>
    <w:p w14:paraId="4A96C249" w14:textId="77777777" w:rsidR="00A8138F" w:rsidRDefault="00A8138F" w:rsidP="00A8138F">
      <w:pPr>
        <w:pStyle w:val="TextoNormal"/>
      </w:pPr>
      <w:r>
        <w:t>457. El principio de seguridad jurídica constituye también un elemento esencial del Estado de Derecho, y exige, en particular, con arreglo a la jurisprudencia del Tribunal de Justicia, “que una normativa sea clara y precisa, con el fin de que los justiciables puedan conocer sin ambigüedad sus derechos y obligaciones y adoptar las medidas oportunas en consecuencia” (sentencia del Tribunal de Justicia de 28 de marzo de 2017, asunto C-7</w:t>
      </w:r>
      <w:r w:rsidRPr="00A8138F">
        <w:rPr>
          <w:i/>
        </w:rPr>
        <w:t>2/15, PJSC Rosneft Oil Company c. Her Majesty’s Treasury y</w:t>
      </w:r>
      <w:r>
        <w:t xml:space="preserve"> otros, § 161). Y es que, si no hay seguridad jurídica tampoco hay Estado de Derecho.</w:t>
      </w:r>
    </w:p>
    <w:p w14:paraId="15FD12FA" w14:textId="77777777" w:rsidR="00A8138F" w:rsidRDefault="00A8138F" w:rsidP="00A8138F">
      <w:pPr>
        <w:pStyle w:val="TextoNormal"/>
      </w:pPr>
    </w:p>
    <w:p w14:paraId="65E2F70E" w14:textId="77777777" w:rsidR="00A8138F" w:rsidRDefault="00A8138F" w:rsidP="00A8138F">
      <w:pPr>
        <w:pStyle w:val="TextoNormal"/>
      </w:pPr>
      <w:r>
        <w:t>458. A este principio también se refiere el Tribunal de Justicia en algunos pronunciamientos como “principio de precisión de la ley aplicable” (por ejemplo, en la sentencia de 5 de diciembre de 2017, asunto C-42/</w:t>
      </w:r>
      <w:r w:rsidRPr="00A8138F">
        <w:rPr>
          <w:i/>
        </w:rPr>
        <w:t xml:space="preserve">17, M.A.S. y </w:t>
      </w:r>
      <w:r>
        <w:t>M.B., § 59), y tiene una expresión particular en el principio de legalidad de los delitos en “sus exigencias relativas a la previsibilidad, la precisión y la irretroactividad de la ley penal aplicable” (STJUE de 24 de julio de 2023, asunto C-107/23</w:t>
      </w:r>
      <w:r w:rsidRPr="00A8138F">
        <w:rPr>
          <w:i/>
        </w:rPr>
        <w:t xml:space="preserve"> PP</w:t>
      </w:r>
      <w:r>
        <w:t>U, Lin, § 114).</w:t>
      </w:r>
    </w:p>
    <w:p w14:paraId="05465327" w14:textId="77777777" w:rsidR="00A8138F" w:rsidRPr="00A8138F" w:rsidRDefault="00A8138F" w:rsidP="00A8138F">
      <w:pPr>
        <w:pStyle w:val="TextoNormal"/>
        <w:rPr>
          <w:i/>
        </w:rPr>
      </w:pPr>
    </w:p>
    <w:p w14:paraId="30B136B5" w14:textId="77777777" w:rsidR="00A8138F" w:rsidRDefault="00A8138F" w:rsidP="00A8138F">
      <w:pPr>
        <w:pStyle w:val="TextoNormal"/>
      </w:pPr>
      <w:r w:rsidRPr="00A8138F">
        <w:rPr>
          <w:i/>
        </w:rPr>
        <w:t>b) La indeterminación normativa de su ámbito material y temp</w:t>
      </w:r>
      <w:r>
        <w:t>oral</w:t>
      </w:r>
    </w:p>
    <w:p w14:paraId="3DB26128" w14:textId="77777777" w:rsidR="00A8138F" w:rsidRDefault="00A8138F" w:rsidP="00A8138F">
      <w:pPr>
        <w:pStyle w:val="TextoNormal"/>
      </w:pPr>
    </w:p>
    <w:p w14:paraId="607079EF" w14:textId="77777777" w:rsidR="00A8138F" w:rsidRPr="00A8138F" w:rsidRDefault="00A8138F" w:rsidP="00A8138F">
      <w:pPr>
        <w:pStyle w:val="TextoNormal"/>
        <w:rPr>
          <w:i/>
        </w:rPr>
      </w:pPr>
      <w:r>
        <w:t>459. La Ley de amnistía no supera estas exigencias jurídicas, ni en lo que se refiere a su ámbito material, ni en cuanto a su ámbito temporal. Esta cuestión ya la he explicado de forma detallada en el examen de los motivos de inconstitucionalidad (principalmente, en los apartados 323 a 326 y 376 a 391) bastando ahora recordar que no se delimitan con precisión qué delitos son amnistiables, pues el artículo 1 únicamente hace referencia a los actos ejecutados en el marco de las consultas celebradas en Cataluña, y otras acciones realizadas “en el contexto del denominado proceso independentista catalán” atendiendo a distintas finalidades que detalla. Esta ausencia no puede venir suplida por el artículo 2 de la norma que es un precepto destinado únicamente a recoger exclusiones de la amnistía, sin aportar ninguna aclaración sobre qué actos van a ser amnistiados. Y similar conclusión debe merecer el análisis de su amplio ámbito temporal, que no supera tampoco las exigencias que el Tribunal de Justicia anuda al principio de legalidad</w:t>
      </w:r>
      <w:r w:rsidRPr="00A8138F">
        <w:rPr>
          <w:i/>
        </w:rPr>
        <w:t>.</w:t>
      </w:r>
    </w:p>
    <w:p w14:paraId="403231B8" w14:textId="77777777" w:rsidR="00A8138F" w:rsidRPr="00A8138F" w:rsidRDefault="00A8138F" w:rsidP="00A8138F">
      <w:pPr>
        <w:pStyle w:val="TextoNormal"/>
        <w:rPr>
          <w:i/>
        </w:rPr>
      </w:pPr>
    </w:p>
    <w:p w14:paraId="6070D267" w14:textId="77777777" w:rsidR="00A8138F" w:rsidRDefault="00A8138F" w:rsidP="00A8138F">
      <w:pPr>
        <w:pStyle w:val="TextoNormal"/>
      </w:pPr>
      <w:r w:rsidRPr="00A8138F">
        <w:rPr>
          <w:i/>
        </w:rPr>
        <w:t>c) No es posible delimitar qué delitos son amnistiables por remisión a una directiva comun</w:t>
      </w:r>
      <w:r>
        <w:t>itaria</w:t>
      </w:r>
    </w:p>
    <w:p w14:paraId="5B224202" w14:textId="77777777" w:rsidR="00A8138F" w:rsidRDefault="00A8138F" w:rsidP="00A8138F">
      <w:pPr>
        <w:pStyle w:val="TextoNormal"/>
      </w:pPr>
    </w:p>
    <w:p w14:paraId="785E35A8" w14:textId="77777777" w:rsidR="00A8138F" w:rsidRDefault="00A8138F" w:rsidP="00A8138F">
      <w:pPr>
        <w:pStyle w:val="TextoNormal"/>
      </w:pPr>
      <w:r>
        <w:t>460. La vulneración del principio de seguridad jurídica es además flagrante en el supuesto de la delimitación de qué delitos de terrorismo son amnistiables y cuáles no lo son.</w:t>
      </w:r>
    </w:p>
    <w:p w14:paraId="3B2297E9" w14:textId="77777777" w:rsidR="00A8138F" w:rsidRDefault="00A8138F" w:rsidP="00A8138F">
      <w:pPr>
        <w:pStyle w:val="TextoNormal"/>
      </w:pPr>
    </w:p>
    <w:p w14:paraId="36DECD35" w14:textId="77777777" w:rsidR="00A8138F" w:rsidRDefault="00A8138F" w:rsidP="00A8138F">
      <w:pPr>
        <w:pStyle w:val="TextoNormal"/>
      </w:pPr>
      <w:r>
        <w:t>461. Debo recordar que el punto de partida es que la Ley Orgánica 1/2024 amnistía también los delitos de terrorismo, conforme a la cláusula general de que se amnistían los actos ejecutados en el marco de las consultas celebradas en Cataluña, y otras acciones realizadas “en el contexto del denominado proceso independentista catalán” tal y como hemos visto que se encarga de delimitar el artículo 1 de la norma.</w:t>
      </w:r>
    </w:p>
    <w:p w14:paraId="0B619168" w14:textId="77777777" w:rsidR="00A8138F" w:rsidRDefault="00A8138F" w:rsidP="00A8138F">
      <w:pPr>
        <w:pStyle w:val="TextoNormal"/>
      </w:pPr>
    </w:p>
    <w:p w14:paraId="27AB33FA" w14:textId="77777777" w:rsidR="00A8138F" w:rsidRDefault="00A8138F" w:rsidP="00A8138F">
      <w:pPr>
        <w:pStyle w:val="TextoNormal"/>
      </w:pPr>
      <w:r>
        <w:t>462. Lo que ocurre es que luego quedan excluidos determinados delitos de terrorismo, dado que, al regular las exclusiones, el artículo 2 c) de la Ley de amnistía deja fuera de la aplicación de la norma los actos que, por su finalidad, puedan ser calificados como terrorismo, según la Directiva 2017/541, y que, “a su vez, hayan causado de forma intencionada graves violaciones de derechos humanos, en particular las reguladas en los artículos 2 y 3 del Convenio europeo para la protección de los derechos humanos y de las libertades fundamentales, y en el Derecho internacional humanitario”.</w:t>
      </w:r>
    </w:p>
    <w:p w14:paraId="0B67DFAF" w14:textId="77777777" w:rsidR="00A8138F" w:rsidRDefault="00A8138F" w:rsidP="00A8138F">
      <w:pPr>
        <w:pStyle w:val="TextoNormal"/>
      </w:pPr>
    </w:p>
    <w:p w14:paraId="56BA7FBB" w14:textId="77777777" w:rsidR="00A8138F" w:rsidRDefault="00A8138F" w:rsidP="00A8138F">
      <w:pPr>
        <w:pStyle w:val="TextoNormal"/>
      </w:pPr>
      <w:r>
        <w:t>463. Los recurrentes han imputado a esta cláusula de exclusión una falta de taxatividad e imprecisión en la determinación de los delitos de terrorismo amnistiables, porque el legislador orgánico ha hecho una remisión a una directiva de la Unión, la cual, —según denuncian en su recurso— “no tiene efecto directo”, y no a la norma de trasposición interna (artículos 578 a 580 del Código penal). La sentencia desestima esta tacha de inconstitucionalidad sin más argumentación que la de que la remisión en modo alguno dificulta ni hace imposible para el ciudadano ni para los órganos jurisdiccionales la determinación de las conductas que deban ser calificadas de terrorismo con arreglo al Derecho de la Unión, pues esta norma es la que precisamente armoniza en el espacio de la Unión Europea la definición de los delitos de terrorismo.</w:t>
      </w:r>
    </w:p>
    <w:p w14:paraId="1517430B" w14:textId="77777777" w:rsidR="00A8138F" w:rsidRDefault="00A8138F" w:rsidP="00A8138F">
      <w:pPr>
        <w:pStyle w:val="TextoNormal"/>
      </w:pPr>
    </w:p>
    <w:p w14:paraId="2EE08624" w14:textId="77777777" w:rsidR="00A8138F" w:rsidRDefault="00A8138F" w:rsidP="00A8138F">
      <w:pPr>
        <w:pStyle w:val="TextoNormal"/>
      </w:pPr>
      <w:r>
        <w:t xml:space="preserve">464. No puedo estar de acuerdo con la justificación que da la sentencia porque teniendo en cuenta que los recurrentes han alegado que las directivas no tienen efecto directo, y, por ende tampoco la Directiva de terrorismo, este tribunal venía obligado a tomar en consideración los principios que caracterizan el ordenamiento jurídico del Derecho de la Unión, en tanto “un ordenamiento jurídico propio integrado en el sistema jurídico de los Estados miembros desde la entrada en vigor de los tratados y que se impone a sus jurisdicciones” (desde la sentencia del Tribunal de Justicia de las Comunidades Europeas de 15 de julio de 1964, asunto </w:t>
      </w:r>
      <w:r w:rsidRPr="00A8138F">
        <w:rPr>
          <w:i/>
        </w:rPr>
        <w:t>C-6/64, Costa</w:t>
      </w:r>
      <w:r>
        <w:t xml:space="preserve"> c. ENEL).</w:t>
      </w:r>
    </w:p>
    <w:p w14:paraId="308F4CCE" w14:textId="77777777" w:rsidR="00A8138F" w:rsidRDefault="00A8138F" w:rsidP="00A8138F">
      <w:pPr>
        <w:pStyle w:val="TextoNormal"/>
      </w:pPr>
    </w:p>
    <w:p w14:paraId="6DFAC0AA" w14:textId="77777777" w:rsidR="00A8138F" w:rsidRDefault="00A8138F" w:rsidP="00A8138F">
      <w:pPr>
        <w:pStyle w:val="TextoNormal"/>
      </w:pPr>
      <w:r>
        <w:t>465. Lo que ha hecho el legislador orgánico es ni más ni menos declarar aplicable de forma directa una directiva comunitaria que, por regla general, carece de efecto directo y no puede aplicarse directamente. Y lo ha hecho, por un lado, desplazando la norma de trasposición, de modo que los jueces nacionales no pueden aplicar la norma nacional que ha traspuesto la Directiva de terrorismo. Y, por otro lado, desconociendo que al declarar aplicable esta directiva se viene en cierta forma a establecer una regulación más gravosa para los ciudadanos a los que se aplica la Ley de amnistía porque deja fuera de la medida de gracia determinados delitos regulados en la norma europea.</w:t>
      </w:r>
    </w:p>
    <w:p w14:paraId="63E5909A" w14:textId="77777777" w:rsidR="00A8138F" w:rsidRDefault="00A8138F" w:rsidP="00A8138F">
      <w:pPr>
        <w:pStyle w:val="TextoNormal"/>
      </w:pPr>
    </w:p>
    <w:p w14:paraId="20DE83E1" w14:textId="77777777" w:rsidR="00A8138F" w:rsidRPr="00A8138F" w:rsidRDefault="00A8138F" w:rsidP="00A8138F">
      <w:pPr>
        <w:pStyle w:val="TextoNormal"/>
        <w:rPr>
          <w:i/>
        </w:rPr>
      </w:pPr>
      <w:r>
        <w:t>466. Esta actuación del legislador introduce una innegable inseguridad jurídica, no solo para los aplicadores de la norma, sino también para sus destinatarios, especialmente a la luz de las siguientes consideraciones:</w:t>
      </w:r>
    </w:p>
    <w:p w14:paraId="341708EF" w14:textId="77777777" w:rsidR="00A8138F" w:rsidRPr="00A8138F" w:rsidRDefault="00A8138F" w:rsidP="00A8138F">
      <w:pPr>
        <w:pStyle w:val="TextoNormal"/>
        <w:rPr>
          <w:i/>
        </w:rPr>
      </w:pPr>
    </w:p>
    <w:p w14:paraId="12F681FA" w14:textId="77777777" w:rsidR="00A8138F" w:rsidRDefault="00A8138F" w:rsidP="00A8138F">
      <w:pPr>
        <w:pStyle w:val="TextoNormal"/>
      </w:pPr>
      <w:r w:rsidRPr="00A8138F">
        <w:rPr>
          <w:i/>
        </w:rPr>
        <w:t>(i) Las directivas comunitarias, por regla general, carecen de efecto d</w:t>
      </w:r>
      <w:r>
        <w:t>irecto</w:t>
      </w:r>
    </w:p>
    <w:p w14:paraId="10B16520" w14:textId="77777777" w:rsidR="00A8138F" w:rsidRDefault="00A8138F" w:rsidP="00A8138F">
      <w:pPr>
        <w:pStyle w:val="TextoNormal"/>
      </w:pPr>
    </w:p>
    <w:p w14:paraId="45AF833C" w14:textId="77777777" w:rsidR="00A8138F" w:rsidRDefault="00A8138F" w:rsidP="00A8138F">
      <w:pPr>
        <w:pStyle w:val="TextoNormal"/>
      </w:pPr>
      <w:r>
        <w:t>467. En primer lugar, porque, insisto, las directivas comunitarias, por regla general, no son de aplicación directa porque no tienen efecto directo, por lo que los órganos jurisdiccionales no pueden aplicarlas directamente en detrimento de la norma nacional que las traspone.</w:t>
      </w:r>
    </w:p>
    <w:p w14:paraId="385DAB0F" w14:textId="77777777" w:rsidR="00A8138F" w:rsidRDefault="00A8138F" w:rsidP="00A8138F">
      <w:pPr>
        <w:pStyle w:val="TextoNormal"/>
      </w:pPr>
    </w:p>
    <w:p w14:paraId="6B4852F1" w14:textId="77777777" w:rsidR="00A8138F" w:rsidRDefault="00A8138F" w:rsidP="00A8138F">
      <w:pPr>
        <w:pStyle w:val="TextoNormal"/>
      </w:pPr>
      <w:r>
        <w:t>468. La sentencia de la mayoría deja sin eficacia uno de los principios básicos en los que se basa el Derecho de la Unión, que la aplicación directa de las normas de este ordenamiento jurídico supranacional solo es posible cuando estamos hablando de normas que gozan de “efecto directo”, y esta cualidad no se predica de todo el ordenamiento jurídico de la Unión sino únicamente de una serie de disposiciones normativas, no gozando las directivas, por regla general, como ya he dicho, de dicho efecto directo.</w:t>
      </w:r>
    </w:p>
    <w:p w14:paraId="11BC0A3B" w14:textId="77777777" w:rsidR="00A8138F" w:rsidRDefault="00A8138F" w:rsidP="00A8138F">
      <w:pPr>
        <w:pStyle w:val="TextoNormal"/>
      </w:pPr>
    </w:p>
    <w:p w14:paraId="3C20880F" w14:textId="77777777" w:rsidR="00A8138F" w:rsidRDefault="00A8138F" w:rsidP="00A8138F">
      <w:pPr>
        <w:pStyle w:val="TextoNormal"/>
      </w:pPr>
      <w:r>
        <w:t>469. Así nos lo ha recordado expresamente el Tribunal de Justicia en su se</w:t>
      </w:r>
      <w:r w:rsidRPr="00A8138F">
        <w:rPr>
          <w:i/>
        </w:rPr>
        <w:t>ntencia P</w:t>
      </w:r>
      <w:r>
        <w:t>oplawski, afirmado “la distinción esencial” que existe entre las disposiciones del Derecho de la Unión que disponen de efecto directo y las que carecen de él, así como la imposibilidad de establecer un régimen único de aplicación de todas las disposiciones de Derecho de la Unión por los órganos jurisdiccionales nacionales (STJUE de 24 de junio de 2019, C-573/17, § 60).</w:t>
      </w:r>
    </w:p>
    <w:p w14:paraId="5EE6896F" w14:textId="77777777" w:rsidR="00A8138F" w:rsidRPr="00A8138F" w:rsidRDefault="00A8138F" w:rsidP="00A8138F">
      <w:pPr>
        <w:pStyle w:val="TextoNormal"/>
        <w:rPr>
          <w:i/>
        </w:rPr>
      </w:pPr>
    </w:p>
    <w:p w14:paraId="438E2BF6" w14:textId="77777777" w:rsidR="00A8138F" w:rsidRDefault="00A8138F" w:rsidP="00A8138F">
      <w:pPr>
        <w:pStyle w:val="TextoNormal"/>
      </w:pPr>
      <w:r w:rsidRPr="00A8138F">
        <w:rPr>
          <w:i/>
        </w:rPr>
        <w:t>(ii) El juez nacional tiene vedado la aplicación directa de una directiva en contra de un part</w:t>
      </w:r>
      <w:r>
        <w:t>icular</w:t>
      </w:r>
    </w:p>
    <w:p w14:paraId="74E62751" w14:textId="77777777" w:rsidR="00A8138F" w:rsidRDefault="00A8138F" w:rsidP="00A8138F">
      <w:pPr>
        <w:pStyle w:val="TextoNormal"/>
      </w:pPr>
    </w:p>
    <w:p w14:paraId="6823D996" w14:textId="77777777" w:rsidR="00A8138F" w:rsidRDefault="00A8138F" w:rsidP="00A8138F">
      <w:pPr>
        <w:pStyle w:val="TextoNormal"/>
      </w:pPr>
      <w:r>
        <w:t>470. En segundo lugar, el juez nacional tiene vedado la aplicación directa de una directiva en contra de un particular (</w:t>
      </w:r>
      <w:r w:rsidRPr="00A8138F">
        <w:rPr>
          <w:i/>
        </w:rPr>
        <w:t>STJUE Pop</w:t>
      </w:r>
      <w:r>
        <w:t>lawski, § 65 y jurisprudencia que cita), y, siendo así, lo que prevé el artículo 2 c) es precisamente excluir a unos determinados ciudadanos de la medida de gracia, por lo que esta exclusión solo podría haberse hecho por remisión a la norma de trasposición interna y nunca obligando al juez nacional a la aplicación directa de una directiva comunitaria en detrimento de los ciudadanos que se benefician de la amnistía.</w:t>
      </w:r>
    </w:p>
    <w:p w14:paraId="590C04AD" w14:textId="77777777" w:rsidR="00A8138F" w:rsidRDefault="00A8138F" w:rsidP="00A8138F">
      <w:pPr>
        <w:pStyle w:val="TextoNormal"/>
      </w:pPr>
    </w:p>
    <w:p w14:paraId="6106FF86" w14:textId="77777777" w:rsidR="00A8138F" w:rsidRDefault="00A8138F" w:rsidP="00A8138F">
      <w:pPr>
        <w:pStyle w:val="TextoNormal"/>
      </w:pPr>
      <w:r>
        <w:t>(i</w:t>
      </w:r>
      <w:r w:rsidRPr="00A8138F">
        <w:rPr>
          <w:i/>
        </w:rPr>
        <w:t>ii) La sentencia se separa del precedente sentado en la STC 47/</w:t>
      </w:r>
      <w:r>
        <w:t>2023</w:t>
      </w:r>
    </w:p>
    <w:p w14:paraId="782E8A4F" w14:textId="77777777" w:rsidR="00A8138F" w:rsidRDefault="00A8138F" w:rsidP="00A8138F">
      <w:pPr>
        <w:pStyle w:val="TextoNormal"/>
      </w:pPr>
    </w:p>
    <w:p w14:paraId="22DF0379" w14:textId="77777777" w:rsidR="00A8138F" w:rsidRDefault="00A8138F" w:rsidP="00A8138F">
      <w:pPr>
        <w:pStyle w:val="TextoNormal"/>
      </w:pPr>
      <w:r>
        <w:t>471. Es más, el juicio que lleva a cabo la mayoría en la sentencia de la que discrepo es frontalmente contrario a la conclusión a la que llegó este mismo Pleno hace solo dos años en la STC 47/2023, de 10 de mayo, en la que se negó expresamente la posibilidad de aplicar directamente la directiva de retorno para expulsar a un extranjero en situación irregular en España (Directiva 2008/115/CE del Parlamento Europeo y del Consejo, de 16 de diciembre de 2008, relativa a normas y procedimientos comunes en los estados miembros para el retorno de los nacionales de terceros países en situación irregular).</w:t>
      </w:r>
    </w:p>
    <w:p w14:paraId="4CC08A2D" w14:textId="77777777" w:rsidR="00A8138F" w:rsidRDefault="00A8138F" w:rsidP="00A8138F">
      <w:pPr>
        <w:pStyle w:val="TextoNormal"/>
      </w:pPr>
    </w:p>
    <w:p w14:paraId="41481E8E" w14:textId="77777777" w:rsidR="00A8138F" w:rsidRDefault="00A8138F" w:rsidP="00A8138F">
      <w:pPr>
        <w:pStyle w:val="TextoNormal"/>
      </w:pPr>
      <w:r>
        <w:t>472. Y, en dicho pronunciamiento, se explicó que una expulsión acordada con fundamento en la aplicación directa de dicha directiva era contraria a la garantía material del derecho a la legalidad sancionadora de la recurrente, porque “los órganos judiciales dejaron de aplicar las consecuencias previstas en la normativa española para las situaciones de estancia irregular” [FJ 4 letra c)], y se asumió sin cuestionamiento alguno la jurisprudencia del Tribunal de Justicia sobre la eficacia de esta clase de normas, a la que acabamos de hacer referencia.</w:t>
      </w:r>
    </w:p>
    <w:p w14:paraId="6B5F390C" w14:textId="77777777" w:rsidR="00A8138F" w:rsidRDefault="00A8138F" w:rsidP="00A8138F">
      <w:pPr>
        <w:pStyle w:val="TextoNormal"/>
      </w:pPr>
    </w:p>
    <w:p w14:paraId="751446A3" w14:textId="77777777" w:rsidR="00A8138F" w:rsidRPr="00A8138F" w:rsidRDefault="00A8138F" w:rsidP="00A8138F">
      <w:pPr>
        <w:pStyle w:val="TextoNormal"/>
        <w:rPr>
          <w:i/>
        </w:rPr>
      </w:pPr>
      <w:r>
        <w:t>473. Todos estos elementos conducen a la única conclusión de que se ha vulnerado por el legislador orgánico el principio de seguridad jurídica, además en una materia de una importancia fundamental para el Derecho de la Unión como es la lucha contra el terrorismo</w:t>
      </w:r>
      <w:r w:rsidRPr="00A8138F">
        <w:rPr>
          <w:i/>
        </w:rPr>
        <w:t>.</w:t>
      </w:r>
    </w:p>
    <w:p w14:paraId="23ECB016" w14:textId="77777777" w:rsidR="00A8138F" w:rsidRPr="00A8138F" w:rsidRDefault="00A8138F" w:rsidP="00A8138F">
      <w:pPr>
        <w:pStyle w:val="TextoNormal"/>
        <w:rPr>
          <w:i/>
        </w:rPr>
      </w:pPr>
    </w:p>
    <w:p w14:paraId="56D7BDCE" w14:textId="77777777" w:rsidR="00A8138F" w:rsidRDefault="00A8138F" w:rsidP="00A8138F">
      <w:pPr>
        <w:pStyle w:val="TextoNormal"/>
      </w:pPr>
      <w:r w:rsidRPr="00A8138F">
        <w:rPr>
          <w:i/>
        </w:rPr>
        <w:t>E) La ley de amnistía viola el principio de independencia judicial, que forma parte del Estado de Derecho y que concretiza el artículo 19 TUE, al imponer injerencias desproporcionadas a los órganos jurisdiccionales que deben apl</w:t>
      </w:r>
      <w:r>
        <w:t>icarla</w:t>
      </w:r>
    </w:p>
    <w:p w14:paraId="729520E0" w14:textId="77777777" w:rsidR="00A8138F" w:rsidRDefault="00A8138F" w:rsidP="00A8138F">
      <w:pPr>
        <w:pStyle w:val="TextoNormal"/>
      </w:pPr>
    </w:p>
    <w:p w14:paraId="393CAEC8" w14:textId="77777777" w:rsidR="00A8138F" w:rsidRDefault="00A8138F" w:rsidP="00A8138F">
      <w:pPr>
        <w:pStyle w:val="TextoNormal"/>
      </w:pPr>
      <w:r>
        <w:t>474. Conforme a los razonamientos que he dejado expuestos en los apartados precedentes, siguiendo los criterios desarrollados por el Tribunal de Justicia, cabe concluir que la Ley de amnistía vulnera el Estado de Derecho por cuanto no se asienta en ningún interés general, más allá de la voluntad política de conseguir los apoyos de un partido político para investir al candidato a la Presidencia del Gobierno a cambio de la impunidad penal de determinados ciudadanos y de los partidos políticos que apoyaron dicha investidura.</w:t>
      </w:r>
    </w:p>
    <w:p w14:paraId="65679120" w14:textId="77777777" w:rsidR="00A8138F" w:rsidRDefault="00A8138F" w:rsidP="00A8138F">
      <w:pPr>
        <w:pStyle w:val="TextoNormal"/>
      </w:pPr>
    </w:p>
    <w:p w14:paraId="285CDDFC" w14:textId="77777777" w:rsidR="00A8138F" w:rsidRDefault="00A8138F" w:rsidP="00A8138F">
      <w:pPr>
        <w:pStyle w:val="TextoNormal"/>
      </w:pPr>
      <w:r>
        <w:t>475. Pero, de forma adicional, los recurrentes han planteado en el presente recurso de inconstitucionalidad que el artículo 4 de la norma causa unas injerencias desproporcionadas al ejercicio de la función jurisdiccional que corresponde ejercer a los órganos judiciales al aplicar la norma.</w:t>
      </w:r>
    </w:p>
    <w:p w14:paraId="1F24E093" w14:textId="77777777" w:rsidR="00A8138F" w:rsidRDefault="00A8138F" w:rsidP="00A8138F">
      <w:pPr>
        <w:pStyle w:val="TextoNormal"/>
      </w:pPr>
    </w:p>
    <w:p w14:paraId="74FEA480" w14:textId="77777777" w:rsidR="00A8138F" w:rsidRDefault="00A8138F" w:rsidP="00A8138F">
      <w:pPr>
        <w:pStyle w:val="TextoNormal"/>
      </w:pPr>
      <w:r>
        <w:t>476. No comparto los razonamientos que desarrolla la sentencia —en su fundamento decimoquinto— para desestimar este motivo del recurso, y justificar que el legislador orgánico pueda suplantar al órgano judicial y disponer el “inmediato alzamiento de cualesquiera medidas cautelares de naturaleza personal o real que hubieran sido adoptadas por las acciones u omisiones comprendidas en el ámbito objeto de la presente ley” [artículo 4 de la Ley de amnistía, apartado segundo, letra a)], así como “a dejar sin efecto las órdenes de busca y captura e ingreso en prisión de las personas a las que resulte de aplicación esta amnistía, así como las órdenes nacionales, europeas e internacionales de detención” [artículo 4 de la Ley de amnistía, letra b)].</w:t>
      </w:r>
    </w:p>
    <w:p w14:paraId="74787C15" w14:textId="77777777" w:rsidR="00A8138F" w:rsidRPr="00A8138F" w:rsidRDefault="00A8138F" w:rsidP="00A8138F">
      <w:pPr>
        <w:pStyle w:val="TextoNormal"/>
        <w:rPr>
          <w:i/>
        </w:rPr>
      </w:pPr>
    </w:p>
    <w:p w14:paraId="6459E3AE" w14:textId="77777777" w:rsidR="00A8138F" w:rsidRDefault="00A8138F" w:rsidP="00A8138F">
      <w:pPr>
        <w:pStyle w:val="TextoNormal"/>
      </w:pPr>
      <w:r w:rsidRPr="00A8138F">
        <w:rPr>
          <w:i/>
        </w:rPr>
        <w:t>a) El legislador suplanta a los órganos jurisdiccionales en el ejercicio de la tutela caut</w:t>
      </w:r>
      <w:r>
        <w:t>elar</w:t>
      </w:r>
    </w:p>
    <w:p w14:paraId="4900198B" w14:textId="77777777" w:rsidR="00A8138F" w:rsidRDefault="00A8138F" w:rsidP="00A8138F">
      <w:pPr>
        <w:pStyle w:val="TextoNormal"/>
      </w:pPr>
    </w:p>
    <w:p w14:paraId="38AB25A5" w14:textId="77777777" w:rsidR="00A8138F" w:rsidRDefault="00A8138F" w:rsidP="00A8138F">
      <w:pPr>
        <w:pStyle w:val="TextoNormal"/>
      </w:pPr>
      <w:r>
        <w:t>477. La sentencia concluye que las previsiones que introduce la Ley de amnistía en relación con la tutela cautelar no son contrarias a los artículos 24.1 y 117.3 CE, en la medida en que “el juicio positivo de aplicación de la amnistía, emanado del órgano judicial que conoce de la causa […] basta para afirmar que ha desaparecido el presupuesto básico que justificaba la adopción de las medidas, que su cobertura legal ha quedado desplazada por la Ley de amnistía, y que, en consecuencia, la opción por la que se decanta la ley, la de que el juez se pronuncie sobre su alzamiento, es idónea para una tempestiva tutela judicial del conjunto de los derechos y libertades que se ven involucrados en el proceso penal”.</w:t>
      </w:r>
    </w:p>
    <w:p w14:paraId="7FE117FD" w14:textId="77777777" w:rsidR="00A8138F" w:rsidRDefault="00A8138F" w:rsidP="00A8138F">
      <w:pPr>
        <w:pStyle w:val="TextoNormal"/>
      </w:pPr>
    </w:p>
    <w:p w14:paraId="7BC5D1A3" w14:textId="77777777" w:rsidR="00A8138F" w:rsidRDefault="00A8138F" w:rsidP="00A8138F">
      <w:pPr>
        <w:pStyle w:val="TextoNormal"/>
      </w:pPr>
      <w:r>
        <w:t>478. Con dicha afirmación se legitima constitucionalmente que el legislador suplante al órgano judicial en el ejercicio de una función que solo a ellos compete, que es la de tutelar cautelarmente los derechos e intereses que puedan estar afectados y calibrar si debe o no alzar las medidas cautelares ya adoptadas. Debe advertirse que una vez adoptada una medida cautelar, solo el juez nacional puede levantarlas motivadamente, y solo a él le puede corresponder apreciar dicha necesidad cuando concluya que la amnistía es aplicable.</w:t>
      </w:r>
    </w:p>
    <w:p w14:paraId="2FA3DF7B" w14:textId="77777777" w:rsidR="00A8138F" w:rsidRDefault="00A8138F" w:rsidP="00A8138F">
      <w:pPr>
        <w:pStyle w:val="TextoNormal"/>
      </w:pPr>
    </w:p>
    <w:p w14:paraId="39228F37" w14:textId="77777777" w:rsidR="00A8138F" w:rsidRDefault="00A8138F" w:rsidP="00A8138F">
      <w:pPr>
        <w:pStyle w:val="TextoNormal"/>
      </w:pPr>
      <w:r>
        <w:t>479. Este alzamiento automático supone sustraer al órgano judicial del ejercicio de una función jurisdiccional esencial, y, por lo tanto, supone una violación directa del principio de independencia judicial que protege el artículo 19 TUE, disposición que conforme a la jurisprudencia del Tribunal de Justicia concretiza el valor del Estado de Derecho proclamado en el artículo 2 T</w:t>
      </w:r>
      <w:r w:rsidRPr="00A8138F">
        <w:rPr>
          <w:i/>
        </w:rPr>
        <w:t>UE (</w:t>
      </w:r>
      <w:r>
        <w:t>R.S., C-430/21, § 39, y la jurisprudencia que cita).</w:t>
      </w:r>
    </w:p>
    <w:p w14:paraId="208273AB" w14:textId="77777777" w:rsidR="00A8138F" w:rsidRDefault="00A8138F" w:rsidP="00A8138F">
      <w:pPr>
        <w:pStyle w:val="TextoNormal"/>
      </w:pPr>
    </w:p>
    <w:p w14:paraId="14574559" w14:textId="77777777" w:rsidR="00A8138F" w:rsidRDefault="00A8138F" w:rsidP="00A8138F">
      <w:pPr>
        <w:pStyle w:val="TextoNormal"/>
      </w:pPr>
      <w:r>
        <w:t>480. Así, la jurisprudencia del Tribunal de Justicia reconoce al juez nacional la facultad de adoptar medidas provisionales, estableciendo la senten</w:t>
      </w:r>
      <w:r w:rsidRPr="00A8138F">
        <w:rPr>
          <w:i/>
        </w:rPr>
        <w:t>cia Križan y o</w:t>
      </w:r>
      <w:r>
        <w:t>tros que “el juez nacional que conoce de un litigio regido por el Derecho de la Unión debe estar facultado para adoptar medidas provisionales que garanticen la plena eficacia de la resolución judicial que debe recaer acerca de la existencia de los derechos invocados sobre la base del Derecho de la Unión” (STJUE de 15 de enero de 2013, C-416/10, § 107).</w:t>
      </w:r>
    </w:p>
    <w:p w14:paraId="3302C226" w14:textId="77777777" w:rsidR="00A8138F" w:rsidRDefault="00A8138F" w:rsidP="00A8138F">
      <w:pPr>
        <w:pStyle w:val="TextoNormal"/>
      </w:pPr>
    </w:p>
    <w:p w14:paraId="2CCDA43C" w14:textId="77777777" w:rsidR="00A8138F" w:rsidRDefault="00A8138F" w:rsidP="00A8138F">
      <w:pPr>
        <w:pStyle w:val="TextoNormal"/>
      </w:pPr>
      <w:r>
        <w:t>481. Además, esta limitación pone en cuestión la eficacia del Derecho de la Unión, pues si un órgano judicial duda de la compatibilidad de la Ley de amnistía con el Derecho de la Unión, y decide plantear una cuestión prejudicial al Tribunal de Justicia de la Unión Europea, o esperar a la respuesta que este dé a las cuestiones prejudiciales pendientes en las que se cuestiona la conformidad de la Ley de amnistía con el Derecho de la Unión, están en tanto “jueces europeos” llamados a garantizar la plena eficacia del Derecho de la Unión, lo que incluye adoptar o mantener las medidas cautelares que estimen necesarias para garantizar la plena eficacia de la sentencia o las sentencias que posteriormente dicte el Tribunal de Justicia de la Unión Europea.</w:t>
      </w:r>
    </w:p>
    <w:p w14:paraId="09B672D7" w14:textId="77777777" w:rsidR="00A8138F" w:rsidRDefault="00A8138F" w:rsidP="00A8138F">
      <w:pPr>
        <w:pStyle w:val="TextoNormal"/>
      </w:pPr>
    </w:p>
    <w:p w14:paraId="346392B0" w14:textId="77777777" w:rsidR="00A8138F" w:rsidRDefault="00A8138F" w:rsidP="00A8138F">
      <w:pPr>
        <w:pStyle w:val="TextoNormal"/>
      </w:pPr>
      <w:r>
        <w:t>482. En este sentido la sentenci</w:t>
      </w:r>
      <w:r w:rsidRPr="00A8138F">
        <w:rPr>
          <w:i/>
        </w:rPr>
        <w:t>a W.Ż. (des affaires publiques de la Cour suprême – Nominatio</w:t>
      </w:r>
      <w:r>
        <w:t>n) no solo nos recuerda que de la jurisprudencia del Tribunal de Justicia resulta que la plena eficacia del Derecho de la Unión exige que el juez que conozca de un litigio regido por este Derecho pueda acordar medidas provisionales para garantizar la plena eficacia de la resolución judicial que habrá de recaer, sino que también declara expresamente que si “el órgano jurisdiccional nacional que suspende el procedimiento hasta que el Tribunal de Justicia responda a su cuestión prejudicial no pudiera acordar medidas provisionales hasta el pronunciamiento de su resolución tras la respuesta del Tribunal de Justicia, el efecto útil del sistema establecido por el artículo 267 TFUE se vería menoscabado”. Y “también se comprometería la efectividad de este sistema si pudiera ignorarse la fuerza vinculante de que están dotadas tales medidas provisionales, en particular por parte de una autoridad de un Estado miembro en el que se hayan adoptado dichas medidas” (STJUE de 6 de octubre de 2021, C-487/19, § 142).</w:t>
      </w:r>
    </w:p>
    <w:p w14:paraId="5E39B691" w14:textId="77777777" w:rsidR="00A8138F" w:rsidRDefault="00A8138F" w:rsidP="00A8138F">
      <w:pPr>
        <w:pStyle w:val="TextoNormal"/>
      </w:pPr>
    </w:p>
    <w:p w14:paraId="14BC4FB6" w14:textId="77777777" w:rsidR="00A8138F" w:rsidRPr="00A8138F" w:rsidRDefault="00A8138F" w:rsidP="00A8138F">
      <w:pPr>
        <w:pStyle w:val="TextoNormal"/>
        <w:rPr>
          <w:i/>
        </w:rPr>
      </w:pPr>
      <w:r>
        <w:t>483. Por lo tanto, conforme a toda esta jurisprudencia, los órganos jurisdiccionales nacionales deben estar facultados para adoptar las medidas provisionales que estimen oportunas, y, en consecuencia, también para mantenerlas. La prescripción de la Ley de amnistía que obliga a los órganos jurisdiccionales al alzamiento de las medidas cautelares es asimismo contraria al principio de Estado de Derecho</w:t>
      </w:r>
      <w:r w:rsidRPr="00A8138F">
        <w:rPr>
          <w:i/>
        </w:rPr>
        <w:t>.</w:t>
      </w:r>
    </w:p>
    <w:p w14:paraId="28F9BBCE" w14:textId="77777777" w:rsidR="00A8138F" w:rsidRPr="00A8138F" w:rsidRDefault="00A8138F" w:rsidP="00A8138F">
      <w:pPr>
        <w:pStyle w:val="TextoNormal"/>
        <w:rPr>
          <w:i/>
        </w:rPr>
      </w:pPr>
    </w:p>
    <w:p w14:paraId="549F9460" w14:textId="77777777" w:rsidR="00A8138F" w:rsidRDefault="00A8138F" w:rsidP="00A8138F">
      <w:pPr>
        <w:pStyle w:val="TextoNormal"/>
      </w:pPr>
      <w:r w:rsidRPr="00A8138F">
        <w:rPr>
          <w:i/>
        </w:rPr>
        <w:t>b) El legislador deja sin efecto las órdenes europeas de detención y entrega, suplantando de nuevo al órgano jurisdiccional nacional, y afectando al mecanismo de la eur</w:t>
      </w:r>
      <w:r>
        <w:t>oorden</w:t>
      </w:r>
    </w:p>
    <w:p w14:paraId="2F0B180F" w14:textId="77777777" w:rsidR="00A8138F" w:rsidRDefault="00A8138F" w:rsidP="00A8138F">
      <w:pPr>
        <w:pStyle w:val="TextoNormal"/>
      </w:pPr>
    </w:p>
    <w:p w14:paraId="39ABFD60" w14:textId="77777777" w:rsidR="00A8138F" w:rsidRDefault="00A8138F" w:rsidP="00A8138F">
      <w:pPr>
        <w:pStyle w:val="TextoNormal"/>
      </w:pPr>
      <w:r>
        <w:t>484. El artículo 4, letra b) de la Ley de amnistía, impone que el órgano judicial “que está conociendo de la causa [proceda] a dejar sin efecto las órdenes de busca y captura e ingreso en prisión de las personas a las que resulte de aplicación esta amnistía, así como las órdenes nacionales, europeas e internacionales de detención”.</w:t>
      </w:r>
    </w:p>
    <w:p w14:paraId="0185E927" w14:textId="77777777" w:rsidR="00A8138F" w:rsidRDefault="00A8138F" w:rsidP="00A8138F">
      <w:pPr>
        <w:pStyle w:val="TextoNormal"/>
      </w:pPr>
    </w:p>
    <w:p w14:paraId="2B55F761" w14:textId="77777777" w:rsidR="00A8138F" w:rsidRDefault="00A8138F" w:rsidP="00A8138F">
      <w:pPr>
        <w:pStyle w:val="TextoNormal"/>
      </w:pPr>
      <w:r>
        <w:t>485. En el presente supuesto, de nuevo, la pérdida de vigencia de las órdenes europeas de detención y entrega acordadas supone una suplantación de la función jurisdiccional, incompatible con el artículo 19 TUE, pues el juez nacional es el único que debe poder valorar si las levanta o las mantiene, igual que ocurre con las medidas cautelares que haya adoptado en el procedimiento.</w:t>
      </w:r>
    </w:p>
    <w:p w14:paraId="47FF7FEF" w14:textId="77777777" w:rsidR="00A8138F" w:rsidRDefault="00A8138F" w:rsidP="00A8138F">
      <w:pPr>
        <w:pStyle w:val="TextoNormal"/>
      </w:pPr>
    </w:p>
    <w:p w14:paraId="3E85A42E" w14:textId="77777777" w:rsidR="00A8138F" w:rsidRDefault="00A8138F" w:rsidP="00A8138F">
      <w:pPr>
        <w:pStyle w:val="TextoNormal"/>
      </w:pPr>
      <w:r>
        <w:t>486. Es decir, igual que ocurre con la tutela cautelar, el legislador anula una competencia exclusiva del órgano jurisdiccional nacional pues, conforme al artículo 1.1 de la Decisión Marco del Consejo, de 13 de junio de 2002, relativa a la orden de detención europea y a los procedimientos de entrega entre Estados miembros (2002/584/JAI), “[l]a orden de detención europea es una resolución judicial”, y, en consecuencia, tanto la decisión de emitir una orden europea de detención y entrega, como la decisión de cancelarla, es de la sola facultad del órgano jurisdiccional.</w:t>
      </w:r>
    </w:p>
    <w:p w14:paraId="7AD4904A" w14:textId="77777777" w:rsidR="00A8138F" w:rsidRDefault="00A8138F" w:rsidP="00A8138F">
      <w:pPr>
        <w:pStyle w:val="TextoNormal"/>
      </w:pPr>
    </w:p>
    <w:p w14:paraId="26112377" w14:textId="77777777" w:rsidR="00A8138F" w:rsidRDefault="00A8138F" w:rsidP="00A8138F">
      <w:pPr>
        <w:pStyle w:val="TextoNormal"/>
      </w:pPr>
      <w:r>
        <w:t>487. Y, a lo que ya he explicado en relación con las restricciones al ejercicio de la función jurisdiccional cautelar, debo añadir ahora aquí que el legislador ha afectado de forma directa la regulación que hace la citada Decisión Marco de 13 de junio de 2002, del mecanismo europeo de la orden de detención entrega. Ello no solo contraviene la exigencia de la aplicación uniforme de las decisiones marco en el seno de la Unión, sino que, además, pone en cuestión los principios de confianza y de reconocimiento mutuos que rigen el espacio de libertad, seguridad y justicia en la Unión Europea.</w:t>
      </w:r>
    </w:p>
    <w:p w14:paraId="29B9FAE1" w14:textId="77777777" w:rsidR="00A8138F" w:rsidRDefault="00A8138F" w:rsidP="00A8138F">
      <w:pPr>
        <w:pStyle w:val="TextoNormal"/>
      </w:pPr>
    </w:p>
    <w:p w14:paraId="75367936" w14:textId="77777777" w:rsidR="00A8138F" w:rsidRDefault="00A8138F" w:rsidP="00A8138F">
      <w:pPr>
        <w:pStyle w:val="TextoNormal"/>
      </w:pPr>
      <w:r>
        <w:t>488. Este espacio está en peligro si el Poder Legislativo o, en general, el poder político toma decisiones que solo pueden corresponder a los órganos jurisdiccionales nacionales, que desempeñan una función de primer orden al respecto, y, esto es lo que ha hecho el legislador orgánico al aprobar la Ley de amnistía dejando sin efecto las órdenes de detención y entrega; este mecanismo, piedra angular de la cooperación judicial, ha quedado a merced del poder político.</w:t>
      </w:r>
    </w:p>
    <w:p w14:paraId="195C85D6" w14:textId="77777777" w:rsidR="00A8138F" w:rsidRDefault="00A8138F" w:rsidP="00A8138F">
      <w:pPr>
        <w:pStyle w:val="TextoNormal"/>
      </w:pPr>
    </w:p>
    <w:p w14:paraId="4A254E53" w14:textId="77777777" w:rsidR="00A8138F" w:rsidRPr="00A8138F" w:rsidRDefault="00A8138F" w:rsidP="00A8138F">
      <w:pPr>
        <w:pStyle w:val="TextoNormal"/>
        <w:rPr>
          <w:i/>
        </w:rPr>
      </w:pPr>
      <w:r>
        <w:t>489. La argumentación dada por la mayoría olvida además lo que ya nos dijo el Tribunal de Justicia al responder a la cuestión prejudicial que le remitimos en el a</w:t>
      </w:r>
      <w:r w:rsidRPr="00A8138F">
        <w:rPr>
          <w:i/>
        </w:rPr>
        <w:t>sunto M</w:t>
      </w:r>
      <w:r>
        <w:t>elloni, en la que se nos recordó que la contravención de los principios de confianza y de reconocimiento mutuo que la decisión marco pretende reforzar, compromete su efectividad y no quedan amparadas por el Derecho de la Unión (STJUE de 26 de febrero d</w:t>
      </w:r>
      <w:r w:rsidRPr="00A8138F">
        <w:rPr>
          <w:i/>
        </w:rPr>
        <w:t>e 2013,</w:t>
      </w:r>
      <w:r>
        <w:t xml:space="preserve"> Melloni, § 63)</w:t>
      </w:r>
      <w:r w:rsidRPr="00A8138F">
        <w:rPr>
          <w:i/>
        </w:rPr>
        <w:t>.</w:t>
      </w:r>
    </w:p>
    <w:p w14:paraId="296EB58F" w14:textId="77777777" w:rsidR="00A8138F" w:rsidRPr="00A8138F" w:rsidRDefault="00A8138F" w:rsidP="00A8138F">
      <w:pPr>
        <w:pStyle w:val="TextoNormal"/>
        <w:rPr>
          <w:i/>
        </w:rPr>
      </w:pPr>
    </w:p>
    <w:p w14:paraId="1E143BFA" w14:textId="77777777" w:rsidR="00A8138F" w:rsidRDefault="00A8138F" w:rsidP="00A8138F">
      <w:pPr>
        <w:pStyle w:val="TextoNormal"/>
      </w:pPr>
      <w:r w:rsidRPr="00A8138F">
        <w:rPr>
          <w:i/>
        </w:rPr>
        <w:t>F) La sentencia avala una norma que amnistía delitos de extrema gravedad con clara violación de los valores universales de la dignidad humana, la libertad, la igualdad y la solidaridad, en los que se fundamenta también el Estado de D</w:t>
      </w:r>
      <w:r>
        <w:t>erecho</w:t>
      </w:r>
    </w:p>
    <w:p w14:paraId="05265A6F" w14:textId="77777777" w:rsidR="00A8138F" w:rsidRPr="00A8138F" w:rsidRDefault="00A8138F" w:rsidP="00A8138F">
      <w:pPr>
        <w:pStyle w:val="TextoNormal"/>
        <w:rPr>
          <w:i/>
        </w:rPr>
      </w:pPr>
    </w:p>
    <w:p w14:paraId="5264851B" w14:textId="77777777" w:rsidR="00A8138F" w:rsidRDefault="00A8138F" w:rsidP="00A8138F">
      <w:pPr>
        <w:pStyle w:val="TextoNormal"/>
      </w:pPr>
      <w:r w:rsidRPr="00A8138F">
        <w:rPr>
          <w:i/>
        </w:rPr>
        <w:t>a) Los actos terroristas constituyen una de las violaciones más graves de los valores en los que se basa la U</w:t>
      </w:r>
      <w:r>
        <w:t>nión</w:t>
      </w:r>
    </w:p>
    <w:p w14:paraId="183B63C0" w14:textId="77777777" w:rsidR="00A8138F" w:rsidRDefault="00A8138F" w:rsidP="00A8138F">
      <w:pPr>
        <w:pStyle w:val="TextoNormal"/>
      </w:pPr>
    </w:p>
    <w:p w14:paraId="5750F348" w14:textId="77777777" w:rsidR="00A8138F" w:rsidRDefault="00A8138F" w:rsidP="00A8138F">
      <w:pPr>
        <w:pStyle w:val="TextoNormal"/>
      </w:pPr>
      <w:r>
        <w:t>490. Como nos recuerda el preámbulo de la Directiva (UE) 2017/541, los actos terroristas constituyen una de las violaciones más graves de los valores universales de la dignidad humana, la libertad, la igualdad y la solidaridad, y el disfrute de los derechos humanos y de las libertades fundamentales, en los que se basa la Unión. También representan uno de los ataques más graves contra la democracia y el Estado de Derecho, principios que son comunes a los Estados miembros y en los que se fundamenta la Unión [considerando 2 de la Directiva (UE) 2017/541 del Parlamento Europeo y del Consejo, de 15 de marzo de 2017, relativa a la lucha contra el terrorismo].</w:t>
      </w:r>
    </w:p>
    <w:p w14:paraId="134D31AF" w14:textId="77777777" w:rsidR="00A8138F" w:rsidRDefault="00A8138F" w:rsidP="00A8138F">
      <w:pPr>
        <w:pStyle w:val="TextoNormal"/>
      </w:pPr>
    </w:p>
    <w:p w14:paraId="7192E18F" w14:textId="77777777" w:rsidR="00A8138F" w:rsidRDefault="00A8138F" w:rsidP="00A8138F">
      <w:pPr>
        <w:pStyle w:val="TextoNormal"/>
      </w:pPr>
      <w:r>
        <w:t>491. Pues bien, como ya he puesto de manifiesto, la Ley Orgánica 1/2024 amnistía también los delitos de terrorismo, salvo —conforme a la exclusión del artículo 2 c) de la Ley de amnistía— que se trate de actos que, por su finalidad, puedan ser calificados como terrorismo, según la Directiva 2017/541, y que “a su vez, hayan causado de forma intencionada graves violaciones de derechos humanos, en particular las reguladas en los artículos 2 y 3 del Convenio europeo para la protección de los derechos humanos y de las libertades fundamentales, y en el Derecho internacional humanitario”.</w:t>
      </w:r>
    </w:p>
    <w:p w14:paraId="0CFC78A4" w14:textId="77777777" w:rsidR="00A8138F" w:rsidRDefault="00A8138F" w:rsidP="00A8138F">
      <w:pPr>
        <w:pStyle w:val="TextoNormal"/>
      </w:pPr>
    </w:p>
    <w:p w14:paraId="76EB0F4B" w14:textId="77777777" w:rsidR="00A8138F" w:rsidRDefault="00A8138F" w:rsidP="00A8138F">
      <w:pPr>
        <w:pStyle w:val="TextoNormal"/>
      </w:pPr>
      <w:r>
        <w:t>492. Los recurrentes han imputado a esta cláusula de exclusión, no solo una falta de taxatividad e imprecisión en la determinación de los delitos amnistiables, que ya he examinado, sino también una vulneración del artículo 15 CE.</w:t>
      </w:r>
    </w:p>
    <w:p w14:paraId="226BA241" w14:textId="77777777" w:rsidR="00A8138F" w:rsidRDefault="00A8138F" w:rsidP="00A8138F">
      <w:pPr>
        <w:pStyle w:val="TextoNormal"/>
      </w:pPr>
    </w:p>
    <w:p w14:paraId="506A6169" w14:textId="77777777" w:rsidR="00A8138F" w:rsidRDefault="00A8138F" w:rsidP="00A8138F">
      <w:pPr>
        <w:pStyle w:val="TextoNormal"/>
      </w:pPr>
      <w:r>
        <w:t>493. Pues bien, esta cuestión no es examinada tampoco por la sentencia, alegando, por un lado, que se está poniendo como parámetro de control una norma de Derecho de la Unión que resulta improcedente, y, por otro lado, que esta queja —que califica de vaga— debe dirimirse a partir de una lectura completa del artículo 2 de la Ley de amnistía, que incorpora la cláusula de la letra a), determinante de la exclusión del ámbito aplicativo de la amnistía de toda conducta que produjera la muerte de una persona o alguna de las lesiones cualificadas enumeradas en dicho precepto.</w:t>
      </w:r>
    </w:p>
    <w:p w14:paraId="3D910DD5" w14:textId="77777777" w:rsidR="00A8138F" w:rsidRDefault="00A8138F" w:rsidP="00A8138F">
      <w:pPr>
        <w:pStyle w:val="TextoNormal"/>
      </w:pPr>
    </w:p>
    <w:p w14:paraId="1B4FDB57" w14:textId="77777777" w:rsidR="00A8138F" w:rsidRDefault="00A8138F" w:rsidP="00A8138F">
      <w:pPr>
        <w:pStyle w:val="TextoNormal"/>
      </w:pPr>
      <w:r>
        <w:t>494. De esta forma, en vez de examinar la sentencia si se produce o no dicha vulneración del artículo 15 CE, por excluir los delitos de terrorismo, se limita a hacer una remisión a “lo razonado” en el fundamento jurídico 14.1.3 que lo que hace es examinar la constitucionalidad de una exclusión distinta, la de la letra a) del artículo 2, que se refiere a la exención de los actos dolosos que produzcan un resultado de muerte o determinadas lesiones de una gran gravedad.</w:t>
      </w:r>
    </w:p>
    <w:p w14:paraId="137A350B" w14:textId="77777777" w:rsidR="00A8138F" w:rsidRDefault="00A8138F" w:rsidP="00A8138F">
      <w:pPr>
        <w:pStyle w:val="TextoNormal"/>
      </w:pPr>
    </w:p>
    <w:p w14:paraId="393AF623" w14:textId="77777777" w:rsidR="00A8138F" w:rsidRDefault="00A8138F" w:rsidP="00A8138F">
      <w:pPr>
        <w:pStyle w:val="TextoNormal"/>
      </w:pPr>
      <w:r>
        <w:t>495. Considero que con esta remisión no se da respuesta a lo denunciado por los recurrentes, primero, porque es un precepto con un alcance distinto, y, además, porque lo que se concluye en ese otro fundamento jurídico no es extrapolable. En dicho fundamento jurídico solo deja sentado, por un lado, que “no existe ninguna prohibición categórica de aplicar la amnistía a delitos que afecten a tales derechos”, y, por otro lado, que “[a] lo sumo, es necesario que se mantenga el equilibrio entre el interés general que el Estado trata de alcanzar con la aplicación de dicha medida y el interés de los ciudadanos en que la ley siga siendo una garantía suficiente de protección de la vida y de la dignidad de las personas”. Y considera que la exclusión de la letra a —no la de la letra c— es constitucional porque el criterio fundado en la gravedad del resultado “no puede afirmarse que sea arbitrario, ni que incurra en un manifiesto desequilibrio al aquilatar la necesidad de defensa de los bienes y valores amparados en el art. 15 CE con los fines perseguidos por la ley”.</w:t>
      </w:r>
    </w:p>
    <w:p w14:paraId="1E25DA2E" w14:textId="77777777" w:rsidR="00A8138F" w:rsidRDefault="00A8138F" w:rsidP="00A8138F">
      <w:pPr>
        <w:pStyle w:val="TextoNormal"/>
      </w:pPr>
    </w:p>
    <w:p w14:paraId="022E526A" w14:textId="77777777" w:rsidR="00A8138F" w:rsidRDefault="00A8138F" w:rsidP="00A8138F">
      <w:pPr>
        <w:pStyle w:val="TextoNormal"/>
      </w:pPr>
      <w:r>
        <w:t>496. Pues bien, estas consideraciones no validan constitucionalmente que se amnistíen los delitos de terrorismo que no hayan causado de forma intencionada graves violaciones de derechos humanos. Esto es así porque la cláusula c) del artículo 2 sí es arbitraria y sí se incurre en un manifiesto desequilibrio proscrito por el artículo 15 CE porque todos los delitos de terrorismo, sin excepción, son una de las violaciones más graves de los valores universales, tal y como deja sentado el considerando 2 de la Directiva 2017/541 al que me he referido.</w:t>
      </w:r>
    </w:p>
    <w:p w14:paraId="4861C651" w14:textId="77777777" w:rsidR="00A8138F" w:rsidRDefault="00A8138F" w:rsidP="00A8138F">
      <w:pPr>
        <w:pStyle w:val="TextoNormal"/>
      </w:pPr>
    </w:p>
    <w:p w14:paraId="765F92BF" w14:textId="77777777" w:rsidR="00A8138F" w:rsidRPr="00A8138F" w:rsidRDefault="00A8138F" w:rsidP="00A8138F">
      <w:pPr>
        <w:pStyle w:val="TextoNormal"/>
        <w:rPr>
          <w:i/>
        </w:rPr>
      </w:pPr>
      <w:r>
        <w:t>497. Por ello, la previsión de la Ley 1/2024 que permite amnistiar delitos de terrorismo, bien porque sean menos graves, bien porque no han sido “dolosos”, es incompatible con el sistema de valores en los que se basa la Unión Europea y que recoge el artículo 2 TUE que incluye también “los valores de respeto de la dignidad humana, libertad, democracia, igualdad, [...] y respeto de los derechos humanos [...]” (STJUE de 16 de febrero de 2022, C-</w:t>
      </w:r>
      <w:r w:rsidRPr="00A8138F">
        <w:rPr>
          <w:i/>
        </w:rPr>
        <w:t>157/21, Polonia c. Parlamento y</w:t>
      </w:r>
      <w:r>
        <w:t xml:space="preserve"> Consejo, § 192)</w:t>
      </w:r>
      <w:r w:rsidRPr="00A8138F">
        <w:rPr>
          <w:i/>
        </w:rPr>
        <w:t>.</w:t>
      </w:r>
    </w:p>
    <w:p w14:paraId="12D86CD1" w14:textId="77777777" w:rsidR="00A8138F" w:rsidRPr="00A8138F" w:rsidRDefault="00A8138F" w:rsidP="00A8138F">
      <w:pPr>
        <w:pStyle w:val="TextoNormal"/>
        <w:rPr>
          <w:i/>
        </w:rPr>
      </w:pPr>
    </w:p>
    <w:p w14:paraId="29478C30" w14:textId="77777777" w:rsidR="00A8138F" w:rsidRDefault="00A8138F" w:rsidP="00A8138F">
      <w:pPr>
        <w:pStyle w:val="TextoNormal"/>
      </w:pPr>
      <w:r w:rsidRPr="00A8138F">
        <w:rPr>
          <w:i/>
        </w:rPr>
        <w:t>b) La Ley de amnistía pone en cuestión la eficacia de la Directiva de terr</w:t>
      </w:r>
      <w:r>
        <w:t>orismo</w:t>
      </w:r>
    </w:p>
    <w:p w14:paraId="18CCD483" w14:textId="77777777" w:rsidR="00A8138F" w:rsidRDefault="00A8138F" w:rsidP="00A8138F">
      <w:pPr>
        <w:pStyle w:val="TextoNormal"/>
      </w:pPr>
    </w:p>
    <w:p w14:paraId="67454A77" w14:textId="77777777" w:rsidR="00A8138F" w:rsidRDefault="00A8138F" w:rsidP="00A8138F">
      <w:pPr>
        <w:pStyle w:val="TextoNormal"/>
      </w:pPr>
      <w:r>
        <w:t>498. A todo ello debo añadir que la Ley de amnistía pone en cuestión también la eficacia de la Directiva (UE) 2017/541, cuya finalidad, igual que la de la Decisión Marco 2002/475/JAI a la que sustituye, es la de dar una definición armonizada de los delitos de terrorismo en todos los Estados miembros.</w:t>
      </w:r>
    </w:p>
    <w:p w14:paraId="7B56F63C" w14:textId="77777777" w:rsidR="00A8138F" w:rsidRDefault="00A8138F" w:rsidP="00A8138F">
      <w:pPr>
        <w:pStyle w:val="TextoNormal"/>
      </w:pPr>
    </w:p>
    <w:p w14:paraId="49E311E5" w14:textId="77777777" w:rsidR="00A8138F" w:rsidRDefault="00A8138F" w:rsidP="00A8138F">
      <w:pPr>
        <w:pStyle w:val="TextoNormal"/>
      </w:pPr>
      <w:r>
        <w:t>499. La Directiva (UE) 2017/541 no hace ninguna diferenciación entre delitos de terrorismo que causen de forma intencionada graves violaciones de derechos humanos, y delitos de terrorismo que no las causen, por lo que la ley orgánica pone en cuestión la eficacia de un instrumento que constituye la piedra angular de la respuesta de la justicia penal de los países de la Unión Europea en la lucha contra el terrorismo.</w:t>
      </w:r>
    </w:p>
    <w:p w14:paraId="540B7E30" w14:textId="77777777" w:rsidR="00A8138F" w:rsidRDefault="00A8138F" w:rsidP="00A8138F">
      <w:pPr>
        <w:pStyle w:val="TextoNormal"/>
      </w:pPr>
    </w:p>
    <w:p w14:paraId="72ECBF6C" w14:textId="77777777" w:rsidR="00A8138F" w:rsidRDefault="00A8138F" w:rsidP="00A8138F">
      <w:pPr>
        <w:pStyle w:val="TextoNormal"/>
      </w:pPr>
      <w:r>
        <w:t>500. Los delitos de terrorismo revisten una especial gravedad al estar dirigidos a una misma finalidad (como recoge el artículo 1.2 de la directiva): intimidar gravemente a la población; obligar indebidamente a los poderes públicos o a una organización internacional a realizar un acto o a abstenerse de hacerlo; y desestabilizar gravemente o destruir las estructuras políticas, constitucionales, económicas o sociales fundamentales de un país o de una organización internacional. Es decir, usar la presión del terror como arma de intimidación de la ciudadanía y de los poderes públicos.</w:t>
      </w:r>
    </w:p>
    <w:p w14:paraId="4D9F9AFE" w14:textId="77777777" w:rsidR="00A8138F" w:rsidRDefault="00A8138F" w:rsidP="00A8138F">
      <w:pPr>
        <w:pStyle w:val="TextoNormal"/>
      </w:pPr>
    </w:p>
    <w:p w14:paraId="69101A02" w14:textId="77777777" w:rsidR="00A8138F" w:rsidRDefault="00A8138F" w:rsidP="00A8138F">
      <w:pPr>
        <w:pStyle w:val="TextoNormal"/>
      </w:pPr>
      <w:r>
        <w:t>501. No resulta posible por lo tanto afirmar que la Ley de amnistía respeta el artículo 15 CE al permitir que se amnistíen determinados delitos de terrorismo, los “menos graves” o los que “no sean intencionados” —estos últimos, se entiende, aunque causen graves violaciones de derechos humanos—, porque todos los delitos de terrorismo son graves, todos los delitos de terrorismo violan derechos humanos.</w:t>
      </w:r>
    </w:p>
    <w:p w14:paraId="2B4C6E5D" w14:textId="77777777" w:rsidR="00A8138F" w:rsidRDefault="00A8138F" w:rsidP="00A8138F">
      <w:pPr>
        <w:pStyle w:val="TextoNormal"/>
      </w:pPr>
    </w:p>
    <w:p w14:paraId="06041D57" w14:textId="77777777" w:rsidR="00A8138F" w:rsidRDefault="00A8138F" w:rsidP="00A8138F">
      <w:pPr>
        <w:pStyle w:val="TextoNormal"/>
      </w:pPr>
      <w:r>
        <w:t>502. Y esta conclusión viene avalada por la sentencia que el Tribunal de Justicia dictó en el asun</w:t>
      </w:r>
      <w:r w:rsidRPr="00A8138F">
        <w:rPr>
          <w:i/>
        </w:rPr>
        <w:t xml:space="preserve">to B </w:t>
      </w:r>
      <w:r>
        <w:t>y D en la que se vio compelido a examinar si la referencia a un “grave delito común” o la de “actos contrarios a las finalidades y a los principios de las Naciones Unidas” abarcaba los delitos de terrorismo, y respondió, como no podía ser de otro modo, que “hay que tener en cuenta que, aun cuando se cometan con un objetivo supuestamente político, los actos de naturaleza terrorista, caracterizados por su violencia contra la población civil, deben ser considerados graves delitos comunes” (STJUE de 9 de noviembre de 2010, asuntos acumulados C-57/09 y C-101/0</w:t>
      </w:r>
      <w:r w:rsidRPr="00A8138F">
        <w:rPr>
          <w:i/>
        </w:rPr>
        <w:t xml:space="preserve">9, Bundesrepublik Deutschland c. B </w:t>
      </w:r>
      <w:r>
        <w:t>y D, § 81).</w:t>
      </w:r>
    </w:p>
    <w:p w14:paraId="2DE4453B" w14:textId="77777777" w:rsidR="00A8138F" w:rsidRDefault="00A8138F" w:rsidP="00A8138F">
      <w:pPr>
        <w:pStyle w:val="TextoNormal"/>
      </w:pPr>
    </w:p>
    <w:p w14:paraId="30A9B44C" w14:textId="77777777" w:rsidR="00A8138F" w:rsidRDefault="00A8138F" w:rsidP="00A8138F">
      <w:pPr>
        <w:pStyle w:val="TextoNormal"/>
      </w:pPr>
    </w:p>
    <w:p w14:paraId="247652B8" w14:textId="77777777" w:rsidR="00A8138F" w:rsidRDefault="00A8138F" w:rsidP="00A8138F">
      <w:pPr>
        <w:pStyle w:val="TextoNormal"/>
      </w:pPr>
      <w:r>
        <w:t>(1) “El acuerdo con el PSOE tenía la voluntad compartida también de acabar con la persecución penal de aquellos que quieren hacer política en Cataluña, y esto está incluido en nuestra enmienda del artículo 4. Detener la represión a medias no es detenerla. Junts no puede participar en dejar a todo el independentismo catalán expuesto a las arbitrariedades de la cúpula judicial politizada española. […] [U]stedes saben que esta ley tiene agujeros, agujeros por donde la justicia prevaricadora española puede dejar la amnistía en papel mojado. Si hoy podemos sacarles la pelota, ¿por qué lo ponemos en el punto de penalti? Si podemos corregirlo, corrijámoslo. […] [C]ombatir a los jueces prevaricadores que se rebelan contra el Estado de Derecho y que sincronizan las agendas judiciales con la agenda política. […] ¿Nos está pasando la represión por delante de las narices y no haremos nada?, ¿la cúpula judicial está diciendo que se nos echará al cuello y no hacen nada?, ¿el juez Aguirre reabre una causa el día antes de la votación de esta ley y no haremos nada?, ¿el juez Aguirre se pasea por las televisiones europeas prevaricando y no haremos nada?, ¿el juez García-Castellón se saca los delitos del bolsillo una vez publicado el primer texto de la ley y no haremos nada? […] Excluyendo los términos terrorismo y traición, que es nuestra transaccional del artículo 2, lo que hacemos básicamente es no avergonzar ni hacer ruborizar a los europeos banalizando el terrorismo, como están haciendo algunos jueces […]. La cúpula judicial no tiene impunidad, no debería tenerla. Los jueces tienen que ser imparciales y los jueces no pueden tener agenda política. Los jueces no pueden hacer lo que quieran, a pesar de que muchos han vivido muchos años pensando que sí. Esto ya dura demasiado. La política tiene que dejar de marcarla gente como García-Castellón o Aguirre”.</w:t>
      </w:r>
    </w:p>
    <w:p w14:paraId="1D6F2160" w14:textId="77777777" w:rsidR="00A8138F" w:rsidRDefault="00A8138F" w:rsidP="00A8138F">
      <w:pPr>
        <w:pStyle w:val="TextoNormal"/>
      </w:pPr>
    </w:p>
    <w:p w14:paraId="43540D05" w14:textId="77777777" w:rsidR="00A8138F" w:rsidRDefault="00A8138F" w:rsidP="00A8138F">
      <w:pPr>
        <w:pStyle w:val="TextoNormal"/>
      </w:pPr>
      <w:r>
        <w:t>Y en este sentido emito el presente voto particular.</w:t>
      </w:r>
    </w:p>
    <w:p w14:paraId="0E5BABA0" w14:textId="77777777" w:rsidR="00A8138F" w:rsidRDefault="00A8138F" w:rsidP="00A8138F">
      <w:pPr>
        <w:pStyle w:val="TextoNormal"/>
      </w:pPr>
    </w:p>
    <w:p w14:paraId="74C3BD2E" w14:textId="6DD3CC4C" w:rsidR="00A8138F" w:rsidRDefault="00A8138F" w:rsidP="00A8138F">
      <w:pPr>
        <w:pStyle w:val="TextoNormal"/>
      </w:pPr>
      <w:r>
        <w:t>Madrid, a veintiséis de junio de dos mil veinticinco.</w:t>
      </w:r>
    </w:p>
    <w:p w14:paraId="1EAD05DD" w14:textId="6EC6A0BC" w:rsidR="00B35D37" w:rsidRDefault="00B35D37">
      <w:pPr>
        <w:spacing w:after="160" w:line="278" w:lineRule="auto"/>
        <w:rPr>
          <w:rFonts w:ascii="Times New Roman" w:eastAsia="Times New Roman" w:hAnsi="Times New Roman" w:cs="Times New Roman"/>
          <w:sz w:val="24"/>
          <w:szCs w:val="24"/>
          <w:lang w:eastAsia="es-ES"/>
        </w:rPr>
      </w:pPr>
      <w:r>
        <w:br w:type="page"/>
      </w:r>
    </w:p>
    <w:p w14:paraId="55114801" w14:textId="77777777" w:rsidR="00B35D37" w:rsidRDefault="00B35D37" w:rsidP="00B35D37">
      <w:pPr>
        <w:pStyle w:val="TextoNormal"/>
      </w:pPr>
    </w:p>
    <w:p w14:paraId="20E62BCF" w14:textId="77777777" w:rsidR="00B35D37" w:rsidRDefault="00B35D37" w:rsidP="00B35D37">
      <w:pPr>
        <w:pStyle w:val="TextoNormal"/>
      </w:pPr>
    </w:p>
    <w:p w14:paraId="4ED51943" w14:textId="77777777" w:rsidR="00B35D37" w:rsidRDefault="00B35D37" w:rsidP="00B35D37">
      <w:pPr>
        <w:pStyle w:val="TextoNormal"/>
      </w:pPr>
    </w:p>
    <w:p w14:paraId="36B4BA63" w14:textId="77777777" w:rsidR="00B35D37" w:rsidRDefault="00B35D37" w:rsidP="00B35D37">
      <w:pPr>
        <w:pStyle w:val="TextoNormal"/>
      </w:pPr>
    </w:p>
    <w:p w14:paraId="3441B1FB" w14:textId="77777777" w:rsidR="00B35D37" w:rsidRDefault="00B35D37" w:rsidP="00B35D37">
      <w:pPr>
        <w:pStyle w:val="TextoNormal"/>
      </w:pPr>
    </w:p>
    <w:p w14:paraId="0C2C1B72" w14:textId="77777777" w:rsidR="00B35D37" w:rsidRDefault="00B35D37" w:rsidP="00B35D37">
      <w:pPr>
        <w:pStyle w:val="TextoNormal"/>
      </w:pPr>
    </w:p>
    <w:p w14:paraId="273D751A" w14:textId="77777777" w:rsidR="00B35D37" w:rsidRDefault="00B35D37" w:rsidP="00B35D37">
      <w:pPr>
        <w:pStyle w:val="TextoNormal"/>
      </w:pPr>
    </w:p>
    <w:p w14:paraId="62CAA8FD" w14:textId="77777777" w:rsidR="00B35D37" w:rsidRDefault="00B35D37" w:rsidP="00B35D37">
      <w:pPr>
        <w:pStyle w:val="TextoNormal"/>
      </w:pPr>
    </w:p>
    <w:p w14:paraId="0DF447F1" w14:textId="77777777" w:rsidR="00B35D37" w:rsidRDefault="00B35D37" w:rsidP="00B35D37">
      <w:pPr>
        <w:pStyle w:val="TextoNormal"/>
      </w:pPr>
    </w:p>
    <w:p w14:paraId="00C74D10" w14:textId="77777777" w:rsidR="00B35D37" w:rsidRDefault="00B35D37" w:rsidP="00B35D37">
      <w:pPr>
        <w:pStyle w:val="TextoNormal"/>
      </w:pPr>
    </w:p>
    <w:p w14:paraId="62A3DB46" w14:textId="77777777" w:rsidR="00B35D37" w:rsidRDefault="00B35D37" w:rsidP="00B35D37">
      <w:pPr>
        <w:pStyle w:val="TextoNormal"/>
      </w:pPr>
    </w:p>
    <w:p w14:paraId="3F4C77A1" w14:textId="77777777" w:rsidR="00B35D37" w:rsidRDefault="00B35D37" w:rsidP="00B35D37">
      <w:pPr>
        <w:pStyle w:val="TextoNormal"/>
      </w:pPr>
    </w:p>
    <w:p w14:paraId="620A85E5" w14:textId="77777777" w:rsidR="00B35D37" w:rsidRDefault="00B35D37" w:rsidP="00B35D37">
      <w:pPr>
        <w:pStyle w:val="TextoNormal"/>
      </w:pPr>
    </w:p>
    <w:p w14:paraId="78FEFE9D" w14:textId="77777777" w:rsidR="00B35D37" w:rsidRDefault="00B35D37" w:rsidP="00B35D37">
      <w:pPr>
        <w:pStyle w:val="CabeceraApartado"/>
      </w:pPr>
      <w:r>
        <w:t>AUTOS</w:t>
      </w:r>
    </w:p>
    <w:p w14:paraId="2465EE43" w14:textId="75723756" w:rsidR="00B35D37" w:rsidRDefault="00B35D37">
      <w:pPr>
        <w:spacing w:after="160" w:line="278" w:lineRule="auto"/>
        <w:rPr>
          <w:rFonts w:ascii="Times New Roman" w:eastAsia="Times New Roman" w:hAnsi="Times New Roman" w:cs="Times New Roman"/>
          <w:sz w:val="48"/>
          <w:szCs w:val="24"/>
          <w:lang w:eastAsia="es-ES"/>
        </w:rPr>
      </w:pPr>
      <w:r>
        <w:br w:type="page"/>
      </w:r>
    </w:p>
    <w:p w14:paraId="762C2014" w14:textId="77777777" w:rsidR="00B35D37" w:rsidRDefault="00B35D37" w:rsidP="00B35D37">
      <w:pPr>
        <w:pStyle w:val="TtuloResolucin"/>
      </w:pPr>
      <w:bookmarkStart w:id="140" w:name="AUTO_2025_1"/>
      <w:r>
        <w:t>AUTO 1/2025, de 7 de enero de 2025</w:t>
      </w:r>
    </w:p>
    <w:bookmarkEnd w:id="140"/>
    <w:p w14:paraId="1A5958BC" w14:textId="77777777" w:rsidR="00B35D37" w:rsidRDefault="00B35D37" w:rsidP="00B35D37">
      <w:pPr>
        <w:pStyle w:val="TtuloResolucin"/>
      </w:pPr>
      <w:r>
        <w:t>Sección Primera</w:t>
      </w:r>
    </w:p>
    <w:p w14:paraId="488ADDF8" w14:textId="77777777" w:rsidR="00B35D37" w:rsidRDefault="00B35D37" w:rsidP="00B35D37">
      <w:pPr>
        <w:pStyle w:val="TextoNormalCentrado"/>
      </w:pPr>
      <w:r>
        <w:t>ECLI:ES:TC:2025:1A</w:t>
      </w:r>
    </w:p>
    <w:p w14:paraId="5C6BC85D" w14:textId="2DF26EA1" w:rsidR="00B35D37" w:rsidRDefault="00B35D37" w:rsidP="00B35D37">
      <w:pPr>
        <w:pStyle w:val="TextoNormalCentrado"/>
      </w:pPr>
    </w:p>
    <w:p w14:paraId="2570DAAF" w14:textId="77777777" w:rsidR="00B35D37" w:rsidRDefault="00B35D37" w:rsidP="00B35D37">
      <w:pPr>
        <w:pStyle w:val="SntesisDescriptiva"/>
      </w:pPr>
      <w:r>
        <w:t>Excms. Srs. doña Concepción Espejel Jorquera y doña María Luisa Segoviano Astaburuaga.</w:t>
      </w:r>
    </w:p>
    <w:p w14:paraId="7D0631DE" w14:textId="71B41AB1" w:rsidR="00B35D37" w:rsidRDefault="00B35D37" w:rsidP="00B35D37">
      <w:pPr>
        <w:pStyle w:val="SntesisDescriptiva"/>
      </w:pPr>
    </w:p>
    <w:p w14:paraId="72F26204" w14:textId="77777777" w:rsidR="00B35D37" w:rsidRDefault="00B35D37" w:rsidP="00B35D37">
      <w:pPr>
        <w:pStyle w:val="SntesisDescriptiva"/>
      </w:pPr>
      <w:r>
        <w:t>Acepta una abstención en el recurso de amparo 7444-2024, promovido en proceso militar.</w:t>
      </w:r>
    </w:p>
    <w:p w14:paraId="4368925B" w14:textId="1DC39330" w:rsidR="00B35D37" w:rsidRDefault="00B35D37" w:rsidP="00B35D37">
      <w:pPr>
        <w:pStyle w:val="SntesisDescriptiva"/>
      </w:pPr>
    </w:p>
    <w:p w14:paraId="40D7EF6C" w14:textId="77777777" w:rsidR="00B35D37" w:rsidRDefault="00B35D37" w:rsidP="00B35D37">
      <w:pPr>
        <w:pStyle w:val="SntesisDescriptiva"/>
      </w:pPr>
    </w:p>
    <w:p w14:paraId="688E067B" w14:textId="77777777" w:rsidR="00B35D37" w:rsidRDefault="00B35D37" w:rsidP="00B35D37">
      <w:pPr>
        <w:pStyle w:val="SntesisDescriptiva"/>
      </w:pPr>
    </w:p>
    <w:p w14:paraId="1D8C0293" w14:textId="77777777" w:rsidR="00B35D37" w:rsidRDefault="00B35D37" w:rsidP="00B35D37">
      <w:pPr>
        <w:pStyle w:val="TextoNormalNegritaCentrado"/>
      </w:pPr>
      <w:r>
        <w:t>AUTO</w:t>
      </w:r>
    </w:p>
    <w:p w14:paraId="70F58119" w14:textId="1566A31B" w:rsidR="00B35D37" w:rsidRDefault="00B35D37" w:rsidP="00B35D37">
      <w:pPr>
        <w:pStyle w:val="TextoNormalNegritaCentrado"/>
      </w:pPr>
    </w:p>
    <w:p w14:paraId="3FD17EB5" w14:textId="77777777" w:rsidR="00B35D37" w:rsidRDefault="00B35D37" w:rsidP="00B35D37">
      <w:pPr>
        <w:pStyle w:val="TextoNormalNegritaCentrado"/>
        <w:keepNext/>
      </w:pPr>
      <w:r>
        <w:t>I. Antecedentes</w:t>
      </w:r>
    </w:p>
    <w:p w14:paraId="1459B7D0" w14:textId="50ED6F3E" w:rsidR="00B35D37" w:rsidRDefault="00B35D37" w:rsidP="00B35D37">
      <w:pPr>
        <w:pStyle w:val="TextoNormalNegritaCentrado"/>
        <w:keepNext/>
      </w:pPr>
    </w:p>
    <w:p w14:paraId="0974DD81" w14:textId="77777777" w:rsidR="00B35D37" w:rsidRDefault="00B35D37" w:rsidP="00B35D37">
      <w:pPr>
        <w:pStyle w:val="TextoNormal"/>
      </w:pPr>
      <w:r w:rsidRPr="00B35D37">
        <w:rPr>
          <w:rStyle w:val="TextoNormalNegritaCaracter"/>
        </w:rPr>
        <w:t xml:space="preserve">Único. </w:t>
      </w:r>
      <w:r>
        <w:t>En el recurso de amparo núm. 7444-2024 se impugna la sentencia núm. 21/2024, de 22 de mayo, dictada por la Sala de lo Militar del Tribunal Supremo que, desestimando el recurso contencioso-disciplinario interpuesto por el ahora demandante de amparo, confirmó la resolución de la Excma. señora ministra de Defensa de 18 de septiembre de 2023, por la que se impuso al hoy recurrente la sanción disciplinaria de separación del servicio como autor de una falta muy grave.</w:t>
      </w:r>
    </w:p>
    <w:p w14:paraId="4C281BAD" w14:textId="77777777" w:rsidR="00B35D37" w:rsidRDefault="00B35D37" w:rsidP="00B35D37">
      <w:pPr>
        <w:pStyle w:val="TextoNormal"/>
      </w:pPr>
    </w:p>
    <w:p w14:paraId="5D0F9EC9" w14:textId="6E748660" w:rsidR="00B35D37" w:rsidRDefault="00B35D37" w:rsidP="00B35D37">
      <w:pPr>
        <w:pStyle w:val="TextoNormal"/>
      </w:pPr>
      <w:r>
        <w:t>Mediante escrito de 20 de diciembre de 2024, don Cándido Conde-Pumpido Tourón, presidente de la Sección Primera,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14:paraId="3A8E1293" w14:textId="77777777" w:rsidR="00B35D37" w:rsidRDefault="00B35D37" w:rsidP="00B35D37">
      <w:pPr>
        <w:pStyle w:val="TextoNormal"/>
      </w:pPr>
    </w:p>
    <w:p w14:paraId="77C0F58B" w14:textId="77777777" w:rsidR="00B35D37" w:rsidRDefault="00B35D37" w:rsidP="00B35D37">
      <w:pPr>
        <w:pStyle w:val="TextoNormalNegritaCentrado"/>
        <w:keepNext/>
      </w:pPr>
      <w:r>
        <w:t>II. Fundamentos jurídicos</w:t>
      </w:r>
    </w:p>
    <w:p w14:paraId="6D51AE76" w14:textId="719EE4EB" w:rsidR="00B35D37" w:rsidRDefault="00B35D37" w:rsidP="00B35D37">
      <w:pPr>
        <w:pStyle w:val="TextoNormalNegritaCentrado"/>
        <w:keepNext/>
      </w:pPr>
    </w:p>
    <w:p w14:paraId="69524A51" w14:textId="53A60677" w:rsidR="00B35D37" w:rsidRDefault="00B35D37" w:rsidP="00B35D37">
      <w:pPr>
        <w:pStyle w:val="TextoNormal"/>
      </w:pPr>
      <w:r w:rsidRPr="00B35D37">
        <w:rPr>
          <w:rStyle w:val="TextoNormalNegritaCaracter"/>
        </w:rPr>
        <w:t xml:space="preserve">Único. </w:t>
      </w:r>
      <w:r>
        <w:t>Vista la comunicación efectuada por don Cándido Conde-Pumpido Tourón, presidente de esta Sección Primera del Tribunal Constitucional, la Sección, en virtud de lo previsto en el art. 219.15 LOPJ, supletoria de la LOTC (art. 80), estima justificada la causa de abstención formulada.</w:t>
      </w:r>
    </w:p>
    <w:p w14:paraId="3EC69864" w14:textId="77777777" w:rsidR="00B35D37" w:rsidRDefault="00B35D37" w:rsidP="00B35D37">
      <w:pPr>
        <w:pStyle w:val="TextoNormal"/>
      </w:pPr>
    </w:p>
    <w:p w14:paraId="47F7EA9B" w14:textId="77777777" w:rsidR="00B35D37" w:rsidRDefault="00B35D37" w:rsidP="00B35D37">
      <w:pPr>
        <w:pStyle w:val="TextoNormal"/>
      </w:pPr>
      <w:r>
        <w:t>Por lo expuesto, la Sección</w:t>
      </w:r>
    </w:p>
    <w:p w14:paraId="64560D98" w14:textId="54547ACD" w:rsidR="00B35D37" w:rsidRDefault="00B35D37" w:rsidP="00B35D37">
      <w:pPr>
        <w:pStyle w:val="TextoNormal"/>
      </w:pPr>
    </w:p>
    <w:p w14:paraId="5CEB40FA" w14:textId="77777777" w:rsidR="00B35D37" w:rsidRDefault="00B35D37" w:rsidP="00B35D37">
      <w:pPr>
        <w:pStyle w:val="TextoNormalCentrado"/>
      </w:pPr>
      <w:r>
        <w:t>ACUERDA</w:t>
      </w:r>
    </w:p>
    <w:p w14:paraId="7D588F01" w14:textId="49730748" w:rsidR="00B35D37" w:rsidRDefault="00B35D37" w:rsidP="00B35D37">
      <w:pPr>
        <w:pStyle w:val="TextoNormalCentrado"/>
      </w:pPr>
    </w:p>
    <w:p w14:paraId="1A682E71" w14:textId="56E8F437" w:rsidR="00B35D37" w:rsidRDefault="00B35D37" w:rsidP="00B35D37">
      <w:pPr>
        <w:pStyle w:val="TextoNormal"/>
      </w:pPr>
      <w:r>
        <w:t>Estimar justificada la abstención formulada por el magistrado don Cándido Conde-Pumpido Tourón, presidente de esta Sección Primera, en el recurso de amparo núm. 7444-2024 apartándole definitivamente del conocimiento del referido recurso y de todas sus incidencias.</w:t>
      </w:r>
    </w:p>
    <w:p w14:paraId="5C58EA46" w14:textId="77777777" w:rsidR="00B35D37" w:rsidRDefault="00B35D37" w:rsidP="00B35D37">
      <w:pPr>
        <w:pStyle w:val="TextoNormal"/>
      </w:pPr>
    </w:p>
    <w:p w14:paraId="0F5167A6" w14:textId="77777777" w:rsidR="00B35D37" w:rsidRDefault="00B35D37" w:rsidP="00B35D37">
      <w:pPr>
        <w:pStyle w:val="TextoNormal"/>
      </w:pPr>
      <w:r>
        <w:t>Madrid, a siete de enero de dos mil veinticinco.</w:t>
      </w:r>
    </w:p>
    <w:p w14:paraId="03813CE0" w14:textId="10092084" w:rsidR="00B35D37" w:rsidRDefault="00B35D37">
      <w:pPr>
        <w:spacing w:after="160" w:line="278" w:lineRule="auto"/>
        <w:rPr>
          <w:rFonts w:ascii="Times New Roman" w:eastAsia="Times New Roman" w:hAnsi="Times New Roman" w:cs="Times New Roman"/>
          <w:sz w:val="24"/>
          <w:szCs w:val="24"/>
          <w:lang w:eastAsia="es-ES"/>
        </w:rPr>
      </w:pPr>
      <w:r>
        <w:br w:type="page"/>
      </w:r>
    </w:p>
    <w:p w14:paraId="08805A3D" w14:textId="77777777" w:rsidR="00B35D37" w:rsidRDefault="00B35D37" w:rsidP="00B35D37">
      <w:pPr>
        <w:pStyle w:val="TtuloResolucin"/>
      </w:pPr>
      <w:bookmarkStart w:id="141" w:name="AUTO_2025_2"/>
      <w:r>
        <w:t>AUTO 2/2025, de 13 de enero de 2025</w:t>
      </w:r>
    </w:p>
    <w:bookmarkEnd w:id="141"/>
    <w:p w14:paraId="18FA526C" w14:textId="77777777" w:rsidR="00B35D37" w:rsidRDefault="00B35D37" w:rsidP="00B35D37">
      <w:pPr>
        <w:pStyle w:val="TtuloResolucin"/>
      </w:pPr>
      <w:r>
        <w:t>Sala Primera</w:t>
      </w:r>
    </w:p>
    <w:p w14:paraId="221CC180" w14:textId="77777777" w:rsidR="00B35D37" w:rsidRDefault="00B35D37" w:rsidP="00B35D37">
      <w:pPr>
        <w:pStyle w:val="TextoNormalCentrado"/>
      </w:pPr>
      <w:r>
        <w:t>ECLI:ES:TC:2025:2A</w:t>
      </w:r>
    </w:p>
    <w:p w14:paraId="5A48F121" w14:textId="3B576078" w:rsidR="00B35D37" w:rsidRDefault="00B35D37" w:rsidP="00B35D37">
      <w:pPr>
        <w:pStyle w:val="TextoNormalCentrado"/>
      </w:pPr>
    </w:p>
    <w:p w14:paraId="72C2C906"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7F4B89B9" w14:textId="0FEF84B5" w:rsidR="00B35D37" w:rsidRDefault="00B35D37" w:rsidP="00B35D37">
      <w:pPr>
        <w:pStyle w:val="SntesisDescriptiva"/>
      </w:pPr>
    </w:p>
    <w:p w14:paraId="3F931F74" w14:textId="77777777" w:rsidR="00B35D37" w:rsidRDefault="00B35D37" w:rsidP="00B35D37">
      <w:pPr>
        <w:pStyle w:val="SntesisDescriptiva"/>
      </w:pPr>
      <w:r>
        <w:t>Acuerda el desistimiento en el recurso de amparo 1443-2023, promovido por doña Ana Isabel del Real Amado y otras veintiocho personas en proceso contencioso-administrativo.</w:t>
      </w:r>
    </w:p>
    <w:p w14:paraId="3802B781" w14:textId="5B46A0C9" w:rsidR="00B35D37" w:rsidRDefault="00B35D37" w:rsidP="00B35D37">
      <w:pPr>
        <w:pStyle w:val="SntesisDescriptiva"/>
      </w:pPr>
    </w:p>
    <w:p w14:paraId="1A05E3FD" w14:textId="77777777" w:rsidR="00B35D37" w:rsidRDefault="00B35D37" w:rsidP="00B35D37">
      <w:pPr>
        <w:pStyle w:val="SntesisDescriptiva"/>
      </w:pPr>
    </w:p>
    <w:p w14:paraId="273626C8" w14:textId="77777777" w:rsidR="00B35D37" w:rsidRDefault="00B35D37" w:rsidP="00B35D37">
      <w:pPr>
        <w:pStyle w:val="SntesisDescriptiva"/>
      </w:pPr>
    </w:p>
    <w:p w14:paraId="47849669" w14:textId="77777777" w:rsidR="00B35D37" w:rsidRDefault="00B35D37" w:rsidP="00B35D37">
      <w:pPr>
        <w:pStyle w:val="TextoNormalNegritaCentrado"/>
      </w:pPr>
      <w:r>
        <w:t>AUTO</w:t>
      </w:r>
    </w:p>
    <w:p w14:paraId="323E5545" w14:textId="1C5A192D" w:rsidR="00B35D37" w:rsidRDefault="00B35D37" w:rsidP="00B35D37">
      <w:pPr>
        <w:pStyle w:val="TextoNormalNegritaCentrado"/>
      </w:pPr>
    </w:p>
    <w:p w14:paraId="05CDA2DA" w14:textId="77777777" w:rsidR="00B35D37" w:rsidRDefault="00B35D37" w:rsidP="00B35D37">
      <w:pPr>
        <w:pStyle w:val="TextoNormalNegritaCentrado"/>
        <w:keepNext/>
      </w:pPr>
      <w:r>
        <w:t>I. Antecedentes</w:t>
      </w:r>
    </w:p>
    <w:p w14:paraId="445442B6" w14:textId="6F9016F5" w:rsidR="00B35D37" w:rsidRDefault="00B35D37" w:rsidP="00B35D37">
      <w:pPr>
        <w:pStyle w:val="TextoNormalNegritaCentrado"/>
        <w:keepNext/>
      </w:pPr>
    </w:p>
    <w:p w14:paraId="08F8150C" w14:textId="74E4D448" w:rsidR="00B35D37" w:rsidRDefault="00B35D37" w:rsidP="00B35D37">
      <w:pPr>
        <w:pStyle w:val="TextoNormal"/>
      </w:pPr>
      <w:r w:rsidRPr="00B35D37">
        <w:rPr>
          <w:rStyle w:val="NumeroAFNegritaCaracter"/>
        </w:rPr>
        <w:t>1</w:t>
      </w:r>
      <w:r>
        <w:t>. Mediante escrito registrado en el Tribunal el 3 de marzo de 2023, las personas citadas en el encabezamiento de esta resolución, representadas por la procuradora de los tribunales doña Carmen Armesto Tinoco, bajo la dirección del letrado don Pedro Tenorio Sánchez, interpusieron recurso de amparo contra la resolución citada en el encabezamiento de esta resolución.</w:t>
      </w:r>
    </w:p>
    <w:p w14:paraId="5B93B7A7" w14:textId="77777777" w:rsidR="00B35D37" w:rsidRDefault="00B35D37" w:rsidP="00B35D37">
      <w:pPr>
        <w:pStyle w:val="TextoNormal"/>
      </w:pPr>
    </w:p>
    <w:p w14:paraId="5ABC9FB3" w14:textId="77777777" w:rsidR="00B35D37" w:rsidRDefault="00B35D37" w:rsidP="00B35D37">
      <w:pPr>
        <w:pStyle w:val="TextoNormal"/>
      </w:pPr>
      <w:r w:rsidRPr="00B35D37">
        <w:rPr>
          <w:rStyle w:val="NumeroAFNegritaCaracter"/>
        </w:rPr>
        <w:t>2</w:t>
      </w:r>
      <w:r>
        <w:t>. El recurso tiene su origen en los siguientes antecedentes:</w:t>
      </w:r>
    </w:p>
    <w:p w14:paraId="0019611B" w14:textId="77777777" w:rsidR="00B35D37" w:rsidRDefault="00B35D37" w:rsidP="00B35D37">
      <w:pPr>
        <w:pStyle w:val="TextoNormal"/>
      </w:pPr>
    </w:p>
    <w:p w14:paraId="594C0D10" w14:textId="77777777" w:rsidR="00B35D37" w:rsidRDefault="00B35D37" w:rsidP="00B35D37">
      <w:pPr>
        <w:pStyle w:val="TextoNormal"/>
      </w:pPr>
      <w:r>
        <w:t>a) La sentencia 226/2021, de 10 de junio, del Juzgado de lo Contencioso-Administrativo núm. 30 de Madrid, pronunciada en el procedimiento abreviado núm. 351-2017, acordó la anulación de las listas provisional y definitiva de aspirantes que superaron la segunda prueba de la fase de oposición para el ingreso por promoción interna en el Cuerpo de Técnicos de Gestión de Administración General, grupo A, subgrupo A2, de la Comunidad de Madrid, convocada por Orden de la Consejería de Presidencia, Justicia y Portavocía del Gobierno 1305/2017, de 5 de mayo, estimando el recurso interpuesto por uno de los participantes. Esta sentencia fue confirmada por la sentencia 529/2022, de 25 de mayo, de la Sección Octava de la Sala de lo Contencioso-Administrativo del Tribunal Superior de Justicia de Madrid, pronunciada en el recurso de apelación núm. 1886-2021, declarándose su firmeza por decreto de 5 de septiembre de 2022, al no ser recurrida en casación.</w:t>
      </w:r>
    </w:p>
    <w:p w14:paraId="27BDB753" w14:textId="77777777" w:rsidR="00B35D37" w:rsidRDefault="00B35D37" w:rsidP="00B35D37">
      <w:pPr>
        <w:pStyle w:val="TextoNormal"/>
      </w:pPr>
    </w:p>
    <w:p w14:paraId="2EAA85DA" w14:textId="77777777" w:rsidR="00B35D37" w:rsidRDefault="00B35D37" w:rsidP="00B35D37">
      <w:pPr>
        <w:pStyle w:val="TextoNormal"/>
      </w:pPr>
      <w:r>
        <w:t>La Comunidad de Madrid, con el fin de dar cumplimiento al fallo de esos pronunciamientos, convocó la celebración de un ejercicio extraordinario únicamente para el demandante en aquel procedimiento, quien, disconforme con esta forma de ejecución, formuló incidente de ejecución, que fue tramitado con el núm. 45-2022 y resuelto por auto núm. 266/2022, de 17 de noviembre, acordando no tener por ejecutada la sentencia y requerir a la Comunidad de Madrid para suspender ese ejercicio extraordinario y convocar para su realización a todos los aspirantes que habían participado en el ejercicio controvertido.</w:t>
      </w:r>
    </w:p>
    <w:p w14:paraId="7DB6DC77" w14:textId="77777777" w:rsidR="00B35D37" w:rsidRDefault="00B35D37" w:rsidP="00B35D37">
      <w:pPr>
        <w:pStyle w:val="TextoNormal"/>
      </w:pPr>
    </w:p>
    <w:p w14:paraId="67B2F218" w14:textId="77777777" w:rsidR="00B35D37" w:rsidRDefault="00B35D37" w:rsidP="00B35D37">
      <w:pPr>
        <w:pStyle w:val="TextoNormal"/>
      </w:pPr>
      <w:r>
        <w:t>b) Los demandantes de amparo, todos ellos participantes que habían superado el proceso selectivo, al tener conocimiento de estas actuaciones judiciales con ocasión de la nueva convocatoria del ejercicio, mediante escrito de 8 de diciembre de 2022, formularon ante el Juzgado de lo Contencioso-Administrativo núm. 30 de Madrid un incidente de nulidad de actuaciones, con invocación del derecho a la tutela judicial efectiva (art. 24.1 CE) y la jurisprudencia establecida en la STC 166/2008, de 15 de diciembre, poniendo de manifiesto que se habían visto privados de la posibilidad de comparecer en el procedimiento porque la Comunidad de Madrid no les emplazó mediante notificación personal e individualizada, limitándose a insertar un anuncio en el tablón edictal único del “Boletín Oficial del Estado”, siendo un canal inadecuado para las comunicaciones vinculadas a la impugnación judicial del proceso selectivo.</w:t>
      </w:r>
    </w:p>
    <w:p w14:paraId="7CE8C9CA" w14:textId="77777777" w:rsidR="00B35D37" w:rsidRDefault="00B35D37" w:rsidP="00B35D37">
      <w:pPr>
        <w:pStyle w:val="TextoNormal"/>
      </w:pPr>
    </w:p>
    <w:p w14:paraId="3AE2848D" w14:textId="77777777" w:rsidR="00B35D37" w:rsidRDefault="00B35D37" w:rsidP="00B35D37">
      <w:pPr>
        <w:pStyle w:val="TextoNormal"/>
      </w:pPr>
      <w:r>
        <w:t>El incidente fue desestimado por auto de 2 de febrero de 2023, con fundamento en que fue publicada en el “Boletín Oficial del Estado” la interposición del recurso contencioso-administrativo, lo que permitió que los posibles interesados pudieran comparecer en el mismo.</w:t>
      </w:r>
    </w:p>
    <w:p w14:paraId="754D469A" w14:textId="77777777" w:rsidR="00B35D37" w:rsidRDefault="00B35D37" w:rsidP="00B35D37">
      <w:pPr>
        <w:pStyle w:val="TextoNormal"/>
      </w:pPr>
    </w:p>
    <w:p w14:paraId="16B0EAF6" w14:textId="389607B4" w:rsidR="00B35D37" w:rsidRDefault="00B35D37" w:rsidP="00B35D37">
      <w:pPr>
        <w:pStyle w:val="TextoNormal"/>
      </w:pPr>
      <w:r>
        <w:t>c) Los demandantes de amparo, simultáneamente a la promoción del incidente de nulidad de actuaciones, recurrieron en apelación el auto núm. 266/2022, de 17 de noviembre, dictado en el incidente de ejecución, dando lugar al recurso de apelación núm. 299-2023, al que se adhirió la Comunidad de Madrid, y que fue resuelto, una vez ya interpuesto y admitido a trámite el presente recurso de amparo, por sentencia de la Sección Octava de la Sala de lo Contencioso-Administrativo del Tribunal Superior de Justicia de Madrid núm. 207/2024, de 25 de marzo, acordando, entre otros extremos, la conservación de los nombramientos de los aspirantes que habían superado el proceso de selección, siendo declarada su firmeza por decreto de 26 de septiembre de 2024.</w:t>
      </w:r>
    </w:p>
    <w:p w14:paraId="487D35A5" w14:textId="77777777" w:rsidR="00B35D37" w:rsidRDefault="00B35D37" w:rsidP="00B35D37">
      <w:pPr>
        <w:pStyle w:val="TextoNormal"/>
      </w:pPr>
    </w:p>
    <w:p w14:paraId="7112CE53" w14:textId="15C0A396" w:rsidR="00B35D37" w:rsidRDefault="00B35D37" w:rsidP="00B35D37">
      <w:pPr>
        <w:pStyle w:val="TextoNormal"/>
      </w:pPr>
      <w:r w:rsidRPr="00B35D37">
        <w:rPr>
          <w:rStyle w:val="NumeroAFNegritaCaracter"/>
        </w:rPr>
        <w:t>3</w:t>
      </w:r>
      <w:r>
        <w:t>. Los demandantes de amparo solicitan que se estime el recurso declarando que se han vulnerado sus derechos a la tutela judicial efectiva (art. 24.1 CE) y a acceder y permanecer en los cargos públicos (art. 23.2 CE), para cuyo restablecimiento consideran necesario anular las resoluciones impugnadas y que se retrotraigan las actuaciones al momento en el que los demandantes debieron ser emplazados personal y directamente para posibilitar su participación en el procedimiento.</w:t>
      </w:r>
    </w:p>
    <w:p w14:paraId="18301BED" w14:textId="77777777" w:rsidR="00B35D37" w:rsidRDefault="00B35D37" w:rsidP="00B35D37">
      <w:pPr>
        <w:pStyle w:val="TextoNormal"/>
      </w:pPr>
    </w:p>
    <w:p w14:paraId="4B038162" w14:textId="72EFD5F1" w:rsidR="00B35D37" w:rsidRDefault="00B35D37" w:rsidP="00B35D37">
      <w:pPr>
        <w:pStyle w:val="TextoNormal"/>
      </w:pPr>
      <w:r w:rsidRPr="00B35D37">
        <w:rPr>
          <w:rStyle w:val="NumeroAFNegritaCaracter"/>
        </w:rPr>
        <w:t>4</w:t>
      </w:r>
      <w:r>
        <w:t>. La Sección Primera del Tribunal, por providencia de 8 de abril de 2024, acordó la admisión a trámite de la demanda de amparo, apreciando que concurre una especial trascendencia constitucional como consecuencia de que el órgano judicial pudiera haber incurrido en una negativa manifiesta del deber de acatamiento de la doctrina de este tribunal [STC 155/2009, de 25 de junio, FJ 2 f)]; dirigir atenta comunicación al órgano judicial para la remisión de testimonio de las actuaciones y emplazamiento de quienes hubieran sido parte en el procedimiento a los efectos de su personación en el presente proceso constitucional; y formar la oportuna pieza de suspensión, que fue resuelta por ATC 48/2024, de 20 de mayo.</w:t>
      </w:r>
    </w:p>
    <w:p w14:paraId="7FE7238B" w14:textId="77777777" w:rsidR="00B35D37" w:rsidRDefault="00B35D37" w:rsidP="00B35D37">
      <w:pPr>
        <w:pStyle w:val="TextoNormal"/>
      </w:pPr>
    </w:p>
    <w:p w14:paraId="2A6921B5" w14:textId="6D5F3B3B" w:rsidR="00B35D37" w:rsidRDefault="00B35D37" w:rsidP="00B35D37">
      <w:pPr>
        <w:pStyle w:val="TextoNormal"/>
      </w:pPr>
      <w:r w:rsidRPr="00B35D37">
        <w:rPr>
          <w:rStyle w:val="NumeroAFNegritaCaracter"/>
        </w:rPr>
        <w:t>5</w:t>
      </w:r>
      <w:r>
        <w:t>. La Secretaría de Justicia de la Sala Primera del Tribunal, por diligencia de ordenación de 2 de julio de 2024, tuvo por recibido el testimonio de las actuaciones, por personado y parte a la Comunidad de Madrid y a don David Maroto Antuña; y acordó dar vista de las actuaciones a las partes personadas y al Ministerio Fiscal, por plazo común de veinte días, a fin de que, conforme con lo previsto en el art. 52 LOTC, pudieran presentar alegaciones.</w:t>
      </w:r>
    </w:p>
    <w:p w14:paraId="5E92C397" w14:textId="77777777" w:rsidR="00B35D37" w:rsidRDefault="00B35D37" w:rsidP="00B35D37">
      <w:pPr>
        <w:pStyle w:val="TextoNormal"/>
      </w:pPr>
    </w:p>
    <w:p w14:paraId="55D14EE2" w14:textId="23F1CE36" w:rsidR="00B35D37" w:rsidRDefault="00B35D37" w:rsidP="00B35D37">
      <w:pPr>
        <w:pStyle w:val="TextoNormal"/>
      </w:pPr>
      <w:r w:rsidRPr="00B35D37">
        <w:rPr>
          <w:rStyle w:val="NumeroAFNegritaCaracter"/>
        </w:rPr>
        <w:t>6</w:t>
      </w:r>
      <w:r>
        <w:t>. La Comunidad de Madrid, por escrito registrado el 31 de julio de 2024, presentó alegaciones, instando que se “acuerde la terminación del procedimiento por satisfacción extraprocesal o, subsidiariamente, de otorgarse el amparo, el pronunciamiento de la Sala se limite al reconocimiento de los derechos que se entiendan vulnerados, sin acordar la retroacción de actuaciones”. A esos efectos, pone de manifiesto, como circunstancia sobrevenida, que se ha dictado la sentencia de la Sección Octava de la Sala de lo Contencioso-Administrativo del Tribunal Superior de Justicia de Madrid núm. 207/2024, de 25 de marzo, en la que se acuerda que la sentencia del Juzgado de lo Contencioso-Administrativo núm. 30 de Madrid núm. 226/2021, de 10 de junio, se ejecute conservándose los nombramientos de los aspirantes que superaron el proceso selectivo, lo que determina que, al quedar satisfecho el interés de los demandantes de amparo, el presente recurso de amparo habría perdido su objeto por satisfacción extraprocesal.</w:t>
      </w:r>
    </w:p>
    <w:p w14:paraId="7D0929D4" w14:textId="77777777" w:rsidR="00B35D37" w:rsidRDefault="00B35D37" w:rsidP="00B35D37">
      <w:pPr>
        <w:pStyle w:val="TextoNormal"/>
      </w:pPr>
    </w:p>
    <w:p w14:paraId="253841AA" w14:textId="489FDD63" w:rsidR="00B35D37" w:rsidRDefault="00B35D37" w:rsidP="00B35D37">
      <w:pPr>
        <w:pStyle w:val="TextoNormal"/>
      </w:pPr>
      <w:r w:rsidRPr="00B35D37">
        <w:rPr>
          <w:rStyle w:val="NumeroAFNegritaCaracter"/>
        </w:rPr>
        <w:t>7</w:t>
      </w:r>
      <w:r>
        <w:t>. Los demandantes de amparo, por escrito registrado el 1 de agosto de 2024, presentaron alegaciones, poniendo de manifiesto, como circunstancia sobrevenida, que se había dictado la sentencia de la Sección Octava de la Sala de lo Contencioso-Administrativo del Tribunal Superior de Justicia de Madrid núm. 207/2024, de 25 de marzo, en la que se acuerda que la sentencia del Juzgado de lo Contencioso-Administrativo núm. 30 de Madrid núm. 226/2021, de 10 de junio, se ejecute conservándose sus nombramientos. Destacan que, al no poder todavía confirmarse la firmeza de esta resolución, no procedería declarar la pérdida de objeto del presente recurso de amparo.</w:t>
      </w:r>
    </w:p>
    <w:p w14:paraId="019C4916" w14:textId="77777777" w:rsidR="00B35D37" w:rsidRDefault="00B35D37" w:rsidP="00B35D37">
      <w:pPr>
        <w:pStyle w:val="TextoNormal"/>
      </w:pPr>
    </w:p>
    <w:p w14:paraId="6BB928E5" w14:textId="3962CB02" w:rsidR="00B35D37" w:rsidRDefault="00B35D37" w:rsidP="00B35D37">
      <w:pPr>
        <w:pStyle w:val="TextoNormal"/>
      </w:pPr>
      <w:r w:rsidRPr="00B35D37">
        <w:rPr>
          <w:rStyle w:val="NumeroAFNegritaCaracter"/>
        </w:rPr>
        <w:t>8</w:t>
      </w:r>
      <w:r>
        <w:t>. La parte comparecida, por escrito registrado el 20 de septiembre de 2024, presentó alegaciones solicitando que se otorgara el amparo solicitado.</w:t>
      </w:r>
    </w:p>
    <w:p w14:paraId="557F4309" w14:textId="77777777" w:rsidR="00B35D37" w:rsidRDefault="00B35D37" w:rsidP="00B35D37">
      <w:pPr>
        <w:pStyle w:val="TextoNormal"/>
      </w:pPr>
    </w:p>
    <w:p w14:paraId="214A3683" w14:textId="7D6B785B" w:rsidR="00B35D37" w:rsidRDefault="00B35D37" w:rsidP="00B35D37">
      <w:pPr>
        <w:pStyle w:val="TextoNormal"/>
      </w:pPr>
      <w:r w:rsidRPr="00B35D37">
        <w:rPr>
          <w:rStyle w:val="NumeroAFNegritaCaracter"/>
        </w:rPr>
        <w:t>9</w:t>
      </w:r>
      <w:r>
        <w:t>. El Ministerio Fiscal, mediante escrito registrado el 18 de septiembre de 2024, interesó que, no constando la firmeza de la sentencia de la Sección Octava de la Sala de lo Contencioso-Administrativo del Tribunal Superior de Justicia de Madrid núm. 207/2024, de 25 de marzo, se acuerde oficiar al órgano judicial para que comunique la eventual firmeza de la resolución; lo que fue cumplimentado mediante oficio registrado el 14 de octubre de 2024, que certificó la firmeza de la citada sentencia.</w:t>
      </w:r>
    </w:p>
    <w:p w14:paraId="412308C2" w14:textId="77777777" w:rsidR="00B35D37" w:rsidRDefault="00B35D37" w:rsidP="00B35D37">
      <w:pPr>
        <w:pStyle w:val="TextoNormal"/>
      </w:pPr>
    </w:p>
    <w:p w14:paraId="2D20C973" w14:textId="06477197" w:rsidR="00B35D37" w:rsidRDefault="00B35D37" w:rsidP="00B35D37">
      <w:pPr>
        <w:pStyle w:val="TextoNormal"/>
      </w:pPr>
      <w:r w:rsidRPr="00B35D37">
        <w:rPr>
          <w:rStyle w:val="NumeroAFNegritaCaracter"/>
        </w:rPr>
        <w:t>10</w:t>
      </w:r>
      <w:r>
        <w:t>. Los demandantes de amparo, por escrito registrado el 4 de octubre de 2024, presentaron alegaciones, solicitando que, al haberse declarado la firmeza de la sentencia núm. 207/2024, de 25 de marzo, por decreto de 26 de septiembre de 2024, que adjuntan, se les tenga por desistidos del presente recurso de amparo, habida cuenta de la desaparición sobrevenida de su objeto.</w:t>
      </w:r>
    </w:p>
    <w:p w14:paraId="3352EFE0" w14:textId="77777777" w:rsidR="00B35D37" w:rsidRDefault="00B35D37" w:rsidP="00B35D37">
      <w:pPr>
        <w:pStyle w:val="TextoNormal"/>
      </w:pPr>
    </w:p>
    <w:p w14:paraId="366495A7" w14:textId="390B6AAD" w:rsidR="00B35D37" w:rsidRDefault="00B35D37" w:rsidP="00B35D37">
      <w:pPr>
        <w:pStyle w:val="TextoNormal"/>
      </w:pPr>
      <w:r w:rsidRPr="00B35D37">
        <w:rPr>
          <w:rStyle w:val="NumeroAFNegritaCaracter"/>
        </w:rPr>
        <w:t>11</w:t>
      </w:r>
      <w:r>
        <w:t>. La Secretaría de Justicia de la Sala Primera del Tribunal, por diligencia de ordenación de 7 de octubre de 2024, acordó dar traslado al Ministerio Fiscal y demás partes personadas, para que en el plazo de cinco días alegaran lo que estimaran pertinente en relación con el desistimiento formulado por los demandantes de amparo.</w:t>
      </w:r>
    </w:p>
    <w:p w14:paraId="04BCF1ED" w14:textId="77777777" w:rsidR="00B35D37" w:rsidRDefault="00B35D37" w:rsidP="00B35D37">
      <w:pPr>
        <w:pStyle w:val="TextoNormal"/>
      </w:pPr>
    </w:p>
    <w:p w14:paraId="2A2540EB" w14:textId="72384D03" w:rsidR="00B35D37" w:rsidRDefault="00B35D37" w:rsidP="00B35D37">
      <w:pPr>
        <w:pStyle w:val="TextoNormal"/>
      </w:pPr>
      <w:r w:rsidRPr="00B35D37">
        <w:rPr>
          <w:rStyle w:val="NumeroAFNegritaCaracter"/>
        </w:rPr>
        <w:t>12</w:t>
      </w:r>
      <w:r>
        <w:t>. La Comunidad de Madrid, por escrito registrado el 15 de octubre de 2024, presentó alegaciones no oponiéndose al desistimiento instado por los demandantes.</w:t>
      </w:r>
    </w:p>
    <w:p w14:paraId="1DE4048C" w14:textId="77777777" w:rsidR="00B35D37" w:rsidRDefault="00B35D37" w:rsidP="00B35D37">
      <w:pPr>
        <w:pStyle w:val="TextoNormal"/>
      </w:pPr>
    </w:p>
    <w:p w14:paraId="441BECC6" w14:textId="069E0A54" w:rsidR="00B35D37" w:rsidRDefault="00B35D37" w:rsidP="00B35D37">
      <w:pPr>
        <w:pStyle w:val="TextoNormal"/>
      </w:pPr>
      <w:r w:rsidRPr="00B35D37">
        <w:rPr>
          <w:rStyle w:val="NumeroAFNegritaCaracter"/>
        </w:rPr>
        <w:t>13</w:t>
      </w:r>
      <w:r>
        <w:t>. El Ministerio Fiscal, mediante escrito registrado el 28 de octubre de 2024, interesó que, “con carácter previo a emitir informe sobre lo interesado, constando en las actuaciones que los demandantes otorgaron a su representación procesal poder general para pleitos, se interesa que se aporte poder especial, conforme a lo prevenido en el art. 25.2.1 de la Ley de enjuiciamiento civil (LEC), o, en su caso, se ratifiquen aquellos en el desistimiento formulado”; lo que fue cumplimentado por los demandantes mediante escrito de 21 de noviembre de 2024.</w:t>
      </w:r>
    </w:p>
    <w:p w14:paraId="08CA4B4C" w14:textId="77777777" w:rsidR="00B35D37" w:rsidRDefault="00B35D37" w:rsidP="00B35D37">
      <w:pPr>
        <w:pStyle w:val="TextoNormal"/>
      </w:pPr>
    </w:p>
    <w:p w14:paraId="390CF715" w14:textId="416FB154" w:rsidR="00B35D37" w:rsidRDefault="00B35D37" w:rsidP="00B35D37">
      <w:pPr>
        <w:pStyle w:val="TextoNormal"/>
      </w:pPr>
      <w:r w:rsidRPr="00B35D37">
        <w:rPr>
          <w:rStyle w:val="NumeroAFNegritaCaracter"/>
        </w:rPr>
        <w:t>14</w:t>
      </w:r>
      <w:r>
        <w:t>. La Secretaría de Justicia de la Sala Primera del Tribunal, por diligencia de ordenación de 25 de noviembre de 2024, acordó conceder un nuevo plazo de cinco días al Ministerio Fiscal para alegaciones.</w:t>
      </w:r>
    </w:p>
    <w:p w14:paraId="1D32166F" w14:textId="77777777" w:rsidR="00B35D37" w:rsidRDefault="00B35D37" w:rsidP="00B35D37">
      <w:pPr>
        <w:pStyle w:val="TextoNormal"/>
      </w:pPr>
    </w:p>
    <w:p w14:paraId="22EE0F86" w14:textId="32FE7B53" w:rsidR="00B35D37" w:rsidRDefault="00B35D37" w:rsidP="00B35D37">
      <w:pPr>
        <w:pStyle w:val="TextoNormal"/>
      </w:pPr>
      <w:r w:rsidRPr="00B35D37">
        <w:rPr>
          <w:rStyle w:val="NumeroAFNegritaCaracter"/>
        </w:rPr>
        <w:t>15</w:t>
      </w:r>
      <w:r>
        <w:t>. El Ministerio Fiscal, mediante escrito registrado el 12 de diciembre de 2024, alegó no tener oposición al desistimiento de los demandantes, ya que aparece revestido de los requisitos legales y, además, no aprecia que su aceptación produzca perjuicio de parte ni daño para el interés público prevalente que justifique la continuación del procedimiento que, a mayor abundamiento, ha perdido su razón de ser por la circunstancia sobrevenida de pérdida de objeto.</w:t>
      </w:r>
    </w:p>
    <w:p w14:paraId="627D0976" w14:textId="77777777" w:rsidR="00B35D37" w:rsidRDefault="00B35D37" w:rsidP="00B35D37">
      <w:pPr>
        <w:pStyle w:val="TextoNormal"/>
      </w:pPr>
    </w:p>
    <w:p w14:paraId="049AA362" w14:textId="77777777" w:rsidR="00B35D37" w:rsidRDefault="00B35D37" w:rsidP="00B35D37">
      <w:pPr>
        <w:pStyle w:val="TextoNormalNegritaCentrado"/>
        <w:keepNext/>
      </w:pPr>
      <w:r>
        <w:t>II. Fundamentos jurídicos</w:t>
      </w:r>
    </w:p>
    <w:p w14:paraId="5D4DF03A" w14:textId="1205D3CA" w:rsidR="00B35D37" w:rsidRDefault="00B35D37" w:rsidP="00B35D37">
      <w:pPr>
        <w:pStyle w:val="TextoNormalNegritaCentrado"/>
        <w:keepNext/>
      </w:pPr>
    </w:p>
    <w:p w14:paraId="253115E2" w14:textId="77777777" w:rsidR="00B35D37" w:rsidRDefault="00B35D37" w:rsidP="00B35D37">
      <w:pPr>
        <w:pStyle w:val="TextoNormal"/>
      </w:pPr>
      <w:r w:rsidRPr="00B35D37">
        <w:rPr>
          <w:rStyle w:val="TextoNormalNegritaCaracter"/>
        </w:rPr>
        <w:t xml:space="preserve">Único. </w:t>
      </w:r>
      <w:r>
        <w:t>El objeto de la presente resolución es decidir sobre el desistimiento de los demandantes de amparo del presente recurso, que han fundamentado en la satisfacción extraprocesal de su pretensión.</w:t>
      </w:r>
    </w:p>
    <w:p w14:paraId="0158D587" w14:textId="77777777" w:rsidR="00B35D37" w:rsidRDefault="00B35D37" w:rsidP="00B35D37">
      <w:pPr>
        <w:pStyle w:val="TextoNormal"/>
      </w:pPr>
    </w:p>
    <w:p w14:paraId="6C0F67D2" w14:textId="77777777" w:rsidR="00B35D37" w:rsidRDefault="00B35D37" w:rsidP="00B35D37">
      <w:pPr>
        <w:pStyle w:val="TextoNormal"/>
      </w:pPr>
      <w:r>
        <w:t>El art. 86.1 de la Ley Orgánica del Tribunal Constitucional (LOTC) establece entre las formas de terminación del procedimiento de amparo el desistimiento, cuya decisión adoptará la forma de auto. A esos efectos, la jurisprudencia constitucional ha reiterado que (i) la manifestación de la voluntad de desistir puede estimarse como una forma admitida para poner fin a un proceso de amparo; rigiéndose dicha solicitud por la legislación procesal ordinaria que la regula en los arts 19.1, 20.2 y 3 LEC, que es de aplicación supletoria conforme al art. 80 LOTC; (ii) el desistimiento puede ser parcial, cuando afecta a alguna de las pretensiones en caso de pluralidad del objeto, o total, cuando se refiere a todas o a la única pretensión deducida en el proceso; y (iii) la regla general de atender a la solicitud de desistimiento, basado en el carácter rogado de la jurisdicción de amparo, siempre que las partes personadas presten su conformidad o no se opusieren a él dentro del plazo conferido a tal efecto, admite, entre otras, la excepción de que su aceptación pueda conllevar daño al interés particular o al interés objetivo que sirvió de fundamento a la apreciación de su especial trascendencia constitucional como requisito para su admisión (así, AATC 61/2022, de 4 de abril, FJ único; o 49/2024, de 20 de mayo, FJ 1).</w:t>
      </w:r>
    </w:p>
    <w:p w14:paraId="246DE832" w14:textId="77777777" w:rsidR="00B35D37" w:rsidRDefault="00B35D37" w:rsidP="00B35D37">
      <w:pPr>
        <w:pStyle w:val="TextoNormal"/>
      </w:pPr>
    </w:p>
    <w:p w14:paraId="59E9DFB9" w14:textId="295F2F69" w:rsidR="00B35D37" w:rsidRDefault="00B35D37" w:rsidP="00B35D37">
      <w:pPr>
        <w:pStyle w:val="TextoNormal"/>
      </w:pPr>
      <w:r>
        <w:t>En el presente caso la pretensión de desistimiento aparece revestida de los requisitos legales, no han mostrado oposición las partes personadas y tampoco se aprecia que su aceptación produzca perjuicio de parte ni daño para el interés general o público, habida cuenta de que se fundamenta en que ha existido una satisfacción extraprocesal de la pretensión. Por tanto, concurriendo los requisitos exigidos por la ley, procede acceder a la petición formulada.</w:t>
      </w:r>
    </w:p>
    <w:p w14:paraId="046F653E" w14:textId="77777777" w:rsidR="00B35D37" w:rsidRDefault="00B35D37" w:rsidP="00B35D37">
      <w:pPr>
        <w:pStyle w:val="TextoNormal"/>
      </w:pPr>
    </w:p>
    <w:p w14:paraId="24F7421B" w14:textId="77777777" w:rsidR="00B35D37" w:rsidRDefault="00B35D37" w:rsidP="00B35D37">
      <w:pPr>
        <w:pStyle w:val="TextoNormal"/>
      </w:pPr>
      <w:r>
        <w:t>Por lo expuesto, la Sala</w:t>
      </w:r>
    </w:p>
    <w:p w14:paraId="47BFFBF3" w14:textId="2B317F8E" w:rsidR="00B35D37" w:rsidRDefault="00B35D37" w:rsidP="00B35D37">
      <w:pPr>
        <w:pStyle w:val="TextoNormal"/>
      </w:pPr>
    </w:p>
    <w:p w14:paraId="30AF022E" w14:textId="77777777" w:rsidR="00B35D37" w:rsidRDefault="00B35D37" w:rsidP="00B35D37">
      <w:pPr>
        <w:pStyle w:val="TextoNormalCentrado"/>
      </w:pPr>
      <w:r>
        <w:t>ACUERDA</w:t>
      </w:r>
    </w:p>
    <w:p w14:paraId="7960F23E" w14:textId="173A3FD1" w:rsidR="00B35D37" w:rsidRDefault="00B35D37" w:rsidP="00B35D37">
      <w:pPr>
        <w:pStyle w:val="TextoNormalCentrado"/>
      </w:pPr>
    </w:p>
    <w:p w14:paraId="0F22E2BA" w14:textId="21C59FA8" w:rsidR="00B35D37" w:rsidRDefault="00B35D37" w:rsidP="00B35D37">
      <w:pPr>
        <w:pStyle w:val="TextoNormal"/>
      </w:pPr>
      <w:r>
        <w:t>Tener por apartados y desistidos del presente recurso de amparo a doña Ana Isabel del Real Amado, doña Ana Isabel Muñoz de Mingo, doña Beatriz Torres Otero, doña Begoña Torres Otero, doña Elena Arcones Grande, doña Erica Rodríguez Alonso, doña Gema de Inés Horcajo, don Germán Blázquez López, don Jesús Fuentes Rodríguez, don José Saiz Poveda, don Juan Martín García, doña María José Martín Barrientos, doña Eva Sánchez García, doña María Inmaculada García del Valle, don Manuel Sánchez Alonso, doña María Ángeles Arche Castro, doña María Teresa Fernández Fernández, doña María del Carmen Tejero Mendoza, don Miguel Plaza Gámez, don Oscar Pernudo Gómez, doña Pilar Martín Moreno, doña Raquel Celix Lomas, doña Rocío Carreras Rodríguez, doña Sonia Criado Conde, doña Ana Fernández Mediano, don Daniel Álvarez Vivero, doña Alicia Antón Rubio, doña Eva Villaverde Fernández y doña María del Sagrado Corazón Gener Mundó, debiendo tal desistimiento surtir plenos efectos, procediendo el archivo de las actuaciones.</w:t>
      </w:r>
    </w:p>
    <w:p w14:paraId="2621FC32" w14:textId="77777777" w:rsidR="00B35D37" w:rsidRDefault="00B35D37" w:rsidP="00B35D37">
      <w:pPr>
        <w:pStyle w:val="TextoNormal"/>
      </w:pPr>
    </w:p>
    <w:p w14:paraId="35C71422" w14:textId="77777777" w:rsidR="00B35D37" w:rsidRDefault="00B35D37" w:rsidP="00B35D37">
      <w:pPr>
        <w:pStyle w:val="TextoNormal"/>
      </w:pPr>
      <w:r>
        <w:t>Madrid, a trece de enero de dos mil veinticinco.</w:t>
      </w:r>
    </w:p>
    <w:p w14:paraId="39588A52" w14:textId="14BF2CC1" w:rsidR="00B35D37" w:rsidRDefault="00B35D37">
      <w:pPr>
        <w:spacing w:after="160" w:line="278" w:lineRule="auto"/>
        <w:rPr>
          <w:rFonts w:ascii="Times New Roman" w:eastAsia="Times New Roman" w:hAnsi="Times New Roman" w:cs="Times New Roman"/>
          <w:sz w:val="24"/>
          <w:szCs w:val="24"/>
          <w:lang w:eastAsia="es-ES"/>
        </w:rPr>
      </w:pPr>
      <w:r>
        <w:br w:type="page"/>
      </w:r>
    </w:p>
    <w:p w14:paraId="550A5C6D" w14:textId="77777777" w:rsidR="00B35D37" w:rsidRDefault="00B35D37" w:rsidP="00B35D37">
      <w:pPr>
        <w:pStyle w:val="TtuloResolucin"/>
      </w:pPr>
      <w:bookmarkStart w:id="142" w:name="AUTO_2025_3"/>
      <w:r>
        <w:t>AUTO 3/2025, de 14 de enero de 2025</w:t>
      </w:r>
    </w:p>
    <w:bookmarkEnd w:id="142"/>
    <w:p w14:paraId="55495024" w14:textId="77777777" w:rsidR="00B35D37" w:rsidRDefault="00B35D37" w:rsidP="00B35D37">
      <w:pPr>
        <w:pStyle w:val="TtuloResolucin"/>
      </w:pPr>
      <w:r>
        <w:t>Pleno</w:t>
      </w:r>
    </w:p>
    <w:p w14:paraId="5D90111A" w14:textId="77777777" w:rsidR="00B35D37" w:rsidRDefault="00B35D37" w:rsidP="00B35D37">
      <w:pPr>
        <w:pStyle w:val="TextoNormalCentrado"/>
      </w:pPr>
      <w:r>
        <w:t>ECLI:ES:TC:2025:3A</w:t>
      </w:r>
    </w:p>
    <w:p w14:paraId="6F78BE73" w14:textId="062F3EFD" w:rsidR="00B35D37" w:rsidRDefault="00B35D37" w:rsidP="00B35D37">
      <w:pPr>
        <w:pStyle w:val="TextoNormalCentrado"/>
      </w:pPr>
    </w:p>
    <w:p w14:paraId="7B7161C0"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w:t>
      </w:r>
    </w:p>
    <w:p w14:paraId="15D3A170" w14:textId="53E46130" w:rsidR="00B35D37" w:rsidRDefault="00B35D37" w:rsidP="00B35D37">
      <w:pPr>
        <w:pStyle w:val="SntesisDescriptiva"/>
      </w:pPr>
    </w:p>
    <w:p w14:paraId="6A50AA6E" w14:textId="77777777" w:rsidR="00B35D37" w:rsidRDefault="00B35D37" w:rsidP="00B35D37">
      <w:pPr>
        <w:pStyle w:val="SntesisDescriptiva"/>
      </w:pPr>
      <w:r>
        <w:t>Acepta una abstención en los recursos de amparo 7432-2023 y 7433-2023, promovidos por don Eduardo Esteban Rincón en proceso contencioso-administrativo.</w:t>
      </w:r>
    </w:p>
    <w:p w14:paraId="7A6FBEE6" w14:textId="2BFB7F55" w:rsidR="00B35D37" w:rsidRDefault="00B35D37" w:rsidP="00B35D37">
      <w:pPr>
        <w:pStyle w:val="SntesisDescriptiva"/>
      </w:pPr>
    </w:p>
    <w:p w14:paraId="307ED4A6" w14:textId="77777777" w:rsidR="00B35D37" w:rsidRDefault="00B35D37" w:rsidP="00B35D37">
      <w:pPr>
        <w:pStyle w:val="SntesisDescriptiva"/>
      </w:pPr>
    </w:p>
    <w:p w14:paraId="71C956A4" w14:textId="77777777" w:rsidR="00B35D37" w:rsidRDefault="00B35D37" w:rsidP="00B35D37">
      <w:pPr>
        <w:pStyle w:val="SntesisDescriptiva"/>
      </w:pPr>
    </w:p>
    <w:p w14:paraId="35A2C0A9" w14:textId="77777777" w:rsidR="00B35D37" w:rsidRDefault="00B35D37" w:rsidP="00B35D37">
      <w:pPr>
        <w:pStyle w:val="TextoNormalNegritaCentrado"/>
      </w:pPr>
      <w:r>
        <w:t>AUTO</w:t>
      </w:r>
    </w:p>
    <w:p w14:paraId="3300862B" w14:textId="3627F304" w:rsidR="00B35D37" w:rsidRDefault="00B35D37" w:rsidP="00B35D37">
      <w:pPr>
        <w:pStyle w:val="TextoNormalNegritaCentrado"/>
      </w:pPr>
    </w:p>
    <w:p w14:paraId="0AEEF6B4" w14:textId="77777777" w:rsidR="00B35D37" w:rsidRDefault="00B35D37" w:rsidP="00B35D37">
      <w:pPr>
        <w:pStyle w:val="TextoNormalNegritaCentrado"/>
        <w:keepNext/>
      </w:pPr>
      <w:r>
        <w:t>I. Antecedentes</w:t>
      </w:r>
    </w:p>
    <w:p w14:paraId="0D6A154C" w14:textId="39BFB77D" w:rsidR="00B35D37" w:rsidRDefault="00B35D37" w:rsidP="00B35D37">
      <w:pPr>
        <w:pStyle w:val="TextoNormalNegritaCentrado"/>
        <w:keepNext/>
      </w:pPr>
    </w:p>
    <w:p w14:paraId="10CB7220" w14:textId="69AEEBE0" w:rsidR="00B35D37" w:rsidRDefault="00B35D37" w:rsidP="00B35D37">
      <w:pPr>
        <w:pStyle w:val="TextoNormal"/>
      </w:pPr>
      <w:r w:rsidRPr="00B35D37">
        <w:rPr>
          <w:rStyle w:val="NumeroAFNegritaCaracter"/>
        </w:rPr>
        <w:t>1</w:t>
      </w:r>
      <w:r>
        <w:t>. Mediante sendos escritos registrados en el Tribunal el 24 de noviembre de 2023, don Ángel Martín Gutiérrez, procurador de los tribunales, en nombre y representación de don Eduardo Esteban Rincón, interpuso dos recursos de amparo, registrados con los núm. 7432-2023 y 7433-2023, respectivamente contra la sentencia núm. 1051/2023, de 20 de julio, y el posterior auto de 11 de octubre de 2023, dictados ambos en el recurso ordinario núm. 745-2022, y contra la sentencia 1024/2023, de 18 de julio, y el posterior auto de 11 de octubre de 2023, dictados en el recurso ordinario núm. 707-2022, por la Sala de lo Contencioso-Administrativo (Sección Cuarta) del Tribunal Supremo.</w:t>
      </w:r>
    </w:p>
    <w:p w14:paraId="557AC5AE" w14:textId="77777777" w:rsidR="00B35D37" w:rsidRDefault="00B35D37" w:rsidP="00B35D37">
      <w:pPr>
        <w:pStyle w:val="TextoNormal"/>
      </w:pPr>
    </w:p>
    <w:p w14:paraId="7DE86B5A" w14:textId="2AE20A98" w:rsidR="00B35D37" w:rsidRDefault="00B35D37" w:rsidP="00B35D37">
      <w:pPr>
        <w:pStyle w:val="TextoNormal"/>
      </w:pPr>
      <w:r w:rsidRPr="00B35D37">
        <w:rPr>
          <w:rStyle w:val="NumeroAFNegritaCaracter"/>
        </w:rPr>
        <w:t>2</w:t>
      </w:r>
      <w:r>
        <w:t>. Por escrito fechado el día 13 de enero de 2025, el magistrado don César Tolosa Tribiño comunicó al presidente del Tribunal, a los efectos oportunos, su voluntad de abstenerse de intervenir en el conocimiento de los recursos de amparo núms. 7432-2023 y 7433-2023.</w:t>
      </w:r>
    </w:p>
    <w:p w14:paraId="4283567A" w14:textId="77777777" w:rsidR="00B35D37" w:rsidRDefault="00B35D37" w:rsidP="00B35D37">
      <w:pPr>
        <w:pStyle w:val="TextoNormal"/>
      </w:pPr>
    </w:p>
    <w:p w14:paraId="6D897C62" w14:textId="1FDC542D" w:rsidR="00B35D37" w:rsidRDefault="00B35D37" w:rsidP="00B35D37">
      <w:pPr>
        <w:pStyle w:val="TextoNormal"/>
      </w:pPr>
      <w:r w:rsidRPr="00B35D37">
        <w:rPr>
          <w:rStyle w:val="NumeroAFNegritaCaracter"/>
        </w:rPr>
        <w:t>3</w:t>
      </w:r>
      <w:r>
        <w:t>. La solicitud de abstención se sustenta en la causa 13 del art. 219 de la Ley Orgánica del Poder Judicial (LOPJ) por “[h]aber ocupado cargo público, desempeñado empleo o ejercido profesión con ocasión de los cuales haya participado directa o indirectamente en el asunto objeto del pleito o causa o en otro relacionado con el mismo”, al haber participado en la condición de presidente de la Sala de lo Contencioso-Administrativo del Tribunal Supremo en las SSTS núms. 452/2022 y 453/2022, de la Sección Cuarta, que resolvieron las impugnaciones formuladas por la Asociación de Fiscales y por don José Miguel de la Rosa contra el Real Decreto 212/2021, de 30 de marzo, por el que se resolvió la convocatoria de la Orden JUS/90/2021, de 27 de enero, en favor del recurrente en amparo.</w:t>
      </w:r>
    </w:p>
    <w:p w14:paraId="2DF0523B" w14:textId="77777777" w:rsidR="00B35D37" w:rsidRDefault="00B35D37" w:rsidP="00B35D37">
      <w:pPr>
        <w:pStyle w:val="TextoNormal"/>
      </w:pPr>
    </w:p>
    <w:p w14:paraId="705888DE" w14:textId="77777777" w:rsidR="00B35D37" w:rsidRDefault="00B35D37" w:rsidP="00B35D37">
      <w:pPr>
        <w:pStyle w:val="TextoNormalNegritaCentrado"/>
        <w:keepNext/>
      </w:pPr>
      <w:r>
        <w:t>II. Fundamentos jurídicos</w:t>
      </w:r>
    </w:p>
    <w:p w14:paraId="54FAAF4D" w14:textId="30240174" w:rsidR="00B35D37" w:rsidRDefault="00B35D37" w:rsidP="00B35D37">
      <w:pPr>
        <w:pStyle w:val="TextoNormalNegritaCentrado"/>
        <w:keepNext/>
      </w:pPr>
    </w:p>
    <w:p w14:paraId="38856CF4" w14:textId="77777777" w:rsidR="00B35D37" w:rsidRDefault="00B35D37" w:rsidP="00B35D37">
      <w:pPr>
        <w:pStyle w:val="TextoNormal"/>
      </w:pPr>
      <w:r w:rsidRPr="00B35D37">
        <w:rPr>
          <w:rStyle w:val="TextoNormalNegritaCaracter"/>
        </w:rPr>
        <w:t xml:space="preserve">Único. </w:t>
      </w:r>
      <w:r>
        <w:t>El objeto de la presente resolución es, de conformidad con lo previsto en el art. 10.1 k) de la Ley Orgánica del Tribunal Constitucional, resolver sobre la abstención formulada por el magistrado don César Tolosa Tribiño, quien ha remitido al Pleno escrito de 13 de enero de 2025 comunicando su voluntad de abstenerse de toda intervención en los recursos de amparo núms. 7432-2023 y 7433-2023 y sus incidencias, al haber participado directamente en un asunto relacionado con el que es objeto de los citados recursos de amparo (art. 219.13 LOPJ), pues intervino como presidente de la Sala de lo Contencioso-Administrativo del Tribunal Supremo en las SSTS núms. 452/2022 y 453/2022, que resolvieron las impugnaciones que formularon tanto la Asociación de Fiscales como don José Miguel de la Rosa contra el Real Decreto 212/2021, de 30 de marzo, por el que se resolvió la convocatoria de la Orden JUS/90/2021, de 27 de enero, en favor del recurrente de amparo.</w:t>
      </w:r>
    </w:p>
    <w:p w14:paraId="450228BD" w14:textId="77777777" w:rsidR="00B35D37" w:rsidRDefault="00B35D37" w:rsidP="00B35D37">
      <w:pPr>
        <w:pStyle w:val="TextoNormal"/>
      </w:pPr>
    </w:p>
    <w:p w14:paraId="0047BA2D" w14:textId="334C6A61" w:rsidR="00B35D37" w:rsidRDefault="00B35D37" w:rsidP="00B35D37">
      <w:pPr>
        <w:pStyle w:val="TextoNormal"/>
      </w:pPr>
      <w:r>
        <w:t>En atención a la circunstancia reseñada debe estimarse justificada la abstención, al concurrir la causa 13 del art. 219 LOPJ, por haber participado directamente en un asunto relacionado con el que es objeto de los recursos de amparo núms. 7432-2023 y 7433-2023.</w:t>
      </w:r>
    </w:p>
    <w:p w14:paraId="4CD0781C" w14:textId="77777777" w:rsidR="00B35D37" w:rsidRDefault="00B35D37" w:rsidP="00B35D37">
      <w:pPr>
        <w:pStyle w:val="TextoNormal"/>
      </w:pPr>
    </w:p>
    <w:p w14:paraId="27039569" w14:textId="77777777" w:rsidR="00B35D37" w:rsidRDefault="00B35D37" w:rsidP="00B35D37">
      <w:pPr>
        <w:pStyle w:val="TextoNormal"/>
      </w:pPr>
      <w:r>
        <w:t>Por lo expuesto, el Pleno</w:t>
      </w:r>
    </w:p>
    <w:p w14:paraId="374A2467" w14:textId="32635012" w:rsidR="00B35D37" w:rsidRDefault="00B35D37" w:rsidP="00B35D37">
      <w:pPr>
        <w:pStyle w:val="TextoNormal"/>
      </w:pPr>
    </w:p>
    <w:p w14:paraId="3E174F5B" w14:textId="77777777" w:rsidR="00B35D37" w:rsidRDefault="00B35D37" w:rsidP="00B35D37">
      <w:pPr>
        <w:pStyle w:val="TextoNormalCentrado"/>
      </w:pPr>
      <w:r>
        <w:t>ACUERDA</w:t>
      </w:r>
    </w:p>
    <w:p w14:paraId="5A63C392" w14:textId="4052A882" w:rsidR="00B35D37" w:rsidRDefault="00B35D37" w:rsidP="00B35D37">
      <w:pPr>
        <w:pStyle w:val="TextoNormalCentrado"/>
      </w:pPr>
    </w:p>
    <w:p w14:paraId="3D7F2C0D" w14:textId="52C9C5DD" w:rsidR="00B35D37" w:rsidRDefault="00B35D37" w:rsidP="00B35D37">
      <w:pPr>
        <w:pStyle w:val="TextoNormal"/>
      </w:pPr>
      <w:r>
        <w:t>Estimar la causa de abstención formulada por el magistrado don César Tolosa Tribiño en los recursos de amparo núms. 7432-2023 y 7433-2023, apartándole definitivamente de los referidos recursos y de todas sus incidencias.</w:t>
      </w:r>
    </w:p>
    <w:p w14:paraId="40DE71DF" w14:textId="77777777" w:rsidR="00B35D37" w:rsidRDefault="00B35D37" w:rsidP="00B35D37">
      <w:pPr>
        <w:pStyle w:val="TextoNormal"/>
      </w:pPr>
    </w:p>
    <w:p w14:paraId="586198BF" w14:textId="77777777" w:rsidR="00B35D37" w:rsidRDefault="00B35D37" w:rsidP="00B35D37">
      <w:pPr>
        <w:pStyle w:val="TextoNormal"/>
      </w:pPr>
      <w:r>
        <w:t>Madrid, a catorce de enero de dos mil veinticinco.</w:t>
      </w:r>
    </w:p>
    <w:p w14:paraId="7D2B1643" w14:textId="790201DF" w:rsidR="00B35D37" w:rsidRDefault="00B35D37">
      <w:pPr>
        <w:spacing w:after="160" w:line="278" w:lineRule="auto"/>
        <w:rPr>
          <w:rFonts w:ascii="Times New Roman" w:eastAsia="Times New Roman" w:hAnsi="Times New Roman" w:cs="Times New Roman"/>
          <w:sz w:val="24"/>
          <w:szCs w:val="24"/>
          <w:lang w:eastAsia="es-ES"/>
        </w:rPr>
      </w:pPr>
      <w:r>
        <w:br w:type="page"/>
      </w:r>
    </w:p>
    <w:p w14:paraId="0F7CCFED" w14:textId="77777777" w:rsidR="00B35D37" w:rsidRDefault="00B35D37" w:rsidP="00B35D37">
      <w:pPr>
        <w:pStyle w:val="TtuloResolucin"/>
      </w:pPr>
      <w:bookmarkStart w:id="143" w:name="AUTO_2025_4"/>
      <w:r>
        <w:t>AUTO 4/2025, de 14 de enero de 2025</w:t>
      </w:r>
    </w:p>
    <w:bookmarkEnd w:id="143"/>
    <w:p w14:paraId="165A6ADF" w14:textId="77777777" w:rsidR="00B35D37" w:rsidRDefault="00B35D37" w:rsidP="00B35D37">
      <w:pPr>
        <w:pStyle w:val="TtuloResolucin"/>
      </w:pPr>
      <w:r>
        <w:t>Pleno</w:t>
      </w:r>
    </w:p>
    <w:p w14:paraId="7EC0A9B0" w14:textId="77777777" w:rsidR="00B35D37" w:rsidRDefault="00B35D37" w:rsidP="00B35D37">
      <w:pPr>
        <w:pStyle w:val="TextoNormalCentrado"/>
      </w:pPr>
      <w:r>
        <w:t>ECLI:ES:TC:2025:4A</w:t>
      </w:r>
    </w:p>
    <w:p w14:paraId="36C76AC1" w14:textId="1B574A0E" w:rsidR="00B35D37" w:rsidRDefault="00B35D37" w:rsidP="00B35D37">
      <w:pPr>
        <w:pStyle w:val="TextoNormalCentrado"/>
      </w:pPr>
    </w:p>
    <w:p w14:paraId="470E09DD"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w:t>
      </w:r>
    </w:p>
    <w:p w14:paraId="7B4E7D2A" w14:textId="51A521C9" w:rsidR="00B35D37" w:rsidRDefault="00B35D37" w:rsidP="00B35D37">
      <w:pPr>
        <w:pStyle w:val="SntesisDescriptiva"/>
      </w:pPr>
    </w:p>
    <w:p w14:paraId="7D1BB24C" w14:textId="77777777" w:rsidR="00B35D37" w:rsidRDefault="00B35D37" w:rsidP="00B35D37">
      <w:pPr>
        <w:pStyle w:val="SntesisDescriptiva"/>
      </w:pPr>
      <w:r>
        <w:t>Admite a trámite el recurso de amparo 7432-2023, promovido por don Eduardo Esteban Rincón en proceso contencioso-administrativo. Voto particular.</w:t>
      </w:r>
    </w:p>
    <w:p w14:paraId="73E63654" w14:textId="61BF25D8" w:rsidR="00B35D37" w:rsidRDefault="00B35D37" w:rsidP="00B35D37">
      <w:pPr>
        <w:pStyle w:val="SntesisDescriptiva"/>
      </w:pPr>
    </w:p>
    <w:p w14:paraId="0A7E71EF" w14:textId="77777777" w:rsidR="00B35D37" w:rsidRDefault="00B35D37" w:rsidP="00B35D37">
      <w:pPr>
        <w:pStyle w:val="SntesisDescriptiva"/>
      </w:pPr>
    </w:p>
    <w:p w14:paraId="165A1942" w14:textId="77777777" w:rsidR="00B35D37" w:rsidRDefault="00B35D37" w:rsidP="00B35D37">
      <w:pPr>
        <w:pStyle w:val="SntesisDescriptiva"/>
      </w:pPr>
    </w:p>
    <w:p w14:paraId="7F653D91" w14:textId="77777777" w:rsidR="00B35D37" w:rsidRDefault="00B35D37" w:rsidP="00B35D37">
      <w:pPr>
        <w:pStyle w:val="TextoNormalNegritaCentrado"/>
      </w:pPr>
      <w:r>
        <w:t>AUTO</w:t>
      </w:r>
    </w:p>
    <w:p w14:paraId="42771F28" w14:textId="6EF31B25" w:rsidR="00B35D37" w:rsidRDefault="00B35D37" w:rsidP="00B35D37">
      <w:pPr>
        <w:pStyle w:val="TextoNormalNegritaCentrado"/>
      </w:pPr>
    </w:p>
    <w:p w14:paraId="4DABD0B4" w14:textId="77777777" w:rsidR="00B35D37" w:rsidRDefault="00B35D37" w:rsidP="00B35D37">
      <w:pPr>
        <w:pStyle w:val="TextoNormalNegritaCentrado"/>
        <w:keepNext/>
      </w:pPr>
      <w:r>
        <w:t>I. Antecedentes</w:t>
      </w:r>
    </w:p>
    <w:p w14:paraId="6E780153" w14:textId="0CD7CBA2" w:rsidR="00B35D37" w:rsidRDefault="00B35D37" w:rsidP="00B35D37">
      <w:pPr>
        <w:pStyle w:val="TextoNormalNegritaCentrado"/>
        <w:keepNext/>
      </w:pPr>
    </w:p>
    <w:p w14:paraId="699DE366" w14:textId="50520D4E" w:rsidR="00B35D37" w:rsidRDefault="00B35D37" w:rsidP="00B35D37">
      <w:pPr>
        <w:pStyle w:val="TextoNormal"/>
      </w:pPr>
      <w:r w:rsidRPr="00B35D37">
        <w:rPr>
          <w:rStyle w:val="NumeroAFNegritaCaracter"/>
        </w:rPr>
        <w:t>1</w:t>
      </w:r>
      <w:r>
        <w:t>. Mediante escrito presentado en el registro general de este tribunal el 24 de noviembre de 2023, la representación procesal de don Eduardo Esteban Rincón interpuso recurso de amparo contra: (i) la sentencia de la Sección Cuarta de la Sala de lo Contencioso-Administrativo del Tribunal Supremo núm. 1051/2023, de 20 de julio, recaída en el procedimiento ordinario núm. 745-2022, y (ii) la providencia del mismo órgano judicial de 11 de octubre de 2023, que inadmite a trámite el incidente de nulidad de actuaciones interpuesto frente a la citada sentencia.</w:t>
      </w:r>
    </w:p>
    <w:p w14:paraId="6E7EFE05" w14:textId="77777777" w:rsidR="00B35D37" w:rsidRDefault="00B35D37" w:rsidP="00B35D37">
      <w:pPr>
        <w:pStyle w:val="TextoNormal"/>
      </w:pPr>
    </w:p>
    <w:p w14:paraId="782B3209" w14:textId="77777777" w:rsidR="00B35D37" w:rsidRDefault="00B35D37" w:rsidP="00B35D37">
      <w:pPr>
        <w:pStyle w:val="TextoNormal"/>
      </w:pPr>
      <w:r w:rsidRPr="00B35D37">
        <w:rPr>
          <w:rStyle w:val="NumeroAFNegritaCaracter"/>
        </w:rPr>
        <w:t>2</w:t>
      </w:r>
      <w:r>
        <w:t>. Las alegaciones que se contienen en la demanda de amparo son, sintéticamente expuestas, las siguientes:</w:t>
      </w:r>
    </w:p>
    <w:p w14:paraId="1D931CF1" w14:textId="77777777" w:rsidR="00B35D37" w:rsidRDefault="00B35D37" w:rsidP="00B35D37">
      <w:pPr>
        <w:pStyle w:val="TextoNormal"/>
      </w:pPr>
    </w:p>
    <w:p w14:paraId="1B6F2DC1" w14:textId="77777777" w:rsidR="00B35D37" w:rsidRDefault="00B35D37" w:rsidP="00B35D37">
      <w:pPr>
        <w:pStyle w:val="TextoNormal"/>
      </w:pPr>
      <w:r>
        <w:t>a) El recurrente de amparo fue promovido a la categoría de fiscal de sala —la más alta en la carrera fiscal— y nombrado fiscal de sala de la Fiscalía de Menores de la Fiscalía General del Estado en virtud del Real Decreto 212/2021, de 30 de marzo, que resolvió la convocatoria efectuada por Orden JUS/90/2021, de 27 de enero, por la que se convocan para su provisión destinos vacantes en la carrera fiscal.</w:t>
      </w:r>
    </w:p>
    <w:p w14:paraId="5A4B1FEA" w14:textId="77777777" w:rsidR="00B35D37" w:rsidRDefault="00B35D37" w:rsidP="00B35D37">
      <w:pPr>
        <w:pStyle w:val="TextoNormal"/>
      </w:pPr>
    </w:p>
    <w:p w14:paraId="65C19BFE" w14:textId="77777777" w:rsidR="00B35D37" w:rsidRDefault="00B35D37" w:rsidP="00B35D37">
      <w:pPr>
        <w:pStyle w:val="TextoNormal"/>
      </w:pPr>
      <w:r>
        <w:t>El referido real decreto fue anulado —por defectos de motivación de la propuesta de nombramiento efectuada por la fiscal general del Estado— por la Sala de lo Contencioso-Administrativo del Tribunal Supremo, Sección Cuarta, en SSTS 452/2022 (ECLI:ES:TS:2022:1467) y 453/2022 (ECLI:ES:TS:2022:1466), ambas de 19 de abril. Dichas resoluciones acordaron la retroacción del procedimiento al momento inmediatamente anterior a la propuesta de nombramiento, a efectos de que la fiscal general del Estado realizara una nueva propuesta, debidamente motivada.</w:t>
      </w:r>
    </w:p>
    <w:p w14:paraId="081678AC" w14:textId="77777777" w:rsidR="00B35D37" w:rsidRDefault="00B35D37" w:rsidP="00B35D37">
      <w:pPr>
        <w:pStyle w:val="TextoNormal"/>
      </w:pPr>
    </w:p>
    <w:p w14:paraId="4E824E55" w14:textId="77777777" w:rsidR="00B35D37" w:rsidRDefault="00B35D37" w:rsidP="00B35D37">
      <w:pPr>
        <w:pStyle w:val="TextoNormal"/>
      </w:pPr>
      <w:r>
        <w:t>b) El recurrente volvió a ser promovido a la categoría de fiscal de sala y nombrado fiscal de sala de la Fiscalía de Menores de la Fiscalía General del Estado en virtud del Real Decreto 417/2022, de 31 de mayo, que contenía una motivación diversa —y más amplia— que la del anterior nombramiento.</w:t>
      </w:r>
    </w:p>
    <w:p w14:paraId="4CF2DA1B" w14:textId="77777777" w:rsidR="00B35D37" w:rsidRDefault="00B35D37" w:rsidP="00B35D37">
      <w:pPr>
        <w:pStyle w:val="TextoNormal"/>
      </w:pPr>
    </w:p>
    <w:p w14:paraId="79D52AC3" w14:textId="77777777" w:rsidR="00B35D37" w:rsidRDefault="00B35D37" w:rsidP="00B35D37">
      <w:pPr>
        <w:pStyle w:val="TextoNormal"/>
      </w:pPr>
      <w:r>
        <w:t>Este segundo nombramiento fue impugnado por la Asociación de Fiscales ante la Sala de lo Contencioso-Administrativo del Tribunal Supremo, dando lugar al procedimiento ordinario núm. 745-2022, que concluyó con la STS 1051/2023, de 20 de julio (ECLI:ES:TS:2023:3397), objeto del presente recurso de amparo. La resolución anula el Real Decreto 417/2022, pero no acuerda, esta vez, la retroacción para la realización de una nueva propuesta de nombramiento.</w:t>
      </w:r>
    </w:p>
    <w:p w14:paraId="19E54D2F" w14:textId="77777777" w:rsidR="00B35D37" w:rsidRDefault="00B35D37" w:rsidP="00B35D37">
      <w:pPr>
        <w:pStyle w:val="TextoNormal"/>
      </w:pPr>
    </w:p>
    <w:p w14:paraId="743044B1" w14:textId="77777777" w:rsidR="00B35D37" w:rsidRDefault="00B35D37" w:rsidP="00B35D37">
      <w:pPr>
        <w:pStyle w:val="TextoNormal"/>
      </w:pPr>
      <w:r>
        <w:t>El recurrente de amparo promovió un incidente de nulidad de actuaciones frente a la sentencia, que fue inadmitido por la Sala mediante providencia de 11 de octubre de 2023.</w:t>
      </w:r>
    </w:p>
    <w:p w14:paraId="6E7EF859" w14:textId="77777777" w:rsidR="00B35D37" w:rsidRDefault="00B35D37" w:rsidP="00B35D37">
      <w:pPr>
        <w:pStyle w:val="TextoNormal"/>
      </w:pPr>
    </w:p>
    <w:p w14:paraId="4C71E322" w14:textId="77777777" w:rsidR="00B35D37" w:rsidRDefault="00B35D37" w:rsidP="00B35D37">
      <w:pPr>
        <w:pStyle w:val="TextoNormal"/>
      </w:pPr>
      <w:r>
        <w:t>c) A juicio del demandante de amparo, la sentencia dictada por la Sala de lo Contencioso-Administrativo del Tribunal Supremo vulnera los siguientes derechos fundamentales: (i) el derecho a la tutela judicial efectiva del art. 24.1 CE, pues la sentencia impugnada habría realizado un giro no motivado en la jurisprudencia de la propia Sala en relación con el control jurisdiccional de los nombramientos discrecionales; (ii) el derecho a la igualdad del art. 14 CE, porque otros nombramientos discrecionales equiparables —realizados por el Consejo General del Poder Judicial en relación con plazas de magistrado de designación discrecional— no se controlan por dicha sala con arreglo a esos mismos criterios; (iii) el art. 23.2 CE, pues la sentencia dictada por la Sala anula el nombramiento para la plaza de fiscal de sala de menores y la promoción del recurrente de amparo a la categoría profesional de “fiscal de sala” invadiendo las facultades de valoración discrecional que corresponden exclusivamente al Gobierno, convirtiendo la experiencia en el área de menores en el único mérito que puede determinar la cobertura de la plaza y excluyendo, consecuentemente, la idoneidad del nombramiento del recurrente de amparo en virtud de un requisito que no viene recogido por la ley con tal carácter determinante.</w:t>
      </w:r>
    </w:p>
    <w:p w14:paraId="1192DC58" w14:textId="77777777" w:rsidR="00B35D37" w:rsidRDefault="00B35D37" w:rsidP="00B35D37">
      <w:pPr>
        <w:pStyle w:val="TextoNormal"/>
      </w:pPr>
    </w:p>
    <w:p w14:paraId="2EEF6B1C" w14:textId="77777777" w:rsidR="00B35D37" w:rsidRDefault="00B35D37" w:rsidP="00B35D37">
      <w:pPr>
        <w:pStyle w:val="TextoNormal"/>
      </w:pPr>
      <w:r>
        <w:t>d) El recurrente de amparo invoca, como motivos de especial trascendencia constitucional:</w:t>
      </w:r>
    </w:p>
    <w:p w14:paraId="683A4CAF" w14:textId="77777777" w:rsidR="00B35D37" w:rsidRDefault="00B35D37" w:rsidP="00B35D37">
      <w:pPr>
        <w:pStyle w:val="TextoNormal"/>
      </w:pPr>
    </w:p>
    <w:p w14:paraId="15D454B0" w14:textId="77777777" w:rsidR="00B35D37" w:rsidRDefault="00B35D37" w:rsidP="00B35D37">
      <w:pPr>
        <w:pStyle w:val="TextoNormal"/>
      </w:pPr>
      <w:r>
        <w:t>(i) Que el asunto suscitado trasciende del caso concreto porque plantea una cuestión jurídica de relevante y general repercusión social o económica o con consecuencias políticas generales [STC 155/2009, de 25 de junio, FJ 2 g)], ya que:</w:t>
      </w:r>
    </w:p>
    <w:p w14:paraId="5ADFA0E1" w14:textId="77777777" w:rsidR="00B35D37" w:rsidRDefault="00B35D37" w:rsidP="00B35D37">
      <w:pPr>
        <w:pStyle w:val="TextoNormal"/>
      </w:pPr>
    </w:p>
    <w:p w14:paraId="1679C057" w14:textId="77777777" w:rsidR="00B35D37" w:rsidRDefault="00B35D37" w:rsidP="00B35D37">
      <w:pPr>
        <w:pStyle w:val="TextoNormal"/>
      </w:pPr>
      <w:r>
        <w:t>“[L]a decisión del Tribunal Supremo de dar un giro copernicano a su propia doctrina sobre los nombramientos discrecionales, sin justificar en modo alguna las razones de ese cambio, provoca que se vacíe de contenido la facultad discrecional de los órganos administrativos, cuyas decisiones pueden ser sometidas a un control total por los tribunales. […]</w:t>
      </w:r>
    </w:p>
    <w:p w14:paraId="0FD7A8E5" w14:textId="77777777" w:rsidR="00B35D37" w:rsidRDefault="00B35D37" w:rsidP="00B35D37">
      <w:pPr>
        <w:pStyle w:val="TextoNormal"/>
      </w:pPr>
    </w:p>
    <w:p w14:paraId="42827B83" w14:textId="77777777" w:rsidR="00B35D37" w:rsidRDefault="00B35D37" w:rsidP="00B35D37">
      <w:pPr>
        <w:pStyle w:val="TextoNormal"/>
      </w:pPr>
      <w:r>
        <w:t>Al apartarse de su doctrina anterior, según la cual la revisión judicial del nombramiento discrecional es una revisión externa de la motivación, que implica la potestad de exigir una mayor motivación, pero no la discrepancia con las razones del nombramiento, el Tribunal Supremo dejaría sin margen de apreciación propia al órgano administrativo (en este caso la fiscal general), invadiendo sus facultades discrecionales. […]</w:t>
      </w:r>
    </w:p>
    <w:p w14:paraId="1A8D2E36" w14:textId="77777777" w:rsidR="00B35D37" w:rsidRDefault="00B35D37" w:rsidP="00B35D37">
      <w:pPr>
        <w:pStyle w:val="TextoNormal"/>
      </w:pPr>
    </w:p>
    <w:p w14:paraId="2DE9E4F6" w14:textId="77777777" w:rsidR="00B35D37" w:rsidRDefault="00B35D37" w:rsidP="00B35D37">
      <w:pPr>
        <w:pStyle w:val="TextoNormal"/>
      </w:pPr>
      <w:r>
        <w:t>Este cambio jurisprudencial tiene consecuencias generales en cuanto distorsiona la estructura constitucional de las relaciones entre el Poder Judicial y la Administración. Si se priva a esta de sus facultades discrecionales se le impide servir a los intereses generales, como exige el art. 103 CE y se desborda la potestad revisora (no sustitutiva del ejercicio de las potestades administrativas) que el art. 106.1 CE confiere a los tribunales”.</w:t>
      </w:r>
    </w:p>
    <w:p w14:paraId="33C1DC5E" w14:textId="77777777" w:rsidR="00B35D37" w:rsidRDefault="00B35D37" w:rsidP="00B35D37">
      <w:pPr>
        <w:pStyle w:val="TextoNormal"/>
      </w:pPr>
    </w:p>
    <w:p w14:paraId="7B5A9E40" w14:textId="77777777" w:rsidR="00B35D37" w:rsidRDefault="00B35D37" w:rsidP="00B35D37">
      <w:pPr>
        <w:pStyle w:val="TextoNormal"/>
      </w:pPr>
      <w:r>
        <w:t>(ii) Que el recurso plantea un problema o una faceta de un derecho fundamental susceptible de amparo sobre el que no hay doctrina del Tribunal Constitucional [STC 155/2009, FJ 2 a)]. No hay, en particular, doctrina del Tribunal Constitucional sobre en qué medida “el órgano judicial, que desborda el examen externo de la motivación y priva a la Administración de sus facultades discrecionales, vulnera con su exceso de jurisdicción, el art. 23.2 CE del funcionario que ha obtenido un ascenso y un puesto discrecionales con suficiencia de méritos, como es el caso de mi representado, de quien la propia sentencia recurrida reconoce la suficiencia de méritos para alcanzar la categoría de fiscal de sala y sin embargo el fallo le priva de esa condición”.</w:t>
      </w:r>
    </w:p>
    <w:p w14:paraId="6D2A9819" w14:textId="77777777" w:rsidR="00B35D37" w:rsidRDefault="00B35D37" w:rsidP="00B35D37">
      <w:pPr>
        <w:pStyle w:val="TextoNormal"/>
      </w:pPr>
    </w:p>
    <w:p w14:paraId="0996234A" w14:textId="77777777" w:rsidR="00B35D37" w:rsidRDefault="00B35D37" w:rsidP="00B35D37">
      <w:pPr>
        <w:pStyle w:val="TextoNormal"/>
      </w:pPr>
      <w:r>
        <w:t>(iii) Que el órgano judicial ha incurrido en una negativa manifiesta del deber de acatamiento de la doctrina del Tribunal Constitucional [STC 155/2009, FJ 2 f)], pues, según se dice, la Sala sentenciadora no “solo ha desconocido su propia doctrina sobre los nombramientos discrecionales, […], sino que, al no dar a conocer las razones que le han llevado a ese viraje doctrinal, está incumpliendo la doctrina de este Tribunal Constitucional […] (véase la STC 13/2012, de 30 de enero, FJ 3)”.</w:t>
      </w:r>
    </w:p>
    <w:p w14:paraId="750F0821" w14:textId="77777777" w:rsidR="00B35D37" w:rsidRDefault="00B35D37" w:rsidP="00B35D37">
      <w:pPr>
        <w:pStyle w:val="TextoNormal"/>
      </w:pPr>
    </w:p>
    <w:p w14:paraId="7D5D8FDB" w14:textId="1040C955" w:rsidR="00B35D37" w:rsidRDefault="00B35D37" w:rsidP="00B35D37">
      <w:pPr>
        <w:pStyle w:val="TextoNormal"/>
      </w:pPr>
      <w:r>
        <w:t>En la demanda se solicitaba la suspensión de la ejecución de la sentencia impugnada al amparo del art. 56.6 de la Ley Orgánica del Tribunal Constitucional (LOTC). No se solicita, sin embargo, con carácter subsidiario, la suspensión ordinaria del art. 56.2 LOTC.</w:t>
      </w:r>
    </w:p>
    <w:p w14:paraId="495D48AB" w14:textId="77777777" w:rsidR="00B35D37" w:rsidRDefault="00B35D37" w:rsidP="00B35D37">
      <w:pPr>
        <w:pStyle w:val="TextoNormal"/>
      </w:pPr>
    </w:p>
    <w:p w14:paraId="5F5342DB" w14:textId="5241D3CD" w:rsidR="00B35D37" w:rsidRDefault="00B35D37" w:rsidP="00B35D37">
      <w:pPr>
        <w:pStyle w:val="TextoNormal"/>
      </w:pPr>
      <w:r w:rsidRPr="00B35D37">
        <w:rPr>
          <w:rStyle w:val="NumeroAFNegritaCaracter"/>
        </w:rPr>
        <w:t>3</w:t>
      </w:r>
      <w:r>
        <w:t xml:space="preserve">. Por providencia de 13 de diciembre de 2023, la Sección Cuarta de este tribunal acordó rechazar la solicitud de suspensión cautelar </w:t>
      </w:r>
      <w:r w:rsidRPr="00B35D37">
        <w:rPr>
          <w:i/>
        </w:rPr>
        <w:t>inaudita parte</w:t>
      </w:r>
      <w:r>
        <w:t xml:space="preserve"> realizada por el demandante de amparo, habida cuenta de que la sentencia 1051/2023 ya había sido ejecutada en virtud del Real Decreto 952/2023, de 28 de noviembre, publicado en el “Boletín Oficial del Estado” el 29 de noviembre de 2023, sin que concurriese, por tanto, la urgencia excepcional que exige como presupuesto el citado precepto.</w:t>
      </w:r>
    </w:p>
    <w:p w14:paraId="0DB81C1C" w14:textId="77777777" w:rsidR="00B35D37" w:rsidRDefault="00B35D37" w:rsidP="00B35D37">
      <w:pPr>
        <w:pStyle w:val="TextoNormal"/>
      </w:pPr>
    </w:p>
    <w:p w14:paraId="067E5621" w14:textId="37BAEBDB" w:rsidR="00B35D37" w:rsidRDefault="00B35D37" w:rsidP="00B35D37">
      <w:pPr>
        <w:pStyle w:val="TextoNormal"/>
      </w:pPr>
      <w:r w:rsidRPr="00B35D37">
        <w:rPr>
          <w:rStyle w:val="NumeroAFNegritaCaracter"/>
        </w:rPr>
        <w:t>4</w:t>
      </w:r>
      <w:r>
        <w:t>. La Sala Segunda acordó, en providencia de fecha 2 de diciembre de 2024, proponer la avocación por el Pleno del presente recurso de amparo, de conformidad con lo dispuesto en el art. 10.1 n) LOTC.</w:t>
      </w:r>
    </w:p>
    <w:p w14:paraId="5917540F" w14:textId="77777777" w:rsidR="00B35D37" w:rsidRDefault="00B35D37" w:rsidP="00B35D37">
      <w:pPr>
        <w:pStyle w:val="TextoNormal"/>
      </w:pPr>
    </w:p>
    <w:p w14:paraId="0A2B1D2E" w14:textId="330B33C5" w:rsidR="00B35D37" w:rsidRDefault="00B35D37" w:rsidP="00B35D37">
      <w:pPr>
        <w:pStyle w:val="TextoNormal"/>
      </w:pPr>
      <w:r w:rsidRPr="00B35D37">
        <w:rPr>
          <w:rStyle w:val="NumeroAFNegritaCaracter"/>
        </w:rPr>
        <w:t>5</w:t>
      </w:r>
      <w:r>
        <w:t>. Mediante providencia de 17 de diciembre de 2024, el Pleno de este tribunal acordó recabar para sí el conocimiento del recurso de amparo de acuerdo con lo previsto en el art. 10.1 n) LOTC.</w:t>
      </w:r>
    </w:p>
    <w:p w14:paraId="2818A073" w14:textId="77777777" w:rsidR="00B35D37" w:rsidRDefault="00B35D37" w:rsidP="00B35D37">
      <w:pPr>
        <w:pStyle w:val="TextoNormal"/>
      </w:pPr>
    </w:p>
    <w:p w14:paraId="70955A65" w14:textId="6CEA6C63" w:rsidR="00B35D37" w:rsidRDefault="00B35D37" w:rsidP="00B35D37">
      <w:pPr>
        <w:pStyle w:val="TextoNormal"/>
      </w:pPr>
      <w:r w:rsidRPr="00B35D37">
        <w:rPr>
          <w:rStyle w:val="NumeroAFNegritaCaracter"/>
        </w:rPr>
        <w:t>6</w:t>
      </w:r>
      <w:r>
        <w:t>. Mediante el ATC 3/2025, de 14 de enero, se tuvo por abstenido al magistrado don César Tolosa Tribiño, quien había solicitado la abstención al haber participado directamente en un asunto (art. 219.13 de la Ley Orgánica del Poder Judicial), pues intervino como presidente de la Sección Cuarta de la Sala de lo Contencioso-Administrativo del Tribunal Supremo en las SSTS 452/2022 y 453/2022.</w:t>
      </w:r>
    </w:p>
    <w:p w14:paraId="3C469568" w14:textId="77777777" w:rsidR="00B35D37" w:rsidRDefault="00B35D37" w:rsidP="00B35D37">
      <w:pPr>
        <w:pStyle w:val="TextoNormal"/>
      </w:pPr>
    </w:p>
    <w:p w14:paraId="476C5768" w14:textId="77777777" w:rsidR="00B35D37" w:rsidRDefault="00B35D37" w:rsidP="00B35D37">
      <w:pPr>
        <w:pStyle w:val="TextoNormalNegritaCentrado"/>
        <w:keepNext/>
      </w:pPr>
      <w:r>
        <w:t>II. Fundamentos jurídicos</w:t>
      </w:r>
    </w:p>
    <w:p w14:paraId="44C41370" w14:textId="312A863B" w:rsidR="00B35D37" w:rsidRDefault="00B35D37" w:rsidP="00B35D37">
      <w:pPr>
        <w:pStyle w:val="TextoNormalNegritaCentrado"/>
        <w:keepNext/>
      </w:pPr>
    </w:p>
    <w:p w14:paraId="5317E891" w14:textId="77777777" w:rsidR="00B35D37" w:rsidRDefault="00B35D37" w:rsidP="00B35D37">
      <w:pPr>
        <w:pStyle w:val="TextoNormal"/>
      </w:pPr>
      <w:r w:rsidRPr="00B35D37">
        <w:rPr>
          <w:rStyle w:val="TextoNormalNegritaCaracter"/>
        </w:rPr>
        <w:t xml:space="preserve">Único. </w:t>
      </w:r>
      <w:r>
        <w:t>Mediante escrito presentado en el registro general de este tribunal el 24 de noviembre de 2023, la representación procesal de don Eduardo Esteban Rincón interpuso recurso de amparo contra: (i) la sentencia de la Sala de lo Contencioso-Administrativo del Tribunal Supremo núm. 1051/2023, de 20 de julio, recaída en el procedimiento ordinario núm. 745-2022, que anula el Real Decreto 417-2022 —que promovía al demandante a la categoría de fiscal de sala y le nombraba fiscal de sala de la Fiscalía de Menores de la Fiscalía General del Estado—, y (ii) la providencia del mismo órgano judicial de 11 de octubre de 2023, que inadmite el incidente de nulidad de actuaciones interpuesto frente a la citada sentencia.</w:t>
      </w:r>
    </w:p>
    <w:p w14:paraId="14A72646" w14:textId="77777777" w:rsidR="00B35D37" w:rsidRDefault="00B35D37" w:rsidP="00B35D37">
      <w:pPr>
        <w:pStyle w:val="TextoNormal"/>
      </w:pPr>
    </w:p>
    <w:p w14:paraId="6DEAEB19" w14:textId="7BDF7A67" w:rsidR="00B35D37" w:rsidRDefault="00B35D37" w:rsidP="00B35D37">
      <w:pPr>
        <w:pStyle w:val="TextoNormal"/>
      </w:pPr>
      <w:r>
        <w:t xml:space="preserve">El Pleno de este tribunal aprecia que las vulneraciones de derechos fundamentales aducidas en la demanda no carecen </w:t>
      </w:r>
      <w:r w:rsidRPr="00B35D37">
        <w:rPr>
          <w:i/>
        </w:rPr>
        <w:t>prima facie</w:t>
      </w:r>
      <w:r>
        <w:t xml:space="preserve"> de verosimilitud. Aprecia, asimismo, que concurre en el recurso una especial trascendencia (art. 50.1 LOTC) porque: (i)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(ii)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14:paraId="6FC9E18B" w14:textId="77777777" w:rsidR="00B35D37" w:rsidRDefault="00B35D37" w:rsidP="00B35D37">
      <w:pPr>
        <w:pStyle w:val="TextoNormal"/>
      </w:pPr>
    </w:p>
    <w:p w14:paraId="26FBEACF" w14:textId="77777777" w:rsidR="00B35D37" w:rsidRDefault="00B35D37" w:rsidP="00B35D37">
      <w:pPr>
        <w:pStyle w:val="TextoNormal"/>
      </w:pPr>
      <w:r>
        <w:t>Por lo expuesto, el Pleno</w:t>
      </w:r>
    </w:p>
    <w:p w14:paraId="2B407515" w14:textId="62D881E4" w:rsidR="00B35D37" w:rsidRDefault="00B35D37" w:rsidP="00B35D37">
      <w:pPr>
        <w:pStyle w:val="TextoNormal"/>
      </w:pPr>
    </w:p>
    <w:p w14:paraId="4B8474A9" w14:textId="77777777" w:rsidR="00B35D37" w:rsidRDefault="00B35D37" w:rsidP="00B35D37">
      <w:pPr>
        <w:pStyle w:val="TextoNormalCentrado"/>
      </w:pPr>
      <w:r>
        <w:t>ACUERDA</w:t>
      </w:r>
    </w:p>
    <w:p w14:paraId="0749FB53" w14:textId="3C3B56F9" w:rsidR="00B35D37" w:rsidRDefault="00B35D37" w:rsidP="00B35D37">
      <w:pPr>
        <w:pStyle w:val="TextoNormalCentrado"/>
      </w:pPr>
    </w:p>
    <w:p w14:paraId="1B16A3F4" w14:textId="77777777" w:rsidR="00B35D37" w:rsidRDefault="00B35D37" w:rsidP="00B35D37">
      <w:pPr>
        <w:pStyle w:val="TextoNormal"/>
      </w:pPr>
      <w:r>
        <w:t>1º Admitir a trámite el recurso de amparo, apreciando que concurre en el mismo una especial trascendencia constitucional [art. 50.1 b) LOTC] porque el recurso plantea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68A12C3A" w14:textId="77777777" w:rsidR="00B35D37" w:rsidRDefault="00B35D37" w:rsidP="00B35D37">
      <w:pPr>
        <w:pStyle w:val="TextoNormal"/>
      </w:pPr>
    </w:p>
    <w:p w14:paraId="228ED8A2" w14:textId="4DCBE1AE" w:rsidR="00B35D37" w:rsidRDefault="00B35D37" w:rsidP="00B35D37">
      <w:pPr>
        <w:pStyle w:val="TextoNormal"/>
      </w:pPr>
      <w:r>
        <w:t>2º En aplicación de lo dispuesto en el art. 51 LOTC, requerir atentamente a la Sección Cuarta de la Sala de lo Contencioso-Administrativo del Tribunal Supremo, a fin de que, en plazo que no exceda de diez días, remita certificación o fotocopia adverada de las actuaciones correspondientes al procedimiento ordinario núm. 745-2022, y para que emplace a quienes hubieran sido parte en el procedimiento, excepto a la parte recurrente en amparo, para que en el plazo de diez días puedan comparecer, si lo desean, en el presente recurso.</w:t>
      </w:r>
    </w:p>
    <w:p w14:paraId="3AE76B7F" w14:textId="77777777" w:rsidR="00B35D37" w:rsidRDefault="00B35D37" w:rsidP="00B35D37">
      <w:pPr>
        <w:pStyle w:val="TextoNormal"/>
      </w:pPr>
    </w:p>
    <w:p w14:paraId="7A204B94" w14:textId="77777777" w:rsidR="00B35D37" w:rsidRDefault="00B35D37" w:rsidP="00B35D37">
      <w:pPr>
        <w:pStyle w:val="TextoNormal"/>
      </w:pPr>
      <w:r>
        <w:t>Madrid, a catorce de enero de dos mil veinticinco.</w:t>
      </w:r>
    </w:p>
    <w:p w14:paraId="1DD3E008" w14:textId="64465B0F" w:rsidR="00B35D37" w:rsidRDefault="00B35D37" w:rsidP="00B35D37">
      <w:pPr>
        <w:pStyle w:val="ParrafoNormal"/>
      </w:pPr>
    </w:p>
    <w:p w14:paraId="2C3FD22B" w14:textId="77777777" w:rsidR="00B35D37" w:rsidRDefault="00B35D37" w:rsidP="00B35D37">
      <w:pPr>
        <w:pStyle w:val="TextoNormalNegritaCentrado"/>
        <w:keepNext/>
      </w:pPr>
      <w:r>
        <w:t>Voto particular que formulan los magistrados don Enrique Arnaldo Alcubilla, doña Concepción Espejel Jorquera y don José María Macías Castaño al auto del Pleno del Tribunal de 14 de enero de 2025 por el que se acuerda la admisión a trámite del recurso de amparo núm. 7432-2023</w:t>
      </w:r>
    </w:p>
    <w:p w14:paraId="033DA1CE" w14:textId="19F37798" w:rsidR="00B35D37" w:rsidRDefault="00B35D37" w:rsidP="00B35D37">
      <w:pPr>
        <w:pStyle w:val="TextoNormalNegritaCentrado"/>
        <w:keepNext/>
      </w:pPr>
    </w:p>
    <w:p w14:paraId="57C40EA3" w14:textId="77777777" w:rsidR="00B35D37" w:rsidRDefault="00B35D37" w:rsidP="00B35D37">
      <w:pPr>
        <w:pStyle w:val="TextoNormal"/>
      </w:pPr>
      <w:r>
        <w:t>En el ejercicio de la facultad que nos confiere el art. 90.2 LOTC y con respeto a la opinión de los magistrados que han conformado la mayoría del Pleno del Tribunal, manifestamos nuestra discrepancia con la decisión de admitir a trámite el presente recurso de amparo. Por las razones defendidas en su momento durante la deliberación y que exponemos a continuación, consideramos que el recurso de amparo hubiera debido ser inadmitido, bien por inexistencia de las pretendidas vulneraciones de derechos denunciadas, bien por carecer el recurso de especial trascendencia constitucional.</w:t>
      </w:r>
    </w:p>
    <w:p w14:paraId="1B2BFF75" w14:textId="77777777" w:rsidR="00B35D37" w:rsidRDefault="00B35D37" w:rsidP="00B35D37">
      <w:pPr>
        <w:pStyle w:val="TextoNormal"/>
      </w:pPr>
    </w:p>
    <w:p w14:paraId="0F4D49BB" w14:textId="77777777" w:rsidR="00B35D37" w:rsidRDefault="00B35D37" w:rsidP="00B35D37">
      <w:pPr>
        <w:pStyle w:val="TextoNormal"/>
      </w:pPr>
      <w:r>
        <w:t xml:space="preserve">El auto del que disentimos acuerda admitir este recurso de amparo al apreciar que las vulneraciones de derechos fundamentales alegadas por el recurrente no carecen </w:t>
      </w:r>
      <w:r w:rsidRPr="00B35D37">
        <w:rPr>
          <w:i/>
        </w:rPr>
        <w:t>prima facie</w:t>
      </w:r>
      <w:r>
        <w:t xml:space="preserve"> de verosimilitud y asimismo que el recurso reviste especial trascendencia constitucional, porque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porque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14:paraId="0EEE0870" w14:textId="77777777" w:rsidR="00B35D37" w:rsidRDefault="00B35D37" w:rsidP="00B35D37">
      <w:pPr>
        <w:pStyle w:val="TextoNormal"/>
      </w:pPr>
    </w:p>
    <w:p w14:paraId="45110D7F" w14:textId="77777777" w:rsidR="00B35D37" w:rsidRDefault="00B35D37" w:rsidP="00B35D37">
      <w:pPr>
        <w:pStyle w:val="TextoNormal"/>
      </w:pPr>
      <w:r>
        <w:t>Discrepamos de tal apreciación, pues entendemos que ni resulta verosímil que existan las lesiones de derechos fundamentales que alega el recurrente, ni concurre especial trascendencia constitucional en el presente caso.</w:t>
      </w:r>
    </w:p>
    <w:p w14:paraId="3299D7FB" w14:textId="77777777" w:rsidR="00B35D37" w:rsidRDefault="00B35D37" w:rsidP="00B35D37">
      <w:pPr>
        <w:pStyle w:val="TextoNormal"/>
      </w:pPr>
    </w:p>
    <w:p w14:paraId="2A9C9AAC" w14:textId="77777777" w:rsidR="00B35D37" w:rsidRDefault="00B35D37" w:rsidP="00B35D37">
      <w:pPr>
        <w:pStyle w:val="TextoNormal"/>
      </w:pPr>
      <w:r>
        <w:t xml:space="preserve">1. </w:t>
      </w:r>
      <w:r w:rsidRPr="00B35D37">
        <w:rPr>
          <w:i/>
        </w:rPr>
        <w:t>Sobre la falta de verosimilitud de las pretendidas vulneraciones de derechos fundamentales alegadas en el recurso de amparo</w:t>
      </w:r>
    </w:p>
    <w:p w14:paraId="275B2772" w14:textId="77777777" w:rsidR="00B35D37" w:rsidRDefault="00B35D37" w:rsidP="00B35D37">
      <w:pPr>
        <w:pStyle w:val="TextoNormal"/>
      </w:pPr>
    </w:p>
    <w:p w14:paraId="7527517D" w14:textId="77777777" w:rsidR="00B35D37" w:rsidRDefault="00B35D37" w:rsidP="00B35D37">
      <w:pPr>
        <w:pStyle w:val="TextoNormal"/>
      </w:pPr>
      <w:r>
        <w:t>Cabe recordar que el recurrente considera que la sentencia del Tribunal Supremo impugnada en amparo (STS 1051/2023, de 20 de julio, dictada por la Sección Cuarta de la Sala de lo Contencioso-Administrativo del Tribunal Supremo en el procedimiento ordinario núm. 745-2022), ha vulnerado sus derechos a: (i) la tutela judicial efectiva (art. 24.1 CE), porque la Sala de lo Contencioso-Administrativo del Tribunal Supremo habría realizado un giro inesperado e inmotivado de su propia jurisprudencia en relación con el control jurisdiccional de los nombramientos discrecionales; (ii) la igualdad (art. 14 CE), porque otros nombramientos discrecionales equiparables al del recurrente (realizados por el Consejo General del Poder Judicial en relación con plazas de magistrado de designación discrecional) no se controlan por dicha sala con arreglo a esos mismos criterios; y (iii) a acceder a los cargos y funciones públicas en condiciones de igualdad (art. 23.2 CE), porque la sentencia incurre en exceso de jurisdicción al anular el nombramiento del recurrente para la plaza de fiscal de sala de menores y su promoción a la categoría de fiscal de sala, invadiendo las facultades de valoración discrecional que corresponden exclusivamente al Gobierno.</w:t>
      </w:r>
    </w:p>
    <w:p w14:paraId="1A83BE88" w14:textId="77777777" w:rsidR="00B35D37" w:rsidRDefault="00B35D37" w:rsidP="00B35D37">
      <w:pPr>
        <w:pStyle w:val="TextoNormal"/>
      </w:pPr>
    </w:p>
    <w:p w14:paraId="3ADB8365" w14:textId="77777777" w:rsidR="00B35D37" w:rsidRDefault="00B35D37" w:rsidP="00B35D37">
      <w:pPr>
        <w:pStyle w:val="TextoNormal"/>
      </w:pPr>
      <w:r>
        <w:t>Como es de apreciar, las tres quejas están estrechamente conectadas entre sí. El razonamiento sobre las vulneraciones de derechos que se alegan se articula en la demanda de amparo en torno a lo que se considera como un cambio de doctrina del Tribunal Supremo sobre el control de los nombramientos discrecionales, que no se habría motivado suficientemente, y que supone por ello un tratamiento desigual en perjuicio del recurrente, al privar a este de la plaza para la que había sido designado y de la promoción en la carrera fiscal.</w:t>
      </w:r>
    </w:p>
    <w:p w14:paraId="1B1B843E" w14:textId="77777777" w:rsidR="00B35D37" w:rsidRDefault="00B35D37" w:rsidP="00B35D37">
      <w:pPr>
        <w:pStyle w:val="TextoNormal"/>
      </w:pPr>
    </w:p>
    <w:p w14:paraId="71C90AA1" w14:textId="77777777" w:rsidR="00B35D37" w:rsidRDefault="00B35D37" w:rsidP="00B35D37">
      <w:pPr>
        <w:pStyle w:val="TextoNormal"/>
      </w:pPr>
      <w:r>
        <w:t>Pues bien, como hemos adelantado, no es verosímil que se hayan producido las pretendidas lesiones de derechos fundamentales alegadas. En cuanto a la supuesta vulneración del derecho a la tutela judicial efectiva (art. 24.1 CE), es lo cierto que la sentencia de la Sala de lo Contencioso-Administrativo del Tribunal Supremo impugnada en amparo contiene una motivación suficiente y fundada en Derecho, no advirtiéndose que existan en esa fundamentación “quiebras lógicas de tal magnitud que las conclusiones alcanzadas no puedan considerarse basadas en ninguna de las razones aducidas [en la resolución]” (SSTC 214/1999, de 29 de noviembre, FJ 4; 223/2002, de 25 de noviembre, FJ 5; 20/2004, de 23 de febrero, FJ 6; 177/2007, de 23 de julio, y 64/2010, de 18 de octubre, FJ 3, entre otras) o que tales conclusiones sean “fruto del mero voluntarismo judicial, o exponente de un proceso deductivo irracional o absurdo” (SSTC 146/2005, de 6 de junio, FJ 9, y 101/2015, de 25 de mayo, FJ 4, por todas).</w:t>
      </w:r>
    </w:p>
    <w:p w14:paraId="30127AEA" w14:textId="77777777" w:rsidR="00B35D37" w:rsidRDefault="00B35D37" w:rsidP="00B35D37">
      <w:pPr>
        <w:pStyle w:val="TextoNormal"/>
      </w:pPr>
    </w:p>
    <w:p w14:paraId="1C15DBD3" w14:textId="77777777" w:rsidR="00B35D37" w:rsidRDefault="00B35D37" w:rsidP="00B35D37">
      <w:pPr>
        <w:pStyle w:val="TextoNormal"/>
      </w:pPr>
      <w:r>
        <w:t>La Sala de lo Contencioso-Administrativo del Tribunal Supremo ha razonado en la sentencia impugnada, en el ejercicio de la facultad que le confiere el art. 117.3 CE, que no se ha satisfecho en absoluto lo exigido por las sentencias previas que anularon el primer nombramiento del recurrente en cuanto a la motivación de su designación, dado que las razones ofrecidas para volver a nombrarle no guardan ninguna relación significativa con las características de la plaza a cubrir. Y en el auto que desestima el incidente de nulidad razona la Sala, para rechazar que se hubiera apartado de su jurisprudencia sobre el control jurisdiccional de los nombramientos discrecionales, que no ha existido ese pretendido apartamiento, porque anteriores nombramientos para plazas de fiscal de sala especializadas en Derecho de menores o en otra materia nunca han sido objeto de impugnación y, desde luego, no lo han sido porque se denunciase que el nombrado no tuviera suficiente especialización en la materia correspondiente; no siendo tampoco admisible la comparación con otro tipo de nombramientos discrecionales, pues existen diferencias evidentes entre el nombramiento de fiscales, como el del asunto planteado, y los nombramientos de la carrera judicial.</w:t>
      </w:r>
    </w:p>
    <w:p w14:paraId="24C4CE6D" w14:textId="77777777" w:rsidR="00B35D37" w:rsidRDefault="00B35D37" w:rsidP="00B35D37">
      <w:pPr>
        <w:pStyle w:val="TextoNormal"/>
      </w:pPr>
    </w:p>
    <w:p w14:paraId="23D4AA40" w14:textId="77777777" w:rsidR="00B35D37" w:rsidRDefault="00B35D37" w:rsidP="00B35D37">
      <w:pPr>
        <w:pStyle w:val="TextoNormal"/>
      </w:pPr>
      <w:r>
        <w:t>Se trata de un razonamiento inobjetable desde la perspectiva del canon de enjuiciamiento que al Tribunal Constitucional le corresponde en cuanto a la motivación de las resoluciones judiciales, lo que conduce a descartar que exista la alegada lesión del derecho a la tutela judicial efectiva (art. 24.1 CE), y por ende del derecho a la igualdad (art. 14 CE), por cuanto la comparación que pretende el recurrente (control judicial de nombramientos realizados por el Consejo General del Poder Judicial en relación con plazas de magistrados de designación discrecional) no es término válido de comparación, ya que se trata de regímenes jurídicos diferentes, existiendo, como razona el Tribunal Supremo diferencias evidentes entre el nombramiento de fiscales de sala y los nombramientos discrecionales de la carrera judicial.</w:t>
      </w:r>
    </w:p>
    <w:p w14:paraId="3B93836A" w14:textId="77777777" w:rsidR="00B35D37" w:rsidRDefault="00B35D37" w:rsidP="00B35D37">
      <w:pPr>
        <w:pStyle w:val="TextoNormal"/>
      </w:pPr>
    </w:p>
    <w:p w14:paraId="75A9F4E4" w14:textId="77777777" w:rsidR="00B35D37" w:rsidRDefault="00B35D37" w:rsidP="00B35D37">
      <w:pPr>
        <w:pStyle w:val="TextoNormal"/>
      </w:pPr>
      <w:r>
        <w:t>Tampoco es posible apreciar la pretendida lesión del derecho a acceder a los cargos y funciones públicas en condiciones de igualdad (art. 23.2 CE), que comporta, como es bien sabido, no solo el acceso (y promoción) en igualdad de condiciones al cargo público, sino también con arreglo a los principios de mérito y capacidad (art. 103.3 CE) como criterios rectores de dicho acceso (por todas, STC 50/1986, de 23 de abril). El Tribunal Supremo recuerda en su sentencia que el primer nombramiento del recurrente para la plaza de fiscal de sala de la Fiscalía de Menores fue anulado por falta de motivación del acto administrativo en lo específicamente atinente a la muy notable diferencia de experiencia y méritos de los candidatos en materia de Derecho de menores, sin que esa deficiencia de motivación administrativa haya sido subsanada por la fiscal general del Estado en el nuevo nombramiento del recurrente en amparo, por cuanto, en realidad, las razones dadas para volverle a nombrar, no guardan relación alguna significativa con las características del puesto a cubrir.</w:t>
      </w:r>
    </w:p>
    <w:p w14:paraId="62FC1984" w14:textId="77777777" w:rsidR="00B35D37" w:rsidRDefault="00B35D37" w:rsidP="00B35D37">
      <w:pPr>
        <w:pStyle w:val="TextoNormal"/>
      </w:pPr>
    </w:p>
    <w:p w14:paraId="32D718DC" w14:textId="77777777" w:rsidR="00B35D37" w:rsidRDefault="00B35D37" w:rsidP="00B35D37">
      <w:pPr>
        <w:pStyle w:val="TextoNormal"/>
      </w:pPr>
      <w:r>
        <w:t>No existe en este pronunciamiento judicial el exceso de jurisdicción que denuncia el recurrente en amparo para sostener la pretendida lesión del derecho garantizado por el art. 23.2 CE. El Tribunal Supremo no invade con su decisión las facultades de valoración discrecional que corresponden al Gobierno, sino que está ejerciendo su función de control judicial de los actos administrativos. La sentencia impugnada se ha limitado a considerar no ajustada a Derecho la motivación de la fiscal general del Estado para nombrar al recurrente en amparo como fiscal de sala de la Fiscalía de Menores, dado que las razones ofrecidas por aquella para volver a designarle no guardan relación significativa alguna con las características de esa plaza, para cuya cobertura es notorio que la experiencia en materia de Derecho de menores debe ser ponderada y valorada. Exigir, como ha hecho el Tribunal Supremo, una motivación administrativa suficiente en la que se explicara la ponderación de la experiencia de los candidatos a la plaza en materia de Derecho de menores, responde sin duda a la exigencia de cumplir el requisito de que fuera designado para cubrir esa plaza el candidato más idóneo, es decir, con más mérito y capacidad, lo que resulta plenamente acorde con el derecho garantizado por el art. 23.2 CE, en relación con el art. 103.3 CE.</w:t>
      </w:r>
    </w:p>
    <w:p w14:paraId="6413562E" w14:textId="77777777" w:rsidR="00B35D37" w:rsidRDefault="00B35D37" w:rsidP="00B35D37">
      <w:pPr>
        <w:pStyle w:val="TextoNormal"/>
      </w:pPr>
    </w:p>
    <w:p w14:paraId="3C9F7CC8" w14:textId="77777777" w:rsidR="00B35D37" w:rsidRDefault="00B35D37" w:rsidP="00B35D37">
      <w:pPr>
        <w:pStyle w:val="TextoNormal"/>
      </w:pPr>
      <w:r>
        <w:t xml:space="preserve">2. </w:t>
      </w:r>
      <w:r w:rsidRPr="00B35D37">
        <w:rPr>
          <w:i/>
        </w:rPr>
        <w:t>Sobre la falta de especial trascendencia constitucional de este recurso de amparo</w:t>
      </w:r>
    </w:p>
    <w:p w14:paraId="2F766D21" w14:textId="77777777" w:rsidR="00B35D37" w:rsidRDefault="00B35D37" w:rsidP="00B35D37">
      <w:pPr>
        <w:pStyle w:val="TextoNormal"/>
      </w:pPr>
    </w:p>
    <w:p w14:paraId="5C5A6673" w14:textId="77777777" w:rsidR="00B35D37" w:rsidRDefault="00B35D37" w:rsidP="00B35D37">
      <w:pPr>
        <w:pStyle w:val="TextoNormal"/>
      </w:pPr>
      <w:r>
        <w:t>Lo anteriormente señalado sería suficiente para acordar la inadmisión del recurso de amparo por inexistencia de vulneración de un derecho fundamental tutelable en amparo, vulneración que, de acuerdo con el art. 44.1 LOTC, es condición inexcusable para que este tribunal pueda ejercer dicha tutela en el proceso constitucional de amparo.</w:t>
      </w:r>
    </w:p>
    <w:p w14:paraId="474A0CA1" w14:textId="77777777" w:rsidR="00B35D37" w:rsidRDefault="00B35D37" w:rsidP="00B35D37">
      <w:pPr>
        <w:pStyle w:val="TextoNormal"/>
      </w:pPr>
    </w:p>
    <w:p w14:paraId="667F17D7" w14:textId="77777777" w:rsidR="00B35D37" w:rsidRDefault="00B35D37" w:rsidP="00B35D37">
      <w:pPr>
        <w:pStyle w:val="TextoNormal"/>
      </w:pPr>
      <w:r>
        <w:t>Sin perjuicio de ello, no se advierte que el asunto planteado revista especial trascendencia constitucional. Como es sobradamente conocido (por todas, STC 155/2009, FJ 2), en la actual configuración del amparo constitucional no es suficiente para la admisión del recurso de amparo con constatar que es verosímil la lesión de un derecho fundamental o libertad pública tutelable en amparo que alegue el recurrente [arts. 53.2 y 161.1 b) CE y 41 LOTC], lesión que ya hemos advertido que no concurre en este caso, a nuestro entender, sino que además es indispensable que el recurso tenga especial trascendencia constitucional [art. 50.1 b) LOTC]. Y esa especial trascendencia constitucional no es de apreciar en el presente caso.</w:t>
      </w:r>
    </w:p>
    <w:p w14:paraId="23F6B946" w14:textId="77777777" w:rsidR="00B35D37" w:rsidRDefault="00B35D37" w:rsidP="00B35D37">
      <w:pPr>
        <w:pStyle w:val="TextoNormal"/>
      </w:pPr>
    </w:p>
    <w:p w14:paraId="3A983A9D" w14:textId="77777777" w:rsidR="00B35D37" w:rsidRDefault="00B35D37" w:rsidP="00B35D37">
      <w:pPr>
        <w:pStyle w:val="TextoNormal"/>
      </w:pPr>
      <w:r>
        <w:t>En primer lugar, porque el recurso, frente a lo afirmado en el auto del que disentimos, no afecta a una faceta de un derecho fundamental sobre el que no haya doctrina de este tribunal [STC 155/2009, FJ 2 a)], concretamente en relación con el control judicial de los nombramientos discrecionales. El propio recurrente de amparo reconoce en su demanda que existe esa doctrina constitucional, si bien emanada en relación con supuestos en los que el órgano judicial no ha revocado el nombramiento realizado por la Administración. Así las cosas, se viene a confundir la pretendida lesión de derechos alegada por el recurrente con la especial trascendencia constitucional. El recurrente discrepa de la decisión judicial que, por segunda vez, anula su nombramiento como fiscal de sala de la Fiscalía de Menores, por entender insuficientemente motivado ese nombramiento, y considera que el pronunciamiento del Tribunal está incurso en un exceso de jurisdicción y es lesivo de sus derechos garantizados por los arts. 14, 23.2 y 24.1 CE; pero esa pretendida lesión (que ha de reputarse inexistente, como ya hemos señalado), no dota a su recurso de amparo de especial trascendencia constitucional. En definitiva, la cuestión suscitada por el recurrente pertenece al ámbito de la legalidad ordinaria.</w:t>
      </w:r>
    </w:p>
    <w:p w14:paraId="05310D41" w14:textId="77777777" w:rsidR="00B35D37" w:rsidRDefault="00B35D37" w:rsidP="00B35D37">
      <w:pPr>
        <w:pStyle w:val="TextoNormal"/>
      </w:pPr>
    </w:p>
    <w:p w14:paraId="58A4CAD5" w14:textId="77777777" w:rsidR="00B35D37" w:rsidRDefault="00B35D37" w:rsidP="00B35D37">
      <w:pPr>
        <w:pStyle w:val="TextoNormal"/>
      </w:pPr>
      <w:r>
        <w:t>Tampoco puede apreciarse, frente a lo que se afirma en el auto del que discrepamos, que el asunto suscitado en el presente recurso trascienda del caso concreto por plantear una cuestión jurídica de relevante y general repercusión social y tener unas consecuencias políticas generales [STC 155/2009, FJ 2 g)], “al incidir en el alcance del control judicial que puede legítimamente efectuarse en relación con los nombramientos de carácter discrecional”. Bien se echa de ver que este motivo de especial trascendencia constitucional es redundante del anterior, puesto que no hace sino referirse al alcance del control judicial de los nombramientos discrecionales, sobre el que existe una doctrina constitucional consolidada (SSTC 18/1987, de 16 de febrero, FJ 5; 207/1988, de 8 de noviembre, FJ 3; 10/1989, de 24 de enero, FJ 3; 235/2000, de 5 de octubre, FJ 12, y 238/2012, de 13 de diciembre, FJ 7, entre otras), que no precisa de aclaración o modificación.</w:t>
      </w:r>
    </w:p>
    <w:p w14:paraId="1BCA3699" w14:textId="77777777" w:rsidR="00B35D37" w:rsidRDefault="00B35D37" w:rsidP="00B35D37">
      <w:pPr>
        <w:pStyle w:val="TextoNormal"/>
      </w:pPr>
    </w:p>
    <w:p w14:paraId="1BF88F61" w14:textId="77777777" w:rsidR="00B35D37" w:rsidRDefault="00B35D37" w:rsidP="00B35D37">
      <w:pPr>
        <w:pStyle w:val="TextoNormal"/>
      </w:pPr>
      <w:r>
        <w:t xml:space="preserve">Somos conscientes de la facultad de la que goza este tribunal de apreciar en cada caso concreto la concurrencia de la especial trascendencia constitucional, con independencia de la carga de justificación que se impone al demandante de amparo en el art. 49.1 </w:t>
      </w:r>
      <w:r w:rsidRPr="00B35D37">
        <w:rPr>
          <w:i/>
        </w:rPr>
        <w:t>in fine</w:t>
      </w:r>
      <w:r>
        <w:t xml:space="preserve"> LOTC (STC 155/2009, FJ 2). Ello no obstante, tal facultad no impide alertar de que el Tribunal Constitucional no debe deslizarse por la peligrosa pendiente de apreciar la concurrencia de especial trascendencia constitucional acudiendo a motivos aparentes (como sucede en el caso que nos atañe), so riesgo de convertir a la jurisdicción constitucional en una suerte de nueva instancia revisora de lo decidido por la jurisdicción ordinaria (y en este caso, por su órgano superior, el Tribunal Supremo: art. 123.1 CE), más aún cuando existe una consolidada jurisprudencia constitucional en la materia, como se ha señalado.</w:t>
      </w:r>
    </w:p>
    <w:p w14:paraId="2981FC34" w14:textId="77777777" w:rsidR="00B35D37" w:rsidRDefault="00B35D37" w:rsidP="00B35D37">
      <w:pPr>
        <w:pStyle w:val="TextoNormal"/>
      </w:pPr>
    </w:p>
    <w:p w14:paraId="7871F33C" w14:textId="7AB520D7" w:rsidR="00B35D37" w:rsidRDefault="00B35D37" w:rsidP="00B35D37">
      <w:pPr>
        <w:pStyle w:val="TextoNormal"/>
      </w:pPr>
      <w:r>
        <w:t>Madrid, a catorce de enero de dos mil veinticinco.</w:t>
      </w:r>
    </w:p>
    <w:p w14:paraId="23472E08" w14:textId="7CBD9C01" w:rsidR="00B35D37" w:rsidRDefault="00B35D37">
      <w:pPr>
        <w:spacing w:after="160" w:line="278" w:lineRule="auto"/>
        <w:rPr>
          <w:rFonts w:ascii="Times New Roman" w:eastAsia="Times New Roman" w:hAnsi="Times New Roman" w:cs="Times New Roman"/>
          <w:sz w:val="24"/>
          <w:szCs w:val="24"/>
          <w:lang w:eastAsia="es-ES"/>
        </w:rPr>
      </w:pPr>
      <w:r>
        <w:br w:type="page"/>
      </w:r>
    </w:p>
    <w:p w14:paraId="5459285F" w14:textId="77777777" w:rsidR="00B35D37" w:rsidRDefault="00B35D37" w:rsidP="00B35D37">
      <w:pPr>
        <w:pStyle w:val="TtuloResolucin"/>
      </w:pPr>
      <w:bookmarkStart w:id="144" w:name="AUTO_2025_5"/>
      <w:r>
        <w:t>AUTO 5/2025, de 14 de enero de 2025</w:t>
      </w:r>
    </w:p>
    <w:bookmarkEnd w:id="144"/>
    <w:p w14:paraId="4CDDE17A" w14:textId="77777777" w:rsidR="00B35D37" w:rsidRDefault="00B35D37" w:rsidP="00B35D37">
      <w:pPr>
        <w:pStyle w:val="TtuloResolucin"/>
      </w:pPr>
      <w:r>
        <w:t>Pleno</w:t>
      </w:r>
    </w:p>
    <w:p w14:paraId="6C300F37" w14:textId="77777777" w:rsidR="00B35D37" w:rsidRDefault="00B35D37" w:rsidP="00B35D37">
      <w:pPr>
        <w:pStyle w:val="TextoNormalCentrado"/>
      </w:pPr>
      <w:r>
        <w:t>ECLI:ES:TC:2025:5A</w:t>
      </w:r>
    </w:p>
    <w:p w14:paraId="1DA12F7B" w14:textId="4BA74C89" w:rsidR="00B35D37" w:rsidRDefault="00B35D37" w:rsidP="00B35D37">
      <w:pPr>
        <w:pStyle w:val="TextoNormalCentrado"/>
      </w:pPr>
    </w:p>
    <w:p w14:paraId="02ED1F0B"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w:t>
      </w:r>
    </w:p>
    <w:p w14:paraId="67F83CA9" w14:textId="4F4AC825" w:rsidR="00B35D37" w:rsidRDefault="00B35D37" w:rsidP="00B35D37">
      <w:pPr>
        <w:pStyle w:val="SntesisDescriptiva"/>
      </w:pPr>
    </w:p>
    <w:p w14:paraId="3CE8C701" w14:textId="77777777" w:rsidR="00B35D37" w:rsidRDefault="00B35D37" w:rsidP="00B35D37">
      <w:pPr>
        <w:pStyle w:val="SntesisDescriptiva"/>
      </w:pPr>
      <w:r>
        <w:t>Admite a trámite el recurso de amparo 7433-2023, promovido por don Eduardo Esteban Rincón en proceso contencioso-administrativo. Voto particular.</w:t>
      </w:r>
    </w:p>
    <w:p w14:paraId="178DF93B" w14:textId="3C9F0DFF" w:rsidR="00B35D37" w:rsidRDefault="00B35D37" w:rsidP="00B35D37">
      <w:pPr>
        <w:pStyle w:val="SntesisDescriptiva"/>
      </w:pPr>
    </w:p>
    <w:p w14:paraId="024C2946" w14:textId="77777777" w:rsidR="00B35D37" w:rsidRDefault="00B35D37" w:rsidP="00B35D37">
      <w:pPr>
        <w:pStyle w:val="SntesisDescriptiva"/>
      </w:pPr>
    </w:p>
    <w:p w14:paraId="04F51E21" w14:textId="77777777" w:rsidR="00B35D37" w:rsidRDefault="00B35D37" w:rsidP="00B35D37">
      <w:pPr>
        <w:pStyle w:val="SntesisDescriptiva"/>
      </w:pPr>
    </w:p>
    <w:p w14:paraId="6AD07EF3" w14:textId="77777777" w:rsidR="00B35D37" w:rsidRDefault="00B35D37" w:rsidP="00B35D37">
      <w:pPr>
        <w:pStyle w:val="TextoNormalNegritaCentrado"/>
      </w:pPr>
      <w:r>
        <w:t>AUTO</w:t>
      </w:r>
    </w:p>
    <w:p w14:paraId="4864F912" w14:textId="64B40FD6" w:rsidR="00B35D37" w:rsidRDefault="00B35D37" w:rsidP="00B35D37">
      <w:pPr>
        <w:pStyle w:val="TextoNormalNegritaCentrado"/>
      </w:pPr>
    </w:p>
    <w:p w14:paraId="06B44643" w14:textId="77777777" w:rsidR="00B35D37" w:rsidRDefault="00B35D37" w:rsidP="00B35D37">
      <w:pPr>
        <w:pStyle w:val="TextoNormalNegritaCentrado"/>
        <w:keepNext/>
      </w:pPr>
      <w:r>
        <w:t>I. Antecedentes</w:t>
      </w:r>
    </w:p>
    <w:p w14:paraId="4B97BC88" w14:textId="172878F0" w:rsidR="00B35D37" w:rsidRDefault="00B35D37" w:rsidP="00B35D37">
      <w:pPr>
        <w:pStyle w:val="TextoNormalNegritaCentrado"/>
        <w:keepNext/>
      </w:pPr>
    </w:p>
    <w:p w14:paraId="78B98332" w14:textId="2942477A" w:rsidR="00B35D37" w:rsidRDefault="00B35D37" w:rsidP="00B35D37">
      <w:pPr>
        <w:pStyle w:val="TextoNormal"/>
      </w:pPr>
      <w:r w:rsidRPr="00B35D37">
        <w:rPr>
          <w:rStyle w:val="NumeroAFNegritaCaracter"/>
        </w:rPr>
        <w:t>1</w:t>
      </w:r>
      <w:r>
        <w:t>. Mediante escrito presentado en el registro general de este tribunal el 24 de noviembre de 2023, la representación procesal de don Eduardo Esteban Rincón interpuso recurso de amparo contra (i) la sentencia de la Sección Cuarta de la Sala de lo Contencioso-Administrativo del Tribunal Supremo núm. 1024/2023, de 18 de julio, recaída en el procedimiento ordinario núm. 707-2022, y (ii) el auto del mismo órgano judicial de 11 de octubre de 2023, que declara no haber lugar al incidente de nulidad de actuaciones interpuesto frente a la citada sentencia.</w:t>
      </w:r>
    </w:p>
    <w:p w14:paraId="609E12AB" w14:textId="77777777" w:rsidR="00B35D37" w:rsidRDefault="00B35D37" w:rsidP="00B35D37">
      <w:pPr>
        <w:pStyle w:val="TextoNormal"/>
      </w:pPr>
    </w:p>
    <w:p w14:paraId="784DFA9C" w14:textId="77777777" w:rsidR="00B35D37" w:rsidRDefault="00B35D37" w:rsidP="00B35D37">
      <w:pPr>
        <w:pStyle w:val="TextoNormal"/>
      </w:pPr>
      <w:r w:rsidRPr="00B35D37">
        <w:rPr>
          <w:rStyle w:val="NumeroAFNegritaCaracter"/>
        </w:rPr>
        <w:t>2</w:t>
      </w:r>
      <w:r>
        <w:t>. Las alegaciones que se contienen en la demanda de amparo son, sintéticamente expuestas, las siguientes:</w:t>
      </w:r>
    </w:p>
    <w:p w14:paraId="69739880" w14:textId="77777777" w:rsidR="00B35D37" w:rsidRDefault="00B35D37" w:rsidP="00B35D37">
      <w:pPr>
        <w:pStyle w:val="TextoNormal"/>
      </w:pPr>
    </w:p>
    <w:p w14:paraId="43CC3F4E" w14:textId="77777777" w:rsidR="00B35D37" w:rsidRDefault="00B35D37" w:rsidP="00B35D37">
      <w:pPr>
        <w:pStyle w:val="TextoNormal"/>
      </w:pPr>
      <w:r>
        <w:t>a) El recurrente de amparo fue promovido a la categoría de fiscal de sala —la más alta en la carrera fiscal— y nombrado fiscal de sala de la Fiscalía de Menores de la Fiscalía General del Estado en virtud del Real Decreto 212/2021, de 30 de marzo, que resolvió la convocatoria efectuada por Orden JUS/90/2021, de 27 de enero.</w:t>
      </w:r>
    </w:p>
    <w:p w14:paraId="1D463570" w14:textId="77777777" w:rsidR="00B35D37" w:rsidRDefault="00B35D37" w:rsidP="00B35D37">
      <w:pPr>
        <w:pStyle w:val="TextoNormal"/>
      </w:pPr>
    </w:p>
    <w:p w14:paraId="76EBFCA5" w14:textId="77777777" w:rsidR="00B35D37" w:rsidRDefault="00B35D37" w:rsidP="00B35D37">
      <w:pPr>
        <w:pStyle w:val="TextoNormal"/>
      </w:pPr>
      <w:r>
        <w:t>El referido real decreto fue anulado —por defectos de motivación de la propuesta de nombramiento efectuada por la fiscal general del Estado— por la Sala de lo Contencioso-Administrativo del Tribunal Supremo, Sección Cuarta, en sentencias núm. 452/2022 y 453/2022, ambas de 19 de abril. Dichas resoluciones acordaron la retroacción del procedimiento al momento inmediatamente anterior a la propuesta de nombramiento, a efectos de que la fiscal general del Estado realizara una nueva propuesta, debidamente motivada.</w:t>
      </w:r>
    </w:p>
    <w:p w14:paraId="2AD22C8E" w14:textId="77777777" w:rsidR="00B35D37" w:rsidRDefault="00B35D37" w:rsidP="00B35D37">
      <w:pPr>
        <w:pStyle w:val="TextoNormal"/>
      </w:pPr>
    </w:p>
    <w:p w14:paraId="49E1B8E8" w14:textId="77777777" w:rsidR="00B35D37" w:rsidRDefault="00B35D37" w:rsidP="00B35D37">
      <w:pPr>
        <w:pStyle w:val="TextoNormal"/>
      </w:pPr>
      <w:r>
        <w:t>b) El recurrente volvió a ser promovido a la categoría de fiscal de sala y nombrado fiscal de sala de la Fiscalía de Menores de la Fiscalía General del Estado en virtud del Real Decreto 417/2022, de 31 de mayo, que contenía una motivación diversa —y más amplia— que la del anterior nombramiento.</w:t>
      </w:r>
    </w:p>
    <w:p w14:paraId="7C958CE9" w14:textId="77777777" w:rsidR="00B35D37" w:rsidRDefault="00B35D37" w:rsidP="00B35D37">
      <w:pPr>
        <w:pStyle w:val="TextoNormal"/>
      </w:pPr>
    </w:p>
    <w:p w14:paraId="0437B1CC" w14:textId="77777777" w:rsidR="00B35D37" w:rsidRDefault="00B35D37" w:rsidP="00B35D37">
      <w:pPr>
        <w:pStyle w:val="TextoNormal"/>
      </w:pPr>
      <w:r>
        <w:t>Este segundo nombramiento fue impugnado por otro candidato a la plaza ante la Sala de lo Contencioso-Administrativo del Tribunal Supremo, dando lugar al procedimiento ordinario 707-2022, que concluyó con la sentencia núm. 1024/2023, de 18 de julio, objeto del presente recurso de amparo. La resolución anula el Real Decreto 417/2022 pero no acuerda, esta vez, la retroacción para la realización de una nueva propuesta de nombramiento.</w:t>
      </w:r>
    </w:p>
    <w:p w14:paraId="63C5278C" w14:textId="77777777" w:rsidR="00B35D37" w:rsidRDefault="00B35D37" w:rsidP="00B35D37">
      <w:pPr>
        <w:pStyle w:val="TextoNormal"/>
      </w:pPr>
    </w:p>
    <w:p w14:paraId="4DF165DB" w14:textId="77777777" w:rsidR="00B35D37" w:rsidRDefault="00B35D37" w:rsidP="00B35D37">
      <w:pPr>
        <w:pStyle w:val="TextoNormal"/>
      </w:pPr>
      <w:r>
        <w:t>El recurrente en amparo promovió incidente de nulidad de actuaciones frente a la sentencia. La Sala, mediante auto de 11 de octubre de 2023, declaró no haber lugar a dicho incidente.</w:t>
      </w:r>
    </w:p>
    <w:p w14:paraId="06DE0A5A" w14:textId="77777777" w:rsidR="00B35D37" w:rsidRDefault="00B35D37" w:rsidP="00B35D37">
      <w:pPr>
        <w:pStyle w:val="TextoNormal"/>
      </w:pPr>
    </w:p>
    <w:p w14:paraId="4E84CE3C" w14:textId="77777777" w:rsidR="00B35D37" w:rsidRDefault="00B35D37" w:rsidP="00B35D37">
      <w:pPr>
        <w:pStyle w:val="TextoNormal"/>
      </w:pPr>
      <w:r>
        <w:t>c) A juicio del demandante de amparo, la sentencia dictada por la Sala de lo Contencioso-Administrativo del Tribunal Supremo vulnera los siguientes derechos fundamentales: (i) el derecho a la tutela judicial efectiva del art. 24.1 CE, pues la sentencia impugnada habría realizado un giro no motivado en la jurisprudencia de la propia Sala en relación con el control jurisdiccional de los nombramientos discrecionales; (ii) el derecho a la igualdad del art. 14 CE, porque otros nombramientos discrecionales equiparables —realizados por el Consejo General del Poder Judicial en relación con plazas de magistrado de designación discrecional— no se controlan por dicha Sala con arreglo a esos mismos criterios; (iii) el art. 23.2 CE, pues la sentencia dictada por la Sala anula el nombramiento para la plaza de fiscal de sala de Menores y la promoción del recurrente de amparo a la categoría profesional de “fiscal de sala” invadiendo las facultades de valoración discrecional que corresponden exclusivamente al Gobierno, convirtiendo la experiencia en el área de menores en el único mérito que puede determinar la cobertura de la plaza y excluyendo, consecuentemente, la idoneidad del nombramiento del recurrente en amparo en virtud de un requisito que no viene recogido por la ley con tal carácter determinante.</w:t>
      </w:r>
    </w:p>
    <w:p w14:paraId="13154681" w14:textId="77777777" w:rsidR="00B35D37" w:rsidRDefault="00B35D37" w:rsidP="00B35D37">
      <w:pPr>
        <w:pStyle w:val="TextoNormal"/>
      </w:pPr>
    </w:p>
    <w:p w14:paraId="220990E0" w14:textId="77777777" w:rsidR="00B35D37" w:rsidRDefault="00B35D37" w:rsidP="00B35D37">
      <w:pPr>
        <w:pStyle w:val="TextoNormal"/>
      </w:pPr>
      <w:r>
        <w:t>d) El recurrente en amparo invoca, como motivos de especial trascendencia constitucional:</w:t>
      </w:r>
    </w:p>
    <w:p w14:paraId="11EEE07B" w14:textId="77777777" w:rsidR="00B35D37" w:rsidRDefault="00B35D37" w:rsidP="00B35D37">
      <w:pPr>
        <w:pStyle w:val="TextoNormal"/>
      </w:pPr>
    </w:p>
    <w:p w14:paraId="1801F200" w14:textId="77777777" w:rsidR="00B35D37" w:rsidRDefault="00B35D37" w:rsidP="00B35D37">
      <w:pPr>
        <w:pStyle w:val="TextoNormal"/>
      </w:pPr>
      <w:r>
        <w:t>(i) Que el asunto suscitado trasciende del caso concreto porque plantea una cuestión jurídica de relevante y general repercusión social o económica o con consecuencias políticas generales [STC 155/2009, de 25 de junio, FJ 2 g)], ya que “la decisión del Tribunal Supremo de dar un giro copernicano a su propia doctrina sobre los nombramientos discrecionales, sin justificar en modo alguno las razones de ese cambio, provoca que se vacíe de contenido la facultad discrecional de los órganos administrativos, cuyas decisiones pueden ser sometidas a un control total por los tribunales. […]</w:t>
      </w:r>
    </w:p>
    <w:p w14:paraId="2B4802EC" w14:textId="77777777" w:rsidR="00B35D37" w:rsidRDefault="00B35D37" w:rsidP="00B35D37">
      <w:pPr>
        <w:pStyle w:val="TextoNormal"/>
      </w:pPr>
    </w:p>
    <w:p w14:paraId="7D7E98CF" w14:textId="77777777" w:rsidR="00B35D37" w:rsidRDefault="00B35D37" w:rsidP="00B35D37">
      <w:pPr>
        <w:pStyle w:val="TextoNormal"/>
      </w:pPr>
      <w:r>
        <w:t>Al apartarse de su doctrina anterior, según la cual la revisión judicial del nombramiento discrecional es una revisión externa de la motivación, que implica la potestad de exigir una mayor motivación, pero no la discrepancia con las razones del nombramiento, el Tribunal Supremo dejaría sin margen de apreciación propia al órgano administrativo (en este caso la fiscal general), invadiendo sus facultades discrecionales. […]</w:t>
      </w:r>
    </w:p>
    <w:p w14:paraId="6636AF9D" w14:textId="77777777" w:rsidR="00B35D37" w:rsidRDefault="00B35D37" w:rsidP="00B35D37">
      <w:pPr>
        <w:pStyle w:val="TextoNormal"/>
      </w:pPr>
    </w:p>
    <w:p w14:paraId="160FE858" w14:textId="77777777" w:rsidR="00B35D37" w:rsidRDefault="00B35D37" w:rsidP="00B35D37">
      <w:pPr>
        <w:pStyle w:val="TextoNormal"/>
      </w:pPr>
      <w:r>
        <w:t>Este cambio jurisprudencial tiene consecuencias generales en cuanto distorsiona la estructura constitucional de las relaciones entre el Poder Judicial y la administración. Si se priva a esta de sus facultades discrecionales se le impide servir a los intereses generales, como exige el art. 103 CE, y se desborda la potestad revisora (no sustitutiva del ejercicio de las potestades administrativas) que el art. 106 1 CE confiere a los tribunales”.</w:t>
      </w:r>
    </w:p>
    <w:p w14:paraId="73728C4A" w14:textId="77777777" w:rsidR="00B35D37" w:rsidRDefault="00B35D37" w:rsidP="00B35D37">
      <w:pPr>
        <w:pStyle w:val="TextoNormal"/>
      </w:pPr>
    </w:p>
    <w:p w14:paraId="10F0DDFC" w14:textId="77777777" w:rsidR="00B35D37" w:rsidRDefault="00B35D37" w:rsidP="00B35D37">
      <w:pPr>
        <w:pStyle w:val="TextoNormal"/>
      </w:pPr>
      <w:r>
        <w:t>(ii) Que el recurso plantea un problema o una faceta de un derecho fundamental susceptible de amparo sobre el que no hay doctrina del Tribunal Constitucional [STC 155/2009, FJ 2 a)]. No hay, en particular, doctrina del Tribunal sobre en qué medida “el órgano judicial, que desborda el examen externo de la motivación y priva a la administración de sus facultades discrecionales, vulnera con su exceso de jurisdicción [el derecho del] art. 23.2 CE del funcionario que ha obtenido un ascenso y un puesto discrecionales con suficiencia de méritos, como es el caso de mi representado, de quien la propia sentencia recurrida reconoce la suficiencia de méritos para alcanzar la categoría de fiscal de sala y sin embargo el fallo le priva de esa condición”.</w:t>
      </w:r>
    </w:p>
    <w:p w14:paraId="7CCF3DCC" w14:textId="77777777" w:rsidR="00B35D37" w:rsidRDefault="00B35D37" w:rsidP="00B35D37">
      <w:pPr>
        <w:pStyle w:val="TextoNormal"/>
      </w:pPr>
    </w:p>
    <w:p w14:paraId="1E8C86E8" w14:textId="77777777" w:rsidR="00B35D37" w:rsidRDefault="00B35D37" w:rsidP="00B35D37">
      <w:pPr>
        <w:pStyle w:val="TextoNormal"/>
      </w:pPr>
      <w:r>
        <w:t>(iii) Que el órgano judicial ha incurrido en una negativa manifiesta del deber de acatamiento de la doctrina del Tribunal Constitucional [STC 155/2009, FJ 2 f)] pues, según se dice, la Sala sentenciadora no “solo ha desconocido su propia doctrina sobre los nombramientos discrecionales, […] sino que, al no dar a conocer las razones que le han llevado a ese viraje doctrinal, está incumpliendo la doctrina de este Tribunal Constitucional […] véase la STC 13/2012, de 30 de enero, FJ 3”.</w:t>
      </w:r>
    </w:p>
    <w:p w14:paraId="3E1E6096" w14:textId="77777777" w:rsidR="00B35D37" w:rsidRDefault="00B35D37" w:rsidP="00B35D37">
      <w:pPr>
        <w:pStyle w:val="TextoNormal"/>
      </w:pPr>
    </w:p>
    <w:p w14:paraId="2ECF2047" w14:textId="079958A2" w:rsidR="00B35D37" w:rsidRDefault="00B35D37" w:rsidP="00B35D37">
      <w:pPr>
        <w:pStyle w:val="TextoNormal"/>
      </w:pPr>
      <w:r>
        <w:t>En la demanda se solicitaba la suspensión de la ejecución de la sentencia impugnada al amparo del art. 56.6 de la Ley Orgánica del Tribunal Constitucional (LOTC). No se solicita, sin embargo, con carácter subsidiario, la suspensión ordinaria del art. 56.2 LOTC.</w:t>
      </w:r>
    </w:p>
    <w:p w14:paraId="4A38EFBB" w14:textId="77777777" w:rsidR="00B35D37" w:rsidRDefault="00B35D37" w:rsidP="00B35D37">
      <w:pPr>
        <w:pStyle w:val="TextoNormal"/>
      </w:pPr>
    </w:p>
    <w:p w14:paraId="29F68B18" w14:textId="0C95F3FF" w:rsidR="00B35D37" w:rsidRDefault="00B35D37" w:rsidP="00B35D37">
      <w:pPr>
        <w:pStyle w:val="TextoNormal"/>
      </w:pPr>
      <w:r w:rsidRPr="00B35D37">
        <w:rPr>
          <w:rStyle w:val="NumeroAFNegritaCaracter"/>
        </w:rPr>
        <w:t>3</w:t>
      </w:r>
      <w:r>
        <w:t>. Por acuerdo del presidente de la Sala Primera de este tribunal de 15 de enero de 2024, se apreció la conexión objetiva del presente recurso de amparo con el recurso de amparo núm. 7432-2024 y se dispuso, de conformidad con el acuerdo del Pleno de 23 de octubre de 2013, que la ponencia de ambos recursos quedara atribuida al magistrado ponente del más antiguo de ellos (el núm. 7432-2024).</w:t>
      </w:r>
    </w:p>
    <w:p w14:paraId="6F15AFB4" w14:textId="77777777" w:rsidR="00B35D37" w:rsidRDefault="00B35D37" w:rsidP="00B35D37">
      <w:pPr>
        <w:pStyle w:val="TextoNormal"/>
      </w:pPr>
    </w:p>
    <w:p w14:paraId="31740501" w14:textId="4AF0BDA5" w:rsidR="00B35D37" w:rsidRDefault="00B35D37" w:rsidP="00B35D37">
      <w:pPr>
        <w:pStyle w:val="TextoNormal"/>
      </w:pPr>
      <w:r w:rsidRPr="00B35D37">
        <w:rPr>
          <w:rStyle w:val="NumeroAFNegritaCaracter"/>
        </w:rPr>
        <w:t>4</w:t>
      </w:r>
      <w:r>
        <w:t>. La Sala Segunda acordó, en providencia de 2 de diciembre de 2024, proponer la avocación por el Pleno del presente recurso de amparo, de conformidad con lo dispuesto en el art. 10.1 n) LOTC.</w:t>
      </w:r>
    </w:p>
    <w:p w14:paraId="235E3D3E" w14:textId="77777777" w:rsidR="00B35D37" w:rsidRDefault="00B35D37" w:rsidP="00B35D37">
      <w:pPr>
        <w:pStyle w:val="TextoNormal"/>
      </w:pPr>
    </w:p>
    <w:p w14:paraId="119F72D9" w14:textId="2D059BB7" w:rsidR="00B35D37" w:rsidRDefault="00B35D37" w:rsidP="00B35D37">
      <w:pPr>
        <w:pStyle w:val="TextoNormal"/>
      </w:pPr>
      <w:r w:rsidRPr="00B35D37">
        <w:rPr>
          <w:rStyle w:val="NumeroAFNegritaCaracter"/>
        </w:rPr>
        <w:t>5</w:t>
      </w:r>
      <w:r>
        <w:t>. Mediante providencia de 17 de diciembre de 2024, el Pleno de este tribunal acordó recabar para sí el conocimiento del recurso de amparo de acuerdo con lo previsto en el art. 10.1 n) LOTC.</w:t>
      </w:r>
    </w:p>
    <w:p w14:paraId="13D1E987" w14:textId="77777777" w:rsidR="00B35D37" w:rsidRDefault="00B35D37" w:rsidP="00B35D37">
      <w:pPr>
        <w:pStyle w:val="TextoNormal"/>
      </w:pPr>
    </w:p>
    <w:p w14:paraId="385191B9" w14:textId="1D2BE43E" w:rsidR="00B35D37" w:rsidRDefault="00B35D37" w:rsidP="00B35D37">
      <w:pPr>
        <w:pStyle w:val="TextoNormal"/>
      </w:pPr>
      <w:r w:rsidRPr="00B35D37">
        <w:rPr>
          <w:rStyle w:val="NumeroAFNegritaCaracter"/>
        </w:rPr>
        <w:t>6</w:t>
      </w:r>
      <w:r>
        <w:t>. Mediante el ATC 3/2025, de 14 de enero, se tuvo por abstenido al magistrado don César Tolosa Tribiño, quien había solicitado la abstención al haber participado directamente en un asunto (art. 219.13 de la Ley Orgánica del Poder Judicial), pues intervino como presidente de la Sección Cuarta de la Sala de lo Contencioso-Administrativo del Tribunal Supremo en las sentencias núm. 452/2022 y 453/2022.</w:t>
      </w:r>
    </w:p>
    <w:p w14:paraId="215CD21B" w14:textId="77777777" w:rsidR="00B35D37" w:rsidRDefault="00B35D37" w:rsidP="00B35D37">
      <w:pPr>
        <w:pStyle w:val="TextoNormal"/>
      </w:pPr>
    </w:p>
    <w:p w14:paraId="1F58C18C" w14:textId="77777777" w:rsidR="00B35D37" w:rsidRDefault="00B35D37" w:rsidP="00B35D37">
      <w:pPr>
        <w:pStyle w:val="TextoNormalNegritaCentrado"/>
        <w:keepNext/>
      </w:pPr>
      <w:r>
        <w:t>II. Fundamentos jurídicos</w:t>
      </w:r>
    </w:p>
    <w:p w14:paraId="53AB849B" w14:textId="760B0200" w:rsidR="00B35D37" w:rsidRDefault="00B35D37" w:rsidP="00B35D37">
      <w:pPr>
        <w:pStyle w:val="TextoNormalNegritaCentrado"/>
        <w:keepNext/>
      </w:pPr>
    </w:p>
    <w:p w14:paraId="28A7643D" w14:textId="77777777" w:rsidR="00B35D37" w:rsidRDefault="00B35D37" w:rsidP="00B35D37">
      <w:pPr>
        <w:pStyle w:val="TextoNormal"/>
      </w:pPr>
      <w:r w:rsidRPr="00B35D37">
        <w:rPr>
          <w:rStyle w:val="TextoNormalNegritaCaracter"/>
        </w:rPr>
        <w:t xml:space="preserve">Único. </w:t>
      </w:r>
      <w:r>
        <w:t>Mediante escrito presentado en el registro general de este tribunal el 24 de noviembre de 2023, la representación procesal de don Eduardo Esteban Rincón interpuso recurso de amparo contra (i) la sentencia de la Sala de lo Contencioso-Administrativo del Tribunal Supremo núm. 1024/2023, de 18 de julio, recaída en el procedimiento ordinario núm. 707-2022, que anula el Real Decreto 417/2022, de 31 de mayo, que promovía al demandante a la categoría de fiscal de sala y le nombraba fiscal de sala de la Fiscalía de Menores de la Fiscalía General del Estado, y (ii) el auto del mismo órgano judicial de 11 de octubre de 2023, que declara no haber lugar al incidente de nulidad de actuaciones interpuesto frente a la citada sentencia.</w:t>
      </w:r>
    </w:p>
    <w:p w14:paraId="5130A4FC" w14:textId="77777777" w:rsidR="00B35D37" w:rsidRDefault="00B35D37" w:rsidP="00B35D37">
      <w:pPr>
        <w:pStyle w:val="TextoNormal"/>
      </w:pPr>
    </w:p>
    <w:p w14:paraId="54CF83C5" w14:textId="77777777" w:rsidR="00B35D37" w:rsidRDefault="00B35D37" w:rsidP="00B35D37">
      <w:pPr>
        <w:pStyle w:val="TextoNormal"/>
      </w:pPr>
      <w:r>
        <w:t xml:space="preserve">El Pleno de este tribunal aprecia que las vulneraciones de derechos fundamentales aducidas en la demanda no carecen </w:t>
      </w:r>
      <w:r w:rsidRPr="00B35D37">
        <w:rPr>
          <w:i/>
        </w:rPr>
        <w:t>prima facie</w:t>
      </w:r>
      <w:r>
        <w:t xml:space="preserve"> de verosimilitud. Aprecia, asimismo, que concurre en el recurso una especial trascendencia (art. 50.1 LOTC) porque: (i)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(ii)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14:paraId="4AFAC88E" w14:textId="77777777" w:rsidR="00B35D37" w:rsidRDefault="00B35D37" w:rsidP="00B35D37">
      <w:pPr>
        <w:pStyle w:val="TextoNormal"/>
      </w:pPr>
    </w:p>
    <w:p w14:paraId="380E0184" w14:textId="0E8B20C0" w:rsidR="00B35D37" w:rsidRDefault="00B35D37" w:rsidP="00B35D37">
      <w:pPr>
        <w:pStyle w:val="TextoNormal"/>
      </w:pPr>
      <w:r>
        <w:t>En relación con la medida de suspensión de la ejecución de la sentencia 1024/2023, interesada al amparo del art. 56.6 LOTC, procede su desestimación, habida cuenta de que dicha resolución judicial ha sido ya ejecutada en virtud del Real Decreto 952/2023, de 28 de noviembre, publicado en el “Boletín Oficial del Estado” el 29 de noviembre de 2023, por lo que no concurre la urgencia excepcional que exige como presupuesto el citado precepto.</w:t>
      </w:r>
    </w:p>
    <w:p w14:paraId="260394B2" w14:textId="77777777" w:rsidR="00B35D37" w:rsidRDefault="00B35D37" w:rsidP="00B35D37">
      <w:pPr>
        <w:pStyle w:val="TextoNormal"/>
      </w:pPr>
    </w:p>
    <w:p w14:paraId="510D9B37" w14:textId="77777777" w:rsidR="00B35D37" w:rsidRDefault="00B35D37" w:rsidP="00B35D37">
      <w:pPr>
        <w:pStyle w:val="TextoNormal"/>
      </w:pPr>
      <w:r>
        <w:t>Por lo expuesto, el Pleno</w:t>
      </w:r>
    </w:p>
    <w:p w14:paraId="3EBDF0AF" w14:textId="17C73A20" w:rsidR="00B35D37" w:rsidRDefault="00B35D37" w:rsidP="00B35D37">
      <w:pPr>
        <w:pStyle w:val="TextoNormal"/>
      </w:pPr>
    </w:p>
    <w:p w14:paraId="1E7EA8A4" w14:textId="77777777" w:rsidR="00B35D37" w:rsidRDefault="00B35D37" w:rsidP="00B35D37">
      <w:pPr>
        <w:pStyle w:val="TextoNormalCentrado"/>
      </w:pPr>
      <w:r>
        <w:t>ACUERDA</w:t>
      </w:r>
    </w:p>
    <w:p w14:paraId="60DACDBD" w14:textId="4513AA72" w:rsidR="00B35D37" w:rsidRDefault="00B35D37" w:rsidP="00B35D37">
      <w:pPr>
        <w:pStyle w:val="TextoNormalCentrado"/>
      </w:pPr>
    </w:p>
    <w:p w14:paraId="51BEC751" w14:textId="77777777" w:rsidR="00B35D37" w:rsidRDefault="00B35D37" w:rsidP="00B35D37">
      <w:pPr>
        <w:pStyle w:val="TextoNormal"/>
      </w:pPr>
      <w:r>
        <w:t>1º Admitir a trámite el recurso de amparo, apreciando que concurre en el mismo una especial trascendencia constitucional [art. 50.1 b) LOTC] porque el recurso plantea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2D311F0D" w14:textId="77777777" w:rsidR="00B35D37" w:rsidRDefault="00B35D37" w:rsidP="00B35D37">
      <w:pPr>
        <w:pStyle w:val="TextoNormal"/>
      </w:pPr>
    </w:p>
    <w:p w14:paraId="53D7599E" w14:textId="77777777" w:rsidR="00B35D37" w:rsidRDefault="00B35D37" w:rsidP="00B35D37">
      <w:pPr>
        <w:pStyle w:val="TextoNormal"/>
      </w:pPr>
      <w:r>
        <w:t>2º En aplicación de lo dispuesto en el art. 51 LOTC, requerir atentamente a la Sección Cuarta de la Sala de lo Contencioso-Administrativo del Tribunal Supremo a fin de que, en plazo que no exceda de diez días, remita certificación o fotocopia adverada de las actuaciones correspondientes al procedimiento ordinario núm. 707-2022 y para que emplace a quienes hubieran sido parte en el procedimiento, excepto a la parte recurrente en amparo, para que en el plazo de diez días puedan comparecer, si lo desean, en el presente recurso.</w:t>
      </w:r>
    </w:p>
    <w:p w14:paraId="1BFDD886" w14:textId="77777777" w:rsidR="00B35D37" w:rsidRDefault="00B35D37" w:rsidP="00B35D37">
      <w:pPr>
        <w:pStyle w:val="TextoNormal"/>
      </w:pPr>
    </w:p>
    <w:p w14:paraId="65792C12" w14:textId="5FE7BF64" w:rsidR="00B35D37" w:rsidRDefault="00B35D37" w:rsidP="00B35D37">
      <w:pPr>
        <w:pStyle w:val="TextoNormal"/>
      </w:pPr>
      <w:r>
        <w:t>3º Rechazar la solicitud de suspensión formulada en la demanda de amparo con base en el art. 56.6 LOTC.</w:t>
      </w:r>
    </w:p>
    <w:p w14:paraId="7C0E76BD" w14:textId="77777777" w:rsidR="00B35D37" w:rsidRDefault="00B35D37" w:rsidP="00B35D37">
      <w:pPr>
        <w:pStyle w:val="TextoNormal"/>
      </w:pPr>
    </w:p>
    <w:p w14:paraId="1A860295" w14:textId="77777777" w:rsidR="00B35D37" w:rsidRDefault="00B35D37" w:rsidP="00B35D37">
      <w:pPr>
        <w:pStyle w:val="TextoNormal"/>
      </w:pPr>
      <w:r>
        <w:t>Madrid, a catorce de enero de dos mil veinticinco.</w:t>
      </w:r>
    </w:p>
    <w:p w14:paraId="381AB3F3" w14:textId="73764019" w:rsidR="00B35D37" w:rsidRDefault="00B35D37" w:rsidP="00B35D37">
      <w:pPr>
        <w:pStyle w:val="ParrafoNormal"/>
      </w:pPr>
    </w:p>
    <w:p w14:paraId="1B486E5F" w14:textId="77777777" w:rsidR="00B35D37" w:rsidRDefault="00B35D37" w:rsidP="00B35D37">
      <w:pPr>
        <w:pStyle w:val="TextoNormalNegritaCentrado"/>
        <w:keepNext/>
      </w:pPr>
      <w:r>
        <w:t>Voto particular que formulan los magistrados don Enrique Arnaldo Alcubilla, doña Concepción Espejel Jorquera y don José María Macías Castaño al auto del Pleno del Tribunal de 14 de enero de 2025 por el que se acuerda la admisión a trámite del recurso de amparo núm. 7433-2023</w:t>
      </w:r>
    </w:p>
    <w:p w14:paraId="3E016CCF" w14:textId="4D7EF9F8" w:rsidR="00B35D37" w:rsidRDefault="00B35D37" w:rsidP="00B35D37">
      <w:pPr>
        <w:pStyle w:val="TextoNormalNegritaCentrado"/>
        <w:keepNext/>
      </w:pPr>
    </w:p>
    <w:p w14:paraId="5435C09B" w14:textId="77777777" w:rsidR="00B35D37" w:rsidRDefault="00B35D37" w:rsidP="00B35D37">
      <w:pPr>
        <w:pStyle w:val="TextoNormal"/>
      </w:pPr>
      <w:r>
        <w:t>En el ejercicio de la facultad que nos confiere el art. 90.2 de la Ley Orgánica del Tribunal Constitucional (LOTC) y con respeto a la opinión de los magistrados que han conformado la mayoría del Pleno del Tribunal, manifestamos nuestra discrepancia con la decisión de admitir a trámite el presente recurso de amparo. Por las razones defendidas en su momento durante la deliberación y que exponemos a continuación, consideramos que el recurso de amparo hubiera debido ser inadmitido, bien por inexistencia de las pretendidas vulneraciones de derechos denunciadas, bien por carecer el recurso de especial trascendencia constitucional.</w:t>
      </w:r>
    </w:p>
    <w:p w14:paraId="62DC7C27" w14:textId="77777777" w:rsidR="00B35D37" w:rsidRDefault="00B35D37" w:rsidP="00B35D37">
      <w:pPr>
        <w:pStyle w:val="TextoNormal"/>
      </w:pPr>
    </w:p>
    <w:p w14:paraId="286E97C4" w14:textId="77777777" w:rsidR="00B35D37" w:rsidRDefault="00B35D37" w:rsidP="00B35D37">
      <w:pPr>
        <w:pStyle w:val="TextoNormal"/>
      </w:pPr>
      <w:r>
        <w:t xml:space="preserve">El auto del que disentimos acuerda admitir este recurso de amparo al apreciar que las vulneraciones de derechos fundamentales alegadas por el recurrente no carecen </w:t>
      </w:r>
      <w:r w:rsidRPr="00B35D37">
        <w:rPr>
          <w:i/>
        </w:rPr>
        <w:t>prima facie</w:t>
      </w:r>
      <w:r>
        <w:t xml:space="preserve"> de verosimilitud y, asimismo, que el recurso reviste especial trascendencia constitucional, porque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porque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14:paraId="46C3EE5D" w14:textId="77777777" w:rsidR="00B35D37" w:rsidRDefault="00B35D37" w:rsidP="00B35D37">
      <w:pPr>
        <w:pStyle w:val="TextoNormal"/>
      </w:pPr>
    </w:p>
    <w:p w14:paraId="1A9C5009" w14:textId="77777777" w:rsidR="00B35D37" w:rsidRDefault="00B35D37" w:rsidP="00B35D37">
      <w:pPr>
        <w:pStyle w:val="TextoNormal"/>
      </w:pPr>
      <w:r>
        <w:t>Discrepamos de tal apreciación, pues entendemos que ni resulta verosímil que existan las lesiones de derechos fundamentales que alega el recurrente, ni concurre especial trascendencia constitucional en el presente caso.</w:t>
      </w:r>
    </w:p>
    <w:p w14:paraId="01E7B0C7" w14:textId="77777777" w:rsidR="00B35D37" w:rsidRDefault="00B35D37" w:rsidP="00B35D37">
      <w:pPr>
        <w:pStyle w:val="TextoNormal"/>
      </w:pPr>
    </w:p>
    <w:p w14:paraId="23F7A678" w14:textId="77777777" w:rsidR="00B35D37" w:rsidRDefault="00B35D37" w:rsidP="00B35D37">
      <w:pPr>
        <w:pStyle w:val="TextoNormal"/>
      </w:pPr>
      <w:r>
        <w:t xml:space="preserve">1. </w:t>
      </w:r>
      <w:r w:rsidRPr="00B35D37">
        <w:rPr>
          <w:i/>
        </w:rPr>
        <w:t>Sobre la falta de verosimilitud de las pretendidas vulneraciones de derechos fundamentales alegadas en el recurso de amparo</w:t>
      </w:r>
    </w:p>
    <w:p w14:paraId="72817270" w14:textId="77777777" w:rsidR="00B35D37" w:rsidRDefault="00B35D37" w:rsidP="00B35D37">
      <w:pPr>
        <w:pStyle w:val="TextoNormal"/>
      </w:pPr>
    </w:p>
    <w:p w14:paraId="26BED582" w14:textId="77777777" w:rsidR="00B35D37" w:rsidRDefault="00B35D37" w:rsidP="00B35D37">
      <w:pPr>
        <w:pStyle w:val="TextoNormal"/>
      </w:pPr>
      <w:r>
        <w:t>Cabe recordar que el recurrente considera que la sentencia del Tribunal Supremo impugnada en amparo (sentencia 1024/2023, de 18 de julio, dictada por la Sección Cuarta de la Sala de lo Contencioso-Administrativo del Tribunal Supremo en el procedimiento ordinario núm. 707-2022) ha vulnerado sus derechos a: (i) la tutela judicial efectiva (art. 24.1 CE), porque la Sala de lo Contencioso-Administrativo del Tribunal Supremo habría realizado un giro inesperado e inmotivado de su propia jurisprudencia en relación con el control jurisdiccional de los nombramientos discrecionales; (ii) la igualdad (art. 14 CE), porque otros nombramientos discrecionales equiparables al del recurrente (realizados por el Consejo General del Poder Judicial en relación con plazas de magistrado de designación discrecional) no se controlan por dicha Sala con arreglo a esos mismos criterios; y (iii) a acceder a los cargos y funciones públicas en condiciones de igualdad (art. 23.2 CE), porque la sentencia incurre en exceso de jurisdicción al anular el nombramiento del recurrente para la plaza de fiscal de sala de Menores y su promoción a la categoría de fiscal de sala, invadiendo las facultades de valoración discrecional que corresponden exclusivamente al Gobierno.</w:t>
      </w:r>
    </w:p>
    <w:p w14:paraId="785DCB91" w14:textId="77777777" w:rsidR="00B35D37" w:rsidRDefault="00B35D37" w:rsidP="00B35D37">
      <w:pPr>
        <w:pStyle w:val="TextoNormal"/>
      </w:pPr>
    </w:p>
    <w:p w14:paraId="2B54F498" w14:textId="77777777" w:rsidR="00B35D37" w:rsidRDefault="00B35D37" w:rsidP="00B35D37">
      <w:pPr>
        <w:pStyle w:val="TextoNormal"/>
      </w:pPr>
      <w:r>
        <w:t>Como es de apreciar, las tres quejas están estrechamente conectadas entre sí. El razonamiento sobre las vulneraciones de derechos que se alegan se articula en la demanda de amparo en torno a lo que se considera como un cambio de doctrina del Tribunal Supremo sobre el control de los nombramientos discrecionales, que no se habría motivado suficientemente y que supone por ello un tratamiento desigual en perjuicio del recurrente, al privar a este de la plaza para la que había sido designado y de la promoción en la carrera fiscal.</w:t>
      </w:r>
    </w:p>
    <w:p w14:paraId="05FE38D4" w14:textId="77777777" w:rsidR="00B35D37" w:rsidRDefault="00B35D37" w:rsidP="00B35D37">
      <w:pPr>
        <w:pStyle w:val="TextoNormal"/>
      </w:pPr>
    </w:p>
    <w:p w14:paraId="04DD1814" w14:textId="77777777" w:rsidR="00B35D37" w:rsidRDefault="00B35D37" w:rsidP="00B35D37">
      <w:pPr>
        <w:pStyle w:val="TextoNormal"/>
      </w:pPr>
      <w:r>
        <w:t>Pues bien, como hemos adelantado, no es verosímil que se hayan producido las pretendidas lesiones de derechos fundamentales alegadas. En cuanto a la supuesta vulneración del derecho a la tutela judicial efectiva (art. 24.1 CE), es lo cierto que la sentencia de la Sala de lo Contencioso-Administrativo del Tribunal Supremo impugnada en amparo contiene una motivación suficiente y fundada en Derecho, no advirtiéndose que existan en esa fundamentación “quiebras lógicas de tal magnitud que las conclusiones alcanzadas no pueden considerarse basadas en ninguna de las razones aducidas [en la resolución]” (SSTC 214/1999, de 29 de noviembre, FJ 4; 223/2002, de 25 de noviembre, FJ 6; 20/2004, de 23 de febrero, FJ 6; 177/2007, de 23 de julio, y 64/2010, de 18 de octubre, FJ 3, entre otras) o que tales conclusiones sean “fruto del mero voluntarismo judicial o exponente de un proceso deductivo irracional o absurdo” (SSTC 146/2005, de 6 de junio, FJ 9, y 101/2015, de 25 de mayo, FJ 4, por todas).</w:t>
      </w:r>
    </w:p>
    <w:p w14:paraId="36CFC142" w14:textId="77777777" w:rsidR="00B35D37" w:rsidRDefault="00B35D37" w:rsidP="00B35D37">
      <w:pPr>
        <w:pStyle w:val="TextoNormal"/>
      </w:pPr>
    </w:p>
    <w:p w14:paraId="644A7C0F" w14:textId="77777777" w:rsidR="00B35D37" w:rsidRDefault="00B35D37" w:rsidP="00B35D37">
      <w:pPr>
        <w:pStyle w:val="TextoNormal"/>
      </w:pPr>
      <w:r>
        <w:t>La Sala de lo Contencioso-Administrativo del Tribunal Supremo ha razonado en la sentencia impugnada, en el ejercicio de la facultad que le confiere el art. 117.3 CE, que no se ha satisfecho en absoluto lo exigido por las sentencias previas que anularon el primer nombramiento del recurrente en cuanto a la motivación de su designación, dado que las razones ofrecidas para volver a nombrarle no guardan ninguna relación significativa con las características de la plaza a cubrir. Y en el auto que desestima el incidente de nulidad razona la Sala, para rechazar que se hubiera apartado de su jurisprudencia sobre el control jurisdiccional de los nombramientos discrecionales, que no ha existido ese pretendido apartamiento, porque anteriores nombramientos para plazas de fiscal de sala especializadas en Derecho de menores o en otra materia nunca han sido objeto de impugnación y, desde luego, no lo han sido porque se denunciase que el nombrado no tuviera suficiente especialización en la materia correspondiente; no siendo tampoco admisible la comparación con otro tipo de nombramientos discrecionales pues existen diferencias evidentes entre el nombramiento de fiscales, como el del asunto planteado, y los nombramientos de la carrera judicial.</w:t>
      </w:r>
    </w:p>
    <w:p w14:paraId="71E624C9" w14:textId="77777777" w:rsidR="00B35D37" w:rsidRDefault="00B35D37" w:rsidP="00B35D37">
      <w:pPr>
        <w:pStyle w:val="TextoNormal"/>
      </w:pPr>
    </w:p>
    <w:p w14:paraId="13095BC5" w14:textId="77777777" w:rsidR="00B35D37" w:rsidRDefault="00B35D37" w:rsidP="00B35D37">
      <w:pPr>
        <w:pStyle w:val="TextoNormal"/>
      </w:pPr>
      <w:r>
        <w:t xml:space="preserve">Se trata de un razonamiento inobjetable desde la perspectiva del canon de enjuiciamiento que al Tribunal Constitucional corresponde en cuanto la motivación de las resoluciones judiciales, lo que conduce a descartar que exista la alegada lesión del derecho a la tutela judicial efectiva (art. 24.1 CE), y por ende del </w:t>
      </w:r>
      <w:r w:rsidRPr="00B35D37">
        <w:rPr>
          <w:i/>
        </w:rPr>
        <w:t>derecho</w:t>
      </w:r>
      <w:r>
        <w:t xml:space="preserve"> a la igualdad (art. 14 CE), por cuanto la comparación que pretende el recurrente (control judicial de nombramientos realizados por el Consejo General del Poder Judicial en relación con plazas de magistrado de designación discrecional) no es término válido de comparación, ya que se trata de regímenes jurídicos diferentes, existiendo, como razona el Tribunal Supremo, diferencias evidentes entre el nombramiento de fiscales de sala y los nombramientos discrecionales de la carrera judicial.</w:t>
      </w:r>
    </w:p>
    <w:p w14:paraId="01539247" w14:textId="77777777" w:rsidR="00B35D37" w:rsidRDefault="00B35D37" w:rsidP="00B35D37">
      <w:pPr>
        <w:pStyle w:val="TextoNormal"/>
      </w:pPr>
    </w:p>
    <w:p w14:paraId="4EDE22BF" w14:textId="77777777" w:rsidR="00B35D37" w:rsidRDefault="00B35D37" w:rsidP="00B35D37">
      <w:pPr>
        <w:pStyle w:val="TextoNormal"/>
      </w:pPr>
      <w:r>
        <w:t>Tampoco es posible apreciar la pretendida lesión del derecho a acceder a los cargos y funciones públicas en condiciones de igualdad (art. 23.2 CE), que comporta, como es bien sabido, no solo el acceso (y promoción) en igualdad de condiciones al cargo público, sino también con arreglo a los principios de mérito y capacidad (art. 103.3 CE) como criterios rectores de dicho acceso (por todas, STC 50/1986, de 23 de abril). El Tribunal Supremo recuerda en su sentencia que el primer nombramiento del recurrente para la plaza de fiscal de sala de la Fiscalía de Menores fue anulado por falta de motivación del acto administrativo en lo específicamente atinente a la muy notable diferencia de experiencia y méritos de los candidatos en materia de Derecho de menores, sin que esa deficiencia de motivación administrativa haya sido subsanada por la fiscal general del Estado en el nuevo nombramiento del recurrente en amparo por cuanto, en realidad, las razones dadas para volverle a nombrar no guardan relación alguna significativa con las características del puesto a cubrir.</w:t>
      </w:r>
    </w:p>
    <w:p w14:paraId="6AD2F2E0" w14:textId="77777777" w:rsidR="00B35D37" w:rsidRDefault="00B35D37" w:rsidP="00B35D37">
      <w:pPr>
        <w:pStyle w:val="TextoNormal"/>
      </w:pPr>
    </w:p>
    <w:p w14:paraId="14B29FC6" w14:textId="77777777" w:rsidR="00B35D37" w:rsidRDefault="00B35D37" w:rsidP="00B35D37">
      <w:pPr>
        <w:pStyle w:val="TextoNormal"/>
      </w:pPr>
      <w:r>
        <w:t>No existe en este pronunciamiento judicial el exceso de jurisdicción que denuncia el recurrente en amparo para sostener la pretendida lesión del derecho garantizado por el art. 23.2 CE. El Tribunal Supremo no invade con su decisión las facultades de valoración discrecional que corresponden al Gobierno, sino que ejerce su función de control judicial de los actos administrativos. La sentencia impugnada se ha limitado a considerar no ajustada a Derecho la motivación de la fiscal general del Estado para nombrar al recurrente en amparo como fiscal de sala de la Fiscalía de Menores, dado que las razones ofrecidas por aquella para volver a designarle no guardan relación significativa alguna con las características de esa plaza, para cuya cobertura es notorio que la experiencia en materia de Derecho de menores debe ser ponderada y valorada. Exigir, como ha hecho el Tribunal Supremo, una motivación administrativa suficiente en la que se explicara la ponderación de la experiencia de los candidatos a la plaza en materia de Derecho de menores responde sin duda a la exigencia de cumplir el requisito de que fuera designado para cubrir esa plaza el candidato más idóneo, es decir, con más mérito y capacidad, lo que resulta plenamente acorde con el derecho garantizado por el art. 23.2 CE, en relación con el art. 103.3 CE.</w:t>
      </w:r>
    </w:p>
    <w:p w14:paraId="069B462B" w14:textId="77777777" w:rsidR="00B35D37" w:rsidRDefault="00B35D37" w:rsidP="00B35D37">
      <w:pPr>
        <w:pStyle w:val="TextoNormal"/>
      </w:pPr>
    </w:p>
    <w:p w14:paraId="56F5426A" w14:textId="77777777" w:rsidR="00B35D37" w:rsidRDefault="00B35D37" w:rsidP="00B35D37">
      <w:pPr>
        <w:pStyle w:val="TextoNormal"/>
      </w:pPr>
      <w:r>
        <w:t xml:space="preserve">2. </w:t>
      </w:r>
      <w:r w:rsidRPr="00B35D37">
        <w:rPr>
          <w:i/>
        </w:rPr>
        <w:t>Sobre la falta de especial trascendencia constitucional de este recurso de amparo</w:t>
      </w:r>
    </w:p>
    <w:p w14:paraId="5041548B" w14:textId="77777777" w:rsidR="00B35D37" w:rsidRDefault="00B35D37" w:rsidP="00B35D37">
      <w:pPr>
        <w:pStyle w:val="TextoNormal"/>
      </w:pPr>
    </w:p>
    <w:p w14:paraId="5A898F3F" w14:textId="77777777" w:rsidR="00B35D37" w:rsidRDefault="00B35D37" w:rsidP="00B35D37">
      <w:pPr>
        <w:pStyle w:val="TextoNormal"/>
      </w:pPr>
      <w:r>
        <w:t>Lo anteriormente señalado sería suficiente para acordar la inadmisión del recurso de amparo por inexistencia de vulneración de un derecho fundamental tutelable en amparo; vulneración que, de acuerdo con el art. 44.1 LOTC, es condición inexcusable para que este tribunal pueda ejercer dicha tutela en el proceso constitucional de amparo.</w:t>
      </w:r>
    </w:p>
    <w:p w14:paraId="189AE5AF" w14:textId="77777777" w:rsidR="00B35D37" w:rsidRDefault="00B35D37" w:rsidP="00B35D37">
      <w:pPr>
        <w:pStyle w:val="TextoNormal"/>
      </w:pPr>
    </w:p>
    <w:p w14:paraId="4AA687F8" w14:textId="77777777" w:rsidR="00B35D37" w:rsidRDefault="00B35D37" w:rsidP="00B35D37">
      <w:pPr>
        <w:pStyle w:val="TextoNormal"/>
      </w:pPr>
      <w:r>
        <w:t>Sin perjuicio de ello, no se advierte que el asunto planteado revista especial trascendencia constitucional. Como es sobradamente conocido (por todas, STC 155/2009, de 25 de junio, FJ 2), en la actual configuración del amparo constitucional no es suficiente para la admisión del recurso de amparo con constatar que es verosímil la lesión de un derecho fundamental o libertad pública tutelable en amparo que alegue el recurrente [arts. 53.2 y 161.1 b) CE y 41 LOTC], lesión que ya hemos advertido que no concurre en este caso, a nuestro entender, sino que además es indispensable que el recurso tenga especial trascendencia constitucional [art. 50.1 b) LOTC]. Y esa especial trascendencia constitucional no es de apreciar en el presente caso.</w:t>
      </w:r>
    </w:p>
    <w:p w14:paraId="31B4276D" w14:textId="77777777" w:rsidR="00B35D37" w:rsidRDefault="00B35D37" w:rsidP="00B35D37">
      <w:pPr>
        <w:pStyle w:val="TextoNormal"/>
      </w:pPr>
    </w:p>
    <w:p w14:paraId="716FCE81" w14:textId="77777777" w:rsidR="00B35D37" w:rsidRDefault="00B35D37" w:rsidP="00B35D37">
      <w:pPr>
        <w:pStyle w:val="TextoNormal"/>
      </w:pPr>
      <w:r>
        <w:t>En primer lugar, porque el recurso, frente a lo afirmado en el auto del que disentimos, no afecta a una faceta de un derecho fundamental sobre el que no haya doctrina de este tribunal [STC 155/2009, FJ 2 a)], concretamente en relación con el control judicial de los nombramientos discrecionales. El propio recurrente en amparo reconoce en su demanda que existe esa doctrina constitucional, si bien emanada en relación con supuestos en los que el órgano judicial no ha revocado el nombramiento realizado por la administración. Así las cosas, se viene a confundir la pretendida lesión de derechos alegada por el recurrente con la especial trascendencia constitucional. El recurrente discrepa de la decisión judicial, que por segunda vez anula su nombramiento como fiscal de sala de la Fiscalía de Menores por entender insuficientemente motivado ese nombramiento, y considera el pronunciamiento del Tribunal incurso en exceso de jurisdicción y lesivo de sus derechos garantizados por los arts. 14, 23.2 y 24.1 CE, pero esa pretendida lesión (que ha de reputarse inexistente, como ya hemos señalado) no dota a su recurso de amparo de especial trascendencia constitucional. En definitiva, la cuestión suscitada por el recurrente pertenece al ámbito de la legalidad ordinaria.</w:t>
      </w:r>
    </w:p>
    <w:p w14:paraId="0C34AC00" w14:textId="77777777" w:rsidR="00B35D37" w:rsidRDefault="00B35D37" w:rsidP="00B35D37">
      <w:pPr>
        <w:pStyle w:val="TextoNormal"/>
      </w:pPr>
    </w:p>
    <w:p w14:paraId="5B42D4F2" w14:textId="77777777" w:rsidR="00B35D37" w:rsidRDefault="00B35D37" w:rsidP="00B35D37">
      <w:pPr>
        <w:pStyle w:val="TextoNormal"/>
      </w:pPr>
      <w:r>
        <w:t>Tampoco puede apreciarse, frente a lo que se afirma en el auto del que discrepamos, que el asunto suscitado en el presente recurso trascienda del caso concreto por plantear una cuestión jurídica de relevante y general repercusión social y tener unas consecuencias políticas generales [STC 155/2009, FJ 2 g)], “al incidir en el alcance del control judicial que puede legítimamente efectuarse en relación con los nombramientos de carácter discrecional”. Bien se echa de ver que este motivo de especial trascendencia constitucional es redundante del anterior, puesto que no hace sino referirse al alcance del control judicial de los nombramientos discrecionales, sobre el que existe una doctrina constitucional consolidada (SSTC 18/1987, de 16 de febrero, FJ 5; 207/1988, de 8 de noviembre, FJ 3; 10/1989, de 24 de enero, FJ 3; 235/2000, de 5 de octubre, FJ 12, y 238/2012, de 13 de diciembre, FJ 7, entre otras) que no precisa de aclaración o modificación.</w:t>
      </w:r>
    </w:p>
    <w:p w14:paraId="70209CB9" w14:textId="77777777" w:rsidR="00B35D37" w:rsidRDefault="00B35D37" w:rsidP="00B35D37">
      <w:pPr>
        <w:pStyle w:val="TextoNormal"/>
      </w:pPr>
    </w:p>
    <w:p w14:paraId="6959992C" w14:textId="77777777" w:rsidR="00B35D37" w:rsidRDefault="00B35D37" w:rsidP="00B35D37">
      <w:pPr>
        <w:pStyle w:val="TextoNormal"/>
      </w:pPr>
      <w:r>
        <w:t xml:space="preserve">Somos conscientes de la facultad de la que goza este tribunal de apreciar en cada caso concreto la concurrencia de la especial trascendencia constitucional del recurso [art. 50.1 b) LOTC], con independencia de la carga de justificación que se impone al demandante de amparo en el art. 49.1 </w:t>
      </w:r>
      <w:r w:rsidRPr="00B35D37">
        <w:rPr>
          <w:i/>
        </w:rPr>
        <w:t>in fine</w:t>
      </w:r>
      <w:r>
        <w:t xml:space="preserve"> LOTC (STC 155/2009, FJ 2). Ello no obstante, tal facultad no impide alertar de que el Tribunal Constitucional no debe deslizarse por la peligrosa pendiente de apreciar la concurrencia de especial trascendencia constitucional acudiendo a motivos aparentes (como sucede en el caso que nos atañe), so riesgo de convertir a la jurisdicción constitucional en una suerte de nueva instancia revisora de lo decidido por la jurisdicción ordinaria (y en este caso, por su órgano superior, el Tribunal Supremo, art. 123.1 CE), más aún cuando existe una consolidada jurisprudencia constitucional en la materia, como se ha señalado.</w:t>
      </w:r>
    </w:p>
    <w:p w14:paraId="5DA600E5" w14:textId="77777777" w:rsidR="00B35D37" w:rsidRDefault="00B35D37" w:rsidP="00B35D37">
      <w:pPr>
        <w:pStyle w:val="TextoNormal"/>
      </w:pPr>
    </w:p>
    <w:p w14:paraId="65F093DD" w14:textId="10B2060A" w:rsidR="00B35D37" w:rsidRDefault="00B35D37" w:rsidP="00B35D37">
      <w:pPr>
        <w:pStyle w:val="TextoNormal"/>
      </w:pPr>
      <w:r>
        <w:t>Madrid, a catorce de enero de dos mil veinticinco.</w:t>
      </w:r>
    </w:p>
    <w:p w14:paraId="0F2B5EE8" w14:textId="0DE4AC39" w:rsidR="00B35D37" w:rsidRDefault="00B35D37">
      <w:pPr>
        <w:spacing w:after="160" w:line="278" w:lineRule="auto"/>
        <w:rPr>
          <w:rFonts w:ascii="Times New Roman" w:eastAsia="Times New Roman" w:hAnsi="Times New Roman" w:cs="Times New Roman"/>
          <w:sz w:val="24"/>
          <w:szCs w:val="24"/>
          <w:lang w:eastAsia="es-ES"/>
        </w:rPr>
      </w:pPr>
      <w:r>
        <w:br w:type="page"/>
      </w:r>
    </w:p>
    <w:p w14:paraId="52525786" w14:textId="77777777" w:rsidR="00B35D37" w:rsidRDefault="00B35D37" w:rsidP="00B35D37">
      <w:pPr>
        <w:pStyle w:val="TtuloResolucin"/>
      </w:pPr>
      <w:bookmarkStart w:id="145" w:name="AUTO_2025_6"/>
      <w:r>
        <w:t>AUTO 6/2025, de 15 de enero de 2025</w:t>
      </w:r>
    </w:p>
    <w:bookmarkEnd w:id="145"/>
    <w:p w14:paraId="14315A7B" w14:textId="77777777" w:rsidR="00B35D37" w:rsidRDefault="00B35D37" w:rsidP="00B35D37">
      <w:pPr>
        <w:pStyle w:val="TtuloResolucin"/>
      </w:pPr>
      <w:r>
        <w:t>Pleno</w:t>
      </w:r>
    </w:p>
    <w:p w14:paraId="2F4D74A0" w14:textId="77777777" w:rsidR="00B35D37" w:rsidRDefault="00B35D37" w:rsidP="00B35D37">
      <w:pPr>
        <w:pStyle w:val="TextoNormalCentrado"/>
      </w:pPr>
      <w:r>
        <w:t>ECLI:ES:TC:2025:6A</w:t>
      </w:r>
    </w:p>
    <w:p w14:paraId="07F5B429" w14:textId="780D3F97" w:rsidR="00B35D37" w:rsidRDefault="00B35D37" w:rsidP="00B35D37">
      <w:pPr>
        <w:pStyle w:val="TextoNormalCentrado"/>
      </w:pPr>
    </w:p>
    <w:p w14:paraId="2A043DA2"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0DFE2A23" w14:textId="132FC0CD" w:rsidR="00B35D37" w:rsidRDefault="00B35D37" w:rsidP="00B35D37">
      <w:pPr>
        <w:pStyle w:val="SntesisDescriptiva"/>
      </w:pPr>
    </w:p>
    <w:p w14:paraId="336EE66F" w14:textId="77777777" w:rsidR="00B35D37" w:rsidRDefault="00B35D37" w:rsidP="00B35D37">
      <w:pPr>
        <w:pStyle w:val="SntesisDescriptiva"/>
      </w:pPr>
      <w:r>
        <w:t>Acuerda una recusación en la cuestión de inconstitucionalidad núm. 6053-2024, planteada por la Sala de lo Penal del Tribunal Supremo en relación con la Ley Orgánica 1/2024, de 10 de junio, de amnistía para la normalización institucional, política y social en Cataluña. Votos particulares.</w:t>
      </w:r>
    </w:p>
    <w:p w14:paraId="77946009" w14:textId="1D9D37B5" w:rsidR="00B35D37" w:rsidRDefault="00B35D37" w:rsidP="00B35D37">
      <w:pPr>
        <w:pStyle w:val="SntesisDescriptiva"/>
      </w:pPr>
    </w:p>
    <w:p w14:paraId="2DF2A2E2" w14:textId="77777777" w:rsidR="00B35D37" w:rsidRDefault="00B35D37" w:rsidP="00B35D37">
      <w:pPr>
        <w:pStyle w:val="SntesisDescriptiva"/>
      </w:pPr>
    </w:p>
    <w:p w14:paraId="7C94260C" w14:textId="77777777" w:rsidR="00B35D37" w:rsidRDefault="00B35D37" w:rsidP="00B35D37">
      <w:pPr>
        <w:pStyle w:val="SntesisDescriptiva"/>
      </w:pPr>
    </w:p>
    <w:p w14:paraId="3F4A0664" w14:textId="77777777" w:rsidR="00B35D37" w:rsidRDefault="00B35D37" w:rsidP="00B35D37">
      <w:pPr>
        <w:pStyle w:val="TextoNormalNegritaCentrado"/>
      </w:pPr>
      <w:r>
        <w:t>AUTO</w:t>
      </w:r>
    </w:p>
    <w:p w14:paraId="47BB9A1E" w14:textId="03145D40" w:rsidR="00B35D37" w:rsidRDefault="00B35D37" w:rsidP="00B35D37">
      <w:pPr>
        <w:pStyle w:val="TextoNormalNegritaCentrado"/>
      </w:pPr>
    </w:p>
    <w:p w14:paraId="602CC033" w14:textId="77777777" w:rsidR="00B35D37" w:rsidRDefault="00B35D37" w:rsidP="00B35D37">
      <w:pPr>
        <w:pStyle w:val="TextoNormalNegritaCentrado"/>
        <w:keepNext/>
      </w:pPr>
      <w:r>
        <w:t>I. Antecedentes</w:t>
      </w:r>
    </w:p>
    <w:p w14:paraId="00997C4E" w14:textId="1B42791B" w:rsidR="00B35D37" w:rsidRDefault="00B35D37" w:rsidP="00B35D37">
      <w:pPr>
        <w:pStyle w:val="TextoNormalNegritaCentrado"/>
        <w:keepNext/>
      </w:pPr>
    </w:p>
    <w:p w14:paraId="3647ED09" w14:textId="6E9E3E54" w:rsidR="00B35D37" w:rsidRDefault="00B35D37" w:rsidP="00B35D37">
      <w:pPr>
        <w:pStyle w:val="TextoNormal"/>
      </w:pPr>
      <w:r w:rsidRPr="00B35D37">
        <w:rPr>
          <w:rStyle w:val="NumeroAFNegritaCaracter"/>
        </w:rPr>
        <w:t>1</w:t>
      </w:r>
      <w:r>
        <w:t>. Mediante escrito que tuvo entrada en el registro general de este tribunal el 19 de septiembre de 2024, el fiscal general del Estado promovió incidente de recusación del magistrado don José María Macías Castaño, en la cuestión de inconstitucionalidad núm. 6053-2024, planteada por la Sala de lo Penal del Tribunal Supremo en relación con Ley Orgánica 1/2024, de 10 de junio, de amnistía para la normalización institucional, política y social en Cataluña. Adjunta al escrito los dos acuerdos que se mencionan en el siguiente apartado.</w:t>
      </w:r>
    </w:p>
    <w:p w14:paraId="2EC783A3" w14:textId="77777777" w:rsidR="00B35D37" w:rsidRDefault="00B35D37" w:rsidP="00B35D37">
      <w:pPr>
        <w:pStyle w:val="TextoNormal"/>
      </w:pPr>
    </w:p>
    <w:p w14:paraId="2F848FED" w14:textId="77777777" w:rsidR="00B35D37" w:rsidRDefault="00B35D37" w:rsidP="00B35D37">
      <w:pPr>
        <w:pStyle w:val="TextoNormal"/>
      </w:pPr>
      <w:r w:rsidRPr="00B35D37">
        <w:rPr>
          <w:rStyle w:val="NumeroAFNegritaCaracter"/>
        </w:rPr>
        <w:t>2</w:t>
      </w:r>
      <w:r>
        <w:t>. El fiscal general del Estado sustenta la recusación en las causas 13 y 16 de las previstas en el art. 219 de la Ley Orgánica del Poder Judicial (LOPJ), con fundamento en que el magistrado recusado, en su anterior condición de vocal del Consejo General del Poder Judicial formó parte, votando favorablemente, del órgano que adoptó: (i) el acuerdo de Pleno de 6 de noviembre de 2023, por el que se aprobó la declaración institucional del Consejo ante el anuncio del presidente del Gobierno de que se había alcanzado un pacto político para la presentación de una proposición de ley orgánica de amnistía; y (ii) el acuerdo de Pleno de 21 de marzo de 2024, por el que se aprobó el Informe del Consejo General del Poder Judicial sobre la proposición de ley orgánica de amnistía para la normalización institucional, política y social en Cataluña, emitido a petición de la mesa del Senado, y que se incorporó al proceso legislativo de la citada Ley Orgánica.</w:t>
      </w:r>
    </w:p>
    <w:p w14:paraId="02A5ED80" w14:textId="77777777" w:rsidR="00B35D37" w:rsidRDefault="00B35D37" w:rsidP="00B35D37">
      <w:pPr>
        <w:pStyle w:val="TextoNormal"/>
      </w:pPr>
    </w:p>
    <w:p w14:paraId="717EC9E0" w14:textId="77777777" w:rsidR="00B35D37" w:rsidRDefault="00B35D37" w:rsidP="00B35D37">
      <w:pPr>
        <w:pStyle w:val="TextoNormal"/>
      </w:pPr>
      <w:r>
        <w:t>El fiscal general parte de la doctrina de este tribunal con arreglo a la cual sus magistrados no pueden, ni deben, ser excluidos por lo que piensan, ya que resulta absurdo esperar mentes vacías en quienes han sido elegidos para desempeñar esta función esencial para nuestro Estado de Derecho precisamente porque piensan y, más concretamente, por lo que piensan, siendo la combinación dialéctica y ordenada de la diversidad de pensamientos el elemento clave para la pluralidad en el entendimiento, interpretación y aplicación de las normas básicas de convivencia. Precisamente partiendo de esta premisa, distingue el fiscal general entre: (i) la consideración del criterio que, en un contexto privado o público, académico, profesional o mediático, pueda haber expresado o defendido un magistrado con anterioridad o al margen de su función jurisdiccional sobre una materia jurídica que haya de ser objeto de enjuiciamiento por el Tribunal del que forma parte, lo que, lejos de resultar determinante de su apartamiento de dicho Tribunal puede considerarse —con ciertos límites, como es obvio— inherente o incluso imprescindible en el marco de su consolidación como jurista de reconocida competencia (art. 159.2 CE); y (ii) la actuación de dicha persona en el ámbito institucional, ejerciendo —como dice la norma— un cargo público, en el que su participación o intervención, máxime si tiene un carácter decisivo o determinante para la validez o la eficacia de los actos llevados a cabo a través del ejercicio de ese cargo, comporta un pronunciamiento que directa o indirectamente se refiera al objeto mismo del litigio o a otro relacionado con él.</w:t>
      </w:r>
    </w:p>
    <w:p w14:paraId="0EAA89CD" w14:textId="77777777" w:rsidR="00B35D37" w:rsidRDefault="00B35D37" w:rsidP="00B35D37">
      <w:pPr>
        <w:pStyle w:val="TextoNormal"/>
      </w:pPr>
    </w:p>
    <w:p w14:paraId="45A7671C" w14:textId="77777777" w:rsidR="00B35D37" w:rsidRDefault="00B35D37" w:rsidP="00B35D37">
      <w:pPr>
        <w:pStyle w:val="TextoNormal"/>
      </w:pPr>
      <w:r>
        <w:t>En el segundo de los supuestos indicados, que es el que se corresponde con el art. 219.13 LOPJ, el pronunciamiento formal, por regla general motivado jurídicamente y llamado además a producir un determinado efecto normativamente reglado, puede conceptuarse como participación directa o indirecta en el asunto litigioso con ocasión del ejercicio de un cargo público, ya que incorpora un plus distintivo de carga objetiva a la hora de valorar cualquier probabilidad de que, quien así ha intervenido en el asunto, pueda razonablemente no hallarse condicionado de modo determinante en su labor de enjuiciamiento por el sentido y el contenido de esa previa actuación.</w:t>
      </w:r>
    </w:p>
    <w:p w14:paraId="1B0282ED" w14:textId="77777777" w:rsidR="00B35D37" w:rsidRDefault="00B35D37" w:rsidP="00B35D37">
      <w:pPr>
        <w:pStyle w:val="TextoNormal"/>
      </w:pPr>
    </w:p>
    <w:p w14:paraId="2DC2523A" w14:textId="77777777" w:rsidR="00B35D37" w:rsidRDefault="00B35D37" w:rsidP="00B35D37">
      <w:pPr>
        <w:pStyle w:val="TextoNormal"/>
      </w:pPr>
      <w:r>
        <w:t>De acuerdo con el escrito de recusación, esta no se promueve por la emisión de determinadas opiniones, ni por la relevancia, difusión o trascendencia pública de las mismas, sino por la participación directa que el magistrado, en su anterior condición de vocal del Consejo General del Poder Judicial, tuvo en determinadas actuaciones oficiales que, por su objeto y finalidad, comportan un extenso, razonado, reiterado, detallado y categórico enjuiciamiento jurídico-constitucional de la Ley Orgánica 1/2024, cuya constitucionalidad se somete ahora a escrutinio del Tribunal. Una de tales actuaciones en particular, el Informe sobre la proposición de ley orgánica de amnistía para la normalización institucional, política y social en Cataluña, aprobado el 21 de marzo de 2024, partió, además, de una petición directa de la mesa del Senado, a instancia de los grupos parlamentarios Popular y Mixto, y se incorporó al proceso legislativo que culminó en la aprobación de la Ley Orgánica 1/2024. El informe en cuestión examina exhaustivamente las diferentes cuestiones que integran el objeto de la cuestión de inconstitucionalidad planteada por el Tribunal Supremo y que ha dado lugar al pleito principal.</w:t>
      </w:r>
    </w:p>
    <w:p w14:paraId="36F17C70" w14:textId="77777777" w:rsidR="00B35D37" w:rsidRDefault="00B35D37" w:rsidP="00B35D37">
      <w:pPr>
        <w:pStyle w:val="TextoNormal"/>
      </w:pPr>
    </w:p>
    <w:p w14:paraId="3FE5DA46" w14:textId="4D8527A2" w:rsidR="00B35D37" w:rsidRDefault="00B35D37" w:rsidP="00B35D37">
      <w:pPr>
        <w:pStyle w:val="TextoNormal"/>
      </w:pPr>
      <w:r>
        <w:t>En definitiva, el magistrado señor Macías Castaño no solo participó directamente en una actuación oficial propia de su cargo preordenada, por expresa decisión de la Cámara Alta, a su incorporación al procedimiento legislativo y por tanto a la conformación del asunto que hoy es objeto de la cuestión de inconstitucionalidad —la Ley Orgánica 1/2024—, sino que además concretó esa participación en la formación y formulación de un criterio, o una serie de criterios, profusamente detallados y precisos sobre la práctica totalidad de las cuestiones ahora sometidas por el Tribunal Supremo al Pleno del Tribunal Constitucional, articulando así lo que difícilmente, desde la perspectiva de la apariencia de imparcialidad, permitiría eludir la inevitable imagen de formación de un —sólido, además— pre-juicio sobre cada una de las dudas sometidas a la jurisdicción constitucional, que ahora le corresponde ejercer.</w:t>
      </w:r>
    </w:p>
    <w:p w14:paraId="3F41B0E5" w14:textId="77777777" w:rsidR="00B35D37" w:rsidRDefault="00B35D37" w:rsidP="00B35D37">
      <w:pPr>
        <w:pStyle w:val="TextoNormal"/>
      </w:pPr>
    </w:p>
    <w:p w14:paraId="74BCB796" w14:textId="07A59519" w:rsidR="00B35D37" w:rsidRDefault="00B35D37" w:rsidP="00B35D37">
      <w:pPr>
        <w:pStyle w:val="TextoNormal"/>
      </w:pPr>
      <w:r w:rsidRPr="00B35D37">
        <w:rPr>
          <w:rStyle w:val="NumeroAFNegritaCaracter"/>
        </w:rPr>
        <w:t>3</w:t>
      </w:r>
      <w:r>
        <w:t>. Mediante providencia de 3 de diciembre de 2024 el Pleno de este tribunal acordó formar pieza separada para la tramitación del incidente de recusación, con suspensión de las actuaciones correspondientes al proceso principal, nombrándose como instructora del incidente a la magistrada doña Laura Díez Bueso y como ponente del mismo a la magistrada doña Inmaculada Montalbán Huertas. En la misma resolución se ordenó que se diera traslado del escrito de recusación presentado, en primer término, a las partes personadas, salvo la recusante, para que, en el plazo común de tres días, manifestaran si se adhieren o se oponen a la causa de recusación propuesta o si conocen alguna otra causa de recusación; y, seguidamente, al magistrado don José María Macías Castaño para que se pronunciase sobre si admite o no las causas de recusación formuladas, conforme a lo dispuesto en el art. 223.3 LOPJ.</w:t>
      </w:r>
    </w:p>
    <w:p w14:paraId="4A419B2F" w14:textId="77777777" w:rsidR="00B35D37" w:rsidRDefault="00B35D37" w:rsidP="00B35D37">
      <w:pPr>
        <w:pStyle w:val="TextoNormal"/>
      </w:pPr>
    </w:p>
    <w:p w14:paraId="479AE506" w14:textId="1C50F5AB" w:rsidR="00B35D37" w:rsidRDefault="00B35D37" w:rsidP="00B35D37">
      <w:pPr>
        <w:pStyle w:val="TextoNormal"/>
      </w:pPr>
      <w:r w:rsidRPr="00B35D37">
        <w:rPr>
          <w:rStyle w:val="NumeroAFNegritaCaracter"/>
        </w:rPr>
        <w:t>4</w:t>
      </w:r>
      <w:r>
        <w:t>. El 10 de diciembre de 2024 el abogado del Estado ha presentado escrito manifestando su adhesión a las alegaciones expuestas por el fiscal general del Estado en su escrito de recusación.</w:t>
      </w:r>
    </w:p>
    <w:p w14:paraId="741B2005" w14:textId="77777777" w:rsidR="00B35D37" w:rsidRDefault="00B35D37" w:rsidP="00B35D37">
      <w:pPr>
        <w:pStyle w:val="TextoNormal"/>
      </w:pPr>
    </w:p>
    <w:p w14:paraId="05763FD0" w14:textId="0CBE0769" w:rsidR="00B35D37" w:rsidRDefault="00B35D37" w:rsidP="00B35D37">
      <w:pPr>
        <w:pStyle w:val="TextoNormal"/>
      </w:pPr>
      <w:r w:rsidRPr="00B35D37">
        <w:rPr>
          <w:rStyle w:val="NumeroAFNegritaCaracter"/>
        </w:rPr>
        <w:t>5</w:t>
      </w:r>
      <w:r>
        <w:t>. El 11 de diciembre de 2024 el letrado de las Cortes Generales, actuando en nombre y representación del Senado, ha presentado su escrito de alegaciones a la recusación. En él invoca un óbice procesal de extemporaneidad de la recusación formulada por considerar que, habiéndose reservado el conocimiento de la causa principal —cuestión de inconstitucionalidad núm. 6053-2024— al Pleno del Tribunal Constitucional mediante providencia de 11 de septiembre de 2024, y siendo la composición de este órgano pública, notoria e invariable desde que sus miembros toman posesión del cargo, la fecha que debe tomarse en cuenta como inicio del cómputo del plazo legal para formular la recusación es, precisamente, la fecha en que el magistrado recusado tomó posesión del cargo, esto es, el 31 de julio de 2024. Partiendo de esta premisa, sólidamente sustentada en la doctrina del propio Tribunal (ATC 68/2023, de 21 de febrero, y demás resoluciones citadas en él), el plazo para promover la recusación había finalizado cuando se presentó el escrito del fiscal general del Estado, el 19 de septiembre de 2024.</w:t>
      </w:r>
    </w:p>
    <w:p w14:paraId="31434397" w14:textId="77777777" w:rsidR="00B35D37" w:rsidRDefault="00B35D37" w:rsidP="00B35D37">
      <w:pPr>
        <w:pStyle w:val="TextoNormal"/>
      </w:pPr>
    </w:p>
    <w:p w14:paraId="4771ECBD" w14:textId="77777777" w:rsidR="00B35D37" w:rsidRDefault="00B35D37" w:rsidP="00B35D37">
      <w:pPr>
        <w:pStyle w:val="TextoNormal"/>
      </w:pPr>
      <w:r w:rsidRPr="00B35D37">
        <w:rPr>
          <w:rStyle w:val="NumeroAFNegritaCaracter"/>
        </w:rPr>
        <w:t>6</w:t>
      </w:r>
      <w:r>
        <w:t>. El 13 de diciembre de 2024 el magistrado señor Macías Castaño ha presentado escrito en el que manifiesta no aceptar las causas de recusación dirigidas frente a él.</w:t>
      </w:r>
    </w:p>
    <w:p w14:paraId="5F78EF15" w14:textId="77777777" w:rsidR="00B35D37" w:rsidRDefault="00B35D37" w:rsidP="00B35D37">
      <w:pPr>
        <w:pStyle w:val="TextoNormal"/>
      </w:pPr>
    </w:p>
    <w:p w14:paraId="172118B6" w14:textId="77777777" w:rsidR="00B35D37" w:rsidRDefault="00B35D37" w:rsidP="00B35D37">
      <w:pPr>
        <w:pStyle w:val="TextoNormal"/>
      </w:pPr>
      <w:r>
        <w:t xml:space="preserve">En primer lugar, invoca el magistrado un óbice de extemporaneidad en términos análogos al letrado de las Cortes Generales. Considera que, de acuerdo con la doctrina de este mismo Tribunal Constitucional, el </w:t>
      </w:r>
      <w:r w:rsidRPr="00B35D37">
        <w:rPr>
          <w:i/>
        </w:rPr>
        <w:t>dies a quo</w:t>
      </w:r>
      <w:r>
        <w:t xml:space="preserve"> para el cómputo del plazo legalmente fijado para formular la recusación es la fecha de la toma de posesión en el cargo. Distingue este caso de aquellos otros en los que, como se declaró en el reciente ATC 116/2024, de 5 de noviembre, FJ 3, dictado en el recurso de inconstitucionalidad núm. 6436-2024, o en el más remoto ATC 177/2022, de 19 de diciembre, FJ 2, dictado en el marco de un recurso de amparo, el plazo para formular una recusación —por parte que quien no es demandante— habrá de entenderse iniciado en el momento en que se comunica la admisión a trámite del respectivo procedimiento. Expone que: (i) las causas de recusación invocadas eran anteriores a su toma de posesión y conocidas por el recusante, dado su carácter público; (ii) en la fecha en que tomó posesión del cargo, era pública y notoria también la composición del Pleno del Tribunal, llamado a conocer de la causa principal, y su integración en dicho órgano; (iii) la toma de posesión formal y jurídicamente vinculante tuvo lugar el día 31 de julio de 2024, no el 6 de septiembre de ese mismo año como erróneamente hace constar el fiscal general del Estado en su escrito de recusación; (iv) el Ministerio Fiscal era parte en el procedimiento judicial de origen y conocía de primera mano el planteamiento de la cuestión de inconstitucionalidad que constituye el objeto del proceso principal. Tras lo expuesto, concluye que el plazo de diez días para formular recusación expiraba el 12 de septiembre de 2024, con lo que la recusación presentada el 19 de septiembre se encontraba fuera de plazo.</w:t>
      </w:r>
    </w:p>
    <w:p w14:paraId="67C5E0B7" w14:textId="77777777" w:rsidR="00B35D37" w:rsidRDefault="00B35D37" w:rsidP="00B35D37">
      <w:pPr>
        <w:pStyle w:val="TextoNormal"/>
      </w:pPr>
    </w:p>
    <w:p w14:paraId="6490F1CD" w14:textId="77777777" w:rsidR="00B35D37" w:rsidRDefault="00B35D37" w:rsidP="00B35D37">
      <w:pPr>
        <w:pStyle w:val="TextoNormal"/>
      </w:pPr>
      <w:r>
        <w:t>En relación con las causas de recusación invocadas, con carácter general afirma que la especial posición asignada por el ordenamiento jurídico al Tribunal Constitucional, llamado a ejercer un control real y efectivo sobre los tres poderes del Estado, justifica la diversidad de planteamientos jurídicos de los magistrados y magistradas que lo integran. Esta heterogeneidad de posiciones guarda una estrecha correspondencia con el pluralismo político como valor superior del ordenamiento jurídico. Por ello mismo, las diversas circunstancias que definen la personalidad de cada uno de los magistrados y magistradas, y que conforman su trayectoria personal, no pueden considerarse sin más condicionamientos negativos que afecten a su imparcialidad. La mera afinidad con determinadas posiciones políticas o ideológicas no constituye por sí sola causa de recusación. Por otra parte, la singular naturaleza y composición del Tribunal, cuyos miembros no son susceptibles de ser sustituidos siquiera temporalmente, exige que las causas de abstención y recusación sean interpretadas siempre de manera restrictiva. Además, la naturaleza de los procesos constitucionales, especialmente aquellos en que el Tribunal está llamado a hacer un juicio abstracto de constitucionalidad de una norma, y no a dirimir conflictos entre partes que defienden intereses propios, puede comportar una modulación en la aplicación de las causas de abstención y recusación reguladas en la LOPJ. La ratio de la imparcialidad judicial radica en la obligación de ser ajeno al litigio, de no jugarse nada en él, de no ser juez y parte ni juez de la propia causa.</w:t>
      </w:r>
    </w:p>
    <w:p w14:paraId="3B7ACD65" w14:textId="77777777" w:rsidR="00B35D37" w:rsidRDefault="00B35D37" w:rsidP="00B35D37">
      <w:pPr>
        <w:pStyle w:val="TextoNormal"/>
      </w:pPr>
    </w:p>
    <w:p w14:paraId="0EEBE5A6" w14:textId="6A771964" w:rsidR="00B35D37" w:rsidRDefault="00B35D37" w:rsidP="00B35D37">
      <w:pPr>
        <w:pStyle w:val="TextoNormal"/>
      </w:pPr>
      <w:r>
        <w:t>De manera particular, y por lo que concierne a los motivos de recusación que se dirigen contra él, el magistrado niega que concurra la causa de recusación prevista en el apartado 13 del art. 219 LOPJ. Invoca la doctrina establecida en el ATC 28/2023, de 7 de febrero, en que no se admitió la abstención de una magistrada en un recurso de inconstitucionalidad fundada en la causa prevista en el apartado 16 del art. 219 LOPJ y en unos hechos análogos a los que hoy se invocan frente a él: haber participado, como vocal del Consejo General del Poder Judicial, en la emisión de un informe de legalidad relativo al proyecto de ley que dio lugar a la norma objeto de aquel recurso de inconstitucionalidad. Estima que las mismas consideraciones que condujeron en su día a rechazar la abstención de dicha magistrada han de servir hoy para rechazar la recusación formulada contra él. En particular, y en relación con la causa 13 del art. 219 LOPJ, entiende que resulta patente que ninguna de las opiniones vertidas en el informe del Consejo fue tenida en cuenta en el texto definitivo de la norma ahora impugnada, con lo que no cabe calificar la emisión del informe como participación directa o indirecta en el proceso de elaboración de la norma. Intervenir en un proceso legislativo como informante externo no es participar en el objeto de ese proceso. En cuanto a la causa 16 del art. 219 LOPJ, afirma el magistrado que estamos ante una causa mixta, objetiva y subjetiva, que precisa no solo que el magistrado haya tenido conocimiento previo del objeto del litigio y se haya formado criterio, sino también que ello se traduzca en una toma de posición a favor o en contra de alguna de las partes, lo que no puede suceder en un proceso en el que no existen partes y que está encaminado al examen abstracto de la constitucionalidad de una norma legal. Concluye afirmando, con cita de la doctrina del Tribunal Europeo de Derechos Humanos, que la independencia judicial debe ser aplicada de manera inclusiva a los miembros del Consejo General del Poder Judicial, en los mismos términos en que se aplica a los miembros de la judicatura en sentido estricto. La mera insinuación de que el ejercicio de las funciones propias del cargo de vocal del Consejo pudiera determinar una ulterior pretensión de separación de un asunto como magistrado constitucional podría tener un indudable efecto disuasorio en el ejercicio de aquellas funciones, en detrimento de la independencia judicial y el principio de separación de poderes.</w:t>
      </w:r>
    </w:p>
    <w:p w14:paraId="47386540" w14:textId="77777777" w:rsidR="00B35D37" w:rsidRDefault="00B35D37" w:rsidP="00B35D37">
      <w:pPr>
        <w:pStyle w:val="TextoNormal"/>
      </w:pPr>
    </w:p>
    <w:p w14:paraId="317F0AE3" w14:textId="0DB83C10" w:rsidR="00B35D37" w:rsidRDefault="00B35D37" w:rsidP="00B35D37">
      <w:pPr>
        <w:pStyle w:val="TextoNormal"/>
      </w:pPr>
      <w:r w:rsidRPr="00B35D37">
        <w:rPr>
          <w:rStyle w:val="NumeroAFNegritaCaracter"/>
        </w:rPr>
        <w:t>7</w:t>
      </w:r>
      <w:r>
        <w:t>. Mediante providencia de 16 de diciembre de 2024, la magistrada instructora del incidente de recusación ha acordado tener por evacuados los trámites ordenados, el de alegaciones de las partes y el de audiencia al magistrado recusado, y remitir todo lo actuado al Pleno de este tribunal para su resolución.</w:t>
      </w:r>
    </w:p>
    <w:p w14:paraId="3B821674" w14:textId="77777777" w:rsidR="00B35D37" w:rsidRDefault="00B35D37" w:rsidP="00B35D37">
      <w:pPr>
        <w:pStyle w:val="TextoNormal"/>
      </w:pPr>
    </w:p>
    <w:p w14:paraId="1BF2CAA8" w14:textId="7F2178AB" w:rsidR="00B35D37" w:rsidRDefault="00B35D37" w:rsidP="00B35D37">
      <w:pPr>
        <w:pStyle w:val="TextoNormal"/>
      </w:pPr>
      <w:r w:rsidRPr="00B35D37">
        <w:rPr>
          <w:rStyle w:val="NumeroAFNegritaCaracter"/>
        </w:rPr>
        <w:t>8</w:t>
      </w:r>
      <w:r>
        <w:t>. Por diligencia de ordenación de 17 de diciembre de 2024 se tiene por recibida en el Pleno la pieza separada de recusación y se acuerda dar traslado de las actuaciones al Ministerio Fiscal para informe por plazo de tres días, conforme al art. 225.3, párrafo tercero, LOPJ.</w:t>
      </w:r>
    </w:p>
    <w:p w14:paraId="43BD8E85" w14:textId="77777777" w:rsidR="00B35D37" w:rsidRDefault="00B35D37" w:rsidP="00B35D37">
      <w:pPr>
        <w:pStyle w:val="TextoNormal"/>
      </w:pPr>
    </w:p>
    <w:p w14:paraId="25DC7A79" w14:textId="77777777" w:rsidR="00B35D37" w:rsidRDefault="00B35D37" w:rsidP="00B35D37">
      <w:pPr>
        <w:pStyle w:val="TextoNormal"/>
      </w:pPr>
      <w:r w:rsidRPr="00B35D37">
        <w:rPr>
          <w:rStyle w:val="NumeroAFNegritaCaracter"/>
        </w:rPr>
        <w:t>9</w:t>
      </w:r>
      <w:r>
        <w:t>. El fiscal general del Estado presentó su informe el 20 de diciembre de 2024, en el que precisa que su intervención se contempla para todos los procedimientos de recusación, con independencia de su intervención como parte y su posición procesal en ellos, en atención a su misión constitucional de defensa de la legalidad y de la independencia de los tribunales (art. 124 CE). A continuación, da por reproducido su escrito inicial de recusación y realiza aclaraciones a la vista de las manifestaciones realizadas por el letrado del Senado y el propio magistrado recusado.</w:t>
      </w:r>
    </w:p>
    <w:p w14:paraId="14DC5CC9" w14:textId="77777777" w:rsidR="00B35D37" w:rsidRDefault="00B35D37" w:rsidP="00B35D37">
      <w:pPr>
        <w:pStyle w:val="TextoNormal"/>
      </w:pPr>
    </w:p>
    <w:p w14:paraId="75C78323" w14:textId="77777777" w:rsidR="00B35D37" w:rsidRDefault="00B35D37" w:rsidP="00B35D37">
      <w:pPr>
        <w:pStyle w:val="TextoNormal"/>
      </w:pPr>
      <w:r>
        <w:t xml:space="preserve">Así, en cuanto a la alegada extemporaneidad de la recusación expone que, en cualquier caso, se da la circunstancia de que la cuestión de inconstitucionalidad objeto del procedimiento principal no fue admitida a trámite hasta el 11 de septiembre de 2024, momento en el que puede considerarse válidamente constituida la relación jurídico procesal de todas las partes en el proceso constitucional, salvo la recurrente. Es precisamente esta fecha la que marca el momento a partir del cual todas las partes distintas de la recurrente, incluido el Ministerio Fiscal, gozan de la posibilidad de promover cualquier actuación en el proceso constitucional, en concreto la recusación. Así lo ha declarado el propio Tribunal en sus recientes AATC 116/2024, de 5 de noviembre (dictado en el recurso de inconstitucionalidad 6436-2024), y 140/2024, de 19 de noviembre (dictado en la cuestión de inconstitucionalidad 6596-2024). Esta es, por lo tanto, la fecha que debe tomarse en consideración como </w:t>
      </w:r>
      <w:r w:rsidRPr="00B35D37">
        <w:rPr>
          <w:i/>
        </w:rPr>
        <w:t>dies a quo</w:t>
      </w:r>
      <w:r>
        <w:t xml:space="preserve"> para la recusación, lo que sitúa el escrito presentado el 19 de septiembre de 2024 dentro del plazo legalmente establecido para formularla.</w:t>
      </w:r>
    </w:p>
    <w:p w14:paraId="27C0715D" w14:textId="77777777" w:rsidR="00B35D37" w:rsidRDefault="00B35D37" w:rsidP="00B35D37">
      <w:pPr>
        <w:pStyle w:val="TextoNormal"/>
      </w:pPr>
    </w:p>
    <w:p w14:paraId="65B528F4" w14:textId="5ACDC49B" w:rsidR="00B35D37" w:rsidRDefault="00B35D37" w:rsidP="00B35D37">
      <w:pPr>
        <w:pStyle w:val="TextoNormal"/>
      </w:pPr>
      <w:r>
        <w:t>En cuanto a las causas de recusación invocadas, partiendo de toda la doctrina del Tribunal Constitucional y del Tribunal Europeo de Derechos Humanos que se recoge en las alegaciones del magistrado recusado, el fiscal general considera que, sin entrar en modo alguno a valorar el criterio jurídico o la afinidad política del magistrado, la coincidencia de las circunstancias fácticas del caso analizado con los supuestos de hecho contemplados por los apartados 13 y 16 del art. 219 LOPJ es tal que no es posible abstraerse de la concurrencia de dichas causas de recusación, por restrictiva que sea la interpretación que se haga de las mismas. En otras palabras, la no apreciación de tales causas de recusación en el supuesto analizado supondría ir en contra de la literalidad y razón de ser del art. 219 LOPJ.</w:t>
      </w:r>
    </w:p>
    <w:p w14:paraId="449DAD9D" w14:textId="77777777" w:rsidR="00B35D37" w:rsidRDefault="00B35D37" w:rsidP="00B35D37">
      <w:pPr>
        <w:pStyle w:val="TextoNormal"/>
      </w:pPr>
    </w:p>
    <w:p w14:paraId="2001EC0E" w14:textId="77777777" w:rsidR="00B35D37" w:rsidRDefault="00B35D37" w:rsidP="00B35D37">
      <w:pPr>
        <w:pStyle w:val="TextoNormalNegritaCentrado"/>
        <w:keepNext/>
      </w:pPr>
      <w:r>
        <w:t>II. Fundamentos jurídicos</w:t>
      </w:r>
    </w:p>
    <w:p w14:paraId="36793716" w14:textId="63431823" w:rsidR="00B35D37" w:rsidRDefault="00B35D37" w:rsidP="00B35D37">
      <w:pPr>
        <w:pStyle w:val="TextoNormalNegritaCentrado"/>
        <w:keepNext/>
      </w:pPr>
    </w:p>
    <w:p w14:paraId="5065CF22" w14:textId="77777777" w:rsidR="00B35D37" w:rsidRDefault="00B35D37" w:rsidP="00B35D37">
      <w:pPr>
        <w:pStyle w:val="TextoNormal"/>
      </w:pPr>
      <w:r w:rsidRPr="00B35D37">
        <w:rPr>
          <w:rStyle w:val="NumeroAFNegritaCaracter"/>
        </w:rPr>
        <w:t>1</w:t>
      </w:r>
      <w:r>
        <w:t xml:space="preserve">. Con carácter previo al examen de las causas de recusación articuladas por el Ministerio Fiscal, procede analizar el óbice procesal de extemporaneidad en la presentación del escrito de recusación —opuesto por el letrado del Senado y el propio magistrado recusado— que tiene naturaleza de orden público procesal. Argumentan, en síntesis, que nos encontramos ante una cuestión de inconstitucionalidad cuyo conocimiento se reservó el Pleno del Tribunal Constitucional mediante providencia de 11 de septiembre de 2024, por la que se admitió a trámite la referida cuestión, pero que el Ministerio Fiscal era parte en el procedimiento judicial desde su origen y conocía de primera mano el planteamiento de esta cuestión de inconstitucionalidad. Es por ello, según el magistrado recusado, que no resulta de aplicación la reciente doctrina de este tribunal según la cual el plazo para formular una recusación —por parte de quien no es demandante— habrá de entenderse iniciado en el momento en que se comunica la admisión a trámite del respectivo procedimiento. Por el contrario, sostiene que resulta de aplicación la doctrina constitucional que fija el día de la toma de posesión como el </w:t>
      </w:r>
      <w:r w:rsidRPr="00B35D37">
        <w:rPr>
          <w:i/>
        </w:rPr>
        <w:t>dies a quo</w:t>
      </w:r>
      <w:r>
        <w:t xml:space="preserve"> a partir del cual comienza a contarse el plazo de diez días señalado por el art. 223.1 LOPJ —</w:t>
      </w:r>
      <w:r w:rsidRPr="00B35D37">
        <w:rPr>
          <w:i/>
        </w:rPr>
        <w:t>ex</w:t>
      </w:r>
      <w:r>
        <w:t xml:space="preserve"> art. 80 LOTC—, que en este caso se correspondería con el día 31 de julio de 2024 (fecha de la toma de posesión del magistrado recusado con efectos administrativos) en lugar del día 6 de septiembre de 2024 (fecha del acto público de la toma de posesión), que es la que el Ministerio Fiscal fija como día inicial del plazo para recusar.</w:t>
      </w:r>
    </w:p>
    <w:p w14:paraId="585B3709" w14:textId="77777777" w:rsidR="00B35D37" w:rsidRDefault="00B35D37" w:rsidP="00B35D37">
      <w:pPr>
        <w:pStyle w:val="TextoNormal"/>
      </w:pPr>
    </w:p>
    <w:p w14:paraId="43B7FBBC" w14:textId="77777777" w:rsidR="00B35D37" w:rsidRDefault="00B35D37" w:rsidP="00B35D37">
      <w:pPr>
        <w:pStyle w:val="TextoNormal"/>
      </w:pPr>
      <w:r>
        <w:t xml:space="preserve">De acuerdo con el art. 223.1 LOPJ, aplicable </w:t>
      </w:r>
      <w:r w:rsidRPr="00B35D37">
        <w:rPr>
          <w:i/>
        </w:rPr>
        <w:t>ex</w:t>
      </w:r>
      <w:r>
        <w:t xml:space="preserve"> art. 80 LOTC a la recusación de los magistrados y magistradas del Tribunal Constitucional, la recusación deberá proponerse “tan pronto como se tenga conocimiento de la causa en que se funde, pues, en otro caso, no se admitirá a trámite”. Añade el precepto que se inadmitirán las recusaciones “[c]uando no se propongan en el plazo de diez días desde la notificación de la primera resolución por la que se conozca la identidad del juez o magistrado a recusar, si el conocimiento de la concurrencia de la causa de recusación fuese anterior a aquel”.</w:t>
      </w:r>
    </w:p>
    <w:p w14:paraId="521C6E5B" w14:textId="77777777" w:rsidR="00B35D37" w:rsidRDefault="00B35D37" w:rsidP="00B35D37">
      <w:pPr>
        <w:pStyle w:val="TextoNormal"/>
      </w:pPr>
    </w:p>
    <w:p w14:paraId="51780780" w14:textId="77777777" w:rsidR="00B35D37" w:rsidRDefault="00B35D37" w:rsidP="00B35D37">
      <w:pPr>
        <w:pStyle w:val="TextoNormal"/>
      </w:pPr>
      <w:r>
        <w:t xml:space="preserve">Tal como exponen el letrado del Senado y el magistrado señor Macías Castaño en sus escritos de alegaciones, este tribunal ha considerado en diversas ocasiones que la publicación en el “Boletín Oficial del Estado” del nombramiento de un magistrado o magistrada que se incorpora </w:t>
      </w:r>
      <w:r w:rsidRPr="00B35D37">
        <w:rPr>
          <w:i/>
        </w:rPr>
        <w:t>ex novo</w:t>
      </w:r>
      <w:r>
        <w:t xml:space="preserve"> al Tribunal, seguida de la toma de posesión, marca la fecha inicial para el cómputo del plazo legalmente establecido para poder recusarle. Valgan como ejemplos los AATC 17/2022, de 25 de enero, FJ 3 b), y 69/2023, de 21 de febrero, FJ 4. Ahora bien, este mismo tribunal ha limitado la aplicación de esta regla a aquellos supuestos en los que: (i) la recusación se plantea en un asunto atribuido al conocimiento del Pleno (ATC 235/2023, de 9 de mayo); (ii) la causa en que se funda la recusación era anterior a la toma de posesión y de público conocimiento, de suerte que el recusante había de conocerla en el momento en que tuvo lugar dicha toma de posesión; y (iii) la parte que formula la recusación es la misma que actúa como demandante o recurrente en el proceso principal.</w:t>
      </w:r>
    </w:p>
    <w:p w14:paraId="06F02447" w14:textId="77777777" w:rsidR="00B35D37" w:rsidRDefault="00B35D37" w:rsidP="00B35D37">
      <w:pPr>
        <w:pStyle w:val="TextoNormal"/>
      </w:pPr>
    </w:p>
    <w:p w14:paraId="45BD5694" w14:textId="77777777" w:rsidR="00B35D37" w:rsidRDefault="00B35D37" w:rsidP="00B35D37">
      <w:pPr>
        <w:pStyle w:val="TextoNormal"/>
      </w:pPr>
      <w:r>
        <w:t>En el caso de que quien formule la recusación sea, o pueda llegar a constituirse, como parte procesal distinta de la parte recurrente, el Tribunal ha venido exigiendo que haya quedado constituida la relación jurídico-procesal que autoriza a quien pretende recusar a actuar en el seno del proceso constitucional. A tales efectos, ha considerado que la admisión a trámite de la demanda es el acontecimiento procesal que permite considerar válidamente constituida la relación jurídico-procesal; y su notificación cumple la función de llamar al proceso a quienes puedan ser parte, que podrán personarse, intervenir en el mismo y, en consecuencia, actuar para garantizar la imparcialidad del Tribunal.</w:t>
      </w:r>
    </w:p>
    <w:p w14:paraId="5EDD13AB" w14:textId="77777777" w:rsidR="00B35D37" w:rsidRDefault="00B35D37" w:rsidP="00B35D37">
      <w:pPr>
        <w:pStyle w:val="TextoNormal"/>
      </w:pPr>
    </w:p>
    <w:p w14:paraId="2D08457B" w14:textId="77777777" w:rsidR="00B35D37" w:rsidRDefault="00B35D37" w:rsidP="00B35D37">
      <w:pPr>
        <w:pStyle w:val="TextoNormal"/>
      </w:pPr>
      <w:r>
        <w:t>Esta doctrina ha sido recientemente aplicada por el Tribunal para resolver las recusaciones promovidas por el abogado del Estado, en relación con este mismo magistrado, en diversos recursos de inconstitucionalidad interpuestos por las comunidades autónomas contra la Ley Orgánica 1/2024, de 10 de junio, de amnistía para la normalización institucional, política y social en Cataluña, (AATC 139/2024, 142/2024, 143/2024, 144/2024 o 145/2024, todos de 19 de noviembre, entre otros). Valga como ejemplo el ATC 116/2024, de 5 de noviembre, FJ 2, en el que se inadmitió la recusación formulada por el abogado del Estado, en nombre y representación del Gobierno, argumentando que “[a] diferencia del estatus procesal de la parte recurrente, en los concretos procesos constitucionales en los que el abogado del Estado no asume la representación y defensa de la parte actora, pero el Gobierno de la Nación tiene atribuida legitimación en sentido abstracto en la ley, el ejercicio de derechos y asunción de cargas procesales se producirá a partir del momento en que se constituya en parte procesal, una vez aprobada por el Pleno la resolución de admisión a trámite de la demanda, en caso de juicio favorable al cumplimiento de los requisitos de interposición, (art. 34.1 LOTC, en relación con el art. 86.1 LOTC) y cumplidos los trámites subsiguientes” de emplazamiento, personación en tiempo y forma y admisión de la personación.</w:t>
      </w:r>
    </w:p>
    <w:p w14:paraId="0A5B49D7" w14:textId="77777777" w:rsidR="00B35D37" w:rsidRDefault="00B35D37" w:rsidP="00B35D37">
      <w:pPr>
        <w:pStyle w:val="TextoNormal"/>
      </w:pPr>
    </w:p>
    <w:p w14:paraId="0DC9F88B" w14:textId="77777777" w:rsidR="00B35D37" w:rsidRDefault="00B35D37" w:rsidP="00B35D37">
      <w:pPr>
        <w:pStyle w:val="TextoNormal"/>
      </w:pPr>
      <w:r>
        <w:t>Igual criterio ha sido aplicado en las cuestiones de inconstitucionalidad planteadas por los órganos judiciales en relación con la citada Ley Orgánica, tal y como se puede comprobar en los AATC 140/2024, 141/2024 y 146/2024, todos de 19 de noviembre. En ellos se inadmiten a trámite las recusaciones planteadas por el abogado del Estado, respecto de este mismo magistrado, en las cuestiones de inconstitucionalidad números 6596-2024, 6597-2024 y 6699-2024, respectivamente, planteadas por la Sala de lo Civil y Penal del Tribunal Superior de Justicia de Cataluña.</w:t>
      </w:r>
    </w:p>
    <w:p w14:paraId="66724F03" w14:textId="77777777" w:rsidR="00B35D37" w:rsidRDefault="00B35D37" w:rsidP="00B35D37">
      <w:pPr>
        <w:pStyle w:val="TextoNormal"/>
      </w:pPr>
    </w:p>
    <w:p w14:paraId="7F448FFB" w14:textId="77777777" w:rsidR="00B35D37" w:rsidRDefault="00B35D37" w:rsidP="00B35D37">
      <w:pPr>
        <w:pStyle w:val="TextoNormal"/>
      </w:pPr>
      <w:r>
        <w:t xml:space="preserve">No quedan desvirtuadas las anteriores consideraciones por las alegaciones, expuestas en el escrito presentado por el magistrado señor Macías Castaño, relativas a que el Ministerio Fiscal, en las cuestiones de inconstitucionalidad y a diferencia de lo que sucede en otros procesos constitucionales, es parte procesal desde una fase anterior incluso a su incoación, a la fase de planteamiento de la cuestión de inconstitucionalidad por el Tribunal Supremo. Si bien es cierto que el Ministerio Fiscal ha de ser oído en esa fase previa al planteamiento formal de la cuestión de inconstitucionalidad, también lo es que bajo ningún concepto le está permitido promover, en tal momento procesal, la recusación de ninguno de los integrantes del Tribunal Constitucional. Del mismo modo, aunque el art. 37.1 LOTC contemple una posibilidad de intervención del fiscal general del Estado en la fase de admisión de las cuestiones de inconstitucionalidad, en forma de audiencia previa, dicha intervención queda estrictamente limitada al supuesto regulado en el precepto: esto es, cuando el Tribunal considere que faltan las condiciones procesales o fuere notoriamente infundada la cuestión suscitada, supuesto que no concurre en el caso de autos. En los casos en que la admisibilidad de la cuestión de inconstitucionalidad no suscita dudas al propio Tribunal, como el de autos, la intervención del fiscal general del Estado como parte </w:t>
      </w:r>
      <w:r w:rsidRPr="00B35D37">
        <w:rPr>
          <w:i/>
        </w:rPr>
        <w:t>ex lege</w:t>
      </w:r>
      <w:r>
        <w:t xml:space="preserve"> en el proceso constitucional se produce precisamente a partir del momento en que la cuestión es admitida a trámite y dicha admisión le es debidamente notificada.</w:t>
      </w:r>
    </w:p>
    <w:p w14:paraId="3AC0FCE3" w14:textId="77777777" w:rsidR="00B35D37" w:rsidRDefault="00B35D37" w:rsidP="00B35D37">
      <w:pPr>
        <w:pStyle w:val="TextoNormal"/>
      </w:pPr>
    </w:p>
    <w:p w14:paraId="260D750D" w14:textId="41FCCEA4" w:rsidR="00B35D37" w:rsidRDefault="00B35D37" w:rsidP="00B35D37">
      <w:pPr>
        <w:pStyle w:val="TextoNormal"/>
      </w:pPr>
      <w:r>
        <w:t>Proyectando la doctrina constitucional que se acaba de exponer sobre el presente caso, y habida cuenta que quien recusa, el fiscal general del Estado, no es parte recurrente en el proceso principal, el inicio del cómputo del plazo legal para presentar escrito de recusación se corresponde con la fecha de notificación al Ministerio Fiscal de la providencia que admitió a trámite la cuestión de inconstitucionalidad; en este caso, el día 13 de septiembre de 2024, según consta en diligencia de notificación de la resolución del Pleno de fecha 11 del mismo mes y año, extendida por el secretario de justicia del Pleno. Por tanto, el escrito de recusación, presentado por el fiscal general del Estado el día 19 de septiembre de 2024, se encuentra dentro de plazo, lo que conduce a la desestimación del óbice de extemporaneidad invocado por el letrado del Senado y el magistrado señor Macías Castaño.</w:t>
      </w:r>
    </w:p>
    <w:p w14:paraId="2D099F70" w14:textId="77777777" w:rsidR="00B35D37" w:rsidRDefault="00B35D37" w:rsidP="00B35D37">
      <w:pPr>
        <w:pStyle w:val="TextoNormal"/>
      </w:pPr>
    </w:p>
    <w:p w14:paraId="5FECB575" w14:textId="77777777" w:rsidR="00B35D37" w:rsidRDefault="00B35D37" w:rsidP="00B35D37">
      <w:pPr>
        <w:pStyle w:val="TextoNormal"/>
      </w:pPr>
      <w:r w:rsidRPr="00B35D37">
        <w:rPr>
          <w:rStyle w:val="NumeroAFNegritaCaracter"/>
        </w:rPr>
        <w:t>2</w:t>
      </w:r>
      <w:r>
        <w:t>. En cuanto al fondo de la recusación, el fiscal general del Estado invoca, para sustentarla, las causas contempladas en los apartados 13 y 16 del art. 219 LOPJ: (i) haber ocupado cargo público, desempeñado empleo o ejercido profesión con ocasión de los cuales haya participado directa o indirectamente en el asunto objeto del pleito o causa o en otro relacionado con el mismo (apartado 13); y (ii) haber ocupado cargo público o administrativo con ocasión del cual haya podido tener conocimiento del objeto del litigio y formar criterio en detrimento de la debida imparcialidad (apartado 16).</w:t>
      </w:r>
    </w:p>
    <w:p w14:paraId="16D145A2" w14:textId="77777777" w:rsidR="00B35D37" w:rsidRDefault="00B35D37" w:rsidP="00B35D37">
      <w:pPr>
        <w:pStyle w:val="TextoNormal"/>
      </w:pPr>
    </w:p>
    <w:p w14:paraId="72970113" w14:textId="4EA9D786" w:rsidR="00B35D37" w:rsidRDefault="00B35D37" w:rsidP="00B35D37">
      <w:pPr>
        <w:pStyle w:val="TextoNormal"/>
      </w:pPr>
      <w:r>
        <w:t>Los hechos que, de acuerdo con el fiscal general del Estado, hacen surgir las causas de recusación invocadas consisten en que el magistrado señor Macías, en su anterior condición de vocal del Consejo General del Poder Judicial tuvo participación directa o indirecta en las siguientes actuaciones oficiales de dicho órgano constitucional: (i) el acuerdo de Pleno de 6 de noviembre de 2023, por el que se aprobó la declaración institucional del Consejo General del Poder Judicial ante el anuncio del presidente del Gobierno de que se había alcanzado un pacto político para la presentación de una proposición de ley orgánica de amnistía; y (ii) el acuerdo de Pleno de 21 de marzo de 2024, por el que se aprobó el Informe del Consejo sobre la proposición de ley orgánica de amnistía para la normalización institucional, política y social en Cataluña, emitido a petición de la mesa del Senado. Actuaciones oficiales que se incorporaron al proceso legislativo de la citada Ley Orgánica y que, por su contenido, comportan una extensa, razonada, detallada y categórica valoración de la ley de amnistía —cuya constitucionalidad ahora se somete al control del Tribunal— exteriorizando entonces numerosos juicios acerca del encaje conceptual de una amnistía en nuestro modelo constitucional; y en concreto, de una amnistía como la que regulaba la proposición de ley que se convirtió en la que es objeto del presente proceso constitucional.</w:t>
      </w:r>
    </w:p>
    <w:p w14:paraId="69A2836F" w14:textId="77777777" w:rsidR="00B35D37" w:rsidRDefault="00B35D37" w:rsidP="00B35D37">
      <w:pPr>
        <w:pStyle w:val="TextoNormal"/>
      </w:pPr>
    </w:p>
    <w:p w14:paraId="52799403" w14:textId="77777777" w:rsidR="00B35D37" w:rsidRDefault="00B35D37" w:rsidP="00B35D37">
      <w:pPr>
        <w:pStyle w:val="TextoNormal"/>
      </w:pPr>
      <w:r w:rsidRPr="00B35D37">
        <w:rPr>
          <w:rStyle w:val="NumeroAFNegritaCaracter"/>
        </w:rPr>
        <w:t>3</w:t>
      </w:r>
      <w:r>
        <w:t>. Este tribunal ha ido elaborando a lo largo de su historia un cuerpo doctrinal en torno a la recusación de sus magistrados y magistradas que puede sintetizarse en los siguientes puntos:</w:t>
      </w:r>
    </w:p>
    <w:p w14:paraId="586C5794" w14:textId="77777777" w:rsidR="00B35D37" w:rsidRDefault="00B35D37" w:rsidP="00B35D37">
      <w:pPr>
        <w:pStyle w:val="TextoNormal"/>
      </w:pPr>
    </w:p>
    <w:p w14:paraId="2C8D1C48" w14:textId="77777777" w:rsidR="00B35D37" w:rsidRDefault="00B35D37" w:rsidP="00B35D37">
      <w:pPr>
        <w:pStyle w:val="TextoNormal"/>
      </w:pPr>
      <w:r>
        <w:t xml:space="preserve">a) En virtud del carácter jurisdiccional que siempre reviste la actuación del Tribunal Constitucional, y del mandato de que sus miembros ejerzan su función de acuerdo con el principio de imparcialidad (art. 22 LOTC), hemos declarado que el régimen de recusaciones y abstenciones de los jueces y magistrados del Poder Judicial es aplicable, </w:t>
      </w:r>
      <w:r w:rsidRPr="00B35D37">
        <w:rPr>
          <w:i/>
        </w:rPr>
        <w:t>ex</w:t>
      </w:r>
      <w:r>
        <w:t xml:space="preserve"> art. 80 LOTC, a los magistrados del Tribunal Constitucional.</w:t>
      </w:r>
    </w:p>
    <w:p w14:paraId="7D9847AA" w14:textId="77777777" w:rsidR="00B35D37" w:rsidRDefault="00B35D37" w:rsidP="00B35D37">
      <w:pPr>
        <w:pStyle w:val="TextoNormal"/>
      </w:pPr>
    </w:p>
    <w:p w14:paraId="6D10F6F3" w14:textId="77777777" w:rsidR="00B35D37" w:rsidRDefault="00B35D37" w:rsidP="00B35D37">
      <w:pPr>
        <w:pStyle w:val="TextoNormal"/>
      </w:pPr>
      <w:r>
        <w:t>b) Para que, en garantía de la imparcialidad, un magistrado o magistrada pueda ser apartado del conocimiento de un asunto concreto es preciso que existan dudas objetivamente justificadas, es decir, exteriorizadas y apoyadas en datos objetivos que hagan posible afirmar fundadamente que el magistrado o magistrada no es ajeno a la causa; o bien que permitan temer que, por cualquier relación con el caso concreto, no va a utilizar como criterio de juicio el previsto en la ley, sino otras consideraciones ajenas al ordenamiento jurídico.</w:t>
      </w:r>
    </w:p>
    <w:p w14:paraId="009BEC71" w14:textId="77777777" w:rsidR="00B35D37" w:rsidRDefault="00B35D37" w:rsidP="00B35D37">
      <w:pPr>
        <w:pStyle w:val="TextoNormal"/>
      </w:pPr>
    </w:p>
    <w:p w14:paraId="63B3AE60" w14:textId="77777777" w:rsidR="00B35D37" w:rsidRDefault="00B35D37" w:rsidP="00B35D37">
      <w:pPr>
        <w:pStyle w:val="TextoNormal"/>
      </w:pPr>
      <w:r>
        <w:t>c) Las particulares concepciones del Derecho y visiones del mundo de cada magistrado o magistrada se reflejan en la necesaria pluralidad de perspectivas jurídicas que confluyen en las deliberaciones y decisiones del Tribunal, y esa heterogeneidad de posiciones guarda una estrecha correspondencia con el pluralismo político como valor superior del ordenamiento jurídico (art. 1.1 CE). La pluralidad de la magistratura constitucional se convierte, así, en una seña de su propia identidad, por lo que no puede suponer, sin más, la incompatibilidad para el ejercicio de sus funciones mediante una genérica causa de recusación que ponga en tela de juicio su imparcialidad. Las diversas circunstancias que definen la personalidad de cada uno de los magistrados y magistradas y conforman su trayectoria personal no pueden considerarse, sin más, condicionamientos negativos que afecten a su imparcialidad (AATC 180/2013, de 17 de septiembre, FJ 3, y 107/2021, de 15 de diciembre, FJ 2).</w:t>
      </w:r>
    </w:p>
    <w:p w14:paraId="45D6EA98" w14:textId="77777777" w:rsidR="00B35D37" w:rsidRDefault="00B35D37" w:rsidP="00B35D37">
      <w:pPr>
        <w:pStyle w:val="TextoNormal"/>
      </w:pPr>
    </w:p>
    <w:p w14:paraId="018615A3" w14:textId="54F8F976" w:rsidR="00B35D37" w:rsidRDefault="00B35D37" w:rsidP="00B35D37">
      <w:pPr>
        <w:pStyle w:val="TextoNormal"/>
      </w:pPr>
      <w:r>
        <w:t>d) En relación con las causas previstas en los ordinales 13 y 16 del art. 219 LOPJ hemos declarado que, salvo que se desvirtúe el contenido de la garantía de imparcialidad, no puede pretenderse la recusación de un juez por el mero hecho de tener criterio jurídico anticipado sobre los asuntos que debe resolver. No solo el Tribunal Constitucional, sino también el resto de los órganos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experiencia profesional en cuyo marco es habitual, casi inevitable, que haya expresado opiniones jurídicas propias sobre las previsiones constitucionales, singularmente sobre los derechos fundamentales, su contenido y sus límites, cuestiones todas ellas que tienen siempre diversas y legítimas lecturas.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 (AATC 18/2006, de 24 de enero, FJ 3, y 107/2021, de 15 de diciembre, FJ 4).</w:t>
      </w:r>
    </w:p>
    <w:p w14:paraId="4A9AA79E" w14:textId="77777777" w:rsidR="00B35D37" w:rsidRDefault="00B35D37" w:rsidP="00B35D37">
      <w:pPr>
        <w:pStyle w:val="TextoNormal"/>
      </w:pPr>
    </w:p>
    <w:p w14:paraId="25E94F2B" w14:textId="77777777" w:rsidR="00B35D37" w:rsidRDefault="00B35D37" w:rsidP="00B35D37">
      <w:pPr>
        <w:pStyle w:val="TextoNormal"/>
      </w:pPr>
      <w:r w:rsidRPr="00B35D37">
        <w:rPr>
          <w:rStyle w:val="NumeroAFNegritaCaracter"/>
        </w:rPr>
        <w:t>4</w:t>
      </w:r>
      <w:r>
        <w:t>. Partiendo de esa doctrina general, este tribunal ha tenido ocasión de examinar el modo en que la imparcialidad de sus miembros puede verse afectada o comprometida por hechos análogos a los que constituyen fundamento de la recusación que hoy examinamos.</w:t>
      </w:r>
    </w:p>
    <w:p w14:paraId="40EA7BE1" w14:textId="77777777" w:rsidR="00B35D37" w:rsidRDefault="00B35D37" w:rsidP="00B35D37">
      <w:pPr>
        <w:pStyle w:val="TextoNormal"/>
      </w:pPr>
    </w:p>
    <w:p w14:paraId="4AC12CEC" w14:textId="77777777" w:rsidR="00B35D37" w:rsidRDefault="00B35D37" w:rsidP="00B35D37">
      <w:pPr>
        <w:pStyle w:val="TextoNormal"/>
      </w:pPr>
      <w:r>
        <w:t>Así, en la STC 5/2004, de 16 de enero, examinamos un supuesto en que se cuestionaba la imparcialidad de quien, habiendo participado en la elaboración y aprobación de un informe de legalidad sobre el anteproyecto de ley orgánica de partidos políticos como presidente del Consejo General del Poder Judicial, formó parte, como presidente del Tribunal Supremo, de la Sala Especial del art. 61 LOPJ que, en aplicación de la citada Ley Orgánica, conoció del proceso de ilegalización de determinados partidos políticos. En esa sentencia consideramos que la actuación previa realizada como presidente del Consejo no era suficiente para fundar una sospecha legítima de pérdida de la imparcialidad objetiva, atendiendo a la sustancial diferencia entre el objeto del informe emitido como miembro del Consejo General del Poder Judicial —“un texto que no había sido todavía aprobado como proyecto de ley por el Consejo de Ministros (art. 5 de la Ley 50/1997, de 27 de noviembre, del Gobierno), ni había sido sometido aún a tramitación parlamentaria” y que, además, se circunscribía a la valoración abstracta y genérica desde una perspectiva constitucional del contenido del anteproyecto— y el objeto del proceso en que fue cuestionada la imparcialidad del magistrado —que “no lo constituyó la constitucionalidad de la Ley Orgánica 6/2002, de 27 de marzo, de partidos políticos […] o de algunos de sus preceptos, sino la determinación de si los partidos políticos demandados, a la vista de las alegaciones de las partes comparecientes y de la actividad probatoria por estas desarrollada en los procesos, se podían encontrar incursos o no en algunos de los supuestos previstos en la Ley Orgánica de partidos políticos, que pudieran determinar o no, en aplicación de la misma, su declaración de ilegalidad y consiguiente disolución”— (FJ 4).</w:t>
      </w:r>
    </w:p>
    <w:p w14:paraId="48F8090E" w14:textId="77777777" w:rsidR="00B35D37" w:rsidRDefault="00B35D37" w:rsidP="00B35D37">
      <w:pPr>
        <w:pStyle w:val="TextoNormal"/>
      </w:pPr>
    </w:p>
    <w:p w14:paraId="761FE7C7" w14:textId="77777777" w:rsidR="00B35D37" w:rsidRDefault="00B35D37" w:rsidP="00B35D37">
      <w:pPr>
        <w:pStyle w:val="TextoNormal"/>
      </w:pPr>
      <w:r>
        <w:t>También se examinó en esa sentencia (FJ 5) la incidencia que sobre la imparcialidad del magistrado podía haber tenido su posicionamiento público en favor de la constitucionalidad del anteproyecto de ley orgánica de partidos políticos. Afirmamos entonces que para apreciar una pérdida de la imparcialidad objetiva habría que atender en cada caso a las circunstancias concurrentes, entendiendo que a tales efectos resultaban relevantes, entre otras, las siguientes: (i) si la opinión había sido manifestada en la condición o no de juez; (ii) el momento en que se hubiera vertido la opinión, esto es, si la misma se había emitido una vez que el proceso se hubiera iniciado o resultare posible su inicio o en momentos anteriores al mismo; (iii) el medio en que se hubiera vertido la opinión; (iv) la lejanía entre el objeto de la opinión y el objeto del proceso; (v) así como, en fin, la amplitud, el tenor, la contundencia y radicalidad de la misma. “De este conjunto de circunstancias, y de otras que puedan concurrir en el supuesto concreto enjuiciado, habrá que deducir si la opinión manifestada constituye una auténtica toma de partido sobre el objeto del proceso que justifique la sospecha de un interés directo o indirecto en el mismo, o si, por el contrario, simplemente se trata de la manifestación de una primera impresión, insuficiente para ser considerada como un juicio anticipado sobre la pretensión del recurrente y, por lo tanto, para fundamentar la duda sobre la imparcialidad del magistrado” (ATC 226/2002, de 20 de noviembre, FJ 4; doctrina que reitera el ATC 61/2003, de 19 de febrero, FJ 3).</w:t>
      </w:r>
    </w:p>
    <w:p w14:paraId="783B3C6F" w14:textId="77777777" w:rsidR="00B35D37" w:rsidRDefault="00B35D37" w:rsidP="00B35D37">
      <w:pPr>
        <w:pStyle w:val="TextoNormal"/>
      </w:pPr>
    </w:p>
    <w:p w14:paraId="17580171" w14:textId="77777777" w:rsidR="00B35D37" w:rsidRDefault="00B35D37" w:rsidP="00B35D37">
      <w:pPr>
        <w:pStyle w:val="TextoNormal"/>
      </w:pPr>
      <w:r>
        <w:t>En el ATC 226/2002 se desestimó la recusación del presidente del Tribunal Constitucional en atención a que no existía coincidencia entre el objeto del recurso (Ley Orgánica 6/2002, de 27 de junio, de partidos políticos) y el contenido de las declaraciones cuestionadas, relativas al anteproyecto de ley. Explica la resolución que: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 (FJ 6).</w:t>
      </w:r>
    </w:p>
    <w:p w14:paraId="67E622C8" w14:textId="77777777" w:rsidR="00B35D37" w:rsidRDefault="00B35D37" w:rsidP="00B35D37">
      <w:pPr>
        <w:pStyle w:val="TextoNormal"/>
      </w:pPr>
    </w:p>
    <w:p w14:paraId="471F36CE" w14:textId="77777777" w:rsidR="00B35D37" w:rsidRDefault="00B35D37" w:rsidP="00B35D37">
      <w:pPr>
        <w:pStyle w:val="TextoNormal"/>
      </w:pPr>
      <w:r>
        <w:t>En el más reciente ATC 28/2023, de 7 de febrero, invocado por el magistrado señor Macías Castaño como fundamento principal de su escrito de alegaciones, examinamos la eventual pérdida de imparcialidad de una de las magistradas de este mismo tribunal, que pudiera derivar de su participación, como vocal del Consejo General del Poder Judicial, en la elaboración de un informe de legalidad sobre el anteproyecto de la Ley Orgánica 2/2010, de 3 de marzo, de salud sexual y reproductiva y de la interrupción voluntaria del embarazo; informe de legalidad que nunca llegó a aprobarse por el Pleno de dicho órgano. El Tribunal, aplicando los mismos criterios que ya había apuntado en la STC 5/2004, concluyó que no existía pérdida de imparcialidad en el caso examinado habida cuenta de que: (i) la solicitud de abstención se planteaba en un proceso objetivo y abstracto de control de constitucionalidad de una ley, no en un proceso entre partes en el que se ventilasen intereses particulares con los que cupiera alinearse; (ii) no existía coincidencia de objeto entre el recurso de inconstitucionalidad en que se suscitaba la eventual pérdida de imparcialidad, y el fallido informe de legalidad en que esta se sustentaba, que no versó sobre la ley aprobada, objeto del recurso de inconstitucionalidad, ni mucho menos sobre el contenido de una pretensión impugnatoria que ni existía en aquel momento; (iii) desde que tuviera lugar el proceso de elaboración del fallido informe de legalidad hasta que se invocó la causa de abstención había transcurrido un lapso temporal tan extraordinariamente dilatado que no era posible vincular dicha causa, de forma exclusiva, con un criterio jurídico emitido más de doce años antes de acceder al cargo de magistrada; (iv) los trabajos preparatorios del informe no dieron lugar a la aprobación del dictamen solicitado por el Gobierno de la Nación al Consejo General del Poder Judicial, con lo que la función consultiva no llegó a ser ejercitada y el informe no llegó a remitirse al Gobierno, promotor del anteproyecto de ley orgánica.</w:t>
      </w:r>
    </w:p>
    <w:p w14:paraId="23AF5CE9" w14:textId="77777777" w:rsidR="00B35D37" w:rsidRDefault="00B35D37" w:rsidP="00B35D37">
      <w:pPr>
        <w:pStyle w:val="TextoNormal"/>
      </w:pPr>
    </w:p>
    <w:p w14:paraId="521549ED" w14:textId="77777777" w:rsidR="00B35D37" w:rsidRDefault="00B35D37" w:rsidP="00B35D37">
      <w:pPr>
        <w:pStyle w:val="TextoNormal"/>
      </w:pPr>
      <w:r>
        <w:t>Fuera de estos casos en que, atendidas las concretas circunstancias concurrentes, fue rechazada la pérdida de imparcialidad del magistrado o magistrada por su participación en una labor consultiva de naturaleza institucional, encontramos que esa pérdida de imparcialidad derivada de hechos análogos ha sido admitida por el Tribunal en numerosas resoluciones. Así, en los AATC 280/2006, de 18 de julio, y 140/2012, de 4 de julio, estimamos justificada la abstención en el enjuiciamiento del conflicto positivo de competencia y el recurso de inconstitucionalidad, respectivamente, de los magistrados solicitantes (ambos ex presidentes del Consejo General del Poder Judicial y del Tribunal Supremo), quienes habían participado en la función consultiva a que se refería el art. 108 LOPJ (hoy art. 561 de la misma ley). El mismo criterio se ha aplicado a las solicitudes de abstención de magistrados y magistradas que habían participado en una labor consultiva de naturaleza equivalente a nivel autonómico en el ATC 46/2012, de 13 de marzo (Consejo Consultivo de Andalucía), y en los más recientes AATC 5/2023, de 24 de enero; 33/2023 y 34/2023, ambos de 7 de febrero, y 449/2023, de 10 de octubre (Consejo de Garantías Estatutarias de Cataluña). Y en este mismo proceso constitucional, mediante el ATC 82/2024, de 11 de septiembre, se ha estimado justificada la abstención de un magistrado por haber participado, en su condición anterior de ministro de Justicia, en la motivación de indultos parciales a favor de personas condenadas, quienes pudieran también verse afectadas por las previsiones de la Ley Orgánica 1/2024.</w:t>
      </w:r>
    </w:p>
    <w:p w14:paraId="4900F04F" w14:textId="77777777" w:rsidR="00B35D37" w:rsidRDefault="00B35D37" w:rsidP="00B35D37">
      <w:pPr>
        <w:pStyle w:val="TextoNormal"/>
      </w:pPr>
    </w:p>
    <w:p w14:paraId="3CCCA374" w14:textId="1B06670B" w:rsidR="00B35D37" w:rsidRDefault="00B35D37" w:rsidP="00B35D37">
      <w:pPr>
        <w:pStyle w:val="TextoNormal"/>
      </w:pPr>
      <w:r>
        <w:t>En este punto procede dar respuesta a la alegación del magistrado señor Macías Castaño acerca de la eventual incidencia negativa que la estimación de la recusación podría llegar a producir en la independencia judicial, predicable también del cargo de vocal del Consejo General del Poder Judicial. No entraremos a examinar en este momento —dado que no es objeto de este incidente— la cuestión relativa a la aplicación de todas las garantías propias de la independencia judicial a los miembros del órgano de gobierno de la judicatura. Baste con recordar en este punto que también los jueces y magistrados se encuentran vinculados por la causa de abstención y recusación prevista en el apartado 11 del art. 219 LOPJ —haber participado en la instrucción de la causa penal o haber resuelto el pleito o causa en anterior instancia— sin que por ello la independencia judicial experimente merma alguna o quepa poner en tela de juicio de forma genérica su imparcialidad para el ejercicio de su función. Evidentemente, quien exterioriza un criterio jurídico al resolver un proceso judicial no quiebra su deber de imparcialidad, alineándose personalmente con las posiciones de una de las partes en litigio. No es este el fundamento de la causa que demanda su abstención o autoriza su recusación en instancias posteriores. Es precisamente el hecho de haber efectuado, por razón del cargo que ocupa y en legítimo ejercicio del mismo, un análisis jurídico previo del caso, seguido del correspondiente fallo, lo que le vincula de manera indisoluble al objeto del caso en cuestión, inhabilitándole para evacuar un segundo y subsiguiente enjuiciamiento del mismo. En el supuesto que nos ocupa, si bien no existe enjuiciamiento previo en sentido jurisdiccional, lo cierto es que habrá que determinar si existe una clara toma de posición jurídica previa tras la toma en contacto con el objeto de litigio que, desde la perspectiva de la apariencia de imparcialidad, pudiera justificar la tacha de existencia de prejuicios sobre cada una de las dudas de constitucionalidad planteadas por el Tribunal Supremo a este tribunal.</w:t>
      </w:r>
    </w:p>
    <w:p w14:paraId="6054714F" w14:textId="77777777" w:rsidR="00B35D37" w:rsidRDefault="00B35D37" w:rsidP="00B35D37">
      <w:pPr>
        <w:pStyle w:val="TextoNormal"/>
      </w:pPr>
    </w:p>
    <w:p w14:paraId="0026A8CF" w14:textId="77777777" w:rsidR="00B35D37" w:rsidRDefault="00B35D37" w:rsidP="00B35D37">
      <w:pPr>
        <w:pStyle w:val="TextoNormal"/>
      </w:pPr>
      <w:r w:rsidRPr="00B35D37">
        <w:rPr>
          <w:rStyle w:val="NumeroAFNegritaCaracter"/>
        </w:rPr>
        <w:t>5</w:t>
      </w:r>
      <w:r>
        <w:t>. La aplicación al caso examinado de los criterios que derivan de la doctrina expuesta en los anteriores fundamentos jurídicos —especialmente de los precedentes más cercanos analizados— determinan la estimación de la recusación promovida por el fiscal general del Estado por las razones que se exponen a continuación.</w:t>
      </w:r>
    </w:p>
    <w:p w14:paraId="779DBFD0" w14:textId="77777777" w:rsidR="00B35D37" w:rsidRDefault="00B35D37" w:rsidP="00B35D37">
      <w:pPr>
        <w:pStyle w:val="TextoNormal"/>
      </w:pPr>
    </w:p>
    <w:p w14:paraId="336E288A" w14:textId="77777777" w:rsidR="00B35D37" w:rsidRDefault="00B35D37" w:rsidP="00B35D37">
      <w:pPr>
        <w:pStyle w:val="TextoNormal"/>
      </w:pPr>
      <w:r>
        <w:t>a) Es cierto que, tal como indica el magistrado señor Macías Castaño en su escrito, la recusación se plantea en el seno de una cuestión de inconstitucionalidad, encaminada al examen abstracto y estrictamente jurídico de la constitucionalidad de una norma, no en un proceso en que hayan de dirimirse conflictos entre partes que defienden intereses propios, con los que sea posible alinearse. Ahora bien, esta razón no puede bastar por sí sola para rechazar la recusación planteada dado que, de ser así, se excluiría la aplicación del régimen de abstención y recusación de los magistrados del Tribunal Constitucional en todos los procesos que tengan por objeto el análisis abstracto de constitucionalidad de normas de rango legal. Esta conclusión resulta contraria a la letra y el espíritu tanto de la LOPJ como de la LOTC y no puede ser, consecuentemente, asumida.</w:t>
      </w:r>
    </w:p>
    <w:p w14:paraId="7917272D" w14:textId="77777777" w:rsidR="00B35D37" w:rsidRDefault="00B35D37" w:rsidP="00B35D37">
      <w:pPr>
        <w:pStyle w:val="TextoNormal"/>
      </w:pPr>
    </w:p>
    <w:p w14:paraId="10BC9955" w14:textId="77777777" w:rsidR="00B35D37" w:rsidRDefault="00B35D37" w:rsidP="00B35D37">
      <w:pPr>
        <w:pStyle w:val="TextoNormal"/>
      </w:pPr>
      <w:r>
        <w:t>Tal como declaramos en el ATC 26/2007, de 5 de febrero, FJ 2, los procesos constitucionales —en especial los recursos y cuestiones de inconstitucionalidad, como procesos objetivos y abstractos de control de constitucionalidad de las leyes— pueden comportar modulaciones en la aplicación supletoria de la Ley Orgánica del Poder Judicial y la Ley de enjuiciamiento civil en materia de abstención y recusación, pero no permiten eludir la aplicación a cada caso de las causas concretas de recusación establecidas en la Ley Orgánica del Poder Judicial con carácter general. El mandato del art. 22 LOTC, que exige que los magistrados ejerzan su función de acuerdo con el principio de imparcialidad, no contiene salvedad respecto de los procesos objetivos de control de constitucionalidad ni de ninguno de los procesos de que conoce este tribunal (ATC 226/2002, de 20 de noviembre, FJ 3).</w:t>
      </w:r>
    </w:p>
    <w:p w14:paraId="42B65D95" w14:textId="77777777" w:rsidR="00B35D37" w:rsidRDefault="00B35D37" w:rsidP="00B35D37">
      <w:pPr>
        <w:pStyle w:val="TextoNormal"/>
      </w:pPr>
    </w:p>
    <w:p w14:paraId="5BB84B3C" w14:textId="77777777" w:rsidR="00B35D37" w:rsidRDefault="00B35D37" w:rsidP="00B35D37">
      <w:pPr>
        <w:pStyle w:val="TextoNormal"/>
      </w:pPr>
      <w:r>
        <w:t>b) Partiendo de esta característica común a todos los procesos de examen abstracto de constitucionalidad, lo relevante para la apreciación de las causas de recusación invocadas es que quede acreditada una conexión suficientemente intensa o relevante entre la labor realizada en ejercicio del cargo público desempeñado y el objeto concreto del proceso sometido a posterior consideración (AATC 80/2005, de 17 de febrero, y 18/2006, de 24 de enero).</w:t>
      </w:r>
    </w:p>
    <w:p w14:paraId="3CAAC7DD" w14:textId="77777777" w:rsidR="00B35D37" w:rsidRDefault="00B35D37" w:rsidP="00B35D37">
      <w:pPr>
        <w:pStyle w:val="TextoNormal"/>
      </w:pPr>
    </w:p>
    <w:p w14:paraId="6D164C35" w14:textId="77777777" w:rsidR="00B35D37" w:rsidRDefault="00B35D37" w:rsidP="00B35D37">
      <w:pPr>
        <w:pStyle w:val="TextoNormal"/>
      </w:pPr>
      <w:r>
        <w:t>Esta conexión concurre, sin lugar a dudas, en el caso sometido a nuestra consideración.</w:t>
      </w:r>
    </w:p>
    <w:p w14:paraId="5CE72137" w14:textId="77777777" w:rsidR="00B35D37" w:rsidRDefault="00B35D37" w:rsidP="00B35D37">
      <w:pPr>
        <w:pStyle w:val="TextoNormal"/>
      </w:pPr>
    </w:p>
    <w:p w14:paraId="2848AF77" w14:textId="77777777" w:rsidR="00B35D37" w:rsidRDefault="00B35D37" w:rsidP="00B35D37">
      <w:pPr>
        <w:pStyle w:val="TextoNormal"/>
      </w:pPr>
      <w:r>
        <w:t>En primer término, encontramos que el informe de legalidad aprobado el 21 de marzo de 2024 por el Pleno del Consejo General del Poder Judicial, con el voto favorable del entonces vocal, hoy magistrado de este tribunal, señor Macías Castaño, no tenía por objeto un anteproyecto de ley en proceso de elaboración (que hubiera de someterse todavía a los avatares de la tramitación y aprobación por el Gobierno, tramitación y aprobación por el Congreso, tramitación y aprobación por el Senado) sino una proposición de ley orgánica que había sido ya aprobada por el Congreso de los Diputados y cuyo texto no experimentó modificación alguna con posterioridad. En otras palabras, existe una absoluta coincidencia entre el texto de la proposición de ley orgánica que constituyó objeto del informe de legalidad aprobado por el Pleno del Consejo y el texto de la Ley Orgánica 1/2024, de 10 de junio, de amnistía para la normalización institucional, política y social en Cataluña, que constituye el objeto de la cuestión de inconstitucionalidad en que ha sido formulada la recusación.</w:t>
      </w:r>
    </w:p>
    <w:p w14:paraId="5B688142" w14:textId="77777777" w:rsidR="00B35D37" w:rsidRDefault="00B35D37" w:rsidP="00B35D37">
      <w:pPr>
        <w:pStyle w:val="TextoNormal"/>
      </w:pPr>
    </w:p>
    <w:p w14:paraId="395E3E9C" w14:textId="77777777" w:rsidR="00B35D37" w:rsidRDefault="00B35D37" w:rsidP="00B35D37">
      <w:pPr>
        <w:pStyle w:val="TextoNormal"/>
      </w:pPr>
      <w:r>
        <w:t>Esa coincidencia de objeto no se limita, además, al texto legal sobre el que habrá de pronunciarse este tribunal en la cuestión de inconstitucionalidad promovida por la Sala de lo Penal del Tribunal Supremo, sino que se extiende al contenido de las dudas de constitucionalidad plasmadas en el auto de planteamiento de dicha cuestión, de 24 de julio de 2024. En efecto, tal como de manera minuciosa expone el fiscal general del Estado en su escrito de recusación, el informe de legalidad aprobado por el Pleno del Consejo General del Poder Judicial, con el voto favorable del magistrado señor Macías, entra a analizar de modo pormenorizado y exhaustivo los diferentes puntos que la Sala de lo Penal del Tribunal Supremo ha venido a someter a examen de este tribunal en el auto de planteamiento de la cuestión de inconstitucionalidad. Entra a examinarlos, además, desde una perspectiva jurídica coincidente con la que habrá de presidir el análisis y fallo de la cuestión de inconstitucionalidad —su adecuación o no al texto constitucional— y emite una conclusión clara y terminante sobre todos y cada uno de tales puntos, lo cual constituye una auténtica toma de posición acerca de las materias sometidas a la consideración de este Tribunal Constitucional.</w:t>
      </w:r>
    </w:p>
    <w:p w14:paraId="3690B6E9" w14:textId="77777777" w:rsidR="00B35D37" w:rsidRDefault="00B35D37" w:rsidP="00B35D37">
      <w:pPr>
        <w:pStyle w:val="TextoNormal"/>
      </w:pPr>
    </w:p>
    <w:p w14:paraId="16EA3A3D" w14:textId="77777777" w:rsidR="00B35D37" w:rsidRDefault="00B35D37" w:rsidP="00B35D37">
      <w:pPr>
        <w:pStyle w:val="TextoNormal"/>
      </w:pPr>
      <w:r>
        <w:t>A la coincidencia de objeto se suma, por lo demás, una proximidad temporal que no puede ser obviada, habiendo transcurrido tan solo un plazo de cuatro meses desde la aprobación del informe de legalidad por el Consejo General del Poder Judicial hasta el planteamiento de la cuestión de inconstitucionalidad por la Sala de lo Penal del Tribunal Supremo y la incorporación del señor Macías Castaño al Tribunal Constitucional, y de apenas seis meses hasta la formulación de la recusación frente al mismo.</w:t>
      </w:r>
    </w:p>
    <w:p w14:paraId="5FFFEC29" w14:textId="77777777" w:rsidR="00B35D37" w:rsidRDefault="00B35D37" w:rsidP="00B35D37">
      <w:pPr>
        <w:pStyle w:val="TextoNormal"/>
      </w:pPr>
    </w:p>
    <w:p w14:paraId="5FC53F47" w14:textId="77777777" w:rsidR="00B35D37" w:rsidRDefault="00B35D37" w:rsidP="00B35D37">
      <w:pPr>
        <w:pStyle w:val="TextoNormal"/>
      </w:pPr>
      <w:r>
        <w:t>c) Partiendo de estos datos, la siguiente cuestión que cabe plantearse, en aplicación de la doctrina trascrita en los anteriores fundamentos jurídicos, es si estamos ante la simple emisión de una opinión jurídica, propia de quien es merecedor de la calificación de “jurista de reconocido prestigio” y que no bastaría por sí sola para justificar la recusación; o si, por el contrario, estamos ante la previa formación y emisión de un criterio jurídico equiparable a una toma de posición —susceptible de incardinarse en las causas de recusación invocadas— tanto por su participación directa o indirecta en el asunto objeto del pleito, como por haber tenido conocimiento del mismo y haber podido formar criterio en detrimento de la debida imparcialidad.</w:t>
      </w:r>
    </w:p>
    <w:p w14:paraId="42F8DFE1" w14:textId="77777777" w:rsidR="00B35D37" w:rsidRDefault="00B35D37" w:rsidP="00B35D37">
      <w:pPr>
        <w:pStyle w:val="TextoNormal"/>
      </w:pPr>
    </w:p>
    <w:p w14:paraId="163393BC" w14:textId="77777777" w:rsidR="00B35D37" w:rsidRDefault="00B35D37" w:rsidP="00B35D37">
      <w:pPr>
        <w:pStyle w:val="TextoNormal"/>
      </w:pPr>
      <w:r>
        <w:t>Las circunstancias concurrentes en este caso concreto nos llevan a inclinarnos por esta segunda alternativa.</w:t>
      </w:r>
    </w:p>
    <w:p w14:paraId="3C2548F1" w14:textId="77777777" w:rsidR="00B35D37" w:rsidRDefault="00B35D37" w:rsidP="00B35D37">
      <w:pPr>
        <w:pStyle w:val="TextoNormal"/>
      </w:pPr>
    </w:p>
    <w:p w14:paraId="27135DFE" w14:textId="77777777" w:rsidR="00B35D37" w:rsidRDefault="00B35D37" w:rsidP="00B35D37">
      <w:pPr>
        <w:pStyle w:val="TextoNormal"/>
      </w:pPr>
      <w:r>
        <w:t>Así, encontramos que lo recogido en el informe aprobado por el Pleno del Consejo General del Poder Judicial el 21 de marzo de 2024 es un dictamen que, a lo largo de sus 157 páginas, efectúa un minucioso análisis de la constitucionalidad de la norma en abstracto y de los diferentes artículos que la integran de manera particular; análisis que, por su profundidad y exhaustividad, excede del común entendimiento del vocablo “opinión” y se manifiesta como una clara toma de posición. El informe aborda detalladamente, entre otras materias, la institución de la amnistía como instrumento del ejercicio del derecho de gracia y los límites de la potestad legislativa; la cobertura constitucional de la amnistía; reflexiones sobre la vulneración del principio de seguridad jurídica y del derecho de igualdad; o la incidencia de la ley sobre el principio de separación de poderes. La mayoría de estas materias, como ya se ha expuesto, coinciden con elementos nucleares de la argumentación de las dudas de constitucionalidad suscitada por el Tribunal Supremo y, como se expone en el escrito de recusación, “conforman un exhaustivo análisis del texto de la norma —sustancialmente igual, en lo que aquí importa, al que se aprobó y cuestiona ahora el Tribunal Supremo— que, en fin, desembocan sesenta y una conclusiones cuyo rasgo más destacable es, sin duda, la referencia a aspectos constitucionales de la ley de amnistía que, o bien conducen a una negación expresa o implícitamente de su constitucionalidad (</w:t>
      </w:r>
      <w:r w:rsidRPr="00B35D37">
        <w:rPr>
          <w:i/>
        </w:rPr>
        <w:t>v. gr</w:t>
      </w:r>
      <w:r>
        <w:t>. conclusiones sexta, novena, décima, decimoprimera o decimocuarta), o bien contienen propuestas de modificación o rectificación cuya desatención por el Legislador comportaría la consolidación de la infracción constitucional sobre la que se advierte (vigesimonovena)”. Con independencia de cuál sea la orientación del informe y sus conclusiones, tal y como se ha expuesto, lo decisivo para resolver si queda afectada la apariencia de imparcialidad del magistrado recusado —que participó en la aprobación de aquel en cuanto que era miembro del Consejo General del Poder Judicial— son las condiciones y circunstancias en las que el criterio jurídico que contiene ha sido adoptado.</w:t>
      </w:r>
    </w:p>
    <w:p w14:paraId="655A9189" w14:textId="77777777" w:rsidR="00B35D37" w:rsidRDefault="00B35D37" w:rsidP="00B35D37">
      <w:pPr>
        <w:pStyle w:val="TextoNormal"/>
      </w:pPr>
    </w:p>
    <w:p w14:paraId="6DA1785A" w14:textId="77777777" w:rsidR="00B35D37" w:rsidRDefault="00B35D37" w:rsidP="00B35D37">
      <w:pPr>
        <w:pStyle w:val="TextoNormal"/>
      </w:pPr>
      <w:r>
        <w:t>Además, este exhaustivo dictamen fue aprobado por el Pleno del Consejo General del Poder Judicial en ejercicio de la función consultiva que, como órgano constitucional, le atribuye la LOPJ, art. 561.1, y en respuesta a una petición oficial de la mesa del Senado. Una vez aprobado, el informe fue remitido a la entidad peticionaria y se incorporó al procedimiento legislativo, en concreto al de tramitación de la proposición de ley orgánica en la Cámara Alta. Una vez incorporado al procedimiento legislativo en dicha fase, el informe aprobado por el Pleno del Consejo sirvió como soporte técnico a la propuesta de veto núm. 2, presentada por el Grupo Parlamentario Popular el 9 de abril de 2024. Esta propuesta de veto, de general conocimiento en cuanto publicada por el “Boletín Oficial de las Cortes Generales-Senado” el 12 de abril de 2024, se sustenta de manera primordial en el informe de legalidad del Consejo —que cita y transcribe literalmente la mayoría de los nueve apartados que lo integran— y resultó aprobada por el Pleno del Senado el 14 de mayo de 2024, provocando la devolución de la ponencia al Congreso de los Diputados para el levantamiento del veto. De manera que el informe no solo se incorporó al procedimiento legislativo de la Ley Orgánica 1/2024, sino que desplegó en él un efecto claro y determinante.</w:t>
      </w:r>
    </w:p>
    <w:p w14:paraId="334510EC" w14:textId="77777777" w:rsidR="00B35D37" w:rsidRDefault="00B35D37" w:rsidP="00B35D37">
      <w:pPr>
        <w:pStyle w:val="TextoNormal"/>
      </w:pPr>
    </w:p>
    <w:p w14:paraId="391E04C9" w14:textId="77777777" w:rsidR="00B35D37" w:rsidRDefault="00B35D37" w:rsidP="00B35D37">
      <w:pPr>
        <w:pStyle w:val="TextoNormal"/>
      </w:pPr>
      <w:r>
        <w:t>En conclusión, en el incidente de recusación encontramos que, a través del informe de legalidad aprobado por el Pleno del Consejo General del Poder Judicial, el magistrado señor Macías Castaño emitió, en el legítimo ejercicio del cargo institucional que ostentaba y a petición de la Cámara Alta, un dictamen jurídico-constitucional profundo y detallado acerca de un texto legal que coincide exactamente con el de la Ley Orgánica 1/2024, objeto de la presente cuestión de inconstitucionalidad. Dicho informe se incorporó al procedimiento de elaboración de dicha ley y en el mismo se expresa su criterio jurídico acerca de las mismas cuestiones que hoy se plantean a este Tribunal Constitucional por la Sala de lo Penal del Tribunal Supremo; criterio que, dada su minuciosidad y contundencia, constituye una clara toma de postura en las materias que habrán de resolverse por este Tribunal Constitucional en el asunto principal.</w:t>
      </w:r>
    </w:p>
    <w:p w14:paraId="5572E45F" w14:textId="77777777" w:rsidR="00B35D37" w:rsidRDefault="00B35D37" w:rsidP="00B35D37">
      <w:pPr>
        <w:pStyle w:val="TextoNormal"/>
      </w:pPr>
    </w:p>
    <w:p w14:paraId="6AF52F1F" w14:textId="3C3B787D" w:rsidR="00B35D37" w:rsidRDefault="00B35D37" w:rsidP="00B35D37">
      <w:pPr>
        <w:pStyle w:val="TextoNormal"/>
      </w:pPr>
      <w:r>
        <w:t>En estas circunstancias, resulta inevitable calificar la participación del magistrado señor Macías Castaño en la elaboración y aprobación del informe de legalidad del Consejo General del Poder Judicial de “participa[ción] directa o indirecta[...] en el asunto objeto del pleito o causa” (causa 13 del art. 219 LOPJ); así como concluir que con ocasión de su cargo de vocal del Consejo General del Poder Judicial pudo “tener conocimiento del objeto del litigio y formar criterio en detrimento de la debida imparcialidad” (causa 16 del art. 219 LOPJ). Razones estas que determinan la estimación de las causas de recusación formuladas por el fiscal general del Estado.</w:t>
      </w:r>
    </w:p>
    <w:p w14:paraId="5CEBDBF8" w14:textId="77777777" w:rsidR="00B35D37" w:rsidRDefault="00B35D37" w:rsidP="00B35D37">
      <w:pPr>
        <w:pStyle w:val="TextoNormal"/>
      </w:pPr>
    </w:p>
    <w:p w14:paraId="36A44BE4" w14:textId="77777777" w:rsidR="00B35D37" w:rsidRDefault="00B35D37" w:rsidP="00B35D37">
      <w:pPr>
        <w:pStyle w:val="TextoNormal"/>
      </w:pPr>
      <w:r>
        <w:t>Por lo expuesto, el Pleno</w:t>
      </w:r>
    </w:p>
    <w:p w14:paraId="68A23355" w14:textId="31983133" w:rsidR="00B35D37" w:rsidRDefault="00B35D37" w:rsidP="00B35D37">
      <w:pPr>
        <w:pStyle w:val="TextoNormal"/>
      </w:pPr>
    </w:p>
    <w:p w14:paraId="6C820594" w14:textId="77777777" w:rsidR="00B35D37" w:rsidRDefault="00B35D37" w:rsidP="00B35D37">
      <w:pPr>
        <w:pStyle w:val="TextoNormalCentrado"/>
      </w:pPr>
      <w:r>
        <w:t>ACUERDA</w:t>
      </w:r>
    </w:p>
    <w:p w14:paraId="6FEE8C05" w14:textId="2D7E9760" w:rsidR="00B35D37" w:rsidRDefault="00B35D37" w:rsidP="00B35D37">
      <w:pPr>
        <w:pStyle w:val="TextoNormalCentrado"/>
      </w:pPr>
    </w:p>
    <w:p w14:paraId="1B9C211B" w14:textId="77777777" w:rsidR="00B35D37" w:rsidRDefault="00B35D37" w:rsidP="00B35D37">
      <w:pPr>
        <w:pStyle w:val="TextoNormal"/>
      </w:pPr>
      <w:r>
        <w:t>1º Estimar la recusación formulada por el fiscal general del Estado en relación con el magistrado de este tribunal don José María Macías Castaño en la cuestión de inconstitucionalidad núm. 6053-2024, apartándole definitivamente del conocimiento de la misma.</w:t>
      </w:r>
    </w:p>
    <w:p w14:paraId="7D54AFDF" w14:textId="77777777" w:rsidR="00B35D37" w:rsidRDefault="00B35D37" w:rsidP="00B35D37">
      <w:pPr>
        <w:pStyle w:val="TextoNormal"/>
      </w:pPr>
    </w:p>
    <w:p w14:paraId="4468B4CE" w14:textId="34EBE69D" w:rsidR="00B35D37" w:rsidRDefault="00B35D37" w:rsidP="00B35D37">
      <w:pPr>
        <w:pStyle w:val="TextoNormal"/>
      </w:pPr>
      <w:r>
        <w:t>2º Llevar testimonio de esta resolución a la cuestión de inconstitucionalidad núm. 6053-2024.</w:t>
      </w:r>
    </w:p>
    <w:p w14:paraId="2B327580" w14:textId="77777777" w:rsidR="00B35D37" w:rsidRDefault="00B35D37" w:rsidP="00B35D37">
      <w:pPr>
        <w:pStyle w:val="TextoNormal"/>
      </w:pPr>
    </w:p>
    <w:p w14:paraId="09761AF7" w14:textId="77777777" w:rsidR="00B35D37" w:rsidRDefault="00B35D37" w:rsidP="00B35D37">
      <w:pPr>
        <w:pStyle w:val="TextoNormal"/>
      </w:pPr>
      <w:r>
        <w:t>Madrid, a quince de enero de dos mil veinticinco.</w:t>
      </w:r>
    </w:p>
    <w:p w14:paraId="2ABDF95E" w14:textId="55145E65" w:rsidR="00B35D37" w:rsidRDefault="00B35D37" w:rsidP="00B35D37">
      <w:pPr>
        <w:pStyle w:val="ParrafoNormal"/>
      </w:pPr>
    </w:p>
    <w:p w14:paraId="55E317ED" w14:textId="77777777" w:rsidR="00B35D37" w:rsidRDefault="00B35D37" w:rsidP="00B35D37">
      <w:pPr>
        <w:pStyle w:val="TextoNormalNegritaCentrado"/>
        <w:keepNext/>
      </w:pPr>
      <w:r>
        <w:t>Voto particular que formula el magistrado don Ricardo Enríquez Sancho al auto dictado en la cuestión de inconstitucionalidad núm. 6053-2024, resolviendo la recusación del magistrado don José María Macías Castaño formulada por el fiscal general del Estado</w:t>
      </w:r>
    </w:p>
    <w:p w14:paraId="19363F77" w14:textId="512D675C" w:rsidR="00B35D37" w:rsidRDefault="00B35D37" w:rsidP="00B35D37">
      <w:pPr>
        <w:pStyle w:val="TextoNormalNegritaCentrado"/>
        <w:keepNext/>
      </w:pPr>
    </w:p>
    <w:p w14:paraId="17EFE314" w14:textId="77777777" w:rsidR="00B35D37" w:rsidRDefault="00B35D37" w:rsidP="00B35D37">
      <w:pPr>
        <w:pStyle w:val="TextoNormal"/>
      </w:pPr>
      <w:r>
        <w:t>En el ejercicio de la facultad que me confiere el artículo 90.2 de la Ley Orgánica del Tribunal Constitucional, y con el máximo respeto a la opinión de la mayoría, formulo el presente voto particular para exponer las razones por las que considero que la recusación formulada debió ser desestimada.</w:t>
      </w:r>
    </w:p>
    <w:p w14:paraId="095E36FF" w14:textId="77777777" w:rsidR="00B35D37" w:rsidRDefault="00B35D37" w:rsidP="00B35D37">
      <w:pPr>
        <w:pStyle w:val="TextoNormal"/>
      </w:pPr>
    </w:p>
    <w:p w14:paraId="40D7530A" w14:textId="77777777" w:rsidR="00B35D37" w:rsidRDefault="00B35D37" w:rsidP="00B35D37">
      <w:pPr>
        <w:pStyle w:val="TextoNormal"/>
      </w:pPr>
      <w:r>
        <w:t xml:space="preserve">1. </w:t>
      </w:r>
      <w:r w:rsidRPr="00B35D37">
        <w:rPr>
          <w:i/>
        </w:rPr>
        <w:t>Planteamiento</w:t>
      </w:r>
    </w:p>
    <w:p w14:paraId="5F77ECE7" w14:textId="77777777" w:rsidR="00B35D37" w:rsidRDefault="00B35D37" w:rsidP="00B35D37">
      <w:pPr>
        <w:pStyle w:val="TextoNormal"/>
      </w:pPr>
    </w:p>
    <w:p w14:paraId="2BA29FAC" w14:textId="77777777" w:rsidR="00B35D37" w:rsidRDefault="00B35D37" w:rsidP="00B35D37">
      <w:pPr>
        <w:pStyle w:val="TextoNormal"/>
      </w:pPr>
      <w:r>
        <w:t>El auto contra el que suscribo el presente voto particular estima la recusación formulada por el fiscal general del Estado contra el magistrado don José María Macías Castaño por considerar que incurre en las causas de recusación descritas en el art. 219.13 y 16 de la Ley Orgánica del Poder Judicial (LOPJ). Discrepo de esta decisión tanto por razones de forma como por razones de fondo.</w:t>
      </w:r>
    </w:p>
    <w:p w14:paraId="2546EC18" w14:textId="77777777" w:rsidR="00B35D37" w:rsidRDefault="00B35D37" w:rsidP="00B35D37">
      <w:pPr>
        <w:pStyle w:val="TextoNormal"/>
      </w:pPr>
    </w:p>
    <w:p w14:paraId="15EA5603" w14:textId="77777777" w:rsidR="00B35D37" w:rsidRDefault="00B35D37" w:rsidP="00B35D37">
      <w:pPr>
        <w:pStyle w:val="TextoNormal"/>
      </w:pPr>
      <w:r>
        <w:t xml:space="preserve">2. </w:t>
      </w:r>
      <w:r w:rsidRPr="00B35D37">
        <w:rPr>
          <w:i/>
        </w:rPr>
        <w:t>Razones de forma</w:t>
      </w:r>
    </w:p>
    <w:p w14:paraId="44D1EBC9" w14:textId="77777777" w:rsidR="00B35D37" w:rsidRDefault="00B35D37" w:rsidP="00B35D37">
      <w:pPr>
        <w:pStyle w:val="TextoNormal"/>
      </w:pPr>
    </w:p>
    <w:p w14:paraId="47AF195E" w14:textId="77777777" w:rsidR="00B35D37" w:rsidRDefault="00B35D37" w:rsidP="00B35D37">
      <w:pPr>
        <w:pStyle w:val="TextoNormal"/>
      </w:pPr>
      <w:r>
        <w:t>A mi entender, la recusación debió ser rechazada por adolecer del defecto de extemporaneidad, tal como se expone en el voto particular suscrito por los magistrados don Enrique Arnaldo Alcubilla, doña Concepción Espejel Jorquera y don César Tolosa Tribiño con una sólida argumentación a la que sustancialmente me remito.</w:t>
      </w:r>
    </w:p>
    <w:p w14:paraId="28179313" w14:textId="77777777" w:rsidR="00B35D37" w:rsidRDefault="00B35D37" w:rsidP="00B35D37">
      <w:pPr>
        <w:pStyle w:val="TextoNormal"/>
      </w:pPr>
    </w:p>
    <w:p w14:paraId="52AE8711" w14:textId="77777777" w:rsidR="00B35D37" w:rsidRDefault="00B35D37" w:rsidP="00B35D37">
      <w:pPr>
        <w:pStyle w:val="TextoNormal"/>
      </w:pPr>
      <w:r>
        <w:t xml:space="preserve">3. </w:t>
      </w:r>
      <w:r w:rsidRPr="00B35D37">
        <w:rPr>
          <w:i/>
        </w:rPr>
        <w:t>Razones de fondo</w:t>
      </w:r>
    </w:p>
    <w:p w14:paraId="372050C1" w14:textId="77777777" w:rsidR="00B35D37" w:rsidRDefault="00B35D37" w:rsidP="00B35D37">
      <w:pPr>
        <w:pStyle w:val="TextoNormal"/>
      </w:pPr>
    </w:p>
    <w:p w14:paraId="7F446C3B" w14:textId="77777777" w:rsidR="00B35D37" w:rsidRDefault="00B35D37" w:rsidP="00B35D37">
      <w:pPr>
        <w:pStyle w:val="TextoNormal"/>
      </w:pPr>
      <w:r>
        <w:t>Además, me parece que la doctrina del ATC 28/2023, de 7 de febrero, obligaba a desestimar el fondo de la recusación.</w:t>
      </w:r>
    </w:p>
    <w:p w14:paraId="36C34B52" w14:textId="77777777" w:rsidR="00B35D37" w:rsidRDefault="00B35D37" w:rsidP="00B35D37">
      <w:pPr>
        <w:pStyle w:val="TextoNormal"/>
      </w:pPr>
    </w:p>
    <w:p w14:paraId="5C5FD534" w14:textId="77777777" w:rsidR="00B35D37" w:rsidRDefault="00B35D37" w:rsidP="00B35D37">
      <w:pPr>
        <w:pStyle w:val="TextoNormal"/>
      </w:pPr>
      <w:r>
        <w:t>a) En este ATC 28/2023, el Pleno de este tribunal consideró no justificada la solicitud de abstención comunicada por la magistrada doña Concepción Espejel Jorquera en el recurso de inconstitucionalidad interpuesto por más de cincuenta diputados del Grupo Parlamentario Popular en el Congreso contra varios preceptos de la Ley Orgánica 2/2010, de 3 de marzo, de salud sexual y reproductiva y de la interrupción voluntaria del embarazo.</w:t>
      </w:r>
    </w:p>
    <w:p w14:paraId="38063FFF" w14:textId="77777777" w:rsidR="00B35D37" w:rsidRDefault="00B35D37" w:rsidP="00B35D37">
      <w:pPr>
        <w:pStyle w:val="TextoNormal"/>
      </w:pPr>
    </w:p>
    <w:p w14:paraId="542E7499" w14:textId="77777777" w:rsidR="00B35D37" w:rsidRDefault="00B35D37" w:rsidP="00B35D37">
      <w:pPr>
        <w:pStyle w:val="TextoNormal"/>
      </w:pPr>
      <w:r>
        <w:t>La magistrada había apoyado su comunicación de abstención en el art. 219.16 LOPJ, que establece como causa de abstención y recusación “[h]aber ocupado el juez o magistrado cargo público o administrativo con ocasión del cual haya podido tener conocimiento del objeto del litigio y formar criterio en detrimento de la debida imparcialidad”. Argumentaba que en su condición anterior de vocal del Consejo General del Poder Judicial e integrante del Pleno y de la Comisión de Estudios e Informes del citado órgano, había participado en el ejercicio de la función consultiva atribuida en el art. 108.1 e) y f) LOPJ (en su redacción anterior a la Ley Orgánica 4/2013) en relación con el anteproyecto de ley orgánica que desembocó en la citada Ley Orgánica 2/2010, que era el objeto de recurso. Manifestaba que, tanto en la sesión de la Comisión de Estudios e Informes de 15 de junio de 2009 como en la del Pleno del Consejo de 23 de junio siguiente, había votado en contra de la propuesta de informe emitida por la Comisión de Estudios y a favor de la enmienda a la totalidad que, junto con otro vocal, presentó en contra de esa propuesta de informe.</w:t>
      </w:r>
    </w:p>
    <w:p w14:paraId="3A60F644" w14:textId="77777777" w:rsidR="00B35D37" w:rsidRDefault="00B35D37" w:rsidP="00B35D37">
      <w:pPr>
        <w:pStyle w:val="TextoNormal"/>
      </w:pPr>
    </w:p>
    <w:p w14:paraId="01385282" w14:textId="77777777" w:rsidR="00B35D37" w:rsidRDefault="00B35D37" w:rsidP="00B35D37">
      <w:pPr>
        <w:pStyle w:val="TextoNormal"/>
      </w:pPr>
      <w:r>
        <w:t>En el citado ATC 28/2023, este tribunal consideró no justificada la solicitud de abstención formulada. El auto recuerda la doctrina constitucional sobre la necesidad de interpretación “restrictiva” de las causas de abstención y recusación previstas en la LOPJ y que “[l]o que precisa la función jurisdiccional son jueces con una mente abierta a los términos del debate y a sus siempre variadas y diversas soluciones jurídicas” (FJ 2). Por tanto, concluye, no está justificada la abstención de un magistrado constitucional por el mero hecho de tener un criterio jurídico sobre los asuntos de que debe resolver, ya que “no es poco común ni puede extrañar que, antes de acceder al cargo,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(FJ 3).</w:t>
      </w:r>
    </w:p>
    <w:p w14:paraId="7543997E" w14:textId="77777777" w:rsidR="00B35D37" w:rsidRDefault="00B35D37" w:rsidP="00B35D37">
      <w:pPr>
        <w:pStyle w:val="TextoNormal"/>
      </w:pPr>
    </w:p>
    <w:p w14:paraId="56B5524C" w14:textId="77777777" w:rsidR="00B35D37" w:rsidRDefault="00B35D37" w:rsidP="00B35D37">
      <w:pPr>
        <w:pStyle w:val="TextoNormal"/>
      </w:pPr>
      <w:r>
        <w:t>A continuación, el fundamento jurídico 4 del ATC 28/2013 aplica esta doctrina a la concreta abstención formulada, y apoya su decisión de no considerarla justificada en atención a que: (i) la solicitud de abstención se había presentado en un proceso objetivo y abstracto de control de constitucionalidad de una ley, y no en un proceso entre partes en el que se ventilan intereses particulares con los que quepa alinearse; (ii) el objeto de la propuesta de informe no era la ley vigente, ni existía en aquel momento la pretensión impugnatoria que debía resolver el Tribunal Constitucional contra la Ley Orgánica 2/2010, por lo que no había coincidencia entre el objeto del informe y el objeto del recurso de inconstitucionalidad sobre el que debía pronunciarse la magistrada; (iii) respecto a ese informe elaborado por la Comisión de Estudios y discutido en el Pleno del Consejo General del Poder Judicial solo se expresó un criterio jurídico, y eso más de doce años antes de acceder al cargo de magistrado; (iv) finalmente, ese informe no llegó a ser aprobado, por lo que la función consultiva no llegó a ser ejercitada.</w:t>
      </w:r>
    </w:p>
    <w:p w14:paraId="2E87F9EE" w14:textId="77777777" w:rsidR="00B35D37" w:rsidRDefault="00B35D37" w:rsidP="00B35D37">
      <w:pPr>
        <w:pStyle w:val="TextoNormal"/>
      </w:pPr>
    </w:p>
    <w:p w14:paraId="6C15706E" w14:textId="77777777" w:rsidR="00B35D37" w:rsidRDefault="00B35D37" w:rsidP="00B35D37">
      <w:pPr>
        <w:pStyle w:val="TextoNormal"/>
      </w:pPr>
      <w:r>
        <w:t>b) El escrito del fiscal general del Estado solicitando la recusación del magistrado don José María Macías Castaño en esta cuestión de inconstitucionalidad formulada contra la Ley Orgánica 1/2024, de 10 de junio, de amnistía para la normalización institucional, política y social en Cataluña, señala como causas de recusación las de los apartados 13 y 16 del art. 219 LOPJ. Argumenta que el ahora magistrado constitucional, en su condición anterior de vocal del Consejo General del Poder Judicial, participó en la elaboración del informe al entonces proyecto de ley de amnistía que dicho órgano emitió a requerimiento del Senado, con su voto favorable, el 21 de marzo de 2024. El fiscal pone de relieve que en ese informe se contienen opiniones claramente contrarias al proyecto de ley de amnistía, que entonces se encontraba en tramitación en la Cámara Alta, y que esas opiniones coinciden sustancialmente con los motivos de inconstitucionalidad planteados en este proceso. Es llamativo que el escrito del fiscal cite en apoyo de su pretensión abundantes autos de este tribunal pero no, significativamente, el ATC 28/2023.</w:t>
      </w:r>
    </w:p>
    <w:p w14:paraId="150F6082" w14:textId="77777777" w:rsidR="00B35D37" w:rsidRDefault="00B35D37" w:rsidP="00B35D37">
      <w:pPr>
        <w:pStyle w:val="TextoNormal"/>
      </w:pPr>
    </w:p>
    <w:p w14:paraId="1B8FC7CA" w14:textId="77777777" w:rsidR="00B35D37" w:rsidRDefault="00B35D37" w:rsidP="00B35D37">
      <w:pPr>
        <w:pStyle w:val="TextoNormal"/>
      </w:pPr>
      <w:r>
        <w:t>c) El auto contra el que formulo este voto particular rechaza las alegaciones formuladas por el magistrado recusado en contra de su apartamiento del proceso.</w:t>
      </w:r>
    </w:p>
    <w:p w14:paraId="216D324C" w14:textId="77777777" w:rsidR="00B35D37" w:rsidRDefault="00B35D37" w:rsidP="00B35D37">
      <w:pPr>
        <w:pStyle w:val="TextoNormal"/>
      </w:pPr>
    </w:p>
    <w:p w14:paraId="7449F3CE" w14:textId="77777777" w:rsidR="00B35D37" w:rsidRDefault="00B35D37" w:rsidP="00B35D37">
      <w:pPr>
        <w:pStyle w:val="TextoNormal"/>
      </w:pPr>
      <w:r>
        <w:t>En primer lugar, el magistrado alegaba que la cuestión de inconstitucionalidad, como el recurso de inconstitucionalidad, es un proceso objetivo y abstracto de control de constitucionalidad de una ley, y no un proceso entre partes con las que de algún modo quepa alinearse. La mayoría rechaza esta alegación porque este argumento conduciría a excluir la aplicación del régimen de abstención y recusación de magistrados constitucionales en todos los procesos de esta naturaleza, conclusión que no puede ser asumida por contraria a la letra y espíritu de la LOPJ y LOTC. Esto es correcto; el problema es que en el citado ATC 28/2023 este factor se destaca como primer argumento para considerar no justificada la solicitud de abstención formulada por la magistrada doña Concepción Espejel Jorquera, hasta el punto de que las alegaciones del magistrado ahora recusado no hacen otra cosa que recoger y citar esa doctrina.</w:t>
      </w:r>
    </w:p>
    <w:p w14:paraId="2E0E1C25" w14:textId="77777777" w:rsidR="00B35D37" w:rsidRDefault="00B35D37" w:rsidP="00B35D37">
      <w:pPr>
        <w:pStyle w:val="TextoNormal"/>
      </w:pPr>
    </w:p>
    <w:p w14:paraId="7E281BFE" w14:textId="77777777" w:rsidR="00B35D37" w:rsidRDefault="00B35D37" w:rsidP="00B35D37">
      <w:pPr>
        <w:pStyle w:val="TextoNormal"/>
      </w:pPr>
      <w:r>
        <w:t>A continuación, el auto del que discrepo rechaza las alegaciones del magistrado recusado relativas a la falta de identidad entre el objeto del informe emitido en su condición de vocal del Consejo General del Poder Judicial (el proyecto de ley de amnistía) y la Ley Orgánica 1/2024 que resultó del proceso legislativo, y a la mayor o menor proximidad entre ellos, mucho más difuminada que la que se produjo entre el anteproyecto de ley del aborto informado por la magistrada Espejel Jorquera como vocal del Consejo y la Ley Orgánica 2/2010 finalmente aprobada por las Cortes.</w:t>
      </w:r>
    </w:p>
    <w:p w14:paraId="608C10A6" w14:textId="77777777" w:rsidR="00B35D37" w:rsidRDefault="00B35D37" w:rsidP="00B35D37">
      <w:pPr>
        <w:pStyle w:val="TextoNormal"/>
      </w:pPr>
    </w:p>
    <w:p w14:paraId="53791163" w14:textId="77777777" w:rsidR="00B35D37" w:rsidRDefault="00B35D37" w:rsidP="00B35D37">
      <w:pPr>
        <w:pStyle w:val="TextoNormal"/>
      </w:pPr>
      <w:r>
        <w:t>d) Mi discrepancia con el criterio de la mayoría no es tanto de fondo como de necesidad de respetar la doctrina establecida en un caso prácticamente igual al que ahora nos ocupa. Ciertamente contra el citado ATC 28/2023, tres de los magistrados que ahora votamos en contra de este, también firmamos otros votos particulares en los que manteníamos que la abstención debió ser aceptada, pero esto no es lo importante. Lo importante es que la “doctrina” del Tribunal (art. 40.1 LOTC) es la plasmada en la decisión de la mayoría que aprobó el ATC 28/2023 y que ahora se aparta del mismo. El Tribunal Constitucional no puede desconocer su propia doctrina a voluntad en casos idénticos sin motivar el cambio de criterio, cuando las circunstancias puestas de manifiesto por la magistrada Espejel Jorquera en el recurso de inconstitucionalidad contra la “ley del aborto” y las que apoyan la recusación del magistrado Macías Castaño en la cuestión de inconstitucionalidad contra la “ley de amnistía” son sustancialmente iguales y solo cambia la persona a la que afecta la causa de abstención/recusación examinada.</w:t>
      </w:r>
    </w:p>
    <w:p w14:paraId="2DD7B997" w14:textId="77777777" w:rsidR="00B35D37" w:rsidRDefault="00B35D37" w:rsidP="00B35D37">
      <w:pPr>
        <w:pStyle w:val="TextoNormal"/>
      </w:pPr>
    </w:p>
    <w:p w14:paraId="5374A211" w14:textId="77777777" w:rsidR="00B35D37" w:rsidRDefault="00B35D37" w:rsidP="00B35D37">
      <w:pPr>
        <w:pStyle w:val="TextoNormal"/>
      </w:pPr>
      <w:r>
        <w:t>En efecto: ambos magistrados han sido antes de acceder al cargo de magistrados del Tribunal Constitucional vocales del Consejo General del Poder Judicial, y ambos en su condición de vocales de ese Consejo han intervenido en la elaboración de sendos informes aprobados por ese organismo en relación con unas disposiciones legislativas que en un caso iban a ser remitidas al Congreso para su tramitación como proyecto de ley y en otro estaban en fase de tramitación en el Senado. Pero en ningún caso esas disposiciones habían sido ya aprobadas definitivamente por el Congreso ni, evidentemente, habían entrado en vigor, y en los dos casos ambos magistrados pusieron de manifiesto su opinión contraria a la constitucionalidad. Tampoco, en ninguno de los dos casos, las objeciones opuestas por los magistrados fructificaron pues las leyes a que se referían fueron finalmente aprobadas.</w:t>
      </w:r>
    </w:p>
    <w:p w14:paraId="3897CF65" w14:textId="77777777" w:rsidR="00B35D37" w:rsidRDefault="00B35D37" w:rsidP="00B35D37">
      <w:pPr>
        <w:pStyle w:val="TextoNormal"/>
      </w:pPr>
    </w:p>
    <w:p w14:paraId="7C2DC389" w14:textId="77777777" w:rsidR="00B35D37" w:rsidRDefault="00B35D37" w:rsidP="00B35D37">
      <w:pPr>
        <w:pStyle w:val="TextoNormal"/>
      </w:pPr>
      <w:r>
        <w:t>En estas condiciones de práctica identidad de situaciones la mayoría de este tribunal adopta una decisión radicalmente contraria a la que se adoptó en el ATC 28/2023. Con una particularidad: que la doctrina de este tribunal siempre ha sido mas flexible en la apreciación de las abstenciones presentadas por el mismo magistrado que en las recusaciones que, aunque fundadas en la misma causa, pudieran presentarse contra él, pues nadie como el propio magistrado puede valorar si se enfrenta al enjuiciamiento del recurso de inconstitucionalidad con esa mente abierta de que habla nuestra doctrina, capaz de hacerle modificar sus propias opiniones tras oír el parecer de todos los integrantes del Tribunal.</w:t>
      </w:r>
    </w:p>
    <w:p w14:paraId="365AC7B0" w14:textId="77777777" w:rsidR="00B35D37" w:rsidRDefault="00B35D37" w:rsidP="00B35D37">
      <w:pPr>
        <w:pStyle w:val="TextoNormal"/>
      </w:pPr>
    </w:p>
    <w:p w14:paraId="191EF035" w14:textId="77777777" w:rsidR="00B35D37" w:rsidRDefault="00B35D37" w:rsidP="00B35D37">
      <w:pPr>
        <w:pStyle w:val="TextoNormal"/>
      </w:pPr>
      <w:r>
        <w:t>Las otras diferencias que este asunto plantea con el resuelto en el ATC 28/2023 son realmente insignificantes. Que el criterio jurídico expresado en el informe en el que participó la magistrada doña Concepción Espejel se hubiera producido más de doce años antes de acceder al cargo de magistrada de este tribunal ninguna importancia tiene si la propia magistrada mantuvo que tenia una opinión formada definitivamente sobre el asunto, algo fácil de comprender dado que el asunto era precisamente el del aborto, problema que afecta a las convicciones mas íntimas de la persona, lo que no sucede en el caso de la amnistía en que el propio magistrado recusado ha negado que concurra la causa de recusación esgrimida.</w:t>
      </w:r>
    </w:p>
    <w:p w14:paraId="26FE679E" w14:textId="77777777" w:rsidR="00B35D37" w:rsidRDefault="00B35D37" w:rsidP="00B35D37">
      <w:pPr>
        <w:pStyle w:val="TextoNormal"/>
      </w:pPr>
    </w:p>
    <w:p w14:paraId="09CC6AB5" w14:textId="77777777" w:rsidR="00B35D37" w:rsidRDefault="00B35D37" w:rsidP="00B35D37">
      <w:pPr>
        <w:pStyle w:val="TextoNormal"/>
      </w:pPr>
      <w:r>
        <w:t>En estas condiciones, no cabía sino rechazar la recusación presentada en aplicación de la doctrina del ATC 28/2023, o bien declarar que la decisión adoptada en ese ATC 28/2023 declarando no justificada la abstención de la magistrada Espejel Jorquera en el recurso de inconstitucionalidad contra la ley del aborto fue errónea y entonces estimar esta recusación, explicando la razón de este cambio de criterio.</w:t>
      </w:r>
    </w:p>
    <w:p w14:paraId="12057C9A" w14:textId="77777777" w:rsidR="00B35D37" w:rsidRDefault="00B35D37" w:rsidP="00B35D37">
      <w:pPr>
        <w:pStyle w:val="TextoNormal"/>
      </w:pPr>
    </w:p>
    <w:p w14:paraId="6A64CB65" w14:textId="77777777" w:rsidR="00B35D37" w:rsidRDefault="00B35D37" w:rsidP="00B35D37">
      <w:pPr>
        <w:pStyle w:val="TextoNormal"/>
      </w:pPr>
      <w:r>
        <w:t>Y en este sentido emito este voto particular.</w:t>
      </w:r>
    </w:p>
    <w:p w14:paraId="0668030B" w14:textId="77777777" w:rsidR="00B35D37" w:rsidRDefault="00B35D37" w:rsidP="00B35D37">
      <w:pPr>
        <w:pStyle w:val="TextoNormal"/>
      </w:pPr>
    </w:p>
    <w:p w14:paraId="225C6F13" w14:textId="5F49786A" w:rsidR="00B35D37" w:rsidRDefault="00B35D37" w:rsidP="00B35D37">
      <w:pPr>
        <w:pStyle w:val="TextoNormal"/>
      </w:pPr>
      <w:r>
        <w:t>Madrid, a veinte de enero de dos mil veinticinco.</w:t>
      </w:r>
    </w:p>
    <w:p w14:paraId="4EF6094A" w14:textId="77777777" w:rsidR="00B35D37" w:rsidRDefault="00B35D37" w:rsidP="00B35D37">
      <w:pPr>
        <w:pStyle w:val="TextoNormal"/>
      </w:pPr>
    </w:p>
    <w:p w14:paraId="29A8BF3E" w14:textId="77777777" w:rsidR="00B35D37" w:rsidRDefault="00B35D37" w:rsidP="00B35D37">
      <w:pPr>
        <w:pStyle w:val="TextoNormalNegritaCentrado"/>
        <w:keepNext/>
      </w:pPr>
      <w:r>
        <w:t>Voto particular que formulan los magistrados don César Tolosa Tribiño, don Enrique Arnaldo Alcubilla y la magistrada doña Concepción Espejel Jorquera al auto dictado por el Pleno por el que se estima la recusación formulada por el fiscal general del Estado en relación con el magistrado de este tribunal don José María Macías Castaño en la cuestión de inconstitucionalidad núm. 6053-2024, planteada por la Sala de lo Penal del Tribunal Supremo en relación con la Ley Orgánica 1/2024, de 10 de junio, de amnistía para la normalización institucional, política y social en Cataluña, apartándole definitivamente del conocimiento de la misma</w:t>
      </w:r>
    </w:p>
    <w:p w14:paraId="59C2FD98" w14:textId="06A9582F" w:rsidR="00B35D37" w:rsidRDefault="00B35D37" w:rsidP="00B35D37">
      <w:pPr>
        <w:pStyle w:val="TextoNormalNegritaCentrado"/>
        <w:keepNext/>
      </w:pPr>
    </w:p>
    <w:p w14:paraId="0F49ABA7" w14:textId="77777777" w:rsidR="00B35D37" w:rsidRDefault="00B35D37" w:rsidP="00B35D37">
      <w:pPr>
        <w:pStyle w:val="TextoNormal"/>
      </w:pPr>
      <w:r>
        <w:t>En el ejercicio de la facultad que nos confiere el artículo 90.2 de la Ley Orgánica del Tribunal Constitucional (LOTC), y con el máximo respeto al criterio asumido por la mayoría del Pleno, nos vemos en la obligación de formular el presente voto particular. Consideramos que la recusación planteada por el fiscal general del Estado fue indebidamente admitida a trámite, atendido su carácter extemporáneo y, en todo caso, debió descartarse que concurrieran las causas 13 y 16 previstas en el art. 219 de la Ley Orgánica del Poder Judicial (LOPJ).</w:t>
      </w:r>
    </w:p>
    <w:p w14:paraId="0A1A5662" w14:textId="77777777" w:rsidR="00B35D37" w:rsidRDefault="00B35D37" w:rsidP="00B35D37">
      <w:pPr>
        <w:pStyle w:val="TextoNormal"/>
      </w:pPr>
    </w:p>
    <w:p w14:paraId="11F10AA2" w14:textId="77777777" w:rsidR="00B35D37" w:rsidRDefault="00B35D37" w:rsidP="00B35D37">
      <w:pPr>
        <w:pStyle w:val="TextoNormal"/>
      </w:pPr>
      <w:r>
        <w:t>1. Previo. Aspecto procesal: quiebra de la igualdad de partes y contradicción en el proceso de recusación</w:t>
      </w:r>
    </w:p>
    <w:p w14:paraId="79158858" w14:textId="77777777" w:rsidR="00B35D37" w:rsidRDefault="00B35D37" w:rsidP="00B35D37">
      <w:pPr>
        <w:pStyle w:val="TextoNormal"/>
      </w:pPr>
    </w:p>
    <w:p w14:paraId="3137ED5E" w14:textId="77777777" w:rsidR="00B35D37" w:rsidRDefault="00B35D37" w:rsidP="00B35D37">
      <w:pPr>
        <w:pStyle w:val="TextoNormal"/>
      </w:pPr>
      <w:r>
        <w:t>Como indica el auto, por diligencia de ordenación de 17 de diciembre de 2024 se tiene por recibida la pieza separada de recusación y se acuerda dar traslado de las actuaciones al Ministerio Fiscal para informe por plazo de tres días conforme al párrafo 3 del art. 225.3 LOPJ.</w:t>
      </w:r>
    </w:p>
    <w:p w14:paraId="32CE00D0" w14:textId="77777777" w:rsidR="00B35D37" w:rsidRDefault="00B35D37" w:rsidP="00B35D37">
      <w:pPr>
        <w:pStyle w:val="TextoNormal"/>
      </w:pPr>
    </w:p>
    <w:p w14:paraId="73BE556E" w14:textId="77777777" w:rsidR="00B35D37" w:rsidRDefault="00B35D37" w:rsidP="00B35D37">
      <w:pPr>
        <w:pStyle w:val="TextoNormal"/>
      </w:pPr>
      <w:r>
        <w:t>La tramitación de este incidente suscita dos consideraciones iniciales de carácter procesal, pero con una indudable implicación constitucional. Primera: el traslado previsto en el art. 225.3 LOPJ únicamente tiene sentido si la Fiscalía no es la recusante. Pues si es recusante, como es el caso, su función constitucional de velar por la independencia judicial (art. 124 CE) se ejerce al promover la recusación. Segunda: la doctrina constitucional [STC 91/2021, de 22 de abril, FJ 5.2.3 b)], configura el “incidente de recusación [como] una garantía […] también para el recusado, porque impide —en su caso— una indebida exclusión del conocimiento del asunto que legalmente le está encomendado”. Es claro que, ante una recusación, el magistrado ve cuestionado su derecho al ejercicio del cargo público en los términos legalmente establecidos (art. 23.2 CE) y puede ejercitar en el incidente de recusación su derecho de defensa frente a las atribuciones que formula quien promueve la recusación, no pudiendo entenderse que el traslado que legalmente se le confiere lo sea a los meros efectos de aceptar o rechazar la recusación.</w:t>
      </w:r>
    </w:p>
    <w:p w14:paraId="21A2D134" w14:textId="77777777" w:rsidR="00B35D37" w:rsidRDefault="00B35D37" w:rsidP="00B35D37">
      <w:pPr>
        <w:pStyle w:val="TextoNormal"/>
      </w:pPr>
    </w:p>
    <w:p w14:paraId="1CDA3A8F" w14:textId="77777777" w:rsidR="00B35D37" w:rsidRDefault="00B35D37" w:rsidP="00B35D37">
      <w:pPr>
        <w:pStyle w:val="TextoNormal"/>
      </w:pPr>
      <w:r>
        <w:t>Pues bien, el indebido e injustificado traslado al fiscal que actuó como recusante en el expediente, una vez completado, supone una irregularidad procedimental; y ello porque, si bien el tenor de la Ley es claro en cuanto a la necesidad de dar traslado al Ministerio Fiscal para que alegue sobre el contenido del escrito de recusación, ningún sentido tiene dicho traslado para que dichas alegaciones tengan por objeto los motivos aducidos en su propio escrito. Tal interpretación es contraria a la lógica procesal, pues supone permitir a una parte alegar sobre lo ya alegado, máxime cuando, como a continuación se explicará, dicho improcedente traslado ha servido para que el Ministerio Fiscal procediera a reconstruir lo razonado sobre una cuestión tan nuclear como la relativa al cumplimiento del plazo de ejercicio de la recusación.</w:t>
      </w:r>
    </w:p>
    <w:p w14:paraId="12D77FA9" w14:textId="77777777" w:rsidR="00B35D37" w:rsidRDefault="00B35D37" w:rsidP="00B35D37">
      <w:pPr>
        <w:pStyle w:val="TextoNormal"/>
      </w:pPr>
    </w:p>
    <w:p w14:paraId="5EA9A06C" w14:textId="77777777" w:rsidR="00B35D37" w:rsidRDefault="00B35D37" w:rsidP="00B35D37">
      <w:pPr>
        <w:pStyle w:val="TextoNormal"/>
      </w:pPr>
      <w:r>
        <w:t>En efecto, dicha infracción procesal ha tenido relevancia ocasionando una indefensión al magistrado recusado en la defensa de su derecho fundamental al ejercicio del cargo (art. 23.2 CE).</w:t>
      </w:r>
    </w:p>
    <w:p w14:paraId="34151A7F" w14:textId="77777777" w:rsidR="00B35D37" w:rsidRDefault="00B35D37" w:rsidP="00B35D37">
      <w:pPr>
        <w:pStyle w:val="TextoNormal"/>
      </w:pPr>
    </w:p>
    <w:p w14:paraId="117E8959" w14:textId="77777777" w:rsidR="00B35D37" w:rsidRDefault="00B35D37" w:rsidP="00B35D37">
      <w:pPr>
        <w:pStyle w:val="TextoNormal"/>
      </w:pPr>
      <w:r>
        <w:t xml:space="preserve">Dos razones avalan la quiebra de la igualdad de armas y contradicción efectivamente producidas. Primera: inicialmente, el fiscal general del Estado situaba erróneamente el </w:t>
      </w:r>
      <w:r w:rsidRPr="00B35D37">
        <w:rPr>
          <w:i/>
        </w:rPr>
        <w:t>dies a quo</w:t>
      </w:r>
      <w:r>
        <w:t xml:space="preserve"> en la fecha de toma de posesión (el 6 de septiembre de 2024). Posteriormente, ante las alegaciones efectuadas por el recusado, aprovecha el indebido traslado para replicar y rectificar el </w:t>
      </w:r>
      <w:r w:rsidRPr="00B35D37">
        <w:rPr>
          <w:i/>
        </w:rPr>
        <w:t>dies a quo</w:t>
      </w:r>
      <w:r>
        <w:t xml:space="preserve"> estableciéndolo en la fecha de notificación de la providencia de incoación del procedimiento. Segunda: el auto acepta este cambio y reconfigura los elementos fácticos del caso sin permitir al magistrado recusado pronunciarse, lo que vulnera el principio de contradicción e igualdad de armas.</w:t>
      </w:r>
    </w:p>
    <w:p w14:paraId="3047836E" w14:textId="77777777" w:rsidR="00B35D37" w:rsidRDefault="00B35D37" w:rsidP="00B35D37">
      <w:pPr>
        <w:pStyle w:val="TextoNormal"/>
      </w:pPr>
    </w:p>
    <w:p w14:paraId="243182D0" w14:textId="77777777" w:rsidR="00B35D37" w:rsidRDefault="00B35D37" w:rsidP="00B35D37">
      <w:pPr>
        <w:pStyle w:val="TextoNormal"/>
      </w:pPr>
      <w:r>
        <w:t>El trato privilegiado dado al fiscal para que pudiera replicar las alegaciones del recusado, sin dar la posibilidad de dúplica, ha mermado las garantías constitucionalmente determinadas que este tiene en el expediente de recusación. Abunda en la indefensión producida que el Tribunal Constitucional no se ha pronunciado sobre la posibilidad de que un recusado pueda interponer recurso de súplica frente al auto que, cercenando su derecho fundamental, le aparta definitivamente del conocimiento de un asunto.</w:t>
      </w:r>
    </w:p>
    <w:p w14:paraId="773E54C5" w14:textId="77777777" w:rsidR="00B35D37" w:rsidRDefault="00B35D37" w:rsidP="00B35D37">
      <w:pPr>
        <w:pStyle w:val="TextoNormal"/>
      </w:pPr>
    </w:p>
    <w:p w14:paraId="186B8675" w14:textId="77777777" w:rsidR="00B35D37" w:rsidRDefault="00B35D37" w:rsidP="00B35D37">
      <w:pPr>
        <w:pStyle w:val="TextoNormal"/>
      </w:pPr>
      <w:r>
        <w:t>2. Extemporaneidad de la recusación</w:t>
      </w:r>
    </w:p>
    <w:p w14:paraId="7D04946D" w14:textId="77777777" w:rsidR="00B35D37" w:rsidRDefault="00B35D37" w:rsidP="00B35D37">
      <w:pPr>
        <w:pStyle w:val="TextoNormal"/>
      </w:pPr>
    </w:p>
    <w:p w14:paraId="51EE0A0B" w14:textId="77777777" w:rsidR="00B35D37" w:rsidRDefault="00B35D37" w:rsidP="00B35D37">
      <w:pPr>
        <w:pStyle w:val="TextoNormal"/>
      </w:pPr>
      <w:r>
        <w:t>La recusación es extemporánea.</w:t>
      </w:r>
    </w:p>
    <w:p w14:paraId="1DB55EDD" w14:textId="77777777" w:rsidR="00B35D37" w:rsidRDefault="00B35D37" w:rsidP="00B35D37">
      <w:pPr>
        <w:pStyle w:val="TextoNormal"/>
      </w:pPr>
    </w:p>
    <w:p w14:paraId="469B20D6" w14:textId="77777777" w:rsidR="00B35D37" w:rsidRDefault="00B35D37" w:rsidP="00B35D37">
      <w:pPr>
        <w:pStyle w:val="TextoNormal"/>
      </w:pPr>
      <w:r>
        <w:t>La posición del fiscal general del Estado manifestada en el improcedente —según se examinará— trámite de réplica, que ha sido asumida por el auto del que discrepamos, supone la limitación del ejercicio de las funciones constitucionales relativas a “velar por la independencia de los Tribunales” que el art. 124 de la Constitución Española atribuye al propio Ministerio Fiscal.</w:t>
      </w:r>
    </w:p>
    <w:p w14:paraId="7CDF37FE" w14:textId="77777777" w:rsidR="00B35D37" w:rsidRDefault="00B35D37" w:rsidP="00B35D37">
      <w:pPr>
        <w:pStyle w:val="TextoNormal"/>
      </w:pPr>
    </w:p>
    <w:p w14:paraId="31397FE0" w14:textId="77777777" w:rsidR="00B35D37" w:rsidRDefault="00B35D37" w:rsidP="00B35D37">
      <w:pPr>
        <w:pStyle w:val="TextoNormal"/>
      </w:pPr>
      <w:r>
        <w:t>A los efectos de defender la tempestividad de la recusación se impide que en lo sucesivo —como se expondrá— el fiscal pueda promover un incidente de recusación de los magistrados con anterioridad a que se dicten resoluciones relativas a la admisibilidad de los procesos constitucionales en los que el fiscal interviene.</w:t>
      </w:r>
    </w:p>
    <w:p w14:paraId="35ADC8D4" w14:textId="77777777" w:rsidR="00B35D37" w:rsidRDefault="00B35D37" w:rsidP="00B35D37">
      <w:pPr>
        <w:pStyle w:val="TextoNormal"/>
      </w:pPr>
    </w:p>
    <w:p w14:paraId="13E7719B" w14:textId="77777777" w:rsidR="00B35D37" w:rsidRDefault="00B35D37" w:rsidP="00B35D37">
      <w:pPr>
        <w:pStyle w:val="TextoNormal"/>
      </w:pPr>
      <w:r>
        <w:t>La doctrina expresada en el auto del que discrepamos comporta una injustificada limitación del ejercicio de la función constitucional de “velar por la independencia de los Tribunales” que el art. 124 CE atribuye al Ministerio Fiscal. Este, en lo sucesivo, únicamente podrá promover la recusación de un magistrado una vez se haya dictado la resolución sobre la admisibilidad de los procesos constitucionales en los que intervenga. Se acepta por tanto que dicha resolución inicial pueda ser dictada por un magistrado en quien no concurran las condiciones de imparcialidad constitucionalmente exigidas.</w:t>
      </w:r>
    </w:p>
    <w:p w14:paraId="1E987402" w14:textId="77777777" w:rsidR="00B35D37" w:rsidRDefault="00B35D37" w:rsidP="00B35D37">
      <w:pPr>
        <w:pStyle w:val="TextoNormal"/>
      </w:pPr>
    </w:p>
    <w:p w14:paraId="527B1650" w14:textId="77777777" w:rsidR="00B35D37" w:rsidRDefault="00B35D37" w:rsidP="00B35D37">
      <w:pPr>
        <w:pStyle w:val="TextoNormal"/>
      </w:pPr>
      <w:r>
        <w:t>Hasta el presente auto, constituía doctrina constitucional arraigada [ATC 17/2022, de 25 de enero, FJ 3 b), con cita de otros anteriores] que el plazo para promover el incidente de recusación de un magistrado —en este caso de don José María Macías Castaño— debía computarse desde el momento en que la parte interesada tuvo un conocimiento concreto de los elementos que fundamentan la recusación. Entendemos que dicha doctrina debe ser mantenida. Veamos, por tanto, cuándo se produjo ese conocimiento por el fiscal general del Estado:</w:t>
      </w:r>
    </w:p>
    <w:p w14:paraId="2DC4A023" w14:textId="77777777" w:rsidR="00B35D37" w:rsidRDefault="00B35D37" w:rsidP="00B35D37">
      <w:pPr>
        <w:pStyle w:val="TextoNormal"/>
      </w:pPr>
    </w:p>
    <w:p w14:paraId="165F7872" w14:textId="77777777" w:rsidR="00B35D37" w:rsidRDefault="00B35D37" w:rsidP="00B35D37">
      <w:pPr>
        <w:pStyle w:val="TextoNormal"/>
      </w:pPr>
      <w:r>
        <w:t xml:space="preserve">2.1. </w:t>
      </w:r>
      <w:r w:rsidRPr="00B35D37">
        <w:rPr>
          <w:i/>
        </w:rPr>
        <w:t>Conocimiento por el fiscal general del Estado del planteamiento de la cuestión de inconstitucionalidad</w:t>
      </w:r>
    </w:p>
    <w:p w14:paraId="785738CE" w14:textId="77777777" w:rsidR="00B35D37" w:rsidRDefault="00B35D37" w:rsidP="00B35D37">
      <w:pPr>
        <w:pStyle w:val="TextoNormal"/>
      </w:pPr>
    </w:p>
    <w:p w14:paraId="5BC7A426" w14:textId="77777777" w:rsidR="00B35D37" w:rsidRDefault="00B35D37" w:rsidP="00B35D37">
      <w:pPr>
        <w:pStyle w:val="TextoNormal"/>
      </w:pPr>
      <w:r>
        <w:t>Con carácter general, el Ministerio Fiscal tiene conocimiento del planteamiento de una cuestión de inconstitucionalidad incluso con anterioridad a que sea registrada ante este tribunal. Esto es así porque, como establece el art. 35.2 LOTC, antes de promover la cuestión, y con independencia de la jurisdicción de que se trate, el órgano judicial debe dar traslado al Ministerio Fiscal para informe, notificándole el auto de planteamiento que, en su caso, se dicte.</w:t>
      </w:r>
    </w:p>
    <w:p w14:paraId="0531C242" w14:textId="77777777" w:rsidR="00B35D37" w:rsidRDefault="00B35D37" w:rsidP="00B35D37">
      <w:pPr>
        <w:pStyle w:val="TextoNormal"/>
      </w:pPr>
    </w:p>
    <w:p w14:paraId="3BFD11AB" w14:textId="77777777" w:rsidR="00B35D37" w:rsidRDefault="00B35D37" w:rsidP="00B35D37">
      <w:pPr>
        <w:pStyle w:val="TextoNormal"/>
      </w:pPr>
      <w:r>
        <w:t>Además, conforme al punto II de la Instrucción de la Fiscalía General del Estado 2/2012, de 27 de junio, sobre criterios a seguir en la tramitación de las cuestiones de inconstitucionalidad, el fiscal general del Estado, a través de la Fiscalía ante el Tribunal Constitucional, tiene conocimiento del planteamiento de la cuestión de inconstitucionalidad también con anterioridad a que la misma sea registrada ante este tribunal. En tal sentido indica el referido punto II que:</w:t>
      </w:r>
    </w:p>
    <w:p w14:paraId="4BFC6191" w14:textId="77777777" w:rsidR="00B35D37" w:rsidRDefault="00B35D37" w:rsidP="00B35D37">
      <w:pPr>
        <w:pStyle w:val="TextoNormal"/>
      </w:pPr>
    </w:p>
    <w:p w14:paraId="3149A81B" w14:textId="77777777" w:rsidR="00B35D37" w:rsidRDefault="00B35D37" w:rsidP="00B35D37">
      <w:pPr>
        <w:pStyle w:val="TextoNormal"/>
      </w:pPr>
      <w:r>
        <w:t>“Desde el momento en que se recabe el informe previsto en el art. 35 LOTC, los señores fiscales deben comunicarlo al fiscal jefe y, simultáneamente, este debe ponerlo en conocimiento de la Fiscalía ante el Tribunal Constitucional. La comunicación al primero, además de ajustarse a las prescripciones estatutarias (</w:t>
      </w:r>
      <w:r w:rsidRPr="00B35D37">
        <w:rPr>
          <w:i/>
        </w:rPr>
        <w:t>vid</w:t>
      </w:r>
      <w:r>
        <w:t>. art. 25 [del estatuto orgánico del Ministerio Fiscal]) es necesaria a efectos de que por el fiscal jefe se supervise la correcta tramitación del incidente y la adecuada puesta en conocimiento de la Fiscalía ante el Tribunal Constitucional, a la que debe remitírsele con urgencia la documentación del incidente (providencia de planteamiento y recursos, en su caso, interpuestos por el fiscal y las partes).</w:t>
      </w:r>
    </w:p>
    <w:p w14:paraId="5A01FA91" w14:textId="77777777" w:rsidR="00B35D37" w:rsidRDefault="00B35D37" w:rsidP="00B35D37">
      <w:pPr>
        <w:pStyle w:val="TextoNormal"/>
      </w:pPr>
    </w:p>
    <w:p w14:paraId="5B2D5936" w14:textId="77777777" w:rsidR="00B35D37" w:rsidRDefault="00B35D37" w:rsidP="00B35D37">
      <w:pPr>
        <w:pStyle w:val="TextoNormal"/>
      </w:pPr>
      <w:r>
        <w:t>Habrá de procederse a la comunicación a la Fiscalía ante el Tribunal Constitucional siempre que se abra un incidente conforme al art. 35.2 LOTC, aunque con anterioridad se hubiera promovido una cuestión idéntica que hubiese motivado ya una consulta a dicha Fiscalía.</w:t>
      </w:r>
    </w:p>
    <w:p w14:paraId="079E935C" w14:textId="77777777" w:rsidR="00B35D37" w:rsidRDefault="00B35D37" w:rsidP="00B35D37">
      <w:pPr>
        <w:pStyle w:val="TextoNormal"/>
      </w:pPr>
    </w:p>
    <w:p w14:paraId="5878C384" w14:textId="77777777" w:rsidR="00B35D37" w:rsidRDefault="00B35D37" w:rsidP="00B35D37">
      <w:pPr>
        <w:pStyle w:val="TextoNormal"/>
      </w:pPr>
      <w:r>
        <w:t>El fiscal jefe deberá ponerse en contacto por cualquier medio con la Fiscalía ante el Tribunal Constitucional a los efectos de recabar asesoramiento técnico, obtener información sobre si ya se han tramitado cuestiones de inconstitucionalidad con el mismo objeto y a fin de conocer el criterio a seguir.</w:t>
      </w:r>
    </w:p>
    <w:p w14:paraId="6AB3A9E8" w14:textId="77777777" w:rsidR="00B35D37" w:rsidRDefault="00B35D37" w:rsidP="00B35D37">
      <w:pPr>
        <w:pStyle w:val="TextoNormal"/>
      </w:pPr>
    </w:p>
    <w:p w14:paraId="7CDC7944" w14:textId="77777777" w:rsidR="00B35D37" w:rsidRDefault="00B35D37" w:rsidP="00B35D37">
      <w:pPr>
        <w:pStyle w:val="TextoNormal"/>
      </w:pPr>
      <w:r>
        <w:t>Deberá igualmente remitirse a la Fiscalía ante el Tribunal Constitucional la resolución que ponga fin al incidente, se eleve o no finalmente la cuestión de inconstitucionalidad.</w:t>
      </w:r>
    </w:p>
    <w:p w14:paraId="783A91E3" w14:textId="77777777" w:rsidR="00B35D37" w:rsidRDefault="00B35D37" w:rsidP="00B35D37">
      <w:pPr>
        <w:pStyle w:val="TextoNormal"/>
      </w:pPr>
    </w:p>
    <w:p w14:paraId="48F85224" w14:textId="77777777" w:rsidR="00B35D37" w:rsidRDefault="00B35D37" w:rsidP="00B35D37">
      <w:pPr>
        <w:pStyle w:val="TextoNormal"/>
      </w:pPr>
      <w:r>
        <w:t>La Fiscalía ante el Tribunal Constitucional deberá llevar un registro de cuestiones de inconstitucionalidad y archivará la documentación remitida”.</w:t>
      </w:r>
    </w:p>
    <w:p w14:paraId="71E903AA" w14:textId="77777777" w:rsidR="00B35D37" w:rsidRDefault="00B35D37" w:rsidP="00B35D37">
      <w:pPr>
        <w:pStyle w:val="TextoNormal"/>
      </w:pPr>
    </w:p>
    <w:p w14:paraId="165185F1" w14:textId="77777777" w:rsidR="00B35D37" w:rsidRDefault="00B35D37" w:rsidP="00B35D37">
      <w:pPr>
        <w:pStyle w:val="TextoNormal"/>
      </w:pPr>
      <w:r>
        <w:t>Sin embargo, resulta extraordinariamente relevante que, en este caso concreto, consta expresamente en las actuaciones que el Ministerio Fiscal tuvo conocimiento de la existencia de este procedimiento, al menos, desde el 3 de septiembre de 2024. Es el propio fiscal general del Estado el que admite en el escrito de recusación (antecedente de hecho núm. 2) que tenía conocimiento de la diligencia de ordenación de fecha 30 de julio de 2024, por la que se le notificaba la incoación de este procedimiento, con indicación del magistrado ponente. Y consultadas las actuaciones se aprecia que, efectivamente, en fecha 3 de septiembre de 2024, el Ministerio Fiscal se dio por notificado de la citada diligencia de ordenación, lo que constituye un dato especialmente relevante en este caso, como luego se indicará, que ha sido completamente omitido en el auto suscrito por la mayoría.</w:t>
      </w:r>
    </w:p>
    <w:p w14:paraId="2BFC4CF7" w14:textId="77777777" w:rsidR="00B35D37" w:rsidRDefault="00B35D37" w:rsidP="00B35D37">
      <w:pPr>
        <w:pStyle w:val="TextoNormal"/>
      </w:pPr>
    </w:p>
    <w:p w14:paraId="62339F60" w14:textId="77777777" w:rsidR="00B35D37" w:rsidRDefault="00B35D37" w:rsidP="00B35D37">
      <w:pPr>
        <w:pStyle w:val="TextoNormal"/>
      </w:pPr>
      <w:r>
        <w:t xml:space="preserve">2.2. </w:t>
      </w:r>
      <w:r w:rsidRPr="00B35D37">
        <w:rPr>
          <w:i/>
        </w:rPr>
        <w:t>Conocimiento de la incorporación del magistrado recusado al Tribunal Constitucional (“BOE” de 7 de agosto de 2024 y nota de prensa</w:t>
      </w:r>
      <w:r>
        <w:t>)</w:t>
      </w:r>
    </w:p>
    <w:p w14:paraId="5A975658" w14:textId="77777777" w:rsidR="00B35D37" w:rsidRDefault="00B35D37" w:rsidP="00B35D37">
      <w:pPr>
        <w:pStyle w:val="TextoNormal"/>
      </w:pPr>
    </w:p>
    <w:p w14:paraId="78A5FB9C" w14:textId="77777777" w:rsidR="00B35D37" w:rsidRDefault="00B35D37" w:rsidP="00B35D37">
      <w:pPr>
        <w:pStyle w:val="TextoNormal"/>
      </w:pPr>
      <w:r>
        <w:t>Al menos y, en todo caso, desde la publicación en el “BOE” de 7 de agosto de 2024 del acuerdo de composición de las Salas y Secciones del Tribunal, era evidente y público que el magistrado don José María Macías Castaño se había incorporado al Tribunal Constitucional. No es asumible que se le asigne a Salas y Secciones sin la toma de posesión. Esto implica que el fiscal general del Estado, a través de la Fiscalía ante el Tribunal Constitucional, conocedora —como se ha indicado— del planteamiento de la cuestión de inconstitucionalidad, estaba en condiciones de promover la recusación.</w:t>
      </w:r>
    </w:p>
    <w:p w14:paraId="63D6BDB2" w14:textId="77777777" w:rsidR="00B35D37" w:rsidRDefault="00B35D37" w:rsidP="00B35D37">
      <w:pPr>
        <w:pStyle w:val="TextoNormal"/>
      </w:pPr>
    </w:p>
    <w:p w14:paraId="74F88560" w14:textId="77777777" w:rsidR="00B35D37" w:rsidRDefault="00B35D37" w:rsidP="00B35D37">
      <w:pPr>
        <w:pStyle w:val="TextoNormal"/>
      </w:pPr>
      <w:r>
        <w:t>En efecto, el acuerdo sobre la composición de las Salas y Secciones del Tribunal Constitucional se prevé en el art. 10, apartado 1, letra j), LOTC. Este artículo establece que el Tribunal en Pleno es el encargado de nombrar a los magistrados que han de integrar cada una de las Salas. Según la práctica, este acuerdo se adopta al inicio de cada período de renovación del Tribunal, una vez que los nuevos magistrados han tomado posesión. El acuerdo de reparto no aparece condicionado a una futura toma de posesión, sino que la presupone y surte efectos frente a terceros desde su publicación en el “BOE”. No cabe imaginar que se asigne un magistrado a una determinada Sección y Sala si previamente no se ha incorporado al Tribunal.</w:t>
      </w:r>
    </w:p>
    <w:p w14:paraId="0F542878" w14:textId="77777777" w:rsidR="00B35D37" w:rsidRDefault="00B35D37" w:rsidP="00B35D37">
      <w:pPr>
        <w:pStyle w:val="TextoNormal"/>
      </w:pPr>
    </w:p>
    <w:p w14:paraId="3E6134DA" w14:textId="77777777" w:rsidR="00B35D37" w:rsidRDefault="00B35D37" w:rsidP="00B35D37">
      <w:pPr>
        <w:pStyle w:val="TextoNormal"/>
      </w:pPr>
      <w:r>
        <w:t>Precisamente la publicación de dicho acuerdo corroboraba la exactitud de la nota informativa núm. 80/2024, publicada el 29 de julio de 2024 por el Gabinete del presidente del Tribunal, a través de su oficina de prensa. Dicha nota informativa recogió expresamente, en relación con el magistrado recusado, que “el miércoles 31 de julio tomará posesión en un acto interno, a efectos administrativos y jurídicos”, como así fue y se documentó.</w:t>
      </w:r>
    </w:p>
    <w:p w14:paraId="446D6290" w14:textId="77777777" w:rsidR="00B35D37" w:rsidRDefault="00B35D37" w:rsidP="00B35D37">
      <w:pPr>
        <w:pStyle w:val="TextoNormal"/>
      </w:pPr>
    </w:p>
    <w:p w14:paraId="05892BD0" w14:textId="77777777" w:rsidR="00B35D37" w:rsidRDefault="00B35D37" w:rsidP="00B35D37">
      <w:pPr>
        <w:pStyle w:val="TextoNormal"/>
      </w:pPr>
      <w:r>
        <w:t xml:space="preserve">Recientemente, el Tribunal Constitucional ha reconocido como </w:t>
      </w:r>
      <w:r w:rsidRPr="00B35D37">
        <w:rPr>
          <w:i/>
        </w:rPr>
        <w:t>dies a quo</w:t>
      </w:r>
      <w:r>
        <w:t xml:space="preserve"> del conocimiento de la incorporación de dos magistradas al Pleno, “en la hipótesis más favorable a la parte recusante” —con la consecuencia de declarar extemporánea su recusación— el de la publicación en el “Boletín Oficial del Estado” del acuerdo del Pleno del Tribunal que dispuso la composición de las Salas y Secciones y, en su conjunto, la del propio Pleno [ATC 70/2024, de 16 de julio, FJ 2 C a)]. El auto del que discrepamos se aparta inmotivadamente de dicha doctrina.</w:t>
      </w:r>
    </w:p>
    <w:p w14:paraId="306A4D38" w14:textId="77777777" w:rsidR="00B35D37" w:rsidRDefault="00B35D37" w:rsidP="00B35D37">
      <w:pPr>
        <w:pStyle w:val="TextoNormal"/>
      </w:pPr>
    </w:p>
    <w:p w14:paraId="66B4D9CB" w14:textId="77777777" w:rsidR="00B35D37" w:rsidRDefault="00B35D37" w:rsidP="00B35D37">
      <w:pPr>
        <w:pStyle w:val="TextoNormal"/>
      </w:pPr>
      <w:r>
        <w:t xml:space="preserve">2.3. </w:t>
      </w:r>
      <w:r w:rsidRPr="00B35D37">
        <w:rPr>
          <w:i/>
        </w:rPr>
        <w:t>Inexistencia de doctrina constitucional que determine que el</w:t>
      </w:r>
      <w:r>
        <w:t xml:space="preserve"> dies a quo </w:t>
      </w:r>
      <w:r w:rsidRPr="00B35D37">
        <w:rPr>
          <w:i/>
        </w:rPr>
        <w:t>para la recusación del Ministerio Fiscal comienza desde la admisión de la cuestión de inconstitucionalidad</w:t>
      </w:r>
    </w:p>
    <w:p w14:paraId="75EAD70C" w14:textId="77777777" w:rsidR="00B35D37" w:rsidRDefault="00B35D37" w:rsidP="00B35D37">
      <w:pPr>
        <w:pStyle w:val="TextoNormal"/>
      </w:pPr>
    </w:p>
    <w:p w14:paraId="14BEA275" w14:textId="77777777" w:rsidR="00B35D37" w:rsidRDefault="00B35D37" w:rsidP="00B35D37">
      <w:pPr>
        <w:pStyle w:val="TextoNormal"/>
      </w:pPr>
      <w:r>
        <w:t xml:space="preserve">2.3.1. </w:t>
      </w:r>
      <w:r w:rsidRPr="00B35D37">
        <w:rPr>
          <w:i/>
        </w:rPr>
        <w:t>No es aplicable la reciente doctrina (casualmente elaborada con posterioridad a la recusación planteada, aunque un mes antes de concederle el indebido traslado al Ministerio Fiscal) plasmada en los AATC 116/2024, de 5 de noviembre, y 139/2024, 142/2024, 143/2024, 144/2024 y 145/2024, de 19 de noviembre, entre otros</w:t>
      </w:r>
    </w:p>
    <w:p w14:paraId="57C6D4E4" w14:textId="77777777" w:rsidR="00B35D37" w:rsidRDefault="00B35D37" w:rsidP="00B35D37">
      <w:pPr>
        <w:pStyle w:val="TextoNormal"/>
      </w:pPr>
    </w:p>
    <w:p w14:paraId="1F4E15F2" w14:textId="77777777" w:rsidR="00B35D37" w:rsidRDefault="00B35D37" w:rsidP="00B35D37">
      <w:pPr>
        <w:pStyle w:val="TextoNormal"/>
      </w:pPr>
      <w:r>
        <w:t>Lo primero que debe decirse es que no existen en la historia del Tribunal Constitucional precedentes de que el fiscal general del Estado haya recusado a un magistrado del Tribunal Constitucional y, por tanto, no existe doctrina constitucional sobre la tempestividad de la recusación formulada por el Ministerio Fiscal.</w:t>
      </w:r>
    </w:p>
    <w:p w14:paraId="27A96B9F" w14:textId="77777777" w:rsidR="00B35D37" w:rsidRDefault="00B35D37" w:rsidP="00B35D37">
      <w:pPr>
        <w:pStyle w:val="TextoNormal"/>
      </w:pPr>
    </w:p>
    <w:p w14:paraId="11FF2965" w14:textId="77777777" w:rsidR="00B35D37" w:rsidRDefault="00B35D37" w:rsidP="00B35D37">
      <w:pPr>
        <w:pStyle w:val="TextoNormal"/>
      </w:pPr>
      <w:r>
        <w:t>El ATC 116/2024, de 5 de noviembre, al que se remiten a través de un fundamento único no solo los autos citados en la resolución de la que discrepamos (AATC 139/2024, 142/2024, 143/2024, 144/2024 y 145/2024, de 19 de noviembre) sino los dieciocho autos dictados con posterioridad, (AATC 129/2024 a 146/2024, de 19 de noviembre), se refiere a recursos de inconstitucionalidad y a recusaciones planteadas por el abogado del Estado antes de la admisión a trámite de los mismos. Solo tres autos (los AATC 140/2024, 141/2024 y 146/2024) se refieren a recusaciones planteadas en cuestiones de inconstitucionalidad, si bien tienen en común con todos los demás que el recusante era el abogado del Estado, que no estaba personado en el procedimiento al no haber sido admitido a trámite.</w:t>
      </w:r>
    </w:p>
    <w:p w14:paraId="30426A47" w14:textId="77777777" w:rsidR="00B35D37" w:rsidRDefault="00B35D37" w:rsidP="00B35D37">
      <w:pPr>
        <w:pStyle w:val="TextoNormal"/>
      </w:pPr>
    </w:p>
    <w:p w14:paraId="5C6292D4" w14:textId="77777777" w:rsidR="00B35D37" w:rsidRDefault="00B35D37" w:rsidP="00B35D37">
      <w:pPr>
        <w:pStyle w:val="TextoNormal"/>
      </w:pPr>
      <w:r>
        <w:t>Dicha doctrina indica que el abogado del Estado, cuando no interviene como recurrente en un proceso de inconstitucionalidad, no puede formular recusación antes de que el Pleno se haya pronunciado acerca de la admisibilidad a trámite del recurso de inconstitucionalidad (FJ 3 del ATC 116/2024, y FJ único de los restantes autos). Ese criterio no puede aplicarse al Ministerio Fiscal en una cuestión de inconstitucionalidad.</w:t>
      </w:r>
    </w:p>
    <w:p w14:paraId="5B107CAC" w14:textId="77777777" w:rsidR="00B35D37" w:rsidRDefault="00B35D37" w:rsidP="00B35D37">
      <w:pPr>
        <w:pStyle w:val="TextoNormal"/>
      </w:pPr>
    </w:p>
    <w:p w14:paraId="3459AD3D" w14:textId="77777777" w:rsidR="00B35D37" w:rsidRDefault="00B35D37" w:rsidP="00B35D37">
      <w:pPr>
        <w:pStyle w:val="TextoNormal"/>
      </w:pPr>
      <w:r>
        <w:t xml:space="preserve">En nada se refiere dicha doctrina al </w:t>
      </w:r>
      <w:r w:rsidRPr="00B35D37">
        <w:rPr>
          <w:i/>
        </w:rPr>
        <w:t>dies a quo</w:t>
      </w:r>
      <w:r>
        <w:t xml:space="preserve"> para la intervención del Ministerio Fiscal en las recusaciones. Ni en nada imposibilita dicha doctrina, como no podía ser de otro modo, que el fiscal pueda promover recusación antes de que se dicte la providencia por la que se acuerda la admisión de la cuestión o por la que se le concede audiencia al faltar en la misma las condiciones procesales o al ser notoriamente infundada (art. 37 LOTC). De hecho, la situación del Ministerio Fiscal es completamente distinta a la del abogado del Estado, puesto que este ni siquiera conoce la existencia del procedimiento hasta que no se admite a trámite, mientras que la Fiscalía tiene conocimiento de la propia incoación de la cuestión de inconstitucionalidad que, en este caso, le fue notificada el 3 de septiembre de 2024.</w:t>
      </w:r>
    </w:p>
    <w:p w14:paraId="15BAE560" w14:textId="77777777" w:rsidR="00B35D37" w:rsidRDefault="00B35D37" w:rsidP="00B35D37">
      <w:pPr>
        <w:pStyle w:val="TextoNormal"/>
      </w:pPr>
    </w:p>
    <w:p w14:paraId="5F320EFF" w14:textId="77777777" w:rsidR="00B35D37" w:rsidRDefault="00B35D37" w:rsidP="00B35D37">
      <w:pPr>
        <w:pStyle w:val="TextoNormal"/>
      </w:pPr>
      <w:r>
        <w:t>El propio fiscal general del Estado en su recusación no toma en consideración la fecha de admisión de la cuestión o la de su notificación. Es lógico que no lo haga, porque esa no era la doctrina vigente, aunque luego en la réplica indebidamente concedida rectifique su planteamiento en un incomprensible intento de salvar la extemporaneidad de la recusación, teniendo en cuenta las consecuencias que el novedoso criterio supone para el ejercicio de sus funciones constitucionalmente previstas: “velar por la independencia de los Tribunales” (art. 124 CE). El fiscal general del Estado es parte necesaria en la fase de admisión de una cuestión de inconstitucionalidad. No solo se le notifica la mera recepción de la cuestión de inconstitucionalidad, sino que debe intervenir en el procedimiento de planteamiento de la cuestión de inconstitucionalidad, aunque no sea parte en el proceso de origen (art. 35.2 LOTC).</w:t>
      </w:r>
    </w:p>
    <w:p w14:paraId="3ABC6DCC" w14:textId="77777777" w:rsidR="00B35D37" w:rsidRDefault="00B35D37" w:rsidP="00B35D37">
      <w:pPr>
        <w:pStyle w:val="TextoNormal"/>
      </w:pPr>
    </w:p>
    <w:p w14:paraId="39ACC7ED" w14:textId="77777777" w:rsidR="00B35D37" w:rsidRDefault="00B35D37" w:rsidP="00B35D37">
      <w:pPr>
        <w:pStyle w:val="TextoNormal"/>
      </w:pPr>
      <w:r>
        <w:t xml:space="preserve">Como se ha expuesto, no puede aceptarse —sin matices— la afirmación del auto suscrito por la mayoría en virtud de la cual se indica que “[s]i bien es cierto que el Ministerio Fiscal ha de ser oído en esa fase previa al planteamiento formal de la cuestión de inconstitucionalidad, también lo es que </w:t>
      </w:r>
      <w:r w:rsidRPr="00B35D37">
        <w:rPr>
          <w:i/>
        </w:rPr>
        <w:t>bajo ningún concepto le está permitido promover</w:t>
      </w:r>
      <w:r>
        <w:t>, en tal momento procesal, la recusación de ninguno de los integrantes del Tribunal Constitucional” (la cursiva es nuestra).</w:t>
      </w:r>
    </w:p>
    <w:p w14:paraId="76555CB3" w14:textId="77777777" w:rsidR="00B35D37" w:rsidRDefault="00B35D37" w:rsidP="00B35D37">
      <w:pPr>
        <w:pStyle w:val="TextoNormal"/>
      </w:pPr>
    </w:p>
    <w:p w14:paraId="44487378" w14:textId="77777777" w:rsidR="00B35D37" w:rsidRDefault="00B35D37" w:rsidP="00B35D37">
      <w:pPr>
        <w:pStyle w:val="TextoNormal"/>
      </w:pPr>
      <w:r>
        <w:t>El Ministerio Fiscal puede y debe plantear la recusación de un magistrado tan pronto como tenga noticia de que concurre causa para ello, y eso incluye la fase desde la recepción de la cuestión ante este tribunal hasta el momento de la decisión sobre la admisión o inadmisión. Exigir que para que el fiscal pueda velar por la independencia de los órganos judiciales se haya dictado una decisión de admisión o inadmisión de la cuestión de inconstitucionalidad, esto es, que se haya constituido la relación jurídico procesal, no solo impediría injustificadamente el ejercicio de sus cometidos constitucionales (art. 124.1 CE) sino que supondría una interpretación contraria a la efectiva protección de los derechos de los ciudadanos que también tiene encomendada.</w:t>
      </w:r>
    </w:p>
    <w:p w14:paraId="700E5C1D" w14:textId="77777777" w:rsidR="00B35D37" w:rsidRDefault="00B35D37" w:rsidP="00B35D37">
      <w:pPr>
        <w:pStyle w:val="TextoNormal"/>
      </w:pPr>
    </w:p>
    <w:p w14:paraId="5622CB55" w14:textId="77777777" w:rsidR="00B35D37" w:rsidRDefault="00B35D37" w:rsidP="00B35D37">
      <w:pPr>
        <w:pStyle w:val="TextoNormal"/>
      </w:pPr>
      <w:r>
        <w:t>La interpretación sostenida en el auto para defender que la recusación no es extemporánea es sencillamente inasumible y desconoce la posición constitucional del Ministerio Fiscal.</w:t>
      </w:r>
    </w:p>
    <w:p w14:paraId="095ABDD1" w14:textId="77777777" w:rsidR="00B35D37" w:rsidRDefault="00B35D37" w:rsidP="00B35D37">
      <w:pPr>
        <w:pStyle w:val="TextoNormal"/>
      </w:pPr>
    </w:p>
    <w:p w14:paraId="37089846" w14:textId="77777777" w:rsidR="00B35D37" w:rsidRDefault="00B35D37" w:rsidP="00B35D37">
      <w:pPr>
        <w:pStyle w:val="TextoNormal"/>
      </w:pPr>
      <w:r>
        <w:t>De este modo, se infringe el art. 223.1 LOPJ, de supletoria aplicación (art. 80 LOTC), así como la doctrina de este tribunal acerca de la improcedencia de un uso estratégico de la recusación, evitando condicionar su actuación o alterar el normal desarrollo del proceso y generar incertidumbre acerca de la estabilidad y composición del Tribunal [ATC 17/2022, FJ 3 b)].</w:t>
      </w:r>
    </w:p>
    <w:p w14:paraId="5F08C086" w14:textId="77777777" w:rsidR="00B35D37" w:rsidRDefault="00B35D37" w:rsidP="00B35D37">
      <w:pPr>
        <w:pStyle w:val="TextoNormal"/>
      </w:pPr>
    </w:p>
    <w:p w14:paraId="48867837" w14:textId="77777777" w:rsidR="00B35D37" w:rsidRDefault="00B35D37" w:rsidP="00B35D37">
      <w:pPr>
        <w:pStyle w:val="TextoNormal"/>
      </w:pPr>
      <w:r>
        <w:t>Conforme al ATC 180/2013, de 17 de septiembre, FJ 2 f), la recusación no puede ser utilizada como una herramienta para condicionar o influir en el desarrollo del procedimiento judicial o la actuación de los magistrados. Se trata de impedir que la recusación se convierta en una forma de amenaza o presión al juez, permitiendo a las partes invocar causas de recusación de manera tardía para alterar la composición del Tribunal en función de la evolución del proceso. Este es el fundamento del art. 223.1 LOPJ que el auto contraviene.</w:t>
      </w:r>
    </w:p>
    <w:p w14:paraId="54F88B1D" w14:textId="77777777" w:rsidR="00B35D37" w:rsidRDefault="00B35D37" w:rsidP="00B35D37">
      <w:pPr>
        <w:pStyle w:val="TextoNormal"/>
      </w:pPr>
    </w:p>
    <w:p w14:paraId="25DF0382" w14:textId="77777777" w:rsidR="00B35D37" w:rsidRDefault="00B35D37" w:rsidP="00B35D37">
      <w:pPr>
        <w:pStyle w:val="TextoNormal"/>
      </w:pPr>
      <w:r>
        <w:t>El argumento expuesto en el escrito de réplica por el fiscal general del Estado, asumido por el auto, autolimita el ejercicio de sus funciones constitucionales y debilita los instrumentos para la tutela de los derechos fundamentales de los ciudadanos. Se priva al fiscal del instrumento de la recusación para impedir que un magistrado, en quien pudiera concurrir una evidente causa de recusación, pueda dictar una decisión acerca de la admisibilidad de cualquier cuestión de inconstitucionalidad y, por extensión, de un recurso de amparo.</w:t>
      </w:r>
    </w:p>
    <w:p w14:paraId="60499F05" w14:textId="77777777" w:rsidR="00B35D37" w:rsidRDefault="00B35D37" w:rsidP="00B35D37">
      <w:pPr>
        <w:pStyle w:val="TextoNormal"/>
      </w:pPr>
    </w:p>
    <w:p w14:paraId="0626A8E5" w14:textId="77777777" w:rsidR="00B35D37" w:rsidRDefault="00B35D37" w:rsidP="00B35D37">
      <w:pPr>
        <w:pStyle w:val="TextoNormal"/>
      </w:pPr>
      <w:r>
        <w:t xml:space="preserve">En este caso, como ya se ha expuesto, el fiscal general del Estado conocía la composición del Pleno desde, al menos, el 7 de agosto de 2024; y conocía también la existencia de este procedimiento desde, al menos, el 3 de septiembre de 2024. En consecuencia, y en última instancia, tomando como </w:t>
      </w:r>
      <w:r w:rsidRPr="00B35D37">
        <w:rPr>
          <w:i/>
        </w:rPr>
        <w:t>dies a quo</w:t>
      </w:r>
      <w:r>
        <w:t xml:space="preserve"> esta segunda fecha, el plazo para la promoción de la recusación finalizaba el 17 de septiembre de 2024, por lo que el escrito del fiscal general del Estado se presentó de forma extemporánea.</w:t>
      </w:r>
    </w:p>
    <w:p w14:paraId="2C79CAB1" w14:textId="77777777" w:rsidR="00B35D37" w:rsidRDefault="00B35D37" w:rsidP="00B35D37">
      <w:pPr>
        <w:pStyle w:val="TextoNormal"/>
      </w:pPr>
    </w:p>
    <w:p w14:paraId="13B5A42A" w14:textId="77777777" w:rsidR="00B35D37" w:rsidRDefault="00B35D37" w:rsidP="00B35D37">
      <w:pPr>
        <w:pStyle w:val="TextoNormal"/>
      </w:pPr>
      <w:r>
        <w:t xml:space="preserve">2.3.2. </w:t>
      </w:r>
      <w:r w:rsidRPr="00B35D37">
        <w:rPr>
          <w:i/>
        </w:rPr>
        <w:t>Incumplimiento de la LOTC, que remite a la LEC y a la LOPJ. Obligación de plantear recusación antes de la primera actuación del magistrado recusado</w:t>
      </w:r>
    </w:p>
    <w:p w14:paraId="310238A7" w14:textId="77777777" w:rsidR="00B35D37" w:rsidRDefault="00B35D37" w:rsidP="00B35D37">
      <w:pPr>
        <w:pStyle w:val="TextoNormal"/>
      </w:pPr>
    </w:p>
    <w:p w14:paraId="7C558F1D" w14:textId="77777777" w:rsidR="00B35D37" w:rsidRDefault="00B35D37" w:rsidP="00B35D37">
      <w:pPr>
        <w:pStyle w:val="TextoNormal"/>
      </w:pPr>
      <w:r>
        <w:t>La LOPJ, en su artículo 223.1, de aplicación supletoria (art. 80 LOTC), establece que la recusación debe formularse tan pronto como se tenga conocimiento de la causa que la motiva.</w:t>
      </w:r>
    </w:p>
    <w:p w14:paraId="7B412644" w14:textId="77777777" w:rsidR="00B35D37" w:rsidRDefault="00B35D37" w:rsidP="00B35D37">
      <w:pPr>
        <w:pStyle w:val="TextoNormal"/>
      </w:pPr>
    </w:p>
    <w:p w14:paraId="1E60CB7A" w14:textId="77777777" w:rsidR="00B35D37" w:rsidRDefault="00B35D37" w:rsidP="00B35D37">
      <w:pPr>
        <w:pStyle w:val="TextoNormal"/>
      </w:pPr>
      <w:r>
        <w:t>El precepto indica con toda claridad (art. 223.1.2) que las recusaciones se inadmitirán “[c]uando se propusieren, pendiente ya un proceso, si la causa de recusación se conociese con anterioridad al momento procesal en que la recusación se proponga”.</w:t>
      </w:r>
    </w:p>
    <w:p w14:paraId="55F6F9FA" w14:textId="77777777" w:rsidR="00B35D37" w:rsidRDefault="00B35D37" w:rsidP="00B35D37">
      <w:pPr>
        <w:pStyle w:val="TextoNormal"/>
      </w:pPr>
    </w:p>
    <w:p w14:paraId="1201550A" w14:textId="77777777" w:rsidR="00B35D37" w:rsidRDefault="00B35D37" w:rsidP="00B35D37">
      <w:pPr>
        <w:pStyle w:val="TextoNormal"/>
      </w:pPr>
      <w:r>
        <w:t>Debe indicarse que la primera actuación del magistrado se produjo el 11 de septiembre cuando el Pleno, con la intervención de don José María Macías Castaño, admitió a trámite la cuestión de inconstitucionalidad. El respeto del art. 223.1.2 LOPJ exige que cualquier recusación formulada por el fiscal general del Estado se hubiera planteado antes de dicha providencia y, en todo caso, dentro del plazo de diez días contados desde el conocimiento de la identidad del magistrado en quien concurre la causa de recusación invocada (art. 223.1.1 LOPJ), en este caso —al menos— desde el 7 de agosto de 2024, salvo que existiera —que no es el caso— una causa sobrevenida que justificara la demora, pues la causa de recusación alegada —la intervención del magistrado recusado como vocal del Consejo General del Poder Judicial— era de conocimiento público y general con anterioridad.</w:t>
      </w:r>
    </w:p>
    <w:p w14:paraId="15CEB9E1" w14:textId="77777777" w:rsidR="00B35D37" w:rsidRDefault="00B35D37" w:rsidP="00B35D37">
      <w:pPr>
        <w:pStyle w:val="TextoNormal"/>
      </w:pPr>
    </w:p>
    <w:p w14:paraId="3B675CD3" w14:textId="77777777" w:rsidR="00B35D37" w:rsidRDefault="00B35D37" w:rsidP="00B35D37">
      <w:pPr>
        <w:pStyle w:val="TextoNormal"/>
      </w:pPr>
      <w:r>
        <w:t>Por tanto, además de lo expuesto sobre la limitación de la posición constitucional que le corresponde al Ministerio Fiscal (art. 124 CE), la interpretación efectuada en el auto (“bajo ningún concepto le está permitido promover, en tal momento procesal”) contraviene directamente el art. 223 LOPJ, si se entiende y extiende a la imposibilidad de que el fiscal general del Estado promueva una recusación antes de la admisión formal de una cuestión de inconstitucionalidad.</w:t>
      </w:r>
    </w:p>
    <w:p w14:paraId="280B6B66" w14:textId="77777777" w:rsidR="00B35D37" w:rsidRDefault="00B35D37" w:rsidP="00B35D37">
      <w:pPr>
        <w:pStyle w:val="TextoNormal"/>
      </w:pPr>
    </w:p>
    <w:p w14:paraId="06735DAB" w14:textId="77777777" w:rsidR="00B35D37" w:rsidRDefault="00B35D37" w:rsidP="00B35D37">
      <w:pPr>
        <w:pStyle w:val="TextoNormal"/>
      </w:pPr>
      <w:r>
        <w:t>La actuación constitucional del fiscal general del Estado como posible recusante no puede restringirse, como sostiene el auto, al momento en que el Tribunal decida iniciar el trámite previsto en el art. 37.1 LOTC. Incluso para la apertura de dicho trámite es imprescindible que se cumplan las condiciones de imparcialidad de los miembros del Tribunal. El fiscal general del Estado tiene el deber de velar por la independencia de los tribunales desde el primer momento en que se aprecie que concurre causa de recusación.</w:t>
      </w:r>
    </w:p>
    <w:p w14:paraId="4560051E" w14:textId="77777777" w:rsidR="00B35D37" w:rsidRDefault="00B35D37" w:rsidP="00B35D37">
      <w:pPr>
        <w:pStyle w:val="TextoNormal"/>
      </w:pPr>
    </w:p>
    <w:p w14:paraId="6E29855C" w14:textId="77777777" w:rsidR="00B35D37" w:rsidRDefault="00B35D37" w:rsidP="00B35D37">
      <w:pPr>
        <w:pStyle w:val="TextoNormal"/>
      </w:pPr>
      <w:r>
        <w:t>La doctrina del auto abre la puerta a comportamientos de invocación selectiva, estratégica o arbitraria de las causas de recusación. No se puede admitir, por un lado, que este tribunal permita que el fiscal general del Estado, teniendo conocimiento de una causa de recusación, posibilite la participación de un magistrado en la fase de admisión de la cuestión y, por otro, que posteriormente pretenda limitar su actuación jurisdiccional en las fases siguientes promoviendo el incidente de recusación en un momento tardío cuando la lesión al derecho a un juez imparcial se ha consumado. La imparcialidad no puede fragmentarse en las distintas etapas del procedimiento.</w:t>
      </w:r>
    </w:p>
    <w:p w14:paraId="4B27A469" w14:textId="77777777" w:rsidR="00B35D37" w:rsidRDefault="00B35D37" w:rsidP="00B35D37">
      <w:pPr>
        <w:pStyle w:val="TextoNormal"/>
      </w:pPr>
    </w:p>
    <w:p w14:paraId="311436C0" w14:textId="77777777" w:rsidR="00B35D37" w:rsidRDefault="00B35D37" w:rsidP="00B35D37">
      <w:pPr>
        <w:pStyle w:val="TextoNormal"/>
      </w:pPr>
      <w:r>
        <w:t xml:space="preserve">El Tribunal Europeo de Derechos Humanos ha sostenido que “cuando el Derecho interno ofrece la posibilidad de eliminar las preocupaciones relativas a la imparcialidad de un tribunal o de un juez, cabría esperar que un demandante que realmente creyera que existen preocupaciones discutibles por ese motivo las planteara a la primera oportunidad. Esto permitiría sobre todo a las autoridades internas examinar las quejas del solicitante en el momento pertinente, y garantizar el respeto de sus derechos (véase, por ejemplo, </w:t>
      </w:r>
      <w:r w:rsidRPr="00B35D37">
        <w:rPr>
          <w:i/>
        </w:rPr>
        <w:t>Miljević c. Croacia</w:t>
      </w:r>
      <w:r>
        <w:t>, núm. 68317/13, § 88, 25 de junio de 2020 y los casos citados en el mismo)” (STEDH de 17 de diciembre de 2020, asunt</w:t>
      </w:r>
      <w:r w:rsidRPr="00B35D37">
        <w:rPr>
          <w:i/>
        </w:rPr>
        <w:t>o Croatian Golf Federatión c. Croac</w:t>
      </w:r>
      <w:r>
        <w:t>ia, § 110).</w:t>
      </w:r>
    </w:p>
    <w:p w14:paraId="63CCB038" w14:textId="77777777" w:rsidR="00B35D37" w:rsidRDefault="00B35D37" w:rsidP="00B35D37">
      <w:pPr>
        <w:pStyle w:val="TextoNormal"/>
      </w:pPr>
    </w:p>
    <w:p w14:paraId="6F41AD2C" w14:textId="77777777" w:rsidR="00B35D37" w:rsidRDefault="00B35D37" w:rsidP="00B35D37">
      <w:pPr>
        <w:pStyle w:val="TextoNormal"/>
      </w:pPr>
      <w:r>
        <w:t xml:space="preserve">De no hacerlo, la consecuencia para el Tribunal Europeo de Derechos Humanos es clara, “impediría concluir que el supuesto defecto de procedimiento denunciado había interferido en el derecho del solicitante a un juicio justo, lo que en consecuencia haría que sus quejas fueran inadmisibles por estar manifiestamente infundadas” (STEDH de 25 de abril de 2013, asunto </w:t>
      </w:r>
      <w:r w:rsidRPr="00B35D37">
        <w:rPr>
          <w:i/>
        </w:rPr>
        <w:t>Zahirović c. Croacia</w:t>
      </w:r>
      <w:r>
        <w:t xml:space="preserve">, núm. 58590/11, § 35 y 36, y decisión de 10 de noviembre de 2015, asunto </w:t>
      </w:r>
      <w:r w:rsidRPr="00B35D37">
        <w:rPr>
          <w:i/>
        </w:rPr>
        <w:t>Smailagić c. Croacia</w:t>
      </w:r>
      <w:r>
        <w:t>, núm. 77707/13, § 32; así como STEDH de 25 de junio de 2020, asunt</w:t>
      </w:r>
      <w:r w:rsidRPr="00B35D37">
        <w:rPr>
          <w:i/>
        </w:rPr>
        <w:t>o Miljević c. Croac</w:t>
      </w:r>
      <w:r>
        <w:t>ia, § 88).</w:t>
      </w:r>
    </w:p>
    <w:p w14:paraId="3F6045FC" w14:textId="77777777" w:rsidR="00B35D37" w:rsidRDefault="00B35D37" w:rsidP="00B35D37">
      <w:pPr>
        <w:pStyle w:val="TextoNormal"/>
      </w:pPr>
    </w:p>
    <w:p w14:paraId="6E53FC9A" w14:textId="77777777" w:rsidR="00B35D37" w:rsidRDefault="00B35D37" w:rsidP="00B35D37">
      <w:pPr>
        <w:pStyle w:val="TextoNormal"/>
      </w:pPr>
      <w:r>
        <w:t>La admisión a trámite de la recusación planteada tardíamente ha supuesto someter al magistrado recusado a una indeseable incertidumbre y menoscabar la necesaria estabilidad del colegio de magistrados del Tribunal en un asunto de especial trascendencia política. Además, puede servir de sustento para alentar improcedentes estrategias procesales, al hacer depender la recusación del contenido de la providencia dictada al amparo del art. 37 LOTC.</w:t>
      </w:r>
    </w:p>
    <w:p w14:paraId="72B056C3" w14:textId="77777777" w:rsidR="00B35D37" w:rsidRDefault="00B35D37" w:rsidP="00B35D37">
      <w:pPr>
        <w:pStyle w:val="TextoNormal"/>
      </w:pPr>
    </w:p>
    <w:p w14:paraId="28572C42" w14:textId="77777777" w:rsidR="00B35D37" w:rsidRDefault="00B35D37" w:rsidP="00B35D37">
      <w:pPr>
        <w:pStyle w:val="TextoNormal"/>
      </w:pPr>
      <w:r>
        <w:t>Como se expuso en el ATC 17/2022, FJ 3 b): “[n]inguno de los intervinientes debe verse sometido a una permanente incertidumbre en sus legítimas expectativas sobre la apariencia de imparcialidad de quien ha de resolver su causa. El derecho al juez imparcial debe hacerse valer a través del instrumento de la recusación, pero el resto de las partes debe tener la garantía de que cualquier duda sobre esa imparcialidad ha de ser despejada tan pronto como sea posible, precisamente en garantía de ese derecho, y no en función de una mera estrategia procesal de otra de las partes”.</w:t>
      </w:r>
    </w:p>
    <w:p w14:paraId="29F24C12" w14:textId="77777777" w:rsidR="00B35D37" w:rsidRDefault="00B35D37" w:rsidP="00B35D37">
      <w:pPr>
        <w:pStyle w:val="TextoNormal"/>
      </w:pPr>
    </w:p>
    <w:p w14:paraId="4B2472BB" w14:textId="77777777" w:rsidR="00B35D37" w:rsidRDefault="00B35D37" w:rsidP="00B35D37">
      <w:pPr>
        <w:pStyle w:val="TextoNormal"/>
      </w:pPr>
      <w:r>
        <w:t xml:space="preserve">En este caso, se insiste, el fiscal general del Estado conocía la composición del Pleno desde, al menos, el 7 de agosto de 2024; y conocía también la existencia de este procedimiento desde, al menos, el 3 de septiembre de 2024. En consecuencia, y en última instancia, tomando como </w:t>
      </w:r>
      <w:r w:rsidRPr="00B35D37">
        <w:rPr>
          <w:i/>
        </w:rPr>
        <w:t>dies a quo</w:t>
      </w:r>
      <w:r>
        <w:t xml:space="preserve"> esta segunda fecha, el plazo para la promoción de la recusación finalizaba el 17 de septiembre de 2024, por lo que el escrito del fiscal general del Estado se presentó de forma extemporánea.</w:t>
      </w:r>
    </w:p>
    <w:p w14:paraId="7E751327" w14:textId="77777777" w:rsidR="00B35D37" w:rsidRDefault="00B35D37" w:rsidP="00B35D37">
      <w:pPr>
        <w:pStyle w:val="TextoNormal"/>
      </w:pPr>
    </w:p>
    <w:p w14:paraId="2A886410" w14:textId="77777777" w:rsidR="00B35D37" w:rsidRDefault="00B35D37" w:rsidP="00B35D37">
      <w:pPr>
        <w:pStyle w:val="TextoNormal"/>
      </w:pPr>
      <w:r>
        <w:t>3. Carácter infundado de la recusación</w:t>
      </w:r>
    </w:p>
    <w:p w14:paraId="62DDC2E7" w14:textId="77777777" w:rsidR="00B35D37" w:rsidRDefault="00B35D37" w:rsidP="00B35D37">
      <w:pPr>
        <w:pStyle w:val="TextoNormal"/>
      </w:pPr>
    </w:p>
    <w:p w14:paraId="20746E1A" w14:textId="77777777" w:rsidR="00B35D37" w:rsidRDefault="00B35D37" w:rsidP="00B35D37">
      <w:pPr>
        <w:pStyle w:val="TextoNormal"/>
      </w:pPr>
      <w:r>
        <w:t xml:space="preserve">3.1. </w:t>
      </w:r>
      <w:r w:rsidRPr="00B35D37">
        <w:rPr>
          <w:i/>
        </w:rPr>
        <w:t>Estatus protegido por el ejercicio del magistrado recusado de sus funciones como vocal del Consejo General del Poder Judicial</w:t>
      </w:r>
    </w:p>
    <w:p w14:paraId="6E754B35" w14:textId="77777777" w:rsidR="00B35D37" w:rsidRDefault="00B35D37" w:rsidP="00B35D37">
      <w:pPr>
        <w:pStyle w:val="TextoNormal"/>
      </w:pPr>
    </w:p>
    <w:p w14:paraId="4492D300" w14:textId="77777777" w:rsidR="00B35D37" w:rsidRDefault="00B35D37" w:rsidP="00B35D37">
      <w:pPr>
        <w:pStyle w:val="TextoNormal"/>
      </w:pPr>
      <w:r>
        <w:t>Con carácter previo debe indicarse que en la actual composición del Tribunal Constitucional existen cuatro ex vocales del Consejo General del Poder Judicial. Apartar a tales magistrados contra su voluntad por haber emitido opiniones jurídicas en el marco de las funciones consultivas atribuidas a dicho órgano constitucional afecta a la garantía de independencia con la que debe desempeñarse la función de vocal del Consejo y puede producir un efecto de desaliento en el ejercicio de las importantes funciones consultivas que dicho órgano está llamado a realizar. Se produce el riesgo de que el recto ejercicio de las funciones consultivas por los vocales del Consejo pueda suponer un obstáculo para eventuales nombramientos como magistrados del Tribunal Constitucional y con ello que se vea concernida la garantía de independencia exigida a dicho órgano.</w:t>
      </w:r>
    </w:p>
    <w:p w14:paraId="0269FAC8" w14:textId="77777777" w:rsidR="00B35D37" w:rsidRDefault="00B35D37" w:rsidP="00B35D37">
      <w:pPr>
        <w:pStyle w:val="TextoNormal"/>
      </w:pPr>
    </w:p>
    <w:p w14:paraId="6DECE9A4" w14:textId="77777777" w:rsidR="00B35D37" w:rsidRDefault="00B35D37" w:rsidP="00B35D37">
      <w:pPr>
        <w:pStyle w:val="TextoNormal"/>
      </w:pPr>
      <w:r>
        <w:t xml:space="preserve">La jurisprudencia del Tribunal de Justicia de la Unión Europea, STJUE de 24 de junio de 2019, asunto C-619/18, </w:t>
      </w:r>
      <w:r w:rsidRPr="00B35D37">
        <w:rPr>
          <w:i/>
        </w:rPr>
        <w:t>Comisión Europea c. Polonia</w:t>
      </w:r>
      <w:r>
        <w:t>, establece que la independencia judicial incluye tanto a los jueces como a los órganos responsables de su nombramiento y supervisión (FJ 77). Dicha garantía incluye que sus miembros puedan ejercer sus funciones sin temor a represalias por parte de otros poderes del Estado.</w:t>
      </w:r>
    </w:p>
    <w:p w14:paraId="1541754E" w14:textId="77777777" w:rsidR="00B35D37" w:rsidRDefault="00B35D37" w:rsidP="00B35D37">
      <w:pPr>
        <w:pStyle w:val="TextoNormal"/>
      </w:pPr>
    </w:p>
    <w:p w14:paraId="63C44B99" w14:textId="77777777" w:rsidR="00B35D37" w:rsidRDefault="00B35D37" w:rsidP="00B35D37">
      <w:pPr>
        <w:pStyle w:val="TextoNormal"/>
      </w:pPr>
      <w:r>
        <w:t>En los términos utilizados por la STJUE recaída en el asunto C-619/18, § 112:</w:t>
      </w:r>
    </w:p>
    <w:p w14:paraId="00545EAC" w14:textId="77777777" w:rsidR="00B35D37" w:rsidRDefault="00B35D37" w:rsidP="00B35D37">
      <w:pPr>
        <w:pStyle w:val="TextoNormal"/>
      </w:pPr>
    </w:p>
    <w:p w14:paraId="6FE5EA76" w14:textId="77777777" w:rsidR="00B35D37" w:rsidRDefault="00B35D37" w:rsidP="00B35D37">
      <w:pPr>
        <w:pStyle w:val="TextoNormal"/>
      </w:pPr>
      <w:r>
        <w:t>“Así pues, dichas normas deben permitir excluir no solo cualquier influencia directa, en forma de instrucciones, sino también las formas de influencia más indirecta que pudieran orientar las decisiones de los jueces de que se trate (véanse, por analogía, las sentencias de 16 de octubre de 2012, Comisión/Austria, C-614/10, EU:C:2012:631, apartado 43, y de 8 de abril de 2014, Comisión/Hungría, C-288/12, EU:C:2014:237, apartado 51)”.</w:t>
      </w:r>
    </w:p>
    <w:p w14:paraId="309E667F" w14:textId="77777777" w:rsidR="00B35D37" w:rsidRDefault="00B35D37" w:rsidP="00B35D37">
      <w:pPr>
        <w:pStyle w:val="TextoNormal"/>
      </w:pPr>
    </w:p>
    <w:p w14:paraId="04431563" w14:textId="77777777" w:rsidR="00B35D37" w:rsidRDefault="00B35D37" w:rsidP="00B35D37">
      <w:pPr>
        <w:pStyle w:val="TextoNormal"/>
      </w:pPr>
      <w:r>
        <w:t>De modo que el apartamiento de un magistrado del Tribunal Constitucional en un proceso de inconstitucionalidad de una Ley por haber emitido, como miembro del órgano de gobierno de los jueces, opiniones jurídicas facultativas en el proceso de elaboración de la norma sometida al control de constitucionalidad afecta a la garantía de inamovilidad de los miembros del Consejo General del Poder Judicial. Estos pueden ver limitadas sus posibilidades para ser nombrados magistrados de este tribunal por el solo hecho de cumplir rectamente con las obligaciones de su cargo.</w:t>
      </w:r>
    </w:p>
    <w:p w14:paraId="12901A86" w14:textId="77777777" w:rsidR="00B35D37" w:rsidRDefault="00B35D37" w:rsidP="00B35D37">
      <w:pPr>
        <w:pStyle w:val="TextoNormal"/>
      </w:pPr>
    </w:p>
    <w:p w14:paraId="3AF5E0DC" w14:textId="77777777" w:rsidR="00B35D37" w:rsidRDefault="00B35D37" w:rsidP="00B35D37">
      <w:pPr>
        <w:pStyle w:val="TextoNormal"/>
      </w:pPr>
      <w:r>
        <w:t>Con ello se debilita la posibilidad de que los vocales del Consejo puedan tomar decisiones objetivas libres de presiones políticas y de modo reflejo se imposibilita injustificadamente que el magistrado recusado ejerza las funciones de magistrado del Tribunal Constitucional. Circunstancia que se agrava porque el Tribunal Constitucional —con dicho pronunciamiento— se separa, como veremos, de la doctrina aplicable con carácter general a las recusaciones y, particularmente, soslaya el reciente pronunciamiento emitido en el ATC 28/2023, de 7 de febrero, en un supuesto similar.</w:t>
      </w:r>
    </w:p>
    <w:p w14:paraId="3B10A2B1" w14:textId="77777777" w:rsidR="00B35D37" w:rsidRDefault="00B35D37" w:rsidP="00B35D37">
      <w:pPr>
        <w:pStyle w:val="TextoNormal"/>
      </w:pPr>
    </w:p>
    <w:p w14:paraId="32AF4E78" w14:textId="77777777" w:rsidR="00B35D37" w:rsidRDefault="00B35D37" w:rsidP="00B35D37">
      <w:pPr>
        <w:pStyle w:val="TextoNormal"/>
      </w:pPr>
      <w:r>
        <w:t xml:space="preserve">El magistrado recusado puso de manifiesto la afectación que suponía su apartamiento a la garantía de independencia judicial proyectada sobre el ejercicio de sus funciones como vocal del Consejo General del Poder Judicial, con cita de SSTEDH (Gran Sala, de 15 de marzo de 2022, asunto </w:t>
      </w:r>
      <w:r w:rsidRPr="00B35D37">
        <w:rPr>
          <w:i/>
        </w:rPr>
        <w:t>Grzeda c. Polonia</w:t>
      </w:r>
      <w:r>
        <w:t xml:space="preserve">, núm. 43572/18, y Sala Cuarta, de 19 de octubre de 2021, asunto </w:t>
      </w:r>
      <w:r w:rsidRPr="00B35D37">
        <w:rPr>
          <w:i/>
        </w:rPr>
        <w:t>Miroslava Todorova c. Bulgaria</w:t>
      </w:r>
      <w:r>
        <w:t>, núm. 40072/13), por el efecto disuasorio y distorsionador que suponía para el ejercicio de los altos cometidos que el Consejo General del Poder Judicial tiene encomendados.</w:t>
      </w:r>
    </w:p>
    <w:p w14:paraId="736B3005" w14:textId="77777777" w:rsidR="00B35D37" w:rsidRDefault="00B35D37" w:rsidP="00B35D37">
      <w:pPr>
        <w:pStyle w:val="TextoNormal"/>
      </w:pPr>
    </w:p>
    <w:p w14:paraId="3FC6C6E2" w14:textId="77777777" w:rsidR="00B35D37" w:rsidRDefault="00B35D37" w:rsidP="00B35D37">
      <w:pPr>
        <w:pStyle w:val="TextoNormal"/>
      </w:pPr>
      <w:r>
        <w:t>El auto omite deliberadamente dar una respuesta al planteamiento del recusado, indicando expresamente que “[n]o entraremos a examinar en este momento —dado que no es objeto de este incidente— la cuestión relativa a la aplicación de todas las garantías propias de la independencia judicial a los miembros del órgano de gobierno de la judicatura”.</w:t>
      </w:r>
    </w:p>
    <w:p w14:paraId="74822387" w14:textId="77777777" w:rsidR="00B35D37" w:rsidRDefault="00B35D37" w:rsidP="00B35D37">
      <w:pPr>
        <w:pStyle w:val="TextoNormal"/>
      </w:pPr>
    </w:p>
    <w:p w14:paraId="330213B8" w14:textId="77777777" w:rsidR="00B35D37" w:rsidRDefault="00B35D37" w:rsidP="00B35D37">
      <w:pPr>
        <w:pStyle w:val="TextoNormal"/>
      </w:pPr>
      <w:r>
        <w:t xml:space="preserve">3.2. </w:t>
      </w:r>
      <w:r w:rsidRPr="00B35D37">
        <w:rPr>
          <w:i/>
        </w:rPr>
        <w:t>Apartamiento de la doctrina constitucional y quiebra de la exigencia de previsibilidad en la composición del Tribunal Constitucional que fomenta el uso estratégico de las recusaciones</w:t>
      </w:r>
    </w:p>
    <w:p w14:paraId="3653229D" w14:textId="77777777" w:rsidR="00B35D37" w:rsidRDefault="00B35D37" w:rsidP="00B35D37">
      <w:pPr>
        <w:pStyle w:val="TextoNormal"/>
      </w:pPr>
    </w:p>
    <w:p w14:paraId="5F546590" w14:textId="77777777" w:rsidR="00B35D37" w:rsidRDefault="00B35D37" w:rsidP="00B35D37">
      <w:pPr>
        <w:pStyle w:val="TextoNormal"/>
      </w:pPr>
      <w:r>
        <w:t xml:space="preserve">3.2.1. </w:t>
      </w:r>
      <w:r w:rsidRPr="00B35D37">
        <w:rPr>
          <w:i/>
        </w:rPr>
        <w:t>No cabe apartar a un magistrado de su cometido por el mero hecho de tener un criterio jurídico anticipado sobre los asuntos a resolver. Doctrina constitucional</w:t>
      </w:r>
    </w:p>
    <w:p w14:paraId="18B6AA92" w14:textId="77777777" w:rsidR="00B35D37" w:rsidRDefault="00B35D37" w:rsidP="00B35D37">
      <w:pPr>
        <w:pStyle w:val="TextoNormal"/>
      </w:pPr>
    </w:p>
    <w:p w14:paraId="5FEE5F52" w14:textId="77777777" w:rsidR="00B35D37" w:rsidRDefault="00B35D37" w:rsidP="00B35D37">
      <w:pPr>
        <w:pStyle w:val="TextoNormal"/>
      </w:pPr>
      <w:r>
        <w:t>El motivo de la recusación deriva de la participación como vocal en el informe facultativo —que no preceptivo—, emitido el 21 de marzo de 2024 por el Consejo General del Poder Judicial. Dicho informe fue solicitado por el Senado con carácter facultativo en relación con la proposición de ley orgánica de amnistía atendidas las relevantes funciones constitucionales atribuidas al indicado órgano.</w:t>
      </w:r>
    </w:p>
    <w:p w14:paraId="5F84ABFC" w14:textId="77777777" w:rsidR="00B35D37" w:rsidRDefault="00B35D37" w:rsidP="00B35D37">
      <w:pPr>
        <w:pStyle w:val="TextoNormal"/>
      </w:pPr>
    </w:p>
    <w:p w14:paraId="07023977" w14:textId="77777777" w:rsidR="00B35D37" w:rsidRDefault="00B35D37" w:rsidP="00B35D37">
      <w:pPr>
        <w:pStyle w:val="TextoNormal"/>
      </w:pPr>
      <w:r>
        <w:t>Hasta el presente auto era doctrina constitucional la que afirmaba que: “Va en la propia naturaleza de las cosas que un magistrado del Tribunal Constitucional haya sido designado precisamente por sus ideas y opiniones expresadas a través de los instrumentos habituales de difusión jurídica, que conforman su trayectoria profesional y que, por lo tanto, delimitan los principios de mérito y capacidad que le habilitan para el ejercicio de sus funciones” (ATC 107/2021, de 15 de diciembre, FJ 2).</w:t>
      </w:r>
    </w:p>
    <w:p w14:paraId="281DE79E" w14:textId="77777777" w:rsidR="00B35D37" w:rsidRDefault="00B35D37" w:rsidP="00B35D37">
      <w:pPr>
        <w:pStyle w:val="TextoNormal"/>
      </w:pPr>
    </w:p>
    <w:p w14:paraId="06D4591E" w14:textId="77777777" w:rsidR="00B35D37" w:rsidRDefault="00B35D37" w:rsidP="00B35D37">
      <w:pPr>
        <w:pStyle w:val="TextoNormal"/>
      </w:pPr>
      <w:r>
        <w:t>El Tribunal Constitucional ha recordado que la legitimación democrática de los magistrados del Tribunal Constitucional radica en su pluralidad ideológica y jurídica, derivada de su designación por poderes del Estado democráticamente legitimados y su trayectoria profesional como juristas de reconocida competencia con más de quince años de ejercicio profesional. Este pluralismo, reflejo del valor constitucional de la diversidad política y social, no afecta su imparcialidad, ya que no se exige neutralidad absoluta, sino apertura al debate jurídico y rigor en la argumentación.</w:t>
      </w:r>
    </w:p>
    <w:p w14:paraId="0860321A" w14:textId="77777777" w:rsidR="00B35D37" w:rsidRDefault="00B35D37" w:rsidP="00B35D37">
      <w:pPr>
        <w:pStyle w:val="TextoNormal"/>
      </w:pPr>
    </w:p>
    <w:p w14:paraId="041DF727" w14:textId="77777777" w:rsidR="00B35D37" w:rsidRDefault="00B35D37" w:rsidP="00B35D37">
      <w:pPr>
        <w:pStyle w:val="TextoNormal"/>
      </w:pPr>
      <w:r>
        <w:t>Como señala el ATC 180/2013, de 17 de septiembre, FJ 3, la “inevitable incidencia en la interpretación jurídica de las particulares concepciones del Derecho y visiones del mundo de cada magistrado se refleja en la necesaria pluralidad de perspectivas jurídicas que confluyen en las deliberaciones y decisiones del Tribunal como órgano colegiado por excelencia”.</w:t>
      </w:r>
    </w:p>
    <w:p w14:paraId="56E72848" w14:textId="77777777" w:rsidR="00B35D37" w:rsidRDefault="00B35D37" w:rsidP="00B35D37">
      <w:pPr>
        <w:pStyle w:val="TextoNormal"/>
      </w:pPr>
    </w:p>
    <w:p w14:paraId="53644CF6" w14:textId="77777777" w:rsidR="00B35D37" w:rsidRDefault="00B35D37" w:rsidP="00B35D37">
      <w:pPr>
        <w:pStyle w:val="TextoNormal"/>
      </w:pPr>
      <w:r>
        <w:t>“Esa pluralidad de perspectivas es lo que justifica que, por ejemplo, la Constitución no prohíba la pertenencia de los magistrados a partidos políticos o sindicatos. Se trata de una ‘nota diferencial en relación con los miembros del Poder Judicial que el constituyente ha establecido conscientemente —tal y como se evidencia en los trabajos parlamentarios de la elaboración del texto constitucional— y que se corresponde con la especial naturaleza del Tribunal Constitucional, con la limitación temporal del mandato de sus miembros’ (art. 159.3 CE)” (ATC 107/2021, FJ 2).</w:t>
      </w:r>
    </w:p>
    <w:p w14:paraId="1A1B080C" w14:textId="77777777" w:rsidR="00B35D37" w:rsidRDefault="00B35D37" w:rsidP="00B35D37">
      <w:pPr>
        <w:pStyle w:val="TextoNormal"/>
      </w:pPr>
    </w:p>
    <w:p w14:paraId="3F27628F" w14:textId="77777777" w:rsidR="00B35D37" w:rsidRDefault="00B35D37" w:rsidP="00B35D37">
      <w:pPr>
        <w:pStyle w:val="TextoNormal"/>
      </w:pPr>
      <w:r>
        <w:t>Por ello,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(ATC 180/2013, de 17 de septiembre, FJ 3).</w:t>
      </w:r>
    </w:p>
    <w:p w14:paraId="560591CB" w14:textId="77777777" w:rsidR="00B35D37" w:rsidRDefault="00B35D37" w:rsidP="00B35D37">
      <w:pPr>
        <w:pStyle w:val="TextoNormal"/>
      </w:pPr>
    </w:p>
    <w:p w14:paraId="4B6E1D6D" w14:textId="77777777" w:rsidR="00B35D37" w:rsidRDefault="00B35D37" w:rsidP="00B35D37">
      <w:pPr>
        <w:pStyle w:val="TextoNormal"/>
      </w:pPr>
      <w:r>
        <w:t>El Tribunal Constitucional es claro cuando, en el ATC 18/2006, de 24 de enero, FJ 3, afirma sin paliativos que:</w:t>
      </w:r>
    </w:p>
    <w:p w14:paraId="72168C47" w14:textId="77777777" w:rsidR="00B35D37" w:rsidRDefault="00B35D37" w:rsidP="00B35D37">
      <w:pPr>
        <w:pStyle w:val="TextoNormal"/>
      </w:pPr>
    </w:p>
    <w:p w14:paraId="10646DDC" w14:textId="77777777" w:rsidR="00B35D37" w:rsidRDefault="00B35D37" w:rsidP="00B35D37">
      <w:pPr>
        <w:pStyle w:val="TextoNormal"/>
      </w:pPr>
      <w:r>
        <w:t>“[S]alvo que se desvirtúe el contenido de la garantía de imparcialidad, no puede pretenderse la recusación de un juez por el mero hecho de tener criterio jurídico anticipado sobre los asuntos que debe resolver. No solo el Tribunal Constitucional sino también el resto de tribunales jurisdiccionales deben ser integrados por jueces que no tengan la mente vacía sobre los asuntos jurídicos sometidos a su consideración.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que precisa la función jurisdiccional son jueces con una mente abierta a los términos del debate y a sus siempre variadas y diversas soluciones jurídicas que están, normalmente, en función de las circunstancias específicas del caso. Por ello,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w:t>
      </w:r>
    </w:p>
    <w:p w14:paraId="1B504D3C" w14:textId="77777777" w:rsidR="00B35D37" w:rsidRDefault="00B35D37" w:rsidP="00B35D37">
      <w:pPr>
        <w:pStyle w:val="TextoNormal"/>
      </w:pPr>
    </w:p>
    <w:p w14:paraId="591B45FA" w14:textId="77777777" w:rsidR="00B35D37" w:rsidRDefault="00B35D37" w:rsidP="00B35D37">
      <w:pPr>
        <w:pStyle w:val="TextoNormal"/>
      </w:pPr>
      <w:r>
        <w:t>3.2.2</w:t>
      </w:r>
      <w:r w:rsidRPr="00B35D37">
        <w:rPr>
          <w:i/>
        </w:rPr>
        <w:t>. Doctrina constitucional: caso reciente del ATC 28/2023, de 7 de febre</w:t>
      </w:r>
      <w:r>
        <w:t>ro</w:t>
      </w:r>
    </w:p>
    <w:p w14:paraId="0BF73069" w14:textId="77777777" w:rsidR="00B35D37" w:rsidRDefault="00B35D37" w:rsidP="00B35D37">
      <w:pPr>
        <w:pStyle w:val="TextoNormal"/>
      </w:pPr>
    </w:p>
    <w:p w14:paraId="2256B9BE" w14:textId="77777777" w:rsidR="00B35D37" w:rsidRDefault="00B35D37" w:rsidP="00B35D37">
      <w:pPr>
        <w:pStyle w:val="TextoNormal"/>
      </w:pPr>
      <w:r>
        <w:t>a) El Tribunal Constitucional en este reciente precedente, adoptado por la misma composición colegiada que ha resuelto el presente incidente —a salvo, claro está, de la abstenida— rechazó la abstención de la magistrada doña Concepción Espejel Jorquera. En ese caso, la magistrada fundaba la abstención en que, en su función como vocal del Consejo General del Poder Judicial y miembro de la Comisión de Estudios e Informes, participó en el análisis y discusión del anteproyecto de ley orgánica de salud sexual y reproductiva y de la interrupción voluntaria del embarazo. Su intervención fue particularmente intensa, pues no solo votó en contra de la propuesta de informe sobre el anteproyecto —luego convertido en ley orgánica—, sino que su compromiso le llevó a formular una enmienda a su totalidad. La magistrada invocaba la misma causa: el art. 219.16 LOPJ, y consideraba que su participación en dicho informe y enmienda comprometía su debida imparcialidad.</w:t>
      </w:r>
    </w:p>
    <w:p w14:paraId="1CF812C1" w14:textId="77777777" w:rsidR="00B35D37" w:rsidRDefault="00B35D37" w:rsidP="00B35D37">
      <w:pPr>
        <w:pStyle w:val="TextoNormal"/>
      </w:pPr>
    </w:p>
    <w:p w14:paraId="161C22CD" w14:textId="77777777" w:rsidR="00B35D37" w:rsidRDefault="00B35D37" w:rsidP="00B35D37">
      <w:pPr>
        <w:pStyle w:val="TextoNormal"/>
      </w:pPr>
      <w:r>
        <w:t>b) En efecto, la magistrada doña Concepción Espejel manifestó su abstención para conocer del recurso de inconstitucionalidad contra diversos preceptos de la Ley Orgánica 2/2010, de 3 de marzo, de salud sexual y reproductiva y de la interrupción voluntaria del embarazo, al entender que concurría la causa de abstención y, en su caso, de recusación, prevista en el art. 219.16 LOPJ porque en su condición de vocal del Consejo General del Poder Judicial, integrante del Pleno y de su Comisión de Estudios e Informes, participó en la preparación, deliberación y votación del borrador de informe previsto en los apartados e) y f) del art. 108.1 LOPJ en relación con el anteproyecto de ley orgánica que dio lugar a la norma cuestionada en el recurso de inconstitucionalidad.</w:t>
      </w:r>
    </w:p>
    <w:p w14:paraId="6BEA02DC" w14:textId="77777777" w:rsidR="00B35D37" w:rsidRDefault="00B35D37" w:rsidP="00B35D37">
      <w:pPr>
        <w:pStyle w:val="TextoNormal"/>
      </w:pPr>
    </w:p>
    <w:p w14:paraId="25CD7790" w14:textId="77777777" w:rsidR="00B35D37" w:rsidRDefault="00B35D37" w:rsidP="00B35D37">
      <w:pPr>
        <w:pStyle w:val="TextoNormal"/>
      </w:pPr>
      <w:r>
        <w:t>c) El asunto resuelto —y desestimado— no era una recusación sino una abstención y, pese al menor rigor exigido para que prosperen las abstenciones, fue rechazada. El ATC 387/2007, de 16 de octubre, reconoce que el grado de escrutinio de las causas de abstención y recusación —pese a que en ambos casos existe el interés prevalente de mantener la composición del Tribunal y la necesidad de interpretación restrictiva— es distinto: menos crítico y más deferente en las abstenciones y más estricto en las recusaciones. Lo hace en los siguientes términos:</w:t>
      </w:r>
    </w:p>
    <w:p w14:paraId="3B18EEB6" w14:textId="77777777" w:rsidR="00B35D37" w:rsidRDefault="00B35D37" w:rsidP="00B35D37">
      <w:pPr>
        <w:pStyle w:val="TextoNormal"/>
      </w:pPr>
    </w:p>
    <w:p w14:paraId="3FA53166" w14:textId="77777777" w:rsidR="00B35D37" w:rsidRDefault="00B35D37" w:rsidP="00B35D37">
      <w:pPr>
        <w:pStyle w:val="TextoNormal"/>
      </w:pPr>
      <w:r>
        <w:t>“[L]a doctrina y praxis de este tribunal permite constatar una visible diferencia en el tratamiento de los casos de abstención y recusación, debiendo destacarse en general la menor extensión del enjuiciamiento crítico de las primeras cuando se admiten, frente a los de enjuiciamiento de las recusaciones. Pese a que tanto en los supuestos de abstenciones como de recusaciones está en juego la insustituibilidad de los miembros del Tribunal Constitucional, y por ello el interés prevalente en el mantenimiento de su composición, con la consiguiente necesidad, en ambos supuestos, de interpretación restrictiva de las causas, […] la regulación legal de ambas instituciones pone de manifiesto una diferencia relevante entre ellas, cual es que mientras en la abstención la iniciativa es del propio magistrado, en la recusación corresponde a una de las partes procesales. Esta diferencia entre los dos institutos ha conducido en la doctrina de este tribunal a un análisis de la abstención y de la recusación que no resulta necesariamente idéntico, pues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(FJ 3).</w:t>
      </w:r>
    </w:p>
    <w:p w14:paraId="1C208F37" w14:textId="77777777" w:rsidR="00B35D37" w:rsidRDefault="00B35D37" w:rsidP="00B35D37">
      <w:pPr>
        <w:pStyle w:val="TextoNormal"/>
      </w:pPr>
    </w:p>
    <w:p w14:paraId="523C6755" w14:textId="77777777" w:rsidR="00B35D37" w:rsidRDefault="00B35D37" w:rsidP="00B35D37">
      <w:pPr>
        <w:pStyle w:val="TextoNormal"/>
      </w:pPr>
      <w:r>
        <w:t>d) Las razones dadas en el ATC 28/2023, FJ 4, para rechazar la abstención de la magistrada, pese a la mayor deferencia que el Tribunal Constitucional tiene frente a quien confiesa carecer de las condiciones de imparcialidad para enjuiciar un asunto y a la práctica del mismo Tribunal de admitir las abstenciones que se plantean por un magistrado, fueron las siguientes:</w:t>
      </w:r>
    </w:p>
    <w:p w14:paraId="41AE6756" w14:textId="77777777" w:rsidR="00B35D37" w:rsidRDefault="00B35D37" w:rsidP="00B35D37">
      <w:pPr>
        <w:pStyle w:val="TextoNormal"/>
      </w:pPr>
    </w:p>
    <w:p w14:paraId="4F5C60C2" w14:textId="77777777" w:rsidR="00B35D37" w:rsidRDefault="00B35D37" w:rsidP="00B35D37">
      <w:pPr>
        <w:pStyle w:val="TextoNormal"/>
      </w:pPr>
      <w:r>
        <w:t>(i) “[L]a solicitud de abstención se plantea en un proceso objetivo y abstracto de control de constitucionalidad de una ley. No es un proceso entre partes en el que se ventilen intereses particulares con los que quepa alinearse, sino en el que se confrontan diversos modos de entender la Constitución y sus mandatos de protección. En esa medida la inclinación de ánimo que justifica la causa de abstención que ha sido invocada no puede ser apreciada, cualquiera que sea la coincidencia de criterio jurídico con los motivos de impugnación que la magistrada haya defendido antes de acceder al cargo jurisdiccional. Al resolver este recurso de inconstitucionalidad, ninguno de los integrantes del colegio de magistrados o magistradas serán jueces de su propia causa, ni cabe temer fundadamente que utilizarán como criterio de juicio para resolverlo otras consideraciones distintas a su entendimiento de la Constitución”.</w:t>
      </w:r>
    </w:p>
    <w:p w14:paraId="539AFE6B" w14:textId="77777777" w:rsidR="00B35D37" w:rsidRDefault="00B35D37" w:rsidP="00B35D37">
      <w:pPr>
        <w:pStyle w:val="TextoNormal"/>
      </w:pPr>
    </w:p>
    <w:p w14:paraId="09A88C81" w14:textId="77777777" w:rsidR="00B35D37" w:rsidRDefault="00B35D37" w:rsidP="00B35D37">
      <w:pPr>
        <w:pStyle w:val="TextoNormal"/>
      </w:pPr>
      <w:r>
        <w:t>(ii) “[N]o coincide el objeto del presente recurso de inconstitucionalidad con el abordado al tratar de cumplir la función consultiva que la magistrada tenía encomendada como vocal del Consejo del Poder Judicial. Ni el fallido informe versó sobre una ley vigente —como ocurre en este recurso— ni existía en aquel momento la pretensión impugnatoria que ahora corresponde al Tribunal Constitucional resolver, por lo que no son coincidentes los objetos sobre los que entonces y ahora ha de pronunciarse la magistrada”.</w:t>
      </w:r>
    </w:p>
    <w:p w14:paraId="2FE3AC2D" w14:textId="77777777" w:rsidR="00B35D37" w:rsidRDefault="00B35D37" w:rsidP="00B35D37">
      <w:pPr>
        <w:pStyle w:val="TextoNormal"/>
      </w:pPr>
    </w:p>
    <w:p w14:paraId="2B11834E" w14:textId="77777777" w:rsidR="00B35D37" w:rsidRDefault="00B35D37" w:rsidP="00B35D37">
      <w:pPr>
        <w:pStyle w:val="TextoNormal"/>
      </w:pPr>
      <w:r>
        <w:t>(iii) “Para acceder al propio Consejo General del Poder Judicial como vocal es precisa una determinada, contrastada y acreditada trayectoria y experiencia jurídica, por lo que —volvemos a reiterar—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w:t>
      </w:r>
    </w:p>
    <w:p w14:paraId="0F3BF7B3" w14:textId="77777777" w:rsidR="00B35D37" w:rsidRDefault="00B35D37" w:rsidP="00B35D37">
      <w:pPr>
        <w:pStyle w:val="TextoNormal"/>
      </w:pPr>
    </w:p>
    <w:p w14:paraId="2DFB22AC" w14:textId="77777777" w:rsidR="00B35D37" w:rsidRDefault="00B35D37" w:rsidP="00B35D37">
      <w:pPr>
        <w:pStyle w:val="TextoNormal"/>
      </w:pPr>
      <w:r>
        <w:t>(iv) Añade que “[t]ambién aboga en favor de la desestimación de la abstención que la causa invocada se vincule, de forma exclusiva, con la exteriorización de un criterio jurídico más de doce años antes de acceder al cargo de magistrada. […] Además, en el pronunciamiento emitido en la Comisión de Estudios e Informes y en el Pleno del Consejo General del Poder Judicial, en los trabajos preparatorios de la función consultiva a la que venía obligada, solo expresó un criterio jurídico. Y ya hemos dicho en la resolución citada que estos, cuando son abstractos y no hay vinculación con las partes, no inhabilitan para ejercer la jurisdicción constitucional; mucho menos cuando su objeto no es coincidente en todo con la propia impugnación que ante este tribunal se ha de resolver”.</w:t>
      </w:r>
    </w:p>
    <w:p w14:paraId="104C4051" w14:textId="77777777" w:rsidR="00B35D37" w:rsidRDefault="00B35D37" w:rsidP="00B35D37">
      <w:pPr>
        <w:pStyle w:val="TextoNormal"/>
      </w:pPr>
    </w:p>
    <w:p w14:paraId="0393AA87" w14:textId="77777777" w:rsidR="00B35D37" w:rsidRDefault="00B35D37" w:rsidP="00B35D37">
      <w:pPr>
        <w:pStyle w:val="TextoNormal"/>
      </w:pPr>
      <w:r>
        <w:t>(v) Añadía una última razón: “no formalizó su función consultiva por ser desestimadas tanto la propuesta de informe como la enmienda a la totalidad presentadas, al no alcanzar ninguna de las dos la mayoría necesaria para su aprobación”.</w:t>
      </w:r>
    </w:p>
    <w:p w14:paraId="05339518" w14:textId="77777777" w:rsidR="00B35D37" w:rsidRDefault="00B35D37" w:rsidP="00B35D37">
      <w:pPr>
        <w:pStyle w:val="TextoNormal"/>
      </w:pPr>
    </w:p>
    <w:p w14:paraId="2EBDC060" w14:textId="77777777" w:rsidR="00B35D37" w:rsidRDefault="00B35D37" w:rsidP="00B35D37">
      <w:pPr>
        <w:pStyle w:val="TextoNormal"/>
      </w:pPr>
      <w:r>
        <w:t>Tales razones son absolutamente proyectables al presente caso, con dos añadidos que refuerzan la desestimación de la recusación planteada:</w:t>
      </w:r>
    </w:p>
    <w:p w14:paraId="060A68AD" w14:textId="77777777" w:rsidR="00B35D37" w:rsidRDefault="00B35D37" w:rsidP="00B35D37">
      <w:pPr>
        <w:pStyle w:val="TextoNormal"/>
      </w:pPr>
    </w:p>
    <w:p w14:paraId="6FCDA080" w14:textId="77777777" w:rsidR="00B35D37" w:rsidRDefault="00B35D37" w:rsidP="00B35D37">
      <w:pPr>
        <w:pStyle w:val="TextoNormal"/>
      </w:pPr>
      <w:r>
        <w:t>(i) El primero es que, conforme a la doctrina constitucional, al tratarse de una recusación el criterio del Tribunal Constitucional es más restrictivo si cabe, lo que necesariamente conduce a la desestimación de la recusación ante la similitud del presupuesto de la misma con la abstención rechazada.</w:t>
      </w:r>
    </w:p>
    <w:p w14:paraId="324AF7A4" w14:textId="77777777" w:rsidR="00B35D37" w:rsidRDefault="00B35D37" w:rsidP="00B35D37">
      <w:pPr>
        <w:pStyle w:val="TextoNormal"/>
      </w:pPr>
    </w:p>
    <w:p w14:paraId="6DB0DC00" w14:textId="77777777" w:rsidR="00B35D37" w:rsidRDefault="00B35D37" w:rsidP="00B35D37">
      <w:pPr>
        <w:pStyle w:val="TextoNormal"/>
      </w:pPr>
      <w:r>
        <w:t>(ii) El segundo, que el informe emitido por el Consejo General del Poder Judicial en el que participó el magistrado recusado tenía carácter facultativo, mientras que el emitido por la magistrada abstenida era preceptivo. Esto es, los dos informes en los que participó la magistrada doña Concepción Espejel, al tratarse de un anteproyecto de ley atinente a las materias del art. 561.1 LOPJ, tenían carácter obligatorio. Sin embargo, el informe del Consejo en el que intervino el magistrado ahora recusado carecía de carácter preceptivo y fue emitido a petición del presidente del Senado, por acuerdo de la mesa, a propuesta de los grupos parlamentarios Popular y Mixto. Su finalidad era la de proporcionar datos o criterios que pudieran enriquecer el proceso de decisión legislativa, desde una perspectiva técnica, legal o especializada atendidos los cometidos constitucionales que el Consejo General del Poder Judicial tiene atribuidos.</w:t>
      </w:r>
    </w:p>
    <w:p w14:paraId="31DA26DD" w14:textId="77777777" w:rsidR="00B35D37" w:rsidRDefault="00B35D37" w:rsidP="00B35D37">
      <w:pPr>
        <w:pStyle w:val="TextoNormal"/>
      </w:pPr>
    </w:p>
    <w:p w14:paraId="2098204B" w14:textId="77777777" w:rsidR="00B35D37" w:rsidRDefault="00B35D37" w:rsidP="00B35D37">
      <w:pPr>
        <w:pStyle w:val="TextoNormal"/>
      </w:pPr>
      <w:r>
        <w:t>Dicha distinción entre el carácter preceptivo o facultativo del informe no es baladí, pese a que ha sido omitida en el razonamiento del auto. En tal sentido, la distinta naturaleza del informe, menos comprometida en el caso de los informes facultativos al ser irrelevantes para la validez de la decisión a adoptar, debió ser tomada en consideración como argumento para reforzar la decisión de desestimación de la recusación. Resulta en este punto ilustrativo que, aunque en distinto ámbito, el propio legislador ha tomado en consideración la naturaleza dispar de los informes preceptivos y facultativos a los efectos de configurar el régimen jurídico aplicable en relación con las limitaciones al ejercicio de actividades privadas con posterioridad al cese de quienes han ejercido un alto cargo en la administración general del Estado y en las entidades del sector público estatal (art. 15.3 de la Ley 3/2015, de 30 de marzo, reguladora del ejercicio del alto cargo de la administración general del Estado). De este modo, entiende que un alto cargo ha participado en la adopción de una decisión que afecta a una entidad en el caso de que haya suscrito un informe preceptivo, pero no en el supuesto de que haya emitido un informe facultativo.</w:t>
      </w:r>
    </w:p>
    <w:p w14:paraId="47FED5B5" w14:textId="77777777" w:rsidR="00B35D37" w:rsidRDefault="00B35D37" w:rsidP="00B35D37">
      <w:pPr>
        <w:pStyle w:val="TextoNormal"/>
      </w:pPr>
    </w:p>
    <w:p w14:paraId="7B2F1F52" w14:textId="77777777" w:rsidR="00B35D37" w:rsidRDefault="00B35D37" w:rsidP="00B35D37">
      <w:pPr>
        <w:pStyle w:val="TextoNormal"/>
      </w:pPr>
      <w:r>
        <w:t>3.2</w:t>
      </w:r>
      <w:r w:rsidRPr="00B35D37">
        <w:rPr>
          <w:i/>
        </w:rPr>
        <w:t xml:space="preserve">.3. Crítica al razonamiento del </w:t>
      </w:r>
      <w:r>
        <w:t>auto</w:t>
      </w:r>
    </w:p>
    <w:p w14:paraId="56E1409B" w14:textId="77777777" w:rsidR="00B35D37" w:rsidRDefault="00B35D37" w:rsidP="00B35D37">
      <w:pPr>
        <w:pStyle w:val="TextoNormal"/>
      </w:pPr>
    </w:p>
    <w:p w14:paraId="319E18E4" w14:textId="77777777" w:rsidR="00B35D37" w:rsidRDefault="00B35D37" w:rsidP="00B35D37">
      <w:pPr>
        <w:pStyle w:val="TextoNormal"/>
      </w:pPr>
      <w:r>
        <w:t>Expuesta la doctrina constitucional es preciso evidenciar el modo en que el auto se aparta de la misma.</w:t>
      </w:r>
    </w:p>
    <w:p w14:paraId="06956CDF" w14:textId="77777777" w:rsidR="00B35D37" w:rsidRDefault="00B35D37" w:rsidP="00B35D37">
      <w:pPr>
        <w:pStyle w:val="TextoNormal"/>
      </w:pPr>
    </w:p>
    <w:p w14:paraId="63E67922" w14:textId="77777777" w:rsidR="00B35D37" w:rsidRDefault="00B35D37" w:rsidP="00B35D37">
      <w:pPr>
        <w:pStyle w:val="TextoNormal"/>
      </w:pPr>
      <w:r>
        <w:t>a) El auto cita unos precedentes para fundar su decisión que no son de aplicación al caso, al no apreciarse la análoga significación entre esos supuestos y el presente:</w:t>
      </w:r>
    </w:p>
    <w:p w14:paraId="7914115E" w14:textId="77777777" w:rsidR="00B35D37" w:rsidRDefault="00B35D37" w:rsidP="00B35D37">
      <w:pPr>
        <w:pStyle w:val="TextoNormal"/>
      </w:pPr>
    </w:p>
    <w:p w14:paraId="41D1A903" w14:textId="77777777" w:rsidR="00B35D37" w:rsidRDefault="00B35D37" w:rsidP="00B35D37">
      <w:pPr>
        <w:pStyle w:val="TextoNormal"/>
      </w:pPr>
      <w:r>
        <w:t>(i) La STC 5/2004 se refiere a un supuesto distinto, en el que se analizaba la labor previa como vocal del Consejo General del Poder Judicial y la ulterior intervención como integrante de la Sala Especial del art. 61 LOPJ. Además, la causa de recusación invocada también era distinta (interés directo o indirecto en el pleito o causa).</w:t>
      </w:r>
    </w:p>
    <w:p w14:paraId="78C950F2" w14:textId="77777777" w:rsidR="00B35D37" w:rsidRDefault="00B35D37" w:rsidP="00B35D37">
      <w:pPr>
        <w:pStyle w:val="TextoNormal"/>
      </w:pPr>
    </w:p>
    <w:p w14:paraId="1196A602" w14:textId="77777777" w:rsidR="00B35D37" w:rsidRDefault="00B35D37" w:rsidP="00B35D37">
      <w:pPr>
        <w:pStyle w:val="TextoNormal"/>
      </w:pPr>
      <w:r>
        <w:t>(ii) El ATC 226/2002 se refiere a un supuesto de anteproyecto de ley, que se contrapone a la emisión de un informe sobre una ley vigente o sobre una norma ya impugnada ante el Tribunal, de manera que solo respecto de estos últimos supuestos cabría afirmar la concurrencia de la causa de recusación, lo que tampoco es el caso.</w:t>
      </w:r>
    </w:p>
    <w:p w14:paraId="3FCEE51D" w14:textId="77777777" w:rsidR="00B35D37" w:rsidRDefault="00B35D37" w:rsidP="00B35D37">
      <w:pPr>
        <w:pStyle w:val="TextoNormal"/>
      </w:pPr>
    </w:p>
    <w:p w14:paraId="5A49FB63" w14:textId="77777777" w:rsidR="00B35D37" w:rsidRDefault="00B35D37" w:rsidP="00B35D37">
      <w:pPr>
        <w:pStyle w:val="TextoNormal"/>
      </w:pPr>
      <w:r>
        <w:t>(iii) Los AATC 280/2006, de 18 de julio; 46/2012, de 13 de marzo; 140/2012, de 4 de julio; 5/2023, de 24 de enero; 33/2023 y 34/2023, ambos de 7 de febrero; 449/2023, de 10 de octubre, y 82/2024, de 10 de octubre, abordan supuestos de mera admisión de abstenciones, sin mayor desarrollo argumental ni, por tanto, fijación de doctrina alguna. Los AATC 387/2007, de 16 de octubre, FJ 3, y 36/2009 a 41/2009, todos de 5 de febrero, FFJJ 2, han insistido constantemente en que la doctrina sobre las causas de abstención no resulta automáticamente traspasable a las causas de recusación. Esta traslación acrítica de la dotrina de las abstenciones a la recusación que efectúa la ponencia es incorrecta y desvirtúa la fundamentación jurídica, haciéndola irrazonable.</w:t>
      </w:r>
    </w:p>
    <w:p w14:paraId="58542E1A" w14:textId="77777777" w:rsidR="00B35D37" w:rsidRDefault="00B35D37" w:rsidP="00B35D37">
      <w:pPr>
        <w:pStyle w:val="TextoNormal"/>
      </w:pPr>
    </w:p>
    <w:p w14:paraId="4A12C5DD" w14:textId="77777777" w:rsidR="00B35D37" w:rsidRDefault="00B35D37" w:rsidP="00B35D37">
      <w:pPr>
        <w:pStyle w:val="TextoNormal"/>
      </w:pPr>
      <w:r>
        <w:t>(iv) Tampoco es asimilable el supuesto contemplado en el art. 219.11 LOPJ, en el que la causa de recusación vino motivada por el previo ejercicio de una actividad jurisdiccional, circunstancia que no concurre.</w:t>
      </w:r>
    </w:p>
    <w:p w14:paraId="4B2FF467" w14:textId="77777777" w:rsidR="00B35D37" w:rsidRDefault="00B35D37" w:rsidP="00B35D37">
      <w:pPr>
        <w:pStyle w:val="TextoNormal"/>
      </w:pPr>
    </w:p>
    <w:p w14:paraId="248656C0" w14:textId="77777777" w:rsidR="00B35D37" w:rsidRDefault="00B35D37" w:rsidP="00B35D37">
      <w:pPr>
        <w:pStyle w:val="TextoNormal"/>
      </w:pPr>
      <w:r>
        <w:t>b) Se desplaza la consolidada doctrina constitucional antes expuesta (ATC 28/2023) mediante la introducción de un criterio de ponderación novedoso, además de impreciso y difuso: la existencia o no de una “conexión suficientemente intensa o relevante”; sin establecer los parámetros en virtud de los cuales se pueda decantar su concurrencia. Además, pretende apoyar dicho criterio en precedentes del Tribunal Constitucional, con la cita de los AATC 80/2005, de 17 de febrero, y 18/2006, de 24 de enero, que en modo alguno lo contemplan (de hecho, el auto ni siquiera reseña los fundamentos jurídicos en los que se recogería tal criterio). De este modo, se introduce por vez primera un parámetro imprevisible dotado de incertidumbre como canon para decidir privar o no a un magistrado del ejercicio de su función (art. 23.2 CE) soslayando la doctrina restrictiva de este tribunal.</w:t>
      </w:r>
    </w:p>
    <w:p w14:paraId="26C355DB" w14:textId="77777777" w:rsidR="00B35D37" w:rsidRDefault="00B35D37" w:rsidP="00B35D37">
      <w:pPr>
        <w:pStyle w:val="TextoNormal"/>
      </w:pPr>
    </w:p>
    <w:p w14:paraId="0001D656" w14:textId="77777777" w:rsidR="00B35D37" w:rsidRDefault="00B35D37" w:rsidP="00B35D37">
      <w:pPr>
        <w:pStyle w:val="TextoNormal"/>
      </w:pPr>
      <w:r>
        <w:t>c) El auto confunde las dos causas de recusación invocadas y equipara la novedosa “conexión suficientemente intensa o relevante” con la “coincidencia” entre la materia objeto del informe como vocal del Consejo General del Poder Judicial y el proceso constitucional correspondiente. El objeto de un informe elaborado por el Consejo no puede coincidir con el objeto de la cuestión de inconstitucionalidad, por la sencilla razón de que al elaborar el informe ni se conocen ni, por tanto, se puede dar respuesta a los motivos de la cuestión de inconstitucionalidad que todavía no había podido ser planteada ya que la norma no había sido aprobada.</w:t>
      </w:r>
    </w:p>
    <w:p w14:paraId="455DB192" w14:textId="77777777" w:rsidR="00B35D37" w:rsidRDefault="00B35D37" w:rsidP="00B35D37">
      <w:pPr>
        <w:pStyle w:val="TextoNormal"/>
      </w:pPr>
    </w:p>
    <w:p w14:paraId="2A092D69" w14:textId="77777777" w:rsidR="00B35D37" w:rsidRDefault="00B35D37" w:rsidP="00B35D37">
      <w:pPr>
        <w:pStyle w:val="TextoNormal"/>
      </w:pPr>
      <w:r>
        <w:t>d) A diferencia de lo argumentado por el auto, salvo en lo relativo al carácter preceptivo o facultativo del informe —operando la naturaleza de este último a favor de la desestimación de la causa de abstención y/o recusación—, no cabe establecer notas distintivas entre informar un anteproyecto o una proposición de ley. En ambos casos, la tramitación de la ley no ha culminado y el hecho de que sea o no aprobada en los términos del anteproyecto o de la proposición de ley o en otros distintos es irrelevante para que pueda concluirse si se ha formado o no “criterio en detrimento de la debida imparcialidad” (art. 219.16 LOPJ).</w:t>
      </w:r>
    </w:p>
    <w:p w14:paraId="0BE0F994" w14:textId="77777777" w:rsidR="00B35D37" w:rsidRDefault="00B35D37" w:rsidP="00B35D37">
      <w:pPr>
        <w:pStyle w:val="TextoNormal"/>
      </w:pPr>
    </w:p>
    <w:p w14:paraId="7E506C78" w14:textId="77777777" w:rsidR="00B35D37" w:rsidRDefault="00B35D37" w:rsidP="00B35D37">
      <w:pPr>
        <w:pStyle w:val="TextoNormal"/>
      </w:pPr>
      <w:r>
        <w:t>e) El informe emitido por el Consejo General del Poder Judicial se limitó a lo que puede considerarse como una mera “opinión” y no tuvo un “efecto claro y determinante” en el proceso legislativo atendida su naturaleza.</w:t>
      </w:r>
    </w:p>
    <w:p w14:paraId="310ACDC9" w14:textId="77777777" w:rsidR="00B35D37" w:rsidRDefault="00B35D37" w:rsidP="00B35D37">
      <w:pPr>
        <w:pStyle w:val="TextoNormal"/>
      </w:pPr>
    </w:p>
    <w:p w14:paraId="531269D5" w14:textId="77777777" w:rsidR="00B35D37" w:rsidRDefault="00B35D37" w:rsidP="00B35D37">
      <w:pPr>
        <w:pStyle w:val="TextoNormal"/>
      </w:pPr>
      <w:r>
        <w:t>La distinción entre “opinión” y “toma de posición” no depende de la “profundidad y exhaustividad” de los argumentos presentados. Tal y como se señala en el informe del magistrado recusado, los informes del Consejo General del Poder Judicial —ni los preceptivos ni los facultativos— no son vinculantes y, por tanto, pueden equipararse a las opiniones o valoraciones de cualquier jurista, independientemente de su nivel de detalle, rigor o solidez. Estas opiniones, como muchas otras emitidas antes, durante y después del proceso legislativo que culminó en la aprobación de la norma en cuestión, no constituyen una causa de abstención o recusación.</w:t>
      </w:r>
    </w:p>
    <w:p w14:paraId="4656E61D" w14:textId="77777777" w:rsidR="00B35D37" w:rsidRDefault="00B35D37" w:rsidP="00B35D37">
      <w:pPr>
        <w:pStyle w:val="TextoNormal"/>
      </w:pPr>
    </w:p>
    <w:p w14:paraId="2884DF50" w14:textId="77777777" w:rsidR="00B35D37" w:rsidRDefault="00B35D37" w:rsidP="00B35D37">
      <w:pPr>
        <w:pStyle w:val="TextoNormal"/>
      </w:pPr>
      <w:r>
        <w:t>Además, contrariamente a lo afirmado por el fiscal general del Estado, el informe del Consejo no contribuyó a “configurar el asunto”. El papel del magistrado recusado fue formar parte de un órgano colegiado que tenía el cometido de emitir un informe jurídico externo no vinculante ni preceptivo. No tuvo participación alguna en la ideación, redacción o aprobación de la norma impugnada, es decir, no tuvo la capacidad para determinar el sentido y contenido de la norma, hasta el punto de comprometer su criterio a través de su identificación con la autoría directa o indirecta del texto normativo. Ese —y no otro— constituye el fundamento y finalidad de las causas de abstención y/o recusación invocadas: que nadie pueda someterse a su propio enjuiciamiento. Tampoco se plasmaron aisladamente opiniones personales sobre el texto sometido a consulta. En la abstención rechazada por el ATC 28/2023 la magistrada sí había emitido su particular opinión junto con otro vocal en la enmienda a la totalidad firmada por ambos.</w:t>
      </w:r>
    </w:p>
    <w:p w14:paraId="6CEC64B7" w14:textId="77777777" w:rsidR="00B35D37" w:rsidRDefault="00B35D37" w:rsidP="00B35D37">
      <w:pPr>
        <w:pStyle w:val="TextoNormal"/>
      </w:pPr>
    </w:p>
    <w:p w14:paraId="65F210F4" w14:textId="77777777" w:rsidR="00B35D37" w:rsidRDefault="00B35D37" w:rsidP="00B35D37">
      <w:pPr>
        <w:pStyle w:val="TextoNormal"/>
      </w:pPr>
      <w:r>
        <w:t>Desde una interpretación restrictiva de las causas de abstención o recusación el efecto del informe también resulta irrelevante. Lo decisivo es que este no supone una participación en la elaboración de la norma en los términos del artículo 219.13 LOPJ. Este precepto exige un vínculo directo para comprometer la imparcialidad. Además, es evidente que ninguna de las opiniones expresadas en el informe fue incluida en el texto definitivo de la norma. El informe, por tanto, careció de impacto alguno en el proceso legislativo, lo que refuerza la conclusión de que no puede considerarse “determinante” debido a su carácter no vinculante.</w:t>
      </w:r>
    </w:p>
    <w:p w14:paraId="0373A970" w14:textId="77777777" w:rsidR="00B35D37" w:rsidRDefault="00B35D37" w:rsidP="00B35D37">
      <w:pPr>
        <w:pStyle w:val="TextoNormal"/>
      </w:pPr>
    </w:p>
    <w:p w14:paraId="641B756B" w14:textId="77777777" w:rsidR="00B35D37" w:rsidRDefault="00B35D37" w:rsidP="00B35D37">
      <w:pPr>
        <w:pStyle w:val="TextoNormal"/>
      </w:pPr>
      <w:r>
        <w:t>f) Por otra parte, tampoco resulta relevante otro de los criterios utilizados por el auto para desmarcarse del ATC 28/2023, esto es, la mayor o menor “proximidad temporal” del ejercicio del cargo público, elemento distintivo que la norma no contempla y que por lo tanto carece de relevancia para valorar si ha formado el magistrado “criterio en detrimento de la debida imparcialidad” (art. 219.16 LOPJ).</w:t>
      </w:r>
    </w:p>
    <w:p w14:paraId="6B4F8A30" w14:textId="77777777" w:rsidR="00B35D37" w:rsidRDefault="00B35D37" w:rsidP="00B35D37">
      <w:pPr>
        <w:pStyle w:val="TextoNormal"/>
      </w:pPr>
    </w:p>
    <w:p w14:paraId="5EB80789" w14:textId="77777777" w:rsidR="00B35D37" w:rsidRDefault="00B35D37" w:rsidP="00B35D37">
      <w:pPr>
        <w:pStyle w:val="TextoNormal"/>
      </w:pPr>
      <w:r>
        <w:t>3.3</w:t>
      </w:r>
      <w:r w:rsidRPr="00B35D37">
        <w:rPr>
          <w:i/>
        </w:rPr>
        <w:t xml:space="preserve">. Vulneración a don José María Macías Castaño de su derecho al ejercicio del cargo (art. 23.2 </w:t>
      </w:r>
      <w:r>
        <w:t>CE)</w:t>
      </w:r>
    </w:p>
    <w:p w14:paraId="6315E305" w14:textId="77777777" w:rsidR="00B35D37" w:rsidRDefault="00B35D37" w:rsidP="00B35D37">
      <w:pPr>
        <w:pStyle w:val="TextoNormal"/>
      </w:pPr>
    </w:p>
    <w:p w14:paraId="16D9573A" w14:textId="77777777" w:rsidR="00B35D37" w:rsidRDefault="00B35D37" w:rsidP="00B35D37">
      <w:pPr>
        <w:pStyle w:val="TextoNormal"/>
      </w:pPr>
      <w:r>
        <w:t>a) En su segundo apartado, el art. 23 de nuestra Constitución consagra el derecho de todos a acceder en condiciones de igualdad a las funciones y cargos públicos con los requisitos que señalen las leyes. En lo que aquí importa este derecho (que protege a los titulares de cargos y funciones públicos de cualquier género y no solo, como el antes considerado, a los titulares de funciones representativas) implica también el de no ser removidos de los cargos o funciones públicos a los que se accedió si no es por causas y de acuerdo con procedimientos legalmente establecidos. De dicho derecho son titulares los magistrados del Tribunal Constitucional y, por tanto, el magistrado recusado.</w:t>
      </w:r>
    </w:p>
    <w:p w14:paraId="6E34E8CE" w14:textId="77777777" w:rsidR="00B35D37" w:rsidRDefault="00B35D37" w:rsidP="00B35D37">
      <w:pPr>
        <w:pStyle w:val="TextoNormal"/>
      </w:pPr>
    </w:p>
    <w:p w14:paraId="62CE7F0A" w14:textId="77777777" w:rsidR="00B35D37" w:rsidRDefault="00B35D37" w:rsidP="00B35D37">
      <w:pPr>
        <w:pStyle w:val="TextoNormal"/>
      </w:pPr>
      <w:r>
        <w:t xml:space="preserve">b) La introducción como canon de ponderación, desplazando la consolidada doctrina constitucional (ATC 28/2023) por la cual la sola expresión de “un criterio jurídico” no puede servir para apartar a un magistrado del control abstracto de constitucionalidad de una ley, por el criterio </w:t>
      </w:r>
      <w:r w:rsidRPr="00B35D37">
        <w:rPr>
          <w:i/>
        </w:rPr>
        <w:t>ad hoc</w:t>
      </w:r>
      <w:r>
        <w:t xml:space="preserve"> relativo a la existencia o no de una “conexión suficientemente intensa o relevante”, además de desbordar las causas de recusación alegadas, vulnera la garantía de certeza por la deficiente configuración </w:t>
      </w:r>
      <w:r w:rsidRPr="00B35D37">
        <w:rPr>
          <w:i/>
        </w:rPr>
        <w:t>ex ante</w:t>
      </w:r>
      <w:r>
        <w:t xml:space="preserve"> de la concurrencia de dichas causas, lo que afecta a la calidad de la ley, esto es, a la accesibilidad y previsibilidad del alcance de dicha novedosa doctrina en un ámbito especialmente sensible como es la composición del Tribunal Constitucional.</w:t>
      </w:r>
    </w:p>
    <w:p w14:paraId="5EAE633B" w14:textId="77777777" w:rsidR="00B35D37" w:rsidRDefault="00B35D37" w:rsidP="00B35D37">
      <w:pPr>
        <w:pStyle w:val="TextoNormal"/>
      </w:pPr>
    </w:p>
    <w:p w14:paraId="21FB80A8" w14:textId="77777777" w:rsidR="00B35D37" w:rsidRDefault="00B35D37" w:rsidP="00B35D37">
      <w:pPr>
        <w:pStyle w:val="TextoNormal"/>
      </w:pPr>
      <w:r>
        <w:t>3.4</w:t>
      </w:r>
      <w:r w:rsidRPr="00B35D37">
        <w:rPr>
          <w:i/>
        </w:rPr>
        <w:t>. Inexistencia de causa de recusación. Confusión entre las causas de recusación núms. 13 y 16 del art. 219 LOPJ. Incompatibilidad de las mism</w:t>
      </w:r>
      <w:r>
        <w:t>as</w:t>
      </w:r>
    </w:p>
    <w:p w14:paraId="777E1A54" w14:textId="77777777" w:rsidR="00B35D37" w:rsidRDefault="00B35D37" w:rsidP="00B35D37">
      <w:pPr>
        <w:pStyle w:val="TextoNormal"/>
      </w:pPr>
    </w:p>
    <w:p w14:paraId="2867F5C7" w14:textId="77777777" w:rsidR="00B35D37" w:rsidRDefault="00B35D37" w:rsidP="00B35D37">
      <w:pPr>
        <w:pStyle w:val="TextoNormal"/>
      </w:pPr>
      <w:r>
        <w:t>a) Contempla el art. 219.13 LOPJ como causa de recusación la de “[h]aber ocupado cargo público, desempeñado empleo o ejercido profesión con ocasión de los cuales haya participado directa o indirectamente en el asunto objeto del pleito o causa o en otro relacionado con el mismo” y el art. 219.16 LOPJ la de “[h]aber ocupado el juez o magistrado cargo público o administrativo con ocasión del cual haya podido tener conocimiento del objeto del litigio y formar criterio en detrimento de la debida imparcialidad”.</w:t>
      </w:r>
    </w:p>
    <w:p w14:paraId="0F705302" w14:textId="77777777" w:rsidR="00B35D37" w:rsidRDefault="00B35D37" w:rsidP="00B35D37">
      <w:pPr>
        <w:pStyle w:val="TextoNormal"/>
      </w:pPr>
    </w:p>
    <w:p w14:paraId="47F044B9" w14:textId="77777777" w:rsidR="00B35D37" w:rsidRDefault="00B35D37" w:rsidP="00B35D37">
      <w:pPr>
        <w:pStyle w:val="TextoNormal"/>
      </w:pPr>
      <w:r>
        <w:t>b) El auto estima apodícticamente la recusación por la concurrencia simultánea de las dos causas invocadas por el fiscal general del Estado. Sin embargo, a la vista del tenor literal de la descripción de ambas causas, así como de la doctrina de este tribunal (ATC 18/2006, FJ 3), no puede afirmarse la apreciación simultánea o indistinta de las mismas. Una misma conducta no puede ser considerada como una “participación” en un asunto (art. 219.13 LOPJ) y, al mismo tiempo, como una toma de “conocimiento” con “formación de criterio en detrimento de la debida imparcialidad” (art. 219.16 LOPJ). La participación implica una toma de conocimiento, pero no al revés. La causa 13 presenta una naturaleza eminentemente objetiva, mientras que la 16 participa de un carácter mixto. Si no se ofrece mayor argumentación, hay una falta de motivación por incongruencia interna de la decisión de concurrencia de ambas causas.</w:t>
      </w:r>
    </w:p>
    <w:p w14:paraId="19C7B9E7" w14:textId="77777777" w:rsidR="00B35D37" w:rsidRDefault="00B35D37" w:rsidP="00B35D37">
      <w:pPr>
        <w:pStyle w:val="TextoNormal"/>
      </w:pPr>
    </w:p>
    <w:p w14:paraId="74841F2A" w14:textId="77777777" w:rsidR="00B35D37" w:rsidRDefault="00B35D37" w:rsidP="00B35D37">
      <w:pPr>
        <w:pStyle w:val="TextoNormal"/>
      </w:pPr>
      <w:r>
        <w:t>c) Ambas causas proyectan esa participación (causa 13) y ese conocimiento (causa 16) a una realidad: “asunto objeto del pleito o causa” y “objeto del litigio”. Ello obliga a determinar cuál es el “objeto del pleito o causa” y el “objeto del litigio”, a fin de verificar si el magistrado recusado ha participado en el mismo o lo ha conocido; y, además, al hacerlo debemos aplicar la doctrina de la interpretación restrictiva de las causas de recusación —más si cabe que de las de abstención— y más todavía cuando se promueven en procedimientos constitucionales que versan sobre el control abstracto de una ley.</w:t>
      </w:r>
    </w:p>
    <w:p w14:paraId="754C9D56" w14:textId="77777777" w:rsidR="00B35D37" w:rsidRDefault="00B35D37" w:rsidP="00B35D37">
      <w:pPr>
        <w:pStyle w:val="TextoNormal"/>
      </w:pPr>
    </w:p>
    <w:p w14:paraId="5D82AD0C" w14:textId="77777777" w:rsidR="00B35D37" w:rsidRDefault="00B35D37" w:rsidP="00B35D37">
      <w:pPr>
        <w:pStyle w:val="TextoNormal"/>
      </w:pPr>
      <w:r>
        <w:t>d) En puridad, no cabe considerar que una cuestión de inconstitucionalidad pueda ser equiparada a un “pleito” o a un “litigio”. Tanto el “pleito” (causa 13) como la “causa” (causa 13) o el “litigio” (causa 16) suponen una controversia entre dos o más partes sobre un derecho o una obligación que debe ser resuelta por una autoridad judicial competente. Sin embargo, la cuestión de inconstitucionalidad es un instrumento de control concreto de constitucionalidad que permite al órgano judicial conciliar su doble obligación de actuar sometido al imperio de la ley y de guardar y hacer guardar la Constitución como norma fundamental del Estado. No existen partes recurrentes ni partes recurridas.</w:t>
      </w:r>
    </w:p>
    <w:p w14:paraId="17C771E3" w14:textId="77777777" w:rsidR="00B35D37" w:rsidRDefault="00B35D37" w:rsidP="00B35D37">
      <w:pPr>
        <w:pStyle w:val="TextoNormal"/>
      </w:pPr>
    </w:p>
    <w:p w14:paraId="68CAC1EB" w14:textId="77777777" w:rsidR="00B35D37" w:rsidRDefault="00B35D37" w:rsidP="00B35D37">
      <w:pPr>
        <w:pStyle w:val="TextoNormal"/>
      </w:pPr>
      <w:r>
        <w:t>e) Resulta llamativo que el auto evite abordar lo que realmente tiene relevancia en este caso: la existencia de esa “participa[ción]” en el “asunto objeto del pleito o causa”, o de esa toma de “conocimiento” que es el núcleo de las causas de recusación invocadas, o si la función informante se desempeñó “en detrimento de la debida imparcialidad”, según lo dispuesto en el artículo 219.16 LOPJ. Según la propia doctrina de este tribunal (ATC 18/2006, FJ 3), esta cuestión debe analizarse en relación con alguna de las partes del proceso. Sin embargo, y como también señala la jurisprudencia de este tribunal (AATC 387/2007, FJ 5, y 28/2023, FJ 2) —y ya se ha indicado— en una cuestión de inconstitucionalidad no existen materialmente partes.</w:t>
      </w:r>
    </w:p>
    <w:p w14:paraId="16382E5A" w14:textId="77777777" w:rsidR="00B35D37" w:rsidRDefault="00B35D37" w:rsidP="00B35D37">
      <w:pPr>
        <w:pStyle w:val="TextoNormal"/>
      </w:pPr>
    </w:p>
    <w:p w14:paraId="005DBFD5" w14:textId="77777777" w:rsidR="00B35D37" w:rsidRDefault="00B35D37" w:rsidP="00B35D37">
      <w:pPr>
        <w:pStyle w:val="TextoNormal"/>
      </w:pPr>
      <w:r>
        <w:t>f) En lugar de examinar si concurren las condiciones para que se apliquen las causas de recusación, el auto intenta desvirtuar las alegaciones del magistrado recusado mediante lo que solo puede calificarse como una “distorsión” de la consecuencia jurídica derivada de la necesidad, expuesta en nuestra doctrina (ATC 28/2023, FJ 4) de realizar una interpretación restrictiva de las causas de abstención y/o recusación de los magistrados constitucionales, en la que se tenga en cuenta la naturaleza del proceso correspondiente. En ningún caso se ha insinuado una supuesta imposibilidad de apreciar causa alguna de recusación en los procedimientos de control abstracto de constitucionalidad, sino la necesidad de aplicar el debido rigor sobre su eventual concurrencia en cada asunto, en función de su propia naturaleza.</w:t>
      </w:r>
    </w:p>
    <w:p w14:paraId="19F965CC" w14:textId="77777777" w:rsidR="00B35D37" w:rsidRDefault="00B35D37" w:rsidP="00B35D37">
      <w:pPr>
        <w:pStyle w:val="TextoNormal"/>
      </w:pPr>
    </w:p>
    <w:p w14:paraId="1D946AB5" w14:textId="77777777" w:rsidR="00B35D37" w:rsidRDefault="00B35D37" w:rsidP="00B35D37">
      <w:pPr>
        <w:pStyle w:val="TextoNormal"/>
      </w:pPr>
      <w:r>
        <w:t>Por todo lo expuesto, debemos reiterar lo indicado al inicio del presente voto particular, esto es, la recusación planteada por el fiscal general del Estado fue indebidamente admitida a trámite, atendido su carácter extemporáneo, y —en todo caso— debió descartarse que concurrieran las causas 13 y 16 previstas en el art. 219 LOPJ.</w:t>
      </w:r>
    </w:p>
    <w:p w14:paraId="464C0BB7" w14:textId="77777777" w:rsidR="00B35D37" w:rsidRDefault="00B35D37" w:rsidP="00B35D37">
      <w:pPr>
        <w:pStyle w:val="TextoNormal"/>
      </w:pPr>
    </w:p>
    <w:p w14:paraId="7C799D66" w14:textId="77777777" w:rsidR="00B35D37" w:rsidRDefault="00B35D37" w:rsidP="00B35D37">
      <w:pPr>
        <w:pStyle w:val="TextoNormal"/>
      </w:pPr>
      <w:r>
        <w:t>Y en este sentido se emite el presente voto particular.</w:t>
      </w:r>
    </w:p>
    <w:p w14:paraId="4EF47B96" w14:textId="77777777" w:rsidR="00B35D37" w:rsidRDefault="00B35D37" w:rsidP="00B35D37">
      <w:pPr>
        <w:pStyle w:val="TextoNormal"/>
      </w:pPr>
    </w:p>
    <w:p w14:paraId="5585A99D" w14:textId="1435F912" w:rsidR="00B35D37" w:rsidRDefault="00B35D37" w:rsidP="00B35D37">
      <w:pPr>
        <w:pStyle w:val="TextoNormal"/>
      </w:pPr>
      <w:r>
        <w:t>Madrid, a quince de enero de dos mil veinticinco.</w:t>
      </w:r>
    </w:p>
    <w:p w14:paraId="366F4098" w14:textId="650DC87B" w:rsidR="00B35D37" w:rsidRDefault="00B35D37">
      <w:pPr>
        <w:spacing w:after="160" w:line="278" w:lineRule="auto"/>
        <w:rPr>
          <w:rFonts w:ascii="Times New Roman" w:eastAsia="Times New Roman" w:hAnsi="Times New Roman" w:cs="Times New Roman"/>
          <w:sz w:val="24"/>
          <w:szCs w:val="24"/>
          <w:lang w:eastAsia="es-ES"/>
        </w:rPr>
      </w:pPr>
      <w:r>
        <w:br w:type="page"/>
      </w:r>
    </w:p>
    <w:p w14:paraId="20DC9663" w14:textId="77777777" w:rsidR="00B35D37" w:rsidRDefault="00B35D37" w:rsidP="00B35D37">
      <w:pPr>
        <w:pStyle w:val="TtuloResolucin"/>
      </w:pPr>
      <w:bookmarkStart w:id="146" w:name="AUTO_2025_7"/>
      <w:r>
        <w:t>AUTO 7/2025, de 16 de enero de 2025</w:t>
      </w:r>
    </w:p>
    <w:bookmarkEnd w:id="146"/>
    <w:p w14:paraId="2EF1B5DC" w14:textId="77777777" w:rsidR="00B35D37" w:rsidRDefault="00B35D37" w:rsidP="00B35D37">
      <w:pPr>
        <w:pStyle w:val="TtuloResolucin"/>
      </w:pPr>
      <w:r>
        <w:t>Sección Segunda</w:t>
      </w:r>
    </w:p>
    <w:p w14:paraId="3EAB5774" w14:textId="77777777" w:rsidR="00B35D37" w:rsidRDefault="00B35D37" w:rsidP="00B35D37">
      <w:pPr>
        <w:pStyle w:val="TextoNormalCentrado"/>
      </w:pPr>
      <w:r>
        <w:t>ECLI:ES:TC:2025:7A</w:t>
      </w:r>
    </w:p>
    <w:p w14:paraId="1FCD2511" w14:textId="1C13CCFA" w:rsidR="00B35D37" w:rsidRDefault="00B35D37" w:rsidP="00B35D37">
      <w:pPr>
        <w:pStyle w:val="TextoNormalCentrado"/>
      </w:pPr>
    </w:p>
    <w:p w14:paraId="22B6890A" w14:textId="77777777" w:rsidR="00B35D37" w:rsidRDefault="00B35D37" w:rsidP="00B35D37">
      <w:pPr>
        <w:pStyle w:val="SntesisDescriptiva"/>
      </w:pPr>
      <w:r>
        <w:t>Excms. Srs. don Ricardo Enríquez Sancho y don José María Macías Castaño.</w:t>
      </w:r>
    </w:p>
    <w:p w14:paraId="30D1EE3F" w14:textId="00ADB2F1" w:rsidR="00B35D37" w:rsidRDefault="00B35D37" w:rsidP="00B35D37">
      <w:pPr>
        <w:pStyle w:val="SntesisDescriptiva"/>
      </w:pPr>
    </w:p>
    <w:p w14:paraId="723113D9" w14:textId="77777777" w:rsidR="00B35D37" w:rsidRDefault="00B35D37" w:rsidP="00B35D37">
      <w:pPr>
        <w:pStyle w:val="SntesisDescriptiva"/>
      </w:pPr>
      <w:r>
        <w:t>Acuerda la extinción, por pérdida sobrevenida de objeto, del recurso de amparo 1866-2024, promovido por doña Sonia María Rodríguez Fernández en procedimiento parlamentario.</w:t>
      </w:r>
    </w:p>
    <w:p w14:paraId="65E2F0B2" w14:textId="4E38C02B" w:rsidR="00B35D37" w:rsidRDefault="00B35D37" w:rsidP="00B35D37">
      <w:pPr>
        <w:pStyle w:val="SntesisDescriptiva"/>
      </w:pPr>
    </w:p>
    <w:p w14:paraId="4DA4FE6D" w14:textId="77777777" w:rsidR="00B35D37" w:rsidRDefault="00B35D37" w:rsidP="00B35D37">
      <w:pPr>
        <w:pStyle w:val="SntesisDescriptiva"/>
      </w:pPr>
    </w:p>
    <w:p w14:paraId="12A63125" w14:textId="77777777" w:rsidR="00B35D37" w:rsidRDefault="00B35D37" w:rsidP="00B35D37">
      <w:pPr>
        <w:pStyle w:val="SntesisDescriptiva"/>
      </w:pPr>
    </w:p>
    <w:p w14:paraId="3FE2BC85" w14:textId="77777777" w:rsidR="00B35D37" w:rsidRDefault="00B35D37" w:rsidP="00B35D37">
      <w:pPr>
        <w:pStyle w:val="TextoNormalNegritaCentrado"/>
      </w:pPr>
      <w:r>
        <w:t>AUTO</w:t>
      </w:r>
    </w:p>
    <w:p w14:paraId="0562934E" w14:textId="31B9CC63" w:rsidR="00B35D37" w:rsidRDefault="00B35D37" w:rsidP="00B35D37">
      <w:pPr>
        <w:pStyle w:val="TextoNormalNegritaCentrado"/>
      </w:pPr>
    </w:p>
    <w:p w14:paraId="27598022" w14:textId="77777777" w:rsidR="00B35D37" w:rsidRDefault="00B35D37" w:rsidP="00B35D37">
      <w:pPr>
        <w:pStyle w:val="TextoNormalNegritaCentrado"/>
        <w:keepNext/>
      </w:pPr>
      <w:r>
        <w:t>I. Antecedentes</w:t>
      </w:r>
    </w:p>
    <w:p w14:paraId="7113D478" w14:textId="20CB03B2" w:rsidR="00B35D37" w:rsidRDefault="00B35D37" w:rsidP="00B35D37">
      <w:pPr>
        <w:pStyle w:val="TextoNormalNegritaCentrado"/>
        <w:keepNext/>
      </w:pPr>
    </w:p>
    <w:p w14:paraId="3133035F" w14:textId="23AA8806" w:rsidR="00B35D37" w:rsidRDefault="00B35D37" w:rsidP="00B35D37">
      <w:pPr>
        <w:pStyle w:val="TextoNormal"/>
      </w:pPr>
      <w:r w:rsidRPr="00B35D37">
        <w:rPr>
          <w:rStyle w:val="NumeroAFNegritaCaracter"/>
        </w:rPr>
        <w:t>1</w:t>
      </w:r>
      <w:r>
        <w:t>. El día 15 de marzo de 2024 tuvo entrada en el registro general de este tribunal un escrito de la ahora demandante doña Sonia María Rodríguez Fernández, por el que solicitaba el nombramiento de abogado y procurador de oficio para la interposición del presente recurso de amparo que, tras los trámites correspondientes, fue formalizado a través de una demanda suscrita por el procurador de los tribunales don Juan Manuel Caloto Carpintero, bajo la dirección letrada de don Pedro Martí García, contra la inactividad u omisión de las Cortes Generales (en su composición bicameral de Congreso de los Diputados y Senado) de su función de proceder a la renovación de los vocales del Consejo General del Poder Judicial, cuyo mandato expiró el día 4 de diciembre de 2018.</w:t>
      </w:r>
    </w:p>
    <w:p w14:paraId="56C2718B" w14:textId="77777777" w:rsidR="00B35D37" w:rsidRDefault="00B35D37" w:rsidP="00B35D37">
      <w:pPr>
        <w:pStyle w:val="TextoNormal"/>
      </w:pPr>
    </w:p>
    <w:p w14:paraId="6260D0DA" w14:textId="77777777" w:rsidR="00B35D37" w:rsidRDefault="00B35D37" w:rsidP="00B35D37">
      <w:pPr>
        <w:pStyle w:val="TextoNormal"/>
      </w:pPr>
      <w:r w:rsidRPr="00B35D37">
        <w:rPr>
          <w:rStyle w:val="NumeroAFNegritaCaracter"/>
        </w:rPr>
        <w:t>2</w:t>
      </w:r>
      <w:r>
        <w:t>. Los hechos relevantes del presente recurso de amparo son los siguientes:</w:t>
      </w:r>
    </w:p>
    <w:p w14:paraId="244D676B" w14:textId="77777777" w:rsidR="00B35D37" w:rsidRDefault="00B35D37" w:rsidP="00B35D37">
      <w:pPr>
        <w:pStyle w:val="TextoNormal"/>
      </w:pPr>
    </w:p>
    <w:p w14:paraId="63C0300F" w14:textId="77777777" w:rsidR="00B35D37" w:rsidRDefault="00B35D37" w:rsidP="00B35D37">
      <w:pPr>
        <w:pStyle w:val="TextoNormal"/>
      </w:pPr>
      <w:r>
        <w:t>a) El día 15 de septiembre de 2023, la ahora recurrente presentó varios escritos, suscritos también por otros ciudadanos, dirigidos a las respectivas presidencias del Congreso de los Diputados y del Senado, así como a los grupos parlamentarios y a cada uno de los diputados y senadores, en los que, al amparo de los derechos reconocidos en el art. 23, apartados 1 y 2 CE, se instaba a las cámaras al cumplimiento de lo dispuesto en el art. 568.1 de la Ley Orgánica del Poder Judicial (LOPJ), a fin de proceder a la renovación de los vocales del Consejo General del Poder Judicial cuyo mandado había expirado el 4 de diciembre de 2018.</w:t>
      </w:r>
    </w:p>
    <w:p w14:paraId="37C15274" w14:textId="77777777" w:rsidR="00B35D37" w:rsidRDefault="00B35D37" w:rsidP="00B35D37">
      <w:pPr>
        <w:pStyle w:val="TextoNormal"/>
      </w:pPr>
    </w:p>
    <w:p w14:paraId="65E99722" w14:textId="77777777" w:rsidR="00B35D37" w:rsidRDefault="00B35D37" w:rsidP="00B35D37">
      <w:pPr>
        <w:pStyle w:val="TextoNormal"/>
      </w:pPr>
      <w:r>
        <w:t>b) Ante la falta de contestación, se interpuso un recurso contencioso-administrativo, por la vía del procedimiento especial de protección de los derechos fundamentales, que fue inadmitido por medio de auto de 31 de enero de 2024, dictado por la Sección Cuarta de la Sala de lo Contencioso-Administrativo del Tribunal Supremo (ECLI:ES:TS:2024:823A), al entender que el objeto de impugnación no era una actuación o una inactividad de una administración pública, en el sentido indicado por los arts. 1 y siguientes de la Ley 29/1998, de 13 de julio, reguladora de la jurisdicción contencioso-administrativa. Promovido el correspondiente incidente de nulidad de actuaciones, fue inadmitido por medio de providencia de la misma Sección de la Sala de 26 de febrero de 2024.</w:t>
      </w:r>
    </w:p>
    <w:p w14:paraId="3E0E2F76" w14:textId="77777777" w:rsidR="00B35D37" w:rsidRDefault="00B35D37" w:rsidP="00B35D37">
      <w:pPr>
        <w:pStyle w:val="TextoNormal"/>
      </w:pPr>
    </w:p>
    <w:p w14:paraId="7113A5FB" w14:textId="637D38BC" w:rsidR="00B35D37" w:rsidRDefault="00B35D37" w:rsidP="00B35D37">
      <w:pPr>
        <w:pStyle w:val="TextoNormal"/>
      </w:pPr>
      <w:r>
        <w:t>c) Una vez formalizada la demanda de amparo, lo que tuvo lugar el 4 de julio de 2024, y antes de adoptar cualquier decisión sobre su admisión a trámite, es un hecho notorio que los días 23 y 24 de julio de 2024 tuvieron lugar, respectivamente, las sesiones plenarias en el Congreso (“Diario de Sesiones del Congreso de los Diputados”, Pleno y Diputación Permanente, XV Legislatura, núm. 58, de 23 de julio de 2024) y en el Senado (“Diario de Sesiones del Senado”, Pleno, XV Legislatura, núm. 41, de 24 de julio de 2024) para la designación de los vocales del Consejo General del Poder Judicial, permitiendo con ello la renovación del órgano. Este proceso se culminó con el Real Decreto 755/2024, de 24 de julio, por el que se nombran vocales del Consejo a propuesta del Congreso de los Diputados, y con el Real Decreto 756/2024, de 24 de julio, por el que se produce el nombramiento de los vocales del Consejo General del Poder Judicial a propuesta, en este caso, del Senado.</w:t>
      </w:r>
    </w:p>
    <w:p w14:paraId="69C51C85" w14:textId="77777777" w:rsidR="00B35D37" w:rsidRDefault="00B35D37" w:rsidP="00B35D37">
      <w:pPr>
        <w:pStyle w:val="TextoNormal"/>
      </w:pPr>
    </w:p>
    <w:p w14:paraId="31C3C88E" w14:textId="77777777" w:rsidR="00B35D37" w:rsidRDefault="00B35D37" w:rsidP="00B35D37">
      <w:pPr>
        <w:pStyle w:val="TextoNormal"/>
      </w:pPr>
      <w:r w:rsidRPr="00B35D37">
        <w:rPr>
          <w:rStyle w:val="NumeroAFNegritaCaracter"/>
        </w:rPr>
        <w:t>3</w:t>
      </w:r>
      <w:r>
        <w:t>. La demanda de amparo se ha interpuesto por la vía del art. 42 de la Ley Orgánica del Tribunal Constitucional (LOTC), y en ella se alega la vulneración de los derechos reconocidos en el art. 23.1 CE (participar en los asuntos públicos por medio de representantes) y en el art. 23.2 CE (ejercicio del cargo público representativo).</w:t>
      </w:r>
    </w:p>
    <w:p w14:paraId="5D280800" w14:textId="77777777" w:rsidR="00B35D37" w:rsidRDefault="00B35D37" w:rsidP="00B35D37">
      <w:pPr>
        <w:pStyle w:val="TextoNormal"/>
      </w:pPr>
    </w:p>
    <w:p w14:paraId="1D641AD4" w14:textId="77777777" w:rsidR="00B35D37" w:rsidRDefault="00B35D37" w:rsidP="00B35D37">
      <w:pPr>
        <w:pStyle w:val="TextoNormal"/>
      </w:pPr>
      <w:r>
        <w:t>Para la demandante, el incumplimiento de la obligación legal [arts. 567 y 568 de la Ley Orgánica del Poder Judicial (LOPJ)] de proceder a la renovación de los vocales del Consejo General del Poder Judicial supone una vulneración de su derecho a participar en los asuntos públicos por medio de representantes y en los términos fijados por la norma correspondiente. Las Cortes no han cumplido con la función legalmente encomendada, lo que supone que se ha vulnerado su derecho a ser representada en la aprobación de la nueva composición del Consejo.</w:t>
      </w:r>
    </w:p>
    <w:p w14:paraId="7973A0CE" w14:textId="77777777" w:rsidR="00B35D37" w:rsidRDefault="00B35D37" w:rsidP="00B35D37">
      <w:pPr>
        <w:pStyle w:val="TextoNormal"/>
      </w:pPr>
    </w:p>
    <w:p w14:paraId="6222F293" w14:textId="77777777" w:rsidR="00B35D37" w:rsidRDefault="00B35D37" w:rsidP="00B35D37">
      <w:pPr>
        <w:pStyle w:val="TextoNormal"/>
      </w:pPr>
      <w:r>
        <w:t>Por otro lado, el incumplimiento de esa obligación legal ha supuesto que los parlamentarios —en las sucesivas composiciones de las Cortes derivadas de las elecciones celebradas en los años 2016 y 2019— no han llegado a acceder a la parte del cargo parlamentario que les obligaba a la renovación del Consejo General del Poder Judicial, lo que implica, en los términos de la demanda, una vulneración del derecho reconocido en el art. 23.2 CE.</w:t>
      </w:r>
    </w:p>
    <w:p w14:paraId="0C953773" w14:textId="77777777" w:rsidR="00B35D37" w:rsidRDefault="00B35D37" w:rsidP="00B35D37">
      <w:pPr>
        <w:pStyle w:val="TextoNormal"/>
      </w:pPr>
    </w:p>
    <w:p w14:paraId="15BEFDE9" w14:textId="77777777" w:rsidR="00B35D37" w:rsidRDefault="00B35D37" w:rsidP="00B35D37">
      <w:pPr>
        <w:pStyle w:val="TextoNormal"/>
      </w:pPr>
      <w:r>
        <w:t>Finalmente, la demanda también invoca el derecho de petición del art. 29.1 CE, en relación con el art. 11 de la Ley Orgánica 4/2001, de 12 de noviembre, reguladora del derecho de petición, y con los arts. 49 del Reglamento del Congreso de los Diputados y 193 del Reglamento del Senado, por la desestimación por silencio negativo de la solicitud formulada por la recurrente con carácter previo a la interposición de este amparo.</w:t>
      </w:r>
    </w:p>
    <w:p w14:paraId="63FCBD04" w14:textId="77777777" w:rsidR="00B35D37" w:rsidRDefault="00B35D37" w:rsidP="00B35D37">
      <w:pPr>
        <w:pStyle w:val="TextoNormal"/>
      </w:pPr>
    </w:p>
    <w:p w14:paraId="4C0012D6" w14:textId="0BAF102E" w:rsidR="00B35D37" w:rsidRDefault="00B35D37" w:rsidP="00B35D37">
      <w:pPr>
        <w:pStyle w:val="TextoNormal"/>
      </w:pPr>
      <w:r>
        <w:t>Como motivos de especial trascendencia constitucional del recurso se alega la inexistencia de doctrina sobre la cuestión planteada y la necesidad de fijar los parámetros constitucionales para determinar el alcance de la obligación de las Cortes Generales y su grado de exigencia, así como las medidas a adoptar para solucionar la situación derivada de la falta de cumplimiento de la obligación legal de renovación de los vocales del Consejo General del Poder Judicial.</w:t>
      </w:r>
    </w:p>
    <w:p w14:paraId="386CC3ED" w14:textId="77777777" w:rsidR="00B35D37" w:rsidRDefault="00B35D37" w:rsidP="00B35D37">
      <w:pPr>
        <w:pStyle w:val="TextoNormal"/>
      </w:pPr>
    </w:p>
    <w:p w14:paraId="3CB3B1FA" w14:textId="5504DA18" w:rsidR="00B35D37" w:rsidRDefault="00B35D37" w:rsidP="00B35D37">
      <w:pPr>
        <w:pStyle w:val="TextoNormal"/>
      </w:pPr>
      <w:r w:rsidRPr="00B35D37">
        <w:rPr>
          <w:rStyle w:val="NumeroAFNegritaCaracter"/>
        </w:rPr>
        <w:t>4</w:t>
      </w:r>
      <w:r>
        <w:t>. La demanda recayó, por turno de reparto, en la Sección Segunda de este tribunal que, por medio de ATC 114/2024, de 30 de octubre, aceptó la abstención del magistrado don Juan Carlos Campo Moreno, por la concurrencia de las causas primera y decimocuarta previstas en el art. 219 LOPJ.</w:t>
      </w:r>
    </w:p>
    <w:p w14:paraId="5CA9350B" w14:textId="77777777" w:rsidR="00B35D37" w:rsidRDefault="00B35D37" w:rsidP="00B35D37">
      <w:pPr>
        <w:pStyle w:val="TextoNormal"/>
      </w:pPr>
    </w:p>
    <w:p w14:paraId="4F40B829" w14:textId="101D716C" w:rsidR="00B35D37" w:rsidRDefault="00B35D37" w:rsidP="00B35D37">
      <w:pPr>
        <w:pStyle w:val="TextoNormal"/>
      </w:pPr>
      <w:r w:rsidRPr="00B35D37">
        <w:rPr>
          <w:rStyle w:val="NumeroAFNegritaCaracter"/>
        </w:rPr>
        <w:t>5</w:t>
      </w:r>
      <w:r>
        <w:t>. Por medio de diligencia de ordenación de la Secretaría de Justicia de 12 de noviembre de 2024, se acordó dar traslado al Ministerio Fiscal y a las partes personadas, a fin de que alegaran lo que estimaran procedente respecto de la posible pérdida sobrevenida de objeto de este recurso, con remisión de copia del ATC 96/2024, de 21 de octubre, dictado por este tribunal en el recurso de amparo núm. 4834-2020.</w:t>
      </w:r>
    </w:p>
    <w:p w14:paraId="74746B7B" w14:textId="77777777" w:rsidR="00B35D37" w:rsidRDefault="00B35D37" w:rsidP="00B35D37">
      <w:pPr>
        <w:pStyle w:val="TextoNormal"/>
      </w:pPr>
    </w:p>
    <w:p w14:paraId="5643BB6C" w14:textId="18112EA2" w:rsidR="00B35D37" w:rsidRDefault="00B35D37" w:rsidP="00B35D37">
      <w:pPr>
        <w:pStyle w:val="TextoNormal"/>
      </w:pPr>
      <w:r w:rsidRPr="00B35D37">
        <w:rPr>
          <w:rStyle w:val="NumeroAFNegritaCaracter"/>
        </w:rPr>
        <w:t>6</w:t>
      </w:r>
      <w:r>
        <w:t>. La representación de la demandante de amparo presentó su escrito de alegaciones el día 21 de noviembre de 2024, oponiéndose a la pérdida sobrevenida de objeto del presente recurso. En síntesis, tras reiterar las alegaciones sobre las vulneraciones invocadas, considera que la demanda pretende la declaración de la lesión alegada, así como obtener la interpretación constitucional sobre la solución a adoptar en supuestos como el planteado. Considera que la lesión se produjo, en parte, durante la vigencia de los mandatos legislativos derivados de las elecciones celebradas en los años 2016 y 2019, por lo que la renovación producida en el año 2024 no habría reparado las vulneraciones ya generadas con anterioridad, cuya lesión y consiguiente daño no se habría ni siquiera declarado. Se trata de una inacción u omisión continuada en el tiempo, que puede considerarse como un solo acto. Subsidiariamente, como quiera que la petición inicial se formuló el 15 de septiembre de 2023, y que existe un plazo de tres meses de prescripción, se puede entender que la petición habría incluido la inacción provocada por las Cortes inmediatamente anteriores a las elecciones del 23 de julio de 2023.</w:t>
      </w:r>
    </w:p>
    <w:p w14:paraId="5DD1D8C3" w14:textId="77777777" w:rsidR="00B35D37" w:rsidRDefault="00B35D37" w:rsidP="00B35D37">
      <w:pPr>
        <w:pStyle w:val="TextoNormal"/>
      </w:pPr>
    </w:p>
    <w:p w14:paraId="75AC6E83" w14:textId="76CAA5CC" w:rsidR="00B35D37" w:rsidRDefault="00B35D37" w:rsidP="00B35D37">
      <w:pPr>
        <w:pStyle w:val="TextoNormal"/>
      </w:pPr>
      <w:r w:rsidRPr="00B35D37">
        <w:rPr>
          <w:rStyle w:val="NumeroAFNegritaCaracter"/>
        </w:rPr>
        <w:t>7</w:t>
      </w:r>
      <w:r>
        <w:t>. La fiscal ante el Tribunal Constitucional presentó su escrito de alegaciones el día 11 de diciembre de 2024. Tras exponer ampliamente los antecedentes que consideró de interés, entiende que nos encontramos ante el mismo supuesto que el recurso de amparo núm. 4834-2020, por lo que procede declarar la pérdida sobrevenida de objeto del presente recurso, dado que la pretensión de la demandante se habría visto satisfecha extraprocesalmente mediante la renovación de los vocales del Consejo General del Poder Judicial llevada a cabo los días 23 y 24 de julio de 2024.</w:t>
      </w:r>
    </w:p>
    <w:p w14:paraId="6977B492" w14:textId="77777777" w:rsidR="00B35D37" w:rsidRDefault="00B35D37" w:rsidP="00B35D37">
      <w:pPr>
        <w:pStyle w:val="TextoNormal"/>
      </w:pPr>
    </w:p>
    <w:p w14:paraId="346C9B95" w14:textId="77777777" w:rsidR="00B35D37" w:rsidRDefault="00B35D37" w:rsidP="00B35D37">
      <w:pPr>
        <w:pStyle w:val="TextoNormalNegritaCentrado"/>
        <w:keepNext/>
      </w:pPr>
      <w:r>
        <w:t>II. Fundamentos jurídicos</w:t>
      </w:r>
    </w:p>
    <w:p w14:paraId="1A0906BF" w14:textId="67549F35" w:rsidR="00B35D37" w:rsidRDefault="00B35D37" w:rsidP="00B35D37">
      <w:pPr>
        <w:pStyle w:val="TextoNormalNegritaCentrado"/>
        <w:keepNext/>
      </w:pPr>
    </w:p>
    <w:p w14:paraId="6DDDF520" w14:textId="77777777" w:rsidR="00B35D37" w:rsidRDefault="00B35D37" w:rsidP="00B35D37">
      <w:pPr>
        <w:pStyle w:val="TextoNormal"/>
      </w:pPr>
      <w:r w:rsidRPr="00B35D37">
        <w:rPr>
          <w:rStyle w:val="TextoNormalNegritaCaracter"/>
        </w:rPr>
        <w:t xml:space="preserve">Único. </w:t>
      </w:r>
      <w:r>
        <w:t>El objeto de este recurso de amparo es determinar si, como alega la recurrente, se ha producido la vulneración del derecho a la participación en los asuntos públicos por medio de representantes (art. 23.1 CE) y del derecho al ejercicio del cargo público representativo (art. 23.2 CE), así como del derecho de petición (art. 29.1 CE), por la inactividad u omisión de las funciones legalmente encomendadas a las Cortes Generales en orden a proceder a la renovación de los vocales del Consejo General del Poder Judicial, cuyo mandato expiró el 4 de diciembre de 2018.</w:t>
      </w:r>
    </w:p>
    <w:p w14:paraId="7E64EFEF" w14:textId="77777777" w:rsidR="00B35D37" w:rsidRDefault="00B35D37" w:rsidP="00B35D37">
      <w:pPr>
        <w:pStyle w:val="TextoNormal"/>
      </w:pPr>
    </w:p>
    <w:p w14:paraId="054A73ED" w14:textId="77777777" w:rsidR="00B35D37" w:rsidRDefault="00B35D37" w:rsidP="00B35D37">
      <w:pPr>
        <w:pStyle w:val="TextoNormal"/>
      </w:pPr>
      <w:r>
        <w:t>Sin embargo, es un hecho notorio que, en el momento del dictado de esta resolución, se ha procedido a la renovación del Consejo General del Poder Judicial, poniendo fin así a la inactividad denunciada, por lo que, tal y como se ha planteado la presente demanda de amparo, se debe entender que ha perdido objeto.</w:t>
      </w:r>
    </w:p>
    <w:p w14:paraId="0C54DFCC" w14:textId="77777777" w:rsidR="00B35D37" w:rsidRDefault="00B35D37" w:rsidP="00B35D37">
      <w:pPr>
        <w:pStyle w:val="TextoNormal"/>
      </w:pPr>
    </w:p>
    <w:p w14:paraId="49256D99" w14:textId="77777777" w:rsidR="00B35D37" w:rsidRDefault="00B35D37" w:rsidP="00B35D37">
      <w:pPr>
        <w:pStyle w:val="TextoNormal"/>
      </w:pPr>
      <w:r>
        <w:t>En efecto, la demanda se presentó formalmente respecto de una inacción predicable de la actual composición de las Cortes Generales, en coherencia con el previo escrito presentado el 15 de septiembre de 2023. La sucesiva ampliación del objeto de la demanda no puede ser tenida en cuenta a estos efectos. No consta la formal invocación previa del derecho de petición del art. 29.1 CE; y tampoco consta alegación alguna del derecho a la participación en los asuntos públicos por medio de representantes (art. 23.1 CE) con carácter previo a la presente legislatura. En todo caso, es conocido que el recurso de amparo solo está previsto para la reparación de lesiones actuales y efectivas de derechos fundamentales.</w:t>
      </w:r>
    </w:p>
    <w:p w14:paraId="2A7635EA" w14:textId="77777777" w:rsidR="00B35D37" w:rsidRDefault="00B35D37" w:rsidP="00B35D37">
      <w:pPr>
        <w:pStyle w:val="TextoNormal"/>
      </w:pPr>
    </w:p>
    <w:p w14:paraId="0622B4AE" w14:textId="77777777" w:rsidR="00B35D37" w:rsidRDefault="00B35D37" w:rsidP="00B35D37">
      <w:pPr>
        <w:pStyle w:val="TextoNormal"/>
      </w:pPr>
      <w:r>
        <w:t>De acuerdo con nuestra reiterada doctrina constitucional (SSTC 73/2018, de 5 de julio, FJ 2, y 52/2019, de 11 de abril, FJ 2, entre otras), por una parte, la desaparición sobrevenida del objeto del proceso, aun cuando no contemplada expresamente en el art. 86.1 LOTC, es una de las formas de terminación de los distintos procesos constitucionales, también en el caso del amparo. Por otra parte, el recurso de amparo se configura como un remedio jurisdiccional idóneo únicamente para la reparación de lesiones singulares y efectivas de los derechos fundamentales, por lo que cuando la pretensión dirigida al restablecimiento o la preservación de aquellos derechos se ha visto satisfecha fuera del propio proceso de amparo, debe concluirse que este carece desde ese momento de objeto sobre el que deba pronunciarse este tribunal. Esto es lo que ha de entenderse que ocurre en este caso, sin que quepa apreciar la pervivencia de la controversia de fondo, toda vez que el Congreso de los Diputados y el Senado han realizado lo demandado por los recurrentes.</w:t>
      </w:r>
    </w:p>
    <w:p w14:paraId="740407C8" w14:textId="77777777" w:rsidR="00B35D37" w:rsidRDefault="00B35D37" w:rsidP="00B35D37">
      <w:pPr>
        <w:pStyle w:val="TextoNormal"/>
      </w:pPr>
    </w:p>
    <w:p w14:paraId="67CA6E79" w14:textId="77777777" w:rsidR="00B35D37" w:rsidRDefault="00B35D37" w:rsidP="00B35D37">
      <w:pPr>
        <w:pStyle w:val="TextoNormal"/>
      </w:pPr>
      <w:r>
        <w:t>Por lo tanto, se coincide con el Ministerio Fiscal en que el cumplimiento de la función asignada a las Cortes Generales en el art. 568.1 LOPJ, habría puesto término a la supuesta lesión invocada, que ya habría sido reparada mediante la subsanación de la omisión denunciada.</w:t>
      </w:r>
    </w:p>
    <w:p w14:paraId="13C91A48" w14:textId="77777777" w:rsidR="00B35D37" w:rsidRDefault="00B35D37" w:rsidP="00B35D37">
      <w:pPr>
        <w:pStyle w:val="TextoNormal"/>
      </w:pPr>
    </w:p>
    <w:p w14:paraId="523766B6" w14:textId="5807D7DD" w:rsidR="00B35D37" w:rsidRDefault="00B35D37" w:rsidP="00B35D37">
      <w:pPr>
        <w:pStyle w:val="TextoNormal"/>
      </w:pPr>
      <w:r>
        <w:t>Por ello, y en coherencia con lo resuelto por medio del ATC 96/2024, de 21 de octubre, procede declarar la extinción del presente recurso de amparo por pérdida sobrevenida de objeto.</w:t>
      </w:r>
    </w:p>
    <w:p w14:paraId="22431896" w14:textId="77777777" w:rsidR="00B35D37" w:rsidRDefault="00B35D37" w:rsidP="00B35D37">
      <w:pPr>
        <w:pStyle w:val="TextoNormal"/>
      </w:pPr>
    </w:p>
    <w:p w14:paraId="505A9700" w14:textId="77777777" w:rsidR="00B35D37" w:rsidRDefault="00B35D37" w:rsidP="00B35D37">
      <w:pPr>
        <w:pStyle w:val="TextoNormal"/>
      </w:pPr>
      <w:r>
        <w:t>Por lo expuesto, la Sección</w:t>
      </w:r>
    </w:p>
    <w:p w14:paraId="0AF57FC4" w14:textId="0733268D" w:rsidR="00B35D37" w:rsidRDefault="00B35D37" w:rsidP="00B35D37">
      <w:pPr>
        <w:pStyle w:val="TextoNormal"/>
      </w:pPr>
    </w:p>
    <w:p w14:paraId="52F0306C" w14:textId="77777777" w:rsidR="00B35D37" w:rsidRDefault="00B35D37" w:rsidP="00B35D37">
      <w:pPr>
        <w:pStyle w:val="TextoNormalCentrado"/>
      </w:pPr>
      <w:r>
        <w:t>ACUERDA</w:t>
      </w:r>
    </w:p>
    <w:p w14:paraId="4C9A9CA9" w14:textId="6278E4D8" w:rsidR="00B35D37" w:rsidRDefault="00B35D37" w:rsidP="00B35D37">
      <w:pPr>
        <w:pStyle w:val="TextoNormalCentrado"/>
      </w:pPr>
    </w:p>
    <w:p w14:paraId="7F77A40C" w14:textId="2BDD570C" w:rsidR="00B35D37" w:rsidRDefault="00B35D37" w:rsidP="00B35D37">
      <w:pPr>
        <w:pStyle w:val="TextoNormal"/>
      </w:pPr>
      <w:r>
        <w:t>Declarar la extinción del recurso de amparo por pérdida sobrevenida de objeto.</w:t>
      </w:r>
    </w:p>
    <w:p w14:paraId="5D7125D2" w14:textId="77777777" w:rsidR="00B35D37" w:rsidRDefault="00B35D37" w:rsidP="00B35D37">
      <w:pPr>
        <w:pStyle w:val="TextoNormal"/>
      </w:pPr>
    </w:p>
    <w:p w14:paraId="2E6B22B2" w14:textId="77777777" w:rsidR="00B35D37" w:rsidRDefault="00B35D37" w:rsidP="00B35D37">
      <w:pPr>
        <w:pStyle w:val="TextoNormal"/>
      </w:pPr>
      <w:r>
        <w:t>Madrid, a dieciséis de enero de dos mil veinticinco.</w:t>
      </w:r>
    </w:p>
    <w:p w14:paraId="39B7FEAA" w14:textId="62B18A9C" w:rsidR="00B35D37" w:rsidRDefault="00B35D37">
      <w:pPr>
        <w:spacing w:after="160" w:line="278" w:lineRule="auto"/>
        <w:rPr>
          <w:rFonts w:ascii="Times New Roman" w:eastAsia="Times New Roman" w:hAnsi="Times New Roman" w:cs="Times New Roman"/>
          <w:sz w:val="24"/>
          <w:szCs w:val="24"/>
          <w:lang w:eastAsia="es-ES"/>
        </w:rPr>
      </w:pPr>
      <w:r>
        <w:br w:type="page"/>
      </w:r>
    </w:p>
    <w:p w14:paraId="35211B09" w14:textId="77777777" w:rsidR="00B35D37" w:rsidRDefault="00B35D37" w:rsidP="00B35D37">
      <w:pPr>
        <w:pStyle w:val="TtuloResolucin"/>
      </w:pPr>
      <w:bookmarkStart w:id="147" w:name="AUTO_2025_8"/>
      <w:r>
        <w:t>AUTO 8/2025, de 27 de enero de 2025</w:t>
      </w:r>
    </w:p>
    <w:bookmarkEnd w:id="147"/>
    <w:p w14:paraId="6A28E555" w14:textId="77777777" w:rsidR="00B35D37" w:rsidRDefault="00B35D37" w:rsidP="00B35D37">
      <w:pPr>
        <w:pStyle w:val="TtuloResolucin"/>
      </w:pPr>
      <w:r>
        <w:t>Sección Cuarta</w:t>
      </w:r>
    </w:p>
    <w:p w14:paraId="0D3B4A04" w14:textId="77777777" w:rsidR="00B35D37" w:rsidRDefault="00B35D37" w:rsidP="00B35D37">
      <w:pPr>
        <w:pStyle w:val="TtuloBOE"/>
      </w:pPr>
      <w:r>
        <w:t>(BOE núm. 51, de 28 de febrero de 2025)</w:t>
      </w:r>
    </w:p>
    <w:p w14:paraId="4DD63021" w14:textId="77777777" w:rsidR="00B35D37" w:rsidRDefault="00B35D37" w:rsidP="00B35D37">
      <w:pPr>
        <w:pStyle w:val="TextoNormalCentrado"/>
      </w:pPr>
      <w:r>
        <w:t>ECLI:ES:TC:2025:8A</w:t>
      </w:r>
    </w:p>
    <w:p w14:paraId="455FCA72" w14:textId="06E6584D" w:rsidR="00B35D37" w:rsidRDefault="00B35D37" w:rsidP="00B35D37">
      <w:pPr>
        <w:pStyle w:val="TextoNormalCentrado"/>
      </w:pPr>
    </w:p>
    <w:p w14:paraId="17296583" w14:textId="77777777" w:rsidR="00B35D37" w:rsidRDefault="00B35D37" w:rsidP="00B35D37">
      <w:pPr>
        <w:pStyle w:val="SntesisDescriptiva"/>
      </w:pPr>
      <w:r>
        <w:t>Excms. Srs. doña María Luisa Balaguer Callejón, don Ramón Sáez Valcárcel y don Enrique Arnaldo Alcubilla.</w:t>
      </w:r>
    </w:p>
    <w:p w14:paraId="34FB7B63" w14:textId="2EB9561D" w:rsidR="00B35D37" w:rsidRDefault="00B35D37" w:rsidP="00B35D37">
      <w:pPr>
        <w:pStyle w:val="SntesisDescriptiva"/>
      </w:pPr>
    </w:p>
    <w:p w14:paraId="454C2B39" w14:textId="77777777" w:rsidR="00B35D37" w:rsidRDefault="00B35D37" w:rsidP="00B35D37">
      <w:pPr>
        <w:pStyle w:val="SntesisDescriptiva"/>
      </w:pPr>
      <w:r>
        <w:t>Inadmite a trámite el recurso de amparo 6141-2023, promovido por don Francisco Félix Fernández Liñares en causa penal. Voto particular.</w:t>
      </w:r>
    </w:p>
    <w:p w14:paraId="3045B092" w14:textId="7C939871" w:rsidR="00B35D37" w:rsidRDefault="00B35D37" w:rsidP="00B35D37">
      <w:pPr>
        <w:pStyle w:val="SntesisDescriptiva"/>
      </w:pPr>
    </w:p>
    <w:p w14:paraId="5AAD481D" w14:textId="77777777" w:rsidR="00B35D37" w:rsidRDefault="00B35D37" w:rsidP="00B35D37">
      <w:pPr>
        <w:pStyle w:val="SntesisDescriptiva"/>
      </w:pPr>
    </w:p>
    <w:p w14:paraId="57381852" w14:textId="77777777" w:rsidR="00B35D37" w:rsidRDefault="00B35D37" w:rsidP="00B35D37">
      <w:pPr>
        <w:pStyle w:val="SntesisDescriptiva"/>
      </w:pPr>
    </w:p>
    <w:p w14:paraId="63A1EEB6" w14:textId="77777777" w:rsidR="00B35D37" w:rsidRDefault="00B35D37" w:rsidP="00B35D37">
      <w:pPr>
        <w:pStyle w:val="TextoNormalNegritaCentrado"/>
      </w:pPr>
      <w:r>
        <w:t>AUTO</w:t>
      </w:r>
    </w:p>
    <w:p w14:paraId="53E2DFAA" w14:textId="41AB4C7B" w:rsidR="00B35D37" w:rsidRDefault="00B35D37" w:rsidP="00B35D37">
      <w:pPr>
        <w:pStyle w:val="TextoNormalNegritaCentrado"/>
      </w:pPr>
    </w:p>
    <w:p w14:paraId="54F34E56" w14:textId="77777777" w:rsidR="00B35D37" w:rsidRDefault="00B35D37" w:rsidP="00B35D37">
      <w:pPr>
        <w:pStyle w:val="TextoNormalNegritaCentrado"/>
        <w:keepNext/>
      </w:pPr>
      <w:r>
        <w:t>I. Antecedentes</w:t>
      </w:r>
    </w:p>
    <w:p w14:paraId="03A43449" w14:textId="4D767856" w:rsidR="00B35D37" w:rsidRDefault="00B35D37" w:rsidP="00B35D37">
      <w:pPr>
        <w:pStyle w:val="TextoNormalNegritaCentrado"/>
        <w:keepNext/>
      </w:pPr>
    </w:p>
    <w:p w14:paraId="32CC80A2" w14:textId="398134D4" w:rsidR="00B35D37" w:rsidRDefault="00B35D37" w:rsidP="00B35D37">
      <w:pPr>
        <w:pStyle w:val="TextoNormal"/>
      </w:pPr>
      <w:r w:rsidRPr="00B35D37">
        <w:rPr>
          <w:rStyle w:val="NumeroAFNegritaCaracter"/>
        </w:rPr>
        <w:t>1</w:t>
      </w:r>
      <w:r>
        <w:t>. El día 25 de septiembre de 2023, doña María Dolores Corredoira Lidor, procuradora de los tribunales, en nombre y representación de don Francisco Félix Fernández Liñares, bajo la dirección letrada de don Emilio Cortés Bechiarelli, presentó un recurso de amparo contra la sentencia núm. 549/2023, de 5 de julio, de la Sala de lo Penal del Tribunal Supremo, estimatoria parcialmente del recurso de casación núm. 3386-2021 interpuesto contra la sentencia núm. 37/2021, de 8 de marzo, de la Sección Segunda de la Audiencia Provincial de Lugo, recaída en el procedimiento abreviado núm. 17-2020, por la que se le condenaba como autor de dos delitos continuados de cohecho y prevaricación, por considerar que habían sido vulnerados sus derechos fundamentales a la intimidad, a la inviolabilidad domiciliaria, al secreto de las comunicaciones, al juez predeterminado por la ley, a un proceso con todas las garantías, a la tutela judicial efectiva y a la defensa, todos ellos recogidos en los arts. 18 y 24 de la Constitución.</w:t>
      </w:r>
    </w:p>
    <w:p w14:paraId="6DA1B4C4" w14:textId="77777777" w:rsidR="00B35D37" w:rsidRDefault="00B35D37" w:rsidP="00B35D37">
      <w:pPr>
        <w:pStyle w:val="TextoNormal"/>
      </w:pPr>
    </w:p>
    <w:p w14:paraId="6FA1A68A" w14:textId="77777777" w:rsidR="00B35D37" w:rsidRDefault="00B35D37" w:rsidP="00B35D37">
      <w:pPr>
        <w:pStyle w:val="TextoNormal"/>
      </w:pPr>
      <w:r w:rsidRPr="00B35D37">
        <w:rPr>
          <w:rStyle w:val="NumeroAFNegritaCaracter"/>
        </w:rPr>
        <w:t>2</w:t>
      </w:r>
      <w:r>
        <w:t>. Los hechos relevantes para resolver el recurso de amparo son, sucintamente expuestos, los siguientes:</w:t>
      </w:r>
    </w:p>
    <w:p w14:paraId="4C7B2E3C" w14:textId="77777777" w:rsidR="00B35D37" w:rsidRDefault="00B35D37" w:rsidP="00B35D37">
      <w:pPr>
        <w:pStyle w:val="TextoNormal"/>
      </w:pPr>
    </w:p>
    <w:p w14:paraId="04EAD763" w14:textId="77777777" w:rsidR="00B35D37" w:rsidRDefault="00B35D37" w:rsidP="00B35D37">
      <w:pPr>
        <w:pStyle w:val="TextoNormal"/>
      </w:pPr>
      <w:r>
        <w:t>a) Por sentencia núm. 37/2021, de 8 de marzo, de la Sección Segunda de la Audiencia Provincial de Lugo, recaída en el procedimiento abreviado núm. 17-2020, el recurrente, junto a otros acusados, fue condenado como autor criminalmente responsable de un delito continuado de cohecho previsto y penado en los arts. 419 y 424, en relación con el art. 74, todos ellos de la Ley Orgánica 10/1995, de 23 de noviembre, del Código penal, en la redacción dada por la Ley Orgánica 5/2010, de 22 de junio (en adelante, CP), y por un delito continuado de prevaricación previsto y penado en el art. 404 CP, en relación igualmente con el art. 74 CP, con la concurrencia de la circunstancia atenuante de dilaciones indebidas del art. 21.6 CP, a las penas, por el primero, de cinco años de prisión e inhabilitación especial para el derecho de sufragio pasivo, veinte meses de multa con una cuota diaria de doce euros e inhabilitación especial para empleo o cargo público por tiempo de diez años y, por el segundo, de inhabilitación especial para empleo o cargo público por tiempo de diez años.</w:t>
      </w:r>
    </w:p>
    <w:p w14:paraId="2DB555B4" w14:textId="77777777" w:rsidR="00B35D37" w:rsidRDefault="00B35D37" w:rsidP="00B35D37">
      <w:pPr>
        <w:pStyle w:val="TextoNormal"/>
      </w:pPr>
    </w:p>
    <w:p w14:paraId="1B984A49" w14:textId="77777777" w:rsidR="00B35D37" w:rsidRDefault="00B35D37" w:rsidP="00B35D37">
      <w:pPr>
        <w:pStyle w:val="TextoNormal"/>
      </w:pPr>
      <w:r>
        <w:t>Junto al recurrente fueron condenados los otros ocho coimputados, como autores criminalmente responsables de un delito continuado de cohecho y otro continuado de prevaricación, con la concurrencia de la circunstancia atenuante de dilaciones indebidas del art. 21.6 CP y también de la atenuante analógica de confesión del art. 21.7 CP, en relación con el art. 21.4 CP, a las penas, por el primero, de un año y tres meses de prisión e inhabilitación especial para el derecho de sufragio pasivo, siete meses de multa con una cuota diaria de doce euros (salvo a uno de ellos que fue de seis euros), inhabilitación especial para empleo o cargo público por tiempo de tres años y seis meses e inhabilitación para obtener subvenciones y ayudas públicas, para contratar con entes, organismos o entidades que formen parte del sector público y para gozar de beneficios o incentivos fiscales y de la Seguridad Social por tiempo de un año y nueve meses y, por el segundo, de inhabilitación especial para empleo o cargo público por tiempo de tres años.</w:t>
      </w:r>
    </w:p>
    <w:p w14:paraId="483FEA7E" w14:textId="77777777" w:rsidR="00B35D37" w:rsidRDefault="00B35D37" w:rsidP="00B35D37">
      <w:pPr>
        <w:pStyle w:val="TextoNormal"/>
      </w:pPr>
    </w:p>
    <w:p w14:paraId="3B880610" w14:textId="77777777" w:rsidR="00B35D37" w:rsidRDefault="00B35D37" w:rsidP="00B35D37">
      <w:pPr>
        <w:pStyle w:val="TextoNormal"/>
      </w:pPr>
      <w:r>
        <w:t>En dicha resolución se resolvieron varias cuestiones previas; algunas en sentido estimatorio (como la nulidad de las declaraciones del acusado mientras se encontraba en situación de prisión provisional, más allá del periodo que podía estarlo) y otras en sentido desestimatorio, concretamente: (i) la nulidad de las escuchas telefónicas por el desconocimiento de las resoluciones legitimadoras; (ii) la infracción del derecho al juez predeterminado por la ley por no haber sido remitidas a reparto esas diligencias; (iii) la nulidad de la diligencia de constancia de los agentes del Servicio de Vigilancia Aduanera por declaración inculpatoria prestada sin las debidas garantías y (iv) el carácter incompleto del escrito de acusación del Ministerio Fiscal.</w:t>
      </w:r>
    </w:p>
    <w:p w14:paraId="5598249C" w14:textId="77777777" w:rsidR="00B35D37" w:rsidRDefault="00B35D37" w:rsidP="00B35D37">
      <w:pPr>
        <w:pStyle w:val="TextoNormal"/>
      </w:pPr>
    </w:p>
    <w:p w14:paraId="1AAA7BC1" w14:textId="77777777" w:rsidR="00B35D37" w:rsidRDefault="00B35D37" w:rsidP="00B35D37">
      <w:pPr>
        <w:pStyle w:val="TextoNormal"/>
      </w:pPr>
      <w:r>
        <w:t>La sentencia de la Audiencia Provincial consideró enervada la presunción de inocencia del acusado, principalmente, con base en las propias declaraciones del acusado (incorporadas a una nota de constancia emitida por los agentes del Servicio de Vigilancia Aduanera), las de los agentes del Servicio de Vigilancia Aduanera (que testificaron sobre la citada “nota”), así como las del resto de coacusados (que reconocieron la entrega de dinero al recurrente para la concesión de obras).</w:t>
      </w:r>
    </w:p>
    <w:p w14:paraId="3D3D1236" w14:textId="77777777" w:rsidR="00B35D37" w:rsidRDefault="00B35D37" w:rsidP="00B35D37">
      <w:pPr>
        <w:pStyle w:val="TextoNormal"/>
      </w:pPr>
    </w:p>
    <w:p w14:paraId="6CD0EC7E" w14:textId="77777777" w:rsidR="00B35D37" w:rsidRDefault="00B35D37" w:rsidP="00B35D37">
      <w:pPr>
        <w:pStyle w:val="TextoNormal"/>
      </w:pPr>
      <w:r>
        <w:t>b) No estando de acuerdo el recurrente con la anterior resolución, interpuso recurso de casación, núm. 3386-2021, aduciendo la infracción de precepto constitucional al amparo de lo previsto en los arts. 5.4 de la Ley Orgánica 6/1985, de 1 de julio, del Poder Judicial (en adelante, LOPJ) y 852 del Real Decreto de 14 de septiembre de 1882 por el que se aprueba la Ley de enjuiciamiento criminal (en adelante, LECrim), al haberse lesionado los derechos fundamentales al juez ordinario predeterminado por la ley (art. 24.2 CE); a la intimidad, la inviolabilidad domiciliaria y el secreto de las comunicaciones (art. 18.1 y 3 CE); a la libertad personal (art. 17 CE) y la defensa (art. 24.2 CE); y a la tutela judicial efectiva, a un proceso con todas las garantías y a la presunción de inocencia (art. 24.1 y 2 CE). Además, denunció infracción de ley, concretamente, del art. 849.1 LECrim, por indebida aplicación de los arts. 419 y 404 CP, en relación con la exigencia de motivación de las resoluciones judiciales y por no haberse aplicado la atenuante de dilaciones indebidas como muy cualificada.</w:t>
      </w:r>
    </w:p>
    <w:p w14:paraId="7338D427" w14:textId="77777777" w:rsidR="00B35D37" w:rsidRDefault="00B35D37" w:rsidP="00B35D37">
      <w:pPr>
        <w:pStyle w:val="TextoNormal"/>
      </w:pPr>
    </w:p>
    <w:p w14:paraId="57031A5D" w14:textId="77777777" w:rsidR="00B35D37" w:rsidRDefault="00B35D37" w:rsidP="00B35D37">
      <w:pPr>
        <w:pStyle w:val="TextoNormal"/>
      </w:pPr>
      <w:r>
        <w:t>Por sentencia núm. 549/2023, de 5 de julio, la Sala de lo Penal del Tribunal Supremo estimó parcialmente el recurso exclusivamente en lo que a la determinación de las penas se refería, rechazándose el resto de los motivos:</w:t>
      </w:r>
    </w:p>
    <w:p w14:paraId="6FC475E1" w14:textId="77777777" w:rsidR="00B35D37" w:rsidRDefault="00B35D37" w:rsidP="00B35D37">
      <w:pPr>
        <w:pStyle w:val="TextoNormal"/>
      </w:pPr>
    </w:p>
    <w:p w14:paraId="092C3438" w14:textId="77777777" w:rsidR="00B35D37" w:rsidRDefault="00B35D37" w:rsidP="00B35D37">
      <w:pPr>
        <w:pStyle w:val="TextoNormal"/>
      </w:pPr>
      <w:r>
        <w:t>(i) en lo relativo a la infracción del derecho al juez ordinario predeterminado por la ley por el incumplimiento de las normas de reparto, se rechaza el motivo por resultar irrelevante a efectos de la anulación de la sentencia recurrida;</w:t>
      </w:r>
    </w:p>
    <w:p w14:paraId="360ABC72" w14:textId="77777777" w:rsidR="00B35D37" w:rsidRDefault="00B35D37" w:rsidP="00B35D37">
      <w:pPr>
        <w:pStyle w:val="TextoNormal"/>
      </w:pPr>
    </w:p>
    <w:p w14:paraId="4CAB5327" w14:textId="77777777" w:rsidR="00B35D37" w:rsidRDefault="00B35D37" w:rsidP="00B35D37">
      <w:pPr>
        <w:pStyle w:val="TextoNormal"/>
      </w:pPr>
      <w:r>
        <w:t>(ii) en cuanto a la validez de las evidencias obtenidas en otra causa, que se desgajaron de ella dando lugar a las actuaciones en las que fue condenado, se rechaza la alegación al no haber sido aportados los testimonios correspondientes que acreditaran la legitimidad de las diligencias practicadas (escuchas telefónicas y registro), porque no se solicitaron por el Ministerio Fiscal como prueba documental, al haberse planteado dicha objeción por vez primera, incurriéndose en un error interpretativo en la lectura del art. 656 LECrim, pues la discusión al respecto se suscitó por la defensa como cuestión previa, dándosele entonces respuesta;</w:t>
      </w:r>
    </w:p>
    <w:p w14:paraId="53CF8ABC" w14:textId="77777777" w:rsidR="00B35D37" w:rsidRDefault="00B35D37" w:rsidP="00B35D37">
      <w:pPr>
        <w:pStyle w:val="TextoNormal"/>
      </w:pPr>
    </w:p>
    <w:p w14:paraId="69AED696" w14:textId="77777777" w:rsidR="00B35D37" w:rsidRDefault="00B35D37" w:rsidP="00B35D37">
      <w:pPr>
        <w:pStyle w:val="TextoNormal"/>
      </w:pPr>
      <w:r>
        <w:t>(iii) en relación con la vulneración del derecho a la libertad personal y la defensa, al haberse dado trascendencia incriminatoria a la declaración del propio acusado realizada tras sucesivos registros y sin la presencia de un abogado, pese a que resultó estimada (negándole validez para integrar el material probatorio de cargo), sin embargo se mantuvo la condena con fundamento en la existencia de otros elementos probatorios no vinculados con ella, como fueron las declaraciones de los coacusados;</w:t>
      </w:r>
    </w:p>
    <w:p w14:paraId="7048DA6A" w14:textId="77777777" w:rsidR="00B35D37" w:rsidRDefault="00B35D37" w:rsidP="00B35D37">
      <w:pPr>
        <w:pStyle w:val="TextoNormal"/>
      </w:pPr>
    </w:p>
    <w:p w14:paraId="3A5DF8FE" w14:textId="77777777" w:rsidR="00B35D37" w:rsidRDefault="00B35D37" w:rsidP="00B35D37">
      <w:pPr>
        <w:pStyle w:val="TextoNormal"/>
      </w:pPr>
      <w:r>
        <w:t>(iv) respecto a la infracción del derecho a la tutela judicial efectiva y a un proceso con todas las garantías al haberse atribuido labores y competencias de policía judicial a los agentes del Servicio de Vigilancia Aduanera para la investigación de los delitos de cohecho y prevaricación, se reconocen a ese “cuerpo” funciones de policía judicial “genérica” a los efectos previstos en el art. 283 LECrim, de manera que las diligencias realizadas por sus agentes resultaban plenamente válidas;</w:t>
      </w:r>
    </w:p>
    <w:p w14:paraId="442C66BD" w14:textId="77777777" w:rsidR="00B35D37" w:rsidRDefault="00B35D37" w:rsidP="00B35D37">
      <w:pPr>
        <w:pStyle w:val="TextoNormal"/>
      </w:pPr>
    </w:p>
    <w:p w14:paraId="0C9513EE" w14:textId="77777777" w:rsidR="00B35D37" w:rsidRDefault="00B35D37" w:rsidP="00B35D37">
      <w:pPr>
        <w:pStyle w:val="TextoNormal"/>
      </w:pPr>
      <w:r>
        <w:t>(v) en cuanto a la transgresión del derecho a un procedimiento con todas las garantías, fundada en la supuesta falta de imparcialidad de la instructora, esta no se aprecia porque “[a]un cuando la defensa sugiere una animosidad de la juez de instrucción frente al recurrente, no hay elementos que apunten a ello y mucho menos que resientan el resultado del enjuiciamiento”;</w:t>
      </w:r>
    </w:p>
    <w:p w14:paraId="47F6AD99" w14:textId="77777777" w:rsidR="00B35D37" w:rsidRDefault="00B35D37" w:rsidP="00B35D37">
      <w:pPr>
        <w:pStyle w:val="TextoNormal"/>
      </w:pPr>
    </w:p>
    <w:p w14:paraId="723A35C7" w14:textId="77777777" w:rsidR="00B35D37" w:rsidRDefault="00B35D37" w:rsidP="00B35D37">
      <w:pPr>
        <w:pStyle w:val="TextoNormal"/>
      </w:pPr>
      <w:r>
        <w:t>(vi) por lo que se refiere a la infracción de los derechos a la presunción de inocencia y a la tutela judicial efectiva por cuanto la sentencia de condena presentaría ciertas lagunas argumentativas insalvables (como que no se hubiera acreditado que el acusado hubiera visto incrementado su patrimonio o que la condena se basase exclusivamente en las declaraciones carentes de credibilidad de los coacusados) así como falta de motivación respecto de la subsunción de los hechos probados en los delitos de cohecho y prevaricación, considera la Sala que la versión de los coacusados iba acompañada de otros elementos objetivos que les otorgaban credibilidad;</w:t>
      </w:r>
    </w:p>
    <w:p w14:paraId="0658DBCA" w14:textId="77777777" w:rsidR="00B35D37" w:rsidRDefault="00B35D37" w:rsidP="00B35D37">
      <w:pPr>
        <w:pStyle w:val="TextoNormal"/>
      </w:pPr>
    </w:p>
    <w:p w14:paraId="25C7A5D6" w14:textId="77777777" w:rsidR="00B35D37" w:rsidRDefault="00B35D37" w:rsidP="00B35D37">
      <w:pPr>
        <w:pStyle w:val="TextoNormal"/>
      </w:pPr>
      <w:r>
        <w:t>(vii) en lo relativo a la infracción de ley por indebida aplicación de los arts. 419 y 404 CP, la misma se rechaza dado que a los hechos declarados probados les eran aplicables los tipos penales que fundamentaban la condena; y</w:t>
      </w:r>
    </w:p>
    <w:p w14:paraId="4AAF426D" w14:textId="77777777" w:rsidR="00B35D37" w:rsidRDefault="00B35D37" w:rsidP="00B35D37">
      <w:pPr>
        <w:pStyle w:val="TextoNormal"/>
      </w:pPr>
    </w:p>
    <w:p w14:paraId="7539D861" w14:textId="77777777" w:rsidR="00B35D37" w:rsidRDefault="00B35D37" w:rsidP="00B35D37">
      <w:pPr>
        <w:pStyle w:val="TextoNormal"/>
      </w:pPr>
      <w:r>
        <w:t>(viii) con referencia a la no apreciación de la atenuante de dilaciones indebidas como muy cualificada, se considera que no habían existido “paralizaciones significativas”, habiendo tenido el procedimiento desde la inculpación una duración de siete años, al tratarse de un procedimiento de indudable complejidad en el que se han explorado tres años de su actuación profesional y se ha encausado a numerosos empresarios, juzgados junto al recurrente.</w:t>
      </w:r>
    </w:p>
    <w:p w14:paraId="6F1B1775" w14:textId="77777777" w:rsidR="00B35D37" w:rsidRDefault="00B35D37" w:rsidP="00B35D37">
      <w:pPr>
        <w:pStyle w:val="TextoNormal"/>
      </w:pPr>
    </w:p>
    <w:p w14:paraId="02CEDD0E" w14:textId="0EDE93B0" w:rsidR="00B35D37" w:rsidRDefault="00B35D37" w:rsidP="00B35D37">
      <w:pPr>
        <w:pStyle w:val="TextoNormal"/>
      </w:pPr>
      <w:r>
        <w:t>Tras la estimación parcial del recurso de casación por quebranto del derecho a la tutela judicial efectiva por falta de motivación de las penas impuestas en la sentencia de instancia, el Tribunal Supremo dictó su “segunda sentencia” con la misma fecha de 5 de julio de 2023, por la que procedió a una nueva individualización de las penas y a la imposición de las legalmente previstas en su mínima extensión, declarando la nulidad parcial del pronunciamiento contenido en sentencia de 8 de marzo de 2021 de la Sección Segunda de la Audiencia Provincial de Lugo y condenando al recurrente: (i) como autor de un delito continuado de cohecho de los arts. 74.1 y 419 del Código penal (en la redacción dada por la Ley Orgánica 5/2010), concurriendo la circunstancia atenuante de dilaciones indebidas, a las penas de cuatro años y seis meses de prisión e inhabilitación especial para el derecho de sufragio pasivo durante el mismo tiempo, multa de dieciocho meses en cuota diaria de doce euros e inhabilitación especial para empleo o cargo público por tiempo de nueve años y seis meses y (ii) como autor de un delito continuado de prevaricación de los arts. 74.1 y 404 del Código penal (en la redacción anterior a la introducida por la Ley Orgánica 1/2015), concurriendo igual circunstancia modificativa de la responsabilidad criminal, a la pena de inhabilitación especial para empleo o cargo público por tiempo de ocho años y seis meses.</w:t>
      </w:r>
    </w:p>
    <w:p w14:paraId="74ECBDB3" w14:textId="77777777" w:rsidR="00B35D37" w:rsidRDefault="00B35D37" w:rsidP="00B35D37">
      <w:pPr>
        <w:pStyle w:val="TextoNormal"/>
      </w:pPr>
    </w:p>
    <w:p w14:paraId="3E209AC0" w14:textId="77777777" w:rsidR="00B35D37" w:rsidRDefault="00B35D37" w:rsidP="00B35D37">
      <w:pPr>
        <w:pStyle w:val="TextoNormal"/>
      </w:pPr>
      <w:r w:rsidRPr="00B35D37">
        <w:rPr>
          <w:rStyle w:val="NumeroAFNegritaCaracter"/>
        </w:rPr>
        <w:t>3</w:t>
      </w:r>
      <w:r>
        <w:t>. El recurrente alega en su demanda de amparo la vulneración de los siguientes derechos fundamentales: (i) el derecho al juez ordinario predeterminado por la ley, en relación con los derechos a la tutela judicial efectiva y a un proceso con todas las garantías (art. 24.1 y 2 CE), dada “la auto atribución que la juez de instrucción efectuaba mecánicamente de las piezas que se iban desgajando de una matriz procesal, sin someterse a las reglas de reparto, desdeñando siempre la deducción de testimonio”; (ii) los derechos a la intimidad, a la inviolabilidad domiciliaria, al secreto de las comunicaciones (art. 18.1 y 3 CE) y a un proceso con todas las garantías (art. 24.2 CE), “respecto al tránsito de datos procesales desde las diligencias previas 972-2011 a la presente”; (iii) el derecho a la tutela judicial efectiva (art. 24.1 CE), “por utilizar una motivación palmariamente incongruente”; (iv) los derechos a la tutela judicial efectiva y a un proceso con todas las garantías (art. 24.1 y 2 CE), “al haberse atribuido labores y competencias de policía judicial a la Vigilancia Aduanera para la investigación de los delitos de cohecho y prevaricación”; (v) los derechos a la presunción de inocencia y a la tutela judicial efectiva (art. 24.2 y 1 CE), al no existir prueba de cargo “tras la decisión del Tribunal Supremo de no considerar tal su confesión recogida por los agentes de Vigilancia Aduanera” y (vi) el derecho a la tutela judicial efectiva (art. 24.1 CE), por falta de motivación de la subsunción de los hechos en los tipos delictivos por los que se le condena.</w:t>
      </w:r>
    </w:p>
    <w:p w14:paraId="67FE8A51" w14:textId="77777777" w:rsidR="00B35D37" w:rsidRDefault="00B35D37" w:rsidP="00B35D37">
      <w:pPr>
        <w:pStyle w:val="TextoNormal"/>
      </w:pPr>
    </w:p>
    <w:p w14:paraId="76A27F48" w14:textId="637F0952" w:rsidR="00B35D37" w:rsidRDefault="00B35D37" w:rsidP="00B35D37">
      <w:pPr>
        <w:pStyle w:val="TextoNormal"/>
      </w:pPr>
      <w:r>
        <w:t>Por otra parte, la demanda considera subsumibles las cuestiones planteadas en las circunstancias previstas en las letras a), cuestión nueva sobre el derecho fundamental; c), duda sobre la constitucionalidad de la ley o disposición de carácter general aplicada; y d), reiterada interpretación jurisprudencial lesiva de derechos fundamentales, del fundamento jurídico 2 de la STC 155/2009, de 25 de junio, reclamando una decisión de este tribunal que precise las posibilidades de intervención “del Servicio de Vigilancia Aduanera en la investigación de los delitos, así como la determinación de sus límites […], en el contexto de una instrucción criminal llena de inconvenientes procesales de dimensión constitucional”, en la que un ciudadano “pueda ser condenado a una pena privativa de libertad con base en una prueba de cargo indiscutiblemente débil, y sin que los tribunales que intervinieron antes motiven con razón suficiente la conexión racional de las pruebas que se reputan de cargo”.</w:t>
      </w:r>
    </w:p>
    <w:p w14:paraId="513CF33B" w14:textId="77777777" w:rsidR="00B35D37" w:rsidRDefault="00B35D37" w:rsidP="00B35D37">
      <w:pPr>
        <w:pStyle w:val="TextoNormal"/>
      </w:pPr>
    </w:p>
    <w:p w14:paraId="43435BC7" w14:textId="0A24BB36" w:rsidR="00B35D37" w:rsidRDefault="00B35D37" w:rsidP="00B35D37">
      <w:pPr>
        <w:pStyle w:val="TextoNormal"/>
      </w:pPr>
      <w:r w:rsidRPr="00B35D37">
        <w:rPr>
          <w:rStyle w:val="NumeroAFNegritaCaracter"/>
        </w:rPr>
        <w:t>4</w:t>
      </w:r>
      <w:r>
        <w:t>. Por diligencia de ordenación de 26 de septiembre de 2023 del secretario de justicia de la Sección Cuarta de la Sala Segunda de este tribunal, se tuvo por interpuesto el recurso de amparo.</w:t>
      </w:r>
    </w:p>
    <w:p w14:paraId="2177FE76" w14:textId="77777777" w:rsidR="00B35D37" w:rsidRDefault="00B35D37" w:rsidP="00B35D37">
      <w:pPr>
        <w:pStyle w:val="TextoNormal"/>
      </w:pPr>
    </w:p>
    <w:p w14:paraId="4D33AEB8" w14:textId="77777777" w:rsidR="00B35D37" w:rsidRDefault="00B35D37" w:rsidP="00B35D37">
      <w:pPr>
        <w:pStyle w:val="TextoNormalNegritaCentrado"/>
        <w:keepNext/>
      </w:pPr>
      <w:r>
        <w:t>II. Fundamentos jurídicos</w:t>
      </w:r>
    </w:p>
    <w:p w14:paraId="5B7C9AD3" w14:textId="564C6E63" w:rsidR="00B35D37" w:rsidRDefault="00B35D37" w:rsidP="00B35D37">
      <w:pPr>
        <w:pStyle w:val="TextoNormalNegritaCentrado"/>
        <w:keepNext/>
      </w:pPr>
    </w:p>
    <w:p w14:paraId="2F40EBD2" w14:textId="77777777" w:rsidR="00B35D37" w:rsidRDefault="00B35D37" w:rsidP="00B35D37">
      <w:pPr>
        <w:pStyle w:val="TextoNormal"/>
      </w:pPr>
      <w:r w:rsidRPr="00B35D37">
        <w:rPr>
          <w:rStyle w:val="NumeroAFNegritaCaracter"/>
        </w:rPr>
        <w:t>1</w:t>
      </w:r>
      <w:r>
        <w:t xml:space="preserve">. </w:t>
      </w:r>
      <w:r w:rsidRPr="00B35D37">
        <w:rPr>
          <w:i/>
        </w:rPr>
        <w:t>Objeto del recurso de amparo</w:t>
      </w:r>
    </w:p>
    <w:p w14:paraId="6781F6AE" w14:textId="77777777" w:rsidR="00B35D37" w:rsidRDefault="00B35D37" w:rsidP="00B35D37">
      <w:pPr>
        <w:pStyle w:val="TextoNormal"/>
      </w:pPr>
    </w:p>
    <w:p w14:paraId="74B8AAC9" w14:textId="12FE15CE" w:rsidR="00B35D37" w:rsidRDefault="00B35D37" w:rsidP="00B35D37">
      <w:pPr>
        <w:pStyle w:val="TextoNormal"/>
      </w:pPr>
      <w:r>
        <w:t>El recurrente en amparo impugna la sentencia núm. 549/2023, de 5 de julio, de la Sala de lo Penal del Tribunal Supremo, estimatoria parcialmente del recurso de casación núm. 3386-2021 interpuesto contra la sentencia núm. 37/2021, de 8 de marzo, de la Sección Segunda de la Audiencia Provincial de Lugo, dictada en el procedimiento abreviado núm. 17-2020, por la que se le condenaba como autor de dos delitos continuados de cohecho y prevaricación, al considerar que han sido vulnerados sus derechos fundamentales a la intimidad, a la inviolabilidad domiciliaria, al secreto de las comunicaciones, al juez ordinario predeterminado por la ley, a un proceso con todas las garantías, a la tutela judicial efectiva y a la defensa, todos ellos recogidos en los arts. 18 y 24 de la Constitución.</w:t>
      </w:r>
    </w:p>
    <w:p w14:paraId="1F1EED21" w14:textId="77777777" w:rsidR="00B35D37" w:rsidRDefault="00B35D37" w:rsidP="00B35D37">
      <w:pPr>
        <w:pStyle w:val="TextoNormal"/>
      </w:pPr>
    </w:p>
    <w:p w14:paraId="48D35231" w14:textId="77777777" w:rsidR="00B35D37" w:rsidRDefault="00B35D37" w:rsidP="00B35D37">
      <w:pPr>
        <w:pStyle w:val="TextoNormal"/>
      </w:pPr>
      <w:r w:rsidRPr="00B35D37">
        <w:rPr>
          <w:rStyle w:val="NumeroAFNegritaCaracter"/>
        </w:rPr>
        <w:t>2</w:t>
      </w:r>
      <w:r>
        <w:t xml:space="preserve">. </w:t>
      </w:r>
      <w:r w:rsidRPr="00B35D37">
        <w:rPr>
          <w:i/>
        </w:rPr>
        <w:t>Sobre la inexistencia de la especial trascendencia constitucional invocada</w:t>
      </w:r>
    </w:p>
    <w:p w14:paraId="4F9E3B1B" w14:textId="77777777" w:rsidR="00B35D37" w:rsidRDefault="00B35D37" w:rsidP="00B35D37">
      <w:pPr>
        <w:pStyle w:val="TextoNormal"/>
      </w:pPr>
    </w:p>
    <w:p w14:paraId="291E8EED" w14:textId="77777777" w:rsidR="00B35D37" w:rsidRDefault="00B35D37" w:rsidP="00B35D37">
      <w:pPr>
        <w:pStyle w:val="TextoNormal"/>
      </w:pPr>
      <w:r>
        <w:t>La parte actora reclama un pronunciamiento de este tribunal acerca de “la intervención del Servicio de Vigilancia Aduanera en la investigación de los delitos, así como la determinación de sus límites”, cuestión esta que tiene un carácter estrictamente infraconstitucional, que corresponde determinar al legislador ordinario y cuya interpretación es competencia de los juzgados y tribunales ordinarios en el marco de sus funciones.</w:t>
      </w:r>
    </w:p>
    <w:p w14:paraId="6E4DEA71" w14:textId="77777777" w:rsidR="00B35D37" w:rsidRDefault="00B35D37" w:rsidP="00B35D37">
      <w:pPr>
        <w:pStyle w:val="TextoNormal"/>
      </w:pPr>
    </w:p>
    <w:p w14:paraId="54341D80" w14:textId="77777777" w:rsidR="00B35D37" w:rsidRDefault="00B35D37" w:rsidP="00B35D37">
      <w:pPr>
        <w:pStyle w:val="TextoNormal"/>
      </w:pPr>
      <w:r>
        <w:t>Por otra parte, pese a que la demanda invoca como causas de especial trascendencia constitucional las previstas en las letras a), cuestión nueva sobre el derecho fundamental; c), duda sobre la constitucionalidad de la ley o disposición de carácter general aplicada; y d), reiterada interpretación jurisprudencial lesiva de derechos fundamentales, del fundamento jurídico 2 de la STC 155/2009, de 25 de junio, en ningún momento aclara qué problema o faceta de un derecho fundamental debe ser concretada, sobre qué norma se suscita la duda de constitucionalidad o cuál es la general y reiterada interpretación que sería lesiva de los derechos fundamentales invocados. Esto, sin olvidar que la demanda anuda fundamentalmente la especial trascendencia constitucional a las lesiones constitucionales denunciadas y, en particular, a la supuesta debilidad de la prueba de cargo, sin tomar en consideración razón alguna relativa a la concurrencia de un interés objetivo o general más allá del suyo específico en remediar la transgresión constitucional supuestamente padecida. Razonamiento que, conforme a doctrina reiterada de este tribunal, no satisfaría debidamente la carga insubsanable consistente en justificar la especial trascendencia constitucional del recurso [art. 49.1 de la Ley Orgánica del Tribunal Constitucional (en adelante, LOTC)], que es algo distinto a razonar la existencia de la vulneración de un derecho fundamental y que requiere de una argumentación específica (STC 69/2011, de 16 de mayo, FJ 3, y jurisprudencia constitucional allí citada).</w:t>
      </w:r>
    </w:p>
    <w:p w14:paraId="73B8C050" w14:textId="77777777" w:rsidR="00B35D37" w:rsidRDefault="00B35D37" w:rsidP="00B35D37">
      <w:pPr>
        <w:pStyle w:val="TextoNormal"/>
      </w:pPr>
    </w:p>
    <w:p w14:paraId="38EDE2BB" w14:textId="77777777" w:rsidR="00B35D37" w:rsidRDefault="00B35D37" w:rsidP="00B35D37">
      <w:pPr>
        <w:pStyle w:val="TextoNormal"/>
      </w:pPr>
      <w:r>
        <w:t>Según lo que antecede la demanda no habría disociado “adecuadamente la argumentación tendente a evidenciar la existencia de la lesión de un derecho fundamental […] y los razonamientos específicamente dirigidos a justificar que el recurso presenta especial trascendencia constitucional” (STC 20/2018, de 5 de marzo, FJ 2), lo que evidencia que no habría realizado el necesario esfuerzo argumental “que ponga en conexión las vulneraciones constitucionales que alega con los criterios establecidos en el artículo 50.1 b) LOTC, criterios que se concretan, sin ánimo exhaustivo, en los supuestos contemplados en el fundamento jurídico 2 de la conocida STC 155/2009, de 25 de junio” (STC 122/2021, de 2 de junio, FJ 2).</w:t>
      </w:r>
    </w:p>
    <w:p w14:paraId="7BD4C60E" w14:textId="77777777" w:rsidR="00B35D37" w:rsidRDefault="00B35D37" w:rsidP="00B35D37">
      <w:pPr>
        <w:pStyle w:val="TextoNormal"/>
      </w:pPr>
    </w:p>
    <w:p w14:paraId="27C21BD5" w14:textId="350C3049" w:rsidR="00B35D37" w:rsidRDefault="00B35D37" w:rsidP="00B35D37">
      <w:pPr>
        <w:pStyle w:val="TextoNormal"/>
      </w:pPr>
      <w:r>
        <w:t>En consecuencia, al no ser posible apreciar la especial trascendencia constitucional invocada, debe acordarse la inadmisión del presente recurso de amparo.</w:t>
      </w:r>
    </w:p>
    <w:p w14:paraId="7143C703" w14:textId="77777777" w:rsidR="00B35D37" w:rsidRDefault="00B35D37" w:rsidP="00B35D37">
      <w:pPr>
        <w:pStyle w:val="TextoNormal"/>
      </w:pPr>
    </w:p>
    <w:p w14:paraId="217CD4C8" w14:textId="77777777" w:rsidR="00B35D37" w:rsidRDefault="00B35D37" w:rsidP="00B35D37">
      <w:pPr>
        <w:pStyle w:val="TextoNormal"/>
      </w:pPr>
      <w:r>
        <w:t>Por lo expuesto, la Sección</w:t>
      </w:r>
    </w:p>
    <w:p w14:paraId="5ED5F8ED" w14:textId="51BB8226" w:rsidR="00B35D37" w:rsidRDefault="00B35D37" w:rsidP="00B35D37">
      <w:pPr>
        <w:pStyle w:val="TextoNormal"/>
      </w:pPr>
    </w:p>
    <w:p w14:paraId="773DD856" w14:textId="77777777" w:rsidR="00B35D37" w:rsidRDefault="00B35D37" w:rsidP="00B35D37">
      <w:pPr>
        <w:pStyle w:val="TextoNormalCentrado"/>
      </w:pPr>
      <w:r>
        <w:t>ACUERDA</w:t>
      </w:r>
    </w:p>
    <w:p w14:paraId="64C0FE17" w14:textId="5AE0A599" w:rsidR="00B35D37" w:rsidRDefault="00B35D37" w:rsidP="00B35D37">
      <w:pPr>
        <w:pStyle w:val="TextoNormalCentrado"/>
      </w:pPr>
    </w:p>
    <w:p w14:paraId="27586C77" w14:textId="77777777" w:rsidR="00B35D37" w:rsidRDefault="00B35D37" w:rsidP="00B35D37">
      <w:pPr>
        <w:pStyle w:val="TextoNormal"/>
      </w:pPr>
      <w:r>
        <w:t>Inadmitir el recurso de amparo núm. 6141-2023, interpuesto por don Francisco Félix Fernández Liñares.</w:t>
      </w:r>
    </w:p>
    <w:p w14:paraId="3EE5966D" w14:textId="77777777" w:rsidR="00B35D37" w:rsidRDefault="00B35D37" w:rsidP="00B35D37">
      <w:pPr>
        <w:pStyle w:val="TextoNormal"/>
      </w:pPr>
    </w:p>
    <w:p w14:paraId="3B705045" w14:textId="77777777" w:rsidR="00B35D37" w:rsidRDefault="00B35D37" w:rsidP="00B35D37">
      <w:pPr>
        <w:pStyle w:val="TextoNormal"/>
      </w:pPr>
      <w:r>
        <w:t>Notifíquese con indicación de que, si el Ministerio Fiscal no hubiere interpuesto recurso de súplica en el plazo legal de tres días, se archivarán estas actuaciones sin más trámite (art. 50.3 LOTC).</w:t>
      </w:r>
    </w:p>
    <w:p w14:paraId="2BE65FD7" w14:textId="77777777" w:rsidR="00B35D37" w:rsidRDefault="00B35D37" w:rsidP="00B35D37">
      <w:pPr>
        <w:pStyle w:val="TextoNormal"/>
      </w:pPr>
    </w:p>
    <w:p w14:paraId="3A11B610" w14:textId="3FF78655" w:rsidR="00B35D37" w:rsidRDefault="00B35D37" w:rsidP="00B35D37">
      <w:pPr>
        <w:pStyle w:val="TextoNormal"/>
      </w:pPr>
      <w:r>
        <w:t>Publíquese este auto en el “Boletín Oficial del Estado”.</w:t>
      </w:r>
    </w:p>
    <w:p w14:paraId="331A8034" w14:textId="77777777" w:rsidR="00B35D37" w:rsidRDefault="00B35D37" w:rsidP="00B35D37">
      <w:pPr>
        <w:pStyle w:val="TextoNormal"/>
      </w:pPr>
    </w:p>
    <w:p w14:paraId="0CF0D5C3" w14:textId="77777777" w:rsidR="00B35D37" w:rsidRDefault="00B35D37" w:rsidP="00B35D37">
      <w:pPr>
        <w:pStyle w:val="TextoNormal"/>
      </w:pPr>
      <w:r>
        <w:t>Madrid, a veintisiete de enero de dos mil veinticinco.</w:t>
      </w:r>
    </w:p>
    <w:p w14:paraId="311E3951" w14:textId="6F899A49" w:rsidR="00B35D37" w:rsidRDefault="00B35D37" w:rsidP="00B35D37">
      <w:pPr>
        <w:pStyle w:val="ParrafoNormal"/>
      </w:pPr>
    </w:p>
    <w:p w14:paraId="41732767" w14:textId="77777777" w:rsidR="00B35D37" w:rsidRDefault="00B35D37" w:rsidP="00B35D37">
      <w:pPr>
        <w:pStyle w:val="TextoNormalNegritaCentrado"/>
        <w:keepNext/>
      </w:pPr>
      <w:r>
        <w:t>Voto particular que formula el magistrado don Enrique Arnaldo Alcubilla al auto de la Sección Cuarta que inadmite el recurso de amparo núm. 6141-2023</w:t>
      </w:r>
    </w:p>
    <w:p w14:paraId="33BCEC4E" w14:textId="71C22E32" w:rsidR="00B35D37" w:rsidRDefault="00B35D37" w:rsidP="00B35D37">
      <w:pPr>
        <w:pStyle w:val="TextoNormalNegritaCentrado"/>
        <w:keepNext/>
      </w:pPr>
    </w:p>
    <w:p w14:paraId="5E30D128" w14:textId="77777777" w:rsidR="00B35D37" w:rsidRDefault="00B35D37" w:rsidP="00B35D37">
      <w:pPr>
        <w:pStyle w:val="TextoNormal"/>
      </w:pPr>
      <w:r>
        <w:t>En el ejercicio de la facultad que me confiere el art. 90.2 de la Ley Orgánica del Tribunal Constitucional (LOTC) y con respeto a la opinión de mis compañeros, formulo el presente voto particular al auto de inadmisión del recurso de amparo núm. 6141-2023, interpuesto por don Francisco Félix Fernández Liñares, contra la sentencia núm. 549/2023, de 5 de julio, de la Sala de lo Penal del Tribunal Supremo, estimatoria parcialmente del recurso de casación núm. 3386-2021 interpuesto contra la sentencia núm. 37/2021, de 8 de marzo, de la Sección Segunda de la Audiencia Provincial de Lugo, dictada en el procedimiento abreviado núm. 17-2020, por la que se le condenaba como autor dos delitos continuados de cohecho y prevaricación. Por las razones expuestas en la deliberación, considero que el presente recurso de amparo debió ser admitido a trámite, por no ser inverosímil alguna de las lesiones de derechos alegadas y revestir el recurso especial trascendencia constitucional [art. 50.1 b) LOTC], para que este tribunal pudiera dar una respuesta de fondo tanto a la principal queja planteada como a la derivada de ella, a saber, de un lado, las competencias del Servicio de Vigilancia Aduanera como policía judicial “de hecho” —sin la colaboración de los cuerpos y fuerzas de seguridad del Estado— en la investigación de conductas delictivas ajenas a su ámbito de actuación; y, de otro, la eventual inexistencia de una prueba de cargo bastante para enervar la presunción de inocencia pues, una vez excluida del acervo probatorio la declaración autoinculpatoria del recurrente por haber sido obtenida con lesión de derechos fundamentales, la condena se fundó únicamente en las declaraciones de los coimputados fruto del conocimiento adquirido con la anulada. Consecuencia de la inadmisión, el Tribunal deja de conocer y dar respuesta a dos cuestiones con una relevante trascendencia constitucional, como eran el alcance de las pretendidas funciones de “policía judicial” del Servicio de Vigilancia Aduanera para la investigación de delitos, así como la validez para enervar la presunción de inocencia de la prueba obtenida con lesión de derechos fundamentales.</w:t>
      </w:r>
    </w:p>
    <w:p w14:paraId="2D6A9F3E" w14:textId="77777777" w:rsidR="00B35D37" w:rsidRDefault="00B35D37" w:rsidP="00B35D37">
      <w:pPr>
        <w:pStyle w:val="TextoNormal"/>
      </w:pPr>
    </w:p>
    <w:p w14:paraId="3975B08A" w14:textId="77777777" w:rsidR="00B35D37" w:rsidRDefault="00B35D37" w:rsidP="00B35D37">
      <w:pPr>
        <w:pStyle w:val="TextoNormal"/>
      </w:pPr>
      <w:r>
        <w:t xml:space="preserve">1. </w:t>
      </w:r>
      <w:r w:rsidRPr="00B35D37">
        <w:rPr>
          <w:i/>
        </w:rPr>
        <w:t>Los hechos judiciales</w:t>
      </w:r>
    </w:p>
    <w:p w14:paraId="4087DFB7" w14:textId="77777777" w:rsidR="00B35D37" w:rsidRDefault="00B35D37" w:rsidP="00B35D37">
      <w:pPr>
        <w:pStyle w:val="TextoNormal"/>
      </w:pPr>
    </w:p>
    <w:p w14:paraId="434ADC60" w14:textId="77777777" w:rsidR="00B35D37" w:rsidRDefault="00B35D37" w:rsidP="00B35D37">
      <w:pPr>
        <w:pStyle w:val="TextoNormal"/>
      </w:pPr>
      <w:r>
        <w:t>Por sentencia núm. 549/2023, de 5 de julio, de la Sala de lo Penal del Tribunal Supremo, se estimó en parte el recurso interpuesto contra la sentencia núm. 37/2021, de 8 de marzo, de la Sección Segunda de la Audiencia Provincial de Lugo. En lo que ahora interesa, la parte actora invocó, entre otros motivos, la infracción de los arts. 5.4 LOPJ y 852 LECrim por tres razones: (i) la lesión de sus derechos a la libertad, a un proceso con todas las garantías y a la defensa, por haberse fundado la condena en la “confesión” efectuada a los agentes de vigilancia aduanera durante la detención y práctica de los registros (motivo tercero); (ii) la lesión de sus derechos a la tutela judicial efectiva y a un proceso con todas las garantías, por haber investido el Juzgado de Instrucción núm. 1 de Lugo, con vocación de permanencia, a los agentes del Servicio de Vigilancia Aduanera para la investigación criminal de los delitos de cohecho y prevaricación administrativa (motivo cuarto); y (iii) la lesión de los derechos a la presunción de inocencia y a la tutela judicial efectiva, por haberse fundado la condena exclusivamente en las declaraciones de coimputados (motivo sexto).</w:t>
      </w:r>
    </w:p>
    <w:p w14:paraId="3C16B270" w14:textId="77777777" w:rsidR="00B35D37" w:rsidRDefault="00B35D37" w:rsidP="00B35D37">
      <w:pPr>
        <w:pStyle w:val="TextoNormal"/>
      </w:pPr>
    </w:p>
    <w:p w14:paraId="19493BEA" w14:textId="77777777" w:rsidR="00B35D37" w:rsidRDefault="00B35D37" w:rsidP="00B35D37">
      <w:pPr>
        <w:pStyle w:val="TextoNormal"/>
      </w:pPr>
      <w:r>
        <w:t>La respuesta judicial a sus alegaciones fue, sin embargo, la que sigue:</w:t>
      </w:r>
    </w:p>
    <w:p w14:paraId="04A83651" w14:textId="77777777" w:rsidR="00B35D37" w:rsidRDefault="00B35D37" w:rsidP="00B35D37">
      <w:pPr>
        <w:pStyle w:val="TextoNormal"/>
      </w:pPr>
    </w:p>
    <w:p w14:paraId="3970AB63" w14:textId="77777777" w:rsidR="00B35D37" w:rsidRDefault="00B35D37" w:rsidP="00B35D37">
      <w:pPr>
        <w:pStyle w:val="TextoNormal"/>
      </w:pPr>
      <w:r>
        <w:t>A) Motivo tercero (confesión a los funcionarios del Servicio de Vigilancia Aduanera sin la asistencia de letrado): para el Tribunal Supremo las “manifestaciones espontáneas” que se hicieron a los “agentes de vigilancia aduanera actuantes” durante el breve lapsus que se produjo entre el primer y el segundo registro,“confesando su culpabilidad”, “sin asistencia letrada” (recogidas “por escrito en el atestado instruido”), no podían formalizarse “por escrito” al ser “ilegales” y, por tanto, “la diligencia así practicada deb[ía] reputarse nula y, por ende, totalmente ineficaz desde el punto de vista de su posible eficacia probatoria” (fundamento de Derecho 3.2). Señala concretamente la sentencia impugnada:</w:t>
      </w:r>
    </w:p>
    <w:p w14:paraId="6CBB8893" w14:textId="77777777" w:rsidR="00B35D37" w:rsidRDefault="00B35D37" w:rsidP="00B35D37">
      <w:pPr>
        <w:pStyle w:val="TextoNormal"/>
      </w:pPr>
    </w:p>
    <w:p w14:paraId="09B131DC" w14:textId="77777777" w:rsidR="00B35D37" w:rsidRDefault="00B35D37" w:rsidP="00B35D37">
      <w:pPr>
        <w:pStyle w:val="TextoNormal"/>
      </w:pPr>
      <w:r>
        <w:t xml:space="preserve">“Lo que los agentes recogen en su ‘diligencia de constancia de hechos’, son cuatro folios manuscritos en los que el detenido, sin asistencia letrada y sin otra intervención que la de los agentes policiales actuantes, supuestamente detalla cuál fue su modo de proceder en los hechos objeto de investigación, </w:t>
      </w:r>
      <w:r w:rsidRPr="00B35D37">
        <w:rPr>
          <w:i/>
        </w:rPr>
        <w:t>agotando la puntillosa relación de empresarios</w:t>
      </w:r>
      <w:r>
        <w:t xml:space="preserve"> con los que llevó a término las supuestas manipulaciones de los expedientes de adjudicación de contratos, además de detallar las varias y diferentes cantidades de dinero que percibió de cada uno de estos empresarios, así como el lugar y las fechas en que se le hicieron los pagos; todo en una narración que hubo de ser necesariamente larga y atenta, y sin que concurriera ningún motivo que justificara adelantar la revelación a ese momento.</w:t>
      </w:r>
    </w:p>
    <w:p w14:paraId="3E78B1B1" w14:textId="77777777" w:rsidR="00B35D37" w:rsidRDefault="00B35D37" w:rsidP="00B35D37">
      <w:pPr>
        <w:pStyle w:val="TextoNormal"/>
      </w:pPr>
    </w:p>
    <w:p w14:paraId="41A574F9" w14:textId="77777777" w:rsidR="00B35D37" w:rsidRDefault="00B35D37" w:rsidP="00B35D37">
      <w:pPr>
        <w:pStyle w:val="TextoNormal"/>
      </w:pPr>
      <w:r>
        <w:t>De ese modo, lo que se recoge es algo bien distinto de las excepcionales manifestaciones espontáneas de un detenido que hemos descrito. Aunque la génesis de la revelación estuviera en una actuación voluntaria del encausado, lo que refleja esa diligencia de constancia es una completa y profunda declaración policial sobre el objeto de la investigación, sin que se excluya siquiera que estuviera despojada de las preguntas propias de un interrogatorio. Una declaración que los agentes no solo no eludieron, sino que documentaron y plasmaron con detalle en su atestado, contraviniendo con ello las normas procesales que imperativamente imponen que las declaraciones se tomen estando el detenido asistido de letrado, después de haber sido asesorado por él, y con la posibilidad de que su asistencia técnica busque que la narración pueda completarse con puntuales aclaraciones del encausado o formule las repreguntas que considere jurídicamente importantes para la defensa.</w:t>
      </w:r>
    </w:p>
    <w:p w14:paraId="293F6C22" w14:textId="77777777" w:rsidR="00B35D37" w:rsidRDefault="00B35D37" w:rsidP="00B35D37">
      <w:pPr>
        <w:pStyle w:val="TextoNormal"/>
      </w:pPr>
    </w:p>
    <w:p w14:paraId="3376EA98" w14:textId="77777777" w:rsidR="00B35D37" w:rsidRDefault="00B35D37" w:rsidP="00B35D37">
      <w:pPr>
        <w:pStyle w:val="TextoNormal"/>
      </w:pPr>
      <w:r>
        <w:t xml:space="preserve">Se trata, por tanto, </w:t>
      </w:r>
      <w:r w:rsidRPr="00B35D37">
        <w:rPr>
          <w:i/>
        </w:rPr>
        <w:t>de una declaración que carece de validez para integrar el material probatorio de cargo</w:t>
      </w:r>
      <w:r>
        <w:t xml:space="preserve">, aun traída al procedimiento a través de la testifical de los agentes que la practicaron; </w:t>
      </w:r>
      <w:r w:rsidRPr="00B35D37">
        <w:rPr>
          <w:i/>
        </w:rPr>
        <w:t>pero que, sin embargo, no invalida la condena</w:t>
      </w:r>
      <w:r>
        <w:t xml:space="preserve"> en la medida en que esta se funda en otros </w:t>
      </w:r>
      <w:r w:rsidRPr="00B35D37">
        <w:rPr>
          <w:i/>
        </w:rPr>
        <w:t>elementos probatorios no vinculados</w:t>
      </w:r>
      <w:r>
        <w:t xml:space="preserve"> con ella y, como se verá, </w:t>
      </w:r>
      <w:r w:rsidRPr="00B35D37">
        <w:rPr>
          <w:i/>
        </w:rPr>
        <w:t>lo suficientemente sólidos</w:t>
      </w:r>
      <w:r>
        <w:t xml:space="preserve"> como para fundamentar por sí mismos el sentido del fallo” (la cursiva no es del texto original, ni en estos párrafos ni en otros que se transcriben en el presente voto particular).</w:t>
      </w:r>
    </w:p>
    <w:p w14:paraId="0790C472" w14:textId="77777777" w:rsidR="00B35D37" w:rsidRDefault="00B35D37" w:rsidP="00B35D37">
      <w:pPr>
        <w:pStyle w:val="TextoNormal"/>
      </w:pPr>
    </w:p>
    <w:p w14:paraId="116E44B8" w14:textId="77777777" w:rsidR="00B35D37" w:rsidRDefault="00B35D37" w:rsidP="00B35D37">
      <w:pPr>
        <w:pStyle w:val="TextoNormal"/>
      </w:pPr>
      <w:r>
        <w:t>B) Motivo cuarto (falta de competencia de los funcionarios del Servicio de Vigilancia Aduanera para investigar criminalmente los delitos de cohecho y prevaricación administrativa): para el Tribunal Supremo el “Servicio de Vigilancia Aduanera” realiza funciones de “policía judicial” a los efectos previstos en el art. 283 LECrim, conforme a una reiterada jurisprudencia y “en aplicación del Acuerdo no jurisdiccional tomado al respecto el 14 de noviembre de 2003”, conforme al cual, aunque no constituye “policía judicial en sentido estricto”, sí lo es “en sentido genérico” (fundamento de Derecho 4.2). Esa condición de “policía judicial” ha sido “seguida”, precisa, por dos disposiciones legales: (i) la Ley 25/2007, de 18 de octubre, de conservación de datos relativos a las comunicaciones electrónicas y a las redes públicas de comunicaciones, que “reconoce” expresamente a los miembros de este servicio dicha condición cuando, al concretar qué agentes están facultados para la cesión de información, expresamente prevé entre ellos a los funcionarios de la Dirección Adjunta de Vigilancia Aduanera, en el desarrollo de sus competencias como policía judicial, de acuerdo con el apartado 1 del artículo 283 LECrim; y (ii) la Ley 31/2010, de 27 de julio, sobre simplificación del intercambio de información e inteligencia entre los servicios de seguridad de los Estados miembros de la Unión Europea que, en su disposición adicional primera, al regular los servicios de seguridad competentes y punto o puntos de contacto nacionales, considera como tales a las fuerzas y cuerpos de seguridad del Estado, a los cuerpos de policía de las comunidades autónomas y al Servicio de Vigilancia Aduanera (fundamento de Derecho 4.2).</w:t>
      </w:r>
    </w:p>
    <w:p w14:paraId="4A3BA70D" w14:textId="77777777" w:rsidR="00B35D37" w:rsidRDefault="00B35D37" w:rsidP="00B35D37">
      <w:pPr>
        <w:pStyle w:val="TextoNormal"/>
      </w:pPr>
    </w:p>
    <w:p w14:paraId="0925F280" w14:textId="77777777" w:rsidR="00B35D37" w:rsidRDefault="00B35D37" w:rsidP="00B35D37">
      <w:pPr>
        <w:pStyle w:val="TextoNormal"/>
      </w:pPr>
      <w:r>
        <w:t xml:space="preserve">Además, según la sentencia impugnada, “es reiterada la jurisprudencia de esta Sala relativa a que los funcionarios de vigilancia aduanera ostentan la condición de policía judicial, </w:t>
      </w:r>
      <w:r w:rsidRPr="00B35D37">
        <w:rPr>
          <w:i/>
        </w:rPr>
        <w:t>no solo para investigar los delitos</w:t>
      </w:r>
      <w:r>
        <w:t xml:space="preserve"> de contrabando o conexos con el mismo, sino también </w:t>
      </w:r>
      <w:r w:rsidRPr="00B35D37">
        <w:rPr>
          <w:i/>
        </w:rPr>
        <w:t>para aquellos otros</w:t>
      </w:r>
      <w:r>
        <w:t xml:space="preserve"> que estén directamente vinculados a la actuación inspectora de este servicio, integrado en la Agencia Tributaria. Sería el caso, entre otros, </w:t>
      </w:r>
      <w:r w:rsidRPr="00B35D37">
        <w:rPr>
          <w:i/>
        </w:rPr>
        <w:t>de los delitos</w:t>
      </w:r>
      <w:r>
        <w:t xml:space="preserve"> de blanqueo de capitales o contra la hacienda pública” (fundamento de Derecho 4.2). Y añade: “la causa es una pieza separada de un procedimiento en el que el Servicio de Vigilancia Aduanera investigaba determinados delitos contra la hacienda pública y de blanqueo de capitales, siendo los </w:t>
      </w:r>
      <w:r w:rsidRPr="00B35D37">
        <w:rPr>
          <w:i/>
        </w:rPr>
        <w:t>delitos de malversación y cohecho</w:t>
      </w:r>
      <w:r>
        <w:t xml:space="preserve"> infracciones penales conexas que se evidenciaron como resultado de esta instrucción. De hecho, </w:t>
      </w:r>
      <w:r w:rsidRPr="00B35D37">
        <w:rPr>
          <w:i/>
        </w:rPr>
        <w:t>la totalidad de las fuentes de prueba cuya nulidad se pretende se obtuvieron por el Servicio de Vigilancia Aduanera</w:t>
      </w:r>
      <w:r>
        <w:t xml:space="preserve"> con ocasión de la instrucción de esa causa matriz y bajo el control de la juez de instrucción” (fundamento de Derecho 4.3).</w:t>
      </w:r>
    </w:p>
    <w:p w14:paraId="72BBBAD1" w14:textId="77777777" w:rsidR="00B35D37" w:rsidRDefault="00B35D37" w:rsidP="00B35D37">
      <w:pPr>
        <w:pStyle w:val="TextoNormal"/>
      </w:pPr>
    </w:p>
    <w:p w14:paraId="0E806A53" w14:textId="77777777" w:rsidR="00B35D37" w:rsidRDefault="00B35D37" w:rsidP="00B35D37">
      <w:pPr>
        <w:pStyle w:val="TextoNormal"/>
      </w:pPr>
      <w:r>
        <w:t xml:space="preserve">C) Motivo sexto (condena fundada en las declaraciones de coimputados): según la sentencia impugnada las declaraciones de los coimputados son pruebas de cargo válidas para enervar la presunción de inocencia, sin que su participación en los hechos suponga necesariamente la invalidez de su testimonio, siempre que </w:t>
      </w:r>
      <w:r w:rsidRPr="00B35D37">
        <w:rPr>
          <w:i/>
        </w:rPr>
        <w:t>no existan motivos espurios</w:t>
      </w:r>
      <w:r>
        <w:t xml:space="preserve"> y concurran </w:t>
      </w:r>
      <w:r w:rsidRPr="00B35D37">
        <w:rPr>
          <w:i/>
        </w:rPr>
        <w:t>otros elementos probatorios</w:t>
      </w:r>
      <w:r>
        <w:t xml:space="preserve"> que permitan </w:t>
      </w:r>
      <w:r w:rsidRPr="00B35D37">
        <w:rPr>
          <w:i/>
        </w:rPr>
        <w:t>corroborar mínimamente</w:t>
      </w:r>
      <w:r>
        <w:t xml:space="preserve"> la versión sostenida. Así, para el Tribunal Supremo:</w:t>
      </w:r>
    </w:p>
    <w:p w14:paraId="7784EC86" w14:textId="77777777" w:rsidR="00B35D37" w:rsidRDefault="00B35D37" w:rsidP="00B35D37">
      <w:pPr>
        <w:pStyle w:val="TextoNormal"/>
      </w:pPr>
    </w:p>
    <w:p w14:paraId="0B3A87A6" w14:textId="77777777" w:rsidR="00B35D37" w:rsidRDefault="00B35D37" w:rsidP="00B35D37">
      <w:pPr>
        <w:pStyle w:val="TextoNormal"/>
      </w:pPr>
      <w:r>
        <w:t xml:space="preserve">“El relato de los coacusados es concordante entre todos ellos y poco interés espurio se puede extraer de que se les haya reconocido la atenuante de confesión si, como sostiene el recurrente, no hubiera ninguna otra prueba de la realidad del fraude y su negación de los hechos hubiera conducido a la absolución. Pero la versión de los coacusados sí va acompañada de otros elementos objetivos que les otorgan credibilidad, como los </w:t>
      </w:r>
      <w:r w:rsidRPr="00B35D37">
        <w:rPr>
          <w:i/>
        </w:rPr>
        <w:t>expedientes administrativos</w:t>
      </w:r>
      <w:r>
        <w:t xml:space="preserve"> demostrativos de las adjudicaciones que refieren los coacusados; unas conversaciones telefónicas que reflejan </w:t>
      </w:r>
      <w:r w:rsidRPr="00B35D37">
        <w:rPr>
          <w:i/>
        </w:rPr>
        <w:t>la frecuente relación</w:t>
      </w:r>
      <w:r>
        <w:t xml:space="preserve"> entre los empresarios adjudicatarios y el acusado titular del órgano de contratación; los seguimientos y controles realizados a los acusados o, incluso, que </w:t>
      </w:r>
      <w:r w:rsidRPr="00B35D37">
        <w:rPr>
          <w:i/>
        </w:rPr>
        <w:t>determinados empleados</w:t>
      </w:r>
      <w:r>
        <w:t xml:space="preserve"> de las empresas Proyfe, S.L., o Tragsatec, </w:t>
      </w:r>
      <w:r w:rsidRPr="00B35D37">
        <w:rPr>
          <w:i/>
        </w:rPr>
        <w:t>prestaran</w:t>
      </w:r>
      <w:r>
        <w:t xml:space="preserve"> en realidad </w:t>
      </w:r>
      <w:r w:rsidRPr="00B35D37">
        <w:rPr>
          <w:i/>
        </w:rPr>
        <w:t>sus servicios para el órgano administrativo</w:t>
      </w:r>
      <w:r>
        <w:t>” (fundamento de Derecho 6.3).</w:t>
      </w:r>
    </w:p>
    <w:p w14:paraId="4BC94A40" w14:textId="77777777" w:rsidR="00B35D37" w:rsidRDefault="00B35D37" w:rsidP="00B35D37">
      <w:pPr>
        <w:pStyle w:val="TextoNormal"/>
      </w:pPr>
    </w:p>
    <w:p w14:paraId="65CA1CC3" w14:textId="77777777" w:rsidR="00B35D37" w:rsidRDefault="00B35D37" w:rsidP="00B35D37">
      <w:pPr>
        <w:pStyle w:val="TextoNormal"/>
      </w:pPr>
      <w:r>
        <w:t>La sentencia, como se ha dicho, estimó parcialmente el recurso por falta de motivación de las penas impuestas y, en segunda sentencia (también de 5 de julio de 2023), sustituyó la pena de cinco años de prisión por el delito continuado de cohecho, por la de cuatro años y seis meses, y la pena de diez años de inhabilitación por el delito continuado de prevaricación, por la de ocho años y tres meses.</w:t>
      </w:r>
    </w:p>
    <w:p w14:paraId="4137AB33" w14:textId="77777777" w:rsidR="00B35D37" w:rsidRDefault="00B35D37" w:rsidP="00B35D37">
      <w:pPr>
        <w:pStyle w:val="TextoNormal"/>
      </w:pPr>
    </w:p>
    <w:p w14:paraId="5D4F26AD" w14:textId="77777777" w:rsidR="00B35D37" w:rsidRDefault="00B35D37" w:rsidP="00B35D37">
      <w:pPr>
        <w:pStyle w:val="TextoNormal"/>
      </w:pPr>
      <w:r>
        <w:t xml:space="preserve">2. </w:t>
      </w:r>
      <w:r w:rsidRPr="00B35D37">
        <w:rPr>
          <w:i/>
        </w:rPr>
        <w:t>Las vulneraciones denunciadas</w:t>
      </w:r>
    </w:p>
    <w:p w14:paraId="46A5CC2B" w14:textId="77777777" w:rsidR="00B35D37" w:rsidRDefault="00B35D37" w:rsidP="00B35D37">
      <w:pPr>
        <w:pStyle w:val="TextoNormal"/>
      </w:pPr>
    </w:p>
    <w:p w14:paraId="4CF8EC52" w14:textId="77777777" w:rsidR="00B35D37" w:rsidRDefault="00B35D37" w:rsidP="00B35D37">
      <w:pPr>
        <w:pStyle w:val="TextoNormal"/>
      </w:pPr>
      <w:r>
        <w:t>Las vulneraciones denunciadas son, por una parte, de los derechos a la tutela judicial efectiva (art. 24.1 CE) y a un proceso con todas las garantías (art. 24.2 CE) y, por otra, de los derechos a la presunción de inocencia (art. 24.2 CE) y a la tutela judicial efectiva (art. 24.1 CE), respectivamente, por:</w:t>
      </w:r>
    </w:p>
    <w:p w14:paraId="7A9E58B5" w14:textId="77777777" w:rsidR="00B35D37" w:rsidRDefault="00B35D37" w:rsidP="00B35D37">
      <w:pPr>
        <w:pStyle w:val="TextoNormal"/>
      </w:pPr>
    </w:p>
    <w:p w14:paraId="0871225E" w14:textId="77777777" w:rsidR="00B35D37" w:rsidRDefault="00B35D37" w:rsidP="00B35D37">
      <w:pPr>
        <w:pStyle w:val="TextoNormal"/>
      </w:pPr>
      <w:r>
        <w:t>(i) Haber sido investido el “Servicio de Vigilancia Aduanera” por el Juzgado de Instrucción núm. 1 de Lugo, con “vocación de permanencia”, con potestades omnímodas para la investigación criminal del cohecho y la prevaricación administrativa en un proceso en que no ha sido parte la Abogacía del Estado en defensa de los intereses de la Agencia Tributaria.</w:t>
      </w:r>
    </w:p>
    <w:p w14:paraId="7244A710" w14:textId="77777777" w:rsidR="00B35D37" w:rsidRDefault="00B35D37" w:rsidP="00B35D37">
      <w:pPr>
        <w:pStyle w:val="TextoNormal"/>
      </w:pPr>
    </w:p>
    <w:p w14:paraId="510A8A4F" w14:textId="77777777" w:rsidR="00B35D37" w:rsidRDefault="00B35D37" w:rsidP="00B35D37">
      <w:pPr>
        <w:pStyle w:val="TextoNormal"/>
      </w:pPr>
      <w:r>
        <w:t xml:space="preserve">Para la parte actora, las competencias del citado “servicio” como “policía judicial”, según la legislación vigente, se limitarían a las de la investigación del contrabando, pero no a la de otros delitos respecto de los que no cabe extensión [STS 506/2006, de 10 de mayo (ECLI:ES:TS:2006:3153)], como los de cohecho o prevaricación administrativa. La investigación se hizo </w:t>
      </w:r>
      <w:r w:rsidRPr="00B35D37">
        <w:rPr>
          <w:i/>
        </w:rPr>
        <w:t>contra legem</w:t>
      </w:r>
      <w:r>
        <w:t xml:space="preserve"> porque no se llevó a cabo en “coordinación” con las fuerzas y cuerpos de seguridad del Estado sin que, en ningún momento, se ordenase la “investigación patrimonial” del recurrente, en contra de lo dispuesto en la disposición adicional primera de la Ley Orgánica 12/1995, de 12 diciembre, de represión del contrabando.</w:t>
      </w:r>
    </w:p>
    <w:p w14:paraId="7F334957" w14:textId="77777777" w:rsidR="00B35D37" w:rsidRDefault="00B35D37" w:rsidP="00B35D37">
      <w:pPr>
        <w:pStyle w:val="TextoNormal"/>
      </w:pPr>
    </w:p>
    <w:p w14:paraId="0490E10F" w14:textId="77777777" w:rsidR="00B35D37" w:rsidRDefault="00B35D37" w:rsidP="00B35D37">
      <w:pPr>
        <w:pStyle w:val="TextoNormal"/>
      </w:pPr>
      <w:r>
        <w:t>Según lo anterior, el Servicio de Vigilancia Aduanera se constituyó en la “propia policía judicial” del Juzgado de Instrucción núm. 1 de Lugo, pese a la heterogeneidad de los delitos investigados, asumiendo un “papel principal que la ley le niega”.</w:t>
      </w:r>
    </w:p>
    <w:p w14:paraId="12708862" w14:textId="77777777" w:rsidR="00B35D37" w:rsidRDefault="00B35D37" w:rsidP="00B35D37">
      <w:pPr>
        <w:pStyle w:val="TextoNormal"/>
      </w:pPr>
    </w:p>
    <w:p w14:paraId="10CC7F27" w14:textId="77777777" w:rsidR="00B35D37" w:rsidRDefault="00B35D37" w:rsidP="00B35D37">
      <w:pPr>
        <w:pStyle w:val="TextoNormal"/>
      </w:pPr>
      <w:r>
        <w:t>(ii) No existir prueba de cargo tras la exclusión de la “confesión” recogida por los agentes del Servicio de Vigilancia Aduanera, al no sobrevivir indicio incriminatorio distinto de los testimonios prestados por los coimputados en base a una conformidad que llevase los umbrales de privación de libertad a un nivel compatible con una reducción de condena que activase la mecánica redentora del art. 80.2 CP. Según la parte recurrente, esas “conformidades encubiertas” no podían ser utilizadas para la obtención de un relato incriminador como fuente de prueba suficiente para condenar al coacusado que no se conforma.</w:t>
      </w:r>
    </w:p>
    <w:p w14:paraId="1FBF401F" w14:textId="77777777" w:rsidR="00B35D37" w:rsidRDefault="00B35D37" w:rsidP="00B35D37">
      <w:pPr>
        <w:pStyle w:val="TextoNormal"/>
      </w:pPr>
    </w:p>
    <w:p w14:paraId="63E3B156" w14:textId="77777777" w:rsidR="00B35D37" w:rsidRDefault="00B35D37" w:rsidP="00B35D37">
      <w:pPr>
        <w:pStyle w:val="TextoNormal"/>
      </w:pPr>
      <w:r>
        <w:t xml:space="preserve">3. </w:t>
      </w:r>
      <w:r w:rsidRPr="00B35D37">
        <w:rPr>
          <w:i/>
        </w:rPr>
        <w:t>La justificación de la especial trascendencia constitucional</w:t>
      </w:r>
    </w:p>
    <w:p w14:paraId="60D88086" w14:textId="77777777" w:rsidR="00B35D37" w:rsidRDefault="00B35D37" w:rsidP="00B35D37">
      <w:pPr>
        <w:pStyle w:val="TextoNormal"/>
      </w:pPr>
    </w:p>
    <w:p w14:paraId="1F9E5593" w14:textId="77777777" w:rsidR="00B35D37" w:rsidRDefault="00B35D37" w:rsidP="00B35D37">
      <w:pPr>
        <w:pStyle w:val="TextoNormal"/>
      </w:pPr>
      <w:r>
        <w:t>Como hemos dicho, según la demanda la cuestión relativa a la intervención y límites del Servicio de Vigilancia Aduanera en la investigación de los delitos no solo plantearía un problema o una faceta de un derecho fundamental susceptible de amparo constitucional sobre el que no habría doctrina constitucional [STC 155/2009, FJ 2 a)], sino que la vulneración del derecho fundamental que se denuncia provendría de la ley [STC 155/2009, FJ 2 c)]. Es cierto que la argumentación utilizada específicamente en el apartado correspondiente dedicado a justificar su concurrencia es muy parca, limitándose fundamentalmente a transcribir algunas de las causas recogidas en el fundamento jurídico 2 de la STC 155/2009, práctica esta que, como este tribunal ha tenido la oportunidad de señalar, no satisface la exigencia impuesta a quien demanda en amparo de realizar un esfuerzo argumental destinado a justificar la especial trascendencia del recurso, estando llamada al más absoluto fracaso (SSTC 146/2016, de 19 de septiembre, FJ 3, y 149/2021, de 13 de septiembre, FJ 2).</w:t>
      </w:r>
    </w:p>
    <w:p w14:paraId="4653A08B" w14:textId="77777777" w:rsidR="00B35D37" w:rsidRDefault="00B35D37" w:rsidP="00B35D37">
      <w:pPr>
        <w:pStyle w:val="TextoNormal"/>
      </w:pPr>
    </w:p>
    <w:p w14:paraId="7EFE80B0" w14:textId="77777777" w:rsidR="00B35D37" w:rsidRDefault="00B35D37" w:rsidP="00B35D37">
      <w:pPr>
        <w:pStyle w:val="TextoNormal"/>
      </w:pPr>
      <w:r>
        <w:t xml:space="preserve">No obstante lo anterior, este tribunal ha aceptado el cumplimiento de este requisito en los casos en los que “el demandante no ha explicado de la mejor manera posible la eventual trascendencia constitucional del recurso” cuando “al menos implícitamente” lo ha intentado (STC 89/2014, de 9 de junio, FJ 2); en aquellos otros en los que la fundamentación de la demanda, pese a que no era “un modelo de claridad y precisión en el cumplimiento de la carga procesal”, habría puesto de relieve “los datos necesarios para justificar la proyección objetiva del amparo solicitado” (STC 107/2012, de 21 de mayo, FJ 2), esto es, “datos objetivos que pueden permitir a este tribunal apreciar la especial trascendencia constitucional del asunto” (STC 27/2013, de 11 de febrero, FJ 2); cuando a pesar de que “no se aprecia la inclusión de algún apartado dedicado a la justificación de la especial trascendencia constitucional del recurso, ni se menciona expresamente este requisito, […] sí se puede encontrar en la argumentación del recurso un razonamiento del que se deduce la especial trascendencia constitucional” [SSTC 118/2014, de 8 de julio, FJ 2 c), y 149/2021, FJ 2 b)]; o cuando aunque una demanda no resulte “un ejemplo de escrito procesal al objeto de dar cumplimiento a la exigencia del art. 49.1 </w:t>
      </w:r>
      <w:r w:rsidRPr="00B35D37">
        <w:rPr>
          <w:i/>
        </w:rPr>
        <w:t>in fine</w:t>
      </w:r>
      <w:r>
        <w:t xml:space="preserve"> LOTC”, su contenido sea “suficiente a tal propósito”, al trasladar “materialmente al Tribunal una cuestión de dimensión constitucional objetiva, subsumible en el listado de causas enunciado en la STC 155/2009” (STC 200/2016, de 28 de noviembre, FJ 2). Es más, incluso este tribunal ha llegado a admitir la justificación </w:t>
      </w:r>
      <w:r w:rsidRPr="00B35D37">
        <w:rPr>
          <w:i/>
        </w:rPr>
        <w:t>per saltum</w:t>
      </w:r>
      <w:r>
        <w:t xml:space="preserve"> o, lo que es lo mismo, la no incluida en una demanda de amparo, pero sí en otra idéntica por existir un vínculo de afinidad entre los recurrentes de una y otra [STC 128/2014, de 21 de julio, FJ 2 c)].</w:t>
      </w:r>
    </w:p>
    <w:p w14:paraId="6B151545" w14:textId="77777777" w:rsidR="00B35D37" w:rsidRDefault="00B35D37" w:rsidP="00B35D37">
      <w:pPr>
        <w:pStyle w:val="TextoNormal"/>
      </w:pPr>
    </w:p>
    <w:p w14:paraId="6446E93D" w14:textId="77777777" w:rsidR="00B35D37" w:rsidRDefault="00B35D37" w:rsidP="00B35D37">
      <w:pPr>
        <w:pStyle w:val="TextoNormal"/>
      </w:pPr>
      <w:r>
        <w:t xml:space="preserve">En el asunto ahora analizado, pese a la parquedad del apartado específico dedicado a la justificación de la especial trascendencia constitucional, una lectura atenta del escrito de demanda permite constatar que sí se había cumplido, de manera suficiente, con la exigencia impuesta por el art. 49.1, </w:t>
      </w:r>
      <w:r w:rsidRPr="00B35D37">
        <w:rPr>
          <w:i/>
        </w:rPr>
        <w:t>in fine</w:t>
      </w:r>
      <w:r>
        <w:t xml:space="preserve">, LOTC, justificando su proyección objetiva más allá de la mera existencia de la lesión subjetiva que se denuncia [SSTC 143/2011, de 26 de septiembre, FJ 2, y 178/2012, de 15 de octubre, FJ 3 b)]. Al margen de lo ya recogido en el citado apartado específico, a lo largo del escrito de demanda la parte actora ha identificado claramente la cuestión planteada: el reconocimiento judicial </w:t>
      </w:r>
      <w:r w:rsidRPr="00B35D37">
        <w:rPr>
          <w:i/>
        </w:rPr>
        <w:t>contra legem</w:t>
      </w:r>
      <w:r>
        <w:t xml:space="preserve"> de labores y competencias de policía judicial a la vigilancia aduanera para la investigación de delitos distintos a los de contrabando o contra la hacienda pública, concretamente, los de cohecho y prevaricación, cuando la disposición adicional primera de la Ley Orgánica 12/1995, de 12 de diciembre, de represión del contrabando (y sin que ningún cuerpo de seguridad le auxiliase) las limita a las de contrabando, y la doctrina de la Sala de lo Penal del Tribunal Supremo a la investigación de las infracciones penales con la hacienda pública y de blanqueo de capitales. Y sobre esta cuestión se señala de manera expresa y textual que “irradia uno de los principales exponentes de la trascendencia constitucional de esta demanda, porque se advierte esa patente inestabilidad del Tribunal Supremo a la hora de definir de manera estática y rigurosa hasta dónde puede llegar la vigilancia aduanera en el marco de la investigación criminal, siendo así que su labor creativa se encuentra limitada por alguna disposición legal” (pág. 14), habiéndose eludido “el debate ya anunciado acerca de la necesidad de que la vigilancia aduanera actúe en coordinación con las fuerzas y cuerpos de seguridad del Estado y tendrá, a todos los efectos legales, carácter colaborador de los mismos, a pesar de que en el recurso de casación se insistió sobre este particular” (pág. 15).</w:t>
      </w:r>
    </w:p>
    <w:p w14:paraId="25BA42C8" w14:textId="77777777" w:rsidR="00B35D37" w:rsidRDefault="00B35D37" w:rsidP="00B35D37">
      <w:pPr>
        <w:pStyle w:val="TextoNormal"/>
      </w:pPr>
    </w:p>
    <w:p w14:paraId="32063603" w14:textId="77777777" w:rsidR="00B35D37" w:rsidRDefault="00B35D37" w:rsidP="00B35D37">
      <w:pPr>
        <w:pStyle w:val="TextoNormal"/>
      </w:pPr>
      <w:r>
        <w:t xml:space="preserve">4. </w:t>
      </w:r>
      <w:r w:rsidRPr="00B35D37">
        <w:rPr>
          <w:i/>
        </w:rPr>
        <w:t>La existencia de una especial trascendencia constitucional</w:t>
      </w:r>
    </w:p>
    <w:p w14:paraId="0D8A4F77" w14:textId="77777777" w:rsidR="00B35D37" w:rsidRDefault="00B35D37" w:rsidP="00B35D37">
      <w:pPr>
        <w:pStyle w:val="TextoNormal"/>
      </w:pPr>
    </w:p>
    <w:p w14:paraId="6989EB10" w14:textId="77777777" w:rsidR="00B35D37" w:rsidRDefault="00B35D37" w:rsidP="00B35D37">
      <w:pPr>
        <w:pStyle w:val="TextoNormal"/>
      </w:pPr>
      <w:r>
        <w:t>La “confusa” regulación legal del alcance de las competencias del “Servicio de Vigilancia Aduanera” en la investigación de los delitos de contrabando y contra la hacienda pública (como se señaló durante la tramitación parlamentaria de la Ley Orgánica 12/1995, de 12 de diciembre, de represión del contrabando) resulta altamente controvertida. No existe una atribución legal directa y expresa al Servicio de Vigilancia Aduanera para ejercer funciones de “policía judicial”. La ley (orgánica) no le ha habilitado para la investigación de otros hechos que no sean los “fiscales” (contrabando) y sin “trascendencia penal” (infracción administrativa), sin perjuicio de su condición de órgano “colaborador” de las fuerzas y cuerpos de seguridad del Estado en el seno de investigaciones penales del “contrabando” en las fronteras. El Servicio de Vigilancia Aduanera no tiene en la actualidad atribuida la competencia para investigar “delitos”. Las tiene únicamente para constatar las “infracciones” que sean de “contrabando” o asociadas a este (como la defraudación tributaria derivada del mismo). No puede actuar como “policía judicial” ni en “sentido específico” ni en “sentido genérico” y, de hacerlo, tendría que hacerlo siempre en “coordinación” con las fuerzas y cuerpos de seguridad, para las “diligencias urgentes” y en la investigación del contrabando.</w:t>
      </w:r>
    </w:p>
    <w:p w14:paraId="3C670993" w14:textId="77777777" w:rsidR="00B35D37" w:rsidRDefault="00B35D37" w:rsidP="00B35D37">
      <w:pPr>
        <w:pStyle w:val="TextoNormal"/>
      </w:pPr>
    </w:p>
    <w:p w14:paraId="33C69A55" w14:textId="77777777" w:rsidR="00B35D37" w:rsidRDefault="00B35D37" w:rsidP="00B35D37">
      <w:pPr>
        <w:pStyle w:val="TextoNormal"/>
      </w:pPr>
      <w:r>
        <w:t>En el asunto analizado el recurrente fue condenado por dos delitos continuados, uno de cohecho y otro de prevaricación, fruto de una investigación llevada a cabo exclusivamente por el Servicio de Vigilancia Aduanera, a modo de policía judicial, sin la intervención de otras fuerzas y cuerpos de seguridad del Estado, aunque bajo la dirección y control del Juzgado de Instrucción núm. 1 de Lugo hasta el punto de que “la totalidad de las fuentes de prueba” se obtuvieron por ella. Según se señala en la sentencia del Tribunal Supremo, la actuación del Servicio de Vigilancia Aduanera, en concreto de la Dirección Adjunta de Vigilancia Aduanera (DAVA), se justificaba en la circunstancia de tratarse de una “pieza separada” de una instrucción que “comenzó” con la investigación de determinados delitos contra la hacienda pública y de blanqueo de capitales. Los delitos de cohecho y prevaricación por los que finalmente se le condenó constituían, entonces, “infracciones penales conexas” aparecidas durante la instrucción. La condena se fundó, en un primer momento, en la “declaración autoinculpatoria” del recurrente (realizada en un descanso entre las entradas y registros efectuados en diferentes domicilios durante dos días seguidos), de la cual “tomaron conocimiento” los agentes de la DAVA (se trataba, según obra en los autos, de una “puntillosa relación de empresarios” con los que llevó a término las manipulaciones en los expedientes de adjudicación de contratos) a partir de la cual, los empresarios implicados reconocieron los hechos, prestando declaración en contra del recurrente (a cambio de beneficiarse de la aplicación de la atenuante analógica de “confesión” y de la “suspensión” de la ejecución de la pena de prisión). Pese a que para el Tribunal Supremo la “declaración inculpatoria” del recurrente fue nula [fue un “interrogatorio” soterrado sin asistencia letrada y sin información sobre sus derechos, esto es, una auténtica “vía de hecho” en los términos señalados por la citada sentencia del Tribunal Supremo núm. 1173/2024, de 2 de julio (ECLI:ES:TS:2024:3653)], sin embargo, no lo fue la condena, que se sostenía —se dice— en una “prueba independiente” de la primera: las “declaraciones de los coimputados” (es decir, aquellas declaraciones “derivadas” del conocimiento adquirido con la “confesión autoinculpatoria” obtenida con la lesión de los derechos fundamentales del recurrente).</w:t>
      </w:r>
    </w:p>
    <w:p w14:paraId="6B0E3B63" w14:textId="77777777" w:rsidR="00B35D37" w:rsidRDefault="00B35D37" w:rsidP="00B35D37">
      <w:pPr>
        <w:pStyle w:val="TextoNormal"/>
      </w:pPr>
    </w:p>
    <w:p w14:paraId="4E7730EF" w14:textId="77777777" w:rsidR="00B35D37" w:rsidRDefault="00B35D37" w:rsidP="00B35D37">
      <w:pPr>
        <w:pStyle w:val="TextoNormal"/>
      </w:pPr>
      <w:r>
        <w:t>Con esos mimbres, no parece discutible que el asunto planteaba dos grandes problemas, ambos de trascendencia constitucional: uno, en relación con el alcance de las funciones de la DAVA (las relativas a sus pretendidas funciones de “policía judicial”, sin “colaboración” con las fuerzas y cuerpos de seguridad del Estado, en el caso de autos, en “sentido específico” y para la investigación de delitos distintos a los de “contrabando”); otro, respecto a la validez de la prueba obtenida en el proceso (si era razonable rechazar la existencia de una “conexión de antijuridicidad” entre la “declaración autoinculpatoria” del acusado y las posteriores de los restantes coimputados prestadas con la única finalidad de obtener una reducción de condena que la hiciese compatible con la suspensión de su ejecución para evitar la entrada en prisión).</w:t>
      </w:r>
    </w:p>
    <w:p w14:paraId="1D06B519" w14:textId="77777777" w:rsidR="00B35D37" w:rsidRDefault="00B35D37" w:rsidP="00B35D37">
      <w:pPr>
        <w:pStyle w:val="TextoNormal"/>
      </w:pPr>
    </w:p>
    <w:p w14:paraId="2DA43BD1" w14:textId="77777777" w:rsidR="00B35D37" w:rsidRDefault="00B35D37" w:rsidP="00B35D37">
      <w:pPr>
        <w:pStyle w:val="TextoNormal"/>
      </w:pPr>
      <w:r>
        <w:t xml:space="preserve">5. </w:t>
      </w:r>
      <w:r w:rsidRPr="00B35D37">
        <w:rPr>
          <w:i/>
        </w:rPr>
        <w:t>La primera cuestión planteada: las pretendidas funciones de “policía judicial” de la DAVA</w:t>
      </w:r>
    </w:p>
    <w:p w14:paraId="1FD4A883" w14:textId="77777777" w:rsidR="00B35D37" w:rsidRDefault="00B35D37" w:rsidP="00B35D37">
      <w:pPr>
        <w:pStyle w:val="TextoNormal"/>
      </w:pPr>
    </w:p>
    <w:p w14:paraId="19D9366D" w14:textId="77777777" w:rsidR="00B35D37" w:rsidRDefault="00B35D37" w:rsidP="00B35D37">
      <w:pPr>
        <w:pStyle w:val="TextoNormal"/>
      </w:pPr>
      <w:r>
        <w:t>5.1</w:t>
      </w:r>
      <w:r w:rsidRPr="00B35D37">
        <w:rPr>
          <w:i/>
        </w:rPr>
        <w:t>. El resguardo fisc</w:t>
      </w:r>
      <w:r>
        <w:t>al</w:t>
      </w:r>
    </w:p>
    <w:p w14:paraId="38581EAF" w14:textId="77777777" w:rsidR="00B35D37" w:rsidRDefault="00B35D37" w:rsidP="00B35D37">
      <w:pPr>
        <w:pStyle w:val="TextoNormal"/>
      </w:pPr>
    </w:p>
    <w:p w14:paraId="50A04E5A" w14:textId="77777777" w:rsidR="00B35D37" w:rsidRDefault="00B35D37" w:rsidP="00B35D37">
      <w:pPr>
        <w:pStyle w:val="TextoNormal"/>
      </w:pPr>
      <w:r>
        <w:t>El “resguardo marítimo” era una institución ligada a la lucha contra el contrabando de tabaco, que dependía de la Hacienda Real. Originariamente, venía siendo desempeñada por el Real Cuerpo de Carabineros de Costas y Fronteras, creado por Real Decreto de 9 de marzo de 1829, organizando el Cuerpo de Carabineros de Costas y Fronteras para impedir el contrabando. Más tarde, tras la refundición del resguardo interior y del marítimo (costas y fronteras), sería denominado como Cuerpo de Carabineros de la Real Hacienda por el Real Decreto de 25 de noviembre de 1834, dividiéndolo en dos “grandes secciones”: de “provincias litorales y fronterizas” y del “interior”. Posteriormente, pasaría a denominarse Cuerpo de Carabineros de la Hacienda Pública por el Real Decreto de 6 de septiembre de 1838. Finalmente, por Real Decreto de 6 de agosto de 1842, se determinó que el Cuerpo de Carabineros del Reino recibiese “una organización militar”, la que se integra en la inspección general como resguardo.</w:t>
      </w:r>
    </w:p>
    <w:p w14:paraId="3911911A" w14:textId="77777777" w:rsidR="00B35D37" w:rsidRDefault="00B35D37" w:rsidP="00B35D37">
      <w:pPr>
        <w:pStyle w:val="TextoNormal"/>
      </w:pPr>
    </w:p>
    <w:p w14:paraId="03B29C6C" w14:textId="77777777" w:rsidR="00B35D37" w:rsidRDefault="00B35D37" w:rsidP="00B35D37">
      <w:pPr>
        <w:pStyle w:val="TextoNormal"/>
      </w:pPr>
      <w:r>
        <w:t>Dejando al margen los cambios normativos ulteriores, por Real Decreto 319/1982, de 12 de febrero, el Servicio de Vigilancia Aduanera, antes Servicio Especial de Vigilancia Fiscal, se reestructura y adscribe directamente al Ministerio de Hacienda “a través de la Dirección General de Aduanas a Impuestos Especiales” (art. 1), con las funciones que le son propias de “Resguardo Aduanero” (art. 2.1), sin perjuicio de las facultades atribuidas a la Guardia Civil como “Resguardo Fiscal del Estado” (art. 2.6).</w:t>
      </w:r>
    </w:p>
    <w:p w14:paraId="656FBB3D" w14:textId="77777777" w:rsidR="00B35D37" w:rsidRDefault="00B35D37" w:rsidP="00B35D37">
      <w:pPr>
        <w:pStyle w:val="TextoNormal"/>
      </w:pPr>
    </w:p>
    <w:p w14:paraId="130576B2" w14:textId="77777777" w:rsidR="00B35D37" w:rsidRDefault="00B35D37" w:rsidP="00B35D37">
      <w:pPr>
        <w:pStyle w:val="TextoNormal"/>
      </w:pPr>
      <w:r>
        <w:t>Finalmente, por Orden de 2 de junio de 1994 por la que se desarrollaba la estructura de la Agencia Estatal de Administración Tributaria (“BOE” núm. 137, de 9 de junio), pasó a denominarse al Servicio de Vigilancia Aduanera como la Dirección Adjunta de Vigilancia Aduanera (DAVA), integrada en el Departamento de Aduanas e Impuestos Especiales (art. 5.1) habilitada para “la consecución de una eficaz lucha contra el fraude fiscal” y para llevar a cabo “labores de investigación de los tributos cuya gestión tiene encomendada la AEAT” (párrafo sexto del preámbulo).</w:t>
      </w:r>
    </w:p>
    <w:p w14:paraId="55073A38" w14:textId="77777777" w:rsidR="00B35D37" w:rsidRDefault="00B35D37" w:rsidP="00B35D37">
      <w:pPr>
        <w:pStyle w:val="TextoNormal"/>
      </w:pPr>
    </w:p>
    <w:p w14:paraId="79413870" w14:textId="77777777" w:rsidR="00B35D37" w:rsidRDefault="00B35D37" w:rsidP="00B35D37">
      <w:pPr>
        <w:pStyle w:val="TextoNormal"/>
      </w:pPr>
      <w:r>
        <w:t>5.2</w:t>
      </w:r>
      <w:r w:rsidRPr="00B35D37">
        <w:rPr>
          <w:i/>
        </w:rPr>
        <w:t>. Las funciones legalmente atribuidas a la DA</w:t>
      </w:r>
      <w:r>
        <w:t>VA</w:t>
      </w:r>
    </w:p>
    <w:p w14:paraId="03F2B482" w14:textId="77777777" w:rsidR="00B35D37" w:rsidRDefault="00B35D37" w:rsidP="00B35D37">
      <w:pPr>
        <w:pStyle w:val="TextoNormal"/>
      </w:pPr>
    </w:p>
    <w:p w14:paraId="11B8FDEE" w14:textId="77777777" w:rsidR="00B35D37" w:rsidRDefault="00B35D37" w:rsidP="00B35D37">
      <w:pPr>
        <w:pStyle w:val="TextoNormal"/>
      </w:pPr>
      <w:r>
        <w:t>Según la información oficial de la página web de la Agencia Tributaria, el personal de la DAVA tendría la condición de “agentes de la autoridad” (tanto los dedicados a las labores de “investigación” como los de las “marítimas”), razón por cual estarían autorizados a portar armas, con funciones específicas de “policía fiscal” y “policía judicial”. Concretamente, sus funciones alcanzarían a la represión de los delitos e infracciones de contrabando (incluido el tráfico de drogas), delitos de blanqueo de capitales y fraudes fiscales (fundamentalmente, por los impuestos especiales).</w:t>
      </w:r>
    </w:p>
    <w:p w14:paraId="6AA94A92" w14:textId="77777777" w:rsidR="00B35D37" w:rsidRDefault="00B35D37" w:rsidP="00B35D37">
      <w:pPr>
        <w:pStyle w:val="TextoNormal"/>
      </w:pPr>
    </w:p>
    <w:p w14:paraId="0CD130AA" w14:textId="77777777" w:rsidR="00B35D37" w:rsidRDefault="00B35D37" w:rsidP="00B35D37">
      <w:pPr>
        <w:pStyle w:val="TextoNormal"/>
      </w:pPr>
      <w:r>
        <w:t>Aunque la anterior información “oficial” acota el ámbito de actuación de la DAVA al contrabando y delitos conexos (blanqueo y fraudes fiscales relacionados con el mismo), no obstante, hemos de efectuar algunas matizaciones. La Agencia Tributaria (AEAT) en general, y la DAVA en particular, no tienen “legalmente” atribuidas competencias de “policía judicial” para la investigación de ninguna clase de delitos, tampoco los de contrabando, blanqueo de capitales o fraudes fiscales. Sus funciones se limitan a la investigación de las infracciones administrativas en materia de contrabando, blanqueo y otros fraudes fiscales (relacionados con el contrabando, como el de los impuestos especiales o el los aranceles aduaneros). No tienen la competencia, pues, para la investigación de hechos que no tengan conexión con las infracciones de contrabando, ni, en ningún caso, para la de hechos eventualmente constitutivos de delito. La función que se atribuye en la página web a la DAVA para la “represión de los delitos” (de contrabando, blanqueo y otros fraudes fiscales), no es ni propia ni autónoma, sino exclusivamente en “colaboración” con las fuerzas y cuerpos de seguridad del Estado (que son los únicos que tienen legalmente atribuida la consideración de “policía judicial”) y, en especial, con la Guardia Civil que, a través de la Jefatura Fiscal y de Fronteras es la que legalmente controla y persigue el contrabando, el narcotráfico, el fraude y las demás infracciones en los aeropuertos, puertos, costas, aguas y fronteras.</w:t>
      </w:r>
    </w:p>
    <w:p w14:paraId="71F7E7FC" w14:textId="77777777" w:rsidR="00B35D37" w:rsidRDefault="00B35D37" w:rsidP="00B35D37">
      <w:pPr>
        <w:pStyle w:val="TextoNormal"/>
      </w:pPr>
    </w:p>
    <w:p w14:paraId="2D5E5FED" w14:textId="77777777" w:rsidR="00B35D37" w:rsidRDefault="00B35D37" w:rsidP="00B35D37">
      <w:pPr>
        <w:pStyle w:val="TextoNormal"/>
      </w:pPr>
      <w:r>
        <w:t>A la AEAT, en general, exclusivamente se le han asignado competencias en materia de comprobación “de la veracidad y exactitud de las declaraciones”, “investigación de los supuestos de hecho de las obligaciones tributarias” y “obtención de información relacionadas con la aplicación de los tributos” [art. 141 de la Ley 58/2003, de 17 de diciembre, general tributaria (LGT)], de modo que el objeto del procedimiento inspector recae únicamente en “comprobar e investigar el adecuado cumplimiento de las obligaciones tributarias” (art. 145.1 LGT). Por su parte, a la DAVA, en particular, tan solo se le han atribuido legalmente competencias en relación con las “infracciones” (administrativas) en materia de “contrabando” y, en íntima conexión con este, también en materia de “blanqueo” y “fraudes fiscales”; eso sí, pudiendo actuar, además, como “agente colaborador” de las fuerzas y cuerpos de seguridad del Estado en la persecución y represión de los delitos de contrabando.</w:t>
      </w:r>
    </w:p>
    <w:p w14:paraId="539BA214" w14:textId="77777777" w:rsidR="00B35D37" w:rsidRDefault="00B35D37" w:rsidP="00B35D37">
      <w:pPr>
        <w:pStyle w:val="TextoNormal"/>
      </w:pPr>
    </w:p>
    <w:p w14:paraId="04E1B0CA" w14:textId="77777777" w:rsidR="00B35D37" w:rsidRDefault="00B35D37" w:rsidP="00B35D37">
      <w:pPr>
        <w:pStyle w:val="TextoNormal"/>
      </w:pPr>
      <w:r>
        <w:t>A fecha de hoy, los órganos de la AEAT (y, entre ellos, la DAVA) no tienen legalmente atribuidas competencias investigadoras de hechos fiscales con relevancia penal, ni siquiera en los procesos por delito contra la hacienda pública. Y esto es así no solo porque se hayan limitado sus funciones en “materia penal” a las de “</w:t>
      </w:r>
      <w:r w:rsidRPr="00B35D37">
        <w:rPr>
          <w:i/>
        </w:rPr>
        <w:t>investigar</w:t>
      </w:r>
      <w:r>
        <w:t xml:space="preserve">, bajo la supervisión de la autoridad judicial, </w:t>
      </w:r>
      <w:r w:rsidRPr="00B35D37">
        <w:rPr>
          <w:i/>
        </w:rPr>
        <w:t>el patrimonio</w:t>
      </w:r>
      <w:r>
        <w:t xml:space="preserve"> que pueda resultar afecto al pago de las cuantías pecuniarias asociadas al delito” (disposición adicional decimonovena LGT), sino por la existencia de una reserva a la jurisdicción ordinaria para la investigación de los delitos (art. 117.3 CE) que no puede ser menoscabada ni por la administración, ni por ninguna otra jurisdicción. Por esta razón, la Ley 7/2012, de 29 de octubre, de modificación de la normativa tributaria y presupuestaria y de adecuación de la normativa financiera para la intensificación de las actuaciones en la prevención y lucha contra el fraude, cuando introdujo en la Ley general tributaria una nueva disposición adicional (la decimonovena), rotulada como “Competencias de </w:t>
      </w:r>
      <w:r w:rsidRPr="00B35D37">
        <w:rPr>
          <w:i/>
        </w:rPr>
        <w:t>investigación patrimonial</w:t>
      </w:r>
      <w:r>
        <w:t xml:space="preserve"> en los procesos por delito contra la hacienda pública”, se limitó a habilitar a la Agencia Tributaria para “la </w:t>
      </w:r>
      <w:r w:rsidRPr="00B35D37">
        <w:rPr>
          <w:i/>
        </w:rPr>
        <w:t>investigación patrimonial</w:t>
      </w:r>
      <w:r>
        <w:t xml:space="preserve"> de los sujetos afectados o relacionados </w:t>
      </w:r>
      <w:r w:rsidRPr="00B35D37">
        <w:rPr>
          <w:i/>
        </w:rPr>
        <w:t>con un proceso por delito</w:t>
      </w:r>
      <w:r>
        <w:t xml:space="preserve"> contra la hacienda pública” (apartado II de su exposición de motivos).</w:t>
      </w:r>
    </w:p>
    <w:p w14:paraId="1EC89114" w14:textId="77777777" w:rsidR="00B35D37" w:rsidRDefault="00B35D37" w:rsidP="00B35D37">
      <w:pPr>
        <w:pStyle w:val="TextoNormal"/>
      </w:pPr>
    </w:p>
    <w:p w14:paraId="4FAA8659" w14:textId="77777777" w:rsidR="00B35D37" w:rsidRDefault="00B35D37" w:rsidP="00B35D37">
      <w:pPr>
        <w:pStyle w:val="TextoNormal"/>
      </w:pPr>
      <w:r>
        <w:t xml:space="preserve">Lo anterior no es óbice, sin embargo, para que los órganos de recaudación de la AEAT, en la investigación patrimonial de los sujetos afectados por un delito contra la hacienda pública, puedan ejercer las facultades previstas en los artículos 93 (requerimientos de información), 94 (requerimientos de información) y 162 LGT (investigación patrimonial) realizando “informes </w:t>
      </w:r>
      <w:r w:rsidRPr="00B35D37">
        <w:rPr>
          <w:i/>
        </w:rPr>
        <w:t>sobre la situación patrimonial de las personas relacionadas con el delito</w:t>
      </w:r>
      <w:r>
        <w:t>” y adoptando “medidas cautelares”, dando cuenta inmediata “al juez penal”. Eso sí, esa función no implica, en ningún caso, una atribución de competencias investigadoras del delito (de conductas tipificadas en el Código penal).</w:t>
      </w:r>
    </w:p>
    <w:p w14:paraId="42B04DD9" w14:textId="77777777" w:rsidR="00B35D37" w:rsidRDefault="00B35D37" w:rsidP="00B35D37">
      <w:pPr>
        <w:pStyle w:val="TextoNormal"/>
      </w:pPr>
    </w:p>
    <w:p w14:paraId="53C19256" w14:textId="77777777" w:rsidR="00B35D37" w:rsidRDefault="00B35D37" w:rsidP="00B35D37">
      <w:pPr>
        <w:pStyle w:val="TextoNormal"/>
      </w:pPr>
      <w:r>
        <w:t xml:space="preserve">Tampoco la disposición adicional primera de la Ley Orgánica 12/1995, de 12 de diciembre, de represión del contrabando, atribuye a la DAVA la función investigadora de hechos fiscales con relevancia penal, limitando el alcance de su actuación a su función primigenia, como es la investigación de las “infracciones” de contrabando y la “colaboración” (con la Guardia Civil) en la de los “delitos” de contrabando. En efecto, dicha disposición señala: “El Servicio de Vigilancia Aduanera, en la investigación, persecución y represión de los delitos de contrabando, </w:t>
      </w:r>
      <w:r w:rsidRPr="00B35D37">
        <w:rPr>
          <w:i/>
        </w:rPr>
        <w:t>actuará en coordinación con las fuerzas y cuerpos de seguridad del Estado y tendrá, a todos los efectos legales, carácter colaborador</w:t>
      </w:r>
      <w:r>
        <w:t xml:space="preserve"> de los mismos”. Por su parte, la disposición adicional cuarta de esa misma Ley Orgánica, bajo el título de “</w:t>
      </w:r>
      <w:r w:rsidRPr="00B35D37">
        <w:rPr>
          <w:i/>
        </w:rPr>
        <w:t>competencias de investigación patrimonial</w:t>
      </w:r>
      <w:r>
        <w:t>” de los “</w:t>
      </w:r>
      <w:r w:rsidRPr="00B35D37">
        <w:rPr>
          <w:i/>
        </w:rPr>
        <w:t>delitos de contrabando</w:t>
      </w:r>
      <w:r>
        <w:t xml:space="preserve">”, en su apartado 3, señala que le será de aplicación “la disposición adicional decimonovena de la Ley 58/2003, de 17 de diciembre, general tributaria”, la cual, como hemos comprobado, se limita a atribuir a la AEAT “competencias </w:t>
      </w:r>
      <w:r w:rsidRPr="00B35D37">
        <w:rPr>
          <w:i/>
        </w:rPr>
        <w:t>de investigación patrimonial</w:t>
      </w:r>
      <w:r>
        <w:t xml:space="preserve"> en los procesos po</w:t>
      </w:r>
      <w:r w:rsidRPr="00B35D37">
        <w:rPr>
          <w:i/>
        </w:rPr>
        <w:t>r delito contra la hacienda públi</w:t>
      </w:r>
      <w:r>
        <w:t>ca”.</w:t>
      </w:r>
    </w:p>
    <w:p w14:paraId="63539339" w14:textId="77777777" w:rsidR="00B35D37" w:rsidRDefault="00B35D37" w:rsidP="00B35D37">
      <w:pPr>
        <w:pStyle w:val="TextoNormal"/>
      </w:pPr>
    </w:p>
    <w:p w14:paraId="743FD164" w14:textId="77777777" w:rsidR="00B35D37" w:rsidRDefault="00B35D37" w:rsidP="00B35D37">
      <w:pPr>
        <w:pStyle w:val="TextoNormal"/>
      </w:pPr>
      <w:r>
        <w:t xml:space="preserve">En consecuencia, la DAVA ha tenido y tiene exclusivamente la competencia para el “descubrimiento y persecución en todo el territorio nacional de los </w:t>
      </w:r>
      <w:r w:rsidRPr="00B35D37">
        <w:rPr>
          <w:i/>
        </w:rPr>
        <w:t>actos e infracciones de contrabando</w:t>
      </w:r>
      <w:r>
        <w:t xml:space="preserve"> cometidos en perjuicio de la renta”. Esto implica que ni la AEAT, en sentido genérico, ni la DAVA, a título particular, tienen competencias de “policía judicial” para la investigación de hechos fiscales con relevancia penal (delitos). Solo tienen las de “policía fiscal” para la investigación tributaria (comprobar el correcto cumplimiento de las obligaciones tributarias) y patrimonial (averiguar la existencia de patrimonios susceptibles de garantizar el pago de las eventuales responsabilidades asociadas al delito).</w:t>
      </w:r>
    </w:p>
    <w:p w14:paraId="69D61966" w14:textId="77777777" w:rsidR="00B35D37" w:rsidRDefault="00B35D37" w:rsidP="00B35D37">
      <w:pPr>
        <w:pStyle w:val="TextoNormal"/>
      </w:pPr>
    </w:p>
    <w:p w14:paraId="0FBCB8A0" w14:textId="77777777" w:rsidR="00B35D37" w:rsidRDefault="00B35D37" w:rsidP="00B35D37">
      <w:pPr>
        <w:pStyle w:val="TextoNormal"/>
      </w:pPr>
      <w:r>
        <w:t>Tan cierto es lo anterior que “[c]uando la administración tributaria aprecie indicios de delito contra la hacienda pública, pasará el tanto de culpa a la jurisdicción competente o remitirá el expediente al Ministerio Fiscal” (art. 251.1 LGT), correspondiendo “al juez penal determinar en sentencia la cuota defraudada vinculada a los delitos contra la hacienda pública” (art. 254.1 LGT). Por tanto, “[c]uando se aprecie la posible existencia de un delito no perseguible únicamente a instancia de persona agraviada, la administración tributaria deducirá el tanto de culpa o remitirá al Ministerio Fiscal relación circunstanciada de los hechos que se estimen constitutivos de delito. También podrá iniciarse directamente el oportuno procedimiento mediante querella a través del servicio jurídico competente” (art. 95.3 LGT). De esta manera, “[c]uando se aprecien indicios de delito contra la hacienda pública y se remita el expediente al órgano judicial competente o al Ministerio Fiscal”, los órganos de aplicación de los tributos “deberán emitir informe” [art. 100.2 b) del Real Decreto 1065/2007, de 27 de julio, por el que se aprueba el Reglamento General de las actuaciones y los procedimientos de gestión e inspección tributaria y de desarrollo de las normas comunes de los procedimientos de aplicación de los tributos (Reglamento general de la inspección de los tributos)].</w:t>
      </w:r>
    </w:p>
    <w:p w14:paraId="631D349A" w14:textId="77777777" w:rsidR="00B35D37" w:rsidRDefault="00B35D37" w:rsidP="00B35D37">
      <w:pPr>
        <w:pStyle w:val="TextoNormal"/>
      </w:pPr>
    </w:p>
    <w:p w14:paraId="7054E6AA" w14:textId="77777777" w:rsidR="00B35D37" w:rsidRDefault="00B35D37" w:rsidP="00B35D37">
      <w:pPr>
        <w:pStyle w:val="TextoNormal"/>
      </w:pPr>
      <w:r>
        <w:t>El legislador no ha atribuido a la administración las competencias necesarias para la investigación “preprocesal” del delito, pero le exige la elaboración de un informe que recoja los “hechos constitutivos” con los que se haya “encontrado” [arts. 95.3 LGT y 100.2 b) RGIT], con carácter previo al traslado del eventual tanto de culpa a la jurisdicción penal. Desde la aparición de esos indicios de delito, la finalidad de las actuaciones administrativas dejaría de ser la de investigar hechos fiscales con relevancia tributaria para limitarse a identificar los hechos sobrevenidos que pudieran tener relevancia penal. La administración tendría así que cesar en ese mismo instante en el ejercicio de sus funciones de policía fiscal (comprobación y regularización), no estando habilitada para realizar funciones propias de policía judicial (dirigidas a la determinación de los delitos y de sus eventuales responsables).</w:t>
      </w:r>
    </w:p>
    <w:p w14:paraId="28E2F6C1" w14:textId="77777777" w:rsidR="00B35D37" w:rsidRDefault="00B35D37" w:rsidP="00B35D37">
      <w:pPr>
        <w:pStyle w:val="TextoNormal"/>
      </w:pPr>
    </w:p>
    <w:p w14:paraId="6AB2F854" w14:textId="77777777" w:rsidR="00B35D37" w:rsidRDefault="00B35D37" w:rsidP="00B35D37">
      <w:pPr>
        <w:pStyle w:val="TextoNormal"/>
      </w:pPr>
      <w:r>
        <w:t>5.3</w:t>
      </w:r>
      <w:r w:rsidRPr="00B35D37">
        <w:rPr>
          <w:i/>
        </w:rPr>
        <w:t>. La reserva de jurisdicci</w:t>
      </w:r>
      <w:r>
        <w:t>ón</w:t>
      </w:r>
    </w:p>
    <w:p w14:paraId="2CED7631" w14:textId="77777777" w:rsidR="00B35D37" w:rsidRDefault="00B35D37" w:rsidP="00B35D37">
      <w:pPr>
        <w:pStyle w:val="TextoNormal"/>
      </w:pPr>
    </w:p>
    <w:p w14:paraId="213DF72A" w14:textId="77777777" w:rsidR="00B35D37" w:rsidRDefault="00B35D37" w:rsidP="00B35D37">
      <w:pPr>
        <w:pStyle w:val="TextoNormal"/>
      </w:pPr>
      <w:r>
        <w:t>La denominada “reserva de jurisdicción” (en este caso, la reserva jurisdiccional del orden penal en la investigación de hechos delictivos), “locución con la que se hace referencia al principio de exclusividad de la potestad jurisdiccional consagrado por el art. 117.3 de la Constitución” (STC 181/2000, de 29 de junio, FJ 19), impide a la administración tributaria, en general, y a la DAVA, en particular, desarrollar ninguna clase de funciones jurisdiccionales, que quedan reservadas de forma exclusiva a los jueces y tribunales que integran la jurisdicción ordinaria. La administración no tiene atribuida la potestad de investigar y apreciar en plenitud hechos en apariencia delictivos, al margen de los órganos del Poder Judicial y sin vocación alguna a la institución del proceso (SSTC 85/2018, de 19 de julio, FJ 6, y 83/2020, de 15 de julio, FJ 6).</w:t>
      </w:r>
    </w:p>
    <w:p w14:paraId="6540CD68" w14:textId="77777777" w:rsidR="00B35D37" w:rsidRDefault="00B35D37" w:rsidP="00B35D37">
      <w:pPr>
        <w:pStyle w:val="TextoNormal"/>
      </w:pPr>
    </w:p>
    <w:p w14:paraId="124723B0" w14:textId="77777777" w:rsidR="00B35D37" w:rsidRDefault="00B35D37" w:rsidP="00B35D37">
      <w:pPr>
        <w:pStyle w:val="TextoNormal"/>
      </w:pPr>
      <w:r>
        <w:t xml:space="preserve">Lo anterior es así sin perjuicio del ejercicio del </w:t>
      </w:r>
      <w:r w:rsidRPr="00B35D37">
        <w:rPr>
          <w:i/>
        </w:rPr>
        <w:t>ius puniendi</w:t>
      </w:r>
      <w:r>
        <w:t xml:space="preserve"> del Estado, que tiene encomendado la administración tributaria a través del derecho administrativo sancionador [SSTC 215/2016, de 15 de diciembre, FJ 8 a), y 77/2023, de 20 de junio, FJ 3 A)] y que la habilita a la indagación y esclarecimiento de los hechos objeto de comprobación, a la verificación de la existencia, en su caso, de una responsabilidad infractora en los sujetos comprobados, así como a la imposición de las correspondientes sanciones. Potestad sancionadora de la administración que está sometida a límites. Entre otros, por lo que ahora interesa, no hay que olvidar que, si bien nuestra Constitución no ha excluido la existencia de una potestad sancionadora de la administración, admitiéndola expresamente en el art. 25.3, dicha aceptación se ha sometido, de un lado, a las necesarias cautelas que preserven y garanticen los derechos de los ciudadanos y, de otro, a los límites que su potestad sancionadora encuentra en el art. 25.1 CE, en lo que ahora interesa, la necesaria subordinación de los actos de imposición de sanciones a la autoridad judicial, de la que deriva, entre otros límites,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[SSTC 77/1983, de 3 de octubre, FJ 3, y 2/2003, de 16 de enero, FJ 3 c)]. Y dado que “[l]a decisión sobre qué hechos han de ser objeto de sanción penal compete en exclusiva al Poder Legislativo” (SSTC 341/1993, de 18 de noviembre, FJ 3; 55/1996, de 28 de marzo, FJ 6; 161/1997, de 2 de octubre, FJ 9, y 2/2003, FJ 9), una vez que el legislador ha decidido cuáles merecen ser el presupuesto fáctico de una infracción penal, “solo los órganos judiciales integrados en la jurisdicción penal son órganos constitucionalmente determinados para conocer de dicha infracción y ejercer la potestad punitiva estatal”, de conformidad con lo previsto en el art. 25 CE, en relación con el art. 117 CE (STC 2/2003, FJ 9).</w:t>
      </w:r>
    </w:p>
    <w:p w14:paraId="3F1A49F8" w14:textId="77777777" w:rsidR="00B35D37" w:rsidRDefault="00B35D37" w:rsidP="00B35D37">
      <w:pPr>
        <w:pStyle w:val="TextoNormal"/>
      </w:pPr>
    </w:p>
    <w:p w14:paraId="71790163" w14:textId="77777777" w:rsidR="00B35D37" w:rsidRDefault="00B35D37" w:rsidP="00B35D37">
      <w:pPr>
        <w:pStyle w:val="TextoNormal"/>
      </w:pPr>
      <w:r>
        <w:t>Cuando el hecho reúne los elementos necesarios para ser calificado de infracción penal, la administración no puede conocer ni del hecho en su conjunto ni de sus fragmentos, estando obligada a paralizar el procedimiento para que sean los órganos judiciales penales quienes se pronuncien sobre la cuestión (en sentido parecido, STC 2/2003, FJ 9).Por esta razón, el art. 95.3 LGT [y, en el mismo sentido, el art. 100.2 b) del Reglamento general de la inspección de los tributos] impone a la administración tributaria, como ya se ha dicho, deducir el tanto de culpa al órgano judicial competente o remitir el expediente al Ministerio Fiscal, ante la aparición de indicios de delito contra la hacienda pública. Hay que insistir en que “[e]l conocimiento de los hechos constitutivos de infracción penal” es “competencia exclusiva” del orden jurisdiccional penal, de manera que “tratándose de infracciones penales, la capacidad para investigarlas a partir del momento en que aparecen indicios de que se ha producido un hecho delictivo corresponde, por tanto, a la autoridad judicial y, en su caso, al Ministerio Fiscal […] auxiliados por la policía judicial en sus funciones de indagación del delito bajo la dependencia de jueces, tribunales y el Ministerio Fiscal” (STC 85/2018, FJ 5).</w:t>
      </w:r>
    </w:p>
    <w:p w14:paraId="411D7CAE" w14:textId="77777777" w:rsidR="00B35D37" w:rsidRDefault="00B35D37" w:rsidP="00B35D37">
      <w:pPr>
        <w:pStyle w:val="TextoNormal"/>
      </w:pPr>
    </w:p>
    <w:p w14:paraId="647FA77A" w14:textId="77777777" w:rsidR="00B35D37" w:rsidRDefault="00B35D37" w:rsidP="00B35D37">
      <w:pPr>
        <w:pStyle w:val="TextoNormal"/>
      </w:pPr>
      <w:r>
        <w:t>Por tanto, si aceptásemos que la administración tributaria, en general, o la DAVA, en particular, pueden por sí mismas ejercer competencias de investigación de hechos fiscales con trascendencia penal, sería tanto como asumir que ejercen una “función materialmente jurisdiccional, con lo que se invaden unas funciones que, en exclusiva, corresponden a la autoridad judicial (art. 117 CE), en su caso al Ministerio Fiscal (art. 124 CE) y a la policía judicial (art. 126 CE), con la consecuencia de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 [SSTC 85/2018, FJ 6; 83/2020, FJ 6; 108/2021, de 13 de mayo, FJ 3, y 77/2023, FJ 3 A)].</w:t>
      </w:r>
    </w:p>
    <w:p w14:paraId="57DBC28F" w14:textId="77777777" w:rsidR="00B35D37" w:rsidRDefault="00B35D37" w:rsidP="00B35D37">
      <w:pPr>
        <w:pStyle w:val="TextoNormal"/>
      </w:pPr>
    </w:p>
    <w:p w14:paraId="5607BA02" w14:textId="77777777" w:rsidR="00B35D37" w:rsidRDefault="00B35D37" w:rsidP="00B35D37">
      <w:pPr>
        <w:pStyle w:val="TextoNormal"/>
      </w:pPr>
      <w:r>
        <w:t xml:space="preserve">Excede del marco propio de la actividad investigadora administrativa “no solo, como es obvio, cualquier posible calificación jurídica de eventuales actos o conductas punibles, sino también su imputación o atribución individualizada a los sujetos a los que pudiera alcanzar la investigación” [STC 133/2018, de 13 de diciembre, FJ 8 b)]. Por esta razón, ante la aparición de los primeros indicios de delito, la administración tributaria debe cesar en su función de policía fiscal, poniendo fin a su actuación con el citado informe al que se ha hecho referencia con anterioridad, con el que se trasladan al juez o al fiscal los hechos sobrevenidos de los que pudiera inferirse una </w:t>
      </w:r>
      <w:r w:rsidRPr="00B35D37">
        <w:rPr>
          <w:i/>
        </w:rPr>
        <w:t>notitia criminis</w:t>
      </w:r>
      <w:r>
        <w:t xml:space="preserve"> para que, bajo su dirección y control, sea a partir de ese instante la policía judicial (aquella que sí tiene atribuidas las funciones de investigación de hechos penales) la que practique las diligencias de investigación penal que sean necesarias.</w:t>
      </w:r>
    </w:p>
    <w:p w14:paraId="6AC7CF23" w14:textId="77777777" w:rsidR="00B35D37" w:rsidRDefault="00B35D37" w:rsidP="00B35D37">
      <w:pPr>
        <w:pStyle w:val="TextoNormal"/>
      </w:pPr>
    </w:p>
    <w:p w14:paraId="6E1B8B4C" w14:textId="77777777" w:rsidR="00B35D37" w:rsidRDefault="00B35D37" w:rsidP="00B35D37">
      <w:pPr>
        <w:pStyle w:val="TextoNormal"/>
      </w:pPr>
      <w:r>
        <w:t>5.4</w:t>
      </w:r>
      <w:r w:rsidRPr="00B35D37">
        <w:rPr>
          <w:i/>
        </w:rPr>
        <w:t>. La policía judici</w:t>
      </w:r>
      <w:r>
        <w:t>al</w:t>
      </w:r>
    </w:p>
    <w:p w14:paraId="0E6F491B" w14:textId="77777777" w:rsidR="00B35D37" w:rsidRDefault="00B35D37" w:rsidP="00B35D37">
      <w:pPr>
        <w:pStyle w:val="TextoNormal"/>
      </w:pPr>
    </w:p>
    <w:p w14:paraId="0F7F895E" w14:textId="77777777" w:rsidR="00B35D37" w:rsidRDefault="00B35D37" w:rsidP="00B35D37">
      <w:pPr>
        <w:pStyle w:val="TextoNormal"/>
      </w:pPr>
      <w:r>
        <w:t>De conformidad con el art. 126 CE, “[l]a policía judicial depende de los Jueces, de los Tribunales y del Ministerio Fiscal en sus funciones de averiguación del delito y descubrimiento y aseguramiento del delincuente, en los términos que la ley establezca”.</w:t>
      </w:r>
    </w:p>
    <w:p w14:paraId="7836DF35" w14:textId="77777777" w:rsidR="00B35D37" w:rsidRDefault="00B35D37" w:rsidP="00B35D37">
      <w:pPr>
        <w:pStyle w:val="TextoNormal"/>
      </w:pPr>
    </w:p>
    <w:p w14:paraId="0551B30F" w14:textId="77777777" w:rsidR="00B35D37" w:rsidRDefault="00B35D37" w:rsidP="00B35D37">
      <w:pPr>
        <w:pStyle w:val="TextoNormal"/>
      </w:pPr>
      <w:r>
        <w:t>La Ley Orgánica 6/1985, de 1 de julio, del Poder Judicial, recoge las “unidades de policía judicial” dependientes “de las autoridades judiciales y del Ministerio Fiscal” (art. 548.1), a las que corresponde específicamente la averiguación de los responsables y de los hechos delictivos, la detención de los responsables, el auxilio a la autoridad judicial y fiscal, el ejercicio de la coerción, la garantía del cumplimiento de las órdenes y resoluciones de la autoridad judicial o fiscal y cualesquiera otras en que sea necesaria su cooperación o auxilio y lo ordenare la autoridad judicial o fiscal (art. 549.1). Eso sí, “[e]n las funciones de investigación penal, la policía judicial actuará bajo la dirección de los juzgados y tribunales y del Ministerio Fiscal” (art. 550.1).</w:t>
      </w:r>
    </w:p>
    <w:p w14:paraId="30898548" w14:textId="77777777" w:rsidR="00B35D37" w:rsidRDefault="00B35D37" w:rsidP="00B35D37">
      <w:pPr>
        <w:pStyle w:val="TextoNormal"/>
      </w:pPr>
    </w:p>
    <w:p w14:paraId="1D1D20BB" w14:textId="77777777" w:rsidR="00B35D37" w:rsidRDefault="00B35D37" w:rsidP="00B35D37">
      <w:pPr>
        <w:pStyle w:val="TextoNormal"/>
      </w:pPr>
      <w:r>
        <w:t>En fin, según la Ley Orgánica 2/1986, de 13 de marzo, de fuerzas y cuerpos de seguridad (LOFCS), “[l]as funciones de policía judicial que se mencionan en el artículo 126 de la Constitución serán ejercidas por las fuerzas y cuerpos de seguridad del Estado” (art. 29.1). A tal fin, el Ministerio del Interior organizará “unidades de policía judicial” (art. 30.1) que podrán adscribirse “a determinados juzgados y tribunales” o al “Ministerio Fiscal” (art. 30.2). Aunque los funcionarios adscritos a esas unidades dependen “orgánicamente” del Ministerio del Interior, “funcionalmente” lo hacen de los jueces, de los tribunales o del Ministerio Fiscal (art. 31.1), quienes les “darán” las órdenes e instrucciones, “determinarán” el contenido y circunstancias de las actuaciones y “controlarán” su ejecución (art. 35).</w:t>
      </w:r>
    </w:p>
    <w:p w14:paraId="4096E5EC" w14:textId="77777777" w:rsidR="00B35D37" w:rsidRDefault="00B35D37" w:rsidP="00B35D37">
      <w:pPr>
        <w:pStyle w:val="TextoNormal"/>
      </w:pPr>
    </w:p>
    <w:p w14:paraId="58F0BA99" w14:textId="77777777" w:rsidR="00B35D37" w:rsidRDefault="00B35D37" w:rsidP="00B35D37">
      <w:pPr>
        <w:pStyle w:val="TextoNormal"/>
      </w:pPr>
      <w:r>
        <w:t>Pues bien, hay que insistir en que la disposición adicional primera de la Ley Orgánica de represión del contrabando de 1995, solo, única y exclusivamente atribuye a la DAVA la condición de “órgano colaborador” de las fuerzas y cuerpos de seguridad del Estado en “la investigación, persecución y represión de los delitos de contrabando”.</w:t>
      </w:r>
    </w:p>
    <w:p w14:paraId="1D44BB87" w14:textId="77777777" w:rsidR="00B35D37" w:rsidRDefault="00B35D37" w:rsidP="00B35D37">
      <w:pPr>
        <w:pStyle w:val="TextoNormal"/>
      </w:pPr>
    </w:p>
    <w:p w14:paraId="3923A34D" w14:textId="77777777" w:rsidR="00B35D37" w:rsidRDefault="00B35D37" w:rsidP="00B35D37">
      <w:pPr>
        <w:pStyle w:val="TextoNormal"/>
      </w:pPr>
      <w:r>
        <w:t>Pese a que durante la tramitación de la citada norma legal los diferentes grupos parlamentarios propusieron la atribución expresa a la DAVA de la condición de policía judicial y de la de cuerpo y fuerza de seguridad del Estado, por venir actuando como tal, para la investigación, descubrimiento y persecución de los delitos de contrabando y, también, de los de blanqueo de capitales y contra la hacienda pública, el informe de la ponencia mantuvo la letra de la disposición adicional única contenida en el proyecto de ley (“Boletín Oficial de las Cortes Generales”, Congreso de los Diputados, V Legislatura, Serie A, núm. 93-10, de 20 de junio de 1995, pág. 39), limitando su actuación a la de coordinación y colaboración con las fuerzas y cuerpos de seguridad del Estado.</w:t>
      </w:r>
    </w:p>
    <w:p w14:paraId="5C5C401A" w14:textId="77777777" w:rsidR="00B35D37" w:rsidRDefault="00B35D37" w:rsidP="00B35D37">
      <w:pPr>
        <w:pStyle w:val="TextoNormal"/>
      </w:pPr>
    </w:p>
    <w:p w14:paraId="628CA795" w14:textId="77777777" w:rsidR="00B35D37" w:rsidRDefault="00B35D37" w:rsidP="00B35D37">
      <w:pPr>
        <w:pStyle w:val="TextoNormal"/>
      </w:pPr>
      <w:r>
        <w:t>De la tramitación parlamentaria se desprende que la mayoría de los grupos parlamentarios (tanto en el Congreso de los Diputados como en el Senado) se mostraron de acuerdo en la necesidad de atribuir expresamente a la DAVA la condición de policía judicial, “por venir actuando como tal”, “muchas veces, de hecho”, “dada la indefinición jurídica” que venía soportando su actuación que no había sido acompañada “por los reajustes legales adecuados que desde el plano judicial les permitiese actuar sin cortapisas”, considerando necesario atribuirle esa función para “la investigación, descubrimiento y persecución de los delitos de contrabando y, también de los de blanqueo de capitales y contra la hacienda pública”, que no la de otros delitos distintos, para lo cual había que dotarla “de la necesaria cobertura jurídica” a los efectos de establecer “con claridad el estatuto jurídico del Servicio de Vigilancia Aduanera”, “eliminando la confusión que pudiera existir sobre el mismo”. Sin embargo, el legislador optó por mantener a la DAVA en el estado de indefinición legal y de confusión material en el que se encontraba de modo que, en la actualidad, no es posible entender incluido al personal de la DAVA en ninguno de los supuestos de la policía judicial prevista en la LOPJ. No se le ha atribuido por la ley, pues, la condición de policía judicial, pero tampoco la de fuerza y cuerpo de seguridad, aunque sí la de órgano colaborador de las fuerzas y cuerpos de seguridad del Estado.</w:t>
      </w:r>
    </w:p>
    <w:p w14:paraId="0169E7DF" w14:textId="77777777" w:rsidR="00B35D37" w:rsidRDefault="00B35D37" w:rsidP="00B35D37">
      <w:pPr>
        <w:pStyle w:val="TextoNormal"/>
      </w:pPr>
    </w:p>
    <w:p w14:paraId="5533AA94" w14:textId="77777777" w:rsidR="00B35D37" w:rsidRDefault="00B35D37" w:rsidP="00B35D37">
      <w:pPr>
        <w:pStyle w:val="TextoNormal"/>
      </w:pPr>
      <w:r>
        <w:t>5.5</w:t>
      </w:r>
      <w:r w:rsidRPr="00B35D37">
        <w:rPr>
          <w:i/>
        </w:rPr>
        <w:t>. La policía judicial “genéric</w:t>
      </w:r>
      <w:r>
        <w:t>a”</w:t>
      </w:r>
    </w:p>
    <w:p w14:paraId="0A110FF3" w14:textId="77777777" w:rsidR="00B35D37" w:rsidRDefault="00B35D37" w:rsidP="00B35D37">
      <w:pPr>
        <w:pStyle w:val="TextoNormal"/>
      </w:pPr>
    </w:p>
    <w:p w14:paraId="3B8FFE31" w14:textId="77777777" w:rsidR="00B35D37" w:rsidRDefault="00B35D37" w:rsidP="00B35D37">
      <w:pPr>
        <w:pStyle w:val="TextoNormal"/>
      </w:pPr>
      <w:r>
        <w:t xml:space="preserve">En este marco normativo y con la situación </w:t>
      </w:r>
      <w:r w:rsidRPr="00B35D37">
        <w:rPr>
          <w:i/>
        </w:rPr>
        <w:t>de facto</w:t>
      </w:r>
      <w:r>
        <w:t xml:space="preserve"> existente, la Sala de lo Penal del Tribunal Supremo hubo de adoptar un Acuerdo del Pleno no jurisdiccional el 14 de noviembre de 2003 (titulado</w:t>
      </w:r>
      <w:r w:rsidRPr="00B35D37">
        <w:rPr>
          <w:i/>
        </w:rPr>
        <w:t xml:space="preserve"> ¿El servicio de vigilancia aduanera es policía judicia</w:t>
      </w:r>
      <w:r>
        <w:t>l?) en el que señaló lo que sigue:</w:t>
      </w:r>
    </w:p>
    <w:p w14:paraId="074F897E" w14:textId="77777777" w:rsidR="00B35D37" w:rsidRDefault="00B35D37" w:rsidP="00B35D37">
      <w:pPr>
        <w:pStyle w:val="TextoNormal"/>
      </w:pPr>
    </w:p>
    <w:p w14:paraId="52BDD57D" w14:textId="77777777" w:rsidR="00B35D37" w:rsidRDefault="00B35D37" w:rsidP="00B35D37">
      <w:pPr>
        <w:pStyle w:val="TextoNormal"/>
      </w:pPr>
      <w:r>
        <w:t>“Primero: El artículo 283 de la LECrim no se encuentra derogado, si bien debe ser actualizado en su interpretación.</w:t>
      </w:r>
    </w:p>
    <w:p w14:paraId="30B8275E" w14:textId="77777777" w:rsidR="00B35D37" w:rsidRDefault="00B35D37" w:rsidP="00B35D37">
      <w:pPr>
        <w:pStyle w:val="TextoNormal"/>
      </w:pPr>
    </w:p>
    <w:p w14:paraId="58C5B36D" w14:textId="77777777" w:rsidR="00B35D37" w:rsidRDefault="00B35D37" w:rsidP="00B35D37">
      <w:pPr>
        <w:pStyle w:val="TextoNormal"/>
      </w:pPr>
      <w:r>
        <w:t xml:space="preserve">Segundo: El Servicio de Vigilancia Aduanera </w:t>
      </w:r>
      <w:r w:rsidRPr="00B35D37">
        <w:rPr>
          <w:i/>
        </w:rPr>
        <w:t>no constituye policía judicial en sentido estricto</w:t>
      </w:r>
      <w:r>
        <w:t xml:space="preserve">, pero sí </w:t>
      </w:r>
      <w:r w:rsidRPr="00B35D37">
        <w:rPr>
          <w:i/>
        </w:rPr>
        <w:t>en sentido genérico</w:t>
      </w:r>
      <w:r>
        <w:t xml:space="preserve"> del art. 283.1 de la LECrim, que sigue vigente conforme establece la disposición adicional primera de la Ley Orgánica 12/1995, de 12 de diciembre, sobre represión del </w:t>
      </w:r>
      <w:r w:rsidRPr="00B35D37">
        <w:rPr>
          <w:i/>
        </w:rPr>
        <w:t>contrabando. En el ámbito de los delitos contemplados en el mismo</w:t>
      </w:r>
      <w:r>
        <w:t xml:space="preserve"> tiene encomendadas funciones propias de policía judicial, que debe ejercer </w:t>
      </w:r>
      <w:r w:rsidRPr="00B35D37">
        <w:rPr>
          <w:i/>
        </w:rPr>
        <w:t>en coordinación con otros cuerpos policiales</w:t>
      </w:r>
      <w:r>
        <w:t xml:space="preserve"> y bajo la dependencia de los jueces de instrucción y del Ministerio Fiscal.</w:t>
      </w:r>
    </w:p>
    <w:p w14:paraId="7FA1F1E4" w14:textId="77777777" w:rsidR="00B35D37" w:rsidRDefault="00B35D37" w:rsidP="00B35D37">
      <w:pPr>
        <w:pStyle w:val="TextoNormal"/>
      </w:pPr>
    </w:p>
    <w:p w14:paraId="7B25C074" w14:textId="77777777" w:rsidR="00B35D37" w:rsidRDefault="00B35D37" w:rsidP="00B35D37">
      <w:pPr>
        <w:pStyle w:val="TextoNormal"/>
      </w:pPr>
      <w:r>
        <w:t>Tercero: Las actuaciones realizadas por el Servicio de Vigilancia Aduanera en el referido ámbito de competencia son procesalmente válidas”.</w:t>
      </w:r>
    </w:p>
    <w:p w14:paraId="48A8A968" w14:textId="77777777" w:rsidR="00B35D37" w:rsidRDefault="00B35D37" w:rsidP="00B35D37">
      <w:pPr>
        <w:pStyle w:val="TextoNormal"/>
      </w:pPr>
    </w:p>
    <w:p w14:paraId="0483C977" w14:textId="77777777" w:rsidR="00B35D37" w:rsidRDefault="00B35D37" w:rsidP="00B35D37">
      <w:pPr>
        <w:pStyle w:val="TextoNormal"/>
      </w:pPr>
      <w:r>
        <w:t>Un tiempo después, la propia Sala de lo Penal del Tribunal Supremo dictó la sentencia núm. 942/2004, de 22 de julio, recurso núm. 1219-2003 (ECLI:ES:TS:2004:5478), en la que, respecto de la eventual falta de habilitación como policía judicial de la DAVA, insistió en que:</w:t>
      </w:r>
    </w:p>
    <w:p w14:paraId="4AD18FFD" w14:textId="77777777" w:rsidR="00B35D37" w:rsidRDefault="00B35D37" w:rsidP="00B35D37">
      <w:pPr>
        <w:pStyle w:val="TextoNormal"/>
      </w:pPr>
    </w:p>
    <w:p w14:paraId="36E547C7" w14:textId="77777777" w:rsidR="00B35D37" w:rsidRDefault="00B35D37" w:rsidP="00B35D37">
      <w:pPr>
        <w:pStyle w:val="TextoNormal"/>
      </w:pPr>
      <w:r>
        <w:t xml:space="preserve">“1º) el artículo 283 LECrim no se encuentra derogado, si bien debe ser actualizado en su interpretación; 2º) el Servicio de Vigilancia Aduanera no constituye policía judicial en sentido estricto, pero sí en el sentido genérico del artículo 283.1 LECrim, que sigue vigente. Conforme establece la disposición adicional primera de la Ley Orgánica 12/1995, de 12 de diciembre, sobre represión del contrabando, en el ámbito de los delitos contemplados en el mismo tienen encomendadas funciones propias de policía judicial, que debe ejercer en coordinación con otros cuerpos policiales y bajo la dependencia de los jueces de instrucción y del Ministerio Fiscal; y, por último, las actuaciones realizadas por el Servicio de Vigilancia Aduanera en el referido ámbito de competencia son procesalmente válidas. Debemos señalar al respecto que efectivamente son policía judicial quienes resultan competentes para proceder por su propia autoridad para investigar, sin necesidad de acudir inicialmente al juez, siendo esta materia en principio reservada a la Ley Orgánica. No obstante, según la Ley del contrabando, el Servicio de Vigilancia Aduanera en su ámbito sí constituye policía judicial en el sentido que se deriva de la aplicación del artículo 283.1 LECrim, y nada obsta a entender el término colaborar en relación con la función desarrollada por aquel servicio y no con los demás cuerpos y fuerzas de seguridad en sentido estricto o subordinado, pues esta colaboración evidentemente debe darse por supuesta, al igual que la coordinación entre todos los cuerpos. En síntesis, conforme a la disposición adicional primera de la Ley Orgánica de represión del contrabando 12/1995 </w:t>
      </w:r>
      <w:r w:rsidRPr="00B35D37">
        <w:rPr>
          <w:i/>
        </w:rPr>
        <w:t>el Servicio de Vigilancia Aduanera, en la investigación, persecución y represión de los delitos de contrabando actuará como policía judicial</w:t>
      </w:r>
      <w:r>
        <w:t xml:space="preserve"> bajo la dependencia del juez de instrucción y del Ministerio Fiscal, actuando coordinadamente con los demás cuerpos policiales” (fundamento de Derecho 2).</w:t>
      </w:r>
    </w:p>
    <w:p w14:paraId="23B8D0FF" w14:textId="77777777" w:rsidR="00B35D37" w:rsidRDefault="00B35D37" w:rsidP="00B35D37">
      <w:pPr>
        <w:pStyle w:val="TextoNormal"/>
      </w:pPr>
    </w:p>
    <w:p w14:paraId="657535FF" w14:textId="77777777" w:rsidR="00B35D37" w:rsidRDefault="00B35D37" w:rsidP="00B35D37">
      <w:pPr>
        <w:pStyle w:val="TextoNormal"/>
      </w:pPr>
      <w:r>
        <w:t>En suma, para el Tribunal Supremo, la DAVA tendría la condición de policía judicial genérica, pero exclusivamente en el ámbito de los delitos contemplados por la Ley Orgánica 12/1995, esto es, para los delitos de contrabando y, en todo caso, bajo la dependencia del juez y del Ministerio Fiscal y en coordinación con otros cuerpos policiales.</w:t>
      </w:r>
    </w:p>
    <w:p w14:paraId="4EAC160D" w14:textId="77777777" w:rsidR="00B35D37" w:rsidRDefault="00B35D37" w:rsidP="00B35D37">
      <w:pPr>
        <w:pStyle w:val="TextoNormal"/>
      </w:pPr>
    </w:p>
    <w:p w14:paraId="122B7166" w14:textId="77777777" w:rsidR="00B35D37" w:rsidRDefault="00B35D37" w:rsidP="00B35D37">
      <w:pPr>
        <w:pStyle w:val="TextoNormal"/>
      </w:pPr>
      <w:r>
        <w:t>Por su parte, la Fiscalía General del Estado, siguiendo la estela de la Sala de lo Penal del Tribunal Supremo, emitió la Instrucción 1/2008, de 7 de marzo, sobre la dirección por el Ministerio Fiscal de las actuaciones de la Policía Judicial [“BOE”, Doctrina de la Fiscalía General del Estado (referencia FIS-I-2008-00001)], en la que distingue entre el modelo de “policía judicial genérica o de primer grado” con origen en el art. 283 LECrim, de carácter colaborador o de auxilio a los juzgados, tribunales y al Ministerio Fiscal (en la que se encontraría el Servicio de Vigilancia Aduanera), y el modelo de “policía judicial específica o en sentido estricto” a la que se refieren los arts. 548 y ss. LOPJ, y 29 y ss. de la Ley Orgánica de fuerzas y cuerpos de seguridad:</w:t>
      </w:r>
    </w:p>
    <w:p w14:paraId="3FB589AB" w14:textId="77777777" w:rsidR="00B35D37" w:rsidRDefault="00B35D37" w:rsidP="00B35D37">
      <w:pPr>
        <w:pStyle w:val="TextoNormal"/>
      </w:pPr>
    </w:p>
    <w:p w14:paraId="2DC679EA" w14:textId="77777777" w:rsidR="00B35D37" w:rsidRDefault="00B35D37" w:rsidP="00B35D37">
      <w:pPr>
        <w:pStyle w:val="TextoNormal"/>
      </w:pPr>
      <w:r>
        <w:t>“No ofrece dudas cuáles son las actuaciones que puede realizar la policía judicial especializada, pues el art. 29.1 LOFCS establece que las funciones de policía judicial que se mencionan en el art. 126 de la Constitución —averiguación del delito y descubrimiento y aseguramiento del delincuente— serán ejercidas por las fuerzas y cuerpos de seguridad del Estado, a través de las unidades que se regulan en el presente capítulo. Dichas actuaciones deben realizarse en todo caso con absoluto respeto a los derechos fundamentales reconocidos en la Constitución y a las demás formalidades legalmente establecidas. Sin embargo, se suelen plantear dudas acerca de la extensión de las actuaciones de investigación que puede realizar la denominada policía judicial genérica, produciéndose situaciones de incertidumbre en los agentes policiales y de desconcierto en la percepción social, insostenibles en el ámbito de la investigación criminal, provocadas por resoluciones judiciales que otorgan distinta valoración jurídica a las actuaciones realizadas por cuerpos encuadrados en este modelo de policía judicial.</w:t>
      </w:r>
    </w:p>
    <w:p w14:paraId="543B2EF1" w14:textId="77777777" w:rsidR="00B35D37" w:rsidRDefault="00B35D37" w:rsidP="00B35D37">
      <w:pPr>
        <w:pStyle w:val="TextoNormal"/>
      </w:pPr>
    </w:p>
    <w:p w14:paraId="695C7019" w14:textId="77777777" w:rsidR="00B35D37" w:rsidRDefault="00B35D37" w:rsidP="00B35D37">
      <w:pPr>
        <w:pStyle w:val="TextoNormal"/>
      </w:pPr>
      <w:r>
        <w:t>[…]</w:t>
      </w:r>
    </w:p>
    <w:p w14:paraId="7297AE89" w14:textId="77777777" w:rsidR="00B35D37" w:rsidRDefault="00B35D37" w:rsidP="00B35D37">
      <w:pPr>
        <w:pStyle w:val="TextoNormal"/>
      </w:pPr>
    </w:p>
    <w:p w14:paraId="531A47D6" w14:textId="77777777" w:rsidR="00B35D37" w:rsidRDefault="00B35D37" w:rsidP="00B35D37">
      <w:pPr>
        <w:pStyle w:val="TextoNormal"/>
      </w:pPr>
      <w:r>
        <w:t>Esta concepción genérica de la policía judicial afecta a todos aquellos agentes administrativos con funciones policiales constituidos en colaboradores sin facultades investigadoras de las unidades orgánicas de policía judicial, en virtud de lo dispuesto en los arts. 29.2, 38.2 b), 46 y 53.1 e) LOCFS. Su actuación está limitada a la realización de las diligencias indispensables o urgentes —comprobación de la comisión del hecho, constatación de las circunstancias inmediatas e identificación de los presuntos responsables, intervención de efectos o instrumentos, salvo que para ello se requiera la aplicación de técnicas o conocimientos científicos, en cuyo caso su actuación deberá reducirse a la protección del lugar—, de forma similar a la que se especifica en los arts. 770 y 771 LECrim, debiendo remitir sus actuaciones inmediatamente a la unidad de policía judicial específica que territorialmente corresponda.</w:t>
      </w:r>
    </w:p>
    <w:p w14:paraId="42CB162A" w14:textId="77777777" w:rsidR="00B35D37" w:rsidRDefault="00B35D37" w:rsidP="00B35D37">
      <w:pPr>
        <w:pStyle w:val="TextoNormal"/>
      </w:pPr>
    </w:p>
    <w:p w14:paraId="1A9656DE" w14:textId="77777777" w:rsidR="00B35D37" w:rsidRDefault="00B35D37" w:rsidP="00B35D37">
      <w:pPr>
        <w:pStyle w:val="TextoNormal"/>
      </w:pPr>
      <w:r>
        <w:t xml:space="preserve">No obstante, hay que resaltar </w:t>
      </w:r>
      <w:r w:rsidRPr="00B35D37">
        <w:rPr>
          <w:i/>
        </w:rPr>
        <w:t>el régimen especial que como policía judicial genérica tiene en la actualidad la Dirección Adjunta de Vigilancia Aduanera</w:t>
      </w:r>
      <w:r>
        <w:t xml:space="preserve">, toda vez que la citada </w:t>
      </w:r>
      <w:r w:rsidRPr="00B35D37">
        <w:rPr>
          <w:i/>
        </w:rPr>
        <w:t>ut supra</w:t>
      </w:r>
      <w:r>
        <w:t xml:space="preserve"> disposición adicional primera de la Ley Orgánica 12/1995, de 12 de diciembre, sobre represión del contrabando, le otorga </w:t>
      </w:r>
      <w:r w:rsidRPr="00B35D37">
        <w:rPr>
          <w:i/>
        </w:rPr>
        <w:t>facultades de investigación, persecución y represión</w:t>
      </w:r>
      <w:r>
        <w:t xml:space="preserve"> en todo el territorio nacional, aguas jurisdiccionales y espacio aéreo español </w:t>
      </w:r>
      <w:r w:rsidRPr="00B35D37">
        <w:rPr>
          <w:i/>
        </w:rPr>
        <w:t>de los actos e infracciones de contrabando, en coordinación con las fuerzas y cuerpos de seguridad del Estado</w:t>
      </w:r>
      <w:r>
        <w:t>, teniendo a todos los efectos legales, carácter de colaborador de los mismos” (apartado III).</w:t>
      </w:r>
    </w:p>
    <w:p w14:paraId="5552D8D7" w14:textId="77777777" w:rsidR="00B35D37" w:rsidRDefault="00B35D37" w:rsidP="00B35D37">
      <w:pPr>
        <w:pStyle w:val="TextoNormal"/>
      </w:pPr>
    </w:p>
    <w:p w14:paraId="7A4C3E13" w14:textId="77777777" w:rsidR="00B35D37" w:rsidRDefault="00B35D37" w:rsidP="00B35D37">
      <w:pPr>
        <w:pStyle w:val="TextoNormal"/>
      </w:pPr>
      <w:r>
        <w:t>5.6</w:t>
      </w:r>
      <w:r w:rsidRPr="00B35D37">
        <w:rPr>
          <w:i/>
        </w:rPr>
        <w:t>. La reacción del legislador “ordinari</w:t>
      </w:r>
      <w:r>
        <w:t>o”</w:t>
      </w:r>
    </w:p>
    <w:p w14:paraId="5B078800" w14:textId="77777777" w:rsidR="00B35D37" w:rsidRDefault="00B35D37" w:rsidP="00B35D37">
      <w:pPr>
        <w:pStyle w:val="TextoNormal"/>
      </w:pPr>
    </w:p>
    <w:p w14:paraId="385CFEE4" w14:textId="77777777" w:rsidR="00B35D37" w:rsidRDefault="00B35D37" w:rsidP="00B35D37">
      <w:pPr>
        <w:pStyle w:val="TextoNormal"/>
      </w:pPr>
      <w:r>
        <w:t xml:space="preserve">A la vista de la interpretación del Tribunal Supremo, la Ley 25/2007, de 18 de octubre, de conservación de datos relativos a las comunicaciones electrónicas y a las redes públicas de comunicaciones, aprovechando la delimitación que hace en su art. 6 de las “Normas generales sobre cesión de datos”, incluyó entre los “agentes facultados” para la cesión de la información a “[l]os funcionarios de la Dirección Adjunta de Vigilancia Aduanera, </w:t>
      </w:r>
      <w:r w:rsidRPr="00B35D37">
        <w:rPr>
          <w:i/>
        </w:rPr>
        <w:t>en el desarrollo de sus competencias como policía judicial</w:t>
      </w:r>
      <w:r>
        <w:t>, de acuerdo con el apartado 1 del artículo 283 de la Ley de enjuiciamiento criminal” [art. 6.2 b)]. Es decir, en el desarrollo de unas competencias que no tiene expresamente atribuidas, ni por el art. 283 LECrim, ni por ninguna otra disposición legal.</w:t>
      </w:r>
    </w:p>
    <w:p w14:paraId="610EA2C7" w14:textId="77777777" w:rsidR="00B35D37" w:rsidRDefault="00B35D37" w:rsidP="00B35D37">
      <w:pPr>
        <w:pStyle w:val="TextoNormal"/>
      </w:pPr>
    </w:p>
    <w:p w14:paraId="4E366315" w14:textId="77777777" w:rsidR="00B35D37" w:rsidRDefault="00B35D37" w:rsidP="00B35D37">
      <w:pPr>
        <w:pStyle w:val="TextoNormal"/>
      </w:pPr>
      <w:r>
        <w:t xml:space="preserve">Algo después, la Ley 31/2010, de 27 de julio, sobre simplificación del intercambio de información e inteligencia entre los servicios de seguridad de los Estados miembros de la Unión Europea, cuyo objeto es el de establecer las normas en virtud de las cuales un servicio de seguridad español competente podrá intercambiar con los servicios de seguridad competentes de los Estados miembros de la Unión Europea la información e inteligencia disponibles para llevar a cabo operaciones de inteligencia criminal e investigaciones criminales por los servicios de seguridad o las autoridades judiciales [art. 1.1 a) y b)], incluyó como uno de los “servicios de seguridad competentes” a “las fuerzas y cuerpos de seguridad del Estado, los cuerpos de policía de las comunidades autónomas y el </w:t>
      </w:r>
      <w:r w:rsidRPr="00B35D37">
        <w:rPr>
          <w:i/>
        </w:rPr>
        <w:t>Servicio de Vigilancia Aduanera</w:t>
      </w:r>
      <w:r>
        <w:t>” (disposición adicional primera). Lo cierto es, sin embargo, que, como hemos comprobado, la DAVA no tiene la condición de fuerza o cuerpo de seguridad del Estado, ni la naturaleza de policía judicial.</w:t>
      </w:r>
    </w:p>
    <w:p w14:paraId="3F536B95" w14:textId="77777777" w:rsidR="00B35D37" w:rsidRDefault="00B35D37" w:rsidP="00B35D37">
      <w:pPr>
        <w:pStyle w:val="TextoNormal"/>
      </w:pPr>
    </w:p>
    <w:p w14:paraId="4E1F3B9D" w14:textId="77777777" w:rsidR="00B35D37" w:rsidRDefault="00B35D37" w:rsidP="00B35D37">
      <w:pPr>
        <w:pStyle w:val="TextoNormal"/>
      </w:pPr>
      <w:r>
        <w:t>Por tanto, la Ley 25/2007 no le reconoce competencia de investigación penal alguna (no podría hacerlo, al tratarse de una ley ordinaria en una materia reservada a la ley orgánica) ni tampoco le atribuye la condición de policía judicial (tampoco podría hacerlo, al no tratarse de una norma procesal penal) [arts. 121.1, 126 y 149.1.1, 6 y 26, todos ellos CE, y SSTC 25/1984, de 23 de febrero, FJ 3; 140/1986, de 11 de noviembre, FJ 5; 50/1993, de 11 de febrero, FJ 2; 120/1998, de 15 de junio, FJ 4 b), y 44/2024, de 12 de marzo, FJ 3 a)]. Simplemente, se limita a calificarla como un “agente facultado” en el desarrollo de sus competencias como policía judicial que, de tenerlas, lo serían en sentido genérico, limitadas a los delitos de contrabando, ejercidas en coordinación con otros cuerpos policiales y bajo la dependencia de los jueces de instrucción y del Ministerio Fiscal, en los términos señalados por el Tribunal Supremo. E igual de importante es precisar que la Ley 31/2010 no hacía referencia ninguna a la DAVA (Servicio de Vigilancia Aduanera), como policía judicial de ninguna clase, sino que tan solo la calificaba como un “servicio de seguridad” de cara al intercambio de información.</w:t>
      </w:r>
    </w:p>
    <w:p w14:paraId="46CDE0A7" w14:textId="77777777" w:rsidR="00B35D37" w:rsidRDefault="00B35D37" w:rsidP="00B35D37">
      <w:pPr>
        <w:pStyle w:val="TextoNormal"/>
      </w:pPr>
    </w:p>
    <w:p w14:paraId="5495C874" w14:textId="77777777" w:rsidR="00B35D37" w:rsidRDefault="00B35D37" w:rsidP="00B35D37">
      <w:pPr>
        <w:pStyle w:val="TextoNormal"/>
      </w:pPr>
      <w:r>
        <w:t>Las dos anteriores precisiones son importantes porque la sentencia del Tribunal Supremo objeto del presente recurso de amparo, de cuya inadmisión se discrepa, justifica la inclusión de la DAVA entre la policía judicial prevista en el art. 283 LECrim (fundamento de Derecho 4.2), no solo en el Acuerdo no jurisdiccional de 14 de noviembre de 2003 anteriormente citado, sino también en los “reconocimientos” efectuados en las Leyes 25/2007 y 31/2010, cuando ni una ni otra atribuyen a la DAVA la capacidad de investigar delitos de ninguna clase y menos los de cohecho y prevaricación, por mucho que el origen de la investigación criminal que ha dado lugar al proceso constitucional lo fuese respecto de delitos contra la hacienda pública.</w:t>
      </w:r>
    </w:p>
    <w:p w14:paraId="2B0EE4E1" w14:textId="77777777" w:rsidR="00B35D37" w:rsidRDefault="00B35D37" w:rsidP="00B35D37">
      <w:pPr>
        <w:pStyle w:val="TextoNormal"/>
      </w:pPr>
    </w:p>
    <w:p w14:paraId="40DD0D09" w14:textId="77777777" w:rsidR="00B35D37" w:rsidRDefault="00B35D37" w:rsidP="00B35D37">
      <w:pPr>
        <w:pStyle w:val="TextoNormal"/>
      </w:pPr>
      <w:r>
        <w:t>En fin, tan es así que el anteproyecto de Ley de enjuiciamiento criminal de 2020 pretendía dar la necesaria cobertura jurídica a la incorporación al proceso, como actos realizados en funciones de policía judicial, con carácter general, “de las actuaciones inspectoras previamente realizadas por cuerpos y servicios administrativos”, siempre que “una norma con rango de ley lo disponga así en cada caso concreto” y, a título específico, de las actuaciones del “Servicio de Vigilancia Aduanera” exclusivamente “en el ámbito de su respectiva competencia” (que no es otra que la represión del contrabando).</w:t>
      </w:r>
    </w:p>
    <w:p w14:paraId="5CF9AB18" w14:textId="77777777" w:rsidR="00B35D37" w:rsidRDefault="00B35D37" w:rsidP="00B35D37">
      <w:pPr>
        <w:pStyle w:val="TextoNormal"/>
      </w:pPr>
    </w:p>
    <w:p w14:paraId="4B3C5660" w14:textId="77777777" w:rsidR="00B35D37" w:rsidRDefault="00B35D37" w:rsidP="00B35D37">
      <w:pPr>
        <w:pStyle w:val="TextoNormal"/>
      </w:pPr>
      <w:r>
        <w:t>5.7</w:t>
      </w:r>
      <w:r w:rsidRPr="00B35D37">
        <w:rPr>
          <w:i/>
        </w:rPr>
        <w:t>. El control que debió efectuar este tribun</w:t>
      </w:r>
      <w:r>
        <w:t>al</w:t>
      </w:r>
    </w:p>
    <w:p w14:paraId="49C96E03" w14:textId="77777777" w:rsidR="00B35D37" w:rsidRDefault="00B35D37" w:rsidP="00B35D37">
      <w:pPr>
        <w:pStyle w:val="TextoNormal"/>
      </w:pPr>
    </w:p>
    <w:p w14:paraId="2D150B1E" w14:textId="77777777" w:rsidR="00B35D37" w:rsidRDefault="00B35D37" w:rsidP="00B35D37">
      <w:pPr>
        <w:pStyle w:val="TextoNormal"/>
      </w:pPr>
      <w:r>
        <w:t>Es indudable que la DAVA, a fecha de hoy, carece “legalmente” de competencias de policía judicial, en sentido específico y en sentido genérico. Se las ha reconocido el Tribunal Supremo en este último sentido y de forma muy limitada. La lucha contra el contrabando y demás tráficos ilícitos corresponde a la Guardia Civil. Los agentes del servicio de aduanas (DAVA) tienen exclusivamente competencias para el “descubrimiento, persecución y represión […] de los actos e infracciones de contrabando” en aduanas, el “control en materia de impuestos especiales” y la “colaboración […] en la investigación y descubrimiento de las infracciones de control de cambios“ (art. 2 del Real Decreto 319/1982, de 12 de febrero). Sus funciones propias se limitan, entonces, a las de “investigación [de las infracciones] de contrabando” (disposición adicional primera de la Ley Orgánica de represión del contrabando) y, como agente colaborador, a las de “investigación, persecución y represión de los delitos de contrabando” (misma disposición adicional primera) y a las de investigación patrimonial (disposición adicional decimonovena LGT).</w:t>
      </w:r>
    </w:p>
    <w:p w14:paraId="26A0C58B" w14:textId="77777777" w:rsidR="00B35D37" w:rsidRDefault="00B35D37" w:rsidP="00B35D37">
      <w:pPr>
        <w:pStyle w:val="TextoNormal"/>
      </w:pPr>
    </w:p>
    <w:p w14:paraId="1ADD7B16" w14:textId="77777777" w:rsidR="00B35D37" w:rsidRDefault="00B35D37" w:rsidP="00B35D37">
      <w:pPr>
        <w:pStyle w:val="TextoNormal"/>
      </w:pPr>
      <w:r>
        <w:t>La DAVA no tiene, en consecuencia, competencia alguna para la investigación de hechos eventualmente constitutivos de delito (ni directamente ni en conexión con otros delitos), ni siquiera en materia de contrabando y defraudaciones derivadas de este, pudiendo solo actuar en dicha materia en colaboración con las fuerzas y cuerpos de seguridad del Estado, principalmente, con la Guardia Civil.</w:t>
      </w:r>
    </w:p>
    <w:p w14:paraId="307463A8" w14:textId="77777777" w:rsidR="00B35D37" w:rsidRDefault="00B35D37" w:rsidP="00B35D37">
      <w:pPr>
        <w:pStyle w:val="TextoNormal"/>
      </w:pPr>
    </w:p>
    <w:p w14:paraId="1EA980A3" w14:textId="77777777" w:rsidR="00B35D37" w:rsidRDefault="00B35D37" w:rsidP="00B35D37">
      <w:pPr>
        <w:pStyle w:val="TextoNormal"/>
      </w:pPr>
      <w:r>
        <w:t>Por consiguiente, dado que no puede investigar delitos, ni siquiera los de contrabando, la pretendida conexión entre delitos a la que hace referencia la sentencia impugnada no puede implicar, en modo alguno, una habilitación legal justificativa de su ilegítima actuación.</w:t>
      </w:r>
    </w:p>
    <w:p w14:paraId="33779B43" w14:textId="77777777" w:rsidR="00B35D37" w:rsidRDefault="00B35D37" w:rsidP="00B35D37">
      <w:pPr>
        <w:pStyle w:val="TextoNormal"/>
      </w:pPr>
    </w:p>
    <w:p w14:paraId="34633413" w14:textId="77777777" w:rsidR="00B35D37" w:rsidRDefault="00B35D37" w:rsidP="00B35D37">
      <w:pPr>
        <w:pStyle w:val="TextoNormal"/>
      </w:pPr>
      <w:r>
        <w:t>6</w:t>
      </w:r>
      <w:r w:rsidRPr="00B35D37">
        <w:rPr>
          <w:i/>
        </w:rPr>
        <w:t>. La segunda cuestión planteada: la invalidez constitucional de la prueba obtenida con vulneración de derechos fundamentales sustantiv</w:t>
      </w:r>
      <w:r>
        <w:t>os</w:t>
      </w:r>
    </w:p>
    <w:p w14:paraId="6B46BA18" w14:textId="77777777" w:rsidR="00B35D37" w:rsidRDefault="00B35D37" w:rsidP="00B35D37">
      <w:pPr>
        <w:pStyle w:val="TextoNormal"/>
      </w:pPr>
    </w:p>
    <w:p w14:paraId="4EEA9E88" w14:textId="77777777" w:rsidR="00B35D37" w:rsidRDefault="00B35D37" w:rsidP="00B35D37">
      <w:pPr>
        <w:pStyle w:val="TextoNormal"/>
      </w:pPr>
      <w:r>
        <w:t>En la medida en que la DAVA carecía de la necesaria habilitación legal para poder investigar hechos con trascendencia penal, es una consecuencia obligada entender que toda la prueba practicada estaba viciada de nulidad radical (no solo la declaración autoinculpatoria). Es importante recordar que, según la sentencia impugnada y como ya se ha apuntado anteriormente, “la totalidad de las fuentes de prueba [...] se obtuvieron por el Servicio de Vigilancia Aduanera” (fundamento de Derecho 4.2).</w:t>
      </w:r>
    </w:p>
    <w:p w14:paraId="76E2FBBB" w14:textId="77777777" w:rsidR="00B35D37" w:rsidRDefault="00B35D37" w:rsidP="00B35D37">
      <w:pPr>
        <w:pStyle w:val="TextoNormal"/>
      </w:pPr>
    </w:p>
    <w:p w14:paraId="07EDADFC" w14:textId="77777777" w:rsidR="00B35D37" w:rsidRDefault="00B35D37" w:rsidP="00B35D37">
      <w:pPr>
        <w:pStyle w:val="TextoNormal"/>
      </w:pPr>
      <w:r>
        <w:t>Pero es que, incluso si admitiésemos —a los meros efectos dialécticos— que sí tenía funciones de policía judicial, en sentido genérico, la mera anulación de la declaración autoinculpatoria prestada “voluntariamente” por el acusado, al haberse practicado sin estar revestida de las necesarias garantías constitucionales, debió provocar la anulación consecuente de las subsiguientes de los coimputados, fruto directo de esa “delación” (por su conexión de antijuridicidad). Esto llevaba a un escenario en el que, aun cuando es a los órganos judiciales ordinarios a los que corresponde la valoración de la prueba existente, lo cierto es que una vez excluidas las declaraciones (del acusado y de los coimputados), la restante existente (los “expedientes administrativos”, las “conversaciones telefónicas” y “los seguimientos”) carecía de la necesaria fuerza suasoria para enervar la presunción de inocencia (no constituían indicios racionales de culpabilidad). No hay que descuidar que una vez excluida judicialmente del acervo probatorio la declaración autoinculpatoria del recurrente como prueba de cargo válida (por haber sido obtenida de forma irregular, con vulneración de sus derechos fundamentales), tanto la sentencia de la Audiencia Provincial como la del Tribunal Supremo recurrieron a meras conjeturas, suposiciones o especulaciones carentes de dato objetivo alguno que las corroborase y, con ello, que les hiciese saltar del umbral de la simple “sospecha” a la categoría del “indicio” capaz de enervar la presunción de inocencia. Y ello, sencillamente, porque no existen en las resoluciones judiciales datos concretos que avalen la culpabilidad pues: (i) los “expedientes administrativos” no hacen más que poner de manifiesto la existencia de unas contrataciones entre el recurrente y los coimputados, pero no acreditan la de pagos ocultos por las mismas; (ii) las “conversaciones telefónicas” solo exteriorizan una relación entre los acusados, pero no justifican tampoco la realidad de pagos ocultos entre ellos; y (iii) los “seguimientos” únicamente acreditan conversaciones entre todos ellos.</w:t>
      </w:r>
    </w:p>
    <w:p w14:paraId="3F5188A1" w14:textId="77777777" w:rsidR="00B35D37" w:rsidRDefault="00B35D37" w:rsidP="00B35D37">
      <w:pPr>
        <w:pStyle w:val="TextoNormal"/>
      </w:pPr>
    </w:p>
    <w:p w14:paraId="17F0E120" w14:textId="77777777" w:rsidR="00B35D37" w:rsidRDefault="00B35D37" w:rsidP="00B35D37">
      <w:pPr>
        <w:pStyle w:val="TextoNormal"/>
      </w:pPr>
      <w:r>
        <w:t>Pese a la anulación de la declaración autoinculpatoria por no haberse efectuado con las garantías constitucionales necesarias, la condena impuesta lo fue por una investigación de hechos penales por un órgano no dotado de la competencia necesaria para ello. La prueba obtenida en esa investigación penal adolecía de un vicio de nulidad radical, afectando a la prueba ya anulada y la de ella derivada (por el conocimiento adquirido con la obtenida con violación de derechos fundamentales sustantivos).</w:t>
      </w:r>
    </w:p>
    <w:p w14:paraId="09E28A5D" w14:textId="77777777" w:rsidR="00B35D37" w:rsidRDefault="00B35D37" w:rsidP="00B35D37">
      <w:pPr>
        <w:pStyle w:val="TextoNormal"/>
      </w:pPr>
    </w:p>
    <w:p w14:paraId="49804DD8" w14:textId="77777777" w:rsidR="00B35D37" w:rsidRDefault="00B35D37" w:rsidP="00B35D37">
      <w:pPr>
        <w:pStyle w:val="TextoNormal"/>
      </w:pPr>
      <w:r>
        <w:t>La prueba de cargo ilícitamente obtenida no implica la lesión de un derecho fundamental autónomo (a la no recepción jurisdiccional de las pruebas de posible origen antijurídico), sino del propio derecho fundamental violado [SSTC 114/1984, de 29 de noviembre, FFJJ 2 y 3; 81/1998, de 2 de abril, FJ 2, y 97/2019, de 16 de julio, FJ 2 a) y b)]. Ello no es óbice para que “la posición preferente de los derechos fundamentales en el ordenamiento y de su afirmada condición de ‘inviolables’ (art. 10.1 de la Constitución) [determine] la imposibilidad de admitir en el proceso una prueba obtenida violentando un derecho fundamental o una libertad fundamental” [SSTC 114/1984, FJ 4; 81/1998, FJ 2, y 97/2019, FJ 2 b)]. Su exclusión del acervo probatorio tiene como fin primero la preservación de los derechos fundamentales del individuo, y como fin último la evitación de los excesos o arbitrariedades que pudieran producirse durante la investigación de los delitos so pretexto de alcanzar la verdad material y, por tanto, de obtener las evidencias suficientes para acreditar la culpabilidad del investigado [SSTC 49/1999, de 5 de abril, FJ 12, y 97/2019, FJ 3 B) b)].</w:t>
      </w:r>
    </w:p>
    <w:p w14:paraId="140962C0" w14:textId="77777777" w:rsidR="00B35D37" w:rsidRDefault="00B35D37" w:rsidP="00B35D37">
      <w:pPr>
        <w:pStyle w:val="TextoNormal"/>
      </w:pPr>
    </w:p>
    <w:p w14:paraId="3E492893" w14:textId="77777777" w:rsidR="00B35D37" w:rsidRDefault="00B35D37" w:rsidP="00B35D37">
      <w:pPr>
        <w:pStyle w:val="TextoNormal"/>
      </w:pPr>
      <w:r>
        <w:t>Aunque no existe, como se ha dicho, un derecho constitucional propio a la inadmisión de la prueba ilícita sí existe una regla jurídica que impone su ineficacia procesal o, lo que es lo mismo, que proclama la invalidez como prueba de cargo de la obtenida de forma antijurídica, como es el art. 11 LOPJ, conforme al cual “[n]o surtirán efecto las pruebas obtenidas, directa o indirectamente, violentando los derechos o libertades fundamentales”. Se trata de una regla de exclusión de las pruebas obtenidas de forma contraria a las exigencias constitucionales con la finalidad de evitar la comisión de infracciones sobre los derechos fundamentales y, por tanto, de reforzar las garantías indispensables para su efectividad, que “no se refiere a cualquier violación de derechos fundamentales sino, como corresponde al estricto ámbito procesal en el que despliega su eficacia, a la proscripción de utilizar instrumentalmente medios de investigación que lesionen estas titularidades primordiales” (STC 97/2019, FJ 5).</w:t>
      </w:r>
    </w:p>
    <w:p w14:paraId="668D7C47" w14:textId="77777777" w:rsidR="00B35D37" w:rsidRDefault="00B35D37" w:rsidP="00B35D37">
      <w:pPr>
        <w:pStyle w:val="TextoNormal"/>
      </w:pPr>
    </w:p>
    <w:p w14:paraId="15DA737B" w14:textId="77777777" w:rsidR="00B35D37" w:rsidRDefault="00B35D37" w:rsidP="00B35D37">
      <w:pPr>
        <w:pStyle w:val="TextoNormal"/>
      </w:pPr>
      <w:r>
        <w:t>La interdicción de la prueba ilícitamente obtenida no solo supone “la imposibilidad de admitir en el proceso una prueba obtenida violentando un derecho o libertad fundamental” (STC 126/2011, de 18 de julio, FJ 9), sino también la que deriva directamente del conocimiento adquirido de forma ilícita (conexión causal o de antijuridicidad; SSTC 86/1995, de 6 de junio, FJ 3; 49/1996, de 26 de marzo, FJ 3; 81/1998, de 2 de abril, FJ 4; 166/1999, de 27 de septiembre, FJ 4; 136/2000, de 29 de mayo, FJ 6; 87/2001, de 2 de abril, FJ 4, y 28/2002, de 11 de febrero, FJ 4). La recepción procesal de las pruebas obtenidas con violación de derechos fundamentales (prueba originaria) o que son consecuencia del conocimiento adquirido con la violación del derecho fundamental sustantivo (prueba derivada o refleja) “debe considerarse prohibida por la Constitución” porque supondría, en primer lugar, la ignorancia “de las garantías propias al proceso” (art. 24.2 CE); implicaría, en segundo término, “una inaceptable confirmación institucional de la desigualdad entre las partes en el juicio” (art. 14 CE), que se habría procurado antijurídicamente en su provecho “quien ha recabado instrumentos probatorios en desprecio a los derechos fundamentales de otro” obteniendo con ello una ventaja probatoria; y atentaría, en último lugar, a “la idea de un proceso justo” [entre muchas, SSTC 114/1984, FJ 5; 49/1999, FJ 12; 126/2011, FJ 9, y 97/2019, FFJJ 2 y 3 B)].</w:t>
      </w:r>
    </w:p>
    <w:p w14:paraId="51DF2FCC" w14:textId="77777777" w:rsidR="00B35D37" w:rsidRDefault="00B35D37" w:rsidP="00B35D37">
      <w:pPr>
        <w:pStyle w:val="TextoNormal"/>
      </w:pPr>
    </w:p>
    <w:p w14:paraId="045542AE" w14:textId="77777777" w:rsidR="00B35D37" w:rsidRDefault="00B35D37" w:rsidP="00B35D37">
      <w:pPr>
        <w:pStyle w:val="TextoNormal"/>
      </w:pPr>
      <w:r>
        <w:t>En consecuencia, la valoración de las pruebas directamente obtenidas con vulneración de derechos fundamentales sustantivos o la de las pruebas derivadas o reflejas que sean consecuencia directa e inmediata de dicha vulneración debe efectuarse, entonces, desde una doble perspectiva: tanto la del derecho a un proceso con todas las garantías (art. 24.2 CE), como la del derecho a la presunción de inocencia (art. 24.2 CE) (SSTC 81/1998, de 2 de abril, FJ 3; 49/1999, de 5 de abril, FJ 14; 12/2002, de 28 de enero, FJ 5; 7/2004, de 9 de febrero, FJ 9; 259/2005, de 24 de octubre, FJ 8; 253/2006, de 11 de septiembre, FJ 7; 206/2007, de 24 de septiembre, FJ 9, y 142/2012, de 2 de julio, FJ 4).</w:t>
      </w:r>
    </w:p>
    <w:p w14:paraId="4DBF6EF7" w14:textId="77777777" w:rsidR="00B35D37" w:rsidRDefault="00B35D37" w:rsidP="00B35D37">
      <w:pPr>
        <w:pStyle w:val="TextoNormal"/>
      </w:pPr>
    </w:p>
    <w:p w14:paraId="1FD6F673" w14:textId="77777777" w:rsidR="00B35D37" w:rsidRDefault="00B35D37" w:rsidP="00B35D37">
      <w:pPr>
        <w:pStyle w:val="TextoNormal"/>
      </w:pPr>
      <w:r>
        <w:t>Por otra parte, es importante distinguir las pruebas que adolecen de vicios constitucionales (por lesión de derechos fundamentales de naturaleza sustantiva) de aquellas otras cuyos vicios tienen una base estrictamente infraconstitucional (por infracción de las garantías previstas en la ley). Las primeras son “ilícitas”, radicalmente nulas, constituyendo unas pruebas inadmisibles en el proceso (prohibición de admisión) y, por tanto, de valoración prohibida (prohibición de valoración), de modo que su eventual inclusión en el acervo probatorio vulneraría las garantías de un proceso justo (art. 24.2 CE) [SSTC 94/1999, de 31 de mayo, FJ 8; 184/2003, de 23 de octubre, FJ 13; 165/2005, de 20 de junio, FJ 9; 259/2005, de 24 de octubre, FJ 7; 26/2006, de 30 de enero, FJ 11, y 97/2019, de 16 de julio, FJ 3 A)]. Por el contrario, las segundas son “irregulares”, de manera que los problemas de incorporación al acervo probatorio (proposición, admisión y práctica) “se reconducen a la regla de la interdicción de indefensión” (art. 24.1 CE) [SSTC 64/1986, de 21 de mayo, FJ 2; 121/1998, de 15 de junio, FJ 6, y 97/2019, de 16 de julio, FJ 3 A)].</w:t>
      </w:r>
    </w:p>
    <w:p w14:paraId="28DA6E7A" w14:textId="77777777" w:rsidR="00B35D37" w:rsidRDefault="00B35D37" w:rsidP="00B35D37">
      <w:pPr>
        <w:pStyle w:val="TextoNormal"/>
      </w:pPr>
    </w:p>
    <w:p w14:paraId="0F610983" w14:textId="77777777" w:rsidR="00B35D37" w:rsidRDefault="00B35D37" w:rsidP="00B35D37">
      <w:pPr>
        <w:pStyle w:val="TextoNormal"/>
      </w:pPr>
      <w:r>
        <w:t>En el asunto analizado no estaríamos ante un supuesto de prueba irregular sino de prueba prohibida, al haberse obtenido por quien carecía de la necesaria competencia para ello y, por tanto, violando los derechos fundamentales sustantivos del recurrente en amparo, concretamente: el secreto de las comunicaciones (art. 18.3 CE), la inviolabilidad del domicilio (art. 18.2 CE), la libertad personal (art. 17.1 CE), el derecho de asistencia letrada (art. 17.3 CE) y el derecho de defensa (arts. 24.1 y 2 CE). En efecto:</w:t>
      </w:r>
    </w:p>
    <w:p w14:paraId="32665726" w14:textId="77777777" w:rsidR="00B35D37" w:rsidRDefault="00B35D37" w:rsidP="00B35D37">
      <w:pPr>
        <w:pStyle w:val="TextoNormal"/>
      </w:pPr>
    </w:p>
    <w:p w14:paraId="6466FDDF" w14:textId="77777777" w:rsidR="00B35D37" w:rsidRDefault="00B35D37" w:rsidP="00B35D37">
      <w:pPr>
        <w:pStyle w:val="TextoNormal"/>
      </w:pPr>
      <w:r>
        <w:t>(i) La intervención de las comunicaciones y las entradas y registros domiciliarios, si bien se hicieron bajo el control judicial, se llevaron a cabo por quien carecía de la competencia para ello, la DAVA en funciones de “policía judicial” en “sentido estricto”, por quien no tenía la condición de “fuerza o cuerpo de seguridad del Estado” ni actuaba en “coordinación” con estas.</w:t>
      </w:r>
    </w:p>
    <w:p w14:paraId="7CA8141C" w14:textId="77777777" w:rsidR="00B35D37" w:rsidRDefault="00B35D37" w:rsidP="00B35D37">
      <w:pPr>
        <w:pStyle w:val="TextoNormal"/>
      </w:pPr>
    </w:p>
    <w:p w14:paraId="6FD12B40" w14:textId="77777777" w:rsidR="00B35D37" w:rsidRDefault="00B35D37" w:rsidP="00B35D37">
      <w:pPr>
        <w:pStyle w:val="TextoNormal"/>
      </w:pPr>
      <w:r>
        <w:t>(ii) La “confesión” del recurrente (en un receso entre los tres registros domiciliarios llevados a cabo de forma seguida y sin descanso) se hizo estando en una situación de “detención administrativa” (por los funcionarios de la administración tributaria), sin haber sido apercibido de sus derechos y sin asistencia letrada (arts. 17.3 CE y 520.2 LECrim), cuando este último derecho “tiene por finalidad asegurar la efectiva realización de los principios procesales de igualdad de armas y de contradicción, que imponen a los órganos judiciales el deber positivo de evitar desequilibrios entre la respectiva posición de las partes en el proceso, lo mismo que atajar las limitaciones en la defensa que puedan provocar a alguna de ellas un resultado de indefensión constitucionalmente prohibido por el art. 24.1 CE, al estar relacionado estrechamente aquel derecho con este” [SSTC 29/2023, de 17 de abril, FJ 3 b), y 66/2024, de 23 de abril, FJ 2].</w:t>
      </w:r>
    </w:p>
    <w:p w14:paraId="190A59A6" w14:textId="77777777" w:rsidR="00B35D37" w:rsidRDefault="00B35D37" w:rsidP="00B35D37">
      <w:pPr>
        <w:pStyle w:val="TextoNormal"/>
      </w:pPr>
    </w:p>
    <w:p w14:paraId="7350D336" w14:textId="77777777" w:rsidR="00B35D37" w:rsidRDefault="00B35D37" w:rsidP="00B35D37">
      <w:pPr>
        <w:pStyle w:val="TextoNormal"/>
      </w:pPr>
      <w:r>
        <w:t>(iii) Tras la anulación de la anterior “confesión”, la única prueba utilizada para condenarle y, por tanto, para enervar la presunción de inocencia, fue la declaración de los coimputados, que alcanzaron una sentencia de conformidad obteniendo una reducción de condena en términos compatibles con la aplicación del art. 80.2 CP (suspensión de la ejecución de la pena privativa de libertad), pues mientras el recurrente fue finalmente condenado a las penas de cuatro años y seis meses de prisión y accesorias (cohecho), y de ocho años y seis meses de inhabilitación especial para empleo o cargo público (prevaricación), los coimputados lo fueron a las de un año y tres meses de prisión (cohecho), y de tres años de inhabilitación especial para empleo o cargo público (prevaricación).</w:t>
      </w:r>
    </w:p>
    <w:p w14:paraId="3351B482" w14:textId="77777777" w:rsidR="00B35D37" w:rsidRDefault="00B35D37" w:rsidP="00B35D37">
      <w:pPr>
        <w:pStyle w:val="TextoNormal"/>
      </w:pPr>
    </w:p>
    <w:p w14:paraId="4D40B99F" w14:textId="77777777" w:rsidR="00B35D37" w:rsidRDefault="00B35D37" w:rsidP="00B35D37">
      <w:pPr>
        <w:pStyle w:val="TextoNormal"/>
      </w:pPr>
      <w:r>
        <w:t>(iv) Existe una nutrida y reiterada doctrina de este tribunal acerca de la aptitud de la declaración del coimputado (copartícipe en los hechos) como prueba válida para enervar la presunción de inocencia conforme a la cual, aunque no se trata de una prueba prohibida por la ley procesal, pudiendo ser objeto de valoración (STC 137/1988, de 7 de julio, FJ 4), constituye una prueba insuficiente (carece de consistencia plena) como prueba de cargo cuando es única, si no resulta mínimamente corroborada (SSTC 207/2002, de 11 de noviembre, FJ 2, y 233/2002, de 9 de diciembre, FJ 3).</w:t>
      </w:r>
    </w:p>
    <w:p w14:paraId="6185145D" w14:textId="77777777" w:rsidR="00B35D37" w:rsidRDefault="00B35D37" w:rsidP="00B35D37">
      <w:pPr>
        <w:pStyle w:val="TextoNormal"/>
      </w:pPr>
    </w:p>
    <w:p w14:paraId="61A50E59" w14:textId="77777777" w:rsidR="00B35D37" w:rsidRDefault="00B35D37" w:rsidP="00B35D37">
      <w:pPr>
        <w:pStyle w:val="TextoNormal"/>
      </w:pPr>
      <w:r>
        <w:t>(v) Los elementos de corroboración han de ser expuestos en las resoluciones judiciales como fundamentos probatorios de la condena (SSTC 230/2007, de 5 de noviembre, FJ 3, y 91/2008, de 21 de julio, FJ 3). Además, la circunstancia de que la condena se funde exclusivamente en las declaraciones de más de un coimputado no permite considerar desvirtuada la presunción de inocencia del condenado si no existe en tales casos también una mínima corroboración del contenido de esas declaraciones de la pluralidad de coimputados mediante algún dato, hecho o circunstancia externos a las mismas, pues la declaración de un coimputado no constituye corroboración mínima de la declaración de otro coimputado (SSTC 72/2001, de 26 de marzo, FJ 5; 181/2002, de 14 de octubre, FJ 3; 233/2002, de 9 de diciembre, FJ 3; 25/2003, de 10 de febrero, FJ 5; 65/2003, de 7 de abril, FJ 5; 190/2003, de 27 de octubre, FJ 5; 152/2004, de 20 de septiembre, FJ 3; 55/2005, de 14 de marzo, FJ 1; 170/2006, de 5 de junio, FJ 3; 102/2008, de 28 de julio, FJ 3, y 56/2009, de 9 de marzo, FJ 2), sobre todo cuando el declarante obtiene un trato penológico favorable por su activa colaboración contra otro imputado (STC 148/2008, de 17 de noviembre, FJ 3).</w:t>
      </w:r>
    </w:p>
    <w:p w14:paraId="5011E73B" w14:textId="77777777" w:rsidR="00B35D37" w:rsidRDefault="00B35D37" w:rsidP="00B35D37">
      <w:pPr>
        <w:pStyle w:val="TextoNormal"/>
      </w:pPr>
    </w:p>
    <w:p w14:paraId="3088F63C" w14:textId="77777777" w:rsidR="00B35D37" w:rsidRDefault="00B35D37" w:rsidP="00B35D37">
      <w:pPr>
        <w:pStyle w:val="TextoNormal"/>
      </w:pPr>
      <w:r>
        <w:t>(vi) Para que las declaraciones incriminatorias de los coimputados se erijan en una prueba legítima desde la perspectiva constitucional, suficiente para enervar la presunción de inocencia, hace falta que su contenido quede mínimamente corroborado a través de hechos, datos o circunstancias externas que avalen de manera genérica su veracidad, sin que la simple declaración de otro coimputado constituya esa necesaria corroboración mínima. En el asunto analizado no existía dato externo alguno que corroborase mínimamente el testimonio acusatorio de los restantes coimputados, que no solo era sospechoso, sino que resultaba directamente interesado por la pactada reducción de condena y consiguiente suspensión de su ejecución.</w:t>
      </w:r>
    </w:p>
    <w:p w14:paraId="71BB502E" w14:textId="77777777" w:rsidR="00B35D37" w:rsidRDefault="00B35D37" w:rsidP="00B35D37">
      <w:pPr>
        <w:pStyle w:val="TextoNormal"/>
      </w:pPr>
    </w:p>
    <w:p w14:paraId="6D629BD5" w14:textId="77777777" w:rsidR="00B35D37" w:rsidRDefault="00B35D37" w:rsidP="00B35D37">
      <w:pPr>
        <w:pStyle w:val="TextoNormal"/>
      </w:pPr>
      <w:r>
        <w:t>(vii) Pese a que la sentencia impugnada recoge detalladamente la doctrina constitucional relativa a las cautelas que deben tomarse ante ese tipo de declaraciones, sin embargo atribuye a los coimputados “poco interés espurio […] de que se les haya reconocido la atenuante de confesión” al ir acompañada su versión “de otros elementos objetivos que les otorgan credibilidad, como los expedientes administrativos demostrativos de las adjudicaciones que refieren los coacusados; unas conversaciones telefónicas que reflejan la frecuente relación entre los empresarios adjudicatarios y el acusado titular del órgano de contratación; los seguimientos y controles realizados a los acusados o, incluso, que determinados empleados de las empresas Proyfe, S.L., o Tragsatec, prestaran en realidad sus servicios para el órgano administrativo” (fundamento de Derecho 6.3).</w:t>
      </w:r>
    </w:p>
    <w:p w14:paraId="77A769AA" w14:textId="77777777" w:rsidR="00B35D37" w:rsidRDefault="00B35D37" w:rsidP="00B35D37">
      <w:pPr>
        <w:pStyle w:val="TextoNormal"/>
      </w:pPr>
    </w:p>
    <w:p w14:paraId="0AE81778" w14:textId="77777777" w:rsidR="00B35D37" w:rsidRDefault="00B35D37" w:rsidP="00B35D37">
      <w:pPr>
        <w:pStyle w:val="TextoNormal"/>
      </w:pPr>
      <w:r>
        <w:t>(viii) No es fácil asumir que tales elementos “objetivos” tengan una existencia propia e independiente de la declaración autoinculpatoria del recurrente, al carecer de la necesaria fuerza suasoria para enervar la naturaleza sospechosa de las interesadas declaraciones de los coimputados. Si los “elementos de corroboración” justificativos de la condena impuesta han de incorporarse a la resolución judicial como fundamento probatorio, difícilmente pueden aceptarse como tales las simples referencias a unos “expedientes administrativos”, a la “frecuente relación” entre los coacusados o la actuación de “determinados empleados”. A poca “contradicción” puede ser sometido aquello que no es sino el fruto de un árbol envenenado.</w:t>
      </w:r>
    </w:p>
    <w:p w14:paraId="16B756F4" w14:textId="77777777" w:rsidR="00B35D37" w:rsidRDefault="00B35D37" w:rsidP="00B35D37">
      <w:pPr>
        <w:pStyle w:val="TextoNormal"/>
      </w:pPr>
    </w:p>
    <w:p w14:paraId="489288F2" w14:textId="77777777" w:rsidR="00B35D37" w:rsidRDefault="00B35D37" w:rsidP="00B35D37">
      <w:pPr>
        <w:pStyle w:val="TextoNormal"/>
      </w:pPr>
      <w:r>
        <w:t>(ix) Las declaraciones de los coimputados constituían una prueba derivada, refleja y no independiente de la obtenida con vulneración de derechos fundamentales. Había sido la consecuencia de “la puntillosa relación de empresarios” que el recurrente había efectuado en su declaración autoinculpatoria, concretando los expedientes de contratación, las cantidades de dinero percibidas y el lugar y fechas de las entregas. De este modo, se veían afectadas por la prohibición (de admisión y de valoración) de la prueba alcanzada a través del conocimiento derivado de las obtenidas con violación de derechos fundamentales sustantivos. Entre la “prueba prohibida” y la “prueba derivada” existe el necesario nexo, no simplemente natural (extrínseco), sino causal o jurídico (intrínseco), que provoca una conexión de antijuridicidad, de modo que la invalidez de la prueba ilícitamente obtenida de forma inconstitucional y su ineficacia probatoria arrastra también “a las pruebas logradas a partir de las pruebas prohibidas” (SSTC 85/1994, de 14 de marzo, FFJJ 3 y 4, y 49/1996, de 26 de marzo, FJ 2); esto es, alcanza a los “frutos del árbol envenenado”, de modo que, como textualmente dispone el art. 11.1 LOPJ, “[n]o surtirán efecto las pruebas obtenidas, directa o indirectamente, violentando los derechos o libertades fundamentales”. Y “no puede considerarse prueba de cargo apta para enervar la presunción de inocencia aquella que haya sido obtenida con vulneración de derechos fundamentales sustantivos” (STC 49/2007, de 12 de marzo, FJ 2).</w:t>
      </w:r>
    </w:p>
    <w:p w14:paraId="65ECA3FE" w14:textId="77777777" w:rsidR="00B35D37" w:rsidRDefault="00B35D37" w:rsidP="00B35D37">
      <w:pPr>
        <w:pStyle w:val="TextoNormal"/>
      </w:pPr>
    </w:p>
    <w:p w14:paraId="4FC2CEC3" w14:textId="77777777" w:rsidR="00B35D37" w:rsidRDefault="00B35D37" w:rsidP="00B35D37">
      <w:pPr>
        <w:pStyle w:val="TextoNormal"/>
      </w:pPr>
      <w:r>
        <w:t>(x) Puesto que la DAVA no es una “fuerza o cuerpo de seguridad” del Estado y no tiene la condición de “policía judicial” en “sentido estricto”, todas las “fuentes de prueba” obtenidas durante la investigación llevada a cabo serían radicalmente nulas por haberse conseguido con lesión de derechos fundamentales sustantivos. A esto hay que unirle, en una relación de subsidiariedad, que la condena del recurrente se fundó en las declaraciones de unos coimputados que fueron provocadas por el conocimiento adquirido con la autoinculpatoria del recurrente y que, aunque no lo hubiesen sido, no solo resultaban absolutamente “sospechosas” (por el lógico y notorio interés en obtener la necesaria reducción de condena que justificase su suspensión y evitase la siempre ingrata entrada en prisión), sino que —pese a lo sostenido por los órganos judiciales— carecían de elemento externo de corroboración alguno con la necesaria sustantividad propia como para desligarlo de aquel envenenado conocimiento.</w:t>
      </w:r>
    </w:p>
    <w:p w14:paraId="5CEB83F5" w14:textId="77777777" w:rsidR="00B35D37" w:rsidRDefault="00B35D37" w:rsidP="00B35D37">
      <w:pPr>
        <w:pStyle w:val="TextoNormal"/>
      </w:pPr>
    </w:p>
    <w:p w14:paraId="5C613E2B" w14:textId="77777777" w:rsidR="00B35D37" w:rsidRDefault="00B35D37" w:rsidP="00B35D37">
      <w:pPr>
        <w:pStyle w:val="TextoNormal"/>
      </w:pPr>
      <w:r>
        <w:t>En suma, la razón última de la condena del recurrente ha sido la de evitar que su reproblable conducta, pese a haber sido acreditada violentando sus derechos fundamentales, quedase sin la correspondiente retribución o castigo. Al inadmitir el recurso de amparo este tribunal olvida que, al consagrar nuestra Constitución el principio de culpabilidad como principio estructural básico del Derecho penal, no resulta constitucionalmente legítimo “un Derecho penal ‘de autor’ que determin[e] las penas en atención a la personalidad del reo y no según la culpabilidad de este en la comisión de los hechos”, acreditada mediante pruebas de cargo válidas [SSTC 81/1998, de 2 de abril, FJ 3; 145/2005, de 6 de junio, FJ 5 a); 141/2006, de 8 de mayo, FJ 3, y 57/2010, de 4 de octubre, FJ 9].</w:t>
      </w:r>
    </w:p>
    <w:p w14:paraId="6719E2BB" w14:textId="77777777" w:rsidR="00B35D37" w:rsidRDefault="00B35D37" w:rsidP="00B35D37">
      <w:pPr>
        <w:pStyle w:val="TextoNormal"/>
      </w:pPr>
    </w:p>
    <w:p w14:paraId="39C53605" w14:textId="77777777" w:rsidR="00B35D37" w:rsidRDefault="00B35D37" w:rsidP="00B35D37">
      <w:pPr>
        <w:pStyle w:val="TextoNormal"/>
      </w:pPr>
      <w:r>
        <w:t>7</w:t>
      </w:r>
      <w:r w:rsidRPr="00B35D37">
        <w:rPr>
          <w:i/>
        </w:rPr>
        <w:t>. Conclusi</w:t>
      </w:r>
      <w:r>
        <w:t>ón</w:t>
      </w:r>
    </w:p>
    <w:p w14:paraId="33EF0948" w14:textId="77777777" w:rsidR="00B35D37" w:rsidRDefault="00B35D37" w:rsidP="00B35D37">
      <w:pPr>
        <w:pStyle w:val="TextoNormal"/>
      </w:pPr>
    </w:p>
    <w:p w14:paraId="56DAEC86" w14:textId="77777777" w:rsidR="00B35D37" w:rsidRDefault="00B35D37" w:rsidP="00B35D37">
      <w:pPr>
        <w:pStyle w:val="TextoNormal"/>
      </w:pPr>
      <w:r>
        <w:t>Si la DAVA carecía legalmente de la condición de policía judicial, estando huérfana de la competencia para la investigación de hechos administrativos con trascendencia penal, ni siquiera bajo la dirección de un órgano judicial, su actuación sin la necesaria cobertura jurídica era claramente constitutiva de una vía de hecho y, a todos los efectos, nula de pleno derecho al no poder surtir efecto las pruebas obtenidas, directa o indirectamente, violentando los derechos o libertades fundamentales (art. 11 LOPJ).</w:t>
      </w:r>
    </w:p>
    <w:p w14:paraId="4122AFA0" w14:textId="77777777" w:rsidR="00B35D37" w:rsidRDefault="00B35D37" w:rsidP="00B35D37">
      <w:pPr>
        <w:pStyle w:val="TextoNormal"/>
      </w:pPr>
    </w:p>
    <w:p w14:paraId="2D429AD9" w14:textId="77777777" w:rsidR="00B35D37" w:rsidRDefault="00B35D37" w:rsidP="00B35D37">
      <w:pPr>
        <w:pStyle w:val="TextoNormal"/>
      </w:pPr>
      <w:r>
        <w:t>En la medida en que la función jurisdiccional no se ha ajustado a los principios definitorios del derecho a un proceso con todas las garantías, en la pugna entre la defensa del interés público en el descubrimiento de la “verdad material” en la investigación de los delitos y la protección del interés particular en la validez únicamente de la “verdad procesal” alcanzada con un escrupuloso respecto a las reglas del juego, ha prevalecido la prueba obtenida de forma incompatible con la preservación de los derechos fundamentales del individuo, con el único fin de lograr las suficientes evidencias con las que acreditar la culpabilidad y justificar el castigo.</w:t>
      </w:r>
    </w:p>
    <w:p w14:paraId="523F2065" w14:textId="77777777" w:rsidR="00B35D37" w:rsidRDefault="00B35D37" w:rsidP="00B35D37">
      <w:pPr>
        <w:pStyle w:val="TextoNormal"/>
      </w:pPr>
    </w:p>
    <w:p w14:paraId="65FC4307" w14:textId="77777777" w:rsidR="00B35D37" w:rsidRDefault="00B35D37" w:rsidP="00B35D37">
      <w:pPr>
        <w:pStyle w:val="TextoNormal"/>
      </w:pPr>
      <w:r>
        <w:t>Este tribunal, como supremo intérprete y garante último de la Constitución, tenía que haber admitido a trámite el recurso de amparo formulado por concurrir la necesaria especial trascendencia constitucional en las cuestiones planteadas [art. 50.1 b) LOTC] para examinar en sentencia si procedía otorgar el amparo por haber sido obtenida la prueba con desprecio a los derechos fundamentales del recurrente en amparo.</w:t>
      </w:r>
    </w:p>
    <w:p w14:paraId="522BECB7" w14:textId="77777777" w:rsidR="00B35D37" w:rsidRDefault="00B35D37" w:rsidP="00B35D37">
      <w:pPr>
        <w:pStyle w:val="TextoNormal"/>
      </w:pPr>
    </w:p>
    <w:p w14:paraId="0020B6C1" w14:textId="7A24FCC6" w:rsidR="00B35D37" w:rsidRDefault="00B35D37" w:rsidP="00B35D37">
      <w:pPr>
        <w:pStyle w:val="TextoNormal"/>
      </w:pPr>
      <w:r>
        <w:t>Madrid, a veintisiete de enero de dos mil veinticinco.</w:t>
      </w:r>
    </w:p>
    <w:p w14:paraId="046D4D5A" w14:textId="703D2845" w:rsidR="00B35D37" w:rsidRDefault="00B35D37">
      <w:pPr>
        <w:spacing w:after="160" w:line="278" w:lineRule="auto"/>
        <w:rPr>
          <w:rFonts w:ascii="Times New Roman" w:eastAsia="Times New Roman" w:hAnsi="Times New Roman" w:cs="Times New Roman"/>
          <w:sz w:val="24"/>
          <w:szCs w:val="24"/>
          <w:lang w:eastAsia="es-ES"/>
        </w:rPr>
      </w:pPr>
      <w:r>
        <w:br w:type="page"/>
      </w:r>
    </w:p>
    <w:p w14:paraId="273F66D8" w14:textId="77777777" w:rsidR="00B35D37" w:rsidRDefault="00B35D37" w:rsidP="00B35D37">
      <w:pPr>
        <w:pStyle w:val="TtuloResolucin"/>
      </w:pPr>
      <w:bookmarkStart w:id="148" w:name="AUTO_2025_9"/>
      <w:r>
        <w:t>AUTO 9/2025, de 27 de enero de 2025</w:t>
      </w:r>
    </w:p>
    <w:bookmarkEnd w:id="148"/>
    <w:p w14:paraId="235A641F" w14:textId="77777777" w:rsidR="00B35D37" w:rsidRDefault="00B35D37" w:rsidP="00B35D37">
      <w:pPr>
        <w:pStyle w:val="TtuloResolucin"/>
      </w:pPr>
      <w:r>
        <w:t>Sala Segunda</w:t>
      </w:r>
    </w:p>
    <w:p w14:paraId="1E16F9A7" w14:textId="77777777" w:rsidR="00B35D37" w:rsidRDefault="00B35D37" w:rsidP="00B35D37">
      <w:pPr>
        <w:pStyle w:val="TextoNormalCentrado"/>
      </w:pPr>
      <w:r>
        <w:t>ECLI:ES:TC:2025:9A</w:t>
      </w:r>
    </w:p>
    <w:p w14:paraId="21381375" w14:textId="7F4F3E53" w:rsidR="00B35D37" w:rsidRDefault="00B35D37" w:rsidP="00B35D37">
      <w:pPr>
        <w:pStyle w:val="TextoNormalCentrado"/>
      </w:pPr>
    </w:p>
    <w:p w14:paraId="2A585B22"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16092040" w14:textId="7726E627" w:rsidR="00B35D37" w:rsidRDefault="00B35D37" w:rsidP="00B35D37">
      <w:pPr>
        <w:pStyle w:val="SntesisDescriptiva"/>
      </w:pPr>
    </w:p>
    <w:p w14:paraId="1D814D27" w14:textId="77777777" w:rsidR="00B35D37" w:rsidRDefault="00B35D37" w:rsidP="00B35D37">
      <w:pPr>
        <w:pStyle w:val="SntesisDescriptiva"/>
      </w:pPr>
      <w:r>
        <w:t>Acuerda el archivo, por pérdida de objeto, del incidente de suspensión en el recurso de amparo 2779-2024, promovido por don Juan Ramón Palacios Palacios en litigio social.</w:t>
      </w:r>
    </w:p>
    <w:p w14:paraId="481E3A2F" w14:textId="4AAB023A" w:rsidR="00B35D37" w:rsidRDefault="00B35D37" w:rsidP="00B35D37">
      <w:pPr>
        <w:pStyle w:val="SntesisDescriptiva"/>
      </w:pPr>
    </w:p>
    <w:p w14:paraId="494C2CCA" w14:textId="77777777" w:rsidR="00B35D37" w:rsidRDefault="00B35D37" w:rsidP="00B35D37">
      <w:pPr>
        <w:pStyle w:val="SntesisDescriptiva"/>
      </w:pPr>
    </w:p>
    <w:p w14:paraId="7C53DA82" w14:textId="77777777" w:rsidR="00B35D37" w:rsidRDefault="00B35D37" w:rsidP="00B35D37">
      <w:pPr>
        <w:pStyle w:val="SntesisDescriptiva"/>
      </w:pPr>
    </w:p>
    <w:p w14:paraId="5906CBDC" w14:textId="77777777" w:rsidR="00B35D37" w:rsidRDefault="00B35D37" w:rsidP="00B35D37">
      <w:pPr>
        <w:pStyle w:val="TextoNormalNegritaCentrado"/>
      </w:pPr>
      <w:r>
        <w:t>AUTO</w:t>
      </w:r>
    </w:p>
    <w:p w14:paraId="326770DF" w14:textId="4561EE7B" w:rsidR="00B35D37" w:rsidRDefault="00B35D37" w:rsidP="00B35D37">
      <w:pPr>
        <w:pStyle w:val="TextoNormalNegritaCentrado"/>
      </w:pPr>
    </w:p>
    <w:p w14:paraId="33A62EC5" w14:textId="77777777" w:rsidR="00B35D37" w:rsidRDefault="00B35D37" w:rsidP="00B35D37">
      <w:pPr>
        <w:pStyle w:val="TextoNormalNegritaCentrado"/>
        <w:keepNext/>
      </w:pPr>
      <w:r>
        <w:t>I. Antecedentes</w:t>
      </w:r>
    </w:p>
    <w:p w14:paraId="451663A6" w14:textId="06F9AE73" w:rsidR="00B35D37" w:rsidRDefault="00B35D37" w:rsidP="00B35D37">
      <w:pPr>
        <w:pStyle w:val="TextoNormalNegritaCentrado"/>
        <w:keepNext/>
      </w:pPr>
    </w:p>
    <w:p w14:paraId="4E60B7A0" w14:textId="6B61CF35" w:rsidR="00B35D37" w:rsidRDefault="00B35D37" w:rsidP="00B35D37">
      <w:pPr>
        <w:pStyle w:val="TextoNormal"/>
      </w:pPr>
      <w:r w:rsidRPr="00B35D37">
        <w:rPr>
          <w:rStyle w:val="NumeroAFNegritaCaracter"/>
        </w:rPr>
        <w:t>1</w:t>
      </w:r>
      <w:r>
        <w:t>. El día 19 de abril de 2024, la procuradora de los tribunales doña Blanca Berriatua Horta, en nombre y representación de don Juan Ramón Palacios Palacios, y asistido por la letrada doña Julia Pérez Prat, interpuso recurso de amparo contra las resoluciones judiciales mencionadas en el encabezamiento.</w:t>
      </w:r>
    </w:p>
    <w:p w14:paraId="01A60AB5" w14:textId="77777777" w:rsidR="00B35D37" w:rsidRDefault="00B35D37" w:rsidP="00B35D37">
      <w:pPr>
        <w:pStyle w:val="TextoNormal"/>
      </w:pPr>
    </w:p>
    <w:p w14:paraId="73CBC57C" w14:textId="77777777" w:rsidR="00B35D37" w:rsidRDefault="00B35D37" w:rsidP="00B35D37">
      <w:pPr>
        <w:pStyle w:val="TextoNormal"/>
      </w:pPr>
      <w:r w:rsidRPr="00B35D37">
        <w:rPr>
          <w:rStyle w:val="NumeroAFNegritaCaracter"/>
        </w:rPr>
        <w:t>2</w:t>
      </w:r>
      <w:r>
        <w:t>. Los hechos relevantes para la resolución de este incidente son los siguientes:</w:t>
      </w:r>
    </w:p>
    <w:p w14:paraId="790E5A2C" w14:textId="77777777" w:rsidR="00B35D37" w:rsidRDefault="00B35D37" w:rsidP="00B35D37">
      <w:pPr>
        <w:pStyle w:val="TextoNormal"/>
      </w:pPr>
    </w:p>
    <w:p w14:paraId="733604F5" w14:textId="77777777" w:rsidR="00B35D37" w:rsidRDefault="00B35D37" w:rsidP="00B35D37">
      <w:pPr>
        <w:pStyle w:val="TextoNormal"/>
      </w:pPr>
      <w:r>
        <w:t xml:space="preserve">a) El recurrente, de profesión habitual bombero, trabaja para el Departamento de Interior de la Generalitat de Catalunya en primera actividad, hasta que por resolución del Instituto Nacional de la Seguridad Social (INSS), de 31 de enero de 2018, se declaró en situación de incapacidad permanente total para la profesión de bombero (de esfuerzo físico) derivada de accidente de trabajo. De este modo, por resolución de la Dirección General de Prevención, Extinción de Incendios y Salvamentos de 1 de octubre de 2018 se acordó declarar el pase a segunda actividad, prestando servicios en esta desde el 2 de octubre de 2018, habiendo sido designado para el puesto de trabajo de mantenimiento de infraestructuras estipulándose una jornada laboral de treinta y siete horas y media semanales, salvo los periodos estival, de navidad y de semana santa en los que se establece en veinticinco horas. </w:t>
      </w:r>
    </w:p>
    <w:p w14:paraId="306359BA" w14:textId="77777777" w:rsidR="00B35D37" w:rsidRDefault="00B35D37" w:rsidP="00B35D37">
      <w:pPr>
        <w:pStyle w:val="TextoNormal"/>
      </w:pPr>
    </w:p>
    <w:p w14:paraId="32804884" w14:textId="77777777" w:rsidR="00B35D37" w:rsidRDefault="00B35D37" w:rsidP="00B35D37">
      <w:pPr>
        <w:pStyle w:val="TextoNormal"/>
      </w:pPr>
      <w:r>
        <w:t>b) El 31 de agosto de 2021, el INSS presentó demanda contra don Juan Ramón Palacios Palacios, Mutua Asepeyo y el Departamento de Interior de la Generalitat de Catalunya, para el reintegro de cantidades indebidamente percibidas por prestaciones de la Seguridad Social, que recayó en el Juzgado de lo Social núm. 29 de Barcelona. La entidad demandante pretendía que se declare la incompatibilidad de la pensión reconocida y la segunda actividad, que se suspenda el abono de la pensión mientras el beneficiario conste de alta en la segunda actividad y que se condene al trabajador demandado al reintegro de la prestación indebidamente abonada durante el período en el que compatibilizó la pensión y la segunda actividad.</w:t>
      </w:r>
    </w:p>
    <w:p w14:paraId="5E3D0B6A" w14:textId="77777777" w:rsidR="00B35D37" w:rsidRDefault="00B35D37" w:rsidP="00B35D37">
      <w:pPr>
        <w:pStyle w:val="TextoNormal"/>
      </w:pPr>
    </w:p>
    <w:p w14:paraId="59BBEC3B" w14:textId="77777777" w:rsidR="00B35D37" w:rsidRDefault="00B35D37" w:rsidP="00B35D37">
      <w:pPr>
        <w:pStyle w:val="TextoNormal"/>
      </w:pPr>
      <w:r>
        <w:t>c) Tras la tramitación oportuna, el 13 de mayo de 2022, el Juzgado de lo Social núm. 29 de Barcelona dictó la sentencia 230/2022 (procedimiento de Seguridad Social en materia prestacional núm. 676-2021), estimando la demanda y declarando la incompatibilidad de lo percibido por el trabajador demandado en concepto de incapacidad permanente total derivada de accidente de trabajo con lo percibido en concepto de segunda actividad en su profesión habitual de bombero. Asimismo, acordaba la suspensión del percibo de la prestación de incapacidad permanente total derivada de accidente de trabajo reconocida al trabajador demandado, mientras mantenga la situación de segunda actividad, condenando al recurrente a reintegrar a la entidad gestora demandante la cantidad de 49 637,86 € percibida en concepto de prestación de incapacidad permanente total derivada de accidente de trabajo por el periodo comprendido entre el 2 de octubre de 2018 y el 31 de octubre de 2020, absolviendo al resto de los demandados. A lo que este recurso de amparo interesa, en esta sentencia se declararon los siguientes hechos probados:</w:t>
      </w:r>
    </w:p>
    <w:p w14:paraId="7190C1D8" w14:textId="77777777" w:rsidR="00B35D37" w:rsidRDefault="00B35D37" w:rsidP="00B35D37">
      <w:pPr>
        <w:pStyle w:val="TextoNormal"/>
      </w:pPr>
    </w:p>
    <w:p w14:paraId="5418BF4B" w14:textId="77777777" w:rsidR="00B35D37" w:rsidRDefault="00B35D37" w:rsidP="00B35D37">
      <w:pPr>
        <w:pStyle w:val="TextoNormal"/>
      </w:pPr>
      <w:r>
        <w:t>“Primero.- El trabajador, don Juan Ramón Palacios Palacios, fue declarado en situación de incapacidad permanente total por resolución del Instituto Nacional de la Seguridad Social de fecha 31 de enero de 2018, para la profesión de bombero, con efectos desde el 21 de octubre de 2017 y el derecho a percibir una pensión mensual de 1917,16 €.</w:t>
      </w:r>
    </w:p>
    <w:p w14:paraId="531BB621" w14:textId="77777777" w:rsidR="00B35D37" w:rsidRDefault="00B35D37" w:rsidP="00B35D37">
      <w:pPr>
        <w:pStyle w:val="TextoNormal"/>
      </w:pPr>
    </w:p>
    <w:p w14:paraId="16F623E5" w14:textId="77777777" w:rsidR="00B35D37" w:rsidRDefault="00B35D37" w:rsidP="00B35D37">
      <w:pPr>
        <w:pStyle w:val="TextoNormal"/>
      </w:pPr>
      <w:r>
        <w:t>Segundo.- Solicitó revisión por agravación y por resolución de la entidad gestora de fecha 9 de enero de 2019 fue desestimada.</w:t>
      </w:r>
    </w:p>
    <w:p w14:paraId="5333120D" w14:textId="77777777" w:rsidR="00B35D37" w:rsidRDefault="00B35D37" w:rsidP="00B35D37">
      <w:pPr>
        <w:pStyle w:val="TextoNormal"/>
      </w:pPr>
    </w:p>
    <w:p w14:paraId="4D8E11A6" w14:textId="77777777" w:rsidR="00B35D37" w:rsidRDefault="00B35D37" w:rsidP="00B35D37">
      <w:pPr>
        <w:pStyle w:val="TextoNormal"/>
      </w:pPr>
      <w:r>
        <w:t>Tercero.- El actor presentó demanda en fecha 25 de julio de 2018, resultando la sentencia del Juzgado de lo Social núm. 26 de Barcelona, en cuyos hechos probados consta que por resolución del Departament d'Interior de la Generalitat de Catalunya de fecha 1 de octubre de 2018 fue reconocido el pase a segunda actividad del trabajador.</w:t>
      </w:r>
    </w:p>
    <w:p w14:paraId="060B58AC" w14:textId="77777777" w:rsidR="00B35D37" w:rsidRDefault="00B35D37" w:rsidP="00B35D37">
      <w:pPr>
        <w:pStyle w:val="TextoNormal"/>
      </w:pPr>
    </w:p>
    <w:p w14:paraId="25BC37AD" w14:textId="77777777" w:rsidR="00B35D37" w:rsidRDefault="00B35D37" w:rsidP="00B35D37">
      <w:pPr>
        <w:pStyle w:val="TextoNormal"/>
      </w:pPr>
      <w:r>
        <w:t>En dicha sentencia la demandante era la Mutua Asepeyo, que impugnaba la resolución del INSS de fecha 31 de enero de 2018 por la que se declaraba al trabajador en situación de incapacidad permanente total, derivada de accidente de trabajo, y solicitaba la declaración de existencia de lesiones permanentes no incapacitantes, o subsidiariamente incapacidad permanente parcial, siendo la demanda desestimada.</w:t>
      </w:r>
    </w:p>
    <w:p w14:paraId="548276F5" w14:textId="77777777" w:rsidR="00B35D37" w:rsidRDefault="00B35D37" w:rsidP="00B35D37">
      <w:pPr>
        <w:pStyle w:val="TextoNormal"/>
      </w:pPr>
    </w:p>
    <w:p w14:paraId="283AFA22" w14:textId="77777777" w:rsidR="00B35D37" w:rsidRDefault="00B35D37" w:rsidP="00B35D37">
      <w:pPr>
        <w:pStyle w:val="TextoNormal"/>
      </w:pPr>
      <w:r>
        <w:t>Cuarto.- El 11 de enero de 2019 el INSS inició expediente de revisión de actos declarativos de derecho en perjuicio de beneficiario por considerar que se había producido un error en la calificación del grado de incapacidad permanente pero que, sin embargo, tanto las lesiones como la profesión habían sido correctamente valoradas y, en fecha 3 de febrero de 2020 resolvió finalizar el procedimiento.</w:t>
      </w:r>
    </w:p>
    <w:p w14:paraId="411AA0D6" w14:textId="77777777" w:rsidR="00B35D37" w:rsidRDefault="00B35D37" w:rsidP="00B35D37">
      <w:pPr>
        <w:pStyle w:val="TextoNormal"/>
      </w:pPr>
    </w:p>
    <w:p w14:paraId="36E8521C" w14:textId="77777777" w:rsidR="00B35D37" w:rsidRDefault="00B35D37" w:rsidP="00B35D37">
      <w:pPr>
        <w:pStyle w:val="TextoNormal"/>
      </w:pPr>
      <w:r>
        <w:t>Quinto.- Durante el periodo 2 de octubre de 2018 a 31 de octubre de 2020 el trabajador ha prestado servicios en segunda actividad y percibió en concepto de prestación de incapacidad permanente total la cantidad de 49 637,86 €”.</w:t>
      </w:r>
    </w:p>
    <w:p w14:paraId="44B17D04" w14:textId="77777777" w:rsidR="00B35D37" w:rsidRDefault="00B35D37" w:rsidP="00B35D37">
      <w:pPr>
        <w:pStyle w:val="TextoNormal"/>
      </w:pPr>
    </w:p>
    <w:p w14:paraId="64B6FF2F" w14:textId="77777777" w:rsidR="00B35D37" w:rsidRDefault="00B35D37" w:rsidP="00B35D37">
      <w:pPr>
        <w:pStyle w:val="TextoNormal"/>
      </w:pPr>
      <w:r>
        <w:t>d) Don Juan Ramón Palacios Palacios interpuso recurso de suplicación solicitando la revocación de la sentencia de instancia y la desestimación de la demanda con la absolución del beneficiario demandado de las pretensiones formuladas en su contra. En apoyo de tal pretensión, articula el recurso en siete motivos. En los tres primeros, que se formulan al amparo del apartado b) del art.193 de la Ley 36/2011, de 10 de octubre, reguladora de la jurisdicción social (LRJS), se solicita la revisión de tres ordinales fácticos de la sentencia recurrida. En los cuatro últimos, que se postulan al amparo del art. 193 c) LRJS, se formula censura jurídica de la resolución de instancia, denunciándose la infracción de distintos preceptos. En lo que para este recurso de amparo interesa, el último de los motivos impugna la sentencia por estimar que causa la discriminación del demandado por razón de discapacidad.</w:t>
      </w:r>
    </w:p>
    <w:p w14:paraId="5466AB5A" w14:textId="77777777" w:rsidR="00B35D37" w:rsidRDefault="00B35D37" w:rsidP="00B35D37">
      <w:pPr>
        <w:pStyle w:val="TextoNormal"/>
      </w:pPr>
    </w:p>
    <w:p w14:paraId="61FA0C54" w14:textId="77777777" w:rsidR="00B35D37" w:rsidRDefault="00B35D37" w:rsidP="00B35D37">
      <w:pPr>
        <w:pStyle w:val="TextoNormal"/>
      </w:pPr>
      <w:r>
        <w:t>e) El recurso de suplicación fue desestimado íntegramente en sentencia de 27 de noviembre de 2023 de la Sala de lo Social del Tribunal Superior de Justicia de Cataluña, confirmándose la resolución de instancia en todos sus extremos. Así, las revisiones fácticas fueron rechazadas aplicando doctrina jurisprudencial de la Sala de lo Social (STS de 30 de mayo de 2017, recurso núm 283-2016, ECLI:ES:TS:2017:2334), por no tener trascendencia aquellas para modificar el fallo de instancia, siendo irrelevantes pese a apreciar que son errores evidentes contrastados con la documental que obra en los autos. No obstante, se añade un hecho probado (sexto) detallando las funciones asignadas en la segunda actividad como bombero: gestión de incidencias en parques, otros edificios e infraestructura, control y seguimiento de las tareas de mantenimiento preventivo y correctivo, evaluación de averías e incidentes, gestión de pedidos, realización de pequeñas reparaciones, soporte en la supervisión y seguimiento de medidas correctoras derivadas de la evaluación de riesgos de los centros de trabajo y desarrollo cartográfico específico en la sede de la región de emergencias Metropolitana Sur, en jornada normal de treinta y siete horas y media semanales.</w:t>
      </w:r>
    </w:p>
    <w:p w14:paraId="3AF019A3" w14:textId="77777777" w:rsidR="00B35D37" w:rsidRDefault="00B35D37" w:rsidP="00B35D37">
      <w:pPr>
        <w:pStyle w:val="TextoNormal"/>
      </w:pPr>
    </w:p>
    <w:p w14:paraId="639EAEEE" w14:textId="77777777" w:rsidR="00B35D37" w:rsidRDefault="00B35D37" w:rsidP="00B35D37">
      <w:pPr>
        <w:pStyle w:val="TextoNormal"/>
      </w:pPr>
      <w:r>
        <w:t>A continuación, desestima los motivos que alegan cosa juzgada e inadecuación de procedimiento y, respecto de la compatibilidad entre la prestación por incapacidad permanente total y la situación de segunda actividad en su profesión de bombero, afirma que la cuestión que se suscita no tan solo ha sido abordada por la STS de 26 de abril de 2017, recurso núm. 3050-2015 (ECLI:ES:TS:2017:2141), que se transcribe en la sentencia de instancia, sino que nuevamente ha sido examinada por la STS de 23 de setiembre de 2020, recurso núm. 2800-2018 (ECLI:ES:TS:2020:2985) y reproduce la argumentación de esta sentencia para considerar que es incompatible.</w:t>
      </w:r>
    </w:p>
    <w:p w14:paraId="61487787" w14:textId="77777777" w:rsidR="00B35D37" w:rsidRDefault="00B35D37" w:rsidP="00B35D37">
      <w:pPr>
        <w:pStyle w:val="TextoNormal"/>
      </w:pPr>
    </w:p>
    <w:p w14:paraId="31BBB8BC" w14:textId="77777777" w:rsidR="00B35D37" w:rsidRDefault="00B35D37" w:rsidP="00B35D37">
      <w:pPr>
        <w:pStyle w:val="TextoNormal"/>
      </w:pPr>
      <w:r>
        <w:t>Por último, respecto de la discriminación alegada considera que “se omite totalmente precisar en qué aspecto concreto la sentencia de instancia ha podido infringir tal prohibición. Es evidente que de la simple estimación de la demanda y la declaración de incompatibilidad entre la pensión de IPT [incapacidad permanente total] y el desempeño de la segunda actividad en la misma profesión habitual no puede inferirse la existencia de discriminación. Por tanto, frente a la inexistencia del más mínimo argumento que sostenga la infracción denunciada, es claro que no puede prosperar el último de los motivos de recurso”. A mayor abundamiento, advierte que “de alguna forma la cuestión que aquí suscita la recurrente también es abordada por la jurisprudencia unificada a la que se ha aludido en el punto anterior. A respecto, ha de recordarse que la STS, [Sala de lo Social], de 23 de setiembre de 2020, sostiene que reconocer la compatibilidad entre la pensión de incapacidad permanente total y el desempeño de la segunda actividad podría conducir a una solución discriminatoria con respecto de otros colectivos de la misma profesión, pudiendo resultar discriminados aquellos trabajadores que se hallan en segunda actividad por razón de edad y que no perciben pensión de IPT, o respecto de aquellos otros trabajadores de la misma profesión que prestan servicios en primera actividad —más exigente— y que tampoco duplican sus ingresos con la percepción de una pensión de incapacidad permanente total. Por tanto, no se trata de que quien tiene reconocida la pensión pueda resultar discriminado por ser incompatible la misma con el desempeño de la misma profesión, lo que cabe cuestionarse según el Alto Tribunal es si la hipotética declaración de compatibilidad entre la percepción del salario y el cobro de la pensión que —en teoría— habría de sustituir la pérdida de ingresos salariales no supondría discriminar al resto de colectivos de trabajadores de la misma profesión que únicamente pueden percibir un ingreso por rentas del trabajo”.</w:t>
      </w:r>
    </w:p>
    <w:p w14:paraId="784CF696" w14:textId="77777777" w:rsidR="00B35D37" w:rsidRDefault="00B35D37" w:rsidP="00B35D37">
      <w:pPr>
        <w:pStyle w:val="TextoNormal"/>
      </w:pPr>
    </w:p>
    <w:p w14:paraId="377CD72B" w14:textId="6FA24364" w:rsidR="00B35D37" w:rsidRDefault="00B35D37" w:rsidP="00B35D37">
      <w:pPr>
        <w:pStyle w:val="TextoNormal"/>
      </w:pPr>
      <w:r>
        <w:t>f) Planteado por el demandante incidente excepcional de nulidad de actuaciones contra la anterior resolución, fue inadmitido por auto núm. 2/2024, de 29 de febrero. Para ello, la Sala razona que no se han agotado las posibilidades de impugnación, pues pudo haber interpuesto recurso de casación en unificación de doctrina y porque se interesa la nulidad de la sentencia y retroacción de actuaciones a un momento inmediatamente anterior alegando razones jurídicas de fondo y no formales y procesales, lo que pone en evidencia la falta de idoneidad del remedio intentado.</w:t>
      </w:r>
    </w:p>
    <w:p w14:paraId="06FF4348" w14:textId="77777777" w:rsidR="00B35D37" w:rsidRDefault="00B35D37" w:rsidP="00B35D37">
      <w:pPr>
        <w:pStyle w:val="TextoNormal"/>
      </w:pPr>
    </w:p>
    <w:p w14:paraId="540AE508" w14:textId="77777777" w:rsidR="00B35D37" w:rsidRDefault="00B35D37" w:rsidP="00B35D37">
      <w:pPr>
        <w:pStyle w:val="TextoNormal"/>
      </w:pPr>
      <w:r w:rsidRPr="00B35D37">
        <w:rPr>
          <w:rStyle w:val="NumeroAFNegritaCaracter"/>
        </w:rPr>
        <w:t>3</w:t>
      </w:r>
      <w:r>
        <w:t>. En la demanda de amparo se alega la vulneración del derecho fundamental a la igualdad ante la ley y la no discriminación por razón de discapacidad (art. 14 CE).</w:t>
      </w:r>
    </w:p>
    <w:p w14:paraId="685CD20A" w14:textId="77777777" w:rsidR="00B35D37" w:rsidRDefault="00B35D37" w:rsidP="00B35D37">
      <w:pPr>
        <w:pStyle w:val="TextoNormal"/>
      </w:pPr>
    </w:p>
    <w:p w14:paraId="6103E6AA" w14:textId="4C83B982" w:rsidR="00B35D37" w:rsidRDefault="00B35D37" w:rsidP="00B35D37">
      <w:pPr>
        <w:pStyle w:val="TextoNormal"/>
      </w:pPr>
      <w:r>
        <w:t>Por otrosí, con carácter principal el recurrente interesó, al amparo de lo dispuesto en el art. 56 de la Ley Orgánica del Tribunal Constitucional (LOTC), la suspensión de la ejecución de la sentencia del Juzgado de lo Social núm. 29 de Barcelona, hasta que no se resuelva el presente recurso de amparo, dada “la magnitud del importe reclamado” (49 637,86 €) y “la imposibilidad de hacer frente al pago de la misma”.</w:t>
      </w:r>
    </w:p>
    <w:p w14:paraId="1E5EC97A" w14:textId="77777777" w:rsidR="00B35D37" w:rsidRDefault="00B35D37" w:rsidP="00B35D37">
      <w:pPr>
        <w:pStyle w:val="TextoNormal"/>
      </w:pPr>
    </w:p>
    <w:p w14:paraId="5AD548E1" w14:textId="6544DE67" w:rsidR="00B35D37" w:rsidRDefault="00B35D37" w:rsidP="00B35D37">
      <w:pPr>
        <w:pStyle w:val="TextoNormal"/>
      </w:pPr>
      <w:r w:rsidRPr="00B35D37">
        <w:rPr>
          <w:rStyle w:val="NumeroAFNegritaCaracter"/>
        </w:rPr>
        <w:t>4</w:t>
      </w:r>
      <w:r>
        <w:t>. La Sección Tercera de la Sala Segunda del Tribunal Constitucional, mediante sendas providencias de 2 de diciembre de 2024, admitió a trámite el recurso de amparo, apreciando que concurre en el mismo una especial trascendencia constitucional (art. 50.1 LOTC) porque el asunto suscitado trasciende del caso concreto porque plantea una cuestión jurídica de relevante y general repercusión social o económica [STC 155/2009, de 25 de junio, FJ 2 g)]; ha ordenado que se forme la pieza separada de suspensión y ha acordado formar con ese testimonio la pieza para tramitar el incidente de suspensión y, conforme determina el art. 56 LOTC, conceder un plazo común de tres días a la parte recurrente y al Ministerio Fiscal para que aleguen lo que estimen pertinente sobre dicha suspensión.</w:t>
      </w:r>
    </w:p>
    <w:p w14:paraId="262571E4" w14:textId="77777777" w:rsidR="00B35D37" w:rsidRDefault="00B35D37" w:rsidP="00B35D37">
      <w:pPr>
        <w:pStyle w:val="TextoNormal"/>
      </w:pPr>
    </w:p>
    <w:p w14:paraId="575E9B93" w14:textId="63834286" w:rsidR="00B35D37" w:rsidRDefault="00B35D37" w:rsidP="00B35D37">
      <w:pPr>
        <w:pStyle w:val="TextoNormal"/>
      </w:pPr>
      <w:r w:rsidRPr="00B35D37">
        <w:rPr>
          <w:rStyle w:val="NumeroAFNegritaCaracter"/>
        </w:rPr>
        <w:t>5</w:t>
      </w:r>
      <w:r>
        <w:t>. El demandante de amparo presentó escrito ante este tribunal el 4 de diciembre de 2024, manifestando haber satisfecho la cantidad principal de 49 637,86 € y otros 5663,86 € en concepto de intereses.</w:t>
      </w:r>
    </w:p>
    <w:p w14:paraId="21D220E1" w14:textId="77777777" w:rsidR="00B35D37" w:rsidRDefault="00B35D37" w:rsidP="00B35D37">
      <w:pPr>
        <w:pStyle w:val="TextoNormal"/>
      </w:pPr>
    </w:p>
    <w:p w14:paraId="153F7281" w14:textId="77777777" w:rsidR="00B35D37" w:rsidRDefault="00B35D37" w:rsidP="00B35D37">
      <w:pPr>
        <w:pStyle w:val="TextoNormal"/>
      </w:pPr>
      <w:r w:rsidRPr="00B35D37">
        <w:rPr>
          <w:rStyle w:val="NumeroAFNegritaCaracter"/>
        </w:rPr>
        <w:t>6</w:t>
      </w:r>
      <w:r>
        <w:t xml:space="preserve">. El 30 de diciembre de 2024, presentó sus alegaciones el Ministerio Fiscal, en las que solicita la denegación de la suspensión interesada. Tras recopilar los antecedentes procesales que estimó de interés, exponer la doctrina constitucional en torno al art. 56.1 LOTC y resumir las razones esgrimidas por el recurrente para interesar la adopción de la medida cautelar, señala que el demandante de amparo solo alega que el importe reclamado es muy alto y que le es imposible hacer frente al pago, sin dar mayor explicación o justificación de dicha alegación. En tal sentido, recuerda que, en cuanto a los perjuicios de contenido económico, el criterio general de este tribunal es la no suspensión, porque admiten su reparación, salvo supuestos excepcionales que debe justificar el recurrente. Y en este caso no debe estimarse suficiente la genérica alegación realizada por don Juan Ramón Palacios Palacios pues ni ha justificado los perjuicios concretos y ciertos, ni su irreparabilidad, ni ha puesto a disposición del Tribunal la documentación necesaria para acreditarlos al menos </w:t>
      </w:r>
      <w:r w:rsidRPr="00B35D37">
        <w:rPr>
          <w:i/>
        </w:rPr>
        <w:t>a priori</w:t>
      </w:r>
      <w:r>
        <w:t>.</w:t>
      </w:r>
    </w:p>
    <w:p w14:paraId="4EFD9634" w14:textId="77777777" w:rsidR="00B35D37" w:rsidRDefault="00B35D37" w:rsidP="00B35D37">
      <w:pPr>
        <w:pStyle w:val="TextoNormal"/>
      </w:pPr>
    </w:p>
    <w:p w14:paraId="6EE4E959" w14:textId="2832791C" w:rsidR="00B35D37" w:rsidRDefault="00B35D37" w:rsidP="00B35D37">
      <w:pPr>
        <w:pStyle w:val="TextoNormal"/>
      </w:pPr>
      <w:r>
        <w:t>A mayor abundamiento, habiendo presentado escrito por el que el recurrente manifiesta haber pagado la cantidad a la que había sido condenado, el fiscal estima que la petición de suspensión ha quedado sin objeto.</w:t>
      </w:r>
    </w:p>
    <w:p w14:paraId="0D7ED57F" w14:textId="77777777" w:rsidR="00B35D37" w:rsidRDefault="00B35D37" w:rsidP="00B35D37">
      <w:pPr>
        <w:pStyle w:val="TextoNormal"/>
      </w:pPr>
    </w:p>
    <w:p w14:paraId="0A758E36" w14:textId="77777777" w:rsidR="00B35D37" w:rsidRDefault="00B35D37" w:rsidP="00B35D37">
      <w:pPr>
        <w:pStyle w:val="TextoNormalNegritaCentrado"/>
        <w:keepNext/>
      </w:pPr>
      <w:r>
        <w:t>II. Fundamentos jurídicos</w:t>
      </w:r>
    </w:p>
    <w:p w14:paraId="5204478D" w14:textId="0939D38D" w:rsidR="00B35D37" w:rsidRDefault="00B35D37" w:rsidP="00B35D37">
      <w:pPr>
        <w:pStyle w:val="TextoNormalNegritaCentrado"/>
        <w:keepNext/>
      </w:pPr>
    </w:p>
    <w:p w14:paraId="3556FB37" w14:textId="77777777" w:rsidR="00B35D37" w:rsidRDefault="00B35D37" w:rsidP="00B35D37">
      <w:pPr>
        <w:pStyle w:val="TextoNormal"/>
      </w:pPr>
      <w:r w:rsidRPr="00B35D37">
        <w:rPr>
          <w:rStyle w:val="NumeroAFNegritaCaracter"/>
        </w:rPr>
        <w:t>1</w:t>
      </w:r>
      <w:r>
        <w:t>. El art. 56 LOTC dispone que la Sala que conozca de un recurso de amparo suspenderá, de oficio o a instancia del recurrente, la ejecución del acto de los poderes públicos por razón del cual se reclame el amparo constitucional siempre que la ejecución ocasionare un perjuicio que hiciera perder al amparo su finalidad, previendo también la posibilidad de denegar la suspensión cuando de esta pueda seguirse perturbación grave de los intereses generales o de los derechos fundamentales o libertades públicas de un tercero.</w:t>
      </w:r>
    </w:p>
    <w:p w14:paraId="6D673FA9" w14:textId="77777777" w:rsidR="00B35D37" w:rsidRDefault="00B35D37" w:rsidP="00B35D37">
      <w:pPr>
        <w:pStyle w:val="TextoNormal"/>
      </w:pPr>
    </w:p>
    <w:p w14:paraId="6C131D0D" w14:textId="5BF619FA" w:rsidR="00B35D37" w:rsidRDefault="00B35D37" w:rsidP="00B35D37">
      <w:pPr>
        <w:pStyle w:val="TextoNormal"/>
      </w:pPr>
      <w:r>
        <w:t>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de 9 de mayo; 141/1990, de 27 de marzo; 110/1996, de 29 de abril, y 307/1999, de 13 de diciembre).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(por todos, AATC 88/2020, de 22 de julio; 35/2022, de 7 de febrero; 26/2023, de 6 de febrero, y 663/2023, de 11 de diciembre),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de 30 de enero; 290/1995, de 23 de octubre; 370/1996, de 16 de diciembre, y 283/1999, de 29 de noviembre).</w:t>
      </w:r>
    </w:p>
    <w:p w14:paraId="0196E394" w14:textId="77777777" w:rsidR="00B35D37" w:rsidRDefault="00B35D37" w:rsidP="00B35D37">
      <w:pPr>
        <w:pStyle w:val="TextoNormal"/>
      </w:pPr>
    </w:p>
    <w:p w14:paraId="5557CA55" w14:textId="77777777" w:rsidR="00B35D37" w:rsidRDefault="00B35D37" w:rsidP="00B35D37">
      <w:pPr>
        <w:pStyle w:val="TextoNormal"/>
      </w:pPr>
      <w:r w:rsidRPr="00B35D37">
        <w:rPr>
          <w:rStyle w:val="NumeroAFNegritaCaracter"/>
        </w:rPr>
        <w:t>2</w:t>
      </w:r>
      <w:r>
        <w:t>. El recurrente fundamenta la petición de suspensión de la ejecución de la sentencia impugnada en “la magnitud del importe reclamado” (49 637,86 €) y “la imposibilidad de hacer frente al pago de la misma” sin concretar ni acreditar ninguna de tales afirmaciones. Por su parte, el Ministerio Fiscal se ha opuesto a la solicitud de suspensión, alegando que no se ha justificado la irreparabilidad de los perjuicios que pudieran ocasionarse, así como que la medida cautelar solicitada habría perdido objeto, toda vez que la cantidad que había sido condenado a restituir ya ha sido abonada.</w:t>
      </w:r>
    </w:p>
    <w:p w14:paraId="4900CE6B" w14:textId="77777777" w:rsidR="00B35D37" w:rsidRDefault="00B35D37" w:rsidP="00B35D37">
      <w:pPr>
        <w:pStyle w:val="TextoNormal"/>
      </w:pPr>
    </w:p>
    <w:p w14:paraId="17A1481C" w14:textId="77777777" w:rsidR="00B35D37" w:rsidRDefault="00B35D37" w:rsidP="00B35D37">
      <w:pPr>
        <w:pStyle w:val="TextoNormal"/>
      </w:pPr>
      <w:r>
        <w:t xml:space="preserve">Pues bien, ante todo, es preciso tener en cuenta que el propio demandante de amparo ha señalado en su escrito de alegaciones que el día 17 de julio de 2024 el juzgado de ejecución núm. 23 de Barcelona, en procedimiento de ejecución núm. 1226-2024-B, dictó orden general de ejecución contra él, embargando sus cuentas bancarias, por lo que en orden a levantar el embargo ha satisfecho la cantidad principal de 49 637,86 € así como 5663,86 € en concepto de intereses. En tales circunstancias, la privación de eficacia de la resolución, como contenido primario de la medida de suspensión acordada </w:t>
      </w:r>
      <w:r w:rsidRPr="00B35D37">
        <w:rPr>
          <w:i/>
        </w:rPr>
        <w:t>ex</w:t>
      </w:r>
      <w:r>
        <w:t xml:space="preserve"> art. 56 LOTC, no pasaría de erigirse en mero pronunciamiento retórico, pues el mandato de aquella se ha materializado efectivamente (ATC 333/2004, de 13 de septiembre, FJ2), lo que produce la pérdida de objeto de la solicitud de suspensión que, aunque no está contemplada expresamente en el art. 86.1 LOTC, es una de las formas de terminación de los distintos procesos constitucionales (por todas, STC 26/2022, de 24 de febrero, FJ único, y ATC 80/2022, de 9 de mayo, FJ 2) y que hace improcedente cualquier decisión al respecto, pues la Ley Orgánica del Tribunal Constitucional no otorga facultades a este tribunal para revocar las resoluciones que han ejecutado de manera plena las recurridas en amparo (ATC 403/2004, de 2 de noviembre, FJ 2).</w:t>
      </w:r>
    </w:p>
    <w:p w14:paraId="4B5DDBF9" w14:textId="77777777" w:rsidR="00B35D37" w:rsidRDefault="00B35D37" w:rsidP="00B35D37">
      <w:pPr>
        <w:pStyle w:val="TextoNormal"/>
      </w:pPr>
    </w:p>
    <w:p w14:paraId="24120CE6" w14:textId="4DF5875D" w:rsidR="00B35D37" w:rsidRDefault="00B35D37" w:rsidP="00B35D37">
      <w:pPr>
        <w:pStyle w:val="TextoNormal"/>
      </w:pPr>
      <w:r>
        <w:t>En cualquier caso, como apunta el Ministerio Fiscal, el actor no ha justificado la realidad de los perjuicios irreparables que alega, por lo que, en la medida en que las consecuencias aducidas serían, en principio, de contenido meramente económico, los perjuicios anejos a su ejecución serían perfectamente reparables, incluso aunque se otorgase el amparo.</w:t>
      </w:r>
    </w:p>
    <w:p w14:paraId="2110D0D5" w14:textId="77777777" w:rsidR="00B35D37" w:rsidRDefault="00B35D37" w:rsidP="00B35D37">
      <w:pPr>
        <w:pStyle w:val="TextoNormal"/>
      </w:pPr>
    </w:p>
    <w:p w14:paraId="467235E1" w14:textId="77777777" w:rsidR="00B35D37" w:rsidRDefault="00B35D37" w:rsidP="00B35D37">
      <w:pPr>
        <w:pStyle w:val="TextoNormal"/>
      </w:pPr>
      <w:r>
        <w:t>Por lo expuesto, la Sala</w:t>
      </w:r>
    </w:p>
    <w:p w14:paraId="2E79E11B" w14:textId="14BD8A60" w:rsidR="00B35D37" w:rsidRDefault="00B35D37" w:rsidP="00B35D37">
      <w:pPr>
        <w:pStyle w:val="TextoNormal"/>
      </w:pPr>
    </w:p>
    <w:p w14:paraId="7BD8E3EF" w14:textId="77777777" w:rsidR="00B35D37" w:rsidRDefault="00B35D37" w:rsidP="00B35D37">
      <w:pPr>
        <w:pStyle w:val="TextoNormalCentrado"/>
      </w:pPr>
      <w:r>
        <w:t>ACUERDA</w:t>
      </w:r>
    </w:p>
    <w:p w14:paraId="65C4C2FF" w14:textId="4879986A" w:rsidR="00B35D37" w:rsidRDefault="00B35D37" w:rsidP="00B35D37">
      <w:pPr>
        <w:pStyle w:val="TextoNormalCentrado"/>
      </w:pPr>
    </w:p>
    <w:p w14:paraId="5911C696" w14:textId="19FC5AE9" w:rsidR="00B35D37" w:rsidRDefault="00B35D37" w:rsidP="00B35D37">
      <w:pPr>
        <w:pStyle w:val="TextoNormal"/>
      </w:pPr>
      <w:r>
        <w:t>El archivo de esta pieza separada de medidas cautelares, por pérdida sobrevenida de objeto de la pretensión ejercida por el recurrente.</w:t>
      </w:r>
    </w:p>
    <w:p w14:paraId="6A800EBF" w14:textId="77777777" w:rsidR="00B35D37" w:rsidRDefault="00B35D37" w:rsidP="00B35D37">
      <w:pPr>
        <w:pStyle w:val="TextoNormal"/>
      </w:pPr>
    </w:p>
    <w:p w14:paraId="782F0E7A" w14:textId="77777777" w:rsidR="00B35D37" w:rsidRDefault="00B35D37" w:rsidP="00B35D37">
      <w:pPr>
        <w:pStyle w:val="TextoNormal"/>
      </w:pPr>
      <w:r>
        <w:t>Madrid, a veintisiete de enero de dos mil veinticinco.</w:t>
      </w:r>
    </w:p>
    <w:p w14:paraId="255C591A" w14:textId="62D308AB" w:rsidR="00B35D37" w:rsidRDefault="00B35D37">
      <w:pPr>
        <w:spacing w:after="160" w:line="278" w:lineRule="auto"/>
        <w:rPr>
          <w:rFonts w:ascii="Times New Roman" w:eastAsia="Times New Roman" w:hAnsi="Times New Roman" w:cs="Times New Roman"/>
          <w:sz w:val="24"/>
          <w:szCs w:val="24"/>
          <w:lang w:eastAsia="es-ES"/>
        </w:rPr>
      </w:pPr>
      <w:r>
        <w:br w:type="page"/>
      </w:r>
    </w:p>
    <w:p w14:paraId="511C1999" w14:textId="77777777" w:rsidR="00B35D37" w:rsidRDefault="00B35D37" w:rsidP="00B35D37">
      <w:pPr>
        <w:pStyle w:val="TtuloResolucin"/>
      </w:pPr>
      <w:bookmarkStart w:id="149" w:name="AUTO_2025_10"/>
      <w:r>
        <w:t>AUTO 10/2025, de 28 de enero de 2025</w:t>
      </w:r>
    </w:p>
    <w:bookmarkEnd w:id="149"/>
    <w:p w14:paraId="7B85AB4F" w14:textId="77777777" w:rsidR="00B35D37" w:rsidRDefault="00B35D37" w:rsidP="00B35D37">
      <w:pPr>
        <w:pStyle w:val="TtuloResolucin"/>
      </w:pPr>
      <w:r>
        <w:t>Pleno</w:t>
      </w:r>
    </w:p>
    <w:p w14:paraId="648C070C" w14:textId="77777777" w:rsidR="00B35D37" w:rsidRDefault="00B35D37" w:rsidP="00B35D37">
      <w:pPr>
        <w:pStyle w:val="TextoNormalCentrado"/>
      </w:pPr>
      <w:r>
        <w:t>ECLI:ES:TC:2025:10A</w:t>
      </w:r>
    </w:p>
    <w:p w14:paraId="6408DDB5" w14:textId="432E5BFE" w:rsidR="00B35D37" w:rsidRDefault="00B35D37" w:rsidP="00B35D37">
      <w:pPr>
        <w:pStyle w:val="TextoNormalCentrado"/>
      </w:pPr>
    </w:p>
    <w:p w14:paraId="0ED00ADB"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42D4B4E1" w14:textId="3056D903" w:rsidR="00B35D37" w:rsidRDefault="00B35D37" w:rsidP="00B35D37">
      <w:pPr>
        <w:pStyle w:val="SntesisDescriptiva"/>
      </w:pPr>
    </w:p>
    <w:p w14:paraId="119F6715" w14:textId="77777777" w:rsidR="00B35D37" w:rsidRDefault="00B35D37" w:rsidP="00B35D37">
      <w:pPr>
        <w:pStyle w:val="SntesisDescriptiva"/>
      </w:pPr>
      <w:r>
        <w:t>Inadmite a trámite la cuestión de inconstitucionalidad 3591-2023, planteada por la Sala de lo Social del Tribunal Superior de Justicia del País Vasco, en relación con el artículo 48, apartados 4, 5 y 6, del texto refundido de la Ley del estatuto de los trabajadores, aprobado por Real Decreto Legislativo 2/2015, de 23 de octubre, en conexión con el artículo 177 del texto refundido de la Ley general de la Seguridad Social, aprobado por el Real Decreto Legislativo 8/2015, de 30 de octubre.</w:t>
      </w:r>
    </w:p>
    <w:p w14:paraId="0123A65B" w14:textId="6D6688EA" w:rsidR="00B35D37" w:rsidRDefault="00B35D37" w:rsidP="00B35D37">
      <w:pPr>
        <w:pStyle w:val="SntesisDescriptiva"/>
      </w:pPr>
    </w:p>
    <w:p w14:paraId="27445C9B" w14:textId="77777777" w:rsidR="00B35D37" w:rsidRDefault="00B35D37" w:rsidP="00B35D37">
      <w:pPr>
        <w:pStyle w:val="SntesisDescriptiva"/>
      </w:pPr>
    </w:p>
    <w:p w14:paraId="3E4BB6B1" w14:textId="77777777" w:rsidR="00B35D37" w:rsidRDefault="00B35D37" w:rsidP="00B35D37">
      <w:pPr>
        <w:pStyle w:val="SntesisDescriptiva"/>
      </w:pPr>
    </w:p>
    <w:p w14:paraId="1E7BECFB" w14:textId="77777777" w:rsidR="00B35D37" w:rsidRDefault="00B35D37" w:rsidP="00B35D37">
      <w:pPr>
        <w:pStyle w:val="TextoNormalNegritaCentrado"/>
      </w:pPr>
      <w:r>
        <w:t>AUTO</w:t>
      </w:r>
    </w:p>
    <w:p w14:paraId="02A0013D" w14:textId="4F5C2ECA" w:rsidR="00B35D37" w:rsidRDefault="00B35D37" w:rsidP="00B35D37">
      <w:pPr>
        <w:pStyle w:val="TextoNormalNegritaCentrado"/>
      </w:pPr>
    </w:p>
    <w:p w14:paraId="311D37ED" w14:textId="77777777" w:rsidR="00B35D37" w:rsidRDefault="00B35D37" w:rsidP="00B35D37">
      <w:pPr>
        <w:pStyle w:val="TextoNormalNegritaCentrado"/>
        <w:keepNext/>
      </w:pPr>
      <w:r>
        <w:t>I. Antecedentes</w:t>
      </w:r>
    </w:p>
    <w:p w14:paraId="1B862F75" w14:textId="05D7567A" w:rsidR="00B35D37" w:rsidRDefault="00B35D37" w:rsidP="00B35D37">
      <w:pPr>
        <w:pStyle w:val="TextoNormalNegritaCentrado"/>
        <w:keepNext/>
      </w:pPr>
    </w:p>
    <w:p w14:paraId="153C8A06" w14:textId="0440DB10" w:rsidR="00B35D37" w:rsidRDefault="00B35D37" w:rsidP="00B35D37">
      <w:pPr>
        <w:pStyle w:val="TextoNormal"/>
      </w:pPr>
      <w:r w:rsidRPr="00B35D37">
        <w:rPr>
          <w:rStyle w:val="NumeroAFNegritaCaracter"/>
        </w:rPr>
        <w:t>1</w:t>
      </w:r>
      <w:r>
        <w:t>. El 29 de mayo de 2023 tuvo entrada en el registro general de este tribunal un oficio de la Sala de lo Social del Tribunal Superior de Justicia del País Vasco, mediante el que se remite, junto con el testimonio del proceso correspondiente (procedimiento de Seguridad Social núm. 529-202/2), el auto de 23 de mayo de 2023, por el que se acuerda plantear cuestión de inconstitucionalidad respecto del vigente art. 177 LGSS en relación con el art. 48, apartados 4, 5 y 6 LET por su posible contradicción con el art. 14 CE en cuanto al derecho del menor sobre el que se fija la prestación de nacimiento y cuidado del mismo y en cuanto a la madre, con respecto de tal prestación, para los casos en que dicho menor forme parte de una familia monoparental cuyo único progenitor es tal madre, considerando la exégesis del Tribunal Supremo de tal preceptiva en estos casos.</w:t>
      </w:r>
    </w:p>
    <w:p w14:paraId="4863ED65" w14:textId="77777777" w:rsidR="00B35D37" w:rsidRDefault="00B35D37" w:rsidP="00B35D37">
      <w:pPr>
        <w:pStyle w:val="TextoNormal"/>
      </w:pPr>
    </w:p>
    <w:p w14:paraId="4D65D160" w14:textId="77777777" w:rsidR="00B35D37" w:rsidRDefault="00B35D37" w:rsidP="00B35D37">
      <w:pPr>
        <w:pStyle w:val="TextoNormal"/>
      </w:pPr>
      <w:r w:rsidRPr="00B35D37">
        <w:rPr>
          <w:rStyle w:val="NumeroAFNegritaCaracter"/>
        </w:rPr>
        <w:t>2</w:t>
      </w:r>
      <w:r>
        <w:t>. Los antecedentes de hecho relevantes para el examen de la cuestión son los siguientes:</w:t>
      </w:r>
    </w:p>
    <w:p w14:paraId="5FE52F9F" w14:textId="77777777" w:rsidR="00B35D37" w:rsidRDefault="00B35D37" w:rsidP="00B35D37">
      <w:pPr>
        <w:pStyle w:val="TextoNormal"/>
      </w:pPr>
    </w:p>
    <w:p w14:paraId="34FC06E5" w14:textId="77777777" w:rsidR="00B35D37" w:rsidRDefault="00B35D37" w:rsidP="00B35D37">
      <w:pPr>
        <w:pStyle w:val="TextoNormal"/>
      </w:pPr>
      <w:r>
        <w:t xml:space="preserve">a) Doña María Eugenia Sánchez Rodríguez constituye familia monoparental con sus hijos, de 4 años y recién nacido en 2021, cuando se plantea la solicitud que da pie al proceso </w:t>
      </w:r>
      <w:r w:rsidRPr="00B35D37">
        <w:rPr>
          <w:i/>
        </w:rPr>
        <w:t>a quo</w:t>
      </w:r>
      <w:r>
        <w:t>. Por el Instituto Nacional de la Seguridad Social (INSS) se le reconoció prestación por nacimiento y cuidado de menor con base reguladora de 135,67 € y fecha de vencimiento de 16 de noviembre de 2021.</w:t>
      </w:r>
    </w:p>
    <w:p w14:paraId="1E436C34" w14:textId="77777777" w:rsidR="00B35D37" w:rsidRDefault="00B35D37" w:rsidP="00B35D37">
      <w:pPr>
        <w:pStyle w:val="TextoNormal"/>
      </w:pPr>
    </w:p>
    <w:p w14:paraId="49079EE2" w14:textId="77777777" w:rsidR="00B35D37" w:rsidRDefault="00B35D37" w:rsidP="00B35D37">
      <w:pPr>
        <w:pStyle w:val="TextoNormal"/>
      </w:pPr>
      <w:r>
        <w:t>b) En su momento, formuló solicitud al INSS para la ampliación de prestación por nacimiento y cuidado del menor nacido en 2021 en otras dieciséis semanas adicionales a las ya disfrutadas, esto es, las que hubieran correspondido al otro progenitor en caso de tratarse de una familia biparental. Tal solicitud fue desestimada por la entidad gestora, formulándose la correspondiente reclamación administrativa previa, que fue igualmente desestimada al no estar prevista legalmente tal ampliación, mediante resolución de 25 de agosto de 2021.</w:t>
      </w:r>
    </w:p>
    <w:p w14:paraId="43DA6DE0" w14:textId="77777777" w:rsidR="00B35D37" w:rsidRDefault="00B35D37" w:rsidP="00B35D37">
      <w:pPr>
        <w:pStyle w:val="TextoNormal"/>
      </w:pPr>
    </w:p>
    <w:p w14:paraId="32E9D123" w14:textId="77777777" w:rsidR="00B35D37" w:rsidRDefault="00B35D37" w:rsidP="00B35D37">
      <w:pPr>
        <w:pStyle w:val="TextoNormal"/>
      </w:pPr>
      <w:r>
        <w:t>c) Frente a esta última resolución, el 28 de septiembre de 2021, se formuló demanda en materia de prestaciones de Seguridad Social, interesando el reconocimiento de las dieciséis semanas adicionales, con suspensión del contrato de trabajo; o, subsidiariamente, el reconocimiento de diez semanas adicionales con suspensión igualmente del contrato (correspondiendo las diez semanas al permiso con exclusión de las semanas de baja obligatoria de la madre tras el parto). En el acto del juicio la demandante amplia su demanda en el sentido de añadir en el suplico que ya han transcurrido los periodos y se ha solicitado la excedencia, por lo que se solicita la correspondiente compensación económica.</w:t>
      </w:r>
    </w:p>
    <w:p w14:paraId="28F8C0D2" w14:textId="77777777" w:rsidR="00B35D37" w:rsidRDefault="00B35D37" w:rsidP="00B35D37">
      <w:pPr>
        <w:pStyle w:val="TextoNormal"/>
      </w:pPr>
    </w:p>
    <w:p w14:paraId="0ADFA351" w14:textId="77777777" w:rsidR="00B35D37" w:rsidRDefault="00B35D37" w:rsidP="00B35D37">
      <w:pPr>
        <w:pStyle w:val="TextoNormal"/>
      </w:pPr>
      <w:r>
        <w:t>La demanda, que dio lugar al procedimiento núm. 648/2021 sobre prestación por nacimiento, fue desestimada mediante sentencia del Juzgado de lo Social núm. 5 de San Sebastián, de 8 de junio de 2022. La sentencia desestimatoria sostiene que la demanda no debe de ser acogida, al resultar de aplicación la doctrina que se contiene en las sentencias del Tribunal Superior de Justicia de Galicia (STSJ de Galicia de 9 de febrero de 2022, recurso núm. 3444-2021, ECLI:ES:TSJGAL:2022:1426) y de Valencia (STSJ de Valencia de 19 de octubre de 2021, recurso núm. 1563-2021, ECLI:ES:TSJCV:2021:4451) y que vienen a señalar que no cabe acumular el tiempo de prestación por paternidad a la prestación de maternidad en familia monoparental por cuanto se fundan en derechos individuales no transferibles y que precisan de cotizaciones en cada uno de los progenitores, teniendo finalidades distintas dichas prestaciones.</w:t>
      </w:r>
    </w:p>
    <w:p w14:paraId="6365F9EB" w14:textId="77777777" w:rsidR="00B35D37" w:rsidRDefault="00B35D37" w:rsidP="00B35D37">
      <w:pPr>
        <w:pStyle w:val="TextoNormal"/>
      </w:pPr>
    </w:p>
    <w:p w14:paraId="34A77F1C" w14:textId="77777777" w:rsidR="00B35D37" w:rsidRDefault="00B35D37" w:rsidP="00B35D37">
      <w:pPr>
        <w:pStyle w:val="TextoNormal"/>
      </w:pPr>
      <w:r>
        <w:t>d) Contra esa sentencia la parte actora interpuso recurso de suplicación por infracción normativa alegando, por la vía del apartado c) del art. 193 de la Ley 36/2011, de 10 de octubre, reguladora de la jurisdicción social, la vulneración de los arts. 10.2, 14, 39 y 96 CE; de los arts. 2.1, 3.1 y 26 de la Convención sobre los derechos del niño; del art. 31 de la Ley 25/2014, de 27 de noviembre, de tratados y otros acuerdos internacionales; del art. 8 del Convenio europeo para la protección de los derechos humanos y de las libertades fundamentales; del art. 177 de la vigente Ley general de la Seguridad Social, y de la disposición transitoria decimotercera, letra f, del Real Decreto-ley 6/2019, de 1 de marzo, de medidas urgentes para la garantía de la igualdad de trato y de oportunidades entre mujeres y hombres en el empleo y en la ocupación.</w:t>
      </w:r>
    </w:p>
    <w:p w14:paraId="35A901AA" w14:textId="77777777" w:rsidR="00B35D37" w:rsidRDefault="00B35D37" w:rsidP="00B35D37">
      <w:pPr>
        <w:pStyle w:val="TextoNormal"/>
      </w:pPr>
    </w:p>
    <w:p w14:paraId="0DB85199" w14:textId="77777777" w:rsidR="00B35D37" w:rsidRDefault="00B35D37" w:rsidP="00B35D37">
      <w:pPr>
        <w:pStyle w:val="TextoNormal"/>
      </w:pPr>
      <w:r>
        <w:t>En apoyo de su pretensión y tal y como había hecho en la instancia, la recurrente citaba la sentencia 396/2020, de la Sala de lo Social del Tribunal Superior de Justicia del País Vasco de 6 de octubre (recurso núm. 941-2020, ECLI:ES:TSJPV:2020:396) y otras que la siguieron y que habían reconocido el derecho pretendido.</w:t>
      </w:r>
    </w:p>
    <w:p w14:paraId="0779DD80" w14:textId="77777777" w:rsidR="00B35D37" w:rsidRDefault="00B35D37" w:rsidP="00B35D37">
      <w:pPr>
        <w:pStyle w:val="TextoNormal"/>
      </w:pPr>
    </w:p>
    <w:p w14:paraId="610C98AD" w14:textId="77777777" w:rsidR="00B35D37" w:rsidRDefault="00B35D37" w:rsidP="00B35D37">
      <w:pPr>
        <w:pStyle w:val="TextoNormal"/>
      </w:pPr>
      <w:r>
        <w:t>e) Durante la tramitación del recurso de suplicación núm. 2357-2022, se dictó la STS 783/2023, de 2 de marzo (recurso núm. 3972-2020, ECLI:ES:TS:2023:783), revocando la  sentencia 396/2020, del Tribunal Superior de Justicia del País Vasco, de 6 de octubre y desestimando la pretensión de la ampliación del permiso de maternidad en caso de familia monoparental. Consideró el Tribunal Supremo que la interpretación propuesta por el Tribunal Superior de Justicia del País Vasco se adentraba en la “creación del derecho” que “corresponde al legislador” y se apartaba de la tarea encomendada por la Constitución a jueces y tribunales, esto es, “la aplicación e interpretación” del mismo. En tal sentido, señaló que ni la Constitución Española, ni el Derecho europeo, ni ningún tratado internacional, imponían la interpretación propuesta; que el alcance de las prestaciones sociales correspondía determinarlo al legislador (art. 41 CE); y que no podía apreciarse discriminación de las familias monoparentales contraria al art. 14 CE porque el derecho de los dos progenitores en las biparentales no era automático, sino que exigía el encuadramiento en la Seguridad Social y un periodo de carencia. Añade la resolución del Tribunal Supremo que la situación manifestada en la demanda era conocida por el legislador que, hasta en dos ocasiones (14 de enero de 2022 y 8 de febrero de 2023) había rechazado una proposición de ley y una enmienda, respectivamente, dirigidas a ampliar el permiso de las familias monoparentales a treinta y dos semanas.</w:t>
      </w:r>
    </w:p>
    <w:p w14:paraId="22B0A11C" w14:textId="77777777" w:rsidR="00B35D37" w:rsidRDefault="00B35D37" w:rsidP="00B35D37">
      <w:pPr>
        <w:pStyle w:val="TextoNormal"/>
      </w:pPr>
    </w:p>
    <w:p w14:paraId="190D3768" w14:textId="77777777" w:rsidR="00B35D37" w:rsidRDefault="00B35D37" w:rsidP="00B35D37">
      <w:pPr>
        <w:pStyle w:val="TextoNormal"/>
      </w:pPr>
      <w:r>
        <w:t xml:space="preserve">f) A la vista de la sentencia del Tribunal Supremo y una vez tramitado íntegramente el recurso de suplicación planteado en el caso de autos, la Sala de lo Social del Tribunal Superior de Justicia del País Vasco dictó con fecha de 25 de abril de 2023 providencia del siguiente tenor: </w:t>
      </w:r>
    </w:p>
    <w:p w14:paraId="1FE04A9D" w14:textId="77777777" w:rsidR="00B35D37" w:rsidRDefault="00B35D37" w:rsidP="00B35D37">
      <w:pPr>
        <w:pStyle w:val="TextoNormal"/>
      </w:pPr>
    </w:p>
    <w:p w14:paraId="66474270" w14:textId="77777777" w:rsidR="00B35D37" w:rsidRDefault="00B35D37" w:rsidP="00B35D37">
      <w:pPr>
        <w:pStyle w:val="TextoNormal"/>
      </w:pPr>
      <w:r>
        <w:t>“Con carácter previo a la resolución del presente recurso, y siendo que la interpretación que la recurrente propugna respecto a la pretensión articulada es la que refleja el criterio que ha sido el habitual de esta Sala de lo Social del Tribunal Superior de Justicia, desde su sentencia de 6 de octubre de 2020 (recurso 941-2020) y resultando que la misma ha sido revocada recientemente por la sentencia de la Sala Cuarta del Tribunal Supremo de fecha 2 de marzo de 2023 (recurso 3972-2020, publicada en el “Boletín Oficial del Estado de 6 de abril de 2023), sin embargo, habiendo surgido dudas en la mayoría deliberante de este recurso acerca de la constitucionalidad del art. 177 de la Ley general de la Seguridad Social en relación con el art. 48 del estatuto de los trabajadores y el art. 49 del estatuto básico del empleado público, de conformidad con el artículo 35, punto 2 de la Ley Orgánica del Tribunal Constitucional, dese audiencia a las partes del presente procedimiento y al Ministerio Fiscal para que, en el plazo común e improrrogable de diez días, puedan alegar lo que deseen sobre la pertinencia de plantear una cuestión de inconstitucionalidad o sobre el fondo de esta respecto a la normativa señalada”.</w:t>
      </w:r>
    </w:p>
    <w:p w14:paraId="05BCD4C4" w14:textId="77777777" w:rsidR="00B35D37" w:rsidRDefault="00B35D37" w:rsidP="00B35D37">
      <w:pPr>
        <w:pStyle w:val="TextoNormal"/>
      </w:pPr>
    </w:p>
    <w:p w14:paraId="73A7AC5E" w14:textId="77777777" w:rsidR="00B35D37" w:rsidRDefault="00B35D37" w:rsidP="00B35D37">
      <w:pPr>
        <w:pStyle w:val="TextoNormal"/>
      </w:pPr>
      <w:r>
        <w:t>g) El Ministerio Fiscal interpuso el día 26 de abril de 2023 recurso de reposición contra la citada providencia solicitando su nulidad por incumplir los requisitos del art. 35.2 de la Ley Orgánica del Tribunal Constitucional (LOTC), en concreto, la obligación de identificar la norma o normas constitucionales que se suponen infringidas y de especificar y justificar en qué medida la decisión del proceso depende de la validez de la norma en cuestión, solicitando que se dictara otra en su lugar con los requisitos legales necesarios para emitir el informe interesado.</w:t>
      </w:r>
    </w:p>
    <w:p w14:paraId="619BA945" w14:textId="77777777" w:rsidR="00B35D37" w:rsidRDefault="00B35D37" w:rsidP="00B35D37">
      <w:pPr>
        <w:pStyle w:val="TextoNormal"/>
      </w:pPr>
    </w:p>
    <w:p w14:paraId="7367EEC3" w14:textId="77777777" w:rsidR="00B35D37" w:rsidRDefault="00B35D37" w:rsidP="00B35D37">
      <w:pPr>
        <w:pStyle w:val="TextoNormal"/>
      </w:pPr>
      <w:r>
        <w:t>h) Por diligencia del letrado de la administración de Justicia, de 2 de mayo de 2023, se tuvieron por efectuadas las manifestaciones contenidas en el anterior escrito y se acordó que se estuviese a la terminación del plazo acordado en la providencia recurrida.</w:t>
      </w:r>
    </w:p>
    <w:p w14:paraId="26FA2D05" w14:textId="77777777" w:rsidR="00B35D37" w:rsidRDefault="00B35D37" w:rsidP="00B35D37">
      <w:pPr>
        <w:pStyle w:val="TextoNormal"/>
      </w:pPr>
    </w:p>
    <w:p w14:paraId="7D07AADF" w14:textId="77777777" w:rsidR="00B35D37" w:rsidRDefault="00B35D37" w:rsidP="00B35D37">
      <w:pPr>
        <w:pStyle w:val="TextoNormal"/>
      </w:pPr>
      <w:r>
        <w:t>i) Por escrito de 3 de mayo de 2023, la representación procesal de la recurrente en suplicación solicitó el planteamiento de cuestión de inconstitucionalidad ante el Tribunal Constitucional, al entender que la normativa citada por la Sala conculcaba el derecho a la igualdad de los menores nacidos en familias monoparentales respecto de los nacidos en familias biparentales, en cuanto a los periodos de atención y cuidado parental de los mismos, quebrantando el desarrollo de dichos menores por razón del estado civil o situación o condición de su progenitor. Además, entiende esta parte que la normativa es claramente discriminatoria para las mujeres (que eran mayoritariamente las que formaban familias monoparentales) y sus derechos de conciliación y vida familiar.</w:t>
      </w:r>
    </w:p>
    <w:p w14:paraId="09A4F9EF" w14:textId="77777777" w:rsidR="00B35D37" w:rsidRDefault="00B35D37" w:rsidP="00B35D37">
      <w:pPr>
        <w:pStyle w:val="TextoNormal"/>
      </w:pPr>
    </w:p>
    <w:p w14:paraId="1686B971" w14:textId="77777777" w:rsidR="00B35D37" w:rsidRDefault="00B35D37" w:rsidP="00B35D37">
      <w:pPr>
        <w:pStyle w:val="TextoNormal"/>
      </w:pPr>
      <w:r>
        <w:t>j) Por escrito de 9 de mayo de 2023 el fiscal adujo que, dado el contenido de la providencia de 25 de abril de 2023, no podía llevar a cabo el estudio sobre si los artículos cuestionados respetaban los preceptos constitucionales, por lo que entendía que no procedía plantear la cuestión de inconstitucionalidad en los términos recogidos en dicha providencia.</w:t>
      </w:r>
    </w:p>
    <w:p w14:paraId="0C40FA32" w14:textId="77777777" w:rsidR="00B35D37" w:rsidRDefault="00B35D37" w:rsidP="00B35D37">
      <w:pPr>
        <w:pStyle w:val="TextoNormal"/>
      </w:pPr>
    </w:p>
    <w:p w14:paraId="78664969" w14:textId="77777777" w:rsidR="00B35D37" w:rsidRDefault="00B35D37" w:rsidP="00B35D37">
      <w:pPr>
        <w:pStyle w:val="TextoNormal"/>
      </w:pPr>
      <w:r>
        <w:t>k) Por escrito de 11 de mayo de 2023 evacuó el trámite de alegaciones la letrada de la administración de la Seguridad Social en representación del INSS y la Tesorería General de la Seguridad Social. Esta parte alega que la providencia de la Sala de lo Social del Tribunal Superior de Justicia del País Vasco no concretaba el precepto constitucional que se suponía infringido en los términos exigidos por el art. 35.2 LOTC. Sin perjuicio de lo anterior, argumenta que los preceptos referidos no incurrían en ningún vicio de inconstitucionalidad, tal y como advirtió la STS 783/2023, de 2 de marzo. Añadió además, en cuanto al escrito presentado por la recurrente interesando la suspensión del presente procedimiento hasta que se resolviera la cuestión prejudicial planteada por el Juzgado de lo Social núm. 1 de Sevilla al Tribunal de Justicia de la Unión Europea, que tal circunstancia solo produce la suspensión del proceso en el que ha sido planteada, sin que exista ninguna previsión en la normativa comunitaria o nacional sobre la posibilidad de extender dicha suspensión a otros procedimientos pendientes que pudieran verse afectados.</w:t>
      </w:r>
    </w:p>
    <w:p w14:paraId="3939E104" w14:textId="77777777" w:rsidR="00B35D37" w:rsidRDefault="00B35D37" w:rsidP="00B35D37">
      <w:pPr>
        <w:pStyle w:val="TextoNormal"/>
      </w:pPr>
    </w:p>
    <w:p w14:paraId="0ACE77D5" w14:textId="00160FF0" w:rsidR="00B35D37" w:rsidRDefault="00B35D37" w:rsidP="00B35D37">
      <w:pPr>
        <w:pStyle w:val="TextoNormal"/>
      </w:pPr>
      <w:r>
        <w:t>l) La Sala de lo Social del Tribunal Superior de Justicia del País Vasco acordó mediante auto de 23 de mayo de 2023 el planteamiento de cuestión de inconstitucionalidad “respecto del vigente artículo 177 de la Ley general de la Seguridad Social en relación con el artículo 48, apartados 4,5 y 6 del estatuto de los trabajadores por su posible contradicción con el artículo 14 de la Constitución en cuanto al derecho del menor sobre el que se fija la prestación por nacimiento y cuidado del mismo y en cuanto a la madre, con respecto de tal prestación, para los casos en que dicho menor forme parte de una familia monoparental cuyo único progenitor es tal madre, considerando la exégesis del Tribunal Supremo de tal preceptiva en estos casos”.</w:t>
      </w:r>
    </w:p>
    <w:p w14:paraId="3EFF253E" w14:textId="77777777" w:rsidR="00B35D37" w:rsidRDefault="00B35D37" w:rsidP="00B35D37">
      <w:pPr>
        <w:pStyle w:val="TextoNormal"/>
      </w:pPr>
    </w:p>
    <w:p w14:paraId="06CF96EE" w14:textId="77777777" w:rsidR="00B35D37" w:rsidRDefault="00B35D37" w:rsidP="00B35D37">
      <w:pPr>
        <w:pStyle w:val="TextoNormal"/>
      </w:pPr>
      <w:r w:rsidRPr="00B35D37">
        <w:rPr>
          <w:rStyle w:val="NumeroAFNegritaCaracter"/>
        </w:rPr>
        <w:t>3</w:t>
      </w:r>
      <w:r>
        <w:t>. En el auto de planteamiento de la cuestión, el Tribunal Superior de Justicia proponente, tras precisar los antecedentes de hecho, señala que, siendo la persona demandante una trabajadora por cuenta ajena, los preceptos que serían directamente aplicables al caso serían los arts. 177 LGSS y 48, apartados 4, 5 y 6 LET, al que se remite el primero.</w:t>
      </w:r>
    </w:p>
    <w:p w14:paraId="2D00C6BC" w14:textId="77777777" w:rsidR="00B35D37" w:rsidRDefault="00B35D37" w:rsidP="00B35D37">
      <w:pPr>
        <w:pStyle w:val="TextoNormal"/>
      </w:pPr>
    </w:p>
    <w:p w14:paraId="1374C3F4" w14:textId="77777777" w:rsidR="00B35D37" w:rsidRDefault="00B35D37" w:rsidP="00B35D37">
      <w:pPr>
        <w:pStyle w:val="TextoNormal"/>
      </w:pPr>
      <w:r>
        <w:t>Una vez reproducido el contenido literal de estas disposiciones se indica que es esa la normativa concreta que se ha de aplicar a la resolución del caso (juicio de aplicabilidad). También alude el auto al art. 49 del estatuto básico del empleado público (texto refundido aprobado por el Real Decreto Legislativo 5/2015, de 30 de octubre), afirmando que puede plantearse la misma duda de constitucionalidad planteada en el auto respecto de este precepto (fundamento de Derecho primero del auto de planteamiento).</w:t>
      </w:r>
    </w:p>
    <w:p w14:paraId="46F799F0" w14:textId="77777777" w:rsidR="00B35D37" w:rsidRDefault="00B35D37" w:rsidP="00B35D37">
      <w:pPr>
        <w:pStyle w:val="TextoNormal"/>
      </w:pPr>
    </w:p>
    <w:p w14:paraId="55705625" w14:textId="77777777" w:rsidR="00B35D37" w:rsidRDefault="00B35D37" w:rsidP="00B35D37">
      <w:pPr>
        <w:pStyle w:val="TextoNormal"/>
      </w:pPr>
      <w:r>
        <w:t xml:space="preserve">Se recuerda después la posición mantenida por la propia Sala del Tribunal Superior de Justicia del País Vasco (en sentencia de 6 de octubre de 2020, y otras muchas posteriores) que, resolviendo un caso similar, estimó la pretensión de la actora al considerar que una exégesis de la normativa ordinaria, de la Constitución y de los tratados internacionales así lo determinaba. Esa solución ampliatoria de la prestación de la Seguridad Social, seguida por otros tribunales superiores de justicia (se advierte que también había otros muchos que se venían pronunciando en contra) permitía evitar un peyorativo efecto discriminatorio del o de la menor y de la progenitora de una familia monoparental. Tal criterio se mantuvo hasta que se conoció la STS 783/2023, de 2 de marzo, que rectificó la interpretación sostenida por el Tribunal Superior de Justicia del País Vasco, y que ha fijado la solución a seguir en estos casos. Dicho esto, se señalan en el auto de planteamiento los reparos que suscita en el órgano </w:t>
      </w:r>
      <w:r w:rsidRPr="00B35D37">
        <w:rPr>
          <w:i/>
        </w:rPr>
        <w:t>a quo</w:t>
      </w:r>
      <w:r>
        <w:t xml:space="preserve"> la interpretación del Tribunal Supremo, que se considera poco respetuosa con la Constitución, razón que lleva al planteamiento de la cuestión de inconstitucionalidad, al entender concurrentes los presupuestos previstos en el art. 163 CE y en el art. 35 LOTC (fundamento de Derecho segundo del auto de planteamiento).</w:t>
      </w:r>
    </w:p>
    <w:p w14:paraId="5B394A08" w14:textId="77777777" w:rsidR="00B35D37" w:rsidRDefault="00B35D37" w:rsidP="00B35D37">
      <w:pPr>
        <w:pStyle w:val="TextoNormal"/>
      </w:pPr>
    </w:p>
    <w:p w14:paraId="7404BF90" w14:textId="77777777" w:rsidR="00B35D37" w:rsidRDefault="00B35D37" w:rsidP="00B35D37">
      <w:pPr>
        <w:pStyle w:val="TextoNormal"/>
      </w:pPr>
      <w:r>
        <w:t>Posteriormente (fundamento de Derecho tercero del auto de planteamiento), se pasa a dar respuesta a los “aspectos tangenciales” resaltados por el Ministerio Fiscal y las partes al haberles dado traslado previo. Tras recordar que la providencia de 18 de abril de 2023 no era susceptible de recurso, a pesar de que fue recurrida en reposición por el fiscal, se indica que el defecto advertido (falta de cita del precepto constitucional que se pueda considerar infringido) era un “argumento puramente formal y reduccionista del contenido íntegro de tal resolución”, y que a través del contenido de la providencia se alcanzaba a tener conocimiento suficiente del precepto constitucional a que podía referirse la duda, señalando que “de su lectura se deduce que se proponía poner en cuestión la compatibilidad de esa sentencia del Tribunal Supremo con el artículo 14 de la Constitución”, al mencionarse la contradicción existente entre la sentencia del Tribunal Superior de Justicia del País Vasco de 6 de octubre de 2022 (en la que la actora apoyaba su pretensión) y la sentencia de la Sala Cuarta del Tribunal Supremo de 2 de marzo de 2023, en las que se aludía al elemento discriminador. Añade el auto que, de hecho, las partes demandante y demandada en el proceso así lo han considerado, evacuando informe sobre la eventual vulneración o no de aquel precepto constitucional tras leer la misma providencia. En suma, se entiende que no se podía mantener que el fiscal no hubiese sido debidamente informado de la razón del traslado que se le daba y que no pudiese emitir informe sobre lo que se le planteaba.</w:t>
      </w:r>
    </w:p>
    <w:p w14:paraId="310C6438" w14:textId="77777777" w:rsidR="00B35D37" w:rsidRDefault="00B35D37" w:rsidP="00B35D37">
      <w:pPr>
        <w:pStyle w:val="TextoNormal"/>
      </w:pPr>
    </w:p>
    <w:p w14:paraId="18E12B86" w14:textId="77777777" w:rsidR="00B35D37" w:rsidRDefault="00B35D37" w:rsidP="00B35D37">
      <w:pPr>
        <w:pStyle w:val="TextoNormal"/>
      </w:pPr>
      <w:r>
        <w:t>El auto de planteamiento precisa en el fundamento cuarto que el objeto de la cuestión no debe versar sobre una divergencia hermenéutica entre la posición previa del Tribunal Superior de Justicia del País Vasco y la sentencia del Tribunal Supremo, sino que debe estar constreñido a fijar las razones por las que el criterio unificador mantenido puede comprometer el derecho fundamental a no ser discriminado. Se centra después el auto en el art. 41 CE, que establece las líneas básicas de nuestro sistema de protección social público (fundamento de Derecho quinto del auto de planteamiento), recordando que la amplia libertad del legislador para concretar su contenido está sujeta a límites como los que impone la protección de la familia (art. 39 CE), tal y como ha recordado el Tribunal Constitucional (SSTC 111/2018, de 17 de octubre, y 117/2018, de 29 de octubre), subrayando la necesidad de que la diferencia de trato legislativa tenga justificación objetiva y razonable (con cita extensa de la STC 75/2011, de 19 de mayo).</w:t>
      </w:r>
    </w:p>
    <w:p w14:paraId="327F49CD" w14:textId="77777777" w:rsidR="00B35D37" w:rsidRDefault="00B35D37" w:rsidP="00B35D37">
      <w:pPr>
        <w:pStyle w:val="TextoNormal"/>
      </w:pPr>
    </w:p>
    <w:p w14:paraId="43AD0450" w14:textId="77777777" w:rsidR="00B35D37" w:rsidRDefault="00B35D37" w:rsidP="00B35D37">
      <w:pPr>
        <w:pStyle w:val="TextoNormal"/>
      </w:pPr>
      <w:r>
        <w:t xml:space="preserve">El órgano judicial </w:t>
      </w:r>
      <w:r w:rsidRPr="00B35D37">
        <w:rPr>
          <w:i/>
        </w:rPr>
        <w:t>a quo</w:t>
      </w:r>
      <w:r>
        <w:t xml:space="preserve"> plantea en este punto (fundamento de Derecho sexto) sus dudas sobre si está justificada la diferencia de trato del menor sobre el que se focaliza la prestación de Seguridad Social y de la progenitora, toda vez que la prestación tiene tres elementos: atención del cuidado del niño; atención a las necesidades de la madre; e idea igualitaria de corresponsabilidad de los progenitores. Se resalta después lo llamativo de que el legislador haya previsto la protección de las familias monoparentales en la prestación de índole no contributivo y no lo ha hecho en la cuestionada. Después, se refiere a las distintas modalidades de familias monoparentales que pueden serlo por decisión voluntaria, por premoriencia del otro progenitor o por una situación de separación o divorcio, subrayando que en la mayoría de los casos el progenitor único es una mujer.</w:t>
      </w:r>
    </w:p>
    <w:p w14:paraId="7F8FB5FE" w14:textId="77777777" w:rsidR="00B35D37" w:rsidRDefault="00B35D37" w:rsidP="00B35D37">
      <w:pPr>
        <w:pStyle w:val="TextoNormal"/>
      </w:pPr>
    </w:p>
    <w:p w14:paraId="1EC36B87" w14:textId="77777777" w:rsidR="00B35D37" w:rsidRDefault="00B35D37" w:rsidP="00B35D37">
      <w:pPr>
        <w:pStyle w:val="TextoNormal"/>
      </w:pPr>
      <w:r>
        <w:t xml:space="preserve">Con respecto al menor (fundamento de Derecho séptimo), se destaca que no solo es objeto de protección sino sujeto de derechos, entre ellos, el de no ser discriminado (art. 14 CE), operando la protección integral de los hijos con independencia de su filiación, tal y como ha señalado la STC 154/2006, de 22 de mayo. La actual regulación de la prestación de la Seguridad Social discrimina de forma directa a los hijos de familias monoparentales frente a los que tienen dos progenitores que les atienden y cuidan, pues su atención no es la misma. Y así, de la misma manera que está vetada la prestación de Seguridad Social que diferencia por razón de la filiación matrimonial o no del menor, se ha de entender que opera igual discriminación por el hecho de que esa afiliación se produzca en el seno de una familia con un solo progenitor que ha de atender de forma exclusiva a su cuidado. En cuanto al interés preponderante del menor se citan las SSTC 64/2019, de 9 de mayo; 178/2020, de 14 de diciembre, y 81/2021, de 19 de abril, y se señala que es ese el interés preponderante en la prestación, atendiendo a lo dispuesto en el art. 39 CE. Si se señalara que el interés es el de la madre, recuerda la doctrina </w:t>
      </w:r>
      <w:r w:rsidRPr="00B35D37">
        <w:rPr>
          <w:i/>
        </w:rPr>
        <w:t>Coleman</w:t>
      </w:r>
      <w:r>
        <w:t xml:space="preserve"> del Tribunal de Justicia de la Unión Europea (sentencia de 17 de julio de 2008, asunto C-303/06), aplicada por el Tribunal Constitucional en la STC 71/2020, de 29 de junio.</w:t>
      </w:r>
    </w:p>
    <w:p w14:paraId="1CDBED5A" w14:textId="77777777" w:rsidR="00B35D37" w:rsidRDefault="00B35D37" w:rsidP="00B35D37">
      <w:pPr>
        <w:pStyle w:val="TextoNormal"/>
      </w:pPr>
    </w:p>
    <w:p w14:paraId="1E6FDF66" w14:textId="77777777" w:rsidR="00B35D37" w:rsidRDefault="00B35D37" w:rsidP="00B35D37">
      <w:pPr>
        <w:pStyle w:val="TextoNormal"/>
      </w:pPr>
      <w:r>
        <w:t>En relación con la demandante, madre del menor y única progenitora de la familia monoparental, reitera el auto en su fundamento de Derecho octavo que, de forma predominante, son las mujeres quienes se encuentra en esa situación, siendo minoritarios los casos en los que es un hombre el único progenitor, por lo que se puede hablar de discriminación indirecta provocada por la norma. Mientras que esa madre no tiene las mismas necesidades que la de una familia en la que colabora el otro progenitor, el niño tiene las mismas necesidades de cuidado. Por tanto, al amparo de una norma aparentemente neutra se produce una situación perjudicial de la madre de la familia monoparental en relación con la familia biparental, porque siendo idénticas las necesidades ha de dedicar mayor tiempo a su atención, lo que repercute también en la esfera laboral y en las dificultades para la conciliación de la vida personal y laboral.</w:t>
      </w:r>
    </w:p>
    <w:p w14:paraId="7B468967" w14:textId="77777777" w:rsidR="00B35D37" w:rsidRDefault="00B35D37" w:rsidP="00B35D37">
      <w:pPr>
        <w:pStyle w:val="TextoNormal"/>
      </w:pPr>
    </w:p>
    <w:p w14:paraId="0EB16CA3" w14:textId="77777777" w:rsidR="00B35D37" w:rsidRDefault="00B35D37" w:rsidP="00B35D37">
      <w:pPr>
        <w:pStyle w:val="TextoNormal"/>
      </w:pPr>
      <w:r>
        <w:t>Termina el auto señalando que no se aprecia causa justificativa de la discriminación advertida. Las necesidades del menor son las mismas, también las de la madre (razones de salud y descanso), siendo la única diferencia el que no existe una responsabilidad compartida en las atenciones y cuidado del menor. La ausencia del otro progenitor no es elemento justificativo de la peyorativa situación. Las razones expuestas abonan la duda de constitucionalidad que se plantea, por lo que se acuerda elevar al Tribunal Constitucional la cuestión.</w:t>
      </w:r>
    </w:p>
    <w:p w14:paraId="144E2566" w14:textId="77777777" w:rsidR="00B35D37" w:rsidRDefault="00B35D37" w:rsidP="00B35D37">
      <w:pPr>
        <w:pStyle w:val="TextoNormal"/>
      </w:pPr>
    </w:p>
    <w:p w14:paraId="2CE90E06" w14:textId="02B9E0E7" w:rsidR="00B35D37" w:rsidRDefault="00B35D37" w:rsidP="00B35D37">
      <w:pPr>
        <w:pStyle w:val="TextoNormal"/>
      </w:pPr>
      <w:r>
        <w:t>El auto cuenta con un voto particular que formula la magistrada doña Maite Alejandro Arazamendi. En el voto la magistrada sostiene que la sentencia de 2 de marzo de 2023 del Tribunal Supremo, que acoge el recurso del Ministerio Fiscal en interés de ley, rechaza la ampliación del permiso a las familias monoparentales y zanja la cuestión debatida, razonando que la actual regulación legal no resulta contraria a la letra o al espíritu de la Constitución Española, ni se sitúa al margen de la normativa internacional, ni resulta contraria a los acuerdos, pactos o convenios internacionales, de modo que la pretensión de la actora debería haberse desestimado.</w:t>
      </w:r>
    </w:p>
    <w:p w14:paraId="7D9AF8C5" w14:textId="77777777" w:rsidR="00B35D37" w:rsidRDefault="00B35D37" w:rsidP="00B35D37">
      <w:pPr>
        <w:pStyle w:val="TextoNormal"/>
      </w:pPr>
    </w:p>
    <w:p w14:paraId="594D5E3E" w14:textId="1C3AA596" w:rsidR="00B35D37" w:rsidRDefault="00B35D37" w:rsidP="00B35D37">
      <w:pPr>
        <w:pStyle w:val="TextoNormal"/>
      </w:pPr>
      <w:r w:rsidRPr="00B35D37">
        <w:rPr>
          <w:rStyle w:val="NumeroAFNegritaCaracter"/>
        </w:rPr>
        <w:t>4</w:t>
      </w:r>
      <w:r>
        <w:t>. Mediante providencia de 3 de diciembre de 2024, el Pleno acordó, a los efectos que determina el art. 37.1 LOTC, oír al fiscal general del Estado para que, en el plazo de diez días, alegara lo que considerase conveniente sobre la posible pérdida sobrevenida de objeto de la presente cuestión de inconstitucionalidad, a la vista del fallo de la STC 140/2024, de 6 de noviembre.</w:t>
      </w:r>
    </w:p>
    <w:p w14:paraId="4183B641" w14:textId="77777777" w:rsidR="00B35D37" w:rsidRDefault="00B35D37" w:rsidP="00B35D37">
      <w:pPr>
        <w:pStyle w:val="TextoNormal"/>
      </w:pPr>
    </w:p>
    <w:p w14:paraId="0BABC61B" w14:textId="77777777" w:rsidR="00B35D37" w:rsidRDefault="00B35D37" w:rsidP="00B35D37">
      <w:pPr>
        <w:pStyle w:val="TextoNormal"/>
      </w:pPr>
      <w:r w:rsidRPr="00B35D37">
        <w:rPr>
          <w:rStyle w:val="NumeroAFNegritaCaracter"/>
        </w:rPr>
        <w:t>5</w:t>
      </w:r>
      <w:r>
        <w:t>. El fiscal general del Estado presentó su escrito de alegaciones en este tribunal el 7 de enero de 2025, interesando que se declare la inadmisión de esta cuestión de inconstitucionalidad por desaparición sobrevenida de su objeto, habida cuenta de lo resuelto en la STC 140/2024, de 6 de noviembre.</w:t>
      </w:r>
    </w:p>
    <w:p w14:paraId="21B339C5" w14:textId="77777777" w:rsidR="00B35D37" w:rsidRDefault="00B35D37" w:rsidP="00B35D37">
      <w:pPr>
        <w:pStyle w:val="TextoNormal"/>
      </w:pPr>
    </w:p>
    <w:p w14:paraId="46FA787D" w14:textId="2829EFF7" w:rsidR="00B35D37" w:rsidRDefault="00B35D37" w:rsidP="00B35D37">
      <w:pPr>
        <w:pStyle w:val="TextoNormal"/>
      </w:pPr>
      <w:r>
        <w:t>Sostiene el fiscal en su escrito de alegaciones que es doctrina constitucional consolidada que cuando han sido ya declarados inconstitucionales y nulos los preceptos cuestionados, las posteriores cuestiones de inconstitucionalidad sobre los mismos han perdido su objeto, constatando que la STC 140/2024 de 6 de noviembre ha resuelto la cuestión de inconstitucionalidad núm. 6694-2023, en la cual se cuestionaba la constitucionalidad de los mismos preceptos que en la presente cuestión, por la posible infracción del art. 14 CE (el mismo que aquí se alega) y además los arts. 39, apartados 1, 2 y 4, y 41 CE, declarando la inconstitucionalidad de los arts. 48.4 LET y 177 LGSS, por vulneración del art. 14 CE, en relación con el art. 39 CE. Así pues, habiéndose pronunciado la STC 140/2024 de 6 de noviembre, sobre todos los preceptos cuya constitucionalidad se dudaba, declarando la inconstitucionalidad de los que eran aplicables tanto en aquel proceso laboral como en el que ha dado lugar a la actual cuestión de inconstitucionalidad, el fiscal considera que la presente cuestión ha perdido su objeto.</w:t>
      </w:r>
    </w:p>
    <w:p w14:paraId="316AEE5A" w14:textId="77777777" w:rsidR="00B35D37" w:rsidRDefault="00B35D37" w:rsidP="00B35D37">
      <w:pPr>
        <w:pStyle w:val="TextoNormal"/>
      </w:pPr>
    </w:p>
    <w:p w14:paraId="09D3DE56" w14:textId="77777777" w:rsidR="00B35D37" w:rsidRDefault="00B35D37" w:rsidP="00B35D37">
      <w:pPr>
        <w:pStyle w:val="TextoNormalNegritaCentrado"/>
        <w:keepNext/>
      </w:pPr>
      <w:r>
        <w:t>II. Fundamentos jurídicos</w:t>
      </w:r>
    </w:p>
    <w:p w14:paraId="2B278C34" w14:textId="273A7CD6" w:rsidR="00B35D37" w:rsidRDefault="00B35D37" w:rsidP="00B35D37">
      <w:pPr>
        <w:pStyle w:val="TextoNormalNegritaCentrado"/>
        <w:keepNext/>
      </w:pPr>
    </w:p>
    <w:p w14:paraId="51AD1DE3" w14:textId="77777777" w:rsidR="00B35D37" w:rsidRDefault="00B35D37" w:rsidP="00B35D37">
      <w:pPr>
        <w:pStyle w:val="TextoNormal"/>
      </w:pPr>
      <w:r w:rsidRPr="00B35D37">
        <w:rPr>
          <w:rStyle w:val="TextoNormalNegritaCaracter"/>
        </w:rPr>
        <w:t xml:space="preserve">Único. </w:t>
      </w:r>
      <w:r>
        <w:t>La Sala de lo Social del Tribunal Superior de Justicia del País Vasco plantea, por auto de 23 de mayo de 2023, cuestión de inconstitucionalidad respecto del art. 177 LGSS en relación con el art. 48, apartados 4, 5 y 6 LET, por su posible contradicción con el art. 14 CE.</w:t>
      </w:r>
    </w:p>
    <w:p w14:paraId="05D4A591" w14:textId="77777777" w:rsidR="00B35D37" w:rsidRDefault="00B35D37" w:rsidP="00B35D37">
      <w:pPr>
        <w:pStyle w:val="TextoNormal"/>
      </w:pPr>
    </w:p>
    <w:p w14:paraId="519EE6E2" w14:textId="77777777" w:rsidR="00B35D37" w:rsidRDefault="00B35D37" w:rsidP="00B35D37">
      <w:pPr>
        <w:pStyle w:val="TextoNormal"/>
      </w:pPr>
      <w:r>
        <w:t>El objeto de la cuestión de inconstitucionalidad recae, con carácter principal, y tal y como señala el fiscal general del Estado en su escrito de alegaciones, sobre el art. 177 LGSS, en relación con el art. 48, apartados 4, 5 y 6 LET por su posible contradicción con el art. 14 CE en cuanto al derecho fundamental del menor cuyo nacimiento y cuidado es el motivo de la prestación de la Seguridad Social que se reclama en el proceso laboral, y de la madre trabajadora por cuenta ajena que es la perceptora de la prestación, para los casos en que dicho menor y su madre formen parte de una familia monoparental.</w:t>
      </w:r>
    </w:p>
    <w:p w14:paraId="69CD0141" w14:textId="77777777" w:rsidR="00B35D37" w:rsidRDefault="00B35D37" w:rsidP="00B35D37">
      <w:pPr>
        <w:pStyle w:val="TextoNormal"/>
      </w:pPr>
    </w:p>
    <w:p w14:paraId="68F43ACF" w14:textId="77777777" w:rsidR="00B35D37" w:rsidRDefault="00B35D37" w:rsidP="00B35D37">
      <w:pPr>
        <w:pStyle w:val="TextoNormal"/>
      </w:pPr>
      <w:r>
        <w:t>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7CF3388A" w14:textId="77777777" w:rsidR="00B35D37" w:rsidRDefault="00B35D37" w:rsidP="00B35D37">
      <w:pPr>
        <w:pStyle w:val="TextoNormal"/>
      </w:pPr>
    </w:p>
    <w:p w14:paraId="3EADDE44" w14:textId="77777777" w:rsidR="00B35D37" w:rsidRDefault="00B35D37" w:rsidP="00B35D37">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B35D37">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182ABE6" w14:textId="77777777" w:rsidR="00B35D37" w:rsidRDefault="00B35D37" w:rsidP="00B35D37">
      <w:pPr>
        <w:pStyle w:val="TextoNormal"/>
      </w:pPr>
    </w:p>
    <w:p w14:paraId="41F412BA" w14:textId="77777777" w:rsidR="00B35D37" w:rsidRDefault="00B35D37" w:rsidP="00B35D37">
      <w:pPr>
        <w:pStyle w:val="TextoNormal"/>
      </w:pPr>
      <w:r>
        <w:t>Este pronunciamiento supone que las normas objeto de la presente cuestión de inconstitucionalidad ya han sido declaradas inconstitucionales, y, aunque no hayan sido expulsadas del ordenamiento jurídico en sentido propio, no pueden ser aplicadas ni interpretadas más que en los términos previstos en la STC 140/2024. Dice aquella sentencia que, mientras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6CA5E0AD" w14:textId="77777777" w:rsidR="00B35D37" w:rsidRDefault="00B35D37" w:rsidP="00B35D37">
      <w:pPr>
        <w:pStyle w:val="TextoNormal"/>
      </w:pPr>
    </w:p>
    <w:p w14:paraId="6A62DEFD" w14:textId="45176219" w:rsidR="00B35D37" w:rsidRDefault="00B35D37" w:rsidP="00B35D37">
      <w:pPr>
        <w:pStyle w:val="TextoNormal"/>
      </w:pPr>
      <w:r>
        <w:t xml:space="preserve">Este pronunciamiento previo del Tribunal Constitucional determina, aplicando </w:t>
      </w:r>
      <w:r w:rsidRPr="00B35D37">
        <w:rPr>
          <w:i/>
        </w:rPr>
        <w:t>mutatis mutandis</w:t>
      </w:r>
      <w:r>
        <w:t xml:space="preserve"> la reiterada doctrina de este tribunal sobre la pérdida sobrevenida del objeto en caso de declaración de inconstitucionalidad y nulidad de los preceptos objeto de un proceso de control de constitucionalidad (SSTC 387/1993, de 23 de diciembre, FJ único; 72/1997, de 10 de abril, FJ único; 91/1997, de 8 de mayo, FJ único; y AATC 428/2006, de 21 de noviembre, FJ único; 175/2010, de 23 de noviembre, FJ único; 6/2016, de 19 de enero, FJ 5; 10/2016, de 19 de enero, FJ 5; 5/2017, de 17 de enero, FJ único, y 101/2017, de 4 de julio, por todos), la inadmisión de la presente cuestión de inconstitucionalidad.</w:t>
      </w:r>
    </w:p>
    <w:p w14:paraId="097742A6" w14:textId="77777777" w:rsidR="00B35D37" w:rsidRDefault="00B35D37" w:rsidP="00B35D37">
      <w:pPr>
        <w:pStyle w:val="TextoNormal"/>
      </w:pPr>
    </w:p>
    <w:p w14:paraId="67A56905" w14:textId="77777777" w:rsidR="00B35D37" w:rsidRDefault="00B35D37" w:rsidP="00B35D37">
      <w:pPr>
        <w:pStyle w:val="TextoNormal"/>
      </w:pPr>
      <w:r>
        <w:t>Por lo expuesto, el Pleno</w:t>
      </w:r>
    </w:p>
    <w:p w14:paraId="4478BDE5" w14:textId="6719E650" w:rsidR="00B35D37" w:rsidRDefault="00B35D37" w:rsidP="00B35D37">
      <w:pPr>
        <w:pStyle w:val="TextoNormal"/>
      </w:pPr>
    </w:p>
    <w:p w14:paraId="1E6DDB60" w14:textId="77777777" w:rsidR="00B35D37" w:rsidRDefault="00B35D37" w:rsidP="00B35D37">
      <w:pPr>
        <w:pStyle w:val="TextoNormalCentrado"/>
      </w:pPr>
      <w:r>
        <w:t>ACUERDA</w:t>
      </w:r>
    </w:p>
    <w:p w14:paraId="6EE2E594" w14:textId="118E62B8" w:rsidR="00B35D37" w:rsidRDefault="00B35D37" w:rsidP="00B35D37">
      <w:pPr>
        <w:pStyle w:val="TextoNormalCentrado"/>
      </w:pPr>
    </w:p>
    <w:p w14:paraId="5B14C929" w14:textId="477602FC" w:rsidR="00B35D37" w:rsidRDefault="00B35D37" w:rsidP="00B35D37">
      <w:pPr>
        <w:pStyle w:val="TextoNormal"/>
      </w:pPr>
      <w:r>
        <w:t>Declarar la inadmisión de la cuestión de inconstitucionalidad núm. 3591-2023 por desaparición sobrevenida de su objeto.</w:t>
      </w:r>
    </w:p>
    <w:p w14:paraId="38C32494" w14:textId="77777777" w:rsidR="00B35D37" w:rsidRDefault="00B35D37" w:rsidP="00B35D37">
      <w:pPr>
        <w:pStyle w:val="TextoNormal"/>
      </w:pPr>
    </w:p>
    <w:p w14:paraId="7B3EA40F" w14:textId="77777777" w:rsidR="00B35D37" w:rsidRDefault="00B35D37" w:rsidP="00B35D37">
      <w:pPr>
        <w:pStyle w:val="TextoNormal"/>
      </w:pPr>
      <w:r>
        <w:t>Madrid, a veintiocho de enero de dos mil veinticinco.</w:t>
      </w:r>
    </w:p>
    <w:p w14:paraId="0F24C3D5" w14:textId="10798A77" w:rsidR="00B35D37" w:rsidRDefault="00B35D37">
      <w:pPr>
        <w:spacing w:after="160" w:line="278" w:lineRule="auto"/>
        <w:rPr>
          <w:rFonts w:ascii="Times New Roman" w:eastAsia="Times New Roman" w:hAnsi="Times New Roman" w:cs="Times New Roman"/>
          <w:sz w:val="24"/>
          <w:szCs w:val="24"/>
          <w:lang w:eastAsia="es-ES"/>
        </w:rPr>
      </w:pPr>
      <w:r>
        <w:br w:type="page"/>
      </w:r>
    </w:p>
    <w:p w14:paraId="7F1AC8A2" w14:textId="77777777" w:rsidR="00B35D37" w:rsidRDefault="00B35D37" w:rsidP="00B35D37">
      <w:pPr>
        <w:pStyle w:val="TtuloResolucin"/>
      </w:pPr>
      <w:bookmarkStart w:id="150" w:name="AUTO_2025_11"/>
      <w:r>
        <w:t>AUTO 11/2025, de 28 de enero de 2025</w:t>
      </w:r>
    </w:p>
    <w:bookmarkEnd w:id="150"/>
    <w:p w14:paraId="2E290302" w14:textId="77777777" w:rsidR="00B35D37" w:rsidRDefault="00B35D37" w:rsidP="00B35D37">
      <w:pPr>
        <w:pStyle w:val="TtuloResolucin"/>
      </w:pPr>
      <w:r>
        <w:t>Pleno</w:t>
      </w:r>
    </w:p>
    <w:p w14:paraId="3D2957C4" w14:textId="77777777" w:rsidR="00B35D37" w:rsidRDefault="00B35D37" w:rsidP="00B35D37">
      <w:pPr>
        <w:pStyle w:val="TextoNormalCentrado"/>
      </w:pPr>
      <w:r>
        <w:t>ECLI:ES:TC:2025:11A</w:t>
      </w:r>
    </w:p>
    <w:p w14:paraId="21711DF5" w14:textId="0B970F0F" w:rsidR="00B35D37" w:rsidRDefault="00B35D37" w:rsidP="00B35D37">
      <w:pPr>
        <w:pStyle w:val="TextoNormalCentrado"/>
      </w:pPr>
    </w:p>
    <w:p w14:paraId="25B70262"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3E83DF72" w14:textId="397DAF33" w:rsidR="00B35D37" w:rsidRDefault="00B35D37" w:rsidP="00B35D37">
      <w:pPr>
        <w:pStyle w:val="SntesisDescriptiva"/>
      </w:pPr>
    </w:p>
    <w:p w14:paraId="61BC4BBC" w14:textId="77777777" w:rsidR="00B35D37" w:rsidRDefault="00B35D37" w:rsidP="00B35D37">
      <w:pPr>
        <w:pStyle w:val="SntesisDescriptiva"/>
      </w:pPr>
      <w:r>
        <w:t>Admite a trámite el recurso de amparo 1670-2024, promovido por doña Dolores Delgado García en proceso contencioso-administrativo. Voto particular.</w:t>
      </w:r>
    </w:p>
    <w:p w14:paraId="0FE0EC84" w14:textId="42DE35A1" w:rsidR="00B35D37" w:rsidRDefault="00B35D37" w:rsidP="00B35D37">
      <w:pPr>
        <w:pStyle w:val="SntesisDescriptiva"/>
      </w:pPr>
    </w:p>
    <w:p w14:paraId="4854BBE2" w14:textId="77777777" w:rsidR="00B35D37" w:rsidRDefault="00B35D37" w:rsidP="00B35D37">
      <w:pPr>
        <w:pStyle w:val="SntesisDescriptiva"/>
      </w:pPr>
    </w:p>
    <w:p w14:paraId="46F7C816" w14:textId="77777777" w:rsidR="00B35D37" w:rsidRDefault="00B35D37" w:rsidP="00B35D37">
      <w:pPr>
        <w:pStyle w:val="SntesisDescriptiva"/>
      </w:pPr>
    </w:p>
    <w:p w14:paraId="7EC20672" w14:textId="77777777" w:rsidR="00B35D37" w:rsidRDefault="00B35D37" w:rsidP="00B35D37">
      <w:pPr>
        <w:pStyle w:val="TextoNormalNegritaCentrado"/>
      </w:pPr>
      <w:r>
        <w:t>AUTO</w:t>
      </w:r>
    </w:p>
    <w:p w14:paraId="61C02A61" w14:textId="2426C78C" w:rsidR="00B35D37" w:rsidRDefault="00B35D37" w:rsidP="00B35D37">
      <w:pPr>
        <w:pStyle w:val="TextoNormalNegritaCentrado"/>
      </w:pPr>
    </w:p>
    <w:p w14:paraId="6624C43E" w14:textId="77777777" w:rsidR="00B35D37" w:rsidRDefault="00B35D37" w:rsidP="00B35D37">
      <w:pPr>
        <w:pStyle w:val="TextoNormalNegritaCentrado"/>
        <w:keepNext/>
      </w:pPr>
      <w:r>
        <w:t>I. Antecedentes</w:t>
      </w:r>
    </w:p>
    <w:p w14:paraId="03FEFB40" w14:textId="67F96857" w:rsidR="00B35D37" w:rsidRDefault="00B35D37" w:rsidP="00B35D37">
      <w:pPr>
        <w:pStyle w:val="TextoNormalNegritaCentrado"/>
        <w:keepNext/>
      </w:pPr>
    </w:p>
    <w:p w14:paraId="2E759BE8" w14:textId="141F014F" w:rsidR="00B35D37" w:rsidRDefault="00B35D37" w:rsidP="00B35D37">
      <w:pPr>
        <w:pStyle w:val="TextoNormal"/>
      </w:pPr>
      <w:r w:rsidRPr="00B35D37">
        <w:rPr>
          <w:rStyle w:val="NumeroAFNegritaCaracter"/>
        </w:rPr>
        <w:t>1</w:t>
      </w:r>
      <w:r>
        <w:t>. Mediante escrito presentado en el registro general de este tribunal el 7 de marzo de 2024, la representación procesal de doña Dolores Delgado García interpuso recurso de amparo contra (i) la sentencia de la Sección Cuarta de la Sala de lo Contencioso-Administrativo del Tribunal Supremo núm. 1499/2023, de 21 de noviembre, recaída en el procedimiento ordinario núm. 934-2022, y (ii) el auto del mismo órgano judicial de 22 de enero de 2024 que acuerda que no ha lugar al incidente de nulidad de actuaciones interpuesto frente a la citada sentencia.</w:t>
      </w:r>
    </w:p>
    <w:p w14:paraId="066BFC93" w14:textId="77777777" w:rsidR="00B35D37" w:rsidRDefault="00B35D37" w:rsidP="00B35D37">
      <w:pPr>
        <w:pStyle w:val="TextoNormal"/>
      </w:pPr>
    </w:p>
    <w:p w14:paraId="182EE2CA" w14:textId="77777777" w:rsidR="00B35D37" w:rsidRDefault="00B35D37" w:rsidP="00B35D37">
      <w:pPr>
        <w:pStyle w:val="TextoNormal"/>
      </w:pPr>
      <w:r w:rsidRPr="00B35D37">
        <w:rPr>
          <w:rStyle w:val="NumeroAFNegritaCaracter"/>
        </w:rPr>
        <w:t>2</w:t>
      </w:r>
      <w:r>
        <w:t>. Los antecedentes relevantes en el presente recurso de amparo son los siguientes:</w:t>
      </w:r>
    </w:p>
    <w:p w14:paraId="15B8ABC4" w14:textId="77777777" w:rsidR="00B35D37" w:rsidRDefault="00B35D37" w:rsidP="00B35D37">
      <w:pPr>
        <w:pStyle w:val="TextoNormal"/>
      </w:pPr>
    </w:p>
    <w:p w14:paraId="30C8F85A" w14:textId="77777777" w:rsidR="00B35D37" w:rsidRDefault="00B35D37" w:rsidP="00B35D37">
      <w:pPr>
        <w:pStyle w:val="TextoNormal"/>
      </w:pPr>
      <w:r>
        <w:t>a) La Orden JUS/832/2022, de 29 de agosto, convocó para su provisión destinos vacantes en la carrera fiscal.</w:t>
      </w:r>
    </w:p>
    <w:p w14:paraId="0DAA79DD" w14:textId="77777777" w:rsidR="00B35D37" w:rsidRDefault="00B35D37" w:rsidP="00B35D37">
      <w:pPr>
        <w:pStyle w:val="TextoNormal"/>
      </w:pPr>
    </w:p>
    <w:p w14:paraId="08832C87" w14:textId="77777777" w:rsidR="00B35D37" w:rsidRDefault="00B35D37" w:rsidP="00B35D37">
      <w:pPr>
        <w:pStyle w:val="TextoNormal"/>
      </w:pPr>
      <w:r>
        <w:t>Por Real Decreto 807/2022, de 4 de octubre, se promueve a la categoría de fiscal de sala a doña Dolores Delgado García y se le nombra fiscal de sala de la Fiscalía Togada del Tribunal Supremo, a propuesta de la ministra de Justicia, vista la formulada por el fiscal general del Estado, reunido el Consejo Fiscal, de conformidad con lo dispuesto en los arts. 13, 36.1 y 41.1 de la Ley 50/1981, de 30 diciembre, por la que se regula el Estatuto Orgánico del Ministerio Fiscal, y previa deliberación del Consejo de Ministros en su reunión del día 4 de octubre de 2022.</w:t>
      </w:r>
    </w:p>
    <w:p w14:paraId="34DBF6DE" w14:textId="77777777" w:rsidR="00B35D37" w:rsidRDefault="00B35D37" w:rsidP="00B35D37">
      <w:pPr>
        <w:pStyle w:val="TextoNormal"/>
      </w:pPr>
    </w:p>
    <w:p w14:paraId="2457F7D5" w14:textId="77777777" w:rsidR="00B35D37" w:rsidRDefault="00B35D37" w:rsidP="00B35D37">
      <w:pPr>
        <w:pStyle w:val="TextoNormal"/>
      </w:pPr>
      <w:r>
        <w:t>b) Frente a dicho real decreto se interpuso recurso contencioso administrativo que fue estimado parcialmente por la sentencia de la Sección Cuarta de la Sala de lo Contencioso-Administrativo del Tribunal Supremo núm. 1499/2023, de 21 de noviembre, constatada la desviación de poder.</w:t>
      </w:r>
    </w:p>
    <w:p w14:paraId="5E3A2D1B" w14:textId="77777777" w:rsidR="00B35D37" w:rsidRDefault="00B35D37" w:rsidP="00B35D37">
      <w:pPr>
        <w:pStyle w:val="TextoNormal"/>
      </w:pPr>
    </w:p>
    <w:p w14:paraId="6F68215F" w14:textId="77777777" w:rsidR="00B35D37" w:rsidRDefault="00B35D37" w:rsidP="00B35D37">
      <w:pPr>
        <w:pStyle w:val="TextoNormal"/>
      </w:pPr>
      <w:r>
        <w:t>La sentencia anula el Real Decreto 807/2022, de 4 de octubre, y ordena la retroacción de las actuaciones al momento inmediatamente anterior a la propuesta del fiscal general del Estado al Consejo de Ministros para la cobertura de la plaza de fiscal de sala de la Fiscalía Togada del Tribunal Supremo, convocada por la Orden JUS/832/2022, de 29 de agosto.</w:t>
      </w:r>
    </w:p>
    <w:p w14:paraId="75FFFFA4" w14:textId="77777777" w:rsidR="00B35D37" w:rsidRDefault="00B35D37" w:rsidP="00B35D37">
      <w:pPr>
        <w:pStyle w:val="TextoNormal"/>
      </w:pPr>
    </w:p>
    <w:p w14:paraId="67D5250B" w14:textId="6EEBAABF" w:rsidR="00B35D37" w:rsidRDefault="00B35D37" w:rsidP="00B35D37">
      <w:pPr>
        <w:pStyle w:val="TextoNormal"/>
      </w:pPr>
      <w:r>
        <w:t>c) Por auto de 22 de enero de 2024, la Sección Cuarta de la Sala de lo Contencioso-Administrativo del Tribunal Supremo acuerda que no ha lugar al incidente de nulidad de actuaciones promovido por la representación procesal de doña Dolores Delgado García contra la sentencia anterior.</w:t>
      </w:r>
    </w:p>
    <w:p w14:paraId="0F5E3B81" w14:textId="77777777" w:rsidR="00B35D37" w:rsidRDefault="00B35D37" w:rsidP="00B35D37">
      <w:pPr>
        <w:pStyle w:val="TextoNormal"/>
      </w:pPr>
    </w:p>
    <w:p w14:paraId="2A560D78" w14:textId="77777777" w:rsidR="00B35D37" w:rsidRDefault="00B35D37" w:rsidP="00B35D37">
      <w:pPr>
        <w:pStyle w:val="TextoNormal"/>
      </w:pPr>
      <w:r w:rsidRPr="00B35D37">
        <w:rPr>
          <w:rStyle w:val="NumeroAFNegritaCaracter"/>
        </w:rPr>
        <w:t>3</w:t>
      </w:r>
      <w:r>
        <w:t>. Las alegaciones que se contienen en la demanda de amparo son, sintéticamente expuestas, que las resoluciones judiciales han vulnerado: (i) el derecho fundamental de igualdad en aplicación de la ley por la diferente aplicación por el Tribunal Supremo del concepto de desviación de poder en otras sentencias que cita; (ii) el derecho fundamental al acceso a las funciones y cargos públicos en condiciones de igualdad, con los requisitos que señalen las leyes (art. 23.2 CE), porque el acto cumplía todos los requisitos legalmente exigidos y la nombrada tenía méritos más que suficientes. Se afirma que la motivación del acto es la que obra en el expediente y por lo que no puede apreciarse desviación de poder. Además, se hace valer que la afectada ha sido perjudicada por sus circunstancias personales; y (iii) el derecho a la tutela judicial efectiva sin producción de indefensión, en su vertiente de derecho a un proceso judicial con todas las garantías (art. 24 CE) por incongruencia (por no diferenciar las pretensiones relativas al ascenso de las del nombramiento) y por no haber declarado pérdida sobrevenida de objeto.</w:t>
      </w:r>
    </w:p>
    <w:p w14:paraId="7D88D2FD" w14:textId="77777777" w:rsidR="00B35D37" w:rsidRDefault="00B35D37" w:rsidP="00B35D37">
      <w:pPr>
        <w:pStyle w:val="TextoNormal"/>
      </w:pPr>
    </w:p>
    <w:p w14:paraId="4CFF6B7E" w14:textId="77777777" w:rsidR="00B35D37" w:rsidRDefault="00B35D37" w:rsidP="00B35D37">
      <w:pPr>
        <w:pStyle w:val="TextoNormal"/>
      </w:pPr>
      <w:r>
        <w:t>La recurrente en amparo invoca, como motivos de especial trascendencia constitucional, los siguientes:</w:t>
      </w:r>
    </w:p>
    <w:p w14:paraId="056D7C6E" w14:textId="77777777" w:rsidR="00B35D37" w:rsidRDefault="00B35D37" w:rsidP="00B35D37">
      <w:pPr>
        <w:pStyle w:val="TextoNormal"/>
      </w:pPr>
    </w:p>
    <w:p w14:paraId="10ADE660" w14:textId="77777777" w:rsidR="00B35D37" w:rsidRDefault="00B35D37" w:rsidP="00B35D37">
      <w:pPr>
        <w:pStyle w:val="TextoNormal"/>
      </w:pPr>
      <w:r>
        <w:t>a) El recurso plantea un problema o afecta a una faceta de un derecho fundamental sobre el que no hay doctrina de este tribunal [STC 155/2009, de 25 de junio, FJ 2 a)], ya que “[n]o hay jurisprudencia sobre la desviación de poder en un nombramiento discrecional del Consejo de Ministros, ni tampoco sobre la vinculatoriedad del Consejo de Ministros a una propuesta que pueda venir viciada de desviación de poder”. Sin perjuicio, señala la demanda, de la necesidad de completar y desarrollar la STC 122/2021, de 2 de junio.</w:t>
      </w:r>
    </w:p>
    <w:p w14:paraId="10E2C778" w14:textId="77777777" w:rsidR="00B35D37" w:rsidRDefault="00B35D37" w:rsidP="00B35D37">
      <w:pPr>
        <w:pStyle w:val="TextoNormal"/>
      </w:pPr>
    </w:p>
    <w:p w14:paraId="28903146" w14:textId="77777777" w:rsidR="00B35D37" w:rsidRDefault="00B35D37" w:rsidP="00B35D37">
      <w:pPr>
        <w:pStyle w:val="TextoNormal"/>
      </w:pPr>
      <w:r>
        <w:t>b) Existen resoluciones judiciales contradictorias sobre el derecho fundamental [STC 155/2009, FJ 2 e)], dado que el concepto de desviación de poder utilizado por la sentencia es contradictorio con la jurisprudencia del Tribunal Constitucional, del Tribunal Europeo de Derechos Humanos, del Tribunal de Justicia de la Unión Europea y del propio Tribunal Supremo en un caso similar.</w:t>
      </w:r>
    </w:p>
    <w:p w14:paraId="4105749B" w14:textId="77777777" w:rsidR="00B35D37" w:rsidRDefault="00B35D37" w:rsidP="00B35D37">
      <w:pPr>
        <w:pStyle w:val="TextoNormal"/>
      </w:pPr>
    </w:p>
    <w:p w14:paraId="3ACD4021" w14:textId="77777777" w:rsidR="00B35D37" w:rsidRDefault="00B35D37" w:rsidP="00B35D37">
      <w:pPr>
        <w:pStyle w:val="TextoNormal"/>
      </w:pPr>
      <w:r>
        <w:t>c) El asunto suscitado trasciende del caso concreto porque pudiera tener unas consecuencias políticas generales [STC 155/2009, FJ 2 g)], en tanto en cuanto “con la sentencia causante de la lesión se introduce el Tribunal Supremo en un campo amplísimo de control de la discrecionalidad de nombramientos decididos por el Consejo de Ministros imputando vicios en la fase anterior a la toma de decisión, y sin la probanza adecuada para imputárselo a la decisión deliberada y aprobada en Consejo de Ministros, órgano del que emana materialmente el acto recurrido. La sentencia desapodera de capacidad de decisión al Consejo de Ministros en el caso de nombramientos discrecionales”.</w:t>
      </w:r>
    </w:p>
    <w:p w14:paraId="0860535D" w14:textId="77777777" w:rsidR="00B35D37" w:rsidRDefault="00B35D37" w:rsidP="00B35D37">
      <w:pPr>
        <w:pStyle w:val="TextoNormal"/>
      </w:pPr>
    </w:p>
    <w:p w14:paraId="5EC5B2C9" w14:textId="062EBA65" w:rsidR="00B35D37" w:rsidRDefault="00B35D37" w:rsidP="00B35D37">
      <w:pPr>
        <w:pStyle w:val="TextoNormal"/>
      </w:pPr>
      <w:r>
        <w:t>La demanda suplica la declaración de la vulneración de los derechos fundamentales invocados, la nulidad de las resoluciones judiciales impugnadas y que se reconozca y declare a los efectos administrativos y económicos oportunos que la recurrente en amparo ostenta la primera categoría de fiscal de sala de la carrera fiscal desde la fecha de su nombramiento como fiscal de sala de la Fiscalía Togada del Tribunal Supremo.</w:t>
      </w:r>
    </w:p>
    <w:p w14:paraId="35DF0C54" w14:textId="77777777" w:rsidR="00B35D37" w:rsidRDefault="00B35D37" w:rsidP="00B35D37">
      <w:pPr>
        <w:pStyle w:val="TextoNormal"/>
      </w:pPr>
    </w:p>
    <w:p w14:paraId="25145AD2" w14:textId="18ECEBDB" w:rsidR="00B35D37" w:rsidRDefault="00B35D37" w:rsidP="00B35D37">
      <w:pPr>
        <w:pStyle w:val="TextoNormal"/>
      </w:pPr>
      <w:r w:rsidRPr="00B35D37">
        <w:rPr>
          <w:rStyle w:val="NumeroAFNegritaCaracter"/>
        </w:rPr>
        <w:t>4</w:t>
      </w:r>
      <w:r>
        <w:t>. El día 28 de noviembre de 2024, tres magistrados propusieron la avocación por el Pleno del presente recurso de amparo, de conformidad con lo dispuesto en el art. 10.1 n) de la Ley Orgánica del Tribunal Constitucional (LOTC).</w:t>
      </w:r>
    </w:p>
    <w:p w14:paraId="0C7A2336" w14:textId="77777777" w:rsidR="00B35D37" w:rsidRDefault="00B35D37" w:rsidP="00B35D37">
      <w:pPr>
        <w:pStyle w:val="TextoNormal"/>
      </w:pPr>
    </w:p>
    <w:p w14:paraId="1F8D6116" w14:textId="0DD255DF" w:rsidR="00B35D37" w:rsidRDefault="00B35D37" w:rsidP="00B35D37">
      <w:pPr>
        <w:pStyle w:val="TextoNormal"/>
      </w:pPr>
      <w:r w:rsidRPr="00B35D37">
        <w:rPr>
          <w:rStyle w:val="NumeroAFNegritaCaracter"/>
        </w:rPr>
        <w:t>5</w:t>
      </w:r>
      <w:r>
        <w:t>. Mediante providencia de 17 de diciembre de 2024, el Pleno de este tribunal acordó recabar para sí el conocimiento del recurso de amparo de acuerdo con lo previsto en el art. 10.1 n) LOTC.</w:t>
      </w:r>
    </w:p>
    <w:p w14:paraId="6350D807" w14:textId="77777777" w:rsidR="00B35D37" w:rsidRDefault="00B35D37" w:rsidP="00B35D37">
      <w:pPr>
        <w:pStyle w:val="TextoNormal"/>
      </w:pPr>
    </w:p>
    <w:p w14:paraId="5D4EE453" w14:textId="77777777" w:rsidR="00B35D37" w:rsidRDefault="00B35D37" w:rsidP="00B35D37">
      <w:pPr>
        <w:pStyle w:val="TextoNormalNegritaCentrado"/>
        <w:keepNext/>
      </w:pPr>
      <w:r>
        <w:t>II. Fundamentos jurídicos</w:t>
      </w:r>
    </w:p>
    <w:p w14:paraId="514926C1" w14:textId="7E60A961" w:rsidR="00B35D37" w:rsidRDefault="00B35D37" w:rsidP="00B35D37">
      <w:pPr>
        <w:pStyle w:val="TextoNormalNegritaCentrado"/>
        <w:keepNext/>
      </w:pPr>
    </w:p>
    <w:p w14:paraId="7129E2DB" w14:textId="77777777" w:rsidR="00B35D37" w:rsidRDefault="00B35D37" w:rsidP="00B35D37">
      <w:pPr>
        <w:pStyle w:val="TextoNormal"/>
      </w:pPr>
      <w:r w:rsidRPr="00B35D37">
        <w:rPr>
          <w:rStyle w:val="TextoNormalNegritaCaracter"/>
        </w:rPr>
        <w:t xml:space="preserve">Único. </w:t>
      </w:r>
      <w:r>
        <w:t>Mediante escrito presentado en el registro general de este tribunal el 7 de marzo de 2024, la representación procesal de doña Dolores Delgado García interpuso recurso de amparo contra (i) la sentencia de la Sala de lo Contencioso-Administrativo del Tribunal Supremo núm. 1499/2023, de 21 de noviembre, recaída en el procedimiento ordinario núm. 934-2022, que anula el Real Decreto 807/2022, de 4 de octubre, que promovía a la demandante a la categoría de fiscal de sala y la nombraba fiscal de sala de la Fiscalía Togada del Tribunal Supremo, y (ii) el auto del mismo órgano judicial de 22 de enero de 2024 que acuerda que no ha lugar al incidente de nulidad de actuaciones interpuesto frente a la citada sentencia.</w:t>
      </w:r>
    </w:p>
    <w:p w14:paraId="2AA2D43F" w14:textId="77777777" w:rsidR="00B35D37" w:rsidRDefault="00B35D37" w:rsidP="00B35D37">
      <w:pPr>
        <w:pStyle w:val="TextoNormal"/>
      </w:pPr>
    </w:p>
    <w:p w14:paraId="2F82DD23" w14:textId="401E08D7" w:rsidR="00B35D37" w:rsidRDefault="00B35D37" w:rsidP="00B35D37">
      <w:pPr>
        <w:pStyle w:val="TextoNormal"/>
      </w:pPr>
      <w:r>
        <w:t xml:space="preserve">El Pleno de este tribunal aprecia que las vulneraciones de derechos fundamentales aducidas en la demanda no carecen </w:t>
      </w:r>
      <w:r w:rsidRPr="00B35D37">
        <w:rPr>
          <w:i/>
        </w:rPr>
        <w:t>prima facie</w:t>
      </w:r>
      <w:r>
        <w:t xml:space="preserve"> de verosimilitud. Aprecia, asimismo, que concurre en el recurso una especial trascendencia constitucional (art. 50.1 LOTC) porque: (i)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(ii) el asunto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14:paraId="233CD0FF" w14:textId="77777777" w:rsidR="00B35D37" w:rsidRDefault="00B35D37" w:rsidP="00B35D37">
      <w:pPr>
        <w:pStyle w:val="TextoNormal"/>
      </w:pPr>
    </w:p>
    <w:p w14:paraId="168D52B4" w14:textId="77777777" w:rsidR="00B35D37" w:rsidRDefault="00B35D37" w:rsidP="00B35D37">
      <w:pPr>
        <w:pStyle w:val="TextoNormal"/>
      </w:pPr>
      <w:r>
        <w:t>Por lo expuesto, el Pleno</w:t>
      </w:r>
    </w:p>
    <w:p w14:paraId="50BD211B" w14:textId="02ABDEC1" w:rsidR="00B35D37" w:rsidRDefault="00B35D37" w:rsidP="00B35D37">
      <w:pPr>
        <w:pStyle w:val="TextoNormal"/>
      </w:pPr>
    </w:p>
    <w:p w14:paraId="39AE254E" w14:textId="77777777" w:rsidR="00B35D37" w:rsidRDefault="00B35D37" w:rsidP="00B35D37">
      <w:pPr>
        <w:pStyle w:val="TextoNormalCentrado"/>
      </w:pPr>
      <w:r>
        <w:t>ACUERDA</w:t>
      </w:r>
    </w:p>
    <w:p w14:paraId="4D6E15FC" w14:textId="134E30AD" w:rsidR="00B35D37" w:rsidRDefault="00B35D37" w:rsidP="00B35D37">
      <w:pPr>
        <w:pStyle w:val="TextoNormalCentrado"/>
      </w:pPr>
    </w:p>
    <w:p w14:paraId="59EC0380" w14:textId="77777777" w:rsidR="00B35D37" w:rsidRDefault="00B35D37" w:rsidP="00B35D37">
      <w:pPr>
        <w:pStyle w:val="TextoNormal"/>
      </w:pPr>
      <w:r>
        <w:t>1º Admitir a trámite el recurso de amparo, apreciando que concurre en el mismo una especial trascendencia constitucional [art. 50.1 b) LOTC] porque el recurso plantea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14:paraId="4BE8247C" w14:textId="77777777" w:rsidR="00B35D37" w:rsidRDefault="00B35D37" w:rsidP="00B35D37">
      <w:pPr>
        <w:pStyle w:val="TextoNormal"/>
      </w:pPr>
    </w:p>
    <w:p w14:paraId="7BCC96C6" w14:textId="64C08403" w:rsidR="00B35D37" w:rsidRDefault="00B35D37" w:rsidP="00B35D37">
      <w:pPr>
        <w:pStyle w:val="TextoNormal"/>
      </w:pPr>
      <w:r>
        <w:t>2º En aplicación de lo dispuesto en el art. 51 LOTC, requerir atentamente a la Sección Cuarta de la Sala de lo Contencioso-Administrativo del Tribunal Supremo, a fin de que, en plazo que no exceda de diez días, remita certificación o fotocopia adverada de las actuaciones correspondientes al procedimiento ordinario núm. 934-2022, y para que emplace a quienes hubieran sido parte en el procedimiento, excepto a la parte recurrente en amparo, para que en el plazo de diez días puedan comparecer, si lo desean, en el presente recurso.</w:t>
      </w:r>
    </w:p>
    <w:p w14:paraId="2355A033" w14:textId="77777777" w:rsidR="00B35D37" w:rsidRDefault="00B35D37" w:rsidP="00B35D37">
      <w:pPr>
        <w:pStyle w:val="TextoNormal"/>
      </w:pPr>
    </w:p>
    <w:p w14:paraId="51444D22" w14:textId="77777777" w:rsidR="00B35D37" w:rsidRDefault="00B35D37" w:rsidP="00B35D37">
      <w:pPr>
        <w:pStyle w:val="TextoNormal"/>
      </w:pPr>
      <w:r>
        <w:t>Madrid, a veintiocho de enero de dos mil veinticinco.</w:t>
      </w:r>
    </w:p>
    <w:p w14:paraId="505F1C0C" w14:textId="6BC3CAB4" w:rsidR="00B35D37" w:rsidRDefault="00B35D37" w:rsidP="00B35D37">
      <w:pPr>
        <w:pStyle w:val="ParrafoNormal"/>
      </w:pPr>
    </w:p>
    <w:p w14:paraId="2027C96A" w14:textId="77777777" w:rsidR="00B35D37" w:rsidRDefault="00B35D37" w:rsidP="00B35D37">
      <w:pPr>
        <w:pStyle w:val="TextoNormalNegritaCentrado"/>
        <w:keepNext/>
      </w:pPr>
      <w:r>
        <w:t>Voto particular que formulan los magistrados don Ricardo Enríquez Sancho, don Enrique Arnaldo Alcubilla, doña Concepción Espejel Jorquera, don César Tolosa Tribiño y don José María Macías Castaño al auto del Pleno del Tribunal de 28 de enero de 2025 por el que se acuerda la admisión a trámite del recurso de amparo núm. 1670-2024</w:t>
      </w:r>
    </w:p>
    <w:p w14:paraId="00537FFC" w14:textId="220B2218" w:rsidR="00B35D37" w:rsidRDefault="00B35D37" w:rsidP="00B35D37">
      <w:pPr>
        <w:pStyle w:val="TextoNormalNegritaCentrado"/>
        <w:keepNext/>
      </w:pPr>
    </w:p>
    <w:p w14:paraId="2D579289" w14:textId="77777777" w:rsidR="00B35D37" w:rsidRDefault="00B35D37" w:rsidP="00B35D37">
      <w:pPr>
        <w:pStyle w:val="TextoNormal"/>
      </w:pPr>
      <w:r>
        <w:t>En el ejercicio de la facultad que nos confiere el art. 90.2 de la Ley Orgánica del Tribunal Constitucional (LOTC) y con respeto a la opinión de los magistrados que han conformado la mayoría del Pleno del Tribunal, y sin que sea visto prejuzgar sobre la decisión definitiva que en su día debe pronunciarse, manifestamos nuestra discrepancia con la decisión de admitir a trámite el presente recurso de amparo. Por las razones defendidas durante la deliberación, y que exponemos a continuación, consideramos que el recurso de amparo hubiera debido ser inadmitido, por no cumplirse los presupuestos materiales para su admisión a trámite: que no sea manifiesta la inexistencia de lesión del derecho fundamental invocado y que, además, su contenido justifique una decisión sobre el fondo por parte del Tribunal Constitucional en razón de su especial trascendencia constitucional [art. 50.1 b) LOTC].</w:t>
      </w:r>
    </w:p>
    <w:p w14:paraId="15B539B2" w14:textId="77777777" w:rsidR="00B35D37" w:rsidRDefault="00B35D37" w:rsidP="00B35D37">
      <w:pPr>
        <w:pStyle w:val="TextoNormal"/>
      </w:pPr>
    </w:p>
    <w:p w14:paraId="58F46531" w14:textId="77777777" w:rsidR="00B35D37" w:rsidRDefault="00B35D37" w:rsidP="00B35D37">
      <w:pPr>
        <w:pStyle w:val="TextoNormal"/>
      </w:pPr>
      <w:r>
        <w:t xml:space="preserve">El auto del que disentimos acuerda admitir este recurso de amparo al apreciar que las vulneraciones de derechos fundamentales alegadas por la recurrente no carecen </w:t>
      </w:r>
      <w:r w:rsidRPr="00B35D37">
        <w:rPr>
          <w:i/>
        </w:rPr>
        <w:t>prima facie</w:t>
      </w:r>
      <w:r>
        <w:t xml:space="preserve"> de verosimilitud y asimismo que el recurso reviste especial trascendencia constitucional, porque “permite perfilar la doctrina de este tribunal en relación con una faceta novedosa del derecho a acceder en condiciones de igualdad a las funciones públicas con los requisitos que señalen las leyes (art. 23.2 CE), relativa a los supuestos de anulación judicial de una promoción profesional de carácter discrecional [STC 155/2009, FJ 2 a)]”, y porque “el asunto suscitado trasciende del caso concreto al plantear una cuestión jurídica de relevante y general repercusión social y tiene unas consecuencias políticas generales al incidir en el alcance del control judicial que puede legítimamente efectuarse en relación con los nombramientos de carácter discrecional [STC 155/2009, FJ 2 g)]”.</w:t>
      </w:r>
    </w:p>
    <w:p w14:paraId="16B34B86" w14:textId="77777777" w:rsidR="00B35D37" w:rsidRDefault="00B35D37" w:rsidP="00B35D37">
      <w:pPr>
        <w:pStyle w:val="TextoNormal"/>
      </w:pPr>
    </w:p>
    <w:p w14:paraId="1807D631" w14:textId="77777777" w:rsidR="00B35D37" w:rsidRDefault="00B35D37" w:rsidP="00B35D37">
      <w:pPr>
        <w:pStyle w:val="TextoNormal"/>
      </w:pPr>
      <w:r>
        <w:t>Consideramos, a diferencia de la resolución adoptada por el Pleno, que no concurre especial trascendencia constitucional en el presente caso [art. 50.1 b) LOTC] y que no resulta verosímil que existan las lesiones de derechos fundamentales que alega la recurrente, por lo que el recurso de amparo debió ser inadmitido.</w:t>
      </w:r>
    </w:p>
    <w:p w14:paraId="3AFB87EA" w14:textId="77777777" w:rsidR="00B35D37" w:rsidRDefault="00B35D37" w:rsidP="00B35D37">
      <w:pPr>
        <w:pStyle w:val="TextoNormal"/>
      </w:pPr>
    </w:p>
    <w:p w14:paraId="546ACCA4" w14:textId="77777777" w:rsidR="00B35D37" w:rsidRDefault="00B35D37" w:rsidP="00B35D37">
      <w:pPr>
        <w:pStyle w:val="TextoNormal"/>
      </w:pPr>
      <w:r>
        <w:t xml:space="preserve">1. </w:t>
      </w:r>
      <w:r w:rsidRPr="00B35D37">
        <w:rPr>
          <w:i/>
        </w:rPr>
        <w:t>Sobre la falta de especial trascendencia constitucional de este recurso de amparo</w:t>
      </w:r>
    </w:p>
    <w:p w14:paraId="5A25E1DF" w14:textId="77777777" w:rsidR="00B35D37" w:rsidRDefault="00B35D37" w:rsidP="00B35D37">
      <w:pPr>
        <w:pStyle w:val="TextoNormal"/>
      </w:pPr>
    </w:p>
    <w:p w14:paraId="6E19CC90" w14:textId="77777777" w:rsidR="00B35D37" w:rsidRDefault="00B35D37" w:rsidP="00B35D37">
      <w:pPr>
        <w:pStyle w:val="TextoNormal"/>
      </w:pPr>
      <w:r>
        <w:t>Como es sobradamente conocido (por todas, STC 155/2009, de 25 de junio, FJ 2), en la actual configuración del amparo constitucional es indispensable que el recurso tenga especial trascendencia constitucional [art. 50.1 b) LOTC]. Y esa especial trascendencia constitucional no es de apreciar en el presente caso.</w:t>
      </w:r>
    </w:p>
    <w:p w14:paraId="46555A03" w14:textId="77777777" w:rsidR="00B35D37" w:rsidRDefault="00B35D37" w:rsidP="00B35D37">
      <w:pPr>
        <w:pStyle w:val="TextoNormal"/>
      </w:pPr>
    </w:p>
    <w:p w14:paraId="03B5E8B6" w14:textId="77777777" w:rsidR="00B35D37" w:rsidRDefault="00B35D37" w:rsidP="00B35D37">
      <w:pPr>
        <w:pStyle w:val="TextoNormal"/>
      </w:pPr>
      <w:r>
        <w:t>El auto del que discrepamos ha apreciado las mismas causas de especial trascendencia constitucional que se apreciaron en los AATC 4/2025 y 5/2025, de 14 de enero, por los que se admitieron a trámite los recursos de amparo núm. 7432-2023 y 7433-2023, y se ha entendido que dichas causas concurren en este recurso de amparo, a pesar de las profundas diferencias entre los mismos. Es cierto que, al haberse formulado tan genéricamente las causas de especial trascendencia constitucional, podría entenderse que, en todos aquellos casos en que se anula por un órgano judicial un nombramiento de carácter discrecional, concurre especial trascendencia constitucional. No creemos que esa pueda ser la intención del pleno del Tribunal Constitucional.</w:t>
      </w:r>
    </w:p>
    <w:p w14:paraId="338F6EDA" w14:textId="77777777" w:rsidR="00B35D37" w:rsidRDefault="00B35D37" w:rsidP="00B35D37">
      <w:pPr>
        <w:pStyle w:val="TextoNormal"/>
      </w:pPr>
    </w:p>
    <w:p w14:paraId="38F95B9F" w14:textId="77777777" w:rsidR="00B35D37" w:rsidRDefault="00B35D37" w:rsidP="00B35D37">
      <w:pPr>
        <w:pStyle w:val="TextoNormal"/>
      </w:pPr>
      <w:r>
        <w:t>A este respecto cabe tener presente que, necesariamente, la especial trascendencia constitucional ha de proyectarse sobre la cuestión que se plantea en el recurso de amparo. La única similitud que guarda este recurso de amparo con los recursos de amparo núm. 7432-2023 y 7433-2023 es que se trata de un nombramiento de fiscal de sala anulado por el Tribunal Supremo. Sin embargo, en el presente recurso de amparo no concurría, en el control judicial ejercido, la necesidad de garantizar el cumplimiento de una sentencia anterior, ni puede entenderse que la sentencia recurrida ha controlado la decisión del Gobierno valorando la relación de causalidad entre los elementos valorados y su relación con el puesto. La sentencia del Tribunal Supremo, impugnada en el presente recurso de amparo, anula el real decreto de nombramiento como fiscal de sala de la recurrente, pero lo hace por adolecer del vicio de desviación de poder. Las diferencias entre dichos recursos de amparo hacen, en nuestra opinión, que no se puedan apreciar en este recurso de amparo las mismas causas de especial trascendencia constitucional que el Tribunal ha apreciado en los citados autos de 14 de enero de 2025.</w:t>
      </w:r>
    </w:p>
    <w:p w14:paraId="238C2111" w14:textId="77777777" w:rsidR="00B35D37" w:rsidRDefault="00B35D37" w:rsidP="00B35D37">
      <w:pPr>
        <w:pStyle w:val="TextoNormal"/>
      </w:pPr>
    </w:p>
    <w:p w14:paraId="2A5C3766" w14:textId="77777777" w:rsidR="00B35D37" w:rsidRDefault="00B35D37" w:rsidP="00B35D37">
      <w:pPr>
        <w:pStyle w:val="TextoNormal"/>
      </w:pPr>
      <w:r>
        <w:t xml:space="preserve">Además, el recurso, frente a lo afirmado en el auto del que disentimos, </w:t>
      </w:r>
      <w:r w:rsidRPr="00B35D37">
        <w:rPr>
          <w:i/>
        </w:rPr>
        <w:t>no</w:t>
      </w:r>
      <w:r>
        <w:t xml:space="preserve"> afecta a una faceta de un derecho fundamental sobre el que no haya doctrina de este tribunal [STC 155/2009, FJ 2 a)]. La recurrente discrepa de la decisión judicial que anula su nombramiento como fiscal de sala de la Fiscalía Togada del Tribunal Supremo por entender que las resoluciones judiciales impugnadas vulneraron los arts. 14, 23 y 24 CE, al haber apreciado que este nombramiento estaba afectado del vicio de desviación de poder, pero las lesiones aducidas no dotan a su recurso de amparo de especial trascendencia constitucional. En realidad, lo que se discute en este recurso de amparo es la apreciación o no de la existencia de desviación de poder en el nombramiento de la recurrente en amparo, cuestión que compete resolver a la jurisdicción contencioso-administrativa en el ejercicio de las funciones que, en exclusiva, le atribuye el art. 117.3 CE, no es al Tribunal Constitucional al que ello compete, de manera que con la admisión acordada, de nuevo este tribunal está asumiendo competencias que son de jurisdicción ordinaria.</w:t>
      </w:r>
    </w:p>
    <w:p w14:paraId="00AF54CA" w14:textId="77777777" w:rsidR="00B35D37" w:rsidRDefault="00B35D37" w:rsidP="00B35D37">
      <w:pPr>
        <w:pStyle w:val="TextoNormal"/>
      </w:pPr>
    </w:p>
    <w:p w14:paraId="63DFD8A8" w14:textId="77777777" w:rsidR="00B35D37" w:rsidRDefault="00B35D37" w:rsidP="00B35D37">
      <w:pPr>
        <w:pStyle w:val="TextoNormal"/>
      </w:pPr>
      <w:r>
        <w:t>En definitiva, se aprecia con claridad que en el presente recurso de amparo no se está discutiendo sobre facetas constitucionales de derechos fundamentales, sino sobre cuestiones probatorias y de legalidad ordinaria, que es algo que no nos compete (en este sentido, ATC 53/2017, de 19 de abril).</w:t>
      </w:r>
    </w:p>
    <w:p w14:paraId="74EC8238" w14:textId="77777777" w:rsidR="00B35D37" w:rsidRDefault="00B35D37" w:rsidP="00B35D37">
      <w:pPr>
        <w:pStyle w:val="TextoNormal"/>
      </w:pPr>
    </w:p>
    <w:p w14:paraId="705702DD" w14:textId="77777777" w:rsidR="00B35D37" w:rsidRDefault="00B35D37" w:rsidP="00B35D37">
      <w:pPr>
        <w:pStyle w:val="TextoNormal"/>
      </w:pPr>
      <w:r>
        <w:t>Tampoco puede apreciarse, frente a lo que se afirma en el auto del que discrepamos, que el asunto suscitado en el presente recurso trascienda del caso concreto por plantear una cuestión jurídica de relevante y general repercusión social y tener unas consecuencias políticas generales [STC 155/2009, FJ 2 g)], “al incidir en el alcance del control judicial que puede legítimamente efectuarse en relación con los nombramientos de carácter discrecional”. Este motivo de especial trascendencia constitucional que se advierte es redundante del anterior, puesto que no hace sino referirse al alcance del control judicial de los nombramientos discrecionales, sobre el que existe una doctrina constitucional consolidada (SSTC 18/1987, de 16 de febrero, FJ 5; 207/1988, de 8 de noviembre, FJ 3; 10/1989, de 24 de enero, FJ 3; 235/2000, de 5 de octubre, FJ 12, y 238/2012, de 13 de diciembre, FJ 7, entre otras), que no precisa de aclaración o modificación.</w:t>
      </w:r>
    </w:p>
    <w:p w14:paraId="41306FD1" w14:textId="77777777" w:rsidR="00B35D37" w:rsidRDefault="00B35D37" w:rsidP="00B35D37">
      <w:pPr>
        <w:pStyle w:val="TextoNormal"/>
      </w:pPr>
    </w:p>
    <w:p w14:paraId="0340C240" w14:textId="77777777" w:rsidR="00B35D37" w:rsidRDefault="00B35D37" w:rsidP="00B35D37">
      <w:pPr>
        <w:pStyle w:val="TextoNormal"/>
      </w:pPr>
      <w:r>
        <w:t xml:space="preserve">Somos conscientes de la facultad de la que goza este tribunal de apreciar en cada caso concreto la concurrencia de la especial trascendencia constitucional, con independencia de la carga de justificación que se impone al demandante de amparo en el art. 49.1 </w:t>
      </w:r>
      <w:r w:rsidRPr="00B35D37">
        <w:rPr>
          <w:i/>
        </w:rPr>
        <w:t>in fine</w:t>
      </w:r>
      <w:r>
        <w:t xml:space="preserve"> LOTC [STC 155/2009, FJ 2)]. Ello no obstante, tal facultad no impide alertar, como ya hemos advertido en otras ocasiones, que el Tribunal Constitucional no debe deslizarse por la peligrosa pendiente de apreciar la concurrencia de especial trascendencia constitucional acudiendo a motivos aparentes (como sucede en el caso que nos atañe), so riesgo de convertir la jurisdicción constitucional en una suerte de nueva instancia revisora de lo decidido por la jurisdicción ordinaria (y en este caso, por su órgano superior, el Tribunal Supremo: art. 123.1 CE).</w:t>
      </w:r>
    </w:p>
    <w:p w14:paraId="5A953929" w14:textId="77777777" w:rsidR="00B35D37" w:rsidRDefault="00B35D37" w:rsidP="00B35D37">
      <w:pPr>
        <w:pStyle w:val="TextoNormal"/>
      </w:pPr>
    </w:p>
    <w:p w14:paraId="14C29C4F" w14:textId="77777777" w:rsidR="00B35D37" w:rsidRDefault="00B35D37" w:rsidP="00B35D37">
      <w:pPr>
        <w:pStyle w:val="TextoNormal"/>
      </w:pPr>
      <w:r>
        <w:t xml:space="preserve">2. </w:t>
      </w:r>
      <w:r w:rsidRPr="00B35D37">
        <w:rPr>
          <w:i/>
        </w:rPr>
        <w:t>Sobre la falta de verosimilitud de las pretendidas vulneraciones de derechos fundamentales alegadas en el recurso de amparo</w:t>
      </w:r>
    </w:p>
    <w:p w14:paraId="743E9BDB" w14:textId="77777777" w:rsidR="00B35D37" w:rsidRDefault="00B35D37" w:rsidP="00B35D37">
      <w:pPr>
        <w:pStyle w:val="TextoNormal"/>
      </w:pPr>
    </w:p>
    <w:p w14:paraId="1BB30576" w14:textId="77777777" w:rsidR="00B35D37" w:rsidRDefault="00B35D37" w:rsidP="00B35D37">
      <w:pPr>
        <w:pStyle w:val="TextoNormal"/>
      </w:pPr>
      <w:r>
        <w:t>La verosimilitud de la vulneración de un derecho fundamental tutelable en amparo, de acuerdo con el art. 44.1 LOTC, es condición inexcusable para que este tribunal pueda ejercer dicha tutela en el proceso constitucional de amparo. Este presupuesto de la admisión del recurso no concurre, frente a lo afirmado en la resolución de la que discrepamos, en este caso.</w:t>
      </w:r>
    </w:p>
    <w:p w14:paraId="1CCFEA11" w14:textId="77777777" w:rsidR="00B35D37" w:rsidRDefault="00B35D37" w:rsidP="00B35D37">
      <w:pPr>
        <w:pStyle w:val="TextoNormal"/>
      </w:pPr>
    </w:p>
    <w:p w14:paraId="3ABD465D" w14:textId="77777777" w:rsidR="00B35D37" w:rsidRDefault="00B35D37" w:rsidP="00B35D37">
      <w:pPr>
        <w:pStyle w:val="TextoNormal"/>
      </w:pPr>
      <w:r>
        <w:t>La recurrente considera que la sentencia del Tribunal Supremo impugnada en amparo (sentencia de la Sala de lo Contencioso-Administrativo del Tribunal Supremo núm. 1499/2023, de 21 de noviembre, recaída en el procedimiento ordinario núm. 934-2022) ha vulnerado sus derechos (i) a la igualdad en aplicación de la ley por la diferente aplicación por el Tribunal Supremo del concepto de desviación de poder en otras sentencias que cita; (ii) al acceso a las funciones y cargos públicos en condiciones de igualdad, con los requisitos que señalen las leyes (art. 23.2 CE), porque el acto cumplía todos los requisitos legalmente exigidos y la nombrada tenía méritos más que suficientes. Al respecto alega que la motivación del acto es la que obra en el expediente, por lo que no puede apreciarse desviación de poder. Además, se hace valer que la afectada ha sido perjudicada por sus circunstancias personales; y (iii) a la tutela judicial efectiva sin producción de indefensión, en su vertiente de derecho a un proceso judicial con todas las garantías (art. 24 CE) por incongruencia (por no diferenciar las pretensiones relativas al ascenso de las del nombramiento) y por no haber declarado la pérdida sobrevenida de objeto, al haber accedido a otro cargo ulteriormente dentro de la Fiscalía General del Estado.</w:t>
      </w:r>
    </w:p>
    <w:p w14:paraId="7F81CF03" w14:textId="77777777" w:rsidR="00B35D37" w:rsidRDefault="00B35D37" w:rsidP="00B35D37">
      <w:pPr>
        <w:pStyle w:val="TextoNormal"/>
      </w:pPr>
    </w:p>
    <w:p w14:paraId="5412E2D0" w14:textId="77777777" w:rsidR="00B35D37" w:rsidRDefault="00B35D37" w:rsidP="00B35D37">
      <w:pPr>
        <w:pStyle w:val="TextoNormal"/>
      </w:pPr>
      <w:r>
        <w:t>Pues bien, como hemos adelantado, no es verosímil que se hayan producido las pretendidas lesiones de derechos fundamentales alegadas.</w:t>
      </w:r>
    </w:p>
    <w:p w14:paraId="17A78003" w14:textId="77777777" w:rsidR="00B35D37" w:rsidRDefault="00B35D37" w:rsidP="00B35D37">
      <w:pPr>
        <w:pStyle w:val="TextoNormal"/>
      </w:pPr>
    </w:p>
    <w:p w14:paraId="53C3424E" w14:textId="77777777" w:rsidR="00B35D37" w:rsidRDefault="00B35D37" w:rsidP="00B35D37">
      <w:pPr>
        <w:pStyle w:val="TextoNormal"/>
      </w:pPr>
      <w:r>
        <w:t>Así, no resulta verosímil la vulneración del derecho de igualdad (art. 14 CE) que alega la recurrente en amparo, al no haber término de comparación válido, ya que la propia demanda identifica el caso con que se quiere comparar tan solo como “análogo”. A este respecto, el auto del Tribunal Supremo de 22 de enero de 2024, que acordó que no ha lugar al incidente de nulidad de actuaciones promovido por la recurrente en amparo, explica la diferencia entre este caso y el resuelto por las sentencias que cita la recurrente, al afirmar que “cuando de desviación de poder se trata, es absolutamente crucial el dato probatorio; es decir, que resulte claramente establecido que la finalidad buscada por la administración fue una distinta de la que el ordenamiento atribuye a la potestad administrativa ejercida. Y esto, que era absolutamente diáfano e incontestable en el presente caso a la vista del material probatorio existente, no lo era” en las sentencias que menciona.</w:t>
      </w:r>
    </w:p>
    <w:p w14:paraId="455F5788" w14:textId="77777777" w:rsidR="00B35D37" w:rsidRDefault="00B35D37" w:rsidP="00B35D37">
      <w:pPr>
        <w:pStyle w:val="TextoNormal"/>
      </w:pPr>
    </w:p>
    <w:p w14:paraId="6B22B5C5" w14:textId="77777777" w:rsidR="00B35D37" w:rsidRDefault="00B35D37" w:rsidP="00B35D37">
      <w:pPr>
        <w:pStyle w:val="TextoNormal"/>
      </w:pPr>
      <w:r>
        <w:t>Tampoco resulta verosímil la vulneración del art. 23.2 CE, dado que, de lo que se queja la demandante para sustentar dicha vulneración no está protegido por este precepto constitucional. Resulta necesario recordar que el derecho fundamental que se invoca en la demanda (art. 23.2 CE) no confiere derecho sustantivo alguno a la ocupación de cargos ni a desempeñar funciones determinadas. Lo que garantiza a los ciudadanos es una situación jurídica de igualdad en el acceso a las funciones públicas. Se otorga así un derecho de carácter reaccional para impugnar ante la justicia ordinaria, y en último extremo ante el Tribunal Constitucional, toda norma o aplicación concreta de una norma que quiebre la igualdad. Así se ha establecido por el Tribunal Constitucional, entre otras, en las SSTC 73/1998, de 31 de marzo, o 30/2008, de 25 de febrero, FJ 5.</w:t>
      </w:r>
    </w:p>
    <w:p w14:paraId="1210A72E" w14:textId="77777777" w:rsidR="00B35D37" w:rsidRDefault="00B35D37" w:rsidP="00B35D37">
      <w:pPr>
        <w:pStyle w:val="TextoNormal"/>
      </w:pPr>
    </w:p>
    <w:p w14:paraId="247FBF2B" w14:textId="77777777" w:rsidR="00B35D37" w:rsidRDefault="00B35D37" w:rsidP="00B35D37">
      <w:pPr>
        <w:pStyle w:val="TextoNormal"/>
      </w:pPr>
      <w:r>
        <w:t>El art. 23.2 CE proclama, en consecuencia, un derecho de igualdad, por lo que podría vulnerarse cuando se vulnere la igualdad de los participantes, por ofrecer un trato distinto a uno de ellos del dispensado a los demás (en este sentido, STC 73/1998) lo que, a su vez, exige la existencia de un término de comparación sobre el que articular un eventual juicio de igualdad. Pues bien, en este caso, no hay término de comparación en que articular el juicio de igualdad. La decisión judicial no se ha adoptado haciendo referencia a los méritos de ambos candidatos ni por comparación de estos, como ya se ha expuesto, sino por apreciar desviación de poder en el acto impugnado.</w:t>
      </w:r>
    </w:p>
    <w:p w14:paraId="461D075A" w14:textId="77777777" w:rsidR="00B35D37" w:rsidRDefault="00B35D37" w:rsidP="00B35D37">
      <w:pPr>
        <w:pStyle w:val="TextoNormal"/>
      </w:pPr>
    </w:p>
    <w:p w14:paraId="2E581715" w14:textId="77777777" w:rsidR="00B35D37" w:rsidRDefault="00B35D37" w:rsidP="00B35D37">
      <w:pPr>
        <w:pStyle w:val="TextoNormal"/>
      </w:pPr>
      <w:r>
        <w:t>A este respecto, debemos reiterar en este punto que, en este recurso de amparo, en realidad, lo que se discute es la apreciación o no de la existencia de desviación de poder en el nombramiento de la recurrente en amparo como fiscal de sala de la Fiscalía Togada del Tribunal Supremo, cuestión de legalidad ordinaria que compete resolver a la jurisdicción contencioso-administrativa en el ejercicio de las funciones que, en exclusiva, le atribuye el art. 117.3 CE. Así, el art. 70.2 de la Ley 29/1998, de 13 de julio, reguladora de la jurisdicción contencioso-administrativa establece que “[l]a sentencia estimará el recurso contencioso-administrativo cuando la disposición, la actuación o el acto incurrieran en cualquier infracción del ordenamiento jurídico, incluso la desviación de poder. Se entiende por desviación de poder el ejercicio de potestades administrativas para fines distintos de los fijados por el ordenamiento jurídico”.</w:t>
      </w:r>
    </w:p>
    <w:p w14:paraId="64FEBE7D" w14:textId="77777777" w:rsidR="00B35D37" w:rsidRDefault="00B35D37" w:rsidP="00B35D37">
      <w:pPr>
        <w:pStyle w:val="TextoNormal"/>
      </w:pPr>
    </w:p>
    <w:p w14:paraId="081BDEE5" w14:textId="77777777" w:rsidR="00B35D37" w:rsidRDefault="00B35D37" w:rsidP="00B35D37">
      <w:pPr>
        <w:pStyle w:val="TextoNormal"/>
      </w:pPr>
      <w:r>
        <w:t>A ello hemos de añadir que, conforme al art. 48 de la Ley 39/2015, de 1 de octubre, del procedimiento administrativo común de las administraciones públicas, son anulables los actos de la administración que incurran en cualquier infracción del ordenamiento jurídico, incluso la desviación de poder. También los actos del Gobierno. Y que, como señala la sentencia objeto del presente recurso de amparo, el Consejo de Ministros solo podía aprobar o rechazar la propuesta del fiscal general del Estado, hasta el punto de que dicha propuesta es considerada la motivación del acto; extremo que ninguna de las partes pone en tela de juicio. Así las cosas, si la propuesta está viciada debe entenderse que el acto también lo está.</w:t>
      </w:r>
    </w:p>
    <w:p w14:paraId="09384CAF" w14:textId="77777777" w:rsidR="00B35D37" w:rsidRDefault="00B35D37" w:rsidP="00B35D37">
      <w:pPr>
        <w:pStyle w:val="TextoNormal"/>
      </w:pPr>
    </w:p>
    <w:p w14:paraId="799BE92A" w14:textId="77777777" w:rsidR="00B35D37" w:rsidRDefault="00B35D37" w:rsidP="00B35D37">
      <w:pPr>
        <w:pStyle w:val="TextoNormal"/>
      </w:pPr>
      <w:r>
        <w:t>Finalmente, tampoco es verosímil la lesión del art. 24 CE alegada por la parte. En todo caso, el art. 24.1 CE no garantiza el acierto judicial. Atendiendo a la motivación que contienen las resoluciones judiciales no está incursa en un error patente o en una evidente contradicción entre los fundamentos jurídicos, o entre estos y el fallo (SSTC 147/1999, de 4 de agosto, FJ 3; 25/2000, de 31 de enero, FJ 2; 87/2000, de 27 de marzo, FJ 3; 82/2001, de 26 de marzo, FJ 2; 221/2001, de 31 de octubre, FJ 6; 55/2003, de 24 de marzo, FJ 6; 223/2005, de 12 de septiembre, FJ 3; 276/2006, de 25 de septiembre, FJ 2, y 64/2010, de 18 de octubre, FJ 3, entre otras muchas).</w:t>
      </w:r>
    </w:p>
    <w:p w14:paraId="3AF3F926" w14:textId="77777777" w:rsidR="00B35D37" w:rsidRDefault="00B35D37" w:rsidP="00B35D37">
      <w:pPr>
        <w:pStyle w:val="TextoNormal"/>
      </w:pPr>
    </w:p>
    <w:p w14:paraId="6268BA48" w14:textId="77777777" w:rsidR="00B35D37" w:rsidRDefault="00B35D37" w:rsidP="00B35D37">
      <w:pPr>
        <w:pStyle w:val="TextoNormal"/>
      </w:pPr>
      <w:r>
        <w:t>Y en tal sentido emitimos nuestro voto particular.</w:t>
      </w:r>
    </w:p>
    <w:p w14:paraId="53F121FE" w14:textId="77777777" w:rsidR="00B35D37" w:rsidRDefault="00B35D37" w:rsidP="00B35D37">
      <w:pPr>
        <w:pStyle w:val="TextoNormal"/>
      </w:pPr>
    </w:p>
    <w:p w14:paraId="0F1C82F3" w14:textId="19E4BF39" w:rsidR="00B35D37" w:rsidRDefault="00B35D37" w:rsidP="00B35D37">
      <w:pPr>
        <w:pStyle w:val="TextoNormal"/>
      </w:pPr>
      <w:r>
        <w:t>Madrid, a veintiocho de enero de dos mil veinticinco.</w:t>
      </w:r>
    </w:p>
    <w:p w14:paraId="53C9A9A3" w14:textId="7A7DAD40" w:rsidR="00B35D37" w:rsidRDefault="00B35D37">
      <w:pPr>
        <w:spacing w:after="160" w:line="278" w:lineRule="auto"/>
        <w:rPr>
          <w:rFonts w:ascii="Times New Roman" w:eastAsia="Times New Roman" w:hAnsi="Times New Roman" w:cs="Times New Roman"/>
          <w:sz w:val="24"/>
          <w:szCs w:val="24"/>
          <w:lang w:eastAsia="es-ES"/>
        </w:rPr>
      </w:pPr>
      <w:r>
        <w:br w:type="page"/>
      </w:r>
    </w:p>
    <w:p w14:paraId="15614ADD" w14:textId="77777777" w:rsidR="00B35D37" w:rsidRDefault="00B35D37" w:rsidP="00B35D37">
      <w:pPr>
        <w:pStyle w:val="TtuloResolucin"/>
      </w:pPr>
      <w:bookmarkStart w:id="151" w:name="AUTO_2025_12"/>
      <w:r>
        <w:t>AUTO 12/2025, de 29 de enero de 2025</w:t>
      </w:r>
    </w:p>
    <w:bookmarkEnd w:id="151"/>
    <w:p w14:paraId="351EF123" w14:textId="77777777" w:rsidR="00B35D37" w:rsidRDefault="00B35D37" w:rsidP="00B35D37">
      <w:pPr>
        <w:pStyle w:val="TtuloResolucin"/>
      </w:pPr>
      <w:r>
        <w:t>Pleno</w:t>
      </w:r>
    </w:p>
    <w:p w14:paraId="77F58979" w14:textId="77777777" w:rsidR="00B35D37" w:rsidRDefault="00B35D37" w:rsidP="00B35D37">
      <w:pPr>
        <w:pStyle w:val="TextoNormalCentrado"/>
      </w:pPr>
      <w:r>
        <w:t>ECLI:ES:TC:2025:12A</w:t>
      </w:r>
    </w:p>
    <w:p w14:paraId="7C99C8F6" w14:textId="32BF8246" w:rsidR="00B35D37" w:rsidRDefault="00B35D37" w:rsidP="00B35D37">
      <w:pPr>
        <w:pStyle w:val="TextoNormalCentrado"/>
      </w:pPr>
    </w:p>
    <w:p w14:paraId="3AD7A8E0"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4B98006F" w14:textId="6A82E6A8" w:rsidR="00B35D37" w:rsidRDefault="00B35D37" w:rsidP="00B35D37">
      <w:pPr>
        <w:pStyle w:val="SntesisDescriptiva"/>
      </w:pPr>
    </w:p>
    <w:p w14:paraId="68BE61E8" w14:textId="77777777" w:rsidR="00B35D37" w:rsidRDefault="00B35D37" w:rsidP="00B35D37">
      <w:pPr>
        <w:pStyle w:val="SntesisDescriptiva"/>
      </w:pPr>
      <w:r>
        <w:t>Extiende los efectos de la recusación acordada en la cuestión de inconstitucionalidad núm. 6053-2024 por el auto 6/2025, de 15 de enero, a dieciséis recursos de inconstitucionalidad y cinco cuestiones de inconstitucionalidad y declara la pérdida sobrevenida de objeto de las recusaciones formuladas en dieciséis recursos de inconstitucionalidad y cuatro cuestiones de inconstitucionalidad, en relación con la Ley Orgánica 1/2024, de 10 de junio, de amnistía para la normalización institucional, política y social en Cataluña. Votos particulares.</w:t>
      </w:r>
    </w:p>
    <w:p w14:paraId="445B3147" w14:textId="26215B75" w:rsidR="00B35D37" w:rsidRDefault="00B35D37" w:rsidP="00B35D37">
      <w:pPr>
        <w:pStyle w:val="SntesisDescriptiva"/>
      </w:pPr>
    </w:p>
    <w:p w14:paraId="39084D7E" w14:textId="77777777" w:rsidR="00B35D37" w:rsidRDefault="00B35D37" w:rsidP="00B35D37">
      <w:pPr>
        <w:pStyle w:val="SntesisDescriptiva"/>
      </w:pPr>
    </w:p>
    <w:p w14:paraId="04FBF188" w14:textId="77777777" w:rsidR="00B35D37" w:rsidRDefault="00B35D37" w:rsidP="00B35D37">
      <w:pPr>
        <w:pStyle w:val="SntesisDescriptiva"/>
      </w:pPr>
    </w:p>
    <w:p w14:paraId="4144B0AA" w14:textId="77777777" w:rsidR="00B35D37" w:rsidRDefault="00B35D37" w:rsidP="00B35D37">
      <w:pPr>
        <w:pStyle w:val="TextoNormalNegritaCentrado"/>
      </w:pPr>
      <w:r>
        <w:t>AUTO</w:t>
      </w:r>
    </w:p>
    <w:p w14:paraId="7249626A" w14:textId="045162B7" w:rsidR="00B35D37" w:rsidRDefault="00B35D37" w:rsidP="00B35D37">
      <w:pPr>
        <w:pStyle w:val="TextoNormalNegritaCentrado"/>
      </w:pPr>
    </w:p>
    <w:p w14:paraId="49967437" w14:textId="77777777" w:rsidR="00B35D37" w:rsidRDefault="00B35D37" w:rsidP="00B35D37">
      <w:pPr>
        <w:pStyle w:val="TextoNormalNegritaCentrado"/>
        <w:keepNext/>
      </w:pPr>
      <w:r>
        <w:t>I. Antecedentes</w:t>
      </w:r>
    </w:p>
    <w:p w14:paraId="0B79780B" w14:textId="4DFEF8AA" w:rsidR="00B35D37" w:rsidRDefault="00B35D37" w:rsidP="00B35D37">
      <w:pPr>
        <w:pStyle w:val="TextoNormalNegritaCentrado"/>
        <w:keepNext/>
      </w:pPr>
    </w:p>
    <w:p w14:paraId="4B4D751E" w14:textId="07FD79A4" w:rsidR="00B35D37" w:rsidRDefault="00B35D37" w:rsidP="00B35D37">
      <w:pPr>
        <w:pStyle w:val="TextoNormal"/>
      </w:pPr>
      <w:r w:rsidRPr="00B35D37">
        <w:rPr>
          <w:rStyle w:val="NumeroAFNegritaCaracter"/>
        </w:rPr>
        <w:t>1</w:t>
      </w:r>
      <w:r>
        <w:t>. Mediante el auto 6/2025, aprobado el 15 de enero de 2025, el Pleno de este Tribunal Constitucional acordó estimar la recusación formulada por el fiscal general del Estado frente al magistrado de este tribunal don José María Macías Castaño en la cuestión de inconstitucionalidad núm. 6053-2024, y apartarlo definitivamente de su conocimiento, por concurrir en él las causas de recusación previstas en los apartados 13 y 16 del art. 219 de la Ley Orgánica del Poder Judicial (LOPJ). Los hechos que han servido de fundamento a tal decisión se contraen a la participación del magistrado recusado, en el legítimo ejercicio del cargo que entonces ocupaba como vocal del Consejo General del Poder Judicial, en la adopción, por el Pleno de dicho órgano constitucional, del acuerdo de 21 de marzo de 2024, por el que se aprobó el informe del Consejo sobre la proposición de ley orgánica de amnistía para la normalización institucional, política y social en Cataluña.</w:t>
      </w:r>
    </w:p>
    <w:p w14:paraId="2FC1B3A8" w14:textId="77777777" w:rsidR="00B35D37" w:rsidRDefault="00B35D37" w:rsidP="00B35D37">
      <w:pPr>
        <w:pStyle w:val="TextoNormal"/>
      </w:pPr>
    </w:p>
    <w:p w14:paraId="188C4953" w14:textId="77777777" w:rsidR="00B35D37" w:rsidRDefault="00B35D37" w:rsidP="00B35D37">
      <w:pPr>
        <w:pStyle w:val="TextoNormal"/>
      </w:pPr>
      <w:r w:rsidRPr="00B35D37">
        <w:rPr>
          <w:rStyle w:val="NumeroAFNegritaCaracter"/>
        </w:rPr>
        <w:t>2</w:t>
      </w:r>
      <w:r>
        <w:t>. El 17 de enero de 2025 la Secretaría de Justicia del Pleno de este tribunal ha dictado diligencia haciendo constar que en la misma se están tramitando actualmente los siguientes procesos constitucionales, que tienen por objeto el análisis abstracto de constitucionalidad de la Ley Orgánica 1/2024 de amnistía para la normalización institucional, política y social en Cataluña:</w:t>
      </w:r>
    </w:p>
    <w:p w14:paraId="7C9FE460" w14:textId="77777777" w:rsidR="00B35D37" w:rsidRDefault="00B35D37" w:rsidP="00B35D37">
      <w:pPr>
        <w:pStyle w:val="TextoNormal"/>
      </w:pPr>
    </w:p>
    <w:p w14:paraId="028D8EE1" w14:textId="77777777" w:rsidR="00B35D37" w:rsidRDefault="00B35D37" w:rsidP="00B35D37">
      <w:pPr>
        <w:pStyle w:val="TextoNormal"/>
      </w:pPr>
      <w:r>
        <w:t>- Recurso de inconstitucionalidad núm. 6436-2024, promovido por diputados y senadores del Grupo Parlamentario Popular.</w:t>
      </w:r>
    </w:p>
    <w:p w14:paraId="553B7C3B" w14:textId="77777777" w:rsidR="00B35D37" w:rsidRDefault="00B35D37" w:rsidP="00B35D37">
      <w:pPr>
        <w:pStyle w:val="TextoNormal"/>
      </w:pPr>
    </w:p>
    <w:p w14:paraId="788360B5" w14:textId="77777777" w:rsidR="00B35D37" w:rsidRDefault="00B35D37" w:rsidP="00B35D37">
      <w:pPr>
        <w:pStyle w:val="TextoNormal"/>
      </w:pPr>
      <w:r>
        <w:t>- Recurso de inconstitucionalidad núm. 6486-2024, promovido por las Cortes de Aragón.</w:t>
      </w:r>
    </w:p>
    <w:p w14:paraId="2696B785" w14:textId="77777777" w:rsidR="00B35D37" w:rsidRDefault="00B35D37" w:rsidP="00B35D37">
      <w:pPr>
        <w:pStyle w:val="TextoNormal"/>
      </w:pPr>
    </w:p>
    <w:p w14:paraId="6AAF6EA5" w14:textId="77777777" w:rsidR="00B35D37" w:rsidRDefault="00B35D37" w:rsidP="00B35D37">
      <w:pPr>
        <w:pStyle w:val="TextoNormal"/>
      </w:pPr>
      <w:r>
        <w:t>- Recurso de inconstitucionalidad núm. 6525-2024, promovido por el Parlamento de Cantabria.</w:t>
      </w:r>
    </w:p>
    <w:p w14:paraId="69EC1D68" w14:textId="77777777" w:rsidR="00B35D37" w:rsidRDefault="00B35D37" w:rsidP="00B35D37">
      <w:pPr>
        <w:pStyle w:val="TextoNormal"/>
      </w:pPr>
    </w:p>
    <w:p w14:paraId="612CFF69" w14:textId="77777777" w:rsidR="00B35D37" w:rsidRDefault="00B35D37" w:rsidP="00B35D37">
      <w:pPr>
        <w:pStyle w:val="TextoNormal"/>
      </w:pPr>
      <w:r>
        <w:t>- Recurso de inconstitucionalidad núm. 6547-2024, promovido por el Gobierno de Aragón.</w:t>
      </w:r>
    </w:p>
    <w:p w14:paraId="7A18B865" w14:textId="77777777" w:rsidR="00B35D37" w:rsidRDefault="00B35D37" w:rsidP="00B35D37">
      <w:pPr>
        <w:pStyle w:val="TextoNormal"/>
      </w:pPr>
    </w:p>
    <w:p w14:paraId="04F0A952" w14:textId="77777777" w:rsidR="00B35D37" w:rsidRDefault="00B35D37" w:rsidP="00B35D37">
      <w:pPr>
        <w:pStyle w:val="TextoNormal"/>
      </w:pPr>
      <w:r>
        <w:t>- Recurso de inconstitucionalidad núm. 6549-2024, promovido por el Gobierno de la Comunidad de Madrid.</w:t>
      </w:r>
    </w:p>
    <w:p w14:paraId="4EB1AE05" w14:textId="77777777" w:rsidR="00B35D37" w:rsidRDefault="00B35D37" w:rsidP="00B35D37">
      <w:pPr>
        <w:pStyle w:val="TextoNormal"/>
      </w:pPr>
    </w:p>
    <w:p w14:paraId="3D230D70" w14:textId="77777777" w:rsidR="00B35D37" w:rsidRDefault="00B35D37" w:rsidP="00B35D37">
      <w:pPr>
        <w:pStyle w:val="TextoNormal"/>
      </w:pPr>
      <w:r>
        <w:t>- Recurso de inconstitucionalidad núm. 6552-2024, promovido por el Consejo de Gobierno de la Junta de Comunidades de Castilla-La Mancha.</w:t>
      </w:r>
    </w:p>
    <w:p w14:paraId="6BDBE092" w14:textId="77777777" w:rsidR="00B35D37" w:rsidRDefault="00B35D37" w:rsidP="00B35D37">
      <w:pPr>
        <w:pStyle w:val="TextoNormal"/>
      </w:pPr>
    </w:p>
    <w:p w14:paraId="383994D3" w14:textId="77777777" w:rsidR="00B35D37" w:rsidRDefault="00B35D37" w:rsidP="00B35D37">
      <w:pPr>
        <w:pStyle w:val="TextoNormal"/>
      </w:pPr>
      <w:r>
        <w:t>- Recurso de inconstitucionalidad núm. 6556-2024, promovido por la Xunta de Galicia.</w:t>
      </w:r>
    </w:p>
    <w:p w14:paraId="26F8264D" w14:textId="77777777" w:rsidR="00B35D37" w:rsidRDefault="00B35D37" w:rsidP="00B35D37">
      <w:pPr>
        <w:pStyle w:val="TextoNormal"/>
      </w:pPr>
    </w:p>
    <w:p w14:paraId="36C93F51" w14:textId="77777777" w:rsidR="00B35D37" w:rsidRDefault="00B35D37" w:rsidP="00B35D37">
      <w:pPr>
        <w:pStyle w:val="TextoNormal"/>
      </w:pPr>
      <w:r>
        <w:t>- Recurso de inconstitucionalidad núm. 6560-2024, promovido por el Consejo de Gobierno de la Región de Murcia.</w:t>
      </w:r>
    </w:p>
    <w:p w14:paraId="3E5BA39D" w14:textId="77777777" w:rsidR="00B35D37" w:rsidRDefault="00B35D37" w:rsidP="00B35D37">
      <w:pPr>
        <w:pStyle w:val="TextoNormal"/>
      </w:pPr>
    </w:p>
    <w:p w14:paraId="253C8C62" w14:textId="77777777" w:rsidR="00B35D37" w:rsidRDefault="00B35D37" w:rsidP="00B35D37">
      <w:pPr>
        <w:pStyle w:val="TextoNormal"/>
      </w:pPr>
      <w:r>
        <w:t>- Recurso de inconstitucionalidad núm. 6562-2024, promovido por la Asamblea Regional de Murcia.</w:t>
      </w:r>
    </w:p>
    <w:p w14:paraId="6C7D4730" w14:textId="77777777" w:rsidR="00B35D37" w:rsidRDefault="00B35D37" w:rsidP="00B35D37">
      <w:pPr>
        <w:pStyle w:val="TextoNormal"/>
      </w:pPr>
    </w:p>
    <w:p w14:paraId="14807D3A" w14:textId="77777777" w:rsidR="00B35D37" w:rsidRDefault="00B35D37" w:rsidP="00B35D37">
      <w:pPr>
        <w:pStyle w:val="TextoNormal"/>
      </w:pPr>
      <w:r>
        <w:t>- Recurso de inconstitucionalidad núm. 6575-2024, promovido por el Consejo de Gobierno de Andalucía.</w:t>
      </w:r>
    </w:p>
    <w:p w14:paraId="5737E20A" w14:textId="77777777" w:rsidR="00B35D37" w:rsidRDefault="00B35D37" w:rsidP="00B35D37">
      <w:pPr>
        <w:pStyle w:val="TextoNormal"/>
      </w:pPr>
    </w:p>
    <w:p w14:paraId="6BC714CF" w14:textId="77777777" w:rsidR="00B35D37" w:rsidRDefault="00B35D37" w:rsidP="00B35D37">
      <w:pPr>
        <w:pStyle w:val="TextoNormal"/>
      </w:pPr>
      <w:r>
        <w:t>- Recurso de inconstitucionalidad núm. 6588-2024, promovido por el Consell de la Generalitat Valenciana.</w:t>
      </w:r>
    </w:p>
    <w:p w14:paraId="030E1E3E" w14:textId="77777777" w:rsidR="00B35D37" w:rsidRDefault="00B35D37" w:rsidP="00B35D37">
      <w:pPr>
        <w:pStyle w:val="TextoNormal"/>
      </w:pPr>
    </w:p>
    <w:p w14:paraId="705B1D6B" w14:textId="77777777" w:rsidR="00B35D37" w:rsidRDefault="00B35D37" w:rsidP="00B35D37">
      <w:pPr>
        <w:pStyle w:val="TextoNormal"/>
      </w:pPr>
      <w:r>
        <w:t>- Recurso de inconstitucionalidad núm. 6595-2024, promovido por la Junta de Castilla y León.</w:t>
      </w:r>
    </w:p>
    <w:p w14:paraId="61AB62D2" w14:textId="77777777" w:rsidR="00B35D37" w:rsidRDefault="00B35D37" w:rsidP="00B35D37">
      <w:pPr>
        <w:pStyle w:val="TextoNormal"/>
      </w:pPr>
    </w:p>
    <w:p w14:paraId="639D7B85" w14:textId="77777777" w:rsidR="00B35D37" w:rsidRDefault="00B35D37" w:rsidP="00B35D37">
      <w:pPr>
        <w:pStyle w:val="TextoNormal"/>
      </w:pPr>
      <w:r>
        <w:t>- Recurso de inconstitucionalidad núm. 6607-2024, promovido por el Gobierno de La Rioja.</w:t>
      </w:r>
    </w:p>
    <w:p w14:paraId="164AA6BC" w14:textId="77777777" w:rsidR="00B35D37" w:rsidRDefault="00B35D37" w:rsidP="00B35D37">
      <w:pPr>
        <w:pStyle w:val="TextoNormal"/>
      </w:pPr>
    </w:p>
    <w:p w14:paraId="15EBEC6A" w14:textId="77777777" w:rsidR="00B35D37" w:rsidRDefault="00B35D37" w:rsidP="00B35D37">
      <w:pPr>
        <w:pStyle w:val="TextoNormal"/>
      </w:pPr>
      <w:r>
        <w:t>- Recurso de inconstitucionalidad núm. 6616-2024, promovido por el Gobierno de Cantabria.</w:t>
      </w:r>
    </w:p>
    <w:p w14:paraId="2B2AD6B6" w14:textId="77777777" w:rsidR="00B35D37" w:rsidRDefault="00B35D37" w:rsidP="00B35D37">
      <w:pPr>
        <w:pStyle w:val="TextoNormal"/>
      </w:pPr>
    </w:p>
    <w:p w14:paraId="18B49792" w14:textId="77777777" w:rsidR="00B35D37" w:rsidRDefault="00B35D37" w:rsidP="00B35D37">
      <w:pPr>
        <w:pStyle w:val="TextoNormal"/>
      </w:pPr>
      <w:r>
        <w:t>- Recurso de inconstitucionalidad núm. 6617-2024, promovido por la Junta de Extremadura.</w:t>
      </w:r>
    </w:p>
    <w:p w14:paraId="7D972DF9" w14:textId="77777777" w:rsidR="00B35D37" w:rsidRDefault="00B35D37" w:rsidP="00B35D37">
      <w:pPr>
        <w:pStyle w:val="TextoNormal"/>
      </w:pPr>
    </w:p>
    <w:p w14:paraId="3C83C962" w14:textId="77777777" w:rsidR="00B35D37" w:rsidRDefault="00B35D37" w:rsidP="00B35D37">
      <w:pPr>
        <w:pStyle w:val="TextoNormal"/>
      </w:pPr>
      <w:r>
        <w:t>- Recurso de inconstitucionalidad núm. 6621-2024, promovido por el Gobierno de las Illes Balears.</w:t>
      </w:r>
    </w:p>
    <w:p w14:paraId="51B3E6D1" w14:textId="77777777" w:rsidR="00B35D37" w:rsidRDefault="00B35D37" w:rsidP="00B35D37">
      <w:pPr>
        <w:pStyle w:val="TextoNormal"/>
      </w:pPr>
    </w:p>
    <w:p w14:paraId="6FA08A69" w14:textId="77777777" w:rsidR="00B35D37" w:rsidRDefault="00B35D37" w:rsidP="00B35D37">
      <w:pPr>
        <w:pStyle w:val="TextoNormal"/>
      </w:pPr>
      <w:r>
        <w:t>- Cuestión de inconstitucionalidad núm. 6053-2024, planteada por la Sala de lo Penal del Tribunal Supremo.</w:t>
      </w:r>
    </w:p>
    <w:p w14:paraId="57F97E51" w14:textId="77777777" w:rsidR="00B35D37" w:rsidRDefault="00B35D37" w:rsidP="00B35D37">
      <w:pPr>
        <w:pStyle w:val="TextoNormal"/>
      </w:pPr>
    </w:p>
    <w:p w14:paraId="7420A5A4" w14:textId="77777777" w:rsidR="00B35D37" w:rsidRDefault="00B35D37" w:rsidP="00B35D37">
      <w:pPr>
        <w:pStyle w:val="TextoNormal"/>
      </w:pPr>
      <w:r>
        <w:t>- Cuestión de inconstitucionalidad núm. 6596-2024, planteada por la Sala de lo Civil y Penal del Tribunal Superior de Justicia de Cataluña.</w:t>
      </w:r>
    </w:p>
    <w:p w14:paraId="6E327D1B" w14:textId="77777777" w:rsidR="00B35D37" w:rsidRDefault="00B35D37" w:rsidP="00B35D37">
      <w:pPr>
        <w:pStyle w:val="TextoNormal"/>
      </w:pPr>
    </w:p>
    <w:p w14:paraId="6C70E7DF" w14:textId="77777777" w:rsidR="00B35D37" w:rsidRDefault="00B35D37" w:rsidP="00B35D37">
      <w:pPr>
        <w:pStyle w:val="TextoNormal"/>
      </w:pPr>
      <w:r>
        <w:t>- Cuestión de inconstitucionalidad núm. 6597-2024, planteada por la Sala de lo Civil y Penal del Tribunal Superior de Justicia de Cataluña.</w:t>
      </w:r>
    </w:p>
    <w:p w14:paraId="3247444E" w14:textId="77777777" w:rsidR="00B35D37" w:rsidRDefault="00B35D37" w:rsidP="00B35D37">
      <w:pPr>
        <w:pStyle w:val="TextoNormal"/>
      </w:pPr>
    </w:p>
    <w:p w14:paraId="67C516FF" w14:textId="77777777" w:rsidR="00B35D37" w:rsidRDefault="00B35D37" w:rsidP="00B35D37">
      <w:pPr>
        <w:pStyle w:val="TextoNormal"/>
      </w:pPr>
      <w:r>
        <w:t>- Cuestión de inconstitucionalidad núm. 6699-2024, planteada por la Sala de lo Civil y Penal del Tribunal Superior de Justicia de Cataluña.</w:t>
      </w:r>
    </w:p>
    <w:p w14:paraId="783B96A4" w14:textId="77777777" w:rsidR="00B35D37" w:rsidRDefault="00B35D37" w:rsidP="00B35D37">
      <w:pPr>
        <w:pStyle w:val="TextoNormal"/>
      </w:pPr>
    </w:p>
    <w:p w14:paraId="71AAFA7E" w14:textId="77777777" w:rsidR="00B35D37" w:rsidRDefault="00B35D37" w:rsidP="00B35D37">
      <w:pPr>
        <w:pStyle w:val="TextoNormal"/>
      </w:pPr>
      <w:r>
        <w:t>- Cuestión de inconstitucionalidad núm. 6754-2024, planteada por la Sala de lo Civil y Penal del Tribunal Superior de Justicia de Cataluña.</w:t>
      </w:r>
    </w:p>
    <w:p w14:paraId="2CB900B6" w14:textId="77777777" w:rsidR="00B35D37" w:rsidRDefault="00B35D37" w:rsidP="00B35D37">
      <w:pPr>
        <w:pStyle w:val="TextoNormal"/>
      </w:pPr>
    </w:p>
    <w:p w14:paraId="1F916C53" w14:textId="77777777" w:rsidR="00B35D37" w:rsidRDefault="00B35D37" w:rsidP="00B35D37">
      <w:pPr>
        <w:pStyle w:val="TextoNormal"/>
      </w:pPr>
      <w:r>
        <w:t>- Cuestión de inconstitucionalidad núm. 7668-2024, planteada por la Sección Vigesimotercera de la Audiencia Provincial de Madrid.</w:t>
      </w:r>
    </w:p>
    <w:p w14:paraId="6B67B25E" w14:textId="77777777" w:rsidR="00B35D37" w:rsidRDefault="00B35D37" w:rsidP="00B35D37">
      <w:pPr>
        <w:pStyle w:val="TextoNormal"/>
      </w:pPr>
    </w:p>
    <w:p w14:paraId="4B2EDAAB" w14:textId="77777777" w:rsidR="00B35D37" w:rsidRDefault="00B35D37" w:rsidP="00B35D37">
      <w:pPr>
        <w:pStyle w:val="TextoNormal"/>
      </w:pPr>
      <w:r>
        <w:t>Asimismo, se hace constar que en los recursos de inconstitucionalidad núm. 6436-2024, 6486-2024, 6525-2024, 6547-2024, 6549-2024, 6552-2024, 6556-2024, 6560-2024, 6562-2024, 6575-2024, 6588-2024, 6595-2024, 6607-2024, 6616-2024, 6617-2024 y 6621-2024, todos ellos admitidos a trámite, y en las cuestiones de inconstitucionalidad núm. 6053-2024, 6596-2024, 6597-2024 y 6699-2024, igualmente admitidas a trámite, se ha formulado recusación del magistrado Excmo. señor don José María Macías Castaño.</w:t>
      </w:r>
    </w:p>
    <w:p w14:paraId="74CE17AA" w14:textId="77777777" w:rsidR="00B35D37" w:rsidRDefault="00B35D37" w:rsidP="00B35D37">
      <w:pPr>
        <w:pStyle w:val="TextoNormal"/>
      </w:pPr>
    </w:p>
    <w:p w14:paraId="26BADCBE" w14:textId="38BEF71D" w:rsidR="00B35D37" w:rsidRDefault="00B35D37" w:rsidP="00B35D37">
      <w:pPr>
        <w:pStyle w:val="TextoNormal"/>
      </w:pPr>
      <w:r>
        <w:t>Se hace constar, finalmente, que en las cuestiones de inconstitucionalidad núm. 6754-2024 y 7668-2024 no se ha formulado recusación, encontrándose actualmente en trámite de audiencia al fiscal general del Estado sobre admisibilidad [art. 37.1 de la Ley Orgánica del Tribunal Constitucional (LOTC)].</w:t>
      </w:r>
    </w:p>
    <w:p w14:paraId="4E372E65" w14:textId="77777777" w:rsidR="00B35D37" w:rsidRDefault="00B35D37" w:rsidP="00B35D37">
      <w:pPr>
        <w:pStyle w:val="TextoNormal"/>
      </w:pPr>
    </w:p>
    <w:p w14:paraId="5B65D4A4" w14:textId="77777777" w:rsidR="00B35D37" w:rsidRDefault="00B35D37" w:rsidP="00B35D37">
      <w:pPr>
        <w:pStyle w:val="TextoNormalNegritaCentrado"/>
        <w:keepNext/>
      </w:pPr>
      <w:r>
        <w:t>II. Fundamentos jurídicos</w:t>
      </w:r>
    </w:p>
    <w:p w14:paraId="158F4AFA" w14:textId="353C0A59" w:rsidR="00B35D37" w:rsidRDefault="00B35D37" w:rsidP="00B35D37">
      <w:pPr>
        <w:pStyle w:val="TextoNormalNegritaCentrado"/>
        <w:keepNext/>
      </w:pPr>
    </w:p>
    <w:p w14:paraId="216CF838" w14:textId="77777777" w:rsidR="00B35D37" w:rsidRDefault="00B35D37" w:rsidP="00B35D37">
      <w:pPr>
        <w:pStyle w:val="TextoNormal"/>
      </w:pPr>
      <w:r w:rsidRPr="00B35D37">
        <w:rPr>
          <w:rStyle w:val="NumeroAFNegritaCaracter"/>
        </w:rPr>
        <w:t>1</w:t>
      </w:r>
      <w:r>
        <w:t>. El artículo 22 LOTC impone a los magistrados y magistradas del Tribunal Constitucional la obligación de ejercer su función de acuerdo con el principio de imparcialidad que, conforme a una doctrina reiterada del propio Tribunal, forma parte del derecho a un proceso con todas las garantías proclamado por el art. 24.2 CE (SSTC 154/2001, de 2 de julio; 5/2004, de 16 de enero, FJ 2, y cuantas se citan en ellas).</w:t>
      </w:r>
    </w:p>
    <w:p w14:paraId="4E05D007" w14:textId="77777777" w:rsidR="00B35D37" w:rsidRDefault="00B35D37" w:rsidP="00B35D37">
      <w:pPr>
        <w:pStyle w:val="TextoNormal"/>
      </w:pPr>
    </w:p>
    <w:p w14:paraId="31B8F9C2" w14:textId="77777777" w:rsidR="00B35D37" w:rsidRDefault="00B35D37" w:rsidP="00B35D37">
      <w:pPr>
        <w:pStyle w:val="TextoNormal"/>
      </w:pPr>
      <w:r>
        <w:t>Hemos afirmado en tal sentido que la imparcialidad y objetividad del Tribunal son presupuestos básicos del proceso debido (STC 60/1995, de 17 de marzo, FJ 3), derivados de la exigencia constitucional de actuar únicamente sometidos al imperio de la Ley (art. 117 CE) y nota esencial característica de la función jurisdiccional desempeñada por los jueces y tribunales (SSTC 133/1987, de 21 de julio, FJ 4; 150/1989, de 25 de septiembre, FJ 5; 111/1993, de 25 de marzo, FJ 6; 137/1997, de 21 de julio, FJ 6, y 162/1999, de 27 de septiembre, FJ 5). Además, el principio de imparcialidad se erige en garantía fundamental de la administración de justicia propia de un Estado de Derecho (art. 1.1 CE), dirigida a asegurar que la razón última de la decisión adoptada sea conforme al ordenamiento jurídico y por un tercero ajeno tanto a los intereses en litigio como a sus titulares (SSTC 299/1994, de 14 de noviembre, FJ 3, y 162/1999, de 27 de septiembre, FJ 5).</w:t>
      </w:r>
    </w:p>
    <w:p w14:paraId="102A979B" w14:textId="77777777" w:rsidR="00B35D37" w:rsidRDefault="00B35D37" w:rsidP="00B35D37">
      <w:pPr>
        <w:pStyle w:val="TextoNormal"/>
      </w:pPr>
    </w:p>
    <w:p w14:paraId="0C461B8B" w14:textId="11295FD2" w:rsidR="00B35D37" w:rsidRDefault="00B35D37" w:rsidP="00B35D37">
      <w:pPr>
        <w:pStyle w:val="TextoNormal"/>
      </w:pPr>
      <w:r>
        <w:t>Las causas de abstención y recusación recogidas en el art. 219 LOPJ constituyen una garantía del derecho al juez imparcial (art. 24.2 CE), impidiendo que el órgano jurisdiccional pueda constituirse con parcialidad sobre el objeto procesal, derivada de su anterior conocimiento en una instancia previa (STC 154/2001, de 2 de julio, FJ 3). Y a tal fin el art. 217 LOPJ establece la obligación del juez o magistrado en quien concurra alguna de tales causas de abstenerse del conocimiento del asunto, sin esperar a que se le recuse.</w:t>
      </w:r>
    </w:p>
    <w:p w14:paraId="7083AC5C" w14:textId="77777777" w:rsidR="00B35D37" w:rsidRDefault="00B35D37" w:rsidP="00B35D37">
      <w:pPr>
        <w:pStyle w:val="TextoNormal"/>
      </w:pPr>
    </w:p>
    <w:p w14:paraId="094CFE60" w14:textId="77777777" w:rsidR="00B35D37" w:rsidRDefault="00B35D37" w:rsidP="00B35D37">
      <w:pPr>
        <w:pStyle w:val="TextoNormal"/>
      </w:pPr>
      <w:r w:rsidRPr="00B35D37">
        <w:rPr>
          <w:rStyle w:val="NumeroAFNegritaCaracter"/>
        </w:rPr>
        <w:t>2</w:t>
      </w:r>
      <w:r>
        <w:t>. En nuestra práctica jurisdiccional no es poco habitual que se formulen parecidas o idénticas peticiones de abstención o recusación amparadas en las mismas causas legales o apoyadas en los mismos presupuestos fácticos y fundamentos jurídicos.</w:t>
      </w:r>
    </w:p>
    <w:p w14:paraId="20D292FF" w14:textId="77777777" w:rsidR="00B35D37" w:rsidRDefault="00B35D37" w:rsidP="00B35D37">
      <w:pPr>
        <w:pStyle w:val="TextoNormal"/>
      </w:pPr>
    </w:p>
    <w:p w14:paraId="70AF71FD" w14:textId="77777777" w:rsidR="00B35D37" w:rsidRDefault="00B35D37" w:rsidP="00B35D37">
      <w:pPr>
        <w:pStyle w:val="TextoNormal"/>
      </w:pPr>
      <w:r>
        <w:t>Tal situación viene produciéndose: (i) en procesos con múltiples partes; (ii) cuando un recurrente mantiene abiertos diversos procesos, en los que puede coincidir o no el objeto de impugnación; y (iii) en aquellos otros casos que, planteados por distintos recurrentes, se refieren al mismo objeto de impugnación.</w:t>
      </w:r>
    </w:p>
    <w:p w14:paraId="5A48078E" w14:textId="77777777" w:rsidR="00B35D37" w:rsidRDefault="00B35D37" w:rsidP="00B35D37">
      <w:pPr>
        <w:pStyle w:val="TextoNormal"/>
      </w:pPr>
    </w:p>
    <w:p w14:paraId="68890B81" w14:textId="77777777" w:rsidR="00B35D37" w:rsidRDefault="00B35D37" w:rsidP="00B35D37">
      <w:pPr>
        <w:pStyle w:val="TextoNormal"/>
      </w:pPr>
      <w:r>
        <w:t>En estos casos, bien sea porque su objeto sea coincidente, porque se alegue la misma causa de recusación o porque se refiera a la misma magistrada o magistrado, el Pleno ha abordado usualmente las distintas pretensiones de abstención y recusación dándoles una respuesta unificada y común en una sola resolución cuyo efecto, estimatorio o desestimatorio, se extiende a todas ellas (AATC 107/2021, de 15 de diciembre, y 17/2022, de 25 de enero).</w:t>
      </w:r>
    </w:p>
    <w:p w14:paraId="35C37D44" w14:textId="77777777" w:rsidR="00B35D37" w:rsidRDefault="00B35D37" w:rsidP="00B35D37">
      <w:pPr>
        <w:pStyle w:val="TextoNormal"/>
      </w:pPr>
    </w:p>
    <w:p w14:paraId="52A39BE6" w14:textId="77777777" w:rsidR="00B35D37" w:rsidRDefault="00B35D37" w:rsidP="00B35D37">
      <w:pPr>
        <w:pStyle w:val="TextoNormal"/>
      </w:pPr>
      <w:r>
        <w:t>En otras ocasiones han coincidido simultáneamente peticiones de abstención con pretensiones de recusación planteadas en la misma causa o en causas relacionadas. En tales supuestos, el Pleno (órgano competente, único e insustituible para conocer sobre las mismas) ha abordado la petición de abstención y, cuando la ha considerado justificada, ha extendido la exclusión del abstenido a otras causas relacionadas con las que apreció identidad de razón, declarando por ello la pérdida sobrevenida de objeto de las pretensiones de recusación pendientes de analizar.</w:t>
      </w:r>
    </w:p>
    <w:p w14:paraId="52BD2E49" w14:textId="77777777" w:rsidR="00B35D37" w:rsidRDefault="00B35D37" w:rsidP="00B35D37">
      <w:pPr>
        <w:pStyle w:val="TextoNormal"/>
      </w:pPr>
    </w:p>
    <w:p w14:paraId="4EE5DEF1" w14:textId="6BA76E7F" w:rsidR="00B35D37" w:rsidRDefault="00B35D37" w:rsidP="00B35D37">
      <w:pPr>
        <w:pStyle w:val="TextoNormal"/>
      </w:pPr>
      <w:r>
        <w:t>Dicho de otra forma, cuando la exclusión de un magistrado o magistrada ha sido aceptada por su relación previa con el objeto del proceso, hemos declarado que pierden sobrevenidamente objeto las eventuales pretensiones de abstención o recusación pendientes de resolución que se han planteado en otros procesos que presentan el mismo objeto de impugnación, pues la inidoneidad personal para abordar un objeto de impugnación es miméticamente apreciable en el resto de los procesos reseñados (recientemente, ATC 91/2024, de 24 de septiembre).</w:t>
      </w:r>
    </w:p>
    <w:p w14:paraId="6822C92F" w14:textId="77777777" w:rsidR="00B35D37" w:rsidRDefault="00B35D37" w:rsidP="00B35D37">
      <w:pPr>
        <w:pStyle w:val="TextoNormal"/>
      </w:pPr>
    </w:p>
    <w:p w14:paraId="111ABE3A" w14:textId="77777777" w:rsidR="00B35D37" w:rsidRDefault="00B35D37" w:rsidP="00B35D37">
      <w:pPr>
        <w:pStyle w:val="TextoNormal"/>
      </w:pPr>
      <w:r w:rsidRPr="00B35D37">
        <w:rPr>
          <w:rStyle w:val="NumeroAFNegritaCaracter"/>
        </w:rPr>
        <w:t>3</w:t>
      </w:r>
      <w:r>
        <w:t>. El ATC 6/2025, de 15 de enero, estima la recusación del magistrado Macías Castaño —formulada por el fiscal general del Estado— y lo aparta definitivamente del conocimiento de la cuestión de inconstitucionalidad núm. 6053-2024, por hallarse incurso en dos causas de recusación de naturaleza objetiva recogidas en la ley: haber ocupado cargo público, desempeñado empleo o ejercido profesión con ocasión de los cuales haya participado directa o indirectamente en el asunto objeto del pleito o causa o en otro relacionado con el mismo (apartado 13 del art. 219 LOPJ); y haber ocupado el juez o magistrado cargo público o administrativo con ocasión del cual haya podido tener conocimiento del objeto del litigio y formar criterio en detrimento de la debida imparcialidad (apartado 16 del art. 219 LOPJ).</w:t>
      </w:r>
    </w:p>
    <w:p w14:paraId="0B8E9F59" w14:textId="77777777" w:rsidR="00B35D37" w:rsidRDefault="00B35D37" w:rsidP="00B35D37">
      <w:pPr>
        <w:pStyle w:val="TextoNormal"/>
      </w:pPr>
    </w:p>
    <w:p w14:paraId="4F6F16BD" w14:textId="032E6FA0" w:rsidR="00B35D37" w:rsidRDefault="00B35D37" w:rsidP="00B35D37">
      <w:pPr>
        <w:pStyle w:val="TextoNormal"/>
      </w:pPr>
      <w:r>
        <w:t>Los datos objetivos que sustentan tal decisión se recogen en la citada resolución y, en esencia, son los siguientes: (i) a través del informe de legalidad aprobado por el Pleno del Consejo General del Poder Judicial el 21 de marzo de 2024, el magistrado Macías Castaño emitió, en el legítimo ejercicio del cargo institucional que ostentaba como vocal del Consejo General del Poder Judicial, y a petición de la Cámara Alta, un dictamen jurídico-constitucional profundo, detallado, acerca de un texto legal que coincide exactamente con el de la Ley Orgánica 1/2024, de 10 de junio, objeto de la cuestión de inconstitucionalidad; (ii) dicho informe se incorporó al procedimiento de elaboración de dicha ley, donde sirvió de soporte técnico al veto aprobado por el Pleno del Senado, y en el mismo expresa el criterio jurídico del magistrado acerca de las mismas cuestiones que hoy se plantean a este Tribunal Constitucional; criterio que, dada su minuciosidad y contundencia, constituye una clara toma de postura en las materias que habrán de resolverse por este Tribunal Constitucional en el pleito principal (ATC 6/2025, de 15 de enero, FJ 5).</w:t>
      </w:r>
    </w:p>
    <w:p w14:paraId="7EF4E37E" w14:textId="77777777" w:rsidR="00B35D37" w:rsidRDefault="00B35D37" w:rsidP="00B35D37">
      <w:pPr>
        <w:pStyle w:val="TextoNormal"/>
      </w:pPr>
    </w:p>
    <w:p w14:paraId="3F7ECA73" w14:textId="77777777" w:rsidR="00B35D37" w:rsidRDefault="00B35D37" w:rsidP="00B35D37">
      <w:pPr>
        <w:pStyle w:val="TextoNormal"/>
      </w:pPr>
      <w:r w:rsidRPr="00B35D37">
        <w:rPr>
          <w:rStyle w:val="NumeroAFNegritaCaracter"/>
        </w:rPr>
        <w:t>4</w:t>
      </w:r>
      <w:r>
        <w:t>. Los mismos argumentos recogidos en el fundamento jurídico 5 del ATC 6/2025, dictado en la presente pieza separada de recusación el 15 de enero de 2025 resultan trasladables a todos los procesos constitucionales que se reflejan en la diligencia de constancia expedida por la Secretaría de Justicia del Pleno de este tribunal; procesos todos ellos que tienen por objeto el examen abstracto de la constitucionalidad de la Ley Orgánica 1/2024, de 10 de junio, de amnistía para la normalización institucional, política y social en Cataluña, sea a través de un recurso de inconstitucionalidad o a través de una cuestión de constitucionalidad.</w:t>
      </w:r>
    </w:p>
    <w:p w14:paraId="162CAD9A" w14:textId="77777777" w:rsidR="00B35D37" w:rsidRDefault="00B35D37" w:rsidP="00B35D37">
      <w:pPr>
        <w:pStyle w:val="TextoNormal"/>
      </w:pPr>
    </w:p>
    <w:p w14:paraId="3FA992F0" w14:textId="77777777" w:rsidR="00B35D37" w:rsidRDefault="00B35D37" w:rsidP="00B35D37">
      <w:pPr>
        <w:pStyle w:val="TextoNormal"/>
      </w:pPr>
      <w:r>
        <w:t>Esta conclusión se sustenta en las siguientes razones:</w:t>
      </w:r>
    </w:p>
    <w:p w14:paraId="57F6939B" w14:textId="77777777" w:rsidR="00B35D37" w:rsidRDefault="00B35D37" w:rsidP="00B35D37">
      <w:pPr>
        <w:pStyle w:val="TextoNormal"/>
      </w:pPr>
    </w:p>
    <w:p w14:paraId="34E70CC1" w14:textId="77777777" w:rsidR="00B35D37" w:rsidRDefault="00B35D37" w:rsidP="00B35D37">
      <w:pPr>
        <w:pStyle w:val="TextoNormal"/>
      </w:pPr>
      <w:r>
        <w:t>(i) Como ya se ha indicado, las causas por las que se estimó la recusación, recogidas en los apartados 13 y 16 del art. 219 LOPJ, son causas de naturaleza estrictamente objetiva. Esto supone que la duda de parcialidad que tratan de evitar deriva de la vinculación entre el magistrado recusado y el objeto del proceso en que la recusación es planteada. En el supuesto resuelto por el ATC 6/2025, como se ha expuesto, la vinculación del magistrado Macías Castaño con el objeto del proceso principal (cuestión de inconstitucionalidad núm. 6053-2024) procede de la aprobación por dicho magistrado, en el legítimo ejercicio del cargo institucional que ostentaba como vocal del Consejo General del Poder Judicial, de un informe que no solo constituye un dictamen jurídico exhaustivo, detallado y terminante acerca de la constitucionalidad de un texto legal que coincide exactamente con el de la Ley Orgánica 1/2024 de amnistía, sino que, además, se incorporó al proceso legislativo de dicha norma, surtiendo un efecto directo y determinante en él.</w:t>
      </w:r>
    </w:p>
    <w:p w14:paraId="3EC0953A" w14:textId="77777777" w:rsidR="00B35D37" w:rsidRDefault="00B35D37" w:rsidP="00B35D37">
      <w:pPr>
        <w:pStyle w:val="TextoNormal"/>
      </w:pPr>
    </w:p>
    <w:p w14:paraId="36E372B4" w14:textId="77777777" w:rsidR="00B35D37" w:rsidRDefault="00B35D37" w:rsidP="00B35D37">
      <w:pPr>
        <w:pStyle w:val="TextoNormal"/>
      </w:pPr>
      <w:r>
        <w:t>(ii) Examinados los procesos que se reseñan en la diligencia de constancia expedida por la Secretaría de Justicia del Pleno el 17 de enero de 2025, se observa que todos ellos participan de una característica común: su objeto, coincidente también con el objeto de la cuestión de inconstitucionalidad 6053-2024. En efecto, en todos estos procedimientos lo que se reclama del Tribunal por la parte recurrente es la realización de un examen abstracto de constitucionalidad de la norma en su conjunto y de los diversos artículos que la componen. Este es, por lo demás, el objeto del informe aprobado por el Consejo General del Poder Judicial, con el voto favorable del magistrado Macías Castaño, el 21 de marzo de 2024. En otras palabras, existe una evidente identidad de objeto entre los procedimientos recogidos en el listado de la diligencia de constancia de 17 de enero de 2025, incluida la cuestión de inconstitucionalidad núm. 6053-2024, y el informe aprobado por el Pleno del Consejo el 21 de marzo de 2024; identidad que se produce no solo en cuanto al texto de la norma examinada, sino también en relación con el contenido de las concretas cuestiones analizadas por el informe del Consejo y cuyo examen se demanda de este tribunal en los referidos procesos constitucionales. Por tal motivo, la tacha de parcialidad que hace al magistrado Macías Castaño inidóneo para conocer de un proceso constitucional (la cuestión de inconstitucionalidad 6053-2024), dado que su contenido es sustancialmente idéntico al del informe que emitió como vocal del Consejo General del Poder Judicial, concurre también en todos los demás procesos reseñados en la diligencia de constancia de 17 de enero de 2025, que igualmente coinciden en su objeto con el del referido informe.</w:t>
      </w:r>
    </w:p>
    <w:p w14:paraId="72DD3AC4" w14:textId="77777777" w:rsidR="00B35D37" w:rsidRDefault="00B35D37" w:rsidP="00B35D37">
      <w:pPr>
        <w:pStyle w:val="TextoNormal"/>
      </w:pPr>
    </w:p>
    <w:p w14:paraId="1D074ED8" w14:textId="77777777" w:rsidR="00B35D37" w:rsidRDefault="00B35D37" w:rsidP="00B35D37">
      <w:pPr>
        <w:pStyle w:val="TextoNormal"/>
      </w:pPr>
      <w:r>
        <w:t>(iii) Como ya se indicó en el ATC 6/2025, exclusivamente en la coincidencia de objeto entre el informe que aprobó en su condición de vocal del Consejo General del Poder Judicial y la cuestión de inconstitucionalidad en que se planteó la recusación. A tal circunstancia se suma otra de igual relevancia a efectos de hacer surgir la tacha de parcialidad que justifica su apartamiento del proceso: el informe aprobado por el Pleno del Consejo, con el voto favorable del señor Macías Castaño, fue incorporado al proceso legislativo de la proposición de ley orgánica de amnistía para la normalización institucional, política y social en Cataluña durante su tramitación en el Senado, y sirvió como soporte técnico a la propuesta de veto núm. 2, presentada por el Grupo Popular el 9 de abril de 2024 y aprobada por el Pleno de la Cámara Alta el 14 de mayo de 2024. En otras palabras, el informe formó parte del proceso legislativo y desplegó en él un efecto claro y terminante. Esto es susceptible de calificarse como “participación directa o indirecta” en el proceso legislativo que culminó con la aprobación de la Ley Orgánica 1/2024 de amnistía, que a su vez es objeto de todos los procedimientos recogidos en la diligencia de constancia de 17 de enero de 2025. Esta pérdida objetiva de la imparcialidad recogida en el apartado 13 del art. 219 LOPJ resulta predicable así de todos los procesos en que se cuestione la constitucionalidad de una norma —en este caso, la Ley Orgánica 1/2024 de amnistía para la normalización institucional, política y social en Cataluña— en cuyo proceso de elaboración haya tenido el magistrado participación directa o indirecta.</w:t>
      </w:r>
    </w:p>
    <w:p w14:paraId="0BD5E72F" w14:textId="77777777" w:rsidR="00B35D37" w:rsidRDefault="00B35D37" w:rsidP="00B35D37">
      <w:pPr>
        <w:pStyle w:val="TextoNormal"/>
      </w:pPr>
    </w:p>
    <w:p w14:paraId="049AA825" w14:textId="4898A173" w:rsidR="00B35D37" w:rsidRDefault="00B35D37" w:rsidP="00B35D37">
      <w:pPr>
        <w:pStyle w:val="TextoNormal"/>
      </w:pPr>
      <w:r>
        <w:t>En definitiva, el ATC 6/2025 ha declarado que la duda sobre la imparcialidad del magistrado concernido —planteada por el fiscal general del Estado— deriva de la relación directa de dicho magistrado con el objeto del proceso constitucional y está justificada objetivamente. Esa conexión directa con el objeto del proceso constitucional se reproduce, en idénticos términos, en todos los procesos listados en la diligencia de constancia emitida por la Secretaría de Justicia del Pleno de este tribunal el 17 de enero de 2025.</w:t>
      </w:r>
    </w:p>
    <w:p w14:paraId="3A118700" w14:textId="77777777" w:rsidR="00B35D37" w:rsidRDefault="00B35D37" w:rsidP="00B35D37">
      <w:pPr>
        <w:pStyle w:val="TextoNormal"/>
      </w:pPr>
    </w:p>
    <w:p w14:paraId="2495E7C8" w14:textId="77777777" w:rsidR="00B35D37" w:rsidRDefault="00B35D37" w:rsidP="00B35D37">
      <w:pPr>
        <w:pStyle w:val="TextoNormal"/>
      </w:pPr>
      <w:r>
        <w:t>En consecuencia, y con el fin de garantizar la debida imparcialidad en su composición, el Pleno</w:t>
      </w:r>
    </w:p>
    <w:p w14:paraId="1A088BEF" w14:textId="54ED0998" w:rsidR="00B35D37" w:rsidRDefault="00B35D37" w:rsidP="00B35D37">
      <w:pPr>
        <w:pStyle w:val="TextoNormal"/>
      </w:pPr>
    </w:p>
    <w:p w14:paraId="120AF344" w14:textId="77777777" w:rsidR="00B35D37" w:rsidRDefault="00B35D37" w:rsidP="00B35D37">
      <w:pPr>
        <w:pStyle w:val="TextoNormalCentrado"/>
      </w:pPr>
      <w:r>
        <w:t>ACUERDA</w:t>
      </w:r>
    </w:p>
    <w:p w14:paraId="1818836F" w14:textId="7F76F7BC" w:rsidR="00B35D37" w:rsidRDefault="00B35D37" w:rsidP="00B35D37">
      <w:pPr>
        <w:pStyle w:val="TextoNormalCentrado"/>
      </w:pPr>
    </w:p>
    <w:p w14:paraId="0C357C13" w14:textId="77777777" w:rsidR="00B35D37" w:rsidRDefault="00B35D37" w:rsidP="00B35D37">
      <w:pPr>
        <w:pStyle w:val="TextoNormal"/>
      </w:pPr>
      <w:r>
        <w:t>Apartar definitivamente al magistrado don José María Macías Castaño del conocimiento de los siguientes procesos constitucionales, en tramitación ante este tribunal:</w:t>
      </w:r>
    </w:p>
    <w:p w14:paraId="54F9B413" w14:textId="77777777" w:rsidR="00B35D37" w:rsidRDefault="00B35D37" w:rsidP="00B35D37">
      <w:pPr>
        <w:pStyle w:val="TextoNormal"/>
      </w:pPr>
    </w:p>
    <w:p w14:paraId="5D539475" w14:textId="77777777" w:rsidR="00B35D37" w:rsidRDefault="00B35D37" w:rsidP="00B35D37">
      <w:pPr>
        <w:pStyle w:val="TextoNormal"/>
      </w:pPr>
      <w:r>
        <w:t>- Recurso de inconstitucionalidad núm. 6436-2024, promovido por diputados y senadores del Grupo Parlamentario Popular.</w:t>
      </w:r>
    </w:p>
    <w:p w14:paraId="6158CFB2" w14:textId="77777777" w:rsidR="00B35D37" w:rsidRDefault="00B35D37" w:rsidP="00B35D37">
      <w:pPr>
        <w:pStyle w:val="TextoNormal"/>
      </w:pPr>
    </w:p>
    <w:p w14:paraId="498B1D67" w14:textId="77777777" w:rsidR="00B35D37" w:rsidRDefault="00B35D37" w:rsidP="00B35D37">
      <w:pPr>
        <w:pStyle w:val="TextoNormal"/>
      </w:pPr>
      <w:r>
        <w:t>- Recurso de inconstitucionalidad núm. 6486-2024, promovido por las Cortes de Aragón.</w:t>
      </w:r>
    </w:p>
    <w:p w14:paraId="3C99A25D" w14:textId="77777777" w:rsidR="00B35D37" w:rsidRDefault="00B35D37" w:rsidP="00B35D37">
      <w:pPr>
        <w:pStyle w:val="TextoNormal"/>
      </w:pPr>
    </w:p>
    <w:p w14:paraId="4E5A3280" w14:textId="77777777" w:rsidR="00B35D37" w:rsidRDefault="00B35D37" w:rsidP="00B35D37">
      <w:pPr>
        <w:pStyle w:val="TextoNormal"/>
      </w:pPr>
      <w:r>
        <w:t>- Recurso de inconstitucionalidad núm. 6525-2024, promovido por el Parlamento de Cantabria.</w:t>
      </w:r>
    </w:p>
    <w:p w14:paraId="2342E747" w14:textId="77777777" w:rsidR="00B35D37" w:rsidRDefault="00B35D37" w:rsidP="00B35D37">
      <w:pPr>
        <w:pStyle w:val="TextoNormal"/>
      </w:pPr>
    </w:p>
    <w:p w14:paraId="27BE6A1E" w14:textId="77777777" w:rsidR="00B35D37" w:rsidRDefault="00B35D37" w:rsidP="00B35D37">
      <w:pPr>
        <w:pStyle w:val="TextoNormal"/>
      </w:pPr>
      <w:r>
        <w:t>- Recurso de inconstitucionalidad núm. 6547-2024, promovido por el Gobierno de Aragón.</w:t>
      </w:r>
    </w:p>
    <w:p w14:paraId="5CD17550" w14:textId="77777777" w:rsidR="00B35D37" w:rsidRDefault="00B35D37" w:rsidP="00B35D37">
      <w:pPr>
        <w:pStyle w:val="TextoNormal"/>
      </w:pPr>
    </w:p>
    <w:p w14:paraId="738C968B" w14:textId="77777777" w:rsidR="00B35D37" w:rsidRDefault="00B35D37" w:rsidP="00B35D37">
      <w:pPr>
        <w:pStyle w:val="TextoNormal"/>
      </w:pPr>
      <w:r>
        <w:t>- Recurso de inconstitucionalidad núm. 6549-2024, promovido por el Gobierno de la Comunidad de Madrid.</w:t>
      </w:r>
    </w:p>
    <w:p w14:paraId="663AFA8A" w14:textId="77777777" w:rsidR="00B35D37" w:rsidRDefault="00B35D37" w:rsidP="00B35D37">
      <w:pPr>
        <w:pStyle w:val="TextoNormal"/>
      </w:pPr>
    </w:p>
    <w:p w14:paraId="6DFF0FC8" w14:textId="77777777" w:rsidR="00B35D37" w:rsidRDefault="00B35D37" w:rsidP="00B35D37">
      <w:pPr>
        <w:pStyle w:val="TextoNormal"/>
      </w:pPr>
      <w:r>
        <w:t>- Recurso de inconstitucionalidad núm. 6552-2024, promovido por el Consejo de Gobierno de la Junta de Comunidades de Castilla-La Mancha.</w:t>
      </w:r>
    </w:p>
    <w:p w14:paraId="3776C2AB" w14:textId="77777777" w:rsidR="00B35D37" w:rsidRDefault="00B35D37" w:rsidP="00B35D37">
      <w:pPr>
        <w:pStyle w:val="TextoNormal"/>
      </w:pPr>
    </w:p>
    <w:p w14:paraId="219AA415" w14:textId="77777777" w:rsidR="00B35D37" w:rsidRDefault="00B35D37" w:rsidP="00B35D37">
      <w:pPr>
        <w:pStyle w:val="TextoNormal"/>
      </w:pPr>
      <w:r>
        <w:t>- Recurso de inconstitucionalidad núm. 6556-2024, promovido por la Xunta de Galicia.</w:t>
      </w:r>
    </w:p>
    <w:p w14:paraId="34DAA739" w14:textId="77777777" w:rsidR="00B35D37" w:rsidRDefault="00B35D37" w:rsidP="00B35D37">
      <w:pPr>
        <w:pStyle w:val="TextoNormal"/>
      </w:pPr>
    </w:p>
    <w:p w14:paraId="20C36D0E" w14:textId="77777777" w:rsidR="00B35D37" w:rsidRDefault="00B35D37" w:rsidP="00B35D37">
      <w:pPr>
        <w:pStyle w:val="TextoNormal"/>
      </w:pPr>
      <w:r>
        <w:t>- Recurso de inconstitucionalidad núm. 6560-2024, promovido por el Consejo de Gobierno de la Región de Murcia.</w:t>
      </w:r>
    </w:p>
    <w:p w14:paraId="7A4EA1F5" w14:textId="77777777" w:rsidR="00B35D37" w:rsidRDefault="00B35D37" w:rsidP="00B35D37">
      <w:pPr>
        <w:pStyle w:val="TextoNormal"/>
      </w:pPr>
    </w:p>
    <w:p w14:paraId="124AF66C" w14:textId="77777777" w:rsidR="00B35D37" w:rsidRDefault="00B35D37" w:rsidP="00B35D37">
      <w:pPr>
        <w:pStyle w:val="TextoNormal"/>
      </w:pPr>
      <w:r>
        <w:t>- Recurso de inconstitucionalidad núm. 6562-2024, promovido por la Asamblea Regional de Murcia.</w:t>
      </w:r>
    </w:p>
    <w:p w14:paraId="7E7D02D6" w14:textId="77777777" w:rsidR="00B35D37" w:rsidRDefault="00B35D37" w:rsidP="00B35D37">
      <w:pPr>
        <w:pStyle w:val="TextoNormal"/>
      </w:pPr>
    </w:p>
    <w:p w14:paraId="41557014" w14:textId="77777777" w:rsidR="00B35D37" w:rsidRDefault="00B35D37" w:rsidP="00B35D37">
      <w:pPr>
        <w:pStyle w:val="TextoNormal"/>
      </w:pPr>
      <w:r>
        <w:t>- Recurso de inconstitucionalidad núm. 6575-2024, promovido por el Consejo de Gobierno de Andalucía.</w:t>
      </w:r>
    </w:p>
    <w:p w14:paraId="397A463B" w14:textId="77777777" w:rsidR="00B35D37" w:rsidRDefault="00B35D37" w:rsidP="00B35D37">
      <w:pPr>
        <w:pStyle w:val="TextoNormal"/>
      </w:pPr>
    </w:p>
    <w:p w14:paraId="6B9EB50A" w14:textId="77777777" w:rsidR="00B35D37" w:rsidRDefault="00B35D37" w:rsidP="00B35D37">
      <w:pPr>
        <w:pStyle w:val="TextoNormal"/>
      </w:pPr>
      <w:r>
        <w:t>- Recurso de inconstitucionalidad núm. 6588-2024, promovido por el Consell de la Generalitat Valenciana.</w:t>
      </w:r>
    </w:p>
    <w:p w14:paraId="4804977A" w14:textId="77777777" w:rsidR="00B35D37" w:rsidRDefault="00B35D37" w:rsidP="00B35D37">
      <w:pPr>
        <w:pStyle w:val="TextoNormal"/>
      </w:pPr>
    </w:p>
    <w:p w14:paraId="2E8C2829" w14:textId="77777777" w:rsidR="00B35D37" w:rsidRDefault="00B35D37" w:rsidP="00B35D37">
      <w:pPr>
        <w:pStyle w:val="TextoNormal"/>
      </w:pPr>
      <w:r>
        <w:t>- Recurso de inconstitucionalidad núm. 6595-2024, promovido por la Junta de Castilla y León.</w:t>
      </w:r>
    </w:p>
    <w:p w14:paraId="1DBBC9FA" w14:textId="77777777" w:rsidR="00B35D37" w:rsidRDefault="00B35D37" w:rsidP="00B35D37">
      <w:pPr>
        <w:pStyle w:val="TextoNormal"/>
      </w:pPr>
    </w:p>
    <w:p w14:paraId="60DF0E3B" w14:textId="77777777" w:rsidR="00B35D37" w:rsidRDefault="00B35D37" w:rsidP="00B35D37">
      <w:pPr>
        <w:pStyle w:val="TextoNormal"/>
      </w:pPr>
      <w:r>
        <w:t>- Recurso de inconstitucionalidad núm. 6607-2024, promovido por el Gobierno de La Rioja.</w:t>
      </w:r>
    </w:p>
    <w:p w14:paraId="584F1EC2" w14:textId="77777777" w:rsidR="00B35D37" w:rsidRDefault="00B35D37" w:rsidP="00B35D37">
      <w:pPr>
        <w:pStyle w:val="TextoNormal"/>
      </w:pPr>
    </w:p>
    <w:p w14:paraId="6546DF8F" w14:textId="77777777" w:rsidR="00B35D37" w:rsidRDefault="00B35D37" w:rsidP="00B35D37">
      <w:pPr>
        <w:pStyle w:val="TextoNormal"/>
      </w:pPr>
      <w:r>
        <w:t>- Recurso de inconstitucionalidad núm. 6616-2024, promovido por el Gobierno de Cantabria.</w:t>
      </w:r>
    </w:p>
    <w:p w14:paraId="4B0B5885" w14:textId="77777777" w:rsidR="00B35D37" w:rsidRDefault="00B35D37" w:rsidP="00B35D37">
      <w:pPr>
        <w:pStyle w:val="TextoNormal"/>
      </w:pPr>
    </w:p>
    <w:p w14:paraId="49C4B699" w14:textId="77777777" w:rsidR="00B35D37" w:rsidRDefault="00B35D37" w:rsidP="00B35D37">
      <w:pPr>
        <w:pStyle w:val="TextoNormal"/>
      </w:pPr>
      <w:r>
        <w:t>- Recurso de inconstitucionalidad núm. 6617-2024, promovido por la Junta de Extremadura.</w:t>
      </w:r>
    </w:p>
    <w:p w14:paraId="34D94488" w14:textId="77777777" w:rsidR="00B35D37" w:rsidRDefault="00B35D37" w:rsidP="00B35D37">
      <w:pPr>
        <w:pStyle w:val="TextoNormal"/>
      </w:pPr>
    </w:p>
    <w:p w14:paraId="0395F984" w14:textId="77777777" w:rsidR="00B35D37" w:rsidRDefault="00B35D37" w:rsidP="00B35D37">
      <w:pPr>
        <w:pStyle w:val="TextoNormal"/>
      </w:pPr>
      <w:r>
        <w:t>- Recurso de inconstitucionalidad núm. 6621-2024, promovido por el Gobierno de las Illes Balears.</w:t>
      </w:r>
    </w:p>
    <w:p w14:paraId="17E70777" w14:textId="77777777" w:rsidR="00B35D37" w:rsidRDefault="00B35D37" w:rsidP="00B35D37">
      <w:pPr>
        <w:pStyle w:val="TextoNormal"/>
      </w:pPr>
    </w:p>
    <w:p w14:paraId="0735EA76" w14:textId="77777777" w:rsidR="00B35D37" w:rsidRDefault="00B35D37" w:rsidP="00B35D37">
      <w:pPr>
        <w:pStyle w:val="TextoNormal"/>
      </w:pPr>
      <w:r>
        <w:t>- Cuestión de inconstitucionalidad núm. 6596-2024, planteada por la Sala de lo Civil y Penal del Tribunal Superior de Justicia de Cataluña.</w:t>
      </w:r>
    </w:p>
    <w:p w14:paraId="0769D741" w14:textId="77777777" w:rsidR="00B35D37" w:rsidRDefault="00B35D37" w:rsidP="00B35D37">
      <w:pPr>
        <w:pStyle w:val="TextoNormal"/>
      </w:pPr>
    </w:p>
    <w:p w14:paraId="1B1B5643" w14:textId="77777777" w:rsidR="00B35D37" w:rsidRDefault="00B35D37" w:rsidP="00B35D37">
      <w:pPr>
        <w:pStyle w:val="TextoNormal"/>
      </w:pPr>
      <w:r>
        <w:t>- Cuestión de inconstitucionalidad núm. 6597-2024, planteada por la Sala de lo Civil y Penal del Tribunal Superior de Justicia de Cataluña.</w:t>
      </w:r>
    </w:p>
    <w:p w14:paraId="738B316E" w14:textId="77777777" w:rsidR="00B35D37" w:rsidRDefault="00B35D37" w:rsidP="00B35D37">
      <w:pPr>
        <w:pStyle w:val="TextoNormal"/>
      </w:pPr>
    </w:p>
    <w:p w14:paraId="5FC75795" w14:textId="77777777" w:rsidR="00B35D37" w:rsidRDefault="00B35D37" w:rsidP="00B35D37">
      <w:pPr>
        <w:pStyle w:val="TextoNormal"/>
      </w:pPr>
      <w:r>
        <w:t>- Cuestión de inconstitucionalidad núm. 6699-2024, planteada por la Sala de lo Civil y Penal del Tribunal Superior de Justicia de Cataluña.</w:t>
      </w:r>
    </w:p>
    <w:p w14:paraId="7BB851F9" w14:textId="77777777" w:rsidR="00B35D37" w:rsidRDefault="00B35D37" w:rsidP="00B35D37">
      <w:pPr>
        <w:pStyle w:val="TextoNormal"/>
      </w:pPr>
    </w:p>
    <w:p w14:paraId="022857FF" w14:textId="77777777" w:rsidR="00B35D37" w:rsidRDefault="00B35D37" w:rsidP="00B35D37">
      <w:pPr>
        <w:pStyle w:val="TextoNormal"/>
      </w:pPr>
      <w:r>
        <w:t>- Cuestión de inconstitucionalidad núm. 6754-2024, planteada por la Sala de lo Civil y Penal del Tribunal Superior de Justicia de Cataluña.</w:t>
      </w:r>
    </w:p>
    <w:p w14:paraId="6CC94B81" w14:textId="77777777" w:rsidR="00B35D37" w:rsidRDefault="00B35D37" w:rsidP="00B35D37">
      <w:pPr>
        <w:pStyle w:val="TextoNormal"/>
      </w:pPr>
    </w:p>
    <w:p w14:paraId="38CC7C11" w14:textId="77777777" w:rsidR="00B35D37" w:rsidRDefault="00B35D37" w:rsidP="00B35D37">
      <w:pPr>
        <w:pStyle w:val="TextoNormal"/>
      </w:pPr>
      <w:r>
        <w:t>- Cuestión de inconstitucionalidad núm. 7668-2024, planteada por la Sección Vigesimotercera de la Audiencia Provincial de Madrid.</w:t>
      </w:r>
    </w:p>
    <w:p w14:paraId="4A7E9C23" w14:textId="77777777" w:rsidR="00B35D37" w:rsidRDefault="00B35D37" w:rsidP="00B35D37">
      <w:pPr>
        <w:pStyle w:val="TextoNormal"/>
      </w:pPr>
    </w:p>
    <w:p w14:paraId="0999BD65" w14:textId="77777777" w:rsidR="00B35D37" w:rsidRDefault="00B35D37" w:rsidP="00B35D37">
      <w:pPr>
        <w:pStyle w:val="TextoNormal"/>
      </w:pPr>
      <w:r>
        <w:t>Y, en consecuencia, declarar la pérdida sobrevenida de objeto de la recusación del magistrado Macías Castaño que ha sido presentada en los procesos siguientes:</w:t>
      </w:r>
    </w:p>
    <w:p w14:paraId="2332664C" w14:textId="77777777" w:rsidR="00B35D37" w:rsidRDefault="00B35D37" w:rsidP="00B35D37">
      <w:pPr>
        <w:pStyle w:val="TextoNormal"/>
      </w:pPr>
    </w:p>
    <w:p w14:paraId="78094F70" w14:textId="77777777" w:rsidR="00B35D37" w:rsidRDefault="00B35D37" w:rsidP="00B35D37">
      <w:pPr>
        <w:pStyle w:val="TextoNormal"/>
      </w:pPr>
      <w:r>
        <w:t>- Recurso de inconstitucionalidad núm. 6436-2024, promovido por diputados y senadores del Grupo Parlamentario Popular.</w:t>
      </w:r>
    </w:p>
    <w:p w14:paraId="6E3643E3" w14:textId="77777777" w:rsidR="00B35D37" w:rsidRDefault="00B35D37" w:rsidP="00B35D37">
      <w:pPr>
        <w:pStyle w:val="TextoNormal"/>
      </w:pPr>
    </w:p>
    <w:p w14:paraId="7BCF1668" w14:textId="77777777" w:rsidR="00B35D37" w:rsidRDefault="00B35D37" w:rsidP="00B35D37">
      <w:pPr>
        <w:pStyle w:val="TextoNormal"/>
      </w:pPr>
      <w:r>
        <w:t>- Recurso de inconstitucionalidad núm. 6486-2024, promovido por las Cortes de Aragón.</w:t>
      </w:r>
    </w:p>
    <w:p w14:paraId="374F27DC" w14:textId="77777777" w:rsidR="00B35D37" w:rsidRDefault="00B35D37" w:rsidP="00B35D37">
      <w:pPr>
        <w:pStyle w:val="TextoNormal"/>
      </w:pPr>
    </w:p>
    <w:p w14:paraId="3EE7E973" w14:textId="77777777" w:rsidR="00B35D37" w:rsidRDefault="00B35D37" w:rsidP="00B35D37">
      <w:pPr>
        <w:pStyle w:val="TextoNormal"/>
      </w:pPr>
      <w:r>
        <w:t>- Recurso de inconstitucionalidad núm. 6525-2024, promovido por el Parlamento de Cantabria.</w:t>
      </w:r>
    </w:p>
    <w:p w14:paraId="5F1A07C2" w14:textId="77777777" w:rsidR="00B35D37" w:rsidRDefault="00B35D37" w:rsidP="00B35D37">
      <w:pPr>
        <w:pStyle w:val="TextoNormal"/>
      </w:pPr>
    </w:p>
    <w:p w14:paraId="4F6BDF49" w14:textId="77777777" w:rsidR="00B35D37" w:rsidRDefault="00B35D37" w:rsidP="00B35D37">
      <w:pPr>
        <w:pStyle w:val="TextoNormal"/>
      </w:pPr>
      <w:r>
        <w:t>- Recurso de inconstitucionalidad núm. 6547-2024, promovido por el Gobierno de Aragón.</w:t>
      </w:r>
    </w:p>
    <w:p w14:paraId="5B32928A" w14:textId="77777777" w:rsidR="00B35D37" w:rsidRDefault="00B35D37" w:rsidP="00B35D37">
      <w:pPr>
        <w:pStyle w:val="TextoNormal"/>
      </w:pPr>
    </w:p>
    <w:p w14:paraId="6763E704" w14:textId="77777777" w:rsidR="00B35D37" w:rsidRDefault="00B35D37" w:rsidP="00B35D37">
      <w:pPr>
        <w:pStyle w:val="TextoNormal"/>
      </w:pPr>
      <w:r>
        <w:t>- Recurso de inconstitucionalidad núm. 6549-2024, promovido por el Gobierno de la Comunidad de Madrid.</w:t>
      </w:r>
    </w:p>
    <w:p w14:paraId="374186D3" w14:textId="77777777" w:rsidR="00B35D37" w:rsidRDefault="00B35D37" w:rsidP="00B35D37">
      <w:pPr>
        <w:pStyle w:val="TextoNormal"/>
      </w:pPr>
    </w:p>
    <w:p w14:paraId="4C55B109" w14:textId="77777777" w:rsidR="00B35D37" w:rsidRDefault="00B35D37" w:rsidP="00B35D37">
      <w:pPr>
        <w:pStyle w:val="TextoNormal"/>
      </w:pPr>
      <w:r>
        <w:t>- Recurso de inconstitucionalidad núm. 6552-2024, promovido por el Consejo de Gobierno de la Junta de Comunidades de Castilla-La Mancha.</w:t>
      </w:r>
    </w:p>
    <w:p w14:paraId="4FBD2171" w14:textId="77777777" w:rsidR="00B35D37" w:rsidRDefault="00B35D37" w:rsidP="00B35D37">
      <w:pPr>
        <w:pStyle w:val="TextoNormal"/>
      </w:pPr>
    </w:p>
    <w:p w14:paraId="496CF1B6" w14:textId="77777777" w:rsidR="00B35D37" w:rsidRDefault="00B35D37" w:rsidP="00B35D37">
      <w:pPr>
        <w:pStyle w:val="TextoNormal"/>
      </w:pPr>
      <w:r>
        <w:t>- Recurso de inconstitucionalidad núm. 6556-2024, promovido por la Xunta de Galicia.</w:t>
      </w:r>
    </w:p>
    <w:p w14:paraId="4F7EF411" w14:textId="77777777" w:rsidR="00B35D37" w:rsidRDefault="00B35D37" w:rsidP="00B35D37">
      <w:pPr>
        <w:pStyle w:val="TextoNormal"/>
      </w:pPr>
    </w:p>
    <w:p w14:paraId="684D9C20" w14:textId="77777777" w:rsidR="00B35D37" w:rsidRDefault="00B35D37" w:rsidP="00B35D37">
      <w:pPr>
        <w:pStyle w:val="TextoNormal"/>
      </w:pPr>
      <w:r>
        <w:t>- Recurso de inconstitucionalidad núm. 6560-2024, promovido por el Consejo de Gobierno de la Región de Murcia.</w:t>
      </w:r>
    </w:p>
    <w:p w14:paraId="26B63629" w14:textId="77777777" w:rsidR="00B35D37" w:rsidRDefault="00B35D37" w:rsidP="00B35D37">
      <w:pPr>
        <w:pStyle w:val="TextoNormal"/>
      </w:pPr>
    </w:p>
    <w:p w14:paraId="738FD98F" w14:textId="77777777" w:rsidR="00B35D37" w:rsidRDefault="00B35D37" w:rsidP="00B35D37">
      <w:pPr>
        <w:pStyle w:val="TextoNormal"/>
      </w:pPr>
      <w:r>
        <w:t>- Recurso de inconstitucionalidad núm. 6562-2024, promovido por la Asamblea Regional de Murcia.</w:t>
      </w:r>
    </w:p>
    <w:p w14:paraId="664BE0BA" w14:textId="77777777" w:rsidR="00B35D37" w:rsidRDefault="00B35D37" w:rsidP="00B35D37">
      <w:pPr>
        <w:pStyle w:val="TextoNormal"/>
      </w:pPr>
    </w:p>
    <w:p w14:paraId="52AD97DB" w14:textId="77777777" w:rsidR="00B35D37" w:rsidRDefault="00B35D37" w:rsidP="00B35D37">
      <w:pPr>
        <w:pStyle w:val="TextoNormal"/>
      </w:pPr>
      <w:r>
        <w:t>- Recurso de inconstitucionalidad núm. 6575-2024, promovido por el Consejo de Gobierno de Andalucía.</w:t>
      </w:r>
    </w:p>
    <w:p w14:paraId="01CF9B35" w14:textId="77777777" w:rsidR="00B35D37" w:rsidRDefault="00B35D37" w:rsidP="00B35D37">
      <w:pPr>
        <w:pStyle w:val="TextoNormal"/>
      </w:pPr>
    </w:p>
    <w:p w14:paraId="5972D2F8" w14:textId="77777777" w:rsidR="00B35D37" w:rsidRDefault="00B35D37" w:rsidP="00B35D37">
      <w:pPr>
        <w:pStyle w:val="TextoNormal"/>
      </w:pPr>
      <w:r>
        <w:t>- Recurso de inconstitucionalidad núm. 6588-2024, promovido por el Consell de la Generalitat Valenciana.</w:t>
      </w:r>
    </w:p>
    <w:p w14:paraId="1688C0CD" w14:textId="77777777" w:rsidR="00B35D37" w:rsidRDefault="00B35D37" w:rsidP="00B35D37">
      <w:pPr>
        <w:pStyle w:val="TextoNormal"/>
      </w:pPr>
    </w:p>
    <w:p w14:paraId="1EE099B1" w14:textId="77777777" w:rsidR="00B35D37" w:rsidRDefault="00B35D37" w:rsidP="00B35D37">
      <w:pPr>
        <w:pStyle w:val="TextoNormal"/>
      </w:pPr>
      <w:r>
        <w:t>- Recurso de inconstitucionalidad núm. 6595-2024, promovido por la Junta de Castilla y León.</w:t>
      </w:r>
    </w:p>
    <w:p w14:paraId="04F90E42" w14:textId="77777777" w:rsidR="00B35D37" w:rsidRDefault="00B35D37" w:rsidP="00B35D37">
      <w:pPr>
        <w:pStyle w:val="TextoNormal"/>
      </w:pPr>
    </w:p>
    <w:p w14:paraId="03C7A207" w14:textId="77777777" w:rsidR="00B35D37" w:rsidRDefault="00B35D37" w:rsidP="00B35D37">
      <w:pPr>
        <w:pStyle w:val="TextoNormal"/>
      </w:pPr>
      <w:r>
        <w:t>- Recurso de inconstitucionalidad núm. 6607-2024, promovido por el Gobierno de La Rioja.</w:t>
      </w:r>
    </w:p>
    <w:p w14:paraId="2F9FDD9D" w14:textId="77777777" w:rsidR="00B35D37" w:rsidRDefault="00B35D37" w:rsidP="00B35D37">
      <w:pPr>
        <w:pStyle w:val="TextoNormal"/>
      </w:pPr>
    </w:p>
    <w:p w14:paraId="2986DCBE" w14:textId="77777777" w:rsidR="00B35D37" w:rsidRDefault="00B35D37" w:rsidP="00B35D37">
      <w:pPr>
        <w:pStyle w:val="TextoNormal"/>
      </w:pPr>
      <w:r>
        <w:t>- Recurso de inconstitucionalidad núm. 6616-2024, promovido por el Gobierno de Cantabria.</w:t>
      </w:r>
    </w:p>
    <w:p w14:paraId="65EE6C88" w14:textId="77777777" w:rsidR="00B35D37" w:rsidRDefault="00B35D37" w:rsidP="00B35D37">
      <w:pPr>
        <w:pStyle w:val="TextoNormal"/>
      </w:pPr>
    </w:p>
    <w:p w14:paraId="05CE8669" w14:textId="77777777" w:rsidR="00B35D37" w:rsidRDefault="00B35D37" w:rsidP="00B35D37">
      <w:pPr>
        <w:pStyle w:val="TextoNormal"/>
      </w:pPr>
      <w:r>
        <w:t>- Recurso de inconstitucionalidad núm. 6617-2024, promovido por la Junta de Extremadura.</w:t>
      </w:r>
    </w:p>
    <w:p w14:paraId="30BFFAA6" w14:textId="77777777" w:rsidR="00B35D37" w:rsidRDefault="00B35D37" w:rsidP="00B35D37">
      <w:pPr>
        <w:pStyle w:val="TextoNormal"/>
      </w:pPr>
    </w:p>
    <w:p w14:paraId="171DF6BB" w14:textId="77777777" w:rsidR="00B35D37" w:rsidRDefault="00B35D37" w:rsidP="00B35D37">
      <w:pPr>
        <w:pStyle w:val="TextoNormal"/>
      </w:pPr>
      <w:r>
        <w:t>- Recurso de inconstitucionalidad núm. 6621-2024, promovido por el Gobierno de las Illes Balears.</w:t>
      </w:r>
    </w:p>
    <w:p w14:paraId="56E321E3" w14:textId="77777777" w:rsidR="00B35D37" w:rsidRDefault="00B35D37" w:rsidP="00B35D37">
      <w:pPr>
        <w:pStyle w:val="TextoNormal"/>
      </w:pPr>
    </w:p>
    <w:p w14:paraId="7A8AE58D" w14:textId="77777777" w:rsidR="00B35D37" w:rsidRDefault="00B35D37" w:rsidP="00B35D37">
      <w:pPr>
        <w:pStyle w:val="TextoNormal"/>
      </w:pPr>
      <w:r>
        <w:t>- Cuestión de inconstitucionalidad núm. 6053-2024, planteada por la Sala de lo Penal del Tribunal Supremo.</w:t>
      </w:r>
    </w:p>
    <w:p w14:paraId="23ECB854" w14:textId="77777777" w:rsidR="00B35D37" w:rsidRDefault="00B35D37" w:rsidP="00B35D37">
      <w:pPr>
        <w:pStyle w:val="TextoNormal"/>
      </w:pPr>
    </w:p>
    <w:p w14:paraId="54E556F6" w14:textId="77777777" w:rsidR="00B35D37" w:rsidRDefault="00B35D37" w:rsidP="00B35D37">
      <w:pPr>
        <w:pStyle w:val="TextoNormal"/>
      </w:pPr>
      <w:r>
        <w:t>- Cuestión de inconstitucionalidad núm. 6596-2024, planteada por la Sala de lo Civil y Penal del Tribunal Superior de Justicia de Cataluña.</w:t>
      </w:r>
    </w:p>
    <w:p w14:paraId="030D1F34" w14:textId="77777777" w:rsidR="00B35D37" w:rsidRDefault="00B35D37" w:rsidP="00B35D37">
      <w:pPr>
        <w:pStyle w:val="TextoNormal"/>
      </w:pPr>
    </w:p>
    <w:p w14:paraId="7C35A98B" w14:textId="77777777" w:rsidR="00B35D37" w:rsidRDefault="00B35D37" w:rsidP="00B35D37">
      <w:pPr>
        <w:pStyle w:val="TextoNormal"/>
      </w:pPr>
      <w:r>
        <w:t>- Cuestión de inconstitucionalidad núm. 6597-2024, planteada por la Sala de lo Civil y Penal del Tribunal Superior de Justicia de Cataluña.</w:t>
      </w:r>
    </w:p>
    <w:p w14:paraId="3623E189" w14:textId="77777777" w:rsidR="00B35D37" w:rsidRDefault="00B35D37" w:rsidP="00B35D37">
      <w:pPr>
        <w:pStyle w:val="TextoNormal"/>
      </w:pPr>
    </w:p>
    <w:p w14:paraId="46BCD1D2" w14:textId="77777777" w:rsidR="00B35D37" w:rsidRDefault="00B35D37" w:rsidP="00B35D37">
      <w:pPr>
        <w:pStyle w:val="TextoNormal"/>
      </w:pPr>
      <w:r>
        <w:t>- Cuestión de inconstitucionalidad núm. 6699-2024, planteada por la Sala de lo Civil y Penal del Tribunal Superior de Justicia de Cataluña.</w:t>
      </w:r>
    </w:p>
    <w:p w14:paraId="6EC1FCB3" w14:textId="77777777" w:rsidR="00B35D37" w:rsidRDefault="00B35D37" w:rsidP="00B35D37">
      <w:pPr>
        <w:pStyle w:val="TextoNormal"/>
      </w:pPr>
    </w:p>
    <w:p w14:paraId="7F03E320" w14:textId="11995F03" w:rsidR="00B35D37" w:rsidRDefault="00B35D37" w:rsidP="00B35D37">
      <w:pPr>
        <w:pStyle w:val="TextoNormal"/>
      </w:pPr>
      <w:r>
        <w:t>Llévese testimonio de esta resolución a cada uno de los procesos a los que se refiere. Y notifíquese a las partes personadas.</w:t>
      </w:r>
    </w:p>
    <w:p w14:paraId="4FB19622" w14:textId="77777777" w:rsidR="00B35D37" w:rsidRDefault="00B35D37" w:rsidP="00B35D37">
      <w:pPr>
        <w:pStyle w:val="TextoNormal"/>
      </w:pPr>
    </w:p>
    <w:p w14:paraId="51CEA093" w14:textId="77777777" w:rsidR="00B35D37" w:rsidRDefault="00B35D37" w:rsidP="00B35D37">
      <w:pPr>
        <w:pStyle w:val="TextoNormal"/>
      </w:pPr>
      <w:r>
        <w:t>Madrid, a veintinueve de enero de dos mil veinticinco.</w:t>
      </w:r>
    </w:p>
    <w:p w14:paraId="327B3BEE" w14:textId="3CB6F480" w:rsidR="00B35D37" w:rsidRDefault="00B35D37" w:rsidP="00B35D37">
      <w:pPr>
        <w:pStyle w:val="ParrafoNormal"/>
      </w:pPr>
    </w:p>
    <w:p w14:paraId="7687743B" w14:textId="77777777" w:rsidR="00B35D37" w:rsidRDefault="00B35D37" w:rsidP="00B35D37">
      <w:pPr>
        <w:pStyle w:val="TextoNormalNegritaCentrado"/>
        <w:keepNext/>
      </w:pPr>
      <w:r>
        <w:t>Voto particular que formula el magistrado don Ricardo Enríquez Sancho al auto de 29 de enero de 2025 dictado en la cuestión de inconstitucionalidad número 6053-2024</w:t>
      </w:r>
    </w:p>
    <w:p w14:paraId="5F21EDCB" w14:textId="33AC5D63" w:rsidR="00B35D37" w:rsidRDefault="00B35D37" w:rsidP="00B35D37">
      <w:pPr>
        <w:pStyle w:val="TextoNormalNegritaCentrado"/>
        <w:keepNext/>
      </w:pPr>
    </w:p>
    <w:p w14:paraId="1A4520CB" w14:textId="77777777" w:rsidR="00B35D37" w:rsidRDefault="00B35D37" w:rsidP="00B35D37">
      <w:pPr>
        <w:pStyle w:val="TextoNormal"/>
      </w:pPr>
      <w:r>
        <w:t>En el ejercicio de la facultad que me confiere el artículo 90.2 de la Ley Orgánica del Tribunal Constitucional, y con el máximo respeto a la opinión de la mayoría, formulo el presente voto particular, para exponer las razones por las que la recusación debió ser desestimada, que son tanto de forma como de fondo.</w:t>
      </w:r>
    </w:p>
    <w:p w14:paraId="6DAC4C6C" w14:textId="77777777" w:rsidR="00B35D37" w:rsidRDefault="00B35D37" w:rsidP="00B35D37">
      <w:pPr>
        <w:pStyle w:val="TextoNormal"/>
      </w:pPr>
    </w:p>
    <w:p w14:paraId="4C26EFAE" w14:textId="77777777" w:rsidR="00B35D37" w:rsidRDefault="00B35D37" w:rsidP="00B35D37">
      <w:pPr>
        <w:pStyle w:val="TextoNormal"/>
      </w:pPr>
      <w:r>
        <w:t>1. Por razones de forma. Existen diversas circunstancias que impiden aceptar la decisión aprobada por la mayoría del Pleno.</w:t>
      </w:r>
    </w:p>
    <w:p w14:paraId="175D3BCE" w14:textId="77777777" w:rsidR="00B35D37" w:rsidRDefault="00B35D37" w:rsidP="00B35D37">
      <w:pPr>
        <w:pStyle w:val="TextoNormal"/>
      </w:pPr>
    </w:p>
    <w:p w14:paraId="2E730E99" w14:textId="77777777" w:rsidR="00B35D37" w:rsidRDefault="00B35D37" w:rsidP="00B35D37">
      <w:pPr>
        <w:pStyle w:val="TextoNormal"/>
      </w:pPr>
      <w:r>
        <w:t>Se trata de una extensión de los efectos de la recusación aprobada en el Pleno celebrado el pasado día 15 en la cuestión de inconstitucionalidad número 6053-2024 a otros procesos distintos, tanto recursos directos como cuestiones de inconstitucionalidad dirigidos contra la misma Ley de amnistía.</w:t>
      </w:r>
    </w:p>
    <w:p w14:paraId="2288E773" w14:textId="77777777" w:rsidR="00B35D37" w:rsidRDefault="00B35D37" w:rsidP="00B35D37">
      <w:pPr>
        <w:pStyle w:val="TextoNormal"/>
      </w:pPr>
    </w:p>
    <w:p w14:paraId="720283F4" w14:textId="77777777" w:rsidR="00B35D37" w:rsidRDefault="00B35D37" w:rsidP="00B35D37">
      <w:pPr>
        <w:pStyle w:val="TextoNormal"/>
      </w:pPr>
      <w:r>
        <w:t>a) Se dice que así se ha hecho en los casos de abstención. Es cierto que si se ha presentado la abstención en un proceso constitucional en el que el magistrado abstenido también había sido recusado, la aceptación de la abstención supone la pérdida de objeto de la recusación.</w:t>
      </w:r>
    </w:p>
    <w:p w14:paraId="710AF490" w14:textId="77777777" w:rsidR="00B35D37" w:rsidRDefault="00B35D37" w:rsidP="00B35D37">
      <w:pPr>
        <w:pStyle w:val="TextoNormal"/>
      </w:pPr>
    </w:p>
    <w:p w14:paraId="6AC6E9A9" w14:textId="77777777" w:rsidR="00B35D37" w:rsidRDefault="00B35D37" w:rsidP="00B35D37">
      <w:pPr>
        <w:pStyle w:val="TextoNormal"/>
      </w:pPr>
      <w:r>
        <w:t>Pero nada más. Hay que reiterar la solicitud de abstención en cada nuevo proceso cuyo objeto sea la Ley de amnistía.</w:t>
      </w:r>
    </w:p>
    <w:p w14:paraId="2D54F132" w14:textId="77777777" w:rsidR="00B35D37" w:rsidRDefault="00B35D37" w:rsidP="00B35D37">
      <w:pPr>
        <w:pStyle w:val="TextoNormal"/>
      </w:pPr>
    </w:p>
    <w:p w14:paraId="61FF58EE" w14:textId="77777777" w:rsidR="00B35D37" w:rsidRDefault="00B35D37" w:rsidP="00B35D37">
      <w:pPr>
        <w:pStyle w:val="TextoNormal"/>
      </w:pPr>
      <w:r>
        <w:t>Con arreglo al artículo 218.1 LOPJ —y el art. 101 de la Ley de enjuiciamiento civil (LEC)—, la legitimación activa para recusar se limita a las partes. El Ministerio Fiscal también puede recusar siempre que se trate de un proceso en el que, por la naturaleza de los derechos en conflicto, pueda o deba intervenir. Esta última es la razón por la que este tribunal estimó la recusación formulada por el fiscal general del Estado frente al magistrado Macías Castaño en una cuestión de inconstitucionalidad.</w:t>
      </w:r>
    </w:p>
    <w:p w14:paraId="514DB365" w14:textId="77777777" w:rsidR="00B35D37" w:rsidRDefault="00B35D37" w:rsidP="00B35D37">
      <w:pPr>
        <w:pStyle w:val="TextoNormal"/>
      </w:pPr>
    </w:p>
    <w:p w14:paraId="4423A5A3" w14:textId="77777777" w:rsidR="00B35D37" w:rsidRDefault="00B35D37" w:rsidP="00B35D37">
      <w:pPr>
        <w:pStyle w:val="TextoNormal"/>
      </w:pPr>
      <w:r>
        <w:t>Pero, ahora, se desconocen esos preceptos legales y se extienden los efectos de una recusación aceptada por denuncia del Ministerio Fiscal a recursos de inconstitucionalidad, en los que el Ministerio Fiscal no es parte y, por lo tanto, no tiene legitimación para recusar.</w:t>
      </w:r>
    </w:p>
    <w:p w14:paraId="69E8FA2A" w14:textId="77777777" w:rsidR="00B35D37" w:rsidRDefault="00B35D37" w:rsidP="00B35D37">
      <w:pPr>
        <w:pStyle w:val="TextoNormal"/>
      </w:pPr>
    </w:p>
    <w:p w14:paraId="5ECED40C" w14:textId="77777777" w:rsidR="00B35D37" w:rsidRDefault="00B35D37" w:rsidP="00B35D37">
      <w:pPr>
        <w:pStyle w:val="TextoNormal"/>
      </w:pPr>
      <w:r>
        <w:t>b) En los incidentes de recusación hay que dar audiencia a las demás partes del proceso. Así lo imponen los artículos 223.3 LOPJ y 107.3 LEC. No se trata de un puro formalismo sino de una garantía esencial del incidente pues, tras recibir ese traslado, las partes pueden manifestar si se adhieren o se oponen a la causa de recusación propuesta, completando así una información de la que el Tribunal debe inexcusablemente conocer antes de pronunciarse.</w:t>
      </w:r>
    </w:p>
    <w:p w14:paraId="6F06A940" w14:textId="77777777" w:rsidR="00B35D37" w:rsidRDefault="00B35D37" w:rsidP="00B35D37">
      <w:pPr>
        <w:pStyle w:val="TextoNormal"/>
      </w:pPr>
    </w:p>
    <w:p w14:paraId="6B442A5A" w14:textId="77777777" w:rsidR="00B35D37" w:rsidRDefault="00B35D37" w:rsidP="00B35D37">
      <w:pPr>
        <w:pStyle w:val="TextoNormal"/>
      </w:pPr>
      <w:r>
        <w:t>En los recursos de inconstitucionalidad a que se extienden los efectos del ATC 6/2025 debería haberse dado traslado a todas las partes que ya se hubieran personado como demandadas y desde luego a los recurrentes, y aquí se ha omitido ese trámite que se hace en garantía de todas las partes que intervienen en el recurso y que tienen interés en conocer la composición del Tribunal que va a resolverlo.</w:t>
      </w:r>
    </w:p>
    <w:p w14:paraId="42E2D921" w14:textId="77777777" w:rsidR="00B35D37" w:rsidRDefault="00B35D37" w:rsidP="00B35D37">
      <w:pPr>
        <w:pStyle w:val="TextoNormal"/>
      </w:pPr>
    </w:p>
    <w:p w14:paraId="7D7412A0" w14:textId="77777777" w:rsidR="00B35D37" w:rsidRDefault="00B35D37" w:rsidP="00B35D37">
      <w:pPr>
        <w:pStyle w:val="TextoNormal"/>
      </w:pPr>
      <w:r>
        <w:t>Respecto de las cuestiones de inconstitucionalidad pendientes, si se hubiera personado ya alguna de las partes de las que procede el proceso penal origen de la cuestión de inconstitucionalidad, también habría que haber dado ese traslado.</w:t>
      </w:r>
    </w:p>
    <w:p w14:paraId="162CC3F4" w14:textId="77777777" w:rsidR="00B35D37" w:rsidRDefault="00B35D37" w:rsidP="00B35D37">
      <w:pPr>
        <w:pStyle w:val="TextoNormal"/>
      </w:pPr>
    </w:p>
    <w:p w14:paraId="3A35208D" w14:textId="77777777" w:rsidR="00B35D37" w:rsidRDefault="00B35D37" w:rsidP="00B35D37">
      <w:pPr>
        <w:pStyle w:val="TextoNormal"/>
      </w:pPr>
      <w:r>
        <w:t>2. Por razones de fondo. Por entender, en unas más amplias consideraciones expuestas en el voto particular formulado contra ese auto, a las que en este momento también me remito, que el auto aprobado por la mayoría se apartaba, sin justificarlo como hubiera sido necesario, de la doctrina fijada con ocasión de una abstención presentada por la magistrada Espejel Jorquera, en el ATC 28/2023, de 7 de febrero.</w:t>
      </w:r>
    </w:p>
    <w:p w14:paraId="4D0291DD" w14:textId="77777777" w:rsidR="00B35D37" w:rsidRDefault="00B35D37" w:rsidP="00B35D37">
      <w:pPr>
        <w:pStyle w:val="TextoNormal"/>
      </w:pPr>
    </w:p>
    <w:p w14:paraId="5B2F3111" w14:textId="77777777" w:rsidR="00B35D37" w:rsidRDefault="00B35D37" w:rsidP="00B35D37">
      <w:pPr>
        <w:pStyle w:val="TextoNormal"/>
      </w:pPr>
      <w:r>
        <w:t>Y en tal sentido emito este voto particular.</w:t>
      </w:r>
    </w:p>
    <w:p w14:paraId="3B1A430D" w14:textId="77777777" w:rsidR="00B35D37" w:rsidRDefault="00B35D37" w:rsidP="00B35D37">
      <w:pPr>
        <w:pStyle w:val="TextoNormal"/>
      </w:pPr>
    </w:p>
    <w:p w14:paraId="113BE943" w14:textId="798B1F36" w:rsidR="00B35D37" w:rsidRDefault="00B35D37" w:rsidP="00B35D37">
      <w:pPr>
        <w:pStyle w:val="TextoNormal"/>
      </w:pPr>
      <w:r>
        <w:t>Madrid, a treinta de enero de dos mil veinticinco.</w:t>
      </w:r>
    </w:p>
    <w:p w14:paraId="59D0CB47" w14:textId="77777777" w:rsidR="00B35D37" w:rsidRDefault="00B35D37" w:rsidP="00B35D37">
      <w:pPr>
        <w:pStyle w:val="TextoNormal"/>
      </w:pPr>
    </w:p>
    <w:p w14:paraId="18C65AAE" w14:textId="77777777" w:rsidR="00B35D37" w:rsidRDefault="00B35D37" w:rsidP="00B35D37">
      <w:pPr>
        <w:pStyle w:val="TextoNormalNegritaCentrado"/>
        <w:keepNext/>
      </w:pPr>
      <w:r>
        <w:t>Voto particular que formula el magistrado don Enrique Arnaldo Alcubilla al auto de 29 de enero de 2025 dictado por el Pleno en la cuestión de inconstitucionalidad núm. 6053-2024, por la que se aparta definitivamente al magistrado don José María Macías Castaño en una serie de procedimientos de declaración de inconstitucionalidad que tienen por objeto la Ley Orgánica 1/2024, de 10 de junio, de amnistía para la normalización institucional, política y social en Cataluña</w:t>
      </w:r>
    </w:p>
    <w:p w14:paraId="0FCA7BDD" w14:textId="6E6AF859" w:rsidR="00B35D37" w:rsidRDefault="00B35D37" w:rsidP="00B35D37">
      <w:pPr>
        <w:pStyle w:val="TextoNormalNegritaCentrado"/>
        <w:keepNext/>
      </w:pPr>
    </w:p>
    <w:p w14:paraId="24DB225A" w14:textId="77777777" w:rsidR="00B35D37" w:rsidRDefault="00B35D37" w:rsidP="00B35D37">
      <w:pPr>
        <w:pStyle w:val="TextoNormal"/>
      </w:pPr>
      <w:r>
        <w:t>En el ejercicio de la facultad conferida por el art. 90.2 LOTC y con respeto a la opinión de los magistrados que han conformado la mayoría del Pleno, formulo el presente voto particular, para expresar mi criterio discrepante con la fundamentación y el fallo del auto que nos ocupa. A mi entender, por las razones defendidas durante la deliberación y que seguidamente paso a exponer, no procedía extender los efectos de la estimación de la recusación del magistrado Macías Castaño formulada por el fiscal general del Estado en la cuestión de inconstitucionalidad núm. 6053-2024 (acordada por este tribunal mediante el ATC 6/2025, de 15 de enero de 2025, al que he formulado voto particular junto a otros magistrados) al resto de procedimientos de declaración de inconstitucionalidad (recursos y cuestiones) que tienen por objeto la Ley Orgánica 1/2024, de 10 de junio, de amnistía para la normalización institucional, política y social en Cataluña, sino que deberían haberse tramitado todos los incidentes de recusación promovidos en esos procedimientos.</w:t>
      </w:r>
    </w:p>
    <w:p w14:paraId="721A0F63" w14:textId="77777777" w:rsidR="00B35D37" w:rsidRDefault="00B35D37" w:rsidP="00B35D37">
      <w:pPr>
        <w:pStyle w:val="TextoNormal"/>
      </w:pPr>
    </w:p>
    <w:p w14:paraId="1A154D07" w14:textId="77777777" w:rsidR="00B35D37" w:rsidRDefault="00B35D37" w:rsidP="00B35D37">
      <w:pPr>
        <w:pStyle w:val="TextoNormal"/>
      </w:pPr>
      <w:r>
        <w:t xml:space="preserve">1. </w:t>
      </w:r>
      <w:r w:rsidRPr="00B35D37">
        <w:rPr>
          <w:i/>
        </w:rPr>
        <w:t>Inexistencia de cobertura legal y de precedentes para la adopción de una decisión como la presente</w:t>
      </w:r>
    </w:p>
    <w:p w14:paraId="215843E7" w14:textId="77777777" w:rsidR="00B35D37" w:rsidRDefault="00B35D37" w:rsidP="00B35D37">
      <w:pPr>
        <w:pStyle w:val="TextoNormal"/>
      </w:pPr>
    </w:p>
    <w:p w14:paraId="22696848" w14:textId="77777777" w:rsidR="00B35D37" w:rsidRDefault="00B35D37" w:rsidP="00B35D37">
      <w:pPr>
        <w:pStyle w:val="TextoNormal"/>
      </w:pPr>
      <w:r>
        <w:t>El auto del que disentimos comienza (FJ 1) invocando lo dispuesto en el art. 22 LOTC, en cuanto impone a los magistrados del Tribunal Constitucional la obligación de ejercer su función de acuerdo con el principio de imparcialidad, para fundamentar la decisión de extender los efectos del auto de 15 de enero de 2025, por el que se estima la recusación del magistrado Macías Castaño en la cuestión de inconstitucionalidad núm. 6053-2024, al resto de procedimientos de declaración de inconstitucionalidad que tienen por objeto la Ley Orgánica 1/2024. Quiere darse a entender por la mayoría que sustenta la decisión que, una vez apartado del conocimiento de ese asunto, dicho magistrado vendría obligado a abstenerse del resto de procedimientos que penden en este tribunal frente a dicha ley, por lo que, al no haberlo hecho así, se le aparta de esos procedimientos, sin oír al respecto a los intervinientes en estos y tampoco al propio magistrado.</w:t>
      </w:r>
    </w:p>
    <w:p w14:paraId="5ECE9DA0" w14:textId="77777777" w:rsidR="00B35D37" w:rsidRDefault="00B35D37" w:rsidP="00B35D37">
      <w:pPr>
        <w:pStyle w:val="TextoNormal"/>
      </w:pPr>
    </w:p>
    <w:p w14:paraId="46056F60" w14:textId="77777777" w:rsidR="00B35D37" w:rsidRDefault="00B35D37" w:rsidP="00B35D37">
      <w:pPr>
        <w:pStyle w:val="TextoNormal"/>
      </w:pPr>
      <w:r>
        <w:t>Sin embargo, semejante premisa carece de fundamento, pues no existe previsión en la Ley Orgánica del Poder Judicial (LOPJ) y en la Ley de enjuiciamiento civil (LEC), a las que remite en esta materia el art. 80 LOTC, que determine que, estimada la recusación en un determinado procedimiento, el magistrado afectado deba abstenerse inexcusablemente en procedimientos con similar objeto, sin tramitar el oportuno incidente de recusación previsto en los arts. 223 y ss. LOPJ y 107 y ss. LEC. Como tampoco existe, claro está, previsión en la mismas LOPJ y LEC que permita una decisión de extensión de efectos como la acordada en el auto del que disiento.</w:t>
      </w:r>
    </w:p>
    <w:p w14:paraId="4B4F069F" w14:textId="77777777" w:rsidR="00B35D37" w:rsidRDefault="00B35D37" w:rsidP="00B35D37">
      <w:pPr>
        <w:pStyle w:val="TextoNormal"/>
      </w:pPr>
    </w:p>
    <w:p w14:paraId="2F514F2F" w14:textId="77777777" w:rsidR="00B35D37" w:rsidRDefault="00B35D37" w:rsidP="00B35D37">
      <w:pPr>
        <w:pStyle w:val="TextoNormal"/>
      </w:pPr>
      <w:r>
        <w:t>Ni existe previsión legal que habilite una decisión como la adoptada, ni cabe tampoco fundar la inédita e insólita extensión de efectos de la recusación en supuestos precedentes de este tribunal, invocados en el auto para intentar reforzar la argumentación. Pues sucede en este caso que la decisión de extender los efectos del ATC 6/2025, por el que la mayoría del Pleno acordó estimar la recusación del magistrado Macías Castaño formulada por el fiscal general del Estado en la cuestión de inconstitucionalidad núm. 6053-2024, al resto de procedimientos de declaración de inconstitucionalidad que tienen por objeto la Ley Orgánica 1/2024 (incluso a aquellos en los que no se ha formulado recusación de dicho magistrado: cuestiones de inconstitucionalidad núm. 6754-2024 y 7668-2024) no tiene precedentes en este tribunal, por más que en el auto del que discrepo venga a insinuarse o pretenderse otra cosa.</w:t>
      </w:r>
    </w:p>
    <w:p w14:paraId="02AB51DC" w14:textId="77777777" w:rsidR="00B35D37" w:rsidRDefault="00B35D37" w:rsidP="00B35D37">
      <w:pPr>
        <w:pStyle w:val="TextoNormal"/>
      </w:pPr>
    </w:p>
    <w:p w14:paraId="45D784AB" w14:textId="77777777" w:rsidR="00B35D37" w:rsidRDefault="00B35D37" w:rsidP="00B35D37">
      <w:pPr>
        <w:pStyle w:val="TextoNormal"/>
      </w:pPr>
      <w:r>
        <w:t>En efecto, se afirma en el auto (FJ 2) que “en nuestra práctica jurisdiccional no es poco habitual que se formulen parecidas o idénticas peticiones de abstención o recusación amparadas en las mismas causas legales o apoyadas en los mismos presupuestos fácticos y fundamentos jurídicos”, de modo que “en estos casos, bien sea porque su objeto sea coincidente, porque se alegue la misma causa de recusación o porque se refiera a la misma magistrada o magistrado, el Pleno ha abordado usualmente las distintas pretensiones de abstención y recusación dándoles una respuesta unificada y común en una sola resolución cuyo efecto, estimatorio o desestimatorio, se extiende a todas ellas (AATC 107/2021, de 15 de diciembre, y 17/2022, de 25 de enero)”. Y se continúa afirmando que “cuando la exclusión de un magistrado o magistrada ha sido aceptada por su relación previa con el objeto del proceso, hemos declarado que pierden sobrevenidamente objeto las eventuales pretensiones de abstención o recusación pendientes de resolución que se han planteado en otros procesos que presentan el mismo objeto de impugnación, pues la inidoneidad personal para abordar un objeto de impugnación es miméticamente apreciable en el resto de los procesos reseñados (recientemente, ATC 91/2024, de 24 de septiembre)”.</w:t>
      </w:r>
    </w:p>
    <w:p w14:paraId="1D2B23C6" w14:textId="77777777" w:rsidR="00B35D37" w:rsidRDefault="00B35D37" w:rsidP="00B35D37">
      <w:pPr>
        <w:pStyle w:val="TextoNormal"/>
      </w:pPr>
    </w:p>
    <w:p w14:paraId="7210AA07" w14:textId="77777777" w:rsidR="00B35D37" w:rsidRDefault="00B35D37" w:rsidP="00B35D37">
      <w:pPr>
        <w:pStyle w:val="TextoNormal"/>
      </w:pPr>
      <w:r>
        <w:t xml:space="preserve">Sin embargo, la decisión adoptada por la mayoría en el presente caso no puede ser equiparada a lo resuelto en los AATC 107/2021, 17/2022 y 91/2024 (citados en el fundamento jurídico 2 del auto del que discrepamos) si queremos tomarnos el Derecho en serio. En los AATC 107/2021 y 17/2022 se abordaba la recusación planteada por varios recurrentes en amparo (proceso este de naturaleza jurídica totalmente distinta a los de control de la constitucionalidad que ahora nos conciernen), que impugnaban una misma sentencia condenatoria que les afectaba a todos ellos. En ese caso, este tribunal decidió inadmitir </w:t>
      </w:r>
      <w:r w:rsidRPr="00B35D37">
        <w:rPr>
          <w:i/>
        </w:rPr>
        <w:t>a limine</w:t>
      </w:r>
      <w:r>
        <w:t xml:space="preserve"> las recusaciones formuladas, dictando un solo auto, en el que daba una respuesta conjunta a los incidentes promovidos en cada uno de los recursos, llevando testimonio de la resolución a todos ellos. Ni el tipo de recurso, ni su objeto, ni la tramitación del incidente ni la decisión adoptada son homologables al caso presente.</w:t>
      </w:r>
    </w:p>
    <w:p w14:paraId="34C08872" w14:textId="77777777" w:rsidR="00B35D37" w:rsidRDefault="00B35D37" w:rsidP="00B35D37">
      <w:pPr>
        <w:pStyle w:val="TextoNormal"/>
      </w:pPr>
    </w:p>
    <w:p w14:paraId="41E5239D" w14:textId="77777777" w:rsidR="00B35D37" w:rsidRDefault="00B35D37" w:rsidP="00B35D37">
      <w:pPr>
        <w:pStyle w:val="TextoNormal"/>
      </w:pPr>
      <w:r>
        <w:t>Tampoco es válida a los efectos pretendidos la mención, como si de un precedente se tratara, del ATC 91/2024, en el que se abordó la extensión de efectos de una abstención (que no de una recusación) de uno de los magistrados integrantes del actual Tribunal, don Juan Carlos Campo Moreno, aceptada por el Pleno mediante ATC 82/2024, de 11 de septiembre, al resto de procedimientos de declaración de inconstitucionalidad que tienen por objeto la Ley Orgánica 1/2024, de 10 de junio, en los que dicho magistrado había solicitado también abstenerse. Se trata, como es obvio, de una cuestión completamente distinta a la que nos ocupa ahora.</w:t>
      </w:r>
    </w:p>
    <w:p w14:paraId="5FE0DB04" w14:textId="77777777" w:rsidR="00B35D37" w:rsidRDefault="00B35D37" w:rsidP="00B35D37">
      <w:pPr>
        <w:pStyle w:val="TextoNormal"/>
      </w:pPr>
    </w:p>
    <w:p w14:paraId="20E73A86" w14:textId="77777777" w:rsidR="00B35D37" w:rsidRDefault="00B35D37" w:rsidP="00B35D37">
      <w:pPr>
        <w:pStyle w:val="TextoNormal"/>
      </w:pPr>
      <w:r>
        <w:t>En suma, no existen precedentes en este tribunal de una decisión de extender de oficio los efectos de una recusación de un magistrado, acordada en un determinado proceso de declaración de inconstitucionalidad contra una concreta norma legal, al resto de procesos de declaración de inconstitucionalidad frente a esa misma norma, en los que se haya formulado idéntica recusación (e incluso a aquellos, se insiste, en que esa recusación no ha tenido lugar), sin tramitar el correspondiente incidente de recusación y, en consecuencia, sin dar a quienes son parte en dichos procedimientos la oportunidad de formular alegaciones sobre la pertinencia o no de apartar al magistrado recusado del conocimiento del asunto, lo que conculca las garantías del proceso justo. Sobre este punto volveremos más adelante.</w:t>
      </w:r>
    </w:p>
    <w:p w14:paraId="28E9B596" w14:textId="77777777" w:rsidR="00B35D37" w:rsidRDefault="00B35D37" w:rsidP="00B35D37">
      <w:pPr>
        <w:pStyle w:val="TextoNormal"/>
      </w:pPr>
    </w:p>
    <w:p w14:paraId="3141D1B9" w14:textId="77777777" w:rsidR="00B35D37" w:rsidRDefault="00B35D37" w:rsidP="00B35D37">
      <w:pPr>
        <w:pStyle w:val="TextoNormal"/>
      </w:pPr>
      <w:r>
        <w:t>La inconsistencia del auto que nos ocupa se revela con mayor claridad si cabe en cuanto extiende los efectos de la recusación aprobada por el ATC 6/2025 incluso a dos procedimientos en los que no había sido recusado el magistrado Macías Castaño (cuestiones de inconstitucionalidad núm. 6754-2024 y 7668-2024), en contra del principio básico de justicia rogada y de congruencia, aplicable desde luego a la jurisdicción constitucional. El auto se aparta, además, de lo recientemente resuelto por el Tribunal sobre la prematuridad de las solicitudes de recusación formuladas con anterioridad a la admisión a trámite de un procedimiento (ATC 116/2024, de 5 de noviembre, FFJJ 2 y 3). En el afán de la mayoría de impedir la participación del magistrado Macías Castaño en estos procedimientos (aunque, paradójicamente, haya intervenido en el trámite sobre la admisibilidad de la cuestión núm. 7668-2024 por asignación directa del presidente del Tribunal, en sustitución del magistrado abstenido), no se ha esperado a la constitución de la relación jurídico-procesal, mediante la admisión a trámite de las referidas cuestiones de inconstitucionalidad, para apartar al magistrado Macías Castaño, sobre el que no pesa tacha alguna de parcialidad en dichos procedimientos.</w:t>
      </w:r>
    </w:p>
    <w:p w14:paraId="30C087BB" w14:textId="77777777" w:rsidR="00B35D37" w:rsidRDefault="00B35D37" w:rsidP="00B35D37">
      <w:pPr>
        <w:pStyle w:val="TextoNormal"/>
      </w:pPr>
    </w:p>
    <w:p w14:paraId="336993D2" w14:textId="77777777" w:rsidR="00B35D37" w:rsidRDefault="00B35D37" w:rsidP="00B35D37">
      <w:pPr>
        <w:pStyle w:val="TextoNormal"/>
      </w:pPr>
      <w:r>
        <w:t xml:space="preserve">2. </w:t>
      </w:r>
      <w:r w:rsidRPr="00B35D37">
        <w:rPr>
          <w:i/>
        </w:rPr>
        <w:t>La extensión de efectos de la recusación conculca las garantías del juicio justo y el derecho al juez natural</w:t>
      </w:r>
    </w:p>
    <w:p w14:paraId="0A4FFDD6" w14:textId="77777777" w:rsidR="00B35D37" w:rsidRDefault="00B35D37" w:rsidP="00B35D37">
      <w:pPr>
        <w:pStyle w:val="TextoNormal"/>
      </w:pPr>
    </w:p>
    <w:p w14:paraId="277FC0B5" w14:textId="77777777" w:rsidR="00B35D37" w:rsidRDefault="00B35D37" w:rsidP="00B35D37">
      <w:pPr>
        <w:pStyle w:val="TextoNormal"/>
      </w:pPr>
      <w:r>
        <w:t>La estimación, por auto de 15 de enero de 2025, de la recusación del magistrado Macías Castaño promovida por el fiscal general del Estado en la cuestión de inconstitucionalidad núm. 6053-2024, no puede ser trasladada por este tribunal de manera absoluta y automática al resto de procedimientos en los que se aborda el control de constitucionalidad de la Ley Orgánica 1/2024, sin tramitar el oportuno incidente de recusación previsto en los arts. 223 y ss. LOPJ y 107 y ss. LEC (al que remite por vía supletoria el art. 80 LOTC), como se ha hecho injustificadamente en el auto del que discrepo.</w:t>
      </w:r>
    </w:p>
    <w:p w14:paraId="76320D00" w14:textId="77777777" w:rsidR="00B35D37" w:rsidRDefault="00B35D37" w:rsidP="00B35D37">
      <w:pPr>
        <w:pStyle w:val="TextoNormal"/>
      </w:pPr>
    </w:p>
    <w:p w14:paraId="53E632B1" w14:textId="77777777" w:rsidR="00B35D37" w:rsidRDefault="00B35D37" w:rsidP="00B35D37">
      <w:pPr>
        <w:pStyle w:val="TextoNormal"/>
      </w:pPr>
      <w:r>
        <w:t xml:space="preserve">Cierto es que la naturaleza de control abstracto de constitucionalidad que este tribunal lleva a cabo en los recursos y cuestiones de inconstitucionalidad determina la falta de un interés subjetivo en este tipo de procesos, en los que el único interés es el de salvaguardar la compatibilidad entre una norma y la Constitución. Eso explica que no pueda hablarse de partes en el sentido material del término (AATC 28/2023, de 7 de febrero, FJ 2, y 387/2007, de 16 de octubre, FJ 5). No obstante, los distintos intervinientes no pueden verse absolutamente privados de los más elementales derechos que, como partes en sentido formal, garantizan su trato igualitario en el marco de un proceso con todas las garantías (STC 91/2021, de 22 de abril, FJ 6, con cita de la STC 130/2002, de 3 de junio, FJ 3). En este sentido debe recordarse que el Tribunal Europeo de Derechos Humanos ha aplicado las garantías del derecho a un juicio justo del art. 6.1 del Convenio europeo de derechos humanos (CEDH) a los intervinientes en procesos de control de la constitucionalidad (así, STEDH de 8 de enero de 2004, asunto </w:t>
      </w:r>
      <w:r w:rsidRPr="00B35D37">
        <w:rPr>
          <w:i/>
        </w:rPr>
        <w:t>Voggenreiter c. Alemania</w:t>
      </w:r>
      <w:r>
        <w:t xml:space="preserve">, § 31, 32 y 33), tanto de control indirecto (SSTEDH de 23 de junio de 1993, asunto </w:t>
      </w:r>
      <w:r w:rsidRPr="00B35D37">
        <w:rPr>
          <w:i/>
        </w:rPr>
        <w:t>Ruiz-Mateos c. España</w:t>
      </w:r>
      <w:r>
        <w:t xml:space="preserve">, § 35 a 38, y de 1 de julio de 1997, asuntos </w:t>
      </w:r>
      <w:r w:rsidRPr="00B35D37">
        <w:rPr>
          <w:i/>
        </w:rPr>
        <w:t>Pammel c. Alemania</w:t>
      </w:r>
      <w:r>
        <w:t xml:space="preserve"> y </w:t>
      </w:r>
      <w:r w:rsidRPr="00B35D37">
        <w:rPr>
          <w:i/>
        </w:rPr>
        <w:t>Probstmeier c. Alemania</w:t>
      </w:r>
      <w:r>
        <w:t xml:space="preserve">, § 48 a 58) como de control directo (SSTEDH de 16 de septiembre de 1996, asunto </w:t>
      </w:r>
      <w:r w:rsidRPr="00B35D37">
        <w:rPr>
          <w:i/>
        </w:rPr>
        <w:t>Süßmann c. Alemania</w:t>
      </w:r>
      <w:r>
        <w:t xml:space="preserve">, y de 6 de febrero de 2003, asunto </w:t>
      </w:r>
      <w:r w:rsidRPr="00B35D37">
        <w:rPr>
          <w:i/>
        </w:rPr>
        <w:t>Hesse-Anger c. Alemania</w:t>
      </w:r>
      <w:r>
        <w:t xml:space="preserve">, y Decisión del Tribunal Europeo de Derechos Humanos de 6 de febrero de 2003, asunto </w:t>
      </w:r>
      <w:r w:rsidRPr="00B35D37">
        <w:rPr>
          <w:i/>
        </w:rPr>
        <w:t>Wendenburg y otros c. Alemania</w:t>
      </w:r>
      <w:r>
        <w:t>).</w:t>
      </w:r>
    </w:p>
    <w:p w14:paraId="722A6E88" w14:textId="77777777" w:rsidR="00B35D37" w:rsidRDefault="00B35D37" w:rsidP="00B35D37">
      <w:pPr>
        <w:pStyle w:val="TextoNormal"/>
      </w:pPr>
    </w:p>
    <w:p w14:paraId="772ECF36" w14:textId="77777777" w:rsidR="00B35D37" w:rsidRDefault="00B35D37" w:rsidP="00B35D37">
      <w:pPr>
        <w:pStyle w:val="TextoNormal"/>
      </w:pPr>
      <w:r>
        <w:t xml:space="preserve">De este modo, la extensión de efectos de la recusación acordada en el auto del que disiento, sin tramitar los pertinentes incidentes de recusación (arts. 223 y ss. LOPJ y 107 y ss. LEC) en aquellos procedimientos de declaración de inconstitucionalidad en los que haya sido recusado tempestivamente el magistrado Macías Castaño, supone una neta vulneración de las garantías del juicio justo, y por tanto del derecho a un proceso con todas las garantías, puesto en relación con el derecho a la tutela judicial efectiva, al juez natural o juez ordinario predeterminado por la ley, al juez imparcial, a la defensa y a la igualdad de armas (art. 24 CE, en relación con el art. 6.1 CEDH y el art. 47 de la Carta de derechos fundamentales de la Unión Europea) de los intervinientes en cada uno de esos procedimientos, y desconoce asimismo la garantía del recusado, que debe ser oído en el incidente de recusación (art. 223.3 </w:t>
      </w:r>
      <w:r w:rsidRPr="00B35D37">
        <w:rPr>
          <w:i/>
        </w:rPr>
        <w:t>in fine</w:t>
      </w:r>
      <w:r>
        <w:t xml:space="preserve"> LOPJ y art. 107.3 y 4 LEC).</w:t>
      </w:r>
    </w:p>
    <w:p w14:paraId="277CC47B" w14:textId="77777777" w:rsidR="00B35D37" w:rsidRDefault="00B35D37" w:rsidP="00B35D37">
      <w:pPr>
        <w:pStyle w:val="TextoNormal"/>
      </w:pPr>
    </w:p>
    <w:p w14:paraId="63B56B95" w14:textId="77777777" w:rsidR="00B35D37" w:rsidRDefault="00B35D37" w:rsidP="00B35D37">
      <w:pPr>
        <w:pStyle w:val="TextoNormal"/>
      </w:pPr>
      <w:r>
        <w:t>La excepcionalísima técnica aplicada en este caso (verdadero ejemplo de creatividad jurídica) para de forma célere excluir de la composición del Tribunal Constitucional a un magistrado no solo carece de cobertura legal y de precedentes en las resoluciones de este tribunal, sino que además se lleva a cabo privando del derecho a ser oídos a los promotores de los recursos de inconstitucionalidad y a los intervinientes de las cuestiones de inconstitucionalidad, procesos distintos que son tratados por el auto del que discrepo con un inexplicable uniformismo.</w:t>
      </w:r>
    </w:p>
    <w:p w14:paraId="3E763380" w14:textId="77777777" w:rsidR="00B35D37" w:rsidRDefault="00B35D37" w:rsidP="00B35D37">
      <w:pPr>
        <w:pStyle w:val="TextoNormal"/>
      </w:pPr>
    </w:p>
    <w:p w14:paraId="1542CBCD" w14:textId="77777777" w:rsidR="00B35D37" w:rsidRDefault="00B35D37" w:rsidP="00B35D37">
      <w:pPr>
        <w:pStyle w:val="TextoNormal"/>
      </w:pPr>
      <w:r>
        <w:t xml:space="preserve">La extensión automática de efectos del ATC 6/2025, que estima la recusación del magistrado Macías Castaño formulada por el fiscal general del Estado en la cuestión de inconstitucionalidad núm. 6053-2024, al resto de procesos de declaración de inconstitucionalidad frente a la Ley Orgánica 1/2024, en los que se haya formulado esa misma recusación (incluso a aquellos en que no se ha formulado recusación de ese magistrado), sin tramitar el pertinente incidente de recusación y sin tener en cuenta el objeto y la diversa naturaleza de las causas de recusación invocadas en cada procedimiento, en relación con las concretas tachas de inconstitucionalidad planteadas en el concreto proceso, supone la omisión de un trámite esencial de todo incidente de recusación, como es el derecho de las partes a formular alegaciones (recogido en los arts. 223.3 LOPJ y 107.3 LEC, por remisión del art. 80 LOTC), generando la consiguiente vulneración de los derechos citados, en relación con los distintos intervinientes en esos procesos de declaración de inconstitucionalidad. También se elude, sin justificación alguna, oír al magistrado recusado, para que se pronuncie sobre si admite o no las causas de recusación formuladas (arts. 223.3 </w:t>
      </w:r>
      <w:r w:rsidRPr="00B35D37">
        <w:rPr>
          <w:i/>
        </w:rPr>
        <w:t>in fine</w:t>
      </w:r>
      <w:r>
        <w:t xml:space="preserve"> LOPJ y 107.4 LEC, en relación con el art. 80 LOTC).</w:t>
      </w:r>
    </w:p>
    <w:p w14:paraId="6151E7A6" w14:textId="77777777" w:rsidR="00B35D37" w:rsidRDefault="00B35D37" w:rsidP="00B35D37">
      <w:pPr>
        <w:pStyle w:val="TextoNormal"/>
      </w:pPr>
    </w:p>
    <w:p w14:paraId="2F02071C" w14:textId="77777777" w:rsidR="00B35D37" w:rsidRDefault="00B35D37" w:rsidP="00B35D37">
      <w:pPr>
        <w:pStyle w:val="TextoNormal"/>
      </w:pPr>
      <w:r>
        <w:t>Conviene no olvidar que el incidente de recusación se erige en elemento esencial para la configuración del Tribunal previsto por nuestra Constitución y para el derecho al juez imparcial que, como es conocido, supone una garantía para los intervinientes y para el propio magistrado recusado [STC 91/2021, de 22 de abril, FJ 5.2.3 b)]. La audiencia de quienes son interesados es una regla consustancial a todo procedimiento, sea administrativo o jurisdiccional, y lo es, claro está, también para las recusaciones. Ello es así porque el derecho a ser oído en el procedimiento es una garantía esencial para los intervinientes y para el recusado. Pues de otra forma, de adoptarse de plano la decisión de apartar al recusado sin dar previamente trámite de audiencia, nos encontraríamos ante puros actos de voluntad de quien decide a su arbitrio.</w:t>
      </w:r>
    </w:p>
    <w:p w14:paraId="14CCADAD" w14:textId="77777777" w:rsidR="00B35D37" w:rsidRDefault="00B35D37" w:rsidP="00B35D37">
      <w:pPr>
        <w:pStyle w:val="TextoNormal"/>
      </w:pPr>
    </w:p>
    <w:p w14:paraId="5B607F32" w14:textId="77777777" w:rsidR="00B35D37" w:rsidRDefault="00B35D37" w:rsidP="00B35D37">
      <w:pPr>
        <w:pStyle w:val="TextoNormal"/>
      </w:pPr>
      <w:r>
        <w:t>Es lo que sucede en el auto que nos ocupa, que no justifica la omisión del trámite de audiencia a los promotores de los recursos de inconstitucionalidad y a los intervinientes de las cuestiones de inconstitucionalidad, así como al propio magistrado afectado (arts. 223.3 LOPJ y 107.3 y 4 LEC). La estimación de la recusación del magistrado Macías Castaño en la cuestión de inconstitucionalidad núm. 6053-2024, por el ATC 6/2025, no produce efectos de cosa juzgada material en procedimientos de declaración de inconstitucionalidad distintos.</w:t>
      </w:r>
    </w:p>
    <w:p w14:paraId="3862F4DC" w14:textId="77777777" w:rsidR="00B35D37" w:rsidRDefault="00B35D37" w:rsidP="00B35D37">
      <w:pPr>
        <w:pStyle w:val="TextoNormal"/>
      </w:pPr>
    </w:p>
    <w:p w14:paraId="50DDA9BA" w14:textId="77777777" w:rsidR="00B35D37" w:rsidRDefault="00B35D37" w:rsidP="00B35D37">
      <w:pPr>
        <w:pStyle w:val="TextoNormal"/>
      </w:pPr>
      <w:r>
        <w:t>En definitiva, resulta que en los recursos de inconstitucionalidad núm. 6436-2024, 6486-2024, 6525-2024, 6547-2024, 6549-2024, 6552-2024, 6556-2024, 6560-2024, 6562-2024, 6575-2024, 6588-2024, 6595-2024, 6607-2024, 6616-2024, 6617-2024 y 6621-2024, ya admitidos a trámite, promovidos por recurrentes que ostentan una legitimación constitucionalmente cualificada [</w:t>
      </w:r>
      <w:r w:rsidRPr="00B35D37">
        <w:rPr>
          <w:i/>
        </w:rPr>
        <w:t>ex</w:t>
      </w:r>
      <w:r>
        <w:t xml:space="preserve"> art. 162.1 a) CE], de especial significación política e institucional, se ha privado injustificadamente a dichos recurrentes del derecho a formular alegaciones en los incidentes de recusación promovidos por la Abogacía General del Estado. Y es de notar que en esos recursos ninguno de los recurrentes (de diversa significación política) ha mostrado duda alguna sobre la imparcialidad del magistrado Macías Castaño, de forma que, con la decisión ahora adoptada por el Pleno, se han visto privados de una determinada composición del Tribunal con la que estaban conformes, sin posibilidad de formular alegación alguna al respecto. También se ha privado al magistrado recusado de su derecho a pronunciarse sobre si acepta o no las causas de recusación formuladas.</w:t>
      </w:r>
    </w:p>
    <w:p w14:paraId="3FA24E84" w14:textId="77777777" w:rsidR="00B35D37" w:rsidRDefault="00B35D37" w:rsidP="00B35D37">
      <w:pPr>
        <w:pStyle w:val="TextoNormal"/>
      </w:pPr>
    </w:p>
    <w:p w14:paraId="28A816E9" w14:textId="77777777" w:rsidR="00B35D37" w:rsidRDefault="00B35D37" w:rsidP="00B35D37">
      <w:pPr>
        <w:pStyle w:val="TextoNormal"/>
      </w:pPr>
      <w:r>
        <w:t>Y en el caso de las cuestiones de inconstitucionalidad núm. 6596-2024, 6597-2024 y 6699-2024, planteadas por la Sala de lo Civil y Penal del Tribunal Superior de Justicia de Cataluña en el marco de procedimientos judiciales con diversos intervinientes, resulta que, en contra de lo previsto en el art. 37.2 y 3 LOTC, se ha privado a quienes pueden personarse en la cuestión de su derecho a manifestar su parecer sobre la procedencia de apartar al magistrado Macías Castaño del conocimiento de dichos asuntos. Igualmente se ha privado a este magistrado de su derecho a pronunciarse sobre si acepta o no las causas de recusación formuladas.</w:t>
      </w:r>
    </w:p>
    <w:p w14:paraId="7C5693EE" w14:textId="77777777" w:rsidR="00B35D37" w:rsidRDefault="00B35D37" w:rsidP="00B35D37">
      <w:pPr>
        <w:pStyle w:val="TextoNormal"/>
      </w:pPr>
    </w:p>
    <w:p w14:paraId="0D88FCBF" w14:textId="77777777" w:rsidR="00B35D37" w:rsidRDefault="00B35D37" w:rsidP="00B35D37">
      <w:pPr>
        <w:pStyle w:val="TextoNormal"/>
      </w:pPr>
      <w:r>
        <w:t>Mención aparte merecen las referidas cuestiones de inconstitucionalidad núm. 6754-2024 y 7668-2024, promovidas por la Sala de lo Civil y Penal del del Tribunal Superior de Justicia de Cataluña y por la Audiencia Provincial de Madrid, respectivamente, en las que no se ha promovido recusación alguna de dicho magistrado, encontrándose actualmente en el trámite de audiencia al fiscal general del Estado sobre su admisibilidad (art. 37.1 LOTC), y a las que el auto del que disiento extiende también los efectos de la estimación de la recusación acordada por el ATC 6/2025, obviando los principios de congruencia y justicia rogada.</w:t>
      </w:r>
    </w:p>
    <w:p w14:paraId="6124BF65" w14:textId="77777777" w:rsidR="00B35D37" w:rsidRDefault="00B35D37" w:rsidP="00B35D37">
      <w:pPr>
        <w:pStyle w:val="TextoNormal"/>
      </w:pPr>
    </w:p>
    <w:p w14:paraId="748BC22F" w14:textId="77777777" w:rsidR="00B35D37" w:rsidRDefault="00B35D37" w:rsidP="00B35D37">
      <w:pPr>
        <w:pStyle w:val="TextoNormal"/>
      </w:pPr>
      <w:r>
        <w:t xml:space="preserve">3. </w:t>
      </w:r>
      <w:r w:rsidRPr="00B35D37">
        <w:rPr>
          <w:i/>
        </w:rPr>
        <w:t>La extensión de los efectos del auto de 15 de enero de 2025 a otros procedimientos de declaración de inconstitucionalidad determina que el presente auto incurra en las mismas quiebras que aquel</w:t>
      </w:r>
    </w:p>
    <w:p w14:paraId="581690A0" w14:textId="77777777" w:rsidR="00B35D37" w:rsidRDefault="00B35D37" w:rsidP="00B35D37">
      <w:pPr>
        <w:pStyle w:val="TextoNormal"/>
      </w:pPr>
    </w:p>
    <w:p w14:paraId="0935D047" w14:textId="77777777" w:rsidR="00B35D37" w:rsidRDefault="00B35D37" w:rsidP="00B35D37">
      <w:pPr>
        <w:pStyle w:val="TextoNormal"/>
      </w:pPr>
      <w:r>
        <w:t>No estando conforme con la estimación de la recusación del magistrado Macías Castaño formulada por el fiscal general del Estado en la cuestión de inconstitucionalidad núm. 6053-2024, acordada por el ATC 6/2025, por las razones expresadas en el voto particular a dicho auto, menos aún puedo estar de acuerdo con la extensión automática de efectos de dicho auto al resto de los procedimientos que tienen por objeto la Ley Orgánica 1/2024, de 10 de junio, de amnistía para la normalización institucional, política y social en Cataluña.</w:t>
      </w:r>
    </w:p>
    <w:p w14:paraId="0DBF6597" w14:textId="77777777" w:rsidR="00B35D37" w:rsidRDefault="00B35D37" w:rsidP="00B35D37">
      <w:pPr>
        <w:pStyle w:val="TextoNormal"/>
      </w:pPr>
    </w:p>
    <w:p w14:paraId="21B8910B" w14:textId="77777777" w:rsidR="00B35D37" w:rsidRDefault="00B35D37" w:rsidP="00B35D37">
      <w:pPr>
        <w:pStyle w:val="TextoNormal"/>
      </w:pPr>
      <w:r>
        <w:t>Para excusar reiteraciones innecesarias, me remito al voto particular suscrito respecto del ATC 6/2025, dictado en la cuestión de inconstitucionalidad núm. 6053-2024, por el que se estimó la recusación del magistrado Macías Castaño promovida por el fiscal general del Estado, en cuanto a las razones por las que consideramos que esa recusación debió ser rechazada. En síntesis: (i) la recusación fue tramitada de forma irregular, provocando al magistrado recusado una manifiesta indefensión en la defensa del ejercicio del cargo (art. 23.2 CE); (ii) la recusación fue planteada de forma claramente extemporánea por el fiscal general del Estado, por lo que debió ser inadmitida a trámite; y (iii) no concurren las causas de recusación invocadas, previstas en el art. 219.13 y 16 LOPJ, conforme se razona en dicho voto particular.</w:t>
      </w:r>
    </w:p>
    <w:p w14:paraId="7ED526DB" w14:textId="77777777" w:rsidR="00B35D37" w:rsidRDefault="00B35D37" w:rsidP="00B35D37">
      <w:pPr>
        <w:pStyle w:val="TextoNormal"/>
      </w:pPr>
    </w:p>
    <w:p w14:paraId="793B288F" w14:textId="77777777" w:rsidR="00B35D37" w:rsidRDefault="00B35D37" w:rsidP="00B35D37">
      <w:pPr>
        <w:pStyle w:val="TextoNormal"/>
      </w:pPr>
      <w:r>
        <w:t>Baste añadir ahora, en relación con este último punto, que, salvo que se desvirtúe el contenido de la garantía de imparcialidad, no puede pretenderse la recusación de un magistrado por el mero hecho de tener criterio jurídico anticipado sobre los asuntos que debe resolver, pues el conocimiento del Derecho es precisamente el presupuesto para ejercer la función jurisdiccional con libertad de criterio y de forma fundada. Es notorio que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de este tribunal, en el ejercicio de sus respectivas profesiones de procedencia y de los cargos públicos desempeñados, sus miembros se hayan pronunciado voluntaria u obligadamente sobre materias jurídicas que, finalmente, pueden llegar a ser objeto directo o indirecto de la labor de enjuiciamiento constitucional que tienen legalmente atribuida. Nada de esto pone en riesgo su obligación de ejercer su función jurisdiccional en el Tribunal de acuerdo con el principio de imparcialidad (art. 22 LOTC).</w:t>
      </w:r>
    </w:p>
    <w:p w14:paraId="47D19D41" w14:textId="77777777" w:rsidR="00B35D37" w:rsidRDefault="00B35D37" w:rsidP="00B35D37">
      <w:pPr>
        <w:pStyle w:val="TextoNormal"/>
      </w:pPr>
    </w:p>
    <w:p w14:paraId="48875B2B" w14:textId="4F8AB13C" w:rsidR="00B35D37" w:rsidRDefault="00B35D37" w:rsidP="00B35D37">
      <w:pPr>
        <w:pStyle w:val="TextoNormal"/>
      </w:pPr>
      <w:r>
        <w:t>Madrid, a veintinueve de enero de dos mil veinticinco.</w:t>
      </w:r>
    </w:p>
    <w:p w14:paraId="1A4AD377" w14:textId="77777777" w:rsidR="00B35D37" w:rsidRDefault="00B35D37" w:rsidP="00B35D37">
      <w:pPr>
        <w:pStyle w:val="TextoNormal"/>
      </w:pPr>
    </w:p>
    <w:p w14:paraId="1138A018" w14:textId="77777777" w:rsidR="00B35D37" w:rsidRDefault="00B35D37" w:rsidP="00B35D37">
      <w:pPr>
        <w:pStyle w:val="TextoNormalNegritaCentrado"/>
        <w:keepNext/>
      </w:pPr>
      <w:r>
        <w:t>Voto particular que formulan los magistrados don César Tolosa Tribiño y doña Concepción Espejel Jorquera al auto dictado por el Pleno por el que se aparta definitivamente al magistrado de este tribunal don José María Macías Castaño en los recursos de inconstitucionalidad núm. 6436-2024, 6486-2024, 6525-2024, 6547-2024, 6549-2024, 6552-2024, 6556-2024, 6560-2024, 6562-2024, 6575-2024, 6588-2024, 6595-2024, 6607-2024, 6616-2024, 6617-2024 y 6621-2024 y cuestiones de inconstitucionalidad 6596-2024, 6597-2024, 6699-2024, 6754-2024 y 7668-2024.</w:t>
      </w:r>
    </w:p>
    <w:p w14:paraId="4C4C6C0E" w14:textId="238A71B3" w:rsidR="00B35D37" w:rsidRDefault="00B35D37" w:rsidP="00B35D37">
      <w:pPr>
        <w:pStyle w:val="TextoNormalNegritaCentrado"/>
        <w:keepNext/>
      </w:pPr>
    </w:p>
    <w:p w14:paraId="62E42E96" w14:textId="77777777" w:rsidR="00B35D37" w:rsidRDefault="00B35D37" w:rsidP="00B35D37">
      <w:pPr>
        <w:pStyle w:val="TextoNormal"/>
      </w:pPr>
      <w:r>
        <w:t>En el ejercicio de la facultad que nos confiere el artículo 90.2 de la Ley Orgánica del Tribunal Constitucional (LOTC), y con el máximo respeto al criterio asumido por la mayoría del Pleno, nos vemos en la obligación de formular el presente voto particular. Consideramos que no procede extender los efectos de la estimación de la recusación formulada por el fiscal general del Estado en la cuestión de inconstitucionalidad núm. 6053-2024 al resto de procedimientos que tienen por objeto la Ley Orgánica 1/2024, de 10 de junio, de amnistía para la normalización institucional, política y social en Cataluña, debiéndose tramitar todos los incidentes de recusación promovidos en los distintos procedimientos ante esta jurisdicción.</w:t>
      </w:r>
    </w:p>
    <w:p w14:paraId="2625A6C8" w14:textId="77777777" w:rsidR="00B35D37" w:rsidRDefault="00B35D37" w:rsidP="00B35D37">
      <w:pPr>
        <w:pStyle w:val="TextoNormal"/>
      </w:pPr>
    </w:p>
    <w:p w14:paraId="6C30AD47" w14:textId="77777777" w:rsidR="00B35D37" w:rsidRDefault="00B35D37" w:rsidP="00B35D37">
      <w:pPr>
        <w:pStyle w:val="TextoNormal"/>
      </w:pPr>
      <w:r>
        <w:t>1. Remisión al voto particular anterior</w:t>
      </w:r>
    </w:p>
    <w:p w14:paraId="650C8C82" w14:textId="77777777" w:rsidR="00B35D37" w:rsidRDefault="00B35D37" w:rsidP="00B35D37">
      <w:pPr>
        <w:pStyle w:val="TextoNormal"/>
      </w:pPr>
    </w:p>
    <w:p w14:paraId="4C945B0D" w14:textId="77777777" w:rsidR="00B35D37" w:rsidRDefault="00B35D37" w:rsidP="00B35D37">
      <w:pPr>
        <w:pStyle w:val="TextoNormal"/>
      </w:pPr>
      <w:r>
        <w:t>Nos remitimos al voto particular suscrito junto con el magistrado don Enrique Arnaldo Alcubilla respecto del ATC 6/2025, de 15 de enero, dictado en la cuestión de inconstitucionalidad núm. 6053-2024, por el que se estimó la recusación promovida por el fiscal general del Estado. En síntesis: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14:paraId="311596B9" w14:textId="77777777" w:rsidR="00B35D37" w:rsidRDefault="00B35D37" w:rsidP="00B35D37">
      <w:pPr>
        <w:pStyle w:val="TextoNormal"/>
      </w:pPr>
    </w:p>
    <w:p w14:paraId="46E85B9B" w14:textId="77777777" w:rsidR="00B35D37" w:rsidRDefault="00B35D37" w:rsidP="00B35D37">
      <w:pPr>
        <w:pStyle w:val="TextoNormal"/>
      </w:pPr>
      <w:r>
        <w:t>De ello se deriva que no podemos compartir que dicho auto pueda servir de sustento para apartar definitivamente al magistrado no solo en dicha cuestión de inconstitucionalidad sino en todos los procesos constitucionales que se encuentran en tramitación ante este tribunal que tienen por objeto la Ley Orgánica 1/2024.</w:t>
      </w:r>
    </w:p>
    <w:p w14:paraId="6E821D73" w14:textId="77777777" w:rsidR="00B35D37" w:rsidRDefault="00B35D37" w:rsidP="00B35D37">
      <w:pPr>
        <w:pStyle w:val="TextoNormal"/>
      </w:pPr>
    </w:p>
    <w:p w14:paraId="7E26B0F9" w14:textId="77777777" w:rsidR="00B35D37" w:rsidRDefault="00B35D37" w:rsidP="00B35D37">
      <w:pPr>
        <w:pStyle w:val="TextoNormal"/>
      </w:pPr>
      <w:r>
        <w:t>2. Se prescinde del procedimiento legalmente establecido y se menoscaba el derecho a un proceso equitativo: vulneración de las garantías y de los derechos procesales de las partes (igualdad de armas y principio contradictorio) y de las garantías del recusado.</w:t>
      </w:r>
    </w:p>
    <w:p w14:paraId="5F55B3E2" w14:textId="77777777" w:rsidR="00B35D37" w:rsidRDefault="00B35D37" w:rsidP="00B35D37">
      <w:pPr>
        <w:pStyle w:val="TextoNormal"/>
      </w:pPr>
    </w:p>
    <w:p w14:paraId="79FEC3EF" w14:textId="77777777" w:rsidR="00B35D37" w:rsidRDefault="00B35D37" w:rsidP="00B35D37">
      <w:pPr>
        <w:pStyle w:val="TextoNormal"/>
      </w:pPr>
      <w:r>
        <w:t xml:space="preserve">El apartamiento del magistrado Macías Castaño de la totalidad de los recursos de inconstitucionalidad y de las cuestiones de inconstitucionalidad que tienen por objeto la Ley Orgánica 1/2024, incluso de aquellas en las que no ha sido recusado, mediante el auto del que discrepamos, prescinde del procedimiento previsto en los arts. 223.3 y 4 LOPJ y 107.3 y 4 LEC, aplicables </w:t>
      </w:r>
      <w:r w:rsidRPr="00B35D37">
        <w:rPr>
          <w:i/>
        </w:rPr>
        <w:t>ex</w:t>
      </w:r>
      <w:r>
        <w:t xml:space="preserve"> art. 80 LOTC a la recusación de los magistrados del Tribunal Constitucional; desconoce los derechos de las partes y las garantías del recusado (arts. 24.2 CE; 6.1 del Convenio europeo de derechos humanos, y 47 de la Carta de derechos fundamentales de la Unión Europea) y supone la renuncia al obligado control de oficio de los presupuestos temporales y formales establecidos en los arts. 223.1 y 2 LOPJ y 107.1 y 2 LEC.</w:t>
      </w:r>
    </w:p>
    <w:p w14:paraId="1835360D" w14:textId="77777777" w:rsidR="00B35D37" w:rsidRDefault="00B35D37" w:rsidP="00B35D37">
      <w:pPr>
        <w:pStyle w:val="TextoNormal"/>
      </w:pPr>
    </w:p>
    <w:p w14:paraId="4E1052CA" w14:textId="77777777" w:rsidR="00B35D37" w:rsidRDefault="00B35D37" w:rsidP="00B35D37">
      <w:pPr>
        <w:pStyle w:val="TextoNormal"/>
      </w:pPr>
      <w:r>
        <w:t>Dichos preceptos (arts. 223.3 LOPJ y 107.3 LEC) establecen un trámite esencial para las partes de los recursos de inconstitucionalidad —y también de las cuestiones de inconstitucionalidad— en garantía del principio de igualdad de armas y del derecho fundamental al carácter contradictorio del procedimiento. Establecen un plazo común de tres días para que las partes, en cada uno de los procedimientos constitucionales, manifiesten si se adhieren o se oponen a la causa de recusación propuesta. Dicha oposición puede centrarse tanto en el incumplimiento de los requisitos temporales y procesales, como en la falta de concurrencia de la causa de recusación invocada.</w:t>
      </w:r>
    </w:p>
    <w:p w14:paraId="675A8E5E" w14:textId="77777777" w:rsidR="00B35D37" w:rsidRDefault="00B35D37" w:rsidP="00B35D37">
      <w:pPr>
        <w:pStyle w:val="TextoNormal"/>
      </w:pPr>
    </w:p>
    <w:p w14:paraId="1A1031C8" w14:textId="77777777" w:rsidR="00B35D37" w:rsidRDefault="00B35D37" w:rsidP="00B35D37">
      <w:pPr>
        <w:pStyle w:val="TextoNormal"/>
      </w:pPr>
      <w:r>
        <w:t xml:space="preserve">Sin apoyo legal ni en decisiones precedentes de este tribunal —pues no pueden servir a tal fin los AATC 107/2021, 17/2022 y 91/2024, por razones evidentes—, se desconoce no solo el derecho de intervenir y alegar a quienes han sido parte en los procedimientos de los que traen causa las cuestiones de inconstitucionalidad, sino también a las representaciones de quienes integran las Cortes Generales y de doce Gobiernos autonómicos y tres Parlamentos de distintas comunidades autónomas, quienes ostentan una </w:t>
      </w:r>
      <w:r w:rsidRPr="00B35D37">
        <w:rPr>
          <w:i/>
        </w:rPr>
        <w:t>legitimatio</w:t>
      </w:r>
      <w:r>
        <w:t xml:space="preserve"> constitucionalmente cualificada [</w:t>
      </w:r>
      <w:r w:rsidRPr="00B35D37">
        <w:rPr>
          <w:i/>
        </w:rPr>
        <w:t>ex</w:t>
      </w:r>
      <w:r>
        <w:t xml:space="preserve"> art. 162.1 a) CE], de especial significación política, institucional y democrática en los recursos de inconstitucionalidad ya admitidos a trámite. Tales Gobiernos y Parlamentos autonómicos no han podido formular alegación alguna acerca de la recusación promovida por la Abogacía General del Estado y ninguna intervención han podido tener en la recusación inicialmente estimada al no ser parte.</w:t>
      </w:r>
    </w:p>
    <w:p w14:paraId="49A77765" w14:textId="77777777" w:rsidR="00B35D37" w:rsidRDefault="00B35D37" w:rsidP="00B35D37">
      <w:pPr>
        <w:pStyle w:val="TextoNormal"/>
      </w:pPr>
    </w:p>
    <w:p w14:paraId="0B5F9D0D" w14:textId="77777777" w:rsidR="00B35D37" w:rsidRDefault="00B35D37" w:rsidP="00B35D37">
      <w:pPr>
        <w:pStyle w:val="TextoNormal"/>
      </w:pPr>
      <w:r>
        <w:t>A ello se añade que, sin previsión legal habilitante y prescindiendo del procedimiento establecido en los arts. 223.4 LOPJ y 107.4 LEC, que prevén la intervención del magistrado “apartado” se violenta la garantía del propio magistrado recusado [STC 91/2021, de 22 de abril, FJ 5.2.3 b)] a quien se priva de derecho al ejercicio del cargo (art. 23.2 CE) sin darle la posibilidad de intervenir, pese a que ha participado en todas las decisiones de admisión de tales procesos de inconstitucionalidad. Se llega incluso a apartarle de cuestiones de inconstitucionalidad en las que ni tan siquiera se ha promovido incidente de recusación contra él.</w:t>
      </w:r>
    </w:p>
    <w:p w14:paraId="456D5909" w14:textId="77777777" w:rsidR="00B35D37" w:rsidRDefault="00B35D37" w:rsidP="00B35D37">
      <w:pPr>
        <w:pStyle w:val="TextoNormal"/>
      </w:pPr>
    </w:p>
    <w:p w14:paraId="63A86F59" w14:textId="77777777" w:rsidR="00B35D37" w:rsidRDefault="00B35D37" w:rsidP="00B35D37">
      <w:pPr>
        <w:pStyle w:val="TextoNormal"/>
      </w:pPr>
      <w:r>
        <w:t>Además de la inexistente previsión legal, no existe ninguna justificación para desconocer los derechos de las partes a responder a las recusaciones planteadas, así como la garantía del recusado a intervenir en la recusación y el obligado control de oficio por el Tribunal de los presupuestos procesales y temporales de toda recusación, más si se toma en consideración la brevedad de los plazos de tramitación legalmente establecidos.</w:t>
      </w:r>
    </w:p>
    <w:p w14:paraId="43D73EE7" w14:textId="77777777" w:rsidR="00B35D37" w:rsidRDefault="00B35D37" w:rsidP="00B35D37">
      <w:pPr>
        <w:pStyle w:val="TextoNormal"/>
      </w:pPr>
    </w:p>
    <w:p w14:paraId="2AC7EB52" w14:textId="77777777" w:rsidR="00B35D37" w:rsidRDefault="00B35D37" w:rsidP="00B35D37">
      <w:pPr>
        <w:pStyle w:val="TextoNormal"/>
      </w:pPr>
      <w:r>
        <w:t>En definitiva, se proyecta el auto que estima la recusación planteada por el fiscal general del Estado en la cuestión de inconstitucionalidad núm. 6053-2024, respecto de la que efectuamos serias objeciones acerca de su irregular tramitación, a quince recursos de inconstitucionalidad en los que el fiscal carece de legitimación alguna para intervenir, al margen de cualquier cobertura legal y desconociendo los derechos de las partes especialmente cualificadas y la garantía del recusado a intervenir en el proceso de recusación, sin justificación alguna para ello.</w:t>
      </w:r>
    </w:p>
    <w:p w14:paraId="3284D0F2" w14:textId="77777777" w:rsidR="00B35D37" w:rsidRDefault="00B35D37" w:rsidP="00B35D37">
      <w:pPr>
        <w:pStyle w:val="TextoNormal"/>
      </w:pPr>
    </w:p>
    <w:p w14:paraId="6A399A7C" w14:textId="77777777" w:rsidR="00B35D37" w:rsidRDefault="00B35D37" w:rsidP="00B35D37">
      <w:pPr>
        <w:pStyle w:val="TextoNormal"/>
      </w:pPr>
      <w:r>
        <w:t>La percepción de la justicia no solo depende del resultado, sino también de la forma en que se llega a él.</w:t>
      </w:r>
    </w:p>
    <w:p w14:paraId="76CAD440" w14:textId="77777777" w:rsidR="00B35D37" w:rsidRDefault="00B35D37" w:rsidP="00B35D37">
      <w:pPr>
        <w:pStyle w:val="TextoNormal"/>
      </w:pPr>
    </w:p>
    <w:p w14:paraId="7B9B8D3B" w14:textId="77777777" w:rsidR="00B35D37" w:rsidRDefault="00B35D37" w:rsidP="00B35D37">
      <w:pPr>
        <w:pStyle w:val="TextoNormal"/>
      </w:pPr>
      <w:r>
        <w:t>Y en este sentido emitimos el presente voto particular.</w:t>
      </w:r>
    </w:p>
    <w:p w14:paraId="45DD3EAF" w14:textId="77777777" w:rsidR="00B35D37" w:rsidRDefault="00B35D37" w:rsidP="00B35D37">
      <w:pPr>
        <w:pStyle w:val="TextoNormal"/>
      </w:pPr>
    </w:p>
    <w:p w14:paraId="150AF802" w14:textId="53BAA6D3" w:rsidR="00B35D37" w:rsidRDefault="00B35D37" w:rsidP="00B35D37">
      <w:pPr>
        <w:pStyle w:val="TextoNormal"/>
      </w:pPr>
      <w:r>
        <w:t>Madrid, a veintinueve de enero de dos mil veinticinco.</w:t>
      </w:r>
    </w:p>
    <w:p w14:paraId="79EC4D87" w14:textId="79671EF6" w:rsidR="00B35D37" w:rsidRDefault="00B35D37">
      <w:pPr>
        <w:spacing w:after="160" w:line="278" w:lineRule="auto"/>
        <w:rPr>
          <w:rFonts w:ascii="Times New Roman" w:eastAsia="Times New Roman" w:hAnsi="Times New Roman" w:cs="Times New Roman"/>
          <w:sz w:val="24"/>
          <w:szCs w:val="24"/>
          <w:lang w:eastAsia="es-ES"/>
        </w:rPr>
      </w:pPr>
      <w:r>
        <w:br w:type="page"/>
      </w:r>
    </w:p>
    <w:p w14:paraId="1F8FC902" w14:textId="77777777" w:rsidR="00B35D37" w:rsidRDefault="00B35D37" w:rsidP="00B35D37">
      <w:pPr>
        <w:pStyle w:val="TtuloResolucin"/>
      </w:pPr>
      <w:bookmarkStart w:id="152" w:name="AUTO_2025_13"/>
      <w:r>
        <w:t>AUTO 13/2025, de 11 de febrero de 2025</w:t>
      </w:r>
    </w:p>
    <w:bookmarkEnd w:id="152"/>
    <w:p w14:paraId="5D1E1479" w14:textId="77777777" w:rsidR="00B35D37" w:rsidRDefault="00B35D37" w:rsidP="00B35D37">
      <w:pPr>
        <w:pStyle w:val="TtuloResolucin"/>
      </w:pPr>
      <w:r>
        <w:t>Pleno</w:t>
      </w:r>
    </w:p>
    <w:p w14:paraId="7AAAAD3C" w14:textId="77777777" w:rsidR="00B35D37" w:rsidRDefault="00B35D37" w:rsidP="00B35D37">
      <w:pPr>
        <w:pStyle w:val="TextoNormalCentrado"/>
      </w:pPr>
      <w:r>
        <w:t>ECLI:ES:TC:2025:13A</w:t>
      </w:r>
    </w:p>
    <w:p w14:paraId="4D18BAE2" w14:textId="48C64DFD" w:rsidR="00B35D37" w:rsidRDefault="00B35D37" w:rsidP="00B35D37">
      <w:pPr>
        <w:pStyle w:val="TextoNormalCentrado"/>
      </w:pPr>
    </w:p>
    <w:p w14:paraId="0B2C8713"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01E1F776" w14:textId="0FAD6C9D" w:rsidR="00B35D37" w:rsidRDefault="00B35D37" w:rsidP="00B35D37">
      <w:pPr>
        <w:pStyle w:val="SntesisDescriptiva"/>
      </w:pPr>
    </w:p>
    <w:p w14:paraId="06309B29" w14:textId="77777777" w:rsidR="00B35D37" w:rsidRDefault="00B35D37" w:rsidP="00B35D37">
      <w:pPr>
        <w:pStyle w:val="SntesisDescriptiva"/>
      </w:pPr>
      <w:r>
        <w:t>Inadmite a trámite la cuestión de inconstitucionalidad 7753-2024, planteada por el Juzgado de Primera Instancia núm. 8 de A Coruña, en relación con el artículo 1.1 del Real Decreto-ley 11/2020, de 31 de marzo, por el que se adoptan medidas urgentes complementarias en el ámbito social y económico para hacer frente al covid-19.</w:t>
      </w:r>
    </w:p>
    <w:p w14:paraId="3609B132" w14:textId="1A6DED2D" w:rsidR="00B35D37" w:rsidRDefault="00B35D37" w:rsidP="00B35D37">
      <w:pPr>
        <w:pStyle w:val="SntesisDescriptiva"/>
      </w:pPr>
    </w:p>
    <w:p w14:paraId="22D27FB5" w14:textId="77777777" w:rsidR="00B35D37" w:rsidRDefault="00B35D37" w:rsidP="00B35D37">
      <w:pPr>
        <w:pStyle w:val="SntesisDescriptiva"/>
      </w:pPr>
    </w:p>
    <w:p w14:paraId="66A7F066" w14:textId="77777777" w:rsidR="00B35D37" w:rsidRDefault="00B35D37" w:rsidP="00B35D37">
      <w:pPr>
        <w:pStyle w:val="SntesisDescriptiva"/>
      </w:pPr>
    </w:p>
    <w:p w14:paraId="147AC6EB" w14:textId="77777777" w:rsidR="00B35D37" w:rsidRDefault="00B35D37" w:rsidP="00B35D37">
      <w:pPr>
        <w:pStyle w:val="TextoNormalNegritaCentrado"/>
      </w:pPr>
      <w:r>
        <w:t>AUTO</w:t>
      </w:r>
    </w:p>
    <w:p w14:paraId="3F401452" w14:textId="18587485" w:rsidR="00B35D37" w:rsidRDefault="00B35D37" w:rsidP="00B35D37">
      <w:pPr>
        <w:pStyle w:val="TextoNormalNegritaCentrado"/>
      </w:pPr>
    </w:p>
    <w:p w14:paraId="29338B63" w14:textId="77777777" w:rsidR="00B35D37" w:rsidRDefault="00B35D37" w:rsidP="00B35D37">
      <w:pPr>
        <w:pStyle w:val="TextoNormalNegritaCentrado"/>
        <w:keepNext/>
      </w:pPr>
      <w:r>
        <w:t>I. Antecedentes</w:t>
      </w:r>
    </w:p>
    <w:p w14:paraId="487114F7" w14:textId="353E1189" w:rsidR="00B35D37" w:rsidRDefault="00B35D37" w:rsidP="00B35D37">
      <w:pPr>
        <w:pStyle w:val="TextoNormalNegritaCentrado"/>
        <w:keepNext/>
      </w:pPr>
    </w:p>
    <w:p w14:paraId="26485331" w14:textId="528AF882" w:rsidR="00B35D37" w:rsidRDefault="00B35D37" w:rsidP="00B35D37">
      <w:pPr>
        <w:pStyle w:val="TextoNormal"/>
      </w:pPr>
      <w:r w:rsidRPr="00B35D37">
        <w:rPr>
          <w:rStyle w:val="NumeroAFNegritaCaracter"/>
        </w:rPr>
        <w:t>1</w:t>
      </w:r>
      <w:r>
        <w:t>. El día 16 de octubre de 2024 tuvieron entrada en el registro general del Tribunal Constitucional las actuaciones, en formato digital, del juicio verbal de desahucio núm. 200-2024, procedentes del Juzgado de Primera Instancia núm. 8 de A Coruña, junto con el auto de 4 de octubre de 2024, por el que se acuerda plantear cuestión de inconstitucionalidad respecto del apartado 1 del art. 1 del Real Decreto-ley 11/2020, de 31 de marzo, por el que se adoptan medidas urgentes complementarias en el ámbito social y económico para hacer frente al covid-19.</w:t>
      </w:r>
    </w:p>
    <w:p w14:paraId="34C03E68" w14:textId="77777777" w:rsidR="00B35D37" w:rsidRDefault="00B35D37" w:rsidP="00B35D37">
      <w:pPr>
        <w:pStyle w:val="TextoNormal"/>
      </w:pPr>
    </w:p>
    <w:p w14:paraId="1FE2CF10" w14:textId="77777777" w:rsidR="00B35D37" w:rsidRDefault="00B35D37" w:rsidP="00B35D37">
      <w:pPr>
        <w:pStyle w:val="TextoNormal"/>
      </w:pPr>
      <w:r w:rsidRPr="00B35D37">
        <w:rPr>
          <w:rStyle w:val="NumeroAFNegritaCaracter"/>
        </w:rPr>
        <w:t>2</w:t>
      </w:r>
      <w:r>
        <w:t>. Los hechos de los que trae causa la cuestión de inconstitucionalidad son, en síntesis, los siguientes:</w:t>
      </w:r>
    </w:p>
    <w:p w14:paraId="1C92E924" w14:textId="77777777" w:rsidR="00B35D37" w:rsidRDefault="00B35D37" w:rsidP="00B35D37">
      <w:pPr>
        <w:pStyle w:val="TextoNormal"/>
      </w:pPr>
    </w:p>
    <w:p w14:paraId="4D44B757" w14:textId="77777777" w:rsidR="00B35D37" w:rsidRDefault="00B35D37" w:rsidP="00B35D37">
      <w:pPr>
        <w:pStyle w:val="TextoNormal"/>
      </w:pPr>
      <w:r>
        <w:t>a) El día 8 de febrero de 2024, la entidad Sinterfim, S.L., interpuso demanda de desahucio por expiración del plazo legal, a la que acumulaba la acción de reclamación de las rentas impagadas, contra los arrendatarios don J.Y.D.P y doña M.R.P.</w:t>
      </w:r>
    </w:p>
    <w:p w14:paraId="38F5BC38" w14:textId="77777777" w:rsidR="00B35D37" w:rsidRDefault="00B35D37" w:rsidP="00B35D37">
      <w:pPr>
        <w:pStyle w:val="TextoNormal"/>
      </w:pPr>
    </w:p>
    <w:p w14:paraId="2706CF0D" w14:textId="77777777" w:rsidR="00B35D37" w:rsidRDefault="00B35D37" w:rsidP="00B35D37">
      <w:pPr>
        <w:pStyle w:val="TextoNormal"/>
      </w:pPr>
      <w:r>
        <w:t>En la demanda se relata que el actor celebró contrato de arrendamiento el 1 de febrero de 2016 con los demandados, que por aplicación del art. 9.1 de la Ley de arrendamientos urbanos, en su redacción conforme a la Ley 4/2013, de 4 de junio, de medidas de flexibilización y fomento del mercado del alquiler de viviendas, se prorrogó por períodos anuales hasta cumplirse los tres años de prórroga forzosa para el arrendador. Tras cumplirse los tres años iniciales el contrato se vino prorrogando por periodos anuales. Con cuatro meses de antelación al vencimiento de la última de las prórrogas anuales, la entidad arrendadora manifestó su voluntad de recuperar la posesión, sin embargo los arrendatarios continuaron en la vivienda negándose a abandonarla.</w:t>
      </w:r>
    </w:p>
    <w:p w14:paraId="3A35F42E" w14:textId="77777777" w:rsidR="00B35D37" w:rsidRDefault="00B35D37" w:rsidP="00B35D37">
      <w:pPr>
        <w:pStyle w:val="TextoNormal"/>
      </w:pPr>
    </w:p>
    <w:p w14:paraId="332FE604" w14:textId="77777777" w:rsidR="00B35D37" w:rsidRDefault="00B35D37" w:rsidP="00B35D37">
      <w:pPr>
        <w:pStyle w:val="TextoNormal"/>
      </w:pPr>
      <w:r>
        <w:t>La demanda añade que acumula la acción de reclamación de las rentas vencidas y no pagadas desde el mes de septiembre de 2023 hasta el mes de febrero de 2024, así como las rentas que se devenguen hasta la recuperación del inmueble.</w:t>
      </w:r>
    </w:p>
    <w:p w14:paraId="15AA2998" w14:textId="77777777" w:rsidR="00B35D37" w:rsidRDefault="00B35D37" w:rsidP="00B35D37">
      <w:pPr>
        <w:pStyle w:val="TextoNormal"/>
      </w:pPr>
    </w:p>
    <w:p w14:paraId="1221AE93" w14:textId="77777777" w:rsidR="00B35D37" w:rsidRDefault="00B35D37" w:rsidP="00B35D37">
      <w:pPr>
        <w:pStyle w:val="TextoNormal"/>
      </w:pPr>
      <w:r>
        <w:t>La entidad demandante solicita que se declare tanto la extinción del contrato por expiración del plazo de duración como que los arrendatarios adeudan las rentas vencidas y no pagadas de los meses de septiembre de 2023 en adelante. Asimismo, interesa que sean condenados a desalojar el inmueble y ponerlo a disposición de la actora con apercibimiento de lanzamiento y al pago de las cantidades adeudadas.</w:t>
      </w:r>
    </w:p>
    <w:p w14:paraId="0A277B39" w14:textId="77777777" w:rsidR="00B35D37" w:rsidRDefault="00B35D37" w:rsidP="00B35D37">
      <w:pPr>
        <w:pStyle w:val="TextoNormal"/>
      </w:pPr>
    </w:p>
    <w:p w14:paraId="11A9B63A" w14:textId="77777777" w:rsidR="00B35D37" w:rsidRDefault="00B35D37" w:rsidP="00B35D37">
      <w:pPr>
        <w:pStyle w:val="TextoNormal"/>
      </w:pPr>
      <w:r>
        <w:t>b) Por decreto de la letrada de la administración de Justicia, de 27 de febrero de 2024, se admitió la demanda y se señaló la vista para el día 26 de marzo siguiente, y, el lanzamiento, en su caso, para el día 7 de mayo del mismo año.</w:t>
      </w:r>
    </w:p>
    <w:p w14:paraId="1348BBEE" w14:textId="77777777" w:rsidR="00B35D37" w:rsidRDefault="00B35D37" w:rsidP="00B35D37">
      <w:pPr>
        <w:pStyle w:val="TextoNormal"/>
      </w:pPr>
    </w:p>
    <w:p w14:paraId="3E131495" w14:textId="77777777" w:rsidR="00B35D37" w:rsidRDefault="00B35D37" w:rsidP="00B35D37">
      <w:pPr>
        <w:pStyle w:val="TextoNormal"/>
      </w:pPr>
      <w:r>
        <w:t>c) La representación procesal de doña M.R.P., mediante escrito datado el 18 de abril de 2024 —encontrándose el procedimiento suspendido como consecuencia de la solicitud del beneficio de justicia gratuita efectuada por don J.Y.D.P.—, al amparo del art. 1 del Real Decreto-ley 11/2020 promovió un incidente de suspensión extraordinario del desahucio o lanzamiento hasta el 31 de diciembre de 2024, por encontrarse, según indicaba, en situación de vulnerabilidad económica y solicitó la suspensión tanto del plazo de diez días a que se refiere el art. 440.3 de la Ley de enjuiciamiento civil como de la vista.</w:t>
      </w:r>
    </w:p>
    <w:p w14:paraId="6FB099E4" w14:textId="77777777" w:rsidR="00B35D37" w:rsidRDefault="00B35D37" w:rsidP="00B35D37">
      <w:pPr>
        <w:pStyle w:val="TextoNormal"/>
      </w:pPr>
    </w:p>
    <w:p w14:paraId="656F2B5C" w14:textId="77777777" w:rsidR="00B35D37" w:rsidRDefault="00B35D37" w:rsidP="00B35D37">
      <w:pPr>
        <w:pStyle w:val="TextoNormal"/>
      </w:pPr>
      <w:r>
        <w:t>d) Por diligencias de ordenación de los días 2 y 28 de mayo de 2024 se incoó el incidente de suspensión y se acordó dar traslado a la parte demandante y a los servicios sociales a fin de emitir informe sobre la situación de vulnerabilidad.</w:t>
      </w:r>
    </w:p>
    <w:p w14:paraId="387022CD" w14:textId="77777777" w:rsidR="00B35D37" w:rsidRDefault="00B35D37" w:rsidP="00B35D37">
      <w:pPr>
        <w:pStyle w:val="TextoNormal"/>
      </w:pPr>
    </w:p>
    <w:p w14:paraId="2D7C564D" w14:textId="77777777" w:rsidR="00B35D37" w:rsidRDefault="00B35D37" w:rsidP="00B35D37">
      <w:pPr>
        <w:pStyle w:val="TextoNormal"/>
      </w:pPr>
      <w:r>
        <w:t>La entidad Sinterfim, S.L., presentó el día 23 de mayo de 2024 un escrito por el que se oponía a la suspensión, aduciendo que el edificio, cuyo piso tercero se encuentra arrendado a la demandada, tenía graves deficiencias estructurales incompatibles con el uso como vivienda y que era necesario acometer obras de rehabilitación. A fin de justificar las referidas anomalías y la necesidad de las reparaciones acompañaba un informe técnico redactado por un arquitecto superior.</w:t>
      </w:r>
    </w:p>
    <w:p w14:paraId="3DA0DCB1" w14:textId="77777777" w:rsidR="00B35D37" w:rsidRDefault="00B35D37" w:rsidP="00B35D37">
      <w:pPr>
        <w:pStyle w:val="TextoNormal"/>
      </w:pPr>
    </w:p>
    <w:p w14:paraId="490A8B58" w14:textId="77777777" w:rsidR="00B35D37" w:rsidRDefault="00B35D37" w:rsidP="00B35D37">
      <w:pPr>
        <w:pStyle w:val="TextoNormal"/>
      </w:pPr>
      <w:r>
        <w:t>El 12 de julio de 2024 se emitió informe por la administración correspondiente en el que se concluía que la demandada se encontraba en una situación de vulnerabilidad atendida la situación de desempleo de larga duración y la insuficiencia de los ingresos para posibilitar el acceso a una nueva vivienda.</w:t>
      </w:r>
    </w:p>
    <w:p w14:paraId="2955CDEE" w14:textId="77777777" w:rsidR="00B35D37" w:rsidRDefault="00B35D37" w:rsidP="00B35D37">
      <w:pPr>
        <w:pStyle w:val="TextoNormal"/>
      </w:pPr>
    </w:p>
    <w:p w14:paraId="7F0D7E07" w14:textId="77777777" w:rsidR="00B35D37" w:rsidRDefault="00B35D37" w:rsidP="00B35D37">
      <w:pPr>
        <w:pStyle w:val="TextoNormal"/>
      </w:pPr>
      <w:r>
        <w:t>e) Por providencia de 20 de junio de 2024 se acordó “ante las dudas de constitucionalidad del art. 1 del Real Decreto-ley 11/2020, de 31 de marzo”, por la posible vulneración del derecho a la propiedad privada (art. 33.1 y 2 CE), dar trámite de audiencia por diez días a las partes sobre la pertinencia de plantear una cuestión de constitucionalidad, o sobre el fondo de esta [art. 35.2 de la Ley Orgánica 2/1979, de 3 de octubre, del Tribunal Constitucional (LOTC)].</w:t>
      </w:r>
    </w:p>
    <w:p w14:paraId="4047A883" w14:textId="77777777" w:rsidR="00B35D37" w:rsidRDefault="00B35D37" w:rsidP="00B35D37">
      <w:pPr>
        <w:pStyle w:val="TextoNormal"/>
      </w:pPr>
    </w:p>
    <w:p w14:paraId="2718AAF9" w14:textId="77777777" w:rsidR="00B35D37" w:rsidRDefault="00B35D37" w:rsidP="00B35D37">
      <w:pPr>
        <w:pStyle w:val="TextoNormal"/>
      </w:pPr>
      <w:r>
        <w:t>f) El fiscal, mediante escrito de 27 de junio de 2024, interpuso recurso de reposición frente a la anterior providencia en el que refería que la misma no concretaba el párrafo o párrafos del art. 1 del Real Decreto-ley 11/2020 cuestionado por lo que no se ajustaba a la precisión que requiere el art. 35 LOTC, de modo que debía darse nuevo traslado a las partes para alegaciones durante diez días sobre las normas legales y constitucionales cuestionadas.</w:t>
      </w:r>
    </w:p>
    <w:p w14:paraId="27D8260C" w14:textId="77777777" w:rsidR="00B35D37" w:rsidRDefault="00B35D37" w:rsidP="00B35D37">
      <w:pPr>
        <w:pStyle w:val="TextoNormal"/>
      </w:pPr>
    </w:p>
    <w:p w14:paraId="3EAB85F1" w14:textId="77777777" w:rsidR="00B35D37" w:rsidRDefault="00B35D37" w:rsidP="00B35D37">
      <w:pPr>
        <w:pStyle w:val="TextoNormal"/>
      </w:pPr>
      <w:r>
        <w:t>g) Una vez tramitado el recurso, fue estimado parcialmente por auto de 10 de septiembre de 2024 y se concedió a las partes nuevo plazo de diez días para que formularan las alegaciones del art. 35.2 LOTC concretadas ahora en el apartado1 del art. 1 del Real Decreto-ley 11/2020 y a la eventual infracción del art. 31.1 y 2 CE.</w:t>
      </w:r>
    </w:p>
    <w:p w14:paraId="51DEF0D3" w14:textId="77777777" w:rsidR="00B35D37" w:rsidRDefault="00B35D37" w:rsidP="00B35D37">
      <w:pPr>
        <w:pStyle w:val="TextoNormal"/>
      </w:pPr>
    </w:p>
    <w:p w14:paraId="6D20DDD7" w14:textId="77777777" w:rsidR="00B35D37" w:rsidRDefault="00B35D37" w:rsidP="00B35D37">
      <w:pPr>
        <w:pStyle w:val="TextoNormal"/>
      </w:pPr>
      <w:r>
        <w:t>h) El Ministerio Fiscal, mediante escrito de 24 de septiembre de 2024, se opuso al planteamiento de la cuestión de inconstitucionalidad al considerar genérica la invocación del art. 33.1 y 2 CE. El fiscal afirma que la norma cuestionada se confronta con dos párrafos distintos del art. 33 CE de muy diferente contenido. Añade que apartado 1 del art. 1 del Real Decreto-ley 11/2020 solo es aplicable si el juzgador llega previamente a la conclusión, fáctica y valorativa, de que se dan los presupuestos para acordar la suspensión del lanzamiento que la propia norma prevé, pero ni de la providencia inicial ni del auto estimando parcialmente el recurso resulta indicación o afirmación alguna en tal sentido.</w:t>
      </w:r>
    </w:p>
    <w:p w14:paraId="00DBBE5B" w14:textId="77777777" w:rsidR="00B35D37" w:rsidRDefault="00B35D37" w:rsidP="00B35D37">
      <w:pPr>
        <w:pStyle w:val="TextoNormal"/>
      </w:pPr>
    </w:p>
    <w:p w14:paraId="45DADB41" w14:textId="19D9DA8B" w:rsidR="00B35D37" w:rsidRDefault="00B35D37" w:rsidP="00B35D37">
      <w:pPr>
        <w:pStyle w:val="TextoNormal"/>
      </w:pPr>
      <w:r>
        <w:t>i) La representación de Sinterfim, S.L., mediante escrito de 1 de octubre de 2024, se opuso al planteamiento de la cuestión de inconstitucionalidad habida cuenta de que ello conllevaría la suspensión del procedimiento hasta la resolución de la cuestión e insistiendo en la necesidad de realizar obras de rehabilitación del edificio.</w:t>
      </w:r>
    </w:p>
    <w:p w14:paraId="39E26D20" w14:textId="77777777" w:rsidR="00B35D37" w:rsidRDefault="00B35D37" w:rsidP="00B35D37">
      <w:pPr>
        <w:pStyle w:val="TextoNormal"/>
      </w:pPr>
    </w:p>
    <w:p w14:paraId="34CEF23E" w14:textId="77777777" w:rsidR="00B35D37" w:rsidRDefault="00B35D37" w:rsidP="00B35D37">
      <w:pPr>
        <w:pStyle w:val="TextoNormal"/>
      </w:pPr>
      <w:r w:rsidRPr="00B35D37">
        <w:rPr>
          <w:rStyle w:val="NumeroAFNegritaCaracter"/>
        </w:rPr>
        <w:t>3</w:t>
      </w:r>
      <w:r>
        <w:t>. Por auto de 4 de octubre de 2024, el Juzgado de Primera Instancia núm. 8 de A Coruña acordó plantear la cuestión de inconstitucionalidad en relación con apartado 1 del art. 1 del Real Decreto-ley 11/2020, de 31 de marzo, por el que se adoptan medidas urgentes complementarias en el ámbito social y económico para hacer frente al covid-19, en la redacción dada por el Real Decreto-ley 8/2023, de 27 de diciembre, por estimar que podría ser contrario al art. 33.1 y 2 CE “en los supuestos de acción resolutoria por falta de pago”.</w:t>
      </w:r>
    </w:p>
    <w:p w14:paraId="06B84D93" w14:textId="77777777" w:rsidR="00B35D37" w:rsidRDefault="00B35D37" w:rsidP="00B35D37">
      <w:pPr>
        <w:pStyle w:val="TextoNormal"/>
      </w:pPr>
    </w:p>
    <w:p w14:paraId="0779B3D0" w14:textId="77777777" w:rsidR="00B35D37" w:rsidRDefault="00B35D37" w:rsidP="00B35D37">
      <w:pPr>
        <w:pStyle w:val="TextoNormal"/>
      </w:pPr>
      <w:r>
        <w:t>El auto reproduce en su literalidad el contenido de la norma cuestionada y lo enlaza con el derecho de los arrendadores y propietarios, recogido en la disposición adicional segunda del Real Decreto-ley 37/2020, de 22 de diciembre, a percibir una compensación de la administración competente.</w:t>
      </w:r>
    </w:p>
    <w:p w14:paraId="4467C14D" w14:textId="77777777" w:rsidR="00B35D37" w:rsidRDefault="00B35D37" w:rsidP="00B35D37">
      <w:pPr>
        <w:pStyle w:val="TextoNormal"/>
      </w:pPr>
    </w:p>
    <w:p w14:paraId="43045078" w14:textId="77777777" w:rsidR="00B35D37" w:rsidRDefault="00B35D37" w:rsidP="00B35D37">
      <w:pPr>
        <w:pStyle w:val="TextoNormal"/>
      </w:pPr>
      <w:r>
        <w:t>La resolución trascribe parcialmente los arts. 33.1 y 2 CE y 348 del Código civil (CC) y glosa algunos fragmentos de diversas sentencias del Tribunal Constitucional relativas a la aplicación e interpretación del art. 33 CE (SSTC 89/1994, de 17 de marzo; 154/2015, de 9 de julio, y 168/2023, de 22 de noviembre).</w:t>
      </w:r>
    </w:p>
    <w:p w14:paraId="068CC30F" w14:textId="77777777" w:rsidR="00B35D37" w:rsidRDefault="00B35D37" w:rsidP="00B35D37">
      <w:pPr>
        <w:pStyle w:val="TextoNormal"/>
      </w:pPr>
    </w:p>
    <w:p w14:paraId="3880CC5D" w14:textId="77777777" w:rsidR="00B35D37" w:rsidRDefault="00B35D37" w:rsidP="00B35D37">
      <w:pPr>
        <w:pStyle w:val="TextoNormal"/>
      </w:pPr>
      <w:r>
        <w:t>El magistrado destaca que la norma cuestionada limita el derecho de disposición, pudiendo incurrir en una desproporción lesiva del art. 31.1 y 2 CE al impedir al propietario la elección del arrendatario, al conminarle a seguir manteniendo como tal al demandado y ello pese a que el contrato se ha extinguido por cumplimiento del plazo o el inquilino ha incurrido en causa de resolución por haber incumplido gravemente sus obligaciones.</w:t>
      </w:r>
    </w:p>
    <w:p w14:paraId="14F9423B" w14:textId="77777777" w:rsidR="00B35D37" w:rsidRDefault="00B35D37" w:rsidP="00B35D37">
      <w:pPr>
        <w:pStyle w:val="TextoNormal"/>
      </w:pPr>
    </w:p>
    <w:p w14:paraId="057FEE64" w14:textId="77777777" w:rsidR="00B35D37" w:rsidRDefault="00B35D37" w:rsidP="00B35D37">
      <w:pPr>
        <w:pStyle w:val="TextoNormal"/>
      </w:pPr>
      <w:r>
        <w:t>El auto sostiene que “[e]l derecho a la propiedad privada, en su variante de derecho de disposición, conlleva que el propietario pueda determinar libremente a qué persona arrienda su inmueble, o incluso, no arrendarlo, y, sin embargo, el precepto en cuestión le impone seguir manteniendo como tal al demandado, pese a concurrir causa de extinción o resolución, lo que, y esto es esencial, se agrava por la circunstancia de que cuando de desahucio por falta de pago se trata, estamos ante un arrendatario incumplidor, lo que genera notorios daños y perjuicios, y no solo rentas o suministros inatendidos, sino también, una vez que ya solo resta el desalojo, más pronto o más tarde, y en un clima de discordia, un uso nada ‘exquisito’ del inmueble, alejado, pues, del uso diligente exigido (querer desconocer esta realidad es ponerse una venda en los ojos)”.</w:t>
      </w:r>
    </w:p>
    <w:p w14:paraId="64DAF2D6" w14:textId="77777777" w:rsidR="00B35D37" w:rsidRDefault="00B35D37" w:rsidP="00B35D37">
      <w:pPr>
        <w:pStyle w:val="TextoNormal"/>
      </w:pPr>
    </w:p>
    <w:p w14:paraId="6C71526E" w14:textId="77777777" w:rsidR="00B35D37" w:rsidRDefault="00B35D37" w:rsidP="00B35D37">
      <w:pPr>
        <w:pStyle w:val="TextoNormal"/>
      </w:pPr>
      <w:r>
        <w:t xml:space="preserve">La resolución añade que la limitación del </w:t>
      </w:r>
      <w:r w:rsidRPr="00B35D37">
        <w:rPr>
          <w:i/>
        </w:rPr>
        <w:t>ius disponendi</w:t>
      </w:r>
      <w:r>
        <w:t xml:space="preserve"> está rayana en la privación cuando concurren: (i) la dilación en el reintegro posesorio que se establece </w:t>
      </w:r>
      <w:r w:rsidRPr="00B35D37">
        <w:rPr>
          <w:i/>
        </w:rPr>
        <w:t>sine die</w:t>
      </w:r>
      <w:r>
        <w:t xml:space="preserve"> a consecuencia de las sucesivas prórrogas aprobadas y (ii) el incumplimiento grave por el arrendatario de sus obligaciones, pudiendo producir un vaciamiento de la facultad individual de disposición.</w:t>
      </w:r>
    </w:p>
    <w:p w14:paraId="4F7884AA" w14:textId="77777777" w:rsidR="00B35D37" w:rsidRDefault="00B35D37" w:rsidP="00B35D37">
      <w:pPr>
        <w:pStyle w:val="TextoNormal"/>
      </w:pPr>
    </w:p>
    <w:p w14:paraId="2995BF82" w14:textId="77777777" w:rsidR="00B35D37" w:rsidRDefault="00B35D37" w:rsidP="00B35D37">
      <w:pPr>
        <w:pStyle w:val="TextoNormal"/>
      </w:pPr>
      <w:r>
        <w:t>Continua su razonamiento sosteniendo que la función social de la propiedad no puede llegar al extremo de cercenar la capacidad de elección de la parte contratante o de la decisión de no arrendar. La STC 89/1994 permitió que el legislador estableciera prórrogas forzosas, pero sobre la base del regular cumplimiento de las obligaciones del arrendatario. De este modo, “podría superar el filtro de constitucionalidad la suspensión del procedimiento en los casos de extinción del contrato por cumplimiento del plazo, pero puede ser aberrante extenderlo a los casos de resolución por falta de pago, que es el supuesto que nos ocupa en el presente procedimiento”.</w:t>
      </w:r>
    </w:p>
    <w:p w14:paraId="74F17927" w14:textId="77777777" w:rsidR="00B35D37" w:rsidRDefault="00B35D37" w:rsidP="00B35D37">
      <w:pPr>
        <w:pStyle w:val="TextoNormal"/>
      </w:pPr>
    </w:p>
    <w:p w14:paraId="2B3A7934" w14:textId="77777777" w:rsidR="00B35D37" w:rsidRDefault="00B35D37" w:rsidP="00B35D37">
      <w:pPr>
        <w:pStyle w:val="TextoNormal"/>
      </w:pPr>
      <w:r>
        <w:t>Refiere que el precepto podría tener alguna justificación en los casos de impago por la crisis sanitaria (SSTC 9/2023, de 22 de febrero, y 15/2023, de 7 de marzo), pero ya han transcurrido más de cuatro años. La norma no incide de modo temporal sobre el derecho de disponer del propietario, sino que lo hace por un largo periodo de tiempo, siendo como es una privación total del derecho de disponer ante un arrendatario que incumple de modo contumaz su obligación esencial de pago. Y, en fin, “el sacrificio del propietario, con amparo en la función social del derecho de propiedad, no puede llegar hasta el punto de hacerle soportar una relación de arriendo indeseada durante largo tiempo con un arrendatario incumplidor y, ello, aun cuando haya un tercero dispuesto a sufragar el pago mediante una compensación (la administración)”.</w:t>
      </w:r>
    </w:p>
    <w:p w14:paraId="62A0AABD" w14:textId="77777777" w:rsidR="00B35D37" w:rsidRDefault="00B35D37" w:rsidP="00B35D37">
      <w:pPr>
        <w:pStyle w:val="TextoNormal"/>
      </w:pPr>
    </w:p>
    <w:p w14:paraId="40CB0634" w14:textId="77777777" w:rsidR="00B35D37" w:rsidRDefault="00B35D37" w:rsidP="00B35D37">
      <w:pPr>
        <w:pStyle w:val="TextoNormal"/>
      </w:pPr>
      <w:r>
        <w:t>El órgano judicial promovente entiende que si se superaran los anteriores escollos se mantendría el cuestionamiento de la limitación que la norma supone atendido el sistema de compensación previsto en la disposición adicional segunda del Real Decreto-ley 37/2020, de 22 de diciembre, que fija la compensación que debe percibir el arrendador y/o propietario en el valor medio de mercado, aun cuando la renta convenida sea superior, con un plazo de espera de tres meses a contar desde la fecha de emisión del informe de servicios sociales.</w:t>
      </w:r>
    </w:p>
    <w:p w14:paraId="3E3DC876" w14:textId="77777777" w:rsidR="00B35D37" w:rsidRDefault="00B35D37" w:rsidP="00B35D37">
      <w:pPr>
        <w:pStyle w:val="TextoNormal"/>
      </w:pPr>
    </w:p>
    <w:p w14:paraId="00010480" w14:textId="2C0BC453" w:rsidR="00B35D37" w:rsidRDefault="00B35D37" w:rsidP="00B35D37">
      <w:pPr>
        <w:pStyle w:val="TextoNormal"/>
      </w:pPr>
      <w:r>
        <w:t xml:space="preserve">El órgano judicial, en el último fundamento del auto, refiere que de lo expuesto surgen “serias dudas sobre la constitucionalidad del art. 1.1 del Real Decreto-ley 11/2020, en concreto, sobre la suspensión del procedimiento cuando se ejercita una acción resolutoria por falta de pago de renta o cantidades debidas, en cuanto puede conculcar lo dispuesto en el art. 33.1 y 2 de la Constitución Española”. Destaca el rango de ley de la norma cuestionada y la contradicción referida con el art. 33 CE. Apunta a que como tercer requisito se exige que la norma objeto de la cuestión sea “aplicable al caso” y que de su “validez dependa el fallo”, o en otras palabras, que exista una conexión entre la validez de la norma y la pretensión objeto del proceso </w:t>
      </w:r>
      <w:r w:rsidRPr="00B35D37">
        <w:rPr>
          <w:i/>
        </w:rPr>
        <w:t>a quo</w:t>
      </w:r>
      <w:r>
        <w:t>. Y recuerda que la cuestión de constitucionalidad se puede plantear también respecto a resoluciones distintas de la sentencia y que la dilación que ocasiona el planteamiento no es fundamento para evitar el cuestionamiento de la norma.</w:t>
      </w:r>
    </w:p>
    <w:p w14:paraId="307D80BF" w14:textId="77777777" w:rsidR="00B35D37" w:rsidRDefault="00B35D37" w:rsidP="00B35D37">
      <w:pPr>
        <w:pStyle w:val="TextoNormal"/>
      </w:pPr>
    </w:p>
    <w:p w14:paraId="5948CD36" w14:textId="58F96813" w:rsidR="00B35D37" w:rsidRDefault="00B35D37" w:rsidP="00B35D37">
      <w:pPr>
        <w:pStyle w:val="TextoNormal"/>
      </w:pPr>
      <w:r w:rsidRPr="00B35D37">
        <w:rPr>
          <w:rStyle w:val="NumeroAFNegritaCaracter"/>
        </w:rPr>
        <w:t>4</w:t>
      </w:r>
      <w:r>
        <w:t>. Por providencia de 5 de noviembre de 2024, el Pleno del Tribunal Constitucional acordó, a los efectos que determina el art. 37.1 LOTC, oír al fiscal general del Estado para que en plazo de diez días alegue lo que considere conveniente acerca de la admisibilidad de la presente cuestión de inconstitucionalidad en relación con el cumplimiento de los requisitos procesales (juicios de aplicabilidad y relevancia).</w:t>
      </w:r>
    </w:p>
    <w:p w14:paraId="5925E53B" w14:textId="77777777" w:rsidR="00B35D37" w:rsidRDefault="00B35D37" w:rsidP="00B35D37">
      <w:pPr>
        <w:pStyle w:val="TextoNormal"/>
      </w:pPr>
    </w:p>
    <w:p w14:paraId="5E82BA7A" w14:textId="77777777" w:rsidR="00B35D37" w:rsidRDefault="00B35D37" w:rsidP="00B35D37">
      <w:pPr>
        <w:pStyle w:val="TextoNormal"/>
      </w:pPr>
      <w:r w:rsidRPr="00B35D37">
        <w:rPr>
          <w:rStyle w:val="NumeroAFNegritaCaracter"/>
        </w:rPr>
        <w:t>5</w:t>
      </w:r>
      <w:r>
        <w:t>. Mediante escrito registrado el día 20 de enero de 2025, el fiscal ante el Tribunal Constitucional, por delegación del fiscal general del Estado, presentó sus alegaciones en las que se pronuncia a favor de la inadmisión de la cuestión de inconstitucionalidad por no cumplir el juicio de relevancia.</w:t>
      </w:r>
    </w:p>
    <w:p w14:paraId="12A95777" w14:textId="77777777" w:rsidR="00B35D37" w:rsidRDefault="00B35D37" w:rsidP="00B35D37">
      <w:pPr>
        <w:pStyle w:val="TextoNormal"/>
      </w:pPr>
    </w:p>
    <w:p w14:paraId="07D01408" w14:textId="77777777" w:rsidR="00B35D37" w:rsidRDefault="00B35D37" w:rsidP="00B35D37">
      <w:pPr>
        <w:pStyle w:val="TextoNormal"/>
      </w:pPr>
      <w:r>
        <w:t>El fiscal analiza el cumplimiento del juicio de aplicabilidad y relevancia que exterioriza el auto de planteamiento de la cuestión, y destaca deficiencias en la fundamentación del juez al plantear la cuestión de inconstitucionalidad.</w:t>
      </w:r>
    </w:p>
    <w:p w14:paraId="2AFCF3F5" w14:textId="77777777" w:rsidR="00B35D37" w:rsidRDefault="00B35D37" w:rsidP="00B35D37">
      <w:pPr>
        <w:pStyle w:val="TextoNormal"/>
      </w:pPr>
    </w:p>
    <w:p w14:paraId="3910F7E4" w14:textId="77777777" w:rsidR="00B35D37" w:rsidRDefault="00B35D37" w:rsidP="00B35D37">
      <w:pPr>
        <w:pStyle w:val="TextoNormal"/>
      </w:pPr>
      <w:r>
        <w:t>En cuanto al juicio de aplicabilidad, se critica que el auto no incorpora una justificación detallada sobre la selección de la norma. Sin embargo, conforme a la doctrina del Tribunal Constitucional (STC 67/2002, de 21 de marzo, FJ 2), la selección de la norma corresponde al órgano judicial, y solo una elección irrazonable o infundada podría ser motivo de inadmisión. Aunque la argumentación del juez en este caso es limitada, a juicio del fiscal, no parece incurrir en un error que justifique su rechazo, pues no es evidente que, en modo alguno la norma sea aplicable al caso, al contrario, tal como ya dijo el fiscal en el informe sobre la procedencia del planteamiento, la norma es la aplicable para la suspensión del procedimiento solicitada.</w:t>
      </w:r>
    </w:p>
    <w:p w14:paraId="13E75024" w14:textId="77777777" w:rsidR="00B35D37" w:rsidRDefault="00B35D37" w:rsidP="00B35D37">
      <w:pPr>
        <w:pStyle w:val="TextoNormal"/>
      </w:pPr>
    </w:p>
    <w:p w14:paraId="7194B581" w14:textId="77777777" w:rsidR="00B35D37" w:rsidRDefault="00B35D37" w:rsidP="00B35D37">
      <w:pPr>
        <w:pStyle w:val="TextoNormal"/>
      </w:pPr>
      <w:r>
        <w:t>Respecto al juicio de relevancia, se subraya su importancia como garantía de que el control de constitucionalidad sea concreto y no abstracto, tal como señala el Tribunal Constitucional en la STC 166/2007, de 4 de julio. Para que sea correcto, el juez debe demostrar que la validez de la norma cuestionada es determinante en la resolución del caso. No obstante, en este caso, el juez formula un juicio de relevancia insuficiente al omitir el análisis de todas las posibles consecuencias derivadas de la constitucionalidad o inconstitucionalidad de la norma. Aunque se menciona que “el demandado cumple las exigencias legales para proceder a la suspensión”, esta afirmación carece de la fundamentación necesaria y no explica cómo el juez llegó a esa conclusión, lo que resulta insuficiente para cumplir con los requisitos procesales.</w:t>
      </w:r>
    </w:p>
    <w:p w14:paraId="4100FEC4" w14:textId="77777777" w:rsidR="00B35D37" w:rsidRDefault="00B35D37" w:rsidP="00B35D37">
      <w:pPr>
        <w:pStyle w:val="TextoNormal"/>
      </w:pPr>
    </w:p>
    <w:p w14:paraId="6C4BB350" w14:textId="77777777" w:rsidR="00B35D37" w:rsidRDefault="00B35D37" w:rsidP="00B35D37">
      <w:pPr>
        <w:pStyle w:val="TextoNormal"/>
      </w:pPr>
      <w:r>
        <w:t>Indica que se plantea el juez entre las dos hipótesis posibles, solamente la de la inconstitucionalidad de la norma que forzosamente abocaría a la decisión de no conceder la suspensión del procedimiento, pero omite su antítesis, es decir que si la norma es constitucional también estaría la decisión abocada a ser de suspensión, y que no se pudiera denegar la suspensión por otras causas. Solo así se habría cumplido, correctamente, el juicio de relevancia. Para un pleno carácter relevante de la norma la decisión tiene que depender de, y solo de, su validez constitucional.</w:t>
      </w:r>
    </w:p>
    <w:p w14:paraId="1B30B16D" w14:textId="77777777" w:rsidR="00B35D37" w:rsidRDefault="00B35D37" w:rsidP="00B35D37">
      <w:pPr>
        <w:pStyle w:val="TextoNormal"/>
      </w:pPr>
    </w:p>
    <w:p w14:paraId="5A0281FD" w14:textId="77777777" w:rsidR="00B35D37" w:rsidRDefault="00B35D37" w:rsidP="00B35D37">
      <w:pPr>
        <w:pStyle w:val="TextoNormal"/>
      </w:pPr>
      <w:r>
        <w:t>El art. 35 LOTC exige que el juez justifique de manera suficiente cómo la validez de la norma impacta directamente en la resolución del caso. En este contexto, el texto subraya que el juez debería haber evaluado previamente si se cumplían los requisitos de los apartados 2 y 3 del art. 1 del Real Decreto-ley 11/2020, relativos a la vulnerabilidad del demandado, la posibilidad de alegar vulnerabilidad por parte del arrendador y la prevalencia de una sobre otra. La falta de un análisis detallado de estos aspectos impide que el auto cumpla con los requisitos de motivación exigidos.</w:t>
      </w:r>
    </w:p>
    <w:p w14:paraId="4BF13E34" w14:textId="77777777" w:rsidR="00B35D37" w:rsidRDefault="00B35D37" w:rsidP="00B35D37">
      <w:pPr>
        <w:pStyle w:val="TextoNormal"/>
      </w:pPr>
    </w:p>
    <w:p w14:paraId="7E8363ED" w14:textId="7F19D866" w:rsidR="00B35D37" w:rsidRDefault="00B35D37" w:rsidP="00B35D37">
      <w:pPr>
        <w:pStyle w:val="TextoNormal"/>
      </w:pPr>
      <w:r>
        <w:t>En conclusión, el auto judicial presenta deficiencias en la fundamentación del juicio de relevancia y no justifica suficientemente cómo la validez de la norma cuestionada es determinante en la resolución del caso. Esto incumple los requisitos procesales establecidos en el art. 35 LOTC y evidencia que el planteamiento de la cuestión de inconstitucionalidad no se ha realizado de forma adecuada.</w:t>
      </w:r>
    </w:p>
    <w:p w14:paraId="3020C546" w14:textId="77777777" w:rsidR="00B35D37" w:rsidRDefault="00B35D37" w:rsidP="00B35D37">
      <w:pPr>
        <w:pStyle w:val="TextoNormal"/>
      </w:pPr>
    </w:p>
    <w:p w14:paraId="5A693C9D" w14:textId="77777777" w:rsidR="00B35D37" w:rsidRDefault="00B35D37" w:rsidP="00B35D37">
      <w:pPr>
        <w:pStyle w:val="TextoNormalNegritaCentrado"/>
        <w:keepNext/>
      </w:pPr>
      <w:r>
        <w:t>II. Fundamentos jurídicos</w:t>
      </w:r>
    </w:p>
    <w:p w14:paraId="5FA490DE" w14:textId="4756723C" w:rsidR="00B35D37" w:rsidRDefault="00B35D37" w:rsidP="00B35D37">
      <w:pPr>
        <w:pStyle w:val="TextoNormalNegritaCentrado"/>
        <w:keepNext/>
      </w:pPr>
    </w:p>
    <w:p w14:paraId="07399AEF" w14:textId="77777777" w:rsidR="00B35D37" w:rsidRDefault="00B35D37" w:rsidP="00B35D37">
      <w:pPr>
        <w:pStyle w:val="TextoNormal"/>
      </w:pPr>
      <w:r w:rsidRPr="00B35D37">
        <w:rPr>
          <w:rStyle w:val="NumeroAFNegritaCaracter"/>
        </w:rPr>
        <w:t>1</w:t>
      </w:r>
      <w:r>
        <w:t>. El Juzgado de Primera Instancia núm. 8 de A Coruña, plantea la cuestión de inconstitucionalidad en relación con el apartado 1 del art. 1 del Real Decreto-ley 11/2020, de 31 de marzo, por el que se adoptan medidas urgentes complementarias en el ámbito social y económico para hacer frente al covid-19, por estimar que podría ser contrario al art. 33.1 y 2 CE.</w:t>
      </w:r>
    </w:p>
    <w:p w14:paraId="4736A56A" w14:textId="77777777" w:rsidR="00B35D37" w:rsidRDefault="00B35D37" w:rsidP="00B35D37">
      <w:pPr>
        <w:pStyle w:val="TextoNormal"/>
      </w:pPr>
    </w:p>
    <w:p w14:paraId="0E8A4FFC" w14:textId="77777777" w:rsidR="00B35D37" w:rsidRDefault="00B35D37" w:rsidP="00B35D37">
      <w:pPr>
        <w:pStyle w:val="TextoNormal"/>
      </w:pPr>
      <w:r>
        <w:t>El apartado 1 del art. 1 del Real Decreto-ley 11/2020, de 31 de marzo, tras la modificación introducida por el Real Decreto-ley 8/2023, de 27 de diciembre, tiene la siguiente redacción:</w:t>
      </w:r>
    </w:p>
    <w:p w14:paraId="74EED7B5" w14:textId="77777777" w:rsidR="00B35D37" w:rsidRDefault="00B35D37" w:rsidP="00B35D37">
      <w:pPr>
        <w:pStyle w:val="TextoNormal"/>
      </w:pPr>
    </w:p>
    <w:p w14:paraId="78843310" w14:textId="77777777" w:rsidR="00B35D37" w:rsidRDefault="00B35D37" w:rsidP="00B35D37">
      <w:pPr>
        <w:pStyle w:val="TextoNormal"/>
      </w:pPr>
      <w:r>
        <w:t>“Artículo 1. Suspensión del procedimiento de desahucio y de los lanzamientos para hogares vulnerables sin alternativa habitacional</w:t>
      </w:r>
    </w:p>
    <w:p w14:paraId="7B964E4D" w14:textId="77777777" w:rsidR="00B35D37" w:rsidRDefault="00B35D37" w:rsidP="00B35D37">
      <w:pPr>
        <w:pStyle w:val="TextoNormal"/>
      </w:pPr>
    </w:p>
    <w:p w14:paraId="2EA3D08F" w14:textId="77777777" w:rsidR="00B35D37" w:rsidRDefault="00B35D37" w:rsidP="00B35D37">
      <w:pPr>
        <w:pStyle w:val="TextoNormal"/>
      </w:pPr>
      <w:r>
        <w:t>1. Desde la entrada en vigor del presente real decreto-ley y hasta el 31 de diciembre de 2024, en todos los juicios verbales que versen sobre reclamaciones de renta o cantidades debidas por el arrendatario, o la expiración del plazo de duración de contratos suscritos conforme a la Ley 29/1994, de 24 de noviembre, de arrendamientos urbanos, que pretendan recuperar la posesión de la finca, se haya suspendido o no previamente el proceso en los términos establecidos en el apartado 5 del artículo 441 de la Ley 1/2000, de 7 de enero, de enjuiciamiento civil, la persona arrendataria podrá instar, de conformidad con lo previsto en este artículo, un incidente de suspensión extraordinaria del desahucio o lanzamiento ante el juzgado por encontrarse en una situación de vulnerabilidad económica que le imposibilite encontrar una alternativa habitacional para sí y para las personas con las que conviva.</w:t>
      </w:r>
    </w:p>
    <w:p w14:paraId="47FBE43C" w14:textId="77777777" w:rsidR="00B35D37" w:rsidRDefault="00B35D37" w:rsidP="00B35D37">
      <w:pPr>
        <w:pStyle w:val="TextoNormal"/>
      </w:pPr>
    </w:p>
    <w:p w14:paraId="2F145571" w14:textId="77777777" w:rsidR="00B35D37" w:rsidRDefault="00B35D37" w:rsidP="00B35D37">
      <w:pPr>
        <w:pStyle w:val="TextoNormal"/>
      </w:pPr>
      <w:r>
        <w:t>Así mismo, si no estuviese señalada fecha para el lanzamiento, por no haber transcurrido el plazo de diez días a que se refiere el artículo 440.3 de la Ley 1/2000, de 7 de enero, de enjuiciamiento civil, o por no haberse celebrado la vista, se suspenderá dicho plazo o la celebración de la vista.</w:t>
      </w:r>
    </w:p>
    <w:p w14:paraId="459EFF0B" w14:textId="77777777" w:rsidR="00B35D37" w:rsidRDefault="00B35D37" w:rsidP="00B35D37">
      <w:pPr>
        <w:pStyle w:val="TextoNormal"/>
      </w:pPr>
    </w:p>
    <w:p w14:paraId="6316A0E7" w14:textId="77777777" w:rsidR="00B35D37" w:rsidRDefault="00B35D37" w:rsidP="00B35D37">
      <w:pPr>
        <w:pStyle w:val="TextoNormal"/>
      </w:pPr>
      <w:r>
        <w:t>Estas medidas de suspensión que se establecen con carácter extraordinario y temporal, en todo caso, dejarán de surtir efecto el 31 de diciembre de 2024”.</w:t>
      </w:r>
    </w:p>
    <w:p w14:paraId="6D14842C" w14:textId="77777777" w:rsidR="00B35D37" w:rsidRDefault="00B35D37" w:rsidP="00B35D37">
      <w:pPr>
        <w:pStyle w:val="TextoNormal"/>
      </w:pPr>
    </w:p>
    <w:p w14:paraId="015DE071" w14:textId="77777777" w:rsidR="00B35D37" w:rsidRDefault="00B35D37" w:rsidP="00B35D37">
      <w:pPr>
        <w:pStyle w:val="TextoNormal"/>
      </w:pPr>
      <w:r>
        <w:t xml:space="preserve">El órgano judicial entiende que el precepto no respeta el contenido del art. 33.1 y 2 CE, al incurrir en desproporción en relación con la facultad de disposición del derecho de propiedad y la función social de la misma por obligar al propietario a mantener el contrato con el arrendatario </w:t>
      </w:r>
      <w:r w:rsidRPr="00B35D37">
        <w:rPr>
          <w:i/>
        </w:rPr>
        <w:t>sine die</w:t>
      </w:r>
      <w:r>
        <w:t xml:space="preserve"> pese a que el mismo se ha extinguido por el transcurso del plazo o a que el inquilino ha incumplido gravemente sus obligaciones de pago de la renta una vez transcurridos más de cuatro años desde la crisis sanitaria que inicialmente justificó la norma. Sin cuestionar la disposición adicional segunda del Real Decreto-ley 37/2020, de 22 de diciembre que fija el límite de la compensación que debe percibir el arrendador y/o propietario en el valor medio de mercado, considera que dicha indemnización no toma en consideración que la renta convenida pueda ser superior y además prevé un plazo de espera de tres meses a contar desde la fecha de emisión del informe de servicios sociales.</w:t>
      </w:r>
    </w:p>
    <w:p w14:paraId="5B1CF131" w14:textId="77777777" w:rsidR="00B35D37" w:rsidRDefault="00B35D37" w:rsidP="00B35D37">
      <w:pPr>
        <w:pStyle w:val="TextoNormal"/>
      </w:pPr>
    </w:p>
    <w:p w14:paraId="5B731C0C" w14:textId="27579BED" w:rsidR="00B35D37" w:rsidRDefault="00B35D37" w:rsidP="00B35D37">
      <w:pPr>
        <w:pStyle w:val="TextoNormal"/>
      </w:pPr>
      <w:r>
        <w:t>El fiscal general del Estado, en el trámite previsto en el art. 37.1 LOTC, se ha opuesto a la admisión de la presente cuestión de inconstitucionalidad al entender que no cumple el juicio de relevancia.</w:t>
      </w:r>
    </w:p>
    <w:p w14:paraId="5CD73521" w14:textId="77777777" w:rsidR="00B35D37" w:rsidRDefault="00B35D37" w:rsidP="00B35D37">
      <w:pPr>
        <w:pStyle w:val="TextoNormal"/>
      </w:pPr>
    </w:p>
    <w:p w14:paraId="43B65C8D" w14:textId="77777777" w:rsidR="00B35D37" w:rsidRDefault="00B35D37" w:rsidP="00B35D37">
      <w:pPr>
        <w:pStyle w:val="TextoNormal"/>
      </w:pPr>
      <w:r w:rsidRPr="00B35D37">
        <w:rPr>
          <w:rStyle w:val="NumeroAFNegritaCaracter"/>
        </w:rPr>
        <w:t>2</w:t>
      </w:r>
      <w:r>
        <w:t xml:space="preserve">. El art. 37.1 LOTC permite a este tribunal rechazar </w:t>
      </w:r>
      <w:r w:rsidRPr="00B35D37">
        <w:rPr>
          <w:i/>
        </w:rPr>
        <w:t>a limine</w:t>
      </w:r>
      <w:r>
        <w:t xml:space="preserve"> las cuestiones de inconstitucionalidad, mediante auto y sin otra audiencia que la del fiscal general del Estado, cuando faltaren las condiciones procesales.</w:t>
      </w:r>
    </w:p>
    <w:p w14:paraId="734A90E5" w14:textId="77777777" w:rsidR="00B35D37" w:rsidRDefault="00B35D37" w:rsidP="00B35D37">
      <w:pPr>
        <w:pStyle w:val="TextoNormal"/>
      </w:pPr>
    </w:p>
    <w:p w14:paraId="7E7846A0" w14:textId="77777777" w:rsidR="00B35D37" w:rsidRDefault="00B35D37" w:rsidP="00B35D37">
      <w:pPr>
        <w:pStyle w:val="TextoNormal"/>
      </w:pPr>
      <w:r>
        <w:t>El art. 35.1 LOTC dispone que la norma, cuya constitucionalidad se cuestiona, ha de ser “aplicable al caso” (juicio de aplicabilidad) y, añade en su apartado segundo que el órgano judicial deberá “especificar o justificar en qué medida la decisión del proceso depende de la validez de la norma en cuestión” (juicio de relevancia). Atendida la naturaleza incidental de este proceso constitucional esta doble condición —aplicabilidad y relevancia de la norma— se considera necesaria y sucesiva a fin de evitar que la cuestión de inconstitucionalidad se convierta en un instrumento para formular un juicio abstracto de constitucionalidad desligado de la necesidad de resolver el caso planteado ante la jurisdicción ordinaria, pues ello daría lugar a una ampliación de la legitimación para interponer el recurso directo de inconstitucionalidad contraviniendo lo dispuesto en los arts. 162.1 a) CE y 32.1 LOTC y en el propio art. 35 LOTC.</w:t>
      </w:r>
    </w:p>
    <w:p w14:paraId="4770884C" w14:textId="77777777" w:rsidR="00B35D37" w:rsidRDefault="00B35D37" w:rsidP="00B35D37">
      <w:pPr>
        <w:pStyle w:val="TextoNormal"/>
      </w:pPr>
    </w:p>
    <w:p w14:paraId="2CE141DF" w14:textId="77777777" w:rsidR="00B35D37" w:rsidRDefault="00B35D37" w:rsidP="00B35D37">
      <w:pPr>
        <w:pStyle w:val="TextoNormal"/>
      </w:pPr>
      <w:r>
        <w:t xml:space="preserve">Es el órgano promotor de la cuestión quien debe “determinar cuáles son efectivamente las normas aplicables al caso que ha de decidir” (STC 17/1981, de 1 de junio, FJ 1), y a quien le corresponde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para que la decisión del proceso judicial </w:t>
      </w:r>
      <w:r w:rsidRPr="00B35D37">
        <w:rPr>
          <w:i/>
        </w:rPr>
        <w:t>a quo</w:t>
      </w:r>
      <w:r>
        <w:t xml:space="preserve"> se vea vinculada por la resolución de la constitucionalidad de la norma.</w:t>
      </w:r>
    </w:p>
    <w:p w14:paraId="612402EB" w14:textId="77777777" w:rsidR="00B35D37" w:rsidRDefault="00B35D37" w:rsidP="00B35D37">
      <w:pPr>
        <w:pStyle w:val="TextoNormal"/>
      </w:pPr>
    </w:p>
    <w:p w14:paraId="66EA722B" w14:textId="7C7A1B8F" w:rsidR="00B35D37" w:rsidRDefault="00B35D37" w:rsidP="00B35D37">
      <w:pPr>
        <w:pStyle w:val="TextoNormal"/>
      </w:pPr>
      <w:r>
        <w:t>Es cierto, como afirma el fiscal en sus alegaciones, que 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Ahora bien,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 (ATC 535/2023, de 6 de noviembre, FJ 3). De este modo,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 (ATC 535/2023, FJ 3).</w:t>
      </w:r>
    </w:p>
    <w:p w14:paraId="1915DA29" w14:textId="77777777" w:rsidR="00B35D37" w:rsidRDefault="00B35D37" w:rsidP="00B35D37">
      <w:pPr>
        <w:pStyle w:val="TextoNormal"/>
      </w:pPr>
    </w:p>
    <w:p w14:paraId="23137AAA" w14:textId="77777777" w:rsidR="00B35D37" w:rsidRDefault="00B35D37" w:rsidP="00B35D37">
      <w:pPr>
        <w:pStyle w:val="TextoNormal"/>
      </w:pPr>
      <w:r w:rsidRPr="00B35D37">
        <w:rPr>
          <w:rStyle w:val="NumeroAFNegritaCaracter"/>
        </w:rPr>
        <w:t>3</w:t>
      </w:r>
      <w:r>
        <w:t>. Conforme a la anterior doctrina, no puede considerarse adecuadamente formulado el juicio de aplicabilidad y de relevancia por las razones que se exponen a continuación.</w:t>
      </w:r>
    </w:p>
    <w:p w14:paraId="177A0A61" w14:textId="77777777" w:rsidR="00B35D37" w:rsidRDefault="00B35D37" w:rsidP="00B35D37">
      <w:pPr>
        <w:pStyle w:val="TextoNormal"/>
      </w:pPr>
    </w:p>
    <w:p w14:paraId="64EA53B3" w14:textId="77777777" w:rsidR="00B35D37" w:rsidRDefault="00B35D37" w:rsidP="00B35D37">
      <w:pPr>
        <w:pStyle w:val="TextoNormal"/>
      </w:pPr>
      <w:r>
        <w:t>A) No podemos considerar cumplido el juicio de aplicabilidad. El auto de planteamiento de la cuestión de inconstitucionalidad nada dice para justificar la aplicabilidad del art. 1.1 del Real Decreto-ley 11/2020. La da por supuesta. Ello obliga a retomar la literalidad de su redactado —en la versión vigente que resulta de la modificación efectuada por el art. 87 del Real Decreto-ley 8/2023, de 27 de diciembre, por el que se adoptan medidas para afrontar las consecuencias económicas y sociales derivadas de los conflictos en Ucrania y Oriente Próximo, así como para paliar los efectos de la sequía— y a distinguir dentro del mismo los distintos juicios verbales y fases procesales a las que se refieren el primer y el segundo párrafo del art. 1.1 del real decreto-ley cuestionado y de este modo evidenciar que en el presente caso la norma legal cuestionada no es, en modo alguno, aplicable al caso, por lo que conforme a lo dispuesto en la STC 133/2004, de 22 de julio, FJ 1, procede declarar inadmisible la cuestión de inconstitucionalidad.</w:t>
      </w:r>
    </w:p>
    <w:p w14:paraId="09C29F60" w14:textId="77777777" w:rsidR="00B35D37" w:rsidRDefault="00B35D37" w:rsidP="00B35D37">
      <w:pPr>
        <w:pStyle w:val="TextoNormal"/>
      </w:pPr>
    </w:p>
    <w:p w14:paraId="292C62BA" w14:textId="77777777" w:rsidR="00B35D37" w:rsidRDefault="00B35D37" w:rsidP="00B35D37">
      <w:pPr>
        <w:pStyle w:val="TextoNormal"/>
      </w:pPr>
      <w:r>
        <w:t>a) El primer párrafo de la norma se refiere a juicios verbales, como el que ha dado lugar a la cuestión de inconstitucionalidad —desahucio de vivienda por expiración del plazo contractual— a través de los cuales se pretenda recuperar la posesión de la finca y contempla la suspensión del desahucio o lanzamiento, no del procedimiento declarativo. Esto es, para que sea aplicable el párrafo primero del art. 1.1 del Real Decreto-ley 11/2020 es preciso que haya recaído sentencia que ponga fin al juicio verbal que verse sobre reclamaciones de renta o cantidades debidas por el arrendatario, o sobre expiración del plazo de duración de contratos suscritos conforme a la Ley 29/1994, de 24 de noviembre, de arrendamientos urbanos, por los que se pretenda recuperar la posesión de la finca.</w:t>
      </w:r>
    </w:p>
    <w:p w14:paraId="3A6B5680" w14:textId="77777777" w:rsidR="00B35D37" w:rsidRDefault="00B35D37" w:rsidP="00B35D37">
      <w:pPr>
        <w:pStyle w:val="TextoNormal"/>
      </w:pPr>
    </w:p>
    <w:p w14:paraId="64B0B69F" w14:textId="77777777" w:rsidR="00B35D37" w:rsidRDefault="00B35D37" w:rsidP="00B35D37">
      <w:pPr>
        <w:pStyle w:val="TextoNormal"/>
      </w:pPr>
      <w:r>
        <w:t>Dicha exigencia tiene todo su sentido pues no sería lógico activar el sistema asistencial-social y la búsqueda de solución habitacional de los arrendatarios y suspender un lanzamiento que no será posible si la pretensión de desahucio ejercitada por el actor se desestima.</w:t>
      </w:r>
    </w:p>
    <w:p w14:paraId="3BD97B3C" w14:textId="77777777" w:rsidR="00B35D37" w:rsidRDefault="00B35D37" w:rsidP="00B35D37">
      <w:pPr>
        <w:pStyle w:val="TextoNormal"/>
      </w:pPr>
    </w:p>
    <w:p w14:paraId="7D6F2CA2" w14:textId="77777777" w:rsidR="00B35D37" w:rsidRDefault="00B35D37" w:rsidP="00B35D37">
      <w:pPr>
        <w:pStyle w:val="TextoNormal"/>
      </w:pPr>
      <w:r>
        <w:t>Por tanto, puede afirmarse que el párrafo primero del art. 1.1 del Real Decreto-ley 11/2020 no es aplicable para resolver el incidente planteado al no haber finalizado el procedimiento declarativo y no haberse decretado el desahucio o el lanzamiento de los arrendatarios.</w:t>
      </w:r>
    </w:p>
    <w:p w14:paraId="64F775AD" w14:textId="77777777" w:rsidR="00B35D37" w:rsidRDefault="00B35D37" w:rsidP="00B35D37">
      <w:pPr>
        <w:pStyle w:val="TextoNormal"/>
      </w:pPr>
    </w:p>
    <w:p w14:paraId="4459B9B1" w14:textId="77777777" w:rsidR="00B35D37" w:rsidRDefault="00B35D37" w:rsidP="00B35D37">
      <w:pPr>
        <w:pStyle w:val="TextoNormal"/>
      </w:pPr>
      <w:r>
        <w:t>b) Tampoco es aplicable el segundo párrafo. Este se refiere al supuesto que preveía el art. 440.3 LEC —actualmente suprimido— en el que para los casos de demandas en que se ejercía “la pretensión de desahucio por falta de pago de rentas o cantidades debidas”, se daba diez días al demandado para desalojar, pagar, o enervar la acción, o para oponerse —en el caso de no deber todo o parte o por considerar procedente la enervación que se le negaba por el actor—. Solo en el caso de oposición se celebraba la vista.</w:t>
      </w:r>
    </w:p>
    <w:p w14:paraId="3D5A1243" w14:textId="77777777" w:rsidR="00B35D37" w:rsidRDefault="00B35D37" w:rsidP="00B35D37">
      <w:pPr>
        <w:pStyle w:val="TextoNormal"/>
      </w:pPr>
    </w:p>
    <w:p w14:paraId="1E11E3AA" w14:textId="77777777" w:rsidR="00B35D37" w:rsidRDefault="00B35D37" w:rsidP="00B35D37">
      <w:pPr>
        <w:pStyle w:val="TextoNormal"/>
      </w:pPr>
      <w:r>
        <w:t>Es claro, aunque en algún momento el auto de planteamiento deje entrever lo contrario, que la entidad demandante no ejercita una acción de desahucio por falta de pago de las rentas y por tanto no le es de aplicación lo dispuesto en el art. 440.3 LEC al que remite el párrafo segundo del art. 1.1 del Real Decreto-ley 11/2020. Como se ha indicado, el actor civil ejercita la acción de desahucio de vivienda por expiración del plazo contractual —lo dice expresamente en varios pasajes de la demanda civil— a la que acumula la acción de reclamación de las rentas.</w:t>
      </w:r>
    </w:p>
    <w:p w14:paraId="535ADFE7" w14:textId="77777777" w:rsidR="00B35D37" w:rsidRDefault="00B35D37" w:rsidP="00B35D37">
      <w:pPr>
        <w:pStyle w:val="TextoNormal"/>
      </w:pPr>
    </w:p>
    <w:p w14:paraId="6E3CE227" w14:textId="77777777" w:rsidR="00B35D37" w:rsidRDefault="00B35D37" w:rsidP="00B35D37">
      <w:pPr>
        <w:pStyle w:val="TextoNormal"/>
      </w:pPr>
      <w:r>
        <w:t>Precisamente, al no ejercitar una acción de desahucio por falta de pago de las rentas la demanda fue admitida a trámite sin que en la misma se indicara si concurrían las circunstancias de enervación del desahucio (art. 439.3 LEC), pues no era necesario, ni posible, atendida la acción ejercitada.</w:t>
      </w:r>
    </w:p>
    <w:p w14:paraId="5B4EFC65" w14:textId="77777777" w:rsidR="00B35D37" w:rsidRDefault="00B35D37" w:rsidP="00B35D37">
      <w:pPr>
        <w:pStyle w:val="TextoNormal"/>
      </w:pPr>
    </w:p>
    <w:p w14:paraId="244192DC" w14:textId="77777777" w:rsidR="00B35D37" w:rsidRDefault="00B35D37" w:rsidP="00B35D37">
      <w:pPr>
        <w:pStyle w:val="TextoNormal"/>
      </w:pPr>
      <w:r>
        <w:t>En definitiva, resulta evidente que ninguno de los párrafos de la norma legal cuestionada es aplicable al caso.</w:t>
      </w:r>
    </w:p>
    <w:p w14:paraId="13B0A3B5" w14:textId="77777777" w:rsidR="00B35D37" w:rsidRDefault="00B35D37" w:rsidP="00B35D37">
      <w:pPr>
        <w:pStyle w:val="TextoNormal"/>
      </w:pPr>
    </w:p>
    <w:p w14:paraId="0441E95F" w14:textId="77777777" w:rsidR="00B35D37" w:rsidRDefault="00B35D37" w:rsidP="00B35D37">
      <w:pPr>
        <w:pStyle w:val="TextoNormal"/>
      </w:pPr>
      <w:r>
        <w:t>B) Tampoco cumple el juicio de relevancia. Expuesto lo anterior, debe indicarse, compartiendo el criterio sostenido por el fiscal, que aunque fuera de aplicación la norma cuestionada, en alguno de sus dos párrafos —ya se ha indicado que no lo es— tampoco se habría superado el juicio de relevancia, pues solo sería posible acordar “la suspensión del lanzamiento si se considera acreditada la situación de vulnerabilidad económica” a la vista de la documentación presentada y del informe de servicios sociales (art. 1.4 del Real Decreto-ley 11/2020).</w:t>
      </w:r>
    </w:p>
    <w:p w14:paraId="4B6E3D41" w14:textId="77777777" w:rsidR="00B35D37" w:rsidRDefault="00B35D37" w:rsidP="00B35D37">
      <w:pPr>
        <w:pStyle w:val="TextoNormal"/>
      </w:pPr>
    </w:p>
    <w:p w14:paraId="7B70E0E3" w14:textId="77777777" w:rsidR="00B35D37" w:rsidRDefault="00B35D37" w:rsidP="00B35D37">
      <w:pPr>
        <w:pStyle w:val="TextoNormal"/>
      </w:pPr>
      <w:r>
        <w:t>En efecto, el juez a la vista de la documentación presentada y del informe de servicios sociales, dictará un auto en el que acordará la suspensión del lanzamiento solo si considera acreditada la situación de vulnerabilidad económica, pero si no la considera acreditada denegará la suspensión y acordará la continuación del procedimiento.</w:t>
      </w:r>
    </w:p>
    <w:p w14:paraId="56AA87AD" w14:textId="77777777" w:rsidR="00B35D37" w:rsidRDefault="00B35D37" w:rsidP="00B35D37">
      <w:pPr>
        <w:pStyle w:val="TextoNormal"/>
      </w:pPr>
    </w:p>
    <w:p w14:paraId="41F7D457" w14:textId="77777777" w:rsidR="00B35D37" w:rsidRDefault="00B35D37" w:rsidP="00B35D37">
      <w:pPr>
        <w:pStyle w:val="TextoNormal"/>
      </w:pPr>
      <w:r>
        <w:t>Esto es, la norma sería relevante en el caso de que el órgano judicial considerase que a la vista de la documentación y de los informes presentados efectivamente está acreditada la situación de vulnerabilidad. Sin embargo, sobre este extremo nada dice el promovente de la cuestión.</w:t>
      </w:r>
    </w:p>
    <w:p w14:paraId="3AB28DB1" w14:textId="77777777" w:rsidR="00B35D37" w:rsidRDefault="00B35D37" w:rsidP="00B35D37">
      <w:pPr>
        <w:pStyle w:val="TextoNormal"/>
      </w:pPr>
    </w:p>
    <w:p w14:paraId="0DB5BB78" w14:textId="77777777" w:rsidR="00B35D37" w:rsidRDefault="00B35D37" w:rsidP="00B35D37">
      <w:pPr>
        <w:pStyle w:val="TextoNormal"/>
      </w:pPr>
      <w:r>
        <w:t>Tampoco se pronuncia el órgano judicial sobre la incidencia que puede tener, en la suspensión de la vista y en la permanencia de la arrendataria en la vivienda arrendada, la existencia de defectos estructurales que la hacen inhabitable según refiere el demandante en sus alegaciones.</w:t>
      </w:r>
    </w:p>
    <w:p w14:paraId="756F9B69" w14:textId="77777777" w:rsidR="00B35D37" w:rsidRDefault="00B35D37" w:rsidP="00B35D37">
      <w:pPr>
        <w:pStyle w:val="TextoNormal"/>
      </w:pPr>
    </w:p>
    <w:p w14:paraId="4F460334" w14:textId="77777777" w:rsidR="00B35D37" w:rsidRDefault="00B35D37" w:rsidP="00B35D37">
      <w:pPr>
        <w:pStyle w:val="TextoNormal"/>
      </w:pPr>
      <w:r>
        <w:t>De tal modo, que cabría la posibilidad de que aun desestimándose la cuestión y declarándose la constitucionalidad del precepto, dicho pronunciamiento no fuera relevante y no se acordara la suspensión interesada bien por considerar el órgano judicial que no se había acreditado la situación de vulnerabilidad económica, pues el informe de los servicios sociales carece del carácter vinculante (art. 1.4 del Real Decreto-ley 11/2020), bien porque atendidos los defectos estructurales no era viable la permanencia de la arrendataria y su hijo en el inmueble arrendado y por ello no careciera de justificación —sino todo lo contrario— suspender el desalojo o lanzamiento.</w:t>
      </w:r>
    </w:p>
    <w:p w14:paraId="2B699B0A" w14:textId="77777777" w:rsidR="00B35D37" w:rsidRDefault="00B35D37" w:rsidP="00B35D37">
      <w:pPr>
        <w:pStyle w:val="TextoNormal"/>
      </w:pPr>
    </w:p>
    <w:p w14:paraId="4815E310" w14:textId="77777777" w:rsidR="00B35D37" w:rsidRDefault="00B35D37" w:rsidP="00B35D37">
      <w:pPr>
        <w:pStyle w:val="TextoNormal"/>
      </w:pPr>
      <w:r>
        <w:t>De modo que el planteamiento de la cuestión en estos términos desborda la función de control concreto o incidental de la constitucionalidad de las leyes por no llegar a depender la decisión de suspensión de la validez de la norma.</w:t>
      </w:r>
    </w:p>
    <w:p w14:paraId="54B2B51A" w14:textId="77777777" w:rsidR="00B35D37" w:rsidRDefault="00B35D37" w:rsidP="00B35D37">
      <w:pPr>
        <w:pStyle w:val="TextoNormal"/>
      </w:pPr>
    </w:p>
    <w:p w14:paraId="3831A3C5" w14:textId="69A8C8F8" w:rsidR="00B35D37" w:rsidRDefault="00B35D37" w:rsidP="00B35D37">
      <w:pPr>
        <w:pStyle w:val="TextoNormal"/>
      </w:pPr>
      <w:r>
        <w:t>En suma, el órgano judicial no ha realizado la labor que le es propia y reservada consistente en exteriorizar los juicios de aplicabilidad y de relevancia a fin de que el Tribunal pueda verificar que se haga un uso de la cuestión de inconstitucionalidad acomodado a la naturaleza y finalidad que le son propias (ATC 9/2019, de 12 de febrero, FJ 2, con cita de otros).</w:t>
      </w:r>
    </w:p>
    <w:p w14:paraId="37F6DC91" w14:textId="77777777" w:rsidR="00B35D37" w:rsidRDefault="00B35D37" w:rsidP="00B35D37">
      <w:pPr>
        <w:pStyle w:val="TextoNormal"/>
      </w:pPr>
    </w:p>
    <w:p w14:paraId="39E3F266" w14:textId="77777777" w:rsidR="00B35D37" w:rsidRDefault="00B35D37" w:rsidP="00B35D37">
      <w:pPr>
        <w:pStyle w:val="TextoNormal"/>
      </w:pPr>
      <w:r>
        <w:t>Por lo expuesto, el Pleno</w:t>
      </w:r>
    </w:p>
    <w:p w14:paraId="6C5D4B57" w14:textId="52203D7E" w:rsidR="00B35D37" w:rsidRDefault="00B35D37" w:rsidP="00B35D37">
      <w:pPr>
        <w:pStyle w:val="TextoNormal"/>
      </w:pPr>
    </w:p>
    <w:p w14:paraId="46E1C217" w14:textId="77777777" w:rsidR="00B35D37" w:rsidRDefault="00B35D37" w:rsidP="00B35D37">
      <w:pPr>
        <w:pStyle w:val="TextoNormalCentrado"/>
      </w:pPr>
      <w:r>
        <w:t>ACUERDA</w:t>
      </w:r>
    </w:p>
    <w:p w14:paraId="721AC9B6" w14:textId="08B946E7" w:rsidR="00B35D37" w:rsidRDefault="00B35D37" w:rsidP="00B35D37">
      <w:pPr>
        <w:pStyle w:val="TextoNormalCentrado"/>
      </w:pPr>
    </w:p>
    <w:p w14:paraId="58617C70" w14:textId="2EEFBA24" w:rsidR="00B35D37" w:rsidRDefault="00B35D37" w:rsidP="00B35D37">
      <w:pPr>
        <w:pStyle w:val="TextoNormal"/>
      </w:pPr>
      <w:r>
        <w:t>Inadmitir a trámite la presente cuestión de inconstitucionalidad.</w:t>
      </w:r>
    </w:p>
    <w:p w14:paraId="42395CEC" w14:textId="77777777" w:rsidR="00B35D37" w:rsidRDefault="00B35D37" w:rsidP="00B35D37">
      <w:pPr>
        <w:pStyle w:val="TextoNormal"/>
      </w:pPr>
    </w:p>
    <w:p w14:paraId="44BC1B5F" w14:textId="77777777" w:rsidR="00B35D37" w:rsidRDefault="00B35D37" w:rsidP="00B35D37">
      <w:pPr>
        <w:pStyle w:val="TextoNormal"/>
      </w:pPr>
      <w:r>
        <w:t>Madrid, a once de febrero de dos mil veinticinco.</w:t>
      </w:r>
    </w:p>
    <w:p w14:paraId="743791FD" w14:textId="12E8826F" w:rsidR="00B35D37" w:rsidRDefault="00B35D37">
      <w:pPr>
        <w:spacing w:after="160" w:line="278" w:lineRule="auto"/>
        <w:rPr>
          <w:rFonts w:ascii="Times New Roman" w:eastAsia="Times New Roman" w:hAnsi="Times New Roman" w:cs="Times New Roman"/>
          <w:sz w:val="24"/>
          <w:szCs w:val="24"/>
          <w:lang w:eastAsia="es-ES"/>
        </w:rPr>
      </w:pPr>
      <w:r>
        <w:br w:type="page"/>
      </w:r>
    </w:p>
    <w:p w14:paraId="33ADC93F" w14:textId="77777777" w:rsidR="00B35D37" w:rsidRDefault="00B35D37" w:rsidP="00B35D37">
      <w:pPr>
        <w:pStyle w:val="TtuloResolucin"/>
      </w:pPr>
      <w:bookmarkStart w:id="153" w:name="AUTO_2025_14"/>
      <w:r>
        <w:t>AUTO 14/2025, de 12 de febrero de 2025</w:t>
      </w:r>
    </w:p>
    <w:bookmarkEnd w:id="153"/>
    <w:p w14:paraId="7C9685E6" w14:textId="77777777" w:rsidR="00B35D37" w:rsidRDefault="00B35D37" w:rsidP="00B35D37">
      <w:pPr>
        <w:pStyle w:val="TtuloResolucin"/>
      </w:pPr>
      <w:r>
        <w:t>Pleno</w:t>
      </w:r>
    </w:p>
    <w:p w14:paraId="2AA14E5C" w14:textId="77777777" w:rsidR="00B35D37" w:rsidRDefault="00B35D37" w:rsidP="00B35D37">
      <w:pPr>
        <w:pStyle w:val="TextoNormalCentrado"/>
      </w:pPr>
      <w:r>
        <w:t>ECLI:ES:TC:2025:14A</w:t>
      </w:r>
    </w:p>
    <w:p w14:paraId="31F648E1" w14:textId="5056BD19" w:rsidR="00B35D37" w:rsidRDefault="00B35D37" w:rsidP="00B35D37">
      <w:pPr>
        <w:pStyle w:val="TextoNormalCentrado"/>
      </w:pPr>
    </w:p>
    <w:p w14:paraId="0AAC8B14"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w:t>
      </w:r>
    </w:p>
    <w:p w14:paraId="6F4CBB9F" w14:textId="7A32D1EE" w:rsidR="00B35D37" w:rsidRDefault="00B35D37" w:rsidP="00B35D37">
      <w:pPr>
        <w:pStyle w:val="SntesisDescriptiva"/>
      </w:pPr>
    </w:p>
    <w:p w14:paraId="380220CE" w14:textId="77777777" w:rsidR="00B35D37" w:rsidRDefault="00B35D37" w:rsidP="00B35D37">
      <w:pPr>
        <w:pStyle w:val="SntesisDescriptiva"/>
      </w:pPr>
      <w:r>
        <w:t>Acepta una abstención en el recurso de amparo 7432-2023, promovido por don Eduardo Esteban Rincón en proceso contencioso administrativo.</w:t>
      </w:r>
    </w:p>
    <w:p w14:paraId="2C4080B3" w14:textId="4196247A" w:rsidR="00B35D37" w:rsidRDefault="00B35D37" w:rsidP="00B35D37">
      <w:pPr>
        <w:pStyle w:val="SntesisDescriptiva"/>
      </w:pPr>
    </w:p>
    <w:p w14:paraId="62C07539" w14:textId="77777777" w:rsidR="00B35D37" w:rsidRDefault="00B35D37" w:rsidP="00B35D37">
      <w:pPr>
        <w:pStyle w:val="SntesisDescriptiva"/>
      </w:pPr>
    </w:p>
    <w:p w14:paraId="0E7D4103" w14:textId="77777777" w:rsidR="00B35D37" w:rsidRDefault="00B35D37" w:rsidP="00B35D37">
      <w:pPr>
        <w:pStyle w:val="SntesisDescriptiva"/>
      </w:pPr>
    </w:p>
    <w:p w14:paraId="422255E7" w14:textId="77777777" w:rsidR="00B35D37" w:rsidRDefault="00B35D37" w:rsidP="00B35D37">
      <w:pPr>
        <w:pStyle w:val="TextoNormalNegritaCentrado"/>
      </w:pPr>
      <w:r>
        <w:t>AUTO</w:t>
      </w:r>
    </w:p>
    <w:p w14:paraId="30F697D4" w14:textId="7F2B7B33" w:rsidR="00B35D37" w:rsidRDefault="00B35D37" w:rsidP="00B35D37">
      <w:pPr>
        <w:pStyle w:val="TextoNormalNegritaCentrado"/>
      </w:pPr>
    </w:p>
    <w:p w14:paraId="7AB5E9FC" w14:textId="77777777" w:rsidR="00B35D37" w:rsidRDefault="00B35D37" w:rsidP="00B35D37">
      <w:pPr>
        <w:pStyle w:val="TextoNormalNegritaCentrado"/>
        <w:keepNext/>
      </w:pPr>
      <w:r>
        <w:t>I. Antecedentes</w:t>
      </w:r>
    </w:p>
    <w:p w14:paraId="0B234D12" w14:textId="64506169" w:rsidR="00B35D37" w:rsidRDefault="00B35D37" w:rsidP="00B35D37">
      <w:pPr>
        <w:pStyle w:val="TextoNormalNegritaCentrado"/>
        <w:keepNext/>
      </w:pPr>
    </w:p>
    <w:p w14:paraId="5551A29B" w14:textId="1B6F4C45" w:rsidR="00B35D37" w:rsidRDefault="00B35D37" w:rsidP="00B35D37">
      <w:pPr>
        <w:pStyle w:val="TextoNormal"/>
      </w:pPr>
      <w:r w:rsidRPr="00B35D37">
        <w:rPr>
          <w:rStyle w:val="NumeroAFNegritaCaracter"/>
        </w:rPr>
        <w:t>1</w:t>
      </w:r>
      <w:r>
        <w:t>. Mediante escrito presentado en el registro general de este tribunal el 24 de noviembre de 2023, la representación procesal de don Eduardo Esteban Rincón interpuso recurso de amparo contra: (i) la sentencia de la Sección Cuarta de la Sala de lo Contencioso-Administrativo del Tribunal Supremo núm. 1051/2023, de 20 de julio, recaída en el procedimiento ordinario núm. 745-2022; y (ii) el auto del mismo órgano judicial de 11 de octubre de 2023, que declara no haber lugar al incidente de nulidad de actuaciones interpuesto frente a la citada sentencia.</w:t>
      </w:r>
    </w:p>
    <w:p w14:paraId="4A4993D6" w14:textId="77777777" w:rsidR="00B35D37" w:rsidRDefault="00B35D37" w:rsidP="00B35D37">
      <w:pPr>
        <w:pStyle w:val="TextoNormal"/>
      </w:pPr>
    </w:p>
    <w:p w14:paraId="78656701" w14:textId="652D856D" w:rsidR="00B35D37" w:rsidRDefault="00B35D37" w:rsidP="00B35D37">
      <w:pPr>
        <w:pStyle w:val="TextoNormal"/>
      </w:pPr>
      <w:r w:rsidRPr="00B35D37">
        <w:rPr>
          <w:rStyle w:val="NumeroAFNegritaCaracter"/>
        </w:rPr>
        <w:t>2</w:t>
      </w:r>
      <w:r>
        <w:t>. Por ATC 4/2025, de 14 de enero, el Pleno del Tribunal Constitucional acordó admitir a trámite el recurso de amparo.</w:t>
      </w:r>
    </w:p>
    <w:p w14:paraId="12B6C24F" w14:textId="77777777" w:rsidR="00B35D37" w:rsidRDefault="00B35D37" w:rsidP="00B35D37">
      <w:pPr>
        <w:pStyle w:val="TextoNormal"/>
      </w:pPr>
    </w:p>
    <w:p w14:paraId="33450FDC" w14:textId="77777777" w:rsidR="00B35D37" w:rsidRDefault="00B35D37" w:rsidP="00B35D37">
      <w:pPr>
        <w:pStyle w:val="TextoNormal"/>
      </w:pPr>
      <w:r w:rsidRPr="00B35D37">
        <w:rPr>
          <w:rStyle w:val="NumeroAFNegritaCaracter"/>
        </w:rPr>
        <w:t>3</w:t>
      </w:r>
      <w:r>
        <w:t>. El 12 de febrero de 2025, el magistrado don Cándido Conde-Pumpido Tourón presentó escrito en el que pone en conocimiento del Pleno de este tribunal su voluntad de abstenerse de intervenir en el conocimiento del recurso de amparo núm. 7432-2023 a fin de garantizar el derecho a un proceso con todas las garantías de quienes son parte o se ven afectados por el contenido de la resolución cuestionada en el proceso de amparo.</w:t>
      </w:r>
    </w:p>
    <w:p w14:paraId="339FBB5A" w14:textId="77777777" w:rsidR="00B35D37" w:rsidRDefault="00B35D37" w:rsidP="00B35D37">
      <w:pPr>
        <w:pStyle w:val="TextoNormal"/>
      </w:pPr>
    </w:p>
    <w:p w14:paraId="743D8380" w14:textId="1D82D99A" w:rsidR="00B35D37" w:rsidRDefault="00B35D37" w:rsidP="00B35D37">
      <w:pPr>
        <w:pStyle w:val="TextoNormal"/>
      </w:pPr>
      <w:r>
        <w:t>Señala el magistrado señor Conde-Pumpido que no se siente personalmente concernido por los intereses que se ventilan en el recurso de amparo 7432-2023 sometido a la consideración del Tribunal Constitucional, ni mantiene ninguna toma de partido anímica previa sobre el contenido del proceso constitucional; sin perjuicio de lo cual, habiendo sido aceptada su abstención en el asunto 7433-2023, por concurrencia de la causa recogida en el apartado duodécimo del art. 219 de la Ley Orgánica del Poder Judicial (LOPJ), y concurriendo la misma causa en el recurso de amparo 7432-2023, ha decidido abstenerse igualmente del conocimiento de este último.</w:t>
      </w:r>
    </w:p>
    <w:p w14:paraId="74C29F74" w14:textId="77777777" w:rsidR="00B35D37" w:rsidRDefault="00B35D37" w:rsidP="00B35D37">
      <w:pPr>
        <w:pStyle w:val="TextoNormal"/>
      </w:pPr>
    </w:p>
    <w:p w14:paraId="023FAD27" w14:textId="77777777" w:rsidR="00B35D37" w:rsidRDefault="00B35D37" w:rsidP="00B35D37">
      <w:pPr>
        <w:pStyle w:val="TextoNormalNegritaCentrado"/>
        <w:keepNext/>
      </w:pPr>
      <w:r>
        <w:t>II. Fundamentos jurídicos</w:t>
      </w:r>
    </w:p>
    <w:p w14:paraId="73D33EDF" w14:textId="0A1FD51F" w:rsidR="00B35D37" w:rsidRDefault="00B35D37" w:rsidP="00B35D37">
      <w:pPr>
        <w:pStyle w:val="TextoNormalNegritaCentrado"/>
        <w:keepNext/>
      </w:pPr>
    </w:p>
    <w:p w14:paraId="121B1F4F" w14:textId="358CC948" w:rsidR="00B35D37" w:rsidRDefault="00B35D37" w:rsidP="00B35D37">
      <w:pPr>
        <w:pStyle w:val="TextoNormal"/>
      </w:pPr>
      <w:r w:rsidRPr="00B35D37">
        <w:rPr>
          <w:rStyle w:val="NumeroAFNegritaCaracter"/>
        </w:rPr>
        <w:t>1</w:t>
      </w:r>
      <w:r>
        <w:t>. El Pleno ha examinado el escrito presentado por el magistrado don Cándido Conde-Pumpido Tourón el 12 de febrero de 2025, en el que comunica su voluntad de abstenerse.</w:t>
      </w:r>
    </w:p>
    <w:p w14:paraId="64215BE4" w14:textId="77777777" w:rsidR="00B35D37" w:rsidRDefault="00B35D37" w:rsidP="00B35D37">
      <w:pPr>
        <w:pStyle w:val="TextoNormal"/>
      </w:pPr>
    </w:p>
    <w:p w14:paraId="1A4C0C1F" w14:textId="44BDE9D0" w:rsidR="00B35D37" w:rsidRDefault="00B35D37" w:rsidP="00B35D37">
      <w:pPr>
        <w:pStyle w:val="TextoNormal"/>
      </w:pPr>
      <w:r w:rsidRPr="00B35D37">
        <w:rPr>
          <w:rStyle w:val="NumeroAFNegritaCaracter"/>
        </w:rPr>
        <w:t>2</w:t>
      </w:r>
      <w:r>
        <w:t>. Vista la comunicación efectuada por don Cándido Conde-Pumpido Tourón, el Pleno, en virtud de lo previsto en el artículo 219, apartado duodécimo, de la Ley Orgánica del Poder Judicial, supletoria de la Ley Orgánica del Tribunal Constitucional (art. 80), estima que resulta procedente aceptar la abstención formulada en los términos que se interesa.</w:t>
      </w:r>
    </w:p>
    <w:p w14:paraId="05E81AE4" w14:textId="77777777" w:rsidR="00B35D37" w:rsidRDefault="00B35D37" w:rsidP="00B35D37">
      <w:pPr>
        <w:pStyle w:val="TextoNormal"/>
      </w:pPr>
    </w:p>
    <w:p w14:paraId="33724393" w14:textId="77777777" w:rsidR="00B35D37" w:rsidRDefault="00B35D37" w:rsidP="00B35D37">
      <w:pPr>
        <w:pStyle w:val="TextoNormal"/>
      </w:pPr>
      <w:r>
        <w:t>Por lo expuesto, el Pleno</w:t>
      </w:r>
    </w:p>
    <w:p w14:paraId="5317624D" w14:textId="432311E5" w:rsidR="00B35D37" w:rsidRDefault="00B35D37" w:rsidP="00B35D37">
      <w:pPr>
        <w:pStyle w:val="TextoNormal"/>
      </w:pPr>
    </w:p>
    <w:p w14:paraId="748B36DB" w14:textId="77777777" w:rsidR="00B35D37" w:rsidRDefault="00B35D37" w:rsidP="00B35D37">
      <w:pPr>
        <w:pStyle w:val="TextoNormalCentrado"/>
      </w:pPr>
      <w:r>
        <w:t>ACUERDA</w:t>
      </w:r>
    </w:p>
    <w:p w14:paraId="5593B97E" w14:textId="1F3FFAF4" w:rsidR="00B35D37" w:rsidRDefault="00B35D37" w:rsidP="00B35D37">
      <w:pPr>
        <w:pStyle w:val="TextoNormalCentrado"/>
      </w:pPr>
    </w:p>
    <w:p w14:paraId="1D5D7D56" w14:textId="269DFD19" w:rsidR="00B35D37" w:rsidRDefault="00B35D37" w:rsidP="00B35D37">
      <w:pPr>
        <w:pStyle w:val="TextoNormal"/>
      </w:pPr>
      <w:r>
        <w:t>Aceptar la abstención formulada por el magistrado don Cándido Conde-Pumpido Tourón en el recurso de amparo núm. 7432-2023 apartándole definitivamente del conocimiento del referido recurso y de todas sus incidencias.</w:t>
      </w:r>
    </w:p>
    <w:p w14:paraId="1C54B22C" w14:textId="77777777" w:rsidR="00B35D37" w:rsidRDefault="00B35D37" w:rsidP="00B35D37">
      <w:pPr>
        <w:pStyle w:val="TextoNormal"/>
      </w:pPr>
    </w:p>
    <w:p w14:paraId="77C83BCE" w14:textId="77777777" w:rsidR="00B35D37" w:rsidRDefault="00B35D37" w:rsidP="00B35D37">
      <w:pPr>
        <w:pStyle w:val="TextoNormal"/>
      </w:pPr>
      <w:r>
        <w:t>Madrid, a doce de febrero de dos mil veinticinco.</w:t>
      </w:r>
    </w:p>
    <w:p w14:paraId="61706C4B" w14:textId="30F75CC1" w:rsidR="00B35D37" w:rsidRDefault="00B35D37">
      <w:pPr>
        <w:spacing w:after="160" w:line="278" w:lineRule="auto"/>
        <w:rPr>
          <w:rFonts w:ascii="Times New Roman" w:eastAsia="Times New Roman" w:hAnsi="Times New Roman" w:cs="Times New Roman"/>
          <w:sz w:val="24"/>
          <w:szCs w:val="24"/>
          <w:lang w:eastAsia="es-ES"/>
        </w:rPr>
      </w:pPr>
      <w:r>
        <w:br w:type="page"/>
      </w:r>
    </w:p>
    <w:p w14:paraId="30817530" w14:textId="77777777" w:rsidR="00B35D37" w:rsidRDefault="00B35D37" w:rsidP="00B35D37">
      <w:pPr>
        <w:pStyle w:val="TtuloResolucin"/>
      </w:pPr>
      <w:bookmarkStart w:id="154" w:name="AUTO_2025_15"/>
      <w:r>
        <w:t>AUTO 15/2025, de 12 de febrero de 2025</w:t>
      </w:r>
    </w:p>
    <w:bookmarkEnd w:id="154"/>
    <w:p w14:paraId="14C6CB2A" w14:textId="77777777" w:rsidR="00B35D37" w:rsidRDefault="00B35D37" w:rsidP="00B35D37">
      <w:pPr>
        <w:pStyle w:val="TtuloResolucin"/>
      </w:pPr>
      <w:r>
        <w:t>Pleno</w:t>
      </w:r>
    </w:p>
    <w:p w14:paraId="168B945E" w14:textId="77777777" w:rsidR="00B35D37" w:rsidRDefault="00B35D37" w:rsidP="00B35D37">
      <w:pPr>
        <w:pStyle w:val="TextoNormalCentrado"/>
      </w:pPr>
      <w:r>
        <w:t>ECLI:ES:TC:2025:15A</w:t>
      </w:r>
    </w:p>
    <w:p w14:paraId="4DB74FF3" w14:textId="0C82F206" w:rsidR="00B35D37" w:rsidRDefault="00B35D37" w:rsidP="00B35D37">
      <w:pPr>
        <w:pStyle w:val="TextoNormalCentrado"/>
      </w:pPr>
    </w:p>
    <w:p w14:paraId="5FAD53E8"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w:t>
      </w:r>
    </w:p>
    <w:p w14:paraId="794EFE23" w14:textId="37C6C62C" w:rsidR="00B35D37" w:rsidRDefault="00B35D37" w:rsidP="00B35D37">
      <w:pPr>
        <w:pStyle w:val="SntesisDescriptiva"/>
      </w:pPr>
    </w:p>
    <w:p w14:paraId="5C587B4A" w14:textId="77777777" w:rsidR="00B35D37" w:rsidRDefault="00B35D37" w:rsidP="00B35D37">
      <w:pPr>
        <w:pStyle w:val="SntesisDescriptiva"/>
      </w:pPr>
      <w:r>
        <w:t>Acepta una abstención y declara la pérdida de objeto de la recusación en el recurso de amparo 7433-2023, promovido por don Eduardo Esteban Rincón en proceso contencioso administrativo. Voto particular.</w:t>
      </w:r>
    </w:p>
    <w:p w14:paraId="0C67AB4B" w14:textId="0023113A" w:rsidR="00B35D37" w:rsidRDefault="00B35D37" w:rsidP="00B35D37">
      <w:pPr>
        <w:pStyle w:val="SntesisDescriptiva"/>
      </w:pPr>
    </w:p>
    <w:p w14:paraId="1E9664A8" w14:textId="77777777" w:rsidR="00B35D37" w:rsidRDefault="00B35D37" w:rsidP="00B35D37">
      <w:pPr>
        <w:pStyle w:val="SntesisDescriptiva"/>
      </w:pPr>
    </w:p>
    <w:p w14:paraId="42E80469" w14:textId="77777777" w:rsidR="00B35D37" w:rsidRDefault="00B35D37" w:rsidP="00B35D37">
      <w:pPr>
        <w:pStyle w:val="SntesisDescriptiva"/>
      </w:pPr>
    </w:p>
    <w:p w14:paraId="1CCB6FEB" w14:textId="77777777" w:rsidR="00B35D37" w:rsidRDefault="00B35D37" w:rsidP="00B35D37">
      <w:pPr>
        <w:pStyle w:val="TextoNormalNegritaCentrado"/>
      </w:pPr>
      <w:r>
        <w:t>AUTO</w:t>
      </w:r>
    </w:p>
    <w:p w14:paraId="5601F12C" w14:textId="238E1514" w:rsidR="00B35D37" w:rsidRDefault="00B35D37" w:rsidP="00B35D37">
      <w:pPr>
        <w:pStyle w:val="TextoNormalNegritaCentrado"/>
      </w:pPr>
    </w:p>
    <w:p w14:paraId="5FE8CFE0" w14:textId="77777777" w:rsidR="00B35D37" w:rsidRDefault="00B35D37" w:rsidP="00B35D37">
      <w:pPr>
        <w:pStyle w:val="TextoNormalNegritaCentrado"/>
        <w:keepNext/>
      </w:pPr>
      <w:r>
        <w:t>I. Antecedentes</w:t>
      </w:r>
    </w:p>
    <w:p w14:paraId="5401718E" w14:textId="566E48B9" w:rsidR="00B35D37" w:rsidRDefault="00B35D37" w:rsidP="00B35D37">
      <w:pPr>
        <w:pStyle w:val="TextoNormalNegritaCentrado"/>
        <w:keepNext/>
      </w:pPr>
    </w:p>
    <w:p w14:paraId="4AC0C393" w14:textId="416DE697" w:rsidR="00B35D37" w:rsidRDefault="00B35D37" w:rsidP="00B35D37">
      <w:pPr>
        <w:pStyle w:val="TextoNormal"/>
      </w:pPr>
      <w:r w:rsidRPr="00B35D37">
        <w:rPr>
          <w:rStyle w:val="NumeroAFNegritaCaracter"/>
        </w:rPr>
        <w:t>1</w:t>
      </w:r>
      <w:r>
        <w:t>. Mediante escrito presentado en el registro general de este tribunal el 24 de noviembre de 2023, la representación procesal de don Eduardo Esteban Rincón interpuso recurso de amparo contra: (i) la sentencia de la Sección Cuarta de la Sala de lo Contencioso-Administrativo del Tribunal Supremo núm. 1024/2023, de 18 de julio, recaída en el procedimiento ordinario núm. 707-2022; y (ii) el auto del mismo órgano judicial de 11 de octubre de 2023, que declara no haber lugar al incidente de nulidad de actuaciones interpuesto frente a la citada sentencia.</w:t>
      </w:r>
    </w:p>
    <w:p w14:paraId="545BA792" w14:textId="77777777" w:rsidR="00B35D37" w:rsidRDefault="00B35D37" w:rsidP="00B35D37">
      <w:pPr>
        <w:pStyle w:val="TextoNormal"/>
      </w:pPr>
    </w:p>
    <w:p w14:paraId="2115F2F8" w14:textId="6216D02F" w:rsidR="00B35D37" w:rsidRDefault="00B35D37" w:rsidP="00B35D37">
      <w:pPr>
        <w:pStyle w:val="TextoNormal"/>
      </w:pPr>
      <w:r w:rsidRPr="00B35D37">
        <w:rPr>
          <w:rStyle w:val="NumeroAFNegritaCaracter"/>
        </w:rPr>
        <w:t>2</w:t>
      </w:r>
      <w:r>
        <w:t>. Por ATC 5/2025, de 14 de enero, el Pleno del Tribunal Constitucional acordó admitir a trámite el recurso de amparo.</w:t>
      </w:r>
    </w:p>
    <w:p w14:paraId="749D99EE" w14:textId="77777777" w:rsidR="00B35D37" w:rsidRDefault="00B35D37" w:rsidP="00B35D37">
      <w:pPr>
        <w:pStyle w:val="TextoNormal"/>
      </w:pPr>
    </w:p>
    <w:p w14:paraId="44B9BA67" w14:textId="53BB98BE" w:rsidR="00B35D37" w:rsidRDefault="00B35D37" w:rsidP="00B35D37">
      <w:pPr>
        <w:pStyle w:val="TextoNormal"/>
      </w:pPr>
      <w:r w:rsidRPr="00B35D37">
        <w:rPr>
          <w:rStyle w:val="NumeroAFNegritaCaracter"/>
        </w:rPr>
        <w:t>3</w:t>
      </w:r>
      <w:r>
        <w:t>. Por escrito registrado en este tribunal el 6 de febrero de 2025, don Miguel Ángel del Álamo García, procurador de los tribunales, en representación de don José Miguel de la Rosa Cortina, promovió la recusación del magistrado don Cándido Conde-Pumpido Tourón, con base en la causa prevista en el apartado duodécimo del art. 219 de la Ley Orgánica 6/1985, de 1 de julio, del Poder Judicial (LOPJ), por “[s]er o haber sido una de las partes subordinado del juez que deba resolver la contienda litigiosa”, al haber tenido como fiscal general del Estado entre los años 2004 y 2011 una relación de jerarquía con quien es parte o se ve afectado por el contenido de la resolución cuestionada en el proceso de amparo referido.</w:t>
      </w:r>
    </w:p>
    <w:p w14:paraId="40A5A002" w14:textId="77777777" w:rsidR="00B35D37" w:rsidRDefault="00B35D37" w:rsidP="00B35D37">
      <w:pPr>
        <w:pStyle w:val="TextoNormal"/>
      </w:pPr>
    </w:p>
    <w:p w14:paraId="78CB217F" w14:textId="77777777" w:rsidR="00B35D37" w:rsidRDefault="00B35D37" w:rsidP="00B35D37">
      <w:pPr>
        <w:pStyle w:val="TextoNormal"/>
      </w:pPr>
      <w:r w:rsidRPr="00B35D37">
        <w:rPr>
          <w:rStyle w:val="NumeroAFNegritaCaracter"/>
        </w:rPr>
        <w:t>4</w:t>
      </w:r>
      <w:r>
        <w:t>. El 10 de febrero de 2025, el magistrado don Cándido Conde-Pumpido Tourón presentó escrito en el que pone en conocimiento del Pleno de este tribunal su voluntad de abstenerse de intervenir en el conocimiento del recurso de amparo núm. 7433-2023 a fin de garantizar el derecho a un proceso con todas las garantías de quienes son parte o se ven afectados por el contenido de la resolución cuestionada en el proceso de amparo, según afirma en su escrito.</w:t>
      </w:r>
    </w:p>
    <w:p w14:paraId="230360BC" w14:textId="77777777" w:rsidR="00B35D37" w:rsidRDefault="00B35D37" w:rsidP="00B35D37">
      <w:pPr>
        <w:pStyle w:val="TextoNormal"/>
      </w:pPr>
    </w:p>
    <w:p w14:paraId="48AC5D9E" w14:textId="77777777" w:rsidR="00B35D37" w:rsidRDefault="00B35D37" w:rsidP="00B35D37">
      <w:pPr>
        <w:pStyle w:val="TextoNormal"/>
      </w:pPr>
      <w:r>
        <w:t>Tras referirse a los hechos que, según la solicitud presentada constituirían base objetiva para solicitar su abstención o recusación, con el consiguiente apartamiento del conocimiento del correspondiente proceso de amparo, el magistrado señor Conde-Pumpido explica, con cita de doctrina constitucional y del Tribunal Europeo de Derechos Humanos, que la imparcialidad de quienes integran los órganos jurisdiccionales constituye una exigencia básica del proceso debido (art. 24.2 CE) y constituye una garantía fundamental en la administración de justicia propia de un Estado de Derecho (art. 1.1 CE). La obligación de ser ajeno al litigio, de no jugarse nada en él, de no ser juez y parte ni juzgar la propia causa, puede resumirse en dos reglas: según la primera, el juez no puede asumir procesalmente funciones de parte; por la segunda, no puede realizar actos ni mantener con las partes relaciones jurídicas o conexiones de hecho que puedan poner de manifiesto o exteriorizar una previa toma de posición anímica a favor o en contra. Se trata —prosigue— de principios criterios y reglas plenamente trasladables al trabajo de los magistrados constitucionales, con los que afirma sentirse estrechamente comprometido.</w:t>
      </w:r>
    </w:p>
    <w:p w14:paraId="15F2EAE1" w14:textId="77777777" w:rsidR="00B35D37" w:rsidRDefault="00B35D37" w:rsidP="00B35D37">
      <w:pPr>
        <w:pStyle w:val="TextoNormal"/>
      </w:pPr>
    </w:p>
    <w:p w14:paraId="45A4282E" w14:textId="77777777" w:rsidR="00B35D37" w:rsidRDefault="00B35D37" w:rsidP="00B35D37">
      <w:pPr>
        <w:pStyle w:val="TextoNormal"/>
      </w:pPr>
      <w:r>
        <w:t>Recuerda el magistrado señor Conde-Pumpido que, el elenco de causas de recusación previstas en el art. 219 LOPJ no acoge todos los supuestos en los que cabe apoyar una duda sobre la imparcialidad judicial. Del contenido y fundamento del derecho a un juez imparcial, de la doctrina constitucional al respecto y de la jurisprudencia del Tribunal Europeo de Derechos Humanos cabe deducir la existencia de una “causa supralegal” que permite cuestionar y proponer apartar del conocimiento de una causa a aquel juez sobre el que se pueda mantener, desde el punto de vista de un observador exterior, un temor objetivamente justificado de que mantiene prejuicios o ideas preconcebidas sobre el objeto de enjuiciamiento, por tener interés personal en un asunto particular.</w:t>
      </w:r>
    </w:p>
    <w:p w14:paraId="158EB0AD" w14:textId="77777777" w:rsidR="00B35D37" w:rsidRDefault="00B35D37" w:rsidP="00B35D37">
      <w:pPr>
        <w:pStyle w:val="TextoNormal"/>
      </w:pPr>
    </w:p>
    <w:p w14:paraId="4B4D9F22" w14:textId="6DBFE92B" w:rsidR="00B35D37" w:rsidRDefault="00B35D37" w:rsidP="00B35D37">
      <w:pPr>
        <w:pStyle w:val="TextoNormal"/>
      </w:pPr>
      <w:r>
        <w:t>Concluye el magistrado señor Conde-Pumpido señalando que no se siente personalmente concernido por los intereses que se ventilan en el recurso de amparo 7433-2023 sometido a la consideración del Tribunal Constitucional, ni mantiene ninguna toma de partido anímica previa sobre el contenido del proceso constitucional en el que se le ha recusado. Sin perjuicio de lo cual, señala que habiendo sido formulada recusación en dicho proceso de amparo, apreciada la ampliación en el año 2003 de la causa recogida en el apartado duodécimo del art. 219 LOPJ, y con el propósito de reforzar la apariencia de imparcialidad del Tribunal Constitucional en el ejercicio de las funciones que tiene atribuidas en defensa de los derechos fundamentales de todos los ciudadanos, es decir, en defensa de la Constitución y los valores que proclama, ha decidido abstenerse en el referido recurso de amparo 7433-2023.</w:t>
      </w:r>
    </w:p>
    <w:p w14:paraId="04E397EB" w14:textId="77777777" w:rsidR="00B35D37" w:rsidRDefault="00B35D37" w:rsidP="00B35D37">
      <w:pPr>
        <w:pStyle w:val="TextoNormal"/>
      </w:pPr>
    </w:p>
    <w:p w14:paraId="43CFF51D" w14:textId="77777777" w:rsidR="00B35D37" w:rsidRDefault="00B35D37" w:rsidP="00B35D37">
      <w:pPr>
        <w:pStyle w:val="TextoNormalNegritaCentrado"/>
        <w:keepNext/>
      </w:pPr>
      <w:r>
        <w:t>II. Fundamentos jurídicos</w:t>
      </w:r>
    </w:p>
    <w:p w14:paraId="1F9D5A93" w14:textId="72A87651" w:rsidR="00B35D37" w:rsidRDefault="00B35D37" w:rsidP="00B35D37">
      <w:pPr>
        <w:pStyle w:val="TextoNormalNegritaCentrado"/>
        <w:keepNext/>
      </w:pPr>
    </w:p>
    <w:p w14:paraId="7780EB84" w14:textId="3CCA1053" w:rsidR="00B35D37" w:rsidRDefault="00B35D37" w:rsidP="00B35D37">
      <w:pPr>
        <w:pStyle w:val="TextoNormal"/>
      </w:pPr>
      <w:r w:rsidRPr="00B35D37">
        <w:rPr>
          <w:rStyle w:val="NumeroAFNegritaCaracter"/>
        </w:rPr>
        <w:t>1</w:t>
      </w:r>
      <w:r>
        <w:t>. El Pleno ha examinado el escrito presentado por el magistrado don Cándido Conde-Pumpido Tourón el 10 de febrero de 2025, en el que comunica su voluntad de abstenerse “[a] fin de garantizar el derecho a un proceso con todas las garantías de quien es parte o se ve afectado por el contenido de la resolución cuestionada en el proceso de amparo referido” y “con el propósito de reforzar la apariencia de imparcialidad del Tribunal Constitucional en el ejercicio de las funciones que tiene atribuidas en defensa de los derechos fundamentales de todos los ciudadanos, es decir, en defensa de la Constitución y los valores que proclama”.</w:t>
      </w:r>
    </w:p>
    <w:p w14:paraId="0E3BA51A" w14:textId="77777777" w:rsidR="00B35D37" w:rsidRDefault="00B35D37" w:rsidP="00B35D37">
      <w:pPr>
        <w:pStyle w:val="TextoNormal"/>
      </w:pPr>
    </w:p>
    <w:p w14:paraId="385E698B" w14:textId="429B9E3E" w:rsidR="00B35D37" w:rsidRDefault="00B35D37" w:rsidP="00B35D37">
      <w:pPr>
        <w:pStyle w:val="TextoNormal"/>
      </w:pPr>
      <w:r w:rsidRPr="00B35D37">
        <w:rPr>
          <w:rStyle w:val="NumeroAFNegritaCaracter"/>
        </w:rPr>
        <w:t>2</w:t>
      </w:r>
      <w:r>
        <w:t>. Vista la comunicación efectuada por don Cándido Conde-Pumpido Tourón, el Pleno, en virtud de lo previsto en el artículo 219, apartado duodécimo, LOPJ, supletoria de la Ley Orgánica del Tribunal Constitucional (art. 80), estima que resulta procedente aceptar la abstención formulada en los términos que se interesa.</w:t>
      </w:r>
    </w:p>
    <w:p w14:paraId="4CDFE8A1" w14:textId="77777777" w:rsidR="00B35D37" w:rsidRDefault="00B35D37" w:rsidP="00B35D37">
      <w:pPr>
        <w:pStyle w:val="TextoNormal"/>
      </w:pPr>
    </w:p>
    <w:p w14:paraId="3F5DE4D8" w14:textId="77777777" w:rsidR="00B35D37" w:rsidRDefault="00B35D37" w:rsidP="00B35D37">
      <w:pPr>
        <w:pStyle w:val="TextoNormal"/>
      </w:pPr>
      <w:r>
        <w:t>Por lo expuesto, el Pleno</w:t>
      </w:r>
    </w:p>
    <w:p w14:paraId="385D0F4F" w14:textId="652108DD" w:rsidR="00B35D37" w:rsidRDefault="00B35D37" w:rsidP="00B35D37">
      <w:pPr>
        <w:pStyle w:val="TextoNormal"/>
      </w:pPr>
    </w:p>
    <w:p w14:paraId="5CD8F4D7" w14:textId="77777777" w:rsidR="00B35D37" w:rsidRDefault="00B35D37" w:rsidP="00B35D37">
      <w:pPr>
        <w:pStyle w:val="TextoNormalCentrado"/>
      </w:pPr>
      <w:r>
        <w:t>ACUERDA</w:t>
      </w:r>
    </w:p>
    <w:p w14:paraId="56BA2912" w14:textId="3EC669E3" w:rsidR="00B35D37" w:rsidRDefault="00B35D37" w:rsidP="00B35D37">
      <w:pPr>
        <w:pStyle w:val="TextoNormalCentrado"/>
      </w:pPr>
    </w:p>
    <w:p w14:paraId="2494DD0E" w14:textId="77777777" w:rsidR="00B35D37" w:rsidRDefault="00B35D37" w:rsidP="00B35D37">
      <w:pPr>
        <w:pStyle w:val="TextoNormal"/>
      </w:pPr>
      <w:r>
        <w:t>1º Aceptar la abstención formulada por el magistrado don Cándido Conde-Pumpido Tourón en el recurso de amparo núm. 7433-2023 apartándole definitivamente del conocimiento del referido recurso y de todas sus incidencias.</w:t>
      </w:r>
    </w:p>
    <w:p w14:paraId="27646980" w14:textId="77777777" w:rsidR="00B35D37" w:rsidRDefault="00B35D37" w:rsidP="00B35D37">
      <w:pPr>
        <w:pStyle w:val="TextoNormal"/>
      </w:pPr>
    </w:p>
    <w:p w14:paraId="1F52052A" w14:textId="1A685563" w:rsidR="00B35D37" w:rsidRDefault="00B35D37" w:rsidP="00B35D37">
      <w:pPr>
        <w:pStyle w:val="TextoNormal"/>
      </w:pPr>
      <w:r>
        <w:t>2º Declarar la pérdida de objeto de la solicitud de recusación formulada en el recurso de amparo 7433-2023.</w:t>
      </w:r>
    </w:p>
    <w:p w14:paraId="3AEEE264" w14:textId="77777777" w:rsidR="00B35D37" w:rsidRDefault="00B35D37" w:rsidP="00B35D37">
      <w:pPr>
        <w:pStyle w:val="TextoNormal"/>
      </w:pPr>
    </w:p>
    <w:p w14:paraId="00BA91F9" w14:textId="77777777" w:rsidR="00B35D37" w:rsidRDefault="00B35D37" w:rsidP="00B35D37">
      <w:pPr>
        <w:pStyle w:val="TextoNormal"/>
      </w:pPr>
      <w:r>
        <w:t>Madrid, a doce de febrero de dos mil veinticinco.</w:t>
      </w:r>
    </w:p>
    <w:p w14:paraId="5720EA7F" w14:textId="24D0FE5A" w:rsidR="00B35D37" w:rsidRDefault="00B35D37" w:rsidP="00B35D37">
      <w:pPr>
        <w:pStyle w:val="ParrafoNormal"/>
      </w:pPr>
    </w:p>
    <w:p w14:paraId="188258BC" w14:textId="77777777" w:rsidR="00B35D37" w:rsidRDefault="00B35D37" w:rsidP="00B35D37">
      <w:pPr>
        <w:pStyle w:val="TextoNormalNegritaCentrado"/>
        <w:keepNext/>
      </w:pPr>
      <w:r>
        <w:t>Voto particular concurrente que formulan la magistrada doña Concepción Espejel Jorquera y los magistrados don Enrique Arnaldo Alcubilla y don José María Macías Castaño al auto dictado en el recurso de amparo núm. 7433-2023, en relación con la abstención del magistrado don Cándido Conde-Pumpido Tourón</w:t>
      </w:r>
    </w:p>
    <w:p w14:paraId="566BD6B4" w14:textId="036017EC" w:rsidR="00B35D37" w:rsidRDefault="00B35D37" w:rsidP="00B35D37">
      <w:pPr>
        <w:pStyle w:val="TextoNormalNegritaCentrado"/>
        <w:keepNext/>
      </w:pPr>
    </w:p>
    <w:p w14:paraId="4BCB2233" w14:textId="77777777" w:rsidR="00B35D37" w:rsidRDefault="00B35D37" w:rsidP="00B35D37">
      <w:pPr>
        <w:pStyle w:val="TextoNormal"/>
      </w:pPr>
      <w:r>
        <w:t>De conformidad con lo dispuesto en el art. 90.2 de la Ley Orgánica del Tribunal Constitucional (LOTC) —y sin perjuicio de compartir la estimación de la abstención del magistrado don Cándido Conde-Pumpido Tourón por ser evidente la concurrencia de la causa prevista en el art. 219.12 LOPJ, al que se remite el art. 80 LOTC— expresamos nuestra disconformidad con la fundamentación del auto a que se refiere este voto particular, en la medida en que entendemos que debió incorporar las consideraciones que seguidamente exponemos.</w:t>
      </w:r>
    </w:p>
    <w:p w14:paraId="5570B8F7" w14:textId="77777777" w:rsidR="00B35D37" w:rsidRDefault="00B35D37" w:rsidP="00B35D37">
      <w:pPr>
        <w:pStyle w:val="TextoNormal"/>
      </w:pPr>
    </w:p>
    <w:p w14:paraId="57A82611" w14:textId="77777777" w:rsidR="00B35D37" w:rsidRDefault="00B35D37" w:rsidP="00B35D37">
      <w:pPr>
        <w:pStyle w:val="TextoNormal"/>
      </w:pPr>
      <w:r>
        <w:t>La abstención que formuló, sin embargo, no ha sido espontánea, sino que vino motivada por la previa recusación planteada por parte interesada, don José Miguel de la Rosa Cortina, quien no se limitó a plantear la recusación del magistrado don Cándido Conde-Pumpido Tourón, sino que de manera acumulada solicitó también la nulidad del ATC 5/2025, de 14 de enero, por el que se acordó admitir a trámite el presente recurso de amparo presentado por don Eduardo Esteban Rincón y en cuyo dictado había participado el magistrado ahora abstenido, así como la retroacción de actuaciones para que el Pleno del Tribunal se pronuncie sobre la admisión o la inadmisión del amparo.</w:t>
      </w:r>
    </w:p>
    <w:p w14:paraId="0E4CBC0B" w14:textId="77777777" w:rsidR="00B35D37" w:rsidRDefault="00B35D37" w:rsidP="00B35D37">
      <w:pPr>
        <w:pStyle w:val="TextoNormal"/>
      </w:pPr>
    </w:p>
    <w:p w14:paraId="365548C1" w14:textId="77777777" w:rsidR="00B35D37" w:rsidRDefault="00B35D37" w:rsidP="00B35D37">
      <w:pPr>
        <w:pStyle w:val="TextoNormal"/>
      </w:pPr>
      <w:r>
        <w:t>En la medida en que, como se ha indicado, la abstención no ha sido espontánea, sino que se ha producido como reacción a la solicitud de recusación de un interesado, y en la medida en que la pretensión de este fue plural porque incluía también una solicitud de nulidad y retroacción de actuaciones, es claro que esta segunda solicitud está pendiente de resolución y que en absoluto ha perdido su objeto.</w:t>
      </w:r>
    </w:p>
    <w:p w14:paraId="00AE7E5D" w14:textId="77777777" w:rsidR="00B35D37" w:rsidRDefault="00B35D37" w:rsidP="00B35D37">
      <w:pPr>
        <w:pStyle w:val="TextoNormal"/>
      </w:pPr>
    </w:p>
    <w:p w14:paraId="7FD10D40" w14:textId="77777777" w:rsidR="00B35D37" w:rsidRDefault="00B35D37" w:rsidP="00B35D37">
      <w:pPr>
        <w:pStyle w:val="TextoNormal"/>
      </w:pPr>
      <w:r>
        <w:t xml:space="preserve">Cuál haya de ser la respuesta que se dé a la petición de nulidad formulada por don José Miguel de la Rosa Cortina es algo que deberá analizarse en su momento, pero lo que resulta evidente es que se trata de una petición deducida por parte interesada en el procedimiento y a la que se debe dar respuesta, entre otras cosas, porque así lo impone el principio de congruencia inmediatamente ligado al art. 24 CE. Como este tribunal ha señalado reiteradamente, la incongruencia por omisión o </w:t>
      </w:r>
      <w:r w:rsidRPr="00B35D37">
        <w:rPr>
          <w:i/>
        </w:rPr>
        <w:t>ex silentio</w:t>
      </w:r>
      <w:r>
        <w:t xml:space="preserve"> determina que la resolución afectada por este vicio ocasiona al justiciable una verdadera denegación técnica de justicia causante de indefensión, al no resolver sobre todas las pretensiones oportunamente planteadas (por todas, SSTC 34/2000, de 14 de febrero, FJ 2, y 30/2007, de 12 de febrero, FJ 5). La exigencia de congruencia no atañe solo a la jurisdicción ordinaria, sino también, como es obvio, a la jurisdicción constitucional. El auto deja en el aire esta cuestión a pesar de que, en el contexto en el que se dicta (insistimos, de manera no espontánea, sino reactiva), la abstención y sus efectos no pueden considerarse compartimentos estancos.</w:t>
      </w:r>
    </w:p>
    <w:p w14:paraId="30B00CF1" w14:textId="77777777" w:rsidR="00B35D37" w:rsidRDefault="00B35D37" w:rsidP="00B35D37">
      <w:pPr>
        <w:pStyle w:val="TextoNormal"/>
      </w:pPr>
    </w:p>
    <w:p w14:paraId="1C105AAA" w14:textId="77777777" w:rsidR="00B35D37" w:rsidRDefault="00B35D37" w:rsidP="00B35D37">
      <w:pPr>
        <w:pStyle w:val="TextoNormal"/>
      </w:pPr>
      <w:r>
        <w:t>Hubiera bastado una sucinta o lacónica referencia, no ya en la parte dispositiva, sino incluso en la fundamentación del auto, que permitiera entender que no existe confusión alguna entre la pérdida de objeto de la pretensión relativa a la recusación (que efectivamente se produce con la aceptación de la abstención) y la pretensión relativa a sus efectos (a los que se refiere la solicitud de nulidad y retroacción de actuaciones), y que efectivamente la solicitud de nulidad del auto de admisión del recurso de amparo va ser tramitada y resuelta como corresponda. La resistencia a incluir en el auto que acepta la abstención del magistrado don Cándido Conde-Pumpido cualquier alusión a esta circunstancia que, insistimos, deja sin resolver una pretensión deducida por el recusante, nos obliga a emitir el presente voto particular.</w:t>
      </w:r>
    </w:p>
    <w:p w14:paraId="65CDBCBD" w14:textId="77777777" w:rsidR="00B35D37" w:rsidRDefault="00B35D37" w:rsidP="00B35D37">
      <w:pPr>
        <w:pStyle w:val="TextoNormal"/>
      </w:pPr>
    </w:p>
    <w:p w14:paraId="44A2863E" w14:textId="20CE9C9E" w:rsidR="00B35D37" w:rsidRDefault="00B35D37" w:rsidP="00B35D37">
      <w:pPr>
        <w:pStyle w:val="TextoNormal"/>
      </w:pPr>
      <w:r>
        <w:t>Madrid, a doce de febrero de dos mil veinticinco.</w:t>
      </w:r>
    </w:p>
    <w:p w14:paraId="0EFB08AD" w14:textId="4F8897D5" w:rsidR="00B35D37" w:rsidRDefault="00B35D37">
      <w:pPr>
        <w:spacing w:after="160" w:line="278" w:lineRule="auto"/>
        <w:rPr>
          <w:rFonts w:ascii="Times New Roman" w:eastAsia="Times New Roman" w:hAnsi="Times New Roman" w:cs="Times New Roman"/>
          <w:sz w:val="24"/>
          <w:szCs w:val="24"/>
          <w:lang w:eastAsia="es-ES"/>
        </w:rPr>
      </w:pPr>
      <w:r>
        <w:br w:type="page"/>
      </w:r>
    </w:p>
    <w:p w14:paraId="79769731" w14:textId="77777777" w:rsidR="00B35D37" w:rsidRDefault="00B35D37" w:rsidP="00B35D37">
      <w:pPr>
        <w:pStyle w:val="TtuloResolucin"/>
      </w:pPr>
      <w:bookmarkStart w:id="155" w:name="AUTO_2025_16"/>
      <w:r>
        <w:t>AUTO 16/2025, de 12 de febrero de 2025</w:t>
      </w:r>
    </w:p>
    <w:bookmarkEnd w:id="155"/>
    <w:p w14:paraId="04EEA015" w14:textId="77777777" w:rsidR="00B35D37" w:rsidRDefault="00B35D37" w:rsidP="00B35D37">
      <w:pPr>
        <w:pStyle w:val="TtuloResolucin"/>
      </w:pPr>
      <w:r>
        <w:t>Sección Cuarta</w:t>
      </w:r>
    </w:p>
    <w:p w14:paraId="00D78156" w14:textId="77777777" w:rsidR="00B35D37" w:rsidRDefault="00B35D37" w:rsidP="00B35D37">
      <w:pPr>
        <w:pStyle w:val="TextoNormalCentrado"/>
      </w:pPr>
      <w:r>
        <w:t>ECLI:ES:TC:2025:16A</w:t>
      </w:r>
    </w:p>
    <w:p w14:paraId="3587325A" w14:textId="1EA37BF7" w:rsidR="00B35D37" w:rsidRDefault="00B35D37" w:rsidP="00B35D37">
      <w:pPr>
        <w:pStyle w:val="TextoNormalCentrado"/>
      </w:pPr>
    </w:p>
    <w:p w14:paraId="1D63BA5C" w14:textId="77777777" w:rsidR="00B35D37" w:rsidRDefault="00B35D37" w:rsidP="00B35D37">
      <w:pPr>
        <w:pStyle w:val="SntesisDescriptiva"/>
      </w:pPr>
      <w:r>
        <w:t>Excms. Srs. doña María Luisa Balaguer Callejón, don Ramón Sáez Valcárcel y don Enrique Arnaldo Alcubilla.</w:t>
      </w:r>
    </w:p>
    <w:p w14:paraId="34966AC2" w14:textId="098A657A" w:rsidR="00B35D37" w:rsidRDefault="00B35D37" w:rsidP="00B35D37">
      <w:pPr>
        <w:pStyle w:val="SntesisDescriptiva"/>
      </w:pPr>
    </w:p>
    <w:p w14:paraId="29859139" w14:textId="77777777" w:rsidR="00B35D37" w:rsidRDefault="00B35D37" w:rsidP="00B35D37">
      <w:pPr>
        <w:pStyle w:val="SntesisDescriptiva"/>
      </w:pPr>
      <w:r>
        <w:t>Inadmite las recusaciones formuladas respecto del secretario general del Tribunal y el secretario de justicia de la Sección Cuarta en el recurso de amparo 907-2024, promovido por don Fernando Argote Pons y doña Miren Garbiñe Garagarza Echaniz en causa penal.</w:t>
      </w:r>
    </w:p>
    <w:p w14:paraId="0872BB09" w14:textId="629C841F" w:rsidR="00B35D37" w:rsidRDefault="00B35D37" w:rsidP="00B35D37">
      <w:pPr>
        <w:pStyle w:val="SntesisDescriptiva"/>
      </w:pPr>
    </w:p>
    <w:p w14:paraId="028E6657" w14:textId="77777777" w:rsidR="00B35D37" w:rsidRDefault="00B35D37" w:rsidP="00B35D37">
      <w:pPr>
        <w:pStyle w:val="SntesisDescriptiva"/>
      </w:pPr>
    </w:p>
    <w:p w14:paraId="0068EF44" w14:textId="77777777" w:rsidR="00B35D37" w:rsidRDefault="00B35D37" w:rsidP="00B35D37">
      <w:pPr>
        <w:pStyle w:val="SntesisDescriptiva"/>
      </w:pPr>
    </w:p>
    <w:p w14:paraId="46D7C012" w14:textId="77777777" w:rsidR="00B35D37" w:rsidRDefault="00B35D37" w:rsidP="00B35D37">
      <w:pPr>
        <w:pStyle w:val="TextoNormalNegritaCentrado"/>
      </w:pPr>
      <w:r>
        <w:t>AUTO</w:t>
      </w:r>
    </w:p>
    <w:p w14:paraId="06AD0800" w14:textId="3718A0A6" w:rsidR="00B35D37" w:rsidRDefault="00B35D37" w:rsidP="00B35D37">
      <w:pPr>
        <w:pStyle w:val="TextoNormalNegritaCentrado"/>
      </w:pPr>
    </w:p>
    <w:p w14:paraId="7929301B" w14:textId="77777777" w:rsidR="00B35D37" w:rsidRDefault="00B35D37" w:rsidP="00B35D37">
      <w:pPr>
        <w:pStyle w:val="TextoNormalNegritaCentrado"/>
        <w:keepNext/>
      </w:pPr>
      <w:r>
        <w:t>I. Antecedentes</w:t>
      </w:r>
    </w:p>
    <w:p w14:paraId="1BCD857F" w14:textId="368721D1" w:rsidR="00B35D37" w:rsidRDefault="00B35D37" w:rsidP="00B35D37">
      <w:pPr>
        <w:pStyle w:val="TextoNormalNegritaCentrado"/>
        <w:keepNext/>
      </w:pPr>
    </w:p>
    <w:p w14:paraId="7E67E4DF" w14:textId="7FE53405" w:rsidR="00B35D37" w:rsidRDefault="00B35D37" w:rsidP="00B35D37">
      <w:pPr>
        <w:pStyle w:val="TextoNormal"/>
      </w:pPr>
      <w:r w:rsidRPr="00B35D37">
        <w:rPr>
          <w:rStyle w:val="NumeroAFNegritaCaracter"/>
        </w:rPr>
        <w:t>1</w:t>
      </w:r>
      <w:r>
        <w:t>. Don Fernando Argote Pons y doña Miren Garbiñe Garagarza Echaniz, representados por la procuradora de los tribunales doña Silvia Albaladejo Díaz-Alabart y bajo la dirección letrada del primero, interpusieron recurso de amparo contra la diligencia de ordenación de 15 de diciembre de 2023 de la letrada de la administración de justicia de la Sección Primera de la Audiencia Provincial de Gipuzkoa (rollo de apelación núm. 513-2023), mediante escrito registrado en este tribunal el 9 de febrero de 2024, que dio lugar al recurso de amparo núm. 907-2024 turnado a la Sección Cuarta del Tribunal para decidir sobre su admisibilidad, lo que se comunicó a los demandantes por diligencia de ordenación de 14 de febrero de 2024.</w:t>
      </w:r>
    </w:p>
    <w:p w14:paraId="67452CCE" w14:textId="77777777" w:rsidR="00B35D37" w:rsidRDefault="00B35D37" w:rsidP="00B35D37">
      <w:pPr>
        <w:pStyle w:val="TextoNormal"/>
      </w:pPr>
    </w:p>
    <w:p w14:paraId="7335363B" w14:textId="4F7D56FD" w:rsidR="00B35D37" w:rsidRDefault="00B35D37" w:rsidP="00B35D37">
      <w:pPr>
        <w:pStyle w:val="TextoNormal"/>
      </w:pPr>
      <w:r w:rsidRPr="00B35D37">
        <w:rPr>
          <w:rStyle w:val="NumeroAFNegritaCaracter"/>
        </w:rPr>
        <w:t>2</w:t>
      </w:r>
      <w:r>
        <w:t>. Los demandantes, por escrito presentado el 21 de febrero de 2024, entre otros extremos, instaron la recusación de los magistrados y magistrada de esta Sección, doña María Luisa Balaguer Callejón, don Ramón Sáez Valcárcel y don Enrique Arnaldo Alcubilla, con fundamento en la pérdida de la apariencia de su imparcialidad judicial. Por ATC 42/2024, de 7 de mayo, el Pleno del Tribunal acordó no admitir a trámite las recusaciones formuladas. Contra este auto se presentó recurso de súplica que fue desestimado por ATC 64/2024, de 2 de julio.</w:t>
      </w:r>
    </w:p>
    <w:p w14:paraId="24F98BD1" w14:textId="77777777" w:rsidR="00B35D37" w:rsidRDefault="00B35D37" w:rsidP="00B35D37">
      <w:pPr>
        <w:pStyle w:val="TextoNormal"/>
      </w:pPr>
    </w:p>
    <w:p w14:paraId="7CE0A404" w14:textId="036615E8" w:rsidR="00B35D37" w:rsidRDefault="00B35D37" w:rsidP="00B35D37">
      <w:pPr>
        <w:pStyle w:val="TextoNormal"/>
      </w:pPr>
      <w:r w:rsidRPr="00B35D37">
        <w:rPr>
          <w:rStyle w:val="NumeroAFNegritaCaracter"/>
        </w:rPr>
        <w:t>3</w:t>
      </w:r>
      <w:r>
        <w:t>. En el citado escrito de 21 de febrero de 2024, los demandantes de amparo instaron también la recusación del secretario de justicia de la Sección Cuarta, don Miguel Marcos Ayjón. La recusación se fundamentaba en que su diligencia de ordenación de 14 de febrero de 2024 tenía como objeto buscar excusas formales para no investigar los hechos que los recurrentes en amparo denunciaron a través de su recurso y para no tutelar las graves vulneraciones de derechos fundamentales invocadas en el recurso de amparo interpuesto. También se alegaba que la diligencia de ordenación era arbitraria, lo que, según se aducía, acreditaba la ausencia de independencia e imparcialidad. Tal consideración se justificaba en que el Tribunal había inadmitido otros recursos de amparo interpuestos por los mismos recurrentes.</w:t>
      </w:r>
    </w:p>
    <w:p w14:paraId="38A8B3F2" w14:textId="77777777" w:rsidR="00B35D37" w:rsidRDefault="00B35D37" w:rsidP="00B35D37">
      <w:pPr>
        <w:pStyle w:val="TextoNormal"/>
      </w:pPr>
    </w:p>
    <w:p w14:paraId="5A8661D2" w14:textId="383CE23A" w:rsidR="00B35D37" w:rsidRDefault="00B35D37" w:rsidP="00B35D37">
      <w:pPr>
        <w:pStyle w:val="TextoNormal"/>
      </w:pPr>
      <w:r w:rsidRPr="00B35D37">
        <w:rPr>
          <w:rStyle w:val="NumeroAFNegritaCaracter"/>
        </w:rPr>
        <w:t>4</w:t>
      </w:r>
      <w:r>
        <w:t>. El 11 de abril de 2024 don Miguel Marcos Ayjón presentó informe en el que no reconocía como cierta ni legítima la causa de recusación alegada. Asimismo, ponía de manifiesto que en el escrito por el que se formulaba la recusación no se citaba ninguna causa legal de recusación, limitándose a indicar la “ausencia de independencia e imparcialidad”, sin aportar un principio de prueba al respecto.</w:t>
      </w:r>
    </w:p>
    <w:p w14:paraId="5D3D4F48" w14:textId="77777777" w:rsidR="00B35D37" w:rsidRDefault="00B35D37" w:rsidP="00B35D37">
      <w:pPr>
        <w:pStyle w:val="TextoNormal"/>
      </w:pPr>
    </w:p>
    <w:p w14:paraId="5F2EFDC5" w14:textId="7872D3F6" w:rsidR="00B35D37" w:rsidRDefault="00B35D37" w:rsidP="00B35D37">
      <w:pPr>
        <w:pStyle w:val="TextoNormal"/>
      </w:pPr>
      <w:r w:rsidRPr="00B35D37">
        <w:rPr>
          <w:rStyle w:val="NumeroAFNegritaCaracter"/>
        </w:rPr>
        <w:t>5</w:t>
      </w:r>
      <w:r>
        <w:t>. Los demandantes de amparo, mediante escrito presentado el 19 de abril de 2024, entre otras cuestiones, instaron la recusación de la magistrada doña María Luisa Segoviano Astaburuaga y del secretario general del Tribunal. La recusación de la magistrada señora Segoviano fue resuelta por el citado ATC 42/2024, de 7 de mayo. Este auto, como se ha indicado, fue recurrido en súplica. El ATC 64/2024, de 2 de julio, desestimó el recurso.</w:t>
      </w:r>
    </w:p>
    <w:p w14:paraId="258A02FB" w14:textId="77777777" w:rsidR="00B35D37" w:rsidRDefault="00B35D37" w:rsidP="00B35D37">
      <w:pPr>
        <w:pStyle w:val="TextoNormal"/>
      </w:pPr>
    </w:p>
    <w:p w14:paraId="61ABC5EF" w14:textId="77777777" w:rsidR="00B35D37" w:rsidRDefault="00B35D37" w:rsidP="00B35D37">
      <w:pPr>
        <w:pStyle w:val="TextoNormalNegritaCentrado"/>
        <w:keepNext/>
      </w:pPr>
      <w:r>
        <w:t>II. Fundamentos jurídicos</w:t>
      </w:r>
    </w:p>
    <w:p w14:paraId="52840023" w14:textId="2D0631A8" w:rsidR="00B35D37" w:rsidRDefault="00B35D37" w:rsidP="00B35D37">
      <w:pPr>
        <w:pStyle w:val="TextoNormalNegritaCentrado"/>
        <w:keepNext/>
      </w:pPr>
    </w:p>
    <w:p w14:paraId="3E649C92" w14:textId="77777777" w:rsidR="00B35D37" w:rsidRDefault="00B35D37" w:rsidP="00B35D37">
      <w:pPr>
        <w:pStyle w:val="TextoNormal"/>
      </w:pPr>
      <w:r w:rsidRPr="00B35D37">
        <w:rPr>
          <w:rStyle w:val="NumeroAFNegritaCaracter"/>
        </w:rPr>
        <w:t>1</w:t>
      </w:r>
      <w:r>
        <w:t>. El art. 80 de la Ley Orgánica del Tribunal Constitucional (LOTC) dispone que, en determinadas materias, entre ellas las relativas a la recusación y abstención, se aplicarán supletoriamente los preceptos de la Ley Orgánica del Poder Judicial (LOPJ) y de la Ley de enjuiciamiento civil, en la medida en que sea compatible con las peculiaridades de la jurisdicción constitucional, lo que en el presente caso conduce a que, habiéndose planteado las recusaciones formuladas en relación con un recurso de amparo sobre el que no ha recaído todavía una resolución sobre su admisión a trámite, el órgano jurisdiccional al que corresponde pronunciarse sobre las recusaciones sea la Sección Cuarta (art. 50.1 LOTC), al no resultar de aplicación la competencia atribuida al Pleno por el art. 10.1 k) LOTC.</w:t>
      </w:r>
    </w:p>
    <w:p w14:paraId="47788D10" w14:textId="77777777" w:rsidR="00B35D37" w:rsidRDefault="00B35D37" w:rsidP="00B35D37">
      <w:pPr>
        <w:pStyle w:val="TextoNormal"/>
      </w:pPr>
    </w:p>
    <w:p w14:paraId="025E8621" w14:textId="657720E8" w:rsidR="00B35D37" w:rsidRDefault="00B35D37" w:rsidP="00B35D37">
      <w:pPr>
        <w:pStyle w:val="TextoNormal"/>
      </w:pPr>
      <w:r>
        <w:t>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un fraude de ley o procesal de acuerdo con lo establecido en el art. 11.2 LOPJ (AATC 156/2022, de 16 de noviembre, FJ 2; 31/2023, de 7 de febrero, FJ 2; 490/2023, de 24 de octubre, FJ 1, y 42/2024, de 7 de mayo, FJ único, entre otras muchas resoluciones).</w:t>
      </w:r>
    </w:p>
    <w:p w14:paraId="0DD3F094" w14:textId="77777777" w:rsidR="00B35D37" w:rsidRDefault="00B35D37" w:rsidP="00B35D37">
      <w:pPr>
        <w:pStyle w:val="TextoNormal"/>
      </w:pPr>
    </w:p>
    <w:p w14:paraId="2C47E09D" w14:textId="77777777" w:rsidR="00B35D37" w:rsidRDefault="00B35D37" w:rsidP="00B35D37">
      <w:pPr>
        <w:pStyle w:val="TextoNormal"/>
      </w:pPr>
      <w:r w:rsidRPr="00B35D37">
        <w:rPr>
          <w:rStyle w:val="NumeroAFNegritaCaracter"/>
        </w:rPr>
        <w:t>2</w:t>
      </w:r>
      <w:r>
        <w:t>. En el presente caso la recusación del secretario general resulta improcedente al carecer este de intervención en el proceso.</w:t>
      </w:r>
    </w:p>
    <w:p w14:paraId="520F8793" w14:textId="77777777" w:rsidR="00B35D37" w:rsidRDefault="00B35D37" w:rsidP="00B35D37">
      <w:pPr>
        <w:pStyle w:val="TextoNormal"/>
      </w:pPr>
    </w:p>
    <w:p w14:paraId="170E73A9" w14:textId="77777777" w:rsidR="00B35D37" w:rsidRDefault="00B35D37" w:rsidP="00B35D37">
      <w:pPr>
        <w:pStyle w:val="TextoNormal"/>
      </w:pPr>
      <w:r>
        <w:t>Con relación a don Miguel Marcos Ayjón, debe decirse que su intervención procesal motivante de su recusación consistió en el dictado de la siguiente diligencia de ordenación de 14 de febrero de 2024:</w:t>
      </w:r>
    </w:p>
    <w:p w14:paraId="31A598B7" w14:textId="77777777" w:rsidR="00B35D37" w:rsidRDefault="00B35D37" w:rsidP="00B35D37">
      <w:pPr>
        <w:pStyle w:val="TextoNormal"/>
      </w:pPr>
    </w:p>
    <w:p w14:paraId="36148D6A" w14:textId="77777777" w:rsidR="00B35D37" w:rsidRDefault="00B35D37" w:rsidP="00B35D37">
      <w:pPr>
        <w:pStyle w:val="TextoNormal"/>
      </w:pPr>
      <w:r>
        <w:t>“En el asunto reseñado se tiene por recibido el precedente escrito y documentos adjuntos, del procurador don/doña Silvia Albaladejo Díaz Alabart, interponiendo recurso de amparo en nombre y representación don/doña de Miren Garbiñe Garagarza Echaniz y otro, y de conformidad con el art. 49.4 de la Ley Orgánica del Tribunal Constitucional, se concede un plazo de diez días hábiles, para que:</w:t>
      </w:r>
    </w:p>
    <w:p w14:paraId="09CE75A0" w14:textId="77777777" w:rsidR="00B35D37" w:rsidRDefault="00B35D37" w:rsidP="00B35D37">
      <w:pPr>
        <w:pStyle w:val="TextoNormal"/>
      </w:pPr>
    </w:p>
    <w:p w14:paraId="588749AD" w14:textId="77777777" w:rsidR="00B35D37" w:rsidRDefault="00B35D37" w:rsidP="00B35D37">
      <w:pPr>
        <w:pStyle w:val="TextoNormal"/>
      </w:pPr>
      <w:r>
        <w:t>Aporte poder notarial que acredite la representación de don Fernando Argote Pons o justificante del apoderamiento ‘</w:t>
      </w:r>
      <w:r w:rsidRPr="00B35D37">
        <w:rPr>
          <w:i/>
        </w:rPr>
        <w:t>apud-acta</w:t>
      </w:r>
      <w:r>
        <w:t>’ otorgado en la sede judicial electrónica del Ministerio de Justicia, o compareciendo en la secretaría de esta Sala (previa cita a través de los teléfonos 915508311/8165/8332), o en cualquier oficina judicial, a fin de verificar dicho apoderamiento.</w:t>
      </w:r>
    </w:p>
    <w:p w14:paraId="15B29A1C" w14:textId="77777777" w:rsidR="00B35D37" w:rsidRDefault="00B35D37" w:rsidP="00B35D37">
      <w:pPr>
        <w:pStyle w:val="TextoNormal"/>
      </w:pPr>
    </w:p>
    <w:p w14:paraId="011A4BBF" w14:textId="77777777" w:rsidR="00B35D37" w:rsidRDefault="00B35D37" w:rsidP="00B35D37">
      <w:pPr>
        <w:pStyle w:val="TextoNormal"/>
      </w:pPr>
      <w:r>
        <w:t>Participe si ha interpuesto recurso de reposición contra la diligencia de ordenación de 15 de diciembre de dos mil veintitrés que recurre en amparo y, en su caso, aporte copia de la resolución dictada.</w:t>
      </w:r>
    </w:p>
    <w:p w14:paraId="54C2DB17" w14:textId="77777777" w:rsidR="00B35D37" w:rsidRDefault="00B35D37" w:rsidP="00B35D37">
      <w:pPr>
        <w:pStyle w:val="TextoNormal"/>
      </w:pPr>
    </w:p>
    <w:p w14:paraId="2AC689E3" w14:textId="77777777" w:rsidR="00B35D37" w:rsidRDefault="00B35D37" w:rsidP="00B35D37">
      <w:pPr>
        <w:pStyle w:val="TextoNormal"/>
      </w:pPr>
      <w:r>
        <w:t>Advirtiéndose de que, de no subsanar el defecto en el plazo indicado, la Sección podrá inadmitir el presente recurso, conforme a lo preceptuado en el art. 50.4 de la citada Ley Orgánica”.</w:t>
      </w:r>
    </w:p>
    <w:p w14:paraId="4DB8546D" w14:textId="77777777" w:rsidR="00B35D37" w:rsidRDefault="00B35D37" w:rsidP="00B35D37">
      <w:pPr>
        <w:pStyle w:val="TextoNormal"/>
      </w:pPr>
    </w:p>
    <w:p w14:paraId="08911FC2" w14:textId="12E130DA" w:rsidR="00B35D37" w:rsidRDefault="00B35D37" w:rsidP="00B35D37">
      <w:pPr>
        <w:pStyle w:val="TextoNormal"/>
      </w:pPr>
      <w:r>
        <w:t>Ha de señalarse que el hecho de que señor Marcos Ayjón, en su condición de secretario de justicia al servicio del Tribunal Constitucional, haya podido participar en la tramitación de recursos de amparo interpuestos por los recurrentes y estos recursos hayan podido resolverse de forma contraria a sus intereses no es incardinable en ninguna causa de recusación en la que amparar la eventual pérdida de su imparcialidad, como ha reconocido reiterada jurisprudencia de este tribunal cuando sus magistradas y magistrados son recusados (entre otros muchos, ATC 42/2024, de 7 de mayo, FJ único). En atención a la jurisprudencia citada, procede denegar liminarmente la tramitación de la recusación del secretario de justicia don Miguel Marcos Ayjón por carecer del necesario sustento fáctico y no haberse puesto tampoco en relación con alguna causa de recusación o circunstancia relevante que permita evidenciar de qué manera pueda afectar a la apariencia de parcialidad del recusado, quien en la resolución transcrita se ha limitado al cumplimiento de las previsiones derivadas del art. 49.4 LOTC.</w:t>
      </w:r>
    </w:p>
    <w:p w14:paraId="19E5AD62" w14:textId="77777777" w:rsidR="00B35D37" w:rsidRDefault="00B35D37" w:rsidP="00B35D37">
      <w:pPr>
        <w:pStyle w:val="TextoNormal"/>
      </w:pPr>
    </w:p>
    <w:p w14:paraId="4E2E2BC1" w14:textId="77777777" w:rsidR="00B35D37" w:rsidRDefault="00B35D37" w:rsidP="00B35D37">
      <w:pPr>
        <w:pStyle w:val="TextoNormal"/>
      </w:pPr>
      <w:r>
        <w:t>Por lo expuesto, la Sección</w:t>
      </w:r>
    </w:p>
    <w:p w14:paraId="7FBC862C" w14:textId="7E744955" w:rsidR="00B35D37" w:rsidRDefault="00B35D37" w:rsidP="00B35D37">
      <w:pPr>
        <w:pStyle w:val="TextoNormal"/>
      </w:pPr>
    </w:p>
    <w:p w14:paraId="7730212C" w14:textId="77777777" w:rsidR="00B35D37" w:rsidRDefault="00B35D37" w:rsidP="00B35D37">
      <w:pPr>
        <w:pStyle w:val="TextoNormalCentrado"/>
      </w:pPr>
      <w:r>
        <w:t>ACUERDA</w:t>
      </w:r>
    </w:p>
    <w:p w14:paraId="21E05116" w14:textId="359383B2" w:rsidR="00B35D37" w:rsidRDefault="00B35D37" w:rsidP="00B35D37">
      <w:pPr>
        <w:pStyle w:val="TextoNormalCentrado"/>
      </w:pPr>
    </w:p>
    <w:p w14:paraId="062AEEFD" w14:textId="381F200D" w:rsidR="00B35D37" w:rsidRDefault="00B35D37" w:rsidP="00B35D37">
      <w:pPr>
        <w:pStyle w:val="TextoNormal"/>
      </w:pPr>
      <w:r>
        <w:t>No admitir a trámite las recusaciones del secretario general y del secretario de justicia de la Sección Cuarta.</w:t>
      </w:r>
    </w:p>
    <w:p w14:paraId="09E3C421" w14:textId="77777777" w:rsidR="00B35D37" w:rsidRDefault="00B35D37" w:rsidP="00B35D37">
      <w:pPr>
        <w:pStyle w:val="TextoNormal"/>
      </w:pPr>
    </w:p>
    <w:p w14:paraId="1DBE4E06" w14:textId="77777777" w:rsidR="00B35D37" w:rsidRDefault="00B35D37" w:rsidP="00B35D37">
      <w:pPr>
        <w:pStyle w:val="TextoNormal"/>
      </w:pPr>
      <w:r>
        <w:t>Madrid, a doce de febrero de dos mil veinticinco.</w:t>
      </w:r>
    </w:p>
    <w:p w14:paraId="00212DF5" w14:textId="13ECBE9D" w:rsidR="00B35D37" w:rsidRDefault="00B35D37">
      <w:pPr>
        <w:spacing w:after="160" w:line="278" w:lineRule="auto"/>
        <w:rPr>
          <w:rFonts w:ascii="Times New Roman" w:eastAsia="Times New Roman" w:hAnsi="Times New Roman" w:cs="Times New Roman"/>
          <w:sz w:val="24"/>
          <w:szCs w:val="24"/>
          <w:lang w:eastAsia="es-ES"/>
        </w:rPr>
      </w:pPr>
      <w:r>
        <w:br w:type="page"/>
      </w:r>
    </w:p>
    <w:p w14:paraId="40ACF71E" w14:textId="77777777" w:rsidR="00B35D37" w:rsidRDefault="00B35D37" w:rsidP="00B35D37">
      <w:pPr>
        <w:pStyle w:val="TtuloResolucin"/>
      </w:pPr>
      <w:bookmarkStart w:id="156" w:name="AUTO_2025_17"/>
      <w:r>
        <w:t>AUTO 17/2025, de 12 de febrero de 2025</w:t>
      </w:r>
    </w:p>
    <w:bookmarkEnd w:id="156"/>
    <w:p w14:paraId="3115EE04" w14:textId="77777777" w:rsidR="00B35D37" w:rsidRDefault="00B35D37" w:rsidP="00B35D37">
      <w:pPr>
        <w:pStyle w:val="TtuloResolucin"/>
      </w:pPr>
      <w:r>
        <w:t>Pleno</w:t>
      </w:r>
    </w:p>
    <w:p w14:paraId="5A9826E9" w14:textId="77777777" w:rsidR="00B35D37" w:rsidRDefault="00B35D37" w:rsidP="00B35D37">
      <w:pPr>
        <w:pStyle w:val="TextoNormalCentrado"/>
      </w:pPr>
      <w:r>
        <w:t>ECLI:ES:TC:2025:17A</w:t>
      </w:r>
    </w:p>
    <w:p w14:paraId="3A5C9B08" w14:textId="0DB457C7" w:rsidR="00B35D37" w:rsidRDefault="00B35D37" w:rsidP="00B35D37">
      <w:pPr>
        <w:pStyle w:val="TextoNormalCentrado"/>
      </w:pPr>
    </w:p>
    <w:p w14:paraId="350D0C56"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5E5B4EC9" w14:textId="0E4CD827" w:rsidR="00B35D37" w:rsidRDefault="00B35D37" w:rsidP="00B35D37">
      <w:pPr>
        <w:pStyle w:val="SntesisDescriptiva"/>
      </w:pPr>
    </w:p>
    <w:p w14:paraId="16A0FDA7" w14:textId="77777777" w:rsidR="00B35D37" w:rsidRDefault="00B35D37" w:rsidP="00B35D37">
      <w:pPr>
        <w:pStyle w:val="SntesisDescriptiva"/>
      </w:pPr>
      <w:r>
        <w:t>Acepta una abstención en el recurso de amparo 1670-2024, promovido por doña Dolores Delgado García en proceso contencioso administrativo.</w:t>
      </w:r>
    </w:p>
    <w:p w14:paraId="6C6D4235" w14:textId="3691E8E9" w:rsidR="00B35D37" w:rsidRDefault="00B35D37" w:rsidP="00B35D37">
      <w:pPr>
        <w:pStyle w:val="SntesisDescriptiva"/>
      </w:pPr>
    </w:p>
    <w:p w14:paraId="728CFFE1" w14:textId="77777777" w:rsidR="00B35D37" w:rsidRDefault="00B35D37" w:rsidP="00B35D37">
      <w:pPr>
        <w:pStyle w:val="SntesisDescriptiva"/>
      </w:pPr>
    </w:p>
    <w:p w14:paraId="32EED106" w14:textId="77777777" w:rsidR="00B35D37" w:rsidRDefault="00B35D37" w:rsidP="00B35D37">
      <w:pPr>
        <w:pStyle w:val="SntesisDescriptiva"/>
      </w:pPr>
    </w:p>
    <w:p w14:paraId="35A0A6A9" w14:textId="77777777" w:rsidR="00B35D37" w:rsidRDefault="00B35D37" w:rsidP="00B35D37">
      <w:pPr>
        <w:pStyle w:val="TextoNormalNegritaCentrado"/>
      </w:pPr>
      <w:r>
        <w:t>AUTO</w:t>
      </w:r>
    </w:p>
    <w:p w14:paraId="1C60312E" w14:textId="314B6CFB" w:rsidR="00B35D37" w:rsidRDefault="00B35D37" w:rsidP="00B35D37">
      <w:pPr>
        <w:pStyle w:val="TextoNormalNegritaCentrado"/>
      </w:pPr>
    </w:p>
    <w:p w14:paraId="6FB78A58" w14:textId="77777777" w:rsidR="00B35D37" w:rsidRDefault="00B35D37" w:rsidP="00B35D37">
      <w:pPr>
        <w:pStyle w:val="TextoNormalNegritaCentrado"/>
        <w:keepNext/>
      </w:pPr>
      <w:r>
        <w:t>I. Antecedentes</w:t>
      </w:r>
    </w:p>
    <w:p w14:paraId="3EA310B6" w14:textId="10C4FA00" w:rsidR="00B35D37" w:rsidRDefault="00B35D37" w:rsidP="00B35D37">
      <w:pPr>
        <w:pStyle w:val="TextoNormalNegritaCentrado"/>
        <w:keepNext/>
      </w:pPr>
    </w:p>
    <w:p w14:paraId="253C560D" w14:textId="77E82F03" w:rsidR="00B35D37" w:rsidRDefault="00B35D37" w:rsidP="00B35D37">
      <w:pPr>
        <w:pStyle w:val="TextoNormal"/>
      </w:pPr>
      <w:r w:rsidRPr="00B35D37">
        <w:rPr>
          <w:rStyle w:val="NumeroAFNegritaCaracter"/>
        </w:rPr>
        <w:t>1</w:t>
      </w:r>
      <w:r>
        <w:t>. Mediante escrito presentado en el registro general de este tribunal el 7 de marzo de 2024, la representación procesal de doña Dolores Delgado García interpuso recurso de amparo contra: (i) la sentencia de la Sección Cuarta de la Sala de lo Contencioso-Administrativo del Tribunal Supremo núm. 1499/2023, de 21 de noviembre, recaída en el procedimiento ordinario núm. 934-2022, y (ii) el auto del mismo órgano judicial de 22 de enero de 2024, que declara no haber lugar al incidente de nulidad de actuaciones interpuesto frente a la citada sentencia.</w:t>
      </w:r>
    </w:p>
    <w:p w14:paraId="0E2F6707" w14:textId="77777777" w:rsidR="00B35D37" w:rsidRDefault="00B35D37" w:rsidP="00B35D37">
      <w:pPr>
        <w:pStyle w:val="TextoNormal"/>
      </w:pPr>
    </w:p>
    <w:p w14:paraId="7864273B" w14:textId="3541F7EC" w:rsidR="00B35D37" w:rsidRDefault="00B35D37" w:rsidP="00B35D37">
      <w:pPr>
        <w:pStyle w:val="TextoNormal"/>
      </w:pPr>
      <w:r w:rsidRPr="00B35D37">
        <w:rPr>
          <w:rStyle w:val="NumeroAFNegritaCaracter"/>
        </w:rPr>
        <w:t>2</w:t>
      </w:r>
      <w:r>
        <w:t>. Por ATC 11/2025, de 28 de enero, el Pleno del Tribunal Constitucional acordó admitir a trámite el recurso de amparo.</w:t>
      </w:r>
    </w:p>
    <w:p w14:paraId="6FE2CF7D" w14:textId="77777777" w:rsidR="00B35D37" w:rsidRDefault="00B35D37" w:rsidP="00B35D37">
      <w:pPr>
        <w:pStyle w:val="TextoNormal"/>
      </w:pPr>
    </w:p>
    <w:p w14:paraId="077BD3DF" w14:textId="77777777" w:rsidR="00B35D37" w:rsidRDefault="00B35D37" w:rsidP="00B35D37">
      <w:pPr>
        <w:pStyle w:val="TextoNormal"/>
      </w:pPr>
      <w:r w:rsidRPr="00B35D37">
        <w:rPr>
          <w:rStyle w:val="NumeroAFNegritaCaracter"/>
        </w:rPr>
        <w:t>3</w:t>
      </w:r>
      <w:r>
        <w:t>. El 12 de febrero de 2025, el magistrado don Cándido Conde-Pumpido Tourón presentó escrito en el que pone en conocimiento del Pleno de este tribunal su voluntad de abstenerse de intervenir en el conocimiento del recurso de amparo núm. 1670-2024 a fin de garantizar el derecho a un proceso con todas las garantías de quienes son parte o se ven afectados por el contenido de la resolución cuestionada en el proceso de amparo.</w:t>
      </w:r>
    </w:p>
    <w:p w14:paraId="0A6E286F" w14:textId="77777777" w:rsidR="00B35D37" w:rsidRDefault="00B35D37" w:rsidP="00B35D37">
      <w:pPr>
        <w:pStyle w:val="TextoNormal"/>
      </w:pPr>
    </w:p>
    <w:p w14:paraId="644FBD14" w14:textId="30FAAD37" w:rsidR="00B35D37" w:rsidRDefault="00B35D37" w:rsidP="00B35D37">
      <w:pPr>
        <w:pStyle w:val="TextoNormal"/>
      </w:pPr>
      <w:r>
        <w:t>Señala el magistrado señor Conde-Pumpido que no se siente personalmente concernido por los intereses que se ventilan en el recurso de amparo 1670-2024 sometido a la consideración del Tribunal Constitucional, ni mantiene ninguna toma de partido anímica previa sobre el contenido del proceso constitucional; sin perjuicio de lo cual, habiendo sido aceptada su abstención en el asunto 7433-2023, por concurrencia de la causa recogida en el apartado duodécimo del art. 219 de la Ley Orgánica del Poder Judicial (LOPJ), y concurriendo la misma causa en el recurso de amparo 1670-2024, ha decidido abstenerse igualmente del conocimiento de este último.</w:t>
      </w:r>
    </w:p>
    <w:p w14:paraId="28A2E9D0" w14:textId="77777777" w:rsidR="00B35D37" w:rsidRDefault="00B35D37" w:rsidP="00B35D37">
      <w:pPr>
        <w:pStyle w:val="TextoNormal"/>
      </w:pPr>
    </w:p>
    <w:p w14:paraId="225B6C0A" w14:textId="77777777" w:rsidR="00B35D37" w:rsidRDefault="00B35D37" w:rsidP="00B35D37">
      <w:pPr>
        <w:pStyle w:val="TextoNormalNegritaCentrado"/>
        <w:keepNext/>
      </w:pPr>
      <w:r>
        <w:t>II. Fundamentos jurídicos</w:t>
      </w:r>
    </w:p>
    <w:p w14:paraId="063F14AF" w14:textId="3D09219E" w:rsidR="00B35D37" w:rsidRDefault="00B35D37" w:rsidP="00B35D37">
      <w:pPr>
        <w:pStyle w:val="TextoNormalNegritaCentrado"/>
        <w:keepNext/>
      </w:pPr>
    </w:p>
    <w:p w14:paraId="00701351" w14:textId="66A1C2B2" w:rsidR="00B35D37" w:rsidRDefault="00B35D37" w:rsidP="00B35D37">
      <w:pPr>
        <w:pStyle w:val="TextoNormal"/>
      </w:pPr>
      <w:r w:rsidRPr="00B35D37">
        <w:rPr>
          <w:rStyle w:val="NumeroAFNegritaCaracter"/>
        </w:rPr>
        <w:t>1</w:t>
      </w:r>
      <w:r>
        <w:t>. El Pleno ha examinado el escrito presentado por el magistrado don Cándido Conde-Pumpido Tourón el 12 de febrero de 2025, en el que comunica su voluntad de abstenerse.</w:t>
      </w:r>
    </w:p>
    <w:p w14:paraId="17F9B6B7" w14:textId="77777777" w:rsidR="00B35D37" w:rsidRDefault="00B35D37" w:rsidP="00B35D37">
      <w:pPr>
        <w:pStyle w:val="TextoNormal"/>
      </w:pPr>
    </w:p>
    <w:p w14:paraId="66736A2C" w14:textId="143E0526" w:rsidR="00B35D37" w:rsidRDefault="00B35D37" w:rsidP="00B35D37">
      <w:pPr>
        <w:pStyle w:val="TextoNormal"/>
      </w:pPr>
      <w:r w:rsidRPr="00B35D37">
        <w:rPr>
          <w:rStyle w:val="NumeroAFNegritaCaracter"/>
        </w:rPr>
        <w:t>2</w:t>
      </w:r>
      <w:r>
        <w:t>.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14:paraId="16F32524" w14:textId="77777777" w:rsidR="00B35D37" w:rsidRDefault="00B35D37" w:rsidP="00B35D37">
      <w:pPr>
        <w:pStyle w:val="TextoNormal"/>
      </w:pPr>
    </w:p>
    <w:p w14:paraId="45BCE6B1" w14:textId="77777777" w:rsidR="00B35D37" w:rsidRDefault="00B35D37" w:rsidP="00B35D37">
      <w:pPr>
        <w:pStyle w:val="TextoNormal"/>
      </w:pPr>
      <w:r>
        <w:t>Por lo expuesto, el Pleno</w:t>
      </w:r>
    </w:p>
    <w:p w14:paraId="4158AB73" w14:textId="01B63286" w:rsidR="00B35D37" w:rsidRDefault="00B35D37" w:rsidP="00B35D37">
      <w:pPr>
        <w:pStyle w:val="TextoNormal"/>
      </w:pPr>
    </w:p>
    <w:p w14:paraId="1596ED15" w14:textId="77777777" w:rsidR="00B35D37" w:rsidRDefault="00B35D37" w:rsidP="00B35D37">
      <w:pPr>
        <w:pStyle w:val="TextoNormalCentrado"/>
      </w:pPr>
      <w:r>
        <w:t>ACUERDA</w:t>
      </w:r>
    </w:p>
    <w:p w14:paraId="76573E33" w14:textId="0BFA1F7E" w:rsidR="00B35D37" w:rsidRDefault="00B35D37" w:rsidP="00B35D37">
      <w:pPr>
        <w:pStyle w:val="TextoNormalCentrado"/>
      </w:pPr>
    </w:p>
    <w:p w14:paraId="4C267BAE" w14:textId="7B63900F" w:rsidR="00B35D37" w:rsidRDefault="00B35D37" w:rsidP="00B35D37">
      <w:pPr>
        <w:pStyle w:val="TextoNormal"/>
      </w:pPr>
      <w:r>
        <w:t>Aceptar la abstención formulada por el magistrado don Cándido Conde-Pumpido Tourón en el recurso de amparo núm. 1670-2024 apartándole definitivamente del conocimiento del referido recurso y de todas sus incidencias.</w:t>
      </w:r>
    </w:p>
    <w:p w14:paraId="03F07DBB" w14:textId="77777777" w:rsidR="00B35D37" w:rsidRDefault="00B35D37" w:rsidP="00B35D37">
      <w:pPr>
        <w:pStyle w:val="TextoNormal"/>
      </w:pPr>
    </w:p>
    <w:p w14:paraId="36626B8A" w14:textId="77777777" w:rsidR="00B35D37" w:rsidRDefault="00B35D37" w:rsidP="00B35D37">
      <w:pPr>
        <w:pStyle w:val="TextoNormal"/>
      </w:pPr>
      <w:r>
        <w:t>Madrid, a doce de febrero de dos mil veinticinco.</w:t>
      </w:r>
    </w:p>
    <w:p w14:paraId="22F9C142" w14:textId="6277CCE1" w:rsidR="00B35D37" w:rsidRDefault="00B35D37">
      <w:pPr>
        <w:spacing w:after="160" w:line="278" w:lineRule="auto"/>
        <w:rPr>
          <w:rFonts w:ascii="Times New Roman" w:eastAsia="Times New Roman" w:hAnsi="Times New Roman" w:cs="Times New Roman"/>
          <w:sz w:val="24"/>
          <w:szCs w:val="24"/>
          <w:lang w:eastAsia="es-ES"/>
        </w:rPr>
      </w:pPr>
      <w:r>
        <w:br w:type="page"/>
      </w:r>
    </w:p>
    <w:p w14:paraId="264883F8" w14:textId="77777777" w:rsidR="00B35D37" w:rsidRDefault="00B35D37" w:rsidP="00B35D37">
      <w:pPr>
        <w:pStyle w:val="TtuloResolucin"/>
      </w:pPr>
      <w:bookmarkStart w:id="157" w:name="AUTO_2025_18"/>
      <w:r>
        <w:t>AUTO 18/2025, de 24 de febrero de 2025</w:t>
      </w:r>
    </w:p>
    <w:bookmarkEnd w:id="157"/>
    <w:p w14:paraId="4267FBDA" w14:textId="77777777" w:rsidR="00B35D37" w:rsidRDefault="00B35D37" w:rsidP="00B35D37">
      <w:pPr>
        <w:pStyle w:val="TtuloResolucin"/>
      </w:pPr>
      <w:r>
        <w:t>Sala Segunda</w:t>
      </w:r>
    </w:p>
    <w:p w14:paraId="1B4CF207" w14:textId="77777777" w:rsidR="00B35D37" w:rsidRDefault="00B35D37" w:rsidP="00B35D37">
      <w:pPr>
        <w:pStyle w:val="TextoNormalCentrado"/>
      </w:pPr>
      <w:r>
        <w:t>ECLI:ES:TC:2025:18A</w:t>
      </w:r>
    </w:p>
    <w:p w14:paraId="6B9E740A" w14:textId="38D69633" w:rsidR="00B35D37" w:rsidRDefault="00B35D37" w:rsidP="00B35D37">
      <w:pPr>
        <w:pStyle w:val="TextoNormalCentrado"/>
      </w:pPr>
    </w:p>
    <w:p w14:paraId="1256C851"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5BC6F063" w14:textId="7A00F8D4" w:rsidR="00B35D37" w:rsidRDefault="00B35D37" w:rsidP="00B35D37">
      <w:pPr>
        <w:pStyle w:val="SntesisDescriptiva"/>
      </w:pPr>
    </w:p>
    <w:p w14:paraId="7486B79E" w14:textId="77777777" w:rsidR="00B35D37" w:rsidRDefault="00B35D37" w:rsidP="00B35D37">
      <w:pPr>
        <w:pStyle w:val="SntesisDescriptiva"/>
      </w:pPr>
      <w:r>
        <w:t>Acuerda la suspensión en el recurso de amparo 6293-2024, promovido por doña Mary Stefany Vargas Huillca en causa penal.</w:t>
      </w:r>
    </w:p>
    <w:p w14:paraId="55F5B977" w14:textId="4ED8F6F3" w:rsidR="00B35D37" w:rsidRDefault="00B35D37" w:rsidP="00B35D37">
      <w:pPr>
        <w:pStyle w:val="SntesisDescriptiva"/>
      </w:pPr>
    </w:p>
    <w:p w14:paraId="648CB31F" w14:textId="77777777" w:rsidR="00B35D37" w:rsidRDefault="00B35D37" w:rsidP="00B35D37">
      <w:pPr>
        <w:pStyle w:val="SntesisDescriptiva"/>
      </w:pPr>
    </w:p>
    <w:p w14:paraId="6CD377DA" w14:textId="77777777" w:rsidR="00B35D37" w:rsidRDefault="00B35D37" w:rsidP="00B35D37">
      <w:pPr>
        <w:pStyle w:val="SntesisDescriptiva"/>
      </w:pPr>
    </w:p>
    <w:p w14:paraId="042C75FF" w14:textId="77777777" w:rsidR="00B35D37" w:rsidRDefault="00B35D37" w:rsidP="00B35D37">
      <w:pPr>
        <w:pStyle w:val="TextoNormalNegritaCentrado"/>
      </w:pPr>
      <w:r>
        <w:t>AUTO</w:t>
      </w:r>
    </w:p>
    <w:p w14:paraId="4FD51638" w14:textId="3CC2470C" w:rsidR="00B35D37" w:rsidRDefault="00B35D37" w:rsidP="00B35D37">
      <w:pPr>
        <w:pStyle w:val="TextoNormalNegritaCentrado"/>
      </w:pPr>
    </w:p>
    <w:p w14:paraId="68D2901C" w14:textId="77777777" w:rsidR="00B35D37" w:rsidRDefault="00B35D37" w:rsidP="00B35D37">
      <w:pPr>
        <w:pStyle w:val="TextoNormalNegritaCentrado"/>
        <w:keepNext/>
      </w:pPr>
      <w:r>
        <w:t>I. Antecedentes</w:t>
      </w:r>
    </w:p>
    <w:p w14:paraId="1A3E15F4" w14:textId="5ADCEF3B" w:rsidR="00B35D37" w:rsidRDefault="00B35D37" w:rsidP="00B35D37">
      <w:pPr>
        <w:pStyle w:val="TextoNormalNegritaCentrado"/>
        <w:keepNext/>
      </w:pPr>
    </w:p>
    <w:p w14:paraId="3A724205" w14:textId="2D210355" w:rsidR="00B35D37" w:rsidRDefault="00B35D37" w:rsidP="00B35D37">
      <w:pPr>
        <w:pStyle w:val="TextoNormal"/>
      </w:pPr>
      <w:r w:rsidRPr="00B35D37">
        <w:rPr>
          <w:rStyle w:val="NumeroAFNegritaCaracter"/>
        </w:rPr>
        <w:t>1</w:t>
      </w:r>
      <w:r>
        <w:t xml:space="preserve">. Por escrito registrado en este tribunal el 2 de septiembre de 2024, el procurador de los tribunales don Domingo Collado Molinero, actuando en nombre y representación de doña Mary Stefany Vargas Huillca y bajo la dirección letrada de doña Nuria Monfort Soria, interpuso recurso de amparo contra las siguientes resoluciones: (i) la sentencia dictada por la Sala de lo Penal del Tribunal Supremo núm. 960/2023, de 21 de diciembre, que estimó el recurso de casación presentado contra la sentencia de la Sala de lo Civil y Penal del Tribunal Superior de Justicia de Cataluña, sección de apelaciones, de 2 de noviembre de 2021, que confirmaba, a su vez, la dictada por la Audiencia Provincial de Barcelona, Sección Tercera, el 22 de junio de 2020, en el sentido de anular ambas resoluciones en lo referido a la absolución de doña Mary Stefany Vargas Huillca del delito contra la salud pública del que se le acusaba, y ordenar el dictado de nueva sentencia que no aplicase a esta la exención de pena prevista para las víctimas de trata de seres humanos en el art. 177 </w:t>
      </w:r>
      <w:r w:rsidRPr="00B35D37">
        <w:rPr>
          <w:i/>
        </w:rPr>
        <w:t>bis</w:t>
      </w:r>
      <w:r>
        <w:t xml:space="preserve"> del Código penal (CP); (ii) el auto dictado por la Sala de lo Penal del Tribunal Supremo el 30 de mayo de 2024, por el que se desestimó el incidente de nulidad de actuaciones interpuesto por la representación procesal de la señora Vargas Huillca frente a la STS 960/2023.</w:t>
      </w:r>
    </w:p>
    <w:p w14:paraId="4A3F0480" w14:textId="77777777" w:rsidR="00B35D37" w:rsidRDefault="00B35D37" w:rsidP="00B35D37">
      <w:pPr>
        <w:pStyle w:val="TextoNormal"/>
      </w:pPr>
    </w:p>
    <w:p w14:paraId="6BE88B24" w14:textId="77777777" w:rsidR="00B35D37" w:rsidRDefault="00B35D37" w:rsidP="00B35D37">
      <w:pPr>
        <w:pStyle w:val="TextoNormal"/>
      </w:pPr>
      <w:r w:rsidRPr="00B35D37">
        <w:rPr>
          <w:rStyle w:val="NumeroAFNegritaCaracter"/>
        </w:rPr>
        <w:t>2</w:t>
      </w:r>
      <w:r>
        <w:t>. Los hechos relevantes para la resolución de la presente pieza de medidas cautelares son los siguientes:</w:t>
      </w:r>
    </w:p>
    <w:p w14:paraId="4893D45B" w14:textId="77777777" w:rsidR="00B35D37" w:rsidRDefault="00B35D37" w:rsidP="00B35D37">
      <w:pPr>
        <w:pStyle w:val="TextoNormal"/>
      </w:pPr>
    </w:p>
    <w:p w14:paraId="6C783390" w14:textId="77777777" w:rsidR="00B35D37" w:rsidRDefault="00B35D37" w:rsidP="00B35D37">
      <w:pPr>
        <w:pStyle w:val="TextoNormal"/>
      </w:pPr>
      <w:r>
        <w:t>a) El 22 de junio de 2020 la Audiencia Provincial de Barcelona, Sección Tercera, dictó sentencia absolviendo a doña Mary Stefany Vargas Huillca del delito contra la salud pública, por tráfico de sustancias que causan grave daño a la salud (cocaína), del que había sido acusada por el Ministerio Fiscal.</w:t>
      </w:r>
    </w:p>
    <w:p w14:paraId="0A738DF3" w14:textId="77777777" w:rsidR="00B35D37" w:rsidRDefault="00B35D37" w:rsidP="00B35D37">
      <w:pPr>
        <w:pStyle w:val="TextoNormal"/>
      </w:pPr>
    </w:p>
    <w:p w14:paraId="3DA80102" w14:textId="77777777" w:rsidR="00B35D37" w:rsidRDefault="00B35D37" w:rsidP="00B35D37">
      <w:pPr>
        <w:pStyle w:val="TextoNormal"/>
      </w:pPr>
      <w:r>
        <w:t>La sentencia declaró probado que el día 11 de agosto de 2019 la señora Vargas Huillca llegó al aeropuerto de Barcelona en un vuelo procedente de Lima (Perú) albergando en el interior de su organismo un total de veinticino preservativos rellenos de cocaína, que en conjunto alcanzaba un peso neto total de 474,80 gramos y una riqueza base del 80,10 por 100, destinada al posterior tráfico. La acusada había sido captada por una organización delictiva dedicada al tráfico internacional de drogas que se aprovechó de su situación de extrema vulnerabilidad, dado que en el momento de producirse los hechos era madre de un bebé de cuatro meses, nacido de forma prematura tras siete meses de embarazo, y residía en un barracón de zinc en uno de los arrabales de Lima junto a su madre, dos hermanos y otras dos personas, siendo los únicos y escasos ingresos los que aportaba la madre. Esta situación de pobreza y necesidad le llevó a insertar anuncios solicitando trabajo de forma urgente y fue contactada por la organización, que le ofreció la cantidad de 4000 € a cambio del transporte de la sustancia. Le facilitaron la obtención del pasaporte y el billete de avión. Después de suministrarle medicación para facilitar la ingesta y el mantenimiento de las bolas en el interior de su cuerpo, estas fueron ingeridas en presencia de las personas que la habían captado, las cuales la transportaron al aeropuerto y le dijeron que a la llegada a su destino la estaría esperando una persona.</w:t>
      </w:r>
    </w:p>
    <w:p w14:paraId="144716EF" w14:textId="77777777" w:rsidR="00B35D37" w:rsidRDefault="00B35D37" w:rsidP="00B35D37">
      <w:pPr>
        <w:pStyle w:val="TextoNormal"/>
      </w:pPr>
    </w:p>
    <w:p w14:paraId="7502107E" w14:textId="77777777" w:rsidR="00B35D37" w:rsidRDefault="00B35D37" w:rsidP="00B35D37">
      <w:pPr>
        <w:pStyle w:val="TextoNormal"/>
      </w:pPr>
      <w:r>
        <w:t xml:space="preserve">La sentencia absolvió a la señora Vargas Huillca aplicando el apartado 11 del art. 177 </w:t>
      </w:r>
      <w:r w:rsidRPr="00B35D37">
        <w:rPr>
          <w:i/>
        </w:rPr>
        <w:t>bis</w:t>
      </w:r>
      <w:r>
        <w:t xml:space="preserve"> CP, que dispone que “la víctima de trata de seres humanos quedará exenta de pena por las infracciones penales que haya cometido en la situación de explotación sufrida, siempre que su participación en ellas haya sido consecuencia directa de la situación de violencia, intimidación, engaño o abuso a que haya sido sometida y que exista una adecuada proporcionalidad entre dicha situación y el hecho criminal realizado.” Justificó la absolución argumentando que la prueba practicada en el acto del juicio permitía declarar a la acusada como víctima de trata de seres humanos. De acuerdo con la sentencia, las manifestaciones realizadas por la misma acusada y el completo informe emitido por SICAR Cat (entidad especializada en la asistencia y protección a víctimas de trata de seres humanos) no dejaban lugar a dudas sobre el cumplimiento de todas las condiciones y circunstancias personales que definen tal concepto, tanto en la legislación internacional, como en el propio art. 177 </w:t>
      </w:r>
      <w:r w:rsidRPr="00B35D37">
        <w:rPr>
          <w:i/>
        </w:rPr>
        <w:t>bis</w:t>
      </w:r>
      <w:r>
        <w:t xml:space="preserve"> CP. Valoró especialmente el informe emitido por la entidad especializada, que venía a corroborar las manifestaciones de la acusada tanto sobre su situación de extrema vulnerabilidad, como sobre la forma de llevar a cabo su captación y explotación para los fines de la organización de transporte internacional de drogas. Afirmó que este informe no solo era el resultado de una investigación seria y concienzuda, sino que venía además acompañado de numeroso material justificativo de sus conclusiones. Entendió que también deben considerarse víctimas de trata de seres humanos, a efectos de poder aplicar la protección que dispensa el art. 177 </w:t>
      </w:r>
      <w:r w:rsidRPr="00B35D37">
        <w:rPr>
          <w:i/>
        </w:rPr>
        <w:t>bis</w:t>
      </w:r>
      <w:r>
        <w:t>.11 CP, aquellas personas explotadas para fines distintos de la prostitución, en concreto, aquellas que lo son para realizar actividades delictivas, como sucede en este caso.</w:t>
      </w:r>
    </w:p>
    <w:p w14:paraId="032EB181" w14:textId="77777777" w:rsidR="00B35D37" w:rsidRDefault="00B35D37" w:rsidP="00B35D37">
      <w:pPr>
        <w:pStyle w:val="TextoNormal"/>
      </w:pPr>
    </w:p>
    <w:p w14:paraId="6FD371AD" w14:textId="77777777" w:rsidR="00B35D37" w:rsidRDefault="00B35D37" w:rsidP="00B35D37">
      <w:pPr>
        <w:pStyle w:val="TextoNormal"/>
      </w:pPr>
      <w:r>
        <w:t xml:space="preserve">b) Contra la sentencia dictada por la Audiencia Provincial se interpuso recurso de apelación por el Ministerio Fiscal. Consideraba el Ministerio Público que se había producido una incorrecta aplicación del art. 177 </w:t>
      </w:r>
      <w:r w:rsidRPr="00B35D37">
        <w:rPr>
          <w:i/>
        </w:rPr>
        <w:t>bis</w:t>
      </w:r>
      <w:r>
        <w:t xml:space="preserve"> CP, ya que los hechos declarados probados en la sentencia no eran susceptibles de subsumirse en el delito de trata de seres humanos, como hacía la sentencia de instancia para aplicar el apartado 11 del precepto, con lo que existía un error en el juicio de inferencia. Estimaba que también se había producido un error en la valoración de la prueba, dado que las manifestaciones de la acusada unidas al informe del SICAR no eran suficientes para acreditar la condición de víctima de trata de seres humanos de aquella. De acuerdo con el recurso del Ministerio Fiscal, esta identificación solo podía llevarse a cabo en el marco del procedimiento administrativo específicamente regulado para ello. Aducía también que no habían quedado acreditados los requisitos que el apartado 11 del art. 177 </w:t>
      </w:r>
      <w:r w:rsidRPr="00B35D37">
        <w:rPr>
          <w:i/>
        </w:rPr>
        <w:t>bis</w:t>
      </w:r>
      <w:r>
        <w:t xml:space="preserve"> CP exigía para que pudiera aplicarse la exención de pena.</w:t>
      </w:r>
    </w:p>
    <w:p w14:paraId="74EBA0D0" w14:textId="77777777" w:rsidR="00B35D37" w:rsidRDefault="00B35D37" w:rsidP="00B35D37">
      <w:pPr>
        <w:pStyle w:val="TextoNormal"/>
      </w:pPr>
    </w:p>
    <w:p w14:paraId="6072D973" w14:textId="77777777" w:rsidR="00B35D37" w:rsidRDefault="00B35D37" w:rsidP="00B35D37">
      <w:pPr>
        <w:pStyle w:val="TextoNormal"/>
      </w:pPr>
      <w:r>
        <w:t xml:space="preserve">c) El recurso fue desestimado por sentencia de la sección de apelaciones de la Sala de lo Civil y Penal del Tribunal Superior de Justicia de Cataluña, que confirmó la resolución recurrida en todos sus extremos. En primer término, la Sala desestimó la existencia de un error jurídico o de inferencia en relación con la atribución a la señora Vargas Huillca de la condición de víctima de trata de seres humanos. Rechazó el argumento de que la atribución de esta condición a una persona solo pueda hacerse en el marco de un concreto procedimiento administrativo porque el Código penal nada dice al respecto, ni remite a procedimiento alguno a tales efectos. Afirmó que el reconocimiento de esta condición podía hacerse perfectamente en el proceso en que se enjuiciase exclusivamente la infracción penal que hubiera cometido la persona sometida a la trata, sin que fuera necesario un pronunciamiento judicial anterior o simultáneo acerca de la existencia misma del delito de trata, ni tampoco que estuviera en marcha un proceso en que se persiguiera y/o juzgase a los tratantes. Bastaba con que, a partir de los hechos presentados y la prueba practicada en juicio, pudiera constatarse el cumplimiento de los requisitos del art. 177 </w:t>
      </w:r>
      <w:r w:rsidRPr="00B35D37">
        <w:rPr>
          <w:i/>
        </w:rPr>
        <w:t>bis</w:t>
      </w:r>
      <w:r>
        <w:t xml:space="preserve">.11 CP. Tras efectuar un nuevo análisis de los hechos que recogía la sentencia de instancia, confirmó que tales hechos se correspondían con los distintos elementos que integran el delito de trata de seres humanos: captación, abuso de una situación de vulnerabilidad de la víctima y explotación para cometer el delito (traslado internacional de la droga). Concluyó que la sentencia de instancia había razonado de manera argumentada la concurrencia de estos presupuestos, y que también se daba el requisito de proporcionalidad que el art. 177 </w:t>
      </w:r>
      <w:r w:rsidRPr="00B35D37">
        <w:rPr>
          <w:i/>
        </w:rPr>
        <w:t>bis</w:t>
      </w:r>
      <w:r>
        <w:t>.11 CP, exige entre el medio comisivo y la actividad delictiva desarrollada, habida cuenta de las penas más graves que el Código penal asigna al delito de trata de seres humanos en comparación con el delito contra la salud pública que se imputaba a la señora Vargas Huillca.</w:t>
      </w:r>
    </w:p>
    <w:p w14:paraId="5897154D" w14:textId="77777777" w:rsidR="00B35D37" w:rsidRDefault="00B35D37" w:rsidP="00B35D37">
      <w:pPr>
        <w:pStyle w:val="TextoNormal"/>
      </w:pPr>
    </w:p>
    <w:p w14:paraId="145AF9C4" w14:textId="77777777" w:rsidR="00B35D37" w:rsidRDefault="00B35D37" w:rsidP="00B35D37">
      <w:pPr>
        <w:pStyle w:val="TextoNormal"/>
      </w:pPr>
      <w:r>
        <w:t>En segundo lugar, la Sala rechazó la existencia de error en la valoración de la prueba. Partiendo de las limitaciones que, tanto los arts. 792.2 y 790.2, párrafo tercero de la Ley de enjuiciamiento criminal, como la doctrina constitucional establecen a la hora de revisar fallos absolutorios, consideró que el tribunal de instancia había valorado la prueba en su integridad, justificándola adecuadamente, y que dicha prueba tenía la aptitud y la consistencia suficientes para sustentar la conclusión alcanzada.</w:t>
      </w:r>
    </w:p>
    <w:p w14:paraId="27F8A65F" w14:textId="77777777" w:rsidR="00B35D37" w:rsidRDefault="00B35D37" w:rsidP="00B35D37">
      <w:pPr>
        <w:pStyle w:val="TextoNormal"/>
      </w:pPr>
    </w:p>
    <w:p w14:paraId="45266E97" w14:textId="77777777" w:rsidR="00B35D37" w:rsidRDefault="00B35D37" w:rsidP="00B35D37">
      <w:pPr>
        <w:pStyle w:val="TextoNormal"/>
      </w:pPr>
      <w:r>
        <w:t>d) Contra dicha sentencia se interpuso recurso de casación por el Ministerio Fiscal, que invocó como motivo único la indebida aplicación del art. 17</w:t>
      </w:r>
      <w:r w:rsidRPr="00B35D37">
        <w:rPr>
          <w:i/>
        </w:rPr>
        <w:t>7 b</w:t>
      </w:r>
      <w:r>
        <w:t>is.11 CP.</w:t>
      </w:r>
    </w:p>
    <w:p w14:paraId="74EFBC3C" w14:textId="77777777" w:rsidR="00B35D37" w:rsidRDefault="00B35D37" w:rsidP="00B35D37">
      <w:pPr>
        <w:pStyle w:val="TextoNormal"/>
      </w:pPr>
    </w:p>
    <w:p w14:paraId="31C3C049" w14:textId="77777777" w:rsidR="00B35D37" w:rsidRDefault="00B35D37" w:rsidP="00B35D37">
      <w:pPr>
        <w:pStyle w:val="TextoNormal"/>
      </w:pPr>
      <w:r>
        <w:t xml:space="preserve">e) El 21 de diciembre de 2023 la Sala de lo Penal del Tribunal Supremo dictó sentencia (STS 960/2023) estimando el recurso de casación. La sentencia de casación afirmó que la excusa absolutoria regulada en el apartado 11 del art. 177 </w:t>
      </w:r>
      <w:r w:rsidRPr="00B35D37">
        <w:rPr>
          <w:i/>
        </w:rPr>
        <w:t>bis</w:t>
      </w:r>
      <w:r>
        <w:t xml:space="preserve"> CP debía incardinarse en la situación de explotación sufrida por la persona víctima del delito de trata de seres humanos, situación que no podía confundirse con un acto aislado de contribución delictiva. Tras hacer un breve repaso por los casos en los que la jurisprudencia del Tribunal había aplicado la excusa absolutoria en el marco de un delito de trata de seres humanos, concluyó que, hasta la fecha, la excusa no había sido aplicada a situaciones que no estuvieran directamente conectadas con la investigación y represión de tal delito, en concreto, al espacio de actuación de otros delitos distintos, que contaban con reglas exonerativas o atenuatorias de la responsabilidad penal propias con las que no debían generarse interferencias jurídicamente improcedentes. La causa judicial sometida a examen no se había seguido por un delito de trata de seres humanos, sino por un delito contra la salud pública. Por ello, proseguía la sentencia, no se describían en los autos los elementos del delito de trata sino de una aportación aislada y esporádica de la acusada a la comisión de un delito contra la salud pública. El Tribunal Supremo consideró que trata y comportamiento penal aislado son incompatibles. La excusa absolutoria regulada en el apartado 11 del art. 177 </w:t>
      </w:r>
      <w:r w:rsidRPr="00B35D37">
        <w:rPr>
          <w:i/>
        </w:rPr>
        <w:t>bis</w:t>
      </w:r>
      <w:r>
        <w:t xml:space="preserve"> CP estaba pensada para una situación de trata de seres humanos, entendiéndose por tal delito aquel que exige una situación de sujeción dotada de cierta permanencia, más o menos prolongada en el tiempo, pero no, desde luego, el acto aislado mismo de aceptar llevar a cabo un viaje internacional para transportar en el organismo cocaína a cambio de 4000 €. En el caso analizado, por lo tanto, no se detectaba captación con vocación de sumisión para sucesivos transportes o para explotación personal, sino un acto ocasional, referido al expresado transporte de droga mediante precio aceptado por la acusada. Como no estábamos ante un asunto de trata de seres humanos, no correspondía aplicar el apartado 11 del art. 177 </w:t>
      </w:r>
      <w:r w:rsidRPr="00B35D37">
        <w:rPr>
          <w:i/>
        </w:rPr>
        <w:t>bis</w:t>
      </w:r>
      <w:r>
        <w:t xml:space="preserve"> CP, sino el cuadro general de causas excluyentes de la responsabilidad penal dibujado por el Código penal, incluido el estado de necesidad también propuesto por la defensa.</w:t>
      </w:r>
    </w:p>
    <w:p w14:paraId="5160A646" w14:textId="77777777" w:rsidR="00B35D37" w:rsidRDefault="00B35D37" w:rsidP="00B35D37">
      <w:pPr>
        <w:pStyle w:val="TextoNormal"/>
      </w:pPr>
    </w:p>
    <w:p w14:paraId="67488C9B" w14:textId="77777777" w:rsidR="00B35D37" w:rsidRDefault="00B35D37" w:rsidP="00B35D37">
      <w:pPr>
        <w:pStyle w:val="TextoNormal"/>
      </w:pPr>
      <w:r>
        <w:t>A todo ello añadió un argumento que calificaba de “práctico”: el riesgo de que la aplicación de la excusa absolutoria en los términos que lo hacía la sentencia recurrida sirviera para potenciar el tráfico de drogas, ya que bastaría con reclutar a personas intensamente necesitadas o contratar a indigentes para reducir a cero el riesgo del transporte.</w:t>
      </w:r>
    </w:p>
    <w:p w14:paraId="71EA0043" w14:textId="77777777" w:rsidR="00B35D37" w:rsidRDefault="00B35D37" w:rsidP="00B35D37">
      <w:pPr>
        <w:pStyle w:val="TextoNormal"/>
      </w:pPr>
    </w:p>
    <w:p w14:paraId="04AE1908" w14:textId="77777777" w:rsidR="00B35D37" w:rsidRDefault="00B35D37" w:rsidP="00B35D37">
      <w:pPr>
        <w:pStyle w:val="TextoNormal"/>
      </w:pPr>
      <w:r>
        <w:t>La estimación del recurso trajo consigo la anulación de la sentencia de la Sala de lo Civil y Penal del Tribunal Superior de Justicia de Cataluña de 2 de noviembre de 2021, solo en la parte a que afectaba el recurso de casación (aplicación de la excusa absolutoria), y la devolución de los autos a la referida Sala para que los remitiese, a su vez, a la Audiencia Provincial de procedencia, para que “se analice en dicho órgano jurisdiccional el resto de alegaciones propuestas por la defensa, que se especifican en la sentencia de primer grado”.</w:t>
      </w:r>
    </w:p>
    <w:p w14:paraId="58BDEF71" w14:textId="77777777" w:rsidR="00B35D37" w:rsidRDefault="00B35D37" w:rsidP="00B35D37">
      <w:pPr>
        <w:pStyle w:val="TextoNormal"/>
      </w:pPr>
    </w:p>
    <w:p w14:paraId="03247540" w14:textId="1BE9A1AC" w:rsidR="00B35D37" w:rsidRDefault="00B35D37" w:rsidP="00B35D37">
      <w:pPr>
        <w:pStyle w:val="TextoNormal"/>
      </w:pPr>
      <w:r>
        <w:t xml:space="preserve">f) Frente a la sentencia de casación se promovió, por la representación procesal de la señora Vargas Huillca, incidente excepcional de nulidad de actuaciones que fue desestimado por auto de la Sala de lo Penal del Tribunal Supremo de 30 de mayo de 2024. El argumento utilizado por la Sala fue que el incidente constituye un verdadero proceso de protección de derechos fundamentales, pero no permite la reiteración del planteamiento de cuestiones ya abordadas y resueltas en la sentencia o auto, con el fin de reproducir el mismo debate que ya quedó concluido con la resolución impugnada. Todas las cuestiones que se plantearon en el escrito de promoción del incidente eran las mismas que se habían planteado en el recurso de casación, y las mismas, por tanto, que fueron tratadas y resueltas en la sentencia, aunque en un sentido diferente al pretendido por la recurrente. Además, no podía afirmarse que la resolución impugnada hubiera causado indefensión a la parte ya que “en definitiva no existe resolución definitiva, puesto que se procede única y exclusivamente a declarar la nulidad de la sentencia y ordenar la retroacción de actuaciones para que sobre la base de lo declarado en la sentencia cuya nulidad se postula (inaplicación del art. 177 </w:t>
      </w:r>
      <w:r w:rsidRPr="00B35D37">
        <w:rPr>
          <w:i/>
        </w:rPr>
        <w:t>bis</w:t>
      </w:r>
      <w:r>
        <w:t>) se proceda a resolver por la Audiencia Provincial sobre la totalidad de las cuestiones planteadas por la defensa”.</w:t>
      </w:r>
    </w:p>
    <w:p w14:paraId="37F478EC" w14:textId="77777777" w:rsidR="00B35D37" w:rsidRDefault="00B35D37" w:rsidP="00B35D37">
      <w:pPr>
        <w:pStyle w:val="TextoNormal"/>
      </w:pPr>
    </w:p>
    <w:p w14:paraId="259F5BE3" w14:textId="77777777" w:rsidR="00B35D37" w:rsidRDefault="00B35D37" w:rsidP="00B35D37">
      <w:pPr>
        <w:pStyle w:val="TextoNormal"/>
      </w:pPr>
      <w:r w:rsidRPr="00B35D37">
        <w:rPr>
          <w:rStyle w:val="NumeroAFNegritaCaracter"/>
        </w:rPr>
        <w:t>3</w:t>
      </w:r>
      <w:r>
        <w:t>. La demanda de amparo se interpone frente a la sentencia de la Sala de lo Penal del Tribunal Supremo núm. 960/2023, de 21 de diciembre, y contra el auto de la misma Sala de 30 de mayo de 2024, por el que se desestima el incidente excepcional de nulidad de actuaciones.</w:t>
      </w:r>
    </w:p>
    <w:p w14:paraId="01A925D2" w14:textId="77777777" w:rsidR="00B35D37" w:rsidRDefault="00B35D37" w:rsidP="00B35D37">
      <w:pPr>
        <w:pStyle w:val="TextoNormal"/>
      </w:pPr>
    </w:p>
    <w:p w14:paraId="4F1BFAE1" w14:textId="77777777" w:rsidR="00B35D37" w:rsidRDefault="00B35D37" w:rsidP="00B35D37">
      <w:pPr>
        <w:pStyle w:val="TextoNormal"/>
      </w:pPr>
      <w:r>
        <w:t>A la STS 960/2023 se le atribuye la vulneración de los siguientes derechos fundamentales:</w:t>
      </w:r>
    </w:p>
    <w:p w14:paraId="3050889A" w14:textId="77777777" w:rsidR="00B35D37" w:rsidRDefault="00B35D37" w:rsidP="00B35D37">
      <w:pPr>
        <w:pStyle w:val="TextoNormal"/>
      </w:pPr>
    </w:p>
    <w:p w14:paraId="534A2998" w14:textId="77777777" w:rsidR="00B35D37" w:rsidRDefault="00B35D37" w:rsidP="00B35D37">
      <w:pPr>
        <w:pStyle w:val="TextoNormal"/>
      </w:pPr>
      <w:r>
        <w:t>a) Derechos a la tutela judicial efectiva (art. 24.1 CE) y a un proceso con todas las garantías (art. 24.2 CE), dado que la sentencia excede los límites establecidos por la ley y la doctrina del Tribunal Constitucional para la anulación de fallos absolutorios. La sentencia de casación niega a la recurrente la condición de víctima de un delito de trata de seres humanos. Esta condición había sido afirmada en las sentencias de la Audiencia Provincial y el Tribunal Superior de Justicia a partir de la valoración de una prueba personal —la declaración de la propia demandante de amparo—, que no pudo ser apreciada de forma directa por el órgano de casación, porque denegó la petición formal de celebración de vista oral y, con ello, la posibilidad de dar audiencia a la señora Vargas Huillca.</w:t>
      </w:r>
    </w:p>
    <w:p w14:paraId="7E9F1105" w14:textId="77777777" w:rsidR="00B35D37" w:rsidRDefault="00B35D37" w:rsidP="00B35D37">
      <w:pPr>
        <w:pStyle w:val="TextoNormal"/>
      </w:pPr>
    </w:p>
    <w:p w14:paraId="0C1FC108" w14:textId="77777777" w:rsidR="00B35D37" w:rsidRDefault="00B35D37" w:rsidP="00B35D37">
      <w:pPr>
        <w:pStyle w:val="TextoNormal"/>
      </w:pPr>
      <w:r>
        <w:t>b) Derecho a la tutela judicial efectiva (art. 24.1 CE) y del principio de contradicción (art. 24.2 CE) puesto que la anulación del pronunciamiento absolutorio se fundamentó en la exigencia de los requisitos de permanencia en la explotación y ausencia de consentimiento para poder apreciar la condición de víctima de trata de seres humanos. Este argumento no había sido invocado por el Ministerio Fiscal en su recurso de casación, ni formó parte del objeto del debate desarrollado durante su sustanciación. De este modo, fue utilizado por el Tribunal Supremo en la sentencia sin que la recurrente en amparo tuviera la posibilidad de contradecirlo y organizar adecuadamente su defensa.</w:t>
      </w:r>
    </w:p>
    <w:p w14:paraId="73BD8386" w14:textId="77777777" w:rsidR="00B35D37" w:rsidRDefault="00B35D37" w:rsidP="00B35D37">
      <w:pPr>
        <w:pStyle w:val="TextoNormal"/>
      </w:pPr>
    </w:p>
    <w:p w14:paraId="741D0E57" w14:textId="77777777" w:rsidR="00B35D37" w:rsidRDefault="00B35D37" w:rsidP="00B35D37">
      <w:pPr>
        <w:pStyle w:val="TextoNormal"/>
      </w:pPr>
      <w:r>
        <w:t xml:space="preserve">c) Derecho a la igualdad en la aplicación de la ley (art. 14 CE), dado que la sentencia de casación se aparta de la jurisprudencia previa del propio Tribunal Supremo, que había afirmado la posibilidad de aplicar el art. 177 </w:t>
      </w:r>
      <w:r w:rsidRPr="00B35D37">
        <w:rPr>
          <w:i/>
        </w:rPr>
        <w:t>bis</w:t>
      </w:r>
      <w:r>
        <w:t>.11 CP, en asuntos en los que no se enjuiciaba directamente un delito de trata de seres humanos; y no justifica en modo alguno dicho apartamiento.</w:t>
      </w:r>
    </w:p>
    <w:p w14:paraId="61FD4FDB" w14:textId="77777777" w:rsidR="00B35D37" w:rsidRDefault="00B35D37" w:rsidP="00B35D37">
      <w:pPr>
        <w:pStyle w:val="TextoNormal"/>
      </w:pPr>
    </w:p>
    <w:p w14:paraId="2F861EC3" w14:textId="77777777" w:rsidR="00B35D37" w:rsidRDefault="00B35D37" w:rsidP="00B35D37">
      <w:pPr>
        <w:pStyle w:val="TextoNormal"/>
      </w:pPr>
      <w:r>
        <w:t xml:space="preserve">d) Derecho a la legalidad penal (art. 25.1 CE), porque la sentencia de casación introduce una serie de requisitos —permanencia en la explotación, inexistencia de consentimiento o enjuiciamiento directo de un delito de trata— para aplicar la exoneración de pena establecida en el apartado 11 del art. 177 </w:t>
      </w:r>
      <w:r w:rsidRPr="00B35D37">
        <w:rPr>
          <w:i/>
        </w:rPr>
        <w:t>bis</w:t>
      </w:r>
      <w:r>
        <w:t xml:space="preserve"> CP que no recoge el precepto legal, que son imprevisibles y que resultan contrarios a la orientación material de dicho precepto con arreglo a los instrumentos internacionales suscritos por el Estado español, de los que deriva. Considera que, dado que el art. 177 </w:t>
      </w:r>
      <w:r w:rsidRPr="00B35D37">
        <w:rPr>
          <w:i/>
        </w:rPr>
        <w:t>bis</w:t>
      </w:r>
      <w:r>
        <w:t>.11 CP procede de la incorporación a nuestro derecho del Convenio núm.197 del Consejo de Europa (Convenio de Varsovia de 16 de mayo de 2005) y de la trasposición de la Directiva 2011/36/UE del Parlamento europeo y del Consejo de 5 abril de 2011, la introducción de estos requisitos nuevos por la vía interpretativa habría precisado, bien de un previo control de convencionalidad en relación con la interpretación que pretendía hacerse, bien del planteamiento de una cuestión prejudicial al Tribunal de Justicia de la Unión Europea.</w:t>
      </w:r>
    </w:p>
    <w:p w14:paraId="6E6C7E6F" w14:textId="77777777" w:rsidR="00B35D37" w:rsidRDefault="00B35D37" w:rsidP="00B35D37">
      <w:pPr>
        <w:pStyle w:val="TextoNormal"/>
      </w:pPr>
    </w:p>
    <w:p w14:paraId="41B501F9" w14:textId="77777777" w:rsidR="00B35D37" w:rsidRDefault="00B35D37" w:rsidP="00B35D37">
      <w:pPr>
        <w:pStyle w:val="TextoNormal"/>
      </w:pPr>
      <w:r>
        <w:t>e) Derecho a la tutela judicial efectiva (art. 24.1) en su dimensión de derecho a obtener una resolución motivada, en relación con la prohibición de discriminación por razón de sexo (art. 14 CE), la integridad física y moral y la prohibición de tratos inhumanos o degradantes (art. 15 CE), la dignidad de la persona y el libre desarrollo de la personalidad (art. 10.1 CE). La sentencia de casación no tiene en cuenta la exigencia constitucional de motivación reforzada en aquellos casos en que la resolución judicial afecte a otros principios constitucionales o derechos fundamentales. En este caso estaban comprometidos bienes constitucionales básicos y derechos fundamentales de la víctima como la prohibición de discriminación por razón de sexo (art. 14 CE), la integridad física y moral y la prohibición de tratos degradantes (art. 15 CE), la dignidad y el libre desarrollo de la personalidad (art. 10.1 CE). Sin embargo, la sentencia de casación no recoge ninguna motivación encaminada a examinar el efecto que la decisión adoptada podría tener sobre estos bienes y derechos constitucionales o a efectuar una ponderación entre estos y el fin que pretendía lograrse con tal decisión.</w:t>
      </w:r>
    </w:p>
    <w:p w14:paraId="63FE3C16" w14:textId="77777777" w:rsidR="00B35D37" w:rsidRDefault="00B35D37" w:rsidP="00B35D37">
      <w:pPr>
        <w:pStyle w:val="TextoNormal"/>
      </w:pPr>
    </w:p>
    <w:p w14:paraId="201FD57B" w14:textId="77777777" w:rsidR="00B35D37" w:rsidRDefault="00B35D37" w:rsidP="00B35D37">
      <w:pPr>
        <w:pStyle w:val="TextoNormal"/>
      </w:pPr>
      <w:r>
        <w:t>Al auto de 30 de mayo de 2024 se imputa la vulneración de los derechos a la tutela judicial efectiva (art. 24.1 CE) y a la igualdad en la aplicación de la ley (art. 14 CE). Considera que el auto incurre en un error patente al negar la posibilidad de interponer el incidente de nulidad en caso de revocación de una sentencia absolutoria con retroacción de actuaciones por entender que no se trata de una decisión definitiva generadora de indefensión.</w:t>
      </w:r>
    </w:p>
    <w:p w14:paraId="3CA1600B" w14:textId="77777777" w:rsidR="00B35D37" w:rsidRDefault="00B35D37" w:rsidP="00B35D37">
      <w:pPr>
        <w:pStyle w:val="TextoNormal"/>
      </w:pPr>
    </w:p>
    <w:p w14:paraId="0051EB3B" w14:textId="77777777" w:rsidR="00B35D37" w:rsidRDefault="00B35D37" w:rsidP="00B35D37">
      <w:pPr>
        <w:pStyle w:val="TextoNormal"/>
      </w:pPr>
      <w:r>
        <w:t>La demandante solicita que se declare la nulidad de las dos resoluciones recurridas y la firmeza de la sentencia núm. 351/2021 de la Sala de lo Civil y Penal del Tribunal Superior de Justicia de Cataluña.</w:t>
      </w:r>
    </w:p>
    <w:p w14:paraId="340A646C" w14:textId="77777777" w:rsidR="00B35D37" w:rsidRDefault="00B35D37" w:rsidP="00B35D37">
      <w:pPr>
        <w:pStyle w:val="TextoNormal"/>
      </w:pPr>
    </w:p>
    <w:p w14:paraId="15A05FFE" w14:textId="55943F12" w:rsidR="00B35D37" w:rsidRDefault="00B35D37" w:rsidP="00B35D37">
      <w:pPr>
        <w:pStyle w:val="TextoNormal"/>
      </w:pPr>
      <w:r>
        <w:t>Por otrosí segundo solicita la suspensión cautelar de los efectos de la resolución impugnada alegando que el dictado de una nueva sentencia, en los términos que ordena la STS núm. 960/2023, podría dar lugar a una condena o a la eventual adopción de medidas cautelares privativas de libertad, que generarían perjuicios irreparables a la actora y podrían hacer perder al amparo su finalidad. Considera igualmente que la suspensión cautelar no ha de generar perturbación grave a los intereses generales o particulares.</w:t>
      </w:r>
    </w:p>
    <w:p w14:paraId="65C4B323" w14:textId="77777777" w:rsidR="00B35D37" w:rsidRDefault="00B35D37" w:rsidP="00B35D37">
      <w:pPr>
        <w:pStyle w:val="TextoNormal"/>
      </w:pPr>
    </w:p>
    <w:p w14:paraId="18191273" w14:textId="77777777" w:rsidR="00B35D37" w:rsidRDefault="00B35D37" w:rsidP="00B35D37">
      <w:pPr>
        <w:pStyle w:val="TextoNormal"/>
      </w:pPr>
      <w:r w:rsidRPr="00B35D37">
        <w:rPr>
          <w:rStyle w:val="NumeroAFNegritaCaracter"/>
        </w:rPr>
        <w:t>4</w:t>
      </w:r>
      <w:r>
        <w:t>. La Sala Segunda del Tribunal Constitucional acordó, mediante providencia de 27 de enero de 2025, la admisión a trámite del recurso por apreciar la concurrencia en el mismo de una especial trascendencia constitucional habida cuenta de que “el recurso plantea un problema o afecta a una faceta de un derecho fundamental sobre el que no hay doctrina de este tribunal [STC 155/2009, de 25 de junio, FJ 2 a)] y puede dar ocasión al Tribunal para aclarar o cambiar su doctrina, como consecuencia de un proceso de reflexión interna [STC 155/2009, FJ 2 b)]”.</w:t>
      </w:r>
    </w:p>
    <w:p w14:paraId="42528552" w14:textId="77777777" w:rsidR="00B35D37" w:rsidRDefault="00B35D37" w:rsidP="00B35D37">
      <w:pPr>
        <w:pStyle w:val="TextoNormal"/>
      </w:pPr>
    </w:p>
    <w:p w14:paraId="512F0A77" w14:textId="6793E03F" w:rsidR="00B35D37" w:rsidRDefault="00B35D37" w:rsidP="00B35D37">
      <w:pPr>
        <w:pStyle w:val="TextoNormal"/>
      </w:pPr>
      <w:r>
        <w:t>Mediante providencia de la misma fecha se acordó formar la oportuna pieza separada de suspensión, en los términos del art. 56 de la Ley Orgánica del Tribunal Constitucional (LOTC), concediendo un plazo común de tres días al recurrente y al Ministerio Fiscal para formular alegaciones.</w:t>
      </w:r>
    </w:p>
    <w:p w14:paraId="62D4DAED" w14:textId="77777777" w:rsidR="00B35D37" w:rsidRDefault="00B35D37" w:rsidP="00B35D37">
      <w:pPr>
        <w:pStyle w:val="TextoNormal"/>
      </w:pPr>
    </w:p>
    <w:p w14:paraId="1230C75B" w14:textId="07C0A954" w:rsidR="00B35D37" w:rsidRDefault="00B35D37" w:rsidP="00B35D37">
      <w:pPr>
        <w:pStyle w:val="TextoNormal"/>
      </w:pPr>
      <w:r w:rsidRPr="00B35D37">
        <w:rPr>
          <w:rStyle w:val="NumeroAFNegritaCaracter"/>
        </w:rPr>
        <w:t>5</w:t>
      </w:r>
      <w:r>
        <w:t xml:space="preserve">. La representación procesal del recurrente ha presentado sus alegaciones mediante escrito registrado en este tribunal el 30 de enero de 2025. En este escrito reitera su petición de suspensión de la ejecución de las resoluciones impugnadas, alegando que el dictado de una nueva sentencia en los términos que dispone la STS 960/2023 constituye un riesgo procesal que justifica la medida interesada, al no ser posible deshacer lo actuado en caso de estimarse posteriormente el amparo. La exclusión forzosa del art. 177 </w:t>
      </w:r>
      <w:r w:rsidRPr="00B35D37">
        <w:rPr>
          <w:i/>
        </w:rPr>
        <w:t>bis</w:t>
      </w:r>
      <w:r>
        <w:t>.11 CP, en el nuevo pronunciamiento judicial vaciaría de contenido el recurso de amparo, cuyo objeto principal es determinar la correcta interpretación y aplicabilidad del precepto. El eventual dictado de una sentencia penal de condena daría lugar, eventualmente, a la adopción de medidas cautelares privativas de libertad que generarían, además, un perjuicio irreparable a la demandante de amparo. La suspensión solicitada no produce, finalmente, ninguna perturbación a otros intereses constitucionalmente protegidos. Es más, y como ha señalado ya la doctrina del Tribunal Constitucional, la suspensión cautelar en este tipo de supuestos sirve para preservar el interés general, conjurando el riesgo de contradicción entre resoluciones judiciales.</w:t>
      </w:r>
    </w:p>
    <w:p w14:paraId="1DA9BECD" w14:textId="77777777" w:rsidR="00B35D37" w:rsidRDefault="00B35D37" w:rsidP="00B35D37">
      <w:pPr>
        <w:pStyle w:val="TextoNormal"/>
      </w:pPr>
    </w:p>
    <w:p w14:paraId="4D507BD0" w14:textId="335C1D52" w:rsidR="00B35D37" w:rsidRDefault="00B35D37" w:rsidP="00B35D37">
      <w:pPr>
        <w:pStyle w:val="TextoNormal"/>
      </w:pPr>
      <w:r w:rsidRPr="00B35D37">
        <w:rPr>
          <w:rStyle w:val="NumeroAFNegritaCaracter"/>
        </w:rPr>
        <w:t>6</w:t>
      </w:r>
      <w:r>
        <w:t>. El fiscal ante el Tribunal Constitucional ha formulado sus alegaciones mediante escrito presentado el 12 de febrero de 2025. En él, tras sintetizar los hechos que han dado lugar al proceso constitucional y la doctrina de este tribunal en desarrollo del art. 56 LOTC, manifiesta su no oposición a la adopción de la medida interesada por entender que concurren, en el presente caso, todos los presupuestos exigidos por dicha doctrina para acordar la suspensión. Considera así que la recurrente ha justificado debidamente el perjuicio que se le irrogaría si no se acordara la suspensión, y que lo ha hecho de forma acertada, pues la suspensión del trámite de dictar nueva sentencia es el único medio para garantizar la eficacia de un fallo estimatorio del amparo, que resultaría incompatible con la nueva sentencia dictada en cumplimiento de lo ordenado por la resolución recurrida. Esto resulta coherente, por lo demás, con la doctrina establecida por el Tribunal Constitucional en casos anteriores análogos.</w:t>
      </w:r>
    </w:p>
    <w:p w14:paraId="21BF4181" w14:textId="77777777" w:rsidR="00B35D37" w:rsidRDefault="00B35D37" w:rsidP="00B35D37">
      <w:pPr>
        <w:pStyle w:val="TextoNormal"/>
      </w:pPr>
    </w:p>
    <w:p w14:paraId="2B7F907A" w14:textId="77777777" w:rsidR="00B35D37" w:rsidRDefault="00B35D37" w:rsidP="00B35D37">
      <w:pPr>
        <w:pStyle w:val="TextoNormalNegritaCentrado"/>
        <w:keepNext/>
      </w:pPr>
      <w:r>
        <w:t>II. Fundamentos jurídicos</w:t>
      </w:r>
    </w:p>
    <w:p w14:paraId="6BBCE21D" w14:textId="483B718A" w:rsidR="00B35D37" w:rsidRDefault="00B35D37" w:rsidP="00B35D37">
      <w:pPr>
        <w:pStyle w:val="TextoNormalNegritaCentrado"/>
        <w:keepNext/>
      </w:pPr>
    </w:p>
    <w:p w14:paraId="5E5AA2D7" w14:textId="1033B573" w:rsidR="00B35D37" w:rsidRDefault="00B35D37" w:rsidP="00B35D37">
      <w:pPr>
        <w:pStyle w:val="TextoNormal"/>
      </w:pPr>
      <w:r w:rsidRPr="00B35D37">
        <w:rPr>
          <w:rStyle w:val="NumeroAFNegritaCaracter"/>
        </w:rPr>
        <w:t>1</w:t>
      </w:r>
      <w:r>
        <w:t>. El art. 56.1 LOTC establece como regla general que la interposición de un recurso de amparo “no suspenderá los efectos del acto o sentencia impugnados”. Añade, sin embargo, el apartado segundo que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14:paraId="56CCFDBB" w14:textId="77777777" w:rsidR="00B35D37" w:rsidRDefault="00B35D37" w:rsidP="00B35D37">
      <w:pPr>
        <w:pStyle w:val="TextoNormal"/>
      </w:pPr>
    </w:p>
    <w:p w14:paraId="4AFB1072" w14:textId="77777777" w:rsidR="00B35D37" w:rsidRDefault="00B35D37" w:rsidP="00B35D37">
      <w:pPr>
        <w:pStyle w:val="TextoNormal"/>
      </w:pPr>
      <w:r w:rsidRPr="00B35D37">
        <w:rPr>
          <w:rStyle w:val="NumeroAFNegritaCaracter"/>
        </w:rPr>
        <w:t>2</w:t>
      </w:r>
      <w:r>
        <w:t>. La interpretación combinada de los dos primeros apartados del art. 56 LOTC determina que la regla general sea el mantenimiento de la eficacia del acto o resolución impugnados, y la suspensión se contemple como excepción a esa regla general, por lo que los parámetros para su adopción han de estar basados en criterios de interpretación restrictiva.</w:t>
      </w:r>
    </w:p>
    <w:p w14:paraId="12683AE1" w14:textId="77777777" w:rsidR="00B35D37" w:rsidRDefault="00B35D37" w:rsidP="00B35D37">
      <w:pPr>
        <w:pStyle w:val="TextoNormal"/>
      </w:pPr>
    </w:p>
    <w:p w14:paraId="631D618C" w14:textId="77777777" w:rsidR="00B35D37" w:rsidRDefault="00B35D37" w:rsidP="00B35D37">
      <w:pPr>
        <w:pStyle w:val="TextoNormal"/>
      </w:pPr>
      <w:r>
        <w:t>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ausencia de una perturbación grave para un interés constitucionalmente protegido.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w:t>
      </w:r>
    </w:p>
    <w:p w14:paraId="621B5DB5" w14:textId="77777777" w:rsidR="00B35D37" w:rsidRDefault="00B35D37" w:rsidP="00B35D37">
      <w:pPr>
        <w:pStyle w:val="TextoNormal"/>
      </w:pPr>
    </w:p>
    <w:p w14:paraId="7ACEDC1B" w14:textId="77777777" w:rsidR="00B35D37" w:rsidRDefault="00B35D37" w:rsidP="00B35D37">
      <w:pPr>
        <w:pStyle w:val="TextoNormal"/>
      </w:pPr>
      <w:r>
        <w:t>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14:paraId="3FC96941" w14:textId="77777777" w:rsidR="00B35D37" w:rsidRDefault="00B35D37" w:rsidP="00B35D37">
      <w:pPr>
        <w:pStyle w:val="TextoNormal"/>
      </w:pPr>
    </w:p>
    <w:p w14:paraId="4EDE374D" w14:textId="1E87D456" w:rsidR="00B35D37" w:rsidRDefault="00B35D37" w:rsidP="00B35D37">
      <w:pPr>
        <w:pStyle w:val="TextoNormal"/>
      </w:pPr>
      <w:r>
        <w:t>Para otorgar la tutela cautelar que prevé el art. 56 LOTC este tribunal viene exigiendo a quien la solicita que, ofreciendo un principio razonable de prueba, alegue o justifique la irreparabilidad o dificultad de la reparación de los perjuicios que se produciría de seguirse la ejecución del acto impugnado. Tal exigencia tiene por objeto mostrar que la ejecución del acto recurrido puede privar a la demanda de amparo de su finalidad, provocando que el restablecimiento del recurrente en el derecho constitucional vulnerado sea tardío y convirtiendo en meramente ilusorio y nominal el amparo (ATC 27/2024, de 8 de abril, por todas).</w:t>
      </w:r>
    </w:p>
    <w:p w14:paraId="30DD9D19" w14:textId="77777777" w:rsidR="00B35D37" w:rsidRDefault="00B35D37" w:rsidP="00B35D37">
      <w:pPr>
        <w:pStyle w:val="TextoNormal"/>
      </w:pPr>
    </w:p>
    <w:p w14:paraId="74AB5BCE" w14:textId="77777777" w:rsidR="00B35D37" w:rsidRDefault="00B35D37" w:rsidP="00B35D37">
      <w:pPr>
        <w:pStyle w:val="TextoNormal"/>
      </w:pPr>
      <w:r w:rsidRPr="00B35D37">
        <w:rPr>
          <w:rStyle w:val="NumeroAFNegritaCaracter"/>
        </w:rPr>
        <w:t>3</w:t>
      </w:r>
      <w:r>
        <w:t>. En el caso sometido a examen concurren todos los requisitos exigidos por la doctrina de este tribunal para adoptar la medida cautelar de suspensión solicitada por la recurrente de amparo.</w:t>
      </w:r>
    </w:p>
    <w:p w14:paraId="7FC1CC9D" w14:textId="77777777" w:rsidR="00B35D37" w:rsidRDefault="00B35D37" w:rsidP="00B35D37">
      <w:pPr>
        <w:pStyle w:val="TextoNormal"/>
      </w:pPr>
    </w:p>
    <w:p w14:paraId="5E1B7C18" w14:textId="77777777" w:rsidR="00B35D37" w:rsidRDefault="00B35D37" w:rsidP="00B35D37">
      <w:pPr>
        <w:pStyle w:val="TextoNormal"/>
      </w:pPr>
      <w:r>
        <w:t>En efecto, como correctamente razona la recurrente en amparo en su escrito de alegaciones, la ejecución de la STS 960/2023 podría conducir al dictado de una nueva sentencia penal condenatoria. Esta eventual sentencia condenatoria resultaría incompatible con la sentencia de absolución de la Sala de lo Civil y Penal del Tribunal Superior de Justicia de Cataluña, que, de estimarse la demanda de amparo conforme a lo solicitado en ella, debería quedar firme tras la anulación de la sentencia recurrida.</w:t>
      </w:r>
    </w:p>
    <w:p w14:paraId="182CEBD1" w14:textId="77777777" w:rsidR="00B35D37" w:rsidRDefault="00B35D37" w:rsidP="00B35D37">
      <w:pPr>
        <w:pStyle w:val="TextoNormal"/>
      </w:pPr>
    </w:p>
    <w:p w14:paraId="00A01B3A" w14:textId="07E6F6B9" w:rsidR="00B35D37" w:rsidRDefault="00B35D37" w:rsidP="00B35D37">
      <w:pPr>
        <w:pStyle w:val="TextoNormal"/>
      </w:pPr>
      <w:r>
        <w:t>Así lo ha venido entendiendo este tribunal en supuestos análogos al que hoy se plantea, en los que ha declarado que la medida cautelar de suspensión no solo no perturba gravemente otros intereses constitucionalmente protegidos o derechos fundamentales de terceras personas; sino que, por el contrario, tiende a preservar el interés general, conjurando el riesgo de contradicción entre resoluciones judiciales, una absolutoria que recobraría su eficacia de estimarse el amparo y otra condenatoria que podría llegar a dictarse en ejecución de la sentencia impugnada (AATC 27/2021, de 15 de marzo, y 27/2024, de 8 de abril).</w:t>
      </w:r>
    </w:p>
    <w:p w14:paraId="3CF8800C" w14:textId="77777777" w:rsidR="00B35D37" w:rsidRDefault="00B35D37" w:rsidP="00B35D37">
      <w:pPr>
        <w:pStyle w:val="TextoNormal"/>
      </w:pPr>
    </w:p>
    <w:p w14:paraId="7A5C5389" w14:textId="77777777" w:rsidR="00B35D37" w:rsidRDefault="00B35D37" w:rsidP="00B35D37">
      <w:pPr>
        <w:pStyle w:val="TextoNormal"/>
      </w:pPr>
      <w:r>
        <w:t>Por lo expuesto, la Sala</w:t>
      </w:r>
    </w:p>
    <w:p w14:paraId="70CFADE5" w14:textId="6A4F2C1D" w:rsidR="00B35D37" w:rsidRDefault="00B35D37" w:rsidP="00B35D37">
      <w:pPr>
        <w:pStyle w:val="TextoNormal"/>
      </w:pPr>
    </w:p>
    <w:p w14:paraId="21D78AF9" w14:textId="77777777" w:rsidR="00B35D37" w:rsidRDefault="00B35D37" w:rsidP="00B35D37">
      <w:pPr>
        <w:pStyle w:val="TextoNormalCentrado"/>
      </w:pPr>
      <w:r>
        <w:t>ACUERDA</w:t>
      </w:r>
    </w:p>
    <w:p w14:paraId="4C6CE5E0" w14:textId="08BBA5E2" w:rsidR="00B35D37" w:rsidRDefault="00B35D37" w:rsidP="00B35D37">
      <w:pPr>
        <w:pStyle w:val="TextoNormalCentrado"/>
      </w:pPr>
    </w:p>
    <w:p w14:paraId="59ADAEDA" w14:textId="7719CD8A" w:rsidR="00B35D37" w:rsidRDefault="00B35D37" w:rsidP="00B35D37">
      <w:pPr>
        <w:pStyle w:val="TextoNormal"/>
      </w:pPr>
      <w:r>
        <w:t>Otorgar, en tanto se resuelva por este tribunal el recurso de amparo núm. 6293-2024, la suspensión solicitada de la sentencia núm. 960/2023, de 21 de diciembre, de la Sala de lo Penal del Tribunal Supremo.</w:t>
      </w:r>
    </w:p>
    <w:p w14:paraId="76C53702" w14:textId="77777777" w:rsidR="00B35D37" w:rsidRDefault="00B35D37" w:rsidP="00B35D37">
      <w:pPr>
        <w:pStyle w:val="TextoNormal"/>
      </w:pPr>
    </w:p>
    <w:p w14:paraId="54A0D9A5" w14:textId="77777777" w:rsidR="00B35D37" w:rsidRDefault="00B35D37" w:rsidP="00B35D37">
      <w:pPr>
        <w:pStyle w:val="TextoNormal"/>
      </w:pPr>
      <w:r>
        <w:t>Madrid, a veinticuatro de febrero de dos mil veinticinco.</w:t>
      </w:r>
    </w:p>
    <w:p w14:paraId="24E0754E" w14:textId="5200F66B" w:rsidR="00B35D37" w:rsidRDefault="00B35D37">
      <w:pPr>
        <w:spacing w:after="160" w:line="278" w:lineRule="auto"/>
        <w:rPr>
          <w:rFonts w:ascii="Times New Roman" w:eastAsia="Times New Roman" w:hAnsi="Times New Roman" w:cs="Times New Roman"/>
          <w:sz w:val="24"/>
          <w:szCs w:val="24"/>
          <w:lang w:eastAsia="es-ES"/>
        </w:rPr>
      </w:pPr>
      <w:r>
        <w:br w:type="page"/>
      </w:r>
    </w:p>
    <w:p w14:paraId="0171D351" w14:textId="77777777" w:rsidR="00B35D37" w:rsidRDefault="00B35D37" w:rsidP="00B35D37">
      <w:pPr>
        <w:pStyle w:val="TtuloResolucin"/>
      </w:pPr>
      <w:bookmarkStart w:id="158" w:name="AUTO_2025_19"/>
      <w:r>
        <w:t>AUTO 19/2025, de 26 de febrero de 2025</w:t>
      </w:r>
    </w:p>
    <w:bookmarkEnd w:id="158"/>
    <w:p w14:paraId="7BBC1B81" w14:textId="77777777" w:rsidR="00B35D37" w:rsidRDefault="00B35D37" w:rsidP="00B35D37">
      <w:pPr>
        <w:pStyle w:val="TtuloResolucin"/>
      </w:pPr>
      <w:r>
        <w:t>Pleno</w:t>
      </w:r>
    </w:p>
    <w:p w14:paraId="6898B742" w14:textId="77777777" w:rsidR="00B35D37" w:rsidRDefault="00B35D37" w:rsidP="00B35D37">
      <w:pPr>
        <w:pStyle w:val="TextoNormalCentrado"/>
      </w:pPr>
      <w:r>
        <w:t>ECLI:ES:TC:2025:19A</w:t>
      </w:r>
    </w:p>
    <w:p w14:paraId="6F3D2436" w14:textId="17A32395" w:rsidR="00B35D37" w:rsidRDefault="00B35D37" w:rsidP="00B35D37">
      <w:pPr>
        <w:pStyle w:val="TextoNormalCentrado"/>
      </w:pPr>
    </w:p>
    <w:p w14:paraId="75C972A7"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905D615" w14:textId="6A31063E" w:rsidR="00B35D37" w:rsidRDefault="00B35D37" w:rsidP="00B35D37">
      <w:pPr>
        <w:pStyle w:val="SntesisDescriptiva"/>
      </w:pPr>
    </w:p>
    <w:p w14:paraId="5F2906CC" w14:textId="77777777" w:rsidR="00B35D37" w:rsidRDefault="00B35D37" w:rsidP="00B35D37">
      <w:pPr>
        <w:pStyle w:val="SntesisDescriptiva"/>
      </w:pPr>
      <w:r>
        <w:t>Inadmite a trámite la cuestión de inconstitucionalidad 7619-2023, planteada por la Sala de lo Social del Tribunal Superior de Justicia del País Vasco, en relación con el artículo 48.4 del texto refundido de la Ley del estatuto de los trabajadores, aprobado por Real Decreto Legislativo 2/2015, de 23 de octubre, y el artículo 177 del texto refundido de la Ley general de la Seguridad Social, aprobado por el Real Decreto Legislativo 8/2015, de 30 de octubre.</w:t>
      </w:r>
    </w:p>
    <w:p w14:paraId="1304F98E" w14:textId="6448FD44" w:rsidR="00B35D37" w:rsidRDefault="00B35D37" w:rsidP="00B35D37">
      <w:pPr>
        <w:pStyle w:val="SntesisDescriptiva"/>
      </w:pPr>
    </w:p>
    <w:p w14:paraId="692EB1E9" w14:textId="77777777" w:rsidR="00B35D37" w:rsidRDefault="00B35D37" w:rsidP="00B35D37">
      <w:pPr>
        <w:pStyle w:val="SntesisDescriptiva"/>
      </w:pPr>
    </w:p>
    <w:p w14:paraId="31184603" w14:textId="77777777" w:rsidR="00B35D37" w:rsidRDefault="00B35D37" w:rsidP="00B35D37">
      <w:pPr>
        <w:pStyle w:val="SntesisDescriptiva"/>
      </w:pPr>
    </w:p>
    <w:p w14:paraId="15B07A6E" w14:textId="77777777" w:rsidR="00B35D37" w:rsidRDefault="00B35D37" w:rsidP="00B35D37">
      <w:pPr>
        <w:pStyle w:val="TextoNormalNegritaCentrado"/>
      </w:pPr>
      <w:r>
        <w:t>AUTO</w:t>
      </w:r>
    </w:p>
    <w:p w14:paraId="49DEE8E2" w14:textId="07990DBB" w:rsidR="00B35D37" w:rsidRDefault="00B35D37" w:rsidP="00B35D37">
      <w:pPr>
        <w:pStyle w:val="TextoNormalNegritaCentrado"/>
      </w:pPr>
    </w:p>
    <w:p w14:paraId="353CD51A" w14:textId="77777777" w:rsidR="00B35D37" w:rsidRDefault="00B35D37" w:rsidP="00B35D37">
      <w:pPr>
        <w:pStyle w:val="TextoNormalNegritaCentrado"/>
        <w:keepNext/>
      </w:pPr>
      <w:r>
        <w:t>I. Antecedentes</w:t>
      </w:r>
    </w:p>
    <w:p w14:paraId="7243F9E6" w14:textId="34D6F334" w:rsidR="00B35D37" w:rsidRDefault="00B35D37" w:rsidP="00B35D37">
      <w:pPr>
        <w:pStyle w:val="TextoNormalNegritaCentrado"/>
        <w:keepNext/>
      </w:pPr>
    </w:p>
    <w:p w14:paraId="250DCDCD" w14:textId="7412F8FD" w:rsidR="00B35D37" w:rsidRDefault="00B35D37" w:rsidP="00B35D37">
      <w:pPr>
        <w:pStyle w:val="TextoNormal"/>
      </w:pPr>
      <w:r w:rsidRPr="00B35D37">
        <w:rPr>
          <w:rStyle w:val="NumeroAFNegritaCaracter"/>
        </w:rPr>
        <w:t>1</w:t>
      </w:r>
      <w:r>
        <w:t>. El 1 de diciembre de 2023 tuvo entrada en el registro general de este tribunal un oficio de la Sala de lo Social del Tribunal Superior de Justicia del País Vasco, remitiendo testimonio del auto de 28 de noviembre de 2023, dictado en el recurso de suplicación núm. 1640-2023, por el que se acuerda plantear cuestión de inconstitucionalidad respecto del art. 48.4 del texto refundido de la Ley del estatuto de los trabajadores, aprobado por Real Decreto Legislativo 2/2015, de 23 de octubre (LET), y del art. 177 del texto refundido de la Ley general de la Seguridad Social, aprobado por Real Decreto Legislativo 8/2015, de 30 de octubre (LGSS), en la redacción dada en ambos casos por el Real Decreto-ley 6/2019, de 1 de marzo, de medidas urgentes para garantía de la igualdad de trato y de oportunidades entre mujeres y hombres en el empleo y la ocupación, por posible vulneración de los arts. 14, 39 y 41 de la Constitución Española.</w:t>
      </w:r>
    </w:p>
    <w:p w14:paraId="36E728AE" w14:textId="77777777" w:rsidR="00B35D37" w:rsidRDefault="00B35D37" w:rsidP="00B35D37">
      <w:pPr>
        <w:pStyle w:val="TextoNormal"/>
      </w:pPr>
    </w:p>
    <w:p w14:paraId="6C882A66" w14:textId="77777777" w:rsidR="00B35D37" w:rsidRDefault="00B35D37" w:rsidP="00B35D37">
      <w:pPr>
        <w:pStyle w:val="TextoNormal"/>
      </w:pPr>
      <w:r w:rsidRPr="00B35D37">
        <w:rPr>
          <w:rStyle w:val="NumeroAFNegritaCaracter"/>
        </w:rPr>
        <w:t>2</w:t>
      </w:r>
      <w:r>
        <w:t>. Los antecedentes de hecho relevantes para el examen de la cuestión son los siguientes:</w:t>
      </w:r>
    </w:p>
    <w:p w14:paraId="3B0CF580" w14:textId="77777777" w:rsidR="00B35D37" w:rsidRDefault="00B35D37" w:rsidP="00B35D37">
      <w:pPr>
        <w:pStyle w:val="TextoNormal"/>
      </w:pPr>
    </w:p>
    <w:p w14:paraId="2ADE7EFC" w14:textId="77777777" w:rsidR="00B35D37" w:rsidRDefault="00B35D37" w:rsidP="00B35D37">
      <w:pPr>
        <w:pStyle w:val="TextoNormal"/>
      </w:pPr>
      <w:r>
        <w:t>a) A doña Leire Etxebarria Gaztelu le fue reconocida por el Instituto Nacional de la Seguridad Social (INSS) prestación por nacimiento de hijo con duración de dieciséis semanas por medio de resolución de 16 de febrero de 2022. El 24 de junio siguiente solicitó la ampliación de la prestación alegando ser una “familia monoparental” y no existir otro progenitor. Su petición fue rechazada el 13 de julio de 2022. La posterior reclamación previa también lo fue en fecha 18 de julio siguiente.</w:t>
      </w:r>
    </w:p>
    <w:p w14:paraId="6A3C4466" w14:textId="77777777" w:rsidR="00B35D37" w:rsidRDefault="00B35D37" w:rsidP="00B35D37">
      <w:pPr>
        <w:pStyle w:val="TextoNormal"/>
      </w:pPr>
    </w:p>
    <w:p w14:paraId="2A8C5AFA" w14:textId="77777777" w:rsidR="00B35D37" w:rsidRDefault="00B35D37" w:rsidP="00B35D37">
      <w:pPr>
        <w:pStyle w:val="TextoNormal"/>
      </w:pPr>
      <w:r>
        <w:t>b) A la vista de la denegación de su reclamación, presentó demanda en la vía judicial, dando lugar a los autos núm. 750-2022 seguidos ante el Juzgado de lo Social núm. 10 de Bilbao, siendo desestimada por sentencia de 25 de mayo de 2023 conforme a la doctrina mantenida por la sentencia de la Sala de lo Social del Tribunal Supremo, de 2 de marzo de 2023 (recurso de casación para unificación de doctrina núm. 3972-2020, ECLI:ES:TS:2023:783).</w:t>
      </w:r>
    </w:p>
    <w:p w14:paraId="2084AF7C" w14:textId="77777777" w:rsidR="00B35D37" w:rsidRDefault="00B35D37" w:rsidP="00B35D37">
      <w:pPr>
        <w:pStyle w:val="TextoNormal"/>
      </w:pPr>
    </w:p>
    <w:p w14:paraId="257C940F" w14:textId="77777777" w:rsidR="00B35D37" w:rsidRDefault="00B35D37" w:rsidP="00B35D37">
      <w:pPr>
        <w:pStyle w:val="TextoNormal"/>
      </w:pPr>
      <w:r>
        <w:t>c) Frente a esa sentencia, la parte actora formuló recurso de suplicación (núm. 1640-2023) denunciando la infracción de los arts. 14 y 39 CE por discriminación por indiferenciación en el trato de la familia monoparental respecto de la biparental, fundando su pretensión en lo mantenido en la sentencia del Tribunal Superior de Justicia del País Vasco de 4 de enero de 2022 (ECLI:ES:TSJPV:2022:4332) en la que se había mantenido el criterio postulado por la recurrente. Al recurso se opuso el INSS, apoyándose en la sentencia de la Sala de lo Social Tribunal Supremo anteriormente citada.</w:t>
      </w:r>
    </w:p>
    <w:p w14:paraId="7E16D750" w14:textId="77777777" w:rsidR="00B35D37" w:rsidRDefault="00B35D37" w:rsidP="00B35D37">
      <w:pPr>
        <w:pStyle w:val="TextoNormal"/>
      </w:pPr>
    </w:p>
    <w:p w14:paraId="1A4143BA" w14:textId="77777777" w:rsidR="00B35D37" w:rsidRDefault="00B35D37" w:rsidP="00B35D37">
      <w:pPr>
        <w:pStyle w:val="TextoNormal"/>
      </w:pPr>
      <w:r>
        <w:t>d) Por providencia de 14 de noviembre de 2023 la Sala de lo Social del Tribunal Superior de Justicia del País Vasco, de conformidad con lo dispuesto en el art. 35.2 de la Ley Orgánica del Tribunal Constitucional (LOTC), acordó oír a las partes y al Ministerio Fiscal por el término común de diez días sobre la pertinencia de plantear cuestión de inconstitucionalidad con relación al art. 177 LGSS y al art. 48.4 LET por posible vulneración de los arts. 39, apartados 1, 2, 3 y 4; 14 y 41 CE.</w:t>
      </w:r>
    </w:p>
    <w:p w14:paraId="46F3C44D" w14:textId="77777777" w:rsidR="00B35D37" w:rsidRDefault="00B35D37" w:rsidP="00B35D37">
      <w:pPr>
        <w:pStyle w:val="TextoNormal"/>
      </w:pPr>
    </w:p>
    <w:p w14:paraId="2CDF9E10" w14:textId="77777777" w:rsidR="00B35D37" w:rsidRDefault="00B35D37" w:rsidP="00B35D37">
      <w:pPr>
        <w:pStyle w:val="TextoNormal"/>
      </w:pPr>
      <w:r>
        <w:t>e) Evacuando el trámite de alegaciones conferido, el Ministerio Fiscal presentó escrito indicando que dado el contenido de la providencia no procedía analizar si los artículos cuestionados respetaban las normas constitucionales, y ello sin perjuicio del informe que en su día pudiera emitirse por el fiscal general del Estado. La entidad gestora señaló, por su parte, que no concurría ningún vicio de inconstitucionalidad en la norma, existiendo resoluciones judiciales sobre la cuestión de fondo suscitada en la demanda que desestimaban el derecho reclamado; y la representación letrada de la demandante consideró la pertinencia de plantear cuestión de inconstitucionalidad al amparo de los arts. 41, 14 y 39.2 CE con respecto al contenido de la prestación regulada en los arts. 177 LGSS y 48.4 LET.</w:t>
      </w:r>
    </w:p>
    <w:p w14:paraId="6712170C" w14:textId="77777777" w:rsidR="00B35D37" w:rsidRDefault="00B35D37" w:rsidP="00B35D37">
      <w:pPr>
        <w:pStyle w:val="TextoNormal"/>
      </w:pPr>
    </w:p>
    <w:p w14:paraId="5A61B129" w14:textId="0F61BA5F" w:rsidR="00B35D37" w:rsidRDefault="00B35D37" w:rsidP="00B35D37">
      <w:pPr>
        <w:pStyle w:val="TextoNormal"/>
      </w:pPr>
      <w:r>
        <w:t>f) Por auto de 28 de noviembre de 2023 la Sala de lo Social del Tribunal Superior de Justicia del País Vasco acordó plantear la presente cuestión de inconstitucionalidad, para que este tribunal se pronuncie sobre la constitucionalidad de los arts. 177 LGSS y 48.4 LET, por posible vulneración de los arts. 39 (apartados 1, 2, 3 y 4), 14 y 41 CE.</w:t>
      </w:r>
    </w:p>
    <w:p w14:paraId="75994086" w14:textId="77777777" w:rsidR="00B35D37" w:rsidRDefault="00B35D37" w:rsidP="00B35D37">
      <w:pPr>
        <w:pStyle w:val="TextoNormal"/>
      </w:pPr>
    </w:p>
    <w:p w14:paraId="18C9B355" w14:textId="74B45455" w:rsidR="00B35D37" w:rsidRDefault="00B35D37" w:rsidP="00B35D37">
      <w:pPr>
        <w:pStyle w:val="TextoNormal"/>
      </w:pPr>
      <w:r w:rsidRPr="00B35D37">
        <w:rPr>
          <w:rStyle w:val="NumeroAFNegritaCaracter"/>
        </w:rPr>
        <w:t>3</w:t>
      </w:r>
      <w:r>
        <w:t>. En el auto de planteamiento de la cuestión, el Tribunal Superior de Justicia proponente recuerda la realidad social subyacente, subrayando que en España la gran mayoría de familias monoparentales (un total de 1 944 800) están formadas por mujeres (1 582 100) y que los hijos nacidos en tales familias disfrutan de la mitad del permiso por nacimiento de hijo del que disfrutan las familias biparentales. Señala que, dado que la actora pide el subsidio de nacimiento y cuidado del menor, regulados en el art. 177 LGSS, que reconduce al art. 48.4 LET, para resolver su pretensión (ampliación del permiso) resulta necesario acudir a ambos preceptos. La cuestión planteada incide, pues, en el derecho de la madre-progenitora de disfrutar de la suspensión de su contrato por maternidad y cuidado de hijo (art. 48.4 LET), atendiendo al hecho biológico de la maternidad, la protección del menor, la conciliación y la equiparación de roles entre el hombre y mujer. Posteriormente se afirma que: (i) los preceptos cuestionados, al no contemplar el supuesto de las familias monoparentales, supondrían la quiebra de la protección de los menores y del principio de igualdad que afecta al niño y al progenitor integrantes de una familia monoparental; (ii) la normativa comunitaria, que sirve de parámetro interpretativo de las normas incluye el fenómeno de la “monoparentalidad” como realidad social susceptible de tratamiento; (iii) el legislador es consciente de las necesidades de tales familias y solo las ha tenido en cuenta en la prestación de carácter no contributivo [art. 182.2 b) LGSS]; (iv) las normas deben interpretarse teniendo en cuenta el “interés superior del menor”, tal y como lo impone la normativa internacional y la legislación nacional; (v) los preceptos cuestionados no tratan a todos los hijos como iguales ante la ley, vedando a los de las familias monoparentales la protección que requiere el art. 39.2 CE, al proporcionarles una atención de su progenitor sustancialmente inferior a la de las familias biparentales; (vi) la normativa introduce, por lo tanto, una distinción contraria a la igualdad de los niños por su filiación y de las madres por su estado civil; (vii) las normas cuestionadas podrían contravenir el deber-derecho de asistencia a los menores por parte de los padres respecto de los hijos, al fijar una extensión diferente para los hogares monoparentales respecto a los biparentales, acogiendo un modelo familiar (el matrimonial), excluyendo otro posible, real y existente; (viii) se estaría discriminando no solo al menor, sino también a la madre al no respetarse su opción ideológica de formar una familia monoparental, cuando los poderes públicos deben asegurar la protección de la familia partiendo de su pluralidad y no basándose en la unicidad consistente en el matrimonio y en la familia biparental; y (ix) las normas controvertidas podrían incumplir las finalidades de protección de los riesgos sociales como el fomento de la protección integral de la infancia, de la conciliación y de la vida familiar y laboral, así como la integración igualitaria de la mujer en el mercado de trabajo, erradicando la feminización de la pobreza, y protegiendo al niño y la natalidad.</w:t>
      </w:r>
    </w:p>
    <w:p w14:paraId="342B9EB9" w14:textId="77777777" w:rsidR="00B35D37" w:rsidRDefault="00B35D37" w:rsidP="00B35D37">
      <w:pPr>
        <w:pStyle w:val="TextoNormal"/>
      </w:pPr>
    </w:p>
    <w:p w14:paraId="092742AF" w14:textId="28D9904D" w:rsidR="00B35D37" w:rsidRDefault="00B35D37" w:rsidP="00B35D37">
      <w:pPr>
        <w:pStyle w:val="TextoNormal"/>
      </w:pPr>
      <w:r w:rsidRPr="00B35D37">
        <w:rPr>
          <w:rStyle w:val="NumeroAFNegritaCaracter"/>
        </w:rPr>
        <w:t>4</w:t>
      </w:r>
      <w:r>
        <w:t>. Por providencia de 14 de enero de 2025, el Pleno de este tribunal acordó oír al fiscal general del Estado para que, de conformidad con el art. 37.1 LOTC, alegase en el plazo de diez días lo que considerase oportuno acerca de la posible pérdida sobrevenida del objeto de la presente cuestión de inconstitucionalidad a la vista de la STC 140/2024, de 6 de noviembre.</w:t>
      </w:r>
    </w:p>
    <w:p w14:paraId="325DB570" w14:textId="77777777" w:rsidR="00B35D37" w:rsidRDefault="00B35D37" w:rsidP="00B35D37">
      <w:pPr>
        <w:pStyle w:val="TextoNormal"/>
      </w:pPr>
    </w:p>
    <w:p w14:paraId="1BFA93B2" w14:textId="78BB6A02" w:rsidR="00B35D37" w:rsidRDefault="00B35D37" w:rsidP="00B35D37">
      <w:pPr>
        <w:pStyle w:val="TextoNormal"/>
      </w:pPr>
      <w:r w:rsidRPr="00B35D37">
        <w:rPr>
          <w:rStyle w:val="NumeroAFNegritaCaracter"/>
        </w:rPr>
        <w:t>5</w:t>
      </w:r>
      <w:r>
        <w:t>. Con fecha de 12 de febrero de 2025, se evacuó el trámite de alegaciones por el fiscal general del Estado interesando que se declare la pérdida sobrevenida del objeto de la cuestión de inconstitucionalidad planteada al haberse pronunciado la STC 140/2024 sobre todos los preceptos cuya constitucionalidad se duda, declarando la inconstitucionalidad de los que eran aplicables tanto en aquel proceso laboral como en el que ha dado lugar a la presente cuestión de inconstitucionalidad.</w:t>
      </w:r>
    </w:p>
    <w:p w14:paraId="24EF26A5" w14:textId="77777777" w:rsidR="00B35D37" w:rsidRDefault="00B35D37" w:rsidP="00B35D37">
      <w:pPr>
        <w:pStyle w:val="TextoNormal"/>
      </w:pPr>
    </w:p>
    <w:p w14:paraId="5EDFDBA4" w14:textId="77777777" w:rsidR="00B35D37" w:rsidRDefault="00B35D37" w:rsidP="00B35D37">
      <w:pPr>
        <w:pStyle w:val="TextoNormalNegritaCentrado"/>
        <w:keepNext/>
      </w:pPr>
      <w:r>
        <w:t>II. Fundamentos jurídicos</w:t>
      </w:r>
    </w:p>
    <w:p w14:paraId="6F882019" w14:textId="544464E7" w:rsidR="00B35D37" w:rsidRDefault="00B35D37" w:rsidP="00B35D37">
      <w:pPr>
        <w:pStyle w:val="TextoNormalNegritaCentrado"/>
        <w:keepNext/>
      </w:pPr>
    </w:p>
    <w:p w14:paraId="6E15E692" w14:textId="77777777" w:rsidR="00B35D37" w:rsidRDefault="00B35D37" w:rsidP="00B35D37">
      <w:pPr>
        <w:pStyle w:val="TextoNormal"/>
      </w:pPr>
      <w:r w:rsidRPr="00B35D37">
        <w:rPr>
          <w:rStyle w:val="TextoNormalNegritaCaracter"/>
        </w:rPr>
        <w:t xml:space="preserve">Único. </w:t>
      </w:r>
      <w:r>
        <w:t>La Sala de lo Social del Tribunal Superior de Justicia del País Vasco plantea por auto de 28 de noviembre de 2023, cuestión de inconstitucionalidad respecto del art. 48.4 del texto refundido de la Ley del estatuto de los trabajadores, aprobado por Real Decreto Legislativo 2/2015, de 23 de octubre (LET) y del art. 177 del texto refundido de la Ley general de la Seguridad Social, aprobado por Real Decreto Legislativo 8/2015, de 30 de octubre (LGSS), en la redacción dada en ambos casos por el Real Decreto-ley 6/2019, de 1 de marzo, de medidas urgentes para garantía de la igualdad de trato y de oportunidades entre mujeres y hombres en el empleo y la ocupación, por posible vulneración de los arts. 14, 39 y 41 CE.</w:t>
      </w:r>
    </w:p>
    <w:p w14:paraId="548CB8DC" w14:textId="77777777" w:rsidR="00B35D37" w:rsidRDefault="00B35D37" w:rsidP="00B35D37">
      <w:pPr>
        <w:pStyle w:val="TextoNormal"/>
      </w:pPr>
    </w:p>
    <w:p w14:paraId="3E3F432D" w14:textId="77777777" w:rsidR="00B35D37" w:rsidRDefault="00B35D37" w:rsidP="00B35D37">
      <w:pPr>
        <w:pStyle w:val="TextoNormal"/>
      </w:pPr>
      <w:r>
        <w:t>Conforme reiterada doctrina de este tribunal, cuando han sido declarados inconstitucionales los preceptos cuestionados, las posteriores cuestiones de inconstitucionalidad sobre los mismos pierden su objeto [por todas, STC 153/2019, de 25 de noviembre, FJ único b); y AATC 267/2002, de 10 de diciembre, FJ 2, y 103/2024, de 22 de octubre, FJ 2].</w:t>
      </w:r>
    </w:p>
    <w:p w14:paraId="67A8FB5A" w14:textId="77777777" w:rsidR="00B35D37" w:rsidRDefault="00B35D37" w:rsidP="00B35D37">
      <w:pPr>
        <w:pStyle w:val="TextoNormal"/>
      </w:pPr>
    </w:p>
    <w:p w14:paraId="36D93773" w14:textId="77777777" w:rsidR="00B35D37" w:rsidRDefault="00B35D37" w:rsidP="00B35D37">
      <w:pPr>
        <w:pStyle w:val="TextoNormal"/>
      </w:pPr>
      <w:r>
        <w:t>Este tribunal observa la pérdida sobrevenida del objeto de esta cuestión ya que, como ha advertido el fiscal general del Estado en su escrito de alegaciones, los preceptos que se cuestionan (arts. 48.4 LET y 177 LGSS) han sido recientemente declarados inconstitucionales por la STC 140/2024, de 6 de noviembre, al resolver la cuestión de inconstitucionalidad núm. 6694-2023 planteada por la Sala de lo Social del Tribunal Superior de Justicia de Cataluña en un caso análogo al de autos (reclamación por una madre de familia monoparental de la ampliación del permiso por nacimiento y cuidado de hijo en la parte que hubiera correspondido al otro progenitor de haberse tratado de una familia biparental) y en el que se ponían de manifiesto por el órgano judicial las mismas dudas de constitucionalidad respecto de la referida regulación legal (eventual infracción de los arts. 14, 39 y 41 CE).</w:t>
      </w:r>
    </w:p>
    <w:p w14:paraId="639F2BD6" w14:textId="77777777" w:rsidR="00B35D37" w:rsidRDefault="00B35D37" w:rsidP="00B35D37">
      <w:pPr>
        <w:pStyle w:val="TextoNormal"/>
      </w:pPr>
    </w:p>
    <w:p w14:paraId="4CD9204F" w14:textId="77777777" w:rsidR="00B35D37" w:rsidRDefault="00B35D37" w:rsidP="00B35D37">
      <w:pPr>
        <w:pStyle w:val="TextoNormal"/>
      </w:pPr>
      <w:r>
        <w:t>Pues bien, en la citada STC 140/2024 hemos declarado la inconstitucionalidad —sin nulidad— de los referidos preceptos legales al apreciar que a pesar del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0D7C9DC" w14:textId="77777777" w:rsidR="00B35D37" w:rsidRDefault="00B35D37" w:rsidP="00B35D37">
      <w:pPr>
        <w:pStyle w:val="TextoNormal"/>
      </w:pPr>
    </w:p>
    <w:p w14:paraId="7CC88CD3" w14:textId="77777777" w:rsidR="00B35D37" w:rsidRDefault="00B35D37" w:rsidP="00B35D37">
      <w:pPr>
        <w:pStyle w:val="TextoNormal"/>
      </w:pPr>
      <w:r>
        <w:t xml:space="preserve">En tal sentido, se ha apreciado que 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B35D37">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15362611" w14:textId="77777777" w:rsidR="00B35D37" w:rsidRDefault="00B35D37" w:rsidP="00B35D37">
      <w:pPr>
        <w:pStyle w:val="TextoNormal"/>
      </w:pPr>
    </w:p>
    <w:p w14:paraId="2677104F" w14:textId="3891D24C" w:rsidR="00B35D37" w:rsidRDefault="00B35D37" w:rsidP="00B35D37">
      <w:pPr>
        <w:pStyle w:val="TextoNormal"/>
      </w:pPr>
      <w:r>
        <w:t>A la vista de ello, dado que la citada STC 140/2024, de 6 de noviembre se ha pronunciado ya sobre la adecuación o no a la Constitución de los preceptos legales controvertidos en este caso, llegando a la conclusión de que son inconstitucionales, cabe apreciar que la presente cuestión de constitucionalidad, que pretende lo mismo, ha perdido su objeto.</w:t>
      </w:r>
    </w:p>
    <w:p w14:paraId="4B06A985" w14:textId="77777777" w:rsidR="00B35D37" w:rsidRDefault="00B35D37" w:rsidP="00B35D37">
      <w:pPr>
        <w:pStyle w:val="TextoNormal"/>
      </w:pPr>
    </w:p>
    <w:p w14:paraId="7D3A4ED1" w14:textId="77777777" w:rsidR="00B35D37" w:rsidRDefault="00B35D37" w:rsidP="00B35D37">
      <w:pPr>
        <w:pStyle w:val="TextoNormal"/>
      </w:pPr>
      <w:r>
        <w:t>Por lo expuesto, el Pleno</w:t>
      </w:r>
    </w:p>
    <w:p w14:paraId="3EA25E15" w14:textId="76001BE0" w:rsidR="00B35D37" w:rsidRDefault="00B35D37" w:rsidP="00B35D37">
      <w:pPr>
        <w:pStyle w:val="TextoNormal"/>
      </w:pPr>
    </w:p>
    <w:p w14:paraId="171A2F47" w14:textId="77777777" w:rsidR="00B35D37" w:rsidRDefault="00B35D37" w:rsidP="00B35D37">
      <w:pPr>
        <w:pStyle w:val="TextoNormalCentrado"/>
      </w:pPr>
      <w:r>
        <w:t>ACUERDA</w:t>
      </w:r>
    </w:p>
    <w:p w14:paraId="68505B5E" w14:textId="6DCE1C22" w:rsidR="00B35D37" w:rsidRDefault="00B35D37" w:rsidP="00B35D37">
      <w:pPr>
        <w:pStyle w:val="TextoNormalCentrado"/>
      </w:pPr>
    </w:p>
    <w:p w14:paraId="5FF8CC1C" w14:textId="66BB3246" w:rsidR="00B35D37" w:rsidRDefault="00B35D37" w:rsidP="00B35D37">
      <w:pPr>
        <w:pStyle w:val="TextoNormal"/>
      </w:pPr>
      <w:r>
        <w:t>Declarar la inadmisión de la presente cuestión de inconstitucionalidad, por desaparición sobrevenida de su objeto.</w:t>
      </w:r>
    </w:p>
    <w:p w14:paraId="183CD941" w14:textId="77777777" w:rsidR="00B35D37" w:rsidRDefault="00B35D37" w:rsidP="00B35D37">
      <w:pPr>
        <w:pStyle w:val="TextoNormal"/>
      </w:pPr>
    </w:p>
    <w:p w14:paraId="504635B3" w14:textId="77777777" w:rsidR="00B35D37" w:rsidRDefault="00B35D37" w:rsidP="00B35D37">
      <w:pPr>
        <w:pStyle w:val="TextoNormal"/>
      </w:pPr>
      <w:r>
        <w:t>Madrid, a veintiséis de febrero de dos mil veinticinco.</w:t>
      </w:r>
    </w:p>
    <w:p w14:paraId="4343709D" w14:textId="0D441346" w:rsidR="00B35D37" w:rsidRDefault="00B35D37">
      <w:pPr>
        <w:spacing w:after="160" w:line="278" w:lineRule="auto"/>
        <w:rPr>
          <w:rFonts w:ascii="Times New Roman" w:eastAsia="Times New Roman" w:hAnsi="Times New Roman" w:cs="Times New Roman"/>
          <w:sz w:val="24"/>
          <w:szCs w:val="24"/>
          <w:lang w:eastAsia="es-ES"/>
        </w:rPr>
      </w:pPr>
      <w:r>
        <w:br w:type="page"/>
      </w:r>
    </w:p>
    <w:p w14:paraId="17DA9677" w14:textId="77777777" w:rsidR="00B35D37" w:rsidRDefault="00B35D37" w:rsidP="00B35D37">
      <w:pPr>
        <w:pStyle w:val="TtuloResolucin"/>
      </w:pPr>
      <w:bookmarkStart w:id="159" w:name="AUTO_2025_20"/>
      <w:r>
        <w:t>AUTO 20/2025, de 26 de febrero de 2025</w:t>
      </w:r>
    </w:p>
    <w:bookmarkEnd w:id="159"/>
    <w:p w14:paraId="23B04D52" w14:textId="77777777" w:rsidR="00B35D37" w:rsidRDefault="00B35D37" w:rsidP="00B35D37">
      <w:pPr>
        <w:pStyle w:val="TtuloResolucin"/>
      </w:pPr>
      <w:r>
        <w:t>Pleno</w:t>
      </w:r>
    </w:p>
    <w:p w14:paraId="4DF60DE1" w14:textId="77777777" w:rsidR="00B35D37" w:rsidRDefault="00B35D37" w:rsidP="00B35D37">
      <w:pPr>
        <w:pStyle w:val="TextoNormalCentrado"/>
      </w:pPr>
      <w:r>
        <w:t>ECLI:ES:TC:2025:20A</w:t>
      </w:r>
    </w:p>
    <w:p w14:paraId="4F792143" w14:textId="74FDF6E8" w:rsidR="00B35D37" w:rsidRDefault="00B35D37" w:rsidP="00B35D37">
      <w:pPr>
        <w:pStyle w:val="TextoNormalCentrado"/>
      </w:pPr>
    </w:p>
    <w:p w14:paraId="3C7C82AA"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5CE4BF46" w14:textId="3CE1C62D" w:rsidR="00B35D37" w:rsidRDefault="00B35D37" w:rsidP="00B35D37">
      <w:pPr>
        <w:pStyle w:val="SntesisDescriptiva"/>
      </w:pPr>
    </w:p>
    <w:p w14:paraId="1F23DBAD" w14:textId="77777777" w:rsidR="00B35D37" w:rsidRDefault="00B35D37" w:rsidP="00B35D37">
      <w:pPr>
        <w:pStyle w:val="SntesisDescriptiva"/>
      </w:pPr>
      <w:r>
        <w:t>Inadmite a trámite la cuestión de inconstitucionalidad 6094-2024, planteada por el Juzgado de Primera Instancia núm. 1 de Barcelona, en relación con el artículo 60.1 de la Ley 1/2000, de 7 de enero, de enjuiciamiento civil.</w:t>
      </w:r>
    </w:p>
    <w:p w14:paraId="4273A18B" w14:textId="690926D6" w:rsidR="00B35D37" w:rsidRDefault="00B35D37" w:rsidP="00B35D37">
      <w:pPr>
        <w:pStyle w:val="SntesisDescriptiva"/>
      </w:pPr>
    </w:p>
    <w:p w14:paraId="0735781E" w14:textId="77777777" w:rsidR="00B35D37" w:rsidRDefault="00B35D37" w:rsidP="00B35D37">
      <w:pPr>
        <w:pStyle w:val="SntesisDescriptiva"/>
      </w:pPr>
    </w:p>
    <w:p w14:paraId="29288D3D" w14:textId="77777777" w:rsidR="00B35D37" w:rsidRDefault="00B35D37" w:rsidP="00B35D37">
      <w:pPr>
        <w:pStyle w:val="SntesisDescriptiva"/>
      </w:pPr>
    </w:p>
    <w:p w14:paraId="6B33C97C" w14:textId="77777777" w:rsidR="00B35D37" w:rsidRDefault="00B35D37" w:rsidP="00B35D37">
      <w:pPr>
        <w:pStyle w:val="TextoNormalNegritaCentrado"/>
      </w:pPr>
      <w:r>
        <w:t>AUTO</w:t>
      </w:r>
    </w:p>
    <w:p w14:paraId="0501A126" w14:textId="2A8FD6E5" w:rsidR="00B35D37" w:rsidRDefault="00B35D37" w:rsidP="00B35D37">
      <w:pPr>
        <w:pStyle w:val="TextoNormalNegritaCentrado"/>
      </w:pPr>
    </w:p>
    <w:p w14:paraId="5FE42BE8" w14:textId="77777777" w:rsidR="00B35D37" w:rsidRDefault="00B35D37" w:rsidP="00B35D37">
      <w:pPr>
        <w:pStyle w:val="TextoNormalNegritaCentrado"/>
        <w:keepNext/>
      </w:pPr>
      <w:r>
        <w:t>I. Antecedentes</w:t>
      </w:r>
    </w:p>
    <w:p w14:paraId="753C01C5" w14:textId="1A1CDA02" w:rsidR="00B35D37" w:rsidRDefault="00B35D37" w:rsidP="00B35D37">
      <w:pPr>
        <w:pStyle w:val="TextoNormalNegritaCentrado"/>
        <w:keepNext/>
      </w:pPr>
    </w:p>
    <w:p w14:paraId="4D8D8C28" w14:textId="70019A21" w:rsidR="00B35D37" w:rsidRDefault="00B35D37" w:rsidP="00B35D37">
      <w:pPr>
        <w:pStyle w:val="TextoNormal"/>
      </w:pPr>
      <w:r w:rsidRPr="00B35D37">
        <w:rPr>
          <w:rStyle w:val="NumeroAFNegritaCaracter"/>
        </w:rPr>
        <w:t>1</w:t>
      </w:r>
      <w:r>
        <w:t>. El 31 de julio de 2024, tuvo entrada en el registro general de este tribunal un oficio del Juzgado de Primera Instancia núm. 1 de Barcelona, al que acompaña, además de las actuaciones, copia original del auto de 23 de julio de 2024, recaído en los autos de procedimiento ordinario núm. 529-2024-H, por el que se acuerda plantear una cuestión de inconstitucionalidad, en relación con el art. 60.1 de la Ley 1/2000, de 7 de enero, de enjuiciamiento civil (LEC) por posible vulneración del art. 24.2 CE, derecho al juez predeterminado por ley, en relación con los principios de legalidad y de interdicción de la arbitrariedad en la actuación de los poderes públicos (art. 9.3 CE).</w:t>
      </w:r>
    </w:p>
    <w:p w14:paraId="1D76A036" w14:textId="77777777" w:rsidR="00B35D37" w:rsidRDefault="00B35D37" w:rsidP="00B35D37">
      <w:pPr>
        <w:pStyle w:val="TextoNormal"/>
      </w:pPr>
    </w:p>
    <w:p w14:paraId="2400DEAF" w14:textId="77777777" w:rsidR="00B35D37" w:rsidRDefault="00B35D37" w:rsidP="00B35D37">
      <w:pPr>
        <w:pStyle w:val="TextoNormal"/>
      </w:pPr>
      <w:r w:rsidRPr="00B35D37">
        <w:rPr>
          <w:rStyle w:val="NumeroAFNegritaCaracter"/>
        </w:rPr>
        <w:t>2</w:t>
      </w:r>
      <w:r>
        <w:t>. Los hechos relevantes en este proceso constitucional son los siguientes:</w:t>
      </w:r>
    </w:p>
    <w:p w14:paraId="4C900D64" w14:textId="77777777" w:rsidR="00B35D37" w:rsidRDefault="00B35D37" w:rsidP="00B35D37">
      <w:pPr>
        <w:pStyle w:val="TextoNormal"/>
      </w:pPr>
    </w:p>
    <w:p w14:paraId="3234C4EB" w14:textId="77777777" w:rsidR="00B35D37" w:rsidRDefault="00B35D37" w:rsidP="00B35D37">
      <w:pPr>
        <w:pStyle w:val="TextoNormal"/>
      </w:pPr>
      <w:r>
        <w:t xml:space="preserve">A) El 26 de marzo de 2019 se presentó ante los juzgados de primera instancia de Madrid demanda de procedimiento ordinario, en ejercicio de acción personal de reclamación de cantidad </w:t>
      </w:r>
      <w:r w:rsidRPr="00B35D37">
        <w:rPr>
          <w:i/>
        </w:rPr>
        <w:t>ex</w:t>
      </w:r>
      <w:r>
        <w:t xml:space="preserve"> </w:t>
      </w:r>
      <w:r w:rsidRPr="00B35D37">
        <w:rPr>
          <w:i/>
        </w:rPr>
        <w:t>delito</w:t>
      </w:r>
      <w:r>
        <w:t>, por la suma global de 4 303 246,67 €.</w:t>
      </w:r>
    </w:p>
    <w:p w14:paraId="3A5E185A" w14:textId="77777777" w:rsidR="00B35D37" w:rsidRDefault="00B35D37" w:rsidP="00B35D37">
      <w:pPr>
        <w:pStyle w:val="TextoNormal"/>
      </w:pPr>
    </w:p>
    <w:p w14:paraId="51752851" w14:textId="77777777" w:rsidR="00B35D37" w:rsidRDefault="00B35D37" w:rsidP="00B35D37">
      <w:pPr>
        <w:pStyle w:val="TextoNormal"/>
      </w:pPr>
      <w:r>
        <w:t xml:space="preserve">B) En la demanda se disponía que la competencia territorial, dada la pluralidad de demandados y su sometimiento a distintos partidos judiciales por sus distintos domicilios —cuatro de los demandados en Barcelona, mientras que dos en Madrid— devenía optativo, en favor del demandante, </w:t>
      </w:r>
      <w:r w:rsidRPr="00B35D37">
        <w:rPr>
          <w:i/>
        </w:rPr>
        <w:t>ex</w:t>
      </w:r>
      <w:r>
        <w:t xml:space="preserve"> art. 53.2 LEC, que optó por la presentación de la demanda ante los juzgados de primera instancia de Madrid.</w:t>
      </w:r>
    </w:p>
    <w:p w14:paraId="7795ECD5" w14:textId="77777777" w:rsidR="00B35D37" w:rsidRDefault="00B35D37" w:rsidP="00B35D37">
      <w:pPr>
        <w:pStyle w:val="TextoNormal"/>
      </w:pPr>
    </w:p>
    <w:p w14:paraId="02C74A1F" w14:textId="77777777" w:rsidR="00B35D37" w:rsidRDefault="00B35D37" w:rsidP="00B35D37">
      <w:pPr>
        <w:pStyle w:val="TextoNormal"/>
      </w:pPr>
      <w:r>
        <w:t>C) Cuatro de las partes demandadas presentaron en tiempo y forma escritos promoviendo declinatoria y alegando la falta de competencia territorial de los juzgados de Madrid para conocer del asunto sometido a su decisión. Señalaron como juzgados competentes territorialmente los de la circunscripción de Barcelona, a cuyo favor solicitaban la inhibición del asunto. Otra de las partes demandadas contestó a la demanda el 10 de julio de 2019 y, en ella planteó también la falta de competencia territorial del juzgado de Madrid. Los otros demandados renunciaron a la herencia, título que justificaba su condición de parte.</w:t>
      </w:r>
    </w:p>
    <w:p w14:paraId="0995B6DB" w14:textId="77777777" w:rsidR="00B35D37" w:rsidRDefault="00B35D37" w:rsidP="00B35D37">
      <w:pPr>
        <w:pStyle w:val="TextoNormal"/>
      </w:pPr>
    </w:p>
    <w:p w14:paraId="145940C8" w14:textId="77777777" w:rsidR="00B35D37" w:rsidRDefault="00B35D37" w:rsidP="00B35D37">
      <w:pPr>
        <w:pStyle w:val="TextoNormal"/>
      </w:pPr>
      <w:r>
        <w:t>D) Por diligencia de ordenación de 3 de marzo de 2020, el Juzgado de Primera Instancia núm. 38 de Madrid acordó:</w:t>
      </w:r>
    </w:p>
    <w:p w14:paraId="6D8D4499" w14:textId="77777777" w:rsidR="00B35D37" w:rsidRDefault="00B35D37" w:rsidP="00B35D37">
      <w:pPr>
        <w:pStyle w:val="TextoNormal"/>
      </w:pPr>
    </w:p>
    <w:p w14:paraId="587E6873" w14:textId="77777777" w:rsidR="00B35D37" w:rsidRDefault="00B35D37" w:rsidP="00B35D37">
      <w:pPr>
        <w:pStyle w:val="TextoNormal"/>
      </w:pPr>
      <w:r>
        <w:t>a) Declarar emplazados a todos los demandados y entender que, habiendo promovido declinatoria todos los demandados en plazo, procedía suspender el curso de los autos en virtud del art. 64.1 LEC, que establece que “[l]a declinatoria se habrá de proponer dentro de los diez primeros días del plazo para contestar a la demanda, y surtirá el efecto de suspender, hasta que sea resuelta, el plazo para contestar y el curso del procedimiento principal, suspensión que declarará el letrado de la administración de justicia”.</w:t>
      </w:r>
    </w:p>
    <w:p w14:paraId="565C7859" w14:textId="77777777" w:rsidR="00B35D37" w:rsidRDefault="00B35D37" w:rsidP="00B35D37">
      <w:pPr>
        <w:pStyle w:val="TextoNormal"/>
      </w:pPr>
    </w:p>
    <w:p w14:paraId="30933DDA" w14:textId="77777777" w:rsidR="00B35D37" w:rsidRDefault="00B35D37" w:rsidP="00B35D37">
      <w:pPr>
        <w:pStyle w:val="TextoNormal"/>
      </w:pPr>
      <w:r>
        <w:t>b) Dar traslado de la declinatoria a las demás partes, para que alegasen y aportaran lo que tuvieran por conveniente, para sostener la competencia territorial de los tribunales de Madrid (art. 65 de la LEC).</w:t>
      </w:r>
    </w:p>
    <w:p w14:paraId="13C905AC" w14:textId="77777777" w:rsidR="00B35D37" w:rsidRDefault="00B35D37" w:rsidP="00B35D37">
      <w:pPr>
        <w:pStyle w:val="TextoNormal"/>
      </w:pPr>
    </w:p>
    <w:p w14:paraId="68CF75E8" w14:textId="77777777" w:rsidR="00B35D37" w:rsidRDefault="00B35D37" w:rsidP="00B35D37">
      <w:pPr>
        <w:pStyle w:val="TextoNormal"/>
      </w:pPr>
      <w:r>
        <w:t>E) Por auto de 14 de marzo de 2024, el Juzgado de Primera Instancia núm. 38 de Madrid declaró su falta de competencia territorial para conocer del asunto, debido a que ninguno de los demandados tenía su domicilio en la localidad de Madrid, por lo que no existía ningún criterio de conexión entre este asunto y los juzgados de Madrid. Se declararon juzgados competentes territorialmente los correspondientes a la circunscripción de Barcelona.</w:t>
      </w:r>
    </w:p>
    <w:p w14:paraId="4DE764FB" w14:textId="77777777" w:rsidR="00B35D37" w:rsidRDefault="00B35D37" w:rsidP="00B35D37">
      <w:pPr>
        <w:pStyle w:val="TextoNormal"/>
      </w:pPr>
    </w:p>
    <w:p w14:paraId="4FF679C8" w14:textId="77777777" w:rsidR="00B35D37" w:rsidRDefault="00B35D37" w:rsidP="00B35D37">
      <w:pPr>
        <w:pStyle w:val="TextoNormal"/>
      </w:pPr>
      <w:r>
        <w:t>F) Recibidas las actuaciones en el Juzgado de Primera Instancia núm. 1 de Barcelona, este adoptó por providencia de 3 de abril de 2024 —que fue recurrida en reposición por los demandados— que no era competente y devolvió dichas actuaciones al Juzgado de Primera Instancia núm. 38 de Madrid, afirmando la indebida inhibición del procedimiento con los siguientes argumentos:</w:t>
      </w:r>
    </w:p>
    <w:p w14:paraId="5F4EDB4B" w14:textId="77777777" w:rsidR="00B35D37" w:rsidRDefault="00B35D37" w:rsidP="00B35D37">
      <w:pPr>
        <w:pStyle w:val="TextoNormal"/>
      </w:pPr>
    </w:p>
    <w:p w14:paraId="0FE0EEFE" w14:textId="77777777" w:rsidR="00B35D37" w:rsidRDefault="00B35D37" w:rsidP="00B35D37">
      <w:pPr>
        <w:pStyle w:val="TextoNormal"/>
      </w:pPr>
      <w:r>
        <w:t>a) El auto acordando la inhibición omitía que uno de los demandados no planteó en tiempo y forma la declinatoria y que con fecha 10 de julio de 2019 contestó a la demanda, produciéndose, en consecuencia, la sumisión tácita del art. 56 LEC, que declara que “[s]e entenderán sometidos tácitamente: […] 2.º El demandado, por el hecho de hacer, después de personado en el juicio tras la interposición de la demanda, cualquier gestión que no sea la de proponer en forma la declinatoria. También se considerará tácitamente sometido al demandado que, emplazado o citado en forma, no comparezca en juicio o lo haga cuando haya precluido la facultad de proponer la declinatoria”. En definitiva, se constituyó la competencia territorial del Juzgado de Primera Instancia núm. 38 de Madrid.</w:t>
      </w:r>
    </w:p>
    <w:p w14:paraId="2155AFF9" w14:textId="77777777" w:rsidR="00B35D37" w:rsidRDefault="00B35D37" w:rsidP="00B35D37">
      <w:pPr>
        <w:pStyle w:val="TextoNormal"/>
      </w:pPr>
    </w:p>
    <w:p w14:paraId="4BD4EB2C" w14:textId="77777777" w:rsidR="00B35D37" w:rsidRDefault="00B35D37" w:rsidP="00B35D37">
      <w:pPr>
        <w:pStyle w:val="TextoNormal"/>
      </w:pPr>
      <w:r>
        <w:t>b) Resulta imposible plantear un conflicto negativo de competencia territorial, dados los términos del art. 60.1 LEC que establece que “[s]i la decisión de inhibición de un tribunal por falta de competencia territorial se hubiere adoptado en virtud de declinatoria o con audiencia de todas las partes, el Tribunal al que se remitieren las actuaciones estará a lo decidido y no podrá declarar de oficio su falta de competencia territorial”.</w:t>
      </w:r>
    </w:p>
    <w:p w14:paraId="644684FA" w14:textId="77777777" w:rsidR="00B35D37" w:rsidRDefault="00B35D37" w:rsidP="00B35D37">
      <w:pPr>
        <w:pStyle w:val="TextoNormal"/>
      </w:pPr>
    </w:p>
    <w:p w14:paraId="55F366AD" w14:textId="77777777" w:rsidR="00B35D37" w:rsidRDefault="00B35D37" w:rsidP="00B35D37">
      <w:pPr>
        <w:pStyle w:val="TextoNormal"/>
      </w:pPr>
      <w:r>
        <w:t>G) Mediante diligencia de ordenación de 30 de abril de 2024, el Juzgado de Primera Instancia núm. 1 de Barcelona, hizo constar que había recibido de nuevo el procedimiento desde el Juzgado de Primera Instancia núm. 38 de Madrid.</w:t>
      </w:r>
    </w:p>
    <w:p w14:paraId="040CBE77" w14:textId="77777777" w:rsidR="00B35D37" w:rsidRDefault="00B35D37" w:rsidP="00B35D37">
      <w:pPr>
        <w:pStyle w:val="TextoNormal"/>
      </w:pPr>
    </w:p>
    <w:p w14:paraId="0D100074" w14:textId="77777777" w:rsidR="00B35D37" w:rsidRDefault="00B35D37" w:rsidP="00B35D37">
      <w:pPr>
        <w:pStyle w:val="TextoNormal"/>
      </w:pPr>
      <w:r>
        <w:t>H) El 18 de junio de 2024, el Juzgado de Instrucción núm. 1 de Barcelona adopta, por un lado, auto desestimando los recursos de reposición de los demandados y, por otro, providencia en la que ordena dar traslado a las partes y al Ministerio Fiscal para que, de conformidad con lo dispuesto en el art. 35.2 de la Ley Orgánica del Tribunal Constitucional (LOTC), se pronuncien sobre la pertinencia de plantear una cuestión de inconstitucionalidad, en relación con el art. 60.1 LEC, por posible vulneración del art. 24.2 CE —derecho al juez predeterminado por la ley— en relación con los principios de legalidad (art. 9.3 CE) y de interdicción de la arbitrariedad en la actuación de los poderes públicos (art. 9.3 CE). Los argumentos del juez fueron:</w:t>
      </w:r>
    </w:p>
    <w:p w14:paraId="7EB754F2" w14:textId="77777777" w:rsidR="00B35D37" w:rsidRDefault="00B35D37" w:rsidP="00B35D37">
      <w:pPr>
        <w:pStyle w:val="TextoNormal"/>
      </w:pPr>
    </w:p>
    <w:p w14:paraId="44FE6229" w14:textId="77777777" w:rsidR="00B35D37" w:rsidRDefault="00B35D37" w:rsidP="00B35D37">
      <w:pPr>
        <w:pStyle w:val="TextoNormal"/>
      </w:pPr>
      <w:r>
        <w:t>a) El art. 56.2 LEC es de naturaleza imperativa y su interpretación no deja lugar a dudas, lo que significa que por el mero hecho de no proponer en forma la declinatoria, se genera la sumisión tácita; y ello, con independencia de que, en la contestación a la demanda, junto con los argumentos de fondo, se añadan alegaciones sobre la competencia territorial, pues estas, en ningún caso, pueden constituir una declinatoria en tiempo y forma. En definitiva, el mero hecho de comparecer —una vez transcurrido el plazo para proponer la declinatoria— implica, ya de por sí, la sumisión tácita. Para el juez, que se produzca la sumisión tácita constituye de manera definitiva la competencia territorial del juzgado en el que la misma se ha producido.</w:t>
      </w:r>
    </w:p>
    <w:p w14:paraId="5C8D224F" w14:textId="77777777" w:rsidR="00B35D37" w:rsidRDefault="00B35D37" w:rsidP="00B35D37">
      <w:pPr>
        <w:pStyle w:val="TextoNormal"/>
      </w:pPr>
    </w:p>
    <w:p w14:paraId="4C59580D" w14:textId="77777777" w:rsidR="00B35D37" w:rsidRDefault="00B35D37" w:rsidP="00B35D37">
      <w:pPr>
        <w:pStyle w:val="TextoNormal"/>
      </w:pPr>
      <w:r>
        <w:t>b) Una vez constituida de manera definitiva la competencia territorial en el juzgado donde se presenta la demanda, las excepciones declinatorias de competencia perdieron su objeto, que desapareció sobrevenidamente, dada la sumisión tácita generada por imperativo legal.</w:t>
      </w:r>
    </w:p>
    <w:p w14:paraId="320278D2" w14:textId="77777777" w:rsidR="00B35D37" w:rsidRDefault="00B35D37" w:rsidP="00B35D37">
      <w:pPr>
        <w:pStyle w:val="TextoNormal"/>
      </w:pPr>
    </w:p>
    <w:p w14:paraId="5CB54A94" w14:textId="77777777" w:rsidR="00B35D37" w:rsidRDefault="00B35D37" w:rsidP="00B35D37">
      <w:pPr>
        <w:pStyle w:val="TextoNormal"/>
      </w:pPr>
      <w:r>
        <w:t>c) En este contexto, si el órgano judicial con competencia territorial procede a la estimación de las declinatorias de competencia interpuestas por los otros demandados y se inhibe de la causa, se produce una indebida inhibición de la causa.</w:t>
      </w:r>
    </w:p>
    <w:p w14:paraId="0680FBB4" w14:textId="77777777" w:rsidR="00B35D37" w:rsidRDefault="00B35D37" w:rsidP="00B35D37">
      <w:pPr>
        <w:pStyle w:val="TextoNormal"/>
      </w:pPr>
    </w:p>
    <w:p w14:paraId="15E4FF45" w14:textId="77777777" w:rsidR="00B35D37" w:rsidRDefault="00B35D37" w:rsidP="00B35D37">
      <w:pPr>
        <w:pStyle w:val="TextoNormal"/>
      </w:pPr>
      <w:r>
        <w:t>d) Ante una indebida inhibición de una causa, el hecho de que el art. 60.1 LEC impida al órgano jurisdiccional al que se le remite la causa plantear un conflicto negativo de competencia territorial, para que un órgano judicial superior determine la competencia territorial, supone una clara vulneración del derecho al juez predeterminado por la ley.</w:t>
      </w:r>
    </w:p>
    <w:p w14:paraId="6210E7E3" w14:textId="77777777" w:rsidR="00B35D37" w:rsidRDefault="00B35D37" w:rsidP="00B35D37">
      <w:pPr>
        <w:pStyle w:val="TextoNormal"/>
      </w:pPr>
    </w:p>
    <w:p w14:paraId="0D9D589A" w14:textId="77777777" w:rsidR="00B35D37" w:rsidRDefault="00B35D37" w:rsidP="00B35D37">
      <w:pPr>
        <w:pStyle w:val="TextoNormal"/>
      </w:pPr>
      <w:r>
        <w:t>I) Tras el requerimiento de la providencia de 18 de junio de 2024, de conformidad con lo dispuesto en el art. 35.2 LOTC, la parte actora informa en el sentido de no ser necesario el planteamiento de la cuestión.</w:t>
      </w:r>
    </w:p>
    <w:p w14:paraId="48EC069F" w14:textId="77777777" w:rsidR="00B35D37" w:rsidRDefault="00B35D37" w:rsidP="00B35D37">
      <w:pPr>
        <w:pStyle w:val="TextoNormal"/>
      </w:pPr>
    </w:p>
    <w:p w14:paraId="625505E1" w14:textId="77777777" w:rsidR="00B35D37" w:rsidRDefault="00B35D37" w:rsidP="00B35D37">
      <w:pPr>
        <w:pStyle w:val="TextoNormal"/>
      </w:pPr>
      <w:r>
        <w:t>J) Por su parte, por escrito de 19 de julio de 2024, el Ministerio Fiscal informó en el sentido de sí ser conveniente, aduciendo: (i) El momento procesal del planteamiento es oportuno, ya que el precepto legal cuestionado es una norma de naturaleza procesal determinante de la competencia judicial y resulta adecuado su planteamiento en este momento; (ii) se identifica perfectamente la norma que plantea dudas de constitucionalidad y se exponen, también, los llamados juicios de aplicabilidad y de relevancia con argumentación suficiente; (iii) no es posible la acomodación de la norma cuestionada a la Constitución por vía interpretativa, es decir, se descarta la posibilidad de interpretación conforme y se justifican de forma detallada y razonada, las dudas de constitucionalidad que le han surgido al juez respecto de la norma aplicable al caso y de cuya validez depende la resolución del incidente, y (iv) concurre la exigida apariencia de contradicción entre tales normas. En conclusión, el Ministerio Fiscal entiende que se cumplen los requisitos establecidos para el planteamiento de la cuestión de inconstitucionalidad.</w:t>
      </w:r>
    </w:p>
    <w:p w14:paraId="1AAC266E" w14:textId="77777777" w:rsidR="00B35D37" w:rsidRDefault="00B35D37" w:rsidP="00B35D37">
      <w:pPr>
        <w:pStyle w:val="TextoNormal"/>
      </w:pPr>
    </w:p>
    <w:p w14:paraId="1DC76C1C" w14:textId="2E0EB62B" w:rsidR="00B35D37" w:rsidRDefault="00B35D37" w:rsidP="00B35D37">
      <w:pPr>
        <w:pStyle w:val="TextoNormal"/>
      </w:pPr>
      <w:r>
        <w:t>K) Por auto de 23 de julio de 2024, el Juzgado de Primera Instancia núm. 1 de Barcelona se plantea una cuestión de inconstitucionalidad en relación con el art. 60.1 LEC.</w:t>
      </w:r>
    </w:p>
    <w:p w14:paraId="1E5BA379" w14:textId="77777777" w:rsidR="00B35D37" w:rsidRDefault="00B35D37" w:rsidP="00B35D37">
      <w:pPr>
        <w:pStyle w:val="TextoNormal"/>
      </w:pPr>
    </w:p>
    <w:p w14:paraId="618B6DC0" w14:textId="77777777" w:rsidR="00B35D37" w:rsidRDefault="00B35D37" w:rsidP="00B35D37">
      <w:pPr>
        <w:pStyle w:val="TextoNormal"/>
      </w:pPr>
      <w:r w:rsidRPr="00B35D37">
        <w:rPr>
          <w:rStyle w:val="NumeroAFNegritaCaracter"/>
        </w:rPr>
        <w:t>3</w:t>
      </w:r>
      <w:r>
        <w:t>. Del contenido del auto de planteamiento, de 23 de julio de 2024, interesa destacar lo siguiente:</w:t>
      </w:r>
    </w:p>
    <w:p w14:paraId="7F9A0CDA" w14:textId="77777777" w:rsidR="00B35D37" w:rsidRDefault="00B35D37" w:rsidP="00B35D37">
      <w:pPr>
        <w:pStyle w:val="TextoNormal"/>
      </w:pPr>
    </w:p>
    <w:p w14:paraId="44EB0C6A" w14:textId="77777777" w:rsidR="00B35D37" w:rsidRDefault="00B35D37" w:rsidP="00B35D37">
      <w:pPr>
        <w:pStyle w:val="TextoNormal"/>
      </w:pPr>
      <w:r>
        <w:t>A) Tras exponer los antecedentes de hecho, que han quedado descritos en esta resolución, el órgano judicial aclara que el objeto de la cuestión no es, evidentemente, resolver una discusión sobre qué tribunal es el competente, sino, estrictamente, si es inconstitucional el art. 60.1 LEC al impedir, de modo absoluto e incondicionado, que el órgano jurisdiccional al que se remite una causa inhibida de otro juzgado, pueda plantear un conflicto negativo de competencia territorial si la decisión de inhibición se hubiere adoptado en virtud de declinatoria o con audiencia a todas las partes y ello, incluso, en caso de que la decisión de inhibición pueda haberse acordado, como en este caso, con infracción de una previsión legal procesal imperativa, relativa a la fijación de la competencia territorial.</w:t>
      </w:r>
    </w:p>
    <w:p w14:paraId="5108DDEF" w14:textId="77777777" w:rsidR="00B35D37" w:rsidRDefault="00B35D37" w:rsidP="00B35D37">
      <w:pPr>
        <w:pStyle w:val="TextoNormal"/>
      </w:pPr>
    </w:p>
    <w:p w14:paraId="44BB4095" w14:textId="77777777" w:rsidR="00B35D37" w:rsidRDefault="00B35D37" w:rsidP="00B35D37">
      <w:pPr>
        <w:pStyle w:val="TextoNormal"/>
      </w:pPr>
      <w:r>
        <w:t>B) El juez razona explicando su afirmación, de la forma siguiente:</w:t>
      </w:r>
    </w:p>
    <w:p w14:paraId="25DE09E7" w14:textId="77777777" w:rsidR="00B35D37" w:rsidRDefault="00B35D37" w:rsidP="00B35D37">
      <w:pPr>
        <w:pStyle w:val="TextoNormal"/>
      </w:pPr>
    </w:p>
    <w:p w14:paraId="6516D7BD" w14:textId="77777777" w:rsidR="00B35D37" w:rsidRDefault="00B35D37" w:rsidP="00B35D37">
      <w:pPr>
        <w:pStyle w:val="TextoNormal"/>
      </w:pPr>
      <w:r>
        <w:t>a) La afectación al derecho fundamental al juez predeterminado por la ley es notoria sin necesidad de mayores desarrollos, en la medida en que el juez predeterminado por la ley en virtud del art. 56.2 LEC era el juez ante el que se produce la sumisión tácita, que adquiere la competencia territorial por efecto de una previsión imperativa legal.</w:t>
      </w:r>
    </w:p>
    <w:p w14:paraId="3BEA784A" w14:textId="77777777" w:rsidR="00B35D37" w:rsidRDefault="00B35D37" w:rsidP="00B35D37">
      <w:pPr>
        <w:pStyle w:val="TextoNormal"/>
      </w:pPr>
    </w:p>
    <w:p w14:paraId="6E8E9A4B" w14:textId="77777777" w:rsidR="00B35D37" w:rsidRDefault="00B35D37" w:rsidP="00B35D37">
      <w:pPr>
        <w:pStyle w:val="TextoNormal"/>
      </w:pPr>
      <w:r>
        <w:t>b) El estricto régimen del art. 60.1 LEC podría generar dudas de compatibilidad con el juez predeterminado por la ley, porque cualquier juzgado podría, sobre la base del art. 60.1 LEC, aprovechar el planteamiento de una declinatoria o, simplemente, dar traslado a todas las partes para, a continuación, remitir la causa al partido judicial que le parezca más adecuado, sin necesidad de basarse en ningún precepto procesal e infringiendo los preceptos que sí prevén un determinado partido judicial, como es el caso del art. 56.2 LEC. Actuando de este modo, el juzgado tendrá la certeza de que el juzgado que ha escogido para remitirle la causa deberá aceptar su competencia territorial porque el art. 60.1 LEC veda cualquier tipo de conflicto negativo de competencias. Esa interpretación, al parecer del juez, no parece ciertamente un planteamiento legislativo lógico en términos del derecho fundamental al juez predeterminado por la ley (art. 24.2 CE).</w:t>
      </w:r>
    </w:p>
    <w:p w14:paraId="06C5CA90" w14:textId="77777777" w:rsidR="00B35D37" w:rsidRDefault="00B35D37" w:rsidP="00B35D37">
      <w:pPr>
        <w:pStyle w:val="TextoNormal"/>
      </w:pPr>
    </w:p>
    <w:p w14:paraId="2BF5F55B" w14:textId="77777777" w:rsidR="00B35D37" w:rsidRDefault="00B35D37" w:rsidP="00B35D37">
      <w:pPr>
        <w:pStyle w:val="TextoNormal"/>
      </w:pPr>
      <w:r>
        <w:t>c) Es claro que el legislador, al convertir en inmodificable el criterio del juzgado remitente con el art. 60.1 LEC, ha buscado evitar el planteamiento de conflictos negativos de competencias persiguiendo una mayor celeridad en los procedimientos y cerrando la puerta a este tipo de incidentes, siendo ello —en abstracto— una finalidad legítima, sin perjuicio de que puede implicar —dados los términos absolutos, terminantes e incondicionados con los que se expresa el precepto— la infracción del derecho constitucional indicado.</w:t>
      </w:r>
    </w:p>
    <w:p w14:paraId="4773EF62" w14:textId="77777777" w:rsidR="00B35D37" w:rsidRDefault="00B35D37" w:rsidP="00B35D37">
      <w:pPr>
        <w:pStyle w:val="TextoNormal"/>
      </w:pPr>
    </w:p>
    <w:p w14:paraId="56CD2AE0" w14:textId="77777777" w:rsidR="00B35D37" w:rsidRDefault="00B35D37" w:rsidP="00B35D37">
      <w:pPr>
        <w:pStyle w:val="TextoNormal"/>
      </w:pPr>
      <w:r>
        <w:t>d) También se encuentra afectado por un problema de inconstitucionalidad el principio de legalidad e interdicción de la arbitrariedad del art. 9.3 CE, por dos motivos: (i) cualquier juez puede inhibirse sin atender al régimen legal aplicable de fijación de la competencia territorial, teniendo la seguridad de que el juzgado inhibido tendrá que aceptar la competencia; (ii) la inhibición que se produzca puede ser absolutamente arbitraria y sin referencia a ninguna interpretación razonable de la ley aplicable.</w:t>
      </w:r>
    </w:p>
    <w:p w14:paraId="55675795" w14:textId="77777777" w:rsidR="00B35D37" w:rsidRDefault="00B35D37" w:rsidP="00B35D37">
      <w:pPr>
        <w:pStyle w:val="TextoNormal"/>
      </w:pPr>
    </w:p>
    <w:p w14:paraId="24C57E27" w14:textId="70EBF070" w:rsidR="00B35D37" w:rsidRDefault="00B35D37" w:rsidP="00B35D37">
      <w:pPr>
        <w:pStyle w:val="TextoNormal"/>
      </w:pPr>
      <w:r>
        <w:t>e) No parece viable ninguna interpretación que pudiera acomodar el sentido del art. 60.1 LEC a los derechos y principios constitucionales identificados, en la medida en que los términos del art. 60.1 LEC son claros y rígidos, por lo que deviene ineludible el planteamiento de la presente cuestión de inconstitucionalidad.</w:t>
      </w:r>
    </w:p>
    <w:p w14:paraId="475734A6" w14:textId="77777777" w:rsidR="00B35D37" w:rsidRDefault="00B35D37" w:rsidP="00B35D37">
      <w:pPr>
        <w:pStyle w:val="TextoNormal"/>
      </w:pPr>
    </w:p>
    <w:p w14:paraId="4127EFA8" w14:textId="140BB687" w:rsidR="00B35D37" w:rsidRDefault="00B35D37" w:rsidP="00B35D37">
      <w:pPr>
        <w:pStyle w:val="TextoNormal"/>
      </w:pPr>
      <w:r w:rsidRPr="00B35D37">
        <w:rPr>
          <w:rStyle w:val="NumeroAFNegritaCaracter"/>
        </w:rPr>
        <w:t>4</w:t>
      </w:r>
      <w:r>
        <w:t>. Mediante providencia de 14 de enero de 2025, el Pleno,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(35.2 LOTC) y por si fuere notoriamente infundada.</w:t>
      </w:r>
    </w:p>
    <w:p w14:paraId="08737F8A" w14:textId="77777777" w:rsidR="00B35D37" w:rsidRDefault="00B35D37" w:rsidP="00B35D37">
      <w:pPr>
        <w:pStyle w:val="TextoNormal"/>
      </w:pPr>
    </w:p>
    <w:p w14:paraId="02E47338" w14:textId="77777777" w:rsidR="00B35D37" w:rsidRDefault="00B35D37" w:rsidP="00B35D37">
      <w:pPr>
        <w:pStyle w:val="TextoNormal"/>
      </w:pPr>
      <w:r w:rsidRPr="00B35D37">
        <w:rPr>
          <w:rStyle w:val="NumeroAFNegritaCaracter"/>
        </w:rPr>
        <w:t>5</w:t>
      </w:r>
      <w:r>
        <w:t>. El fiscal general del Estado evacuó el trámite conferido mediante escrito registrado en este tribunal el 11 de febrero de 2025, en el que interesó la inadmisión a trámite de la cuestión de inconstitucionalidad por las deficiencias apreciadas en relación con el cumplimiento de los requisitos procesales del art. 35.2 LOTC, así como por considerarla notoriamente infundada.</w:t>
      </w:r>
    </w:p>
    <w:p w14:paraId="4DDB5798" w14:textId="77777777" w:rsidR="00B35D37" w:rsidRDefault="00B35D37" w:rsidP="00B35D37">
      <w:pPr>
        <w:pStyle w:val="TextoNormal"/>
      </w:pPr>
    </w:p>
    <w:p w14:paraId="33BEA473" w14:textId="77777777" w:rsidR="00B35D37" w:rsidRDefault="00B35D37" w:rsidP="00B35D37">
      <w:pPr>
        <w:pStyle w:val="TextoNormal"/>
      </w:pPr>
      <w:r>
        <w:t>Por lo que se refiere al momento de planteamiento, el fiscal sostiene que la cuestión es extemporánea, pues ya se habían dictado dos resoluciones judiciales sobre competencia, en las que se aplicó el precepto cuestionado. Para el fiscal, cuando el Juzgado de Primera Instancia núm. 1 de Barcelona acuerda la devolución del procedimiento judicial al Juzgado de Primera Instancia núm. 38 de Madrid, aplica el art. 60.1 LEC, cuya inconstitucionalidad se cuestiona posteriormente. Igualmente, el fiscal declara que el juzgado de Barcelona aplica de nuevo el art. 60.1 LEC cuando resuelve los recursos de reposición interpuestos por las partes que alegaban que el juzgado no podía, de oficio, declarar su falta de competencia territorial. En definitiva, para el Ministerio Fiscal había dos resoluciones judiciales —providencia de 3 de abril de 2024 y auto de 18 de junio de 2024— que ya habían aplicado el art. 60.1 LEC, siendo así que no cabe, después de aplicado, cuestionar su inconstitucionalidad, por lo que declara que la cuestión es extemporánea y no cumple los presupuestos procesales regulados en el art. 35.2 LOTC.</w:t>
      </w:r>
    </w:p>
    <w:p w14:paraId="2416108F" w14:textId="77777777" w:rsidR="00B35D37" w:rsidRDefault="00B35D37" w:rsidP="00B35D37">
      <w:pPr>
        <w:pStyle w:val="TextoNormal"/>
      </w:pPr>
    </w:p>
    <w:p w14:paraId="3CEE1C77" w14:textId="77777777" w:rsidR="00B35D37" w:rsidRDefault="00B35D37" w:rsidP="00B35D37">
      <w:pPr>
        <w:pStyle w:val="TextoNormal"/>
      </w:pPr>
      <w:r>
        <w:t>En relación con la falta de fundamento de la cuestión, el fiscal afirma que carece de contenido constitucional por no afectar al contenido del derecho al juez ordinario predeterminado por la ley, sino que se trata de una cuestión de legalidad ordinaria sobre la interpretación de las reglas de determinación de la competencia territorial. A su parecer, es simplemente una controversia competencial en la cual no debe terciar este Tribunal Constitucional, pues carece de relevancia constitucional (STC 35/2000, de 14 de febrero, FJ 2).</w:t>
      </w:r>
    </w:p>
    <w:p w14:paraId="05487BD3" w14:textId="77777777" w:rsidR="00B35D37" w:rsidRDefault="00B35D37" w:rsidP="00B35D37">
      <w:pPr>
        <w:pStyle w:val="TextoNormal"/>
      </w:pPr>
    </w:p>
    <w:p w14:paraId="15274ECF" w14:textId="7A713348" w:rsidR="00B35D37" w:rsidRDefault="00B35D37" w:rsidP="00B35D37">
      <w:pPr>
        <w:pStyle w:val="TextoNormal"/>
      </w:pPr>
      <w:r>
        <w:t>Por lo expuesto, el fiscal general del Estado solicita que se dicte auto por el que se inadmita la cuestión de inconstitucionalidad planteada, por incumplimiento de los requisitos procesales y resultar notoriamente infundada.</w:t>
      </w:r>
    </w:p>
    <w:p w14:paraId="3A23EC1F" w14:textId="77777777" w:rsidR="00B35D37" w:rsidRDefault="00B35D37" w:rsidP="00B35D37">
      <w:pPr>
        <w:pStyle w:val="TextoNormal"/>
      </w:pPr>
    </w:p>
    <w:p w14:paraId="2698068F" w14:textId="77777777" w:rsidR="00B35D37" w:rsidRDefault="00B35D37" w:rsidP="00B35D37">
      <w:pPr>
        <w:pStyle w:val="TextoNormalNegritaCentrado"/>
        <w:keepNext/>
      </w:pPr>
      <w:r>
        <w:t>II. Fundamentos jurídicos</w:t>
      </w:r>
    </w:p>
    <w:p w14:paraId="48E703EB" w14:textId="618E2E6D" w:rsidR="00B35D37" w:rsidRDefault="00B35D37" w:rsidP="00B35D37">
      <w:pPr>
        <w:pStyle w:val="TextoNormalNegritaCentrado"/>
        <w:keepNext/>
      </w:pPr>
    </w:p>
    <w:p w14:paraId="175A883C" w14:textId="50173474" w:rsidR="00B35D37" w:rsidRDefault="00B35D37" w:rsidP="00B35D37">
      <w:pPr>
        <w:pStyle w:val="TextoNormal"/>
      </w:pPr>
      <w:r w:rsidRPr="00B35D37">
        <w:rPr>
          <w:rStyle w:val="NumeroAFNegritaCaracter"/>
        </w:rPr>
        <w:t>1</w:t>
      </w:r>
      <w:r>
        <w:t>. El Juzgado de Primera Instancia núm. 1 de Barcelona plantea cuestión de inconstitucionalidad, en relación con el art. 60.1 LEC que veta un conflicto negativo de competencia territorial cuando esta se adquirió en virtud de la estimación de declinatoria de los demandados. Aduce vulneración del derecho al juez predeterminado por la ley (art. 24.2 CE), en relación con los principios de legalidad y de interdicción de la arbitrariedad en la actuación de los poderes públicos (art. 9.3 CE).</w:t>
      </w:r>
    </w:p>
    <w:p w14:paraId="417D5281" w14:textId="77777777" w:rsidR="00B35D37" w:rsidRDefault="00B35D37" w:rsidP="00B35D37">
      <w:pPr>
        <w:pStyle w:val="TextoNormal"/>
      </w:pPr>
    </w:p>
    <w:p w14:paraId="58E1627D" w14:textId="728775B6" w:rsidR="00B35D37" w:rsidRDefault="00B35D37" w:rsidP="00B35D37">
      <w:pPr>
        <w:pStyle w:val="TextoNormal"/>
      </w:pPr>
      <w:r w:rsidRPr="00B35D37">
        <w:rPr>
          <w:rStyle w:val="NumeroAFNegritaCaracter"/>
        </w:rPr>
        <w:t>2</w:t>
      </w:r>
      <w:r>
        <w:t>. El fiscal general del Estado, en el trámite previsto en el art. 37.1 LOTC, como se ha relatado en los antecedentes, se ha opuesto a la admisión de la presente cuestión de inconstitucionalidad, por entender que no se cumplen los requisitos procesales exigidos por el art. 35.2 LOTC —relativos al momento de planteamiento de la cuestión— así como por la ausencia de una adecuada justificación de las dudas de constitucionalidad que da lugar a que se considere notoriamente infundada.</w:t>
      </w:r>
    </w:p>
    <w:p w14:paraId="2AE331A9" w14:textId="77777777" w:rsidR="00B35D37" w:rsidRDefault="00B35D37" w:rsidP="00B35D37">
      <w:pPr>
        <w:pStyle w:val="TextoNormal"/>
      </w:pPr>
    </w:p>
    <w:p w14:paraId="15C9A8A8" w14:textId="0E23D4F4" w:rsidR="00B35D37" w:rsidRDefault="00B35D37" w:rsidP="00B35D37">
      <w:pPr>
        <w:pStyle w:val="TextoNormal"/>
      </w:pPr>
      <w:r w:rsidRPr="00B35D37">
        <w:rPr>
          <w:rStyle w:val="NumeroAFNegritaCaracter"/>
        </w:rPr>
        <w:t>3</w:t>
      </w:r>
      <w:r>
        <w:t xml:space="preserve">. El art. 37.1 LOTC permite a este tribunal rechazar </w:t>
      </w:r>
      <w:r w:rsidRPr="00B35D37">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 este último motivo de inadmisión, pues dada la forma en la que se ha formulado la duda de inconstitucionalidad, es notoriamente infundada.</w:t>
      </w:r>
    </w:p>
    <w:p w14:paraId="08F61312" w14:textId="77777777" w:rsidR="00B35D37" w:rsidRDefault="00B35D37" w:rsidP="00B35D37">
      <w:pPr>
        <w:pStyle w:val="TextoNormal"/>
      </w:pPr>
    </w:p>
    <w:p w14:paraId="012A3D92" w14:textId="77777777" w:rsidR="00B35D37" w:rsidRDefault="00B35D37" w:rsidP="00B35D37">
      <w:pPr>
        <w:pStyle w:val="TextoNormal"/>
      </w:pPr>
      <w:r w:rsidRPr="00B35D37">
        <w:rPr>
          <w:rStyle w:val="NumeroAFNegritaCaracter"/>
        </w:rPr>
        <w:t>4</w:t>
      </w:r>
      <w:r>
        <w:t>. En relación con el óbice de admisibilidad alegado por el Ministerio Fiscal, relativo a la extemporaneidad de la cuestión interpuesta, se fundamentaba en que ya se habían dictado dos resoluciones judiciales sobre la competencia territorial, en las que se aplicó el precepto cuestionado. Para el fiscal, la providencia de 3 de abril de 2024 y el auto de 18 de junio de 2024 ya habían aplicado el art. 60.1 LEC, por lo que no cabía, después de aplicado, cuestionar su inconstitucionalidad y el planteamiento de la cuestión es extemporáneo.</w:t>
      </w:r>
    </w:p>
    <w:p w14:paraId="3553FD32" w14:textId="77777777" w:rsidR="00B35D37" w:rsidRDefault="00B35D37" w:rsidP="00B35D37">
      <w:pPr>
        <w:pStyle w:val="TextoNormal"/>
      </w:pPr>
    </w:p>
    <w:p w14:paraId="40A78AE2" w14:textId="77777777" w:rsidR="00B35D37" w:rsidRDefault="00B35D37" w:rsidP="00B35D37">
      <w:pPr>
        <w:pStyle w:val="TextoNormal"/>
      </w:pPr>
      <w:r>
        <w:t>Debe ser rechazada esa objeción del fiscal. De acuerdo con el art. 35.2 LOTC “‘[e]l órgano judicial solo podrá plantear la cuestión una vez concluso el procedimiento y dentro del plazo para dictar sentencia, o la resolución jurisdiccional que procediese’, precisión esta última introducida por la Ley Orgánica 6/2007, de 24 de mayo, ‘de acuerdo con la doctrina constitucional que tempranamente admitió el planteamiento de la cuestión en el seno de procesos incidentales (STC 76/1982, de 14 de diciembre)’ (ATC 127/2012, de 19 de junio, FJ 2). En aplicación del precepto transcrito, este tribunal ha insistido en la necesidad de plantear la cuestión en el momento procesal oportuno, esto es, ‘antes de aplicar el órgano promotor los preceptos cuya constitucionalidad cuestiona’; de modo que ‘cuando no se respeta esta exigencia pierde sentido este singular proceso constitucional dirigido a verificar la compatibilidad de normas legales con la Constitución con carácter prejudicial, esto es, antes de proceder a su aplicación en un caso concreto’ y procede su inadmisión por extemporánea (por todos, ATC 198/2016, de 29 de noviembre, FJ 3, con cita de otros) y por inadecuada formulación del juicio de relevancia [ATC 292/2013, de 17 de diciembre, FJ 3 d), también con cita de otros]” (ATC 39/2019, de 21 de mayo).</w:t>
      </w:r>
    </w:p>
    <w:p w14:paraId="51D285FA" w14:textId="77777777" w:rsidR="00B35D37" w:rsidRDefault="00B35D37" w:rsidP="00B35D37">
      <w:pPr>
        <w:pStyle w:val="TextoNormal"/>
      </w:pPr>
    </w:p>
    <w:p w14:paraId="52416327" w14:textId="77777777" w:rsidR="00B35D37" w:rsidRDefault="00B35D37" w:rsidP="00B35D37">
      <w:pPr>
        <w:pStyle w:val="TextoNormal"/>
      </w:pPr>
      <w:r>
        <w:t>En este caso, debe afirmarse que no se ha procedido a la aplicación del precepto cuestionado. Cuando el Juzgado de Primera Instancia núm. 1 de Barcelona acuerda la devolución del procedimiento judicial al Juzgado de Primera Instancia núm. 38 de Madrid, no solo no aplica el art. 60.1 LEC, sino que, en aras de evitar su aplicación —que le otorga el mandato de estar a lo decidido por el órgano judicial que se inhibe— devuelve a este último las actuaciones y rechaza asumir el proceso que le ha sido remitido. Lo mismo ocurre con los recursos de reposición, que reclamaban al Juzgado núm. 1 de Barcelona que asumiera el mandato del art. 60.1 LEC y negaban que pudiera, de oficio, rechazar su competencia territorial. La desestimación de dichos recursos de reposición se fundamenta, precisamente, en negar su competencia territorial. En definitiva, ni la providencia de 3 de abril de 2024, ni el auto de 18 de junio de 2024 habían aplicado el art. 60.1 LEC, siendo así que el momento de planteamiento de esta cuestión es tempestivo.</w:t>
      </w:r>
    </w:p>
    <w:p w14:paraId="6EEE0C31" w14:textId="77777777" w:rsidR="00B35D37" w:rsidRDefault="00B35D37" w:rsidP="00B35D37">
      <w:pPr>
        <w:pStyle w:val="TextoNormal"/>
      </w:pPr>
    </w:p>
    <w:p w14:paraId="1A13EEFE" w14:textId="72AF881B" w:rsidR="00B35D37" w:rsidRDefault="00B35D37" w:rsidP="00B35D37">
      <w:pPr>
        <w:pStyle w:val="TextoNormal"/>
      </w:pPr>
      <w:r>
        <w:t>En todo caso, conviene añadir que, conforme a nuestra jurisprudencia, lo que no cabe es elevar una cuestión de inconstitucionalidad después de que el órgano judicial haya resuelto definitivamente el proceso o el incidente sometido a su conocimiento (ATC 184/2009, de 15 de junio, FJ 2), sin respetar por tanto el carácter prejudicial de la cuestión de inconstitucionalidad (STC 269/2015, de 17 de diciembre, FJ 5). Asimismo, en nuestro caso, la alegación de inconstitucionalidad de la norma que atribuye jurisdicción al tribunal remitente constituye una cuestión procesal que requiere una respuesta expresa y que, como tal, puede suscitarse en cualquier momento, siempre que sea antes de que el órgano judicial agote el ejercicio de su función jurisdiccional mediante resolución firme, por la que concluya el proceso con fuerza de cosa juzgada lo que, obviamente, no ha ocurrido (por todas, véase STC 70/2022, de 2 de junio, FJ 4).</w:t>
      </w:r>
    </w:p>
    <w:p w14:paraId="12859152" w14:textId="77777777" w:rsidR="00B35D37" w:rsidRDefault="00B35D37" w:rsidP="00B35D37">
      <w:pPr>
        <w:pStyle w:val="TextoNormal"/>
      </w:pPr>
    </w:p>
    <w:p w14:paraId="3D96032D" w14:textId="77777777" w:rsidR="00B35D37" w:rsidRDefault="00B35D37" w:rsidP="00B35D37">
      <w:pPr>
        <w:pStyle w:val="TextoNormal"/>
      </w:pPr>
      <w:r w:rsidRPr="00B35D37">
        <w:rPr>
          <w:rStyle w:val="NumeroAFNegritaCaracter"/>
        </w:rPr>
        <w:t>5</w:t>
      </w:r>
      <w:r>
        <w:t>. Igualmente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establecido en los arts. 162.1 a) CE y 32.1. LOTC.</w:t>
      </w:r>
    </w:p>
    <w:p w14:paraId="30040A28" w14:textId="77777777" w:rsidR="00B35D37" w:rsidRDefault="00B35D37" w:rsidP="00B35D37">
      <w:pPr>
        <w:pStyle w:val="TextoNormal"/>
      </w:pPr>
    </w:p>
    <w:p w14:paraId="26D4FC05" w14:textId="77777777" w:rsidR="00B35D37" w:rsidRDefault="00B35D37" w:rsidP="00B35D37">
      <w:pPr>
        <w:pStyle w:val="TextoNormal"/>
      </w:pPr>
      <w:r>
        <w:t>Conforme a reiterada doctrina constitucional (por todos, ATC 667/2023, de 12 de diciembre),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 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30D94950" w14:textId="77777777" w:rsidR="00B35D37" w:rsidRDefault="00B35D37" w:rsidP="00B35D37">
      <w:pPr>
        <w:pStyle w:val="TextoNormal"/>
      </w:pPr>
    </w:p>
    <w:p w14:paraId="00904E44" w14:textId="426F7210" w:rsidR="00B35D37" w:rsidRDefault="00B35D37" w:rsidP="00B35D37">
      <w:pPr>
        <w:pStyle w:val="TextoNormal"/>
      </w:pPr>
      <w:r>
        <w:t>En el presente caso, el Juzgado núm. 1 de Barcelona formula el juicio de aplicabilidad en relación con el art. 60.1 LEC, que veta un conflicto negativo de competencia territorial cuando esta se adquirió en virtud de una declinatoria de jurisdicción. Añade en el auto de 23 de julio de 2024 que “el juzgado de Madrid no ha respetado el régimen legal de fijación imperativa de la competencia territorial en caso de sumisión tácita del art. 56 LEC” afirmando que, desde esa perspectiva “se podrá apreciar y ponderar en condiciones en qué medida el régimen del art. 60.1 LEC presenta unos niveles de rigidez que puede, en efecto, conculcar los preceptos constitucionales ya mencionados”. Tal argumentación carece de consistencia desde las exigencias de los juicios de aplicabilidad y relevancia.</w:t>
      </w:r>
    </w:p>
    <w:p w14:paraId="2EEB5D6A" w14:textId="77777777" w:rsidR="00B35D37" w:rsidRDefault="00B35D37" w:rsidP="00B35D37">
      <w:pPr>
        <w:pStyle w:val="TextoNormal"/>
      </w:pPr>
    </w:p>
    <w:p w14:paraId="1281C098" w14:textId="77777777" w:rsidR="00B35D37" w:rsidRDefault="00B35D37" w:rsidP="00B35D37">
      <w:pPr>
        <w:pStyle w:val="TextoNormal"/>
      </w:pPr>
      <w:r w:rsidRPr="00B35D37">
        <w:rPr>
          <w:rStyle w:val="NumeroAFNegritaCaracter"/>
        </w:rPr>
        <w:t>6</w:t>
      </w:r>
      <w:r>
        <w:t>. Como hemos señalado, conforme a lo dispuesto en el art. 37.1 LOTC, este tribunal puede rechazar en trámite de admisión y mediante auto, previa audiencia al fiscal general del Estado, aquellas cuestiones de inconstitucionalidad que fueren notoriamente infundadas, lo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esta sea arbitraria” (por todos, ATC 89/2019, de 16 de julio, FJ 5, y los allí citados) (ATC 172/2020, de 15 de diciembre, FJ 2, entre otros muchos).</w:t>
      </w:r>
    </w:p>
    <w:p w14:paraId="4E2B2BCF" w14:textId="77777777" w:rsidR="00B35D37" w:rsidRDefault="00B35D37" w:rsidP="00B35D37">
      <w:pPr>
        <w:pStyle w:val="TextoNormal"/>
      </w:pPr>
    </w:p>
    <w:p w14:paraId="02F22986" w14:textId="77777777" w:rsidR="00B35D37" w:rsidRDefault="00B35D37" w:rsidP="00B35D37">
      <w:pPr>
        <w:pStyle w:val="TextoNormal"/>
      </w:pPr>
      <w:r>
        <w:t>En este caso y en relación con la argumentación que sostiene la duda de constitucionalidad planteada, el fiscal general del Estado, en los términos que han sido recogidos en los antecedentes de esta resolución, afirma que la cuestión puede considerarse notoriamente infundada, por no afectar al contenido del derecho al juez ordinario predeterminado por la ley, sino porque se trata de una cuestión de legalidad ordinaria sobre la interpretación de las reglas de determinación de la competencia territorial.</w:t>
      </w:r>
    </w:p>
    <w:p w14:paraId="02749053" w14:textId="77777777" w:rsidR="00B35D37" w:rsidRDefault="00B35D37" w:rsidP="00B35D37">
      <w:pPr>
        <w:pStyle w:val="TextoNormal"/>
      </w:pPr>
    </w:p>
    <w:p w14:paraId="4210FD72" w14:textId="77777777" w:rsidR="00B35D37" w:rsidRDefault="00B35D37" w:rsidP="00B35D37">
      <w:pPr>
        <w:pStyle w:val="TextoNormal"/>
      </w:pPr>
      <w:r>
        <w:t>Acierta el fiscal en su apreciación. En efecto, el art. 54 LEC establece el carácter dispositivo de las normas sobre competencia territorial y partiendo de tal carácter dispositivo, el derecho al juez predeterminado por la ley concede al justiciable el derecho a impugnar la competencia elegida por el demandante, proponiendo en tiempo y forma una acción declinatoria de competencia que ha concluido en que, precisamente, sea el órgano judicial promotor de esta cuestión de inconstitucionalidad el predeterminado por la ley. La estimación de la declinatoria de jurisdicción se realizó a través del auto de 14 de marzo de 2024, que tiene una motivación fundamentada en Derecho y respetuosa con el art. 24 CE, como quedó expuesto en los antecedentes. En definitiva, no existe el problema constitucional que plantea el Juzgado de Primera Instancia núm. 1 de Barcelona. Nos encontramos ante una controversia de naturaleza competencial en la cual no debe terciar este Tribunal Constitucional, pues carece de relevancia constitucional (STC 35/2000, FJ 2).</w:t>
      </w:r>
    </w:p>
    <w:p w14:paraId="13956B04" w14:textId="77777777" w:rsidR="00B35D37" w:rsidRDefault="00B35D37" w:rsidP="00B35D37">
      <w:pPr>
        <w:pStyle w:val="TextoNormal"/>
      </w:pPr>
    </w:p>
    <w:p w14:paraId="33C55194" w14:textId="445EF881" w:rsidR="00B35D37" w:rsidRDefault="00B35D37" w:rsidP="00B35D37">
      <w:pPr>
        <w:pStyle w:val="TextoNormal"/>
      </w:pPr>
      <w:r>
        <w:t>En consecuencia y atendiendo a lo anteriormente afirmado, debe considerarse que la duda de constitucionalidad en los términos en los que ha sido formulada por el órgano judicial es notoriamente infundada, en el significado que a dicha expresión le ha dado la doctrina constitucional y “sin que ello signifique un juicio peyorativo sobre la duda de constitucionalidad trasladada por el órgano judicial” (entre otros, ATC 8/2019, de 12 de febrero, FJ 2).</w:t>
      </w:r>
    </w:p>
    <w:p w14:paraId="120465AB" w14:textId="77777777" w:rsidR="00B35D37" w:rsidRDefault="00B35D37" w:rsidP="00B35D37">
      <w:pPr>
        <w:pStyle w:val="TextoNormal"/>
      </w:pPr>
    </w:p>
    <w:p w14:paraId="297CCD9D" w14:textId="77777777" w:rsidR="00B35D37" w:rsidRDefault="00B35D37" w:rsidP="00B35D37">
      <w:pPr>
        <w:pStyle w:val="TextoNormal"/>
      </w:pPr>
      <w:r>
        <w:t>Por lo expuesto, el Pleno</w:t>
      </w:r>
    </w:p>
    <w:p w14:paraId="66AE3B87" w14:textId="452EA500" w:rsidR="00B35D37" w:rsidRDefault="00B35D37" w:rsidP="00B35D37">
      <w:pPr>
        <w:pStyle w:val="TextoNormal"/>
      </w:pPr>
    </w:p>
    <w:p w14:paraId="1D844CF6" w14:textId="77777777" w:rsidR="00B35D37" w:rsidRDefault="00B35D37" w:rsidP="00B35D37">
      <w:pPr>
        <w:pStyle w:val="TextoNormalCentrado"/>
      </w:pPr>
      <w:r>
        <w:t>ACUERDA</w:t>
      </w:r>
    </w:p>
    <w:p w14:paraId="187189E1" w14:textId="56C34D96" w:rsidR="00B35D37" w:rsidRDefault="00B35D37" w:rsidP="00B35D37">
      <w:pPr>
        <w:pStyle w:val="TextoNormalCentrado"/>
      </w:pPr>
    </w:p>
    <w:p w14:paraId="20706F40" w14:textId="1468AA51" w:rsidR="00B35D37" w:rsidRDefault="00B35D37" w:rsidP="00B35D37">
      <w:pPr>
        <w:pStyle w:val="TextoNormal"/>
      </w:pPr>
      <w:r>
        <w:t>Inadmitir a trámite la presente cuestión de inconstitucionalidad, por resultar notoriamente infundada.</w:t>
      </w:r>
    </w:p>
    <w:p w14:paraId="4666338B" w14:textId="77777777" w:rsidR="00B35D37" w:rsidRDefault="00B35D37" w:rsidP="00B35D37">
      <w:pPr>
        <w:pStyle w:val="TextoNormal"/>
      </w:pPr>
    </w:p>
    <w:p w14:paraId="1971A95C" w14:textId="77777777" w:rsidR="00B35D37" w:rsidRDefault="00B35D37" w:rsidP="00B35D37">
      <w:pPr>
        <w:pStyle w:val="TextoNormal"/>
      </w:pPr>
      <w:r>
        <w:t>Madrid, a veintiséis de febrero de dos mil veinticinco.</w:t>
      </w:r>
    </w:p>
    <w:p w14:paraId="618BB46F" w14:textId="4795F85D" w:rsidR="00B35D37" w:rsidRDefault="00B35D37">
      <w:pPr>
        <w:spacing w:after="160" w:line="278" w:lineRule="auto"/>
        <w:rPr>
          <w:rFonts w:ascii="Times New Roman" w:eastAsia="Times New Roman" w:hAnsi="Times New Roman" w:cs="Times New Roman"/>
          <w:sz w:val="24"/>
          <w:szCs w:val="24"/>
          <w:lang w:eastAsia="es-ES"/>
        </w:rPr>
      </w:pPr>
      <w:r>
        <w:br w:type="page"/>
      </w:r>
    </w:p>
    <w:p w14:paraId="37229DEA" w14:textId="77777777" w:rsidR="00B35D37" w:rsidRDefault="00B35D37" w:rsidP="00B35D37">
      <w:pPr>
        <w:pStyle w:val="TtuloResolucin"/>
      </w:pPr>
      <w:bookmarkStart w:id="160" w:name="AUTO_2025_21"/>
      <w:r>
        <w:t>AUTO 21/2025, de 10 de marzo de 2025</w:t>
      </w:r>
    </w:p>
    <w:bookmarkEnd w:id="160"/>
    <w:p w14:paraId="7D2FB503" w14:textId="77777777" w:rsidR="00B35D37" w:rsidRDefault="00B35D37" w:rsidP="00B35D37">
      <w:pPr>
        <w:pStyle w:val="TtuloResolucin"/>
      </w:pPr>
      <w:r>
        <w:t>Sala Segunda</w:t>
      </w:r>
    </w:p>
    <w:p w14:paraId="3B13E4D5" w14:textId="77777777" w:rsidR="00B35D37" w:rsidRDefault="00B35D37" w:rsidP="00B35D37">
      <w:pPr>
        <w:pStyle w:val="TextoNormalCentrado"/>
      </w:pPr>
      <w:r>
        <w:t>ECLI:ES:TC:2025:21A</w:t>
      </w:r>
    </w:p>
    <w:p w14:paraId="7906B6E3" w14:textId="11A326CB" w:rsidR="00B35D37" w:rsidRDefault="00B35D37" w:rsidP="00B35D37">
      <w:pPr>
        <w:pStyle w:val="TextoNormalCentrado"/>
      </w:pPr>
    </w:p>
    <w:p w14:paraId="730C7183"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154CAFE9" w14:textId="3A052941" w:rsidR="00B35D37" w:rsidRDefault="00B35D37" w:rsidP="00B35D37">
      <w:pPr>
        <w:pStyle w:val="SntesisDescriptiva"/>
      </w:pPr>
    </w:p>
    <w:p w14:paraId="739AB8F7" w14:textId="77777777" w:rsidR="00B35D37" w:rsidRDefault="00B35D37" w:rsidP="00B35D37">
      <w:pPr>
        <w:pStyle w:val="SntesisDescriptiva"/>
      </w:pPr>
      <w:r>
        <w:t>Mantiene la suspensión acordada por providencia en el recurso de amparo 35-2025, promovido por don David Bossa Lisón en proceso militar.</w:t>
      </w:r>
    </w:p>
    <w:p w14:paraId="745DC186" w14:textId="4BD63421" w:rsidR="00B35D37" w:rsidRDefault="00B35D37" w:rsidP="00B35D37">
      <w:pPr>
        <w:pStyle w:val="SntesisDescriptiva"/>
      </w:pPr>
    </w:p>
    <w:p w14:paraId="2ED294FD" w14:textId="77777777" w:rsidR="00B35D37" w:rsidRDefault="00B35D37" w:rsidP="00B35D37">
      <w:pPr>
        <w:pStyle w:val="SntesisDescriptiva"/>
      </w:pPr>
    </w:p>
    <w:p w14:paraId="2B82C9CC" w14:textId="77777777" w:rsidR="00B35D37" w:rsidRDefault="00B35D37" w:rsidP="00B35D37">
      <w:pPr>
        <w:pStyle w:val="SntesisDescriptiva"/>
      </w:pPr>
    </w:p>
    <w:p w14:paraId="3C540F8A" w14:textId="77777777" w:rsidR="00B35D37" w:rsidRDefault="00B35D37" w:rsidP="00B35D37">
      <w:pPr>
        <w:pStyle w:val="TextoNormalNegritaCentrado"/>
      </w:pPr>
      <w:r>
        <w:t>AUTO</w:t>
      </w:r>
    </w:p>
    <w:p w14:paraId="0FA7BC17" w14:textId="30E78131" w:rsidR="00B35D37" w:rsidRDefault="00B35D37" w:rsidP="00B35D37">
      <w:pPr>
        <w:pStyle w:val="TextoNormalNegritaCentrado"/>
      </w:pPr>
    </w:p>
    <w:p w14:paraId="6F670851" w14:textId="77777777" w:rsidR="00B35D37" w:rsidRDefault="00B35D37" w:rsidP="00B35D37">
      <w:pPr>
        <w:pStyle w:val="TextoNormalNegritaCentrado"/>
        <w:keepNext/>
      </w:pPr>
      <w:r>
        <w:t>I. Antecedentes</w:t>
      </w:r>
    </w:p>
    <w:p w14:paraId="08E536E4" w14:textId="5C777F99" w:rsidR="00B35D37" w:rsidRDefault="00B35D37" w:rsidP="00B35D37">
      <w:pPr>
        <w:pStyle w:val="TextoNormalNegritaCentrado"/>
        <w:keepNext/>
      </w:pPr>
    </w:p>
    <w:p w14:paraId="62213AFD" w14:textId="5AFA3BD5" w:rsidR="00B35D37" w:rsidRDefault="00B35D37" w:rsidP="00B35D37">
      <w:pPr>
        <w:pStyle w:val="TextoNormal"/>
      </w:pPr>
      <w:r w:rsidRPr="00B35D37">
        <w:rPr>
          <w:rStyle w:val="NumeroAFNegritaCaracter"/>
        </w:rPr>
        <w:t>1</w:t>
      </w:r>
      <w:r>
        <w:t>. Mediante escrito registrado en este tribunal el 7 de enero de 2025, la procuradora de los tribunales doña María Concepción Puyol Montero, en nombre y representación de don David Bossa Lisón, formuló demanda de amparo contra el auto dictado por el Tribunal Militar Territorial Primero el 10 de diciembre de 2024 (sumario 14-07-19), por el que se desestimó el recurso de súplica interpuesto por el recurrente en amparo frente al auto dictado por el mismo tribunal el 6 de junio de 2024, que revocaba la suspensión en la ejecución de la pena de diez meses de prisión impuesta al mismo por sentencia de 27 de julio de 2020. La revocación se fundamentó en el hecho de que el señor Bossa Lisón fue condenado, como autor responsable de un delito contra la seguridad del tráfico, por sentencia de conformidad del Juzgado de Instrucción de Cartagena dictada el día 28 de octubre de 2022, dentro del plazo de dos años establecido por el Tribunal Territorial Militar para la remisión condicional de la primera condena.</w:t>
      </w:r>
    </w:p>
    <w:p w14:paraId="53E29462" w14:textId="77777777" w:rsidR="00B35D37" w:rsidRDefault="00B35D37" w:rsidP="00B35D37">
      <w:pPr>
        <w:pStyle w:val="TextoNormal"/>
      </w:pPr>
    </w:p>
    <w:p w14:paraId="50517A9F" w14:textId="77777777" w:rsidR="00B35D37" w:rsidRDefault="00B35D37" w:rsidP="00B35D37">
      <w:pPr>
        <w:pStyle w:val="TextoNormal"/>
      </w:pPr>
      <w:r w:rsidRPr="00B35D37">
        <w:rPr>
          <w:rStyle w:val="NumeroAFNegritaCaracter"/>
        </w:rPr>
        <w:t>2</w:t>
      </w:r>
      <w:r>
        <w:t>. El recurrente invoca en su demanda de amparo las siguientes vulneraciones de derechos fundamentales:</w:t>
      </w:r>
    </w:p>
    <w:p w14:paraId="28742E7F" w14:textId="77777777" w:rsidR="00B35D37" w:rsidRDefault="00B35D37" w:rsidP="00B35D37">
      <w:pPr>
        <w:pStyle w:val="TextoNormal"/>
      </w:pPr>
    </w:p>
    <w:p w14:paraId="534EE1F6" w14:textId="77777777" w:rsidR="00B35D37" w:rsidRDefault="00B35D37" w:rsidP="00B35D37">
      <w:pPr>
        <w:pStyle w:val="TextoNormal"/>
      </w:pPr>
      <w:r>
        <w:t>(i) La vulneración del derecho fundamental a la tutela judicial efectiva (art. 24.1 CE), en su dimensión de derecho a obtener una resolución debidamente motivada, en relación con el derecho a la libertad (art. 17.1 CE).</w:t>
      </w:r>
    </w:p>
    <w:p w14:paraId="622BBD7C" w14:textId="77777777" w:rsidR="00B35D37" w:rsidRDefault="00B35D37" w:rsidP="00B35D37">
      <w:pPr>
        <w:pStyle w:val="TextoNormal"/>
      </w:pPr>
    </w:p>
    <w:p w14:paraId="365B156F" w14:textId="77777777" w:rsidR="00B35D37" w:rsidRDefault="00B35D37" w:rsidP="00B35D37">
      <w:pPr>
        <w:pStyle w:val="TextoNormal"/>
      </w:pPr>
      <w:r>
        <w:t>Argumenta que el auto recurrido en amparo incumple las exigencias de motivación reforzada que el Tribunal Constitucional ha venido aplicando a las resoluciones que revocan la suspensión condicional de penas de prisión. Entiende que, si bien la doctrina elaborada hasta la fecha por el tribunal de garantías se ha referido exclusivamente a la revocación fundada en el incumplimiento de la obligación de pago de la responsabilidad civil derivada del delito, tras la reforma del art. 86 del Código penal (CP) por la Ley Orgánica 1/2015, de 30 de marzo, tal doctrina resultaría igualmente aplicable a los supuestos en los que la revocación se funda en la comisión de algún hecho delictivo durante el periodo de suspensión. Ello implica que las resoluciones que acuerden la revocación de la suspensión por esta causa deberán motivar adecuadamente, teniendo en cuenta las circunstancias particulares de cada caso, por qué la comisión del nuevo delito pone de manifiesto que la expectativa en que se fundaba la decisión de suspender la ejecución de la pena ya no puede ser mantenida, sin que quepa aplicar automáticamente la revocación por el mero hecho de que quede acreditada la comisión del delito posterior.</w:t>
      </w:r>
    </w:p>
    <w:p w14:paraId="68F6EB4D" w14:textId="77777777" w:rsidR="00B35D37" w:rsidRDefault="00B35D37" w:rsidP="00B35D37">
      <w:pPr>
        <w:pStyle w:val="TextoNormal"/>
      </w:pPr>
    </w:p>
    <w:p w14:paraId="2AE644ED" w14:textId="77777777" w:rsidR="00B35D37" w:rsidRDefault="00B35D37" w:rsidP="00B35D37">
      <w:pPr>
        <w:pStyle w:val="TextoNormal"/>
      </w:pPr>
      <w:r>
        <w:t>Considera que el Tribunal Militar Territorial Primero ha incumplido estos requisitos de motivación, limitándose a indicar de forma genérica que el señor Bossa Lisón ha infringido su obligación de mantener “buena conducta”, sin valorar ninguna de las circunstancias particulares del caso concreto: la distinta naturaleza del delito contra la seguridad del tráfico respecto del delito militar por el que fue condenado en primer lugar; las penas impuestas por el segundo delito son menores y no implican privación de libertad, y el largo tiempo transcurrido desde la comisión del delito militar o las circunstancias personales y familiares del condenado, que abandonó el ejército hace cuatro años.</w:t>
      </w:r>
    </w:p>
    <w:p w14:paraId="14FA5114" w14:textId="77777777" w:rsidR="00B35D37" w:rsidRDefault="00B35D37" w:rsidP="00B35D37">
      <w:pPr>
        <w:pStyle w:val="TextoNormal"/>
      </w:pPr>
    </w:p>
    <w:p w14:paraId="7CF8A449" w14:textId="77777777" w:rsidR="00B35D37" w:rsidRDefault="00B35D37" w:rsidP="00B35D37">
      <w:pPr>
        <w:pStyle w:val="TextoNormal"/>
      </w:pPr>
      <w:r>
        <w:t>(ii) La vulneración del derecho a la tutela judicial efectiva sin indefensión (art. 24.1 CE) en relación con el derecho a un proceso con todas las garantías (art. 24.2 CE).</w:t>
      </w:r>
    </w:p>
    <w:p w14:paraId="0B6E8E7A" w14:textId="77777777" w:rsidR="00B35D37" w:rsidRDefault="00B35D37" w:rsidP="00B35D37">
      <w:pPr>
        <w:pStyle w:val="TextoNormal"/>
      </w:pPr>
    </w:p>
    <w:p w14:paraId="22452ADF" w14:textId="77777777" w:rsidR="00B35D37" w:rsidRDefault="00B35D37" w:rsidP="00B35D37">
      <w:pPr>
        <w:pStyle w:val="TextoNormal"/>
      </w:pPr>
      <w:r>
        <w:t>Argumenta que el auto por el que se revocó la suspensión en la ejecución de la pena fue dictado sin que tuviera la oportunidad de formular alegaciones dado que, pese a que se abrió un trámite de audiencia, el mismo no le fue notificado personalmente. Afirma que no llegó a tener conocimiento del incidente hasta que le fue notificado el auto de 6 de junio de 2024 por el que ya se ordenaba la revocación de la suspensión.</w:t>
      </w:r>
    </w:p>
    <w:p w14:paraId="262AD8F7" w14:textId="77777777" w:rsidR="00B35D37" w:rsidRDefault="00B35D37" w:rsidP="00B35D37">
      <w:pPr>
        <w:pStyle w:val="TextoNormal"/>
      </w:pPr>
    </w:p>
    <w:p w14:paraId="190F2BB4" w14:textId="226C07C2" w:rsidR="00B35D37" w:rsidRDefault="00B35D37" w:rsidP="00B35D37">
      <w:pPr>
        <w:pStyle w:val="TextoNormal"/>
      </w:pPr>
      <w:r>
        <w:t>Por medio de otrosí se solicita, como medida cautelar, la suspensión de los efectos de la resolución judicial impugnada, de conformidad con lo establecido en el art. 56 de la Ley Orgánica del Tribunal Constitucional (LOTC), dado que su efectivo ingreso en prisión, previsto para el día 13 de enero de 2025, frustraría los fines del recurso de amparo, generando perjuicios de muy difícil reparación.</w:t>
      </w:r>
    </w:p>
    <w:p w14:paraId="31446806" w14:textId="77777777" w:rsidR="00B35D37" w:rsidRDefault="00B35D37" w:rsidP="00B35D37">
      <w:pPr>
        <w:pStyle w:val="TextoNormal"/>
      </w:pPr>
    </w:p>
    <w:p w14:paraId="403DE2AC" w14:textId="2251FF47" w:rsidR="00B35D37" w:rsidRDefault="00B35D37" w:rsidP="00B35D37">
      <w:pPr>
        <w:pStyle w:val="TextoNormal"/>
      </w:pPr>
      <w:r w:rsidRPr="00B35D37">
        <w:rPr>
          <w:rStyle w:val="NumeroAFNegritaCaracter"/>
        </w:rPr>
        <w:t>3</w:t>
      </w:r>
      <w:r>
        <w:t>. Por providencia de 10 de enero de 2025, la Sección Tercera de la Sala Segunda del Tribunal Constitucional ha admitido a trámite el recurso de amparo por apreciar que “concurre en el mismo una especial trascendencia constitucional (art. 50.1 LOTC) porque el recurso puede dar ocasión al Tribunal para aclarar o cambiar su doctrina, como consecuencia de un proceso de reflexión interna [STC 155/2009, de 25 de junio, FJ 2 b)]”. En dicha resolución se acuerda “la suspensión de la ejecución de las resoluciones impugnadas, autos de 6 de junio y 10 de diciembre de 2024, dictados por el Tribunal Militar Territorial Primero en la pieza separada de ejecución penal relativa al sumario 14-07-19” al apreciar la Sección “la urgencia excepcional a que se refiere el artículo 56.6 LOTC, toda vez que dicha ejecución produciría un perjuicio de imposible o muy difícil reparación que haría perder su finalidad al recurso de amparo”.</w:t>
      </w:r>
    </w:p>
    <w:p w14:paraId="2A41CB26" w14:textId="77777777" w:rsidR="00B35D37" w:rsidRDefault="00B35D37" w:rsidP="00B35D37">
      <w:pPr>
        <w:pStyle w:val="TextoNormal"/>
      </w:pPr>
    </w:p>
    <w:p w14:paraId="63EC5190" w14:textId="73268073" w:rsidR="00B35D37" w:rsidRDefault="00B35D37" w:rsidP="00B35D37">
      <w:pPr>
        <w:pStyle w:val="TextoNormal"/>
      </w:pPr>
      <w:r w:rsidRPr="00B35D37">
        <w:rPr>
          <w:rStyle w:val="NumeroAFNegritaCaracter"/>
        </w:rPr>
        <w:t>4</w:t>
      </w:r>
      <w:r>
        <w:t>. Mediante providencia de esa misma fecha, la Sección Tercera de la Sala Segunda ha acordado la formación de la oportuna pieza separada para la tramitación del incidente sobre la suspensión solicitada, concediendo, de conformidad con el art. 56 LOTC, un plazo común de tres días a las partes para que puedan alegar lo que estimen pertinente sobre dicha suspensión.</w:t>
      </w:r>
    </w:p>
    <w:p w14:paraId="48905396" w14:textId="77777777" w:rsidR="00B35D37" w:rsidRDefault="00B35D37" w:rsidP="00B35D37">
      <w:pPr>
        <w:pStyle w:val="TextoNormal"/>
      </w:pPr>
    </w:p>
    <w:p w14:paraId="268F799E" w14:textId="59581042" w:rsidR="00B35D37" w:rsidRDefault="00B35D37" w:rsidP="00B35D37">
      <w:pPr>
        <w:pStyle w:val="TextoNormal"/>
      </w:pPr>
      <w:r w:rsidRPr="00B35D37">
        <w:rPr>
          <w:rStyle w:val="NumeroAFNegritaCaracter"/>
        </w:rPr>
        <w:t>5</w:t>
      </w:r>
      <w:r>
        <w:t>. La representación procesal del recurrente ha presentado escrito de alegaciones el 14 de enero de 2025. Solicita el mantenimiento de la suspensión cautelar acordada en la providencia de 10 de enero de 2025, ratificándose en las alegaciones recogidas en su escrito de demanda e insistiendo en que la ejecución inmediata de la pena de prisión impuesta al señor Bossa Lisón frustraría los fines del recurso de amparo y le irrogaría un perjuicio irreparable.</w:t>
      </w:r>
    </w:p>
    <w:p w14:paraId="6F9ED7FF" w14:textId="77777777" w:rsidR="00B35D37" w:rsidRDefault="00B35D37" w:rsidP="00B35D37">
      <w:pPr>
        <w:pStyle w:val="TextoNormal"/>
      </w:pPr>
    </w:p>
    <w:p w14:paraId="65DEF210" w14:textId="011777CB" w:rsidR="00B35D37" w:rsidRDefault="00B35D37" w:rsidP="00B35D37">
      <w:pPr>
        <w:pStyle w:val="TextoNormal"/>
      </w:pPr>
      <w:r w:rsidRPr="00B35D37">
        <w:rPr>
          <w:rStyle w:val="NumeroAFNegritaCaracter"/>
        </w:rPr>
        <w:t>6</w:t>
      </w:r>
      <w:r>
        <w:t>. El Ministerio Fiscal ha presentado su escrito de alegaciones el 31 de enero de 2025, solicitando igualmente el mantenimiento de la medida cautelar de suspensión acordada por el Tribunal en su providencia de 10 de enero de 2025. Tras hacer una exposición de los antecedentes fácticos del caso y un resumen de la doctrina constitucional aplicable, el fiscal justifica su petición argumentando que, por una parte, la ejecución de las resoluciones revocatorias de la suspensión condicional de la pena privativa de libertad impuesta al recurrente implicaría su efectivo ingreso en prisión, lo que generaría un perjuicio real irreparable que haría perder al amparo su finalidad; y que, por otra parte, no se aprecia que la suspensión de dicha ejecución ocasione un perjuicio al interés general o a los derechos de terceros, ni que existan otras circunstancias sobrevenidas a la admisión de la demanda que justifiquen la modificación de la medida ya acordada por el Tribunal.</w:t>
      </w:r>
    </w:p>
    <w:p w14:paraId="56F1B645" w14:textId="77777777" w:rsidR="00B35D37" w:rsidRDefault="00B35D37" w:rsidP="00B35D37">
      <w:pPr>
        <w:pStyle w:val="TextoNormal"/>
      </w:pPr>
    </w:p>
    <w:p w14:paraId="1EC4F5EA" w14:textId="77777777" w:rsidR="00B35D37" w:rsidRDefault="00B35D37" w:rsidP="00B35D37">
      <w:pPr>
        <w:pStyle w:val="TextoNormalNegritaCentrado"/>
        <w:keepNext/>
      </w:pPr>
      <w:r>
        <w:t>II. Fundamentos jurídicos</w:t>
      </w:r>
    </w:p>
    <w:p w14:paraId="63FBF64C" w14:textId="5424B1C7" w:rsidR="00B35D37" w:rsidRDefault="00B35D37" w:rsidP="00B35D37">
      <w:pPr>
        <w:pStyle w:val="TextoNormalNegritaCentrado"/>
        <w:keepNext/>
      </w:pPr>
    </w:p>
    <w:p w14:paraId="23F86105" w14:textId="77777777" w:rsidR="00B35D37" w:rsidRDefault="00B35D37" w:rsidP="00B35D37">
      <w:pPr>
        <w:pStyle w:val="TextoNormal"/>
      </w:pPr>
      <w:r w:rsidRPr="00B35D37">
        <w:rPr>
          <w:rStyle w:val="NumeroAFNegritaCaracter"/>
        </w:rPr>
        <w:t>1</w:t>
      </w:r>
      <w:r>
        <w:t xml:space="preserve">. El art. 56.6 LOTC atribuye a las salas y secciones de este tribunal la facultad de adoptar, en la propia resolución de admisión a trámite de los recursos de amparo, medidas cautelares </w:t>
      </w:r>
      <w:r w:rsidRPr="00B35D37">
        <w:rPr>
          <w:i/>
        </w:rPr>
        <w:t>inaudita parte</w:t>
      </w:r>
      <w:r>
        <w:t>, en supuestos de urgencia excepcional. En el ejercicio de tal facultad, la Sección Tercera de este tribunal acordó mediante providencia de 10 de enero de 2025 suspender la ejecución de las resoluciones impugnadas en el presente recurso de amparo, al apreciar una urgencia excepcional provocada por el inminente ingreso en prisión del recurrente.</w:t>
      </w:r>
    </w:p>
    <w:p w14:paraId="701A6073" w14:textId="77777777" w:rsidR="00B35D37" w:rsidRDefault="00B35D37" w:rsidP="00B35D37">
      <w:pPr>
        <w:pStyle w:val="TextoNormal"/>
      </w:pPr>
    </w:p>
    <w:p w14:paraId="479C34AA" w14:textId="01767A41" w:rsidR="00B35D37" w:rsidRDefault="00B35D37" w:rsidP="00B35D37">
      <w:pPr>
        <w:pStyle w:val="TextoNormal"/>
      </w:pPr>
      <w:r>
        <w:t xml:space="preserve">Pese a que el precepto citado solo prevé que la medida cautelar adoptada de forma urgente e </w:t>
      </w:r>
      <w:r w:rsidRPr="00B35D37">
        <w:rPr>
          <w:i/>
        </w:rPr>
        <w:t>inaudita parte</w:t>
      </w:r>
      <w:r>
        <w:t xml:space="preserve"> deba revisarse en caso de ser impugnada por alguna de las partes, hemos declarado de manera reiterada que la concurrencia de una urgencia excepcional que autoriza a este tribunal a adoptar medidas cautelares sin oír a las partes y a hacerlo con una motivación sucinta —al acordarse en la propia providencia de admisión a trámite del recurso de amparo— no implica que no deban remediarse estas carencias mediante una nueva resolución motivada en la que, tras oír a las partes, se expresen las razones que lleven al Tribunal a mantener, modificar o levantar la medida inicialmente acordada. Así se viene haciendo desde los AATC 213/2009, de 9 de julio; 115/2012, de 4 de junio, FJ 1; 174/2013, de 9 de septiembre, FJ 2, y 482/2023, de 23 de octubre, FJ 2, por todos.</w:t>
      </w:r>
    </w:p>
    <w:p w14:paraId="69BF0A6B" w14:textId="77777777" w:rsidR="00B35D37" w:rsidRDefault="00B35D37" w:rsidP="00B35D37">
      <w:pPr>
        <w:pStyle w:val="TextoNormal"/>
      </w:pPr>
    </w:p>
    <w:p w14:paraId="0FB32A92" w14:textId="77777777" w:rsidR="00B35D37" w:rsidRDefault="00B35D37" w:rsidP="00B35D37">
      <w:pPr>
        <w:pStyle w:val="TextoNormal"/>
      </w:pPr>
      <w:r w:rsidRPr="00B35D37">
        <w:rPr>
          <w:rStyle w:val="NumeroAFNegritaCaracter"/>
        </w:rPr>
        <w:t>2</w:t>
      </w:r>
      <w:r>
        <w:t>. La interpretación combinada de los dos primeros apartados del art. 56 LOTC determina que la regla general en el proceso de amparo sea el mantenimiento de la eficacia del acto o resolución impugnados, y la suspensión cautelar se contemple como excepción a esa regla general, por lo que los parámetros para su adopción han de estar basados en criterios de interpretación restrictiva.</w:t>
      </w:r>
    </w:p>
    <w:p w14:paraId="0A13E395" w14:textId="77777777" w:rsidR="00B35D37" w:rsidRDefault="00B35D37" w:rsidP="00B35D37">
      <w:pPr>
        <w:pStyle w:val="TextoNormal"/>
      </w:pPr>
    </w:p>
    <w:p w14:paraId="5CAB9313" w14:textId="77777777" w:rsidR="00B35D37" w:rsidRDefault="00B35D37" w:rsidP="00B35D37">
      <w:pPr>
        <w:pStyle w:val="TextoNormal"/>
      </w:pPr>
      <w:r>
        <w:t>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ausencia de una perturbación grave para un interés constitucionalmente protegido.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w:t>
      </w:r>
    </w:p>
    <w:p w14:paraId="63A8301A" w14:textId="77777777" w:rsidR="00B35D37" w:rsidRDefault="00B35D37" w:rsidP="00B35D37">
      <w:pPr>
        <w:pStyle w:val="TextoNormal"/>
      </w:pPr>
    </w:p>
    <w:p w14:paraId="7471A566" w14:textId="77777777" w:rsidR="00B35D37" w:rsidRDefault="00B35D37" w:rsidP="00B35D37">
      <w:pPr>
        <w:pStyle w:val="TextoNormal"/>
      </w:pPr>
      <w:r>
        <w:t>Cuando se trata de la suspensión de penas de prisión,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(por todos, ATC 211/2004, de 2 de junio, FJ 3). Teniendo en cuenta este factor de gravedad de la pena, el Tribunal ha adoptado como criterio orientativo el de que la pena se sitúe por encima o por debajo de la frontera de los cinco años de prisión, que es la que le sirve al legislador penal para diferenciar entre las penas graves y las menos graves (art. 33 CP), y ha venido acordando la suspensión de la ejecución cuando se trata de penas inferiores a cinco años de duración (AATC 250/2013, de 4 de noviembre, y 122/2018, de 26 de noviembre, entre otros).</w:t>
      </w:r>
    </w:p>
    <w:p w14:paraId="1336AAA5" w14:textId="77777777" w:rsidR="00B35D37" w:rsidRDefault="00B35D37" w:rsidP="00B35D37">
      <w:pPr>
        <w:pStyle w:val="TextoNormal"/>
      </w:pPr>
    </w:p>
    <w:p w14:paraId="45FA8722" w14:textId="4E50C208" w:rsidR="00B35D37" w:rsidRDefault="00B35D37" w:rsidP="00B35D37">
      <w:pPr>
        <w:pStyle w:val="TextoNormal"/>
      </w:pPr>
      <w:r>
        <w:t>Este mismo criterio se ha venido aplicando cuando se trata de la ejecución de resoluciones que acuerdan la revocación de la suspensión condicional de penas privativas de libertad impuestas por sentencia (AATC 112/2020, de 21 de septiembre, y 123/2022, de 26 de septiembre).</w:t>
      </w:r>
    </w:p>
    <w:p w14:paraId="6223A2BC" w14:textId="77777777" w:rsidR="00B35D37" w:rsidRDefault="00B35D37" w:rsidP="00B35D37">
      <w:pPr>
        <w:pStyle w:val="TextoNormal"/>
      </w:pPr>
    </w:p>
    <w:p w14:paraId="608A3456" w14:textId="77777777" w:rsidR="00B35D37" w:rsidRDefault="00B35D37" w:rsidP="00B35D37">
      <w:pPr>
        <w:pStyle w:val="TextoNormal"/>
      </w:pPr>
      <w:r w:rsidRPr="00B35D37">
        <w:rPr>
          <w:rStyle w:val="NumeroAFNegritaCaracter"/>
        </w:rPr>
        <w:t>3</w:t>
      </w:r>
      <w:r>
        <w:t>. La aplicación de la doctrina precedente permite acoger la solicitud formulada por el recurrente, apoyada por el Ministerio Fiscal, pues concurren los requisitos que nuestra doctrina exige para otorgar la suspensión de la ejecución. Así:</w:t>
      </w:r>
    </w:p>
    <w:p w14:paraId="6B691A3B" w14:textId="77777777" w:rsidR="00B35D37" w:rsidRDefault="00B35D37" w:rsidP="00B35D37">
      <w:pPr>
        <w:pStyle w:val="TextoNormal"/>
      </w:pPr>
    </w:p>
    <w:p w14:paraId="47F8AE39" w14:textId="77777777" w:rsidR="00B35D37" w:rsidRDefault="00B35D37" w:rsidP="00B35D37">
      <w:pPr>
        <w:pStyle w:val="TextoNormal"/>
      </w:pPr>
      <w:r>
        <w:t>(i) El delito por el que fue impuesta la pena de prisión al recurrente —delito militar de deslealtad consistente en un intento frustrado de alterar el resultado de un control de consumo de sustancias tóxicas— no reviste especial gravedad si atendemos a la pena con que se encuentra castigado en el Código penal militar (de seis meses a cuatro años de prisión) y la pena que fue impuesta al recurrente en el caso concreto (diez meses de prisión).</w:t>
      </w:r>
    </w:p>
    <w:p w14:paraId="09E350A4" w14:textId="77777777" w:rsidR="00B35D37" w:rsidRDefault="00B35D37" w:rsidP="00B35D37">
      <w:pPr>
        <w:pStyle w:val="TextoNormal"/>
      </w:pPr>
    </w:p>
    <w:p w14:paraId="34CB0756" w14:textId="77777777" w:rsidR="00B35D37" w:rsidRDefault="00B35D37" w:rsidP="00B35D37">
      <w:pPr>
        <w:pStyle w:val="TextoNormal"/>
      </w:pPr>
      <w:r>
        <w:t>(ii) No existe evidencia alguna de que la suspensión de las resoluciones recurridas vaya a causar un perjuicio a la víctima o a terceros, dado que se trata de un delito sin víctimas o perjudicados directos.</w:t>
      </w:r>
    </w:p>
    <w:p w14:paraId="5516CA4B" w14:textId="77777777" w:rsidR="00B35D37" w:rsidRDefault="00B35D37" w:rsidP="00B35D37">
      <w:pPr>
        <w:pStyle w:val="TextoNormal"/>
      </w:pPr>
    </w:p>
    <w:p w14:paraId="4D1AB1BC" w14:textId="3683825F" w:rsidR="00B35D37" w:rsidRDefault="00B35D37" w:rsidP="00B35D37">
      <w:pPr>
        <w:pStyle w:val="TextoNormal"/>
      </w:pPr>
      <w:r>
        <w:t>(iii) No existe ninguna razón para pensar que la suspensión cautelar de resoluciones recurridas pudiera llegar a frustrar su efectiva ejecución llegado el caso de que el recurso de amparo fuera desestimado; mientras que, de ejecutarse la resolución que revoca la suspensión, con el consiguiente ingreso en prisión del recurrente, se perdería la finalidad a que está orientada el presente recurso, que no es otra sino la de evitar el cumplimiento efectivo de esa pena de prisión, caso de llegar a estimarse el mismo.</w:t>
      </w:r>
    </w:p>
    <w:p w14:paraId="576E2C89" w14:textId="77777777" w:rsidR="00B35D37" w:rsidRDefault="00B35D37" w:rsidP="00B35D37">
      <w:pPr>
        <w:pStyle w:val="TextoNormal"/>
      </w:pPr>
    </w:p>
    <w:p w14:paraId="282E72EE" w14:textId="77777777" w:rsidR="00B35D37" w:rsidRDefault="00B35D37" w:rsidP="00B35D37">
      <w:pPr>
        <w:pStyle w:val="TextoNormal"/>
      </w:pPr>
      <w:r>
        <w:t>Por lo expuesto, la Sala</w:t>
      </w:r>
    </w:p>
    <w:p w14:paraId="3C9B24D7" w14:textId="26E13156" w:rsidR="00B35D37" w:rsidRDefault="00B35D37" w:rsidP="00B35D37">
      <w:pPr>
        <w:pStyle w:val="TextoNormal"/>
      </w:pPr>
    </w:p>
    <w:p w14:paraId="516CA4A5" w14:textId="77777777" w:rsidR="00B35D37" w:rsidRDefault="00B35D37" w:rsidP="00B35D37">
      <w:pPr>
        <w:pStyle w:val="TextoNormalCentrado"/>
      </w:pPr>
      <w:r>
        <w:t>ACUERDA</w:t>
      </w:r>
    </w:p>
    <w:p w14:paraId="6CDD87D2" w14:textId="09B0745C" w:rsidR="00B35D37" w:rsidRDefault="00B35D37" w:rsidP="00B35D37">
      <w:pPr>
        <w:pStyle w:val="TextoNormalCentrado"/>
      </w:pPr>
    </w:p>
    <w:p w14:paraId="39EA44EC" w14:textId="6B62E341" w:rsidR="00B35D37" w:rsidRDefault="00B35D37" w:rsidP="00B35D37">
      <w:pPr>
        <w:pStyle w:val="TextoNormal"/>
      </w:pPr>
      <w:r>
        <w:t>Mantener la medida cautelar de suspensión acordada en la providencia de 10 de enero de 2025.</w:t>
      </w:r>
    </w:p>
    <w:p w14:paraId="7F902080" w14:textId="77777777" w:rsidR="00B35D37" w:rsidRDefault="00B35D37" w:rsidP="00B35D37">
      <w:pPr>
        <w:pStyle w:val="TextoNormal"/>
      </w:pPr>
    </w:p>
    <w:p w14:paraId="1470D39C" w14:textId="77777777" w:rsidR="00B35D37" w:rsidRDefault="00B35D37" w:rsidP="00B35D37">
      <w:pPr>
        <w:pStyle w:val="TextoNormal"/>
      </w:pPr>
      <w:r>
        <w:t>Madrid, a diez de marzo de dos mil veinticinco.</w:t>
      </w:r>
    </w:p>
    <w:p w14:paraId="19319F15" w14:textId="1FB09750" w:rsidR="00B35D37" w:rsidRDefault="00B35D37">
      <w:pPr>
        <w:spacing w:after="160" w:line="278" w:lineRule="auto"/>
        <w:rPr>
          <w:rFonts w:ascii="Times New Roman" w:eastAsia="Times New Roman" w:hAnsi="Times New Roman" w:cs="Times New Roman"/>
          <w:sz w:val="24"/>
          <w:szCs w:val="24"/>
          <w:lang w:eastAsia="es-ES"/>
        </w:rPr>
      </w:pPr>
      <w:r>
        <w:br w:type="page"/>
      </w:r>
    </w:p>
    <w:p w14:paraId="09C25327" w14:textId="77777777" w:rsidR="00B35D37" w:rsidRDefault="00B35D37" w:rsidP="00B35D37">
      <w:pPr>
        <w:pStyle w:val="TtuloResolucin"/>
      </w:pPr>
      <w:bookmarkStart w:id="161" w:name="AUTO_2025_22"/>
      <w:r>
        <w:t>AUTO 22/2025, de 11 de marzo de 2025</w:t>
      </w:r>
    </w:p>
    <w:bookmarkEnd w:id="161"/>
    <w:p w14:paraId="1033D549" w14:textId="77777777" w:rsidR="00B35D37" w:rsidRDefault="00B35D37" w:rsidP="00B35D37">
      <w:pPr>
        <w:pStyle w:val="TtuloResolucin"/>
      </w:pPr>
      <w:r>
        <w:t>Sección Primera</w:t>
      </w:r>
    </w:p>
    <w:p w14:paraId="4C03E5C3" w14:textId="77777777" w:rsidR="00B35D37" w:rsidRDefault="00B35D37" w:rsidP="00B35D37">
      <w:pPr>
        <w:pStyle w:val="TextoNormalCentrado"/>
      </w:pPr>
      <w:r>
        <w:t>ECLI:ES:TC:2025:22A</w:t>
      </w:r>
    </w:p>
    <w:p w14:paraId="601917D6" w14:textId="3DB46142" w:rsidR="00B35D37" w:rsidRDefault="00B35D37" w:rsidP="00B35D37">
      <w:pPr>
        <w:pStyle w:val="TextoNormalCentrado"/>
      </w:pPr>
    </w:p>
    <w:p w14:paraId="14CE6B42" w14:textId="77777777" w:rsidR="00B35D37" w:rsidRDefault="00B35D37" w:rsidP="00B35D37">
      <w:pPr>
        <w:pStyle w:val="SntesisDescriptiva"/>
      </w:pPr>
      <w:r>
        <w:t>Excms. Srs. don Cándido Conde-Pumpido Tourón, doña Concepción Espejel Jorquera y doña María Luisa Segoviano Astaburuaga.</w:t>
      </w:r>
    </w:p>
    <w:p w14:paraId="5D91C3A3" w14:textId="3C0B33C9" w:rsidR="00B35D37" w:rsidRDefault="00B35D37" w:rsidP="00B35D37">
      <w:pPr>
        <w:pStyle w:val="SntesisDescriptiva"/>
      </w:pPr>
    </w:p>
    <w:p w14:paraId="01E1DA42" w14:textId="77777777" w:rsidR="00B35D37" w:rsidRDefault="00B35D37" w:rsidP="00B35D37">
      <w:pPr>
        <w:pStyle w:val="SntesisDescriptiva"/>
      </w:pPr>
      <w:r>
        <w:t>Deniega la solicitud de aclaración y revisión del ATC 74/2024, de 29 de julio, dictado en el recurso de amparo 8325-2022, promovido por don Salvador López Ortiz y María José López Espinosa en proceso contencioso administrativo.</w:t>
      </w:r>
    </w:p>
    <w:p w14:paraId="1D14DAD6" w14:textId="441C0468" w:rsidR="00B35D37" w:rsidRDefault="00B35D37" w:rsidP="00B35D37">
      <w:pPr>
        <w:pStyle w:val="SntesisDescriptiva"/>
      </w:pPr>
    </w:p>
    <w:p w14:paraId="2B7BF362" w14:textId="77777777" w:rsidR="00B35D37" w:rsidRDefault="00B35D37" w:rsidP="00B35D37">
      <w:pPr>
        <w:pStyle w:val="SntesisDescriptiva"/>
      </w:pPr>
    </w:p>
    <w:p w14:paraId="7E9D6BAD" w14:textId="77777777" w:rsidR="00B35D37" w:rsidRDefault="00B35D37" w:rsidP="00B35D37">
      <w:pPr>
        <w:pStyle w:val="SntesisDescriptiva"/>
      </w:pPr>
    </w:p>
    <w:p w14:paraId="3FC7CDE1" w14:textId="77777777" w:rsidR="00B35D37" w:rsidRDefault="00B35D37" w:rsidP="00B35D37">
      <w:pPr>
        <w:pStyle w:val="TextoNormalNegritaCentrado"/>
      </w:pPr>
      <w:r>
        <w:t>AUTO</w:t>
      </w:r>
    </w:p>
    <w:p w14:paraId="05B8FAD8" w14:textId="247BE332" w:rsidR="00B35D37" w:rsidRDefault="00B35D37" w:rsidP="00B35D37">
      <w:pPr>
        <w:pStyle w:val="TextoNormalNegritaCentrado"/>
      </w:pPr>
    </w:p>
    <w:p w14:paraId="54B3D752" w14:textId="77777777" w:rsidR="00B35D37" w:rsidRDefault="00B35D37" w:rsidP="00B35D37">
      <w:pPr>
        <w:pStyle w:val="TextoNormalNegritaCentrado"/>
        <w:keepNext/>
      </w:pPr>
      <w:r>
        <w:t>I. Antecedentes</w:t>
      </w:r>
    </w:p>
    <w:p w14:paraId="2BF6D6CC" w14:textId="379B1CFD" w:rsidR="00B35D37" w:rsidRDefault="00B35D37" w:rsidP="00B35D37">
      <w:pPr>
        <w:pStyle w:val="TextoNormalNegritaCentrado"/>
        <w:keepNext/>
      </w:pPr>
    </w:p>
    <w:p w14:paraId="1A51B9AF" w14:textId="77777777" w:rsidR="00B35D37" w:rsidRDefault="00B35D37" w:rsidP="00B35D37">
      <w:pPr>
        <w:pStyle w:val="TextoNormal"/>
      </w:pPr>
      <w:r w:rsidRPr="00B35D37">
        <w:rPr>
          <w:rStyle w:val="NumeroAFNegritaCaracter"/>
        </w:rPr>
        <w:t>1</w:t>
      </w:r>
      <w:r>
        <w:t>. Mediante escrito presentado en el registro del Tribunal el 9 de diciembre de 2022, don Salvador López Ortiz y doña María José López Espinosa, representados por la procuradora de los tribunales doña Olga Gutiérrez Álvarez, solicitaron la reapertura del recurso de amparo núm. 1916-2021, en el que se había acordado por providencia de la Sección Tercera del Tribunal de 27 de enero de 2022 no admitirlo a trámite por falta de agotamiento de la vía judicial [art. 50.1 a), en relación con el art. 44.1 a) de la Ley Orgánica del Tribunal Constitucional (LOTC)], al estar todavía pendiente de resolución un incidente de nulidad de actuaciones interpuesto en el procedimiento judicial del que traía causa el recurso de amparo, con fundamento en que ya se había producido la resolución del citado incidente de nulidad de actuaciones.</w:t>
      </w:r>
    </w:p>
    <w:p w14:paraId="4905BD07" w14:textId="77777777" w:rsidR="00B35D37" w:rsidRDefault="00B35D37" w:rsidP="00B35D37">
      <w:pPr>
        <w:pStyle w:val="TextoNormal"/>
      </w:pPr>
    </w:p>
    <w:p w14:paraId="13DF0829" w14:textId="223963AA" w:rsidR="00B35D37" w:rsidRDefault="00B35D37" w:rsidP="00B35D37">
      <w:pPr>
        <w:pStyle w:val="TextoNormal"/>
      </w:pPr>
      <w:r>
        <w:t>La Secretaría de Justicia de la Sección Tercera del Tribunal, por diligencia de 14 de diciembre de 2022, al constatar que se impugnaba una resolución judicial diferente a la que había dado lugar al recurso de amparo núm. 1916-2021, acordó que se trataba de un nuevo recurso de amparo, por lo que se devolvió al registro general para ser turnado. De ese modo se dio lugar a la incoación del recurso de amparo núm. 8325-2022, que fue turnado de nuevo a la Sección Tercera del Tribunal, lo que se notificó debidamente a los recurrentes mediante diligencia de ordenación de 20 de diciembre de 2022.</w:t>
      </w:r>
    </w:p>
    <w:p w14:paraId="3F3D6726" w14:textId="77777777" w:rsidR="00B35D37" w:rsidRDefault="00B35D37" w:rsidP="00B35D37">
      <w:pPr>
        <w:pStyle w:val="TextoNormal"/>
      </w:pPr>
    </w:p>
    <w:p w14:paraId="03AE6D2F" w14:textId="5A39CD10" w:rsidR="00B35D37" w:rsidRDefault="00B35D37" w:rsidP="00B35D37">
      <w:pPr>
        <w:pStyle w:val="TextoNormal"/>
      </w:pPr>
      <w:r w:rsidRPr="00B35D37">
        <w:rPr>
          <w:rStyle w:val="NumeroAFNegritaCaracter"/>
        </w:rPr>
        <w:t>2</w:t>
      </w:r>
      <w:r>
        <w:t>. La Sección Tercera del Tribunal, en el momento en que se pronunciaron las citadas resoluciones del Tribunal Constitucional, estaba integrada, de acuerdo con lo establecido en el art. 2.2 del acuerdo de 19 de noviembre de 2021, del Pleno del Tribunal Constitucional, por el que se dispone la composición de las Salas y Secciones del Tribunal Constitucional, entre otros, por el magistrado don Cándido Conde-Pumpido Tourón y la magistrada doña Concepción Espejel Jorquera.</w:t>
      </w:r>
    </w:p>
    <w:p w14:paraId="290F987D" w14:textId="77777777" w:rsidR="00B35D37" w:rsidRDefault="00B35D37" w:rsidP="00B35D37">
      <w:pPr>
        <w:pStyle w:val="TextoNormal"/>
      </w:pPr>
    </w:p>
    <w:p w14:paraId="4CBF71F5" w14:textId="53514E31" w:rsidR="00B35D37" w:rsidRDefault="00B35D37" w:rsidP="00B35D37">
      <w:pPr>
        <w:pStyle w:val="TextoNormal"/>
      </w:pPr>
      <w:r w:rsidRPr="00B35D37">
        <w:rPr>
          <w:rStyle w:val="NumeroAFNegritaCaracter"/>
        </w:rPr>
        <w:t>3</w:t>
      </w:r>
      <w:r>
        <w:t>. La Secretaría de Justicia de la Sección Primera del Tribunal, por diligencia de ordenación de 31 de enero de 2023, notificada ese mismo día, puso en conocimiento de las partes que, en virtud del acuerdo adoptado por el Pleno del Tribunal Constitucional el día 17 de enero de 2023, publicado en el “BOE” de 19 de enero, el recurso de amparo núm. 8325-2022 había sido turnado a la Sección Primera de la Sala Primera del Tribunal Constitucional, que de conformidad con el art. 1.2 del citado acuerdo estaba integrada, entre otros, por los magistrados don Cándido Conde-Pumpido Tourón y la magistrada doña Concepción Espejel Jorquera.</w:t>
      </w:r>
    </w:p>
    <w:p w14:paraId="158F0059" w14:textId="77777777" w:rsidR="00B35D37" w:rsidRDefault="00B35D37" w:rsidP="00B35D37">
      <w:pPr>
        <w:pStyle w:val="TextoNormal"/>
      </w:pPr>
    </w:p>
    <w:p w14:paraId="5ACA424E" w14:textId="77777777" w:rsidR="00B35D37" w:rsidRDefault="00B35D37" w:rsidP="00B35D37">
      <w:pPr>
        <w:pStyle w:val="TextoNormal"/>
      </w:pPr>
      <w:r w:rsidRPr="00B35D37">
        <w:rPr>
          <w:rStyle w:val="NumeroAFNegritaCaracter"/>
        </w:rPr>
        <w:t>4</w:t>
      </w:r>
      <w:r>
        <w:t>. Los recurrentes, mediante escrito registrado el 6 de febrero de 2023, con ocasión de la interposición de lo que denominan recurso de reposición contra la citada diligencia de ordenación de 31 de enero de 2023, suplica, entre otros extremos, que se tenga por recusados al magistrado don Cándido Conde-Pumpido Tourón y a la magistrada doña Concepción Espejel Jorquera, esencialmente por su contacto previo con el objeto del presente procedimiento de amparo con ocasión de la decisión de inadmisión del recurso de amparo núm. 1916-2021, y al magistrado don César Tolosa Tribiño, con fundamento en que ya fue sujeto de recusación en la vía judicial previa que había dado lugar al presente recurso de amparo.</w:t>
      </w:r>
    </w:p>
    <w:p w14:paraId="748DDB26" w14:textId="77777777" w:rsidR="00B35D37" w:rsidRDefault="00B35D37" w:rsidP="00B35D37">
      <w:pPr>
        <w:pStyle w:val="TextoNormal"/>
      </w:pPr>
    </w:p>
    <w:p w14:paraId="4FF66A9D" w14:textId="53590AE9" w:rsidR="00B35D37" w:rsidRDefault="00B35D37" w:rsidP="00B35D37">
      <w:pPr>
        <w:pStyle w:val="TextoNormal"/>
      </w:pPr>
      <w:r>
        <w:t>De otra parte, en dicho escrito, suplica, asimismo, que a dicho escrito se le dé el carácter de recurso de reposición, al amparo del art. 80 LOTC, pues dicha diligencia es nula de pleno derecho, salvo que se acuerde admitir a trámite el recurso de amparo. Sustenta dicha nulidad en los arts. 238.3 y 6, y 240.1 y 2 de la Ley Orgánica del Poder Judicial (LOPJ), por producir indefensión con vulneración del art. 24.1 CE, al haber resuelto el secretario de justicia lo que le competía a la anterior Sección Tercera.</w:t>
      </w:r>
    </w:p>
    <w:p w14:paraId="3674CDDE" w14:textId="77777777" w:rsidR="00B35D37" w:rsidRDefault="00B35D37" w:rsidP="00B35D37">
      <w:pPr>
        <w:pStyle w:val="TextoNormal"/>
      </w:pPr>
    </w:p>
    <w:p w14:paraId="3F54B6C5" w14:textId="533D928A" w:rsidR="00B35D37" w:rsidRDefault="00B35D37" w:rsidP="00B35D37">
      <w:pPr>
        <w:pStyle w:val="TextoNormal"/>
      </w:pPr>
      <w:r w:rsidRPr="00B35D37">
        <w:rPr>
          <w:rStyle w:val="NumeroAFNegritaCaracter"/>
        </w:rPr>
        <w:t>5</w:t>
      </w:r>
      <w:r>
        <w:t>. Por ATC 238/2023, de 9 de mayo, se acordó no admitir a trámite las recusaciones formuladas en el recurso de amparo núm. 8325-2022 y la devolución de las actuaciones a la Sección Primera del Tribunal. En lo que se refiere al denominado por los recurrentes “recurso de reposición”, mediante ATC 74/2024, de 29 de julio, la Sección Primera declaró que no había lugar a revisar la diligencia de ordenación del secretario de justicia de la Sección Primera de 31 de enero de 2023. También reiteró que no procedía la reapertura del recurso de amparo núm. 1916-2021, puesto que dicho recurso ya había sido inadmitido por providencia de 27 de enero de 2022 y dicha providencia no fue recurrida por el Ministerio Fiscal.</w:t>
      </w:r>
    </w:p>
    <w:p w14:paraId="319F6BB2" w14:textId="77777777" w:rsidR="00B35D37" w:rsidRDefault="00B35D37" w:rsidP="00B35D37">
      <w:pPr>
        <w:pStyle w:val="TextoNormal"/>
      </w:pPr>
    </w:p>
    <w:p w14:paraId="314143E2" w14:textId="77777777" w:rsidR="00B35D37" w:rsidRDefault="00B35D37" w:rsidP="00B35D37">
      <w:pPr>
        <w:pStyle w:val="TextoNormal"/>
      </w:pPr>
      <w:r w:rsidRPr="00B35D37">
        <w:rPr>
          <w:rStyle w:val="NumeroAFNegritaCaracter"/>
        </w:rPr>
        <w:t>6</w:t>
      </w:r>
      <w:r>
        <w:t>. La representación procesal de los recurrentes en amparo presentó el día 2 de septiembre de 2024 “recurso de aclaración y/o revisión” del auto de 29 de julio de 2024, que acuerda no haber lugar a revisar la diligencia de ordenación de 31 de enero de 2023.</w:t>
      </w:r>
    </w:p>
    <w:p w14:paraId="429A9EA1" w14:textId="77777777" w:rsidR="00B35D37" w:rsidRDefault="00B35D37" w:rsidP="00B35D37">
      <w:pPr>
        <w:pStyle w:val="TextoNormal"/>
      </w:pPr>
    </w:p>
    <w:p w14:paraId="50FA7505" w14:textId="0EC46046" w:rsidR="00B35D37" w:rsidRDefault="00B35D37" w:rsidP="00B35D37">
      <w:pPr>
        <w:pStyle w:val="TextoNormal"/>
      </w:pPr>
      <w:r>
        <w:t>Como pretensión principal, los recurrentes interesan que se deje sin efecto el auto impugnado y que, en su lugar, se dicte otro que acuerde la reapertura del recurso de amparo núm. 1916-2021 —inadmitido a trámite mediante providencia de 27 de enero de 2022, con arreglo a lo previsto en el art. 50.1 a) LOTC, en relación con su art. 44.1 a), toda vez que no se agotaron debidamente todos los medios de impugnación dentro de la vía judicial— y su acumulación al presente recurso de amparo o, en su defecto, la admisión a trámite de este último.</w:t>
      </w:r>
    </w:p>
    <w:p w14:paraId="183595A9" w14:textId="77777777" w:rsidR="00B35D37" w:rsidRDefault="00B35D37" w:rsidP="00B35D37">
      <w:pPr>
        <w:pStyle w:val="TextoNormal"/>
      </w:pPr>
    </w:p>
    <w:p w14:paraId="5B9049AE" w14:textId="49677499" w:rsidR="00B35D37" w:rsidRDefault="00B35D37" w:rsidP="00B35D37">
      <w:pPr>
        <w:pStyle w:val="TextoNormal"/>
      </w:pPr>
      <w:r w:rsidRPr="00B35D37">
        <w:rPr>
          <w:rStyle w:val="NumeroAFNegritaCaracter"/>
        </w:rPr>
        <w:t>7</w:t>
      </w:r>
      <w:r>
        <w:t>. Mediante diligencia de ordenación de 9 de septiembre de 2024, se acordó dar traslado al Ministerio Fiscal por término de tres días para que alegara lo que estimara oportuno.</w:t>
      </w:r>
    </w:p>
    <w:p w14:paraId="554DC25D" w14:textId="77777777" w:rsidR="00B35D37" w:rsidRDefault="00B35D37" w:rsidP="00B35D37">
      <w:pPr>
        <w:pStyle w:val="TextoNormal"/>
      </w:pPr>
    </w:p>
    <w:p w14:paraId="562FFBBA" w14:textId="77777777" w:rsidR="00B35D37" w:rsidRDefault="00B35D37" w:rsidP="00B35D37">
      <w:pPr>
        <w:pStyle w:val="TextoNormal"/>
      </w:pPr>
      <w:r w:rsidRPr="00B35D37">
        <w:rPr>
          <w:rStyle w:val="NumeroAFNegritaCaracter"/>
        </w:rPr>
        <w:t>8</w:t>
      </w:r>
      <w:r>
        <w:t>. Mediante escrito de 27 de septiembre de 2024, el Ministerio Fiscal formuló alegaciones. Consideraba que el auto cuya “aclaración y/o revisión” se interesa, ya se pronunció sobre la reapertura del recurso de amparo núm. 1916-2021, que ahora se vuelve a solicitar, y expresó el motivo de denegación de la reapertura. Añade el fiscal que lo que ahora se persigue no es que este tribunal proceda a aclarar algún concepto oscuro o a corregir algún error material que se evidencie de la resolución que, a juicio de los recurrentes, incurre en error u omisión, sino que, por el contrario, lo que intentan es obtener una modificación sustancial del pronunciamiento de la providencia de inadmisión ya dictada en el recurso de amparo núm. 1916-2021.</w:t>
      </w:r>
    </w:p>
    <w:p w14:paraId="60DD3B60" w14:textId="77777777" w:rsidR="00B35D37" w:rsidRDefault="00B35D37" w:rsidP="00B35D37">
      <w:pPr>
        <w:pStyle w:val="TextoNormal"/>
      </w:pPr>
    </w:p>
    <w:p w14:paraId="0E2840DC" w14:textId="3D08FD3C" w:rsidR="00B35D37" w:rsidRDefault="00B35D37" w:rsidP="00B35D37">
      <w:pPr>
        <w:pStyle w:val="TextoNormal"/>
      </w:pPr>
      <w:r>
        <w:t>Y concluye el fiscal que del escrito ahora analizado resulta que los argumentos y alegaciones esgrimidos van dirigidos básicamente a la sustitución de la decisión de inadmisión, acordada mediante providencia de 27 de enero de 2022, por otra resolución que acceda a la solicitud de reapertura del recurso de amparo núm. 1916-2021 y su acumulación al presente recurso de amparo (8325-2022), de modo que los demandantes han utilizado la vía de aclaración inadecuadamente, como si se tratara de un verdadero recurso, con la finalidad de dejar sin efecto la providencia de inadmisión del recurso de amparo núm. 1916-2021, por lo que el fiscal considera que la solicitud de aclaración resulta inviable.</w:t>
      </w:r>
    </w:p>
    <w:p w14:paraId="02547933" w14:textId="77777777" w:rsidR="00B35D37" w:rsidRDefault="00B35D37" w:rsidP="00B35D37">
      <w:pPr>
        <w:pStyle w:val="TextoNormal"/>
      </w:pPr>
    </w:p>
    <w:p w14:paraId="1833D809" w14:textId="77777777" w:rsidR="00B35D37" w:rsidRDefault="00B35D37" w:rsidP="00B35D37">
      <w:pPr>
        <w:pStyle w:val="TextoNormalNegritaCentrado"/>
        <w:keepNext/>
      </w:pPr>
      <w:r>
        <w:t>II. Fundamentos jurídicos</w:t>
      </w:r>
    </w:p>
    <w:p w14:paraId="70AA1FB5" w14:textId="498F4416" w:rsidR="00B35D37" w:rsidRDefault="00B35D37" w:rsidP="00B35D37">
      <w:pPr>
        <w:pStyle w:val="TextoNormalNegritaCentrado"/>
        <w:keepNext/>
      </w:pPr>
    </w:p>
    <w:p w14:paraId="547190B9" w14:textId="77777777" w:rsidR="00B35D37" w:rsidRDefault="00B35D37" w:rsidP="00B35D37">
      <w:pPr>
        <w:pStyle w:val="TextoNormal"/>
      </w:pPr>
      <w:r w:rsidRPr="00B35D37">
        <w:rPr>
          <w:rStyle w:val="TextoNormalNegritaCaracter"/>
        </w:rPr>
        <w:t xml:space="preserve">Único. </w:t>
      </w:r>
      <w:r>
        <w:t>Como afirma el Ministerio Fiscal en su escrito de alegaciones, el auto cuya “aclaración y/o revisión” se interesa, ya se pronunció sobre la reapertura del recurso de amparo núm. 1916-2021, que ahora se vuelve a solicitar, y expresó el motivo de denegación de la reapertura.</w:t>
      </w:r>
    </w:p>
    <w:p w14:paraId="1511FE46" w14:textId="77777777" w:rsidR="00B35D37" w:rsidRDefault="00B35D37" w:rsidP="00B35D37">
      <w:pPr>
        <w:pStyle w:val="TextoNormal"/>
      </w:pPr>
    </w:p>
    <w:p w14:paraId="6675F6A5" w14:textId="77777777" w:rsidR="00B35D37" w:rsidRDefault="00B35D37" w:rsidP="00B35D37">
      <w:pPr>
        <w:pStyle w:val="TextoNormal"/>
      </w:pPr>
      <w:r>
        <w:t>También, de acuerdo con el Ministerio Fiscal, debemos afirmar que, del escrito ahora analizado, resulta que los argumentos y alegaciones esgrimidos van dirigidos básicamente a la sustitución de la decisión de inadmisión, acordada mediante providencia de 27 de enero de 2022, por otra resolución que acceda a la solicitud de reapertura del recurso de amparo núm. 1916-2021 y su acumulación al presente recurso de amparo (8325-2022), de modo que los demandantes han utilizado la vía de aclaración inadecuadamente, como si se tratara de un verdadero recurso, con la finalidad de dejar sin efecto la providencia de inadmisión del recurso de amparo núm. 1916-2021.</w:t>
      </w:r>
    </w:p>
    <w:p w14:paraId="235763DC" w14:textId="77777777" w:rsidR="00B35D37" w:rsidRDefault="00B35D37" w:rsidP="00B35D37">
      <w:pPr>
        <w:pStyle w:val="TextoNormal"/>
      </w:pPr>
    </w:p>
    <w:p w14:paraId="3D59A7BD" w14:textId="0362FFD8" w:rsidR="00B35D37" w:rsidRDefault="00B35D37" w:rsidP="00B35D37">
      <w:pPr>
        <w:pStyle w:val="TextoNormal"/>
      </w:pPr>
      <w:r>
        <w:t>En consecuencia, no ha lugar a acordar lo solicitado, al sustentarse en la discrepancia de los recurrentes en amparo con lo resuelto en el auto de 29 de julio de 2024, a fin de obtener una nueva resolución que revise lo acordado para adaptarlo a sus pretensiones, consistentes en la reapertura de un recurso de amparo ya inadmitido o su acumulación a las presentes actuaciones.</w:t>
      </w:r>
    </w:p>
    <w:p w14:paraId="2A52E241" w14:textId="77777777" w:rsidR="00B35D37" w:rsidRDefault="00B35D37" w:rsidP="00B35D37">
      <w:pPr>
        <w:pStyle w:val="TextoNormal"/>
      </w:pPr>
    </w:p>
    <w:p w14:paraId="0FD6AE51" w14:textId="77777777" w:rsidR="00B35D37" w:rsidRDefault="00B35D37" w:rsidP="00B35D37">
      <w:pPr>
        <w:pStyle w:val="TextoNormal"/>
      </w:pPr>
      <w:r>
        <w:t>Por lo expuesto, la Sección</w:t>
      </w:r>
    </w:p>
    <w:p w14:paraId="51FBD6BE" w14:textId="456A088C" w:rsidR="00B35D37" w:rsidRDefault="00B35D37" w:rsidP="00B35D37">
      <w:pPr>
        <w:pStyle w:val="TextoNormal"/>
      </w:pPr>
    </w:p>
    <w:p w14:paraId="0E8BC813" w14:textId="77777777" w:rsidR="00B35D37" w:rsidRDefault="00B35D37" w:rsidP="00B35D37">
      <w:pPr>
        <w:pStyle w:val="TextoNormalCentrado"/>
      </w:pPr>
      <w:r>
        <w:t>ACUERDA</w:t>
      </w:r>
    </w:p>
    <w:p w14:paraId="33CEDAFD" w14:textId="21B3ECAF" w:rsidR="00B35D37" w:rsidRDefault="00B35D37" w:rsidP="00B35D37">
      <w:pPr>
        <w:pStyle w:val="TextoNormalCentrado"/>
      </w:pPr>
    </w:p>
    <w:p w14:paraId="4999D813" w14:textId="2E03354F" w:rsidR="00B35D37" w:rsidRDefault="00B35D37" w:rsidP="00B35D37">
      <w:pPr>
        <w:pStyle w:val="TextoNormal"/>
      </w:pPr>
      <w:r>
        <w:t>No haber lugar a lo solicitado por la parte en relación con el ATC 74/2024, de 29 de julio, de la Sección Primera del Tribunal Constitucional, que confirmamos íntegramente.</w:t>
      </w:r>
    </w:p>
    <w:p w14:paraId="26DC2CF0" w14:textId="77777777" w:rsidR="00B35D37" w:rsidRDefault="00B35D37" w:rsidP="00B35D37">
      <w:pPr>
        <w:pStyle w:val="TextoNormal"/>
      </w:pPr>
    </w:p>
    <w:p w14:paraId="76A2A6DA" w14:textId="77777777" w:rsidR="00B35D37" w:rsidRDefault="00B35D37" w:rsidP="00B35D37">
      <w:pPr>
        <w:pStyle w:val="TextoNormal"/>
      </w:pPr>
      <w:r>
        <w:t>Madrid, a once de marzo de dos mil veinticinco.</w:t>
      </w:r>
    </w:p>
    <w:p w14:paraId="571DE6CD" w14:textId="312C366B" w:rsidR="00B35D37" w:rsidRDefault="00B35D37">
      <w:pPr>
        <w:spacing w:after="160" w:line="278" w:lineRule="auto"/>
        <w:rPr>
          <w:rFonts w:ascii="Times New Roman" w:eastAsia="Times New Roman" w:hAnsi="Times New Roman" w:cs="Times New Roman"/>
          <w:sz w:val="24"/>
          <w:szCs w:val="24"/>
          <w:lang w:eastAsia="es-ES"/>
        </w:rPr>
      </w:pPr>
      <w:r>
        <w:br w:type="page"/>
      </w:r>
    </w:p>
    <w:p w14:paraId="7428C8FA" w14:textId="77777777" w:rsidR="00B35D37" w:rsidRDefault="00B35D37" w:rsidP="00B35D37">
      <w:pPr>
        <w:pStyle w:val="TtuloResolucin"/>
      </w:pPr>
      <w:bookmarkStart w:id="162" w:name="AUTO_2025_23"/>
      <w:r>
        <w:t>AUTO 23/2025, de 11 de marzo de 2025</w:t>
      </w:r>
    </w:p>
    <w:bookmarkEnd w:id="162"/>
    <w:p w14:paraId="54249C37" w14:textId="77777777" w:rsidR="00B35D37" w:rsidRDefault="00B35D37" w:rsidP="00B35D37">
      <w:pPr>
        <w:pStyle w:val="TtuloResolucin"/>
      </w:pPr>
      <w:r>
        <w:t>Pleno</w:t>
      </w:r>
    </w:p>
    <w:p w14:paraId="7D9A128D" w14:textId="77777777" w:rsidR="00B35D37" w:rsidRDefault="00B35D37" w:rsidP="00B35D37">
      <w:pPr>
        <w:pStyle w:val="TextoNormalCentrado"/>
      </w:pPr>
      <w:r>
        <w:t>ECLI:ES:TC:2025:23A</w:t>
      </w:r>
    </w:p>
    <w:p w14:paraId="0F60BE82" w14:textId="0D7932AF" w:rsidR="00B35D37" w:rsidRDefault="00B35D37" w:rsidP="00B35D37">
      <w:pPr>
        <w:pStyle w:val="TextoNormalCentrado"/>
      </w:pPr>
    </w:p>
    <w:p w14:paraId="4CC38B32"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961B4F5" w14:textId="2CBF94FD" w:rsidR="00B35D37" w:rsidRDefault="00B35D37" w:rsidP="00B35D37">
      <w:pPr>
        <w:pStyle w:val="SntesisDescriptiva"/>
      </w:pPr>
    </w:p>
    <w:p w14:paraId="2DB1D11A" w14:textId="77777777" w:rsidR="00B35D37" w:rsidRDefault="00B35D37" w:rsidP="00B35D37">
      <w:pPr>
        <w:pStyle w:val="SntesisDescriptiva"/>
      </w:pPr>
      <w:r>
        <w:t>Inadmite diversas recusaciones formuladas en el recurso de amparo 7129-2023, promovido por la Asociación por la Reconciliación y la Verdad Histórica en procedimiento parlamentario.</w:t>
      </w:r>
    </w:p>
    <w:p w14:paraId="007B156D" w14:textId="0CF1A774" w:rsidR="00B35D37" w:rsidRDefault="00B35D37" w:rsidP="00B35D37">
      <w:pPr>
        <w:pStyle w:val="SntesisDescriptiva"/>
      </w:pPr>
    </w:p>
    <w:p w14:paraId="03B7AB07" w14:textId="77777777" w:rsidR="00B35D37" w:rsidRDefault="00B35D37" w:rsidP="00B35D37">
      <w:pPr>
        <w:pStyle w:val="SntesisDescriptiva"/>
      </w:pPr>
    </w:p>
    <w:p w14:paraId="122D4DFF" w14:textId="77777777" w:rsidR="00B35D37" w:rsidRDefault="00B35D37" w:rsidP="00B35D37">
      <w:pPr>
        <w:pStyle w:val="SntesisDescriptiva"/>
      </w:pPr>
    </w:p>
    <w:p w14:paraId="3C1C4FA0" w14:textId="77777777" w:rsidR="00B35D37" w:rsidRDefault="00B35D37" w:rsidP="00B35D37">
      <w:pPr>
        <w:pStyle w:val="TextoNormalNegritaCentrado"/>
      </w:pPr>
      <w:r>
        <w:t>AUTO</w:t>
      </w:r>
    </w:p>
    <w:p w14:paraId="31ACEAFC" w14:textId="51BF89F5" w:rsidR="00B35D37" w:rsidRDefault="00B35D37" w:rsidP="00B35D37">
      <w:pPr>
        <w:pStyle w:val="TextoNormalNegritaCentrado"/>
      </w:pPr>
    </w:p>
    <w:p w14:paraId="501DE748" w14:textId="77777777" w:rsidR="00B35D37" w:rsidRDefault="00B35D37" w:rsidP="00B35D37">
      <w:pPr>
        <w:pStyle w:val="TextoNormalNegritaCentrado"/>
        <w:keepNext/>
      </w:pPr>
      <w:r>
        <w:t>I. Antecedentes</w:t>
      </w:r>
    </w:p>
    <w:p w14:paraId="5ADA787D" w14:textId="0A4D3CB0" w:rsidR="00B35D37" w:rsidRDefault="00B35D37" w:rsidP="00B35D37">
      <w:pPr>
        <w:pStyle w:val="TextoNormalNegritaCentrado"/>
        <w:keepNext/>
      </w:pPr>
    </w:p>
    <w:p w14:paraId="1B8DAD5E" w14:textId="77777777" w:rsidR="00B35D37" w:rsidRDefault="00B35D37" w:rsidP="00B35D37">
      <w:pPr>
        <w:pStyle w:val="TextoNormal"/>
      </w:pPr>
      <w:r w:rsidRPr="00B35D37">
        <w:rPr>
          <w:rStyle w:val="NumeroAFNegritaCaracter"/>
        </w:rPr>
        <w:t>1</w:t>
      </w:r>
      <w:r>
        <w:t>. Por escrito registrado en este tribunal el 15 de noviembre de 2023 la Asociación por la reconciliación y la verdad histórica, representada por el procurador don Javier Campal Crespo y actuando bajo la dirección letrada de don Juan Manuel González Pérez de Palomar, interpusieron recurso de amparo contra: (i) “la actuación material constitutiva de ‘vía de hecho’” realizada por el Gobierno, su presidente, y varios ministros, según el art. 43 de la Ley Orgánica del Tribunal Constitucional (LOTC), en relación con la proposición de ley de amnistía presentada ante el Congreso de los Diputados por don Francisco Javier López Álvarez, portavoz del Grupo Parlamentario Socialista en el Congreso de los Diputados; y (ii) la actuación material llevada a cabo por la presidenta y la mesa del Congreso de los Diputados en relación con la actividad legislativa relativa a la citada proposición de ley, y al convocar el pleno de investidura para Presidente del Gobierno con el candidato don Pedro Sánchez Pérez-Castejón para los días 15 y 16 de noviembre de 2023, a la vez que se registraba la proposición de ley de amnistía.</w:t>
      </w:r>
    </w:p>
    <w:p w14:paraId="3BFC222D" w14:textId="77777777" w:rsidR="00B35D37" w:rsidRDefault="00B35D37" w:rsidP="00B35D37">
      <w:pPr>
        <w:pStyle w:val="TextoNormal"/>
      </w:pPr>
    </w:p>
    <w:p w14:paraId="57D3AFFB" w14:textId="46ACCE11" w:rsidR="00B35D37" w:rsidRDefault="00B35D37" w:rsidP="00B35D37">
      <w:pPr>
        <w:pStyle w:val="TextoNormal"/>
      </w:pPr>
      <w:r>
        <w:t>En el mismo escrito de demanda se formuló recusación del presidente de este tribunal, don Cándido Conde-Pumpido Tourón, del magistrado don Juan Carlos Campo Moreno, y de la magistrada doña Laura Díez Bueso, invocando las causas recogidas en los apartados 9 (amistad íntima o enemistad manifiesta con alguna de las partes), 10 (interés directo o indirecto en el pleito o causa) y 13 (haber ocupado cargo público con ocasión del cual hay participado directa o indirectamente en el objeto del pleito) del art. 219 de la Ley Orgánica del Poder Judicial (LOPJ). Alega la recurrente enemistad ideológica manifiesta de los magistrados hacia la asociación y amistad íntima del presidente del Tribunal con determinados miembros del Gobierno. Así como que han ocupado cargos, con anterioridad a su nombramiento para el Tribunal Constitucional, todos ellos vinculados con el Partido Socialista, que es el que ha presentado la proposición de ley.</w:t>
      </w:r>
    </w:p>
    <w:p w14:paraId="7BFD7D97" w14:textId="77777777" w:rsidR="00B35D37" w:rsidRDefault="00B35D37" w:rsidP="00B35D37">
      <w:pPr>
        <w:pStyle w:val="TextoNormal"/>
      </w:pPr>
    </w:p>
    <w:p w14:paraId="7F87DD9C" w14:textId="114A3ABB" w:rsidR="00B35D37" w:rsidRDefault="00B35D37" w:rsidP="00B35D37">
      <w:pPr>
        <w:pStyle w:val="TextoNormal"/>
      </w:pPr>
      <w:r w:rsidRPr="00B35D37">
        <w:rPr>
          <w:rStyle w:val="NumeroAFNegritaCaracter"/>
        </w:rPr>
        <w:t>2</w:t>
      </w:r>
      <w:r>
        <w:t>. Por escrito registrado el 27 de noviembre de 2023, la representación procesal de la recurrente formuló escrito de recusación del magistrado de este tribunal don Ramón Sáez Valcárcel y de la magistrada doña María Luisa Balaguer Callejón invocando las mismas causas de recusación recogidas en los apartados 9, 10 y 13 del art. 219 LOPJ. Para fundamentar la recusación se aducía que los magistrados recusados mantenían una enemistad ideológica manifiesta hacia la asociación recurrente y que habían mantenido posiciones que consideraba favorables a los condenados por el procés, el señor Sáez a través de sentencias dictadas en el cargo que ocupaba antes de su incorporación al Tribunal y la señora Balaguer a través de los votos particulares emitidos en diversas sentencias del propio Tribunal.</w:t>
      </w:r>
    </w:p>
    <w:p w14:paraId="2E3481C1" w14:textId="77777777" w:rsidR="00B35D37" w:rsidRDefault="00B35D37" w:rsidP="00B35D37">
      <w:pPr>
        <w:pStyle w:val="TextoNormal"/>
      </w:pPr>
    </w:p>
    <w:p w14:paraId="7191902B" w14:textId="7854C44B" w:rsidR="00B35D37" w:rsidRDefault="00B35D37" w:rsidP="00B35D37">
      <w:pPr>
        <w:pStyle w:val="TextoNormal"/>
      </w:pPr>
      <w:r w:rsidRPr="00B35D37">
        <w:rPr>
          <w:rStyle w:val="NumeroAFNegritaCaracter"/>
        </w:rPr>
        <w:t>3</w:t>
      </w:r>
      <w:r>
        <w:t>. A través de escrito registrado en este tribunal el 7 de diciembre de 2023, la representación procesal de la asociación recurrente reiteró su petición de recusación de los magistrados y magistradas indicados en los anteriores antecedentes de hecho.</w:t>
      </w:r>
    </w:p>
    <w:p w14:paraId="55FA2902" w14:textId="77777777" w:rsidR="00B35D37" w:rsidRDefault="00B35D37" w:rsidP="00B35D37">
      <w:pPr>
        <w:pStyle w:val="TextoNormal"/>
      </w:pPr>
    </w:p>
    <w:p w14:paraId="2C649E07" w14:textId="2B0F4989" w:rsidR="00B35D37" w:rsidRDefault="00B35D37" w:rsidP="00B35D37">
      <w:pPr>
        <w:pStyle w:val="TextoNormal"/>
      </w:pPr>
      <w:r w:rsidRPr="00B35D37">
        <w:rPr>
          <w:rStyle w:val="NumeroAFNegritaCaracter"/>
        </w:rPr>
        <w:t>4</w:t>
      </w:r>
      <w:r>
        <w:t>. Por providencia de 13 de diciembre de 2024, el Pleno acordó formar pieza separada con todos los escritos de recusación y designar ponente a la magistrada doña Inmaculada Montalbán Huertas para que proponga al Pleno la resolución que proceda.</w:t>
      </w:r>
    </w:p>
    <w:p w14:paraId="78E627F9" w14:textId="77777777" w:rsidR="00B35D37" w:rsidRDefault="00B35D37" w:rsidP="00B35D37">
      <w:pPr>
        <w:pStyle w:val="TextoNormal"/>
      </w:pPr>
    </w:p>
    <w:p w14:paraId="2CC36BBB" w14:textId="77777777" w:rsidR="00B35D37" w:rsidRDefault="00B35D37" w:rsidP="00B35D37">
      <w:pPr>
        <w:pStyle w:val="TextoNormalNegritaCentrado"/>
        <w:keepNext/>
      </w:pPr>
      <w:r>
        <w:t>II. Fundamentos jurídicos</w:t>
      </w:r>
    </w:p>
    <w:p w14:paraId="60ED20D5" w14:textId="04117508" w:rsidR="00B35D37" w:rsidRDefault="00B35D37" w:rsidP="00B35D37">
      <w:pPr>
        <w:pStyle w:val="TextoNormalNegritaCentrado"/>
        <w:keepNext/>
      </w:pPr>
    </w:p>
    <w:p w14:paraId="1824EF1C" w14:textId="25B27DE1" w:rsidR="00B35D37" w:rsidRDefault="00B35D37" w:rsidP="00B35D37">
      <w:pPr>
        <w:pStyle w:val="TextoNormal"/>
      </w:pPr>
      <w:r w:rsidRPr="00B35D37">
        <w:rPr>
          <w:rStyle w:val="NumeroAFNegritaCaracter"/>
        </w:rPr>
        <w:t>1</w:t>
      </w:r>
      <w:r>
        <w:t>. La asociación recurrente solicita la recusación del presidente y cuatro magistrados y magistradas más de este tribunal para conocer del recurso de amparo interpuesto por la Asociación por la Reconciliación y la Verdad Histórica contra la presentación, por el Grupo Parlamentario Socialista, de la proposición de ley de amnistía, por la tramitación que se ha dado a dicha proposición en el Congreso de los Diputados, y por la convocatoria del pleno de investidura en el Congreso de los Diputados coincidiendo con la presentación de la proposición.</w:t>
      </w:r>
    </w:p>
    <w:p w14:paraId="02100A58" w14:textId="77777777" w:rsidR="00B35D37" w:rsidRDefault="00B35D37" w:rsidP="00B35D37">
      <w:pPr>
        <w:pStyle w:val="TextoNormal"/>
      </w:pPr>
    </w:p>
    <w:p w14:paraId="79A7197B" w14:textId="77777777" w:rsidR="00B35D37" w:rsidRDefault="00B35D37" w:rsidP="00B35D37">
      <w:pPr>
        <w:pStyle w:val="TextoNormal"/>
      </w:pPr>
      <w:r w:rsidRPr="00B35D37">
        <w:rPr>
          <w:rStyle w:val="NumeroAFNegritaCaracter"/>
        </w:rPr>
        <w:t>2</w:t>
      </w:r>
      <w:r>
        <w:t>. Con carácter previo al examen de las razones de la solicitud, procede hacer las siguientes precisiones en relación con la composición del Pleno para conocer de la recusación:</w:t>
      </w:r>
    </w:p>
    <w:p w14:paraId="26FD3F94" w14:textId="77777777" w:rsidR="00B35D37" w:rsidRDefault="00B35D37" w:rsidP="00B35D37">
      <w:pPr>
        <w:pStyle w:val="TextoNormal"/>
      </w:pPr>
    </w:p>
    <w:p w14:paraId="10B77CD1" w14:textId="77777777" w:rsidR="00B35D37" w:rsidRDefault="00B35D37" w:rsidP="00B35D37">
      <w:pPr>
        <w:pStyle w:val="TextoNormal"/>
      </w:pPr>
      <w:r>
        <w:t>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14:paraId="1BCDE11A" w14:textId="77777777" w:rsidR="00B35D37" w:rsidRDefault="00B35D37" w:rsidP="00B35D37">
      <w:pPr>
        <w:pStyle w:val="TextoNormal"/>
      </w:pPr>
    </w:p>
    <w:p w14:paraId="4063498C" w14:textId="77777777" w:rsidR="00B35D37" w:rsidRDefault="00B35D37" w:rsidP="00B35D37">
      <w:pPr>
        <w:pStyle w:val="TextoNormal"/>
      </w:pPr>
      <w:r>
        <w:t xml:space="preserve">Partiendo de que el Tribunal está compuesto por doce miembros (art. 159.1 CE), el </w:t>
      </w:r>
      <w:r w:rsidRPr="00B35D37">
        <w:rPr>
          <w:i/>
        </w:rPr>
        <w:t>quorum</w:t>
      </w:r>
      <w:r>
        <w:t xml:space="preserve"> para adoptar acuerdos es de ocho magistrados. Al ser cinco los recusados, solamente siete podrían formar sala para resolver el incidente de acuerdo con la regla general del art. 227 LOPJ, de aplicación supletoria ante esta jurisdicción (art. 80 LOTC), que impide a los primeros resolver su propia recusación.</w:t>
      </w:r>
    </w:p>
    <w:p w14:paraId="4B6D1499" w14:textId="77777777" w:rsidR="00B35D37" w:rsidRDefault="00B35D37" w:rsidP="00B35D37">
      <w:pPr>
        <w:pStyle w:val="TextoNormal"/>
      </w:pPr>
    </w:p>
    <w:p w14:paraId="1F6CAFFA" w14:textId="77777777" w:rsidR="00B35D37" w:rsidRDefault="00B35D37" w:rsidP="00B35D37">
      <w:pPr>
        <w:pStyle w:val="TextoNormal"/>
      </w:pPr>
      <w:r>
        <w:t>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w:t>
      </w:r>
    </w:p>
    <w:p w14:paraId="6BED1D8F" w14:textId="77777777" w:rsidR="00B35D37" w:rsidRDefault="00B35D37" w:rsidP="00B35D37">
      <w:pPr>
        <w:pStyle w:val="TextoNormal"/>
      </w:pPr>
    </w:p>
    <w:p w14:paraId="6A8F9FE1" w14:textId="77777777" w:rsidR="00B35D37" w:rsidRDefault="00B35D37" w:rsidP="00B35D37">
      <w:pPr>
        <w:pStyle w:val="TextoNormal"/>
      </w:pPr>
      <w:r>
        <w:t xml:space="preserve">Solo así puede alcanzarse, de acuerdo con lo dispuesto en el art. 14 LOTC, el </w:t>
      </w:r>
      <w:r w:rsidRPr="00B35D37">
        <w:rPr>
          <w:i/>
        </w:rPr>
        <w:t>quorum</w:t>
      </w:r>
      <w:r>
        <w:t xml:space="preserve"> imprescindible para que el Tribunal pueda actuar (AATC 268/2013, de 19 de noviembre, y 119/2017, de 7 de septiembre, y en el mismo sentido AATC 443/2007, de 27 de noviembre, FJ 1, y 387/2007, de 16 de octubre, FJ 3). Otra solución supondría una paralización inaceptable del ejercicio de la jurisdicción constitucional (AATC 80/2005, de 17 de febrero; 443/2007, de 27 de noviembre; 126/2008, de 14 de mayo; 268/2014 y 269/2014, ambos de 4 de noviembre; 84/2020 y 85/2020, ambos de 21 de julio, FJ 1, y 86/2021, de 16 de septiembre, FJ 2). Dicho criterio, como se ha indicado, fue ya recogido en el ATC 443/2007 citado, en el que ya se advirtió que, si la exclusión de los recusados impidiera la formación del mínimo legal para que el Tribunal pudiera adoptar acuerdos, la defensa de la jurisdicción constitucional, no solo se vislumbraría como una consecuencia de la consideración del Tribunal Constitucional como pieza esencial de toda la estructura constitucional, sino como una exigencia de inequívoca plasmación legal en el art. 4.1 LOTC, por el que ‘[e]l Tribunal Constitucional delimitará el ámbito de su jurisdicción y adoptará cuantas medidas sean necesarias para preservarla’.</w:t>
      </w:r>
    </w:p>
    <w:p w14:paraId="3BE7FED7" w14:textId="77777777" w:rsidR="00B35D37" w:rsidRDefault="00B35D37" w:rsidP="00B35D37">
      <w:pPr>
        <w:pStyle w:val="TextoNormal"/>
      </w:pPr>
    </w:p>
    <w:p w14:paraId="5B5AB63A" w14:textId="77777777" w:rsidR="00B35D37" w:rsidRDefault="00B35D37" w:rsidP="00B35D37">
      <w:pPr>
        <w:pStyle w:val="TextoNormal"/>
      </w:pPr>
      <w:r>
        <w:t xml:space="preserve">En dicha defensa de la jurisdicción constitucional encuentra su justificación la adopción de las medidas necesarias para preservar la jurisdicción del Tribunal frente a actos de las mismas partes del proceso, si por actos de estas el ejercicio de la jurisdicción del Tribunal pudiera impedirse u obstaculizarse en términos inaceptables (ATC 443/2007, FJ 2). Y, ‘entre dichas medidas se ha admitido la posibilidad del rechazo </w:t>
      </w:r>
      <w:r w:rsidRPr="00B35D37">
        <w:rPr>
          <w:i/>
        </w:rPr>
        <w:t>a limine</w:t>
      </w:r>
      <w:r>
        <w:t xml:space="preserve"> de recusaciones con participación del propio recusado, [y consiguiente exclusión de la regla prevista en el art. 227 LOPJ], en casos excepcionales, sin lesión con ello del derecho fundamental al juez imparcial, como en los casos de las SSTC 47/1982, de 12 de julio y 155/2002, de 22 de julio’ (ATC 443/2007, FJ 3). </w:t>
      </w:r>
    </w:p>
    <w:p w14:paraId="20B9C875" w14:textId="77777777" w:rsidR="00B35D37" w:rsidRDefault="00B35D37" w:rsidP="00B35D37">
      <w:pPr>
        <w:pStyle w:val="TextoNormal"/>
      </w:pPr>
    </w:p>
    <w:p w14:paraId="06E889AB" w14:textId="77777777" w:rsidR="00B35D37" w:rsidRDefault="00B35D37" w:rsidP="00B35D37">
      <w:pPr>
        <w:pStyle w:val="TextoNormal"/>
      </w:pPr>
      <w:r>
        <w:t>[…]</w:t>
      </w:r>
    </w:p>
    <w:p w14:paraId="76A213B4" w14:textId="77777777" w:rsidR="00B35D37" w:rsidRDefault="00B35D37" w:rsidP="00B35D37">
      <w:pPr>
        <w:pStyle w:val="TextoNormal"/>
      </w:pPr>
    </w:p>
    <w:p w14:paraId="38A6E747" w14:textId="5FB9520E" w:rsidR="00B35D37" w:rsidRDefault="00B35D37" w:rsidP="00B35D37">
      <w:pPr>
        <w:pStyle w:val="TextoNormal"/>
      </w:pPr>
      <w:r>
        <w:t>Por ello, la salvaguarda del ejercicio de la jurisdicción constitucional reclama, y justifica al mismo tiempo que, para dictar esta resolución, no deba excluirse de la conformación del Pleno a ninguno de sus magistrados presentes” [AATC 107/2021, de 15 de diciembre, FJ 3 B), y 75/2022, de 27 de abril, FJ 2].</w:t>
      </w:r>
    </w:p>
    <w:p w14:paraId="4FA4011F" w14:textId="77777777" w:rsidR="00B35D37" w:rsidRDefault="00B35D37" w:rsidP="00B35D37">
      <w:pPr>
        <w:pStyle w:val="TextoNormal"/>
      </w:pPr>
    </w:p>
    <w:p w14:paraId="1E6736F3" w14:textId="77777777" w:rsidR="00B35D37" w:rsidRDefault="00B35D37" w:rsidP="00B35D37">
      <w:pPr>
        <w:pStyle w:val="TextoNormal"/>
      </w:pPr>
      <w:r w:rsidRPr="00B35D37">
        <w:rPr>
          <w:rStyle w:val="NumeroAFNegritaCaracter"/>
        </w:rPr>
        <w:t>3</w:t>
      </w:r>
      <w:r>
        <w:t xml:space="preserve">. Inadmisión </w:t>
      </w:r>
      <w:r w:rsidRPr="00B35D37">
        <w:rPr>
          <w:i/>
        </w:rPr>
        <w:t>a limine</w:t>
      </w:r>
      <w:r>
        <w:t xml:space="preserve"> de las recusaciones</w:t>
      </w:r>
    </w:p>
    <w:p w14:paraId="24AC3077" w14:textId="77777777" w:rsidR="00B35D37" w:rsidRDefault="00B35D37" w:rsidP="00B35D37">
      <w:pPr>
        <w:pStyle w:val="TextoNormal"/>
      </w:pPr>
    </w:p>
    <w:p w14:paraId="2693674A" w14:textId="77777777" w:rsidR="00B35D37" w:rsidRDefault="00B35D37" w:rsidP="00B35D37">
      <w:pPr>
        <w:pStyle w:val="TextoNormal"/>
      </w:pPr>
      <w:r>
        <w:t>Este tribunal ha admitido la posibilidad de denegar la tramitación de una recusación cuando razones procesales o de fondo así lo exijan (AATC 62/2020 y 63/2020, de 17 de junio, FFJJ 3, y 86/2021, de 16 de septiembre, FJ 3). Uno de los motivos que justifican esta posibilidad excepcional es que la recusación se dirija contra todos los magistrados del Tribunal, situación que ha sido asimilada a la recusación de tal número de magistrados que supongan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w:t>
      </w:r>
    </w:p>
    <w:p w14:paraId="752506AE" w14:textId="77777777" w:rsidR="00B35D37" w:rsidRDefault="00B35D37" w:rsidP="00B35D37">
      <w:pPr>
        <w:pStyle w:val="TextoNormal"/>
      </w:pPr>
    </w:p>
    <w:p w14:paraId="58A42598" w14:textId="77777777" w:rsidR="00B35D37" w:rsidRDefault="00B35D37" w:rsidP="00B35D37">
      <w:pPr>
        <w:pStyle w:val="TextoNormal"/>
      </w:pPr>
      <w:r>
        <w:t xml:space="preserve">En cualquier caso, este incidente no podría prosperar por el carácter manifiestamente infundado de las causas invocadas. Así, el Tribunal ha declarado de manera reiterada que cabe el rechazo liminar de la recusación cuando no se invoque causa en que legítimamente pueda fundarse o cuando no se establezcan los hechos que le sirvan de fundamento (STC 47/1982, de 12 de julio, FJ 3). También es lícito inadmitir </w:t>
      </w:r>
      <w:r w:rsidRPr="00B35D37">
        <w:rPr>
          <w:i/>
        </w:rPr>
        <w:t>a limine</w:t>
      </w:r>
      <w:r>
        <w:t xml:space="preserve"> las recusaciones que se apoyan en la mera invocación de una causa legal, carente de cualquier vínculo con los hechos que se narran para darle sustento, o de aquellas que se sustentan en meras afirmaciones de imposible encaje en un motivo de recusación y huérfanas de todo sustento en hechos concretos, tales como la atribución de “posiciones cercanas ideológicamente” a las de un partido político [AATC 195/1983, de 4 de mayo, FJ 3, y 107/2021, de 15 de diciembre, FJ 4 c)].</w:t>
      </w:r>
    </w:p>
    <w:p w14:paraId="25A82926" w14:textId="77777777" w:rsidR="00B35D37" w:rsidRDefault="00B35D37" w:rsidP="00B35D37">
      <w:pPr>
        <w:pStyle w:val="TextoNormal"/>
      </w:pPr>
    </w:p>
    <w:p w14:paraId="272110EC" w14:textId="77777777" w:rsidR="00B35D37" w:rsidRDefault="00B35D37" w:rsidP="00B35D37">
      <w:pPr>
        <w:pStyle w:val="TextoNormal"/>
      </w:pPr>
      <w:r>
        <w:t>Partiendo de ello encontramos que la causa de recusación prevista en el apartado 9 del art. 219 LOPJ, primera de las invocadas en este caso, se fundamenta en una hipotética “enemistad ideológica” de los magistrados recusados hacia la asociación recurrente, concepto que se encuentra por completo fuera del concepto de “enemistad manifiesta” a que se refiere el precepto, que requiere, de acuerdo con la doctrina de este tribunal, de una animadversión personal, manifiesta, profunda y acreditada (ATC 54/2014, de 25 de febrero, FJ 5). Del mismo modo, la alegación de “amistad íntima” del presidente de este tribunal con determinados miembros del Gobierno no pasa de ser una mera hipótesis formulada con carácter genérico, huérfana de todo sustento fáctico y/o probatorio.</w:t>
      </w:r>
    </w:p>
    <w:p w14:paraId="34BBEDE7" w14:textId="77777777" w:rsidR="00B35D37" w:rsidRDefault="00B35D37" w:rsidP="00B35D37">
      <w:pPr>
        <w:pStyle w:val="TextoNormal"/>
      </w:pPr>
    </w:p>
    <w:p w14:paraId="14E80F76" w14:textId="77777777" w:rsidR="00B35D37" w:rsidRDefault="00B35D37" w:rsidP="00B35D37">
      <w:pPr>
        <w:pStyle w:val="TextoNormal"/>
      </w:pPr>
      <w:r>
        <w:t>En cuanto a la causa de recusación prevista en el apartado 10 del art. 219 LOPJ, interés directo o indirecto en el pleito o causa, la doctrina de este tribunal ha declarado que por tal debe entenderse aquello que proporciona al magistrado o magistrada una ventaja o beneficio o le evita una carga o perjuicio, para sí o para sus allegados. Ha de tratarse de un interés singularizado en relación con el concreto proceso en que se plantee la recusación y actual, esto es, concurrente en el momento en que se promueve su apartamiento mediante la recusación (ATC 26/2007, de 5 de febrero). Por ello, para que quepa apreciar la existencia del interés directo o indirecto a que se refiere el art. 219.10 LOPJ, del resultado del proceso debe derivar un potencial provecho para el magistrado o magistrada recusados (AATC 73/2022, de 27 de abril, y 484/2023, de 24 de octubre).</w:t>
      </w:r>
    </w:p>
    <w:p w14:paraId="65F94282" w14:textId="77777777" w:rsidR="00B35D37" w:rsidRDefault="00B35D37" w:rsidP="00B35D37">
      <w:pPr>
        <w:pStyle w:val="TextoNormal"/>
      </w:pPr>
    </w:p>
    <w:p w14:paraId="1BEB7686" w14:textId="77777777" w:rsidR="00B35D37" w:rsidRDefault="00B35D37" w:rsidP="00B35D37">
      <w:pPr>
        <w:pStyle w:val="TextoNormal"/>
      </w:pPr>
      <w:r>
        <w:t>Ningún argumento se ofrece en los escritos presentados por la asociación recurrente que apunte a la eventual existencia de un interés de esta naturaleza en los magistrados o magistradas recusados.</w:t>
      </w:r>
    </w:p>
    <w:p w14:paraId="22C55A62" w14:textId="77777777" w:rsidR="00B35D37" w:rsidRDefault="00B35D37" w:rsidP="00B35D37">
      <w:pPr>
        <w:pStyle w:val="TextoNormal"/>
      </w:pPr>
    </w:p>
    <w:p w14:paraId="45004968" w14:textId="77777777" w:rsidR="00B35D37" w:rsidRDefault="00B35D37" w:rsidP="00B35D37">
      <w:pPr>
        <w:pStyle w:val="TextoNormal"/>
      </w:pPr>
      <w:r>
        <w:t>Finalmente, en relación con la causa recogida en el apartado 13 del art. 219 LOPJ hemos declarado reiteradamente que, salvo que se desvirtúe el contenido de la garantía de imparcialidad, no puede pretenderse la recusación de un juez por el mero hecho de tener criterio jurídico anticipado sobre los asuntos que debe resolver. Por imperativo constitucional, solo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Para que, en garantía de la imparcialidad, un magistrado o magistrada pueda ser apartado del conocimiento de un asunto concreto, es preciso que existan dudas objetivamente justificadas, es decir, exteriorizadas y apoyadas en datos objetivos que hagan posible afirmar fundadamente que el magistrado o magistrada no es ajeno a la causa o permitan temer que, por cualquier relación con el caso concreto, no va a utilizar como criterio de juicio el previsto en la ley, sino otras consideraciones ajenas al ordenamiento jurídico. Fuera de este ámbito, las aprensiones o los recelos que las partes puedan manifestar son jurídicamente irrelevantes.</w:t>
      </w:r>
    </w:p>
    <w:p w14:paraId="07592634" w14:textId="77777777" w:rsidR="00B35D37" w:rsidRDefault="00B35D37" w:rsidP="00B35D37">
      <w:pPr>
        <w:pStyle w:val="TextoNormal"/>
      </w:pPr>
    </w:p>
    <w:p w14:paraId="675FA53E" w14:textId="6E0B0FC6" w:rsidR="00B35D37" w:rsidRDefault="00B35D37" w:rsidP="00B35D37">
      <w:pPr>
        <w:pStyle w:val="TextoNormal"/>
      </w:pPr>
      <w:r>
        <w:t>En el presente caso, los argumentos ofrecidos por la recurrente en amparo para fundar la recusación del presidente y cuatro magistrados y magistradas de este tribunal no pasan de ser recelos o aprensiones genéricas, construidas exclusivamente sobre la trayectoria profesional de aquellos, carentes de vinculación directa e inmediata con el objeto del recurso de amparo, y huérfanas de un mínimo fundamento o prueba que permita sustentarlas.</w:t>
      </w:r>
    </w:p>
    <w:p w14:paraId="0D0DCFF2" w14:textId="77777777" w:rsidR="00B35D37" w:rsidRDefault="00B35D37" w:rsidP="00B35D37">
      <w:pPr>
        <w:pStyle w:val="TextoNormal"/>
      </w:pPr>
    </w:p>
    <w:p w14:paraId="1BBF43DA" w14:textId="77777777" w:rsidR="00B35D37" w:rsidRDefault="00B35D37" w:rsidP="00B35D37">
      <w:pPr>
        <w:pStyle w:val="TextoNormal"/>
      </w:pPr>
      <w:r>
        <w:t>Por lo expuesto, el Pleno</w:t>
      </w:r>
    </w:p>
    <w:p w14:paraId="253C98DA" w14:textId="20C0B3D2" w:rsidR="00B35D37" w:rsidRDefault="00B35D37" w:rsidP="00B35D37">
      <w:pPr>
        <w:pStyle w:val="TextoNormal"/>
      </w:pPr>
    </w:p>
    <w:p w14:paraId="690D609A" w14:textId="77777777" w:rsidR="00B35D37" w:rsidRDefault="00B35D37" w:rsidP="00B35D37">
      <w:pPr>
        <w:pStyle w:val="TextoNormalCentrado"/>
      </w:pPr>
      <w:r>
        <w:t>ACUERDA</w:t>
      </w:r>
    </w:p>
    <w:p w14:paraId="36996CD8" w14:textId="36F17B21" w:rsidR="00B35D37" w:rsidRDefault="00B35D37" w:rsidP="00B35D37">
      <w:pPr>
        <w:pStyle w:val="TextoNormalCentrado"/>
      </w:pPr>
    </w:p>
    <w:p w14:paraId="655A6EA0" w14:textId="5BB590E3" w:rsidR="00B35D37" w:rsidRDefault="00B35D37" w:rsidP="00B35D37">
      <w:pPr>
        <w:pStyle w:val="TextoNormal"/>
      </w:pPr>
      <w:r>
        <w:t>Inadmitir a trámite la recusación del presidente de este tribunal, don Cándido Conde-Pumpido Tourón, los magistrados don Ramón Sáez Valcárcel y don Juan Carlos Campo Moreno, y las magistradas doña María Luisa Balaguer Callejón y doña Laura Díez Bueso, promovida por la Asociación por la Reconciliación y la Verdad Histórica en el recurso de amparo núm. 7129-2023.</w:t>
      </w:r>
    </w:p>
    <w:p w14:paraId="6FD9B683" w14:textId="77777777" w:rsidR="00B35D37" w:rsidRDefault="00B35D37" w:rsidP="00B35D37">
      <w:pPr>
        <w:pStyle w:val="TextoNormal"/>
      </w:pPr>
    </w:p>
    <w:p w14:paraId="6335CBFB" w14:textId="77777777" w:rsidR="00B35D37" w:rsidRDefault="00B35D37" w:rsidP="00B35D37">
      <w:pPr>
        <w:pStyle w:val="TextoNormal"/>
      </w:pPr>
      <w:r>
        <w:t>Madrid, a once de marzo de dos mil veinticinco.</w:t>
      </w:r>
    </w:p>
    <w:p w14:paraId="0FEDFEE4" w14:textId="3858311E" w:rsidR="00B35D37" w:rsidRDefault="00B35D37">
      <w:pPr>
        <w:spacing w:after="160" w:line="278" w:lineRule="auto"/>
        <w:rPr>
          <w:rFonts w:ascii="Times New Roman" w:eastAsia="Times New Roman" w:hAnsi="Times New Roman" w:cs="Times New Roman"/>
          <w:sz w:val="24"/>
          <w:szCs w:val="24"/>
          <w:lang w:eastAsia="es-ES"/>
        </w:rPr>
      </w:pPr>
      <w:r>
        <w:br w:type="page"/>
      </w:r>
    </w:p>
    <w:p w14:paraId="148673CD" w14:textId="77777777" w:rsidR="00B35D37" w:rsidRDefault="00B35D37" w:rsidP="00B35D37">
      <w:pPr>
        <w:pStyle w:val="TtuloResolucin"/>
      </w:pPr>
      <w:bookmarkStart w:id="163" w:name="AUTO_2025_24"/>
      <w:r>
        <w:t>AUTO 24/2025, de 11 de marzo de 2025</w:t>
      </w:r>
    </w:p>
    <w:bookmarkEnd w:id="163"/>
    <w:p w14:paraId="78240BDB" w14:textId="77777777" w:rsidR="00B35D37" w:rsidRDefault="00B35D37" w:rsidP="00B35D37">
      <w:pPr>
        <w:pStyle w:val="TtuloResolucin"/>
      </w:pPr>
      <w:r>
        <w:t>Pleno</w:t>
      </w:r>
    </w:p>
    <w:p w14:paraId="403724D7" w14:textId="77777777" w:rsidR="00B35D37" w:rsidRDefault="00B35D37" w:rsidP="00B35D37">
      <w:pPr>
        <w:pStyle w:val="TextoNormalCentrado"/>
      </w:pPr>
      <w:r>
        <w:t>ECLI:ES:TC:2025:24A</w:t>
      </w:r>
    </w:p>
    <w:p w14:paraId="6AC83709" w14:textId="1DF44CE8" w:rsidR="00B35D37" w:rsidRDefault="00B35D37" w:rsidP="00B35D37">
      <w:pPr>
        <w:pStyle w:val="TextoNormalCentrado"/>
      </w:pPr>
    </w:p>
    <w:p w14:paraId="58CA16D4"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w:t>
      </w:r>
    </w:p>
    <w:p w14:paraId="26BE4E37" w14:textId="2B899948" w:rsidR="00B35D37" w:rsidRDefault="00B35D37" w:rsidP="00B35D37">
      <w:pPr>
        <w:pStyle w:val="SntesisDescriptiva"/>
      </w:pPr>
    </w:p>
    <w:p w14:paraId="317D70FD" w14:textId="77777777" w:rsidR="00B35D37" w:rsidRDefault="00B35D37" w:rsidP="00B35D37">
      <w:pPr>
        <w:pStyle w:val="SntesisDescriptiva"/>
      </w:pPr>
      <w:r>
        <w:t>Inadmite a trámite la cuestión de inconstitucionalidad 2200-2024, planteada por la Sección Primera de la Sala de lo Contencioso-Administrativo del Tribunal Superior de Justicia de Aragón en relación con diversos preceptos de la Ley de las Cortes de Aragón 3/2020, de 3 de diciembre, por la que se establece el régimen jurídico de alerta sanitaria para el control de la pandemia covid-19 en Aragón, y el apartado segundo del artículo único del Decreto-ley del Gobierno de Aragón 4/2021, de 8 de julio, de modificación de la anterior.</w:t>
      </w:r>
    </w:p>
    <w:p w14:paraId="333BCF9F" w14:textId="2CB18664" w:rsidR="00B35D37" w:rsidRDefault="00B35D37" w:rsidP="00B35D37">
      <w:pPr>
        <w:pStyle w:val="SntesisDescriptiva"/>
      </w:pPr>
    </w:p>
    <w:p w14:paraId="08A02DA1" w14:textId="77777777" w:rsidR="00B35D37" w:rsidRDefault="00B35D37" w:rsidP="00B35D37">
      <w:pPr>
        <w:pStyle w:val="SntesisDescriptiva"/>
      </w:pPr>
    </w:p>
    <w:p w14:paraId="0A032458" w14:textId="77777777" w:rsidR="00B35D37" w:rsidRDefault="00B35D37" w:rsidP="00B35D37">
      <w:pPr>
        <w:pStyle w:val="SntesisDescriptiva"/>
      </w:pPr>
    </w:p>
    <w:p w14:paraId="50C24FE6" w14:textId="77777777" w:rsidR="00B35D37" w:rsidRDefault="00B35D37" w:rsidP="00B35D37">
      <w:pPr>
        <w:pStyle w:val="TextoNormalNegritaCentrado"/>
      </w:pPr>
      <w:r>
        <w:t>AUTO</w:t>
      </w:r>
    </w:p>
    <w:p w14:paraId="408C5F39" w14:textId="642DEBF7" w:rsidR="00B35D37" w:rsidRDefault="00B35D37" w:rsidP="00B35D37">
      <w:pPr>
        <w:pStyle w:val="TextoNormalNegritaCentrado"/>
      </w:pPr>
    </w:p>
    <w:p w14:paraId="3AC53A5B" w14:textId="77777777" w:rsidR="00B35D37" w:rsidRDefault="00B35D37" w:rsidP="00B35D37">
      <w:pPr>
        <w:pStyle w:val="TextoNormalNegritaCentrado"/>
        <w:keepNext/>
      </w:pPr>
      <w:r>
        <w:t>I. Antecedentes</w:t>
      </w:r>
    </w:p>
    <w:p w14:paraId="6E9F8D17" w14:textId="79F4AE07" w:rsidR="00B35D37" w:rsidRDefault="00B35D37" w:rsidP="00B35D37">
      <w:pPr>
        <w:pStyle w:val="TextoNormalNegritaCentrado"/>
        <w:keepNext/>
      </w:pPr>
    </w:p>
    <w:p w14:paraId="3588BC82" w14:textId="7FDEEE80" w:rsidR="00B35D37" w:rsidRDefault="00B35D37" w:rsidP="00B35D37">
      <w:pPr>
        <w:pStyle w:val="TextoNormal"/>
      </w:pPr>
      <w:r w:rsidRPr="00B35D37">
        <w:rPr>
          <w:rStyle w:val="NumeroAFNegritaCaracter"/>
        </w:rPr>
        <w:t>1</w:t>
      </w:r>
      <w:r>
        <w:t>. El 1 de abril de 2024 tuvo entrada en el registro general de este tribunal escrito de la letrada de la administración de justicia de la Sección Primera de la Sala de lo Contencioso-Administrativo del Tribunal Superior de Justicia de Aragón por el que se remite, junto con el testimonio de las actuaciones, el auto de dicha Sala y sección de 20 de diciembre de 2023 por el que se acuerda plantear cuestión de inconstitucionalidad en relación con los preceptos enumerados en el encabezamiento de este auto.</w:t>
      </w:r>
    </w:p>
    <w:p w14:paraId="4C3D0A30" w14:textId="77777777" w:rsidR="00B35D37" w:rsidRDefault="00B35D37" w:rsidP="00B35D37">
      <w:pPr>
        <w:pStyle w:val="TextoNormal"/>
      </w:pPr>
    </w:p>
    <w:p w14:paraId="2A47CDDC" w14:textId="77777777" w:rsidR="00B35D37" w:rsidRDefault="00B35D37" w:rsidP="00B35D37">
      <w:pPr>
        <w:pStyle w:val="TextoNormal"/>
      </w:pPr>
      <w:r w:rsidRPr="00B35D37">
        <w:rPr>
          <w:rStyle w:val="NumeroAFNegritaCaracter"/>
        </w:rPr>
        <w:t>2</w:t>
      </w:r>
      <w:r>
        <w:t>. El planteamiento de la cuestión de inconstitucionalidad tiene origen en los siguientes antecedentes:</w:t>
      </w:r>
    </w:p>
    <w:p w14:paraId="6D0169DE" w14:textId="77777777" w:rsidR="00B35D37" w:rsidRDefault="00B35D37" w:rsidP="00B35D37">
      <w:pPr>
        <w:pStyle w:val="TextoNormal"/>
      </w:pPr>
    </w:p>
    <w:p w14:paraId="6F6302B4" w14:textId="77777777" w:rsidR="00B35D37" w:rsidRDefault="00B35D37" w:rsidP="00B35D37">
      <w:pPr>
        <w:pStyle w:val="TextoNormal"/>
      </w:pPr>
      <w:r>
        <w:t>a) El 3 de diciembre de 2020 las Cortes de Aragón aprobaron la Ley 3/2020, que diseñaba un sistema para el control de la pandemia de covid-19 basado en la existencia de tres posibles niveles de alerta, considerados como estadios de gestión de la crisis sanitaria aplicables territorialmente en función de la evolución de los indicadores de riesgo. A cada nivel de alerta resultaba aplicable un régimen jurídico distinto, previsto en dicha ley. Su art. 19 permitía el levantamiento o modulación de las medidas correspondientes a cada nivel por parte de la autoridad sanitaria, en función de la concreta situación epidemiológica, siempre que no se pusieran en riesgo los intereses generales de intervención contra la pandemia. Como punto de partida, la ley estableció el nivel de alerta sanitaria 3 (el más grave de los legalmente previstos).</w:t>
      </w:r>
    </w:p>
    <w:p w14:paraId="731D7CA8" w14:textId="77777777" w:rsidR="00B35D37" w:rsidRDefault="00B35D37" w:rsidP="00B35D37">
      <w:pPr>
        <w:pStyle w:val="TextoNormal"/>
      </w:pPr>
    </w:p>
    <w:p w14:paraId="64CE352A" w14:textId="77777777" w:rsidR="00B35D37" w:rsidRDefault="00B35D37" w:rsidP="00B35D37">
      <w:pPr>
        <w:pStyle w:val="TextoNormal"/>
      </w:pPr>
      <w:r>
        <w:t>b) El 8 de julio de 2021 el Gobierno de Aragón aprobó el Decreto-ley 4/2021, por el que estableció el nivel de alerta sanitaria 2 en todo el territorio de la comunidad autónoma. Su disposición adicional primera señalaba que el establecimiento de dicho nivel se entendía sin perjuicio de la competencia de la autoridad sanitaria para acordar las medidas a que se refiere tanto la citada Ley 3/2020, de 3 de diciembre, como la normativa general sanitaria y de salud pública.</w:t>
      </w:r>
    </w:p>
    <w:p w14:paraId="38FE4290" w14:textId="77777777" w:rsidR="00B35D37" w:rsidRDefault="00B35D37" w:rsidP="00B35D37">
      <w:pPr>
        <w:pStyle w:val="TextoNormal"/>
      </w:pPr>
    </w:p>
    <w:p w14:paraId="7756C212" w14:textId="77777777" w:rsidR="00B35D37" w:rsidRDefault="00B35D37" w:rsidP="00B35D37">
      <w:pPr>
        <w:pStyle w:val="TextoNormal"/>
      </w:pPr>
      <w:r>
        <w:t>c) En uso de esta habilitación, el 28 de diciembre de 2021 se publicó en el “Boletín Oficial de Aragón” y entró en vigor la orden de la Consejería de Sanidad del Gobierno de Aragón SAN/1780/2021 de 28 de diciembre, de modulación de medidas del nivel de alerta sanitaria 2 aplicables en las provincias de Zaragoza, Huesca y Teruel. Mediante esta orden se impusieron medidas de contención de la pandemia más restrictivas que las hasta ese momento aplicables y que se contenían en otras dos órdenes de la propia Consejería que quedaron derogadas expresamente a partir de ese 28 de diciembre: la Orden SAN/1132/2021, de 15 de septiembre, de modulación de medidas del nivel de alerta sanitaria 2 aplicables en las provincias de Huesca, Teruel y Zaragoza, y también la Orden SAN/1338/2021, de 21 de octubre, de declaración del nivel de alerta sanitaria 1 y de levantamiento y modulación de las restricciones aplicables en las provincias de Huesca, Teruel y Zaragoza. Las medidas contenidas en las tres órdenes, aunque distintas entre sí, eran todas menos restrictivas que las correspondientes al nivel de alerta 2, establecido mediante el citado Decreto-ley 4/2021.</w:t>
      </w:r>
    </w:p>
    <w:p w14:paraId="41B2B16E" w14:textId="77777777" w:rsidR="00B35D37" w:rsidRDefault="00B35D37" w:rsidP="00B35D37">
      <w:pPr>
        <w:pStyle w:val="TextoNormal"/>
      </w:pPr>
    </w:p>
    <w:p w14:paraId="2340178B" w14:textId="77777777" w:rsidR="00B35D37" w:rsidRDefault="00B35D37" w:rsidP="00B35D37">
      <w:pPr>
        <w:pStyle w:val="TextoNormal"/>
      </w:pPr>
      <w:r>
        <w:t xml:space="preserve">d) El 29 de diciembre de 2021 interpusieron recurso contencioso-administrativo (que dio lugar al procedimiento ordinario núm. 892-2021) contra la referida orden SAN/1780/2021, de 28 de diciembre, tanto la asociación de empresarios de cafés y bares de Zaragoza y provincia como la asociación provincial de empresarios de salas de fiesta, baile y discotecas de Zaragoza. La demanda formulada en el proceso </w:t>
      </w:r>
      <w:r w:rsidRPr="00B35D37">
        <w:rPr>
          <w:i/>
        </w:rPr>
        <w:t>a quo</w:t>
      </w:r>
      <w:r>
        <w:t xml:space="preserve"> instaba la anulación de las medidas contenidas en los arts. 1, 5 a) y b), y 6 de dicha orden —horario máximo de cierre y al aforo de los establecimientos de hostelería, restauración y ocio nocturno, así como requisitos de celebración de eventos multitudinarios—.</w:t>
      </w:r>
    </w:p>
    <w:p w14:paraId="17D9BA94" w14:textId="77777777" w:rsidR="00B35D37" w:rsidRDefault="00B35D37" w:rsidP="00B35D37">
      <w:pPr>
        <w:pStyle w:val="TextoNormal"/>
      </w:pPr>
    </w:p>
    <w:p w14:paraId="1959B732" w14:textId="77777777" w:rsidR="00B35D37" w:rsidRDefault="00B35D37" w:rsidP="00B35D37">
      <w:pPr>
        <w:pStyle w:val="TextoNormal"/>
      </w:pPr>
      <w:r>
        <w:t>e) El proceso contencioso-administrativo quedó suspendido desde que el 9 de febrero de 2022 se dictó auto de planteamiento de cuestión de inconstitucionalidad en pieza de medidas cautelares y hasta que se produjo la inadmisión de la misma mediante ATC 97/2022, de 15 de junio.</w:t>
      </w:r>
    </w:p>
    <w:p w14:paraId="1E863328" w14:textId="77777777" w:rsidR="00B35D37" w:rsidRDefault="00B35D37" w:rsidP="00B35D37">
      <w:pPr>
        <w:pStyle w:val="TextoNormal"/>
      </w:pPr>
    </w:p>
    <w:p w14:paraId="5EFFF518" w14:textId="77777777" w:rsidR="00B35D37" w:rsidRDefault="00B35D37" w:rsidP="00B35D37">
      <w:pPr>
        <w:pStyle w:val="TextoNormal"/>
      </w:pPr>
      <w:r>
        <w:t>f) Reanudado el proceso, tramitado y visto para sentencia, el 12 de julio de 2023 el órgano judicial suspendió la tramitación y dictó providencia otorgando trámite de audiencia a la demandada (Diputación General de Aragón) y al Ministerio Fiscal por plazo común de diez días sobre la pertinencia de plantear cuestión de inconstitucionalidad en relación con los arts. 1, 2, 17.4, 18.1, 18.2, 18.3, 19.1, 28, 31 y anexo II de la Ley de las Cortes de Aragón 3/2020, de 3 de diciembre, así como con el artículo único.2 del Decreto-ley del Gobierno de Aragón 4/2021, de 8 de julio, por posible vulneración de los arts. 9.3 —interdicción de la arbitrariedad de los poderes públicos, legalidad y publicidad de las leyes—, 24 y 86.1 CE.</w:t>
      </w:r>
    </w:p>
    <w:p w14:paraId="3FA88F87" w14:textId="77777777" w:rsidR="00B35D37" w:rsidRDefault="00B35D37" w:rsidP="00B35D37">
      <w:pPr>
        <w:pStyle w:val="TextoNormal"/>
      </w:pPr>
    </w:p>
    <w:p w14:paraId="0D30F446" w14:textId="77777777" w:rsidR="00B35D37" w:rsidRDefault="00B35D37" w:rsidP="00B35D37">
      <w:pPr>
        <w:pStyle w:val="TextoNormal"/>
      </w:pPr>
      <w:r>
        <w:t>La parte demandante no formuló alegaciones al no habérsele dado traslado de la providencia de apertura del trámite de audiencia. La letrada del Gobierno de Aragón se opuso al planteamiento de la cuestión, negando, además, la concurrencia de los motivos de inconstitucionalidad planteados. Con carácter preliminar puso de manifiesto que la providencia de apertura del trámite de audiencia incurría en error al afirmar que “a día de hoy” (12 de julio de 2023) se encontraba vigente el nivel de alerta 1 (declarado por la Orden SAN/20/2022), pues en virtud de lo previsto en el art. 2 de la Ley 3/2020, tanto esta como la referida orden habían perdido vigencia desde que, el 5 de julio, se había publicado en el “Boletín Oficial del Estado” el acuerdo del Consejo de Ministros de 4 de julio de 2023, por el que se declara la finalización de la situación de crisis sanitaria ocasionada por la covid-19. El Ministerio Fiscal señaló que concurrían los iniciales requisitos procesales exigidos para el planteamiento de la cuestión de inconstitucionalidad.</w:t>
      </w:r>
    </w:p>
    <w:p w14:paraId="6E7DC364" w14:textId="77777777" w:rsidR="00B35D37" w:rsidRDefault="00B35D37" w:rsidP="00B35D37">
      <w:pPr>
        <w:pStyle w:val="TextoNormal"/>
      </w:pPr>
    </w:p>
    <w:p w14:paraId="4BFA3DDB" w14:textId="01950E2C" w:rsidR="00B35D37" w:rsidRDefault="00B35D37" w:rsidP="00B35D37">
      <w:pPr>
        <w:pStyle w:val="TextoNormal"/>
      </w:pPr>
      <w:r>
        <w:t>g) Por auto de 20 de diciembre de 2023 se plantea cuestión de inconstitucionalidad en relación con los arts. 1, 2, 17.4, 18.1, 18.2, 18.3, 19, 29 a), 29 a6), 28, 31 y anexo II de la ya citada Ley de las Cortes de Aragón 3/2020, de 3 de diciembre, y en relación con el art. Único.2 del también citado Decreto-ley del Gobierno de Aragón 4/2021, de 8 de julio, del Gobierno de Aragón, por posible vulneración de los arts. 9.3 CE —interdicción de la arbitrariedad de los poderes públicos, legalidad y publicidad de las leyes—, 24 CE y 86.1 CE.</w:t>
      </w:r>
    </w:p>
    <w:p w14:paraId="08C087A2" w14:textId="77777777" w:rsidR="00B35D37" w:rsidRDefault="00B35D37" w:rsidP="00B35D37">
      <w:pPr>
        <w:pStyle w:val="TextoNormal"/>
      </w:pPr>
    </w:p>
    <w:p w14:paraId="4C396391" w14:textId="77777777" w:rsidR="00B35D37" w:rsidRDefault="00B35D37" w:rsidP="00B35D37">
      <w:pPr>
        <w:pStyle w:val="TextoNormal"/>
      </w:pPr>
      <w:r w:rsidRPr="00B35D37">
        <w:rPr>
          <w:rStyle w:val="NumeroAFNegritaCaracter"/>
        </w:rPr>
        <w:t>3</w:t>
      </w:r>
      <w:r>
        <w:t>. Del contenido del auto de planteamiento interesa destacar lo siguiente:</w:t>
      </w:r>
    </w:p>
    <w:p w14:paraId="2EB3E2C5" w14:textId="77777777" w:rsidR="00B35D37" w:rsidRDefault="00B35D37" w:rsidP="00B35D37">
      <w:pPr>
        <w:pStyle w:val="TextoNormal"/>
      </w:pPr>
    </w:p>
    <w:p w14:paraId="23B53966" w14:textId="77777777" w:rsidR="00B35D37" w:rsidRDefault="00B35D37" w:rsidP="00B35D37">
      <w:pPr>
        <w:pStyle w:val="TextoNormal"/>
      </w:pPr>
      <w:r>
        <w:t>a) El auto hace sucinta alusión a los antecedentes procesales del asunto planteado y anuncia en su fundamento jurídico primero cuáles son los preceptos cuestionados —omitiendo la mención del art. 29 de la Ley de las Cortes de Aragón 3/2020, que sí aparece en la parte dispositiva del auto— y los preceptos constitucionales que se reputan infringidos. Adicionalmente señala, respecto a la providencia de apertura del trámite de audiencia, que “la parte [demandante] había planteado en demanda y conclusiones la cuestión de inconstitucionalidad, por lo que se consideró innecesario el traslado sin que la misma recurriese el no haber sido objeto del mismo”.</w:t>
      </w:r>
    </w:p>
    <w:p w14:paraId="7993833C" w14:textId="77777777" w:rsidR="00B35D37" w:rsidRDefault="00B35D37" w:rsidP="00B35D37">
      <w:pPr>
        <w:pStyle w:val="TextoNormal"/>
      </w:pPr>
    </w:p>
    <w:p w14:paraId="3CDA688B" w14:textId="77777777" w:rsidR="00B35D37" w:rsidRDefault="00B35D37" w:rsidP="00B35D37">
      <w:pPr>
        <w:pStyle w:val="TextoNormal"/>
      </w:pPr>
      <w:r>
        <w:t>b) En su fundamento segundo se refiere, como cuestión preliminar, a la alegación del Gobierno de Aragón de que la providencia de apertura del trámite de audiencia era errónea al afirmar que en el momento de dictarse esta, el 12 de julio de 2023, estaba vigente el nivel de alerta 1. El auto de planteamiento reconoce el error y explica que obedece a un problema interno en el traslado de la documentación que produjo una demora en el dictado de la providencia (que se había redactado antes del 5 de julio), pero que, en cualquier caso, el error “es irrelevante, ya que seguimos tratando de cuestiones ya pasadas, lo que no excluye la necesidad de su examen”.</w:t>
      </w:r>
    </w:p>
    <w:p w14:paraId="13BB5AEF" w14:textId="77777777" w:rsidR="00B35D37" w:rsidRDefault="00B35D37" w:rsidP="00B35D37">
      <w:pPr>
        <w:pStyle w:val="TextoNormal"/>
      </w:pPr>
    </w:p>
    <w:p w14:paraId="28964EB6" w14:textId="77777777" w:rsidR="00B35D37" w:rsidRDefault="00B35D37" w:rsidP="00B35D37">
      <w:pPr>
        <w:pStyle w:val="TextoNormal"/>
      </w:pPr>
      <w:r>
        <w:t>c) El fundamento tercero alude a los juicios de aplicabilidad y relevancia.</w:t>
      </w:r>
    </w:p>
    <w:p w14:paraId="7115766B" w14:textId="77777777" w:rsidR="00B35D37" w:rsidRDefault="00B35D37" w:rsidP="00B35D37">
      <w:pPr>
        <w:pStyle w:val="TextoNormal"/>
      </w:pPr>
    </w:p>
    <w:p w14:paraId="169D113C" w14:textId="77777777" w:rsidR="00B35D37" w:rsidRDefault="00B35D37" w:rsidP="00B35D37">
      <w:pPr>
        <w:pStyle w:val="TextoNormal"/>
      </w:pPr>
      <w:r>
        <w:t>Por lo que atañe al juicio de aplicabilidad, el auto de planteamiento señala que “[n]inguna de las partes ha cuestionado, ni la demandante en su proposición hecha en conclusiones, ni el MF [Ministerio Fiscal] y DGA [Diputación General de Aragón] en su traslado, que sean aplicables al supuesto los preceptos cuestionados”.</w:t>
      </w:r>
    </w:p>
    <w:p w14:paraId="13EC6943" w14:textId="77777777" w:rsidR="00B35D37" w:rsidRDefault="00B35D37" w:rsidP="00B35D37">
      <w:pPr>
        <w:pStyle w:val="TextoNormal"/>
      </w:pPr>
    </w:p>
    <w:p w14:paraId="29C89CF7" w14:textId="77777777" w:rsidR="00B35D37" w:rsidRDefault="00B35D37" w:rsidP="00B35D37">
      <w:pPr>
        <w:pStyle w:val="TextoNormal"/>
      </w:pPr>
      <w:r>
        <w:t xml:space="preserve">En cuanto al juicio de relevancia, se señala que “tampoco se ha cuestionado por la DGA, considerándose que concurre por parte de la demandante y del MF, lo que lleva a reiterar lo dicho en la providencia, como a continuación se expone”. Seguidamente, el auto de planteamiento indica que los preceptos cuestionados forman parte de un entramado legal que impide impugnar el establecimiento de las medidas combatidas en el proceso </w:t>
      </w:r>
      <w:r w:rsidRPr="00B35D37">
        <w:rPr>
          <w:i/>
        </w:rPr>
        <w:t>a quo</w:t>
      </w:r>
      <w:r>
        <w:t xml:space="preserve"> y, en este sentido, señala que para el juicio de relevancia hay que atender a dos argumentos.</w:t>
      </w:r>
    </w:p>
    <w:p w14:paraId="2EA01007" w14:textId="77777777" w:rsidR="00B35D37" w:rsidRDefault="00B35D37" w:rsidP="00B35D37">
      <w:pPr>
        <w:pStyle w:val="TextoNormal"/>
      </w:pPr>
    </w:p>
    <w:p w14:paraId="2477B741" w14:textId="77777777" w:rsidR="00B35D37" w:rsidRDefault="00B35D37" w:rsidP="00B35D37">
      <w:pPr>
        <w:pStyle w:val="TextoNormal"/>
      </w:pPr>
      <w:r>
        <w:t xml:space="preserve">Por una parte, refiere que, según el art. 18 de la Ley de las Cortes de Aragón 3/2020, el sistema legal parte de un nivel de alerta general (en inicio, el 3, que es el más grave), que puede ser modificado por disposición legal, reglamentaria o acuerdo de la autoridad sanitaria, pudiendo ser levantadas o moduladas las medidas dentro de cada nivel en los ámbitos territoriales en los que resulte posible, en función de su concreta situación epidemiológica, siempre que no se pongan en riesgo los intereses generales de intervención contra la pandemia y la preservación de la capacidad asistencial del sistema de salud. Se explica que, conforme a este sistema, cada vez que se realizaba en Aragón una nueva valoración de la situación se dictaba la correspondiente orden de consejería, que derogaba a la orden anterior, para aliviar o endurecer las medidas según correspondiese, pero siempre partiendo de la aplicabilidad del nivel de alerta legalmente establecido, que en el momento de dictarse la orden impugnada en el proceso </w:t>
      </w:r>
      <w:r w:rsidRPr="00B35D37">
        <w:rPr>
          <w:i/>
        </w:rPr>
        <w:t>a quo</w:t>
      </w:r>
      <w:r>
        <w:t xml:space="preserve"> era el nivel 2 (pues el nivel legal aplicable por defecto se rebajó del 3 al 2 mediante el Decreto-ley del Gobierno de Aragón 4/2021). Se explica también que la eventual anulación de una de estas órdenes moduladoras no hacía revivir a la anterior, porque cada una de ellas tenía vocación de temporalidad, de manera que tal anulación solo conduciría a la aplicación del nivel de alerta establecido por ley.</w:t>
      </w:r>
    </w:p>
    <w:p w14:paraId="5835F090" w14:textId="77777777" w:rsidR="00B35D37" w:rsidRDefault="00B35D37" w:rsidP="00B35D37">
      <w:pPr>
        <w:pStyle w:val="TextoNormal"/>
      </w:pPr>
    </w:p>
    <w:p w14:paraId="79E78E99" w14:textId="77777777" w:rsidR="00B35D37" w:rsidRDefault="00B35D37" w:rsidP="00B35D37">
      <w:pPr>
        <w:pStyle w:val="TextoNormal"/>
      </w:pPr>
      <w:r>
        <w:t xml:space="preserve">Con estas premisas, el auto de planteamiento argumenta que la eventual anulación de los preceptos de la orden SAN/1780/2021, de 28 de diciembre, impugnados en el proceso </w:t>
      </w:r>
      <w:r w:rsidRPr="00B35D37">
        <w:rPr>
          <w:i/>
        </w:rPr>
        <w:t>a quo</w:t>
      </w:r>
      <w:r>
        <w:t xml:space="preserve">, no conduciría a la aplicación del régimen más beneficioso contenido en la orden precedente en el tiempo, sino a la aplicación de las medidas más rigurosas previstas en la ley, “generando la estimación del recurso una auténtica </w:t>
      </w:r>
      <w:r w:rsidRPr="00B35D37">
        <w:rPr>
          <w:i/>
        </w:rPr>
        <w:t>reformatio in peius</w:t>
      </w:r>
      <w:r>
        <w:t>”. Se indica, en concreto, que el precepto que sería aplicable a las asociaciones recurrentes en caso de anularse la orden impugnada es el art. 29 de la Ley de las Cortes de Aragón 3/2020, que establece las restricciones aplicables al funcionamiento de los establecimientos de hostelería y restauración, así como al ocio nocturno, bajo el nivel de alerta 2; y que ello supone que “si se hubiese podido dictar la sentencia antes del 31 de diciembre de 2021, habría supuesto simple y llanamente impedir la celebración de los cotillones de nochevieja en su totalidad, no solo con limitación horaria como había establecido la orden, pues el ocio nocturno está prohibido por el nivel de alerta 2, y la limitación de las cenas de nochevieja a las 23:00 horas”. De ahí que “para poder restablecer el derecho que se considera violado, es preciso remover la ley que ahora se cuestiona, pues de lo contrario estamos ante un recurso que, si se gana, tiene un resultado preestablecido por la ley”. Se insiste en que, en estas condiciones, un juicio negativo de la Sala sobre la legalidad de la orden recurrida “en vez de dar lugar a una sentencia que diese satisfacción a la parte, le produciría una situación más gravosa”.</w:t>
      </w:r>
    </w:p>
    <w:p w14:paraId="6553127F" w14:textId="77777777" w:rsidR="00B35D37" w:rsidRDefault="00B35D37" w:rsidP="00B35D37">
      <w:pPr>
        <w:pStyle w:val="TextoNormal"/>
      </w:pPr>
    </w:p>
    <w:p w14:paraId="09F1C3C1" w14:textId="77777777" w:rsidR="00B35D37" w:rsidRDefault="00B35D37" w:rsidP="00B35D37">
      <w:pPr>
        <w:pStyle w:val="TextoNormal"/>
      </w:pPr>
      <w:r>
        <w:t xml:space="preserve">De otro lado, el auto de planteamiento refiere que, aunque la orden recurrida en el proceso </w:t>
      </w:r>
      <w:r w:rsidRPr="00B35D37">
        <w:rPr>
          <w:i/>
        </w:rPr>
        <w:t>a quo</w:t>
      </w:r>
      <w:r>
        <w:t xml:space="preserve"> ha sido ya derogada (mediante la Orden SAN/20/2022, de 4 de febrero, de declaración del nivel de alerta sanitaria 1), la relevancia “viene de los graves perjuicios sufridos por las empresas integradas en la asociación recurrente, así como por muchas otras que no lo estén y que resultaron igualmente afectadas, en cuanto una eventual estimación del recurso les abriría la puerta a reclamar la responsabilidad patrimonial por los perjuicios sufridos”. De modo que “[s]i se estima el recurso simplemente anulando la orden, al ser aplicable la norma vigente por defecto, el art. 29 de la Ley 3/2020, los perjuicios se consolidarán”. Por ello “es necesario declarar la inconstitucionalidad de la ley para poder satisfacer a la demandante y reconocer, en definitiva, que habrían tenido derecho a la celebración como lo tenían previsto”.</w:t>
      </w:r>
    </w:p>
    <w:p w14:paraId="6E691EC0" w14:textId="77777777" w:rsidR="00B35D37" w:rsidRDefault="00B35D37" w:rsidP="00B35D37">
      <w:pPr>
        <w:pStyle w:val="TextoNormal"/>
      </w:pPr>
    </w:p>
    <w:p w14:paraId="6C1B4CFA" w14:textId="77777777" w:rsidR="00B35D37" w:rsidRDefault="00B35D37" w:rsidP="00B35D37">
      <w:pPr>
        <w:pStyle w:val="TextoNormal"/>
      </w:pPr>
      <w:r>
        <w:t xml:space="preserve">Se afirma, por último, que “[e]n cuanto a si fueron adecuadas, necesarias y proporcionales las medidas [las impugnadas en el proceso </w:t>
      </w:r>
      <w:r w:rsidRPr="00B35D37">
        <w:rPr>
          <w:i/>
        </w:rPr>
        <w:t>a quo</w:t>
      </w:r>
      <w:r>
        <w:t>], no podemos hacer ahora —pues no es la sentencia, y hay que pararse antes de la misma— tal valoración, entendiendo que basta con que se considere que el efecto de tal eventual consideración implicaría un agravamiento de la situación”.</w:t>
      </w:r>
    </w:p>
    <w:p w14:paraId="35920A9F" w14:textId="77777777" w:rsidR="00B35D37" w:rsidRDefault="00B35D37" w:rsidP="00B35D37">
      <w:pPr>
        <w:pStyle w:val="TextoNormal"/>
      </w:pPr>
    </w:p>
    <w:p w14:paraId="4CCDDBC0" w14:textId="77777777" w:rsidR="00B35D37" w:rsidRDefault="00B35D37" w:rsidP="00B35D37">
      <w:pPr>
        <w:pStyle w:val="TextoNormal"/>
      </w:pPr>
      <w:r>
        <w:t>d) Las dudas de inconstitucionalidad se plantean en el fundamento cuarto. Con carácter previo se aclara que, aunque tales dudas de constitucionalidad no coinciden exactamente con las que se formularon en la cuestión de inconstitucionalidad que fue inadmitida mediante ATC 97/2022, ha de tenerse en cuenta que estas últimas quedaron imprejuzgadas, al haberse basado la inadmisión en motivos procesales. Además se señala que, frente a lo que se argumentaba en el ATC 60/2022, de 24 de marzo (que inadmitió otra cuestión de inconstitucionalidad planteada por el mismo órgano judicial respecto de diversos preceptos de la Ley de las Cortes de Aragón 3/2020 y del Decreto-ley del Gobierno de Aragón 4/2021), que indicó que no se había cuestionado el concreto precepto aplicable en caso de anulación de la norma impugnada, el auto de planteamiento especifica que, en este caso, el precepto aplicable sería el art. 29 a) y 29 a6) de la Ley 3/2020, que “sí cabe impugnarlo, pero no porque tenga una inconstitucionalidad que afecte intrínsecamente a su contenido, sino porque, siendo el precepto aplicable por defecto, sí se puede cuestionar su constitucionalidad en la medida en que el mismo, como toda la ley —a la cual no podemos cuestionar globalmente, dado el instrumento que se sigue— sí que sufre de la infracción de los principios constitucionales de legalidad, seguridad y publicidad de las normas”.</w:t>
      </w:r>
    </w:p>
    <w:p w14:paraId="53D30C89" w14:textId="77777777" w:rsidR="00B35D37" w:rsidRDefault="00B35D37" w:rsidP="00B35D37">
      <w:pPr>
        <w:pStyle w:val="TextoNormal"/>
      </w:pPr>
    </w:p>
    <w:p w14:paraId="643DE8C4" w14:textId="77777777" w:rsidR="00B35D37" w:rsidRDefault="00B35D37" w:rsidP="00B35D37">
      <w:pPr>
        <w:pStyle w:val="TextoNormal"/>
      </w:pPr>
      <w:r>
        <w:t>(i) Con carácter general, argumenta el auto de planteamiento que el problema de inconstitucionalidad deriva de que “se ha construido un entramado normativo, ciertamente ingenioso, por medio del cual se ha venido a establecer una estructura de limitación de derechos fundamentales, basada además en unos niveles de alerta, que a su vez se basan en un Acuerdo del Consejo de Ministros de 28 de abril de 2020, no publicado oficialmente, sino en una web, respecto de la que no hay garantía de autenticidad y permanencia. Dichos niveles de alerta se atribuyen por la propia Ley 3/2020 [...] a partir de un nivel básico, el nivel de alerta 3 en su modalidad agravada, art. 18.1”; nivel que pasó a ser el 2 por disposición del Decreto-ley 4/2021. Señala a continuación que, según el art. 18.2 de la Ley, la movilidad entre niveles de alerta se puede hacer de tres maneras (mediante disposición de rango legal, reglamentario o, en su caso, acuerdo de la autoridad sanitaria), de modo tal que, según la Sala, “es libérrimo el modo de acordarla, no dándose pauta alguna que determine cuándo debe usarse uno u otro, con lo cual, la mera decisión de la consejería permite prescindir de los otros procedimientos”. Por lo demás, la ley apodera a la autoridad sanitaria para aplicar un nivel de alerta inferior en un ámbito territorial determinado, en función de su situación epidemiológica (art. 18.3) así como para levantar o modular total o parcialmente las medidas restrictivas generales para cada nivel de alerta (art. 19.1).</w:t>
      </w:r>
    </w:p>
    <w:p w14:paraId="405F21EA" w14:textId="77777777" w:rsidR="00B35D37" w:rsidRDefault="00B35D37" w:rsidP="00B35D37">
      <w:pPr>
        <w:pStyle w:val="TextoNormal"/>
      </w:pPr>
    </w:p>
    <w:p w14:paraId="57111A28" w14:textId="77777777" w:rsidR="00B35D37" w:rsidRDefault="00B35D37" w:rsidP="00B35D37">
      <w:pPr>
        <w:pStyle w:val="TextoNormal"/>
      </w:pPr>
      <w:r>
        <w:t>Según el auto de planteamiento, “[t]odo ello se traduce en que los ciudadanos, que no han podido impugnar la ley […], se convierten en meros sujetos pasivos en cuanto las concretas medidas que se establecen a menudo son de flexibilización de las restricciones, por lo que, no habiendo podido atacar el establecimiento por la ley de los niveles de alerta, y no pudiendo atacar el cambio de niveles en los casos que se haga por ley, pierde su sentido el que impugnen las órdenes concretas si las mismas implican normalmente una atenuación del régimen restrictivo general establecido”. De modo que “no es que se cuestione que puedan legalizarse materias hasta el momento reguladas reglamentariamente […], sino que lo que estamos cuestionando es que se pueda jugar con ese rango y se establezca, una vez legalizado, una deslegalización a la carta y por mera voluntad de autoridades administrativas […] estableciendo un mecanismo que haga inocua, e incluso perjudicial, la impugnación”.</w:t>
      </w:r>
    </w:p>
    <w:p w14:paraId="226EAFFC" w14:textId="77777777" w:rsidR="00B35D37" w:rsidRDefault="00B35D37" w:rsidP="00B35D37">
      <w:pPr>
        <w:pStyle w:val="TextoNormal"/>
      </w:pPr>
    </w:p>
    <w:p w14:paraId="2A98DD0E" w14:textId="77777777" w:rsidR="00B35D37" w:rsidRDefault="00B35D37" w:rsidP="00B35D37">
      <w:pPr>
        <w:pStyle w:val="TextoNormal"/>
      </w:pPr>
      <w:r>
        <w:t>(ii) Como primer motivo concreto de inconstitucionalidad, el auto de planteamiento refiere la posible vulneración de los principios de legalidad y publicidad de las normas (art. 9.3 CE), así como de los principios de seguridad jurídica y jerarquía normativa. Esta infracción derivaría del hecho de que el art. 28.1 de la Ley 3/2020 se integra por remisión al llamado “plan para la desescalada”, esto es, el plan para la transición hacia una nueva normalidad aprobado por el Consejo de Ministros en su reunión de 28 de abril de 2020, a pesar de que este no fue publicado en diario oficial y que se considera de carácter orientativo y flexible, lo que conduce, según el auto de planteamiento, a que no se sepa cuál es el contenido de la norma y a la consiguiente vulneración de los principios de seguridad jurídica y de publicidad de las normas. La Sala denuncia que esta técnica de la “integración por remisión” del plan de desescalada se ha realizado también en otras normas aprobadas por el Estado (Real Decreto-ley 21/2020, Orden SND/387/2020, de 3 de mayo, Orden SND/399/2020, de 9 de mayo, Orden SND/414/2020, de 16 de mayo, y Orden SND/458/2020, de 30 de mayo), y reprocha al art. 28.1 de la Ley de las Cortes de Aragón 3/2020 que, además de remitir al plan de desescalada, remita también a la Orden SND/414/2020, que ya había perdido su vigencia cuando se promulgó la Ley 3/2020. Análogos reproches se formulan al art. 31.1 de la Ley 3/2020. El auto de planteamiento indica que muchas de las medidas contenidas en las órdenes ministeriales a que remiten los arts. 28.1 y 31.1 de la Ley 3/2020 solo podían sustentarse en un estado de alarma, de modo que la finalización de este plantea un problema de inseguridad jurídica al desconocerse cuáles de las medidas de esas órdenes ministeriales continuaban siendo aplicables, por poder apoyarse en normas de legislación básica o sanitaria, algo fuera del alcance de cualquier ciudadano y complicado para cualquier jurista. Para el órgano judicial remitente, se vulneran también los arts. 131 de la Ley 39/2015, de 1 de octubre, del procedimiento administrativo común de las administraciones públicas, y 2.1 del Código civil, que exigen la publicidad de las normas y que considera que forman parte del bloque de la constitucionalidad por ser desarrollo del art. 9.3 CE.</w:t>
      </w:r>
    </w:p>
    <w:p w14:paraId="5512634A" w14:textId="77777777" w:rsidR="00B35D37" w:rsidRDefault="00B35D37" w:rsidP="00B35D37">
      <w:pPr>
        <w:pStyle w:val="TextoNormal"/>
      </w:pPr>
    </w:p>
    <w:p w14:paraId="3A664DF0" w14:textId="77777777" w:rsidR="00B35D37" w:rsidRDefault="00B35D37" w:rsidP="00B35D37">
      <w:pPr>
        <w:pStyle w:val="TextoNormal"/>
      </w:pPr>
      <w:r>
        <w:t>En este mismo apartado, el auto de planteamiento expone que el art. 18.2 de la Ley de las Cortes de Aragón 3/2020 vulnera el principio de interdicción de la arbitrariedad de los poderes públicos (art. 9.3 CE) cuando establece que los niveles de alerta se aplicarán en los ámbitos territoriales que figuran en el anexo II de la Ley y “en aquellos en los que expresamente se establezca mediante disposición de rango legal, reglamentario o, en su caso, acuerdo de la autoridad sanitaria”, por dejar a libre arbitrio de los poderes públicos la elección en cuanto al instrumento a utilizar y no definir siquiera el rango de la autoridad sanitaria que podría actuar.</w:t>
      </w:r>
    </w:p>
    <w:p w14:paraId="10069431" w14:textId="77777777" w:rsidR="00B35D37" w:rsidRDefault="00B35D37" w:rsidP="00B35D37">
      <w:pPr>
        <w:pStyle w:val="TextoNormal"/>
      </w:pPr>
    </w:p>
    <w:p w14:paraId="36CAC507" w14:textId="77777777" w:rsidR="00B35D37" w:rsidRDefault="00B35D37" w:rsidP="00B35D37">
      <w:pPr>
        <w:pStyle w:val="TextoNormal"/>
      </w:pPr>
      <w:r>
        <w:t>(iii) Como segundo motivo concreto de inconstitucionalidad, el auto de planteamiento argumenta que el art. 18.2 de la Ley de 3/2020 y el art. Único.2 del Decreto-ley 4/2021 son contrarios al principio de jerarquía normativa (art. 9.3 CE) por fijar, respectivamente, los niveles de alerta 3 agravado y 2, y mantenerlos durante un periodo temporal excesivo sin apoyo legal suficiente.</w:t>
      </w:r>
    </w:p>
    <w:p w14:paraId="31456F8B" w14:textId="77777777" w:rsidR="00B35D37" w:rsidRDefault="00B35D37" w:rsidP="00B35D37">
      <w:pPr>
        <w:pStyle w:val="TextoNormal"/>
      </w:pPr>
    </w:p>
    <w:p w14:paraId="5125C92E" w14:textId="77777777" w:rsidR="00B35D37" w:rsidRDefault="00B35D37" w:rsidP="00B35D37">
      <w:pPr>
        <w:pStyle w:val="TextoNormal"/>
      </w:pPr>
      <w:r>
        <w:t>El órgano judicial remitente expone que estos niveles de alerta suponen el establecimiento generalizado de todo tipo de restricciones y limitaciones, solo mitigadas por la eventual “benevolencia” de la Consejería de Sanidad o del Gobierno de Aragón en pleno, sin que exista apoyo normativo para la adopción de tales restricciones ni para su mantenimiento durante dos años y medio. Tras recordar que el art. 2 de la Ley de las Cortes de Aragón 3/2020 fija como ámbito temporal de vigencia de dicha ley “hasta que el Gobierno de España declare la finalización de la situación de crisis sanitaria ocasionada por la covid-19”, refiere el auto de planteamiento que esta previsión se hace “[s]in ninguna matización, sin ninguna referencia a pasos paulatinos a niveles de alerta inferiores, o incluso a su desaparición, en función del tiempo y la mejora, como parece que habría sido lógico”, de modo que “al final, ha quedado al albur de la decisión del Gobierno de la nación” e incluso ha llevado a que continuase en Aragón un nivel de alerta 2 hasta el 4 de julio de 2023, a pesar de que la propia Organización Mundial de la Salud había declarado el fin de la emergencia sanitaria global por covid-19 a principios de mayo de 2023.</w:t>
      </w:r>
    </w:p>
    <w:p w14:paraId="73F07A1D" w14:textId="77777777" w:rsidR="00B35D37" w:rsidRDefault="00B35D37" w:rsidP="00B35D37">
      <w:pPr>
        <w:pStyle w:val="TextoNormal"/>
      </w:pPr>
    </w:p>
    <w:p w14:paraId="627E913B" w14:textId="77777777" w:rsidR="00B35D37" w:rsidRDefault="00B35D37" w:rsidP="00B35D37">
      <w:pPr>
        <w:pStyle w:val="TextoNormal"/>
      </w:pPr>
      <w:r>
        <w:t>El auto de planteamiento reitera que las medidas restrictivas impuestas con la declaración legal de los niveles de alerta 3 y 2 carecen de apoyo en la normativa vigente y en la doctrina del Tribunal Constitucional. Por lo primero, refiere que no constituye base suficiente el art. 3 de la Ley Orgánica 3/1986, de 14 de abril, de medidas especiales en materia de salud pública. Por lo segundo, cita la STC 183/2021, de 27 de octubre, sobre el segundo estado de alarma, y explica que, salvando las distancias entre un estado de alarma y una ley que pretende regular una situación de emergencia sanitaria, son relevantes las conclusiones de la citada sentencia en cuanto a la necesaria determinación temporal de las restricciones de derechos y en cuanto a la proscripción de dejar en manos ajenas la decisión sobre las medidas a aplicar. Según el auto de planteamiento, la Ley 3/2020 debería haber fijado la duración temporal de las medidas restrictivas en ella previstas, o bien algún término que obligase a revisar algunos aspectos, como mecanismo de seguridad que evitase la prolongación por tiempo indefinido de una restricción múltiple de derechos. Reprocha que la Ley 3/2020 remitiese la duración al momento en que otra instancia —el Gobierno de España— declarase finalizada la situación de crisis sanitaria, pues considera que esta previsión carece de justificación, al “estarse tratando situaciones no homogéneas” y porque “no encaja con el tratamiento sectorial que se ha hecho de la crisis, dejándola en manos de las comunidades autónomas”. El órgano judicial remitente considera también extrapolable a las normas legales cuestionadas la doctrina de la STC 183/2021 cuando afirma que se acordó la prórroga del segundo estado de alarma sin certeza alguna sobre la efectiva implantación y mantenimiento de unas u otras de las medidas autorizadas y que además el legislativo “puso por entero en otras manos la decisión, tanto de las medidas a implantar, como de las que, en su caso, fueran modificadas, mantenidas, suspendidas u objeto de regresión”.</w:t>
      </w:r>
    </w:p>
    <w:p w14:paraId="22323801" w14:textId="77777777" w:rsidR="00B35D37" w:rsidRDefault="00B35D37" w:rsidP="00B35D37">
      <w:pPr>
        <w:pStyle w:val="TextoNormal"/>
      </w:pPr>
    </w:p>
    <w:p w14:paraId="08C3EE55" w14:textId="77777777" w:rsidR="00B35D37" w:rsidRDefault="00B35D37" w:rsidP="00B35D37">
      <w:pPr>
        <w:pStyle w:val="TextoNormal"/>
      </w:pPr>
      <w:r>
        <w:t>(iv) En tercer lugar, el auto de planteamiento se refiere a la infracción del derecho a la tutela judicial efectiva (art. 24.1 CE), porque la Ley de las Cortes de Aragón 3/2020, desde el art. 18.1 que fija el nivel de alerta 3 agravado, opera una elevación y, simultáneamente, una congelación de rango en la regulación de situaciones que son, por naturaleza, de carácter administrativo. Es la administración (autoridad sanitaria) la que define los parámetros delimitadores de cada fase, la que evalúa la situación sanitaria en cada momento y la que determina, o puede decidir, la fase y, dentro de cada una, las medidas concretas aplicables, en ámbitos territoriales y temporales variables; y lo hace manejando a voluntad los instrumentos normativos que decide en cada momento aplicar, imposibilitando la efectividad de la tutela judicial en tanto que establece restricciones de mayor intensidad a través de normas con rango de ley para después rebajar su rigor a través de órdenes —disposiciones reglamentarias o actos administrativos— cuya eventual impugnación judicial, en caso de prosperar, conduciría a un agravamiento de la situación de los recurrentes.</w:t>
      </w:r>
    </w:p>
    <w:p w14:paraId="54926215" w14:textId="77777777" w:rsidR="00B35D37" w:rsidRDefault="00B35D37" w:rsidP="00B35D37">
      <w:pPr>
        <w:pStyle w:val="TextoNormal"/>
      </w:pPr>
    </w:p>
    <w:p w14:paraId="37C759C9" w14:textId="77777777" w:rsidR="00B35D37" w:rsidRDefault="00B35D37" w:rsidP="00B35D37">
      <w:pPr>
        <w:pStyle w:val="TextoNormal"/>
      </w:pPr>
      <w:r>
        <w:t>(v) Expone el órgano judicial que “el sistema establecido hace en la práctica inútil o imposible la impugnación de las concretas decisiones flexibilizando o endureciendo los niveles de alerta, siendo de dudosa constitucionalidad el manejo que se diseña de la técnica legislativa, ley y decreto ley, combinada con disposiciones administrativas auxiliares que suavizan la regulación, de naturaleza propia y esencialmente administrativa, contenida en norma con rango de ley, pues, como es de ver, termina haciendo inocuo el amparo o la tutela judicial en su vertiente de tutela cautelar”.</w:t>
      </w:r>
    </w:p>
    <w:p w14:paraId="3689887D" w14:textId="77777777" w:rsidR="00B35D37" w:rsidRDefault="00B35D37" w:rsidP="00B35D37">
      <w:pPr>
        <w:pStyle w:val="TextoNormal"/>
      </w:pPr>
    </w:p>
    <w:p w14:paraId="17392CB7" w14:textId="77777777" w:rsidR="00B35D37" w:rsidRDefault="00B35D37" w:rsidP="00B35D37">
      <w:pPr>
        <w:pStyle w:val="TextoNormal"/>
      </w:pPr>
      <w:r>
        <w:t>En este sentido, indica el auto de planteamiento que se desconoce a qué obedece el uso del decreto-ley (por lo que afecta al cuestionado Decreto-ley del Gobierno de Aragón 4/2021), cuando la propia Ley de las Cortes de Aragón 3/2020 autoriza el cambio en el régimen sanitario por norma sea con rango de ley o reglamentaria, así como por simple acuerdo de la autoridad sanitaria. Según el órgano judicial remitente, “[e]l único sentido que tiene dicha práctica regulatoria es por un lado agilizar al extremo los cambios posibles, lo cual puede tener un cierto fundamento razonable, y por otro limitar el control jurisdiccional en una materia eminentemente administrativa”.</w:t>
      </w:r>
    </w:p>
    <w:p w14:paraId="36C36961" w14:textId="77777777" w:rsidR="00B35D37" w:rsidRDefault="00B35D37" w:rsidP="00B35D37">
      <w:pPr>
        <w:pStyle w:val="TextoNormal"/>
      </w:pPr>
    </w:p>
    <w:p w14:paraId="0B3CE2D3" w14:textId="77777777" w:rsidR="00B35D37" w:rsidRDefault="00B35D37" w:rsidP="00B35D37">
      <w:pPr>
        <w:pStyle w:val="TextoNormal"/>
      </w:pPr>
      <w:r>
        <w:t>e) El quinto y último fundamento jurídico del auto de planteamiento enumera los preceptos cuestionados y los motivos por los que, a juicio del órgano judicial remitente, cada uno de ellos incurriría en inconstitucionalidad:</w:t>
      </w:r>
    </w:p>
    <w:p w14:paraId="71BA02C3" w14:textId="77777777" w:rsidR="00B35D37" w:rsidRDefault="00B35D37" w:rsidP="00B35D37">
      <w:pPr>
        <w:pStyle w:val="TextoNormal"/>
      </w:pPr>
    </w:p>
    <w:p w14:paraId="2B728BA8" w14:textId="77777777" w:rsidR="00B35D37" w:rsidRDefault="00B35D37" w:rsidP="00B35D37">
      <w:pPr>
        <w:pStyle w:val="TextoNormal"/>
      </w:pPr>
      <w:r>
        <w:t>(i) Art. 1 de la Ley 3/2020, en cuanto se sustenta en la Ley Orgánica 3/1986 —que no le habilita para establecer medidas legislativas de restricción general de derechos y de carácter indefinido—, y en cuanto se basa en el Real Decreto-ley 21/2020, de 9 de junio, dado que el mismo integra sus normas con un plan de desescalada no publicado en diario oficial. Se denuncia la infracción de los principios de jerarquía normativa, publicidad y legalidad (art. 9.3 CE).</w:t>
      </w:r>
    </w:p>
    <w:p w14:paraId="7C1DB3F6" w14:textId="77777777" w:rsidR="00B35D37" w:rsidRDefault="00B35D37" w:rsidP="00B35D37">
      <w:pPr>
        <w:pStyle w:val="TextoNormal"/>
      </w:pPr>
    </w:p>
    <w:p w14:paraId="7E82BFC5" w14:textId="77777777" w:rsidR="00B35D37" w:rsidRDefault="00B35D37" w:rsidP="00B35D37">
      <w:pPr>
        <w:pStyle w:val="TextoNormal"/>
      </w:pPr>
      <w:r>
        <w:t>(ii) Art. 2 de la Ley 3/2020, en cuanto fija la vigencia temporal de la ley por referencia indefinida e incierta a cuando el Gobierno de España declare la finalización de la situación de crisis sanitaria. Se denuncia la infracción del principio de seguridad jurídica (art. 9.3 CE) y de igualdad entre los españoles (art. 14 CE) así como, indirectamente, del art. 81.1 CE, al regularse una discriminación en los derechos de los aragoneses respecto del resto de los españoles sin hacerse por ley orgánica ni por el órgano legislativo competente. En este punto, el auto de planteamiento señala que la vulneración del principio de igualdad podría predicarse de otros preceptos de la Ley 3/2020, pero que ello escapa a la cuestión de inconstitucionalidad al no influir en la resolución del pleito. Asimismo, se indica que “[e]ntendemos que la inconstitucionalidad el artículo 1 y 2 en la práctica puede suponer la de toda la ley, si bien eso no nos corresponde plantearlo”.</w:t>
      </w:r>
    </w:p>
    <w:p w14:paraId="2808283E" w14:textId="77777777" w:rsidR="00B35D37" w:rsidRDefault="00B35D37" w:rsidP="00B35D37">
      <w:pPr>
        <w:pStyle w:val="TextoNormal"/>
      </w:pPr>
    </w:p>
    <w:p w14:paraId="6834B346" w14:textId="77777777" w:rsidR="00B35D37" w:rsidRDefault="00B35D37" w:rsidP="00B35D37">
      <w:pPr>
        <w:pStyle w:val="TextoNormal"/>
      </w:pPr>
      <w:r>
        <w:t>(iii) Arts. 17.4, 18.1, 18.2, 18.3 y 19.1 de la Ley 3/2020, así como el artículo único.2 del Decreto-ley 4/2021 y el anexo II. Tras señalar que “aquí está el núcleo de lo que se considera inconstitucional”, el auto de planteamiento explica que no hay fundamento jurídico para el establecimiento del régimen general de restricción de derechos que realiza el art. 18.1 (nivel 3 agravado) ni el artículo único.2 en conexión con el anexo 2 (nivel 2); que no cabe tampoco la remisión que el art. 17.4 hace a lo que fije la autoridad sanitaria; que los arts. 18.2 y 3 vulneran el principio de seguridad jurídica al permitir cambios en el régimen restrictivo, de manera indistinta, por ley, reglamento y acuerdo de la autoridad sanitaria; y que, por el juego de los rango normativos, se produce una violación del art. 9.3 CE —prohibición de la arbitrariedad de los poderes públicos— y del art. 24 CE, así como, indirectamente, del art. 81.1 CE y de los arts. 149.1.1, 5 y 6 CE. Además, el Decreto-ley 4/2021 infringiría el art. 86.1 CE por afectar al derecho a la igualdad y la tutela judicial efectiva a través de una norma de urgencia.</w:t>
      </w:r>
    </w:p>
    <w:p w14:paraId="3178FDED" w14:textId="77777777" w:rsidR="00B35D37" w:rsidRDefault="00B35D37" w:rsidP="00B35D37">
      <w:pPr>
        <w:pStyle w:val="TextoNormal"/>
      </w:pPr>
    </w:p>
    <w:p w14:paraId="598A6600" w14:textId="77777777" w:rsidR="00B35D37" w:rsidRDefault="00B35D37" w:rsidP="00B35D37">
      <w:pPr>
        <w:pStyle w:val="TextoNormal"/>
      </w:pPr>
      <w:r>
        <w:t>(iv) Art. 28 de la Ley 3/2020, en relación con el anexo II y “en su caso” el art. 31, en la medida en que ambos preceptos hacen referencia a un plan de desescalada no publicado en diario oficial y a órdenes ministeriales que ya no estaban vigentes al promulgarse la ley.</w:t>
      </w:r>
    </w:p>
    <w:p w14:paraId="6AF4E110" w14:textId="77777777" w:rsidR="00B35D37" w:rsidRDefault="00B35D37" w:rsidP="00B35D37">
      <w:pPr>
        <w:pStyle w:val="TextoNormal"/>
      </w:pPr>
    </w:p>
    <w:p w14:paraId="2E8DAF4E" w14:textId="5787F7AF" w:rsidR="00B35D37" w:rsidRDefault="00B35D37" w:rsidP="00B35D37">
      <w:pPr>
        <w:pStyle w:val="TextoNormal"/>
      </w:pPr>
      <w:r>
        <w:t>(v) Art. 29 a) y 29 a) 6 de la Ley 3/2020 “en la medida en que serían los aplicables si se anulase la orden y que están afectos de inconstitucionalidad en virtud de la violación de los principios de legalidad, seguridad jurídica y publicidad del art. 9.3 CE, según los razonamientos hechos”.</w:t>
      </w:r>
    </w:p>
    <w:p w14:paraId="2D5B7AB8" w14:textId="77777777" w:rsidR="00B35D37" w:rsidRDefault="00B35D37" w:rsidP="00B35D37">
      <w:pPr>
        <w:pStyle w:val="TextoNormal"/>
      </w:pPr>
    </w:p>
    <w:p w14:paraId="22420E16" w14:textId="7167CFCC" w:rsidR="00B35D37" w:rsidRDefault="00B35D37" w:rsidP="00B35D37">
      <w:pPr>
        <w:pStyle w:val="TextoNormal"/>
      </w:pPr>
      <w:r w:rsidRPr="00B35D37">
        <w:rPr>
          <w:rStyle w:val="NumeroAFNegritaCaracter"/>
        </w:rPr>
        <w:t>4</w:t>
      </w:r>
      <w:r>
        <w:t>. Por providencia de 5 de noviembre de 2024,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fuere notoriamente infundada.</w:t>
      </w:r>
    </w:p>
    <w:p w14:paraId="1185B8E2" w14:textId="77777777" w:rsidR="00B35D37" w:rsidRDefault="00B35D37" w:rsidP="00B35D37">
      <w:pPr>
        <w:pStyle w:val="TextoNormal"/>
      </w:pPr>
    </w:p>
    <w:p w14:paraId="4F36153E" w14:textId="77777777" w:rsidR="00B35D37" w:rsidRDefault="00B35D37" w:rsidP="00B35D37">
      <w:pPr>
        <w:pStyle w:val="TextoNormal"/>
      </w:pPr>
      <w:r w:rsidRPr="00B35D37">
        <w:rPr>
          <w:rStyle w:val="NumeroAFNegritaCaracter"/>
        </w:rPr>
        <w:t>5</w:t>
      </w:r>
      <w:r>
        <w:t>. El fiscal general del Estado evacuó el trámite conferido mediante escrito registrado en este tribunal el 29 de enero de 2025, en el que insta la inadmisión de la cuestión de inconstitucionalidad por incumplimiento de los presupuestos procesales del art. 35.2 LOTC, así como por ser notoriamente infundada.</w:t>
      </w:r>
    </w:p>
    <w:p w14:paraId="0888EF07" w14:textId="77777777" w:rsidR="00B35D37" w:rsidRDefault="00B35D37" w:rsidP="00B35D37">
      <w:pPr>
        <w:pStyle w:val="TextoNormal"/>
      </w:pPr>
    </w:p>
    <w:p w14:paraId="02CD5DBC" w14:textId="77777777" w:rsidR="00B35D37" w:rsidRDefault="00B35D37" w:rsidP="00B35D37">
      <w:pPr>
        <w:pStyle w:val="TextoNormal"/>
      </w:pPr>
      <w:r>
        <w:t>Tras hacer referencia a los antecedentes del caso y al contenido del auto de planteamiento, comienza reseñando el contenido de los AATC 60/2022, de 24 de marzo; 68/2022, de 7 de abril, y 97/2022, de 15 de junio, por los que se inadmitieron a trámite sendas cuestiones de inconstitucionalidad promovidas por el mismo órgano judicial y que considera que presentaban ciertas analogías con la actual.</w:t>
      </w:r>
    </w:p>
    <w:p w14:paraId="3AF988A7" w14:textId="77777777" w:rsidR="00B35D37" w:rsidRDefault="00B35D37" w:rsidP="00B35D37">
      <w:pPr>
        <w:pStyle w:val="TextoNormal"/>
      </w:pPr>
    </w:p>
    <w:p w14:paraId="0313C1C9" w14:textId="77777777" w:rsidR="00B35D37" w:rsidRDefault="00B35D37" w:rsidP="00B35D37">
      <w:pPr>
        <w:pStyle w:val="TextoNormal"/>
      </w:pPr>
      <w:r>
        <w:t>Examina a continuación el cumplimiento de los requisitos procesales para el planteamiento de la cuestión, previa síntesis de la doctrina constitucional al respecto, señalando la existencia de varias deficiencias que, a su juicio, deberían conducir a su inadmisión a trámite.</w:t>
      </w:r>
    </w:p>
    <w:p w14:paraId="54F64002" w14:textId="77777777" w:rsidR="00B35D37" w:rsidRDefault="00B35D37" w:rsidP="00B35D37">
      <w:pPr>
        <w:pStyle w:val="TextoNormal"/>
      </w:pPr>
    </w:p>
    <w:p w14:paraId="00C7D8B4" w14:textId="77777777" w:rsidR="00B35D37" w:rsidRDefault="00B35D37" w:rsidP="00B35D37">
      <w:pPr>
        <w:pStyle w:val="TextoNormal"/>
      </w:pPr>
      <w:r>
        <w:t>(i) Destaca, en primer lugar, la falta de correspondencia entre la identificación de los preceptos legales cuestionados y constitucionales vulnerados que se hace en la providencia del art. 35 LOTC y la que se contiene el posterior auto de planteamiento. En concreto, indica que el auto de planteamiento cuestiona preceptos [el art. 29 a) y el 29 a) 6 de la Ley de las Cortes de Aragón 3/2020] que no estaban incluidos en la providencia de apertura del trámite de audiencia, y también afirma la vulneración de nuevos preceptos constitucionales (los arts. 149.1.1, 5 y 6 CE); preceptos, todos ellos, que no fueron objeto de atención en los informes emitidos durante el trámite de audiencia por la administración demandada ni por el Ministerio Fiscal. Es por ello por lo que sostiene que no cabe aquí aplicar la doctrina constitucional sobre la indeterminación relativa, debiendo quedar excluidos los preceptos nuevos —tanto los cuestionados como los supuestamente vulnerados— del objeto de la cuestión de inconstitucionalidad por incumplimiento del trámite de audiencia del art. 35 LOTC.</w:t>
      </w:r>
    </w:p>
    <w:p w14:paraId="2ACDF257" w14:textId="77777777" w:rsidR="00B35D37" w:rsidRDefault="00B35D37" w:rsidP="00B35D37">
      <w:pPr>
        <w:pStyle w:val="TextoNormal"/>
      </w:pPr>
    </w:p>
    <w:p w14:paraId="5D6E9185" w14:textId="77777777" w:rsidR="00B35D37" w:rsidRDefault="00B35D37" w:rsidP="00B35D37">
      <w:pPr>
        <w:pStyle w:val="TextoNormal"/>
      </w:pPr>
      <w:r>
        <w:t xml:space="preserve">(ii) En segundo lugar, el fiscal argumenta que el referido trámite de audiencia se ve afectado por una irregularidad adicional que debe entenderse que ha frustrado su finalidad, en tanto que se omitió indebidamente la audiencia a las asociaciones demandantes en el proceso </w:t>
      </w:r>
      <w:r w:rsidRPr="00B35D37">
        <w:rPr>
          <w:i/>
        </w:rPr>
        <w:t>a quo</w:t>
      </w:r>
      <w:r>
        <w:t>. Señala en este sentido el fiscal que el hecho de que tales asociaciones apuntaran ya a la inconstitucionalidad de la legislación aplicable en su escrito de demanda no permite prescindir de su participación en el trámite de audiencia del art. 35 LOTC, máxime cuando, como sucede en el presente caso, no existe una total correspondencia entre las dudas de constitucionalidad planteadas por la parte y las formuladas por el órgano judicial.</w:t>
      </w:r>
    </w:p>
    <w:p w14:paraId="7F829175" w14:textId="77777777" w:rsidR="00B35D37" w:rsidRDefault="00B35D37" w:rsidP="00B35D37">
      <w:pPr>
        <w:pStyle w:val="TextoNormal"/>
      </w:pPr>
    </w:p>
    <w:p w14:paraId="2762C90D" w14:textId="77777777" w:rsidR="00B35D37" w:rsidRDefault="00B35D37" w:rsidP="00B35D37">
      <w:pPr>
        <w:pStyle w:val="TextoNormal"/>
      </w:pPr>
      <w:r>
        <w:t xml:space="preserve">(iii) El Ministerio Fiscal señala, en tercer lugar, que la cuestión de inconstitucionalidad adolece de una falta de adecuada formulación del juicio de aplicabilidad. Indica en este punto que el auto de planteamiento no realiza más que una consideración negativa al respecto —solo se alude a que el Ministerio Fiscal y las partes no mostraron su oposición—, y que, en todo caso, debería haberse justificado la aplicabilidad de la norma dadas las peculiares circunstancias del caso, ya que en el momento de planteamiento de la cuestión tanto la Ley 3/2020 como la orden impugnada en el proceso </w:t>
      </w:r>
      <w:r w:rsidRPr="00B35D37">
        <w:rPr>
          <w:i/>
        </w:rPr>
        <w:t>a quo</w:t>
      </w:r>
      <w:r>
        <w:t xml:space="preserve"> habían dejado de estar vigentes.</w:t>
      </w:r>
    </w:p>
    <w:p w14:paraId="6FA62230" w14:textId="77777777" w:rsidR="00B35D37" w:rsidRDefault="00B35D37" w:rsidP="00B35D37">
      <w:pPr>
        <w:pStyle w:val="TextoNormal"/>
      </w:pPr>
    </w:p>
    <w:p w14:paraId="17D586EF" w14:textId="77777777" w:rsidR="00B35D37" w:rsidRDefault="00B35D37" w:rsidP="00B35D37">
      <w:pPr>
        <w:pStyle w:val="TextoNormal"/>
      </w:pPr>
      <w:r>
        <w:t xml:space="preserve">(iv) En cuarto lugar, el fiscal indica que la cuestión carece también de una adecuada formulación del juicio de relevancia. El auto de planteamiento se refiere a dicho juicio de manera negativa —afirmando que ni las partes ni el Ministerio Fiscal lo habían cuestionado— y a ello añade que la relevancia viene dada de los graves perjuicios (y su potencial indemnizabilidad) causados por el “entramado legal” que se cuestiona. Con ello, el juicio de relevancia no puede considerarse cabalmente cumplido porque no se expone una vinculación entre el objeto del proceso </w:t>
      </w:r>
      <w:r w:rsidRPr="00B35D37">
        <w:rPr>
          <w:i/>
        </w:rPr>
        <w:t>a quo</w:t>
      </w:r>
      <w:r>
        <w:t xml:space="preserve"> y la validez de los preceptos legales cuestionados, y porque parece instarse un enjuiciamiento en abstracto de un determinado sistema legislativo con independencia del resultado del pleito.</w:t>
      </w:r>
    </w:p>
    <w:p w14:paraId="06236BC8" w14:textId="77777777" w:rsidR="00B35D37" w:rsidRDefault="00B35D37" w:rsidP="00B35D37">
      <w:pPr>
        <w:pStyle w:val="TextoNormal"/>
      </w:pPr>
    </w:p>
    <w:p w14:paraId="3D957024" w14:textId="77777777" w:rsidR="00B35D37" w:rsidRDefault="00B35D37" w:rsidP="00B35D37">
      <w:pPr>
        <w:pStyle w:val="TextoNormal"/>
      </w:pPr>
      <w:r>
        <w:t>En cuanto al fondo del asunto (cuyo análisis circunscribe a la eventual vulneración de los arts. 9.3 CE —interdicción de la arbitrariedad, jerarquía normativa y publicidad de las normas—, 14, 24 y 86.1 CE), el Ministerio Fiscal estima que la cuestión es notoriamente infundada.</w:t>
      </w:r>
    </w:p>
    <w:p w14:paraId="65654F64" w14:textId="77777777" w:rsidR="00B35D37" w:rsidRDefault="00B35D37" w:rsidP="00B35D37">
      <w:pPr>
        <w:pStyle w:val="TextoNormal"/>
      </w:pPr>
    </w:p>
    <w:p w14:paraId="291B30E9" w14:textId="538D9580" w:rsidR="00B35D37" w:rsidRDefault="00B35D37" w:rsidP="00B35D37">
      <w:pPr>
        <w:pStyle w:val="TextoNormal"/>
      </w:pPr>
      <w:r>
        <w:t>Tras aludir a la argumentación del auto de planteamiento, señala, en esencia, lo siguiente: (i) los arts. 18 y 19 de la Ley 3/2020 sí imponen un límite temporal a la aplicabilidad de las medidas restrictivas previstas en la propia ley, aunque lo haga por referencia a la evolución de los indicadores de riesgo y a la finalización de la situación de crisis sanitaria a nivel nacional; (ii) ha de entenderse que la Ley Orgánica 3/1986 y el Real Decreto-ley 21/2020 ofrecen cobertura suficiente a las medidas restrictivas contempladas en los preceptos legales cuestionados; (iii) las remisiones legales al “plan de desescalada” aprobado por el Consejo de Ministros de 28 de abril de 2020 no plantean problemas desde el punto de vista de la publicidad de las normas (art. 9.3 CE) porque, pese a no haberse publicado en un diario oficial, dicho plan resulta plenamente accesible a través de página web; (iv) la adopción de decisiones se condiciona en los arts. 17.4 y 19 cuestionados a la evolución de la situación epidemiológica, siendo las razones atinentes a la protección de la salud pública válidas para establecer medidas restrictivas, siempre que se respete el principio de proporcionalidad, de conformidad con la jurisprudencia del Tribunal Supremo; (v) nada se dice ni se cuestiona en relación con el art. 10 de la Ley 3/2020, ni tampoco respecto del art. 29 de esta; (vi) no resultan “afectados”, en el sentido prohibido por el art. 86.1 CE, ni el derecho a la igualdad ni el derecho a la tutela judicial efectiva; y (vii) no existe vulneración del art. 14 CE, al encontrarse justificada la diferencia de trato introducida entre Aragón y otros territorios de España.</w:t>
      </w:r>
    </w:p>
    <w:p w14:paraId="02A1E595" w14:textId="77777777" w:rsidR="00B35D37" w:rsidRDefault="00B35D37" w:rsidP="00B35D37">
      <w:pPr>
        <w:pStyle w:val="TextoNormal"/>
      </w:pPr>
    </w:p>
    <w:p w14:paraId="4B872FE2" w14:textId="77777777" w:rsidR="00B35D37" w:rsidRDefault="00B35D37" w:rsidP="00B35D37">
      <w:pPr>
        <w:pStyle w:val="TextoNormalNegritaCentrado"/>
        <w:keepNext/>
      </w:pPr>
      <w:r>
        <w:t>II. Fundamentos jurídicos</w:t>
      </w:r>
    </w:p>
    <w:p w14:paraId="1E5A09DD" w14:textId="7F39127D" w:rsidR="00B35D37" w:rsidRDefault="00B35D37" w:rsidP="00B35D37">
      <w:pPr>
        <w:pStyle w:val="TextoNormalNegritaCentrado"/>
        <w:keepNext/>
      </w:pPr>
    </w:p>
    <w:p w14:paraId="1613BA83" w14:textId="77777777" w:rsidR="00B35D37" w:rsidRDefault="00B35D37" w:rsidP="00B35D37">
      <w:pPr>
        <w:pStyle w:val="TextoNormal"/>
      </w:pPr>
      <w:r w:rsidRPr="00B35D37">
        <w:rPr>
          <w:rStyle w:val="NumeroAFNegritaCaracter"/>
        </w:rPr>
        <w:t>1</w:t>
      </w:r>
      <w:r>
        <w:t xml:space="preserve">. </w:t>
      </w:r>
      <w:r w:rsidRPr="00B35D37">
        <w:rPr>
          <w:i/>
        </w:rPr>
        <w:t>Objeto de la cuestión</w:t>
      </w:r>
    </w:p>
    <w:p w14:paraId="6E216A02" w14:textId="77777777" w:rsidR="00B35D37" w:rsidRDefault="00B35D37" w:rsidP="00B35D37">
      <w:pPr>
        <w:pStyle w:val="TextoNormal"/>
      </w:pPr>
    </w:p>
    <w:p w14:paraId="20C60196" w14:textId="77777777" w:rsidR="00B35D37" w:rsidRDefault="00B35D37" w:rsidP="00B35D37">
      <w:pPr>
        <w:pStyle w:val="TextoNormal"/>
      </w:pPr>
      <w:r>
        <w:t>La Sección Primera de la Sala de lo Contencioso-Administrativo del Tribunal Superior de Justicia de Aragón plantea cuestión de inconstitucionalidad respecto de (i) los arts. 1, 2, 17.4, 18.1, 18.2, 18.3, 19.1, 29 a), 29 a) 6, 28, 31 y anexo II de la Ley de las Cortes de Aragón 3/2020, de 3 de diciembre, por la que se establece el régimen jurídico de alerta sanitaria para el control de la pandemia covid-19 en Aragón, y (ii) el artículo único.2 del Decreto-ley del Gobierno de Aragón 4/2021, de 8 de julio, por el que se modifica la Ley 3/2020, de 3 de diciembre, para el establecimiento del nivel de alerta sanitaria 2 en la Comunidad Autónoma de Aragón.</w:t>
      </w:r>
    </w:p>
    <w:p w14:paraId="5D224C7E" w14:textId="77777777" w:rsidR="00B35D37" w:rsidRDefault="00B35D37" w:rsidP="00B35D37">
      <w:pPr>
        <w:pStyle w:val="TextoNormal"/>
      </w:pPr>
    </w:p>
    <w:p w14:paraId="35F712C1" w14:textId="77777777" w:rsidR="00B35D37" w:rsidRDefault="00B35D37" w:rsidP="00B35D37">
      <w:pPr>
        <w:pStyle w:val="TextoNormal"/>
      </w:pPr>
      <w:r>
        <w:t>Como con mayor detalle se ha expuesto en los antecedentes, el órgano judicial considera que los preceptos cuestionados son inconstitucionales por los siguientes motivos:</w:t>
      </w:r>
    </w:p>
    <w:p w14:paraId="61E31550" w14:textId="77777777" w:rsidR="00B35D37" w:rsidRDefault="00B35D37" w:rsidP="00B35D37">
      <w:pPr>
        <w:pStyle w:val="TextoNormal"/>
      </w:pPr>
    </w:p>
    <w:p w14:paraId="5787C0E6" w14:textId="77777777" w:rsidR="00B35D37" w:rsidRDefault="00B35D37" w:rsidP="00B35D37">
      <w:pPr>
        <w:pStyle w:val="TextoNormal"/>
      </w:pPr>
      <w:r>
        <w:t>(i) El art. 1 de la Ley 3/2020, por infracción de los principios de jerarquía normativa, publicidad y legalidad (art. 9.3 CE), al prever medidas restrictivas que no encuentran amparo en la Ley Orgánica 3/1986 y al estar basado en el Real Decreto-ley 21/2020, de 9 de junio, dado que este mismo integra sus normas con un “plan de desescalada” no publicado en diario oficial.</w:t>
      </w:r>
    </w:p>
    <w:p w14:paraId="37541713" w14:textId="77777777" w:rsidR="00B35D37" w:rsidRDefault="00B35D37" w:rsidP="00B35D37">
      <w:pPr>
        <w:pStyle w:val="TextoNormal"/>
      </w:pPr>
    </w:p>
    <w:p w14:paraId="5277B210" w14:textId="77777777" w:rsidR="00B35D37" w:rsidRDefault="00B35D37" w:rsidP="00B35D37">
      <w:pPr>
        <w:pStyle w:val="TextoNormal"/>
      </w:pPr>
      <w:r>
        <w:t>(ii) El art. 2 de la Ley 3/2020 (en cuanto fija la vigencia temporal de la ley por referencia indefinida e incierta a cuando el Gobierno de España declare la finalización de la situación de crisis sanitaria), por infracción del principio de seguridad jurídica (art. 9.3 CE) y de igualdad entre los españoles (art. 14 CE) así como, indirectamente, del art. 81.1 CE, al regularse una discriminación en los derechos de los aragoneses respecto del resto de los españoles sin hacerse por ley orgánica ni por el órgano legislativo competente.</w:t>
      </w:r>
    </w:p>
    <w:p w14:paraId="22627B54" w14:textId="77777777" w:rsidR="00B35D37" w:rsidRDefault="00B35D37" w:rsidP="00B35D37">
      <w:pPr>
        <w:pStyle w:val="TextoNormal"/>
      </w:pPr>
    </w:p>
    <w:p w14:paraId="7FDBF22C" w14:textId="77777777" w:rsidR="00B35D37" w:rsidRDefault="00B35D37" w:rsidP="00B35D37">
      <w:pPr>
        <w:pStyle w:val="TextoNormal"/>
      </w:pPr>
      <w:r>
        <w:t>(iii) Los arts. 17.4, 18.1, 18.2, 18.3, 19.1 y anexo II de la Ley de las Cortes de Aragón 3/2020, así como el artículo único.2 del Decreto-ley del Gobierno de Aragón 4/2021, por prever un entramado de limitación de derechos de ciudadanos y empresas con vulneración de los principios de seguridad jurídica y de prohibición de la arbitrariedad de los poderes públicos (art. 9.3 CE), de los derechos a la igualdad y a la tutela judicial efectiva (arts. 14 y 24 CE), de la reserva de ley orgánica (art. 81.1 CE) y de varias competencias exclusivas del Estado (arts. 149.1.1, 5 y 6 CE).</w:t>
      </w:r>
    </w:p>
    <w:p w14:paraId="2DF7B35B" w14:textId="77777777" w:rsidR="00B35D37" w:rsidRDefault="00B35D37" w:rsidP="00B35D37">
      <w:pPr>
        <w:pStyle w:val="TextoNormal"/>
      </w:pPr>
    </w:p>
    <w:p w14:paraId="16F22822" w14:textId="77777777" w:rsidR="00B35D37" w:rsidRDefault="00B35D37" w:rsidP="00B35D37">
      <w:pPr>
        <w:pStyle w:val="TextoNormal"/>
      </w:pPr>
      <w:r>
        <w:t>(iv) El art. 28 de la Ley 3/2020, en relación con el anexo II y “en su caso” el art. 31, por vulneración de los principios de seguridad jurídica y de publicidad de las normas (art. 9.3 CE), en la medida en que ambos preceptos hacen referencia a un plan de desescalada no publicado en diario oficial y a órdenes ministeriales que ya no estaban vigentes al promulgarse la ley.</w:t>
      </w:r>
    </w:p>
    <w:p w14:paraId="3C9C0D94" w14:textId="77777777" w:rsidR="00B35D37" w:rsidRDefault="00B35D37" w:rsidP="00B35D37">
      <w:pPr>
        <w:pStyle w:val="TextoNormal"/>
      </w:pPr>
    </w:p>
    <w:p w14:paraId="0CA6000C" w14:textId="77777777" w:rsidR="00B35D37" w:rsidRDefault="00B35D37" w:rsidP="00B35D37">
      <w:pPr>
        <w:pStyle w:val="TextoNormal"/>
      </w:pPr>
      <w:r>
        <w:t>(v) Art. 29 a) y 29 a) 6 de la Ley 3/2020 “en la medida en que serían los aplicables si se anulase la orden y que están afectos de inconstitucionalidad en virtud de la violación de los principios de legalidad, seguridad jurídica y publicidad del art. 9.3 CE, según los razonamientos hechos”.</w:t>
      </w:r>
    </w:p>
    <w:p w14:paraId="11ACB169" w14:textId="77777777" w:rsidR="00B35D37" w:rsidRDefault="00B35D37" w:rsidP="00B35D37">
      <w:pPr>
        <w:pStyle w:val="TextoNormal"/>
      </w:pPr>
    </w:p>
    <w:p w14:paraId="71FEA611" w14:textId="1BE6498C" w:rsidR="00B35D37" w:rsidRDefault="00B35D37" w:rsidP="00B35D37">
      <w:pPr>
        <w:pStyle w:val="TextoNormal"/>
      </w:pPr>
      <w:r>
        <w:t>El Ministerio Fiscal, en el trámite previsto en el art. 37.1 LOTC, se ha opuesto a la admisión a trámite de la presente cuestión de inconstitucionalidad, por entender que la misma no cumple los requisitos procesales exigidos por el art. 35 LOTC y que es notoriamente infundada.</w:t>
      </w:r>
    </w:p>
    <w:p w14:paraId="5B5F3F13" w14:textId="77777777" w:rsidR="00B35D37" w:rsidRDefault="00B35D37" w:rsidP="00B35D37">
      <w:pPr>
        <w:pStyle w:val="TextoNormal"/>
      </w:pPr>
    </w:p>
    <w:p w14:paraId="62333BF6" w14:textId="77777777" w:rsidR="00B35D37" w:rsidRDefault="00B35D37" w:rsidP="00B35D37">
      <w:pPr>
        <w:pStyle w:val="TextoNormal"/>
      </w:pPr>
      <w:r w:rsidRPr="00B35D37">
        <w:rPr>
          <w:rStyle w:val="NumeroAFNegritaCaracter"/>
        </w:rPr>
        <w:t>2</w:t>
      </w:r>
      <w:r>
        <w:t xml:space="preserve">. </w:t>
      </w:r>
      <w:r w:rsidRPr="00B35D37">
        <w:rPr>
          <w:i/>
        </w:rPr>
        <w:t>Incumplimiento de los requisitos del trámite de audiencia</w:t>
      </w:r>
    </w:p>
    <w:p w14:paraId="4EF9D238" w14:textId="77777777" w:rsidR="00B35D37" w:rsidRDefault="00B35D37" w:rsidP="00B35D37">
      <w:pPr>
        <w:pStyle w:val="TextoNormal"/>
      </w:pPr>
    </w:p>
    <w:p w14:paraId="2E3A6947" w14:textId="77777777" w:rsidR="00B35D37" w:rsidRDefault="00B35D37" w:rsidP="00B35D37">
      <w:pPr>
        <w:pStyle w:val="TextoNormal"/>
      </w:pPr>
      <w:r>
        <w:t xml:space="preserve">El art. 37.1 LOTC permite a este tribunal rechazar </w:t>
      </w:r>
      <w:r w:rsidRPr="00B35D37">
        <w:rPr>
          <w:i/>
        </w:rPr>
        <w:t>a limine</w:t>
      </w:r>
      <w:r>
        <w:t xml:space="preserve"> las cuestiones de inconstitucionalidad, mediante auto y sin otra audiencia que la del fiscal general del Estado, cuando faltaren las condiciones procesales o fuere notoriamente infundada la cuestión suscitada. En el presente supuesto concurren ambos motivos de inadmisión.</w:t>
      </w:r>
    </w:p>
    <w:p w14:paraId="31AB51E1" w14:textId="77777777" w:rsidR="00B35D37" w:rsidRDefault="00B35D37" w:rsidP="00B35D37">
      <w:pPr>
        <w:pStyle w:val="TextoNormal"/>
      </w:pPr>
    </w:p>
    <w:p w14:paraId="17A177CE" w14:textId="77777777" w:rsidR="00B35D37" w:rsidRDefault="00B35D37" w:rsidP="00B35D37">
      <w:pPr>
        <w:pStyle w:val="TextoNormal"/>
      </w:pPr>
      <w:r>
        <w:t>En cuanto a la falta de las necesarias condiciones procesales para promover la cuestión, este tribunal estima, en primer lugar, que el trámite de audiencia previsto en el art. 35.2 LOTC no se ha efectuado correctamente.</w:t>
      </w:r>
    </w:p>
    <w:p w14:paraId="7CF54AD6" w14:textId="77777777" w:rsidR="00B35D37" w:rsidRDefault="00B35D37" w:rsidP="00B35D37">
      <w:pPr>
        <w:pStyle w:val="TextoNormal"/>
      </w:pPr>
    </w:p>
    <w:p w14:paraId="092B8564" w14:textId="77777777" w:rsidR="00B35D37" w:rsidRDefault="00B35D37" w:rsidP="00B35D37">
      <w:pPr>
        <w:pStyle w:val="TextoNormal"/>
      </w:pPr>
      <w:r>
        <w:t>a) La doctrina constitucional ha insistido (por todos ATC 467/2007, de 17 diciembre, FJ 2) en la importancia que tiene el cumplimiento de las formalidades previas al planteamiento de las cuestiones de inconstitucionalidad. En particular, ha señalado que el trámite de audiencia previsto en el art. 35.2 LOTC está llamado a satisfacer dos funciones: de un lado, garantizar una efectiva y real audiencia de las partes y del Ministerio Fiscal ante una posible decisión de tanta entidad, poniendo a disposición del juez un medio que le permita conocer la opinión de los sujetos interesados con el fin de facilitar su reflexión sobre la conveniencia o no de proceder a la apertura de dicho proceso (STC 59/2008, de 14 de mayo, FJ 2, y ATC 13/2008, de 16 de enero, FJ 3) y, de otro, facilitar el examen por parte del Tribunal acerca de la viabilidad de la cuestión misma y el alcance del problema constitucional en ella planteado (ATC 108/1993, de 30 de marzo). A los presentes efectos conviene también recordar que, como ha reiterado la doctrina constitucional, los arts. 163 CE y 35 LOTC configuran el planteamiento de la cuestión de inconstitucionalidad como una prerrogativa exclusiva de los órganos judiciales (por todas, STC 26/2009, de 26 de enero, FJ 2).</w:t>
      </w:r>
    </w:p>
    <w:p w14:paraId="1E827CAB" w14:textId="77777777" w:rsidR="00B35D37" w:rsidRDefault="00B35D37" w:rsidP="00B35D37">
      <w:pPr>
        <w:pStyle w:val="TextoNormal"/>
      </w:pPr>
    </w:p>
    <w:p w14:paraId="4B65CDB7" w14:textId="77777777" w:rsidR="00B35D37" w:rsidRDefault="00B35D37" w:rsidP="00B35D37">
      <w:pPr>
        <w:pStyle w:val="TextoNormal"/>
      </w:pPr>
      <w:r>
        <w:t>Asimismo, este tribunal ha señalado que el requisito del art. 35.2 LOTC de que la audiencia verse “sobre la pertinencia de plantear la cuestión o sobre el fondo de esta” supone que los preceptos legales que se cuestionen, así como sus posibles motivos de inconstitucionalidad, han de haber sido efectivamente sometidos a las alegaciones de las partes y del Ministerio Fiscal. En este sentido, la doctrina constitucional ha exigido que en la providencia de apertura del trámite de audiencia “se identifiquen con precisión tanto los preceptos legales sobre cuya constitucionalidad se albergan dudas como las normas de la Constitución que se consideren vulneradas” (por todos, ATC 31/2009, de 27 de enero).</w:t>
      </w:r>
    </w:p>
    <w:p w14:paraId="42F7EC5B" w14:textId="77777777" w:rsidR="00B35D37" w:rsidRDefault="00B35D37" w:rsidP="00B35D37">
      <w:pPr>
        <w:pStyle w:val="TextoNormal"/>
      </w:pPr>
    </w:p>
    <w:p w14:paraId="2ACD2634" w14:textId="77777777" w:rsidR="00B35D37" w:rsidRDefault="00B35D37" w:rsidP="00B35D37">
      <w:pPr>
        <w:pStyle w:val="TextoNormal"/>
      </w:pPr>
      <w:r>
        <w:t>En cuanto a los preceptos legales cuestionados, este tribunal ha precisado que debe existir identidad entre los identificados como tales en el auto de planteamiento y los que fueron sometidos a las alegaciones de las partes en el trámite de audiencia previa regulado en el art. 35.2 LOTC. Así, se ha señalado que “[r]esulta, pues,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(por todas, STC 55/2017, de 11 de mayo, FJ 2, con ulteriores referencias). De modo que el órgano judicial “no puede cuestionar otros preceptos legales distintos de aquellos que sometió a la consideración de las partes” [STC 84/1993, de 8 de marzo, FJ 1 b)], dado que “la finalidad de esta exigencia es la de garantizar que en el Auto que plantea la cuestión no se introduzcan elementos nuevos que los sujetos interesados en el proceso no han podido previamente conocer ni, por ello, apreciar o impugnar su relevancia para el planteamiento de la cuestión, privándose así al órgano judicial de la opinión de aquellos y no facilitándose su reflexión sobre los mismos” [SSTC 126/1997, de 3 de julio, FJ 4 A), y 120/2000, de 10 de mayo, FJ 2]. De ahí que el Tribunal haya considerado que la omisión o incorrecta identificación en la providencia que concede el trámite de audiencia de los preceptos que luego pretenden cuestionarse tiene entidad suficiente como para determinar la inadmisión de la cuestión de inconstitucionalidad (AATC 185/1990, de 24 de abril, FJ 1; 56/2006, de 15 de febrero, y 188/2006, de 6 de junio); en el caso de ser varios los preceptos cuestionados, el Tribunal únicamente extenderá su enjuiciamiento a aquellos que fueron previamente sometidos a la consideración de las partes y del Ministerio Fiscal [STC 114/1994, de 14 de abril, FJ 2 c)].</w:t>
      </w:r>
    </w:p>
    <w:p w14:paraId="6ABFB183" w14:textId="77777777" w:rsidR="00B35D37" w:rsidRDefault="00B35D37" w:rsidP="00B35D37">
      <w:pPr>
        <w:pStyle w:val="TextoNormal"/>
      </w:pPr>
    </w:p>
    <w:p w14:paraId="6A871613" w14:textId="77777777" w:rsidR="00B35D37" w:rsidRDefault="00B35D37" w:rsidP="00B35D37">
      <w:pPr>
        <w:pStyle w:val="TextoNormal"/>
      </w:pPr>
      <w:r>
        <w:t>Por lo que respecta a las previsiones constitucionales que se entienden vulneradas, estas han de ser identificadas en la providencia a través de la cual se otorga el trámite de audiencia a las partes y al Ministerio Fiscal, o bien, a falta de una cita concreta de los preceptos constitucionales supuestamente vulnerados, tal providencia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[por todos, STC 166/2007, de 4 de julio, FJ 6, y ATC 144/2020, de 17 de noviembre, FJ 3 b)].</w:t>
      </w:r>
    </w:p>
    <w:p w14:paraId="0E3273B7" w14:textId="77777777" w:rsidR="00B35D37" w:rsidRDefault="00B35D37" w:rsidP="00B35D37">
      <w:pPr>
        <w:pStyle w:val="TextoNormal"/>
      </w:pPr>
    </w:p>
    <w:p w14:paraId="3CF479BE" w14:textId="77777777" w:rsidR="00B35D37" w:rsidRDefault="00B35D37" w:rsidP="00B35D37">
      <w:pPr>
        <w:pStyle w:val="TextoNormal"/>
      </w:pPr>
      <w:r>
        <w:t>b) La aplicación de la doctrina expuesta al presente caso nos lleva a constatar la existencia de dos deficiencias distintas en el trámite de audiencia previo al planteamiento de la cuestión de inconstitucionalidad.</w:t>
      </w:r>
    </w:p>
    <w:p w14:paraId="398B3324" w14:textId="77777777" w:rsidR="00B35D37" w:rsidRDefault="00B35D37" w:rsidP="00B35D37">
      <w:pPr>
        <w:pStyle w:val="TextoNormal"/>
      </w:pPr>
    </w:p>
    <w:p w14:paraId="1A5046B0" w14:textId="77777777" w:rsidR="00B35D37" w:rsidRDefault="00B35D37" w:rsidP="00B35D37">
      <w:pPr>
        <w:pStyle w:val="TextoNormal"/>
      </w:pPr>
      <w:r>
        <w:t xml:space="preserve">Por una parte, la exigencia de que la audiencia verse “sobre la pertinencia de plantear la cuestión o sobre el fondo de esta” solo se ha cumplido parcialmente. Como pone de manifiesto el Ministerio Fiscal, frente a lo indicado en la providencia de apertura del trámite de audiencia, el auto de planteamiento de la cuestión introduce (i) dos nuevos preceptos de cuya constitucionalidad se duda —el art. 29 a) y el art. 29 a) 6 de la Ley de las Cortes de Aragón 3/2020—, y (ii) tres nuevas previsiones constitucionales cuya infracción se plantea —los arts. 149.1.1, 5 y 6 CE—; sin que tales adiciones resulten de las alegaciones realizadas por la administración demandada ni por el Ministerio Fiscal, que no realizaron observación alguna sobre dichos preceptos legales y constitucionales. La introducción </w:t>
      </w:r>
      <w:r w:rsidRPr="00B35D37">
        <w:rPr>
          <w:i/>
        </w:rPr>
        <w:t>ex novo</w:t>
      </w:r>
      <w:r>
        <w:t xml:space="preserve"> de unos y otros en el auto de planteamiento constituye un exceso respecto del objeto del trámite de audiencia, tal y como este fue delimitado por el propio órgano judicial en la providencia de apertura del mismo, con el resultado de que los participantes en dicho trámite no han podido pronunciarse sobre la relevancia de los preceptos ulteriormente añadidos para el planteamiento de la cuestión, que es lo que exige la doctrina constitucional antes reseñada. Por este motivo, debe declararse inadmisible la cuestión de por lo que atañe a la posible inconstitucionalidad de los arts. 29 a) y 29 a) 6 de la Ley de 3/2020, así como por lo que respecta a la eventual infracción de los arts. 149.1.1, 5 y 6 CE en que los preceptos cuestionados pudiesen haber incurrido.</w:t>
      </w:r>
    </w:p>
    <w:p w14:paraId="6E71B51F" w14:textId="77777777" w:rsidR="00B35D37" w:rsidRDefault="00B35D37" w:rsidP="00B35D37">
      <w:pPr>
        <w:pStyle w:val="TextoNormal"/>
      </w:pPr>
    </w:p>
    <w:p w14:paraId="54C8295E" w14:textId="2FE2A3A3" w:rsidR="00B35D37" w:rsidRDefault="00B35D37" w:rsidP="00B35D37">
      <w:pPr>
        <w:pStyle w:val="TextoNormal"/>
      </w:pPr>
      <w:r>
        <w:t xml:space="preserve">De otro lado, no se ha cumplido el requisito de que la audiencia se haga “a las partes y al Ministerio Fiscal”, como dispone el art. 35.2 LOTC, pues, según reconoce el propio auto de planteamiento, no se dio trámite de audiencia a la parte demandante en el proceso </w:t>
      </w:r>
      <w:r w:rsidRPr="00B35D37">
        <w:rPr>
          <w:i/>
        </w:rPr>
        <w:t>a quo</w:t>
      </w:r>
      <w:r>
        <w:t xml:space="preserve"> al considerarse que era “innecesario” ya que “la parte había planteado en demanda y conclusiones la cuestión de inconstitucionalidad”. Esta omisión determina la inadmisibilidad de la cuestión en su conjunto, conforme a la doctrina constitucional antes expuesta, ya que las dudas de constitucionalidad no pueden ser formuladas ante este tribunal sino como propias del órgano judicial remitente, siendo por ello irrelevante a los efectos de la cumplimentación del trámite de audiencia que las mismas hubieran sido apuntadas en el mismo o —como en este supuesto— solamente en análogo sentido por una de las partes en el proceso </w:t>
      </w:r>
      <w:r w:rsidRPr="00B35D37">
        <w:rPr>
          <w:i/>
        </w:rPr>
        <w:t>a quo</w:t>
      </w:r>
      <w:r>
        <w:t>.</w:t>
      </w:r>
    </w:p>
    <w:p w14:paraId="081394C5" w14:textId="77777777" w:rsidR="00B35D37" w:rsidRDefault="00B35D37" w:rsidP="00B35D37">
      <w:pPr>
        <w:pStyle w:val="TextoNormal"/>
      </w:pPr>
    </w:p>
    <w:p w14:paraId="74C3B5CF" w14:textId="77777777" w:rsidR="00B35D37" w:rsidRDefault="00B35D37" w:rsidP="00B35D37">
      <w:pPr>
        <w:pStyle w:val="TextoNormal"/>
      </w:pPr>
      <w:r w:rsidRPr="00B35D37">
        <w:rPr>
          <w:rStyle w:val="NumeroAFNegritaCaracter"/>
        </w:rPr>
        <w:t>3</w:t>
      </w:r>
      <w:r>
        <w:t xml:space="preserve">. </w:t>
      </w:r>
      <w:r w:rsidRPr="00B35D37">
        <w:rPr>
          <w:i/>
        </w:rPr>
        <w:t>Incumplimiento de los juicios de aplicabilidad y relevancia</w:t>
      </w:r>
    </w:p>
    <w:p w14:paraId="36A9A008" w14:textId="77777777" w:rsidR="00B35D37" w:rsidRDefault="00B35D37" w:rsidP="00B35D37">
      <w:pPr>
        <w:pStyle w:val="TextoNormal"/>
      </w:pPr>
    </w:p>
    <w:p w14:paraId="019D8474" w14:textId="77777777" w:rsidR="00B35D37" w:rsidRDefault="00B35D37" w:rsidP="00B35D37">
      <w:pPr>
        <w:pStyle w:val="TextoNormal"/>
      </w:pPr>
      <w:r>
        <w:t>En segundo lugar, el Tribunal considera que en el presente supuesto no se ha dado adecuado cumplimiento a los juicios de aplicabilidad y de relevancia, lo que determina asimismo la inadmisibilidad de la cuestión planteada.</w:t>
      </w:r>
    </w:p>
    <w:p w14:paraId="7750C412" w14:textId="77777777" w:rsidR="00B35D37" w:rsidRDefault="00B35D37" w:rsidP="00B35D37">
      <w:pPr>
        <w:pStyle w:val="TextoNormal"/>
      </w:pPr>
    </w:p>
    <w:p w14:paraId="76CA7A1B" w14:textId="77777777" w:rsidR="00B35D37" w:rsidRDefault="00B35D37" w:rsidP="00B35D37">
      <w:pPr>
        <w:pStyle w:val="TextoNormal"/>
      </w:pPr>
      <w:r>
        <w:t>a) De acuerdo con lo dispuesto en el art. 35.1 LOTC la norma ha de ser “aplicable al caso” (juicio de aplicabilidad) y, conforme al art. 35.2 LOTC, el órgano judicial deberá “especificar o justificar en qué medida la decisión del proceso depende de la validez de la norma en cuestión” (juicio de relevancia).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w:t>
      </w:r>
    </w:p>
    <w:p w14:paraId="3F126AD6" w14:textId="77777777" w:rsidR="00B35D37" w:rsidRDefault="00B35D37" w:rsidP="00B35D37">
      <w:pPr>
        <w:pStyle w:val="TextoNormal"/>
      </w:pPr>
    </w:p>
    <w:p w14:paraId="4E76E985" w14:textId="77777777" w:rsidR="00B35D37" w:rsidRDefault="00B35D37" w:rsidP="00B35D37">
      <w:pPr>
        <w:pStyle w:val="TextoNormal"/>
      </w:pPr>
      <w:r>
        <w:t>Conforme a reiterada doctrina de este tribunal,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w:t>
      </w:r>
    </w:p>
    <w:p w14:paraId="10948321" w14:textId="77777777" w:rsidR="00B35D37" w:rsidRDefault="00B35D37" w:rsidP="00B35D37">
      <w:pPr>
        <w:pStyle w:val="TextoNormal"/>
      </w:pPr>
    </w:p>
    <w:p w14:paraId="424E2786" w14:textId="77777777" w:rsidR="00B35D37" w:rsidRDefault="00B35D37" w:rsidP="00B35D37">
      <w:pPr>
        <w:pStyle w:val="TextoNormal"/>
      </w:pPr>
      <w: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También hemos señalado que este tribunal debe verificar que el órgano judicial ha argumentado suficientemente la relación entre su duda de constitucionalidad y el proceso que está pendiente ante él, pues de lo contrario la cuestión de inconstitucionalidad puede perder el carácter concreto que la caracteriza. Por tanto, no es, en principio, el Tribunal Constitucional quien tiene que decidir las cuestiones de hecho o de legalidad ordinaria que se susciten en el proceso </w:t>
      </w:r>
      <w:r w:rsidRPr="00B35D37">
        <w:rPr>
          <w:i/>
        </w:rPr>
        <w:t>a quo</w:t>
      </w:r>
      <w:r>
        <w:t xml:space="preserve"> y que puedan tener repercusión en la relevancia de la duda de constitucionalidad que eleva el juez promotor. Estas apreciaciones corresponden inicialmente al órgano judicial en el ejercicio de la función que constitucionalmente le corresponde. Ahora bien, este tribunal debe verificar que el órgano judicial ha argumentado suficientemente la relación entre su duda de constitucionalidad y el proceso que está pendiente ante él en garantía del carácter concreto de la cuestión de inconstitucionalidad (ATC 67/2023, de 21 de febrero, citando el ATC 139/2017, de 17 de octubre, FJ 2). Consecuentemente, el Tribunal Constitucional, en el ejercicio de sus facultades de control externo del juicio formulado por los órganos judiciales al plantear la cuestión, puede declarar su inadmisibilidad por resultar inconsistente o errada la argumentación judicial sobre la aplicabilidad y relevancia de la norma cuestionada (ATC 173/2020, de 15 de diciembre, FJ 2).</w:t>
      </w:r>
    </w:p>
    <w:p w14:paraId="324B4F3E" w14:textId="77777777" w:rsidR="00B35D37" w:rsidRDefault="00B35D37" w:rsidP="00B35D37">
      <w:pPr>
        <w:pStyle w:val="TextoNormal"/>
      </w:pPr>
    </w:p>
    <w:p w14:paraId="41C40A09" w14:textId="77777777" w:rsidR="00B35D37" w:rsidRDefault="00B35D37" w:rsidP="00B35D37">
      <w:pPr>
        <w:pStyle w:val="TextoNormal"/>
      </w:pPr>
      <w:r>
        <w:t>b) Conforme a la anterior doctrina, hemos de concluir que en el presente caso los juicios de aplicabilidad y de relevancia no han sido correctamente formulados.</w:t>
      </w:r>
    </w:p>
    <w:p w14:paraId="60A33320" w14:textId="77777777" w:rsidR="00B35D37" w:rsidRDefault="00B35D37" w:rsidP="00B35D37">
      <w:pPr>
        <w:pStyle w:val="TextoNormal"/>
      </w:pPr>
    </w:p>
    <w:p w14:paraId="14278AC2" w14:textId="77777777" w:rsidR="00B35D37" w:rsidRDefault="00B35D37" w:rsidP="00B35D37">
      <w:pPr>
        <w:pStyle w:val="TextoNormal"/>
      </w:pPr>
      <w:r>
        <w:t xml:space="preserve">Por lo que respecta, de un lado, al juicio de aplicabilidad, este solamente se exterioriza respecto de parte de los preceptos cuestionados y en unos términos que no justifican suficientemente que aquellos sean “aplicables al caso” (art. 163 CE). En efecto, el auto de planteamiento comienza renunciado formalmente a exteriorizar el juicio de aplicabilidad, al limitarse a señalar, respecto de él, que “ninguna de las partes ha cuestionado, ni la demandante en su proposición hecha en conclusiones, ni el MF [Ministerio Fiscal] y DGA [Diputación General de Aragón] en su traslado, que sean aplicables al supuesto los preceptos cuestionados”. Sin embargo, lo cierto es que sí acaba identificando, al desarrollar las dudas de constitucionalidad, cuáles son los preceptos legales a su juicio aplicables al proceso </w:t>
      </w:r>
      <w:r w:rsidRPr="00B35D37">
        <w:rPr>
          <w:i/>
        </w:rPr>
        <w:t>a quo</w:t>
      </w:r>
      <w:r>
        <w:t xml:space="preserve"> y de cuya constitucionalidad se duda, a saber, el art. 29 a) y el art. 29 a) 6 de la Ley 3/2020 (que, según hemos indicado, no fueron debidamente sometidos al trámite de audiencia previo al planteamiento de la cuestión). Y, respecto de ellos, lo único que razona el órgano judicial es que serían los aplicables por defecto a las entidades recurrentes en el proceso </w:t>
      </w:r>
      <w:r w:rsidRPr="00B35D37">
        <w:rPr>
          <w:i/>
        </w:rPr>
        <w:t>a quo</w:t>
      </w:r>
      <w:r>
        <w:t xml:space="preserve"> si se anulasen las medidas impugnadas en dicho proceso. Resulta de ello que, conforme a la propia argumentación del órgano judicial, estamos ante normas que serían aplicables no para resolver el proceso </w:t>
      </w:r>
      <w:r w:rsidRPr="00B35D37">
        <w:rPr>
          <w:i/>
        </w:rPr>
        <w:t>a quo</w:t>
      </w:r>
      <w:r>
        <w:t>, sino, en su caso, como consecuencia de la resolución de este.</w:t>
      </w:r>
    </w:p>
    <w:p w14:paraId="272D25F1" w14:textId="77777777" w:rsidR="00B35D37" w:rsidRDefault="00B35D37" w:rsidP="00B35D37">
      <w:pPr>
        <w:pStyle w:val="TextoNormal"/>
      </w:pPr>
    </w:p>
    <w:p w14:paraId="43AEFDEA" w14:textId="77777777" w:rsidR="00B35D37" w:rsidRDefault="00B35D37" w:rsidP="00B35D37">
      <w:pPr>
        <w:pStyle w:val="TextoNormal"/>
      </w:pPr>
      <w:r>
        <w:t xml:space="preserve">Por otra parte, tampoco se ha cumplimentado debidamente el juicio de relevancia, en la medida en que este se formula en el auto de planteamiento en términos meramente hipotéticos y de futuro. El órgano judicial que promueve la cuestión indica que, siendo ya imposible, por el tiempo transcurrido, que la estimación del recurso contencioso-administrativo pueda servir para brindar tutela primaria (restitución) a los recurrentes en el proceso </w:t>
      </w:r>
      <w:r w:rsidRPr="00B35D37">
        <w:rPr>
          <w:i/>
        </w:rPr>
        <w:t>a quo</w:t>
      </w:r>
      <w:r>
        <w:t xml:space="preserve">, la relevancia “viene de los graves perjuicios sufridos por las empresas integradas en la asociación recurrente, así como por muchas otras que no lo estén y que resultaron igualmente afectadas, en cuanto una eventual estimación del recurso les abriría la puerta a reclamar la responsabilidad patrimonial por los perjuicios sufridos”. Es decir, parece sugerirse que la declaración de inconstitucionalidad y nulidad de los arts. 29 a) y 29 a) 6 de la Ley 3/2020, que son los concretamente aplicables según el planteamiento del órgano judicial, es relevante para el proceso </w:t>
      </w:r>
      <w:r w:rsidRPr="00B35D37">
        <w:rPr>
          <w:i/>
        </w:rPr>
        <w:t>a quo</w:t>
      </w:r>
      <w:r>
        <w:t xml:space="preserve"> en tanto que su subsistencia determinaría la existencia de un deber jurídico de soportar los daños causados por la orden anulada, imposibilitando con ello la tutela secundaria (resarcimiento) de los afectados. Sin embargo, lo cierto es que los recurrentes en ese proceso no han instado la declaración de responsabilidad patrimonial de la administración y no puede el órgano judicial declararla de oficio, de manera que la eventual disputa sobre su procedencia solo podrá tener lugar, en su caso, en un procedimiento ulterior y distinto.</w:t>
      </w:r>
    </w:p>
    <w:p w14:paraId="319B90B4" w14:textId="77777777" w:rsidR="00B35D37" w:rsidRDefault="00B35D37" w:rsidP="00B35D37">
      <w:pPr>
        <w:pStyle w:val="TextoNormal"/>
      </w:pPr>
    </w:p>
    <w:p w14:paraId="7752EB96" w14:textId="1A9BEAEA" w:rsidR="00B35D37" w:rsidRDefault="00B35D37" w:rsidP="00B35D37">
      <w:pPr>
        <w:pStyle w:val="TextoNormal"/>
      </w:pPr>
      <w:r>
        <w:t>En estas circunstancias, el Tribunal entiende que no queda garantizada la naturaleza de la cuestión de inconstitucionalidad como mecanismo de control concreto o incidental de la constitucionalidad de las leyes, lo que ha de determinar su inadmisión a trámite.</w:t>
      </w:r>
    </w:p>
    <w:p w14:paraId="2BE050A3" w14:textId="77777777" w:rsidR="00B35D37" w:rsidRDefault="00B35D37" w:rsidP="00B35D37">
      <w:pPr>
        <w:pStyle w:val="TextoNormal"/>
      </w:pPr>
    </w:p>
    <w:p w14:paraId="65F4B0B2" w14:textId="77777777" w:rsidR="00B35D37" w:rsidRDefault="00B35D37" w:rsidP="00B35D37">
      <w:pPr>
        <w:pStyle w:val="TextoNormal"/>
      </w:pPr>
      <w:r w:rsidRPr="00B35D37">
        <w:rPr>
          <w:rStyle w:val="NumeroAFNegritaCaracter"/>
        </w:rPr>
        <w:t>4</w:t>
      </w:r>
      <w:r>
        <w:t xml:space="preserve">. </w:t>
      </w:r>
      <w:r w:rsidRPr="00B35D37">
        <w:rPr>
          <w:i/>
        </w:rPr>
        <w:t>Carácter notoriamente infundado de la cuestión</w:t>
      </w:r>
    </w:p>
    <w:p w14:paraId="5E112F1F" w14:textId="77777777" w:rsidR="00B35D37" w:rsidRDefault="00B35D37" w:rsidP="00B35D37">
      <w:pPr>
        <w:pStyle w:val="TextoNormal"/>
      </w:pPr>
    </w:p>
    <w:p w14:paraId="3893A6FE" w14:textId="77777777" w:rsidR="00B35D37" w:rsidRDefault="00B35D37" w:rsidP="00B35D37">
      <w:pPr>
        <w:pStyle w:val="TextoNormal"/>
      </w:pPr>
      <w:r>
        <w:t>Por último, la presente cuestión de inconstitucionalidad ha de ser considerada notoriamente infundada en el sentido que nuestra reiterada doctrina viene dando a este concepto,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esta sea arbitraria” (por todos, ATC 89/2019, de 16 de julio, FJ 5, y los allí citados).</w:t>
      </w:r>
    </w:p>
    <w:p w14:paraId="5442F123" w14:textId="77777777" w:rsidR="00B35D37" w:rsidRDefault="00B35D37" w:rsidP="00B35D37">
      <w:pPr>
        <w:pStyle w:val="TextoNormal"/>
      </w:pPr>
    </w:p>
    <w:p w14:paraId="129C00D4" w14:textId="77777777" w:rsidR="00B35D37" w:rsidRDefault="00B35D37" w:rsidP="00B35D37">
      <w:pPr>
        <w:pStyle w:val="TextoNormal"/>
      </w:pPr>
      <w:r>
        <w:t>De acuerdo con lo señalado en el fundamento jurídico anterior, el análisis sobre la viabilidad de la cuestión ha de referirse exclusivamente a las dudas de constitucionalidad suscitadas respecto de los arts. 29 a) y 29 a) 6 de la Ley 3/2020, que son los concretamente aplicables y relevantes según la lógica del auto de planteamiento. Al respecto, el órgano judicial promotor de la cuestión se limita a indicar la posible existencia de vulneración de los principios de legalidad, seguridad jurídica y publicidad de las normas (art. 9.3 CE) “según los razonamientos hechos”, esto es, según la argumentación contenida en el auto de planteamiento en relación con otros preceptos de la propia Ley 3/2020 y del Decreto-ley 4/2021.Como con mayor detalle se ha indicado en los antecedentes, el auto de planteamiento argumenta la vulneración de los meritados principios en relación con varios preceptos de la Ley 3/2020 con fundamento, en esencia, en el hecho de que tales preceptos (i) se integran por remisión a un “plan de desescalada” que no fue sometido a publicación oficial y a determinadas órdenes ministeriales adoptadas durante el estado de alarma y que ya habían dejado de estar vigentes en el momento de aprobarse la Ley 3/2020, elementos ambos que se considera que provocan incertidumbre sobre el contenido de las normas aplicables; (ii) tienen una vigencia temporal acotada por referencia a una circunstancia indefinida, incierta y ajena a la actuación de las autoridades de la Comunidad Autónoma de Aragón; y (iii) prevén un complejo entramado normativo a través del cual se restringen derechos de ciudadanos y empresas sin cobertura legal suficiente y con un uso anómalo del sistema de fuentes.</w:t>
      </w:r>
    </w:p>
    <w:p w14:paraId="5B6858E5" w14:textId="77777777" w:rsidR="00B35D37" w:rsidRDefault="00B35D37" w:rsidP="00B35D37">
      <w:pPr>
        <w:pStyle w:val="TextoNormal"/>
      </w:pPr>
    </w:p>
    <w:p w14:paraId="20E7FC6F" w14:textId="77777777" w:rsidR="00B35D37" w:rsidRDefault="00B35D37" w:rsidP="00B35D37">
      <w:pPr>
        <w:pStyle w:val="TextoNormal"/>
      </w:pPr>
      <w:r>
        <w:t>El art. 29 de la Ley 3/2020 dispone que “[e]n el nivel de alerta 2, desplazando las previstas conforme al artículo anterior que colisionen con ellas, se aplicarán las siguientes normas”, refiriéndose el apartado a) a los establecimientos de hostelería y restauración (“[e]n los establecimientos de hostelería y restauración, el horario de funcionamiento no podrá exceder de las 23:00 horas, a excepción de los servicios de entrega de comida a domicilio”) y el apartado a) 6, por su parte, al ocio nocturno (“[q]ueda prohibida la actividad de ocio nocturno. Se permite la actividad de estos establecimientos para aquellas actividades de hostelería, como restauración o bar, que tengan autorizadas por su licencia municipal, en las mismas condiciones que los establecimientos que la tengan como actividad específica”).</w:t>
      </w:r>
    </w:p>
    <w:p w14:paraId="727C3AC8" w14:textId="77777777" w:rsidR="00B35D37" w:rsidRDefault="00B35D37" w:rsidP="00B35D37">
      <w:pPr>
        <w:pStyle w:val="TextoNormal"/>
      </w:pPr>
    </w:p>
    <w:p w14:paraId="067C85B4" w14:textId="77777777" w:rsidR="00B35D37" w:rsidRDefault="00B35D37" w:rsidP="00B35D37">
      <w:pPr>
        <w:pStyle w:val="TextoNormal"/>
      </w:pPr>
      <w:r>
        <w:t xml:space="preserve">Como puede observarse, tanto el art. 29 a) como, específicamente, su apartado sexto, establecen dos medidas restrictivas de manera clara y sin remisión alguna a otras normas ni decisiones de los poderes públicos, además de estar incluidas en una norma con rango de ley que ha sido sometida a publicación oficial y resultando claro que se encontraban vigentes en el momento temporal relevante para el proceso </w:t>
      </w:r>
      <w:r w:rsidRPr="00B35D37">
        <w:rPr>
          <w:i/>
        </w:rPr>
        <w:t>a quo</w:t>
      </w:r>
      <w:r>
        <w:t>, sin que a estos efectos suscite reparos constitucionales la previsión legal de expiración de efectos de la ley en el momento futuro en el que el Gobierno de España declarase la finalización de la situación de crisis sanitaria ocasionada por la covid-19. Por lo demás, las dudas de constitucionalidad planteadas respecto del art. 29 a) y 29 a) 6 de la Ley de las Cortes de Aragón 3/2020 carecen, por su formulación por remisión, del mínimo de concreción necesario para que este tribunal pueda pronunciarse sobre ellas, expresándose en abstracto en relación con el sistema normativo previsto en la ley. En este punto hemos de recordar lo que ya señalamos el ATC 60/2022, de 24 de marzo, FJ 3 a): “la cuestión de inconstitucionalidad no es cauce adecuado para la impugnación de un bloque o una parte del sistema normativo o del ordenamiento jurídico, […] sino únicamente un instrumento para el examen de la conformidad con la Constitución de una norma con rango de ley que sea aplicable al caso sometido al conocimiento del órgano judicial que la promueva y de cuya validez dependa el fallo que aquel haya de emitir [por todas, STC 109/2001, de 26 de abril, FJ 3 b)]”.</w:t>
      </w:r>
    </w:p>
    <w:p w14:paraId="1B7CD1B0" w14:textId="77777777" w:rsidR="00B35D37" w:rsidRDefault="00B35D37" w:rsidP="00B35D37">
      <w:pPr>
        <w:pStyle w:val="TextoNormal"/>
      </w:pPr>
    </w:p>
    <w:p w14:paraId="3E6C6498" w14:textId="48C16C8B" w:rsidR="00B35D37" w:rsidRDefault="00B35D37" w:rsidP="00B35D37">
      <w:pPr>
        <w:pStyle w:val="TextoNormal"/>
      </w:pPr>
      <w:r>
        <w:t>En consecuencia, hemos de concluir que la cuestión, en los términos en los que ha sido formulada, es notoriamente infundada, “sin que ello signifique un juicio peyorativo sobre la duda de constitucionalidad trasladada por el órgano judicial” (entre otros ATC 8/2019, de 12 de febrero, FJ 2).</w:t>
      </w:r>
    </w:p>
    <w:p w14:paraId="763F7CDC" w14:textId="77777777" w:rsidR="00B35D37" w:rsidRDefault="00B35D37" w:rsidP="00B35D37">
      <w:pPr>
        <w:pStyle w:val="TextoNormal"/>
      </w:pPr>
    </w:p>
    <w:p w14:paraId="569252B0" w14:textId="77777777" w:rsidR="00B35D37" w:rsidRDefault="00B35D37" w:rsidP="00B35D37">
      <w:pPr>
        <w:pStyle w:val="TextoNormal"/>
      </w:pPr>
      <w:r>
        <w:t>Por lo expuesto, el Pleno</w:t>
      </w:r>
    </w:p>
    <w:p w14:paraId="07919608" w14:textId="773565E1" w:rsidR="00B35D37" w:rsidRDefault="00B35D37" w:rsidP="00B35D37">
      <w:pPr>
        <w:pStyle w:val="TextoNormal"/>
      </w:pPr>
    </w:p>
    <w:p w14:paraId="5A98199C" w14:textId="77777777" w:rsidR="00B35D37" w:rsidRDefault="00B35D37" w:rsidP="00B35D37">
      <w:pPr>
        <w:pStyle w:val="TextoNormalCentrado"/>
      </w:pPr>
      <w:r>
        <w:t>ACUERDA</w:t>
      </w:r>
    </w:p>
    <w:p w14:paraId="3AB3B657" w14:textId="1B670784" w:rsidR="00B35D37" w:rsidRDefault="00B35D37" w:rsidP="00B35D37">
      <w:pPr>
        <w:pStyle w:val="TextoNormalCentrado"/>
      </w:pPr>
    </w:p>
    <w:p w14:paraId="369F2EF7" w14:textId="13D998E4" w:rsidR="00B35D37" w:rsidRDefault="00B35D37" w:rsidP="00B35D37">
      <w:pPr>
        <w:pStyle w:val="TextoNormal"/>
      </w:pPr>
      <w:r>
        <w:t>Inadmitir a trámite la presente cuestión de inconstitucionalidad.</w:t>
      </w:r>
    </w:p>
    <w:p w14:paraId="171192BF" w14:textId="77777777" w:rsidR="00B35D37" w:rsidRDefault="00B35D37" w:rsidP="00B35D37">
      <w:pPr>
        <w:pStyle w:val="TextoNormal"/>
      </w:pPr>
    </w:p>
    <w:p w14:paraId="09945C79" w14:textId="77777777" w:rsidR="00B35D37" w:rsidRDefault="00B35D37" w:rsidP="00B35D37">
      <w:pPr>
        <w:pStyle w:val="TextoNormal"/>
      </w:pPr>
      <w:r>
        <w:t>Madrid, a once de marzo de dos mil veinticinco.</w:t>
      </w:r>
    </w:p>
    <w:p w14:paraId="3BE97EE4" w14:textId="07B5C8B9" w:rsidR="00B35D37" w:rsidRDefault="00B35D37">
      <w:pPr>
        <w:spacing w:after="160" w:line="278" w:lineRule="auto"/>
        <w:rPr>
          <w:rFonts w:ascii="Times New Roman" w:eastAsia="Times New Roman" w:hAnsi="Times New Roman" w:cs="Times New Roman"/>
          <w:sz w:val="24"/>
          <w:szCs w:val="24"/>
          <w:lang w:eastAsia="es-ES"/>
        </w:rPr>
      </w:pPr>
      <w:r>
        <w:br w:type="page"/>
      </w:r>
    </w:p>
    <w:p w14:paraId="3C40A3AB" w14:textId="77777777" w:rsidR="00B35D37" w:rsidRDefault="00B35D37" w:rsidP="00B35D37">
      <w:pPr>
        <w:pStyle w:val="TtuloResolucin"/>
      </w:pPr>
      <w:bookmarkStart w:id="164" w:name="AUTO_2025_25"/>
      <w:r>
        <w:t>AUTO 25/2025, de 11 de marzo de 2025</w:t>
      </w:r>
    </w:p>
    <w:bookmarkEnd w:id="164"/>
    <w:p w14:paraId="34E5A2D7" w14:textId="77777777" w:rsidR="00B35D37" w:rsidRDefault="00B35D37" w:rsidP="00B35D37">
      <w:pPr>
        <w:pStyle w:val="TtuloResolucin"/>
      </w:pPr>
      <w:r>
        <w:t>Pleno</w:t>
      </w:r>
    </w:p>
    <w:p w14:paraId="72A5B6A9" w14:textId="77777777" w:rsidR="00B35D37" w:rsidRDefault="00B35D37" w:rsidP="00B35D37">
      <w:pPr>
        <w:pStyle w:val="TextoNormalCentrado"/>
      </w:pPr>
      <w:r>
        <w:t>ECLI:ES:TC:2025:25A</w:t>
      </w:r>
    </w:p>
    <w:p w14:paraId="174A93A0" w14:textId="230E3220" w:rsidR="00B35D37" w:rsidRDefault="00B35D37" w:rsidP="00B35D37">
      <w:pPr>
        <w:pStyle w:val="TextoNormalCentrado"/>
      </w:pPr>
    </w:p>
    <w:p w14:paraId="6078026A"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EDB829B" w14:textId="16373EFC" w:rsidR="00B35D37" w:rsidRDefault="00B35D37" w:rsidP="00B35D37">
      <w:pPr>
        <w:pStyle w:val="SntesisDescriptiva"/>
      </w:pPr>
    </w:p>
    <w:p w14:paraId="725FF927" w14:textId="77777777" w:rsidR="00B35D37" w:rsidRDefault="00B35D37" w:rsidP="00B35D37">
      <w:pPr>
        <w:pStyle w:val="SntesisDescriptiva"/>
      </w:pPr>
      <w:r>
        <w:t>Acepta una abstención en el recurso de amparo 7379-2024, promovido por doña Dolores Delgado García en proceso contencioso administrativo.</w:t>
      </w:r>
    </w:p>
    <w:p w14:paraId="3A16BD09" w14:textId="155ED6B7" w:rsidR="00B35D37" w:rsidRDefault="00B35D37" w:rsidP="00B35D37">
      <w:pPr>
        <w:pStyle w:val="SntesisDescriptiva"/>
      </w:pPr>
    </w:p>
    <w:p w14:paraId="2A9AD9A0" w14:textId="77777777" w:rsidR="00B35D37" w:rsidRDefault="00B35D37" w:rsidP="00B35D37">
      <w:pPr>
        <w:pStyle w:val="SntesisDescriptiva"/>
      </w:pPr>
    </w:p>
    <w:p w14:paraId="185DE38E" w14:textId="77777777" w:rsidR="00B35D37" w:rsidRDefault="00B35D37" w:rsidP="00B35D37">
      <w:pPr>
        <w:pStyle w:val="SntesisDescriptiva"/>
      </w:pPr>
    </w:p>
    <w:p w14:paraId="6048FE5A" w14:textId="77777777" w:rsidR="00B35D37" w:rsidRDefault="00B35D37" w:rsidP="00B35D37">
      <w:pPr>
        <w:pStyle w:val="TextoNormalNegritaCentrado"/>
      </w:pPr>
      <w:r>
        <w:t>AUTO</w:t>
      </w:r>
    </w:p>
    <w:p w14:paraId="1B97AC46" w14:textId="24B8CACE" w:rsidR="00B35D37" w:rsidRDefault="00B35D37" w:rsidP="00B35D37">
      <w:pPr>
        <w:pStyle w:val="TextoNormalNegritaCentrado"/>
      </w:pPr>
    </w:p>
    <w:p w14:paraId="772CC8F4" w14:textId="77777777" w:rsidR="00B35D37" w:rsidRDefault="00B35D37" w:rsidP="00B35D37">
      <w:pPr>
        <w:pStyle w:val="TextoNormalNegritaCentrado"/>
        <w:keepNext/>
      </w:pPr>
      <w:r>
        <w:t>I. Antecedentes</w:t>
      </w:r>
    </w:p>
    <w:p w14:paraId="40638F54" w14:textId="467E526C" w:rsidR="00B35D37" w:rsidRDefault="00B35D37" w:rsidP="00B35D37">
      <w:pPr>
        <w:pStyle w:val="TextoNormalNegritaCentrado"/>
        <w:keepNext/>
      </w:pPr>
    </w:p>
    <w:p w14:paraId="182E1D4A" w14:textId="2641979F" w:rsidR="00B35D37" w:rsidRDefault="00B35D37" w:rsidP="00B35D37">
      <w:pPr>
        <w:pStyle w:val="TextoNormal"/>
      </w:pPr>
      <w:r w:rsidRPr="00B35D37">
        <w:rPr>
          <w:rStyle w:val="NumeroAFNegritaCaracter"/>
        </w:rPr>
        <w:t>1</w:t>
      </w:r>
      <w:r>
        <w:t>. Mediante escrito presentado en el registro general de este tribunal el 2 de octubre de 2024, la representación procesal de doña Dolores Delgado García interpuso recurso de amparo contra: (i) la sentencia de la Sección Cuarta de la Sala de lo Contencioso-Administrativo del Tribunal Supremo núm. 974/2024, de 4 de junio, y (ii) la providencia del mismo órgano judicial de 18 de julio de 2024, que inadmite el incidente de nulidad de actuaciones interpuesto frente a la citada sentencia.</w:t>
      </w:r>
    </w:p>
    <w:p w14:paraId="04061CD3" w14:textId="77777777" w:rsidR="00B35D37" w:rsidRDefault="00B35D37" w:rsidP="00B35D37">
      <w:pPr>
        <w:pStyle w:val="TextoNormal"/>
      </w:pPr>
    </w:p>
    <w:p w14:paraId="5B21F0CC" w14:textId="77777777" w:rsidR="00B35D37" w:rsidRDefault="00B35D37" w:rsidP="00B35D37">
      <w:pPr>
        <w:pStyle w:val="TextoNormal"/>
      </w:pPr>
      <w:r w:rsidRPr="00B35D37">
        <w:rPr>
          <w:rStyle w:val="NumeroAFNegritaCaracter"/>
        </w:rPr>
        <w:t>2</w:t>
      </w:r>
      <w:r>
        <w:t>. El 3 de marzo de 2025, el magistrado don Cándido Conde-Pumpido Tourón presentó escrito en el que pone en conocimiento del Pleno de este tribunal su voluntad de abstenerse de intervenir en el conocimiento del recurso de amparo núm. 7379-2024 a fin de garantizar el derecho a un proceso con todas las garantías de quienes son parte o se ven afectados por el contenido de la resolución cuestionada en el proceso de amparo.</w:t>
      </w:r>
    </w:p>
    <w:p w14:paraId="19FBD071" w14:textId="77777777" w:rsidR="00B35D37" w:rsidRDefault="00B35D37" w:rsidP="00B35D37">
      <w:pPr>
        <w:pStyle w:val="TextoNormal"/>
      </w:pPr>
    </w:p>
    <w:p w14:paraId="1EF1DC9A" w14:textId="408DDBCE" w:rsidR="00B35D37" w:rsidRDefault="00B35D37" w:rsidP="00B35D37">
      <w:pPr>
        <w:pStyle w:val="TextoNormal"/>
      </w:pPr>
      <w:r>
        <w:t>Señala el magistrado señor Conde-Pumpido que habiendo sido aceptada su abstención en los asuntos 7433-2023 y 1670-2024, por concurrencia de la causa recogida en el apartado duodécimo del art. 219 de la Ley Orgánica del Poder Judicial (LOPJ), y concurriendo la misma causa en el recurso de amparo 7379-2024, ha decidido abstenerse igualmente del conocimiento de este último.</w:t>
      </w:r>
    </w:p>
    <w:p w14:paraId="44C1FC88" w14:textId="77777777" w:rsidR="00B35D37" w:rsidRDefault="00B35D37" w:rsidP="00B35D37">
      <w:pPr>
        <w:pStyle w:val="TextoNormal"/>
      </w:pPr>
    </w:p>
    <w:p w14:paraId="571CF0EB" w14:textId="77777777" w:rsidR="00B35D37" w:rsidRDefault="00B35D37" w:rsidP="00B35D37">
      <w:pPr>
        <w:pStyle w:val="TextoNormalNegritaCentrado"/>
        <w:keepNext/>
      </w:pPr>
      <w:r>
        <w:t>II. Fundamentos jurídicos</w:t>
      </w:r>
    </w:p>
    <w:p w14:paraId="1B00BC2D" w14:textId="063FC2B3" w:rsidR="00B35D37" w:rsidRDefault="00B35D37" w:rsidP="00B35D37">
      <w:pPr>
        <w:pStyle w:val="TextoNormalNegritaCentrado"/>
        <w:keepNext/>
      </w:pPr>
    </w:p>
    <w:p w14:paraId="7026A243" w14:textId="152BCBF8" w:rsidR="00B35D37" w:rsidRDefault="00B35D37" w:rsidP="00B35D37">
      <w:pPr>
        <w:pStyle w:val="TextoNormal"/>
      </w:pPr>
      <w:r w:rsidRPr="00B35D37">
        <w:rPr>
          <w:rStyle w:val="NumeroAFNegritaCaracter"/>
        </w:rPr>
        <w:t>1</w:t>
      </w:r>
      <w:r>
        <w:t>. El Pleno ha examinado el escrito presentado por el magistrado don Cándido Conde-Pumpido Tourón el 3 de marzo de 2025, en el que comunica su voluntad de abstenerse.</w:t>
      </w:r>
    </w:p>
    <w:p w14:paraId="4D85D0BE" w14:textId="77777777" w:rsidR="00B35D37" w:rsidRDefault="00B35D37" w:rsidP="00B35D37">
      <w:pPr>
        <w:pStyle w:val="TextoNormal"/>
      </w:pPr>
    </w:p>
    <w:p w14:paraId="76363059" w14:textId="7CD45A23" w:rsidR="00B35D37" w:rsidRDefault="00B35D37" w:rsidP="00B35D37">
      <w:pPr>
        <w:pStyle w:val="TextoNormal"/>
      </w:pPr>
      <w:r w:rsidRPr="00B35D37">
        <w:rPr>
          <w:rStyle w:val="NumeroAFNegritaCaracter"/>
        </w:rPr>
        <w:t>2</w:t>
      </w:r>
      <w:r>
        <w:t>.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14:paraId="131D711F" w14:textId="77777777" w:rsidR="00B35D37" w:rsidRDefault="00B35D37" w:rsidP="00B35D37">
      <w:pPr>
        <w:pStyle w:val="TextoNormal"/>
      </w:pPr>
    </w:p>
    <w:p w14:paraId="7CB8F78D" w14:textId="77777777" w:rsidR="00B35D37" w:rsidRDefault="00B35D37" w:rsidP="00B35D37">
      <w:pPr>
        <w:pStyle w:val="TextoNormal"/>
      </w:pPr>
      <w:r>
        <w:t>Por lo expuesto, el Pleno</w:t>
      </w:r>
    </w:p>
    <w:p w14:paraId="125E4655" w14:textId="45BCF2BC" w:rsidR="00B35D37" w:rsidRDefault="00B35D37" w:rsidP="00B35D37">
      <w:pPr>
        <w:pStyle w:val="TextoNormal"/>
      </w:pPr>
    </w:p>
    <w:p w14:paraId="62D51252" w14:textId="77777777" w:rsidR="00B35D37" w:rsidRDefault="00B35D37" w:rsidP="00B35D37">
      <w:pPr>
        <w:pStyle w:val="TextoNormalCentrado"/>
      </w:pPr>
      <w:r>
        <w:t>ACUERDA</w:t>
      </w:r>
    </w:p>
    <w:p w14:paraId="384823B2" w14:textId="428E2959" w:rsidR="00B35D37" w:rsidRDefault="00B35D37" w:rsidP="00B35D37">
      <w:pPr>
        <w:pStyle w:val="TextoNormalCentrado"/>
      </w:pPr>
    </w:p>
    <w:p w14:paraId="6B6F5398" w14:textId="28E6F04C" w:rsidR="00B35D37" w:rsidRDefault="00B35D37" w:rsidP="00B35D37">
      <w:pPr>
        <w:pStyle w:val="TextoNormal"/>
      </w:pPr>
      <w:r>
        <w:t>Aceptar la abstención formulada por el magistrado don Cándido Conde-Pumpido Tourón en el recurso de amparo núm. 7379-2024 apartándole definitivamente del conocimiento del referido recurso y de todas sus incidencias.</w:t>
      </w:r>
    </w:p>
    <w:p w14:paraId="349FD2F0" w14:textId="77777777" w:rsidR="00B35D37" w:rsidRDefault="00B35D37" w:rsidP="00B35D37">
      <w:pPr>
        <w:pStyle w:val="TextoNormal"/>
      </w:pPr>
    </w:p>
    <w:p w14:paraId="3F3AD4A7" w14:textId="77777777" w:rsidR="00B35D37" w:rsidRDefault="00B35D37" w:rsidP="00B35D37">
      <w:pPr>
        <w:pStyle w:val="TextoNormal"/>
      </w:pPr>
      <w:r>
        <w:t>Madrid, a once de marzo de dos mil veinticinco.</w:t>
      </w:r>
    </w:p>
    <w:p w14:paraId="5910474A" w14:textId="608BD74B" w:rsidR="00B35D37" w:rsidRDefault="00B35D37">
      <w:pPr>
        <w:spacing w:after="160" w:line="278" w:lineRule="auto"/>
        <w:rPr>
          <w:rFonts w:ascii="Times New Roman" w:eastAsia="Times New Roman" w:hAnsi="Times New Roman" w:cs="Times New Roman"/>
          <w:sz w:val="24"/>
          <w:szCs w:val="24"/>
          <w:lang w:eastAsia="es-ES"/>
        </w:rPr>
      </w:pPr>
      <w:r>
        <w:br w:type="page"/>
      </w:r>
    </w:p>
    <w:p w14:paraId="06BEB8E9" w14:textId="77777777" w:rsidR="00B35D37" w:rsidRDefault="00B35D37" w:rsidP="00B35D37">
      <w:pPr>
        <w:pStyle w:val="TtuloResolucin"/>
      </w:pPr>
      <w:bookmarkStart w:id="165" w:name="AUTO_2025_26"/>
      <w:r>
        <w:t>AUTO 26/2025, de 11 de marzo de 2025</w:t>
      </w:r>
    </w:p>
    <w:bookmarkEnd w:id="165"/>
    <w:p w14:paraId="524A65EE" w14:textId="77777777" w:rsidR="00B35D37" w:rsidRDefault="00B35D37" w:rsidP="00B35D37">
      <w:pPr>
        <w:pStyle w:val="TtuloResolucin"/>
      </w:pPr>
      <w:r>
        <w:t>Pleno</w:t>
      </w:r>
    </w:p>
    <w:p w14:paraId="3F5CBF23" w14:textId="77777777" w:rsidR="00B35D37" w:rsidRDefault="00B35D37" w:rsidP="00B35D37">
      <w:pPr>
        <w:pStyle w:val="TextoNormalCentrado"/>
      </w:pPr>
      <w:r>
        <w:t>ECLI:ES:TC:2025:26A</w:t>
      </w:r>
    </w:p>
    <w:p w14:paraId="143C11C9" w14:textId="5F82FE25" w:rsidR="00B35D37" w:rsidRDefault="00B35D37" w:rsidP="00B35D37">
      <w:pPr>
        <w:pStyle w:val="TextoNormalCentrado"/>
      </w:pPr>
    </w:p>
    <w:p w14:paraId="049F72F0"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4D650D43" w14:textId="6BED2B35" w:rsidR="00B35D37" w:rsidRDefault="00B35D37" w:rsidP="00B35D37">
      <w:pPr>
        <w:pStyle w:val="SntesisDescriptiva"/>
      </w:pPr>
    </w:p>
    <w:p w14:paraId="680C7976" w14:textId="77777777" w:rsidR="00B35D37" w:rsidRDefault="00B35D37" w:rsidP="00B35D37">
      <w:pPr>
        <w:pStyle w:val="SntesisDescriptiva"/>
      </w:pPr>
      <w:r>
        <w:t>Acepta una abstención en el recurso de amparo 7380-2024, promovido por doña Dolores Delgado García en proceso contencioso administrativo.</w:t>
      </w:r>
    </w:p>
    <w:p w14:paraId="2A992A0A" w14:textId="50EE7BB4" w:rsidR="00B35D37" w:rsidRDefault="00B35D37" w:rsidP="00B35D37">
      <w:pPr>
        <w:pStyle w:val="SntesisDescriptiva"/>
      </w:pPr>
    </w:p>
    <w:p w14:paraId="2EA2F6FE" w14:textId="77777777" w:rsidR="00B35D37" w:rsidRDefault="00B35D37" w:rsidP="00B35D37">
      <w:pPr>
        <w:pStyle w:val="SntesisDescriptiva"/>
      </w:pPr>
    </w:p>
    <w:p w14:paraId="004DEFB3" w14:textId="77777777" w:rsidR="00B35D37" w:rsidRDefault="00B35D37" w:rsidP="00B35D37">
      <w:pPr>
        <w:pStyle w:val="SntesisDescriptiva"/>
      </w:pPr>
    </w:p>
    <w:p w14:paraId="6675A49A" w14:textId="77777777" w:rsidR="00B35D37" w:rsidRDefault="00B35D37" w:rsidP="00B35D37">
      <w:pPr>
        <w:pStyle w:val="TextoNormalNegritaCentrado"/>
      </w:pPr>
      <w:r>
        <w:t>AUTO</w:t>
      </w:r>
    </w:p>
    <w:p w14:paraId="3700546E" w14:textId="22B3CABE" w:rsidR="00B35D37" w:rsidRDefault="00B35D37" w:rsidP="00B35D37">
      <w:pPr>
        <w:pStyle w:val="TextoNormalNegritaCentrado"/>
      </w:pPr>
    </w:p>
    <w:p w14:paraId="7CC8AA11" w14:textId="77777777" w:rsidR="00B35D37" w:rsidRDefault="00B35D37" w:rsidP="00B35D37">
      <w:pPr>
        <w:pStyle w:val="TextoNormalNegritaCentrado"/>
        <w:keepNext/>
      </w:pPr>
      <w:r>
        <w:t>I. Antecedentes</w:t>
      </w:r>
    </w:p>
    <w:p w14:paraId="45FB5320" w14:textId="55B0DAD9" w:rsidR="00B35D37" w:rsidRDefault="00B35D37" w:rsidP="00B35D37">
      <w:pPr>
        <w:pStyle w:val="TextoNormalNegritaCentrado"/>
        <w:keepNext/>
      </w:pPr>
    </w:p>
    <w:p w14:paraId="730B3B19" w14:textId="0D6C34ED" w:rsidR="00B35D37" w:rsidRDefault="00B35D37" w:rsidP="00B35D37">
      <w:pPr>
        <w:pStyle w:val="TextoNormal"/>
      </w:pPr>
      <w:r w:rsidRPr="00B35D37">
        <w:rPr>
          <w:rStyle w:val="NumeroAFNegritaCaracter"/>
        </w:rPr>
        <w:t>1</w:t>
      </w:r>
      <w:r>
        <w:t>. Mediante escrito presentado en el registro general de este tribunal el 2 de octubre de 2024, la representación procesal de doña Dolores Delgado García interpuso recurso de amparo contra: (i) la sentencia de la Sección Cuarta de la Sala de lo Contencioso-Administrativo del Tribunal Supremo núm. 886/2024, de 22 de mayo, y (ii) la providencia del mismo órgano judicial de 18 de julio de 2024, que inadmite el incidente de nulidad de actuaciones interpuesto frente a la citada sentencia.</w:t>
      </w:r>
    </w:p>
    <w:p w14:paraId="5CB0C1FF" w14:textId="77777777" w:rsidR="00B35D37" w:rsidRDefault="00B35D37" w:rsidP="00B35D37">
      <w:pPr>
        <w:pStyle w:val="TextoNormal"/>
      </w:pPr>
    </w:p>
    <w:p w14:paraId="1ACA70DD" w14:textId="77777777" w:rsidR="00B35D37" w:rsidRDefault="00B35D37" w:rsidP="00B35D37">
      <w:pPr>
        <w:pStyle w:val="TextoNormal"/>
      </w:pPr>
      <w:r w:rsidRPr="00B35D37">
        <w:rPr>
          <w:rStyle w:val="NumeroAFNegritaCaracter"/>
        </w:rPr>
        <w:t>2</w:t>
      </w:r>
      <w:r>
        <w:t>. El 3 de marzo de 2025, el magistrado don Cándido Conde-Pumpido Tourón presentó escrito en el que pone en conocimiento del Pleno de este tribunal su voluntad de abstenerse de intervenir en el conocimiento del recurso de amparo núm. 7380-2024 a fin de garantizar el derecho a un proceso con todas las garantías de quienes son parte o se ven afectados por el contenido de la resolución cuestionada en el proceso de amparo.</w:t>
      </w:r>
    </w:p>
    <w:p w14:paraId="5720545F" w14:textId="77777777" w:rsidR="00B35D37" w:rsidRDefault="00B35D37" w:rsidP="00B35D37">
      <w:pPr>
        <w:pStyle w:val="TextoNormal"/>
      </w:pPr>
    </w:p>
    <w:p w14:paraId="54F75700" w14:textId="0EA83683" w:rsidR="00B35D37" w:rsidRDefault="00B35D37" w:rsidP="00B35D37">
      <w:pPr>
        <w:pStyle w:val="TextoNormal"/>
      </w:pPr>
      <w:r>
        <w:t>Señala el magistrado señor Conde-Pumpido que habiendo sido aceptada su abstención en los asuntos 7433-2023 y 1670-2024, por concurrencia de la causa recogida en el apartado duodécimo del art. 219 de la Ley Orgánica del Poder Judicial (LOPJ), y concurriendo la misma causa en el recurso de amparo 7380-2024, ha decidido abstenerse igualmente del conocimiento de este último.</w:t>
      </w:r>
    </w:p>
    <w:p w14:paraId="3F371B05" w14:textId="77777777" w:rsidR="00B35D37" w:rsidRDefault="00B35D37" w:rsidP="00B35D37">
      <w:pPr>
        <w:pStyle w:val="TextoNormal"/>
      </w:pPr>
    </w:p>
    <w:p w14:paraId="01FA54A3" w14:textId="77777777" w:rsidR="00B35D37" w:rsidRDefault="00B35D37" w:rsidP="00B35D37">
      <w:pPr>
        <w:pStyle w:val="TextoNormalNegritaCentrado"/>
        <w:keepNext/>
      </w:pPr>
      <w:r>
        <w:t>II. Fundamentos jurídicos</w:t>
      </w:r>
    </w:p>
    <w:p w14:paraId="68FD1257" w14:textId="4FB5869F" w:rsidR="00B35D37" w:rsidRDefault="00B35D37" w:rsidP="00B35D37">
      <w:pPr>
        <w:pStyle w:val="TextoNormalNegritaCentrado"/>
        <w:keepNext/>
      </w:pPr>
    </w:p>
    <w:p w14:paraId="43DB2847" w14:textId="49A4F2C0" w:rsidR="00B35D37" w:rsidRDefault="00B35D37" w:rsidP="00B35D37">
      <w:pPr>
        <w:pStyle w:val="TextoNormal"/>
      </w:pPr>
      <w:r w:rsidRPr="00B35D37">
        <w:rPr>
          <w:rStyle w:val="NumeroAFNegritaCaracter"/>
        </w:rPr>
        <w:t>1</w:t>
      </w:r>
      <w:r>
        <w:t>. El Pleno ha examinado el escrito presentado por el magistrado don Cándido Conde-Pumpido Tourón el 3 de marzo de 2025, en el que comunica su voluntad de abstenerse.</w:t>
      </w:r>
    </w:p>
    <w:p w14:paraId="4E1C569F" w14:textId="77777777" w:rsidR="00B35D37" w:rsidRDefault="00B35D37" w:rsidP="00B35D37">
      <w:pPr>
        <w:pStyle w:val="TextoNormal"/>
      </w:pPr>
    </w:p>
    <w:p w14:paraId="543E14F8" w14:textId="4E410E24" w:rsidR="00B35D37" w:rsidRDefault="00B35D37" w:rsidP="00B35D37">
      <w:pPr>
        <w:pStyle w:val="TextoNormal"/>
      </w:pPr>
      <w:r w:rsidRPr="00B35D37">
        <w:rPr>
          <w:rStyle w:val="NumeroAFNegritaCaracter"/>
        </w:rPr>
        <w:t>2</w:t>
      </w:r>
      <w:r>
        <w:t>.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14:paraId="1376AA21" w14:textId="77777777" w:rsidR="00B35D37" w:rsidRDefault="00B35D37" w:rsidP="00B35D37">
      <w:pPr>
        <w:pStyle w:val="TextoNormal"/>
      </w:pPr>
    </w:p>
    <w:p w14:paraId="63C3B74D" w14:textId="77777777" w:rsidR="00B35D37" w:rsidRDefault="00B35D37" w:rsidP="00B35D37">
      <w:pPr>
        <w:pStyle w:val="TextoNormal"/>
      </w:pPr>
      <w:r>
        <w:t>Por lo expuesto, el Pleno</w:t>
      </w:r>
    </w:p>
    <w:p w14:paraId="489C12F0" w14:textId="268F552F" w:rsidR="00B35D37" w:rsidRDefault="00B35D37" w:rsidP="00B35D37">
      <w:pPr>
        <w:pStyle w:val="TextoNormal"/>
      </w:pPr>
    </w:p>
    <w:p w14:paraId="72C987DE" w14:textId="77777777" w:rsidR="00B35D37" w:rsidRDefault="00B35D37" w:rsidP="00B35D37">
      <w:pPr>
        <w:pStyle w:val="TextoNormalCentrado"/>
      </w:pPr>
      <w:r>
        <w:t>ACUERDA</w:t>
      </w:r>
    </w:p>
    <w:p w14:paraId="6D85FBDB" w14:textId="481BEFC1" w:rsidR="00B35D37" w:rsidRDefault="00B35D37" w:rsidP="00B35D37">
      <w:pPr>
        <w:pStyle w:val="TextoNormalCentrado"/>
      </w:pPr>
    </w:p>
    <w:p w14:paraId="61415DB3" w14:textId="23B48860" w:rsidR="00B35D37" w:rsidRDefault="00B35D37" w:rsidP="00B35D37">
      <w:pPr>
        <w:pStyle w:val="TextoNormal"/>
      </w:pPr>
      <w:r>
        <w:t>Aceptar la abstención formulada por el magistrado don Cándido Conde-Pumpido Tourón en el recurso de amparo núm. 7380-2024 apartándole definitivamente del conocimiento del referido recurso y de todas sus incidencias.</w:t>
      </w:r>
    </w:p>
    <w:p w14:paraId="461C292C" w14:textId="77777777" w:rsidR="00B35D37" w:rsidRDefault="00B35D37" w:rsidP="00B35D37">
      <w:pPr>
        <w:pStyle w:val="TextoNormal"/>
      </w:pPr>
    </w:p>
    <w:p w14:paraId="2D925114" w14:textId="77777777" w:rsidR="00B35D37" w:rsidRDefault="00B35D37" w:rsidP="00B35D37">
      <w:pPr>
        <w:pStyle w:val="TextoNormal"/>
      </w:pPr>
      <w:r>
        <w:t>Madrid, a once de marzo de dos mil veinticinco.</w:t>
      </w:r>
    </w:p>
    <w:p w14:paraId="03CBED1C" w14:textId="4153FB80" w:rsidR="00B35D37" w:rsidRDefault="00B35D37">
      <w:pPr>
        <w:spacing w:after="160" w:line="278" w:lineRule="auto"/>
        <w:rPr>
          <w:rFonts w:ascii="Times New Roman" w:eastAsia="Times New Roman" w:hAnsi="Times New Roman" w:cs="Times New Roman"/>
          <w:sz w:val="24"/>
          <w:szCs w:val="24"/>
          <w:lang w:eastAsia="es-ES"/>
        </w:rPr>
      </w:pPr>
      <w:r>
        <w:br w:type="page"/>
      </w:r>
    </w:p>
    <w:p w14:paraId="5C0FBC53" w14:textId="77777777" w:rsidR="00B35D37" w:rsidRDefault="00B35D37" w:rsidP="00B35D37">
      <w:pPr>
        <w:pStyle w:val="TtuloResolucin"/>
      </w:pPr>
      <w:bookmarkStart w:id="166" w:name="AUTO_2025_27"/>
      <w:r>
        <w:t>AUTO 27/2025, de 11 de marzo de 2025</w:t>
      </w:r>
    </w:p>
    <w:bookmarkEnd w:id="166"/>
    <w:p w14:paraId="39D6EC41" w14:textId="77777777" w:rsidR="00B35D37" w:rsidRDefault="00B35D37" w:rsidP="00B35D37">
      <w:pPr>
        <w:pStyle w:val="TtuloResolucin"/>
      </w:pPr>
      <w:r>
        <w:t>Pleno</w:t>
      </w:r>
    </w:p>
    <w:p w14:paraId="63ACBC17" w14:textId="77777777" w:rsidR="00B35D37" w:rsidRDefault="00B35D37" w:rsidP="00B35D37">
      <w:pPr>
        <w:pStyle w:val="TextoNormalCentrado"/>
      </w:pPr>
      <w:r>
        <w:t>ECLI:ES:TC:2025:27A</w:t>
      </w:r>
    </w:p>
    <w:p w14:paraId="74E6AFC3" w14:textId="50F1B4AA" w:rsidR="00B35D37" w:rsidRDefault="00B35D37" w:rsidP="00B35D37">
      <w:pPr>
        <w:pStyle w:val="TextoNormalCentrado"/>
      </w:pPr>
    </w:p>
    <w:p w14:paraId="31238CCE"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238A1BB2" w14:textId="55CCE96B" w:rsidR="00B35D37" w:rsidRDefault="00B35D37" w:rsidP="00B35D37">
      <w:pPr>
        <w:pStyle w:val="SntesisDescriptiva"/>
      </w:pPr>
    </w:p>
    <w:p w14:paraId="11A03386" w14:textId="77777777" w:rsidR="00B35D37" w:rsidRDefault="00B35D37" w:rsidP="00B35D37">
      <w:pPr>
        <w:pStyle w:val="SntesisDescriptiva"/>
      </w:pPr>
      <w:r>
        <w:t>Acepta una abstención en el recurso de amparo 7383-2024, promovido por doña Dolores Delgado García en proceso contencioso administrativo.</w:t>
      </w:r>
    </w:p>
    <w:p w14:paraId="2E698960" w14:textId="21C80623" w:rsidR="00B35D37" w:rsidRDefault="00B35D37" w:rsidP="00B35D37">
      <w:pPr>
        <w:pStyle w:val="SntesisDescriptiva"/>
      </w:pPr>
    </w:p>
    <w:p w14:paraId="00D7B824" w14:textId="77777777" w:rsidR="00B35D37" w:rsidRDefault="00B35D37" w:rsidP="00B35D37">
      <w:pPr>
        <w:pStyle w:val="SntesisDescriptiva"/>
      </w:pPr>
    </w:p>
    <w:p w14:paraId="55BB5AE7" w14:textId="77777777" w:rsidR="00B35D37" w:rsidRDefault="00B35D37" w:rsidP="00B35D37">
      <w:pPr>
        <w:pStyle w:val="SntesisDescriptiva"/>
      </w:pPr>
    </w:p>
    <w:p w14:paraId="11A13805" w14:textId="77777777" w:rsidR="00B35D37" w:rsidRDefault="00B35D37" w:rsidP="00B35D37">
      <w:pPr>
        <w:pStyle w:val="TextoNormalNegritaCentrado"/>
      </w:pPr>
      <w:r>
        <w:t>AUTO</w:t>
      </w:r>
    </w:p>
    <w:p w14:paraId="4BC58282" w14:textId="732C9D73" w:rsidR="00B35D37" w:rsidRDefault="00B35D37" w:rsidP="00B35D37">
      <w:pPr>
        <w:pStyle w:val="TextoNormalNegritaCentrado"/>
      </w:pPr>
    </w:p>
    <w:p w14:paraId="316ABFFF" w14:textId="77777777" w:rsidR="00B35D37" w:rsidRDefault="00B35D37" w:rsidP="00B35D37">
      <w:pPr>
        <w:pStyle w:val="TextoNormalNegritaCentrado"/>
        <w:keepNext/>
      </w:pPr>
      <w:r>
        <w:t>I. Antecedentes</w:t>
      </w:r>
    </w:p>
    <w:p w14:paraId="188B71EE" w14:textId="389E713B" w:rsidR="00B35D37" w:rsidRDefault="00B35D37" w:rsidP="00B35D37">
      <w:pPr>
        <w:pStyle w:val="TextoNormalNegritaCentrado"/>
        <w:keepNext/>
      </w:pPr>
    </w:p>
    <w:p w14:paraId="7F3B2954" w14:textId="6B13C0B5" w:rsidR="00B35D37" w:rsidRDefault="00B35D37" w:rsidP="00B35D37">
      <w:pPr>
        <w:pStyle w:val="TextoNormal"/>
      </w:pPr>
      <w:r w:rsidRPr="00B35D37">
        <w:rPr>
          <w:rStyle w:val="NumeroAFNegritaCaracter"/>
        </w:rPr>
        <w:t>1</w:t>
      </w:r>
      <w:r>
        <w:t>. Mediante escrito presentado en el registro general de este tribunal el 2 de octubre de 2024, la representación procesal de doña Dolores Delgado García interpuso recurso de amparo contra: (i) la sentencia de la Sección Cuarta de la Sala de lo Contencioso-Administrativo del Tribunal Supremo núm. 873/2024, de 21 de mayo, y (ii) la providencia del mismo órgano judicial de 18 de julio de 2024, que inadmite el incidente de nulidad de actuaciones interpuesto frente a la citada sentencia.</w:t>
      </w:r>
    </w:p>
    <w:p w14:paraId="51AC8DB0" w14:textId="77777777" w:rsidR="00B35D37" w:rsidRDefault="00B35D37" w:rsidP="00B35D37">
      <w:pPr>
        <w:pStyle w:val="TextoNormal"/>
      </w:pPr>
    </w:p>
    <w:p w14:paraId="382C65EB" w14:textId="77777777" w:rsidR="00B35D37" w:rsidRDefault="00B35D37" w:rsidP="00B35D37">
      <w:pPr>
        <w:pStyle w:val="TextoNormal"/>
      </w:pPr>
      <w:r w:rsidRPr="00B35D37">
        <w:rPr>
          <w:rStyle w:val="NumeroAFNegritaCaracter"/>
        </w:rPr>
        <w:t>2</w:t>
      </w:r>
      <w:r>
        <w:t>. El 3 de marzo de 2025, el magistrado don Cándido Conde-Pumpido Tourón presentó escrito en el que pone en conocimiento del Pleno de este tribunal su voluntad de abstenerse de intervenir en el conocimiento del recurso de amparo núm. 7383-2024 a fin de garantizar el derecho a un proceso con todas las garantías de quienes son parte o se ven afectados por el contenido de la resolución cuestionada en el proceso de amparo.</w:t>
      </w:r>
    </w:p>
    <w:p w14:paraId="5AB400D5" w14:textId="77777777" w:rsidR="00B35D37" w:rsidRDefault="00B35D37" w:rsidP="00B35D37">
      <w:pPr>
        <w:pStyle w:val="TextoNormal"/>
      </w:pPr>
    </w:p>
    <w:p w14:paraId="03D87DEF" w14:textId="3A7492CC" w:rsidR="00B35D37" w:rsidRDefault="00B35D37" w:rsidP="00B35D37">
      <w:pPr>
        <w:pStyle w:val="TextoNormal"/>
      </w:pPr>
      <w:r>
        <w:t>Señala el magistrado señor Conde-Pumpido que habiendo sido aceptada su abstención en los asuntos 7433-2023 y 1670-2024, por concurrencia de la causa recogida en el apartado duodécimo del art. 219 de la Ley Orgánica del Poder Judicial (LOPJ), y concurriendo la misma causa en el recurso de amparo 7383-2024, ha decidido abstenerse igualmente del conocimiento de este último.</w:t>
      </w:r>
    </w:p>
    <w:p w14:paraId="4BE82274" w14:textId="77777777" w:rsidR="00B35D37" w:rsidRDefault="00B35D37" w:rsidP="00B35D37">
      <w:pPr>
        <w:pStyle w:val="TextoNormal"/>
      </w:pPr>
    </w:p>
    <w:p w14:paraId="3C29D01A" w14:textId="77777777" w:rsidR="00B35D37" w:rsidRDefault="00B35D37" w:rsidP="00B35D37">
      <w:pPr>
        <w:pStyle w:val="TextoNormalNegritaCentrado"/>
        <w:keepNext/>
      </w:pPr>
      <w:r>
        <w:t>II. Fundamentos jurídicos</w:t>
      </w:r>
    </w:p>
    <w:p w14:paraId="4B1B868B" w14:textId="7A056613" w:rsidR="00B35D37" w:rsidRDefault="00B35D37" w:rsidP="00B35D37">
      <w:pPr>
        <w:pStyle w:val="TextoNormalNegritaCentrado"/>
        <w:keepNext/>
      </w:pPr>
    </w:p>
    <w:p w14:paraId="20839276" w14:textId="729680B8" w:rsidR="00B35D37" w:rsidRDefault="00B35D37" w:rsidP="00B35D37">
      <w:pPr>
        <w:pStyle w:val="TextoNormal"/>
      </w:pPr>
      <w:r w:rsidRPr="00B35D37">
        <w:rPr>
          <w:rStyle w:val="NumeroAFNegritaCaracter"/>
        </w:rPr>
        <w:t>1</w:t>
      </w:r>
      <w:r>
        <w:t>. El Pleno ha examinado el escrito presentado por el magistrado don Cándido Conde-Pumpido Tourón el 3 de marzo de 2025, en el que comunica su voluntad de abstenerse.</w:t>
      </w:r>
    </w:p>
    <w:p w14:paraId="14651861" w14:textId="77777777" w:rsidR="00B35D37" w:rsidRDefault="00B35D37" w:rsidP="00B35D37">
      <w:pPr>
        <w:pStyle w:val="TextoNormal"/>
      </w:pPr>
    </w:p>
    <w:p w14:paraId="112BD2B1" w14:textId="5190F597" w:rsidR="00B35D37" w:rsidRDefault="00B35D37" w:rsidP="00B35D37">
      <w:pPr>
        <w:pStyle w:val="TextoNormal"/>
      </w:pPr>
      <w:r w:rsidRPr="00B35D37">
        <w:rPr>
          <w:rStyle w:val="NumeroAFNegritaCaracter"/>
        </w:rPr>
        <w:t>2</w:t>
      </w:r>
      <w:r>
        <w:t>. Vista la comunicación efectuada por don Cándido Conde-Pumpido Tourón, el Pleno, en virtud de lo previsto en el art. 219.12 LOPJ, supletoria de la Ley Orgánica del Tribunal Constitucional (art. 80), estima que resulta procedente aceptar la abstención formulada en los términos que se interesa.</w:t>
      </w:r>
    </w:p>
    <w:p w14:paraId="1584D117" w14:textId="77777777" w:rsidR="00B35D37" w:rsidRDefault="00B35D37" w:rsidP="00B35D37">
      <w:pPr>
        <w:pStyle w:val="TextoNormal"/>
      </w:pPr>
    </w:p>
    <w:p w14:paraId="75ED9C81" w14:textId="77777777" w:rsidR="00B35D37" w:rsidRDefault="00B35D37" w:rsidP="00B35D37">
      <w:pPr>
        <w:pStyle w:val="TextoNormal"/>
      </w:pPr>
      <w:r>
        <w:t>Por lo expuesto, el Pleno</w:t>
      </w:r>
    </w:p>
    <w:p w14:paraId="38B5A032" w14:textId="2ACF8352" w:rsidR="00B35D37" w:rsidRDefault="00B35D37" w:rsidP="00B35D37">
      <w:pPr>
        <w:pStyle w:val="TextoNormal"/>
      </w:pPr>
    </w:p>
    <w:p w14:paraId="52BC53E0" w14:textId="77777777" w:rsidR="00B35D37" w:rsidRDefault="00B35D37" w:rsidP="00B35D37">
      <w:pPr>
        <w:pStyle w:val="TextoNormalCentrado"/>
      </w:pPr>
      <w:r>
        <w:t>ACUERDA</w:t>
      </w:r>
    </w:p>
    <w:p w14:paraId="618E40CD" w14:textId="2958E7AB" w:rsidR="00B35D37" w:rsidRDefault="00B35D37" w:rsidP="00B35D37">
      <w:pPr>
        <w:pStyle w:val="TextoNormalCentrado"/>
      </w:pPr>
    </w:p>
    <w:p w14:paraId="3B41E567" w14:textId="6A0A7E27" w:rsidR="00B35D37" w:rsidRDefault="00B35D37" w:rsidP="00B35D37">
      <w:pPr>
        <w:pStyle w:val="TextoNormal"/>
      </w:pPr>
      <w:r>
        <w:t>Aceptar la abstención formulada por el magistrado don Cándido Conde-Pumpido Tourón en el recurso de amparo núm. 7383-2024 apartándole definitivamente del conocimiento del referido recurso y de todas sus incidencias.</w:t>
      </w:r>
    </w:p>
    <w:p w14:paraId="3BDCC702" w14:textId="77777777" w:rsidR="00B35D37" w:rsidRDefault="00B35D37" w:rsidP="00B35D37">
      <w:pPr>
        <w:pStyle w:val="TextoNormal"/>
      </w:pPr>
    </w:p>
    <w:p w14:paraId="26AFA0B9" w14:textId="77777777" w:rsidR="00B35D37" w:rsidRDefault="00B35D37" w:rsidP="00B35D37">
      <w:pPr>
        <w:pStyle w:val="TextoNormal"/>
      </w:pPr>
      <w:r>
        <w:t>Madrid, a once de marzo de dos mil veinticinco.</w:t>
      </w:r>
    </w:p>
    <w:p w14:paraId="679A056B" w14:textId="1ACEBFA0" w:rsidR="00B35D37" w:rsidRDefault="00B35D37">
      <w:pPr>
        <w:spacing w:after="160" w:line="278" w:lineRule="auto"/>
        <w:rPr>
          <w:rFonts w:ascii="Times New Roman" w:eastAsia="Times New Roman" w:hAnsi="Times New Roman" w:cs="Times New Roman"/>
          <w:sz w:val="24"/>
          <w:szCs w:val="24"/>
          <w:lang w:eastAsia="es-ES"/>
        </w:rPr>
      </w:pPr>
      <w:r>
        <w:br w:type="page"/>
      </w:r>
    </w:p>
    <w:p w14:paraId="0C04BE66" w14:textId="77777777" w:rsidR="00B35D37" w:rsidRDefault="00B35D37" w:rsidP="00B35D37">
      <w:pPr>
        <w:pStyle w:val="TtuloResolucin"/>
      </w:pPr>
      <w:bookmarkStart w:id="167" w:name="AUTO_2025_28"/>
      <w:r>
        <w:t>AUTO 28/2025, de 25 de marzo de 2025</w:t>
      </w:r>
    </w:p>
    <w:bookmarkEnd w:id="167"/>
    <w:p w14:paraId="76167C1B" w14:textId="77777777" w:rsidR="00B35D37" w:rsidRDefault="00B35D37" w:rsidP="00B35D37">
      <w:pPr>
        <w:pStyle w:val="TtuloResolucin"/>
      </w:pPr>
      <w:r>
        <w:t>Pleno</w:t>
      </w:r>
    </w:p>
    <w:p w14:paraId="4E2C03E2" w14:textId="77777777" w:rsidR="00B35D37" w:rsidRDefault="00B35D37" w:rsidP="00B35D37">
      <w:pPr>
        <w:pStyle w:val="TtuloBOE"/>
      </w:pPr>
      <w:r>
        <w:t>(BOE núm. 109, de 6 de mayo de 2025)</w:t>
      </w:r>
    </w:p>
    <w:p w14:paraId="69FB1257" w14:textId="77777777" w:rsidR="00B35D37" w:rsidRDefault="00B35D37" w:rsidP="00B35D37">
      <w:pPr>
        <w:pStyle w:val="TextoNormalCentrado"/>
      </w:pPr>
      <w:r>
        <w:t>ECLI:ES:TC:2025:28A</w:t>
      </w:r>
    </w:p>
    <w:p w14:paraId="056F2CDB" w14:textId="15188D8D" w:rsidR="00B35D37" w:rsidRDefault="00B35D37" w:rsidP="00B35D37">
      <w:pPr>
        <w:pStyle w:val="TextoNormalCentrado"/>
      </w:pPr>
    </w:p>
    <w:p w14:paraId="370E6B53"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BA1ABB7" w14:textId="117E584E" w:rsidR="00B35D37" w:rsidRDefault="00B35D37" w:rsidP="00B35D37">
      <w:pPr>
        <w:pStyle w:val="SntesisDescriptiva"/>
      </w:pPr>
    </w:p>
    <w:p w14:paraId="2FAA5F88" w14:textId="77777777" w:rsidR="00B35D37" w:rsidRDefault="00B35D37" w:rsidP="00B35D37">
      <w:pPr>
        <w:pStyle w:val="SntesisDescriptiva"/>
      </w:pPr>
      <w:r>
        <w:t>Inadmite a trámite el recurso de amparo 1783-2023, promovido por doña Iratxe Sorzabal Díaz en causa penal. Voto particular.</w:t>
      </w:r>
    </w:p>
    <w:p w14:paraId="180C18E5" w14:textId="2323CE34" w:rsidR="00B35D37" w:rsidRDefault="00B35D37" w:rsidP="00B35D37">
      <w:pPr>
        <w:pStyle w:val="SntesisDescriptiva"/>
      </w:pPr>
    </w:p>
    <w:p w14:paraId="79F7D262" w14:textId="77777777" w:rsidR="00B35D37" w:rsidRDefault="00B35D37" w:rsidP="00B35D37">
      <w:pPr>
        <w:pStyle w:val="SntesisDescriptiva"/>
      </w:pPr>
    </w:p>
    <w:p w14:paraId="78B25B7E" w14:textId="77777777" w:rsidR="00B35D37" w:rsidRDefault="00B35D37" w:rsidP="00B35D37">
      <w:pPr>
        <w:pStyle w:val="SntesisDescriptiva"/>
      </w:pPr>
    </w:p>
    <w:p w14:paraId="30A8FDAA" w14:textId="77777777" w:rsidR="00B35D37" w:rsidRDefault="00B35D37" w:rsidP="00B35D37">
      <w:pPr>
        <w:pStyle w:val="TextoNormalNegritaCentrado"/>
      </w:pPr>
      <w:r>
        <w:t>AUTO</w:t>
      </w:r>
    </w:p>
    <w:p w14:paraId="0ABC9AA9" w14:textId="00860636" w:rsidR="00B35D37" w:rsidRDefault="00B35D37" w:rsidP="00B35D37">
      <w:pPr>
        <w:pStyle w:val="TextoNormalNegritaCentrado"/>
      </w:pPr>
    </w:p>
    <w:p w14:paraId="4BEBA033" w14:textId="77777777" w:rsidR="00B35D37" w:rsidRDefault="00B35D37" w:rsidP="00B35D37">
      <w:pPr>
        <w:pStyle w:val="TextoNormalNegritaCentrado"/>
        <w:keepNext/>
      </w:pPr>
      <w:r>
        <w:t>I. Antecedentes</w:t>
      </w:r>
    </w:p>
    <w:p w14:paraId="790AB314" w14:textId="2A8503B2" w:rsidR="00B35D37" w:rsidRDefault="00B35D37" w:rsidP="00B35D37">
      <w:pPr>
        <w:pStyle w:val="TextoNormalNegritaCentrado"/>
        <w:keepNext/>
      </w:pPr>
    </w:p>
    <w:p w14:paraId="5F4D154C" w14:textId="74BE3F67" w:rsidR="00B35D37" w:rsidRDefault="00B35D37" w:rsidP="00B35D37">
      <w:pPr>
        <w:pStyle w:val="TextoNormal"/>
      </w:pPr>
      <w:r w:rsidRPr="00B35D37">
        <w:rPr>
          <w:rStyle w:val="NumeroAFNegritaCaracter"/>
        </w:rPr>
        <w:t>1</w:t>
      </w:r>
      <w:r>
        <w:t>. Mediante escrito presentado en el registro general del Tribunal Constitucional el 16 de marzo de 2023, la representación procesal de doña Iratxe Sorzabal Díaz interpuso recurso de amparo contra (i) la sentencia núm. 1/2022, de 18 de febrero, dictada por la Sala de lo Penal de la Audiencia Nacional en el procedimiento sumario núm. 8-2015 y (ii) la sentencia de la Sala de lo Penal del Tribunal Supremo núm. 1018/2022, de 25 de enero de 2023, dictada en el recurso de casación núm. 2369-2022.</w:t>
      </w:r>
    </w:p>
    <w:p w14:paraId="4806FB46" w14:textId="77777777" w:rsidR="00B35D37" w:rsidRDefault="00B35D37" w:rsidP="00B35D37">
      <w:pPr>
        <w:pStyle w:val="TextoNormal"/>
      </w:pPr>
    </w:p>
    <w:p w14:paraId="6B139CEB" w14:textId="77777777" w:rsidR="00B35D37" w:rsidRDefault="00B35D37" w:rsidP="00B35D37">
      <w:pPr>
        <w:pStyle w:val="TextoNormal"/>
      </w:pPr>
      <w:r w:rsidRPr="00B35D37">
        <w:rPr>
          <w:rStyle w:val="NumeroAFNegritaCaracter"/>
        </w:rPr>
        <w:t>2</w:t>
      </w:r>
      <w:r>
        <w:t>. Son antecedentes relevantes para la resolución del presente caso, los siguientes:</w:t>
      </w:r>
    </w:p>
    <w:p w14:paraId="124308AB" w14:textId="77777777" w:rsidR="00B35D37" w:rsidRDefault="00B35D37" w:rsidP="00B35D37">
      <w:pPr>
        <w:pStyle w:val="TextoNormal"/>
      </w:pPr>
    </w:p>
    <w:p w14:paraId="0C495A4D" w14:textId="77777777" w:rsidR="00B35D37" w:rsidRDefault="00B35D37" w:rsidP="00B35D37">
      <w:pPr>
        <w:pStyle w:val="TextoNormal"/>
      </w:pPr>
      <w:r>
        <w:t>a) Por sentencia dictada el 18 de febrero de 2022, la Sección Primera de la Sala de lo Penal de la Audiencia Nacional condenó a la ahora demandante de amparo en estos términos: (a) por la comisión de un delito de estragos terroristas en grado de consumación [art. 364.1 del Código penal (CP)] a las penas de diecisiete años de prisión e inhabilitación absoluta durante el tiempo de condena, y (b) por la comisión de un delito de estragos terroristas en grado de tentativa (arts. 364.1 y 16 CP) a las penas de siete años y seis meses de prisión e inhabilitación especial para el derecho de sufragio pasivo durante el tiempo de la condena. La sentencia la absolvió del delito de pertenencia a organización criminal objeto de acusación.</w:t>
      </w:r>
    </w:p>
    <w:p w14:paraId="7E6007D1" w14:textId="77777777" w:rsidR="00B35D37" w:rsidRDefault="00B35D37" w:rsidP="00B35D37">
      <w:pPr>
        <w:pStyle w:val="TextoNormal"/>
      </w:pPr>
    </w:p>
    <w:p w14:paraId="182EEAE6" w14:textId="77777777" w:rsidR="00B35D37" w:rsidRDefault="00B35D37" w:rsidP="00B35D37">
      <w:pPr>
        <w:pStyle w:val="TextoNormal"/>
      </w:pPr>
      <w:r>
        <w:t>La sentencia consideró acreditados los hechos imputados a la demandante de amparo sobre la base de una serie de manifestaciones efectuadas por aquella en una carta remitida voluntariamente a la cúpula de la banda terrorista ETA, en la que narraba los actos terroristas perpetrados, el lugar donde se habían cometido y los efectos producidos. Dicha carta se obtuvo durante una actuación policial desarrollada por la policía francesa en la localidad de Castres (Francia) y fue posteriormente entregada a las autoridades españolas en virtud de comisión rogatoria internacional.</w:t>
      </w:r>
    </w:p>
    <w:p w14:paraId="32FEE880" w14:textId="77777777" w:rsidR="00B35D37" w:rsidRDefault="00B35D37" w:rsidP="00B35D37">
      <w:pPr>
        <w:pStyle w:val="TextoNormal"/>
      </w:pPr>
    </w:p>
    <w:p w14:paraId="18E4FF09" w14:textId="77777777" w:rsidR="00B35D37" w:rsidRDefault="00B35D37" w:rsidP="00B35D37">
      <w:pPr>
        <w:pStyle w:val="TextoNormal"/>
      </w:pPr>
      <w:r>
        <w:t>Frente a las alegaciones efectuadas por la recurrente relativas a que dicha carta habría sido enviada a la cúpula de la organización terrorista a fin de narrar los hechos declarados en sede policial en un contexto de torturas o tratos inhumanos o degradantes, con el efecto de provocar la nulidad de la declaración efectuada en sede policial y, por extensión, de la carta manuscrita en cuestión, la sentencia las rechazó al descartar la existencia de malos tratos o torturas infligidos a la recurrente por parte de las autoridades policiales.</w:t>
      </w:r>
    </w:p>
    <w:p w14:paraId="624EC1BB" w14:textId="77777777" w:rsidR="00B35D37" w:rsidRDefault="00B35D37" w:rsidP="00B35D37">
      <w:pPr>
        <w:pStyle w:val="TextoNormal"/>
      </w:pPr>
    </w:p>
    <w:p w14:paraId="3DE0C747" w14:textId="77777777" w:rsidR="00B35D37" w:rsidRDefault="00B35D37" w:rsidP="00B35D37">
      <w:pPr>
        <w:pStyle w:val="TextoNormal"/>
      </w:pPr>
      <w:r>
        <w:t xml:space="preserve">En la sentencia dictada en casación, la Sala de lo Penal del Tribunal Supremo relaciona los argumentos que confirman la conclusión de la Sala </w:t>
      </w:r>
      <w:r w:rsidRPr="00B35D37">
        <w:rPr>
          <w:i/>
        </w:rPr>
        <w:t>a quo</w:t>
      </w:r>
      <w:r>
        <w:t xml:space="preserve"> al rechazar que la recurrente hubiera sido objeto de torturas o malos tratos durante el interrogatorio policial:</w:t>
      </w:r>
    </w:p>
    <w:p w14:paraId="6E2A5CF9" w14:textId="77777777" w:rsidR="00B35D37" w:rsidRDefault="00B35D37" w:rsidP="00B35D37">
      <w:pPr>
        <w:pStyle w:val="TextoNormal"/>
      </w:pPr>
    </w:p>
    <w:p w14:paraId="051B35DD" w14:textId="77777777" w:rsidR="00B35D37" w:rsidRDefault="00B35D37" w:rsidP="00B35D37">
      <w:pPr>
        <w:pStyle w:val="TextoNormal"/>
      </w:pPr>
      <w:r>
        <w:t>(i) La detenida fue reconocida por el médico forense en distintas ocasiones durante su estancia en las dependencias policiales, así como en el Hospital Clínico Universitario, entidad pública sin vinculación orgánico-funcional con responsables del Ministerio del Interior. En este último centro fue examinada por tres servicios médicos distintos —medicina interna, traumatología y dermatología—, en búsqueda de signos que respaldaran su versión acerca de la existencia de torturas.</w:t>
      </w:r>
    </w:p>
    <w:p w14:paraId="6CDC62CB" w14:textId="77777777" w:rsidR="00B35D37" w:rsidRDefault="00B35D37" w:rsidP="00B35D37">
      <w:pPr>
        <w:pStyle w:val="TextoNormal"/>
      </w:pPr>
    </w:p>
    <w:p w14:paraId="577AA036" w14:textId="77777777" w:rsidR="00B35D37" w:rsidRDefault="00B35D37" w:rsidP="00B35D37">
      <w:pPr>
        <w:pStyle w:val="TextoNormal"/>
      </w:pPr>
      <w:r>
        <w:t>(ii) Se le tomaron fotografías de lesiones dérmicas en el costado derecho e izquierdo, además de practicarle una biopsia y un TAC, con lo que se descartó cualquier lesión ósea o muscular. Asimismo, le fue realizada una radiografía cervical que confirmó una contractura en ambos trapecios, pero se asoció médicamente a un posible padecimiento crónico.</w:t>
      </w:r>
    </w:p>
    <w:p w14:paraId="24A84A06" w14:textId="77777777" w:rsidR="00B35D37" w:rsidRDefault="00B35D37" w:rsidP="00B35D37">
      <w:pPr>
        <w:pStyle w:val="TextoNormal"/>
      </w:pPr>
    </w:p>
    <w:p w14:paraId="37C74A61" w14:textId="77777777" w:rsidR="00B35D37" w:rsidRDefault="00B35D37" w:rsidP="00B35D37">
      <w:pPr>
        <w:pStyle w:val="TextoNormal"/>
      </w:pPr>
      <w:r>
        <w:t>(iii) El médico forense adscrito a la Audiencia Nacional fue sometido en su dictamen pericial al interrogatorio cruzado de las acusaciones y la defensa, ofreciendo explicaciones acerca de la sintomatología que presentaba la acusada y la imposibilidad de conectar su etiología con actos de tortura.</w:t>
      </w:r>
    </w:p>
    <w:p w14:paraId="2870DAB2" w14:textId="77777777" w:rsidR="00B35D37" w:rsidRDefault="00B35D37" w:rsidP="00B35D37">
      <w:pPr>
        <w:pStyle w:val="TextoNormal"/>
      </w:pPr>
    </w:p>
    <w:p w14:paraId="0DCA8017" w14:textId="77777777" w:rsidR="00B35D37" w:rsidRDefault="00B35D37" w:rsidP="00B35D37">
      <w:pPr>
        <w:pStyle w:val="TextoNormal"/>
      </w:pPr>
      <w:r>
        <w:t>(iv) En cuanto a la investigación judicial abierta ante los malos tratos y torturas denunciados por la demandante, es de reseñar lo siguiente:</w:t>
      </w:r>
    </w:p>
    <w:p w14:paraId="2B9EDBB0" w14:textId="77777777" w:rsidR="00B35D37" w:rsidRDefault="00B35D37" w:rsidP="00B35D37">
      <w:pPr>
        <w:pStyle w:val="TextoNormal"/>
      </w:pPr>
    </w:p>
    <w:p w14:paraId="7C8BDAFD" w14:textId="77777777" w:rsidR="00B35D37" w:rsidRDefault="00B35D37" w:rsidP="00B35D37">
      <w:pPr>
        <w:pStyle w:val="TextoNormal"/>
      </w:pPr>
      <w:r>
        <w:t>(1) La denuncia fue turnada al Juzgado de Instrucción núm. 13 de Madrid, que incoó las diligencias previas núm. 2664-2001, en las que se practicaron las siguientes actuaciones encaminadas a esclarecer los hechos denunciados y a determinar su alcance:</w:t>
      </w:r>
    </w:p>
    <w:p w14:paraId="376BDFFB" w14:textId="77777777" w:rsidR="00B35D37" w:rsidRDefault="00B35D37" w:rsidP="00B35D37">
      <w:pPr>
        <w:pStyle w:val="TextoNormal"/>
      </w:pPr>
    </w:p>
    <w:p w14:paraId="00933EAD" w14:textId="77777777" w:rsidR="00B35D37" w:rsidRDefault="00B35D37" w:rsidP="00B35D37">
      <w:pPr>
        <w:pStyle w:val="TextoNormal"/>
      </w:pPr>
      <w:r>
        <w:t>- Declaración testifical de la denunciante.</w:t>
      </w:r>
    </w:p>
    <w:p w14:paraId="1FE3DD13" w14:textId="77777777" w:rsidR="00B35D37" w:rsidRDefault="00B35D37" w:rsidP="00B35D37">
      <w:pPr>
        <w:pStyle w:val="TextoNormal"/>
      </w:pPr>
    </w:p>
    <w:p w14:paraId="0C34605E" w14:textId="77777777" w:rsidR="00B35D37" w:rsidRDefault="00B35D37" w:rsidP="00B35D37">
      <w:pPr>
        <w:pStyle w:val="TextoNormal"/>
      </w:pPr>
      <w:r>
        <w:t>- Reconocimiento por el médico forense de la señora Sorzabal. Dictaminó que, a la vista del informe emitido por el especialista en dermatología del Hospital Clínico San Carlos, la recurrente presentaba un “eccema diseminado motivado por una sensibilización y reacción alérgica” y descartó que “dichas lesiones fueran producidas por descargas eléctricas”.</w:t>
      </w:r>
    </w:p>
    <w:p w14:paraId="51138A00" w14:textId="77777777" w:rsidR="00B35D37" w:rsidRDefault="00B35D37" w:rsidP="00B35D37">
      <w:pPr>
        <w:pStyle w:val="TextoNormal"/>
      </w:pPr>
    </w:p>
    <w:p w14:paraId="60E8888E" w14:textId="77777777" w:rsidR="00B35D37" w:rsidRDefault="00B35D37" w:rsidP="00B35D37">
      <w:pPr>
        <w:pStyle w:val="TextoNormal"/>
      </w:pPr>
      <w:r>
        <w:t>- Unión de copias de fotografías tomadas a la demandante, extraídas de las diligencias previas núm. 148-2001 del Juzgado Central de Instrucción núm. 2 de la Audiencia Nacional.</w:t>
      </w:r>
    </w:p>
    <w:p w14:paraId="42EDE610" w14:textId="77777777" w:rsidR="00B35D37" w:rsidRDefault="00B35D37" w:rsidP="00B35D37">
      <w:pPr>
        <w:pStyle w:val="TextoNormal"/>
      </w:pPr>
    </w:p>
    <w:p w14:paraId="4812BD66" w14:textId="77777777" w:rsidR="00B35D37" w:rsidRDefault="00B35D37" w:rsidP="00B35D37">
      <w:pPr>
        <w:pStyle w:val="TextoNormal"/>
      </w:pPr>
      <w:r>
        <w:t>- Declaraciones como investigados de los tres agentes de la Guardia Civil encargados de la conducción y custodia de la señora Sorzabal.</w:t>
      </w:r>
    </w:p>
    <w:p w14:paraId="0FE3EB2E" w14:textId="77777777" w:rsidR="00B35D37" w:rsidRDefault="00B35D37" w:rsidP="00B35D37">
      <w:pPr>
        <w:pStyle w:val="TextoNormal"/>
      </w:pPr>
    </w:p>
    <w:p w14:paraId="145012D3" w14:textId="77777777" w:rsidR="00B35D37" w:rsidRDefault="00B35D37" w:rsidP="00B35D37">
      <w:pPr>
        <w:pStyle w:val="TextoNormal"/>
      </w:pPr>
      <w:r>
        <w:t>(2) El juzgado de instrucción decretó por auto el sobreseimiento provisional de la causa, resolución que fue impugnada en apelación por la defensa de la ahora demandante. El recurso fue desestimado mediante auto de la Sección Quinta de la Audiencia Provincial de Madrid. Frente a esta resolución firme de archivo, la ahora recurrente, constituida entonces como acusación particular, no interpuso recurso de amparo ni tampoco se dirigió al Tribunal Europeo de Derechos Humanos en defensa de sus derechos.</w:t>
      </w:r>
    </w:p>
    <w:p w14:paraId="0BA5397E" w14:textId="77777777" w:rsidR="00B35D37" w:rsidRDefault="00B35D37" w:rsidP="00B35D37">
      <w:pPr>
        <w:pStyle w:val="TextoNormal"/>
      </w:pPr>
    </w:p>
    <w:p w14:paraId="6A54D4B2" w14:textId="77777777" w:rsidR="00B35D37" w:rsidRDefault="00B35D37" w:rsidP="00B35D37">
      <w:pPr>
        <w:pStyle w:val="TextoNormal"/>
      </w:pPr>
      <w:r>
        <w:t>Descartado con estos argumentos que la demandante hubiera sido objeto de torturas o malos tratos durante la detención policial, la sentencia de instancia explicita [fundamento de Derecho B) cuarto] que aún “en el hipotético caso de que hubieran existido torturas y que las declaraciones policiales hubieran sido efectuadas bajo las mismas, lo que sí es preciso dejar sentado es que la declaración condenatoria de la procesada no se efectúa en base a estas declaraciones policiales puesto que nunca fueron ratificadas en el juzgado de instrucción ni en el juicio oral, sino en base al documento manuscrito y elaborado de forma voluntaria por la procesada en la que reconoce haber participado en la colocación de los artefactos en Gijón. Y decimos que el documento ha sido elaborado de forma voluntaria porque el mismo no se hizo al día siguiente o varios días después de ser detenida, estando en prisión […] sino bastante tiempo después de ser puesta en libertad […] de forma reflexiva, sosegada, sin la presión de factores externos”.</w:t>
      </w:r>
    </w:p>
    <w:p w14:paraId="23F65511" w14:textId="77777777" w:rsidR="00B35D37" w:rsidRDefault="00B35D37" w:rsidP="00B35D37">
      <w:pPr>
        <w:pStyle w:val="TextoNormal"/>
      </w:pPr>
    </w:p>
    <w:p w14:paraId="7D9E1DDF" w14:textId="77777777" w:rsidR="00B35D37" w:rsidRDefault="00B35D37" w:rsidP="00B35D37">
      <w:pPr>
        <w:pStyle w:val="TextoNormal"/>
      </w:pPr>
      <w:r>
        <w:t>b) La representación procesal de la demandante interpuso recurso de casación, que fue desestimado por la Sala de lo Penal del Tribunal Supremo mediante la sentencia núm. 1018/2022, de 25 de enero de 2023, que en gran medida reproduce los razonamientos de la sentencia impugnada.</w:t>
      </w:r>
    </w:p>
    <w:p w14:paraId="5DA11C51" w14:textId="77777777" w:rsidR="00B35D37" w:rsidRDefault="00B35D37" w:rsidP="00B35D37">
      <w:pPr>
        <w:pStyle w:val="TextoNormal"/>
      </w:pPr>
    </w:p>
    <w:p w14:paraId="4EB0ED31" w14:textId="77777777" w:rsidR="00B35D37" w:rsidRDefault="00B35D37" w:rsidP="00B35D37">
      <w:pPr>
        <w:pStyle w:val="TextoNormal"/>
      </w:pPr>
      <w:r>
        <w:t xml:space="preserve">En respuesta a la alegación del primer motivo de casación por la posible vulneración del derecho de la recurrente a un proceso justo, al habérsele privado del derecho a designar un abogado de su confianza durante el período de detención incomunicada, impugnación que apoya en determinados parágrafos de la sentencia del Tribunal Europeo de Derechos Humanos de 18 de enero de 2022, asunto </w:t>
      </w:r>
      <w:r w:rsidRPr="00B35D37">
        <w:rPr>
          <w:i/>
        </w:rPr>
        <w:t>Atristain Gorosabel c. España</w:t>
      </w:r>
      <w:r>
        <w:t>, la Sala se pronuncia en estos términos:</w:t>
      </w:r>
    </w:p>
    <w:p w14:paraId="2E95095B" w14:textId="77777777" w:rsidR="00B35D37" w:rsidRDefault="00B35D37" w:rsidP="00B35D37">
      <w:pPr>
        <w:pStyle w:val="TextoNormal"/>
      </w:pPr>
    </w:p>
    <w:p w14:paraId="02F0DF33" w14:textId="77777777" w:rsidR="00B35D37" w:rsidRDefault="00B35D37" w:rsidP="00B35D37">
      <w:pPr>
        <w:pStyle w:val="TextoNormal"/>
      </w:pPr>
      <w:r>
        <w:t xml:space="preserve">“En el último inciso del parágrafo 50, después de haber reiterado que ‘[…] el derecho de un acusado a comunicarse con su abogado sin la presencia de un tercero forma parte de los requisitos básicos de un juicio justo en una sociedad democrática’, se añade que, ello no obstante, se ‘[…] pueden imponer restricciones al acceso de un acusado a su abogado siempre que haya un motivo justificado. Lo relevante es si, a la vista del procedimiento en su conjunto, la restricción ha privado al acusado de un juicio justo (véase, </w:t>
      </w:r>
      <w:r w:rsidRPr="00B35D37">
        <w:rPr>
          <w:i/>
        </w:rPr>
        <w:t>Ocalan c. Turquía</w:t>
      </w:r>
      <w:r>
        <w:t>, número 46221/99 § 133, TEDH 2005-IV)’.</w:t>
      </w:r>
    </w:p>
    <w:p w14:paraId="78A8250A" w14:textId="77777777" w:rsidR="00B35D37" w:rsidRDefault="00B35D37" w:rsidP="00B35D37">
      <w:pPr>
        <w:pStyle w:val="TextoNormal"/>
      </w:pPr>
    </w:p>
    <w:p w14:paraId="3B5C93E2" w14:textId="77777777" w:rsidR="00B35D37" w:rsidRDefault="00B35D37" w:rsidP="00B35D37">
      <w:pPr>
        <w:pStyle w:val="TextoNormal"/>
      </w:pPr>
      <w:r>
        <w:t xml:space="preserve">Y en el parágrafo 51, tras insistir en que el privilegio de comunicación entre los presos y sus abogados constituye un derecho fundamental de la persona y afecta directamente a los derechos de defensa, recuerda que ‘el Tribunal ha reconocido que pueden imponerse ciertas restricciones al contacto entre abogado y cliente en casos de terrorismo y delincuencia organizada (véase, en concreto, </w:t>
      </w:r>
      <w:r w:rsidRPr="00B35D37">
        <w:rPr>
          <w:i/>
        </w:rPr>
        <w:t>Erdem c. Alemania</w:t>
      </w:r>
      <w:r>
        <w:t xml:space="preserve">, núm. 38321/97, § 65 y ss., TEDH 2001-VII, y </w:t>
      </w:r>
      <w:r w:rsidRPr="00B35D37">
        <w:rPr>
          <w:i/>
        </w:rPr>
        <w:t>Khodorkovskiy y Lebedev c. Rusia</w:t>
      </w:r>
      <w:r>
        <w:t xml:space="preserve">, núm. 11082/06 y 13772/05, § 627, de 25 de julio de 2013). […] El Tribunal mantiene que la norma fundamental de respeto de la confidencialidad entre abogado y cliente solo puede ser derogada en casos excepcionales y a condición de que existan garantías adecuadas y suficientes contra cualquier tipo de abuso (véase, </w:t>
      </w:r>
      <w:r w:rsidRPr="00B35D37">
        <w:rPr>
          <w:i/>
        </w:rPr>
        <w:t>M c. Países Bajos</w:t>
      </w:r>
      <w:r>
        <w:t>, núm. 2156/10, § 88, de 25 de julio de 2017)’.</w:t>
      </w:r>
    </w:p>
    <w:p w14:paraId="0850DA58" w14:textId="77777777" w:rsidR="00B35D37" w:rsidRDefault="00B35D37" w:rsidP="00B35D37">
      <w:pPr>
        <w:pStyle w:val="TextoNormal"/>
      </w:pPr>
    </w:p>
    <w:p w14:paraId="455493F8" w14:textId="77777777" w:rsidR="00B35D37" w:rsidRDefault="00B35D37" w:rsidP="00B35D37">
      <w:pPr>
        <w:pStyle w:val="TextoNormal"/>
      </w:pPr>
      <w:r>
        <w:t xml:space="preserve">El concepto integral del derecho a un proceso justo, tantas veces subrayado por el Tribunal Europeo de Derechos Humanos, sugiere no asociar cualquier restricción de esa naturaleza a una vulneración de efectos insubsanables. Así se desprende del parágrafo 57: ‘[…] el Tribunal sostiene que, en abstracto, si un sospechoso recibe asistencia de un abogado cualificado, que está obligado por la ética profesional, en lugar de otro abogado que aquel podría haber preferido designar, ello no es en sí mismo suficiente para demostrar que el juicio en su totalidad fue injusto, a condición de que no haya pruebas de incompetencia o parcialidad manifiesta (véase, </w:t>
      </w:r>
      <w:r w:rsidRPr="00B35D37">
        <w:rPr>
          <w:i/>
        </w:rPr>
        <w:t>Ártico c. Italia</w:t>
      </w:r>
      <w:r>
        <w:t>, de 13 de mayo de 1980, § 33, Serie A núm. 37)’.</w:t>
      </w:r>
    </w:p>
    <w:p w14:paraId="76B6393E" w14:textId="77777777" w:rsidR="00B35D37" w:rsidRDefault="00B35D37" w:rsidP="00B35D37">
      <w:pPr>
        <w:pStyle w:val="TextoNormal"/>
      </w:pPr>
    </w:p>
    <w:p w14:paraId="136CF707" w14:textId="77777777" w:rsidR="00B35D37" w:rsidRDefault="00B35D37" w:rsidP="00B35D37">
      <w:pPr>
        <w:pStyle w:val="TextoNormal"/>
      </w:pPr>
      <w:r>
        <w:t xml:space="preserve">Pues bien, a la claridad de esos pasajes que admiten la normalidad democrática de ciertas restricciones al derecho a la elección de abogado de confianza, se suma un dato que la defensa silencia. Nos referimos a la falta de similitud entre el supuesto entonces analizado —caso </w:t>
      </w:r>
      <w:r w:rsidRPr="00B35D37">
        <w:rPr>
          <w:i/>
        </w:rPr>
        <w:t>Atristain c. España</w:t>
      </w:r>
      <w:r>
        <w:t>— y el que ahora centra nuestra atención. En el primero de los casos, la consecuencia objetiva derivada de la restricción de aquel derecho no podía ser otra —razonó el Tribunal Europeo de Derechos Humanos en el parágrafo 72— que el menoscabo del derecho a un proceso equitativo, en la medida en que la principal fuente de prueba que valoró la Audiencia Nacional para respaldar la sentencia condenatoria fue, precisamente, la declaración obtenida por los agentes durante la incomunicación.</w:t>
      </w:r>
    </w:p>
    <w:p w14:paraId="750DC524" w14:textId="77777777" w:rsidR="00B35D37" w:rsidRDefault="00B35D37" w:rsidP="00B35D37">
      <w:pPr>
        <w:pStyle w:val="TextoNormal"/>
      </w:pPr>
    </w:p>
    <w:p w14:paraId="4BB985E4" w14:textId="77777777" w:rsidR="00B35D37" w:rsidRDefault="00B35D37" w:rsidP="00B35D37">
      <w:pPr>
        <w:pStyle w:val="TextoNormal"/>
      </w:pPr>
      <w:r>
        <w:t>Sin embargo, en el caso que es objeto del presente recurso, la Audiencia Nacional no ha valorado esa declaración incriminatoria, sino el documento autógrafo suscrito por la propia acusada, en unión de otros elementos de prueba ofrecidos por los testigos y facultativos que declararon en el plenario, tal y como hemos expuest</w:t>
      </w:r>
      <w:r w:rsidRPr="00B35D37">
        <w:rPr>
          <w:i/>
        </w:rPr>
        <w:t>o sup</w:t>
      </w:r>
      <w:r>
        <w:t>ra.</w:t>
      </w:r>
    </w:p>
    <w:p w14:paraId="1F2E55F5" w14:textId="77777777" w:rsidR="00B35D37" w:rsidRDefault="00B35D37" w:rsidP="00B35D37">
      <w:pPr>
        <w:pStyle w:val="TextoNormal"/>
      </w:pPr>
    </w:p>
    <w:p w14:paraId="71CD2099" w14:textId="77777777" w:rsidR="00B35D37" w:rsidRDefault="00B35D37" w:rsidP="00B35D37">
      <w:pPr>
        <w:pStyle w:val="TextoNormal"/>
      </w:pPr>
      <w:r>
        <w:t>Precisamente por esta razón —como recuerda con acierto el fiscal— la existencia de fuentes de pruebas ajenas e independientes a la confesión inicial, han llevado a esta Sala a denegar a Xabier Atristain Gorosabel, mediante el auto núm. 20399/2022, fechado el 1 de junio de 2022, la autorización precisa para interponer recurso extraordinario de revisión contra la sentencia dictada por el Tribunal Supremo, que dio origen a la demanda interpuesta ante el Tribunal Europeo de Derechos Humanos y a la sentencia que hemos transcrito en sus pasajes más relevantes.</w:t>
      </w:r>
    </w:p>
    <w:p w14:paraId="73D56F37" w14:textId="77777777" w:rsidR="00B35D37" w:rsidRDefault="00B35D37" w:rsidP="00B35D37">
      <w:pPr>
        <w:pStyle w:val="TextoNormal"/>
      </w:pPr>
    </w:p>
    <w:p w14:paraId="6598DBF7" w14:textId="1D41CECC" w:rsidR="00B35D37" w:rsidRDefault="00B35D37" w:rsidP="00B35D37">
      <w:pPr>
        <w:pStyle w:val="TextoNormal"/>
      </w:pPr>
      <w:r>
        <w:t>El párrafo conclusivo del auto por el que se denegó esa autorización, tras plasmar las fuentes de prueba independientes a la confesión, concluye en términos que tienen plena aplicabilidad al supuesto que ahora nos ocupa: ‘[…] consecuentemente, y de conformidad con la argumentación del Ministerio Fiscal, procede declarar no haber lugar a autorizar la formalización del recurso de revisión que se insta, toda vez que prescindiendo de las declaraciones cuya vulneración al Convenio europeo de derechos humanos ha sido declarado, merced a otras pruebas ajenas a la misma se hubiera podido llegar a la misma conclusión convictiva sobre los hechos que fundamentan la condena’”.</w:t>
      </w:r>
    </w:p>
    <w:p w14:paraId="280D81D1" w14:textId="77777777" w:rsidR="00B35D37" w:rsidRDefault="00B35D37" w:rsidP="00B35D37">
      <w:pPr>
        <w:pStyle w:val="TextoNormal"/>
      </w:pPr>
    </w:p>
    <w:p w14:paraId="13CA5EC1" w14:textId="77777777" w:rsidR="00B35D37" w:rsidRDefault="00B35D37" w:rsidP="00B35D37">
      <w:pPr>
        <w:pStyle w:val="TextoNormal"/>
      </w:pPr>
      <w:r w:rsidRPr="00B35D37">
        <w:rPr>
          <w:rStyle w:val="NumeroAFNegritaCaracter"/>
        </w:rPr>
        <w:t>3</w:t>
      </w:r>
      <w:r>
        <w:t>. En la demanda de amparo se formulan diversos motivos que cabe sintetizar como sigue:</w:t>
      </w:r>
    </w:p>
    <w:p w14:paraId="3B98D2D8" w14:textId="77777777" w:rsidR="00B35D37" w:rsidRDefault="00B35D37" w:rsidP="00B35D37">
      <w:pPr>
        <w:pStyle w:val="TextoNormal"/>
      </w:pPr>
    </w:p>
    <w:p w14:paraId="1D52E6A7" w14:textId="77777777" w:rsidR="00B35D37" w:rsidRDefault="00B35D37" w:rsidP="00B35D37">
      <w:pPr>
        <w:pStyle w:val="TextoNormal"/>
      </w:pPr>
      <w:r>
        <w:t>a) Vulneración del derecho a la integridad física y prohibición de torturas y tratos inhumanos o degradantes (art. 15 CE), ante la falta de motivación por parte de las resoluciones impugnadas de la posible existencia de tratos inhumanos o degradantes contrarios al art. 3 del Convenio europeo de derechos humanos (CEDH) y concurrencia de indicios suficientes para afirmar su existencia.</w:t>
      </w:r>
    </w:p>
    <w:p w14:paraId="685B21AD" w14:textId="77777777" w:rsidR="00B35D37" w:rsidRDefault="00B35D37" w:rsidP="00B35D37">
      <w:pPr>
        <w:pStyle w:val="TextoNormal"/>
      </w:pPr>
    </w:p>
    <w:p w14:paraId="518E879F" w14:textId="77777777" w:rsidR="00B35D37" w:rsidRDefault="00B35D37" w:rsidP="00B35D37">
      <w:pPr>
        <w:pStyle w:val="TextoNormal"/>
      </w:pPr>
      <w:r>
        <w:t xml:space="preserve">b) Vulneración del derecho a la tutela judicial efectiva (art. 24.1 CE), en relación con los derechos a la defensa y a un proceso con todas las garantías (art. 24.2 CE), dada la ausencia de motivación en la decisión de privar a la demandante de amparo del derecho a designar un abogado particular durante su detención incomunicada (STEDH de 18 de enero de 2022, asunto </w:t>
      </w:r>
      <w:r w:rsidRPr="00B35D37">
        <w:rPr>
          <w:i/>
        </w:rPr>
        <w:t>Atristain Gorosabel c. España</w:t>
      </w:r>
      <w:r>
        <w:t>), con afectación del ulterior proceso judicial en su conjunto, lo que ha de provocar un pronunciamiento absolutorio.</w:t>
      </w:r>
    </w:p>
    <w:p w14:paraId="67F3985F" w14:textId="77777777" w:rsidR="00B35D37" w:rsidRDefault="00B35D37" w:rsidP="00B35D37">
      <w:pPr>
        <w:pStyle w:val="TextoNormal"/>
      </w:pPr>
    </w:p>
    <w:p w14:paraId="2C295BC5" w14:textId="77777777" w:rsidR="00B35D37" w:rsidRDefault="00B35D37" w:rsidP="00B35D37">
      <w:pPr>
        <w:pStyle w:val="TextoNormal"/>
      </w:pPr>
      <w:r>
        <w:t>c) Vulneración del derecho a la tutela judicial efectiva (art. 24.1 CE) en relación con la interdicción de la arbitrariedad de los poderes públicos y el derecho a un proceso con todas las garantías (art. 24.2 CE), por la conexión de antijuridicidad existente entre las torturas que afirma la demandante haber padecido y la misiva remitida a la cúpula de la banda terrorista ETA (art. 11 de la Ley Orgánica del Poder Judicial). Aduce la demandante que las resoluciones impugnadas adolecen de falta de motivación, al dar valor probatorio únicamente a los hechos descritos en el documento donde reconoce los actos terroristas cometidos y no dárselo, por el contrario, a la narración que compuso de las torturas y tratos inhumanos sufridos en dependencias policiales.</w:t>
      </w:r>
    </w:p>
    <w:p w14:paraId="5B62530D" w14:textId="77777777" w:rsidR="00B35D37" w:rsidRDefault="00B35D37" w:rsidP="00B35D37">
      <w:pPr>
        <w:pStyle w:val="TextoNormal"/>
      </w:pPr>
    </w:p>
    <w:p w14:paraId="589AE5E9" w14:textId="77777777" w:rsidR="00B35D37" w:rsidRDefault="00B35D37" w:rsidP="00B35D37">
      <w:pPr>
        <w:pStyle w:val="TextoNormal"/>
      </w:pPr>
      <w:r>
        <w:t>d) Vulneración del derecho a la presunción de inocencia (art. 24.2 CE), debida a la ausencia de prueba suficiente para dictar una sentencia condenatoria y la concurrencia de conexión de antijuridicidad entre la situación ilícita padecida durante su detención y la redacción de la nota manuscrita.</w:t>
      </w:r>
    </w:p>
    <w:p w14:paraId="5A6B85C7" w14:textId="77777777" w:rsidR="00B35D37" w:rsidRDefault="00B35D37" w:rsidP="00B35D37">
      <w:pPr>
        <w:pStyle w:val="TextoNormal"/>
      </w:pPr>
    </w:p>
    <w:p w14:paraId="5D56348C" w14:textId="77777777" w:rsidR="00B35D37" w:rsidRDefault="00B35D37" w:rsidP="00B35D37">
      <w:pPr>
        <w:pStyle w:val="TextoNormal"/>
      </w:pPr>
      <w:r>
        <w:t xml:space="preserve">Para justificar la especial trascendencia constitucional del recurso alega la necesidad de dictar doctrina [STC 155/2009, de 25 de junio, FJ 2 a)] sobre el alcance que debe tener la STEDH de 18 de enero de 2022, asunto </w:t>
      </w:r>
      <w:r w:rsidRPr="00B35D37">
        <w:rPr>
          <w:i/>
        </w:rPr>
        <w:t>Atristain Gorosabel c. España</w:t>
      </w:r>
      <w:r>
        <w:t>, respecto a los supuestos de personas detenidas a los que se les ha aplicado el régimen de detención incomunicada. Afirma que desde la aprobación de la Ley 23/2014, de 20 de noviembre, de reconocimiento mutuo de resoluciones penales en la Unión Europea, este tribunal no ha sentado jurisprudencia sobre la citada materia, lo que a su juicio está provocando que la Audiencia Nacional haya dictado sentencias contradictorias al respecto.</w:t>
      </w:r>
    </w:p>
    <w:p w14:paraId="36978A35" w14:textId="77777777" w:rsidR="00B35D37" w:rsidRDefault="00B35D37" w:rsidP="00B35D37">
      <w:pPr>
        <w:pStyle w:val="TextoNormal"/>
      </w:pPr>
    </w:p>
    <w:p w14:paraId="320D68C6" w14:textId="39787C18" w:rsidR="00B35D37" w:rsidRDefault="00B35D37" w:rsidP="00B35D37">
      <w:pPr>
        <w:pStyle w:val="TextoNormal"/>
      </w:pPr>
      <w:r>
        <w:t>En segundo lugar, sostiene la demandante que el caso afecta a una cuestión jurídica relevante y de general repercusión social [STC 155/2009, FJ 2 g)] dada su vocación de aplicación general.</w:t>
      </w:r>
    </w:p>
    <w:p w14:paraId="7558A635" w14:textId="77777777" w:rsidR="00B35D37" w:rsidRDefault="00B35D37" w:rsidP="00B35D37">
      <w:pPr>
        <w:pStyle w:val="TextoNormal"/>
      </w:pPr>
    </w:p>
    <w:p w14:paraId="65D2BD7D" w14:textId="77777777" w:rsidR="00B35D37" w:rsidRDefault="00B35D37" w:rsidP="00B35D37">
      <w:pPr>
        <w:pStyle w:val="TextoNormal"/>
      </w:pPr>
      <w:r w:rsidRPr="00B35D37">
        <w:rPr>
          <w:rStyle w:val="NumeroAFNegritaCaracter"/>
        </w:rPr>
        <w:t>4</w:t>
      </w:r>
      <w:r>
        <w:t>. La Sala Segunda de este tribunal, en su reunión del día 2 de diciembre de 2024, acordó proponer la avocación al Pleno del presente recurso de amparo, de conformidad con lo dispuesto en el art. 10.1 n) de la Ley Orgánica 2/1979, de 3 de octubre, del Tribunal Constitucional (LOTC).</w:t>
      </w:r>
    </w:p>
    <w:p w14:paraId="332B1236" w14:textId="77777777" w:rsidR="00B35D37" w:rsidRDefault="00B35D37" w:rsidP="00B35D37">
      <w:pPr>
        <w:pStyle w:val="TextoNormal"/>
      </w:pPr>
    </w:p>
    <w:p w14:paraId="7CFE795E" w14:textId="166680DB" w:rsidR="00B35D37" w:rsidRDefault="00B35D37" w:rsidP="00B35D37">
      <w:pPr>
        <w:pStyle w:val="TextoNormal"/>
      </w:pPr>
      <w:r>
        <w:t>El Pleno acordó, por providencia 17 de diciembre de 2024, recabar para sí el conocimiento del recurso de amparo.</w:t>
      </w:r>
    </w:p>
    <w:p w14:paraId="7E89A4DD" w14:textId="77777777" w:rsidR="00B35D37" w:rsidRDefault="00B35D37" w:rsidP="00B35D37">
      <w:pPr>
        <w:pStyle w:val="TextoNormal"/>
      </w:pPr>
    </w:p>
    <w:p w14:paraId="240A9EBC" w14:textId="0F55F764" w:rsidR="00B35D37" w:rsidRDefault="00B35D37" w:rsidP="00B35D37">
      <w:pPr>
        <w:pStyle w:val="TextoNormal"/>
      </w:pPr>
      <w:r w:rsidRPr="00B35D37">
        <w:rPr>
          <w:rStyle w:val="NumeroAFNegritaCaracter"/>
        </w:rPr>
        <w:t>5</w:t>
      </w:r>
      <w:r>
        <w:t>. En el Pleno celebrado el 11 de marzo de 2025, la ponente del presente recurso de amparo, doña María Luisa Balaguer Callejón, declinó la ponencia, que fue asignada a la magistrada doña Concepción Espejel Jorquera por acuerdo del presidente de este tribunal, en el ejercicio de las competencias del art. 15 LOTC, en relación con el artículo 206 de la Ley Orgánica 6/1985, de 1 de julio, del Poder Judicial.</w:t>
      </w:r>
    </w:p>
    <w:p w14:paraId="5BB7CAE0" w14:textId="77777777" w:rsidR="00B35D37" w:rsidRDefault="00B35D37" w:rsidP="00B35D37">
      <w:pPr>
        <w:pStyle w:val="TextoNormal"/>
      </w:pPr>
    </w:p>
    <w:p w14:paraId="750FD965" w14:textId="77777777" w:rsidR="00B35D37" w:rsidRDefault="00B35D37" w:rsidP="00B35D37">
      <w:pPr>
        <w:pStyle w:val="TextoNormalNegritaCentrado"/>
        <w:keepNext/>
      </w:pPr>
      <w:r>
        <w:t>II. Fundamentos jurídicos</w:t>
      </w:r>
    </w:p>
    <w:p w14:paraId="4C039D75" w14:textId="41BC6F8A" w:rsidR="00B35D37" w:rsidRDefault="00B35D37" w:rsidP="00B35D37">
      <w:pPr>
        <w:pStyle w:val="TextoNormalNegritaCentrado"/>
        <w:keepNext/>
      </w:pPr>
    </w:p>
    <w:p w14:paraId="79387C11" w14:textId="77777777" w:rsidR="00B35D37" w:rsidRDefault="00B35D37" w:rsidP="00B35D37">
      <w:pPr>
        <w:pStyle w:val="TextoNormal"/>
      </w:pPr>
      <w:r w:rsidRPr="00B35D37">
        <w:rPr>
          <w:rStyle w:val="NumeroAFNegritaCaracter"/>
        </w:rPr>
        <w:t>1</w:t>
      </w:r>
      <w:r>
        <w:t>. El presente recurso de amparo se interpone contra la sentencia núm. 1/2022, de 18 de febrero, dictada por la Sección Primera de la Sala de lo Penal de la Audiencia Nacional, que condenó a la demandante de amparo a la pena de veinticuatro años y seis meses de prisión, por la comisión de dos delitos de estragos terroristas, así como contra la sentencia de la Sala de lo Penal del Tribunal Supremo núm. 1018/2022, de 25 de enero de 2023, que desestimó el recurso de casación interpuesto por la ahora demandante de amparo.</w:t>
      </w:r>
    </w:p>
    <w:p w14:paraId="22A55C0A" w14:textId="77777777" w:rsidR="00B35D37" w:rsidRDefault="00B35D37" w:rsidP="00B35D37">
      <w:pPr>
        <w:pStyle w:val="TextoNormal"/>
      </w:pPr>
    </w:p>
    <w:p w14:paraId="42B4CEE0" w14:textId="77777777" w:rsidR="00B35D37" w:rsidRDefault="00B35D37" w:rsidP="00B35D37">
      <w:pPr>
        <w:pStyle w:val="TextoNormal"/>
      </w:pPr>
      <w:r>
        <w:t xml:space="preserve">La demandante alega que el régimen de detención incomunicada a la que fue sometida durante el inicio de la actuación policial fue lesivo de sus derechos de defensa y a un proceso con todas las garantías (art. 24.2 CE). No se habría efectuado, como preceptúa la doctrina establecida en la STEDH de 18 de enero de 2022, asunto </w:t>
      </w:r>
      <w:r w:rsidRPr="00B35D37">
        <w:rPr>
          <w:i/>
        </w:rPr>
        <w:t>Atristain Gorosabel c. España</w:t>
      </w:r>
      <w:r>
        <w:t>, una motivación judicial separada e independiente que justificara la privación del derecho a elegir abogado durante el período de detención policial, lo que vició todo el proceso judicial ulterior.</w:t>
      </w:r>
    </w:p>
    <w:p w14:paraId="6A89C78D" w14:textId="77777777" w:rsidR="00B35D37" w:rsidRDefault="00B35D37" w:rsidP="00B35D37">
      <w:pPr>
        <w:pStyle w:val="TextoNormal"/>
      </w:pPr>
    </w:p>
    <w:p w14:paraId="12655C63" w14:textId="77777777" w:rsidR="00B35D37" w:rsidRDefault="00B35D37" w:rsidP="00B35D37">
      <w:pPr>
        <w:pStyle w:val="TextoNormal"/>
      </w:pPr>
      <w:r>
        <w:t>Adicionalmente, sostiene que durante el curso de su detención policial fue sometida a tratos inhumanos o degradantes (art. 15 CE). Para la recurrente, las manifestaciones efectuadas en la carta que remitió a la cúpula de la banda terrorista ETA se encontrarían irremediablemente vinculadas a las declaraciones prestadas bajo tortura, lo que debería dar lugar a la exclusión de aquel documento del acervo probatorio y al consiguiente dictado de una sentencia absolutoria, por lo que su condena ha vulnerado el derecho a la presunción de inocencia (art. 24.2 CE).</w:t>
      </w:r>
    </w:p>
    <w:p w14:paraId="751DFFE9" w14:textId="77777777" w:rsidR="00B35D37" w:rsidRDefault="00B35D37" w:rsidP="00B35D37">
      <w:pPr>
        <w:pStyle w:val="TextoNormal"/>
      </w:pPr>
    </w:p>
    <w:p w14:paraId="2A17E1FF" w14:textId="30F0CDFD" w:rsidR="00B35D37" w:rsidRDefault="00B35D37" w:rsidP="00B35D37">
      <w:pPr>
        <w:pStyle w:val="TextoNormal"/>
      </w:pPr>
      <w:r>
        <w:t xml:space="preserve">Se postula en la demanda de amparo la concurrencia de especial trascendencia constitucional, en cuanto permitiría a este tribunal perfilar su doctrina sobre la efectividad del derecho de defensa del acusado en supuestos de personas detenidas a los que se ha aplicado el régimen de detención incomunicada. De esta manera, entiende la recurrente, este tribunal podría pronunciarse sobre el alcance que debe tener la STEDH dictada en el asunto </w:t>
      </w:r>
      <w:r w:rsidRPr="00B35D37">
        <w:rPr>
          <w:i/>
        </w:rPr>
        <w:t>Atristain Gorosabel c. España</w:t>
      </w:r>
      <w:r>
        <w:t>, de 18 de enero de 2022, respecto a otras personas a las que se haya aplicado el mismo régimen, lo que tendría vocación de aplicación general.</w:t>
      </w:r>
    </w:p>
    <w:p w14:paraId="2D0D6264" w14:textId="77777777" w:rsidR="00B35D37" w:rsidRDefault="00B35D37" w:rsidP="00B35D37">
      <w:pPr>
        <w:pStyle w:val="TextoNormal"/>
      </w:pPr>
    </w:p>
    <w:p w14:paraId="5FAF3A6E" w14:textId="77777777" w:rsidR="00B35D37" w:rsidRDefault="00B35D37" w:rsidP="00B35D37">
      <w:pPr>
        <w:pStyle w:val="TextoNormal"/>
      </w:pPr>
      <w:r w:rsidRPr="00B35D37">
        <w:rPr>
          <w:rStyle w:val="NumeroAFNegritaCaracter"/>
        </w:rPr>
        <w:t>2</w:t>
      </w:r>
      <w:r>
        <w:t>. Resulta indudable, y así lo ha reiterado este tribunal en su ya extensa jurisprudencia, que entre los derechos que integran el derecho a un proceso con todas las garantías se incluyen los derechos a la defensa y a la asistencia letrada (art. 24.2 CE), cuya finalidad es “asegurar la efectiva realización de los principios de igualdad de las partes y de contradicción; lo que impone a los órganos judiciales el deber positivo de evitar desequilibrios entre la respectiva posición procesal de las partes o limitaciones en la defensa que puedan producir a alguna de ellas un resultado de indefensión” (ATC 69/2024, de 10 de julio, FJ 2).</w:t>
      </w:r>
    </w:p>
    <w:p w14:paraId="163F1979" w14:textId="77777777" w:rsidR="00B35D37" w:rsidRDefault="00B35D37" w:rsidP="00B35D37">
      <w:pPr>
        <w:pStyle w:val="TextoNormal"/>
      </w:pPr>
    </w:p>
    <w:p w14:paraId="66865C51" w14:textId="77777777" w:rsidR="00B35D37" w:rsidRDefault="00B35D37" w:rsidP="00B35D37">
      <w:pPr>
        <w:pStyle w:val="TextoNormal"/>
      </w:pPr>
      <w:r>
        <w:t>A ese respecto ha de recordarse que este tribunal ha reiterado la especial proyección que tiene la exigencia de asistencia letrada en el proceso penal, tanto por la complejidad técnica de las cuestiones jurídicas que en él se debaten, como por la relevancia de los bienes jurídicos que pueden verse afectados [SSTC 18/1995, de 24 de enero, FJ 2 b); 233/1998, de 1 de diciembre, FJ 3, y 162/1999, de 27 de septiembre, FJ 3] y que “la exigencia de asistencia letrada no tiene un alcance único ni un contenido unívoco en todos los supuestos en que está reconocida constitucionalmente, sino que está vinculada a la diferente función que como garantía constitucional ha de cumplir en cada uno de dichos supuestos” (STC 199/2003, de 10 de noviembre, FJ 4).</w:t>
      </w:r>
    </w:p>
    <w:p w14:paraId="01CF1D17" w14:textId="77777777" w:rsidR="00B35D37" w:rsidRDefault="00B35D37" w:rsidP="00B35D37">
      <w:pPr>
        <w:pStyle w:val="TextoNormal"/>
      </w:pPr>
    </w:p>
    <w:p w14:paraId="338D4299" w14:textId="77777777" w:rsidR="00B35D37" w:rsidRDefault="00B35D37" w:rsidP="00B35D37">
      <w:pPr>
        <w:pStyle w:val="TextoNormal"/>
      </w:pPr>
      <w:r>
        <w:t>Asimismo, el Tribunal ha afirmado (STC 196/1987, de 11 de diciembre, FJ 4) la doble proyección que tiene el derecho de defensa cuando se encuentra vinculado no solo a un proceso con todas las garantías (art. 24.2 CE), sino también al derecho a la libertad (art. 17.3 CE), y que, en este último caso, su función consiste en asegurar que los derechos constitucionales de quien está en situación de detención sean respetados, que no sufra coacción o trato incompatible con su dignidad y libertad de declaración y que disponga del debido asesoramiento técnico sobre la conducta a observar en los interrogatorios, incluida la de guardar silencio, además de su derecho a comprobar, una vez que aquellos han concluido con la presencia activa del letrado, la fidelidad de lo transcrito en el acta de declaración que se le presenta a la firma (por todas, SSTC 196/1987, de 11 de diciembre, FJ 5; 252/1994, de 19 de septiembre, FJ 4, y 229/1999, de 13 de diciembre, FJ 2). La importancia de esta asistencia letrada en el curso de dichas diligencias judiciales y policiales ha llevado a que aquella sea considerada “una exigencia estructural del proceso [penal] tendente a asegurar su correcto desenvolvimiento […] cuyo sentido es satisfacer el fin común a toda asistencia letrada, como es el lograr el adecuado desarrollo del proceso como mecanismo instrumental introducido por el legislador con miras a una dialéctica procesal efectiva que facilite al órgano judicial la búsqueda de una sentencia ajustada a derecho” (STC 199/2003, de 10 de noviembre, FJ 5).</w:t>
      </w:r>
    </w:p>
    <w:p w14:paraId="45831DDA" w14:textId="77777777" w:rsidR="00B35D37" w:rsidRDefault="00B35D37" w:rsidP="00B35D37">
      <w:pPr>
        <w:pStyle w:val="TextoNormal"/>
      </w:pPr>
    </w:p>
    <w:p w14:paraId="6FCDECF8" w14:textId="41D08769" w:rsidR="00B35D37" w:rsidRDefault="00B35D37" w:rsidP="00B35D37">
      <w:pPr>
        <w:pStyle w:val="TextoNormal"/>
      </w:pPr>
      <w:r>
        <w:t>Este tribunal también ha tenido la oportunidad de pronunciarse sobre el derecho de defensa en el curso de detenciones incomunicadas. Así, en el marco de la regulación vigente con anterioridad a la modificación de la Ley de enjuiciamiento criminal (LECrim) operada por la Ley Orgánica 13/2015, de 5 de octubre, ha declarado que la limitación del derecho de asistencia letrada —materializada en la imposibilidad de nombrar letrado de confianza del detenido, así como de entrevistarse reservadamente con su letrado (arts. 520.2 y 527 LECrim)— tenía como finalidad “evitar que el conocimiento del estado de la investigación por personas ajenas a esta propicien que se sustraigan a la acción de la justicia culpables o implicados en el delito investigado o se destruyan u oculten pruebas de su comisión” (STC 196/1987, de 11 de diciembre, FJ 7, y ATC 155/1999, de 14 de junio, FJ 4), en consideración a que “[l]a especial naturaleza o gravedad de ciertos delitos o las circunstancias subjetivas y objetivas que concurran en ellos pueden hacer imprescindible que las diligencias policiales y judiciales dirigidas a su investigación sean practicadas con el mayor secreto” (STC 196/1987, de 11 de diciembre, FJ 7, y ATC 155/1999, de 14 de junio, FJ 4).</w:t>
      </w:r>
    </w:p>
    <w:p w14:paraId="09B370C5" w14:textId="77777777" w:rsidR="00B35D37" w:rsidRDefault="00B35D37" w:rsidP="00B35D37">
      <w:pPr>
        <w:pStyle w:val="TextoNormal"/>
      </w:pPr>
    </w:p>
    <w:p w14:paraId="25877754" w14:textId="77777777" w:rsidR="00B35D37" w:rsidRDefault="00B35D37" w:rsidP="00B35D37">
      <w:pPr>
        <w:pStyle w:val="TextoNormal"/>
      </w:pPr>
      <w:r w:rsidRPr="00B35D37">
        <w:rPr>
          <w:rStyle w:val="NumeroAFNegritaCaracter"/>
        </w:rPr>
        <w:t>3</w:t>
      </w:r>
      <w:r>
        <w:t xml:space="preserve">. La demandante aduce que la especial trascendencia constitucional de su recurso de amparo residiría en la necesidad de determinar el “alcance” que debe tener la STEDH de 18 de enero de 2022, asunto </w:t>
      </w:r>
      <w:r w:rsidRPr="00B35D37">
        <w:rPr>
          <w:i/>
        </w:rPr>
        <w:t>Atristain Gorosabel c. España</w:t>
      </w:r>
      <w:r>
        <w:t>, que declaró la lesión de los arts. 6.1 y 6.3 CEDH por falta de motivación en la decisión de restricción del derecho de defensa del sometido a una medida de detención incomunicada.</w:t>
      </w:r>
    </w:p>
    <w:p w14:paraId="77F1301F" w14:textId="77777777" w:rsidR="00B35D37" w:rsidRDefault="00B35D37" w:rsidP="00B35D37">
      <w:pPr>
        <w:pStyle w:val="TextoNormal"/>
      </w:pPr>
    </w:p>
    <w:p w14:paraId="4197AF7C" w14:textId="77777777" w:rsidR="00B35D37" w:rsidRDefault="00B35D37" w:rsidP="00B35D37">
      <w:pPr>
        <w:pStyle w:val="TextoNormal"/>
      </w:pPr>
      <w:r>
        <w:t>Hay que recordar que aquella sentencia —referida a un caso de detención incomunicada en el marco de un procedimiento por delitos de naturaleza terrorista— declaró, con carácter general, lo siguiente:</w:t>
      </w:r>
    </w:p>
    <w:p w14:paraId="2FBA364C" w14:textId="77777777" w:rsidR="00B35D37" w:rsidRDefault="00B35D37" w:rsidP="00B35D37">
      <w:pPr>
        <w:pStyle w:val="TextoNormal"/>
      </w:pPr>
    </w:p>
    <w:p w14:paraId="44CE3333" w14:textId="77777777" w:rsidR="00B35D37" w:rsidRDefault="00B35D37" w:rsidP="00B35D37">
      <w:pPr>
        <w:pStyle w:val="TextoNormal"/>
      </w:pPr>
      <w:r>
        <w:t xml:space="preserve">a) “[S]e pueden imponer restricciones al acceso de un acusado a su abogado siempre que haya un motivo justificado. Lo relevante es si, a la vista del procedimiento en su conjunto, la restricción ha privado al acusado de un juicio justo (véase </w:t>
      </w:r>
      <w:r w:rsidRPr="00B35D37">
        <w:rPr>
          <w:i/>
        </w:rPr>
        <w:t>Öcalan c. Turquía</w:t>
      </w:r>
      <w:r>
        <w:t xml:space="preserve"> [GS], núm. 46221/99, § 133, TEDH 2005-IV)” (§ 50).</w:t>
      </w:r>
    </w:p>
    <w:p w14:paraId="4A12E13A" w14:textId="77777777" w:rsidR="00B35D37" w:rsidRDefault="00B35D37" w:rsidP="00B35D37">
      <w:pPr>
        <w:pStyle w:val="TextoNormal"/>
      </w:pPr>
    </w:p>
    <w:p w14:paraId="0F58B81E" w14:textId="77777777" w:rsidR="00B35D37" w:rsidRDefault="00B35D37" w:rsidP="00B35D37">
      <w:pPr>
        <w:pStyle w:val="TextoNormal"/>
      </w:pPr>
      <w:r>
        <w:t xml:space="preserve">b) “En particular, el Tribunal ha reconocido que pueden imponerse ciertas restricciones al contacto entre abogado y cliente en casos de terrorismo y delincuencia organizada (véase, en concreto, </w:t>
      </w:r>
      <w:r w:rsidRPr="00B35D37">
        <w:rPr>
          <w:i/>
        </w:rPr>
        <w:t>Erdem c. Alemania</w:t>
      </w:r>
      <w:r>
        <w:t xml:space="preserve">, núm. 38321/97, § 65 y ss., TEDH 2001-VII (extractos), y </w:t>
      </w:r>
      <w:r w:rsidRPr="00B35D37">
        <w:rPr>
          <w:i/>
        </w:rPr>
        <w:t>Khodorkovskiy y Lebedev c. Rusia</w:t>
      </w:r>
      <w:r>
        <w:t xml:space="preserve">, núm. 11082/06 y 13772/05, § 627, de 25 de julio de 2013). No obstante, el privilegio de comunicación entre los presos y sus abogados constituye un derecho fundamental de la persona y afecta directamente a los derechos de defensa. Por ello, el Tribunal mantiene que la norma fundamental de respeto de la confidencialidad entre abogado y cliente solo puede ser derogada en casos excepcionales y a condición de que existan garantías adecuadas y suficientes contra cualquier tipo de abuso (véase </w:t>
      </w:r>
      <w:r w:rsidRPr="00B35D37">
        <w:rPr>
          <w:i/>
        </w:rPr>
        <w:t>M c. Países Bajos</w:t>
      </w:r>
      <w:r>
        <w:t>, núm. 2156/10, § 88, de 25 de julio de 2017)” (§ 51).</w:t>
      </w:r>
    </w:p>
    <w:p w14:paraId="54DED8AC" w14:textId="77777777" w:rsidR="00B35D37" w:rsidRDefault="00B35D37" w:rsidP="00B35D37">
      <w:pPr>
        <w:pStyle w:val="TextoNormal"/>
      </w:pPr>
    </w:p>
    <w:p w14:paraId="2615B085" w14:textId="77777777" w:rsidR="00B35D37" w:rsidRDefault="00B35D37" w:rsidP="00B35D37">
      <w:pPr>
        <w:pStyle w:val="TextoNormal"/>
      </w:pPr>
      <w:r>
        <w:t xml:space="preserve">c) “A la hora de establecer si el procedimiento en su conjunto ha sido justo, debe tenerse en cuenta si se han respetado los derechos de defensa. Se ha elaborado una lista de indicadores, que no pretende ser exhaustiva, extraídos de la jurisprudencia que será tenida en cuenta por el Tribunal, en su caso, al examinar el procedimiento en su conjunto con el fin de evaluar el impacto de los defectos procesales en la fase de instrucción sobre la equidad general del proceso penal (véase </w:t>
      </w:r>
      <w:r w:rsidRPr="00B35D37">
        <w:rPr>
          <w:i/>
        </w:rPr>
        <w:t>Beuze</w:t>
      </w:r>
      <w:r>
        <w:t xml:space="preserve">, anteriormente citado, § 82). En particular, se examinará si el demandante tuvo la oportunidad de impugnar la autenticidad de la prueba y de oponerse a su práctica. Además, deberá tenerse en cuenta la calidad de la prueba, lo que incluye si las circunstancias en las que se obtuvo arrojan dudas sobre su fiabilidad o exactitud. Aunque el hecho de que las pruebas obtenidas no estén respaldadas por ningún otro material no plantea necesariamente ningún problema de equidad, cabe señalar que cuando la prueba es muy sólida y no hay riesgo de falta de fiabilidad, la necesidad de pruebas de apoyo es proporcionalmente menos importante (véase </w:t>
      </w:r>
      <w:r w:rsidRPr="00B35D37">
        <w:rPr>
          <w:i/>
        </w:rPr>
        <w:t>Jalloh c. Alemania</w:t>
      </w:r>
      <w:r>
        <w:t xml:space="preserve"> [GS], núm. 54810/00, § 96, TEDH 2006-IX)” (§ 53).</w:t>
      </w:r>
    </w:p>
    <w:p w14:paraId="0AEDE760" w14:textId="77777777" w:rsidR="00B35D37" w:rsidRDefault="00B35D37" w:rsidP="00B35D37">
      <w:pPr>
        <w:pStyle w:val="TextoNormal"/>
      </w:pPr>
    </w:p>
    <w:p w14:paraId="5FBBD595" w14:textId="77777777" w:rsidR="00B35D37" w:rsidRDefault="00B35D37" w:rsidP="00B35D37">
      <w:pPr>
        <w:pStyle w:val="TextoNormal"/>
      </w:pPr>
      <w:r>
        <w:t xml:space="preserve">d) “El Tribunal sostiene que, en abstracto, si un sospechoso recibe asistencia de un abogado cualificado, que está obligado por la ética profesional, en lugar de otro abogado que aquel podría haber preferido designar, ello no es en sí mismo suficiente para demostrar que el juicio en su totalidad fue injusto, a condición de que no haya pruebas de incompetencia o parcialidad manifiesta (véase </w:t>
      </w:r>
      <w:r w:rsidRPr="00B35D37">
        <w:rPr>
          <w:i/>
        </w:rPr>
        <w:t>Artico c. Italia</w:t>
      </w:r>
      <w:r>
        <w:t>, de 13 de mayo de 1980, § 33, Serie A núm. 37)” (§ 57).</w:t>
      </w:r>
    </w:p>
    <w:p w14:paraId="73C6D637" w14:textId="77777777" w:rsidR="00B35D37" w:rsidRDefault="00B35D37" w:rsidP="00B35D37">
      <w:pPr>
        <w:pStyle w:val="TextoNormal"/>
      </w:pPr>
    </w:p>
    <w:p w14:paraId="3A0B478D" w14:textId="77777777" w:rsidR="00B35D37" w:rsidRDefault="00B35D37" w:rsidP="00B35D37">
      <w:pPr>
        <w:pStyle w:val="TextoNormal"/>
      </w:pPr>
      <w:r>
        <w:t xml:space="preserve">La citada STEDH también declaró (§ 61) que el criterio aplicable en virtud del art. 6.1 y 3 c) CEDH consta de dos etapas: en primer lugar, se examina si existieron motivos determinantes que justificasen la restricción del derecho a acceder a un abogado y, a continuación, se examina la equidad general del procedimiento (SSTEDH de 9 de noviembre de 2018, asunto </w:t>
      </w:r>
      <w:r w:rsidRPr="00B35D37">
        <w:rPr>
          <w:i/>
        </w:rPr>
        <w:t>Beuze c. Bélgica</w:t>
      </w:r>
      <w:r>
        <w:t xml:space="preserve">, § 138 y 141, y de 13 de septiembre de 2016, asunto </w:t>
      </w:r>
      <w:r w:rsidRPr="00B35D37">
        <w:rPr>
          <w:i/>
        </w:rPr>
        <w:t>Ibrahim y otros c. Reino Unido</w:t>
      </w:r>
      <w:r>
        <w:t xml:space="preserve">, § 257 y 258-62). Para acto seguido matizar en el § 62 que “[s]in embargo, en </w:t>
      </w:r>
      <w:r w:rsidRPr="00B35D37">
        <w:rPr>
          <w:i/>
        </w:rPr>
        <w:t>Ibrahim y otros</w:t>
      </w:r>
      <w:r>
        <w:t xml:space="preserve"> el Tribunal confirmó que la falta de motivos determinantes no supone por sí misma la constatación de una violación del artículo 6. Independientemente de que existan o no motivos determinantes, en cada caso es necesario considerar el procedimiento en su conjunto (véase </w:t>
      </w:r>
      <w:r w:rsidRPr="00B35D37">
        <w:rPr>
          <w:i/>
        </w:rPr>
        <w:t>Ibrahim y otros</w:t>
      </w:r>
      <w:r>
        <w:t xml:space="preserve">, anteriormente citado, § 262). Cuando no existan motivos determinantes, el Tribunal debe aplicar un control muy estricto a su análisis de la equidad. La ausencia de tales motivos influye decisivamente a la hora de evaluar la equidad general del proceso penal, pudiendo inclinar la balanza hacia la constatación de una violación (véase </w:t>
      </w:r>
      <w:r w:rsidRPr="00B35D37">
        <w:rPr>
          <w:i/>
        </w:rPr>
        <w:t>Beuze</w:t>
      </w:r>
      <w:r>
        <w:t>, anteriormente citado, § 145)”.</w:t>
      </w:r>
    </w:p>
    <w:p w14:paraId="5E3D4485" w14:textId="77777777" w:rsidR="00B35D37" w:rsidRDefault="00B35D37" w:rsidP="00B35D37">
      <w:pPr>
        <w:pStyle w:val="TextoNormal"/>
      </w:pPr>
    </w:p>
    <w:p w14:paraId="7D86FEFD" w14:textId="77777777" w:rsidR="00B35D37" w:rsidRDefault="00B35D37" w:rsidP="00B35D37">
      <w:pPr>
        <w:pStyle w:val="TextoNormal"/>
      </w:pPr>
      <w:r>
        <w:t>En aquel caso, el Tribunal de Estrasburgo concluyó que las razones o fundamentos de la ilegitimidad de la privación del derecho de defensa acordada se había transmitido al resto del procedimiento toda vez que: (i) la condena del recurrente se basaba en parte en las pruebas obtenidas a raíz de las declaraciones practicadas durante el desarrollo de la detención incomunicada, sin que pueda ignorarse la potencial repercusión de su confesión inicial en el desarrollo posterior del proceso penal instruido en su contra (§ 66 y 67); y (ii) la falta de una resolución individualizada por parte del juez de instrucción sobre las consecuencias concretas respecto a la imposibilidad del demandante para acceder a su abogado antes de los interrogatorios, unida a la falta de medidas correctoras apropiadas durante el juicio, menoscabó la equidad del proceso penal incoado contra el demandante, en su conjunto, y perjudicó irremediablemente su derecho de defensa en la medida en que no pudo recibir asesoramiento legal (§ 71).</w:t>
      </w:r>
    </w:p>
    <w:p w14:paraId="424EC2A2" w14:textId="77777777" w:rsidR="00B35D37" w:rsidRDefault="00B35D37" w:rsidP="00B35D37">
      <w:pPr>
        <w:pStyle w:val="TextoNormal"/>
      </w:pPr>
    </w:p>
    <w:p w14:paraId="1CB0186A" w14:textId="77777777" w:rsidR="00B35D37" w:rsidRDefault="00B35D37" w:rsidP="00B35D37">
      <w:pPr>
        <w:pStyle w:val="TextoNormal"/>
      </w:pPr>
      <w:r>
        <w:t>Por el contrario, estas circunstancias no concurren en el caso que es objeto del presente recurso de amparo. En primer lugar y con carácter previo, ha de señalarse que ni la ahora recurrente lo afirma, ni tampoco se desprende de las resoluciones impugnadas, que en algún momento procesal anterior a la interposición del recurso de casación alegara haber sufrido vulneración alguna de sus derechos fundamentales con motivo de no haber sido asistida por abogado de su confianza durante el interrogatorio policial.</w:t>
      </w:r>
    </w:p>
    <w:p w14:paraId="250C12EF" w14:textId="77777777" w:rsidR="00B35D37" w:rsidRDefault="00B35D37" w:rsidP="00B35D37">
      <w:pPr>
        <w:pStyle w:val="TextoNormal"/>
      </w:pPr>
    </w:p>
    <w:p w14:paraId="673B5C8F" w14:textId="77777777" w:rsidR="00B35D37" w:rsidRDefault="00B35D37" w:rsidP="00B35D37">
      <w:pPr>
        <w:pStyle w:val="TextoNormal"/>
      </w:pPr>
      <w:r>
        <w:t>De otra parte, las resoluciones impugnadas ponen de manifiesto que el juicio de autoría sobre el que descansa la responsabilidad criminal de la demandante de amparo se encuentra absolutamente desconectado “de la confesión verificada en dependencias policiales”; por el contrario, aquel se fundamenta de modo principal en la carta remitida por la demandante a la cúpula de la organización terrorista, en la que se aportaba “un relato detallado de las distintas acciones realizadas por la procesada, entre las que se encuentra el hecho de reconocer que participó en la colocación y explosión de los dos artefactos de Gijón (farmacia y palacio de Justicia)”.</w:t>
      </w:r>
    </w:p>
    <w:p w14:paraId="147BDDDB" w14:textId="77777777" w:rsidR="00B35D37" w:rsidRDefault="00B35D37" w:rsidP="00B35D37">
      <w:pPr>
        <w:pStyle w:val="TextoNormal"/>
      </w:pPr>
    </w:p>
    <w:p w14:paraId="4294C3D4" w14:textId="77777777" w:rsidR="00B35D37" w:rsidRDefault="00B35D37" w:rsidP="00B35D37">
      <w:pPr>
        <w:pStyle w:val="TextoNormal"/>
      </w:pPr>
      <w:r>
        <w:t>Aunque al respecto la demandante trata de crear una suerte de “conexión de antijuridicidad” entre la misiva remitida a la banda terrorista y la presunta ilicitud padecida durante su detención incomunicada (materializada no solo en una indebida privación del derecho de asistencia letrada sino, también, en un presunto padecimiento de torturas y tratos inhumanos o degradantes), esta extensión del efecto contaminante queda absolutamente descartada por ambas instancias al declarar que “el documento ha sido elaborado de forma voluntaria porque el mismo no se hizo al día siguiente o varios días después de ser detenida, estando en prisión (como ha sucedido en algunos casos) sino bastante tiempo después de ser puesta en libertad” (fundamento de Derecho B) cuarto de la sentencia de instancia) y que “[n]o existen, pues, razones para proclamar esa conexión de antijuridicidad entre lo declarado en comisaría y lo relatado con absoluta libertad en un documento posterior dirigido a la dirección de la banda terrorista, documento cuya autoría está reconocida por Iratxe y, según el informe elaborado en relación con la comisión rogatoria internacional por agentes de la Policía Nacional, su misma existencia se explica por la obligación de los miembros de la banda terrorista de poner en conocimiento de la dirección aquello que se ha transmitido a los agentes” (fundamento de Derecho 4.2 de la sentencia dictada en casación).</w:t>
      </w:r>
    </w:p>
    <w:p w14:paraId="307031AE" w14:textId="77777777" w:rsidR="00B35D37" w:rsidRDefault="00B35D37" w:rsidP="00B35D37">
      <w:pPr>
        <w:pStyle w:val="TextoNormal"/>
      </w:pPr>
    </w:p>
    <w:p w14:paraId="64B06534" w14:textId="2299B67C" w:rsidR="00B35D37" w:rsidRDefault="00B35D37" w:rsidP="00B35D37">
      <w:pPr>
        <w:pStyle w:val="TextoNormal"/>
      </w:pPr>
      <w:r>
        <w:t>Por todo ello, este tribunal no puede sino concluir que la causa de especial trascendencia constitucional alegada se encuentra ampliamente desconectada de las concretas circunstancias del presente caso donde, como se ha señalado anteriormente, la prueba de cargo no se fundamentó en la declaración de la demandante durante la detención incomunicada; de hecho, sus manifestaciones no tuvieron ninguna proyección en la causa penal al no haber sido ratificadas en fase de instrucción y no haber sido tampoco introducidas en el acto del juicio oral, sino en una prueba desconectada jurídicamente de aquellas manifestaciones en sede policial, razón por la cual no quedó afectada la equidad del procedimiento en su conjunto.</w:t>
      </w:r>
    </w:p>
    <w:p w14:paraId="0AD72D5F" w14:textId="77777777" w:rsidR="00B35D37" w:rsidRDefault="00B35D37" w:rsidP="00B35D37">
      <w:pPr>
        <w:pStyle w:val="TextoNormal"/>
      </w:pPr>
    </w:p>
    <w:p w14:paraId="5C2323BF" w14:textId="77777777" w:rsidR="00B35D37" w:rsidRDefault="00B35D37" w:rsidP="00B35D37">
      <w:pPr>
        <w:pStyle w:val="TextoNormal"/>
      </w:pPr>
      <w:r w:rsidRPr="00B35D37">
        <w:rPr>
          <w:rStyle w:val="NumeroAFNegritaCaracter"/>
        </w:rPr>
        <w:t>4</w:t>
      </w:r>
      <w:r>
        <w:t>. Hay argumentos adicionales que redundan en la falta de especial trascendencia constitucional de las cuestiones planteadas.</w:t>
      </w:r>
    </w:p>
    <w:p w14:paraId="0A050AA8" w14:textId="77777777" w:rsidR="00B35D37" w:rsidRDefault="00B35D37" w:rsidP="00B35D37">
      <w:pPr>
        <w:pStyle w:val="TextoNormal"/>
      </w:pPr>
    </w:p>
    <w:p w14:paraId="7435DC13" w14:textId="77777777" w:rsidR="00B35D37" w:rsidRDefault="00B35D37" w:rsidP="00B35D37">
      <w:pPr>
        <w:pStyle w:val="TextoNormal"/>
      </w:pPr>
      <w:r>
        <w:t xml:space="preserve">En primer lugar, el régimen jurídico procesal analizado en la STEDH de 18 de enero de 2022, asunto </w:t>
      </w:r>
      <w:r w:rsidRPr="00B35D37">
        <w:rPr>
          <w:i/>
        </w:rPr>
        <w:t>Atristain Gorosabel c. España</w:t>
      </w:r>
      <w:r>
        <w:t xml:space="preserve">, en virtud del cual los detenidos y presos en situación de incomunicación quedaban privados en todo caso de la posibilidad de designar abogado particular (arts. 520 </w:t>
      </w:r>
      <w:r w:rsidRPr="00B35D37">
        <w:rPr>
          <w:i/>
        </w:rPr>
        <w:t>bis</w:t>
      </w:r>
      <w:r>
        <w:t xml:space="preserve"> y 527 LECrim), ha sido derogado tras la modificación operada en la Ley de enjuiciamiento criminal por Ley Orgánica 13/2015, de 5 de octubre, de tal modo que el vigente apartado 2 del art. 520 </w:t>
      </w:r>
      <w:r w:rsidRPr="00B35D37">
        <w:rPr>
          <w:i/>
        </w:rPr>
        <w:t>bis</w:t>
      </w:r>
      <w:r>
        <w:t xml:space="preserve"> LECrim prevé expresamente que “[s]olicitada la incomunicación, el detenido quedará en todo caso incomunicado sin perjuicio del derecho de defensa que le asiste y de lo establecido en los artículos 520 y 527, hasta que el juez hubiere dictado la resolución pertinente”, mientras que el art. 527 reconoce la posibilidad de que se pueda privar del derecho a designar un abogado de confianza “si así lo justifican las circunstancias del caso”. Esta nueva regulación [que es aplicada por los órganos judiciales regularmente, como lo demuestra la sentencia de la Sala de lo Penal de la Audiencia Nacional 5/2022, de 7 de marzo (ECLI:ES:AN:2022:901), traída a colación por la propia recurrente] está en línea con la doctrina del Tribunal Europeo de Derechos Humanos, lo que convierte en innecesario el dictado de una sentencia a los efectos de proceder a la depuración objetiva del ordenamiento jurídico o a la interpretación que del mismo hacen los órganos judiciales ordinarios.</w:t>
      </w:r>
    </w:p>
    <w:p w14:paraId="6DEFA373" w14:textId="77777777" w:rsidR="00B35D37" w:rsidRDefault="00B35D37" w:rsidP="00B35D37">
      <w:pPr>
        <w:pStyle w:val="TextoNormal"/>
      </w:pPr>
    </w:p>
    <w:p w14:paraId="5862047A" w14:textId="77777777" w:rsidR="00B35D37" w:rsidRDefault="00B35D37" w:rsidP="00B35D37">
      <w:pPr>
        <w:pStyle w:val="TextoNormal"/>
      </w:pPr>
      <w:r>
        <w:t>En segundo lugar, la hipotética lesión del derecho de defensa alegada por la recurrente sobre la que orbita, además, la justificación de la especial trascendencia constitucional, no se imputaría a las resoluciones recurridas, las cuales, como hemos indicado anteriormente, fundamentan el pronunciamiento de condena en una serie de medios de prueba desconectados natural y jurídicamente de la presunta situación de detención ilegal padecida.</w:t>
      </w:r>
    </w:p>
    <w:p w14:paraId="5673853B" w14:textId="77777777" w:rsidR="00B35D37" w:rsidRDefault="00B35D37" w:rsidP="00B35D37">
      <w:pPr>
        <w:pStyle w:val="TextoNormal"/>
      </w:pPr>
    </w:p>
    <w:p w14:paraId="7CBF4E38" w14:textId="77777777" w:rsidR="00B35D37" w:rsidRDefault="00B35D37" w:rsidP="00B35D37">
      <w:pPr>
        <w:pStyle w:val="TextoNormal"/>
      </w:pPr>
      <w:r>
        <w:t>Por otro lado, no cabe olvidar que la sentencia de casación recurrida en amparo declaró que:</w:t>
      </w:r>
    </w:p>
    <w:p w14:paraId="7FDCBAC7" w14:textId="77777777" w:rsidR="00B35D37" w:rsidRDefault="00B35D37" w:rsidP="00B35D37">
      <w:pPr>
        <w:pStyle w:val="TextoNormal"/>
      </w:pPr>
    </w:p>
    <w:p w14:paraId="0E611471" w14:textId="77777777" w:rsidR="00B35D37" w:rsidRDefault="00B35D37" w:rsidP="00B35D37">
      <w:pPr>
        <w:pStyle w:val="TextoNormal"/>
      </w:pPr>
      <w:r>
        <w:t>“[E]n el caso que es objeto del presente recurso, la Audiencia Nacional no ha valorado esa declaración [policial] incriminatoria, sino el documento autógrafo suscrito por la propia acusada, en unión de otros elementos de prueba ofrecidos por los testigos y facultativos que declararon en el plenario [...].</w:t>
      </w:r>
    </w:p>
    <w:p w14:paraId="3C13248B" w14:textId="77777777" w:rsidR="00B35D37" w:rsidRDefault="00B35D37" w:rsidP="00B35D37">
      <w:pPr>
        <w:pStyle w:val="TextoNormal"/>
      </w:pPr>
    </w:p>
    <w:p w14:paraId="2747A719" w14:textId="77777777" w:rsidR="00B35D37" w:rsidRDefault="00B35D37" w:rsidP="00B35D37">
      <w:pPr>
        <w:pStyle w:val="TextoNormal"/>
      </w:pPr>
      <w:r>
        <w:t>Precisamente por esta razón [...] la existencia de fuentes de pruebas ajenas e independientes a la confesión inicial, han llevado a esta Sala a denegar a Xabier Atristain Gorosabel, mediante el auto núm. 20399/2022, fechado el 1 de junio de 2022, la autorización precisa para interponer recurso extraordinario de revisión contra la sentencia dictada por el Tribunal Supremo, que dio origen a la demanda interpuesta ante el Tribunal Europeo de Derechos Humanos y a la sentencia que hemos transcrito en sus pasajes más relevantes.</w:t>
      </w:r>
    </w:p>
    <w:p w14:paraId="3A4C6953" w14:textId="77777777" w:rsidR="00B35D37" w:rsidRDefault="00B35D37" w:rsidP="00B35D37">
      <w:pPr>
        <w:pStyle w:val="TextoNormal"/>
      </w:pPr>
    </w:p>
    <w:p w14:paraId="4958EED7" w14:textId="77777777" w:rsidR="00B35D37" w:rsidRDefault="00B35D37" w:rsidP="00B35D37">
      <w:pPr>
        <w:pStyle w:val="TextoNormal"/>
      </w:pPr>
      <w:r>
        <w:t>El párrafo conclusivo del auto por el que se denegó esa autorización, tras plasmar las fuentes de prueba independientes a la confesión, concluye en términos que tienen plena aplicabilidad al supuesto que ahora nos ocupa: ‘[…] consecuentemente, y de conformidad con la argumentación del Ministerio Fiscal, procede declarar no haber lugar a autorizar la formalización del recurso de revisión que se insta, toda vez que prescindiendo de las declaraciones cuya vulneración al Convenio europeo de derechos humanos ha sido declarado, merced a otras pruebas ajenas a la misma se hubiera podido llegar a la misma conclusión convictiva sobre los hechos que fundamentan la condena’”.</w:t>
      </w:r>
    </w:p>
    <w:p w14:paraId="795A7AB5" w14:textId="77777777" w:rsidR="00B35D37" w:rsidRDefault="00B35D37" w:rsidP="00B35D37">
      <w:pPr>
        <w:pStyle w:val="TextoNormal"/>
      </w:pPr>
    </w:p>
    <w:p w14:paraId="226426D6" w14:textId="77777777" w:rsidR="00B35D37" w:rsidRDefault="00B35D37" w:rsidP="00B35D37">
      <w:pPr>
        <w:pStyle w:val="TextoNormal"/>
      </w:pPr>
      <w:r>
        <w:t>El citado auto de inadmisión de 1 de junio de 2022, dictado en el recurso de revisión planteado por el señor Atristain Gorosabel, fue objeto de recurso de amparo, registrado con el número 6261-2022, y resuelto mediante providencia de inadmisión de 27 de julio de 2023, dictada por la Sección Primera de este tribunal con arreglo a lo previsto en el art. 50.1 a) LOTC, dada la manifiesta inexistencia de violación de un derecho fundamental tutelable en amparo.</w:t>
      </w:r>
    </w:p>
    <w:p w14:paraId="6C2C6728" w14:textId="77777777" w:rsidR="00B35D37" w:rsidRDefault="00B35D37" w:rsidP="00B35D37">
      <w:pPr>
        <w:pStyle w:val="TextoNormal"/>
      </w:pPr>
    </w:p>
    <w:p w14:paraId="30311B7C" w14:textId="77777777" w:rsidR="00B35D37" w:rsidRDefault="00B35D37" w:rsidP="00B35D37">
      <w:pPr>
        <w:pStyle w:val="TextoNormal"/>
      </w:pPr>
      <w:r>
        <w:t>Frente a esta providencia, el entonces recurrente planteó nuevo recurso ante el Tribunal Europeo de Derechos Humanos, que fue inadmitido por decisión de 4 de julio de 2024, al cerciorarse ese Tribunal de que la resolución del Tribunal Supremo de 1 de junio de 2022 no fue arbitraria al interpretar la STEDH de 18 de enero de 2022, en el sentido de afirmar que, si bien las pruebas aportadas por el demandante sin la asistencia de un abogado de su elección, pero con abogado de oficio, habían tenido cierto peso en su condena (al contrario que en el caso de la ahora demandante de amparo, en que no tuvo efecto probatorio alguno), habían existido suficientes elementos adicionales para condenarlo en cualquier caso y, por lo tanto, no procedía una revisión del caso (§ 24 y 25). En consecuencia, el Tribunal Europeo de Derechos Humanos declaró que no puede concluir que la interpretación de su sentencia de 18 de enero de 2022 por parte del Tribunal Supremo fuera el resultado de un error manifiesto de hecho o de Derecho que condujera a una denegación de justicia (§ 26).</w:t>
      </w:r>
    </w:p>
    <w:p w14:paraId="59462359" w14:textId="77777777" w:rsidR="00B35D37" w:rsidRDefault="00B35D37" w:rsidP="00B35D37">
      <w:pPr>
        <w:pStyle w:val="TextoNormal"/>
      </w:pPr>
    </w:p>
    <w:p w14:paraId="0210C65C" w14:textId="77777777" w:rsidR="00B35D37" w:rsidRDefault="00B35D37" w:rsidP="00B35D37">
      <w:pPr>
        <w:pStyle w:val="TextoNormal"/>
      </w:pPr>
      <w:r>
        <w:t>La imputación de la lesión del derecho fundamental a las resoluciones recurridas debe partir de la premisa de que aquellas sean su causante o que, no teniendo origen en aquellas, las verifiquen o validen, siendo así que, respecto a sentencias condenatorias, esto solo concurrirá cuando la hipotética lesión del derecho de defensa haya tenido una proyección respecto al conjunto de las actuaciones procesales afectando con ello al proceso equitativo (art. 24.2 CE).</w:t>
      </w:r>
    </w:p>
    <w:p w14:paraId="1AC12B90" w14:textId="77777777" w:rsidR="00B35D37" w:rsidRDefault="00B35D37" w:rsidP="00B35D37">
      <w:pPr>
        <w:pStyle w:val="TextoNormal"/>
      </w:pPr>
    </w:p>
    <w:p w14:paraId="66B4D72A" w14:textId="1D42C8BC" w:rsidR="00B35D37" w:rsidRDefault="00B35D37" w:rsidP="00B35D37">
      <w:pPr>
        <w:pStyle w:val="TextoNormal"/>
      </w:pPr>
      <w:r>
        <w:t>En virtud de las consideraciones ya expuestas procede acordar la inadmisión del presente recurso de amparo, pues ninguno de los presupuestos de los que parten las quejas de la demandante concurren en este caso, dado que ni la prueba de cargo que sustenta su condena se fundamentó en la declaración de aquella durante la detención incomunicada, ni la inasistencia de abogado de su confianza durante las diligencias policiales tuvo relevancia alguna en el conjunto del proceso que culminó en su condena por delitos de terrorismo.</w:t>
      </w:r>
    </w:p>
    <w:p w14:paraId="09C16245" w14:textId="77777777" w:rsidR="00B35D37" w:rsidRDefault="00B35D37" w:rsidP="00B35D37">
      <w:pPr>
        <w:pStyle w:val="TextoNormal"/>
      </w:pPr>
    </w:p>
    <w:p w14:paraId="46B4DDBA" w14:textId="77777777" w:rsidR="00B35D37" w:rsidRDefault="00B35D37" w:rsidP="00B35D37">
      <w:pPr>
        <w:pStyle w:val="TextoNormal"/>
      </w:pPr>
      <w:r>
        <w:t>Por lo expuesto, el Pleno</w:t>
      </w:r>
    </w:p>
    <w:p w14:paraId="6896EC67" w14:textId="00F80A6E" w:rsidR="00B35D37" w:rsidRDefault="00B35D37" w:rsidP="00B35D37">
      <w:pPr>
        <w:pStyle w:val="TextoNormal"/>
      </w:pPr>
    </w:p>
    <w:p w14:paraId="4A8B96BB" w14:textId="77777777" w:rsidR="00B35D37" w:rsidRDefault="00B35D37" w:rsidP="00B35D37">
      <w:pPr>
        <w:pStyle w:val="TextoNormalCentrado"/>
      </w:pPr>
      <w:r>
        <w:t>ACUERDA</w:t>
      </w:r>
    </w:p>
    <w:p w14:paraId="27569D00" w14:textId="40D1C551" w:rsidR="00B35D37" w:rsidRDefault="00B35D37" w:rsidP="00B35D37">
      <w:pPr>
        <w:pStyle w:val="TextoNormalCentrado"/>
      </w:pPr>
    </w:p>
    <w:p w14:paraId="59FFE0E9" w14:textId="48642263" w:rsidR="00B35D37" w:rsidRDefault="00B35D37" w:rsidP="00B35D37">
      <w:pPr>
        <w:pStyle w:val="TextoNormal"/>
      </w:pPr>
      <w:r>
        <w:t>Inadmitir el recurso de amparo núm. 1783-2023 interpuesto por doña Iratxe Sorzabal Díaz.</w:t>
      </w:r>
    </w:p>
    <w:p w14:paraId="3035294C" w14:textId="77777777" w:rsidR="00B35D37" w:rsidRDefault="00B35D37" w:rsidP="00B35D37">
      <w:pPr>
        <w:pStyle w:val="TextoNormal"/>
      </w:pPr>
    </w:p>
    <w:p w14:paraId="69666B08" w14:textId="77777777" w:rsidR="00B35D37" w:rsidRDefault="00B35D37" w:rsidP="00B35D37">
      <w:pPr>
        <w:pStyle w:val="TextoNormal"/>
      </w:pPr>
      <w:r>
        <w:t>Madrid, a veinticinco de marzo de dos mil veinticinco.</w:t>
      </w:r>
    </w:p>
    <w:p w14:paraId="38AC6D9A" w14:textId="49F57A6C" w:rsidR="00B35D37" w:rsidRDefault="00B35D37" w:rsidP="00B35D37">
      <w:pPr>
        <w:pStyle w:val="ParrafoNormal"/>
      </w:pPr>
    </w:p>
    <w:p w14:paraId="7DF43DFF" w14:textId="77777777" w:rsidR="00B35D37" w:rsidRDefault="00B35D37" w:rsidP="00B35D37">
      <w:pPr>
        <w:pStyle w:val="TextoNormalNegritaCentrado"/>
        <w:keepNext/>
      </w:pPr>
      <w:r>
        <w:t>Voto que formulan la magistrada doña María Luisa Balaguer Callejón y el magistrado don particular Ramón Sáez Valcárcel al auto dictado en el recurso de amparo núm. 1783-2023</w:t>
      </w:r>
    </w:p>
    <w:p w14:paraId="133C7FCF" w14:textId="12FFE4AB" w:rsidR="00B35D37" w:rsidRDefault="00B35D37" w:rsidP="00B35D37">
      <w:pPr>
        <w:pStyle w:val="TextoNormalNegritaCentrado"/>
        <w:keepNext/>
      </w:pPr>
    </w:p>
    <w:p w14:paraId="3D53BD22" w14:textId="77777777" w:rsidR="00B35D37" w:rsidRDefault="00B35D37" w:rsidP="00B35D37">
      <w:pPr>
        <w:pStyle w:val="TextoNormal"/>
      </w:pPr>
      <w:r>
        <w:t>En ejercicio de la facultad que nos confiere el artículo 90.2 de la Ley Orgánica del Tribunal Constitucional, y con respeto a la opinión de la mayoría, formulamos el presente voto particular para expresar las razones de nuestra discrepancia con la decisión de inadmitir a trámite el recurso de amparo núm. 1783-2023. Entendemos que concurre causa de especial trascendencia constitucional porque el caso permite elaborar doctrina sobre las garantías de la detención incomunicada, en concreto para exigir un canon reforzado de motivación para que la autoridad judicial pueda restringir el derecho a la asistencia de letrado de confianza y a la entrevista reservada con este (art. 17.3 CE).</w:t>
      </w:r>
    </w:p>
    <w:p w14:paraId="17CD4CF7" w14:textId="77777777" w:rsidR="00B35D37" w:rsidRDefault="00B35D37" w:rsidP="00B35D37">
      <w:pPr>
        <w:pStyle w:val="TextoNormal"/>
      </w:pPr>
    </w:p>
    <w:p w14:paraId="2A64044A" w14:textId="77777777" w:rsidR="00B35D37" w:rsidRDefault="00B35D37" w:rsidP="00B35D37">
      <w:pPr>
        <w:pStyle w:val="TextoNormal"/>
      </w:pPr>
      <w:r>
        <w:t xml:space="preserve">2. El auto inadmite el recurso de amparo considerando que no concurre especial trascendencia constitucional [art. 50.1 b) LOTC], afirmación que se construye sobre la base de tres argumentos de diferente índole: (i) existe una suerte de desconexión o descontextualización de la causa de especial trascendencia constitucional alegada debido a las diferencias que existen entre el supuesto de hecho de la STEDH de 18 de enero de 2022, asunto </w:t>
      </w:r>
      <w:r w:rsidRPr="00B35D37">
        <w:rPr>
          <w:i/>
        </w:rPr>
        <w:t>Atristain Gorosabel c. España</w:t>
      </w:r>
      <w:r>
        <w:t xml:space="preserve">, y las circunstancias concurrentes en el presente caso; (ii) los antiguos artículos 520 </w:t>
      </w:r>
      <w:r w:rsidRPr="00B35D37">
        <w:rPr>
          <w:i/>
        </w:rPr>
        <w:t>bis</w:t>
      </w:r>
      <w:r>
        <w:t xml:space="preserve"> y 527 LECrim, que justificaron la aplicación de la medida controvertida de incomunicación de la detención con privación del derecho a asistencia de abogado de confianza y entrevista reservada con el profesional, fueron modificados por la reforma llevada a cabo por la Ley Orgánica 13/2015, de 5 de octubre, siendo sustituidos por los nuevos arts. 520 y 527 LECrim lo que supone que la nueva regulación “está en línea con la doctrina del Tribunal Europeo de Derechos Humanos”; y (iii) la lesión del derecho de defensa alegada por la recurrente —sobre la que descansaría la justificación de la especial trascendencia constitucional— no sería imputable a las resoluciones recurridas.</w:t>
      </w:r>
    </w:p>
    <w:p w14:paraId="1A5511A2" w14:textId="77777777" w:rsidR="00B35D37" w:rsidRDefault="00B35D37" w:rsidP="00B35D37">
      <w:pPr>
        <w:pStyle w:val="TextoNormal"/>
      </w:pPr>
    </w:p>
    <w:p w14:paraId="618C57EA" w14:textId="77777777" w:rsidR="00B35D37" w:rsidRDefault="00B35D37" w:rsidP="00B35D37">
      <w:pPr>
        <w:pStyle w:val="TextoNormal"/>
      </w:pPr>
      <w:r>
        <w:t>Todo ello lleva a afirmar que el presente recurso de amparo no serviría para efectuar una “depuración objetiva del ordenamiento jurídico o [de] la interpretación que del mismo hacen los órganos judiciales ordinarios”, siendo que la utilidad de aquel tampoco se predicaría desde una perspectiva eminentemente subjetiva dada cuenta de (i) la no valoración como prueba de las declaraciones policiales prestadas por la recurrente durante la situación de indebida privación del derecho de defensa y (ii) la inexistencia de una suerte de “conexión de antijuridicidad” entre la situación de detención incomunicada y las pruebas en que se fundamenta el pronunciamiento condenatorio recurrido en amparo.</w:t>
      </w:r>
    </w:p>
    <w:p w14:paraId="371E0C16" w14:textId="77777777" w:rsidR="00B35D37" w:rsidRDefault="00B35D37" w:rsidP="00B35D37">
      <w:pPr>
        <w:pStyle w:val="TextoNormal"/>
      </w:pPr>
    </w:p>
    <w:p w14:paraId="00E2570A" w14:textId="77777777" w:rsidR="00B35D37" w:rsidRDefault="00B35D37" w:rsidP="00B35D37">
      <w:pPr>
        <w:pStyle w:val="TextoNormal"/>
      </w:pPr>
      <w:r>
        <w:t>3. En nuestra opinión el recurso de amparo presenta un problema central acerca de las garantías de la detención provisional como medida cautelar en el proceso penal cuando se decreta la incomunicación de la persona privada de libertad. En efecto, la demandante cuestiona que, en una aplicación automática de la Ley de enjuiciamiento criminal, se le privó del derecho a ser asistida por un abogado de su confianza y de la posibilidad de entrevistarse con este de manera reservada. Se trata de dos garantías esenciales para proteger la persona y los derechos del detenido durante la investigación policial —derecho a la integridad física y moral, a no padecer tratos inhumanos o degradantes, libertad de declaración—, que adquieren máxima relevancia cuando se ha decretado la incomunicación, una modalidad de privación cautelar de libertad que propicia un espacio de vulnerabilidad de la persona investigada por la intensa restricción de sus derechos. Por ello, exigen del juez, con independencia de la debida motivación de la decisión de incomunicación, una justificación específica de la restricción que identifique con precisión la finalidad que persigue con la medida y que esta supera el juicio de proporcionalidad.</w:t>
      </w:r>
    </w:p>
    <w:p w14:paraId="41E1E125" w14:textId="77777777" w:rsidR="00B35D37" w:rsidRDefault="00B35D37" w:rsidP="00B35D37">
      <w:pPr>
        <w:pStyle w:val="TextoNormal"/>
      </w:pPr>
    </w:p>
    <w:p w14:paraId="7FADD816" w14:textId="77777777" w:rsidR="00B35D37" w:rsidRDefault="00B35D37" w:rsidP="00B35D37">
      <w:pPr>
        <w:pStyle w:val="TextoNormal"/>
      </w:pPr>
      <w:r>
        <w:t xml:space="preserve">La doctrina constitucional al respecto, en nuestra opinión, debe evolucionar y actualizarse para acoger los estándares de garantía del Tribunal Europeo de Derechos Humanos, en la interpretación que ha realizado del art. 6.3 del Convenio europeo de derechos humanos (STEDH de 18 de enero de 2022, asunto </w:t>
      </w:r>
      <w:r w:rsidRPr="00B35D37">
        <w:rPr>
          <w:i/>
        </w:rPr>
        <w:t>Atristrain Gorosabel c. España</w:t>
      </w:r>
      <w:r>
        <w:t xml:space="preserve">, citada en el recurso). Aunque el Tribunal Europeo de Derechos Humanos admite restricciones a la asistencia letrada de elección y al contacto entre abogado y cliente en casos de terrorismo y delincuencia organizada (SSTEDH de 5 de julio de 2001, asunto </w:t>
      </w:r>
      <w:r w:rsidRPr="00B35D37">
        <w:rPr>
          <w:i/>
        </w:rPr>
        <w:t>Erdem c. Alemania</w:t>
      </w:r>
      <w:r>
        <w:t xml:space="preserve">, y de 25 de julio de 2013, asunto </w:t>
      </w:r>
      <w:r w:rsidRPr="00B35D37">
        <w:rPr>
          <w:i/>
        </w:rPr>
        <w:t>Khodorkovskiy y Lebedev c. Rusia</w:t>
      </w:r>
      <w:r>
        <w:t xml:space="preserve">), considera que son medidas excepcionales solo aceptables cuando se establecen garantías suficientes para prevenir cualquier tipo de abuso. La relación de confianza entre acusado y abogado, la posibilidad de que aquel pueda consultar en privado con este y recibir indicaciones antes de ser interrogado, son fundamentales desde la perspectiva del respeto a los derechos que enuncia el art. 6 del Convenio. Por ello, la decisión de restricción del derecho ha de realizarse siempre mediante “una valoración individualizada de las circunstancias particulares del caso” (STEDH </w:t>
      </w:r>
      <w:r w:rsidRPr="00B35D37">
        <w:rPr>
          <w:i/>
        </w:rPr>
        <w:t>Atristain c. España</w:t>
      </w:r>
      <w:r>
        <w:t xml:space="preserve">, § 60), debiendo proporcionarse la debida “justificación […] sobre la necesidad de dicha restricción”, pues “[e]l hecho de que el juez deba motivar la incomunicación en general no justifica la necesidad de restringir el derecho de acceder a un abogado de su elección” (STEDH </w:t>
      </w:r>
      <w:r w:rsidRPr="00B35D37">
        <w:rPr>
          <w:i/>
        </w:rPr>
        <w:t>Atristain c. España</w:t>
      </w:r>
      <w:r>
        <w:t>, § 59).</w:t>
      </w:r>
    </w:p>
    <w:p w14:paraId="1889C328" w14:textId="77777777" w:rsidR="00B35D37" w:rsidRDefault="00B35D37" w:rsidP="00B35D37">
      <w:pPr>
        <w:pStyle w:val="TextoNormal"/>
      </w:pPr>
    </w:p>
    <w:p w14:paraId="7373C7F7" w14:textId="77777777" w:rsidR="00B35D37" w:rsidRDefault="00B35D37" w:rsidP="00B35D37">
      <w:pPr>
        <w:pStyle w:val="TextoNormal"/>
      </w:pPr>
      <w:r>
        <w:t>Señala el auto del que discrepamos que la jurisprudencia del Tribunal Constitucional ha afrontado parcialmente estas cuestiones (con cita de la STC 196/1987, de 11 de diciembre, y del ATC 155/1999, de 14 de junio, FJ 4). Pero esa doctrina no ha asumido la exigencia de motivación reforzada de la decisión judicial, no solo de la incomunicación sino también de la privación del derecho a designar abogado de confianza y a una entrevista confidencial, motivación que ha de atender de manera específica a determinar la finalidad de la restricción y a analizar la proporcionalidad de la medida. Esa carencia se pone de manifiesto en la argumentación de la STC 127/2000, de 16 de mayo, FJ 3, donde se venía a considerar suficiente la motivación por remisión a la solicitud gubernativa de incomunicación, hecha en forma de providencia, bajo la premisa de que “no puede exigirse la explicitación de lo que por sabido resulta innecesario”. Decía: “En consecuencia, tampoco resulta constitucionalmente exigible un mayor razonamiento acerca de la necesidad de la incomunicación para alcanzar la finalidad que la legitima, ya que esta puede afirmarse en estos delitos de forma genérica en términos de elevada probabilidad y con independencia de las circunstancias personales del sometido a incomunicación, dada la naturaleza del delito investigado y los conocimientos sobre la forma de actuación de las organizaciones terroristas. Por último, no puede obviarse que, de la lectura de los autos deriva que, en el caso concreto, la necesidad de la medida viene avalada por la propia complejidad de la investigación, el número de personas detenidas en el curso de la misma y porque, en el momento de autorizarse la incomunicación del recurrente, la investigación no había aún concluido”.</w:t>
      </w:r>
    </w:p>
    <w:p w14:paraId="02B3EC29" w14:textId="77777777" w:rsidR="00B35D37" w:rsidRDefault="00B35D37" w:rsidP="00B35D37">
      <w:pPr>
        <w:pStyle w:val="TextoNormal"/>
      </w:pPr>
    </w:p>
    <w:p w14:paraId="52F8EEC6" w14:textId="77777777" w:rsidR="00B35D37" w:rsidRDefault="00B35D37" w:rsidP="00B35D37">
      <w:pPr>
        <w:pStyle w:val="TextoNormal"/>
      </w:pPr>
      <w:r>
        <w:t>4. A dicha conclusión no obsta el hecho de que, como señala el auto, la normativa reguladora de la detención incomunicada haya sido modificada mediante la Ley Orgánica 13/2015, de 5 de octubre, que ha asumido la doctrina del Tribunal Europeo de Derechos Humanos, lo que haría innecesaria la elaboración de doctrina. Porque la circunstancia de que el legislador haya decidido afrontar una modificación del régimen legal de la detención incomunicada en el sentido de exigir que la privación del derecho a designar un abogado de confianza y de la posibilidad de entrevistarse reservadamente con él “se[a] acordada por auto debiéndose motivar las razones que justifican la adopción de cada una de las excepciones al régimen general de conformidad con lo dispuesto en el artículo 509” (art. 527.2 LECrim) no descarta la función de este tribunal de interpretar el contenido de los derechos fundamentales concernidos y, en consecuencia, determinar si la aplicación de este régimen de autorización con un canon de motivación reforzada de la restricción constituye una exigencia derivada del propio texto constitucional, como creemos, o se confía a una decisión de configuración legal.</w:t>
      </w:r>
    </w:p>
    <w:p w14:paraId="49CB377F" w14:textId="77777777" w:rsidR="00B35D37" w:rsidRDefault="00B35D37" w:rsidP="00B35D37">
      <w:pPr>
        <w:pStyle w:val="TextoNormal"/>
      </w:pPr>
    </w:p>
    <w:p w14:paraId="058DA0E1" w14:textId="77777777" w:rsidR="00B35D37" w:rsidRDefault="00B35D37" w:rsidP="00B35D37">
      <w:pPr>
        <w:pStyle w:val="TextoNormal"/>
      </w:pPr>
      <w:r>
        <w:t>Que algunos preceptos o disposiciones de la Ley hayan podido ser modificados o derogados no supone la pérdida de objeto del recurso de amparo. Como ha señalado este tribunal en reiteradas ocasiones en relación con la pérdida de objeto de los procesos constitucionales, “no cabe dar una respuesta unívoca y general a la cuestión relativa a los efectos de la modificación, derogación o pérdida de vigencia de una disposición legal, ulterior a su impugnación” (SSTC 233/1999, de 16 de diciembre, FJ 3; 148/2000, de 1 de junio, FJ 3, y 190/2000, de 13 de julio, FJ 2). De tal manera que, aun en supuestos de modificación o derogación de la norma controvertida, puede resultar útil o conveniente su enjuiciamiento a fin de prevenir todo “vestigio de vigencia que [aquella] pudiera conservar” (SSTC 385/1993, de 23 de diciembre, FJ 2, y 68/2007, de 28 de marzo, FJ 4).</w:t>
      </w:r>
    </w:p>
    <w:p w14:paraId="29B0B3F5" w14:textId="77777777" w:rsidR="00B35D37" w:rsidRDefault="00B35D37" w:rsidP="00B35D37">
      <w:pPr>
        <w:pStyle w:val="TextoNormal"/>
      </w:pPr>
    </w:p>
    <w:p w14:paraId="18EA63A2" w14:textId="77777777" w:rsidR="00B35D37" w:rsidRDefault="00B35D37" w:rsidP="00B35D37">
      <w:pPr>
        <w:pStyle w:val="TextoNormal"/>
      </w:pPr>
      <w:r>
        <w:t>Y esta es la situación que aquí se plantea. La restricción del derecho a la asistencia letrada y de la capacidad de reacción defensiva frente a la investigación durante la detención incomunicada de la recurrente no ha sido objeto de pronunciamiento por parte de los órganos judiciales, que han limitado su análisis a la posible vulneración del derecho a un proceso con todas las garantías y a la presunción de inocencia (art. 24.2 CE), soslayando u orillando la posible lesión del derecho fundamental en tanto garantía de la libertad, de la integridad física y moral de la detenida, de su derecho a no ser sometida a tratos inhumanos y degradantes y de su libertad de declaración (arts. 17.3, 15 y 24.2 CE).</w:t>
      </w:r>
    </w:p>
    <w:p w14:paraId="6D35F003" w14:textId="77777777" w:rsidR="00B35D37" w:rsidRDefault="00B35D37" w:rsidP="00B35D37">
      <w:pPr>
        <w:pStyle w:val="TextoNormal"/>
      </w:pPr>
    </w:p>
    <w:p w14:paraId="1124630F" w14:textId="77777777" w:rsidR="00B35D37" w:rsidRDefault="00B35D37" w:rsidP="00B35D37">
      <w:pPr>
        <w:pStyle w:val="TextoNormal"/>
      </w:pPr>
      <w:r>
        <w:t>5. A todo ello hay que unir la circunstancia de que, en nuestra opinión, la eventual lesión del derecho de defensa durante la práctica de las primeras diligencias policiales y judiciales exige un tratamiento del posible efecto contaminante sobre el resto del proceso penal, más allá de la técnica de la conexión de antijuricidad entre la prueba obtenida originariamente mediante violación de derechos fundamentales y la prueba derivada. Porque la privación del derecho a ser asistido por letrado de confianza, después de una entrevista confidencial con el profesional, puede llegar a producir situaciones diversas de indefensión material durante la práctica de diligencias policiales y judiciales de investigación que pueden viciar, o al menos condicionar, el resto de actos de instrucción y de preparación del juicio, aun cuando dichas diligencias no estuvieren directamente conectadas con la situación ilícita creada por la ausencia de justificación de la privación de las garantías de la detención. Por lo tanto, el denominado efecto de condicionamiento del resto de diligencias y pruebas presentadas no puede examinarse únicamente desde un prisma que atienda a una mera relación causal —como de hecho ocurre con la conexión de antijuridicidad entre la prueba originaria y la prueba derivada (STC 189/1998, de 28 de septiembre, FJ 2)— sino que ha de atender a la concurrencia de factores adicionales que permitan afirmar que el proceso judicial ha sido equitativo en su conjunto, según los indicadores señalados por la doctrina del Tribunal Europeo de Derechos Humanos (si hubo posibilidad de impugnar la autenticidad de la prueba y de oponerse a su práctica, la calidad de la prueba, la existencia de dudas sobre su fiabilidad o exactitud, la necesidad de pruebas de apoyo).</w:t>
      </w:r>
    </w:p>
    <w:p w14:paraId="564D051D" w14:textId="77777777" w:rsidR="00B35D37" w:rsidRDefault="00B35D37" w:rsidP="00B35D37">
      <w:pPr>
        <w:pStyle w:val="TextoNormal"/>
      </w:pPr>
    </w:p>
    <w:p w14:paraId="50CC5F5D" w14:textId="77777777" w:rsidR="00B35D37" w:rsidRDefault="00B35D37" w:rsidP="00B35D37">
      <w:pPr>
        <w:pStyle w:val="TextoNormal"/>
      </w:pPr>
      <w:r>
        <w:t xml:space="preserve">En definitiva, la demanda de amparo daría la oportunidad a este tribunal para explicitar cuáles son los efectos derivados de la ilegal restricción de la asistencia letrada al detenido sobre el derecho de defensa y si, de alguna manera, dicha restricción puede llegar a tener algún efecto contaminante sobre el resto del material probatorio. En este sentido, conviene recordar cómo el Tribunal Europeo de Derechos Humanos ha recalcado la importancia de la investigación para la preparación del juicio penal, ya que las pruebas obtenidas durante esta fase determinan el marco en el que se considerará el delito imputado en el juicio y, asimismo, pueden atribuir “consecuencias decisivas para las perspectivas de la defensa en cualquier proceso penal posterior” (STEDH de 26 de abril de 2007, asunto </w:t>
      </w:r>
      <w:r w:rsidRPr="00B35D37">
        <w:rPr>
          <w:i/>
        </w:rPr>
        <w:t>Salduz c. Turquía</w:t>
      </w:r>
      <w:r>
        <w:t xml:space="preserve">, § 54). La equidad del proceso exige que el acusado pueda obtener toda la gama de servicios específicamente relacionados con la asistencia letrada. A este respecto, el abogado debe ser capaz de garantizar sin restricciones los aspectos fundamentales de la defensa del acusado: la discusión del caso, la organización de la defensa, la recopilación de pruebas favorables, la preparación del interrogatorio, el apoyo a un acusado en apuros y la verificación de las condiciones de detención (STEDH de 13 de octubre de 2009, asunto </w:t>
      </w:r>
      <w:r w:rsidRPr="00B35D37">
        <w:rPr>
          <w:i/>
        </w:rPr>
        <w:t>Dayanan c. Turquía</w:t>
      </w:r>
      <w:r>
        <w:t>, § 32).</w:t>
      </w:r>
    </w:p>
    <w:p w14:paraId="24BF003A" w14:textId="77777777" w:rsidR="00B35D37" w:rsidRDefault="00B35D37" w:rsidP="00B35D37">
      <w:pPr>
        <w:pStyle w:val="TextoNormal"/>
      </w:pPr>
    </w:p>
    <w:p w14:paraId="7C6298C5" w14:textId="77777777" w:rsidR="00B35D37" w:rsidRDefault="00B35D37" w:rsidP="00B35D37">
      <w:pPr>
        <w:pStyle w:val="TextoNormal"/>
      </w:pPr>
      <w:r>
        <w:t>Y en este sentido emitimos nuestro voto particular.</w:t>
      </w:r>
    </w:p>
    <w:p w14:paraId="225B5E94" w14:textId="77777777" w:rsidR="00B35D37" w:rsidRDefault="00B35D37" w:rsidP="00B35D37">
      <w:pPr>
        <w:pStyle w:val="TextoNormal"/>
      </w:pPr>
    </w:p>
    <w:p w14:paraId="745926D3" w14:textId="26481315" w:rsidR="00B35D37" w:rsidRDefault="00B35D37" w:rsidP="00B35D37">
      <w:pPr>
        <w:pStyle w:val="TextoNormal"/>
      </w:pPr>
      <w:r>
        <w:t>Madrid, a veinticinco de marzo de dos mil veinticinco.</w:t>
      </w:r>
    </w:p>
    <w:p w14:paraId="3E725D47" w14:textId="44714FD9" w:rsidR="00B35D37" w:rsidRDefault="00B35D37">
      <w:pPr>
        <w:spacing w:after="160" w:line="278" w:lineRule="auto"/>
        <w:rPr>
          <w:rFonts w:ascii="Times New Roman" w:eastAsia="Times New Roman" w:hAnsi="Times New Roman" w:cs="Times New Roman"/>
          <w:sz w:val="24"/>
          <w:szCs w:val="24"/>
          <w:lang w:eastAsia="es-ES"/>
        </w:rPr>
      </w:pPr>
      <w:r>
        <w:br w:type="page"/>
      </w:r>
    </w:p>
    <w:p w14:paraId="10C2B5B5" w14:textId="77777777" w:rsidR="00B35D37" w:rsidRDefault="00B35D37" w:rsidP="00B35D37">
      <w:pPr>
        <w:pStyle w:val="TtuloResolucin"/>
      </w:pPr>
      <w:bookmarkStart w:id="168" w:name="AUTO_2025_29"/>
      <w:r>
        <w:t>AUTO 29/2025, de 25 de marzo de 2025</w:t>
      </w:r>
    </w:p>
    <w:bookmarkEnd w:id="168"/>
    <w:p w14:paraId="3F8F0C3D" w14:textId="77777777" w:rsidR="00B35D37" w:rsidRDefault="00B35D37" w:rsidP="00B35D37">
      <w:pPr>
        <w:pStyle w:val="TtuloResolucin"/>
      </w:pPr>
      <w:r>
        <w:t>Pleno</w:t>
      </w:r>
    </w:p>
    <w:p w14:paraId="7EC9A0A8" w14:textId="77777777" w:rsidR="00B35D37" w:rsidRDefault="00B35D37" w:rsidP="00B35D37">
      <w:pPr>
        <w:pStyle w:val="TextoNormalCentrado"/>
      </w:pPr>
      <w:r>
        <w:t>ECLI:ES:TC:2025:29A</w:t>
      </w:r>
    </w:p>
    <w:p w14:paraId="2A6F4041" w14:textId="0900CD1E" w:rsidR="00B35D37" w:rsidRDefault="00B35D37" w:rsidP="00B35D37">
      <w:pPr>
        <w:pStyle w:val="TextoNormalCentrado"/>
      </w:pPr>
    </w:p>
    <w:p w14:paraId="6702872E"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1D5AF433" w14:textId="37AC45E7" w:rsidR="00B35D37" w:rsidRDefault="00B35D37" w:rsidP="00B35D37">
      <w:pPr>
        <w:pStyle w:val="SntesisDescriptiva"/>
      </w:pPr>
    </w:p>
    <w:p w14:paraId="63D99CAD" w14:textId="77777777" w:rsidR="00B35D37" w:rsidRDefault="00B35D37" w:rsidP="00B35D37">
      <w:pPr>
        <w:pStyle w:val="SntesisDescriptiva"/>
      </w:pPr>
      <w:r>
        <w:t>Inadmite a trámite la cuestión de inconstitucionalidad 3268-2024, planteada por el Juzgado de lo Contencioso-Administrativo núm. 2 de Mérida, en relación con el inciso final del párrafo primero del artículo 3 del Decreto-ley de la Junta de Extremadura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w:t>
      </w:r>
    </w:p>
    <w:p w14:paraId="5C7A5855" w14:textId="601013EF" w:rsidR="00B35D37" w:rsidRDefault="00B35D37" w:rsidP="00B35D37">
      <w:pPr>
        <w:pStyle w:val="SntesisDescriptiva"/>
      </w:pPr>
    </w:p>
    <w:p w14:paraId="2E773B47" w14:textId="77777777" w:rsidR="00B35D37" w:rsidRDefault="00B35D37" w:rsidP="00B35D37">
      <w:pPr>
        <w:pStyle w:val="SntesisDescriptiva"/>
      </w:pPr>
    </w:p>
    <w:p w14:paraId="772B4BBA" w14:textId="77777777" w:rsidR="00B35D37" w:rsidRDefault="00B35D37" w:rsidP="00B35D37">
      <w:pPr>
        <w:pStyle w:val="SntesisDescriptiva"/>
      </w:pPr>
    </w:p>
    <w:p w14:paraId="62315AFC" w14:textId="77777777" w:rsidR="00B35D37" w:rsidRDefault="00B35D37" w:rsidP="00B35D37">
      <w:pPr>
        <w:pStyle w:val="TextoNormalNegritaCentrado"/>
      </w:pPr>
      <w:r>
        <w:t>AUTO</w:t>
      </w:r>
    </w:p>
    <w:p w14:paraId="727F2E82" w14:textId="14281EC6" w:rsidR="00B35D37" w:rsidRDefault="00B35D37" w:rsidP="00B35D37">
      <w:pPr>
        <w:pStyle w:val="TextoNormalNegritaCentrado"/>
      </w:pPr>
    </w:p>
    <w:p w14:paraId="31677BE3" w14:textId="77777777" w:rsidR="00B35D37" w:rsidRDefault="00B35D37" w:rsidP="00B35D37">
      <w:pPr>
        <w:pStyle w:val="TextoNormalNegritaCentrado"/>
        <w:keepNext/>
      </w:pPr>
      <w:r>
        <w:t>I. Antecedentes</w:t>
      </w:r>
    </w:p>
    <w:p w14:paraId="336D1AE0" w14:textId="7BACDB56" w:rsidR="00B35D37" w:rsidRDefault="00B35D37" w:rsidP="00B35D37">
      <w:pPr>
        <w:pStyle w:val="TextoNormalNegritaCentrado"/>
        <w:keepNext/>
      </w:pPr>
    </w:p>
    <w:p w14:paraId="1A86700B" w14:textId="77777777" w:rsidR="00B35D37" w:rsidRDefault="00B35D37" w:rsidP="00B35D37">
      <w:pPr>
        <w:pStyle w:val="TextoNormal"/>
      </w:pPr>
      <w:r w:rsidRPr="00B35D37">
        <w:rPr>
          <w:rStyle w:val="NumeroAFNegritaCaracter"/>
        </w:rPr>
        <w:t>1</w:t>
      </w:r>
      <w:r>
        <w:t>. El 7 de mayo de 2024 tuvo entrada en el registro general de este tribunal testimonio de las actuaciones del procedimiento abreviado núm. 159-2023, seguidas ante el Juzgado de lo Contencioso-Administrativo núm. 2 de Mérida. En dicho procedimiento, el 24 de abril de 2024 se dictó auto planteando cuestión de inconstitucionalidad en relación con el inciso final “en las mismas condiciones a las establecidas en el artículo 1”, del párrafo primero del art. 3 del Decreto-ley 2/2018, de 11 de diciembre (en adelante, Decreto-ley 2/2018). Se alegó la duda de constitucionalidad que generaba la remisión del párrafo primero del artículo 3 a “las condiciones establecidas en el artículo 1” pues implicaba la exclusión, en todo caso, del complemento de atención continuada (conocido como guardias), lo que podía vulnerar los arts. 14 y 39 CE.</w:t>
      </w:r>
    </w:p>
    <w:p w14:paraId="354A92CF" w14:textId="77777777" w:rsidR="00B35D37" w:rsidRDefault="00B35D37" w:rsidP="00B35D37">
      <w:pPr>
        <w:pStyle w:val="TextoNormal"/>
      </w:pPr>
    </w:p>
    <w:p w14:paraId="51520C16" w14:textId="77777777" w:rsidR="00B35D37" w:rsidRDefault="00B35D37" w:rsidP="00B35D37">
      <w:pPr>
        <w:pStyle w:val="TextoNormal"/>
      </w:pPr>
      <w:r>
        <w:t>El art. 3 del Decreto-ley 2/2018 establece:</w:t>
      </w:r>
    </w:p>
    <w:p w14:paraId="38B258D1" w14:textId="77777777" w:rsidR="00B35D37" w:rsidRDefault="00B35D37" w:rsidP="00B35D37">
      <w:pPr>
        <w:pStyle w:val="TextoNormal"/>
      </w:pPr>
    </w:p>
    <w:p w14:paraId="6010ADBD" w14:textId="77777777" w:rsidR="00B35D37" w:rsidRDefault="00B35D37" w:rsidP="00B35D37">
      <w:pPr>
        <w:pStyle w:val="TextoNormal"/>
      </w:pPr>
      <w:r>
        <w:t>“El personal de la Junta de Extremadura, sus organismos públicos y resto de entes dependientes incluido en el régimen general de la Seguridad Social, así como el adscrito a los regímenes especiales de Seguridad Social del mutualismo administrativo, cuando se encuentren en situación de maternidad, paternidad, riesgo durante el embarazo y riesgo durante la lactancia, tendrá derecho a percibir desde el primer día en que se declare la misma, como mejora voluntaria al subsidio legalmente establecido, un complemento que, sumado a la prestación del régimen de previsión social correspondiente, alcance el cien por cien de las retribuciones fijas y periódicas que tuvieran acreditadas en el mes de inicio de la correspondiente situación, en las mismas condiciones a las establecidas en el artículo 1”.</w:t>
      </w:r>
    </w:p>
    <w:p w14:paraId="6A9DD56C" w14:textId="77777777" w:rsidR="00B35D37" w:rsidRDefault="00B35D37" w:rsidP="00B35D37">
      <w:pPr>
        <w:pStyle w:val="TextoNormal"/>
      </w:pPr>
    </w:p>
    <w:p w14:paraId="6D3014C7" w14:textId="77777777" w:rsidR="00B35D37" w:rsidRDefault="00B35D37" w:rsidP="00B35D37">
      <w:pPr>
        <w:pStyle w:val="TextoNormal"/>
      </w:pPr>
      <w:r>
        <w:t>El art. 1 del Decreto-ley 2/2018, al que se remite el art. 3, en su párrafo segundo establece:</w:t>
      </w:r>
    </w:p>
    <w:p w14:paraId="75E5CB5A" w14:textId="77777777" w:rsidR="00B35D37" w:rsidRDefault="00B35D37" w:rsidP="00B35D37">
      <w:pPr>
        <w:pStyle w:val="TextoNormal"/>
      </w:pPr>
    </w:p>
    <w:p w14:paraId="128AEC78" w14:textId="31CB40BA" w:rsidR="00B35D37" w:rsidRDefault="00B35D37" w:rsidP="00B35D37">
      <w:pPr>
        <w:pStyle w:val="TextoNormal"/>
      </w:pPr>
      <w:r>
        <w:t>“Se abonará, un complemento mensual que, sumado a la prestación económica reconocida por la Seguridad Social, garantice el cien por cien de las retribuciones fijas y periódicas mensuales que tuvieran acreditadas en el mes de inicio de la incapacidad temporal, excluyendo en todo caso, el complemento de atención continuada en todas sus modalidades”.</w:t>
      </w:r>
    </w:p>
    <w:p w14:paraId="6744F014" w14:textId="77777777" w:rsidR="00B35D37" w:rsidRDefault="00B35D37" w:rsidP="00B35D37">
      <w:pPr>
        <w:pStyle w:val="TextoNormal"/>
      </w:pPr>
    </w:p>
    <w:p w14:paraId="5DA07DF5" w14:textId="77777777" w:rsidR="00B35D37" w:rsidRDefault="00B35D37" w:rsidP="00B35D37">
      <w:pPr>
        <w:pStyle w:val="TextoNormal"/>
      </w:pPr>
      <w:r w:rsidRPr="00B35D37">
        <w:rPr>
          <w:rStyle w:val="NumeroAFNegritaCaracter"/>
        </w:rPr>
        <w:t>2</w:t>
      </w:r>
      <w:r>
        <w:t>. Los hechos relevantes en este proceso constitucional son los siguientes:</w:t>
      </w:r>
    </w:p>
    <w:p w14:paraId="1A639EF0" w14:textId="77777777" w:rsidR="00B35D37" w:rsidRDefault="00B35D37" w:rsidP="00B35D37">
      <w:pPr>
        <w:pStyle w:val="TextoNormal"/>
      </w:pPr>
    </w:p>
    <w:p w14:paraId="5074CDA1" w14:textId="77777777" w:rsidR="00B35D37" w:rsidRDefault="00B35D37" w:rsidP="00B35D37">
      <w:pPr>
        <w:pStyle w:val="TextoNormal"/>
      </w:pPr>
      <w:r>
        <w:t>a) El 25 de septiembre de 2023 doña Eva García Sardón, que prestaba sus servicios como personal estatutario en la categoría de médico internista, interpuso recurso contencioso-administrativo a través del procedimiento abreviado contra la resolución de la gerencia del área de salud de Cáceres, que le denegó la cantidad reclamada en concepto de complemento de atención continuada durante los períodos de incapacidad temporal derivados de riesgo en el embarazo. A su parecer, debió percibir durante sus bajas por riesgo a lo largo del embarazo el complemento salarial correspondiente al prorrateo de las guardias.</w:t>
      </w:r>
    </w:p>
    <w:p w14:paraId="4F6FE6A7" w14:textId="77777777" w:rsidR="00B35D37" w:rsidRDefault="00B35D37" w:rsidP="00B35D37">
      <w:pPr>
        <w:pStyle w:val="TextoNormal"/>
      </w:pPr>
    </w:p>
    <w:p w14:paraId="0CDAA999" w14:textId="77777777" w:rsidR="00B35D37" w:rsidRDefault="00B35D37" w:rsidP="00B35D37">
      <w:pPr>
        <w:pStyle w:val="TextoNormal"/>
      </w:pPr>
      <w:r>
        <w:t>b) Se impugnó la resolución de 29 de junio de 2023 de la Dirección de Gerencia del Servicio Extremeño de Salud, por la que se desestimó el recurso de alzada interpuesto contra la resolución de 11 de mayo de 2023 de la gerencia de área de salud de Cáceres que, a su vez, denegó la reclamación de cantidad por el concepto arriba expuesto. En el recurso se solicitó: (i) la nulidad de la resolución citada y (ii) que se declare nulo el art. 3 en relación con el art. 1 del Decreto-ley 2/2018.</w:t>
      </w:r>
    </w:p>
    <w:p w14:paraId="60B02438" w14:textId="77777777" w:rsidR="00B35D37" w:rsidRDefault="00B35D37" w:rsidP="00B35D37">
      <w:pPr>
        <w:pStyle w:val="TextoNormal"/>
      </w:pPr>
    </w:p>
    <w:p w14:paraId="39BB8BD9" w14:textId="77777777" w:rsidR="00B35D37" w:rsidRDefault="00B35D37" w:rsidP="00B35D37">
      <w:pPr>
        <w:pStyle w:val="TextoNormal"/>
      </w:pPr>
      <w:r>
        <w:t>c) La recurrente fundamentó su reclamación en varias sentencias de la Sala de lo Contencioso-Administrativo del Tribunal Supremo, entre otras, la STS 845/2021, de 14 de junio de 2021 (ECLI:ES:TS:2021:2438), según la cual la trabajadora embarazada durante los períodos de adaptación del puesto de trabajo por una situación de riesgo derivado del embarazo sí tiene derecho a la precepción del complemento de atención continuada de forma proporcionada al que venía percibiendo antes de la adopción del puesto de trabajo. Se citó también la STC 17/2003, de 30 de enero, en la que se afirma que la protección a la mujer trabajadora implica la prohibición de cualquier perjuicio en el ámbito laboral derivado de su situación de embarazo. Transcribió asimismo un fragmento de la sentencia del Juzgado de lo Contencioso-Administrativo núm. 1 de Mérida, de 23 de enero de 2023, que consideró “ilegal o contraria a Derecho” la mención que se contiene en el inciso final del primer párrafo del art. 3 del Decreto-Ley 2/2018, en cuanto la remisión que efectúa al art. 1 excluye, en situaciones de incapacidad temporal, el complemento de atención continuada en todas sus modalidades.</w:t>
      </w:r>
    </w:p>
    <w:p w14:paraId="31F129A3" w14:textId="77777777" w:rsidR="00B35D37" w:rsidRDefault="00B35D37" w:rsidP="00B35D37">
      <w:pPr>
        <w:pStyle w:val="TextoNormal"/>
      </w:pPr>
    </w:p>
    <w:p w14:paraId="16125512" w14:textId="77777777" w:rsidR="00B35D37" w:rsidRDefault="00B35D37" w:rsidP="00B35D37">
      <w:pPr>
        <w:pStyle w:val="TextoNormal"/>
      </w:pPr>
      <w:r>
        <w:t>d) Mediante decreto de 13 de octubre de 2023 el letrado de la administración de justicia admitió a trámite la demanda. Dicho decreto fue impugnado por el letrado de la Junta de Extremadura al considerar que no podía ser objeto del recurso el art. 3 del Decreto-Ley 2/2018 por ser una norma con rango de ley y solo podría ser enjuiciado por el Tribunal Constitucional a través del planteamiento de una cuestión de inconstitucionalidad. El 20 de octubre dicho recurso fue desestimado por el letrado de la administración de justicia, por lo que el letrado de la Junta de Extremadura interpuso frente al mismo recurso de revisión, que fue estimado por el juzgado mediante auto de 31 de enero de 2024, admitiendo su falta de jurisdicción para enjuiciar una norma con rango de ley y declarando que el recurso contencioso-administrativo quedaba circunscrito a las resoluciones administrativas anteriormente identificadas.</w:t>
      </w:r>
    </w:p>
    <w:p w14:paraId="00DB1709" w14:textId="77777777" w:rsidR="00B35D37" w:rsidRDefault="00B35D37" w:rsidP="00B35D37">
      <w:pPr>
        <w:pStyle w:val="TextoNormal"/>
      </w:pPr>
    </w:p>
    <w:p w14:paraId="510C5B51" w14:textId="77777777" w:rsidR="00B35D37" w:rsidRDefault="00B35D37" w:rsidP="00B35D37">
      <w:pPr>
        <w:pStyle w:val="TextoNormal"/>
      </w:pPr>
      <w:r>
        <w:t>e) El 23 de febrero de 2024 el órgano judicial dictó providencia en la que se acuerda dar traslado a las partes y al Ministerio Fiscal para que, de conformidad con lo dispuesto en el art. 35.2 de la Ley Orgánica del Tribunal Constitucional (LOTC), se pronuncien sobre la pertinencia de plantear cuestión de inconstitucionalidad, dando el trámite de audiencia al que se refiere el citado precepto. El tenor de la providencia es el siguiente:</w:t>
      </w:r>
    </w:p>
    <w:p w14:paraId="50B511B3" w14:textId="77777777" w:rsidR="00B35D37" w:rsidRDefault="00B35D37" w:rsidP="00B35D37">
      <w:pPr>
        <w:pStyle w:val="TextoNormal"/>
      </w:pPr>
    </w:p>
    <w:p w14:paraId="13B25D73" w14:textId="77777777" w:rsidR="00B35D37" w:rsidRDefault="00B35D37" w:rsidP="00B35D37">
      <w:pPr>
        <w:pStyle w:val="TextoNormal"/>
      </w:pPr>
      <w:r>
        <w:t>“Dada cuenta; Visto el estado de las actuaciones, las cuales se hallan pendientes de sentencia y vista la redacción del art. 3 en relación con el art. 1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de lactancia, aplicable al recurso objeto de autos, dese traslado a las partes y al Ministerio Fiscal, por plazo común e improrrogable de diez días, a fin de que, conforme a lo dispuesto en el art. 35 de la Ley Orgánica 2/1979, de 3 de octubre, del Tribunal Constitucional, se pronuncien sobre la pertinencia de plantear cuestión de inconstitucionalidad ante dicho órgano”.</w:t>
      </w:r>
    </w:p>
    <w:p w14:paraId="733AB835" w14:textId="77777777" w:rsidR="00B35D37" w:rsidRDefault="00B35D37" w:rsidP="00B35D37">
      <w:pPr>
        <w:pStyle w:val="TextoNormal"/>
      </w:pPr>
    </w:p>
    <w:p w14:paraId="4AC8FCF3" w14:textId="77777777" w:rsidR="00B35D37" w:rsidRDefault="00B35D37" w:rsidP="00B35D37">
      <w:pPr>
        <w:pStyle w:val="TextoNormal"/>
      </w:pPr>
      <w:r>
        <w:t>f) Tras el requerimiento de la providencia de 23 de febrero de 2024, la representación de la recurrente presentó, el 7 de marzo de 2024, escrito interesando que no procedía el planteamiento de la cuestión de constitucionalidad toda vez que los juzgados de lo contencioso-administrativo núm. 1 de Mérida y núm. 1 de Badajoz dictaron sentencias estimatorias en asuntos similares sin necesidad de acudir al Tribunal Constitucional.</w:t>
      </w:r>
    </w:p>
    <w:p w14:paraId="6A0B5F04" w14:textId="77777777" w:rsidR="00B35D37" w:rsidRDefault="00B35D37" w:rsidP="00B35D37">
      <w:pPr>
        <w:pStyle w:val="TextoNormal"/>
      </w:pPr>
    </w:p>
    <w:p w14:paraId="520BE6B4" w14:textId="77777777" w:rsidR="00B35D37" w:rsidRDefault="00B35D37" w:rsidP="00B35D37">
      <w:pPr>
        <w:pStyle w:val="TextoNormal"/>
      </w:pPr>
      <w:r>
        <w:t>g) El 13 de marzo de 2024, la representación de la Junta de Extremadura se pronunció contra el planteamiento de la cuestión de inconstitucionalidad dado que: (i) la norma con rango de ley ha venido aplicándose de forma pacífica por la administración y por los órganos judiciales desde que se aprobó, sin que se haya planteado duda de constitucionalidad alguna y (ii) el órgano judicial no ha expuesto qué precepto constitucional podría contravenir el art. 3 del Decreto-ley, situando por ello a dicha parte en una situación de indefensión y, con independencia de ello, si lo que se le achacara a dicho precepto es su contravención del art. 14 CE, no procede el planteamiento de cuestión de inconstitucionalidad toda vez que el mismo se aplica por igual a las situaciones de maternidad y paternidad, esto es, por igual a hombres y mujeres.</w:t>
      </w:r>
    </w:p>
    <w:p w14:paraId="3346809A" w14:textId="77777777" w:rsidR="00B35D37" w:rsidRDefault="00B35D37" w:rsidP="00B35D37">
      <w:pPr>
        <w:pStyle w:val="TextoNormal"/>
      </w:pPr>
    </w:p>
    <w:p w14:paraId="447323CD" w14:textId="77777777" w:rsidR="00B35D37" w:rsidRDefault="00B35D37" w:rsidP="00B35D37">
      <w:pPr>
        <w:pStyle w:val="TextoNormal"/>
      </w:pPr>
      <w:r>
        <w:t>h) Por su parte, por escrito de 18 de marzo de 2024, el Ministerio Fiscal puso asimismo de relieve que la providencia por la que se abre el trámite de audiencia no expone las razones por las que el juzgador considera que el art. 3 del Decreto-ley 2/2018 es contrario a la Constitución, pues ni siquiera cita el precepto que resulta infringido, contraviniendo la doctrina constitucional referida a cómo ha de llevarse a cabo el trámite de audiencia previsto en el art. 35 LOTC. En definitiva, el fiscal alega que no conoce ni los pormenores del procedimiento judicial —dado que no ha sido parte en el mismo— ni tampoco las posibles causas de la inconstitucionalidad de dicho precepto, solicitando tener por evacuado el trámite de alegaciones y que se dicte una resolución conforme a Derecho.</w:t>
      </w:r>
    </w:p>
    <w:p w14:paraId="4C71E3C5" w14:textId="77777777" w:rsidR="00B35D37" w:rsidRDefault="00B35D37" w:rsidP="00B35D37">
      <w:pPr>
        <w:pStyle w:val="TextoNormal"/>
      </w:pPr>
    </w:p>
    <w:p w14:paraId="57B77BAE" w14:textId="3C635105" w:rsidR="00B35D37" w:rsidRDefault="00B35D37" w:rsidP="00B35D37">
      <w:pPr>
        <w:pStyle w:val="TextoNormal"/>
      </w:pPr>
      <w:r>
        <w:t>i) Por auto de 24 de abril de 2024, el Juzgado de lo Contencioso-Administrativo núm. 2 de Mérida, planteó cuestión de inconstitucionalidad en relación con el último inciso del art. 3 del Decreto-ley 2/2028.</w:t>
      </w:r>
    </w:p>
    <w:p w14:paraId="1FAB2BAC" w14:textId="77777777" w:rsidR="00B35D37" w:rsidRDefault="00B35D37" w:rsidP="00B35D37">
      <w:pPr>
        <w:pStyle w:val="TextoNormal"/>
      </w:pPr>
    </w:p>
    <w:p w14:paraId="6DAF95C9" w14:textId="77777777" w:rsidR="00B35D37" w:rsidRDefault="00B35D37" w:rsidP="00B35D37">
      <w:pPr>
        <w:pStyle w:val="TextoNormal"/>
      </w:pPr>
      <w:r w:rsidRPr="00B35D37">
        <w:rPr>
          <w:rStyle w:val="NumeroAFNegritaCaracter"/>
        </w:rPr>
        <w:t>3</w:t>
      </w:r>
      <w:r>
        <w:t>. Del contenido del auto de planteamiento, de 23 de julio de 2024, interesa destacar lo siguiente:</w:t>
      </w:r>
    </w:p>
    <w:p w14:paraId="4AD650C0" w14:textId="77777777" w:rsidR="00B35D37" w:rsidRDefault="00B35D37" w:rsidP="00B35D37">
      <w:pPr>
        <w:pStyle w:val="TextoNormal"/>
      </w:pPr>
    </w:p>
    <w:p w14:paraId="3317F018" w14:textId="77777777" w:rsidR="00B35D37" w:rsidRDefault="00B35D37" w:rsidP="00B35D37">
      <w:pPr>
        <w:pStyle w:val="TextoNormal"/>
      </w:pPr>
      <w:r>
        <w:t>A) Tras exponer los antecedentes de hecho, que han quedado descritos en esta resolución, el órgano judicial expone que el 6 de febrero de 2024 se celebró la vista a se refiere el art. 78.5 de la Ley 29/1998, de 13 de julio, reguladora de la jurisdicción contencioso-administrativa. y, en ella, las partes comparecieron y pudieron alegar y probar lo que consideraron conveniente, quedando los autos vistos para sentencia. Concluso el procedimiento, el 23 de febrero de 2024 dictó providencia y acordó dar traslado a las partes y al Ministerio Fiscal del trámite de audiencia al que se refiere el art. 35.2 LOTC.</w:t>
      </w:r>
    </w:p>
    <w:p w14:paraId="39BE483C" w14:textId="77777777" w:rsidR="00B35D37" w:rsidRDefault="00B35D37" w:rsidP="00B35D37">
      <w:pPr>
        <w:pStyle w:val="TextoNormal"/>
      </w:pPr>
    </w:p>
    <w:p w14:paraId="6CA37DBF" w14:textId="77777777" w:rsidR="00B35D37" w:rsidRDefault="00B35D37" w:rsidP="00B35D37">
      <w:pPr>
        <w:pStyle w:val="TextoNormal"/>
      </w:pPr>
      <w:r>
        <w:t>B) En el primer fundamento jurídico se vuelve a identificar y se reproduce el precepto que es objeto de la cuestión de inconstitucionalidad.</w:t>
      </w:r>
    </w:p>
    <w:p w14:paraId="65AB46D4" w14:textId="77777777" w:rsidR="00B35D37" w:rsidRDefault="00B35D37" w:rsidP="00B35D37">
      <w:pPr>
        <w:pStyle w:val="TextoNormal"/>
      </w:pPr>
    </w:p>
    <w:p w14:paraId="1F37A319" w14:textId="77777777" w:rsidR="00B35D37" w:rsidRDefault="00B35D37" w:rsidP="00B35D37">
      <w:pPr>
        <w:pStyle w:val="TextoNormal"/>
      </w:pPr>
      <w:r>
        <w:t>C) En el segundo fundamento jurídico se exponen por el juzgador las dudas sobre la posible inconstitucionalidad de la norma con rango de ley. Según el juzgador:</w:t>
      </w:r>
    </w:p>
    <w:p w14:paraId="1447220A" w14:textId="77777777" w:rsidR="00B35D37" w:rsidRDefault="00B35D37" w:rsidP="00B35D37">
      <w:pPr>
        <w:pStyle w:val="TextoNormal"/>
      </w:pPr>
    </w:p>
    <w:p w14:paraId="67F70350" w14:textId="77777777" w:rsidR="00B35D37" w:rsidRDefault="00B35D37" w:rsidP="00B35D37">
      <w:pPr>
        <w:pStyle w:val="TextoNormal"/>
      </w:pPr>
      <w:r>
        <w:t>a) Podría ser contrario al art. 14 CE que los complementos de atención continuada —conocidos como guardias— no se abonen en situaciones de maternidad, paternidad, riesgo durante el embarazo y riesgo durante la lactancia. Aunque la exposición de motivos del Decreto-ley 2/2018 se refiere a la Ley Orgánica 3/2007, de 22 de marzo, para la igualdad efectiva de mujeres y hombres, la norma impugnada infringe lo dispuesto en los arts. 5 y 58 de dicha ley orgánica, en la medida en que este último establece que “[c]uando las condiciones del puesto de trabajo de una funcionaria incluida en el ámbito de aplicación del mutualismo administrativo pudieran influir negativamente en la salud de la mujer, del hijo e hija, podrá concederse licencia por riesgo durante el embarazo, en los mismos términos y condiciones previstas en la normativa aplicable. En estos casos, se garantizará la plenitud de los derechos económicos de la funcionaria durante toda la duración de la licencia, de acuerdo con lo establecido en la legislación específica. Lo dispuesto en el párrafo anterior será también de aplicación durante el período de lactancia natural”.</w:t>
      </w:r>
    </w:p>
    <w:p w14:paraId="6101677B" w14:textId="77777777" w:rsidR="00B35D37" w:rsidRDefault="00B35D37" w:rsidP="00B35D37">
      <w:pPr>
        <w:pStyle w:val="TextoNormal"/>
      </w:pPr>
    </w:p>
    <w:p w14:paraId="0FCF1B59" w14:textId="77777777" w:rsidR="00B35D37" w:rsidRDefault="00B35D37" w:rsidP="00B35D37">
      <w:pPr>
        <w:pStyle w:val="TextoNormal"/>
      </w:pPr>
      <w:r>
        <w:t>b) Para el órgano judicial, resulta también contrario a la jurisprudencia de la Sala de lo Contencioso-Administrativo del Tribunal Supremo, que ha considerado en su STS 845/2021 que, durante los periodos de adecuación del puesto de trabajo del personal estatutario de los servicios de salud “por situación de riesgo derivado del estado de embarazo de la trabajadora, que conlleven la medida de no realización de jornada complementaria por atención continuada, se mantiene, no obstante el derecho de la trabajadora a la percepción de complemento de atención continuada, que deberá ser proporcional al que venía percibiendo antes de la adaptación del puesto de trabajo y mantenerse durante todo el periodo que se prolongue esta medida de adaptación por riesgo derivado de la situación de trabajo”.</w:t>
      </w:r>
    </w:p>
    <w:p w14:paraId="489616F2" w14:textId="77777777" w:rsidR="00B35D37" w:rsidRDefault="00B35D37" w:rsidP="00B35D37">
      <w:pPr>
        <w:pStyle w:val="TextoNormal"/>
      </w:pPr>
    </w:p>
    <w:p w14:paraId="00031E82" w14:textId="776D0A54" w:rsidR="00B35D37" w:rsidRDefault="00B35D37" w:rsidP="00B35D37">
      <w:pPr>
        <w:pStyle w:val="TextoNormal"/>
      </w:pPr>
      <w:r>
        <w:t>c) De todo lo anterior se deriva, según el órgano judicial, que la norma impugnada supone una discriminación directa de la mujer por razón de su embarazo —que no es una enfermedad, accidente o siniestro— en la medida en que deja de percibir sus retribuciones. A su parecer, el embarazo es una situación especial que “solo afecta a las mujeres, rigiéndose por normas y principios también especiales cuya finalidad es la de que no padezcan perjuicio laboral alguno por dicha causa y en el caso que se somete a examen del Alto Tribunal en cuanto a la constitucionalidad de la norma, nos encontramos con una situación de maternidad, riesgo durante el embarazo y/o riesgo durante la lactancia”.</w:t>
      </w:r>
    </w:p>
    <w:p w14:paraId="7BF5CE4F" w14:textId="77777777" w:rsidR="00B35D37" w:rsidRDefault="00B35D37" w:rsidP="00B35D37">
      <w:pPr>
        <w:pStyle w:val="TextoNormal"/>
      </w:pPr>
    </w:p>
    <w:p w14:paraId="1EC3B1A2" w14:textId="29B71C7C" w:rsidR="00B35D37" w:rsidRDefault="00B35D37" w:rsidP="00B35D37">
      <w:pPr>
        <w:pStyle w:val="TextoNormal"/>
      </w:pPr>
      <w:r w:rsidRPr="00B35D37">
        <w:rPr>
          <w:rStyle w:val="NumeroAFNegritaCaracter"/>
        </w:rPr>
        <w:t>4</w:t>
      </w:r>
      <w:r>
        <w:t>. Mediante providencia de 14 de enero de 2025 el Pleno de este tribunal,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(35.2 LOTC).</w:t>
      </w:r>
    </w:p>
    <w:p w14:paraId="71C6C602" w14:textId="77777777" w:rsidR="00B35D37" w:rsidRDefault="00B35D37" w:rsidP="00B35D37">
      <w:pPr>
        <w:pStyle w:val="TextoNormal"/>
      </w:pPr>
    </w:p>
    <w:p w14:paraId="4E32EBAE" w14:textId="77777777" w:rsidR="00B35D37" w:rsidRDefault="00B35D37" w:rsidP="00B35D37">
      <w:pPr>
        <w:pStyle w:val="TextoNormal"/>
      </w:pPr>
      <w:r w:rsidRPr="00B35D37">
        <w:rPr>
          <w:rStyle w:val="NumeroAFNegritaCaracter"/>
        </w:rPr>
        <w:t>5</w:t>
      </w:r>
      <w:r>
        <w:t>. El fiscal general del Estado evacuó el trámite conferido mediante escrito registrado en este tribunal el 13 de febrero de 2025, en el que interesa la inadmisión a trámite de la cuestión de inconstitucionalidad por las deficiencias apreciadas en relación con el cumplimiento de los requisitos procesales del art. 35.2 LOTC. Para el fiscal general, la cuestión de inconstitucionalidad ha sido planteada por el órgano jurisdiccional en el momento procesal oportuno, sin embargo, el trámite de audiencia no se ha cumplimentado adecuadamente, pues la providencia de 23 de febrero de 2024 por la que se dio traslado a las partes y al Ministerio Fiscal para que se pronunciaran sobre la pertinencia de plantear la cuestión de inconstitucionalidad, no concretó si la duda de constitucionalidad se planteaba sobre todo, o solo una parte del contenido del art. 3 del Decreto-ley 2/2018, de 11 de diciembre; ni tampoco identifica el precepto o preceptos constitucionales infringidos y, de la misma, no puede colegirse cuál es la vinculación entre la norma cuestionada y el supuesto derecho objeto del procedimiento sometido a su resolución, ni el juicio de conformidad entre la norma y la Constitución.</w:t>
      </w:r>
    </w:p>
    <w:p w14:paraId="120E1E12" w14:textId="77777777" w:rsidR="00B35D37" w:rsidRDefault="00B35D37" w:rsidP="00B35D37">
      <w:pPr>
        <w:pStyle w:val="TextoNormal"/>
      </w:pPr>
    </w:p>
    <w:p w14:paraId="366D1B24" w14:textId="34558381" w:rsidR="00B35D37" w:rsidRDefault="00B35D37" w:rsidP="00B35D37">
      <w:pPr>
        <w:pStyle w:val="TextoNormal"/>
      </w:pPr>
      <w:r>
        <w:t>Por lo expuesto, el fiscal general del Estado solicita que se dicte auto por el que se inadmita la cuestión de inconstitucionalidad planteada, con fundamento en el incumplimiento del trámite de audiencia del art. 35.2 LOTC en la forma en que ha sido interpretado por la doctrina constitucional.</w:t>
      </w:r>
    </w:p>
    <w:p w14:paraId="326A9D5B" w14:textId="77777777" w:rsidR="00B35D37" w:rsidRDefault="00B35D37" w:rsidP="00B35D37">
      <w:pPr>
        <w:pStyle w:val="TextoNormal"/>
      </w:pPr>
    </w:p>
    <w:p w14:paraId="60968F94" w14:textId="77777777" w:rsidR="00B35D37" w:rsidRDefault="00B35D37" w:rsidP="00B35D37">
      <w:pPr>
        <w:pStyle w:val="TextoNormalNegritaCentrado"/>
        <w:keepNext/>
      </w:pPr>
      <w:r>
        <w:t>II. Fundamentos jurídicos</w:t>
      </w:r>
    </w:p>
    <w:p w14:paraId="51309616" w14:textId="4FFAB8F6" w:rsidR="00B35D37" w:rsidRDefault="00B35D37" w:rsidP="00B35D37">
      <w:pPr>
        <w:pStyle w:val="TextoNormalNegritaCentrado"/>
        <w:keepNext/>
      </w:pPr>
    </w:p>
    <w:p w14:paraId="4BFE97CD" w14:textId="77777777" w:rsidR="00B35D37" w:rsidRDefault="00B35D37" w:rsidP="00B35D37">
      <w:pPr>
        <w:pStyle w:val="TextoNormal"/>
      </w:pPr>
      <w:r w:rsidRPr="00B35D37">
        <w:rPr>
          <w:rStyle w:val="NumeroAFNegritaCaracter"/>
        </w:rPr>
        <w:t>1</w:t>
      </w:r>
      <w:r>
        <w:t>. El Juzgado de lo Contencioso-Administrativo núm. 2 de Mérida plantea cuestión de inconstitucionalidad en relación con el inciso final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(en adelante, Decreto-ley 2/2018). El Juzgado expuso la duda de constitucionalidad —concretamente en relación con los arts.14 y 39 CE— que le generaba la remisión del párrafo primero del art. 3 a “las condiciones establecidas en el artículo 1” pues implicaba la exclusión, en todo caso, del complemento de atención continuada (conocido como guardias), en los periodos de incapacidad temporal por las causas citadas.</w:t>
      </w:r>
    </w:p>
    <w:p w14:paraId="3D654BCD" w14:textId="77777777" w:rsidR="00B35D37" w:rsidRDefault="00B35D37" w:rsidP="00B35D37">
      <w:pPr>
        <w:pStyle w:val="TextoNormal"/>
      </w:pPr>
    </w:p>
    <w:p w14:paraId="2921C0D0" w14:textId="55C84100" w:rsidR="00B35D37" w:rsidRDefault="00B35D37" w:rsidP="00B35D37">
      <w:pPr>
        <w:pStyle w:val="TextoNormal"/>
      </w:pPr>
      <w:r>
        <w:t>El fiscal general del Estado, en el trámite previsto en el art. 37.1 LOTC, como se ha relatado en los antecedentes, se ha opuesto a la admisión de la presente cuestión de inconstitucionalidad, por entender que no se cumplen los requisitos procesales exigidos por el art. 35.2 LOTC, en concreto el relativo al trámite de audiencia.</w:t>
      </w:r>
    </w:p>
    <w:p w14:paraId="0A652F57" w14:textId="77777777" w:rsidR="00B35D37" w:rsidRDefault="00B35D37" w:rsidP="00B35D37">
      <w:pPr>
        <w:pStyle w:val="TextoNormal"/>
      </w:pPr>
    </w:p>
    <w:p w14:paraId="31D09BFE" w14:textId="7C3507CD" w:rsidR="00B35D37" w:rsidRDefault="00B35D37" w:rsidP="00B35D37">
      <w:pPr>
        <w:pStyle w:val="TextoNormal"/>
      </w:pPr>
      <w:r w:rsidRPr="00B35D37">
        <w:rPr>
          <w:rStyle w:val="NumeroAFNegritaCaracter"/>
        </w:rPr>
        <w:t>2</w:t>
      </w:r>
      <w:r>
        <w:t xml:space="preserve">. El art. 37.1 LOTC permite a este tribunal rechazar </w:t>
      </w:r>
      <w:r w:rsidRPr="00B35D37">
        <w:rPr>
          <w:i/>
        </w:rPr>
        <w:t>a limine</w:t>
      </w:r>
      <w:r>
        <w:t xml:space="preserv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pues no satisface las exigencias para promoverla que imponen los arts. 163 CE y 35 a 37 LOTC.</w:t>
      </w:r>
    </w:p>
    <w:p w14:paraId="59B651BB" w14:textId="77777777" w:rsidR="00B35D37" w:rsidRDefault="00B35D37" w:rsidP="00B35D37">
      <w:pPr>
        <w:pStyle w:val="TextoNormal"/>
      </w:pPr>
    </w:p>
    <w:p w14:paraId="1B7BA035" w14:textId="77777777" w:rsidR="00B35D37" w:rsidRDefault="00B35D37" w:rsidP="00B35D37">
      <w:pPr>
        <w:pStyle w:val="TextoNormal"/>
      </w:pPr>
      <w:r w:rsidRPr="00B35D37">
        <w:rPr>
          <w:rStyle w:val="NumeroAFNegritaCaracter"/>
        </w:rPr>
        <w:t>3</w:t>
      </w:r>
      <w:r>
        <w:t>. Este tribunal constata que la realización del trámite de audiencia por el órgano judicial no se ajusta a las determinaciones del art. 35.2 LOTC, tal y como se expone a continuación:</w:t>
      </w:r>
    </w:p>
    <w:p w14:paraId="3E250998" w14:textId="77777777" w:rsidR="00B35D37" w:rsidRDefault="00B35D37" w:rsidP="00B35D37">
      <w:pPr>
        <w:pStyle w:val="TextoNormal"/>
      </w:pPr>
    </w:p>
    <w:p w14:paraId="5F37EF6D" w14:textId="77777777" w:rsidR="00B35D37" w:rsidRDefault="00B35D37" w:rsidP="00B35D37">
      <w:pPr>
        <w:pStyle w:val="TextoNormal"/>
      </w:pPr>
      <w:r>
        <w:t>a) Como hemos indicado en ocasiones anteriores, el trámite de audiencia previsto en el art. 35.2 LOTC tiene el doble objetivo de garantizar la audiencia de las partes y del Ministerio Fiscal ante una posible decisión judicial de tanta entidad, como es la apertura de un proceso de inconstitucionalidad y poner a disposición del juez un medio que le permita conocer la opinión de los sujetos interesados con el fin de facilitar su reflexión sobre la conveniencia o no de proceder a la apertura de dicho proceso; se trata, por lo tanto, de un requisito de todo punto inexcusable y cuya eventual omisión constituiría un defecto en el modo de proposición de la cuestión que permitiría, tras el trámite previsto en el art. 37 LOTC, la inadmisión de la cuestión así suscitada (ATC 65/2021, de 1 de junio, FJ 2, y las resoluciones allí citadas).</w:t>
      </w:r>
    </w:p>
    <w:p w14:paraId="2CBE29F1" w14:textId="77777777" w:rsidR="00B35D37" w:rsidRDefault="00B35D37" w:rsidP="00B35D37">
      <w:pPr>
        <w:pStyle w:val="TextoNormal"/>
      </w:pPr>
    </w:p>
    <w:p w14:paraId="3F972695" w14:textId="77777777" w:rsidR="00B35D37" w:rsidRDefault="00B35D37" w:rsidP="00B35D37">
      <w:pPr>
        <w:pStyle w:val="TextoNormal"/>
      </w:pPr>
      <w:r>
        <w:t>b) Además, hemos afirmado, en el ATC 144/2020, de 17 de noviembre, FJ 3 b), con cita de la STC 166/2007, de 4 de julio, FJ 6, la providencia a través de la cual se otorga el trámite de audiencia a las partes y al Ministerio Fiscal, a falta de una cita concreta de los preceptos constitucionales supuestamente vulnerados ha de “identificar, mínimamente, la duda de constitucionalidad (indeterminación relativa), ante quienes han de ser oídos, para que, sobre dicha duda puedan versar las alegaciones”. En caso de tal “indeterminación relativa” se ha exigido, no obstante, que las partes hayan podido conocer el planteamiento de la inconstitucionalidad realizado por el órgano judicial y, atendiendo a las circunstancias del caso, situarlo en sus exactos términos constitucionales y pronunciarse sobre él.</w:t>
      </w:r>
    </w:p>
    <w:p w14:paraId="0FC3BADD" w14:textId="77777777" w:rsidR="00B35D37" w:rsidRDefault="00B35D37" w:rsidP="00B35D37">
      <w:pPr>
        <w:pStyle w:val="TextoNormal"/>
      </w:pPr>
    </w:p>
    <w:p w14:paraId="4C364A12" w14:textId="77777777" w:rsidR="00B35D37" w:rsidRDefault="00B35D37" w:rsidP="00B35D37">
      <w:pPr>
        <w:pStyle w:val="TextoNormal"/>
      </w:pPr>
      <w:r>
        <w:t>c) En el presente caso, se constata que los términos en los que se dio audiencia a las partes y al Ministerio Fiscal difícilmente pueden servir para que las alegaciones realizadas en dicho trámite cumplan su función de colaboración en el proceso de formación de la decisión del órgano judicial. Como señaló el ATC 104/2011, de 5 de julio, FJ 2, “[t]ales alegaciones deberían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aquellos, quedando vinculado el órgano judicial por los términos en que se haya planteado dicho trámite a la hora de elevar la cuestión de inconstitucionalidad (por todos, AATC 29/2003, de 28 de enero, FJ único; 60/2004, de 24 de febrero, FJ 2, y 96/2004, de 23 de marzo, FJ 2)”.</w:t>
      </w:r>
    </w:p>
    <w:p w14:paraId="632C89FB" w14:textId="77777777" w:rsidR="00B35D37" w:rsidRDefault="00B35D37" w:rsidP="00B35D37">
      <w:pPr>
        <w:pStyle w:val="TextoNormal"/>
      </w:pPr>
    </w:p>
    <w:p w14:paraId="500B7C38" w14:textId="77777777" w:rsidR="00B35D37" w:rsidRDefault="00B35D37" w:rsidP="00B35D37">
      <w:pPr>
        <w:pStyle w:val="TextoNormal"/>
      </w:pPr>
      <w:r>
        <w:t>d) De las actuaciones resulta que el órgano judicial abrió el trámite de audiencia del art. 35.2 LOTC mediante providencia de 18 de febrero de 2024 y se limitó a afirmar: “Visto el estado de las actuaciones, las cuales se hallan pendientes de sentencia y vista la redacción del art. 3 en relación con el art. 1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de lactancia, aplicable al recurso objeto de autos, dese traslado a las partes y al Ministerio Fiscal, por plazo común e improrrogable de diez días, a fin de que, conforme a lo dispuesto en el art. 35 de la Ley Orgánica 2/1979, de 3 de octubre, del Tribunal Constitucional, se pronuncien sobre la pertinencia de plantear cuestión de inconstitucionalidad ante dicho órgano”.</w:t>
      </w:r>
    </w:p>
    <w:p w14:paraId="6FA40959" w14:textId="77777777" w:rsidR="00B35D37" w:rsidRDefault="00B35D37" w:rsidP="00B35D37">
      <w:pPr>
        <w:pStyle w:val="TextoNormal"/>
      </w:pPr>
    </w:p>
    <w:p w14:paraId="0C25B2AC" w14:textId="77777777" w:rsidR="00B35D37" w:rsidRDefault="00B35D37" w:rsidP="00B35D37">
      <w:pPr>
        <w:pStyle w:val="TextoNormal"/>
      </w:pPr>
      <w:r>
        <w:t>e) Resulta más que evidente que, ni se especificó el precepto constitucional infringido ni, tampoco, razón o argumento alguno acerca de la posible inconstitucionalidad de la ley. Como se ha recogido en los antecedentes, el defecto formal en la apertura del trámite de audiencia fue puesto de manifiesto por el Ministerio Fiscal en su escrito de 18 de marzo de 2024, así como por el letrado de la Junta de Extremadura, pese a lo cual, el juzgado dictó el auto de planteamiento de esta cuestión de inconstitucionalidad.</w:t>
      </w:r>
    </w:p>
    <w:p w14:paraId="5C99E9B7" w14:textId="77777777" w:rsidR="00B35D37" w:rsidRDefault="00B35D37" w:rsidP="00B35D37">
      <w:pPr>
        <w:pStyle w:val="TextoNormal"/>
      </w:pPr>
    </w:p>
    <w:p w14:paraId="06DE8DC4" w14:textId="17A7FD15" w:rsidR="00B35D37" w:rsidRDefault="00B35D37" w:rsidP="00B35D37">
      <w:pPr>
        <w:pStyle w:val="TextoNormal"/>
      </w:pPr>
      <w:r>
        <w:t xml:space="preserve">A la vista de lo expuesto, en el presente caso no puede considerarse realizado correctamente el trámite de audiencia </w:t>
      </w:r>
      <w:r w:rsidRPr="00B35D37">
        <w:rPr>
          <w:i/>
        </w:rPr>
        <w:t>ex</w:t>
      </w:r>
      <w:r>
        <w:t xml:space="preserve"> art. 35.2 LOTC.</w:t>
      </w:r>
    </w:p>
    <w:p w14:paraId="24C5E259" w14:textId="77777777" w:rsidR="00B35D37" w:rsidRDefault="00B35D37" w:rsidP="00B35D37">
      <w:pPr>
        <w:pStyle w:val="TextoNormal"/>
      </w:pPr>
    </w:p>
    <w:p w14:paraId="763B87DB" w14:textId="77777777" w:rsidR="00B35D37" w:rsidRDefault="00B35D37" w:rsidP="00B35D37">
      <w:pPr>
        <w:pStyle w:val="TextoNormal"/>
      </w:pPr>
      <w:r>
        <w:t>Por lo expuesto, el Pleno</w:t>
      </w:r>
    </w:p>
    <w:p w14:paraId="6640CD18" w14:textId="5F08F8BE" w:rsidR="00B35D37" w:rsidRDefault="00B35D37" w:rsidP="00B35D37">
      <w:pPr>
        <w:pStyle w:val="TextoNormal"/>
      </w:pPr>
    </w:p>
    <w:p w14:paraId="36473AD8" w14:textId="77777777" w:rsidR="00B35D37" w:rsidRDefault="00B35D37" w:rsidP="00B35D37">
      <w:pPr>
        <w:pStyle w:val="TextoNormalCentrado"/>
      </w:pPr>
      <w:r>
        <w:t>ACUERDA</w:t>
      </w:r>
    </w:p>
    <w:p w14:paraId="046175D2" w14:textId="29F1A4AD" w:rsidR="00B35D37" w:rsidRDefault="00B35D37" w:rsidP="00B35D37">
      <w:pPr>
        <w:pStyle w:val="TextoNormalCentrado"/>
      </w:pPr>
    </w:p>
    <w:p w14:paraId="530C9C90" w14:textId="25DF16B5" w:rsidR="00B35D37" w:rsidRDefault="00B35D37" w:rsidP="00B35D37">
      <w:pPr>
        <w:pStyle w:val="TextoNormal"/>
      </w:pPr>
      <w:r>
        <w:t>Inadmitir a trámite la presente cuestión de inconstitucionalidad, por incumplimiento de los requisitos exigidos en el trámite de audiencia.</w:t>
      </w:r>
    </w:p>
    <w:p w14:paraId="3DC0D986" w14:textId="77777777" w:rsidR="00B35D37" w:rsidRDefault="00B35D37" w:rsidP="00B35D37">
      <w:pPr>
        <w:pStyle w:val="TextoNormal"/>
      </w:pPr>
    </w:p>
    <w:p w14:paraId="33B10F27" w14:textId="77777777" w:rsidR="00B35D37" w:rsidRDefault="00B35D37" w:rsidP="00B35D37">
      <w:pPr>
        <w:pStyle w:val="TextoNormal"/>
      </w:pPr>
      <w:r>
        <w:t>Madrid, a veinticinco de marzo de dos mil veinticinco.</w:t>
      </w:r>
    </w:p>
    <w:p w14:paraId="35AF1729" w14:textId="19184402" w:rsidR="00B35D37" w:rsidRDefault="00B35D37">
      <w:pPr>
        <w:spacing w:after="160" w:line="278" w:lineRule="auto"/>
        <w:rPr>
          <w:rFonts w:ascii="Times New Roman" w:eastAsia="Times New Roman" w:hAnsi="Times New Roman" w:cs="Times New Roman"/>
          <w:sz w:val="24"/>
          <w:szCs w:val="24"/>
          <w:lang w:eastAsia="es-ES"/>
        </w:rPr>
      </w:pPr>
      <w:r>
        <w:br w:type="page"/>
      </w:r>
    </w:p>
    <w:p w14:paraId="63430178" w14:textId="77777777" w:rsidR="00B35D37" w:rsidRDefault="00B35D37" w:rsidP="00B35D37">
      <w:pPr>
        <w:pStyle w:val="TtuloResolucin"/>
      </w:pPr>
      <w:bookmarkStart w:id="169" w:name="AUTO_2025_30"/>
      <w:r>
        <w:t>AUTO 30/2025, de 25 de marzo de 2025</w:t>
      </w:r>
    </w:p>
    <w:bookmarkEnd w:id="169"/>
    <w:p w14:paraId="5EDEAA20" w14:textId="77777777" w:rsidR="00B35D37" w:rsidRDefault="00B35D37" w:rsidP="00B35D37">
      <w:pPr>
        <w:pStyle w:val="TtuloResolucin"/>
      </w:pPr>
      <w:r>
        <w:t>Pleno</w:t>
      </w:r>
    </w:p>
    <w:p w14:paraId="02C66185" w14:textId="77777777" w:rsidR="00B35D37" w:rsidRDefault="00B35D37" w:rsidP="00B35D37">
      <w:pPr>
        <w:pStyle w:val="TextoNormalCentrado"/>
      </w:pPr>
      <w:r>
        <w:t>ECLI:ES:TC:2025:30A</w:t>
      </w:r>
    </w:p>
    <w:p w14:paraId="4960239A" w14:textId="0842B92B" w:rsidR="00B35D37" w:rsidRDefault="00B35D37" w:rsidP="00B35D37">
      <w:pPr>
        <w:pStyle w:val="TextoNormalCentrado"/>
      </w:pPr>
    </w:p>
    <w:p w14:paraId="51756E33"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DC9ADEF" w14:textId="62EDA23A" w:rsidR="00B35D37" w:rsidRDefault="00B35D37" w:rsidP="00B35D37">
      <w:pPr>
        <w:pStyle w:val="SntesisDescriptiva"/>
      </w:pPr>
    </w:p>
    <w:p w14:paraId="3961464D" w14:textId="77777777" w:rsidR="00B35D37" w:rsidRDefault="00B35D37" w:rsidP="00B35D37">
      <w:pPr>
        <w:pStyle w:val="SntesisDescriptiva"/>
      </w:pPr>
      <w:r>
        <w:t>Inadmite una recusación en el recurso de amparo 7762-2024, promovido por don Jordi Turull i Negre en causa penal.</w:t>
      </w:r>
    </w:p>
    <w:p w14:paraId="7C4DC1AC" w14:textId="4E0BE51C" w:rsidR="00B35D37" w:rsidRDefault="00B35D37" w:rsidP="00B35D37">
      <w:pPr>
        <w:pStyle w:val="SntesisDescriptiva"/>
      </w:pPr>
    </w:p>
    <w:p w14:paraId="2B90F5AC" w14:textId="77777777" w:rsidR="00B35D37" w:rsidRDefault="00B35D37" w:rsidP="00B35D37">
      <w:pPr>
        <w:pStyle w:val="SntesisDescriptiva"/>
      </w:pPr>
    </w:p>
    <w:p w14:paraId="380BA4E7" w14:textId="77777777" w:rsidR="00B35D37" w:rsidRDefault="00B35D37" w:rsidP="00B35D37">
      <w:pPr>
        <w:pStyle w:val="SntesisDescriptiva"/>
      </w:pPr>
    </w:p>
    <w:p w14:paraId="44C2F3A0" w14:textId="77777777" w:rsidR="00B35D37" w:rsidRDefault="00B35D37" w:rsidP="00B35D37">
      <w:pPr>
        <w:pStyle w:val="TextoNormalNegritaCentrado"/>
      </w:pPr>
      <w:r>
        <w:t>AUTO</w:t>
      </w:r>
    </w:p>
    <w:p w14:paraId="73034A84" w14:textId="604EA954" w:rsidR="00B35D37" w:rsidRDefault="00B35D37" w:rsidP="00B35D37">
      <w:pPr>
        <w:pStyle w:val="TextoNormalNegritaCentrado"/>
      </w:pPr>
    </w:p>
    <w:p w14:paraId="493A0CAF" w14:textId="77777777" w:rsidR="00B35D37" w:rsidRDefault="00B35D37" w:rsidP="00B35D37">
      <w:pPr>
        <w:pStyle w:val="TextoNormalNegritaCentrado"/>
        <w:keepNext/>
      </w:pPr>
      <w:r>
        <w:t>I. Antecedentes</w:t>
      </w:r>
    </w:p>
    <w:p w14:paraId="7DEFFC10" w14:textId="7AA5E473" w:rsidR="00B35D37" w:rsidRDefault="00B35D37" w:rsidP="00B35D37">
      <w:pPr>
        <w:pStyle w:val="TextoNormalNegritaCentrado"/>
        <w:keepNext/>
      </w:pPr>
    </w:p>
    <w:p w14:paraId="29B0A396" w14:textId="71B6C3DD" w:rsidR="00B35D37" w:rsidRDefault="00B35D37" w:rsidP="00B35D37">
      <w:pPr>
        <w:pStyle w:val="TextoNormal"/>
      </w:pPr>
      <w:r w:rsidRPr="00B35D37">
        <w:rPr>
          <w:rStyle w:val="NumeroAFNegritaCaracter"/>
        </w:rPr>
        <w:t>1</w:t>
      </w:r>
      <w:r>
        <w:t>. Don Jordi Turull i Negre, representado por el procurador de los tribunales don Eduardo Centeno Ruiz y bajo la dirección letrada de don Jordi Pina Massachs, interpuso recurso de amparo contra el auto de la Sala de lo Penal del Tribunal Supremo de 30 de septiembre de 2024, por el que se desestimó el recurso de súplica interpuesto contra el auto de 1 de julio de 2024, pronunciado en la causa especial núm. 20907-2017, mediante escrito registrado en este tribunal el 16 de octubre de 2024.</w:t>
      </w:r>
    </w:p>
    <w:p w14:paraId="076B86EB" w14:textId="77777777" w:rsidR="00B35D37" w:rsidRDefault="00B35D37" w:rsidP="00B35D37">
      <w:pPr>
        <w:pStyle w:val="TextoNormal"/>
      </w:pPr>
    </w:p>
    <w:p w14:paraId="488EA449" w14:textId="20B07FDC" w:rsidR="00B35D37" w:rsidRDefault="00B35D37" w:rsidP="00B35D37">
      <w:pPr>
        <w:pStyle w:val="TextoNormal"/>
      </w:pPr>
      <w:r w:rsidRPr="00B35D37">
        <w:rPr>
          <w:rStyle w:val="NumeroAFNegritaCaracter"/>
        </w:rPr>
        <w:t>2</w:t>
      </w:r>
      <w:r>
        <w:t>. La Secretaría de Justicia de la Sección Segunda del Tribunal comunicó al demandante la recepción del recurso de amparo, indicando que la ponencia correspondía al magistrado don José María Macías Castaño, por diligencia de ordenación de 17 de octubre de 2024, notificada ese mismo día con efectos de 18 de octubre de 2024.</w:t>
      </w:r>
    </w:p>
    <w:p w14:paraId="7D9C7781" w14:textId="77777777" w:rsidR="00B35D37" w:rsidRDefault="00B35D37" w:rsidP="00B35D37">
      <w:pPr>
        <w:pStyle w:val="TextoNormal"/>
      </w:pPr>
    </w:p>
    <w:p w14:paraId="2F5D0B22" w14:textId="1F80E701" w:rsidR="00B35D37" w:rsidRDefault="00B35D37" w:rsidP="00B35D37">
      <w:pPr>
        <w:pStyle w:val="TextoNormal"/>
      </w:pPr>
      <w:r w:rsidRPr="00B35D37">
        <w:rPr>
          <w:rStyle w:val="NumeroAFNegritaCaracter"/>
        </w:rPr>
        <w:t>3</w:t>
      </w:r>
      <w:r>
        <w:t>. El Pleno del Tribunal acordó, a propuesta del presidente, recabar para sí el conocimiento del recurso de amparo por providencia de 5 de noviembre de 2024, notificada al demandante ese mismo día con efectos de 7 de noviembre de 2024.</w:t>
      </w:r>
    </w:p>
    <w:p w14:paraId="1749D838" w14:textId="77777777" w:rsidR="00B35D37" w:rsidRDefault="00B35D37" w:rsidP="00B35D37">
      <w:pPr>
        <w:pStyle w:val="TextoNormal"/>
      </w:pPr>
    </w:p>
    <w:p w14:paraId="1648721A" w14:textId="77777777" w:rsidR="00B35D37" w:rsidRDefault="00B35D37" w:rsidP="00B35D37">
      <w:pPr>
        <w:pStyle w:val="TextoNormal"/>
      </w:pPr>
      <w:r w:rsidRPr="00B35D37">
        <w:rPr>
          <w:rStyle w:val="NumeroAFNegritaCaracter"/>
        </w:rPr>
        <w:t>4</w:t>
      </w:r>
      <w:r>
        <w:t>. El demandante, por escrito registrado en el Tribunal el 13 de noviembre de 2024, instó la recusación del magistrado don José María Macías Castaño, con fundamento en la pérdida de la apariencia de su imparcialidad judicial por concurrir (i) la causa del art. 219.10 de la Ley Orgánica del Poder Judicial (LOPJ) de tener interés directo o indirecto en la causa, ya que había realizado manifestaciones públicas expresando una abierta hostilidad hacía la Ley Orgánica 1/2024, de 10 de junio, de amnistía para la normalización institucional, política y social en Cataluña, siendo la denegación parcial de su aplicación al demandante el objeto de impugnación en el presente recurso de amparo; y (ii) la causa del art. 219.13 LOPJ de haber ocupado cargo público con ocasión del cual haya participado directamente en el asunto objeto del pleito o causa o en otro relacionado con el mismo, ya que en su previo cargo de vocal del Consejo General del Poder Judicial fue uno de los firmantes de un informe jurídico sobre la proposición de Ley Orgánica de amnistía para la normalización institucional, políticial y social en Cataluña.</w:t>
      </w:r>
    </w:p>
    <w:p w14:paraId="71AD3411" w14:textId="77777777" w:rsidR="00B35D37" w:rsidRDefault="00B35D37" w:rsidP="00B35D37">
      <w:pPr>
        <w:pStyle w:val="TextoNormal"/>
      </w:pPr>
    </w:p>
    <w:p w14:paraId="0AD18486" w14:textId="26B23B9D" w:rsidR="00B35D37" w:rsidRDefault="00B35D37" w:rsidP="00B35D37">
      <w:pPr>
        <w:pStyle w:val="TextoNormal"/>
      </w:pPr>
      <w:r>
        <w:t>El demandante alega, en relación con la formulación en plazo de la recusación, que mediante providencia del Pleno del Tribunal de 5 de noviembre de 2024, notificada al día siguiente, se había puesto en su conocimiento que el recurso había sido avocado por el Pleno, entre cuyos miembros se encuentra el magistrado recusado.</w:t>
      </w:r>
    </w:p>
    <w:p w14:paraId="579DD325" w14:textId="77777777" w:rsidR="00B35D37" w:rsidRDefault="00B35D37" w:rsidP="00B35D37">
      <w:pPr>
        <w:pStyle w:val="TextoNormal"/>
      </w:pPr>
    </w:p>
    <w:p w14:paraId="695ECD5A" w14:textId="74F8DA8C" w:rsidR="00B35D37" w:rsidRDefault="00B35D37" w:rsidP="00B35D37">
      <w:pPr>
        <w:pStyle w:val="TextoNormal"/>
      </w:pPr>
      <w:r w:rsidRPr="00B35D37">
        <w:rPr>
          <w:rStyle w:val="NumeroAFNegritaCaracter"/>
        </w:rPr>
        <w:t>5</w:t>
      </w:r>
      <w:r>
        <w:t>. El demandante, mediante escrito registrado el 13 de febrero de 2025, instó el impulso procesal del presente recurso en relación con la recusación formulada y la decisión de admisibilidad del recurso.</w:t>
      </w:r>
    </w:p>
    <w:p w14:paraId="350D7272" w14:textId="77777777" w:rsidR="00B35D37" w:rsidRDefault="00B35D37" w:rsidP="00B35D37">
      <w:pPr>
        <w:pStyle w:val="TextoNormal"/>
      </w:pPr>
    </w:p>
    <w:p w14:paraId="0537F1AF" w14:textId="7276CAB2" w:rsidR="00B35D37" w:rsidRDefault="00B35D37" w:rsidP="00B35D37">
      <w:pPr>
        <w:pStyle w:val="TextoNormal"/>
      </w:pPr>
      <w:r w:rsidRPr="00B35D37">
        <w:rPr>
          <w:rStyle w:val="NumeroAFNegritaCaracter"/>
        </w:rPr>
        <w:t>6</w:t>
      </w:r>
      <w:r>
        <w:t>. La Secretaría de Justicia del Pleno del Tribunal, mediante diligencia de ordenación de 4 de marzo de 2025, acordó designar ponente del incidente de recusación a la magistrada doña María Luisa Segoviano Astaburuaga, a la que por turno correspondía, para que propusiera al Pleno la resolución que procediera.</w:t>
      </w:r>
    </w:p>
    <w:p w14:paraId="23AE9606" w14:textId="77777777" w:rsidR="00B35D37" w:rsidRDefault="00B35D37" w:rsidP="00B35D37">
      <w:pPr>
        <w:pStyle w:val="TextoNormal"/>
      </w:pPr>
    </w:p>
    <w:p w14:paraId="6EB5066A" w14:textId="77777777" w:rsidR="00B35D37" w:rsidRDefault="00B35D37" w:rsidP="00B35D37">
      <w:pPr>
        <w:pStyle w:val="TextoNormalNegritaCentrado"/>
        <w:keepNext/>
      </w:pPr>
      <w:r>
        <w:t>II. Fundamentos jurídicos</w:t>
      </w:r>
    </w:p>
    <w:p w14:paraId="46E076BA" w14:textId="2C37AB57" w:rsidR="00B35D37" w:rsidRDefault="00B35D37" w:rsidP="00B35D37">
      <w:pPr>
        <w:pStyle w:val="TextoNormalNegritaCentrado"/>
        <w:keepNext/>
      </w:pPr>
    </w:p>
    <w:p w14:paraId="2CA664CE" w14:textId="77777777" w:rsidR="00B35D37" w:rsidRDefault="00B35D37" w:rsidP="00B35D37">
      <w:pPr>
        <w:pStyle w:val="TextoNormal"/>
      </w:pPr>
      <w:r w:rsidRPr="00B35D37">
        <w:rPr>
          <w:rStyle w:val="TextoNormalNegritaCaracter"/>
        </w:rPr>
        <w:t xml:space="preserve">Único. </w:t>
      </w:r>
      <w:r>
        <w:t>El objeto de la presente resolución es dar respuesta a la solicitud de recusación del magistrado don José María Macías Castaño con fundamento en los motivos expuestos en los antecedentes de esta resolución.</w:t>
      </w:r>
    </w:p>
    <w:p w14:paraId="793021C2" w14:textId="77777777" w:rsidR="00B35D37" w:rsidRDefault="00B35D37" w:rsidP="00B35D37">
      <w:pPr>
        <w:pStyle w:val="TextoNormal"/>
      </w:pPr>
    </w:p>
    <w:p w14:paraId="404A1CB2" w14:textId="77777777" w:rsidR="00B35D37" w:rsidRDefault="00B35D37" w:rsidP="00B35D37">
      <w:pPr>
        <w:pStyle w:val="TextoNormal"/>
      </w:pPr>
      <w:r>
        <w:t>El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(así, AATC 156/2022, de 16 de noviembre, FJ 2; 31/2023, de 7 de febrero, FJ 2, o 490/2023, de 24 de octubre, FJ 1).</w:t>
      </w:r>
    </w:p>
    <w:p w14:paraId="6833B373" w14:textId="77777777" w:rsidR="00B35D37" w:rsidRDefault="00B35D37" w:rsidP="00B35D37">
      <w:pPr>
        <w:pStyle w:val="TextoNormal"/>
      </w:pPr>
    </w:p>
    <w:p w14:paraId="628A61C4" w14:textId="77777777" w:rsidR="00B35D37" w:rsidRDefault="00B35D37" w:rsidP="00B35D37">
      <w:pPr>
        <w:pStyle w:val="TextoNormal"/>
      </w:pPr>
      <w:r>
        <w:t>El Tribunal, en atención a la citada jurisprudencia, deniega liminarmente la tramitación de la recusación formulada, por haber sido planteada de manera extemporánea al formularse una vez superado el plazo de diez días al que se refiere el art. 223.1 LOPJ, aquí aplicable en virtud de la remisión del art. 80 de la Ley Orgánica del Tribunal Constitucional, desde el momento en el que el demandante tuvo un conocimiento efectivo de que el magistrado recusado iba a conocer del presente recurso no solo por formar parte de la Sección del Tribunal que debía inicialmente decidir sobre su admisibilidad sino, además, en la condición de ponente.</w:t>
      </w:r>
    </w:p>
    <w:p w14:paraId="2629A9A4" w14:textId="77777777" w:rsidR="00B35D37" w:rsidRDefault="00B35D37" w:rsidP="00B35D37">
      <w:pPr>
        <w:pStyle w:val="TextoNormal"/>
      </w:pPr>
    </w:p>
    <w:p w14:paraId="65785610" w14:textId="77777777" w:rsidR="00B35D37" w:rsidRDefault="00B35D37" w:rsidP="00B35D37">
      <w:pPr>
        <w:pStyle w:val="TextoNormal"/>
      </w:pPr>
      <w:r>
        <w:t>En efecto, el Tribunal constata que, como se ha expuesto en los antecedentes, se comunicó al demandante, mediante diligencia de ordenación de la Secretaría de Justica de la Sección Segunda de 17 de octubre de 2024, notificada ese mismo día con efectos de 18 de octubre de 2024, la recepción de su demanda interponiendo recurso de amparo, indicándose ya en ella la condición de ponente del magistrado don José María Macías Castaño. Por tanto, ese es el inicial momento en el que el recurrente tuvo conocimiento por primera vez de la participación del magistrado señor Macías Castaño en la composición del Tribunal que debe juzgar su recurso, momento a partir del cual debe computarse el plazo de diez días para la formulación de la recusación, plazo que había transcurrido ampliamente cuando fue registrada el 13 de noviembre de 2024.</w:t>
      </w:r>
    </w:p>
    <w:p w14:paraId="6111752E" w14:textId="77777777" w:rsidR="00B35D37" w:rsidRDefault="00B35D37" w:rsidP="00B35D37">
      <w:pPr>
        <w:pStyle w:val="TextoNormal"/>
      </w:pPr>
    </w:p>
    <w:p w14:paraId="5AEA2C37" w14:textId="49B69AEC" w:rsidR="00B35D37" w:rsidRDefault="00B35D37" w:rsidP="00B35D37">
      <w:pPr>
        <w:pStyle w:val="TextoNormal"/>
      </w:pPr>
      <w:r>
        <w:t>La circunstancia de la comunicación al recurrente de que el Pleno del Tribunal había recabado para sí el conocimiento del asunto mediante providencia de 5 de noviembre de 2024 no permite alterar esa conclusión, ya que ello no implica una reapertura del plazo para su recusación.</w:t>
      </w:r>
    </w:p>
    <w:p w14:paraId="39ED3D8F" w14:textId="77777777" w:rsidR="00B35D37" w:rsidRDefault="00B35D37" w:rsidP="00B35D37">
      <w:pPr>
        <w:pStyle w:val="TextoNormal"/>
      </w:pPr>
    </w:p>
    <w:p w14:paraId="44E01220" w14:textId="77777777" w:rsidR="00B35D37" w:rsidRDefault="00B35D37" w:rsidP="00B35D37">
      <w:pPr>
        <w:pStyle w:val="TextoNormal"/>
      </w:pPr>
      <w:r>
        <w:t>Por lo expuesto, el Pleno</w:t>
      </w:r>
    </w:p>
    <w:p w14:paraId="2EF2E406" w14:textId="372295F8" w:rsidR="00B35D37" w:rsidRDefault="00B35D37" w:rsidP="00B35D37">
      <w:pPr>
        <w:pStyle w:val="TextoNormal"/>
      </w:pPr>
    </w:p>
    <w:p w14:paraId="68D1D6B5" w14:textId="77777777" w:rsidR="00B35D37" w:rsidRDefault="00B35D37" w:rsidP="00B35D37">
      <w:pPr>
        <w:pStyle w:val="TextoNormalCentrado"/>
      </w:pPr>
      <w:r>
        <w:t>ACUERDA</w:t>
      </w:r>
    </w:p>
    <w:p w14:paraId="07DB7548" w14:textId="092EF0A0" w:rsidR="00B35D37" w:rsidRDefault="00B35D37" w:rsidP="00B35D37">
      <w:pPr>
        <w:pStyle w:val="TextoNormalCentrado"/>
      </w:pPr>
    </w:p>
    <w:p w14:paraId="3245C97A" w14:textId="3A4F292F" w:rsidR="00B35D37" w:rsidRDefault="00B35D37" w:rsidP="00B35D37">
      <w:pPr>
        <w:pStyle w:val="TextoNormal"/>
      </w:pPr>
      <w:r>
        <w:t>No admitir a trámite la recusación formulada en el presente recurso de amparo.</w:t>
      </w:r>
    </w:p>
    <w:p w14:paraId="33E7BC1D" w14:textId="77777777" w:rsidR="00B35D37" w:rsidRDefault="00B35D37" w:rsidP="00B35D37">
      <w:pPr>
        <w:pStyle w:val="TextoNormal"/>
      </w:pPr>
    </w:p>
    <w:p w14:paraId="2CDC6F6C" w14:textId="77777777" w:rsidR="00B35D37" w:rsidRDefault="00B35D37" w:rsidP="00B35D37">
      <w:pPr>
        <w:pStyle w:val="TextoNormal"/>
      </w:pPr>
      <w:r>
        <w:t>Madrid, a veinticinco de marzo de dos mil veinticinco.</w:t>
      </w:r>
    </w:p>
    <w:p w14:paraId="08EA39C1" w14:textId="1CB65C89" w:rsidR="00B35D37" w:rsidRDefault="00B35D37">
      <w:pPr>
        <w:spacing w:after="160" w:line="278" w:lineRule="auto"/>
        <w:rPr>
          <w:rFonts w:ascii="Times New Roman" w:eastAsia="Times New Roman" w:hAnsi="Times New Roman" w:cs="Times New Roman"/>
          <w:sz w:val="24"/>
          <w:szCs w:val="24"/>
          <w:lang w:eastAsia="es-ES"/>
        </w:rPr>
      </w:pPr>
      <w:r>
        <w:br w:type="page"/>
      </w:r>
    </w:p>
    <w:p w14:paraId="01E1100C" w14:textId="77777777" w:rsidR="00B35D37" w:rsidRDefault="00B35D37" w:rsidP="00B35D37">
      <w:pPr>
        <w:pStyle w:val="TtuloResolucin"/>
      </w:pPr>
      <w:bookmarkStart w:id="170" w:name="AUTO_2025_31"/>
      <w:r>
        <w:t>AUTO 31/2025, de 8 de abril de 2025</w:t>
      </w:r>
    </w:p>
    <w:bookmarkEnd w:id="170"/>
    <w:p w14:paraId="0B6FC8F1" w14:textId="77777777" w:rsidR="00B35D37" w:rsidRDefault="00B35D37" w:rsidP="00B35D37">
      <w:pPr>
        <w:pStyle w:val="TtuloResolucin"/>
      </w:pPr>
      <w:r>
        <w:t>Pleno</w:t>
      </w:r>
    </w:p>
    <w:p w14:paraId="0A313A3C" w14:textId="77777777" w:rsidR="00B35D37" w:rsidRDefault="00B35D37" w:rsidP="00B35D37">
      <w:pPr>
        <w:pStyle w:val="TextoNormalCentrado"/>
      </w:pPr>
      <w:r>
        <w:t>ECLI:ES:TC:2025:31A</w:t>
      </w:r>
    </w:p>
    <w:p w14:paraId="75A3230C" w14:textId="0E8472B5" w:rsidR="00B35D37" w:rsidRDefault="00B35D37" w:rsidP="00B35D37">
      <w:pPr>
        <w:pStyle w:val="TextoNormalCentrado"/>
      </w:pPr>
    </w:p>
    <w:p w14:paraId="37EC6353"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Juan Carlos Campo Moreno, doña Laura Díez Bueso y don José María Macías Castaño.</w:t>
      </w:r>
    </w:p>
    <w:p w14:paraId="05E8621C" w14:textId="44CAECD4" w:rsidR="00B35D37" w:rsidRDefault="00B35D37" w:rsidP="00B35D37">
      <w:pPr>
        <w:pStyle w:val="SntesisDescriptiva"/>
      </w:pPr>
    </w:p>
    <w:p w14:paraId="774CB8ED" w14:textId="77777777" w:rsidR="00B35D37" w:rsidRDefault="00B35D37" w:rsidP="00B35D37">
      <w:pPr>
        <w:pStyle w:val="SntesisDescriptiva"/>
      </w:pPr>
      <w:r>
        <w:t>Inadmite a trámite el recurso de reposición y subsidiario incidente de nulidad de actuaciones en relación con el ATC 15/2025, de 12 de febrero, que aceptó una abstención y declaró la pérdida de objeto de la recusación en el recurso de amparo 7433-2023, promovido por don Eduardo Esteban Rincón en proceso contencioso administrativo. Voto particular.</w:t>
      </w:r>
    </w:p>
    <w:p w14:paraId="1EB7C031" w14:textId="761AA584" w:rsidR="00B35D37" w:rsidRDefault="00B35D37" w:rsidP="00B35D37">
      <w:pPr>
        <w:pStyle w:val="SntesisDescriptiva"/>
      </w:pPr>
    </w:p>
    <w:p w14:paraId="47C937AF" w14:textId="77777777" w:rsidR="00B35D37" w:rsidRDefault="00B35D37" w:rsidP="00B35D37">
      <w:pPr>
        <w:pStyle w:val="SntesisDescriptiva"/>
      </w:pPr>
    </w:p>
    <w:p w14:paraId="37DA7423" w14:textId="77777777" w:rsidR="00B35D37" w:rsidRDefault="00B35D37" w:rsidP="00B35D37">
      <w:pPr>
        <w:pStyle w:val="SntesisDescriptiva"/>
      </w:pPr>
    </w:p>
    <w:p w14:paraId="495F0F06" w14:textId="77777777" w:rsidR="00B35D37" w:rsidRDefault="00B35D37" w:rsidP="00B35D37">
      <w:pPr>
        <w:pStyle w:val="TextoNormalNegritaCentrado"/>
      </w:pPr>
      <w:r>
        <w:t>AUTO</w:t>
      </w:r>
    </w:p>
    <w:p w14:paraId="1A6B0558" w14:textId="16B8C4B5" w:rsidR="00B35D37" w:rsidRDefault="00B35D37" w:rsidP="00B35D37">
      <w:pPr>
        <w:pStyle w:val="TextoNormalNegritaCentrado"/>
      </w:pPr>
    </w:p>
    <w:p w14:paraId="520FBD12" w14:textId="77777777" w:rsidR="00B35D37" w:rsidRDefault="00B35D37" w:rsidP="00B35D37">
      <w:pPr>
        <w:pStyle w:val="TextoNormalNegritaCentrado"/>
        <w:keepNext/>
      </w:pPr>
      <w:r>
        <w:t>I. Antecedentes</w:t>
      </w:r>
    </w:p>
    <w:p w14:paraId="0109713F" w14:textId="624A28E5" w:rsidR="00B35D37" w:rsidRDefault="00B35D37" w:rsidP="00B35D37">
      <w:pPr>
        <w:pStyle w:val="TextoNormalNegritaCentrado"/>
        <w:keepNext/>
      </w:pPr>
    </w:p>
    <w:p w14:paraId="05FA5AB4" w14:textId="1314B065" w:rsidR="00B35D37" w:rsidRDefault="00B35D37" w:rsidP="00B35D37">
      <w:pPr>
        <w:pStyle w:val="TextoNormal"/>
      </w:pPr>
      <w:r w:rsidRPr="00B35D37">
        <w:rPr>
          <w:rStyle w:val="NumeroAFNegritaCaracter"/>
        </w:rPr>
        <w:t>1</w:t>
      </w:r>
      <w:r>
        <w:t>. Don Eduardo Esteban Rincón, representado por don Ángel Martín Gutiérrez y asistido por el abogado don José María de Castro Llorente, interpuso recurso de amparo, el 24 de noviembre de 2023, contra la sentencia mencionada en el encabezamiento que anuló el Real Decreto 417/2022, de 31 de mayo, por el que se promovió a la categoría de fiscal de Sala a don Eduardo Esteban Rincón y se le nombró fiscal de Sala de menores de la Fiscalía General del Estado. Asimismo, se recurrió en amparo el auto mencionado que acordó “[no haber] lugar al incidente de nulidad de actuaciones promovido por [él]”.</w:t>
      </w:r>
    </w:p>
    <w:p w14:paraId="25FFDE5B" w14:textId="77777777" w:rsidR="00B35D37" w:rsidRDefault="00B35D37" w:rsidP="00B35D37">
      <w:pPr>
        <w:pStyle w:val="TextoNormal"/>
      </w:pPr>
    </w:p>
    <w:p w14:paraId="40130DF6" w14:textId="5BB782D8" w:rsidR="00B35D37" w:rsidRDefault="00B35D37" w:rsidP="00B35D37">
      <w:pPr>
        <w:pStyle w:val="TextoNormal"/>
      </w:pPr>
      <w:r w:rsidRPr="00B35D37">
        <w:rPr>
          <w:rStyle w:val="NumeroAFNegritaCaracter"/>
        </w:rPr>
        <w:t>2</w:t>
      </w:r>
      <w:r>
        <w:t>. El Pleno, tras avocar para sí, mediante providencia de 17 de diciembre de 2024, el conocimiento del recurso de amparo que se tramitaba en la Sala Segunda resolvió, por ATC 5/2025, de 14 de enero, admitir el recurso a trámite y requerir a la Sección Cuarta de la Sala de lo Contencioso-Administrativo del Tribunal Supremo, a fin de que, en plazo que no excediese de diez días, remitiera certificación o fotocopia adverada de las actuaciones de su recurso contencioso-administrativo ordinario núm. 707-2022, y para que emplazase a quienes hubieran sido parte en el procedimiento, excepto al recurrente en amparo, para que en diez días pudiesen comparecer, si lo deseaban, en el presente recurso [art. 51 de la Ley Orgánica del Tribunal Constitucional (LOTC)].</w:t>
      </w:r>
    </w:p>
    <w:p w14:paraId="2E2703E3" w14:textId="77777777" w:rsidR="00B35D37" w:rsidRDefault="00B35D37" w:rsidP="00B35D37">
      <w:pPr>
        <w:pStyle w:val="TextoNormal"/>
      </w:pPr>
    </w:p>
    <w:p w14:paraId="647A9646" w14:textId="77777777" w:rsidR="00B35D37" w:rsidRDefault="00B35D37" w:rsidP="00B35D37">
      <w:pPr>
        <w:pStyle w:val="TextoNormal"/>
      </w:pPr>
      <w:r w:rsidRPr="00B35D37">
        <w:rPr>
          <w:rStyle w:val="NumeroAFNegritaCaracter"/>
        </w:rPr>
        <w:t>3</w:t>
      </w:r>
      <w:r>
        <w:t>. Don José Miguel de la Rosa Cortina, parte recurrente en el recurso contencioso-administrativo ordinario núm. 707-2022, representado por el procurador don Miguel Ángel del Álamo García y asistido por la abogada doña Lara Cristina Sarmiento Alemán, mediante escrito presentado el 6 de febrero de 2025, informó de que se personaba en el recurso como consecuencia del emplazamiento judicial, y solicitó que se “[tuviese] por promovida la recusación de don Cándido Conde-Pumpido Tourón”, y “[que se acordase l]a nulidad del auto de admisión del recurso de amparo y la retroacción de las actuaciones al momento inmediatamente anterior a su dictado, a fin de que el presente recurso de amparo se tramit[ase] sin la intervención de don Cándido Conde-Pumpido Tourón”.</w:t>
      </w:r>
    </w:p>
    <w:p w14:paraId="391A827F" w14:textId="77777777" w:rsidR="00B35D37" w:rsidRDefault="00B35D37" w:rsidP="00B35D37">
      <w:pPr>
        <w:pStyle w:val="TextoNormal"/>
      </w:pPr>
    </w:p>
    <w:p w14:paraId="1A2BB4A6" w14:textId="77777777" w:rsidR="00B35D37" w:rsidRDefault="00B35D37" w:rsidP="00B35D37">
      <w:pPr>
        <w:pStyle w:val="TextoNormal"/>
      </w:pPr>
      <w:r>
        <w:t>El señor de la Rosa alegaba que concurría en el señor Conde-Pumpido la causa de abstención y recusación de “[s]er o haber sido una de las partes subordinado del juez que deba resolver la contienda litigiosa” [art. 219.12 de la Ley Orgánica del Poder Judicial (LOPJ)], dado que tanto el demandante de amparo como el señor de la Rosa, en su condición de fiscales, habían estado bajo la dependencia jerárquica de aquel cuando ejerció el cargo de fiscal general del Estado entre 2004 y 2011.</w:t>
      </w:r>
    </w:p>
    <w:p w14:paraId="275ECAC3" w14:textId="77777777" w:rsidR="00B35D37" w:rsidRDefault="00B35D37" w:rsidP="00B35D37">
      <w:pPr>
        <w:pStyle w:val="TextoNormal"/>
      </w:pPr>
    </w:p>
    <w:p w14:paraId="36AC45DB" w14:textId="4EC00812" w:rsidR="00B35D37" w:rsidRDefault="00B35D37" w:rsidP="00B35D37">
      <w:pPr>
        <w:pStyle w:val="TextoNormal"/>
      </w:pPr>
      <w:r>
        <w:t>En cuanto a la nulidad solicitada se decía que “[l]a intervención del señor Conde-Pumpido en la decisión de admitir el recurso de amparo […] vulnera el derecho del señor de la Rosa a un proceso con todas las garantías, entre las que se incluye el derecho a un juez imparcial”, derecho a cuya preservación se ordenan las causas de abstención y de recusación, puesto que, “[c]omo se declaró en la STC 60/1995, de 1[7] de marzo, ‘sin juez imparcial no hay, propiamente, proceso jurisdiccional’”. Finalizaba el argumento con la cita de un precepto legal, diciendo: “Conforme al art. 238 LOPJ ‘los actos procesales serán nulos de pleno derecho en los casos siguientes […] cuando se prescinda de normas esenciales del procedimiento, siempre que, por esa causa, haya podido producirse indefensión’”.</w:t>
      </w:r>
    </w:p>
    <w:p w14:paraId="5220546F" w14:textId="77777777" w:rsidR="00B35D37" w:rsidRDefault="00B35D37" w:rsidP="00B35D37">
      <w:pPr>
        <w:pStyle w:val="TextoNormal"/>
      </w:pPr>
    </w:p>
    <w:p w14:paraId="5C3DA9EB" w14:textId="5695023A" w:rsidR="00B35D37" w:rsidRDefault="00B35D37" w:rsidP="00B35D37">
      <w:pPr>
        <w:pStyle w:val="TextoNormal"/>
      </w:pPr>
      <w:r w:rsidRPr="00B35D37">
        <w:rPr>
          <w:rStyle w:val="NumeroAFNegritaCaracter"/>
        </w:rPr>
        <w:t>4</w:t>
      </w:r>
      <w:r>
        <w:t>. Por escrito de 10 de febrero de 2025, el magistrado y presidente don Cándido Conde-Pumpido Tourón manifestó su voluntad de abstenerse en el recurso de amparo núm. 7433-2023; y el Pleno del Tribunal Constitucional, mediante ATC 15/2025, de 12 de febrero, en virtud del art. 219.12 LOPJ, acordó aceptar la abstención y declarar la pérdida de objeto de la solicitud de recusación. El citado auto se aprobó con un voto particular concurrente que expresaba que, por exigencias del “principio de congruencia inmediatamente ligado al art. 24 CE”, la resolución tendría que haber dado respuesta a la pretensión de nulidad del auto de 14 de enero de 2025 de admisión de la demanda de amparo, incurriendo así en incongruencia omisiva.</w:t>
      </w:r>
    </w:p>
    <w:p w14:paraId="23E5830E" w14:textId="77777777" w:rsidR="00B35D37" w:rsidRDefault="00B35D37" w:rsidP="00B35D37">
      <w:pPr>
        <w:pStyle w:val="TextoNormal"/>
      </w:pPr>
    </w:p>
    <w:p w14:paraId="00599EE8" w14:textId="77777777" w:rsidR="00B35D37" w:rsidRDefault="00B35D37" w:rsidP="00B35D37">
      <w:pPr>
        <w:pStyle w:val="TextoNormal"/>
      </w:pPr>
      <w:r w:rsidRPr="00B35D37">
        <w:rPr>
          <w:rStyle w:val="NumeroAFNegritaCaracter"/>
        </w:rPr>
        <w:t>5</w:t>
      </w:r>
      <w:r>
        <w:t>. Frente al citado ATC 15/2025 la representación procesal del señor de la Rosa Cortina, presentó el 20 de febrero de 2025 escrito en el que “formula[ba] en término legal recurso de reposición [art. 451.2 de la Ley de enjuiciamiento civil (LEC)] o subsidiariamente, incidente de nulidad de actuaciones (arts. 238 y ss. LOPJ), como autoriza la Ley Orgánica del Poder Judicial conforme al art. 80 LOTC”, y solicitaba, bien que se estimase el recurso o bien que se anulase el auto de 12 de febrero de 2025, dejándolo sin efecto, “procediendo al dictado de nueva resolución debidamente motivada en la que se resuelvan todas las pretensiones planteadas en tiempo y forma en nuestro escrito de 6 de febrero de 2025”.</w:t>
      </w:r>
    </w:p>
    <w:p w14:paraId="58EA0F17" w14:textId="77777777" w:rsidR="00B35D37" w:rsidRDefault="00B35D37" w:rsidP="00B35D37">
      <w:pPr>
        <w:pStyle w:val="TextoNormal"/>
      </w:pPr>
    </w:p>
    <w:p w14:paraId="01F44320" w14:textId="0CB42F63" w:rsidR="00B35D37" w:rsidRDefault="00B35D37" w:rsidP="00B35D37">
      <w:pPr>
        <w:pStyle w:val="TextoNormal"/>
      </w:pPr>
      <w:r>
        <w:t>En el escrito se decía que, “a la vista del contenido del voto particular concurrente […] la falta de contestación a la petición de nulidad y retroacción no [obedecía] a un olvido u omisión involuntaria, sino que conscientemente se [había] decidido no dar respuesta a la cuestión planteada”. A juicio del peticionario, el citado auto había “incurrido en una incongruencia omisiva que lesiona el derecho de esta parte a la tutela judicial efectiva”. Se constataba que el presidente solo se abstuvo con posterioridad a su escrito de recusación y se alegaba que la intervención del señor Conde-Pumpido “en el Pleno en el que se debatió la admisión […] [podía] considerarse decisiva, no solo por su función como presidente del Tribunal Constitucional sino también por su directo conocimiento del asunto en cuanto (i) autoridad en la materia, pues lo que se discute en el recurso de amparo son las facultades (y límites) del fiscal general en materia de nombramientos, habiendo desempeñado el señor Conde-Pumpido durante ocho años dicha magistratura y (ii) como perfecto conocedor de la trayectoria profesional tanto del señor Esteban como del señor de la Rosa”.</w:t>
      </w:r>
    </w:p>
    <w:p w14:paraId="1C4FC4D6" w14:textId="77777777" w:rsidR="00B35D37" w:rsidRDefault="00B35D37" w:rsidP="00B35D37">
      <w:pPr>
        <w:pStyle w:val="TextoNormal"/>
      </w:pPr>
    </w:p>
    <w:p w14:paraId="24C29FF2" w14:textId="77777777" w:rsidR="00B35D37" w:rsidRDefault="00B35D37" w:rsidP="00B35D37">
      <w:pPr>
        <w:pStyle w:val="TextoNormal"/>
      </w:pPr>
      <w:r w:rsidRPr="00B35D37">
        <w:rPr>
          <w:rStyle w:val="NumeroAFNegritaCaracter"/>
        </w:rPr>
        <w:t>6</w:t>
      </w:r>
      <w:r>
        <w:t>. El secretario de Justicia del Pleno de este tribunal, mediante diligencia de ordenación de 26 de marzo de 2025, tras tener por recibidas las actuaciones solicitadas y por personados al abogado del Estado y al señor de la Rosa, acordó, conforme a lo dispuesto en el art. 52.1 LOTC, dar vista de las actuaciones a las partes personadas y al Ministerio Fiscal por un plazo común de veinte días para presentar las alegaciones que a su derecho conviniesen.</w:t>
      </w:r>
    </w:p>
    <w:p w14:paraId="6F035183" w14:textId="77777777" w:rsidR="00B35D37" w:rsidRDefault="00B35D37" w:rsidP="00B35D37">
      <w:pPr>
        <w:pStyle w:val="TextoNormal"/>
      </w:pPr>
    </w:p>
    <w:p w14:paraId="7C6F8E0B" w14:textId="72A9CF9C" w:rsidR="00B35D37" w:rsidRDefault="00B35D37" w:rsidP="00B35D37">
      <w:pPr>
        <w:pStyle w:val="TextoNormal"/>
      </w:pPr>
      <w:r>
        <w:t>La representación procesal del señor de la Rosa presentó escrito el 28 de marzo de 2025, interponiendo recurso de reposición frente a la diligencia de ordenación anterior, solicitando que se dejase sin efecto para sustituirla por el dictado de otra “dando cuenta al Pleno del Tribunal Constitucional de nuestro escrito de 20 de febrero de los corrientes a fin de que se pronuncie sobre su contenido”.</w:t>
      </w:r>
    </w:p>
    <w:p w14:paraId="313F4768" w14:textId="77777777" w:rsidR="00B35D37" w:rsidRDefault="00B35D37" w:rsidP="00B35D37">
      <w:pPr>
        <w:pStyle w:val="TextoNormal"/>
      </w:pPr>
    </w:p>
    <w:p w14:paraId="73D257D1" w14:textId="77777777" w:rsidR="00B35D37" w:rsidRDefault="00B35D37" w:rsidP="00B35D37">
      <w:pPr>
        <w:pStyle w:val="TextoNormalNegritaCentrado"/>
        <w:keepNext/>
      </w:pPr>
      <w:r>
        <w:t>II. Fundamentos jurídicos</w:t>
      </w:r>
    </w:p>
    <w:p w14:paraId="0474E0D2" w14:textId="12E199B4" w:rsidR="00B35D37" w:rsidRDefault="00B35D37" w:rsidP="00B35D37">
      <w:pPr>
        <w:pStyle w:val="TextoNormalNegritaCentrado"/>
        <w:keepNext/>
      </w:pPr>
    </w:p>
    <w:p w14:paraId="526F5AF6" w14:textId="77777777" w:rsidR="00B35D37" w:rsidRDefault="00B35D37" w:rsidP="00B35D37">
      <w:pPr>
        <w:pStyle w:val="TextoNormal"/>
      </w:pPr>
      <w:r w:rsidRPr="00B35D37">
        <w:rPr>
          <w:rStyle w:val="NumeroAFNegritaCaracter"/>
        </w:rPr>
        <w:t>1</w:t>
      </w:r>
      <w:r>
        <w:t>. El presente auto tiene por objeto analizar la pretensión de la representación procesal de don José Miguel de la Rosa Cortina, expresada en su escrito presentado el 20 de febrero de 2025, en el que afirma formular “en término legal recurso de reposición (art. 451.2 LEC) o subsidiariamente, incidente de nulidad de actuaciones (arts. 238 y ss. LOPJ), como autoriza la Ley Orgánica del Poder Judicial conforme al art. 80 LOTC”, solicitando, bien que se estime el recurso o bien que se anule el auto de 12 de febrero de 2025, dejándolo sin efecto, “procediendo al dictado de nueva resolución debidamente motivada en la que se resuelvan todas las pretensiones planteadas en tiempo y forma en nuestro escrito de 6 de febrero de 2025”.</w:t>
      </w:r>
    </w:p>
    <w:p w14:paraId="74C8C9EB" w14:textId="77777777" w:rsidR="00B35D37" w:rsidRDefault="00B35D37" w:rsidP="00B35D37">
      <w:pPr>
        <w:pStyle w:val="TextoNormal"/>
      </w:pPr>
    </w:p>
    <w:p w14:paraId="46994FF2" w14:textId="12B59373" w:rsidR="00B35D37" w:rsidRDefault="00B35D37" w:rsidP="00B35D37">
      <w:pPr>
        <w:pStyle w:val="TextoNormal"/>
      </w:pPr>
      <w:r>
        <w:t>El recurso interpuesto por el señor de la Rosa, mediante escrito de 28 de marzo de 2025, frente a la diligencia de ordenación de 26 de marzo de 2025 carece así de objeto, por lo que se unirá sin más trámite con el presente auto; sin perjuicio de la conformidad a Derecho de dicha diligencia aplicando el trámite no suspendido del art. 52.1 LOTC.</w:t>
      </w:r>
    </w:p>
    <w:p w14:paraId="5114D275" w14:textId="77777777" w:rsidR="00B35D37" w:rsidRDefault="00B35D37" w:rsidP="00B35D37">
      <w:pPr>
        <w:pStyle w:val="TextoNormal"/>
      </w:pPr>
    </w:p>
    <w:p w14:paraId="0CDF21B3" w14:textId="77777777" w:rsidR="00B35D37" w:rsidRDefault="00B35D37" w:rsidP="00B35D37">
      <w:pPr>
        <w:pStyle w:val="TextoNormal"/>
      </w:pPr>
      <w:r w:rsidRPr="00B35D37">
        <w:rPr>
          <w:rStyle w:val="NumeroAFNegritaCaracter"/>
        </w:rPr>
        <w:t>2</w:t>
      </w:r>
      <w:r>
        <w:t xml:space="preserve">. La doctrina constitucional reitera que la propia naturaleza del Tribunal Constitucional como intérprete supremo de la Constitución y órgano constitucional único en su orden (art. 1 LOTC), no integrado en el poder judicial, compuesto de doce miembros de sustitución imposible en casos de recusación y abstención, exige modular la previsión del art. 80 LOTC de aplicar con carácter supletorio las disposiciones de la Ley Orgánica del Poder Judicial y de la Ley de enjuiciamiento civil en materia de recusación y abstención en los procesos constitucionales. Como consecuencia de tal imperativo las citadas normas supletorias son de interpretación restrictiva con el fin de mantener la composición del Tribunal y evitar que no se puedan resolver los asuntos por falta de </w:t>
      </w:r>
      <w:r w:rsidRPr="00B35D37">
        <w:rPr>
          <w:i/>
        </w:rPr>
        <w:t>quorum</w:t>
      </w:r>
      <w:r>
        <w:t xml:space="preserve"> (art. 14 LOTC; ATC 387/2007, de 16 de octubre, FJ 2, y doctrina allí citada), “sali[endo] al paso de intentos de abusos de derecho o fraude procesal, cuando existan elementos que puedan generar la fundada sospecha de que las recusaciones se formulan, no para su fin institucional de garantizar la imparcialidad de los magistrados, sino para alterar la composición del Tribunal” (ATC 443/2007, de 27 de noviembre, FJ 4).</w:t>
      </w:r>
    </w:p>
    <w:p w14:paraId="49C8B63C" w14:textId="77777777" w:rsidR="00B35D37" w:rsidRDefault="00B35D37" w:rsidP="00B35D37">
      <w:pPr>
        <w:pStyle w:val="TextoNormal"/>
      </w:pPr>
    </w:p>
    <w:p w14:paraId="346C93DD" w14:textId="77777777" w:rsidR="00B35D37" w:rsidRDefault="00B35D37" w:rsidP="00B35D37">
      <w:pPr>
        <w:pStyle w:val="TextoNormal"/>
      </w:pPr>
      <w:r>
        <w:t>Sobre la supletoriedad del régimen de recursos contra las resoluciones de este tribunal en materia de recusación y abstención, el ATC 192/2007, de 21 de marzo, FJ 3, al abordar la interpretación del art. 93.2 inciso primero LOTC —“[c]ontra las providencias y los autos que dicte el Tribunal Constitucional solo procederá, en su caso, el recurso de súplica, que no tendrá efecto suspensivo”—, para decidir sobre la procedencia o improcedencia del recurso de súplica frente a los autos de este tribunal resolutorios de un incidente de recusación, establece que no encuentra obstáculo alguno en la propia Ley Orgánica del Tribunal Constitucional la aplicación de “los arts. 228.3 LOPJ y 113 LEC (así como del art. 221.4 LOPJ respecto de la abstención)”, que disponen que “[c]ontra la decisión del incidente de recusación no se dará recurso alguno”. Con respecto a la abstención, según el citado art. 221.4 LOPJ (que tiene su equivalente en el art. 102.4 LEC), “[e]l auto que se pronuncie sobre la abstención no será susceptible de recurso alguno”. El ATC 192/2007, FJ 3, concluye que “un auto estimatorio de la recusación de un magistrado debe cerrar de por sí el curso procesal del incidente de recusación, pues la admisión del recurso sería contraria a la naturaleza de tal instituto en línea con el fin al que sirve” (se reitera en AATC 121/2017, de 13 de septiembre, FJ 2, y 65/2010, de 22 de junio, FJ 2).</w:t>
      </w:r>
    </w:p>
    <w:p w14:paraId="4889CC44" w14:textId="77777777" w:rsidR="00B35D37" w:rsidRDefault="00B35D37" w:rsidP="00B35D37">
      <w:pPr>
        <w:pStyle w:val="TextoNormal"/>
      </w:pPr>
    </w:p>
    <w:p w14:paraId="1C1BA971" w14:textId="77777777" w:rsidR="00B35D37" w:rsidRDefault="00B35D37" w:rsidP="00B35D37">
      <w:pPr>
        <w:pStyle w:val="TextoNormal"/>
      </w:pPr>
      <w:r>
        <w:t xml:space="preserve">La doctrina sobre la improcedencia del recurso de súplica frente a los autos que decidan la recusación opera cualquiera que sea el sentido de la decisión que ponga fin a la tramitación del incidente, estimatoria o desestimatoria, y también frente a aquellas decisiones de inadmisión </w:t>
      </w:r>
      <w:r w:rsidRPr="00B35D37">
        <w:rPr>
          <w:i/>
        </w:rPr>
        <w:t>a limine</w:t>
      </w:r>
      <w:r>
        <w:t xml:space="preserve"> cuando las alegaciones del recurso de súplica adolezcan de sustantividad jurídica propia por reflejar lo ya expresado en el escrito de recusación o respondan a una interpretación jurídica infundada (ATC 121/2017, FFJJ 2, 3, 5 y 6).</w:t>
      </w:r>
    </w:p>
    <w:p w14:paraId="72C6312C" w14:textId="77777777" w:rsidR="00B35D37" w:rsidRDefault="00B35D37" w:rsidP="00B35D37">
      <w:pPr>
        <w:pStyle w:val="TextoNormal"/>
      </w:pPr>
    </w:p>
    <w:p w14:paraId="343C5CFF" w14:textId="77777777" w:rsidR="00B35D37" w:rsidRDefault="00B35D37" w:rsidP="00B35D37">
      <w:pPr>
        <w:pStyle w:val="TextoNormal"/>
      </w:pPr>
      <w:r>
        <w:t>Ningún obstáculo existe, por servir la recusación y la abstención de garantía del derecho al juez imparcial (art. 24.2 CE), para trasladar la anterior doctrina sobre la procedencia del recurso de súplica frente a las resoluciones de este tribunal en materia de recusación a los casos en que dicho recurso se pretenda interponer frente a decisiones de abstención. El mismo ATC 192/2007, FJ 3, así lo contempla con el paréntesis acotado con anterioridad: “(así como del art. 221.4 LOPJ respecto de la abstención)”.</w:t>
      </w:r>
    </w:p>
    <w:p w14:paraId="46E396EF" w14:textId="77777777" w:rsidR="00B35D37" w:rsidRDefault="00B35D37" w:rsidP="00B35D37">
      <w:pPr>
        <w:pStyle w:val="TextoNormal"/>
      </w:pPr>
    </w:p>
    <w:p w14:paraId="2FB62AC3" w14:textId="064DFC01" w:rsidR="00B35D37" w:rsidRDefault="00B35D37" w:rsidP="00B35D37">
      <w:pPr>
        <w:pStyle w:val="TextoNormal"/>
      </w:pPr>
      <w:r>
        <w:t>En cuanto a la aplicación supletoria de las previsiones de los arts. 238 y ss. LOPJ, que llevan por rúbrica “De la nulidad de los actos judiciales” y, en particular, del incidente de nulidad de actuaciones del art. 241 LOPJ, el ATC 46/2010, de 14 de abril, FJ 2, establece que “la LOTC no contempla el incidente de nulidad de actuaciones entre los recursos o medios procesales que pueden promoverse contra las resoluciones de este tribunal”. Así, no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46/1998, de 24 de febrero, FJ 1)”, precepto específico que regula los recursos o medios impugnatorios existentes contras las resoluciones de este tribunal, entre los que no se halla el incidente de nulidad.</w:t>
      </w:r>
    </w:p>
    <w:p w14:paraId="624ECF86" w14:textId="77777777" w:rsidR="00B35D37" w:rsidRDefault="00B35D37" w:rsidP="00B35D37">
      <w:pPr>
        <w:pStyle w:val="TextoNormal"/>
      </w:pPr>
    </w:p>
    <w:p w14:paraId="06071135" w14:textId="77777777" w:rsidR="00B35D37" w:rsidRDefault="00B35D37" w:rsidP="00B35D37">
      <w:pPr>
        <w:pStyle w:val="TextoNormal"/>
      </w:pPr>
      <w:r w:rsidRPr="00B35D37">
        <w:rPr>
          <w:rStyle w:val="NumeroAFNegritaCaracter"/>
        </w:rPr>
        <w:t>3</w:t>
      </w:r>
      <w:r>
        <w:t>. En aplicación de la anterior doctrina, dado que no cabe recurso de súplica y tampoco incidente de nulidad de actuaciones contra el ATC 15/2025, que aceptó la abstención del presidente de este tribunal y declaró la pérdida de objeto de la solicitud de recusación del señor de la Rosa, no pueden admitirse las pretensiones de este reflejadas en su escrito de 20 de febrero de 2025 en el que se dice formular “en término legal recurso de reposición (art. 451.2 LEC) o subsidiariamente, incidente de nulidad de actuaciones (arts. 238 y ss LOPJ), como autoriza la Ley Orgánica del Poder Judicial conforme al art. 80 LOTC”, contra el mencionado auto para dejarlo sin efecto y proceder “al dictado de nueva resolución debidamente motivada en la que se resuelvan todas las pretensiones planteadas en tiempo y forma en nuestro escrito de 6 de febrero de 2025”.</w:t>
      </w:r>
    </w:p>
    <w:p w14:paraId="26614A5B" w14:textId="77777777" w:rsidR="00B35D37" w:rsidRDefault="00B35D37" w:rsidP="00B35D37">
      <w:pPr>
        <w:pStyle w:val="TextoNormal"/>
      </w:pPr>
    </w:p>
    <w:p w14:paraId="1BE78D59" w14:textId="77777777" w:rsidR="00B35D37" w:rsidRDefault="00B35D37" w:rsidP="00B35D37">
      <w:pPr>
        <w:pStyle w:val="TextoNormal"/>
      </w:pPr>
      <w:r>
        <w:t>La abstención fue aceptada por el Pleno de este tribunal tras seguirse los trámites del art. 221 LOPJ, que culminaron con el dictado del ATC 15/2025 contra el que no cabe recurso alguno (art. 221.4 LOPJ). En congruencia con la aceptación de la abstención el citado auto declaró la pérdida de objeto de la recusación interesada por el señor de la Rosa en su escrito de 6 de febrero de 2025.</w:t>
      </w:r>
    </w:p>
    <w:p w14:paraId="64643CC0" w14:textId="77777777" w:rsidR="00B35D37" w:rsidRDefault="00B35D37" w:rsidP="00B35D37">
      <w:pPr>
        <w:pStyle w:val="TextoNormal"/>
      </w:pPr>
    </w:p>
    <w:p w14:paraId="638805CE" w14:textId="77777777" w:rsidR="00B35D37" w:rsidRDefault="00B35D37" w:rsidP="00B35D37">
      <w:pPr>
        <w:pStyle w:val="TextoNormal"/>
      </w:pPr>
      <w:r>
        <w:t>La pretensión acumulada al escrito de 6 de febrero de 2025 de que se declarase también la nulidad del ATC 5/2025, de 14 de enero, de admisión del recurso de amparo, con retroacción de las actuaciones al momento inmediatamente anterior a su dictado, excedía del objeto de la abstención e implicaba una utilización indirecta —en la que insiste el señor de la Rosa en su escrito de 20 de febrero de 2025— del incidente de nulidad de actuaciones ante este tribunal, que debe rechazarse porque este incidente es improcedente.</w:t>
      </w:r>
    </w:p>
    <w:p w14:paraId="482B1199" w14:textId="77777777" w:rsidR="00B35D37" w:rsidRDefault="00B35D37" w:rsidP="00B35D37">
      <w:pPr>
        <w:pStyle w:val="TextoNormal"/>
      </w:pPr>
    </w:p>
    <w:p w14:paraId="6005A5B4" w14:textId="77777777" w:rsidR="00B35D37" w:rsidRDefault="00B35D37" w:rsidP="00B35D37">
      <w:pPr>
        <w:pStyle w:val="TextoNormal"/>
      </w:pPr>
      <w:r>
        <w:t>Ninguna tacha de incongruencia omisiva cabe reprochar al ATC 15/2025, puesto que la pretensión de anulación del auto de admisión del recurso de amparo efectuada en el escrito de 6 de febrero resultaba inviable desde el punto de vista procesal: ni cabía el medio impugnatorio que se decía emplear —y que se reitera en el escrito de 20 de febrero— y tampoco se cumplía entonces —ni se cumple— con la correspondiente carga alegatoria para acceder a tan drástica consecuencia alejada de la tutela objeto del presente recurso de amparo.</w:t>
      </w:r>
    </w:p>
    <w:p w14:paraId="10888A49" w14:textId="77777777" w:rsidR="00B35D37" w:rsidRDefault="00B35D37" w:rsidP="00B35D37">
      <w:pPr>
        <w:pStyle w:val="TextoNormal"/>
      </w:pPr>
    </w:p>
    <w:p w14:paraId="013A1EB7" w14:textId="77777777" w:rsidR="00B35D37" w:rsidRDefault="00B35D37" w:rsidP="00B35D37">
      <w:pPr>
        <w:pStyle w:val="TextoNormal"/>
      </w:pPr>
      <w:r>
        <w:t>La argumentación del escrito de 6 de febrero para solicitar la anulación del auto de admisión del recurso de amparo realizaba dicha petición con la mera alegación de la supuesta lesión del derecho al juez imparcial y la simple transcripción del art. 238.3 LOPJ. En el nuevo escrito de 20 de febrero, que motiva el dictado del presente auto, el peticionario, atendiendo al voto particular —expresión de una legítima opinión divergente del criterio de la mayoría— denuncia una incongruencia omisiva por no haberse respondido a su pretensión de anulación; transcribe el contenido del escrito de 6 de febrero en lo relativo a la justificación de su petición anulatoria; y especula sobre la constatación de que el presidente solo se abstuvo con posterioridad al escrito de recusación y sobre su intervención decisiva en la admisión. Ninguna sustantividad jurídica propia cabe atribuir a estas alegaciones, mero reflejo de las peticiones del escrito de 6 de febrero huérfanas de fundamentación.</w:t>
      </w:r>
    </w:p>
    <w:p w14:paraId="2B29BC14" w14:textId="77777777" w:rsidR="00B35D37" w:rsidRDefault="00B35D37" w:rsidP="00B35D37">
      <w:pPr>
        <w:pStyle w:val="TextoNormal"/>
      </w:pPr>
    </w:p>
    <w:p w14:paraId="538E66C4" w14:textId="77777777" w:rsidR="00B35D37" w:rsidRDefault="00B35D37" w:rsidP="00B35D37">
      <w:pPr>
        <w:pStyle w:val="TextoNormal"/>
      </w:pPr>
      <w:r>
        <w:t>Así pues, vistos los déficits en que la representación del señor de la Rosa ha incurrido no cabe acoger reproche de incongruencia alguno en el ATC 15/2025, siendo fácilmente deducible que la petición de anulación con retroacción del escrito de 6 de febrero resultaba desestimada tácitamente, tanto porque era accesoria de la recusación que quedó sin objeto, como ante su inviabilidad y la ausencia de aportación de cualquier razonamiento acerca de la indefensión que le produciría de no acordarse.</w:t>
      </w:r>
    </w:p>
    <w:p w14:paraId="1721DE33" w14:textId="77777777" w:rsidR="00B35D37" w:rsidRDefault="00B35D37" w:rsidP="00B35D37">
      <w:pPr>
        <w:pStyle w:val="TextoNormal"/>
      </w:pPr>
    </w:p>
    <w:p w14:paraId="3C63E2A0" w14:textId="77777777" w:rsidR="00B35D37" w:rsidRDefault="00B35D37" w:rsidP="00B35D37">
      <w:pPr>
        <w:pStyle w:val="TextoNormal"/>
      </w:pPr>
      <w:r>
        <w:t>Las causas de recusación y abstención de las magistradas y magistrados que integran el Tribunal —una vez más— deben interpretarse de forma restrictiva con el fin de que puedan ejercer la jurisdicción colegiada que les corresponde en el seno de un órgano constitucional único en su orden, puesto que no cabe su sustitución cuando se estima la recusación o se acepta la abstención de alguno de sus miembros. Asimismo, deben restringirse sus efectos, entre los que, aparte de abstenerse en lo sucesivo del conocimiento del asunto, no se encuentra la anulación retroactiva de lo actuado por un principio elemental de conservación de los actos procesales, y menos aún puede aparejarse tal sanción utilizando medios procesales inviables, ni sobre la base de simples alegaciones relativas a una supuesta vulneración de la imparcialidad judicial cuando la intervención del magistrado abstenido no fue determinante de la decisión.</w:t>
      </w:r>
    </w:p>
    <w:p w14:paraId="32ACCB1D" w14:textId="77777777" w:rsidR="00B35D37" w:rsidRDefault="00B35D37" w:rsidP="00B35D37">
      <w:pPr>
        <w:pStyle w:val="TextoNormal"/>
      </w:pPr>
    </w:p>
    <w:p w14:paraId="2CD35250" w14:textId="5C03326F" w:rsidR="00B35D37" w:rsidRDefault="00B35D37" w:rsidP="00B35D37">
      <w:pPr>
        <w:pStyle w:val="TextoNormal"/>
      </w:pPr>
      <w:r>
        <w:t>No existen, por otro lado, precedentes en este tribunal de que se haya declarado la nulidad de la providencia o del auto de admisión del recurso de amparo en que intervino el magistrado que después se abstiene. De lo que sí existen precedentes es de la vigencia y validez de la resolución de admisión, aunque, con posterioridad, el Pleno hubiera aceptado la abstención de alguno de sus componentes (en este sentido, véase STC 91/2021, de 22 de abril, antecedentes 4, 12 y 13).</w:t>
      </w:r>
    </w:p>
    <w:p w14:paraId="3CE85314" w14:textId="77777777" w:rsidR="00B35D37" w:rsidRDefault="00B35D37" w:rsidP="00B35D37">
      <w:pPr>
        <w:pStyle w:val="TextoNormal"/>
      </w:pPr>
    </w:p>
    <w:p w14:paraId="29992738" w14:textId="77777777" w:rsidR="00B35D37" w:rsidRDefault="00B35D37" w:rsidP="00B35D37">
      <w:pPr>
        <w:pStyle w:val="TextoNormal"/>
      </w:pPr>
      <w:r>
        <w:t>Por lo expuesto, el Pleno</w:t>
      </w:r>
    </w:p>
    <w:p w14:paraId="0D51A4A7" w14:textId="1026550A" w:rsidR="00B35D37" w:rsidRDefault="00B35D37" w:rsidP="00B35D37">
      <w:pPr>
        <w:pStyle w:val="TextoNormal"/>
      </w:pPr>
    </w:p>
    <w:p w14:paraId="78542670" w14:textId="77777777" w:rsidR="00B35D37" w:rsidRDefault="00B35D37" w:rsidP="00B35D37">
      <w:pPr>
        <w:pStyle w:val="TextoNormalCentrado"/>
      </w:pPr>
      <w:r>
        <w:t>ACUERDA</w:t>
      </w:r>
    </w:p>
    <w:p w14:paraId="791B84A6" w14:textId="2FBCC812" w:rsidR="00B35D37" w:rsidRDefault="00B35D37" w:rsidP="00B35D37">
      <w:pPr>
        <w:pStyle w:val="TextoNormalCentrado"/>
      </w:pPr>
    </w:p>
    <w:p w14:paraId="6BEC58FD" w14:textId="77777777" w:rsidR="00B35D37" w:rsidRDefault="00B35D37" w:rsidP="00B35D37">
      <w:pPr>
        <w:pStyle w:val="TextoNormal"/>
      </w:pPr>
      <w:r>
        <w:t>Inadmitir a trámite el escrito de la representación procesal de don José Miguel de la Rosa Cortina presentado el 20 de febrero de 2025 dirigido frente al ATC 15/2025, de 12 de febrero, del Pleno de este tribunal.</w:t>
      </w:r>
    </w:p>
    <w:p w14:paraId="686B972E" w14:textId="77777777" w:rsidR="00B35D37" w:rsidRDefault="00B35D37" w:rsidP="00B35D37">
      <w:pPr>
        <w:pStyle w:val="TextoNormal"/>
      </w:pPr>
    </w:p>
    <w:p w14:paraId="41E99E42" w14:textId="76BB0242" w:rsidR="00B35D37" w:rsidRDefault="00B35D37" w:rsidP="00B35D37">
      <w:pPr>
        <w:pStyle w:val="TextoNormal"/>
      </w:pPr>
      <w:r>
        <w:t>Únase el recurso de reposición de 28 de marzo de 2025 de la representación procesal del señor de la Rosa Cortina frente a la diligencia de ordenación de 26 de marzo de 2025 y estése a lo acordado.</w:t>
      </w:r>
    </w:p>
    <w:p w14:paraId="1DFBA570" w14:textId="77777777" w:rsidR="00B35D37" w:rsidRDefault="00B35D37" w:rsidP="00B35D37">
      <w:pPr>
        <w:pStyle w:val="TextoNormal"/>
      </w:pPr>
    </w:p>
    <w:p w14:paraId="478F4773" w14:textId="77777777" w:rsidR="00B35D37" w:rsidRDefault="00B35D37" w:rsidP="00B35D37">
      <w:pPr>
        <w:pStyle w:val="TextoNormal"/>
      </w:pPr>
      <w:r>
        <w:t>Madrid, a ocho de abril de dos mil veinticinco.</w:t>
      </w:r>
    </w:p>
    <w:p w14:paraId="4892FC82" w14:textId="49EDEC4E" w:rsidR="00B35D37" w:rsidRDefault="00B35D37" w:rsidP="00B35D37">
      <w:pPr>
        <w:pStyle w:val="ParrafoNormal"/>
      </w:pPr>
    </w:p>
    <w:p w14:paraId="36E34DCA" w14:textId="77777777" w:rsidR="00B35D37" w:rsidRDefault="00B35D37" w:rsidP="00B35D37">
      <w:pPr>
        <w:pStyle w:val="TextoNormalNegritaCentrado"/>
        <w:keepNext/>
      </w:pPr>
      <w:r>
        <w:t>Voto particular que formulan los magistrados don Enrique Arnaldo Alcubilla, doña Concepción Espejel Jorquera y don José María Macías Castaño al auto del Pleno del Tribunal de 8 de abril de 2025 por el que se acuerda la inadmisión de un recurso interpuesto contra el ATC 15/2025, de 12 de febrero, que aceptó la abstención del presidente, señor Conde-Pumpido Tourón, en el presente recurso de amparo núm. 7433-2023.</w:t>
      </w:r>
    </w:p>
    <w:p w14:paraId="365701B6" w14:textId="0F973545" w:rsidR="00B35D37" w:rsidRDefault="00B35D37" w:rsidP="00B35D37">
      <w:pPr>
        <w:pStyle w:val="TextoNormalNegritaCentrado"/>
        <w:keepNext/>
      </w:pPr>
    </w:p>
    <w:p w14:paraId="7DEFB5CE" w14:textId="77777777" w:rsidR="00B35D37" w:rsidRDefault="00B35D37" w:rsidP="00B35D37">
      <w:pPr>
        <w:pStyle w:val="TextoNormal"/>
      </w:pPr>
      <w:r>
        <w:t>En el ejercicio de la facultad que nos confiere el art. 90.2 de la Ley Orgánica del Tribunal Constitucional (LOTC) y con respeto a la opinión de los magistrados que han conformado la mayoría del Pleno del Tribunal, manifestamos nuestra discrepancia con la decisión de “inadmitir a trámite el escrito de la representación procesal de don José Miguel de la Rosa Cortina presentado el 20 de febrero de 2025 dirigido frente al ATC 15/2025, de 12 de febrero del Pleno de este tribunal”. Por las razones defendidas en su momento durante la deliberación y que exponemos a continuación, consideramos que el escrito debió ser admitido a trámite, a fin de dar respuesta expresa a la pretensión ejercitada, consistente en la eventual declaración de nulidad del ATC 5/2025, de 14 de enero, por el que se admitió a trámite el presente recurso, al haber intervenido en su deliberación y votación el presidente, señor Conde-Pumpido Tourón, a pesar de que concurría una causa objetiva de abstención y/o de recusación.</w:t>
      </w:r>
    </w:p>
    <w:p w14:paraId="62D46708" w14:textId="77777777" w:rsidR="00B35D37" w:rsidRDefault="00B35D37" w:rsidP="00B35D37">
      <w:pPr>
        <w:pStyle w:val="TextoNormal"/>
      </w:pPr>
    </w:p>
    <w:p w14:paraId="04FC179F" w14:textId="77777777" w:rsidR="00B35D37" w:rsidRDefault="00B35D37" w:rsidP="00B35D37">
      <w:pPr>
        <w:pStyle w:val="TextoNormal"/>
      </w:pPr>
      <w:r>
        <w:t>El auto del que discrepamos pretende resolver el escrito de recurso (y la subsidiaria promoción de un incidente de nulidad) interpuesto en fecha 20 de febrero de 2025 frente al ATC 15/2025 por el que se aceptó la abstención del presidente, señor Conde-Pumpido Tourón, tras haber sido recusado. En el auto de aceptación de la abstención no se resolvió sobre la petición de nulidad del auto de admisión a trámite del presente recurso de amparo. Esa nulidad (basada en la intervención decisiva del señor Conde-Pumpido Tourón, pese a concurrir una causa de abstención, luego admitida por él mismo) había sido solicitada expresamente en el escrito de recusación presentado el 6 de febrero de 2025 (tras el emplazamiento previsto en el art. 51 LOTC) y, sin embargo, nada se resolvió al respecto. Una vez se dio traslado a las partes para alegaciones (art. 52.1 LOTC), el ahora recurrente insistió mediante escrito del pasado 28 de marzo en que su petición de nulidad no había sido resuelta. El auto del que ahora discrepamos pretende dar respuesta al recurso interpuesto en febrero, por lo que entiende que el escrito de marzo debe quedar sin objeto.</w:t>
      </w:r>
    </w:p>
    <w:p w14:paraId="1350EFB5" w14:textId="77777777" w:rsidR="00B35D37" w:rsidRDefault="00B35D37" w:rsidP="00B35D37">
      <w:pPr>
        <w:pStyle w:val="TextoNormal"/>
      </w:pPr>
    </w:p>
    <w:p w14:paraId="5D2D3C55" w14:textId="77777777" w:rsidR="00B35D37" w:rsidRDefault="00B35D37" w:rsidP="00B35D37">
      <w:pPr>
        <w:pStyle w:val="TextoNormal"/>
      </w:pPr>
      <w:r>
        <w:t xml:space="preserve">En el auto se expone (FJ 2) la doctrina del Tribunal sobre el régimen de recursos contra sus resoluciones, así como las especialidades concurrentes en materia de abstención/recusación (ATC 192/2007) e incidentes de nulidad de actuaciones (ATC 46/2010). En síntesis: (i) el régimen general de recursos, en lo que ahora interesa, es el establecido en el art. 93.2 LOTC (contra autos y providencias procede, en su caso, el recurso de súplica); (ii) en el supuesto de las abstenciones y recusaciones no cabe recurso, por disponerlo así la Ley Orgánica del Poder Judicial, a la que se remite el art. 80 LOTC en esta materia (así debe interpretarse la expresión </w:t>
      </w:r>
      <w:r w:rsidRPr="00B35D37">
        <w:rPr>
          <w:i/>
        </w:rPr>
        <w:t>en su caso</w:t>
      </w:r>
      <w:r>
        <w:t xml:space="preserve"> del art. 93.2 LOTC); (iii) no procede promover incidentes de nulidad contra las resoluciones del Tribunal, puesto que los únicos medios de impugnación están previstos en el art. 93 LOTC, y el art. 80 LOTC no contiene remisión alguna en esta materia.</w:t>
      </w:r>
    </w:p>
    <w:p w14:paraId="12B5D0F1" w14:textId="77777777" w:rsidR="00B35D37" w:rsidRDefault="00B35D37" w:rsidP="00B35D37">
      <w:pPr>
        <w:pStyle w:val="TextoNormal"/>
      </w:pPr>
    </w:p>
    <w:p w14:paraId="1FE7EA87" w14:textId="77777777" w:rsidR="00B35D37" w:rsidRDefault="00B35D37" w:rsidP="00B35D37">
      <w:pPr>
        <w:pStyle w:val="TextoNormal"/>
      </w:pPr>
      <w:r>
        <w:t>Sentado lo anterior, el auto declara que procede la inadmisión del escrito presentado, dado que la resolución impugnada (un auto resolviendo una abstención) no era susceptible de recurso alguno ni de incidente de nulidad (FJ 3). Sin embargo, el auto no se limita a este pronunciamiento —a nuestro juicio, incorrecto, por lo que luego se dirá—, sino que aborda seguidamente la cuestión de fondo planteada en el recurso, utilizando una argumentación con la que también nos vemos obligados a mostrar nuestra disconformidad.</w:t>
      </w:r>
    </w:p>
    <w:p w14:paraId="360FDB4C" w14:textId="77777777" w:rsidR="00B35D37" w:rsidRDefault="00B35D37" w:rsidP="00B35D37">
      <w:pPr>
        <w:pStyle w:val="TextoNormal"/>
      </w:pPr>
    </w:p>
    <w:p w14:paraId="16F6F6A5" w14:textId="77777777" w:rsidR="00B35D37" w:rsidRDefault="00B35D37" w:rsidP="00B35D37">
      <w:pPr>
        <w:pStyle w:val="TextoNormal"/>
      </w:pPr>
      <w:r>
        <w:t>1. Sobre la procedencia de la petición de nulidad</w:t>
      </w:r>
    </w:p>
    <w:p w14:paraId="6B181D29" w14:textId="77777777" w:rsidR="00B35D37" w:rsidRDefault="00B35D37" w:rsidP="00B35D37">
      <w:pPr>
        <w:pStyle w:val="TextoNormal"/>
      </w:pPr>
    </w:p>
    <w:p w14:paraId="5D7DBF97" w14:textId="77777777" w:rsidR="00B35D37" w:rsidRDefault="00B35D37" w:rsidP="00B35D37">
      <w:pPr>
        <w:pStyle w:val="TextoNormal"/>
      </w:pPr>
      <w:r>
        <w:t>El auto señala (FJ 3) que la petición de nulidad del auto de admisión del amparo “excedía del objeto de la abstención e implicaba una utilización indirecta […] del incidente de nulidad […] que […] es improcedente”.</w:t>
      </w:r>
    </w:p>
    <w:p w14:paraId="7D2C2192" w14:textId="77777777" w:rsidR="00B35D37" w:rsidRDefault="00B35D37" w:rsidP="00B35D37">
      <w:pPr>
        <w:pStyle w:val="TextoNormal"/>
      </w:pPr>
    </w:p>
    <w:p w14:paraId="350F72A3" w14:textId="77777777" w:rsidR="00B35D37" w:rsidRDefault="00B35D37" w:rsidP="00B35D37">
      <w:pPr>
        <w:pStyle w:val="TextoNormal"/>
      </w:pPr>
      <w:r>
        <w:t>Esta afirmación requiere una matización no menor: la petición de nulidad se formuló en un escrito de recusación, no de abstención, y era una pretensión derivada de la intervención improcedente del magistrado recusado en el dictado de una resolución. En ese escrito no se estaba promoviendo un incidente de nulidad de actuaciones.</w:t>
      </w:r>
    </w:p>
    <w:p w14:paraId="1CADCBEF" w14:textId="77777777" w:rsidR="00B35D37" w:rsidRDefault="00B35D37" w:rsidP="00B35D37">
      <w:pPr>
        <w:pStyle w:val="TextoNormal"/>
      </w:pPr>
    </w:p>
    <w:p w14:paraId="0F6261A4" w14:textId="77777777" w:rsidR="00B35D37" w:rsidRDefault="00B35D37" w:rsidP="00B35D37">
      <w:pPr>
        <w:pStyle w:val="TextoNormal"/>
      </w:pPr>
      <w:r>
        <w:t>En efecto, ante la recusación formulada contra el presidente señor Conde-Pumpido Tourón, este se abstuvo. Y al aceptarse su abstención la petición de recusación quedó sin objeto, pero no necesariamente la de nulidad. Aceptar lo contrario implicaría que una petición de nulidad promovida temporáneamente por una parte habría quedado sin resolver por la propia actuación del Tribunal, al no tramitar la recusación sino aceptar la abstención posterior del magistrado recusado.</w:t>
      </w:r>
    </w:p>
    <w:p w14:paraId="138EEF51" w14:textId="77777777" w:rsidR="00B35D37" w:rsidRDefault="00B35D37" w:rsidP="00B35D37">
      <w:pPr>
        <w:pStyle w:val="TextoNormal"/>
      </w:pPr>
    </w:p>
    <w:p w14:paraId="431939D8" w14:textId="77777777" w:rsidR="00B35D37" w:rsidRDefault="00B35D37" w:rsidP="00B35D37">
      <w:pPr>
        <w:pStyle w:val="TextoNormal"/>
      </w:pPr>
      <w:r>
        <w:t>No es posible compartir tal razonamiento, pues si el ATC 15/2025 es una resolución que acuerda aceptar la abstención de un magistrado (y en tal sentido sería, en principio, no susceptible de recurso), no es menos cierto que esa resolución, como ya advertimos en el voto particular concurrente suscrito en ese auto, incurre en incongruencia omisiva, al dejar sin resolver una pretensión formulada por el compareciente en su escrito de 6 de febrero de 2025 junto a la recusación del magistrado que finalmente acepta abstenerse: la nulidad del ATC 5/2025, por el que se admitió el recurso de amparo (en cuyo dictado había participado el magistrado ahora abstenido), con retroacción de actuaciones para que el Pleno, sin la intervención de ese magistrado, resuelva de nuevo sobre la admisión o la inadmisión del recurso de amparo.</w:t>
      </w:r>
    </w:p>
    <w:p w14:paraId="037CBB1C" w14:textId="77777777" w:rsidR="00B35D37" w:rsidRDefault="00B35D37" w:rsidP="00B35D37">
      <w:pPr>
        <w:pStyle w:val="TextoNormal"/>
      </w:pPr>
    </w:p>
    <w:p w14:paraId="718DA8C2" w14:textId="77777777" w:rsidR="00B35D37" w:rsidRDefault="00B35D37" w:rsidP="00B35D37">
      <w:pPr>
        <w:pStyle w:val="TextoNormal"/>
      </w:pPr>
      <w:r>
        <w:t>No se trata de una pretensión que exceda del objeto de la abstención, como afirma el auto del que discrepamos sino una pretensión acumulativa a la recusación, formulada en tiempo y forma por legitimado para hacerlo, que este tribunal no puede dejar sin respuesta. No es el compareciente quien yerra en su planteamiento procesal ni quien incurre en una argumentación deficiente para sostener su pretensión, sino este tribunal en el ATC 15/2025 —y ahora de nuevo en el auto que nos ocupa—, al eludir su pronunciamiento sobre una pretensión debidamente planteada.</w:t>
      </w:r>
    </w:p>
    <w:p w14:paraId="4A4B9A57" w14:textId="77777777" w:rsidR="00B35D37" w:rsidRDefault="00B35D37" w:rsidP="00B35D37">
      <w:pPr>
        <w:pStyle w:val="TextoNormal"/>
      </w:pPr>
    </w:p>
    <w:p w14:paraId="04890D6D" w14:textId="77777777" w:rsidR="00B35D37" w:rsidRDefault="00B35D37" w:rsidP="00B35D37">
      <w:pPr>
        <w:pStyle w:val="TextoNormal"/>
      </w:pPr>
      <w:r>
        <w:t>2. Sobre la supuesta insuficiencia de la carga alegatoria del recurrente</w:t>
      </w:r>
    </w:p>
    <w:p w14:paraId="35A49EE3" w14:textId="77777777" w:rsidR="00B35D37" w:rsidRDefault="00B35D37" w:rsidP="00B35D37">
      <w:pPr>
        <w:pStyle w:val="TextoNormal"/>
      </w:pPr>
    </w:p>
    <w:p w14:paraId="15BC52C5" w14:textId="77777777" w:rsidR="00B35D37" w:rsidRDefault="00B35D37" w:rsidP="00B35D37">
      <w:pPr>
        <w:pStyle w:val="TextoNormal"/>
      </w:pPr>
      <w:r>
        <w:t>El auto de la mayoría señala (FJ 3) que la petición de nulidad resultaba inviable porque, además de no caber el medio impugnatorio empleado, no se cumplía con la correspondiente “carga alegatoria para acceder a tan drástica consecuencia alejada de la tutela objeto del presente recurso de amparo”. Afirma, a tal efecto, que en el primer escrito (el de recusación) se contenía la “mera alegación de la supuesta lesión del derecho al juez imparcial y la simple transcripción del art. 238.3 LOPJ”, mientras que en el recurso ahora interpuesto se “especula sobre la constatación de que el presidente solo se abstuvo con posterioridad al escrito de recusación y sobre su intervención decisiva en la admisión”. El auto concluye que estas alegaciones carecen de “sustantividad jurídica”, y están “huérfanas de fundamentación”.</w:t>
      </w:r>
    </w:p>
    <w:p w14:paraId="0877A9AF" w14:textId="77777777" w:rsidR="00B35D37" w:rsidRDefault="00B35D37" w:rsidP="00B35D37">
      <w:pPr>
        <w:pStyle w:val="TextoNormal"/>
      </w:pPr>
    </w:p>
    <w:p w14:paraId="08E0D35D" w14:textId="77777777" w:rsidR="00B35D37" w:rsidRDefault="00B35D37" w:rsidP="00B35D37">
      <w:pPr>
        <w:pStyle w:val="TextoNormal"/>
      </w:pPr>
      <w:r>
        <w:t>Lógicamente, la mayor o menor sustantividad jurídica de las alegaciones es una cuestión opinable, pero extremadamente relevante porque, en definitiva, es el objeto de la pretensión de la parte, que ahora se resuelve mediante este auto (tras su insistencia). Por ello, conviene ser rigurosos en las expresiones que se emplean:</w:t>
      </w:r>
    </w:p>
    <w:p w14:paraId="4B7EC447" w14:textId="77777777" w:rsidR="00B35D37" w:rsidRDefault="00B35D37" w:rsidP="00B35D37">
      <w:pPr>
        <w:pStyle w:val="TextoNormal"/>
      </w:pPr>
    </w:p>
    <w:p w14:paraId="74921786" w14:textId="77777777" w:rsidR="00B35D37" w:rsidRDefault="00B35D37" w:rsidP="00B35D37">
      <w:pPr>
        <w:pStyle w:val="TextoNormal"/>
      </w:pPr>
      <w:r>
        <w:t>a) En el escrito de recusación no se contenía una “mera alegación de la supuesta lesión del derecho al juez imparcial”, sino que también se exponía la doctrina de este tribunal (con cita y reseña parcial expresa de las SSTC 145/1988, de 12 de julio; 157/1993, de 6 de mayo, y 60/1995, de 17 de marzo) sobre la relación entre el derecho a un proceso con todas las garantías, que integra el derecho al juez imparcial, y las causas de abstención y recusación. Además, se alegaba expresamente que “[p]ese a la notoriedad de la concurrencia de la causa de abstención, el señor Conde-Pumpido no se ha abstenido de intervenir en el debate y en la decisión de apreciar trascendencia constitucional en el presente recurso de amparo”.</w:t>
      </w:r>
    </w:p>
    <w:p w14:paraId="671CA267" w14:textId="77777777" w:rsidR="00B35D37" w:rsidRDefault="00B35D37" w:rsidP="00B35D37">
      <w:pPr>
        <w:pStyle w:val="TextoNormal"/>
      </w:pPr>
    </w:p>
    <w:p w14:paraId="5B1F9E5F" w14:textId="77777777" w:rsidR="00B35D37" w:rsidRDefault="00B35D37" w:rsidP="00B35D37">
      <w:pPr>
        <w:pStyle w:val="TextoNormal"/>
      </w:pPr>
      <w:r>
        <w:t>Nada de esto se dice en el auto, aunque debiera haberse incluido si se quiere ser fiel a las alegaciones de la parte, que luego se califican, paradójicamente, de insuficientes.</w:t>
      </w:r>
    </w:p>
    <w:p w14:paraId="4223B289" w14:textId="77777777" w:rsidR="00B35D37" w:rsidRDefault="00B35D37" w:rsidP="00B35D37">
      <w:pPr>
        <w:pStyle w:val="TextoNormal"/>
      </w:pPr>
    </w:p>
    <w:p w14:paraId="7A0468C9" w14:textId="77777777" w:rsidR="00B35D37" w:rsidRDefault="00B35D37" w:rsidP="00B35D37">
      <w:pPr>
        <w:pStyle w:val="TextoNormal"/>
      </w:pPr>
      <w:r>
        <w:t>b) En el posterior escrito de recurso de febrero de 2025, que ahora se resuelve, no se “especula” con que “el presidente solo se abstuvo con posterioridad al escrito de recusación”. Eso es un hecho, no una especulación. Tampoco se especula “sobre su intervención decisiva en la admisión” del amparo. Lo que se hace es argumentar por qué se considera que su intervención pudo ser decisiva en la admisión del recurso, lo que justifica la petición de nulidad del auto. Y lo hace mediante la aportación de datos —que el auto no contradice porque, en realidad, son incontrovertidos—, precisamente para cumplir con la carga alegatoria que le corresponde. Esos datos son los siguientes: (i) la recusación y/o abstención “se basaba en hechos incontestables y que además eran perfectamente conocidos por el señor Conde-Pumpido”; (ii) su función como presidente del Tribunal Constitucional; (iii) su “directo conocimiento del asunto”, dado que, por un lado, tiene “autoridad en la materia, pues lo que se discute […] son las facultades (y límites) del fiscal general en materia de nombramientos, habiendo desempeñado el señor Conde-Pumpido durante ocho años dicha magistratura” y, por otro, como “perfecto conocedor de la trayectoria profesional tanto del señor Esteban como del señor de la Rosa”.</w:t>
      </w:r>
    </w:p>
    <w:p w14:paraId="06F06386" w14:textId="77777777" w:rsidR="00B35D37" w:rsidRDefault="00B35D37" w:rsidP="00B35D37">
      <w:pPr>
        <w:pStyle w:val="TextoNormal"/>
      </w:pPr>
    </w:p>
    <w:p w14:paraId="3985A99D" w14:textId="77777777" w:rsidR="00B35D37" w:rsidRDefault="00B35D37" w:rsidP="00B35D37">
      <w:pPr>
        <w:pStyle w:val="TextoNormal"/>
      </w:pPr>
      <w:r>
        <w:t>A pesar de que algunos de estos elementos fácticos sí figuran en el antecedente 5, nada de esto se recoge, de forma incomprensible, en la fundamentación jurídica de la resolución de la mayoría. A nuestro juicio, debiera haberse incluido para ser fieles a las alegaciones de la parte que, en todo caso, no pueden calificarse como meras especulaciones, sino que deberían ser objeto de un pronunciamiento expreso, que se omite por completo en el auto del que disentimos, lo que, por sí solo, como ya se ha expuesto, justifica este voto particular.</w:t>
      </w:r>
    </w:p>
    <w:p w14:paraId="4A312D02" w14:textId="77777777" w:rsidR="00B35D37" w:rsidRDefault="00B35D37" w:rsidP="00B35D37">
      <w:pPr>
        <w:pStyle w:val="TextoNormal"/>
      </w:pPr>
    </w:p>
    <w:p w14:paraId="02C7A1D8" w14:textId="77777777" w:rsidR="00B35D37" w:rsidRDefault="00B35D37" w:rsidP="00B35D37">
      <w:pPr>
        <w:pStyle w:val="TextoNormal"/>
      </w:pPr>
      <w:r>
        <w:t>3. Sobre la incongruencia del auto de aceptación de la abstención del presidente, señor Conde-Pumpido Tourón</w:t>
      </w:r>
    </w:p>
    <w:p w14:paraId="5CB33470" w14:textId="77777777" w:rsidR="00B35D37" w:rsidRDefault="00B35D37" w:rsidP="00B35D37">
      <w:pPr>
        <w:pStyle w:val="TextoNormal"/>
      </w:pPr>
    </w:p>
    <w:p w14:paraId="7512F98B" w14:textId="77777777" w:rsidR="00B35D37" w:rsidRDefault="00B35D37" w:rsidP="00B35D37">
      <w:pPr>
        <w:pStyle w:val="TextoNormal"/>
      </w:pPr>
      <w:r>
        <w:t>El auto (FJ 3) conecta los supuestos “déficits” argumentales del recurrente con la falta de incongruencia alguna del auto de aceptación de la abstención (que es el impugnado), al entender que era “fácilmente deducible que la petición de anulación con retroacción […] resultaba desestimada tácitamente, tanto porque era accesoria de la recusación que quedó sin objeto, como ante su inviabilidad y la ausencia de aportación de cualquier razonamiento acerca de la indefensión que le produciría de no acordarse”.</w:t>
      </w:r>
    </w:p>
    <w:p w14:paraId="2F28BAD9" w14:textId="77777777" w:rsidR="00B35D37" w:rsidRDefault="00B35D37" w:rsidP="00B35D37">
      <w:pPr>
        <w:pStyle w:val="TextoNormal"/>
      </w:pPr>
    </w:p>
    <w:p w14:paraId="41AAB09D" w14:textId="77777777" w:rsidR="00B35D37" w:rsidRDefault="00B35D37" w:rsidP="00B35D37">
      <w:pPr>
        <w:pStyle w:val="TextoNormal"/>
      </w:pPr>
      <w:r>
        <w:t>Esta afirmación resulta —como poco— incoherente con la negativa a apreciar vicio de incongruencia alguno en el ATC 15/2025. En todo caso, se trata de un argumento insostenible: no existe respuesta desestimatoria tácita en el ATC 15/2025 a la pretensión de nulidad y retroacción de actuaciones, sencillamente porque dicho auto se limita a resolver sobre la pretensión de recusación, declarando su pérdida de objeto porque, en respuesta a aquella, el magistrado recusado decide abstenerse y el Tribunal acepta efectivamente la abstención. Lisa y llanamente, la pretensión de nulidad del ATC 5/2025 y retroacción de actuaciones no fue resuelta en el ATC 15/2025.</w:t>
      </w:r>
    </w:p>
    <w:p w14:paraId="405D15C3" w14:textId="77777777" w:rsidR="00B35D37" w:rsidRDefault="00B35D37" w:rsidP="00B35D37">
      <w:pPr>
        <w:pStyle w:val="TextoNormal"/>
      </w:pPr>
    </w:p>
    <w:p w14:paraId="05B5D759" w14:textId="77777777" w:rsidR="00B35D37" w:rsidRDefault="00B35D37" w:rsidP="00B35D37">
      <w:pPr>
        <w:pStyle w:val="TextoNormal"/>
      </w:pPr>
      <w:r>
        <w:t>Una cosa es que la pretensión de la parte no esté —supuestamente— argumentada de forma suficiente, y otra cosa bien distinta es que no se resuelva expresamente, que es lo que alega —a nuestro juicio con razón— el ahora recurrente. La incongruencia omisiva existió. La pretensión de nulidad no se resolvió. Si lo que se quiere es subsanar la indudable incongruencia omisiva de la resolución impugnada, habría que dar una respuesta expresa a las alegaciones de la parte recurrente, cosa que se omite deliberadamente en el auto, en una incomprensible reiteración de la postura denunciada en el recurso.</w:t>
      </w:r>
    </w:p>
    <w:p w14:paraId="7660C065" w14:textId="77777777" w:rsidR="00B35D37" w:rsidRDefault="00B35D37" w:rsidP="00B35D37">
      <w:pPr>
        <w:pStyle w:val="TextoNormal"/>
      </w:pPr>
    </w:p>
    <w:p w14:paraId="3D110C38" w14:textId="77777777" w:rsidR="00B35D37" w:rsidRDefault="00B35D37" w:rsidP="00B35D37">
      <w:pPr>
        <w:pStyle w:val="TextoNormal"/>
      </w:pPr>
      <w:r>
        <w:t>4. Sobre la aplicación del principio de conservación de los actos procesales</w:t>
      </w:r>
    </w:p>
    <w:p w14:paraId="12B9EBB8" w14:textId="77777777" w:rsidR="00B35D37" w:rsidRDefault="00B35D37" w:rsidP="00B35D37">
      <w:pPr>
        <w:pStyle w:val="TextoNormal"/>
      </w:pPr>
    </w:p>
    <w:p w14:paraId="6F92B6EF" w14:textId="77777777" w:rsidR="00B35D37" w:rsidRDefault="00B35D37" w:rsidP="00B35D37">
      <w:pPr>
        <w:pStyle w:val="TextoNormal"/>
      </w:pPr>
      <w:r>
        <w:t>El auto considera (FJ 3) que, en cualquier caso, la aceptación de la abstención de un magistrado no ha de provocar como efecto la “anulación retroactiva de lo actuado por un principio elemental de conservación de los actos procesales”. Se trata de un argumento que, en sí mismo, pudiera ser atendible si no fuera porque se pone en relación con la supuesta insuficiencia alegatoria del recurrente que, a nuestro juicio</w:t>
      </w:r>
      <w:r w:rsidRPr="00B35D37">
        <w:rPr>
          <w:i/>
        </w:rPr>
        <w:t>, prima fac</w:t>
      </w:r>
      <w:r>
        <w:t>ie, no concurre.</w:t>
      </w:r>
    </w:p>
    <w:p w14:paraId="6F982EB3" w14:textId="77777777" w:rsidR="00B35D37" w:rsidRDefault="00B35D37" w:rsidP="00B35D37">
      <w:pPr>
        <w:pStyle w:val="TextoNormal"/>
      </w:pPr>
    </w:p>
    <w:p w14:paraId="6F2F47C3" w14:textId="77777777" w:rsidR="00B35D37" w:rsidRDefault="00B35D37" w:rsidP="00B35D37">
      <w:pPr>
        <w:pStyle w:val="TextoNormal"/>
      </w:pPr>
      <w:r>
        <w:t>Más adelante añade que la “intervención del magistrado abstenido no fue determinante de la decisión”. Sin embargo, esta afirmación es meramente apodíctica, puesto que la mayor o menor incidencia en la decisión es algo que habría que ponderar —precisamente— en la resolución de la petición de nulidad, que ahora simplemente se inadmite sin ofrecer una respuesta sobre el fondo de la pretensión.</w:t>
      </w:r>
    </w:p>
    <w:p w14:paraId="6856E355" w14:textId="77777777" w:rsidR="00B35D37" w:rsidRDefault="00B35D37" w:rsidP="00B35D37">
      <w:pPr>
        <w:pStyle w:val="TextoNormal"/>
      </w:pPr>
    </w:p>
    <w:p w14:paraId="323E92B6" w14:textId="77777777" w:rsidR="00B35D37" w:rsidRDefault="00B35D37" w:rsidP="00B35D37">
      <w:pPr>
        <w:pStyle w:val="TextoNormal"/>
      </w:pPr>
      <w:r>
        <w:t>5. Sobre la existencia o inexistencia de precedentes de declaración de nulidad</w:t>
      </w:r>
    </w:p>
    <w:p w14:paraId="7D04F34E" w14:textId="77777777" w:rsidR="00B35D37" w:rsidRDefault="00B35D37" w:rsidP="00B35D37">
      <w:pPr>
        <w:pStyle w:val="TextoNormal"/>
      </w:pPr>
    </w:p>
    <w:p w14:paraId="0F8A7ED5" w14:textId="77777777" w:rsidR="00B35D37" w:rsidRDefault="00B35D37" w:rsidP="00B35D37">
      <w:pPr>
        <w:pStyle w:val="TextoNormal"/>
      </w:pPr>
      <w:r>
        <w:t xml:space="preserve">Finalmente, el auto concluye (FJ 3, </w:t>
      </w:r>
      <w:r w:rsidRPr="00B35D37">
        <w:rPr>
          <w:i/>
        </w:rPr>
        <w:t>in fine</w:t>
      </w:r>
      <w:r>
        <w:t>) señalando la inexistencia de precedentes de esta declaración de nulidad y, al mismo tiempo, la existencia de precedentes de lo contrario, es decir, de la “vigencia y validez de la resolución de admisión, aunque, con posterioridad, el Pleno hubiera aceptado la abstención de alguno de sus componentes”, con cita de la STC 91/2021 (antecedentes 4, 12 y 13). Tales afirmaciones no se ajustan enteramente a la verdad.</w:t>
      </w:r>
    </w:p>
    <w:p w14:paraId="0E91579F" w14:textId="77777777" w:rsidR="00B35D37" w:rsidRDefault="00B35D37" w:rsidP="00B35D37">
      <w:pPr>
        <w:pStyle w:val="TextoNormal"/>
      </w:pPr>
    </w:p>
    <w:p w14:paraId="204DFB10" w14:textId="77777777" w:rsidR="00B35D37" w:rsidRDefault="00B35D37" w:rsidP="00B35D37">
      <w:pPr>
        <w:pStyle w:val="TextoNormal"/>
      </w:pPr>
      <w:r>
        <w:t>Por un lado, existen precedentes en este tribunal en los que se ha declarado la nulidad de oficio de la providencia dictada en trámite de admisión de un recurso de amparo en la que intervino el magistrado que después se abstuvo (ver, a tal efecto, los AATC 99/2006, de 27 de marzo; 141/2013, de 4 de junio, y 23/2018, de 7 de marzo). Particularmente relevante es el ATC 23/2018, dado que en ese caso fue precisamente el ahora presidente, señor Conde-Pumpido Tourón, el que intervino en la fase de admisión de un recurso de amparo promovido a través de la representación letrada de un hijo suyo, lo que determinó su posterior abstención que fue aceptada en el referido auto. En esa resolución, tras aceptar la abstención, el propio Tribunal decretó, de oficio, la nulidad de la providencia inicial, con retroacción de las actuaciones al momento inmediatamente anterior a su dictado.</w:t>
      </w:r>
    </w:p>
    <w:p w14:paraId="63402021" w14:textId="77777777" w:rsidR="00B35D37" w:rsidRDefault="00B35D37" w:rsidP="00B35D37">
      <w:pPr>
        <w:pStyle w:val="TextoNormal"/>
      </w:pPr>
    </w:p>
    <w:p w14:paraId="1964F0FA" w14:textId="77777777" w:rsidR="00B35D37" w:rsidRDefault="00B35D37" w:rsidP="00B35D37">
      <w:pPr>
        <w:pStyle w:val="TextoNormal"/>
      </w:pPr>
      <w:r>
        <w:t>Por otro lado, se puede afirmar que en el caso puesto como ejemplo (STC 91/2021) ninguna de las partes solicitó la nulidad de la providencia de admisión del recurso de amparo por el hecho de que hubieran intervenido los dos magistrados que luego se abstuvieron.</w:t>
      </w:r>
    </w:p>
    <w:p w14:paraId="76708B16" w14:textId="77777777" w:rsidR="00B35D37" w:rsidRDefault="00B35D37" w:rsidP="00B35D37">
      <w:pPr>
        <w:pStyle w:val="TextoNormal"/>
      </w:pPr>
    </w:p>
    <w:p w14:paraId="6713021D" w14:textId="77777777" w:rsidR="00B35D37" w:rsidRDefault="00B35D37" w:rsidP="00B35D37">
      <w:pPr>
        <w:pStyle w:val="TextoNormal"/>
      </w:pPr>
      <w:r>
        <w:t>En definitiva, a juicio de los magistrados firmantes de este voto particular, el auto del que discrepamos debió resolver sobre la concreta pretensión formulada temporáneamente por el recurrente, consistente en la nulidad del auto de admisión a trámite del presente recurso de amparo, al haber intervenido en su deliberación y votación un magistrado en quien concurría una causa objetiva de abstención y/o recusación. Al no hacerse así, se perpetúa la invocada vulneración del derecho a la tutela judicial efectiva (art. 24.1 CE), en su vertiente de proscripción de incongruencia omisiva. Y todo ello sin perjuicio de la eventual repercusión para el derecho a un proceso con todas las garantías (art. 24.2 CE), en su vertiente de derecho al juez imparcial, que se pudiera derivar del hecho de que en la fase de admisión a trámite de este recurso de amparo hubiera intervenido un magistrado en quien concurría una causa objetiva de abstención (art. 219.12 LOPJ).</w:t>
      </w:r>
    </w:p>
    <w:p w14:paraId="76C1BBC7" w14:textId="77777777" w:rsidR="00B35D37" w:rsidRDefault="00B35D37" w:rsidP="00B35D37">
      <w:pPr>
        <w:pStyle w:val="TextoNormal"/>
      </w:pPr>
    </w:p>
    <w:p w14:paraId="6903253F" w14:textId="014DC7A5" w:rsidR="00B35D37" w:rsidRDefault="00B35D37" w:rsidP="00B35D37">
      <w:pPr>
        <w:pStyle w:val="TextoNormal"/>
      </w:pPr>
      <w:r>
        <w:t>Madrid, a ocho de abril de dos mil veinticinco.</w:t>
      </w:r>
    </w:p>
    <w:p w14:paraId="6F0E077E" w14:textId="0842611A" w:rsidR="00B35D37" w:rsidRDefault="00B35D37">
      <w:pPr>
        <w:spacing w:after="160" w:line="278" w:lineRule="auto"/>
        <w:rPr>
          <w:rFonts w:ascii="Times New Roman" w:eastAsia="Times New Roman" w:hAnsi="Times New Roman" w:cs="Times New Roman"/>
          <w:sz w:val="24"/>
          <w:szCs w:val="24"/>
          <w:lang w:eastAsia="es-ES"/>
        </w:rPr>
      </w:pPr>
      <w:r>
        <w:br w:type="page"/>
      </w:r>
    </w:p>
    <w:p w14:paraId="4954A355" w14:textId="77777777" w:rsidR="00B35D37" w:rsidRDefault="00B35D37" w:rsidP="00B35D37">
      <w:pPr>
        <w:pStyle w:val="TtuloResolucin"/>
      </w:pPr>
      <w:bookmarkStart w:id="171" w:name="AUTO_2025_32"/>
      <w:r>
        <w:t>AUTO 32/2025, de 8 de abril de 2025</w:t>
      </w:r>
    </w:p>
    <w:bookmarkEnd w:id="171"/>
    <w:p w14:paraId="1AB08293" w14:textId="77777777" w:rsidR="00B35D37" w:rsidRDefault="00B35D37" w:rsidP="00B35D37">
      <w:pPr>
        <w:pStyle w:val="TtuloResolucin"/>
      </w:pPr>
      <w:r>
        <w:t>Pleno</w:t>
      </w:r>
    </w:p>
    <w:p w14:paraId="0687E545" w14:textId="77777777" w:rsidR="00B35D37" w:rsidRDefault="00B35D37" w:rsidP="00B35D37">
      <w:pPr>
        <w:pStyle w:val="TextoNormalCentrado"/>
      </w:pPr>
      <w:r>
        <w:t>ECLI:ES:TC:2025:32A</w:t>
      </w:r>
    </w:p>
    <w:p w14:paraId="629EBA66" w14:textId="7E61BC76" w:rsidR="00B35D37" w:rsidRDefault="00B35D37" w:rsidP="00B35D37">
      <w:pPr>
        <w:pStyle w:val="TextoNormalCentrado"/>
      </w:pPr>
    </w:p>
    <w:p w14:paraId="71C0C342"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3DC7B604" w14:textId="2ADCC00F" w:rsidR="00B35D37" w:rsidRDefault="00B35D37" w:rsidP="00B35D37">
      <w:pPr>
        <w:pStyle w:val="SntesisDescriptiva"/>
      </w:pPr>
    </w:p>
    <w:p w14:paraId="71AE4961" w14:textId="77777777" w:rsidR="00B35D37" w:rsidRDefault="00B35D37" w:rsidP="00B35D37">
      <w:pPr>
        <w:pStyle w:val="SntesisDescriptiva"/>
      </w:pPr>
      <w:r>
        <w:t>Inadmite a trámite la cuestión de inconstitucionalidad 7351-2024, planteada por la Sala de lo Contencioso-Administrativo del Tribunal Superior de Justicia de las Illes Balears, en relación con el artículo 59.2 de la Ley 3/2007, de 27 de marzo, de la función pública de la Comunidad Autónoma de las Illes Balears.</w:t>
      </w:r>
    </w:p>
    <w:p w14:paraId="37BB23C7" w14:textId="566166B6" w:rsidR="00B35D37" w:rsidRDefault="00B35D37" w:rsidP="00B35D37">
      <w:pPr>
        <w:pStyle w:val="SntesisDescriptiva"/>
      </w:pPr>
    </w:p>
    <w:p w14:paraId="6AFAE738" w14:textId="77777777" w:rsidR="00B35D37" w:rsidRDefault="00B35D37" w:rsidP="00B35D37">
      <w:pPr>
        <w:pStyle w:val="SntesisDescriptiva"/>
      </w:pPr>
    </w:p>
    <w:p w14:paraId="2F194FEC" w14:textId="77777777" w:rsidR="00B35D37" w:rsidRDefault="00B35D37" w:rsidP="00B35D37">
      <w:pPr>
        <w:pStyle w:val="SntesisDescriptiva"/>
      </w:pPr>
    </w:p>
    <w:p w14:paraId="440AC416" w14:textId="77777777" w:rsidR="00B35D37" w:rsidRDefault="00B35D37" w:rsidP="00B35D37">
      <w:pPr>
        <w:pStyle w:val="TextoNormalNegritaCentrado"/>
      </w:pPr>
      <w:r>
        <w:t>AUTO</w:t>
      </w:r>
    </w:p>
    <w:p w14:paraId="6A9E7C1E" w14:textId="5D0C8302" w:rsidR="00B35D37" w:rsidRDefault="00B35D37" w:rsidP="00B35D37">
      <w:pPr>
        <w:pStyle w:val="TextoNormalNegritaCentrado"/>
      </w:pPr>
    </w:p>
    <w:p w14:paraId="558E12BC" w14:textId="77777777" w:rsidR="00B35D37" w:rsidRDefault="00B35D37" w:rsidP="00B35D37">
      <w:pPr>
        <w:pStyle w:val="TextoNormalNegritaCentrado"/>
        <w:keepNext/>
      </w:pPr>
      <w:r>
        <w:t>I. Antecedentes</w:t>
      </w:r>
    </w:p>
    <w:p w14:paraId="52A79A41" w14:textId="02D58CFA" w:rsidR="00B35D37" w:rsidRDefault="00B35D37" w:rsidP="00B35D37">
      <w:pPr>
        <w:pStyle w:val="TextoNormalNegritaCentrado"/>
        <w:keepNext/>
      </w:pPr>
    </w:p>
    <w:p w14:paraId="380CAA6F" w14:textId="5C384C14" w:rsidR="00B35D37" w:rsidRDefault="00B35D37" w:rsidP="00B35D37">
      <w:pPr>
        <w:pStyle w:val="TextoNormal"/>
      </w:pPr>
      <w:r w:rsidRPr="00B35D37">
        <w:rPr>
          <w:rStyle w:val="NumeroAFNegritaCaracter"/>
        </w:rPr>
        <w:t>1</w:t>
      </w:r>
      <w:r>
        <w:t>. Don J.F.G.D., tuvo la condición de funcionario de carrera del cuerpo auxiliar de la Administración General de la Comunidad Autónoma de las Illes Balears desde el 7 de mayo de 2005 hasta el 13 de febrero de 2015. En dicha fecha se dictó resolución por el consejero de Administraciones Públicas declarando la pérdida de la condición de funcionario de carrera de aquel, por haber sido condenado por sentencia 8/2014, de 13 de enero, de la Sección Primera de la Audiencia Provincial de Palma de Mallorca a la pena de inhabilitación absoluta para empleo o cargo público de diez años. Dicha pena fue posteriormente sustituida por la pena de inhabilitación especial para empleo o cargo público de ocho años, por auto de 17 de julio de 2015 del tribunal sentenciador, en aplicación de la Ley Orgánica 1/2015, de 30 de marzo, por la que se modifica la Ley Orgánica 10/1995, de 23 de noviembre, del Código penal.</w:t>
      </w:r>
    </w:p>
    <w:p w14:paraId="77B165F6" w14:textId="77777777" w:rsidR="00B35D37" w:rsidRDefault="00B35D37" w:rsidP="00B35D37">
      <w:pPr>
        <w:pStyle w:val="TextoNormal"/>
      </w:pPr>
    </w:p>
    <w:p w14:paraId="2F1E11D7" w14:textId="03A5241F" w:rsidR="00B35D37" w:rsidRDefault="00B35D37" w:rsidP="00B35D37">
      <w:pPr>
        <w:pStyle w:val="TextoNormal"/>
      </w:pPr>
      <w:r w:rsidRPr="00B35D37">
        <w:rPr>
          <w:rStyle w:val="NumeroAFNegritaCaracter"/>
        </w:rPr>
        <w:t>2</w:t>
      </w:r>
      <w:r>
        <w:t>. Mediante escrito presentado el 11 de enero de 2022, dirigido a la Consejería de Presidencia, Función Pública e Igualdad del Gobierno de las Illes Balears, don J.F.G.D., solicitó la rehabilitación como funcionario de carrera del cuerpo auxiliar de la administración general de la Comunidad Autónoma de las Illes Balears, su reingreso en el mismo y la asignación de un puesto de trabajo conforme a su grado personal consolidado en la misma isla de su último destino en servicio activo. Lo hizo con base en el art. 68.2 del texto refundido de la Ley del estatuto básico del empleado público (en adelante, TRLEEP), aprobado por Real Decreto Legislativo 5/2015, de 30 de octubre. En su solicitud ya advertía de la contradicción existente entre dicho precepto estatal y el art. 59 de la Ley 3/2007, de 27 de marzo, de la función pública de la Comunidad Autónoma de las Illes Balears (en lo sucesivo, Ley del Parlamento de las Illes Balears 3/2007), si bien apuntaba que esta disposición “no puede privar en modo alguno de efectividad al art. 68.2 TRLEEP, antes mencionado, precisamente por el carácter básico de dicha norma estatal”.</w:t>
      </w:r>
    </w:p>
    <w:p w14:paraId="26FD0942" w14:textId="77777777" w:rsidR="00B35D37" w:rsidRDefault="00B35D37" w:rsidP="00B35D37">
      <w:pPr>
        <w:pStyle w:val="TextoNormal"/>
      </w:pPr>
    </w:p>
    <w:p w14:paraId="21E1BF99" w14:textId="77777777" w:rsidR="00B35D37" w:rsidRDefault="00B35D37" w:rsidP="00B35D37">
      <w:pPr>
        <w:pStyle w:val="TextoNormal"/>
      </w:pPr>
      <w:r w:rsidRPr="00B35D37">
        <w:rPr>
          <w:rStyle w:val="NumeroAFNegritaCaracter"/>
        </w:rPr>
        <w:t>3</w:t>
      </w:r>
      <w:r>
        <w:t>. La solicitud fue desestimada por resolución de 11 de marzo de 2022 de la consejera de Presidencia, Función Pública e Igualdad. Lo hizo en aplicación del art. 59.2 de la Ley del Parlamento de las Illes Balears 3/2007, que dispone que “[l]a separación del servicio cuando deviene firme tiene carácter definitivo y no es posible la rehabilitación”, y del art. 61, que limita la posibilidad de rehabilitación en la condición de funcionario a los casos de pérdida de nacionalidad o jubilación por incapacidad permanente. En dicha resolución se negaba que el art. 59.2 de la Ley del Parlamento de las Illes Balears 3/2007 fuese contrario a la legislación básica estatal, puesto que el art. 68.2 TRLEEP solo establece que los órganos de gobierno de las administraciones públicas “podrán conceder, con carácter excepcional, la rehabilitación”, no que deban hacerlo, es decir, solo establecería una posibilidad, que la legislación autonómica habría prohibido taxativamente.</w:t>
      </w:r>
    </w:p>
    <w:p w14:paraId="076A76A4" w14:textId="77777777" w:rsidR="00B35D37" w:rsidRDefault="00B35D37" w:rsidP="00B35D37">
      <w:pPr>
        <w:pStyle w:val="TextoNormal"/>
      </w:pPr>
    </w:p>
    <w:p w14:paraId="725E452B" w14:textId="6AC4B50D" w:rsidR="00B35D37" w:rsidRDefault="00B35D37" w:rsidP="00B35D37">
      <w:pPr>
        <w:pStyle w:val="TextoNormal"/>
      </w:pPr>
      <w:r>
        <w:t>Contra esta resolución, el interesado interpuso recurso de reposición el día 7 de abril de 2022. Transcurrido un mes sin haberse dictado resolución del recurso de reposición, el 16 de mayo de 2022, el recurrente instó la expedición del certificado acreditativo de la desestimación por silencio administrativo del citado recurso de reposición.</w:t>
      </w:r>
    </w:p>
    <w:p w14:paraId="3DC33DB2" w14:textId="77777777" w:rsidR="00B35D37" w:rsidRDefault="00B35D37" w:rsidP="00B35D37">
      <w:pPr>
        <w:pStyle w:val="TextoNormal"/>
      </w:pPr>
    </w:p>
    <w:p w14:paraId="7891BD9D" w14:textId="269D85CF" w:rsidR="00B35D37" w:rsidRDefault="00B35D37" w:rsidP="00B35D37">
      <w:pPr>
        <w:pStyle w:val="TextoNormal"/>
      </w:pPr>
      <w:r w:rsidRPr="00B35D37">
        <w:rPr>
          <w:rStyle w:val="NumeroAFNegritaCaracter"/>
        </w:rPr>
        <w:t>4</w:t>
      </w:r>
      <w:r>
        <w:t>. El 27 de octubre de 2022, don J.F.G.D., representado por la procuradora de los tribunales doña Amaya Vicens Jiménez y bajo la asistencia letrada de don Óscar Fidalgo Bestard, interpuso recurso contencioso-administrativo ante la Sala de lo Contencioso-Administrativo del Tribunal Superior de Justicia de las Illes Balears contra la desestimación presunta del recurso de reposición interpuesto contra la resolución de 11 de marzo de 2022 de la consejera de Presidencia, Función Pública e Igualdad de la Comunidad Autónoma de las Illes Balears.</w:t>
      </w:r>
    </w:p>
    <w:p w14:paraId="50CF3128" w14:textId="77777777" w:rsidR="00B35D37" w:rsidRDefault="00B35D37" w:rsidP="00B35D37">
      <w:pPr>
        <w:pStyle w:val="TextoNormal"/>
      </w:pPr>
    </w:p>
    <w:p w14:paraId="345710C6" w14:textId="0B2B4656" w:rsidR="00B35D37" w:rsidRDefault="00B35D37" w:rsidP="00B35D37">
      <w:pPr>
        <w:pStyle w:val="TextoNormal"/>
      </w:pPr>
      <w:r w:rsidRPr="00B35D37">
        <w:rPr>
          <w:rStyle w:val="NumeroAFNegritaCaracter"/>
        </w:rPr>
        <w:t>5</w:t>
      </w:r>
      <w:r>
        <w:t>. El recurso contencioso-administrativo fue admitido a trámite por decreto de 10 de noviembre de 2022, tramitándose como procedimiento ordinario núm. 678-2022.</w:t>
      </w:r>
    </w:p>
    <w:p w14:paraId="337F2013" w14:textId="77777777" w:rsidR="00B35D37" w:rsidRDefault="00B35D37" w:rsidP="00B35D37">
      <w:pPr>
        <w:pStyle w:val="TextoNormal"/>
      </w:pPr>
    </w:p>
    <w:p w14:paraId="2506AC28" w14:textId="77777777" w:rsidR="00B35D37" w:rsidRDefault="00B35D37" w:rsidP="00B35D37">
      <w:pPr>
        <w:pStyle w:val="TextoNormal"/>
      </w:pPr>
      <w:r w:rsidRPr="00B35D37">
        <w:rPr>
          <w:rStyle w:val="NumeroAFNegritaCaracter"/>
        </w:rPr>
        <w:t>6</w:t>
      </w:r>
      <w:r>
        <w:t>. Recabado el expediente administrativo, el recurrente formalizó su escrito de demanda el 20 de diciembre de 2022. La impugnación se basaba en los siguientes motivos: (i) infracción de los arts. 82 y 24.1 de la Ley 39/2015, de 1 de octubre, de procedimiento administrativo común de las administraciones públicas, por haberse omitido los trámites de audiencia y de comunicación previa; (ii) infracción de los arts. 14 y 149.3 CE y de la disposición final cuarta TRLEEP, defendiendo la prevalencia de la norma estatal sobre la autonómica, que habría de quedar desplazada, en materia de régimen estatutario de la función pública (con cita expresa de las SSTC 102/2016 y 204/2016); (iii) existencia de precedentes administrativos no considerados o valorados erróneamente por la administración; y (iv) infracción del procedimiento establecido en el Real Decreto 2669/1998, de 11 de diciembre, por el que se aprueba el procedimiento a seguir en materia de rehabilitación de los funcionarios públicos en el ámbito de la administración general del Estado, por considerar el recurrente que cumple los requisitos reglamentariamente establecidos para ser merecedor de la rehabilitación.</w:t>
      </w:r>
    </w:p>
    <w:p w14:paraId="0C1DA1A6" w14:textId="77777777" w:rsidR="00B35D37" w:rsidRDefault="00B35D37" w:rsidP="00B35D37">
      <w:pPr>
        <w:pStyle w:val="TextoNormal"/>
      </w:pPr>
    </w:p>
    <w:p w14:paraId="6BEA4984" w14:textId="0F12EA4B" w:rsidR="00B35D37" w:rsidRDefault="00B35D37" w:rsidP="00B35D37">
      <w:pPr>
        <w:pStyle w:val="TextoNormal"/>
      </w:pPr>
      <w:r>
        <w:t>Terminaba su escrito de demanda suplicando que se dictara sentencia revocando la resolución recurrida y ordenando la rehabilitación del demandante como funcionario de carrera del cuerpo auxiliar de la Administración General de la Comunidad Autónoma de las Illes Balears, su reingreso al mismo y la asignación de un puesto de trabajo conforme a su grado personal consolidado en la misma isla de su último destino en servicio activo. Asimismo, solicitaba que el procedimiento se resolviera sin necesidad de prueba, vista ni conclusiones, conforme a lo dispuesto en el art. 57 de la Ley 29/1998, de 13 de julio, reguladora de la jurisdicción contencioso-administrativa (LJCA).</w:t>
      </w:r>
    </w:p>
    <w:p w14:paraId="649A836B" w14:textId="77777777" w:rsidR="00B35D37" w:rsidRDefault="00B35D37" w:rsidP="00B35D37">
      <w:pPr>
        <w:pStyle w:val="TextoNormal"/>
      </w:pPr>
    </w:p>
    <w:p w14:paraId="3B91612A" w14:textId="77777777" w:rsidR="00B35D37" w:rsidRDefault="00B35D37" w:rsidP="00B35D37">
      <w:pPr>
        <w:pStyle w:val="TextoNormal"/>
      </w:pPr>
      <w:r w:rsidRPr="00B35D37">
        <w:rPr>
          <w:rStyle w:val="NumeroAFNegritaCaracter"/>
        </w:rPr>
        <w:t>7</w:t>
      </w:r>
      <w:r>
        <w:t>. Mediante escrito presentado el 20 de marzo de 2023, el abogado de la Comunidad Autónoma de las Illes Balears, en nombre y representación de la misma, presentó escrito de contestación a la demanda, oponiéndose a la misma y suplicando su íntegra desestimación.</w:t>
      </w:r>
    </w:p>
    <w:p w14:paraId="40AFB17B" w14:textId="77777777" w:rsidR="00B35D37" w:rsidRDefault="00B35D37" w:rsidP="00B35D37">
      <w:pPr>
        <w:pStyle w:val="TextoNormal"/>
      </w:pPr>
    </w:p>
    <w:p w14:paraId="0E05CC97" w14:textId="4555B471" w:rsidR="00B35D37" w:rsidRDefault="00B35D37" w:rsidP="00B35D37">
      <w:pPr>
        <w:pStyle w:val="TextoNormal"/>
      </w:pPr>
      <w:r>
        <w:t>Tras rechazar los vicios procedimentales alegados en la demanda, en cuanto al fondo del asunto alegó, en síntesis, lo que sigue: (i) que el art. 59.2 de la Ley del Parlamento de las Illes Balears 3/2007 respeta las bases estatales porque el art. 68.2 TRLEEP tan solo establece una posibilidad que el legislador autonómico puede suprimir; (ii) que, en caso de no considerarse así, en ningún caso resultarían de aplicación la cláusula de prevalencia del art. 149.3 CE ni la doctrina emanada de la STC 102/2016, toda vez que la normativa estatal vigente al tiempo de aprobarse el precepto autonómico tiene un contenido análogo al vigente art. 68.2 TRLEEP, de manera que el órgano judicial no puede dejar de aplicar el precepto autonómico, sino que en el caso de apreciar contradicción entre este y la legislación básica estatal lo procedente sería el planteamiento de una cuestión de inconstitucionalidad; (iii) que no existe precedente administrativo que sea idéntico al presente caso y que, aunque así se considerase, no cabe la “igualdad en la ilegalidad” (STC 21/1992, de 14 de febrero); y (iv) que la administración autonómica no ha seguido el procedimiento previsto en el Real Decreto 2669/1998, al considerar que la legislación autonómica proscribe la rehabilitación interesada, por lo que “si la Sala entiende que debe aplicarse dicha norma reglamentaria para determinar si procede o no la rehabilitación, deberán retrotraerse las actuaciones al momento de la solicitud para que por la administración se tramite el procedimiento correspondiente y se valore el cumplimiento de los criterios fijados en el art. 6.2 del Real Decreto 2669/1998”.</w:t>
      </w:r>
    </w:p>
    <w:p w14:paraId="6285DC82" w14:textId="77777777" w:rsidR="00B35D37" w:rsidRDefault="00B35D37" w:rsidP="00B35D37">
      <w:pPr>
        <w:pStyle w:val="TextoNormal"/>
      </w:pPr>
    </w:p>
    <w:p w14:paraId="16C685C5" w14:textId="6DAAD9FB" w:rsidR="00B35D37" w:rsidRDefault="00B35D37" w:rsidP="00B35D37">
      <w:pPr>
        <w:pStyle w:val="TextoNormal"/>
      </w:pPr>
      <w:r w:rsidRPr="00B35D37">
        <w:rPr>
          <w:rStyle w:val="NumeroAFNegritaCaracter"/>
        </w:rPr>
        <w:t>8</w:t>
      </w:r>
      <w:r>
        <w:t>. Por decreto de 28 de marzo de 2023 se fijó la cuantía del recurso como indeterminada. Por diligencia de ordenación de la misma fecha se declararon conclusas las actuaciones, quedando pendiente de señalamiento para votación y fallo cuando por turno corresponda.</w:t>
      </w:r>
    </w:p>
    <w:p w14:paraId="224047A5" w14:textId="77777777" w:rsidR="00B35D37" w:rsidRDefault="00B35D37" w:rsidP="00B35D37">
      <w:pPr>
        <w:pStyle w:val="TextoNormal"/>
      </w:pPr>
    </w:p>
    <w:p w14:paraId="5AAEB10C" w14:textId="24284FB3" w:rsidR="00B35D37" w:rsidRDefault="00B35D37" w:rsidP="00B35D37">
      <w:pPr>
        <w:pStyle w:val="TextoNormal"/>
      </w:pPr>
      <w:r w:rsidRPr="00B35D37">
        <w:rPr>
          <w:rStyle w:val="NumeroAFNegritaCaracter"/>
        </w:rPr>
        <w:t>9</w:t>
      </w:r>
      <w:r>
        <w:t>. Mediante providencia de 7 de septiembre de 2023, la Sala de lo Contencioso-Administrativo del Tribunal Superior de Justicia de las Illes Balears acordó: “Conceder a las partes y al Ministerio Fiscal un plazo común e improrrogable de diez días, a fin de que aleguen cuanto a su derecho convenga sobre la pertinencia de plantear ante el Tribunal Constitucional cuestión de inconstitucionalidad respecto del art. 59.2 de la Ley 3/2007, de 27 de marzo, de función pública de las Islas Baleares, por posible contradicción con el orden constitucional de distribución de competencias entre el Estado y las comunidades autónomas en materia del régimen estatutario de los funcionarios públicos, de acuerdo con el artículo 149.1.18 de la Constitución”.</w:t>
      </w:r>
    </w:p>
    <w:p w14:paraId="716C4C96" w14:textId="77777777" w:rsidR="00B35D37" w:rsidRDefault="00B35D37" w:rsidP="00B35D37">
      <w:pPr>
        <w:pStyle w:val="TextoNormal"/>
      </w:pPr>
    </w:p>
    <w:p w14:paraId="7141DCB9" w14:textId="32F8BADB" w:rsidR="00B35D37" w:rsidRDefault="00B35D37" w:rsidP="00B35D37">
      <w:pPr>
        <w:pStyle w:val="TextoNormal"/>
      </w:pPr>
      <w:r w:rsidRPr="00B35D37">
        <w:rPr>
          <w:rStyle w:val="NumeroAFNegritaCaracter"/>
        </w:rPr>
        <w:t>10</w:t>
      </w:r>
      <w:r>
        <w:t>. La parte actora evacuó el trámite de alegaciones mediante escrito presentado el 15 de septiembre de 2023 en el que manifestó que: “esta parte comparte plenamente el criterio del Tribunal, por cuanto la evidente contradicción entre el artículo 59.2 de la Ley 3/2007, de 27 de marzo, de función pública de las Islas Baleares y el artículo 68.2 del Estatuto básico del empleado público supone a nuestro entender un quebranto del reparto constitucional de competencias en materia de régimen estatutario de la función pública, en cuya virtud a la comunidad autónoma solo le compete la legislación de desarrollo y la ejecución en dicho ámbito competencial, de modo que no puede ir contra la legislación dictada con carácter básico por el Estado en legítimo ejercicio de su título competencial, prohibiendo expresamente un supuesto fáctico, como es la rehabilitación funcionarial, que la norma básica sí prevé y permite”.</w:t>
      </w:r>
    </w:p>
    <w:p w14:paraId="2F049FFA" w14:textId="77777777" w:rsidR="00B35D37" w:rsidRDefault="00B35D37" w:rsidP="00B35D37">
      <w:pPr>
        <w:pStyle w:val="TextoNormal"/>
      </w:pPr>
    </w:p>
    <w:p w14:paraId="5CD648B8" w14:textId="77777777" w:rsidR="00B35D37" w:rsidRDefault="00B35D37" w:rsidP="00B35D37">
      <w:pPr>
        <w:pStyle w:val="TextoNormal"/>
      </w:pPr>
      <w:r w:rsidRPr="00B35D37">
        <w:rPr>
          <w:rStyle w:val="NumeroAFNegritaCaracter"/>
        </w:rPr>
        <w:t>11</w:t>
      </w:r>
      <w:r>
        <w:t>. El 18 de septiembre de 2023, el Ministerio Fiscal presentó su escrito de alegaciones.</w:t>
      </w:r>
    </w:p>
    <w:p w14:paraId="4BB7478B" w14:textId="77777777" w:rsidR="00B35D37" w:rsidRDefault="00B35D37" w:rsidP="00B35D37">
      <w:pPr>
        <w:pStyle w:val="TextoNormal"/>
      </w:pPr>
    </w:p>
    <w:p w14:paraId="179260DA" w14:textId="77777777" w:rsidR="00B35D37" w:rsidRDefault="00B35D37" w:rsidP="00B35D37">
      <w:pPr>
        <w:pStyle w:val="TextoNormal"/>
      </w:pPr>
      <w:r>
        <w:t>A juicio del Ministerio Público, se cumplen los requisitos previstos en el art. 35 de la Ley Orgánica del Tribunal Constitucional (en adelante, LOTC), por cuanto que el procedimiento se encuentra concluso para el dictado de sentencia, la providencia de apertura del trámite de audiencia cumple con los requisitos establecidos al efecto y el precepto autonómico cuestionado es aplicable al caso.</w:t>
      </w:r>
    </w:p>
    <w:p w14:paraId="6DAD2CC0" w14:textId="77777777" w:rsidR="00B35D37" w:rsidRDefault="00B35D37" w:rsidP="00B35D37">
      <w:pPr>
        <w:pStyle w:val="TextoNormal"/>
      </w:pPr>
    </w:p>
    <w:p w14:paraId="68963478" w14:textId="405CD86C" w:rsidR="00B35D37" w:rsidRDefault="00B35D37" w:rsidP="00B35D37">
      <w:pPr>
        <w:pStyle w:val="TextoNormal"/>
      </w:pPr>
      <w:r>
        <w:t xml:space="preserve">En cuanto al juicio de relevancia, el Ministerio Fiscal explica que la estimación de la pretensión de la parte actora no deriva necesaria y directamente de la declaración de inconstitucionalidad del precepto autonómico cuestionado. Si la Sala no aprecia que concurran elementos excepcionales favorables al interesado, en el hipotético caso de declararse inconstitucional el art. 59.2 de la Ley del Parlamento de las Illes Balears 3/2007, la aplicación del art. 68.2 TRLEEP conduciría a un resultado desestimatorio análogo al previsto en la norma cuya constitucionalidad se cuestiona. Ahora bien, “si el Tribunal advirtiese la existencia de elementos excepcionales y favorables al interesado que pudieran justificar su rehabilitación conforme a la normativa estatal […], en tal caso procedería el planteamiento de la cuestión ante el Tribunal Constitucional pues, en efecto, el fallo podría verse afectado según se declare o no el ajuste a la Constitución de la normativa autonómica cuestionada. En este caso, en el auto de planteamiento de la cuestión de inconstitucionalidad que se dictase por la Sala del Excmo. Tribunal Superior de Justicia, debería plasmarse expresamente el juicio fáctico y valorativo que haya llevado al Tribunal a concluir </w:t>
      </w:r>
      <w:r w:rsidRPr="00B35D37">
        <w:rPr>
          <w:i/>
        </w:rPr>
        <w:t>prima facie</w:t>
      </w:r>
      <w:r>
        <w:t xml:space="preserve"> que pueden darse en el presente asunto los presupuestos de excepcionalidad favorables al interesado a que alude el artículo 68.2 del Real Decreto Legislativo 5/2015”.</w:t>
      </w:r>
    </w:p>
    <w:p w14:paraId="7D97E6DE" w14:textId="77777777" w:rsidR="00B35D37" w:rsidRDefault="00B35D37" w:rsidP="00B35D37">
      <w:pPr>
        <w:pStyle w:val="TextoNormal"/>
      </w:pPr>
    </w:p>
    <w:p w14:paraId="340EC7FA" w14:textId="35FD9221" w:rsidR="00B35D37" w:rsidRDefault="00B35D37" w:rsidP="00B35D37">
      <w:pPr>
        <w:pStyle w:val="TextoNormal"/>
      </w:pPr>
      <w:r w:rsidRPr="00B35D37">
        <w:rPr>
          <w:rStyle w:val="NumeroAFNegritaCaracter"/>
        </w:rPr>
        <w:t>12</w:t>
      </w:r>
      <w:r>
        <w:t>. Mediante escrito presentado el 27 de septiembre de 2023, el abogado de la Comunidad Autónoma de las Illes Balears formuló sus alegaciones en el sentido de no considerar pertinente el planteamiento de la cuestión de inconstitucionalidad, por razones sustancialmente coincidentes con las expuestas en el escrito de contestación a la demanda.</w:t>
      </w:r>
    </w:p>
    <w:p w14:paraId="181200F2" w14:textId="77777777" w:rsidR="00B35D37" w:rsidRDefault="00B35D37" w:rsidP="00B35D37">
      <w:pPr>
        <w:pStyle w:val="TextoNormal"/>
      </w:pPr>
    </w:p>
    <w:p w14:paraId="6A4FB8AD" w14:textId="77777777" w:rsidR="00B35D37" w:rsidRDefault="00B35D37" w:rsidP="00B35D37">
      <w:pPr>
        <w:pStyle w:val="TextoNormal"/>
      </w:pPr>
      <w:r w:rsidRPr="00B35D37">
        <w:rPr>
          <w:rStyle w:val="NumeroAFNegritaCaracter"/>
        </w:rPr>
        <w:t>13</w:t>
      </w:r>
      <w:r>
        <w:t>. La Sala de lo Contencioso-Administrativo del Tribunal Superior de Justicia de las Illes Balears, por auto de 2 de septiembre de 2024, acordó plantear cuestión de inconstitucionalidad en relación con el art. 59.2 de la Ley del Parlamento de las Illes Balears 3/2007.</w:t>
      </w:r>
    </w:p>
    <w:p w14:paraId="56A8C53E" w14:textId="77777777" w:rsidR="00B35D37" w:rsidRDefault="00B35D37" w:rsidP="00B35D37">
      <w:pPr>
        <w:pStyle w:val="TextoNormal"/>
      </w:pPr>
    </w:p>
    <w:p w14:paraId="471222C8" w14:textId="77777777" w:rsidR="00B35D37" w:rsidRDefault="00B35D37" w:rsidP="00B35D37">
      <w:pPr>
        <w:pStyle w:val="TextoNormal"/>
      </w:pPr>
      <w:r>
        <w:t>a) En los antecedentes del auto de planteamiento se delimita el objeto del recurso contencioso-administrativo y se exponen las posiciones de las partes y del Ministerio Fiscal en el trámite de audiencia abierto con carácter previo al planteamiento de la cuestión de inconstitucionalidad.</w:t>
      </w:r>
    </w:p>
    <w:p w14:paraId="65501D5D" w14:textId="77777777" w:rsidR="00B35D37" w:rsidRDefault="00B35D37" w:rsidP="00B35D37">
      <w:pPr>
        <w:pStyle w:val="TextoNormal"/>
      </w:pPr>
    </w:p>
    <w:p w14:paraId="45F68867" w14:textId="77777777" w:rsidR="00B35D37" w:rsidRDefault="00B35D37" w:rsidP="00B35D37">
      <w:pPr>
        <w:pStyle w:val="TextoNormal"/>
      </w:pPr>
      <w:r>
        <w:t>b) El razonamiento jurídico primero expone los antecedentes fácticos del procedimiento, que ya se han expuesto en detalle con anterioridad.</w:t>
      </w:r>
    </w:p>
    <w:p w14:paraId="11CCCFE6" w14:textId="77777777" w:rsidR="00B35D37" w:rsidRDefault="00B35D37" w:rsidP="00B35D37">
      <w:pPr>
        <w:pStyle w:val="TextoNormal"/>
      </w:pPr>
    </w:p>
    <w:p w14:paraId="16B64C6A" w14:textId="77777777" w:rsidR="00B35D37" w:rsidRDefault="00B35D37" w:rsidP="00B35D37">
      <w:pPr>
        <w:pStyle w:val="TextoNormal"/>
      </w:pPr>
      <w:r>
        <w:t>c) El razonamiento jurídico segundo lleva por rúbrica “Aplicabilidad al caso de la norma legal cuestionada”. Explica el órgano judicial que la resolución denegatoria fundamenta el rechazo de la solicitud de rehabilitación en el art. 59.2 de la Ley del Parlamento de las Illes Balears 3/2007. Para el legislador autonómico no es posible la rehabilitación en los casos de separación del servicio como consecuencia de una pena de inhabilitación para ocupar cargos públicos.</w:t>
      </w:r>
    </w:p>
    <w:p w14:paraId="52D657DF" w14:textId="77777777" w:rsidR="00B35D37" w:rsidRDefault="00B35D37" w:rsidP="00B35D37">
      <w:pPr>
        <w:pStyle w:val="TextoNormal"/>
      </w:pPr>
    </w:p>
    <w:p w14:paraId="5C4AB636" w14:textId="77777777" w:rsidR="00B35D37" w:rsidRDefault="00B35D37" w:rsidP="00B35D37">
      <w:pPr>
        <w:pStyle w:val="TextoNormal"/>
      </w:pPr>
      <w:r>
        <w:t>Continúa explicando el órgano judicial que, antes de la aprobación de la Ley del Parlamento de las Illes Balears 3/2007, el art. 105 de la Ley 13/1996, de 30 de diciembre, de medidas fiscales, administrativas y del orden social, modificó el art. 37.4 del texto articulado de la Ley de funcionarios civiles del Estado, aprobado por Decreto 315/1964, de 7 de febrero (en adelante, LFCE), incorporando a la legislación vigente la figura de la rehabilitación de los funcionarios públicos, indicando que: “4. Los órganos de gobierno de las administraciones públicas podrán conceder la rehabilitación, a petición del interesado, de quien hubiera sido condenado a la pena principal o accesoria de inhabilitación, atendiendo a las circunstancias y entidad del delito cometido”.</w:t>
      </w:r>
    </w:p>
    <w:p w14:paraId="7758A3BB" w14:textId="77777777" w:rsidR="00B35D37" w:rsidRDefault="00B35D37" w:rsidP="00B35D37">
      <w:pPr>
        <w:pStyle w:val="TextoNormal"/>
      </w:pPr>
    </w:p>
    <w:p w14:paraId="42A5066D" w14:textId="77777777" w:rsidR="00B35D37" w:rsidRDefault="00B35D37" w:rsidP="00B35D37">
      <w:pPr>
        <w:pStyle w:val="TextoNormal"/>
      </w:pPr>
      <w:r>
        <w:t>Con posterioridad a la Ley del Parlamento de las Illes Balears 3/2007, el art. 68.2 TRLEEP estableció un criterio prácticamente idéntico al anterior, al establecer que: “2. Los órganos de gobierno de las administraciones públicas podrán conceder, con carácter excepcional, la rehabilitación, a petición del interesado, de quien hubiera perdido la condición de funcionario por haber sido condenado a la pena principal o accesoria de inhabilitación, atendiendo a las circunstancias y entidad del delito cometido. Si transcurrido el plazo para dictar la resolución, no se hubiera producido de forma expresa, se entenderá desestimada la solicitud”.</w:t>
      </w:r>
    </w:p>
    <w:p w14:paraId="6EB9ABF3" w14:textId="77777777" w:rsidR="00B35D37" w:rsidRDefault="00B35D37" w:rsidP="00B35D37">
      <w:pPr>
        <w:pStyle w:val="TextoNormal"/>
      </w:pPr>
    </w:p>
    <w:p w14:paraId="562ED78A" w14:textId="77777777" w:rsidR="00B35D37" w:rsidRDefault="00B35D37" w:rsidP="00B35D37">
      <w:pPr>
        <w:pStyle w:val="TextoNormal"/>
      </w:pPr>
      <w:r>
        <w:t>De este modo, queda patente a juicio del órgano judicial la contradicción entre la normativa básica estatal que permite, excepcionalmente, la rehabilitación del funcionario condenado a la pena de inhabilitación y la norma legal autonómica balear que lo impide en todo caso. Añade la Sala que la disposición final cuarta del TRLEEP reconoce la efectividad de las disposiciones autonómicas vigentes sobre función pública “hasta que se dicten las leyes y normativa reglamentaria de desarrollo de dicha norma básica estatal”, pero en todo aquello que no se oponga al contenido del TRLEEP y el art. 59.2 de la Ley del Parlamento de las Illes Balears 3/2007 contradice claramente lo dispuesto en el art. 68.2 TRLEEP.</w:t>
      </w:r>
    </w:p>
    <w:p w14:paraId="1928596A" w14:textId="77777777" w:rsidR="00B35D37" w:rsidRDefault="00B35D37" w:rsidP="00B35D37">
      <w:pPr>
        <w:pStyle w:val="TextoNormal"/>
      </w:pPr>
    </w:p>
    <w:p w14:paraId="747C35BB" w14:textId="77777777" w:rsidR="00B35D37" w:rsidRDefault="00B35D37" w:rsidP="00B35D37">
      <w:pPr>
        <w:pStyle w:val="TextoNormal"/>
      </w:pPr>
      <w:r>
        <w:t>La norma constitucional que se supone infringida por el legislador autonómico es “el art. 149.3 de la Constitución en relación con el art. 149.1.18”.</w:t>
      </w:r>
    </w:p>
    <w:p w14:paraId="3FD505E1" w14:textId="77777777" w:rsidR="00B35D37" w:rsidRDefault="00B35D37" w:rsidP="00B35D37">
      <w:pPr>
        <w:pStyle w:val="TextoNormal"/>
      </w:pPr>
    </w:p>
    <w:p w14:paraId="345B7AE9" w14:textId="77777777" w:rsidR="00B35D37" w:rsidRDefault="00B35D37" w:rsidP="00B35D37">
      <w:pPr>
        <w:pStyle w:val="TextoNormal"/>
      </w:pPr>
      <w:r>
        <w:t>d) El razonamiento jurídico tercero se titula “[j]uicio de relevancia de la constitucionalidad de la norma cuestionada”. En este apartado, el órgano judicial razona que, como quiera que el precepto estatal básico que el recurrente pretende aplicar contempla la rehabilitación, con carácter excepcional, “atendiendo a las circunstancias y entidad del delito cometido”, ello obliga a valorar si concurren estas circunstancias excepcionales, pues de no concurrir, es indiferente la constitucionalidad de la norma autonómica si la aplicación de la norma básica estatal ha de conducir a la misma resolución denegatoria de rehabilitación.</w:t>
      </w:r>
    </w:p>
    <w:p w14:paraId="3A5748AC" w14:textId="77777777" w:rsidR="00B35D37" w:rsidRDefault="00B35D37" w:rsidP="00B35D37">
      <w:pPr>
        <w:pStyle w:val="TextoNormal"/>
      </w:pPr>
    </w:p>
    <w:p w14:paraId="5232FC9D" w14:textId="77777777" w:rsidR="00B35D37" w:rsidRDefault="00B35D37" w:rsidP="00B35D37">
      <w:pPr>
        <w:pStyle w:val="TextoNormal"/>
      </w:pPr>
      <w:r>
        <w:t xml:space="preserve">Dicho esto, pasa a examinar si concurren en el recurrente las circunstancias previstas en los arts. 4 y 6 del Real Decreto 2669/1998, indicando que ha de hacerlo la Sala por primera vez, porque la administración no lo hizo al dictar resolución, al considerar que la ley autonómica negaba en todo caso la posibilidad de rehabilitación. El análisis de la Sala </w:t>
      </w:r>
      <w:r w:rsidRPr="00B35D37">
        <w:rPr>
          <w:i/>
        </w:rPr>
        <w:t>a quo</w:t>
      </w:r>
      <w:r>
        <w:t xml:space="preserve"> concluye que: (i) ha acreditado la extinción de la responsabilidad penal y civil; (ii) carece de antecedentes penales previos a la conducta castigada y posteriores a la pérdida de la condición de funcionario; (iii) el daño o perjuicio para el servicio público no es distinto o superior a la comisión del delito que comporte la inhabilitación para empleo público, no contando perjuicio económico para el servicio público pendiente de reparación; (iv) el delito cometido no lo fue por las actuaciones llevadas a cabo en su condición de funcionario público, sino en su condición de alto cargo público electivo; (v) los delitos cometidos sí merecen la calificación de graves; (vi) es relevante el tiempo transcurrido entre la comisión del delito (2007) y la solicitud de rehabilitación (2022); (vii) la administración demandada no ha considerado necesario recabar informes de los titulares de los órganos administrativos en los que el funcionario prestó servicios; y (viii) la propia administración que le deniega la rehabilitación como funcionario de carrera le ha nombrado funcionario interino del cuerpo superior tras superar un proceso selectivo.</w:t>
      </w:r>
    </w:p>
    <w:p w14:paraId="0E436FDD" w14:textId="77777777" w:rsidR="00B35D37" w:rsidRDefault="00B35D37" w:rsidP="00B35D37">
      <w:pPr>
        <w:pStyle w:val="TextoNormal"/>
      </w:pPr>
    </w:p>
    <w:p w14:paraId="2EDF960B" w14:textId="77777777" w:rsidR="00B35D37" w:rsidRDefault="00B35D37" w:rsidP="00B35D37">
      <w:pPr>
        <w:pStyle w:val="TextoNormal"/>
      </w:pPr>
      <w:r>
        <w:t>Explica el órgano judicial que estas valoraciones se efectúan con carácter preliminar sin perjuicio de aquello que pudiera resolverse en sentencia. En concreto, añade el órgano judicial que: “si de la eventual declaración de inconstitucionalidad del art. 59.2 de la Ley 3/2007, de 27 de marzo, se apreciase que la decisión administrativa no es conforme a Derecho porque el Consejo de Gobierno no ha efectuado una ponderación discrecional de las circunstancias y con ello se ordenase la retroacción para que la administración cumpliese aquello que le impone el art. 68.2 TRLEEP, no por ello quedaría desconsiderado el juicio de relevancia, sino que sería otra consecuencia alternativa del mismo”.</w:t>
      </w:r>
    </w:p>
    <w:p w14:paraId="5CE10B95" w14:textId="77777777" w:rsidR="00B35D37" w:rsidRDefault="00B35D37" w:rsidP="00B35D37">
      <w:pPr>
        <w:pStyle w:val="TextoNormal"/>
      </w:pPr>
    </w:p>
    <w:p w14:paraId="368C1346" w14:textId="77777777" w:rsidR="00B35D37" w:rsidRDefault="00B35D37" w:rsidP="00B35D37">
      <w:pPr>
        <w:pStyle w:val="TextoNormal"/>
      </w:pPr>
      <w:r>
        <w:t>e) Finalmente, en el razonamiento jurídico cuarto, indica el órgano judicial que: “se plantea cuestión para que el Tribunal Constitucional valore: (i) el carácter básico del art. 68.2 del Real Decreto Legislativo 5/2015, de 30 de octubre, en especial al afectar a la extinción de la relación de servicios de los funcionarios públicos; (ii) la eventual colisión entre la norma básica estatal y la norma autonómica; (iii) si las competencias de desarrollo legislativo y de ejecución del estatuto de los funcionarios de la administración de la comunidad autónoma que el art. 31.3 del Estatuto de Autonomía de las Illes Balears reconoce a dicha Comunidad Autónoma de las Illes Balears, alcanza para establecer una norma como el artículo 59.2 de la Ley del Parlamento de las Illes Balears 3/2007; así como determinar (iv) si la decisión del legislador autonómico respeta las bases estatales contempladas en el LEEP de las que afirma efectuar un mero desarrollo legislativo”.</w:t>
      </w:r>
    </w:p>
    <w:p w14:paraId="55388655" w14:textId="77777777" w:rsidR="00B35D37" w:rsidRDefault="00B35D37" w:rsidP="00B35D37">
      <w:pPr>
        <w:pStyle w:val="TextoNormal"/>
      </w:pPr>
    </w:p>
    <w:p w14:paraId="5E0FB820" w14:textId="77777777" w:rsidR="00B35D37" w:rsidRDefault="00B35D37" w:rsidP="00B35D37">
      <w:pPr>
        <w:pStyle w:val="TextoNormal"/>
      </w:pPr>
      <w:r>
        <w:t>Por ello, la Sala acuerda:</w:t>
      </w:r>
    </w:p>
    <w:p w14:paraId="500C23AC" w14:textId="77777777" w:rsidR="00B35D37" w:rsidRDefault="00B35D37" w:rsidP="00B35D37">
      <w:pPr>
        <w:pStyle w:val="TextoNormal"/>
      </w:pPr>
    </w:p>
    <w:p w14:paraId="703C5632" w14:textId="77777777" w:rsidR="00B35D37" w:rsidRDefault="00B35D37" w:rsidP="00B35D37">
      <w:pPr>
        <w:pStyle w:val="TextoNormal"/>
      </w:pPr>
      <w:r>
        <w:t>“Primero.- Plantear cuestión de inconstitucionalidad sobre el art. 59.2 de la Ley 3/2007, de 27 de marzo, de la función pública de la Comunidad Autónoma de las Illes Balears.</w:t>
      </w:r>
    </w:p>
    <w:p w14:paraId="4D27819F" w14:textId="77777777" w:rsidR="00B35D37" w:rsidRDefault="00B35D37" w:rsidP="00B35D37">
      <w:pPr>
        <w:pStyle w:val="TextoNormal"/>
      </w:pPr>
    </w:p>
    <w:p w14:paraId="722A180E" w14:textId="67F595A4" w:rsidR="00B35D37" w:rsidRDefault="00B35D37" w:rsidP="00B35D37">
      <w:pPr>
        <w:pStyle w:val="TextoNormal"/>
      </w:pPr>
      <w:r>
        <w:t>Segundo.- Suspender las actuaciones en el recurso contencioso-administrativo PO 678/2022 hasta que el Tribunal Constitucional se pronuncie sobre la admisión de esta cuestión de inconstitucionalidad”.</w:t>
      </w:r>
    </w:p>
    <w:p w14:paraId="200CACAA" w14:textId="77777777" w:rsidR="00B35D37" w:rsidRDefault="00B35D37" w:rsidP="00B35D37">
      <w:pPr>
        <w:pStyle w:val="TextoNormal"/>
      </w:pPr>
    </w:p>
    <w:p w14:paraId="7FF801C5" w14:textId="1A1E3956" w:rsidR="00B35D37" w:rsidRDefault="00B35D37" w:rsidP="00B35D37">
      <w:pPr>
        <w:pStyle w:val="TextoNormal"/>
      </w:pPr>
      <w:r w:rsidRPr="00B35D37">
        <w:rPr>
          <w:rStyle w:val="NumeroAFNegritaCaracter"/>
        </w:rPr>
        <w:t>14</w:t>
      </w:r>
      <w:r>
        <w:t>. Por providencia de 28 de enero de 2025, el Pleno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(juicios de aplicabilidad y de relevancia).</w:t>
      </w:r>
    </w:p>
    <w:p w14:paraId="178D8EC5" w14:textId="77777777" w:rsidR="00B35D37" w:rsidRDefault="00B35D37" w:rsidP="00B35D37">
      <w:pPr>
        <w:pStyle w:val="TextoNormal"/>
      </w:pPr>
    </w:p>
    <w:p w14:paraId="2D649FC7" w14:textId="77777777" w:rsidR="00B35D37" w:rsidRDefault="00B35D37" w:rsidP="00B35D37">
      <w:pPr>
        <w:pStyle w:val="TextoNormal"/>
      </w:pPr>
      <w:r w:rsidRPr="00B35D37">
        <w:rPr>
          <w:rStyle w:val="NumeroAFNegritaCaracter"/>
        </w:rPr>
        <w:t>15</w:t>
      </w:r>
      <w:r>
        <w:t>. El fiscal jefe de la Fiscalía ante el Tribunal Constitucional, actuando por delegación del fiscal general del Estado, evacuó el trámite conferido mediante escrito registrado en este tribunal el 6 de marzo de 2025, interesando la inadmisión de la presente cuestión de inconstitucionalidad por incumplimiento de los presupuestos procesales.</w:t>
      </w:r>
    </w:p>
    <w:p w14:paraId="5C4D8ABB" w14:textId="77777777" w:rsidR="00B35D37" w:rsidRDefault="00B35D37" w:rsidP="00B35D37">
      <w:pPr>
        <w:pStyle w:val="TextoNormal"/>
      </w:pPr>
    </w:p>
    <w:p w14:paraId="7CFE8A57" w14:textId="77777777" w:rsidR="00B35D37" w:rsidRDefault="00B35D37" w:rsidP="00B35D37">
      <w:pPr>
        <w:pStyle w:val="TextoNormal"/>
      </w:pPr>
      <w:r>
        <w:t>a) Tras una extensa exposición de los antecedentes del litigo que ha desembocado en el presente proceso constitucional, el Ministerio Fiscal apunta que: (i) el precepto cuestionado es el art. 59.2 de la Ley 3/2007, de 27 de marzo, de la función pública de la Comunidad Autónoma de las Illes Balears; y que (ii) el auto de planteamiento identifica como preceptos constitucionales vulnerados los arts. 149.1.18 y 149.3 CE.</w:t>
      </w:r>
    </w:p>
    <w:p w14:paraId="543DF231" w14:textId="77777777" w:rsidR="00B35D37" w:rsidRDefault="00B35D37" w:rsidP="00B35D37">
      <w:pPr>
        <w:pStyle w:val="TextoNormal"/>
      </w:pPr>
    </w:p>
    <w:p w14:paraId="094E1DE3" w14:textId="77777777" w:rsidR="00B35D37" w:rsidRDefault="00B35D37" w:rsidP="00B35D37">
      <w:pPr>
        <w:pStyle w:val="TextoNormal"/>
      </w:pPr>
      <w:r>
        <w:t>b) Acto seguido expone la doctrina constitucional relativa a los presupuestos procesales de la cuestión de inconstitucionalidad, en concreto, en relación con los juicios de aplicabilidad y de relevancia y el deber de fundamentación que incumbe al órgano judicial. También cita la jurisprudencia constitucional relativa a la aplicación de la cláusula de prevalencia del art. 149.3 CE (SSTC 102/2016, de 25 de mayo, y 204/2016, de 1 de diciembre).</w:t>
      </w:r>
    </w:p>
    <w:p w14:paraId="08981DA3" w14:textId="77777777" w:rsidR="00B35D37" w:rsidRDefault="00B35D37" w:rsidP="00B35D37">
      <w:pPr>
        <w:pStyle w:val="TextoNormal"/>
      </w:pPr>
    </w:p>
    <w:p w14:paraId="48F4BDCB" w14:textId="77777777" w:rsidR="00B35D37" w:rsidRDefault="00B35D37" w:rsidP="00B35D37">
      <w:pPr>
        <w:pStyle w:val="TextoNormal"/>
      </w:pPr>
      <w:r>
        <w:t>c) En siguiente lugar, hace una referencia a la legislación aplicable al caso, para lo cual transcribe los arts. 37 y 38 del Decreto 315/1964, de 7 de febrero, por el que se aprueba el texto articulado de la Ley de funcionarios civiles del Estado (LFCE), en su redacción posterior a la Ley 13/1996, de 30 de diciembre, de medidas fiscales, administrativas y de orden social; el art. 66 de la derogada Ley 2/1989, de 22 de febrero, reguladora de la función pública de la Comunidad Autónoma de las Islas Baleares; el art. 59 de la Ley 3/2007, de 27 de marco, de la Función Pública de la Comunidad Autónoma de las Illes Balears; los arts. 63 y 68 de la Ley 7/2007, de 12 de abril, del estatuto básico del empleado público (LEEP); y el art. 68 del vigente Real Decreto Legislativo 5/2015, de 30 de octubre, por el que se aprueba el texto refundido de la Ley del Estatuto básico del empleado público.</w:t>
      </w:r>
    </w:p>
    <w:p w14:paraId="5FDC2CE5" w14:textId="77777777" w:rsidR="00B35D37" w:rsidRDefault="00B35D37" w:rsidP="00B35D37">
      <w:pPr>
        <w:pStyle w:val="TextoNormal"/>
      </w:pPr>
    </w:p>
    <w:p w14:paraId="2522F393" w14:textId="77777777" w:rsidR="00B35D37" w:rsidRDefault="00B35D37" w:rsidP="00B35D37">
      <w:pPr>
        <w:pStyle w:val="TextoNormal"/>
      </w:pPr>
      <w:r>
        <w:t>d) Expuesto lo anterior, aborda el análisis de los presupuestos procesales en el presente caso, extrayendo las siguientes conclusiones:</w:t>
      </w:r>
    </w:p>
    <w:p w14:paraId="62149CD7" w14:textId="77777777" w:rsidR="00B35D37" w:rsidRDefault="00B35D37" w:rsidP="00B35D37">
      <w:pPr>
        <w:pStyle w:val="TextoNormal"/>
      </w:pPr>
    </w:p>
    <w:p w14:paraId="56174562" w14:textId="77777777" w:rsidR="00B35D37" w:rsidRDefault="00B35D37" w:rsidP="00B35D37">
      <w:pPr>
        <w:pStyle w:val="TextoNormal"/>
      </w:pPr>
      <w:r>
        <w:t xml:space="preserve">(i) Considera que la omisión de la mención al art. 149.3 CE en la providencia de apertura del trámite de audiencia </w:t>
      </w:r>
      <w:r w:rsidRPr="00B35D37">
        <w:rPr>
          <w:i/>
        </w:rPr>
        <w:t>ex</w:t>
      </w:r>
      <w:r>
        <w:t xml:space="preserve"> art. 35 LOTC carece de relevancia porque no era determinante para las alegaciones de las partes y del Ministerio Fiscal, sino que dicha norma “únicamente ofrecía una solución para resolver la contradicción planteada” entre la norma cuestionada y la norma estatal básica.</w:t>
      </w:r>
    </w:p>
    <w:p w14:paraId="4A7FC02C" w14:textId="77777777" w:rsidR="00B35D37" w:rsidRDefault="00B35D37" w:rsidP="00B35D37">
      <w:pPr>
        <w:pStyle w:val="TextoNormal"/>
      </w:pPr>
    </w:p>
    <w:p w14:paraId="62A9DD37" w14:textId="77777777" w:rsidR="00B35D37" w:rsidRDefault="00B35D37" w:rsidP="00B35D37">
      <w:pPr>
        <w:pStyle w:val="TextoNormal"/>
      </w:pPr>
      <w:r>
        <w:t>(ii) En lo que se refiere a los juicios de aplicabilidad y de relevancia, el fiscal estima que el auto de planteamiento no indica cuál es el precepto que considera aplicable. A su juicio, el órgano judicial pondera unas circunstancias que, eventualmente, permitirían la excepcional rehabilitación de los funcionarios si resultare de aplicación la normativa estatal (art. 68.2 TRLEEP), pero no especifica si considera aplicable dicho precepto estatal o el precepto autonómico cuya constitucionalidad cuestiona. Tal ponderación es un elemento necesario y previo si se considerase aplicable la normativa estatal, pero no en el caso de que se considere aplicable el precepto autonómico cuestionado, de manera que se trata de consideraciones que se convierten en un razonamiento abstracto desvinculado del objeto del pleito.</w:t>
      </w:r>
    </w:p>
    <w:p w14:paraId="5933E284" w14:textId="77777777" w:rsidR="00B35D37" w:rsidRDefault="00B35D37" w:rsidP="00B35D37">
      <w:pPr>
        <w:pStyle w:val="TextoNormal"/>
      </w:pPr>
    </w:p>
    <w:p w14:paraId="44CCBD8C" w14:textId="77777777" w:rsidR="00B35D37" w:rsidRDefault="00B35D37" w:rsidP="00B35D37">
      <w:pPr>
        <w:pStyle w:val="TextoNormal"/>
      </w:pPr>
      <w:r>
        <w:t>La falta de determinación de la norma aplicable impide efectuar el subsiguiente y cabal juicio de relevancia.</w:t>
      </w:r>
    </w:p>
    <w:p w14:paraId="291985E3" w14:textId="77777777" w:rsidR="00B35D37" w:rsidRDefault="00B35D37" w:rsidP="00B35D37">
      <w:pPr>
        <w:pStyle w:val="TextoNormal"/>
      </w:pPr>
    </w:p>
    <w:p w14:paraId="3BB3386B" w14:textId="77777777" w:rsidR="00B35D37" w:rsidRDefault="00B35D37" w:rsidP="00B35D37">
      <w:pPr>
        <w:pStyle w:val="TextoNormal"/>
      </w:pPr>
      <w:r>
        <w:t>(iii) Por otra parte, el fiscal estima que, dada la normativa en contradicción, el órgano judicial debería haber ponderado la posible aplicación del art. 149.3 CE, “[s]iendo así que la aplicación del principio de prevalencia opera en caso de reproducción normativa por la legislación autonómica (STC 102/2016, FJ 6) o bien de un precepto dictado en ausencia de legislación básica estatal (STC 204/2016, FJ 3)”.</w:t>
      </w:r>
    </w:p>
    <w:p w14:paraId="3607AC60" w14:textId="77777777" w:rsidR="00B35D37" w:rsidRDefault="00B35D37" w:rsidP="00B35D37">
      <w:pPr>
        <w:pStyle w:val="TextoNormal"/>
      </w:pPr>
    </w:p>
    <w:p w14:paraId="5C01A5DF" w14:textId="77777777" w:rsidR="00B35D37" w:rsidRDefault="00B35D37" w:rsidP="00B35D37">
      <w:pPr>
        <w:pStyle w:val="TextoNormal"/>
      </w:pPr>
      <w:r>
        <w:t>e) Por todo ello, concluye “que el auto de planteamiento de 2 de septiembre de 2024 no efectúa un adecuado juicio de aplicabilidad, que determine cual precepto —autonómico o estatal— resulta de aplicación en relación con el objeto del proceso contencioso-administrativo, presupuesto, por lo demás, de un subsiguiente juicio de relevancia, que tampoco se efectúa de manera completa en cuanto se expresa consideraciones genéricas sobre unos preceptos reglamentarios del Real Decreto 2669/1998 vinculado a una norma básica estatal, de manera que su aplicación se permitiría en el caso, pero que no se ha determinado previamente, lo que las convierte en un previo juicio, presupuesto necesario, pero abstracto en este caso en cuanto desvinculado de la cuestión a resolver en el pleito de origen y, como señala la antes citada STC 251/2006, ‘la cuestión de inconstitucionalidad no es una acción concedida para impugnar de modo directo y con carácter abstracto la validez de la ley’”.</w:t>
      </w:r>
    </w:p>
    <w:p w14:paraId="6BA51608" w14:textId="77777777" w:rsidR="00B35D37" w:rsidRDefault="00B35D37" w:rsidP="00B35D37">
      <w:pPr>
        <w:pStyle w:val="TextoNormal"/>
      </w:pPr>
    </w:p>
    <w:p w14:paraId="31C1348E" w14:textId="5A181762" w:rsidR="00B35D37" w:rsidRDefault="00B35D37" w:rsidP="00B35D37">
      <w:pPr>
        <w:pStyle w:val="TextoNormal"/>
      </w:pPr>
      <w:r>
        <w:t>Y añade que con estas deficiencias “se incumpliría también la adecuada función de colaboración con la jurisdicción constitucional en orden a precisar los elementos necesarios para que la cuestión resulte correctamente planteada”.</w:t>
      </w:r>
    </w:p>
    <w:p w14:paraId="3C75D0E6" w14:textId="77777777" w:rsidR="00B35D37" w:rsidRDefault="00B35D37" w:rsidP="00B35D37">
      <w:pPr>
        <w:pStyle w:val="TextoNormal"/>
      </w:pPr>
    </w:p>
    <w:p w14:paraId="7347D2B3" w14:textId="77777777" w:rsidR="00B35D37" w:rsidRDefault="00B35D37" w:rsidP="00B35D37">
      <w:pPr>
        <w:pStyle w:val="TextoNormalNegritaCentrado"/>
        <w:keepNext/>
      </w:pPr>
      <w:r>
        <w:t>II. Fundamentos jurídicos</w:t>
      </w:r>
    </w:p>
    <w:p w14:paraId="25B8C1FA" w14:textId="3BF64F2A" w:rsidR="00B35D37" w:rsidRDefault="00B35D37" w:rsidP="00B35D37">
      <w:pPr>
        <w:pStyle w:val="TextoNormalNegritaCentrado"/>
        <w:keepNext/>
      </w:pPr>
    </w:p>
    <w:p w14:paraId="7C6881CD" w14:textId="77777777" w:rsidR="00B35D37" w:rsidRDefault="00B35D37" w:rsidP="00B35D37">
      <w:pPr>
        <w:pStyle w:val="TextoNormal"/>
      </w:pPr>
      <w:r w:rsidRPr="00B35D37">
        <w:rPr>
          <w:rStyle w:val="NumeroAFNegritaCaracter"/>
        </w:rPr>
        <w:t>1</w:t>
      </w:r>
      <w:r>
        <w:t>. La Sala de lo Contencioso-Administrativo del Tribunal Superior de Justicia de las Illes Balears plantea cuestión de inconstitucionalidad en relación con el art. 59.2 de la Ley 3/2007, de 27 de marzo, de la función pública de la Comunidad Autónoma de las Illes Balears, que dispone: “2. La separación del servicio cuando deviene firme tiene carácter definitivo y no es posible la rehabilitación”.</w:t>
      </w:r>
    </w:p>
    <w:p w14:paraId="0DA84852" w14:textId="77777777" w:rsidR="00B35D37" w:rsidRDefault="00B35D37" w:rsidP="00B35D37">
      <w:pPr>
        <w:pStyle w:val="TextoNormal"/>
      </w:pPr>
    </w:p>
    <w:p w14:paraId="6E6494D9" w14:textId="77777777" w:rsidR="00B35D37" w:rsidRDefault="00B35D37" w:rsidP="00B35D37">
      <w:pPr>
        <w:pStyle w:val="TextoNormal"/>
      </w:pPr>
      <w:r>
        <w:t>A juicio de la Sala de instancia, el precepto autonómico cuestionado incurre en una “patente contradicción” con la normativa básica estatal, en concreto con el art. 68.2 del texto refundido de la Ley del Estatuto básico del empleado público, por lo que “la norma constitucional que se supone infringida por el legislador autonómico es el art. 149.3 de la Constitución en relación con el art. 149.1.18, que prevé la competencia exclusiva del Estado sobre las bases del régimen jurídico de las administraciones públicas y el régimen estatutario de sus funcionarios”. En resumidas cuentas, lo que plantea la presente cuestión de inconstitucionalidad es un supuesto de inconstitucionalidad mediata, por cuanto que el precepto autonómico no sería inconstitucional por infracción directa o inmediata del precepto constitucional, sino por contradecir la legislación básica estatal.</w:t>
      </w:r>
    </w:p>
    <w:p w14:paraId="12811ED6" w14:textId="77777777" w:rsidR="00B35D37" w:rsidRDefault="00B35D37" w:rsidP="00B35D37">
      <w:pPr>
        <w:pStyle w:val="TextoNormal"/>
      </w:pPr>
    </w:p>
    <w:p w14:paraId="0CDE0B53" w14:textId="6A4D52BF" w:rsidR="00B35D37" w:rsidRDefault="00B35D37" w:rsidP="00B35D37">
      <w:pPr>
        <w:pStyle w:val="TextoNormal"/>
      </w:pPr>
      <w:r>
        <w:t>Por su parte, el fiscal general del Estado ha solicitado la inadmisión de la presente cuestión de inconstitucionalidad por incumplimiento de sus presupuestos procesales, considerando que el auto de planteamiento no efectúa correctamente el juicio de aplicabilidad, al no especificar cuál es el precepto aplicable al caso (si el estatal o el autonómico), lo que implica una defectuosa formulación del juicio de relevancia. También reprocha al órgano judicial que no haya ponderado la posible aplicación al caso de la cláusula de prevalencia del art. 149.3 CE, tal y como ha sido interpretada por la doctrina constitucional.</w:t>
      </w:r>
    </w:p>
    <w:p w14:paraId="5C4A6F02" w14:textId="77777777" w:rsidR="00B35D37" w:rsidRDefault="00B35D37" w:rsidP="00B35D37">
      <w:pPr>
        <w:pStyle w:val="TextoNormal"/>
      </w:pPr>
    </w:p>
    <w:p w14:paraId="1E5BDC91" w14:textId="34E105BB" w:rsidR="00B35D37" w:rsidRDefault="00B35D37" w:rsidP="00B35D37">
      <w:pPr>
        <w:pStyle w:val="TextoNormal"/>
      </w:pPr>
      <w:r w:rsidRPr="00B35D37">
        <w:rPr>
          <w:rStyle w:val="NumeroAFNegritaCaracter"/>
        </w:rPr>
        <w:t>2</w:t>
      </w:r>
      <w:r>
        <w:t xml:space="preserve">. El art. 37.1 LOTC permite a este tribunal rechazar </w:t>
      </w:r>
      <w:r w:rsidRPr="00B35D37">
        <w:rPr>
          <w:i/>
        </w:rPr>
        <w:t>a limine</w:t>
      </w:r>
      <w:r>
        <w:t xml:space="preserve"> las cuestiones de inconstitucionalidad, mediante auto y sin otra audiencia que la del fiscal general del Estado, cuando faltaren las condiciones procesales o fuere notoriamente infundada la cuestión suscitada. Este tribunal estima que la cuestión promovida por la Sala de lo Contencioso-Administrativo del Tribunal Superior de Justicia de las Illes Balears no cumple los requisitos procesales, en lo que se refiere a la adecuada formulación de los juicios de aplicabilidad y de relevancia.</w:t>
      </w:r>
    </w:p>
    <w:p w14:paraId="69227D1E" w14:textId="77777777" w:rsidR="00B35D37" w:rsidRDefault="00B35D37" w:rsidP="00B35D37">
      <w:pPr>
        <w:pStyle w:val="TextoNormal"/>
      </w:pPr>
    </w:p>
    <w:p w14:paraId="0C36A78A" w14:textId="77777777" w:rsidR="00B35D37" w:rsidRDefault="00B35D37" w:rsidP="00B35D37">
      <w:pPr>
        <w:pStyle w:val="TextoNormal"/>
      </w:pPr>
      <w:r w:rsidRPr="00B35D37">
        <w:rPr>
          <w:rStyle w:val="NumeroAFNegritaCaracter"/>
        </w:rPr>
        <w:t>3</w:t>
      </w:r>
      <w:r>
        <w:t xml:space="preserve">. El art. 35.2 LOTC preceptúa que el órgano judicial promotor de la cuestión de inconstitucionalidad debe especificar o justificar en qué medida la decisión del proceso </w:t>
      </w:r>
      <w:r w:rsidRPr="00B35D37">
        <w:rPr>
          <w:i/>
        </w:rPr>
        <w:t>a quo</w:t>
      </w:r>
      <w:r>
        <w:t xml:space="preserve"> depende de la validez de la norma cuestionada.</w:t>
      </w:r>
    </w:p>
    <w:p w14:paraId="75BBB8DF" w14:textId="77777777" w:rsidR="00B35D37" w:rsidRDefault="00B35D37" w:rsidP="00B35D37">
      <w:pPr>
        <w:pStyle w:val="TextoNormal"/>
      </w:pPr>
    </w:p>
    <w:p w14:paraId="2835ED53" w14:textId="77777777" w:rsidR="00B35D37" w:rsidRDefault="00B35D37" w:rsidP="00B35D37">
      <w:pPr>
        <w:pStyle w:val="TextoNormal"/>
      </w:pPr>
      <w:r>
        <w:t>Como este tribunal ha señalado, entre otros, en los AATC 376/2023, de 18 de julio, FJ 3, y 20/2024, de 27 de febrero, FJ 4,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w:t>
      </w:r>
    </w:p>
    <w:p w14:paraId="671B97E1" w14:textId="77777777" w:rsidR="00B35D37" w:rsidRDefault="00B35D37" w:rsidP="00B35D37">
      <w:pPr>
        <w:pStyle w:val="TextoNormal"/>
      </w:pPr>
    </w:p>
    <w:p w14:paraId="6780C6D9" w14:textId="77777777" w:rsidR="00B35D37" w:rsidRDefault="00B35D37" w:rsidP="00B35D37">
      <w:pPr>
        <w:pStyle w:val="TextoNormal"/>
      </w:pPr>
      <w:r>
        <w:t>Conforme a reiterada doctrina constitucional, sintetizada en los AATC 154/2022, de 16 de noviembre, FJ 3, y 188/2023, de 18 de abril, FJ 3,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14:paraId="4C70F403" w14:textId="77777777" w:rsidR="00B35D37" w:rsidRDefault="00B35D37" w:rsidP="00B35D37">
      <w:pPr>
        <w:pStyle w:val="TextoNormal"/>
      </w:pPr>
    </w:p>
    <w:p w14:paraId="226791A8" w14:textId="77777777" w:rsidR="00B35D37" w:rsidRDefault="00B35D37" w:rsidP="00B35D37">
      <w:pPr>
        <w:pStyle w:val="TextoNormal"/>
      </w:pPr>
      <w:r>
        <w:t>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14:paraId="40AE5852" w14:textId="77777777" w:rsidR="00B35D37" w:rsidRDefault="00B35D37" w:rsidP="00B35D37">
      <w:pPr>
        <w:pStyle w:val="TextoNormal"/>
      </w:pPr>
    </w:p>
    <w:p w14:paraId="4DF0C723" w14:textId="7B67F54E" w:rsidR="00B35D37" w:rsidRDefault="00B35D37" w:rsidP="00B35D37">
      <w:pPr>
        <w:pStyle w:val="TextoNormal"/>
      </w:pPr>
      <w:r>
        <w:t xml:space="preserve">No es, en principio, el Tribunal Constitucional el que ha de decidir las cuestiones de hecho o de legalidad ordinaria que se susciten en el proceso </w:t>
      </w:r>
      <w:r w:rsidRPr="00B35D37">
        <w:rPr>
          <w:i/>
        </w:rPr>
        <w:t>a quo</w:t>
      </w:r>
      <w:r>
        <w:t xml:space="preserve">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14:paraId="0D9A02CC" w14:textId="77777777" w:rsidR="00B35D37" w:rsidRDefault="00B35D37" w:rsidP="00B35D37">
      <w:pPr>
        <w:pStyle w:val="TextoNormal"/>
      </w:pPr>
    </w:p>
    <w:p w14:paraId="0D394DAE" w14:textId="77777777" w:rsidR="00B35D37" w:rsidRDefault="00B35D37" w:rsidP="00B35D37">
      <w:pPr>
        <w:pStyle w:val="TextoNormal"/>
      </w:pPr>
      <w:r w:rsidRPr="00B35D37">
        <w:rPr>
          <w:rStyle w:val="NumeroAFNegritaCaracter"/>
        </w:rPr>
        <w:t>4</w:t>
      </w:r>
      <w:r>
        <w:t>. Descendiendo ya a las concretas circunstancias que rodean el planteamiento de la presente cuestión de inconstitucionalidad, nuestro razonamiento ha de comenzar rechazando el argumento del fiscal general del Estado de que el auto de planteamiento no identifica el precepto aplicable al caso y que, por ello, tampoco puede tenerse por correctamente formulado el juicio de relevancia.</w:t>
      </w:r>
    </w:p>
    <w:p w14:paraId="5D188D5E" w14:textId="77777777" w:rsidR="00B35D37" w:rsidRDefault="00B35D37" w:rsidP="00B35D37">
      <w:pPr>
        <w:pStyle w:val="TextoNormal"/>
      </w:pPr>
    </w:p>
    <w:p w14:paraId="66524DB3" w14:textId="77777777" w:rsidR="00B35D37" w:rsidRDefault="00B35D37" w:rsidP="00B35D37">
      <w:pPr>
        <w:pStyle w:val="TextoNormal"/>
      </w:pPr>
      <w:r>
        <w:t>En el caso de autos, el órgano judicial explica que el precepto cuestionado, el art. 59.2 de la Ley del Parlamento de las Illes Balears 3/2007, es aplicable al caso, al ser el fundamento de la resolución administrativa recurrida que denegó al demandante la rehabilitación en la condición de funcionario de carrera. Por lo tanto, el órgano judicial sí ha especificado cuál es el precepto legal aplicable al caso.</w:t>
      </w:r>
    </w:p>
    <w:p w14:paraId="6DDE0A89" w14:textId="77777777" w:rsidR="00B35D37" w:rsidRDefault="00B35D37" w:rsidP="00B35D37">
      <w:pPr>
        <w:pStyle w:val="TextoNormal"/>
      </w:pPr>
    </w:p>
    <w:p w14:paraId="37F8EC0C" w14:textId="77777777" w:rsidR="00B35D37" w:rsidRDefault="00B35D37" w:rsidP="00B35D37">
      <w:pPr>
        <w:pStyle w:val="TextoNormal"/>
      </w:pPr>
      <w:r>
        <w:t xml:space="preserve">En lo que se refiere al juicio de relevancia, del auto de planteamiento se desprende que, de confirmarse la constitucionalidad del precepto autonómico cuestionado, el recurso contencioso-administrativo habría de ser desestimado. Ahora bien, continúa argumentando el órgano judicial que, en caso de declararse inconstitucional, y ya aplicando entonces el art. 68.2 TRLEEP y la normativa reglamentaria que lo desarrolla (el Real Decreto 2669/1998, de 11 de diciembre, por el que se aprueba el procedimiento a seguir en materia de rehabilitación de los funcionarios públicos en el ámbito de la administración general del Estado), procedería retrotraer las actuaciones, esto es, la estimación parcial del recurso, para que por la administración autonómica se analizaran las circunstancias que enumera el auto de planteamiento —recogidas en detalle en los antecedentes de esta resolución— y que, a juicio de la Sala </w:t>
      </w:r>
      <w:r w:rsidRPr="00B35D37">
        <w:rPr>
          <w:i/>
        </w:rPr>
        <w:t>a quo</w:t>
      </w:r>
      <w:r>
        <w:t xml:space="preserve">, podrían constituir circunstancias excepcionales favorables que, </w:t>
      </w:r>
      <w:r w:rsidRPr="00B35D37">
        <w:rPr>
          <w:i/>
        </w:rPr>
        <w:t>a priori</w:t>
      </w:r>
      <w:r>
        <w:t>, podrían justificar, en su caso, la concesión de la rehabilitación funcionarial solicitada en su día.</w:t>
      </w:r>
    </w:p>
    <w:p w14:paraId="69088C93" w14:textId="77777777" w:rsidR="00B35D37" w:rsidRDefault="00B35D37" w:rsidP="00B35D37">
      <w:pPr>
        <w:pStyle w:val="TextoNormal"/>
      </w:pPr>
    </w:p>
    <w:p w14:paraId="5850E26F" w14:textId="77777777" w:rsidR="00B35D37" w:rsidRDefault="00B35D37" w:rsidP="00B35D37">
      <w:pPr>
        <w:pStyle w:val="TextoNormal"/>
      </w:pPr>
      <w:r>
        <w:t>Sin perjuicio de lo que seguidamente se dirá, estas consideraciones, que se desprenden sin dificultades de la lectura del auto de planteamiento en su conjunto, habrían de resultar, en principio, suficientes, desde la perspectiva antiformalista con la que este tribunal aborda el cumplimiento de este requisito (por todas, STC 38/1997, de 27 de febrero, FJ 1), para tener por atendida la carga que incumbe al órgano judicial de exteriorizar “el esquema argumental dirigido a probar que el fallo del proceso judicial depende de la validez de la norma cuestionada” (por todos, ATC 21/2001, de 30 de enero, FJ 1). No se trata de que el auto de planteamiento no haya justificado los juicios de aplicabilidad y de relevancia, sino más bien de que —como seguidamente se verá— su argumentación ha de reputarse errada o inconsistente, pues, como acertadamente ha indicado el fiscal general del Estado, el órgano judicial debería haber valorado la procedencia de aplicar en el caso enjuiciado la cláusula de prevalencia del art. 149.3 CE, con arreglo a la jurisprudencia de este tribunal, y, sin embargo, no lo ha hecho.</w:t>
      </w:r>
    </w:p>
    <w:p w14:paraId="058BECE5" w14:textId="77777777" w:rsidR="00B35D37" w:rsidRDefault="00B35D37" w:rsidP="00B35D37">
      <w:pPr>
        <w:pStyle w:val="TextoNormal"/>
      </w:pPr>
    </w:p>
    <w:p w14:paraId="3906ED7A" w14:textId="77777777" w:rsidR="00B35D37" w:rsidRDefault="00B35D37" w:rsidP="00B35D37">
      <w:pPr>
        <w:pStyle w:val="TextoNormal"/>
      </w:pPr>
      <w:r>
        <w:t>Como se recoge en los antecedentes de esta resolución, en el proceso judicial de que dimana la presente cuestión de inconstitucionalidad, la parte actora postula la inaplicación del art. 59.2 de la Ley del Parlamento de las Illes Balears 3/2007 y la consiguiente aplicación del art. 68.2 TRLEEP, y todo ello de conformidad con la denominada cláusula de prevalencia del art. 149.3 CE, citando al efecto las SSTC 102/2016, de 25 de mayo, y 204/2016, de 1 de diciembre. A todo ello se opone la administración autonómica demandada en su escrito de contestación a la demanda. A pesar de tratarse de una cuestión que ha ocupado buena parte del debate procesal y, aunque el auto de planteamiento cite, de manera algo confusa y sin sacar ninguna conclusión especial de ello, como precepto constitucional vulnerado el art. 149.3 CE en relación con el art. 149.1.18 CE, la Sala de instancia no explicita las razones por las que considera que no estamos ante un supuesto al que pudiera resultar aplicable la doctrina constitucional que interpreta la cláusula de prevalencia.</w:t>
      </w:r>
    </w:p>
    <w:p w14:paraId="49E5F06E" w14:textId="77777777" w:rsidR="00B35D37" w:rsidRDefault="00B35D37" w:rsidP="00B35D37">
      <w:pPr>
        <w:pStyle w:val="TextoNormal"/>
      </w:pPr>
    </w:p>
    <w:p w14:paraId="4DB6F13A" w14:textId="77777777" w:rsidR="00B35D37" w:rsidRDefault="00B35D37" w:rsidP="00B35D37">
      <w:pPr>
        <w:pStyle w:val="TextoNormal"/>
      </w:pPr>
      <w:r>
        <w:t>Pues bien, entiende este tribunal que el órgano judicial debería haber analizado esta cuestión y ello porque, en el caso de apreciar que estamos ante alguno de los supuestos de inconstitucionalidad sobrevenida previstos en la doctrina constitucional (SSTC 102/2016, de 25 de mayo, FJ 6; 116/2016, de 20 de junio, FJ 2; 127/2016, de 7 de julio, FJ 2, y 204/2016, de 1 de diciembre, FJ 3, y AATC 167/2016, de 4 de octubre, y 27/2019, de 9 de abril), el art. 59.2 de la Ley del Parlamento de las Illes Balears 3/2007 no sería aplicable al caso, sino que debería quedar desplazado en su aplicación por el art. 68.2 TRLEEP. Estaríamos ante un conflicto de normas que podría resolverse directamente por la Sala de instancia al dictar sentencia, sin que para ello resultara preciso plantear la cuestión de inconstitucionalidad.</w:t>
      </w:r>
    </w:p>
    <w:p w14:paraId="0ACC77C4" w14:textId="77777777" w:rsidR="00B35D37" w:rsidRDefault="00B35D37" w:rsidP="00B35D37">
      <w:pPr>
        <w:pStyle w:val="TextoNormal"/>
      </w:pPr>
    </w:p>
    <w:p w14:paraId="444B5D01" w14:textId="6E3DEC5D" w:rsidR="00B35D37" w:rsidRDefault="00B35D37" w:rsidP="00B35D37">
      <w:pPr>
        <w:pStyle w:val="TextoNormal"/>
      </w:pPr>
      <w:r>
        <w:t>Como seguidamente se explicará, esto es precisamente lo que aquí acontece. Por lo tanto, la razón que conduce a la inadmisión de la presente cuestión de inconstitucionalidad no es que el órgano judicial no haya argumentado la aplicabilidad al caso del precepto legal autonómico cuestionado, sino, lisa y llanamente, que el mismo no resulta aplicable para su resolución.</w:t>
      </w:r>
    </w:p>
    <w:p w14:paraId="4D6C995D" w14:textId="77777777" w:rsidR="00B35D37" w:rsidRDefault="00B35D37" w:rsidP="00B35D37">
      <w:pPr>
        <w:pStyle w:val="TextoNormal"/>
      </w:pPr>
    </w:p>
    <w:p w14:paraId="417B0D70" w14:textId="77777777" w:rsidR="00B35D37" w:rsidRDefault="00B35D37" w:rsidP="00B35D37">
      <w:pPr>
        <w:pStyle w:val="TextoNormal"/>
      </w:pPr>
      <w:r w:rsidRPr="00B35D37">
        <w:rPr>
          <w:rStyle w:val="NumeroAFNegritaCaracter"/>
        </w:rPr>
        <w:t>5</w:t>
      </w:r>
      <w:r>
        <w:t>. Como recordamos en la STC 102/2016, FJ 6, “[e]l art. 149.3 CE es un precepto destinado no a fijar las competencias del Estado y de las comunidades autónomas, sino a solucionar los conflictos que puedan producirse en aplicación de las normas respectivas y que no hayan de resolverse mediante la declaración de inconstitucionalidad de una de ellas. De sus distintas reglas, una de las cuales es la de la prevalencia de las normas del derecho estatal en los términos que la misma describe (‘prevalecerán, en caso de conflicto, sobre las de las comunidades autónomas en todo lo que no esté atribuido a la exclusiva competencia de estas’), resultan destinatarios los aplicadores del Derecho sin distinción, y su finalidad no es otra que la de asegurar la plenitud del ordenamiento, tal y como ha afirmado de manera reiterada este tribunal [entre otras, SSTC 118/1996, de 27 de junio, FFJJ 4 y 9; 61/1997, de 20 de marzo, FJ 12.c); 157/2004, de 21 de septiembre, FJ 13, o 139/2011, de 14 de septiembre, FJ 4]”.</w:t>
      </w:r>
    </w:p>
    <w:p w14:paraId="524F02E2" w14:textId="77777777" w:rsidR="00B35D37" w:rsidRDefault="00B35D37" w:rsidP="00B35D37">
      <w:pPr>
        <w:pStyle w:val="TextoNormal"/>
      </w:pPr>
    </w:p>
    <w:p w14:paraId="6D2309B7" w14:textId="77777777" w:rsidR="00B35D37" w:rsidRDefault="00B35D37" w:rsidP="00B35D37">
      <w:pPr>
        <w:pStyle w:val="TextoNormal"/>
      </w:pPr>
      <w:r>
        <w:t>En lo que aquí interesa, de la cláusula de prevalencia del art. 149.3 CE se deriva una consecuencia trascendental en relación con las cuestiones de inconstitucionalidad. En efecto, en caso de que la legislación autonómica, que al tiempo de su aprobación no resultare contraria a la legislación básica estatal sino que se limitara a reproducir su texto, llegare a entrar en contradicción con dicha legislación básica una vez modificada esta en términos incompatibles con aquella legislación autonómica, tal conflicto no habría de resolverse con la derogación de la norma autonómica ni tampoco habría de conducir a su declaración de inconstitucionalidad y nulidad. En tal caso, la doctrina constitucional ha establecido que el conflicto de normas se resuelva “inaplicando la ley autonómica por considerar prevalente la posterior legislación básica estatal”, razón por la cual el planteamiento de la cuestión de inconstitucionalidad ante este tribunal “resulta por todo ello innecesari[o]” (STC 102/2016, FJ 6).</w:t>
      </w:r>
    </w:p>
    <w:p w14:paraId="39CC88F3" w14:textId="77777777" w:rsidR="00B35D37" w:rsidRDefault="00B35D37" w:rsidP="00B35D37">
      <w:pPr>
        <w:pStyle w:val="TextoNormal"/>
      </w:pPr>
    </w:p>
    <w:p w14:paraId="0C7BCB77" w14:textId="3EBF4677" w:rsidR="00B35D37" w:rsidRDefault="00B35D37" w:rsidP="00B35D37">
      <w:pPr>
        <w:pStyle w:val="TextoNormal"/>
      </w:pPr>
      <w:r>
        <w:t>El empleo de la cláusula de prevalencia como técnica de resolución de conflictos en la aplicación de normas, y por lo tanto como herramienta para la selección de la norma aplicable, ha sido también confirmado por este tribunal en el escenario de que la norma autonómica se hubiera dictado “en ausencia de legislación básica estatal”, esto es, en aquellos casos en los que en el momento de dictarse la ley autonómica no fuera posible imputarle vicio alguno de inconstitucionalidad, sino que aquella hubiera devenido “incompatible con una ley básica del Estado aprobada con posterioridad” (STC 204/2016, FJ 3). En este tipo de casos, tampoco resulta pertinente el planteamiento de la cuestión de inconstitucionalidad, sino que el órgano judicial debe inaplicar la ley autonómica considerando prevalente la posterior legislación básica estatal.</w:t>
      </w:r>
    </w:p>
    <w:p w14:paraId="39F6A4BC" w14:textId="77777777" w:rsidR="00B35D37" w:rsidRDefault="00B35D37" w:rsidP="00B35D37">
      <w:pPr>
        <w:pStyle w:val="TextoNormal"/>
      </w:pPr>
    </w:p>
    <w:p w14:paraId="4A0F3BD8" w14:textId="77777777" w:rsidR="00B35D37" w:rsidRDefault="00B35D37" w:rsidP="00B35D37">
      <w:pPr>
        <w:pStyle w:val="TextoNormal"/>
      </w:pPr>
      <w:r w:rsidRPr="00B35D37">
        <w:rPr>
          <w:rStyle w:val="NumeroAFNegritaCaracter"/>
        </w:rPr>
        <w:t>6</w:t>
      </w:r>
      <w:r>
        <w:t>. Expuesta sucintamente la doctrina constitucional relativa a la cláusula de prevalencia (art. 149.3 CE) en relación con las cuestiones de inconstitucionalidad, procede examinar si estamos ante alguno de los supuestos sistematizados en aquella. Para ello es preciso determinar: (a) si el precepto autonómico cuestionado reproducía, al tiempo de aprobarse, la normativa estatal básica o si se había dictado en ausencia de esta; (b) cuál es la legislación estatal aprobada con posterioridad; (c) si dicha legislación estatal tiene o no carácter formal y materialmente básico; y (d) en caso afirmativo, si existe contradicción entre aquella y el precepto autonómico cuestionado.</w:t>
      </w:r>
    </w:p>
    <w:p w14:paraId="1B152AF8" w14:textId="77777777" w:rsidR="00B35D37" w:rsidRDefault="00B35D37" w:rsidP="00B35D37">
      <w:pPr>
        <w:pStyle w:val="TextoNormal"/>
      </w:pPr>
    </w:p>
    <w:p w14:paraId="34A8DA10" w14:textId="77777777" w:rsidR="00B35D37" w:rsidRDefault="00B35D37" w:rsidP="00B35D37">
      <w:pPr>
        <w:pStyle w:val="TextoNormal"/>
      </w:pPr>
      <w:r>
        <w:t>a) Nuestro análisis ha de comenzar indicando que la figura de la rehabilitación funcionarial se introdujo en la legislación estatal por el art. 105 de la Ley 13/1996, de 30 de diciembre, de medidas fiscales, administrativas y del orden social, que añadió un nuevo apartado 4 al art. 37 del Decreto 315/1964, de 7 de febrero, por el que se aprueba el texto articulado de la Ley de funcionarios civiles del Estado, con la siguiente redacción:</w:t>
      </w:r>
    </w:p>
    <w:p w14:paraId="56DD2FE3" w14:textId="77777777" w:rsidR="00B35D37" w:rsidRDefault="00B35D37" w:rsidP="00B35D37">
      <w:pPr>
        <w:pStyle w:val="TextoNormal"/>
      </w:pPr>
    </w:p>
    <w:p w14:paraId="327880B7" w14:textId="77777777" w:rsidR="00B35D37" w:rsidRDefault="00B35D37" w:rsidP="00B35D37">
      <w:pPr>
        <w:pStyle w:val="TextoNormal"/>
      </w:pPr>
      <w:r>
        <w:t>“4. Los órganos de gobierno de las administraciones públicas podrán conceder la rehabilitación, a petición del interesado, de quien hubiera sido condenado a la pena principal o accesoria de inhabilitación, atendiendo a las circunstancias y entidad del delito cometido”.</w:t>
      </w:r>
    </w:p>
    <w:p w14:paraId="07865FA3" w14:textId="77777777" w:rsidR="00B35D37" w:rsidRDefault="00B35D37" w:rsidP="00B35D37">
      <w:pPr>
        <w:pStyle w:val="TextoNormal"/>
      </w:pPr>
    </w:p>
    <w:p w14:paraId="0F6722C9" w14:textId="77777777" w:rsidR="00B35D37" w:rsidRDefault="00B35D37" w:rsidP="00B35D37">
      <w:pPr>
        <w:pStyle w:val="TextoNormal"/>
      </w:pPr>
      <w:r>
        <w:t>Este tribunal negó expresamente que dicho precepto tuviera carácter básico, en la STC 1/2003, de 16 de enero, FJ 4, frente a lo que sostuvo en aquel recurso de inconstitucionalidad núm. 2987/1995 el abogado del Estado. Dijimos entonces que: “En definitiva, habiendo establecido el legislador postconstitucional de manera aparentemente completa e innovadora las bases del régimen estatutario de los funcionarios de las administraciones públicas en lo que se refiere a la pérdida de la condición funcionarial en el art. 33 de la Ley 30/1984 (e históricamente en el art. 19 de la Ley 22/1993 que daba nueva redacción al art. 29.3 c) de la Ley 30/1984, introduciendo una nueva causa de extinción de la relación funcionarial, causa extintiva que, tras la modificación de este último precepto por el art. 104 de la Ley 13/1996, ha dejado de existir), no cabe atribuir, de conformidad con la doctrina sentada por la STC 37/2002, de 14 de febrero, naturaleza básica al art. 37 LFCE de 1964, al no haber sido declarado expresamente como básico por el legislador estatal postconstitucional, a pesar de haber modificado dicho precepto sustancialmente mediante el art. 105 de la Ley 13/1996, ni poder inferirse dicho carácter de su posible consideración como complemento necesario de las normas básicas, pues, ciertamente, no solo no existe dato alguno que permita deducir de manera cierta y clara que el legislador postconstitucional no haya pretendido agotar la regulación de los aspectos que ha estimado básicos en la materia, sino que más bien, por el contrario, de las evidencias existentes (la falta de declaración de básico del art. 37 LFCE a pesar de haber sufrido una amplia reforma en 1996, o la regulación sin carácter básico de la jubilación forzosa incentivada en 1993) se desprende precisamente lo contrario: cuando el legislador estatal postconstitucional ha considerado que alguno de los aspectos relativos a la extinción de la relación funcionarial debía ser básico así lo ha declarado expresamente”.</w:t>
      </w:r>
    </w:p>
    <w:p w14:paraId="6DD7025A" w14:textId="77777777" w:rsidR="00B35D37" w:rsidRDefault="00B35D37" w:rsidP="00B35D37">
      <w:pPr>
        <w:pStyle w:val="TextoNormal"/>
      </w:pPr>
    </w:p>
    <w:p w14:paraId="1C5178D5" w14:textId="77777777" w:rsidR="00B35D37" w:rsidRDefault="00B35D37" w:rsidP="00B35D37">
      <w:pPr>
        <w:pStyle w:val="TextoNormal"/>
      </w:pPr>
      <w:r>
        <w:t>En este contexto, pues, de ausencia de legislación básica estatal que reconociera la figura de la rehabilitación en la condición de funcionario de carrera, se dicta la Ley del Parlamento de las Illes Balears 3/2007, cuyo art. 59, establece:</w:t>
      </w:r>
    </w:p>
    <w:p w14:paraId="0831AA03" w14:textId="77777777" w:rsidR="00B35D37" w:rsidRDefault="00B35D37" w:rsidP="00B35D37">
      <w:pPr>
        <w:pStyle w:val="TextoNormal"/>
      </w:pPr>
    </w:p>
    <w:p w14:paraId="2CA5D8F2" w14:textId="77777777" w:rsidR="00B35D37" w:rsidRDefault="00B35D37" w:rsidP="00B35D37">
      <w:pPr>
        <w:pStyle w:val="TextoNormal"/>
      </w:pPr>
      <w:r>
        <w:t>“1. La separación del servicio puede producirse como consecuencia de la imposición de una sanción disciplinaria o como consecuencia de la imposición de una pena, principal o accesoria, de inhabilitación absoluta o especial para ocupar cargos públicos.</w:t>
      </w:r>
    </w:p>
    <w:p w14:paraId="68FBACF4" w14:textId="77777777" w:rsidR="00B35D37" w:rsidRDefault="00B35D37" w:rsidP="00B35D37">
      <w:pPr>
        <w:pStyle w:val="TextoNormal"/>
      </w:pPr>
    </w:p>
    <w:p w14:paraId="6358F7DA" w14:textId="77777777" w:rsidR="00B35D37" w:rsidRDefault="00B35D37" w:rsidP="00B35D37">
      <w:pPr>
        <w:pStyle w:val="TextoNormal"/>
      </w:pPr>
      <w:r>
        <w:t>2. La separación del servicio cuando deviene firme tiene carácter definitivo y no es posible la rehabilitación”.</w:t>
      </w:r>
    </w:p>
    <w:p w14:paraId="363F5749" w14:textId="77777777" w:rsidR="00B35D37" w:rsidRDefault="00B35D37" w:rsidP="00B35D37">
      <w:pPr>
        <w:pStyle w:val="TextoNormal"/>
      </w:pPr>
    </w:p>
    <w:p w14:paraId="3EE51522" w14:textId="77777777" w:rsidR="00B35D37" w:rsidRDefault="00B35D37" w:rsidP="00B35D37">
      <w:pPr>
        <w:pStyle w:val="TextoNormal"/>
      </w:pPr>
      <w:r>
        <w:t>La cuestión de inconstitucionalidad se dirige contra el apartado 2 del citado art. 59 de la Ley del Parlamento de las Illes Balears 3/2007, cuya redacción se mantiene en la actualidad.</w:t>
      </w:r>
    </w:p>
    <w:p w14:paraId="47E0B09A" w14:textId="77777777" w:rsidR="00B35D37" w:rsidRDefault="00B35D37" w:rsidP="00B35D37">
      <w:pPr>
        <w:pStyle w:val="TextoNormal"/>
      </w:pPr>
    </w:p>
    <w:p w14:paraId="0C32C33A" w14:textId="77777777" w:rsidR="00B35D37" w:rsidRDefault="00B35D37" w:rsidP="00B35D37">
      <w:pPr>
        <w:pStyle w:val="TextoNormal"/>
      </w:pPr>
      <w:r>
        <w:t>b) Con posterioridad a la aprobación del art. 59.2 de la Ley del Parlamento de las Illes Balears 3/2007, menos de un mes después se aprobó la Ley 7/2007, de 12 de abril, del estatuto básico del empleado público, que fue luego derogada por el texto refundido de la Ley del estatuto básico del empleado público, hoy vigente, cuyo artículo 68.2 dispone:</w:t>
      </w:r>
    </w:p>
    <w:p w14:paraId="2AA52F1E" w14:textId="77777777" w:rsidR="00B35D37" w:rsidRDefault="00B35D37" w:rsidP="00B35D37">
      <w:pPr>
        <w:pStyle w:val="TextoNormal"/>
      </w:pPr>
    </w:p>
    <w:p w14:paraId="6DE6FCA2" w14:textId="77777777" w:rsidR="00B35D37" w:rsidRDefault="00B35D37" w:rsidP="00B35D37">
      <w:pPr>
        <w:pStyle w:val="TextoNormal"/>
      </w:pPr>
      <w:r>
        <w:t>“Los órganos de gobierno de las administraciones públicas podrán conceder, con carácter excepcional, la rehabilitación, a petición del interesado, de quien hubiera perdido la condición de funcionario por haber sido condenado a la pena principal o accesoria de inhabilitación, atendiendo a las circunstancias y entidad del delito cometido. Si transcurrido el plazo para dictar la resolución, no se hubiera producido de forma expresa, se entenderá desestimada la solicitud”.</w:t>
      </w:r>
    </w:p>
    <w:p w14:paraId="538094CE" w14:textId="77777777" w:rsidR="00B35D37" w:rsidRDefault="00B35D37" w:rsidP="00B35D37">
      <w:pPr>
        <w:pStyle w:val="TextoNormal"/>
      </w:pPr>
    </w:p>
    <w:p w14:paraId="0338C166" w14:textId="77777777" w:rsidR="00B35D37" w:rsidRDefault="00B35D37" w:rsidP="00B35D37">
      <w:pPr>
        <w:pStyle w:val="TextoNormal"/>
      </w:pPr>
      <w:r>
        <w:t xml:space="preserve">c) Aunque la Sala de instancia asume, como premisa de su razonamiento, el carácter básico del citado precepto con base en la competencia estatal </w:t>
      </w:r>
      <w:r w:rsidRPr="00B35D37">
        <w:rPr>
          <w:i/>
        </w:rPr>
        <w:t>ex</w:t>
      </w:r>
      <w:r>
        <w:t xml:space="preserve"> art. 149.1.18 CE, lo cierto es que este tribunal no se ha pronunciado hasta la fecha al respecto, por lo que procede en este momento verificar si, efectivamente, el art. 68.2 TRLEEP ha de ser calificado como formal y materialmente básico o no. Para ello, con carácter previo, resulta ineludible efectuar el encuadramiento competencial de las normas estatal y autonómica en liza; tarea en la que, de acuerdo con reiterada jurisprudencia, este tribunal no se encuentra vinculado por las incardinaciones competenciales contenidas en las normas sometidas a su enjuiciamiento ni tampoco por el encuadre que realicen el órgano judicial promotor de la cuestión o las partes en el proceso [por todas, STC 132/2019, de 13 de noviembre, FJ 4 d)].</w:t>
      </w:r>
    </w:p>
    <w:p w14:paraId="06E03DAF" w14:textId="77777777" w:rsidR="00B35D37" w:rsidRDefault="00B35D37" w:rsidP="00B35D37">
      <w:pPr>
        <w:pStyle w:val="TextoNormal"/>
      </w:pPr>
    </w:p>
    <w:p w14:paraId="1C5200C9" w14:textId="77777777" w:rsidR="00B35D37" w:rsidRDefault="00B35D37" w:rsidP="00B35D37">
      <w:pPr>
        <w:pStyle w:val="TextoNormal"/>
      </w:pPr>
      <w:r>
        <w:t>(i) Del tenor de los preceptos enfrentados, referidos en ambos casos a la regulación de la pérdida de la condición de funcionario de carrera, ninguna duda cabe de que nos encontramos en materia de función pública. En esta materia, el Estado ostenta competencia exclusiva para establecer las bases del régimen estatutario de los funcionarios públicos (art. 149.1.18 CE). Por su parte, la Comunidad Autónoma de las Illes Balears, “en el marco de la legislación básica del Estado”, ha asumido competencias sobre el desarrollo legislativo y la ejecución del “estatuto de los funcionarios de la administración de la comunidad autónoma y de la administración local” (art. 31.3 del Estatuto de Autonomía de las Illes Balears).</w:t>
      </w:r>
    </w:p>
    <w:p w14:paraId="201BABAF" w14:textId="77777777" w:rsidR="00B35D37" w:rsidRDefault="00B35D37" w:rsidP="00B35D37">
      <w:pPr>
        <w:pStyle w:val="TextoNormal"/>
      </w:pPr>
    </w:p>
    <w:p w14:paraId="10543558" w14:textId="77777777" w:rsidR="00B35D37" w:rsidRDefault="00B35D37" w:rsidP="00B35D37">
      <w:pPr>
        <w:pStyle w:val="TextoNormal"/>
      </w:pPr>
      <w:r>
        <w:t xml:space="preserve">La doctrina constitucional ha tenido ocasión de pronunciarse sobre la distribución competencial entre el Estado y las comunidades autónomas en relación con el estatuto de los funcionarios públicos. En particular, este tribunal ha afirmado que “los contornos de este concepto, empleado por los arts. 103.3 y 149.1.18 CE, ‘no pueden definirse en abstracto y </w:t>
      </w:r>
      <w:r w:rsidRPr="00B35D37">
        <w:rPr>
          <w:i/>
        </w:rPr>
        <w:t>a priori</w:t>
      </w:r>
      <w:r>
        <w:t>’, debiendo entenderse comprendida en su ámbito, ‘en principio, la normación relativa a la adquisición y pérdida de la condición de funcionario, a las condiciones de promoción de la carrera administrativa y a las situaciones que en esta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[STC 1/2003, de 16 de enero, FJ 3, con cita de las SSTC 99/1987, de 11 de junio, FJ 3 c), y STC 37/2002, de 14 de febrero, FJ 8)].</w:t>
      </w:r>
    </w:p>
    <w:p w14:paraId="559DE241" w14:textId="77777777" w:rsidR="00B35D37" w:rsidRDefault="00B35D37" w:rsidP="00B35D37">
      <w:pPr>
        <w:pStyle w:val="TextoNormal"/>
      </w:pPr>
    </w:p>
    <w:p w14:paraId="0BC949CA" w14:textId="77777777" w:rsidR="00B35D37" w:rsidRDefault="00B35D37" w:rsidP="00B35D37">
      <w:pPr>
        <w:pStyle w:val="TextoNormal"/>
      </w:pPr>
      <w:r>
        <w:t>La referida STC 1/2003, FJ 8, ha precisado también que “en relación con ‘el régimen estatutario de los funcionarios públicos’ (y, por tanto, en relación con los ámbitos de la pérdida de la condición funcionarial y de la ordenación de las situaciones administrativas) corresponde al Estado, en virtud del art. 149.1.18 CE, fijar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(SSTC 223/2000, de 21 de septiembre, FJ 6, y 197/1996, de 28 de noviembre, FJ 5). Corresponde, en definitiva, al legislador estatal la determinación de ese común denominador normativo que son las bases en la materia relativa al régimen estatutario de los funcionarios públicos (y en concreto en relación con sus dos ámbitos particularmente afectados por los preceptos de la Ley extremeña 5/1995 ahora enjuiciados, esto es, los relativos a las situaciones administrativas y a la pérdida de la condición funcionarial), pero el ejercicio de tal función normativa habrá de efectuarse, en cada caso, respetando, por un lado, la dimensión formal ligada al concepto constitucional de bases, ya que ‘[S]ólo así se alcanzará una clara y segura delimitación de tales competencias a través de instrumentos normativos que reduzcan, de manera inequívoca, la indeterminación formal de las normas básicas hasta el nivel que resulte compatible con el principio constitucional de seguridad jurídica (art. 9.3 CE)’ (STC 197/1996, de 28 de noviembre, FJ 6); y, por otro lado, ‘esa regulación normativa uniforme, a la que responde la noción material de norma básica, debe permitir, no obstante, que cada Comunidad Autónoma introduzca en persecución de sus propios intereses las peculiaridades que estime pertinentes dentro del marco competencial que en la materia dibuje el bloque de la constitucionalidad (SSTC 1/1982, de 28 de enero, FJ 1; 44/1982, de 8 de julio, FJ 2; 69/1988, de 19 de abril, FJ 5)’ (STC 37/2002, de 14 de febrero, FJ 13).</w:t>
      </w:r>
    </w:p>
    <w:p w14:paraId="30B3CE20" w14:textId="77777777" w:rsidR="00B35D37" w:rsidRDefault="00B35D37" w:rsidP="00B35D37">
      <w:pPr>
        <w:pStyle w:val="TextoNormal"/>
      </w:pPr>
    </w:p>
    <w:p w14:paraId="79C13D60" w14:textId="77777777" w:rsidR="00B35D37" w:rsidRDefault="00B35D37" w:rsidP="00B35D37">
      <w:pPr>
        <w:pStyle w:val="TextoNormal"/>
      </w:pPr>
      <w:r>
        <w:t>Dentro del respeto de estos dos condicionantes, el legislador estatal ‘goza —tal y como señalamos en la tantas veces citada STC 37/2002, FJ 9— de una completa libertad para establecer con carácter general las bases de una determinada materia, aceptando o no las que pudieran inferirse de las normas legales preconstitucionales o las fijadas anticipadamente por el Gobierno [SSTC 32/1983, de 28 de abril, FJ 12; 42/1983, de 20 de mayo, FJ 3 a); 76/1983, de 5 de agosto, FJ 19],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De otra parte, la función de control que sobre la legislación básica corresponde a este Tribunal Constitucional ha de circunscribirse a revisar la calificación hecha por el legislador estatal postconstitucional de una norma como básica y a decidir si la misma puede ser considerada formal y materialmente como tal, estándole vedado ampliar el alcance y contenido de lo definido inicialmente como básico por el legislador (SSTC 69/1988, de 19 de abril, FJ 5; 141/1993, de 22 de abril, FJ 3)’”.</w:t>
      </w:r>
    </w:p>
    <w:p w14:paraId="4C149A64" w14:textId="77777777" w:rsidR="00B35D37" w:rsidRDefault="00B35D37" w:rsidP="00B35D37">
      <w:pPr>
        <w:pStyle w:val="TextoNormal"/>
      </w:pPr>
    </w:p>
    <w:p w14:paraId="67842C5D" w14:textId="77777777" w:rsidR="00B35D37" w:rsidRDefault="00B35D37" w:rsidP="00B35D37">
      <w:pPr>
        <w:pStyle w:val="TextoNormal"/>
      </w:pPr>
      <w:r>
        <w:t>(ii) Llegados a este punto, efectuado el encuadramiento competencial, estamos ya en disposición de determinar si el art. 68.2 TRLEEP tiene carácter formal y materialmente básico.</w:t>
      </w:r>
    </w:p>
    <w:p w14:paraId="1E234F59" w14:textId="77777777" w:rsidR="00B35D37" w:rsidRDefault="00B35D37" w:rsidP="00B35D37">
      <w:pPr>
        <w:pStyle w:val="TextoNormal"/>
      </w:pPr>
    </w:p>
    <w:p w14:paraId="0CB1F435" w14:textId="77777777" w:rsidR="00B35D37" w:rsidRDefault="00B35D37" w:rsidP="00B35D37">
      <w:pPr>
        <w:pStyle w:val="TextoNormal"/>
      </w:pPr>
      <w:r>
        <w:t>Desde el punto de vista formal, ninguna duda cabe acerca del carácter formalmente básico del art. 68.2 TRLEEP. Así resulta del art. 2.1 b) (“Este Estatuto se aplica al personal funcionario y en lo que proceda al personal laboral al servicio de las siguientes administraciones públicas: […] b) Las administraciones de las comunidades autónomas y de las ciudades de Ceuta y Melilla”), en relación con la disposición final primera (“Las disposiciones de este Estatuto se dictan al amparo del artículo 149.1.18 de la Constitución, constituyendo aquellas bases del régimen estatutario de los funcionarios; al amparo del artículo 149.1.7 de la Constitución, por lo que se refiere a la legislación laboral, y al amparo del artículo 149.1.13 de la Constitución, bases y coordinación de la planificación general de la actividad económica”) y la disposición final segunda (“Las previsiones de esta ley son de aplicación a todas las comunidades autónomas respetando en todo caso las posiciones singulares en materia de sistema institucional y las competencias exclusivas y compartidas en materia de función pública y de autoorganización que les atribuyen los respectivos Estatutos de Autonomía, en el marco de la Constitución”) del texto refundido de la Ley del Estatuto básico del empleado público.</w:t>
      </w:r>
    </w:p>
    <w:p w14:paraId="68F5177C" w14:textId="77777777" w:rsidR="00B35D37" w:rsidRDefault="00B35D37" w:rsidP="00B35D37">
      <w:pPr>
        <w:pStyle w:val="TextoNormal"/>
      </w:pPr>
    </w:p>
    <w:p w14:paraId="3E4591DF" w14:textId="77777777" w:rsidR="00B35D37" w:rsidRDefault="00B35D37" w:rsidP="00B35D37">
      <w:pPr>
        <w:pStyle w:val="TextoNormal"/>
      </w:pPr>
      <w:r>
        <w:t>Desde el punto de vista material, también cabe apreciar el carácter básico del precepto estatal de contraste. El art. 68.2 TRLEEP regula un supuesto en el que la pérdida de la condición de funcionario por haber sido aquel condenado a pena principal o accesoria de inhabilitación absoluta o especial para cargo público puede ser revertida mediante la figura de la rehabilitación. En concreto, contempla la posibilidad del funcionario de solicitar la rehabilitación en dicha condición funcionarial, si bien la rehabilitación no constituye un derecho subjetivo del funcionario sino que se trata de una medida en virtud de la cual se atribuye la decisión acerca de la rehabilitación a los órganos de gobierno de la administración pública de que se trate, que solo podrán concederla “con carácter excepcional” y “atendiendo a las circunstancias y entidad del delito cometido” [por todas, SSTS 89/2020, de 28 de enero, recurso núm. 18-2018 (ECLI:ES:TS:2020:184); 935/2021, de 29 de junio, recurso núm. 261-2020 (ECLI:ES:TS:2021:2591), y, más recientemente, 1789/2024, de 7 de noviembre, recurso núm. 1184/2023 (ECLI:ES:TS:2024:5394)].</w:t>
      </w:r>
    </w:p>
    <w:p w14:paraId="497521B8" w14:textId="77777777" w:rsidR="00B35D37" w:rsidRDefault="00B35D37" w:rsidP="00B35D37">
      <w:pPr>
        <w:pStyle w:val="TextoNormal"/>
      </w:pPr>
    </w:p>
    <w:p w14:paraId="538677EC" w14:textId="77777777" w:rsidR="00B35D37" w:rsidRDefault="00B35D37" w:rsidP="00B35D37">
      <w:pPr>
        <w:pStyle w:val="TextoNormal"/>
      </w:pPr>
      <w:r>
        <w:t xml:space="preserve">Al afectar a una cuestión central del régimen estatutario de los funcionarios públicos, como es la pérdida de la condición de funcionario, en particular, en lo que se refiere a su carácter definitivo o no, la regulación de esta figura, en cuanto que posibilidad legal (que no derecho subjetivo </w:t>
      </w:r>
      <w:r w:rsidRPr="00B35D37">
        <w:rPr>
          <w:i/>
        </w:rPr>
        <w:t>stricto sensu</w:t>
      </w:r>
      <w:r>
        <w:t>), puede ser abarcada por las bases estatales, con arreglo a la distribución competencial antes expuesta.</w:t>
      </w:r>
    </w:p>
    <w:p w14:paraId="461A1044" w14:textId="77777777" w:rsidR="00B35D37" w:rsidRDefault="00B35D37" w:rsidP="00B35D37">
      <w:pPr>
        <w:pStyle w:val="TextoNormal"/>
      </w:pPr>
    </w:p>
    <w:p w14:paraId="2F17ECA1" w14:textId="77777777" w:rsidR="00B35D37" w:rsidRDefault="00B35D37" w:rsidP="00B35D37">
      <w:pPr>
        <w:pStyle w:val="TextoNormal"/>
      </w:pPr>
      <w:r>
        <w:t>Por otro lado, la regulación contenida en el art. 68.2 TRLEEP puede ser entendida como un “común denominador normativo” necesario para asegurar una cierta unidad fundamental dentro del régimen estatutario de los funcionarios públicos, pues quebraría dicha unidad que solo los funcionarios de algunas administraciones, y no los de todas, tuvieran abierta la posibilidad legal de solicitar y, en su caso, recuperar dicha condición (tras haberla perdido como consecuencia de la pena de inhabilitación para empleo o cargo público), y todo ello con independencia de que la concesión de la rehabilitación esté configurada legalmente como una decisión excepcional y no como la regla general.</w:t>
      </w:r>
    </w:p>
    <w:p w14:paraId="29EDDA1B" w14:textId="77777777" w:rsidR="00B35D37" w:rsidRDefault="00B35D37" w:rsidP="00B35D37">
      <w:pPr>
        <w:pStyle w:val="TextoNormal"/>
      </w:pPr>
    </w:p>
    <w:p w14:paraId="2C053A7B" w14:textId="77777777" w:rsidR="00B35D37" w:rsidRDefault="00B35D37" w:rsidP="00B35D37">
      <w:pPr>
        <w:pStyle w:val="TextoNormal"/>
      </w:pPr>
      <w:r>
        <w:t>Por lo demás, el precepto estatal no agota por completo la regulación de la materia, pues las comunidades autónomas disponen de margen para regular el procedimiento a seguir, así como para precisar o detallar los criterios a ponderar a la hora de adoptar la decisión acerca de la procedencia o improcedencia de la rehabilitación funcionarial, siempre que lo hagan dentro del marco fijado por el legislador estatal. En este sentido, no está de más señalar que, en el ámbito de la administración general del Estado, el procedimiento y los criterios a tener en cuenta se desarrollan en el Real Decreto 2669/1998, de 11 de diciembre, por el que se aprueba el procedimiento a seguir en materia de rehabilitación de los funcionarios públicos en el ámbito de la administración general del Estado. Dicho Real Decreto 2669/1998, todavía vigente, fue dictado en desarrollo del art. 37 LFCE, cuyo carácter básico fue negado por la ya citada STC 1/2003, FJ 4, y, por lo tanto, tampoco tiene carácter básico. De hecho, esta disposición reglamentaria solo resulta aplicable a los funcionarios estatales, como expresamente indica su art. 1, en consonancia con lo indicado en su preámbulo. En consecuencia, el precepto estatal deja margen para que las comunidades autónomas, en el ejercicio de sus competencias de desarrollo legislativo, puedan proceder a la regulación no solo del cauce procedimental a seguir para tramitar las solicitudes de rehabilitación, sino también para proceder a fijar los criterios a considerar a la hora de apreciar “las circunstancias y entidad de delito cometido”, a que se refiere genéricamente el art. 68.2 TRLEEP.</w:t>
      </w:r>
    </w:p>
    <w:p w14:paraId="48C7BEA2" w14:textId="77777777" w:rsidR="00B35D37" w:rsidRDefault="00B35D37" w:rsidP="00B35D37">
      <w:pPr>
        <w:pStyle w:val="TextoNormal"/>
      </w:pPr>
    </w:p>
    <w:p w14:paraId="18421AE0" w14:textId="77777777" w:rsidR="00B35D37" w:rsidRDefault="00B35D37" w:rsidP="00B35D37">
      <w:pPr>
        <w:pStyle w:val="TextoNormal"/>
      </w:pPr>
      <w:r>
        <w:t>d) Afirmado el carácter formal y materialmente básico del art. 68.2 TRLEEP, resta por analizar si efectivamente existe la contradicción entre este precepto estatal y el art. 59.2 de la Ley del Parlamento de las Illes Balears 3/2007, apuntada por la Sala de instancia.</w:t>
      </w:r>
    </w:p>
    <w:p w14:paraId="1BC1919D" w14:textId="77777777" w:rsidR="00B35D37" w:rsidRDefault="00B35D37" w:rsidP="00B35D37">
      <w:pPr>
        <w:pStyle w:val="TextoNormal"/>
      </w:pPr>
    </w:p>
    <w:p w14:paraId="191EDEB3" w14:textId="77777777" w:rsidR="00B35D37" w:rsidRDefault="00B35D37" w:rsidP="00B35D37">
      <w:pPr>
        <w:pStyle w:val="TextoNormal"/>
      </w:pPr>
      <w:r>
        <w:t>La respuesta a esta cuestión ha de ser afirmativa pues, efectivamente, la incompatibilidad entre ambos preceptos no solo existe, sino que es imposible de resolver por vía interpretativa, al menos en lo que se refiere al supuesto de separación del servicio como consecuencia de una pena principal o accesoria de inhabilitación absoluta o especial para ocupar cargos públicos, que es cuanto concierne al presente proceso constitucional. Como indica el órgano judicial, “queda patente la contradicción entre la normativa básica estatal que permite, excepcionalmente, la rehabilitación del funcionario condenado a pena de inhabilitación y la norma legal autonómica balear, que lo impide en todo caso”.</w:t>
      </w:r>
    </w:p>
    <w:p w14:paraId="7E22C445" w14:textId="77777777" w:rsidR="00B35D37" w:rsidRDefault="00B35D37" w:rsidP="00B35D37">
      <w:pPr>
        <w:pStyle w:val="TextoNormal"/>
      </w:pPr>
    </w:p>
    <w:p w14:paraId="6C6EE926" w14:textId="77777777" w:rsidR="00B35D37" w:rsidRDefault="00B35D37" w:rsidP="00B35D37">
      <w:pPr>
        <w:pStyle w:val="TextoNormal"/>
      </w:pPr>
      <w:r>
        <w:t>A tan categórica afirmación de la Sala de instancia, cabe añadir que no es posible interpretar el art. 68.2 TRLEEP en el sentido de que deje margen a las comunidades autónomas para decidir si reconocen o no el instituto de la rehabilitación funcionarial en el supuesto de pérdida de la condición de funcionario con ocasión de la condena a pena de inhabilitación. El precepto estatal básico no dice que las leyes de la función pública dictadas en desarrollo del texto refundido de la Ley del estatuto básico del empleado público puedan reconocer o no la institución de la rehabilitación de la condición de funcionario público, sino que la norma hace alusión a “los órganos de gobierno de las administraciones públicas”, a los que encomienda la decisión de “conceder” o no la rehabilitación “a petición del interesado”, de donde se colige que es el propio legislador básico estatal el que está dando carta de naturaleza a la posibilidad de solicitar la rehabilitación, como parte integrante de la regulación básica de la adquisición y pérdida de la condición de funcionario, lo que conlleva la correlativa obligación de la administración de valorar tal solicitud y de resolverla.</w:t>
      </w:r>
    </w:p>
    <w:p w14:paraId="122D072F" w14:textId="77777777" w:rsidR="00B35D37" w:rsidRDefault="00B35D37" w:rsidP="00B35D37">
      <w:pPr>
        <w:pStyle w:val="TextoNormal"/>
      </w:pPr>
    </w:p>
    <w:p w14:paraId="0BC1B159" w14:textId="77777777" w:rsidR="00B35D37" w:rsidRDefault="00B35D37" w:rsidP="00B35D37">
      <w:pPr>
        <w:pStyle w:val="TextoNormal"/>
      </w:pPr>
      <w:r>
        <w:t>e) Recapitulando, resulta que el art. 59.2 de la Ley del Parlamento de las Illes Balears 3/2007 se dictó en ausencia de previsión en la legislación básica estatal de la figura de la rehabilitación en la condición de funcionario de carrera. Dicha institución fue introducida, con carácter de normativa básica estatal, con posterioridad a la aprobación del art. 59.2 de la Ley del Parlamento de las Illes Balears 3/2007, recogiéndose en la actualidad en el art. 68.2 TRLEEP, cuyas previsiones resultan incompatibles con el precepto autonómico cuestionado, al menos en lo que se refiere a los casos de separación del servicio como consecuencia de una pena principal o accesoria de inhabilitación absoluta o especial para ocupar cargos públicos.</w:t>
      </w:r>
    </w:p>
    <w:p w14:paraId="1AE05310" w14:textId="77777777" w:rsidR="00B35D37" w:rsidRDefault="00B35D37" w:rsidP="00B35D37">
      <w:pPr>
        <w:pStyle w:val="TextoNormal"/>
      </w:pPr>
    </w:p>
    <w:p w14:paraId="7D86349F" w14:textId="77777777" w:rsidR="00B35D37" w:rsidRDefault="00B35D37" w:rsidP="00B35D37">
      <w:pPr>
        <w:pStyle w:val="TextoNormal"/>
      </w:pPr>
      <w:r>
        <w:t xml:space="preserve">En consecuencia, nos encontramos ante un supuesto análogo al resuelto en la STC 204/2016, toda vez que la cuestión de inconstitucionalidad se dirige contra un precepto autonómico, dictado en ausencia de norma estatal básica, que resulta incompatible con la que, con tal carácter, fue aprobada con posterioridad. En estos casos, el conflicto de normas ha de resolverse con arreglo a lo dispuesto en la cláusula de prevalencia </w:t>
      </w:r>
      <w:r w:rsidRPr="00B35D37">
        <w:rPr>
          <w:i/>
        </w:rPr>
        <w:t>ex</w:t>
      </w:r>
      <w:r>
        <w:t xml:space="preserve"> art. 149.3 CE, tal y como ha sido interpretada por la jurisprudencia constitucional, esto es, inaplicando la ley autonómica por considerar prevalente la posterior legislación básica estatal. Es esta una tarea propia de la resolución de un conflicto de aplicación de normas que incumbe, en primer lugar, a los operadores jurídicos, lo que incluye también, incuestionablemente, a los jueces y tribunales de lo contencioso-administrativo, sin que para ello resulte necesario el planteamiento y eventual estimación de una cuestión de inconstitucionalidad.</w:t>
      </w:r>
    </w:p>
    <w:p w14:paraId="5A6895ED" w14:textId="77777777" w:rsidR="00B35D37" w:rsidRDefault="00B35D37" w:rsidP="00B35D37">
      <w:pPr>
        <w:pStyle w:val="TextoNormal"/>
      </w:pPr>
    </w:p>
    <w:p w14:paraId="03BDB7BB" w14:textId="63815F30" w:rsidR="00B35D37" w:rsidRDefault="00B35D37" w:rsidP="00B35D37">
      <w:pPr>
        <w:pStyle w:val="TextoNormal"/>
      </w:pPr>
      <w:r>
        <w:t>En conclusión, se nos pregunta sobre la compatibilidad con el bloque de constitucionalidad (art. 28.1 LOTC) de un precepto autonómico (art. 59.2 de la Ley del Parlamento de las Illes Balears 3/2007, de 27 de marzo) que no resulta aplicable al caso, al deber quedar desplazado en su aplicación en favor de la norma estatal básica (el art. 68.2 TRLEEP), en cuanto que norma prevalente. Por todo ello, procede declarar la inadmisión de la presente cuestión de inconstitucionalidad.</w:t>
      </w:r>
    </w:p>
    <w:p w14:paraId="74ABB26E" w14:textId="77777777" w:rsidR="00B35D37" w:rsidRDefault="00B35D37" w:rsidP="00B35D37">
      <w:pPr>
        <w:pStyle w:val="TextoNormal"/>
      </w:pPr>
    </w:p>
    <w:p w14:paraId="3205AC84" w14:textId="77777777" w:rsidR="00B35D37" w:rsidRDefault="00B35D37" w:rsidP="00B35D37">
      <w:pPr>
        <w:pStyle w:val="TextoNormal"/>
      </w:pPr>
      <w:r>
        <w:t>Por lo expuesto, el Pleno</w:t>
      </w:r>
    </w:p>
    <w:p w14:paraId="7E368459" w14:textId="0C80533B" w:rsidR="00B35D37" w:rsidRDefault="00B35D37" w:rsidP="00B35D37">
      <w:pPr>
        <w:pStyle w:val="TextoNormal"/>
      </w:pPr>
    </w:p>
    <w:p w14:paraId="2B25AD08" w14:textId="77777777" w:rsidR="00B35D37" w:rsidRDefault="00B35D37" w:rsidP="00B35D37">
      <w:pPr>
        <w:pStyle w:val="TextoNormalCentrado"/>
      </w:pPr>
      <w:r>
        <w:t>ACUERDA</w:t>
      </w:r>
    </w:p>
    <w:p w14:paraId="6DF2BA5A" w14:textId="13E3F473" w:rsidR="00B35D37" w:rsidRDefault="00B35D37" w:rsidP="00B35D37">
      <w:pPr>
        <w:pStyle w:val="TextoNormalCentrado"/>
      </w:pPr>
    </w:p>
    <w:p w14:paraId="010214B4" w14:textId="47E0EBFF" w:rsidR="00B35D37" w:rsidRDefault="00B35D37" w:rsidP="00B35D37">
      <w:pPr>
        <w:pStyle w:val="TextoNormal"/>
      </w:pPr>
      <w:r>
        <w:t>Inadmitir a trámite la presente cuestión de inconstitucionalidad.</w:t>
      </w:r>
    </w:p>
    <w:p w14:paraId="6306B9BF" w14:textId="77777777" w:rsidR="00B35D37" w:rsidRDefault="00B35D37" w:rsidP="00B35D37">
      <w:pPr>
        <w:pStyle w:val="TextoNormal"/>
      </w:pPr>
    </w:p>
    <w:p w14:paraId="35B0DB58" w14:textId="77777777" w:rsidR="00B35D37" w:rsidRDefault="00B35D37" w:rsidP="00B35D37">
      <w:pPr>
        <w:pStyle w:val="TextoNormal"/>
      </w:pPr>
      <w:r>
        <w:t>Madrid, a ocho de abril de dos mil veinticinco.</w:t>
      </w:r>
    </w:p>
    <w:p w14:paraId="6CBC0ED0" w14:textId="05912F69" w:rsidR="00B35D37" w:rsidRDefault="00B35D37">
      <w:pPr>
        <w:spacing w:after="160" w:line="278" w:lineRule="auto"/>
        <w:rPr>
          <w:rFonts w:ascii="Times New Roman" w:eastAsia="Times New Roman" w:hAnsi="Times New Roman" w:cs="Times New Roman"/>
          <w:sz w:val="24"/>
          <w:szCs w:val="24"/>
          <w:lang w:eastAsia="es-ES"/>
        </w:rPr>
      </w:pPr>
      <w:r>
        <w:br w:type="page"/>
      </w:r>
    </w:p>
    <w:p w14:paraId="0674B689" w14:textId="77777777" w:rsidR="00B35D37" w:rsidRDefault="00B35D37" w:rsidP="00B35D37">
      <w:pPr>
        <w:pStyle w:val="TtuloResolucin"/>
      </w:pPr>
      <w:bookmarkStart w:id="172" w:name="AUTO_2025_33"/>
      <w:r>
        <w:t>AUTO 33/2025, de 28 de abril de 2025</w:t>
      </w:r>
    </w:p>
    <w:bookmarkEnd w:id="172"/>
    <w:p w14:paraId="084F10C9" w14:textId="77777777" w:rsidR="00B35D37" w:rsidRDefault="00B35D37" w:rsidP="00B35D37">
      <w:pPr>
        <w:pStyle w:val="TtuloResolucin"/>
      </w:pPr>
      <w:r>
        <w:t>Sala Segunda</w:t>
      </w:r>
    </w:p>
    <w:p w14:paraId="4F22EEB3" w14:textId="77777777" w:rsidR="00B35D37" w:rsidRDefault="00B35D37" w:rsidP="00B35D37">
      <w:pPr>
        <w:pStyle w:val="TextoNormalCentrado"/>
      </w:pPr>
      <w:r>
        <w:t>ECLI:ES:TC:2025:33A</w:t>
      </w:r>
    </w:p>
    <w:p w14:paraId="2B6FC048" w14:textId="79305B13" w:rsidR="00B35D37" w:rsidRDefault="00B35D37" w:rsidP="00B35D37">
      <w:pPr>
        <w:pStyle w:val="TextoNormalCentrado"/>
      </w:pPr>
    </w:p>
    <w:p w14:paraId="7460F361"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2AAD026B" w14:textId="4A428123" w:rsidR="00B35D37" w:rsidRDefault="00B35D37" w:rsidP="00B35D37">
      <w:pPr>
        <w:pStyle w:val="SntesisDescriptiva"/>
      </w:pPr>
    </w:p>
    <w:p w14:paraId="20DB7601" w14:textId="77777777" w:rsidR="00B35D37" w:rsidRDefault="00B35D37" w:rsidP="00B35D37">
      <w:pPr>
        <w:pStyle w:val="SntesisDescriptiva"/>
      </w:pPr>
      <w:r>
        <w:t>Inadmite la solicitud de ejecución de la STC 124/2024, de 21 de octubre, dictada en el recurso de amparo 2799-2023, promovido por don Anass Touil en causa penal.</w:t>
      </w:r>
    </w:p>
    <w:p w14:paraId="1D16EDD2" w14:textId="13AE4D62" w:rsidR="00B35D37" w:rsidRDefault="00B35D37" w:rsidP="00B35D37">
      <w:pPr>
        <w:pStyle w:val="SntesisDescriptiva"/>
      </w:pPr>
    </w:p>
    <w:p w14:paraId="3721BABF" w14:textId="77777777" w:rsidR="00B35D37" w:rsidRDefault="00B35D37" w:rsidP="00B35D37">
      <w:pPr>
        <w:pStyle w:val="SntesisDescriptiva"/>
      </w:pPr>
    </w:p>
    <w:p w14:paraId="17599CB4" w14:textId="77777777" w:rsidR="00B35D37" w:rsidRDefault="00B35D37" w:rsidP="00B35D37">
      <w:pPr>
        <w:pStyle w:val="SntesisDescriptiva"/>
      </w:pPr>
    </w:p>
    <w:p w14:paraId="024C370A" w14:textId="77777777" w:rsidR="00B35D37" w:rsidRDefault="00B35D37" w:rsidP="00B35D37">
      <w:pPr>
        <w:pStyle w:val="TextoNormalNegritaCentrado"/>
      </w:pPr>
      <w:r>
        <w:t>AUTO</w:t>
      </w:r>
    </w:p>
    <w:p w14:paraId="0A33230E" w14:textId="66D48702" w:rsidR="00B35D37" w:rsidRDefault="00B35D37" w:rsidP="00B35D37">
      <w:pPr>
        <w:pStyle w:val="TextoNormalNegritaCentrado"/>
      </w:pPr>
    </w:p>
    <w:p w14:paraId="275088CE" w14:textId="77777777" w:rsidR="00B35D37" w:rsidRDefault="00B35D37" w:rsidP="00B35D37">
      <w:pPr>
        <w:pStyle w:val="TextoNormalNegritaCentrado"/>
        <w:keepNext/>
      </w:pPr>
      <w:r>
        <w:t>I. Antecedentes</w:t>
      </w:r>
    </w:p>
    <w:p w14:paraId="2269FF50" w14:textId="577464EC" w:rsidR="00B35D37" w:rsidRDefault="00B35D37" w:rsidP="00B35D37">
      <w:pPr>
        <w:pStyle w:val="TextoNormalNegritaCentrado"/>
        <w:keepNext/>
      </w:pPr>
    </w:p>
    <w:p w14:paraId="2FDF460F" w14:textId="7A5FE499" w:rsidR="00B35D37" w:rsidRDefault="00B35D37" w:rsidP="00B35D37">
      <w:pPr>
        <w:pStyle w:val="TextoNormal"/>
      </w:pPr>
      <w:r w:rsidRPr="00B35D37">
        <w:rPr>
          <w:rStyle w:val="NumeroAFNegritaCaracter"/>
        </w:rPr>
        <w:t>1</w:t>
      </w:r>
      <w:r>
        <w:t>. La Sala Segunda de este tribunal, en el recurso de amparo núm. 2799-2023, promovido por don Anass Touil, dictó la STC 124/2024, de 21 de octubre, que (i) declaró vulnerados los derechos del recurrente a la tutela judicial efectiva sin indefensión (art. 24.1 CE), a la defensa y a un proceso con todas las garantías (art. 24.2 CE); (ii) anuló la providencia de 7 de febrero de 2023, dictada por el Juzgado de lo Penal núm. 8 de Palma de Mallorca, y los autos de 19 de febrero de 2023 dictado por el mismo juzgado y 23 de marzo de 2023 dictado por la Sección Segunda de la Audiencia Provincial de Palma de Mallorca, desestimatorios respectivamente de los recursos de reforma y de apelación, que autorizaron y confirmaron la expulsión gubernativa del recurrente en la ejecutoria núm. 3022-2021, cuya condena de dos años de prisión fue suspendida en la sentencia objeto de la ejecutoria y (iii) dispuso retrotraer “las actuaciones al momento inmediatamente anterior al dictado de la providencia de 7 de febrero de 2023, a fin de que el Juzgado de lo Penal núm. 8 de Palma de Mallorca dicte una resolución que sea respetuosa con los derechos fundamentales del recurrente, en los términos señalados en esta sentencia”.</w:t>
      </w:r>
    </w:p>
    <w:p w14:paraId="481E181D" w14:textId="77777777" w:rsidR="00B35D37" w:rsidRDefault="00B35D37" w:rsidP="00B35D37">
      <w:pPr>
        <w:pStyle w:val="TextoNormal"/>
      </w:pPr>
    </w:p>
    <w:p w14:paraId="3BC36632" w14:textId="68A0D033" w:rsidR="00B35D37" w:rsidRDefault="00B35D37" w:rsidP="00B35D37">
      <w:pPr>
        <w:pStyle w:val="TextoNormal"/>
      </w:pPr>
      <w:r w:rsidRPr="00B35D37">
        <w:rPr>
          <w:rStyle w:val="NumeroAFNegritaCaracter"/>
        </w:rPr>
        <w:t>2</w:t>
      </w:r>
      <w:r>
        <w:t>. La representación procesal del demandante de amparo don Anass Touil, mediante escrito presentado el 24 de febrero de 2025, ha promovido, conforme al art. 92 de la Ley Orgánica del Tribunal Constitucional (LOTC), incidente de ejecución de la STC 124/2024, de esta Sala Segunda, denunciando su incumplimiento. Se alega: (i) que no se ha dictado por el Juzgado de lo Penal núm. 8 de Palma de Mallorca resolución alguna respetuosa con los derechos cuya vulneración le fue reconocida, sino otras resoluciones que nada tienen que ver con la retroacción acordada y (ii) que, a consecuencia de dicha providencia, “por la que se autorizó la expulsión gubernativa [de don Anass Touil] que se declaró nula por parte de esta Ilma. Sala […] [no se ha] dictado, sin justa causa, nueva resolución por la que se acuerde, o no, dicha autorización, estando mi representado, desde dicha fecha hasta el día de hoy en Marruecos, sin posibilidades de regresar a nuestro país”.</w:t>
      </w:r>
    </w:p>
    <w:p w14:paraId="0DA94B97" w14:textId="77777777" w:rsidR="00B35D37" w:rsidRDefault="00B35D37" w:rsidP="00B35D37">
      <w:pPr>
        <w:pStyle w:val="TextoNormal"/>
      </w:pPr>
    </w:p>
    <w:p w14:paraId="1259740B" w14:textId="77777777" w:rsidR="00B35D37" w:rsidRDefault="00B35D37" w:rsidP="00B35D37">
      <w:pPr>
        <w:pStyle w:val="TextoNormalNegritaCentrado"/>
        <w:keepNext/>
      </w:pPr>
      <w:r>
        <w:t>II. Fundamentos jurídicos</w:t>
      </w:r>
    </w:p>
    <w:p w14:paraId="5FCBFFE5" w14:textId="3024E45C" w:rsidR="00B35D37" w:rsidRDefault="00B35D37" w:rsidP="00B35D37">
      <w:pPr>
        <w:pStyle w:val="TextoNormalNegritaCentrado"/>
        <w:keepNext/>
      </w:pPr>
    </w:p>
    <w:p w14:paraId="4F367488" w14:textId="754A7B88" w:rsidR="00B35D37" w:rsidRDefault="00B35D37" w:rsidP="00B35D37">
      <w:pPr>
        <w:pStyle w:val="TextoNormal"/>
      </w:pPr>
      <w:r w:rsidRPr="00B35D37">
        <w:rPr>
          <w:rStyle w:val="NumeroAFNegritaCaracter"/>
        </w:rPr>
        <w:t>1</w:t>
      </w:r>
      <w:r>
        <w:t>. La adopción de las medidas del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e ‘idónea[s] para la finalidad para la que ha sido prevista por el legislador’ (STC 185/2016, de 3 de noviembre, FJ 14)” (ATC 7/2022, de 24 de enero, FJ 2). “Hemos afirmado también que los incidentes de ejecución se dirigen a la realización de lo decidido en la resolución que pretende ejecutarse, previo el debate contradictorio que ha tenido lugar en el seno del proceso constitucional, no pudiendo extenderse a pretensiones diversas que no han formado parte de ese debate previo” (ATC 125/2024, de 19 de noviembre, FJ 2). La ausencia de cualquier presupuesto necesario para la incoación de la pieza separada del incidente de ejecución permite a este tribunal inadmitirlo a trámite mediante providencia (ATC 184/2023, de 18 de abril).</w:t>
      </w:r>
    </w:p>
    <w:p w14:paraId="415080BC" w14:textId="77777777" w:rsidR="00B35D37" w:rsidRDefault="00B35D37" w:rsidP="00B35D37">
      <w:pPr>
        <w:pStyle w:val="TextoNormal"/>
      </w:pPr>
    </w:p>
    <w:p w14:paraId="2207F147" w14:textId="77777777" w:rsidR="00B35D37" w:rsidRDefault="00B35D37" w:rsidP="00B35D37">
      <w:pPr>
        <w:pStyle w:val="TextoNormal"/>
      </w:pPr>
      <w:r w:rsidRPr="00B35D37">
        <w:rPr>
          <w:rStyle w:val="NumeroAFNegritaCaracter"/>
        </w:rPr>
        <w:t>2</w:t>
      </w:r>
      <w:r>
        <w:t>. La representación procesal del recurrente solicita la apertura de un incidente de ejecución de la STC 124/2024, alegando que, desde la estimación de su demanda de amparo, el Juzgado de lo Penal núm. 8 de Palma de Mallorca no ha dictado ninguna resolución acorde con lo dispuesto en el fallo de la sentencia, en lo relativo a la retroacción de “las actuaciones al momento inmediatamente anterior al dictado de la providencia de 7 de febrero de 2023, a fin de que el Juzgado de lo Penal núm. 8 de Palma de Mallorca dicte una resolución que sea respetuosa con los derechos fundamentales del recurrente, en los términos señalados en esta sentencia”.</w:t>
      </w:r>
    </w:p>
    <w:p w14:paraId="4D9C5D20" w14:textId="77777777" w:rsidR="00B35D37" w:rsidRDefault="00B35D37" w:rsidP="00B35D37">
      <w:pPr>
        <w:pStyle w:val="TextoNormal"/>
      </w:pPr>
    </w:p>
    <w:p w14:paraId="47E7CEFF" w14:textId="543CA857" w:rsidR="00B35D37" w:rsidRDefault="00B35D37" w:rsidP="00B35D37">
      <w:pPr>
        <w:pStyle w:val="TextoNormal"/>
      </w:pPr>
      <w:r>
        <w:t>Para resolver sobre si resulta procedente, de acuerdo con nuestra doctrina, la admisión a trámite del incidente de ejecución que el demandante promueve, hemos de contrastar los términos de nuestra sentencia con las actuaciones realizadas por el órgano judicial.</w:t>
      </w:r>
    </w:p>
    <w:p w14:paraId="0E58432C" w14:textId="77777777" w:rsidR="00B35D37" w:rsidRDefault="00B35D37" w:rsidP="00B35D37">
      <w:pPr>
        <w:pStyle w:val="TextoNormal"/>
      </w:pPr>
    </w:p>
    <w:p w14:paraId="7688E9AA" w14:textId="77777777" w:rsidR="00B35D37" w:rsidRDefault="00B35D37" w:rsidP="00B35D37">
      <w:pPr>
        <w:pStyle w:val="TextoNormal"/>
      </w:pPr>
      <w:r w:rsidRPr="00B35D37">
        <w:rPr>
          <w:rStyle w:val="NumeroAFNegritaCaracter"/>
        </w:rPr>
        <w:t>3</w:t>
      </w:r>
      <w:r>
        <w:t>. En lo que aquí interesa, en la STC 124/2024, FJ 4, se establece que “carece de la más absoluta lógica jurídica ofrecer audiencia al afectado, y posibilitar que formule alegaciones en defensa de sus intereses, para luego desentenderse del método del contradictorio y despreciar cualesquiera de sus argumentos, ignorándolos completamente al dictar la resolución antes incluso de que transcurriera el plazo concedido y sin que hubiera podido materialmente presentar su escrito. […] De manera que la autorización de la expulsión administrativa se pronunció, por ausencia de contradicción, sin tomar en consideración factores relevantes sobre el cumplimiento de las condiciones establecidas en la suspensión de la ejecución de la pena, responsabilidad civil, los intereses de víctimas y perjudicados, que implicaban la pérdida del control de la ejecución penal por el órgano judicial”.</w:t>
      </w:r>
    </w:p>
    <w:p w14:paraId="284FB004" w14:textId="77777777" w:rsidR="00B35D37" w:rsidRDefault="00B35D37" w:rsidP="00B35D37">
      <w:pPr>
        <w:pStyle w:val="TextoNormal"/>
      </w:pPr>
    </w:p>
    <w:p w14:paraId="36E127BB" w14:textId="444F4CE0" w:rsidR="00B35D37" w:rsidRDefault="00B35D37" w:rsidP="00B35D37">
      <w:pPr>
        <w:pStyle w:val="TextoNormal"/>
      </w:pPr>
      <w:r>
        <w:t>Según consta en las actuaciones remitidas a este tribunal, en la ejecutoria núm. 3022-2021 del Juzgado de lo Penal núm. 8 de Palma de Mallorca, por decreto de 20 de marzo de 2025 se declaró insolvente al penado, procediéndose al cierre de la pieza separada de responsabilidades pecuniarias, y por auto de 24 de marzo de 2025 se declaró la remisión definitiva de las penas privativas de libertad que fueron suspendidas.</w:t>
      </w:r>
    </w:p>
    <w:p w14:paraId="41C7E86B" w14:textId="77777777" w:rsidR="00B35D37" w:rsidRDefault="00B35D37" w:rsidP="00B35D37">
      <w:pPr>
        <w:pStyle w:val="TextoNormal"/>
      </w:pPr>
    </w:p>
    <w:p w14:paraId="11868445" w14:textId="73F8DBF1" w:rsidR="00B35D37" w:rsidRDefault="00B35D37" w:rsidP="00B35D37">
      <w:pPr>
        <w:pStyle w:val="TextoNormal"/>
      </w:pPr>
      <w:r w:rsidRPr="00B35D37">
        <w:rPr>
          <w:rStyle w:val="NumeroAFNegritaCaracter"/>
        </w:rPr>
        <w:t>4</w:t>
      </w:r>
      <w:r>
        <w:t>. El Juzgado de lo Penal núm. 8 de Palma de Mallorca no ha dictado ninguna resolución controvertida ni contraria a la STC 124/2024 que pudiera justificar la apertura del incidente de ejecución, si bien es cierto que la parte dispositiva de la sentencia acordaba la retroacción de actuaciones antes del dictado de la providencia que autorizó la expulsión en vía administrativa del condenado, para que en su lugar se emitiera otra que fuera respetuosa con su derecho fundamental a la tutela judicial. Hay que tener en cuenta que las vulneraciones apreciadas y declaradas en dicha sentencia están conectadas con la posibilidad de que el recurrente en amparo pudiera alegar argumentos acerca de la conveniencia del cumplimiento de la condena en España. La formulación de tales alegaciones carece de objeto una vez que la condena suspendida en la ejecutoria está ya extinguida, por haber sido remitida, y también se ha declarado el cierre de la pieza de responsabilidad civil por insolvencia.</w:t>
      </w:r>
    </w:p>
    <w:p w14:paraId="741A3195" w14:textId="77777777" w:rsidR="00B35D37" w:rsidRDefault="00B35D37" w:rsidP="00B35D37">
      <w:pPr>
        <w:pStyle w:val="TextoNormal"/>
      </w:pPr>
    </w:p>
    <w:p w14:paraId="1ED804D8" w14:textId="77777777" w:rsidR="00B35D37" w:rsidRDefault="00B35D37" w:rsidP="00B35D37">
      <w:pPr>
        <w:pStyle w:val="TextoNormal"/>
      </w:pPr>
      <w:r>
        <w:t>Por lo expuesto, la Sala</w:t>
      </w:r>
    </w:p>
    <w:p w14:paraId="3F16DA63" w14:textId="6AC4E6D2" w:rsidR="00B35D37" w:rsidRDefault="00B35D37" w:rsidP="00B35D37">
      <w:pPr>
        <w:pStyle w:val="TextoNormal"/>
      </w:pPr>
    </w:p>
    <w:p w14:paraId="3045CA0F" w14:textId="77777777" w:rsidR="00B35D37" w:rsidRDefault="00B35D37" w:rsidP="00B35D37">
      <w:pPr>
        <w:pStyle w:val="TextoNormalCentrado"/>
      </w:pPr>
      <w:r>
        <w:t>ACUERDA</w:t>
      </w:r>
    </w:p>
    <w:p w14:paraId="09881BA7" w14:textId="45999715" w:rsidR="00B35D37" w:rsidRDefault="00B35D37" w:rsidP="00B35D37">
      <w:pPr>
        <w:pStyle w:val="TextoNormalCentrado"/>
      </w:pPr>
    </w:p>
    <w:p w14:paraId="43A9C33E" w14:textId="62B400C1" w:rsidR="00B35D37" w:rsidRDefault="00B35D37" w:rsidP="00B35D37">
      <w:pPr>
        <w:pStyle w:val="TextoNormal"/>
      </w:pPr>
      <w:r>
        <w:t>Inadmitir a trámite el incidente de ejecución de la STC 124/2024, de 21 de octubre, solicitado por la representación procesal de don Anass Touil.</w:t>
      </w:r>
    </w:p>
    <w:p w14:paraId="14E95A06" w14:textId="77777777" w:rsidR="00B35D37" w:rsidRDefault="00B35D37" w:rsidP="00B35D37">
      <w:pPr>
        <w:pStyle w:val="TextoNormal"/>
      </w:pPr>
    </w:p>
    <w:p w14:paraId="5CC92F72" w14:textId="77777777" w:rsidR="00B35D37" w:rsidRDefault="00B35D37" w:rsidP="00B35D37">
      <w:pPr>
        <w:pStyle w:val="TextoNormal"/>
      </w:pPr>
      <w:r>
        <w:t>Madrid, a veintiocho de abril de dos mil veinticinco.</w:t>
      </w:r>
    </w:p>
    <w:p w14:paraId="5DC7F35B" w14:textId="5ACFCB50" w:rsidR="00B35D37" w:rsidRDefault="00B35D37">
      <w:pPr>
        <w:spacing w:after="160" w:line="278" w:lineRule="auto"/>
        <w:rPr>
          <w:rFonts w:ascii="Times New Roman" w:eastAsia="Times New Roman" w:hAnsi="Times New Roman" w:cs="Times New Roman"/>
          <w:sz w:val="24"/>
          <w:szCs w:val="24"/>
          <w:lang w:eastAsia="es-ES"/>
        </w:rPr>
      </w:pPr>
      <w:r>
        <w:br w:type="page"/>
      </w:r>
    </w:p>
    <w:p w14:paraId="725CC32A" w14:textId="77777777" w:rsidR="00B35D37" w:rsidRDefault="00B35D37" w:rsidP="00B35D37">
      <w:pPr>
        <w:pStyle w:val="TtuloResolucin"/>
      </w:pPr>
      <w:bookmarkStart w:id="173" w:name="AUTO_2025_34"/>
      <w:r>
        <w:t>AUTO 34/2025, de 13 de mayo de 2025</w:t>
      </w:r>
    </w:p>
    <w:bookmarkEnd w:id="173"/>
    <w:p w14:paraId="170ECC51" w14:textId="77777777" w:rsidR="00B35D37" w:rsidRDefault="00B35D37" w:rsidP="00B35D37">
      <w:pPr>
        <w:pStyle w:val="TtuloResolucin"/>
      </w:pPr>
      <w:r>
        <w:t>Pleno</w:t>
      </w:r>
    </w:p>
    <w:p w14:paraId="30314979" w14:textId="77777777" w:rsidR="00B35D37" w:rsidRDefault="00B35D37" w:rsidP="00B35D37">
      <w:pPr>
        <w:pStyle w:val="TextoNormalCentrado"/>
      </w:pPr>
      <w:r>
        <w:t>ECLI:ES:TC:2025:34A</w:t>
      </w:r>
    </w:p>
    <w:p w14:paraId="5DD1A97D" w14:textId="4F5FFB1C" w:rsidR="00B35D37" w:rsidRDefault="00B35D37" w:rsidP="00B35D37">
      <w:pPr>
        <w:pStyle w:val="TextoNormalCentrado"/>
      </w:pPr>
    </w:p>
    <w:p w14:paraId="21808A95"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706BCF1A" w14:textId="3E60C55E" w:rsidR="00B35D37" w:rsidRDefault="00B35D37" w:rsidP="00B35D37">
      <w:pPr>
        <w:pStyle w:val="SntesisDescriptiva"/>
      </w:pPr>
    </w:p>
    <w:p w14:paraId="03FE44BA" w14:textId="77777777" w:rsidR="00B35D37" w:rsidRDefault="00B35D37" w:rsidP="00B35D37">
      <w:pPr>
        <w:pStyle w:val="SntesisDescriptiva"/>
      </w:pPr>
      <w:r>
        <w:t>Inadmite la solicitud de ejecución de la STC 88/2025, de 7 de abril, dictada en el recurso de amparo 5220-2024, promovido por doña Ana Migallón Fernández. Voto particular.</w:t>
      </w:r>
    </w:p>
    <w:p w14:paraId="54AF177B" w14:textId="5C249F40" w:rsidR="00B35D37" w:rsidRDefault="00B35D37" w:rsidP="00B35D37">
      <w:pPr>
        <w:pStyle w:val="SntesisDescriptiva"/>
      </w:pPr>
    </w:p>
    <w:p w14:paraId="161941AA" w14:textId="77777777" w:rsidR="00B35D37" w:rsidRDefault="00B35D37" w:rsidP="00B35D37">
      <w:pPr>
        <w:pStyle w:val="SntesisDescriptiva"/>
      </w:pPr>
    </w:p>
    <w:p w14:paraId="1FACDA65" w14:textId="77777777" w:rsidR="00B35D37" w:rsidRDefault="00B35D37" w:rsidP="00B35D37">
      <w:pPr>
        <w:pStyle w:val="SntesisDescriptiva"/>
      </w:pPr>
    </w:p>
    <w:p w14:paraId="288A8C95" w14:textId="77777777" w:rsidR="00B35D37" w:rsidRDefault="00B35D37" w:rsidP="00B35D37">
      <w:pPr>
        <w:pStyle w:val="TextoNormalNegritaCentrado"/>
      </w:pPr>
      <w:r>
        <w:t>AUTO</w:t>
      </w:r>
    </w:p>
    <w:p w14:paraId="726B3601" w14:textId="1603BD86" w:rsidR="00B35D37" w:rsidRDefault="00B35D37" w:rsidP="00B35D37">
      <w:pPr>
        <w:pStyle w:val="TextoNormalNegritaCentrado"/>
      </w:pPr>
    </w:p>
    <w:p w14:paraId="3EBB4DAF" w14:textId="77777777" w:rsidR="00B35D37" w:rsidRDefault="00B35D37" w:rsidP="00B35D37">
      <w:pPr>
        <w:pStyle w:val="TextoNormalNegritaCentrado"/>
        <w:keepNext/>
      </w:pPr>
      <w:r>
        <w:t>I. Antecedentes</w:t>
      </w:r>
    </w:p>
    <w:p w14:paraId="5FD5B168" w14:textId="2403BECC" w:rsidR="00B35D37" w:rsidRDefault="00B35D37" w:rsidP="00B35D37">
      <w:pPr>
        <w:pStyle w:val="TextoNormalNegritaCentrado"/>
        <w:keepNext/>
      </w:pPr>
    </w:p>
    <w:p w14:paraId="39FDEC7E" w14:textId="466FAA3B" w:rsidR="00B35D37" w:rsidRDefault="00B35D37" w:rsidP="00B35D37">
      <w:pPr>
        <w:pStyle w:val="TextoNormal"/>
      </w:pPr>
      <w:r w:rsidRPr="00B35D37">
        <w:rPr>
          <w:rStyle w:val="NumeroAFNegritaCaracter"/>
        </w:rPr>
        <w:t>1</w:t>
      </w:r>
      <w:r>
        <w:t>. Mediante escrito registrado en el Tribunal el 4 de julio de 2024, la procuradora de los tribunales doña Ana María Gallardo Roncero, en nombre y representación de doña Ana Migallón Fernández, bajo la dirección letrada de don Roberto Mangas Moreno, interpuso recurso de amparo contra la resolución de la dirección provincial de Madrid del Instituto Nacional de la Seguridad Social (INSS) de 12 de enero de 2022, sobre prestación por nacimiento y cuidado de hijo como madre biológica de familia monoparental, confirmada por desestimación presunta de la reclamación previa formulada (expediente núm. 28-2022-004701-42); la sentencia núm. 326/2022, de 18 de octubre, dictada por el Juzgado de lo Social núm. 18 de Madrid en los autos núm. 413-2022; la sentencia núm. 376/2023, de 28 de abril, dictada por la Sección Tercera de la Sala de lo Social del Tribunal Superior de Justicia de Madrid en el recurso de suplicación núm. 1409-2022; y el auto de la Sala de lo Social del Tribunal Supremo de 29 de mayo de 2024 dictado en el recurso de casación para la unificación de doctrina núm. 3177-2023, que fue tramitado con el núm. 5220-2024 por la Sala Primera del Tribunal.</w:t>
      </w:r>
    </w:p>
    <w:p w14:paraId="3CF766EA" w14:textId="77777777" w:rsidR="00B35D37" w:rsidRDefault="00B35D37" w:rsidP="00B35D37">
      <w:pPr>
        <w:pStyle w:val="TextoNormal"/>
      </w:pPr>
    </w:p>
    <w:p w14:paraId="3699719C" w14:textId="1ED2DDDE" w:rsidR="00B35D37" w:rsidRDefault="00B35D37" w:rsidP="00B35D37">
      <w:pPr>
        <w:pStyle w:val="TextoNormal"/>
      </w:pPr>
      <w:r w:rsidRPr="00B35D37">
        <w:rPr>
          <w:rStyle w:val="NumeroAFNegritaCaracter"/>
        </w:rPr>
        <w:t>2</w:t>
      </w:r>
      <w:r>
        <w:t>. El recurso de amparo fue resuelto por la STC 88/2025, de 7 de abril,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2, se dictara otra respetuosa con el derecho fundamental reconocido. A esos efectos, en el último párrafo del fundamento jurídico 2 se establecía que, en tanto el legislador no llevara a cabo la consiguiente reforma normativa, en las familias monoparentales el permiso a que hace referencia el art. 48.4 de la Ley del estatuto de los trabajadores (LET),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13D6DD12" w14:textId="77777777" w:rsidR="00B35D37" w:rsidRDefault="00B35D37" w:rsidP="00B35D37">
      <w:pPr>
        <w:pStyle w:val="TextoNormal"/>
      </w:pPr>
    </w:p>
    <w:p w14:paraId="575B0747" w14:textId="77777777" w:rsidR="00B35D37" w:rsidRDefault="00B35D37" w:rsidP="00B35D37">
      <w:pPr>
        <w:pStyle w:val="TextoNormal"/>
      </w:pPr>
      <w:r w:rsidRPr="00B35D37">
        <w:rPr>
          <w:rStyle w:val="NumeroAFNegritaCaracter"/>
        </w:rPr>
        <w:t>3</w:t>
      </w:r>
      <w:r>
        <w:t>. La administración de la Seguridad Social, por escrito registrado el 15 de abril de 2025, formuló incidente de ejecución al amparo del art. 92.3 de la Ley Orgánica del Tribunal Constitucional (LOTC ) instando al Tribunal que determine las medidas necesarias para que el INSS pueda dictar una resolución administrativa respetuosa con el derecho vulnerado, de entre las propuestas en su escrito u otras que se consideren convenientes.</w:t>
      </w:r>
    </w:p>
    <w:p w14:paraId="739F97DB" w14:textId="77777777" w:rsidR="00B35D37" w:rsidRDefault="00B35D37" w:rsidP="00B35D37">
      <w:pPr>
        <w:pStyle w:val="TextoNormal"/>
      </w:pPr>
    </w:p>
    <w:p w14:paraId="54BC4F0D" w14:textId="67E4228A"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53263FA1" w14:textId="77777777" w:rsidR="00B35D37" w:rsidRDefault="00B35D37" w:rsidP="00B35D37">
      <w:pPr>
        <w:pStyle w:val="TextoNormal"/>
      </w:pPr>
    </w:p>
    <w:p w14:paraId="7C960105" w14:textId="21B20C3D" w:rsidR="00B35D37" w:rsidRDefault="00B35D37" w:rsidP="00B35D37">
      <w:pPr>
        <w:pStyle w:val="TextoNormal"/>
      </w:pPr>
      <w:r w:rsidRPr="00B35D37">
        <w:rPr>
          <w:rStyle w:val="NumeroAFNegritaCaracter"/>
        </w:rPr>
        <w:t>4</w:t>
      </w:r>
      <w:r>
        <w:t>. El Pleno del Tribunal, por providencia de 13 de mayo de 2025, conforme establece el art. 10.1 n) LOTC, a propuesta del presidente, acordó recabar para sí el conocimiento de este incidente.</w:t>
      </w:r>
    </w:p>
    <w:p w14:paraId="0C3B3F2A" w14:textId="77777777" w:rsidR="00B35D37" w:rsidRDefault="00B35D37" w:rsidP="00B35D37">
      <w:pPr>
        <w:pStyle w:val="TextoNormal"/>
      </w:pPr>
    </w:p>
    <w:p w14:paraId="53A30E0B" w14:textId="77777777" w:rsidR="00B35D37" w:rsidRDefault="00B35D37" w:rsidP="00B35D37">
      <w:pPr>
        <w:pStyle w:val="TextoNormalNegritaCentrado"/>
        <w:keepNext/>
      </w:pPr>
      <w:r>
        <w:t>II. Fundamentos jurídicos</w:t>
      </w:r>
    </w:p>
    <w:p w14:paraId="1E1AE054" w14:textId="081CCAF7" w:rsidR="00B35D37" w:rsidRDefault="00B35D37" w:rsidP="00B35D37">
      <w:pPr>
        <w:pStyle w:val="TextoNormalNegritaCentrado"/>
        <w:keepNext/>
      </w:pPr>
    </w:p>
    <w:p w14:paraId="253D96E2" w14:textId="77777777" w:rsidR="00B35D37" w:rsidRDefault="00B35D37" w:rsidP="00B35D37">
      <w:pPr>
        <w:pStyle w:val="TextoNormal"/>
      </w:pPr>
      <w:r w:rsidRPr="00B35D37">
        <w:rPr>
          <w:rStyle w:val="TextoNormalNegritaCaracter"/>
        </w:rPr>
        <w:t xml:space="preserve">Único. </w:t>
      </w:r>
      <w:r>
        <w:t>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0510E268" w14:textId="77777777" w:rsidR="00B35D37" w:rsidRDefault="00B35D37" w:rsidP="00B35D37">
      <w:pPr>
        <w:pStyle w:val="TextoNormal"/>
      </w:pPr>
    </w:p>
    <w:p w14:paraId="5591E316"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del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170944C9" w14:textId="77777777" w:rsidR="00B35D37" w:rsidRDefault="00B35D37" w:rsidP="00B35D37">
      <w:pPr>
        <w:pStyle w:val="TextoNormal"/>
      </w:pPr>
    </w:p>
    <w:p w14:paraId="3A7E399C" w14:textId="77777777" w:rsidR="00B35D37" w:rsidRDefault="00B35D37" w:rsidP="00B35D37">
      <w:pPr>
        <w:pStyle w:val="TextoNormal"/>
      </w:pPr>
      <w:r>
        <w:t>En el presente caso,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793E06FA" w14:textId="77777777" w:rsidR="00B35D37" w:rsidRDefault="00B35D37" w:rsidP="00B35D37">
      <w:pPr>
        <w:pStyle w:val="TextoNormal"/>
      </w:pPr>
    </w:p>
    <w:p w14:paraId="757BC619"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47002E8A" w14:textId="77777777" w:rsidR="00B35D37" w:rsidRDefault="00B35D37" w:rsidP="00B35D37">
      <w:pPr>
        <w:pStyle w:val="TextoNormal"/>
      </w:pPr>
    </w:p>
    <w:p w14:paraId="6522DBFC" w14:textId="2F61104F" w:rsidR="00B35D37" w:rsidRDefault="00B35D37" w:rsidP="00B35D37">
      <w:pPr>
        <w:pStyle w:val="TextoNormal"/>
      </w:pPr>
      <w:r>
        <w:t>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6628835E" w14:textId="77777777" w:rsidR="00B35D37" w:rsidRDefault="00B35D37" w:rsidP="00B35D37">
      <w:pPr>
        <w:pStyle w:val="TextoNormal"/>
      </w:pPr>
    </w:p>
    <w:p w14:paraId="24496D7E" w14:textId="77777777" w:rsidR="00B35D37" w:rsidRDefault="00B35D37" w:rsidP="00B35D37">
      <w:pPr>
        <w:pStyle w:val="TextoNormal"/>
      </w:pPr>
      <w:r>
        <w:t>Por lo expuesto, el Pleno</w:t>
      </w:r>
    </w:p>
    <w:p w14:paraId="52066689" w14:textId="5A986AE3" w:rsidR="00B35D37" w:rsidRDefault="00B35D37" w:rsidP="00B35D37">
      <w:pPr>
        <w:pStyle w:val="TextoNormal"/>
      </w:pPr>
    </w:p>
    <w:p w14:paraId="2406EB0D" w14:textId="77777777" w:rsidR="00B35D37" w:rsidRDefault="00B35D37" w:rsidP="00B35D37">
      <w:pPr>
        <w:pStyle w:val="TextoNormalCentrado"/>
      </w:pPr>
      <w:r>
        <w:t>ACUERDA</w:t>
      </w:r>
    </w:p>
    <w:p w14:paraId="554F6152" w14:textId="615564BF" w:rsidR="00B35D37" w:rsidRDefault="00B35D37" w:rsidP="00B35D37">
      <w:pPr>
        <w:pStyle w:val="TextoNormalCentrado"/>
      </w:pPr>
    </w:p>
    <w:p w14:paraId="48C305E9" w14:textId="7CC69076" w:rsidR="00B35D37" w:rsidRDefault="00B35D37" w:rsidP="00B35D37">
      <w:pPr>
        <w:pStyle w:val="TextoNormal"/>
      </w:pPr>
      <w:r>
        <w:t>Denegar la admisión de la apertura del incidente de ejecución.</w:t>
      </w:r>
    </w:p>
    <w:p w14:paraId="0132C0A3" w14:textId="77777777" w:rsidR="00B35D37" w:rsidRDefault="00B35D37" w:rsidP="00B35D37">
      <w:pPr>
        <w:pStyle w:val="TextoNormal"/>
      </w:pPr>
    </w:p>
    <w:p w14:paraId="00042A87" w14:textId="77777777" w:rsidR="00B35D37" w:rsidRDefault="00B35D37" w:rsidP="00B35D37">
      <w:pPr>
        <w:pStyle w:val="TextoNormal"/>
      </w:pPr>
      <w:r>
        <w:t>Madrid, a trece de mayo de dos mil veinticinco.</w:t>
      </w:r>
    </w:p>
    <w:p w14:paraId="2447491A" w14:textId="5DCC41C6" w:rsidR="00B35D37" w:rsidRDefault="00B35D37" w:rsidP="00B35D37">
      <w:pPr>
        <w:pStyle w:val="ParrafoNormal"/>
      </w:pPr>
    </w:p>
    <w:p w14:paraId="31211F52" w14:textId="77777777" w:rsidR="00B35D37" w:rsidRDefault="00B35D37" w:rsidP="00B35D37">
      <w:pPr>
        <w:pStyle w:val="TextoNormalNegritaCentrado"/>
        <w:keepNext/>
      </w:pPr>
      <w:r>
        <w:t>Voto particular concurrente que formula el magistrado don Enrique Arnaldo Alcubilla al auto dictado en el recurso de amparo avocado núm. 5220-2024, por el que se declara no haber lugar al incidente de ejecución promovido por el Instituto Nacional de la Seguridad Social</w:t>
      </w:r>
    </w:p>
    <w:p w14:paraId="7292F765" w14:textId="5E104482" w:rsidR="00B35D37" w:rsidRDefault="00B35D37" w:rsidP="00B35D37">
      <w:pPr>
        <w:pStyle w:val="TextoNormalNegritaCentrado"/>
        <w:keepNext/>
      </w:pPr>
    </w:p>
    <w:p w14:paraId="6A24A8D5" w14:textId="77777777" w:rsidR="00B35D37" w:rsidRDefault="00B35D37" w:rsidP="00B35D37">
      <w:pPr>
        <w:pStyle w:val="TextoNormal"/>
      </w:pPr>
      <w:r>
        <w:t>En uso de la facultad que me confiere el art. 90.2 LOTC —y sin perjuicio de compartir la decisión de inadmitir a trámite el incidente de ejecución instado por el INSS— expreso mi disconformidad con parte de la fundamentación del auto a que se refiere este voto particular, en la medida en que entiendo que debió incorporar las consideraciones que seguidamente paso a exponer.</w:t>
      </w:r>
    </w:p>
    <w:p w14:paraId="5F696360" w14:textId="77777777" w:rsidR="00B35D37" w:rsidRDefault="00B35D37" w:rsidP="00B35D37">
      <w:pPr>
        <w:pStyle w:val="TextoNormal"/>
      </w:pPr>
    </w:p>
    <w:p w14:paraId="0CBB976E" w14:textId="77777777" w:rsidR="00B35D37" w:rsidRDefault="00B35D37" w:rsidP="00B35D37">
      <w:pPr>
        <w:pStyle w:val="TextoNormal"/>
      </w:pPr>
      <w:r>
        <w:t>El auto, en su único fundamento jurídico, se limita a constatar que el INSS ha instado la promoción de un incidente de ejecución de la STC 88/2025, de 7 de abril, sin que concurra el presupuesto formal, necesario para la apertura del incidente de ejecución del art. 92 LOTC conforme a la doctrina constitucional, de que exista una actuación previa del órgano llamado a ejecutar la sentencia constitucional.</w:t>
      </w:r>
    </w:p>
    <w:p w14:paraId="73C91613" w14:textId="77777777" w:rsidR="00B35D37" w:rsidRDefault="00B35D37" w:rsidP="00B35D37">
      <w:pPr>
        <w:pStyle w:val="TextoNormal"/>
      </w:pPr>
    </w:p>
    <w:p w14:paraId="2FAE8B2E" w14:textId="77777777" w:rsidR="00B35D37" w:rsidRDefault="00B35D37" w:rsidP="00B35D37">
      <w:pPr>
        <w:pStyle w:val="TextoNormal"/>
      </w:pPr>
      <w:r>
        <w:t>Esto es cierto, como igualmente lo es, y así se señala también en el auto, que este tribunal estableció en la STC 88/2025, de 7 de abril, la obligación del INSS de dictar una nueva resolución respetuosa con el derecho fundamental reconocido, en los concretos términos de que, mientras el legislador no lleve a cabo la consiguiente reforma normativa, en las familias monoparentales el permiso a que hace referencia el art. 48.4 LET y la prestación regulada en el art. 177 LGSS han de ser interpretados en el sentido de adicionarse al permiso y prestación establecido para la madre biológica, el previsto para progenitor distinto conforme a la legislación aplicable, excluyendo las semanas que necesariamente deben disfrutarse de forma ininterrumpida e inmediatamente posterior al parto.</w:t>
      </w:r>
    </w:p>
    <w:p w14:paraId="61B335D0" w14:textId="77777777" w:rsidR="00B35D37" w:rsidRDefault="00B35D37" w:rsidP="00B35D37">
      <w:pPr>
        <w:pStyle w:val="TextoNormal"/>
      </w:pPr>
    </w:p>
    <w:p w14:paraId="016FD428" w14:textId="77777777" w:rsidR="00B35D37" w:rsidRDefault="00B35D37" w:rsidP="00B35D37">
      <w:pPr>
        <w:pStyle w:val="TextoNormal"/>
      </w:pPr>
      <w:r>
        <w:t>En consecuencia, como se razona en el auto, solo después de que el INSS proceda a dictar esa nueva resolución, en cumplimiento de lo ordenado en la STC 88/2025, de 7 de abril, podría, en su caso, suscitarse un incidente de ejecución, en el que sustanciar la eventual controversia que se plantease entre quienes fueron parte en el proceso de amparo sobre si esa resolución implica o no un incumplimiento de lo dispuesto en aquella sentencia constitucional.</w:t>
      </w:r>
    </w:p>
    <w:p w14:paraId="15D9E247" w14:textId="77777777" w:rsidR="00B35D37" w:rsidRDefault="00B35D37" w:rsidP="00B35D37">
      <w:pPr>
        <w:pStyle w:val="TextoNormal"/>
      </w:pPr>
    </w:p>
    <w:p w14:paraId="6538A6FB" w14:textId="77777777" w:rsidR="00B35D37" w:rsidRDefault="00B35D37" w:rsidP="00B35D37">
      <w:pPr>
        <w:pStyle w:val="TextoNormal"/>
      </w:pPr>
      <w:r>
        <w:t>Como digo, esta solución es formalmente correcta, pero resulta necesario advertir que el presente asunto tiene un trasfondo más complejo de lo que parece, que el auto debió tener en cuenta y reflejar, en la medida de lo posible, tanto en el relato de antecedentes como, en lo necesario, en la fundamentación.</w:t>
      </w:r>
    </w:p>
    <w:p w14:paraId="201828B9" w14:textId="77777777" w:rsidR="00B35D37" w:rsidRDefault="00B35D37" w:rsidP="00B35D37">
      <w:pPr>
        <w:pStyle w:val="TextoNormal"/>
      </w:pPr>
    </w:p>
    <w:p w14:paraId="01E662BE" w14:textId="77777777" w:rsidR="00B35D37" w:rsidRDefault="00B35D37" w:rsidP="00B35D37">
      <w:pPr>
        <w:pStyle w:val="TextoNormal"/>
      </w:pPr>
      <w:r>
        <w:t xml:space="preserve">En efecto, el auto debería haber dejado constancia que la STC 88/2025, de 7 de abril, de la Sala Primera, trae causa de la STC 140/2024, de 6 de noviembre, en la que el Pleno, estimando la cuestión de inconstitucionalidad núm. 6694-2023, declaró la inconstitucionalidad —pero no la nulidad— del art. 48.4 LET y del art. 177 LGSS, porque dichos preceptos “generan </w:t>
      </w:r>
      <w:r w:rsidRPr="00B35D37">
        <w:rPr>
          <w:i/>
        </w:rPr>
        <w:t>ex silentio</w:t>
      </w:r>
      <w:r>
        <w:t xml:space="preserve"> una discriminación por razón de nacimiento de los niños y niñas nacidos en familias monoparentales, que es contraria al art. 14 CE, en relación con el art. 39 CE”,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(STC 140/2024, FJ 6). Y en cuanto al alcance del fallo, se declaró (STC 140/2024, FJ 7) que, en tanto el legislador no lleve a cabo la necesaria reforma normativa, ha de entenderse que “en las familias monoparentales el permiso a que hace referencia el art. 48.4 LET, y en relación con él el art. 177 LGSS, ha de ser interpretado en el sentido de adicionarse al permiso del primer párrafo para la madre biológica (dieciséis semanas), el previsto en el segundo para progenitor distinto (diez semanas, al excluirse las seis primeras)”.</w:t>
      </w:r>
    </w:p>
    <w:p w14:paraId="45CEC5B6" w14:textId="77777777" w:rsidR="00B35D37" w:rsidRDefault="00B35D37" w:rsidP="00B35D37">
      <w:pPr>
        <w:pStyle w:val="TextoNormal"/>
      </w:pPr>
    </w:p>
    <w:p w14:paraId="6D838515" w14:textId="77777777" w:rsidR="00B35D37" w:rsidRDefault="00B35D37" w:rsidP="00B35D37">
      <w:pPr>
        <w:pStyle w:val="TextoNormal"/>
      </w:pPr>
      <w:r>
        <w:t>En mi voto particular a la STC 140/2024, de 6 de noviembre, que suscribí junto a la magistrada Espejel Jorquera, dejé constancia de mi discrepancia con el pronunciamiento de esa sentencia en cuanto al alcance del fallo, porque supone un entendimiento del control abstracto de constitucionalidad de las leyes que desborda la obligada contención que, desde sus primeras resoluciones, este tribunal viene imponiéndose, y le sitúa de hecho en una posición de colegislador que no le corresponde, pues lo que hace la sentencia es ampliar el permiso de maternidad de las madres biológicas en el caso de familias monoparentales, lo que, obviamente, por más que pueda juzgarse deseable, no es una tarea que competa al Tribunal Constitucional. Es al legislador a quien corresponde, ponderando los intereses relevantes y legítimos en presencia, determinar si procede, y con qué alcance, ampliar la duración del permiso y la prestación por nacimiento de hijo en el supuesto de familias monoparentales.</w:t>
      </w:r>
    </w:p>
    <w:p w14:paraId="2441EF0B" w14:textId="77777777" w:rsidR="00B35D37" w:rsidRDefault="00B35D37" w:rsidP="00B35D37">
      <w:pPr>
        <w:pStyle w:val="TextoNormal"/>
      </w:pPr>
    </w:p>
    <w:p w14:paraId="228C5E2B" w14:textId="77777777" w:rsidR="00B35D37" w:rsidRDefault="00B35D37" w:rsidP="00B35D37">
      <w:pPr>
        <w:pStyle w:val="TextoNormal"/>
      </w:pPr>
      <w:r>
        <w:t>Sin perjuicio de mi discrepancia con el pronunciamiento de la STC 140/2024 en cuanto al alcance del fallo —que no con la declaración de inconstitucionalidad— lo cierto es que la doctrina de esa sentencia se ha proyectado, como no podía ser de otro modo, en las sentencias que resuelven los numerosos recursos de amparo planteados por madres de familias monoparentales contra resoluciones del INSS, confirmadas a la postre en la vía judicial, que deniegan la pretensión de aquellas de ampliar su permiso laboral por nacimiento de hijo y la correspondiente prestación de seguridad social, disfrutando del permiso y prestación que corresponderían al otro progenitor, caso de existir.</w:t>
      </w:r>
    </w:p>
    <w:p w14:paraId="2F88A871" w14:textId="77777777" w:rsidR="00B35D37" w:rsidRDefault="00B35D37" w:rsidP="00B35D37">
      <w:pPr>
        <w:pStyle w:val="TextoNormal"/>
      </w:pPr>
    </w:p>
    <w:p w14:paraId="3133CA46" w14:textId="77777777" w:rsidR="00B35D37" w:rsidRDefault="00B35D37" w:rsidP="00B35D37">
      <w:pPr>
        <w:pStyle w:val="TextoNormal"/>
      </w:pPr>
      <w:r>
        <w:t>En aplicación de lo decidido en la STC 140/2024, este tribunal ha venido dictando sentencias estimatorias de esos recursos de amparo, declarando la vulneración del derecho garantizado por el art. 14 CE y ordenando restablecer a las demandantes de amparo en la integridad de su derecho; ello con declaración de nulidad de las correspondientes resoluciones administrativas y judiciales, así como, en la mayoría de los casos, retroacción de las actuaciones a la vía administrativa, para que el INSS dicte nueva resolución respetuosa con el derecho fundamental vulnerado, en los términos expuestos en la fundamentación de la propia sentencia estimatoria del amparo, que no son otros que los indicados en la STC 140/2024, FJ 7. Existen, no obstante, algunas sentencias de este tribunal en las que, a fin de restablecer a la demandante de amparo en la integridad del derecho vulnerado, no se retrotraen las actuaciones a la vía administrativa para que el INSS dicte nueva resolución, sino que se declara la firmeza de la sentencia (la dictada por el juzgado de lo social o la recaída en suplicación, según proceda) que hubiese estimado la pretensión de la demandante en términos que resulten conformes con el criterio sentado en la STC 140/2024, FJ 7.</w:t>
      </w:r>
    </w:p>
    <w:p w14:paraId="7D50145A" w14:textId="77777777" w:rsidR="00B35D37" w:rsidRDefault="00B35D37" w:rsidP="00B35D37">
      <w:pPr>
        <w:pStyle w:val="TextoNormal"/>
      </w:pPr>
    </w:p>
    <w:p w14:paraId="7A7E9EC6" w14:textId="77777777" w:rsidR="00B35D37" w:rsidRDefault="00B35D37" w:rsidP="00B35D37">
      <w:pPr>
        <w:pStyle w:val="TextoNormal"/>
      </w:pPr>
      <w:r>
        <w:t>Pues bien, en un buen número de casos (más de treinta, hasta la fecha) en los que este tribunal ha acordado la retroacción de actuaciones a la vía administrativa, para que el INSS dicte nueva resolución respetuosa con el derecho fundamental vulnerado, esta entidad gestora de la seguridad social ha instado, con invocación del art. 92 LOTC, lo que califica como incidentes de ejecución. Entre esos casos se encuentra el de la STC 88/2025, de 7 de abril, en el que se ha dictado por el Pleno el auto que nos ocupa, tras avocar para sí el asunto a propuesta del presidente.</w:t>
      </w:r>
    </w:p>
    <w:p w14:paraId="55FCF89F" w14:textId="77777777" w:rsidR="00B35D37" w:rsidRDefault="00B35D37" w:rsidP="00B35D37">
      <w:pPr>
        <w:pStyle w:val="TextoNormal"/>
      </w:pPr>
    </w:p>
    <w:p w14:paraId="53E0D305" w14:textId="77777777" w:rsidR="00B35D37" w:rsidRDefault="00B35D37" w:rsidP="00B35D37">
      <w:pPr>
        <w:pStyle w:val="TextoNormal"/>
      </w:pPr>
      <w:r>
        <w:t>Importa señalar que esos escritos presentados por el INSS, entre ellos el que da lugar al presente auto, presentan una estructura idéntica. En dichos escritos se insta a este tribunal a que determine las medidas necesarias para que el INSS pueda dictar, en cumplimiento de lo ordenado en la correspondiente sentencia estimatoria del recurso de amparo, una resolución administrativa respetuosa con el derecho vulnerado, de entre las propuestas por el propio INSS en sus escritos, u otras que el Tribunal considere convenientes. El INSS fundamenta su petición, tras exponer los antecedentes fácticos que considera relevantes, en que la normativa reguladora de la prestación controvertida (que reproduce) condiciona su reconocimiento a que el niño no haya cumplido los doce meses, y a que se hubiera producido la suspensión de la relación laboral durante el periodo de disfrute de la prestación que hubiese correspondido. Ante estas dificultades jurídicas para dar cumplimiento a la ejecución de lo acordado por el Tribunal Constitucional, el INSS expone diferentes alternativas para solucionar el problema, que somete a la consideración de este tribunal.</w:t>
      </w:r>
    </w:p>
    <w:p w14:paraId="3B1B9C0B" w14:textId="77777777" w:rsidR="00B35D37" w:rsidRDefault="00B35D37" w:rsidP="00B35D37">
      <w:pPr>
        <w:pStyle w:val="TextoNormal"/>
      </w:pPr>
    </w:p>
    <w:p w14:paraId="731AE064" w14:textId="77777777" w:rsidR="00B35D37" w:rsidRDefault="00B35D37" w:rsidP="00B35D37">
      <w:pPr>
        <w:pStyle w:val="TextoNormal"/>
      </w:pPr>
      <w:r>
        <w:t>En el concreto caso que ahora nos ocupa, el INSS argumenta que el referido plazo de doce meses ya se habría superado, y que tampoco se cumpliría el requisito de que se hubiera producido la suspensión de la relación laboral durante el periodo de disfrute de la prestación que hubiese correspondido. Estaríamos, pues, en un supuesto en el que la ejecución en sus propios términos de la STC 88/2025 deviene imposible o, cuanto menos, extremadamente difícil. Ante esta situación, el INSS propone varias alternativas para dar cumplimiento a lo acordado por el Tribunal en su STC 88/2025, de 7 de abril, considerando como la más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6EEF1009" w14:textId="77777777" w:rsidR="00B35D37" w:rsidRDefault="00B35D37" w:rsidP="00B35D37">
      <w:pPr>
        <w:pStyle w:val="TextoNormal"/>
      </w:pPr>
    </w:p>
    <w:p w14:paraId="7603134C" w14:textId="77777777" w:rsidR="00B35D37" w:rsidRDefault="00B35D37" w:rsidP="00B35D37">
      <w:pPr>
        <w:pStyle w:val="TextoNormal"/>
      </w:pPr>
      <w:r>
        <w:t>Pues bien, en la medida que el presente auto tiene la vocación de sentar un criterio —la decisión de inadmitir a trámite el incidente de ejecución— de aplicación a todos aquellos casos en los que el INSS ha instado incidentes de ejecución sin haber dictado previamente una resolución destinada a dar cumplimiento a las sentencias del Tribunal que otorgan amparo a las madres de familias monoparentales (pues no a otra razón obedece la avocación de este asunto al Pleno), hubiera sido deseable que se dejase constancia expresa en este auto “de cabecera” del contexto en que se plantean por el INSS esos incidentes de ejecución, que no responden, a mi entender, a una actuación caprichosa o renuente al cumplimiento de nuestras sentencias por parte de esa entidad gestora de la seguridad social. Por el contrario, los razonados escritos presentados por el INSS ponen de relieve las graves dificultades (rayanas incluso en la imposibilidad de ejecución) que suscita el cumplimiento de esas sentencias de amparo en sus propios términos, que no son otros, se insiste, que los determinados en la STC 140/2024, FJ 7. No debió el Tribunal, como ya advertimos en nuestro voto particular a esta sentencia, al que ya hemos aludido, ampliar la duración del permiso y la prestación por nacimiento de hijo en los supuestos de familias monoparentales, pues ello es decisión que solo al legislador compete.</w:t>
      </w:r>
    </w:p>
    <w:p w14:paraId="2A1FB6D9" w14:textId="77777777" w:rsidR="00B35D37" w:rsidRDefault="00B35D37" w:rsidP="00B35D37">
      <w:pPr>
        <w:pStyle w:val="TextoNormal"/>
      </w:pPr>
    </w:p>
    <w:p w14:paraId="1150FD91" w14:textId="77777777" w:rsidR="00B35D37" w:rsidRDefault="00B35D37" w:rsidP="00B35D37">
      <w:pPr>
        <w:pStyle w:val="TextoNormal"/>
      </w:pPr>
      <w:r>
        <w:t>Las consecuencias perturbadoras de ese exceso de jurisdicción se hacen sentir, inevitablemente, en las posteriores sentencias que estiman recursos de amparo de madres de familias monoparentales, con aplicación, como no puede ser de otro modo, del criterio establecido en la STC 140/2024, FJ 7, cuando ordenan la retroacción de actuaciones para que el INSS dicte nueva resolución ajustada a ese criterio, y en el caso concreto resulte que esa entidad gestora de la Seguridad Social se enfrente a la difícil tesitura de que, para dar cumplimiento a la sentencia de amparo de este tribunal, deba reconocer el derecho a una prestación sin que se cumplan los requisitos exigidos para ello en la normativa vigente —no cuestionada— , ya se trate, como se aduce en el presente caso, del requisito relativo a que el niño no haya cumplido los doce meses, o del requisito referido a que se hubiera producido la suspensión de la relación laboral de la madre durante el periodo de disfrute de la prestación que hubiese correspondido.</w:t>
      </w:r>
    </w:p>
    <w:p w14:paraId="3CDD3B96" w14:textId="77777777" w:rsidR="00B35D37" w:rsidRDefault="00B35D37" w:rsidP="00B35D37">
      <w:pPr>
        <w:pStyle w:val="TextoNormal"/>
      </w:pPr>
    </w:p>
    <w:p w14:paraId="7A2C692A" w14:textId="571137EA" w:rsidR="00B35D37" w:rsidRDefault="00B35D37" w:rsidP="00B35D37">
      <w:pPr>
        <w:pStyle w:val="TextoNormal"/>
      </w:pPr>
      <w:r>
        <w:t>Madrid, a trece de mayo de dos mil veinticinco.</w:t>
      </w:r>
    </w:p>
    <w:p w14:paraId="34D4F778" w14:textId="692683B1" w:rsidR="00B35D37" w:rsidRDefault="00B35D37">
      <w:pPr>
        <w:spacing w:after="160" w:line="278" w:lineRule="auto"/>
        <w:rPr>
          <w:rFonts w:ascii="Times New Roman" w:eastAsia="Times New Roman" w:hAnsi="Times New Roman" w:cs="Times New Roman"/>
          <w:sz w:val="24"/>
          <w:szCs w:val="24"/>
          <w:lang w:eastAsia="es-ES"/>
        </w:rPr>
      </w:pPr>
      <w:r>
        <w:br w:type="page"/>
      </w:r>
    </w:p>
    <w:p w14:paraId="1394834D" w14:textId="77777777" w:rsidR="00B35D37" w:rsidRDefault="00B35D37" w:rsidP="00B35D37">
      <w:pPr>
        <w:pStyle w:val="TtuloResolucin"/>
      </w:pPr>
      <w:bookmarkStart w:id="174" w:name="AUTO_2025_35"/>
      <w:r>
        <w:t>AUTO 35/2025, de 13 de mayo de 2025</w:t>
      </w:r>
    </w:p>
    <w:bookmarkEnd w:id="174"/>
    <w:p w14:paraId="06C37296" w14:textId="77777777" w:rsidR="00B35D37" w:rsidRDefault="00B35D37" w:rsidP="00B35D37">
      <w:pPr>
        <w:pStyle w:val="TtuloResolucin"/>
      </w:pPr>
      <w:r>
        <w:t>Pleno</w:t>
      </w:r>
    </w:p>
    <w:p w14:paraId="21CA8076" w14:textId="77777777" w:rsidR="00B35D37" w:rsidRDefault="00B35D37" w:rsidP="00B35D37">
      <w:pPr>
        <w:pStyle w:val="TextoNormalCentrado"/>
      </w:pPr>
      <w:r>
        <w:t>ECLI:ES:TC:2025:35A</w:t>
      </w:r>
    </w:p>
    <w:p w14:paraId="5AC3FA0E" w14:textId="2B5CCA52" w:rsidR="00B35D37" w:rsidRDefault="00B35D37" w:rsidP="00B35D37">
      <w:pPr>
        <w:pStyle w:val="TextoNormalCentrado"/>
      </w:pPr>
    </w:p>
    <w:p w14:paraId="15644E86"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05B521AF" w14:textId="12F32878" w:rsidR="00B35D37" w:rsidRDefault="00B35D37" w:rsidP="00B35D37">
      <w:pPr>
        <w:pStyle w:val="SntesisDescriptiva"/>
      </w:pPr>
    </w:p>
    <w:p w14:paraId="0D5F8D78" w14:textId="77777777" w:rsidR="00B35D37" w:rsidRDefault="00B35D37" w:rsidP="00B35D37">
      <w:pPr>
        <w:pStyle w:val="SntesisDescriptiva"/>
      </w:pPr>
      <w:r>
        <w:t>Desestima los recursos de súplica interpuestos en relación con el ATC 12/2025, de 29 de enero, que extendió los efectos de una recusación acordada en la cuestión de inconstitucionalidad 6053-2024 a dieciséis recursos de inconstitucionalidad y cinco cuestiones de inconstitucionalidad y declaró la pérdida sobrevenida de objeto de las recusaciones formuladas en dichos procedimientos, en relación con la Ley Orgánica 1/2024, de 10 de junio, de amnistía para la normalización institucional, política y social en Cataluña. Votos particulares.</w:t>
      </w:r>
    </w:p>
    <w:p w14:paraId="1F34D4E4" w14:textId="3951ACD1" w:rsidR="00B35D37" w:rsidRDefault="00B35D37" w:rsidP="00B35D37">
      <w:pPr>
        <w:pStyle w:val="SntesisDescriptiva"/>
      </w:pPr>
    </w:p>
    <w:p w14:paraId="417BCA24" w14:textId="77777777" w:rsidR="00B35D37" w:rsidRDefault="00B35D37" w:rsidP="00B35D37">
      <w:pPr>
        <w:pStyle w:val="SntesisDescriptiva"/>
      </w:pPr>
    </w:p>
    <w:p w14:paraId="2BE4D733" w14:textId="77777777" w:rsidR="00B35D37" w:rsidRDefault="00B35D37" w:rsidP="00B35D37">
      <w:pPr>
        <w:pStyle w:val="SntesisDescriptiva"/>
      </w:pPr>
    </w:p>
    <w:p w14:paraId="1E171D13" w14:textId="77777777" w:rsidR="00B35D37" w:rsidRDefault="00B35D37" w:rsidP="00B35D37">
      <w:pPr>
        <w:pStyle w:val="TextoNormalNegritaCentrado"/>
      </w:pPr>
      <w:r>
        <w:t>AUTO</w:t>
      </w:r>
    </w:p>
    <w:p w14:paraId="348593A7" w14:textId="037E4484" w:rsidR="00B35D37" w:rsidRDefault="00B35D37" w:rsidP="00B35D37">
      <w:pPr>
        <w:pStyle w:val="TextoNormalNegritaCentrado"/>
      </w:pPr>
    </w:p>
    <w:p w14:paraId="73EA2425" w14:textId="77777777" w:rsidR="00B35D37" w:rsidRDefault="00B35D37" w:rsidP="00B35D37">
      <w:pPr>
        <w:pStyle w:val="TextoNormalNegritaCentrado"/>
        <w:keepNext/>
      </w:pPr>
      <w:r>
        <w:t>I. Antecedentes</w:t>
      </w:r>
    </w:p>
    <w:p w14:paraId="22292C1A" w14:textId="208D9DC4" w:rsidR="00B35D37" w:rsidRDefault="00B35D37" w:rsidP="00B35D37">
      <w:pPr>
        <w:pStyle w:val="TextoNormalNegritaCentrado"/>
        <w:keepNext/>
      </w:pPr>
    </w:p>
    <w:p w14:paraId="6BA04435" w14:textId="067D593D" w:rsidR="00B35D37" w:rsidRDefault="00B35D37" w:rsidP="00B35D37">
      <w:pPr>
        <w:pStyle w:val="TextoNormal"/>
      </w:pPr>
      <w:r w:rsidRPr="00B35D37">
        <w:rPr>
          <w:rStyle w:val="NumeroAFNegritaCaracter"/>
        </w:rPr>
        <w:t>1</w:t>
      </w:r>
      <w:r>
        <w:t>. Mediante ATC 6/2025, de 15 de enero, el Pleno de este Tribunal Constitucional acordó estimar la recusación del magistrado señor Macías Castaño formulada por el fiscal general del Estado en la cuestión de inconstitucionalidad núm. 6053-2024, y apartarlo definitivamente de su conocimiento, por concurrir en él las causas de recusación previstas en los apartados decimotercero y decimosexto del art. 219 de la Ley Orgánica del Poder Judicial (LOPJ). Los hechos que sirvieron de fundamento a tal decisión se contraen a la participación del magistrado recusado, en el legítimo ejercicio del cargo que entonces ocupaba como vocal del Consejo General del Poder Judicial, en la adopción del acuerdo de 21 de marzo de 2024, por el que el Pleno del Consejo General del Poder Judicial aprobó el informe sobre la proposición de ley orgánica de amnistía para la normalización institucional, política y social en Cataluña.</w:t>
      </w:r>
    </w:p>
    <w:p w14:paraId="3D0F5901" w14:textId="77777777" w:rsidR="00B35D37" w:rsidRDefault="00B35D37" w:rsidP="00B35D37">
      <w:pPr>
        <w:pStyle w:val="TextoNormal"/>
      </w:pPr>
    </w:p>
    <w:p w14:paraId="3EF07565" w14:textId="77777777" w:rsidR="00B35D37" w:rsidRDefault="00B35D37" w:rsidP="00B35D37">
      <w:pPr>
        <w:pStyle w:val="TextoNormal"/>
      </w:pPr>
      <w:r w:rsidRPr="00B35D37">
        <w:rPr>
          <w:rStyle w:val="NumeroAFNegritaCaracter"/>
        </w:rPr>
        <w:t>2</w:t>
      </w:r>
      <w:r>
        <w:t>. Por ATC 12/2025, de 29 de enero, el Pleno de este tribunal acordó “[a]partar definitivamente al magistrado don José María Macías Castaño del conocimiento de los siguientes procesos constitucionales […]:</w:t>
      </w:r>
    </w:p>
    <w:p w14:paraId="57BE1DA1" w14:textId="77777777" w:rsidR="00B35D37" w:rsidRDefault="00B35D37" w:rsidP="00B35D37">
      <w:pPr>
        <w:pStyle w:val="TextoNormal"/>
      </w:pPr>
    </w:p>
    <w:p w14:paraId="2AC66A4E" w14:textId="77777777" w:rsidR="00B35D37" w:rsidRDefault="00B35D37" w:rsidP="00B35D37">
      <w:pPr>
        <w:pStyle w:val="TextoNormal"/>
      </w:pPr>
      <w:r>
        <w:t>- Recurso de inconstitucionalidad núm. 6436-2024, promovido por diputados y senadores del Grupo Parlamentario Popular.</w:t>
      </w:r>
    </w:p>
    <w:p w14:paraId="3A40C8AD" w14:textId="77777777" w:rsidR="00B35D37" w:rsidRDefault="00B35D37" w:rsidP="00B35D37">
      <w:pPr>
        <w:pStyle w:val="TextoNormal"/>
      </w:pPr>
    </w:p>
    <w:p w14:paraId="7E85B161" w14:textId="77777777" w:rsidR="00B35D37" w:rsidRDefault="00B35D37" w:rsidP="00B35D37">
      <w:pPr>
        <w:pStyle w:val="TextoNormal"/>
      </w:pPr>
      <w:r>
        <w:t>- Recurso de inconstitucionalidad núm. 6486-2024, promovido por las Cortes de Aragón.</w:t>
      </w:r>
    </w:p>
    <w:p w14:paraId="224AB3B2" w14:textId="77777777" w:rsidR="00B35D37" w:rsidRDefault="00B35D37" w:rsidP="00B35D37">
      <w:pPr>
        <w:pStyle w:val="TextoNormal"/>
      </w:pPr>
    </w:p>
    <w:p w14:paraId="742516F1" w14:textId="77777777" w:rsidR="00B35D37" w:rsidRDefault="00B35D37" w:rsidP="00B35D37">
      <w:pPr>
        <w:pStyle w:val="TextoNormal"/>
      </w:pPr>
      <w:r>
        <w:t>- Recurso de inconstitucionalidad núm. 6525-2024, promovido por el Parlamento de Cantabria.</w:t>
      </w:r>
    </w:p>
    <w:p w14:paraId="3F67126B" w14:textId="77777777" w:rsidR="00B35D37" w:rsidRDefault="00B35D37" w:rsidP="00B35D37">
      <w:pPr>
        <w:pStyle w:val="TextoNormal"/>
      </w:pPr>
    </w:p>
    <w:p w14:paraId="74AECDF5" w14:textId="77777777" w:rsidR="00B35D37" w:rsidRDefault="00B35D37" w:rsidP="00B35D37">
      <w:pPr>
        <w:pStyle w:val="TextoNormal"/>
      </w:pPr>
      <w:r>
        <w:t>- Recurso de inconstitucionalidad núm. 6547-2024, promovido por el Gobierno de Aragón.</w:t>
      </w:r>
    </w:p>
    <w:p w14:paraId="7B958B09" w14:textId="77777777" w:rsidR="00B35D37" w:rsidRDefault="00B35D37" w:rsidP="00B35D37">
      <w:pPr>
        <w:pStyle w:val="TextoNormal"/>
      </w:pPr>
    </w:p>
    <w:p w14:paraId="325890F3" w14:textId="77777777" w:rsidR="00B35D37" w:rsidRDefault="00B35D37" w:rsidP="00B35D37">
      <w:pPr>
        <w:pStyle w:val="TextoNormal"/>
      </w:pPr>
      <w:r>
        <w:t>- Recurso de inconstitucionalidad núm. 6549-2024, promovido por el Gobierno de la Comunidad de Madrid.</w:t>
      </w:r>
    </w:p>
    <w:p w14:paraId="26862D76" w14:textId="77777777" w:rsidR="00B35D37" w:rsidRDefault="00B35D37" w:rsidP="00B35D37">
      <w:pPr>
        <w:pStyle w:val="TextoNormal"/>
      </w:pPr>
    </w:p>
    <w:p w14:paraId="7B00927B" w14:textId="77777777" w:rsidR="00B35D37" w:rsidRDefault="00B35D37" w:rsidP="00B35D37">
      <w:pPr>
        <w:pStyle w:val="TextoNormal"/>
      </w:pPr>
      <w:r>
        <w:t>- Recurso de inconstitucionalidad núm. 6552-2024, promovido por el Consejo de Gobierno de la Junta de Comunidades de Castilla-La Mancha.</w:t>
      </w:r>
    </w:p>
    <w:p w14:paraId="0DBA27C0" w14:textId="77777777" w:rsidR="00B35D37" w:rsidRDefault="00B35D37" w:rsidP="00B35D37">
      <w:pPr>
        <w:pStyle w:val="TextoNormal"/>
      </w:pPr>
    </w:p>
    <w:p w14:paraId="6EE8040F" w14:textId="77777777" w:rsidR="00B35D37" w:rsidRDefault="00B35D37" w:rsidP="00B35D37">
      <w:pPr>
        <w:pStyle w:val="TextoNormal"/>
      </w:pPr>
      <w:r>
        <w:t>- Recurso de inconstitucionalidad núm. 6556-2024, promovido por la Xunta de Galicia.</w:t>
      </w:r>
    </w:p>
    <w:p w14:paraId="0E767C00" w14:textId="77777777" w:rsidR="00B35D37" w:rsidRDefault="00B35D37" w:rsidP="00B35D37">
      <w:pPr>
        <w:pStyle w:val="TextoNormal"/>
      </w:pPr>
    </w:p>
    <w:p w14:paraId="4C0E827B" w14:textId="77777777" w:rsidR="00B35D37" w:rsidRDefault="00B35D37" w:rsidP="00B35D37">
      <w:pPr>
        <w:pStyle w:val="TextoNormal"/>
      </w:pPr>
      <w:r>
        <w:t>- Recurso de inconstitucionalidad núm. 6560-2024, promovido por el Consejo de Gobierno de la Región de Murcia.</w:t>
      </w:r>
    </w:p>
    <w:p w14:paraId="0652776F" w14:textId="77777777" w:rsidR="00B35D37" w:rsidRDefault="00B35D37" w:rsidP="00B35D37">
      <w:pPr>
        <w:pStyle w:val="TextoNormal"/>
      </w:pPr>
    </w:p>
    <w:p w14:paraId="6E9C1635" w14:textId="77777777" w:rsidR="00B35D37" w:rsidRDefault="00B35D37" w:rsidP="00B35D37">
      <w:pPr>
        <w:pStyle w:val="TextoNormal"/>
      </w:pPr>
      <w:r>
        <w:t>- Recurso de inconstitucionalidad núm. 6562-2024, promovido por la Asamblea Regional de Murcia.</w:t>
      </w:r>
    </w:p>
    <w:p w14:paraId="08433B9C" w14:textId="77777777" w:rsidR="00B35D37" w:rsidRDefault="00B35D37" w:rsidP="00B35D37">
      <w:pPr>
        <w:pStyle w:val="TextoNormal"/>
      </w:pPr>
    </w:p>
    <w:p w14:paraId="73EEB7F6" w14:textId="77777777" w:rsidR="00B35D37" w:rsidRDefault="00B35D37" w:rsidP="00B35D37">
      <w:pPr>
        <w:pStyle w:val="TextoNormal"/>
      </w:pPr>
      <w:r>
        <w:t>- Recurso de inconstitucionalidad núm. 6575-2024, promovido por el Consejo de Gobierno de Andalucía.</w:t>
      </w:r>
    </w:p>
    <w:p w14:paraId="2C9A0D30" w14:textId="77777777" w:rsidR="00B35D37" w:rsidRDefault="00B35D37" w:rsidP="00B35D37">
      <w:pPr>
        <w:pStyle w:val="TextoNormal"/>
      </w:pPr>
    </w:p>
    <w:p w14:paraId="33FFE3F2" w14:textId="77777777" w:rsidR="00B35D37" w:rsidRDefault="00B35D37" w:rsidP="00B35D37">
      <w:pPr>
        <w:pStyle w:val="TextoNormal"/>
      </w:pPr>
      <w:r>
        <w:t>- Recurso de inconstitucionalidad núm. 6588-2024, promovido por el Consell de la Generalitat Valenciana.</w:t>
      </w:r>
    </w:p>
    <w:p w14:paraId="5E76E853" w14:textId="77777777" w:rsidR="00B35D37" w:rsidRDefault="00B35D37" w:rsidP="00B35D37">
      <w:pPr>
        <w:pStyle w:val="TextoNormal"/>
      </w:pPr>
    </w:p>
    <w:p w14:paraId="40DC8EF2" w14:textId="77777777" w:rsidR="00B35D37" w:rsidRDefault="00B35D37" w:rsidP="00B35D37">
      <w:pPr>
        <w:pStyle w:val="TextoNormal"/>
      </w:pPr>
      <w:r>
        <w:t>- Recurso de inconstitucionalidad núm. 6595-2024, promovido por la Junta de Castilla y León.</w:t>
      </w:r>
    </w:p>
    <w:p w14:paraId="7A3F858F" w14:textId="77777777" w:rsidR="00B35D37" w:rsidRDefault="00B35D37" w:rsidP="00B35D37">
      <w:pPr>
        <w:pStyle w:val="TextoNormal"/>
      </w:pPr>
    </w:p>
    <w:p w14:paraId="2CDCA53B" w14:textId="77777777" w:rsidR="00B35D37" w:rsidRDefault="00B35D37" w:rsidP="00B35D37">
      <w:pPr>
        <w:pStyle w:val="TextoNormal"/>
      </w:pPr>
      <w:r>
        <w:t>- Recurso de inconstitucionalidad núm. 6607-2024, promovido por el Gobierno de La Rioja.</w:t>
      </w:r>
    </w:p>
    <w:p w14:paraId="60A9D300" w14:textId="77777777" w:rsidR="00B35D37" w:rsidRDefault="00B35D37" w:rsidP="00B35D37">
      <w:pPr>
        <w:pStyle w:val="TextoNormal"/>
      </w:pPr>
    </w:p>
    <w:p w14:paraId="26FD604B" w14:textId="77777777" w:rsidR="00B35D37" w:rsidRDefault="00B35D37" w:rsidP="00B35D37">
      <w:pPr>
        <w:pStyle w:val="TextoNormal"/>
      </w:pPr>
      <w:r>
        <w:t>- Recurso de inconstitucionalidad núm. 6616-2024, promovido por el Gobierno de Cantabria.</w:t>
      </w:r>
    </w:p>
    <w:p w14:paraId="51198F09" w14:textId="77777777" w:rsidR="00B35D37" w:rsidRDefault="00B35D37" w:rsidP="00B35D37">
      <w:pPr>
        <w:pStyle w:val="TextoNormal"/>
      </w:pPr>
    </w:p>
    <w:p w14:paraId="4ABA0BF3" w14:textId="77777777" w:rsidR="00B35D37" w:rsidRDefault="00B35D37" w:rsidP="00B35D37">
      <w:pPr>
        <w:pStyle w:val="TextoNormal"/>
      </w:pPr>
      <w:r>
        <w:t>- Recurso de inconstitucionalidad núm. 6617-2024, promovido por la Junta de Extremadura.</w:t>
      </w:r>
    </w:p>
    <w:p w14:paraId="0A34A590" w14:textId="77777777" w:rsidR="00B35D37" w:rsidRDefault="00B35D37" w:rsidP="00B35D37">
      <w:pPr>
        <w:pStyle w:val="TextoNormal"/>
      </w:pPr>
    </w:p>
    <w:p w14:paraId="20426E3D" w14:textId="77777777" w:rsidR="00B35D37" w:rsidRDefault="00B35D37" w:rsidP="00B35D37">
      <w:pPr>
        <w:pStyle w:val="TextoNormal"/>
      </w:pPr>
      <w:r>
        <w:t>- Recurso de inconstitucionalidad núm. 6621-2024, promovido por el Gobierno de las Illes Balears.</w:t>
      </w:r>
    </w:p>
    <w:p w14:paraId="238A5ECD" w14:textId="77777777" w:rsidR="00B35D37" w:rsidRDefault="00B35D37" w:rsidP="00B35D37">
      <w:pPr>
        <w:pStyle w:val="TextoNormal"/>
      </w:pPr>
    </w:p>
    <w:p w14:paraId="1DBD5F1F" w14:textId="77777777" w:rsidR="00B35D37" w:rsidRDefault="00B35D37" w:rsidP="00B35D37">
      <w:pPr>
        <w:pStyle w:val="TextoNormal"/>
      </w:pPr>
      <w:r>
        <w:t>- Cuestión de inconstitucionalidad núm. 6596-2024, planteada por la Sala de lo Civil y Penal del Tribunal Superior de Justicia de Cataluña.</w:t>
      </w:r>
    </w:p>
    <w:p w14:paraId="1215BCC2" w14:textId="77777777" w:rsidR="00B35D37" w:rsidRDefault="00B35D37" w:rsidP="00B35D37">
      <w:pPr>
        <w:pStyle w:val="TextoNormal"/>
      </w:pPr>
    </w:p>
    <w:p w14:paraId="7B89C4B6" w14:textId="77777777" w:rsidR="00B35D37" w:rsidRDefault="00B35D37" w:rsidP="00B35D37">
      <w:pPr>
        <w:pStyle w:val="TextoNormal"/>
      </w:pPr>
      <w:r>
        <w:t>- Cuestión de inconstitucionalidad núm. 6597-2024, planteada por la Sala de lo Civil y Penal del Tribunal Superior de Justicia de Cataluña.</w:t>
      </w:r>
    </w:p>
    <w:p w14:paraId="63DDCEE2" w14:textId="77777777" w:rsidR="00B35D37" w:rsidRDefault="00B35D37" w:rsidP="00B35D37">
      <w:pPr>
        <w:pStyle w:val="TextoNormal"/>
      </w:pPr>
    </w:p>
    <w:p w14:paraId="478D1CD8" w14:textId="77777777" w:rsidR="00B35D37" w:rsidRDefault="00B35D37" w:rsidP="00B35D37">
      <w:pPr>
        <w:pStyle w:val="TextoNormal"/>
      </w:pPr>
      <w:r>
        <w:t>- Cuestión de inconstitucionalidad núm. 6699-2024, planteada por la Sala de lo Civil y Penal del Tribunal Superior de Justicia de Cataluña.</w:t>
      </w:r>
    </w:p>
    <w:p w14:paraId="6DA0DB26" w14:textId="77777777" w:rsidR="00B35D37" w:rsidRDefault="00B35D37" w:rsidP="00B35D37">
      <w:pPr>
        <w:pStyle w:val="TextoNormal"/>
      </w:pPr>
    </w:p>
    <w:p w14:paraId="57F4A23E" w14:textId="77777777" w:rsidR="00B35D37" w:rsidRDefault="00B35D37" w:rsidP="00B35D37">
      <w:pPr>
        <w:pStyle w:val="TextoNormal"/>
      </w:pPr>
      <w:r>
        <w:t>- Cuestión de inconstitucionalidad núm. 6754-2024, planteada por la Sala de lo Civil y Penal del Tribunal Superior de Justicia de Cataluña.</w:t>
      </w:r>
    </w:p>
    <w:p w14:paraId="46476F25" w14:textId="77777777" w:rsidR="00B35D37" w:rsidRDefault="00B35D37" w:rsidP="00B35D37">
      <w:pPr>
        <w:pStyle w:val="TextoNormal"/>
      </w:pPr>
    </w:p>
    <w:p w14:paraId="3762DF84" w14:textId="77777777" w:rsidR="00B35D37" w:rsidRDefault="00B35D37" w:rsidP="00B35D37">
      <w:pPr>
        <w:pStyle w:val="TextoNormal"/>
      </w:pPr>
      <w:r>
        <w:t>- Cuestión de inconstitucionalidad núm. 7668-2024, planteada por la Sección Vigesimotercera de la Audiencia Provincial de Madrid” y, en consecuencia, declarar la pérdida sobrevenida de objeto de las recusaciones formuladas contra dicho magistrado en los recursos de inconstitucionalidad núm. 6436-2024, 6486-2024, 6525-2024, 6547-2024, 6549-2024, 6552-2024, 6556-2024, 6560-2024, 6562-2024, 6575-2024, 6588-2024, 6595-2024, 6607-2024, 6616-2024, 6617-2024 y 6621-2024, y en las cuestiones de inconstitucionalidad núm. 6053-2024, 6596-2024, 6597-2024 y 6699-2024.</w:t>
      </w:r>
    </w:p>
    <w:p w14:paraId="2686BB94" w14:textId="77777777" w:rsidR="00B35D37" w:rsidRDefault="00B35D37" w:rsidP="00B35D37">
      <w:pPr>
        <w:pStyle w:val="TextoNormal"/>
      </w:pPr>
    </w:p>
    <w:p w14:paraId="08A987EA" w14:textId="5AFB6570" w:rsidR="00B35D37" w:rsidRDefault="00B35D37" w:rsidP="00B35D37">
      <w:pPr>
        <w:pStyle w:val="TextoNormal"/>
      </w:pPr>
      <w:r>
        <w:t>La decisión se fundó en el hecho de que las causas de recusación que, con arreglo al ATC 6/2025, justificaron el apartamiento del señor Macías Castaño del conocimiento de la cuestión de inconstitucionalidad núm. 6053-2024, partían de la existencia de una vinculación directa entre dicho magistrado y el objeto del proceso constitucional. Este objeto era sustancialmente idéntico al de los procesos constitucionales enumerados en el ATC 12/2025, de suerte que la vinculación directa del magistrado con el objeto del proceso que condujo a su apartamiento de la cuestión de inconstitucionalidad núm. 6053-2024 se reproducía, en idénticos términos, en todos esos otros procesos. La pérdida objetiva de imparcialidad apreciada en el ATC 6/2025 era, por ello, predicable también de tales procesos.</w:t>
      </w:r>
    </w:p>
    <w:p w14:paraId="406B2220" w14:textId="77777777" w:rsidR="00B35D37" w:rsidRDefault="00B35D37" w:rsidP="00B35D37">
      <w:pPr>
        <w:pStyle w:val="TextoNormal"/>
      </w:pPr>
    </w:p>
    <w:p w14:paraId="64FAA42C" w14:textId="77777777" w:rsidR="00B35D37" w:rsidRDefault="00B35D37" w:rsidP="00B35D37">
      <w:pPr>
        <w:pStyle w:val="TextoNormal"/>
      </w:pPr>
      <w:r w:rsidRPr="00B35D37">
        <w:rPr>
          <w:rStyle w:val="NumeroAFNegritaCaracter"/>
        </w:rPr>
        <w:t>3</w:t>
      </w:r>
      <w:r>
        <w:t>. El 6 de febrero de 2025, el letrado de la Comunidad Autónoma de Madrid, actuando en nombre y representación de esta, ha interpuesto recurso de súplica contra el ATC 12/2025, al amparo del art. 93.2 de la Ley Orgánica del Tribunal Constitucional (LOTC) y en su condición de recurrente en el recurso de inconstitucionalidad núm. 6549-2024.</w:t>
      </w:r>
    </w:p>
    <w:p w14:paraId="05FAC925" w14:textId="77777777" w:rsidR="00B35D37" w:rsidRDefault="00B35D37" w:rsidP="00B35D37">
      <w:pPr>
        <w:pStyle w:val="TextoNormal"/>
      </w:pPr>
    </w:p>
    <w:p w14:paraId="421688AA" w14:textId="77777777" w:rsidR="00B35D37" w:rsidRDefault="00B35D37" w:rsidP="00B35D37">
      <w:pPr>
        <w:pStyle w:val="TextoNormal"/>
      </w:pPr>
      <w:r>
        <w:t>Tras justificar la admisibilidad de la súplica, el representante de la Comunidad Autónoma de Madrid reclama la nulidad de pleno derecho del ATC 12/2025 por haberse prescindido de las normas esenciales de procedimiento que regulan la recusación de los magistrados del Tribunal Constitucional [art. 80 LOTC en relación con los arts. 217 a 228 LOPJ y 99 a 113 de la Ley de enjuiciamiento civil (LEC)], y haberse vulnerado con ello sus derechos fundamentales al juez ordinario predeterminado por la ley, a un proceso con todas las garantías y a la tutela judicial efectiva (art. 24 CE).</w:t>
      </w:r>
    </w:p>
    <w:p w14:paraId="28A5754C" w14:textId="77777777" w:rsidR="00B35D37" w:rsidRDefault="00B35D37" w:rsidP="00B35D37">
      <w:pPr>
        <w:pStyle w:val="TextoNormal"/>
      </w:pPr>
    </w:p>
    <w:p w14:paraId="5B478E78" w14:textId="77777777" w:rsidR="00B35D37" w:rsidRDefault="00B35D37" w:rsidP="00B35D37">
      <w:pPr>
        <w:pStyle w:val="TextoNormal"/>
      </w:pPr>
      <w:r>
        <w:t xml:space="preserve">Afirma que se ha prescindido total y absolutamente de las normas esenciales que regulan la recusación de los magistrados, dado que (i) no se ha incoado en el recurso de inconstitucionalidad núm. 6549-2024 ningún incidente de recusación; (ii) el supuesto incidente se ha resuelto mediante un auto dictado de oficio en un incidente de recusación distinto y ajeno al Gobierno de la Comunidad de Madrid, correspondiente a un procedimiento en el que este no es parte y que, además, ha sido promovido por el fiscal general del Estado, quien carece de legitimación para actuar en el recurso de inconstitucionalidad presentado por la Comunidad de Madrid; (iii) no se ha notificado al Gobierno de la Comunidad de Madrid la existencia del incidente acumulado de recusación tramitado en el seno de la cuestión de inconstitucionalidad núm. 6053-2024 ni se le ha emplazado para formular alegaciones sobre dicho incidente, a pesar de que su procedimiento iba a quedar afectado por la resolución que se dictase en el mismo; (iv) la acumulación de los incidentes de recusación era manifiestamente improcedente, dado que se trata de procedimientos sustancialmente diferentes (cuestión de inconstitucionalidad frente a recursos de inconstitucionalidad), con lo que se ha infringido también el art. 77.1 LEC; (v) se han extendido los efectos de la estimación de una recusación apreciada en un procedimiento a otros muchos procedimientos diferentes promovidos por terceros ajenos a la cuestión de inconstitucionalidad núm. 6053-2024, sin que el ordenamiento jurídico-procesal español contemple en ningún momento la extensión de efectos en este tipo de supuestos y además, haberse realizado de esta manera; (vi) se acuerda la pérdida de objeto del incidente de recusación del presente recurso (a pesar de su inexistencia) y, sin embargo, se aparta al magistrado recusado, cuando lo que procedería, en rigor, en caso de pérdida de objeto es el archivo del incidente </w:t>
      </w:r>
      <w:r w:rsidRPr="00B35D37">
        <w:rPr>
          <w:i/>
        </w:rPr>
        <w:t>ex</w:t>
      </w:r>
      <w:r>
        <w:t xml:space="preserve"> art. 22 LEC y (vii) la extensión de efectos se acuerda sin que exista efecto de cosa juzgada material de la decisión del incidente de recusación tomada en la cuestión de inconstitucionalidad núm. 6053-2024, sobre el incidente de recusación (caso de que se hubiera incoado formalmente) del recurso de inconstitucionalidad núm. 6549-2024, al no darse la triple identidad de sujetos, objeto y </w:t>
      </w:r>
      <w:r w:rsidRPr="00B35D37">
        <w:rPr>
          <w:i/>
        </w:rPr>
        <w:t>causa petendi</w:t>
      </w:r>
      <w:r>
        <w:t xml:space="preserve"> (art. 222 LEC).</w:t>
      </w:r>
    </w:p>
    <w:p w14:paraId="7A71CD4D" w14:textId="77777777" w:rsidR="00B35D37" w:rsidRDefault="00B35D37" w:rsidP="00B35D37">
      <w:pPr>
        <w:pStyle w:val="TextoNormal"/>
      </w:pPr>
    </w:p>
    <w:p w14:paraId="4A50D9DB" w14:textId="77777777" w:rsidR="00B35D37" w:rsidRDefault="00B35D37" w:rsidP="00B35D37">
      <w:pPr>
        <w:pStyle w:val="TextoNormal"/>
      </w:pPr>
      <w:r>
        <w:t>Afirma que esta preterición de las normas procesales que regulan la recusación de los magistrados ha causado una indefensión patente a la Comunidad Autónoma de Madrid por cuanto no ha podido formular alegaciones en relación con la recusación promovida por el fiscal general del Estado en la cuestión de inconstitucionalidad núm. 6053-2024. En concreto, no ha podido formular alegaciones en relación con el cambio de doctrina que el Tribunal Constitucional lleva a cabo respecto de supuestos anteriores análogos, como el resuelto en el ATC 28/2023, de 7 de febrero; cambio de doctrina que considera arbitrario y contrario al principio de igualdad en la aplicación de la ley. Tampoco ha podido objetar la falta de identidad entre el objeto de la cuestión de inconstitucionalidad núm. 6053-2024, que se limita al art. 1 de la Ley Orgánica 1/2024, de 10 de junio, de amnistía para la normalización institucional, política y social en Cataluña (en adelante, Ley Orgánica 1/2024), y el objeto del recurso de inconstitucionalidad núm. 6549-2024, que se proyecta sobre la totalidad de dicha ley orgánica. Tampoco ha podido alegar que la participación del señor Macías Castaño en la aprobación del informe del Consejo General del Poder Judicial no puede considerarse “participación directa o indirecta” en el objeto del pleito (Ley Orgánica 1/2024) porque dicho informe no era preceptivo ni vinculante y el señor Macías Castaño votó como un miembro más de un órgano colegiado.</w:t>
      </w:r>
    </w:p>
    <w:p w14:paraId="30913413" w14:textId="77777777" w:rsidR="00B35D37" w:rsidRDefault="00B35D37" w:rsidP="00B35D37">
      <w:pPr>
        <w:pStyle w:val="TextoNormal"/>
      </w:pPr>
    </w:p>
    <w:p w14:paraId="1B70B08F" w14:textId="65EE05D9" w:rsidR="00B35D37" w:rsidRDefault="00B35D37" w:rsidP="00B35D37">
      <w:pPr>
        <w:pStyle w:val="TextoNormal"/>
      </w:pPr>
      <w:r>
        <w:t>Entiende que el auto recurrido altera de manera arbitraria la composición del Tribunal que ha de conocer del recurso de inconstitucionalidad núm. 6549-2024, y vulnera su derecho al juez ordinario predeterminado por la ley.</w:t>
      </w:r>
    </w:p>
    <w:p w14:paraId="36C081C6" w14:textId="77777777" w:rsidR="00B35D37" w:rsidRDefault="00B35D37" w:rsidP="00B35D37">
      <w:pPr>
        <w:pStyle w:val="TextoNormal"/>
      </w:pPr>
    </w:p>
    <w:p w14:paraId="5485A9B4" w14:textId="77777777" w:rsidR="00B35D37" w:rsidRDefault="00B35D37" w:rsidP="00B35D37">
      <w:pPr>
        <w:pStyle w:val="TextoNormal"/>
      </w:pPr>
      <w:r w:rsidRPr="00B35D37">
        <w:rPr>
          <w:rStyle w:val="NumeroAFNegritaCaracter"/>
        </w:rPr>
        <w:t>4</w:t>
      </w:r>
      <w:r>
        <w:t>. El 6 de febrero de 2025, el letrado de la Junta de Galicia, obrando en nombre y representación de esta, interpuso recurso de súplica contra el ATC 12/2025, en su condición de recurrente en el recurso de inconstitucionalidad núm. 6556-2024.</w:t>
      </w:r>
    </w:p>
    <w:p w14:paraId="072DD7BA" w14:textId="77777777" w:rsidR="00B35D37" w:rsidRDefault="00B35D37" w:rsidP="00B35D37">
      <w:pPr>
        <w:pStyle w:val="TextoNormal"/>
      </w:pPr>
    </w:p>
    <w:p w14:paraId="2ED4E6B4" w14:textId="77777777" w:rsidR="00B35D37" w:rsidRDefault="00B35D37" w:rsidP="00B35D37">
      <w:pPr>
        <w:pStyle w:val="TextoNormal"/>
      </w:pPr>
      <w:r>
        <w:t xml:space="preserve">Tras realizar alegaciones encaminadas a justificar la admisibilidad del recurso, invoca, en primer término, la infracción del principio de justicia rogada y la vulneración de su derecho fundamental al juez ordinario predeterminado por la ley. Aduce que, de acuerdo con el art. 80 LOTC en relación con los arts. 123 LOPJ y 107 LEC, la recusación ha de examinarse y resolverse a través de un procedimiento incidental que no puede iniciarse de oficio, y, hasta donde alcanza su conocimiento, no se ha promovido incidente alguno de recusación del magistrado señor Macías Castaño en el recurso de inconstitucionalidad núm. 6556-2024. De este modo, cualquier pronunciamiento sobre su imparcialidad que no sea una abstención voluntaria incurre en infracción del principio de justicia rogada que rige el incidente de recusación, y conlleva un vicio de incongruencia por exceso. Por otra parte, entiende que trasladar los efectos de la petición formulada en una cuestión o en un recurso de inconstitucionalidad a otros procesos diferentes supone </w:t>
      </w:r>
      <w:r w:rsidRPr="00B35D37">
        <w:rPr>
          <w:i/>
        </w:rPr>
        <w:t>de facto</w:t>
      </w:r>
      <w:r>
        <w:t xml:space="preserve"> acumular todos ellos en uno solo, lo que resulta inviable dada su diferente naturaleza. Si se quieren unificar los procedimientos, cabe acudir al trámite del art. 84 LOTC, pero mientras no se lleve a cabo esta unificación formal, cada proceso goza de independencia y debe desarrollarse conforme a la tramitación legal que corresponda a cada uno. Considera, en definitiva, que se ha excluido a un magistrado del Tribunal llamado a conocer y resolver el recurso formulado por la Junta de Galicia, sin previa solicitud de parte y sin tramitar el procedimiento legalmente establecido al efecto, lo que constituye una vulneración de su derecho fundamental al juez ordinario predeterminado por la ley.</w:t>
      </w:r>
    </w:p>
    <w:p w14:paraId="6EE72554" w14:textId="77777777" w:rsidR="00B35D37" w:rsidRDefault="00B35D37" w:rsidP="00B35D37">
      <w:pPr>
        <w:pStyle w:val="TextoNormal"/>
      </w:pPr>
    </w:p>
    <w:p w14:paraId="22898A97" w14:textId="60374823" w:rsidR="00B35D37" w:rsidRDefault="00B35D37" w:rsidP="00B35D37">
      <w:pPr>
        <w:pStyle w:val="TextoNormal"/>
      </w:pPr>
      <w:r>
        <w:t>En segundo lugar, invoca la vulneración de su derecho a la tutela judicial efectiva en su vertiente relativa a un proceso justo, a la igualdad de armas y al derecho de defensa contradictoria. Alega que la recusación de un magistrado del Tribunal exige la tramitación de un procedimiento regulado en la Ley Orgánica del Poder Judicial y en la Ley de enjuiciamiento civil, en el que se ha de dar a las partes personadas en el proceso principal, la oportunidad de formular las alegaciones que tengan por convenientes en relación con la recusación pretendida. En el recurso de inconstitucionalidad núm. 6556-2024 se ha apartado al magistrado señor Macías por estimación de una recusación de la que, la Junta de Galicia, como demandante en el proceso principal, no ha tenido siquiera conocimiento y, mucho menos, posibilidad de formular alegaciones, por lo que se le ha generado una flagrante indefensión.</w:t>
      </w:r>
    </w:p>
    <w:p w14:paraId="33EB5839" w14:textId="77777777" w:rsidR="00B35D37" w:rsidRDefault="00B35D37" w:rsidP="00B35D37">
      <w:pPr>
        <w:pStyle w:val="TextoNormal"/>
      </w:pPr>
    </w:p>
    <w:p w14:paraId="3AB7B780" w14:textId="77777777" w:rsidR="00B35D37" w:rsidRDefault="00B35D37" w:rsidP="00B35D37">
      <w:pPr>
        <w:pStyle w:val="TextoNormal"/>
      </w:pPr>
      <w:r w:rsidRPr="00B35D37">
        <w:rPr>
          <w:rStyle w:val="NumeroAFNegritaCaracter"/>
        </w:rPr>
        <w:t>5</w:t>
      </w:r>
      <w:r>
        <w:t>. El día 6 de febrero de 2024, el procurador de los tribunales, don Manuel Sánchez-Puelles y González-Carvajal, obrando en nombre y representación del Grupo Parlamentario Popular, formuló recurso de súplica contra el ATC 12/2025, en su condición de recurrente en el recurso de inconstitucionalidad núm. 6436-2024.</w:t>
      </w:r>
    </w:p>
    <w:p w14:paraId="79B70FC3" w14:textId="77777777" w:rsidR="00B35D37" w:rsidRDefault="00B35D37" w:rsidP="00B35D37">
      <w:pPr>
        <w:pStyle w:val="TextoNormal"/>
      </w:pPr>
    </w:p>
    <w:p w14:paraId="4B3CEFFF" w14:textId="6D1F3682" w:rsidR="00B35D37" w:rsidRDefault="00B35D37" w:rsidP="00B35D37">
      <w:pPr>
        <w:pStyle w:val="TextoNormal"/>
      </w:pPr>
      <w:r>
        <w:t>Tras efectuar una serie de alegaciones relativas a la admisibilidad del recurso, invoca la vulneración del derecho a un proceso justo y equitativo [arts. 24 CE y 6 del Convenio Europeo de Derechos Humanos (CEDH)]. Afirma que la resolución se ha dictado prescindiendo del procedimiento establecido para los incidentes de recusación (art. 80 LOTC en relación con los arts. 223 y ss. LOPJ y 107 y ss. LEC) lo que constituye una vulneración del derecho a un proceso con todas las garantías. En particular, se ha prescindido por completo de los trámites de audiencia a las partes personadas en el procedimiento principal y al mismo magistrado recusado, lo que constituye una vulneración de los principios de contradicción e igualdad de armas, que le coloca en una posición de indefensión material. En cuanto se han desconocido las garantías que salvaguardan la debida composición del Tribunal, la resolución recurrida vulnera, además, el derecho fundamental al juez ordinario predeterminado por la ley. Finalmente, entiende el Grupo Parlamentario Popular que el efecto de cosa juzgada material de las resoluciones se produce exclusivamente entre quienes son parte en el proceso, no sobre terceros ajenos al mismo, con lo que la extensión de los efectos de la recusación declarada en la cuestión de inconstitucionalidad núm. 6053-2024 a otros procesos distintos, con partes diversas, supone una vulneración del derecho a la tutela judicial efectiva (art. 24.1 CE) en su dimensión de derecho a obtener una resolución fundada en Derecho.</w:t>
      </w:r>
    </w:p>
    <w:p w14:paraId="4774E632" w14:textId="77777777" w:rsidR="00B35D37" w:rsidRDefault="00B35D37" w:rsidP="00B35D37">
      <w:pPr>
        <w:pStyle w:val="TextoNormal"/>
      </w:pPr>
    </w:p>
    <w:p w14:paraId="5C5D7983" w14:textId="77777777" w:rsidR="00B35D37" w:rsidRDefault="00B35D37" w:rsidP="00B35D37">
      <w:pPr>
        <w:pStyle w:val="TextoNormal"/>
      </w:pPr>
      <w:r w:rsidRPr="00B35D37">
        <w:rPr>
          <w:rStyle w:val="NumeroAFNegritaCaracter"/>
        </w:rPr>
        <w:t>6</w:t>
      </w:r>
      <w:r>
        <w:t>. El 6 de febrero de 2025 se presentó, por el abogado de la Comunidad Autónoma de las Illes Balears, obrando en nombre y representación de esta, recurso de súplica contra el ATC 12/2025, en su condición de promotor del recurso de inconstitucionalidad núm. 6621-2024.</w:t>
      </w:r>
    </w:p>
    <w:p w14:paraId="176377F2" w14:textId="77777777" w:rsidR="00B35D37" w:rsidRDefault="00B35D37" w:rsidP="00B35D37">
      <w:pPr>
        <w:pStyle w:val="TextoNormal"/>
      </w:pPr>
    </w:p>
    <w:p w14:paraId="554C5EBD" w14:textId="77777777" w:rsidR="00B35D37" w:rsidRDefault="00B35D37" w:rsidP="00B35D37">
      <w:pPr>
        <w:pStyle w:val="TextoNormal"/>
      </w:pPr>
      <w:r>
        <w:t>Tras argumentar extensamente acerca de la admisibilidad del recurso de súplica, el abogado de la Comunidad Autónoma de las Illes Balears solicita que se declare la nulidad de pleno derecho del auto recurrido por entender que vulnera sus derechos fundamentales a la tutela judicial efectiva sin indefensión (art. 24.1 CE), a un proceso con todas las garantías y al juez ordinario predeterminado por la ley (art. 24.2 CE).</w:t>
      </w:r>
    </w:p>
    <w:p w14:paraId="120169C9" w14:textId="77777777" w:rsidR="00B35D37" w:rsidRDefault="00B35D37" w:rsidP="00B35D37">
      <w:pPr>
        <w:pStyle w:val="TextoNormal"/>
      </w:pPr>
    </w:p>
    <w:p w14:paraId="7C2282FC" w14:textId="24E17207" w:rsidR="00B35D37" w:rsidRDefault="00B35D37" w:rsidP="00B35D37">
      <w:pPr>
        <w:pStyle w:val="TextoNormal"/>
      </w:pPr>
      <w:r>
        <w:t>Afirma que la resolución impugnada lleva a cabo una extensión de efectos de la decisión adoptada en un procedimiento, cuestión de inconstitucionalidad núm. 6053-2024, prescindiendo por completo de las normas procesales esenciales y generando una indefensión efectiva a la comunidad autónoma que representa. Así, la decisión original de apartar al magistrado señor Macías fue adoptada en un proceso en el que la Comunidad Autónoma de las Illes Balears no era parte, por lo que no pudo formular alegación alguna en relación con una recusación que, además, fue planteada por el fiscal general del Estado, que no es parte en el recurso de inconstitucionalidad núm. 6621-2024. A ello se suma que no se ha notificado al Gobierno de las Illes Balears la existencia de un incidente acumulado de recusación, ni se le ha dado en ningún momento trámite de alegaciones, pese a que el procedimiento por él promovido iba a quedar afectado por la resolución que se dictase. Se ha hecho una extensión de efectos de la resolución que estima la recusación que carece de apoyatura legal y de precedentes, y que obvia que no es posible trasladar los efectos de la cosa juzgada material a terceros ajenos al proceso en que se haya dictado la resolución que produce tales efectos. Con ello se ha generado indefensión al Gobierno de las Illes Balears, que no ha podido defenderse frente al cambio de doctrina del Tribunal acerca de la interpretación y aplicación de las causas de recusación previstas en los apartados decimotercero y decimosexto del art. 219 LOPJ, ni ha podido aducir las diferencias existentes entre el objeto de la cuestión de inconstitucionalidad núm. 6053-2024 (en la que fue estimada la recusación) y el objeto del recurso de inconstitucionalidad núm. 6621-2024. En opinión del abogado recurrente, la consecuencia de estas infracciones procesales es la vulneración del derecho al juez ordinario predeterminado por la ley (art. 24.2 CE), habida cuenta de que se ha alterado arbitrariamente la composición legal del Pleno del Tribunal.</w:t>
      </w:r>
    </w:p>
    <w:p w14:paraId="6DBE933A" w14:textId="77777777" w:rsidR="00B35D37" w:rsidRDefault="00B35D37" w:rsidP="00B35D37">
      <w:pPr>
        <w:pStyle w:val="TextoNormal"/>
      </w:pPr>
    </w:p>
    <w:p w14:paraId="04957A6E" w14:textId="77777777" w:rsidR="00B35D37" w:rsidRDefault="00B35D37" w:rsidP="00B35D37">
      <w:pPr>
        <w:pStyle w:val="TextoNormal"/>
      </w:pPr>
      <w:r w:rsidRPr="00B35D37">
        <w:rPr>
          <w:rStyle w:val="NumeroAFNegritaCaracter"/>
        </w:rPr>
        <w:t>7</w:t>
      </w:r>
      <w:r>
        <w:t>. El mismo día 6 de febrero de 2025 presentaron recursos de súplica contra el ATC 12/2025: el letrado de la Junta de Extremadura en nombre y representación de esta y en su condición de recurrente en el recurso de inconstitucionalidad núm. 6617-2024; el letrado de la Comunidad Autónoma de la Región de Murcia, promotora del recurso de inconstitucionalidad núm. 6560-2024; el letrado de la Comunidad Autónoma de La Rioja, recurrente en el recurso de inconstitucionalidad núm. 6607-2024; la directora de los servicios jurídicos de la Comunidad Autónoma de Castilla y León, recurrente en el recurso de inconstitucionalidad núm. 6595-2024; el abogado general de la Generalitat Valenciana, en nombre del Consell de la Generalitat, recurrente en el recurso de inconstitucionalidad núm. 6588-2024 y el letrado del servicio jurídico del Gobierno de Cantabria, recurrente en el recurso de inconstitucionalidad núm. 6616-2024. El día 7 de febrero de 2025 presentaron recursos de súplica la letrada de la Comunidad Autónoma de Aragón, recurrente en el recurso de inconstitucionalidad núm. 6547-2024, y el letrado de la Junta de Andalucía, recurrente en el recurso de inconstitucionalidad núm. 6575-2024.</w:t>
      </w:r>
    </w:p>
    <w:p w14:paraId="4357406A" w14:textId="77777777" w:rsidR="00B35D37" w:rsidRDefault="00B35D37" w:rsidP="00B35D37">
      <w:pPr>
        <w:pStyle w:val="TextoNormal"/>
      </w:pPr>
    </w:p>
    <w:p w14:paraId="3319962E" w14:textId="1019BE3F" w:rsidR="00B35D37" w:rsidRDefault="00B35D37" w:rsidP="00B35D37">
      <w:pPr>
        <w:pStyle w:val="TextoNormal"/>
      </w:pPr>
      <w:r>
        <w:t>En todos ellos, tras una serie de alegaciones encaminadas a justificar la admisibilidad del recurso, se interesa que se declare la nulidad de pleno Derecho del auto impugnado, por entender, con una argumentación sustancialmente igual a la esgrimida por las comunidades autónomas de Madrid, Galicia e Islas Baleares, que se ha prescindido de las normas esenciales de procedimiento que regulan la recusación de los magistrados del Tribunal Constitucional y se han vulnerado con ello sus derechos fundamentales al juez ordinario predeterminado por la ley, a un proceso con todas las garantías, en particular las de contradicción e igualdad entre las partes, y, por extensión, su derecho a la tutela judicial efectiva sin indefensión.</w:t>
      </w:r>
    </w:p>
    <w:p w14:paraId="21A112FA" w14:textId="77777777" w:rsidR="00B35D37" w:rsidRDefault="00B35D37" w:rsidP="00B35D37">
      <w:pPr>
        <w:pStyle w:val="TextoNormal"/>
      </w:pPr>
    </w:p>
    <w:p w14:paraId="335C1F16" w14:textId="70215B57" w:rsidR="00B35D37" w:rsidRDefault="00B35D37" w:rsidP="00B35D37">
      <w:pPr>
        <w:pStyle w:val="TextoNormal"/>
      </w:pPr>
      <w:r w:rsidRPr="00B35D37">
        <w:rPr>
          <w:rStyle w:val="NumeroAFNegritaCaracter"/>
        </w:rPr>
        <w:t>8</w:t>
      </w:r>
      <w:r>
        <w:t>. Mediante diligencia de ordenación, dictada por la Secretaría de Justicia del Pleno el día 14 de febrero de 2025, se acordó oír a las partes por un plazo común de tres días al amparo de lo establecido en el art. 93.2 LOTC.</w:t>
      </w:r>
    </w:p>
    <w:p w14:paraId="60DDA8F1" w14:textId="77777777" w:rsidR="00B35D37" w:rsidRDefault="00B35D37" w:rsidP="00B35D37">
      <w:pPr>
        <w:pStyle w:val="TextoNormal"/>
      </w:pPr>
    </w:p>
    <w:p w14:paraId="4D5DFCF4" w14:textId="0F7D8379" w:rsidR="00B35D37" w:rsidRDefault="00B35D37" w:rsidP="00B35D37">
      <w:pPr>
        <w:pStyle w:val="TextoNormal"/>
      </w:pPr>
      <w:r w:rsidRPr="00B35D37">
        <w:rPr>
          <w:rStyle w:val="NumeroAFNegritaCaracter"/>
        </w:rPr>
        <w:t>9</w:t>
      </w:r>
      <w:r>
        <w:t>. Dentro del plazo concedido, han presentado alegaciones a los recursos de súplica: la directora de los servicios jurídicos de la Comunidad Autónoma de Castilla y León; los letrados de las comunidades autónomas de Madrid, La Rioja, Extremadura, Galicia, la Región de Murcia y de Andalucía; el abogado general de la Generalitat Valenciana; el letrado del servicio jurídico del Gobierno de Cantabria, y el procurador de los tribunales señor Sánchez-Puelles y González-Carvajal, en nombre y representación del Grupo Parlamentario Popular. En dichos escritos ratifican las alegaciones contenidas en los respectivos recursos de súplica y manifiestan su oposición a que dichos recursos se tramiten de forma acumulada en el seno de la cuestión de inconstitucionalidad núm. 6053-2024. En opinión de los comparecientes, ni las comunidades autónomas que representan son parte en la referida cuestión de inconstitucionalidad, ni el Ministerio Fiscal es parte, ni puede intervenir, en los recursos de inconstitucionalidad promovidos por dichas comunidades autónomas. Entienden que cada recurso de súplica ha sido presentado y debe ser tramitado y resuelto de forma independiente en el seno del recurso de inconstitucionalidad correspondiente, no siendo posible la acumulación de todos ellos en otro proceso —cuestión de inconstitucionalidad núm. 6053-2024— de diferente naturaleza.</w:t>
      </w:r>
    </w:p>
    <w:p w14:paraId="1CEEE4EF" w14:textId="77777777" w:rsidR="00B35D37" w:rsidRDefault="00B35D37" w:rsidP="00B35D37">
      <w:pPr>
        <w:pStyle w:val="TextoNormal"/>
      </w:pPr>
    </w:p>
    <w:p w14:paraId="6274654A" w14:textId="1D40E869" w:rsidR="00B35D37" w:rsidRDefault="00B35D37" w:rsidP="00B35D37">
      <w:pPr>
        <w:pStyle w:val="TextoNormal"/>
      </w:pPr>
      <w:r w:rsidRPr="00B35D37">
        <w:rPr>
          <w:rStyle w:val="NumeroAFNegritaCaracter"/>
        </w:rPr>
        <w:t>10</w:t>
      </w:r>
      <w:r>
        <w:t>. Dentro del plazo concedido al efecto ha presentado también alegaciones el abogado del Estado, que, tras hacer un breve resumen de lo acontecido en la cuestión de inconstitucionalidad núm.  núm. 6053-2024, solicita que se declare la inadmisibilidad de todos los recursos de súplica, por cuanto se dirigen contra un auto que estima la recusación de un magistrado, resolución contra la que no cabe recurso alguno conforme al art. 113 LEC, aplicable por remisión del art. 80 LOTC. Subsidiariamente solicita su desestimación. Entiende que, habiendo adoptado el Tribunal una decisión acerca de la recusación del magistrado señor Macías —que se estima por causas directamente vinculadas con el objeto del proceso principal— carece de sentido que vuelva a pronunciarse acerca de la concurrencia de estas mismas causas en otros procedimientos que tienen el mismo objeto. La decisión acerca de la concurrencia de dos causas de recusación en el magistrado ha sido ya adoptada por el Tribunal en el ATC 6/2025 y no existe ninguna razón para que se deban tramitar nuevos procedimientos para examinar esta misma cuestión. La decisión del Tribunal es firme y no puede variar en otros procedimientos que tengan el mismo objeto que la cuestión de inconstitucionalidad en la que se ha adoptado. El Tribunal tiene la obligación de garantizar la imparcialidad en su composición en todos los procesos constitucionales, lo que, lejos de producir indefensión a las partes, garantiza dicho principio, así como su derecho a la tutela judicial efectiva.</w:t>
      </w:r>
    </w:p>
    <w:p w14:paraId="2C4D311A" w14:textId="77777777" w:rsidR="00B35D37" w:rsidRDefault="00B35D37" w:rsidP="00B35D37">
      <w:pPr>
        <w:pStyle w:val="TextoNormal"/>
      </w:pPr>
    </w:p>
    <w:p w14:paraId="27A3F16D" w14:textId="77777777" w:rsidR="00B35D37" w:rsidRDefault="00B35D37" w:rsidP="00B35D37">
      <w:pPr>
        <w:pStyle w:val="TextoNormal"/>
      </w:pPr>
      <w:r w:rsidRPr="00B35D37">
        <w:rPr>
          <w:rStyle w:val="NumeroAFNegritaCaracter"/>
        </w:rPr>
        <w:t>11</w:t>
      </w:r>
      <w:r>
        <w:t xml:space="preserve">. El día 27 de febrero de 2025, el fiscal general del Estado ha presentado escrito invocando su falta de legitimación </w:t>
      </w:r>
      <w:r w:rsidRPr="00B35D37">
        <w:rPr>
          <w:i/>
        </w:rPr>
        <w:t>ad causam</w:t>
      </w:r>
      <w:r>
        <w:t xml:space="preserve"> para intervenir en los recursos de súplica planteados. Afirma que, aunque el traslado para alegaciones se haya dado formalmente en la cuestión de inconstitucionalidad núm. 6053-2024, el objeto de esos recursos de súplica se circunscribe a la aplicación del ATC 12/2025, a los recursos de inconstitucionalidad promovidos por los recurrentes en súplica, en los que el Ministerio Fiscal no es, ni puede ser, parte activa o pasiva. Todo ello sin perjuicio de la eventual intervención que pudiera corresponder </w:t>
      </w:r>
      <w:r w:rsidRPr="00B35D37">
        <w:rPr>
          <w:i/>
        </w:rPr>
        <w:t>ope legis</w:t>
      </w:r>
      <w:r>
        <w:t xml:space="preserve"> al Ministerio Fiscal en las piezas de recusación que, de estimarse las súplicas, pudieran tramitarse en los referidos recursos de inconstitucionalidad (art. 225 LOPJ en relación con el art. 80 LOTC).</w:t>
      </w:r>
    </w:p>
    <w:p w14:paraId="412BC84D" w14:textId="77777777" w:rsidR="00B35D37" w:rsidRDefault="00B35D37" w:rsidP="00B35D37">
      <w:pPr>
        <w:pStyle w:val="TextoNormal"/>
      </w:pPr>
    </w:p>
    <w:p w14:paraId="3F6CB3EB" w14:textId="2993979A" w:rsidR="00B35D37" w:rsidRDefault="00B35D37" w:rsidP="00B35D37">
      <w:pPr>
        <w:pStyle w:val="TextoNormal"/>
      </w:pPr>
      <w:r>
        <w:t>Finalmente, solicita la corrección de un error material en el ATC 12/2025, por cuanto declara la pérdida sobrevenida de objeto de la recusación del magistrado señor Macías formulada en la cuestión de inconstitucionalidad núm. 6053-2024, cuando dicha recusación se encontraba ya resuelta por resolución firme de 15 de enero de 2025 (ATC 6/2025), que es precisamente la que extiende sus efectos a todos los demás procedimientos constitucionales enumerados en el ATC 12/2025.</w:t>
      </w:r>
    </w:p>
    <w:p w14:paraId="0F022CDF" w14:textId="77777777" w:rsidR="00B35D37" w:rsidRDefault="00B35D37" w:rsidP="00B35D37">
      <w:pPr>
        <w:pStyle w:val="TextoNormal"/>
      </w:pPr>
    </w:p>
    <w:p w14:paraId="56A5ADAE" w14:textId="77777777" w:rsidR="00B35D37" w:rsidRDefault="00B35D37" w:rsidP="00B35D37">
      <w:pPr>
        <w:pStyle w:val="TextoNormalNegritaCentrado"/>
        <w:keepNext/>
      </w:pPr>
      <w:r>
        <w:t>II. Fundamentos jurídicos</w:t>
      </w:r>
    </w:p>
    <w:p w14:paraId="090F4FE6" w14:textId="2B78DC3C" w:rsidR="00B35D37" w:rsidRDefault="00B35D37" w:rsidP="00B35D37">
      <w:pPr>
        <w:pStyle w:val="TextoNormalNegritaCentrado"/>
        <w:keepNext/>
      </w:pPr>
    </w:p>
    <w:p w14:paraId="20779C4F" w14:textId="77777777" w:rsidR="00B35D37" w:rsidRDefault="00B35D37" w:rsidP="00B35D37">
      <w:pPr>
        <w:pStyle w:val="TextoNormal"/>
      </w:pPr>
      <w:r w:rsidRPr="00B35D37">
        <w:rPr>
          <w:rStyle w:val="NumeroAFNegritaCaracter"/>
        </w:rPr>
        <w:t>1</w:t>
      </w:r>
      <w:r>
        <w:t>. Antes de entrar a examinar el fondo de los recursos de súplica, hemos de dar respuesta al óbice procesal de inadmisibilidad invocado por el abogado del Estado, quien afirma que la resolución recurrida resuelve en sentido estimatorio la recusación de un magistrado del Tribunal y, consecuentemente y por imperativo del art. 113 LEC (al que remite expresamente el art. 80 LOTC) contra ella no cabe recurso alguno.</w:t>
      </w:r>
    </w:p>
    <w:p w14:paraId="4BEA7BD7" w14:textId="77777777" w:rsidR="00B35D37" w:rsidRDefault="00B35D37" w:rsidP="00B35D37">
      <w:pPr>
        <w:pStyle w:val="TextoNormal"/>
      </w:pPr>
    </w:p>
    <w:p w14:paraId="718E905C" w14:textId="77777777" w:rsidR="00B35D37" w:rsidRDefault="00B35D37" w:rsidP="00B35D37">
      <w:pPr>
        <w:pStyle w:val="TextoNormal"/>
      </w:pPr>
      <w:r>
        <w:t>En efecto, el art. 113 LEC, y en el mismo sentido el art. 225, apartado tercero, párrafo 3, LOPJ, declaran que contra el auto que resuelve un incidente de recusación no cabe recurso alguno; preceptos ambos aplicables a la recusación de los magistrados y magistradas del Tribunal Constitucional en virtud de la remisión expresa que realiza el art. 80 LOTC.</w:t>
      </w:r>
    </w:p>
    <w:p w14:paraId="47B29856" w14:textId="77777777" w:rsidR="00B35D37" w:rsidRDefault="00B35D37" w:rsidP="00B35D37">
      <w:pPr>
        <w:pStyle w:val="TextoNormal"/>
      </w:pPr>
    </w:p>
    <w:p w14:paraId="07291CA9" w14:textId="38E44553" w:rsidR="00B35D37" w:rsidRDefault="00B35D37" w:rsidP="00B35D37">
      <w:pPr>
        <w:pStyle w:val="TextoNormal"/>
      </w:pPr>
      <w:r>
        <w:t>Ahora bien, como acertadamente ponen de manifiesto los recurrentes en súplica, lo recurrido en este caso no es el auto que puso fin al incidente de recusación del magistrado señor Macías Castaño tramitado en la cuestión de inconstitucionalidad núm. 6053-2024 (ATC 6/2025). Lo recurrido es otra resolución (ATC 12/2025), por la que el Pleno del Tribunal, de oficio, acordó apartar definitivamente al magistrado don José María Macías Castaño de una serie de procesos constitucionales, entre los que se encuentran los promovidos por los hoy recurrentes en súplica, sin la previa tramitación del incidente de recusación planteado en los mismos. Se trata, pues, de una resolución diferente de la que resuelve un incidente de recusación en sentido propio, y, consecuentemente, queda sujeta a la regla general establecida en el art. 93.2 LOTC, conforme a la cual los autos que dicte el Tribunal Constitucional serán recurribles en súplica.</w:t>
      </w:r>
    </w:p>
    <w:p w14:paraId="60A5DC7B" w14:textId="77777777" w:rsidR="00B35D37" w:rsidRDefault="00B35D37" w:rsidP="00B35D37">
      <w:pPr>
        <w:pStyle w:val="TextoNormal"/>
      </w:pPr>
    </w:p>
    <w:p w14:paraId="1446C52E" w14:textId="0971F00C" w:rsidR="00B35D37" w:rsidRDefault="00B35D37" w:rsidP="00B35D37">
      <w:pPr>
        <w:pStyle w:val="TextoNormal"/>
      </w:pPr>
      <w:r w:rsidRPr="00B35D37">
        <w:rPr>
          <w:rStyle w:val="NumeroAFNegritaCaracter"/>
        </w:rPr>
        <w:t>2</w:t>
      </w:r>
      <w:r>
        <w:t>. Entrando a examinar el fondo de los recursos de súplica formulados contra el ATC 12/2025, encontramos que los argumentos esgrimidos por todos los recurrentes para solicitar la nulidad de dicha resolución, expuestos con detalle en los antecedentes de hecho, son sustancialmente idénticos: se afirma que la resolución impugnada, en cuanto se limita a realizar una extensión de efectos de la decisión adoptada en la cuestión de inconstitucionalidad núm. 6053-2024, carece de todo soporte normativo o jurisprudencial; ha sido adoptada, a instancia del fiscal general del Estado que no es parte en ninguno de los procesos constitucionales incoados por los recurrentes en súplica, en un proceso constitucional en el que ninguno de los recurrentes en súplica es parte; se ha adoptado prescindiendo por completo de las normas procesales que regulan la recusación de magistrados del Tribunal Constitucional, en particular del trámite de audiencia de las partes en el proceso afectado por la recusación. Por todo ello, se habría generado una indefensión efectiva a los recurrentes en súplica, que se han visto privados de formular alegaciones en relación con la recusación aceptada que ahora extiende sus efectos a los procesos constitucionales respectivamente iniciados por cada uno de ellos. En particular, aducen que no han podido defenderse frente al cambio de doctrina del Tribunal acerca de la interpretación y aplicación de las causas de recusación previstas en los apartados decimotercero y decimosexto del art. 219 LOPJ, ni han podido exponer las diferencias existentes entre el objeto de la cuestión de inconstitucionalidad núm. 6053-2024 (en la que fue estimada la recusación) y el objeto de los recursos de inconstitucionalidad promovidos por ellos. Consideran que estas infracciones procesales traen consigo una vulneración del derecho al juez ordinario predeterminado por la ley (art. 24.2 CE), habida cuenta de que se ha alterado arbitrariamente la composición legal del Pleno del Tribunal, llamado a conocer de sus respectivos recursos de inconstitucionalidad.</w:t>
      </w:r>
    </w:p>
    <w:p w14:paraId="2F2CD3B3" w14:textId="77777777" w:rsidR="00B35D37" w:rsidRDefault="00B35D37" w:rsidP="00B35D37">
      <w:pPr>
        <w:pStyle w:val="TextoNormal"/>
      </w:pPr>
    </w:p>
    <w:p w14:paraId="306B1654" w14:textId="77777777" w:rsidR="00B35D37" w:rsidRDefault="00B35D37" w:rsidP="00B35D37">
      <w:pPr>
        <w:pStyle w:val="TextoNormal"/>
      </w:pPr>
      <w:r w:rsidRPr="00B35D37">
        <w:rPr>
          <w:rStyle w:val="NumeroAFNegritaCaracter"/>
        </w:rPr>
        <w:t>3</w:t>
      </w:r>
      <w:r>
        <w:t>. En el examen de estas alegaciones hemos de partir de una base, invocada por los recurrentes en súplica para justificar la admisibilidad de sus respectivos recursos y confirmada en el fundamento jurídico 1: la resolución ahora recurrida en súplica no es aquella a la que se refiere el art. 225, apartado tercero, párrafo 3, LOPJ (art. 112 LEC), esto es, aquella destinada a resolver un incidente previo de recusación. Dicho de otra manera, no se recurre la decisión del incidente de recusación promovido en la cuestión de inconstitucionalidad núm. 6053-2024, que fue tramitado con escrupuloso respeto a las normas de procedimiento que regulan esta clase de incidentes y finalizó con el ATC 6/2025.</w:t>
      </w:r>
    </w:p>
    <w:p w14:paraId="35B51CF7" w14:textId="77777777" w:rsidR="00B35D37" w:rsidRDefault="00B35D37" w:rsidP="00B35D37">
      <w:pPr>
        <w:pStyle w:val="TextoNormal"/>
      </w:pPr>
    </w:p>
    <w:p w14:paraId="1C2CD087" w14:textId="77777777" w:rsidR="00B35D37" w:rsidRDefault="00B35D37" w:rsidP="00B35D37">
      <w:pPr>
        <w:pStyle w:val="TextoNormal"/>
      </w:pPr>
      <w:r>
        <w:t>Como ya se expuso con claridad en el ATC 12/2025 impugnado, el ATC 6/2025 declaró que el magistrado don José María Macías Castaño carecía de la imparcialidad exigida por el art. 22 LOTC para llevar a cabo un juicio abstracto de constitucionalidad de la Ley Orgánica 1/2024, y ello debido a su participación institucional y directa en la aprobación del informe del Consejo General del Poder Judicial sobre la proposición de dicha ley orgánica de amnistía, llevada a cabo por acuerdo del Pleno de dicho órgano de 21 de marzo de 2024, con el voto favorable del señor Macías Castaño.</w:t>
      </w:r>
    </w:p>
    <w:p w14:paraId="41580164" w14:textId="77777777" w:rsidR="00B35D37" w:rsidRDefault="00B35D37" w:rsidP="00B35D37">
      <w:pPr>
        <w:pStyle w:val="TextoNormal"/>
      </w:pPr>
    </w:p>
    <w:p w14:paraId="69914EE8" w14:textId="355DB651" w:rsidR="00B35D37" w:rsidRDefault="00B35D37" w:rsidP="00B35D37">
      <w:pPr>
        <w:pStyle w:val="TextoNormal"/>
      </w:pPr>
      <w:r>
        <w:t>Afirmamos en el ATC 6/2025 que lo recogido en dicho informe era un extenso dictamen que, a lo largo de sus 157 páginas, efectuaba un minucioso análisis de la constitucionalidad de la norma en abstracto y de los diferentes artículos que la integran de manera particular; análisis que, por su profundidad y exhaustividad, excedía del común entendimiento del vocablo “opinión” y se manifestaba como una clara toma de posición, rotundamente contraria a la constitucionalidad de la ley orgánica y de los artículos que la integran. Esa participación directa en la aprobación del informe había supuesto, además, una participación directa o indirecta en el objeto del proceso constitucional —integrado por la referida ley orgánica—, habida cuenta de que dicho informe, emitido a petición de la mesa del Senado, se incorporó al proceso legislativo y produjo en él un efecto claro y determinante, a saber, servir de sustento técnico-jurídico a la propuesta de veto núm. 2, presentada por el Grupo Parlamentario Popular en el Senado, y que resultó aprobada por el Pleno de la Cámara el día 14 de mayo de 2024, incidiendo formal y materialmente en el proceso de elaboración de la ley misma.</w:t>
      </w:r>
    </w:p>
    <w:p w14:paraId="05665703" w14:textId="77777777" w:rsidR="00B35D37" w:rsidRDefault="00B35D37" w:rsidP="00B35D37">
      <w:pPr>
        <w:pStyle w:val="TextoNormal"/>
      </w:pPr>
    </w:p>
    <w:p w14:paraId="7AF9D8F0" w14:textId="77777777" w:rsidR="00B35D37" w:rsidRDefault="00B35D37" w:rsidP="00B35D37">
      <w:pPr>
        <w:pStyle w:val="TextoNormal"/>
      </w:pPr>
      <w:r w:rsidRPr="00B35D37">
        <w:rPr>
          <w:rStyle w:val="NumeroAFNegritaCaracter"/>
        </w:rPr>
        <w:t>4</w:t>
      </w:r>
      <w:r>
        <w:t>. Como también dijimos ya en los AATC 6/2025 y 12/2025, el artículo 22 LOTC impone a los magistrados y magistradas del Tribunal Constitucional la obligación de ejercer su función de acuerdo con el principio de imparcialidad, que, conforme a una doctrina reiterada del propio Tribunal, forma parte del derecho a un proceso con todas las garantías proclamado por el art. 24.2 CE (SSTC 154/2001, de 2 de julio; 5/2004, de 16 de enero, FJ 2, y cuantas se citan en ellas). La imparcialidad y objetividad del Tribunal son presupuestos básicos del proceso debido (STC 60/1995, de 17 de marzo, FJ 3), derivados de la exigencia constitucional de actuar únicamente sometidos al imperio de la Ley (art. 117 CE), y nota esencial característica de la función jurisdiccional desempeñada por los jueces y tribunales (SSTC 133/1987, de 21 de julio, FJ 4; 150/1989, de 25 de septiembre, FJ 5; 111/1993, de 25 de marzo, FJ 6; 137/1997, de 21 de julio, FJ 6, y 162/1999, de 27 de septiembre, FJ 5). Además, el principio de imparcialidad se erige en garantía fundamental de la administración de justicia propia de un Estado de Derecho (art. 1.1 CE), dirigida a asegurar que la razón última de la decisión sea adoptada conforme al ordenamiento jurídico y por un tercero ajeno tanto a los intereses en litigio como a sus titulares (SSTC 299/1994, de 14 de noviembre, FJ 3, y 162/1999, FJ 5).</w:t>
      </w:r>
    </w:p>
    <w:p w14:paraId="69047A29" w14:textId="77777777" w:rsidR="00B35D37" w:rsidRDefault="00B35D37" w:rsidP="00B35D37">
      <w:pPr>
        <w:pStyle w:val="TextoNormal"/>
      </w:pPr>
    </w:p>
    <w:p w14:paraId="188FB8ED" w14:textId="412D31F6" w:rsidR="00B35D37" w:rsidRDefault="00B35D37" w:rsidP="00B35D37">
      <w:pPr>
        <w:pStyle w:val="TextoNormal"/>
      </w:pPr>
      <w:r>
        <w:t>Corresponde al Pleno de este Tribunal Constitucional, el deber de garantizar el debido respeto al principio de imparcialidad en su composición y en el ejercicio de la alta función que tiene atribuida por nuestro texto constitucional. Este deber se lleva a cabo, como regla general, a través de los procedimientos de abstención y recusación regulados por la Ley Orgánica del Poder Judicial y la Ley de enjuiciamiento civil, a los que remite el art. 80 LOTC. Ahora bien, el deber de garantizar que el ejercicio de esa alta función se ajusta al principio de imparcialidad es un deber de orden público, y su efectivo cumplimiento no puede quedar a la voluntad o los designios de las partes en el proceso constitucional en supuestos como el presente, cuando la pérdida objetiva de imparcialidad de uno de los integrantes del Pleno ha sido ya apreciada. Ello supone que, habiendo quedado establecida de manera expresa, firme y terminante la existencia de una tacha de parcialidad en uno de sus miembros es responsabilidad del Pleno del Tribunal evitar que quien se encuentra afectado por ella participe en aquel o aquellos procesos sobre los que objetivamente se proyecta esa tacha, en el caso de que la persona afectada no se aparte de tales procesos por iniciativa propia.</w:t>
      </w:r>
    </w:p>
    <w:p w14:paraId="733396BD" w14:textId="77777777" w:rsidR="00B35D37" w:rsidRDefault="00B35D37" w:rsidP="00B35D37">
      <w:pPr>
        <w:pStyle w:val="TextoNormal"/>
      </w:pPr>
    </w:p>
    <w:p w14:paraId="3F14AFA2" w14:textId="77777777" w:rsidR="00B35D37" w:rsidRDefault="00B35D37" w:rsidP="00B35D37">
      <w:pPr>
        <w:pStyle w:val="TextoNormal"/>
      </w:pPr>
      <w:r w:rsidRPr="00B35D37">
        <w:rPr>
          <w:rStyle w:val="NumeroAFNegritaCaracter"/>
        </w:rPr>
        <w:t>5</w:t>
      </w:r>
      <w:r>
        <w:t>. En el caso sujeto a examen encontramos que por el ATC 6/2025, el Pleno del Tribunal declaró de modo taxativo y firme que uno de sus miembros, el magistrado señor Macías Castaño, carecía de la imparcialidad objetiva exigida por la Ley Orgánica del Tribunal Constitucional para llevar a cabo el examen abstracto de constitucionalidad de la Ley Orgánica 1/2024. Esa declaración se llevó a cabo en el seno de un incidente de recusación tramitado con estricto respecto a las normas que regulan la abstención y recusación de los magistrados del Tribunal Constitucional, y con audiencia del magistrado afectado, que formuló extensas alegaciones a las que se dio cumplida respuesta en la citada resolución. La falta de imparcialidad declarada derivaba, no de circunstancias subjetivas vinculadas a las partes en ese concreto proceso constitucional, sino de factores estrictamente objetivos vinculados con lo que había de ser objeto de examen y fallo en ese proceso constitucional, a saber, el análisis abstracto de constitucionalidad de la Ley Orgánica 1/2024. Y lo que se declaró entonces de manera taxativa y firme, hemos de reiterar, es que el magistrado señor Macías Castaño carecía de la imparcialidad exigida para llevar a cabo un análisis de constitucionalidad de dicha ley orgánica debido al directo e intenso contacto que había mantenido con el proceso de elaboración de la Ley Orgánica 1/2024, y puesto que anteriormente había emitido un dictamen institucional, exhaustivo y abstracto, en el ejercicio de su anterior cargo como vocal del órgano de gobierno del Poder Judicial, exactamente acerca de las mismas materias que habría de reexaminar ahora como magistrado del Tribunal Constitucional.</w:t>
      </w:r>
    </w:p>
    <w:p w14:paraId="55A0F852" w14:textId="77777777" w:rsidR="00B35D37" w:rsidRDefault="00B35D37" w:rsidP="00B35D37">
      <w:pPr>
        <w:pStyle w:val="TextoNormal"/>
      </w:pPr>
    </w:p>
    <w:p w14:paraId="0B3D26D5" w14:textId="393C24FF" w:rsidR="00B35D37" w:rsidRDefault="00B35D37" w:rsidP="00B35D37">
      <w:pPr>
        <w:pStyle w:val="TextoNormal"/>
      </w:pPr>
      <w:r>
        <w:t>Las razones que llevaron a declarar la falta de imparcialidad del magistrado señor Macías Castaño en la cuestión de inconstitucionalidad núm. 6053-2024 no se refieren a las cuestiones concretas suscitadas en ese específico proceso constitucional. Se refieren a la posibilidad misma de que el magistrado emita de forma imparcial y sin una previa contaminación objetiva inaceptable, un nuevo juicio abstracto de constitucionalidad de la misma ley orgánica sobre la que ya se pronunció exhaustivamente y desde idénticos parámetros de análisis en el informe aprobado por el Pleno del Consejo General del Poder Judicial el día 21 de marzo de 2024. Estas razones concurren en la misma medida en todos aquellos procesos constitucionales en los que el Tribunal deba llevar a cabo la actividad concreta para la que se ha declarado la inhabilidad por parcialidad objetiva del magistrado señor Macías Castaño, esto es, en todos aquellos que tengan por objeto el análisis abstracto de constitucionalidad de la tantas veces citada Ley Orgánica 1/2024, con independencia de quien sea el sujeto que lo promueve. En esta categoría están incluidos todos los recursos y cuestiones de inconstitucionalidad a los que se refiere el ATC 12/2025.</w:t>
      </w:r>
    </w:p>
    <w:p w14:paraId="45539CEC" w14:textId="77777777" w:rsidR="00B35D37" w:rsidRDefault="00B35D37" w:rsidP="00B35D37">
      <w:pPr>
        <w:pStyle w:val="TextoNormal"/>
      </w:pPr>
    </w:p>
    <w:p w14:paraId="5052CC8C" w14:textId="77777777" w:rsidR="00B35D37" w:rsidRDefault="00B35D37" w:rsidP="00B35D37">
      <w:pPr>
        <w:pStyle w:val="TextoNormal"/>
      </w:pPr>
      <w:r w:rsidRPr="00B35D37">
        <w:rPr>
          <w:rStyle w:val="NumeroAFNegritaCaracter"/>
        </w:rPr>
        <w:t>6</w:t>
      </w:r>
      <w:r>
        <w:t>. La resolución impugnada ha sido dictada por el Pleno de este tribunal, en el ejercicio de su deber de garantizar su propia imparcialidad ante una situación inédita, en la que, declarada en firme la inhabilidad de uno de sus miembros —por falta de imparcialidad para llevar a cabo un determinado juicio de constitucionalidad— este no se aparta por iniciativa propia del conocimiento de los asuntos que tienen por objeto ese concreto juicio de constitucionalidad.</w:t>
      </w:r>
    </w:p>
    <w:p w14:paraId="631D2276" w14:textId="77777777" w:rsidR="00B35D37" w:rsidRDefault="00B35D37" w:rsidP="00B35D37">
      <w:pPr>
        <w:pStyle w:val="TextoNormal"/>
      </w:pPr>
    </w:p>
    <w:p w14:paraId="50643965" w14:textId="77777777" w:rsidR="00B35D37" w:rsidRDefault="00B35D37" w:rsidP="00B35D37">
      <w:pPr>
        <w:pStyle w:val="TextoNormal"/>
      </w:pPr>
      <w:r>
        <w:t xml:space="preserve">Como indica en su escrito de recurso el letrado del servicio jurídico del Gobierno de Cantabria, las irregularidades o anomalías procesales, de producirse, únicamente poseen relevancia constitucional si tienen una incidencia material concreta, esto es; si de ellas ha derivado finalmente una efectiva indefensión material (SSTC 6/1998, de 13 de enero; 138/1999, de 22 de julio, FJ 4, y 69/2001, de 17 de marzo, FJ 12, </w:t>
      </w:r>
      <w:r w:rsidRPr="00B35D37">
        <w:rPr>
          <w:i/>
        </w:rPr>
        <w:t>in fine</w:t>
      </w:r>
      <w:r>
        <w:t>). Y esta indefensión material que se propugna no puede ser apreciada en el caso que examinamos por las razones que pasamos a exponer.</w:t>
      </w:r>
    </w:p>
    <w:p w14:paraId="405C95DD" w14:textId="77777777" w:rsidR="00B35D37" w:rsidRDefault="00B35D37" w:rsidP="00B35D37">
      <w:pPr>
        <w:pStyle w:val="TextoNormal"/>
      </w:pPr>
    </w:p>
    <w:p w14:paraId="229C2ABB" w14:textId="77777777" w:rsidR="00B35D37" w:rsidRDefault="00B35D37" w:rsidP="00B35D37">
      <w:pPr>
        <w:pStyle w:val="TextoNormal"/>
      </w:pPr>
      <w:r>
        <w:t>En primer término, porque, como ya hemos indicado de forma reiterada, la declarada inhabilidad del magistrado señor Macías Castaño para llevar a cabo un examen abstracto de constitucionalidad de la Ley Orgánica 1/2024 por falta de imparcialidad deriva de su relación con el objeto del proceso, que no es otro que la propia ley orgánica que debe ser examinada. Esa inhabilidad concurre lógicamente en cualquier proceso que tenga por objeto el control abstracto de constitucionalidad de esa misma ley, con independencia de quien sea el sujeto que lo promueva. Sería un verdadero contrasentido jurídico que, una vez declarada la inhabilidad por falta de imparcialidad objetiva del magistrado señor Macías Castaño para llevar a cabo el control abstracto de constitucionalidad de la Ley Orgánica 1/2024 cuando este es solicitado por el Tribunal Supremo, se le permitiera, sin embargo, realizar dicho control cuando quien lo solicita es el Grupo Parlamentario Popular o los gobiernos de las comunidades autónomas.</w:t>
      </w:r>
    </w:p>
    <w:p w14:paraId="557214FC" w14:textId="77777777" w:rsidR="00B35D37" w:rsidRDefault="00B35D37" w:rsidP="00B35D37">
      <w:pPr>
        <w:pStyle w:val="TextoNormal"/>
      </w:pPr>
    </w:p>
    <w:p w14:paraId="1B814056" w14:textId="77777777" w:rsidR="00B35D37" w:rsidRDefault="00B35D37" w:rsidP="00B35D37">
      <w:pPr>
        <w:pStyle w:val="TextoNormal"/>
      </w:pPr>
      <w:r>
        <w:t>En segundo lugar, porque, frente a lo alegado en los escritos de súplica, la falta de imparcialidad del magistrado señor Macías Castaño deriva, como ya se ha reiterado insistentemente, de su participación en la aprobación y emisión de un informe institucional en el que se llevaba a cabo un minucioso análisis de la constitucionalidad de la norma en abstracto y de los diferentes artículos que la integran de manera particular, y se llegaba a una serie de conclusiones, expresadas de manera particularmente rotunda y terminante. Así se expuso con toda claridad en el ATC 6/2025. En otras palabras, la tacha de parcialidad no se limitaba en dicha resolución al examen del art. 1 de la Ley Orgánica 1/2024, como parecen haber entendido los recurrentes en súplica, sino que se extendía a la totalidad de la Ley Orgánica 1/2024 que constituye el objeto de los recursos de inconstitucionalidad por ellos promovidos.</w:t>
      </w:r>
    </w:p>
    <w:p w14:paraId="08B77160" w14:textId="77777777" w:rsidR="00B35D37" w:rsidRDefault="00B35D37" w:rsidP="00B35D37">
      <w:pPr>
        <w:pStyle w:val="TextoNormal"/>
      </w:pPr>
    </w:p>
    <w:p w14:paraId="71514F8F" w14:textId="77777777" w:rsidR="00B35D37" w:rsidRDefault="00B35D37" w:rsidP="00B35D37">
      <w:pPr>
        <w:pStyle w:val="TextoNormal"/>
      </w:pPr>
      <w:r>
        <w:t>En tercer lugar, porque en dicha resolución (FJ 4) ya se dio una extensa y minuciosa respuesta a los motivos por los que consideramos que sí debían estimarse en este caso las causas de recusación recogidas en los apartados decimotercero y decimosexto del art. 219 LOPJ, y declararse la falta de imparcialidad objetiva del magistrado, a diferencia de lo que había sucedido en casos anteriores semejantes, en los que las concretas circunstancias concurrentes llevaron a este tribunal a resolver en sentido diverso. No se trata de un cambio de doctrina sino de la aplicación de una misma doctrina a casos diversos en los que concurren circunstancias asimismo diferentes, que llevan a una solución justificadamente distinta. Ninguno de los recursos de súplica recoge entre sus alegaciones (algunas de ellas extensas y prolijas) argumentos materiales nuevos a los que no se haya dado ya respuesta en el auto recurrido en súplica, ATC 12/2025, o en el auto del que este trae causa, ATC 6/2025.</w:t>
      </w:r>
    </w:p>
    <w:p w14:paraId="00D3EC5E" w14:textId="77777777" w:rsidR="00B35D37" w:rsidRDefault="00B35D37" w:rsidP="00B35D37">
      <w:pPr>
        <w:pStyle w:val="TextoNormal"/>
      </w:pPr>
    </w:p>
    <w:p w14:paraId="2F889CC0" w14:textId="7D719AC4" w:rsidR="00B35D37" w:rsidRDefault="00B35D37" w:rsidP="00B35D37">
      <w:pPr>
        <w:pStyle w:val="TextoNormal"/>
      </w:pPr>
      <w:r>
        <w:t>En definitiva, las formales invocaciones de indefensión recogidas en los recursos de súplica, a través de los cuales los recurrentes contradicen e impugnan la extensión de efectos acordada, no van acompañadas de una argumentación en la que, de manera fundada y razonable, se exponga cuál es exactamente la indefensión material padecida y en qué modo las razones que podrían haber invocado con carácter previo al dictado del auto recurrido podrían haber alterado o matizado el sentido de la decisión contenida en él, o de los argumentos que condujeron a ella.</w:t>
      </w:r>
    </w:p>
    <w:p w14:paraId="0373D781" w14:textId="77777777" w:rsidR="00B35D37" w:rsidRDefault="00B35D37" w:rsidP="00B35D37">
      <w:pPr>
        <w:pStyle w:val="TextoNormal"/>
      </w:pPr>
    </w:p>
    <w:p w14:paraId="7D2FDD82" w14:textId="77777777" w:rsidR="00B35D37" w:rsidRDefault="00B35D37" w:rsidP="00B35D37">
      <w:pPr>
        <w:pStyle w:val="TextoNormal"/>
      </w:pPr>
      <w:r w:rsidRPr="00B35D37">
        <w:rPr>
          <w:rStyle w:val="NumeroAFNegritaCaracter"/>
        </w:rPr>
        <w:t>7</w:t>
      </w:r>
      <w:r>
        <w:t>. El apartamiento del magistrado señor Macías Castaño de los procesos constitucionales promovidos por los recurrentes en súplica no es arbitrario ni injustificado, como alegan estos para fundamentar la invocada vulneración de su derecho al juez ordinario predeterminado por la ley. Por el contrario, se trata de una decisión adoptada de oficio por el Pleno del Tribunal en el cumplimiento de su deber de garantizar la imparcialidad en el ejercicio de la función que tiene encomendada por la Constitución, en los términos que exige el art. 22 LOTC, una vez declarada en firme, y con arreglo al procedimiento legalmente establecido al efecto, la tacha objetiva de parcialidad que afecta a dicho magistrado para llevar a cabo el control abstracto de constitucionalidad de la Ley Orgánica 1/2024.</w:t>
      </w:r>
    </w:p>
    <w:p w14:paraId="48D30532" w14:textId="77777777" w:rsidR="00B35D37" w:rsidRDefault="00B35D37" w:rsidP="00B35D37">
      <w:pPr>
        <w:pStyle w:val="TextoNormal"/>
      </w:pPr>
    </w:p>
    <w:p w14:paraId="5C2E2BAE" w14:textId="6F169407" w:rsidR="00B35D37" w:rsidRDefault="00B35D37" w:rsidP="00B35D37">
      <w:pPr>
        <w:pStyle w:val="TextoNormal"/>
      </w:pPr>
      <w:r>
        <w:t>Se trata, por lo demás, de una decisión extensamente justificada a través de tres resoluciones, en las que se ha ido dando respuesta a todas y cada una de las alegaciones formuladas tanto por el propio magistrado afectado como por todas aquellas partes procesales que así lo han interesado. No cabe, en consecuencia, apreciar vulneración alguna del derecho al juez ordinario predeterminado por la ley, en lo que se refiere a la composición del Pleno que habrá de examinar dichas cuestiones y recursos de inconstitucionalidad (art. 24.2 CE).</w:t>
      </w:r>
    </w:p>
    <w:p w14:paraId="51442C96" w14:textId="77777777" w:rsidR="00B35D37" w:rsidRDefault="00B35D37" w:rsidP="00B35D37">
      <w:pPr>
        <w:pStyle w:val="TextoNormal"/>
      </w:pPr>
    </w:p>
    <w:p w14:paraId="2DEDAD18" w14:textId="331B0837" w:rsidR="00B35D37" w:rsidRDefault="00B35D37" w:rsidP="00B35D37">
      <w:pPr>
        <w:pStyle w:val="TextoNormal"/>
      </w:pPr>
      <w:r w:rsidRPr="00B35D37">
        <w:rPr>
          <w:rStyle w:val="NumeroAFNegritaCaracter"/>
        </w:rPr>
        <w:t>8</w:t>
      </w:r>
      <w:r>
        <w:t>. Resta por dar respuesta a la petición de rectificación deducida por el fiscal general del Estado en su escrito de alegaciones. Considera que la inclusión de la cuestión de inconstitucionalidad núm. 6053-2024 entre las recusaciones que pierden objeto como consecuencia del apartamiento del magistrado señor Macías Castaño obedece a un error material habida cuenta de que fue precisamente esa recusación la que quedó resuelta a través del ATC 6/2025. Efectivamente, el ATC 6/2025 dio respuesta a la recusación propuesta en dicho procedimiento por el fiscal general del Estado. Ahora bien, existía en la cuestión de inconstitucionalidad núm. 6053-2025 otra recusación propuesta en tiempo y forma por el abogado del Estado, a la que no se había dado respuesta cuando se dictó el ATC 12/2025. A esta segunda recusación, presentada por el abogado del Estado el día 20 de septiembre de 2024, se refiere la parte dispositiva del ATC 12/2025, por lo que no existe error material alguno.</w:t>
      </w:r>
    </w:p>
    <w:p w14:paraId="212D03C8" w14:textId="77777777" w:rsidR="00B35D37" w:rsidRDefault="00B35D37" w:rsidP="00B35D37">
      <w:pPr>
        <w:pStyle w:val="TextoNormal"/>
      </w:pPr>
    </w:p>
    <w:p w14:paraId="209D90C7" w14:textId="77777777" w:rsidR="00B35D37" w:rsidRDefault="00B35D37" w:rsidP="00B35D37">
      <w:pPr>
        <w:pStyle w:val="TextoNormal"/>
      </w:pPr>
      <w:r>
        <w:t>En consecuencia, y por las razones expuestas, el Pleno</w:t>
      </w:r>
    </w:p>
    <w:p w14:paraId="55BC8919" w14:textId="3CE46258" w:rsidR="00B35D37" w:rsidRDefault="00B35D37" w:rsidP="00B35D37">
      <w:pPr>
        <w:pStyle w:val="TextoNormal"/>
      </w:pPr>
    </w:p>
    <w:p w14:paraId="6044903A" w14:textId="77777777" w:rsidR="00B35D37" w:rsidRDefault="00B35D37" w:rsidP="00B35D37">
      <w:pPr>
        <w:pStyle w:val="TextoNormalCentrado"/>
      </w:pPr>
      <w:r>
        <w:t>ACUERDA</w:t>
      </w:r>
    </w:p>
    <w:p w14:paraId="63B9A3F8" w14:textId="63D43D67" w:rsidR="00B35D37" w:rsidRDefault="00B35D37" w:rsidP="00B35D37">
      <w:pPr>
        <w:pStyle w:val="TextoNormalCentrado"/>
      </w:pPr>
    </w:p>
    <w:p w14:paraId="5A4E1C0F" w14:textId="77777777" w:rsidR="00B35D37" w:rsidRDefault="00B35D37" w:rsidP="00B35D37">
      <w:pPr>
        <w:pStyle w:val="TextoNormal"/>
      </w:pPr>
      <w:r>
        <w:t>Desestimar los recursos de súplica formulados por el Grupo Parlamentario Popular y por los consejos de gobierno de las comunidades autónomas de Madrid, Illes Balears, Región de Murcia, La Rioja, Castilla y León, Aragón, Galicia, Extremadura, Comunitat Valenciana, Cantabria y Andalucía, contra el ATC 12/2025, de 29 de enero.</w:t>
      </w:r>
    </w:p>
    <w:p w14:paraId="2726CD12" w14:textId="77777777" w:rsidR="00B35D37" w:rsidRDefault="00B35D37" w:rsidP="00B35D37">
      <w:pPr>
        <w:pStyle w:val="TextoNormal"/>
      </w:pPr>
    </w:p>
    <w:p w14:paraId="36BEA82E" w14:textId="1695E05E" w:rsidR="00B35D37" w:rsidRDefault="00B35D37" w:rsidP="00B35D37">
      <w:pPr>
        <w:pStyle w:val="TextoNormal"/>
      </w:pPr>
      <w:r>
        <w:t>Llévese testimonio de esta resolución a cada uno de los procesos a los que se refiere. Y notifíquese a las partes personadas.</w:t>
      </w:r>
    </w:p>
    <w:p w14:paraId="71CF4931" w14:textId="77777777" w:rsidR="00B35D37" w:rsidRDefault="00B35D37" w:rsidP="00B35D37">
      <w:pPr>
        <w:pStyle w:val="TextoNormal"/>
      </w:pPr>
    </w:p>
    <w:p w14:paraId="7AA6E57F" w14:textId="77777777" w:rsidR="00B35D37" w:rsidRDefault="00B35D37" w:rsidP="00B35D37">
      <w:pPr>
        <w:pStyle w:val="TextoNormal"/>
      </w:pPr>
      <w:r>
        <w:t>Madrid, a trece de mayo de dos mil veinticinco.</w:t>
      </w:r>
    </w:p>
    <w:p w14:paraId="517B38C4" w14:textId="7F3DA319" w:rsidR="00B35D37" w:rsidRDefault="00B35D37" w:rsidP="00B35D37">
      <w:pPr>
        <w:pStyle w:val="ParrafoNormal"/>
      </w:pPr>
    </w:p>
    <w:p w14:paraId="6187740C" w14:textId="77777777" w:rsidR="00B35D37" w:rsidRDefault="00B35D37" w:rsidP="00B35D37">
      <w:pPr>
        <w:pStyle w:val="TextoNormalNegritaCentrado"/>
        <w:keepNext/>
      </w:pPr>
      <w:r>
        <w:t>Voto particular que formula el magistrado don Ricardo Enríquez Sancho al auto dictado en la cuestión de inconstitucionalidad núm. 6053-2024, resolviendo los recursos de súplica interpuestos contra el auto que acordó la extensión de efectos de la recusación del magistrado don José María Macías Castaño a otros procesos distintos</w:t>
      </w:r>
    </w:p>
    <w:p w14:paraId="5A33E69A" w14:textId="0E54AD42" w:rsidR="00B35D37" w:rsidRDefault="00B35D37" w:rsidP="00B35D37">
      <w:pPr>
        <w:pStyle w:val="TextoNormalNegritaCentrado"/>
        <w:keepNext/>
      </w:pPr>
    </w:p>
    <w:p w14:paraId="06B09F3C" w14:textId="77777777" w:rsidR="00B35D37" w:rsidRDefault="00B35D37" w:rsidP="00B35D37">
      <w:pPr>
        <w:pStyle w:val="TextoNormal"/>
      </w:pPr>
      <w:r>
        <w:t>En el ejercicio de la facultad que me confiere el artículo 90.2 LOTC, y con el máximo respeto a la opinión de la mayoría, formulo el presente voto particular para exponer las razones por las que considero que los recursos de súplica interpuestos contra el ATC 12/2025 debieron ser estimados.</w:t>
      </w:r>
    </w:p>
    <w:p w14:paraId="71377422" w14:textId="77777777" w:rsidR="00B35D37" w:rsidRDefault="00B35D37" w:rsidP="00B35D37">
      <w:pPr>
        <w:pStyle w:val="TextoNormal"/>
      </w:pPr>
    </w:p>
    <w:p w14:paraId="0092AF6D" w14:textId="77777777" w:rsidR="00B35D37" w:rsidRDefault="00B35D37" w:rsidP="00B35D37">
      <w:pPr>
        <w:pStyle w:val="TextoNormal"/>
      </w:pPr>
      <w:r>
        <w:t xml:space="preserve">1. </w:t>
      </w:r>
      <w:r w:rsidRPr="00B35D37">
        <w:rPr>
          <w:i/>
        </w:rPr>
        <w:t>Consideraciones previas</w:t>
      </w:r>
    </w:p>
    <w:p w14:paraId="10BB3453" w14:textId="77777777" w:rsidR="00B35D37" w:rsidRDefault="00B35D37" w:rsidP="00B35D37">
      <w:pPr>
        <w:pStyle w:val="TextoNormal"/>
      </w:pPr>
    </w:p>
    <w:p w14:paraId="1DB7D12D" w14:textId="77777777" w:rsidR="00B35D37" w:rsidRDefault="00B35D37" w:rsidP="00B35D37">
      <w:pPr>
        <w:pStyle w:val="TextoNormal"/>
      </w:pPr>
      <w:r>
        <w:t>Como cuestión previa, y comoquiera que a través del auto que ahora se confirma se extienden indebidamente los efectos de la recusación aprobada en el Pleno celebrado el pasado día 15 de enero en la cuestión de inconstitucionalidad núm. 6053-2024, debo indicar que subsisten las razones de fondo y de forma expresadas en el voto particular formulado contra el ATC 6/2025 (así como las que, por remisión a este último, se hicieron constar en el voto particular formulado contra el ATC 12/2025).</w:t>
      </w:r>
    </w:p>
    <w:p w14:paraId="4F68C1E4" w14:textId="77777777" w:rsidR="00B35D37" w:rsidRDefault="00B35D37" w:rsidP="00B35D37">
      <w:pPr>
        <w:pStyle w:val="TextoNormal"/>
      </w:pPr>
    </w:p>
    <w:p w14:paraId="24A66DC3" w14:textId="77777777" w:rsidR="00B35D37" w:rsidRDefault="00B35D37" w:rsidP="00B35D37">
      <w:pPr>
        <w:pStyle w:val="TextoNormal"/>
      </w:pPr>
      <w:r>
        <w:t xml:space="preserve">2. </w:t>
      </w:r>
      <w:r w:rsidRPr="00B35D37">
        <w:rPr>
          <w:i/>
        </w:rPr>
        <w:t>Planteamiento</w:t>
      </w:r>
    </w:p>
    <w:p w14:paraId="2B3E0911" w14:textId="77777777" w:rsidR="00B35D37" w:rsidRDefault="00B35D37" w:rsidP="00B35D37">
      <w:pPr>
        <w:pStyle w:val="TextoNormal"/>
      </w:pPr>
    </w:p>
    <w:p w14:paraId="0E643FF6" w14:textId="77777777" w:rsidR="00B35D37" w:rsidRDefault="00B35D37" w:rsidP="00B35D37">
      <w:pPr>
        <w:pStyle w:val="TextoNormal"/>
      </w:pPr>
      <w:r>
        <w:t>Centrándome ya en el auto que resuelve los recursos de súplica interpuestos por el Grupo Parlamentario Popular y por los consejos de gobierno de las comunidades autónomas de Madrid, Islas Baleares, la Región de Murcia, La Rioja, Castilla y León, Aragón, Galicia, Extremadura, Valencia, Cantabria y Andalucía contra el ATC 12/2025, son varias las razones que justifican mi discrepancia. En parte, expuestas ya en mi anterior voto particular formulado contra el citado ATC 12/2025, que ahora se confirma.</w:t>
      </w:r>
    </w:p>
    <w:p w14:paraId="2A6BE8B0" w14:textId="77777777" w:rsidR="00B35D37" w:rsidRDefault="00B35D37" w:rsidP="00B35D37">
      <w:pPr>
        <w:pStyle w:val="TextoNormal"/>
      </w:pPr>
    </w:p>
    <w:p w14:paraId="573896A2" w14:textId="77777777" w:rsidR="00B35D37" w:rsidRDefault="00B35D37" w:rsidP="00B35D37">
      <w:pPr>
        <w:pStyle w:val="TextoNormal"/>
      </w:pPr>
      <w:r>
        <w:t xml:space="preserve">3. </w:t>
      </w:r>
      <w:r w:rsidRPr="00B35D37">
        <w:rPr>
          <w:i/>
        </w:rPr>
        <w:t>Déficit de motivación y congruencia</w:t>
      </w:r>
    </w:p>
    <w:p w14:paraId="29D43857" w14:textId="77777777" w:rsidR="00B35D37" w:rsidRDefault="00B35D37" w:rsidP="00B35D37">
      <w:pPr>
        <w:pStyle w:val="TextoNormal"/>
      </w:pPr>
    </w:p>
    <w:p w14:paraId="4C8A618C" w14:textId="77777777" w:rsidR="00B35D37" w:rsidRDefault="00B35D37" w:rsidP="00B35D37">
      <w:pPr>
        <w:pStyle w:val="TextoNormal"/>
      </w:pPr>
      <w:r>
        <w:t>Desde la perspectiva de la necesaria motivación y congruencia exigida a las resoluciones judiciales, debe advertirse que no se ha contestado a las varias objeciones formuladas por las partes (aparecen resumidas en el antecedente primero y, en parte, en el fundamento jurídico segundo, del auto que ahora nos ocupa), gran parte de ellas vinculadas con la improcedencia de la acumulación de incidentes de recusación y/o extensión de los efectos de la estimación de una recusación apreciada en un procedimiento distinto. Como también llama la atención la absoluta falta de respuesta a la objeción formulada (véase el antecedente noveno) por varios de los comparecientes en el trámite de alegaciones conferido al efecto en relación con su petición de que los varios recursos de súplica se tramitasen y resolvieran de forma independiente en el seno de los correspondientes recursos de inconstitucionalidad y no —como se hace— de forma acumulada en el seno de la cuestión de inconstitucionalidad núm. 6053-2024. Y no se ha contestado, sencillamente, porque dicha acumulación (o extensión de efectos) no era procedente ni posible.</w:t>
      </w:r>
    </w:p>
    <w:p w14:paraId="1F745773" w14:textId="77777777" w:rsidR="00B35D37" w:rsidRDefault="00B35D37" w:rsidP="00B35D37">
      <w:pPr>
        <w:pStyle w:val="TextoNormal"/>
      </w:pPr>
    </w:p>
    <w:p w14:paraId="348FF8A2" w14:textId="77777777" w:rsidR="00B35D37" w:rsidRDefault="00B35D37" w:rsidP="00B35D37">
      <w:pPr>
        <w:pStyle w:val="TextoNormal"/>
      </w:pPr>
      <w:r>
        <w:t xml:space="preserve">4. </w:t>
      </w:r>
      <w:r w:rsidRPr="00B35D37">
        <w:rPr>
          <w:i/>
        </w:rPr>
        <w:t>Sobre la indebida extensión de efectos de la recusación estimada en el seno de la cuestión de inconstitucionalidad núm. 6053-2024</w:t>
      </w:r>
    </w:p>
    <w:p w14:paraId="0F4F6974" w14:textId="77777777" w:rsidR="00B35D37" w:rsidRDefault="00B35D37" w:rsidP="00B35D37">
      <w:pPr>
        <w:pStyle w:val="TextoNormal"/>
      </w:pPr>
    </w:p>
    <w:p w14:paraId="1A0E1296" w14:textId="77777777" w:rsidR="00B35D37" w:rsidRDefault="00B35D37" w:rsidP="00B35D37">
      <w:pPr>
        <w:pStyle w:val="TextoNormal"/>
      </w:pPr>
      <w:r>
        <w:t>Dicho esto, y como ya expuse en mi anterior voto particular, y ahora profundizo en ello, la decisión de extender los efectos de la recusación aprobada en el seno de la cuestión de inconstitucionalidad núm. 6053-2024 a otros procesos distintos merece los siguientes reproches:</w:t>
      </w:r>
    </w:p>
    <w:p w14:paraId="799DECFD" w14:textId="77777777" w:rsidR="00B35D37" w:rsidRDefault="00B35D37" w:rsidP="00B35D37">
      <w:pPr>
        <w:pStyle w:val="TextoNormal"/>
      </w:pPr>
    </w:p>
    <w:p w14:paraId="2F57F16E" w14:textId="77777777" w:rsidR="00B35D37" w:rsidRDefault="00B35D37" w:rsidP="00B35D37">
      <w:pPr>
        <w:pStyle w:val="TextoNormal"/>
      </w:pPr>
      <w:r>
        <w:t>4.1. Se trata de una decisión que carece de cobertura legal. El auto del que discrepo no hace el menor esfuerzo en justificar su fundamento legal. El artículo 22 LOTC, que impone a los magistrados del Tribunal Constitucional el deber de ejercer su función de acuerdo con los principios de imparcialidad y dignidad inherentes a la misma, no autoriza a que el apartamiento definitivo de un magistrado del conocimiento de determinados procesos constitucionales pueda obtenerse fuera de los procedimientos establecidos para ello (abstención y recusación). Y mucho menos a que ese apartamiento se haga con manifiesta desatención y vulneración de los derechos y garantías de las partes, y del magistrado recusado.</w:t>
      </w:r>
    </w:p>
    <w:p w14:paraId="363711FC" w14:textId="77777777" w:rsidR="00B35D37" w:rsidRDefault="00B35D37" w:rsidP="00B35D37">
      <w:pPr>
        <w:pStyle w:val="TextoNormal"/>
      </w:pPr>
    </w:p>
    <w:p w14:paraId="5B18EEA7" w14:textId="77777777" w:rsidR="00B35D37" w:rsidRDefault="00B35D37" w:rsidP="00B35D37">
      <w:pPr>
        <w:pStyle w:val="TextoNormal"/>
      </w:pPr>
      <w:r>
        <w:t>4.2. La decisión de extender los efectos de la recusación a otros procesos distintos se ha tomado, bien partiendo de la recusación promovida —con éxito— por el fiscal general del Estado en el seno de la cuestión de inconstitucionalidad núm. 6053-2024, bien de oficio por el Tribunal Constitucional (así lo dice el auto en su fundamento jurídico 7). En ambos casos, la decisión examinada es de todo punto inadmisible.</w:t>
      </w:r>
    </w:p>
    <w:p w14:paraId="1917D7A2" w14:textId="77777777" w:rsidR="00B35D37" w:rsidRDefault="00B35D37" w:rsidP="00B35D37">
      <w:pPr>
        <w:pStyle w:val="TextoNormal"/>
      </w:pPr>
    </w:p>
    <w:p w14:paraId="2AFD2A5A" w14:textId="77777777" w:rsidR="00B35D37" w:rsidRDefault="00B35D37" w:rsidP="00B35D37">
      <w:pPr>
        <w:pStyle w:val="TextoNormal"/>
      </w:pPr>
      <w:r>
        <w:t>En efecto:</w:t>
      </w:r>
    </w:p>
    <w:p w14:paraId="5AFC746A" w14:textId="77777777" w:rsidR="00B35D37" w:rsidRDefault="00B35D37" w:rsidP="00B35D37">
      <w:pPr>
        <w:pStyle w:val="TextoNormal"/>
      </w:pPr>
    </w:p>
    <w:p w14:paraId="720A9C0E" w14:textId="77777777" w:rsidR="00B35D37" w:rsidRDefault="00B35D37" w:rsidP="00B35D37">
      <w:pPr>
        <w:pStyle w:val="TextoNormal"/>
      </w:pPr>
      <w:r>
        <w:t>a) Se extienden los efectos de una recusación promovida por el fiscal general del Estado —y estimada en el seno de la cuestión de inconstitucionalidad núm. 6053-2024— a procesos en los que el citado órgano no está legitimado para impetrar la recusación.</w:t>
      </w:r>
    </w:p>
    <w:p w14:paraId="70BEFA25" w14:textId="77777777" w:rsidR="00B35D37" w:rsidRDefault="00B35D37" w:rsidP="00B35D37">
      <w:pPr>
        <w:pStyle w:val="TextoNormal"/>
      </w:pPr>
    </w:p>
    <w:p w14:paraId="7E5EEDAC" w14:textId="77777777" w:rsidR="00B35D37" w:rsidRDefault="00B35D37" w:rsidP="00B35D37">
      <w:pPr>
        <w:pStyle w:val="TextoNormal"/>
      </w:pPr>
      <w:r>
        <w:t xml:space="preserve">b) Se adopta de oficio una recusación por el Tribunal en otros procesos constitucionales (especialmente en los procesos en que el fiscal general del Estado carece de legitimación, en los que no se había siquiera formulado recusación por las partes), desdibujando por completo la figura de la recusación, en la que su ejercicio siempre es a iniciativa de parte (arts. 101 y 107 LEC, y 218 y 223 LOPJ). Decisión que, además de no contar con la preceptiva cobertura legal, atenta contra el concepto mismo de imparcialidad judicial en la medida en que es el propio Tribunal quien acuerda promover y resolver el incidente de recusación (STC 162/1999, FJ 5, con cita también de las SSTEDH de 22 de junio de 1989, asunto </w:t>
      </w:r>
      <w:r w:rsidRPr="00B35D37">
        <w:rPr>
          <w:i/>
        </w:rPr>
        <w:t>Langborger c. Suecia</w:t>
      </w:r>
      <w:r>
        <w:t xml:space="preserve">; de 25 de noviembre de 1993, asunto </w:t>
      </w:r>
      <w:r w:rsidRPr="00B35D37">
        <w:rPr>
          <w:i/>
        </w:rPr>
        <w:t>Holm c. Suecia</w:t>
      </w:r>
      <w:r>
        <w:t xml:space="preserve">, y de 20 de mayo de 1998, asunto </w:t>
      </w:r>
      <w:r w:rsidRPr="00B35D37">
        <w:rPr>
          <w:i/>
        </w:rPr>
        <w:t>Gautrin y otros c. Francia</w:t>
      </w:r>
      <w:r>
        <w:t>). Es decir, el propio Tribunal Constitucional se está convirtiendo en juez y parte en el conflicto que somete a su consideración.</w:t>
      </w:r>
    </w:p>
    <w:p w14:paraId="5AB4CE2A" w14:textId="77777777" w:rsidR="00B35D37" w:rsidRDefault="00B35D37" w:rsidP="00B35D37">
      <w:pPr>
        <w:pStyle w:val="TextoNormal"/>
      </w:pPr>
    </w:p>
    <w:p w14:paraId="357E459C" w14:textId="77777777" w:rsidR="00B35D37" w:rsidRDefault="00B35D37" w:rsidP="00B35D37">
      <w:pPr>
        <w:pStyle w:val="TextoNormal"/>
      </w:pPr>
      <w:r>
        <w:t>4.3. La decisión de extender los efectos de la recusación a otros procesos distintos se ha dictado prescindiendo total y absolutamente del procedimiento legalmente establecido (conforme a la regulación de la recusación contenida en los arts. 107 y ss. LEC, y 217 y ss. LOPJ, aplicable</w:t>
      </w:r>
      <w:r w:rsidRPr="00B35D37">
        <w:rPr>
          <w:i/>
        </w:rPr>
        <w:t xml:space="preserve">s </w:t>
      </w:r>
      <w:r>
        <w:t>ex art. 80 LOTC). Así:</w:t>
      </w:r>
    </w:p>
    <w:p w14:paraId="0C56AE20" w14:textId="77777777" w:rsidR="00B35D37" w:rsidRDefault="00B35D37" w:rsidP="00B35D37">
      <w:pPr>
        <w:pStyle w:val="TextoNormal"/>
      </w:pPr>
    </w:p>
    <w:p w14:paraId="30FF9575" w14:textId="77777777" w:rsidR="00B35D37" w:rsidRDefault="00B35D37" w:rsidP="00B35D37">
      <w:pPr>
        <w:pStyle w:val="TextoNormal"/>
      </w:pPr>
      <w:r>
        <w:t>a) La decisión, como ya se dijo, se adopta bien a iniciativa de un órgano que carece de legitimación para impetrar la recusación en otros procesos constitucionales, bien de oficio, o a iniciativa del propio Tribunal.</w:t>
      </w:r>
    </w:p>
    <w:p w14:paraId="4934DCFB" w14:textId="77777777" w:rsidR="00B35D37" w:rsidRDefault="00B35D37" w:rsidP="00B35D37">
      <w:pPr>
        <w:pStyle w:val="TextoNormal"/>
      </w:pPr>
    </w:p>
    <w:p w14:paraId="42308ADB" w14:textId="77777777" w:rsidR="00B35D37" w:rsidRDefault="00B35D37" w:rsidP="00B35D37">
      <w:pPr>
        <w:pStyle w:val="TextoNormal"/>
      </w:pPr>
      <w:r>
        <w:t>b) La decisión se adopta liminarmente, sin tramitar el correspondiente procedimiento o incidente.</w:t>
      </w:r>
    </w:p>
    <w:p w14:paraId="03957071" w14:textId="77777777" w:rsidR="00B35D37" w:rsidRDefault="00B35D37" w:rsidP="00B35D37">
      <w:pPr>
        <w:pStyle w:val="TextoNormal"/>
      </w:pPr>
    </w:p>
    <w:p w14:paraId="0E046195" w14:textId="77777777" w:rsidR="00B35D37" w:rsidRDefault="00B35D37" w:rsidP="00B35D37">
      <w:pPr>
        <w:pStyle w:val="TextoNormal"/>
      </w:pPr>
      <w:r>
        <w:t>c) La decisión se adopta, en esos otros procesos constitucionales, sin oír a las partes ni al magistrado recusado.</w:t>
      </w:r>
    </w:p>
    <w:p w14:paraId="4605FF34" w14:textId="77777777" w:rsidR="00B35D37" w:rsidRDefault="00B35D37" w:rsidP="00B35D37">
      <w:pPr>
        <w:pStyle w:val="TextoNormal"/>
      </w:pPr>
    </w:p>
    <w:p w14:paraId="6FEBBA9A" w14:textId="77777777" w:rsidR="00B35D37" w:rsidRDefault="00B35D37" w:rsidP="00B35D37">
      <w:pPr>
        <w:pStyle w:val="TextoNormal"/>
      </w:pPr>
      <w:r>
        <w:t>4.4. La decisión de la que discrepo es abiertamente contraria a la doctrina constitucional que mantiene el carácter restrictivo que el alcance de toda recusación debe tener (ATC 261/2007, de 24 de mayo, FJ 3).</w:t>
      </w:r>
    </w:p>
    <w:p w14:paraId="7F48003D" w14:textId="77777777" w:rsidR="00B35D37" w:rsidRDefault="00B35D37" w:rsidP="00B35D37">
      <w:pPr>
        <w:pStyle w:val="TextoNormal"/>
      </w:pPr>
    </w:p>
    <w:p w14:paraId="0C65C2D5" w14:textId="77777777" w:rsidR="00B35D37" w:rsidRDefault="00B35D37" w:rsidP="00B35D37">
      <w:pPr>
        <w:pStyle w:val="TextoNormal"/>
      </w:pPr>
      <w:r>
        <w:t xml:space="preserve">4.5. La decisión recurrida, y que el auto ahora confirma, vulnera el derecho al juez imparcial, que forma parte del derecho fundamental a un proceso público con todas las garantías proclamado en el art. 24.2 CE y en el art. 6.1 CEDH (entre otras, SSTC 113/1987, de 3 de julio, FJ 2, y 145/1988, de 12 de julio, FJ 5; y SSTEDH de 6 de enero de 2010, asunto </w:t>
      </w:r>
      <w:r w:rsidRPr="00B35D37">
        <w:rPr>
          <w:i/>
        </w:rPr>
        <w:t>Vera Fernández-Huidobro c. España</w:t>
      </w:r>
      <w:r>
        <w:t xml:space="preserve">, y de 6 de noviembre de 2018, asunto </w:t>
      </w:r>
      <w:r w:rsidRPr="00B35D37">
        <w:rPr>
          <w:i/>
        </w:rPr>
        <w:t>Otegi Mondragón y otros c. España</w:t>
      </w:r>
      <w:r>
        <w:t>). Además, y en estrecha vinculación con lo anterior, la decisión ha privado a las partes de intervenir en el incidente de recusación (cuyos efectos después se extienden indebidamente), sin posibilidad real de alegar o proponer prueba en relación con la concurrencia de la tacha de parcialidad o el carácter extemporáneo de la recusación formulada por el fiscal general del Estado, debiendo recordar que las garantías establecidas en el art. 24 CE son aplicables a todas las partes en el proceso (ATC 112/1991, de 11 de abril, FJ 2), y sin que dicha irregularidad procesal pueda ser subsanada una vez dictado un auto que es por imperativo legal irrecurrible (</w:t>
      </w:r>
      <w:r w:rsidRPr="00B35D37">
        <w:rPr>
          <w:i/>
        </w:rPr>
        <w:t>cfr</w:t>
      </w:r>
      <w:r>
        <w:t xml:space="preserve">. arts. 113 LEC y 228.3 LOPJ, aplicables </w:t>
      </w:r>
      <w:r w:rsidRPr="00B35D37">
        <w:rPr>
          <w:i/>
        </w:rPr>
        <w:t>ex</w:t>
      </w:r>
      <w:r>
        <w:t xml:space="preserve"> art. 80 LOTC) a través de un recurso de súplica que, en correcta técnica procesal, solo podía circunscribirse ya a la decisión de extender los efectos operada por el auto 12/2025.</w:t>
      </w:r>
    </w:p>
    <w:p w14:paraId="328C2B87" w14:textId="77777777" w:rsidR="00B35D37" w:rsidRDefault="00B35D37" w:rsidP="00B35D37">
      <w:pPr>
        <w:pStyle w:val="TextoNormal"/>
      </w:pPr>
    </w:p>
    <w:p w14:paraId="3B6D13C7" w14:textId="77777777" w:rsidR="00B35D37" w:rsidRDefault="00B35D37" w:rsidP="00B35D37">
      <w:pPr>
        <w:pStyle w:val="TextoNormal"/>
      </w:pPr>
      <w:r>
        <w:t>4.6. Dicha decisión, por ello, supone algo más que una mera infracción o irregularidad procesal (como parece dar a entender el auto analizado en sus fundamentos jurídicos 6 y 7). Constituye una vulneración manifiesta de varios derechos y garantías fundamentales, y, señaladamente, el derecho a un juez imparcial, situado dentro del derecho a un proceso judicial con todas las garantías (art. 24.2 CE) y derecho a un juicio justo (art. 6.1 CEDH). Derecho que el propio Tribunal no ha dudado en calificar como “una garantía fundamental del sistema de justicia”. Así, bajo este título, dice la STC 106/2021, de 11 de mayo, FJ 5.1.1 a), que “[e]ste tribunal ha afirmado que el derecho a un juez imparcial ‘constituye una garantía fundamental de la administración de justicia en un Estado de Derecho que condiciona su existencia misma, ya que sin juez imparcial no hay, propiamente, proceso jurisdiccional’”. Derecho que se predica de todas las partes en el proceso y que, en un correcto entendimiento de las cosas, debe llevar también a garantizar que un magistrado no es apartado ilegal o irregularmente del conocimiento del procedimiento.</w:t>
      </w:r>
    </w:p>
    <w:p w14:paraId="2D0479AC" w14:textId="77777777" w:rsidR="00B35D37" w:rsidRDefault="00B35D37" w:rsidP="00B35D37">
      <w:pPr>
        <w:pStyle w:val="TextoNormal"/>
      </w:pPr>
    </w:p>
    <w:p w14:paraId="1EB26C61" w14:textId="77777777" w:rsidR="00B35D37" w:rsidRDefault="00B35D37" w:rsidP="00B35D37">
      <w:pPr>
        <w:pStyle w:val="TextoNormal"/>
      </w:pPr>
      <w:r>
        <w:t>Es más, aun asumiendo —por seguir el planteamiento del auto— que se tratase de una infracción procesal, el Tribunal Constitucional [entre otras, STC 91/2021, de 22 de abril, FJ 5.7.3 b)] considera que igualmente adquiere relevancia constitucional la irregularidad o infracción de las normas procesales que, aun sin causar indefensión material, suponen una quiebra de las garantías esenciales del proceso justo. Y qué duda cabe, por las razones expresadas en el presente voto particular, que la garantía de un juez imparcial (a cuya salvaguardia responden precisamente la recusación y abstención) ha sido claramente vulnerada.</w:t>
      </w:r>
    </w:p>
    <w:p w14:paraId="6ADE2713" w14:textId="77777777" w:rsidR="00B35D37" w:rsidRDefault="00B35D37" w:rsidP="00B35D37">
      <w:pPr>
        <w:pStyle w:val="TextoNormal"/>
      </w:pPr>
    </w:p>
    <w:p w14:paraId="4D99990E" w14:textId="77777777" w:rsidR="00B35D37" w:rsidRDefault="00B35D37" w:rsidP="00B35D37">
      <w:pPr>
        <w:pStyle w:val="TextoNormal"/>
      </w:pPr>
      <w:r>
        <w:t>Y en tal sentido emito este voto particular.</w:t>
      </w:r>
    </w:p>
    <w:p w14:paraId="2465A642" w14:textId="77777777" w:rsidR="00B35D37" w:rsidRDefault="00B35D37" w:rsidP="00B35D37">
      <w:pPr>
        <w:pStyle w:val="TextoNormal"/>
      </w:pPr>
    </w:p>
    <w:p w14:paraId="24CE2B1D" w14:textId="4BA944CC" w:rsidR="00B35D37" w:rsidRDefault="00B35D37" w:rsidP="00B35D37">
      <w:pPr>
        <w:pStyle w:val="TextoNormal"/>
      </w:pPr>
      <w:r>
        <w:t>Madrid, a trece de mayo de dos mil veinticinco.</w:t>
      </w:r>
    </w:p>
    <w:p w14:paraId="05E26B3D" w14:textId="77777777" w:rsidR="00B35D37" w:rsidRDefault="00B35D37" w:rsidP="00B35D37">
      <w:pPr>
        <w:pStyle w:val="TextoNormal"/>
      </w:pPr>
    </w:p>
    <w:p w14:paraId="0F529DA6" w14:textId="77777777" w:rsidR="00B35D37" w:rsidRDefault="00B35D37" w:rsidP="00B35D37">
      <w:pPr>
        <w:pStyle w:val="TextoNormalNegritaCentrado"/>
        <w:keepNext/>
      </w:pPr>
      <w:r>
        <w:t>Voto particular que con sustento en el artículo 90.2 LOTC formulan los magistrados don César Tolosa Tribiño, don Enrique Arnaldo Alcubilla y la magistrada doña Concepción Espejel Jorquera al auto dictado por el Pleno por el que se desestiman los recursos de súplica interpuestos por el Grupo Parlamentario Popular y por los consejos de gobierno de las comunidades autónomas de Madrid, Illes Balears, la Región de Murcia, La Rioja, Castilla y León, Aragón, Galicia, Extremadura, Valencia, Cantabria y Andalucía contra el ATC 12/2025, de 29 de enero</w:t>
      </w:r>
    </w:p>
    <w:p w14:paraId="4DDFF015" w14:textId="1830484E" w:rsidR="00B35D37" w:rsidRDefault="00B35D37" w:rsidP="00B35D37">
      <w:pPr>
        <w:pStyle w:val="TextoNormalNegritaCentrado"/>
        <w:keepNext/>
      </w:pPr>
    </w:p>
    <w:p w14:paraId="2BCCF28B" w14:textId="77777777" w:rsidR="00B35D37" w:rsidRDefault="00B35D37" w:rsidP="00B35D37">
      <w:pPr>
        <w:pStyle w:val="TextoNormal"/>
      </w:pPr>
      <w:r>
        <w:t>En la parte dispositiva de dicho auto se decidió: (i) apartar definitivamente al magistrado de este tribunal don José María Macías Castaño en los recursos de inconstitucionalidad núm. 6436-2024; 6486-2024; 6525-2024; 6547-2024; 6549-2024; 6552-2024; 6556-2024; 6560-2024; 6562-2024; 6575-2024; 6588-2024; 6595-2024; 6607-2024; 6616-2024; 6617-2024; 6621-2024; y en las cuestiones de inconstitucionalidad núm. 6596-2024; 6597-2024; 6699-2024; 6754-2024 y 7668-2024; y (ii) declarar la pérdida sobrevenida de objeto de la recusación de dicho magistrado en los indicados recursos y cuestiones de inconstitucionalidad —salvo en las cuestiones núm. 6754-2024 y 7668-2024—, añadiendo la pérdida de objeto de la recusación planteada en la cuestión de inconstitucionalidad núm. 6053-2024.</w:t>
      </w:r>
    </w:p>
    <w:p w14:paraId="33095798" w14:textId="77777777" w:rsidR="00B35D37" w:rsidRDefault="00B35D37" w:rsidP="00B35D37">
      <w:pPr>
        <w:pStyle w:val="TextoNormal"/>
      </w:pPr>
    </w:p>
    <w:p w14:paraId="58D6A724" w14:textId="77777777" w:rsidR="00B35D37" w:rsidRDefault="00B35D37" w:rsidP="00B35D37">
      <w:pPr>
        <w:pStyle w:val="TextoNormal"/>
      </w:pPr>
      <w:r>
        <w:t>1. Podemos adelantar que la decisión del ATC 12/2025 por la que se aparta definitivamente al magistrado señor Macías Castaño y se declara la pérdida de objeto de las recusaciones promovidas por la Abogacía General del Estado —cuya decisión de admisión se encontraba pendiente— en todos los recursos de inconstitucionalidad y en algunas de las cuestiones, ha impedido la debida tramitación de las recusaciones en dichos procesos.</w:t>
      </w:r>
    </w:p>
    <w:p w14:paraId="782F15AC" w14:textId="77777777" w:rsidR="00B35D37" w:rsidRDefault="00B35D37" w:rsidP="00B35D37">
      <w:pPr>
        <w:pStyle w:val="TextoNormal"/>
      </w:pPr>
    </w:p>
    <w:p w14:paraId="47C635E0" w14:textId="77777777" w:rsidR="00B35D37" w:rsidRDefault="00B35D37" w:rsidP="00B35D37">
      <w:pPr>
        <w:pStyle w:val="TextoNormal"/>
      </w:pPr>
      <w:r>
        <w:t>2. El modo inusual, carente de precedentes y sin cobertura legal, en el que se ha tramitado la recusación en un asunto de tanta relevancia, ha tenido como efecto —desde luego no pretendido ni intencionado—, no solo favorecer al fiscal y a la Abogacía General del Estado, en tanto que impulsores de la recusación, sino —y esto es lo relevante— silenciar la posición de la mayoría de las partes personadas que se oponían al apartamiento del magistrado, entre las que se incluyen los gobiernos autonómicos y el Grupo Parlamentario Popular, promotores de los doce recursos de súplica.</w:t>
      </w:r>
    </w:p>
    <w:p w14:paraId="177823F8" w14:textId="77777777" w:rsidR="00B35D37" w:rsidRDefault="00B35D37" w:rsidP="00B35D37">
      <w:pPr>
        <w:pStyle w:val="TextoNormal"/>
      </w:pPr>
    </w:p>
    <w:p w14:paraId="5209DF3A" w14:textId="77777777" w:rsidR="00B35D37" w:rsidRDefault="00B35D37" w:rsidP="00B35D37">
      <w:pPr>
        <w:pStyle w:val="TextoNormal"/>
      </w:pPr>
      <w:r>
        <w:t>3. Esta forma de proceder ha generado un efecto inicial significativo: proyectar una apariencia ficticia de consenso sobre la necesidad de excluir al magistrado recusado de la conformación del Tribunal; apariencia que ha quedado inequívocamente desmentida con la presentación, y necesaria tramitación —pese a la oposición de la Abogacía General del Estado— de los doce recursos de súplica, que ahora se rechazan.</w:t>
      </w:r>
    </w:p>
    <w:p w14:paraId="3C6B6C94" w14:textId="77777777" w:rsidR="00B35D37" w:rsidRDefault="00B35D37" w:rsidP="00B35D37">
      <w:pPr>
        <w:pStyle w:val="TextoNormal"/>
      </w:pPr>
    </w:p>
    <w:p w14:paraId="47D7EF19" w14:textId="77777777" w:rsidR="00B35D37" w:rsidRDefault="00B35D37" w:rsidP="00B35D37">
      <w:pPr>
        <w:pStyle w:val="TextoNormal"/>
      </w:pPr>
      <w:r>
        <w:t>4. Por último, desde ahora debemos apuntar dos aspectos destacados. En primer lugar, la “regla general” de respetar los procedimientos “de abstención y recusación regulados por la Ley Orgánica del Poder Judicial y la Ley de enjuiciamiento civil, a los que remite el art. 80 LOTC”, no puede ceder —pese a lo indicado en el auto— porque “el principio de imparcialidad sea un deber de orden público”. El principio de imparcialidad se ve asegurado precisamente a través del respeto al procedimiento legalmente establecido: sin su sujeción a la ley, no puede existir un juez imparcial. Prescindir del procedimiento y de las garantías constitucionalmente establecidas —que también son de orden público— es precisamente el camino más corto para vulnerar el derecho al juez imparcial. Y, por otra parte, debe indicarse que ninguna justificación legítima tenía prescindir del procedimiento legalmente establecido para poder pronunciarse sobre la concurrencia de causas de recusación en el magistrado cuando en la totalidad de los recursos de inconstitucionalidad se encontraba pendiente de admitir la recusación interpuesta por la Abogacía General del Estado.</w:t>
      </w:r>
    </w:p>
    <w:p w14:paraId="0B384BC0" w14:textId="77777777" w:rsidR="00B35D37" w:rsidRDefault="00B35D37" w:rsidP="00B35D37">
      <w:pPr>
        <w:pStyle w:val="TextoNormal"/>
      </w:pPr>
    </w:p>
    <w:p w14:paraId="74C559B4" w14:textId="77777777" w:rsidR="00B35D37" w:rsidRDefault="00B35D37" w:rsidP="00B35D37">
      <w:pPr>
        <w:pStyle w:val="TextoNormal"/>
      </w:pPr>
      <w:r>
        <w:t xml:space="preserve">A) </w:t>
      </w:r>
      <w:r w:rsidRPr="00B35D37">
        <w:rPr>
          <w:i/>
        </w:rPr>
        <w:t>Previo. Síntesis de las razones del voto particular</w:t>
      </w:r>
    </w:p>
    <w:p w14:paraId="3104A66E" w14:textId="77777777" w:rsidR="00B35D37" w:rsidRDefault="00B35D37" w:rsidP="00B35D37">
      <w:pPr>
        <w:pStyle w:val="TextoNormal"/>
      </w:pPr>
    </w:p>
    <w:p w14:paraId="478D6EEB" w14:textId="77777777" w:rsidR="00B35D37" w:rsidRDefault="00B35D37" w:rsidP="00B35D37">
      <w:pPr>
        <w:pStyle w:val="TextoNormal"/>
      </w:pPr>
      <w:r>
        <w:t>5. En los siguientes apartados se recordarán las razones por las cuales la recusación debió ser inadmitida y, en su caso, desestimada. Dicho recordatorio, pese al sacrificio que supone de la obligada concisión, viene justificado en que el presente auto en su fundamento jurídico tercero reitera la corrección del ATC 6/2025 que estimó la recusación del magistrado señor Macías, promovida por el fiscal general del Estado en la cuestión de inconstitucionalidad núm. 6053-2024, e insiste en su fundamentación, a pesar de considerar que el ATC 6/2025 no constituye formalmente objeto de los recursos de súplica.</w:t>
      </w:r>
    </w:p>
    <w:p w14:paraId="4791DCF4" w14:textId="77777777" w:rsidR="00B35D37" w:rsidRDefault="00B35D37" w:rsidP="00B35D37">
      <w:pPr>
        <w:pStyle w:val="TextoNormal"/>
      </w:pPr>
    </w:p>
    <w:p w14:paraId="579FC744" w14:textId="77777777" w:rsidR="00B35D37" w:rsidRDefault="00B35D37" w:rsidP="00B35D37">
      <w:pPr>
        <w:pStyle w:val="TextoNormal"/>
      </w:pPr>
      <w:r>
        <w:t>6. Posteriormente expondremos las razones por las que consideramos que el auto, contra el que formulamos el presente voto particular, ha incurrido en una omisión de la exigencia constitucional de responder de manera adecuada a los argumentos formulados en los doce recursos de súplica interpuestos frente al ATC 12/2025, vulnerando con ello el deber de motivación exigido por el artículo 24.1 CE, así como las garantías inherentes al derecho a un juicio justo consagrado en el artículo 6.1 CEDH.</w:t>
      </w:r>
    </w:p>
    <w:p w14:paraId="18D92CFE" w14:textId="77777777" w:rsidR="00B35D37" w:rsidRDefault="00B35D37" w:rsidP="00B35D37">
      <w:pPr>
        <w:pStyle w:val="TextoNormal"/>
      </w:pPr>
    </w:p>
    <w:p w14:paraId="5C3977E6" w14:textId="77777777" w:rsidR="00B35D37" w:rsidRDefault="00B35D37" w:rsidP="00B35D37">
      <w:pPr>
        <w:pStyle w:val="TextoNormal"/>
      </w:pPr>
      <w:r>
        <w:t>7. Asimismo, se señalará que dicha vulneración se ve agravada por la ausencia de toda referencia y de respuesta alguna en relación con los dos recursos de súplica y la solicitud de aclaración formulados frente a la diligencia de ordenación de 14 de febrero de 2025, mediante la cual se acordó tramitar la totalidad de los recursos de súplica dirigidos contra “el auto de extensión de efectos” en la pieza separada de la cuestión de inconstitucionalidad núm. 6053-2024.</w:t>
      </w:r>
    </w:p>
    <w:p w14:paraId="2037B145" w14:textId="77777777" w:rsidR="00B35D37" w:rsidRDefault="00B35D37" w:rsidP="00B35D37">
      <w:pPr>
        <w:pStyle w:val="TextoNormal"/>
      </w:pPr>
    </w:p>
    <w:p w14:paraId="7B06AC92" w14:textId="77777777" w:rsidR="00B35D37" w:rsidRDefault="00B35D37" w:rsidP="00B35D37">
      <w:pPr>
        <w:pStyle w:val="TextoNormal"/>
      </w:pPr>
      <w:r>
        <w:t>8. Por último, haremos referencia a los argumentos expuestos en el voto particular formulado al ATC 12/2025, y refutaremos las razones de “orden público” en las que se basa el presente auto para justificar la procedencia de la extensión de efectos.</w:t>
      </w:r>
    </w:p>
    <w:p w14:paraId="79EB8D19" w14:textId="77777777" w:rsidR="00B35D37" w:rsidRDefault="00B35D37" w:rsidP="00B35D37">
      <w:pPr>
        <w:pStyle w:val="TextoNormal"/>
      </w:pPr>
    </w:p>
    <w:p w14:paraId="420A6966" w14:textId="77777777" w:rsidR="00B35D37" w:rsidRDefault="00B35D37" w:rsidP="00B35D37">
      <w:pPr>
        <w:pStyle w:val="TextoNormal"/>
      </w:pPr>
      <w:r>
        <w:t xml:space="preserve">B) </w:t>
      </w:r>
      <w:r w:rsidRPr="00B35D37">
        <w:rPr>
          <w:i/>
        </w:rPr>
        <w:t>Remisión al voto particular formulado frente al ATC 6/2025</w:t>
      </w:r>
    </w:p>
    <w:p w14:paraId="03BFFB60" w14:textId="77777777" w:rsidR="00B35D37" w:rsidRDefault="00B35D37" w:rsidP="00B35D37">
      <w:pPr>
        <w:pStyle w:val="TextoNormal"/>
      </w:pPr>
    </w:p>
    <w:p w14:paraId="360E717F" w14:textId="77777777" w:rsidR="00B35D37" w:rsidRDefault="00B35D37" w:rsidP="00B35D37">
      <w:pPr>
        <w:pStyle w:val="TextoNormal"/>
      </w:pPr>
      <w:r>
        <w:t>9. En primer lugar, en tanto que el presente auto confirma la proyección del ATC 6/2025, que estimó la recusación promovida por el fiscal general del Estado en la cuestión de inconstitucionalidad núm. 6053-2024, nos remitimos a los votos particulares que suscribimos contra el mismo.</w:t>
      </w:r>
    </w:p>
    <w:p w14:paraId="1B04DD97" w14:textId="77777777" w:rsidR="00B35D37" w:rsidRDefault="00B35D37" w:rsidP="00B35D37">
      <w:pPr>
        <w:pStyle w:val="TextoNormal"/>
      </w:pPr>
    </w:p>
    <w:p w14:paraId="1A0CBFBE" w14:textId="77777777" w:rsidR="00B35D37" w:rsidRDefault="00B35D37" w:rsidP="00B35D37">
      <w:pPr>
        <w:pStyle w:val="TextoNormal"/>
      </w:pPr>
      <w:r>
        <w:t>10. Ahora bien, como el presente auto insiste en que la recusación fue tramitada “con escrupuloso respeto a las normas de procedimiento que regulan esta clase de incidentes” (FJ 3) y dedica buena parte de su fundamentación a reiterar la fundamentación del ATC 6/2025 (FFJJ 3 a 5) —pese a indicar contradictoriamente que “no se recurre la decisión del incidente de recusación” (FJ 3)—, es obligado reiterar, de modo sintético, las razones expuestas en dicho voto particular, con algún añadido a resultas de resoluciones posteriores de este tribunal.</w:t>
      </w:r>
    </w:p>
    <w:p w14:paraId="775C483C" w14:textId="77777777" w:rsidR="00B35D37" w:rsidRDefault="00B35D37" w:rsidP="00B35D37">
      <w:pPr>
        <w:pStyle w:val="TextoNormal"/>
      </w:pPr>
    </w:p>
    <w:p w14:paraId="79149DBC" w14:textId="77777777" w:rsidR="00B35D37" w:rsidRDefault="00B35D37" w:rsidP="00B35D37">
      <w:pPr>
        <w:pStyle w:val="TextoNormal"/>
      </w:pPr>
      <w:r>
        <w:t xml:space="preserve">11. La recusación fue tramitada de forma irregular, pues se dio un nuevo traslado al Ministerio Fiscal —no previsto en la ley— para alegar sobre la propia recusación y de este modo poder replicar y modificar sus alegaciones, en un aspecto central, concretamente, cambiar el </w:t>
      </w:r>
      <w:r w:rsidRPr="00B35D37">
        <w:rPr>
          <w:i/>
        </w:rPr>
        <w:t>dies a quo</w:t>
      </w:r>
      <w:r>
        <w:t xml:space="preserve"> del plazo de recusación. Dicho inexistente trámite privilegió la posición del fiscal y quebrantó la igualdad procesal y el principio de contradicción, pues al recusado no se le permitió responder a esa réplica, lo que ocasionó en el magistrado recusado una manifiesta indefensión en la defensa del ejercicio del cargo (artículo 23.2 CE).</w:t>
      </w:r>
    </w:p>
    <w:p w14:paraId="02FCF282" w14:textId="77777777" w:rsidR="00B35D37" w:rsidRDefault="00B35D37" w:rsidP="00B35D37">
      <w:pPr>
        <w:pStyle w:val="TextoNormal"/>
      </w:pPr>
    </w:p>
    <w:p w14:paraId="050F008C" w14:textId="77777777" w:rsidR="00B35D37" w:rsidRDefault="00B35D37" w:rsidP="00B35D37">
      <w:pPr>
        <w:pStyle w:val="TextoNormal"/>
      </w:pPr>
      <w:r>
        <w:t>12. La recusación fue planteada de forma claramente extemporánea y debió ser inadmitida conforme a la doctrina aquilatada de este tribunal. El fiscal general del Estado conocía la existencia del procedimiento y la identidad del magistrado ponente desde al menos el día 3 de septiembre de 2024, fecha en la que se notificó la diligencia de ordenación del 30 de julio, según admitió inicialmente él mismo en el escrito de recusación. Conforme al artículo 223.1 LOPJ, la recusación debía haberse interpuesto dentro de los diez días siguientes a ese conocimiento. Por tanto, el plazo expiraba como muy tarde el día 17 de septiembre de 2024. Por otra parte, el magistrado, luego recusado, participó en la admisión a trámite de la cuestión de inconstitucionalidad el día 11 de septiembre de 2024. La ley exige que la recusación se plantee, para evitar un uso selectivo de la misma, antes de la primera actuación procesal del juez recusado cuando ya se conoce la causa (art. 223.1.2 LOPJ). En este caso, se incumplió también esa exigencia.</w:t>
      </w:r>
    </w:p>
    <w:p w14:paraId="0280A474" w14:textId="77777777" w:rsidR="00B35D37" w:rsidRDefault="00B35D37" w:rsidP="00B35D37">
      <w:pPr>
        <w:pStyle w:val="TextoNormal"/>
      </w:pPr>
    </w:p>
    <w:p w14:paraId="1E2A72CE" w14:textId="77777777" w:rsidR="00B35D37" w:rsidRDefault="00B35D37" w:rsidP="00B35D37">
      <w:pPr>
        <w:pStyle w:val="TextoNormal"/>
      </w:pPr>
      <w:r>
        <w:t>13. Basar la tempestividad de la recusación en la imposibilidad de que el fiscal general del Estado no puede recusar hasta que se admita la cuestión de inconstitucionalidad supone una limitación injustificada de sus funciones constitucionales (art. 124 CE). De modo que, como expresamos en el voto particular, no es admisible el argumento que dio el ATC 6/2025 (FJ 1) en apoyo de que la recusación se interpuso en plazo: “[s]i bien es cierto que el Ministerio Fiscal ha de ser oído en esa fase previa al planteamiento formal de la cuestión de inconstitucionalidad, también lo es que bajo ningún concepto le está permitido promover, en tal momento procesal, la recusación de ninguno de los integrantes del Tribunal Constitucional”.</w:t>
      </w:r>
    </w:p>
    <w:p w14:paraId="049220B0" w14:textId="77777777" w:rsidR="00B35D37" w:rsidRDefault="00B35D37" w:rsidP="00B35D37">
      <w:pPr>
        <w:pStyle w:val="TextoNormal"/>
      </w:pPr>
    </w:p>
    <w:p w14:paraId="4F00F8BC" w14:textId="77777777" w:rsidR="00B35D37" w:rsidRDefault="00B35D37" w:rsidP="00B35D37">
      <w:pPr>
        <w:pStyle w:val="TextoNormal"/>
      </w:pPr>
      <w:r>
        <w:t xml:space="preserve">14. A ello debemos ahora añadir que tras el ATC 6/2025, apenas dos meses después, el Tribunal ha retomado el hilo conductor de su doctrina constitucional —solo roto por el ATC 6/2025— para, ahora sí, considerar la fecha de la notificación de la diligencia de ordenación por la que se admite a trámite el procedimiento constitucional como </w:t>
      </w:r>
      <w:r w:rsidRPr="00B35D37">
        <w:rPr>
          <w:i/>
        </w:rPr>
        <w:t>dies a quo</w:t>
      </w:r>
      <w:r>
        <w:t xml:space="preserve"> del plazo para recusar. Lo ha hecho en el ATC 30/2025, de 25 de marzo, también del Pleno, en su fundamento jurídico único, con la acertada consecuencia de no admitir a trámite por extemporánea la recusación de ese mismo magistrado en el recurso de amparo núm. 7762-2024. Nos hallamos ante una ruptura injustificada de la doctrina consolidada, sin respaldo en los antecedentes ni refrendo en las decisiones posteriores, que desconoce el artículo 223.1 LOPJ, de supletoria aplicación (art. 80 LOTC).</w:t>
      </w:r>
    </w:p>
    <w:p w14:paraId="56B236A5" w14:textId="77777777" w:rsidR="00B35D37" w:rsidRDefault="00B35D37" w:rsidP="00B35D37">
      <w:pPr>
        <w:pStyle w:val="TextoNormal"/>
      </w:pPr>
    </w:p>
    <w:p w14:paraId="48EE4F89" w14:textId="77777777" w:rsidR="00B35D37" w:rsidRDefault="00B35D37" w:rsidP="00B35D37">
      <w:pPr>
        <w:pStyle w:val="TextoNormal"/>
      </w:pPr>
      <w:r>
        <w:t>15. Como extensamente se indicó en el voto contra el ATC 6/2025, no concurrían conforme a nuestra doctrina las causas de recusación invocadas, previstas en el art. 219.13 y 16 LOPJ.</w:t>
      </w:r>
    </w:p>
    <w:p w14:paraId="0D75C93B" w14:textId="77777777" w:rsidR="00B35D37" w:rsidRDefault="00B35D37" w:rsidP="00B35D37">
      <w:pPr>
        <w:pStyle w:val="TextoNormal"/>
      </w:pPr>
    </w:p>
    <w:p w14:paraId="0726E071" w14:textId="77777777" w:rsidR="00B35D37" w:rsidRDefault="00B35D37" w:rsidP="00B35D37">
      <w:pPr>
        <w:pStyle w:val="TextoNormal"/>
      </w:pPr>
      <w:r>
        <w:t>16. Como pusieron de manifiesto todos los votos particulares, el ATC 6/2025 se separó del precedente inmediato —ATC 28/2023— en el que se decidió no apartar a la magistrada señora Espejel que pretendía abstenerse por haber emitido un informe como vocal del Consejo General del Poder Judicial. En aquel entonces existían motivos más intensos que ahora para aceptar la abstención y se rechazó. Así lo ponen de manifiesto, como veremos, los doce recursos de súplica desestimados. En dicho precedente, la magistrada consideraba que concurría el prejuicio en el que se basaba la causa de abstención, atendido que el informe era preceptivo y obligado (art. 108.1 LOPJ). En el presente caso, el magistrado niega que tenga prejuicio alguno y el informe en que se sustenta su recusación —que no abstención— tenía carácter facultativo y no vinculante, lo que suponía su menor implicación institucional y jurídica que la que tuvo la señora Espejel Jorquera; dicha magistrada, no solo participó en el debate del informe, sino que además formuló una enmienda a la totalidad, lo que muestra una clara posición individual sobre el contenido de la norma, frente al señor Macías Castaño que se limitó a formar parte del órgano colegiado —Consejo General del Poder Judicial— que emitió el informe, pero no expresó opiniones individuales ni firmó aportaciones personales, por lo que tuvo una implicación menos activa y personalizada que la señora Espejel en la valoración jurídica de la norma luego impugnada ante este tribunal; no siendo relevante, como se puso de manifiesto en los votos particulares, el lapso de tiempo entre el informe y el proceso constitucional al que se alude en el ATC 6/2025 como elemento determinante.</w:t>
      </w:r>
    </w:p>
    <w:p w14:paraId="4980E19D" w14:textId="77777777" w:rsidR="00B35D37" w:rsidRDefault="00B35D37" w:rsidP="00B35D37">
      <w:pPr>
        <w:pStyle w:val="TextoNormal"/>
      </w:pPr>
    </w:p>
    <w:p w14:paraId="41AABC6D" w14:textId="77777777" w:rsidR="00B35D37" w:rsidRDefault="00B35D37" w:rsidP="00B35D37">
      <w:pPr>
        <w:pStyle w:val="TextoNormal"/>
      </w:pPr>
      <w:r>
        <w:t>17. La doctrina del propio Tribunal Constitucional ha reiterado que los magistrados pueden y deben tener criterios jurídicos previos (AATC 180/2013, de 17 de septiembre, y 107/2021, de 15 de diciembre), siempre que mantengan una mente abierta al debate constitucional. El informe del Consejo General del Poder Judicial expresaba una valoración técnica colectiva, no una toma de posición personal ni anticipada que comprometiera su imparcialidad. La cuestión de inconstitucionalidad y también el recurso de inconstitucionalidad son procedimientos objetivos y abstractos, sin partes enfrentadas, por lo que no pueden considerarse un “pleito” o “litigio” en el sentido del artículo 219 LOPJ. La propia doctrina del Tribunal ha establecido que, en estos procesos, la imparcialidad se presume mientras no haya afectación concreta (ATC 28/2023). Y, el magistrado no fue autor ni defensor de la ley impugnada, sin que existiera “coincidencia de objeto” entre el informe emitido por el Consejo General del Poder Judicial y los concretos motivos de inconstitucionalidad planteados en el procedimiento. Finalmente, como dijimos, la aceptación de la recusación alteró la doctrina constitucional, desincentivó el ejercicio independiente de funciones consultivas por los vocales del Consejo y vulneró el derecho fundamental al ejercicio del cargo del magistrado (art. 23.2 CE) al no estar la injerencia amparada en una previsión legal.</w:t>
      </w:r>
    </w:p>
    <w:p w14:paraId="28A273D6" w14:textId="77777777" w:rsidR="00B35D37" w:rsidRDefault="00B35D37" w:rsidP="00B35D37">
      <w:pPr>
        <w:pStyle w:val="TextoNormal"/>
      </w:pPr>
    </w:p>
    <w:p w14:paraId="037A0053" w14:textId="77777777" w:rsidR="00B35D37" w:rsidRDefault="00B35D37" w:rsidP="00B35D37">
      <w:pPr>
        <w:pStyle w:val="TextoNormal"/>
      </w:pPr>
      <w:r>
        <w:t xml:space="preserve">C) </w:t>
      </w:r>
      <w:r w:rsidRPr="00B35D37">
        <w:rPr>
          <w:i/>
        </w:rPr>
        <w:t>El auto elude pronunciarse sobre cuestiones sustanciales que fueron debidamente planteadas en los recursos de súplica interpuestos frente al ATC 12/2025, incurriendo en un déficit de motivación incompatible con el deber de tutela judicial efectiva (art. 24 CE)</w:t>
      </w:r>
    </w:p>
    <w:p w14:paraId="7D22B38F" w14:textId="77777777" w:rsidR="00B35D37" w:rsidRDefault="00B35D37" w:rsidP="00B35D37">
      <w:pPr>
        <w:pStyle w:val="TextoNormal"/>
      </w:pPr>
    </w:p>
    <w:p w14:paraId="256C8C87" w14:textId="77777777" w:rsidR="00B35D37" w:rsidRDefault="00B35D37" w:rsidP="00B35D37">
      <w:pPr>
        <w:pStyle w:val="TextoNormal"/>
      </w:pPr>
      <w:r>
        <w:t xml:space="preserve">18. Recientemente la STEDH de 18 de marzo de 2025, asunto </w:t>
      </w:r>
      <w:r w:rsidRPr="00B35D37">
        <w:rPr>
          <w:i/>
        </w:rPr>
        <w:t>Mustafa Aydin c. Turquía</w:t>
      </w:r>
      <w:r>
        <w:t>, ha reiterado las exigencias del derecho a un juicio justo (art. 6.1 CEDH) en relación con el deber de motivación de las resoluciones judiciales. Tal imperativo es coincidente con nuestra doctrina constitucional (artículo 24.1 CE), en virtud de la cual la decisión judicial debe “contener los elementos y razones de juicio que permitan conocer cuáles han sido los criterios jurídicos que fundamentan la decisión” (STC 13/2012, de 30 de enero, FJ 3).</w:t>
      </w:r>
    </w:p>
    <w:p w14:paraId="5479B10C" w14:textId="77777777" w:rsidR="00B35D37" w:rsidRDefault="00B35D37" w:rsidP="00B35D37">
      <w:pPr>
        <w:pStyle w:val="TextoNormal"/>
      </w:pPr>
    </w:p>
    <w:p w14:paraId="0DC1091A" w14:textId="77777777" w:rsidR="00B35D37" w:rsidRDefault="00B35D37" w:rsidP="00B35D37">
      <w:pPr>
        <w:pStyle w:val="TextoNormal"/>
      </w:pPr>
      <w:r>
        <w:t xml:space="preserve">19. Conforme a la indicada STEDH, “[e]l alcance de esta obligación de motivación puede variar en función de la naturaleza de la decisión y debe determinarse a la luz de las circunstancias del caso (véase </w:t>
      </w:r>
      <w:r w:rsidRPr="00B35D37">
        <w:rPr>
          <w:i/>
        </w:rPr>
        <w:t>García Ruiz c. España</w:t>
      </w:r>
      <w:r>
        <w:t xml:space="preserve"> [GS], núm. 30544/96, § 26, Tribunal Europeo de Derechos Humanos 1999-I). Sin exigir una respuesta detallada a cada argumento, esta obligación presupone que las partes en un procedimiento judicial pueden esperar a recibir una respuesta específica y explícita a los argumentos que son decisivos para el resultado de dicho procedimiento (véase, entre otras autoridades, </w:t>
      </w:r>
      <w:r w:rsidRPr="00B35D37">
        <w:rPr>
          <w:i/>
        </w:rPr>
        <w:t>Ruiz Torija c. España</w:t>
      </w:r>
      <w:r>
        <w:t xml:space="preserve">, 9 de diciembre de 1994, § 29-30, Serie A núm. 303-A). Debe quedar claro en la decisión que se han abordado las cuestiones esenciales del caso (véase </w:t>
      </w:r>
      <w:r w:rsidRPr="00B35D37">
        <w:rPr>
          <w:i/>
        </w:rPr>
        <w:t>Taxquet c. Bélgica</w:t>
      </w:r>
      <w:r>
        <w:t xml:space="preserve"> [GS], núm. 926/05, § 91, Tribunal Europeo de Derechos Humanos 2010). En vista del principio de que el Convenio pretende garantizar no derechos teóricos o ilusorios, sino derechos prácticos y efectivos, el derecho a un juicio justo no puede considerarse efectivo a menos que las peticiones y observaciones de las partes sean realmente ‘escuchadas’, es decir, examinadas adecuadamente por el Tribunal (véase </w:t>
      </w:r>
      <w:r w:rsidRPr="00B35D37">
        <w:rPr>
          <w:i/>
        </w:rPr>
        <w:t>Yüksel Yalçınkaya c. Turquía</w:t>
      </w:r>
      <w:r>
        <w:t xml:space="preserve"> [GS], núm. 15669/20, § 305 </w:t>
      </w:r>
      <w:r w:rsidRPr="00B35D37">
        <w:rPr>
          <w:i/>
        </w:rPr>
        <w:t>in fine</w:t>
      </w:r>
      <w:r>
        <w:t xml:space="preserve">, 26 de septiembre de 2023, con referencias adicionales). […] Además, en los casos relacionados con la injerencia en los derechos garantizados por el Convenio, el Tribunal trata de determinar si los motivos de las decisiones de los tribunales nacionales son automáticos o formulistas (véase </w:t>
      </w:r>
      <w:r w:rsidRPr="00B35D37">
        <w:rPr>
          <w:i/>
        </w:rPr>
        <w:t>Moreira Ferreira c. Portugal</w:t>
      </w:r>
      <w:r>
        <w:t xml:space="preserve"> (núm. 2) [GS], núm. 19867/12, § 84, 11 de julio de 2017, con referencias adicionales)” (§ 48).</w:t>
      </w:r>
    </w:p>
    <w:p w14:paraId="7129F3CE" w14:textId="77777777" w:rsidR="00B35D37" w:rsidRDefault="00B35D37" w:rsidP="00B35D37">
      <w:pPr>
        <w:pStyle w:val="TextoNormal"/>
      </w:pPr>
    </w:p>
    <w:p w14:paraId="5DA78EE2" w14:textId="77777777" w:rsidR="00B35D37" w:rsidRDefault="00B35D37" w:rsidP="00B35D37">
      <w:pPr>
        <w:pStyle w:val="TextoNormal"/>
      </w:pPr>
      <w:r>
        <w:t>20. Expuesta la doctrina, debe señalarse que los argumentos contenidos en los recursos de súplica interpuestos en los recursos de inconstitucionalidad 6436-2024 (Grupo Parlamentario Popular), 6575-2024 (Junta de Andalucía), 6547-2024 (Gobierno de Aragón), 6556-2024 (Junta de Galicia), 6616-2024 (Gobierno de Cantabria), 6549-2024 (Comunidad de Madrid), 6595-2024 (Junta de Castilla y León), 6588-2024 (Generalitat Valenciana), 6560-2024 (Gobierno de la Región de Murcia), 6607-2024 (Gobierno de La Rioja) y 6621-2024 (Gobierno de las Illes Balears) no han recibido una respuesta adecuada en el auto que confirma el ATC 12/2025.</w:t>
      </w:r>
    </w:p>
    <w:p w14:paraId="181CAF35" w14:textId="77777777" w:rsidR="00B35D37" w:rsidRDefault="00B35D37" w:rsidP="00B35D37">
      <w:pPr>
        <w:pStyle w:val="TextoNormal"/>
      </w:pPr>
    </w:p>
    <w:p w14:paraId="37B6DC62" w14:textId="77777777" w:rsidR="00B35D37" w:rsidRDefault="00B35D37" w:rsidP="00B35D37">
      <w:pPr>
        <w:pStyle w:val="TextoNormal"/>
      </w:pPr>
      <w:r>
        <w:t>21. En efecto, numerosos recurrentes han coincido en señalar la imposibilidad de declarar la pérdida sobrevenida de objeto en relación con incidentes de recusación que no habían sido válidamente tramitados en los recursos de inconstitucionalidad respectivos. Cuestionaban que el Tribunal Constitucional declarase la pérdida sobrevenida de objeto de dichos incidentes inexistentes y extendiera los efectos de una recusación resuelta en una cuestión de inconstitucionalidad distinta (6053-2024). Sin embargo, esta alegación sustancial planteada por el Grupo Parlamentario Popular, y por los gobiernos de Andalucía, Aragón, Junta de Galicia, Cantabria, Madrid, Castilla y León, Generalitat Valenciana, Región de Murcia, La Rioja y las Illes Balears, no ha tenido respuesta alguna diferenciada ni que fundamente la viabilidad jurídica de dicha extensión automática.</w:t>
      </w:r>
    </w:p>
    <w:p w14:paraId="6E4AD805" w14:textId="77777777" w:rsidR="00B35D37" w:rsidRDefault="00B35D37" w:rsidP="00B35D37">
      <w:pPr>
        <w:pStyle w:val="TextoNormal"/>
      </w:pPr>
    </w:p>
    <w:p w14:paraId="005B7230" w14:textId="77777777" w:rsidR="00B35D37" w:rsidRDefault="00B35D37" w:rsidP="00B35D37">
      <w:pPr>
        <w:pStyle w:val="TextoNormal"/>
      </w:pPr>
      <w:r>
        <w:t>22. De igual forma, los recurrentes citados han denunciado de manera sistemática la omisión del trámite de audiencia y contradicción. Sostienen que no se les otorgó la posibilidad de formular alegaciones ni oponerse a la recusación decidida en otro proceso, del que no eran parte, ni tan siquiera se les notificó el ATC 6/2025 —pese a que altera la composición del colegio de magistrados en sus respectivos procedimientos—, imposibilitándoles de este modo cuestionar la concurrencia de los presupuestos procesales y materiales de la recusación, pese a que luego, por mor de la extensión de efectos, les afectó lo decidido en el mismo, lo que a su juicio vulnera el derecho fundamental al juez predeterminado por la ley, a un proceso con todas las garantías (art. 24 CE), derecho a un tribunal independiente e imparcial establecido por la ley y a un proceso equitativo (art. 6.1 CEDH). El auto también guarda silencio sobre esta omisión específica, limitándose a hacer referencia genérica a la imparcialidad objetiva.</w:t>
      </w:r>
    </w:p>
    <w:p w14:paraId="3E241996" w14:textId="77777777" w:rsidR="00B35D37" w:rsidRDefault="00B35D37" w:rsidP="00B35D37">
      <w:pPr>
        <w:pStyle w:val="TextoNormal"/>
      </w:pPr>
    </w:p>
    <w:p w14:paraId="3DB66929" w14:textId="77777777" w:rsidR="00B35D37" w:rsidRDefault="00B35D37" w:rsidP="00B35D37">
      <w:pPr>
        <w:pStyle w:val="TextoNormal"/>
      </w:pPr>
      <w:r>
        <w:t>23. También constituye un argumento común la falta de legitimación activa del fiscal general del Estado en los recursos de inconstitucionalidad, al no ser parte procesal. Tal circunstancia, los lleva a cuestionar la validez del impulso procesal que origina la exclusión del magistrado en todos los recursos de inconstitucionalidad y que tampoco ha sido objeto de específico análisis en el auto.</w:t>
      </w:r>
    </w:p>
    <w:p w14:paraId="3B1322DD" w14:textId="77777777" w:rsidR="00B35D37" w:rsidRDefault="00B35D37" w:rsidP="00B35D37">
      <w:pPr>
        <w:pStyle w:val="TextoNormal"/>
      </w:pPr>
    </w:p>
    <w:p w14:paraId="21D8B0F5" w14:textId="77777777" w:rsidR="00B35D37" w:rsidRDefault="00B35D37" w:rsidP="00B35D37">
      <w:pPr>
        <w:pStyle w:val="TextoNormal"/>
      </w:pPr>
      <w:r>
        <w:t>24. Asimismo, todos los demandantes han sostenido la inexistencia de fundamento legal para la llamada “extensión de efectos” de una recusación, por no estar prevista ni en la Ley Orgánica del Tribunal Constitucional, ni en la Ley Orgánica del Poder Judicial, ni en la Ley de enjuiciamiento civil. Han considerado que dicha extensión ha sido aplicada sin base normativa clara. Tampoco este aspecto ha merecido una respuesta del tribunal.</w:t>
      </w:r>
    </w:p>
    <w:p w14:paraId="2EFDB110" w14:textId="77777777" w:rsidR="00B35D37" w:rsidRDefault="00B35D37" w:rsidP="00B35D37">
      <w:pPr>
        <w:pStyle w:val="TextoNormal"/>
      </w:pPr>
    </w:p>
    <w:p w14:paraId="100FAA05" w14:textId="77777777" w:rsidR="00B35D37" w:rsidRDefault="00B35D37" w:rsidP="00B35D37">
      <w:pPr>
        <w:pStyle w:val="TextoNormal"/>
      </w:pPr>
      <w:r>
        <w:t>25. Por otra parte, varios recursos —en especial los de Galicia, Madrid, La Rioja e Illes Balears— han advertido que la cuestión de inconstitucionalidad núm. 6053-2024 solo se refiere al art. 1 de la Ley de amnistía, mientras que sus respectivos recursos impugnan el conjunto del texto legal. Esta diferencia, sustancial para la identidad del objeto, tampoco ha merecido ser examinada por el auto, que simplemente alude a una apodíctica, sustancial identidad, sin motivación concreta.</w:t>
      </w:r>
    </w:p>
    <w:p w14:paraId="7003B99D" w14:textId="77777777" w:rsidR="00B35D37" w:rsidRDefault="00B35D37" w:rsidP="00B35D37">
      <w:pPr>
        <w:pStyle w:val="TextoNormal"/>
      </w:pPr>
    </w:p>
    <w:p w14:paraId="060A8165" w14:textId="77777777" w:rsidR="00B35D37" w:rsidRDefault="00B35D37" w:rsidP="00B35D37">
      <w:pPr>
        <w:pStyle w:val="TextoNormal"/>
      </w:pPr>
      <w:r>
        <w:t>26. Además, la Junta de Andalucía alegó la vulneración del art. 80 LOTC en relación con la aplicación supletoria de la Ley Orgánica del Poder Judicial y la Ley de enjuiciamiento civil, así como la infracción del derecho a la prueba. El Gobierno de Aragón señaló una incongruencia objetiva en el tratamiento desigual de recusaciones similares formuladas contra distintos magistrados. Y, Cantabria y la Generalitat Valenciana denunciaron la alteración de la composición del Pleno sin cauce procesal, invocando el derecho al juez ordinario predeterminado por la ley (art. 24.2 CE). Por su parte, el Gobierno de Madrid y el de las Illes Balears cuestionaron la existencia de cosa juzgada material, al no concurrir la triple identidad exigida por el artículo 222 LEC. A ninguna de dichas alegaciones se le ha dado respuesta.</w:t>
      </w:r>
    </w:p>
    <w:p w14:paraId="5505C391" w14:textId="77777777" w:rsidR="00B35D37" w:rsidRDefault="00B35D37" w:rsidP="00B35D37">
      <w:pPr>
        <w:pStyle w:val="TextoNormal"/>
      </w:pPr>
    </w:p>
    <w:p w14:paraId="3D3EFEF3" w14:textId="77777777" w:rsidR="00B35D37" w:rsidRDefault="00B35D37" w:rsidP="00B35D37">
      <w:pPr>
        <w:pStyle w:val="TextoNormal"/>
      </w:pPr>
      <w:r>
        <w:t>27. Y, finalmente, el Grupo Parlamentario Popular, la Región de Murcia y nuevamente el Gobierno balear reprocharon un cambio de doctrina respecto al ATC 28/2023, sin explicación suficiente, lo que afectaría al principio de igualdad en la aplicación de la ley. Ninguna de estas alegaciones ha recibido respuesta individualizada en el auto, que se limita a reproducir argumentos estandarizados sin entrar en el fondo de las objeciones planteadas.</w:t>
      </w:r>
    </w:p>
    <w:p w14:paraId="647244EF" w14:textId="77777777" w:rsidR="00B35D37" w:rsidRDefault="00B35D37" w:rsidP="00B35D37">
      <w:pPr>
        <w:pStyle w:val="TextoNormal"/>
      </w:pPr>
    </w:p>
    <w:p w14:paraId="579B4F3E" w14:textId="77777777" w:rsidR="00B35D37" w:rsidRDefault="00B35D37" w:rsidP="00B35D37">
      <w:pPr>
        <w:pStyle w:val="TextoNormal"/>
      </w:pPr>
      <w:r>
        <w:t>28. A partir de lo expuesto anteriormente y de la lectura del auto, se concluye que los motivos que fundamentan la desestimación de los doce recursos de súplica frente al ATC 12/2025 son protocolarios y formalistas. El auto ha eludido dar respuesta a las cuestiones planteadas referidas a la vulneración de derechos fundamentales, constitucional y convencionalmente garantizados: el derecho al juez ordinario predeterminado por la ley y los principios de audiencia y contradicción que integran el derecho a un proceso con todas las garantías (art. 24.2 CE), que se corresponden con el derecho a un tribunal independiente e imparcial establecido por la ley y con el derecho a un proceso equitativo (art. 6.1 CEDH).</w:t>
      </w:r>
    </w:p>
    <w:p w14:paraId="1EF87A01" w14:textId="77777777" w:rsidR="00B35D37" w:rsidRDefault="00B35D37" w:rsidP="00B35D37">
      <w:pPr>
        <w:pStyle w:val="TextoNormal"/>
      </w:pPr>
    </w:p>
    <w:p w14:paraId="5F2BF286" w14:textId="77777777" w:rsidR="00B35D37" w:rsidRDefault="00B35D37" w:rsidP="00B35D37">
      <w:pPr>
        <w:pStyle w:val="TextoNormal"/>
      </w:pPr>
      <w:r>
        <w:t>29. Las quejas planteadas en los recursos de súplica frente al ATC 12/2025 han sido reiteradas, coincidentes y sólidas, pese a lo cual, el auto no les da respuesta alguna. En tal sentido, podemos señalar, como argumentos más relevantes que se han quedado sin respuesta:</w:t>
      </w:r>
    </w:p>
    <w:p w14:paraId="1522BAA2" w14:textId="77777777" w:rsidR="00B35D37" w:rsidRDefault="00B35D37" w:rsidP="00B35D37">
      <w:pPr>
        <w:pStyle w:val="TextoNormal"/>
      </w:pPr>
    </w:p>
    <w:p w14:paraId="7A0347D7" w14:textId="77777777" w:rsidR="00B35D37" w:rsidRDefault="00B35D37" w:rsidP="00B35D37">
      <w:pPr>
        <w:pStyle w:val="TextoNormal"/>
      </w:pPr>
      <w:r>
        <w:t>a) La inexistencia de previsión legal para disponer el apartamiento definitivo del magistrado señor Macías, de oficio y por vía de extensión, en la totalidad de los recursos de inconstitucionalidad en los que son parte. Los recurrentes han puesto de manifiesto que dicha ausencia de previsión legal ha determinado la vulneración, no solo del derecho al juez predeterminado por la ley, al haberse alterado la composición del colegio de magistrados llamados a resolver los recursos de inconstitucionalidad al margen de las normas reguladoras de la abstención y recusación (Ley Orgánica del Tribunal Constitucional, Ley Orgánica del Poder Judicial y Ley de enjuiciamiento civil).</w:t>
      </w:r>
    </w:p>
    <w:p w14:paraId="5E0B0B1A" w14:textId="77777777" w:rsidR="00B35D37" w:rsidRDefault="00B35D37" w:rsidP="00B35D37">
      <w:pPr>
        <w:pStyle w:val="TextoNormal"/>
      </w:pPr>
    </w:p>
    <w:p w14:paraId="5C52F417" w14:textId="77777777" w:rsidR="00B35D37" w:rsidRDefault="00B35D37" w:rsidP="00B35D37">
      <w:pPr>
        <w:pStyle w:val="TextoNormal"/>
      </w:pPr>
      <w:r>
        <w:t>b) La vulneración del derecho a un procedimiento equitativo, que comprende los principios de contradicción e igualdad de partes, porque no han tenido conocimiento del procedimiento de recusación resuelto por el ATC 6/2025, ni se les ha notificado el mismo, pese a que luego se ha proyectado a los recursos en los que eran parte. Sostienen que dicha actuación procesal les ha privado de la posibilidad de efectuar alegaciones sobre los aspectos procesales y sustantivos de la recusación admitida y de proponer prueba sobre la concurrencia de las causas invocadas.</w:t>
      </w:r>
    </w:p>
    <w:p w14:paraId="2320193E" w14:textId="77777777" w:rsidR="00B35D37" w:rsidRDefault="00B35D37" w:rsidP="00B35D37">
      <w:pPr>
        <w:pStyle w:val="TextoNormal"/>
      </w:pPr>
    </w:p>
    <w:p w14:paraId="12D7D73B" w14:textId="77777777" w:rsidR="00B35D37" w:rsidRDefault="00B35D37" w:rsidP="00B35D37">
      <w:pPr>
        <w:pStyle w:val="TextoNormal"/>
      </w:pPr>
      <w:r>
        <w:t>c) La inexistencia de identidad sustancial en la que se apoya el ATC 12/2025, en tanto que la cuestión de inconstitucionalidad núm. 6053-2024 solo se refiere al artículo 1 de la Ley de amnistía, mientras que sus respectivos recursos impugnan el conjunto del texto legal, y tampoco concurre la triple identidad exigida para la proyección de la cosa juzgada, al no coincidir ni las partes, ni el proceso, ni el objeto de la recusación.</w:t>
      </w:r>
    </w:p>
    <w:p w14:paraId="342A3C60" w14:textId="77777777" w:rsidR="00B35D37" w:rsidRDefault="00B35D37" w:rsidP="00B35D37">
      <w:pPr>
        <w:pStyle w:val="TextoNormal"/>
      </w:pPr>
    </w:p>
    <w:p w14:paraId="4E1336A8" w14:textId="77777777" w:rsidR="00B35D37" w:rsidRDefault="00B35D37" w:rsidP="00B35D37">
      <w:pPr>
        <w:pStyle w:val="TextoNormal"/>
      </w:pPr>
      <w:r>
        <w:t>30. La respuesta a tales alegaciones efectuada en el fundamento jurídico 6 del auto ha sido calificarlas de “formales invocaciones de indefensión” que “no van acompañadas de una argumentación en la que, de manera fundada y razonable, se exponga cuál es exactamente la indefensión material padecida y en qué modo las razones que podrían haber invocado con carácter previo al dictado del auto recurrido podrían haber alterado o matizado el sentido de la decisión contenida en él, o de los argumentos que condujeron a ella”.</w:t>
      </w:r>
    </w:p>
    <w:p w14:paraId="65AA3017" w14:textId="77777777" w:rsidR="00B35D37" w:rsidRDefault="00B35D37" w:rsidP="00B35D37">
      <w:pPr>
        <w:pStyle w:val="TextoNormal"/>
      </w:pPr>
    </w:p>
    <w:p w14:paraId="6FC0BD51" w14:textId="77777777" w:rsidR="00B35D37" w:rsidRDefault="00B35D37" w:rsidP="00B35D37">
      <w:pPr>
        <w:pStyle w:val="TextoNormal"/>
      </w:pPr>
      <w:r>
        <w:t>31. Debemos decir que, atendidas tales circunstancias, dicha respuesta no cumple exigencias mínimas de motivación, congruencia y razonabilidad. Los argumentos expuestos en los recursos tienen carácter decisivo, se refieren a cuestiones esenciales, ya que abordan cuestiones fundamentales relacionadas con la necesidad de una base legal para que las injerencias en los derechos fundamentales (a un tribunal independiente e imparcial, establecido por la ley —arts. 24.2 CE y 6.1 CEDH—, y el derecho a un proceso con todas las garantías —arts. 24.2 CE y 6.1 CEDH—) sean constitucionalmente válidas. Pese a lo cual solo han merecido una respuesta lacónica y estereotipada. No se alegan por los recurrentes meras irregularidades procesales sino la alteración no autorizada de la composición del Tribunal realizada de oficio, sin respaldo normativo —ni procesal ni sustantivo— y al margen del procedimiento legalmente previsto.</w:t>
      </w:r>
    </w:p>
    <w:p w14:paraId="3C198571" w14:textId="77777777" w:rsidR="00B35D37" w:rsidRDefault="00B35D37" w:rsidP="00B35D37">
      <w:pPr>
        <w:pStyle w:val="TextoNormal"/>
      </w:pPr>
    </w:p>
    <w:p w14:paraId="2BEB2174" w14:textId="77777777" w:rsidR="00B35D37" w:rsidRDefault="00B35D37" w:rsidP="00B35D37">
      <w:pPr>
        <w:pStyle w:val="TextoNormal"/>
      </w:pPr>
      <w:r>
        <w:t>32. De este modo las alegaciones y peticiones formuladas por las partes no han sido objeto de una verdadera y adecuada consideración por parte del Tribunal, lo que equivale a una desnaturalización del derecho al recurso (artículo 93.2 LOTC). De poco sirve la admisión de un recurso si sus observaciones no son realmente “escuchadas” ni analizadas en profundidad. En este sentido, es importante recordar que, al igual que los derechos garantizados por el Convenio Europeo para la protección de los derechos humanos, los derechos que garantiza la Constitución no son teóricos o ilusorios, sino prácticos y efectivos (STC 119/2001, de 24 de mayo, FJ 5).</w:t>
      </w:r>
    </w:p>
    <w:p w14:paraId="233D4E9E" w14:textId="77777777" w:rsidR="00B35D37" w:rsidRDefault="00B35D37" w:rsidP="00B35D37">
      <w:pPr>
        <w:pStyle w:val="TextoNormal"/>
      </w:pPr>
    </w:p>
    <w:p w14:paraId="04C92A43" w14:textId="77777777" w:rsidR="00B35D37" w:rsidRDefault="00B35D37" w:rsidP="00B35D37">
      <w:pPr>
        <w:pStyle w:val="TextoNormal"/>
      </w:pPr>
      <w:r>
        <w:t xml:space="preserve">D) </w:t>
      </w:r>
      <w:r w:rsidRPr="00B35D37">
        <w:rPr>
          <w:i/>
        </w:rPr>
        <w:t>Inexistencia de respuesta a los dos recursos de súplica y a la solicitud de aclaración frente a la diligencia de ordenación de 14 de febrero de 2025 por la que se decide tramitar todos los recursos de súplica en la pieza separada de la cuestión de inconstitucionalidad núm. 6053-2025</w:t>
      </w:r>
    </w:p>
    <w:p w14:paraId="7139A686" w14:textId="77777777" w:rsidR="00B35D37" w:rsidRDefault="00B35D37" w:rsidP="00B35D37">
      <w:pPr>
        <w:pStyle w:val="TextoNormal"/>
      </w:pPr>
    </w:p>
    <w:p w14:paraId="3FCBC2B5" w14:textId="77777777" w:rsidR="00B35D37" w:rsidRDefault="00B35D37" w:rsidP="00B35D37">
      <w:pPr>
        <w:pStyle w:val="TextoNormal"/>
      </w:pPr>
      <w:r>
        <w:t>33. Por diligencia de ordenación de fecha 14 de febrero de 2025, dictada en la pieza separada de la cuestión de inconstitucionalidad núm. 6053-2024 se constata la interposición de los doce recursos de súplica y “se acuerda oír a las partes por plazo común de tres días, de conformidad con lo dispuesto en el artículo 93.2 LOTC”.</w:t>
      </w:r>
    </w:p>
    <w:p w14:paraId="2CB74A2A" w14:textId="77777777" w:rsidR="00B35D37" w:rsidRDefault="00B35D37" w:rsidP="00B35D37">
      <w:pPr>
        <w:pStyle w:val="TextoNormal"/>
      </w:pPr>
    </w:p>
    <w:p w14:paraId="2F9B8115" w14:textId="77777777" w:rsidR="00B35D37" w:rsidRDefault="00B35D37" w:rsidP="00B35D37">
      <w:pPr>
        <w:pStyle w:val="TextoNormal"/>
      </w:pPr>
      <w:r>
        <w:t>34. El Grupo Parlamentario Popular interpuso un recurso de súplica contra dicha diligencia, en el procedimiento del recurso de inconstitucionalidad núm. 6436-2024 en el que se incorporó el testimonio del ATC 12/2025 recurrido. En el escrito se denuncia que dicha diligencia fue dictada en la pieza separada de recusación de un procedimiento (cuestión de inconstitucionalidad núm. 6053-2024) en el que los recurrentes no estaban personados y sin que exista resolución alguna que incorpore válidamente sus efectos al procedimiento propio.</w:t>
      </w:r>
    </w:p>
    <w:p w14:paraId="3BA275D9" w14:textId="77777777" w:rsidR="00B35D37" w:rsidRDefault="00B35D37" w:rsidP="00B35D37">
      <w:pPr>
        <w:pStyle w:val="TextoNormal"/>
      </w:pPr>
    </w:p>
    <w:p w14:paraId="70984626" w14:textId="77777777" w:rsidR="00B35D37" w:rsidRDefault="00B35D37" w:rsidP="00B35D37">
      <w:pPr>
        <w:pStyle w:val="TextoNormal"/>
      </w:pPr>
      <w:r>
        <w:t>35. Por su parte, la Junta de Andalucía, en el procedimiento del recurso de inconstitucionalidad núm. 6575-2024, formuló una solicitud de aclaración respecto de la misma diligencia de ordenación. En su escrito, ante la incertidumbre generada por la mezcla de procedimientos, planteó con claridad dos dudas fundamentales: (i) a qué partes concretamente se estaba otorgando audiencia, pues la diligencia se dictaba en la cuestión de inconstitucionalidad, pero el recurso de súplica se planteaba en el recurso de inconstitucionalidad y dichos procedimientos tienen partes distintas y (ii) qué objeto procesal tenía dicha audiencia si el incidente de recusación ya había sido resuelto por el ATC de 6/2025, lo que impedía una reapertura implícita del mismo. Pese a la claridad de la solicitud, hasta la fecha no consta resolución alguna que haya tramitado y/o dado respuesta a las cuestiones planteadas, ni tampoco en el auto frente al que planteamos el presente voto.</w:t>
      </w:r>
    </w:p>
    <w:p w14:paraId="41506334" w14:textId="77777777" w:rsidR="00B35D37" w:rsidRDefault="00B35D37" w:rsidP="00B35D37">
      <w:pPr>
        <w:pStyle w:val="TextoNormal"/>
      </w:pPr>
    </w:p>
    <w:p w14:paraId="72ADACCB" w14:textId="77777777" w:rsidR="00B35D37" w:rsidRDefault="00B35D37" w:rsidP="00B35D37">
      <w:pPr>
        <w:pStyle w:val="TextoNormal"/>
      </w:pPr>
      <w:r>
        <w:t>36. Finalmente, el Gobierno de la Generalitat Valenciana, en el recurso de inconstitucionalidad núm. 6588-2024, presentó también un recurso de súplica contra la diligencia de ordenación de 14 de febrero de 2025. En él se argumenta que su tramitación resulta manifiestamente defectuosa, por cuanto se ha ordenado su tramitación en un procedimiento ajeno, la cuestión de inconstitucionalidad núm. 6053-2024, en el que no es parte cuando debería haberse sustanciado en su propio proceso constitucional.</w:t>
      </w:r>
    </w:p>
    <w:p w14:paraId="00EF3583" w14:textId="77777777" w:rsidR="00B35D37" w:rsidRDefault="00B35D37" w:rsidP="00B35D37">
      <w:pPr>
        <w:pStyle w:val="TextoNormal"/>
      </w:pPr>
    </w:p>
    <w:p w14:paraId="005642C7" w14:textId="77777777" w:rsidR="00B35D37" w:rsidRDefault="00B35D37" w:rsidP="00B35D37">
      <w:pPr>
        <w:pStyle w:val="TextoNormal"/>
      </w:pPr>
      <w:r>
        <w:t>37. Pese a la gravedad y solidez de las cuestiones procesales planteadas, ocasionadas por la tramitación de la totalidad de los recursos de súplica en un procedimiento distinto al que se han interpuesto, el Tribunal Constitucional no ha emitido resolución expresa alguna sobre ninguno de los tres escritos mencionados, con carácter previo a dictar el ATC 12/2025. La inexistencia de una decisión acerca de la tramitación de los dos recursos de súplica y de la solicitud de aclaración interpuestos frente a la diligencia de ordenación de 14 de febrero de 2025, no resulta justificada y ocasiona una nueva situación de indefensión procesal.</w:t>
      </w:r>
    </w:p>
    <w:p w14:paraId="7716D989" w14:textId="77777777" w:rsidR="00B35D37" w:rsidRDefault="00B35D37" w:rsidP="00B35D37">
      <w:pPr>
        <w:pStyle w:val="TextoNormal"/>
      </w:pPr>
    </w:p>
    <w:p w14:paraId="644DB3EC" w14:textId="77777777" w:rsidR="00B35D37" w:rsidRDefault="00B35D37" w:rsidP="00B35D37">
      <w:pPr>
        <w:pStyle w:val="TextoNormal"/>
      </w:pPr>
      <w:r>
        <w:t xml:space="preserve">E) </w:t>
      </w:r>
      <w:r w:rsidRPr="00B35D37">
        <w:rPr>
          <w:i/>
        </w:rPr>
        <w:t>Razones por las que se debieron estimar los recursos de súplica interpuestos frente al ATC 12/2025</w:t>
      </w:r>
    </w:p>
    <w:p w14:paraId="50B40B28" w14:textId="77777777" w:rsidR="00B35D37" w:rsidRDefault="00B35D37" w:rsidP="00B35D37">
      <w:pPr>
        <w:pStyle w:val="TextoNormal"/>
      </w:pPr>
    </w:p>
    <w:p w14:paraId="4F121889" w14:textId="77777777" w:rsidR="00B35D37" w:rsidRDefault="00B35D37" w:rsidP="00B35D37">
      <w:pPr>
        <w:pStyle w:val="TextoNormal"/>
      </w:pPr>
      <w:r>
        <w:t>38. Finalmente debemos insistir en las razones que expusimos en nuestros votos particulares al ATC 12/2025 y que deberían haber determinado que se estimaran los recursos de súplica interpuestos.</w:t>
      </w:r>
    </w:p>
    <w:p w14:paraId="43272C63" w14:textId="77777777" w:rsidR="00B35D37" w:rsidRDefault="00B35D37" w:rsidP="00B35D37">
      <w:pPr>
        <w:pStyle w:val="TextoNormal"/>
      </w:pPr>
    </w:p>
    <w:p w14:paraId="492B0275" w14:textId="77777777" w:rsidR="00B35D37" w:rsidRDefault="00B35D37" w:rsidP="00B35D37">
      <w:pPr>
        <w:pStyle w:val="TextoNormal"/>
      </w:pPr>
      <w:r>
        <w:t xml:space="preserve">39. Como ya indicamos en aquellos votos, el apartamiento del magistrado señor Macías Castaño de la totalidad de los recursos de inconstitucionalidad y de las cuestiones de inconstitucionalidad, incluso de aquellas en las que no había sido recusado, mediante el ATC 12/2025 que ahora se confirma, se prescindió —como indican los recurrentes— del procedimiento previsto en los arts. 223.3 y 4 LOPJ y 107.3 y 4 LEC, aplicables </w:t>
      </w:r>
      <w:r w:rsidRPr="00B35D37">
        <w:rPr>
          <w:i/>
        </w:rPr>
        <w:t>ex</w:t>
      </w:r>
      <w:r>
        <w:t xml:space="preserve"> art. 80 LOTC a la recusación de los magistrados del Tribunal Constitucional, se desconocieron los derechos de las partes y la garantía del recusado (arts. 24.2 CE, 6.1 CEDH y 47 de la Carta Europea de los derechos fundamentales) y supuso la renuncia al obligado control de oficio de los presupuestos temporales y formales establecidos en los arts. 223.1 y 2 LOPJ y 107.1 y 2 LEC, que tienen naturaleza de orden público procesal (ATC 6/2012, de 13 de enero, FJ 1).</w:t>
      </w:r>
    </w:p>
    <w:p w14:paraId="278F7D6C" w14:textId="77777777" w:rsidR="00B35D37" w:rsidRDefault="00B35D37" w:rsidP="00B35D37">
      <w:pPr>
        <w:pStyle w:val="TextoNormal"/>
      </w:pPr>
    </w:p>
    <w:p w14:paraId="73C30C37" w14:textId="77777777" w:rsidR="00B35D37" w:rsidRDefault="00B35D37" w:rsidP="00B35D37">
      <w:pPr>
        <w:pStyle w:val="TextoNormal"/>
      </w:pPr>
      <w:r>
        <w:t xml:space="preserve">40. El ATC 12/2025 y el que ahora lo confirma no solo desconoció el derecho de intervenir y alegar a quienes han sido parte en los procedimientos de los que traen causa las cuestiones de inconstitucionalidad, sino también a las representaciones de quienes integran las Cortes Generales y de doce gobiernos autonómicos y tres parlamentos de distintas comunidades autónomas, quienes ostentan una </w:t>
      </w:r>
      <w:r w:rsidRPr="00B35D37">
        <w:rPr>
          <w:i/>
        </w:rPr>
        <w:t>legitimatio</w:t>
      </w:r>
      <w:r>
        <w:t xml:space="preserve"> constitucionalmente cualificada [</w:t>
      </w:r>
      <w:r w:rsidRPr="00B35D37">
        <w:rPr>
          <w:i/>
        </w:rPr>
        <w:t>ex</w:t>
      </w:r>
      <w:r>
        <w:t xml:space="preserve"> art. 162.1 a) CE], de especial significación política, institucional y democrática en los recursos de inconstitucionalidad ya admitidos a trámite. Tales gobiernos y parlamentos autonómicos no han podido formular alegación alguna, ni formal ni sustantiva, acerca de las recusaciones promovidas en la totalidad de los recursos de inconstitucionalidad por la Abogacía General del Estado y que se encontraban pendientes de admisión y, como bien afirman, ninguna intervención ha podido tener en la recusación inicialmente estimada al no ser parte.</w:t>
      </w:r>
    </w:p>
    <w:p w14:paraId="7186E8D1" w14:textId="77777777" w:rsidR="00B35D37" w:rsidRDefault="00B35D37" w:rsidP="00B35D37">
      <w:pPr>
        <w:pStyle w:val="TextoNormal"/>
      </w:pPr>
    </w:p>
    <w:p w14:paraId="35BFB450" w14:textId="77777777" w:rsidR="00B35D37" w:rsidRDefault="00B35D37" w:rsidP="00B35D37">
      <w:pPr>
        <w:pStyle w:val="TextoNormal"/>
      </w:pPr>
      <w:r>
        <w:t>41. Además, el ATC 12/2025 y el que lo confirma, al dictarse sin que exista una previsión legal especifica y al prescindir del procedimiento establecido en los arts. 223.4 LOPJ y 107.4 LEC, que garantiza la intervención del magistrado “apartado”, vulnera la garantía del propio magistrado recusado [STC 91/2021, FJ 5.2.3 b)]. En efecto, el magistrado ha sido privado de su derecho al ejercicio del cargo (art. 23.2 CE), no solo separándose el Tribunal, sin justificación alguna, de su precedente inmediato (ATC 28/2023 —al que se ha hecho referencia—), sino sin tan siquiera ofrecerle la oportunidad de intervenir, a pesar de haber sido parte activa en todas las decisiones de admisión de los procesos de inconstitucionalidad.</w:t>
      </w:r>
    </w:p>
    <w:p w14:paraId="2B8C7424" w14:textId="77777777" w:rsidR="00B35D37" w:rsidRDefault="00B35D37" w:rsidP="00B35D37">
      <w:pPr>
        <w:pStyle w:val="TextoNormal"/>
      </w:pPr>
    </w:p>
    <w:p w14:paraId="4A73D4AA" w14:textId="77777777" w:rsidR="00B35D37" w:rsidRDefault="00B35D37" w:rsidP="00B35D37">
      <w:pPr>
        <w:pStyle w:val="TextoNormal"/>
      </w:pPr>
      <w:r>
        <w:t>42. Por último, como también se ha adelantado, no puede compartirse el argumento nuclear del auto, en virtud del cual la “regla general” de respetar los procedimientos “de abstención y recusación regulados por la Ley Orgánica del Poder Judicial y la Ley de enjuiciamiento civil, a los que remite el art. 80 LOTC”, puede desplazarse debido a que “el principio de imparcialidad sea un deber de orden público”.</w:t>
      </w:r>
    </w:p>
    <w:p w14:paraId="4B9288DE" w14:textId="77777777" w:rsidR="00B35D37" w:rsidRDefault="00B35D37" w:rsidP="00B35D37">
      <w:pPr>
        <w:pStyle w:val="TextoNormal"/>
      </w:pPr>
    </w:p>
    <w:p w14:paraId="60A5E138" w14:textId="77777777" w:rsidR="00B35D37" w:rsidRDefault="00B35D37" w:rsidP="00B35D37">
      <w:pPr>
        <w:pStyle w:val="TextoNormal"/>
      </w:pPr>
      <w:r>
        <w:t>43. Debe indicarse precisamente que el principio de imparcialidad se ve asegurado a través del respeto al procedimiento legalmente establecido: sin su sujeción a la ley, no puede existir juez imparcial. Prescindir del procedimiento y de las garantías constitucionalmente establecidas —que también son de orden público— es precisamente el camino más corto para vulnerar el derecho al juez imparcial.</w:t>
      </w:r>
    </w:p>
    <w:p w14:paraId="55311F84" w14:textId="77777777" w:rsidR="00B35D37" w:rsidRDefault="00B35D37" w:rsidP="00B35D37">
      <w:pPr>
        <w:pStyle w:val="TextoNormal"/>
      </w:pPr>
    </w:p>
    <w:p w14:paraId="11436586" w14:textId="77777777" w:rsidR="00B35D37" w:rsidRDefault="00B35D37" w:rsidP="00B35D37">
      <w:pPr>
        <w:pStyle w:val="TextoNormal"/>
      </w:pPr>
      <w:r>
        <w:t>44. A diferencia de lo que resulta del auto (fundamentos jurídicos 4 y 6), el respeto a las garantías constitucionales y el derecho a un juez imparcial no son incompatibles ni están en conflicto, sino que se refuerzan mutuamente. Ambos principios son elementos esenciales para asegurar un proceso justo, en el que la imparcialidad del juez se garantiza a través del cumplimiento de las normas y procedimientos establecidos por la Constitución.</w:t>
      </w:r>
    </w:p>
    <w:p w14:paraId="7D7A4CF6" w14:textId="77777777" w:rsidR="00B35D37" w:rsidRDefault="00B35D37" w:rsidP="00B35D37">
      <w:pPr>
        <w:pStyle w:val="TextoNormal"/>
      </w:pPr>
    </w:p>
    <w:p w14:paraId="6180B615" w14:textId="77777777" w:rsidR="00B35D37" w:rsidRDefault="00B35D37" w:rsidP="00B35D37">
      <w:pPr>
        <w:pStyle w:val="TextoNormal"/>
      </w:pPr>
      <w:r>
        <w:t>45. Por otra parte, debe indicarse que además de la inexistente previsión de ley, ninguna justificación legítima tenía prescindir del procedimiento legalmente establecido, cuando en la totalidad de los recursos de inconstitucionalidad se encontraban pendientes de admisión y tramitación las recusaciones interpuestas por la Abogacía General del Estado.</w:t>
      </w:r>
    </w:p>
    <w:p w14:paraId="3290A417" w14:textId="77777777" w:rsidR="00B35D37" w:rsidRDefault="00B35D37" w:rsidP="00B35D37">
      <w:pPr>
        <w:pStyle w:val="TextoNormal"/>
      </w:pPr>
    </w:p>
    <w:p w14:paraId="1CC410D7" w14:textId="77777777" w:rsidR="00B35D37" w:rsidRDefault="00B35D37" w:rsidP="00B35D37">
      <w:pPr>
        <w:pStyle w:val="TextoNormal"/>
      </w:pPr>
      <w:r>
        <w:t>46. Ya se dijo en otro de los votos particulares que la percepción de la justicia no solo depende del resultado, sino también de la forma en que se llega a él, a lo que ahora añadimos que los atajos en el respeto de las garantías constitucionales no suelen conducir a la realización de la mejor justicia.</w:t>
      </w:r>
    </w:p>
    <w:p w14:paraId="6C78A4E4" w14:textId="77777777" w:rsidR="00B35D37" w:rsidRDefault="00B35D37" w:rsidP="00B35D37">
      <w:pPr>
        <w:pStyle w:val="TextoNormal"/>
      </w:pPr>
    </w:p>
    <w:p w14:paraId="4473E0CE" w14:textId="77777777" w:rsidR="00B35D37" w:rsidRDefault="00B35D37" w:rsidP="00B35D37">
      <w:pPr>
        <w:pStyle w:val="TextoNormal"/>
      </w:pPr>
      <w:r>
        <w:t>Y en este sentido emitimos el presente voto particular.</w:t>
      </w:r>
    </w:p>
    <w:p w14:paraId="614C26AF" w14:textId="77777777" w:rsidR="00B35D37" w:rsidRDefault="00B35D37" w:rsidP="00B35D37">
      <w:pPr>
        <w:pStyle w:val="TextoNormal"/>
      </w:pPr>
    </w:p>
    <w:p w14:paraId="64843D33" w14:textId="4174F160" w:rsidR="00B35D37" w:rsidRDefault="00B35D37" w:rsidP="00B35D37">
      <w:pPr>
        <w:pStyle w:val="TextoNormal"/>
      </w:pPr>
      <w:r>
        <w:t>Madrid, a trece de mayo de dos mil veinticinco.</w:t>
      </w:r>
    </w:p>
    <w:p w14:paraId="05B0E5D1" w14:textId="6E6D2DDB" w:rsidR="00B35D37" w:rsidRDefault="00B35D37">
      <w:pPr>
        <w:spacing w:after="160" w:line="278" w:lineRule="auto"/>
        <w:rPr>
          <w:rFonts w:ascii="Times New Roman" w:eastAsia="Times New Roman" w:hAnsi="Times New Roman" w:cs="Times New Roman"/>
          <w:sz w:val="24"/>
          <w:szCs w:val="24"/>
          <w:lang w:eastAsia="es-ES"/>
        </w:rPr>
      </w:pPr>
      <w:r>
        <w:br w:type="page"/>
      </w:r>
    </w:p>
    <w:p w14:paraId="03B90C93" w14:textId="77777777" w:rsidR="00B35D37" w:rsidRDefault="00B35D37" w:rsidP="00B35D37">
      <w:pPr>
        <w:pStyle w:val="TtuloResolucin"/>
      </w:pPr>
      <w:bookmarkStart w:id="175" w:name="AUTO_2025_36"/>
      <w:r>
        <w:t>AUTO 36/2025, de 23 de mayo de 2025</w:t>
      </w:r>
    </w:p>
    <w:bookmarkEnd w:id="175"/>
    <w:p w14:paraId="68D822DC" w14:textId="77777777" w:rsidR="00B35D37" w:rsidRDefault="00B35D37" w:rsidP="00B35D37">
      <w:pPr>
        <w:pStyle w:val="TtuloResolucin"/>
      </w:pPr>
      <w:r>
        <w:t>Sección Primera</w:t>
      </w:r>
    </w:p>
    <w:p w14:paraId="209D57C6" w14:textId="77777777" w:rsidR="00B35D37" w:rsidRDefault="00B35D37" w:rsidP="00B35D37">
      <w:pPr>
        <w:pStyle w:val="TextoNormalCentrado"/>
      </w:pPr>
      <w:r>
        <w:t>ECLI:ES:TC:2025:36A</w:t>
      </w:r>
    </w:p>
    <w:p w14:paraId="0AEC0F22" w14:textId="1D0D41AD" w:rsidR="00B35D37" w:rsidRDefault="00B35D37" w:rsidP="00B35D37">
      <w:pPr>
        <w:pStyle w:val="TextoNormalCentrado"/>
      </w:pPr>
    </w:p>
    <w:p w14:paraId="4303D5C4" w14:textId="77777777" w:rsidR="00B35D37" w:rsidRDefault="00B35D37" w:rsidP="00B35D37">
      <w:pPr>
        <w:pStyle w:val="SntesisDescriptiva"/>
      </w:pPr>
      <w:r>
        <w:t>Excms. Srs. don Cándido Conde-Pumpido Tourón, doña Concepción Espejel Jorquera y doña María Luisa Segoviano Astaburuaga.</w:t>
      </w:r>
    </w:p>
    <w:p w14:paraId="4408BDCA" w14:textId="1E65D0B1" w:rsidR="00B35D37" w:rsidRDefault="00B35D37" w:rsidP="00B35D37">
      <w:pPr>
        <w:pStyle w:val="SntesisDescriptiva"/>
      </w:pPr>
    </w:p>
    <w:p w14:paraId="207E8565" w14:textId="77777777" w:rsidR="00B35D37" w:rsidRDefault="00B35D37" w:rsidP="00B35D37">
      <w:pPr>
        <w:pStyle w:val="SntesisDescriptiva"/>
      </w:pPr>
      <w:r>
        <w:t>Se declara incompetente para enjuiciar la impugnación de una resolución de la Comisión Central de Asistencia Jurídica Gratuita en el recurso de amparo 5826-2024, promovido por don Rubén Jiménez Alonso en causa penal.</w:t>
      </w:r>
    </w:p>
    <w:p w14:paraId="4581B634" w14:textId="1C37B745" w:rsidR="00B35D37" w:rsidRDefault="00B35D37" w:rsidP="00B35D37">
      <w:pPr>
        <w:pStyle w:val="SntesisDescriptiva"/>
      </w:pPr>
    </w:p>
    <w:p w14:paraId="3EEB323B" w14:textId="77777777" w:rsidR="00B35D37" w:rsidRDefault="00B35D37" w:rsidP="00B35D37">
      <w:pPr>
        <w:pStyle w:val="SntesisDescriptiva"/>
      </w:pPr>
    </w:p>
    <w:p w14:paraId="00F89372" w14:textId="77777777" w:rsidR="00B35D37" w:rsidRDefault="00B35D37" w:rsidP="00B35D37">
      <w:pPr>
        <w:pStyle w:val="SntesisDescriptiva"/>
      </w:pPr>
    </w:p>
    <w:p w14:paraId="1B0855DD" w14:textId="77777777" w:rsidR="00B35D37" w:rsidRDefault="00B35D37" w:rsidP="00B35D37">
      <w:pPr>
        <w:pStyle w:val="TextoNormalNegritaCentrado"/>
      </w:pPr>
      <w:r>
        <w:t>AUTO</w:t>
      </w:r>
    </w:p>
    <w:p w14:paraId="319B0976" w14:textId="23C6C1DF" w:rsidR="00B35D37" w:rsidRDefault="00B35D37" w:rsidP="00B35D37">
      <w:pPr>
        <w:pStyle w:val="TextoNormalNegritaCentrado"/>
      </w:pPr>
    </w:p>
    <w:p w14:paraId="406F9DD2" w14:textId="77777777" w:rsidR="00B35D37" w:rsidRDefault="00B35D37" w:rsidP="00B35D37">
      <w:pPr>
        <w:pStyle w:val="TextoNormalNegritaCentrado"/>
        <w:keepNext/>
      </w:pPr>
      <w:r>
        <w:t>I. Antecedentes</w:t>
      </w:r>
    </w:p>
    <w:p w14:paraId="05444CA4" w14:textId="283CD2CC" w:rsidR="00B35D37" w:rsidRDefault="00B35D37" w:rsidP="00B35D37">
      <w:pPr>
        <w:pStyle w:val="TextoNormalNegritaCentrado"/>
        <w:keepNext/>
      </w:pPr>
    </w:p>
    <w:p w14:paraId="574DBA44" w14:textId="15B68B3E" w:rsidR="00B35D37" w:rsidRDefault="00B35D37" w:rsidP="00B35D37">
      <w:pPr>
        <w:pStyle w:val="TextoNormal"/>
      </w:pPr>
      <w:r w:rsidRPr="00B35D37">
        <w:rPr>
          <w:rStyle w:val="NumeroAFNegritaCaracter"/>
        </w:rPr>
        <w:t>1</w:t>
      </w:r>
      <w:r>
        <w:t>. Mediante escrito que tuvo entrada en el registro de este tribunal el 23 de julio de 2024, don Rubén Jiménez Alonso, anunció su voluntad de interponer recurso de amparo contra la denegación de asistencia jurídica gratuita para recurrir el auto núm. 2159/2023 del Juzgado de Instrucción núm. 16 de Madrid, de 29 de noviembre de 2023.</w:t>
      </w:r>
    </w:p>
    <w:p w14:paraId="3F732F59" w14:textId="77777777" w:rsidR="00B35D37" w:rsidRDefault="00B35D37" w:rsidP="00B35D37">
      <w:pPr>
        <w:pStyle w:val="TextoNormal"/>
      </w:pPr>
    </w:p>
    <w:p w14:paraId="42DCA087" w14:textId="1FD53BAA" w:rsidR="00B35D37" w:rsidRDefault="00B35D37" w:rsidP="00B35D37">
      <w:pPr>
        <w:pStyle w:val="TextoNormal"/>
      </w:pPr>
      <w:r w:rsidRPr="00B35D37">
        <w:rPr>
          <w:rStyle w:val="NumeroAFNegritaCaracter"/>
        </w:rPr>
        <w:t>2</w:t>
      </w:r>
      <w:r>
        <w:t>. Por diligencia de ordenación de 4 de octubre de 2024, se acordó requerir al Juzgado de Instrucción núm. 16 de Madrid, para que certificara si la anterior resolución era firme y acreditara fecha de su notificación. Por el referido juzgado se aportó testimonio completo del procedimiento —diligencias previas núm. 2456-2023—, que se incorporaron a las presentes actuaciones.</w:t>
      </w:r>
    </w:p>
    <w:p w14:paraId="15B8B7A6" w14:textId="77777777" w:rsidR="00B35D37" w:rsidRDefault="00B35D37" w:rsidP="00B35D37">
      <w:pPr>
        <w:pStyle w:val="TextoNormal"/>
      </w:pPr>
    </w:p>
    <w:p w14:paraId="031BF0F1" w14:textId="5D1D0DA3" w:rsidR="00B35D37" w:rsidRDefault="00B35D37" w:rsidP="00B35D37">
      <w:pPr>
        <w:pStyle w:val="TextoNormal"/>
      </w:pPr>
      <w:r w:rsidRPr="00B35D37">
        <w:rPr>
          <w:rStyle w:val="NumeroAFNegritaCaracter"/>
        </w:rPr>
        <w:t>3</w:t>
      </w:r>
      <w:r>
        <w:t>. Por diligencia de ordenación de 31 de octubre de 2024 se acordó librar despacho al Ilustre Colegio de la Abogacía de Madrid para que designara al recurrente abogado/a y procurador/a del turno de oficio para la representación y defensa de don Rubén Jiménez Alonso en las presentes actuaciones.</w:t>
      </w:r>
    </w:p>
    <w:p w14:paraId="43521653" w14:textId="77777777" w:rsidR="00B35D37" w:rsidRDefault="00B35D37" w:rsidP="00B35D37">
      <w:pPr>
        <w:pStyle w:val="TextoNormal"/>
      </w:pPr>
    </w:p>
    <w:p w14:paraId="1400ABEA" w14:textId="5B14952F" w:rsidR="00B35D37" w:rsidRDefault="00B35D37" w:rsidP="00B35D37">
      <w:pPr>
        <w:pStyle w:val="TextoNormal"/>
      </w:pPr>
      <w:r w:rsidRPr="00B35D37">
        <w:rPr>
          <w:rStyle w:val="NumeroAFNegritaCaracter"/>
        </w:rPr>
        <w:t>4</w:t>
      </w:r>
      <w:r>
        <w:t>. Por escrito de 27 de enero de 2025, que tuvo entrada en el registro de este tribunal el 11 de febrero de 2025, la Comisión Central de Asistencia Jurídica Gratuita comunica la denegación de la solicitud de reconocimiento de asistencia jurídica gratuita a don Rubén Jiménez Alonso.</w:t>
      </w:r>
    </w:p>
    <w:p w14:paraId="44D63A68" w14:textId="77777777" w:rsidR="00B35D37" w:rsidRDefault="00B35D37" w:rsidP="00B35D37">
      <w:pPr>
        <w:pStyle w:val="TextoNormal"/>
      </w:pPr>
    </w:p>
    <w:p w14:paraId="2585DEA1" w14:textId="5E3BAF80" w:rsidR="00B35D37" w:rsidRDefault="00B35D37" w:rsidP="00B35D37">
      <w:pPr>
        <w:pStyle w:val="TextoNormal"/>
      </w:pPr>
      <w:r w:rsidRPr="00B35D37">
        <w:rPr>
          <w:rStyle w:val="NumeroAFNegritaCaracter"/>
        </w:rPr>
        <w:t>5</w:t>
      </w:r>
      <w:r>
        <w:t>. Mediante escrito de 3 de marzo de 2025, recibido en el registro del Tribunal el 14 de marzo de 2025, la Comisión Central de Asistencia Jurídica Gratuita comunica la impugnación de la resolución adoptada y la remisión del expediente para su resolución al decanato de los juzgados de Madrid y con su resultado se comunicaría a este tribunal.</w:t>
      </w:r>
    </w:p>
    <w:p w14:paraId="58B0BF99" w14:textId="77777777" w:rsidR="00B35D37" w:rsidRDefault="00B35D37" w:rsidP="00B35D37">
      <w:pPr>
        <w:pStyle w:val="TextoNormal"/>
      </w:pPr>
    </w:p>
    <w:p w14:paraId="6A889F36" w14:textId="331BE7AD" w:rsidR="00B35D37" w:rsidRDefault="00B35D37" w:rsidP="00B35D37">
      <w:pPr>
        <w:pStyle w:val="TextoNormal"/>
      </w:pPr>
      <w:r w:rsidRPr="00B35D37">
        <w:rPr>
          <w:rStyle w:val="NumeroAFNegritaCaracter"/>
        </w:rPr>
        <w:t>6</w:t>
      </w:r>
      <w:r>
        <w:t>. El día 2 de abril de 2025, se recibe oficio del Juzgado de Instrucción núm. 16 de Madrid adjuntando el procedimiento instruido, impugnación de resoluciones de justicia gratuita núm. 756-2025, al haberse dictado providencia, de 25 de marzo de 2025, en el que se acuerda la remisión “de las presentes actuaciones [al Tribunal Constitucional] al ser el órgano competente para la tramitación del expediente de impugnación [</w:t>
      </w:r>
      <w:r w:rsidRPr="00B35D37">
        <w:rPr>
          <w:i/>
        </w:rPr>
        <w:t>sic</w:t>
      </w:r>
      <w:r>
        <w:t>]”.</w:t>
      </w:r>
    </w:p>
    <w:p w14:paraId="4909AD2B" w14:textId="77777777" w:rsidR="00B35D37" w:rsidRDefault="00B35D37" w:rsidP="00B35D37">
      <w:pPr>
        <w:pStyle w:val="TextoNormal"/>
      </w:pPr>
    </w:p>
    <w:p w14:paraId="5CA06B0A" w14:textId="12669EA0" w:rsidR="00B35D37" w:rsidRDefault="00B35D37" w:rsidP="00B35D37">
      <w:pPr>
        <w:pStyle w:val="TextoNormal"/>
      </w:pPr>
      <w:r w:rsidRPr="00B35D37">
        <w:rPr>
          <w:rStyle w:val="NumeroAFNegritaCaracter"/>
        </w:rPr>
        <w:t>7</w:t>
      </w:r>
      <w:r>
        <w:t>. Por diligencia de ordenación de 4 de abril de 2025, se acordó tener por recibidas las precedentes actuaciones del Juzgado de Instrucción núm. 16 de Madrid y conceder un plazo de tres días a la Abogacía del Estado y a don Rubén Jiménez Alonso, para alegaciones sobre la competencia de este tribunal para conocer de la impugnación presentada.</w:t>
      </w:r>
    </w:p>
    <w:p w14:paraId="03D7E488" w14:textId="77777777" w:rsidR="00B35D37" w:rsidRDefault="00B35D37" w:rsidP="00B35D37">
      <w:pPr>
        <w:pStyle w:val="TextoNormal"/>
      </w:pPr>
    </w:p>
    <w:p w14:paraId="61350C77" w14:textId="74B43792" w:rsidR="00B35D37" w:rsidRDefault="00B35D37" w:rsidP="00B35D37">
      <w:pPr>
        <w:pStyle w:val="TextoNormal"/>
      </w:pPr>
      <w:r w:rsidRPr="00B35D37">
        <w:rPr>
          <w:rStyle w:val="NumeroAFNegritaCaracter"/>
        </w:rPr>
        <w:t>8</w:t>
      </w:r>
      <w:r>
        <w:t>. El abogado del Estado presentó escrito de alegaciones el 8 de abril de 2025, considerando que el Tribunal Constitucional carece de competencia para conocer de la impugnación de la denegación de justicia gratuita planteada, al no ser sobrevenida la insuficiencia económica del solicitante, citando la doctrina jurisprudencial de este tribunal aplicable.</w:t>
      </w:r>
    </w:p>
    <w:p w14:paraId="5759B546" w14:textId="77777777" w:rsidR="00B35D37" w:rsidRDefault="00B35D37" w:rsidP="00B35D37">
      <w:pPr>
        <w:pStyle w:val="TextoNormal"/>
      </w:pPr>
    </w:p>
    <w:p w14:paraId="47B95C24" w14:textId="2D109B1C" w:rsidR="00B35D37" w:rsidRDefault="00B35D37" w:rsidP="00B35D37">
      <w:pPr>
        <w:pStyle w:val="TextoNormal"/>
      </w:pPr>
      <w:r w:rsidRPr="00B35D37">
        <w:rPr>
          <w:rStyle w:val="NumeroAFNegritaCaracter"/>
        </w:rPr>
        <w:t>9</w:t>
      </w:r>
      <w:r>
        <w:t>. Con fecha de entrada 28 de abril de 2025, don Rubén Jiménez Alonso presentó escrito de alegaciones en el que ratifica sus pedimentos efectuados con anterioridad, e insistiendo en la ilegalidad al no designarse profesionales del turno de oficio.</w:t>
      </w:r>
    </w:p>
    <w:p w14:paraId="3E65F775" w14:textId="77777777" w:rsidR="00B35D37" w:rsidRDefault="00B35D37" w:rsidP="00B35D37">
      <w:pPr>
        <w:pStyle w:val="TextoNormal"/>
      </w:pPr>
    </w:p>
    <w:p w14:paraId="41E7E903" w14:textId="77777777" w:rsidR="00B35D37" w:rsidRDefault="00B35D37" w:rsidP="00B35D37">
      <w:pPr>
        <w:pStyle w:val="TextoNormalNegritaCentrado"/>
        <w:keepNext/>
      </w:pPr>
      <w:r>
        <w:t>II. Fundamentos jurídicos</w:t>
      </w:r>
    </w:p>
    <w:p w14:paraId="0408A271" w14:textId="5A4C7316" w:rsidR="00B35D37" w:rsidRDefault="00B35D37" w:rsidP="00B35D37">
      <w:pPr>
        <w:pStyle w:val="TextoNormalNegritaCentrado"/>
        <w:keepNext/>
      </w:pPr>
    </w:p>
    <w:p w14:paraId="74AE9189" w14:textId="77777777" w:rsidR="00B35D37" w:rsidRDefault="00B35D37" w:rsidP="00B35D37">
      <w:pPr>
        <w:pStyle w:val="TextoNormal"/>
      </w:pPr>
      <w:r w:rsidRPr="00B35D37">
        <w:rPr>
          <w:rStyle w:val="NumeroAFNegritaCaracter"/>
        </w:rPr>
        <w:t>1</w:t>
      </w:r>
      <w:r>
        <w:t>. Este tribunal ha tenido ocasión de pronunciarse sobre supuestos análogos. Concretamente en el ATC 95/2022, de 14 de junio, con cita del ATC 75/2017, de 9 de mayo, FJ 2, que a su vez cita el ATC 112/2012, de 31 de mayo, recordamos que el Tribunal Constitucional solo es competente para resolver impugnaciones referidas al derecho a la asistencia jurídica gratuita cuando la insuficiencia económica del solicitante tiene lugar después de la interposición del recurso de amparo.</w:t>
      </w:r>
    </w:p>
    <w:p w14:paraId="1C4234E5" w14:textId="77777777" w:rsidR="00B35D37" w:rsidRDefault="00B35D37" w:rsidP="00B35D37">
      <w:pPr>
        <w:pStyle w:val="TextoNormal"/>
      </w:pPr>
    </w:p>
    <w:p w14:paraId="6A113383" w14:textId="4EA538FF" w:rsidR="00B35D37" w:rsidRDefault="00B35D37" w:rsidP="00B35D37">
      <w:pPr>
        <w:pStyle w:val="TextoNormal"/>
      </w:pPr>
      <w:r>
        <w:t>Y señalamos que “resulta, por tanto, que, según lo dispuesto en el acuerdo del Pleno de este tribunal de 18 de junio de 1996, en consonancia con lo dispuesto en el art. 20 de la Ley 1/1996, de 10 enero, la competencia para resolver este tipo de reclamaciones solo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 (AATC 75/2017, FJ 2, y 35/2020, de 6 de marzo).</w:t>
      </w:r>
    </w:p>
    <w:p w14:paraId="1325819B" w14:textId="77777777" w:rsidR="00B35D37" w:rsidRDefault="00B35D37" w:rsidP="00B35D37">
      <w:pPr>
        <w:pStyle w:val="TextoNormal"/>
      </w:pPr>
    </w:p>
    <w:p w14:paraId="507C1A9E" w14:textId="77777777" w:rsidR="00B35D37" w:rsidRDefault="00B35D37" w:rsidP="00B35D37">
      <w:pPr>
        <w:pStyle w:val="TextoNormal"/>
      </w:pPr>
      <w:r w:rsidRPr="00B35D37">
        <w:rPr>
          <w:rStyle w:val="NumeroAFNegritaCaracter"/>
        </w:rPr>
        <w:t>2</w:t>
      </w:r>
      <w:r>
        <w:t>. En el presente caso, la solicitud de asistencia jurídica gratuita se efectuó en el mismo escrito en el que se anunciaba la pretensión de formular demanda de amparo, por lo que la situación que justificaría la concesión del referido derecho no sobrevino con posterioridad a la presentación del referido escrito. Todo ello conlleva, conforme a lo anteriormente expuesto, que este tribunal carezca de competencia para resolver la impugnación formulada contra la resolución de la Comisión Central de Asistencia Jurídica Gratuita que denegó el derecho a la asistencia jurídica gratuita a don Rubén Jiménez Alonso, para interponer recurso de amparo contra la denegación de la asistencia jurídica gratuita para recurrir el auto núm. 2159/2023 del Juzgado de Instrucción núm. 16 de Madrid, dictado en las diligencias previas 2456-2023.</w:t>
      </w:r>
    </w:p>
    <w:p w14:paraId="1D1267CA" w14:textId="77777777" w:rsidR="00B35D37" w:rsidRDefault="00B35D37" w:rsidP="00B35D37">
      <w:pPr>
        <w:pStyle w:val="TextoNormal"/>
      </w:pPr>
    </w:p>
    <w:p w14:paraId="47E98697" w14:textId="1C62A8BE" w:rsidR="00B35D37" w:rsidRDefault="00B35D37" w:rsidP="00B35D37">
      <w:pPr>
        <w:pStyle w:val="TextoNormal"/>
      </w:pPr>
      <w:r>
        <w:t>Por tanto, de conformidad con lo previsto en los arts. 9 y 10 del acuerdo del Pleno del Tribunal Constitucional de 18 de junio de 1996 y el art. 4.1 de la Ley Orgánica del Tribunal Constitucional, la Sección</w:t>
      </w:r>
    </w:p>
    <w:p w14:paraId="11735220" w14:textId="77777777" w:rsidR="00B35D37" w:rsidRDefault="00B35D37" w:rsidP="00B35D37">
      <w:pPr>
        <w:pStyle w:val="TextoNormal"/>
      </w:pPr>
    </w:p>
    <w:p w14:paraId="26E1B44D" w14:textId="77777777" w:rsidR="00B35D37" w:rsidRDefault="00B35D37" w:rsidP="00B35D37">
      <w:pPr>
        <w:pStyle w:val="TextoNormalCentrado"/>
      </w:pPr>
      <w:r>
        <w:t>ACUERDA</w:t>
      </w:r>
    </w:p>
    <w:p w14:paraId="10BF8093" w14:textId="1DB43F00" w:rsidR="00B35D37" w:rsidRDefault="00B35D37" w:rsidP="00B35D37">
      <w:pPr>
        <w:pStyle w:val="TextoNormalCentrado"/>
      </w:pPr>
    </w:p>
    <w:p w14:paraId="037BD3D3" w14:textId="77777777" w:rsidR="00B35D37" w:rsidRDefault="00B35D37" w:rsidP="00B35D37">
      <w:pPr>
        <w:pStyle w:val="TextoNormal"/>
      </w:pPr>
      <w:r>
        <w:t>1° Declararse incompetente para el enjuiciamiento de la impugnación interpuesta por don Rubén Jiménez Alonso, contra la resolución de la Comisión Central de Asistencia Jurídica Gratuita, de 27 de enero de 2025, en su expediente núm. 304-2025.</w:t>
      </w:r>
    </w:p>
    <w:p w14:paraId="211DE6C2" w14:textId="77777777" w:rsidR="00B35D37" w:rsidRDefault="00B35D37" w:rsidP="00B35D37">
      <w:pPr>
        <w:pStyle w:val="TextoNormal"/>
      </w:pPr>
    </w:p>
    <w:p w14:paraId="6C5A1329" w14:textId="5DE5BB24" w:rsidR="00B35D37" w:rsidRDefault="00B35D37" w:rsidP="00B35D37">
      <w:pPr>
        <w:pStyle w:val="TextoNormal"/>
      </w:pPr>
      <w:r>
        <w:t>2° Devolver al Juzgado de Instrucción núm. 16 de Madrid las actuaciones que en su día fueron remitidas por dicho órgano a este tribunal.</w:t>
      </w:r>
    </w:p>
    <w:p w14:paraId="031F57C2" w14:textId="77777777" w:rsidR="00B35D37" w:rsidRDefault="00B35D37" w:rsidP="00B35D37">
      <w:pPr>
        <w:pStyle w:val="TextoNormal"/>
      </w:pPr>
    </w:p>
    <w:p w14:paraId="3A9FFA44" w14:textId="77777777" w:rsidR="00B35D37" w:rsidRDefault="00B35D37" w:rsidP="00B35D37">
      <w:pPr>
        <w:pStyle w:val="TextoNormal"/>
      </w:pPr>
      <w:r>
        <w:t>Madrid, a veintitrés de mayo de dos mil veinticinco.</w:t>
      </w:r>
    </w:p>
    <w:p w14:paraId="082686CA" w14:textId="490DBB64" w:rsidR="00B35D37" w:rsidRDefault="00B35D37">
      <w:pPr>
        <w:spacing w:after="160" w:line="278" w:lineRule="auto"/>
        <w:rPr>
          <w:rFonts w:ascii="Times New Roman" w:eastAsia="Times New Roman" w:hAnsi="Times New Roman" w:cs="Times New Roman"/>
          <w:sz w:val="24"/>
          <w:szCs w:val="24"/>
          <w:lang w:eastAsia="es-ES"/>
        </w:rPr>
      </w:pPr>
      <w:r>
        <w:br w:type="page"/>
      </w:r>
    </w:p>
    <w:p w14:paraId="4CCF3574" w14:textId="77777777" w:rsidR="00B35D37" w:rsidRDefault="00B35D37" w:rsidP="00B35D37">
      <w:pPr>
        <w:pStyle w:val="TtuloResolucin"/>
      </w:pPr>
      <w:bookmarkStart w:id="176" w:name="AUTO_2025_37"/>
      <w:r>
        <w:t>AUTO 37/2025, de 26 de mayo de 2025</w:t>
      </w:r>
    </w:p>
    <w:bookmarkEnd w:id="176"/>
    <w:p w14:paraId="0F53D663" w14:textId="77777777" w:rsidR="00B35D37" w:rsidRDefault="00B35D37" w:rsidP="00B35D37">
      <w:pPr>
        <w:pStyle w:val="TtuloResolucin"/>
      </w:pPr>
      <w:r>
        <w:t>Sala Primera</w:t>
      </w:r>
    </w:p>
    <w:p w14:paraId="49860E14" w14:textId="77777777" w:rsidR="00B35D37" w:rsidRDefault="00B35D37" w:rsidP="00B35D37">
      <w:pPr>
        <w:pStyle w:val="TextoNormalCentrado"/>
      </w:pPr>
      <w:r>
        <w:t>ECLI:ES:TC:2025:37A</w:t>
      </w:r>
    </w:p>
    <w:p w14:paraId="2290485D" w14:textId="1434D2C2" w:rsidR="00B35D37" w:rsidRDefault="00B35D37" w:rsidP="00B35D37">
      <w:pPr>
        <w:pStyle w:val="TextoNormalCentrado"/>
      </w:pPr>
    </w:p>
    <w:p w14:paraId="69E47D1A"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49FD78C0" w14:textId="1C0E411C" w:rsidR="00B35D37" w:rsidRDefault="00B35D37" w:rsidP="00B35D37">
      <w:pPr>
        <w:pStyle w:val="SntesisDescriptiva"/>
      </w:pPr>
    </w:p>
    <w:p w14:paraId="44DB2EF9" w14:textId="77777777" w:rsidR="00B35D37" w:rsidRDefault="00B35D37" w:rsidP="00B35D37">
      <w:pPr>
        <w:pStyle w:val="SntesisDescriptiva"/>
      </w:pPr>
      <w:r>
        <w:t>Inadmite la solicitud de ejecución de la STC 30/2025, de 10 de febrero, dictada en el recurso de amparo 4166-2023, promovido por doña Miriam Gómez Fernández.</w:t>
      </w:r>
    </w:p>
    <w:p w14:paraId="51B860C9" w14:textId="2965E3A6" w:rsidR="00B35D37" w:rsidRDefault="00B35D37" w:rsidP="00B35D37">
      <w:pPr>
        <w:pStyle w:val="SntesisDescriptiva"/>
      </w:pPr>
    </w:p>
    <w:p w14:paraId="1ED77519" w14:textId="77777777" w:rsidR="00B35D37" w:rsidRDefault="00B35D37" w:rsidP="00B35D37">
      <w:pPr>
        <w:pStyle w:val="SntesisDescriptiva"/>
      </w:pPr>
    </w:p>
    <w:p w14:paraId="76F4EB33" w14:textId="77777777" w:rsidR="00B35D37" w:rsidRDefault="00B35D37" w:rsidP="00B35D37">
      <w:pPr>
        <w:pStyle w:val="SntesisDescriptiva"/>
      </w:pPr>
    </w:p>
    <w:p w14:paraId="60F85434" w14:textId="77777777" w:rsidR="00B35D37" w:rsidRDefault="00B35D37" w:rsidP="00B35D37">
      <w:pPr>
        <w:pStyle w:val="TextoNormalNegritaCentrado"/>
      </w:pPr>
      <w:r>
        <w:t>AUTO</w:t>
      </w:r>
    </w:p>
    <w:p w14:paraId="69F94672" w14:textId="1B107229" w:rsidR="00B35D37" w:rsidRDefault="00B35D37" w:rsidP="00B35D37">
      <w:pPr>
        <w:pStyle w:val="TextoNormalNegritaCentrado"/>
      </w:pPr>
    </w:p>
    <w:p w14:paraId="76A45848" w14:textId="77777777" w:rsidR="00B35D37" w:rsidRDefault="00B35D37" w:rsidP="00B35D37">
      <w:pPr>
        <w:pStyle w:val="TextoNormalNegritaCentrado"/>
        <w:keepNext/>
      </w:pPr>
      <w:r>
        <w:t>I. Antecedentes</w:t>
      </w:r>
    </w:p>
    <w:p w14:paraId="3A9EF114" w14:textId="7E935EAF" w:rsidR="00B35D37" w:rsidRDefault="00B35D37" w:rsidP="00B35D37">
      <w:pPr>
        <w:pStyle w:val="TextoNormalNegritaCentrado"/>
        <w:keepNext/>
      </w:pPr>
    </w:p>
    <w:p w14:paraId="7E2E2A5A" w14:textId="54D74BF7" w:rsidR="00B35D37" w:rsidRDefault="00B35D37" w:rsidP="00B35D37">
      <w:pPr>
        <w:pStyle w:val="TextoNormal"/>
      </w:pPr>
      <w:r w:rsidRPr="00B35D37">
        <w:rPr>
          <w:rStyle w:val="NumeroAFNegritaCaracter"/>
        </w:rPr>
        <w:t>1</w:t>
      </w:r>
      <w:r>
        <w:t>. Mediante escrito registrado el 19 de junio de 2024, doña Miriam Gómez Fernández, representada por la procuradora de los tribunales doña María Isabel Torres Ruiz y asistida por la letrada doña Susana Fuentes Gómez, interpuso recurso de amparo contra la denegación de la solicitud de ampliación de la prestación por nacimiento y cuidado de hija menor, adoptada por silencio administrativo por el Instituto Nacional de la Seguridad Social; contra la sentencia núm. 26/2022, de 6 de mayo, del Juzgado de lo Social núm. 47 de Madrid (procedimiento de Seguridad Social núm. 173-2022), que confirmó la decisión administrativa; contra la sentencia núm. 886/2022, de 5 de octubre, de la Sala de lo Social del Tribunal Superior de Justicia de Madrid, que desestimó el ulterior recurso de suplicación (núm. 750-2022), y contra el auto de 9 de mayo de 2023, de la Sala de lo Social del Tribunal Supremo, que inadmitió el recurso de casación en unificación de doctrina (núm. 4944-2022) poniendo fin a la vía judicial.</w:t>
      </w:r>
    </w:p>
    <w:p w14:paraId="67546043" w14:textId="77777777" w:rsidR="00B35D37" w:rsidRDefault="00B35D37" w:rsidP="00B35D37">
      <w:pPr>
        <w:pStyle w:val="TextoNormal"/>
      </w:pPr>
    </w:p>
    <w:p w14:paraId="65F41804" w14:textId="47FD6243" w:rsidR="00B35D37" w:rsidRDefault="00B35D37" w:rsidP="00B35D37">
      <w:pPr>
        <w:pStyle w:val="TextoNormal"/>
      </w:pPr>
      <w:r w:rsidRPr="00B35D37">
        <w:rPr>
          <w:rStyle w:val="NumeroAFNegritaCaracter"/>
        </w:rPr>
        <w:t>2</w:t>
      </w:r>
      <w:r>
        <w:t>. El recurso de amparo fue resuelto por la STC 30/2025, de 10 de febrero,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2, se dictara otra respetuosa con el derecho fundamental reconocido. A esos efectos, en el último párrafo del fundamento jurídico 2 se establecía que, en tanto el legislador no llevara a cabo la consiguiente reforma normativa, en las familias monoparentales el permiso a que hace referencia el art. 48.4 de la Ley del estatuto de los trabajadores (LET),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AE7DAA6" w14:textId="77777777" w:rsidR="00B35D37" w:rsidRDefault="00B35D37" w:rsidP="00B35D37">
      <w:pPr>
        <w:pStyle w:val="TextoNormal"/>
      </w:pPr>
    </w:p>
    <w:p w14:paraId="12F9CA40" w14:textId="77777777" w:rsidR="00B35D37" w:rsidRDefault="00B35D37" w:rsidP="00B35D37">
      <w:pPr>
        <w:pStyle w:val="TextoNormal"/>
      </w:pPr>
      <w:r w:rsidRPr="00B35D37">
        <w:rPr>
          <w:rStyle w:val="NumeroAFNegritaCaracter"/>
        </w:rPr>
        <w:t>3</w:t>
      </w:r>
      <w:r>
        <w:t>. La administración de la Seguridad Social, por escrito registrado el 6 de marzo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14:paraId="4881E19A" w14:textId="77777777" w:rsidR="00B35D37" w:rsidRDefault="00B35D37" w:rsidP="00B35D37">
      <w:pPr>
        <w:pStyle w:val="TextoNormal"/>
      </w:pPr>
    </w:p>
    <w:p w14:paraId="6E57530C" w14:textId="5827D381"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484225DB" w14:textId="77777777" w:rsidR="00B35D37" w:rsidRDefault="00B35D37" w:rsidP="00B35D37">
      <w:pPr>
        <w:pStyle w:val="TextoNormal"/>
      </w:pPr>
    </w:p>
    <w:p w14:paraId="384B883B" w14:textId="77777777" w:rsidR="00B35D37" w:rsidRDefault="00B35D37" w:rsidP="00B35D37">
      <w:pPr>
        <w:pStyle w:val="TextoNormalNegritaCentrado"/>
        <w:keepNext/>
      </w:pPr>
      <w:r>
        <w:t>II. Fundamentos jurídicos</w:t>
      </w:r>
    </w:p>
    <w:p w14:paraId="6D5E11D9" w14:textId="4CDF945D" w:rsidR="00B35D37" w:rsidRDefault="00B35D37" w:rsidP="00B35D37">
      <w:pPr>
        <w:pStyle w:val="TextoNormalNegritaCentrado"/>
        <w:keepNext/>
      </w:pPr>
    </w:p>
    <w:p w14:paraId="4D6E6376"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269F2401" w14:textId="77777777" w:rsidR="00B35D37" w:rsidRDefault="00B35D37" w:rsidP="00B35D37">
      <w:pPr>
        <w:pStyle w:val="TextoNormal"/>
      </w:pPr>
    </w:p>
    <w:p w14:paraId="5CD0E489"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2248CD95" w14:textId="77777777" w:rsidR="00B35D37" w:rsidRDefault="00B35D37" w:rsidP="00B35D37">
      <w:pPr>
        <w:pStyle w:val="TextoNormal"/>
      </w:pPr>
    </w:p>
    <w:p w14:paraId="6E9A3194" w14:textId="77777777" w:rsidR="00B35D37" w:rsidRDefault="00B35D37" w:rsidP="00B35D37">
      <w:pPr>
        <w:pStyle w:val="TextoNormal"/>
      </w:pPr>
      <w:r>
        <w:t>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6AF6387F" w14:textId="77777777" w:rsidR="00B35D37" w:rsidRDefault="00B35D37" w:rsidP="00B35D37">
      <w:pPr>
        <w:pStyle w:val="TextoNormal"/>
      </w:pPr>
    </w:p>
    <w:p w14:paraId="7683A625"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49F0E661" w14:textId="77777777" w:rsidR="00B35D37" w:rsidRDefault="00B35D37" w:rsidP="00B35D37">
      <w:pPr>
        <w:pStyle w:val="TextoNormal"/>
      </w:pPr>
    </w:p>
    <w:p w14:paraId="22C1BBC2" w14:textId="0937AD60"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64AD9578" w14:textId="77777777" w:rsidR="00B35D37" w:rsidRDefault="00B35D37" w:rsidP="00B35D37">
      <w:pPr>
        <w:pStyle w:val="TextoNormal"/>
      </w:pPr>
    </w:p>
    <w:p w14:paraId="6DC5AEB7" w14:textId="77777777" w:rsidR="00B35D37" w:rsidRDefault="00B35D37" w:rsidP="00B35D37">
      <w:pPr>
        <w:pStyle w:val="TextoNormal"/>
      </w:pPr>
      <w:r>
        <w:t>Por lo expuesto, la Sala</w:t>
      </w:r>
    </w:p>
    <w:p w14:paraId="67D50B03" w14:textId="7314531F" w:rsidR="00B35D37" w:rsidRDefault="00B35D37" w:rsidP="00B35D37">
      <w:pPr>
        <w:pStyle w:val="TextoNormal"/>
      </w:pPr>
    </w:p>
    <w:p w14:paraId="60570FBA" w14:textId="77777777" w:rsidR="00B35D37" w:rsidRDefault="00B35D37" w:rsidP="00B35D37">
      <w:pPr>
        <w:pStyle w:val="TextoNormalCentrado"/>
      </w:pPr>
      <w:r>
        <w:t>ACUERDA</w:t>
      </w:r>
    </w:p>
    <w:p w14:paraId="73E529A7" w14:textId="397BE042" w:rsidR="00B35D37" w:rsidRDefault="00B35D37" w:rsidP="00B35D37">
      <w:pPr>
        <w:pStyle w:val="TextoNormalCentrado"/>
      </w:pPr>
    </w:p>
    <w:p w14:paraId="30F493F5" w14:textId="31DCE915" w:rsidR="00B35D37" w:rsidRDefault="00B35D37" w:rsidP="00B35D37">
      <w:pPr>
        <w:pStyle w:val="TextoNormal"/>
      </w:pPr>
      <w:r>
        <w:t>Denegar la admisión de la apertura del incidente de ejecución.</w:t>
      </w:r>
    </w:p>
    <w:p w14:paraId="65462101" w14:textId="77777777" w:rsidR="00B35D37" w:rsidRDefault="00B35D37" w:rsidP="00B35D37">
      <w:pPr>
        <w:pStyle w:val="TextoNormal"/>
      </w:pPr>
    </w:p>
    <w:p w14:paraId="7E77DA57" w14:textId="77777777" w:rsidR="00B35D37" w:rsidRDefault="00B35D37" w:rsidP="00B35D37">
      <w:pPr>
        <w:pStyle w:val="TextoNormal"/>
      </w:pPr>
      <w:r>
        <w:t>Madrid, a veintiséis de mayo de dos mil veinticinco.</w:t>
      </w:r>
    </w:p>
    <w:p w14:paraId="409E5387" w14:textId="14F73B83" w:rsidR="00B35D37" w:rsidRDefault="00B35D37">
      <w:pPr>
        <w:spacing w:after="160" w:line="278" w:lineRule="auto"/>
        <w:rPr>
          <w:rFonts w:ascii="Times New Roman" w:eastAsia="Times New Roman" w:hAnsi="Times New Roman" w:cs="Times New Roman"/>
          <w:sz w:val="24"/>
          <w:szCs w:val="24"/>
          <w:lang w:eastAsia="es-ES"/>
        </w:rPr>
      </w:pPr>
      <w:r>
        <w:br w:type="page"/>
      </w:r>
    </w:p>
    <w:p w14:paraId="48926600" w14:textId="77777777" w:rsidR="00B35D37" w:rsidRDefault="00B35D37" w:rsidP="00B35D37">
      <w:pPr>
        <w:pStyle w:val="TtuloResolucin"/>
      </w:pPr>
      <w:bookmarkStart w:id="177" w:name="AUTO_2025_38"/>
      <w:r>
        <w:t>AUTO 38/2025, de 26 de mayo de 2025</w:t>
      </w:r>
    </w:p>
    <w:bookmarkEnd w:id="177"/>
    <w:p w14:paraId="09647456" w14:textId="77777777" w:rsidR="00B35D37" w:rsidRDefault="00B35D37" w:rsidP="00B35D37">
      <w:pPr>
        <w:pStyle w:val="TtuloResolucin"/>
      </w:pPr>
      <w:r>
        <w:t>Sala Segunda</w:t>
      </w:r>
    </w:p>
    <w:p w14:paraId="403E78AE" w14:textId="77777777" w:rsidR="00B35D37" w:rsidRDefault="00B35D37" w:rsidP="00B35D37">
      <w:pPr>
        <w:pStyle w:val="TextoNormalCentrado"/>
      </w:pPr>
      <w:r>
        <w:t>ECLI:ES:TC:2025:38A</w:t>
      </w:r>
    </w:p>
    <w:p w14:paraId="54C23BF2" w14:textId="3A829FEF" w:rsidR="00B35D37" w:rsidRDefault="00B35D37" w:rsidP="00B35D37">
      <w:pPr>
        <w:pStyle w:val="TextoNormalCentrado"/>
      </w:pPr>
    </w:p>
    <w:p w14:paraId="494234A1"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7A06E7BA" w14:textId="75F4BEA2" w:rsidR="00B35D37" w:rsidRDefault="00B35D37" w:rsidP="00B35D37">
      <w:pPr>
        <w:pStyle w:val="SntesisDescriptiva"/>
      </w:pPr>
    </w:p>
    <w:p w14:paraId="6E2D3EE8" w14:textId="77777777" w:rsidR="00B35D37" w:rsidRDefault="00B35D37" w:rsidP="00B35D37">
      <w:pPr>
        <w:pStyle w:val="SntesisDescriptiva"/>
      </w:pPr>
      <w:r>
        <w:t>Inadmite la solicitud de ejecución de la STC 17/2025, de 27 de enero, dictada en el recurso de amparo 4828-2023, promovido por doña Vanesa Alejandra Jiménez Serrano.</w:t>
      </w:r>
    </w:p>
    <w:p w14:paraId="27AFE70A" w14:textId="223F36FD" w:rsidR="00B35D37" w:rsidRDefault="00B35D37" w:rsidP="00B35D37">
      <w:pPr>
        <w:pStyle w:val="SntesisDescriptiva"/>
      </w:pPr>
    </w:p>
    <w:p w14:paraId="38FAB58B" w14:textId="77777777" w:rsidR="00B35D37" w:rsidRDefault="00B35D37" w:rsidP="00B35D37">
      <w:pPr>
        <w:pStyle w:val="SntesisDescriptiva"/>
      </w:pPr>
    </w:p>
    <w:p w14:paraId="51D493C1" w14:textId="77777777" w:rsidR="00B35D37" w:rsidRDefault="00B35D37" w:rsidP="00B35D37">
      <w:pPr>
        <w:pStyle w:val="SntesisDescriptiva"/>
      </w:pPr>
    </w:p>
    <w:p w14:paraId="4F24BC79" w14:textId="77777777" w:rsidR="00B35D37" w:rsidRDefault="00B35D37" w:rsidP="00B35D37">
      <w:pPr>
        <w:pStyle w:val="TextoNormalNegritaCentrado"/>
      </w:pPr>
      <w:r>
        <w:t>AUTO</w:t>
      </w:r>
    </w:p>
    <w:p w14:paraId="79269656" w14:textId="5862535B" w:rsidR="00B35D37" w:rsidRDefault="00B35D37" w:rsidP="00B35D37">
      <w:pPr>
        <w:pStyle w:val="TextoNormalNegritaCentrado"/>
      </w:pPr>
    </w:p>
    <w:p w14:paraId="4CA61C85" w14:textId="77777777" w:rsidR="00B35D37" w:rsidRDefault="00B35D37" w:rsidP="00B35D37">
      <w:pPr>
        <w:pStyle w:val="TextoNormalNegritaCentrado"/>
        <w:keepNext/>
      </w:pPr>
      <w:r>
        <w:t>I. Antecedentes</w:t>
      </w:r>
    </w:p>
    <w:p w14:paraId="79039880" w14:textId="19FE5240" w:rsidR="00B35D37" w:rsidRDefault="00B35D37" w:rsidP="00B35D37">
      <w:pPr>
        <w:pStyle w:val="TextoNormalNegritaCentrado"/>
        <w:keepNext/>
      </w:pPr>
    </w:p>
    <w:p w14:paraId="1BD98EED" w14:textId="23BA81C4" w:rsidR="00B35D37" w:rsidRDefault="00B35D37" w:rsidP="00B35D37">
      <w:pPr>
        <w:pStyle w:val="TextoNormal"/>
      </w:pPr>
      <w:r w:rsidRPr="00B35D37">
        <w:rPr>
          <w:rStyle w:val="NumeroAFNegritaCaracter"/>
        </w:rPr>
        <w:t>1</w:t>
      </w:r>
      <w:r>
        <w:t>. Mediante escrito registrado en el Tribunal el 11 de julio de 2023, la procuradora de los tribunales doña María Isabel Torres Ruiz, en nombre y representación de doña Vanesa Alejandra Jiménez Serrano y asistida por la abogada doña Susana Fuentes Gómez, interpuso recurso de amparo contra las resoluciones del Instituto Nacional de la Seguridad Social (INSS) de 29 de septiembre de 2020 y 3 de diciembre de 2020, denegatorias de la solicitud de ampliación de la prestación por nacimiento y cuidado de hijo menor como madre biológica de familia monoparental; la sentencia núm. 239/2021, de 7 de septiembre, del Juzgado de lo Social núm. 3 de Logroño (autos núm. 39-2021), que estimó parcialmente la demanda de la señora Jiménez Serrano, reconociéndole el derecho a complementar la prestación de maternidad con ocho semanas adicionales; la sentencia núm. 142/2022, de 13 de junio, de la Sala de lo Social del Tribunal Superior de Justicia de La Rioja (recurso de suplicación núm. 191-2021), que estimó el recurso de suplicación interpuesto por la representación del INSS y la Tesorería General de la Seguridad Social (TGSS); y el auto 7 de junio de 2023 de la Sala de lo Social del Tribunal Supremo (recurso de casación para la unificación de doctrina núm. 4279-2022), que inadmitió el recurso presentado por la señora Jiménez Serrano frente a la anterior sentencia, que fue tramitado con el núm. 4828-2023 por la Sala Segunda del Tribunal.</w:t>
      </w:r>
    </w:p>
    <w:p w14:paraId="399BEBC9" w14:textId="77777777" w:rsidR="00B35D37" w:rsidRDefault="00B35D37" w:rsidP="00B35D37">
      <w:pPr>
        <w:pStyle w:val="TextoNormal"/>
      </w:pPr>
    </w:p>
    <w:p w14:paraId="03D2AF25" w14:textId="06740AC1" w:rsidR="00B35D37" w:rsidRDefault="00B35D37" w:rsidP="00B35D37">
      <w:pPr>
        <w:pStyle w:val="TextoNormal"/>
      </w:pPr>
      <w:r w:rsidRPr="00B35D37">
        <w:rPr>
          <w:rStyle w:val="NumeroAFNegritaCaracter"/>
        </w:rPr>
        <w:t>2</w:t>
      </w:r>
      <w:r>
        <w:t>. El recurso de amparo fue resuelto por la STC 17/2025, de 27 de enero, en la que, tras declarar vulnerado el derecho fundamental a la igualdad ante la ley sin que pueda prevalecer discriminación alguna (art. 14 CE), se acordó para su restauración la nulidad de las resoluciones administrativas y judiciales impugnadas y la retroacción de las actuaciones al momento previo al dictado de la resolución de 3 de diciembre de 2020 a fin de que, en los términos expuestos en el último párrafo del fundamento jurídico único de la sentencia, se dictara otra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 la Ley del estatuto de los trabajadores (LET),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5BDB1E2F" w14:textId="77777777" w:rsidR="00B35D37" w:rsidRDefault="00B35D37" w:rsidP="00B35D37">
      <w:pPr>
        <w:pStyle w:val="TextoNormal"/>
      </w:pPr>
    </w:p>
    <w:p w14:paraId="33BDD314" w14:textId="77777777" w:rsidR="00B35D37" w:rsidRDefault="00B35D37" w:rsidP="00B35D37">
      <w:pPr>
        <w:pStyle w:val="TextoNormal"/>
      </w:pPr>
      <w:r w:rsidRPr="00B35D37">
        <w:rPr>
          <w:rStyle w:val="NumeroAFNegritaCaracter"/>
        </w:rPr>
        <w:t>3</w:t>
      </w:r>
      <w:r>
        <w:t>. La administración de la Seguridad Social, por escrito registrado el 13 de febrero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14:paraId="7D0DEFA4" w14:textId="77777777" w:rsidR="00B35D37" w:rsidRDefault="00B35D37" w:rsidP="00B35D37">
      <w:pPr>
        <w:pStyle w:val="TextoNormal"/>
      </w:pPr>
    </w:p>
    <w:p w14:paraId="2CAFE65A" w14:textId="4427CB69"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0A6029C7" w14:textId="77777777" w:rsidR="00B35D37" w:rsidRDefault="00B35D37" w:rsidP="00B35D37">
      <w:pPr>
        <w:pStyle w:val="TextoNormal"/>
      </w:pPr>
    </w:p>
    <w:p w14:paraId="22F13E48" w14:textId="77777777" w:rsidR="00B35D37" w:rsidRDefault="00B35D37" w:rsidP="00B35D37">
      <w:pPr>
        <w:pStyle w:val="TextoNormalNegritaCentrado"/>
        <w:keepNext/>
      </w:pPr>
      <w:r>
        <w:t>II. Fundamentos jurídicos</w:t>
      </w:r>
    </w:p>
    <w:p w14:paraId="029EAA92" w14:textId="1C026534" w:rsidR="00B35D37" w:rsidRDefault="00B35D37" w:rsidP="00B35D37">
      <w:pPr>
        <w:pStyle w:val="TextoNormalNegritaCentrado"/>
        <w:keepNext/>
      </w:pPr>
    </w:p>
    <w:p w14:paraId="06CFCC1E"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761078F5" w14:textId="77777777" w:rsidR="00B35D37" w:rsidRDefault="00B35D37" w:rsidP="00B35D37">
      <w:pPr>
        <w:pStyle w:val="TextoNormal"/>
      </w:pPr>
    </w:p>
    <w:p w14:paraId="06292D76"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48DDBDE3" w14:textId="77777777" w:rsidR="00B35D37" w:rsidRDefault="00B35D37" w:rsidP="00B35D37">
      <w:pPr>
        <w:pStyle w:val="TextoNormal"/>
      </w:pPr>
    </w:p>
    <w:p w14:paraId="4D8A489A" w14:textId="77777777" w:rsidR="00B35D37" w:rsidRDefault="00B35D37" w:rsidP="00B35D37">
      <w:pPr>
        <w:pStyle w:val="TextoNormal"/>
      </w:pPr>
      <w:r>
        <w:t>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7EF51C9C" w14:textId="77777777" w:rsidR="00B35D37" w:rsidRDefault="00B35D37" w:rsidP="00B35D37">
      <w:pPr>
        <w:pStyle w:val="TextoNormal"/>
      </w:pPr>
    </w:p>
    <w:p w14:paraId="75FA55D5"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0376185D" w14:textId="77777777" w:rsidR="00B35D37" w:rsidRDefault="00B35D37" w:rsidP="00B35D37">
      <w:pPr>
        <w:pStyle w:val="TextoNormal"/>
      </w:pPr>
    </w:p>
    <w:p w14:paraId="3796651F" w14:textId="50F3B147"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79B6DE12" w14:textId="77777777" w:rsidR="00B35D37" w:rsidRDefault="00B35D37" w:rsidP="00B35D37">
      <w:pPr>
        <w:pStyle w:val="TextoNormal"/>
      </w:pPr>
    </w:p>
    <w:p w14:paraId="3B414E3C" w14:textId="77777777" w:rsidR="00B35D37" w:rsidRDefault="00B35D37" w:rsidP="00B35D37">
      <w:pPr>
        <w:pStyle w:val="TextoNormal"/>
      </w:pPr>
      <w:r>
        <w:t>Por lo expuesto, la Sala</w:t>
      </w:r>
    </w:p>
    <w:p w14:paraId="750EAD72" w14:textId="4F20E014" w:rsidR="00B35D37" w:rsidRDefault="00B35D37" w:rsidP="00B35D37">
      <w:pPr>
        <w:pStyle w:val="TextoNormal"/>
      </w:pPr>
    </w:p>
    <w:p w14:paraId="377A3771" w14:textId="77777777" w:rsidR="00B35D37" w:rsidRDefault="00B35D37" w:rsidP="00B35D37">
      <w:pPr>
        <w:pStyle w:val="TextoNormalCentrado"/>
      </w:pPr>
      <w:r>
        <w:t>ACUERDA</w:t>
      </w:r>
    </w:p>
    <w:p w14:paraId="449B08CC" w14:textId="0AAD5A9F" w:rsidR="00B35D37" w:rsidRDefault="00B35D37" w:rsidP="00B35D37">
      <w:pPr>
        <w:pStyle w:val="TextoNormalCentrado"/>
      </w:pPr>
    </w:p>
    <w:p w14:paraId="773063A4" w14:textId="166B78BA" w:rsidR="00B35D37" w:rsidRDefault="00B35D37" w:rsidP="00B35D37">
      <w:pPr>
        <w:pStyle w:val="TextoNormal"/>
      </w:pPr>
      <w:r>
        <w:t>Denegar la admisión de la apertura del incidente de ejecución.</w:t>
      </w:r>
    </w:p>
    <w:p w14:paraId="78AE3BFE" w14:textId="77777777" w:rsidR="00B35D37" w:rsidRDefault="00B35D37" w:rsidP="00B35D37">
      <w:pPr>
        <w:pStyle w:val="TextoNormal"/>
      </w:pPr>
    </w:p>
    <w:p w14:paraId="57882041" w14:textId="77777777" w:rsidR="00B35D37" w:rsidRDefault="00B35D37" w:rsidP="00B35D37">
      <w:pPr>
        <w:pStyle w:val="TextoNormal"/>
      </w:pPr>
      <w:r>
        <w:t>Madrid, a veintiséis de mayo de dos mil veinticinco.</w:t>
      </w:r>
    </w:p>
    <w:p w14:paraId="6999A824" w14:textId="46D46843" w:rsidR="00B35D37" w:rsidRDefault="00B35D37">
      <w:pPr>
        <w:spacing w:after="160" w:line="278" w:lineRule="auto"/>
        <w:rPr>
          <w:rFonts w:ascii="Times New Roman" w:eastAsia="Times New Roman" w:hAnsi="Times New Roman" w:cs="Times New Roman"/>
          <w:sz w:val="24"/>
          <w:szCs w:val="24"/>
          <w:lang w:eastAsia="es-ES"/>
        </w:rPr>
      </w:pPr>
      <w:r>
        <w:br w:type="page"/>
      </w:r>
    </w:p>
    <w:p w14:paraId="4312A06C" w14:textId="77777777" w:rsidR="00B35D37" w:rsidRDefault="00B35D37" w:rsidP="00B35D37">
      <w:pPr>
        <w:pStyle w:val="TtuloResolucin"/>
      </w:pPr>
      <w:bookmarkStart w:id="178" w:name="AUTO_2025_39"/>
      <w:r>
        <w:t>AUTO 39/2025, de 26 de mayo de 2025</w:t>
      </w:r>
    </w:p>
    <w:bookmarkEnd w:id="178"/>
    <w:p w14:paraId="3DFC1A77" w14:textId="77777777" w:rsidR="00B35D37" w:rsidRDefault="00B35D37" w:rsidP="00B35D37">
      <w:pPr>
        <w:pStyle w:val="TtuloResolucin"/>
      </w:pPr>
      <w:r>
        <w:t>Sala Primera</w:t>
      </w:r>
    </w:p>
    <w:p w14:paraId="17896E81" w14:textId="77777777" w:rsidR="00B35D37" w:rsidRDefault="00B35D37" w:rsidP="00B35D37">
      <w:pPr>
        <w:pStyle w:val="TextoNormalCentrado"/>
      </w:pPr>
      <w:r>
        <w:t>ECLI:ES:TC:2025:39A</w:t>
      </w:r>
    </w:p>
    <w:p w14:paraId="324BECFB" w14:textId="25CF29F5" w:rsidR="00B35D37" w:rsidRDefault="00B35D37" w:rsidP="00B35D37">
      <w:pPr>
        <w:pStyle w:val="TextoNormalCentrado"/>
      </w:pPr>
    </w:p>
    <w:p w14:paraId="63457B33"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0364F9E2" w14:textId="53D31124" w:rsidR="00B35D37" w:rsidRDefault="00B35D37" w:rsidP="00B35D37">
      <w:pPr>
        <w:pStyle w:val="SntesisDescriptiva"/>
      </w:pPr>
    </w:p>
    <w:p w14:paraId="3235F1E8" w14:textId="77777777" w:rsidR="00B35D37" w:rsidRDefault="00B35D37" w:rsidP="00B35D37">
      <w:pPr>
        <w:pStyle w:val="SntesisDescriptiva"/>
      </w:pPr>
      <w:r>
        <w:t>Inadmite la solicitud de ejecución de la STC 32/2025, de 10 de febrero, dictada en el recurso de amparo 5740-2023, promovido por doña Ruth de Frutos Ortega.</w:t>
      </w:r>
    </w:p>
    <w:p w14:paraId="5D7B75B3" w14:textId="645F2C5E" w:rsidR="00B35D37" w:rsidRDefault="00B35D37" w:rsidP="00B35D37">
      <w:pPr>
        <w:pStyle w:val="SntesisDescriptiva"/>
      </w:pPr>
    </w:p>
    <w:p w14:paraId="1BE24CE2" w14:textId="77777777" w:rsidR="00B35D37" w:rsidRDefault="00B35D37" w:rsidP="00B35D37">
      <w:pPr>
        <w:pStyle w:val="SntesisDescriptiva"/>
      </w:pPr>
    </w:p>
    <w:p w14:paraId="120F3967" w14:textId="77777777" w:rsidR="00B35D37" w:rsidRDefault="00B35D37" w:rsidP="00B35D37">
      <w:pPr>
        <w:pStyle w:val="SntesisDescriptiva"/>
      </w:pPr>
    </w:p>
    <w:p w14:paraId="35D2B418" w14:textId="77777777" w:rsidR="00B35D37" w:rsidRDefault="00B35D37" w:rsidP="00B35D37">
      <w:pPr>
        <w:pStyle w:val="TextoNormalNegritaCentrado"/>
      </w:pPr>
      <w:r>
        <w:t>AUTO</w:t>
      </w:r>
    </w:p>
    <w:p w14:paraId="33B19091" w14:textId="3E03E0C5" w:rsidR="00B35D37" w:rsidRDefault="00B35D37" w:rsidP="00B35D37">
      <w:pPr>
        <w:pStyle w:val="TextoNormalNegritaCentrado"/>
      </w:pPr>
    </w:p>
    <w:p w14:paraId="5595EC60" w14:textId="77777777" w:rsidR="00B35D37" w:rsidRDefault="00B35D37" w:rsidP="00B35D37">
      <w:pPr>
        <w:pStyle w:val="TextoNormalNegritaCentrado"/>
        <w:keepNext/>
      </w:pPr>
      <w:r>
        <w:t>I. Antecedentes</w:t>
      </w:r>
    </w:p>
    <w:p w14:paraId="548C21B3" w14:textId="1EF5C511" w:rsidR="00B35D37" w:rsidRDefault="00B35D37" w:rsidP="00B35D37">
      <w:pPr>
        <w:pStyle w:val="TextoNormalNegritaCentrado"/>
        <w:keepNext/>
      </w:pPr>
    </w:p>
    <w:p w14:paraId="6B70FE82" w14:textId="2D568997" w:rsidR="00B35D37" w:rsidRDefault="00B35D37" w:rsidP="00B35D37">
      <w:pPr>
        <w:pStyle w:val="TextoNormal"/>
      </w:pPr>
      <w:r w:rsidRPr="00B35D37">
        <w:rPr>
          <w:rStyle w:val="NumeroAFNegritaCaracter"/>
        </w:rPr>
        <w:t>1</w:t>
      </w:r>
      <w:r>
        <w:t>. Mediante escrito registrado el 7 de septiembre de 2023, doña Ruth de Frutos Ortega, representada por la procuradora de los tribunales doña María Isabel Torres Ruiz y asistida por la letrada doña Susana Fuentes Gómez, interpuso recurso de amparo contra el auto de 12 de julio de 2023 dictado por la Sala de lo Social del Tribunal Supremo, que inadmitió el recurso de casación para unificación de doctrina núm. 5619-2022 interpuesto contra la sentencia 675/2022, de 24 de octubre, de la Sala de lo Social del Tribunal Superior de Justicia de Madrid, que desestimó el recurso de suplicación núm. 452-2022 interpuesto por la demandante contra la sentencia 143/2022, de 10 de marzo, dictada por el Juzgado de lo Social núm. 41 de Madrid, en el procedimiento especial de Seguridad Social núm. 1047-2021, que desestimó la demanda que interpuso contra el Instituto Nacional de la Seguridad Social y la Tesorería General de la Seguridad Social por haberle denegado su solicitud de ampliación del permiso por nacimiento y cuidado de hijo.</w:t>
      </w:r>
    </w:p>
    <w:p w14:paraId="6A271069" w14:textId="77777777" w:rsidR="00B35D37" w:rsidRDefault="00B35D37" w:rsidP="00B35D37">
      <w:pPr>
        <w:pStyle w:val="TextoNormal"/>
      </w:pPr>
    </w:p>
    <w:p w14:paraId="52B84003" w14:textId="4A97BF74" w:rsidR="00B35D37" w:rsidRDefault="00B35D37" w:rsidP="00B35D37">
      <w:pPr>
        <w:pStyle w:val="TextoNormal"/>
      </w:pPr>
      <w:r w:rsidRPr="00B35D37">
        <w:rPr>
          <w:rStyle w:val="NumeroAFNegritaCaracter"/>
        </w:rPr>
        <w:t>2</w:t>
      </w:r>
      <w:r>
        <w:t>. El recurso de amparo fue resuelto por la STC 32/2025, de 10 de febrero,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2, se dictara otra respetuosa con el derecho fundamental reconocido. A esos efectos, en el último párrafo del fundamento jurídico 2 se establecía que, en tanto el legislador no llevara a cabo la consiguiente reforma normativa, en las familias monoparentales el permiso a que hace referencia el art. 48.4 de la Ley del estatuto de los trabajadores (LET),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D14C97A" w14:textId="77777777" w:rsidR="00B35D37" w:rsidRDefault="00B35D37" w:rsidP="00B35D37">
      <w:pPr>
        <w:pStyle w:val="TextoNormal"/>
      </w:pPr>
    </w:p>
    <w:p w14:paraId="516F8C59" w14:textId="77777777" w:rsidR="00B35D37" w:rsidRDefault="00B35D37" w:rsidP="00B35D37">
      <w:pPr>
        <w:pStyle w:val="TextoNormal"/>
      </w:pPr>
      <w:r w:rsidRPr="00B35D37">
        <w:rPr>
          <w:rStyle w:val="NumeroAFNegritaCaracter"/>
        </w:rPr>
        <w:t>3</w:t>
      </w:r>
      <w:r>
        <w:t>. La administración de la Seguridad Social, por escrito registrado el 6 de marzo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14:paraId="185C867E" w14:textId="77777777" w:rsidR="00B35D37" w:rsidRDefault="00B35D37" w:rsidP="00B35D37">
      <w:pPr>
        <w:pStyle w:val="TextoNormal"/>
      </w:pPr>
    </w:p>
    <w:p w14:paraId="26790059" w14:textId="74FC8B7B"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1FF5E4BD" w14:textId="77777777" w:rsidR="00B35D37" w:rsidRDefault="00B35D37" w:rsidP="00B35D37">
      <w:pPr>
        <w:pStyle w:val="TextoNormal"/>
      </w:pPr>
    </w:p>
    <w:p w14:paraId="2A123EC8" w14:textId="77777777" w:rsidR="00B35D37" w:rsidRDefault="00B35D37" w:rsidP="00B35D37">
      <w:pPr>
        <w:pStyle w:val="TextoNormalNegritaCentrado"/>
        <w:keepNext/>
      </w:pPr>
      <w:r>
        <w:t>II. Fundamentos jurídicos</w:t>
      </w:r>
    </w:p>
    <w:p w14:paraId="4CD6E72C" w14:textId="6B6F5B66" w:rsidR="00B35D37" w:rsidRDefault="00B35D37" w:rsidP="00B35D37">
      <w:pPr>
        <w:pStyle w:val="TextoNormalNegritaCentrado"/>
        <w:keepNext/>
      </w:pPr>
    </w:p>
    <w:p w14:paraId="4444D102"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37924DFD" w14:textId="77777777" w:rsidR="00B35D37" w:rsidRDefault="00B35D37" w:rsidP="00B35D37">
      <w:pPr>
        <w:pStyle w:val="TextoNormal"/>
      </w:pPr>
    </w:p>
    <w:p w14:paraId="63AA99E2"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47BE6E41" w14:textId="77777777" w:rsidR="00B35D37" w:rsidRDefault="00B35D37" w:rsidP="00B35D37">
      <w:pPr>
        <w:pStyle w:val="TextoNormal"/>
      </w:pPr>
    </w:p>
    <w:p w14:paraId="69697E60" w14:textId="77777777" w:rsidR="00B35D37" w:rsidRDefault="00B35D37" w:rsidP="00B35D37">
      <w:pPr>
        <w:pStyle w:val="TextoNormal"/>
      </w:pPr>
      <w:r>
        <w:t>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2CD692B5" w14:textId="77777777" w:rsidR="00B35D37" w:rsidRDefault="00B35D37" w:rsidP="00B35D37">
      <w:pPr>
        <w:pStyle w:val="TextoNormal"/>
      </w:pPr>
    </w:p>
    <w:p w14:paraId="07BB352F"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34F57AFF" w14:textId="77777777" w:rsidR="00B35D37" w:rsidRDefault="00B35D37" w:rsidP="00B35D37">
      <w:pPr>
        <w:pStyle w:val="TextoNormal"/>
      </w:pPr>
    </w:p>
    <w:p w14:paraId="69BF3153" w14:textId="0928A891"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1F66AD25" w14:textId="77777777" w:rsidR="00B35D37" w:rsidRDefault="00B35D37" w:rsidP="00B35D37">
      <w:pPr>
        <w:pStyle w:val="TextoNormal"/>
      </w:pPr>
    </w:p>
    <w:p w14:paraId="2B069427" w14:textId="77777777" w:rsidR="00B35D37" w:rsidRDefault="00B35D37" w:rsidP="00B35D37">
      <w:pPr>
        <w:pStyle w:val="TextoNormal"/>
      </w:pPr>
      <w:r>
        <w:t>Por lo expuesto, la Sala</w:t>
      </w:r>
    </w:p>
    <w:p w14:paraId="30A009EC" w14:textId="06A9614E" w:rsidR="00B35D37" w:rsidRDefault="00B35D37" w:rsidP="00B35D37">
      <w:pPr>
        <w:pStyle w:val="TextoNormal"/>
      </w:pPr>
    </w:p>
    <w:p w14:paraId="4D84A232" w14:textId="77777777" w:rsidR="00B35D37" w:rsidRDefault="00B35D37" w:rsidP="00B35D37">
      <w:pPr>
        <w:pStyle w:val="TextoNormalCentrado"/>
      </w:pPr>
      <w:r>
        <w:t>ACUERDA</w:t>
      </w:r>
    </w:p>
    <w:p w14:paraId="0D431B27" w14:textId="62756A87" w:rsidR="00B35D37" w:rsidRDefault="00B35D37" w:rsidP="00B35D37">
      <w:pPr>
        <w:pStyle w:val="TextoNormalCentrado"/>
      </w:pPr>
    </w:p>
    <w:p w14:paraId="286773ED" w14:textId="23D7131B" w:rsidR="00B35D37" w:rsidRDefault="00B35D37" w:rsidP="00B35D37">
      <w:pPr>
        <w:pStyle w:val="TextoNormal"/>
      </w:pPr>
      <w:r>
        <w:t>Denegar la admisión de la apertura del incidente de ejecución.</w:t>
      </w:r>
    </w:p>
    <w:p w14:paraId="099F4B56" w14:textId="77777777" w:rsidR="00B35D37" w:rsidRDefault="00B35D37" w:rsidP="00B35D37">
      <w:pPr>
        <w:pStyle w:val="TextoNormal"/>
      </w:pPr>
    </w:p>
    <w:p w14:paraId="7D3DFEEB" w14:textId="77777777" w:rsidR="00B35D37" w:rsidRDefault="00B35D37" w:rsidP="00B35D37">
      <w:pPr>
        <w:pStyle w:val="TextoNormal"/>
      </w:pPr>
      <w:r>
        <w:t>Madrid, a veintiséis de mayo de dos mil veinticinco.</w:t>
      </w:r>
    </w:p>
    <w:p w14:paraId="4095DBA1" w14:textId="50178475" w:rsidR="00B35D37" w:rsidRDefault="00B35D37">
      <w:pPr>
        <w:spacing w:after="160" w:line="278" w:lineRule="auto"/>
        <w:rPr>
          <w:rFonts w:ascii="Times New Roman" w:eastAsia="Times New Roman" w:hAnsi="Times New Roman" w:cs="Times New Roman"/>
          <w:sz w:val="24"/>
          <w:szCs w:val="24"/>
          <w:lang w:eastAsia="es-ES"/>
        </w:rPr>
      </w:pPr>
      <w:r>
        <w:br w:type="page"/>
      </w:r>
    </w:p>
    <w:p w14:paraId="13C82D10" w14:textId="77777777" w:rsidR="00B35D37" w:rsidRDefault="00B35D37" w:rsidP="00B35D37">
      <w:pPr>
        <w:pStyle w:val="TtuloResolucin"/>
      </w:pPr>
      <w:bookmarkStart w:id="179" w:name="AUTO_2025_40"/>
      <w:r>
        <w:t>AUTO 40/2025, de 26 de mayo de 2025</w:t>
      </w:r>
    </w:p>
    <w:bookmarkEnd w:id="179"/>
    <w:p w14:paraId="3E4480CC" w14:textId="77777777" w:rsidR="00B35D37" w:rsidRDefault="00B35D37" w:rsidP="00B35D37">
      <w:pPr>
        <w:pStyle w:val="TtuloResolucin"/>
      </w:pPr>
      <w:r>
        <w:t>Sala Segunda</w:t>
      </w:r>
    </w:p>
    <w:p w14:paraId="7BF1B110" w14:textId="77777777" w:rsidR="00B35D37" w:rsidRDefault="00B35D37" w:rsidP="00B35D37">
      <w:pPr>
        <w:pStyle w:val="TextoNormalCentrado"/>
      </w:pPr>
      <w:r>
        <w:t>ECLI:ES:TC:2025:40A</w:t>
      </w:r>
    </w:p>
    <w:p w14:paraId="612BD5F8" w14:textId="69BC6814" w:rsidR="00B35D37" w:rsidRDefault="00B35D37" w:rsidP="00B35D37">
      <w:pPr>
        <w:pStyle w:val="TextoNormalCentrado"/>
      </w:pPr>
    </w:p>
    <w:p w14:paraId="6FE48765"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33646539" w14:textId="2D8C0690" w:rsidR="00B35D37" w:rsidRDefault="00B35D37" w:rsidP="00B35D37">
      <w:pPr>
        <w:pStyle w:val="SntesisDescriptiva"/>
      </w:pPr>
    </w:p>
    <w:p w14:paraId="6575E4C9" w14:textId="77777777" w:rsidR="00B35D37" w:rsidRDefault="00B35D37" w:rsidP="00B35D37">
      <w:pPr>
        <w:pStyle w:val="SntesisDescriptiva"/>
      </w:pPr>
      <w:r>
        <w:t>Inadmite la solicitud de ejecución de la STC 18/2025, de 27 de enero, dictada en el recurso de amparo 5743-2023, promovido por doña Sandra Delgado Aguiar.</w:t>
      </w:r>
    </w:p>
    <w:p w14:paraId="7768DC37" w14:textId="0CD5143B" w:rsidR="00B35D37" w:rsidRDefault="00B35D37" w:rsidP="00B35D37">
      <w:pPr>
        <w:pStyle w:val="SntesisDescriptiva"/>
      </w:pPr>
    </w:p>
    <w:p w14:paraId="2E3DCEE4" w14:textId="77777777" w:rsidR="00B35D37" w:rsidRDefault="00B35D37" w:rsidP="00B35D37">
      <w:pPr>
        <w:pStyle w:val="SntesisDescriptiva"/>
      </w:pPr>
    </w:p>
    <w:p w14:paraId="14DA818A" w14:textId="77777777" w:rsidR="00B35D37" w:rsidRDefault="00B35D37" w:rsidP="00B35D37">
      <w:pPr>
        <w:pStyle w:val="SntesisDescriptiva"/>
      </w:pPr>
    </w:p>
    <w:p w14:paraId="3855861F" w14:textId="77777777" w:rsidR="00B35D37" w:rsidRDefault="00B35D37" w:rsidP="00B35D37">
      <w:pPr>
        <w:pStyle w:val="TextoNormalNegritaCentrado"/>
      </w:pPr>
      <w:r>
        <w:t>AUTO</w:t>
      </w:r>
    </w:p>
    <w:p w14:paraId="5C13DCD5" w14:textId="010BAF6C" w:rsidR="00B35D37" w:rsidRDefault="00B35D37" w:rsidP="00B35D37">
      <w:pPr>
        <w:pStyle w:val="TextoNormalNegritaCentrado"/>
      </w:pPr>
    </w:p>
    <w:p w14:paraId="0C3E804E" w14:textId="77777777" w:rsidR="00B35D37" w:rsidRDefault="00B35D37" w:rsidP="00B35D37">
      <w:pPr>
        <w:pStyle w:val="TextoNormalNegritaCentrado"/>
        <w:keepNext/>
      </w:pPr>
      <w:r>
        <w:t>I. Antecedentes</w:t>
      </w:r>
    </w:p>
    <w:p w14:paraId="35E3295E" w14:textId="66B6C207" w:rsidR="00B35D37" w:rsidRDefault="00B35D37" w:rsidP="00B35D37">
      <w:pPr>
        <w:pStyle w:val="TextoNormalNegritaCentrado"/>
        <w:keepNext/>
      </w:pPr>
    </w:p>
    <w:p w14:paraId="2CEECFE6" w14:textId="1B57F5A7" w:rsidR="00B35D37" w:rsidRDefault="00B35D37" w:rsidP="00B35D37">
      <w:pPr>
        <w:pStyle w:val="TextoNormal"/>
      </w:pPr>
      <w:r w:rsidRPr="00B35D37">
        <w:rPr>
          <w:rStyle w:val="NumeroAFNegritaCaracter"/>
        </w:rPr>
        <w:t>1</w:t>
      </w:r>
      <w:r>
        <w:t>. Mediante escrito registrado en el tribunal el 7 de septiembre de 2023, la procuradora de los tribunales doña María Isabel Torres Ruiz, en nombre y representación de doña Sandra Delgado Aguiar y asistida por la abogada doña Susana Fuentes Gómez, interpuso recurso de amparo contra la resolución del Instituto Nacional de la Seguridad Social (INSS) de 6 de mayo de 2020 y las resoluciones presuntas denegatorias de la solicitud de ampliación de la prestación por nacimiento y cuidado de hijo menor como madre biológica de familia monoparental; la sentencia núm. 233/2021, de 26 de octubre, del Juzgado de lo Social núm. 45 de Madrid (autos núm. 612-2021), que estimó la demanda de la señora Delgado Aguiar reconociéndole el derecho a complementar la prestación de maternidad con catorce semanas adicionales; la sentencia núm. 552/2022, de 29 de septiembre, de la Sala de lo Social del Tribunal Superior de Justicia de Madrid (recurso de suplicación núm. 243-2022), que estimó el recurso de suplicación interpuesto por la representación del INSS y la Tesorería General de la Seguridad Social (TGSS); y el auto 5 de julio de 2023 de la Sala de lo Social del Tribunal Supremo (recurso de casación para la unificación de doctrina núm. 4942-2022), que inadmitió el recurso presentado por la señora Delgado Aguiar frente a la anterior sentencia, que fue tramitado con el núm. 5743-2023 por la Sala Segunda del Tribunal.</w:t>
      </w:r>
    </w:p>
    <w:p w14:paraId="43F47062" w14:textId="77777777" w:rsidR="00B35D37" w:rsidRDefault="00B35D37" w:rsidP="00B35D37">
      <w:pPr>
        <w:pStyle w:val="TextoNormal"/>
      </w:pPr>
    </w:p>
    <w:p w14:paraId="696174A1" w14:textId="0FBCB2D0" w:rsidR="00B35D37" w:rsidRDefault="00B35D37" w:rsidP="00B35D37">
      <w:pPr>
        <w:pStyle w:val="TextoNormal"/>
      </w:pPr>
      <w:r w:rsidRPr="00B35D37">
        <w:rPr>
          <w:rStyle w:val="NumeroAFNegritaCaracter"/>
        </w:rPr>
        <w:t>2</w:t>
      </w:r>
      <w:r>
        <w:t>. El recurso de amparo fue resuelto por la STC 18/2025, de 27 de enero, en la que, tras declarar vulnerado el derecho fundamental a la igualdad ante la ley sin que pueda prevalecer discriminación alguna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sentencia, se dictase una resolución expresa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73104B7" w14:textId="77777777" w:rsidR="00B35D37" w:rsidRDefault="00B35D37" w:rsidP="00B35D37">
      <w:pPr>
        <w:pStyle w:val="TextoNormal"/>
      </w:pPr>
    </w:p>
    <w:p w14:paraId="3C40EF82" w14:textId="77777777" w:rsidR="00B35D37" w:rsidRDefault="00B35D37" w:rsidP="00B35D37">
      <w:pPr>
        <w:pStyle w:val="TextoNormal"/>
      </w:pPr>
      <w:r w:rsidRPr="00B35D37">
        <w:rPr>
          <w:rStyle w:val="NumeroAFNegritaCaracter"/>
        </w:rPr>
        <w:t>3</w:t>
      </w:r>
      <w:r>
        <w:t>. La letrada de la Administración de la Seguridad Social, por escrito registrado el 27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14:paraId="50262504" w14:textId="77777777" w:rsidR="00B35D37" w:rsidRDefault="00B35D37" w:rsidP="00B35D37">
      <w:pPr>
        <w:pStyle w:val="TextoNormal"/>
      </w:pPr>
    </w:p>
    <w:p w14:paraId="36BC5473" w14:textId="7179DCAE" w:rsidR="00B35D37" w:rsidRDefault="00B35D37" w:rsidP="00B35D37">
      <w:pPr>
        <w:pStyle w:val="TextoNormal"/>
      </w:pPr>
      <w:r>
        <w:t>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763810D7" w14:textId="77777777" w:rsidR="00B35D37" w:rsidRDefault="00B35D37" w:rsidP="00B35D37">
      <w:pPr>
        <w:pStyle w:val="TextoNormal"/>
      </w:pPr>
    </w:p>
    <w:p w14:paraId="4BE43796" w14:textId="77777777" w:rsidR="00B35D37" w:rsidRDefault="00B35D37" w:rsidP="00B35D37">
      <w:pPr>
        <w:pStyle w:val="TextoNormalNegritaCentrado"/>
        <w:keepNext/>
      </w:pPr>
      <w:r>
        <w:t>II. Fundamentos jurídicos</w:t>
      </w:r>
    </w:p>
    <w:p w14:paraId="5409EEB5" w14:textId="1C177B5C" w:rsidR="00B35D37" w:rsidRDefault="00B35D37" w:rsidP="00B35D37">
      <w:pPr>
        <w:pStyle w:val="TextoNormalNegritaCentrado"/>
        <w:keepNext/>
      </w:pPr>
    </w:p>
    <w:p w14:paraId="1C838E8D"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75B5F0E6" w14:textId="77777777" w:rsidR="00B35D37" w:rsidRDefault="00B35D37" w:rsidP="00B35D37">
      <w:pPr>
        <w:pStyle w:val="TextoNormal"/>
      </w:pPr>
    </w:p>
    <w:p w14:paraId="75D422EB"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21151630" w14:textId="77777777" w:rsidR="00B35D37" w:rsidRDefault="00B35D37" w:rsidP="00B35D37">
      <w:pPr>
        <w:pStyle w:val="TextoNormal"/>
      </w:pPr>
    </w:p>
    <w:p w14:paraId="53217927" w14:textId="77777777" w:rsidR="00B35D37" w:rsidRDefault="00B35D37" w:rsidP="00B35D37">
      <w:pPr>
        <w:pStyle w:val="TextoNormal"/>
      </w:pPr>
      <w:r>
        <w:t>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7C678C4C" w14:textId="77777777" w:rsidR="00B35D37" w:rsidRDefault="00B35D37" w:rsidP="00B35D37">
      <w:pPr>
        <w:pStyle w:val="TextoNormal"/>
      </w:pPr>
    </w:p>
    <w:p w14:paraId="53C2AB96"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47952902" w14:textId="77777777" w:rsidR="00B35D37" w:rsidRDefault="00B35D37" w:rsidP="00B35D37">
      <w:pPr>
        <w:pStyle w:val="TextoNormal"/>
      </w:pPr>
    </w:p>
    <w:p w14:paraId="6D08ED08" w14:textId="583EAEC6"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2E2F01E6" w14:textId="77777777" w:rsidR="00B35D37" w:rsidRDefault="00B35D37" w:rsidP="00B35D37">
      <w:pPr>
        <w:pStyle w:val="TextoNormal"/>
      </w:pPr>
    </w:p>
    <w:p w14:paraId="1BE7374C" w14:textId="77777777" w:rsidR="00B35D37" w:rsidRDefault="00B35D37" w:rsidP="00B35D37">
      <w:pPr>
        <w:pStyle w:val="TextoNormal"/>
      </w:pPr>
      <w:r>
        <w:t>Por lo expuesto, la Sala</w:t>
      </w:r>
    </w:p>
    <w:p w14:paraId="35D7B74C" w14:textId="2F9FAE1C" w:rsidR="00B35D37" w:rsidRDefault="00B35D37" w:rsidP="00B35D37">
      <w:pPr>
        <w:pStyle w:val="TextoNormal"/>
      </w:pPr>
    </w:p>
    <w:p w14:paraId="3A029474" w14:textId="77777777" w:rsidR="00B35D37" w:rsidRDefault="00B35D37" w:rsidP="00B35D37">
      <w:pPr>
        <w:pStyle w:val="TextoNormalCentrado"/>
      </w:pPr>
      <w:r>
        <w:t>ACUERDA</w:t>
      </w:r>
    </w:p>
    <w:p w14:paraId="49B81A61" w14:textId="36D8E629" w:rsidR="00B35D37" w:rsidRDefault="00B35D37" w:rsidP="00B35D37">
      <w:pPr>
        <w:pStyle w:val="TextoNormalCentrado"/>
      </w:pPr>
    </w:p>
    <w:p w14:paraId="433F7F30" w14:textId="75FF3A69" w:rsidR="00B35D37" w:rsidRDefault="00B35D37" w:rsidP="00B35D37">
      <w:pPr>
        <w:pStyle w:val="TextoNormal"/>
      </w:pPr>
      <w:r>
        <w:t>Denegar la admisión de la apertura del incidente de ejecución.</w:t>
      </w:r>
    </w:p>
    <w:p w14:paraId="12E24FE9" w14:textId="77777777" w:rsidR="00B35D37" w:rsidRDefault="00B35D37" w:rsidP="00B35D37">
      <w:pPr>
        <w:pStyle w:val="TextoNormal"/>
      </w:pPr>
    </w:p>
    <w:p w14:paraId="095CD634" w14:textId="77777777" w:rsidR="00B35D37" w:rsidRDefault="00B35D37" w:rsidP="00B35D37">
      <w:pPr>
        <w:pStyle w:val="TextoNormal"/>
      </w:pPr>
      <w:r>
        <w:t>Madrid, a veintiséis de mayo de dos mil veinticinco.</w:t>
      </w:r>
    </w:p>
    <w:p w14:paraId="0D0B3254" w14:textId="01967A5D" w:rsidR="00B35D37" w:rsidRDefault="00B35D37">
      <w:pPr>
        <w:spacing w:after="160" w:line="278" w:lineRule="auto"/>
        <w:rPr>
          <w:rFonts w:ascii="Times New Roman" w:eastAsia="Times New Roman" w:hAnsi="Times New Roman" w:cs="Times New Roman"/>
          <w:sz w:val="24"/>
          <w:szCs w:val="24"/>
          <w:lang w:eastAsia="es-ES"/>
        </w:rPr>
      </w:pPr>
      <w:r>
        <w:br w:type="page"/>
      </w:r>
    </w:p>
    <w:p w14:paraId="036C9C4C" w14:textId="77777777" w:rsidR="00B35D37" w:rsidRDefault="00B35D37" w:rsidP="00B35D37">
      <w:pPr>
        <w:pStyle w:val="TtuloResolucin"/>
      </w:pPr>
      <w:bookmarkStart w:id="180" w:name="AUTO_2025_41"/>
      <w:r>
        <w:t>AUTO 41/2025, de 26 de mayo de 2025</w:t>
      </w:r>
    </w:p>
    <w:bookmarkEnd w:id="180"/>
    <w:p w14:paraId="54594C52" w14:textId="77777777" w:rsidR="00B35D37" w:rsidRDefault="00B35D37" w:rsidP="00B35D37">
      <w:pPr>
        <w:pStyle w:val="TtuloResolucin"/>
      </w:pPr>
      <w:r>
        <w:t>Sala Segunda</w:t>
      </w:r>
    </w:p>
    <w:p w14:paraId="6FCC0114" w14:textId="77777777" w:rsidR="00B35D37" w:rsidRDefault="00B35D37" w:rsidP="00B35D37">
      <w:pPr>
        <w:pStyle w:val="TextoNormalCentrado"/>
      </w:pPr>
      <w:r>
        <w:t>ECLI:ES:TC:2025:41A</w:t>
      </w:r>
    </w:p>
    <w:p w14:paraId="0904DCEC" w14:textId="1A9C0DD9" w:rsidR="00B35D37" w:rsidRDefault="00B35D37" w:rsidP="00B35D37">
      <w:pPr>
        <w:pStyle w:val="TextoNormalCentrado"/>
      </w:pPr>
    </w:p>
    <w:p w14:paraId="1029778A"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45F5DD97" w14:textId="0442C26D" w:rsidR="00B35D37" w:rsidRDefault="00B35D37" w:rsidP="00B35D37">
      <w:pPr>
        <w:pStyle w:val="SntesisDescriptiva"/>
      </w:pPr>
    </w:p>
    <w:p w14:paraId="2ED6616E" w14:textId="77777777" w:rsidR="00B35D37" w:rsidRDefault="00B35D37" w:rsidP="00B35D37">
      <w:pPr>
        <w:pStyle w:val="SntesisDescriptiva"/>
      </w:pPr>
      <w:r>
        <w:t>Inadmite la solicitud de ejecución de la STC 19/2025, de 27 de enero, dictada en el recurso de amparo 5755-2023, promovido por doña Laura Ramírez Rodrigo.</w:t>
      </w:r>
    </w:p>
    <w:p w14:paraId="3D136763" w14:textId="2C720FD6" w:rsidR="00B35D37" w:rsidRDefault="00B35D37" w:rsidP="00B35D37">
      <w:pPr>
        <w:pStyle w:val="SntesisDescriptiva"/>
      </w:pPr>
    </w:p>
    <w:p w14:paraId="389788B5" w14:textId="77777777" w:rsidR="00B35D37" w:rsidRDefault="00B35D37" w:rsidP="00B35D37">
      <w:pPr>
        <w:pStyle w:val="SntesisDescriptiva"/>
      </w:pPr>
    </w:p>
    <w:p w14:paraId="2E68513C" w14:textId="77777777" w:rsidR="00B35D37" w:rsidRDefault="00B35D37" w:rsidP="00B35D37">
      <w:pPr>
        <w:pStyle w:val="SntesisDescriptiva"/>
      </w:pPr>
    </w:p>
    <w:p w14:paraId="567E681B" w14:textId="77777777" w:rsidR="00B35D37" w:rsidRDefault="00B35D37" w:rsidP="00B35D37">
      <w:pPr>
        <w:pStyle w:val="TextoNormalNegritaCentrado"/>
      </w:pPr>
      <w:r>
        <w:t>AUTO</w:t>
      </w:r>
    </w:p>
    <w:p w14:paraId="15A7575C" w14:textId="4FCF15A6" w:rsidR="00B35D37" w:rsidRDefault="00B35D37" w:rsidP="00B35D37">
      <w:pPr>
        <w:pStyle w:val="TextoNormalNegritaCentrado"/>
      </w:pPr>
    </w:p>
    <w:p w14:paraId="4B76D9A8" w14:textId="77777777" w:rsidR="00B35D37" w:rsidRDefault="00B35D37" w:rsidP="00B35D37">
      <w:pPr>
        <w:pStyle w:val="TextoNormalNegritaCentrado"/>
        <w:keepNext/>
      </w:pPr>
      <w:r>
        <w:t>I. Antecedentes</w:t>
      </w:r>
    </w:p>
    <w:p w14:paraId="7DFA25BD" w14:textId="0086B914" w:rsidR="00B35D37" w:rsidRDefault="00B35D37" w:rsidP="00B35D37">
      <w:pPr>
        <w:pStyle w:val="TextoNormalNegritaCentrado"/>
        <w:keepNext/>
      </w:pPr>
    </w:p>
    <w:p w14:paraId="445C12B8" w14:textId="2BB3D9CB" w:rsidR="00B35D37" w:rsidRDefault="00B35D37" w:rsidP="00B35D37">
      <w:pPr>
        <w:pStyle w:val="TextoNormal"/>
      </w:pPr>
      <w:r w:rsidRPr="00B35D37">
        <w:rPr>
          <w:rStyle w:val="NumeroAFNegritaCaracter"/>
        </w:rPr>
        <w:t>1</w:t>
      </w:r>
      <w:r>
        <w:t>. Mediante escrito registrado en el Tribunal el 8 de septiembre de 2023, la procuradora de los tribunales doña María Isabel Torres Ruiz, en nombre y representación de doña Laura Ramírez Rodrigo y asistida por la abogada doña Susana Fuentes Gómez, interpuso recurso de amparo contra las resoluciones del Instituto Nacional de la Seguridad Social (INSS) de 12 de abril y 21 de mayo de 2021, denegatorias de la solicitud de ampliación de la prestación por nacimiento y cuidado de hijo menor como madre biológica de familia monoparental; la sentencia núm. 42/2022, de 28 de enero, del Juzgado de lo Social núm. 30 de Madrid (autos núm. 685-2021), que estimó la demanda de la señora Ramírez Rodrigo, reconociéndole el derecho a complementar la prestación de maternidad con doce semanas adicionales; la sentencia núm. 913/2022, de 19 de octubre, de la Sala de lo Social del Tribunal Superior de Justicia de Madrid (recurso de suplicación núm. 694-2022), que estimó el recurso de suplicación interpuesto por la representación del INSS y la Tesorería General de la Seguridad Social (TGSS); y el auto de 12 de julio de 2023 de la Sala de lo Social del Tribunal Supremo (recurso de casación para la unificación de doctrina núm. 5724-2022), que inadmitió el recurso presentado por la señora Ramírez Rodrigo frente a la anterior sentencia, que fue tramitado con el núm. 5755-2023 por la Sala Segunda del Tribunal.</w:t>
      </w:r>
    </w:p>
    <w:p w14:paraId="617E80F3" w14:textId="77777777" w:rsidR="00B35D37" w:rsidRDefault="00B35D37" w:rsidP="00B35D37">
      <w:pPr>
        <w:pStyle w:val="TextoNormal"/>
      </w:pPr>
    </w:p>
    <w:p w14:paraId="41F7A9FC" w14:textId="054E63E8" w:rsidR="00B35D37" w:rsidRDefault="00B35D37" w:rsidP="00B35D37">
      <w:pPr>
        <w:pStyle w:val="TextoNormal"/>
      </w:pPr>
      <w:r w:rsidRPr="00B35D37">
        <w:rPr>
          <w:rStyle w:val="NumeroAFNegritaCaracter"/>
        </w:rPr>
        <w:t>2</w:t>
      </w:r>
      <w:r>
        <w:t>. El recurso de amparo fue resuelto por la STC 19/2025, de 27 de enero, en la que, tras declarar vulnerado el derecho fundamental a la igualdad ante la ley sin que pueda prevalecer discriminación alguna (art. 14 CE), se acordó para su restauración la nulidad de las resoluciones administrativas y judiciales impugnadas y la retroacción de las actuaciones al momento previo al dictado de la resolución de 21 de mayo de 2021 a fin de que, en los términos expuestos en el último párrafo del fundamento jurídico único de la sentencia, se dictase otra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6F0DCAA0" w14:textId="77777777" w:rsidR="00B35D37" w:rsidRDefault="00B35D37" w:rsidP="00B35D37">
      <w:pPr>
        <w:pStyle w:val="TextoNormal"/>
      </w:pPr>
    </w:p>
    <w:p w14:paraId="77D545D1" w14:textId="77777777" w:rsidR="00B35D37" w:rsidRDefault="00B35D37" w:rsidP="00B35D37">
      <w:pPr>
        <w:pStyle w:val="TextoNormal"/>
      </w:pPr>
      <w:r w:rsidRPr="00B35D37">
        <w:rPr>
          <w:rStyle w:val="NumeroAFNegritaCaracter"/>
        </w:rPr>
        <w:t>3</w:t>
      </w:r>
      <w:r>
        <w:t>. El letrado de la Administración de la Seguridad Social, por escrito registrado el 13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14:paraId="1203EE9A" w14:textId="77777777" w:rsidR="00B35D37" w:rsidRDefault="00B35D37" w:rsidP="00B35D37">
      <w:pPr>
        <w:pStyle w:val="TextoNormal"/>
      </w:pPr>
    </w:p>
    <w:p w14:paraId="0B298DCD" w14:textId="733634A5" w:rsidR="00B35D37" w:rsidRDefault="00B35D37" w:rsidP="00B35D37">
      <w:pPr>
        <w:pStyle w:val="TextoNormal"/>
      </w:pPr>
      <w:r>
        <w:t>El letrado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5863F708" w14:textId="77777777" w:rsidR="00B35D37" w:rsidRDefault="00B35D37" w:rsidP="00B35D37">
      <w:pPr>
        <w:pStyle w:val="TextoNormal"/>
      </w:pPr>
    </w:p>
    <w:p w14:paraId="70F03B1B" w14:textId="77777777" w:rsidR="00B35D37" w:rsidRDefault="00B35D37" w:rsidP="00B35D37">
      <w:pPr>
        <w:pStyle w:val="TextoNormalNegritaCentrado"/>
        <w:keepNext/>
      </w:pPr>
      <w:r>
        <w:t>II. Fundamentos jurídicos</w:t>
      </w:r>
    </w:p>
    <w:p w14:paraId="024E22BE" w14:textId="0A977F03" w:rsidR="00B35D37" w:rsidRDefault="00B35D37" w:rsidP="00B35D37">
      <w:pPr>
        <w:pStyle w:val="TextoNormalNegritaCentrado"/>
        <w:keepNext/>
      </w:pPr>
    </w:p>
    <w:p w14:paraId="4D2E6868"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217B1CD1" w14:textId="77777777" w:rsidR="00B35D37" w:rsidRDefault="00B35D37" w:rsidP="00B35D37">
      <w:pPr>
        <w:pStyle w:val="TextoNormal"/>
      </w:pPr>
    </w:p>
    <w:p w14:paraId="3B11AB19"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67F409C2" w14:textId="77777777" w:rsidR="00B35D37" w:rsidRDefault="00B35D37" w:rsidP="00B35D37">
      <w:pPr>
        <w:pStyle w:val="TextoNormal"/>
      </w:pPr>
    </w:p>
    <w:p w14:paraId="6C307861" w14:textId="77777777" w:rsidR="00B35D37" w:rsidRDefault="00B35D37" w:rsidP="00B35D37">
      <w:pPr>
        <w:pStyle w:val="TextoNormal"/>
      </w:pPr>
      <w:r>
        <w:t>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4A04585D" w14:textId="77777777" w:rsidR="00B35D37" w:rsidRDefault="00B35D37" w:rsidP="00B35D37">
      <w:pPr>
        <w:pStyle w:val="TextoNormal"/>
      </w:pPr>
    </w:p>
    <w:p w14:paraId="487C24FF"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7EFB1843" w14:textId="77777777" w:rsidR="00B35D37" w:rsidRDefault="00B35D37" w:rsidP="00B35D37">
      <w:pPr>
        <w:pStyle w:val="TextoNormal"/>
      </w:pPr>
    </w:p>
    <w:p w14:paraId="6CC46728" w14:textId="33D3622A"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263C9A9C" w14:textId="77777777" w:rsidR="00B35D37" w:rsidRDefault="00B35D37" w:rsidP="00B35D37">
      <w:pPr>
        <w:pStyle w:val="TextoNormal"/>
      </w:pPr>
    </w:p>
    <w:p w14:paraId="496D410E" w14:textId="77777777" w:rsidR="00B35D37" w:rsidRDefault="00B35D37" w:rsidP="00B35D37">
      <w:pPr>
        <w:pStyle w:val="TextoNormal"/>
      </w:pPr>
      <w:r>
        <w:t>Por lo expuesto, la Sala</w:t>
      </w:r>
    </w:p>
    <w:p w14:paraId="7F57E457" w14:textId="69DFCAA0" w:rsidR="00B35D37" w:rsidRDefault="00B35D37" w:rsidP="00B35D37">
      <w:pPr>
        <w:pStyle w:val="TextoNormal"/>
      </w:pPr>
    </w:p>
    <w:p w14:paraId="0A3ACE53" w14:textId="77777777" w:rsidR="00B35D37" w:rsidRDefault="00B35D37" w:rsidP="00B35D37">
      <w:pPr>
        <w:pStyle w:val="TextoNormalCentrado"/>
      </w:pPr>
      <w:r>
        <w:t>ACUERDA</w:t>
      </w:r>
    </w:p>
    <w:p w14:paraId="3A9320E8" w14:textId="39624697" w:rsidR="00B35D37" w:rsidRDefault="00B35D37" w:rsidP="00B35D37">
      <w:pPr>
        <w:pStyle w:val="TextoNormalCentrado"/>
      </w:pPr>
    </w:p>
    <w:p w14:paraId="3023C422" w14:textId="67281AB9" w:rsidR="00B35D37" w:rsidRDefault="00B35D37" w:rsidP="00B35D37">
      <w:pPr>
        <w:pStyle w:val="TextoNormal"/>
      </w:pPr>
      <w:r>
        <w:t>Denegar la admisión de la apertura del incidente de ejecución.</w:t>
      </w:r>
    </w:p>
    <w:p w14:paraId="04066D14" w14:textId="77777777" w:rsidR="00B35D37" w:rsidRDefault="00B35D37" w:rsidP="00B35D37">
      <w:pPr>
        <w:pStyle w:val="TextoNormal"/>
      </w:pPr>
    </w:p>
    <w:p w14:paraId="31D4BB7A" w14:textId="77777777" w:rsidR="00B35D37" w:rsidRDefault="00B35D37" w:rsidP="00B35D37">
      <w:pPr>
        <w:pStyle w:val="TextoNormal"/>
      </w:pPr>
      <w:r>
        <w:t>Madrid, a veintiséis de mayo de dos mil veinticinco.</w:t>
      </w:r>
    </w:p>
    <w:p w14:paraId="435113EF" w14:textId="187697F6" w:rsidR="00B35D37" w:rsidRDefault="00B35D37">
      <w:pPr>
        <w:spacing w:after="160" w:line="278" w:lineRule="auto"/>
        <w:rPr>
          <w:rFonts w:ascii="Times New Roman" w:eastAsia="Times New Roman" w:hAnsi="Times New Roman" w:cs="Times New Roman"/>
          <w:sz w:val="24"/>
          <w:szCs w:val="24"/>
          <w:lang w:eastAsia="es-ES"/>
        </w:rPr>
      </w:pPr>
      <w:r>
        <w:br w:type="page"/>
      </w:r>
    </w:p>
    <w:p w14:paraId="0E7334F5" w14:textId="77777777" w:rsidR="00B35D37" w:rsidRDefault="00B35D37" w:rsidP="00B35D37">
      <w:pPr>
        <w:pStyle w:val="TtuloResolucin"/>
      </w:pPr>
      <w:bookmarkStart w:id="181" w:name="AUTO_2025_42"/>
      <w:r>
        <w:t>AUTO 42/2025, de 26 de mayo de 2025</w:t>
      </w:r>
    </w:p>
    <w:bookmarkEnd w:id="181"/>
    <w:p w14:paraId="22C813A3" w14:textId="77777777" w:rsidR="00B35D37" w:rsidRDefault="00B35D37" w:rsidP="00B35D37">
      <w:pPr>
        <w:pStyle w:val="TtuloResolucin"/>
      </w:pPr>
      <w:r>
        <w:t>Sala Primera</w:t>
      </w:r>
    </w:p>
    <w:p w14:paraId="71D791D5" w14:textId="77777777" w:rsidR="00B35D37" w:rsidRDefault="00B35D37" w:rsidP="00B35D37">
      <w:pPr>
        <w:pStyle w:val="TextoNormalCentrado"/>
      </w:pPr>
      <w:r>
        <w:t>ECLI:ES:TC:2025:42A</w:t>
      </w:r>
    </w:p>
    <w:p w14:paraId="307B7531" w14:textId="0B4BB125" w:rsidR="00B35D37" w:rsidRDefault="00B35D37" w:rsidP="00B35D37">
      <w:pPr>
        <w:pStyle w:val="TextoNormalCentrado"/>
      </w:pPr>
    </w:p>
    <w:p w14:paraId="65FA15F7"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3F64D677" w14:textId="1A847145" w:rsidR="00B35D37" w:rsidRDefault="00B35D37" w:rsidP="00B35D37">
      <w:pPr>
        <w:pStyle w:val="SntesisDescriptiva"/>
      </w:pPr>
    </w:p>
    <w:p w14:paraId="3AE38194" w14:textId="77777777" w:rsidR="00B35D37" w:rsidRDefault="00B35D37" w:rsidP="00B35D37">
      <w:pPr>
        <w:pStyle w:val="SntesisDescriptiva"/>
      </w:pPr>
      <w:r>
        <w:t>Inadmite la solicitud de ejecución de la STC 6/2025, de 13 de enero, dictada en el recurso de amparo 644-2024, promovido por doña Eva Ordax Cano.</w:t>
      </w:r>
    </w:p>
    <w:p w14:paraId="34A8C96E" w14:textId="4A4457A7" w:rsidR="00B35D37" w:rsidRDefault="00B35D37" w:rsidP="00B35D37">
      <w:pPr>
        <w:pStyle w:val="SntesisDescriptiva"/>
      </w:pPr>
    </w:p>
    <w:p w14:paraId="18E50117" w14:textId="77777777" w:rsidR="00B35D37" w:rsidRDefault="00B35D37" w:rsidP="00B35D37">
      <w:pPr>
        <w:pStyle w:val="SntesisDescriptiva"/>
      </w:pPr>
    </w:p>
    <w:p w14:paraId="34E196B8" w14:textId="77777777" w:rsidR="00B35D37" w:rsidRDefault="00B35D37" w:rsidP="00B35D37">
      <w:pPr>
        <w:pStyle w:val="SntesisDescriptiva"/>
      </w:pPr>
    </w:p>
    <w:p w14:paraId="0AE2EC8C" w14:textId="77777777" w:rsidR="00B35D37" w:rsidRDefault="00B35D37" w:rsidP="00B35D37">
      <w:pPr>
        <w:pStyle w:val="TextoNormalNegritaCentrado"/>
      </w:pPr>
      <w:r>
        <w:t>AUTO</w:t>
      </w:r>
    </w:p>
    <w:p w14:paraId="4AE7D6E1" w14:textId="3B2B6588" w:rsidR="00B35D37" w:rsidRDefault="00B35D37" w:rsidP="00B35D37">
      <w:pPr>
        <w:pStyle w:val="TextoNormalNegritaCentrado"/>
      </w:pPr>
    </w:p>
    <w:p w14:paraId="78FD4B2A" w14:textId="77777777" w:rsidR="00B35D37" w:rsidRDefault="00B35D37" w:rsidP="00B35D37">
      <w:pPr>
        <w:pStyle w:val="TextoNormalNegritaCentrado"/>
        <w:keepNext/>
      </w:pPr>
      <w:r>
        <w:t>I. Antecedentes</w:t>
      </w:r>
    </w:p>
    <w:p w14:paraId="7A87E49B" w14:textId="4A59FAF4" w:rsidR="00B35D37" w:rsidRDefault="00B35D37" w:rsidP="00B35D37">
      <w:pPr>
        <w:pStyle w:val="TextoNormalNegritaCentrado"/>
        <w:keepNext/>
      </w:pPr>
    </w:p>
    <w:p w14:paraId="0EF9E439" w14:textId="6B437DAB" w:rsidR="00B35D37" w:rsidRDefault="00B35D37" w:rsidP="00B35D37">
      <w:pPr>
        <w:pStyle w:val="TextoNormal"/>
      </w:pPr>
      <w:r w:rsidRPr="00B35D37">
        <w:rPr>
          <w:rStyle w:val="NumeroAFNegritaCaracter"/>
        </w:rPr>
        <w:t>1</w:t>
      </w:r>
      <w:r>
        <w:t>. Mediante escrito registrado en el Tribunal el 29 de enero de 2024, doña Eva Ordax Cano, representada por el procurador de los tribunales don David García Riquelme y asistida por la abogada doña Lourdes Ruiz Ezquerra, interpuso recurso de amparo contra la sentencia núm. 1136/2023, de 12 de diciembre, dictada por la Sala de lo Social del Tribunal Supremo en el recurso de casación para la unificación de doctrina núm. 2814-2022, que estimó el recurso interpuesto por el Instituto Nacional de la Seguridad Social (INSS) contra la sentencia núm. 255/2022, de 8 de abril, de la Sala de lo Social del Tribunal Superior de Justicia de Cantabria, dictada en el recurso de suplicación núm. 234-2022, que desestimó los recursos formulados por la demandante de amparo y por el INSS y la Tesorería General de la Seguridad Social (TGSS), confirmatoria de la sentencia núm. 24/2022, de 31 de enero, dictada por el Juzgado de lo Social núm. 4 de Santander en el procedimiento de Seguridad Social núm. 875-2021, estimatoria de la demanda interpuesta por la recurrente en amparo frente al INSS y la TGSS, con motivo de la resolución dictada por el INSS de fecha 18 de octubre de 2021, que rechaza la reclamación administrativa previa formulada por la demandante de amparo contra la resolución del mismo organismo de 10 de septiembre de 2021, que le reconoció dieciséis semanas de prestación por nacimiento y cuidado del menor, y rechazó tácitamente su solicitud de que le fueran reconocidas las dieciséis semanas de prestación por nacimiento y cuidado de menor que hubieran correspondido al progenitor distinto de la madre biológica, recurso de amparo que fue tramitado con el núm. 644-2024 por la Sala Primera de este tribunal.</w:t>
      </w:r>
    </w:p>
    <w:p w14:paraId="7F9B042D" w14:textId="77777777" w:rsidR="00B35D37" w:rsidRDefault="00B35D37" w:rsidP="00B35D37">
      <w:pPr>
        <w:pStyle w:val="TextoNormal"/>
      </w:pPr>
    </w:p>
    <w:p w14:paraId="00512459" w14:textId="257FADB5" w:rsidR="00B35D37" w:rsidRDefault="00B35D37" w:rsidP="00B35D37">
      <w:pPr>
        <w:pStyle w:val="TextoNormal"/>
      </w:pPr>
      <w:r w:rsidRPr="00B35D37">
        <w:rPr>
          <w:rStyle w:val="NumeroAFNegritaCaracter"/>
        </w:rPr>
        <w:t>2</w:t>
      </w:r>
      <w:r>
        <w:t>. El recurso de amparo fue resuelto por la STC 6/2025, de 13 de enero,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 resolución del INSS de 10 de septiembre de 2021, a fin de que, en los términos expuestos en el último párrafo del FJ 3, se dictara otra respetuosa con el derecho fundamental reconocido. A esos efectos, en el último párrafo del FJ 3 se establecía que, en tanto el legislador no lleve a cabo la consiguiente reforma normativa, en las familias monoparentales el permiso a que hace referencia el art. 48.4 de la Ley del estatuto de los trabajadores (LET), y en relación con el art. 177 de la Ley general de la Seguridad Social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2C779B56" w14:textId="77777777" w:rsidR="00B35D37" w:rsidRDefault="00B35D37" w:rsidP="00B35D37">
      <w:pPr>
        <w:pStyle w:val="TextoNormal"/>
      </w:pPr>
    </w:p>
    <w:p w14:paraId="35083BE6" w14:textId="77777777" w:rsidR="00B35D37" w:rsidRDefault="00B35D37" w:rsidP="00B35D37">
      <w:pPr>
        <w:pStyle w:val="TextoNormal"/>
      </w:pPr>
      <w:r w:rsidRPr="00B35D37">
        <w:rPr>
          <w:rStyle w:val="NumeroAFNegritaCaracter"/>
        </w:rPr>
        <w:t>3</w:t>
      </w:r>
      <w:r>
        <w:t>. La administración de la Seguridad Social, por escrito registrado el 28 de febrero de 2025, formuló incidente de ejecución al amparo del art. 92.3 de la Ley Orgánica del Tribunal Constitucional (LOTC) instando al Tribunal a determinar las medidas necesarias para que el INSS pueda dictar una resolución administrativa respetuosa con el derecho vulnerado.</w:t>
      </w:r>
    </w:p>
    <w:p w14:paraId="3B18CE3B" w14:textId="77777777" w:rsidR="00B35D37" w:rsidRDefault="00B35D37" w:rsidP="00B35D37">
      <w:pPr>
        <w:pStyle w:val="TextoNormal"/>
      </w:pPr>
    </w:p>
    <w:p w14:paraId="1DBBE240" w14:textId="39260812"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apministraciones Públicas, se inicie de oficio el procedimiento administrativo para el reconocimiento de una indemnización derivada del daño producido por el Estado legislador.</w:t>
      </w:r>
    </w:p>
    <w:p w14:paraId="294D7EE9" w14:textId="77777777" w:rsidR="00B35D37" w:rsidRDefault="00B35D37" w:rsidP="00B35D37">
      <w:pPr>
        <w:pStyle w:val="TextoNormal"/>
      </w:pPr>
    </w:p>
    <w:p w14:paraId="385E6080" w14:textId="426DEB3D" w:rsidR="00B35D37" w:rsidRDefault="00B35D37" w:rsidP="00B35D37">
      <w:pPr>
        <w:pStyle w:val="TextoNormal"/>
      </w:pPr>
      <w:r w:rsidRPr="00B35D37">
        <w:rPr>
          <w:rStyle w:val="NumeroAFNegritaCaracter"/>
        </w:rPr>
        <w:t>4</w:t>
      </w:r>
      <w:r>
        <w:t>. Mediante diligencia de ordenación de 3 de marzo de 2025 se acordó tener por recibido el escrito presentado por el letrado de la administración de la Seguridad Social, del que se pasa a dar cuenta a la Sala, y se significa a las partes que podrán tener acceso a los escritos y demás documentación, incluida la ahora recibida, a través de la sede electrónica de este tribunal.</w:t>
      </w:r>
    </w:p>
    <w:p w14:paraId="5A95EEA5" w14:textId="77777777" w:rsidR="00B35D37" w:rsidRDefault="00B35D37" w:rsidP="00B35D37">
      <w:pPr>
        <w:pStyle w:val="TextoNormal"/>
      </w:pPr>
    </w:p>
    <w:p w14:paraId="6E0E2F74" w14:textId="6B125C4D" w:rsidR="00B35D37" w:rsidRDefault="00B35D37" w:rsidP="00B35D37">
      <w:pPr>
        <w:pStyle w:val="TextoNormal"/>
      </w:pPr>
      <w:r w:rsidRPr="00B35D37">
        <w:rPr>
          <w:rStyle w:val="NumeroAFNegritaCaracter"/>
        </w:rPr>
        <w:t>5</w:t>
      </w:r>
      <w:r>
        <w:t>. El 13 de mayo de 2025 el Pleno del Tribunal dictó el ATC 34/2025, en el que inadmitió el incidente de ejecución instado por la administración de la Seguridad Social respecto a la STC 88/2025, de 7 de abril, dictada en el recurso de amparo avocado núm. 5220-2024, estimatoria del recurso planteado sobre la misma materia que es objeto de la sentencia dictada en el presente recurso de amparo.</w:t>
      </w:r>
    </w:p>
    <w:p w14:paraId="593AA067" w14:textId="77777777" w:rsidR="00B35D37" w:rsidRDefault="00B35D37" w:rsidP="00B35D37">
      <w:pPr>
        <w:pStyle w:val="TextoNormal"/>
      </w:pPr>
    </w:p>
    <w:p w14:paraId="289CBD99" w14:textId="77777777" w:rsidR="00B35D37" w:rsidRDefault="00B35D37" w:rsidP="00B35D37">
      <w:pPr>
        <w:pStyle w:val="TextoNormalNegritaCentrado"/>
        <w:keepNext/>
      </w:pPr>
      <w:r>
        <w:t>II. Fundamentos jurídicos</w:t>
      </w:r>
    </w:p>
    <w:p w14:paraId="6137D9AB" w14:textId="36A665D0" w:rsidR="00B35D37" w:rsidRDefault="00B35D37" w:rsidP="00B35D37">
      <w:pPr>
        <w:pStyle w:val="TextoNormalNegritaCentrado"/>
        <w:keepNext/>
      </w:pPr>
    </w:p>
    <w:p w14:paraId="1DFD21EC" w14:textId="77777777" w:rsidR="00B35D37" w:rsidRDefault="00B35D37" w:rsidP="00B35D37">
      <w:pPr>
        <w:pStyle w:val="TextoNormal"/>
      </w:pPr>
      <w:r w:rsidRPr="00B35D37">
        <w:rPr>
          <w:rStyle w:val="TextoNormalNegritaCaracter"/>
        </w:rPr>
        <w:t xml:space="preserve">Único. </w:t>
      </w:r>
      <w:r>
        <w:t>El ATC 34/2025, de 13 de mayo, del Pleno,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2F0C872A" w14:textId="77777777" w:rsidR="00B35D37" w:rsidRDefault="00B35D37" w:rsidP="00B35D37">
      <w:pPr>
        <w:pStyle w:val="TextoNormal"/>
      </w:pPr>
    </w:p>
    <w:p w14:paraId="16AF0E8E"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043FD8A6" w14:textId="77777777" w:rsidR="00B35D37" w:rsidRDefault="00B35D37" w:rsidP="00B35D37">
      <w:pPr>
        <w:pStyle w:val="TextoNormal"/>
      </w:pPr>
    </w:p>
    <w:p w14:paraId="7B9A272A" w14:textId="77777777" w:rsidR="00B35D37" w:rsidRDefault="00B35D37" w:rsidP="00B35D37">
      <w:pPr>
        <w:pStyle w:val="TextoNormal"/>
      </w:pPr>
      <w:r>
        <w:t>En el presente caso,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439D4D07" w14:textId="77777777" w:rsidR="00B35D37" w:rsidRDefault="00B35D37" w:rsidP="00B35D37">
      <w:pPr>
        <w:pStyle w:val="TextoNormal"/>
      </w:pPr>
    </w:p>
    <w:p w14:paraId="6B89AAE4"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5F11ECEE" w14:textId="77777777" w:rsidR="00B35D37" w:rsidRDefault="00B35D37" w:rsidP="00B35D37">
      <w:pPr>
        <w:pStyle w:val="TextoNormal"/>
      </w:pPr>
    </w:p>
    <w:p w14:paraId="7A596D35" w14:textId="37B698F4" w:rsidR="00B35D37" w:rsidRDefault="00B35D37" w:rsidP="00B35D37">
      <w:pPr>
        <w:pStyle w:val="TextoNormal"/>
      </w:pPr>
      <w:r>
        <w:t>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43843B77" w14:textId="77777777" w:rsidR="00B35D37" w:rsidRDefault="00B35D37" w:rsidP="00B35D37">
      <w:pPr>
        <w:pStyle w:val="TextoNormal"/>
      </w:pPr>
    </w:p>
    <w:p w14:paraId="53926D3B" w14:textId="77777777" w:rsidR="00B35D37" w:rsidRDefault="00B35D37" w:rsidP="00B35D37">
      <w:pPr>
        <w:pStyle w:val="TextoNormal"/>
      </w:pPr>
      <w:r>
        <w:t>Por lo expuesto, la Sala</w:t>
      </w:r>
    </w:p>
    <w:p w14:paraId="27A50BD6" w14:textId="01C3E770" w:rsidR="00B35D37" w:rsidRDefault="00B35D37" w:rsidP="00B35D37">
      <w:pPr>
        <w:pStyle w:val="TextoNormal"/>
      </w:pPr>
    </w:p>
    <w:p w14:paraId="3E364E24" w14:textId="77777777" w:rsidR="00B35D37" w:rsidRDefault="00B35D37" w:rsidP="00B35D37">
      <w:pPr>
        <w:pStyle w:val="TextoNormalCentrado"/>
      </w:pPr>
      <w:r>
        <w:t>ACUERDA</w:t>
      </w:r>
    </w:p>
    <w:p w14:paraId="03F18F50" w14:textId="6513A88E" w:rsidR="00B35D37" w:rsidRDefault="00B35D37" w:rsidP="00B35D37">
      <w:pPr>
        <w:pStyle w:val="TextoNormalCentrado"/>
      </w:pPr>
    </w:p>
    <w:p w14:paraId="01333680" w14:textId="24BE6B26" w:rsidR="00B35D37" w:rsidRDefault="00B35D37" w:rsidP="00B35D37">
      <w:pPr>
        <w:pStyle w:val="TextoNormal"/>
      </w:pPr>
      <w:r>
        <w:t>Denegar la admisión de la apertura del incidente de ejecución.</w:t>
      </w:r>
    </w:p>
    <w:p w14:paraId="70F1A80F" w14:textId="77777777" w:rsidR="00B35D37" w:rsidRDefault="00B35D37" w:rsidP="00B35D37">
      <w:pPr>
        <w:pStyle w:val="TextoNormal"/>
      </w:pPr>
    </w:p>
    <w:p w14:paraId="2E6632C0" w14:textId="77777777" w:rsidR="00B35D37" w:rsidRDefault="00B35D37" w:rsidP="00B35D37">
      <w:pPr>
        <w:pStyle w:val="TextoNormal"/>
      </w:pPr>
      <w:r>
        <w:t>Madrid, a veintiséis de mayo de dos mil veinticinco.</w:t>
      </w:r>
    </w:p>
    <w:p w14:paraId="51B3A930" w14:textId="746E796A" w:rsidR="00B35D37" w:rsidRDefault="00B35D37">
      <w:pPr>
        <w:spacing w:after="160" w:line="278" w:lineRule="auto"/>
        <w:rPr>
          <w:rFonts w:ascii="Times New Roman" w:eastAsia="Times New Roman" w:hAnsi="Times New Roman" w:cs="Times New Roman"/>
          <w:sz w:val="24"/>
          <w:szCs w:val="24"/>
          <w:lang w:eastAsia="es-ES"/>
        </w:rPr>
      </w:pPr>
      <w:r>
        <w:br w:type="page"/>
      </w:r>
    </w:p>
    <w:p w14:paraId="54F01DB9" w14:textId="77777777" w:rsidR="00B35D37" w:rsidRDefault="00B35D37" w:rsidP="00B35D37">
      <w:pPr>
        <w:pStyle w:val="TtuloResolucin"/>
      </w:pPr>
      <w:bookmarkStart w:id="182" w:name="AUTO_2025_43"/>
      <w:r>
        <w:t>AUTO 43/2025, de 26 de mayo de 2025</w:t>
      </w:r>
    </w:p>
    <w:bookmarkEnd w:id="182"/>
    <w:p w14:paraId="4A365541" w14:textId="77777777" w:rsidR="00B35D37" w:rsidRDefault="00B35D37" w:rsidP="00B35D37">
      <w:pPr>
        <w:pStyle w:val="TtuloResolucin"/>
      </w:pPr>
      <w:r>
        <w:t>Sala Segunda</w:t>
      </w:r>
    </w:p>
    <w:p w14:paraId="51D67D2A" w14:textId="77777777" w:rsidR="00B35D37" w:rsidRDefault="00B35D37" w:rsidP="00B35D37">
      <w:pPr>
        <w:pStyle w:val="TextoNormalCentrado"/>
      </w:pPr>
      <w:r>
        <w:t>ECLI:ES:TC:2025:43A</w:t>
      </w:r>
    </w:p>
    <w:p w14:paraId="198E4729" w14:textId="024CA805" w:rsidR="00B35D37" w:rsidRDefault="00B35D37" w:rsidP="00B35D37">
      <w:pPr>
        <w:pStyle w:val="TextoNormalCentrado"/>
      </w:pPr>
    </w:p>
    <w:p w14:paraId="37D4EC96"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37102896" w14:textId="01F1E46D" w:rsidR="00B35D37" w:rsidRDefault="00B35D37" w:rsidP="00B35D37">
      <w:pPr>
        <w:pStyle w:val="SntesisDescriptiva"/>
      </w:pPr>
    </w:p>
    <w:p w14:paraId="0E111C90" w14:textId="77777777" w:rsidR="00B35D37" w:rsidRDefault="00B35D37" w:rsidP="00B35D37">
      <w:pPr>
        <w:pStyle w:val="SntesisDescriptiva"/>
      </w:pPr>
      <w:r>
        <w:t>Inadmite la solicitud de ejecución de la STC 7/2025, de 13 de enero, dictada en el recurso de amparo 943-2024, promovido por doña Ixone Fernández Bustillo.</w:t>
      </w:r>
    </w:p>
    <w:p w14:paraId="687171E5" w14:textId="632B455E" w:rsidR="00B35D37" w:rsidRDefault="00B35D37" w:rsidP="00B35D37">
      <w:pPr>
        <w:pStyle w:val="SntesisDescriptiva"/>
      </w:pPr>
    </w:p>
    <w:p w14:paraId="21E45449" w14:textId="77777777" w:rsidR="00B35D37" w:rsidRDefault="00B35D37" w:rsidP="00B35D37">
      <w:pPr>
        <w:pStyle w:val="SntesisDescriptiva"/>
      </w:pPr>
    </w:p>
    <w:p w14:paraId="50F1800A" w14:textId="77777777" w:rsidR="00B35D37" w:rsidRDefault="00B35D37" w:rsidP="00B35D37">
      <w:pPr>
        <w:pStyle w:val="SntesisDescriptiva"/>
      </w:pPr>
    </w:p>
    <w:p w14:paraId="1094CBDF" w14:textId="77777777" w:rsidR="00B35D37" w:rsidRDefault="00B35D37" w:rsidP="00B35D37">
      <w:pPr>
        <w:pStyle w:val="TextoNormalNegritaCentrado"/>
      </w:pPr>
      <w:r>
        <w:t>AUTO</w:t>
      </w:r>
    </w:p>
    <w:p w14:paraId="20113124" w14:textId="4E96F729" w:rsidR="00B35D37" w:rsidRDefault="00B35D37" w:rsidP="00B35D37">
      <w:pPr>
        <w:pStyle w:val="TextoNormalNegritaCentrado"/>
      </w:pPr>
    </w:p>
    <w:p w14:paraId="498B90FC" w14:textId="77777777" w:rsidR="00B35D37" w:rsidRDefault="00B35D37" w:rsidP="00B35D37">
      <w:pPr>
        <w:pStyle w:val="TextoNormalNegritaCentrado"/>
        <w:keepNext/>
      </w:pPr>
      <w:r>
        <w:t>I. Antecedentes</w:t>
      </w:r>
    </w:p>
    <w:p w14:paraId="7A062C7A" w14:textId="59E53769" w:rsidR="00B35D37" w:rsidRDefault="00B35D37" w:rsidP="00B35D37">
      <w:pPr>
        <w:pStyle w:val="TextoNormalNegritaCentrado"/>
        <w:keepNext/>
      </w:pPr>
    </w:p>
    <w:p w14:paraId="101B106F" w14:textId="0132934C" w:rsidR="00B35D37" w:rsidRDefault="00B35D37" w:rsidP="00B35D37">
      <w:pPr>
        <w:pStyle w:val="TextoNormal"/>
      </w:pPr>
      <w:r w:rsidRPr="00B35D37">
        <w:rPr>
          <w:rStyle w:val="NumeroAFNegritaCaracter"/>
        </w:rPr>
        <w:t>1</w:t>
      </w:r>
      <w:r>
        <w:t>. Mediante escrito registrado en el Tribunal el 12 de febrero de 2024, la procuradora de los tribunales doña María Isabel Torres Ruiz, en nombre y representación de doña Ixone Fernández Bustillo y asistida por el abogado don Aritz Tellitu Zabala, interpuso recurso de amparo contra las resoluciones del Instituto Nacional de la Seguridad Social (INSS) de 24 de febrero de 2021, 7 de junio de 2021 y 12 de agosto de 2021, denegatorias de la solicitud de ampliación de la prestación por nacimiento y cuidado de hijo menor como madre biológica de familia monoparental; la sentencia núm. 517/2021, de 2 de diciembre, del Juzgado de lo Social núm. 3 de Bilbao, autos núm. 933-2021, que estimó parcialmente la demanda de la señora Fernández reconociéndole el derecho a complementar la prestación de maternidad con diez semanas adicionales; la sentencia núm. 2150/2022, de 25 de octubre, de la Sala de lo Social del Tribunal Superior de Justicia del País Vasco, que desestimó el recurso de suplicación núm. 836-2022 interpuesto por la representación del INSS y la Tesorería General de la Seguridad Social (TGSS) y estimó parcialmente el de la señora Fernández, reconociéndole el derecho a otras seis semanas adicionales de permiso de maternidad; y la sentencia núm. 1294/2023, de 21 de diciembre, de la Sala de lo Social del Tribunal Supremo, recurso de casación para la unificación de doctrina núm. 5381-2022, que estimó el recurso presentado por la representación del Instituto Nacional de la Seguridad Social y la Tesorería General de la Seguridad Social, anulando las sentencias anteriores y absolviendo a las codemandadas de todos los pedimentos deducidos contra ellas, que fue tramitado con el núm. 943-2024 por la Sala Segunda del Tribunal.</w:t>
      </w:r>
    </w:p>
    <w:p w14:paraId="78299E2D" w14:textId="77777777" w:rsidR="00B35D37" w:rsidRDefault="00B35D37" w:rsidP="00B35D37">
      <w:pPr>
        <w:pStyle w:val="TextoNormal"/>
      </w:pPr>
    </w:p>
    <w:p w14:paraId="4FDCE4A6" w14:textId="316A7488" w:rsidR="00B35D37" w:rsidRDefault="00B35D37" w:rsidP="00B35D37">
      <w:pPr>
        <w:pStyle w:val="TextoNormal"/>
      </w:pPr>
      <w:r w:rsidRPr="00B35D37">
        <w:rPr>
          <w:rStyle w:val="NumeroAFNegritaCaracter"/>
        </w:rPr>
        <w:t>2</w:t>
      </w:r>
      <w:r>
        <w:t>. El recurso de amparo fue resuelto por la STC 7/2025, de 13 de enero, en la que, tras declarar vulnerado el derecho fundamental a la igualdad ante la ley sin que pueda prevalecer discriminación alguna (art. 14 CE), se acordó para su restauración la nulidad de las resoluciones administrativas y judiciales impugnadas y la retroacción de las actuaciones al momento previo al dictado de la resolución de 7 de junio de 2021 a fin de que, en los términos expuestos en el último párrafo del fundamento jurídico único de la sentencia, se dictase otra respetuosa con el derecho de la recurrente cuya vulneración había sido declarada. A esos efectos, en el último párrafo del fundamento jurídico único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529D02A8" w14:textId="77777777" w:rsidR="00B35D37" w:rsidRDefault="00B35D37" w:rsidP="00B35D37">
      <w:pPr>
        <w:pStyle w:val="TextoNormal"/>
      </w:pPr>
    </w:p>
    <w:p w14:paraId="76810C88" w14:textId="77777777" w:rsidR="00B35D37" w:rsidRDefault="00B35D37" w:rsidP="00B35D37">
      <w:pPr>
        <w:pStyle w:val="TextoNormal"/>
      </w:pPr>
      <w:r w:rsidRPr="00B35D37">
        <w:rPr>
          <w:rStyle w:val="NumeroAFNegritaCaracter"/>
        </w:rPr>
        <w:t>3</w:t>
      </w:r>
      <w:r>
        <w:t>. La letrada de la administración de la Seguridad Social, por escrito registrado el 24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14:paraId="30AAB1E7" w14:textId="77777777" w:rsidR="00B35D37" w:rsidRDefault="00B35D37" w:rsidP="00B35D37">
      <w:pPr>
        <w:pStyle w:val="TextoNormal"/>
      </w:pPr>
    </w:p>
    <w:p w14:paraId="638BD235" w14:textId="1BA517C2" w:rsidR="00B35D37" w:rsidRDefault="00B35D37" w:rsidP="00B35D37">
      <w:pPr>
        <w:pStyle w:val="TextoNormal"/>
      </w:pPr>
      <w:r>
        <w:t>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6E412AC6" w14:textId="77777777" w:rsidR="00B35D37" w:rsidRDefault="00B35D37" w:rsidP="00B35D37">
      <w:pPr>
        <w:pStyle w:val="TextoNormal"/>
      </w:pPr>
    </w:p>
    <w:p w14:paraId="6008A1C2" w14:textId="77777777" w:rsidR="00B35D37" w:rsidRDefault="00B35D37" w:rsidP="00B35D37">
      <w:pPr>
        <w:pStyle w:val="TextoNormalNegritaCentrado"/>
        <w:keepNext/>
      </w:pPr>
      <w:r>
        <w:t>II. Fundamentos jurídicos</w:t>
      </w:r>
    </w:p>
    <w:p w14:paraId="4F0A8558" w14:textId="61AA5EED" w:rsidR="00B35D37" w:rsidRDefault="00B35D37" w:rsidP="00B35D37">
      <w:pPr>
        <w:pStyle w:val="TextoNormalNegritaCentrado"/>
        <w:keepNext/>
      </w:pPr>
    </w:p>
    <w:p w14:paraId="7645FD71"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32AE6177" w14:textId="77777777" w:rsidR="00B35D37" w:rsidRDefault="00B35D37" w:rsidP="00B35D37">
      <w:pPr>
        <w:pStyle w:val="TextoNormal"/>
      </w:pPr>
    </w:p>
    <w:p w14:paraId="330374C9"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7E70128F" w14:textId="77777777" w:rsidR="00B35D37" w:rsidRDefault="00B35D37" w:rsidP="00B35D37">
      <w:pPr>
        <w:pStyle w:val="TextoNormal"/>
      </w:pPr>
    </w:p>
    <w:p w14:paraId="2D37F80C" w14:textId="77777777" w:rsidR="00B35D37" w:rsidRDefault="00B35D37" w:rsidP="00B35D37">
      <w:pPr>
        <w:pStyle w:val="TextoNormal"/>
      </w:pPr>
      <w:r>
        <w:t>En el presente caso, al igual que sucedía con el examinado en el citado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7698E1C2" w14:textId="77777777" w:rsidR="00B35D37" w:rsidRDefault="00B35D37" w:rsidP="00B35D37">
      <w:pPr>
        <w:pStyle w:val="TextoNormal"/>
      </w:pPr>
    </w:p>
    <w:p w14:paraId="04FA1507"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2F0027A3" w14:textId="77777777" w:rsidR="00B35D37" w:rsidRDefault="00B35D37" w:rsidP="00B35D37">
      <w:pPr>
        <w:pStyle w:val="TextoNormal"/>
      </w:pPr>
    </w:p>
    <w:p w14:paraId="386C6A7F" w14:textId="222E1D57"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4B1259EB" w14:textId="77777777" w:rsidR="00B35D37" w:rsidRDefault="00B35D37" w:rsidP="00B35D37">
      <w:pPr>
        <w:pStyle w:val="TextoNormal"/>
      </w:pPr>
    </w:p>
    <w:p w14:paraId="76894236" w14:textId="77777777" w:rsidR="00B35D37" w:rsidRDefault="00B35D37" w:rsidP="00B35D37">
      <w:pPr>
        <w:pStyle w:val="TextoNormal"/>
      </w:pPr>
      <w:r>
        <w:t>Por lo expuesto, la Sala</w:t>
      </w:r>
    </w:p>
    <w:p w14:paraId="054193DC" w14:textId="3FD20150" w:rsidR="00B35D37" w:rsidRDefault="00B35D37" w:rsidP="00B35D37">
      <w:pPr>
        <w:pStyle w:val="TextoNormal"/>
      </w:pPr>
    </w:p>
    <w:p w14:paraId="1F83FEAD" w14:textId="77777777" w:rsidR="00B35D37" w:rsidRDefault="00B35D37" w:rsidP="00B35D37">
      <w:pPr>
        <w:pStyle w:val="TextoNormalCentrado"/>
      </w:pPr>
      <w:r>
        <w:t>ACUERDA</w:t>
      </w:r>
    </w:p>
    <w:p w14:paraId="12E0B8A9" w14:textId="5218E131" w:rsidR="00B35D37" w:rsidRDefault="00B35D37" w:rsidP="00B35D37">
      <w:pPr>
        <w:pStyle w:val="TextoNormalCentrado"/>
      </w:pPr>
    </w:p>
    <w:p w14:paraId="010227B5" w14:textId="4ABA008D" w:rsidR="00B35D37" w:rsidRDefault="00B35D37" w:rsidP="00B35D37">
      <w:pPr>
        <w:pStyle w:val="TextoNormal"/>
      </w:pPr>
      <w:r>
        <w:t>Denegar la admisión de la apertura del incidente de ejecución.</w:t>
      </w:r>
    </w:p>
    <w:p w14:paraId="021A9647" w14:textId="77777777" w:rsidR="00B35D37" w:rsidRDefault="00B35D37" w:rsidP="00B35D37">
      <w:pPr>
        <w:pStyle w:val="TextoNormal"/>
      </w:pPr>
    </w:p>
    <w:p w14:paraId="104A408D" w14:textId="77777777" w:rsidR="00B35D37" w:rsidRDefault="00B35D37" w:rsidP="00B35D37">
      <w:pPr>
        <w:pStyle w:val="TextoNormal"/>
      </w:pPr>
      <w:r>
        <w:t>Madrid, a veintiséis de mayo de dos mil veinticinco.</w:t>
      </w:r>
    </w:p>
    <w:p w14:paraId="5A334924" w14:textId="7C89E1BC" w:rsidR="00B35D37" w:rsidRDefault="00B35D37">
      <w:pPr>
        <w:spacing w:after="160" w:line="278" w:lineRule="auto"/>
        <w:rPr>
          <w:rFonts w:ascii="Times New Roman" w:eastAsia="Times New Roman" w:hAnsi="Times New Roman" w:cs="Times New Roman"/>
          <w:sz w:val="24"/>
          <w:szCs w:val="24"/>
          <w:lang w:eastAsia="es-ES"/>
        </w:rPr>
      </w:pPr>
      <w:r>
        <w:br w:type="page"/>
      </w:r>
    </w:p>
    <w:p w14:paraId="054357E5" w14:textId="77777777" w:rsidR="00B35D37" w:rsidRDefault="00B35D37" w:rsidP="00B35D37">
      <w:pPr>
        <w:pStyle w:val="TtuloResolucin"/>
      </w:pPr>
      <w:bookmarkStart w:id="183" w:name="AUTO_2025_44"/>
      <w:r>
        <w:t>AUTO 44/2025, de 26 de mayo de 2025</w:t>
      </w:r>
    </w:p>
    <w:bookmarkEnd w:id="183"/>
    <w:p w14:paraId="5F919C14" w14:textId="77777777" w:rsidR="00B35D37" w:rsidRDefault="00B35D37" w:rsidP="00B35D37">
      <w:pPr>
        <w:pStyle w:val="TtuloResolucin"/>
      </w:pPr>
      <w:r>
        <w:t>Sala Primera</w:t>
      </w:r>
    </w:p>
    <w:p w14:paraId="588DD196" w14:textId="77777777" w:rsidR="00B35D37" w:rsidRDefault="00B35D37" w:rsidP="00B35D37">
      <w:pPr>
        <w:pStyle w:val="TextoNormalCentrado"/>
      </w:pPr>
      <w:r>
        <w:t>ECLI:ES:TC:2025:44A</w:t>
      </w:r>
    </w:p>
    <w:p w14:paraId="37C76BA3" w14:textId="787917AA" w:rsidR="00B35D37" w:rsidRDefault="00B35D37" w:rsidP="00B35D37">
      <w:pPr>
        <w:pStyle w:val="TextoNormalCentrado"/>
      </w:pPr>
    </w:p>
    <w:p w14:paraId="28A97323"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02E0EA57" w14:textId="098AB0B3" w:rsidR="00B35D37" w:rsidRDefault="00B35D37" w:rsidP="00B35D37">
      <w:pPr>
        <w:pStyle w:val="SntesisDescriptiva"/>
      </w:pPr>
    </w:p>
    <w:p w14:paraId="3EDAD190" w14:textId="77777777" w:rsidR="00B35D37" w:rsidRDefault="00B35D37" w:rsidP="00B35D37">
      <w:pPr>
        <w:pStyle w:val="SntesisDescriptiva"/>
      </w:pPr>
      <w:r>
        <w:t>Inadmite la solicitud de ejecución de la STC 149/2024, de 2 de diciembre, dictada en el recurso de amparo 1084-2024, promovido por doña Irakusne Goiriena Ugarte.</w:t>
      </w:r>
    </w:p>
    <w:p w14:paraId="31998AFC" w14:textId="6A75A8D5" w:rsidR="00B35D37" w:rsidRDefault="00B35D37" w:rsidP="00B35D37">
      <w:pPr>
        <w:pStyle w:val="SntesisDescriptiva"/>
      </w:pPr>
    </w:p>
    <w:p w14:paraId="69DE0380" w14:textId="77777777" w:rsidR="00B35D37" w:rsidRDefault="00B35D37" w:rsidP="00B35D37">
      <w:pPr>
        <w:pStyle w:val="SntesisDescriptiva"/>
      </w:pPr>
    </w:p>
    <w:p w14:paraId="7CFB0CB0" w14:textId="77777777" w:rsidR="00B35D37" w:rsidRDefault="00B35D37" w:rsidP="00B35D37">
      <w:pPr>
        <w:pStyle w:val="SntesisDescriptiva"/>
      </w:pPr>
    </w:p>
    <w:p w14:paraId="69C04D9A" w14:textId="77777777" w:rsidR="00B35D37" w:rsidRDefault="00B35D37" w:rsidP="00B35D37">
      <w:pPr>
        <w:pStyle w:val="TextoNormalNegritaCentrado"/>
      </w:pPr>
      <w:r>
        <w:t>AUTO</w:t>
      </w:r>
    </w:p>
    <w:p w14:paraId="6EFDD1B6" w14:textId="1A632CF4" w:rsidR="00B35D37" w:rsidRDefault="00B35D37" w:rsidP="00B35D37">
      <w:pPr>
        <w:pStyle w:val="TextoNormalNegritaCentrado"/>
      </w:pPr>
    </w:p>
    <w:p w14:paraId="75DEC6F9" w14:textId="77777777" w:rsidR="00B35D37" w:rsidRDefault="00B35D37" w:rsidP="00B35D37">
      <w:pPr>
        <w:pStyle w:val="TextoNormalNegritaCentrado"/>
        <w:keepNext/>
      </w:pPr>
      <w:r>
        <w:t>I. Antecedentes</w:t>
      </w:r>
    </w:p>
    <w:p w14:paraId="5BEC279C" w14:textId="0DB863F1" w:rsidR="00B35D37" w:rsidRDefault="00B35D37" w:rsidP="00B35D37">
      <w:pPr>
        <w:pStyle w:val="TextoNormalNegritaCentrado"/>
        <w:keepNext/>
      </w:pPr>
    </w:p>
    <w:p w14:paraId="4D47861E" w14:textId="5EAD2AA3" w:rsidR="00B35D37" w:rsidRDefault="00B35D37" w:rsidP="00B35D37">
      <w:pPr>
        <w:pStyle w:val="TextoNormal"/>
      </w:pPr>
      <w:r w:rsidRPr="00B35D37">
        <w:rPr>
          <w:rStyle w:val="NumeroAFNegritaCaracter"/>
        </w:rPr>
        <w:t>1</w:t>
      </w:r>
      <w:r>
        <w:t>. Mediante escrito registrado en el Tribunal el 16 de febrero de 2024, la procuradora de los tribunales doña doña María Esperanza Azpeitia Calvín, en nombre y representación de doña Irakusne Goiriena Ugarte, bajo la dirección letrada de doña Nerea Arroyo Bustos, interpuso recurso de amparo contra la sentencia núm. 176/2022, de 3 de mayo, dictada por el Juzgado de lo Social núm. 1 de Bilbao en autos núm. 77-2021, que desestimó la demanda interpuesta por la ahora recurrente frente al Instituto Nacional de Seguridad Social (INSS) y la Tesorería General de la Seguridad Social (TGSS) frente a la resolución dictada por el INSS de 23 de diciembre de 2020, que a su vez desestimó la reclamación previa planteada frente a la resolución del mismo organismo fechada el 8 de mayo de 2020, recurso de amparo que fue tramitado con el núm. 1084-2024 por la Sala Primera de este tribunal.</w:t>
      </w:r>
    </w:p>
    <w:p w14:paraId="06913370" w14:textId="77777777" w:rsidR="00B35D37" w:rsidRDefault="00B35D37" w:rsidP="00B35D37">
      <w:pPr>
        <w:pStyle w:val="TextoNormal"/>
      </w:pPr>
    </w:p>
    <w:p w14:paraId="3F827548" w14:textId="58887CA0" w:rsidR="00B35D37" w:rsidRDefault="00B35D37" w:rsidP="00B35D37">
      <w:pPr>
        <w:pStyle w:val="TextoNormal"/>
      </w:pPr>
      <w:r w:rsidRPr="00B35D37">
        <w:rPr>
          <w:rStyle w:val="NumeroAFNegritaCaracter"/>
        </w:rPr>
        <w:t>2</w:t>
      </w:r>
      <w:r>
        <w:t>. El recurso de amparo fue resuelto por la STC 149/2024, de 2 de diciembre,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 resolución del INSS de 8 de mayo de 2020, a fin de que, en los términos expuestos en el último párrafo del fundamento jurídico 3, se dictara otra respetuosa con el derecho fundamental reconocido. A esos efectos, en el último párrafo del fundamento jurídico 3 se establecía que, en tanto el legislador no lleve a cabo la consiguiente reforma normativa, en las familias monoparentales el permiso a que hace referencia el art. 48.4 del texto refundido de la Ley del estatuto de los trabajadores, aprobado por el Real Decreto Legislativo 2/2015, de 23 de octubre (LET) y en relación con el art. 177 del texto refundido de la Ley general de la Seguridad Social aprobado por el Real Decreto Legislativo 8/2015, de 30 de octubre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3BFE1CDB" w14:textId="77777777" w:rsidR="00B35D37" w:rsidRDefault="00B35D37" w:rsidP="00B35D37">
      <w:pPr>
        <w:pStyle w:val="TextoNormal"/>
      </w:pPr>
    </w:p>
    <w:p w14:paraId="7BB17843" w14:textId="77777777" w:rsidR="00B35D37" w:rsidRDefault="00B35D37" w:rsidP="00B35D37">
      <w:pPr>
        <w:pStyle w:val="TextoNormal"/>
      </w:pPr>
      <w:r w:rsidRPr="00B35D37">
        <w:rPr>
          <w:rStyle w:val="NumeroAFNegritaCaracter"/>
        </w:rPr>
        <w:t>3</w:t>
      </w:r>
      <w:r>
        <w:t>. El letrado de la administración de la Seguridad Social, por escrito registrado el 14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w:t>
      </w:r>
    </w:p>
    <w:p w14:paraId="0A7B39C8" w14:textId="77777777" w:rsidR="00B35D37" w:rsidRDefault="00B35D37" w:rsidP="00B35D37">
      <w:pPr>
        <w:pStyle w:val="TextoNormal"/>
      </w:pPr>
    </w:p>
    <w:p w14:paraId="5BE34E9D" w14:textId="1B95EE1F" w:rsidR="00B35D37" w:rsidRDefault="00B35D37" w:rsidP="00B35D37">
      <w:pPr>
        <w:pStyle w:val="TextoNormal"/>
      </w:pPr>
      <w:r>
        <w:t>El letrado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6FD7101D" w14:textId="77777777" w:rsidR="00B35D37" w:rsidRDefault="00B35D37" w:rsidP="00B35D37">
      <w:pPr>
        <w:pStyle w:val="TextoNormal"/>
      </w:pPr>
    </w:p>
    <w:p w14:paraId="0754AD50" w14:textId="779ECB95" w:rsidR="00B35D37" w:rsidRDefault="00B35D37" w:rsidP="00B35D37">
      <w:pPr>
        <w:pStyle w:val="TextoNormal"/>
      </w:pPr>
      <w:r w:rsidRPr="00B35D37">
        <w:rPr>
          <w:rStyle w:val="NumeroAFNegritaCaracter"/>
        </w:rPr>
        <w:t>4</w:t>
      </w:r>
      <w:r>
        <w:t>. Mediante diligencia de ordenación de 19 de febrero de 2025 se acordó tener por recibido el escrito presentado por el letrado de la administración de la Seguridad Social, del que se pasa a dar cuenta a la Sala, y se significa a las partes que podrán tener acceso a los escritos y demás documentación, incluida la ahora recibida, a través de la sede electrónica de este tribunal.</w:t>
      </w:r>
    </w:p>
    <w:p w14:paraId="522FD2D6" w14:textId="77777777" w:rsidR="00B35D37" w:rsidRDefault="00B35D37" w:rsidP="00B35D37">
      <w:pPr>
        <w:pStyle w:val="TextoNormal"/>
      </w:pPr>
    </w:p>
    <w:p w14:paraId="27629885" w14:textId="7C53BEC9" w:rsidR="00B35D37" w:rsidRDefault="00B35D37" w:rsidP="00B35D37">
      <w:pPr>
        <w:pStyle w:val="TextoNormal"/>
      </w:pPr>
      <w:r w:rsidRPr="00B35D37">
        <w:rPr>
          <w:rStyle w:val="NumeroAFNegritaCaracter"/>
        </w:rPr>
        <w:t>5</w:t>
      </w:r>
      <w:r>
        <w:t>. El 12 de marzo de 2025 la representación procesal de doña Irakusne Goiriena Ugarte presentó escrito en el que solicita el dictado de una resolución respetuosa con el derecho vulnerado. Sostiene, en síntesis, que la única opción que permite el cumplimiento íntegro y pleno de la sentencia de este tribunal es que, además del abono de la prestación, se disponga la posibilidad de que se disfrute del permiso pese a que el menor haya cumplido doce meses, única a su juicio que resulta respetuosa con el fallo y espíritu de la sentencia.</w:t>
      </w:r>
    </w:p>
    <w:p w14:paraId="14AD3E74" w14:textId="77777777" w:rsidR="00B35D37" w:rsidRDefault="00B35D37" w:rsidP="00B35D37">
      <w:pPr>
        <w:pStyle w:val="TextoNormal"/>
      </w:pPr>
    </w:p>
    <w:p w14:paraId="550F3F20" w14:textId="1A786F4B" w:rsidR="00B35D37" w:rsidRDefault="00B35D37" w:rsidP="00B35D37">
      <w:pPr>
        <w:pStyle w:val="TextoNormal"/>
      </w:pPr>
      <w:r w:rsidRPr="00B35D37">
        <w:rPr>
          <w:rStyle w:val="NumeroAFNegritaCaracter"/>
        </w:rPr>
        <w:t>6</w:t>
      </w:r>
      <w:r>
        <w:t>. El día 13 de mayo de 2025 el Pleno del Tribunal dictó el ATC 34/2025, en el que inadmitió el incidente de ejecución planteado por la administración de la Seguridad Social respecto a la STC 88/2025, de 7 de abril (recurso de amparo avocado núm. 5220-2024), estimatoria de un recurso de amparo planteado sobre la misma materia que es objeto de la sentencia dictada en el presente recurso de amparo.</w:t>
      </w:r>
    </w:p>
    <w:p w14:paraId="05C5ED52" w14:textId="77777777" w:rsidR="00B35D37" w:rsidRDefault="00B35D37" w:rsidP="00B35D37">
      <w:pPr>
        <w:pStyle w:val="TextoNormal"/>
      </w:pPr>
    </w:p>
    <w:p w14:paraId="30821166" w14:textId="77777777" w:rsidR="00B35D37" w:rsidRDefault="00B35D37" w:rsidP="00B35D37">
      <w:pPr>
        <w:pStyle w:val="TextoNormalNegritaCentrado"/>
        <w:keepNext/>
      </w:pPr>
      <w:r>
        <w:t>II. Fundamentos jurídicos</w:t>
      </w:r>
    </w:p>
    <w:p w14:paraId="2391E675" w14:textId="2F42CB68" w:rsidR="00B35D37" w:rsidRDefault="00B35D37" w:rsidP="00B35D37">
      <w:pPr>
        <w:pStyle w:val="TextoNormalNegritaCentrado"/>
        <w:keepNext/>
      </w:pPr>
    </w:p>
    <w:p w14:paraId="786584CA" w14:textId="77777777" w:rsidR="00B35D37" w:rsidRDefault="00B35D37" w:rsidP="00B35D37">
      <w:pPr>
        <w:pStyle w:val="TextoNormal"/>
      </w:pPr>
      <w:r w:rsidRPr="00B35D37">
        <w:rPr>
          <w:rStyle w:val="TextoNormalNegritaCaracter"/>
        </w:rPr>
        <w:t xml:space="preserve">Único. </w:t>
      </w:r>
      <w:r>
        <w:t>El ATC 34/2025, de 13 de mayo, del Pleno,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583FCF7B" w14:textId="77777777" w:rsidR="00B35D37" w:rsidRDefault="00B35D37" w:rsidP="00B35D37">
      <w:pPr>
        <w:pStyle w:val="TextoNormal"/>
      </w:pPr>
    </w:p>
    <w:p w14:paraId="4B711691"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3AA26FC8" w14:textId="77777777" w:rsidR="00B35D37" w:rsidRDefault="00B35D37" w:rsidP="00B35D37">
      <w:pPr>
        <w:pStyle w:val="TextoNormal"/>
      </w:pPr>
    </w:p>
    <w:p w14:paraId="27E5089E" w14:textId="77777777" w:rsidR="00B35D37" w:rsidRDefault="00B35D37" w:rsidP="00B35D37">
      <w:pPr>
        <w:pStyle w:val="TextoNormal"/>
      </w:pPr>
      <w:r>
        <w:t>En el presente caso,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452BC851" w14:textId="77777777" w:rsidR="00B35D37" w:rsidRDefault="00B35D37" w:rsidP="00B35D37">
      <w:pPr>
        <w:pStyle w:val="TextoNormal"/>
      </w:pPr>
    </w:p>
    <w:p w14:paraId="7F6AC81A"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095BBB5A" w14:textId="77777777" w:rsidR="00B35D37" w:rsidRDefault="00B35D37" w:rsidP="00B35D37">
      <w:pPr>
        <w:pStyle w:val="TextoNormal"/>
      </w:pPr>
    </w:p>
    <w:p w14:paraId="0DB63DC0" w14:textId="11B3E8FF" w:rsidR="00B35D37" w:rsidRDefault="00B35D37" w:rsidP="00B35D37">
      <w:pPr>
        <w:pStyle w:val="TextoNormal"/>
      </w:pPr>
      <w:r>
        <w:t>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circunstancia que no se ve alterada por lo expuesto en el escrito presentado el 12 de marzo de 2025 por doña Irakusne Goiriena Ugarte. Ello determina que liminarmente el Tribunal deba denegar la admisión a trámite instada del incidente de ejecución.</w:t>
      </w:r>
    </w:p>
    <w:p w14:paraId="5B037DA5" w14:textId="77777777" w:rsidR="00B35D37" w:rsidRDefault="00B35D37" w:rsidP="00B35D37">
      <w:pPr>
        <w:pStyle w:val="TextoNormal"/>
      </w:pPr>
    </w:p>
    <w:p w14:paraId="360A91AF" w14:textId="77777777" w:rsidR="00B35D37" w:rsidRDefault="00B35D37" w:rsidP="00B35D37">
      <w:pPr>
        <w:pStyle w:val="TextoNormal"/>
      </w:pPr>
      <w:r>
        <w:t>Por lo expuesto, la Sala</w:t>
      </w:r>
    </w:p>
    <w:p w14:paraId="5C6EFF5D" w14:textId="29477970" w:rsidR="00B35D37" w:rsidRDefault="00B35D37" w:rsidP="00B35D37">
      <w:pPr>
        <w:pStyle w:val="TextoNormal"/>
      </w:pPr>
    </w:p>
    <w:p w14:paraId="5AC9F861" w14:textId="77777777" w:rsidR="00B35D37" w:rsidRDefault="00B35D37" w:rsidP="00B35D37">
      <w:pPr>
        <w:pStyle w:val="TextoNormalCentrado"/>
      </w:pPr>
      <w:r>
        <w:t>ACUERDA</w:t>
      </w:r>
    </w:p>
    <w:p w14:paraId="594FB621" w14:textId="620AFE48" w:rsidR="00B35D37" w:rsidRDefault="00B35D37" w:rsidP="00B35D37">
      <w:pPr>
        <w:pStyle w:val="TextoNormalCentrado"/>
      </w:pPr>
    </w:p>
    <w:p w14:paraId="1C5377BB" w14:textId="4925081E" w:rsidR="00B35D37" w:rsidRDefault="00B35D37" w:rsidP="00B35D37">
      <w:pPr>
        <w:pStyle w:val="TextoNormal"/>
      </w:pPr>
      <w:r>
        <w:t>Denegar la admisión de la apertura del incidente de ejecución.</w:t>
      </w:r>
    </w:p>
    <w:p w14:paraId="3DF7C18F" w14:textId="77777777" w:rsidR="00B35D37" w:rsidRDefault="00B35D37" w:rsidP="00B35D37">
      <w:pPr>
        <w:pStyle w:val="TextoNormal"/>
      </w:pPr>
    </w:p>
    <w:p w14:paraId="6FE29F1E" w14:textId="77777777" w:rsidR="00B35D37" w:rsidRDefault="00B35D37" w:rsidP="00B35D37">
      <w:pPr>
        <w:pStyle w:val="TextoNormal"/>
      </w:pPr>
      <w:r>
        <w:t>Madrid, a veintiséis de mayo de dos mil veinticinco.</w:t>
      </w:r>
    </w:p>
    <w:p w14:paraId="5372275D" w14:textId="5D5CF4D9" w:rsidR="00B35D37" w:rsidRDefault="00B35D37">
      <w:pPr>
        <w:spacing w:after="160" w:line="278" w:lineRule="auto"/>
        <w:rPr>
          <w:rFonts w:ascii="Times New Roman" w:eastAsia="Times New Roman" w:hAnsi="Times New Roman" w:cs="Times New Roman"/>
          <w:sz w:val="24"/>
          <w:szCs w:val="24"/>
          <w:lang w:eastAsia="es-ES"/>
        </w:rPr>
      </w:pPr>
      <w:r>
        <w:br w:type="page"/>
      </w:r>
    </w:p>
    <w:p w14:paraId="71DFF355" w14:textId="77777777" w:rsidR="00B35D37" w:rsidRDefault="00B35D37" w:rsidP="00B35D37">
      <w:pPr>
        <w:pStyle w:val="TtuloResolucin"/>
      </w:pPr>
      <w:bookmarkStart w:id="184" w:name="AUTO_2025_45"/>
      <w:r>
        <w:t>AUTO 45/2025, de 26 de mayo de 2025</w:t>
      </w:r>
    </w:p>
    <w:bookmarkEnd w:id="184"/>
    <w:p w14:paraId="5FC97914" w14:textId="77777777" w:rsidR="00B35D37" w:rsidRDefault="00B35D37" w:rsidP="00B35D37">
      <w:pPr>
        <w:pStyle w:val="TtuloResolucin"/>
      </w:pPr>
      <w:r>
        <w:t>Sala Primera</w:t>
      </w:r>
    </w:p>
    <w:p w14:paraId="78CA42BC" w14:textId="77777777" w:rsidR="00B35D37" w:rsidRDefault="00B35D37" w:rsidP="00B35D37">
      <w:pPr>
        <w:pStyle w:val="TextoNormalCentrado"/>
      </w:pPr>
      <w:r>
        <w:t>ECLI:ES:TC:2025:45A</w:t>
      </w:r>
    </w:p>
    <w:p w14:paraId="0975DAF8" w14:textId="095E114C" w:rsidR="00B35D37" w:rsidRDefault="00B35D37" w:rsidP="00B35D37">
      <w:pPr>
        <w:pStyle w:val="TextoNormalCentrado"/>
      </w:pPr>
    </w:p>
    <w:p w14:paraId="3B9571F0"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454BB118" w14:textId="03D5C93A" w:rsidR="00B35D37" w:rsidRDefault="00B35D37" w:rsidP="00B35D37">
      <w:pPr>
        <w:pStyle w:val="SntesisDescriptiva"/>
      </w:pPr>
    </w:p>
    <w:p w14:paraId="2548786C" w14:textId="77777777" w:rsidR="00B35D37" w:rsidRDefault="00B35D37" w:rsidP="00B35D37">
      <w:pPr>
        <w:pStyle w:val="SntesisDescriptiva"/>
      </w:pPr>
      <w:r>
        <w:t>Inadmite la solicitud de ejecución de la STC 23/2025, de 27 de enero, dictada en el recurso de amparo 1640-2024, promovido por doña Itziar Álvarez Rodríguez.</w:t>
      </w:r>
    </w:p>
    <w:p w14:paraId="60A7E731" w14:textId="245D2B07" w:rsidR="00B35D37" w:rsidRDefault="00B35D37" w:rsidP="00B35D37">
      <w:pPr>
        <w:pStyle w:val="SntesisDescriptiva"/>
      </w:pPr>
    </w:p>
    <w:p w14:paraId="0EC711BD" w14:textId="77777777" w:rsidR="00B35D37" w:rsidRDefault="00B35D37" w:rsidP="00B35D37">
      <w:pPr>
        <w:pStyle w:val="SntesisDescriptiva"/>
      </w:pPr>
    </w:p>
    <w:p w14:paraId="50C216DE" w14:textId="77777777" w:rsidR="00B35D37" w:rsidRDefault="00B35D37" w:rsidP="00B35D37">
      <w:pPr>
        <w:pStyle w:val="SntesisDescriptiva"/>
      </w:pPr>
    </w:p>
    <w:p w14:paraId="2EC429BB" w14:textId="77777777" w:rsidR="00B35D37" w:rsidRDefault="00B35D37" w:rsidP="00B35D37">
      <w:pPr>
        <w:pStyle w:val="TextoNormalNegritaCentrado"/>
      </w:pPr>
      <w:r>
        <w:t>AUTO</w:t>
      </w:r>
    </w:p>
    <w:p w14:paraId="577C0C1B" w14:textId="4CE9573A" w:rsidR="00B35D37" w:rsidRDefault="00B35D37" w:rsidP="00B35D37">
      <w:pPr>
        <w:pStyle w:val="TextoNormalNegritaCentrado"/>
      </w:pPr>
    </w:p>
    <w:p w14:paraId="7EF753E0" w14:textId="77777777" w:rsidR="00B35D37" w:rsidRDefault="00B35D37" w:rsidP="00B35D37">
      <w:pPr>
        <w:pStyle w:val="TextoNormalNegritaCentrado"/>
        <w:keepNext/>
      </w:pPr>
      <w:r>
        <w:t>I. Antecedentes</w:t>
      </w:r>
    </w:p>
    <w:p w14:paraId="1562E8BE" w14:textId="0E877DF2" w:rsidR="00B35D37" w:rsidRDefault="00B35D37" w:rsidP="00B35D37">
      <w:pPr>
        <w:pStyle w:val="TextoNormalNegritaCentrado"/>
        <w:keepNext/>
      </w:pPr>
    </w:p>
    <w:p w14:paraId="09EF077B" w14:textId="48E6429F" w:rsidR="00B35D37" w:rsidRDefault="00B35D37" w:rsidP="00B35D37">
      <w:pPr>
        <w:pStyle w:val="TextoNormal"/>
      </w:pPr>
      <w:r w:rsidRPr="00B35D37">
        <w:rPr>
          <w:rStyle w:val="NumeroAFNegritaCaracter"/>
        </w:rPr>
        <w:t>1</w:t>
      </w:r>
      <w:r>
        <w:t>. Mediante escrito registrado en el Tribunal el 6 de marzo de 2024, la procuradora de los tribunales doña María Esperanza Azpeitia Calvin, en nombre de la recurrente y bajo la dirección del letrado don Mikel Arrieta Gómez, interpuso recurso de amparo contra las resoluciones administrativas del Instituto Nacional de la Seguridad Social (INSS) denegatorias de la solicitud de ampliación de la prestación por nacimiento y cuidado de hijo menor a la madre biológica de familia monoparental, confirmadas por sentencia núm. 267/2024, de 9 de febrero, de la Sala de lo Social del Tribunal Supremo dictada en el recurso de casación para la unificación de doctrina núm. 931-2023, interpuesto por el INSS y la Tesorería General de la Seguridad Social (TGSS) contra la sentencia núm. 180/2023, de 24 de enero, de la Sala de lo Social del Tribunal Superior de Justicia del País Vasco dictada en el recurso de suplicación núm. 1936-2022, interpuesto por la demandante contra la sentencia núm. 230/2022, de 2 de junio, del Juzgado de lo Social núm. 1 de Bilbao dictada en los autos núm. 977-2021, desestimatoria de la demanda interpuesta por la recurrente de amparo contra las resoluciones del INSS de 29 de julio y 12 de agosto de 2021, recurso de amparo que fue tramitado con el núm. 1640-2024 por la Sala Primera de este tribunal.</w:t>
      </w:r>
    </w:p>
    <w:p w14:paraId="6482DB47" w14:textId="77777777" w:rsidR="00B35D37" w:rsidRDefault="00B35D37" w:rsidP="00B35D37">
      <w:pPr>
        <w:pStyle w:val="TextoNormal"/>
      </w:pPr>
    </w:p>
    <w:p w14:paraId="5C2C8310" w14:textId="5D0D9503" w:rsidR="00B35D37" w:rsidRDefault="00B35D37" w:rsidP="00B35D37">
      <w:pPr>
        <w:pStyle w:val="TextoNormal"/>
      </w:pPr>
      <w:r w:rsidRPr="00B35D37">
        <w:rPr>
          <w:rStyle w:val="NumeroAFNegritaCaracter"/>
        </w:rPr>
        <w:t>2</w:t>
      </w:r>
      <w:r>
        <w:t>. El recurso de amparo fue resuelto por la STC 23/2025, de 27 de enero, en la que, tras declarar vulnerado el derecho fundamental a la igualdad ante la ley sin discriminación por razón de nacimiento (art. 14 CE) de un hijo menor en una familia monoparental, se acordó para su restauración la nulidad de las resoluciones administrativas y judiciales impugnadas y la retroacción de las actuaciones al momento previo a las resoluciones administrativas declaradas nulas, para que el INSS dicte resolución expresa que resulte ser respetuosa con el derecho fundamental reconocido a la recurrente, con el alcance fijado en el último párrafo del fundamento jurídico 2 de la sentencia. A esos efectos, en el último párrafo del fundamento jurídico 2 se establecía que, en tanto el legislador no lleve a cabo la consiguiente reforma normativa, en las familias monoparentales el permiso a que hace referencia el art. 48.4 del texto refundido de la Ley del estatuto de los trabajadores, aprobado por el Real Decreto Legislativo 2/2015, de 23 de octubre (LET) [y en relación con él,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D4AEEDB" w14:textId="77777777" w:rsidR="00B35D37" w:rsidRDefault="00B35D37" w:rsidP="00B35D37">
      <w:pPr>
        <w:pStyle w:val="TextoNormal"/>
      </w:pPr>
    </w:p>
    <w:p w14:paraId="6E9F00F1" w14:textId="77777777" w:rsidR="00B35D37" w:rsidRDefault="00B35D37" w:rsidP="00B35D37">
      <w:pPr>
        <w:pStyle w:val="TextoNormal"/>
      </w:pPr>
      <w:r w:rsidRPr="00B35D37">
        <w:rPr>
          <w:rStyle w:val="NumeroAFNegritaCaracter"/>
        </w:rPr>
        <w:t>3</w:t>
      </w:r>
      <w:r>
        <w:t>. La letrada de la administración de la Seguridad Social, por escrito registrado el 13 de marzo de 2025, formuló incidente de ejecución al amparo del art. 92.3 de la Ley Orgánica del Tribunal Constitucional (LOTC) instando al Tribunal que determine las medidas necesarias para que el INSS pueda dictar una resolución administrativa respetuosa con el derecho vulnerado.</w:t>
      </w:r>
    </w:p>
    <w:p w14:paraId="03BBEBB9" w14:textId="77777777" w:rsidR="00B35D37" w:rsidRDefault="00B35D37" w:rsidP="00B35D37">
      <w:pPr>
        <w:pStyle w:val="TextoNormal"/>
      </w:pPr>
    </w:p>
    <w:p w14:paraId="30FFCD03" w14:textId="5D8AAF64" w:rsidR="00B35D37" w:rsidRDefault="00B35D37" w:rsidP="00B35D37">
      <w:pPr>
        <w:pStyle w:val="TextoNormal"/>
      </w:pPr>
      <w:r>
        <w:t>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7DFBB1EB" w14:textId="77777777" w:rsidR="00B35D37" w:rsidRDefault="00B35D37" w:rsidP="00B35D37">
      <w:pPr>
        <w:pStyle w:val="TextoNormal"/>
      </w:pPr>
    </w:p>
    <w:p w14:paraId="6BAF14AB" w14:textId="6905F08E" w:rsidR="00B35D37" w:rsidRDefault="00B35D37" w:rsidP="00B35D37">
      <w:pPr>
        <w:pStyle w:val="TextoNormal"/>
      </w:pPr>
      <w:r w:rsidRPr="00B35D37">
        <w:rPr>
          <w:rStyle w:val="NumeroAFNegritaCaracter"/>
        </w:rPr>
        <w:t>4</w:t>
      </w:r>
      <w:r>
        <w:t>. Mediante diligencia de ordenación de 17 de marzo de 2025 se acordó tener por recibido el escrito presentado por la letrada de la administración de la Seguridad Social, del que se pasa a dar cuenta a la Sala, y se significa a las partes que podrán tener acceso a los escritos y demás documentación, incluida la ahora recibida, a través de la sede electrónica de este tribunal.</w:t>
      </w:r>
    </w:p>
    <w:p w14:paraId="75167125" w14:textId="77777777" w:rsidR="00B35D37" w:rsidRDefault="00B35D37" w:rsidP="00B35D37">
      <w:pPr>
        <w:pStyle w:val="TextoNormal"/>
      </w:pPr>
    </w:p>
    <w:p w14:paraId="01EB93F8" w14:textId="2ED69CF3" w:rsidR="00B35D37" w:rsidRDefault="00B35D37" w:rsidP="00B35D37">
      <w:pPr>
        <w:pStyle w:val="TextoNormal"/>
      </w:pPr>
      <w:r w:rsidRPr="00B35D37">
        <w:rPr>
          <w:rStyle w:val="NumeroAFNegritaCaracter"/>
        </w:rPr>
        <w:t>5</w:t>
      </w:r>
      <w:r>
        <w:t>. El 18 de marzo de 2025 la representación procesal de doña Itziar Álvarez Rodríguez presentó escrito en el que solicita el dictado de una resolución respetuosa con el derecho vulnerado. Sostiene, en síntesis, que la única opción que permite el cumplimiento íntegro y pleno de la sentencia de este tribunal es que además del abono de la prestación, se disponga la posibilidad de que se disfrute del permiso pese a que el menor haya cumplido doce meses, única a su juicio que resulta respetuosa con el fallo y espíritu de la sentencia.</w:t>
      </w:r>
    </w:p>
    <w:p w14:paraId="6468A6D9" w14:textId="77777777" w:rsidR="00B35D37" w:rsidRDefault="00B35D37" w:rsidP="00B35D37">
      <w:pPr>
        <w:pStyle w:val="TextoNormal"/>
      </w:pPr>
    </w:p>
    <w:p w14:paraId="2DD75FE9" w14:textId="70728CE0" w:rsidR="00B35D37" w:rsidRDefault="00B35D37" w:rsidP="00B35D37">
      <w:pPr>
        <w:pStyle w:val="TextoNormal"/>
      </w:pPr>
      <w:r w:rsidRPr="00B35D37">
        <w:rPr>
          <w:rStyle w:val="NumeroAFNegritaCaracter"/>
        </w:rPr>
        <w:t>6</w:t>
      </w:r>
      <w:r>
        <w:t>. El día 13 de mayo de 2025 el Pleno del Tribunal dictó auto en el que inadmitió el incidente de ejecución planteado por la administración de la Seguridad Social respecto a la STC 88/2025, de 7 de abril, estimatoria de un recurso de amparo planteado sobre la misma materia que es objeto de la sentencia dictada en el presente recurso de amparo.</w:t>
      </w:r>
    </w:p>
    <w:p w14:paraId="3144B684" w14:textId="77777777" w:rsidR="00B35D37" w:rsidRDefault="00B35D37" w:rsidP="00B35D37">
      <w:pPr>
        <w:pStyle w:val="TextoNormal"/>
      </w:pPr>
    </w:p>
    <w:p w14:paraId="77299C4C" w14:textId="77777777" w:rsidR="00B35D37" w:rsidRDefault="00B35D37" w:rsidP="00B35D37">
      <w:pPr>
        <w:pStyle w:val="TextoNormalNegritaCentrado"/>
        <w:keepNext/>
      </w:pPr>
      <w:r>
        <w:t>II. Fundamentos jurídicos</w:t>
      </w:r>
    </w:p>
    <w:p w14:paraId="01C69A37" w14:textId="3B16DD03" w:rsidR="00B35D37" w:rsidRDefault="00B35D37" w:rsidP="00B35D37">
      <w:pPr>
        <w:pStyle w:val="TextoNormalNegritaCentrado"/>
        <w:keepNext/>
      </w:pPr>
    </w:p>
    <w:p w14:paraId="25ADAC14" w14:textId="77777777" w:rsidR="00B35D37" w:rsidRDefault="00B35D37" w:rsidP="00B35D37">
      <w:pPr>
        <w:pStyle w:val="TextoNormal"/>
      </w:pPr>
      <w:r w:rsidRPr="00B35D37">
        <w:rPr>
          <w:rStyle w:val="TextoNormalNegritaCaracter"/>
        </w:rPr>
        <w:t xml:space="preserve">Único. </w:t>
      </w:r>
      <w:r>
        <w:t>El ATC 34/2025, de 13 de mayo, del Pleno,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6897DE8D" w14:textId="77777777" w:rsidR="00B35D37" w:rsidRDefault="00B35D37" w:rsidP="00B35D37">
      <w:pPr>
        <w:pStyle w:val="TextoNormal"/>
      </w:pPr>
    </w:p>
    <w:p w14:paraId="73052193"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5F85547D" w14:textId="77777777" w:rsidR="00B35D37" w:rsidRDefault="00B35D37" w:rsidP="00B35D37">
      <w:pPr>
        <w:pStyle w:val="TextoNormal"/>
      </w:pPr>
    </w:p>
    <w:p w14:paraId="162615E3" w14:textId="77777777" w:rsidR="00B35D37" w:rsidRDefault="00B35D37" w:rsidP="00B35D37">
      <w:pPr>
        <w:pStyle w:val="TextoNormal"/>
      </w:pPr>
      <w:r>
        <w:t>En el presente caso,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19334AC6" w14:textId="77777777" w:rsidR="00B35D37" w:rsidRDefault="00B35D37" w:rsidP="00B35D37">
      <w:pPr>
        <w:pStyle w:val="TextoNormal"/>
      </w:pPr>
    </w:p>
    <w:p w14:paraId="4928C789"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6F2C7341" w14:textId="77777777" w:rsidR="00B35D37" w:rsidRDefault="00B35D37" w:rsidP="00B35D37">
      <w:pPr>
        <w:pStyle w:val="TextoNormal"/>
      </w:pPr>
    </w:p>
    <w:p w14:paraId="2DD2FC66" w14:textId="4BBDCCDF" w:rsidR="00B35D37" w:rsidRDefault="00B35D37" w:rsidP="00B35D37">
      <w:pPr>
        <w:pStyle w:val="TextoNormal"/>
      </w:pPr>
      <w:r>
        <w:t>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circunstancia que no se ve alterada por lo expuesto en el escrito presentado el 18 de marzo de 2025 por doña Itziar Álvarez Rodríguez. Ello determina que liminarmente el Tribunal deba denegar la admisión a trámite instada del incidente de ejecución.</w:t>
      </w:r>
    </w:p>
    <w:p w14:paraId="26A6A67F" w14:textId="77777777" w:rsidR="00B35D37" w:rsidRDefault="00B35D37" w:rsidP="00B35D37">
      <w:pPr>
        <w:pStyle w:val="TextoNormal"/>
      </w:pPr>
    </w:p>
    <w:p w14:paraId="2C51EDA4" w14:textId="77777777" w:rsidR="00B35D37" w:rsidRDefault="00B35D37" w:rsidP="00B35D37">
      <w:pPr>
        <w:pStyle w:val="TextoNormal"/>
      </w:pPr>
      <w:r>
        <w:t>Por lo expuesto, la Sala</w:t>
      </w:r>
    </w:p>
    <w:p w14:paraId="6926A2EF" w14:textId="0A45A184" w:rsidR="00B35D37" w:rsidRDefault="00B35D37" w:rsidP="00B35D37">
      <w:pPr>
        <w:pStyle w:val="TextoNormal"/>
      </w:pPr>
    </w:p>
    <w:p w14:paraId="172794C0" w14:textId="77777777" w:rsidR="00B35D37" w:rsidRDefault="00B35D37" w:rsidP="00B35D37">
      <w:pPr>
        <w:pStyle w:val="TextoNormalCentrado"/>
      </w:pPr>
      <w:r>
        <w:t>ACUERDA</w:t>
      </w:r>
    </w:p>
    <w:p w14:paraId="247B3D5E" w14:textId="26EE1851" w:rsidR="00B35D37" w:rsidRDefault="00B35D37" w:rsidP="00B35D37">
      <w:pPr>
        <w:pStyle w:val="TextoNormalCentrado"/>
      </w:pPr>
    </w:p>
    <w:p w14:paraId="6F808937" w14:textId="311D074E" w:rsidR="00B35D37" w:rsidRDefault="00B35D37" w:rsidP="00B35D37">
      <w:pPr>
        <w:pStyle w:val="TextoNormal"/>
      </w:pPr>
      <w:r>
        <w:t>Denegar la admisión de la apertura del incidente de ejecución.</w:t>
      </w:r>
    </w:p>
    <w:p w14:paraId="4D2D3F81" w14:textId="77777777" w:rsidR="00B35D37" w:rsidRDefault="00B35D37" w:rsidP="00B35D37">
      <w:pPr>
        <w:pStyle w:val="TextoNormal"/>
      </w:pPr>
    </w:p>
    <w:p w14:paraId="27EB5625" w14:textId="77777777" w:rsidR="00B35D37" w:rsidRDefault="00B35D37" w:rsidP="00B35D37">
      <w:pPr>
        <w:pStyle w:val="TextoNormal"/>
      </w:pPr>
      <w:r>
        <w:t>Madrid, a veintiséis de mayo de dos mil veinticinco.</w:t>
      </w:r>
    </w:p>
    <w:p w14:paraId="6A6525B5" w14:textId="4564845E" w:rsidR="00B35D37" w:rsidRDefault="00B35D37">
      <w:pPr>
        <w:spacing w:after="160" w:line="278" w:lineRule="auto"/>
        <w:rPr>
          <w:rFonts w:ascii="Times New Roman" w:eastAsia="Times New Roman" w:hAnsi="Times New Roman" w:cs="Times New Roman"/>
          <w:sz w:val="24"/>
          <w:szCs w:val="24"/>
          <w:lang w:eastAsia="es-ES"/>
        </w:rPr>
      </w:pPr>
      <w:r>
        <w:br w:type="page"/>
      </w:r>
    </w:p>
    <w:p w14:paraId="0E3DD653" w14:textId="77777777" w:rsidR="00B35D37" w:rsidRDefault="00B35D37" w:rsidP="00B35D37">
      <w:pPr>
        <w:pStyle w:val="TtuloResolucin"/>
      </w:pPr>
      <w:bookmarkStart w:id="185" w:name="AUTO_2025_46"/>
      <w:r>
        <w:t>AUTO 46/2025, de 26 de mayo de 2025</w:t>
      </w:r>
    </w:p>
    <w:bookmarkEnd w:id="185"/>
    <w:p w14:paraId="0927F12B" w14:textId="77777777" w:rsidR="00B35D37" w:rsidRDefault="00B35D37" w:rsidP="00B35D37">
      <w:pPr>
        <w:pStyle w:val="TtuloResolucin"/>
      </w:pPr>
      <w:r>
        <w:t>Sala Primera</w:t>
      </w:r>
    </w:p>
    <w:p w14:paraId="430E6EAE" w14:textId="77777777" w:rsidR="00B35D37" w:rsidRDefault="00B35D37" w:rsidP="00B35D37">
      <w:pPr>
        <w:pStyle w:val="TextoNormalCentrado"/>
      </w:pPr>
      <w:r>
        <w:t>ECLI:ES:TC:2025:46A</w:t>
      </w:r>
    </w:p>
    <w:p w14:paraId="43F1C495" w14:textId="2D0F67D0" w:rsidR="00B35D37" w:rsidRDefault="00B35D37" w:rsidP="00B35D37">
      <w:pPr>
        <w:pStyle w:val="TextoNormalCentrado"/>
      </w:pPr>
    </w:p>
    <w:p w14:paraId="5E356ED3"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7E442A4C" w14:textId="1817A584" w:rsidR="00B35D37" w:rsidRDefault="00B35D37" w:rsidP="00B35D37">
      <w:pPr>
        <w:pStyle w:val="SntesisDescriptiva"/>
      </w:pPr>
    </w:p>
    <w:p w14:paraId="26E20415" w14:textId="77777777" w:rsidR="00B35D37" w:rsidRDefault="00B35D37" w:rsidP="00B35D37">
      <w:pPr>
        <w:pStyle w:val="SntesisDescriptiva"/>
      </w:pPr>
      <w:r>
        <w:t>Inadmite la solicitud de ejecución de la STC 155/2024, de 16 de diciembre, dictada en el recurso de amparo 2068-2024, promovido por doña Eva María Bueno Flores.</w:t>
      </w:r>
    </w:p>
    <w:p w14:paraId="716D024F" w14:textId="7DFE7BD8" w:rsidR="00B35D37" w:rsidRDefault="00B35D37" w:rsidP="00B35D37">
      <w:pPr>
        <w:pStyle w:val="SntesisDescriptiva"/>
      </w:pPr>
    </w:p>
    <w:p w14:paraId="2D8B32CA" w14:textId="77777777" w:rsidR="00B35D37" w:rsidRDefault="00B35D37" w:rsidP="00B35D37">
      <w:pPr>
        <w:pStyle w:val="SntesisDescriptiva"/>
      </w:pPr>
    </w:p>
    <w:p w14:paraId="30C24D18" w14:textId="77777777" w:rsidR="00B35D37" w:rsidRDefault="00B35D37" w:rsidP="00B35D37">
      <w:pPr>
        <w:pStyle w:val="SntesisDescriptiva"/>
      </w:pPr>
    </w:p>
    <w:p w14:paraId="7EA47612" w14:textId="77777777" w:rsidR="00B35D37" w:rsidRDefault="00B35D37" w:rsidP="00B35D37">
      <w:pPr>
        <w:pStyle w:val="TextoNormalNegritaCentrado"/>
      </w:pPr>
      <w:r>
        <w:t>AUTO</w:t>
      </w:r>
    </w:p>
    <w:p w14:paraId="4F274466" w14:textId="3077CA9B" w:rsidR="00B35D37" w:rsidRDefault="00B35D37" w:rsidP="00B35D37">
      <w:pPr>
        <w:pStyle w:val="TextoNormalNegritaCentrado"/>
      </w:pPr>
    </w:p>
    <w:p w14:paraId="5F2E691D" w14:textId="77777777" w:rsidR="00B35D37" w:rsidRDefault="00B35D37" w:rsidP="00B35D37">
      <w:pPr>
        <w:pStyle w:val="TextoNormalNegritaCentrado"/>
        <w:keepNext/>
      </w:pPr>
      <w:r>
        <w:t>I. Antecedentes</w:t>
      </w:r>
    </w:p>
    <w:p w14:paraId="7F87A03D" w14:textId="111B4B8F" w:rsidR="00B35D37" w:rsidRDefault="00B35D37" w:rsidP="00B35D37">
      <w:pPr>
        <w:pStyle w:val="TextoNormalNegritaCentrado"/>
        <w:keepNext/>
      </w:pPr>
    </w:p>
    <w:p w14:paraId="7AFE797C" w14:textId="23DC4780" w:rsidR="00B35D37" w:rsidRDefault="00B35D37" w:rsidP="00B35D37">
      <w:pPr>
        <w:pStyle w:val="TextoNormal"/>
      </w:pPr>
      <w:r w:rsidRPr="00B35D37">
        <w:rPr>
          <w:rStyle w:val="NumeroAFNegritaCaracter"/>
        </w:rPr>
        <w:t>1</w:t>
      </w:r>
      <w:r>
        <w:t>. Mediante escrito registrado en este tribunal el 22 de marzo de 2024, se presentó recurso de amparo, promovido por doña Eva María Bueno Flores, representada por la procuradora de los tribunales doña Gloria María Llorente de la Torre y asistida por la letrada doña María de los Ángeles Calzadilla Gamero, contra las resoluciones del Instituto Nacional de la Seguridad Social (INSS) de 3 de agosto y 17 de octubre de 2022, y el silencio administrativo negativo del Servicio Extremeño de Salud, que desestimaron su petición de acumulación al permiso y prestación por nacimiento y cuidado de su hija que le fueron reconocidos, los que hubieran correspondido al progenitor distinto de la madre biológica en el ámbito de una familia monoparental; contra la sentencia 261/2023, de 19 de septiembre, dictada por el Juzgado de lo Social núm. 5 de Badajoz en los autos núm. 797-2022, desestimatoria de la demanda interpuesta contra las meritadas resoluciones administrativas, y contra la sentencia 106/2024, de 23 de febrero, dictada por la Sala de lo Social del Tribunal Superior de Justicia de Extremadura en el recurso de suplicación núm. 589-2023, desestimatoria del recurso interpuesto contra aquella sentencia.</w:t>
      </w:r>
    </w:p>
    <w:p w14:paraId="75886217" w14:textId="77777777" w:rsidR="00B35D37" w:rsidRDefault="00B35D37" w:rsidP="00B35D37">
      <w:pPr>
        <w:pStyle w:val="TextoNormal"/>
      </w:pPr>
    </w:p>
    <w:p w14:paraId="7418427E" w14:textId="521DF407" w:rsidR="00B35D37" w:rsidRDefault="00B35D37" w:rsidP="00B35D37">
      <w:pPr>
        <w:pStyle w:val="TextoNormal"/>
      </w:pPr>
      <w:r w:rsidRPr="00B35D37">
        <w:rPr>
          <w:rStyle w:val="NumeroAFNegritaCaracter"/>
        </w:rPr>
        <w:t>2</w:t>
      </w:r>
      <w:r>
        <w:t>. El recurso de amparo fue resuelto por la STC 155/2024, de 16 de diciembre,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3, se dictara otra respetuosa con el derecho fundamental reconocido. A esos efectos, en el último párrafo del fundamento jurídico 3 se establecía que, en tanto el legislador no llevara a cabo la consiguiente reforma normativa, en las familias monoparentales el permiso a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44A8860" w14:textId="77777777" w:rsidR="00B35D37" w:rsidRDefault="00B35D37" w:rsidP="00B35D37">
      <w:pPr>
        <w:pStyle w:val="TextoNormal"/>
      </w:pPr>
    </w:p>
    <w:p w14:paraId="5FE82BD0" w14:textId="77777777" w:rsidR="00B35D37" w:rsidRDefault="00B35D37" w:rsidP="00B35D37">
      <w:pPr>
        <w:pStyle w:val="TextoNormal"/>
      </w:pPr>
      <w:r w:rsidRPr="00B35D37">
        <w:rPr>
          <w:rStyle w:val="NumeroAFNegritaCaracter"/>
        </w:rPr>
        <w:t>3</w:t>
      </w:r>
      <w:r>
        <w:t>. La letrada de la administración de la Seguridad Social, por escrito registrado el 17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14:paraId="4E848235" w14:textId="77777777" w:rsidR="00B35D37" w:rsidRDefault="00B35D37" w:rsidP="00B35D37">
      <w:pPr>
        <w:pStyle w:val="TextoNormal"/>
      </w:pPr>
    </w:p>
    <w:p w14:paraId="79D6A9B0" w14:textId="55AADDD7" w:rsidR="00B35D37" w:rsidRDefault="00B35D37" w:rsidP="00B35D37">
      <w:pPr>
        <w:pStyle w:val="TextoNormal"/>
      </w:pPr>
      <w:r>
        <w:t>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78804F66" w14:textId="77777777" w:rsidR="00B35D37" w:rsidRDefault="00B35D37" w:rsidP="00B35D37">
      <w:pPr>
        <w:pStyle w:val="TextoNormal"/>
      </w:pPr>
    </w:p>
    <w:p w14:paraId="28B49E7F" w14:textId="77777777" w:rsidR="00B35D37" w:rsidRDefault="00B35D37" w:rsidP="00B35D37">
      <w:pPr>
        <w:pStyle w:val="TextoNormalNegritaCentrado"/>
        <w:keepNext/>
      </w:pPr>
      <w:r>
        <w:t>II. Fundamentos jurídicos</w:t>
      </w:r>
    </w:p>
    <w:p w14:paraId="6EB1A83E" w14:textId="30903E59" w:rsidR="00B35D37" w:rsidRDefault="00B35D37" w:rsidP="00B35D37">
      <w:pPr>
        <w:pStyle w:val="TextoNormalNegritaCentrado"/>
        <w:keepNext/>
      </w:pPr>
    </w:p>
    <w:p w14:paraId="5EB9D94C"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0BE90B9C" w14:textId="77777777" w:rsidR="00B35D37" w:rsidRDefault="00B35D37" w:rsidP="00B35D37">
      <w:pPr>
        <w:pStyle w:val="TextoNormal"/>
      </w:pPr>
    </w:p>
    <w:p w14:paraId="2F937994"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2C51549F" w14:textId="77777777" w:rsidR="00B35D37" w:rsidRDefault="00B35D37" w:rsidP="00B35D37">
      <w:pPr>
        <w:pStyle w:val="TextoNormal"/>
      </w:pPr>
    </w:p>
    <w:p w14:paraId="297F2766" w14:textId="77777777" w:rsidR="00B35D37" w:rsidRDefault="00B35D37" w:rsidP="00B35D37">
      <w:pPr>
        <w:pStyle w:val="TextoNormal"/>
      </w:pPr>
      <w:r>
        <w:t>En el presente caso, al igual que sucedía con el examinado en el ATC 34/2025,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2EACA085" w14:textId="77777777" w:rsidR="00B35D37" w:rsidRDefault="00B35D37" w:rsidP="00B35D37">
      <w:pPr>
        <w:pStyle w:val="TextoNormal"/>
      </w:pPr>
    </w:p>
    <w:p w14:paraId="6E67D560"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442EEB09" w14:textId="77777777" w:rsidR="00B35D37" w:rsidRDefault="00B35D37" w:rsidP="00B35D37">
      <w:pPr>
        <w:pStyle w:val="TextoNormal"/>
      </w:pPr>
    </w:p>
    <w:p w14:paraId="5E1EE404" w14:textId="362E68BF" w:rsidR="00B35D37" w:rsidRDefault="00B35D37" w:rsidP="00B35D37">
      <w:pPr>
        <w:pStyle w:val="TextoNormal"/>
      </w:pPr>
      <w:r>
        <w:t>Por tanto, como concluimos en el ATC 34/2025,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033503B3" w14:textId="77777777" w:rsidR="00B35D37" w:rsidRDefault="00B35D37" w:rsidP="00B35D37">
      <w:pPr>
        <w:pStyle w:val="TextoNormal"/>
      </w:pPr>
    </w:p>
    <w:p w14:paraId="02A1C003" w14:textId="77777777" w:rsidR="00B35D37" w:rsidRDefault="00B35D37" w:rsidP="00B35D37">
      <w:pPr>
        <w:pStyle w:val="TextoNormal"/>
      </w:pPr>
      <w:r>
        <w:t>Por lo expuesto, la Sala</w:t>
      </w:r>
    </w:p>
    <w:p w14:paraId="3A5BB95E" w14:textId="6BE31B78" w:rsidR="00B35D37" w:rsidRDefault="00B35D37" w:rsidP="00B35D37">
      <w:pPr>
        <w:pStyle w:val="TextoNormal"/>
      </w:pPr>
    </w:p>
    <w:p w14:paraId="4F9FF115" w14:textId="77777777" w:rsidR="00B35D37" w:rsidRDefault="00B35D37" w:rsidP="00B35D37">
      <w:pPr>
        <w:pStyle w:val="TextoNormalCentrado"/>
      </w:pPr>
      <w:r>
        <w:t>ACUERDA</w:t>
      </w:r>
    </w:p>
    <w:p w14:paraId="0AC8969D" w14:textId="4C46B524" w:rsidR="00B35D37" w:rsidRDefault="00B35D37" w:rsidP="00B35D37">
      <w:pPr>
        <w:pStyle w:val="TextoNormalCentrado"/>
      </w:pPr>
    </w:p>
    <w:p w14:paraId="5C65377E" w14:textId="320EB617" w:rsidR="00B35D37" w:rsidRDefault="00B35D37" w:rsidP="00B35D37">
      <w:pPr>
        <w:pStyle w:val="TextoNormal"/>
      </w:pPr>
      <w:r>
        <w:t>Denegar la admisión de la apertura del incidente de ejecución.</w:t>
      </w:r>
    </w:p>
    <w:p w14:paraId="4C69F1E9" w14:textId="77777777" w:rsidR="00B35D37" w:rsidRDefault="00B35D37" w:rsidP="00B35D37">
      <w:pPr>
        <w:pStyle w:val="TextoNormal"/>
      </w:pPr>
    </w:p>
    <w:p w14:paraId="283ACCE7" w14:textId="77777777" w:rsidR="00B35D37" w:rsidRDefault="00B35D37" w:rsidP="00B35D37">
      <w:pPr>
        <w:pStyle w:val="TextoNormal"/>
      </w:pPr>
      <w:r>
        <w:t>Madrid, a veintiséis de mayo de dos mil veinticinco.</w:t>
      </w:r>
    </w:p>
    <w:p w14:paraId="39375264" w14:textId="1A60A078" w:rsidR="00B35D37" w:rsidRDefault="00B35D37">
      <w:pPr>
        <w:spacing w:after="160" w:line="278" w:lineRule="auto"/>
        <w:rPr>
          <w:rFonts w:ascii="Times New Roman" w:eastAsia="Times New Roman" w:hAnsi="Times New Roman" w:cs="Times New Roman"/>
          <w:sz w:val="24"/>
          <w:szCs w:val="24"/>
          <w:lang w:eastAsia="es-ES"/>
        </w:rPr>
      </w:pPr>
      <w:r>
        <w:br w:type="page"/>
      </w:r>
    </w:p>
    <w:p w14:paraId="6BD43540" w14:textId="77777777" w:rsidR="00B35D37" w:rsidRDefault="00B35D37" w:rsidP="00B35D37">
      <w:pPr>
        <w:pStyle w:val="TtuloResolucin"/>
      </w:pPr>
      <w:bookmarkStart w:id="186" w:name="AUTO_2025_47"/>
      <w:r>
        <w:t>AUTO 47/2025, de 26 de mayo de 2025</w:t>
      </w:r>
    </w:p>
    <w:bookmarkEnd w:id="186"/>
    <w:p w14:paraId="684FB384" w14:textId="77777777" w:rsidR="00B35D37" w:rsidRDefault="00B35D37" w:rsidP="00B35D37">
      <w:pPr>
        <w:pStyle w:val="TtuloResolucin"/>
      </w:pPr>
      <w:r>
        <w:t>Sala Segunda</w:t>
      </w:r>
    </w:p>
    <w:p w14:paraId="5FC37FFD" w14:textId="77777777" w:rsidR="00B35D37" w:rsidRDefault="00B35D37" w:rsidP="00B35D37">
      <w:pPr>
        <w:pStyle w:val="TextoNormalCentrado"/>
      </w:pPr>
      <w:r>
        <w:t>ECLI:ES:TC:2025:47A</w:t>
      </w:r>
    </w:p>
    <w:p w14:paraId="198F1AF2" w14:textId="22097468" w:rsidR="00B35D37" w:rsidRDefault="00B35D37" w:rsidP="00B35D37">
      <w:pPr>
        <w:pStyle w:val="TextoNormalCentrado"/>
      </w:pPr>
    </w:p>
    <w:p w14:paraId="5C3BFA4E"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622861D4" w14:textId="423DE9B7" w:rsidR="00B35D37" w:rsidRDefault="00B35D37" w:rsidP="00B35D37">
      <w:pPr>
        <w:pStyle w:val="SntesisDescriptiva"/>
      </w:pPr>
    </w:p>
    <w:p w14:paraId="1EAFC24C" w14:textId="77777777" w:rsidR="00B35D37" w:rsidRDefault="00B35D37" w:rsidP="00B35D37">
      <w:pPr>
        <w:pStyle w:val="SntesisDescriptiva"/>
      </w:pPr>
      <w:r>
        <w:t>Inadmite la solicitud de ejecución de la STC 71/2025, de 24 de marzo, dictada en el recurso de amparo 3385-2024, promovido por doña Ángela María Tapia Raya.</w:t>
      </w:r>
    </w:p>
    <w:p w14:paraId="79D5AC70" w14:textId="15454D36" w:rsidR="00B35D37" w:rsidRDefault="00B35D37" w:rsidP="00B35D37">
      <w:pPr>
        <w:pStyle w:val="SntesisDescriptiva"/>
      </w:pPr>
    </w:p>
    <w:p w14:paraId="20E94E58" w14:textId="77777777" w:rsidR="00B35D37" w:rsidRDefault="00B35D37" w:rsidP="00B35D37">
      <w:pPr>
        <w:pStyle w:val="SntesisDescriptiva"/>
      </w:pPr>
    </w:p>
    <w:p w14:paraId="15A4DD70" w14:textId="77777777" w:rsidR="00B35D37" w:rsidRDefault="00B35D37" w:rsidP="00B35D37">
      <w:pPr>
        <w:pStyle w:val="SntesisDescriptiva"/>
      </w:pPr>
    </w:p>
    <w:p w14:paraId="24E2C280" w14:textId="77777777" w:rsidR="00B35D37" w:rsidRDefault="00B35D37" w:rsidP="00B35D37">
      <w:pPr>
        <w:pStyle w:val="TextoNormalNegritaCentrado"/>
      </w:pPr>
      <w:r>
        <w:t>AUTO</w:t>
      </w:r>
    </w:p>
    <w:p w14:paraId="53AEAC51" w14:textId="6F1572D2" w:rsidR="00B35D37" w:rsidRDefault="00B35D37" w:rsidP="00B35D37">
      <w:pPr>
        <w:pStyle w:val="TextoNormalNegritaCentrado"/>
      </w:pPr>
    </w:p>
    <w:p w14:paraId="65DB0498" w14:textId="77777777" w:rsidR="00B35D37" w:rsidRDefault="00B35D37" w:rsidP="00B35D37">
      <w:pPr>
        <w:pStyle w:val="TextoNormalNegritaCentrado"/>
        <w:keepNext/>
      </w:pPr>
      <w:r>
        <w:t>I. Antecedentes</w:t>
      </w:r>
    </w:p>
    <w:p w14:paraId="5728AF01" w14:textId="4ECE929A" w:rsidR="00B35D37" w:rsidRDefault="00B35D37" w:rsidP="00B35D37">
      <w:pPr>
        <w:pStyle w:val="TextoNormalNegritaCentrado"/>
        <w:keepNext/>
      </w:pPr>
    </w:p>
    <w:p w14:paraId="04DA54F9" w14:textId="066188A3" w:rsidR="00B35D37" w:rsidRDefault="00B35D37" w:rsidP="00B35D37">
      <w:pPr>
        <w:pStyle w:val="TextoNormal"/>
      </w:pPr>
      <w:r w:rsidRPr="00B35D37">
        <w:rPr>
          <w:rStyle w:val="NumeroAFNegritaCaracter"/>
        </w:rPr>
        <w:t>1</w:t>
      </w:r>
      <w:r>
        <w:t>. El 9 de mayo de 2024, doña Ángela María Tapia Raya, representada por la procuradora de los tribunales doña María Isabel Torres Ruiz y bajo la dirección de la letrada doña Susana Fuentes Gómez, interpuso recurso de amparo contra las resoluciones del Instituto Nacional de la Seguridad Social que desestimaron por silencio negativo tanto la solicitud de revisión de prestación por nacimiento y cuidado del menor como la posterior reclamación previa; así como contra la sentencia 181/2022, de 26 de abril, dictada por el Juzgado de lo Social núm. 29 de Madrid —autos núm. 718-2021—, y la sentencia 304/2023, de 22 de marzo, dictada por la Sala de lo Social del Tribunal Superior de Justicia de Madrid, —rollo de suplicación núm. 1291-2022—, que confirmaron las resoluciones administrativas; y contra el auto de 3 de abril de 2024, dictado por la Sala de lo Social del Tribunal Supremo —recurso de casación para la unificación de doctrina núm. 2274-2023—, que inadmitió el recurso de casación.</w:t>
      </w:r>
    </w:p>
    <w:p w14:paraId="755FEB7B" w14:textId="77777777" w:rsidR="00B35D37" w:rsidRDefault="00B35D37" w:rsidP="00B35D37">
      <w:pPr>
        <w:pStyle w:val="TextoNormal"/>
      </w:pPr>
    </w:p>
    <w:p w14:paraId="6B244D02" w14:textId="1083574F" w:rsidR="00B35D37" w:rsidRDefault="00B35D37" w:rsidP="00B35D37">
      <w:pPr>
        <w:pStyle w:val="TextoNormal"/>
      </w:pPr>
      <w:r w:rsidRPr="00B35D37">
        <w:rPr>
          <w:rStyle w:val="NumeroAFNegritaCaracter"/>
        </w:rPr>
        <w:t>2</w:t>
      </w:r>
      <w:r>
        <w:t>. El recurso de amparo fue resuelto por la STC 71/2025, de 24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llevara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04F6FF2" w14:textId="77777777" w:rsidR="00B35D37" w:rsidRDefault="00B35D37" w:rsidP="00B35D37">
      <w:pPr>
        <w:pStyle w:val="TextoNormal"/>
      </w:pPr>
    </w:p>
    <w:p w14:paraId="437C9E4E" w14:textId="77777777" w:rsidR="00B35D37" w:rsidRDefault="00B35D37" w:rsidP="00B35D37">
      <w:pPr>
        <w:pStyle w:val="TextoNormal"/>
      </w:pPr>
      <w:r w:rsidRPr="00B35D37">
        <w:rPr>
          <w:rStyle w:val="NumeroAFNegritaCaracter"/>
        </w:rPr>
        <w:t>3</w:t>
      </w:r>
      <w:r>
        <w:t>. La administración de la Seguridad Social, por escrito registrado el 7 de abril de 2025, formuló incidente de ejecución al amparo del art. 92.3 de la Ley Orgánica del Tribunal Constitucional (LOTC) instando al Tribunal a determinar las medidas necesarias para que el Instituto Nacional de la Seguridad Social pueda dictar una resolución administrativa respetuosa con el derecho vulnerado de entre las propuestas en su escrito u otras que se consideren convenientes.</w:t>
      </w:r>
    </w:p>
    <w:p w14:paraId="791147D5" w14:textId="77777777" w:rsidR="00B35D37" w:rsidRDefault="00B35D37" w:rsidP="00B35D37">
      <w:pPr>
        <w:pStyle w:val="TextoNormal"/>
      </w:pPr>
    </w:p>
    <w:p w14:paraId="6F467851" w14:textId="26C9C85F"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1C06AE7E" w14:textId="77777777" w:rsidR="00B35D37" w:rsidRDefault="00B35D37" w:rsidP="00B35D37">
      <w:pPr>
        <w:pStyle w:val="TextoNormal"/>
      </w:pPr>
    </w:p>
    <w:p w14:paraId="68897B4C" w14:textId="77777777" w:rsidR="00B35D37" w:rsidRDefault="00B35D37" w:rsidP="00B35D37">
      <w:pPr>
        <w:pStyle w:val="TextoNormalNegritaCentrado"/>
        <w:keepNext/>
      </w:pPr>
      <w:r>
        <w:t>II. Fundamentos jurídicos</w:t>
      </w:r>
    </w:p>
    <w:p w14:paraId="6B55FA66" w14:textId="5C73FBA3" w:rsidR="00B35D37" w:rsidRDefault="00B35D37" w:rsidP="00B35D37">
      <w:pPr>
        <w:pStyle w:val="TextoNormalNegritaCentrado"/>
        <w:keepNext/>
      </w:pPr>
    </w:p>
    <w:p w14:paraId="2FCB15D4" w14:textId="56C4EBFB" w:rsidR="00B35D37" w:rsidRDefault="00B35D37" w:rsidP="00B35D37">
      <w:pPr>
        <w:pStyle w:val="TextoNormal"/>
      </w:pPr>
      <w:r w:rsidRPr="00B35D37">
        <w:rPr>
          <w:rStyle w:val="TextoNormalNegritaCaracter"/>
        </w:rPr>
        <w:t xml:space="preserve">Único. </w:t>
      </w:r>
      <w:r>
        <w:t>Recientemente, por ATC 34/2025, de 13 de mayo, dictado por 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14:paraId="557E03EE" w14:textId="77777777" w:rsidR="00B35D37" w:rsidRDefault="00B35D37" w:rsidP="00B35D37">
      <w:pPr>
        <w:pStyle w:val="TextoNormal"/>
      </w:pPr>
    </w:p>
    <w:p w14:paraId="3FEC6272" w14:textId="77777777" w:rsidR="00B35D37" w:rsidRDefault="00B35D37" w:rsidP="00B35D37">
      <w:pPr>
        <w:pStyle w:val="TextoNormal"/>
      </w:pPr>
      <w:r>
        <w:t>Por lo expuesto, la Sala</w:t>
      </w:r>
    </w:p>
    <w:p w14:paraId="177A07FD" w14:textId="3F913007" w:rsidR="00B35D37" w:rsidRDefault="00B35D37" w:rsidP="00B35D37">
      <w:pPr>
        <w:pStyle w:val="TextoNormal"/>
      </w:pPr>
    </w:p>
    <w:p w14:paraId="510DF0AF" w14:textId="77777777" w:rsidR="00B35D37" w:rsidRDefault="00B35D37" w:rsidP="00B35D37">
      <w:pPr>
        <w:pStyle w:val="TextoNormalCentrado"/>
      </w:pPr>
      <w:r>
        <w:t>ACUERDA</w:t>
      </w:r>
    </w:p>
    <w:p w14:paraId="3F6FB51D" w14:textId="3B83F9AB" w:rsidR="00B35D37" w:rsidRDefault="00B35D37" w:rsidP="00B35D37">
      <w:pPr>
        <w:pStyle w:val="TextoNormalCentrado"/>
      </w:pPr>
    </w:p>
    <w:p w14:paraId="6A0CB905" w14:textId="0522D999" w:rsidR="00B35D37" w:rsidRDefault="00B35D37" w:rsidP="00B35D37">
      <w:pPr>
        <w:pStyle w:val="TextoNormal"/>
      </w:pPr>
      <w:r>
        <w:t>Denegar la admisión de la apertura del incidente de ejecución.</w:t>
      </w:r>
    </w:p>
    <w:p w14:paraId="6C3B3AD1" w14:textId="77777777" w:rsidR="00B35D37" w:rsidRDefault="00B35D37" w:rsidP="00B35D37">
      <w:pPr>
        <w:pStyle w:val="TextoNormal"/>
      </w:pPr>
    </w:p>
    <w:p w14:paraId="3FCC20FC" w14:textId="77777777" w:rsidR="00B35D37" w:rsidRDefault="00B35D37" w:rsidP="00B35D37">
      <w:pPr>
        <w:pStyle w:val="TextoNormal"/>
      </w:pPr>
      <w:r>
        <w:t>Madrid, a veintiséis de mayo de dos mil veinticinco.</w:t>
      </w:r>
    </w:p>
    <w:p w14:paraId="29F1394E" w14:textId="26301FEF" w:rsidR="00B35D37" w:rsidRDefault="00B35D37">
      <w:pPr>
        <w:spacing w:after="160" w:line="278" w:lineRule="auto"/>
        <w:rPr>
          <w:rFonts w:ascii="Times New Roman" w:eastAsia="Times New Roman" w:hAnsi="Times New Roman" w:cs="Times New Roman"/>
          <w:sz w:val="24"/>
          <w:szCs w:val="24"/>
          <w:lang w:eastAsia="es-ES"/>
        </w:rPr>
      </w:pPr>
      <w:r>
        <w:br w:type="page"/>
      </w:r>
    </w:p>
    <w:p w14:paraId="1541FAEE" w14:textId="77777777" w:rsidR="00B35D37" w:rsidRDefault="00B35D37" w:rsidP="00B35D37">
      <w:pPr>
        <w:pStyle w:val="TtuloResolucin"/>
      </w:pPr>
      <w:bookmarkStart w:id="187" w:name="AUTO_2025_48"/>
      <w:r>
        <w:t>AUTO 48/2025, de 26 de mayo de 2025</w:t>
      </w:r>
    </w:p>
    <w:bookmarkEnd w:id="187"/>
    <w:p w14:paraId="665B9229" w14:textId="77777777" w:rsidR="00B35D37" w:rsidRDefault="00B35D37" w:rsidP="00B35D37">
      <w:pPr>
        <w:pStyle w:val="TtuloResolucin"/>
      </w:pPr>
      <w:r>
        <w:t>Sala Segunda</w:t>
      </w:r>
    </w:p>
    <w:p w14:paraId="2B91C68E" w14:textId="77777777" w:rsidR="00B35D37" w:rsidRDefault="00B35D37" w:rsidP="00B35D37">
      <w:pPr>
        <w:pStyle w:val="TextoNormalCentrado"/>
      </w:pPr>
      <w:r>
        <w:t>ECLI:ES:TC:2025:48A</w:t>
      </w:r>
    </w:p>
    <w:p w14:paraId="2DD6D367" w14:textId="2578EFBC" w:rsidR="00B35D37" w:rsidRDefault="00B35D37" w:rsidP="00B35D37">
      <w:pPr>
        <w:pStyle w:val="TextoNormalCentrado"/>
      </w:pPr>
    </w:p>
    <w:p w14:paraId="64928682"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72D305C2" w14:textId="2490DD9D" w:rsidR="00B35D37" w:rsidRDefault="00B35D37" w:rsidP="00B35D37">
      <w:pPr>
        <w:pStyle w:val="SntesisDescriptiva"/>
      </w:pPr>
    </w:p>
    <w:p w14:paraId="7B495637" w14:textId="77777777" w:rsidR="00B35D37" w:rsidRDefault="00B35D37" w:rsidP="00B35D37">
      <w:pPr>
        <w:pStyle w:val="SntesisDescriptiva"/>
      </w:pPr>
      <w:r>
        <w:t>Inadmite la solicitud de ejecución de la STC 72/2025, de 24 de marzo, dictada en el recurso de amparo 4734-2024, promovido por doña Raquel García Pérez.</w:t>
      </w:r>
    </w:p>
    <w:p w14:paraId="31DD0868" w14:textId="07985D8B" w:rsidR="00B35D37" w:rsidRDefault="00B35D37" w:rsidP="00B35D37">
      <w:pPr>
        <w:pStyle w:val="SntesisDescriptiva"/>
      </w:pPr>
    </w:p>
    <w:p w14:paraId="3134E9BA" w14:textId="77777777" w:rsidR="00B35D37" w:rsidRDefault="00B35D37" w:rsidP="00B35D37">
      <w:pPr>
        <w:pStyle w:val="SntesisDescriptiva"/>
      </w:pPr>
    </w:p>
    <w:p w14:paraId="0A5E7CD1" w14:textId="77777777" w:rsidR="00B35D37" w:rsidRDefault="00B35D37" w:rsidP="00B35D37">
      <w:pPr>
        <w:pStyle w:val="SntesisDescriptiva"/>
      </w:pPr>
    </w:p>
    <w:p w14:paraId="2D03E60D" w14:textId="77777777" w:rsidR="00B35D37" w:rsidRDefault="00B35D37" w:rsidP="00B35D37">
      <w:pPr>
        <w:pStyle w:val="TextoNormalNegritaCentrado"/>
      </w:pPr>
      <w:r>
        <w:t>AUTO</w:t>
      </w:r>
    </w:p>
    <w:p w14:paraId="4A709F05" w14:textId="5D915F5A" w:rsidR="00B35D37" w:rsidRDefault="00B35D37" w:rsidP="00B35D37">
      <w:pPr>
        <w:pStyle w:val="TextoNormalNegritaCentrado"/>
      </w:pPr>
    </w:p>
    <w:p w14:paraId="1AEF5A50" w14:textId="77777777" w:rsidR="00B35D37" w:rsidRDefault="00B35D37" w:rsidP="00B35D37">
      <w:pPr>
        <w:pStyle w:val="TextoNormalNegritaCentrado"/>
        <w:keepNext/>
      </w:pPr>
      <w:r>
        <w:t>I. Antecedentes</w:t>
      </w:r>
    </w:p>
    <w:p w14:paraId="0D8B853F" w14:textId="3C837A15" w:rsidR="00B35D37" w:rsidRDefault="00B35D37" w:rsidP="00B35D37">
      <w:pPr>
        <w:pStyle w:val="TextoNormalNegritaCentrado"/>
        <w:keepNext/>
      </w:pPr>
    </w:p>
    <w:p w14:paraId="20A33F15" w14:textId="7D90708B" w:rsidR="00B35D37" w:rsidRDefault="00B35D37" w:rsidP="00B35D37">
      <w:pPr>
        <w:pStyle w:val="TextoNormal"/>
      </w:pPr>
      <w:r w:rsidRPr="00B35D37">
        <w:rPr>
          <w:rStyle w:val="NumeroAFNegritaCaracter"/>
        </w:rPr>
        <w:t>1</w:t>
      </w:r>
      <w:r>
        <w:t>. El 20 de junio de 2024, doña Raquel García Pérez, representada por la procuradora de los tribunales doña María Isabel Torres Ruiz y bajo la dirección de la letrada doña Olga Georgina Marquina Pompido, interpuso recurso de amparo contra la sentencia núm. 704/2024, de 22 de mayo, de la Sala de lo Social del Tribunal Supremo, que anuló las sentencias de la Sala de lo Social del Tribunal Superior de Justicia de Cataluña y del Juzgado de lo Social núm. 22 de Barcelona y, consecuentemente, desestimó la demanda y confirmó las resoluciones del Instituto Nacional de la Seguridad Social que denegaban la ampliación de la prestación de nacimiento y cuidado de menor.</w:t>
      </w:r>
    </w:p>
    <w:p w14:paraId="41E83C78" w14:textId="77777777" w:rsidR="00B35D37" w:rsidRDefault="00B35D37" w:rsidP="00B35D37">
      <w:pPr>
        <w:pStyle w:val="TextoNormal"/>
      </w:pPr>
    </w:p>
    <w:p w14:paraId="7F869D05" w14:textId="11F22DB9" w:rsidR="00B35D37" w:rsidRDefault="00B35D37" w:rsidP="00B35D37">
      <w:pPr>
        <w:pStyle w:val="TextoNormal"/>
      </w:pPr>
      <w:r w:rsidRPr="00B35D37">
        <w:rPr>
          <w:rStyle w:val="NumeroAFNegritaCaracter"/>
        </w:rPr>
        <w:t>2</w:t>
      </w:r>
      <w:r>
        <w:t>. El recurso de amparo fue resuelto por la STC 72/2025, de 24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llevara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1617808" w14:textId="77777777" w:rsidR="00B35D37" w:rsidRDefault="00B35D37" w:rsidP="00B35D37">
      <w:pPr>
        <w:pStyle w:val="TextoNormal"/>
      </w:pPr>
    </w:p>
    <w:p w14:paraId="6CBE01C9" w14:textId="77777777" w:rsidR="00B35D37" w:rsidRDefault="00B35D37" w:rsidP="00B35D37">
      <w:pPr>
        <w:pStyle w:val="TextoNormal"/>
      </w:pPr>
      <w:r w:rsidRPr="00B35D37">
        <w:rPr>
          <w:rStyle w:val="NumeroAFNegritaCaracter"/>
        </w:rPr>
        <w:t>3</w:t>
      </w:r>
      <w:r>
        <w:t>. La administración de la Seguridad Social, por escrito registrado el 22 de abril de 2025, formuló incidente de ejecución al amparo del art. 92.3 de la Ley Orgánica del Tribunal Constitucional (LOTC) instando al Tribunal a determinar las medidas necesarias para que el Instituto Nacional de la Seguridad Social pueda dictar una resolución administrativa respetuosa con el derecho vulnerado de entre las propuestas en su escrito u otras que se consideren convenientes.</w:t>
      </w:r>
    </w:p>
    <w:p w14:paraId="42FB59DB" w14:textId="77777777" w:rsidR="00B35D37" w:rsidRDefault="00B35D37" w:rsidP="00B35D37">
      <w:pPr>
        <w:pStyle w:val="TextoNormal"/>
      </w:pPr>
    </w:p>
    <w:p w14:paraId="0D6688DF" w14:textId="27A3AC9D"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232C9CB3" w14:textId="77777777" w:rsidR="00B35D37" w:rsidRDefault="00B35D37" w:rsidP="00B35D37">
      <w:pPr>
        <w:pStyle w:val="TextoNormal"/>
      </w:pPr>
    </w:p>
    <w:p w14:paraId="4F27B9DF" w14:textId="77777777" w:rsidR="00B35D37" w:rsidRDefault="00B35D37" w:rsidP="00B35D37">
      <w:pPr>
        <w:pStyle w:val="TextoNormalNegritaCentrado"/>
        <w:keepNext/>
      </w:pPr>
      <w:r>
        <w:t>II. Fundamentos jurídicos</w:t>
      </w:r>
    </w:p>
    <w:p w14:paraId="4CCAF466" w14:textId="210EC852" w:rsidR="00B35D37" w:rsidRDefault="00B35D37" w:rsidP="00B35D37">
      <w:pPr>
        <w:pStyle w:val="TextoNormalNegritaCentrado"/>
        <w:keepNext/>
      </w:pPr>
    </w:p>
    <w:p w14:paraId="7C77F1AF" w14:textId="7420587B" w:rsidR="00B35D37" w:rsidRDefault="00B35D37" w:rsidP="00B35D37">
      <w:pPr>
        <w:pStyle w:val="TextoNormal"/>
      </w:pPr>
      <w:r w:rsidRPr="00B35D37">
        <w:rPr>
          <w:rStyle w:val="TextoNormalNegritaCaracter"/>
        </w:rPr>
        <w:t xml:space="preserve">Único. </w:t>
      </w:r>
      <w:r>
        <w:t>Recientemente, por ATC 34/2025, de 13 de mayo, del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14:paraId="54EF13EF" w14:textId="77777777" w:rsidR="00B35D37" w:rsidRDefault="00B35D37" w:rsidP="00B35D37">
      <w:pPr>
        <w:pStyle w:val="TextoNormal"/>
      </w:pPr>
    </w:p>
    <w:p w14:paraId="3BC5D816" w14:textId="77777777" w:rsidR="00B35D37" w:rsidRDefault="00B35D37" w:rsidP="00B35D37">
      <w:pPr>
        <w:pStyle w:val="TextoNormal"/>
      </w:pPr>
      <w:r>
        <w:t>Por lo expuesto, la Sala</w:t>
      </w:r>
    </w:p>
    <w:p w14:paraId="14CF8149" w14:textId="779F77DA" w:rsidR="00B35D37" w:rsidRDefault="00B35D37" w:rsidP="00B35D37">
      <w:pPr>
        <w:pStyle w:val="TextoNormal"/>
      </w:pPr>
    </w:p>
    <w:p w14:paraId="62227498" w14:textId="77777777" w:rsidR="00B35D37" w:rsidRDefault="00B35D37" w:rsidP="00B35D37">
      <w:pPr>
        <w:pStyle w:val="TextoNormalCentrado"/>
      </w:pPr>
      <w:r>
        <w:t>ACUERDA</w:t>
      </w:r>
    </w:p>
    <w:p w14:paraId="2A57C292" w14:textId="03D01E2E" w:rsidR="00B35D37" w:rsidRDefault="00B35D37" w:rsidP="00B35D37">
      <w:pPr>
        <w:pStyle w:val="TextoNormalCentrado"/>
      </w:pPr>
    </w:p>
    <w:p w14:paraId="2CD6F4A8" w14:textId="4D74936B" w:rsidR="00B35D37" w:rsidRDefault="00B35D37" w:rsidP="00B35D37">
      <w:pPr>
        <w:pStyle w:val="TextoNormal"/>
      </w:pPr>
      <w:r>
        <w:t>Denegar la admisión de la apertura del incidente de ejecución.</w:t>
      </w:r>
    </w:p>
    <w:p w14:paraId="4BDEE130" w14:textId="77777777" w:rsidR="00B35D37" w:rsidRDefault="00B35D37" w:rsidP="00B35D37">
      <w:pPr>
        <w:pStyle w:val="TextoNormal"/>
      </w:pPr>
    </w:p>
    <w:p w14:paraId="0488F7AF" w14:textId="77777777" w:rsidR="00B35D37" w:rsidRDefault="00B35D37" w:rsidP="00B35D37">
      <w:pPr>
        <w:pStyle w:val="TextoNormal"/>
      </w:pPr>
      <w:r>
        <w:t>Madrid, a veintiséis de mayo de dos mil veinticinco.</w:t>
      </w:r>
    </w:p>
    <w:p w14:paraId="33886BF3" w14:textId="13A22AC3" w:rsidR="00B35D37" w:rsidRDefault="00B35D37">
      <w:pPr>
        <w:spacing w:after="160" w:line="278" w:lineRule="auto"/>
        <w:rPr>
          <w:rFonts w:ascii="Times New Roman" w:eastAsia="Times New Roman" w:hAnsi="Times New Roman" w:cs="Times New Roman"/>
          <w:sz w:val="24"/>
          <w:szCs w:val="24"/>
          <w:lang w:eastAsia="es-ES"/>
        </w:rPr>
      </w:pPr>
      <w:r>
        <w:br w:type="page"/>
      </w:r>
    </w:p>
    <w:p w14:paraId="0DE94FDF" w14:textId="77777777" w:rsidR="00B35D37" w:rsidRDefault="00B35D37" w:rsidP="00B35D37">
      <w:pPr>
        <w:pStyle w:val="TtuloResolucin"/>
      </w:pPr>
      <w:bookmarkStart w:id="188" w:name="AUTO_2025_49"/>
      <w:r>
        <w:t>AUTO 49/2025, de 26 de mayo de 2025</w:t>
      </w:r>
    </w:p>
    <w:bookmarkEnd w:id="188"/>
    <w:p w14:paraId="44523719" w14:textId="77777777" w:rsidR="00B35D37" w:rsidRDefault="00B35D37" w:rsidP="00B35D37">
      <w:pPr>
        <w:pStyle w:val="TtuloResolucin"/>
      </w:pPr>
      <w:r>
        <w:t>Sala Segunda</w:t>
      </w:r>
    </w:p>
    <w:p w14:paraId="2217FE6B" w14:textId="77777777" w:rsidR="00B35D37" w:rsidRDefault="00B35D37" w:rsidP="00B35D37">
      <w:pPr>
        <w:pStyle w:val="TextoNormalCentrado"/>
      </w:pPr>
      <w:r>
        <w:t>ECLI:ES:TC:2025:49A</w:t>
      </w:r>
    </w:p>
    <w:p w14:paraId="47C72CB5" w14:textId="3F0AF2F9" w:rsidR="00B35D37" w:rsidRDefault="00B35D37" w:rsidP="00B35D37">
      <w:pPr>
        <w:pStyle w:val="TextoNormalCentrado"/>
      </w:pPr>
    </w:p>
    <w:p w14:paraId="487B9691"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6631CCFF" w14:textId="1F923EB0" w:rsidR="00B35D37" w:rsidRDefault="00B35D37" w:rsidP="00B35D37">
      <w:pPr>
        <w:pStyle w:val="SntesisDescriptiva"/>
      </w:pPr>
    </w:p>
    <w:p w14:paraId="13889DBB" w14:textId="77777777" w:rsidR="00B35D37" w:rsidRDefault="00B35D37" w:rsidP="00B35D37">
      <w:pPr>
        <w:pStyle w:val="SntesisDescriptiva"/>
      </w:pPr>
      <w:r>
        <w:t>Inadmite la solicitud de ejecución de la STC 75/2025, de 24 de marzo, dictada en el recurso de amparo 5760-2024, promovido por doña Cristina Victoria Asenjo Gismero.</w:t>
      </w:r>
    </w:p>
    <w:p w14:paraId="5E563C37" w14:textId="2D50E5B2" w:rsidR="00B35D37" w:rsidRDefault="00B35D37" w:rsidP="00B35D37">
      <w:pPr>
        <w:pStyle w:val="SntesisDescriptiva"/>
      </w:pPr>
    </w:p>
    <w:p w14:paraId="5B4793C5" w14:textId="77777777" w:rsidR="00B35D37" w:rsidRDefault="00B35D37" w:rsidP="00B35D37">
      <w:pPr>
        <w:pStyle w:val="SntesisDescriptiva"/>
      </w:pPr>
    </w:p>
    <w:p w14:paraId="75487EF3" w14:textId="77777777" w:rsidR="00B35D37" w:rsidRDefault="00B35D37" w:rsidP="00B35D37">
      <w:pPr>
        <w:pStyle w:val="SntesisDescriptiva"/>
      </w:pPr>
    </w:p>
    <w:p w14:paraId="797B3C33" w14:textId="77777777" w:rsidR="00B35D37" w:rsidRDefault="00B35D37" w:rsidP="00B35D37">
      <w:pPr>
        <w:pStyle w:val="TextoNormalNegritaCentrado"/>
      </w:pPr>
      <w:r>
        <w:t>AUTO</w:t>
      </w:r>
    </w:p>
    <w:p w14:paraId="768EC6C4" w14:textId="5E6C3D5F" w:rsidR="00B35D37" w:rsidRDefault="00B35D37" w:rsidP="00B35D37">
      <w:pPr>
        <w:pStyle w:val="TextoNormalNegritaCentrado"/>
      </w:pPr>
    </w:p>
    <w:p w14:paraId="1CAFD18D" w14:textId="77777777" w:rsidR="00B35D37" w:rsidRDefault="00B35D37" w:rsidP="00B35D37">
      <w:pPr>
        <w:pStyle w:val="TextoNormalNegritaCentrado"/>
        <w:keepNext/>
      </w:pPr>
      <w:r>
        <w:t>I. Antecedentes</w:t>
      </w:r>
    </w:p>
    <w:p w14:paraId="564CE7AD" w14:textId="5F60B941" w:rsidR="00B35D37" w:rsidRDefault="00B35D37" w:rsidP="00B35D37">
      <w:pPr>
        <w:pStyle w:val="TextoNormalNegritaCentrado"/>
        <w:keepNext/>
      </w:pPr>
    </w:p>
    <w:p w14:paraId="32561A7E" w14:textId="0BB859A6" w:rsidR="00B35D37" w:rsidRDefault="00B35D37" w:rsidP="00B35D37">
      <w:pPr>
        <w:pStyle w:val="TextoNormal"/>
      </w:pPr>
      <w:r w:rsidRPr="00B35D37">
        <w:rPr>
          <w:rStyle w:val="NumeroAFNegritaCaracter"/>
        </w:rPr>
        <w:t>1</w:t>
      </w:r>
      <w:r>
        <w:t>. Mediante escrito registrado en el Tribunal el 22 de julio de 2024, la procuradora de los tribunales doña Alicia Suau Casado, en nombre y representación de doña Cristina Victoria Asenjo Gismero, bajo la dirección letrada de doña Aída Casanova Pérez, interpuso recurso de amparo contra: las resoluciones presuntas del Instituto Nacional de la Seguridad Social (INSS) y la Tesorería General de la Seguridad Social (TGSS) que le denegaron la solicitud de ampliación de la prestación por nacimiento y cuidado de su hija menor como madre biológica de familia monoparental; la sentencia núm. 409/2022, de 24 de noviembre, del Juzgado de lo Social núm. 45 de Madrid (autos núm. 671-2022), que desestimó la demanda interpuesta contra el INSS y TGSS en reclamación de tal ampliación; la sentencia núm. 551/2023-C, de la Sala de lo Social del Tribunal Superior de Justicia de Madrid, de 16 de junio, que desestimó el recurso de suplicación núm. 76-2023, y el auto por el que la Sala de lo Social del Tribunal Supremo lo inadmite, de 22 de mayo de 2024 (recurso de casación para unificación de doctrina núm.4188-2023), que fue tramitado con el núm. 5760-2024 por la Sala Segunda del Tribunal.</w:t>
      </w:r>
    </w:p>
    <w:p w14:paraId="3FCB55B1" w14:textId="77777777" w:rsidR="00B35D37" w:rsidRDefault="00B35D37" w:rsidP="00B35D37">
      <w:pPr>
        <w:pStyle w:val="TextoNormal"/>
      </w:pPr>
    </w:p>
    <w:p w14:paraId="6EC4E23B" w14:textId="0D005728" w:rsidR="00B35D37" w:rsidRDefault="00B35D37" w:rsidP="00B35D37">
      <w:pPr>
        <w:pStyle w:val="TextoNormal"/>
      </w:pPr>
      <w:r w:rsidRPr="00B35D37">
        <w:rPr>
          <w:rStyle w:val="NumeroAFNegritaCaracter"/>
        </w:rPr>
        <w:t>2</w:t>
      </w:r>
      <w:r>
        <w:t>. El recurso de amparo fue resuelto por la STC 75/2025, de 24 de marzo, en la que, tras declarar vulnerado el derecho fundamental a la igualdad ante la ley sin que proceda discriminación por razón de nacimiento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sentencia, se dictara una resolución expresa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 la Ley del estatuto de los trabajadores (LET), y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17192803" w14:textId="77777777" w:rsidR="00B35D37" w:rsidRDefault="00B35D37" w:rsidP="00B35D37">
      <w:pPr>
        <w:pStyle w:val="TextoNormal"/>
      </w:pPr>
    </w:p>
    <w:p w14:paraId="76DD3F8F" w14:textId="77777777" w:rsidR="00B35D37" w:rsidRDefault="00B35D37" w:rsidP="00B35D37">
      <w:pPr>
        <w:pStyle w:val="TextoNormal"/>
      </w:pPr>
      <w:r w:rsidRPr="00B35D37">
        <w:rPr>
          <w:rStyle w:val="NumeroAFNegritaCaracter"/>
        </w:rPr>
        <w:t>3</w:t>
      </w:r>
      <w:r>
        <w:t>. La letrada de la administración de la Seguridad Social, por escrito registrado el 15 de abril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14:paraId="3F4A551B" w14:textId="77777777" w:rsidR="00B35D37" w:rsidRDefault="00B35D37" w:rsidP="00B35D37">
      <w:pPr>
        <w:pStyle w:val="TextoNormal"/>
      </w:pPr>
    </w:p>
    <w:p w14:paraId="710394C4" w14:textId="241829DE" w:rsidR="00B35D37" w:rsidRDefault="00B35D37" w:rsidP="00B35D37">
      <w:pPr>
        <w:pStyle w:val="TextoNormal"/>
      </w:pPr>
      <w:r>
        <w:t>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135E9474" w14:textId="77777777" w:rsidR="00B35D37" w:rsidRDefault="00B35D37" w:rsidP="00B35D37">
      <w:pPr>
        <w:pStyle w:val="TextoNormal"/>
      </w:pPr>
    </w:p>
    <w:p w14:paraId="0AAE3CB9" w14:textId="77777777" w:rsidR="00B35D37" w:rsidRDefault="00B35D37" w:rsidP="00B35D37">
      <w:pPr>
        <w:pStyle w:val="TextoNormalNegritaCentrado"/>
        <w:keepNext/>
      </w:pPr>
      <w:r>
        <w:t>II. Fundamentos jurídicos</w:t>
      </w:r>
    </w:p>
    <w:p w14:paraId="61A7C935" w14:textId="7CDECEBE" w:rsidR="00B35D37" w:rsidRDefault="00B35D37" w:rsidP="00B35D37">
      <w:pPr>
        <w:pStyle w:val="TextoNormalNegritaCentrado"/>
        <w:keepNext/>
      </w:pPr>
    </w:p>
    <w:p w14:paraId="64C0DE4B"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2CFB2833" w14:textId="77777777" w:rsidR="00B35D37" w:rsidRDefault="00B35D37" w:rsidP="00B35D37">
      <w:pPr>
        <w:pStyle w:val="TextoNormal"/>
      </w:pPr>
    </w:p>
    <w:p w14:paraId="6AD7E9FF"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3393CFB0" w14:textId="77777777" w:rsidR="00B35D37" w:rsidRDefault="00B35D37" w:rsidP="00B35D37">
      <w:pPr>
        <w:pStyle w:val="TextoNormal"/>
      </w:pPr>
    </w:p>
    <w:p w14:paraId="1B5B0908" w14:textId="77777777" w:rsidR="00B35D37" w:rsidRDefault="00B35D37" w:rsidP="00B35D37">
      <w:pPr>
        <w:pStyle w:val="TextoNormal"/>
      </w:pPr>
      <w:r>
        <w:t>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6651416F" w14:textId="77777777" w:rsidR="00B35D37" w:rsidRDefault="00B35D37" w:rsidP="00B35D37">
      <w:pPr>
        <w:pStyle w:val="TextoNormal"/>
      </w:pPr>
    </w:p>
    <w:p w14:paraId="5BA1BC92"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4077E623" w14:textId="77777777" w:rsidR="00B35D37" w:rsidRDefault="00B35D37" w:rsidP="00B35D37">
      <w:pPr>
        <w:pStyle w:val="TextoNormal"/>
      </w:pPr>
    </w:p>
    <w:p w14:paraId="099386E9" w14:textId="65AAFAF9"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081D7F12" w14:textId="77777777" w:rsidR="00B35D37" w:rsidRDefault="00B35D37" w:rsidP="00B35D37">
      <w:pPr>
        <w:pStyle w:val="TextoNormal"/>
      </w:pPr>
    </w:p>
    <w:p w14:paraId="7B7B879B" w14:textId="77777777" w:rsidR="00B35D37" w:rsidRDefault="00B35D37" w:rsidP="00B35D37">
      <w:pPr>
        <w:pStyle w:val="TextoNormal"/>
      </w:pPr>
      <w:r>
        <w:t>Por lo expuesto, la Sala</w:t>
      </w:r>
    </w:p>
    <w:p w14:paraId="1FA9B0A5" w14:textId="4BEA6D9A" w:rsidR="00B35D37" w:rsidRDefault="00B35D37" w:rsidP="00B35D37">
      <w:pPr>
        <w:pStyle w:val="TextoNormal"/>
      </w:pPr>
    </w:p>
    <w:p w14:paraId="1B589B18" w14:textId="77777777" w:rsidR="00B35D37" w:rsidRDefault="00B35D37" w:rsidP="00B35D37">
      <w:pPr>
        <w:pStyle w:val="TextoNormalCentrado"/>
      </w:pPr>
      <w:r>
        <w:t>ACUERDA</w:t>
      </w:r>
    </w:p>
    <w:p w14:paraId="7037E2BE" w14:textId="2B028943" w:rsidR="00B35D37" w:rsidRDefault="00B35D37" w:rsidP="00B35D37">
      <w:pPr>
        <w:pStyle w:val="TextoNormalCentrado"/>
      </w:pPr>
    </w:p>
    <w:p w14:paraId="4E69C5E1" w14:textId="4AD93A2E" w:rsidR="00B35D37" w:rsidRDefault="00B35D37" w:rsidP="00B35D37">
      <w:pPr>
        <w:pStyle w:val="TextoNormal"/>
      </w:pPr>
      <w:r>
        <w:t>Denegar la admisión de la apertura del incidente de ejecución.</w:t>
      </w:r>
    </w:p>
    <w:p w14:paraId="49E842A3" w14:textId="77777777" w:rsidR="00B35D37" w:rsidRDefault="00B35D37" w:rsidP="00B35D37">
      <w:pPr>
        <w:pStyle w:val="TextoNormal"/>
      </w:pPr>
    </w:p>
    <w:p w14:paraId="4091D918" w14:textId="77777777" w:rsidR="00B35D37" w:rsidRDefault="00B35D37" w:rsidP="00B35D37">
      <w:pPr>
        <w:pStyle w:val="TextoNormal"/>
      </w:pPr>
      <w:r>
        <w:t>Madrid, a veintiséis de mayo de dos mil veinticinco.</w:t>
      </w:r>
    </w:p>
    <w:p w14:paraId="2821C63A" w14:textId="32BE5F6F" w:rsidR="00B35D37" w:rsidRDefault="00B35D37">
      <w:pPr>
        <w:spacing w:after="160" w:line="278" w:lineRule="auto"/>
        <w:rPr>
          <w:rFonts w:ascii="Times New Roman" w:eastAsia="Times New Roman" w:hAnsi="Times New Roman" w:cs="Times New Roman"/>
          <w:sz w:val="24"/>
          <w:szCs w:val="24"/>
          <w:lang w:eastAsia="es-ES"/>
        </w:rPr>
      </w:pPr>
      <w:r>
        <w:br w:type="page"/>
      </w:r>
    </w:p>
    <w:p w14:paraId="550C1B36" w14:textId="77777777" w:rsidR="00B35D37" w:rsidRDefault="00B35D37" w:rsidP="00B35D37">
      <w:pPr>
        <w:pStyle w:val="TtuloResolucin"/>
      </w:pPr>
      <w:bookmarkStart w:id="189" w:name="AUTO_2025_50"/>
      <w:r>
        <w:t>AUTO 50/2025, de 26 de mayo de 2025</w:t>
      </w:r>
    </w:p>
    <w:bookmarkEnd w:id="189"/>
    <w:p w14:paraId="5F8E55AA" w14:textId="77777777" w:rsidR="00B35D37" w:rsidRDefault="00B35D37" w:rsidP="00B35D37">
      <w:pPr>
        <w:pStyle w:val="TtuloResolucin"/>
      </w:pPr>
      <w:r>
        <w:t>Sala Segunda</w:t>
      </w:r>
    </w:p>
    <w:p w14:paraId="222FC7E6" w14:textId="77777777" w:rsidR="00B35D37" w:rsidRDefault="00B35D37" w:rsidP="00B35D37">
      <w:pPr>
        <w:pStyle w:val="TextoNormalCentrado"/>
      </w:pPr>
      <w:r>
        <w:t>ECLI:ES:TC:2025:50A</w:t>
      </w:r>
    </w:p>
    <w:p w14:paraId="2EC124CF" w14:textId="42ADD777" w:rsidR="00B35D37" w:rsidRDefault="00B35D37" w:rsidP="00B35D37">
      <w:pPr>
        <w:pStyle w:val="TextoNormalCentrado"/>
      </w:pPr>
    </w:p>
    <w:p w14:paraId="38AC9F9A"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7EAD1FB0" w14:textId="52A5AB62" w:rsidR="00B35D37" w:rsidRDefault="00B35D37" w:rsidP="00B35D37">
      <w:pPr>
        <w:pStyle w:val="SntesisDescriptiva"/>
      </w:pPr>
    </w:p>
    <w:p w14:paraId="50B298ED" w14:textId="77777777" w:rsidR="00B35D37" w:rsidRDefault="00B35D37" w:rsidP="00B35D37">
      <w:pPr>
        <w:pStyle w:val="SntesisDescriptiva"/>
      </w:pPr>
      <w:r>
        <w:t>Inadmite la solicitud de ejecución de la STC 77/2025, de 24 de marzo, dictada en el recurso de amparo 5807-2024, promovido por doña Elena Peinado García.</w:t>
      </w:r>
    </w:p>
    <w:p w14:paraId="2D8C0469" w14:textId="6F920ABB" w:rsidR="00B35D37" w:rsidRDefault="00B35D37" w:rsidP="00B35D37">
      <w:pPr>
        <w:pStyle w:val="SntesisDescriptiva"/>
      </w:pPr>
    </w:p>
    <w:p w14:paraId="47836F8D" w14:textId="77777777" w:rsidR="00B35D37" w:rsidRDefault="00B35D37" w:rsidP="00B35D37">
      <w:pPr>
        <w:pStyle w:val="SntesisDescriptiva"/>
      </w:pPr>
    </w:p>
    <w:p w14:paraId="0030A01D" w14:textId="77777777" w:rsidR="00B35D37" w:rsidRDefault="00B35D37" w:rsidP="00B35D37">
      <w:pPr>
        <w:pStyle w:val="SntesisDescriptiva"/>
      </w:pPr>
    </w:p>
    <w:p w14:paraId="5EEF66B9" w14:textId="77777777" w:rsidR="00B35D37" w:rsidRDefault="00B35D37" w:rsidP="00B35D37">
      <w:pPr>
        <w:pStyle w:val="TextoNormalNegritaCentrado"/>
      </w:pPr>
      <w:r>
        <w:t>AUTO</w:t>
      </w:r>
    </w:p>
    <w:p w14:paraId="5EB93E75" w14:textId="039DFC94" w:rsidR="00B35D37" w:rsidRDefault="00B35D37" w:rsidP="00B35D37">
      <w:pPr>
        <w:pStyle w:val="TextoNormalNegritaCentrado"/>
      </w:pPr>
    </w:p>
    <w:p w14:paraId="4F1FC5DD" w14:textId="77777777" w:rsidR="00B35D37" w:rsidRDefault="00B35D37" w:rsidP="00B35D37">
      <w:pPr>
        <w:pStyle w:val="TextoNormalNegritaCentrado"/>
        <w:keepNext/>
      </w:pPr>
      <w:r>
        <w:t>I. Antecedentes</w:t>
      </w:r>
    </w:p>
    <w:p w14:paraId="4CD73F36" w14:textId="78A0E28A" w:rsidR="00B35D37" w:rsidRDefault="00B35D37" w:rsidP="00B35D37">
      <w:pPr>
        <w:pStyle w:val="TextoNormalNegritaCentrado"/>
        <w:keepNext/>
      </w:pPr>
    </w:p>
    <w:p w14:paraId="747E5422" w14:textId="726276EA" w:rsidR="00B35D37" w:rsidRDefault="00B35D37" w:rsidP="00B35D37">
      <w:pPr>
        <w:pStyle w:val="TextoNormal"/>
      </w:pPr>
      <w:r w:rsidRPr="00B35D37">
        <w:rPr>
          <w:rStyle w:val="NumeroAFNegritaCaracter"/>
        </w:rPr>
        <w:t>1</w:t>
      </w:r>
      <w:r>
        <w:t>. El 22 de julio de 2024, doña Elena Peinado García, representada por la procuradora de los tribunales doña María Esperanza Azpeitia Calvín y bajo la dirección de la letrada doña Helena Unanue Aguirreche, interpuso recurso de amparo contra la sentencia núm. 846/2024, de 4 de junio, dictada por la Sala de lo Social del Tribunal Supremo, que estimó el recurso de casación para unificación de doctrina núm. 745-2023 interpuesto contra la sentencia núm. 196/2023, de 24 de enero, dictada por la Sala de lo Social del Tribunal Superior de Justicia del País Vasco en el recurso de suplicación núm. 1555-2022, y revocó la sentencia núm. 87/2022, de 7 de marzo, dictada por el Juzgado de lo Social núm. 4 de San Sebastián, en autos de Seguridad Social en materia prestacional núm. 805-2021, que a su vez había desestimado la demanda interpuesta contra las resoluciones de 29 de octubre y 19 de septiembre de 2021 dictadas por el Instituto Nacional de la Seguridad Social.</w:t>
      </w:r>
    </w:p>
    <w:p w14:paraId="29A00F3B" w14:textId="77777777" w:rsidR="00B35D37" w:rsidRDefault="00B35D37" w:rsidP="00B35D37">
      <w:pPr>
        <w:pStyle w:val="TextoNormal"/>
      </w:pPr>
    </w:p>
    <w:p w14:paraId="3009BC23" w14:textId="71386A3C" w:rsidR="00B35D37" w:rsidRDefault="00B35D37" w:rsidP="00B35D37">
      <w:pPr>
        <w:pStyle w:val="TextoNormal"/>
      </w:pPr>
      <w:r w:rsidRPr="00B35D37">
        <w:rPr>
          <w:rStyle w:val="NumeroAFNegritaCaracter"/>
        </w:rPr>
        <w:t>2</w:t>
      </w:r>
      <w:r>
        <w:t>. El recurso de amparo fue resuelto por la STC 77/2025, de 24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lleve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14:paraId="55E9C194" w14:textId="77777777" w:rsidR="00B35D37" w:rsidRDefault="00B35D37" w:rsidP="00B35D37">
      <w:pPr>
        <w:pStyle w:val="TextoNormal"/>
      </w:pPr>
    </w:p>
    <w:p w14:paraId="34B73553" w14:textId="77777777" w:rsidR="00B35D37" w:rsidRDefault="00B35D37" w:rsidP="00B35D37">
      <w:pPr>
        <w:pStyle w:val="TextoNormal"/>
      </w:pPr>
      <w:r w:rsidRPr="00B35D37">
        <w:rPr>
          <w:rStyle w:val="NumeroAFNegritaCaracter"/>
        </w:rPr>
        <w:t>3</w:t>
      </w:r>
      <w:r>
        <w:t>. La administración de la Seguridad Social, por escrito registrado el 15 de abril de 2025, formuló incidente de ejecución al amparo del art. 92.3 de la Ley Orgánica del Tribunal Constitucional (LOTC) instando al Tribunal a determinar las medidas necesarias para que el Instituto Nacional de la Seguridad Social pueda dictar una resolución administrativa respetuosa con el derecho vulnerado de entre las propuestas en su escrito u otras que se consideren convenientes.</w:t>
      </w:r>
    </w:p>
    <w:p w14:paraId="624F452E" w14:textId="77777777" w:rsidR="00B35D37" w:rsidRDefault="00B35D37" w:rsidP="00B35D37">
      <w:pPr>
        <w:pStyle w:val="TextoNormal"/>
      </w:pPr>
    </w:p>
    <w:p w14:paraId="321532A9" w14:textId="24729FEA"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71AB6970" w14:textId="77777777" w:rsidR="00B35D37" w:rsidRDefault="00B35D37" w:rsidP="00B35D37">
      <w:pPr>
        <w:pStyle w:val="TextoNormal"/>
      </w:pPr>
    </w:p>
    <w:p w14:paraId="786096B4" w14:textId="77777777" w:rsidR="00B35D37" w:rsidRDefault="00B35D37" w:rsidP="00B35D37">
      <w:pPr>
        <w:pStyle w:val="TextoNormalNegritaCentrado"/>
        <w:keepNext/>
      </w:pPr>
      <w:r>
        <w:t>II. Fundamentos jurídicos</w:t>
      </w:r>
    </w:p>
    <w:p w14:paraId="0471CE14" w14:textId="1CFB866C" w:rsidR="00B35D37" w:rsidRDefault="00B35D37" w:rsidP="00B35D37">
      <w:pPr>
        <w:pStyle w:val="TextoNormalNegritaCentrado"/>
        <w:keepNext/>
      </w:pPr>
    </w:p>
    <w:p w14:paraId="31F3CE96" w14:textId="0CA2F73A" w:rsidR="00B35D37" w:rsidRDefault="00B35D37" w:rsidP="00B35D37">
      <w:pPr>
        <w:pStyle w:val="TextoNormal"/>
      </w:pPr>
      <w:r w:rsidRPr="00B35D37">
        <w:rPr>
          <w:rStyle w:val="TextoNormalNegritaCaracter"/>
        </w:rPr>
        <w:t xml:space="preserve">Único. </w:t>
      </w:r>
      <w:r>
        <w:t>Recientemente, por ATC 34/2025, de 13 de mayo, del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14:paraId="24DD0639" w14:textId="77777777" w:rsidR="00B35D37" w:rsidRDefault="00B35D37" w:rsidP="00B35D37">
      <w:pPr>
        <w:pStyle w:val="TextoNormal"/>
      </w:pPr>
    </w:p>
    <w:p w14:paraId="5D85CAE0" w14:textId="77777777" w:rsidR="00B35D37" w:rsidRDefault="00B35D37" w:rsidP="00B35D37">
      <w:pPr>
        <w:pStyle w:val="TextoNormal"/>
      </w:pPr>
      <w:r>
        <w:t>Por lo expuesto, la Sala</w:t>
      </w:r>
    </w:p>
    <w:p w14:paraId="336CC7EF" w14:textId="6F3EF68F" w:rsidR="00B35D37" w:rsidRDefault="00B35D37" w:rsidP="00B35D37">
      <w:pPr>
        <w:pStyle w:val="TextoNormal"/>
      </w:pPr>
    </w:p>
    <w:p w14:paraId="1310CB64" w14:textId="77777777" w:rsidR="00B35D37" w:rsidRDefault="00B35D37" w:rsidP="00B35D37">
      <w:pPr>
        <w:pStyle w:val="TextoNormalCentrado"/>
      </w:pPr>
      <w:r>
        <w:t>ACUERDA</w:t>
      </w:r>
    </w:p>
    <w:p w14:paraId="2603BE6A" w14:textId="78ACAA5E" w:rsidR="00B35D37" w:rsidRDefault="00B35D37" w:rsidP="00B35D37">
      <w:pPr>
        <w:pStyle w:val="TextoNormalCentrado"/>
      </w:pPr>
    </w:p>
    <w:p w14:paraId="2C483BBF" w14:textId="6A28D03F" w:rsidR="00B35D37" w:rsidRDefault="00B35D37" w:rsidP="00B35D37">
      <w:pPr>
        <w:pStyle w:val="TextoNormal"/>
      </w:pPr>
      <w:r>
        <w:t>Denegar la admisión de la apertura del incidente de ejecución.</w:t>
      </w:r>
    </w:p>
    <w:p w14:paraId="70A75766" w14:textId="77777777" w:rsidR="00B35D37" w:rsidRDefault="00B35D37" w:rsidP="00B35D37">
      <w:pPr>
        <w:pStyle w:val="TextoNormal"/>
      </w:pPr>
    </w:p>
    <w:p w14:paraId="4AB2A47C" w14:textId="77777777" w:rsidR="00B35D37" w:rsidRDefault="00B35D37" w:rsidP="00B35D37">
      <w:pPr>
        <w:pStyle w:val="TextoNormal"/>
      </w:pPr>
      <w:r>
        <w:t>Madrid, a veintiséis de mayo de dos mil veinticinco.</w:t>
      </w:r>
    </w:p>
    <w:p w14:paraId="03C0819A" w14:textId="0B3890DE" w:rsidR="00B35D37" w:rsidRDefault="00B35D37">
      <w:pPr>
        <w:spacing w:after="160" w:line="278" w:lineRule="auto"/>
        <w:rPr>
          <w:rFonts w:ascii="Times New Roman" w:eastAsia="Times New Roman" w:hAnsi="Times New Roman" w:cs="Times New Roman"/>
          <w:sz w:val="24"/>
          <w:szCs w:val="24"/>
          <w:lang w:eastAsia="es-ES"/>
        </w:rPr>
      </w:pPr>
      <w:r>
        <w:br w:type="page"/>
      </w:r>
    </w:p>
    <w:p w14:paraId="06F30CCB" w14:textId="77777777" w:rsidR="00B35D37" w:rsidRDefault="00B35D37" w:rsidP="00B35D37">
      <w:pPr>
        <w:pStyle w:val="TtuloResolucin"/>
      </w:pPr>
      <w:bookmarkStart w:id="190" w:name="AUTO_2025_51"/>
      <w:r>
        <w:t>AUTO 51/2025, de 26 de mayo de 2025</w:t>
      </w:r>
    </w:p>
    <w:bookmarkEnd w:id="190"/>
    <w:p w14:paraId="3B57B156" w14:textId="77777777" w:rsidR="00B35D37" w:rsidRDefault="00B35D37" w:rsidP="00B35D37">
      <w:pPr>
        <w:pStyle w:val="TtuloResolucin"/>
      </w:pPr>
      <w:r>
        <w:t>Sala Segunda</w:t>
      </w:r>
    </w:p>
    <w:p w14:paraId="75CAB326" w14:textId="77777777" w:rsidR="00B35D37" w:rsidRDefault="00B35D37" w:rsidP="00B35D37">
      <w:pPr>
        <w:pStyle w:val="TextoNormalCentrado"/>
      </w:pPr>
      <w:r>
        <w:t>ECLI:ES:TC:2025:51A</w:t>
      </w:r>
    </w:p>
    <w:p w14:paraId="28F34554" w14:textId="17B78089" w:rsidR="00B35D37" w:rsidRDefault="00B35D37" w:rsidP="00B35D37">
      <w:pPr>
        <w:pStyle w:val="TextoNormalCentrado"/>
      </w:pPr>
    </w:p>
    <w:p w14:paraId="044A6FA9"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5C425DEE" w14:textId="791A62BA" w:rsidR="00B35D37" w:rsidRDefault="00B35D37" w:rsidP="00B35D37">
      <w:pPr>
        <w:pStyle w:val="SntesisDescriptiva"/>
      </w:pPr>
    </w:p>
    <w:p w14:paraId="3DF677BB" w14:textId="77777777" w:rsidR="00B35D37" w:rsidRDefault="00B35D37" w:rsidP="00B35D37">
      <w:pPr>
        <w:pStyle w:val="SntesisDescriptiva"/>
      </w:pPr>
      <w:r>
        <w:t>Inadmite la solicitud de ejecución de la STC 103/2025, de 28 de abril, dictada en el recurso de amparo 6159-2024, promovido por doña Mónica Lizuain Lasa.</w:t>
      </w:r>
    </w:p>
    <w:p w14:paraId="450ED088" w14:textId="6462D0F0" w:rsidR="00B35D37" w:rsidRDefault="00B35D37" w:rsidP="00B35D37">
      <w:pPr>
        <w:pStyle w:val="SntesisDescriptiva"/>
      </w:pPr>
    </w:p>
    <w:p w14:paraId="6E793B3D" w14:textId="77777777" w:rsidR="00B35D37" w:rsidRDefault="00B35D37" w:rsidP="00B35D37">
      <w:pPr>
        <w:pStyle w:val="SntesisDescriptiva"/>
      </w:pPr>
    </w:p>
    <w:p w14:paraId="7C423F4A" w14:textId="77777777" w:rsidR="00B35D37" w:rsidRDefault="00B35D37" w:rsidP="00B35D37">
      <w:pPr>
        <w:pStyle w:val="SntesisDescriptiva"/>
      </w:pPr>
    </w:p>
    <w:p w14:paraId="323A4A81" w14:textId="77777777" w:rsidR="00B35D37" w:rsidRDefault="00B35D37" w:rsidP="00B35D37">
      <w:pPr>
        <w:pStyle w:val="TextoNormalNegritaCentrado"/>
      </w:pPr>
      <w:r>
        <w:t>AUTO</w:t>
      </w:r>
    </w:p>
    <w:p w14:paraId="156C59B9" w14:textId="78BAD2EA" w:rsidR="00B35D37" w:rsidRDefault="00B35D37" w:rsidP="00B35D37">
      <w:pPr>
        <w:pStyle w:val="TextoNormalNegritaCentrado"/>
      </w:pPr>
    </w:p>
    <w:p w14:paraId="19B1B759" w14:textId="77777777" w:rsidR="00B35D37" w:rsidRDefault="00B35D37" w:rsidP="00B35D37">
      <w:pPr>
        <w:pStyle w:val="TextoNormalNegritaCentrado"/>
        <w:keepNext/>
      </w:pPr>
      <w:r>
        <w:t>I. Antecedentes</w:t>
      </w:r>
    </w:p>
    <w:p w14:paraId="684FEFF6" w14:textId="5DB59212" w:rsidR="00B35D37" w:rsidRDefault="00B35D37" w:rsidP="00B35D37">
      <w:pPr>
        <w:pStyle w:val="TextoNormalNegritaCentrado"/>
        <w:keepNext/>
      </w:pPr>
    </w:p>
    <w:p w14:paraId="06E34540" w14:textId="7913E631" w:rsidR="00B35D37" w:rsidRDefault="00B35D37" w:rsidP="00B35D37">
      <w:pPr>
        <w:pStyle w:val="TextoNormal"/>
      </w:pPr>
      <w:r w:rsidRPr="00B35D37">
        <w:rPr>
          <w:rStyle w:val="NumeroAFNegritaCaracter"/>
        </w:rPr>
        <w:t>1</w:t>
      </w:r>
      <w:r>
        <w:t>. Mediante escrito registrado en el Tribunal el 8 de agosto de 2024, la procuradora de los tribunales doña María Esperanza Azpeitia Calvín, en nombre y representación de doña Mónica Lizuain Lasa, bajo la dirección letrada de doña Helena Unanue Agirretxe, interpuso recurso de amparo contra la resolución del Instituto Nacional de la Seguridad Social (INSS) y la Tesorería General de la seguridad Social (TGSS) de 27 de julio de 2021, que desestimó la reclamación previa administrativa de ampliación de la prestación por nacimiento y cuidado del hijo menor; contra la sentencia núm. 416/2021, de 25 de noviembre, del Juzgado de lo Social núm. 4 de San Sebastián (autos núm. 562-2021), que desestimó la solicitud de ampliación de la prestación por nacimiento y cuidado de menor en las semanas correspondientes al otro progenitor; la sentencia núm. 912/2023, de 4 de abril, de Sala de lo Social del Tribunal Superior de Justicia del País Vasco que desestimó, igualmente, la reclamación de la prestación solicitada; y el auto de la Sala de lo Social del Tribunal Supremo, de 16 de julio de 2024 (recurso de casación para la unificación de doctrina núm. 4325-2023), que inadmitió el recurso de casación para unificación de doctrina interpuesto contra las anteriores resoluciones, que fue tramitado con el núm. 6159-2024 por la Sala Segunda del Tribunal.</w:t>
      </w:r>
    </w:p>
    <w:p w14:paraId="5102D0B7" w14:textId="77777777" w:rsidR="00B35D37" w:rsidRDefault="00B35D37" w:rsidP="00B35D37">
      <w:pPr>
        <w:pStyle w:val="TextoNormal"/>
      </w:pPr>
    </w:p>
    <w:p w14:paraId="51C43AE2" w14:textId="0488854B" w:rsidR="00B35D37" w:rsidRDefault="00B35D37" w:rsidP="00B35D37">
      <w:pPr>
        <w:pStyle w:val="TextoNormal"/>
      </w:pPr>
      <w:r w:rsidRPr="00B35D37">
        <w:rPr>
          <w:rStyle w:val="NumeroAFNegritaCaracter"/>
        </w:rPr>
        <w:t>2</w:t>
      </w:r>
      <w:r>
        <w:t>. El recurso de amparo fue resuelto por la STC 103/2025, de 28 de abril, en la que, tras declarar vulnerado el derecho fundamental a la igualdad ante la ley sin que proceda discriminación por razón de nacimiento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sentencia, se dictara una resolución expresa respetuosa con el derecho fundamental vulnerado. A esos efectos, en el último párrafo del fundamento jurídico único se establecía que, en tanto el legislador no llevara a cabo la consiguiente reforma normativa, en las familias monoparentales el permiso a que hace referencia el art. 48.4 de la Ley del estatuto de los trabajadores (LET), y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16911439" w14:textId="77777777" w:rsidR="00B35D37" w:rsidRDefault="00B35D37" w:rsidP="00B35D37">
      <w:pPr>
        <w:pStyle w:val="TextoNormal"/>
      </w:pPr>
    </w:p>
    <w:p w14:paraId="556CDAF0" w14:textId="77777777" w:rsidR="00B35D37" w:rsidRDefault="00B35D37" w:rsidP="00B35D37">
      <w:pPr>
        <w:pStyle w:val="TextoNormal"/>
      </w:pPr>
      <w:r w:rsidRPr="00B35D37">
        <w:rPr>
          <w:rStyle w:val="NumeroAFNegritaCaracter"/>
        </w:rPr>
        <w:t>3</w:t>
      </w:r>
      <w:r>
        <w:t>. El letrado de la administración de la Seguridad Social, por escrito registrado el 6 de mayo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14:paraId="52DC76D3" w14:textId="77777777" w:rsidR="00B35D37" w:rsidRDefault="00B35D37" w:rsidP="00B35D37">
      <w:pPr>
        <w:pStyle w:val="TextoNormal"/>
      </w:pPr>
    </w:p>
    <w:p w14:paraId="5C77AB08" w14:textId="2D99B1FD" w:rsidR="00B35D37" w:rsidRDefault="00B35D37" w:rsidP="00B35D37">
      <w:pPr>
        <w:pStyle w:val="TextoNormal"/>
      </w:pPr>
      <w:r>
        <w:t>El letrado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5955ADE3" w14:textId="77777777" w:rsidR="00B35D37" w:rsidRDefault="00B35D37" w:rsidP="00B35D37">
      <w:pPr>
        <w:pStyle w:val="TextoNormal"/>
      </w:pPr>
    </w:p>
    <w:p w14:paraId="4475656F" w14:textId="77777777" w:rsidR="00B35D37" w:rsidRDefault="00B35D37" w:rsidP="00B35D37">
      <w:pPr>
        <w:pStyle w:val="TextoNormalNegritaCentrado"/>
        <w:keepNext/>
      </w:pPr>
      <w:r>
        <w:t>II. Fundamentos jurídicos</w:t>
      </w:r>
    </w:p>
    <w:p w14:paraId="6A21E536" w14:textId="31632B00" w:rsidR="00B35D37" w:rsidRDefault="00B35D37" w:rsidP="00B35D37">
      <w:pPr>
        <w:pStyle w:val="TextoNormalNegritaCentrado"/>
        <w:keepNext/>
      </w:pPr>
    </w:p>
    <w:p w14:paraId="21E3F24F"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0D7858DD" w14:textId="77777777" w:rsidR="00B35D37" w:rsidRDefault="00B35D37" w:rsidP="00B35D37">
      <w:pPr>
        <w:pStyle w:val="TextoNormal"/>
      </w:pPr>
    </w:p>
    <w:p w14:paraId="7D449113"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6FE92E36" w14:textId="77777777" w:rsidR="00B35D37" w:rsidRDefault="00B35D37" w:rsidP="00B35D37">
      <w:pPr>
        <w:pStyle w:val="TextoNormal"/>
      </w:pPr>
    </w:p>
    <w:p w14:paraId="6470CACC" w14:textId="77777777" w:rsidR="00B35D37" w:rsidRDefault="00B35D37" w:rsidP="00B35D37">
      <w:pPr>
        <w:pStyle w:val="TextoNormal"/>
      </w:pPr>
      <w:r>
        <w:t>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47C28453" w14:textId="77777777" w:rsidR="00B35D37" w:rsidRDefault="00B35D37" w:rsidP="00B35D37">
      <w:pPr>
        <w:pStyle w:val="TextoNormal"/>
      </w:pPr>
    </w:p>
    <w:p w14:paraId="355557CB"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2DB50A6D" w14:textId="77777777" w:rsidR="00B35D37" w:rsidRDefault="00B35D37" w:rsidP="00B35D37">
      <w:pPr>
        <w:pStyle w:val="TextoNormal"/>
      </w:pPr>
    </w:p>
    <w:p w14:paraId="418092A8" w14:textId="644826D0"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5F6632C0" w14:textId="77777777" w:rsidR="00B35D37" w:rsidRDefault="00B35D37" w:rsidP="00B35D37">
      <w:pPr>
        <w:pStyle w:val="TextoNormal"/>
      </w:pPr>
    </w:p>
    <w:p w14:paraId="7DEE4ECA" w14:textId="77777777" w:rsidR="00B35D37" w:rsidRDefault="00B35D37" w:rsidP="00B35D37">
      <w:pPr>
        <w:pStyle w:val="TextoNormal"/>
      </w:pPr>
      <w:r>
        <w:t>Por lo expuesto, la Sala</w:t>
      </w:r>
    </w:p>
    <w:p w14:paraId="50878611" w14:textId="7A2F26BE" w:rsidR="00B35D37" w:rsidRDefault="00B35D37" w:rsidP="00B35D37">
      <w:pPr>
        <w:pStyle w:val="TextoNormal"/>
      </w:pPr>
    </w:p>
    <w:p w14:paraId="60E9C3E1" w14:textId="77777777" w:rsidR="00B35D37" w:rsidRDefault="00B35D37" w:rsidP="00B35D37">
      <w:pPr>
        <w:pStyle w:val="TextoNormalCentrado"/>
      </w:pPr>
      <w:r>
        <w:t>ACUERDA</w:t>
      </w:r>
    </w:p>
    <w:p w14:paraId="4E802D35" w14:textId="26533375" w:rsidR="00B35D37" w:rsidRDefault="00B35D37" w:rsidP="00B35D37">
      <w:pPr>
        <w:pStyle w:val="TextoNormalCentrado"/>
      </w:pPr>
    </w:p>
    <w:p w14:paraId="0109AA0D" w14:textId="6ACD66B3" w:rsidR="00B35D37" w:rsidRDefault="00B35D37" w:rsidP="00B35D37">
      <w:pPr>
        <w:pStyle w:val="TextoNormal"/>
      </w:pPr>
      <w:r>
        <w:t>Denegar la admisión de la apertura del incidente de ejecución.</w:t>
      </w:r>
    </w:p>
    <w:p w14:paraId="7695C9A4" w14:textId="77777777" w:rsidR="00B35D37" w:rsidRDefault="00B35D37" w:rsidP="00B35D37">
      <w:pPr>
        <w:pStyle w:val="TextoNormal"/>
      </w:pPr>
    </w:p>
    <w:p w14:paraId="00BCE49E" w14:textId="77777777" w:rsidR="00B35D37" w:rsidRDefault="00B35D37" w:rsidP="00B35D37">
      <w:pPr>
        <w:pStyle w:val="TextoNormal"/>
      </w:pPr>
      <w:r>
        <w:t>Madrid, a veintiséis de mayo de dos mil veinticinco.</w:t>
      </w:r>
    </w:p>
    <w:p w14:paraId="03A6F746" w14:textId="3768F2E0" w:rsidR="00B35D37" w:rsidRDefault="00B35D37">
      <w:pPr>
        <w:spacing w:after="160" w:line="278" w:lineRule="auto"/>
        <w:rPr>
          <w:rFonts w:ascii="Times New Roman" w:eastAsia="Times New Roman" w:hAnsi="Times New Roman" w:cs="Times New Roman"/>
          <w:sz w:val="24"/>
          <w:szCs w:val="24"/>
          <w:lang w:eastAsia="es-ES"/>
        </w:rPr>
      </w:pPr>
      <w:r>
        <w:br w:type="page"/>
      </w:r>
    </w:p>
    <w:p w14:paraId="667839FD" w14:textId="77777777" w:rsidR="00B35D37" w:rsidRDefault="00B35D37" w:rsidP="00B35D37">
      <w:pPr>
        <w:pStyle w:val="TtuloResolucin"/>
      </w:pPr>
      <w:bookmarkStart w:id="191" w:name="AUTO_2025_52"/>
      <w:r>
        <w:t>AUTO 52/2025, de 26 de mayo de 2025</w:t>
      </w:r>
    </w:p>
    <w:bookmarkEnd w:id="191"/>
    <w:p w14:paraId="2709F14A" w14:textId="77777777" w:rsidR="00B35D37" w:rsidRDefault="00B35D37" w:rsidP="00B35D37">
      <w:pPr>
        <w:pStyle w:val="TtuloResolucin"/>
      </w:pPr>
      <w:r>
        <w:t>Sala Segunda</w:t>
      </w:r>
    </w:p>
    <w:p w14:paraId="7382BE96" w14:textId="77777777" w:rsidR="00B35D37" w:rsidRDefault="00B35D37" w:rsidP="00B35D37">
      <w:pPr>
        <w:pStyle w:val="TextoNormalCentrado"/>
      </w:pPr>
      <w:r>
        <w:t>ECLI:ES:TC:2025:52A</w:t>
      </w:r>
    </w:p>
    <w:p w14:paraId="483F6D0A" w14:textId="44470474" w:rsidR="00B35D37" w:rsidRDefault="00B35D37" w:rsidP="00B35D37">
      <w:pPr>
        <w:pStyle w:val="TextoNormalCentrado"/>
      </w:pPr>
    </w:p>
    <w:p w14:paraId="5EB4AD73"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02814E56" w14:textId="35A6E53A" w:rsidR="00B35D37" w:rsidRDefault="00B35D37" w:rsidP="00B35D37">
      <w:pPr>
        <w:pStyle w:val="SntesisDescriptiva"/>
      </w:pPr>
    </w:p>
    <w:p w14:paraId="1833F057" w14:textId="77777777" w:rsidR="00B35D37" w:rsidRDefault="00B35D37" w:rsidP="00B35D37">
      <w:pPr>
        <w:pStyle w:val="SntesisDescriptiva"/>
      </w:pPr>
      <w:r>
        <w:t>Inadmite la solicitud de ejecución de la STC 79/2025, de 24 de marzo, dictada en el recurso de amparo 6315-2024, promovido por doña Susana Sáiz Sánchez.</w:t>
      </w:r>
    </w:p>
    <w:p w14:paraId="685E46F4" w14:textId="03D4DD21" w:rsidR="00B35D37" w:rsidRDefault="00B35D37" w:rsidP="00B35D37">
      <w:pPr>
        <w:pStyle w:val="SntesisDescriptiva"/>
      </w:pPr>
    </w:p>
    <w:p w14:paraId="3051FA93" w14:textId="77777777" w:rsidR="00B35D37" w:rsidRDefault="00B35D37" w:rsidP="00B35D37">
      <w:pPr>
        <w:pStyle w:val="SntesisDescriptiva"/>
      </w:pPr>
    </w:p>
    <w:p w14:paraId="1FC0E714" w14:textId="77777777" w:rsidR="00B35D37" w:rsidRDefault="00B35D37" w:rsidP="00B35D37">
      <w:pPr>
        <w:pStyle w:val="SntesisDescriptiva"/>
      </w:pPr>
    </w:p>
    <w:p w14:paraId="7F40098E" w14:textId="77777777" w:rsidR="00B35D37" w:rsidRDefault="00B35D37" w:rsidP="00B35D37">
      <w:pPr>
        <w:pStyle w:val="TextoNormalNegritaCentrado"/>
      </w:pPr>
      <w:r>
        <w:t>AUTO</w:t>
      </w:r>
    </w:p>
    <w:p w14:paraId="29599649" w14:textId="6CE7449C" w:rsidR="00B35D37" w:rsidRDefault="00B35D37" w:rsidP="00B35D37">
      <w:pPr>
        <w:pStyle w:val="TextoNormalNegritaCentrado"/>
      </w:pPr>
    </w:p>
    <w:p w14:paraId="4C5B65F3" w14:textId="77777777" w:rsidR="00B35D37" w:rsidRDefault="00B35D37" w:rsidP="00B35D37">
      <w:pPr>
        <w:pStyle w:val="TextoNormalNegritaCentrado"/>
        <w:keepNext/>
      </w:pPr>
      <w:r>
        <w:t>I. Antecedentes</w:t>
      </w:r>
    </w:p>
    <w:p w14:paraId="5D72DAE5" w14:textId="1A446174" w:rsidR="00B35D37" w:rsidRDefault="00B35D37" w:rsidP="00B35D37">
      <w:pPr>
        <w:pStyle w:val="TextoNormalNegritaCentrado"/>
        <w:keepNext/>
      </w:pPr>
    </w:p>
    <w:p w14:paraId="55F960E4" w14:textId="0B326601" w:rsidR="00B35D37" w:rsidRDefault="00B35D37" w:rsidP="00B35D37">
      <w:pPr>
        <w:pStyle w:val="TextoNormal"/>
      </w:pPr>
      <w:r w:rsidRPr="00B35D37">
        <w:rPr>
          <w:rStyle w:val="NumeroAFNegritaCaracter"/>
        </w:rPr>
        <w:t>1</w:t>
      </w:r>
      <w:r>
        <w:t>. Mediante escrito registrado en el Tribunal el 2 de septiembre de 2024, la procuradora de los tribunales doña Alicia Suau Casado, en nombre y representación de doña Susana Sáiz Sánchez, bajo la dirección letrada de doña Aída Casanova Pérez, interpuso recurso de amparo contra las resoluciones presuntas del Instituto Nacional de la Seguridad Social (INSS) y la Tesorería General de la Seguridad Social (TGSS) que le denegaron la solicitud de ampliación de la prestación por nacimiento y cuidado de su hijo menor como madre biológica de familia monoparental; la sentencia núm. 343/2022, de 13 de octubre, del Juzgado de lo Social núm. 1 de Valencia (autos núm. 200-2022), que desestimó la demanda interpuesta contra el INSS y TGSS en reclamación de tal ampliación; la sentencia núm. 2929/2023, de la Sala de lo Social del Tribunal Superior de Justicia de la Comunidad Valenciana, de 16 de junio, que desestimó el recurso de suplicación núm. 3813-2023, y el auto de 10 de junio de 2024 por el que la Sala de lo Social del Tribunal Supremo inadmitió el recurso de casación para unificación de doctrina que interpuso frente a la anterior resolución (recurso de unificación de doctrina núm. 123-2024), que fue tramitado con el núm. 6315-2024 por esta Sala.</w:t>
      </w:r>
    </w:p>
    <w:p w14:paraId="6F7285D9" w14:textId="77777777" w:rsidR="00B35D37" w:rsidRDefault="00B35D37" w:rsidP="00B35D37">
      <w:pPr>
        <w:pStyle w:val="TextoNormal"/>
      </w:pPr>
    </w:p>
    <w:p w14:paraId="7FA8601B" w14:textId="20C2D243" w:rsidR="00B35D37" w:rsidRDefault="00B35D37" w:rsidP="00B35D37">
      <w:pPr>
        <w:pStyle w:val="TextoNormal"/>
      </w:pPr>
      <w:r w:rsidRPr="00B35D37">
        <w:rPr>
          <w:rStyle w:val="NumeroAFNegritaCaracter"/>
        </w:rPr>
        <w:t>2</w:t>
      </w:r>
      <w:r>
        <w:t>. El recurso de amparo fue resuelto por la STC 79/2025, de 24 de marzo, en la que, tras declarar vulnerado el derecho fundamental a la igualdad ante la ley sin que proceda discriminación por razón de nacimiento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3 de la sentencia, se dictara una resolución expresa respetuosa con el derecho fundamental vulnerado. A esos efectos, en el último párrafo del fundamento jurídico 3 se establecía que, en tanto el legislador no llevara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10B11541" w14:textId="77777777" w:rsidR="00B35D37" w:rsidRDefault="00B35D37" w:rsidP="00B35D37">
      <w:pPr>
        <w:pStyle w:val="TextoNormal"/>
      </w:pPr>
    </w:p>
    <w:p w14:paraId="69553C72" w14:textId="77777777" w:rsidR="00B35D37" w:rsidRDefault="00B35D37" w:rsidP="00B35D37">
      <w:pPr>
        <w:pStyle w:val="TextoNormal"/>
      </w:pPr>
      <w:r w:rsidRPr="00B35D37">
        <w:rPr>
          <w:rStyle w:val="NumeroAFNegritaCaracter"/>
        </w:rPr>
        <w:t>3</w:t>
      </w:r>
      <w:r>
        <w:t>. La administración de la Seguridad Social, por escrito registrado el 24 de abril de 2025, formuló incidente de ejecución al amparo del art. 92.3 de la Ley Orgánica del Tribunal Constitucional (LOTC) instando al Tribunal a determinar las medidas necesarias para que el INSS pueda dictar una resolución administrativa respetuosa con el derecho vulnerado, de entre las propuestas en su escrito u otras que se consideren convenientes.</w:t>
      </w:r>
    </w:p>
    <w:p w14:paraId="50852649" w14:textId="77777777" w:rsidR="00B35D37" w:rsidRDefault="00B35D37" w:rsidP="00B35D37">
      <w:pPr>
        <w:pStyle w:val="TextoNormal"/>
      </w:pPr>
    </w:p>
    <w:p w14:paraId="492BD22A" w14:textId="5C842479"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1DB50EC4" w14:textId="77777777" w:rsidR="00B35D37" w:rsidRDefault="00B35D37" w:rsidP="00B35D37">
      <w:pPr>
        <w:pStyle w:val="TextoNormal"/>
      </w:pPr>
    </w:p>
    <w:p w14:paraId="4D889910" w14:textId="77777777" w:rsidR="00B35D37" w:rsidRDefault="00B35D37" w:rsidP="00B35D37">
      <w:pPr>
        <w:pStyle w:val="TextoNormalNegritaCentrado"/>
        <w:keepNext/>
      </w:pPr>
      <w:r>
        <w:t>II. Fundamentos jurídicos</w:t>
      </w:r>
    </w:p>
    <w:p w14:paraId="2A7C5728" w14:textId="7F28711E" w:rsidR="00B35D37" w:rsidRDefault="00B35D37" w:rsidP="00B35D37">
      <w:pPr>
        <w:pStyle w:val="TextoNormalNegritaCentrado"/>
        <w:keepNext/>
      </w:pPr>
    </w:p>
    <w:p w14:paraId="3B215B9E"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55AA94FF" w14:textId="77777777" w:rsidR="00B35D37" w:rsidRDefault="00B35D37" w:rsidP="00B35D37">
      <w:pPr>
        <w:pStyle w:val="TextoNormal"/>
      </w:pPr>
    </w:p>
    <w:p w14:paraId="300D82D0"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3461A49C" w14:textId="77777777" w:rsidR="00B35D37" w:rsidRDefault="00B35D37" w:rsidP="00B35D37">
      <w:pPr>
        <w:pStyle w:val="TextoNormal"/>
      </w:pPr>
    </w:p>
    <w:p w14:paraId="29ECE8B0" w14:textId="77777777" w:rsidR="00B35D37" w:rsidRDefault="00B35D37" w:rsidP="00B35D37">
      <w:pPr>
        <w:pStyle w:val="TextoNormal"/>
      </w:pPr>
      <w:r>
        <w:t>En el presente caso, al igual que sucedía con el examinado en el ATC 34/2025, de 13 de mayo,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336CF503" w14:textId="77777777" w:rsidR="00B35D37" w:rsidRDefault="00B35D37" w:rsidP="00B35D37">
      <w:pPr>
        <w:pStyle w:val="TextoNormal"/>
      </w:pPr>
    </w:p>
    <w:p w14:paraId="015189C4"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2A929C65" w14:textId="77777777" w:rsidR="00B35D37" w:rsidRDefault="00B35D37" w:rsidP="00B35D37">
      <w:pPr>
        <w:pStyle w:val="TextoNormal"/>
      </w:pPr>
    </w:p>
    <w:p w14:paraId="581EB0C2" w14:textId="41389AF8"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4F3E147E" w14:textId="77777777" w:rsidR="00B35D37" w:rsidRDefault="00B35D37" w:rsidP="00B35D37">
      <w:pPr>
        <w:pStyle w:val="TextoNormal"/>
      </w:pPr>
    </w:p>
    <w:p w14:paraId="4CFC786A" w14:textId="77777777" w:rsidR="00B35D37" w:rsidRDefault="00B35D37" w:rsidP="00B35D37">
      <w:pPr>
        <w:pStyle w:val="TextoNormal"/>
      </w:pPr>
      <w:r>
        <w:t>Por lo expuesto, la Sala</w:t>
      </w:r>
    </w:p>
    <w:p w14:paraId="26F718CA" w14:textId="707ED69F" w:rsidR="00B35D37" w:rsidRDefault="00B35D37" w:rsidP="00B35D37">
      <w:pPr>
        <w:pStyle w:val="TextoNormal"/>
      </w:pPr>
    </w:p>
    <w:p w14:paraId="2E918A83" w14:textId="77777777" w:rsidR="00B35D37" w:rsidRDefault="00B35D37" w:rsidP="00B35D37">
      <w:pPr>
        <w:pStyle w:val="TextoNormalCentrado"/>
      </w:pPr>
      <w:r>
        <w:t>ACUERDA</w:t>
      </w:r>
    </w:p>
    <w:p w14:paraId="2DFB99EE" w14:textId="284D0A51" w:rsidR="00B35D37" w:rsidRDefault="00B35D37" w:rsidP="00B35D37">
      <w:pPr>
        <w:pStyle w:val="TextoNormalCentrado"/>
      </w:pPr>
    </w:p>
    <w:p w14:paraId="7AC2A800" w14:textId="18B3F1E0" w:rsidR="00B35D37" w:rsidRDefault="00B35D37" w:rsidP="00B35D37">
      <w:pPr>
        <w:pStyle w:val="TextoNormal"/>
      </w:pPr>
      <w:r>
        <w:t>Denegar la admisión de la apertura del incidente de ejecución.</w:t>
      </w:r>
    </w:p>
    <w:p w14:paraId="6A14FE27" w14:textId="77777777" w:rsidR="00B35D37" w:rsidRDefault="00B35D37" w:rsidP="00B35D37">
      <w:pPr>
        <w:pStyle w:val="TextoNormal"/>
      </w:pPr>
    </w:p>
    <w:p w14:paraId="1154AA35" w14:textId="77777777" w:rsidR="00B35D37" w:rsidRDefault="00B35D37" w:rsidP="00B35D37">
      <w:pPr>
        <w:pStyle w:val="TextoNormal"/>
      </w:pPr>
      <w:r>
        <w:t>Madrid, a veintiséis de mayo de dos mil veinticinco.</w:t>
      </w:r>
    </w:p>
    <w:p w14:paraId="732FFA4B" w14:textId="12A21658" w:rsidR="00B35D37" w:rsidRDefault="00B35D37">
      <w:pPr>
        <w:spacing w:after="160" w:line="278" w:lineRule="auto"/>
        <w:rPr>
          <w:rFonts w:ascii="Times New Roman" w:eastAsia="Times New Roman" w:hAnsi="Times New Roman" w:cs="Times New Roman"/>
          <w:sz w:val="24"/>
          <w:szCs w:val="24"/>
          <w:lang w:eastAsia="es-ES"/>
        </w:rPr>
      </w:pPr>
      <w:r>
        <w:br w:type="page"/>
      </w:r>
    </w:p>
    <w:p w14:paraId="0CE59D8B" w14:textId="77777777" w:rsidR="00B35D37" w:rsidRDefault="00B35D37" w:rsidP="00B35D37">
      <w:pPr>
        <w:pStyle w:val="TtuloResolucin"/>
      </w:pPr>
      <w:bookmarkStart w:id="192" w:name="AUTO_2025_53"/>
      <w:r>
        <w:t>AUTO 53/2025, de 26 de mayo de 2025</w:t>
      </w:r>
    </w:p>
    <w:bookmarkEnd w:id="192"/>
    <w:p w14:paraId="0A7882A9" w14:textId="77777777" w:rsidR="00B35D37" w:rsidRDefault="00B35D37" w:rsidP="00B35D37">
      <w:pPr>
        <w:pStyle w:val="TtuloResolucin"/>
      </w:pPr>
      <w:r>
        <w:t>Sala Segunda</w:t>
      </w:r>
    </w:p>
    <w:p w14:paraId="5E98C5C3" w14:textId="77777777" w:rsidR="00B35D37" w:rsidRDefault="00B35D37" w:rsidP="00B35D37">
      <w:pPr>
        <w:pStyle w:val="TextoNormalCentrado"/>
      </w:pPr>
      <w:r>
        <w:t>ECLI:ES:TC:2025:53A</w:t>
      </w:r>
    </w:p>
    <w:p w14:paraId="4D2109AC" w14:textId="077CECE5" w:rsidR="00B35D37" w:rsidRDefault="00B35D37" w:rsidP="00B35D37">
      <w:pPr>
        <w:pStyle w:val="TextoNormalCentrado"/>
      </w:pPr>
    </w:p>
    <w:p w14:paraId="13A2D373" w14:textId="77777777" w:rsidR="00B35D37" w:rsidRDefault="00B35D37" w:rsidP="00B35D37">
      <w:pPr>
        <w:pStyle w:val="SntesisDescriptiva"/>
      </w:pPr>
      <w:r>
        <w:t>Excms. Srs. doña Inmaculada Montalbán Huertas, doña María Luisa Balaguer Callejón, don Ramón Sáez Valcárcel, don Enrique Arnaldo Alcubilla, don César Tolosa Tribiño y doña Laura Díez Bueso.</w:t>
      </w:r>
    </w:p>
    <w:p w14:paraId="06279C66" w14:textId="38A7ACF4" w:rsidR="00B35D37" w:rsidRDefault="00B35D37" w:rsidP="00B35D37">
      <w:pPr>
        <w:pStyle w:val="SntesisDescriptiva"/>
      </w:pPr>
    </w:p>
    <w:p w14:paraId="71DF86AD" w14:textId="77777777" w:rsidR="00B35D37" w:rsidRDefault="00B35D37" w:rsidP="00B35D37">
      <w:pPr>
        <w:pStyle w:val="SntesisDescriptiva"/>
      </w:pPr>
      <w:r>
        <w:t>Inadmite la solicitud de ejecución de la STC 61/2025, de 10 de marzo, dictada en el recurso de amparo 7706-2024, promovido por doña Nagore Gamboa Uriarte.</w:t>
      </w:r>
    </w:p>
    <w:p w14:paraId="3458468B" w14:textId="39970675" w:rsidR="00B35D37" w:rsidRDefault="00B35D37" w:rsidP="00B35D37">
      <w:pPr>
        <w:pStyle w:val="SntesisDescriptiva"/>
      </w:pPr>
    </w:p>
    <w:p w14:paraId="241A7E26" w14:textId="77777777" w:rsidR="00B35D37" w:rsidRDefault="00B35D37" w:rsidP="00B35D37">
      <w:pPr>
        <w:pStyle w:val="SntesisDescriptiva"/>
      </w:pPr>
    </w:p>
    <w:p w14:paraId="192671D6" w14:textId="77777777" w:rsidR="00B35D37" w:rsidRDefault="00B35D37" w:rsidP="00B35D37">
      <w:pPr>
        <w:pStyle w:val="SntesisDescriptiva"/>
      </w:pPr>
    </w:p>
    <w:p w14:paraId="3E626324" w14:textId="77777777" w:rsidR="00B35D37" w:rsidRDefault="00B35D37" w:rsidP="00B35D37">
      <w:pPr>
        <w:pStyle w:val="TextoNormalNegritaCentrado"/>
      </w:pPr>
      <w:r>
        <w:t>AUTO</w:t>
      </w:r>
    </w:p>
    <w:p w14:paraId="384E9FE0" w14:textId="3B581D22" w:rsidR="00B35D37" w:rsidRDefault="00B35D37" w:rsidP="00B35D37">
      <w:pPr>
        <w:pStyle w:val="TextoNormalNegritaCentrado"/>
      </w:pPr>
    </w:p>
    <w:p w14:paraId="7EF8EE85" w14:textId="77777777" w:rsidR="00B35D37" w:rsidRDefault="00B35D37" w:rsidP="00B35D37">
      <w:pPr>
        <w:pStyle w:val="TextoNormalNegritaCentrado"/>
        <w:keepNext/>
      </w:pPr>
      <w:r>
        <w:t>I. Antecedentes</w:t>
      </w:r>
    </w:p>
    <w:p w14:paraId="753D8B40" w14:textId="55141866" w:rsidR="00B35D37" w:rsidRDefault="00B35D37" w:rsidP="00B35D37">
      <w:pPr>
        <w:pStyle w:val="TextoNormalNegritaCentrado"/>
        <w:keepNext/>
      </w:pPr>
    </w:p>
    <w:p w14:paraId="794D9154" w14:textId="04EDD5A1" w:rsidR="00B35D37" w:rsidRDefault="00B35D37" w:rsidP="00B35D37">
      <w:pPr>
        <w:pStyle w:val="TextoNormal"/>
      </w:pPr>
      <w:r w:rsidRPr="00B35D37">
        <w:rPr>
          <w:rStyle w:val="NumeroAFNegritaCaracter"/>
        </w:rPr>
        <w:t>1</w:t>
      </w:r>
      <w:r>
        <w:t>. El día 14 de octubre de 2024, doña Nagore Gamboa Uriarte, representada por la procuradora de los tribunales doña María Isabel Torres Ruiz y bajo la dirección de la letrada doña Nerea Lekue Tolosa Ruiz, interpuso recurso de amparo contra el auto dictado el 25 de septiembre de 2024 por la Sala de lo Social del Tribunal Supremo, que inadmite el recurso de casación para unificación de doctrina núm. 417-2024 interpuesto contra la sentencia de 21 de noviembre de 2023 de la Sala de lo Social del Tribunal Superior de Justicia del País Vasco —recurso de suplicación núm. 824-2023—, que confirmó la sentencia 76/2023, de 23 de febrero, dictada por el Juzgado de lo Social núm.1 de Bilbao, en autos de Seguridad Social en materia prestacional núm. 923-2021, que a su vez había desestimado la demanda interpuesta contra las resoluciones de 22 de junio y de 23 de julio de 2021 del Instituto Nacional de la Seguridad Social (INSS).</w:t>
      </w:r>
    </w:p>
    <w:p w14:paraId="4E8E68A6" w14:textId="77777777" w:rsidR="00B35D37" w:rsidRDefault="00B35D37" w:rsidP="00B35D37">
      <w:pPr>
        <w:pStyle w:val="TextoNormal"/>
      </w:pPr>
    </w:p>
    <w:p w14:paraId="7B9FB420" w14:textId="6CD831F7" w:rsidR="00B35D37" w:rsidRDefault="00B35D37" w:rsidP="00B35D37">
      <w:pPr>
        <w:pStyle w:val="TextoNormal"/>
      </w:pPr>
      <w:r w:rsidRPr="00B35D37">
        <w:rPr>
          <w:rStyle w:val="NumeroAFNegritaCaracter"/>
        </w:rPr>
        <w:t>2</w:t>
      </w:r>
      <w:r>
        <w:t>. El recurso de amparo fue resuelto por la STC 61/2025, de 10 de marzo,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lleve a cabo la consiguiente reforma normativa, en las familias monoparentales el permiso al que hace referencia el art. 48.4 del texto refundido de la Ley del estatuto de los trabajadores, aprobado por el Real Decreto Legislativo 2/2015, de 23 octubre (LET), y en relación con él,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07B6A9A6" w14:textId="77777777" w:rsidR="00B35D37" w:rsidRDefault="00B35D37" w:rsidP="00B35D37">
      <w:pPr>
        <w:pStyle w:val="TextoNormal"/>
      </w:pPr>
    </w:p>
    <w:p w14:paraId="0B6B43F1" w14:textId="77777777" w:rsidR="00B35D37" w:rsidRDefault="00B35D37" w:rsidP="00B35D37">
      <w:pPr>
        <w:pStyle w:val="TextoNormal"/>
      </w:pPr>
      <w:r w:rsidRPr="00B35D37">
        <w:rPr>
          <w:rStyle w:val="NumeroAFNegritaCaracter"/>
        </w:rPr>
        <w:t>3</w:t>
      </w:r>
      <w:r>
        <w:t>. La letrada de la administración de la Seguridad Social, por escrito registrado el día 19 de marzo de 2025, formuló incidente de ejecución al amparo del art. 92.3 de la Ley Orgánica del Tribunal Constitucional (LOTC) instando al Tribunal a que determine las medidas necesarias para que el INSS pueda dictar una resolución administrativa respetuosa con el derecho vulnerado de entre las propuestas en su escrito u otras que se consideren convenientes.</w:t>
      </w:r>
    </w:p>
    <w:p w14:paraId="5F9B24EC" w14:textId="77777777" w:rsidR="00B35D37" w:rsidRDefault="00B35D37" w:rsidP="00B35D37">
      <w:pPr>
        <w:pStyle w:val="TextoNormal"/>
      </w:pPr>
    </w:p>
    <w:p w14:paraId="0D11F3FA" w14:textId="308C6036" w:rsidR="00B35D37" w:rsidRDefault="00B35D37" w:rsidP="00B35D37">
      <w:pPr>
        <w:pStyle w:val="TextoNormal"/>
      </w:pPr>
      <w:r>
        <w:t>La letrada de 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6ECB1BD9" w14:textId="77777777" w:rsidR="00B35D37" w:rsidRDefault="00B35D37" w:rsidP="00B35D37">
      <w:pPr>
        <w:pStyle w:val="TextoNormal"/>
      </w:pPr>
    </w:p>
    <w:p w14:paraId="35ECA42A" w14:textId="77777777" w:rsidR="00B35D37" w:rsidRDefault="00B35D37" w:rsidP="00B35D37">
      <w:pPr>
        <w:pStyle w:val="TextoNormalNegritaCentrado"/>
        <w:keepNext/>
      </w:pPr>
      <w:r>
        <w:t>II. Fundamentos jurídicos</w:t>
      </w:r>
    </w:p>
    <w:p w14:paraId="50B15B1E" w14:textId="3F0174DA" w:rsidR="00B35D37" w:rsidRDefault="00B35D37" w:rsidP="00B35D37">
      <w:pPr>
        <w:pStyle w:val="TextoNormalNegritaCentrado"/>
        <w:keepNext/>
      </w:pPr>
    </w:p>
    <w:p w14:paraId="2D563F10" w14:textId="320B524D" w:rsidR="00B35D37" w:rsidRDefault="00B35D37" w:rsidP="00B35D37">
      <w:pPr>
        <w:pStyle w:val="TextoNormal"/>
      </w:pPr>
      <w:r w:rsidRPr="00B35D37">
        <w:rPr>
          <w:rStyle w:val="TextoNormalNegritaCaracter"/>
        </w:rPr>
        <w:t xml:space="preserve">Único. </w:t>
      </w:r>
      <w:r>
        <w:t>Recientemente, por ATC 34/2025, de 13 de mayo, del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14:paraId="65BCFB04" w14:textId="77777777" w:rsidR="00B35D37" w:rsidRDefault="00B35D37" w:rsidP="00B35D37">
      <w:pPr>
        <w:pStyle w:val="TextoNormal"/>
      </w:pPr>
    </w:p>
    <w:p w14:paraId="3FDCC33B" w14:textId="77777777" w:rsidR="00B35D37" w:rsidRDefault="00B35D37" w:rsidP="00B35D37">
      <w:pPr>
        <w:pStyle w:val="TextoNormal"/>
      </w:pPr>
      <w:r>
        <w:t>Por lo expuesto, la Sala</w:t>
      </w:r>
    </w:p>
    <w:p w14:paraId="1F48E909" w14:textId="4B20AEBF" w:rsidR="00B35D37" w:rsidRDefault="00B35D37" w:rsidP="00B35D37">
      <w:pPr>
        <w:pStyle w:val="TextoNormal"/>
      </w:pPr>
    </w:p>
    <w:p w14:paraId="5685AE39" w14:textId="77777777" w:rsidR="00B35D37" w:rsidRDefault="00B35D37" w:rsidP="00B35D37">
      <w:pPr>
        <w:pStyle w:val="TextoNormalCentrado"/>
      </w:pPr>
      <w:r>
        <w:t>ACUERDA</w:t>
      </w:r>
    </w:p>
    <w:p w14:paraId="6C005292" w14:textId="636C8DB8" w:rsidR="00B35D37" w:rsidRDefault="00B35D37" w:rsidP="00B35D37">
      <w:pPr>
        <w:pStyle w:val="TextoNormalCentrado"/>
      </w:pPr>
    </w:p>
    <w:p w14:paraId="7219E3A2" w14:textId="663EA759" w:rsidR="00B35D37" w:rsidRDefault="00B35D37" w:rsidP="00B35D37">
      <w:pPr>
        <w:pStyle w:val="TextoNormal"/>
      </w:pPr>
      <w:r>
        <w:t>Denegar la admisión de la apertura del incidente de ejecución.</w:t>
      </w:r>
    </w:p>
    <w:p w14:paraId="7C82C6FE" w14:textId="77777777" w:rsidR="00B35D37" w:rsidRDefault="00B35D37" w:rsidP="00B35D37">
      <w:pPr>
        <w:pStyle w:val="TextoNormal"/>
      </w:pPr>
    </w:p>
    <w:p w14:paraId="485BF2B4" w14:textId="77777777" w:rsidR="00B35D37" w:rsidRDefault="00B35D37" w:rsidP="00B35D37">
      <w:pPr>
        <w:pStyle w:val="TextoNormal"/>
      </w:pPr>
      <w:r>
        <w:t>Madrid, a veintiséis de mayo de dos mil veinticinco.</w:t>
      </w:r>
    </w:p>
    <w:p w14:paraId="2166F5DC" w14:textId="05F2B05F" w:rsidR="00B35D37" w:rsidRDefault="00B35D37">
      <w:pPr>
        <w:spacing w:after="160" w:line="278" w:lineRule="auto"/>
        <w:rPr>
          <w:rFonts w:ascii="Times New Roman" w:eastAsia="Times New Roman" w:hAnsi="Times New Roman" w:cs="Times New Roman"/>
          <w:sz w:val="24"/>
          <w:szCs w:val="24"/>
          <w:lang w:eastAsia="es-ES"/>
        </w:rPr>
      </w:pPr>
      <w:r>
        <w:br w:type="page"/>
      </w:r>
    </w:p>
    <w:p w14:paraId="1978E457" w14:textId="77777777" w:rsidR="00B35D37" w:rsidRDefault="00B35D37" w:rsidP="00B35D37">
      <w:pPr>
        <w:pStyle w:val="TtuloResolucin"/>
      </w:pPr>
      <w:bookmarkStart w:id="193" w:name="AUTO_2025_54"/>
      <w:r>
        <w:t>AUTO 54/2025, de 27 de mayo de 2025</w:t>
      </w:r>
    </w:p>
    <w:bookmarkEnd w:id="193"/>
    <w:p w14:paraId="4D4A98B2" w14:textId="77777777" w:rsidR="00B35D37" w:rsidRDefault="00B35D37" w:rsidP="00B35D37">
      <w:pPr>
        <w:pStyle w:val="TtuloResolucin"/>
      </w:pPr>
      <w:r>
        <w:t>Pleno</w:t>
      </w:r>
    </w:p>
    <w:p w14:paraId="705E05E8" w14:textId="77777777" w:rsidR="00B35D37" w:rsidRDefault="00B35D37" w:rsidP="00B35D37">
      <w:pPr>
        <w:pStyle w:val="TextoNormalCentrado"/>
      </w:pPr>
      <w:r>
        <w:t>ECLI:ES:TC:2025:54A</w:t>
      </w:r>
    </w:p>
    <w:p w14:paraId="035C67AE" w14:textId="0B024000" w:rsidR="00B35D37" w:rsidRDefault="00B35D37" w:rsidP="00B35D37">
      <w:pPr>
        <w:pStyle w:val="TextoNormalCentrado"/>
      </w:pPr>
    </w:p>
    <w:p w14:paraId="6CB701F1"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24CD2039" w14:textId="53B548CF" w:rsidR="00B35D37" w:rsidRDefault="00B35D37" w:rsidP="00B35D37">
      <w:pPr>
        <w:pStyle w:val="SntesisDescriptiva"/>
      </w:pPr>
    </w:p>
    <w:p w14:paraId="57E85063" w14:textId="77777777" w:rsidR="00B35D37" w:rsidRDefault="00B35D37" w:rsidP="00B35D37">
      <w:pPr>
        <w:pStyle w:val="SntesisDescriptiva"/>
      </w:pPr>
      <w:r>
        <w:t>Acuerda no haber lugar al incidente de ejecución de la STC 55/2022, de 5 de abril, dictada en el recurso de amparo 946-2019, promovido por Caixabank, S.A., en proceso contencioso-administrativo.</w:t>
      </w:r>
    </w:p>
    <w:p w14:paraId="75A9B2B3" w14:textId="0A396BC6" w:rsidR="00B35D37" w:rsidRDefault="00B35D37" w:rsidP="00B35D37">
      <w:pPr>
        <w:pStyle w:val="SntesisDescriptiva"/>
      </w:pPr>
    </w:p>
    <w:p w14:paraId="4ADB9A4A" w14:textId="77777777" w:rsidR="00B35D37" w:rsidRDefault="00B35D37" w:rsidP="00B35D37">
      <w:pPr>
        <w:pStyle w:val="SntesisDescriptiva"/>
      </w:pPr>
    </w:p>
    <w:p w14:paraId="4DD5022A" w14:textId="77777777" w:rsidR="00B35D37" w:rsidRDefault="00B35D37" w:rsidP="00B35D37">
      <w:pPr>
        <w:pStyle w:val="SntesisDescriptiva"/>
      </w:pPr>
    </w:p>
    <w:p w14:paraId="07515D2C" w14:textId="77777777" w:rsidR="00B35D37" w:rsidRDefault="00B35D37" w:rsidP="00B35D37">
      <w:pPr>
        <w:pStyle w:val="TextoNormalNegritaCentrado"/>
      </w:pPr>
      <w:r>
        <w:t>AUTO</w:t>
      </w:r>
    </w:p>
    <w:p w14:paraId="4D04132E" w14:textId="3060A973" w:rsidR="00B35D37" w:rsidRDefault="00B35D37" w:rsidP="00B35D37">
      <w:pPr>
        <w:pStyle w:val="TextoNormalNegritaCentrado"/>
      </w:pPr>
    </w:p>
    <w:p w14:paraId="3FA364F9" w14:textId="77777777" w:rsidR="00B35D37" w:rsidRDefault="00B35D37" w:rsidP="00B35D37">
      <w:pPr>
        <w:pStyle w:val="TextoNormalNegritaCentrado"/>
        <w:keepNext/>
      </w:pPr>
      <w:r>
        <w:t>I. Antecedentes</w:t>
      </w:r>
    </w:p>
    <w:p w14:paraId="28045BAD" w14:textId="4A3DCB0C" w:rsidR="00B35D37" w:rsidRDefault="00B35D37" w:rsidP="00B35D37">
      <w:pPr>
        <w:pStyle w:val="TextoNormalNegritaCentrado"/>
        <w:keepNext/>
      </w:pPr>
    </w:p>
    <w:p w14:paraId="4674ABF8" w14:textId="4BB1B357" w:rsidR="00B35D37" w:rsidRDefault="00B35D37" w:rsidP="00B35D37">
      <w:pPr>
        <w:pStyle w:val="TextoNormal"/>
      </w:pPr>
      <w:r w:rsidRPr="00B35D37">
        <w:rPr>
          <w:rStyle w:val="NumeroAFNegritaCaracter"/>
        </w:rPr>
        <w:t>1</w:t>
      </w:r>
      <w:r>
        <w:t>. Mediante escrito registrado en este tribunal el día 20 de enero de 2025, la entidad Caixabank, S.A., representada por el procurador de los tribunales don Miguel Ángel Montero Reiter y con la asistencia letrada de don Miró Ayats Vergés, promovió incidente de ejecución de la STC 55/2022, de 5 de abril, dictada por el Pleno del Tribunal Constitucional en el recurso de amparo núm. 946-2019, en relación con el acuerdo de 20 de diciembre de 2024 de la dependencia de grandes contribuyentes de la Agencia Tributaria Canaria.</w:t>
      </w:r>
    </w:p>
    <w:p w14:paraId="7748B011" w14:textId="77777777" w:rsidR="00B35D37" w:rsidRDefault="00B35D37" w:rsidP="00B35D37">
      <w:pPr>
        <w:pStyle w:val="TextoNormal"/>
      </w:pPr>
    </w:p>
    <w:p w14:paraId="6E56057C" w14:textId="77777777" w:rsidR="00B35D37" w:rsidRDefault="00B35D37" w:rsidP="00B35D37">
      <w:pPr>
        <w:pStyle w:val="TextoNormal"/>
      </w:pPr>
      <w:r w:rsidRPr="00B35D37">
        <w:rPr>
          <w:rStyle w:val="NumeroAFNegritaCaracter"/>
        </w:rPr>
        <w:t>2</w:t>
      </w:r>
      <w:r>
        <w:t>. Los hechos de los que trae causa el incidente de ejecución son, en síntesis, los siguientes:</w:t>
      </w:r>
    </w:p>
    <w:p w14:paraId="015BF448" w14:textId="77777777" w:rsidR="00B35D37" w:rsidRDefault="00B35D37" w:rsidP="00B35D37">
      <w:pPr>
        <w:pStyle w:val="TextoNormal"/>
      </w:pPr>
    </w:p>
    <w:p w14:paraId="695B81D0" w14:textId="77777777" w:rsidR="00B35D37" w:rsidRDefault="00B35D37" w:rsidP="00B35D37">
      <w:pPr>
        <w:pStyle w:val="TextoNormal"/>
      </w:pPr>
      <w:r>
        <w:t>a) El Pleno de este tribunal dictó la STC 55/2022, de 5 de abril, estimando el recurso de amparo núm. 946-2019, interpuesto contra las siguientes resoluciones: (i) autos de la Sección Primera de la Sala de lo Contencioso-Administrativo del Tribunal Supremo de 12 de septiembre de 2018 y de 8 de enero de 2019 (recurso de casación núm. 1883-2018); (ii) sentencia de la Sección Primera de la Sala de lo Contencioso-Administrativo del Tribunal Superior de Justicia de Canarias (sede de Las Palmas) de 21 de noviembre de 2017 (recurso núm. 228-2016); (iii) resolución de la Junta Económico-Administrativa de Canarias de 28 de abril de 2016; y (iv) desestimación por la Comunidad Autónoma de Canarias de la solicitud de rectificación de la autoliquidación del impuesto sobre los depósitos de clientes de entidades de crédito.</w:t>
      </w:r>
    </w:p>
    <w:p w14:paraId="0D822654" w14:textId="77777777" w:rsidR="00B35D37" w:rsidRDefault="00B35D37" w:rsidP="00B35D37">
      <w:pPr>
        <w:pStyle w:val="TextoNormal"/>
      </w:pPr>
    </w:p>
    <w:p w14:paraId="4067B215" w14:textId="77777777" w:rsidR="00B35D37" w:rsidRDefault="00B35D37" w:rsidP="00B35D37">
      <w:pPr>
        <w:pStyle w:val="TextoNormal"/>
      </w:pPr>
      <w:r>
        <w:t>El fallo estimatorio de la sentencia tenía el siguiente tenor:</w:t>
      </w:r>
    </w:p>
    <w:p w14:paraId="3D697498" w14:textId="77777777" w:rsidR="00B35D37" w:rsidRDefault="00B35D37" w:rsidP="00B35D37">
      <w:pPr>
        <w:pStyle w:val="TextoNormal"/>
      </w:pPr>
    </w:p>
    <w:p w14:paraId="5E95CD06" w14:textId="77777777" w:rsidR="00B35D37" w:rsidRDefault="00B35D37" w:rsidP="00B35D37">
      <w:pPr>
        <w:pStyle w:val="TextoNormal"/>
      </w:pPr>
      <w:r>
        <w:t>“1º Declarar que ha sido vulnerado el derecho fundamental de la recurrente a la igualdad (art. 14 CE).</w:t>
      </w:r>
    </w:p>
    <w:p w14:paraId="4A46922F" w14:textId="77777777" w:rsidR="00B35D37" w:rsidRDefault="00B35D37" w:rsidP="00B35D37">
      <w:pPr>
        <w:pStyle w:val="TextoNormal"/>
      </w:pPr>
    </w:p>
    <w:p w14:paraId="33CEF3B7" w14:textId="77777777" w:rsidR="00B35D37" w:rsidRDefault="00B35D37" w:rsidP="00B35D37">
      <w:pPr>
        <w:pStyle w:val="TextoNormal"/>
      </w:pPr>
      <w:r>
        <w:t>2º Restablecerla en el citado derecho, declarando nula la desestimación por la Comunidad Autónoma de Canarias de la solicitud de rectificación de la autoliquidación del impuesto sobre los depósitos de clientes de entidades de crédito correspondiente a 2012.</w:t>
      </w:r>
    </w:p>
    <w:p w14:paraId="330E81FC" w14:textId="77777777" w:rsidR="00B35D37" w:rsidRDefault="00B35D37" w:rsidP="00B35D37">
      <w:pPr>
        <w:pStyle w:val="TextoNormal"/>
      </w:pPr>
    </w:p>
    <w:p w14:paraId="0947C6D5" w14:textId="77777777" w:rsidR="00B35D37" w:rsidRDefault="00B35D37" w:rsidP="00B35D37">
      <w:pPr>
        <w:pStyle w:val="TextoNormal"/>
      </w:pPr>
      <w:r>
        <w:t>3º Retrotraer las actuaciones al momento inmediatamente anterior a la resolución administrativa impugnada, a fin de que se emita una nueva respetuosa con el derecho vulnerado”.</w:t>
      </w:r>
    </w:p>
    <w:p w14:paraId="1A0F02DB" w14:textId="77777777" w:rsidR="00B35D37" w:rsidRDefault="00B35D37" w:rsidP="00B35D37">
      <w:pPr>
        <w:pStyle w:val="TextoNormal"/>
      </w:pPr>
    </w:p>
    <w:p w14:paraId="12BFB550" w14:textId="77777777" w:rsidR="00B35D37" w:rsidRDefault="00B35D37" w:rsidP="00B35D37">
      <w:pPr>
        <w:pStyle w:val="TextoNormal"/>
      </w:pPr>
      <w:r>
        <w:t>En dicha sentencia, concluyó este tribunal que “la actuación administrativa impugnada, al exigir el requisito del domicilio social declarado contrario al art. 14 CE por la STC 20/2022, y denegar la deducción del art. 41.9.2 a) de la Ley 4/2012 [de 25 de junio, de medidas administrativas y fiscales de la Comunidad Autónoma de Canarias] a CaixaBank, S.A., ha vulnerado igualmente el citado precepto constitucional, al igual que las restantes resoluciones impugnadas, en la medida en que no han reparado dicha lesión” (FJ 2).</w:t>
      </w:r>
    </w:p>
    <w:p w14:paraId="67B8FFD0" w14:textId="77777777" w:rsidR="00B35D37" w:rsidRDefault="00B35D37" w:rsidP="00B35D37">
      <w:pPr>
        <w:pStyle w:val="TextoNormal"/>
      </w:pPr>
    </w:p>
    <w:p w14:paraId="4CD6357D" w14:textId="77777777" w:rsidR="00B35D37" w:rsidRDefault="00B35D37" w:rsidP="00B35D37">
      <w:pPr>
        <w:pStyle w:val="TextoNormal"/>
      </w:pPr>
      <w:r>
        <w:t>En consecuencia, se acordó “la retroacción de las actuaciones al momento anterior a la primera resolución administrativa impugnada para que se reconozca la citada deducción a la entidad recurrente” (FJ 2).</w:t>
      </w:r>
    </w:p>
    <w:p w14:paraId="2AB8FE84" w14:textId="77777777" w:rsidR="00B35D37" w:rsidRDefault="00B35D37" w:rsidP="00B35D37">
      <w:pPr>
        <w:pStyle w:val="TextoNormal"/>
      </w:pPr>
    </w:p>
    <w:p w14:paraId="53A64B2C" w14:textId="77777777" w:rsidR="00B35D37" w:rsidRDefault="00B35D37" w:rsidP="00B35D37">
      <w:pPr>
        <w:pStyle w:val="TextoNormal"/>
      </w:pPr>
      <w:r>
        <w:t>b) En cumplimiento de dicha resolución, por parte de la dependencia de grandes contribuyentes de la Agencia Tributaria Canaria se acordó la retroacción de actuaciones reanudando el procedimiento de rectificación de autoliquidación y, previa la tramitación pertinente, se dictó resolución de 28 de septiembre de 2022 rectificando la autoliquidación del impuesto correspondiente al ejercicio 2012, acordando la devolución a Caixabank, S.A., de 13 504 129,19 €, más intereses.</w:t>
      </w:r>
    </w:p>
    <w:p w14:paraId="3E0068A8" w14:textId="77777777" w:rsidR="00B35D37" w:rsidRDefault="00B35D37" w:rsidP="00B35D37">
      <w:pPr>
        <w:pStyle w:val="TextoNormal"/>
      </w:pPr>
    </w:p>
    <w:p w14:paraId="31E1DCD4" w14:textId="77777777" w:rsidR="00B35D37" w:rsidRDefault="00B35D37" w:rsidP="00B35D37">
      <w:pPr>
        <w:pStyle w:val="TextoNormal"/>
      </w:pPr>
      <w:r>
        <w:t>Las rectificaciones practicadas fueron las siguientes:</w:t>
      </w:r>
    </w:p>
    <w:p w14:paraId="26A4703A" w14:textId="77777777" w:rsidR="00B35D37" w:rsidRDefault="00B35D37" w:rsidP="00B35D37">
      <w:pPr>
        <w:pStyle w:val="TextoNormal"/>
      </w:pPr>
    </w:p>
    <w:p w14:paraId="74CD4620" w14:textId="77777777" w:rsidR="00B35D37" w:rsidRDefault="00B35D37" w:rsidP="00B35D37">
      <w:pPr>
        <w:pStyle w:val="TextoNormal"/>
      </w:pPr>
      <w:r>
        <w:t>(i) reconocer a la entidad el derecho a la práctica de la deducción del 50 por 100 de la cuota íntegra del impuesto conforme al art. 41.9.2 a) de la Ley del Parlamento de Canarias 4/2012 (en adelante, Ley 4/2012), por importe de 15 925 661,25 €;</w:t>
      </w:r>
    </w:p>
    <w:p w14:paraId="0C947A53" w14:textId="77777777" w:rsidR="00B35D37" w:rsidRDefault="00B35D37" w:rsidP="00B35D37">
      <w:pPr>
        <w:pStyle w:val="TextoNormal"/>
      </w:pPr>
    </w:p>
    <w:p w14:paraId="515F606D" w14:textId="77777777" w:rsidR="00B35D37" w:rsidRDefault="00B35D37" w:rsidP="00B35D37">
      <w:pPr>
        <w:pStyle w:val="TextoNormal"/>
      </w:pPr>
      <w:r>
        <w:t>(ii) corregir la deducción por número de oficinas situadas en Canarias, recogida en el art. 41.9.2 b) de la Ley 4/2012, de manera que el importe de la deducción no se corresponde con el declarado, de 1 755 000 €, sino con el nuevo importe de 2 790 000 €; y</w:t>
      </w:r>
    </w:p>
    <w:p w14:paraId="36B935C4" w14:textId="77777777" w:rsidR="00B35D37" w:rsidRDefault="00B35D37" w:rsidP="00B35D37">
      <w:pPr>
        <w:pStyle w:val="TextoNormal"/>
      </w:pPr>
    </w:p>
    <w:p w14:paraId="18334A3A" w14:textId="77777777" w:rsidR="00B35D37" w:rsidRDefault="00B35D37" w:rsidP="00B35D37">
      <w:pPr>
        <w:pStyle w:val="TextoNormal"/>
      </w:pPr>
      <w:r>
        <w:t>(iii) corregir la deducción por importes destinados a obra social de las cajas de ahorro, prevista en el art. 41.9.2 d) de la Ley 4/2012, que quedó fijada en 8 851 820 €, en vez de en los 12 552 000 € que habían sido declarados originalmente por la entidad.</w:t>
      </w:r>
    </w:p>
    <w:p w14:paraId="36DF09E8" w14:textId="77777777" w:rsidR="00B35D37" w:rsidRDefault="00B35D37" w:rsidP="00B35D37">
      <w:pPr>
        <w:pStyle w:val="TextoNormal"/>
      </w:pPr>
    </w:p>
    <w:p w14:paraId="18EE55E0" w14:textId="77777777" w:rsidR="00B35D37" w:rsidRDefault="00B35D37" w:rsidP="00B35D37">
      <w:pPr>
        <w:pStyle w:val="TextoNormal"/>
      </w:pPr>
      <w:r>
        <w:t>Además, “[c]omo quiera que la interesada había realizado un pago a cuenta por importe de 8 133 582,00 € el día 27 de noviembre de 2012 a través del modelo 470, hubiera resultado en julio de 2013 una cuota a devolver de 3 849 740,75 €, que es preciso devolver ahora junto a los 9 410 740,50 € indebidamente ingresados el día 5 de febrero de 2014 junto a sus intereses de demora también indebidamente ingresados, por importes de 232 045,66 € el día 5 de febrero de 2014, y 11 602,28 € el día 17 de marzo de 2014”.</w:t>
      </w:r>
    </w:p>
    <w:p w14:paraId="4B7D334C" w14:textId="77777777" w:rsidR="00B35D37" w:rsidRDefault="00B35D37" w:rsidP="00B35D37">
      <w:pPr>
        <w:pStyle w:val="TextoNormal"/>
      </w:pPr>
    </w:p>
    <w:p w14:paraId="31BB962E" w14:textId="77777777" w:rsidR="00B35D37" w:rsidRDefault="00B35D37" w:rsidP="00B35D37">
      <w:pPr>
        <w:pStyle w:val="TextoNormal"/>
      </w:pPr>
      <w:r>
        <w:t>c) El 4 de noviembre de 2022, Caixabank, S.A., interpuso reclamación económico-administrativa contra dicha resolución.</w:t>
      </w:r>
    </w:p>
    <w:p w14:paraId="4EEB540C" w14:textId="77777777" w:rsidR="00B35D37" w:rsidRDefault="00B35D37" w:rsidP="00B35D37">
      <w:pPr>
        <w:pStyle w:val="TextoNormal"/>
      </w:pPr>
    </w:p>
    <w:p w14:paraId="366D24FE" w14:textId="77777777" w:rsidR="00B35D37" w:rsidRDefault="00B35D37" w:rsidP="00B35D37">
      <w:pPr>
        <w:pStyle w:val="TextoNormal"/>
      </w:pPr>
      <w:r>
        <w:t>d) El 30 de octubre de 2024, la Junta Económico-Administrativa de Canarias dictó resolución declarando su incompetencia material para la resolución de la reclamación económico-administrativa, devolviendo las actuaciones a la oficina gestora para el dictado de resolución en ejecución de la STC 55/2022, con base en las previsiones de los arts. 70 del Reglamento general de desarrollo de la Ley general tributaria en materia de revisión en vía administrativa, aprobado por Real Decreto 520/2005, de 13 de mayo, y 92.4 de la Ley Orgánica 2/1979, de 3 de octubre, del Tribunal Constitucional (LOTC).</w:t>
      </w:r>
    </w:p>
    <w:p w14:paraId="373B0894" w14:textId="77777777" w:rsidR="00B35D37" w:rsidRDefault="00B35D37" w:rsidP="00B35D37">
      <w:pPr>
        <w:pStyle w:val="TextoNormal"/>
      </w:pPr>
    </w:p>
    <w:p w14:paraId="60331C14" w14:textId="77777777" w:rsidR="00B35D37" w:rsidRDefault="00B35D37" w:rsidP="00B35D37">
      <w:pPr>
        <w:pStyle w:val="TextoNormal"/>
      </w:pPr>
      <w:r>
        <w:t>e) El 20 de diciembre de 2024, la dependencia de grandes contribuyentes de la Agencia Tributaria Canaria dictó: (i) el acuerdo por el que resolvía, en ejecución de la resolución de 30 de octubre de 2024 de la Junta Económico-Administrativa de Canarias, dictar nueva resolución de rectificación de la autoliquidación; y (ii) la resolución de rectificación de autoliquidación del impuesto, en ejecución de la sentencia del Tribunal Constitucional dictada en el recurso de amparo núm. 946-2019, en términos que, como señala la entidad promotora del presente incidente, son coincidentes con la previa resolución de 28 de septiembre de 2022.</w:t>
      </w:r>
    </w:p>
    <w:p w14:paraId="7661DA1A" w14:textId="77777777" w:rsidR="00B35D37" w:rsidRDefault="00B35D37" w:rsidP="00B35D37">
      <w:pPr>
        <w:pStyle w:val="TextoNormal"/>
      </w:pPr>
    </w:p>
    <w:p w14:paraId="5F54F4F3" w14:textId="46134F66" w:rsidR="00B35D37" w:rsidRDefault="00B35D37" w:rsidP="00B35D37">
      <w:pPr>
        <w:pStyle w:val="TextoNormal"/>
      </w:pPr>
      <w:r>
        <w:t>Estas resoluciones se notificaron indicando en el pie de recurso de la primera de ellas que “[c]ontra el presente acto se podrá interponer, en el plazo de un mes contado a partir del día siguiente al de su notificación, y ante este órgano de gestión, incidente de ejecución que deberá ser resuelto por el tribunal que hubiese dictado la resolución que se ejecuta”.</w:t>
      </w:r>
    </w:p>
    <w:p w14:paraId="57E42FE4" w14:textId="77777777" w:rsidR="00B35D37" w:rsidRDefault="00B35D37" w:rsidP="00B35D37">
      <w:pPr>
        <w:pStyle w:val="TextoNormal"/>
      </w:pPr>
    </w:p>
    <w:p w14:paraId="4FF5E47C" w14:textId="77777777" w:rsidR="00B35D37" w:rsidRDefault="00B35D37" w:rsidP="00B35D37">
      <w:pPr>
        <w:pStyle w:val="TextoNormal"/>
      </w:pPr>
      <w:r w:rsidRPr="00B35D37">
        <w:rPr>
          <w:rStyle w:val="NumeroAFNegritaCaracter"/>
        </w:rPr>
        <w:t>3</w:t>
      </w:r>
      <w:r>
        <w:t>. En el escrito por el que se promueve el incidente de ejecución, Caixabank, S.A., estima que el único mandato incluido en la STC 55/2022 consistía en reconocerle la aplicación de la deducción del art. 41.9.2 a) de la Ley 4/2012 y que esto era lo único que debía hacer la Agencia Tributaria Canaria en ejecución de la citada sentencia.</w:t>
      </w:r>
    </w:p>
    <w:p w14:paraId="0CC2169B" w14:textId="77777777" w:rsidR="00B35D37" w:rsidRDefault="00B35D37" w:rsidP="00B35D37">
      <w:pPr>
        <w:pStyle w:val="TextoNormal"/>
      </w:pPr>
    </w:p>
    <w:p w14:paraId="787883D5" w14:textId="77777777" w:rsidR="00B35D37" w:rsidRDefault="00B35D37" w:rsidP="00B35D37">
      <w:pPr>
        <w:pStyle w:val="TextoNormal"/>
      </w:pPr>
      <w:r>
        <w:t>A juicio de la promotora del incidente, la Agencia Tributaria Canaria “debía limitarse a aplicar la deducción del 50 por 100 del artículo 41.9.2 apartado a) de la Ley del impuesto sobre los depósitos de clientes de entidades de crédito, sin que pueda cuestionarse el resto de las deducciones aplicadas por esta parte que no han sido objeto de análisis por el Tribunal Constitucional en la sentencia de referencia, la cual se limitaba a reconocer la aplicación de la deducción del artículo 41.9.2 a) de la Ley 4/2012, ni cuestionadas por la Agencia Tributaria Canaria en ninguna de las instancias administrativas ni judiciales”.</w:t>
      </w:r>
    </w:p>
    <w:p w14:paraId="7030F0F2" w14:textId="77777777" w:rsidR="00B35D37" w:rsidRDefault="00B35D37" w:rsidP="00B35D37">
      <w:pPr>
        <w:pStyle w:val="TextoNormal"/>
      </w:pPr>
    </w:p>
    <w:p w14:paraId="7F920E15" w14:textId="4211E094" w:rsidR="00B35D37" w:rsidRDefault="00B35D37" w:rsidP="00B35D37">
      <w:pPr>
        <w:pStyle w:val="TextoNormal"/>
      </w:pPr>
      <w:r>
        <w:t>En consecuencia, termina suplicando que se anule el acuerdo de ejecución impugnado y se “declare que la ejecución de la referida sentencia debe limitarse a aplicar la deducción por sede social prevista en el artículo 41.9.2 a) de la Ley 4/2012 del impuesto sobre los depósitos de clientes de entidades de crédito de Canarias, sin que sea procedente modificar las deducciones por obra social autoliquidadas en su día por ser esta una cuestión ajena al debate judicial que se había planteado”.</w:t>
      </w:r>
    </w:p>
    <w:p w14:paraId="5DA3A7B8" w14:textId="77777777" w:rsidR="00B35D37" w:rsidRDefault="00B35D37" w:rsidP="00B35D37">
      <w:pPr>
        <w:pStyle w:val="TextoNormal"/>
      </w:pPr>
    </w:p>
    <w:p w14:paraId="6B73518D" w14:textId="6B1E887A" w:rsidR="00B35D37" w:rsidRDefault="00B35D37" w:rsidP="00B35D37">
      <w:pPr>
        <w:pStyle w:val="TextoNormal"/>
      </w:pPr>
      <w:r w:rsidRPr="00B35D37">
        <w:rPr>
          <w:rStyle w:val="NumeroAFNegritaCaracter"/>
        </w:rPr>
        <w:t>4</w:t>
      </w:r>
      <w:r>
        <w:t>. El Pleno del Tribunal Constitucional, por providencia de 11 de febrero de 2025, acordó tener por promovido el incidente de ejecución de la STC 55/2022, de 5 de abril, y de conformidad con lo dispuesto en el art. 92.4 LOTC, dar traslado del mismo a la dependencia de grandes contribuyentes de la Agencia Tributaria Canaria para que, en el plazo de diez días, informara sobre las actuaciones llevadas a cabo en orden al cumplimiento de la citada STC 55/2022, así como para que alegare lo que tuviere por conveniente en relación con el incidente de ejecución promovido por la entidad Caixabank, S.A.</w:t>
      </w:r>
    </w:p>
    <w:p w14:paraId="3538F154" w14:textId="77777777" w:rsidR="00B35D37" w:rsidRDefault="00B35D37" w:rsidP="00B35D37">
      <w:pPr>
        <w:pStyle w:val="TextoNormal"/>
      </w:pPr>
    </w:p>
    <w:p w14:paraId="63AE43E3" w14:textId="77777777" w:rsidR="00B35D37" w:rsidRDefault="00B35D37" w:rsidP="00B35D37">
      <w:pPr>
        <w:pStyle w:val="TextoNormal"/>
      </w:pPr>
      <w:r w:rsidRPr="00B35D37">
        <w:rPr>
          <w:rStyle w:val="NumeroAFNegritaCaracter"/>
        </w:rPr>
        <w:t>5</w:t>
      </w:r>
      <w:r>
        <w:t>. El 26 de febrero de 2025, la Comunidad Autónoma de Canarias, representada por el letrado de sus servicios jurídicos, presentó alegaciones justificando haber dado puntual cumplimiento a lo resuelto en la STC 55/2022.</w:t>
      </w:r>
    </w:p>
    <w:p w14:paraId="5B2E428C" w14:textId="77777777" w:rsidR="00B35D37" w:rsidRDefault="00B35D37" w:rsidP="00B35D37">
      <w:pPr>
        <w:pStyle w:val="TextoNormal"/>
      </w:pPr>
    </w:p>
    <w:p w14:paraId="2FE2C360" w14:textId="77777777" w:rsidR="00B35D37" w:rsidRDefault="00B35D37" w:rsidP="00B35D37">
      <w:pPr>
        <w:pStyle w:val="TextoNormal"/>
      </w:pPr>
      <w:r>
        <w:t>Explica en su escrito que, dado que la solicitud de rectificación de la autoliquidación del impuesto sobre los depósitos de clientes de entidades de crédito correspondiente al ejercicio 2012 que dio origen al recurso de amparo núm. 946-2019, era genérica y no indicaba la casilla concreta cuya rectificación se pretendía, a raíz de la retroacción de actuaciones acordada por la STC 55/2022, se procedió a la revisión integral de la autoliquidación, a la vista de la documentación suministrada por la mercantil tras los requerimientos que le fueron realizados en el curso del procedimiento.</w:t>
      </w:r>
    </w:p>
    <w:p w14:paraId="7BC6C9E1" w14:textId="77777777" w:rsidR="00B35D37" w:rsidRDefault="00B35D37" w:rsidP="00B35D37">
      <w:pPr>
        <w:pStyle w:val="TextoNormal"/>
      </w:pPr>
    </w:p>
    <w:p w14:paraId="31F1C974" w14:textId="77777777" w:rsidR="00B35D37" w:rsidRDefault="00B35D37" w:rsidP="00B35D37">
      <w:pPr>
        <w:pStyle w:val="TextoNormal"/>
      </w:pPr>
      <w:r>
        <w:t>De esta forma, el procedimiento concluyó con el dictado de una resolución en la que se reconoció a la entidad de crédito el derecho a la práctica de la deducción del 50 por 100 de la cuota íntegra del impuesto conforme al art. 41.9.2 a) de la Ley 4/2012. Además de ello, y como consecuencia de las diferentes comprobaciones realizadas a la vista de la genérica solicitud de rectificación de autoliquidación, se procedió a corregir la deducción por número de oficinas situadas en Canarias [art. 41.9.2 b) de la Ley 4/2012] y la deducción por importes destinados a obra social de las cajas de ahorro [prevista en el art. 41.9.2 d) de la Ley 4/2012]. A resultas de estas rectificaciones, se practicó el reintegro correspondiente.</w:t>
      </w:r>
    </w:p>
    <w:p w14:paraId="21DDE6D7" w14:textId="77777777" w:rsidR="00B35D37" w:rsidRDefault="00B35D37" w:rsidP="00B35D37">
      <w:pPr>
        <w:pStyle w:val="TextoNormal"/>
      </w:pPr>
    </w:p>
    <w:p w14:paraId="786C817E" w14:textId="77777777" w:rsidR="00B35D37" w:rsidRDefault="00B35D37" w:rsidP="00B35D37">
      <w:pPr>
        <w:pStyle w:val="TextoNormal"/>
      </w:pPr>
      <w:r>
        <w:t>Por lo tanto, la Agencia Tributaria Canaria ha ejecutado la sentencia en sus justos términos, es decir, ha ordenado la retroacción de las actuaciones al momento anterior al dictado de la resolución administrativa impugnada y se ha dictado nueva resolución en la que se ha incluido la deducción por domicilio social del art. 41.9.2 a) de la Ley 4/2012. Por ello, termina suplicando que se tenga por ejecutada la sentencia de la que deriva el presente incidente de ejecución.</w:t>
      </w:r>
    </w:p>
    <w:p w14:paraId="14CCDA56" w14:textId="77777777" w:rsidR="00B35D37" w:rsidRDefault="00B35D37" w:rsidP="00B35D37">
      <w:pPr>
        <w:pStyle w:val="TextoNormal"/>
      </w:pPr>
    </w:p>
    <w:p w14:paraId="0A0A1173" w14:textId="77777777" w:rsidR="00B35D37" w:rsidRDefault="00B35D37" w:rsidP="00B35D37">
      <w:pPr>
        <w:pStyle w:val="TextoNormal"/>
      </w:pPr>
      <w:r>
        <w:t>A su escrito acompaña un informe, firmado —por autorización de la subdirectora de la unidad de grandes contribuyentes y tributos a la importación y especiales— el 26 de febrero de 2025 por el jefe de la dependencia de tributos a la importación y especiales de la Agencia Tributaria Canaria, en el que se informa de las actuaciones llevadas a cabo en ejecución de la STC 55/2022. En dicho informe se concluye:</w:t>
      </w:r>
    </w:p>
    <w:p w14:paraId="6449ADC7" w14:textId="77777777" w:rsidR="00B35D37" w:rsidRDefault="00B35D37" w:rsidP="00B35D37">
      <w:pPr>
        <w:pStyle w:val="TextoNormal"/>
      </w:pPr>
    </w:p>
    <w:p w14:paraId="799D3912" w14:textId="77777777" w:rsidR="00B35D37" w:rsidRDefault="00B35D37" w:rsidP="00B35D37">
      <w:pPr>
        <w:pStyle w:val="TextoNormal"/>
      </w:pPr>
      <w:r>
        <w:t>“Se debe destacar que la resolución impugnada, además de reconocer la deducción del 50 por 100 prevista en el artículo 41.9.2 a), referida al domicilio social, rectifica otras dos deducciones.</w:t>
      </w:r>
    </w:p>
    <w:p w14:paraId="58AAAE65" w14:textId="77777777" w:rsidR="00B35D37" w:rsidRDefault="00B35D37" w:rsidP="00B35D37">
      <w:pPr>
        <w:pStyle w:val="TextoNormal"/>
      </w:pPr>
    </w:p>
    <w:p w14:paraId="1114DB96" w14:textId="77777777" w:rsidR="00B35D37" w:rsidRDefault="00B35D37" w:rsidP="00B35D37">
      <w:pPr>
        <w:pStyle w:val="TextoNormal"/>
      </w:pPr>
      <w:r>
        <w:t>La deducción por obra social, que es la que nombra la entidad recurrente, y cuya cuantía se minora de 12 552 000,00 € declarados a 8 851 820,00 € reconocidos en ejecución de sentencia.</w:t>
      </w:r>
    </w:p>
    <w:p w14:paraId="64AA9CC5" w14:textId="77777777" w:rsidR="00B35D37" w:rsidRDefault="00B35D37" w:rsidP="00B35D37">
      <w:pPr>
        <w:pStyle w:val="TextoNormal"/>
      </w:pPr>
    </w:p>
    <w:p w14:paraId="1915DF89" w14:textId="77777777" w:rsidR="00B35D37" w:rsidRDefault="00B35D37" w:rsidP="00B35D37">
      <w:pPr>
        <w:pStyle w:val="TextoNormal"/>
      </w:pPr>
      <w:r>
        <w:t>La deducción por oficinas situadas en Canarias que se revisó al alza, respecto a la cantidad declarada incrementándose en un importe de 1 035 000 € […].</w:t>
      </w:r>
    </w:p>
    <w:p w14:paraId="1FCAB0C4" w14:textId="77777777" w:rsidR="00B35D37" w:rsidRDefault="00B35D37" w:rsidP="00B35D37">
      <w:pPr>
        <w:pStyle w:val="TextoNormal"/>
      </w:pPr>
    </w:p>
    <w:p w14:paraId="59CE9DEE" w14:textId="0FD718D0" w:rsidR="00B35D37" w:rsidRDefault="00B35D37" w:rsidP="00B35D37">
      <w:pPr>
        <w:pStyle w:val="TextoNormal"/>
      </w:pPr>
      <w:r>
        <w:t>Por esta razón, y en aplicación del mismo razonamiento jurídico expuesto por la entidad Caixabank, S.A., en su escrito, en caso de que se acepten sus alegaciones de que esta administración debió limitarse en la ejecución de sentencia a reconocer la deducción por domicilio social, (casilla 16), no tendría derecho al incremento de 1 035 000 € aplicado en la deducción por oficinas situadas en Canarias, debiéndose incrementar la cuota líquida del impuesto, respecto a lo declarado por el recurrente, en el incidente de ejecución de sentencia, de un importe de 583 661,25 € a un importe de 1 618 661,25 €”.</w:t>
      </w:r>
    </w:p>
    <w:p w14:paraId="20B8178F" w14:textId="77777777" w:rsidR="00B35D37" w:rsidRDefault="00B35D37" w:rsidP="00B35D37">
      <w:pPr>
        <w:pStyle w:val="TextoNormal"/>
      </w:pPr>
    </w:p>
    <w:p w14:paraId="4BD9BD28" w14:textId="0C516468" w:rsidR="00B35D37" w:rsidRDefault="00B35D37" w:rsidP="00B35D37">
      <w:pPr>
        <w:pStyle w:val="TextoNormal"/>
      </w:pPr>
      <w:r w:rsidRPr="00B35D37">
        <w:rPr>
          <w:rStyle w:val="NumeroAFNegritaCaracter"/>
        </w:rPr>
        <w:t>6</w:t>
      </w:r>
      <w:r>
        <w:t>. Por diligencia de ordenación de 28 de febrero de 2025 se acordó dar traslado del escrito del letrado de los servicios jurídicos de la Comunidad Autónoma de Canarias, así como de la documentación aneja al mismo, a la entidad promotora del incidente y al Ministerio Fiscal, por plazo común de diez días, para la formulación de alegaciones.</w:t>
      </w:r>
    </w:p>
    <w:p w14:paraId="0592C2CA" w14:textId="77777777" w:rsidR="00B35D37" w:rsidRDefault="00B35D37" w:rsidP="00B35D37">
      <w:pPr>
        <w:pStyle w:val="TextoNormal"/>
      </w:pPr>
    </w:p>
    <w:p w14:paraId="6CBCFF72" w14:textId="77777777" w:rsidR="00B35D37" w:rsidRDefault="00B35D37" w:rsidP="00B35D37">
      <w:pPr>
        <w:pStyle w:val="TextoNormal"/>
      </w:pPr>
      <w:r w:rsidRPr="00B35D37">
        <w:rPr>
          <w:rStyle w:val="NumeroAFNegritaCaracter"/>
        </w:rPr>
        <w:t>7</w:t>
      </w:r>
      <w:r>
        <w:t>. El 17 de marzo de 2025 la entidad Caixabank, S.A., formuló alegaciones reiterando que, por parte de la Agencia Tributaria Canaria, se había incurrido en una extralimitación en la ejecución de la STC 55/2022. Frente a lo indicado en su informe por la administración tributaria, manifestó que esta no puede emplear la retroacción de las actuaciones al procedimiento de rectificación de autoliquidaciones para efectuar nuevas actuaciones de comprobación sobre extremos ajenos a lo que es objeto de dicho procedimiento, que debe quedar restringido a los aspectos cuya rectificación ha interesado el contribuyente. Indica también que dicho modo de proceder supone convertir de manera improcedente el procedimiento de rectificación de autoliquidaciones en un procedimiento de comprobación, vulnerando los derechos y garantías de los obligados tributarios reconocidos en el art. 34 de la Ley 58/2003, de 17 de diciembre, general tributaria (en adelante, LGT) y, en concreto, del art. 34 ñ) LGT, que reconoce el “[d]erecho a ser informado, al inicio de las actuaciones de comprobación o inspección sobre la naturaleza y alcance de las mismas, así como de sus derechos y obligaciones en el curso de tales actuaciones y a que las mismas se desarrollen en los plazos previstos en esta ley”.</w:t>
      </w:r>
    </w:p>
    <w:p w14:paraId="147B86DF" w14:textId="77777777" w:rsidR="00B35D37" w:rsidRDefault="00B35D37" w:rsidP="00B35D37">
      <w:pPr>
        <w:pStyle w:val="TextoNormal"/>
      </w:pPr>
    </w:p>
    <w:p w14:paraId="5D0AF656" w14:textId="77777777" w:rsidR="00B35D37" w:rsidRDefault="00B35D37" w:rsidP="00B35D37">
      <w:pPr>
        <w:pStyle w:val="TextoNormal"/>
      </w:pPr>
      <w:r>
        <w:t>También alega que, dado que, en su día, no se dictó resolución expresa en el procedimiento de rectificación de autoliquidaciones, al agotarse la vía judicial e interponerse el recurso de amparo, la cuestión litigiosa quedó centrada únicamente en la inconstitucionalidad, por vulneración del art. 14 CE, de la regulación del 50 por 100 de la cuota íntegra por domicilio social en Canarias. De todas las cuestiones debatidas en instancias previas, solo esta última tuvo acceso al recurso de amparo núm. 946-2019. Por ello, la STC 55/2022 acordó la retroacción de actuaciones “para que se reconozca la citada deducción a la entidad recurrente” y esto es lo único que debe hacer el acuerdo de ejecución de la referida sentencia.</w:t>
      </w:r>
    </w:p>
    <w:p w14:paraId="75D8D8FA" w14:textId="77777777" w:rsidR="00B35D37" w:rsidRDefault="00B35D37" w:rsidP="00B35D37">
      <w:pPr>
        <w:pStyle w:val="TextoNormal"/>
      </w:pPr>
    </w:p>
    <w:p w14:paraId="68A97435" w14:textId="77777777" w:rsidR="00B35D37" w:rsidRDefault="00B35D37" w:rsidP="00B35D37">
      <w:pPr>
        <w:pStyle w:val="TextoNormal"/>
      </w:pPr>
      <w:r>
        <w:t>Señala que la STC 55/2022 no ordenó la retroacción de actuaciones para que se realizara una nueva comprobación al contribuyente, sino solamente para que se realizara una única actuación: aplicar la deducción del 50 por 100. La referencia a que el escrito inicial era genérico no es correcta porque el escrito inicial consideraba inconstitucional el tributo e interesaba la devolución íntegra de lo ingresado, pero al no ser estimada tal petición por el Tribunal Supremo, solo tuvo acceso al recurso de amparo la vulneración del art. 14 CE por limitarse la deducción del 50 por 100 sobre la cuota íntegra a las entidades que tenían su sede social en Canarias, que fue el único extremo sobre el que se pronunció el Tribunal Constitucional y lo único que debe ejecutar la Agencia Tributaria Canaria.</w:t>
      </w:r>
    </w:p>
    <w:p w14:paraId="5D0B4AE5" w14:textId="77777777" w:rsidR="00B35D37" w:rsidRDefault="00B35D37" w:rsidP="00B35D37">
      <w:pPr>
        <w:pStyle w:val="TextoNormal"/>
      </w:pPr>
    </w:p>
    <w:p w14:paraId="5480D766" w14:textId="18AC7411" w:rsidR="00B35D37" w:rsidRDefault="00B35D37" w:rsidP="00B35D37">
      <w:pPr>
        <w:pStyle w:val="TextoNormal"/>
      </w:pPr>
      <w:r>
        <w:t>Por ello, termina solicitando que se declare que la ejecución de la STC 55/2022 no puede modificar ni reducir las deducciones por obra social autoliquidadas en su día por ser esta una cuestión ajena al debate judicial que se había planteado tanto en sede de los recursos previos como en sede de recurso de amparo, por lo que procede reconocer una devolución adicional por importe de 3 700 180 €.</w:t>
      </w:r>
    </w:p>
    <w:p w14:paraId="72FD4DD7" w14:textId="77777777" w:rsidR="00B35D37" w:rsidRDefault="00B35D37" w:rsidP="00B35D37">
      <w:pPr>
        <w:pStyle w:val="TextoNormal"/>
      </w:pPr>
    </w:p>
    <w:p w14:paraId="524A6B53" w14:textId="77777777" w:rsidR="00B35D37" w:rsidRDefault="00B35D37" w:rsidP="00B35D37">
      <w:pPr>
        <w:pStyle w:val="TextoNormal"/>
      </w:pPr>
      <w:r w:rsidRPr="00B35D37">
        <w:rPr>
          <w:rStyle w:val="NumeroAFNegritaCaracter"/>
        </w:rPr>
        <w:t>8</w:t>
      </w:r>
      <w:r>
        <w:t>. Mediante escrito presentado el 2 de abril de 2025, la fiscal ante el Tribunal Constitucional interesó la desestimación del incidente de ejecución.</w:t>
      </w:r>
    </w:p>
    <w:p w14:paraId="16189049" w14:textId="77777777" w:rsidR="00B35D37" w:rsidRDefault="00B35D37" w:rsidP="00B35D37">
      <w:pPr>
        <w:pStyle w:val="TextoNormal"/>
      </w:pPr>
    </w:p>
    <w:p w14:paraId="0A61A1BE" w14:textId="77777777" w:rsidR="00B35D37" w:rsidRDefault="00B35D37" w:rsidP="00B35D37">
      <w:pPr>
        <w:pStyle w:val="TextoNormal"/>
      </w:pPr>
      <w:r>
        <w:t>A juicio del Ministerio Fiscal, el objeto del incidente de ejecución de sentencia, con arreglo a reiterada doctrina constitucional, ha de venir limitado a verificar si la actividad desplegada en orden a la ejecución de la STC 55/2022 ha incurrido, bien en un pronunciamiento contrario a la citada sentencia, bien en un intento de menoscabar la eficacia jurídica o material de lo resuelto en aquella.</w:t>
      </w:r>
    </w:p>
    <w:p w14:paraId="6DEDD302" w14:textId="77777777" w:rsidR="00B35D37" w:rsidRDefault="00B35D37" w:rsidP="00B35D37">
      <w:pPr>
        <w:pStyle w:val="TextoNormal"/>
      </w:pPr>
    </w:p>
    <w:p w14:paraId="2542EB75" w14:textId="77777777" w:rsidR="00B35D37" w:rsidRDefault="00B35D37" w:rsidP="00B35D37">
      <w:pPr>
        <w:pStyle w:val="TextoNormal"/>
      </w:pPr>
      <w:r>
        <w:t xml:space="preserve">Entiende la fiscal que la pretensión ejecutiva debe ser desestimada porque el incidente de ejecución no es el cauce apto para plantear cuestiones no contenidas en el recurso de amparo. La ejecución debe quedar constreñida y delimitada por el </w:t>
      </w:r>
      <w:r w:rsidRPr="00B35D37">
        <w:rPr>
          <w:i/>
        </w:rPr>
        <w:t>petitum</w:t>
      </w:r>
      <w:r>
        <w:t xml:space="preserve"> de la demanda de amparo.</w:t>
      </w:r>
    </w:p>
    <w:p w14:paraId="751DE59F" w14:textId="77777777" w:rsidR="00B35D37" w:rsidRDefault="00B35D37" w:rsidP="00B35D37">
      <w:pPr>
        <w:pStyle w:val="TextoNormal"/>
      </w:pPr>
    </w:p>
    <w:p w14:paraId="6F84CA60" w14:textId="3AB2E06B" w:rsidR="00B35D37" w:rsidRDefault="00B35D37" w:rsidP="00B35D37">
      <w:pPr>
        <w:pStyle w:val="TextoNormal"/>
      </w:pPr>
      <w:r>
        <w:t>La Agencia Tributaria Canaria, en ejecución de sentencia, ha procedido a rectificar la deducción por domicilio social, del 50 por 100, solicitada por la interesada y acordada por el Tribunal Constitucional en la STC 55/2022. En consecuencia, la pretensión ejecutiva ahora deducida de que la ejecución de la STC 55/2022 debe limitarse a aplicar la deducción por sede social, sin que sea procedente modificar las deducciones por obra social autoliquidadas no solo no encuentra fundamento alguno en el fallo de la sentencia, sino que tampoco encuentra sustento en las pretensiones deducidas en su día en la demanda de amparo. Tal pretensión se sitúa extramuros del debate contradictorio que tuvo lugar en el seno del proceso constitucional y no puede ser, consecuentemente, obtenida por la vía del incidente de ejecución sino, en su caso, ante el orden jurisdiccional contencioso-administrativo.</w:t>
      </w:r>
    </w:p>
    <w:p w14:paraId="01778F26" w14:textId="77777777" w:rsidR="00B35D37" w:rsidRDefault="00B35D37" w:rsidP="00B35D37">
      <w:pPr>
        <w:pStyle w:val="TextoNormal"/>
      </w:pPr>
    </w:p>
    <w:p w14:paraId="3F1A2827" w14:textId="77777777" w:rsidR="00B35D37" w:rsidRDefault="00B35D37" w:rsidP="00B35D37">
      <w:pPr>
        <w:pStyle w:val="TextoNormalNegritaCentrado"/>
        <w:keepNext/>
      </w:pPr>
      <w:r>
        <w:t>II. Fundamentos jurídicos</w:t>
      </w:r>
    </w:p>
    <w:p w14:paraId="4A5E7B00" w14:textId="25A17BE1" w:rsidR="00B35D37" w:rsidRDefault="00B35D37" w:rsidP="00B35D37">
      <w:pPr>
        <w:pStyle w:val="TextoNormalNegritaCentrado"/>
        <w:keepNext/>
      </w:pPr>
    </w:p>
    <w:p w14:paraId="7BD2A33A" w14:textId="77777777" w:rsidR="00B35D37" w:rsidRDefault="00B35D37" w:rsidP="00B35D37">
      <w:pPr>
        <w:pStyle w:val="TextoNormal"/>
      </w:pPr>
      <w:r w:rsidRPr="00B35D37">
        <w:rPr>
          <w:rStyle w:val="NumeroAFNegritaCaracter"/>
        </w:rPr>
        <w:t>1</w:t>
      </w:r>
      <w:r>
        <w:t>. La entidad de crédito Caixabank, S.A., ha promovido incidente de ejecución al considerar que la Agencia Tributaria Canaria se ha extralimitado en la actividad de ejecución de la STC 55/2022, de 5 de abril. La razón de esta extralimitación estriba en que, según la parte promotora del incidente, la administración tributaria debía limitarse a dictar resolución reconociendo la deducción prevista en el art. 41.9.2 a) de la Ley del Parlamento de Canarias 4/2012, sin que, con ocasión de la retroacción de actuaciones al procedimiento de rectificación de la autoliquidación del impuesto autonómico sobre depósitos de clientes de entidades de crédito, correspondiente al ejercicio 2012, pudiera comprobar y rectificar otras deducciones distintas de aquella. En concreto, considera que la ejecución de la STC 55/2022 no podía dar lugar a la modificación o minoración de la deducción por obra social [art. 41.9.2 d) de la Ley 4/2012].</w:t>
      </w:r>
    </w:p>
    <w:p w14:paraId="7FE98EC4" w14:textId="77777777" w:rsidR="00B35D37" w:rsidRDefault="00B35D37" w:rsidP="00B35D37">
      <w:pPr>
        <w:pStyle w:val="TextoNormal"/>
      </w:pPr>
    </w:p>
    <w:p w14:paraId="006C513D" w14:textId="28A965B7" w:rsidR="00B35D37" w:rsidRDefault="00B35D37" w:rsidP="00B35D37">
      <w:pPr>
        <w:pStyle w:val="TextoNormal"/>
      </w:pPr>
      <w:r>
        <w:t>La Agencia Tributaria Canaria ha solicitado la desestimación del incidente de ejecución, solicitando que se tenga por correctamente ejecutada la sentencia. Por su parte, el Ministerio Fiscal considera que la sentencia ha sido correctamente ejecutada, al reconocerse la deducción prevista en el art. 41.9.2 a) de la Ley 4/2012, objeto del recurso de amparo núm. 946-2019, y que la discrepancia de la recurrente en lo relativo a la deducción por obra social no puede resolverse en el seno del presente incidente de ejecución, sino que habrá de ser resuelta por el orden jurisdiccional contencioso-administrativo.</w:t>
      </w:r>
    </w:p>
    <w:p w14:paraId="4679E6F5" w14:textId="77777777" w:rsidR="00B35D37" w:rsidRDefault="00B35D37" w:rsidP="00B35D37">
      <w:pPr>
        <w:pStyle w:val="TextoNormal"/>
      </w:pPr>
    </w:p>
    <w:p w14:paraId="3D295555" w14:textId="77777777" w:rsidR="00B35D37" w:rsidRDefault="00B35D37" w:rsidP="00B35D37">
      <w:pPr>
        <w:pStyle w:val="TextoNormal"/>
      </w:pPr>
      <w:r w:rsidRPr="00B35D37">
        <w:rPr>
          <w:rStyle w:val="NumeroAFNegritaCaracter"/>
        </w:rPr>
        <w:t>2</w:t>
      </w:r>
      <w:r>
        <w:t>. El art. 92 LOTC faculta a las partes en el proceso constitucional a promover el incidente de ejecución y proponer al Tribunal las medidas de ejecución necesarias para garantizar el efectivo cumplimiento de sus resoluciones. La doctrina de este tribunal en relación con este tipo de incidentes ha quedado sistematizada, recientemente, en el ATC 125/2024, de 19 de noviembre, FJ 2, en el que expusimos:</w:t>
      </w:r>
    </w:p>
    <w:p w14:paraId="33CFE0CF" w14:textId="77777777" w:rsidR="00B35D37" w:rsidRDefault="00B35D37" w:rsidP="00B35D37">
      <w:pPr>
        <w:pStyle w:val="TextoNormal"/>
      </w:pPr>
    </w:p>
    <w:p w14:paraId="194B552B" w14:textId="77777777" w:rsidR="00B35D37" w:rsidRDefault="00B35D37" w:rsidP="00B35D37">
      <w:pPr>
        <w:pStyle w:val="TextoNormal"/>
      </w:pPr>
      <w:r>
        <w:t>“Conforme reiterada jurisprudencia constitucional (entre otros, AATC 107/2009, de 24 de marzo, FJ 2; 177/2012, de 2 de octubre, FJ 2; 89/2021, de 4 de octubre, y 8/2022, de 24 de enero,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14:paraId="30917A6A" w14:textId="77777777" w:rsidR="00B35D37" w:rsidRDefault="00B35D37" w:rsidP="00B35D37">
      <w:pPr>
        <w:pStyle w:val="TextoNormal"/>
      </w:pPr>
    </w:p>
    <w:p w14:paraId="47A1A42A" w14:textId="03A3B376" w:rsidR="00B35D37" w:rsidRDefault="00B35D37" w:rsidP="00B35D37">
      <w:pPr>
        <w:pStyle w:val="TextoNormal"/>
      </w:pPr>
      <w:r>
        <w:t>Hemos afirmado también que los incidentes de ejecución se dirigen a la realización de lo decidido en la resolución que pretende ejecutarse, previo el debate contradictorio que ha tenido lugar en el seno del proceso constitucional, no pudiendo extenderse a pretensiones diversas que no han formado parte de ese debate previo; y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w:t>
      </w:r>
    </w:p>
    <w:p w14:paraId="3D60AF7E" w14:textId="77777777" w:rsidR="00B35D37" w:rsidRDefault="00B35D37" w:rsidP="00B35D37">
      <w:pPr>
        <w:pStyle w:val="TextoNormal"/>
      </w:pPr>
    </w:p>
    <w:p w14:paraId="7372E3B9" w14:textId="77777777" w:rsidR="00B35D37" w:rsidRDefault="00B35D37" w:rsidP="00B35D37">
      <w:pPr>
        <w:pStyle w:val="TextoNormal"/>
      </w:pPr>
      <w:r w:rsidRPr="00B35D37">
        <w:rPr>
          <w:rStyle w:val="NumeroAFNegritaCaracter"/>
        </w:rPr>
        <w:t>3</w:t>
      </w:r>
      <w:r>
        <w:t>. En aplicación de la doctrina constitucional expuesta, procede desestimar el presente incidente de ejecución.</w:t>
      </w:r>
    </w:p>
    <w:p w14:paraId="57B8E2DC" w14:textId="77777777" w:rsidR="00B35D37" w:rsidRDefault="00B35D37" w:rsidP="00B35D37">
      <w:pPr>
        <w:pStyle w:val="TextoNormal"/>
      </w:pPr>
    </w:p>
    <w:p w14:paraId="34B08539" w14:textId="77777777" w:rsidR="00B35D37" w:rsidRDefault="00B35D37" w:rsidP="00B35D37">
      <w:pPr>
        <w:pStyle w:val="TextoNormal"/>
      </w:pPr>
      <w:r>
        <w:t>Tal como ha puesto de relieve la fiscal ante el Tribunal Constitucional, el fallo de la STC 55/2022 se limita, a fin de restablecer a la entidad demandante de amparo en el derecho fundamental vulnerado, a declarar la nulidad de la desestimación presunta de la solicitud de rectificación de autoliquidación del impuesto sobre los depósitos de clientes de entidades de crédito correspondiente al ejercicio 2012 y a retrotraer las actuaciones al momento inmediatamente anterior al dictado de la resolución administrativa a fin de que se emita nueva resolución respetuosa con el derecho fundamental vulnerado, para que se reconozca la citada deducción del art. 41.9.2 a) de la Ley 4/2012 a la entidad recurrente. Este fue el único pronunciamiento de nuestra sentencia, como no podía ser de otro modo, dado que el debate procesal contradictorio en el recurso de amparo núm. 946-2019 versó únicamente acerca de la conformidad con el art. 14 CE de la citada deducción.</w:t>
      </w:r>
    </w:p>
    <w:p w14:paraId="07DC6C51" w14:textId="77777777" w:rsidR="00B35D37" w:rsidRDefault="00B35D37" w:rsidP="00B35D37">
      <w:pPr>
        <w:pStyle w:val="TextoNormal"/>
      </w:pPr>
    </w:p>
    <w:p w14:paraId="5D92DE28" w14:textId="77777777" w:rsidR="00B35D37" w:rsidRDefault="00B35D37" w:rsidP="00B35D37">
      <w:pPr>
        <w:pStyle w:val="TextoNormal"/>
      </w:pPr>
      <w:r>
        <w:t>En ejecución de la STC 55/2022, la dependencia de grandes contribuyentes de la Agencia Tributaria Canaria ha aplicado la citada deducción del 50 por 100 sobre la cuota íntegra en la autoliquidación del impuesto sobre los depósitos de clientes de entidades de crédito, correspondiente al ejercicio 2012, dando con ello cumplimiento a lo ordenado en nuestra sentencia. Esto y solamente esto fue objeto del recurso de amparo núm. 946-2019 y, verificado su cumplimiento, respecto del cual la entidad promotora del incidente de ejecución no ha manifestado discrepancia alguna, cabe considerar correctamente ejecutado en sus propios términos el fallo de la STC 55/2022, sin que se advierta una actuación administrativa que contravenga lo ordenado por este tribunal o que pretenda menoscabar su eficacia.</w:t>
      </w:r>
    </w:p>
    <w:p w14:paraId="45CC6D97" w14:textId="77777777" w:rsidR="00B35D37" w:rsidRDefault="00B35D37" w:rsidP="00B35D37">
      <w:pPr>
        <w:pStyle w:val="TextoNormal"/>
      </w:pPr>
    </w:p>
    <w:p w14:paraId="2E5D0B2F" w14:textId="77777777" w:rsidR="00B35D37" w:rsidRDefault="00B35D37" w:rsidP="00B35D37">
      <w:pPr>
        <w:pStyle w:val="TextoNormal"/>
      </w:pPr>
      <w:r>
        <w:t>Lo que plantea la recurrente a través del cauce del incidente de ejecución es si la retroacción de actuaciones al procedimiento de rectificación de la autoliquidación del impuesto autonómico, ordenada en nuestra sentencia, permitía a la Agencia Tributaria Canaria ejercer sus potestades de comprobación sobre otros aspectos distintos e inéditos de la autoliquidación, en concreto la deducción por obra social, y si dicho modo de proceder resulta conforme con la naturaleza y el objeto del procedimiento de rectificación de autoliquidaciones o respetuoso con los derechos que a los contribuyentes reconoce el art. 34 LGT.</w:t>
      </w:r>
    </w:p>
    <w:p w14:paraId="308E4F47" w14:textId="77777777" w:rsidR="00B35D37" w:rsidRDefault="00B35D37" w:rsidP="00B35D37">
      <w:pPr>
        <w:pStyle w:val="TextoNormal"/>
      </w:pPr>
    </w:p>
    <w:p w14:paraId="19D2104E" w14:textId="77777777" w:rsidR="00B35D37" w:rsidRDefault="00B35D37" w:rsidP="00B35D37">
      <w:pPr>
        <w:pStyle w:val="TextoNormal"/>
      </w:pPr>
      <w:r>
        <w:t>Pues bien, sin perjuicio de que la conformidad a derecho de la deducción por obra social [art. 41.9.2 d) de la Ley 4/2012] no fue objeto del recurso de amparo, lo que por sí solo sería argumento suficiente para desestimar el incidente de ejecución, debe también apuntarse que acceder a lo peticionado por la parte promotora del incidente de ejecución obligaría a entrar a examinar cuestiones de legalidad ordinaria, que quedan extramuros del ámbito de jurisdicción que corresponde al Tribunal Constitucional y que no fueron ni pudieron ser objeto de examen en el proceso constitucional de amparo que desembocó en la STC 55/2022.</w:t>
      </w:r>
    </w:p>
    <w:p w14:paraId="6069A259" w14:textId="77777777" w:rsidR="00B35D37" w:rsidRDefault="00B35D37" w:rsidP="00B35D37">
      <w:pPr>
        <w:pStyle w:val="TextoNormal"/>
      </w:pPr>
    </w:p>
    <w:p w14:paraId="4D281E9D" w14:textId="453BB630" w:rsidR="00B35D37" w:rsidRDefault="00B35D37" w:rsidP="00B35D37">
      <w:pPr>
        <w:pStyle w:val="TextoNormal"/>
      </w:pPr>
      <w:r>
        <w:t>En consecuencia, en la línea de lo solicitado por el Ministerio Fiscal, cabe declarar correctamente ejecutada la sentencia e indicar que las pretensiones relativas a la deducción por obra social [art. 41.9.2 d) de la Ley 4/2012] no pueden ejercitarse a través del cauce del incidente de ejecución de la STC 55/2022, a la que resultan ajenas, sino que habrán de ventilarse a través de los recursos que correspondan en vía económico-administrativa y, en su caso, en vía judicial contencioso-administrativa.</w:t>
      </w:r>
    </w:p>
    <w:p w14:paraId="25C5C007" w14:textId="77777777" w:rsidR="00B35D37" w:rsidRDefault="00B35D37" w:rsidP="00B35D37">
      <w:pPr>
        <w:pStyle w:val="TextoNormal"/>
      </w:pPr>
    </w:p>
    <w:p w14:paraId="5B0B6D89" w14:textId="77777777" w:rsidR="00B35D37" w:rsidRDefault="00B35D37" w:rsidP="00B35D37">
      <w:pPr>
        <w:pStyle w:val="TextoNormal"/>
      </w:pPr>
      <w:r w:rsidRPr="00B35D37">
        <w:rPr>
          <w:rStyle w:val="NumeroAFNegritaCaracter"/>
        </w:rPr>
        <w:t>4</w:t>
      </w:r>
      <w:r>
        <w:t xml:space="preserve">. Por último, sentado lo anterior, no puede este tribunal dejar de poner de relieve que, como también se ha dado cuenta en el relato de antecedentes del presente auto, en este caso, la mercantil Caixabank, S.A., acudió diligentemente a la vía económico-administrativa y fue la Junta Económico-Administrativa de Canarias la que, de manera improcedente, declaró su incompetencia material para la resolución de la reclamación económico-administrativa, remitiendo la administración tributaria, en consecuencia, a la citada entidad a la interposición del presente incidente de ejecución </w:t>
      </w:r>
      <w:r w:rsidRPr="00B35D37">
        <w:rPr>
          <w:i/>
        </w:rPr>
        <w:t>ex</w:t>
      </w:r>
      <w:r>
        <w:t xml:space="preserve"> art. 92 LOTC ante el Tribunal Constitucional.</w:t>
      </w:r>
    </w:p>
    <w:p w14:paraId="2B3E2BC6" w14:textId="77777777" w:rsidR="00B35D37" w:rsidRDefault="00B35D37" w:rsidP="00B35D37">
      <w:pPr>
        <w:pStyle w:val="TextoNormal"/>
      </w:pPr>
    </w:p>
    <w:p w14:paraId="640E0944" w14:textId="4F69DED4" w:rsidR="00B35D37" w:rsidRDefault="00B35D37" w:rsidP="00B35D37">
      <w:pPr>
        <w:pStyle w:val="TextoNormal"/>
      </w:pPr>
      <w:r>
        <w:t>Dado que el error de la parte recurrente acerca del cauce impugnatorio procedente fue debido a causas que no le son imputables a ella sino a la administración tributaria autonómica, y a fin de no menoscabar su derecho a la tutela judicial efectiva (art. 24 CE), nuestra decisión ha de comportar la reapertura del plazo legal para interponer la correspondiente reclamación económico-administrativa contra la rectificación de la autoliquidación del impuesto sobre los depósitos de clientes de entidades de crédito, correspondiente a 2012, acordada por resolución de 20 de diciembre de 2024 de la dependencia de grandes contribuyentes de la Agencia Tributaria Canaria, debiendo estar la Junta Económico-Administrativa de Canarias a lo aquí resuelto (art. 87.1 LOTC). Será en dicha vía de recurso en la que habrán de ventilarse y resolverse cuantas cuestiones correspondan en relación con la rectificación de la autoliquidación impugnada, en todo aquello que resulte ajeno a la deducción del art. 41.9.2 a) de la Ley 4/2012, que ya hemos declarado ajustada al fallo de la STC 55/2022.</w:t>
      </w:r>
    </w:p>
    <w:p w14:paraId="3CE26DFE" w14:textId="77777777" w:rsidR="00B35D37" w:rsidRDefault="00B35D37" w:rsidP="00B35D37">
      <w:pPr>
        <w:pStyle w:val="TextoNormal"/>
      </w:pPr>
    </w:p>
    <w:p w14:paraId="33968838" w14:textId="77777777" w:rsidR="00B35D37" w:rsidRDefault="00B35D37" w:rsidP="00B35D37">
      <w:pPr>
        <w:pStyle w:val="TextoNormal"/>
      </w:pPr>
      <w:r>
        <w:t>Por lo expuesto, el Pleno</w:t>
      </w:r>
    </w:p>
    <w:p w14:paraId="55F18831" w14:textId="2E02918D" w:rsidR="00B35D37" w:rsidRDefault="00B35D37" w:rsidP="00B35D37">
      <w:pPr>
        <w:pStyle w:val="TextoNormal"/>
      </w:pPr>
    </w:p>
    <w:p w14:paraId="58F3702A" w14:textId="77777777" w:rsidR="00B35D37" w:rsidRDefault="00B35D37" w:rsidP="00B35D37">
      <w:pPr>
        <w:pStyle w:val="TextoNormalCentrado"/>
      </w:pPr>
      <w:r>
        <w:t>ACUERDA</w:t>
      </w:r>
    </w:p>
    <w:p w14:paraId="64EC67EF" w14:textId="5C5C3894" w:rsidR="00B35D37" w:rsidRDefault="00B35D37" w:rsidP="00B35D37">
      <w:pPr>
        <w:pStyle w:val="TextoNormalCentrado"/>
      </w:pPr>
    </w:p>
    <w:p w14:paraId="2C36A5CA" w14:textId="47830DD3" w:rsidR="00B35D37" w:rsidRDefault="00B35D37" w:rsidP="00B35D37">
      <w:pPr>
        <w:pStyle w:val="TextoNormal"/>
      </w:pPr>
      <w:r>
        <w:t>Declarar no haber lugar al incidente de ejecución de la STC 55/2022, de 5 de abril, en los términos solicitados por la representación procesal de la entidad Caixabank, S.A., con los efectos previstos en el fundamento jurídico 4 del presente auto.</w:t>
      </w:r>
    </w:p>
    <w:p w14:paraId="2D702221" w14:textId="77777777" w:rsidR="00B35D37" w:rsidRDefault="00B35D37" w:rsidP="00B35D37">
      <w:pPr>
        <w:pStyle w:val="TextoNormal"/>
      </w:pPr>
    </w:p>
    <w:p w14:paraId="1BD2E8DF" w14:textId="77777777" w:rsidR="00B35D37" w:rsidRDefault="00B35D37" w:rsidP="00B35D37">
      <w:pPr>
        <w:pStyle w:val="TextoNormal"/>
      </w:pPr>
      <w:r>
        <w:t>Madrid, a veintisiete de mayo de dos mil veinticinco.</w:t>
      </w:r>
    </w:p>
    <w:p w14:paraId="7C5C56BD" w14:textId="7D78894B" w:rsidR="00B35D37" w:rsidRDefault="00B35D37">
      <w:pPr>
        <w:spacing w:after="160" w:line="278" w:lineRule="auto"/>
        <w:rPr>
          <w:rFonts w:ascii="Times New Roman" w:eastAsia="Times New Roman" w:hAnsi="Times New Roman" w:cs="Times New Roman"/>
          <w:sz w:val="24"/>
          <w:szCs w:val="24"/>
          <w:lang w:eastAsia="es-ES"/>
        </w:rPr>
      </w:pPr>
      <w:r>
        <w:br w:type="page"/>
      </w:r>
    </w:p>
    <w:p w14:paraId="4C4FC717" w14:textId="77777777" w:rsidR="00B35D37" w:rsidRDefault="00B35D37" w:rsidP="00B35D37">
      <w:pPr>
        <w:pStyle w:val="TtuloResolucin"/>
      </w:pPr>
      <w:bookmarkStart w:id="194" w:name="AUTO_2025_55"/>
      <w:r>
        <w:t>AUTO 55/2025, de 27 de mayo de 2025</w:t>
      </w:r>
    </w:p>
    <w:bookmarkEnd w:id="194"/>
    <w:p w14:paraId="4E68CC84" w14:textId="77777777" w:rsidR="00B35D37" w:rsidRDefault="00B35D37" w:rsidP="00B35D37">
      <w:pPr>
        <w:pStyle w:val="TtuloResolucin"/>
      </w:pPr>
      <w:r>
        <w:t>Pleno</w:t>
      </w:r>
    </w:p>
    <w:p w14:paraId="221C83D0" w14:textId="77777777" w:rsidR="00B35D37" w:rsidRDefault="00B35D37" w:rsidP="00B35D37">
      <w:pPr>
        <w:pStyle w:val="TextoNormalCentrado"/>
      </w:pPr>
      <w:r>
        <w:t>ECLI:ES:TC:2025:55A</w:t>
      </w:r>
    </w:p>
    <w:p w14:paraId="72511516" w14:textId="2BA2DD9C" w:rsidR="00B35D37" w:rsidRDefault="00B35D37" w:rsidP="00B35D37">
      <w:pPr>
        <w:pStyle w:val="TextoNormalCentrado"/>
      </w:pPr>
    </w:p>
    <w:p w14:paraId="5B9B17D8"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06E8BF20" w14:textId="4ED850A8" w:rsidR="00B35D37" w:rsidRDefault="00B35D37" w:rsidP="00B35D37">
      <w:pPr>
        <w:pStyle w:val="SntesisDescriptiva"/>
      </w:pPr>
    </w:p>
    <w:p w14:paraId="3003A6B3" w14:textId="77777777" w:rsidR="00B35D37" w:rsidRDefault="00B35D37" w:rsidP="00B35D37">
      <w:pPr>
        <w:pStyle w:val="SntesisDescriptiva"/>
      </w:pPr>
      <w:r>
        <w:t>Inadmite a trámite la cuestión de inconstitucionalidad 3595-2023, planteada por la Sala de lo Social del Tribunal Superior de Justicia del País Vasco en relación con el artículo 177 del texto refundido de la Ley general de la Seguridad Social, aprobado por el Real Decreto Legislativo 8/2015, de 30 de octubre, en conexión con los apartados 4, 5 y 6 del artículo 48 del texto refundido de la Ley del estatuto de los trabajadores, aprobado por el Real Decreto Legislativo 2/2015, de 23 de octubre.</w:t>
      </w:r>
    </w:p>
    <w:p w14:paraId="59B0A38D" w14:textId="76763607" w:rsidR="00B35D37" w:rsidRDefault="00B35D37" w:rsidP="00B35D37">
      <w:pPr>
        <w:pStyle w:val="SntesisDescriptiva"/>
      </w:pPr>
    </w:p>
    <w:p w14:paraId="1A6E299E" w14:textId="77777777" w:rsidR="00B35D37" w:rsidRDefault="00B35D37" w:rsidP="00B35D37">
      <w:pPr>
        <w:pStyle w:val="SntesisDescriptiva"/>
      </w:pPr>
    </w:p>
    <w:p w14:paraId="09C46FE9" w14:textId="77777777" w:rsidR="00B35D37" w:rsidRDefault="00B35D37" w:rsidP="00B35D37">
      <w:pPr>
        <w:pStyle w:val="SntesisDescriptiva"/>
      </w:pPr>
    </w:p>
    <w:p w14:paraId="52A6A652" w14:textId="77777777" w:rsidR="00B35D37" w:rsidRDefault="00B35D37" w:rsidP="00B35D37">
      <w:pPr>
        <w:pStyle w:val="TextoNormalNegritaCentrado"/>
      </w:pPr>
      <w:r>
        <w:t>AUTO</w:t>
      </w:r>
    </w:p>
    <w:p w14:paraId="5D488262" w14:textId="41BEE010" w:rsidR="00B35D37" w:rsidRDefault="00B35D37" w:rsidP="00B35D37">
      <w:pPr>
        <w:pStyle w:val="TextoNormalNegritaCentrado"/>
      </w:pPr>
    </w:p>
    <w:p w14:paraId="5E108731" w14:textId="77777777" w:rsidR="00B35D37" w:rsidRDefault="00B35D37" w:rsidP="00B35D37">
      <w:pPr>
        <w:pStyle w:val="TextoNormalNegritaCentrado"/>
        <w:keepNext/>
      </w:pPr>
      <w:r>
        <w:t>I. Antecedentes</w:t>
      </w:r>
    </w:p>
    <w:p w14:paraId="62E3B6F4" w14:textId="54EE8927" w:rsidR="00B35D37" w:rsidRDefault="00B35D37" w:rsidP="00B35D37">
      <w:pPr>
        <w:pStyle w:val="TextoNormalNegritaCentrado"/>
        <w:keepNext/>
      </w:pPr>
    </w:p>
    <w:p w14:paraId="349CFD09" w14:textId="4FF6B21C" w:rsidR="00B35D37" w:rsidRDefault="00B35D37" w:rsidP="00B35D37">
      <w:pPr>
        <w:pStyle w:val="TextoNormal"/>
      </w:pPr>
      <w:r w:rsidRPr="00B35D37">
        <w:rPr>
          <w:rStyle w:val="NumeroAFNegritaCaracter"/>
        </w:rPr>
        <w:t>1</w:t>
      </w:r>
      <w:r>
        <w:t>. El día 29 de mayo de 2023 tuvo entrada en el registro general de este tribunal un oficio de la Sala de lo Social del Tribunal Superior de Justicia del País Vasco, al que se acompaña, además de las actuaciones, copia electrónica auténtica del auto de 23 de mayo de 2023, recaído en los autos del procedimiento núm. 201-2022, sobre prestación por nacimiento y cuidado de menor, por el que se acuerda plantear una cuestión de inconstitucionalidad en relación con el vigente art. 177 LGSS y los apartados 4, 5 y 6 del art. 48 LET, por posible vulneración del art. 14 CE, por discriminación por razón de nacimiento.</w:t>
      </w:r>
    </w:p>
    <w:p w14:paraId="2F1E556F" w14:textId="77777777" w:rsidR="00B35D37" w:rsidRDefault="00B35D37" w:rsidP="00B35D37">
      <w:pPr>
        <w:pStyle w:val="TextoNormal"/>
      </w:pPr>
    </w:p>
    <w:p w14:paraId="6F22DD58" w14:textId="77777777" w:rsidR="00B35D37" w:rsidRDefault="00B35D37" w:rsidP="00B35D37">
      <w:pPr>
        <w:pStyle w:val="TextoNormal"/>
      </w:pPr>
      <w:r w:rsidRPr="00B35D37">
        <w:rPr>
          <w:rStyle w:val="NumeroAFNegritaCaracter"/>
        </w:rPr>
        <w:t>2</w:t>
      </w:r>
      <w:r>
        <w:t>. Los hechos relevantes de este proceso constitucional son los siguientes:</w:t>
      </w:r>
    </w:p>
    <w:p w14:paraId="372E7687" w14:textId="77777777" w:rsidR="00B35D37" w:rsidRDefault="00B35D37" w:rsidP="00B35D37">
      <w:pPr>
        <w:pStyle w:val="TextoNormal"/>
      </w:pPr>
    </w:p>
    <w:p w14:paraId="60ECC41A" w14:textId="77777777" w:rsidR="00B35D37" w:rsidRDefault="00B35D37" w:rsidP="00B35D37">
      <w:pPr>
        <w:pStyle w:val="TextoNormal"/>
      </w:pPr>
      <w:r>
        <w:t>a) En fecha 24 de mayo de 2022, doña Clara Alonso Gómez presentó demanda ante el Juzgado Decano de Vitoria-Gasteiz contra el Instituto Nacional de la Seguridad Social (INSS) y la Tesorería General de la Seguridad Social (TGSS). Alegó que constituía una familia monoparental, que se le reconoció su derecho a la prestación por nacimiento y cuidado de su hija desde el día 16 de noviembre de 2021 hasta el día 7 de marzo de 2022, pero se le denegó la petición de prestación de nacimiento y cuidado de tal hija por doce semanas más, que le hubieran correspondido al otro progenitor en caso de familia biparental. Alegaba que el Tribunal Superior de Justicia del País Vasco había estimado demandas en casos muy semejantes al suyo.</w:t>
      </w:r>
    </w:p>
    <w:p w14:paraId="1243051D" w14:textId="77777777" w:rsidR="00B35D37" w:rsidRDefault="00B35D37" w:rsidP="00B35D37">
      <w:pPr>
        <w:pStyle w:val="TextoNormal"/>
      </w:pPr>
    </w:p>
    <w:p w14:paraId="48A88F15" w14:textId="77777777" w:rsidR="00B35D37" w:rsidRDefault="00B35D37" w:rsidP="00B35D37">
      <w:pPr>
        <w:pStyle w:val="TextoNormal"/>
      </w:pPr>
      <w:r>
        <w:t>b) Por sentencia de 11 de octubre de 2022, la demanda fue parcialmente estimada. El Juzgado de lo Social núm. 4 de Vitoria-Gasteiz dictó una sentencia en la que, aun reconociendo la existencia de criterios contradictorios entre los diversos tribunales superiores de justicia de nuestro país, recuerda que el Tribunal Superior de Justicia del País Vasco expresó su criterio en una primera sentencia 396/2020, de 6 de octubre (ECLI:ES:TSJPV:2020:396). En ella afirmó que, bajo el postulado de la igualdad de hombre y mujer, se producía un efecto discriminador en los hogares monoparentales e indirectamente, en las mujeres, siendo que la norma permitía una exégesis respetuosa del art. 14 CE, otorgando a la madre monoparental los días que le corresponden al otro progenitor en las familias biparentales. Con esta fundamentación, el Juzgado de lo Social núm. 4 de Vitoria- Gasteiz estimó la demanda, si bien parcialmente, pues asumió la petición subsidiaria articulada por el INSS y fijó en diez semanas adicionales la prestación, pues las seis primeras del otro progenitor coinciden obligatoriamente con las seis primeras de la madre, sin atender al argumento obstativo de que debe disfrutarse la prestación dentro del primer año del menor y no después, pues lo cierto es que la demandante presentó la solicitud en diciembre de 2021, año en el que nació la menor.</w:t>
      </w:r>
    </w:p>
    <w:p w14:paraId="0043454B" w14:textId="77777777" w:rsidR="00B35D37" w:rsidRDefault="00B35D37" w:rsidP="00B35D37">
      <w:pPr>
        <w:pStyle w:val="TextoNormal"/>
      </w:pPr>
    </w:p>
    <w:p w14:paraId="52820470" w14:textId="77777777" w:rsidR="00B35D37" w:rsidRDefault="00B35D37" w:rsidP="00B35D37">
      <w:pPr>
        <w:pStyle w:val="TextoNormal"/>
      </w:pPr>
      <w:r>
        <w:t>c) Interpuesto recurso de suplicación por el INSS y la TGSS, por providencia de fecha 22 de febrero de 2023, el Tribunal Superior de Justicia del País Vasco señaló para deliberación y fallo el día 18 de abril de 2023. Previamente a esa fecha, el Tribunal Supremo dictó la STS 783/2023, de 2 de marzo (ECLI:ES:TS:2023:783) que revocaba la sentencia 396/2020 del Tribunal Superior de Justicia del País Vasco, desestimando la misma pretensión. El Tribunal Supremo, esencialmente, razonó que el tema desbordaba la relación de la Seguridad Social con la parte y que, en realidad, admitir esa interpretación de las normas aplicables suponía fijar una nueva prestación contributiva a favor de las familias monoparentales, de forma que se alteraba lo diseñado por el legislador y se superaba el ámbito constitucional reservado para los jueces y tribunales en nuestro Estado de Derecho, que no es crear Derecho, sino interpretarlo y aplicarlo. Consideró que la legislación ordinaria examinada no era contraria a la Constitución ni a la normativa internacional ni, específicamente, a la normativa europea.</w:t>
      </w:r>
    </w:p>
    <w:p w14:paraId="1C41E77C" w14:textId="77777777" w:rsidR="00B35D37" w:rsidRDefault="00B35D37" w:rsidP="00B35D37">
      <w:pPr>
        <w:pStyle w:val="TextoNormal"/>
      </w:pPr>
    </w:p>
    <w:p w14:paraId="51D77CA5" w14:textId="77777777" w:rsidR="00B35D37" w:rsidRDefault="00B35D37" w:rsidP="00B35D37">
      <w:pPr>
        <w:pStyle w:val="TextoNormal"/>
      </w:pPr>
      <w:r>
        <w:t xml:space="preserve">d) Una vez conocida la STS 783/2023, de la Sala de lo Social del Tribunal Supremo, la Sala de lo Social del Tribunal Superior de Justicia del País Vasco decidió iniciar el trámite para plantear una cuestión de constitucionalidad y dictó la providencia de 18 de abril del 2023, que reza de la forma siguiente: </w:t>
      </w:r>
    </w:p>
    <w:p w14:paraId="6AB2928E" w14:textId="77777777" w:rsidR="00B35D37" w:rsidRDefault="00B35D37" w:rsidP="00B35D37">
      <w:pPr>
        <w:pStyle w:val="TextoNormal"/>
      </w:pPr>
    </w:p>
    <w:p w14:paraId="3CDAD15B" w14:textId="77777777" w:rsidR="00B35D37" w:rsidRDefault="00B35D37" w:rsidP="00B35D37">
      <w:pPr>
        <w:pStyle w:val="TextoNormal"/>
      </w:pPr>
      <w:r>
        <w:t>“Con carácter previo a la resolución del presente recurso, y siendo que la interpretación del juzgado asume respecto a la pretensión articulada, el criterio que ha sido el habitual de esta Sala de lo Social del Tribunal Superior de Justicia, según ya se indica en la propia sentencia recurrida y como quiera que en ella se cita y transcriben pasajes de nuestra sentencia de fecha 6 de octubre de 2020 (recurso 941-2020) y resultando que la misma ha sido revocada recientemente por la sentencia de la Sala Cuarta del Tribunal Supremo de fecha 2 de marzo de 2023 (recurso 3972-2020, publicada en el “Boletín Oficial del Estado” de 6 de abril de 2023), sin embargo, habiendo surgido dudas en la mayoría deliberante de este recurso acerca de la constitucionalidad del art. 177 de la Ley general de la Seguridad Social en relación con el art. 48 del estatuto de los trabajadores y el art. 49 del estatuto básico del empleado público, de conformidad con el art. 35, punto 2 de la Ley Orgánica del Tribunal Constitucional, dese audiencia a las partes del presente procedimiento y al Ministerio Fiscal para que, en el plazo común e improrrogable de diez días, puedan alegar lo que deseen sobre la pertinencia de plantear una cuestión de inconstitucionalidad o sobre el fondo de esta respecto a la normativa señalada.</w:t>
      </w:r>
    </w:p>
    <w:p w14:paraId="2631A424" w14:textId="77777777" w:rsidR="00B35D37" w:rsidRDefault="00B35D37" w:rsidP="00B35D37">
      <w:pPr>
        <w:pStyle w:val="TextoNormal"/>
      </w:pPr>
    </w:p>
    <w:p w14:paraId="22D36CE9" w14:textId="77777777" w:rsidR="00B35D37" w:rsidRDefault="00B35D37" w:rsidP="00B35D37">
      <w:pPr>
        <w:pStyle w:val="TextoNormal"/>
      </w:pPr>
      <w:r>
        <w:t xml:space="preserve">Notifíquese esta resolución a las partes y al Ministerio Fiscal. </w:t>
      </w:r>
    </w:p>
    <w:p w14:paraId="124549A4" w14:textId="77777777" w:rsidR="00B35D37" w:rsidRDefault="00B35D37" w:rsidP="00B35D37">
      <w:pPr>
        <w:pStyle w:val="TextoNormal"/>
      </w:pPr>
    </w:p>
    <w:p w14:paraId="76638746" w14:textId="77777777" w:rsidR="00B35D37" w:rsidRDefault="00B35D37" w:rsidP="00B35D37">
      <w:pPr>
        <w:pStyle w:val="TextoNormal"/>
      </w:pPr>
      <w:r>
        <w:t>[…]</w:t>
      </w:r>
    </w:p>
    <w:p w14:paraId="13B2E724" w14:textId="77777777" w:rsidR="00B35D37" w:rsidRDefault="00B35D37" w:rsidP="00B35D37">
      <w:pPr>
        <w:pStyle w:val="TextoNormal"/>
      </w:pPr>
    </w:p>
    <w:p w14:paraId="0652843C" w14:textId="77777777" w:rsidR="00B35D37" w:rsidRDefault="00B35D37" w:rsidP="00B35D37">
      <w:pPr>
        <w:pStyle w:val="TextoNormal"/>
      </w:pPr>
      <w:r>
        <w:t>Contra la presente providencia no cabe recurso alguno”.</w:t>
      </w:r>
    </w:p>
    <w:p w14:paraId="0879603C" w14:textId="77777777" w:rsidR="00B35D37" w:rsidRDefault="00B35D37" w:rsidP="00B35D37">
      <w:pPr>
        <w:pStyle w:val="TextoNormal"/>
      </w:pPr>
    </w:p>
    <w:p w14:paraId="171D1BE8" w14:textId="77777777" w:rsidR="00B35D37" w:rsidRDefault="00B35D37" w:rsidP="00B35D37">
      <w:pPr>
        <w:pStyle w:val="TextoNormal"/>
      </w:pPr>
      <w:r>
        <w:t>e) El Ministerio Fiscal interpuso recurso de reposición contra la providencia, por falta de invocación de los preceptos constitucionales vulnerados. Si bien, en un principio, se dio trámite a dicho recurso, por decreto de 2 de mayo de 2023 se anularon las actuaciones relativas a tal trámite, puesto que en dicha providencia ya se advertía que contra la misma no cabía recurso alguno.</w:t>
      </w:r>
    </w:p>
    <w:p w14:paraId="4FA48918" w14:textId="77777777" w:rsidR="00B35D37" w:rsidRDefault="00B35D37" w:rsidP="00B35D37">
      <w:pPr>
        <w:pStyle w:val="TextoNormal"/>
      </w:pPr>
    </w:p>
    <w:p w14:paraId="46DFF9CC" w14:textId="77777777" w:rsidR="00B35D37" w:rsidRDefault="00B35D37" w:rsidP="00B35D37">
      <w:pPr>
        <w:pStyle w:val="TextoNormal"/>
      </w:pPr>
      <w:r>
        <w:t>f) También en fecha 2 de mayo 2023, la parte demandante presentó alegaciones, considerando pertinente el planteamiento de la cuestión de constitucionalidad. Con cita expresa de los arts. 10.2 y 14 CE, además de la Convención sobre los derechos del niño, adoptada por la Asamblea General de las Naciones Unidas el 20 de noviembre de 1989 y ratificada por España mediante instrumento de 30 de noviembre de 1990, defendió que se trataba de un caso de quiebra del principio de no discriminación del menor y de la mujer.</w:t>
      </w:r>
    </w:p>
    <w:p w14:paraId="35C1C258" w14:textId="77777777" w:rsidR="00B35D37" w:rsidRDefault="00B35D37" w:rsidP="00B35D37">
      <w:pPr>
        <w:pStyle w:val="TextoNormal"/>
      </w:pPr>
    </w:p>
    <w:p w14:paraId="3C466972" w14:textId="77777777" w:rsidR="00B35D37" w:rsidRDefault="00B35D37" w:rsidP="00B35D37">
      <w:pPr>
        <w:pStyle w:val="TextoNormal"/>
      </w:pPr>
      <w:r>
        <w:t>g) El Ministerio Fiscal declaró que, dado el contenido de la providencia del 18 de abril de 2023, no podía informar sobre la necesidad de analizar si los artículos cuestionados respetaban las normas constitucionales, pues desconocía los preceptos de la Constitución presuntamente vulnerados al no indicarse en la providencia que le dio audiencia. Por ello, entendía que no procedía el planteamiento de la cuestión de inconstitucionalidad, si bien añadía que, no obstante, era cierto que, de la validez y vigencia de los preceptos señalados en la providencia de 18 de abril de 2023, podría depender el fallo de la sentencia que debía dictarse en suplicación.</w:t>
      </w:r>
    </w:p>
    <w:p w14:paraId="0B635D1E" w14:textId="77777777" w:rsidR="00B35D37" w:rsidRDefault="00B35D37" w:rsidP="00B35D37">
      <w:pPr>
        <w:pStyle w:val="TextoNormal"/>
      </w:pPr>
    </w:p>
    <w:p w14:paraId="4066F470" w14:textId="77777777" w:rsidR="00B35D37" w:rsidRDefault="00B35D37" w:rsidP="00B35D37">
      <w:pPr>
        <w:pStyle w:val="TextoNormal"/>
      </w:pPr>
      <w:r>
        <w:t>h) El INSS se pronunció en el mismo sentido que el Ministerio Fiscal: en la providencia indicada no se concreta el precepto constitucional que pudiera considerarse infringido. No obstante, para el demandado, la STS 783/2023 que casa la sentencia 396/2020, no se opone a la Constitución, como tampoco se oponen otras sentencias del propio Tribunal Superior de Justicia del País Vasco, de otra sala, que ya habían acogido ese criterio del Tribunal Supremo.</w:t>
      </w:r>
    </w:p>
    <w:p w14:paraId="7A57B5CC" w14:textId="77777777" w:rsidR="00B35D37" w:rsidRDefault="00B35D37" w:rsidP="00B35D37">
      <w:pPr>
        <w:pStyle w:val="TextoNormal"/>
      </w:pPr>
    </w:p>
    <w:p w14:paraId="20368ECD" w14:textId="4B8CFC04" w:rsidR="00B35D37" w:rsidRDefault="00B35D37" w:rsidP="00B35D37">
      <w:pPr>
        <w:pStyle w:val="TextoNormal"/>
      </w:pPr>
      <w:r>
        <w:t>i) Por auto de 23 de mayo de 2023, la Sala de lo Social del Tribunal Superior de Justicia del País Vasco planteó una cuestión de inconstitucionalidad respecto del art. 177 LGSS en conexión con el art. 48.4, 5 y 6 LET.</w:t>
      </w:r>
    </w:p>
    <w:p w14:paraId="5BAABC52" w14:textId="77777777" w:rsidR="00B35D37" w:rsidRDefault="00B35D37" w:rsidP="00B35D37">
      <w:pPr>
        <w:pStyle w:val="TextoNormal"/>
      </w:pPr>
    </w:p>
    <w:p w14:paraId="48FB5717" w14:textId="77777777" w:rsidR="00B35D37" w:rsidRDefault="00B35D37" w:rsidP="00B35D37">
      <w:pPr>
        <w:pStyle w:val="TextoNormal"/>
      </w:pPr>
      <w:r w:rsidRPr="00B35D37">
        <w:rPr>
          <w:rStyle w:val="NumeroAFNegritaCaracter"/>
        </w:rPr>
        <w:t>3</w:t>
      </w:r>
      <w:r>
        <w:t>. Del contenido del auto de planteamiento del Tribunal Superior de Justicia del País Vasco, de 23 de mayo de 2023, interesa destacar lo siguiente:</w:t>
      </w:r>
    </w:p>
    <w:p w14:paraId="234FBE84" w14:textId="77777777" w:rsidR="00B35D37" w:rsidRDefault="00B35D37" w:rsidP="00B35D37">
      <w:pPr>
        <w:pStyle w:val="TextoNormal"/>
      </w:pPr>
    </w:p>
    <w:p w14:paraId="76FCD437" w14:textId="77777777" w:rsidR="00B35D37" w:rsidRDefault="00B35D37" w:rsidP="00B35D37">
      <w:pPr>
        <w:pStyle w:val="TextoNormal"/>
      </w:pPr>
      <w:r>
        <w:t>A) Tras exponer los antecedentes de hecho que han quedado descritos en esta resolución, el órgano judicial declara que los preceptos que serían directamente aplicables al caso serían el art. 177 LGSS y el art. 48 apartados 4, 5 y 6 LET, por lo que se trata de examinar esta normativa concreta.</w:t>
      </w:r>
    </w:p>
    <w:p w14:paraId="5A257579" w14:textId="77777777" w:rsidR="00B35D37" w:rsidRDefault="00B35D37" w:rsidP="00B35D37">
      <w:pPr>
        <w:pStyle w:val="TextoNormal"/>
      </w:pPr>
    </w:p>
    <w:p w14:paraId="65583569" w14:textId="77777777" w:rsidR="00B35D37" w:rsidRDefault="00B35D37" w:rsidP="00B35D37">
      <w:pPr>
        <w:pStyle w:val="TextoNormal"/>
      </w:pPr>
      <w:r>
        <w:t>B) En un segundo fundamento jurídico, expone su propia jurisprudencia, en la que se había llevado a cabo una exégesis de la normativa en juego que, por un lado, evitase discriminar al menor y a la madre y, por otro, respetara la normativa internacional sobre los derechos del niño. Recuerda que, una primera sentencia de su Sala fue la de 6 de octubre de 2020 y que, desde entonces, no ha sido un criterio único y aislado, pues coinciden en la posición los tribunales superiores de justicia de Galicia, Aragón, Cataluña, Castilla y León y Cantabria. En todos los casos, no se trataba de crear una nueva prestación por encima de las legales —como había afirmado el Tribunal Supremo en su sentencia de 2 de marzo de 2023— sino de ampliar el plazo de duración de la prestación ya reconocida a la madre, como un medio para soslayar lo que se entendía que generaba una situación de discriminación. El Tribunal Superior de Justicia del País Vasco destaca que la solución exegética se lleva a cabo para evitar situaciones de desprotección del menor y ya se ha usado por el Tribunal Supremo en otros casos como, por ejemplo, en la prestación de nacimiento en los casos de gestación por sustitución. Sin perjuicio de la defensa de su posición, el Tribunal remitente también reconoce que otros tribunales superiores de justicia se han pronunciado en contra de esta interpretación y declararon que no procedía la ampliación de la prestación por nacimiento y cuidado de menor en las familias monoparentales. Admitida la existencia de criterios contradictorios, el Tribunal Superior de Justicia del País Vasco pone de manifiesto los reparos que le genera la sentencia 783/2023, de la Sala de lo Social del Tribunal Supremo, dictada en un recurso de casación para la unificación de doctrina, que revocó el criterio postulado por el Tribunal Superior de Justicia del País Vasco en aquella sentencia de 6 de octubre de 2020 y desestimó una demanda similar a la de la demandante. Para el Tribunal Superior de Justicia del País Vasco, la solución propuesta por el Tribunal Supremo no respeta los contenidos antidiscriminatorios de la Constitución y, por ello, entiende que debe plantear una cuestión de inconstitucionalidad ante el Tribunal Constitucional.</w:t>
      </w:r>
    </w:p>
    <w:p w14:paraId="716298B4" w14:textId="77777777" w:rsidR="00B35D37" w:rsidRDefault="00B35D37" w:rsidP="00B35D37">
      <w:pPr>
        <w:pStyle w:val="TextoNormal"/>
      </w:pPr>
    </w:p>
    <w:p w14:paraId="3E88FAA5" w14:textId="77777777" w:rsidR="00B35D37" w:rsidRDefault="00B35D37" w:rsidP="00B35D37">
      <w:pPr>
        <w:pStyle w:val="TextoNormal"/>
      </w:pPr>
      <w:r>
        <w:t>C) En relación con las tachas del Ministerio Fiscal contra la providencia de 18 de abril de 2023 que da audiencia a las partes, relativas a que no se cita el precepto constitucional que se puede considerar infringido, el Tribunal Superior de Justicia del País Vasco afirma que es un argumento absolutamente formal y reduccionista, ya que el Ministerio Fiscal tenía conocimiento suficiente de qué precepto constitucional podía plantear la duda jurisdiccional, porque se deduce de las sentencias citadas —sentencia de 6 de octubre de 2020 del Tribunal Superior de Justicia del País Vasco y STS 783/2023, de 2 de marzo—, indicando incluso el número de recurso y la fecha de publicación de la misma en el “BOE”, habiendo sido la vulneración del art. 14 CE, el núcleo de los procedimientos en los que se dictan esas sentencias. El Tribunal Superior de Justicia del País Vasco señala que, frente al fiscal, las partes demandante y demandado en el proceso así lo han considerado y han evacuado informes sobre la eventual vulneración del art. 14 CE. Por lo demás, apunta que, si bien algunos tribunales han asumido el criterio unificador establecido por el Tribunal Supremo, han dejado a salvo la posibilidad de plantear una cuestión de inconstitucionalidad si había mayoría para ello en la Sala, lo que sí ocurre en el proceso del presente procedimiento.</w:t>
      </w:r>
    </w:p>
    <w:p w14:paraId="4D0C2375" w14:textId="77777777" w:rsidR="00B35D37" w:rsidRDefault="00B35D37" w:rsidP="00B35D37">
      <w:pPr>
        <w:pStyle w:val="TextoNormal"/>
      </w:pPr>
    </w:p>
    <w:p w14:paraId="12EF63B0" w14:textId="77777777" w:rsidR="00B35D37" w:rsidRDefault="00B35D37" w:rsidP="00B35D37">
      <w:pPr>
        <w:pStyle w:val="TextoNormal"/>
      </w:pPr>
      <w:r>
        <w:t>D) El Tribunal remitente llama la atención sobre el objeto de la cuestión planteada, pues no es una divergencia hermenéutica con la sentencia del Tribunal Supremo, sino algo mucho más reducido: fijar las razones por las que entiende que el criterio unificador del Tribunal Supremo puede comprometer el derecho fundamental de toda persona a no ser discriminada. A continuación, dedica los fundamentos jurídicos quinto, sexto, séptimo y octavo a tal fin:</w:t>
      </w:r>
    </w:p>
    <w:p w14:paraId="3BA25C63" w14:textId="77777777" w:rsidR="00B35D37" w:rsidRDefault="00B35D37" w:rsidP="00B35D37">
      <w:pPr>
        <w:pStyle w:val="TextoNormal"/>
      </w:pPr>
    </w:p>
    <w:p w14:paraId="79C82554" w14:textId="77777777" w:rsidR="00B35D37" w:rsidRDefault="00B35D37" w:rsidP="00B35D37">
      <w:pPr>
        <w:pStyle w:val="TextoNormal"/>
      </w:pPr>
      <w:r>
        <w:t>a) El art. 41 CE establece las líneas básicas de nuestro sistema de protección social público y, si bien es cierto que el legislador goza de amplia libertad, tiene límites que también se aplican a las prestaciones de la Seguridad Social, pues tiene como objeto el deber de protección social, económica y jurídica de la familia, según dispone el art. 39 CE. En el caso concreto, el órgano judicial, citando las SSTC 75/2011, de 19 de mayo; 111/2018, de 17 de octubre, y 117/2018, de 29 de octubre, entiende que el límite del legislador se encuentra en que la diferencia de trato de un colectivo determinado, como sería el supuesto de una familia monoparental, tenga justificación objetiva y razonable.</w:t>
      </w:r>
    </w:p>
    <w:p w14:paraId="3DA67EB9" w14:textId="77777777" w:rsidR="00B35D37" w:rsidRDefault="00B35D37" w:rsidP="00B35D37">
      <w:pPr>
        <w:pStyle w:val="TextoNormal"/>
      </w:pPr>
    </w:p>
    <w:p w14:paraId="3CFD25D5" w14:textId="77777777" w:rsidR="00B35D37" w:rsidRDefault="00B35D37" w:rsidP="00B35D37">
      <w:pPr>
        <w:pStyle w:val="TextoNormal"/>
      </w:pPr>
      <w:r>
        <w:t>b) Definir qué es una causa justificada, objetiva y razonable, ya ha sido hecho por la propia jurisprudencia del Tribunal Constitucional en la STC 75/2011, que afirma que el art. 14 CE prohíbe las desigualdades que no superen dos test: (i) estar fundadas en criterios objetivos y razonables que sean juicios de valor generalmente aceptados y (ii) las consecuencias de la diferencia de trato deben ser proporcionales a la finalidad perseguida.</w:t>
      </w:r>
    </w:p>
    <w:p w14:paraId="7ED294BB" w14:textId="77777777" w:rsidR="00B35D37" w:rsidRDefault="00B35D37" w:rsidP="00B35D37">
      <w:pPr>
        <w:pStyle w:val="TextoNormal"/>
      </w:pPr>
    </w:p>
    <w:p w14:paraId="4CCD4223" w14:textId="77777777" w:rsidR="00B35D37" w:rsidRDefault="00B35D37" w:rsidP="00B35D37">
      <w:pPr>
        <w:pStyle w:val="TextoNormal"/>
      </w:pPr>
      <w:r>
        <w:t>c) El órgano judicial expresa sus dudas sobre si está justificado en causas objetivas y razonables la diferencia de trato al menor y a la progenitora en la familia monoparental, pues, a su parecer, la familia biparental y monoparental no deben tener tratamientos diferentes.</w:t>
      </w:r>
    </w:p>
    <w:p w14:paraId="337B5687" w14:textId="77777777" w:rsidR="00B35D37" w:rsidRDefault="00B35D37" w:rsidP="00B35D37">
      <w:pPr>
        <w:pStyle w:val="TextoNormal"/>
      </w:pPr>
    </w:p>
    <w:p w14:paraId="6FE2A689" w14:textId="77777777" w:rsidR="00B35D37" w:rsidRDefault="00B35D37" w:rsidP="00B35D37">
      <w:pPr>
        <w:pStyle w:val="TextoNormal"/>
      </w:pPr>
      <w:r>
        <w:t>d) El hijo no es solo un objeto de protección, sino que también es un sujeto con derechos. Es legítima la finalidad de defender los intereses del menor en directa relación con su derecho a no ser discriminado por su filiación u origen.</w:t>
      </w:r>
    </w:p>
    <w:p w14:paraId="7612389D" w14:textId="77777777" w:rsidR="00B35D37" w:rsidRDefault="00B35D37" w:rsidP="00B35D37">
      <w:pPr>
        <w:pStyle w:val="TextoNormal"/>
      </w:pPr>
    </w:p>
    <w:p w14:paraId="51674B7B" w14:textId="77777777" w:rsidR="00B35D37" w:rsidRDefault="00B35D37" w:rsidP="00B35D37">
      <w:pPr>
        <w:pStyle w:val="TextoNormal"/>
      </w:pPr>
      <w:r>
        <w:t>e) Con respecto al progenitor de la familia monoparental —normalmente una mujer—, se trata de una madre que no tiene las mismas necesidades que en el caso de la familia biparental. Para la familia biparental, el legislador consideró necesario hacer efectivo el principio de corresponsabilidad en la atención y cuidado del menor. El progenitor de una familia monoparental, si recibe un trato diferente se quedará sin el tiempo de cuidado y atención al menor y se producirá una situación perjudicial de la madre de la familia monoparental en relación con la familia biparental.</w:t>
      </w:r>
    </w:p>
    <w:p w14:paraId="3C114C91" w14:textId="77777777" w:rsidR="00B35D37" w:rsidRDefault="00B35D37" w:rsidP="00B35D37">
      <w:pPr>
        <w:pStyle w:val="TextoNormal"/>
      </w:pPr>
    </w:p>
    <w:p w14:paraId="789D01CB" w14:textId="3B6D3FB9" w:rsidR="00B35D37" w:rsidRDefault="00B35D37" w:rsidP="00B35D37">
      <w:pPr>
        <w:pStyle w:val="TextoNormal"/>
      </w:pPr>
      <w:r>
        <w:t>f) El órgano judicial termina concluyendo en el fundamento jurídico noveno que la mayoría de la Sala suscribe la duda de constitucionalidad del art. 177 LGSS en relación con los apartados 4, 5 y 6 del art. 48 LET, interpretado de la forma en que se hace en las sentencias de la Sala de lo Civil del Tribunal Supremo en su STS 783/2023.</w:t>
      </w:r>
    </w:p>
    <w:p w14:paraId="4FE77C08" w14:textId="77777777" w:rsidR="00B35D37" w:rsidRDefault="00B35D37" w:rsidP="00B35D37">
      <w:pPr>
        <w:pStyle w:val="TextoNormal"/>
      </w:pPr>
    </w:p>
    <w:p w14:paraId="2C46E9D6" w14:textId="17EC0E1E" w:rsidR="00B35D37" w:rsidRDefault="00B35D37" w:rsidP="00B35D37">
      <w:pPr>
        <w:pStyle w:val="TextoNormal"/>
      </w:pPr>
      <w:r w:rsidRPr="00B35D37">
        <w:rPr>
          <w:rStyle w:val="NumeroAFNegritaCaracter"/>
        </w:rPr>
        <w:t>4</w:t>
      </w:r>
      <w:r>
        <w:t>. Mediante providencia de 19 de noviembre de 2024, el Pleno, a los efectos que determina el art. 37.1 de la Ley Orgánica del Tribunal Constitucional, acordó oír al fiscal general del Estado para que, en el plazo de diez días, alegase lo que considerase conveniente acerca de la posible pérdida sobrevenida de objeto de la cuestión de inconstitucionalidad, como consecuencia de la STC 140/2024, de 6 de diciembre, dictada por este tribunal.</w:t>
      </w:r>
    </w:p>
    <w:p w14:paraId="7F819063" w14:textId="77777777" w:rsidR="00B35D37" w:rsidRDefault="00B35D37" w:rsidP="00B35D37">
      <w:pPr>
        <w:pStyle w:val="TextoNormal"/>
      </w:pPr>
    </w:p>
    <w:p w14:paraId="15C670FB" w14:textId="77777777" w:rsidR="00B35D37" w:rsidRDefault="00B35D37" w:rsidP="00B35D37">
      <w:pPr>
        <w:pStyle w:val="TextoNormal"/>
      </w:pPr>
      <w:r w:rsidRPr="00B35D37">
        <w:rPr>
          <w:rStyle w:val="NumeroAFNegritaCaracter"/>
        </w:rPr>
        <w:t>5</w:t>
      </w:r>
      <w:r>
        <w:t>. El fiscal general del Estado evacuó el trámite conferido mediante escrito registrado en este tribunal el día 18 de diciembre de 2024, en el que interesa la inadmisión a trámite de la cuestión de inconstitucionalidad. A su parecer:</w:t>
      </w:r>
    </w:p>
    <w:p w14:paraId="1C8C136D" w14:textId="77777777" w:rsidR="00B35D37" w:rsidRDefault="00B35D37" w:rsidP="00B35D37">
      <w:pPr>
        <w:pStyle w:val="TextoNormal"/>
      </w:pPr>
    </w:p>
    <w:p w14:paraId="6460FB0C" w14:textId="77777777" w:rsidR="00B35D37" w:rsidRDefault="00B35D37" w:rsidP="00B35D37">
      <w:pPr>
        <w:pStyle w:val="TextoNormal"/>
      </w:pPr>
      <w:r>
        <w:t>a) Es doctrina constitucional consolidada que, cuando han sido ya declarados inconstitucionales y nulos los preceptos cuestionados, las posteriores cuestiones de inconstitucionalidad sobre aquellos han perdido su objeto, como resulta, entre muchas otras resoluciones, de la STC 153/2019, de 25 de noviembre, FJ único b), y el ATC 103/2024, de 22 de octubre, FJ 2.</w:t>
      </w:r>
    </w:p>
    <w:p w14:paraId="4E5BAAB6" w14:textId="77777777" w:rsidR="00B35D37" w:rsidRDefault="00B35D37" w:rsidP="00B35D37">
      <w:pPr>
        <w:pStyle w:val="TextoNormal"/>
      </w:pPr>
    </w:p>
    <w:p w14:paraId="660E5183" w14:textId="77777777" w:rsidR="00B35D37" w:rsidRDefault="00B35D37" w:rsidP="00B35D37">
      <w:pPr>
        <w:pStyle w:val="TextoNormal"/>
      </w:pPr>
      <w:r>
        <w:t>b) La reciente STC 140/2024 ha resuelto la cuestión de inconstitucionalidad núm. 6694-2023, en la cual se cuestionaba la constitucionalidad de los mismos preceptos que en la presente cuestión, por la posible infracción del art. 14 CE (el mismo que aquí se alega) y además los arts. 39.1, 2 y 4, y 41 CE, declarando la inconstitucionalidad de los arts. 48.4 LET y 177 LGSS, por vulneración del art. 14 CE, en relación con el art. 39 CE.</w:t>
      </w:r>
    </w:p>
    <w:p w14:paraId="6FD6B4D7" w14:textId="77777777" w:rsidR="00B35D37" w:rsidRDefault="00B35D37" w:rsidP="00B35D37">
      <w:pPr>
        <w:pStyle w:val="TextoNormal"/>
      </w:pPr>
    </w:p>
    <w:p w14:paraId="4DF949A4" w14:textId="77777777" w:rsidR="00B35D37" w:rsidRDefault="00B35D37" w:rsidP="00B35D37">
      <w:pPr>
        <w:pStyle w:val="TextoNormal"/>
      </w:pPr>
      <w:r>
        <w:t xml:space="preserve">c) El objeto del proceso laboral en el que se planteó aquella cuestión era esencialmente idéntico al de la actual. La STC 140/2024 afirma en su fundamento jurídico 2 c): “procede que acotemos el objeto de nuestro enjuiciamiento en la presente cuestión pues, aunque la cuestión cita los apartados 4, 5 y 6 del art. 48 LET, solo el primero (referido al nacimiento) es aplicable al proceso </w:t>
      </w:r>
      <w:r w:rsidRPr="00B35D37">
        <w:rPr>
          <w:i/>
        </w:rPr>
        <w:t>a quo</w:t>
      </w:r>
      <w:r>
        <w:t>, ya que el apartado 5 se refiere a los supuestos de adopción, guarda con fines de adopción y acogimiento, mientras que el apartado 6 establece una regla especial aplicable a los supuestos en que el hijo presenta una discapacidad o a supuestos de nacimiento, adopción, guarda con fines de adopción o acogimiento múltiples, circunstancias que aquí no concurren. Por consiguiente, en el presente proceso se analizará el art. 48.4 LET, en relación con el art. 177 LGSS, preceptos que disponían lo siguiente, en su redacción dada por el Real Decreto-ley 6/2019, de 1 de marzo, de medidas urgentes para garantía de la igualdad de trato y de oportunidades entre mujeres y hombres en el empleo y la ocupación”.</w:t>
      </w:r>
    </w:p>
    <w:p w14:paraId="4290CCE0" w14:textId="77777777" w:rsidR="00B35D37" w:rsidRDefault="00B35D37" w:rsidP="00B35D37">
      <w:pPr>
        <w:pStyle w:val="TextoNormal"/>
      </w:pPr>
    </w:p>
    <w:p w14:paraId="4E6DA378" w14:textId="77777777" w:rsidR="00B35D37" w:rsidRDefault="00B35D37" w:rsidP="00B35D37">
      <w:pPr>
        <w:pStyle w:val="TextoNormal"/>
      </w:pPr>
      <w:r>
        <w:t>d) Así pues, habiéndose pronunciado la STC 140/2024, sobre todos los preceptos cuya constitucionalidad se dudaba, declarando la inconstitucionalidad de los que eran aplicables tanto en aquel proceso laboral como en el que ha dado lugar a la actual cuestión de inconstitucionalidad, el fiscal considera que la presente cuestión ha perdido su objeto.</w:t>
      </w:r>
    </w:p>
    <w:p w14:paraId="2D68D855" w14:textId="77777777" w:rsidR="00B35D37" w:rsidRDefault="00B35D37" w:rsidP="00B35D37">
      <w:pPr>
        <w:pStyle w:val="TextoNormal"/>
      </w:pPr>
    </w:p>
    <w:p w14:paraId="495D189C" w14:textId="72A786DF" w:rsidR="00B35D37" w:rsidRDefault="00B35D37" w:rsidP="00B35D37">
      <w:pPr>
        <w:pStyle w:val="TextoNormal"/>
      </w:pPr>
      <w:r>
        <w:t>Por lo expuesto, el fiscal general del Estado solicita que se dicte auto por el que se inadmita la cuestión de inconstitucionalidad planteada, por pérdida sobrevenida de objeto.</w:t>
      </w:r>
    </w:p>
    <w:p w14:paraId="0B55CFCC" w14:textId="77777777" w:rsidR="00B35D37" w:rsidRDefault="00B35D37" w:rsidP="00B35D37">
      <w:pPr>
        <w:pStyle w:val="TextoNormal"/>
      </w:pPr>
    </w:p>
    <w:p w14:paraId="6500087B" w14:textId="77777777" w:rsidR="00B35D37" w:rsidRDefault="00B35D37" w:rsidP="00B35D37">
      <w:pPr>
        <w:pStyle w:val="TextoNormalNegritaCentrado"/>
        <w:keepNext/>
      </w:pPr>
      <w:r>
        <w:t>II. Fundamentos jurídicos</w:t>
      </w:r>
    </w:p>
    <w:p w14:paraId="1A11E439" w14:textId="3B6D23B7" w:rsidR="00B35D37" w:rsidRDefault="00B35D37" w:rsidP="00B35D37">
      <w:pPr>
        <w:pStyle w:val="TextoNormalNegritaCentrado"/>
        <w:keepNext/>
      </w:pPr>
    </w:p>
    <w:p w14:paraId="1D3EC89F" w14:textId="77777777" w:rsidR="00B35D37" w:rsidRDefault="00B35D37" w:rsidP="00B35D37">
      <w:pPr>
        <w:pStyle w:val="TextoNormal"/>
      </w:pPr>
      <w:r w:rsidRPr="00B35D37">
        <w:rPr>
          <w:rStyle w:val="TextoNormalNegritaCaracter"/>
        </w:rPr>
        <w:t xml:space="preserve">Único. </w:t>
      </w:r>
      <w:r>
        <w:t>La Sala de lo Social del Tribunal Superior de Justicia del País Vasco plantea por auto de 29 de mayo de 2023, cuestión de inconstitucionalidad respecto del art. 177 LGSS en relación con el art. 48, apartados 4, 5 y 6 LET, por su posible contradicción con el art. 14 CE.</w:t>
      </w:r>
    </w:p>
    <w:p w14:paraId="700C72A4" w14:textId="77777777" w:rsidR="00B35D37" w:rsidRDefault="00B35D37" w:rsidP="00B35D37">
      <w:pPr>
        <w:pStyle w:val="TextoNormal"/>
      </w:pPr>
    </w:p>
    <w:p w14:paraId="7EF4FE46" w14:textId="77777777" w:rsidR="00B35D37" w:rsidRDefault="00B35D37" w:rsidP="00B35D37">
      <w:pPr>
        <w:pStyle w:val="TextoNormal"/>
      </w:pPr>
      <w:r>
        <w:t>El objeto de la cuestión de inconstitucionalidad recae, con carácter principal, y tal y como señala el fiscal general del Estado en su escrito de alegaciones, sobre el art. 177 LGSS, en relación con el art. 48, apartados 4, 5 y 6 LET por su posible contradicción con el art. 14 CE en cuanto al derecho fundamental del menor cuyo nacimiento y cuidado es el motivo de la prestación de la Seguridad Social que se reclama en el proceso laboral, y de la madre trabajadora por cuenta ajena que es la perceptora de la prestación, para los casos en que dicho menor y su madre formen parte de una familia monoparental.</w:t>
      </w:r>
    </w:p>
    <w:p w14:paraId="7D0EE730" w14:textId="77777777" w:rsidR="00B35D37" w:rsidRDefault="00B35D37" w:rsidP="00B35D37">
      <w:pPr>
        <w:pStyle w:val="TextoNormal"/>
      </w:pPr>
    </w:p>
    <w:p w14:paraId="20905E86" w14:textId="77777777" w:rsidR="00B35D37" w:rsidRDefault="00B35D37" w:rsidP="00B35D37">
      <w:pPr>
        <w:pStyle w:val="TextoNormal"/>
      </w:pPr>
      <w:r>
        <w:t>La STC 140/2024 estimando una cuestión de inconstitucionalidad,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14:paraId="21508DD2" w14:textId="77777777" w:rsidR="00B35D37" w:rsidRDefault="00B35D37" w:rsidP="00B35D37">
      <w:pPr>
        <w:pStyle w:val="TextoNormal"/>
      </w:pPr>
    </w:p>
    <w:p w14:paraId="29A00D7F" w14:textId="77777777" w:rsidR="00B35D37" w:rsidRDefault="00B35D37" w:rsidP="00B35D37">
      <w:pPr>
        <w:pStyle w:val="TextoNormal"/>
      </w:pPr>
      <w: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w:t>
      </w:r>
      <w:r w:rsidRPr="00B35D37">
        <w:rPr>
          <w:i/>
        </w:rPr>
        <w:t>ex silentio</w:t>
      </w:r>
      <w:r>
        <w:t xml:space="preserve">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14:paraId="3AF7AB6F" w14:textId="77777777" w:rsidR="00B35D37" w:rsidRDefault="00B35D37" w:rsidP="00B35D37">
      <w:pPr>
        <w:pStyle w:val="TextoNormal"/>
      </w:pPr>
    </w:p>
    <w:p w14:paraId="1A06835F" w14:textId="77777777" w:rsidR="00B35D37" w:rsidRDefault="00B35D37" w:rsidP="00B35D37">
      <w:pPr>
        <w:pStyle w:val="TextoNormal"/>
      </w:pPr>
      <w:r>
        <w:t xml:space="preserve">Este pronunciamiento supone que el art. 177 LGSS en conexión con el apartado 4 del art. 48 LET, objeto de la presente cuestión de inconstitucionalidad, ya ha sido declarado inconstitucional, y, aunque no haya sido expulsado del ordenamiento jurídico en sentido propio, no puede ser aplicado ni interpretado más que en los términos previstos en la STC 140/2024. Dice aquella sentencia que, mientras el legislador no lleve a cabo la consiguiente reforma normativa, en las familias monoparentales el permiso al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 Este pronunciamiento previo del Tribunal Constitucional determina, aplicando </w:t>
      </w:r>
      <w:r w:rsidRPr="00B35D37">
        <w:rPr>
          <w:i/>
        </w:rPr>
        <w:t>mutatis mutandis</w:t>
      </w:r>
      <w:r>
        <w:t xml:space="preserve"> la reiterada doctrina de este tribunal sobre la pérdida sobrevenida del objeto en caso de declaración de inconstitucionalidad y nulidad de los preceptos objeto de un proceso de control de constitucionalidad (SSTC 387/1993, de 23 de diciembre, FJ único; 72/1997, de 10 de abril, FJ único; 91/1997, de 8 de mayo, FJ único; y AATC 428/2006, de 21 de noviembre, FJ único; 175/2010, de 23 de noviembre, FJ único; 6/2016, de 19 de enero, FJ 5; 10/2016, de 19 de enero, FJ 5; 5/2017, de 17 de enero, FJ único, y 101/2017, de 4 de julio, por todos), la inadmisión de la presente cuestión de inconstitucionalidad respecto del art. 177 LGSS en conexión con el apartado 4 del art. 48 LET.</w:t>
      </w:r>
    </w:p>
    <w:p w14:paraId="70BEED42" w14:textId="77777777" w:rsidR="00B35D37" w:rsidRDefault="00B35D37" w:rsidP="00B35D37">
      <w:pPr>
        <w:pStyle w:val="TextoNormal"/>
      </w:pPr>
    </w:p>
    <w:p w14:paraId="731B769F" w14:textId="5B724232" w:rsidR="00B35D37" w:rsidRDefault="00B35D37" w:rsidP="00B35D37">
      <w:pPr>
        <w:pStyle w:val="TextoNormal"/>
      </w:pPr>
      <w:r>
        <w:t>Por lo que respecta al art. 177 LGSS en relación con los apartados 5 y 6 del art. 48 LET, siendo que el apartado 5 se refiere a los supuestos de adopción, guarda con fines de adopción y acogimiento, mientras que el apartado 6 establece una regla especial aplicable a los supuestos en que el hijo presenta una discapacidad o a supuestos de nacimiento, adopción, guarda con fines de adopción o acogimiento múltiples, circunstancias que no concurren en el proceso, este tribunal tiene que manifestar que ambos apartados no superan los juicios de aplicabilidad y relevancia. Eso ocurría igualmente en la STC 140/2024, en relación con los apartados 5 y 6 del art. 48 LET, pues, aunque el órgano judicial requirente de aquella cuestión también citó los apartados 4, 5 y 6 del art. 48 LET, solo el primero (referido al nacimiento) era aplicable en el proceso, por lo que, en dicho pronunciamiento, se acotó el objeto de nuestro enjuiciamiento al art. 48.4 LET, en relación con el art. 177 LGSS. Lo cierto es que, aunque el control que efectúa este tribunal sobre los juicios de aplicabilidad y de relevancia es meramente externo y no autoriza a “sustituir al órgano judicial en [su] determinación”,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(por todas, STC 7/2023, de 21 de febrero, FJ 2). En consecuencia, en la presente cuestión de inconstitucionalidad, respecto del art. 177 LGSS en conexión con los apartados 5 y 6 del art. 48 LET, procede la inadmisión por no cumplirse el juicio de aplicabilidad y de relevancia.</w:t>
      </w:r>
    </w:p>
    <w:p w14:paraId="5DB6ED9A" w14:textId="77777777" w:rsidR="00B35D37" w:rsidRDefault="00B35D37" w:rsidP="00B35D37">
      <w:pPr>
        <w:pStyle w:val="TextoNormal"/>
      </w:pPr>
    </w:p>
    <w:p w14:paraId="2E65E726" w14:textId="77777777" w:rsidR="00B35D37" w:rsidRDefault="00B35D37" w:rsidP="00B35D37">
      <w:pPr>
        <w:pStyle w:val="TextoNormal"/>
      </w:pPr>
      <w:r>
        <w:t>Por lo expuesto, el Pleno</w:t>
      </w:r>
    </w:p>
    <w:p w14:paraId="41161DA8" w14:textId="087C94D2" w:rsidR="00B35D37" w:rsidRDefault="00B35D37" w:rsidP="00B35D37">
      <w:pPr>
        <w:pStyle w:val="TextoNormal"/>
      </w:pPr>
    </w:p>
    <w:p w14:paraId="7D18609F" w14:textId="77777777" w:rsidR="00B35D37" w:rsidRDefault="00B35D37" w:rsidP="00B35D37">
      <w:pPr>
        <w:pStyle w:val="TextoNormalCentrado"/>
      </w:pPr>
      <w:r>
        <w:t>ACUERDA</w:t>
      </w:r>
    </w:p>
    <w:p w14:paraId="45442A47" w14:textId="6316CF37" w:rsidR="00B35D37" w:rsidRDefault="00B35D37" w:rsidP="00B35D37">
      <w:pPr>
        <w:pStyle w:val="TextoNormalCentrado"/>
      </w:pPr>
    </w:p>
    <w:p w14:paraId="464E3B38" w14:textId="77777777" w:rsidR="00B35D37" w:rsidRDefault="00B35D37" w:rsidP="00B35D37">
      <w:pPr>
        <w:pStyle w:val="TextoNormal"/>
      </w:pPr>
      <w:r>
        <w:t>1º Declarar la inadmisión de la cuestión de inconstitucionalidad núm. 3595-2023 por desaparición sobrevenida de su objeto, respecto del art. 177 LGSS en relación con el apartado 4 del art. 48 LET.</w:t>
      </w:r>
    </w:p>
    <w:p w14:paraId="13AFDB3D" w14:textId="77777777" w:rsidR="00B35D37" w:rsidRDefault="00B35D37" w:rsidP="00B35D37">
      <w:pPr>
        <w:pStyle w:val="TextoNormal"/>
      </w:pPr>
    </w:p>
    <w:p w14:paraId="719F1C69" w14:textId="605B5A64" w:rsidR="00B35D37" w:rsidRDefault="00B35D37" w:rsidP="00B35D37">
      <w:pPr>
        <w:pStyle w:val="TextoNormal"/>
      </w:pPr>
      <w:r>
        <w:t>2º Declarar la inadmisión de la cuestión de inconstitucionalidad núm. 3595-2023 por incumplimiento del juicio de aplicabilidad y de relevancia respecto del art. 177 LGSS en relación con los apartados 5 y 6 del art. 48 LET.</w:t>
      </w:r>
    </w:p>
    <w:p w14:paraId="58BA61C7" w14:textId="77777777" w:rsidR="00B35D37" w:rsidRDefault="00B35D37" w:rsidP="00B35D37">
      <w:pPr>
        <w:pStyle w:val="TextoNormal"/>
      </w:pPr>
    </w:p>
    <w:p w14:paraId="0FE88953" w14:textId="77777777" w:rsidR="00B35D37" w:rsidRDefault="00B35D37" w:rsidP="00B35D37">
      <w:pPr>
        <w:pStyle w:val="TextoNormal"/>
      </w:pPr>
      <w:r>
        <w:t>Madrid, a veintisiete de mayo de dos mil veinticinco.</w:t>
      </w:r>
    </w:p>
    <w:p w14:paraId="0F37256A" w14:textId="51A313CC" w:rsidR="00B35D37" w:rsidRDefault="00B35D37">
      <w:pPr>
        <w:spacing w:after="160" w:line="278" w:lineRule="auto"/>
        <w:rPr>
          <w:rFonts w:ascii="Times New Roman" w:eastAsia="Times New Roman" w:hAnsi="Times New Roman" w:cs="Times New Roman"/>
          <w:sz w:val="24"/>
          <w:szCs w:val="24"/>
          <w:lang w:eastAsia="es-ES"/>
        </w:rPr>
      </w:pPr>
      <w:r>
        <w:br w:type="page"/>
      </w:r>
    </w:p>
    <w:p w14:paraId="117ED133" w14:textId="77777777" w:rsidR="00B35D37" w:rsidRDefault="00B35D37" w:rsidP="00B35D37">
      <w:pPr>
        <w:pStyle w:val="TtuloResolucin"/>
      </w:pPr>
      <w:bookmarkStart w:id="195" w:name="AUTO_2025_56"/>
      <w:r>
        <w:t>AUTO 56/2025, de 27 de mayo de 2025</w:t>
      </w:r>
    </w:p>
    <w:bookmarkEnd w:id="195"/>
    <w:p w14:paraId="58F005ED" w14:textId="77777777" w:rsidR="00B35D37" w:rsidRDefault="00B35D37" w:rsidP="00B35D37">
      <w:pPr>
        <w:pStyle w:val="TtuloResolucin"/>
      </w:pPr>
      <w:r>
        <w:t>Pleno</w:t>
      </w:r>
    </w:p>
    <w:p w14:paraId="0057DB08" w14:textId="77777777" w:rsidR="00B35D37" w:rsidRDefault="00B35D37" w:rsidP="00B35D37">
      <w:pPr>
        <w:pStyle w:val="TextoNormalCentrado"/>
      </w:pPr>
      <w:r>
        <w:t>ECLI:ES:TC:2025:56A</w:t>
      </w:r>
    </w:p>
    <w:p w14:paraId="7083F304" w14:textId="110ED040" w:rsidR="00B35D37" w:rsidRDefault="00B35D37" w:rsidP="00B35D37">
      <w:pPr>
        <w:pStyle w:val="TextoNormalCentrado"/>
      </w:pPr>
    </w:p>
    <w:p w14:paraId="7A2D0569" w14:textId="77777777" w:rsidR="00B35D37" w:rsidRDefault="00B35D37" w:rsidP="00B35D37">
      <w:pPr>
        <w:pStyle w:val="SntesisDescriptiva"/>
      </w:pPr>
      <w:r>
        <w:t>Excms. Srs.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01F9FB34" w14:textId="59C1C846" w:rsidR="00B35D37" w:rsidRDefault="00B35D37" w:rsidP="00B35D37">
      <w:pPr>
        <w:pStyle w:val="SntesisDescriptiva"/>
      </w:pPr>
    </w:p>
    <w:p w14:paraId="311E92A7" w14:textId="77777777" w:rsidR="00B35D37" w:rsidRDefault="00B35D37" w:rsidP="00B35D37">
      <w:pPr>
        <w:pStyle w:val="SntesisDescriptiva"/>
      </w:pPr>
      <w:r>
        <w:t>Inadmite las recusaciones formuladas en el recurso de amparo 5439-2023 y otros tres más, promovidos por don Carles Puigdemont i Casamajó, don Antoni Comín i Oliveres y doña Clara Ponsatí i Obiols en causa penal.</w:t>
      </w:r>
    </w:p>
    <w:p w14:paraId="1C6A754A" w14:textId="3B226236" w:rsidR="00B35D37" w:rsidRDefault="00B35D37" w:rsidP="00B35D37">
      <w:pPr>
        <w:pStyle w:val="SntesisDescriptiva"/>
      </w:pPr>
    </w:p>
    <w:p w14:paraId="2378223E" w14:textId="77777777" w:rsidR="00B35D37" w:rsidRDefault="00B35D37" w:rsidP="00B35D37">
      <w:pPr>
        <w:pStyle w:val="SntesisDescriptiva"/>
      </w:pPr>
    </w:p>
    <w:p w14:paraId="21D3DF84" w14:textId="77777777" w:rsidR="00B35D37" w:rsidRDefault="00B35D37" w:rsidP="00B35D37">
      <w:pPr>
        <w:pStyle w:val="SntesisDescriptiva"/>
      </w:pPr>
    </w:p>
    <w:p w14:paraId="6F539A56" w14:textId="77777777" w:rsidR="00B35D37" w:rsidRDefault="00B35D37" w:rsidP="00B35D37">
      <w:pPr>
        <w:pStyle w:val="TextoNormalNegritaCentrado"/>
      </w:pPr>
      <w:r>
        <w:t>AUTO</w:t>
      </w:r>
    </w:p>
    <w:p w14:paraId="29D4A082" w14:textId="5D1E5299" w:rsidR="00B35D37" w:rsidRDefault="00B35D37" w:rsidP="00B35D37">
      <w:pPr>
        <w:pStyle w:val="TextoNormalNegritaCentrado"/>
      </w:pPr>
    </w:p>
    <w:p w14:paraId="4ED275BE" w14:textId="77777777" w:rsidR="00B35D37" w:rsidRDefault="00B35D37" w:rsidP="00B35D37">
      <w:pPr>
        <w:pStyle w:val="TextoNormalNegritaCentrado"/>
        <w:keepNext/>
      </w:pPr>
      <w:r>
        <w:t>I. Antecedentes</w:t>
      </w:r>
    </w:p>
    <w:p w14:paraId="299DE28B" w14:textId="2908B9F3" w:rsidR="00B35D37" w:rsidRDefault="00B35D37" w:rsidP="00B35D37">
      <w:pPr>
        <w:pStyle w:val="TextoNormalNegritaCentrado"/>
        <w:keepNext/>
      </w:pPr>
    </w:p>
    <w:p w14:paraId="015E6697" w14:textId="4C5FD89C" w:rsidR="00B35D37" w:rsidRDefault="00B35D37" w:rsidP="00B35D37">
      <w:pPr>
        <w:pStyle w:val="TextoNormal"/>
      </w:pPr>
      <w:r w:rsidRPr="00B35D37">
        <w:rPr>
          <w:rStyle w:val="NumeroAFNegritaCaracter"/>
        </w:rPr>
        <w:t>1</w:t>
      </w:r>
      <w:r>
        <w:t>. . Mediante escrito presentado en el registro de este tribunal el 12 de septiembre de 2024, el procurador de los tribunales don Carlos Ricardo Estévez Sanz,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5439-2023, interpuesto por don Carles Puigdemont i Casamajó y don Antoni Comín i Oliveres, contra resoluciones dictadas por la Sala de lo Penal del Tribunal Supremo en la causa especial núm. 20907/2017.</w:t>
      </w:r>
    </w:p>
    <w:p w14:paraId="3A6E83D9" w14:textId="77777777" w:rsidR="00B35D37" w:rsidRDefault="00B35D37" w:rsidP="00B35D37">
      <w:pPr>
        <w:pStyle w:val="TextoNormal"/>
      </w:pPr>
    </w:p>
    <w:p w14:paraId="6BB291E9" w14:textId="2FAAC1E4" w:rsidR="00B35D37" w:rsidRDefault="00B35D37" w:rsidP="00B35D37">
      <w:pPr>
        <w:pStyle w:val="TextoNormal"/>
      </w:pPr>
      <w:r w:rsidRPr="00B35D37">
        <w:rPr>
          <w:rStyle w:val="NumeroAFNegritaCaracter"/>
        </w:rPr>
        <w:t>2</w:t>
      </w:r>
      <w:r>
        <w:t>. Mediante escritos presentados en el registro de este tribunal en la misma fecha, el procurador de los tribunales don Javier Fernández Estrada,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64-2020, interpuesto por don Carles Puigdemont i Casamajó y don Antoni Comín i Oliveres contra resoluciones dictadas en la causa especial núm. 20907/2017; en el recurso de amparo núm. 972-2021, interpuesto por don Carles Puigdemont i Casamajó, don Antoni Comín i Oliveres y doña Clara Ponsatí i Obiols contra resoluciones dictadas en la misma causa especial; y en el recurso de amparo núm. 2835-2021, interpuesto por doña Clara Ponsatí i Obiols contra resoluciones dictadas también en la referida causa especial.</w:t>
      </w:r>
    </w:p>
    <w:p w14:paraId="71F71393" w14:textId="77777777" w:rsidR="00B35D37" w:rsidRDefault="00B35D37" w:rsidP="00B35D37">
      <w:pPr>
        <w:pStyle w:val="TextoNormal"/>
      </w:pPr>
    </w:p>
    <w:p w14:paraId="3AB5E470" w14:textId="23D16C57" w:rsidR="00B35D37" w:rsidRDefault="00B35D37" w:rsidP="00B35D37">
      <w:pPr>
        <w:pStyle w:val="TextoNormal"/>
      </w:pPr>
      <w:r w:rsidRPr="00B35D37">
        <w:rPr>
          <w:rStyle w:val="NumeroAFNegritaCaracter"/>
        </w:rPr>
        <w:t>3</w:t>
      </w:r>
      <w:r>
        <w:t>. Todos los incidentes de recusación tienen idéntica fundamentación. Aducen los recusantes que el magistrado don José María Macías Castaño ha perdido la necesaria apariencia de imparcialidad por hallarse incurso en la causa de abstención o recusación del apartado 10 (interés directo o indirecto en el pleito o causa) del art. 219 de la Ley Orgánica del Poder Judicial (LOPJ), de aplicación en este tribunal conforme al art. 80 de la Ley Orgánica del Tribunal Constitucional (LOTC). Ello sería así porque, antes de su toma de posesión como magistrado constitucional, don José María Macías Castaño habría venido realizando manifestaciones públicas que expresan una abierta hostilidad hacia los intereses de los recusantes y la Ley Orgánica 1/2024, de 10 de junio, de amnistía para la normalización institucional, política y social en Cataluña, lo que lleva a presumir que en su persona concurren datos bastantes para entender que no será imparcial ni en los recursos de amparo planteados por aquellos ni en los que en el futuro se generen respecto de la aplicabilidad de la citada ley. Citan como ejemplo diversas noticias aparecidas en medios de comunicación que recogen opiniones del recusado, así como entrevistas concedidas a otros medios.</w:t>
      </w:r>
    </w:p>
    <w:p w14:paraId="1908651E" w14:textId="77777777" w:rsidR="00B35D37" w:rsidRDefault="00B35D37" w:rsidP="00B35D37">
      <w:pPr>
        <w:pStyle w:val="TextoNormal"/>
      </w:pPr>
    </w:p>
    <w:p w14:paraId="0C9AD2C7" w14:textId="77777777" w:rsidR="00B35D37" w:rsidRDefault="00B35D37" w:rsidP="00B35D37">
      <w:pPr>
        <w:pStyle w:val="TextoNormal"/>
      </w:pPr>
      <w:r w:rsidRPr="00B35D37">
        <w:rPr>
          <w:rStyle w:val="NumeroAFNegritaCaracter"/>
        </w:rPr>
        <w:t>4</w:t>
      </w:r>
      <w:r>
        <w:t>. Los recursos de amparo núm. 64-2020, 972-2021 y 2835-2021, avocados al Pleno, están admitidos a trámite y se encuentran pendientes de sentencia. El recurso de amparo núm. 5439-2023 ha sido avocado al Pleno por providencia de 12 de septiembre de 2023, encontrándose pendiente de decisión sobre su admisión, toda vez que contra el ATC 378/2023, de 9 de agosto, de la Sección de Vacaciones, que acuerda su inadmisión, han sido interpuestos recursos de súplica por el Ministerio Fiscal y por los demandantes de amparo.</w:t>
      </w:r>
    </w:p>
    <w:p w14:paraId="292A534B" w14:textId="77777777" w:rsidR="00B35D37" w:rsidRDefault="00B35D37" w:rsidP="00B35D37">
      <w:pPr>
        <w:pStyle w:val="TextoNormal"/>
      </w:pPr>
    </w:p>
    <w:p w14:paraId="35756E73" w14:textId="468F4DB3" w:rsidR="00B35D37" w:rsidRDefault="00B35D37" w:rsidP="00B35D37">
      <w:pPr>
        <w:pStyle w:val="TextoNormal"/>
      </w:pPr>
      <w:r>
        <w:t>El Pleno del Tribunal, por ATC 48/2021, de 21 de abril, acordó aceptar la abstención formulada por el magistrado don Cándido Conde-Pumpido Tourón en diversos recursos de amparo, entre ellos los recursos núm. 64-2020 y 972-2021. Asimismo, por ATC 99/2021, de 28 de octubre, acordó aceptar la abstención del referido magistrado en el recurso de amparo núm. 2835-2021. Y por ATC 434/2023, de 12 de septiembre, acordó también aceptar su abstención en el recurso de amparo núm. 5439-2023. Quedando en consecuencia dicho magistrado definitivamente apartado del conocimiento de los referidos recursos de amparo y de todas sus incidencias.</w:t>
      </w:r>
    </w:p>
    <w:p w14:paraId="02D7EEAE" w14:textId="77777777" w:rsidR="00B35D37" w:rsidRDefault="00B35D37" w:rsidP="00B35D37">
      <w:pPr>
        <w:pStyle w:val="TextoNormal"/>
      </w:pPr>
    </w:p>
    <w:p w14:paraId="7076E4E6" w14:textId="37407D54" w:rsidR="00B35D37" w:rsidRDefault="00B35D37" w:rsidP="00B35D37">
      <w:pPr>
        <w:pStyle w:val="TextoNormal"/>
      </w:pPr>
      <w:r w:rsidRPr="00B35D37">
        <w:rPr>
          <w:rStyle w:val="NumeroAFNegritaCaracter"/>
        </w:rPr>
        <w:t>5</w:t>
      </w:r>
      <w:r>
        <w:t>. La Secretaría de Justicia del Pleno del Tribunal, mediante diligencia de ordenación de 25 de abril de 2025, acordó designar ponente de los incidentes de recusación formulados en el recurso de amparo núm. 5439-2023, así como en los recursos de amparo núm. 64-2020, 972-2021 y 2835-2021, al magistrado don Enrique Arnaldo Alcubilla, al que por turno correspondía, para que propusiera al Pleno la resolución que procediera.</w:t>
      </w:r>
    </w:p>
    <w:p w14:paraId="7BC65F83" w14:textId="77777777" w:rsidR="00B35D37" w:rsidRDefault="00B35D37" w:rsidP="00B35D37">
      <w:pPr>
        <w:pStyle w:val="TextoNormal"/>
      </w:pPr>
    </w:p>
    <w:p w14:paraId="2EB0A7DC" w14:textId="77777777" w:rsidR="00B35D37" w:rsidRDefault="00B35D37" w:rsidP="00B35D37">
      <w:pPr>
        <w:pStyle w:val="TextoNormalNegritaCentrado"/>
        <w:keepNext/>
      </w:pPr>
      <w:r>
        <w:t>II. Fundamentos jurídicos</w:t>
      </w:r>
    </w:p>
    <w:p w14:paraId="4EF25265" w14:textId="414FD524" w:rsidR="00B35D37" w:rsidRDefault="00B35D37" w:rsidP="00B35D37">
      <w:pPr>
        <w:pStyle w:val="TextoNormalNegritaCentrado"/>
        <w:keepNext/>
      </w:pPr>
    </w:p>
    <w:p w14:paraId="51A374D4" w14:textId="77777777" w:rsidR="00B35D37" w:rsidRDefault="00B35D37" w:rsidP="00B35D37">
      <w:pPr>
        <w:pStyle w:val="TextoNormal"/>
      </w:pPr>
      <w:r w:rsidRPr="00B35D37">
        <w:rPr>
          <w:rStyle w:val="TextoNormalNegritaCaracter"/>
        </w:rPr>
        <w:t xml:space="preserve">Único. </w:t>
      </w:r>
      <w:r>
        <w:t>El objeto de la presente resolución es dar respuesta a la solicitud de recusación del magistrado don José María Macías Castaño formulada en los recursos de amparo núm. 64-2020, 972-2021, 2835-2021 y 5439-2023 por don Carles Puigdemont i Casamajó, don Antoni Comín i Oliveres y doña Clara Ponsatí i Obiols, con fundamento en la causa del apartado 10 (tener interés directo o indirecto en el pleito o causa) del art. 219 LOPJ, por los motivos que han quedado expuestos en los antecedentes.</w:t>
      </w:r>
    </w:p>
    <w:p w14:paraId="6C18F9FF" w14:textId="77777777" w:rsidR="00B35D37" w:rsidRDefault="00B35D37" w:rsidP="00B35D37">
      <w:pPr>
        <w:pStyle w:val="TextoNormal"/>
      </w:pPr>
    </w:p>
    <w:p w14:paraId="4EDB63E6" w14:textId="77777777" w:rsidR="00B35D37" w:rsidRDefault="00B35D37" w:rsidP="00B35D37">
      <w:pPr>
        <w:pStyle w:val="TextoNormal"/>
      </w:pPr>
      <w:r>
        <w:t>El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(así, AATC 86/2021, de 16 de septiembre, FJ 3; 107/2021, de 15 de diciembre, FJ 5; 156/2022, de 16 de noviembre, FJ 2; 31/2023, de 7 de febrero, FJ 2; 490/2023, de 24 de octubre, FJ 1, y 30/2025, de 25 de marzo, FJ único, entre otros muchos).</w:t>
      </w:r>
    </w:p>
    <w:p w14:paraId="41D50EEA" w14:textId="77777777" w:rsidR="00B35D37" w:rsidRDefault="00B35D37" w:rsidP="00B35D37">
      <w:pPr>
        <w:pStyle w:val="TextoNormal"/>
      </w:pPr>
    </w:p>
    <w:p w14:paraId="04E122AA" w14:textId="77777777" w:rsidR="00B35D37" w:rsidRDefault="00B35D37" w:rsidP="00B35D37">
      <w:pPr>
        <w:pStyle w:val="TextoNormal"/>
      </w:pPr>
      <w:r>
        <w:t>El Tribunal, en atención a la citada doctrina, deniega liminarmente la tramitación de la recusación formulada, por las siguientes razones:</w:t>
      </w:r>
    </w:p>
    <w:p w14:paraId="0BFE54C8" w14:textId="77777777" w:rsidR="00B35D37" w:rsidRDefault="00B35D37" w:rsidP="00B35D37">
      <w:pPr>
        <w:pStyle w:val="TextoNormal"/>
      </w:pPr>
    </w:p>
    <w:p w14:paraId="04E3B770" w14:textId="77777777" w:rsidR="00B35D37" w:rsidRDefault="00B35D37" w:rsidP="00B35D37">
      <w:pPr>
        <w:pStyle w:val="TextoNormal"/>
      </w:pPr>
      <w:r>
        <w:t xml:space="preserve">a) Doña Clara Ponsatí i Obiols no es parte demandante en los recursos de amparo núm. 64-2020 y 5439-2023, por lo que carece de legitimación para impetrar la recusación de alguno de los magistrados de este tribunal que conocen o pudieran llegar a conocer de dichos asuntos. Tampoco ha pedido su personación en esos procesos constitucionales </w:t>
      </w:r>
      <w:r w:rsidRPr="00B35D37">
        <w:rPr>
          <w:i/>
        </w:rPr>
        <w:t>ex</w:t>
      </w:r>
      <w:r>
        <w:t xml:space="preserve"> art. 47.1 LOTC, por lo que no puede adherirse a la recusación deducida por quienes sí son parte en los mismos (don Carles Puigdemont i Casamajó y don Antoni Comín i Oliveres).</w:t>
      </w:r>
    </w:p>
    <w:p w14:paraId="54FF81F1" w14:textId="77777777" w:rsidR="00B35D37" w:rsidRDefault="00B35D37" w:rsidP="00B35D37">
      <w:pPr>
        <w:pStyle w:val="TextoNormal"/>
      </w:pPr>
    </w:p>
    <w:p w14:paraId="349F02B8" w14:textId="77777777" w:rsidR="00B35D37" w:rsidRDefault="00B35D37" w:rsidP="00B35D37">
      <w:pPr>
        <w:pStyle w:val="TextoNormal"/>
      </w:pPr>
      <w:r>
        <w:t xml:space="preserve">Lo mismo sucede con don Carles Puigdemont i Casamajó y don Antoni Comín i Oliveres respecto del recurso de amparo núm. 2835-2021, interpuesto únicamente por doña Clara Ponsatí i Obiols y en el que aquellos no han solicitado su personación </w:t>
      </w:r>
      <w:r w:rsidRPr="00B35D37">
        <w:rPr>
          <w:i/>
        </w:rPr>
        <w:t>ex</w:t>
      </w:r>
      <w:r>
        <w:t xml:space="preserve"> art. 47.1 LOTC; por tanto, solo a la señora Ponsatí i Obiols se ciñe la legitimación para recusar en dicho proceso.</w:t>
      </w:r>
    </w:p>
    <w:p w14:paraId="2856E59B" w14:textId="77777777" w:rsidR="00B35D37" w:rsidRDefault="00B35D37" w:rsidP="00B35D37">
      <w:pPr>
        <w:pStyle w:val="TextoNormal"/>
      </w:pPr>
    </w:p>
    <w:p w14:paraId="5C9BBD01" w14:textId="77777777" w:rsidR="00B35D37" w:rsidRDefault="00B35D37" w:rsidP="00B35D37">
      <w:pPr>
        <w:pStyle w:val="TextoNormal"/>
      </w:pPr>
      <w:r>
        <w:t>b) Sin perjuicio de lo anterior, resulta que, en todo caso, la causa de recusación invocada —art. 219.10 LOPJ: tener interés directo o indirecto en el pleito o causa— aparece como manifiestamente infundada.</w:t>
      </w:r>
    </w:p>
    <w:p w14:paraId="0FDA8A5C" w14:textId="77777777" w:rsidR="00B35D37" w:rsidRDefault="00B35D37" w:rsidP="00B35D37">
      <w:pPr>
        <w:pStyle w:val="TextoNormal"/>
      </w:pPr>
    </w:p>
    <w:p w14:paraId="567F0482" w14:textId="77777777" w:rsidR="00B35D37" w:rsidRDefault="00B35D37" w:rsidP="00B35D37">
      <w:pPr>
        <w:pStyle w:val="TextoNormal"/>
      </w:pPr>
      <w:r>
        <w:t>La doctrina de este tribunal ha declarado que por interés directo o indirecto debe entenderse aquello que proporcione al magistrado un potencial provecho o beneficio o le evite una carga o perjuicio, para sí o para sus allegados. Ha de tratarse de un interés singularizado en relación con el concreto proceso en que se plantee la recusación y actual, esto es, concurrente en el momento en que se promueve su apartamiento mediante la recusación (por todos, AATC 484/2023, de 24 de octubre, FJ 3, y 23/2025, de 11 de marzo, FJ 3).</w:t>
      </w:r>
    </w:p>
    <w:p w14:paraId="6D512BE6" w14:textId="77777777" w:rsidR="00B35D37" w:rsidRDefault="00B35D37" w:rsidP="00B35D37">
      <w:pPr>
        <w:pStyle w:val="TextoNormal"/>
      </w:pPr>
    </w:p>
    <w:p w14:paraId="085797D2" w14:textId="3748B42F" w:rsidR="00B35D37" w:rsidRDefault="00B35D37" w:rsidP="00B35D37">
      <w:pPr>
        <w:pStyle w:val="TextoNormal"/>
      </w:pPr>
      <w:r>
        <w:t>Ningún argumento se ofrece en los escritos presentados por los recusantes que apunte a la eventual existencia de un interés de esta naturaleza en el magistrado recusado, pues las alegaciones contenidas en dichos escritos no pasan de ser recelos genéricos, construidos sobre determinadas manifestaciones de aquel antes de su toma de posesión como magistrado constitucional, aparecidas en varios medios de comunicación. No expresan qué potencial provecho, beneficio o ventaja para el magistrado recusado pudiera derivarse del resultado de los referidos recursos de amparo, circunstancia que en cualquier caso no se advierte que concurra.</w:t>
      </w:r>
    </w:p>
    <w:p w14:paraId="44F0798D" w14:textId="77777777" w:rsidR="00B35D37" w:rsidRDefault="00B35D37" w:rsidP="00B35D37">
      <w:pPr>
        <w:pStyle w:val="TextoNormal"/>
      </w:pPr>
    </w:p>
    <w:p w14:paraId="05A48FAE" w14:textId="77777777" w:rsidR="00B35D37" w:rsidRDefault="00B35D37" w:rsidP="00B35D37">
      <w:pPr>
        <w:pStyle w:val="TextoNormal"/>
      </w:pPr>
      <w:r>
        <w:t>Por lo expuesto, el Pleno</w:t>
      </w:r>
    </w:p>
    <w:p w14:paraId="74C750B8" w14:textId="1D70A632" w:rsidR="00B35D37" w:rsidRDefault="00B35D37" w:rsidP="00B35D37">
      <w:pPr>
        <w:pStyle w:val="TextoNormal"/>
      </w:pPr>
    </w:p>
    <w:p w14:paraId="44256051" w14:textId="77777777" w:rsidR="00B35D37" w:rsidRDefault="00B35D37" w:rsidP="00B35D37">
      <w:pPr>
        <w:pStyle w:val="TextoNormalCentrado"/>
      </w:pPr>
      <w:r>
        <w:t>ACUERDA</w:t>
      </w:r>
    </w:p>
    <w:p w14:paraId="1BEF888E" w14:textId="4F567DCF" w:rsidR="00B35D37" w:rsidRDefault="00B35D37" w:rsidP="00B35D37">
      <w:pPr>
        <w:pStyle w:val="TextoNormalCentrado"/>
      </w:pPr>
    </w:p>
    <w:p w14:paraId="11110764" w14:textId="77777777" w:rsidR="00B35D37" w:rsidRDefault="00B35D37" w:rsidP="00B35D37">
      <w:pPr>
        <w:pStyle w:val="TextoNormal"/>
      </w:pPr>
      <w:r>
        <w:t>No admitir a trámite la recusación formulada por don Carles Puigdemont i Casamajó, don Antoni Comín i Oliveres y doña Clara Ponsatí i Obiols, mediante escritos presentados en este tribunal el 12 de septiembre de 2024, en los recursos de amparo núm. 64-2020, 972-2021, 2835-2021 y 5439-2023.</w:t>
      </w:r>
    </w:p>
    <w:p w14:paraId="417BA57C" w14:textId="77777777" w:rsidR="00B35D37" w:rsidRDefault="00B35D37" w:rsidP="00B35D37">
      <w:pPr>
        <w:pStyle w:val="TextoNormal"/>
      </w:pPr>
    </w:p>
    <w:p w14:paraId="1C90B86B" w14:textId="3F884B22" w:rsidR="00B35D37" w:rsidRDefault="00B35D37" w:rsidP="00B35D37">
      <w:pPr>
        <w:pStyle w:val="TextoNormal"/>
      </w:pPr>
      <w:r>
        <w:t>Déjese el original de la presente resolución en el recurso de amparo núm. 5439-2023 y llévese testimonio a los restantes.</w:t>
      </w:r>
    </w:p>
    <w:p w14:paraId="0DDED965" w14:textId="77777777" w:rsidR="00B35D37" w:rsidRDefault="00B35D37" w:rsidP="00B35D37">
      <w:pPr>
        <w:pStyle w:val="TextoNormal"/>
      </w:pPr>
    </w:p>
    <w:p w14:paraId="3587EAA1" w14:textId="77777777" w:rsidR="00B35D37" w:rsidRDefault="00B35D37" w:rsidP="00B35D37">
      <w:pPr>
        <w:pStyle w:val="TextoNormal"/>
      </w:pPr>
      <w:r>
        <w:t>Madrid, a veintisiete de mayo de dos mil veinticinco.</w:t>
      </w:r>
    </w:p>
    <w:p w14:paraId="6A1CF42F" w14:textId="73D0AED3" w:rsidR="00B35D37" w:rsidRDefault="00B35D37">
      <w:pPr>
        <w:spacing w:after="160" w:line="278" w:lineRule="auto"/>
        <w:rPr>
          <w:rFonts w:ascii="Times New Roman" w:eastAsia="Times New Roman" w:hAnsi="Times New Roman" w:cs="Times New Roman"/>
          <w:sz w:val="24"/>
          <w:szCs w:val="24"/>
          <w:lang w:eastAsia="es-ES"/>
        </w:rPr>
      </w:pPr>
      <w:r>
        <w:br w:type="page"/>
      </w:r>
    </w:p>
    <w:p w14:paraId="59EB3EC5" w14:textId="77777777" w:rsidR="00B35D37" w:rsidRDefault="00B35D37" w:rsidP="00B35D37">
      <w:pPr>
        <w:pStyle w:val="TtuloResolucin"/>
      </w:pPr>
      <w:bookmarkStart w:id="196" w:name="AUTO_2025_57"/>
      <w:r>
        <w:t>AUTO 57/2025, de 27 de mayo de 2025</w:t>
      </w:r>
    </w:p>
    <w:bookmarkEnd w:id="196"/>
    <w:p w14:paraId="004769B2" w14:textId="77777777" w:rsidR="00B35D37" w:rsidRDefault="00B35D37" w:rsidP="00B35D37">
      <w:pPr>
        <w:pStyle w:val="TtuloResolucin"/>
      </w:pPr>
      <w:r>
        <w:t>Pleno</w:t>
      </w:r>
    </w:p>
    <w:p w14:paraId="2D067CE1" w14:textId="77777777" w:rsidR="00B35D37" w:rsidRDefault="00B35D37" w:rsidP="00B35D37">
      <w:pPr>
        <w:pStyle w:val="TextoNormalCentrado"/>
      </w:pPr>
      <w:r>
        <w:t>ECLI:ES:TC:2025:57A</w:t>
      </w:r>
    </w:p>
    <w:p w14:paraId="183C477F" w14:textId="5B8F8C4E" w:rsidR="00B35D37" w:rsidRDefault="00B35D37" w:rsidP="00B35D37">
      <w:pPr>
        <w:pStyle w:val="TextoNormalCentrado"/>
      </w:pPr>
    </w:p>
    <w:p w14:paraId="0498F195"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w:t>
      </w:r>
    </w:p>
    <w:p w14:paraId="6228BD3D" w14:textId="636DC12E" w:rsidR="00B35D37" w:rsidRDefault="00B35D37" w:rsidP="00B35D37">
      <w:pPr>
        <w:pStyle w:val="SntesisDescriptiva"/>
      </w:pPr>
    </w:p>
    <w:p w14:paraId="1C95EEE9" w14:textId="77777777" w:rsidR="00B35D37" w:rsidRDefault="00B35D37" w:rsidP="00B35D37">
      <w:pPr>
        <w:pStyle w:val="SntesisDescriptiva"/>
      </w:pPr>
      <w:r>
        <w:t>Inadmite las recusaciones formuladas en los recursos de amparo 5440-2023 y 6248-2022, promovidos por don Carles Puigdemont i Casamajó, don Antoni Comín i Oliveres y doña Clara Ponsatí i Obiols en causa penal.</w:t>
      </w:r>
    </w:p>
    <w:p w14:paraId="6E4F7E2A" w14:textId="7AA810B5" w:rsidR="00B35D37" w:rsidRDefault="00B35D37" w:rsidP="00B35D37">
      <w:pPr>
        <w:pStyle w:val="SntesisDescriptiva"/>
      </w:pPr>
    </w:p>
    <w:p w14:paraId="42A9EAA3" w14:textId="77777777" w:rsidR="00B35D37" w:rsidRDefault="00B35D37" w:rsidP="00B35D37">
      <w:pPr>
        <w:pStyle w:val="SntesisDescriptiva"/>
      </w:pPr>
    </w:p>
    <w:p w14:paraId="61E951C1" w14:textId="77777777" w:rsidR="00B35D37" w:rsidRDefault="00B35D37" w:rsidP="00B35D37">
      <w:pPr>
        <w:pStyle w:val="SntesisDescriptiva"/>
      </w:pPr>
    </w:p>
    <w:p w14:paraId="046D33CB" w14:textId="77777777" w:rsidR="00B35D37" w:rsidRDefault="00B35D37" w:rsidP="00B35D37">
      <w:pPr>
        <w:pStyle w:val="TextoNormalNegritaCentrado"/>
      </w:pPr>
      <w:r>
        <w:t>AUTO</w:t>
      </w:r>
    </w:p>
    <w:p w14:paraId="77F58142" w14:textId="206CAE73" w:rsidR="00B35D37" w:rsidRDefault="00B35D37" w:rsidP="00B35D37">
      <w:pPr>
        <w:pStyle w:val="TextoNormalNegritaCentrado"/>
      </w:pPr>
    </w:p>
    <w:p w14:paraId="38912981" w14:textId="77777777" w:rsidR="00B35D37" w:rsidRDefault="00B35D37" w:rsidP="00B35D37">
      <w:pPr>
        <w:pStyle w:val="TextoNormalNegritaCentrado"/>
        <w:keepNext/>
      </w:pPr>
      <w:r>
        <w:t>I. Antecedentes</w:t>
      </w:r>
    </w:p>
    <w:p w14:paraId="0DF2F539" w14:textId="3CB64C12" w:rsidR="00B35D37" w:rsidRDefault="00B35D37" w:rsidP="00B35D37">
      <w:pPr>
        <w:pStyle w:val="TextoNormalNegritaCentrado"/>
        <w:keepNext/>
      </w:pPr>
    </w:p>
    <w:p w14:paraId="6E21EB6C" w14:textId="68BC6E14" w:rsidR="00B35D37" w:rsidRDefault="00B35D37" w:rsidP="00B35D37">
      <w:pPr>
        <w:pStyle w:val="TextoNormal"/>
      </w:pPr>
      <w:r w:rsidRPr="00B35D37">
        <w:rPr>
          <w:rStyle w:val="NumeroAFNegritaCaracter"/>
        </w:rPr>
        <w:t>1</w:t>
      </w:r>
      <w:r>
        <w:t>. Mediante escrito presentado en el registro de este tribunal el 12 de septiembre de 2024, el procurador de los tribunales don Carlos Ricardo Estévez Sanz,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5440-2023, interpuesto por doña Clara Ponsatí i Obiols, contra resoluciones dictadas por la Sala de lo Penal del Tribunal Supremo en la causa especial núm. 20907-2017.</w:t>
      </w:r>
    </w:p>
    <w:p w14:paraId="3810EF60" w14:textId="77777777" w:rsidR="00B35D37" w:rsidRDefault="00B35D37" w:rsidP="00B35D37">
      <w:pPr>
        <w:pStyle w:val="TextoNormal"/>
      </w:pPr>
    </w:p>
    <w:p w14:paraId="52C29309" w14:textId="51F3596C" w:rsidR="00B35D37" w:rsidRDefault="00B35D37" w:rsidP="00B35D37">
      <w:pPr>
        <w:pStyle w:val="TextoNormal"/>
      </w:pPr>
      <w:r w:rsidRPr="00B35D37">
        <w:rPr>
          <w:rStyle w:val="NumeroAFNegritaCaracter"/>
        </w:rPr>
        <w:t>2</w:t>
      </w:r>
      <w:r>
        <w:t>. Mediante escrito presentado en el registro de este tribunal en la misma fecha, el procurador de los tribunales don Javier Fernández Estrada, en nombre y representación de don Carles Puigdemont i Casamajó, don Antoni Comín i Oliveres y doña Clara Ponsatí i Obiols, y bajo la dirección letrada de don Gonzalo Boye, formuló incidente de recusación del magistrado don José María Macías Castaño en el recurso de amparo núm. 6248-2022, interpuesto por don Carles Puigdemont i Casamajó y don Antoni Comín i Oliveres contra resoluciones dictadas por la Sala de lo Contencioso-Administrativo del Tribunal Supremo en el recurso ordinario núm. 278-2019.</w:t>
      </w:r>
    </w:p>
    <w:p w14:paraId="2DCB98A6" w14:textId="77777777" w:rsidR="00B35D37" w:rsidRDefault="00B35D37" w:rsidP="00B35D37">
      <w:pPr>
        <w:pStyle w:val="TextoNormal"/>
      </w:pPr>
    </w:p>
    <w:p w14:paraId="3E21BF5B" w14:textId="26B375DE" w:rsidR="00B35D37" w:rsidRDefault="00B35D37" w:rsidP="00B35D37">
      <w:pPr>
        <w:pStyle w:val="TextoNormal"/>
      </w:pPr>
      <w:r w:rsidRPr="00B35D37">
        <w:rPr>
          <w:rStyle w:val="NumeroAFNegritaCaracter"/>
        </w:rPr>
        <w:t>3</w:t>
      </w:r>
      <w:r>
        <w:t>. Ambos incidentes de recusación tienen idéntica fundamentación. Aducen los recusantes que el magistrado don José María Macías Castaño ha perdido la necesaria apariencia de imparcialidad por hallarse incurso en la causa de abstención o recusación del apartado 10 (interés directo o indirecto en el pleito o causa) del art. 219 de la Ley Orgánica del Poder Judicial (LOPJ), de aplicación en este tribunal conforme al art. 80 de la Ley Orgánica del Tribunal Constitucional (LOTC). Ello sería así porque, antes de su toma de posesión como magistrado constitucional, don José María Macías Castaño habría venido realizando manifestaciones públicas que expresan una abierta hostilidad hacia los intereses de los recusantes y la Ley Orgánica 1/2024, de 10 de junio, de amnistía para la normalización institucional, política y social de Cataluña, lo que lleva a presumir que en su persona concurren datos bastantes para entender que no será imparcial ni en los recursos de amparo planteados por aquellos ni en los que en el futuro se generen respecto de la aplicabilidad de la citada ley. Citan como ejemplo diversas noticias aparecidas en medios de comunicación que recogen opiniones del recusado, así como entrevistas concedidas a otros medios.</w:t>
      </w:r>
    </w:p>
    <w:p w14:paraId="7A4C81BD" w14:textId="77777777" w:rsidR="00B35D37" w:rsidRDefault="00B35D37" w:rsidP="00B35D37">
      <w:pPr>
        <w:pStyle w:val="TextoNormal"/>
      </w:pPr>
    </w:p>
    <w:p w14:paraId="5D09B341" w14:textId="582EA0EC" w:rsidR="00B35D37" w:rsidRDefault="00B35D37" w:rsidP="00B35D37">
      <w:pPr>
        <w:pStyle w:val="TextoNormal"/>
      </w:pPr>
      <w:r w:rsidRPr="00B35D37">
        <w:rPr>
          <w:rStyle w:val="NumeroAFNegritaCaracter"/>
        </w:rPr>
        <w:t>4</w:t>
      </w:r>
      <w:r>
        <w:t>. El recurso de amparo núm. 5440-2023 se halla pendiente de decidir sobre su admisión en la Sección Tercera del Tribunal. El recurso de amparo núm. 6248-2022 se encuentra pendiente de decisión sobre su admisión en la Sección Primera.</w:t>
      </w:r>
    </w:p>
    <w:p w14:paraId="310A4058" w14:textId="77777777" w:rsidR="00B35D37" w:rsidRDefault="00B35D37" w:rsidP="00B35D37">
      <w:pPr>
        <w:pStyle w:val="TextoNormal"/>
      </w:pPr>
    </w:p>
    <w:p w14:paraId="23601A94" w14:textId="490F86AC" w:rsidR="00B35D37" w:rsidRDefault="00B35D37" w:rsidP="00B35D37">
      <w:pPr>
        <w:pStyle w:val="TextoNormal"/>
      </w:pPr>
      <w:r w:rsidRPr="00B35D37">
        <w:rPr>
          <w:rStyle w:val="NumeroAFNegritaCaracter"/>
        </w:rPr>
        <w:t>5</w:t>
      </w:r>
      <w:r>
        <w:t>. La Secretaría de Justicia del Pleno del Tribunal, mediante diligencia de ordenación de 25 de abril de 2025 dictada en el recurso de amparo núm. 5440-2023, acordó designar ponente de los incidentes de recusación formulados en los recursos de amparo núms. 6248-2022 y 5440-2023 al magistrado don Enrique Arnaldo Alcubilla, al que por turno correspondía, para que propusiera al Pleno la resolución que procediera.</w:t>
      </w:r>
    </w:p>
    <w:p w14:paraId="7F5BEAB4" w14:textId="77777777" w:rsidR="00B35D37" w:rsidRDefault="00B35D37" w:rsidP="00B35D37">
      <w:pPr>
        <w:pStyle w:val="TextoNormal"/>
      </w:pPr>
    </w:p>
    <w:p w14:paraId="6A9DAD64" w14:textId="77777777" w:rsidR="00B35D37" w:rsidRDefault="00B35D37" w:rsidP="00B35D37">
      <w:pPr>
        <w:pStyle w:val="TextoNormalNegritaCentrado"/>
        <w:keepNext/>
      </w:pPr>
      <w:r>
        <w:t>II. Fundamentos jurídicos</w:t>
      </w:r>
    </w:p>
    <w:p w14:paraId="56A8DDB1" w14:textId="274DB175" w:rsidR="00B35D37" w:rsidRDefault="00B35D37" w:rsidP="00B35D37">
      <w:pPr>
        <w:pStyle w:val="TextoNormalNegritaCentrado"/>
        <w:keepNext/>
      </w:pPr>
    </w:p>
    <w:p w14:paraId="54AA9183" w14:textId="77777777" w:rsidR="00B35D37" w:rsidRDefault="00B35D37" w:rsidP="00B35D37">
      <w:pPr>
        <w:pStyle w:val="TextoNormal"/>
      </w:pPr>
      <w:r w:rsidRPr="00B35D37">
        <w:rPr>
          <w:rStyle w:val="TextoNormalNegritaCaracter"/>
        </w:rPr>
        <w:t xml:space="preserve">Único. </w:t>
      </w:r>
      <w:r>
        <w:t>El objeto de la presente resolución es dar respuesta a la solicitud de recusación del magistrado don José María Macías Castaño formulada en los recursos de amparo núm. 6248-2022 y 5440-2023 por don Carles Puigdemont i Casamajó, don Antoni Comín i Oliveres y doña Clara Ponsatí i Obiols, con fundamento en la causa del apartado 10 (tener interés directo o indirecto en el pleito o causa) del art. 219 LOPJ, por los motivos que han quedado expuestos en los antecedentes.</w:t>
      </w:r>
    </w:p>
    <w:p w14:paraId="62522586" w14:textId="77777777" w:rsidR="00B35D37" w:rsidRDefault="00B35D37" w:rsidP="00B35D37">
      <w:pPr>
        <w:pStyle w:val="TextoNormal"/>
      </w:pPr>
    </w:p>
    <w:p w14:paraId="6D529471" w14:textId="77777777" w:rsidR="00B35D37" w:rsidRDefault="00B35D37" w:rsidP="00B35D37">
      <w:pPr>
        <w:pStyle w:val="TextoNormal"/>
      </w:pPr>
      <w:r>
        <w:t>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(así, AATC 86/2021, de 16 de septiembre, FJ 3; 107/2021, de 15 de diciembre, FJ 5; 156/2022, de 16 de noviembre, FJ 2; 31/2023, de 7 de febrero, FJ 2; 490/2023, de 24 de octubre, FJ 1, y 30/2025, de 25 de marzo, FJ único, entre otros muchos).</w:t>
      </w:r>
    </w:p>
    <w:p w14:paraId="2039EE66" w14:textId="77777777" w:rsidR="00B35D37" w:rsidRDefault="00B35D37" w:rsidP="00B35D37">
      <w:pPr>
        <w:pStyle w:val="TextoNormal"/>
      </w:pPr>
    </w:p>
    <w:p w14:paraId="761E1F45" w14:textId="77777777" w:rsidR="00B35D37" w:rsidRDefault="00B35D37" w:rsidP="00B35D37">
      <w:pPr>
        <w:pStyle w:val="TextoNormal"/>
      </w:pPr>
      <w:r>
        <w:t>El Tribunal, en atención a la citada doctrina, deniega liminarmente la tramitación de la recusación formulada, por las siguientes razones:</w:t>
      </w:r>
    </w:p>
    <w:p w14:paraId="044D2318" w14:textId="77777777" w:rsidR="00B35D37" w:rsidRDefault="00B35D37" w:rsidP="00B35D37">
      <w:pPr>
        <w:pStyle w:val="TextoNormal"/>
      </w:pPr>
    </w:p>
    <w:p w14:paraId="7971E071" w14:textId="77777777" w:rsidR="00B35D37" w:rsidRDefault="00B35D37" w:rsidP="00B35D37">
      <w:pPr>
        <w:pStyle w:val="TextoNormal"/>
      </w:pPr>
      <w:r>
        <w:t xml:space="preserve">a) Doña Clara Ponsatí i Obiols no es parte demandante en el recurso de amparo núm. 6248-2022, por lo que carece de legitimación para impetrar la recusación de alguno de los magistrados de este tribunal que conocen o pudieran llegar a conocer de dicho asunto. Tampoco ha pedido su personación en ese proceso constitucional </w:t>
      </w:r>
      <w:r w:rsidRPr="00B35D37">
        <w:rPr>
          <w:i/>
        </w:rPr>
        <w:t>ex</w:t>
      </w:r>
      <w:r>
        <w:t xml:space="preserve"> art. 47.1 LOTC, por lo que no puede adherirse a la recusación deducida por quienes sí son parte en el mismo (don Carles Puigdemont i Casamajó y don Antoni Comín i Oliveres).</w:t>
      </w:r>
    </w:p>
    <w:p w14:paraId="6FF1E81F" w14:textId="77777777" w:rsidR="00B35D37" w:rsidRDefault="00B35D37" w:rsidP="00B35D37">
      <w:pPr>
        <w:pStyle w:val="TextoNormal"/>
      </w:pPr>
    </w:p>
    <w:p w14:paraId="327091F6" w14:textId="77777777" w:rsidR="00B35D37" w:rsidRDefault="00B35D37" w:rsidP="00B35D37">
      <w:pPr>
        <w:pStyle w:val="TextoNormal"/>
      </w:pPr>
      <w:r>
        <w:t xml:space="preserve">Lo mismo sucede con don Carles Puigdemont i Casamajó y don Antoni Comín i Oliveres respecto del recurso de amparo núm. 5440-2023, interpuesto únicamente por doña Clara Ponsatí i Obiols y en el que aquellos no han solicitado su personación </w:t>
      </w:r>
      <w:r w:rsidRPr="00B35D37">
        <w:rPr>
          <w:i/>
        </w:rPr>
        <w:t>ex</w:t>
      </w:r>
      <w:r>
        <w:t xml:space="preserve"> art. 47.1 LOTC; por tanto, solo a la señora Ponsatí i Obiols se ciñe la legitimación para recusar en dicho proceso.</w:t>
      </w:r>
    </w:p>
    <w:p w14:paraId="42B44BCE" w14:textId="77777777" w:rsidR="00B35D37" w:rsidRDefault="00B35D37" w:rsidP="00B35D37">
      <w:pPr>
        <w:pStyle w:val="TextoNormal"/>
      </w:pPr>
    </w:p>
    <w:p w14:paraId="121C2007" w14:textId="77777777" w:rsidR="00B35D37" w:rsidRDefault="00B35D37" w:rsidP="00B35D37">
      <w:pPr>
        <w:pStyle w:val="TextoNormal"/>
      </w:pPr>
      <w:r>
        <w:t>b) La recusación del magistrado don José María Macías Castaño resulta improcedente en este momento procesal en los recursos de amparo núms. 6248-2022 y 5440-2023, ya que no forma parte de la Sección Primera del Tribunal, que debe decidir sobre la admisión del primero de dichos recursos de amparo, ni forma parte tampoco de la Sección Tercera del Tribunal que debe decidir sobre la admisión del segundo de esos recursos.</w:t>
      </w:r>
    </w:p>
    <w:p w14:paraId="5774D824" w14:textId="77777777" w:rsidR="00B35D37" w:rsidRDefault="00B35D37" w:rsidP="00B35D37">
      <w:pPr>
        <w:pStyle w:val="TextoNormal"/>
      </w:pPr>
    </w:p>
    <w:p w14:paraId="789E9A1A" w14:textId="77777777" w:rsidR="00B35D37" w:rsidRDefault="00B35D37" w:rsidP="00B35D37">
      <w:pPr>
        <w:pStyle w:val="TextoNormal"/>
      </w:pPr>
      <w:r>
        <w:t>c) Sin perjuicio de lo anterior, resulta que, en todo caso, la causa de recusación invocada —art. 219.10 LOPJ: tener interés directo o indirecto en el pleito o causa— aparece como manifiestamente infundada.</w:t>
      </w:r>
    </w:p>
    <w:p w14:paraId="20D99729" w14:textId="77777777" w:rsidR="00B35D37" w:rsidRDefault="00B35D37" w:rsidP="00B35D37">
      <w:pPr>
        <w:pStyle w:val="TextoNormal"/>
      </w:pPr>
    </w:p>
    <w:p w14:paraId="5ED29008" w14:textId="77777777" w:rsidR="00B35D37" w:rsidRDefault="00B35D37" w:rsidP="00B35D37">
      <w:pPr>
        <w:pStyle w:val="TextoNormal"/>
      </w:pPr>
      <w:r>
        <w:t>La doctrina de este tribunal ha declarado que por interés directo o indirecto debe entenderse aquello que proporcione al magistrado un potencial provecho o beneficio o le evite una carga o perjuicio, para sí o para sus allegados. Ha de tratarse de un interés singularizado en relación con el concreto proceso en que se plantee la recusación y actual, esto es, concurrente en el momento en que se promueve su apartamiento mediante la recusación (por todos, AATC 484/2023, de 24 de octubre, FJ 3, y 23/2025, de 11 de marzo, FJ 3).</w:t>
      </w:r>
    </w:p>
    <w:p w14:paraId="5D89533A" w14:textId="77777777" w:rsidR="00B35D37" w:rsidRDefault="00B35D37" w:rsidP="00B35D37">
      <w:pPr>
        <w:pStyle w:val="TextoNormal"/>
      </w:pPr>
    </w:p>
    <w:p w14:paraId="4746FDF3" w14:textId="7FBCCFAC" w:rsidR="00B35D37" w:rsidRDefault="00B35D37" w:rsidP="00B35D37">
      <w:pPr>
        <w:pStyle w:val="TextoNormal"/>
      </w:pPr>
      <w:r>
        <w:t>Ningún argumento se ofrece en los escritos presentados por los recusantes que apunte a la eventual existencia de un interés de esta naturaleza en el magistrado recusado, pues las alegaciones contenidas en dichos escritos no pasan de ser recelos genéricos, construidos sobre determinadas manifestaciones de aquel antes de su toma de posesión como magistrado constitucional, aparecidas en varios medios de comunicación. No expresan qué potencial provecho, beneficio o ventaja para el magistrado recusado pudiera derivarse del resultado de los referidos recursos de amparo, circunstancia que en cualquier caso no se advierte que concurra.</w:t>
      </w:r>
    </w:p>
    <w:p w14:paraId="59A752C9" w14:textId="77777777" w:rsidR="00B35D37" w:rsidRDefault="00B35D37" w:rsidP="00B35D37">
      <w:pPr>
        <w:pStyle w:val="TextoNormal"/>
      </w:pPr>
    </w:p>
    <w:p w14:paraId="6286D475" w14:textId="77777777" w:rsidR="00B35D37" w:rsidRDefault="00B35D37" w:rsidP="00B35D37">
      <w:pPr>
        <w:pStyle w:val="TextoNormal"/>
      </w:pPr>
      <w:r>
        <w:t>Por lo expuesto, el Pleno</w:t>
      </w:r>
    </w:p>
    <w:p w14:paraId="767A4CF5" w14:textId="4CE75A7A" w:rsidR="00B35D37" w:rsidRDefault="00B35D37" w:rsidP="00B35D37">
      <w:pPr>
        <w:pStyle w:val="TextoNormal"/>
      </w:pPr>
    </w:p>
    <w:p w14:paraId="2901F0BD" w14:textId="77777777" w:rsidR="00B35D37" w:rsidRDefault="00B35D37" w:rsidP="00B35D37">
      <w:pPr>
        <w:pStyle w:val="TextoNormalCentrado"/>
      </w:pPr>
      <w:r>
        <w:t>ACUERDA</w:t>
      </w:r>
    </w:p>
    <w:p w14:paraId="5BE760A5" w14:textId="567386A9" w:rsidR="00B35D37" w:rsidRDefault="00B35D37" w:rsidP="00B35D37">
      <w:pPr>
        <w:pStyle w:val="TextoNormalCentrado"/>
      </w:pPr>
    </w:p>
    <w:p w14:paraId="2A546A21" w14:textId="77777777" w:rsidR="00B35D37" w:rsidRDefault="00B35D37" w:rsidP="00B35D37">
      <w:pPr>
        <w:pStyle w:val="TextoNormal"/>
      </w:pPr>
      <w:r>
        <w:t>No admitir a trámite la recusación formulada por don Carles Puigdemont i Casamajó, don Antoni Comín i Oliveres y doña Clara Ponsatí i Obiols, mediante escritos presentados en este tribunal el 12 de septiembre de 2024, en los recursos de amparo núms. 6248-2022 y 5440-2023.</w:t>
      </w:r>
    </w:p>
    <w:p w14:paraId="397C8D9E" w14:textId="77777777" w:rsidR="00B35D37" w:rsidRDefault="00B35D37" w:rsidP="00B35D37">
      <w:pPr>
        <w:pStyle w:val="TextoNormal"/>
      </w:pPr>
    </w:p>
    <w:p w14:paraId="6DDEE195" w14:textId="7A51CA93" w:rsidR="00B35D37" w:rsidRDefault="00B35D37" w:rsidP="00B35D37">
      <w:pPr>
        <w:pStyle w:val="TextoNormal"/>
      </w:pPr>
      <w:r>
        <w:t>Déjese el original de la presente resolución en el recurso de amparo núm. 5440-2023 y llévese testimonio al recurso de amparo núm. 6248-2022.</w:t>
      </w:r>
    </w:p>
    <w:p w14:paraId="4B699AAE" w14:textId="77777777" w:rsidR="00B35D37" w:rsidRDefault="00B35D37" w:rsidP="00B35D37">
      <w:pPr>
        <w:pStyle w:val="TextoNormal"/>
      </w:pPr>
    </w:p>
    <w:p w14:paraId="5EE0F384" w14:textId="77777777" w:rsidR="00B35D37" w:rsidRDefault="00B35D37" w:rsidP="00B35D37">
      <w:pPr>
        <w:pStyle w:val="TextoNormal"/>
      </w:pPr>
      <w:r>
        <w:t>Madrid, a veintisiete de mayo de dos mil veinticinco.</w:t>
      </w:r>
    </w:p>
    <w:p w14:paraId="2FF102E4" w14:textId="4C08A424" w:rsidR="00B35D37" w:rsidRDefault="00B35D37">
      <w:pPr>
        <w:spacing w:after="160" w:line="278" w:lineRule="auto"/>
        <w:rPr>
          <w:rFonts w:ascii="Times New Roman" w:eastAsia="Times New Roman" w:hAnsi="Times New Roman" w:cs="Times New Roman"/>
          <w:sz w:val="24"/>
          <w:szCs w:val="24"/>
          <w:lang w:eastAsia="es-ES"/>
        </w:rPr>
      </w:pPr>
      <w:r>
        <w:br w:type="page"/>
      </w:r>
    </w:p>
    <w:p w14:paraId="42B8A52A" w14:textId="77777777" w:rsidR="00B35D37" w:rsidRDefault="00B35D37" w:rsidP="00B35D37">
      <w:pPr>
        <w:pStyle w:val="TtuloResolucin"/>
      </w:pPr>
      <w:bookmarkStart w:id="197" w:name="AUTO_2025_58"/>
      <w:r>
        <w:t>AUTO 58/2025, de 27 de mayo de 2025</w:t>
      </w:r>
    </w:p>
    <w:bookmarkEnd w:id="197"/>
    <w:p w14:paraId="2AD5A5E8" w14:textId="77777777" w:rsidR="00B35D37" w:rsidRDefault="00B35D37" w:rsidP="00B35D37">
      <w:pPr>
        <w:pStyle w:val="TtuloResolucin"/>
      </w:pPr>
      <w:r>
        <w:t>Pleno</w:t>
      </w:r>
    </w:p>
    <w:p w14:paraId="6549D025" w14:textId="77777777" w:rsidR="00B35D37" w:rsidRDefault="00B35D37" w:rsidP="00B35D37">
      <w:pPr>
        <w:pStyle w:val="TextoNormalCentrado"/>
      </w:pPr>
      <w:r>
        <w:t>ECLI:ES:TC:2025:58A</w:t>
      </w:r>
    </w:p>
    <w:p w14:paraId="00E37228" w14:textId="309F2B38" w:rsidR="00B35D37" w:rsidRDefault="00B35D37" w:rsidP="00B35D37">
      <w:pPr>
        <w:pStyle w:val="TextoNormalCentrado"/>
      </w:pPr>
    </w:p>
    <w:p w14:paraId="36D760E6"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30CC4B0B" w14:textId="2F10E96A" w:rsidR="00B35D37" w:rsidRDefault="00B35D37" w:rsidP="00B35D37">
      <w:pPr>
        <w:pStyle w:val="SntesisDescriptiva"/>
      </w:pPr>
    </w:p>
    <w:p w14:paraId="2600B4B7" w14:textId="77777777" w:rsidR="00B35D37" w:rsidRDefault="00B35D37" w:rsidP="00B35D37">
      <w:pPr>
        <w:pStyle w:val="SntesisDescriptiva"/>
      </w:pPr>
      <w:r>
        <w:t>Inadmite la solicitud de ejecución de la STC 67/2025, de 18 de marzo, dictada en el recurso de amparo 6298-2024, promovido por doña Noelia Ortego Muzás.</w:t>
      </w:r>
    </w:p>
    <w:p w14:paraId="16336B04" w14:textId="4D9D48DA" w:rsidR="00B35D37" w:rsidRDefault="00B35D37" w:rsidP="00B35D37">
      <w:pPr>
        <w:pStyle w:val="SntesisDescriptiva"/>
      </w:pPr>
    </w:p>
    <w:p w14:paraId="1A0303CD" w14:textId="77777777" w:rsidR="00B35D37" w:rsidRDefault="00B35D37" w:rsidP="00B35D37">
      <w:pPr>
        <w:pStyle w:val="SntesisDescriptiva"/>
      </w:pPr>
    </w:p>
    <w:p w14:paraId="4FE04544" w14:textId="77777777" w:rsidR="00B35D37" w:rsidRDefault="00B35D37" w:rsidP="00B35D37">
      <w:pPr>
        <w:pStyle w:val="SntesisDescriptiva"/>
      </w:pPr>
    </w:p>
    <w:p w14:paraId="19C3C2E1" w14:textId="77777777" w:rsidR="00B35D37" w:rsidRDefault="00B35D37" w:rsidP="00B35D37">
      <w:pPr>
        <w:pStyle w:val="TextoNormalNegritaCentrado"/>
      </w:pPr>
      <w:r>
        <w:t>AUTO</w:t>
      </w:r>
    </w:p>
    <w:p w14:paraId="6957A42B" w14:textId="624204EC" w:rsidR="00B35D37" w:rsidRDefault="00B35D37" w:rsidP="00B35D37">
      <w:pPr>
        <w:pStyle w:val="TextoNormalNegritaCentrado"/>
      </w:pPr>
    </w:p>
    <w:p w14:paraId="78EAA9B5" w14:textId="77777777" w:rsidR="00B35D37" w:rsidRDefault="00B35D37" w:rsidP="00B35D37">
      <w:pPr>
        <w:pStyle w:val="TextoNormalNegritaCentrado"/>
        <w:keepNext/>
      </w:pPr>
      <w:r>
        <w:t>I. Antecedentes</w:t>
      </w:r>
    </w:p>
    <w:p w14:paraId="74612A77" w14:textId="4EA707FF" w:rsidR="00B35D37" w:rsidRDefault="00B35D37" w:rsidP="00B35D37">
      <w:pPr>
        <w:pStyle w:val="TextoNormalNegritaCentrado"/>
        <w:keepNext/>
      </w:pPr>
    </w:p>
    <w:p w14:paraId="440B2B69" w14:textId="0425BB57" w:rsidR="00B35D37" w:rsidRDefault="00B35D37" w:rsidP="00B35D37">
      <w:pPr>
        <w:pStyle w:val="TextoNormal"/>
      </w:pPr>
      <w:r w:rsidRPr="00B35D37">
        <w:rPr>
          <w:rStyle w:val="NumeroAFNegritaCaracter"/>
        </w:rPr>
        <w:t>1</w:t>
      </w:r>
      <w:r>
        <w:t>. El día 2 de septiembre de 2024, la procuradora de los tribunales doña Alicia Suau Casado, en nombre de doña Noelia Ortego Muzás y bajo la dirección de la letrada doña Aida Casanova Pérez, interpuso recurso de amparo contra la sentencia de la Sala de lo Social del Tribunal Superior de Justicia de Madrid núm. 397/2023, de 29 de mayo, desestimatoria del recurso de suplicación núm. 1-2023 interpuesto por la demandante, contra la sentencia del Juzgado de lo Social núm. 29 de Madrid, de 9 de septiembre de 2022, desestimatoria de las pretensiones de la demanda, confirmando las resoluciones administrativas denegatorias de la ampliación del permiso por nacimiento y cuidado de hijo menor en las semanas que hubieran correspondido al otro progenitor, solicitado por la recurrente, madre biológica de familia monoparental. La sentencia dictada en suplicación devino firme tras la inadmisión del recurso de casación para la unificación de doctrina por auto de la Sala de lo Social del Tribunal Supremo de 29 de mayo de 2024 (recurso núm. 3525-2023).</w:t>
      </w:r>
    </w:p>
    <w:p w14:paraId="6668BBD6" w14:textId="77777777" w:rsidR="00B35D37" w:rsidRDefault="00B35D37" w:rsidP="00B35D37">
      <w:pPr>
        <w:pStyle w:val="TextoNormal"/>
      </w:pPr>
    </w:p>
    <w:p w14:paraId="651352A0" w14:textId="1BF0DB4C" w:rsidR="00B35D37" w:rsidRDefault="00B35D37" w:rsidP="00B35D37">
      <w:pPr>
        <w:pStyle w:val="TextoNormal"/>
      </w:pPr>
      <w:r w:rsidRPr="00B35D37">
        <w:rPr>
          <w:rStyle w:val="NumeroAFNegritaCaracter"/>
        </w:rPr>
        <w:t>2</w:t>
      </w:r>
      <w:r>
        <w:t>. El recurso de amparo fue resuelto por la STC 67/2025, de 18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2, se dictara otra respetuosa con el derecho fundamental reconocido. A esos efectos, en el último párrafo del fundamento jurídico 2 se establecía que, en tanto el legislador no llevara a cabo la consiguiente reforma normativa, en las familias monoparentales el permiso a que hace referencia el art. 48.4 del texto refundido de la Ley del estatuto de los trabajadores (LET), y la prestación regulada en el art. 177 del texto refundido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2E7B1ADA" w14:textId="77777777" w:rsidR="00B35D37" w:rsidRDefault="00B35D37" w:rsidP="00B35D37">
      <w:pPr>
        <w:pStyle w:val="TextoNormal"/>
      </w:pPr>
    </w:p>
    <w:p w14:paraId="7DC1F9B9" w14:textId="77777777" w:rsidR="00B35D37" w:rsidRDefault="00B35D37" w:rsidP="00B35D37">
      <w:pPr>
        <w:pStyle w:val="TextoNormal"/>
      </w:pPr>
      <w:r w:rsidRPr="00B35D37">
        <w:rPr>
          <w:rStyle w:val="NumeroAFNegritaCaracter"/>
        </w:rPr>
        <w:t>3</w:t>
      </w:r>
      <w:r>
        <w:t>. La letrada de la administración de la Seguridad Social, por escrito registrado el 28 de marzo de 2025, formuló incidente de ejecución al amparo del art. 92.3 de la Ley Orgánica del Tribunal Constitucional (LOTC) instando al Tribunal que determine las medidas necesarias para que el Instituto Nacional de la Seguridad Social (INSS) pueda dictar una resolución administrativa respetuosa con el derecho vulnerado, de entre las propuestas en su escrito u otras que se consideren convenientes.</w:t>
      </w:r>
    </w:p>
    <w:p w14:paraId="3C34B2B0" w14:textId="77777777" w:rsidR="00B35D37" w:rsidRDefault="00B35D37" w:rsidP="00B35D37">
      <w:pPr>
        <w:pStyle w:val="TextoNormal"/>
      </w:pPr>
    </w:p>
    <w:p w14:paraId="03517B65" w14:textId="4509B4DD" w:rsidR="00B35D37" w:rsidRDefault="00B35D37" w:rsidP="00B35D37">
      <w:pPr>
        <w:pStyle w:val="TextoNormal"/>
      </w:pPr>
      <w:r>
        <w:t>La letrada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76877B45" w14:textId="77777777" w:rsidR="00B35D37" w:rsidRDefault="00B35D37" w:rsidP="00B35D37">
      <w:pPr>
        <w:pStyle w:val="TextoNormal"/>
      </w:pPr>
    </w:p>
    <w:p w14:paraId="401B3E6B" w14:textId="77777777" w:rsidR="00B35D37" w:rsidRDefault="00B35D37" w:rsidP="00B35D37">
      <w:pPr>
        <w:pStyle w:val="TextoNormalNegritaCentrado"/>
        <w:keepNext/>
      </w:pPr>
      <w:r>
        <w:t>II. Fundamentos jurídicos</w:t>
      </w:r>
    </w:p>
    <w:p w14:paraId="44347C31" w14:textId="2C8D3446" w:rsidR="00B35D37" w:rsidRDefault="00B35D37" w:rsidP="00B35D37">
      <w:pPr>
        <w:pStyle w:val="TextoNormalNegritaCentrado"/>
        <w:keepNext/>
      </w:pPr>
    </w:p>
    <w:p w14:paraId="2F8083B6"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5584231E" w14:textId="77777777" w:rsidR="00B35D37" w:rsidRDefault="00B35D37" w:rsidP="00B35D37">
      <w:pPr>
        <w:pStyle w:val="TextoNormal"/>
      </w:pPr>
    </w:p>
    <w:p w14:paraId="489A0321"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07EE44EC" w14:textId="77777777" w:rsidR="00B35D37" w:rsidRDefault="00B35D37" w:rsidP="00B35D37">
      <w:pPr>
        <w:pStyle w:val="TextoNormal"/>
      </w:pPr>
    </w:p>
    <w:p w14:paraId="57457CBF" w14:textId="77777777" w:rsidR="00B35D37" w:rsidRDefault="00B35D37" w:rsidP="00B35D37">
      <w:pPr>
        <w:pStyle w:val="TextoNormal"/>
      </w:pPr>
      <w:r>
        <w:t>En el presente caso, al igual que sucedía con el examinado en el ATC 34/2025,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76849BC2" w14:textId="77777777" w:rsidR="00B35D37" w:rsidRDefault="00B35D37" w:rsidP="00B35D37">
      <w:pPr>
        <w:pStyle w:val="TextoNormal"/>
      </w:pPr>
    </w:p>
    <w:p w14:paraId="633F1964"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3FE7F74D" w14:textId="77777777" w:rsidR="00B35D37" w:rsidRDefault="00B35D37" w:rsidP="00B35D37">
      <w:pPr>
        <w:pStyle w:val="TextoNormal"/>
      </w:pPr>
    </w:p>
    <w:p w14:paraId="04EEAA7A" w14:textId="41471C2B" w:rsidR="00B35D37" w:rsidRDefault="00B35D37" w:rsidP="00B35D37">
      <w:pPr>
        <w:pStyle w:val="TextoNormal"/>
      </w:pPr>
      <w:r>
        <w:t>Por tanto, como concluimos en el ATC 34/2025,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72ACBC92" w14:textId="77777777" w:rsidR="00B35D37" w:rsidRDefault="00B35D37" w:rsidP="00B35D37">
      <w:pPr>
        <w:pStyle w:val="TextoNormal"/>
      </w:pPr>
    </w:p>
    <w:p w14:paraId="379D87E3" w14:textId="77777777" w:rsidR="00B35D37" w:rsidRDefault="00B35D37" w:rsidP="00B35D37">
      <w:pPr>
        <w:pStyle w:val="TextoNormal"/>
      </w:pPr>
      <w:r>
        <w:t>Por lo expuesto, el Pleno</w:t>
      </w:r>
    </w:p>
    <w:p w14:paraId="77B33F5B" w14:textId="329274F4" w:rsidR="00B35D37" w:rsidRDefault="00B35D37" w:rsidP="00B35D37">
      <w:pPr>
        <w:pStyle w:val="TextoNormal"/>
      </w:pPr>
    </w:p>
    <w:p w14:paraId="58BED4AA" w14:textId="77777777" w:rsidR="00B35D37" w:rsidRDefault="00B35D37" w:rsidP="00B35D37">
      <w:pPr>
        <w:pStyle w:val="TextoNormalCentrado"/>
      </w:pPr>
      <w:r>
        <w:t>ACUERDA</w:t>
      </w:r>
    </w:p>
    <w:p w14:paraId="39DF15A5" w14:textId="3E4E311C" w:rsidR="00B35D37" w:rsidRDefault="00B35D37" w:rsidP="00B35D37">
      <w:pPr>
        <w:pStyle w:val="TextoNormalCentrado"/>
      </w:pPr>
    </w:p>
    <w:p w14:paraId="46E2E3BF" w14:textId="0947E849" w:rsidR="00B35D37" w:rsidRDefault="00B35D37" w:rsidP="00B35D37">
      <w:pPr>
        <w:pStyle w:val="TextoNormal"/>
      </w:pPr>
      <w:r>
        <w:t>Denegar la admisión de la apertura del incidente de ejecución.</w:t>
      </w:r>
    </w:p>
    <w:p w14:paraId="6FC92400" w14:textId="77777777" w:rsidR="00B35D37" w:rsidRDefault="00B35D37" w:rsidP="00B35D37">
      <w:pPr>
        <w:pStyle w:val="TextoNormal"/>
      </w:pPr>
    </w:p>
    <w:p w14:paraId="731FE177" w14:textId="77777777" w:rsidR="00B35D37" w:rsidRDefault="00B35D37" w:rsidP="00B35D37">
      <w:pPr>
        <w:pStyle w:val="TextoNormal"/>
      </w:pPr>
      <w:r>
        <w:t>Madrid, a veintisiete de mayo de dos mil veinticinco.</w:t>
      </w:r>
    </w:p>
    <w:p w14:paraId="547B2500" w14:textId="13474C91" w:rsidR="00B35D37" w:rsidRDefault="00B35D37">
      <w:pPr>
        <w:spacing w:after="160" w:line="278" w:lineRule="auto"/>
        <w:rPr>
          <w:rFonts w:ascii="Times New Roman" w:eastAsia="Times New Roman" w:hAnsi="Times New Roman" w:cs="Times New Roman"/>
          <w:sz w:val="24"/>
          <w:szCs w:val="24"/>
          <w:lang w:eastAsia="es-ES"/>
        </w:rPr>
      </w:pPr>
      <w:r>
        <w:br w:type="page"/>
      </w:r>
    </w:p>
    <w:p w14:paraId="7819DE76" w14:textId="77777777" w:rsidR="00B35D37" w:rsidRDefault="00B35D37" w:rsidP="00B35D37">
      <w:pPr>
        <w:pStyle w:val="TtuloResolucin"/>
      </w:pPr>
      <w:bookmarkStart w:id="198" w:name="AUTO_2025_59"/>
      <w:r>
        <w:t>AUTO 59/2025, de 27 de mayo de 2025</w:t>
      </w:r>
    </w:p>
    <w:bookmarkEnd w:id="198"/>
    <w:p w14:paraId="6457070E" w14:textId="77777777" w:rsidR="00B35D37" w:rsidRDefault="00B35D37" w:rsidP="00B35D37">
      <w:pPr>
        <w:pStyle w:val="TtuloResolucin"/>
      </w:pPr>
      <w:r>
        <w:t>Pleno</w:t>
      </w:r>
    </w:p>
    <w:p w14:paraId="203B97E7" w14:textId="77777777" w:rsidR="00B35D37" w:rsidRDefault="00B35D37" w:rsidP="00B35D37">
      <w:pPr>
        <w:pStyle w:val="TextoNormalCentrado"/>
      </w:pPr>
      <w:r>
        <w:t>ECLI:ES:TC:2025:59A</w:t>
      </w:r>
    </w:p>
    <w:p w14:paraId="69DB9554" w14:textId="27FC970D" w:rsidR="00B35D37" w:rsidRDefault="00B35D37" w:rsidP="00B35D37">
      <w:pPr>
        <w:pStyle w:val="TextoNormalCentrado"/>
      </w:pPr>
    </w:p>
    <w:p w14:paraId="7B0A7F7D"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42233737" w14:textId="09F0EEEC" w:rsidR="00B35D37" w:rsidRDefault="00B35D37" w:rsidP="00B35D37">
      <w:pPr>
        <w:pStyle w:val="SntesisDescriptiva"/>
      </w:pPr>
    </w:p>
    <w:p w14:paraId="079E9EAB" w14:textId="77777777" w:rsidR="00B35D37" w:rsidRDefault="00B35D37" w:rsidP="00B35D37">
      <w:pPr>
        <w:pStyle w:val="SntesisDescriptiva"/>
      </w:pPr>
      <w:r>
        <w:t>Inadmite a trámite la cuestión de inconstitucionalidad 9512-2024, planteada por la Sala de lo Contencioso-Administrativo del Tribunal Supremo en relación con el artículo 2.2 b) de la Ley de la Asamblea de Madrid 5/2018, de 17 de octubre, para la protección, reconocimiento y memoria de las víctimas del terrorismo.</w:t>
      </w:r>
    </w:p>
    <w:p w14:paraId="25A32EAB" w14:textId="060BA3FC" w:rsidR="00B35D37" w:rsidRDefault="00B35D37" w:rsidP="00B35D37">
      <w:pPr>
        <w:pStyle w:val="SntesisDescriptiva"/>
      </w:pPr>
    </w:p>
    <w:p w14:paraId="20242F31" w14:textId="77777777" w:rsidR="00B35D37" w:rsidRDefault="00B35D37" w:rsidP="00B35D37">
      <w:pPr>
        <w:pStyle w:val="SntesisDescriptiva"/>
      </w:pPr>
    </w:p>
    <w:p w14:paraId="6F961608" w14:textId="77777777" w:rsidR="00B35D37" w:rsidRDefault="00B35D37" w:rsidP="00B35D37">
      <w:pPr>
        <w:pStyle w:val="SntesisDescriptiva"/>
      </w:pPr>
    </w:p>
    <w:p w14:paraId="34791893" w14:textId="77777777" w:rsidR="00B35D37" w:rsidRDefault="00B35D37" w:rsidP="00B35D37">
      <w:pPr>
        <w:pStyle w:val="TextoNormalNegritaCentrado"/>
      </w:pPr>
      <w:r>
        <w:t>AUTO</w:t>
      </w:r>
    </w:p>
    <w:p w14:paraId="1C3D6492" w14:textId="7A47EDC2" w:rsidR="00B35D37" w:rsidRDefault="00B35D37" w:rsidP="00B35D37">
      <w:pPr>
        <w:pStyle w:val="TextoNormalNegritaCentrado"/>
      </w:pPr>
    </w:p>
    <w:p w14:paraId="7EE044D9" w14:textId="77777777" w:rsidR="00B35D37" w:rsidRDefault="00B35D37" w:rsidP="00B35D37">
      <w:pPr>
        <w:pStyle w:val="TextoNormalNegritaCentrado"/>
        <w:keepNext/>
      </w:pPr>
      <w:r>
        <w:t>I. Antecedentes</w:t>
      </w:r>
    </w:p>
    <w:p w14:paraId="3A5D72A9" w14:textId="2E0487F3" w:rsidR="00B35D37" w:rsidRDefault="00B35D37" w:rsidP="00B35D37">
      <w:pPr>
        <w:pStyle w:val="TextoNormalNegritaCentrado"/>
        <w:keepNext/>
      </w:pPr>
    </w:p>
    <w:p w14:paraId="1A400067" w14:textId="7B647CAC" w:rsidR="00B35D37" w:rsidRDefault="00B35D37" w:rsidP="00B35D37">
      <w:pPr>
        <w:pStyle w:val="TextoNormal"/>
      </w:pPr>
      <w:r w:rsidRPr="00B35D37">
        <w:rPr>
          <w:rStyle w:val="NumeroAFNegritaCaracter"/>
        </w:rPr>
        <w:t>1</w:t>
      </w:r>
      <w:r>
        <w:t>. El día 13 de diciembre de 2024 tuvo entrada en el registro de este tribunal una comunicación remitida por la Sala de lo Contencioso-Administrativo del Tribunal Supremo, por la que se daba traslado de un testimonio del auto dictado por su Sección Tercera el día 19 de noviembre de 2024, en el marco del recurso de casación núm. 748-2022, por el que se plantea una cuestión de inconstitucionalidad en relación con un determinado inciso del art. 2.2 b) de la Ley de la Asamblea de Madrid 5/2018, de 17 de octubre (en adelante, Ley 5/2018), para la protección, reconocimiento y memoria de las víctimas del terrorismo, por posible vulneración del principio de igualdad ante la ley consagrado en el art. 14 CE.</w:t>
      </w:r>
    </w:p>
    <w:p w14:paraId="50EFA637" w14:textId="77777777" w:rsidR="00B35D37" w:rsidRDefault="00B35D37" w:rsidP="00B35D37">
      <w:pPr>
        <w:pStyle w:val="TextoNormal"/>
      </w:pPr>
    </w:p>
    <w:p w14:paraId="4C4B7BC8" w14:textId="77777777" w:rsidR="00B35D37" w:rsidRDefault="00B35D37" w:rsidP="00B35D37">
      <w:pPr>
        <w:pStyle w:val="TextoNormal"/>
      </w:pPr>
      <w:r w:rsidRPr="00B35D37">
        <w:rPr>
          <w:rStyle w:val="NumeroAFNegritaCaracter"/>
        </w:rPr>
        <w:t>2</w:t>
      </w:r>
      <w:r>
        <w:t>. Los hechos que se consideran más relevantes para la adecuada resolución de este proceso constitucional son los siguientes:</w:t>
      </w:r>
    </w:p>
    <w:p w14:paraId="397FA73C" w14:textId="77777777" w:rsidR="00B35D37" w:rsidRDefault="00B35D37" w:rsidP="00B35D37">
      <w:pPr>
        <w:pStyle w:val="TextoNormal"/>
      </w:pPr>
    </w:p>
    <w:p w14:paraId="60C54898" w14:textId="77777777" w:rsidR="00B35D37" w:rsidRDefault="00B35D37" w:rsidP="00B35D37">
      <w:pPr>
        <w:pStyle w:val="TextoNormal"/>
      </w:pPr>
      <w:r>
        <w:t>a) Doña Begoña Cabañas Palomo fue víctima de una acción terrorista acaecida en Madrid el 11 de marzo de 2004. El carácter terrorista de la acción fue declarado por la sentencia de la Audiencia Nacional 65/2007, de 31 de octubre (ECLI:ES:AN:2007:4398), y determinó que la señora Cabañas fuese indemnizada por el Ministerio del Interior con 63 100,00 €.</w:t>
      </w:r>
    </w:p>
    <w:p w14:paraId="1A24F3ED" w14:textId="77777777" w:rsidR="00B35D37" w:rsidRDefault="00B35D37" w:rsidP="00B35D37">
      <w:pPr>
        <w:pStyle w:val="TextoNormal"/>
      </w:pPr>
    </w:p>
    <w:p w14:paraId="63BC9D56" w14:textId="77777777" w:rsidR="00B35D37" w:rsidRDefault="00B35D37" w:rsidP="00B35D37">
      <w:pPr>
        <w:pStyle w:val="TextoNormal"/>
      </w:pPr>
      <w:r>
        <w:t>Es un hecho que resulta del expediente remitido y que no ha sido controvertido que la señora Cabañas estaba empadronada en Madrid en el momento del acto terrorista. También resulta del expediente, e igualmente no ha sido controvertido: (i) que no estaba empadronada en un municipio madrileño cuando formuló su solicitud de indemnización ante la Consejería de Justicia, Interior y Víctimas de la Comunidad de Madrid el 14 de febrero de 2019; (ii) que tampoco lo estuvo en los dos años anteriores a la entrada en vigor de la Ley 5/2018; y (iii) que tampoco estuvo empadronada en un municipio madrileño durante un tiempo equivalente a las dos terceras partes del período transcurrido desde la perpetración del acto terrorista hasta la entrada en vigor de la Ley 5/2018.</w:t>
      </w:r>
    </w:p>
    <w:p w14:paraId="77CE216B" w14:textId="77777777" w:rsidR="00B35D37" w:rsidRDefault="00B35D37" w:rsidP="00B35D37">
      <w:pPr>
        <w:pStyle w:val="TextoNormal"/>
      </w:pPr>
    </w:p>
    <w:p w14:paraId="05874523" w14:textId="77777777" w:rsidR="00B35D37" w:rsidRDefault="00B35D37" w:rsidP="00B35D37">
      <w:pPr>
        <w:pStyle w:val="TextoNormal"/>
      </w:pPr>
      <w:r>
        <w:t>b) Como se acaba de indicar, la señora Cabañas formuló solicitud de indemnización ante la Comunidad de Madrid el 14 de febrero de 2019. Por medio de la Orden 147/2020, de 27 de febrero, la Comunidad denegó la solicitud al amparo de lo dispuesto en la Ley 5/2018. Más en concreto, la citada orden desestimó la solicitud de indemnización prevista en el art. 31 de la mencionada ley, por incumplimiento de los requisitos de empadronamiento establecidos en el art. 2.2 b) de la norma. La orden de la Consejería señala, en lo que ahora interesa, lo siguiente:</w:t>
      </w:r>
    </w:p>
    <w:p w14:paraId="4AAB4079" w14:textId="77777777" w:rsidR="00B35D37" w:rsidRDefault="00B35D37" w:rsidP="00B35D37">
      <w:pPr>
        <w:pStyle w:val="TextoNormal"/>
      </w:pPr>
    </w:p>
    <w:p w14:paraId="5D52938E" w14:textId="77777777" w:rsidR="00B35D37" w:rsidRDefault="00B35D37" w:rsidP="00B35D37">
      <w:pPr>
        <w:pStyle w:val="TextoNormal"/>
      </w:pPr>
      <w:r>
        <w:t>“[L]a Ley exige un doble requisito de empadronamiento para poder tener acceso a las</w:t>
      </w:r>
    </w:p>
    <w:p w14:paraId="7468E55D" w14:textId="77777777" w:rsidR="00B35D37" w:rsidRDefault="00B35D37" w:rsidP="00B35D37">
      <w:pPr>
        <w:pStyle w:val="TextoNormal"/>
      </w:pPr>
      <w:r>
        <w:t>indemnizaciones relativas a víctimas del terrorismo:</w:t>
      </w:r>
    </w:p>
    <w:p w14:paraId="26F08F81" w14:textId="77777777" w:rsidR="00B35D37" w:rsidRDefault="00B35D37" w:rsidP="00B35D37">
      <w:pPr>
        <w:pStyle w:val="TextoNormal"/>
      </w:pPr>
    </w:p>
    <w:p w14:paraId="21EAD708" w14:textId="77777777" w:rsidR="00B35D37" w:rsidRDefault="00B35D37" w:rsidP="00B35D37">
      <w:pPr>
        <w:pStyle w:val="TextoNormal"/>
      </w:pPr>
      <w:r>
        <w:t>a) Por un lado, se exige, alternativamente, o bien estar empadronado en la fecha del acto terrorista o en su defecto, haber estado empadronado dos terceras partes de su vida en algún municipio de la Comunidad de Madrid hasta el momento del atentado.</w:t>
      </w:r>
    </w:p>
    <w:p w14:paraId="6ACE79BF" w14:textId="77777777" w:rsidR="00B35D37" w:rsidRDefault="00B35D37" w:rsidP="00B35D37">
      <w:pPr>
        <w:pStyle w:val="TextoNormal"/>
      </w:pPr>
    </w:p>
    <w:p w14:paraId="61E94F9E" w14:textId="77777777" w:rsidR="00B35D37" w:rsidRDefault="00B35D37" w:rsidP="00B35D37">
      <w:pPr>
        <w:pStyle w:val="TextoNormal"/>
      </w:pPr>
      <w:r>
        <w:t>b) Por otro lado, se exige asimismo estar empadronado durante al menos los dos años anteriores a la entrada en vigor de la Ley 5/2018, o las dos terceras partes del periodo transcurrido desde el momento del atentado, 11 de marzo de 2004, hasta la entrada en vigor de la ley.</w:t>
      </w:r>
    </w:p>
    <w:p w14:paraId="78BB1038" w14:textId="77777777" w:rsidR="00B35D37" w:rsidRDefault="00B35D37" w:rsidP="00B35D37">
      <w:pPr>
        <w:pStyle w:val="TextoNormal"/>
      </w:pPr>
    </w:p>
    <w:p w14:paraId="6EF77749" w14:textId="77777777" w:rsidR="00B35D37" w:rsidRDefault="00B35D37" w:rsidP="00B35D37">
      <w:pPr>
        <w:pStyle w:val="TextoNormal"/>
      </w:pPr>
      <w:r>
        <w:t>Este supuesto no se cumple por la interesada, dado que, una vez analizados los certificados de empadronamiento aportados, queda acreditado su empadronamiento en la Comunidad de Madrid en el momento del atentado. Sin embargo, no queda acreditado su empadronamiento en la Comunidad de Madrid durante al menos los dos años anteriores a la entrada en vigor de la ley, o bien un tiempo equivalente a las dos terceras partes (3561,33 días) del periodo transcurrido desde la perpetración del acto terrorista hasta la entrada en vigor de la ley, acreditando en total 1615 días en dicho periodo”.</w:t>
      </w:r>
    </w:p>
    <w:p w14:paraId="1A0FE7A6" w14:textId="77777777" w:rsidR="00B35D37" w:rsidRDefault="00B35D37" w:rsidP="00B35D37">
      <w:pPr>
        <w:pStyle w:val="TextoNormal"/>
      </w:pPr>
    </w:p>
    <w:p w14:paraId="1E65A9A6" w14:textId="77777777" w:rsidR="00B35D37" w:rsidRDefault="00B35D37" w:rsidP="00B35D37">
      <w:pPr>
        <w:pStyle w:val="TextoNormal"/>
      </w:pPr>
      <w:r>
        <w:t>c) Frente a la anterior resolución se interpuso un recurso contencioso-administrativo que fue desestimado por la sentencia de 29 de octubre de 2021, dictada por la Sala de lo Contencioso-Administrativo del Tribunal Superior de Justicia de Madrid. En el recurso se alegó la inconstitucionalidad del art. 2.2 b) de la Ley 5/2018, por vulneración del derecho a la igualdad reconocido en el art. 14 CE, interesando que se planteara la correspondiente cuestión de inconstitucionalidad del precepto. En su resolución, la Sala descarta expresamente esta pretensión, argumentando, en lo que ahora interesa, lo siguiente:</w:t>
      </w:r>
    </w:p>
    <w:p w14:paraId="0EA9FD4A" w14:textId="77777777" w:rsidR="00B35D37" w:rsidRDefault="00B35D37" w:rsidP="00B35D37">
      <w:pPr>
        <w:pStyle w:val="TextoNormal"/>
      </w:pPr>
    </w:p>
    <w:p w14:paraId="376E5783" w14:textId="77777777" w:rsidR="00B35D37" w:rsidRDefault="00B35D37" w:rsidP="00B35D37">
      <w:pPr>
        <w:pStyle w:val="TextoNormal"/>
      </w:pPr>
      <w:r>
        <w:t>“Octavo. - En el caso que ahora nos ocupa, […] lo que se ha puesto en duda en la demanda no es la conformidad o no con la Constitución de una disposición general o un acto derivado del ejercicio de tales competencias sino la constitucionalidad misma de una norma legal autonómica que exige, para causar derecho a una indemnización por ser víctima de terrorismo, la concurrencia de un requisito que, sin duda, tiene una directa relación con el principio [de territorialidad]”.</w:t>
      </w:r>
    </w:p>
    <w:p w14:paraId="2D8AA5D1" w14:textId="77777777" w:rsidR="00B35D37" w:rsidRDefault="00B35D37" w:rsidP="00B35D37">
      <w:pPr>
        <w:pStyle w:val="TextoNormal"/>
      </w:pPr>
    </w:p>
    <w:p w14:paraId="55423BD7" w14:textId="77777777" w:rsidR="00B35D37" w:rsidRDefault="00B35D37" w:rsidP="00B35D37">
      <w:pPr>
        <w:pStyle w:val="TextoNormal"/>
      </w:pPr>
      <w:r>
        <w:t>Principio que, según había expuesto la Sala en el fundamento jurídico séptimo, actúa como “límite en el ejercicio de competencias autonómicas”, sobre todo en una materia como la protección de las víctimas del terrorismo, en la que coexisten las normas estatales (Ley 29/2011, de 22 de septiembre, de reconocimiento y protección integral a las víctimas del terrorismo) con las autonómicas. Para la Sala, con cita de la STC 31/2010, de 28 de junio, FJ 63, «las normas y actos autonómicos pueden tener eficacia extraterritorial y, en relación con ello, al Estado siempre le corresponderá la fijación de los puntos de conexión que ofrezcan a las comunidades autónomas una regla de atribución de competencias que posibilite dicha eficacia y, a la vez, evite el eventual conflicto de intereses. Tales puntos de conexión, como recuerda la STC 95/2013, de 23 de abril, FJ 7, “concretan el principio de territorialidad de las competencias autonómicas, materializando la ‘vinculación directa’ (STC 330/1994, de 15 de diciembre) de la actividad sobre la que se ejercen y el territorio autonómico (STC 173/2005, de 23 de junio, FJ 11)”».</w:t>
      </w:r>
    </w:p>
    <w:p w14:paraId="0643D9FD" w14:textId="77777777" w:rsidR="00B35D37" w:rsidRDefault="00B35D37" w:rsidP="00B35D37">
      <w:pPr>
        <w:pStyle w:val="TextoNormal"/>
      </w:pPr>
    </w:p>
    <w:p w14:paraId="23E057E0" w14:textId="77777777" w:rsidR="00B35D37" w:rsidRDefault="00B35D37" w:rsidP="00B35D37">
      <w:pPr>
        <w:pStyle w:val="TextoNormal"/>
      </w:pPr>
      <w:r>
        <w:t>Tras reseñar el texto del art. 2.2 b) de la Ley 5/2018, la Sala continúa razonando, en el fundamento jurídico octavo, lo siguiente:</w:t>
      </w:r>
    </w:p>
    <w:p w14:paraId="0EF78E69" w14:textId="77777777" w:rsidR="00B35D37" w:rsidRDefault="00B35D37" w:rsidP="00B35D37">
      <w:pPr>
        <w:pStyle w:val="TextoNormal"/>
      </w:pPr>
    </w:p>
    <w:p w14:paraId="53BFE265" w14:textId="77777777" w:rsidR="00B35D37" w:rsidRDefault="00B35D37" w:rsidP="00B35D37">
      <w:pPr>
        <w:pStyle w:val="TextoNormal"/>
      </w:pPr>
      <w:r>
        <w:t>“De la mera lectura del precepto se desprende que en el mismo no limita la Ley 5/2018 su ámbito de aplicación a las víctimas afectadas por una acción terrorista llevada a cabo dentro del territorio de la Comunidad de Madrid, sino que el punto de conexión que establece con dicho elemento queda identificado en la vinculación administrativa de la víctima con el territorio autonómico, cualquiera que sea el lugar en el que se hubiese perpetrado el acto terrorista”.</w:t>
      </w:r>
    </w:p>
    <w:p w14:paraId="292A038F" w14:textId="77777777" w:rsidR="00B35D37" w:rsidRDefault="00B35D37" w:rsidP="00B35D37">
      <w:pPr>
        <w:pStyle w:val="TextoNormal"/>
      </w:pPr>
    </w:p>
    <w:p w14:paraId="1C14C37F" w14:textId="77777777" w:rsidR="00B35D37" w:rsidRDefault="00B35D37" w:rsidP="00B35D37">
      <w:pPr>
        <w:pStyle w:val="TextoNormal"/>
      </w:pPr>
      <w:r>
        <w:t>Se trata de un punto de conexión que se ha establecido, “de igual manera”, en otras leyes autonómicas sobre la misma materia, citando como ejemplos los siguientes: art. 2.4 de la Ley de las Cortes de Castilla y León 4/2017, de 26 de septiembre; art. 4 b) de la Ley del Parlamento de Andalucía 10/2010, de 15 de noviembre, y art. 3 a) de la Ley de las Cortes Valencianas 1/2004, de 24 de mayo. Para la Sala, “son varias las fórmulas utilizadas por las asambleas legislativas autonómicas para crear el punto de conexión con el elemento del territorio de un ente cuya naturaleza es precisamente esa, la de ente territorial. Y es en este conjunto —cuya cúspide se sitúa en la Constitución como norma suprema y en el bloque de la constitucionalidad— en el que tenemos que decidir si resulta o no contrario al principio de igualdad que el legislador madrileño haya optado por consagrar un punto de conexión subjetivo y que, precisamente, lo haya hecho exigiendo su acreditación a través de la figura administrativa del empadronamiento”.</w:t>
      </w:r>
    </w:p>
    <w:p w14:paraId="0C043C6E" w14:textId="77777777" w:rsidR="00B35D37" w:rsidRDefault="00B35D37" w:rsidP="00B35D37">
      <w:pPr>
        <w:pStyle w:val="TextoNormal"/>
      </w:pPr>
    </w:p>
    <w:p w14:paraId="4AEE58A9" w14:textId="77777777" w:rsidR="00B35D37" w:rsidRDefault="00B35D37" w:rsidP="00B35D37">
      <w:pPr>
        <w:pStyle w:val="TextoNormal"/>
      </w:pPr>
      <w:r>
        <w:t>La Sala resuelve la cuestión planteada, en lo que ahora interesa, en el fundamento jurídico noveno, distinguiendo, de entrada, entre “atención integral” y “universalidad” de las ayudas, dado que, por un lado, la “actividad de la administración autonómica en este campo, sin llegar a ser la propia de la actividad de fomento, no deja de ser de carácter prestacional y, por tanto, limitada en función del principio de legalidad presupuestaria y también de los ya examinados de competencia (disposición adicional quinta de la Ley 29/2011) y territorialidad”; y, por otro, “que el régimen previsto en las normas autonómicas ha de entenderse en todo caso complementario del estatal, conforme a lo dispuesto en el artículo 15 de la ley estatal”.</w:t>
      </w:r>
    </w:p>
    <w:p w14:paraId="14AC5845" w14:textId="77777777" w:rsidR="00B35D37" w:rsidRDefault="00B35D37" w:rsidP="00B35D37">
      <w:pPr>
        <w:pStyle w:val="TextoNormal"/>
      </w:pPr>
    </w:p>
    <w:p w14:paraId="6331BF3C" w14:textId="77777777" w:rsidR="00B35D37" w:rsidRDefault="00B35D37" w:rsidP="00B35D37">
      <w:pPr>
        <w:pStyle w:val="TextoNormal"/>
      </w:pPr>
      <w:r>
        <w:t>Seguidamente, tras reseñar la doctrina de este tribunal sobre el principio de igualdad (STC 19/2021, de 15 de febrero), la Sala descarta que el requisito del empadronamiento sea un factor de discriminación, sino de conexión. Con apoyo en la definición de “residencia” contenida en el diccionario de la Real Academia Española, y en la trascendencia jurídica de este concepto, con cita de la sentencia de la Sala de lo Social del Tribunal Supremo de 25 de julio de 2018 (recurso de casación 3335-2016, ECLI:ES:TS:2018:3313), el Tribunal Superior de Justicia de Madrid considera que “la residencia en un determinado lugar implica no solo la voluntad del interesado de asentarse, de establecerse en ese lugar, sino de adquirir los derechos y vincularse con los deberes que se derivan precisamente de esa opción libremente elegida”, deberes entre los que se encuentra la obligación de empadronamiento (art. 15 de la Ley 7/1985, de 2 de abril, reguladora de las bases del régimen local).</w:t>
      </w:r>
    </w:p>
    <w:p w14:paraId="526E5311" w14:textId="77777777" w:rsidR="00B35D37" w:rsidRDefault="00B35D37" w:rsidP="00B35D37">
      <w:pPr>
        <w:pStyle w:val="TextoNormal"/>
      </w:pPr>
    </w:p>
    <w:p w14:paraId="73BC9EED" w14:textId="77777777" w:rsidR="00B35D37" w:rsidRDefault="00B35D37" w:rsidP="00B35D37">
      <w:pPr>
        <w:pStyle w:val="TextoNormal"/>
      </w:pPr>
      <w:r>
        <w:t>A lo anterior se suma lo dispuesto en el art. 7.2 del Estatuto de Autonomía de la Comunidad de Madrid (como parte del bloque normativo que debe integrar el canon de control de constitucionalidad de una ley), que define la condición política de los madrileños por su vecindad administrativa, concepto asimilado al de residente (STC 156/1993, de 6 de mayo), que se obtiene por el empadronamiento.</w:t>
      </w:r>
    </w:p>
    <w:p w14:paraId="2D14CB81" w14:textId="77777777" w:rsidR="00B35D37" w:rsidRDefault="00B35D37" w:rsidP="00B35D37">
      <w:pPr>
        <w:pStyle w:val="TextoNormal"/>
      </w:pPr>
    </w:p>
    <w:p w14:paraId="26D41224" w14:textId="77777777" w:rsidR="00B35D37" w:rsidRDefault="00B35D37" w:rsidP="00B35D37">
      <w:pPr>
        <w:pStyle w:val="TextoNormal"/>
      </w:pPr>
      <w:r>
        <w:t>En definitiva, para la Sala, la “conexión territorial establecida por la Ley 5/2018, de 17 de octubre, de las víctimas por acto terrorista con la Comunidad de Madrid, a través del requisito del empadronamiento en tal fecha, ni es discriminatoria ni es, por tanto, contraria a la Constitución sino ajustada a la misma y al resto del ordenamiento jurídico”.</w:t>
      </w:r>
    </w:p>
    <w:p w14:paraId="2004C5BD" w14:textId="77777777" w:rsidR="00B35D37" w:rsidRDefault="00B35D37" w:rsidP="00B35D37">
      <w:pPr>
        <w:pStyle w:val="TextoNormal"/>
      </w:pPr>
    </w:p>
    <w:p w14:paraId="759AB988" w14:textId="77777777" w:rsidR="00B35D37" w:rsidRDefault="00B35D37" w:rsidP="00B35D37">
      <w:pPr>
        <w:pStyle w:val="TextoNormal"/>
      </w:pPr>
      <w:r>
        <w:t>d) Frente a la sentencia del Tribunal Superior de Justicia de Madrid, la recurrente promovió un recurso de casación, en el que, entre otros argumentos, reiteró la alegación sobre la inconstitucionalidad del art. 2.2 b) de la Ley 5/2018, por vulneración del derecho a la igualdad reconocido en el art. 14 CE.</w:t>
      </w:r>
    </w:p>
    <w:p w14:paraId="7F1D1A0F" w14:textId="77777777" w:rsidR="00B35D37" w:rsidRDefault="00B35D37" w:rsidP="00B35D37">
      <w:pPr>
        <w:pStyle w:val="TextoNormal"/>
      </w:pPr>
    </w:p>
    <w:p w14:paraId="3866A2EC" w14:textId="77777777" w:rsidR="00B35D37" w:rsidRDefault="00B35D37" w:rsidP="00B35D37">
      <w:pPr>
        <w:pStyle w:val="TextoNormal"/>
      </w:pPr>
      <w:r>
        <w:t>e) El recurso fue admitido por auto de 15 de diciembre de 2022, dictado por la Sección Primera de la Sala de lo Contencioso-Administrativo del Tribunal Supremo, en el que se concretó el interés casacional en determinar si la condición “siempre que el solicitante cumpla los requisitos para obtener las ayudas establecidas en esta ley”, recogida en el art. 31.1 de la Ley 5/2018 para que se produzca el silencio positivo, es conforme con el art. 24.1 de la Ley 39/2015, de 1 de octubre, del procedimiento administrativo común de las administraciones públicas, y aclarar si resulta pertinente el planteamiento de la cuestión de inconstitucionalidad interesada por la recurrente.</w:t>
      </w:r>
    </w:p>
    <w:p w14:paraId="0F8FEB1F" w14:textId="77777777" w:rsidR="00B35D37" w:rsidRDefault="00B35D37" w:rsidP="00B35D37">
      <w:pPr>
        <w:pStyle w:val="TextoNormal"/>
      </w:pPr>
    </w:p>
    <w:p w14:paraId="104EE9A8" w14:textId="77777777" w:rsidR="00B35D37" w:rsidRDefault="00B35D37" w:rsidP="00B35D37">
      <w:pPr>
        <w:pStyle w:val="TextoNormal"/>
      </w:pPr>
      <w:r>
        <w:t>f) Una vez tramitado el recurso de casación, y conclusas las actuaciones, la Sección Tercera de la Sala de lo Contencioso-Administrativo del Tribunal Supremo dictó la providencia de 10 de junio de 2024, por la que se acordó conceder a las partes personadas un plazo de alegaciones “sobre la procedencia de plantear cuestión de inconstitucionalidad en relación al requisito contemplado en el artículo 2.2 b) de la Ley 5/2018, de 17 de octubre, para la protección, reconocimiento y memoria de las víctimas del terrorismo, que dispone que la ley será de aplicación a las personas declaradas víctimas como consecuencia de una acción terrorista sin resultado de muerte empadronadas en la Comunidad de Madrid, y la eventual incompatibilidad con el principio de igualdad reconocido en el artículo 14 de la Constitución Española”.</w:t>
      </w:r>
    </w:p>
    <w:p w14:paraId="7DC941A5" w14:textId="77777777" w:rsidR="00B35D37" w:rsidRDefault="00B35D37" w:rsidP="00B35D37">
      <w:pPr>
        <w:pStyle w:val="TextoNormal"/>
      </w:pPr>
    </w:p>
    <w:p w14:paraId="07C95DFC" w14:textId="77777777" w:rsidR="00B35D37" w:rsidRDefault="00B35D37" w:rsidP="00B35D37">
      <w:pPr>
        <w:pStyle w:val="TextoNormal"/>
      </w:pPr>
      <w:r>
        <w:t>g) La representación de la recurrente presentó su escrito de alegaciones el día 3 de julio de 2024, informando a favor del planteamiento de la cuestión. A su juicio, el precepto vulnera el principio de igualdad ante la ley, dado que, ante supuestos iguales (una acción terrorista en el territorio de la Comunidad de Madrid —incluso la misma acción terrorista—), se discrimina a unas víctimas frente a otras por un motivo asociado al empadronamiento o no en un determinado periodo de tiempo; requisito que no ha sido justificado en forma alguna, ni sobre su necesidad ni su oportunidad, en contra de la jurisprudencia del Tribunal Constitucional. Se trata de un requisito que resulta contradictorio con lo dispuesto en la exposición de motivos y en el art. 1 de la Ley 5/2018, que aluden a la necesidad de proteger a todas las víctimas, sin aparente exclusión por razón de residencia. Un requisito que, además, no está previsto en otras normas autonómicas sobre la materia (sin concretar), ni en la ley estatal, ni en la anterior ley de la Comunidad de Madrid (Ley 12/1996, de 19 de diciembre). La sentencia del Tribunal Superior de Justicia de Madrid no aborda la cuestión desde el canon constitucional de la necesidad, objetividad y proporcionalidad de la diferencia de trato. Tampoco la ley ofrece justificación o razonamiento alguno sobre la inclusión de este requisito, ni sobre las distintas exigencias para los desplazados por coacciones o amenazas, o para las víctimas de daños materiales. Considera aplicable la doctrina expuesta en la STC 60/2015, de 18 de marzo. Entiende que, de confirmarse la interpretación de los tribunales, se podría extender el criterio del empadronamiento a otras materias como el acceso al empleo público, los contratos públicos o los tributos.</w:t>
      </w:r>
    </w:p>
    <w:p w14:paraId="21409557" w14:textId="77777777" w:rsidR="00B35D37" w:rsidRDefault="00B35D37" w:rsidP="00B35D37">
      <w:pPr>
        <w:pStyle w:val="TextoNormal"/>
      </w:pPr>
    </w:p>
    <w:p w14:paraId="47E4AB9E" w14:textId="77777777" w:rsidR="00B35D37" w:rsidRDefault="00B35D37" w:rsidP="00B35D37">
      <w:pPr>
        <w:pStyle w:val="TextoNormal"/>
      </w:pPr>
      <w:r>
        <w:t>h) Por su parte, el letrado de la Comunidad de Madrid presentó su escrito el 9 de julio de 2024, oponiéndose al planteamiento de la cuestión de inconstitucionalidad. A tal efecto, comienza su escrito poniendo de manifiesto la modificación llevada a cabo en el precepto cuestionado por la Ley de la Asamblea de Madrid 9/2022, de 16 de noviembre, lo que determina, a su juicio, que la cuestión planteada devendría en meramente teórica y carente de utilidad práctica. Seguidamente señala que la norma estatal permite que las comunidades autónomas puedan complementar el régimen de ayudas y, en ese marco, se hace necesario establecer un punto de conexión con el respectivo territorio, dado que las ayudas se ofrecen a las víctimas de todas las acciones terroristas, aunque no se hayan perpetrado en la Comunidad de Madrid. Por lo tanto, no puede entenderse como discriminatorio que la Comunidad de Madrid ofrezca ayudas a su propia población. Tras hacer una reseña de diversas sentencias del Tribunal Supremo sobre la libertad de configuración del legislador en esta materia, y la posibilidad de concretar el ámbito subjetivo de aplicación de este tipo de normativas, la representación de la Comunidad de Madrid se remite a la fundamentación contenida en la sentencia del Tribunal Superior de Justicia de Madrid para descartar la inconstitucionalidad del precepto cuestionado.</w:t>
      </w:r>
    </w:p>
    <w:p w14:paraId="3D8A3FB2" w14:textId="77777777" w:rsidR="00B35D37" w:rsidRDefault="00B35D37" w:rsidP="00B35D37">
      <w:pPr>
        <w:pStyle w:val="TextoNormal"/>
      </w:pPr>
    </w:p>
    <w:p w14:paraId="44117D4E" w14:textId="77777777" w:rsidR="00B35D37" w:rsidRDefault="00B35D37" w:rsidP="00B35D37">
      <w:pPr>
        <w:pStyle w:val="TextoNormal"/>
      </w:pPr>
      <w:r>
        <w:t>En definitiva, considera que el principio constitucional de igualdad no impone que todas las comunidades tengan las mismas competencias ni las ejerciten de la misma manera, siendo perfectamente admisible el criterio de la vecindad administrativa como punto de conexión para la aplicación de la norma.</w:t>
      </w:r>
    </w:p>
    <w:p w14:paraId="3815D925" w14:textId="77777777" w:rsidR="00B35D37" w:rsidRDefault="00B35D37" w:rsidP="00B35D37">
      <w:pPr>
        <w:pStyle w:val="TextoNormal"/>
      </w:pPr>
    </w:p>
    <w:p w14:paraId="6E7AB190" w14:textId="77777777" w:rsidR="00B35D37" w:rsidRDefault="00B35D37" w:rsidP="00B35D37">
      <w:pPr>
        <w:pStyle w:val="TextoNormal"/>
      </w:pPr>
      <w:r>
        <w:t>i) El 24 de septiembre de 2024, la Sala del Tribunal Supremo dictó una providencia dando traslado al Ministerio Fiscal para formular alegaciones sobre la procedencia del planteamiento de la cuestión de inconstitucionalidad. Traslado que fue contestado por medio de informe de 7 de octubre de 2024, en el que se consideraba improcedente el planteamiento.</w:t>
      </w:r>
    </w:p>
    <w:p w14:paraId="783A92D6" w14:textId="77777777" w:rsidR="00B35D37" w:rsidRDefault="00B35D37" w:rsidP="00B35D37">
      <w:pPr>
        <w:pStyle w:val="TextoNormal"/>
      </w:pPr>
    </w:p>
    <w:p w14:paraId="68035DD2" w14:textId="77777777" w:rsidR="00B35D37" w:rsidRDefault="00B35D37" w:rsidP="00B35D37">
      <w:pPr>
        <w:pStyle w:val="TextoNormal"/>
      </w:pPr>
      <w:r>
        <w:t>Tras hacer un análisis exhaustivo de los antecedentes que consideró de interés, así como del marco normativo aplicable y la eventual concurrencia de los presupuestos formales exigidos en el art. 35.2 de la Ley Orgánica del Tribunal Constitucional (LOTC), el fiscal aborda la cuestión de fondo, previamente delimitada, a su juicio, y en función de las circunstancias del caso concreto, por lo dispuesto en el art. 2.2 b) de la Ley 5/2018, en sus incisos relativos al empadronamiento en el momento de la acción terrorista correspondiente. Para el fiscal, la Comunidad de Madrid dictó la Ley 5/2018 en el ejercicio de sus competencias en materia de acción y protección social y asistencia sanitaria [arts. 26, 27 y 29 del Estatuto de Autonomía de la Comunidad de Madrid (EAM), en el marco del bloque de constitucionalidad impuesto por el art. 148.1.20 y 21 CE]. En ese contexto normativo, las diversas comunidades autónomas han establecido su propio sistema de ayudas conforme a dos criterios. Por un lado, el criterio de la territorialidad, es decir, el lugar donde se cometió la acción terrorista, y, por otro, la exigencia de un punto de conexión de la víctima con la comunidad autónoma, concretado en la residencia o vecindad administrativa, y con independencia del lugar de comisión de la acción terrorista. El fiscal advierte que la redacción del art. 2.2 b) de la Ley 5/2018 no se corresponde con la finalidad de la norma, según dispone su preámbulo. El precepto impone el requisito del empadronamiento en cualquier circunstancia, con independencia del lugar de comisión de la acción terrorista, es decir, tanto si se ha cometido dentro como fuera de la Comunidad de Madrid, cuando del preámbulo se deducía que el requisito de empadronamiento no sería aplicable a las acciones terroristas sucedidas en la propia comunidad. En cualquier caso, lo decisivo es el texto de la norma. A partir de las anteriores consideraciones, el fiscal señala que las comunidades autónomas disponen de un amplio margen de libertad para configurar su propio sistema de ayudas en el ejercicio de sus competencias, sin perjuicio del debido respeto al bloque de constitucionalidad y, de modo particular, a los derechos fundamentales. Desde esa premisa, la Comunidad de Madrid ha optado por fijar un punto de conexión subjetivo para acceder al sistema de ayudas, consistente en el empadronamiento, de forma similar a otras regulaciones autonómicas; criterio que, en sí mismo, no es inconstitucional ni ha sido denunciado como tal. De esta forma, la duda de constitucionalidad vendría determinada no tanto por lo dispuesto en la norma, sino por lo que no dice. Es decir, nos encontraríamos ante una inconstitucionalidad por omisión. Más en concreto, por no haber incluido el principio de territorialidad (el lugar de comisión de la acción terrorista) en el acceso a las ayudas, de manera que quienes sufrieron la misma acción terrorista y estaban empadronados en Madrid sí las pueden recibir, pero no quienes no lo estuvieran. Para el fiscal, resulta entonces aplicable la doctrina del Tribunal Constitucional para los supuestos de inconstitucionalidad por omisión. Y así, con cita y reseña de la STC 67/2023, de 6 de junio, FJ 2 b), señala que una norma solo puede ser considerada inconstitucional por omisión cuando es la propia Constitución la que impone un determinado contenido, lo que no es el caso. Finalmente, el fiscal desarrolla los motivos por los que considera que no es aplicable la doctrina expuesta en la STC 60/2015, que versa sobre un supuesto de hecho y una materia completamente distinta como es la tributaria.</w:t>
      </w:r>
    </w:p>
    <w:p w14:paraId="19569F22" w14:textId="77777777" w:rsidR="00B35D37" w:rsidRDefault="00B35D37" w:rsidP="00B35D37">
      <w:pPr>
        <w:pStyle w:val="TextoNormal"/>
      </w:pPr>
    </w:p>
    <w:p w14:paraId="68E84496" w14:textId="783DD5DD" w:rsidR="00B35D37" w:rsidRDefault="00B35D37" w:rsidP="00B35D37">
      <w:pPr>
        <w:pStyle w:val="TextoNormal"/>
      </w:pPr>
      <w:r>
        <w:t>j) La Sala de lo Contencioso-Administrativo del Tribunal Supremo, por medio de auto de 19 de noviembre de 2024, acordó plantear ante el Tribunal Constitucional “cuestión de inconstitucionalidad respecto del articulo 2.2 b) de la Ley de la Asamblea de Madrid 5/2018, de 17 de octubre, para la protección, reconocimiento y memoria de las víctimas del terrorismo, en el inciso que determina que la ley será de aplicación a las personas declaradas víctimas como consecuencia de una acción terrorista sin resultado de muerte empadronadas en la Comunidad de Madrid en el momento de dicha acción, o en su defecto, empadronadas en un municipio de la región durante, al menos, un tiempo equivalente a las dos terceras partes de su vida hasta el momento de perpetrarse el acto terrorista, en referencia concreta a la cláusula que exige que, ‘así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w:t>
      </w:r>
    </w:p>
    <w:p w14:paraId="4B9DA18A" w14:textId="77777777" w:rsidR="00B35D37" w:rsidRDefault="00B35D37" w:rsidP="00B35D37">
      <w:pPr>
        <w:pStyle w:val="TextoNormal"/>
      </w:pPr>
    </w:p>
    <w:p w14:paraId="54E68F4D" w14:textId="77777777" w:rsidR="00B35D37" w:rsidRDefault="00B35D37" w:rsidP="00B35D37">
      <w:pPr>
        <w:pStyle w:val="TextoNormal"/>
      </w:pPr>
      <w:r w:rsidRPr="00B35D37">
        <w:rPr>
          <w:rStyle w:val="NumeroAFNegritaCaracter"/>
        </w:rPr>
        <w:t>3</w:t>
      </w:r>
      <w:r>
        <w:t>. Del contenido del auto de planteamiento de la presente cuestión de inconstitucionalidad interesa destacar lo siguiente:</w:t>
      </w:r>
    </w:p>
    <w:p w14:paraId="24F6E85B" w14:textId="77777777" w:rsidR="00B35D37" w:rsidRDefault="00B35D37" w:rsidP="00B35D37">
      <w:pPr>
        <w:pStyle w:val="TextoNormal"/>
      </w:pPr>
    </w:p>
    <w:p w14:paraId="37A33BE9" w14:textId="77777777" w:rsidR="00B35D37" w:rsidRDefault="00B35D37" w:rsidP="00B35D37">
      <w:pPr>
        <w:pStyle w:val="TextoNormal"/>
      </w:pPr>
      <w:r>
        <w:t>a) El auto de planteamiento de la presente cuestión de inconstitucionalidad, tras hacer una amplia reseña de los antecedentes que consideró de interés, así como de la fundamentación de la sentencia del Tribunal Superior de Justicia de Madrid impugnada, aborda (FJ 2) el marco jurídico aplicable al caso, para luego (FJ 3) exponer los elementos fácticos y jurídicos que justificarían el cumplimiento de los denominados juicios de aplicabilidad y relevancia, así como la duda sobre la constitucionalidad del precepto cuestionado.</w:t>
      </w:r>
    </w:p>
    <w:p w14:paraId="45561B3E" w14:textId="77777777" w:rsidR="00B35D37" w:rsidRDefault="00B35D37" w:rsidP="00B35D37">
      <w:pPr>
        <w:pStyle w:val="TextoNormal"/>
      </w:pPr>
    </w:p>
    <w:p w14:paraId="4E6CAFBC" w14:textId="77777777" w:rsidR="00B35D37" w:rsidRDefault="00B35D37" w:rsidP="00B35D37">
      <w:pPr>
        <w:pStyle w:val="TextoNormal"/>
      </w:pPr>
      <w:r>
        <w:t>b) De los antecedentes expuestos en el auto se deduce que, por un lado, el precepto objeto de cuestionamiento [art. 2.2 b) de la Ley 5/2018] fue determinante para la decisión adoptada en la resolución administrativa impugnada ante la jurisdicción contencioso-administrativa (juicio de aplicabilidad) y, por otro, que la eventual inconstitucionalidad del precepto determinaría —como lógica consecuencia— la procedencia de la estimación del recurso de casación pendiente ante la Sala (juicio de relevancia).</w:t>
      </w:r>
    </w:p>
    <w:p w14:paraId="715FE5A5" w14:textId="77777777" w:rsidR="00B35D37" w:rsidRDefault="00B35D37" w:rsidP="00B35D37">
      <w:pPr>
        <w:pStyle w:val="TextoNormal"/>
      </w:pPr>
    </w:p>
    <w:p w14:paraId="3C0D9A68" w14:textId="77777777" w:rsidR="00B35D37" w:rsidRDefault="00B35D37" w:rsidP="00B35D37">
      <w:pPr>
        <w:pStyle w:val="TextoNormal"/>
      </w:pPr>
      <w:r>
        <w:t>c) En cuanto a la duda sobre la constitucionalidad del precepto cuestionado, se reproduce seguidamente la fundamentación expuesta por el Tribunal Supremo:</w:t>
      </w:r>
    </w:p>
    <w:p w14:paraId="420E3C8F" w14:textId="77777777" w:rsidR="00B35D37" w:rsidRDefault="00B35D37" w:rsidP="00B35D37">
      <w:pPr>
        <w:pStyle w:val="TextoNormal"/>
      </w:pPr>
    </w:p>
    <w:p w14:paraId="5328FE42" w14:textId="77777777" w:rsidR="00B35D37" w:rsidRDefault="00B35D37" w:rsidP="00B35D37">
      <w:pPr>
        <w:pStyle w:val="TextoNormal"/>
      </w:pPr>
      <w:r>
        <w:t xml:space="preserve">“El fundamento sustantivo o material del planteamiento de la cuestión de inconstitucionalidad del artículo 2 apartado 2 b) de la Ley de la Comunidad de Madrid 5/2018, de 17 de octubre, para la protección, reconocimiento y memoria de las víctimas del terrorismo, en su redacción originaria, aplicable </w:t>
      </w:r>
      <w:r w:rsidRPr="00B35D37">
        <w:rPr>
          <w:i/>
        </w:rPr>
        <w:t>ratione temporis</w:t>
      </w:r>
      <w:r>
        <w:t xml:space="preserve"> en este proceso, se sustenta en que dicha disposición puede resultar contraria a la Constitución, y, específicamente, al artículo 14 de la Constitución, que garantiza el principio de igualdad ante la ley, pues no apreciamos que la exigencia del presupuesto del vínculo de conexión territorial, consistente en el empadronamiento de la víctima en un municipio de la Comunidad Autónoma de Madrid en un momento determinado relacionado con la entrada en vigor de la Ley, para ser beneficiario de las ayudas e indemnizaciones en los supuestos de actos terroristas cometidos en el ámbito territorial de la Comunidad de Madrid, se haya justificado por el legislador de la Comunidad de Madrid de forma objetivamente razonable, teniendo en cuenta, además, las consecuencias jurídicas que se derivan de la aplicación de tal disposición, que no se revelan proporcionadas a la finalidad legítima perseguida de subvenir a la protección integral de las víctimas del terrorismo, entre otros supuestos, a las víctimas que sufrieron los atentados acontecidos en Madrid el 11 de marzo de 2004.</w:t>
      </w:r>
    </w:p>
    <w:p w14:paraId="64EA06CF" w14:textId="77777777" w:rsidR="00B35D37" w:rsidRDefault="00B35D37" w:rsidP="00B35D37">
      <w:pPr>
        <w:pStyle w:val="TextoNormal"/>
      </w:pPr>
    </w:p>
    <w:p w14:paraId="36B3ED29" w14:textId="77777777" w:rsidR="00B35D37" w:rsidRDefault="00B35D37" w:rsidP="00B35D37">
      <w:pPr>
        <w:pStyle w:val="TextoNormal"/>
      </w:pPr>
      <w:r>
        <w:t>En este sentido, cabe significar que el contenido del artículo 2.2 b) de la Ley de la Comunidad de Madrid 5/2018, de 17 de octubre, para la protección, reconocimiento y memoria de las víctimas del terrorismo, que dispone que la Ley será de aplicación, entre otros supuestos, ‘a las personas declaradas víctimas como consecuencia de una acción terrorista sin resultado de muerte empadronadas en la Comunidad de Madrid en el momento de dicha acción, o en su defecto, empadronadas en un municipio de la región durante, al menos, un tiempo equivalente a las dos terceras partes de su vida hasta el momento de perpetrarse el acto terrorista. 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 en referencia a esta última cláusula del enunciado prescriptivo, resulta contradictorio con la voluntad del propio legislador autonómico, no solo por un defecto de técnica normativa, sino por imponer un trato diferenciado entre víctimas del terrorismo que resulta más riguroso, en relación con el requisito del empadronamiento, para aquellas víctimas que resultaron perjudicadas por las acciones terroristas producidas en la Comunidad de Madrid.</w:t>
      </w:r>
    </w:p>
    <w:p w14:paraId="5F579516" w14:textId="77777777" w:rsidR="00B35D37" w:rsidRDefault="00B35D37" w:rsidP="00B35D37">
      <w:pPr>
        <w:pStyle w:val="TextoNormal"/>
      </w:pPr>
    </w:p>
    <w:p w14:paraId="56A69E3D" w14:textId="77777777" w:rsidR="00B35D37" w:rsidRDefault="00B35D37" w:rsidP="00B35D37">
      <w:pPr>
        <w:pStyle w:val="TextoNormal"/>
      </w:pPr>
      <w:r>
        <w:t>Al respecto, cabe dejar constancia de que el preámbulo de la Ley de la Comunidad de Madrid 5/2018, de 17 de octubre, para la protección, reconocimiento y memoria de las víctimas del terrorismo, expresa con claridad que el designio del legislador autonómico es extender el ámbito de aplicación de la regulación contenida en la Ley de la Comunidad de Madrid 12/1996, de 19 de diciembre, de ayudas a las víctimas del terrorismo, así como la regulación adoptada a nivel estatal, en la Ley 29/2011, de 22 de septiembre, de reconocimiento y protección integral a las víctimas del terrorismo, con base en los artículos 10 y 17 de la Constitución, trata de reparar de forma más plena e integral a las víctimas de terrorismo, complementando las indemnizaciones y compensaciones reconocidas por la legislación estatal, con el propósito de que las víctimas y sus familias se sientan protegidas por la administración tanto a nivel económico como asistencial.</w:t>
      </w:r>
    </w:p>
    <w:p w14:paraId="23BD3F98" w14:textId="77777777" w:rsidR="00B35D37" w:rsidRDefault="00B35D37" w:rsidP="00B35D37">
      <w:pPr>
        <w:pStyle w:val="TextoNormal"/>
      </w:pPr>
    </w:p>
    <w:p w14:paraId="44951381" w14:textId="77777777" w:rsidR="00B35D37" w:rsidRDefault="00B35D37" w:rsidP="00B35D37">
      <w:pPr>
        <w:pStyle w:val="TextoNormal"/>
      </w:pPr>
      <w:r>
        <w:t>Con esta finalidad, se pretende la extensión de las ayudas, ‘no solo a las acciones terroristas cometidas en el territorio de la Comunidad, sino también, con el requisito de empadronamiento en la Comunidad, a los hechos ocurridos en otras partes de España o en otros países’, lo que revela que el requisito del empadronamiento se introducía respecto de las acciones terroristas perpetradas fuera de la Comunidad de Madrid, y, por lo tanto, apreciamos la incongruencia e inoportunidad jurídica de incorporar el requisito del empadronamiento para las víctimas de acciones terroristas acaecidas en el territorio de la Comunidad de Madrid.</w:t>
      </w:r>
    </w:p>
    <w:p w14:paraId="5368D8EC" w14:textId="77777777" w:rsidR="00B35D37" w:rsidRDefault="00B35D37" w:rsidP="00B35D37">
      <w:pPr>
        <w:pStyle w:val="TextoNormal"/>
      </w:pPr>
    </w:p>
    <w:p w14:paraId="50DEF58A" w14:textId="3097F8A3" w:rsidR="00B35D37" w:rsidRDefault="00B35D37" w:rsidP="00B35D37">
      <w:pPr>
        <w:pStyle w:val="TextoNormal"/>
      </w:pPr>
      <w:r>
        <w:t>Por ello, estimamos que la previsión contenida en el artículo 2.2 b) de la Ley 5/2018, de 17 de octubre, para la protección, reconocimiento y memoria de las víctimas del terrorismo, en cuanto exige el cumplimiento del requisito formal de estar empadronado en un municipio de la región durante al menos los dos años inmediatamente anteriores a la entrada en vigor de la ley, o un periodo equivalente, para que le sea concedida la indemnización contemplada en dicha ley, no supera el canon de constitucionalidad acerca de un juicio razonable de proporcionalidad, en los términos establecidos por la doctrina del Tribunal Constitucional, entre otras, en la STC 49/2017, de 18 de diciembre, que determina la necesidad de analizar y valorar si la medida normativa adoptada por el legislador, que impone un trato diferenciado sin justificación objetivamente razonable, resulta, además, desproporcionada en relación con el resultado producido de su aplicación y el fin legítimo perseguido, lo que permite entender, en el presente supuesto, en que la víctima había acreditado su empadronamiento en la Comunidad de Madrid en el momento en que ocurrieron las acciones terroristas acontecidas en el territorio de la comunidad, y ve frustrado el derecho a percibir una indemnización para paliar los daños y perjuicios sufridos, que la norma legal cuestionada resulta contraria al principio de igualdad ante la ley consagrado en el artículo 14 de la Constitución”.</w:t>
      </w:r>
    </w:p>
    <w:p w14:paraId="624E0517" w14:textId="77777777" w:rsidR="00B35D37" w:rsidRDefault="00B35D37" w:rsidP="00B35D37">
      <w:pPr>
        <w:pStyle w:val="TextoNormal"/>
      </w:pPr>
    </w:p>
    <w:p w14:paraId="63C70475" w14:textId="3BABBFB3" w:rsidR="00B35D37" w:rsidRDefault="00B35D37" w:rsidP="00B35D37">
      <w:pPr>
        <w:pStyle w:val="TextoNormal"/>
      </w:pPr>
      <w:r w:rsidRPr="00B35D37">
        <w:rPr>
          <w:rStyle w:val="NumeroAFNegritaCaracter"/>
        </w:rPr>
        <w:t>4</w:t>
      </w:r>
      <w:r>
        <w:t>. Por medio de providencia de 11 de marzo de 2025, el Pleno acordó oír al fiscal general del Estado para que, en el plazo de diez días, y a los efectos que determina el art. 37.1 LOTC, alegase lo que considerase conveniente acerca de la admisibilidad de la presente cuestión de inconstitucionalidad, por si fuere notoriamente infundada, en el sentido atribuido a esta expresión por la doctrina de este tribunal (ATC 8/2019, de 12 de febrero, FJ 2).</w:t>
      </w:r>
    </w:p>
    <w:p w14:paraId="7FD98D66" w14:textId="77777777" w:rsidR="00B35D37" w:rsidRDefault="00B35D37" w:rsidP="00B35D37">
      <w:pPr>
        <w:pStyle w:val="TextoNormal"/>
      </w:pPr>
    </w:p>
    <w:p w14:paraId="0E802A3E" w14:textId="77777777" w:rsidR="00B35D37" w:rsidRDefault="00B35D37" w:rsidP="00B35D37">
      <w:pPr>
        <w:pStyle w:val="TextoNormal"/>
      </w:pPr>
      <w:r w:rsidRPr="00B35D37">
        <w:rPr>
          <w:rStyle w:val="NumeroAFNegritaCaracter"/>
        </w:rPr>
        <w:t>5</w:t>
      </w:r>
      <w:r>
        <w:t>. El fiscal general del Estado evacuó el trámite mediante escrito registrado en este tribunal el 16 de abril de 2025, en el que insta, por un lado, la inadmisibilidad de la cuestión de inconstitucionalidad por un defecto en el trámite de audiencia seguido ante el Tribunal Supremo y, por otro, la inadmisión de la cuestión por no apreciarse inconstitucionalidad alguna en el precepto controvertido.</w:t>
      </w:r>
    </w:p>
    <w:p w14:paraId="0BDA2343" w14:textId="77777777" w:rsidR="00B35D37" w:rsidRDefault="00B35D37" w:rsidP="00B35D37">
      <w:pPr>
        <w:pStyle w:val="TextoNormal"/>
      </w:pPr>
    </w:p>
    <w:p w14:paraId="68872483" w14:textId="77777777" w:rsidR="00B35D37" w:rsidRDefault="00B35D37" w:rsidP="00B35D37">
      <w:pPr>
        <w:pStyle w:val="TextoNormal"/>
      </w:pPr>
      <w:r>
        <w:t>Tras hacer una amplia reseña de los antecedentes del caso y del contenido del auto de planteamiento, se abordan, con carácter previo, dos cuestiones de naturaleza formal.</w:t>
      </w:r>
    </w:p>
    <w:p w14:paraId="7FCC333C" w14:textId="77777777" w:rsidR="00B35D37" w:rsidRDefault="00B35D37" w:rsidP="00B35D37">
      <w:pPr>
        <w:pStyle w:val="TextoNormal"/>
      </w:pPr>
    </w:p>
    <w:p w14:paraId="227F4201" w14:textId="77777777" w:rsidR="00B35D37" w:rsidRDefault="00B35D37" w:rsidP="00B35D37">
      <w:pPr>
        <w:pStyle w:val="TextoNormal"/>
      </w:pPr>
      <w:r>
        <w:t>En primer lugar, se propugna la inadmisibilidad de la presente cuestión de inconstitucionalidad, dado que el trámite de audiencia concedido por la Sala de lo Contencioso-Administrativo del Tribunal Supremo no ha sido cumplimentado adecuadamente, puesto que no se ha cumplido uno de sus presupuestos procedimentales, como es la audiencia simultánea de las partes (con cita y reseña parcial de algunos precedentes, como los AATC 174/2007, de 27 de febrero, FJ 2; 127/2008, de 22 de mayo, FJ 3; 220/2012, de 27 de noviembre, FJ 4, y 122/2016, de 7 de junio, FJ 3).</w:t>
      </w:r>
    </w:p>
    <w:p w14:paraId="208CFB71" w14:textId="77777777" w:rsidR="00B35D37" w:rsidRDefault="00B35D37" w:rsidP="00B35D37">
      <w:pPr>
        <w:pStyle w:val="TextoNormal"/>
      </w:pPr>
    </w:p>
    <w:p w14:paraId="3754169C" w14:textId="77777777" w:rsidR="00B35D37" w:rsidRDefault="00B35D37" w:rsidP="00B35D37">
      <w:pPr>
        <w:pStyle w:val="TextoNormal"/>
      </w:pPr>
      <w:r>
        <w:t xml:space="preserve">En segundo lugar, se considera que la cuestión no ha perdido objeto, a pesar de la reforma del precepto controvertido llevada a cabo por la Ley 9/2022, de 16 de noviembre. Para el Ministerio Público, con cita y reseña parcial de la STC 150/2020, de 22 de octubre, FJ 2 a), debe aplicarse el principio </w:t>
      </w:r>
      <w:r w:rsidRPr="00B35D37">
        <w:rPr>
          <w:i/>
        </w:rPr>
        <w:t>tempus regit actum</w:t>
      </w:r>
      <w:r>
        <w:t>, de manera que lo relevante es que el precepto vigente en el momento de la solicitud de la indemnización siga siendo determinante para la resolución del procedimiento judicial de origen, lo que ocurre en el presente caso.</w:t>
      </w:r>
    </w:p>
    <w:p w14:paraId="488A5B5B" w14:textId="77777777" w:rsidR="00B35D37" w:rsidRDefault="00B35D37" w:rsidP="00B35D37">
      <w:pPr>
        <w:pStyle w:val="TextoNormal"/>
      </w:pPr>
    </w:p>
    <w:p w14:paraId="19E4B9EE" w14:textId="77777777" w:rsidR="00B35D37" w:rsidRDefault="00B35D37" w:rsidP="00B35D37">
      <w:pPr>
        <w:pStyle w:val="TextoNormal"/>
      </w:pPr>
      <w:r>
        <w:t>Entrando ya en la cuestión de fondo, el fiscal general del Estado considera que nos encontramos ante una norma autonómica de carácter complementario a la norma estatal, la Ley 29/2011, y dictada en el marco de las competencias asumidas por la Comunidad de Madrid en el art. 26.1.23 de su estatuto de autonomía, al amparo de lo dispuesto en el art. 148.1.20 CE. Bajo estas premisas, recuerda que la doctrina de este tribunal (con cita y reseña parcial de las SSTC 85/2018, de 19 de julio, FJ 4, y 120/2024, de 8 de octubre, FJ 2) admite, por un lado, una amplia libertad del legislador para la regulación de este tipo de ayudas y, por otro, que el trato diferenciado entre las normativas de cada comunidad autónoma no es necesariamente contrario al principio de igualdad.</w:t>
      </w:r>
    </w:p>
    <w:p w14:paraId="641F1750" w14:textId="77777777" w:rsidR="00B35D37" w:rsidRDefault="00B35D37" w:rsidP="00B35D37">
      <w:pPr>
        <w:pStyle w:val="TextoNormal"/>
      </w:pPr>
    </w:p>
    <w:p w14:paraId="12473878" w14:textId="77777777" w:rsidR="00B35D37" w:rsidRDefault="00B35D37" w:rsidP="00B35D37">
      <w:pPr>
        <w:pStyle w:val="TextoNormal"/>
      </w:pPr>
      <w:r>
        <w:t>Por lo tanto, el legislador de la Comunidad de Madrid, en el ejercicio de sus competencias propias y de la libertad de configuración de la regulación en materia de ayudas sociales, ha establecido una serie de requisitos que consisten, en lo que ahora interesa, en un punto de conexión subjetivo de la víctima con el territorio, con el ente territorial, exigiendo su acreditación a través de la figura administrativa del empadronamiento. Un punto de conexión subjetiva a la que tampoco es ajena la normativa estatal, como se deduce de lo dispuesto en la exposición de motivos de la Ley estatal 29/2011.</w:t>
      </w:r>
    </w:p>
    <w:p w14:paraId="3C466E9F" w14:textId="77777777" w:rsidR="00B35D37" w:rsidRDefault="00B35D37" w:rsidP="00B35D37">
      <w:pPr>
        <w:pStyle w:val="TextoNormal"/>
      </w:pPr>
    </w:p>
    <w:p w14:paraId="58DF9283" w14:textId="2EF77FEE" w:rsidR="00B35D37" w:rsidRDefault="00B35D37" w:rsidP="00B35D37">
      <w:pPr>
        <w:pStyle w:val="TextoNormal"/>
      </w:pPr>
      <w:r>
        <w:t>El requisito, asociado al principio de ciudadanía reconocido en el art. 7.2 EAM, puede considerarse razonable y aparece justificado como un factor de conexión de la víctima con el ente territorial. Este tipo de requisitos no puede ser tachado de arbitrario o discriminatorio, pues guarda relación de sentido con la razón y finalidad de la norma. La medida impuesta responde así a una finalidad razonable y objetiva, cuyas consecuencias no pueden considerarse desproporcionadas, ya que se trata de complementar las ayudas estatales con las establecidas por la legislación autonómica. Para el fiscal general del Estado, existe una proporcionalidad entre el medio empleado —el empadronamiento sujeto a determinados márgenes temporales— y la finalidad perseguida, esto es, que las ayudas sean percibidas por aquellos que tengan o hayan tenido un vínculo subjetivo durante determinados periodos temporales con la Comunidad de Madrid, acreditado por la vecindad administrativa.</w:t>
      </w:r>
    </w:p>
    <w:p w14:paraId="04C89BCD" w14:textId="77777777" w:rsidR="00B35D37" w:rsidRDefault="00B35D37" w:rsidP="00B35D37">
      <w:pPr>
        <w:pStyle w:val="TextoNormal"/>
      </w:pPr>
    </w:p>
    <w:p w14:paraId="0FF2F8BF" w14:textId="77777777" w:rsidR="00B35D37" w:rsidRDefault="00B35D37" w:rsidP="00B35D37">
      <w:pPr>
        <w:pStyle w:val="TextoNormalNegritaCentrado"/>
        <w:keepNext/>
      </w:pPr>
      <w:r>
        <w:t>II. Fundamentos jurídicos</w:t>
      </w:r>
    </w:p>
    <w:p w14:paraId="6D95E4C4" w14:textId="2A761AE8" w:rsidR="00B35D37" w:rsidRDefault="00B35D37" w:rsidP="00B35D37">
      <w:pPr>
        <w:pStyle w:val="TextoNormalNegritaCentrado"/>
        <w:keepNext/>
      </w:pPr>
    </w:p>
    <w:p w14:paraId="4DC5EB49" w14:textId="77777777" w:rsidR="00B35D37" w:rsidRDefault="00B35D37" w:rsidP="00B35D37">
      <w:pPr>
        <w:pStyle w:val="TextoNormal"/>
      </w:pPr>
      <w:r w:rsidRPr="00B35D37">
        <w:rPr>
          <w:rStyle w:val="NumeroAFNegritaCaracter"/>
        </w:rPr>
        <w:t>1</w:t>
      </w:r>
      <w:r>
        <w:t xml:space="preserve">. </w:t>
      </w:r>
      <w:r w:rsidRPr="00B35D37">
        <w:rPr>
          <w:i/>
        </w:rPr>
        <w:t>Objeto de la cuestión de inconstitucionalidad y posiciones de las partes</w:t>
      </w:r>
    </w:p>
    <w:p w14:paraId="7E7741E7" w14:textId="77777777" w:rsidR="00B35D37" w:rsidRDefault="00B35D37" w:rsidP="00B35D37">
      <w:pPr>
        <w:pStyle w:val="TextoNormal"/>
      </w:pPr>
    </w:p>
    <w:p w14:paraId="5F8587A2" w14:textId="77777777" w:rsidR="00B35D37" w:rsidRDefault="00B35D37" w:rsidP="00B35D37">
      <w:pPr>
        <w:pStyle w:val="TextoNormal"/>
      </w:pPr>
      <w:r>
        <w:t>a) La norma cuestionada</w:t>
      </w:r>
    </w:p>
    <w:p w14:paraId="48789060" w14:textId="77777777" w:rsidR="00B35D37" w:rsidRDefault="00B35D37" w:rsidP="00B35D37">
      <w:pPr>
        <w:pStyle w:val="TextoNormal"/>
      </w:pPr>
    </w:p>
    <w:p w14:paraId="4D24B819" w14:textId="77777777" w:rsidR="00B35D37" w:rsidRDefault="00B35D37" w:rsidP="00B35D37">
      <w:pPr>
        <w:pStyle w:val="TextoNormal"/>
      </w:pPr>
      <w:r>
        <w:t>El precepto ahora controvertido es el art. 2.2 b) de la Ley 5/2018 (“Boletín Oficial de la Comunidad de Madrid” núm. 255, de 25 de octubre de 2018; “Boletín Oficial del Estado” núm. 292, de 4 de diciembre de 2018), cuya entrada en vigor tuvo lugar el 26 de octubre de 2018. El texto de la norma cuestionada, en su redacción original aplicable al concreto supuesto de hecho, y en lo que ahora interesa, era el siguiente:</w:t>
      </w:r>
    </w:p>
    <w:p w14:paraId="5A93D501" w14:textId="77777777" w:rsidR="00B35D37" w:rsidRDefault="00B35D37" w:rsidP="00B35D37">
      <w:pPr>
        <w:pStyle w:val="TextoNormal"/>
      </w:pPr>
    </w:p>
    <w:p w14:paraId="09B67E5A" w14:textId="77777777" w:rsidR="00B35D37" w:rsidRDefault="00B35D37" w:rsidP="00B35D37">
      <w:pPr>
        <w:pStyle w:val="TextoNormal"/>
      </w:pPr>
      <w:r>
        <w:t>“Artículo 2. Ámbito temporal y subjetivo de aplicación.</w:t>
      </w:r>
    </w:p>
    <w:p w14:paraId="33D209FC" w14:textId="77777777" w:rsidR="00B35D37" w:rsidRDefault="00B35D37" w:rsidP="00B35D37">
      <w:pPr>
        <w:pStyle w:val="TextoNormal"/>
      </w:pPr>
    </w:p>
    <w:p w14:paraId="76E7C6CF" w14:textId="77777777" w:rsidR="00B35D37" w:rsidRDefault="00B35D37" w:rsidP="00B35D37">
      <w:pPr>
        <w:pStyle w:val="TextoNormal"/>
      </w:pPr>
      <w:r>
        <w:t>1. Las disposiciones de la presente ley serán de aplicación a los hechos que se hubieran cometido desde el 1 de enero de 1960.</w:t>
      </w:r>
    </w:p>
    <w:p w14:paraId="31E47780" w14:textId="77777777" w:rsidR="00B35D37" w:rsidRDefault="00B35D37" w:rsidP="00B35D37">
      <w:pPr>
        <w:pStyle w:val="TextoNormal"/>
      </w:pPr>
    </w:p>
    <w:p w14:paraId="5535344A" w14:textId="77777777" w:rsidR="00B35D37" w:rsidRDefault="00B35D37" w:rsidP="00B35D37">
      <w:pPr>
        <w:pStyle w:val="TextoNormal"/>
      </w:pPr>
      <w:r>
        <w:t>2. La ley será de aplicación:</w:t>
      </w:r>
    </w:p>
    <w:p w14:paraId="7C061EF8" w14:textId="77777777" w:rsidR="00B35D37" w:rsidRDefault="00B35D37" w:rsidP="00B35D37">
      <w:pPr>
        <w:pStyle w:val="TextoNormal"/>
      </w:pPr>
    </w:p>
    <w:p w14:paraId="69329FDC" w14:textId="77777777" w:rsidR="00B35D37" w:rsidRDefault="00B35D37" w:rsidP="00B35D37">
      <w:pPr>
        <w:pStyle w:val="TextoNormal"/>
      </w:pPr>
      <w:r>
        <w:t>a) A las personas fallecidas como consecuencia de una acción terrorista empadronadas en la Comunidad de Madrid en el momento de dicha acción, o en su defecto, empadronadas en un municipio de la región durante, al menos, un tiempo equivalente a las dos terceras partes de su vida hasta el momento de perpetrarse el acto terrorista.</w:t>
      </w:r>
    </w:p>
    <w:p w14:paraId="6194E766" w14:textId="77777777" w:rsidR="00B35D37" w:rsidRDefault="00B35D37" w:rsidP="00B35D37">
      <w:pPr>
        <w:pStyle w:val="TextoNormal"/>
      </w:pPr>
    </w:p>
    <w:p w14:paraId="1DB747C9" w14:textId="77777777" w:rsidR="00B35D37" w:rsidRDefault="00B35D37" w:rsidP="00B35D37">
      <w:pPr>
        <w:pStyle w:val="TextoNormal"/>
      </w:pPr>
      <w:r>
        <w:t xml:space="preserve">b) A las personas declaradas víctimas como consecuencia de una acción terrorista sin resultado de muerte empadronadas en la Comunidad de Madrid en el momento de dicha acción, o en su defecto, empadronadas en un municipio de la región durante, al menos, un tiempo equivalente a las dos terceras partes de su vida hasta el momento de perpetrarse el acto terrorista. </w:t>
      </w:r>
      <w:r w:rsidRPr="00B35D37">
        <w:rPr>
          <w:i/>
        </w:rPr>
        <w:t>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w:t>
      </w:r>
      <w:r>
        <w:t>. [La cursiva es nuestra].</w:t>
      </w:r>
    </w:p>
    <w:p w14:paraId="75B839F0" w14:textId="77777777" w:rsidR="00B35D37" w:rsidRDefault="00B35D37" w:rsidP="00B35D37">
      <w:pPr>
        <w:pStyle w:val="TextoNormal"/>
      </w:pPr>
    </w:p>
    <w:p w14:paraId="0BB8B4DC" w14:textId="77777777" w:rsidR="00B35D37" w:rsidRDefault="00B35D37" w:rsidP="00B35D37">
      <w:pPr>
        <w:pStyle w:val="TextoNormal"/>
      </w:pPr>
      <w:r>
        <w:t>c) A las personas que acrediten, en los términos […] de la Ley 29/2011 […], haber sufrido situaciones de amenazas o coacciones directas y reiteradas procedentes de organizaciones terroristas, y que, por cualquiera de estas causas, haya abandonado su comunidad autónoma de origen, habiendo fijado su residencia en la Comunidad de Madrid durante al menos dos años inmediatamente anteriores a la entrada en vigor de esta ley”.</w:t>
      </w:r>
    </w:p>
    <w:p w14:paraId="1DDF1AA9" w14:textId="77777777" w:rsidR="00B35D37" w:rsidRDefault="00B35D37" w:rsidP="00B35D37">
      <w:pPr>
        <w:pStyle w:val="TextoNormal"/>
      </w:pPr>
    </w:p>
    <w:p w14:paraId="1FADCA13" w14:textId="77777777" w:rsidR="00B35D37" w:rsidRDefault="00B35D37" w:rsidP="00B35D37">
      <w:pPr>
        <w:pStyle w:val="TextoNormal"/>
      </w:pPr>
      <w:r>
        <w:t>b) Planteamiento general del auto del Tribunal Supremo y posiciones de las partes</w:t>
      </w:r>
    </w:p>
    <w:p w14:paraId="242159C3" w14:textId="77777777" w:rsidR="00B35D37" w:rsidRDefault="00B35D37" w:rsidP="00B35D37">
      <w:pPr>
        <w:pStyle w:val="TextoNormal"/>
      </w:pPr>
    </w:p>
    <w:p w14:paraId="3E5FA90F" w14:textId="77777777" w:rsidR="00B35D37" w:rsidRDefault="00B35D37" w:rsidP="00B35D37">
      <w:pPr>
        <w:pStyle w:val="TextoNormal"/>
      </w:pPr>
      <w:r>
        <w:t>Como se ha expuesto con más detalle en los antecedentes de hecho de esta resolución, el auto de planteamiento de la presente cuestión aborda la eventual inconstitucionalidad del precepto desde la perspectiva del derecho a la igualdad ante la ley reconocido en el art. 14 CE. Una igualdad que, como es conocido, no excluye la diferenciación entre situaciones distintas, siempre que exista una suficiente justificación de tal distinción, que aparezca al mismo tiempo como fundada y razonable, de acuerdo con criterios y juicios de valor generalmente aceptados, y cuyas consecuencias no resulten, en todo caso, desproporcionadas [por todas, la STC 91/2019, de 3 de julio, FJ 4 a)].</w:t>
      </w:r>
    </w:p>
    <w:p w14:paraId="5CBA9399" w14:textId="77777777" w:rsidR="00B35D37" w:rsidRDefault="00B35D37" w:rsidP="00B35D37">
      <w:pPr>
        <w:pStyle w:val="TextoNormal"/>
      </w:pPr>
    </w:p>
    <w:p w14:paraId="149A161C" w14:textId="77777777" w:rsidR="00B35D37" w:rsidRDefault="00B35D37" w:rsidP="00B35D37">
      <w:pPr>
        <w:pStyle w:val="TextoNormal"/>
      </w:pPr>
      <w:r>
        <w:t>En el presente caso, y en apretada síntesis, la Sala considera que el requisito del empadronamiento durante un determinado periodo de tiempo anterior a la solicitud de la ayuda no encuentra una justificación objetiva y razonable, siendo, además, desproporcionado para la finalidad supuestamente pretendida por la norma.</w:t>
      </w:r>
    </w:p>
    <w:p w14:paraId="4ECA6315" w14:textId="77777777" w:rsidR="00B35D37" w:rsidRDefault="00B35D37" w:rsidP="00B35D37">
      <w:pPr>
        <w:pStyle w:val="TextoNormal"/>
      </w:pPr>
    </w:p>
    <w:p w14:paraId="14BD818D" w14:textId="77777777" w:rsidR="00B35D37" w:rsidRDefault="00B35D37" w:rsidP="00B35D37">
      <w:pPr>
        <w:pStyle w:val="TextoNormal"/>
      </w:pPr>
      <w:r>
        <w:t>Así, tras poner de manifiesto la aparente contradicción existente entre el tenor literal de la norma y su preámbulo, la Sala constata que el requisito del empadronamiento solo estaba inicialmente pensado para los supuestos de acciones terroristas cometidas fuera de la comunidad autónoma, lo que no era el caso. Además, la finalidad pretendida por la norma, consistente en una protección integral de las víctimas, no se corresponde con la exigencia de un requisito de empadronamiento que la norma no justifica de forma objetiva, generando un efecto desproporcionado como es la exclusión de la víctima de toda ayuda en comparación con las que, siendo igualmente víctimas —incluso de la misma acción terrorista— sí cumplen con ese requisito.</w:t>
      </w:r>
    </w:p>
    <w:p w14:paraId="6F46AB49" w14:textId="77777777" w:rsidR="00B35D37" w:rsidRDefault="00B35D37" w:rsidP="00B35D37">
      <w:pPr>
        <w:pStyle w:val="TextoNormal"/>
      </w:pPr>
    </w:p>
    <w:p w14:paraId="380D5EB7" w14:textId="77777777" w:rsidR="00B35D37" w:rsidRDefault="00B35D37" w:rsidP="00B35D37">
      <w:pPr>
        <w:pStyle w:val="TextoNormal"/>
      </w:pPr>
      <w:r>
        <w:t>Por su parte, la representación de la recurrente en el procedimiento de origen postula igualmente la declaración de inconstitucionalidad del precepto, alegando la vulneración del principio de igualdad ante la ley por motivos similares a los expuestos en el auto del Tribunal Supremo, a los que añade la aplicabilidad de la doctrina expuesta en la STC 60/2015.</w:t>
      </w:r>
    </w:p>
    <w:p w14:paraId="74514AFC" w14:textId="77777777" w:rsidR="00B35D37" w:rsidRDefault="00B35D37" w:rsidP="00B35D37">
      <w:pPr>
        <w:pStyle w:val="TextoNormal"/>
      </w:pPr>
    </w:p>
    <w:p w14:paraId="589D55C0" w14:textId="4292FCC3" w:rsidR="00B35D37" w:rsidRDefault="00B35D37" w:rsidP="00B35D37">
      <w:pPr>
        <w:pStyle w:val="TextoNormal"/>
      </w:pPr>
      <w:r>
        <w:t>Finalmente, tanto el letrado de la Comunidad de Madrid como el fiscal general del Estado consideran improcedente el planteamiento de la cuestión, al no apreciar tacha alguna de inconstitucionalidad en el precepto controvertido. Además, el letrado alega la pérdida sobrevenida de objeto de la cuestión, tras la reforma del precepto llevada a cabo por la Ley 9/2022. Por su parte, el fiscal general del Estado alega también la infracción de lo dispuesto en el art. 35.2 LOTC sobre el trámite de audiencia a las partes.</w:t>
      </w:r>
    </w:p>
    <w:p w14:paraId="048F7666" w14:textId="77777777" w:rsidR="00B35D37" w:rsidRDefault="00B35D37" w:rsidP="00B35D37">
      <w:pPr>
        <w:pStyle w:val="TextoNormal"/>
      </w:pPr>
    </w:p>
    <w:p w14:paraId="76D8616A" w14:textId="77777777" w:rsidR="00B35D37" w:rsidRDefault="00B35D37" w:rsidP="00B35D37">
      <w:pPr>
        <w:pStyle w:val="TextoNormal"/>
      </w:pPr>
      <w:r w:rsidRPr="00B35D37">
        <w:rPr>
          <w:rStyle w:val="NumeroAFNegritaCaracter"/>
        </w:rPr>
        <w:t>2</w:t>
      </w:r>
      <w:r>
        <w:t xml:space="preserve">. </w:t>
      </w:r>
      <w:r w:rsidRPr="00B35D37">
        <w:rPr>
          <w:i/>
        </w:rPr>
        <w:t>Análisis de los requisitos procesales</w:t>
      </w:r>
    </w:p>
    <w:p w14:paraId="2BC4C586" w14:textId="77777777" w:rsidR="00B35D37" w:rsidRDefault="00B35D37" w:rsidP="00B35D37">
      <w:pPr>
        <w:pStyle w:val="TextoNormal"/>
      </w:pPr>
    </w:p>
    <w:p w14:paraId="385BB433" w14:textId="77777777" w:rsidR="00B35D37" w:rsidRDefault="00B35D37" w:rsidP="00B35D37">
      <w:pPr>
        <w:pStyle w:val="TextoNormal"/>
      </w:pPr>
      <w:r>
        <w:t>El art. 35.2 LOTC exige, para la adecuada conformación de los presupuestos necesarios para abordar una cuestión de inconstitucionalidad, el cumplimiento de una serie de requisitos, de entre los que, además del rango normativo controvertido y el momento procesal de su planteamiento (no discutidos en este caso), sobresalen —en lo que ahora interesa— los denominados juicios de aplicabilidad y de relevancia, así como la correcta tramitación de la audiencia previa a las partes personadas en el procedimiento judicial de origen. A estos presupuestos ha de añadirse, en este caso, el análisis de la alegación formulada por el letrado de la Comunidad de Madrid, sobre la supuesta pérdida de objeto de la presente cuestión, tras la reforma del precepto controvertido.</w:t>
      </w:r>
    </w:p>
    <w:p w14:paraId="3BE5C4AB" w14:textId="77777777" w:rsidR="00B35D37" w:rsidRDefault="00B35D37" w:rsidP="00B35D37">
      <w:pPr>
        <w:pStyle w:val="TextoNormal"/>
      </w:pPr>
    </w:p>
    <w:p w14:paraId="10EA6D7A" w14:textId="77777777" w:rsidR="00B35D37" w:rsidRDefault="00B35D37" w:rsidP="00B35D37">
      <w:pPr>
        <w:pStyle w:val="TextoNormal"/>
      </w:pPr>
      <w:r>
        <w:t>El orden de tratamiento de estas cuestiones empezará, por su mayor sustantividad, con los juicios de aplicabilidad y de relevancia, tras lo cual se abordará, por su íntima conexión, la supuesta pérdida de objeto de este proceso constitucional, finalizando con el análisis de la regularidad de la audiencia previa concedida a las partes.</w:t>
      </w:r>
    </w:p>
    <w:p w14:paraId="3B2BD3CF" w14:textId="77777777" w:rsidR="00B35D37" w:rsidRDefault="00B35D37" w:rsidP="00B35D37">
      <w:pPr>
        <w:pStyle w:val="TextoNormal"/>
      </w:pPr>
    </w:p>
    <w:p w14:paraId="3A2860BA" w14:textId="77777777" w:rsidR="00B35D37" w:rsidRDefault="00B35D37" w:rsidP="00B35D37">
      <w:pPr>
        <w:pStyle w:val="TextoNormal"/>
      </w:pPr>
      <w:r>
        <w:t>a) Sobre los denominados juicios de aplicabilidad y relevancia</w:t>
      </w:r>
    </w:p>
    <w:p w14:paraId="1DEB3791" w14:textId="77777777" w:rsidR="00B35D37" w:rsidRDefault="00B35D37" w:rsidP="00B35D37">
      <w:pPr>
        <w:pStyle w:val="TextoNormal"/>
      </w:pPr>
    </w:p>
    <w:p w14:paraId="77FCA0EF" w14:textId="77777777" w:rsidR="00B35D37" w:rsidRDefault="00B35D37" w:rsidP="00B35D37">
      <w:pPr>
        <w:pStyle w:val="TextoNormal"/>
      </w:pPr>
      <w:r>
        <w:t>La Sala de lo Contencioso-Administrativo del Tribunal Supremo ha motivado en su auto los denominados juicios de aplicabilidad y de relevancia, en los términos que han sido descritos en los antecedentes de esta resolución. El precepto cuestionado era aplicable al caso concreto, puesto que había fundamentado el sentido de la resolución administrativa objeto del recurso de casación (de hecho, fue el motivo concreto por el que se desestimó la solicitud de indemnización formulada por la recurrente en el procedimiento de origen) y, por lo tanto, su eventual inconstitucionalidad determinaría la falta de cobertura legal de la resolución impugnada y la consiguiente estimación del recurso.</w:t>
      </w:r>
    </w:p>
    <w:p w14:paraId="51E1EFF2" w14:textId="77777777" w:rsidR="00B35D37" w:rsidRDefault="00B35D37" w:rsidP="00B35D37">
      <w:pPr>
        <w:pStyle w:val="TextoNormal"/>
      </w:pPr>
    </w:p>
    <w:p w14:paraId="2F5D8B54" w14:textId="77777777" w:rsidR="00B35D37" w:rsidRDefault="00B35D37" w:rsidP="00B35D37">
      <w:pPr>
        <w:pStyle w:val="TextoNormal"/>
      </w:pPr>
      <w:r>
        <w:t>No obstante, en este punto conviene hacer las siguientes precisiones:</w:t>
      </w:r>
    </w:p>
    <w:p w14:paraId="2EBBAB39" w14:textId="77777777" w:rsidR="00B35D37" w:rsidRDefault="00B35D37" w:rsidP="00B35D37">
      <w:pPr>
        <w:pStyle w:val="TextoNormal"/>
      </w:pPr>
    </w:p>
    <w:p w14:paraId="138A5DBA" w14:textId="77777777" w:rsidR="00B35D37" w:rsidRDefault="00B35D37" w:rsidP="00B35D37">
      <w:pPr>
        <w:pStyle w:val="TextoNormal"/>
      </w:pPr>
      <w:r>
        <w:t>(i) Atendiendo al motivo por el que se desestimó la solicitud de ayuda, el juicio de aplicabilidad impone que la cuestión ahora abordada deba limitarse al último inciso del art. 2.2 b): “Así mismo, deberán haber permanecido empadronadas en un municipio de la región durante al menos los dos años inmediatamente anteriores a la entrada en vigor de esta ley o, en su defecto, durante un tiempo equivalente a las dos terceras partes del periodo transcurrido desde la perpetración del acto terrorista hasta la entrada en vigor de esta ley”. Este era el único requisito incumplido por la interesada, tal y como se expone en el auto de planteamiento de la cuestión, por lo que será el único objeto de nuestro enjuiciamiento.</w:t>
      </w:r>
    </w:p>
    <w:p w14:paraId="60CFFFAF" w14:textId="77777777" w:rsidR="00B35D37" w:rsidRDefault="00B35D37" w:rsidP="00B35D37">
      <w:pPr>
        <w:pStyle w:val="TextoNormal"/>
      </w:pPr>
    </w:p>
    <w:p w14:paraId="0307D1C7" w14:textId="77777777" w:rsidR="00B35D37" w:rsidRDefault="00B35D37" w:rsidP="00B35D37">
      <w:pPr>
        <w:pStyle w:val="TextoNormal"/>
      </w:pPr>
      <w:r>
        <w:t>(ii) Aunque el Tribunal Supremo admite (en el fundamento jurídico primero de su auto) que el interés casacional del recurso se había conformado sobre la base de un inciso recogido en el art. 31.1 de la Ley 5/2018, lo cierto es que la remisión contenida en ese precepto al cumplimiento de los requisitos exigidos en la norma para la concesión de las ayudas convertía esos requisitos —y, particularmente, el ahora cuestionado— en el objeto central de la controversia, de cuya validez dependería la resolución del recurso. En todo caso, en el recurso de casación se invocaba expresamente la inconstitucionalidad del precepto ahora controvertido, y se solicitaba el planteamiento de una cuestión de inconstitucionalidad sobre el mismo, tal y como finalmente acordó la Sala.</w:t>
      </w:r>
    </w:p>
    <w:p w14:paraId="5F9C97CC" w14:textId="77777777" w:rsidR="00B35D37" w:rsidRDefault="00B35D37" w:rsidP="00B35D37">
      <w:pPr>
        <w:pStyle w:val="TextoNormal"/>
      </w:pPr>
    </w:p>
    <w:p w14:paraId="3904AAE7" w14:textId="77777777" w:rsidR="00B35D37" w:rsidRDefault="00B35D37" w:rsidP="00B35D37">
      <w:pPr>
        <w:pStyle w:val="TextoNormal"/>
      </w:pPr>
      <w:r>
        <w:t>Se consideran, por tanto, debidamente cumplimentados los juicios de aplicabilidad y de relevancia del precepto cuestionado.</w:t>
      </w:r>
    </w:p>
    <w:p w14:paraId="0FF35F0B" w14:textId="77777777" w:rsidR="00B35D37" w:rsidRDefault="00B35D37" w:rsidP="00B35D37">
      <w:pPr>
        <w:pStyle w:val="TextoNormal"/>
      </w:pPr>
    </w:p>
    <w:p w14:paraId="276D37FC" w14:textId="77777777" w:rsidR="00B35D37" w:rsidRDefault="00B35D37" w:rsidP="00B35D37">
      <w:pPr>
        <w:pStyle w:val="TextoNormal"/>
      </w:pPr>
      <w:r>
        <w:t>b) Sobre la pérdida de objeto de la cuestión de inconstitucionalidad</w:t>
      </w:r>
    </w:p>
    <w:p w14:paraId="1B174E75" w14:textId="77777777" w:rsidR="00B35D37" w:rsidRDefault="00B35D37" w:rsidP="00B35D37">
      <w:pPr>
        <w:pStyle w:val="TextoNormal"/>
      </w:pPr>
    </w:p>
    <w:p w14:paraId="0EE900F3" w14:textId="77777777" w:rsidR="00B35D37" w:rsidRDefault="00B35D37" w:rsidP="00B35D37">
      <w:pPr>
        <w:pStyle w:val="TextoNormal"/>
      </w:pPr>
      <w:r>
        <w:t>Sin perjuicio de lo anterior, pero íntimamente ligado al juicio de aplicabilidad, se hace necesario ofrecer una respuesta a la alegación vertida por el letrado de la Comunidad de Madrid sobre la eventual pérdida de objeto de la cuestión planteada, tras la reforma del precepto objeto de análisis.</w:t>
      </w:r>
    </w:p>
    <w:p w14:paraId="00AAA201" w14:textId="77777777" w:rsidR="00B35D37" w:rsidRDefault="00B35D37" w:rsidP="00B35D37">
      <w:pPr>
        <w:pStyle w:val="TextoNormal"/>
      </w:pPr>
    </w:p>
    <w:p w14:paraId="4EC5AC77" w14:textId="77777777" w:rsidR="00B35D37" w:rsidRDefault="00B35D37" w:rsidP="00B35D37">
      <w:pPr>
        <w:pStyle w:val="TextoNormal"/>
      </w:pPr>
      <w:r>
        <w:t xml:space="preserve">Este tribunal considera que la modificación ulterior de la norma cuestionada no implica la pérdida sobrevenida de objeto de esta cuestión. El precepto sigue siendo determinante para la resolución del procedimiento </w:t>
      </w:r>
      <w:r w:rsidRPr="00B35D37">
        <w:rPr>
          <w:i/>
        </w:rPr>
        <w:t>a quo</w:t>
      </w:r>
      <w:r>
        <w:t xml:space="preserve"> (STC 81/2009, de 23 de marzo, FJ 2, con cita de otras anteriores). Como apunta el fiscal general del Estado, al no encontrarnos ante un juicio abstracto de inconstitucionalidad, sino ante un análisis de constitucionalidad que se proyecta sobre una situación jurídica individualizada en un proceso concreto, ha de aplicarse el principio </w:t>
      </w:r>
      <w:r w:rsidRPr="00B35D37">
        <w:rPr>
          <w:i/>
        </w:rPr>
        <w:t>tempus regit actum</w:t>
      </w:r>
      <w:r>
        <w:t xml:space="preserve">, de manera que lo determinante es el precepto que estaba vigente cuando se dictó el acto administrativo impugnado en el proceso </w:t>
      </w:r>
      <w:r w:rsidRPr="00B35D37">
        <w:rPr>
          <w:i/>
        </w:rPr>
        <w:t>a quo</w:t>
      </w:r>
      <w:r>
        <w:t>, de cuya constitucionalidad depende su resolución (STC 150/2022, de 29 de noviembre, FJ 1). Así lo ha entendido igualmente el Tribunal Supremo, al plantear la cuestión en los términos indicados, incluso cuando la reforma de la ley ya estaba en vigor. Una modificación legislativa que, por lo demás, nada indica sobre su eventual aplicación retroactiva en la disposición final de la Ley de la Asamblea de Madrid 9/2022, de 16 de noviembre, de reforma de la Ley 5/2018, de 17 de octubre, para la protección, reconocimiento y memoria de las víctimas del terrorismo.</w:t>
      </w:r>
    </w:p>
    <w:p w14:paraId="1EA8C6F9" w14:textId="77777777" w:rsidR="00B35D37" w:rsidRDefault="00B35D37" w:rsidP="00B35D37">
      <w:pPr>
        <w:pStyle w:val="TextoNormal"/>
      </w:pPr>
    </w:p>
    <w:p w14:paraId="522590F9" w14:textId="77777777" w:rsidR="00B35D37" w:rsidRDefault="00B35D37" w:rsidP="00B35D37">
      <w:pPr>
        <w:pStyle w:val="TextoNormal"/>
      </w:pPr>
      <w:r>
        <w:t>c) Sobre la regularidad del trámite de audiencia previa a las partes</w:t>
      </w:r>
    </w:p>
    <w:p w14:paraId="1D049D20" w14:textId="77777777" w:rsidR="00B35D37" w:rsidRDefault="00B35D37" w:rsidP="00B35D37">
      <w:pPr>
        <w:pStyle w:val="TextoNormal"/>
      </w:pPr>
    </w:p>
    <w:p w14:paraId="2642F8A9" w14:textId="77777777" w:rsidR="00B35D37" w:rsidRDefault="00B35D37" w:rsidP="00B35D37">
      <w:pPr>
        <w:pStyle w:val="TextoNormal"/>
      </w:pPr>
      <w:r>
        <w:t>En nuestro ATC 20/2022, de 26 de enero, FJ 3 a), se destacaba, en un supuesto similar al que nos ocupa, que “el modo de cumplimentar el trámite de audiencia plantea un problema que es relevante para la admisión de [una] cuestión [de inconstitucionalidad]. De acuerdo con nuestra doctrina, el trámite de audiencia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(ATC 220/2012, de 27 de noviembre, FJ 4). Para ello, el trámite de audiencia a las partes debe ser realizado simultáneamente y no de forma separada y sucesiva, si no se quiere infringir el art. 35.2 LOTC. Como hemos declarado, ‘el plazo para que aleguen las partes y el Ministerio Fiscal ha de ser común, previsión cuyo sentido es que el trámite se lleve a cabo para que respondan, sin que conozcan las alegaciones de las otras partes y del Ministerio Fiscal, al planteamiento de la cuestión de inconstitucionalidad que les someta el órgano judicial’ (en este sentido, AATC 174/2007, de 27 de febrero, FJ 2; 127/2008, de 22 de mayo, FJ 2; 220/2012, de 27 de noviembre, FJ 4, y 221/2013, de 9 de octubre, FJ 5)”.</w:t>
      </w:r>
    </w:p>
    <w:p w14:paraId="258E4923" w14:textId="77777777" w:rsidR="00B35D37" w:rsidRDefault="00B35D37" w:rsidP="00B35D37">
      <w:pPr>
        <w:pStyle w:val="TextoNormal"/>
      </w:pPr>
    </w:p>
    <w:p w14:paraId="45B31820" w14:textId="77777777" w:rsidR="00B35D37" w:rsidRDefault="00B35D37" w:rsidP="00B35D37">
      <w:pPr>
        <w:pStyle w:val="TextoNormal"/>
      </w:pPr>
      <w:r>
        <w:t xml:space="preserve">En este caso, como alega el fiscal general del Estado, el órgano judicial promotor abre, por providencia de 10 de junio de 2024, un trámite de audiencia para oír solamente a las partes en el proceso </w:t>
      </w:r>
      <w:r w:rsidRPr="00B35D37">
        <w:rPr>
          <w:i/>
        </w:rPr>
        <w:t>a quo</w:t>
      </w:r>
      <w:r>
        <w:t>, por plazo de diez días, sobre el planteamiento de la cuestión de inconstitucionalidad. Con posterioridad, por providencia de 24 de septiembre de 2024, es cuando se acuerda oír al Ministerio Fiscal. Resulta evidente que en este caso se ha producido una infracción del art. 35.2 LOTC, en cuanto el trámite de audiencia a las partes y al Ministerio Fiscal no se ha desarrollado de forma simultánea, en el plazo común de diez días, sino de manera sucesiva y separada.</w:t>
      </w:r>
    </w:p>
    <w:p w14:paraId="69CB8ADB" w14:textId="77777777" w:rsidR="00B35D37" w:rsidRDefault="00B35D37" w:rsidP="00B35D37">
      <w:pPr>
        <w:pStyle w:val="TextoNormal"/>
      </w:pPr>
    </w:p>
    <w:p w14:paraId="21DD62F4" w14:textId="125E55D7" w:rsidR="00B35D37" w:rsidRDefault="00B35D37" w:rsidP="00B35D37">
      <w:pPr>
        <w:pStyle w:val="TextoNormal"/>
      </w:pPr>
      <w:r>
        <w:t>No obstante, a fin de excluir una eventual reiteración del planteamiento de la cuestión de inconstitucionalidad en el futuro aplicando correctamente lo previsto en el art. 35.2 LOTC, habida cuenta de que, se avanza ya, sería igualmente inadmisible, y para evitar dilaciones innecesarias a las partes, estimamos que lo más conveniente es abordar la cuestión de fondo y proporcionar una respuesta fundada a la duda planteada por el Tribunal Supremo.</w:t>
      </w:r>
    </w:p>
    <w:p w14:paraId="201A0DF6" w14:textId="77777777" w:rsidR="00B35D37" w:rsidRDefault="00B35D37" w:rsidP="00B35D37">
      <w:pPr>
        <w:pStyle w:val="TextoNormal"/>
      </w:pPr>
    </w:p>
    <w:p w14:paraId="7AF335D0" w14:textId="77777777" w:rsidR="00B35D37" w:rsidRDefault="00B35D37" w:rsidP="00B35D37">
      <w:pPr>
        <w:pStyle w:val="TextoNormal"/>
      </w:pPr>
      <w:r w:rsidRPr="00B35D37">
        <w:rPr>
          <w:rStyle w:val="NumeroAFNegritaCaracter"/>
        </w:rPr>
        <w:t>3</w:t>
      </w:r>
      <w:r>
        <w:t xml:space="preserve">. </w:t>
      </w:r>
      <w:r w:rsidRPr="00B35D37">
        <w:rPr>
          <w:i/>
        </w:rPr>
        <w:t>El precepto cuestionado: breve análisis de su contenido</w:t>
      </w:r>
    </w:p>
    <w:p w14:paraId="2962DBC0" w14:textId="77777777" w:rsidR="00B35D37" w:rsidRDefault="00B35D37" w:rsidP="00B35D37">
      <w:pPr>
        <w:pStyle w:val="TextoNormal"/>
      </w:pPr>
    </w:p>
    <w:p w14:paraId="7C82ACA0" w14:textId="77777777" w:rsidR="00B35D37" w:rsidRDefault="00B35D37" w:rsidP="00B35D37">
      <w:pPr>
        <w:pStyle w:val="TextoNormal"/>
      </w:pPr>
      <w:r>
        <w:t>Una lectura del precepto cuestionado, ya reseñado, pone de manifiesto que la ayuda solicitada estaba condicionada, en primer lugar, por la previa declaración de víctima de una acción terrorista sin resultado de muerte y, en segundo lugar, por un doble requisito de vinculación territorial subjetiva: por un lado, el empadronamiento de la víctima en la Comunidad de Madrid en el momento de la acción terrorista (o, al menos, durante un periodo significativo de su vida hasta el momento de la acción terrorista) y, por otro, y para los supuestos en los que la acción terrorista fuese anterior a la entrada en vigor de la norma, el empadronamiento de la víctima en la Comunidad de Madrid durante un determinado periodo de tiempo anterior a esa entrada en vigor (o durante un periodo significativo de su vida entre el momento de la acción terrorista y la entrada en vigor de la norma).</w:t>
      </w:r>
    </w:p>
    <w:p w14:paraId="00D24D61" w14:textId="77777777" w:rsidR="00B35D37" w:rsidRDefault="00B35D37" w:rsidP="00B35D37">
      <w:pPr>
        <w:pStyle w:val="TextoNormal"/>
      </w:pPr>
    </w:p>
    <w:p w14:paraId="20B83C3B" w14:textId="77777777" w:rsidR="00B35D37" w:rsidRDefault="00B35D37" w:rsidP="00B35D37">
      <w:pPr>
        <w:pStyle w:val="TextoNormal"/>
      </w:pPr>
      <w:r>
        <w:t>Dicho sea en términos más sintéticos, la norma exige que la víctima se encuentre empadronada en un municipio madrileño en el momento de la acción terrorista, pero en los supuestos en que la acción se hubiese producido antes de entrada en vigor de la ley, se exige que esa condición se hubiese mantenido con una cierta estabilidad, definida en la norma, desde la acción terrorista y hasta la entrada en vigor.</w:t>
      </w:r>
    </w:p>
    <w:p w14:paraId="221804C7" w14:textId="77777777" w:rsidR="00B35D37" w:rsidRDefault="00B35D37" w:rsidP="00B35D37">
      <w:pPr>
        <w:pStyle w:val="TextoNormal"/>
      </w:pPr>
    </w:p>
    <w:p w14:paraId="7B1A2F72" w14:textId="4820AA19" w:rsidR="00B35D37" w:rsidRDefault="00B35D37" w:rsidP="00B35D37">
      <w:pPr>
        <w:pStyle w:val="TextoNormal"/>
      </w:pPr>
      <w:r>
        <w:t>En el caso concreto de la interesada en este procedimiento, el motivo de la desestimación de su solicitud fue el último de los requisitos exigidos por la norma, por lo que, como ya se ha expuesto, el análisis de constitucionalidad habrá de limitarse a este supuesto, por exigencias del juicio de aplicabilidad propio de un proceso de la naturaleza que nos ocupa.</w:t>
      </w:r>
    </w:p>
    <w:p w14:paraId="79CCB9FA" w14:textId="77777777" w:rsidR="00B35D37" w:rsidRDefault="00B35D37" w:rsidP="00B35D37">
      <w:pPr>
        <w:pStyle w:val="TextoNormal"/>
      </w:pPr>
    </w:p>
    <w:p w14:paraId="12203329" w14:textId="77777777" w:rsidR="00B35D37" w:rsidRDefault="00B35D37" w:rsidP="00B35D37">
      <w:pPr>
        <w:pStyle w:val="TextoNormal"/>
      </w:pPr>
      <w:r w:rsidRPr="00B35D37">
        <w:rPr>
          <w:rStyle w:val="NumeroAFNegritaCaracter"/>
        </w:rPr>
        <w:t>4</w:t>
      </w:r>
      <w:r>
        <w:t xml:space="preserve">. </w:t>
      </w:r>
      <w:r w:rsidRPr="00B35D37">
        <w:rPr>
          <w:i/>
        </w:rPr>
        <w:t>Examen sobre el fondo de la cuestión de inconstitucionalidad planteada</w:t>
      </w:r>
    </w:p>
    <w:p w14:paraId="4A79D69D" w14:textId="77777777" w:rsidR="00B35D37" w:rsidRDefault="00B35D37" w:rsidP="00B35D37">
      <w:pPr>
        <w:pStyle w:val="TextoNormal"/>
      </w:pPr>
    </w:p>
    <w:p w14:paraId="74050EC1" w14:textId="77777777" w:rsidR="00B35D37" w:rsidRDefault="00B35D37" w:rsidP="00B35D37">
      <w:pPr>
        <w:pStyle w:val="TextoNormal"/>
      </w:pPr>
      <w:r>
        <w:t>Situada la controversia en los términos ya descritos, y atendiendo a los argumentos expuestos en el auto de planteamiento, así como en los escritos de alegaciones de las partes, procede abordar el análisis sobre el fundamento de la cuestión ahora promovida.</w:t>
      </w:r>
    </w:p>
    <w:p w14:paraId="78CEE1FA" w14:textId="77777777" w:rsidR="00B35D37" w:rsidRDefault="00B35D37" w:rsidP="00B35D37">
      <w:pPr>
        <w:pStyle w:val="TextoNormal"/>
      </w:pPr>
    </w:p>
    <w:p w14:paraId="1751240C" w14:textId="77777777" w:rsidR="00B35D37" w:rsidRDefault="00B35D37" w:rsidP="00B35D37">
      <w:pPr>
        <w:pStyle w:val="TextoNormal"/>
      </w:pPr>
      <w:r>
        <w:t>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 este concepto,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esta sea arbitraria’ (por todos, ATC 89/2019, de 16 de julio, FJ 5, y los allí citados)” (ATC 172/2020, de 15 de diciembre, FJ 2, entre otros muchos).</w:t>
      </w:r>
    </w:p>
    <w:p w14:paraId="28550D43" w14:textId="77777777" w:rsidR="00B35D37" w:rsidRDefault="00B35D37" w:rsidP="00B35D37">
      <w:pPr>
        <w:pStyle w:val="TextoNormal"/>
      </w:pPr>
    </w:p>
    <w:p w14:paraId="2681F675" w14:textId="77777777" w:rsidR="00B35D37" w:rsidRDefault="00B35D37" w:rsidP="00B35D37">
      <w:pPr>
        <w:pStyle w:val="TextoNormal"/>
      </w:pPr>
      <w:r>
        <w:t>Lo primero que conviene señalar es que no resulta extrapolable la doctrina de la STC 60/2015 invocada por la representación de la recurrente en el procedimiento de origen. En esta sentencia se abordaba la denegación de una bonificación autonómica del impuesto sobre sucesiones y donaciones a quienes no tuvieran su residencia habitual en la Comunidad Valenciana a la fecha del devengo, creando así un tratamiento diferenciado entre parientes del mismo grado respecto de la misma herencia y causante. El Tribunal precisó (FJ 4) que resultaba de aplicación a este ámbito el principio de igualdad ante la ley tributaria del art. 31.1 CE (correlativa del deber de todos los ciudadanos a contribuir al sostenimiento de los gastos públicos), el cual “conlleva la prohibición en la concesión de privilegios tributarios discriminatorios”. Teniendo esto en cuenta, prosigue diciendo la sentencia (FJ 5) que, si la razón de la bonificación establecida era “la realización de una política social de apoyo a la familia directa del causante, en principio, el mismo apoyo merece recibir cualquier miembro de esa ‘familia directa’ a la que se dirige la norma legal”. Por tanto, y debido a ello, apreció que el precepto cuestionado no solo vulneraba el principio de igualdad del art. 14 CE, “sino que, como con acierto señala el fiscal general del Estado, se ha utilizado un criterio de reparto de las cargas públicas carente de una justificación razonable y, por tanto, incompatible con un sistema tributario justo (art. 31.1 CE)”. En el mismo sentido y a propósito también de bonificaciones fiscales, las SSTC 52/2018, de 10 de mayo, FJ 4, y 20/2022, de 9 de febrero, FFJJ 2 y 3. Como puede apreciarse, el objeto de la Ley de la Asamblea de Madrid 5/2018 no es el tributario ni, por tanto, en la articulación de las indemnizaciones de su art. 2 (dicción original) queda concernido el principio de igualdad tributaria del art. 31 CE, aunque se ponga en relación con el art. 14 CE.</w:t>
      </w:r>
    </w:p>
    <w:p w14:paraId="2D3B8577" w14:textId="77777777" w:rsidR="00B35D37" w:rsidRDefault="00B35D37" w:rsidP="00B35D37">
      <w:pPr>
        <w:pStyle w:val="TextoNormal"/>
      </w:pPr>
    </w:p>
    <w:p w14:paraId="4F89660E" w14:textId="77777777" w:rsidR="00B35D37" w:rsidRDefault="00B35D37" w:rsidP="00B35D37">
      <w:pPr>
        <w:pStyle w:val="TextoNormal"/>
      </w:pPr>
      <w:r>
        <w:t>Sentado todo lo anterior, y de conformidad con nuestra doctrina sobre el derecho a la igualdad ante la ley [STC 91/2019, de 3 de julio, FJ 4 a)], la adecuada valoración sobre el fundamento jurídico de la cuestión planteada exige analizar, de entrada, si el requisito del empadronamiento en el momento de solicitar la ayuda puede encontrar alguna justificación objetiva y razonable, para luego ponderar, en su caso, su proporcionalidad en relación con la finalidad pretendida por la norma. En este punto, los argumentos ofrecidos por el Tribunal Supremo no revisten la solidez necesaria para justificar la admisión a trámite de esta cuestión de inconstitucionalidad.</w:t>
      </w:r>
    </w:p>
    <w:p w14:paraId="24B955C6" w14:textId="77777777" w:rsidR="00B35D37" w:rsidRDefault="00B35D37" w:rsidP="00B35D37">
      <w:pPr>
        <w:pStyle w:val="TextoNormal"/>
      </w:pPr>
    </w:p>
    <w:p w14:paraId="13F9DC6B" w14:textId="77777777" w:rsidR="00B35D37" w:rsidRDefault="00B35D37" w:rsidP="00B35D37">
      <w:pPr>
        <w:pStyle w:val="TextoNormal"/>
      </w:pPr>
      <w:r>
        <w:t>En efecto, el Tribunal Supremo concede una particular relevancia a los siguientes elementos valorativos, con los que entiende que se justificaría la inconstitucionalidad del precepto cuestionado: la finalidad pretendida por la norma en función de lo expuesto en su preámbulo, y la correlativa falta de una expresa justificación del requisito; el concepto de protección integral de las víctimas; y la falta de proporcionalidad derivada del incumplimiento del requisito, puesto en relación con la finalidad de la norma. Analizaremos estos elementos de forma individualizada.</w:t>
      </w:r>
    </w:p>
    <w:p w14:paraId="041A63DA" w14:textId="77777777" w:rsidR="00B35D37" w:rsidRDefault="00B35D37" w:rsidP="00B35D37">
      <w:pPr>
        <w:pStyle w:val="TextoNormal"/>
      </w:pPr>
    </w:p>
    <w:p w14:paraId="46C38066" w14:textId="77777777" w:rsidR="00B35D37" w:rsidRDefault="00B35D37" w:rsidP="00B35D37">
      <w:pPr>
        <w:pStyle w:val="TextoNormal"/>
      </w:pPr>
      <w:r>
        <w:t>a) Sobre la trascendencia del preámbulo de la norma</w:t>
      </w:r>
    </w:p>
    <w:p w14:paraId="0678BC9C" w14:textId="77777777" w:rsidR="00B35D37" w:rsidRDefault="00B35D37" w:rsidP="00B35D37">
      <w:pPr>
        <w:pStyle w:val="TextoNormal"/>
      </w:pPr>
    </w:p>
    <w:p w14:paraId="4E9274D2" w14:textId="77777777" w:rsidR="00B35D37" w:rsidRDefault="00B35D37" w:rsidP="00B35D37">
      <w:pPr>
        <w:pStyle w:val="TextoNormal"/>
      </w:pPr>
      <w:r>
        <w:t>Como recuerda el fiscal general del Estado en sus alegaciones, este tribunal ha destacado de modo reiterado (por todas, la STC 81/2020, de 15 de julio, FJ 12) que las exposiciones de motivos y los preámbulos de las leyes carecen de valor normativo, pero sí tienen un marcado carácter interpretativo de cuál haya sido la voluntad del legislador a la hora de establecer la regulación sobre el contenido de la norma.</w:t>
      </w:r>
    </w:p>
    <w:p w14:paraId="6C968F09" w14:textId="77777777" w:rsidR="00B35D37" w:rsidRDefault="00B35D37" w:rsidP="00B35D37">
      <w:pPr>
        <w:pStyle w:val="TextoNormal"/>
      </w:pPr>
    </w:p>
    <w:p w14:paraId="2FFFD6DD" w14:textId="77777777" w:rsidR="00B35D37" w:rsidRDefault="00B35D37" w:rsidP="00B35D37">
      <w:pPr>
        <w:pStyle w:val="TextoNormal"/>
      </w:pPr>
      <w:r>
        <w:t>Sin embargo, este valor interpretativo decae cuando, como le atribuye el Tribunal Supremo en este caso, el texto de la ley simplemente no se corresponde con lo expuesto en su preámbulo o este resulta ambiguo o impreciso (ver, en tal sentido, la STC 7/2023, de 21 de febrero, FJ 3). Una elemental comprensión del principio de seguridad jurídica impide que se pueda hacer que una norma diga lo que esta expresamente no dice. Por lo tanto, lo relevante es el contenido de la norma, no lo que se supone que la norma habría querido decir y no dijo. La discrepancia entre el preámbulo de la norma y su articulado no alcanza más que a revelar una inconveniente deficiencia de técnica legislativa que, por lo demás, no resulta insólita cuando se considera que no es infrecuente que, a partir del texto inicial de un proyecto normativo, cuya exposición de motivos es coherente con el articulado, los distintos avances del proyecto y las modificaciones de su articulado no se acompañan de la consiguiente adaptación de la exposición de motivos; olvido o dejación que, a la postre, degenera en un preámbulo incoherente e inoperante a efectos interpretativos que no puede sustituir la única voluntad del legislador, que es la expresada en el articulado.</w:t>
      </w:r>
    </w:p>
    <w:p w14:paraId="0777A68D" w14:textId="77777777" w:rsidR="00B35D37" w:rsidRDefault="00B35D37" w:rsidP="00B35D37">
      <w:pPr>
        <w:pStyle w:val="TextoNormal"/>
      </w:pPr>
    </w:p>
    <w:p w14:paraId="2FFD53C5" w14:textId="77777777" w:rsidR="00B35D37" w:rsidRDefault="00B35D37" w:rsidP="00B35D37">
      <w:pPr>
        <w:pStyle w:val="TextoNormal"/>
      </w:pPr>
      <w:r>
        <w:t>La sola constatación por el propio Tribunal Supremo de que el preámbulo de la ley cuestionada resulta incoherente con su articulado bastaría en sí mismo para desechar el valor que cabría atribuirle como elemento interpretativo y, con ello, para desechar también la relevancia del argumento en el que, en parte, se sustenta el planteamiento de la cuestión. Ello no obstante, cabe advertir que incluso la interpretación que el Tribunal Supremo hace del contenido del preámbulo, y la aparente discrepancia con su articulado, no es tan evidente como se expone en el auto de planteamiento de la cuestión.</w:t>
      </w:r>
    </w:p>
    <w:p w14:paraId="646939B8" w14:textId="77777777" w:rsidR="00B35D37" w:rsidRDefault="00B35D37" w:rsidP="00B35D37">
      <w:pPr>
        <w:pStyle w:val="TextoNormal"/>
      </w:pPr>
    </w:p>
    <w:p w14:paraId="1E2F017A" w14:textId="77777777" w:rsidR="00B35D37" w:rsidRDefault="00B35D37" w:rsidP="00B35D37">
      <w:pPr>
        <w:pStyle w:val="TextoNormal"/>
      </w:pPr>
      <w:r>
        <w:t>La única mención que el preámbulo contiene al requisito del empadronamiento o residencia es la siguiente: “la presente ley extiende su ámbito de aplicación no solo a las acciones terroristas cometidas en el territorio de la Comunidad, sino también, con el requisito de empadronamiento en la Comunidad, a los hechos ocurridos en otras partes de España o en otros países, al tiempo que se incluyen dentro de la condición de víctima del terrorismo a aquellas personas que hayan sido retenidas, sufrido amenazas, coacciones o situaciones de extorsión o que, por cualquiera de estas causas, hayan abandonado su comunidad autónoma de origen y hayan fijado su residencia en la Comunidad de Madrid”. Como se puede observar, conforme a ese preámbulo, solo podría exigirse el requisito del empadronamiento respecto de los atentados cometidos fuera de la comunidad autónoma, mientras que la residencia vendría referida a las víctimas de determinadas infracciones que, por ese motivo, hubieran abandonado su comunidad de origen para instalarse en la Comunidad de Madrid.</w:t>
      </w:r>
    </w:p>
    <w:p w14:paraId="374A39A4" w14:textId="77777777" w:rsidR="00B35D37" w:rsidRDefault="00B35D37" w:rsidP="00B35D37">
      <w:pPr>
        <w:pStyle w:val="TextoNormal"/>
      </w:pPr>
    </w:p>
    <w:p w14:paraId="7C78F929" w14:textId="77777777" w:rsidR="00B35D37" w:rsidRDefault="00B35D37" w:rsidP="00B35D37">
      <w:pPr>
        <w:pStyle w:val="TextoNormal"/>
      </w:pPr>
      <w:r>
        <w:t>Sin perjuicio de insistir en el carácter no normativo del preámbulo, su redactado permite interpretar que la alusión al empadronamiento se refiere al momento de la comisión de la acción terrorista, pero en ningún caso se alude o refiere a los requisitos que deben concurrir en un momento posterior, como es el de la solicitud, y menos aún se refieren al supuesto específico regulado en el inciso cuestionado del art. 2.2 b) de la Ley 5/2018, esto es, acciones terroristas producidas con anterioridad a su entrada en vigor.</w:t>
      </w:r>
    </w:p>
    <w:p w14:paraId="1AC0BDEB" w14:textId="77777777" w:rsidR="00B35D37" w:rsidRDefault="00B35D37" w:rsidP="00B35D37">
      <w:pPr>
        <w:pStyle w:val="TextoNormal"/>
      </w:pPr>
    </w:p>
    <w:p w14:paraId="1757975B" w14:textId="77777777" w:rsidR="00B35D37" w:rsidRDefault="00B35D37" w:rsidP="00B35D37">
      <w:pPr>
        <w:pStyle w:val="TextoNormal"/>
      </w:pPr>
      <w:r>
        <w:t>En definitiva, está en el margen de interpretación literal del preámbulo concluir que no contiene justificación alguna sobre los requisitos propios de la solicitud, y menos aún en el supuesto específico al que se refiere el art. 2.2 b) de la Ley 5/2018, lo que, en principio, no puede ser considerado —por sí solo— como un elemento revelador de la inconstitucionalidad del precepto, siempre que del contenido de la norma pueda advertirse una motivación objetiva, razonable y no desproporcionada del requisito en sí mismo considerado, más allá de las concretas menciones que pueda contener, o que no se contengan en absoluto, en su preámbulo, lo que será objeto de examen en los siguientes apartados.</w:t>
      </w:r>
    </w:p>
    <w:p w14:paraId="067766C3" w14:textId="77777777" w:rsidR="00B35D37" w:rsidRDefault="00B35D37" w:rsidP="00B35D37">
      <w:pPr>
        <w:pStyle w:val="TextoNormal"/>
      </w:pPr>
    </w:p>
    <w:p w14:paraId="0482FCF5" w14:textId="77777777" w:rsidR="00B35D37" w:rsidRDefault="00B35D37" w:rsidP="00B35D37">
      <w:pPr>
        <w:pStyle w:val="TextoNormal"/>
      </w:pPr>
      <w:r>
        <w:t>b) Sobre la falta de justificación objetiva y razonable del requisito relativo al empadronamiento por referencia al momento de la solicitud</w:t>
      </w:r>
    </w:p>
    <w:p w14:paraId="158474EB" w14:textId="77777777" w:rsidR="00B35D37" w:rsidRDefault="00B35D37" w:rsidP="00B35D37">
      <w:pPr>
        <w:pStyle w:val="TextoNormal"/>
      </w:pPr>
    </w:p>
    <w:p w14:paraId="5D9B8D0B" w14:textId="77777777" w:rsidR="00B35D37" w:rsidRDefault="00B35D37" w:rsidP="00B35D37">
      <w:pPr>
        <w:pStyle w:val="TextoNormal"/>
      </w:pPr>
      <w:r>
        <w:t>La ausencia de una justificación expresa en el preámbulo de la norma acerca del concreto requisito exigido en el art. 2.2 b) de la Ley 5/2018 no implica necesariamente que el requisito sea objetivamente injustificable. En el presente supuesto, el contenido de la norma permite advertir una motivación objetiva y razonable, directamente asociada al ámbito competencial propio de una comunidad autónoma.</w:t>
      </w:r>
    </w:p>
    <w:p w14:paraId="23D2A9E2" w14:textId="77777777" w:rsidR="00B35D37" w:rsidRDefault="00B35D37" w:rsidP="00B35D37">
      <w:pPr>
        <w:pStyle w:val="TextoNormal"/>
      </w:pPr>
    </w:p>
    <w:p w14:paraId="5C9A704D" w14:textId="77777777" w:rsidR="00B35D37" w:rsidRDefault="00B35D37" w:rsidP="00B35D37">
      <w:pPr>
        <w:pStyle w:val="TextoNormal"/>
      </w:pPr>
      <w:r>
        <w:t>Efectivamente, conforme a lo recogido en el apartado III del preámbulo de la Ley 5/2018, la norma se dictó al amparo de algunas de las competencias exclusivas atribuidas a la Comunidad de Madrid en su Estatuto de Autonomía (aprobado por la Ley Orgánica 3/1983, de 25 de febrero). Más en concreto, se citan las siguientes: “vivienda (artículo 26.1.4); fomento del desarrollo económico (artículo 26.1.17); fomento de la cultura (artículo 26.1.20); deporte y ocio (artículo 26.1.22); ayudas a las personas con discapacidad y demás grupos sociales necesitados de especial atención (artículo 26.1.23); competencia de desarrollo legislativo y ejecución en sanidad (artículo 27.4); coordinación hospitalaria (artículo 27.5) y enseñanza en toda su extensión, niveles y grados, modalidades y especialidades (artículo 29)”.</w:t>
      </w:r>
    </w:p>
    <w:p w14:paraId="5C135F94" w14:textId="77777777" w:rsidR="00B35D37" w:rsidRDefault="00B35D37" w:rsidP="00B35D37">
      <w:pPr>
        <w:pStyle w:val="TextoNormal"/>
      </w:pPr>
    </w:p>
    <w:p w14:paraId="5B924EB3" w14:textId="77777777" w:rsidR="00B35D37" w:rsidRDefault="00B35D37" w:rsidP="00B35D37">
      <w:pPr>
        <w:pStyle w:val="TextoNormal"/>
      </w:pPr>
      <w:r>
        <w:t>La Ley 5/2018 (en su texto original, y con sus dos reformas posteriores —leyes 2/2019, de 6 de marzo y 9/2022, de 16 de noviembre—, como antes la Ley 12/1996, de 19 de diciembre, de la misma comunidad), no se ha dictado para el cumplimiento de ninguna obligación impuesta por la Constitución u otras leyes, o por resoluciones judiciales, ni constituye un supuesto de responsabilidad patrimonial por daños que sean imputables a la comunidad autónoma. Como señala su preámbulo, la norma responde a un “compromiso público” con las víctimas del terrorismo que la comunidad autónoma decide asumir voluntariamente, estableciendo una serie de medidas de ayuda que resultan, además, complementarias (art. 4.2) y, por lo tanto, compatibles con las que ya prevé el Estado, conforme a lo dispuesto en el art. 15.1 de la Ley 29/2011, de 22 de septiembre, de reconocimiento y protección integral a las víctimas del terrorismo.</w:t>
      </w:r>
    </w:p>
    <w:p w14:paraId="78CB425A" w14:textId="77777777" w:rsidR="00B35D37" w:rsidRDefault="00B35D37" w:rsidP="00B35D37">
      <w:pPr>
        <w:pStyle w:val="TextoNormal"/>
      </w:pPr>
    </w:p>
    <w:p w14:paraId="755F171C" w14:textId="77777777" w:rsidR="00B35D37" w:rsidRDefault="00B35D37" w:rsidP="00B35D37">
      <w:pPr>
        <w:pStyle w:val="TextoNormal"/>
      </w:pPr>
      <w:r>
        <w:t>Nos encontramos, por consiguiente, ante una decisión del legislador autonómico que, en el ejercicio de unas competencias asistenciales o prestacionales, dispone de un amplio margen de libertad en la configuración de un determinado sistema de ayudas públicas, siempre que se respete el bloque de constitucionalidad, integrado, en particular, por los derechos fundamentales y por el sistema de distribución competencial (STC 52/2013, de 28 de febrero, FJ 5). En este último punto, conviene señalar que, de conformidad con lo expuesto en la STC 163/2013, de 16 de septiembre, FJ 3 (con su remisión a la citada STC 52/2013, FJ 5), no estamos ante una materia que pueda relacionarse con el título competencial previsto en el art. 149.1.1 CE, dado que, por definición, el beneficiario de las ayudas previstas en la norma cuestionada no es la generalidad de la población, lo que justifica que la regulación de las distintas comunidades autónomas pueda establecer requisitos propios o diferenciados. La cuestión, por tanto, ha de centrarse, como hace el Tribunal Supremo, en la compatibilidad de la norma con la garantía de los derechos fundamentales y, en particular, con el derecho a la igualdad reconocido en el art. 14 CE.</w:t>
      </w:r>
    </w:p>
    <w:p w14:paraId="02986B8E" w14:textId="77777777" w:rsidR="00B35D37" w:rsidRDefault="00B35D37" w:rsidP="00B35D37">
      <w:pPr>
        <w:pStyle w:val="TextoNormal"/>
      </w:pPr>
    </w:p>
    <w:p w14:paraId="5F92FDC5" w14:textId="77777777" w:rsidR="00B35D37" w:rsidRDefault="00B35D37" w:rsidP="00B35D37">
      <w:pPr>
        <w:pStyle w:val="TextoNormal"/>
      </w:pPr>
      <w:r>
        <w:t>En ese contexto, la Comunidad de Madrid ha decidido establecer el criterio del empadronamiento como punto de conexión que justifica y, al mismo tiempo, delimita su ámbito competencial. Se opta así por un requisito que resulta coherente, además, con la “condición política” de ciudadano de la Comunidad de Madrid que, según dispone el art. 7.2 EAM, se corresponde con la “vecindad administrativa” en cualquiera de sus municipios. Se trata de un criterio objetivo que, con ser común en las normas similares de otras comunidades autónomas, en ningún caso puede ser considerado como intrínsecamente discriminatorio, es decir, que no forma parte de las prohibiciones absolutas de discriminación recogidas en el art. 14 CE (nacimiento, raza, sexo, religión u opinión) [STC 91/2019, de 3 de julio, FJ 4 b)]. Tampoco puede ser observado como un requisito extravagante o inusual en las relaciones entre los ciudadanos y el poder público (ver, en tal sentido, —y para un ámbito concreto como el del derecho de acceso a cargo público reconocido en el art. 23.2 CE—, la STC 76/2021, de 15 de abril, FJ 4). Y, desde luego, no parece ilógico que una comunidad autónoma que establece unas ayudas a las que no está obligada, condicione su efectividad a la vinculación del solicitante con ese territorio.</w:t>
      </w:r>
    </w:p>
    <w:p w14:paraId="15793335" w14:textId="77777777" w:rsidR="00B35D37" w:rsidRDefault="00B35D37" w:rsidP="00B35D37">
      <w:pPr>
        <w:pStyle w:val="TextoNormal"/>
      </w:pPr>
    </w:p>
    <w:p w14:paraId="4B7A258A" w14:textId="77777777" w:rsidR="00B35D37" w:rsidRDefault="00B35D37" w:rsidP="00B35D37">
      <w:pPr>
        <w:pStyle w:val="TextoNormal"/>
      </w:pPr>
      <w:r>
        <w:t>Por otro lado, no es irrazonable que esa vinculación no se limite al momento de producirse la acción terrorista, sino también al momento en que se solicita, sobre todo teniendo en cuenta el ámbito de aplicación temporal de la norma y el concreto supuesto al que se refiere el inciso cuestionado. Efectivamente, y como se ha señalado en el fundamento jurídico 1 a) de esta sentencia, el art. 2.1 de la Ley 5/2018 no solo extiende su cobertura en relación con víctimas de acciones terroristas cometidas en un momento anterior a su entrada en vigor, sino que incluso se extiende esa protección a un momento (desde el 1 de enero de 1960) en el que ni tan siquiera existía la Comunidad de Madrid. Si el legislador autonómico madrileño opta legítimamente por limitar su protección complementaria a quienes gozan de la condición política o administrativa de ciudadano de la Comunidad de Madrid, no es ilógico ni irrazonable requerir que esa condición política o administrativa se revista de una cierta permanencia o estabilidad por referencia al momento de entrada en vigor de la ley. Se trata de un precepto de indudable naturaleza temporal que, sin perjuicio de la discutible técnica legislativa que supone no haberlo diferido a una disposición transitoria, permite advertir que las circunstancias personales pueden haber sufrido cambios sustanciales en ese amplio lapso de tiempo que puede mediar entre la acción terrorista y la solicitud de la ayuda, por lo que no parece objetivamente irrazonable que se puedan exigir requisitos singularizados en cada momento.</w:t>
      </w:r>
    </w:p>
    <w:p w14:paraId="7E375C61" w14:textId="77777777" w:rsidR="00B35D37" w:rsidRDefault="00B35D37" w:rsidP="00B35D37">
      <w:pPr>
        <w:pStyle w:val="TextoNormal"/>
      </w:pPr>
    </w:p>
    <w:p w14:paraId="0FA3D5E6" w14:textId="77777777" w:rsidR="00B35D37" w:rsidRDefault="00B35D37" w:rsidP="00B35D37">
      <w:pPr>
        <w:pStyle w:val="TextoNormal"/>
      </w:pPr>
      <w:r>
        <w:t>De esta forma, puede entenderse razonable que la Comunidad de Madrid haya querido que el beneficiario, en el caso de acciones terroristas anteriores a la entrada en vigor de la ley, haya mantenido su vínculo con la comunidad autónoma también en el momento de la solicitud. Se trata de un criterio que, por razones obvias, no puede predicarse respecto de las personas fallecidas —supuesto regulado en el art. 2.2 a) de la ley y, lógicamente, no incluido en el supuesto del art. 2.2 b)—, pero sí respecto de otras víctimas de acciones terroristas.</w:t>
      </w:r>
    </w:p>
    <w:p w14:paraId="24E5A484" w14:textId="77777777" w:rsidR="00B35D37" w:rsidRDefault="00B35D37" w:rsidP="00B35D37">
      <w:pPr>
        <w:pStyle w:val="TextoNormal"/>
      </w:pPr>
    </w:p>
    <w:p w14:paraId="2A7333C2" w14:textId="77777777" w:rsidR="00B35D37" w:rsidRDefault="00B35D37" w:rsidP="00B35D37">
      <w:pPr>
        <w:pStyle w:val="TextoNormal"/>
      </w:pPr>
      <w:r>
        <w:t>c) Sobre el concepto de protección integral de las víctimas</w:t>
      </w:r>
    </w:p>
    <w:p w14:paraId="1ECF2F1C" w14:textId="77777777" w:rsidR="00B35D37" w:rsidRDefault="00B35D37" w:rsidP="00B35D37">
      <w:pPr>
        <w:pStyle w:val="TextoNormal"/>
      </w:pPr>
    </w:p>
    <w:p w14:paraId="27BCC7BF" w14:textId="77777777" w:rsidR="00B35D37" w:rsidRDefault="00B35D37" w:rsidP="00B35D37">
      <w:pPr>
        <w:pStyle w:val="TextoNormal"/>
      </w:pPr>
      <w:r>
        <w:t>El auto del Tribunal Supremo concede igualmente relevancia el hecho de que, según su preámbulo, la norma pretende una protección integral de las víctimas, lo que resultaría contrario a la exigencia de requisitos singularizados en el momento de solicitar las ayudas. A ello podrían contribuir algunas expresiones contenidas en el preámbulo de la norma que parecen apuntar a una referencia plural, indeterminada o generalizada hacia todas las víctimas de terrorismo.</w:t>
      </w:r>
    </w:p>
    <w:p w14:paraId="2C48565B" w14:textId="77777777" w:rsidR="00B35D37" w:rsidRDefault="00B35D37" w:rsidP="00B35D37">
      <w:pPr>
        <w:pStyle w:val="TextoNormal"/>
      </w:pPr>
    </w:p>
    <w:p w14:paraId="1688DF4B" w14:textId="77777777" w:rsidR="00B35D37" w:rsidRDefault="00B35D37" w:rsidP="00B35D37">
      <w:pPr>
        <w:pStyle w:val="TextoNormal"/>
      </w:pPr>
      <w:r>
        <w:t>Al margen de insistir en el valor propio de un preámbulo y que, a partir del preámbulo, no cabe sustituir el valor normativo que exclusivamente se puede atribuir al articulado, cabe añadir que las expresiones que el auto de planteamiento de la cuestión de inconstitucionalidad considera relevantes pueden ser entendidas como declaraciones de compromisos políticos o programáticos que, en cualquier caso, no permiten equiparar la protección integral de las víctimas con una protección universal de todas ellas.</w:t>
      </w:r>
    </w:p>
    <w:p w14:paraId="20E242E1" w14:textId="77777777" w:rsidR="00B35D37" w:rsidRDefault="00B35D37" w:rsidP="00B35D37">
      <w:pPr>
        <w:pStyle w:val="TextoNormal"/>
      </w:pPr>
    </w:p>
    <w:p w14:paraId="2FEFC47F" w14:textId="77777777" w:rsidR="00B35D37" w:rsidRDefault="00B35D37" w:rsidP="00B35D37">
      <w:pPr>
        <w:pStyle w:val="TextoNormal"/>
      </w:pPr>
      <w:r>
        <w:t>En efecto, el preámbulo destaca la pretensión de Comunidad de Madrid de “manifestar su más absoluta solidaridad con todas las víctimas del terrorismo que lo han sufrido o que lo pudieran sufrir en el futuro en cualquiera de sus formas”; así como el “compromiso público de toda la Comunidad con las víctimas del terrorismo”; o la “solidaridad, el reconocimiento, respeto, memoria, homenaje y reparación […] hacia todas las víctimas producidas como consecuencia de atentados […] que han formado parte de la historia” de esa región.</w:t>
      </w:r>
    </w:p>
    <w:p w14:paraId="144D078E" w14:textId="77777777" w:rsidR="00B35D37" w:rsidRDefault="00B35D37" w:rsidP="00B35D37">
      <w:pPr>
        <w:pStyle w:val="TextoNormal"/>
      </w:pPr>
    </w:p>
    <w:p w14:paraId="7ACB8FF9" w14:textId="77777777" w:rsidR="00B35D37" w:rsidRDefault="00B35D37" w:rsidP="00B35D37">
      <w:pPr>
        <w:pStyle w:val="TextoNormal"/>
      </w:pPr>
      <w:r>
        <w:t>Pero, a la hora de concretar el sistema de ayudas, el preámbulo también pone de manifiesto el tiempo transcurrido desde la Ley 12/1996, de 19 de diciembre, que reguló por primera vez las ayudas a las víctimas del terrorismo de la Comunidad de Madrid, así como la innovación derivada de la aprobación por el Estado de la Ley 29/2011, de 22 de septiembre, de reconocimiento y protección integral de las víctimas del terrorismo. Todo ello obliga, según el legislador autonómico, a la adaptación de su propia normativa y a la incorporación de las previsiones estatales, pasando seguidamente a describir someramente el contenido y finalidad de la nueva Ley 5/2018, que luego queda plasmado en el articulado concreto.</w:t>
      </w:r>
    </w:p>
    <w:p w14:paraId="5790FDB1" w14:textId="77777777" w:rsidR="00B35D37" w:rsidRDefault="00B35D37" w:rsidP="00B35D37">
      <w:pPr>
        <w:pStyle w:val="TextoNormal"/>
      </w:pPr>
    </w:p>
    <w:p w14:paraId="1381DFF5" w14:textId="77777777" w:rsidR="00B35D37" w:rsidRDefault="00B35D37" w:rsidP="00B35D37">
      <w:pPr>
        <w:pStyle w:val="TextoNormal"/>
      </w:pPr>
      <w:r>
        <w:t>Quiere decirse con todo esto que una cosa son las declaraciones sobre el compromiso y la solidaridad con las víctimas del terrorismo, en general, y otra distinta son las concretas condiciones establecidas en la norma para la solicitud y obtención de cada una de las medidas de protección diseñadas por la ley autonómica. Y también quiere decirse con ello que una cosa es la protección integral de las víctimas (que se refiere al alcance material de la protección, esto es, el alcance de las prestaciones que compromete la Comunidad de Madrid), y otra diferente es que esa protección integral sea también universal, esto es, que el ámbito subjetivo de aplicación de la ley incluya a toda persona (de ahí la universalidad como concepto diferente a la integridad), con independencia o sin exigir que concurra un determinado vínculo con la Comunidad de Madrid.</w:t>
      </w:r>
    </w:p>
    <w:p w14:paraId="64D73FF3" w14:textId="77777777" w:rsidR="00B35D37" w:rsidRDefault="00B35D37" w:rsidP="00B35D37">
      <w:pPr>
        <w:pStyle w:val="TextoNormal"/>
      </w:pPr>
    </w:p>
    <w:p w14:paraId="3C1E5F65" w14:textId="77777777" w:rsidR="00B35D37" w:rsidRDefault="00B35D37" w:rsidP="00B35D37">
      <w:pPr>
        <w:pStyle w:val="TextoNormal"/>
      </w:pPr>
      <w:r>
        <w:t xml:space="preserve">En efecto, el preámbulo de la norma cuestionada apuesta por un “sistema integral de reparación de los daños causados por las acciones terroristas, con el fin de que las víctimas y sus familias [nótese que aquí no se refiere expresamente a ‘todas’] se sientan protegidas por la administración tanto a nivel económico como asistencial”. Y es que la norma establece un amplio catálogo de ayudas y reconocimientos, descritos en su art. 4.1 y desarrollados a lo largo de la ley, que incluye las indemnizaciones por fallecimiento y por daños físicos o psíquicos (arts. 5 y 6); ayudas y medidas por daños materiales (arts. 7 a 15); asistencia sanitaria, psicológica y psicopedagógica (arts. 16 y 17); ayudas y medidas educativas (art. 18); medidas en materia de empleo, vivienda pública y cultura y deporte (arts. 19 a 21); ayudas extraordinarias (art. 22); subvenciones a entidades que representan y defienden los intereses de las víctimas del terrorismo (art. 23); y distinciones honoríficas y actuaciones en memoria de las víctimas (arts. 24 a 25 </w:t>
      </w:r>
      <w:r w:rsidRPr="00B35D37">
        <w:rPr>
          <w:i/>
        </w:rPr>
        <w:t>bis</w:t>
      </w:r>
      <w:r>
        <w:t>). Se trata, por tanto, de todo un conjunto de medidas (prestaciones) que, a modo de un sistema integral de ayudas, pretende que las víctimas reciban la más completa asistencia que les permita superar las consecuencias provocadas por las acciones terroristas.</w:t>
      </w:r>
    </w:p>
    <w:p w14:paraId="1D16D16D" w14:textId="77777777" w:rsidR="00B35D37" w:rsidRDefault="00B35D37" w:rsidP="00B35D37">
      <w:pPr>
        <w:pStyle w:val="TextoNormal"/>
      </w:pPr>
    </w:p>
    <w:p w14:paraId="576C729B" w14:textId="77777777" w:rsidR="00B35D37" w:rsidRDefault="00B35D37" w:rsidP="00B35D37">
      <w:pPr>
        <w:pStyle w:val="TextoNormal"/>
      </w:pPr>
      <w:r>
        <w:t>En el planteamiento que se hace en la cuestión de inconstitucionalidad elevada a este tribunal, la pretensión de atención integral se confunde con una protección universal, es decir, para cualquier ciudadano víctima de una acción terrorista, con independencia de que tenga o no vínculo alguno con la comunidad autónoma en el momento de solicitar la ayuda. Una protección universal, en principio, solo es predicable de la norma estatal. No ocurre lo mismo, necesariamente, con una norma autonómica, puesto que, como ya se expuso, esta requiere un punto de conexión o vínculo territorial que justifique y, al mismo tiempo, delimite el ejercicio de su propio ámbito competencial, lo que puede determinar la exigencia de requisitos que —correlativamente— impliquen la exclusión de quienes no los cumplan, lo que enlaza con el siguiente elemento ponderativo planteado por el Tribunal Supremo.</w:t>
      </w:r>
    </w:p>
    <w:p w14:paraId="163B750C" w14:textId="77777777" w:rsidR="00B35D37" w:rsidRDefault="00B35D37" w:rsidP="00B35D37">
      <w:pPr>
        <w:pStyle w:val="TextoNormal"/>
      </w:pPr>
    </w:p>
    <w:p w14:paraId="3B71E261" w14:textId="77777777" w:rsidR="00B35D37" w:rsidRDefault="00B35D37" w:rsidP="00B35D37">
      <w:pPr>
        <w:pStyle w:val="TextoNormal"/>
      </w:pPr>
      <w:r>
        <w:t>d) Sobre la falta de proporcionalidad derivada del incumplimiento del requisito</w:t>
      </w:r>
    </w:p>
    <w:p w14:paraId="63B70867" w14:textId="77777777" w:rsidR="00B35D37" w:rsidRDefault="00B35D37" w:rsidP="00B35D37">
      <w:pPr>
        <w:pStyle w:val="TextoNormal"/>
      </w:pPr>
    </w:p>
    <w:p w14:paraId="7CBBAF8F" w14:textId="77777777" w:rsidR="00B35D37" w:rsidRDefault="00B35D37" w:rsidP="00B35D37">
      <w:pPr>
        <w:pStyle w:val="TextoNormal"/>
      </w:pPr>
      <w:r>
        <w:t>El auto de planteamiento de la cuestión señala, como último factor valorativo sobre la constitucionalidad del precepto, la falta de proporcionalidad derivada del incumplimiento del requisito del empadronamiento en el momento de la solicitud de las ayudas, puesto en relación con la supuesta finalidad de la norma. Es decir, desde la concreta perspectiva de ese razonamiento, no se discute la proporcionalidad intrínseca del requisito, ni se considera un obstáculo insalvable para acceder al sistema de ayudas. Lo que se cuestiona es la desproporción de los efectos derivados de su incumplimiento.</w:t>
      </w:r>
    </w:p>
    <w:p w14:paraId="20FCC393" w14:textId="77777777" w:rsidR="00B35D37" w:rsidRDefault="00B35D37" w:rsidP="00B35D37">
      <w:pPr>
        <w:pStyle w:val="TextoNormal"/>
      </w:pPr>
    </w:p>
    <w:p w14:paraId="2F209687" w14:textId="77777777" w:rsidR="00B35D37" w:rsidRDefault="00B35D37" w:rsidP="00B35D37">
      <w:pPr>
        <w:pStyle w:val="TextoNormal"/>
      </w:pPr>
      <w:r>
        <w:t>Sin embargo, ya se ha señalado, por un lado, que el requisito no puede ser considerado, propiamente, como esencialmente discriminatorio ni objetivamente irrazonable, puesto que se configura como un punto de conexión con el ente territorial que concede las ayudas, limitado a un supuesto (acciones terroristas producidas con anterioridad a la entrada en vigor de la norma); y, por otro, que la finalidad de la norma no es la protección universal de las víctimas del terrorismo, sino la protección integral de quienes puedan acceder al sistema de ayudas diseñado por la norma.</w:t>
      </w:r>
    </w:p>
    <w:p w14:paraId="549386E8" w14:textId="77777777" w:rsidR="00B35D37" w:rsidRDefault="00B35D37" w:rsidP="00B35D37">
      <w:pPr>
        <w:pStyle w:val="TextoNormal"/>
      </w:pPr>
    </w:p>
    <w:p w14:paraId="4D0A8B6D" w14:textId="77777777" w:rsidR="00B35D37" w:rsidRDefault="00B35D37" w:rsidP="00B35D37">
      <w:pPr>
        <w:pStyle w:val="TextoNormal"/>
      </w:pPr>
      <w:r>
        <w:t>Sentado lo anterior, cualquier incumplimiento de un requisito implica, por definición, la exclusión de otras situaciones o personas en quienes no concurra, pero de ello no se deriva la desproporcionalidad intrínseca del requisito. De lo contrario, cualquier requisito podría entenderse desproporcionado por el mero hecho de determinar la exclusión de quien no reúna las condiciones establecidas en la norma.</w:t>
      </w:r>
    </w:p>
    <w:p w14:paraId="451C0A69" w14:textId="77777777" w:rsidR="00B35D37" w:rsidRDefault="00B35D37" w:rsidP="00B35D37">
      <w:pPr>
        <w:pStyle w:val="TextoNormal"/>
      </w:pPr>
    </w:p>
    <w:p w14:paraId="62FB7B1B" w14:textId="77777777" w:rsidR="00B35D37" w:rsidRDefault="00B35D37" w:rsidP="00B35D37">
      <w:pPr>
        <w:pStyle w:val="TextoNormal"/>
      </w:pPr>
      <w:r>
        <w:t>En el presente caso, solo un sistema de protección universal —que, insistimos, el legislador autonómico no está obligado a establecer— permitiría evitar esas exclusiones, lo que no es el caso.</w:t>
      </w:r>
    </w:p>
    <w:p w14:paraId="1DE4984A" w14:textId="77777777" w:rsidR="00B35D37" w:rsidRDefault="00B35D37" w:rsidP="00B35D37">
      <w:pPr>
        <w:pStyle w:val="TextoNormal"/>
      </w:pPr>
    </w:p>
    <w:p w14:paraId="43E9DBC2" w14:textId="621BBF3B" w:rsidR="00B35D37" w:rsidRDefault="00B35D37" w:rsidP="00B35D37">
      <w:pPr>
        <w:pStyle w:val="TextoNormal"/>
      </w:pPr>
      <w:r>
        <w:t>En definitiva, se considera que la cuestión de inconstitucionalidad promovida por la Sección Tercera de la Sala de lo Contencioso-Administrativo del Tribunal Supremo es notoriamente infundada (art. 37.1 LOTC), en el significado que a dicha expresión se le ha dado por la doctrina constitucional y “sin que ello signifique un juicio peyorativo sobre la duda de constitucionalidad trasladada por el órgano judicial” (entre otros, ATC 8/2019, de 12 de febrero, FJ 2).</w:t>
      </w:r>
    </w:p>
    <w:p w14:paraId="318E7622" w14:textId="77777777" w:rsidR="00B35D37" w:rsidRDefault="00B35D37" w:rsidP="00B35D37">
      <w:pPr>
        <w:pStyle w:val="TextoNormal"/>
      </w:pPr>
    </w:p>
    <w:p w14:paraId="5694ACDA" w14:textId="77777777" w:rsidR="00B35D37" w:rsidRDefault="00B35D37" w:rsidP="00B35D37">
      <w:pPr>
        <w:pStyle w:val="TextoNormal"/>
      </w:pPr>
      <w:r>
        <w:t>Por lo expuesto, el Pleno</w:t>
      </w:r>
    </w:p>
    <w:p w14:paraId="3A107E63" w14:textId="25CD7881" w:rsidR="00B35D37" w:rsidRDefault="00B35D37" w:rsidP="00B35D37">
      <w:pPr>
        <w:pStyle w:val="TextoNormal"/>
      </w:pPr>
    </w:p>
    <w:p w14:paraId="4E59BA89" w14:textId="77777777" w:rsidR="00B35D37" w:rsidRDefault="00B35D37" w:rsidP="00B35D37">
      <w:pPr>
        <w:pStyle w:val="TextoNormalCentrado"/>
      </w:pPr>
      <w:r>
        <w:t>ACUERDA</w:t>
      </w:r>
    </w:p>
    <w:p w14:paraId="4D7AB559" w14:textId="778BEEEC" w:rsidR="00B35D37" w:rsidRDefault="00B35D37" w:rsidP="00B35D37">
      <w:pPr>
        <w:pStyle w:val="TextoNormalCentrado"/>
      </w:pPr>
    </w:p>
    <w:p w14:paraId="6AF2B39E" w14:textId="7BE1B0C7" w:rsidR="00B35D37" w:rsidRDefault="00B35D37" w:rsidP="00B35D37">
      <w:pPr>
        <w:pStyle w:val="TextoNormal"/>
      </w:pPr>
      <w:r>
        <w:t>Inadmitir a trámite la presente cuestión de inconstitucionalidad.</w:t>
      </w:r>
    </w:p>
    <w:p w14:paraId="053FF371" w14:textId="77777777" w:rsidR="00B35D37" w:rsidRDefault="00B35D37" w:rsidP="00B35D37">
      <w:pPr>
        <w:pStyle w:val="TextoNormal"/>
      </w:pPr>
    </w:p>
    <w:p w14:paraId="351B6651" w14:textId="77777777" w:rsidR="00B35D37" w:rsidRDefault="00B35D37" w:rsidP="00B35D37">
      <w:pPr>
        <w:pStyle w:val="TextoNormal"/>
      </w:pPr>
      <w:r>
        <w:t>Madrid, a veintisiete de mayo de dos mil veinticinco.</w:t>
      </w:r>
    </w:p>
    <w:p w14:paraId="2DD7F4E8" w14:textId="50DB23D9" w:rsidR="00B35D37" w:rsidRDefault="00B35D37">
      <w:pPr>
        <w:spacing w:after="160" w:line="278" w:lineRule="auto"/>
        <w:rPr>
          <w:rFonts w:ascii="Times New Roman" w:eastAsia="Times New Roman" w:hAnsi="Times New Roman" w:cs="Times New Roman"/>
          <w:sz w:val="24"/>
          <w:szCs w:val="24"/>
          <w:lang w:eastAsia="es-ES"/>
        </w:rPr>
      </w:pPr>
      <w:r>
        <w:br w:type="page"/>
      </w:r>
    </w:p>
    <w:p w14:paraId="753C2C4A" w14:textId="77777777" w:rsidR="00B35D37" w:rsidRDefault="00B35D37" w:rsidP="00B35D37">
      <w:pPr>
        <w:pStyle w:val="TtuloResolucin"/>
      </w:pPr>
      <w:bookmarkStart w:id="199" w:name="AUTO_2025_60"/>
      <w:r>
        <w:t>AUTO 60/2025, de 9 de junio de 2025</w:t>
      </w:r>
    </w:p>
    <w:bookmarkEnd w:id="199"/>
    <w:p w14:paraId="0828480D" w14:textId="77777777" w:rsidR="00B35D37" w:rsidRDefault="00B35D37" w:rsidP="00B35D37">
      <w:pPr>
        <w:pStyle w:val="TtuloResolucin"/>
      </w:pPr>
      <w:r>
        <w:t>Sala Primera</w:t>
      </w:r>
    </w:p>
    <w:p w14:paraId="00CC4A83" w14:textId="77777777" w:rsidR="00B35D37" w:rsidRDefault="00B35D37" w:rsidP="00B35D37">
      <w:pPr>
        <w:pStyle w:val="TextoNormalCentrado"/>
      </w:pPr>
      <w:r>
        <w:t>ECLI:ES:TC:2025:60A</w:t>
      </w:r>
    </w:p>
    <w:p w14:paraId="770A40C2" w14:textId="5F63554D" w:rsidR="00B35D37" w:rsidRDefault="00B35D37" w:rsidP="00B35D37">
      <w:pPr>
        <w:pStyle w:val="TextoNormalCentrado"/>
      </w:pPr>
    </w:p>
    <w:p w14:paraId="3A83BB65"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723FE8C4" w14:textId="18D18FBB" w:rsidR="00B35D37" w:rsidRDefault="00B35D37" w:rsidP="00B35D37">
      <w:pPr>
        <w:pStyle w:val="SntesisDescriptiva"/>
      </w:pPr>
    </w:p>
    <w:p w14:paraId="458A2D43" w14:textId="77777777" w:rsidR="00B35D37" w:rsidRDefault="00B35D37" w:rsidP="00B35D37">
      <w:pPr>
        <w:pStyle w:val="SntesisDescriptiva"/>
      </w:pPr>
      <w:r>
        <w:t>Inadmite la solicitud de ejecución de la STC 4/2025, de 13 de enero, dictada en el recurso de amparo 4631-2023, promovido por doña Inés González Lobo.</w:t>
      </w:r>
    </w:p>
    <w:p w14:paraId="277A9139" w14:textId="2421F394" w:rsidR="00B35D37" w:rsidRDefault="00B35D37" w:rsidP="00B35D37">
      <w:pPr>
        <w:pStyle w:val="SntesisDescriptiva"/>
      </w:pPr>
    </w:p>
    <w:p w14:paraId="07B3A23B" w14:textId="77777777" w:rsidR="00B35D37" w:rsidRDefault="00B35D37" w:rsidP="00B35D37">
      <w:pPr>
        <w:pStyle w:val="SntesisDescriptiva"/>
      </w:pPr>
    </w:p>
    <w:p w14:paraId="2F28790A" w14:textId="77777777" w:rsidR="00B35D37" w:rsidRDefault="00B35D37" w:rsidP="00B35D37">
      <w:pPr>
        <w:pStyle w:val="SntesisDescriptiva"/>
      </w:pPr>
    </w:p>
    <w:p w14:paraId="7FC0F1AD" w14:textId="77777777" w:rsidR="00B35D37" w:rsidRDefault="00B35D37" w:rsidP="00B35D37">
      <w:pPr>
        <w:pStyle w:val="TextoNormalNegritaCentrado"/>
      </w:pPr>
      <w:r>
        <w:t>AUTO</w:t>
      </w:r>
    </w:p>
    <w:p w14:paraId="1BC087E0" w14:textId="44294ECD" w:rsidR="00B35D37" w:rsidRDefault="00B35D37" w:rsidP="00B35D37">
      <w:pPr>
        <w:pStyle w:val="TextoNormalNegritaCentrado"/>
      </w:pPr>
    </w:p>
    <w:p w14:paraId="73BD62BB" w14:textId="77777777" w:rsidR="00B35D37" w:rsidRDefault="00B35D37" w:rsidP="00B35D37">
      <w:pPr>
        <w:pStyle w:val="TextoNormalNegritaCentrado"/>
        <w:keepNext/>
      </w:pPr>
      <w:r>
        <w:t>I. Antecedentes</w:t>
      </w:r>
    </w:p>
    <w:p w14:paraId="6719BB06" w14:textId="6128C293" w:rsidR="00B35D37" w:rsidRDefault="00B35D37" w:rsidP="00B35D37">
      <w:pPr>
        <w:pStyle w:val="TextoNormalNegritaCentrado"/>
        <w:keepNext/>
      </w:pPr>
    </w:p>
    <w:p w14:paraId="17C2B300" w14:textId="5AE86462" w:rsidR="00B35D37" w:rsidRDefault="00B35D37" w:rsidP="00B35D37">
      <w:pPr>
        <w:pStyle w:val="TextoNormal"/>
      </w:pPr>
      <w:r w:rsidRPr="00B35D37">
        <w:rPr>
          <w:rStyle w:val="NumeroAFNegritaCaracter"/>
        </w:rPr>
        <w:t>1</w:t>
      </w:r>
      <w:r>
        <w:t>. Mediante escrito registrado en este tribunal el día 4 de julio de 2023, se presentó recurso de amparo promovido por doña Inés González Lobo, representada por el procurador de los tribunales don David García Riquelme y asistida por la letrada doña Lourdes Ruiz Ezquerra, contra la resolución del Instituto Nacional de la Seguridad Social (INSS) de 21 de junio de 2021, que denegó tácitamente la solicitud de ampliación de la prestación por nacimiento y cuidado de menor a la madre biológica de familia monoparental, y contra la resolución del INSS que por silencio administrativo rechazó la reclamación administrativa previa formulada frente a la anterior resolución y que fueron confirmadas por auto de 24 de mayo de 2023, dictado por la Sala de lo Social del Tribunal Supremo en el recurso de casación para la unificación de doctrina núm. 5723-2022, interpuesto por la demandante de amparo contra la sentencia 985/2022, de 2 de noviembre, dictada por la Sala de lo Social del Tribunal Superior de Justicia de Madrid, que desestimó el recurso de suplicación núm. 775-2022, interpuesto frente a la sentencia 304/2021, de 22 de diciembre, dictada por el Juzgado de lo Social núm. 43 de Madrid, recaída en los autos núm. 914-2021, que desestimó su demanda frente al INSS y la Tesorería General de la Seguridad Social (TGSS).</w:t>
      </w:r>
    </w:p>
    <w:p w14:paraId="18408F6A" w14:textId="77777777" w:rsidR="00B35D37" w:rsidRDefault="00B35D37" w:rsidP="00B35D37">
      <w:pPr>
        <w:pStyle w:val="TextoNormal"/>
      </w:pPr>
    </w:p>
    <w:p w14:paraId="1C120DE3" w14:textId="751B723B" w:rsidR="00B35D37" w:rsidRDefault="00B35D37" w:rsidP="00B35D37">
      <w:pPr>
        <w:pStyle w:val="TextoNormal"/>
      </w:pPr>
      <w:r w:rsidRPr="00B35D37">
        <w:rPr>
          <w:rStyle w:val="NumeroAFNegritaCaracter"/>
        </w:rPr>
        <w:t>2</w:t>
      </w:r>
      <w:r>
        <w:t>. El recurso de amparo fue resuelto por la STC 4/2025, de 13 de enero,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las resoluciones administrativas anuladas, a fin de que, en los términos expuestos en el último párrafo del fundamento jurídico 3, se dictara otra resolución respetuosa con el derecho fundamental reconocido. A esos efectos, en el último párrafo del fundamento jurídico 3 se establecía que, en tanto el legislador no llevara a cabo la consiguiente reforma normativa, en las familias monoparentales el permiso al que hace referencia el art. 48.4 del texto refundido de la Ley del estatuto de los trabajadores, aprobado por el Real Decreto Legislativo 2/2015, de 23 de octubre (LET), y la prestación regulada en el art. 177 del texto refundido de la Ley general de la Seguridad Social, aprobado por el Real Decreto Legislativo 8/2015, de 30 de octubre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704AA743" w14:textId="77777777" w:rsidR="00B35D37" w:rsidRDefault="00B35D37" w:rsidP="00B35D37">
      <w:pPr>
        <w:pStyle w:val="TextoNormal"/>
      </w:pPr>
    </w:p>
    <w:p w14:paraId="595F0E73" w14:textId="77777777" w:rsidR="00B35D37" w:rsidRDefault="00B35D37" w:rsidP="00B35D37">
      <w:pPr>
        <w:pStyle w:val="TextoNormal"/>
      </w:pPr>
      <w:r w:rsidRPr="00B35D37">
        <w:rPr>
          <w:rStyle w:val="NumeroAFNegritaCaracter"/>
        </w:rPr>
        <w:t>3</w:t>
      </w:r>
      <w:r>
        <w:t>. La administración de la Seguridad Social, por escrito registrado el día 12 de marzo de 2025, formuló incidente de ejecución al amparo del art. 92.3 de la Ley Orgánica del Tribunal Constitucional (LOTC) instando al Tribunal a que determine las medidas necesarias para que el INSS pueda dictar una resolución administrativa respetuosa con el derecho vulnerado, de entre las propuestas en su escrito u otras que se consideren convenientes.</w:t>
      </w:r>
    </w:p>
    <w:p w14:paraId="3B0228B7" w14:textId="77777777" w:rsidR="00B35D37" w:rsidRDefault="00B35D37" w:rsidP="00B35D37">
      <w:pPr>
        <w:pStyle w:val="TextoNormal"/>
      </w:pPr>
    </w:p>
    <w:p w14:paraId="3D941673" w14:textId="6B8EA368"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101BFBE7" w14:textId="77777777" w:rsidR="00B35D37" w:rsidRDefault="00B35D37" w:rsidP="00B35D37">
      <w:pPr>
        <w:pStyle w:val="TextoNormal"/>
      </w:pPr>
    </w:p>
    <w:p w14:paraId="4C7D3358" w14:textId="77777777" w:rsidR="00B35D37" w:rsidRDefault="00B35D37" w:rsidP="00B35D37">
      <w:pPr>
        <w:pStyle w:val="TextoNormalNegritaCentrado"/>
        <w:keepNext/>
      </w:pPr>
      <w:r>
        <w:t>II. Fundamentos jurídicos</w:t>
      </w:r>
    </w:p>
    <w:p w14:paraId="1479D5CA" w14:textId="210B6061" w:rsidR="00B35D37" w:rsidRDefault="00B35D37" w:rsidP="00B35D37">
      <w:pPr>
        <w:pStyle w:val="TextoNormalNegritaCentrado"/>
        <w:keepNext/>
      </w:pPr>
    </w:p>
    <w:p w14:paraId="1CBEF9E9"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686F4631" w14:textId="77777777" w:rsidR="00B35D37" w:rsidRDefault="00B35D37" w:rsidP="00B35D37">
      <w:pPr>
        <w:pStyle w:val="TextoNormal"/>
      </w:pPr>
    </w:p>
    <w:p w14:paraId="607E98EB"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40F33FAD" w14:textId="77777777" w:rsidR="00B35D37" w:rsidRDefault="00B35D37" w:rsidP="00B35D37">
      <w:pPr>
        <w:pStyle w:val="TextoNormal"/>
      </w:pPr>
    </w:p>
    <w:p w14:paraId="30A2B758" w14:textId="77777777" w:rsidR="00B35D37" w:rsidRDefault="00B35D37" w:rsidP="00B35D37">
      <w:pPr>
        <w:pStyle w:val="TextoNormal"/>
      </w:pPr>
      <w:r>
        <w:t>En el presente caso, al igual que sucedía con el examinado en el ATC 34/2025, de 13 de mayo,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27BA6E91" w14:textId="77777777" w:rsidR="00B35D37" w:rsidRDefault="00B35D37" w:rsidP="00B35D37">
      <w:pPr>
        <w:pStyle w:val="TextoNormal"/>
      </w:pPr>
    </w:p>
    <w:p w14:paraId="4D496AF2"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3C837450" w14:textId="77777777" w:rsidR="00B35D37" w:rsidRDefault="00B35D37" w:rsidP="00B35D37">
      <w:pPr>
        <w:pStyle w:val="TextoNormal"/>
      </w:pPr>
    </w:p>
    <w:p w14:paraId="55275268" w14:textId="60F6598B"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628F1AC5" w14:textId="77777777" w:rsidR="00B35D37" w:rsidRDefault="00B35D37" w:rsidP="00B35D37">
      <w:pPr>
        <w:pStyle w:val="TextoNormal"/>
      </w:pPr>
    </w:p>
    <w:p w14:paraId="612F8411" w14:textId="77777777" w:rsidR="00B35D37" w:rsidRDefault="00B35D37" w:rsidP="00B35D37">
      <w:pPr>
        <w:pStyle w:val="TextoNormal"/>
      </w:pPr>
      <w:r>
        <w:t>Por lo expuesto, la Sala</w:t>
      </w:r>
    </w:p>
    <w:p w14:paraId="331F8955" w14:textId="5BE45220" w:rsidR="00B35D37" w:rsidRDefault="00B35D37" w:rsidP="00B35D37">
      <w:pPr>
        <w:pStyle w:val="TextoNormal"/>
      </w:pPr>
    </w:p>
    <w:p w14:paraId="2823056B" w14:textId="77777777" w:rsidR="00B35D37" w:rsidRDefault="00B35D37" w:rsidP="00B35D37">
      <w:pPr>
        <w:pStyle w:val="TextoNormalCentrado"/>
      </w:pPr>
      <w:r>
        <w:t>ACUERDA</w:t>
      </w:r>
    </w:p>
    <w:p w14:paraId="7F0E8A52" w14:textId="6BDD6971" w:rsidR="00B35D37" w:rsidRDefault="00B35D37" w:rsidP="00B35D37">
      <w:pPr>
        <w:pStyle w:val="TextoNormalCentrado"/>
      </w:pPr>
    </w:p>
    <w:p w14:paraId="25A3BBE8" w14:textId="156C8914" w:rsidR="00B35D37" w:rsidRDefault="00B35D37" w:rsidP="00B35D37">
      <w:pPr>
        <w:pStyle w:val="TextoNormal"/>
      </w:pPr>
      <w:r>
        <w:t>Denegar la admisión de la apertura del incidente de ejecución.</w:t>
      </w:r>
    </w:p>
    <w:p w14:paraId="6E85E71E" w14:textId="77777777" w:rsidR="00B35D37" w:rsidRDefault="00B35D37" w:rsidP="00B35D37">
      <w:pPr>
        <w:pStyle w:val="TextoNormal"/>
      </w:pPr>
    </w:p>
    <w:p w14:paraId="76633206" w14:textId="77777777" w:rsidR="00B35D37" w:rsidRDefault="00B35D37" w:rsidP="00B35D37">
      <w:pPr>
        <w:pStyle w:val="TextoNormal"/>
      </w:pPr>
      <w:r>
        <w:t>Madrid, a nueve de junio de dos mil veinticinco.</w:t>
      </w:r>
    </w:p>
    <w:p w14:paraId="7CBF3547" w14:textId="4E6BF135" w:rsidR="00B35D37" w:rsidRDefault="00B35D37">
      <w:pPr>
        <w:spacing w:after="160" w:line="278" w:lineRule="auto"/>
        <w:rPr>
          <w:rFonts w:ascii="Times New Roman" w:eastAsia="Times New Roman" w:hAnsi="Times New Roman" w:cs="Times New Roman"/>
          <w:sz w:val="24"/>
          <w:szCs w:val="24"/>
          <w:lang w:eastAsia="es-ES"/>
        </w:rPr>
      </w:pPr>
      <w:r>
        <w:br w:type="page"/>
      </w:r>
    </w:p>
    <w:p w14:paraId="5180D16A" w14:textId="77777777" w:rsidR="00B35D37" w:rsidRDefault="00B35D37" w:rsidP="00B35D37">
      <w:pPr>
        <w:pStyle w:val="TtuloResolucin"/>
      </w:pPr>
      <w:bookmarkStart w:id="200" w:name="AUTO_2025_61"/>
      <w:r>
        <w:t>AUTO 61/2025, de 9 de junio de 2025</w:t>
      </w:r>
    </w:p>
    <w:bookmarkEnd w:id="200"/>
    <w:p w14:paraId="2C19421A" w14:textId="77777777" w:rsidR="00B35D37" w:rsidRDefault="00B35D37" w:rsidP="00B35D37">
      <w:pPr>
        <w:pStyle w:val="TtuloResolucin"/>
      </w:pPr>
      <w:r>
        <w:t>Sala Primera</w:t>
      </w:r>
    </w:p>
    <w:p w14:paraId="5B8A2215" w14:textId="77777777" w:rsidR="00B35D37" w:rsidRDefault="00B35D37" w:rsidP="00B35D37">
      <w:pPr>
        <w:pStyle w:val="TextoNormalCentrado"/>
      </w:pPr>
      <w:r>
        <w:t>ECLI:ES:TC:2025:61A</w:t>
      </w:r>
    </w:p>
    <w:p w14:paraId="6BA68A46" w14:textId="6F138960" w:rsidR="00B35D37" w:rsidRDefault="00B35D37" w:rsidP="00B35D37">
      <w:pPr>
        <w:pStyle w:val="TextoNormalCentrado"/>
      </w:pPr>
    </w:p>
    <w:p w14:paraId="712F68BF"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4FC815B5" w14:textId="49F5AE60" w:rsidR="00B35D37" w:rsidRDefault="00B35D37" w:rsidP="00B35D37">
      <w:pPr>
        <w:pStyle w:val="SntesisDescriptiva"/>
      </w:pPr>
    </w:p>
    <w:p w14:paraId="4895EF18" w14:textId="77777777" w:rsidR="00B35D37" w:rsidRDefault="00B35D37" w:rsidP="00B35D37">
      <w:pPr>
        <w:pStyle w:val="SntesisDescriptiva"/>
      </w:pPr>
      <w:r>
        <w:t>Inadmite la solicitud de ejecución de la STC 10/2025, de 13 de enero, dictada en el recurso de amparo 2306-2024, promovido por doña Neus Albert Ivars.</w:t>
      </w:r>
    </w:p>
    <w:p w14:paraId="764F1CE9" w14:textId="54151A11" w:rsidR="00B35D37" w:rsidRDefault="00B35D37" w:rsidP="00B35D37">
      <w:pPr>
        <w:pStyle w:val="SntesisDescriptiva"/>
      </w:pPr>
    </w:p>
    <w:p w14:paraId="5FA98256" w14:textId="77777777" w:rsidR="00B35D37" w:rsidRDefault="00B35D37" w:rsidP="00B35D37">
      <w:pPr>
        <w:pStyle w:val="SntesisDescriptiva"/>
      </w:pPr>
    </w:p>
    <w:p w14:paraId="0896639E" w14:textId="77777777" w:rsidR="00B35D37" w:rsidRDefault="00B35D37" w:rsidP="00B35D37">
      <w:pPr>
        <w:pStyle w:val="SntesisDescriptiva"/>
      </w:pPr>
    </w:p>
    <w:p w14:paraId="2804EB8E" w14:textId="77777777" w:rsidR="00B35D37" w:rsidRDefault="00B35D37" w:rsidP="00B35D37">
      <w:pPr>
        <w:pStyle w:val="TextoNormalNegritaCentrado"/>
      </w:pPr>
      <w:r>
        <w:t>AUTO</w:t>
      </w:r>
    </w:p>
    <w:p w14:paraId="67B378AC" w14:textId="6B293C8D" w:rsidR="00B35D37" w:rsidRDefault="00B35D37" w:rsidP="00B35D37">
      <w:pPr>
        <w:pStyle w:val="TextoNormalNegritaCentrado"/>
      </w:pPr>
    </w:p>
    <w:p w14:paraId="569D89D7" w14:textId="77777777" w:rsidR="00B35D37" w:rsidRDefault="00B35D37" w:rsidP="00B35D37">
      <w:pPr>
        <w:pStyle w:val="TextoNormalNegritaCentrado"/>
        <w:keepNext/>
      </w:pPr>
      <w:r>
        <w:t>I. Antecedentes</w:t>
      </w:r>
    </w:p>
    <w:p w14:paraId="44E497DE" w14:textId="10A2F4FF" w:rsidR="00B35D37" w:rsidRDefault="00B35D37" w:rsidP="00B35D37">
      <w:pPr>
        <w:pStyle w:val="TextoNormalNegritaCentrado"/>
        <w:keepNext/>
      </w:pPr>
    </w:p>
    <w:p w14:paraId="4B730B57" w14:textId="2F7C69BD" w:rsidR="00B35D37" w:rsidRDefault="00B35D37" w:rsidP="00B35D37">
      <w:pPr>
        <w:pStyle w:val="TextoNormal"/>
      </w:pPr>
      <w:r w:rsidRPr="00B35D37">
        <w:rPr>
          <w:rStyle w:val="NumeroAFNegritaCaracter"/>
        </w:rPr>
        <w:t>1</w:t>
      </w:r>
      <w:r>
        <w:t>. Mediante escrito registrado en este tribunal el día 3 de abril de 2024, se presentó recurso de amparo promovido por doña Neus Albert Ivars, representada por la procuradora de los tribunales doña Laura Lozano Montalvo y asistida por el letrado don José Caballero Savall, contra la resolución del Instituto Nacional de la Seguridad Social (INSS) de 28 de abril de 2021, que desestimó la solicitud de ampliación de la prestación por nacimiento y cuidado de hijo menor a la madre biológica de familia monoparental, confirmada por auto de la Sala de lo Social del Tribunal Supremo de 14 de febrero de 2024 (recurso de casación para la unificación de doctrina núm. 158-2023) interpuesto por la demandante de amparo contra la sentencia 3047/2022, de 11 de octubre, de la Sala de lo Social del Tribunal Superior de Justicia de la Comunidad Valenciana, que desestimó su recurso de suplicación núm. 1325-2022 interpuesto frente a la sentencia 444/2021, del Juzgado de lo Social núm. 9 de Valencia, de 22 de noviembre de 2021, recaída en los autos núm. 523-2021 promovidos frente al Instituto Nacional de la Seguridad Social (INSS) y la Tesorería General de la Seguridad Social (TGSS).</w:t>
      </w:r>
    </w:p>
    <w:p w14:paraId="0DBF5976" w14:textId="77777777" w:rsidR="00B35D37" w:rsidRDefault="00B35D37" w:rsidP="00B35D37">
      <w:pPr>
        <w:pStyle w:val="TextoNormal"/>
      </w:pPr>
    </w:p>
    <w:p w14:paraId="6FBE0FD6" w14:textId="7B81FE5A" w:rsidR="00B35D37" w:rsidRDefault="00B35D37" w:rsidP="00B35D37">
      <w:pPr>
        <w:pStyle w:val="TextoNormal"/>
      </w:pPr>
      <w:r w:rsidRPr="00B35D37">
        <w:rPr>
          <w:rStyle w:val="NumeroAFNegritaCaracter"/>
        </w:rPr>
        <w:t>2</w:t>
      </w:r>
      <w:r>
        <w:t>. El recurso de amparo fue resuelto por la STC 10/2025, de 13 de enero,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FJ 3, se dictara otra respetuosa con el derecho fundamental reconocido. A esos efectos, en el último párrafo del FJ 3 se establecía que, en tanto el legislador no llevara a cabo la consiguiente reforma normativa, en las familias monoparentales el permiso a que hace referencia el art. 48.4 de la Ley del Eestatuto de los Ttrabajadores (LET), y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14:paraId="5770706B" w14:textId="77777777" w:rsidR="00B35D37" w:rsidRDefault="00B35D37" w:rsidP="00B35D37">
      <w:pPr>
        <w:pStyle w:val="TextoNormal"/>
      </w:pPr>
    </w:p>
    <w:p w14:paraId="3BAF89E8" w14:textId="77777777" w:rsidR="00B35D37" w:rsidRDefault="00B35D37" w:rsidP="00B35D37">
      <w:pPr>
        <w:pStyle w:val="TextoNormal"/>
      </w:pPr>
      <w:r w:rsidRPr="00B35D37">
        <w:rPr>
          <w:rStyle w:val="NumeroAFNegritaCaracter"/>
        </w:rPr>
        <w:t>3</w:t>
      </w:r>
      <w:r>
        <w:t>. La administración de la Seguridad Social, por escrito registrado el 17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14:paraId="36F7C2E3" w14:textId="77777777" w:rsidR="00B35D37" w:rsidRDefault="00B35D37" w:rsidP="00B35D37">
      <w:pPr>
        <w:pStyle w:val="TextoNormal"/>
      </w:pPr>
    </w:p>
    <w:p w14:paraId="7AF5E195" w14:textId="13357269"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44C8BDCC" w14:textId="77777777" w:rsidR="00B35D37" w:rsidRDefault="00B35D37" w:rsidP="00B35D37">
      <w:pPr>
        <w:pStyle w:val="TextoNormal"/>
      </w:pPr>
    </w:p>
    <w:p w14:paraId="422F65A3" w14:textId="77777777" w:rsidR="00B35D37" w:rsidRDefault="00B35D37" w:rsidP="00B35D37">
      <w:pPr>
        <w:pStyle w:val="TextoNormalNegritaCentrado"/>
        <w:keepNext/>
      </w:pPr>
      <w:r>
        <w:t>II. Fundamentos jurídicos</w:t>
      </w:r>
    </w:p>
    <w:p w14:paraId="22BC8E70" w14:textId="36B112EA" w:rsidR="00B35D37" w:rsidRDefault="00B35D37" w:rsidP="00B35D37">
      <w:pPr>
        <w:pStyle w:val="TextoNormalNegritaCentrado"/>
        <w:keepNext/>
      </w:pPr>
    </w:p>
    <w:p w14:paraId="36731620"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2FE5064F" w14:textId="77777777" w:rsidR="00B35D37" w:rsidRDefault="00B35D37" w:rsidP="00B35D37">
      <w:pPr>
        <w:pStyle w:val="TextoNormal"/>
      </w:pPr>
    </w:p>
    <w:p w14:paraId="358EA35E"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691E685C" w14:textId="77777777" w:rsidR="00B35D37" w:rsidRDefault="00B35D37" w:rsidP="00B35D37">
      <w:pPr>
        <w:pStyle w:val="TextoNormal"/>
      </w:pPr>
    </w:p>
    <w:p w14:paraId="7A9BA20F" w14:textId="77777777" w:rsidR="00B35D37" w:rsidRDefault="00B35D37" w:rsidP="00B35D37">
      <w:pPr>
        <w:pStyle w:val="TextoNormal"/>
      </w:pPr>
      <w:r>
        <w:t>En el presente caso, al igual que sucedía con el examinado en el ATC 34/2025, de 13 de mayo,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3BCA6DEF" w14:textId="77777777" w:rsidR="00B35D37" w:rsidRDefault="00B35D37" w:rsidP="00B35D37">
      <w:pPr>
        <w:pStyle w:val="TextoNormal"/>
      </w:pPr>
    </w:p>
    <w:p w14:paraId="4395245A"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66BBDD91" w14:textId="77777777" w:rsidR="00B35D37" w:rsidRDefault="00B35D37" w:rsidP="00B35D37">
      <w:pPr>
        <w:pStyle w:val="TextoNormal"/>
      </w:pPr>
    </w:p>
    <w:p w14:paraId="5F2B3AF3" w14:textId="51EABDC8"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79F3234D" w14:textId="77777777" w:rsidR="00B35D37" w:rsidRDefault="00B35D37" w:rsidP="00B35D37">
      <w:pPr>
        <w:pStyle w:val="TextoNormal"/>
      </w:pPr>
    </w:p>
    <w:p w14:paraId="2485A249" w14:textId="77777777" w:rsidR="00B35D37" w:rsidRDefault="00B35D37" w:rsidP="00B35D37">
      <w:pPr>
        <w:pStyle w:val="TextoNormal"/>
      </w:pPr>
      <w:r>
        <w:t>Por lo expuesto, la Sala</w:t>
      </w:r>
    </w:p>
    <w:p w14:paraId="7445B7F4" w14:textId="31AF1356" w:rsidR="00B35D37" w:rsidRDefault="00B35D37" w:rsidP="00B35D37">
      <w:pPr>
        <w:pStyle w:val="TextoNormal"/>
      </w:pPr>
    </w:p>
    <w:p w14:paraId="43281A97" w14:textId="77777777" w:rsidR="00B35D37" w:rsidRDefault="00B35D37" w:rsidP="00B35D37">
      <w:pPr>
        <w:pStyle w:val="TextoNormalCentrado"/>
      </w:pPr>
      <w:r>
        <w:t>ACUERDA</w:t>
      </w:r>
    </w:p>
    <w:p w14:paraId="1C7F85FD" w14:textId="634402B1" w:rsidR="00B35D37" w:rsidRDefault="00B35D37" w:rsidP="00B35D37">
      <w:pPr>
        <w:pStyle w:val="TextoNormalCentrado"/>
      </w:pPr>
    </w:p>
    <w:p w14:paraId="74DE0E3F" w14:textId="05D57389" w:rsidR="00B35D37" w:rsidRDefault="00B35D37" w:rsidP="00B35D37">
      <w:pPr>
        <w:pStyle w:val="TextoNormal"/>
      </w:pPr>
      <w:r>
        <w:t>Denegar la admisión de la apertura del incidente de ejecución.</w:t>
      </w:r>
    </w:p>
    <w:p w14:paraId="5E9C6336" w14:textId="77777777" w:rsidR="00B35D37" w:rsidRDefault="00B35D37" w:rsidP="00B35D37">
      <w:pPr>
        <w:pStyle w:val="TextoNormal"/>
      </w:pPr>
    </w:p>
    <w:p w14:paraId="530786FE" w14:textId="77777777" w:rsidR="00B35D37" w:rsidRDefault="00B35D37" w:rsidP="00B35D37">
      <w:pPr>
        <w:pStyle w:val="TextoNormal"/>
      </w:pPr>
      <w:r>
        <w:t>Madrid, a nueve de junio de dos mil veinticinco.</w:t>
      </w:r>
    </w:p>
    <w:p w14:paraId="42BDF23E" w14:textId="0C031A34" w:rsidR="00B35D37" w:rsidRDefault="00B35D37">
      <w:pPr>
        <w:spacing w:after="160" w:line="278" w:lineRule="auto"/>
        <w:rPr>
          <w:rFonts w:ascii="Times New Roman" w:eastAsia="Times New Roman" w:hAnsi="Times New Roman" w:cs="Times New Roman"/>
          <w:sz w:val="24"/>
          <w:szCs w:val="24"/>
          <w:lang w:eastAsia="es-ES"/>
        </w:rPr>
      </w:pPr>
      <w:r>
        <w:br w:type="page"/>
      </w:r>
    </w:p>
    <w:p w14:paraId="3135AB88" w14:textId="77777777" w:rsidR="00B35D37" w:rsidRDefault="00B35D37" w:rsidP="00B35D37">
      <w:pPr>
        <w:pStyle w:val="TtuloResolucin"/>
      </w:pPr>
      <w:bookmarkStart w:id="201" w:name="AUTO_2025_62"/>
      <w:r>
        <w:t>AUTO 62/2025, de 9 de junio de 2025</w:t>
      </w:r>
    </w:p>
    <w:bookmarkEnd w:id="201"/>
    <w:p w14:paraId="356F7F20" w14:textId="77777777" w:rsidR="00B35D37" w:rsidRDefault="00B35D37" w:rsidP="00B35D37">
      <w:pPr>
        <w:pStyle w:val="TtuloResolucin"/>
      </w:pPr>
      <w:r>
        <w:t>Sala Primera</w:t>
      </w:r>
    </w:p>
    <w:p w14:paraId="0143D6A1" w14:textId="77777777" w:rsidR="00B35D37" w:rsidRDefault="00B35D37" w:rsidP="00B35D37">
      <w:pPr>
        <w:pStyle w:val="TextoNormalCentrado"/>
      </w:pPr>
      <w:r>
        <w:t>ECLI:ES:TC:2025:62A</w:t>
      </w:r>
    </w:p>
    <w:p w14:paraId="14EBD390" w14:textId="361FE93F" w:rsidR="00B35D37" w:rsidRDefault="00B35D37" w:rsidP="00B35D37">
      <w:pPr>
        <w:pStyle w:val="TextoNormalCentrado"/>
      </w:pPr>
    </w:p>
    <w:p w14:paraId="6BFAA4B9" w14:textId="77777777" w:rsidR="00B35D37" w:rsidRDefault="00B35D37" w:rsidP="00B35D37">
      <w:pPr>
        <w:pStyle w:val="SntesisDescriptiva"/>
      </w:pPr>
      <w:r>
        <w:t>Excms. Srs. don Cándido Conde-Pumpido Tourón, don Ricardo Enríquez Sancho, doña Concepción Espejel Jorquera, doña María Luisa Segoviano Astaburuaga, don Juan Carlos Campo Moreno y don José María Macías Castaño.</w:t>
      </w:r>
    </w:p>
    <w:p w14:paraId="17BE4316" w14:textId="79206CCB" w:rsidR="00B35D37" w:rsidRDefault="00B35D37" w:rsidP="00B35D37">
      <w:pPr>
        <w:pStyle w:val="SntesisDescriptiva"/>
      </w:pPr>
    </w:p>
    <w:p w14:paraId="1F266FB5" w14:textId="77777777" w:rsidR="00B35D37" w:rsidRDefault="00B35D37" w:rsidP="00B35D37">
      <w:pPr>
        <w:pStyle w:val="SntesisDescriptiva"/>
      </w:pPr>
      <w:r>
        <w:t>Inadmite la solicitud de ejecución de la STC 80/2025, de 24 de marzo, dictada en el recurso de amparo 6644-2024, promovido por doña María del Castellar García García.</w:t>
      </w:r>
    </w:p>
    <w:p w14:paraId="32AC6E1C" w14:textId="1C08F833" w:rsidR="00B35D37" w:rsidRDefault="00B35D37" w:rsidP="00B35D37">
      <w:pPr>
        <w:pStyle w:val="SntesisDescriptiva"/>
      </w:pPr>
    </w:p>
    <w:p w14:paraId="0858931A" w14:textId="77777777" w:rsidR="00B35D37" w:rsidRDefault="00B35D37" w:rsidP="00B35D37">
      <w:pPr>
        <w:pStyle w:val="SntesisDescriptiva"/>
      </w:pPr>
    </w:p>
    <w:p w14:paraId="03E2C90B" w14:textId="77777777" w:rsidR="00B35D37" w:rsidRDefault="00B35D37" w:rsidP="00B35D37">
      <w:pPr>
        <w:pStyle w:val="SntesisDescriptiva"/>
      </w:pPr>
    </w:p>
    <w:p w14:paraId="3DF54285" w14:textId="77777777" w:rsidR="00B35D37" w:rsidRDefault="00B35D37" w:rsidP="00B35D37">
      <w:pPr>
        <w:pStyle w:val="TextoNormalNegritaCentrado"/>
      </w:pPr>
      <w:r>
        <w:t>AUTO</w:t>
      </w:r>
    </w:p>
    <w:p w14:paraId="219D75DE" w14:textId="30BF8244" w:rsidR="00B35D37" w:rsidRDefault="00B35D37" w:rsidP="00B35D37">
      <w:pPr>
        <w:pStyle w:val="TextoNormalNegritaCentrado"/>
      </w:pPr>
    </w:p>
    <w:p w14:paraId="657E65A6" w14:textId="77777777" w:rsidR="00B35D37" w:rsidRDefault="00B35D37" w:rsidP="00B35D37">
      <w:pPr>
        <w:pStyle w:val="TextoNormalNegritaCentrado"/>
        <w:keepNext/>
      </w:pPr>
      <w:r>
        <w:t>I. Antecedentes</w:t>
      </w:r>
    </w:p>
    <w:p w14:paraId="100E7A38" w14:textId="16736F38" w:rsidR="00B35D37" w:rsidRDefault="00B35D37" w:rsidP="00B35D37">
      <w:pPr>
        <w:pStyle w:val="TextoNormalNegritaCentrado"/>
        <w:keepNext/>
      </w:pPr>
    </w:p>
    <w:p w14:paraId="0369F5C3" w14:textId="71D033D9" w:rsidR="00B35D37" w:rsidRDefault="00B35D37" w:rsidP="00B35D37">
      <w:pPr>
        <w:pStyle w:val="TextoNormal"/>
      </w:pPr>
      <w:r w:rsidRPr="00B35D37">
        <w:rPr>
          <w:rStyle w:val="NumeroAFNegritaCaracter"/>
        </w:rPr>
        <w:t>1</w:t>
      </w:r>
      <w:r>
        <w:t>. Mediante escrito registrado en el Tribunal el 11 de septiembre de 2024, la procuradora de los tribunales doña doña Alicia Suau Casado, en nombre de doña María del Castellar García García, y bajo la dirección letrada de doña Aida Casanova Pérez, interpuso recurso de amparo contra contra la denegación por silencio administrativo del Instituto Nacional de la Seguridad Social (INSS) de su solicitud de ampliación de la prestación por nacimiento y cuidado de hijo menor a la madre biológica de familia monoparental, y de la reclamación administrativa previa que formuló; contra la sentencia núm. 425/2022, de 22 de noviembre, dictada en el procedimiento especial de Seguridad Social núm. 802-2022, tramitado en el Juzgado de lo Social núm. 23 de Madrid, desestimatoria de la demanda que interpuso frente al INSS y la Tesorería General de la Seguridad Social (TGSS); contra la sentencia núm. 779/2023, de 15 de septiembre, dictada por la Sección Primera de la Sala de lo Social del Tribunal Superior de Justicia de Madrid en el recurso núm. 80-2023, desestimatoria del recurso de suplicación interpuesto por la demandante frente a la sentencia de primera instancia; y contra el auto de inadmisión de 10 de julio de 2024, dictado por la Sala de lo Social del Tribunal Supremo en el recurso de casación para unificación de la doctrina núm. 4549-2023, recurso de amparo que fue tramitado con el núm. 6644-2024 por la Sala Primera de este tribunal.</w:t>
      </w:r>
    </w:p>
    <w:p w14:paraId="58F943AC" w14:textId="77777777" w:rsidR="00B35D37" w:rsidRDefault="00B35D37" w:rsidP="00B35D37">
      <w:pPr>
        <w:pStyle w:val="TextoNormal"/>
      </w:pPr>
    </w:p>
    <w:p w14:paraId="139516C0" w14:textId="02F06046" w:rsidR="00B35D37" w:rsidRDefault="00B35D37" w:rsidP="00B35D37">
      <w:pPr>
        <w:pStyle w:val="TextoNormal"/>
      </w:pPr>
      <w:r w:rsidRPr="00B35D37">
        <w:rPr>
          <w:rStyle w:val="NumeroAFNegritaCaracter"/>
        </w:rPr>
        <w:t>2</w:t>
      </w:r>
      <w:r>
        <w:t>. El recurso de amparo fue resuelto por la STC 80/2025, de 24 de marzo, en la que, tras declarar vulnerado el derecho fundamental a la igualdad ante la ley sin discriminación por razón de nacimiento (art. 14 CE) de hijo menor en familia monoparental, se acordó para su restauración la nulidad de las resoluciones judiciales impugnadas y la retroacción de las actuaciones a fin de que el Instituto Nacional de la Seguridad Social dicte, en respuesta a la solicitud de la recurrente de revisión de la prestación concedida, una resolución expresa respetuosa con el derecho fundamental reconocido a la recurrente, con el alcance fijado en el último párrafo del FJ 2. A esos efectos, en el último párrafo del FJ 3 se establecía que, en tanto el legislador no lleve a cabo la consiguiente reforma normativa, en las familias monoparentales el permiso a que hace referencia el art. 48.4 de la Ley del estatuto de los trabajadores (LET), y en relación con el art. 177 de la Ley general de la Seguridad Social (LGSS), ha de ser interpretado en el sentido de adicionarse al permiso del primer párrafo para la madre biológica (dieciséis semanas), el previsto en el segundo para progenitor distinto, de diez semanas, al excluirse las seis primeras que necesariamente deben disfrutarse de forma ininterrumpida e inmediatamente posterior al parto.</w:t>
      </w:r>
    </w:p>
    <w:p w14:paraId="472F7EC9" w14:textId="77777777" w:rsidR="00B35D37" w:rsidRDefault="00B35D37" w:rsidP="00B35D37">
      <w:pPr>
        <w:pStyle w:val="TextoNormal"/>
      </w:pPr>
    </w:p>
    <w:p w14:paraId="00055788" w14:textId="77777777" w:rsidR="00B35D37" w:rsidRDefault="00B35D37" w:rsidP="00B35D37">
      <w:pPr>
        <w:pStyle w:val="TextoNormal"/>
      </w:pPr>
      <w:r w:rsidRPr="00B35D37">
        <w:rPr>
          <w:rStyle w:val="NumeroAFNegritaCaracter"/>
        </w:rPr>
        <w:t>3</w:t>
      </w:r>
      <w:r>
        <w:t>. La Administración de la Seguridad Social, por escrito registrado el 15 de abril de 2025, formuló incidente de ejecución al amparo del art. 92.3 de la Ley Orgánica del Tribunal Constitucional (LOTC) instando al Tribunal que determine las medidas necesarias para que el INSS pueda dictar una resolución administrativa respetuosa con el derecho vulnerado.</w:t>
      </w:r>
    </w:p>
    <w:p w14:paraId="3E213C91" w14:textId="77777777" w:rsidR="00B35D37" w:rsidRDefault="00B35D37" w:rsidP="00B35D37">
      <w:pPr>
        <w:pStyle w:val="TextoNormal"/>
      </w:pPr>
    </w:p>
    <w:p w14:paraId="5223217F" w14:textId="14B31EF3" w:rsidR="00B35D37" w:rsidRDefault="00B35D37" w:rsidP="00B35D37">
      <w:pPr>
        <w:pStyle w:val="TextoNormal"/>
      </w:pPr>
      <w:r>
        <w:t>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2631B3A0" w14:textId="77777777" w:rsidR="00B35D37" w:rsidRDefault="00B35D37" w:rsidP="00B35D37">
      <w:pPr>
        <w:pStyle w:val="TextoNormal"/>
      </w:pPr>
    </w:p>
    <w:p w14:paraId="2470E832" w14:textId="055284D8" w:rsidR="00B35D37" w:rsidRDefault="00B35D37" w:rsidP="00B35D37">
      <w:pPr>
        <w:pStyle w:val="TextoNormal"/>
      </w:pPr>
      <w:r w:rsidRPr="00B35D37">
        <w:rPr>
          <w:rStyle w:val="NumeroAFNegritaCaracter"/>
        </w:rPr>
        <w:t>4</w:t>
      </w:r>
      <w:r>
        <w:t>. Mediante diligencia de ordenación de 21 de abril de 2025 se acordó tener por recibido el escrito presentado por el letrado de la administración de la Seguridad Social, del que se pasa a dar cuenta a la Sala, y se significa a las partes que podrán tener acceso a los escritos y demás documentación, incluida la ahora recibida, a través de la sede electrónica de este tribunal.</w:t>
      </w:r>
    </w:p>
    <w:p w14:paraId="3E291F8C" w14:textId="77777777" w:rsidR="00B35D37" w:rsidRDefault="00B35D37" w:rsidP="00B35D37">
      <w:pPr>
        <w:pStyle w:val="TextoNormal"/>
      </w:pPr>
    </w:p>
    <w:p w14:paraId="457AF231" w14:textId="52F5BD1A" w:rsidR="00B35D37" w:rsidRDefault="00B35D37" w:rsidP="00B35D37">
      <w:pPr>
        <w:pStyle w:val="TextoNormal"/>
      </w:pPr>
      <w:r w:rsidRPr="00B35D37">
        <w:rPr>
          <w:rStyle w:val="NumeroAFNegritaCaracter"/>
        </w:rPr>
        <w:t>5</w:t>
      </w:r>
      <w:r>
        <w:t>. El 13 de mayo de 2025 el Pleno del Tribunal dictó auto en el que inadmitió el incidente de ejecución instado por la administración de la Seguridad Social respecto a la STC 88/2025, de 7 de abril, estimatoria del recurso de amparo avocado núm. 5220-2024, planteado sobre la misma materia que es objeto de la sentencia dictada en el presente recurso de amparo.</w:t>
      </w:r>
    </w:p>
    <w:p w14:paraId="7D9FFA18" w14:textId="77777777" w:rsidR="00B35D37" w:rsidRDefault="00B35D37" w:rsidP="00B35D37">
      <w:pPr>
        <w:pStyle w:val="TextoNormal"/>
      </w:pPr>
    </w:p>
    <w:p w14:paraId="4CF1AABF" w14:textId="77777777" w:rsidR="00B35D37" w:rsidRDefault="00B35D37" w:rsidP="00B35D37">
      <w:pPr>
        <w:pStyle w:val="TextoNormalNegritaCentrado"/>
        <w:keepNext/>
      </w:pPr>
      <w:r>
        <w:t>II. Fundamentos jurídicos</w:t>
      </w:r>
    </w:p>
    <w:p w14:paraId="2C1CC43D" w14:textId="66A116B9" w:rsidR="00B35D37" w:rsidRDefault="00B35D37" w:rsidP="00B35D37">
      <w:pPr>
        <w:pStyle w:val="TextoNormalNegritaCentrado"/>
        <w:keepNext/>
      </w:pPr>
    </w:p>
    <w:p w14:paraId="6A343E99" w14:textId="77777777" w:rsidR="00B35D37" w:rsidRDefault="00B35D37" w:rsidP="00B35D37">
      <w:pPr>
        <w:pStyle w:val="TextoNormal"/>
      </w:pPr>
      <w:r w:rsidRPr="00B35D37">
        <w:rPr>
          <w:rStyle w:val="TextoNormalNegritaCaracter"/>
        </w:rPr>
        <w:t xml:space="preserve">Único. </w:t>
      </w:r>
      <w:r>
        <w:t>El ATC 34/2025, del Pleno, de 13 de mayo,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024DA1EA" w14:textId="77777777" w:rsidR="00B35D37" w:rsidRDefault="00B35D37" w:rsidP="00B35D37">
      <w:pPr>
        <w:pStyle w:val="TextoNormal"/>
      </w:pPr>
    </w:p>
    <w:p w14:paraId="4651985E"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4C65219C" w14:textId="77777777" w:rsidR="00B35D37" w:rsidRDefault="00B35D37" w:rsidP="00B35D37">
      <w:pPr>
        <w:pStyle w:val="TextoNormal"/>
      </w:pPr>
    </w:p>
    <w:p w14:paraId="758B9FAB" w14:textId="77777777" w:rsidR="00B35D37" w:rsidRDefault="00B35D37" w:rsidP="00B35D37">
      <w:pPr>
        <w:pStyle w:val="TextoNormal"/>
      </w:pPr>
      <w:r>
        <w:t>En el presente caso,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32ADC6DE" w14:textId="77777777" w:rsidR="00B35D37" w:rsidRDefault="00B35D37" w:rsidP="00B35D37">
      <w:pPr>
        <w:pStyle w:val="TextoNormal"/>
      </w:pPr>
    </w:p>
    <w:p w14:paraId="6B947A51" w14:textId="77777777" w:rsidR="00B35D37" w:rsidRDefault="00B35D37" w:rsidP="00B35D37">
      <w:pPr>
        <w:pStyle w:val="TextoNormal"/>
      </w:pPr>
      <w:r>
        <w:t>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46869C9F" w14:textId="77777777" w:rsidR="00B35D37" w:rsidRDefault="00B35D37" w:rsidP="00B35D37">
      <w:pPr>
        <w:pStyle w:val="TextoNormal"/>
      </w:pPr>
    </w:p>
    <w:p w14:paraId="4BE81D0F" w14:textId="021C3844" w:rsidR="00B35D37" w:rsidRDefault="00B35D37" w:rsidP="00B35D37">
      <w:pPr>
        <w:pStyle w:val="TextoNormal"/>
      </w:pPr>
      <w:r>
        <w:t>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14:paraId="20296674" w14:textId="77777777" w:rsidR="00B35D37" w:rsidRDefault="00B35D37" w:rsidP="00B35D37">
      <w:pPr>
        <w:pStyle w:val="TextoNormal"/>
      </w:pPr>
    </w:p>
    <w:p w14:paraId="4B73F580" w14:textId="77777777" w:rsidR="00B35D37" w:rsidRDefault="00B35D37" w:rsidP="00B35D37">
      <w:pPr>
        <w:pStyle w:val="TextoNormal"/>
      </w:pPr>
      <w:r>
        <w:t>Por lo expuesto, la Sala</w:t>
      </w:r>
    </w:p>
    <w:p w14:paraId="59357C98" w14:textId="73F9A676" w:rsidR="00B35D37" w:rsidRDefault="00B35D37" w:rsidP="00B35D37">
      <w:pPr>
        <w:pStyle w:val="TextoNormal"/>
      </w:pPr>
    </w:p>
    <w:p w14:paraId="1BBC1538" w14:textId="77777777" w:rsidR="00B35D37" w:rsidRDefault="00B35D37" w:rsidP="00B35D37">
      <w:pPr>
        <w:pStyle w:val="TextoNormalCentrado"/>
      </w:pPr>
      <w:r>
        <w:t>ACUERDA</w:t>
      </w:r>
    </w:p>
    <w:p w14:paraId="293BD088" w14:textId="76BBBFDA" w:rsidR="00B35D37" w:rsidRDefault="00B35D37" w:rsidP="00B35D37">
      <w:pPr>
        <w:pStyle w:val="TextoNormalCentrado"/>
      </w:pPr>
    </w:p>
    <w:p w14:paraId="602C48F4" w14:textId="1DF7A8A9" w:rsidR="00B35D37" w:rsidRDefault="00B35D37" w:rsidP="00B35D37">
      <w:pPr>
        <w:pStyle w:val="TextoNormal"/>
      </w:pPr>
      <w:r>
        <w:t>Denegar la admisión de la apertura del incidente de ejecución.</w:t>
      </w:r>
    </w:p>
    <w:p w14:paraId="568ACE15" w14:textId="77777777" w:rsidR="00B35D37" w:rsidRDefault="00B35D37" w:rsidP="00B35D37">
      <w:pPr>
        <w:pStyle w:val="TextoNormal"/>
      </w:pPr>
    </w:p>
    <w:p w14:paraId="2DE97421" w14:textId="77777777" w:rsidR="00B35D37" w:rsidRDefault="00B35D37" w:rsidP="00B35D37">
      <w:pPr>
        <w:pStyle w:val="TextoNormal"/>
      </w:pPr>
      <w:r>
        <w:t>Madrid, a nueve de junio de dos mil veinticinco.</w:t>
      </w:r>
    </w:p>
    <w:p w14:paraId="04121398" w14:textId="448659E7" w:rsidR="00B35D37" w:rsidRDefault="00B35D37">
      <w:pPr>
        <w:spacing w:after="160" w:line="278" w:lineRule="auto"/>
        <w:rPr>
          <w:rFonts w:ascii="Times New Roman" w:eastAsia="Times New Roman" w:hAnsi="Times New Roman" w:cs="Times New Roman"/>
          <w:sz w:val="24"/>
          <w:szCs w:val="24"/>
          <w:lang w:eastAsia="es-ES"/>
        </w:rPr>
      </w:pPr>
      <w:r>
        <w:br w:type="page"/>
      </w:r>
    </w:p>
    <w:p w14:paraId="2FD59F11" w14:textId="77777777" w:rsidR="00B35D37" w:rsidRDefault="00B35D37" w:rsidP="00B35D37">
      <w:pPr>
        <w:pStyle w:val="TtuloResolucin"/>
      </w:pPr>
      <w:bookmarkStart w:id="202" w:name="AUTO_2025_63"/>
      <w:r>
        <w:t>AUTO 63/2025, de 10 de junio de 2025</w:t>
      </w:r>
    </w:p>
    <w:bookmarkEnd w:id="202"/>
    <w:p w14:paraId="545EB65F" w14:textId="77777777" w:rsidR="00B35D37" w:rsidRDefault="00B35D37" w:rsidP="00B35D37">
      <w:pPr>
        <w:pStyle w:val="TtuloResolucin"/>
      </w:pPr>
      <w:r>
        <w:t>Pleno</w:t>
      </w:r>
    </w:p>
    <w:p w14:paraId="3229E508" w14:textId="77777777" w:rsidR="00B35D37" w:rsidRDefault="00B35D37" w:rsidP="00B35D37">
      <w:pPr>
        <w:pStyle w:val="TextoNormalCentrado"/>
      </w:pPr>
      <w:r>
        <w:t>ECLI:ES:TC:2025:63A</w:t>
      </w:r>
    </w:p>
    <w:p w14:paraId="71AD674D" w14:textId="2460D721" w:rsidR="00B35D37" w:rsidRDefault="00B35D37" w:rsidP="00B35D37">
      <w:pPr>
        <w:pStyle w:val="TextoNormalCentrado"/>
      </w:pPr>
    </w:p>
    <w:p w14:paraId="286C9C68"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75D4DCEB" w14:textId="6FABAF2F" w:rsidR="00B35D37" w:rsidRDefault="00B35D37" w:rsidP="00B35D37">
      <w:pPr>
        <w:pStyle w:val="SntesisDescriptiva"/>
      </w:pPr>
    </w:p>
    <w:p w14:paraId="32335265" w14:textId="77777777" w:rsidR="00B35D37" w:rsidRDefault="00B35D37" w:rsidP="00B35D37">
      <w:pPr>
        <w:pStyle w:val="SntesisDescriptiva"/>
      </w:pPr>
      <w:r>
        <w:t>Inadmite la solicitud de ejecución de la STC 65/2025, de 18 de marzo, dictada en el recurso de amparo 7035-2023, promovido por doña Eva Rosado Fuentes.</w:t>
      </w:r>
    </w:p>
    <w:p w14:paraId="3B2B8DF7" w14:textId="10F21599" w:rsidR="00B35D37" w:rsidRDefault="00B35D37" w:rsidP="00B35D37">
      <w:pPr>
        <w:pStyle w:val="SntesisDescriptiva"/>
      </w:pPr>
    </w:p>
    <w:p w14:paraId="13FFA9D2" w14:textId="77777777" w:rsidR="00B35D37" w:rsidRDefault="00B35D37" w:rsidP="00B35D37">
      <w:pPr>
        <w:pStyle w:val="SntesisDescriptiva"/>
      </w:pPr>
    </w:p>
    <w:p w14:paraId="121B8C42" w14:textId="77777777" w:rsidR="00B35D37" w:rsidRDefault="00B35D37" w:rsidP="00B35D37">
      <w:pPr>
        <w:pStyle w:val="SntesisDescriptiva"/>
      </w:pPr>
    </w:p>
    <w:p w14:paraId="3A0F1840" w14:textId="77777777" w:rsidR="00B35D37" w:rsidRDefault="00B35D37" w:rsidP="00B35D37">
      <w:pPr>
        <w:pStyle w:val="TextoNormalNegritaCentrado"/>
      </w:pPr>
      <w:r>
        <w:t>AUTO</w:t>
      </w:r>
    </w:p>
    <w:p w14:paraId="0FBCEAB2" w14:textId="5D845DCB" w:rsidR="00B35D37" w:rsidRDefault="00B35D37" w:rsidP="00B35D37">
      <w:pPr>
        <w:pStyle w:val="TextoNormalNegritaCentrado"/>
      </w:pPr>
    </w:p>
    <w:p w14:paraId="296A12FD" w14:textId="77777777" w:rsidR="00B35D37" w:rsidRDefault="00B35D37" w:rsidP="00B35D37">
      <w:pPr>
        <w:pStyle w:val="TextoNormalNegritaCentrado"/>
        <w:keepNext/>
      </w:pPr>
      <w:r>
        <w:t>I. Antecedentes</w:t>
      </w:r>
    </w:p>
    <w:p w14:paraId="1A4FD794" w14:textId="040E0889" w:rsidR="00B35D37" w:rsidRDefault="00B35D37" w:rsidP="00B35D37">
      <w:pPr>
        <w:pStyle w:val="TextoNormalNegritaCentrado"/>
        <w:keepNext/>
      </w:pPr>
    </w:p>
    <w:p w14:paraId="7532DF0E" w14:textId="03CFEF7B" w:rsidR="00B35D37" w:rsidRDefault="00B35D37" w:rsidP="00B35D37">
      <w:pPr>
        <w:pStyle w:val="TextoNormal"/>
      </w:pPr>
      <w:r w:rsidRPr="00B35D37">
        <w:rPr>
          <w:rStyle w:val="NumeroAFNegritaCaracter"/>
        </w:rPr>
        <w:t>1</w:t>
      </w:r>
      <w:r>
        <w:t>. Mediante escrito registrado en este tribunal el 10 de noviembre de 2023, la procuradora de los tribunales doña Marta Payá Nadal, en nombre y representación de doña Eva Rosado Fuentes, asistida del abogado don José Manuel Vilchez Díez, interpuso recurso de amparo contra la resolución de 18 de marzo de 2021 del Instituto Nacional de la Seguridad Social (INSS), por la que se desestima la reclamación previa interpuesta contra la resolución de 31 de enero de 2020, denegatoria de la solicitud de ampliación de la prestación por nacimiento y cuidado de menor como madre biológica de familia monoparental; así como contra la sentencia de 15 de febrero de 2022, dictada por el Juzgado de lo Social núm. 2 de Málaga (autos núm. 531-2021); la sentencia de 28 de septiembre de 2022, dictada por la Sala de lo Social del Tribunal Superior de Justicia de Andalucía, con sede en Málaga, (recurso de suplicación núm. 696-2022) y el auto de 26 de septiembre de 2023 dictado por la Sala de lo Social del Tribunal Supremo (recurso de casación para la unificación de doctrina núm. 5082-2022).</w:t>
      </w:r>
    </w:p>
    <w:p w14:paraId="669FBD83" w14:textId="77777777" w:rsidR="00B35D37" w:rsidRDefault="00B35D37" w:rsidP="00B35D37">
      <w:pPr>
        <w:pStyle w:val="TextoNormal"/>
      </w:pPr>
    </w:p>
    <w:p w14:paraId="5278A413" w14:textId="441A1593" w:rsidR="00B35D37" w:rsidRDefault="00B35D37" w:rsidP="00B35D37">
      <w:pPr>
        <w:pStyle w:val="TextoNormal"/>
      </w:pPr>
      <w:r w:rsidRPr="00B35D37">
        <w:rPr>
          <w:rStyle w:val="NumeroAFNegritaCaracter"/>
        </w:rPr>
        <w:t>2</w:t>
      </w:r>
      <w:r>
        <w:t>. El recurso de amparo fue resuelto por la STC 65/2025, de 18 de marzo, en la que, tras declarar vulnerado el derecho fundamental de la demandante a la igualdad ante la ley sin que proceda discriminación alguna (art. 14 CE), se acordó para su restauración la nulidad de la resolución administrativa y las resoluciones judiciales impugnadas y la retroacción de las actuaciones al momento previo al dictado de la resolución del INSS de 18 de marzo de 2021, a fin de que, por esa entidad gestora, en los términos expuestos en el último párrafo del fundamento jurídico único de la sentencia, se dictara una resolución respetuosa con el derecho fundamental vulnerado. A esos efectos, en el último párrafo del fundamento jurídico único de la STC 65/2025, en consonancia con lo declarado en la STC 140/2024, de 6 de noviembre, FJ 7, se establecía que, en tanto el legislador no llevara a cabo la consiguiente reforma normativa, en las familias monoparentales el permiso al que hace referencia el art. 48.4 del texto refundido de la Ley del estatuto de los trabajadores, aprobado por el Real Decreto Legislativo 2/2015, de 23 de octubre (LET), y en relación con este, el art. 177 del texto refundido de la Ley general de la Seguridad Social, aprobado por el Real Decreto Legislativo 8/2015, de 30 de octubre (LGSS), ha de ser interpretado en el sentido de adicionarse al permiso del primer párrafo para la madre biológica (dieciséis semanas), el previsto en el segundo párrafo para progenitor distinto (diez semanas, al excluirse las seis primeras, que necesariamente deben disfrutarse de forma ininterrumpida e inmediatamente posterior al parto).</w:t>
      </w:r>
    </w:p>
    <w:p w14:paraId="079C67CA" w14:textId="77777777" w:rsidR="00B35D37" w:rsidRDefault="00B35D37" w:rsidP="00B35D37">
      <w:pPr>
        <w:pStyle w:val="TextoNormal"/>
      </w:pPr>
    </w:p>
    <w:p w14:paraId="560C0B4B" w14:textId="77777777" w:rsidR="00B35D37" w:rsidRDefault="00B35D37" w:rsidP="00B35D37">
      <w:pPr>
        <w:pStyle w:val="TextoNormal"/>
      </w:pPr>
      <w:r w:rsidRPr="00B35D37">
        <w:rPr>
          <w:rStyle w:val="NumeroAFNegritaCaracter"/>
        </w:rPr>
        <w:t>3</w:t>
      </w:r>
      <w:r>
        <w:t>. El letrado de la Administración de la Seguridad Social, por escrito registrado el 31 de marzo de 2025, formuló incidente de ejecución de la STC 65/2025, al amparo del art. 92.3 de la Ley Orgánica del Tribunal Constitucional (LOTC), en el que se insta al Tribunal Constitucional que determine las medidas necesarias para que el INSS pueda dictar una resolución administrativa respetuosa con el derecho vulnerado, de entre las propuestas en su escrito u otras que se consideren convenientes.</w:t>
      </w:r>
    </w:p>
    <w:p w14:paraId="306EE8EA" w14:textId="77777777" w:rsidR="00B35D37" w:rsidRDefault="00B35D37" w:rsidP="00B35D37">
      <w:pPr>
        <w:pStyle w:val="TextoNormal"/>
      </w:pPr>
    </w:p>
    <w:p w14:paraId="23219B3D" w14:textId="677FE6CA" w:rsidR="00B35D37" w:rsidRDefault="00B35D37" w:rsidP="00B35D37">
      <w:pPr>
        <w:pStyle w:val="TextoNormal"/>
      </w:pPr>
      <w:r>
        <w:t>El letrado de la Administración de la Seguridad Social fundamenta su petición, tras exponer los antecedentes fácticos que considera relevantes, en que la normativa reguladora de la prestación controvertida condiciona su reconocimiento a que el hijo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14:paraId="2C5960F2" w14:textId="77777777" w:rsidR="00B35D37" w:rsidRDefault="00B35D37" w:rsidP="00B35D37">
      <w:pPr>
        <w:pStyle w:val="TextoNormal"/>
      </w:pPr>
    </w:p>
    <w:p w14:paraId="147439BC" w14:textId="77777777" w:rsidR="00B35D37" w:rsidRDefault="00B35D37" w:rsidP="00B35D37">
      <w:pPr>
        <w:pStyle w:val="TextoNormalNegritaCentrado"/>
        <w:keepNext/>
      </w:pPr>
      <w:r>
        <w:t>II. Fundamentos jurídicos</w:t>
      </w:r>
    </w:p>
    <w:p w14:paraId="3472A5C0" w14:textId="2D4D95B0" w:rsidR="00B35D37" w:rsidRDefault="00B35D37" w:rsidP="00B35D37">
      <w:pPr>
        <w:pStyle w:val="TextoNormalNegritaCentrado"/>
        <w:keepNext/>
      </w:pPr>
    </w:p>
    <w:p w14:paraId="0E64D519" w14:textId="77777777" w:rsidR="00B35D37" w:rsidRDefault="00B35D37" w:rsidP="00B35D37">
      <w:pPr>
        <w:pStyle w:val="TextoNormal"/>
      </w:pPr>
      <w:r w:rsidRPr="00B35D37">
        <w:rPr>
          <w:rStyle w:val="TextoNormalNegritaCaracter"/>
        </w:rPr>
        <w:t xml:space="preserve">Único. </w:t>
      </w:r>
      <w:r>
        <w:t>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14:paraId="0B1A9F20" w14:textId="77777777" w:rsidR="00B35D37" w:rsidRDefault="00B35D37" w:rsidP="00B35D37">
      <w:pPr>
        <w:pStyle w:val="TextoNormal"/>
      </w:pPr>
    </w:p>
    <w:p w14:paraId="54816A2B" w14:textId="77777777" w:rsidR="00B35D37" w:rsidRDefault="00B35D37" w:rsidP="00B35D37">
      <w:pPr>
        <w:pStyle w:val="TextoNormal"/>
      </w:pPr>
      <w:r>
        <w:t>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14:paraId="4A8289A2" w14:textId="77777777" w:rsidR="00B35D37" w:rsidRDefault="00B35D37" w:rsidP="00B35D37">
      <w:pPr>
        <w:pStyle w:val="TextoNormal"/>
      </w:pPr>
    </w:p>
    <w:p w14:paraId="692A87A0" w14:textId="77777777" w:rsidR="00B35D37" w:rsidRDefault="00B35D37" w:rsidP="00B35D37">
      <w:pPr>
        <w:pStyle w:val="TextoNormal"/>
      </w:pPr>
      <w:r>
        <w:t>En el presente caso, al igual que sucedía en el examinado en el citado ATC 34/2025, de 13 de mayo, se constata que este tribunal ya estableció en la sentencia cuya ejecución se pretende (STC 65/2025) la obligación del INSS de dictar una nueva resolución respetuosa con el derecho fundamental reconocido, en los concretos términos de que mientras el legislador no lleve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14:paraId="2337F5C5" w14:textId="77777777" w:rsidR="00B35D37" w:rsidRDefault="00B35D37" w:rsidP="00B35D37">
      <w:pPr>
        <w:pStyle w:val="TextoNormal"/>
      </w:pPr>
    </w:p>
    <w:p w14:paraId="1514D173" w14:textId="77777777" w:rsidR="00B35D37" w:rsidRDefault="00B35D37" w:rsidP="00B35D37">
      <w:pPr>
        <w:pStyle w:val="TextoNormal"/>
      </w:pPr>
      <w:r>
        <w:t>El letrado de la administración de la Seguridad Social promueve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14:paraId="4357414A" w14:textId="77777777" w:rsidR="00B35D37" w:rsidRDefault="00B35D37" w:rsidP="00B35D37">
      <w:pPr>
        <w:pStyle w:val="TextoNormal"/>
      </w:pPr>
    </w:p>
    <w:p w14:paraId="1D257A83" w14:textId="7FB25FEE" w:rsidR="00B35D37" w:rsidRDefault="00B35D37" w:rsidP="00B35D37">
      <w:pPr>
        <w:pStyle w:val="TextoNormal"/>
      </w:pPr>
      <w:r>
        <w:t>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Constitucional en el contexto de un incidente de ejecución. Ello determina que liminarmente el Tribunal deba denegar la admisión a trámite del incidente de ejecución.</w:t>
      </w:r>
    </w:p>
    <w:p w14:paraId="076839B8" w14:textId="77777777" w:rsidR="00B35D37" w:rsidRDefault="00B35D37" w:rsidP="00B35D37">
      <w:pPr>
        <w:pStyle w:val="TextoNormal"/>
      </w:pPr>
    </w:p>
    <w:p w14:paraId="59505E4D" w14:textId="77777777" w:rsidR="00B35D37" w:rsidRDefault="00B35D37" w:rsidP="00B35D37">
      <w:pPr>
        <w:pStyle w:val="TextoNormal"/>
      </w:pPr>
      <w:r>
        <w:t>Por lo expuesto, el Pleno</w:t>
      </w:r>
    </w:p>
    <w:p w14:paraId="3BD1D86E" w14:textId="7C68BE10" w:rsidR="00B35D37" w:rsidRDefault="00B35D37" w:rsidP="00B35D37">
      <w:pPr>
        <w:pStyle w:val="TextoNormal"/>
      </w:pPr>
    </w:p>
    <w:p w14:paraId="154818C7" w14:textId="77777777" w:rsidR="00B35D37" w:rsidRDefault="00B35D37" w:rsidP="00B35D37">
      <w:pPr>
        <w:pStyle w:val="TextoNormalCentrado"/>
      </w:pPr>
      <w:r>
        <w:t>ACUERDA</w:t>
      </w:r>
    </w:p>
    <w:p w14:paraId="0BFDE52F" w14:textId="264DE49D" w:rsidR="00B35D37" w:rsidRDefault="00B35D37" w:rsidP="00B35D37">
      <w:pPr>
        <w:pStyle w:val="TextoNormalCentrado"/>
      </w:pPr>
    </w:p>
    <w:p w14:paraId="63F21E33" w14:textId="5A7D6677" w:rsidR="00B35D37" w:rsidRDefault="00B35D37" w:rsidP="00B35D37">
      <w:pPr>
        <w:pStyle w:val="TextoNormal"/>
      </w:pPr>
      <w:r>
        <w:t>Denegar la admisión de la apertura del incidente de ejecución.</w:t>
      </w:r>
    </w:p>
    <w:p w14:paraId="3D37559E" w14:textId="77777777" w:rsidR="00B35D37" w:rsidRDefault="00B35D37" w:rsidP="00B35D37">
      <w:pPr>
        <w:pStyle w:val="TextoNormal"/>
      </w:pPr>
    </w:p>
    <w:p w14:paraId="66B939BF" w14:textId="77777777" w:rsidR="00B35D37" w:rsidRDefault="00B35D37" w:rsidP="00B35D37">
      <w:pPr>
        <w:pStyle w:val="TextoNormal"/>
      </w:pPr>
      <w:r>
        <w:t>Madrid, a diez de junio de dos mil veinticinco.</w:t>
      </w:r>
    </w:p>
    <w:p w14:paraId="146D55E2" w14:textId="418483F6" w:rsidR="00B35D37" w:rsidRDefault="00B35D37">
      <w:pPr>
        <w:spacing w:after="160" w:line="278" w:lineRule="auto"/>
        <w:rPr>
          <w:rFonts w:ascii="Times New Roman" w:eastAsia="Times New Roman" w:hAnsi="Times New Roman" w:cs="Times New Roman"/>
          <w:sz w:val="24"/>
          <w:szCs w:val="24"/>
          <w:lang w:eastAsia="es-ES"/>
        </w:rPr>
      </w:pPr>
      <w:r>
        <w:br w:type="page"/>
      </w:r>
    </w:p>
    <w:p w14:paraId="746BC788" w14:textId="77777777" w:rsidR="00B35D37" w:rsidRDefault="00B35D37" w:rsidP="00B35D37">
      <w:pPr>
        <w:pStyle w:val="TtuloResolucin"/>
      </w:pPr>
      <w:bookmarkStart w:id="203" w:name="AUTO_2025_64"/>
      <w:r>
        <w:t>AUTO 64/2025, de 10 de junio de 2025</w:t>
      </w:r>
    </w:p>
    <w:bookmarkEnd w:id="203"/>
    <w:p w14:paraId="0BA45F9A" w14:textId="77777777" w:rsidR="00B35D37" w:rsidRDefault="00B35D37" w:rsidP="00B35D37">
      <w:pPr>
        <w:pStyle w:val="TtuloResolucin"/>
      </w:pPr>
      <w:r>
        <w:t>Pleno</w:t>
      </w:r>
    </w:p>
    <w:p w14:paraId="4BBF9080" w14:textId="77777777" w:rsidR="00B35D37" w:rsidRDefault="00B35D37" w:rsidP="00B35D37">
      <w:pPr>
        <w:pStyle w:val="TextoNormalCentrado"/>
      </w:pPr>
      <w:r>
        <w:t>ECLI:ES:TC:2025:64A</w:t>
      </w:r>
    </w:p>
    <w:p w14:paraId="25004C9C" w14:textId="1787B1E0" w:rsidR="00B35D37" w:rsidRDefault="00B35D37" w:rsidP="00B35D37">
      <w:pPr>
        <w:pStyle w:val="TextoNormalCentrado"/>
      </w:pPr>
    </w:p>
    <w:p w14:paraId="3E8F41AC"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w:t>
      </w:r>
    </w:p>
    <w:p w14:paraId="2C59F309" w14:textId="0ED5E3C2" w:rsidR="00B35D37" w:rsidRDefault="00B35D37" w:rsidP="00B35D37">
      <w:pPr>
        <w:pStyle w:val="SntesisDescriptiva"/>
      </w:pPr>
    </w:p>
    <w:p w14:paraId="12EABB3B" w14:textId="77777777" w:rsidR="00B35D37" w:rsidRDefault="00B35D37" w:rsidP="00B35D37">
      <w:pPr>
        <w:pStyle w:val="SntesisDescriptiva"/>
      </w:pPr>
      <w:r>
        <w:t>Mantiene la suspensión acordada en el recurso de inconstitucionalidad 1014-2025, interpuesto por el presidente del Gobierno en relación con la Ley 1/2024, de 8 de noviembre, de derogación de la Ley 8/2021, de 17 de noviembre, de memoria histórica y democrática de Cantabria. Votos particulares.</w:t>
      </w:r>
    </w:p>
    <w:p w14:paraId="6EE03E25" w14:textId="0E3B45A0" w:rsidR="00B35D37" w:rsidRDefault="00B35D37" w:rsidP="00B35D37">
      <w:pPr>
        <w:pStyle w:val="SntesisDescriptiva"/>
      </w:pPr>
    </w:p>
    <w:p w14:paraId="536148B5" w14:textId="77777777" w:rsidR="00B35D37" w:rsidRDefault="00B35D37" w:rsidP="00B35D37">
      <w:pPr>
        <w:pStyle w:val="SntesisDescriptiva"/>
      </w:pPr>
    </w:p>
    <w:p w14:paraId="6AA404D1" w14:textId="77777777" w:rsidR="00B35D37" w:rsidRDefault="00B35D37" w:rsidP="00B35D37">
      <w:pPr>
        <w:pStyle w:val="SntesisDescriptiva"/>
      </w:pPr>
    </w:p>
    <w:p w14:paraId="4F4100B9" w14:textId="77777777" w:rsidR="00B35D37" w:rsidRDefault="00B35D37" w:rsidP="00B35D37">
      <w:pPr>
        <w:pStyle w:val="TextoNormalNegritaCentrado"/>
      </w:pPr>
      <w:r>
        <w:t>AUTO</w:t>
      </w:r>
    </w:p>
    <w:p w14:paraId="05B42E61" w14:textId="6C63E47A" w:rsidR="00B35D37" w:rsidRDefault="00B35D37" w:rsidP="00B35D37">
      <w:pPr>
        <w:pStyle w:val="TextoNormalNegritaCentrado"/>
      </w:pPr>
    </w:p>
    <w:p w14:paraId="0AE73808" w14:textId="77777777" w:rsidR="00B35D37" w:rsidRDefault="00B35D37" w:rsidP="00B35D37">
      <w:pPr>
        <w:pStyle w:val="TextoNormalNegritaCentrado"/>
        <w:keepNext/>
      </w:pPr>
      <w:r>
        <w:t>I. Antecedentes</w:t>
      </w:r>
    </w:p>
    <w:p w14:paraId="4F9E6433" w14:textId="0A76CEC6" w:rsidR="00B35D37" w:rsidRDefault="00B35D37" w:rsidP="00B35D37">
      <w:pPr>
        <w:pStyle w:val="TextoNormalNegritaCentrado"/>
        <w:keepNext/>
      </w:pPr>
    </w:p>
    <w:p w14:paraId="37874B3F" w14:textId="77777777" w:rsidR="00B35D37" w:rsidRDefault="00B35D37" w:rsidP="00B35D37">
      <w:pPr>
        <w:pStyle w:val="TextoNormal"/>
      </w:pPr>
      <w:r w:rsidRPr="00B35D37">
        <w:rPr>
          <w:rStyle w:val="NumeroAFNegritaCaracter"/>
        </w:rPr>
        <w:t>1</w:t>
      </w:r>
      <w:r>
        <w:t>. Mediante escrito registrado en este tribunal el día 12 de febrero de 2025, el presidente del Gobierno interpuso recurso de inconstitucionalidad contra la Ley del Parlamento de Cantabria 1/2024, de 8 de noviembre, de derogación de la Ley 8/2021, de 17 de noviembre, de memoria histórica y democrática de Cantabria (en adelante, Ley del Parlamento de Cantabria 1/2024).</w:t>
      </w:r>
    </w:p>
    <w:p w14:paraId="313E1D19" w14:textId="77777777" w:rsidR="00B35D37" w:rsidRDefault="00B35D37" w:rsidP="00B35D37">
      <w:pPr>
        <w:pStyle w:val="TextoNormal"/>
      </w:pPr>
    </w:p>
    <w:p w14:paraId="2622BF1E" w14:textId="77777777" w:rsidR="00B35D37" w:rsidRDefault="00B35D37" w:rsidP="00B35D37">
      <w:pPr>
        <w:pStyle w:val="TextoNormal"/>
      </w:pPr>
      <w:r>
        <w:t>El recurso se fundamenta en los siguientes motivos de impugnación: (i) La vulneración del Derecho internacional y de los arts. 10 y 15 CE, ya que la derogación de la Ley del Parlamento de Cantabria 8/2021, de memoria histórica y democrática de Cantabria (en adelante, Ley del Parlamento de Cantabria 8/2021) que recogía el estatuto jurídico internacional de las víctimas de vulneraciones graves de los derechos humanos, elimina su derecho a la verdad y a la reparación; (ii) la vulneración de los principios de colaboración y cooperación del art. 149.1.1 y 30 CE, ya que la norma impugnada deroga los deberes de colaboración y subsidiariedad, establecidos en el art. 14 de la Ley 20/2022, de 19 de octubre, de memoria democrática (en adelante, Ley 20/2022) al amparo del art. 149.1.1 CE, e imposibilita la aplicación de la normativa estatal en relación con la materia educativa, establecida en el art. 44 de la Ley 20/2022 al amparo del art. 149.1.30 CE y (iii) la vulneración de los principios de seguridad jurídica y de interdicción de la arbitrariedad de los poderes públicos (art. 9.3 CE), ya que la derogación acordada en la norma impugnada se justifica en la consecución de efectos contrarios al Derecho internacional humanitario y a la normativa estatal.</w:t>
      </w:r>
    </w:p>
    <w:p w14:paraId="1AF3E8CD" w14:textId="77777777" w:rsidR="00B35D37" w:rsidRDefault="00B35D37" w:rsidP="00B35D37">
      <w:pPr>
        <w:pStyle w:val="TextoNormal"/>
      </w:pPr>
    </w:p>
    <w:p w14:paraId="16913286" w14:textId="44598CA2" w:rsidR="00B35D37" w:rsidRDefault="00B35D37" w:rsidP="00B35D37">
      <w:pPr>
        <w:pStyle w:val="TextoNormal"/>
      </w:pPr>
      <w:r>
        <w:t>El presidente del Gobierno invocó el art. 161.2 CE, en relación con el art. 30 de la Ley Orgánica del Tribunal Constitucional (LOTC), a los efectos de que se produjera la suspensión de la aplicación de la disposición impugnada.</w:t>
      </w:r>
    </w:p>
    <w:p w14:paraId="34512C82" w14:textId="77777777" w:rsidR="00B35D37" w:rsidRDefault="00B35D37" w:rsidP="00B35D37">
      <w:pPr>
        <w:pStyle w:val="TextoNormal"/>
      </w:pPr>
    </w:p>
    <w:p w14:paraId="1816C5AD" w14:textId="676BA8F4" w:rsidR="00B35D37" w:rsidRDefault="00B35D37" w:rsidP="00B35D37">
      <w:pPr>
        <w:pStyle w:val="TextoNormal"/>
      </w:pPr>
      <w:r w:rsidRPr="00B35D37">
        <w:rPr>
          <w:rStyle w:val="NumeroAFNegritaCaracter"/>
        </w:rPr>
        <w:t>2</w:t>
      </w:r>
      <w:r>
        <w:t>. El Pleno del Tribunal Constitucional, a propuesta de la Sección Primera, mediante providencia de 26 de febrero de 2025, acordó admitir a trámite el recurso de inconstitucionalidad; dar traslado de la demanda y los documentos presentados, conforme establece el art. 34 LOTC, al Congreso de los Diputados y al Senado, al Parlamento de Cantabria y al Gobierno de Cantabria, por conducto de sus presidentes, al objeto de que, en el plazo de quince días, pudieran personarse en el proceso y formular las alegaciones que estimasen convenientes; tener por invocado por el presidente del Gobierno el art. 161.2 CE, lo que, a su tenor y conforme dispone el art. 30 LOTC, produce la suspensión de la vigencia y aplicación del precepto impugnado desde la fecha de interposición del recurso —12 de febrero de 2025— para las partes del proceso y desde el día en que aparezca publicada la suspensión en el “Boletín Oficial del Estado” —“BOE” núm. 57, de 7 de marzo de 2025— para los terceros, y publicar la incoación del recurso en el “BOE” y en el “Boletín Oficial de Cantabria”.</w:t>
      </w:r>
    </w:p>
    <w:p w14:paraId="5AA2503B" w14:textId="77777777" w:rsidR="00B35D37" w:rsidRDefault="00B35D37" w:rsidP="00B35D37">
      <w:pPr>
        <w:pStyle w:val="TextoNormal"/>
      </w:pPr>
    </w:p>
    <w:p w14:paraId="5A68D8F6" w14:textId="699C0FF9" w:rsidR="00B35D37" w:rsidRDefault="00B35D37" w:rsidP="00B35D37">
      <w:pPr>
        <w:pStyle w:val="TextoNormal"/>
      </w:pPr>
      <w:r w:rsidRPr="00B35D37">
        <w:rPr>
          <w:rStyle w:val="NumeroAFNegritaCaracter"/>
        </w:rPr>
        <w:t>3</w:t>
      </w:r>
      <w:r>
        <w:t>. El Parlamento de Cantabria, mediante escrito registrado el 11 de marzo de 2025, se personó en el proceso y solicitó que se le concediera una prórroga del plazo para formular alegaciones, lo que fue acordado por diligencia de ordenación del secretario de justicia del Pleno de 12 de marzo de 2025, prorrogando en ocho días el plazo de alegaciones inicialmente conferido, a contar desde el día siguiente al de expiración del ordinario.</w:t>
      </w:r>
    </w:p>
    <w:p w14:paraId="482CF8F6" w14:textId="77777777" w:rsidR="00B35D37" w:rsidRDefault="00B35D37" w:rsidP="00B35D37">
      <w:pPr>
        <w:pStyle w:val="TextoNormal"/>
      </w:pPr>
    </w:p>
    <w:p w14:paraId="46109AC4" w14:textId="6B0E889A" w:rsidR="00B35D37" w:rsidRDefault="00B35D37" w:rsidP="00B35D37">
      <w:pPr>
        <w:pStyle w:val="TextoNormal"/>
      </w:pPr>
      <w:r w:rsidRPr="00B35D37">
        <w:rPr>
          <w:rStyle w:val="NumeroAFNegritaCaracter"/>
        </w:rPr>
        <w:t>4</w:t>
      </w:r>
      <w:r>
        <w:t>. La presidenta del Congreso de los Diputados y el presidente del Senado, mediante sendos escritos registrados en este tribunal el 13 y 14 de marzo de 2025, comunicaron los acuerdos de sus mesas respectivas de personarse en el proceso, ofreciendo su colaboración a los efectos del art. 88.1 LOTC.</w:t>
      </w:r>
    </w:p>
    <w:p w14:paraId="0E8A0282" w14:textId="77777777" w:rsidR="00B35D37" w:rsidRDefault="00B35D37" w:rsidP="00B35D37">
      <w:pPr>
        <w:pStyle w:val="TextoNormal"/>
      </w:pPr>
    </w:p>
    <w:p w14:paraId="0B595259" w14:textId="7CB8CC89" w:rsidR="00B35D37" w:rsidRDefault="00B35D37" w:rsidP="00B35D37">
      <w:pPr>
        <w:pStyle w:val="TextoNormal"/>
      </w:pPr>
      <w:r w:rsidRPr="00B35D37">
        <w:rPr>
          <w:rStyle w:val="NumeroAFNegritaCaracter"/>
        </w:rPr>
        <w:t>5</w:t>
      </w:r>
      <w:r>
        <w:t>. El Gobierno de Cantabria, mediante escrito registrado en este tribunal el 19 de marzo de 2025, solicitó que se le tuviera por personado y formuló alegaciones oponiéndose al recurso de inconstitucionalidad.</w:t>
      </w:r>
    </w:p>
    <w:p w14:paraId="01158E16" w14:textId="77777777" w:rsidR="00B35D37" w:rsidRDefault="00B35D37" w:rsidP="00B35D37">
      <w:pPr>
        <w:pStyle w:val="TextoNormal"/>
      </w:pPr>
    </w:p>
    <w:p w14:paraId="052652CC" w14:textId="6A002BFE" w:rsidR="00B35D37" w:rsidRDefault="00B35D37" w:rsidP="00B35D37">
      <w:pPr>
        <w:pStyle w:val="TextoNormal"/>
      </w:pPr>
      <w:r w:rsidRPr="00B35D37">
        <w:rPr>
          <w:rStyle w:val="NumeroAFNegritaCaracter"/>
        </w:rPr>
        <w:t>6</w:t>
      </w:r>
      <w:r>
        <w:t>. El Parlamento de Cantabria, mediante escrito registrado en este tribunal el 3 de abril de 2025, presentó sus alegaciones en defensa de la constitucionalidad de la norma impugnada. Mediante otrosí solicitó que, sin necesidad de agotar el plazo de cinco meses al que se hace referencia en el art. 161.2 CE, se le diera audiencia para formular alegaciones sobre la pertinencia de ratificar o levantar la suspensión de la norma impugnada.</w:t>
      </w:r>
    </w:p>
    <w:p w14:paraId="7F196675" w14:textId="77777777" w:rsidR="00B35D37" w:rsidRDefault="00B35D37" w:rsidP="00B35D37">
      <w:pPr>
        <w:pStyle w:val="TextoNormal"/>
      </w:pPr>
    </w:p>
    <w:p w14:paraId="217DBD36" w14:textId="2E35C989" w:rsidR="00B35D37" w:rsidRDefault="00B35D37" w:rsidP="00B35D37">
      <w:pPr>
        <w:pStyle w:val="TextoNormal"/>
      </w:pPr>
      <w:r w:rsidRPr="00B35D37">
        <w:rPr>
          <w:rStyle w:val="NumeroAFNegritaCaracter"/>
        </w:rPr>
        <w:t>7</w:t>
      </w:r>
      <w:r>
        <w:t>. El secretario de justicia del Pleno, por diligencia de ordenación de 8 de abril de 2025, acordó que se oyese a las partes personadas para que, en el plazo de cinco días, expusieran lo que considerasen conveniente acerca del mantenimiento o levantamiento de la suspensión de la norma impugnada.</w:t>
      </w:r>
    </w:p>
    <w:p w14:paraId="5BB269BA" w14:textId="77777777" w:rsidR="00B35D37" w:rsidRDefault="00B35D37" w:rsidP="00B35D37">
      <w:pPr>
        <w:pStyle w:val="TextoNormal"/>
      </w:pPr>
    </w:p>
    <w:p w14:paraId="16B6E15E" w14:textId="77777777" w:rsidR="00B35D37" w:rsidRDefault="00B35D37" w:rsidP="00B35D37">
      <w:pPr>
        <w:pStyle w:val="TextoNormal"/>
      </w:pPr>
      <w:r w:rsidRPr="00B35D37">
        <w:rPr>
          <w:rStyle w:val="NumeroAFNegritaCaracter"/>
        </w:rPr>
        <w:t>8</w:t>
      </w:r>
      <w:r>
        <w:t>. El Gobierno de Cantabria, mediante escrito registrado el 16 de abril de 2025, formuló alegaciones solicitando el levantamiento de la suspensión.</w:t>
      </w:r>
    </w:p>
    <w:p w14:paraId="29A5548D" w14:textId="77777777" w:rsidR="00B35D37" w:rsidRDefault="00B35D37" w:rsidP="00B35D37">
      <w:pPr>
        <w:pStyle w:val="TextoNormal"/>
      </w:pPr>
    </w:p>
    <w:p w14:paraId="1D30F135" w14:textId="77777777" w:rsidR="00B35D37" w:rsidRDefault="00B35D37" w:rsidP="00B35D37">
      <w:pPr>
        <w:pStyle w:val="TextoNormal"/>
      </w:pPr>
      <w:r>
        <w:t xml:space="preserve">El Gobierno de Cantabria, tras hacer una exposición de los requisitos jurisprudenciales para el mantenimiento o levantamiento de la suspensión, analiza el contenido de la norma impugnada y el de la Ley 20/2022 cuya vulneración se alega en el recurso para concluir que no concurre un </w:t>
      </w:r>
      <w:r w:rsidRPr="00B35D37">
        <w:rPr>
          <w:i/>
        </w:rPr>
        <w:t>periculum in mora</w:t>
      </w:r>
      <w:r>
        <w:t>, pues la norma autonómica no compromete la aplicabilidad de la estatal puesto que, cuando esta apela a la intervención autonómica, su aplicación directa y el principio de colaboración hace innecesaria una normativa autonómica en la materia. También incide en aspectos comparativos, señalando la existencia de ordenamientos autonómicos en los que no existe una regulación en la materia y aplican la ley estatal, sin que ello implique un incumplimiento de la normativa básica estatal; sin perjuicio de que la norma impugnada, además, establece una regulación expresa sobre los procedimientos de exhumación y la custodia del material documental.</w:t>
      </w:r>
    </w:p>
    <w:p w14:paraId="61A4DEB6" w14:textId="77777777" w:rsidR="00B35D37" w:rsidRDefault="00B35D37" w:rsidP="00B35D37">
      <w:pPr>
        <w:pStyle w:val="TextoNormal"/>
      </w:pPr>
    </w:p>
    <w:p w14:paraId="16B8E627" w14:textId="77777777" w:rsidR="00B35D37" w:rsidRDefault="00B35D37" w:rsidP="00B35D37">
      <w:pPr>
        <w:pStyle w:val="TextoNormal"/>
      </w:pPr>
      <w:r>
        <w:t>El Gobierno de Cantabria, recordando que la carga de probar la existencia de perjuicios irreparables en caso de levantamiento de la suspensión corresponde a la parte recurrente, afirma que en el recurso no existen argumentos destinados a justificar un eventual perjuicio ni que permitan ponderar los intereses concernidos, incumpliendo con ello la carga argumentativa que le era exigible. No obstante, incide en que el estatuto de las víctimas continuará siendo aplicable en Cantabria por imperativo de los textos internacionales y de la ley básica, como acredita que está siendo sometido a trámite de consulta pública la elaboración de un decreto sobre los procedimientos de exhumación. En cuanto a la alegación del incumplimiento de los deberes de colaboración del art. 14 de la Ley 20/2022 en relación con determinadas materias, pone de manifiesto que para el reconocimiento de esas materias es exigible la adopción de ciertas medidas de la administración autonómica, pero no la intervención del legislador autonómico. Por su parte, en lo que se refiere al menoscabo alegado en materia educativa, alega que tampoco cabe apreciar un perjuicio irreparable, porque el contenido impuesto en la normativa estatal habrá de darse necesariamente y las previsiones de la legislación autonómica derogada se dirigían a completar lo establecido por el legislador básico, y solo como mera posibilidad.</w:t>
      </w:r>
    </w:p>
    <w:p w14:paraId="27EE390B" w14:textId="77777777" w:rsidR="00B35D37" w:rsidRDefault="00B35D37" w:rsidP="00B35D37">
      <w:pPr>
        <w:pStyle w:val="TextoNormal"/>
      </w:pPr>
    </w:p>
    <w:p w14:paraId="140DDBC4" w14:textId="021E1079" w:rsidR="00B35D37" w:rsidRDefault="00B35D37" w:rsidP="00B35D37">
      <w:pPr>
        <w:pStyle w:val="TextoNormal"/>
      </w:pPr>
      <w:r>
        <w:t>El Gobierno de Cantabria, por último, excluye la posibilidad de mantener la suspensión con fundamento en los supuestos excepcionales reconocidos por la jurisprudencia constitucional, ya que la norma impugnada no guarda similitud con otras ya declaradas inconstitucionales, no incide en el bloqueo de competencias estatales por su contenido meramente derogatorio y tampoco constituye un supuesto de gran relieve constitucional que exceda de una situación normal de controversia.</w:t>
      </w:r>
    </w:p>
    <w:p w14:paraId="52511C68" w14:textId="77777777" w:rsidR="00B35D37" w:rsidRDefault="00B35D37" w:rsidP="00B35D37">
      <w:pPr>
        <w:pStyle w:val="TextoNormal"/>
      </w:pPr>
    </w:p>
    <w:p w14:paraId="143D80F4" w14:textId="77777777" w:rsidR="00B35D37" w:rsidRDefault="00B35D37" w:rsidP="00B35D37">
      <w:pPr>
        <w:pStyle w:val="TextoNormal"/>
      </w:pPr>
      <w:r w:rsidRPr="00B35D37">
        <w:rPr>
          <w:rStyle w:val="NumeroAFNegritaCaracter"/>
        </w:rPr>
        <w:t>9</w:t>
      </w:r>
      <w:r>
        <w:t>. El Parlamento de Cantabria, mediante escrito registrado el 23 de abril de 2025, formuló alegaciones solicitando el levantamiento de la suspensión.</w:t>
      </w:r>
    </w:p>
    <w:p w14:paraId="18C9F9B6" w14:textId="77777777" w:rsidR="00B35D37" w:rsidRDefault="00B35D37" w:rsidP="00B35D37">
      <w:pPr>
        <w:pStyle w:val="TextoNormal"/>
      </w:pPr>
    </w:p>
    <w:p w14:paraId="147BF25E" w14:textId="65D24368" w:rsidR="00B35D37" w:rsidRDefault="00B35D37" w:rsidP="00B35D37">
      <w:pPr>
        <w:pStyle w:val="TextoNormal"/>
      </w:pPr>
      <w:r>
        <w:t>El Parlamento de Cantabria pone de manifiesto que corresponde al presidente del Gobierno la carga de invocar y probar la existencia de los perjuicios que se derivarían del no mantenimiento de la suspensión e incide en que, en este caso, no se produciría ningún perjuicio ni daño por la recuperación de la eficacia de la norma impugnada, en tanto que tiene efectos meramente derogatorios, como queda acreditado con la circunstancia de que durante su vigencia hasta la interposición del presente recurso no se ha producido afectación alguna a las competencias estatales o la eficacia de la Ley 20/2022. Por otro lado, afirma que existe apariencia de buen derecho en su posición pues la vulneración alegada en el recurso de inconstitucionalidad se refiere a normas y recomendaciones internacionales que no son canon de constitucionalidad, ni produce el bloqueo de competencias estatales, ni hay una afectación de derechos fundamentales. Por último, señala que el mantenimiento de la suspensión sí causaría un perjuicio al interés público al impedir la libertad de configuración normativa de la comunidad autónoma en materia de su competencia.</w:t>
      </w:r>
    </w:p>
    <w:p w14:paraId="5940FF42" w14:textId="77777777" w:rsidR="00B35D37" w:rsidRDefault="00B35D37" w:rsidP="00B35D37">
      <w:pPr>
        <w:pStyle w:val="TextoNormal"/>
      </w:pPr>
    </w:p>
    <w:p w14:paraId="4B035F9C" w14:textId="77777777" w:rsidR="00B35D37" w:rsidRDefault="00B35D37" w:rsidP="00B35D37">
      <w:pPr>
        <w:pStyle w:val="TextoNormal"/>
      </w:pPr>
      <w:r w:rsidRPr="00B35D37">
        <w:rPr>
          <w:rStyle w:val="NumeroAFNegritaCaracter"/>
        </w:rPr>
        <w:t>10</w:t>
      </w:r>
      <w:r>
        <w:t>. El presidente del Gobierno, mediante escrito registrado el 16 de abril de 2025, solicitó el mantenimiento de la suspensión.</w:t>
      </w:r>
    </w:p>
    <w:p w14:paraId="1A88E975" w14:textId="77777777" w:rsidR="00B35D37" w:rsidRDefault="00B35D37" w:rsidP="00B35D37">
      <w:pPr>
        <w:pStyle w:val="TextoNormal"/>
      </w:pPr>
    </w:p>
    <w:p w14:paraId="33ADF2D3" w14:textId="77777777" w:rsidR="00B35D37" w:rsidRDefault="00B35D37" w:rsidP="00B35D37">
      <w:pPr>
        <w:pStyle w:val="TextoNormal"/>
      </w:pPr>
      <w:r>
        <w:t>El presidente del Gobierno, tras exponer la jurisprudencia constitucional en la materia y destacar que el objeto del incidente de suspensión se plantea al margen de la solución de fondo del litigio, desarrolla los que considera que son efectos perjudiciales que el levantamiento de la suspensión de la ley impugnada podría previsiblemente ocasionar, tanto a la esfera de derechos de la ciudadanía cántabra, y particularmente, la protección de la dignidad de las víctimas, como a la plena efectividad de la Ley 20/2022.</w:t>
      </w:r>
    </w:p>
    <w:p w14:paraId="227F3FFF" w14:textId="77777777" w:rsidR="00B35D37" w:rsidRDefault="00B35D37" w:rsidP="00B35D37">
      <w:pPr>
        <w:pStyle w:val="TextoNormal"/>
      </w:pPr>
    </w:p>
    <w:p w14:paraId="2327B691" w14:textId="77777777" w:rsidR="00B35D37" w:rsidRDefault="00B35D37" w:rsidP="00B35D37">
      <w:pPr>
        <w:pStyle w:val="TextoNormal"/>
      </w:pPr>
      <w:r>
        <w:t>En primer lugar, destaca la grave afectación que implicaría el levantamiento de la suspensión al cumplimiento del deber de colaboración autonómico con la normativa estatal, destacando que el daño irreparable a la implementación de las políticas públicas de memoria democrática ya se ha evidenciado en hechos concretos, como que, desde la entrada en vigor de la norma impugnada y hasta su suspensión, la colaboración se ha resentido en relación con la desarrollada bajo la vigencia de la norma derogada, pues las actuaciones de investigación, localización o exhumación han sido nulas. Afirma que en materia de divulgación, reconocimiento y reparación simbólica, si bien el Consejo Territorial de Memoria Democrática concedió una partida de 52 711,39 € a la Comunidad Autónoma de Cantabria para actuaciones relacionadas con estas cuestiones, no se ha comprometido ningún fondo en el año 2024, tras el nuevo escenario normativo producido. Además, hace una descripción de la distribución de fondos en la materia a la comunidad autónoma entre los años 2021 y 2024 con las intervenciones a las que dio lugar, constatando que no hubo ninguna durante el año 2024. Alega que con el levantamiento de la suspensión quedarán comprometidas las actuaciones tendentes a la localización de lugares de inhumación, que se verán ralentizadas y desaparecerán todo tipo de intervenciones de colaboración como son las referidas a los proyectos destinados a conservar el patrimonio de la Guerra y la Dictadura; la actualización del mapa de fosas y la continuidad de las investigaciones históricas sobre las víctimas desaparecidas, previstas en el art. 17 de la Ley 20/2022; la efectividad del banco estatal de ADN, previsto en el art. 23 de la Ley 20/2022, y la confección del catálogo de símbolos y elementos contrarios a la memoria democrática para hacer efectiva su retirada del espacio público, previsto en el art. 36 de la Ley 20/2022. A ello añade la afectación en el ámbito educativo, argumentando que no podrán desarrollarse las previsiones del art. 44 de la Ley 20/2022 referidas a la consecución de los fines del conocimiento de la Historia y de la memoria democrática española y la lucha por los valores y libertades democráticas en el material docente y el mandato a las administraciones educativas para la inclusión en los planes de formación inicial y permanente del profesorado de la actualización científica, didáctica y pedagógica en relación con el tratamiento escolar en esta materia.</w:t>
      </w:r>
    </w:p>
    <w:p w14:paraId="4D4E4DF8" w14:textId="77777777" w:rsidR="00B35D37" w:rsidRDefault="00B35D37" w:rsidP="00B35D37">
      <w:pPr>
        <w:pStyle w:val="TextoNormal"/>
      </w:pPr>
    </w:p>
    <w:p w14:paraId="251B3457" w14:textId="3D6C798F" w:rsidR="00B35D37" w:rsidRDefault="00B35D37" w:rsidP="00B35D37">
      <w:pPr>
        <w:pStyle w:val="TextoNormal"/>
      </w:pPr>
      <w:r>
        <w:t>Por otra parte, en lo que se refiere a los perjuicios a irrogar en los derechos de las víctimas, pone de manifiesto que el levantamiento de la suspensión afectaría al estatuto jurídico internacional de las víctimas y a sus derechos a la verdad, a la localización de las personas desaparecidas o de sus restos mortales, de reparación de los daños materiales y morales y de apoyo a las asociaciones de afectados e interesados. Insiste en que habría una merma en el reconocimiento de las víctimas, con la expresa supresión del censo de memoria democrática y de las medidas para el reconocimiento y reparación, y la reducción del derecho a la localización de las personas desaparecidas o de sus restos mortales, siendo insuficiente la remisión a la normativa de patrimonio arqueológico y paleontológico de Cantabria; la eliminación del derecho a la investigación o el derecho de las víctimas a la justicia y la efectividad del derecho de información y asistencia a las víctimas y sus familiares; la supresión del fomento del movimiento memorialístico, al suprimir la implementación del registro de entidades de memoria democrática de Cantabria y el apoyo y fomento de los proyectos que estas desarrollaban; y la supresión de las garantías de acceso a una información veraz y rigurosa sobre la memoria democrática en los diversos ciclos formativos del alumnado, así como de los medios para la formación del profesorado en esta materia y la generación de contenidos y actividades adecuados.</w:t>
      </w:r>
    </w:p>
    <w:p w14:paraId="2491B895" w14:textId="77777777" w:rsidR="00B35D37" w:rsidRDefault="00B35D37" w:rsidP="00B35D37">
      <w:pPr>
        <w:pStyle w:val="TextoNormal"/>
      </w:pPr>
    </w:p>
    <w:p w14:paraId="255FBF70" w14:textId="77777777" w:rsidR="00B35D37" w:rsidRDefault="00B35D37" w:rsidP="00B35D37">
      <w:pPr>
        <w:pStyle w:val="TextoNormalNegritaCentrado"/>
        <w:keepNext/>
      </w:pPr>
      <w:r>
        <w:t>II. Fundamentos jurídicos</w:t>
      </w:r>
    </w:p>
    <w:p w14:paraId="3ECF9BF8" w14:textId="3D9F5A80" w:rsidR="00B35D37" w:rsidRDefault="00B35D37" w:rsidP="00B35D37">
      <w:pPr>
        <w:pStyle w:val="TextoNormalNegritaCentrado"/>
        <w:keepNext/>
      </w:pPr>
    </w:p>
    <w:p w14:paraId="6E48F53E" w14:textId="77777777" w:rsidR="00B35D37" w:rsidRDefault="00B35D37" w:rsidP="00B35D37">
      <w:pPr>
        <w:pStyle w:val="TextoNormal"/>
      </w:pPr>
      <w:r w:rsidRPr="00B35D37">
        <w:rPr>
          <w:rStyle w:val="NumeroAFNegritaCaracter"/>
        </w:rPr>
        <w:t>1</w:t>
      </w:r>
      <w:r>
        <w:t xml:space="preserve">. </w:t>
      </w:r>
      <w:r w:rsidRPr="00B35D37">
        <w:rPr>
          <w:i/>
        </w:rPr>
        <w:t>Objeto del incidente</w:t>
      </w:r>
    </w:p>
    <w:p w14:paraId="7E646763" w14:textId="77777777" w:rsidR="00B35D37" w:rsidRDefault="00B35D37" w:rsidP="00B35D37">
      <w:pPr>
        <w:pStyle w:val="TextoNormal"/>
      </w:pPr>
    </w:p>
    <w:p w14:paraId="5921AA56" w14:textId="77777777" w:rsidR="00B35D37" w:rsidRDefault="00B35D37" w:rsidP="00B35D37">
      <w:pPr>
        <w:pStyle w:val="TextoNormal"/>
      </w:pPr>
      <w:r>
        <w:t>El objeto de la presente resolución consiste en determinar si procede levantar o mantener la suspensión de la vigencia y aplicación de la Ley del Parlamento de Cantabria 1/2024, de 8 de noviembre, de derogación de la Ley 8/2021, de 17 de noviembre, de memoria histórica y democrática de Cantabria, acordada como consecuencia de la invocación del art. 161.2 CE por parte del presidente del Gobierno cuando interpuso el recurso de inconstitucionalidad.</w:t>
      </w:r>
    </w:p>
    <w:p w14:paraId="70A1C339" w14:textId="77777777" w:rsidR="00B35D37" w:rsidRDefault="00B35D37" w:rsidP="00B35D37">
      <w:pPr>
        <w:pStyle w:val="TextoNormal"/>
      </w:pPr>
    </w:p>
    <w:p w14:paraId="088DA5D2" w14:textId="0F4F93B7" w:rsidR="00B35D37" w:rsidRDefault="00B35D37" w:rsidP="00B35D37">
      <w:pPr>
        <w:pStyle w:val="TextoNormal"/>
      </w:pPr>
      <w:r>
        <w:t>La impugnación del presente recurso se fundamenta en motivos sustantivos, como son la vulneración del Derecho internacional de los derechos humanos y de los derechos a la dignidad humana (art. 10.1 CE) y a la integridad moral (art. 15 CE), por la eliminación que implica del estatuto jurídico internacional de las víctimas de vulneraciones graves de los derechos humanos, y la vulneración de los principios de seguridad jurídica y de interdicción de la arbitrariedad de los poderes públicos (art. 9.3 CE), porque la norma impugnada se justifica en la consecución de efectos contrarios al Derecho internacional humanitario y a la normativa estatal. También se fundamenta en motivos competenciales, como es la vulneración de los principios de colaboración y cooperación del art. 149.1.1 y 30 CE, pues la norma impugnada deroga los deberes de colaboración y subsidiariedad, establecidos en el art. 14 de la Ley 20/2022, al amparo del art. 149.1.1 CE, e imposibilita la aplicación de la normativa estatal en relación con materia educativa, establecida en el art. 44 de la Ley 20/2022 al amparo del art. 149.1.30 CE.</w:t>
      </w:r>
    </w:p>
    <w:p w14:paraId="6120A280" w14:textId="77777777" w:rsidR="00B35D37" w:rsidRDefault="00B35D37" w:rsidP="00B35D37">
      <w:pPr>
        <w:pStyle w:val="TextoNormal"/>
      </w:pPr>
    </w:p>
    <w:p w14:paraId="109E37B6" w14:textId="77777777" w:rsidR="00B35D37" w:rsidRDefault="00B35D37" w:rsidP="00B35D37">
      <w:pPr>
        <w:pStyle w:val="TextoNormal"/>
      </w:pPr>
      <w:r w:rsidRPr="00B35D37">
        <w:rPr>
          <w:rStyle w:val="NumeroAFNegritaCaracter"/>
        </w:rPr>
        <w:t>2</w:t>
      </w:r>
      <w:r>
        <w:t xml:space="preserve">. </w:t>
      </w:r>
      <w:r w:rsidRPr="00B35D37">
        <w:rPr>
          <w:i/>
        </w:rPr>
        <w:t>Jurisprudencia constitucional sobre el levantamiento o mantenimiento de la suspensión acordada al amparo del art. 161.2 CE</w:t>
      </w:r>
    </w:p>
    <w:p w14:paraId="4A4B2A36" w14:textId="77777777" w:rsidR="00B35D37" w:rsidRDefault="00B35D37" w:rsidP="00B35D37">
      <w:pPr>
        <w:pStyle w:val="TextoNormal"/>
      </w:pPr>
    </w:p>
    <w:p w14:paraId="37F81A5C" w14:textId="77777777" w:rsidR="00B35D37" w:rsidRDefault="00B35D37" w:rsidP="00B35D37">
      <w:pPr>
        <w:pStyle w:val="TextoNormal"/>
      </w:pPr>
      <w:r>
        <w:t>El Tribunal ha establecido una reiterada jurisprudencia constitucional sobre la naturaleza del incidente cautelar y los parámetros a los que debe ajustarse la decisión relativa al levantamiento o mantenimiento de la suspensión acordada al amparo del art. 161.2 CE que ha sido recientemente resumida, por ejemplo, en los AATC 445/2023, de 27 de septiembre, FJ 2, o 127/2024, de 19 de noviembre, FJ 2, incidiendo en los siguientes extremos:</w:t>
      </w:r>
    </w:p>
    <w:p w14:paraId="6BD792CB" w14:textId="77777777" w:rsidR="00B35D37" w:rsidRDefault="00B35D37" w:rsidP="00B35D37">
      <w:pPr>
        <w:pStyle w:val="TextoNormal"/>
      </w:pPr>
    </w:p>
    <w:p w14:paraId="4EA9D7FD" w14:textId="77777777" w:rsidR="00B35D37" w:rsidRDefault="00B35D37" w:rsidP="00B35D37">
      <w:pPr>
        <w:pStyle w:val="TextoNormal"/>
      </w:pPr>
      <w:r>
        <w:t>a) Este incidente cautelar tiene autonomía respecto al procedimiento principal y su objeto exclusivo es decidir sobre la procedencia del mantenimiento o levantamiento de la suspensión acordada por imperativo constitucional del art. 161.2 CE, con fundamento en la aseguración del objeto litigioso, evitando la producción de daños y perjuicios irreparables o de difícil reparación. En ese contexto, el mantenimiento de la suspensión tiene un carácter excepcional, pues las leyes gozan de la presunción de legitimidad, en cuanto expresión de la voluntad popular, mientras no se declare su inconstitucionalidad y la decisión a adoptar está desvinculada de la cuestión de fondo, que deberá dirimirse mediante sentencia.</w:t>
      </w:r>
    </w:p>
    <w:p w14:paraId="19169598" w14:textId="77777777" w:rsidR="00B35D37" w:rsidRDefault="00B35D37" w:rsidP="00B35D37">
      <w:pPr>
        <w:pStyle w:val="TextoNormal"/>
      </w:pPr>
    </w:p>
    <w:p w14:paraId="3396BF79" w14:textId="77777777" w:rsidR="00B35D37" w:rsidRDefault="00B35D37" w:rsidP="00B35D37">
      <w:pPr>
        <w:pStyle w:val="TextoNormal"/>
      </w:pPr>
      <w:r>
        <w:t>b) Los criterios aplicables para la resolución de estos incidentes son (i)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(ii) esta ponderación debe efectuarse mediante el estricto examen de las situaciones de hecho creadas y al margen de la viabilidad de las pretensiones que se formulan en la demanda, de manera que solo procede mantener la suspensión en presencia de perjuicios ciertos y efectivos, por lo que, si estos no concurren, debe atenderse a la presunción de validez de la ley, y (iii) el mantenimiento de la suspensión requiere que el presidente del Gobierno, a quien se debe la iniciativa, invoque la existencia de aquellos perjuicios y demuestre o, al menos, razone consistentemente su procedencia y la imposibilidad o dificultad de su reparación.</w:t>
      </w:r>
    </w:p>
    <w:p w14:paraId="5A921ADA" w14:textId="77777777" w:rsidR="00B35D37" w:rsidRDefault="00B35D37" w:rsidP="00B35D37">
      <w:pPr>
        <w:pStyle w:val="TextoNormal"/>
      </w:pPr>
    </w:p>
    <w:p w14:paraId="707EE5C1" w14:textId="1952BA8A" w:rsidR="00B35D37" w:rsidRDefault="00B35D37" w:rsidP="00B35D37">
      <w:pPr>
        <w:pStyle w:val="TextoNormal"/>
      </w:pPr>
      <w:r>
        <w:t>c) El mantenimiento de la suspensión también puede acordarse excepcionalmente con arreglo a otros criterios desvinculados de los perjuicios de imposible o difícil reparación como son (i) la apariencia de buen derecho, que resulta aplicable cuando los preceptos impugnados sobre los que versa el incidente de suspensión contienen previsiones muy similares con otras normas ya declaradas inconstitucionales; (ii) el bloqueo de competencias estatales, y (iii) cuando se suscitan cuestiones de gran relieve constitucional.</w:t>
      </w:r>
    </w:p>
    <w:p w14:paraId="2906F5C8" w14:textId="77777777" w:rsidR="00B35D37" w:rsidRDefault="00B35D37" w:rsidP="00B35D37">
      <w:pPr>
        <w:pStyle w:val="TextoNormal"/>
      </w:pPr>
    </w:p>
    <w:p w14:paraId="0B07EBDA" w14:textId="77777777" w:rsidR="00B35D37" w:rsidRDefault="00B35D37" w:rsidP="00B35D37">
      <w:pPr>
        <w:pStyle w:val="TextoNormal"/>
      </w:pPr>
      <w:r w:rsidRPr="00B35D37">
        <w:rPr>
          <w:rStyle w:val="NumeroAFNegritaCaracter"/>
        </w:rPr>
        <w:t>3</w:t>
      </w:r>
      <w:r>
        <w:t xml:space="preserve">. </w:t>
      </w:r>
      <w:r w:rsidRPr="00B35D37">
        <w:rPr>
          <w:i/>
        </w:rPr>
        <w:t>Aplicación de la jurisprudencia constitucional al presente incidente</w:t>
      </w:r>
    </w:p>
    <w:p w14:paraId="0D26E2D7" w14:textId="77777777" w:rsidR="00B35D37" w:rsidRDefault="00B35D37" w:rsidP="00B35D37">
      <w:pPr>
        <w:pStyle w:val="TextoNormal"/>
      </w:pPr>
    </w:p>
    <w:p w14:paraId="494F7774" w14:textId="77777777" w:rsidR="00B35D37" w:rsidRDefault="00B35D37" w:rsidP="00B35D37">
      <w:pPr>
        <w:pStyle w:val="TextoNormal"/>
      </w:pPr>
      <w:r>
        <w:t>El Tribunal, en aplicación de la jurisprudencia constitucional expuesta, habida cuenta de que no se ha invocado la concurrencia de circunstancias excepcionales para el mantenimiento de la suspensión desvinculadas de los eventuales perjuicios a irrogar, debe dilucidar si los perjuicios alegados por el presidente del Gobierno son ciertos y efectivos y tienen la gravedad y consistencia necesarias como para prevalecer sobre la presunción de legitimidad de la ley autonómica.</w:t>
      </w:r>
    </w:p>
    <w:p w14:paraId="78570883" w14:textId="77777777" w:rsidR="00B35D37" w:rsidRDefault="00B35D37" w:rsidP="00B35D37">
      <w:pPr>
        <w:pStyle w:val="TextoNormal"/>
      </w:pPr>
    </w:p>
    <w:p w14:paraId="13B85B6D" w14:textId="77777777" w:rsidR="00B35D37" w:rsidRDefault="00B35D37" w:rsidP="00B35D37">
      <w:pPr>
        <w:pStyle w:val="TextoNormal"/>
      </w:pPr>
      <w:r>
        <w:t>A esos efectos, como se ha expuesto de manera más amplia en los antecedentes, la solicitud del mantenimiento de la suspensión se fundamenta en la doble consideración del daño irreparable que implicaría el levantamiento del deber de colaboración autonómico con la normativa estatal en diversas materias reguladas en la Ley 20/2022 y en los derechos de las víctimas de graves vulneraciones de derechos humamos, cuyo estatuto jurídico aparecía desarrollado en la legislación derogada por la norma suspendida. Por su parte, el Parlamento y el Gobierno de Cantabria defienden el levantamiento de la medida, negando tanto el debido cumplimiento de la carga argumentativa que corresponde al presidente del Gobierno, como la afectación competencial o a los derechos de las víctimas, en atención a su efecto meramente derogatorio y a que la norma suspendida no compromete la aplicabilidad directa de la estatal ni la posibilidad de hacer efectivo el principio de colaboración a través de la actuación de la administración autonómica sin intervención del legislador autonómico.</w:t>
      </w:r>
    </w:p>
    <w:p w14:paraId="41059562" w14:textId="77777777" w:rsidR="00B35D37" w:rsidRDefault="00B35D37" w:rsidP="00B35D37">
      <w:pPr>
        <w:pStyle w:val="TextoNormal"/>
      </w:pPr>
    </w:p>
    <w:p w14:paraId="08256ADA" w14:textId="77777777" w:rsidR="00B35D37" w:rsidRDefault="00B35D37" w:rsidP="00B35D37">
      <w:pPr>
        <w:pStyle w:val="TextoNormal"/>
      </w:pPr>
      <w:r>
        <w:t>En el presente caso, el Tribunal considera que, ponderando los intereses concernidos, resulta procedente el mantenimiento de la suspensión acordada por las razones siguientes:</w:t>
      </w:r>
    </w:p>
    <w:p w14:paraId="506061DB" w14:textId="77777777" w:rsidR="00B35D37" w:rsidRDefault="00B35D37" w:rsidP="00B35D37">
      <w:pPr>
        <w:pStyle w:val="TextoNormal"/>
      </w:pPr>
    </w:p>
    <w:p w14:paraId="6A9CAA41" w14:textId="77777777" w:rsidR="00B35D37" w:rsidRDefault="00B35D37" w:rsidP="00B35D37">
      <w:pPr>
        <w:pStyle w:val="TextoNormal"/>
      </w:pPr>
      <w:r>
        <w:t>(i) El Tribunal constata que en el escrito de alegaciones del presidente del Gobierno en este incidente de medidas cautelares se han expuesto de manera amplia las razones por las que considera que el levantamiento de la suspensión causaría daños irreparables, tanto en la esfera de los derechos subjetivos, incluida la protección de la dignidad de las víctimas que aún pudieran encontrarse con vida, como en el deber de colaboración y cooperación impuesto en la norma básica estatal en la materia respecto de distintos extremos. Por tanto, debe darse por debidamente cumplida la carga alegatoria que incumbe al presidente del Gobierno en este incidente de suspensión.</w:t>
      </w:r>
    </w:p>
    <w:p w14:paraId="0442E628" w14:textId="77777777" w:rsidR="00B35D37" w:rsidRDefault="00B35D37" w:rsidP="00B35D37">
      <w:pPr>
        <w:pStyle w:val="TextoNormal"/>
      </w:pPr>
    </w:p>
    <w:p w14:paraId="43E75750" w14:textId="77777777" w:rsidR="00B35D37" w:rsidRDefault="00B35D37" w:rsidP="00B35D37">
      <w:pPr>
        <w:pStyle w:val="TextoNormal"/>
      </w:pPr>
      <w:r>
        <w:t>(ii) El Tribunal recuerda que ya ha tenido la oportunidad de pronunciarse en diversas ocasiones en favor del mantenimiento de la suspensión de una norma autonómica ante la posibilidad de que su aplicación pudiera poner en riesgo la efectividad de los derechos de las personas afectadas por esa norma, con el fin de evitar, en una materia como esa, situaciones de confusión y perjuicios de difícil reparación que podrían eventualmente surgir en relación con las medidas adoptadas o situaciones creadas al amparo de la vigencia recobrada de los preceptos. Así, en los AATC 90/2016, de 26 de abril, FJ 6; 130/2017, de 3 de octubre, FJ 5; 445/2023, de 27 de septiembre, FJ 3, o 127/2024, de 19 de noviembre, FJ 3, la potencial afectación a derechos fundamentales determinó que el Tribunal considerara la existencia de perjuicios especialmente acusados en el caso de que se aplicara y en su día mereciera un juicio de inconstitucionalidad y fuera, por tanto, objeto de una declaración de nulidad.</w:t>
      </w:r>
    </w:p>
    <w:p w14:paraId="28C8F1BA" w14:textId="77777777" w:rsidR="00B35D37" w:rsidRDefault="00B35D37" w:rsidP="00B35D37">
      <w:pPr>
        <w:pStyle w:val="TextoNormal"/>
      </w:pPr>
    </w:p>
    <w:p w14:paraId="4CE29C4B" w14:textId="77777777" w:rsidR="00B35D37" w:rsidRDefault="00B35D37" w:rsidP="00B35D37">
      <w:pPr>
        <w:pStyle w:val="TextoNormal"/>
      </w:pPr>
      <w:r>
        <w:t>El Tribunal aprecia que esta misma situación de riesgo de afectación a derechos concurre en el presente caso. La norma suspendida afecta, mediante la derogación de la Ley del Parlamento de Cantabria 8/2021, a todo un elenco de derechos configuradores del estatuto jurídico de las víctimas de vulneraciones graves de derechos humanos en el ámbito territorial de esa comunidad autónoma, vinculados con el derecho a la verdad, la justicia, la reparación y la garantía de no repetición, que en la demanda se afirman reconocidos no solo en el Derecho internacional de los derechos humanos, que opera como parámetro interpretativo insoslayable de nuestro sistema de derechos y libertadas por imperativo del art. 10.2 CE (STC 145/2024, de 2 de diciembre, FJ 4), sino directamente en el derecho a la integridad moral (art. 15 CE). También se pone de manifiesto, aunque lo sea dentro de una impugnación de carácter competencial, la incidencia de la norma suspendida en aspectos relativos al desarrollo del derecho a la educación (art. 27 CE), como son los referidos a la elaboración del material docente y la inclusión en los planes de formación del profesorado de la actualización científica, didáctica y pedagógica en relación con el tratamiento escolar en esta materia. Por tanto, al igual que en los precedentes citados, el Tribunal estima necesario introducir, en la ponderación que debe realizar, bienes jurídicos de carácter personal, cuya reparabilidad es difícil, lo cual justifica que deba atender a su tutela evitando su lesión irremediable.</w:t>
      </w:r>
    </w:p>
    <w:p w14:paraId="16B484C3" w14:textId="77777777" w:rsidR="00B35D37" w:rsidRDefault="00B35D37" w:rsidP="00B35D37">
      <w:pPr>
        <w:pStyle w:val="TextoNormal"/>
      </w:pPr>
    </w:p>
    <w:p w14:paraId="7C3A6E64" w14:textId="77777777" w:rsidR="00B35D37" w:rsidRDefault="00B35D37" w:rsidP="00B35D37">
      <w:pPr>
        <w:pStyle w:val="TextoNormal"/>
      </w:pPr>
      <w:r>
        <w:t>De ese modo, procede reiterar el criterio adoptado en el ATC 127/2024, de 19 de noviembre, con cita del ATC 90/2016, de 26 de abril, FJ 6, en el sentido de que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 los derechos fundamentales de los afectados […] no deben producirse en una situación de interinidad. Por tanto, desde el punto de vista del juicio de proporcionalidad inherente a la ponderación sobre la procedencia del mantenimiento de una medida de suspensión acordada al amparo del art. 161.2 CE, ante la existencia de perjuicios irreparables e irreversibles para los intereses públicos y particulares no se puede calificar de excesivo o desproporcionado mantener la suspensión en los términos que posteriormente se exponen” (FJ 3).</w:t>
      </w:r>
    </w:p>
    <w:p w14:paraId="58C4B46E" w14:textId="77777777" w:rsidR="00B35D37" w:rsidRDefault="00B35D37" w:rsidP="00B35D37">
      <w:pPr>
        <w:pStyle w:val="TextoNormal"/>
      </w:pPr>
    </w:p>
    <w:p w14:paraId="0FF72920" w14:textId="77777777" w:rsidR="00B35D37" w:rsidRDefault="00B35D37" w:rsidP="00B35D37">
      <w:pPr>
        <w:pStyle w:val="TextoNormal"/>
      </w:pPr>
      <w:r>
        <w:t>(iii) El Tribunal advierte, igualmente, en relación con las alegaciones formuladas por el Parlamento y el Gobierno de Cantabria sobre la presunción de constitucionalidad de la ley y la consiguiente excepcionalidad del mantenimiento de su suspensión, que se trata de una fundamentación que incide, en parte, sobre el fondo de la controversia planteada en el recurso, en tanto que se vincula con la circunstancia de que impediría la libertad de configuración normativa de la comunidad autónoma en una materia de su competencia, que es, precisamente, el objeto del presente recurso.</w:t>
      </w:r>
    </w:p>
    <w:p w14:paraId="21C8348F" w14:textId="77777777" w:rsidR="00B35D37" w:rsidRDefault="00B35D37" w:rsidP="00B35D37">
      <w:pPr>
        <w:pStyle w:val="TextoNormal"/>
      </w:pPr>
    </w:p>
    <w:p w14:paraId="235C56AB" w14:textId="77777777" w:rsidR="00B35D37" w:rsidRDefault="00B35D37" w:rsidP="00B35D37">
      <w:pPr>
        <w:pStyle w:val="TextoNormal"/>
      </w:pPr>
      <w:r>
        <w:t>Tampoco cabe atender a las consideraciones relativas a la inexistente afectación en el estatuto de las víctimas, vinculado a que continuará siendo aplicable en Cantabria por imperativo de los textos internacionales y de la ley básica, o al menoscabo en materia educativa, vinculado a que el contenido impuesto en la normativa estatal básica habrá de darse necesariamente y las previsiones de la legislación autonómica derogada se dirigían a un mero complemento de aquella. A esos efectos, el Tribunal constata que el resultado de la aplicación de la norma suspendida, en tanto que derogatoria de una normativa integral de amplio desarrollo en materia de memoria democrática, tanto desde una perspectiva sustantiva como organizativa, implica una rebaja del nivel de protección de esas víctimas en el ámbito autonómico concernido que, legítimamente o no, lo que se dilucidará en sentencia, quedaría limitado a lo dispuesto en la legislación básica. El carácter irreversible del paso del tiempo en el ámbito del ejercicio de derechos prestacionales como los concernidos en esta normativa, respecto de los que, además, resulta esencial para su efectividad la configuración de estructuras administrativas, determina que los perjuicios a irrogar con el levantamiento de la norma suspendida, con las consecuencia que ello tendría también respecto del desmantelamiento de la actuación y organización administrativa en la materia, deban ser calificados no solo como ciertos y efectivos sino como irreparables o de muy difícil reparación.</w:t>
      </w:r>
    </w:p>
    <w:p w14:paraId="447028F3" w14:textId="77777777" w:rsidR="00B35D37" w:rsidRDefault="00B35D37" w:rsidP="00B35D37">
      <w:pPr>
        <w:pStyle w:val="TextoNormal"/>
      </w:pPr>
    </w:p>
    <w:p w14:paraId="76040568" w14:textId="2BB522F2" w:rsidR="00B35D37" w:rsidRDefault="00B35D37" w:rsidP="00B35D37">
      <w:pPr>
        <w:pStyle w:val="TextoNormal"/>
      </w:pPr>
      <w:r>
        <w:t>Por las razones expuestas, la ponderación de intereses en conflicto, en especial la necesidad de tutela del estatuto de las víctimas de graves vulneraciones de derechos humanos, justifica la procedencia de mantener la suspensión inicialmente acordada.</w:t>
      </w:r>
    </w:p>
    <w:p w14:paraId="2D2B751C" w14:textId="77777777" w:rsidR="00B35D37" w:rsidRDefault="00B35D37" w:rsidP="00B35D37">
      <w:pPr>
        <w:pStyle w:val="TextoNormal"/>
      </w:pPr>
    </w:p>
    <w:p w14:paraId="00B4320B" w14:textId="77777777" w:rsidR="00B35D37" w:rsidRDefault="00B35D37" w:rsidP="00B35D37">
      <w:pPr>
        <w:pStyle w:val="TextoNormal"/>
      </w:pPr>
      <w:r>
        <w:t>Por lo expuesto, el Pleno</w:t>
      </w:r>
    </w:p>
    <w:p w14:paraId="4CBABDF7" w14:textId="33167C88" w:rsidR="00B35D37" w:rsidRDefault="00B35D37" w:rsidP="00B35D37">
      <w:pPr>
        <w:pStyle w:val="TextoNormal"/>
      </w:pPr>
    </w:p>
    <w:p w14:paraId="3EC777A6" w14:textId="77777777" w:rsidR="00B35D37" w:rsidRDefault="00B35D37" w:rsidP="00B35D37">
      <w:pPr>
        <w:pStyle w:val="TextoNormalCentrado"/>
      </w:pPr>
      <w:r>
        <w:t>ACUERDA</w:t>
      </w:r>
    </w:p>
    <w:p w14:paraId="5977F8F7" w14:textId="6A9705D4" w:rsidR="00B35D37" w:rsidRDefault="00B35D37" w:rsidP="00B35D37">
      <w:pPr>
        <w:pStyle w:val="TextoNormalCentrado"/>
      </w:pPr>
    </w:p>
    <w:p w14:paraId="415F3BDE" w14:textId="7D888504" w:rsidR="00B35D37" w:rsidRDefault="00B35D37" w:rsidP="00B35D37">
      <w:pPr>
        <w:pStyle w:val="TextoNormal"/>
      </w:pPr>
      <w:r>
        <w:t>Mantener la suspensión de la Ley del Parlamento de Cantabria 1/2024, de 8 de noviembre, de derogación de la Ley 8/2021, de 17 de noviembre, de memoria histórica y democrática de Cantabria.</w:t>
      </w:r>
    </w:p>
    <w:p w14:paraId="0AAF2F74" w14:textId="77777777" w:rsidR="00B35D37" w:rsidRDefault="00B35D37" w:rsidP="00B35D37">
      <w:pPr>
        <w:pStyle w:val="TextoNormal"/>
      </w:pPr>
    </w:p>
    <w:p w14:paraId="34D3BF92" w14:textId="77777777" w:rsidR="00B35D37" w:rsidRDefault="00B35D37" w:rsidP="00B35D37">
      <w:pPr>
        <w:pStyle w:val="TextoNormal"/>
      </w:pPr>
      <w:r>
        <w:t>Madrid, a diez de junio de dos mil veinticinco.</w:t>
      </w:r>
    </w:p>
    <w:p w14:paraId="352755D0" w14:textId="4113EF65" w:rsidR="00B35D37" w:rsidRDefault="00B35D37" w:rsidP="00B35D37">
      <w:pPr>
        <w:pStyle w:val="ParrafoNormal"/>
      </w:pPr>
    </w:p>
    <w:p w14:paraId="24CB55AC" w14:textId="77777777" w:rsidR="00B35D37" w:rsidRDefault="00B35D37" w:rsidP="00B35D37">
      <w:pPr>
        <w:pStyle w:val="TextoNormalNegritaCentrado"/>
        <w:keepNext/>
      </w:pPr>
      <w:r>
        <w:t>Voto particular que formula el magistrado don Ricardo Enríquez Sancho frente al auto de 10 de junio de 2025, dictado en el recurso de inconstitucionalidad núm. 1014-2025</w:t>
      </w:r>
    </w:p>
    <w:p w14:paraId="6AED4335" w14:textId="2B382AB6" w:rsidR="00B35D37" w:rsidRDefault="00B35D37" w:rsidP="00B35D37">
      <w:pPr>
        <w:pStyle w:val="TextoNormalNegritaCentrado"/>
        <w:keepNext/>
      </w:pPr>
    </w:p>
    <w:p w14:paraId="4354C9DB" w14:textId="77777777" w:rsidR="00B35D37" w:rsidRDefault="00B35D37" w:rsidP="00B35D37">
      <w:pPr>
        <w:pStyle w:val="TextoNormal"/>
      </w:pPr>
      <w:r>
        <w:t>1. De conformidad con el art. 90.2 LOTC, y con el máximo respeto al criterio mayoritario de mis compañeros formulo voto particular contra el auto aprobado por el Pleno de este tribunal el 10 de junio de 2025, por el que se acuerda mantener la suspensión de la Ley del Parlamento de Cantabria 1/2024.</w:t>
      </w:r>
    </w:p>
    <w:p w14:paraId="2FA743BF" w14:textId="77777777" w:rsidR="00B35D37" w:rsidRDefault="00B35D37" w:rsidP="00B35D37">
      <w:pPr>
        <w:pStyle w:val="TextoNormal"/>
      </w:pPr>
    </w:p>
    <w:p w14:paraId="003B488C" w14:textId="77777777" w:rsidR="00B35D37" w:rsidRDefault="00B35D37" w:rsidP="00B35D37">
      <w:pPr>
        <w:pStyle w:val="TextoNormal"/>
      </w:pPr>
      <w:r>
        <w:t>La doctrina constitucional para resolver una medida cautelar de suspensión esta correctamente expuesta en el auto del que discrepo, pero, a mi juicio, no es correcta la aplicación al caso concreto.</w:t>
      </w:r>
    </w:p>
    <w:p w14:paraId="1F004863" w14:textId="77777777" w:rsidR="00B35D37" w:rsidRDefault="00B35D37" w:rsidP="00B35D37">
      <w:pPr>
        <w:pStyle w:val="TextoNormal"/>
      </w:pPr>
    </w:p>
    <w:p w14:paraId="71FDA8A9" w14:textId="77777777" w:rsidR="00B35D37" w:rsidRDefault="00B35D37" w:rsidP="00B35D37">
      <w:pPr>
        <w:pStyle w:val="TextoNormal"/>
      </w:pPr>
      <w:r>
        <w:t>Se trata de una medida de carácter excepcional para cuya adopción el Gobierno debe aportar todas las razones necesarias para que su adopción resulte pertinente y, según mi criterio, el Gobierno no ha dado cumplimiento a esta carga.</w:t>
      </w:r>
    </w:p>
    <w:p w14:paraId="43B2C3DA" w14:textId="77777777" w:rsidR="00B35D37" w:rsidRDefault="00B35D37" w:rsidP="00B35D37">
      <w:pPr>
        <w:pStyle w:val="TextoNormal"/>
      </w:pPr>
    </w:p>
    <w:p w14:paraId="7A2926FC" w14:textId="77777777" w:rsidR="00B35D37" w:rsidRDefault="00B35D37" w:rsidP="00B35D37">
      <w:pPr>
        <w:pStyle w:val="TextoNormal"/>
      </w:pPr>
      <w:r>
        <w:t>En el fundamento jurídico 1, el auto sintetiza las razones que según el Gobierno justifican el mantenimiento, que son, por un lado, razones sustantivas y, de otro, competenciales.</w:t>
      </w:r>
    </w:p>
    <w:p w14:paraId="2717F078" w14:textId="77777777" w:rsidR="00B35D37" w:rsidRDefault="00B35D37" w:rsidP="00B35D37">
      <w:pPr>
        <w:pStyle w:val="TextoNormal"/>
      </w:pPr>
    </w:p>
    <w:p w14:paraId="7336D330" w14:textId="77777777" w:rsidR="00B35D37" w:rsidRDefault="00B35D37" w:rsidP="00B35D37">
      <w:pPr>
        <w:pStyle w:val="TextoNormal"/>
      </w:pPr>
      <w:r>
        <w:t>Sin embargo, esas razones sustantivas, que corresponden a los motivos de fondo esgrimidos en el recurso contra la Ley del Parlamento de Cantabria 1/2024, no son los que aparecen en los motivos que el Gobierno ha desarrollado para justificar el mantenimiento de la suspensión, que son a los que hay que atender para decidir este incidente.</w:t>
      </w:r>
    </w:p>
    <w:p w14:paraId="4E855276" w14:textId="77777777" w:rsidR="00B35D37" w:rsidRDefault="00B35D37" w:rsidP="00B35D37">
      <w:pPr>
        <w:pStyle w:val="TextoNormal"/>
      </w:pPr>
    </w:p>
    <w:p w14:paraId="491223DD" w14:textId="77777777" w:rsidR="00B35D37" w:rsidRDefault="00B35D37" w:rsidP="00B35D37">
      <w:pPr>
        <w:pStyle w:val="TextoNormal"/>
      </w:pPr>
      <w:r>
        <w:t>En cuanto a las competenciales se cita la vulneración de los principios de colaboración y cooperación del art. 149.1.1 y 149.1 30 CE, que imposibilitaría la aplicación de la normativa estatal en relación con la materia educativa establecida en el art. 44 de la Ley 20/2022.</w:t>
      </w:r>
    </w:p>
    <w:p w14:paraId="2B6D2A09" w14:textId="77777777" w:rsidR="00B35D37" w:rsidRDefault="00B35D37" w:rsidP="00B35D37">
      <w:pPr>
        <w:pStyle w:val="TextoNormal"/>
      </w:pPr>
    </w:p>
    <w:p w14:paraId="7E27BD64" w14:textId="77777777" w:rsidR="00B35D37" w:rsidRDefault="00B35D37" w:rsidP="00B35D37">
      <w:pPr>
        <w:pStyle w:val="TextoNormal"/>
      </w:pPr>
      <w:r>
        <w:t>2. Antes de seguir adelante, conviene despejar una grave confusión en que incurre la ponencia al tratar de los deberes de colaboración y subsidiariedad a que alude el art. 14.1 de la Ley 20/2022.</w:t>
      </w:r>
    </w:p>
    <w:p w14:paraId="7FB2C3B4" w14:textId="77777777" w:rsidR="00B35D37" w:rsidRDefault="00B35D37" w:rsidP="00B35D37">
      <w:pPr>
        <w:pStyle w:val="TextoNormal"/>
      </w:pPr>
    </w:p>
    <w:p w14:paraId="5E4FF9E3" w14:textId="77777777" w:rsidR="00B35D37" w:rsidRDefault="00B35D37" w:rsidP="00B35D37">
      <w:pPr>
        <w:pStyle w:val="TextoNormal"/>
      </w:pPr>
      <w:r>
        <w:t>La relación entre la legislación estatal básica y la autonómica de desarrollo no se mueve dentro del principio de colaboración entre ambos tipos de administraciones. En el sistema de competencias compartidas a que responde el art. 149.1 CE, las bases fijadas por el Estado delimitan un marco dentro del cual las comunidades autónomas pueden ejercer sus competencias. Siempre que quieran hacerlo. Y puede haber situaciones en que las comunidades autónomas no quieran hacerlo</w:t>
      </w:r>
    </w:p>
    <w:p w14:paraId="53055737" w14:textId="77777777" w:rsidR="00B35D37" w:rsidRDefault="00B35D37" w:rsidP="00B35D37">
      <w:pPr>
        <w:pStyle w:val="TextoNormal"/>
      </w:pPr>
    </w:p>
    <w:p w14:paraId="6E592432" w14:textId="77777777" w:rsidR="00B35D37" w:rsidRDefault="00B35D37" w:rsidP="00B35D37">
      <w:pPr>
        <w:pStyle w:val="TextoNormal"/>
      </w:pPr>
      <w:r>
        <w:t>3. El principio de colaboración que invoca el art. 14 de la Ley 20/2022 no remite a una actividad legislativa de las comunidades autónomas como evidencia el hecho de que haya varias comunidades autónomas que no han dictado legislación alguna en el marco de la Ley 20/2022, sin que por ello padezca la vigencia de esta ley. Remite a una actividad ejecutiva en la que las comunidades autónomas deben cumplir las prescripciones de la Ley 20/2022 y atenerse a las consecuencias en caso de no hacerlo. Pero no tienen ninguna obligación de legislar en el marco de la Ley 20/2022, por lo que difícilmente esta ley puede resultar afectada por la derogación de otra, la Ley del Parlamento de Cantabria 8/2021, dictada en el marco de la Ley 52/2007, de 26 de diciembre, por la que se establecían medidas en favor de quienes padecieron persecución o violencia durante la Guerra Civil española, que no se corresponden con exactitud a la que establece la Ley 20/2022.</w:t>
      </w:r>
    </w:p>
    <w:p w14:paraId="4B8FD4CB" w14:textId="77777777" w:rsidR="00B35D37" w:rsidRDefault="00B35D37" w:rsidP="00B35D37">
      <w:pPr>
        <w:pStyle w:val="TextoNormal"/>
      </w:pPr>
    </w:p>
    <w:p w14:paraId="0D85473F" w14:textId="77777777" w:rsidR="00B35D37" w:rsidRDefault="00B35D37" w:rsidP="00B35D37">
      <w:pPr>
        <w:pStyle w:val="TextoNormal"/>
      </w:pPr>
      <w:r>
        <w:t>4. Alega en primer lugar el presidente del Gobierno que, tras la derogación de la Ley del Parlamento de Cantabria 8/2021, las actuaciones de investigación, localización o exhumación han sido nulas, pero esta consecuencia no puede imputarse a la derogación de aquella ley, pues con arreglo al art. 16 de la Ley 20/2022 corresponde a la administración general del Estado la búsqueda de las personas desaparecidas durante la Guerra Civil y la Dictadura, así como la tarea de elaborar planes plurianuales de búsqueda, localización, exhumación e identificación de los mismos. El propio art. 18.2 de la Ley 20/2022 prevé que en defecto de normativa autonómica el procedimiento para llevar a cabo las actividades de localización, exhumación e identificación de personas desaparecidas se incoara de oficio por la administración general del Estado.</w:t>
      </w:r>
    </w:p>
    <w:p w14:paraId="36DE3C59" w14:textId="77777777" w:rsidR="00B35D37" w:rsidRDefault="00B35D37" w:rsidP="00B35D37">
      <w:pPr>
        <w:pStyle w:val="TextoNormal"/>
      </w:pPr>
    </w:p>
    <w:p w14:paraId="461BE8CF" w14:textId="77777777" w:rsidR="00B35D37" w:rsidRDefault="00B35D37" w:rsidP="00B35D37">
      <w:pPr>
        <w:pStyle w:val="TextoNormal"/>
      </w:pPr>
      <w:r>
        <w:t>Del mismo modo, el art. 17 de la Ley 20/2022 atribuye a la administración general del Estado la competencia para confeccionar un mapa integrado de localización de personas desaparecidas que comprenda todo el territorio español, y la obligación que se impone a las comunidades autónomas no es legislativa sino la de remitir los datos necesarios para elaborar ese mapa.</w:t>
      </w:r>
    </w:p>
    <w:p w14:paraId="3C774EBA" w14:textId="77777777" w:rsidR="00B35D37" w:rsidRDefault="00B35D37" w:rsidP="00B35D37">
      <w:pPr>
        <w:pStyle w:val="TextoNormal"/>
      </w:pPr>
    </w:p>
    <w:p w14:paraId="1A50899C" w14:textId="77777777" w:rsidR="00B35D37" w:rsidRDefault="00B35D37" w:rsidP="00B35D37">
      <w:pPr>
        <w:pStyle w:val="TextoNormal"/>
      </w:pPr>
      <w:r>
        <w:t>Tampoco la elaboración de un catálogo de símbolos y elementos contrarios a la memoria democrática requiere de una actividad legislativa de las comunidades autónomas, pues su confección se atribuye por el art. 38.1 de la Ley 20/2022 a la administración general del Estado y la colaboración que se precisa del resto de las administraciones públicas es de naturaleza ejecutiva, no legislativa.</w:t>
      </w:r>
    </w:p>
    <w:p w14:paraId="28EAC871" w14:textId="77777777" w:rsidR="00B35D37" w:rsidRDefault="00B35D37" w:rsidP="00B35D37">
      <w:pPr>
        <w:pStyle w:val="TextoNormal"/>
      </w:pPr>
    </w:p>
    <w:p w14:paraId="14184D96" w14:textId="77777777" w:rsidR="00B35D37" w:rsidRDefault="00B35D37" w:rsidP="00B35D37">
      <w:pPr>
        <w:pStyle w:val="TextoNormal"/>
      </w:pPr>
      <w:r>
        <w:t>Como tampoco lo es, la obligación que el art. 44.2 de la Ley 20/2022 impone a las administraciones educativas de incluir en los planes de formación inicial y permanente del profesorado materias relativas a la memora democrática, pues ni tales planes tienen naturaleza legislativa ni tal obligación se ve menoscabada por la derogación de la Ley del Parlamento de Cantabria 8/2021.</w:t>
      </w:r>
    </w:p>
    <w:p w14:paraId="5BF379FD" w14:textId="77777777" w:rsidR="00B35D37" w:rsidRDefault="00B35D37" w:rsidP="00B35D37">
      <w:pPr>
        <w:pStyle w:val="TextoNormal"/>
      </w:pPr>
    </w:p>
    <w:p w14:paraId="5C3D8A2F" w14:textId="77777777" w:rsidR="00B35D37" w:rsidRDefault="00B35D37" w:rsidP="00B35D37">
      <w:pPr>
        <w:pStyle w:val="TextoNormal"/>
      </w:pPr>
      <w:r>
        <w:t>En definitiva, ninguno de los efectos perniciosos que el auto aprobado por la mayoría del Pleno asocia a la Ley del Parlamento de Cantabria 1/2024, pueden imputarse a esa ley por lo que, según expuse en la deliberación que tuvo lugar en el Pleno, debió haberse acordado la medida de alzamiento de la suspensión adoptada por imperativo del art. 161.2 CE.</w:t>
      </w:r>
    </w:p>
    <w:p w14:paraId="3718E94F" w14:textId="77777777" w:rsidR="00B35D37" w:rsidRDefault="00B35D37" w:rsidP="00B35D37">
      <w:pPr>
        <w:pStyle w:val="TextoNormal"/>
      </w:pPr>
    </w:p>
    <w:p w14:paraId="1A0709BB" w14:textId="77777777" w:rsidR="00B35D37" w:rsidRDefault="00B35D37" w:rsidP="00B35D37">
      <w:pPr>
        <w:pStyle w:val="TextoNormal"/>
      </w:pPr>
      <w:r>
        <w:t>Y en tal sentido emito este voto particular.</w:t>
      </w:r>
    </w:p>
    <w:p w14:paraId="5ED6194E" w14:textId="77777777" w:rsidR="00B35D37" w:rsidRDefault="00B35D37" w:rsidP="00B35D37">
      <w:pPr>
        <w:pStyle w:val="TextoNormal"/>
      </w:pPr>
    </w:p>
    <w:p w14:paraId="70DEE233" w14:textId="56959DE6" w:rsidR="00B35D37" w:rsidRDefault="00B35D37" w:rsidP="00B35D37">
      <w:pPr>
        <w:pStyle w:val="TextoNormal"/>
      </w:pPr>
      <w:r>
        <w:t>Madrid, a once de junio de dos mil veinticinco.</w:t>
      </w:r>
    </w:p>
    <w:p w14:paraId="18B8B811" w14:textId="77777777" w:rsidR="00B35D37" w:rsidRDefault="00B35D37" w:rsidP="00B35D37">
      <w:pPr>
        <w:pStyle w:val="TextoNormal"/>
      </w:pPr>
    </w:p>
    <w:p w14:paraId="13C46C7B" w14:textId="77777777" w:rsidR="00B35D37" w:rsidRDefault="00B35D37" w:rsidP="00B35D37">
      <w:pPr>
        <w:pStyle w:val="TextoNormalNegritaCentrado"/>
        <w:keepNext/>
      </w:pPr>
      <w:r>
        <w:t>Voto particular que formulan los magistrados don Enrique Arnaldo Alcubilla y doña Concepción Espejel Jorquera al auto dictado por el Pleno del Tribunal en el recurso de inconstitucionalidad núm. 1014-2025</w:t>
      </w:r>
    </w:p>
    <w:p w14:paraId="46F8102A" w14:textId="3590EC42" w:rsidR="00B35D37" w:rsidRDefault="00B35D37" w:rsidP="00B35D37">
      <w:pPr>
        <w:pStyle w:val="TextoNormalNegritaCentrado"/>
        <w:keepNext/>
      </w:pPr>
    </w:p>
    <w:p w14:paraId="51E3257A" w14:textId="77777777" w:rsidR="00B35D37" w:rsidRDefault="00B35D37" w:rsidP="00B35D37">
      <w:pPr>
        <w:pStyle w:val="TextoNormal"/>
      </w:pPr>
      <w:r>
        <w:t>En ejercicio de la facultad que nos confiere el art. 90.2 LOTC y con respeto a la opinión de la mayoría reflejada en el auto por el que se acuerda el mantenimiento de la suspensión de la Ley del Parlamento de Cantabria 1/2024, formulamos el presente voto particular, dejando constancia de los fundamentos de nuestra posición discrepante con el fallo y con los razonamientos que lo sustentan, de acuerdo con los argumentos defendidos en la deliberación del Pleno y que expresamos a continuación.</w:t>
      </w:r>
    </w:p>
    <w:p w14:paraId="2EA9D6ED" w14:textId="77777777" w:rsidR="00B35D37" w:rsidRDefault="00B35D37" w:rsidP="00B35D37">
      <w:pPr>
        <w:pStyle w:val="TextoNormal"/>
      </w:pPr>
    </w:p>
    <w:p w14:paraId="76229143" w14:textId="77777777" w:rsidR="00B35D37" w:rsidRDefault="00B35D37" w:rsidP="00B35D37">
      <w:pPr>
        <w:pStyle w:val="TextoNormal"/>
      </w:pPr>
      <w:r>
        <w:t>1. Como es de sobra conocido, la suspensión prevista por el art. 161.2 CE se ha configurado como una potestad del Gobierno estrictamente tasada a los supuestos expresamente previstos por la Ley Orgánica del Tribunal Constitucional y que tiene un carácter excepcional. La razón de la excepcionalidad no es otra que la presunción de legitimidad de la que se benefician las normas que emanan de poderes legítimos, como es el caso de los parlamentos autonómicos. Esta presunción, si bien puede ser cuestionada por aquellos legitimados para interponer el recurso de inconstitucionalidad, entre los que está el presidente del Gobierno, obliga a recordar la excepcionalidad de la posibilidad de suspender su vigencia y aplicación. La admisión a trámite de un recurso de inconstitucionalidad interpuesto por el presidente del Gobierno contra una ley o norma con rango de ley de una comunidad autónoma, únicamente producirá la suspensión automática de la vigencia o aplicación de dicha norma autonómica cuando en la demanda se hubiere solicitado expresamente la suspensión, con invocación expresa del art. 161.2 CE, en relación con el art. 30 LOTC, pero será solo por el limitado plazo de cinco meses, que es el tiempo prudencial que fijó la Constitución para que el Tribunal Constitucional dictara la correspondiente sentencia.</w:t>
      </w:r>
    </w:p>
    <w:p w14:paraId="5401D7AC" w14:textId="77777777" w:rsidR="00B35D37" w:rsidRDefault="00B35D37" w:rsidP="00B35D37">
      <w:pPr>
        <w:pStyle w:val="TextoNormal"/>
      </w:pPr>
    </w:p>
    <w:p w14:paraId="7FDB72E5" w14:textId="77777777" w:rsidR="00B35D37" w:rsidRDefault="00B35D37" w:rsidP="00B35D37">
      <w:pPr>
        <w:pStyle w:val="TextoNormal"/>
      </w:pPr>
      <w:r>
        <w:t>Si dicha invocación se produce, al Tribunal no le cabe sino acordar la suspensión cuando adopte la decisión de admitir a trámite la impugnación, sin que, en ese momento procesal, pueda limitar los efectos de la suspensión solicitada o hacer valoración alguna acerca de su procedencia o improcedencia. Consecuencia del carácter automático que este mecanismo tiene en el momento de la interposición del recurso, conforme al diseño constitucional y de la Ley Orgánica del Tribunal Constitucional, es que la disputa que se traba en torno a esta medida de suspensión no es sobre la decisión inicial acerca de esa suspensión de la ley autonómica, que es debida para el Tribunal, sino respecto a la decisión acerca de su mantenimiento o levantamiento, decisión que el Tribunal debe adoptar antes de que transcurra el plazo de cinco meses al que alude el art. 161.2 CE.</w:t>
      </w:r>
    </w:p>
    <w:p w14:paraId="743C3548" w14:textId="77777777" w:rsidR="00B35D37" w:rsidRDefault="00B35D37" w:rsidP="00B35D37">
      <w:pPr>
        <w:pStyle w:val="TextoNormal"/>
      </w:pPr>
    </w:p>
    <w:p w14:paraId="46444075" w14:textId="77777777" w:rsidR="00B35D37" w:rsidRDefault="00B35D37" w:rsidP="00B35D37">
      <w:pPr>
        <w:pStyle w:val="TextoNormal"/>
      </w:pPr>
      <w:r>
        <w:t>Sirvan estos primeros párrafos para recordar someramente la naturaleza de este incidente cautelar y para poner de manifiesto que no es esta la primera vez en la que el Pleno de este tribunal hubiera debido pronunciarse sobre esta cuestión respecto a una norma similar, con el mismo alcance derogatorio de una ley autonómica en esta materia que se ha venido a llamar memorialística. Cuando correspondió hacerlo sobre el mantenimiento o levantamiento de la suspensión de la Ley 1/2024, de 15 de febrero, de derogación de la Ley 14/2018, de 8 de noviembre, de memoria democrática de Aragón, objeto del recurso de inconstitucionalidad 3951-2024, interpuesto por el presidente del Gobierno y en el que se invocó el art. 161.2 CE en relación con el art. 30 LOTC, a los efectos de que se produjera el mantenimiento de la suspensión de la aplicación de la norma impugnada, el Pleno —en sesión celebrada el 5 de noviembre de 2024, cuando ya habían transcurrido más de cinco meses desde la suspensión acordada— no llegó a pronunciarse.</w:t>
      </w:r>
    </w:p>
    <w:p w14:paraId="46BC792F" w14:textId="77777777" w:rsidR="00B35D37" w:rsidRDefault="00B35D37" w:rsidP="00B35D37">
      <w:pPr>
        <w:pStyle w:val="TextoNormal"/>
      </w:pPr>
    </w:p>
    <w:p w14:paraId="2F4DA5C6" w14:textId="77777777" w:rsidR="00B35D37" w:rsidRDefault="00B35D37" w:rsidP="00B35D37">
      <w:pPr>
        <w:pStyle w:val="TextoNormal"/>
      </w:pPr>
      <w:r>
        <w:t>2. En todo caso, el auto del que discrepamos supone la primera aproximación del Tribunal a un incidente cautelar que tiene por objeto decidir sobre la vigencia y aplicación de una ley de derogación de otra ley autonómica en una materia, la memoria histórica, que también es regulada por el legislador estatal. Para resolver el incidente de suspensión, el auto parte de la doctrina constitucional en la materia, conforme a la cual es a quien pide el mantenimiento de la suspensión, esto es, a la representación procesal del Estado, sobre la que recae la carga de alegar acerca de los perjuicios que ocasionaría la aplicación de la norma autonómica recurrida. Al Tribunal le corresponde juzgar si está debidamente fundada, pues en caso contrario, lo que ha de prevalecer es la presunción de constitucionalidad de la norma que ha sido impugnada en el recurso de inconstitucionalidad.</w:t>
      </w:r>
    </w:p>
    <w:p w14:paraId="5BF12BED" w14:textId="77777777" w:rsidR="00B35D37" w:rsidRDefault="00B35D37" w:rsidP="00B35D37">
      <w:pPr>
        <w:pStyle w:val="TextoNormal"/>
      </w:pPr>
    </w:p>
    <w:p w14:paraId="794466B8" w14:textId="77777777" w:rsidR="00B35D37" w:rsidRDefault="00B35D37" w:rsidP="00B35D37">
      <w:pPr>
        <w:pStyle w:val="TextoNormal"/>
      </w:pPr>
      <w:r>
        <w:t>3. Lamentablemente, el único extremo en el que coincidimos con el razonamiento de la mayoría es en la adecuada reproducción de la doctrina sobre el mantenimiento o levantamiento de la suspensión de la ley autonómica, pues lo que se afirma, ya en el fundamento jurídico 3, como aplicación de la doctrina constitucional al presente incidente no es tal, con lo que resulta a nuestro juicio diáfano que la decisión mayoritaria no es consecuente con la doctrina constitucional que antes se ha citado.</w:t>
      </w:r>
    </w:p>
    <w:p w14:paraId="4DF0C312" w14:textId="77777777" w:rsidR="00B35D37" w:rsidRDefault="00B35D37" w:rsidP="00B35D37">
      <w:pPr>
        <w:pStyle w:val="TextoNormal"/>
      </w:pPr>
    </w:p>
    <w:p w14:paraId="3D063A8B" w14:textId="77777777" w:rsidR="00B35D37" w:rsidRDefault="00B35D37" w:rsidP="00B35D37">
      <w:pPr>
        <w:pStyle w:val="TextoNormal"/>
      </w:pPr>
      <w:r>
        <w:t>El auto se limita a trasladar al caso o, más bien, a reproducir sin mayor razonamiento, la doctrina constitucional de la que deriva la suspensión de la vigencia de una norma autonómica ante la posibilidad de que su aplicación pudiera poner en riesgo la efectividad de los derechos fundamentales de las personas afectadas [AATC 90/2016 (derecho al honor y a la presunción de inocencia); 130/2017 (derechos fundamentales al honor, la tutela judicial efectiva y la presunción de inocencia); 445/2023 (derechos a la integridad física y moral en conexión con el reconocimiento de los principios de dignidad y libre desarrollo de la personalidad), y 127/2024 (derecho a la tutela judicial efectiva)]. Para el auto, en esos casos que se acaban de citar “la potencial afectación a derechos fundamentales determinó que el Tribunal considerara la existencia de perjuicios especialmente acusados” y pretende sostener que lo mismo sucede aquí. Pero lo hace de forma mecánica, con base a meras conjeturas que quien pide la suspensión no acredita y sin tomar en consideración que no estamos aquí, como el propio auto reconoce, en una situación en la que se afecte a derechos fundamentales. Con ello, la excepcionalidad de la suspensión de una ley autonómica se normaliza sin razones.</w:t>
      </w:r>
    </w:p>
    <w:p w14:paraId="3D6575E2" w14:textId="77777777" w:rsidR="00B35D37" w:rsidRDefault="00B35D37" w:rsidP="00B35D37">
      <w:pPr>
        <w:pStyle w:val="TextoNormal"/>
      </w:pPr>
    </w:p>
    <w:p w14:paraId="370AAEA9" w14:textId="77777777" w:rsidR="00B35D37" w:rsidRDefault="00B35D37" w:rsidP="00B35D37">
      <w:pPr>
        <w:pStyle w:val="TextoNormal"/>
      </w:pPr>
      <w:r>
        <w:t>El auto del que discrepamos afirma que esta misma situación de riesgo de afectación a derechos fundamentales concurre aquí. Sin embargo, resulta que con esa forma de razonar está directamente desconociendo la doctrina constitucional que dice aplicar, pues, en nuestra opinión, no tiene en cuenta el modo en que la meritada doctrina pudiera proyectarse sobre el caso, teniendo en cuenta tanto el objeto de la ley autonómica como los derechos que, en su caso, pudieran verse afectados. Aparca y se aparta de una consolidada doctrina para concluir estimando la pretensión de la Presidencia del Gobierno de mantener suspendida una ley autonómica de derogación de otra anterior, supuesto sin precedentes en la historia de este tribunal.</w:t>
      </w:r>
    </w:p>
    <w:p w14:paraId="0FB6F83F" w14:textId="77777777" w:rsidR="00B35D37" w:rsidRDefault="00B35D37" w:rsidP="00B35D37">
      <w:pPr>
        <w:pStyle w:val="TextoNormal"/>
      </w:pPr>
    </w:p>
    <w:p w14:paraId="3683DE07" w14:textId="77777777" w:rsidR="00B35D37" w:rsidRDefault="00B35D37" w:rsidP="00B35D37">
      <w:pPr>
        <w:pStyle w:val="TextoNormal"/>
      </w:pPr>
      <w:r>
        <w:t>4. No se hace propiamente, como resultaría obligado, una ponderación de los bienes y derechos afectados por el levantamiento de la suspensión de la norma. En esa ponderación, que se debe desvincular plenamente de la decisión sobre la cuestión de fondo, es necesario que el Gobierno, a quien se debe la iniciativa, no solo invoque la existencia de aquellos perjuicios, sino que ha de demostrar o, al menos, razonar consistentemente su procedencia y la imposible o difícil reparación de los mismos, ya que el punto de partida de la ponderación propia de este incidente es la existencia de una presunción de constitucionalidad a favor de las normas o actos objeto de conflicto.</w:t>
      </w:r>
    </w:p>
    <w:p w14:paraId="48540D70" w14:textId="77777777" w:rsidR="00B35D37" w:rsidRDefault="00B35D37" w:rsidP="00B35D37">
      <w:pPr>
        <w:pStyle w:val="TextoNormal"/>
      </w:pPr>
    </w:p>
    <w:p w14:paraId="0DA488A2" w14:textId="77777777" w:rsidR="00B35D37" w:rsidRDefault="00B35D37" w:rsidP="00B35D37">
      <w:pPr>
        <w:pStyle w:val="TextoNormal"/>
      </w:pPr>
      <w:r>
        <w:t>En este caso el abogado del Estado alegó la doble consideración del daño irreparable que implicaría el levantamiento, de un lado, al cumplimiento del deber de colaboración autonómico con la normativa estatal y, de otro, a la afectación a los derechos de las víctimas de graves vulneraciones de derechos humanos, cuyo estatuto jurídico aparecía desarrollado en la legislación derogada por la Ley del Parlamento de Cantabria 1/2024 y que se vincula —en la demanda, no en las alegaciones del presente incidente— con el derecho a la verdad, la justicia, la reparación y la garantía de no repetición, y con el derecho a la integridad moral (art. 15 CE).</w:t>
      </w:r>
    </w:p>
    <w:p w14:paraId="1B29C2F7" w14:textId="77777777" w:rsidR="00B35D37" w:rsidRDefault="00B35D37" w:rsidP="00B35D37">
      <w:pPr>
        <w:pStyle w:val="TextoNormal"/>
      </w:pPr>
    </w:p>
    <w:p w14:paraId="18B11B56" w14:textId="77777777" w:rsidR="00B35D37" w:rsidRDefault="00B35D37" w:rsidP="00B35D37">
      <w:pPr>
        <w:pStyle w:val="TextoNormal"/>
      </w:pPr>
      <w:r>
        <w:t>El primer elemento, el relativo al incumplimiento del deber de colaboración, no se valora en el auto del que discrepamos, y no resulta extraño porque es una alegación tan inconsecuente como vacía. Y lo que el auto hace respecto al segundo de los perjuicios alegados, la supuesta traslación al caso de la afectación a derechos fundamentales que se tuvo en cuenta en decisiones anteriores, difícilmente puede ser calificada como una ponderación, más aún cuando se reconoce que no estamos ante derechos fundamentales sino ante los que define como prestacionales. No es, pues, una ponderación lo que hace el auto. Es otra cosa.</w:t>
      </w:r>
    </w:p>
    <w:p w14:paraId="08141CC3" w14:textId="77777777" w:rsidR="00B35D37" w:rsidRDefault="00B35D37" w:rsidP="00B35D37">
      <w:pPr>
        <w:pStyle w:val="TextoNormal"/>
      </w:pPr>
    </w:p>
    <w:p w14:paraId="4AB26E90" w14:textId="77777777" w:rsidR="00B35D37" w:rsidRDefault="00B35D37" w:rsidP="00B35D37">
      <w:pPr>
        <w:pStyle w:val="TextoNormal"/>
      </w:pPr>
      <w:r>
        <w:t>5. En realidad, lo que se hace es sustituir la debida ponderación por la construcción de una premisa de partida que le sirve para intentar fundamentar su decisión. Premisa que, en este momento, no puede considerarse tal, ya que no encuentra sustento en la doctrina constitucional y es, por tanto, falsa. Esa premisa es la supuesta afectación que la vigencia de la ley impugnada, con la consiguiente derogación de la legislación anteriormente vigente, produce sobre “la efectividad de los derechos de las personas afectadas por esa norma”. Tal afectación no concurre en este caso o, al menos, no se demuestra con la consistencia necesaria para justificar el excepcional acuerdo de mantener la suspensión de la Ley del Parlamento de Cantabria 1/2024 más allá del plazo inicial (y automático) de cinco meses.</w:t>
      </w:r>
    </w:p>
    <w:p w14:paraId="0975B878" w14:textId="77777777" w:rsidR="00B35D37" w:rsidRDefault="00B35D37" w:rsidP="00B35D37">
      <w:pPr>
        <w:pStyle w:val="TextoNormal"/>
      </w:pPr>
    </w:p>
    <w:p w14:paraId="212132F7" w14:textId="77777777" w:rsidR="00B35D37" w:rsidRDefault="00B35D37" w:rsidP="00B35D37">
      <w:pPr>
        <w:pStyle w:val="TextoNormal"/>
      </w:pPr>
      <w:r>
        <w:t>Y eso por dos razones:</w:t>
      </w:r>
    </w:p>
    <w:p w14:paraId="30E0D913" w14:textId="77777777" w:rsidR="00B35D37" w:rsidRDefault="00B35D37" w:rsidP="00B35D37">
      <w:pPr>
        <w:pStyle w:val="TextoNormal"/>
      </w:pPr>
    </w:p>
    <w:p w14:paraId="1484DE9C" w14:textId="77777777" w:rsidR="00B35D37" w:rsidRDefault="00B35D37" w:rsidP="00B35D37">
      <w:pPr>
        <w:pStyle w:val="TextoNormal"/>
      </w:pPr>
      <w:r>
        <w:t>(i) La primera es que el auto hace una construcción que remite directamente al fondo del asunto. Esa construcción es la supuesta afectación de la Ley del Parlamento de Cantabria 1/2024 a los denominados derechos memorialísticos (que menciona, pero no define) —que desde luego no están en ningún apartado ni inciso de la Constitución que es a la que este tribunal se debe— y también la incidencia de la norma en aspectos relacionados con el derecho a la educación como perjuicios susceptibles de ponderación. Eso supone mucho más que mirar de soslayo el fondo del asunto. Es directamente adentrarse en el fondo del asunto discutido en el recurso, lo que está vedado en el trámite cautelar en que nos encontramos.</w:t>
      </w:r>
    </w:p>
    <w:p w14:paraId="2B71B20B" w14:textId="77777777" w:rsidR="00B35D37" w:rsidRDefault="00B35D37" w:rsidP="00B35D37">
      <w:pPr>
        <w:pStyle w:val="TextoNormal"/>
      </w:pPr>
    </w:p>
    <w:p w14:paraId="6E6A65E6" w14:textId="77777777" w:rsidR="00B35D37" w:rsidRDefault="00B35D37" w:rsidP="00B35D37">
      <w:pPr>
        <w:pStyle w:val="TextoNormal"/>
      </w:pPr>
      <w:r>
        <w:t>Y, además, como tal perjuicio susceptible de ponderación tiene dos problemas.</w:t>
      </w:r>
    </w:p>
    <w:p w14:paraId="1D2FCEA0" w14:textId="77777777" w:rsidR="00B35D37" w:rsidRDefault="00B35D37" w:rsidP="00B35D37">
      <w:pPr>
        <w:pStyle w:val="TextoNormal"/>
      </w:pPr>
    </w:p>
    <w:p w14:paraId="12658C4C" w14:textId="77777777" w:rsidR="00B35D37" w:rsidRDefault="00B35D37" w:rsidP="00B35D37">
      <w:pPr>
        <w:pStyle w:val="TextoNormal"/>
      </w:pPr>
      <w:r>
        <w:t>El primero es el ya mencionado, que tales derechos “de una normativa integral de amplio desarrollo en materia de memoria democrática”, como el auto los califica, no están reconocidos por la doctrina constitucional y ni mucho menos vinculados a o calificados como derechos fundamentales, a los que, como ya se ha comprobado, sí se referían las normas objeto de las anteriores decisiones del Tribunal que pretenden emularse aquí. De hecho, el razonamiento del auto aborda directamente el fondo del asunto y casi lo prejuzga, al asumir como propios planteamientos de la demanda como es la supuesta vinculación entre los derechos reconocidos en la norma derogada con el art. 15 CE, cosa que afirma el recurrente, no este tribunal. Además, a diferencia de otros casos en los que se aplicó este criterio que ahora tan acríticamente se traslada al presente caso, no se sabe quiénes serían sus titulares. Tampoco puede dejar de advertirse que, en el desarrollo de su argumento, el auto cambia el fundamento de la suspensión que pasa de ser, en el mismo párrafo, la situación de riesgo de afectación a derechos, que se quieren equiparar a fundamentales a estos efectos (insistimos en que no se sabe cuáles son y quiénes son sus titulares) a la tutela de “bienes jurídicos de carácter personal, cuya reparabilidad es difícil”, lo cual es, conceptualmente, una cosa bien diferente. En suma, resulta de todo ello que la decisión adoptada, lejos de estar basada en la doctrina constitucional, carece, en realidad de todo sustento en ella, y se desliza por el grave camino que no debería sobrepasarse en vía cautelar de anticipar un juicio sobre el fondo del asunto.</w:t>
      </w:r>
    </w:p>
    <w:p w14:paraId="64CFDEF9" w14:textId="77777777" w:rsidR="00B35D37" w:rsidRDefault="00B35D37" w:rsidP="00B35D37">
      <w:pPr>
        <w:pStyle w:val="TextoNormal"/>
      </w:pPr>
    </w:p>
    <w:p w14:paraId="5480A1E5" w14:textId="77777777" w:rsidR="00B35D37" w:rsidRDefault="00B35D37" w:rsidP="00B35D37">
      <w:pPr>
        <w:pStyle w:val="TextoNormal"/>
      </w:pPr>
      <w:r>
        <w:t>(ii) En segundo lugar, esa falta de ponderación pretende suplirse con una especie de argumentación construida sobre dos elementos claramente insuficientes para destruir, en un incidente cautelar, la presunción de constitucionalidad de la ley en virtud de su origen.</w:t>
      </w:r>
    </w:p>
    <w:p w14:paraId="6A76AC30" w14:textId="77777777" w:rsidR="00B35D37" w:rsidRDefault="00B35D37" w:rsidP="00B35D37">
      <w:pPr>
        <w:pStyle w:val="TextoNormal"/>
      </w:pPr>
    </w:p>
    <w:p w14:paraId="730CF13B" w14:textId="77777777" w:rsidR="00B35D37" w:rsidRDefault="00B35D37" w:rsidP="00B35D37">
      <w:pPr>
        <w:pStyle w:val="TextoNormal"/>
      </w:pPr>
      <w:r>
        <w:t>El primer elemento es el que se acaba de mencionar. La suspensión se mantiene con fundamento en consideraciones que no tienen ningún apoyo en la doctrina constitucional y, peor aún, prejuzgan el fondo del asunto, en cuanto que el auto da claramente a entender que el sistema de protección que ahora deroga el legislador cántabro se ajustaba a la norma estatal y esa “normativa integral de amplio desarrollo en materia de memoria democrática” no puede ser rebajada (eso sí, sin que se sepa por qué). Una suerte de irreversibilidad de la cláusula más favorable que choca de lleno con la libertad de configuración del legislador, pero que, sobre todo, es completamente ajena a lo que debe valorarse en este incidente.</w:t>
      </w:r>
    </w:p>
    <w:p w14:paraId="5DE18354" w14:textId="77777777" w:rsidR="00B35D37" w:rsidRDefault="00B35D37" w:rsidP="00B35D37">
      <w:pPr>
        <w:pStyle w:val="TextoNormal"/>
      </w:pPr>
    </w:p>
    <w:p w14:paraId="3B14B8F9" w14:textId="77777777" w:rsidR="00B35D37" w:rsidRDefault="00B35D37" w:rsidP="00B35D37">
      <w:pPr>
        <w:pStyle w:val="TextoNormal"/>
      </w:pPr>
      <w:r>
        <w:t>Por otro lado, no podemos dejar de mencionar que la conclusión con la que se cierra el auto en el apartado (iii) del fundamento jurídico 3 pone de nuevo de manifiesto que la ponencia ha ignorado (se ha apartado de) la doctrina constitucional.</w:t>
      </w:r>
    </w:p>
    <w:p w14:paraId="625CD54D" w14:textId="77777777" w:rsidR="00B35D37" w:rsidRDefault="00B35D37" w:rsidP="00B35D37">
      <w:pPr>
        <w:pStyle w:val="TextoNormal"/>
      </w:pPr>
    </w:p>
    <w:p w14:paraId="6F646C42" w14:textId="77777777" w:rsidR="00B35D37" w:rsidRDefault="00B35D37" w:rsidP="00B35D37">
      <w:pPr>
        <w:pStyle w:val="TextoNormal"/>
      </w:pPr>
      <w:r>
        <w:t>Lo hace cuando se adentra de nuevo en el fondo del asunto, al alabar las virtudes de la previa legislación cántabra, asunto que no tiene nada que ver con la suspensión que hay que decidir. Resulta extraordinariamente llamativa esa toma de posición que anticipadamente se realiza.</w:t>
      </w:r>
    </w:p>
    <w:p w14:paraId="03395443" w14:textId="77777777" w:rsidR="00B35D37" w:rsidRDefault="00B35D37" w:rsidP="00B35D37">
      <w:pPr>
        <w:pStyle w:val="TextoNormal"/>
      </w:pPr>
    </w:p>
    <w:p w14:paraId="7443FCDC" w14:textId="77777777" w:rsidR="00B35D37" w:rsidRDefault="00B35D37" w:rsidP="00B35D37">
      <w:pPr>
        <w:pStyle w:val="TextoNormal"/>
      </w:pPr>
      <w:r>
        <w:t>En fin, si el abogado del Estado no argumenta adecuada y suficiente en su escrito los perjuicios derivados del levantamiento de la suspensión, resulta incomprensible que el auto pretenda forzar su decisión con un argumento que no cabe tomar en consideración. Lo hace al decir que la suspensión se mantiene también porque las alegaciones del Gobierno de Cantabria sobre la presunción de constitucionalidad de la ley y la consiguiente excepcionalidad del mantenimiento de su suspensión, se trata de una fundamentación que incide, en parte, sobre el fondo de la controversia planteada en el recurso. Este planteamiento, que no resulta de la doctrina constitucional, es simplemente expresión del afán del auto de encontrar fundamento para una suspensión carente de sustento.</w:t>
      </w:r>
    </w:p>
    <w:p w14:paraId="48417C91" w14:textId="77777777" w:rsidR="00B35D37" w:rsidRDefault="00B35D37" w:rsidP="00B35D37">
      <w:pPr>
        <w:pStyle w:val="TextoNormal"/>
      </w:pPr>
    </w:p>
    <w:p w14:paraId="26C7A374" w14:textId="77777777" w:rsidR="00B35D37" w:rsidRDefault="00B35D37" w:rsidP="00B35D37">
      <w:pPr>
        <w:pStyle w:val="TextoNormal"/>
      </w:pPr>
      <w:r>
        <w:t>6. En suma, el auto tendría que haber concluido que el abogado del Estado no ha levantado la carga de acreditar suficientemente la existencia de perjuicios de imposible o difícil reparación para el interés general o de terceros vinculados al levantamiento de la suspensión de la Ley 1/2024, de 8 de noviembre, de derogación de la Ley 8/2021, de 17 de noviembre, de memoria histórica y democrática de Cantabria. Lo que, en atención a nuestra doctrina sobre este incidente cautelar, debería haber determinado la prevalencia del interés conectado a la presunción de legitimidad de las leyes y, con ello, el levantamiento de la suspensión de la vigencia y aplicación de la citada Ley 1/2024.</w:t>
      </w:r>
    </w:p>
    <w:p w14:paraId="60B04AC6" w14:textId="77777777" w:rsidR="00B35D37" w:rsidRDefault="00B35D37" w:rsidP="00B35D37">
      <w:pPr>
        <w:pStyle w:val="TextoNormal"/>
      </w:pPr>
    </w:p>
    <w:p w14:paraId="6F8BF983" w14:textId="1301A43D" w:rsidR="00B35D37" w:rsidRDefault="00B35D37" w:rsidP="00B35D37">
      <w:pPr>
        <w:pStyle w:val="TextoNormal"/>
      </w:pPr>
      <w:r>
        <w:t>Madrid, a diez de junio de dos mil veinticinco.</w:t>
      </w:r>
    </w:p>
    <w:p w14:paraId="2EBDD97E" w14:textId="77777777" w:rsidR="00B35D37" w:rsidRDefault="00B35D37" w:rsidP="00B35D37">
      <w:pPr>
        <w:pStyle w:val="TextoNormal"/>
      </w:pPr>
    </w:p>
    <w:p w14:paraId="655B6049" w14:textId="77777777" w:rsidR="00B35D37" w:rsidRDefault="00B35D37" w:rsidP="00B35D37">
      <w:pPr>
        <w:pStyle w:val="TextoNormalNegritaCentrado"/>
        <w:keepNext/>
      </w:pPr>
      <w:r>
        <w:t>Voto particular que formulan los magistrados don César Tolosa Tribiño y don José María Macías Castaño al auto sobre levantamiento o mantenimiento de la suspensión de la Ley del Parlamento de Cantabria 1/2024, de 8 de noviembre, de derogación de la Ley 8/2021, de 17 de noviembre, de memoria histórica y democrática de Cantabria, dictado por el Pleno en el recurso de inconstitucionalidad núm. 1014-2025</w:t>
      </w:r>
    </w:p>
    <w:p w14:paraId="6AE054AD" w14:textId="70B831CC" w:rsidR="00B35D37" w:rsidRDefault="00B35D37" w:rsidP="00B35D37">
      <w:pPr>
        <w:pStyle w:val="TextoNormalNegritaCentrado"/>
        <w:keepNext/>
      </w:pPr>
    </w:p>
    <w:p w14:paraId="654166EB" w14:textId="77777777" w:rsidR="00B35D37" w:rsidRDefault="00B35D37" w:rsidP="00B35D37">
      <w:pPr>
        <w:pStyle w:val="TextoNormal"/>
      </w:pPr>
      <w:r>
        <w:t>En el ejercicio de la facultad conferida por el art. 90.2 LOTC y con el debido respeto a la opinión de los magistrados que han mostrado su conformidad con el auto, formulamos el presente voto particular por considerar necesario expresar nuestra discrepancia tanto con la fundamentación jurídica contenida en el mismo como con su parte dispositiva, en la medida en que acuerda el mantenimiento de la suspensión de los preceptos impugnados de la ley objeto de recurso, suspensión que fue acordada desde la fecha de interposición del recurso de inconstitucionalidad —12 de febrero de 2025—, mediante providencia de 26 de febrero de 2025, publicada en el “BOE” núm. 57, de 7 de marzo de 2025.</w:t>
      </w:r>
    </w:p>
    <w:p w14:paraId="05D13194" w14:textId="77777777" w:rsidR="00B35D37" w:rsidRDefault="00B35D37" w:rsidP="00B35D37">
      <w:pPr>
        <w:pStyle w:val="TextoNormal"/>
      </w:pPr>
    </w:p>
    <w:p w14:paraId="36D643B6" w14:textId="77777777" w:rsidR="00B35D37" w:rsidRDefault="00B35D37" w:rsidP="00B35D37">
      <w:pPr>
        <w:pStyle w:val="TextoNormal"/>
      </w:pPr>
      <w:r>
        <w:t xml:space="preserve">A) </w:t>
      </w:r>
      <w:r w:rsidRPr="00B35D37">
        <w:rPr>
          <w:i/>
        </w:rPr>
        <w:t>Cuestión de orden en la resolución de los asuntos</w:t>
      </w:r>
    </w:p>
    <w:p w14:paraId="27D12986" w14:textId="77777777" w:rsidR="00B35D37" w:rsidRDefault="00B35D37" w:rsidP="00B35D37">
      <w:pPr>
        <w:pStyle w:val="TextoNormal"/>
      </w:pPr>
    </w:p>
    <w:p w14:paraId="4D7632C6" w14:textId="77777777" w:rsidR="00B35D37" w:rsidRDefault="00B35D37" w:rsidP="00B35D37">
      <w:pPr>
        <w:pStyle w:val="TextoNormal"/>
      </w:pPr>
      <w:r>
        <w:t>1. Con carácter previo debe hacerse referencia a una cuestión de orden en la resolución de los asuntos. Hace más de un año, en concreto el 29 de mayo de 2024, se registró otro recurso de inconstitucionalidad — núm. 3951-2024—, similar al que ahora nos ocupa, interpuesto también por el presidente del Gobierno contra otra ley derogatoria, en concreto, la Ley de las Cortes de Aragón 1/2024, de 15 de febrero, de derogación de la Ley 14/2018, de 8 de noviembre, de memoria democrática de Aragón (en adelante, Ley de las Cortes de Aragón 1/2024).</w:t>
      </w:r>
    </w:p>
    <w:p w14:paraId="2BD86CD4" w14:textId="77777777" w:rsidR="00B35D37" w:rsidRDefault="00B35D37" w:rsidP="00B35D37">
      <w:pPr>
        <w:pStyle w:val="TextoNormal"/>
      </w:pPr>
    </w:p>
    <w:p w14:paraId="01E2C6C5" w14:textId="77777777" w:rsidR="00B35D37" w:rsidRDefault="00B35D37" w:rsidP="00B35D37">
      <w:pPr>
        <w:pStyle w:val="TextoNormal"/>
      </w:pPr>
      <w:r>
        <w:t>2. Dicho recurso de inconstitucionalidad dio lugar a que por providencia de 17 de junio de 2024, dictada por el Pleno de este tribunal, se acordara la admisión a trámite y la suspensión de la vigencia y aplicación de la ley impugnada desde la fecha de interposición del recurso —como se ha indicado, el 29 de mayo de 2024—. También dio lugar —dos meses después— a que por diligencia de ordenación dictada hace casi un año —en concreto el 29 de julio de 2024—, se acordó oír al abogado del Estado y a las Cortes de Aragón, por plazo de cinco días, para que expusieran lo que se considere conveniente acerca del mantenimiento o levantamiento de dicha suspensión. Y, una vez evacuado dicho trámite por el abogado del Estado el 3 de septiembre de 2024 —habiéndolo hecho previamente las Cortes de Aragón el 20 de agosto de 2024—, se acordó, mediante la correspondiente adición al orden del día del Pleno de 5 de noviembre de 2024, la inclusión del asunto para su deliberación, procediéndose al reparto del auto que resolvía sobre el mantenimiento o levantamiento de la suspensión de la mencionada ley. Dicho asunto, unos días después, fue retirado del orden del día sin que se llegara a deliberar. De este modo, ha transcurrido con creces el plazo máximo de cinco meses desde la suspensión de la Ley de las Cortes de Aragón 1/2024 sin que se haya adoptado la preceptiva decisión sobre su mantenimiento o levantamiento, incumpliéndose los arts. 161.2 CE y 65.2 LOTC, lo que ha dado lugar a una situación de inseguridad jurídica, que dificulta a los destinatarios de la norma adaptar su conducta con certeza al marco legal vigente.</w:t>
      </w:r>
    </w:p>
    <w:p w14:paraId="5D78B54B" w14:textId="77777777" w:rsidR="00B35D37" w:rsidRDefault="00B35D37" w:rsidP="00B35D37">
      <w:pPr>
        <w:pStyle w:val="TextoNormal"/>
      </w:pPr>
    </w:p>
    <w:p w14:paraId="4837DCDE" w14:textId="77777777" w:rsidR="00B35D37" w:rsidRDefault="00B35D37" w:rsidP="00B35D37">
      <w:pPr>
        <w:pStyle w:val="TextoNormal"/>
      </w:pPr>
      <w:r>
        <w:t>3. Pues bien, no se encuentra justificación alguna a la circunstancia de que estando pendiente desde hace casi un año la decisión sobre la ratificación o el levantamiento de la suspensión de la Ley de las Cortes de Aragón 1/2024, se decida anticipar la resolución respecto de la Ley del Parlamento de Cantabria 1/2024.</w:t>
      </w:r>
    </w:p>
    <w:p w14:paraId="688DCFBA" w14:textId="77777777" w:rsidR="00B35D37" w:rsidRDefault="00B35D37" w:rsidP="00B35D37">
      <w:pPr>
        <w:pStyle w:val="TextoNormal"/>
      </w:pPr>
    </w:p>
    <w:p w14:paraId="418D8707" w14:textId="77777777" w:rsidR="00B35D37" w:rsidRDefault="00B35D37" w:rsidP="00B35D37">
      <w:pPr>
        <w:pStyle w:val="TextoNormal"/>
      </w:pPr>
      <w:r>
        <w:t xml:space="preserve">B) </w:t>
      </w:r>
      <w:r w:rsidRPr="00B35D37">
        <w:rPr>
          <w:i/>
        </w:rPr>
        <w:t>Sobre el fondo del asunto</w:t>
      </w:r>
    </w:p>
    <w:p w14:paraId="2D9D2832" w14:textId="77777777" w:rsidR="00B35D37" w:rsidRDefault="00B35D37" w:rsidP="00B35D37">
      <w:pPr>
        <w:pStyle w:val="TextoNormal"/>
      </w:pPr>
    </w:p>
    <w:p w14:paraId="0296C1F2" w14:textId="77777777" w:rsidR="00B35D37" w:rsidRDefault="00B35D37" w:rsidP="00B35D37">
      <w:pPr>
        <w:pStyle w:val="TextoNormal"/>
      </w:pPr>
      <w:r w:rsidRPr="00B35D37">
        <w:rPr>
          <w:i/>
        </w:rPr>
        <w:t>Doctrina constitucional sobre el mantenimiento o levantamiento de la suspensión</w:t>
      </w:r>
    </w:p>
    <w:p w14:paraId="12B69599" w14:textId="77777777" w:rsidR="00B35D37" w:rsidRDefault="00B35D37" w:rsidP="00B35D37">
      <w:pPr>
        <w:pStyle w:val="TextoNormal"/>
      </w:pPr>
    </w:p>
    <w:p w14:paraId="69850F38" w14:textId="77777777" w:rsidR="00B35D37" w:rsidRDefault="00B35D37" w:rsidP="00B35D37">
      <w:pPr>
        <w:pStyle w:val="TextoNormal"/>
      </w:pPr>
      <w:r>
        <w:t>4. En primer lugar, la jurisprudencia consolidada del Tribunal Constitucional establece de forma reiterada que la suspensión de una norma autonómica al amparo del artículo 161.2 CE tiene un carácter cautelar y excepcional. Tal como destaca la doctrina constitucional, el mantenimiento de la suspensión acordada cautelarmente tiene un carácter excepcional, pues las leyes gozan de la presunción de constitucionalidad, en cuanto expresión de la voluntad popular, mientras no se constate que han infringido la Constitución (por todos, ATC 277/2009, de 10 de diciembre, FJ 2).</w:t>
      </w:r>
    </w:p>
    <w:p w14:paraId="63A45A8A" w14:textId="77777777" w:rsidR="00B35D37" w:rsidRDefault="00B35D37" w:rsidP="00B35D37">
      <w:pPr>
        <w:pStyle w:val="TextoNormal"/>
      </w:pPr>
    </w:p>
    <w:p w14:paraId="1D0EC432" w14:textId="77777777" w:rsidR="00B35D37" w:rsidRDefault="00B35D37" w:rsidP="00B35D37">
      <w:pPr>
        <w:pStyle w:val="TextoNormal"/>
      </w:pPr>
      <w:r>
        <w:t>5. Los criterios que ha venido aplicando este tribunal para decidir estos casos son los siguientes: (i)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(ATC 51/2021, de 22 de abril); (ii) esta valoración debe efectuarse mediante el estricto examen de las situaciones de hecho creadas y al margen de la viabilidad de las pretensiones que se formulan en la demanda. La suspensión solo procede en presencia de perjuicios ciertos y efectivos, por lo que, si estos no concurren, debe atenderse a la presunción de validez de la ley, y (iii)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 (por todos, ATC 51/2021).</w:t>
      </w:r>
    </w:p>
    <w:p w14:paraId="67E14A26" w14:textId="77777777" w:rsidR="00B35D37" w:rsidRDefault="00B35D37" w:rsidP="00B35D37">
      <w:pPr>
        <w:pStyle w:val="TextoNormal"/>
      </w:pPr>
    </w:p>
    <w:p w14:paraId="16AB29EF" w14:textId="77777777" w:rsidR="00B35D37" w:rsidRDefault="00B35D37" w:rsidP="00B35D37">
      <w:pPr>
        <w:pStyle w:val="TextoNormal"/>
      </w:pPr>
      <w:r>
        <w:t>6. Fuera de los casos anteriores, este tribunal ha acordado el mantenimiento de la suspensión en los siguientes supuestos excepcionales sin entrar a valorar los perjuicios de imposible o difícil reparación que ello generaría: (i) cuando los preceptos impugnados guardan similitud con otros ya declarados inconstitucionales (AATC 78/1987, de 22 de enero, y 183/2011, de 14 de diciembre, entre otros); (ii) en los casos en los que el levantamiento de la suspensión llevaría acarreado el bloqueo de las competencias estatales (ATC 63/2015, de 17 de marzo), y (iii) en aquellos supuestos que exceden de una situación normal de controversia debido a que suscitan cuestiones de gran relieve constitucional (ATC 53/2015, de 3 de marzo, FJ 3).</w:t>
      </w:r>
    </w:p>
    <w:p w14:paraId="71F8299F" w14:textId="77777777" w:rsidR="00B35D37" w:rsidRDefault="00B35D37" w:rsidP="00B35D37">
      <w:pPr>
        <w:pStyle w:val="TextoNormal"/>
      </w:pPr>
    </w:p>
    <w:p w14:paraId="68B4E11C" w14:textId="77777777" w:rsidR="00B35D37" w:rsidRDefault="00B35D37" w:rsidP="00B35D37">
      <w:pPr>
        <w:pStyle w:val="TextoNormal"/>
      </w:pPr>
      <w:r w:rsidRPr="00B35D37">
        <w:rPr>
          <w:i/>
        </w:rPr>
        <w:t>No concurren las causas excepcionales previstas por la jurisprudencia que permitirían mantener la suspensión: falta de motivación del auto</w:t>
      </w:r>
    </w:p>
    <w:p w14:paraId="1C7ACC77" w14:textId="77777777" w:rsidR="00B35D37" w:rsidRDefault="00B35D37" w:rsidP="00B35D37">
      <w:pPr>
        <w:pStyle w:val="TextoNormal"/>
      </w:pPr>
    </w:p>
    <w:p w14:paraId="00D22270" w14:textId="77777777" w:rsidR="00B35D37" w:rsidRDefault="00B35D37" w:rsidP="00B35D37">
      <w:pPr>
        <w:pStyle w:val="TextoNormal"/>
      </w:pPr>
      <w:r>
        <w:t>7. Debe indicarse que, atendiendo a la doctrina jurisprudencial, resulta inviable sostener que la entrada en vigor de la Ley del Parlamento de Cantabria 1/2024, de derogación de la Ley autonómica de memoria, pueda provocar daños irreparables, ya sea en la esfera de los derechos subjetivos de las víctimas o en el cumplimiento del deber de colaboración institucional en materia de memoria democrática, como alega, sin levantar la carga probatoria el abogado del Estado.</w:t>
      </w:r>
    </w:p>
    <w:p w14:paraId="7D2AC533" w14:textId="77777777" w:rsidR="00B35D37" w:rsidRDefault="00B35D37" w:rsidP="00B35D37">
      <w:pPr>
        <w:pStyle w:val="TextoNormal"/>
      </w:pPr>
    </w:p>
    <w:p w14:paraId="0A529001" w14:textId="77777777" w:rsidR="00B35D37" w:rsidRDefault="00B35D37" w:rsidP="00B35D37">
      <w:pPr>
        <w:pStyle w:val="TextoNormal"/>
      </w:pPr>
      <w:r>
        <w:t>8. Debe destacarse que la suspensión solo puede mantenerse si concurren perjuicios ciertos y efectivos, no hipotéticos ni potenciales. La mera derogación de una ley autonómica, sin la promulgación simultánea de una nueva normativa que contradiga o paralice la legislación estatal, no puede considerarse generadora de perjuicio irreparable alguno, y mucho menos de aquellos que revistan una gravedad constitucional tal que justifique una medida excepcional como es la suspensión cautelar de una ley.</w:t>
      </w:r>
    </w:p>
    <w:p w14:paraId="575BE154" w14:textId="77777777" w:rsidR="00B35D37" w:rsidRDefault="00B35D37" w:rsidP="00B35D37">
      <w:pPr>
        <w:pStyle w:val="TextoNormal"/>
      </w:pPr>
    </w:p>
    <w:p w14:paraId="715E7699" w14:textId="77777777" w:rsidR="00B35D37" w:rsidRDefault="00B35D37" w:rsidP="00B35D37">
      <w:pPr>
        <w:pStyle w:val="TextoNormal"/>
      </w:pPr>
      <w:r>
        <w:t>9. El auto pretende justificar la existencia de perjuicios irreparables derivados del levantamiento de la suspensión normativa, sin embargo, en su desarrollo no se aporta ninguna evidencia concreta que permita calificar tales perjuicios como reales, efectivos e irreversibles. Se alude genéricamente a una “rebaja del nivel de protección” de las víctimas sin identificar con claridad qué derechos quedarían afectados ni cómo se produciría tal afectación en la práctica.</w:t>
      </w:r>
    </w:p>
    <w:p w14:paraId="1569DE75" w14:textId="77777777" w:rsidR="00B35D37" w:rsidRDefault="00B35D37" w:rsidP="00B35D37">
      <w:pPr>
        <w:pStyle w:val="TextoNormal"/>
      </w:pPr>
    </w:p>
    <w:p w14:paraId="53AA1C81" w14:textId="77777777" w:rsidR="00B35D37" w:rsidRDefault="00B35D37" w:rsidP="00B35D37">
      <w:pPr>
        <w:pStyle w:val="TextoNormal"/>
      </w:pPr>
      <w:r>
        <w:t>10. Se parte de la premisa de que el retorno a la legislación básica estatal implica automáticamente una merma en la protección de derechos, pero no se explica cómo esa supuesta rebaja se traduciría necesariamente en un perjuicio concreto e irreparable para personas determinadas.</w:t>
      </w:r>
    </w:p>
    <w:p w14:paraId="68C2F33B" w14:textId="77777777" w:rsidR="00B35D37" w:rsidRDefault="00B35D37" w:rsidP="00B35D37">
      <w:pPr>
        <w:pStyle w:val="TextoNormal"/>
      </w:pPr>
    </w:p>
    <w:p w14:paraId="7B83FA88" w14:textId="77777777" w:rsidR="00B35D37" w:rsidRDefault="00B35D37" w:rsidP="00B35D37">
      <w:pPr>
        <w:pStyle w:val="TextoNormal"/>
      </w:pPr>
      <w:r>
        <w:t>11. Por otro lado, los perjuicios invocados no se describen de manera precisa ni se apoyan en datos verificables. Se hace referencia a conceptos indeterminados como “estructuras administrativas” o configuración “organizativa”, pero sin especificar qué actuaciones administrativas quedarían anuladas de modo irreparable o qué derechos dejarían de ser ejercitables de forma efectiva e irreversible.</w:t>
      </w:r>
    </w:p>
    <w:p w14:paraId="5A408067" w14:textId="77777777" w:rsidR="00B35D37" w:rsidRDefault="00B35D37" w:rsidP="00B35D37">
      <w:pPr>
        <w:pStyle w:val="TextoNormal"/>
      </w:pPr>
    </w:p>
    <w:p w14:paraId="610EE6B7" w14:textId="77777777" w:rsidR="00B35D37" w:rsidRDefault="00B35D37" w:rsidP="00B35D37">
      <w:pPr>
        <w:pStyle w:val="TextoNormal"/>
      </w:pPr>
      <w:r>
        <w:t>12. El texto únicamente recurre a la utilización del término irreversible, vinculándolo al tiempo: el “carácter irreversible del paso del tiempo” como elemento agravante del daño. Sin embargo, esta consideración, por sí sola, no basta para justificar la irreparabilidad jurídica del perjuicio. La irreversibilidad del tiempo es una realidad objetiva, pero no constituye daño jurídico en tanto no se identifique la concreta pérdida de una facultad o derecho que no pueda ser posteriormente restaurado.</w:t>
      </w:r>
    </w:p>
    <w:p w14:paraId="46CF23B6" w14:textId="77777777" w:rsidR="00B35D37" w:rsidRDefault="00B35D37" w:rsidP="00B35D37">
      <w:pPr>
        <w:pStyle w:val="TextoNormal"/>
      </w:pPr>
    </w:p>
    <w:p w14:paraId="39B8501F" w14:textId="77777777" w:rsidR="00B35D37" w:rsidRDefault="00B35D37" w:rsidP="00B35D37">
      <w:pPr>
        <w:pStyle w:val="TextoNormal"/>
      </w:pPr>
      <w:r>
        <w:t>13. Asimismo, el razonamiento incurre en circularidad lógica. Se afirma que el desmantelamiento de la actuación administrativa causaría un daño irreparable, y se sostiene a su vez que hay daño irreparable porque se desmantelaría la estructura administrativa.</w:t>
      </w:r>
    </w:p>
    <w:p w14:paraId="1B242B9D" w14:textId="77777777" w:rsidR="00B35D37" w:rsidRDefault="00B35D37" w:rsidP="00B35D37">
      <w:pPr>
        <w:pStyle w:val="TextoNormal"/>
      </w:pPr>
    </w:p>
    <w:p w14:paraId="15D3AA41" w14:textId="77777777" w:rsidR="00B35D37" w:rsidRDefault="00B35D37" w:rsidP="00B35D37">
      <w:pPr>
        <w:pStyle w:val="TextoNormal"/>
      </w:pPr>
      <w:r>
        <w:t>14. La vigencia plena y eficacia directa de la Ley 20/2022 —frente a la que se encuentran pendientes dos recursos de inconstitucionalidad—, refuerza aún más la conclusión anterior. Esta norma estatal establece un completo régimen jurídico en la materia, que incluye medidas de verdad, justicia, reparación y garantías de no repetición, y cuya ejecución corresponde directamente a la administración general del Estado, sin quedar condicionada a la existencia o no de normativa autonómica complementaria. En tal sentido, su exposición de motivos indica, con toda claridad, que “esta ley por un lado viene a regular la actividad del Estado dentro del ejercicio de sus competencias propias; en segundo lugar, viene a establecer una previsión de mínimos que garantiza la igualdad en el ejercicio de derechos, sin menoscabar la regulación autonómica existente en el ámbito de sus competencias; y en tercer lugar, constituye el derecho supletorio en la materia”.</w:t>
      </w:r>
    </w:p>
    <w:p w14:paraId="07984989" w14:textId="77777777" w:rsidR="00B35D37" w:rsidRDefault="00B35D37" w:rsidP="00B35D37">
      <w:pPr>
        <w:pStyle w:val="TextoNormal"/>
      </w:pPr>
    </w:p>
    <w:p w14:paraId="515F2645" w14:textId="77777777" w:rsidR="00B35D37" w:rsidRDefault="00B35D37" w:rsidP="00B35D37">
      <w:pPr>
        <w:pStyle w:val="TextoNormal"/>
      </w:pPr>
      <w:r>
        <w:t>15. El auto, frente al que se formula el presente voto particular, adolece de una carencia especialmente significativa desde el punto de vista jurídico-constitucional: no contiene la más mínima argumentación relativa a la vigencia plena y la eficacia directa de la Ley 20/2022, evitando de este modo dar respuesta a los argumentos formulados por el Gobierno y el Parlamento de Cantabria, omisión que resulta determinante para descartar —como procedía— la concurrencia de los presupuestos habilitantes para mantener la suspensión de la Ley del Parlamento de Cantabria 1/2024.</w:t>
      </w:r>
    </w:p>
    <w:p w14:paraId="5F036D06" w14:textId="77777777" w:rsidR="00B35D37" w:rsidRDefault="00B35D37" w:rsidP="00B35D37">
      <w:pPr>
        <w:pStyle w:val="TextoNormal"/>
      </w:pPr>
    </w:p>
    <w:p w14:paraId="04333864" w14:textId="77777777" w:rsidR="00B35D37" w:rsidRDefault="00B35D37" w:rsidP="00B35D37">
      <w:pPr>
        <w:pStyle w:val="TextoNormal"/>
      </w:pPr>
      <w:r>
        <w:t>16. Que el auto no incluya ninguna consideración, ni siquiera incidental, acerca del valor jurídico de dicha norma básica estatal en relación con los posibles perjuicios que se alegan como fundamento del mantenimiento de la suspensión, revela una fractura lógica en su motivación. Si, como afirma reiteradamente este tribunal (ATC 51/2021, entre otros), la suspensión de una ley requiere perjuicios ciertos, efectivos y de imposible o muy difícil reparación, y si además recae sobre el Gobierno la carga de acreditarlos, no es sostenible que el Tribunal ignore la existencia de una norma estatal plenamente vigente que precisamente garantiza el objeto cuya protección se invoca para mantener la medida cautelar.</w:t>
      </w:r>
    </w:p>
    <w:p w14:paraId="746A1F84" w14:textId="77777777" w:rsidR="00B35D37" w:rsidRDefault="00B35D37" w:rsidP="00B35D37">
      <w:pPr>
        <w:pStyle w:val="TextoNormal"/>
      </w:pPr>
    </w:p>
    <w:p w14:paraId="4DC83066" w14:textId="77777777" w:rsidR="00B35D37" w:rsidRDefault="00B35D37" w:rsidP="00B35D37">
      <w:pPr>
        <w:pStyle w:val="TextoNormal"/>
      </w:pPr>
      <w:r>
        <w:t>17. En este contexto, la salvaguarda de la dignidad de las víctimas, la preservación de su memoria y el respeto a los derechos subjetivos que les son reconocidos —sobre los que no puede proyectarse la doctrina relativa a la existencia de perjuicios especialmente causados por afectar a derechos fundamentales, como erróneamente sugiere la ponencia [FJ 3 (ii)] con el riesgo de desdibujar el alcance y contenido de los derechos consagrados en el título I de la Constitución— no quedan en modo alguno condicionados a la existencia de una ley autonómica.</w:t>
      </w:r>
    </w:p>
    <w:p w14:paraId="4D48216D" w14:textId="77777777" w:rsidR="00B35D37" w:rsidRDefault="00B35D37" w:rsidP="00B35D37">
      <w:pPr>
        <w:pStyle w:val="TextoNormal"/>
      </w:pPr>
    </w:p>
    <w:p w14:paraId="013E180E" w14:textId="77777777" w:rsidR="00B35D37" w:rsidRDefault="00B35D37" w:rsidP="00B35D37">
      <w:pPr>
        <w:pStyle w:val="TextoNormal"/>
      </w:pPr>
      <w:r>
        <w:t>18. Como ha señalado el propio Gobierno de Cantabria, el estatuto jurídico de las víctimas se encuentra garantizado por el Derecho internacional y por la legislación básica estatal, y su aplicación no se ve obstaculizada por la derogación de una ley autonómica. Por el contrario, cualquier carencia competencial en este ámbito puede ser suplida directamente por el Estado, conforme a los mecanismos previstos en la propia Ley 20/2022 y en el marco de colaboración previsto en su art. 14. De hecho, tal y como refleja la exposición de motivos y el articulado de la Ley 20/2022, muchas de las obligaciones en ella recogidas —como el banco estatal de ADN, el mapa de fosas, los catálogos de símbolos o la creación de registros estatales— son de competencia exclusiva estatal y despliegan sus efectos sin necesidad de colaboración legislativa autonómica.</w:t>
      </w:r>
    </w:p>
    <w:p w14:paraId="5A57A497" w14:textId="77777777" w:rsidR="00B35D37" w:rsidRDefault="00B35D37" w:rsidP="00B35D37">
      <w:pPr>
        <w:pStyle w:val="TextoNormal"/>
      </w:pPr>
    </w:p>
    <w:p w14:paraId="3496CEE2" w14:textId="77777777" w:rsidR="00B35D37" w:rsidRDefault="00B35D37" w:rsidP="00B35D37">
      <w:pPr>
        <w:pStyle w:val="TextoNormal"/>
      </w:pPr>
      <w:r>
        <w:t>19. De este modo, resulta evidente que no se acredita ni se razona de forma consistente la existencia de daños irreparables en la esfera de los derechos subjetivos de las víctimas ni en el interés público estatal. La protección jurídica que ofrece la Ley 20/2022 sigue operando con independencia de la existencia o vigencia de una norma autonómica específica, tal como ocurre actualmente en diversas comunidades autónomas que no disponen de legislación propia en esta materia.</w:t>
      </w:r>
    </w:p>
    <w:p w14:paraId="3CF9666A" w14:textId="77777777" w:rsidR="00B35D37" w:rsidRDefault="00B35D37" w:rsidP="00B35D37">
      <w:pPr>
        <w:pStyle w:val="TextoNormal"/>
      </w:pPr>
    </w:p>
    <w:p w14:paraId="7BCAEE9D" w14:textId="77777777" w:rsidR="00B35D37" w:rsidRDefault="00B35D37" w:rsidP="00B35D37">
      <w:pPr>
        <w:pStyle w:val="TextoNormal"/>
      </w:pPr>
      <w:r w:rsidRPr="00B35D37">
        <w:rPr>
          <w:i/>
        </w:rPr>
        <w:t>Prohibición de prejuzgar el fondo del recurso: improcedencia de justificar la suspensión con argumentos sustantivos</w:t>
      </w:r>
    </w:p>
    <w:p w14:paraId="7A1F36F1" w14:textId="77777777" w:rsidR="00B35D37" w:rsidRDefault="00B35D37" w:rsidP="00B35D37">
      <w:pPr>
        <w:pStyle w:val="TextoNormal"/>
      </w:pPr>
    </w:p>
    <w:p w14:paraId="33AFA9C0" w14:textId="77777777" w:rsidR="00B35D37" w:rsidRDefault="00B35D37" w:rsidP="00B35D37">
      <w:pPr>
        <w:pStyle w:val="TextoNormal"/>
      </w:pPr>
      <w:r>
        <w:t>20. Por otra parte, la doctrina constitucional consolidada establece que, en la decisión sobre el levantamiento o mantenimiento de la suspensión de una norma impugnada por el Gobierno al amparo del art. 161.2 CE, no cabe valorar la viabilidad del recurso de inconstitucionalidad interpuesto. Esta regla responde a la necesidad de evitar cualquier prejuzgamiento anticipado del fondo del asunto, el cual solo puede ser dilucidado en la futura sentencia.</w:t>
      </w:r>
    </w:p>
    <w:p w14:paraId="009E7CC7" w14:textId="77777777" w:rsidR="00B35D37" w:rsidRDefault="00B35D37" w:rsidP="00B35D37">
      <w:pPr>
        <w:pStyle w:val="TextoNormal"/>
      </w:pPr>
    </w:p>
    <w:p w14:paraId="7B0B6CDA" w14:textId="77777777" w:rsidR="00B35D37" w:rsidRDefault="00B35D37" w:rsidP="00B35D37">
      <w:pPr>
        <w:pStyle w:val="TextoNormal"/>
      </w:pPr>
      <w:r>
        <w:t>21. Desde esta premisa, el argumento que pretende justificar el mantenimiento de la suspensión con base en los efectos sustantivos y organizativos de la norma impugnada incurre en una quiebra de dicho principio, pues se apoya explícitamente en los motivos que sustentan el recurso del Gobierno. Afirmaciones como que la norma “implica una rebaja del nivel de protección de esas víctimas” o que “quedaría limitado [el sistema autonómico] a lo dispuesto en la legislación básica” constituyen un juicio anticipado sobre la constitucionalidad de la norma autonómica, que es precisamente lo que debe evitarse en esta fase procesal. En esta misma línea, tampoco es aceptable, en este contexto, justificar la suspensión con base en una supuesta desarticulación o desmantelamiento de la estructura administrativa autonómica.</w:t>
      </w:r>
    </w:p>
    <w:p w14:paraId="5FF72F51" w14:textId="77777777" w:rsidR="00B35D37" w:rsidRDefault="00B35D37" w:rsidP="00B35D37">
      <w:pPr>
        <w:pStyle w:val="TextoNormal"/>
      </w:pPr>
    </w:p>
    <w:p w14:paraId="7A9C1C02" w14:textId="77777777" w:rsidR="00B35D37" w:rsidRDefault="00B35D37" w:rsidP="00B35D37">
      <w:pPr>
        <w:pStyle w:val="TextoNormal"/>
      </w:pPr>
      <w:r>
        <w:t>22. En definitiva, utilizar argumentos sustantivos similares a los alegados por el Gobierno para justificar el mantenimiento de la suspensión equivale a realizar un enjuiciamiento anticipado de la validez constitucional de la norma, lo que contradice frontalmente la doctrina del Tribunal Constitucional sobre las medidas cautelares en esta clase de procesos. Si no existen razones para justificar los perjuicios de imposible o difícil reparación derivados del levantamiento de la suspensión, esta debió haber sido levantada.</w:t>
      </w:r>
    </w:p>
    <w:p w14:paraId="4E355AB1" w14:textId="77777777" w:rsidR="00B35D37" w:rsidRDefault="00B35D37" w:rsidP="00B35D37">
      <w:pPr>
        <w:pStyle w:val="TextoNormal"/>
      </w:pPr>
    </w:p>
    <w:p w14:paraId="436E4FCF" w14:textId="77777777" w:rsidR="00B35D37" w:rsidRDefault="00B35D37" w:rsidP="00B35D37">
      <w:pPr>
        <w:pStyle w:val="TextoNormal"/>
      </w:pPr>
      <w:r w:rsidRPr="00B35D37">
        <w:rPr>
          <w:i/>
        </w:rPr>
        <w:t>Inexistencia de perjuicios irreparables y razones para levantar la suspensión</w:t>
      </w:r>
    </w:p>
    <w:p w14:paraId="4F8EA0BC" w14:textId="77777777" w:rsidR="00B35D37" w:rsidRDefault="00B35D37" w:rsidP="00B35D37">
      <w:pPr>
        <w:pStyle w:val="TextoNormal"/>
      </w:pPr>
    </w:p>
    <w:p w14:paraId="318BE4BC" w14:textId="77777777" w:rsidR="00B35D37" w:rsidRDefault="00B35D37" w:rsidP="00B35D37">
      <w:pPr>
        <w:pStyle w:val="TextoNormal"/>
      </w:pPr>
      <w:r>
        <w:t>23. En conclusión, debemos afirmar que no concurren ninguno de los presupuestos por los que proceda el mantenimiento de la suspensión. La Ley estatal 20/2022, de memoria democrática, es plenamente aplicable en todo el territorio nacional con independencia de la existencia o no de legislación autonómica complementaria. Así lo demuestra, como bien alega el Gobierno de Cantabria, el hecho de que otras comunidades autónomas —como Madrid, Galicia, Murcia o Castilla-La Mancha— carecen de leyes propias en la materia y aplican directamente la normativa básica estatal, sin que ello haya sido considerado lesivo para el interés general o para los derechos de las víctimas.</w:t>
      </w:r>
    </w:p>
    <w:p w14:paraId="5AD35934" w14:textId="77777777" w:rsidR="00B35D37" w:rsidRDefault="00B35D37" w:rsidP="00B35D37">
      <w:pPr>
        <w:pStyle w:val="TextoNormal"/>
      </w:pPr>
    </w:p>
    <w:p w14:paraId="39EB09A3" w14:textId="77777777" w:rsidR="00B35D37" w:rsidRDefault="00B35D37" w:rsidP="00B35D37">
      <w:pPr>
        <w:pStyle w:val="TextoNormal"/>
      </w:pPr>
      <w:r>
        <w:t>24. Además, es preciso recordar que la ley impugnada tiene un contenido meramente derogatorio, sin establecer un nuevo régimen normativo alternativo. La derogación de una ley forma parte del ejercicio legítimo de la potestad legislativa y constituye una manifestación directa del principio democrático y del pluralismo político consagrados en el art. 1 de la Constitución. La voluntad del legislador de derogar una norma previa no puede considerarse, por sí sola, una infracción constitucional ni puede dar lugar a la suspensión cautelar sin una motivación reforzada.</w:t>
      </w:r>
    </w:p>
    <w:p w14:paraId="33B22505" w14:textId="77777777" w:rsidR="00B35D37" w:rsidRDefault="00B35D37" w:rsidP="00B35D37">
      <w:pPr>
        <w:pStyle w:val="TextoNormal"/>
      </w:pPr>
    </w:p>
    <w:p w14:paraId="575BBDDB" w14:textId="77777777" w:rsidR="00B35D37" w:rsidRDefault="00B35D37" w:rsidP="00B35D37">
      <w:pPr>
        <w:pStyle w:val="TextoNormal"/>
      </w:pPr>
      <w:r>
        <w:t>25. Por otro lado, el propio auto viene a reconocer que no concurren en el presente caso los supuestos excepcionales que permitirían mantener la suspensión sin ponderación de perjuicios: no existe similitud con normas previamente declaradas inconstitucionales, no se produce un bloqueo de competencias estatales y no se plantea una controversia de especial relevancia constitucional. En consecuencia, al no concurrir ninguno de los supuestos que la jurisprudencia ha admitido de forma excepcional, y al no haberse acreditado perjuicios efectivos, el mantenimiento de la suspensión resulta injustificado.</w:t>
      </w:r>
    </w:p>
    <w:p w14:paraId="1B00EC8D" w14:textId="77777777" w:rsidR="00B35D37" w:rsidRDefault="00B35D37" w:rsidP="00B35D37">
      <w:pPr>
        <w:pStyle w:val="TextoNormal"/>
      </w:pPr>
    </w:p>
    <w:p w14:paraId="79F2079C" w14:textId="77777777" w:rsidR="00B35D37" w:rsidRDefault="00B35D37" w:rsidP="00B35D37">
      <w:pPr>
        <w:pStyle w:val="TextoNormal"/>
      </w:pPr>
      <w:r>
        <w:t>26. Por otra parte, la especial gravedad de lo resuelto en el presente auto radica en que, conforme a la doctrina constitucional invocada, este pronunciamiento podría ser utilizado como precedente para justificar el mantenimiento de la suspensión de otras leyes de contenido análogo aprobadas por distintas comunidades autónomas, sin exigir una fundamentación adicional o específica que acredite la concurrencia de los presupuestos constitucionales exigidos para una medida de tal excepcionalidad.</w:t>
      </w:r>
    </w:p>
    <w:p w14:paraId="05957997" w14:textId="77777777" w:rsidR="00B35D37" w:rsidRDefault="00B35D37" w:rsidP="00B35D37">
      <w:pPr>
        <w:pStyle w:val="TextoNormal"/>
      </w:pPr>
    </w:p>
    <w:p w14:paraId="4FBEEA93" w14:textId="77777777" w:rsidR="00B35D37" w:rsidRDefault="00B35D37" w:rsidP="00B35D37">
      <w:pPr>
        <w:pStyle w:val="TextoNormal"/>
      </w:pPr>
      <w:r>
        <w:t>27. De modo que la falta de prueba efectiva de perjuicios irreparables, la vigencia autónoma de la legislación estatal, la legitimidad democrática del legislador autonómico para derogar leyes previas y la ausencia de circunstancias excepcionales debieron haber llevado al Tribunal a acordar el levantamiento de la suspensión. La decisión adoptada no solo se aparta de la jurisprudencia consolidada, sino que supone una injerencia desproporcionada en la autonomía legislativa de las comunidades autónomas.</w:t>
      </w:r>
    </w:p>
    <w:p w14:paraId="490EFBDC" w14:textId="77777777" w:rsidR="00B35D37" w:rsidRDefault="00B35D37" w:rsidP="00B35D37">
      <w:pPr>
        <w:pStyle w:val="TextoNormal"/>
      </w:pPr>
    </w:p>
    <w:p w14:paraId="79F81E39" w14:textId="77777777" w:rsidR="00B35D37" w:rsidRDefault="00B35D37" w:rsidP="00B35D37">
      <w:pPr>
        <w:pStyle w:val="TextoNormal"/>
      </w:pPr>
      <w:r>
        <w:t>Y en este sentido emitimos el presente voto particular.</w:t>
      </w:r>
    </w:p>
    <w:p w14:paraId="77355AAB" w14:textId="77777777" w:rsidR="00B35D37" w:rsidRDefault="00B35D37" w:rsidP="00B35D37">
      <w:pPr>
        <w:pStyle w:val="TextoNormal"/>
      </w:pPr>
    </w:p>
    <w:p w14:paraId="0B76FE8D" w14:textId="55B5B1CB" w:rsidR="00B35D37" w:rsidRDefault="00B35D37" w:rsidP="00B35D37">
      <w:pPr>
        <w:pStyle w:val="TextoNormal"/>
      </w:pPr>
      <w:r>
        <w:t>Madrid, a diez de junio de dos mil veinticinco.</w:t>
      </w:r>
    </w:p>
    <w:p w14:paraId="657F69E0" w14:textId="640DAE42" w:rsidR="00B35D37" w:rsidRDefault="00B35D37">
      <w:pPr>
        <w:spacing w:after="160" w:line="278" w:lineRule="auto"/>
        <w:rPr>
          <w:rFonts w:ascii="Times New Roman" w:eastAsia="Times New Roman" w:hAnsi="Times New Roman" w:cs="Times New Roman"/>
          <w:sz w:val="24"/>
          <w:szCs w:val="24"/>
          <w:lang w:eastAsia="es-ES"/>
        </w:rPr>
      </w:pPr>
      <w:r>
        <w:br w:type="page"/>
      </w:r>
    </w:p>
    <w:p w14:paraId="7EFAA621" w14:textId="77777777" w:rsidR="00B35D37" w:rsidRDefault="00B35D37" w:rsidP="00B35D37">
      <w:pPr>
        <w:pStyle w:val="TtuloResolucin"/>
      </w:pPr>
      <w:bookmarkStart w:id="204" w:name="AUTO_2025_65"/>
      <w:r>
        <w:t>AUTO 65/2025, de 11 de junio de 2025</w:t>
      </w:r>
    </w:p>
    <w:bookmarkEnd w:id="204"/>
    <w:p w14:paraId="266D3B79" w14:textId="77777777" w:rsidR="00B35D37" w:rsidRDefault="00B35D37" w:rsidP="00B35D37">
      <w:pPr>
        <w:pStyle w:val="TtuloResolucin"/>
      </w:pPr>
      <w:r>
        <w:t>Pleno</w:t>
      </w:r>
    </w:p>
    <w:p w14:paraId="34B97F56" w14:textId="77777777" w:rsidR="00B35D37" w:rsidRDefault="00B35D37" w:rsidP="00B35D37">
      <w:pPr>
        <w:pStyle w:val="TextoNormalCentrado"/>
      </w:pPr>
      <w:r>
        <w:t>ECLI:ES:TC:2025:65A</w:t>
      </w:r>
    </w:p>
    <w:p w14:paraId="62FE316B" w14:textId="4CBAC8E3" w:rsidR="00B35D37" w:rsidRDefault="00B35D37" w:rsidP="00B35D37">
      <w:pPr>
        <w:pStyle w:val="TextoNormalCentrado"/>
      </w:pPr>
    </w:p>
    <w:p w14:paraId="2A7545BD" w14:textId="77777777" w:rsidR="00B35D37" w:rsidRDefault="00B35D37" w:rsidP="00B35D37">
      <w:pPr>
        <w:pStyle w:val="SntesisDescriptiva"/>
      </w:pPr>
      <w:r>
        <w:t>Excms. Srs. don Cándido Conde-Pumpido Tourón,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w:t>
      </w:r>
    </w:p>
    <w:p w14:paraId="29261910" w14:textId="4712773D" w:rsidR="00B35D37" w:rsidRDefault="00B35D37" w:rsidP="00B35D37">
      <w:pPr>
        <w:pStyle w:val="SntesisDescriptiva"/>
      </w:pPr>
    </w:p>
    <w:p w14:paraId="648096A6" w14:textId="77777777" w:rsidR="00B35D37" w:rsidRDefault="00B35D37" w:rsidP="00B35D37">
      <w:pPr>
        <w:pStyle w:val="SntesisDescriptiva"/>
      </w:pPr>
      <w:r>
        <w:t>Desestima diversas solicitudes planteadas en el recurso de inconstitucionalidad 6436-2024, promovido por más de cincuenta diputados y cincuenta senadores del Grupo Parlamentario Popular en relación con la Ley Orgánica 1/2024, de 10 de junio, de amnistía para la normalización institucional, política y social en Cataluña. Voto particular.</w:t>
      </w:r>
    </w:p>
    <w:p w14:paraId="7AC8BC5F" w14:textId="59EFEDBF" w:rsidR="00B35D37" w:rsidRDefault="00B35D37" w:rsidP="00B35D37">
      <w:pPr>
        <w:pStyle w:val="SntesisDescriptiva"/>
      </w:pPr>
    </w:p>
    <w:p w14:paraId="53AF0E42" w14:textId="77777777" w:rsidR="00B35D37" w:rsidRDefault="00B35D37" w:rsidP="00B35D37">
      <w:pPr>
        <w:pStyle w:val="SntesisDescriptiva"/>
      </w:pPr>
    </w:p>
    <w:p w14:paraId="37F6D712" w14:textId="77777777" w:rsidR="00B35D37" w:rsidRDefault="00B35D37" w:rsidP="00B35D37">
      <w:pPr>
        <w:pStyle w:val="SntesisDescriptiva"/>
      </w:pPr>
    </w:p>
    <w:p w14:paraId="3A6E5A59" w14:textId="77777777" w:rsidR="00B35D37" w:rsidRDefault="00B35D37" w:rsidP="00B35D37">
      <w:pPr>
        <w:pStyle w:val="TextoNormalNegritaCentrado"/>
      </w:pPr>
      <w:r>
        <w:t>AUTO</w:t>
      </w:r>
    </w:p>
    <w:p w14:paraId="1EF35092" w14:textId="7766B659" w:rsidR="00B35D37" w:rsidRDefault="00B35D37" w:rsidP="00B35D37">
      <w:pPr>
        <w:pStyle w:val="TextoNormalNegritaCentrado"/>
      </w:pPr>
    </w:p>
    <w:p w14:paraId="71D78518" w14:textId="77777777" w:rsidR="00B35D37" w:rsidRDefault="00B35D37" w:rsidP="00B35D37">
      <w:pPr>
        <w:pStyle w:val="TextoNormalNegritaCentrado"/>
        <w:keepNext/>
      </w:pPr>
      <w:r>
        <w:t>I. Antecedentes</w:t>
      </w:r>
    </w:p>
    <w:p w14:paraId="2814B22F" w14:textId="3D0487B8" w:rsidR="00B35D37" w:rsidRDefault="00B35D37" w:rsidP="00B35D37">
      <w:pPr>
        <w:pStyle w:val="TextoNormalNegritaCentrado"/>
        <w:keepNext/>
      </w:pPr>
    </w:p>
    <w:p w14:paraId="6CCF625A" w14:textId="77777777" w:rsidR="00B35D37" w:rsidRDefault="00B35D37" w:rsidP="00B35D37">
      <w:pPr>
        <w:pStyle w:val="TextoNormal"/>
      </w:pPr>
      <w:r w:rsidRPr="00B35D37">
        <w:rPr>
          <w:rStyle w:val="NumeroAFNegritaCaracter"/>
        </w:rPr>
        <w:t>1</w:t>
      </w:r>
      <w:r>
        <w:t>. El 22 de mayo de 2025 ha tenido entrada en el registro del Tribunal Constitucional, escrito dirigido al Pleno de este tribunal por el procurador de los tribunales don Manuel Sánchez-Puelles y González-Carvajal en representación de los diputados del Grupo Parlamentario Popular personados como recurrentes en el recurso de inconstitucionalidad núm. 6436-2024, relativo a la Ley Orgánica 1/2024, de 10 de junio, de amnistía para la normalización institucional, política y social en Cataluña (en adelante, Ley de amnistía).</w:t>
      </w:r>
    </w:p>
    <w:p w14:paraId="09DA4D83" w14:textId="77777777" w:rsidR="00B35D37" w:rsidRDefault="00B35D37" w:rsidP="00B35D37">
      <w:pPr>
        <w:pStyle w:val="TextoNormal"/>
      </w:pPr>
    </w:p>
    <w:p w14:paraId="29C63792" w14:textId="77777777" w:rsidR="00B35D37" w:rsidRDefault="00B35D37" w:rsidP="00B35D37">
      <w:pPr>
        <w:pStyle w:val="TextoNormal"/>
      </w:pPr>
      <w:r>
        <w:t>En dicho escrito, los recurrentes afirman, en primer lugar, que han tenido conocimiento, a través de noticias publicadas en “la generalidad de los diarios y medios de comunicación” de (i) la presentación de un escrito, acompañado de “informes”, por medio del cual una magistrada, doña Concepción Espejel Jorquera, y dos magistrados, don Enrique Arnaldo Alcubilla y don César Tolosa Tribiño, habrían solicitado al presidente de este tribunal que incluyera en el orden del día del Pleno un debate acerca de la pertinencia de plantear una cuestión prejudicial en el recurso de inconstitucionalidad núm. 6436-2024 o que, subsidiariamente, procediera a la suspensión del eventual señalamiento para deliberación, votación y fallo de dicho recurso y (ii) la decisión que habría adoptado el presidente del Tribunal Constitucional desestimando ambas solicitudes.</w:t>
      </w:r>
    </w:p>
    <w:p w14:paraId="473791DB" w14:textId="77777777" w:rsidR="00B35D37" w:rsidRDefault="00B35D37" w:rsidP="00B35D37">
      <w:pPr>
        <w:pStyle w:val="TextoNormal"/>
      </w:pPr>
    </w:p>
    <w:p w14:paraId="0E171EB1" w14:textId="77777777" w:rsidR="00B35D37" w:rsidRDefault="00B35D37" w:rsidP="00B35D37">
      <w:pPr>
        <w:pStyle w:val="TextoNormal"/>
      </w:pPr>
      <w:r>
        <w:t xml:space="preserve">Explican los recurrentes que no solicitaron en su demanda el planteamiento de una cuestión prejudicial de interpretación respecto de las cuestiones o materias en ella contenidas que afectarían al Derecho de la Unión Europea, aunque, según reconocen, esa incidencia y esas materias ya estaban presentes en el momento de la interposición del recurso de inconstitucionalidad. Estiman, sin embargo, que eso no impide que el eventual planteamiento de una cuestión prejudicial pueda suscitarse en un momento posterior, sobre todo cuando la conexión del objeto del proceso constitucional y la posible infracción del Derecho de la Unión Europea resulta evidente. Citan a este respecto la alegación, formulada en la demanda, de vulneración de la cláusula de Estado de Derecho —que estaría conectada con el art. 2 del Tratado de la Unión Europea (TUE)— así como los motivos de inconstitucionalidad específicamente articulados contra el art. 2 c) de la Ley Orgánica 1/2024 —en lo relativo a la cláusula de exclusión de la amnistía a los delitos de terrorismo— y 4 b) —en relación con el régimen de alzamiento de la orden europea de detención y entrega—. Consideran, por tales razones, que procede la suspensión del procedimiento constitucional en curso hasta la resolución de las cuatro cuestiones prejudiciales seguidas ante el Tribunal de Justicia de la Unión Europea relativas a la Ley de amnistía (asuntos C-523/24, </w:t>
      </w:r>
      <w:r w:rsidRPr="00B35D37">
        <w:rPr>
          <w:i/>
        </w:rPr>
        <w:t>Sociedad Civil Catalana</w:t>
      </w:r>
      <w:r>
        <w:t xml:space="preserve">; C-587/24, </w:t>
      </w:r>
      <w:r w:rsidRPr="00B35D37">
        <w:rPr>
          <w:i/>
        </w:rPr>
        <w:t>Vox</w:t>
      </w:r>
      <w:r>
        <w:t xml:space="preserve">; C-666/24, </w:t>
      </w:r>
      <w:r w:rsidRPr="00B35D37">
        <w:rPr>
          <w:i/>
        </w:rPr>
        <w:t>Asociación Catalana de Víctimas de Organizaciones Terroristas</w:t>
      </w:r>
      <w:r>
        <w:t xml:space="preserve">, y C-123/25, </w:t>
      </w:r>
      <w:r w:rsidRPr="00B35D37">
        <w:rPr>
          <w:i/>
        </w:rPr>
        <w:t>Manizo</w:t>
      </w:r>
      <w:r>
        <w:t>).</w:t>
      </w:r>
    </w:p>
    <w:p w14:paraId="500171E2" w14:textId="77777777" w:rsidR="00B35D37" w:rsidRDefault="00B35D37" w:rsidP="00B35D37">
      <w:pPr>
        <w:pStyle w:val="TextoNormal"/>
      </w:pPr>
    </w:p>
    <w:p w14:paraId="08844E62" w14:textId="79D1724E" w:rsidR="00B35D37" w:rsidRDefault="00B35D37" w:rsidP="00B35D37">
      <w:pPr>
        <w:pStyle w:val="TextoNormal"/>
      </w:pPr>
      <w:r>
        <w:t>Finaliza el escrito con una doble petición: (i) que se traslade a las partes la ya referida solicitud presentada por dos magistrados y una magistrada del Tribunal, con “todos sus anexos, informes o cualesquiera documentos que lo acompañen”, así como la resolución de la Presidencia del Tribunal por medio de la cual se rechaza tal solicitud, “acordando la inmediata suspensión del procedimiento hasta la efectiva recepción de los mismos por las partes”, y (ii) que se suspenda la tramitación del procedimiento hasta la resolución por el Tribunal de Justicia de la Unión Europea de las cuestiones prejudiciales previamente referenciadas.</w:t>
      </w:r>
    </w:p>
    <w:p w14:paraId="725A2BEE" w14:textId="77777777" w:rsidR="00B35D37" w:rsidRDefault="00B35D37" w:rsidP="00B35D37">
      <w:pPr>
        <w:pStyle w:val="TextoNormal"/>
      </w:pPr>
    </w:p>
    <w:p w14:paraId="202E4376" w14:textId="20C8B14F" w:rsidR="00B35D37" w:rsidRDefault="00B35D37" w:rsidP="00B35D37">
      <w:pPr>
        <w:pStyle w:val="TextoNormal"/>
      </w:pPr>
      <w:r w:rsidRPr="00B35D37">
        <w:rPr>
          <w:rStyle w:val="NumeroAFNegritaCaracter"/>
        </w:rPr>
        <w:t>2</w:t>
      </w:r>
      <w:r>
        <w:t>. El 23 de mayo de 2025, la representación de los recurrentes ha presentado un segundo escrito en el registro de este tribunal dirigido a la Presidencia del Tribunal, en el que se reproducen, sustancialmente, las mismas alegaciones y en el que insta a dar inmediato traslado de la ya mencionada solicitud formulada por una magistrada y dos magistrados, y de los anexos, informes o cualesquiera documentos que la acompañen. Se insta también, en este escrito, a que se suspenda “en todo caso y hasta la remisión de dicha documentación a mis representados y el transcurso, tras la misma, de al menos diez días hábiles posteriores, toda inclusión en el orden del día del Tribunal de cualesquiera cuestiones relativas al procedimiento en cuestión”.</w:t>
      </w:r>
    </w:p>
    <w:p w14:paraId="0FB0DFE7" w14:textId="77777777" w:rsidR="00B35D37" w:rsidRDefault="00B35D37" w:rsidP="00B35D37">
      <w:pPr>
        <w:pStyle w:val="TextoNormal"/>
      </w:pPr>
    </w:p>
    <w:p w14:paraId="476488EB" w14:textId="5EEC28EC" w:rsidR="00B35D37" w:rsidRDefault="00B35D37" w:rsidP="00B35D37">
      <w:pPr>
        <w:pStyle w:val="TextoNormal"/>
      </w:pPr>
      <w:r w:rsidRPr="00B35D37">
        <w:rPr>
          <w:rStyle w:val="NumeroAFNegritaCaracter"/>
        </w:rPr>
        <w:t>3</w:t>
      </w:r>
      <w:r>
        <w:t>. El 26 de mayo de 2025 ha tenido entrada en el registro de este tribunal un escrito del letrado de las Cortes Generales, en representación y defensa del Senado, solicitando, en el marco del presente recurso de inconstitucionalidad, que, previo traslado a las partes, el Tribunal plantee siete cuestiones prejudiciales ante el Tribunal de Justicia de la Unión Europea en relación con la Ley Orgánica 1/2024. Y ello, en la consideración de que no concurre ninguna de las excepciones que, conforme al art. 267 del Tratado de funcionamiento de la Unión Europea (TFUE), excluyen la viabilidad de este trámite.</w:t>
      </w:r>
    </w:p>
    <w:p w14:paraId="5F004256" w14:textId="77777777" w:rsidR="00B35D37" w:rsidRDefault="00B35D37" w:rsidP="00B35D37">
      <w:pPr>
        <w:pStyle w:val="TextoNormal"/>
      </w:pPr>
    </w:p>
    <w:p w14:paraId="4EE929D2" w14:textId="5AE78C56" w:rsidR="00B35D37" w:rsidRDefault="00B35D37" w:rsidP="00B35D37">
      <w:pPr>
        <w:pStyle w:val="TextoNormal"/>
      </w:pPr>
      <w:r w:rsidRPr="00B35D37">
        <w:rPr>
          <w:rStyle w:val="NumeroAFNegritaCaracter"/>
        </w:rPr>
        <w:t>4</w:t>
      </w:r>
      <w:r>
        <w:t>. El 29 de mayo de 2025 ha tenido entrada en el registro del Tribunal Constitucional, finalmente, un tercer escrito de la representación procesal de los diputados del Grupo Parlamentario Popular en el que se realizan dos peticiones al Pleno del Tribunal: (i) con carácter principal, que se inicien los trámites procesales necesarios para elevar once cuestiones prejudiciales ante el Tribunal de Justicia de la Unión Europea, y (ii) subsidiariamente, que se suspenda la tramitación del presente proceso constitucional hasta tanto no sean resueltas por el Tribunal de Justicia de la Unión Europea las cuestiones prejudiciales ya planteadas en relación con la Ley de amnistía (asuntos C-523/24, C-587/24, C-666/24 y C-123/25).</w:t>
      </w:r>
    </w:p>
    <w:p w14:paraId="0EA2E9A5" w14:textId="77777777" w:rsidR="00B35D37" w:rsidRDefault="00B35D37" w:rsidP="00B35D37">
      <w:pPr>
        <w:pStyle w:val="TextoNormal"/>
      </w:pPr>
    </w:p>
    <w:p w14:paraId="4454C4C7" w14:textId="77777777" w:rsidR="00B35D37" w:rsidRDefault="00B35D37" w:rsidP="00B35D37">
      <w:pPr>
        <w:pStyle w:val="TextoNormalNegritaCentrado"/>
        <w:keepNext/>
      </w:pPr>
      <w:r>
        <w:t>II. Fundamentos jurídicos</w:t>
      </w:r>
    </w:p>
    <w:p w14:paraId="21FC5718" w14:textId="68A60683" w:rsidR="00B35D37" w:rsidRDefault="00B35D37" w:rsidP="00B35D37">
      <w:pPr>
        <w:pStyle w:val="TextoNormalNegritaCentrado"/>
        <w:keepNext/>
      </w:pPr>
    </w:p>
    <w:p w14:paraId="64D3E527" w14:textId="77777777" w:rsidR="00B35D37" w:rsidRDefault="00B35D37" w:rsidP="00B35D37">
      <w:pPr>
        <w:pStyle w:val="TextoNormal"/>
      </w:pPr>
      <w:r w:rsidRPr="00B35D37">
        <w:rPr>
          <w:rStyle w:val="NumeroAFNegritaCaracter"/>
        </w:rPr>
        <w:t>1</w:t>
      </w:r>
      <w:r>
        <w:t>. Según se ha expuesto en los antecedentes, los diputados del Grupo Parlamentario Popular que actúan como recurrentes en el presente proceso constitucional han presentado, a través de su representación procesal, tres escritos sucesivos solicitando, en síntesis: (i) que se dé traslado a las partes de un escrito (incluyendo cualquier informe, documento o anexo que lo acompañe) en el que, según da noticia la prensa, una magistrada y dos magistrados del Tribunal Constitucional solicitan al presidente de este órgano que, o bien convoque un pleno para debatir sobre el posible planteamiento de cuestiones prejudiciales, o bien suspenda la convocatoria de cualquier pleno destinado a debatir el fondo del presente asunto hasta que se resuelvan varias cuestiones prejudiciales que ya han sido planteadas ante el Tribunal de Justicia de la Unión Europea; (ii) que también se dé traslado a las partes de la resolución desestimatoria adoptada, en relación con dicha petición, por el presidente del Tribunal, de cuya existencia igualmente informaría la prensa; (iii) que se suspenda la tramitación del presente proceso hasta que las partes hayan recibido los referidos documentos; (iv) que no se convoque ningún pleno relativo a cualquier cuestión referente al presente proceso constitucional hasta que hayan transcurrido diez días hábiles desde la recepción de los documentos aludidos; (v) que se inicien los trámites procesales necesarios para elevar once cuestiones prejudiciales ante el Tribunal de Justicia de la Unión Europea, y (vi) que, con carácter subsidiario a esta última petición, se suspenda la tramitación del presente proceso constitucional hasta la resolución por el Tribunal de Justicia de la Unión Europea de las cuestiones prejudiciales, asuntos C-523/24, C-587/24, C-666/24 y C-123/25.</w:t>
      </w:r>
    </w:p>
    <w:p w14:paraId="2F6E15F9" w14:textId="77777777" w:rsidR="00B35D37" w:rsidRDefault="00B35D37" w:rsidP="00B35D37">
      <w:pPr>
        <w:pStyle w:val="TextoNormal"/>
      </w:pPr>
    </w:p>
    <w:p w14:paraId="1679E000" w14:textId="77777777" w:rsidR="00B35D37" w:rsidRDefault="00B35D37" w:rsidP="00B35D37">
      <w:pPr>
        <w:pStyle w:val="TextoNormal"/>
      </w:pPr>
      <w:r>
        <w:t>Por su parte, el letrado de las Cortes Generales, actuando en nombre y representación del Senado, ha presentado un escrito en el que solicita que se inicien los trámites procesales pertinentes, en particular el de audiencia de las partes, para proceder al planteamiento, dentro del presente proceso constitucional, de siete cuestiones prejudiciales de interpretación ante el Tribunal de Justicia de la Unión Europea.</w:t>
      </w:r>
    </w:p>
    <w:p w14:paraId="121138FA" w14:textId="77777777" w:rsidR="00B35D37" w:rsidRDefault="00B35D37" w:rsidP="00B35D37">
      <w:pPr>
        <w:pStyle w:val="TextoNormal"/>
      </w:pPr>
    </w:p>
    <w:p w14:paraId="21B10C31" w14:textId="1871742E" w:rsidR="00B35D37" w:rsidRDefault="00B35D37" w:rsidP="00B35D37">
      <w:pPr>
        <w:pStyle w:val="TextoNormal"/>
      </w:pPr>
      <w:r>
        <w:t>Esta petición del Senado guarda conexión directa con la ya aludida solicitud de planteamiento de once cuestiones prejudiciales realizada por los diputados recurrentes —con petición subsidiaria de suspensión del procedimiento, hasta tanto no se resuelvan las cuestiones ya presentadas ante el Tribunal de Justicia de la Unión Europea en relación con la Ley de amnistía—; circunstancia que aconseja pronunciarse sobre todas las peticiones formuladas en una misma resolución.</w:t>
      </w:r>
    </w:p>
    <w:p w14:paraId="5B6B98BC" w14:textId="77777777" w:rsidR="00B35D37" w:rsidRDefault="00B35D37" w:rsidP="00B35D37">
      <w:pPr>
        <w:pStyle w:val="TextoNormal"/>
      </w:pPr>
    </w:p>
    <w:p w14:paraId="3E7443A8" w14:textId="77777777" w:rsidR="00B35D37" w:rsidRDefault="00B35D37" w:rsidP="00B35D37">
      <w:pPr>
        <w:pStyle w:val="TextoNormal"/>
      </w:pPr>
      <w:r w:rsidRPr="00B35D37">
        <w:rPr>
          <w:rStyle w:val="NumeroAFNegritaCaracter"/>
        </w:rPr>
        <w:t>2</w:t>
      </w:r>
      <w:r>
        <w:t>. Ha de darse respuesta, en primer lugar, a la petición formulada, tanto por los diputados recurrentes como por el Senado, para que se inicien los trámites pertinentes, en particular el de audiencia a las partes, a los efectos de plantear varias cuestiones prejudiciales interpretativas ante el Tribunal de Justicia de la Unión Europea.</w:t>
      </w:r>
    </w:p>
    <w:p w14:paraId="773C25D2" w14:textId="77777777" w:rsidR="00B35D37" w:rsidRDefault="00B35D37" w:rsidP="00B35D37">
      <w:pPr>
        <w:pStyle w:val="TextoNormal"/>
      </w:pPr>
    </w:p>
    <w:p w14:paraId="51D3EC2D" w14:textId="77777777" w:rsidR="00B35D37" w:rsidRDefault="00B35D37" w:rsidP="00B35D37">
      <w:pPr>
        <w:pStyle w:val="TextoNormal"/>
      </w:pPr>
      <w:r>
        <w:t>En relación con dicha petición, es de reseñar, en primer lugar, que nada dice la representación de los diputados recurrentes ni tampoco el letrado de las Cortes Generales sobre las razones que justifican que se formule una vez que el proceso constitucional se encuentra ya concluso para sentencia, especialmente cuando ni en la demanda inicial ni en el escrito de alegaciones presentado por el Senado, en el plazo legal conferido, se apreció necesidad alguna de plantear cuestiones prejudiciales ante el Tribunal de Justicia de la Unión Europea, a los efectos de resolver el presente recurso de inconstitucionalidad.</w:t>
      </w:r>
    </w:p>
    <w:p w14:paraId="245F5038" w14:textId="77777777" w:rsidR="00B35D37" w:rsidRDefault="00B35D37" w:rsidP="00B35D37">
      <w:pPr>
        <w:pStyle w:val="TextoNormal"/>
      </w:pPr>
    </w:p>
    <w:p w14:paraId="4B0C47C1" w14:textId="77777777" w:rsidR="00B35D37" w:rsidRDefault="00B35D37" w:rsidP="00B35D37">
      <w:pPr>
        <w:pStyle w:val="TextoNormal"/>
      </w:pPr>
      <w:r>
        <w:t xml:space="preserve">No obstante, cualquiera que sea la razón de tal proceder, basta para resolver la petición formulada con recordar que la audiencia de las partes sobre el eventual planteamiento de una cuestión prejudicial depende de la previa evaluación que el propio órgano judicial, tras la deliberación correspondiente, realice sobre la concurrencia, </w:t>
      </w:r>
      <w:r w:rsidRPr="00B35D37">
        <w:rPr>
          <w:i/>
        </w:rPr>
        <w:t>prima facie</w:t>
      </w:r>
      <w:r>
        <w:t>, de los presupuestos establecidos en el art. 267 TFUE.</w:t>
      </w:r>
    </w:p>
    <w:p w14:paraId="210CC4F0" w14:textId="77777777" w:rsidR="00B35D37" w:rsidRDefault="00B35D37" w:rsidP="00B35D37">
      <w:pPr>
        <w:pStyle w:val="TextoNormal"/>
      </w:pPr>
    </w:p>
    <w:p w14:paraId="49B414EE" w14:textId="77777777" w:rsidR="00B35D37" w:rsidRDefault="00B35D37" w:rsidP="00B35D37">
      <w:pPr>
        <w:pStyle w:val="TextoNormal"/>
      </w:pPr>
      <w:r>
        <w:t xml:space="preserve">Así resulta, con toda evidencia, de la regulación contenida en el propio Tratado y de la naturaleza de la cuestión prejudicial como mecanismo de relación entre órganos jurisdiccionales y así lo especifican, en todo caso, las recomendaciones a los órganos jurisdiccionales nacionales, relativas al planteamiento de cuestiones prejudiciales (C/2024/6008), según las cuales en el apartado I, punto tercero: “El Tribunal de Justicia y el Tribunal General ejercen su competencia para pronunciarse con carácter prejudicial sobre la interpretación o la validez del Derecho de la Unión </w:t>
      </w:r>
      <w:r w:rsidRPr="00B35D37">
        <w:rPr>
          <w:i/>
        </w:rPr>
        <w:t>exclusivamente a iniciativa de los órganos jurisdiccionales nacionales, con independencia de que las partes del litigio principal hayan solicitado o no una remisión prejudicial</w:t>
      </w:r>
      <w:r>
        <w:t xml:space="preserve">. </w:t>
      </w:r>
      <w:r w:rsidRPr="00B35D37">
        <w:rPr>
          <w:i/>
        </w:rPr>
        <w:t>En efecto, como la responsabilidad de la futura resolución judicial recae en el órgano jurisdiccional nacional, es a este órgano —y únicamente a él— a quien corresponde apreciar, habida cuenta de las particularidades de cada asunto, tanto la necesidad de una petición de decisión prejudicial para poder emitir su propia resolución como la pertinencia de las cuestiones que plantea</w:t>
      </w:r>
      <w:r>
        <w:t xml:space="preserve"> [énfasis añadido]”.</w:t>
      </w:r>
    </w:p>
    <w:p w14:paraId="6A363DA3" w14:textId="77777777" w:rsidR="00B35D37" w:rsidRDefault="00B35D37" w:rsidP="00B35D37">
      <w:pPr>
        <w:pStyle w:val="TextoNormal"/>
      </w:pPr>
    </w:p>
    <w:p w14:paraId="359D6CF6" w14:textId="77777777" w:rsidR="00B35D37" w:rsidRDefault="00B35D37" w:rsidP="00B35D37">
      <w:pPr>
        <w:pStyle w:val="TextoNormal"/>
      </w:pPr>
      <w:r>
        <w:t>El promotor de la cuestión prejudicial es, en definitiva, el órgano judicial, no las partes. De ahí que la mera petición de estas no conlleve, como exigencia inherente, la apertura de un trámite formal dirigido a plantearla. Será, por tanto, en la deliberación del Pleno de este tribunal relativa al presente recurso de inconstitucionalidad cuando, en su caso, se evalúe este concreto extremo y se adopte la decisión que se estime pertinente. Ese momento es el procedente, especialmente en un asunto cuya tramitación procesal ha concluido y que está pendiente solo del dictado de sentencia, para decidir si procede abrir un trámite de audiencia a las partes —tal y como se hizo en el recurso de amparo núm. 6922-2008— o si, por el contrario, no concurren los presupuestos necesarios para ello —reflejándose, en este caso, las razones de Derecho que así lo determinen en la sentencia correspondiente [tal y como se hizo, por ejemplo, en la STC 139/2024, de 6 de noviembre, FJ 4 G)]—.</w:t>
      </w:r>
    </w:p>
    <w:p w14:paraId="40F1FD74" w14:textId="77777777" w:rsidR="00B35D37" w:rsidRDefault="00B35D37" w:rsidP="00B35D37">
      <w:pPr>
        <w:pStyle w:val="TextoNormal"/>
      </w:pPr>
    </w:p>
    <w:p w14:paraId="30E29B9E" w14:textId="5BEEF4E3" w:rsidR="00B35D37" w:rsidRDefault="00B35D37" w:rsidP="00B35D37">
      <w:pPr>
        <w:pStyle w:val="TextoNormal"/>
      </w:pPr>
      <w:r>
        <w:t>No ha lugar, por tanto, a abrir en este momento procesal un trámite de audiencia a las partes sobre el planteamiento de cuestiones prejudiciales, sin perjuicio de que la pertinencia de tal proceder sea abordada en la deliberación del Pleno relativa a la resolución del presente recurso de inconstitucionalidad.</w:t>
      </w:r>
    </w:p>
    <w:p w14:paraId="170DE267" w14:textId="77777777" w:rsidR="00B35D37" w:rsidRDefault="00B35D37" w:rsidP="00B35D37">
      <w:pPr>
        <w:pStyle w:val="TextoNormal"/>
      </w:pPr>
    </w:p>
    <w:p w14:paraId="01A9AE95" w14:textId="77777777" w:rsidR="00B35D37" w:rsidRDefault="00B35D37" w:rsidP="00B35D37">
      <w:pPr>
        <w:pStyle w:val="TextoNormal"/>
      </w:pPr>
      <w:r w:rsidRPr="00B35D37">
        <w:rPr>
          <w:rStyle w:val="NumeroAFNegritaCaracter"/>
        </w:rPr>
        <w:t>3</w:t>
      </w:r>
      <w:r>
        <w:t>. La misma respuesta ha de recibir la petición subsidiaria realizada por los diputados recurrentes relativa a la suspensión del presente proceso constitucional hasta que por el Tribunal de Justicia de la Unión Europea se resuelvan las cuestiones prejudiciales, asuntos C-523/24, C-587/24, C-666/24 y C-123/25. Más allá del hecho de que los recurrentes no hicieran esta petición en su demanda y de que ni siquiera mencionan un precepto legal que la sustente formalmente, ha de ser en la deliberación del Pleno de este tribunal relativa al fondo del proceso cuando el colegio de magistrados valore la posible concurrencia de una razón jurídica que determine, en su caso, la necesidad de posponer el dictado de sentencia.</w:t>
      </w:r>
    </w:p>
    <w:p w14:paraId="10776AE6" w14:textId="77777777" w:rsidR="00B35D37" w:rsidRDefault="00B35D37" w:rsidP="00B35D37">
      <w:pPr>
        <w:pStyle w:val="TextoNormal"/>
      </w:pPr>
    </w:p>
    <w:p w14:paraId="1D55BF46" w14:textId="280FC3A8" w:rsidR="00B35D37" w:rsidRDefault="00B35D37" w:rsidP="00B35D37">
      <w:pPr>
        <w:pStyle w:val="TextoNormal"/>
      </w:pPr>
      <w:r>
        <w:t>No ha lugar, por tanto, a acordar la suspensión solicitada.</w:t>
      </w:r>
    </w:p>
    <w:p w14:paraId="3170233A" w14:textId="77777777" w:rsidR="00B35D37" w:rsidRDefault="00B35D37" w:rsidP="00B35D37">
      <w:pPr>
        <w:pStyle w:val="TextoNormal"/>
      </w:pPr>
    </w:p>
    <w:p w14:paraId="51BC43FC" w14:textId="77777777" w:rsidR="00B35D37" w:rsidRDefault="00B35D37" w:rsidP="00B35D37">
      <w:pPr>
        <w:pStyle w:val="TextoNormal"/>
      </w:pPr>
      <w:r w:rsidRPr="00B35D37">
        <w:rPr>
          <w:rStyle w:val="NumeroAFNegritaCaracter"/>
        </w:rPr>
        <w:t>4</w:t>
      </w:r>
      <w:r>
        <w:t>. Resta por resolver la petición formulada por los diputados recurrentes en relación con el traslado a las partes de un escrito dirigido por una magistrada y dos magistrados al presidente de este tribunal, en el que solicitarían la inclusión en el orden del día del Pleno de un debate relativo al posible planteamiento de cuestiones prejudiciales ante el Tribunal de Justicia de la Unión Europea e interesarían, al tiempo, que no se incluyera en las sucesivas convocatorias del Pleno la deliberación relativa a la resolución del fondo del presente proceso. Esta petición de traslado a las partes se extiende, como ya se ha reseñado, a cualquier informe, anexo o documento que acompañe al referido escrito, así como a la resolución adoptada, en relación con él, por el presidente del Tribunal.</w:t>
      </w:r>
    </w:p>
    <w:p w14:paraId="25E67938" w14:textId="77777777" w:rsidR="00B35D37" w:rsidRDefault="00B35D37" w:rsidP="00B35D37">
      <w:pPr>
        <w:pStyle w:val="TextoNormal"/>
      </w:pPr>
    </w:p>
    <w:p w14:paraId="165F52C8" w14:textId="77777777" w:rsidR="00B35D37" w:rsidRDefault="00B35D37" w:rsidP="00B35D37">
      <w:pPr>
        <w:pStyle w:val="TextoNormal"/>
      </w:pPr>
      <w:r>
        <w:t>En relación con esta petición, cabe recordar que los poderes relativos a la convocatoria y fijación del orden del día del Pleno del Tribunal Constitucional están contemplados en el art. 15 de la Ley Orgánica del Tribunal Constitucional (LOTC) y en el art. 14 a) del acuerdo de 5 de julio de 1990, del Pleno, por el que se aprueba el Reglamento de organización y personal del Tribunal Constitucional (“Boletín Oficial del Estado” núm. 185, de 3 de agosto de 1990).</w:t>
      </w:r>
    </w:p>
    <w:p w14:paraId="6DAF85B1" w14:textId="77777777" w:rsidR="00B35D37" w:rsidRDefault="00B35D37" w:rsidP="00B35D37">
      <w:pPr>
        <w:pStyle w:val="TextoNormal"/>
      </w:pPr>
    </w:p>
    <w:p w14:paraId="3CC87427" w14:textId="77777777" w:rsidR="00B35D37" w:rsidRDefault="00B35D37" w:rsidP="00B35D37">
      <w:pPr>
        <w:pStyle w:val="TextoNormal"/>
      </w:pPr>
      <w:r>
        <w:t>El art. 15 LOTC atribuye al presidente del Tribunal la función de convocar y presidir el Tribunal en Pleno y convocar las Salas, así como la de adoptar “las medidas precisas para el funcionamiento del Tribunal”. El art. 14 a) del Reglamento de organización y personal dispone, a su vez, que corresponde al presidente “[c]onvocar y fijar el orden del día de las reuniones del Pleno”.</w:t>
      </w:r>
    </w:p>
    <w:p w14:paraId="7981A573" w14:textId="77777777" w:rsidR="00B35D37" w:rsidRDefault="00B35D37" w:rsidP="00B35D37">
      <w:pPr>
        <w:pStyle w:val="TextoNormal"/>
      </w:pPr>
    </w:p>
    <w:p w14:paraId="3441D073" w14:textId="77777777" w:rsidR="00B35D37" w:rsidRDefault="00B35D37" w:rsidP="00B35D37">
      <w:pPr>
        <w:pStyle w:val="TextoNormal"/>
      </w:pPr>
      <w:r>
        <w:t>De acuerdo con los citados preceptos, la decisión relativa a la inclusión de un determinado asunto en el orden del día del Pleno constituye una potestad del presidente ligada a la ordenación general de la actividad del Tribunal. Tiene, en consecuencia, un carácter estrictamente interno y no forma parte de expediente jurisdiccional alguno.</w:t>
      </w:r>
    </w:p>
    <w:p w14:paraId="3675BDB9" w14:textId="77777777" w:rsidR="00B35D37" w:rsidRDefault="00B35D37" w:rsidP="00B35D37">
      <w:pPr>
        <w:pStyle w:val="TextoNormal"/>
      </w:pPr>
    </w:p>
    <w:p w14:paraId="233B1D70" w14:textId="77777777" w:rsidR="00B35D37" w:rsidRDefault="00B35D37" w:rsidP="00B35D37">
      <w:pPr>
        <w:pStyle w:val="TextoNormal"/>
      </w:pPr>
      <w:r>
        <w:t>No ha lugar, por ello, a dar traslado a las partes ni de los escritos en los que los magistrados expresan su parecer o realizan peticiones en relación con la convocatoria y orden del día de los plenos, ni tampoco de los documentos, anexos o informes que puedan acompañar a dichos escritos.</w:t>
      </w:r>
    </w:p>
    <w:p w14:paraId="47629E27" w14:textId="77777777" w:rsidR="00B35D37" w:rsidRDefault="00B35D37" w:rsidP="00B35D37">
      <w:pPr>
        <w:pStyle w:val="TextoNormal"/>
      </w:pPr>
    </w:p>
    <w:p w14:paraId="4D10625C" w14:textId="77777777" w:rsidR="00B35D37" w:rsidRDefault="00B35D37" w:rsidP="00B35D37">
      <w:pPr>
        <w:pStyle w:val="TextoNormal"/>
      </w:pPr>
      <w:r>
        <w:t>En lo que se refiere, en particular, a los informes, este tribunal ya ha señalado que “los informes que realizan los letrados y letradas del Tribunal en el marco de los procesos constitucionales son ajenos a la documentación jurisdiccional y, por esa razón, quedan fuera de las actuaciones jurisdiccionales a que pueden tener acceso las partes en el procedimiento constitucional” (ATC 8/2024, de 5 de febrero, FJ 3). Según añade el ATC 17/2024, de 20 de febrero, FJ 3, son “meros documentos de trabajo interno, elaborados para conocimiento exclusivo de los magistrados del Tribunal Constitucional, como instrumento de apoyo a sus decisiones, carentes de efecto vinculante”. Doctrina esta que se proyecta, obviamente, sobre todo informe interno del Tribunal, sea o no emitido por un letrado, pues de lo que se trata, en todo caso, es de coadyuvar a la toma de decisiones por parte de los magistrados.</w:t>
      </w:r>
    </w:p>
    <w:p w14:paraId="21B1138E" w14:textId="77777777" w:rsidR="00B35D37" w:rsidRDefault="00B35D37" w:rsidP="00B35D37">
      <w:pPr>
        <w:pStyle w:val="TextoNormal"/>
      </w:pPr>
    </w:p>
    <w:p w14:paraId="6D9B2866" w14:textId="77777777" w:rsidR="00B35D37" w:rsidRDefault="00B35D37" w:rsidP="00B35D37">
      <w:pPr>
        <w:pStyle w:val="TextoNormal"/>
      </w:pPr>
      <w:r>
        <w:t>Los informes tienen, por tanto, carácter estrictamente interno y no han de ser incorporados al expediente del concreto asunto en el que se emiten, criterio este que ha de seguirse, con mayor motivo, cuando se refieren, no a una decisión de admisibilidad (como suele ser el caso de los informes de letrados), sino al ejercicio de una potestad de ordenación interna de la actividad del Tribunal que corresponde al presidente, cual es, como se ha dicho, la convocatoria y fijación del orden del día de los plenos.</w:t>
      </w:r>
    </w:p>
    <w:p w14:paraId="19431186" w14:textId="77777777" w:rsidR="00B35D37" w:rsidRDefault="00B35D37" w:rsidP="00B35D37">
      <w:pPr>
        <w:pStyle w:val="TextoNormal"/>
      </w:pPr>
    </w:p>
    <w:p w14:paraId="2B2F5E0A" w14:textId="77777777" w:rsidR="00B35D37" w:rsidRDefault="00B35D37" w:rsidP="00B35D37">
      <w:pPr>
        <w:pStyle w:val="TextoNormal"/>
      </w:pPr>
      <w:r>
        <w:t>Finalmente, no siendo procedente el traslado a las partes de documento alguno, no ha lugar tampoco a la suspensión del procedimiento en tanto no se produzca su recepción o en los diez días hábiles siguientes.</w:t>
      </w:r>
    </w:p>
    <w:p w14:paraId="0FC69D4D" w14:textId="77777777" w:rsidR="00B35D37" w:rsidRDefault="00B35D37" w:rsidP="00B35D37">
      <w:pPr>
        <w:pStyle w:val="TextoNormal"/>
      </w:pPr>
    </w:p>
    <w:p w14:paraId="5C169CAD" w14:textId="34729456" w:rsidR="00B35D37" w:rsidRDefault="00B35D37" w:rsidP="00B35D37">
      <w:pPr>
        <w:pStyle w:val="TextoNormal"/>
      </w:pPr>
      <w:r>
        <w:t>Todo lo anterior ha de entenderse sin perjuicio, obviamente, de la facultad que a las partes corresponde en cualquier proceso de formular peticiones relativas a la pronta resolución del litigio cuando aprecien la concurrencia de un riesgo de dilaciones indebidas contrarias al art. 24.2 CE.</w:t>
      </w:r>
    </w:p>
    <w:p w14:paraId="7727AEFF" w14:textId="77777777" w:rsidR="00B35D37" w:rsidRDefault="00B35D37" w:rsidP="00B35D37">
      <w:pPr>
        <w:pStyle w:val="TextoNormal"/>
      </w:pPr>
    </w:p>
    <w:p w14:paraId="44AF6C64" w14:textId="77777777" w:rsidR="00B35D37" w:rsidRDefault="00B35D37" w:rsidP="00B35D37">
      <w:pPr>
        <w:pStyle w:val="TextoNormal"/>
      </w:pPr>
      <w:r>
        <w:t>Por lo expuesto, el Pleno</w:t>
      </w:r>
    </w:p>
    <w:p w14:paraId="40050179" w14:textId="1B1661B7" w:rsidR="00B35D37" w:rsidRDefault="00B35D37" w:rsidP="00B35D37">
      <w:pPr>
        <w:pStyle w:val="TextoNormal"/>
      </w:pPr>
    </w:p>
    <w:p w14:paraId="6E78ABDC" w14:textId="77777777" w:rsidR="00B35D37" w:rsidRDefault="00B35D37" w:rsidP="00B35D37">
      <w:pPr>
        <w:pStyle w:val="TextoNormalCentrado"/>
      </w:pPr>
      <w:r>
        <w:t>ACUERDA</w:t>
      </w:r>
    </w:p>
    <w:p w14:paraId="287313BB" w14:textId="61C8C69F" w:rsidR="00B35D37" w:rsidRDefault="00B35D37" w:rsidP="00B35D37">
      <w:pPr>
        <w:pStyle w:val="TextoNormalCentrado"/>
      </w:pPr>
    </w:p>
    <w:p w14:paraId="6FCFB826" w14:textId="77777777" w:rsidR="00B35D37" w:rsidRDefault="00B35D37" w:rsidP="00B35D37">
      <w:pPr>
        <w:pStyle w:val="TextoNormal"/>
      </w:pPr>
      <w:r>
        <w:t>1º Que no ha lugar, en este momento procesal, a la apertura de un trámite de audiencia relativa al posible planteamiento de cuestiones prejudiciales ante el Tribunal de Justicia de la Unión Europea, sin perjuicio de lo que pueda decidirse, a este respecto, en la deliberación del Pleno de este tribunal en la que se aborde el objeto del presente proceso constitucional.</w:t>
      </w:r>
    </w:p>
    <w:p w14:paraId="1F84967B" w14:textId="77777777" w:rsidR="00B35D37" w:rsidRDefault="00B35D37" w:rsidP="00B35D37">
      <w:pPr>
        <w:pStyle w:val="TextoNormal"/>
      </w:pPr>
    </w:p>
    <w:p w14:paraId="14434664" w14:textId="211DACDF" w:rsidR="00B35D37" w:rsidRDefault="00B35D37" w:rsidP="00B35D37">
      <w:pPr>
        <w:pStyle w:val="TextoNormal"/>
      </w:pPr>
      <w:r>
        <w:t>2º Que no ha lugar a las diversas peticiones formuladas por la representación procesal de la parte actora del presente procedimiento, ni en lo relativo al traslado de documentos ni en lo que se refiere a la suspensión de la tramitación de las actuaciones.</w:t>
      </w:r>
    </w:p>
    <w:p w14:paraId="0F37E39D" w14:textId="77777777" w:rsidR="00B35D37" w:rsidRDefault="00B35D37" w:rsidP="00B35D37">
      <w:pPr>
        <w:pStyle w:val="TextoNormal"/>
      </w:pPr>
    </w:p>
    <w:p w14:paraId="291580E0" w14:textId="77777777" w:rsidR="00B35D37" w:rsidRDefault="00B35D37" w:rsidP="00B35D37">
      <w:pPr>
        <w:pStyle w:val="TextoNormal"/>
      </w:pPr>
      <w:r>
        <w:t>Madrid, a once de junio de dos mil veinticinco.</w:t>
      </w:r>
    </w:p>
    <w:p w14:paraId="68EAF0F1" w14:textId="182A47E9" w:rsidR="00B35D37" w:rsidRDefault="00B35D37" w:rsidP="00B35D37">
      <w:pPr>
        <w:pStyle w:val="ParrafoNormal"/>
      </w:pPr>
    </w:p>
    <w:p w14:paraId="3C66D721" w14:textId="77777777" w:rsidR="00B35D37" w:rsidRDefault="00B35D37" w:rsidP="00B35D37">
      <w:pPr>
        <w:pStyle w:val="TextoNormalNegritaCentrado"/>
        <w:keepNext/>
      </w:pPr>
      <w:r>
        <w:t>Voto particular conjunto que formulan los magistrados don César Tolosa Tribiño y don Enrique Arnaldo Alcubilla, y la magistrada doña Concepción Espejel Jorquera, al auto dictado en el recurso de inconstitucionalidad núm. 6436-2024</w:t>
      </w:r>
    </w:p>
    <w:p w14:paraId="18A54A0E" w14:textId="1816C3EB" w:rsidR="00B35D37" w:rsidRDefault="00B35D37" w:rsidP="00B35D37">
      <w:pPr>
        <w:pStyle w:val="TextoNormalNegritaCentrado"/>
        <w:keepNext/>
      </w:pPr>
    </w:p>
    <w:p w14:paraId="3C1E724E" w14:textId="77777777" w:rsidR="00B35D37" w:rsidRDefault="00B35D37" w:rsidP="00B35D37">
      <w:pPr>
        <w:pStyle w:val="TextoNormal"/>
      </w:pPr>
      <w:r>
        <w:t>En el ejercicio de la facultad que nos confiere el artículo 90.2 LOTC, y con respeto a la opinión de los magistrados y las magistradas que han conformado la mayoría del Pleno, formulamos el presente voto particular.</w:t>
      </w:r>
    </w:p>
    <w:p w14:paraId="50BC945A" w14:textId="77777777" w:rsidR="00B35D37" w:rsidRDefault="00B35D37" w:rsidP="00B35D37">
      <w:pPr>
        <w:pStyle w:val="TextoNormal"/>
      </w:pPr>
    </w:p>
    <w:p w14:paraId="4BB6D9CD" w14:textId="77777777" w:rsidR="00B35D37" w:rsidRDefault="00B35D37" w:rsidP="00B35D37">
      <w:pPr>
        <w:pStyle w:val="TextoNormal"/>
      </w:pPr>
      <w:r>
        <w:t>Consideramos que el primer acuerdo adoptado en el auto desestima indebidamente la petición expresa de planteamiento de cuestión prejudicial al Tribunal de Justicia de la Unión Europea que han pedido tanto la parte recurrente como el Senado, y la confunde con una petición de iniciar un trámite procesal que las partes no han pedido. Las partes han pedido que este tribunal plantee una cuestión prejudicial al Tribunal de Justicia con la finalidad de esclarecer las dudas evidentes que han surgido en relación con la interpretación del Derecho de la Unión Europea y que afectan directamente al juicio de constitucionalidad que este tribunal debe hacer respecto a la Ley Orgánica 1/2024, por lo que era necesario haber examinado las razones sustantivas que dan soporte a esta petición que han hecho las partes, y no haberla inadmitido por razones procesales y sin motivación alguna.</w:t>
      </w:r>
    </w:p>
    <w:p w14:paraId="4AF38780" w14:textId="77777777" w:rsidR="00B35D37" w:rsidRDefault="00B35D37" w:rsidP="00B35D37">
      <w:pPr>
        <w:pStyle w:val="TextoNormal"/>
      </w:pPr>
    </w:p>
    <w:p w14:paraId="63A0A699" w14:textId="77777777" w:rsidR="00B35D37" w:rsidRDefault="00B35D37" w:rsidP="00B35D37">
      <w:pPr>
        <w:pStyle w:val="TextoNormal"/>
      </w:pPr>
      <w:r>
        <w:t xml:space="preserve">Y, respecto al segundo acuerdo adoptado, el auto omite que la petición que hicimos el día 12 de mayo de 2025 de incorporar al orden del día del Pleno un debate jurídico sobre la pertinencia de plantear una cuestión prejudicial, o de suspender el presente procedimiento a la espera de que el Tribunal de Justicia resuelva las cuestiones prejudiciales pendientes sobre la Ley de amnistía, es una facultad que nos otorga la Ley Orgánica 2/1979, de 3 de octubre, del Tribunal Constitucional, y que ha sido soslayada mediante un acuerdo presidencial que no solo carece de soporte legal alguno, sino que ha tenido como única finalidad impedir que los magistrados de este tribunal puedan expresar su parecer sobre la necesidad de solicitar la cooperación del Tribunal de Justicia mediante el planteamiento de una cuestión prejudicial; así se evidencia con el hecho de que se haya ahora inadmitido </w:t>
      </w:r>
      <w:r w:rsidRPr="00B35D37">
        <w:rPr>
          <w:i/>
        </w:rPr>
        <w:t>a limine</w:t>
      </w:r>
      <w:r>
        <w:t xml:space="preserve"> también la petición expresa de las partes de plantear cuestión prejudicial sin debatir sobre su pertinencia, y que esta decisión se haya adoptado además en el mismo Pleno en el que se reparte el proyecto de sentencia que propone desestimar en su práctica totalidad el recurso de inconstitucionalidad.</w:t>
      </w:r>
    </w:p>
    <w:p w14:paraId="773960AB" w14:textId="77777777" w:rsidR="00B35D37" w:rsidRDefault="00B35D37" w:rsidP="00B35D37">
      <w:pPr>
        <w:pStyle w:val="TextoNormal"/>
      </w:pPr>
    </w:p>
    <w:p w14:paraId="5390D1C9" w14:textId="77777777" w:rsidR="00B35D37" w:rsidRDefault="00B35D37" w:rsidP="00B35D37">
      <w:pPr>
        <w:pStyle w:val="TextoNormal"/>
      </w:pPr>
      <w:r>
        <w:t>Estos dos aspectos se desarrollan a continuación, si bien, por razones sistemáticas, se examinarán en orden inverso, con un tercer apartado que recoge las dudas evidentes de interpretación del Derecho de la Unión Europea que han surgido y que impiden resolver el presente recurso de inconstitucionalidad sin plantear con carácter previo una cuestión prejudicial al Tribunal de Justicia, o sin esperar a la respuesta que este dé a las cuatro cuestiones prejudiciales pendientes. Finalmente, en un cuarto apartado se sintetizan las dudas interpretativas que los órganos jurisdiccionales han trasladado al Tribunal de Justicia en estas cuestiones prejudiciales, dado que, a pesar de su indudable relevancia para resolver la petición que han hecho las partes, el auto del que discrepamos no ha prestado ninguna atención a su contenido.</w:t>
      </w:r>
    </w:p>
    <w:p w14:paraId="4F0B6C92" w14:textId="77777777" w:rsidR="00B35D37" w:rsidRDefault="00B35D37" w:rsidP="00B35D37">
      <w:pPr>
        <w:pStyle w:val="TextoNormal"/>
      </w:pPr>
    </w:p>
    <w:p w14:paraId="5B88F4E8" w14:textId="77777777" w:rsidR="00B35D37" w:rsidRDefault="00B35D37" w:rsidP="00B35D37">
      <w:pPr>
        <w:pStyle w:val="TextoNormal"/>
      </w:pPr>
      <w:r>
        <w:t xml:space="preserve">1. </w:t>
      </w:r>
      <w:r w:rsidRPr="00B35D37">
        <w:rPr>
          <w:i/>
        </w:rPr>
        <w:t>La petición de tres magistrados de fijar un debate jurídico sobre la necesidad de plantear una cuestión prejudicial debió ser atendida por haberse realizado en el momento oportuno —de acuerdo con la propia jurisprudencia del Tribunal de Justicia de la Unión Europea— y con fundamento en la potestad que les reconoce el artículo 10.1 n) LOTC</w:t>
      </w:r>
    </w:p>
    <w:p w14:paraId="1540BCA2" w14:textId="77777777" w:rsidR="00B35D37" w:rsidRDefault="00B35D37" w:rsidP="00B35D37">
      <w:pPr>
        <w:pStyle w:val="TextoNormal"/>
      </w:pPr>
    </w:p>
    <w:p w14:paraId="34D0AF5C" w14:textId="77777777" w:rsidR="00B35D37" w:rsidRDefault="00B35D37" w:rsidP="00B35D37">
      <w:pPr>
        <w:pStyle w:val="TextoNormal"/>
      </w:pPr>
      <w:r>
        <w:t>a) El auto del que discrepamos acuerda no dar traslado, a las partes recurrentes, del escrito por el que solicitamos al presidente del Tribunal Constitucional que procediese a incluir en el orden del día del Pleno el debate jurídico acerca de la pertinencia de plantear una cuestión prejudicial ante el Tribunal de Justicia, en el presente recurso de inconstitucionalidad, sobre las cuestiones que afectaban al Derecho de la Unión Europea; escrito que tenía por fin último evitar que la sentencia que finalmente dictemos pudiera incurrir en una interpretación errónea de dicho Derecho; subsidiariamente, en dicho escrito considerábamos también pertinente debatir sobre la necesidad de suspender el señalamiento para la deliberación, votación y fallo del presente recurso de inconstitucionalidad a la espera de que el Tribunal de Justicia diese respuesta a las cuatro cuestiones prejudiciales que actualmente están pendientes de resolver por dicho Tribunal y que tienen por objeto determinar si la Ley de amnistía respeta el Derecho de la Unión Europea, dada la homogeneidad existente entre las dudas planteadas al Tribunal de Justicia y las que son objeto de la pretensión de declaración de inconstitucionalidad en el presente recurso de inconstitucionalidad y en los demás procedimientos —recurso y cuestiones de inconstitucionalidad— presentados ante este tribunal sobre dicha norma.</w:t>
      </w:r>
    </w:p>
    <w:p w14:paraId="00928A92" w14:textId="77777777" w:rsidR="00B35D37" w:rsidRDefault="00B35D37" w:rsidP="00B35D37">
      <w:pPr>
        <w:pStyle w:val="TextoNormal"/>
      </w:pPr>
    </w:p>
    <w:p w14:paraId="7C52EEFA" w14:textId="77777777" w:rsidR="00B35D37" w:rsidRDefault="00B35D37" w:rsidP="00B35D37">
      <w:pPr>
        <w:pStyle w:val="TextoNormal"/>
      </w:pPr>
      <w:r>
        <w:t>También acuerda no dar traslado de la resolución adoptada por el presidente del Tribunal el 19 de mayo de 2025 mediante la que acordó no haber lugar a la incorporación de dicha petición al orden del día, considerando que no estimaba procedente el señalamiento prematuro del referido debate, desgajado de la deliberación principal sobre el fondo del asunto; también acordó que no había lugar a la suspensión solicitada subsidiariamente, “dado que la función de control abstracto de constitucionalidad que debe realizar este tribunal en la resolución del recurso de inconstitucionalidad formulado contra la referida ley, recurso en el que ninguna de las partes intervinientes han solicitado el planteamiento de cuestión prejudicial alguna, es independiente de las decisiones adoptadas por otros órganos jurisdiccionales en el ámbito de su competencia específica”. Todo ello, se concluía, sin perjuicio de que en el curso de la deliberación del proyecto de resolución que sea presentado se formulen las manifestaciones y proposiciones que los proponentes de la suspensión estimen procedentes.</w:t>
      </w:r>
    </w:p>
    <w:p w14:paraId="64BCFB75" w14:textId="77777777" w:rsidR="00B35D37" w:rsidRDefault="00B35D37" w:rsidP="00B35D37">
      <w:pPr>
        <w:pStyle w:val="TextoNormal"/>
      </w:pPr>
    </w:p>
    <w:p w14:paraId="2AFA0566" w14:textId="77777777" w:rsidR="00B35D37" w:rsidRDefault="00B35D37" w:rsidP="00B35D37">
      <w:pPr>
        <w:pStyle w:val="TextoNormal"/>
      </w:pPr>
      <w:r>
        <w:t>b) El auto de la mayoría aprobado en el día de hoy explica que, con arreglo a los artículos 15 LOTC y 14 a) del Reglamento de organización y personal del Tribunal Constitucional, la decisión sobre la inclusión de un asunto en el orden del día del Pleno constituye una potestad del presidente “ligada a la ordenación general de la actividad del Tribunal”, de forma que dicha decisión tiene “un carácter estrictamente interno y no forma parte de expediente jurisdiccional alguno”.</w:t>
      </w:r>
    </w:p>
    <w:p w14:paraId="2F055A4A" w14:textId="77777777" w:rsidR="00B35D37" w:rsidRDefault="00B35D37" w:rsidP="00B35D37">
      <w:pPr>
        <w:pStyle w:val="TextoNormal"/>
      </w:pPr>
    </w:p>
    <w:p w14:paraId="5CCEB7DE" w14:textId="77777777" w:rsidR="00B35D37" w:rsidRDefault="00B35D37" w:rsidP="00B35D37">
      <w:pPr>
        <w:pStyle w:val="TextoNormal"/>
      </w:pPr>
      <w:r>
        <w:t>Pues bien, a nuestro parecer, con esta respuesta se confunde lo que es la facultad que ostenta el presidente del Tribunal Constitucional, que puede adoptar acuerdos de contenido gubernativo, con las facultades jurisdiccionales que solo corresponden al Pleno, o, en su caso, a las salas y secciones de este tTribunal.</w:t>
      </w:r>
    </w:p>
    <w:p w14:paraId="57EE16E3" w14:textId="77777777" w:rsidR="00B35D37" w:rsidRDefault="00B35D37" w:rsidP="00B35D37">
      <w:pPr>
        <w:pStyle w:val="TextoNormal"/>
      </w:pPr>
    </w:p>
    <w:p w14:paraId="0717FA3B" w14:textId="77777777" w:rsidR="00B35D37" w:rsidRDefault="00B35D37" w:rsidP="00B35D37">
      <w:pPr>
        <w:pStyle w:val="TextoNormal"/>
      </w:pPr>
      <w:r>
        <w:t>Efectivamente, el presidente ostenta la facultad de la fijación del orden día y la ordenación general de la actividad del Tribunal, cuestiones que tienen carácter gubernativo y que, por lo tanto, puede resolver él solo con carácter individual. Pero la decisión sobre si procede o no plantear una cuestión prejudicial no es una facultad gubernativa que competa al presidente tomar, sino una facultad jurisdiccional que es de la sola competencia, en este caso, del Pleno, que es el que está conociendo del recurso de inconstitucionalidad que nos ocupa. De igual modo, la decisión de si procede o no debatir el planteamiento de una cuestión prejudicial y el momento oportuno para ello tampoco puede adoptarse de forma unilateral por el presidente del Tribunal, que no puede privar al Colegio de Magistrados de una facultad que solo a este último le corresponde ejercer cuando está en cuestión la interpretación o la validez del Derecho de la Unión Europea.</w:t>
      </w:r>
    </w:p>
    <w:p w14:paraId="70C17E5B" w14:textId="77777777" w:rsidR="00B35D37" w:rsidRDefault="00B35D37" w:rsidP="00B35D37">
      <w:pPr>
        <w:pStyle w:val="TextoNormal"/>
      </w:pPr>
    </w:p>
    <w:p w14:paraId="0775084B" w14:textId="77777777" w:rsidR="00B35D37" w:rsidRDefault="00B35D37" w:rsidP="00B35D37">
      <w:pPr>
        <w:pStyle w:val="TextoNormal"/>
      </w:pPr>
      <w:r>
        <w:t>Es decir, si el Colegio de Magistrados es el único competente para determinar si necesita plantear una cuestión prejudicial, solo a este le compete también decidir cuando es el momento oportuno para debatir dicha necesidad. Y este debate puede pedirse además por cualquier magistrado que forme parte del Colegio de Magistrados, y más en este caso cuando se trató de una petición formal firmada por tres magistrados, determinando el art. 10.1 n) LOTC, que el Tribunal en Pleno conoce de los distintos asuntos que relaciona, y “[d]e cualquier otro asunto que sea competencia del Tribunal pero recabe para sí el Pleno, a propuesta del presidente o de tres Magistrados”.</w:t>
      </w:r>
    </w:p>
    <w:p w14:paraId="3A0F6556" w14:textId="77777777" w:rsidR="00B35D37" w:rsidRDefault="00B35D37" w:rsidP="00B35D37">
      <w:pPr>
        <w:pStyle w:val="TextoNormal"/>
      </w:pPr>
    </w:p>
    <w:p w14:paraId="37655CEC" w14:textId="77777777" w:rsidR="00B35D37" w:rsidRDefault="00B35D37" w:rsidP="00B35D37">
      <w:pPr>
        <w:pStyle w:val="TextoNormal"/>
      </w:pPr>
      <w:r>
        <w:t xml:space="preserve">La respuesta dada por el acuerdo unilateral del presidente del Tribunal denegando la solicitud que hicimos, bajo la premisa de que la cuestión se podría suscitar en el Pleno en el que se delibere el proyecto de resolución que sea presentado, no remedia la irregularidad cometida dado que el debate de dicho proyecto no es un requisito o presupuesto </w:t>
      </w:r>
      <w:r w:rsidRPr="00B35D37">
        <w:rPr>
          <w:i/>
        </w:rPr>
        <w:t>sine qua non</w:t>
      </w:r>
      <w:r>
        <w:t xml:space="preserve"> que deba cumplirse con carácter previo al debate sobre la necesidad de plantear una cuestión prejudicial.</w:t>
      </w:r>
    </w:p>
    <w:p w14:paraId="1C2C863F" w14:textId="77777777" w:rsidR="00B35D37" w:rsidRDefault="00B35D37" w:rsidP="00B35D37">
      <w:pPr>
        <w:pStyle w:val="TextoNormal"/>
      </w:pPr>
    </w:p>
    <w:p w14:paraId="6B970B5C" w14:textId="77777777" w:rsidR="00B35D37" w:rsidRDefault="00B35D37" w:rsidP="00B35D37">
      <w:pPr>
        <w:pStyle w:val="TextoNormal"/>
      </w:pPr>
      <w:r>
        <w:t xml:space="preserve">Para comprobar que ello es así basta con recordar cómo adoptó este tribunal la decisión de plantear su primera —y única hasta la fecha— cuestión prejudicial al Tribunal de Justicia en el asunto C-399/11, </w:t>
      </w:r>
      <w:r w:rsidRPr="00B35D37">
        <w:rPr>
          <w:i/>
        </w:rPr>
        <w:t>Melloni</w:t>
      </w:r>
      <w:r>
        <w:t>, en el que se planteó una cuestión prejudicial mediante el ATC 86/2011, de 9 de junio. Como se explica en el antecedente 5 de dicha resolución, por providencia de 1 de marzo de 2011, el Pleno acordó recabar para sí el conocimiento del recurso de amparo, y, a continuación, mediante providencia de 31 de marzo de 2011 dio traslado a las partes para que presentaran alegaciones en relación con el posible planteamiento ante el Tribunal de Justicia de una cuestión prejudicial, planteando la cuestión prejudicial el 9 de junio siguiente. Es decir, la única vez que este tribunal adoptó la decisión de dirigirse al Tribunal de Justicia mediante una cuestión prejudicial, lo hizo sin que hubiera mediado con anterioridad señalamiento alguno para la deliberación, votación y fallo de proyecto de resolución en el Pleno.</w:t>
      </w:r>
    </w:p>
    <w:p w14:paraId="1CF9D011" w14:textId="77777777" w:rsidR="00B35D37" w:rsidRDefault="00B35D37" w:rsidP="00B35D37">
      <w:pPr>
        <w:pStyle w:val="TextoNormal"/>
      </w:pPr>
    </w:p>
    <w:p w14:paraId="1D360EE6" w14:textId="77777777" w:rsidR="00B35D37" w:rsidRDefault="00B35D37" w:rsidP="00B35D37">
      <w:pPr>
        <w:pStyle w:val="TextoNormal"/>
      </w:pPr>
      <w:r>
        <w:t>Es más, la solicitud que hicimos el 12 de mayo de 2025 de debatir la pertinencia de plantear la cuestión prejudicial, la hicimos en el momento que consideramos más oportuno siguiendo las indicaciones que a tal efecto da el Tribunal de Justicia tanto en su jurisprudencia como en las recomendaciones que dirige a los órganos jurisdiccionales nacionales, relativas al planteamiento de cuestiones prejudiciales (C/2024/6008).</w:t>
      </w:r>
    </w:p>
    <w:p w14:paraId="455F6152" w14:textId="77777777" w:rsidR="00B35D37" w:rsidRDefault="00B35D37" w:rsidP="00B35D37">
      <w:pPr>
        <w:pStyle w:val="TextoNormal"/>
      </w:pPr>
    </w:p>
    <w:p w14:paraId="77C834FD" w14:textId="77777777" w:rsidR="00B35D37" w:rsidRDefault="00B35D37" w:rsidP="00B35D37">
      <w:pPr>
        <w:pStyle w:val="TextoNormal"/>
      </w:pPr>
      <w:r>
        <w:t xml:space="preserve">Así, el punto de partida en esta materia es el de la libertad del órgano jurisdiccional nacional —no de su presidente— que es el que debe “decidir en qué fase del procedimiento procede plantear una cuestión prejudicial al Tribunal de Justicia” (entre otras, SSTJUE de 20 de septiembre de 2018, C-448/17, asunto </w:t>
      </w:r>
      <w:r w:rsidRPr="00B35D37">
        <w:rPr>
          <w:i/>
        </w:rPr>
        <w:t>EOS KSI Slovensko</w:t>
      </w:r>
      <w:r>
        <w:t xml:space="preserve">, § 57, y de 4 de mayo de 2023, asunto C-60/22, </w:t>
      </w:r>
      <w:r w:rsidRPr="00B35D37">
        <w:rPr>
          <w:i/>
        </w:rPr>
        <w:t>Bundesrepublik Deutschland</w:t>
      </w:r>
      <w:r>
        <w:t>, § 41). Y dentro de esta libertad dos son los elementos relevantes a tomar en consideración: puede hacerlo, en primer lugar, “tan pronto como estime que, para poder emitir su fallo, resulta necesaria una decisión sobre la interpretación o la validez del Derecho de la Unión”, y, en segundo lugar, la decisión de plantear una cuestión prejudicial “debe adoptarse en una fase del procedimiento en la que el órgano jurisdiccional remitente esté en condiciones de determinar, con suficiente precisión, el contexto jurídico y fáctico del asunto principal y las cuestiones jurídicas que desee suscitar. En aras de una recta administración de la Justicia, también puede resultar conveniente que la remisión se produzca tras un debate contradictorio” (puntos 12 y 13 de las recomendaciones C/2024/6008).</w:t>
      </w:r>
    </w:p>
    <w:p w14:paraId="3185046C" w14:textId="77777777" w:rsidR="00B35D37" w:rsidRDefault="00B35D37" w:rsidP="00B35D37">
      <w:pPr>
        <w:pStyle w:val="TextoNormal"/>
      </w:pPr>
    </w:p>
    <w:p w14:paraId="46C78C37" w14:textId="77777777" w:rsidR="00B35D37" w:rsidRDefault="00B35D37" w:rsidP="00B35D37">
      <w:pPr>
        <w:pStyle w:val="TextoNormal"/>
      </w:pPr>
      <w:r>
        <w:t>Pues bien, a la vista de dichas circunstancias, y tal y como también concluyó el informe del Consejo General del Poder Judicial al anteproyecto de la Ley Orgánica del Poder Judicial de fecha de 27 de junio de 2014, el momento procesal adecuado para presentar la cuestión prejudicial “deb[e] ser cuando el proceso ha quedado concluso y antes de dictar sentencia o resolución definitiva” [apartado 88 i)]. En idéntico sentido se pronunció la Instrucción 1/2016, de 7 de enero, sobre la intervención del fiscal en las cuestiones prejudiciales europeas.</w:t>
      </w:r>
    </w:p>
    <w:p w14:paraId="6CC42B66" w14:textId="77777777" w:rsidR="00B35D37" w:rsidRDefault="00B35D37" w:rsidP="00B35D37">
      <w:pPr>
        <w:pStyle w:val="TextoNormal"/>
      </w:pPr>
    </w:p>
    <w:p w14:paraId="184D219B" w14:textId="77777777" w:rsidR="00B35D37" w:rsidRDefault="00B35D37" w:rsidP="00B35D37">
      <w:pPr>
        <w:pStyle w:val="TextoNormal"/>
      </w:pPr>
      <w:r>
        <w:t>Precisamente, en el momento en el que lo pedimos, el procedimiento estaba próximo a declararse concluso (la solicitud la hicimos el 12 de mayo de 2025 y el procedimiento se ha declarado concluso por diligencia de ordenación del secretario de justicia de 3 de junio de 2025), y este tribunal ya estaba en condiciones de precisar las cuestiones que se debían suscitar al Tribunal de Justicia a la vista del contenido del recurso de inconstitucionalidad y de las alegaciones presentadas por los distintos intervinientes. Además, la necesidad de plantear una cuestión prejudicial se había hecho evidente en ese momento, a la luz del contenido de las cuatro cuestiones prejudiciales planteadas por distintos órganos jurisdiccionales que no solo cuestionan la compatibilidad de la Ley de amnistía con el Derecho de la Unión Europea, sino que también solicitan la interpretación de determinadas disposiciones de dicho Derecho cuyo alcance debe discernirse también para poder resolver el presente recurso de inconstitucionalidad.</w:t>
      </w:r>
    </w:p>
    <w:p w14:paraId="70E1D7BB" w14:textId="77777777" w:rsidR="00B35D37" w:rsidRDefault="00B35D37" w:rsidP="00B35D37">
      <w:pPr>
        <w:pStyle w:val="TextoNormal"/>
      </w:pPr>
    </w:p>
    <w:p w14:paraId="421DCC25" w14:textId="77777777" w:rsidR="00B35D37" w:rsidRDefault="00B35D37" w:rsidP="00B35D37">
      <w:pPr>
        <w:pStyle w:val="TextoNormal"/>
      </w:pPr>
      <w:r>
        <w:t xml:space="preserve">Estas son las cuestiones prejudiciales: asuntos C-523/24, </w:t>
      </w:r>
      <w:r w:rsidRPr="00B35D37">
        <w:rPr>
          <w:i/>
        </w:rPr>
        <w:t>Sociedad Civil Catalana</w:t>
      </w:r>
      <w:r>
        <w:t xml:space="preserve"> (planteada por el Tribunal de Cuentas); C-587/24, </w:t>
      </w:r>
      <w:r w:rsidRPr="00B35D37">
        <w:rPr>
          <w:i/>
        </w:rPr>
        <w:t>Vox</w:t>
      </w:r>
      <w:r>
        <w:t xml:space="preserve"> (planteada por el Tribunal Superior de Justicia de Cataluña); C-666/24, </w:t>
      </w:r>
      <w:r w:rsidRPr="00B35D37">
        <w:rPr>
          <w:i/>
        </w:rPr>
        <w:t>Asociación Catalana de Víctimas de Organizaciones Terroristas</w:t>
      </w:r>
      <w:r>
        <w:t xml:space="preserve"> (</w:t>
      </w:r>
      <w:r w:rsidRPr="00B35D37">
        <w:rPr>
          <w:i/>
        </w:rPr>
        <w:t>ACVOT</w:t>
      </w:r>
      <w:r>
        <w:t xml:space="preserve">) (planteada por la Audiencia Nacional), y C-123/25, </w:t>
      </w:r>
      <w:r w:rsidRPr="00B35D37">
        <w:rPr>
          <w:i/>
        </w:rPr>
        <w:t>Manizo</w:t>
      </w:r>
      <w:r>
        <w:t xml:space="preserve"> (planteada por el Juzgado de lo Penal número 3 de Vilanova i La Geltrú).</w:t>
      </w:r>
    </w:p>
    <w:p w14:paraId="4AE7A041" w14:textId="77777777" w:rsidR="00B35D37" w:rsidRDefault="00B35D37" w:rsidP="00B35D37">
      <w:pPr>
        <w:pStyle w:val="TextoNormal"/>
      </w:pPr>
    </w:p>
    <w:p w14:paraId="391DD117" w14:textId="77777777" w:rsidR="00B35D37" w:rsidRDefault="00B35D37" w:rsidP="00B35D37">
      <w:pPr>
        <w:pStyle w:val="TextoNormal"/>
      </w:pPr>
      <w:r>
        <w:t>Finalmente, no podemos olvidar el reciente precedente por el que se introdujo en el orden del día del Pleno de 8 de abril de 2025, el debate sobre la posibilidad de plantear cuestiones prejudiciales “en la ejecución de sentencias definitivas dictadas por el Tribunal Constitucional u otros tribunales superiores nacionales, con suspensión de la ejecución” y su “[r]elación con el deber de velar por el cumplimiento efectivo de nuestras resoluciones establecido en el art. 92.1 LOTC” y sus “[e]fectos sobre el sistema interno de recursos jurisdiccionales”, en el seno de los recursos de amparo núm. 921-2022 (Tribunal Superior de Justicia de Madrid) y 6971-2022 (Audiencia Provincial de Sevilla).</w:t>
      </w:r>
    </w:p>
    <w:p w14:paraId="22CDA991" w14:textId="77777777" w:rsidR="00B35D37" w:rsidRDefault="00B35D37" w:rsidP="00B35D37">
      <w:pPr>
        <w:pStyle w:val="TextoNormal"/>
      </w:pPr>
    </w:p>
    <w:p w14:paraId="54391243" w14:textId="77777777" w:rsidR="00B35D37" w:rsidRDefault="00B35D37" w:rsidP="00B35D37">
      <w:pPr>
        <w:pStyle w:val="TextoNormal"/>
      </w:pPr>
      <w:r>
        <w:t>En esos recursos dicho debate tuvo lugar a instancias del presidente de este tribunal que lo incluyó en el orden del día por su propia iniciativa, si bien entendemos que este tipo de debates, al tener carácter jurisdiccional —y no gubernativo—, pueden también ser promovidos por tres magistrados al amparo del citado artículo 10.1 n) LOTC. De lo contrario, el presidente monopolizaría la necesidad de adoptar decisiones jurisdiccionales de gran importancia, ya sea la imposición de multas coercitivas al amparo del citado artículo 92.1 LOTC (que fue el supuesto debatido en el Pleno de 8 de abril de 2025) ya sea, como ocurre en el presente supuesto, el debate sobre el planteamiento de una cuestión prejudicial al Tribunal de Justicia.</w:t>
      </w:r>
    </w:p>
    <w:p w14:paraId="0A91DE29" w14:textId="77777777" w:rsidR="00B35D37" w:rsidRDefault="00B35D37" w:rsidP="00B35D37">
      <w:pPr>
        <w:pStyle w:val="TextoNormal"/>
      </w:pPr>
    </w:p>
    <w:p w14:paraId="57BD4ED7" w14:textId="77777777" w:rsidR="00B35D37" w:rsidRDefault="00B35D37" w:rsidP="00B35D37">
      <w:pPr>
        <w:pStyle w:val="TextoNormal"/>
      </w:pPr>
      <w:r>
        <w:t>c) Por otro lado, el auto también fundamenta la decisión de no dar traslado de la petición que hicimos al presidente del Tribunal en la circunstancia de que todo informe interno del Tribunal, sea o no emitido por un letrado, tiene “carácter estrictamente interno y no han de ser incorporados al expediente del concreto asunto en el que se emiten”.</w:t>
      </w:r>
    </w:p>
    <w:p w14:paraId="0681BBBB" w14:textId="77777777" w:rsidR="00B35D37" w:rsidRDefault="00B35D37" w:rsidP="00B35D37">
      <w:pPr>
        <w:pStyle w:val="TextoNormal"/>
      </w:pPr>
    </w:p>
    <w:p w14:paraId="4E80C536" w14:textId="77777777" w:rsidR="00B35D37" w:rsidRDefault="00B35D37" w:rsidP="00B35D37">
      <w:pPr>
        <w:pStyle w:val="TextoNormal"/>
      </w:pPr>
      <w:r>
        <w:t>No podemos compartir este argumento desde el momento en que se está refiriendo a la petición de debatir la necesidad de plantear una cuestión prejudicial, o de suspender el procedimiento que nos ocupa, que fue una petición hecha personalmente por tres magistrados, con carácter formal, y al amparo del artículo 10.1 n), LOTC, y fue una petición fundada en la que se explicaron las razones que la sustentaban. Por lo tanto, esta petición no puede asimilarse a los informes que realizan los letrados y letradas de este tribunal, que sí son meros documentos de trabajo interno, elaborados como instrumento de apoyo a las decisiones que toma el Pleno, o, en su caso, las salas y secciones. Estos últimos informes sí deben de quedar fuera de las actuaciones jurisdiccionales, pero no ocurre así con la petición fundada de tres magistrados realizada al amparo del artículo 10.1 n), LOTC, porque su autoría es distinta, y también lo es su naturaleza y su finalidad.</w:t>
      </w:r>
    </w:p>
    <w:p w14:paraId="3F5BB989" w14:textId="77777777" w:rsidR="00B35D37" w:rsidRDefault="00B35D37" w:rsidP="00B35D37">
      <w:pPr>
        <w:pStyle w:val="TextoNormal"/>
      </w:pPr>
    </w:p>
    <w:p w14:paraId="697C2229" w14:textId="77777777" w:rsidR="00B35D37" w:rsidRDefault="00B35D37" w:rsidP="00B35D37">
      <w:pPr>
        <w:pStyle w:val="TextoNormal"/>
      </w:pPr>
      <w:r>
        <w:t>Llegados a este punto nos ratificamos en la petición que hicimos el día 12 de mayo de 2025 y en todos los razonamientos que dimos para sustentar nuestra petición de plantear una cuestión prejudicial al Tribunal de Justicia, o de suspender el procedimiento a la espera de que se resuelvan las cuestiones prejudiciales pendientes sobre la Ley de amnistía. Como abordaremos en el apartado tercero del presente voto, las dudas sobre la interpretación del Derecho de la Unión Europea existentes en la actualidad son evidentes e impiden resolver el recurso de inconstitucionalidad sin plantear con carácter previo una cuestión prejudicial al Tribunal de Justicia con arreglo a lo preceptuado en el artículo 267, párrafo tercero, TFUE, so pena de incurrir en una interpretación contraria al Derecho de la Unión Europea que ponga en cuestión el principio de primacía de dicho Derecho.</w:t>
      </w:r>
    </w:p>
    <w:p w14:paraId="1C2B09BE" w14:textId="77777777" w:rsidR="00B35D37" w:rsidRDefault="00B35D37" w:rsidP="00B35D37">
      <w:pPr>
        <w:pStyle w:val="TextoNormal"/>
      </w:pPr>
    </w:p>
    <w:p w14:paraId="7C971C60" w14:textId="77777777" w:rsidR="00B35D37" w:rsidRDefault="00B35D37" w:rsidP="00B35D37">
      <w:pPr>
        <w:pStyle w:val="TextoNormal"/>
      </w:pPr>
      <w:r>
        <w:t xml:space="preserve">2. </w:t>
      </w:r>
      <w:r w:rsidRPr="00B35D37">
        <w:rPr>
          <w:i/>
        </w:rPr>
        <w:t>La desestimación por motivos formales de la petición de decisión prejudicial debidamente planteada por las partes es contraria al Derecho de la Unión Europea [arts. 267, párrafo tercero, TFUE y 47 de la Carta de los derechos fundamentales de la Unión Europea (CDFUE)] y al derecho a la tutela judicial efectiva [arts. 24 CE y 6 del Convenio europeo para la protección de los derechos humanos y de las libertades fundamentales (CEDH</w:t>
      </w:r>
      <w:r>
        <w:t>)]</w:t>
      </w:r>
    </w:p>
    <w:p w14:paraId="4AB8276E" w14:textId="77777777" w:rsidR="00B35D37" w:rsidRDefault="00B35D37" w:rsidP="00B35D37">
      <w:pPr>
        <w:pStyle w:val="TextoNormal"/>
      </w:pPr>
    </w:p>
    <w:p w14:paraId="58CA0C0C" w14:textId="77777777" w:rsidR="00B35D37" w:rsidRDefault="00B35D37" w:rsidP="00B35D37">
      <w:pPr>
        <w:pStyle w:val="TextoNormal"/>
      </w:pPr>
      <w:r>
        <w:t>Una vez despejadas las dudas sobre qué había sido solicitado al Tribunal por parte de los tres magistrados que suscribimos el presente voto y qué respuesta se había dado, debemos manifestar nuestra oposición a la forma en que este tribunal ha tratado la petición de dos de las partes en el presente procedimiento (la parte recurrente y el Senado) de elevar una cuestión prejudicial al Tribunal de Justicia.</w:t>
      </w:r>
    </w:p>
    <w:p w14:paraId="70C3D91F" w14:textId="77777777" w:rsidR="00B35D37" w:rsidRDefault="00B35D37" w:rsidP="00B35D37">
      <w:pPr>
        <w:pStyle w:val="TextoNormal"/>
      </w:pPr>
    </w:p>
    <w:p w14:paraId="238E69AD" w14:textId="77777777" w:rsidR="00B35D37" w:rsidRDefault="00B35D37" w:rsidP="00B35D37">
      <w:pPr>
        <w:pStyle w:val="TextoNormal"/>
      </w:pPr>
      <w:r>
        <w:t>Es verdad que la petición de parte de una cuestión prejudicial no vincula a este tribunal, y que a él solo le compete decidir si es necesario o no plantear dicha cuestión. Pero ello no quiere decir que las partes no tengan derecho a poner de manifiesto al Tribunal las dudas sobre la interpretación del Derecho de la Unión Europea que consideran que concurren en un determinado asunto, y que, en consecuencia, insten el planteamiento de la debida cuestión prejudicial, siendo así que dicha petición permite también al Tribunal valorar la oportunidad o, en su caso, la necesidad de dirigirse al Tribunal de Justicia.</w:t>
      </w:r>
    </w:p>
    <w:p w14:paraId="1DE57CE6" w14:textId="77777777" w:rsidR="00B35D37" w:rsidRDefault="00B35D37" w:rsidP="00B35D37">
      <w:pPr>
        <w:pStyle w:val="TextoNormal"/>
      </w:pPr>
    </w:p>
    <w:p w14:paraId="7DDDBDD5" w14:textId="77777777" w:rsidR="00B35D37" w:rsidRDefault="00B35D37" w:rsidP="00B35D37">
      <w:pPr>
        <w:pStyle w:val="TextoNormal"/>
      </w:pPr>
      <w:r>
        <w:t>2.1. En primer lugar, no compartimos los razonamientos en los que se basa la mayoría para denegar dicha petición de planteamiento de cuestión prejudicial. En particular, discrepamos del reproche que el auto hace a los diputados recurrentes y al letrado de las Cortes Generales por no dar razones sobre por qué se formula la petición “una vez que el proceso constitucional se encuentra ya concluso para sentencia, especialmente cuando ni en la demanda inicial ni en el escrito de alegaciones presentado por el Senado, en el plazo legal conferido, se apreció necesidad alguna de plantear cuestiones prejudiciales ante el Tribunal de Justicia de la Unión Europea, a los efectos de resolver el presente recurso de inconstitucionalidad”.</w:t>
      </w:r>
    </w:p>
    <w:p w14:paraId="2DF0A15C" w14:textId="77777777" w:rsidR="00B35D37" w:rsidRDefault="00B35D37" w:rsidP="00B35D37">
      <w:pPr>
        <w:pStyle w:val="TextoNormal"/>
      </w:pPr>
    </w:p>
    <w:p w14:paraId="79654F9D" w14:textId="77777777" w:rsidR="00B35D37" w:rsidRDefault="00B35D37" w:rsidP="00B35D37">
      <w:pPr>
        <w:pStyle w:val="TextoNormal"/>
      </w:pPr>
      <w:r>
        <w:t>a) Lo primero que debe ponerse de manifiesto es que el auto incurre en un error cuando afirma que cuando las partes pidieron el planteamiento de cuestión prejudicial, el procedimiento estaba concluso para sentencia, pues esto no acontece hasta la diligencia de ordenación del secretario de justicia del Pleno de 3 de junio de 2025. Todos los escritos procesales a los que da respuesta el presente auto se registraron en el Tribunal en fecha anterior.</w:t>
      </w:r>
    </w:p>
    <w:p w14:paraId="71D29601" w14:textId="77777777" w:rsidR="00B35D37" w:rsidRDefault="00B35D37" w:rsidP="00B35D37">
      <w:pPr>
        <w:pStyle w:val="TextoNormal"/>
      </w:pPr>
    </w:p>
    <w:p w14:paraId="295D81FE" w14:textId="77777777" w:rsidR="00B35D37" w:rsidRDefault="00B35D37" w:rsidP="00B35D37">
      <w:pPr>
        <w:pStyle w:val="TextoNormal"/>
      </w:pPr>
      <w:r>
        <w:t>En cualquier caso, el momento temporal que las partes han elegido para pedir expresamente el planteamiento de una cuestión prejudicial es indiferente, pues lo único relevante es, por un lado, que el proceso no ha concluido mediante sentencia (esta petición se ha hecho además con carácter previo al señalamiento para deliberación, votación y fallo del presente recurso de inconstitucionalidad), y, por otro lado, que la petición de cuestión prejudicial tiene relación directa con los motivos del recurso formulados al tiempo de la interposición.</w:t>
      </w:r>
    </w:p>
    <w:p w14:paraId="4C77DAC4" w14:textId="77777777" w:rsidR="00B35D37" w:rsidRDefault="00B35D37" w:rsidP="00B35D37">
      <w:pPr>
        <w:pStyle w:val="TextoNormal"/>
      </w:pPr>
    </w:p>
    <w:p w14:paraId="65F1D3CD" w14:textId="77777777" w:rsidR="00B35D37" w:rsidRDefault="00B35D37" w:rsidP="00B35D37">
      <w:pPr>
        <w:pStyle w:val="TextoNormal"/>
      </w:pPr>
      <w:r>
        <w:t>b) Por otro lado, aunque en la demanda el recurrente no pidió expresamente el planteamiento de cuestión prejudicial, sí hizo una referencia expresa a las razones por las cuales la Ley de amnistía vulneraba el Derecho de la Unión Europea, y también planteaba los problemas que conlleva que esta norma afecte a distintas disposiciones comunitarias.</w:t>
      </w:r>
    </w:p>
    <w:p w14:paraId="7699D18E" w14:textId="77777777" w:rsidR="00B35D37" w:rsidRDefault="00B35D37" w:rsidP="00B35D37">
      <w:pPr>
        <w:pStyle w:val="TextoNormal"/>
      </w:pPr>
    </w:p>
    <w:p w14:paraId="4B2A7EA7" w14:textId="77777777" w:rsidR="00B35D37" w:rsidRDefault="00B35D37" w:rsidP="00B35D37">
      <w:pPr>
        <w:pStyle w:val="TextoNormal"/>
      </w:pPr>
      <w:r>
        <w:t>Por lo tanto, suscitándose distintos problemas de interpretación del Derecho de la Unión Europea, es indiferente que se hubiera o no pedido de forma expresa dicho planteamiento en la propia demanda, a lo que debe añadirse que dicha omisión no es un obstáculo que impida que las partes soliciten el planteamiento de una cuestión prejudicial en un momento posterior del procedimiento, siempre, insistimos, que este no haya concluido mediante sentencia; en este caso, además, no puede ignorarse que la parte recurrente ha hecho una referencia expresa en su petición de planteamiento de la cuestión prejudicial a la existencia de las cuatro cuestiones prejudiciales pendientes sobre la Ley de amnistía antes citadas, las cuales, a excepción de la primera, son de fecha posterior a la presentación de la demanda.</w:t>
      </w:r>
    </w:p>
    <w:p w14:paraId="7AF04D21" w14:textId="77777777" w:rsidR="00B35D37" w:rsidRDefault="00B35D37" w:rsidP="00B35D37">
      <w:pPr>
        <w:pStyle w:val="TextoNormal"/>
      </w:pPr>
    </w:p>
    <w:p w14:paraId="3FB35EED" w14:textId="77777777" w:rsidR="00B35D37" w:rsidRDefault="00B35D37" w:rsidP="00B35D37">
      <w:pPr>
        <w:pStyle w:val="TextoNormal"/>
      </w:pPr>
      <w:r>
        <w:t xml:space="preserve">Además, que lo hubieran o no solicitado es indiferente porque el artículo 267, párrafo tercero, TFUE, obliga a los órganos de última instancia a plantear una cuestión prejudicial ante el Tribunal de Justicia cuando se plantee alguna duda relativa a la interpretación del Derecho de la Unión Europea, y esta obligación no depende de la solicitud expresa de las partes en el procedimiento nacional. Como se recuerda en la STJUE de 6 de octubre de 2021, dictada en el asunto </w:t>
      </w:r>
      <w:r w:rsidRPr="00B35D37">
        <w:rPr>
          <w:i/>
        </w:rPr>
        <w:t>Consorzio Italian Management, Catania Multiservizi SpA c. Rete Ferroviaria Italiana SpA</w:t>
      </w:r>
      <w:r>
        <w:t xml:space="preserve"> “el sistema de cooperación directa entre el Tribunal de Justicia y los órganos jurisdiccionales nacionales, instaurado por el artículo 267 TFUE, es ajeno a toda iniciativa de las partes” (C-561/19, § 53).</w:t>
      </w:r>
    </w:p>
    <w:p w14:paraId="38CEC243" w14:textId="77777777" w:rsidR="00B35D37" w:rsidRDefault="00B35D37" w:rsidP="00B35D37">
      <w:pPr>
        <w:pStyle w:val="TextoNormal"/>
      </w:pPr>
    </w:p>
    <w:p w14:paraId="3A451561" w14:textId="77777777" w:rsidR="00B35D37" w:rsidRDefault="00B35D37" w:rsidP="00B35D37">
      <w:pPr>
        <w:pStyle w:val="TextoNormal"/>
      </w:pPr>
      <w:r>
        <w:t>(i) A estos efectos debe recordarse que en el recurso de inconstitucionalidad se plantea de forma tajante que la Ley de amnistía es inconstitucional porque vulnera la cláusula de Estado de Derecho, la división de poderes y la exclusividad de la jurisdicción, y el derecho a la igualdad en la aplicación de la ley penal, explicando a tal efecto que es contrario al Estado de Derecho que la amnistía la pacte quien va a ser amnistiado o que la mera aritmética parlamentaria pueda justificar la violenta excepción de los principios constitucionales como es el Estado de Derecho. Y para dar soporte a tal afirmación acude expresamente al artículo 2 TUE, que consagra el valor del Estado de Derecho y a la jurisprudencia que el Tribunal de Justicia ha desarrollado en relación con la protección de dicho valor.</w:t>
      </w:r>
    </w:p>
    <w:p w14:paraId="704826E0" w14:textId="77777777" w:rsidR="00B35D37" w:rsidRDefault="00B35D37" w:rsidP="00B35D37">
      <w:pPr>
        <w:pStyle w:val="TextoNormal"/>
      </w:pPr>
    </w:p>
    <w:p w14:paraId="365F43D9" w14:textId="77777777" w:rsidR="00B35D37" w:rsidRDefault="00B35D37" w:rsidP="00B35D37">
      <w:pPr>
        <w:pStyle w:val="TextoNormal"/>
      </w:pPr>
      <w:r>
        <w:t>Recuerdan a tal efecto los recurrentes, la importancia que la jurisprudencia del Tribunal de Justicia ha dado al contexto jurídico-fáctico nacional para apreciar si existe vulneración de dicha cláusula, considerando fundamental el acuerdo del Partido Socialista Obrero Español con Junts per Catalunya para la investidura de su candidato a la Presidencia de Gobierno a cambio de la amnistía, así como los debates parlamentarios que llevaron a adoptar esta medida; y apelan a la prohibición de regresión consagrada en la jurisprudencia del Tribunal de Justicia que determina que un Estado miembro no puede modificar su legislación de modo que dé lugar a una reducción de la protección del valor de Estado de Derecho, siendo así que la amnistía supone una “verdadera regresión” en la garantía de dicha cláusula. En este examen de la jurisprudencia del Tribunal de Justicia, el recurso hace una referencia expresa a la importancia de excluir cualquier influencia en las decisiones de los jueces conforme al principio de separación de poderes. También desarrolla las razones por las cuales esta cláusula de Estado de Derecho regulada por el Derecho de la Unión Europea supone una prohibición de las autoamnistías y de las amnistías a políticos por casos de corrupción.</w:t>
      </w:r>
    </w:p>
    <w:p w14:paraId="392315CB" w14:textId="77777777" w:rsidR="00B35D37" w:rsidRDefault="00B35D37" w:rsidP="00B35D37">
      <w:pPr>
        <w:pStyle w:val="TextoNormal"/>
      </w:pPr>
    </w:p>
    <w:p w14:paraId="3BEB40CF" w14:textId="77777777" w:rsidR="00B35D37" w:rsidRDefault="00B35D37" w:rsidP="00B35D37">
      <w:pPr>
        <w:pStyle w:val="TextoNormal"/>
      </w:pPr>
      <w:r>
        <w:t>(ii) De forma adicional, en el recurso de inconstitucionalidad se denuncia expresamente que la dicotomía entre un terrorismo que sería respetuoso con los derechos humanos y otro que no lo es resulta difícilmente conciliable con la Directiva (UE) 2017/541 del Parlamento Europeo y del Consejo de 15 de marzo de 2017 relativa a la lucha contra el terrorismo y por la que se sustituye la Decisión marco 2002/475/JAI del Consejo y se modifica la Decisión 2005/671/JAI del Consejo [Directiva (UE) 2017/541, en adelante].</w:t>
      </w:r>
    </w:p>
    <w:p w14:paraId="73E8B883" w14:textId="77777777" w:rsidR="00B35D37" w:rsidRDefault="00B35D37" w:rsidP="00B35D37">
      <w:pPr>
        <w:pStyle w:val="TextoNormal"/>
      </w:pPr>
    </w:p>
    <w:p w14:paraId="382C552D" w14:textId="77777777" w:rsidR="00B35D37" w:rsidRDefault="00B35D37" w:rsidP="00B35D37">
      <w:pPr>
        <w:pStyle w:val="TextoNormal"/>
      </w:pPr>
      <w:r>
        <w:t>Argumentan los recurrentes que la norma europea parte de que los actos de terrorismo son en sí mismos una violación de derechos humanos por lo que no cabe la despenalización de tales conductas y, además, exigir que el daño se haya producido de forma intencionada excluye la posibilidad de apreciar dolo eventual, lo que resulta inadmisible desde las exigencias del Derecho internacional, debiendo imponerse el Derecho de la Unión Europea en tanto el delito de terrorismo es uno de los más graves atentados contra el Estado de Derecho. Por otro lado, el legislador orgánico impone al juez nacional la directa aplicación de una Directiva por encima de los artículos del Código penal que la transponen, lo que no respeta los principios de certeza y previsibilidad derivados de la legalidad penal.</w:t>
      </w:r>
    </w:p>
    <w:p w14:paraId="1BF5A53B" w14:textId="77777777" w:rsidR="00B35D37" w:rsidRDefault="00B35D37" w:rsidP="00B35D37">
      <w:pPr>
        <w:pStyle w:val="TextoNormal"/>
      </w:pPr>
    </w:p>
    <w:p w14:paraId="67998EC8" w14:textId="77777777" w:rsidR="00B35D37" w:rsidRDefault="00B35D37" w:rsidP="00B35D37">
      <w:pPr>
        <w:pStyle w:val="TextoNormal"/>
      </w:pPr>
      <w:r>
        <w:t>(iii) También se aborda en el recurso de inconstitucionalidad, la incidencia clara que la Ley 1/2024 tiene en el ámbito propio del Derecho de la Unión Europea, al eliminar la potestad jurisdiccional cautelar y al dejar sin efectos las órdenes europeas de detención reguladas en la Decisión Marco del Consejo, de 13 de junio de 2002, relativa a la orden de detención europea y a los procedimientos de entrega entre Estados miembros (2002/584/JAI). A juicio de los recurrentes se produce una vulneración de los postulados que recoge el Tribunal de Justicia relativos a los principios de separación de poderes y al principio de exclusividad jurisdiccional.</w:t>
      </w:r>
    </w:p>
    <w:p w14:paraId="7E0C8D1D" w14:textId="77777777" w:rsidR="00B35D37" w:rsidRDefault="00B35D37" w:rsidP="00B35D37">
      <w:pPr>
        <w:pStyle w:val="TextoNormal"/>
      </w:pPr>
    </w:p>
    <w:p w14:paraId="1D773181" w14:textId="77777777" w:rsidR="00B35D37" w:rsidRDefault="00B35D37" w:rsidP="00B35D37">
      <w:pPr>
        <w:pStyle w:val="TextoNormal"/>
      </w:pPr>
      <w:r>
        <w:t>2.2. En segundo lugar, el auto del que discrepamos no da ninguna respuesta a lo pedido expresamente por las partes, cuando acuerda que “no ha lugar, en este momento procesal, a la apertura de un trámite de audiencia relativa al posible planteamiento de cuestiones prejudiciales ante el Tribunal de Justicia de la Unión Europea, sin perjuicio de lo que pueda decidirse, a este respecto, en la deliberación del Pleno de este tribunal en la que se aborde el objeto del presente proceso constitucional”.</w:t>
      </w:r>
    </w:p>
    <w:p w14:paraId="67B7DBE3" w14:textId="77777777" w:rsidR="00B35D37" w:rsidRDefault="00B35D37" w:rsidP="00B35D37">
      <w:pPr>
        <w:pStyle w:val="TextoNormal"/>
      </w:pPr>
    </w:p>
    <w:p w14:paraId="0A4144C6" w14:textId="77777777" w:rsidR="00B35D37" w:rsidRDefault="00B35D37" w:rsidP="00B35D37">
      <w:pPr>
        <w:pStyle w:val="TextoNormal"/>
      </w:pPr>
      <w:r>
        <w:t>El auto adoptado por la mayoría, para evitar enfrentarse al problema que plantea la existencia de dos peticiones expresas de planteamiento de cuestión prejudicial, que han pedido tanto la parte recurrente como el Senado, las califica indebidamente como una petición de iniciar un trámite procesal que las partes no han pedido. Las partes no han solicitado que se abra trámite de audiencia alguno, ni que se abra ningún trámite “procesal”, sino que han pedido que se planteen distintas cuestiones prejudiciales al Tribunal de Justicia y a tal efecto han explicado de forma pormenorizada los problemas de interpretación del Derecho de la Unión Europea que deben resolverse con carácter previo al examen de los motivos de inconstitucionalidad que dejaron expuestos en su escrito de recurso (la parte recurrente) y en su escrito de alegaciones (el Senado).</w:t>
      </w:r>
    </w:p>
    <w:p w14:paraId="3A136537" w14:textId="77777777" w:rsidR="00B35D37" w:rsidRDefault="00B35D37" w:rsidP="00B35D37">
      <w:pPr>
        <w:pStyle w:val="TextoNormal"/>
      </w:pPr>
    </w:p>
    <w:p w14:paraId="586FB8F1" w14:textId="77777777" w:rsidR="00B35D37" w:rsidRDefault="00B35D37" w:rsidP="00B35D37">
      <w:pPr>
        <w:pStyle w:val="TextoNormal"/>
      </w:pPr>
      <w:r>
        <w:t>En particular, la parte recurrente ha instado a este tribunal que plantee las siguientes once cuestiones prejudiciales:</w:t>
      </w:r>
    </w:p>
    <w:p w14:paraId="77A84CC0" w14:textId="77777777" w:rsidR="00B35D37" w:rsidRDefault="00B35D37" w:rsidP="00B35D37">
      <w:pPr>
        <w:pStyle w:val="TextoNormal"/>
      </w:pPr>
    </w:p>
    <w:p w14:paraId="3C2FA8C8" w14:textId="77777777" w:rsidR="00B35D37" w:rsidRDefault="00B35D37" w:rsidP="00B35D37">
      <w:pPr>
        <w:pStyle w:val="TextoNormal"/>
      </w:pPr>
      <w:r>
        <w:t>“Primera. ¿Debe interpretarse el artículo 2 TUE, en relación con el artículo 19 TUE, en el sentido de que se opone a una norma nacional como la [Ley de amnistía], que extingue, en ejercicio de una competencia sobre la cual existen dudas de constitucionalidad objetivas, la responsabilidad penal de determinadas personas donde de forma notoria dicha norma (i) ha sido aprobada como fruto de una exigencia política para la obtención de un acuerdo de investidura, (ii) se proyecta sobre delitos graves perpetrados con la intención de subvertir y derogar el orden constitucional con ajenidad a los cauces y procesos legalmente establecidos, (iii) ha sido redactada y aprobada a su medida con la intervención determinante de sujetos beneficiados por la propia norma, que lejos de arrepentirse de tal proceder declaran públicamente su intención de persistir en sus acciones, y (iv) en fin, se aprueba por quienes con inmediata anterioridad defendían vehementemente la inconstitucionalidad de una medida similar?</w:t>
      </w:r>
    </w:p>
    <w:p w14:paraId="1EF0B8EE" w14:textId="77777777" w:rsidR="00B35D37" w:rsidRDefault="00B35D37" w:rsidP="00B35D37">
      <w:pPr>
        <w:pStyle w:val="TextoNormal"/>
      </w:pPr>
    </w:p>
    <w:p w14:paraId="762975AE" w14:textId="77777777" w:rsidR="00B35D37" w:rsidRDefault="00B35D37" w:rsidP="00B35D37">
      <w:pPr>
        <w:pStyle w:val="TextoNormal"/>
      </w:pPr>
      <w:r>
        <w:t>[…]</w:t>
      </w:r>
    </w:p>
    <w:p w14:paraId="7361A8FE" w14:textId="77777777" w:rsidR="00B35D37" w:rsidRDefault="00B35D37" w:rsidP="00B35D37">
      <w:pPr>
        <w:pStyle w:val="TextoNormal"/>
      </w:pPr>
    </w:p>
    <w:p w14:paraId="20F47BBB" w14:textId="77777777" w:rsidR="00B35D37" w:rsidRDefault="00B35D37" w:rsidP="00B35D37">
      <w:pPr>
        <w:pStyle w:val="TextoNormal"/>
      </w:pPr>
      <w:r>
        <w:t>Segunda. ¿Resulta compatible con las disposiciones del Derecho de la Unión Europea relativas a los principios de igualdad y no discriminación —en particular, los artículos 2 y 3.3 TUE, los artículos 10, 18 y 19 TFUE, los artículos 20 y 21 CDFUE— una normativa nacional como la Ley de amnistía, en la medida en que, en la práctica totalidad de los supuestos contemplados en su artículo 1, otorga el beneficio de la amnistía únicamente a quienes hayan participado en los hechos objeto de la misma movidos por una determinada finalidad ideológica o política, excluyendo a quienes actuaron con una motivación distinta o sin motivación ideológica o política alguna?</w:t>
      </w:r>
    </w:p>
    <w:p w14:paraId="2C712428" w14:textId="77777777" w:rsidR="00B35D37" w:rsidRDefault="00B35D37" w:rsidP="00B35D37">
      <w:pPr>
        <w:pStyle w:val="TextoNormal"/>
      </w:pPr>
    </w:p>
    <w:p w14:paraId="03EB9B84" w14:textId="77777777" w:rsidR="00B35D37" w:rsidRDefault="00B35D37" w:rsidP="00B35D37">
      <w:pPr>
        <w:pStyle w:val="TextoNormal"/>
      </w:pPr>
      <w:r>
        <w:t>[…]</w:t>
      </w:r>
    </w:p>
    <w:p w14:paraId="74CB1648" w14:textId="77777777" w:rsidR="00B35D37" w:rsidRDefault="00B35D37" w:rsidP="00B35D37">
      <w:pPr>
        <w:pStyle w:val="TextoNormal"/>
      </w:pPr>
    </w:p>
    <w:p w14:paraId="31B67B8F" w14:textId="77777777" w:rsidR="00B35D37" w:rsidRDefault="00B35D37" w:rsidP="00B35D37">
      <w:pPr>
        <w:pStyle w:val="TextoNormal"/>
      </w:pPr>
      <w:r>
        <w:t>Tercera. ¿Debe interpretarse la Directiva (UE) 2017/541, en particular sus artículos 3 a 15, en el sentido de que se opone a una norma nacional como el artículo 2 c) de la [Ley de amnistía], que supedita la exclusión del beneficio de amnistía para delitos de terrorismo a que dichos delitos hayan causado efectivamente y de forma intencionada graves violaciones de derechos humanos, permitiendo así la impunidad de conductas subsumibles en el ámbito objetivo de dicha Directiva pero que no alcanzan tal umbral de lesividad?</w:t>
      </w:r>
    </w:p>
    <w:p w14:paraId="0F08858E" w14:textId="77777777" w:rsidR="00B35D37" w:rsidRDefault="00B35D37" w:rsidP="00B35D37">
      <w:pPr>
        <w:pStyle w:val="TextoNormal"/>
      </w:pPr>
    </w:p>
    <w:p w14:paraId="4D1B943D" w14:textId="77777777" w:rsidR="00B35D37" w:rsidRDefault="00B35D37" w:rsidP="00B35D37">
      <w:pPr>
        <w:pStyle w:val="TextoNormal"/>
      </w:pPr>
      <w:r>
        <w:t>Cuarta. ¿Resulta compatible con el principio de legalidad penal en su dimensión europea —así como con los principios de seguridad jurídica y tipicidad— una norma nacional que, para definir el ámbito de exclusión penal, remite directamente a una Directiva europea (carente de efecto directo en materia penal), omitiendo la correspondiente norma nacional de trasposición, en este caso, el Código penal?</w:t>
      </w:r>
    </w:p>
    <w:p w14:paraId="08F9C80E" w14:textId="77777777" w:rsidR="00B35D37" w:rsidRDefault="00B35D37" w:rsidP="00B35D37">
      <w:pPr>
        <w:pStyle w:val="TextoNormal"/>
      </w:pPr>
    </w:p>
    <w:p w14:paraId="7A60E062" w14:textId="77777777" w:rsidR="00B35D37" w:rsidRDefault="00B35D37" w:rsidP="00B35D37">
      <w:pPr>
        <w:pStyle w:val="TextoNormal"/>
      </w:pPr>
      <w:r>
        <w:t>Quinta. ¿Vulnera el principio de primacía del Derecho de la Unión y el principio de cooperación leal consagrado en el artículo 4.3 TUE una norma nacional que permite la exención de responsabilidad penal a quienes han participado en hechos constitutivos de terrorismo según la Directiva (UE) 2017/541, condicionando su punibilidad a criterios no contemplados en dicha norma europea, como la intención de causar violaciones graves de derechos humanos?</w:t>
      </w:r>
    </w:p>
    <w:p w14:paraId="490F0154" w14:textId="77777777" w:rsidR="00B35D37" w:rsidRDefault="00B35D37" w:rsidP="00B35D37">
      <w:pPr>
        <w:pStyle w:val="TextoNormal"/>
      </w:pPr>
    </w:p>
    <w:p w14:paraId="1E9FE9CF" w14:textId="77777777" w:rsidR="00B35D37" w:rsidRDefault="00B35D37" w:rsidP="00B35D37">
      <w:pPr>
        <w:pStyle w:val="TextoNormal"/>
      </w:pPr>
      <w:r>
        <w:t>Sexta. ¿Debe interpretarse la Directiva (UE) 2017/541 en el sentido de que impone a los Estados miembros una obligación de tipificación y persecución penal efectiva de todos los hechos comprendidos en su ámbito objetivo, incluidos los actos preparatorios y conexos, sin admitir modulaciones ulteriores que vacíen de contenido dicha obligación, como sería una amnistía generalizada no basada en una derogación o modificación legislativa penal sustantiva?</w:t>
      </w:r>
    </w:p>
    <w:p w14:paraId="6AC8B20D" w14:textId="77777777" w:rsidR="00B35D37" w:rsidRDefault="00B35D37" w:rsidP="00B35D37">
      <w:pPr>
        <w:pStyle w:val="TextoNormal"/>
      </w:pPr>
    </w:p>
    <w:p w14:paraId="73AE39B6" w14:textId="77777777" w:rsidR="00B35D37" w:rsidRDefault="00B35D37" w:rsidP="00B35D37">
      <w:pPr>
        <w:pStyle w:val="TextoNormal"/>
      </w:pPr>
      <w:r>
        <w:t>[…]</w:t>
      </w:r>
    </w:p>
    <w:p w14:paraId="6B8E86AC" w14:textId="77777777" w:rsidR="00B35D37" w:rsidRDefault="00B35D37" w:rsidP="00B35D37">
      <w:pPr>
        <w:pStyle w:val="TextoNormal"/>
      </w:pPr>
    </w:p>
    <w:p w14:paraId="7382FF1E" w14:textId="77777777" w:rsidR="00B35D37" w:rsidRDefault="00B35D37" w:rsidP="00B35D37">
      <w:pPr>
        <w:pStyle w:val="TextoNormal"/>
      </w:pPr>
      <w:r>
        <w:t>Séptima. ¿Debe interpretarse el artículo 325 TFUE, en relación con los artículos 2.1 a) y 4.2 de la Directiva (UE) 2017/1371, en el sentido de que se opone a una norma nacional como la [Ley de amnistía], que extingue la responsabilidad penal por delitos de malversación de caudales públicos cometidos por autoridades o funcionarios públicos, en tanto que dicha amnistía podría generar una desprotección de los intereses financieros del Estado miembro, afectando por extensión a los intereses financieros de la Unión, habida cuenta de la interdependencia estructural entre los presupuestos nacionales y el presupuesto general de la Unión?</w:t>
      </w:r>
    </w:p>
    <w:p w14:paraId="31FB95D9" w14:textId="77777777" w:rsidR="00B35D37" w:rsidRDefault="00B35D37" w:rsidP="00B35D37">
      <w:pPr>
        <w:pStyle w:val="TextoNormal"/>
      </w:pPr>
    </w:p>
    <w:p w14:paraId="4DCC0DD0" w14:textId="77777777" w:rsidR="00B35D37" w:rsidRDefault="00B35D37" w:rsidP="00B35D37">
      <w:pPr>
        <w:pStyle w:val="TextoNormal"/>
      </w:pPr>
      <w:r>
        <w:t>Octava. ¿Vulnera el principio de efectividad consagrado en el artículo 325 TFUE una norma nacional como la [Ley de amnistía], en tanto en cuanto —bajo una medida de gracia generalizada— impide la aplicación de sanciones penales a quienes han gestionado de forma ilícita fondos públicos, aun cuando dicha impunidad pueda erosionar el deber de los Estados miembros de adoptar medidas disuasorias eficaces y efectivas frente a conductas que comprometen directa o indirectamente los intereses financieros de la Unión?</w:t>
      </w:r>
    </w:p>
    <w:p w14:paraId="70036E75" w14:textId="77777777" w:rsidR="00B35D37" w:rsidRDefault="00B35D37" w:rsidP="00B35D37">
      <w:pPr>
        <w:pStyle w:val="TextoNormal"/>
      </w:pPr>
    </w:p>
    <w:p w14:paraId="31CEF8B2" w14:textId="77777777" w:rsidR="00B35D37" w:rsidRDefault="00B35D37" w:rsidP="00B35D37">
      <w:pPr>
        <w:pStyle w:val="TextoNormal"/>
      </w:pPr>
      <w:r>
        <w:t>Novena. ¿Debe interpretarse el concepto de ‘intereses financieros de la Unión’ [artículo 2 e) [de la Ley de amnistía] a que se refiere el artículo 2.1 a) de la Directiva (UE) 2017/1371, y el artículo 2.1 del Reglamento (UE, Euratom) núm. 883/2013, en el sentido de que comprende también el desvío de fondos públicos propios del presupuesto de una comunidad autónoma de un Estado miembro, cuando estos han sido utilizados para fines declarados ilícitos —como la promoción de la secesión unilateral del Estado—, en la medida en que dicha actuación compromete, de forma sistémica o estructural, la estabilidad presupuestaria del Estado miembro y, por derivación, la integridad financiera de la Unión?</w:t>
      </w:r>
    </w:p>
    <w:p w14:paraId="4386143D" w14:textId="77777777" w:rsidR="00B35D37" w:rsidRDefault="00B35D37" w:rsidP="00B35D37">
      <w:pPr>
        <w:pStyle w:val="TextoNormal"/>
      </w:pPr>
    </w:p>
    <w:p w14:paraId="2299CDBE" w14:textId="77777777" w:rsidR="00B35D37" w:rsidRDefault="00B35D37" w:rsidP="00B35D37">
      <w:pPr>
        <w:pStyle w:val="TextoNormal"/>
      </w:pPr>
      <w:r>
        <w:t>[…]</w:t>
      </w:r>
    </w:p>
    <w:p w14:paraId="43C8825B" w14:textId="77777777" w:rsidR="00B35D37" w:rsidRDefault="00B35D37" w:rsidP="00B35D37">
      <w:pPr>
        <w:pStyle w:val="TextoNormal"/>
      </w:pPr>
    </w:p>
    <w:p w14:paraId="7355CEBA" w14:textId="77777777" w:rsidR="00B35D37" w:rsidRDefault="00B35D37" w:rsidP="00B35D37">
      <w:pPr>
        <w:pStyle w:val="TextoNormal"/>
      </w:pPr>
      <w:r>
        <w:t>Décima. ¿Es conforme con el Derecho de la Unión Europea, especialmente con los valores del Estado de Derecho —incluidos los principios de separación de poderes, legalidad, justicia y la prohibición del abuso de derecho recogidos en los artículos 1, 2, 3, 4.3, 6.1 y 19 TUE, 267 TFUE, y los artículos 47 y 54 CDFUE—, una norma nacional como la [Ley de amnistía], elaborada y aprobada con la participación determinante de formaciones políticas cuyos líderes o miembros resultarían beneficiados de su aplicación, donde la misma pretenda, invadiendo competencias atribuidas a la función jurisdiccional, minimizar o eliminar el margen de apreciación del órgano jurisdiccional en la determinación de los efectos cautelares y de otra índole en la aplicación de la norma, incluyendo el aparente deber de aplicar directamente con todos los efectos la norma pese a la pendencia de cuestión prejudicial formulada ante el Tribunal de Justicia de la Unión Euro</w:t>
      </w:r>
      <w:r w:rsidRPr="00B35D37">
        <w:rPr>
          <w:i/>
        </w:rPr>
        <w:t>pe</w:t>
      </w:r>
      <w:r>
        <w:t>a ex art. 267 TFUE?</w:t>
      </w:r>
    </w:p>
    <w:p w14:paraId="206D62E4" w14:textId="77777777" w:rsidR="00B35D37" w:rsidRDefault="00B35D37" w:rsidP="00B35D37">
      <w:pPr>
        <w:pStyle w:val="TextoNormal"/>
      </w:pPr>
    </w:p>
    <w:p w14:paraId="46BC2995" w14:textId="77777777" w:rsidR="00B35D37" w:rsidRDefault="00B35D37" w:rsidP="00B35D37">
      <w:pPr>
        <w:pStyle w:val="TextoNormal"/>
      </w:pPr>
      <w:r>
        <w:t>[…]</w:t>
      </w:r>
    </w:p>
    <w:p w14:paraId="3CA54EE0" w14:textId="77777777" w:rsidR="00B35D37" w:rsidRDefault="00B35D37" w:rsidP="00B35D37">
      <w:pPr>
        <w:pStyle w:val="TextoNormal"/>
      </w:pPr>
    </w:p>
    <w:p w14:paraId="60E33DCD" w14:textId="77777777" w:rsidR="00B35D37" w:rsidRDefault="00B35D37" w:rsidP="00B35D37">
      <w:pPr>
        <w:pStyle w:val="TextoNormal"/>
      </w:pPr>
      <w:r>
        <w:t>Undécima. ¿Deben interpretarse los artículos 2, 3.2, 4.2 TUE y 20.2 a) y 21.1 TFUE, muy especialmente en relación con los derechos a libre circulación y residencia en el territorio de los Estados miembros en condiciones de libertad, seguridad y justicia, como opuestos a una ley nacional (la [Ley de amnistía]) a través de la cual se exime de responsabilidad penal a los condenados por atentar contra el orden constitucional y el Estado de Derecho de un Estado miembro con la finalidad de, subvirtiendo por vías ilegales su Constitución y ordenamiento jurídico, segregar una parte del territorio de la Nación y, por lo tanto, también de la Unión Europea?”.</w:t>
      </w:r>
    </w:p>
    <w:p w14:paraId="4E9ED49C" w14:textId="77777777" w:rsidR="00B35D37" w:rsidRDefault="00B35D37" w:rsidP="00B35D37">
      <w:pPr>
        <w:pStyle w:val="TextoNormal"/>
      </w:pPr>
    </w:p>
    <w:p w14:paraId="002104A6" w14:textId="77777777" w:rsidR="00B35D37" w:rsidRDefault="00B35D37" w:rsidP="00B35D37">
      <w:pPr>
        <w:pStyle w:val="TextoNormal"/>
      </w:pPr>
      <w:r>
        <w:t>Por su parte, el Senado ha pedido expresamente que se planteen las siguientes siete cuestiones prejudiciales:</w:t>
      </w:r>
    </w:p>
    <w:p w14:paraId="7E4D3A50" w14:textId="77777777" w:rsidR="00B35D37" w:rsidRDefault="00B35D37" w:rsidP="00B35D37">
      <w:pPr>
        <w:pStyle w:val="TextoNormal"/>
      </w:pPr>
    </w:p>
    <w:p w14:paraId="4C860E06" w14:textId="77777777" w:rsidR="00B35D37" w:rsidRDefault="00B35D37" w:rsidP="00B35D37">
      <w:pPr>
        <w:pStyle w:val="TextoNormal"/>
      </w:pPr>
      <w:r>
        <w:t>“Primera. Si debe interpretarse el artículo 4.3 del Tratado de la Unión Europea en el sentido de que no es compatible con la Ley Orgánica 1/2024 en cuanto que podría poner en peligro la consecución de los objetivos de la Unión Europea.</w:t>
      </w:r>
    </w:p>
    <w:p w14:paraId="794E6D8C" w14:textId="77777777" w:rsidR="00B35D37" w:rsidRDefault="00B35D37" w:rsidP="00B35D37">
      <w:pPr>
        <w:pStyle w:val="TextoNormal"/>
      </w:pPr>
    </w:p>
    <w:p w14:paraId="6BBFAA50" w14:textId="77777777" w:rsidR="00B35D37" w:rsidRDefault="00B35D37" w:rsidP="00B35D37">
      <w:pPr>
        <w:pStyle w:val="TextoNormal"/>
      </w:pPr>
      <w:r>
        <w:t>Segunda. Si debe interpretarse el principio de seguridad jurídica y los artículos 3.2 TUE y 67 TFUE en el sentido de que no son compatibles con los artículos 1.1 y 2 de la Ley Orgánica 1/2024 al no conseguirse con la descripción de los hechos amnistiados la precisión requerida para su aplicación.</w:t>
      </w:r>
    </w:p>
    <w:p w14:paraId="165600DF" w14:textId="77777777" w:rsidR="00B35D37" w:rsidRDefault="00B35D37" w:rsidP="00B35D37">
      <w:pPr>
        <w:pStyle w:val="TextoNormal"/>
      </w:pPr>
    </w:p>
    <w:p w14:paraId="59804608" w14:textId="77777777" w:rsidR="00B35D37" w:rsidRDefault="00B35D37" w:rsidP="00B35D37">
      <w:pPr>
        <w:pStyle w:val="TextoNormal"/>
      </w:pPr>
      <w:r>
        <w:t>Tercera. Si deben interpretarse los artículos 2 TUE y 20 y 21 de la Carta de los Derechos Fundamentales de la Unión Europea en el sentido de que no son compatibles con el artículo 1.1 letras a) a d) y f) de la Ley Orgánica 1/2024, por resultar discriminatorios al condicionar su aplicación en función de la ideología.</w:t>
      </w:r>
    </w:p>
    <w:p w14:paraId="3984B6A5" w14:textId="77777777" w:rsidR="00B35D37" w:rsidRDefault="00B35D37" w:rsidP="00B35D37">
      <w:pPr>
        <w:pStyle w:val="TextoNormal"/>
      </w:pPr>
    </w:p>
    <w:p w14:paraId="5CC7210E" w14:textId="77777777" w:rsidR="00B35D37" w:rsidRDefault="00B35D37" w:rsidP="00B35D37">
      <w:pPr>
        <w:pStyle w:val="TextoNormal"/>
      </w:pPr>
      <w:r>
        <w:t>Cuarta. Si deben interpretarse los artículos 2 y 19.1 [y] 2 TUE y 47 de la Carta en el sentido de que no son compatibles con la Ley Orgánica 1/2024, en cuanto que supondría una infracción del principio de exclusividad de la potestad jurisdiccional y de la garantía judicial de la aplicación correcta del Derecho de la Unión.</w:t>
      </w:r>
    </w:p>
    <w:p w14:paraId="22B32399" w14:textId="77777777" w:rsidR="00B35D37" w:rsidRDefault="00B35D37" w:rsidP="00B35D37">
      <w:pPr>
        <w:pStyle w:val="TextoNormal"/>
      </w:pPr>
    </w:p>
    <w:p w14:paraId="7DEB93AB" w14:textId="77777777" w:rsidR="00B35D37" w:rsidRDefault="00B35D37" w:rsidP="00B35D37">
      <w:pPr>
        <w:pStyle w:val="TextoNormal"/>
      </w:pPr>
      <w:r>
        <w:t>Quinta. Si deben interpretarse los artículos 83.1, 310.6 y 325.1 TFUE y las exigencias derivadas del Reglamento (CE, EURATOM) núm. 2988/95 del Consejo, de 18 de diciembre de 1995 y de la Directiva (UE) 2017/1371 del Parlamento Europeo y del Consejo, de 5 de julio de 2017, en el sentido de que no son compatibles con la Ley Orgánica 1/2024 al amnistiar los actos tipificados como delitos de malversación y desproteger los intereses financieros del Estado miembro, poniendo en riesgo los intereses financieros de la Unión Europea.</w:t>
      </w:r>
    </w:p>
    <w:p w14:paraId="2B2803D9" w14:textId="77777777" w:rsidR="00B35D37" w:rsidRDefault="00B35D37" w:rsidP="00B35D37">
      <w:pPr>
        <w:pStyle w:val="TextoNormal"/>
      </w:pPr>
    </w:p>
    <w:p w14:paraId="2190E27F" w14:textId="77777777" w:rsidR="00B35D37" w:rsidRDefault="00B35D37" w:rsidP="00B35D37">
      <w:pPr>
        <w:pStyle w:val="TextoNormal"/>
      </w:pPr>
      <w:r>
        <w:t>Sexta. Si deben interpretarse el artículo 83.1 TFUE y las exigencias derivadas de la Directiva (UE) 2017/541 del Parlamento Europeo y del Consejo, de 15 de marzo de 2017 en el sentido de que no son compatibles con la Ley Orgánica 1/2024 al excluir de la aplicación de la amnistía prevista en el artículo 1 el supuesto previsto en la letra c) de artículo 2.</w:t>
      </w:r>
    </w:p>
    <w:p w14:paraId="1ABDFD12" w14:textId="77777777" w:rsidR="00B35D37" w:rsidRDefault="00B35D37" w:rsidP="00B35D37">
      <w:pPr>
        <w:pStyle w:val="TextoNormal"/>
      </w:pPr>
    </w:p>
    <w:p w14:paraId="379D37C9" w14:textId="77777777" w:rsidR="00B35D37" w:rsidRDefault="00B35D37" w:rsidP="00B35D37">
      <w:pPr>
        <w:pStyle w:val="TextoNormal"/>
      </w:pPr>
      <w:r>
        <w:t>Séptima. Si deben interpretarse los artículos 87.3 y 82.1 TFUE y las exigencias derivadas de la Decisión Marco del Consejo, de 13 de junio de 2002, relativa a la orden de detención europea y a los procedimientos de entrega entre Estados miembros (2002/584/JAI) en el sentido de que no son compatibles con la Ley Orgánica 1/2024, al regular en su artículo 4 b) que se procederá a dejar sin efecto las órdenes europeas de detención”.</w:t>
      </w:r>
    </w:p>
    <w:p w14:paraId="1F269649" w14:textId="77777777" w:rsidR="00B35D37" w:rsidRDefault="00B35D37" w:rsidP="00B35D37">
      <w:pPr>
        <w:pStyle w:val="TextoNormal"/>
      </w:pPr>
    </w:p>
    <w:p w14:paraId="60E4C7CB" w14:textId="77777777" w:rsidR="00B35D37" w:rsidRDefault="00B35D37" w:rsidP="00B35D37">
      <w:pPr>
        <w:pStyle w:val="TextoNormal"/>
      </w:pPr>
      <w:r>
        <w:t xml:space="preserve">En definitiva, no se ha pedido ni se pide por las partes del presente procedimiento la apertura de un trámite de audiencia, por lo que la respuesta que se da por el auto está desconectada de lo pedido por las partes. En todo caso su apertura es obligada, es decir, el trámite de audiencia, previsto en el artículo 4 </w:t>
      </w:r>
      <w:r w:rsidRPr="00B35D37">
        <w:rPr>
          <w:i/>
        </w:rPr>
        <w:t>bis</w:t>
      </w:r>
      <w:r>
        <w:t xml:space="preserve"> de la Ley Orgánica del Poder Judicial, debe abrirse automáticamente por los tribunales cuando estos “decidan plantear una cuestión prejudicial europea” y con carácter previo a su planteamiento.</w:t>
      </w:r>
    </w:p>
    <w:p w14:paraId="59DE1994" w14:textId="77777777" w:rsidR="00B35D37" w:rsidRDefault="00B35D37" w:rsidP="00B35D37">
      <w:pPr>
        <w:pStyle w:val="TextoNormal"/>
      </w:pPr>
    </w:p>
    <w:p w14:paraId="545109FB" w14:textId="77777777" w:rsidR="00B35D37" w:rsidRDefault="00B35D37" w:rsidP="00B35D37">
      <w:pPr>
        <w:pStyle w:val="TextoNormal"/>
      </w:pPr>
      <w:r>
        <w:t>2.3. En tercer lugar, el auto deniega el planteamiento expreso de una cuestión prejudicial sin explicar las razones de fondo para ello. Por lo tanto, esta forma de proceder determina que si finalmente este tribunal se considera dispensado de su obligación de plantear una cuestión prejudicial al Tribunal de Justicia será necesario dar una respuesta expresa a esta petición en la sentencia que se dicte resolviendo el recurso de inconstitucionalidad. De lo contrario, si las dos peticiones de planteamiento de cuestión prejudicial no tienen ninguna respuesta expresa se produciría una vulneración del derecho de la tutela judicial efectiva de las partes.</w:t>
      </w:r>
    </w:p>
    <w:p w14:paraId="3C3D36B8" w14:textId="77777777" w:rsidR="00B35D37" w:rsidRDefault="00B35D37" w:rsidP="00B35D37">
      <w:pPr>
        <w:pStyle w:val="TextoNormal"/>
      </w:pPr>
    </w:p>
    <w:p w14:paraId="2A4A3ABD" w14:textId="77777777" w:rsidR="00B35D37" w:rsidRDefault="00B35D37" w:rsidP="00B35D37">
      <w:pPr>
        <w:pStyle w:val="TextoNormal"/>
      </w:pPr>
      <w:r>
        <w:t xml:space="preserve">Así, debemos recordar que este tribunal es un órgano de última instancia, por lo que queda sujeto a la obligación establecida en el artículo 267, párrafo tercero, TFUE, que obliga a los órganos de última instancia a plantear una cuestión prejudicial ante el Tribunal de Justicia cuando se plantee alguna cuestión relativa a la interpretación del Derecho de la Unión Europea, y esta obligación solo se exceptúa en los supuestos que el Tribunal de Justicia reconoció en la STJUE de 6 de octubre de 1982, dictada en el asunto C-283/81, </w:t>
      </w:r>
      <w:r w:rsidRPr="00B35D37">
        <w:rPr>
          <w:i/>
        </w:rPr>
        <w:t>Srl</w:t>
      </w:r>
      <w:r>
        <w:t xml:space="preserve"> </w:t>
      </w:r>
      <w:r w:rsidRPr="00B35D37">
        <w:rPr>
          <w:i/>
        </w:rPr>
        <w:t>Cilfit y Lanificio di Gavardo SpA c. Ministero della Sanità</w:t>
      </w:r>
      <w:r>
        <w:t>, y que recientemente se han sistematizado en la STJUE (Gran Sala), de 6 de octubre de 2021, dictada en el asunto C-561/19</w:t>
      </w:r>
      <w:r w:rsidRPr="00B35D37">
        <w:rPr>
          <w:i/>
        </w:rPr>
        <w:t>, Consorzio Italian Manageme</w:t>
      </w:r>
      <w:r>
        <w:t>n</w:t>
      </w:r>
      <w:r w:rsidRPr="00B35D37">
        <w:rPr>
          <w:i/>
        </w:rPr>
        <w:t>t y Catania Multiservizi SpA c. Rete Ferroviaria Italiana S</w:t>
      </w:r>
      <w:r>
        <w:t>pA.</w:t>
      </w:r>
    </w:p>
    <w:p w14:paraId="5ADF1B61" w14:textId="77777777" w:rsidR="00B35D37" w:rsidRDefault="00B35D37" w:rsidP="00B35D37">
      <w:pPr>
        <w:pStyle w:val="TextoNormal"/>
      </w:pPr>
    </w:p>
    <w:p w14:paraId="359D9541" w14:textId="77777777" w:rsidR="00B35D37" w:rsidRDefault="00B35D37" w:rsidP="00B35D37">
      <w:pPr>
        <w:pStyle w:val="TextoNormal"/>
      </w:pPr>
      <w:r>
        <w:t xml:space="preserve">Las excepciones </w:t>
      </w:r>
      <w:r w:rsidRPr="00B35D37">
        <w:rPr>
          <w:i/>
        </w:rPr>
        <w:t>Cilfit</w:t>
      </w:r>
      <w:r>
        <w:t xml:space="preserve"> y </w:t>
      </w:r>
      <w:r w:rsidRPr="00B35D37">
        <w:rPr>
          <w:i/>
        </w:rPr>
        <w:t>Consorzio Italian Management</w:t>
      </w:r>
      <w:r>
        <w:t xml:space="preserve"> que dispensan a este tribunal de plantear una cuestión prejudicial concurren cuando: (i) la cuestión suscitada no sea pertinente; (ii) la disposición del Derecho de la Unión Europea controvertida ya ha sido interpretada por el Tribunal de Justicia (que exista el denominado acto aclarado) y (iii) la interpretación correcta del Derecho de la Unión Europea se impone con tal evidencia que no deja lugar a ninguna duda razonable (que exista el denominado acto claro).</w:t>
      </w:r>
    </w:p>
    <w:p w14:paraId="676C8C54" w14:textId="77777777" w:rsidR="00B35D37" w:rsidRDefault="00B35D37" w:rsidP="00B35D37">
      <w:pPr>
        <w:pStyle w:val="TextoNormal"/>
      </w:pPr>
    </w:p>
    <w:p w14:paraId="00CA7D2E" w14:textId="77777777" w:rsidR="00B35D37" w:rsidRDefault="00B35D37" w:rsidP="00B35D37">
      <w:pPr>
        <w:pStyle w:val="TextoNormal"/>
      </w:pPr>
      <w:r>
        <w:t xml:space="preserve">Pues bien, la decisión de no plantear cuestión prejudicial en el supuesto que nos ocupa hace surgir la correlativa obligación de motivar en cuál de estas tres excepciones se basa este tribunal para no plantear cuestión prejudicial. Esta obligación de motivación se ha hecho explícita por primera vez por el Tribunal de Justicia en la STJUE (Gran Sala) de 6 de octubre de 2021, asunto C-561/19, </w:t>
      </w:r>
      <w:r w:rsidRPr="00B35D37">
        <w:rPr>
          <w:i/>
        </w:rPr>
        <w:t>Consorzio Italian Management</w:t>
      </w:r>
      <w:r>
        <w:t>, a la que nos venimos refiriendo, y se ha confirmado en la reciente STJUE (Gran Sala), de 15 de octubre de 2024, dictada en el asunto C-144/23</w:t>
      </w:r>
      <w:r w:rsidRPr="00B35D37">
        <w:rPr>
          <w:i/>
        </w:rPr>
        <w:t>, Kube</w:t>
      </w:r>
      <w:r>
        <w:t>ra.</w:t>
      </w:r>
    </w:p>
    <w:p w14:paraId="38E7ED0B" w14:textId="77777777" w:rsidR="00B35D37" w:rsidRDefault="00B35D37" w:rsidP="00B35D37">
      <w:pPr>
        <w:pStyle w:val="TextoNormal"/>
      </w:pPr>
    </w:p>
    <w:p w14:paraId="0329A551" w14:textId="77777777" w:rsidR="00B35D37" w:rsidRDefault="00B35D37" w:rsidP="00B35D37">
      <w:pPr>
        <w:pStyle w:val="TextoNormal"/>
      </w:pPr>
      <w:r>
        <w:t>Con arreglo a estos dos últimos pronunciamientos, cuando un órgano jurisdiccional nacional cuyas decisiones no sean susceptibles de ulterior recurso judicial de Derecho interno considera que queda dispensado de la obligación de plantear una cuestión prejudicial al Tribunal de Justicia “la fundamentación de su resolución debe poner de manifiesto bien que la cuestión de Derecho de la Unión que se haya planteado no es pertinente para la solución del litigio, bien que la interpretación de la disposición del Derecho de la Unión de que se trate se basa en la jurisprudencia del Tribunal de Justicia, o bien, a falta de tal jurisprudencia, que la interpretación del Derecho de la Unión se impone al órgano jurisdiccional nacional que resuelve en última instancia con tal evidencia que no deja lugar a ninguna duda razonable” (§ 51 y 62, respectivamente).</w:t>
      </w:r>
    </w:p>
    <w:p w14:paraId="78BED79D" w14:textId="77777777" w:rsidR="00B35D37" w:rsidRDefault="00B35D37" w:rsidP="00B35D37">
      <w:pPr>
        <w:pStyle w:val="TextoNormal"/>
      </w:pPr>
    </w:p>
    <w:p w14:paraId="2B4A4500" w14:textId="77777777" w:rsidR="00B35D37" w:rsidRDefault="00B35D37" w:rsidP="00B35D37">
      <w:pPr>
        <w:pStyle w:val="TextoNormal"/>
      </w:pPr>
      <w:r>
        <w:t>Cabe concluir señalando que esta obligación de motivación deriva directamente del art. 267 TFUE, interpretado a la luz del art. 47, párrafo segundo, CDFUE, y su cumplimiento ni siquiera se condiciona a que lo haya solicitado una parte, lo cual es lógico, porque el planteamiento de una cuestión prejudicial no depende de que lo solicite una parte, sino, insistimos, de que para la solución del litigio del que conoce un órgano jurisdiccional se planteen dudas sobre la interpretación del Derecho de la Unión Europea.</w:t>
      </w:r>
    </w:p>
    <w:p w14:paraId="216C4D04" w14:textId="77777777" w:rsidR="00B35D37" w:rsidRDefault="00B35D37" w:rsidP="00B35D37">
      <w:pPr>
        <w:pStyle w:val="TextoNormal"/>
      </w:pPr>
    </w:p>
    <w:p w14:paraId="0BA52B9A" w14:textId="77777777" w:rsidR="00B35D37" w:rsidRDefault="00B35D37" w:rsidP="00B35D37">
      <w:pPr>
        <w:pStyle w:val="TextoNormal"/>
      </w:pPr>
      <w:r>
        <w:t xml:space="preserve">Y precisamente, por su relación con el derecho a la tutela judicial efectiva, la doctrina consolidada del Tribunal Europeo de Derechos Humanos también viene considerando que los tribunales nacionales de última instancia, cuando las partes solicitan el planteamiento de una cuestión prejudicial al Tribunal de Justicia, deben explicar las razones por las cuales rechazan dicho planteamiento en la medida en que la norma aplicable —la norma de la Unión Europea y la jurisprudencia del Tribunal de Justicia de la Unión Europea— solo permite dicho rechazo sobre la base de la concurrencia de una excepción, y la falta de motivación supone a su vez una vulneración del artículo 6 CEDH (entre otras, SSTEDH de 20 de septiembre de 2011, asunto </w:t>
      </w:r>
      <w:r w:rsidRPr="00B35D37">
        <w:rPr>
          <w:i/>
        </w:rPr>
        <w:t>Ullens de Schooten y Rezabeck c. Bélgica</w:t>
      </w:r>
      <w:r>
        <w:t xml:space="preserve">; de 8 de abril de 2014, asunto </w:t>
      </w:r>
      <w:r w:rsidRPr="00B35D37">
        <w:rPr>
          <w:i/>
        </w:rPr>
        <w:t>Dhahbi c. Italia</w:t>
      </w:r>
      <w:r>
        <w:t xml:space="preserve">; de 21 de julio de 2015, asunto </w:t>
      </w:r>
      <w:r w:rsidRPr="00B35D37">
        <w:rPr>
          <w:i/>
        </w:rPr>
        <w:t>Schipani y otros c. Italia</w:t>
      </w:r>
      <w:r>
        <w:t>; de 13 de febrero de 2020, asunt</w:t>
      </w:r>
      <w:r w:rsidRPr="00B35D37">
        <w:rPr>
          <w:i/>
        </w:rPr>
        <w:t>o Sanofi Pasteur c. Franc</w:t>
      </w:r>
      <w:r>
        <w:t>ia, y de 15 de diciembre de 2022, asunt</w:t>
      </w:r>
      <w:r w:rsidRPr="00B35D37">
        <w:rPr>
          <w:i/>
        </w:rPr>
        <w:t>o Rutar y Rutar Marketing d.o.o., c. Esloven</w:t>
      </w:r>
      <w:r>
        <w:t>ia).</w:t>
      </w:r>
    </w:p>
    <w:p w14:paraId="70565770" w14:textId="77777777" w:rsidR="00B35D37" w:rsidRDefault="00B35D37" w:rsidP="00B35D37">
      <w:pPr>
        <w:pStyle w:val="TextoNormal"/>
      </w:pPr>
    </w:p>
    <w:p w14:paraId="2C51410E" w14:textId="77777777" w:rsidR="00B35D37" w:rsidRDefault="00B35D37" w:rsidP="00B35D37">
      <w:pPr>
        <w:pStyle w:val="TextoNormal"/>
      </w:pPr>
      <w:r>
        <w:t>Esta obligación de motivación resulta especialmente relevante en el supuesto que nos ocupa, no solo habida cuenta de la pormenorizada explicación que han hecho las partes sobre las razones por las cuales es necesario que se pronuncie el Tribunal de Justicia sobre el alcance de determinadas disposiciones del Derecho de la Unión Europea, para poder resolver el recurso de inconstitucionalidad, sino muy especialmente por la importancia de las cuestiones relativas al Derecho de la Unión Europea que han sido suscitadas en el recurso de inconstitucionalidad (puede vers</w:t>
      </w:r>
      <w:r w:rsidRPr="00B35D37">
        <w:rPr>
          <w:i/>
        </w:rPr>
        <w:t>e a sensu contrar</w:t>
      </w:r>
      <w:r>
        <w:t>io la reciente STEDH de 13 de mayo de 2025, asunt</w:t>
      </w:r>
      <w:r w:rsidRPr="00B35D37">
        <w:rPr>
          <w:i/>
        </w:rPr>
        <w:t>o Spiteri c. Mal</w:t>
      </w:r>
      <w:r>
        <w:t>ta, § 105).</w:t>
      </w:r>
    </w:p>
    <w:p w14:paraId="6F282AB5" w14:textId="77777777" w:rsidR="00B35D37" w:rsidRDefault="00B35D37" w:rsidP="00B35D37">
      <w:pPr>
        <w:pStyle w:val="TextoNormal"/>
      </w:pPr>
    </w:p>
    <w:p w14:paraId="7B2B6E5E" w14:textId="77777777" w:rsidR="00B35D37" w:rsidRDefault="00B35D37" w:rsidP="00B35D37">
      <w:pPr>
        <w:pStyle w:val="TextoNormal"/>
      </w:pPr>
      <w:r>
        <w:t>No podemos olvidar que lo que está en cuestión en el presente recurso de inconstitucionalidad es el propio Estado de Derecho, uno de los valores fundacionales que definen la identidad de la Unión Europea, por lo que no es posible resolver el presente recurso de inconstitucionalidad sin el concurso del Tribunal de Justicia, pues una sentencia que declare constitucional la Ley Orgánica 1/2024, sin saber si respeta o no el Estado de Derecho tal y como lo interpreta el Tribunal de Justicia, podría poner en riesgo el funcionamiento correcto del ordenamiento jurídico de la Unión Europea, tal y como analizaremos en el tercer apartado del presente voto particular.</w:t>
      </w:r>
    </w:p>
    <w:p w14:paraId="4E1206A2" w14:textId="77777777" w:rsidR="00B35D37" w:rsidRDefault="00B35D37" w:rsidP="00B35D37">
      <w:pPr>
        <w:pStyle w:val="TextoNormal"/>
      </w:pPr>
    </w:p>
    <w:p w14:paraId="3B2F5A17" w14:textId="77777777" w:rsidR="00B35D37" w:rsidRDefault="00B35D37" w:rsidP="00B35D37">
      <w:pPr>
        <w:pStyle w:val="TextoNormal"/>
      </w:pPr>
      <w:r>
        <w:t>2.4. Finalmente, tampoco compartimos los argumentos que llevan a la mayoría a denegar la petición adicional hecha por la parte recurrente de suspender el presente proceso constitucional a la espera de que se resuelvan las cuestiones prejudiciales pendientes sobre la Ley Orgánica 1/2024, y que se limitan a indicar que los recurrentes “no hicier[o]n esta petición en su demanda”, “ni siquiera mencionan un precepto legal que la sustente formalmente” y que “ha de ser en la deliberación del Pleno de este tribunal relativa al fondo del proceso cuando el colegio de magistrados valore la posible concurrencia de una razón jurídica que determine, en su caso, la necesidad de posponer el dictado de sentencia”.</w:t>
      </w:r>
    </w:p>
    <w:p w14:paraId="6EEA75B4" w14:textId="77777777" w:rsidR="00B35D37" w:rsidRDefault="00B35D37" w:rsidP="00B35D37">
      <w:pPr>
        <w:pStyle w:val="TextoNormal"/>
      </w:pPr>
    </w:p>
    <w:p w14:paraId="03D2D12C" w14:textId="77777777" w:rsidR="00B35D37" w:rsidRDefault="00B35D37" w:rsidP="00B35D37">
      <w:pPr>
        <w:pStyle w:val="TextoNormal"/>
      </w:pPr>
      <w:r>
        <w:t xml:space="preserve">a) Al respecto debemos poner de manifiesto que resulta evidente que los recurrentes no pudieron hacer esta petición en su demanda porque las cuestiones prejudiciales, con excepción de la planteada por el Tribunal de Cuentas, son de fecha posterior a la interposición del recurso de inconstitucionalidad, que tuvo entrada en este tribunal el día 4 de septiembre de 2024; la cuestión prejudicial asunto C-523/24, </w:t>
      </w:r>
      <w:r w:rsidRPr="00B35D37">
        <w:rPr>
          <w:i/>
        </w:rPr>
        <w:t>Sociedad Civil Catalana</w:t>
      </w:r>
      <w:r>
        <w:t xml:space="preserve">, se presentó el 30 de julio de 2024; la cuestión prejudicial asunto C-587/24, </w:t>
      </w:r>
      <w:r w:rsidRPr="00B35D37">
        <w:rPr>
          <w:i/>
        </w:rPr>
        <w:t>Vox</w:t>
      </w:r>
      <w:r>
        <w:t xml:space="preserve">, se presentó el 10 de septiembre de 2024; la cuestión prejudicial C-666/24, </w:t>
      </w:r>
      <w:r w:rsidRPr="00B35D37">
        <w:rPr>
          <w:i/>
        </w:rPr>
        <w:t>Asociación Catalana de Víctimas de Organizaciones Terroristas</w:t>
      </w:r>
      <w:r>
        <w:t xml:space="preserve"> (ACVOT), se presentó el 26 de septiembre de 2024, y la cuestión prejudicial C-123/25</w:t>
      </w:r>
      <w:r w:rsidRPr="00B35D37">
        <w:rPr>
          <w:i/>
        </w:rPr>
        <w:t>, Mani</w:t>
      </w:r>
      <w:r>
        <w:t>zo, se presentó el 4 de febrero de 2025.</w:t>
      </w:r>
    </w:p>
    <w:p w14:paraId="62D94FBE" w14:textId="77777777" w:rsidR="00B35D37" w:rsidRDefault="00B35D37" w:rsidP="00B35D37">
      <w:pPr>
        <w:pStyle w:val="TextoNormal"/>
      </w:pPr>
    </w:p>
    <w:p w14:paraId="64921620" w14:textId="77777777" w:rsidR="00B35D37" w:rsidRDefault="00B35D37" w:rsidP="00B35D37">
      <w:pPr>
        <w:pStyle w:val="TextoNormal"/>
      </w:pPr>
      <w:r>
        <w:t>b) Por otro lado, imputar a los recurrentes una falta de diligencia por no citar un precepto legal que sustente su petición de suspensión supone desconocer las exigencias que derivan tanto del principio de primacía del Derecho de la Unión Europea como del principio de cooperación leal consagrado en el art. 4, apartado tercero, TUE.</w:t>
      </w:r>
    </w:p>
    <w:p w14:paraId="4AA07646" w14:textId="77777777" w:rsidR="00B35D37" w:rsidRDefault="00B35D37" w:rsidP="00B35D37">
      <w:pPr>
        <w:pStyle w:val="TextoNormal"/>
      </w:pPr>
    </w:p>
    <w:p w14:paraId="245E0372" w14:textId="77777777" w:rsidR="00B35D37" w:rsidRDefault="00B35D37" w:rsidP="00B35D37">
      <w:pPr>
        <w:pStyle w:val="TextoNormal"/>
      </w:pPr>
      <w:r>
        <w:t>Los recurrentes sustentan su petición en la existencia de cuatro cuestiones prejudiciales pendientes en las que se pregunta al Tribunal de Justicia, por un lado, sobre las exigencias que una medida de amnistía debe reunir para respetar el valor del Estado de Derecho, que forma parte de la identidad de la Unión Europea, y, por otro lado, sobre la interpretación de determinadas disposiciones del Derecho de la Unión Europea (como es la Directiva (UE) 2017/541 o el mecanismo de la orden europea de detención y entrega), por lo que resulta evidente que un juicio de constitucionalidad sobre la Ley Orgánica 1/2024 sin plantear una cuestión prejudicial, y sin esperar a la respuesta del Tribunal de Justicia a las citadas cuestiones prejudiciales, puede llevar a dictar una sentencia que en un momento posterior venga a ser contradicha por la respuesta que el Tribunal de Justicia dé a estas cuestiones prejudiciales.</w:t>
      </w:r>
    </w:p>
    <w:p w14:paraId="1702399C" w14:textId="77777777" w:rsidR="00B35D37" w:rsidRDefault="00B35D37" w:rsidP="00B35D37">
      <w:pPr>
        <w:pStyle w:val="TextoNormal"/>
      </w:pPr>
    </w:p>
    <w:p w14:paraId="22173EAC" w14:textId="77777777" w:rsidR="00B35D37" w:rsidRDefault="00B35D37" w:rsidP="00B35D37">
      <w:pPr>
        <w:pStyle w:val="TextoNormal"/>
      </w:pPr>
      <w:r>
        <w:t>La decisión que ahora adopta la mayoría de no esperar a la respuesta a dichas cuestiones prejudiciales no solo quebranta el principio de primacía del Derecho de la Unión Europea, sino que infringe directamente el principio de cooperación leal que este tribunal debe respetar en su relación con el Tribunal de Justicia de la Unión Europea.</w:t>
      </w:r>
    </w:p>
    <w:p w14:paraId="5FF8E894" w14:textId="77777777" w:rsidR="00B35D37" w:rsidRDefault="00B35D37" w:rsidP="00B35D37">
      <w:pPr>
        <w:pStyle w:val="TextoNormal"/>
      </w:pPr>
    </w:p>
    <w:p w14:paraId="48D3988D" w14:textId="77777777" w:rsidR="00B35D37" w:rsidRDefault="00B35D37" w:rsidP="00B35D37">
      <w:pPr>
        <w:pStyle w:val="TextoNormal"/>
      </w:pPr>
      <w:r>
        <w:t>c) Además, con esa respuesta, el auto olvida que el criterio consolidado de este tribunal es precisamente que el control europeo efectuado por el Tribunal de Justicia debe preceder al control de constitucionalidad de la norma española.</w:t>
      </w:r>
    </w:p>
    <w:p w14:paraId="4F0C5E19" w14:textId="77777777" w:rsidR="00B35D37" w:rsidRDefault="00B35D37" w:rsidP="00B35D37">
      <w:pPr>
        <w:pStyle w:val="TextoNormal"/>
      </w:pPr>
    </w:p>
    <w:p w14:paraId="01BA13BE" w14:textId="77777777" w:rsidR="00B35D37" w:rsidRDefault="00B35D37" w:rsidP="00B35D37">
      <w:pPr>
        <w:pStyle w:val="TextoNormal"/>
      </w:pPr>
      <w:r>
        <w:t>Este criterio de la precedencia de la cuestión prejudicial fue establecido por el Pleno en los AATC 168/2016, de 4 de octubre y 185/2016, de 15 de noviembre, dictados respectivamente en las cuestiones de inconstitucionalidad núm. 2209-2016 y 3788-2016, planteadas por dos órganos judiciales que habían remitido simultáneamente una cuestión prejudicial al Tribunal de Justicia en la medida en que la norma nacional también podía vulnerar el Derecho de la Unión Europea.</w:t>
      </w:r>
    </w:p>
    <w:p w14:paraId="7F215722" w14:textId="77777777" w:rsidR="00B35D37" w:rsidRDefault="00B35D37" w:rsidP="00B35D37">
      <w:pPr>
        <w:pStyle w:val="TextoNormal"/>
      </w:pPr>
    </w:p>
    <w:p w14:paraId="069608ED" w14:textId="77777777" w:rsidR="00B35D37" w:rsidRDefault="00B35D37" w:rsidP="00B35D37">
      <w:pPr>
        <w:pStyle w:val="TextoNormal"/>
      </w:pPr>
      <w:r>
        <w:t>En aplicación de dicho criterio ambas cuestiones de inconstitucionalidad fueron inadmitidas, y en el ATC 168/2016, FJ 4, dejamos sentado que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inaplicarla.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w:t>
      </w:r>
    </w:p>
    <w:p w14:paraId="0A9966AF" w14:textId="77777777" w:rsidR="00B35D37" w:rsidRDefault="00B35D37" w:rsidP="00B35D37">
      <w:pPr>
        <w:pStyle w:val="TextoNormal"/>
      </w:pPr>
    </w:p>
    <w:p w14:paraId="0D1EB5D8" w14:textId="77777777" w:rsidR="00B35D37" w:rsidRDefault="00B35D37" w:rsidP="00B35D37">
      <w:pPr>
        <w:pStyle w:val="TextoNormal"/>
      </w:pPr>
      <w:r>
        <w:t>La precedencia en el planteamiento de la cuestión prejudicial es además un criterio que se viene aplicando sin variación alguna en todas las cuestiones de inconstitucionalidad que llegan al Tribunal Constitucional, cuando el órgano judicial entiende también que la ley puede ser incompatible con el Derecho de la Unión Europea; pueden citarse, entre otros, los AATC 202/2016, de 13 de diciembre; 116/2020, de 22 de septiembre, y, más recientemente, el ATC 30/2024, de 9 de abril.</w:t>
      </w:r>
    </w:p>
    <w:p w14:paraId="30E727A9" w14:textId="77777777" w:rsidR="00B35D37" w:rsidRDefault="00B35D37" w:rsidP="00B35D37">
      <w:pPr>
        <w:pStyle w:val="TextoNormal"/>
      </w:pPr>
    </w:p>
    <w:p w14:paraId="2287F5D3" w14:textId="77777777" w:rsidR="00B35D37" w:rsidRDefault="00B35D37" w:rsidP="00B35D37">
      <w:pPr>
        <w:pStyle w:val="TextoNormal"/>
      </w:pPr>
      <w:r>
        <w:t>A la vista de nuestra doctrina precedente, la respuesta que da el auto no resulta razonable, pues es evidente que la solución que acaba de exponerse debe también trasladarse al supuesto en el que se plantee un recurso de inconstitucionalidad contra una norma y simultáneamente estén pendientes distintas cuestiones prejudiciales planteadas al Tribunal de Justicia, que es el supuesto que nos ocupa. Y si así no lo consideraba la mayoría del Tribunal, lo mínimo exigible hubiera sido explicar las razones para separarse y no aplicar su propia doctrina al supuesto que nos ocupa, y no imputar una falta de diligencia a la parte recurrente por no citar un precepto legal.</w:t>
      </w:r>
    </w:p>
    <w:p w14:paraId="58566F5F" w14:textId="77777777" w:rsidR="00B35D37" w:rsidRDefault="00B35D37" w:rsidP="00B35D37">
      <w:pPr>
        <w:pStyle w:val="TextoNormal"/>
      </w:pPr>
    </w:p>
    <w:p w14:paraId="10C24BF8" w14:textId="77777777" w:rsidR="00B35D37" w:rsidRDefault="00B35D37" w:rsidP="00B35D37">
      <w:pPr>
        <w:pStyle w:val="TextoNormal"/>
      </w:pPr>
      <w:r>
        <w:t>d) En cualquier caso, un tribunal puede decidir posponer el dictado de una sentencia desde el momento en que advierta que existen obstáculos para ello, y no necesariamente debe esperar al momento de la deliberación sobre el fondo del asunto. La respuesta dada por el auto incluso podría tener sentido en un momento inicial del procedimiento, cuando aún no existen los elementos de juicio suficientes, pero es incomprensible que se dé esta respuesta en el momento actual, cuando el procedimiento ahora sí está concluso para sentencia, y cuando el auto del que discrepamos se aprueba en el mismo Pleno en el que se ha dado traslado precisamente del proyecto de sentencia cuya deliberación vamos a comenzar.</w:t>
      </w:r>
    </w:p>
    <w:p w14:paraId="711C88AB" w14:textId="77777777" w:rsidR="00B35D37" w:rsidRDefault="00B35D37" w:rsidP="00B35D37">
      <w:pPr>
        <w:pStyle w:val="TextoNormal"/>
      </w:pPr>
    </w:p>
    <w:p w14:paraId="3E02988E" w14:textId="77777777" w:rsidR="00B35D37" w:rsidRDefault="00B35D37" w:rsidP="00B35D37">
      <w:pPr>
        <w:pStyle w:val="TextoNormal"/>
      </w:pPr>
      <w:r>
        <w:t xml:space="preserve">3. </w:t>
      </w:r>
      <w:r w:rsidRPr="00B35D37">
        <w:rPr>
          <w:i/>
        </w:rPr>
        <w:t>En este momento son evidentes las dudas existentes sobre la interpretación del Derecho de la Unión Europea que impiden resolver el presente recurso de inconstitucionalidad sin plantear con carácter previo una cuestión prejudicial al Tribunal de Justicia</w:t>
      </w:r>
    </w:p>
    <w:p w14:paraId="0AB01081" w14:textId="77777777" w:rsidR="00B35D37" w:rsidRDefault="00B35D37" w:rsidP="00B35D37">
      <w:pPr>
        <w:pStyle w:val="TextoNormal"/>
      </w:pPr>
    </w:p>
    <w:p w14:paraId="4FB19366" w14:textId="77777777" w:rsidR="00B35D37" w:rsidRDefault="00B35D37" w:rsidP="00B35D37">
      <w:pPr>
        <w:pStyle w:val="TextoNormal"/>
      </w:pPr>
      <w:r>
        <w:t>Finalmente, el auto no solo deniega la petición de planteamiento de cuestión prejudicial que han instado las partes sin dar respuesta a lo que se pide, como acabamos de examinar, sino que carece de justificación a la luz de las cuestiones de Derecho de la Unión Europea que deben dilucidarse en el presente recurso de inconstitucionalidad.</w:t>
      </w:r>
    </w:p>
    <w:p w14:paraId="7E019E59" w14:textId="77777777" w:rsidR="00B35D37" w:rsidRDefault="00B35D37" w:rsidP="00B35D37">
      <w:pPr>
        <w:pStyle w:val="TextoNormal"/>
      </w:pPr>
    </w:p>
    <w:p w14:paraId="7C712197" w14:textId="77777777" w:rsidR="00B35D37" w:rsidRDefault="00B35D37" w:rsidP="00B35D37">
      <w:pPr>
        <w:pStyle w:val="TextoNormal"/>
      </w:pPr>
      <w:r>
        <w:t>Como ya hemos explicado, la obligación a la que estamos sujetos de plantear una cuestión prejudicial al Tribunal de Justicia deriva, por un lado, de nuestra condición de órgano jurisdiccional de última instancia a los efectos del artículo 267, párrafo tercero, TFUE y, por otro lado, del hecho de que en el procedimiento que estamos tramitando es necesario conocer la interpretación y el alcance de determinados preceptos del Derecho de la Unión Europea para poder llevar a cabo el juicio de constitucionalidad. Es decir, aun cuando la sentencia que dictemos se limite a declarar la constitucionalidad o inconstitucionalidad de la Ley de amnistía, para poder resolver las pretensiones de inconstitucionalidad planteadas por la parte recurrente va a ser necesario tomar en consideración e interpretar también normas de la Unión Europea.</w:t>
      </w:r>
    </w:p>
    <w:p w14:paraId="1C106070" w14:textId="77777777" w:rsidR="00B35D37" w:rsidRDefault="00B35D37" w:rsidP="00B35D37">
      <w:pPr>
        <w:pStyle w:val="TextoNormal"/>
      </w:pPr>
    </w:p>
    <w:p w14:paraId="786FC316" w14:textId="77777777" w:rsidR="00B35D37" w:rsidRDefault="00B35D37" w:rsidP="00B35D37">
      <w:pPr>
        <w:pStyle w:val="TextoNormal"/>
      </w:pPr>
      <w:r>
        <w:t>a) Pues bien, las disposiciones del Derecho de la Unión Europea sobre las que es necesario preguntar al Tribunal de Justicia para resolver las concretas pretensiones recogidas en el presente recurso de inconstitucionalidad, y a la luz de los motivos recogidos en el propio recurso, son las que se examinan a continuación:</w:t>
      </w:r>
    </w:p>
    <w:p w14:paraId="6B1605E0" w14:textId="77777777" w:rsidR="00B35D37" w:rsidRDefault="00B35D37" w:rsidP="00B35D37">
      <w:pPr>
        <w:pStyle w:val="TextoNormal"/>
      </w:pPr>
    </w:p>
    <w:p w14:paraId="59D27D6F" w14:textId="77777777" w:rsidR="00B35D37" w:rsidRDefault="00B35D37" w:rsidP="00B35D37">
      <w:pPr>
        <w:pStyle w:val="TextoNormal"/>
      </w:pPr>
      <w:r>
        <w:t>(i</w:t>
      </w:r>
      <w:r w:rsidRPr="00B35D37">
        <w:rPr>
          <w:i/>
        </w:rPr>
        <w:t>) El art. 2 TUE, en relación con el art. 19 TUE, en lo que concierne al respeto del valor Estado de Derec</w:t>
      </w:r>
      <w:r>
        <w:t>ho</w:t>
      </w:r>
    </w:p>
    <w:p w14:paraId="05A44396" w14:textId="77777777" w:rsidR="00B35D37" w:rsidRDefault="00B35D37" w:rsidP="00B35D37">
      <w:pPr>
        <w:pStyle w:val="TextoNormal"/>
      </w:pPr>
    </w:p>
    <w:p w14:paraId="100E7DD0" w14:textId="77777777" w:rsidR="00B35D37" w:rsidRDefault="00B35D37" w:rsidP="00B35D37">
      <w:pPr>
        <w:pStyle w:val="TextoNormal"/>
      </w:pPr>
      <w:r>
        <w:t xml:space="preserve">No resulta posible discernir si la Ley respeta o no el Estado de Derecho sin conocer previamente si una amnistía como la que nos ocupa es compatible con las exigencias que derivan de los arts. 2 y 19 TUE. Y esto es así porque el Estado de Derecho es un concepto regulado por el Derecho de la Unión Europea y así lo dejó sentado el Tribunal de Justicia en la STJUE (Gran Sala) de 20 de abril de 2021, asunto C-896/19, </w:t>
      </w:r>
      <w:r w:rsidRPr="00B35D37">
        <w:rPr>
          <w:i/>
        </w:rPr>
        <w:t>Repubblika</w:t>
      </w:r>
      <w:r>
        <w:t xml:space="preserve"> </w:t>
      </w:r>
      <w:r w:rsidRPr="00B35D37">
        <w:rPr>
          <w:i/>
        </w:rPr>
        <w:t>c. Il-Prim Ministru</w:t>
      </w:r>
      <w:r>
        <w:t>, donde explicó que la Unión Europea reúne a Estados que, libre y voluntariamente, han hecho suyos, respetan y se comprometen a promover “los valores comunes” mencionados en el actual art. 2 TUE, y, en particular, el Estado de Derecho.</w:t>
      </w:r>
    </w:p>
    <w:p w14:paraId="0D377F84" w14:textId="77777777" w:rsidR="00B35D37" w:rsidRDefault="00B35D37" w:rsidP="00B35D37">
      <w:pPr>
        <w:pStyle w:val="TextoNormal"/>
      </w:pPr>
    </w:p>
    <w:p w14:paraId="7201BFEA" w14:textId="77777777" w:rsidR="00B35D37" w:rsidRDefault="00B35D37" w:rsidP="00B35D37">
      <w:pPr>
        <w:pStyle w:val="TextoNormal"/>
      </w:pPr>
      <w:r>
        <w:t xml:space="preserve">Es decir, el valor Estado de Derecho que recoge nuestra Constitución española debe respetar el marco establecido por el art. 2 TUE, tal y como lo viene configurando la jurisprudencia del Tribunal de Justicia, porque desde nuestra adhesión son valores “comunes” que nos hemos comprometido a respetar y promover. Y el respeto a estos valores, y, en particular al valor del Estado de Derecho, no solo fue un requisito necesario para que España pudiera ser admitida en las entonces Comunidades Europeas, sino que sigue siendo un requisito necesario para permanecer en la Unión Europea, pues, como siguió explicando el Tribunal de Justicia en el asunto </w:t>
      </w:r>
      <w:r w:rsidRPr="00B35D37">
        <w:rPr>
          <w:i/>
        </w:rPr>
        <w:t>Repubblika</w:t>
      </w:r>
      <w:r>
        <w:t>, “un Estado miembro no puede modificar su legislación de modo que dé lugar a una reducción de la protección del valor del Estado de Derecho, valor que se concreta, en particular, en el artículo 19 TUE”.</w:t>
      </w:r>
    </w:p>
    <w:p w14:paraId="6B481AD0" w14:textId="77777777" w:rsidR="00B35D37" w:rsidRDefault="00B35D37" w:rsidP="00B35D37">
      <w:pPr>
        <w:pStyle w:val="TextoNormal"/>
      </w:pPr>
    </w:p>
    <w:p w14:paraId="0031AFE2" w14:textId="77777777" w:rsidR="00B35D37" w:rsidRDefault="00B35D37" w:rsidP="00B35D37">
      <w:pPr>
        <w:pStyle w:val="TextoNormal"/>
      </w:pPr>
      <w:r>
        <w:t xml:space="preserve">Es más, en la STJUE de 16 de febrero de 2022, asunto C-156/21, </w:t>
      </w:r>
      <w:r w:rsidRPr="00B35D37">
        <w:rPr>
          <w:i/>
        </w:rPr>
        <w:t>Hungría c. Parlamento Europeo y Consejo de la Unión Europea</w:t>
      </w:r>
      <w:r>
        <w:t>, el Pleno del Tribunal de Justicia afirmó que el art. 2 TUE no constituye una mera enunciación de orientaciones o de intenciones de naturaleza política, sino que contiene valores que forman parte de la propia “identidad de la Unión como ordenamiento jurídico común, valores que se concretan en principios que comportan obligaciones jurídicamente vinculantes para los Estados miembros” (§ 232); de forma similar en la STJUE de 16 de febrero de 2022, asunto C-157/21</w:t>
      </w:r>
      <w:r w:rsidRPr="00B35D37">
        <w:rPr>
          <w:i/>
        </w:rPr>
        <w:t>, República de Polonia c. Parlamento Europeo y Consejo de la Unión Europ</w:t>
      </w:r>
      <w:r>
        <w:t>ea (§ 264 a 266).</w:t>
      </w:r>
    </w:p>
    <w:p w14:paraId="486D6E99" w14:textId="77777777" w:rsidR="00B35D37" w:rsidRDefault="00B35D37" w:rsidP="00B35D37">
      <w:pPr>
        <w:pStyle w:val="TextoNormal"/>
      </w:pPr>
    </w:p>
    <w:p w14:paraId="2A98D4DE" w14:textId="77777777" w:rsidR="00B35D37" w:rsidRDefault="00B35D37" w:rsidP="00B35D37">
      <w:pPr>
        <w:pStyle w:val="TextoNormal"/>
      </w:pPr>
      <w:r>
        <w:t xml:space="preserve">Y más recientemente, en la STJUE de 5 de junio de 2023, asunto C-204/21, </w:t>
      </w:r>
      <w:r w:rsidRPr="00B35D37">
        <w:rPr>
          <w:i/>
        </w:rPr>
        <w:t>Comisión Europea c. República de Polonia</w:t>
      </w:r>
      <w:r>
        <w:t xml:space="preserve"> (independencia y vida privada de los jueces), se afirma que si bien los Estados miembros disponen de cierto margen de apreciación para garantizar la aplicación de los principios del Estado de Derecho, “de ello no se deriva en modo alguno que la referida obligación de resultado pueda variar de un Estado miembro a otro” (§ 73).</w:t>
      </w:r>
    </w:p>
    <w:p w14:paraId="440AFBC6" w14:textId="77777777" w:rsidR="00B35D37" w:rsidRDefault="00B35D37" w:rsidP="00B35D37">
      <w:pPr>
        <w:pStyle w:val="TextoNormal"/>
      </w:pPr>
    </w:p>
    <w:p w14:paraId="14AADDB3" w14:textId="77777777" w:rsidR="00B35D37" w:rsidRDefault="00B35D37" w:rsidP="00B35D37">
      <w:pPr>
        <w:pStyle w:val="TextoNormal"/>
      </w:pPr>
      <w:r>
        <w:t>Por lo tanto, a la luz de esta reiterada y consolidada jurisprudencia no es posible sostener que el Estado de Derecho puede ser una cosa para la Constitución española de 1978, y a la vez una cosa distinta para el art. 2 TUE, de modo que no podemos enjuiciar la constitucionalidad de la Ley de amnistía y saber si respeta o no el Estado de Derecho, tal y como lo configura nuestra Constitución, sin saber antes si respeta o no el valor de Estado de Derecho que consagra el art. 2 TUE y que concretiza el art. 19 TUE.</w:t>
      </w:r>
    </w:p>
    <w:p w14:paraId="1AD280F7" w14:textId="77777777" w:rsidR="00B35D37" w:rsidRDefault="00B35D37" w:rsidP="00B35D37">
      <w:pPr>
        <w:pStyle w:val="TextoNormal"/>
      </w:pPr>
    </w:p>
    <w:p w14:paraId="629AB930" w14:textId="77777777" w:rsidR="00B35D37" w:rsidRDefault="00B35D37" w:rsidP="00B35D37">
      <w:pPr>
        <w:pStyle w:val="TextoNormal"/>
      </w:pPr>
      <w:r>
        <w:t>Llevar a cabo un control abstracto de constitucionalidad sin consultar antes al Tribunal de Justicia puede llevar a este tribunal a dictar una sentencia que sea contraria a los arts. 2 y 19 TUE, infringiendo así el principio de primacía del Derecho de la Unión Europea. Solo entablando un diálogo con el Tribunal de Justicia podremos saber si una amnistía como la que nos ocupa es tolerable en el sistema de valores de la Unión Europea, especialmente desde el punto de vista del principio de separación de poderes, de la necesidad de tener un poder judicial independiente y de asegurar el respeto al derecho a la igualdad.</w:t>
      </w:r>
    </w:p>
    <w:p w14:paraId="1BD4AA25" w14:textId="77777777" w:rsidR="00B35D37" w:rsidRDefault="00B35D37" w:rsidP="00B35D37">
      <w:pPr>
        <w:pStyle w:val="TextoNormal"/>
      </w:pPr>
    </w:p>
    <w:p w14:paraId="542E2E46" w14:textId="77777777" w:rsidR="00B35D37" w:rsidRDefault="00B35D37" w:rsidP="00B35D37">
      <w:pPr>
        <w:pStyle w:val="TextoNormal"/>
      </w:pPr>
      <w:r>
        <w:t xml:space="preserve">(ii) </w:t>
      </w:r>
      <w:r w:rsidRPr="00B35D37">
        <w:rPr>
          <w:i/>
        </w:rPr>
        <w:t>La Directiva (UE) 2017/541 del Parlamento Europeo y del Consejo de 15 de marzo de 2017 relativa a la lucha contra el terrorismo y por la que se sustituye la Decisión marco 2002/475/JAI del Consejo y se modifica la Decisión 2005/671/JAI del Consejo</w:t>
      </w:r>
    </w:p>
    <w:p w14:paraId="6FC472EB" w14:textId="77777777" w:rsidR="00B35D37" w:rsidRDefault="00B35D37" w:rsidP="00B35D37">
      <w:pPr>
        <w:pStyle w:val="TextoNormal"/>
      </w:pPr>
    </w:p>
    <w:p w14:paraId="5EB7F00E" w14:textId="77777777" w:rsidR="00B35D37" w:rsidRDefault="00B35D37" w:rsidP="00B35D37">
      <w:pPr>
        <w:pStyle w:val="TextoNormal"/>
      </w:pPr>
      <w:r>
        <w:t>Más allá de que esté en cuestión el Estado de Derecho, y los principios que de este derivan, lo cierto es que la Ley de amnistía amnistía delitos regulados por la Directiva (UE) 2017/541, aquellos que no hayan causado efectivamente y de forma intencionada graves violaciones de derechos humanos, de modo que la norma afecta de lleno a una regulación del Derecho de la Unión Europea, por lo que determinar si pueden o no pueden amnistiarse los delitos de terrorismo solo puede determinarlo el Tribunal de Justicia, que es el intérprete supremo de dicho Derecho.</w:t>
      </w:r>
    </w:p>
    <w:p w14:paraId="637BC061" w14:textId="77777777" w:rsidR="00B35D37" w:rsidRDefault="00B35D37" w:rsidP="00B35D37">
      <w:pPr>
        <w:pStyle w:val="TextoNormal"/>
      </w:pPr>
    </w:p>
    <w:p w14:paraId="459653C5" w14:textId="77777777" w:rsidR="00B35D37" w:rsidRDefault="00B35D37" w:rsidP="00B35D37">
      <w:pPr>
        <w:pStyle w:val="TextoNormal"/>
      </w:pPr>
      <w:r>
        <w:t>La amnistía de los delitos de terrorismo solo se ve excepcionada para un supuesto regulado en la exclusión del artículo 2 c) de la Ley de amnistía y que deja fuera de la amnistía los actos tipificados como terrorismo conforme a la Directiva (UE) 2017/541, que “hayan causado [efectivamente y] de forma intencionada graves violaciones de derechos humanos”. Y siendo esto así, los recurrentes consideran que esta exclusión adolece de un déficit de precisión por remitirse a una directiva comunitaria y no a la norma de trasposición española. Por lo tanto, este tribunal para resolver si existe o no una vulneración del derecho a la legalidad deberá interpretar el alcance de la Directiva (UE) 2017/541 y discernir si una norma nacional puede remitirse a una directiva para determinar qué delitos son o no amnistiables.</w:t>
      </w:r>
    </w:p>
    <w:p w14:paraId="504D856A" w14:textId="77777777" w:rsidR="00B35D37" w:rsidRDefault="00B35D37" w:rsidP="00B35D37">
      <w:pPr>
        <w:pStyle w:val="TextoNormal"/>
      </w:pPr>
    </w:p>
    <w:p w14:paraId="6881BB8D" w14:textId="77777777" w:rsidR="00B35D37" w:rsidRDefault="00B35D37" w:rsidP="00B35D37">
      <w:pPr>
        <w:pStyle w:val="TextoNormal"/>
      </w:pPr>
      <w:r>
        <w:t>Es más, si en relación con los delitos de terrorismo este tribunal llegase a considerar que es posible una remisión a una directiva para determinar qué tipo de delitos son amnistiables, estará obligado a analizar si dicha norma cumple con las previsiones de certeza y seguridad jurídica, y no puede hacer este examen de forma unilateral sino que vendría obligado a plantear una cuestión prejudicial de validez, porque un tribunal nacional no puede cuestionar la validez de una norma de Derecho de la Unión Europea sin preguntar antes al Tribunal de Justicia, so pena de vulnerar la competencia que este último tiene reservada de declarar la invalidez de los actos de la Unión Europea (STJUE de 22 de octubre de 1987, asunto C-314/</w:t>
      </w:r>
      <w:r w:rsidRPr="00B35D37">
        <w:rPr>
          <w:i/>
        </w:rPr>
        <w:t>85, Foto-Frost c. Hauptzollamt Lübeck</w:t>
      </w:r>
      <w:r>
        <w:t>-Ost., § 17, y las que le han seguido).</w:t>
      </w:r>
    </w:p>
    <w:p w14:paraId="610671C3" w14:textId="77777777" w:rsidR="00B35D37" w:rsidRDefault="00B35D37" w:rsidP="00B35D37">
      <w:pPr>
        <w:pStyle w:val="TextoNormal"/>
      </w:pPr>
    </w:p>
    <w:p w14:paraId="7FC009F8" w14:textId="77777777" w:rsidR="00B35D37" w:rsidRDefault="00B35D37" w:rsidP="00B35D37">
      <w:pPr>
        <w:pStyle w:val="TextoNormal"/>
      </w:pPr>
      <w:r>
        <w:t>(iii</w:t>
      </w:r>
      <w:r w:rsidRPr="00B35D37">
        <w:rPr>
          <w:i/>
        </w:rPr>
        <w:t>) El principio de independencia judicial consagrado en los arts. 2 y 19 T</w:t>
      </w:r>
      <w:r>
        <w:t>UE</w:t>
      </w:r>
    </w:p>
    <w:p w14:paraId="39C00AF2" w14:textId="77777777" w:rsidR="00B35D37" w:rsidRDefault="00B35D37" w:rsidP="00B35D37">
      <w:pPr>
        <w:pStyle w:val="TextoNormal"/>
      </w:pPr>
    </w:p>
    <w:p w14:paraId="7A396B9A" w14:textId="77777777" w:rsidR="00B35D37" w:rsidRDefault="00B35D37" w:rsidP="00B35D37">
      <w:pPr>
        <w:pStyle w:val="TextoNormal"/>
      </w:pPr>
      <w:r>
        <w:t>Toda amnistía supone por su naturaleza una injerencia en el Poder Judicial, dado que se anulan las condenas impuestas, se dejan sin efecto las ejecuciones de las penas, se sobreseen los procedimientos iniciados y no se inician los que están pendientes de iniciarse. Más allá de esa injerencia general que se produce en el Poder Judicial, los recurrentes han alegado también que las previsiones de la Ley de amnistía imponen a los jueces una determinada tutela cautelar, al ordenar el inmediato alzamiento de las medidas cautelares adoptadas, el levantamiento de las órdenes europeas de detención, así como la inmediata finalización de la ejecución de las resoluciones judiciales y de las penas.</w:t>
      </w:r>
    </w:p>
    <w:p w14:paraId="0056E048" w14:textId="77777777" w:rsidR="00B35D37" w:rsidRDefault="00B35D37" w:rsidP="00B35D37">
      <w:pPr>
        <w:pStyle w:val="TextoNormal"/>
      </w:pPr>
    </w:p>
    <w:p w14:paraId="58C83AEC" w14:textId="77777777" w:rsidR="00B35D37" w:rsidRDefault="00B35D37" w:rsidP="00B35D37">
      <w:pPr>
        <w:pStyle w:val="TextoNormal"/>
      </w:pPr>
      <w:r>
        <w:t xml:space="preserve">Esta injerencia, que afecta a la independencia judicial de los órganos jurisdiccionales españoles, determina de modo adicional que la norma quede sujeta a las exigencias del art. 19 TUE, conforme a la jurisprudencia que el Tribunal de Justicia viene desarrollando desde la STJUE de 27 de febrero de 2018, asunto C-64/16, </w:t>
      </w:r>
      <w:r w:rsidRPr="00B35D37">
        <w:rPr>
          <w:i/>
        </w:rPr>
        <w:t>Associação Sindical dos Juízes Portugueses c. Tribunal de Cuentas</w:t>
      </w:r>
      <w:r>
        <w:t>. En este último pronunciamiento, el Tribunal de Justicia dejó sentado que cualquier norma nacional que pueda afectar a la independencia judicial queda comprendida en el ámbito de aplicación del art. 19 TUE y, por lo tanto, el Tribunal de Justicia tiene competencia para pronunciarse.</w:t>
      </w:r>
    </w:p>
    <w:p w14:paraId="713D250E" w14:textId="77777777" w:rsidR="00B35D37" w:rsidRDefault="00B35D37" w:rsidP="00B35D37">
      <w:pPr>
        <w:pStyle w:val="TextoNormal"/>
      </w:pPr>
    </w:p>
    <w:p w14:paraId="301B530A" w14:textId="77777777" w:rsidR="00B35D37" w:rsidRDefault="00B35D37" w:rsidP="00B35D37">
      <w:pPr>
        <w:pStyle w:val="TextoNormal"/>
      </w:pPr>
      <w:r>
        <w:t>En el supuesto de la Ley de amnistía, el Tribunal de Justicia es competente para pronunciarse no solo porque esté en cuestión el principio de independencia judicial protegido por el art. 19 TUE, sino porque se ha producido una afectación en el funcionamiento de la orden europea de detención y entrega, que es un mecanismo regulado íntegramente por el Derecho de la Unión Europea, y es a su vez clave en el mantenimiento del espacio de libertad, seguridad y justicia.</w:t>
      </w:r>
    </w:p>
    <w:p w14:paraId="6CBCD0DB" w14:textId="77777777" w:rsidR="00B35D37" w:rsidRDefault="00B35D37" w:rsidP="00B35D37">
      <w:pPr>
        <w:pStyle w:val="TextoNormal"/>
      </w:pPr>
    </w:p>
    <w:p w14:paraId="396B7837" w14:textId="77777777" w:rsidR="00B35D37" w:rsidRDefault="00B35D37" w:rsidP="00B35D37">
      <w:pPr>
        <w:pStyle w:val="TextoNormal"/>
      </w:pPr>
      <w:r>
        <w:t>b) No concurre ninguna excepción al planteamiento de la cuestión prejudicial:</w:t>
      </w:r>
    </w:p>
    <w:p w14:paraId="05B21A10" w14:textId="77777777" w:rsidR="00B35D37" w:rsidRDefault="00B35D37" w:rsidP="00B35D37">
      <w:pPr>
        <w:pStyle w:val="TextoNormal"/>
      </w:pPr>
    </w:p>
    <w:p w14:paraId="6593C85E" w14:textId="77777777" w:rsidR="00B35D37" w:rsidRDefault="00B35D37" w:rsidP="00B35D37">
      <w:pPr>
        <w:pStyle w:val="TextoNormal"/>
      </w:pPr>
      <w:r>
        <w:t>Siendo indiscutible a la luz de lo expuesto que el examen de constitucionalidad de la norma exige interpretar el Derecho de la Unión Europea, este tribunal en tanto órgano de última instancia debe cumplir con su obligación de consultar al Tribunal de Justicia remitiéndole a tal efecto una cuestión prejudicial. Y si bien el Tribunal de Justicia ha reconocido tres excepciones a dicha obligación, a las que ya hemos hecho referencia, es evidente a todas luces que en el caso de la Ley de amnistía no concurre ninguna de estas excepciones, tal y como se configuran en las SSTJUE de 6 de octubre de 1982, asunto C-283/81</w:t>
      </w:r>
      <w:r w:rsidRPr="00B35D37">
        <w:rPr>
          <w:i/>
        </w:rPr>
        <w:t>, Cilf</w:t>
      </w:r>
      <w:r>
        <w:t>it, y de 6 de octubre de 2021, Gran Sala, asunto C-561/19</w:t>
      </w:r>
      <w:r w:rsidRPr="00B35D37">
        <w:rPr>
          <w:i/>
        </w:rPr>
        <w:t>, Consorzio Italian Manageme</w:t>
      </w:r>
      <w:r>
        <w:t>nt.</w:t>
      </w:r>
    </w:p>
    <w:p w14:paraId="0A924F24" w14:textId="77777777" w:rsidR="00B35D37" w:rsidRDefault="00B35D37" w:rsidP="00B35D37">
      <w:pPr>
        <w:pStyle w:val="TextoNormal"/>
      </w:pPr>
    </w:p>
    <w:p w14:paraId="229830AF" w14:textId="77777777" w:rsidR="00B35D37" w:rsidRDefault="00B35D37" w:rsidP="00B35D37">
      <w:pPr>
        <w:pStyle w:val="TextoNormal"/>
      </w:pPr>
      <w:r>
        <w:t>(i) La primera excepción no concurre porque ello exigiría que la cuestión suscitada no fuera pertinente, y esto ocurre cuando la respuesta a dicha cuestión, cualquiera que fuera, no podría tener incidencia alguna en la solución del litigio.</w:t>
      </w:r>
    </w:p>
    <w:p w14:paraId="1914366F" w14:textId="77777777" w:rsidR="00B35D37" w:rsidRDefault="00B35D37" w:rsidP="00B35D37">
      <w:pPr>
        <w:pStyle w:val="TextoNormal"/>
      </w:pPr>
    </w:p>
    <w:p w14:paraId="1916C1AE" w14:textId="77777777" w:rsidR="00B35D37" w:rsidRDefault="00B35D37" w:rsidP="00B35D37">
      <w:pPr>
        <w:pStyle w:val="TextoNormal"/>
      </w:pPr>
      <w:r>
        <w:t>Este no es el caso porque, como acaba de explicarse de forma exhaustiva, el examen de constitucionalidad de la norma exige interpretar el Derecho de la Unión Europea y la respuesta del Tribunal de Justicia va a permitir a este tribunal discernir si la Ley Orgánica 1/2024 respeta el Estado de Derecho, tal y como se configura en el art. 2 TUE, en relación con los principios de separación de poderes y con el principio de exclusividad jurisdiccional. Igualmente es necesario saber el alcance de la Directiva (UE) 2017/541, para determinar si es posible amnistiar determinados delitos de terrorismo, o si se vulnera el principio de legalidad por la remisión que se hace por el legislador orgánico a la misma. Y, finalmente, un pronunciamiento del Tribunal de Justicia sobre las exigencias que se derivan del principio de independencia judicial consagrado en el art. 19 TUE es también necesario a la luz de las injerencias que se producen en el ejercicio de la función jurisdiccional por los órganos judiciales y, muy especialmente, al limitar el legislador español el mecanismo de las órdenes europeas de detención y entrega, de gran importancia en el mantenimiento del espacio de libertad, seguridad y justicia.</w:t>
      </w:r>
    </w:p>
    <w:p w14:paraId="3A238FC8" w14:textId="77777777" w:rsidR="00B35D37" w:rsidRDefault="00B35D37" w:rsidP="00B35D37">
      <w:pPr>
        <w:pStyle w:val="TextoNormal"/>
      </w:pPr>
    </w:p>
    <w:p w14:paraId="37863872" w14:textId="77777777" w:rsidR="00B35D37" w:rsidRDefault="00B35D37" w:rsidP="00B35D37">
      <w:pPr>
        <w:pStyle w:val="TextoNormal"/>
      </w:pPr>
      <w:r>
        <w:t xml:space="preserve">(ii) La segunda excepción no concurre porque ello exigiría que la disposición del Derecho de la Unión Europea controvertida ya hubiera sido interpretada por el Tribunal de Justicia (lo que se conoce como el acto aclarado), apreciándose que así ocurre cuando la cuestión planteada es materialmente idéntica a una cuestión que ya ha sido objeto de una decisión con carácter prejudicial en un caso análogo o, </w:t>
      </w:r>
      <w:r w:rsidRPr="00B35D37">
        <w:rPr>
          <w:i/>
        </w:rPr>
        <w:t>a fortiori</w:t>
      </w:r>
      <w:r>
        <w:t>, en el marco del mismo asunto nacional, o cuando una jurisprudencia ya asentada del Tribunal de Justicia resuelva la cuestión de Derecho de que se trate, cualquiera que sea la naturaleza de los procedimientos que hayan dado lugar a dicha jurisprudencia, incluso si no existe una estricta identidad de las cuestiones debatidas.</w:t>
      </w:r>
    </w:p>
    <w:p w14:paraId="5A6D2559" w14:textId="77777777" w:rsidR="00B35D37" w:rsidRDefault="00B35D37" w:rsidP="00B35D37">
      <w:pPr>
        <w:pStyle w:val="TextoNormal"/>
      </w:pPr>
    </w:p>
    <w:p w14:paraId="58FF2558" w14:textId="77777777" w:rsidR="00B35D37" w:rsidRDefault="00B35D37" w:rsidP="00B35D37">
      <w:pPr>
        <w:pStyle w:val="TextoNormal"/>
      </w:pPr>
      <w:r>
        <w:t>Es evidente que tampoco concurre esta excepción porque la cuestión que se plantea no ha sido trasladada previamente al Tribunal de Justicia, que no se ha pronunciado nunca sobre los límites que el art. 2 TUE impone a la soberanía nacional cuando los Estados regulan las amnistías, cuando estas pueden incidir en los valores de la Unión Europea, en particular, en lo que respecta al Estado de Derecho, al principio de igualdad, y al principio de independencia judicial (no existe el llamado acto aclarado). Tampoco existen pronunciamientos previos sobre la posibilidad de que determinados delitos de terrorismo regulados en la Directiva (UE) 2017/541 puedan ser amnistiados o sobre la afectación al principio de independencia judicial por sustraer al poder jurisdiccional la decisión sobre el destino de las medidas cautelares o la vigencia de las órdenes europeas de detención y entrega (Decisión marco 2002/475/JAI del Consejo de 13 de junio de 2002, sobre la lucha contra el terrorismo).</w:t>
      </w:r>
    </w:p>
    <w:p w14:paraId="2BA1BD1B" w14:textId="77777777" w:rsidR="00B35D37" w:rsidRDefault="00B35D37" w:rsidP="00B35D37">
      <w:pPr>
        <w:pStyle w:val="TextoNormal"/>
      </w:pPr>
    </w:p>
    <w:p w14:paraId="3DE0EE68" w14:textId="77777777" w:rsidR="00B35D37" w:rsidRDefault="00B35D37" w:rsidP="00B35D37">
      <w:pPr>
        <w:pStyle w:val="TextoNormal"/>
      </w:pPr>
      <w:r>
        <w:t>(iii) La tercera excepción no concurre porque ello exigiría que la interpretación correcta del Derecho de la Unión Europea se imponga con tal evidencia que “no deja lugar a ninguna duda razonable” (tradicionalmente denominado el supuesto del “acto claro”), debiendo recordarse que antes de concluir que se da tal situación, el órgano jurisdiccional nacional que decide en última instancia “debe llegar a la convicción de que la misma evidencia se impondría igualmente a los demás tribunales nacionales de última instancia de los Estados miembros, así como al Tribunal de Justicia” .</w:t>
      </w:r>
    </w:p>
    <w:p w14:paraId="64DC2F94" w14:textId="77777777" w:rsidR="00B35D37" w:rsidRDefault="00B35D37" w:rsidP="00B35D37">
      <w:pPr>
        <w:pStyle w:val="TextoNormal"/>
      </w:pPr>
    </w:p>
    <w:p w14:paraId="7947F7FA" w14:textId="77777777" w:rsidR="00B35D37" w:rsidRDefault="00B35D37" w:rsidP="00B35D37">
      <w:pPr>
        <w:pStyle w:val="TextoNormal"/>
      </w:pPr>
      <w:r>
        <w:t>Pues bien, a la luz de todo lo que acaba de exponerse hasta el momento, afirmar que la interpretación es clara supondría ignorar, por un lado, el amplio debate que se ha suscitado al respecto en nuestra doctrina y en nuestros tribunales nacionales, así como los distintos argumentos de peso que se van desgranando en el recurso de inconstitucionalidad que estamos examinando; y, por otro lado, evidenciaría una voluntad deliberada de ignorar la existencia de las cuatro cuestiones prejudiciales pendientes a las que nos venimos refiriendo en este voto particular, las cuales además van a permitir que el Tribunal de Justicia se pronuncie sobre las mismas cuestiones que se dilucidan en el presente recurso de inconstitucionalidad.</w:t>
      </w:r>
    </w:p>
    <w:p w14:paraId="1D64A7E1" w14:textId="77777777" w:rsidR="00B35D37" w:rsidRDefault="00B35D37" w:rsidP="00B35D37">
      <w:pPr>
        <w:pStyle w:val="TextoNormal"/>
      </w:pPr>
    </w:p>
    <w:p w14:paraId="455F86B5" w14:textId="77777777" w:rsidR="00B35D37" w:rsidRDefault="00B35D37" w:rsidP="00B35D37">
      <w:pPr>
        <w:pStyle w:val="TextoNormal"/>
      </w:pPr>
      <w:r>
        <w:t xml:space="preserve">Precisamente, la existencia de esta pluralidad de cuestiones prejudiciales pendientes determina, conforme a la jurisprudencia del Tribunal de Justicia, que no existe un acto claro y que el Tribunal Constitucional debe cumplir con su obligación de plantear una cuestión prejudicial. Así lo explicó el Tribunal de Justicia en una situación similar en la STJUE de 9 de septiembre de 2015, asunto C-160/14, </w:t>
      </w:r>
      <w:r w:rsidRPr="00B35D37">
        <w:rPr>
          <w:i/>
        </w:rPr>
        <w:t>Ferreira da Silva e Brito y otros c. Portugal</w:t>
      </w:r>
      <w:r>
        <w:t>, en la que concluyó que el hecho de que varios órganos jurisdiccionales hubieran remitido la misma cuestión al Tribunal de Justicia demostraba la existencia de dudas razonables, y de riesgos de divergencias de jurisprudencia en el ámbito de la Unión Europea, por lo que se debe cumplir con la obligación de remitir el asunto al Tribunal de Justicia con el fin de excluir el riesgo de una interpretación errónea del Derecho de la Unión Europea (§ 43 y 44).</w:t>
      </w:r>
    </w:p>
    <w:p w14:paraId="60BB164F" w14:textId="77777777" w:rsidR="00B35D37" w:rsidRDefault="00B35D37" w:rsidP="00B35D37">
      <w:pPr>
        <w:pStyle w:val="TextoNormal"/>
      </w:pPr>
    </w:p>
    <w:p w14:paraId="506B7E1A" w14:textId="77777777" w:rsidR="00B35D37" w:rsidRDefault="00B35D37" w:rsidP="00B35D37">
      <w:pPr>
        <w:pStyle w:val="TextoNormal"/>
      </w:pPr>
      <w:r>
        <w:t>c) A todo esto cabe añadir que este diálogo previo no solo es obligatorio, conforme al art. 267, apartado tercero, TFUE, sino que entendemos que sería además deseable porque es la única oportunidad que puede tener el Tribunal Constitucional para explicar las exigencias que derivan de la Constitución española y su proyección sobre la Ley de amnistía; es decir, solo dirigiéndose al Tribunal de Justicia puede este Tribunal Constitucional ser oído y se contribuiría así al diálogo entre tribunales.</w:t>
      </w:r>
    </w:p>
    <w:p w14:paraId="703504B4" w14:textId="77777777" w:rsidR="00B35D37" w:rsidRDefault="00B35D37" w:rsidP="00B35D37">
      <w:pPr>
        <w:pStyle w:val="TextoNormal"/>
      </w:pPr>
    </w:p>
    <w:p w14:paraId="06D7A501" w14:textId="77777777" w:rsidR="00B35D37" w:rsidRDefault="00B35D37" w:rsidP="00B35D37">
      <w:pPr>
        <w:pStyle w:val="TextoNormal"/>
      </w:pPr>
      <w:r>
        <w:t>Además, con el planteamiento de una cuestión prejudicial se evitaría que se reprodujese la controversia por todos conocida que ha acontecido recientemente en relación con la decisión de dos tribunales nacionales (el Tribunal Superior de Justicia de Madrid y la Audiencia Provincial de Sevilla) de plantear una cuestión prejudicial al Tribunal de Justicia cuestionando la valoración jurídica efectuada por el Tribunal Constitucional en determinados pronunciamientos y su compatibilidad con las exigencias que derivan del Derecho de la Unión Europea.</w:t>
      </w:r>
    </w:p>
    <w:p w14:paraId="043E2228" w14:textId="77777777" w:rsidR="00B35D37" w:rsidRDefault="00B35D37" w:rsidP="00B35D37">
      <w:pPr>
        <w:pStyle w:val="TextoNormal"/>
      </w:pPr>
    </w:p>
    <w:p w14:paraId="2C616B3C" w14:textId="77777777" w:rsidR="00B35D37" w:rsidRDefault="00B35D37" w:rsidP="00B35D37">
      <w:pPr>
        <w:pStyle w:val="TextoNormal"/>
      </w:pPr>
      <w:r>
        <w:t xml:space="preserve">Y es que, precisamente, para que una interpretación constitucional pueda prevalecer sobre el Derecho de la Unión Europea, la única vía posible sería seguir la hoja de ruta sentada previamente por el Tribunal de Justicia en la STJUE de 22 de febrero de 2022, asunto C-430/21, </w:t>
      </w:r>
      <w:r w:rsidRPr="00B35D37">
        <w:rPr>
          <w:i/>
        </w:rPr>
        <w:t>R.S. (efecto de las decisiones de un Tribunal Constitucional</w:t>
      </w:r>
      <w:r>
        <w:t>), § 70, y que el Tribunal Constitucional plantease una cuestión prejudicial, tal y como hizo el Tribunal Constitucional italiano en la conocida como senten</w:t>
      </w:r>
      <w:r w:rsidRPr="00B35D37">
        <w:rPr>
          <w:i/>
        </w:rPr>
        <w:t>cia Taricc</w:t>
      </w:r>
      <w:r>
        <w:t>o II (STJUE, Gran Sala, de 5 de diciembre de 2017, asunto C-42/</w:t>
      </w:r>
      <w:r w:rsidRPr="00B35D37">
        <w:rPr>
          <w:i/>
        </w:rPr>
        <w:t>17, M.A.S. y</w:t>
      </w:r>
      <w:r>
        <w:t xml:space="preserve"> M.B.).</w:t>
      </w:r>
    </w:p>
    <w:p w14:paraId="47F64E58" w14:textId="77777777" w:rsidR="00B35D37" w:rsidRDefault="00B35D37" w:rsidP="00B35D37">
      <w:pPr>
        <w:pStyle w:val="TextoNormal"/>
      </w:pPr>
    </w:p>
    <w:p w14:paraId="70BE6BF4" w14:textId="77777777" w:rsidR="00B35D37" w:rsidRDefault="00B35D37" w:rsidP="00B35D37">
      <w:pPr>
        <w:pStyle w:val="TextoNormal"/>
      </w:pPr>
      <w:r>
        <w:t>4</w:t>
      </w:r>
      <w:r w:rsidRPr="00B35D37">
        <w:rPr>
          <w:i/>
        </w:rPr>
        <w:t>. Las cuestiones prejudiciales pendientes sobre la amnist</w:t>
      </w:r>
      <w:r>
        <w:t>ía</w:t>
      </w:r>
    </w:p>
    <w:p w14:paraId="47E9F963" w14:textId="77777777" w:rsidR="00B35D37" w:rsidRDefault="00B35D37" w:rsidP="00B35D37">
      <w:pPr>
        <w:pStyle w:val="TextoNormal"/>
      </w:pPr>
    </w:p>
    <w:p w14:paraId="77FBC65C" w14:textId="77777777" w:rsidR="00B35D37" w:rsidRDefault="00B35D37" w:rsidP="00B35D37">
      <w:pPr>
        <w:pStyle w:val="TextoNormal"/>
      </w:pPr>
      <w:r>
        <w:t>Una mera lectura de las cuestiones prejudiciales pendientes ante el Tribunal de Justicia, a las que hacen referencia insistentemente las partes en los distintos escritos presentados, permite colegir sin dificultad alguna que las dudas que se han trasladado a dicho Tribunal coinciden con las cuestiones que se han planteado en el presente recurso de inconstitucionalidad.</w:t>
      </w:r>
    </w:p>
    <w:p w14:paraId="3D0B2CE0" w14:textId="77777777" w:rsidR="00B35D37" w:rsidRDefault="00B35D37" w:rsidP="00B35D37">
      <w:pPr>
        <w:pStyle w:val="TextoNormal"/>
      </w:pPr>
    </w:p>
    <w:p w14:paraId="349B1981" w14:textId="77777777" w:rsidR="00B35D37" w:rsidRDefault="00B35D37" w:rsidP="00B35D37">
      <w:pPr>
        <w:pStyle w:val="TextoNormal"/>
      </w:pPr>
      <w:r>
        <w:t>Es decir, lo que estamos debatiendo en el presente recurso de inconstitucionalidad se está también debatiendo en el momento actual en Luxemburgo, y por ello consideramos que este tribunal, antes de haber tomado la decisión de denegar el planteamiento de la cuestión prejudicial instada por las partes, debería haber valorado el alcance de las dudas planteadas por el Tribunal de Cuentas, por la Sala de lo Penal del Tribunal Superior de Justicia de Barcelona, por la Audiencia Nacional y por el Juzgado de lo Penal núm. 3 de Vilanova i La Geltrú, en las cuestiones prejudiciales que han remitido al Tribunal de Justicia de la Unión Europea.</w:t>
      </w:r>
    </w:p>
    <w:p w14:paraId="2FB4E6EC" w14:textId="77777777" w:rsidR="00B35D37" w:rsidRDefault="00B35D37" w:rsidP="00B35D37">
      <w:pPr>
        <w:pStyle w:val="TextoNormal"/>
      </w:pPr>
    </w:p>
    <w:p w14:paraId="7FC73C7C" w14:textId="77777777" w:rsidR="00B35D37" w:rsidRDefault="00B35D37" w:rsidP="00B35D37">
      <w:pPr>
        <w:pStyle w:val="TextoNormal"/>
      </w:pPr>
      <w:r>
        <w:t xml:space="preserve">Al no hacerlo se pone de manifiesto la arbitrariedad del auto adoptado por la mayoría, pues, como se recuerda en la STJUE de 6 de octubre de 2021, asunto C-561/19, </w:t>
      </w:r>
      <w:r w:rsidRPr="00B35D37">
        <w:rPr>
          <w:i/>
        </w:rPr>
        <w:t>Consorzio</w:t>
      </w:r>
      <w:r>
        <w:t xml:space="preserve"> </w:t>
      </w:r>
      <w:r w:rsidRPr="00B35D37">
        <w:rPr>
          <w:i/>
        </w:rPr>
        <w:t>Italian Management</w:t>
      </w:r>
      <w:r>
        <w:t>, § 50, un tribunal de última instancia debe apreciar si se halla en alguno de los supuestos que impiden plantear una cuestión prejudicial, “bajo su responsabilidad y de manera independiente, con toda la atención requerida”.</w:t>
      </w:r>
    </w:p>
    <w:p w14:paraId="52C3F8E1" w14:textId="77777777" w:rsidR="00B35D37" w:rsidRDefault="00B35D37" w:rsidP="00B35D37">
      <w:pPr>
        <w:pStyle w:val="TextoNormal"/>
      </w:pPr>
    </w:p>
    <w:p w14:paraId="31A7090A" w14:textId="77777777" w:rsidR="00B35D37" w:rsidRDefault="00B35D37" w:rsidP="00B35D37">
      <w:pPr>
        <w:pStyle w:val="TextoNormal"/>
      </w:pPr>
      <w:r>
        <w:t>Dado que el auto del que discrepamos no ha prestado ninguna atención al contenido de estas cuestiones prejudiciales, se hace imprescindible poner de relieve a continuación los distintos aspectos principales que han sido trasladados al Tribunal de Justicia; el examen de este contenido también permite cuestionar que se haya decidido que el presente recurso de inconstitucionalidad sea el recurso de cabecera de los dieciséis recursos y seis cuestiones de inconstitucionalidad que se están tramitando en relación con la Ley de amnistía, en detrimento de aquellos recursos que de forma adicional planteaban también la inconstitucionalidad de la norma porque la amnistía u olvido penal de las conductas malversadoras de fondos o caudales públicos cometidos por altos cargos de la administración catalana, resultaría incompatible con el art. 325 TFUE y con la Directiva (UE) 2017/1371 sobre la lucha contra el fraude que afecta a los intereses financieros de la Unión a través del Derecho penal.</w:t>
      </w:r>
    </w:p>
    <w:p w14:paraId="12961951" w14:textId="77777777" w:rsidR="00B35D37" w:rsidRDefault="00B35D37" w:rsidP="00B35D37">
      <w:pPr>
        <w:pStyle w:val="TextoNormal"/>
      </w:pPr>
    </w:p>
    <w:p w14:paraId="340DFA28" w14:textId="77777777" w:rsidR="00B35D37" w:rsidRDefault="00B35D37" w:rsidP="00B35D37">
      <w:pPr>
        <w:pStyle w:val="TextoNormal"/>
      </w:pPr>
      <w:r>
        <w:t>4.1</w:t>
      </w:r>
      <w:r w:rsidRPr="00B35D37">
        <w:rPr>
          <w:i/>
        </w:rPr>
        <w:t>. La violación de la cláusula de Estado de Derec</w:t>
      </w:r>
      <w:r>
        <w:t>ho</w:t>
      </w:r>
    </w:p>
    <w:p w14:paraId="73A5CF25" w14:textId="77777777" w:rsidR="00B35D37" w:rsidRDefault="00B35D37" w:rsidP="00B35D37">
      <w:pPr>
        <w:pStyle w:val="TextoNormal"/>
      </w:pPr>
    </w:p>
    <w:p w14:paraId="2F102CF6" w14:textId="77777777" w:rsidR="00B35D37" w:rsidRDefault="00B35D37" w:rsidP="00B35D37">
      <w:pPr>
        <w:pStyle w:val="TextoNormal"/>
      </w:pPr>
      <w:r>
        <w:t xml:space="preserve">Tanto el Juzgado de lo Penal núm. 3 de Vilanova i La Geltrú, en la cuestión prejudicial </w:t>
      </w:r>
      <w:r w:rsidRPr="00B35D37">
        <w:rPr>
          <w:i/>
        </w:rPr>
        <w:t>Manizo</w:t>
      </w:r>
      <w:r>
        <w:t xml:space="preserve"> (C-123/25), como la Sala de lo Civil y Penal del Tribunal Superior de Justicia de Cataluña en el auto de planteamiento de la cuestión prejudicial </w:t>
      </w:r>
      <w:r w:rsidRPr="00B35D37">
        <w:rPr>
          <w:i/>
        </w:rPr>
        <w:t>Vox</w:t>
      </w:r>
      <w:r>
        <w:t xml:space="preserve"> (C-587/24), plantean al Tribunal de Justicia que la Ley de amnistía viola la cláusula de Estado de Derecho consagrada en el art. 2 TUE, y los principios que de la misma se derivan, como son el principio de separación de poderes y de legalidad, y el principio de justicia, y la prohibición de abuso de derecho, todos ellos protegidos por el Tratado de la Unión Europea.</w:t>
      </w:r>
    </w:p>
    <w:p w14:paraId="16124334" w14:textId="77777777" w:rsidR="00B35D37" w:rsidRDefault="00B35D37" w:rsidP="00B35D37">
      <w:pPr>
        <w:pStyle w:val="TextoNormal"/>
      </w:pPr>
    </w:p>
    <w:p w14:paraId="7D30A073" w14:textId="77777777" w:rsidR="00B35D37" w:rsidRDefault="00B35D37" w:rsidP="00B35D37">
      <w:pPr>
        <w:pStyle w:val="TextoNormal"/>
      </w:pPr>
      <w:r>
        <w:t>El primero considera que así se produce, en extremada síntesis, porque, según razona, la amnistía no tiene habilitación constitucional alguna (más bien, habría una prohibición constitucional explícita); porque el efecto de la amnistía es la pasividad ante decisiones ilícitas o infracciones penales; porque el objetivo y la finalidad subyacente a la misma no era sino el de obtener votos de los parlamentarios de varios partidos políticos para la investidura presidencial del candidato que la promovió, y porque intervinieron en la votación de la norma precisamente los partidos políticos que con sus líderes u otros miembros podían directamente beneficiarse de la misma.</w:t>
      </w:r>
    </w:p>
    <w:p w14:paraId="04ECAA89" w14:textId="77777777" w:rsidR="00B35D37" w:rsidRDefault="00B35D37" w:rsidP="00B35D37">
      <w:pPr>
        <w:pStyle w:val="TextoNormal"/>
      </w:pPr>
    </w:p>
    <w:p w14:paraId="3CD5CDD5" w14:textId="77777777" w:rsidR="00B35D37" w:rsidRDefault="00B35D37" w:rsidP="00B35D37">
      <w:pPr>
        <w:pStyle w:val="TextoNormal"/>
      </w:pPr>
      <w:r>
        <w:t>Por su parte, la Sala de lo Civil y Penal del Tribunal Superior de Justicia de Cataluña explica de forma expresa que “la tramitación de la Ley de amnistía fue impuesta como condición por los partidos políticos independentistas a cambio de apoyos parlamentarios imprescindibles para alcanzar una mayoría de gobierno en el Estado”, y entiende que, en consecuencia, dejar la realización futura del Derecho penal al dictado de partidos políticos para alcanzar mayorías de gobierno compromete el carácter disuasorio que los tratados reclaman para las sanciones penales y que los Estados están obligados a dispensar frente a toda las formas de corrupción. Y de forma simultánea considera que se produce un deterioro de la confianza de los ciudadanos en el sistema institucional de la Unión Europea y de los Estados miembros, citando al efecto las SSTJUE de 21 de diciembre de 2021, asunto C-357/</w:t>
      </w:r>
      <w:r w:rsidRPr="00B35D37">
        <w:rPr>
          <w:i/>
        </w:rPr>
        <w:t>19, Euro Box Promotion y o</w:t>
      </w:r>
      <w:r>
        <w:t>tros, y de 24 de julio de 2023, asunto C-107/</w:t>
      </w:r>
      <w:r w:rsidRPr="00B35D37">
        <w:rPr>
          <w:i/>
        </w:rPr>
        <w:t>23,</w:t>
      </w:r>
      <w:r>
        <w:t xml:space="preserve"> Lin.</w:t>
      </w:r>
    </w:p>
    <w:p w14:paraId="2F29B7E1" w14:textId="77777777" w:rsidR="00B35D37" w:rsidRDefault="00B35D37" w:rsidP="00B35D37">
      <w:pPr>
        <w:pStyle w:val="TextoNormal"/>
      </w:pPr>
    </w:p>
    <w:p w14:paraId="315D6228" w14:textId="77777777" w:rsidR="00B35D37" w:rsidRDefault="00B35D37" w:rsidP="00B35D37">
      <w:pPr>
        <w:pStyle w:val="TextoNormal"/>
      </w:pPr>
      <w:r>
        <w:t>4.2. L</w:t>
      </w:r>
      <w:r w:rsidRPr="00B35D37">
        <w:rPr>
          <w:i/>
        </w:rPr>
        <w:t>a vulneración de los principios de igualdad y no discriminaci</w:t>
      </w:r>
      <w:r>
        <w:t>ón</w:t>
      </w:r>
    </w:p>
    <w:p w14:paraId="0DBB232E" w14:textId="77777777" w:rsidR="00B35D37" w:rsidRDefault="00B35D37" w:rsidP="00B35D37">
      <w:pPr>
        <w:pStyle w:val="TextoNormal"/>
      </w:pPr>
    </w:p>
    <w:p w14:paraId="061063E9" w14:textId="77777777" w:rsidR="00B35D37" w:rsidRDefault="00B35D37" w:rsidP="00B35D37">
      <w:pPr>
        <w:pStyle w:val="TextoNormal"/>
      </w:pPr>
      <w:r>
        <w:t xml:space="preserve">La colisión de la Ley de amnistía con los principios de igualdad y no discriminación, también valores fundacionales de la Unión Europea, ha sido trasladada al Tribunal de Justicia por el Juzgado de lo Penal núm. 3 de Vilanova i La Geltrú en la cuestión prejudicial </w:t>
      </w:r>
      <w:r w:rsidRPr="00B35D37">
        <w:rPr>
          <w:i/>
        </w:rPr>
        <w:t>Manizo</w:t>
      </w:r>
      <w:r>
        <w:t>, asunto C-123/25; por la Audiencia Nacional en la cuestión prejudicia</w:t>
      </w:r>
      <w:r w:rsidRPr="00B35D37">
        <w:rPr>
          <w:i/>
        </w:rPr>
        <w:t>l Asociación Catalana de Víctimas de Organizaciones Terrorist</w:t>
      </w:r>
      <w:r>
        <w:t>as, asunto C-666/24, y por el Tribunal de Cuentas en la cuestión prejudicia</w:t>
      </w:r>
      <w:r w:rsidRPr="00B35D37">
        <w:rPr>
          <w:i/>
        </w:rPr>
        <w:t>l Sociedad Civil Catala</w:t>
      </w:r>
      <w:r>
        <w:t>na, asunto C-523/24.</w:t>
      </w:r>
    </w:p>
    <w:p w14:paraId="45F775BC" w14:textId="77777777" w:rsidR="00B35D37" w:rsidRDefault="00B35D37" w:rsidP="00B35D37">
      <w:pPr>
        <w:pStyle w:val="TextoNormal"/>
      </w:pPr>
    </w:p>
    <w:p w14:paraId="7E76381C" w14:textId="77777777" w:rsidR="00B35D37" w:rsidRDefault="00B35D37" w:rsidP="00B35D37">
      <w:pPr>
        <w:pStyle w:val="TextoNormal"/>
      </w:pPr>
      <w:r>
        <w:t>Los argumentos que dan estos órganos al Tribunal de Justicia para sustentar esta vulneración son los mismos que se esgrimen ante este tribunal en el recurso de inconstitucionalidad, en síntesis: que la discriminación se produce por eximir de responsabilidad penal a quien tiene una determinada ideología, es decir, una opinión política, en detrimento de los que tienen otra ideología; tratándose además de una discriminación que fue una “imposición política”, carente de justificación, de la que se beneficiaron además los que la votaron.</w:t>
      </w:r>
    </w:p>
    <w:p w14:paraId="580475CA" w14:textId="77777777" w:rsidR="00B35D37" w:rsidRDefault="00B35D37" w:rsidP="00B35D37">
      <w:pPr>
        <w:pStyle w:val="TextoNormal"/>
      </w:pPr>
    </w:p>
    <w:p w14:paraId="14ACF4AE" w14:textId="77777777" w:rsidR="00B35D37" w:rsidRDefault="00B35D37" w:rsidP="00B35D37">
      <w:pPr>
        <w:pStyle w:val="TextoNormal"/>
      </w:pPr>
      <w:r>
        <w:t>4.3</w:t>
      </w:r>
      <w:r w:rsidRPr="00B35D37">
        <w:rPr>
          <w:i/>
        </w:rPr>
        <w:t>. La infracción de la regulación europea atinente a los delitos de terroris</w:t>
      </w:r>
      <w:r>
        <w:t>mo</w:t>
      </w:r>
    </w:p>
    <w:p w14:paraId="319F12F7" w14:textId="77777777" w:rsidR="00B35D37" w:rsidRDefault="00B35D37" w:rsidP="00B35D37">
      <w:pPr>
        <w:pStyle w:val="TextoNormal"/>
      </w:pPr>
    </w:p>
    <w:p w14:paraId="6EEE4879" w14:textId="77777777" w:rsidR="00B35D37" w:rsidRDefault="00B35D37" w:rsidP="00B35D37">
      <w:pPr>
        <w:pStyle w:val="TextoNormal"/>
      </w:pPr>
      <w:r>
        <w:t xml:space="preserve">En tercer lugar, se trasladan por la Audiencia Nacional al Tribunal de Justicia en la cuestión prejudicial asunto C-666/24, </w:t>
      </w:r>
      <w:r w:rsidRPr="00B35D37">
        <w:rPr>
          <w:i/>
        </w:rPr>
        <w:t>Asociación Catalana de Víctimas de Organizaciones Terroristas</w:t>
      </w:r>
      <w:r>
        <w:t>, los problemas que la aplicación de la amnistía produce respecto a los delitos de terrorismo, tanto en lo que se refiere a su delimitación como al ámbito de aplicación de las exclusiones correspondientes.</w:t>
      </w:r>
    </w:p>
    <w:p w14:paraId="4D629E9C" w14:textId="77777777" w:rsidR="00B35D37" w:rsidRDefault="00B35D37" w:rsidP="00B35D37">
      <w:pPr>
        <w:pStyle w:val="TextoNormal"/>
      </w:pPr>
    </w:p>
    <w:p w14:paraId="5CBC2ECE" w14:textId="77777777" w:rsidR="00B35D37" w:rsidRDefault="00B35D37" w:rsidP="00B35D37">
      <w:pPr>
        <w:pStyle w:val="TextoNormal"/>
      </w:pPr>
      <w:r>
        <w:t>Las razones que llevan a la Audiencia Nacional a considerar que la regulación de la Ley de amnistía vulnera la Directiva (UE) 2017/541 (lucha contra el terrorismo) y los principios de primacía y de cooperación leal del Derecho de la Unión Europea (art. 4.3 TUE), así como los principios de confianza legítima y de seguridad jurídica protegidos también por dicho ordenamiento, son similares a las que se recogen en el presente recurso de inconstitucionalidad. Principalmente, que la exclusión del art. 2 c) de la Ley de amnistía, si bien deja fuera de la amnistía los actos tipificados como terrorismo conforme a la Directiva (UE) 2017/541, exige para la punibilidad, como requisito adicional, que “hayan causado efectivamente y de forma intencionada graves violaciones de derechos humanos”, distinción que a juicio de la Audiencia Nacional colisiona con la norma europea porque habría actos dentro de la Directiva que no violarían derechos humanos.</w:t>
      </w:r>
    </w:p>
    <w:p w14:paraId="099E1709" w14:textId="77777777" w:rsidR="00B35D37" w:rsidRDefault="00B35D37" w:rsidP="00B35D37">
      <w:pPr>
        <w:pStyle w:val="TextoNormal"/>
      </w:pPr>
    </w:p>
    <w:p w14:paraId="41B21511" w14:textId="77777777" w:rsidR="00B35D37" w:rsidRDefault="00B35D37" w:rsidP="00B35D37">
      <w:pPr>
        <w:pStyle w:val="TextoNormal"/>
      </w:pPr>
      <w:r>
        <w:t>4.4</w:t>
      </w:r>
      <w:r w:rsidRPr="00B35D37">
        <w:rPr>
          <w:i/>
        </w:rPr>
        <w:t>. La desprotección de los intereses financieros de la Unión Europea y el delito de malversaci</w:t>
      </w:r>
      <w:r>
        <w:t>ón</w:t>
      </w:r>
    </w:p>
    <w:p w14:paraId="73256A39" w14:textId="77777777" w:rsidR="00B35D37" w:rsidRDefault="00B35D37" w:rsidP="00B35D37">
      <w:pPr>
        <w:pStyle w:val="TextoNormal"/>
      </w:pPr>
    </w:p>
    <w:p w14:paraId="0BBDB8DD" w14:textId="77777777" w:rsidR="00B35D37" w:rsidRDefault="00B35D37" w:rsidP="00B35D37">
      <w:pPr>
        <w:pStyle w:val="TextoNormal"/>
      </w:pPr>
      <w:r>
        <w:t>En cuarto lugar, los problemas que la aplicación de la amnistía produce respecto a los delitos de malversación y la desprotección de los intereses financieros de la Unión Europea se trasladan al Tribunal de Justicia por parte del Tribunal Superior de Justicia de Cataluña en la cuestión prejudicial asunto C-587/24, Vox, que considera que el hecho de amnistiar una serie de delitos de malversación de fondos públicos nacionales pone necesariamente en riesgo también los intereses financieros de la Unión Europea infringiendo los arts. 325 TFUE y 4.2 de la Directiva (UE) 2017/1371 (lucha contra el fraude que afecta a los intereses financieros de la Unión).</w:t>
      </w:r>
    </w:p>
    <w:p w14:paraId="5BF5493B" w14:textId="77777777" w:rsidR="00B35D37" w:rsidRDefault="00B35D37" w:rsidP="00B35D37">
      <w:pPr>
        <w:pStyle w:val="TextoNormal"/>
      </w:pPr>
    </w:p>
    <w:p w14:paraId="5BA0AEE9" w14:textId="77777777" w:rsidR="00B35D37" w:rsidRDefault="00B35D37" w:rsidP="00B35D37">
      <w:pPr>
        <w:pStyle w:val="TextoNormal"/>
      </w:pPr>
      <w:r>
        <w:t>Desde otra perspectiva, pregunta también al Tribunal de Justicia cómo debe interpretarse el concepto de afectación de los intereses financieros de la Unión Europea con arreglo a la normativa comunitaria, al objeto de determinar qué actuaciones no serían amnistiables conforme al art. 2, letra e) de la Ley Orgánica 1/2024, que excluye precisamente de la aplicación de la amnistía los actos tipificados como delitos que afectaran a los intereses financieros de la Unión Europea.</w:t>
      </w:r>
    </w:p>
    <w:p w14:paraId="7AE4A287" w14:textId="77777777" w:rsidR="00B35D37" w:rsidRDefault="00B35D37" w:rsidP="00B35D37">
      <w:pPr>
        <w:pStyle w:val="TextoNormal"/>
      </w:pPr>
    </w:p>
    <w:p w14:paraId="68AB318A" w14:textId="77777777" w:rsidR="00B35D37" w:rsidRDefault="00B35D37" w:rsidP="00B35D37">
      <w:pPr>
        <w:pStyle w:val="TextoNormal"/>
      </w:pPr>
      <w:r>
        <w:t>4.5. L</w:t>
      </w:r>
      <w:r w:rsidRPr="00B35D37">
        <w:rPr>
          <w:i/>
        </w:rPr>
        <w:t>a infracción de los principios de separación de poderes e independencia judicial por las limitaciones procesales que la Ley de amnistía impone a los jueces nacional</w:t>
      </w:r>
      <w:r>
        <w:t>es</w:t>
      </w:r>
    </w:p>
    <w:p w14:paraId="1464BF13" w14:textId="77777777" w:rsidR="00B35D37" w:rsidRDefault="00B35D37" w:rsidP="00B35D37">
      <w:pPr>
        <w:pStyle w:val="TextoNormal"/>
      </w:pPr>
    </w:p>
    <w:p w14:paraId="1A2226FE" w14:textId="77777777" w:rsidR="00B35D37" w:rsidRDefault="00B35D37" w:rsidP="00B35D37">
      <w:pPr>
        <w:pStyle w:val="TextoNormal"/>
      </w:pPr>
      <w:r>
        <w:t xml:space="preserve">La limitaciones procesales que la Ley de amnistía impone a los órganos jurisdiccionales en los procedimientos nacionales, y su compatibilidad con las exigencias que se derivan del principio de Estado de Derecho (arts. 1, 19.1 TUE, 47 CDFUE, y 6 CEDH) son trasladadas al Tribunal de Justicia por el Tribunal de Cuentas en la cuestión prejudicial asunto C-523/24, </w:t>
      </w:r>
      <w:r w:rsidRPr="00B35D37">
        <w:rPr>
          <w:i/>
        </w:rPr>
        <w:t>Sociedad Civil Catalana</w:t>
      </w:r>
      <w:r>
        <w:t>, denunciando que las mismas suponen: (i) la eliminación de la tutela cautelar, al imponer el alzamiento forzoso de las medidas cautelares; (ii) la limitación de un proceso equitativo, por prever la absolución de la responsabilidad contable sin la posibilidad de enjuiciar hechos que el demandado imputado niega, y (iii) la limitación al planteamiento de una cuestión prejudicial al Tribunal de Justicia, por verse privado de efecto útil la cuestión prejudicial que se plantee.</w:t>
      </w:r>
    </w:p>
    <w:p w14:paraId="1BF6F294" w14:textId="77777777" w:rsidR="00B35D37" w:rsidRDefault="00B35D37" w:rsidP="00B35D37">
      <w:pPr>
        <w:pStyle w:val="TextoNormal"/>
      </w:pPr>
    </w:p>
    <w:p w14:paraId="45C1A585" w14:textId="77777777" w:rsidR="00B35D37" w:rsidRDefault="00B35D37" w:rsidP="00B35D37">
      <w:pPr>
        <w:pStyle w:val="TextoNormal"/>
      </w:pPr>
      <w:r>
        <w:t>4.6. L</w:t>
      </w:r>
      <w:r w:rsidRPr="00B35D37">
        <w:rPr>
          <w:i/>
        </w:rPr>
        <w:t>a colisión de la Ley de amnistía con el derecho de los ciudadanos a circular y residir libremente en el territorio de los Estados miembr</w:t>
      </w:r>
      <w:r>
        <w:t>os</w:t>
      </w:r>
    </w:p>
    <w:p w14:paraId="29DA8CF7" w14:textId="77777777" w:rsidR="00B35D37" w:rsidRDefault="00B35D37" w:rsidP="00B35D37">
      <w:pPr>
        <w:pStyle w:val="TextoNormal"/>
      </w:pPr>
    </w:p>
    <w:p w14:paraId="27E410A7" w14:textId="77777777" w:rsidR="00B35D37" w:rsidRPr="00B35D37" w:rsidRDefault="00B35D37" w:rsidP="00B35D37">
      <w:pPr>
        <w:pStyle w:val="TextoNormal"/>
        <w:rPr>
          <w:i/>
        </w:rPr>
      </w:pPr>
      <w:r>
        <w:t xml:space="preserve">Finalmente, la Audiencia Nacional plantea también en la cuestión prejudicial asunto C-666/24, </w:t>
      </w:r>
      <w:r w:rsidRPr="00B35D37">
        <w:rPr>
          <w:i/>
        </w:rPr>
        <w:t>Asociación Catalana de Víctimas de Organizaciones Terroristas</w:t>
      </w:r>
      <w:r>
        <w:t xml:space="preserve"> que la Ley de amnistía infringe los derechos atinentes a la libre circulación y residencia que poseen los ciudadanos de los Estados miembros (arts. 20.2 y 21.1 TFUE) y relacionado con esta afección, considera también que atenta contra una de las funciones esenciales de los Estados miembros, garantizar su integridad territorial conforme al art. 4.2 TUE, incidiendo a la postre en el espacio de libertad, seguridad y justicia.</w:t>
      </w:r>
    </w:p>
    <w:p w14:paraId="34B92E4D" w14:textId="77777777" w:rsidR="00B35D37" w:rsidRPr="00B35D37" w:rsidRDefault="00B35D37" w:rsidP="00B35D37">
      <w:pPr>
        <w:pStyle w:val="TextoNormal"/>
        <w:rPr>
          <w:i/>
        </w:rPr>
      </w:pPr>
    </w:p>
    <w:p w14:paraId="003790B0" w14:textId="77777777" w:rsidR="00B35D37" w:rsidRDefault="00B35D37" w:rsidP="00B35D37">
      <w:pPr>
        <w:pStyle w:val="TextoNormal"/>
      </w:pPr>
      <w:r w:rsidRPr="00B35D37">
        <w:rPr>
          <w:i/>
        </w:rPr>
        <w:t>Conclusi</w:t>
      </w:r>
      <w:r>
        <w:t>ón</w:t>
      </w:r>
    </w:p>
    <w:p w14:paraId="6455FF18" w14:textId="77777777" w:rsidR="00B35D37" w:rsidRDefault="00B35D37" w:rsidP="00B35D37">
      <w:pPr>
        <w:pStyle w:val="TextoNormal"/>
      </w:pPr>
    </w:p>
    <w:p w14:paraId="34FBBD8D" w14:textId="77777777" w:rsidR="00B35D37" w:rsidRDefault="00B35D37" w:rsidP="00B35D37">
      <w:pPr>
        <w:pStyle w:val="TextoNormal"/>
      </w:pPr>
      <w:r>
        <w:t>No podemos concluir el presente voto particular sin recordar que la integración de nuestro país en las entonces Comunidades Europeas fue largamente anhelada y, sin ninguna duda, constitucionalmente querida (Declaración del Tribunal Constitucional 1/2004, de 13 de diciembre, FJ 2), de modo que resulta totalmente incomprensible que la mayoría haya decidido desestimar la petición de las partes de plantear una cuestión prejudicial y resolver la constitucionalidad de una norma como la Ley Orgánica 1/2024, incumpliendo la obligación que le impone el art. 267 TFUE, apartado tercero.</w:t>
      </w:r>
    </w:p>
    <w:p w14:paraId="7A1E9CDE" w14:textId="77777777" w:rsidR="00B35D37" w:rsidRDefault="00B35D37" w:rsidP="00B35D37">
      <w:pPr>
        <w:pStyle w:val="TextoNormal"/>
      </w:pPr>
    </w:p>
    <w:p w14:paraId="002C7FAC" w14:textId="77777777" w:rsidR="00B35D37" w:rsidRDefault="00B35D37" w:rsidP="00B35D37">
      <w:pPr>
        <w:pStyle w:val="TextoNormal"/>
      </w:pPr>
      <w:r>
        <w:t>Ignorar el Derecho de la Unión Europea en el supuesto que nos ocupa en el que está en cuestión el Estado de Derecho, un valor fundacional que define la propia identidad de la Unión Europea, y decidir que no es necesario plantear una cuestión prejudicial, supone no solo negar la fuerza vinculante que tiene el art. 2 TUE sino, lo que es más grave, pone de manifiesto la decisión deliberada de la mayoría de dar la espalda a la Unión Europea y a su Tribunal de Justicia, dejando de lado el compromiso y las obligaciones que asumimos al integrarnos en las entonces Comunidades Europeas como Estado miembro.</w:t>
      </w:r>
    </w:p>
    <w:p w14:paraId="6AC06774" w14:textId="77777777" w:rsidR="00B35D37" w:rsidRDefault="00B35D37" w:rsidP="00B35D37">
      <w:pPr>
        <w:pStyle w:val="TextoNormal"/>
      </w:pPr>
    </w:p>
    <w:p w14:paraId="0A2BB471" w14:textId="77777777" w:rsidR="00B35D37" w:rsidRDefault="00B35D37" w:rsidP="00B35D37">
      <w:pPr>
        <w:pStyle w:val="TextoNormal"/>
      </w:pPr>
      <w:r>
        <w:t>Insistimos, conforme al ahora art. 49 TUE, nos adherimos a los valores en los que se fundamenta la Unión Europea, entre ellos, el Estado de Derecho, y nos comprometimos a hacer nuestro ese valor y a respetarlo, porque es un valor común entre los Estados miembros. Por lo tanto, carece de justificación que cuando nos enfrentamos a una norma nacional que por primera vez en los cuarenta años desde nuestra adhesión cuestiona no solo los cimientos constitucionales de nuestro país, sino también los de la Unión Europea, la mayoría elija olvidar este compromiso en vez de cooperar con el Tribunal de Justicia en aras de salvaguardar los principios democráticos que compartimos y que nos unen.</w:t>
      </w:r>
    </w:p>
    <w:p w14:paraId="6813CFFB" w14:textId="77777777" w:rsidR="00B35D37" w:rsidRDefault="00B35D37" w:rsidP="00B35D37">
      <w:pPr>
        <w:pStyle w:val="TextoNormal"/>
      </w:pPr>
    </w:p>
    <w:p w14:paraId="42D7D511" w14:textId="77777777" w:rsidR="00B35D37" w:rsidRDefault="00B35D37" w:rsidP="00B35D37">
      <w:pPr>
        <w:pStyle w:val="TextoNormal"/>
      </w:pPr>
      <w:r>
        <w:t>Y en este sentido emitimos el presente voto particular.</w:t>
      </w:r>
    </w:p>
    <w:p w14:paraId="7794D537" w14:textId="77777777" w:rsidR="00B35D37" w:rsidRDefault="00B35D37" w:rsidP="00B35D37">
      <w:pPr>
        <w:pStyle w:val="TextoNormal"/>
      </w:pPr>
    </w:p>
    <w:p w14:paraId="2245CCA8" w14:textId="23C4A853" w:rsidR="00B35D37" w:rsidRDefault="00B35D37" w:rsidP="00B35D37">
      <w:pPr>
        <w:pStyle w:val="TextoNormal"/>
      </w:pPr>
      <w:r>
        <w:t>Madrid, a once de junio de dos mil veinticinco.</w:t>
      </w:r>
    </w:p>
    <w:p w14:paraId="515D924F" w14:textId="0DC2B226" w:rsidR="00B35D37" w:rsidRDefault="00B35D37">
      <w:pPr>
        <w:spacing w:after="160" w:line="278" w:lineRule="auto"/>
        <w:rPr>
          <w:rFonts w:ascii="Times New Roman" w:eastAsia="Times New Roman" w:hAnsi="Times New Roman" w:cs="Times New Roman"/>
          <w:sz w:val="24"/>
          <w:szCs w:val="24"/>
          <w:lang w:eastAsia="es-ES"/>
        </w:rPr>
      </w:pPr>
      <w:r>
        <w:br w:type="page"/>
      </w:r>
    </w:p>
    <w:p w14:paraId="03119997" w14:textId="77777777" w:rsidR="00B35D37" w:rsidRDefault="00B35D37" w:rsidP="00B35D37">
      <w:pPr>
        <w:pStyle w:val="TtuloResolucin"/>
      </w:pPr>
      <w:bookmarkStart w:id="205" w:name="AUTO_2025_66"/>
      <w:r>
        <w:t>AUTO 66/2025, de 16 de junio de 2025</w:t>
      </w:r>
    </w:p>
    <w:bookmarkEnd w:id="205"/>
    <w:p w14:paraId="585188D3" w14:textId="77777777" w:rsidR="00B35D37" w:rsidRDefault="00B35D37" w:rsidP="00B35D37">
      <w:pPr>
        <w:pStyle w:val="TtuloResolucin"/>
      </w:pPr>
      <w:r>
        <w:t>Sección Segunda</w:t>
      </w:r>
    </w:p>
    <w:p w14:paraId="44291E48" w14:textId="77777777" w:rsidR="00B35D37" w:rsidRDefault="00B35D37" w:rsidP="00B35D37">
      <w:pPr>
        <w:pStyle w:val="TextoNormalCentrado"/>
      </w:pPr>
      <w:r>
        <w:t>ECLI:ES:TC:2025:66A</w:t>
      </w:r>
    </w:p>
    <w:p w14:paraId="1669091A" w14:textId="568EED0E" w:rsidR="00B35D37" w:rsidRDefault="00B35D37" w:rsidP="00B35D37">
      <w:pPr>
        <w:pStyle w:val="TextoNormalCentrado"/>
      </w:pPr>
    </w:p>
    <w:p w14:paraId="0D1B48A4" w14:textId="77777777" w:rsidR="00B35D37" w:rsidRDefault="00B35D37" w:rsidP="00B35D37">
      <w:pPr>
        <w:pStyle w:val="SntesisDescriptiva"/>
      </w:pPr>
      <w:r>
        <w:t>Excms. Srs. don Ricardo Enríquez Sancho y don José María Macías Castaño.</w:t>
      </w:r>
    </w:p>
    <w:p w14:paraId="4DB74355" w14:textId="0A9EE747" w:rsidR="00B35D37" w:rsidRDefault="00B35D37" w:rsidP="00B35D37">
      <w:pPr>
        <w:pStyle w:val="SntesisDescriptiva"/>
      </w:pPr>
    </w:p>
    <w:p w14:paraId="61115E1C" w14:textId="77777777" w:rsidR="00B35D37" w:rsidRDefault="00B35D37" w:rsidP="00B35D37">
      <w:pPr>
        <w:pStyle w:val="SntesisDescriptiva"/>
      </w:pPr>
      <w:r>
        <w:t>Acepta una abstención en el recurso de amparo 2816-2025, promovido por la asociación HazteOir.org, en causa penal.</w:t>
      </w:r>
    </w:p>
    <w:p w14:paraId="61C6AE65" w14:textId="1E1D31EF" w:rsidR="00B35D37" w:rsidRDefault="00B35D37" w:rsidP="00B35D37">
      <w:pPr>
        <w:pStyle w:val="SntesisDescriptiva"/>
      </w:pPr>
    </w:p>
    <w:p w14:paraId="27EEF6A3" w14:textId="77777777" w:rsidR="00B35D37" w:rsidRDefault="00B35D37" w:rsidP="00B35D37">
      <w:pPr>
        <w:pStyle w:val="SntesisDescriptiva"/>
      </w:pPr>
    </w:p>
    <w:p w14:paraId="4CBD85A9" w14:textId="77777777" w:rsidR="00B35D37" w:rsidRDefault="00B35D37" w:rsidP="00B35D37">
      <w:pPr>
        <w:pStyle w:val="SntesisDescriptiva"/>
      </w:pPr>
    </w:p>
    <w:p w14:paraId="1CEE2E8C" w14:textId="77777777" w:rsidR="00B35D37" w:rsidRDefault="00B35D37" w:rsidP="00B35D37">
      <w:pPr>
        <w:pStyle w:val="TextoNormalNegritaCentrado"/>
      </w:pPr>
      <w:r>
        <w:t>AUTO</w:t>
      </w:r>
    </w:p>
    <w:p w14:paraId="735A5D47" w14:textId="6CB95491" w:rsidR="00B35D37" w:rsidRDefault="00B35D37" w:rsidP="00B35D37">
      <w:pPr>
        <w:pStyle w:val="TextoNormalNegritaCentrado"/>
      </w:pPr>
    </w:p>
    <w:p w14:paraId="01CD9D75" w14:textId="77777777" w:rsidR="00B35D37" w:rsidRDefault="00B35D37" w:rsidP="00B35D37">
      <w:pPr>
        <w:pStyle w:val="TextoNormalNegritaCentrado"/>
        <w:keepNext/>
      </w:pPr>
      <w:r>
        <w:t>I. Antecedentes</w:t>
      </w:r>
    </w:p>
    <w:p w14:paraId="5D171526" w14:textId="59934512" w:rsidR="00B35D37" w:rsidRDefault="00B35D37" w:rsidP="00B35D37">
      <w:pPr>
        <w:pStyle w:val="TextoNormalNegritaCentrado"/>
        <w:keepNext/>
      </w:pPr>
    </w:p>
    <w:p w14:paraId="6AD0F891" w14:textId="77777777" w:rsidR="00B35D37" w:rsidRDefault="00B35D37" w:rsidP="00B35D37">
      <w:pPr>
        <w:pStyle w:val="TextoNormal"/>
      </w:pPr>
      <w:r w:rsidRPr="00B35D37">
        <w:rPr>
          <w:rStyle w:val="NumeroAFNegritaCaracter"/>
        </w:rPr>
        <w:t>1</w:t>
      </w:r>
      <w:r>
        <w:t>. El 15 de abril de 2025 tuvo entrada en el registro general de este tribunal la demanda de amparo planteada por la procuradora de los tribunales doña María Esmeralda González García Del Río, en nombre y representación de la asociación HazteOir.org, y bajo la dirección letrada de don Javier María Pérez-Roldán y Suanzes-Carpegna, frente a las resoluciones citadas en el encabezamiento.</w:t>
      </w:r>
    </w:p>
    <w:p w14:paraId="479F0102" w14:textId="77777777" w:rsidR="00B35D37" w:rsidRDefault="00B35D37" w:rsidP="00B35D37">
      <w:pPr>
        <w:pStyle w:val="TextoNormal"/>
      </w:pPr>
    </w:p>
    <w:p w14:paraId="30E793D0" w14:textId="77777777" w:rsidR="00B35D37" w:rsidRDefault="00B35D37" w:rsidP="00B35D37">
      <w:pPr>
        <w:pStyle w:val="TextoNormal"/>
      </w:pPr>
      <w:r>
        <w:t>En dichas resoluciones judiciales fue acordada y ratificada la inadmisión a trámite de la querella por prevaricación presentada por la asociación demandante contra el presidente, magistrados y magistradas del Tribunal Constitucional don Cándido Conde-Pumpido Tourón, doña Inmaculada Montalbán Huertas, doña María Luisa Balaguer Callejón, don Ramón Sáez Valcárcel, doña María Luisa Segoviano Astaburuaga, don Juan Carlos Campo Moreno y doña Laura Díez Bueso.</w:t>
      </w:r>
    </w:p>
    <w:p w14:paraId="098E26FF" w14:textId="77777777" w:rsidR="00B35D37" w:rsidRDefault="00B35D37" w:rsidP="00B35D37">
      <w:pPr>
        <w:pStyle w:val="TextoNormal"/>
      </w:pPr>
    </w:p>
    <w:p w14:paraId="6A97AC3B" w14:textId="77777777" w:rsidR="00B35D37" w:rsidRDefault="00B35D37" w:rsidP="00B35D37">
      <w:pPr>
        <w:pStyle w:val="TextoNormal"/>
      </w:pPr>
      <w:r>
        <w:t>En el recurso de amparo se denuncia la vulneración del art. 24.1 CE, en cuanto garantiza el acceso a la jurisdicción, en relación con el principio de igualdad ante la ley (art. 14 CE), y la existencia de incongruencia omisiva.</w:t>
      </w:r>
    </w:p>
    <w:p w14:paraId="2D1F1C43" w14:textId="77777777" w:rsidR="00B35D37" w:rsidRDefault="00B35D37" w:rsidP="00B35D37">
      <w:pPr>
        <w:pStyle w:val="TextoNormal"/>
      </w:pPr>
    </w:p>
    <w:p w14:paraId="5237218E" w14:textId="022EE019" w:rsidR="00B35D37" w:rsidRDefault="00B35D37" w:rsidP="00B35D37">
      <w:pPr>
        <w:pStyle w:val="TextoNormal"/>
      </w:pPr>
      <w:r>
        <w:t>La lesión denunciada se asocia a la inadmisión, por las resoluciones impugnadas, de la querella planteada por la asociación recurrente contra las citadas magistradas y magistrados del este tribunal que firmaron el ATC 284/2023, de 5 de junio, y la STC 93/2024, de 19 de junio, así como las resoluciones de este tribunal que acordaron la admisión a trámite y resolvieron en forma de sentencia los recursos de amparo planteados por diversos condenados frente a las sentencias condenatorias, dictadas por la Audiencia Provincial de Sevilla y ratificadas en parte por el Tribunal Supremo, en el marco de la denominada “pieza específica del caso ‘ERE’”, seguida contra diversos miembros del Gobierno y de la administración de la Junta de Andalucía —incluyendo desde presidentes de la comunidad autónoma a directores generales— por haber intervenido, a lo largo de casi diez años, en el diseño de un sistema de concesión y/o ejecución de ayudas sociolaborales.</w:t>
      </w:r>
    </w:p>
    <w:p w14:paraId="51B17B15" w14:textId="77777777" w:rsidR="00B35D37" w:rsidRDefault="00B35D37" w:rsidP="00B35D37">
      <w:pPr>
        <w:pStyle w:val="TextoNormal"/>
      </w:pPr>
    </w:p>
    <w:p w14:paraId="41753D51" w14:textId="55B6B9A4" w:rsidR="00B35D37" w:rsidRDefault="00B35D37" w:rsidP="00B35D37">
      <w:pPr>
        <w:pStyle w:val="TextoNormal"/>
      </w:pPr>
      <w:r w:rsidRPr="00B35D37">
        <w:rPr>
          <w:rStyle w:val="NumeroAFNegritaCaracter"/>
        </w:rPr>
        <w:t>2</w:t>
      </w:r>
      <w:r>
        <w:t>. Mediante escrito de 16 de junio de 2025, el magistrado don Juan Carlos Campo Moreno ha comunicado, a los efectos oportunos, conforme a lo previsto en el art. 217 de la Ley Orgánica del Poder Judicial (LOPJ), en relación con el art. 80 de la Ley Orgánica del Tribunal Constitucional (LOTC), su voluntad de abstenerse de intervenir en el conocimiento del indicado recurso de amparo, que se encuentra en fase de admisión ante esta Sección Segunda, por entender que en él concurre la causa establecida en el art. 219.10 LOPJ.</w:t>
      </w:r>
    </w:p>
    <w:p w14:paraId="3F8B1912" w14:textId="77777777" w:rsidR="00B35D37" w:rsidRDefault="00B35D37" w:rsidP="00B35D37">
      <w:pPr>
        <w:pStyle w:val="TextoNormal"/>
      </w:pPr>
    </w:p>
    <w:p w14:paraId="1143C057" w14:textId="77777777" w:rsidR="00B35D37" w:rsidRDefault="00B35D37" w:rsidP="00B35D37">
      <w:pPr>
        <w:pStyle w:val="TextoNormalNegritaCentrado"/>
        <w:keepNext/>
      </w:pPr>
      <w:r>
        <w:t>II. Fundamentos jurídicos</w:t>
      </w:r>
    </w:p>
    <w:p w14:paraId="79C20897" w14:textId="23D08324" w:rsidR="00B35D37" w:rsidRDefault="00B35D37" w:rsidP="00B35D37">
      <w:pPr>
        <w:pStyle w:val="TextoNormalNegritaCentrado"/>
        <w:keepNext/>
      </w:pPr>
    </w:p>
    <w:p w14:paraId="39C9526D" w14:textId="77777777" w:rsidR="00B35D37" w:rsidRDefault="00B35D37" w:rsidP="00B35D37">
      <w:pPr>
        <w:pStyle w:val="TextoNormal"/>
      </w:pPr>
      <w:r w:rsidRPr="00B35D37">
        <w:rPr>
          <w:rStyle w:val="TextoNormalNegritaCaracter"/>
        </w:rPr>
        <w:t xml:space="preserve">Único. </w:t>
      </w:r>
      <w:r>
        <w:t>La doctrina de este tribunal ha declarado que, conforme a lo previsto en el art. 219.10 LOPJ, por interés directo o indirecto debe entenderse aquello que proporcione al magistrado afectado un potencial provecho o beneficio o le evite una carga o perjuicio, para sí o para sus allegados. Ha de tratarse de un interés singularizado en relación con el concreto proceso en que se plantee su apartamiento y actual, esto es, concurrente en el momento en que se promueve su apartamiento mediante la recusación (por todos, AATC 484/2023, de 24 de octubre, FJ 3, y 23/2025, de 11 de marzo, FJ 3).</w:t>
      </w:r>
    </w:p>
    <w:p w14:paraId="759E0E44" w14:textId="77777777" w:rsidR="00B35D37" w:rsidRDefault="00B35D37" w:rsidP="00B35D37">
      <w:pPr>
        <w:pStyle w:val="TextoNormal"/>
      </w:pPr>
    </w:p>
    <w:p w14:paraId="49B81627" w14:textId="78F73BB4" w:rsidR="00B35D37" w:rsidRDefault="00B35D37" w:rsidP="00B35D37">
      <w:pPr>
        <w:pStyle w:val="TextoNormal"/>
      </w:pPr>
      <w:r>
        <w:t>En consecuencia, vista la comunicación efectuada por el magistrado don Juan Carlos Campo Moreno, en virtud de lo previsto en los arts. 80 LOTC y 221.4 LOPJ, se estima justificada la causa de abstención formulada, al constatarse que, junto con otros integrantes del colegio de magistrados y magistradas del Tribunal Constitucional a quienes se ha hecho antes referencia, fue objeto de la querella inadmitida a trámite por los autos del Tribunal Supremo impugnados que conforman el objeto directo del recurso de amparo constitucional, de modo que puede entenderse que tiene interés directo en el curso del presente procedimiento (ATC 53/2022, de 11 de marzo, FJ 2).</w:t>
      </w:r>
    </w:p>
    <w:p w14:paraId="6CC726E9" w14:textId="77777777" w:rsidR="00B35D37" w:rsidRDefault="00B35D37" w:rsidP="00B35D37">
      <w:pPr>
        <w:pStyle w:val="TextoNormal"/>
      </w:pPr>
    </w:p>
    <w:p w14:paraId="754F3B65" w14:textId="77777777" w:rsidR="00B35D37" w:rsidRDefault="00B35D37" w:rsidP="00B35D37">
      <w:pPr>
        <w:pStyle w:val="TextoNormal"/>
      </w:pPr>
      <w:r>
        <w:t>Por lo expuesto, la Sección</w:t>
      </w:r>
    </w:p>
    <w:p w14:paraId="62600721" w14:textId="18FE7806" w:rsidR="00B35D37" w:rsidRDefault="00B35D37" w:rsidP="00B35D37">
      <w:pPr>
        <w:pStyle w:val="TextoNormal"/>
      </w:pPr>
    </w:p>
    <w:p w14:paraId="290B05AD" w14:textId="77777777" w:rsidR="00B35D37" w:rsidRDefault="00B35D37" w:rsidP="00B35D37">
      <w:pPr>
        <w:pStyle w:val="TextoNormalCentrado"/>
      </w:pPr>
      <w:r>
        <w:t>ACUERDA</w:t>
      </w:r>
    </w:p>
    <w:p w14:paraId="69A6AEB1" w14:textId="3A88B16A" w:rsidR="00B35D37" w:rsidRDefault="00B35D37" w:rsidP="00B35D37">
      <w:pPr>
        <w:pStyle w:val="TextoNormalCentrado"/>
      </w:pPr>
    </w:p>
    <w:p w14:paraId="7DF08646" w14:textId="0F5C29FD" w:rsidR="00B35D37" w:rsidRDefault="00B35D37" w:rsidP="00B35D37">
      <w:pPr>
        <w:pStyle w:val="TextoNormal"/>
      </w:pPr>
      <w:r>
        <w:t>Estimar justificada la causa de abstención formulada por don Juan Carlos Campo Moreno, en el recurso de amparo núm. 2816-2025, apartándole definitivamente del conocimiento del referido recurso.</w:t>
      </w:r>
    </w:p>
    <w:p w14:paraId="30F7DB6E" w14:textId="77777777" w:rsidR="00B35D37" w:rsidRDefault="00B35D37" w:rsidP="00B35D37">
      <w:pPr>
        <w:pStyle w:val="TextoNormal"/>
      </w:pPr>
    </w:p>
    <w:p w14:paraId="1492EA2B" w14:textId="77777777" w:rsidR="00B35D37" w:rsidRDefault="00B35D37" w:rsidP="00B35D37">
      <w:pPr>
        <w:pStyle w:val="TextoNormal"/>
      </w:pPr>
      <w:r>
        <w:t>Madrid, a dieciséis de junio de dos mil veinticinco.</w:t>
      </w:r>
    </w:p>
    <w:p w14:paraId="7FA6D8D5" w14:textId="3ED962FB" w:rsidR="00B35D37" w:rsidRDefault="00B35D37">
      <w:pPr>
        <w:spacing w:after="160" w:line="278" w:lineRule="auto"/>
        <w:rPr>
          <w:rFonts w:ascii="Times New Roman" w:eastAsia="Times New Roman" w:hAnsi="Times New Roman" w:cs="Times New Roman"/>
          <w:sz w:val="24"/>
          <w:szCs w:val="24"/>
          <w:lang w:eastAsia="es-ES"/>
        </w:rPr>
      </w:pPr>
      <w:r>
        <w:br w:type="page"/>
      </w:r>
    </w:p>
    <w:p w14:paraId="49EB7DC7" w14:textId="77777777" w:rsidR="00B35D37" w:rsidRDefault="00B35D37" w:rsidP="00B35D37">
      <w:pPr>
        <w:pStyle w:val="TtuloResolucin"/>
      </w:pPr>
      <w:bookmarkStart w:id="206" w:name="AUTO_2025_67"/>
      <w:r>
        <w:t>AUTO 67/2025, de 24 de junio de 2025</w:t>
      </w:r>
    </w:p>
    <w:bookmarkEnd w:id="206"/>
    <w:p w14:paraId="64E3FCAD" w14:textId="77777777" w:rsidR="00B35D37" w:rsidRDefault="00B35D37" w:rsidP="00B35D37">
      <w:pPr>
        <w:pStyle w:val="TtuloResolucin"/>
      </w:pPr>
      <w:r>
        <w:t>Sección Segunda</w:t>
      </w:r>
    </w:p>
    <w:p w14:paraId="4EA249A5" w14:textId="77777777" w:rsidR="00B35D37" w:rsidRDefault="00B35D37" w:rsidP="00B35D37">
      <w:pPr>
        <w:pStyle w:val="TextoNormalCentrado"/>
      </w:pPr>
      <w:r>
        <w:t>ECLI:ES:TC:2025:67A</w:t>
      </w:r>
    </w:p>
    <w:p w14:paraId="45B69B39" w14:textId="096DA6BD" w:rsidR="00B35D37" w:rsidRDefault="00B35D37" w:rsidP="00B35D37">
      <w:pPr>
        <w:pStyle w:val="TextoNormalCentrado"/>
      </w:pPr>
    </w:p>
    <w:p w14:paraId="08DF9A0B" w14:textId="77777777" w:rsidR="00B35D37" w:rsidRDefault="00B35D37" w:rsidP="00B35D37">
      <w:pPr>
        <w:pStyle w:val="SntesisDescriptiva"/>
      </w:pPr>
      <w:r>
        <w:t>Excms. Srs. don Ricardo Enríquez Sancho, don Juan Carlos Campo Moreno y don José María Macías Castaño.</w:t>
      </w:r>
    </w:p>
    <w:p w14:paraId="609F4C9C" w14:textId="5A4AF681" w:rsidR="00B35D37" w:rsidRDefault="00B35D37" w:rsidP="00B35D37">
      <w:pPr>
        <w:pStyle w:val="SntesisDescriptiva"/>
      </w:pPr>
    </w:p>
    <w:p w14:paraId="6F98808E" w14:textId="77777777" w:rsidR="00B35D37" w:rsidRDefault="00B35D37" w:rsidP="00B35D37">
      <w:pPr>
        <w:pStyle w:val="SntesisDescriptiva"/>
      </w:pPr>
      <w:r>
        <w:t>Estima el recurso de súplica interpuesto por el Ministerio Fiscal en relación con la providencia de inadmisión, e inadmite a trámite el recurso de amparo 253-2024, promovido por doña María Lucía de las Virtudes Moya Platero, doña María José y doña Lucía Muñoz Moya en pleito civil.</w:t>
      </w:r>
    </w:p>
    <w:p w14:paraId="3CC85955" w14:textId="49EBA151" w:rsidR="00B35D37" w:rsidRDefault="00B35D37" w:rsidP="00B35D37">
      <w:pPr>
        <w:pStyle w:val="SntesisDescriptiva"/>
      </w:pPr>
    </w:p>
    <w:p w14:paraId="42A77F3B" w14:textId="77777777" w:rsidR="00B35D37" w:rsidRDefault="00B35D37" w:rsidP="00B35D37">
      <w:pPr>
        <w:pStyle w:val="SntesisDescriptiva"/>
      </w:pPr>
    </w:p>
    <w:p w14:paraId="68D4FAFD" w14:textId="77777777" w:rsidR="00B35D37" w:rsidRDefault="00B35D37" w:rsidP="00B35D37">
      <w:pPr>
        <w:pStyle w:val="SntesisDescriptiva"/>
      </w:pPr>
    </w:p>
    <w:p w14:paraId="202EFCD7" w14:textId="77777777" w:rsidR="00B35D37" w:rsidRDefault="00B35D37" w:rsidP="00B35D37">
      <w:pPr>
        <w:pStyle w:val="TextoNormalNegritaCentrado"/>
      </w:pPr>
      <w:r>
        <w:t>AUTO</w:t>
      </w:r>
    </w:p>
    <w:p w14:paraId="7661F083" w14:textId="2654D9A9" w:rsidR="00B35D37" w:rsidRDefault="00B35D37" w:rsidP="00B35D37">
      <w:pPr>
        <w:pStyle w:val="TextoNormalNegritaCentrado"/>
      </w:pPr>
    </w:p>
    <w:p w14:paraId="5D93D4EE" w14:textId="77777777" w:rsidR="00B35D37" w:rsidRDefault="00B35D37" w:rsidP="00B35D37">
      <w:pPr>
        <w:pStyle w:val="TextoNormalNegritaCentrado"/>
        <w:keepNext/>
      </w:pPr>
      <w:r>
        <w:t>I. Antecedentes</w:t>
      </w:r>
    </w:p>
    <w:p w14:paraId="78DEB31D" w14:textId="128A455E" w:rsidR="00B35D37" w:rsidRDefault="00B35D37" w:rsidP="00B35D37">
      <w:pPr>
        <w:pStyle w:val="TextoNormalNegritaCentrado"/>
        <w:keepNext/>
      </w:pPr>
    </w:p>
    <w:p w14:paraId="2F403B48" w14:textId="2E8A0A6A" w:rsidR="00B35D37" w:rsidRDefault="00B35D37" w:rsidP="00B35D37">
      <w:pPr>
        <w:pStyle w:val="TextoNormal"/>
      </w:pPr>
      <w:r w:rsidRPr="00B35D37">
        <w:rPr>
          <w:rStyle w:val="NumeroAFNegritaCaracter"/>
        </w:rPr>
        <w:t>1</w:t>
      </w:r>
      <w:r>
        <w:t>. El 15 de enero de 2024, doña María Lucía de las Virtudes Moya Platero, doña María José y doña Lucía Muñoz Moya, herederas del inicial actor civil don José Juan Muñoz Ortega, ya fallecido, representadas por la procuradora de los tribunales doña María Villegas Ruiz, bajo la dirección de la letrada doña Cristina Díaz García, interpuso recurso de amparo frente a la providencia de 13 de noviembre de 2023 dictada por la Sala de lo Civil del Tribunal Supremo que inadmitió a trámite la solicitud de nulidad de actuaciones y ratificó el auto de 12 de julio de 2023 por el que se acordó inadmitir a trámite el recurso de casación núm. 5202-2021, interpuesto contra la sentencia estimatoria núm. 889/2021, de 15 de abril, dictada por la Sección  Vigesimoctava de la Audiencia Provincial de Madrid en el recurso de apelación núm. 252-2021, sobre nulidad de cláusulas supuestamente abusivas incluidas en un contrato de préstamo hipotecario.</w:t>
      </w:r>
    </w:p>
    <w:p w14:paraId="228F69FF" w14:textId="77777777" w:rsidR="00B35D37" w:rsidRDefault="00B35D37" w:rsidP="00B35D37">
      <w:pPr>
        <w:pStyle w:val="TextoNormal"/>
      </w:pPr>
    </w:p>
    <w:p w14:paraId="77FF9185" w14:textId="77777777" w:rsidR="00B35D37" w:rsidRDefault="00B35D37" w:rsidP="00B35D37">
      <w:pPr>
        <w:pStyle w:val="TextoNormal"/>
      </w:pPr>
      <w:r w:rsidRPr="00B35D37">
        <w:rPr>
          <w:rStyle w:val="NumeroAFNegritaCaracter"/>
        </w:rPr>
        <w:t>2</w:t>
      </w:r>
      <w:r>
        <w:t>. Son antecedentes procesales relevantes para la resolución del presente recurso de súplica las siguientes actuaciones y decisiones adoptadas en la vía judicial previa:</w:t>
      </w:r>
    </w:p>
    <w:p w14:paraId="6B7AAD95" w14:textId="77777777" w:rsidR="00B35D37" w:rsidRDefault="00B35D37" w:rsidP="00B35D37">
      <w:pPr>
        <w:pStyle w:val="TextoNormal"/>
      </w:pPr>
    </w:p>
    <w:p w14:paraId="25B3FF5C" w14:textId="77777777" w:rsidR="00B35D37" w:rsidRDefault="00B35D37" w:rsidP="00B35D37">
      <w:pPr>
        <w:pStyle w:val="TextoNormal"/>
      </w:pPr>
      <w:r>
        <w:t xml:space="preserve">a) El Juzgado de Primera Instancia núm. 101 </w:t>
      </w:r>
      <w:r w:rsidRPr="00B35D37">
        <w:rPr>
          <w:i/>
        </w:rPr>
        <w:t>bis</w:t>
      </w:r>
      <w:r>
        <w:t xml:space="preserve"> de Madrid, mediante sentencia núm. 710/2017, de 11 de diciembre, dictada en el procedimiento ordinario núm. 296-2017, estimó parcialmente la demanda civil formulada por la parte actora y declaró la nulidad de “la cláusula tercera de limitación de la variación del interés, contenida en el contrato de préstamo hipotecario con todos los efectos inherentes a tal declaración, condenando a la entidad demandada [Bankia, S.A.] a que proceda, en su caso, a la devolución de aquellas cantidades abonadas indebidamente por la actora durante la aplicación de dicha cláusula, desde el inicio de la relación contractual”. Declaró igualmente “la nulidad parcial de la cláusula quinta de gastos”, integrándose en la forma prevista en el fundamento jurídico tercero de la sentencia. No se hizo expresa imposición de las costas causadas.</w:t>
      </w:r>
    </w:p>
    <w:p w14:paraId="21A42287" w14:textId="77777777" w:rsidR="00B35D37" w:rsidRDefault="00B35D37" w:rsidP="00B35D37">
      <w:pPr>
        <w:pStyle w:val="TextoNormal"/>
      </w:pPr>
    </w:p>
    <w:p w14:paraId="62FAFC25" w14:textId="77777777" w:rsidR="00B35D37" w:rsidRDefault="00B35D37" w:rsidP="00B35D37">
      <w:pPr>
        <w:pStyle w:val="TextoNormal"/>
      </w:pPr>
      <w:r>
        <w:t>b) La sentencia de instancia fue recurrida en apelación por la entidad bancaria. El recurso fue estimado por la sentencia núm. 889/2021, de 15 de abril, dictada por la Sección Vigesimoctava de la Audiencia Provincial de Madrid en el recurso de apelación núm. 252-2021, tras apreciar que no se trataba de un préstamo a consumidor, sino con una finalidad distinta.</w:t>
      </w:r>
    </w:p>
    <w:p w14:paraId="34EB514B" w14:textId="77777777" w:rsidR="00B35D37" w:rsidRDefault="00B35D37" w:rsidP="00B35D37">
      <w:pPr>
        <w:pStyle w:val="TextoNormal"/>
      </w:pPr>
    </w:p>
    <w:p w14:paraId="0AAAC5A3" w14:textId="77777777" w:rsidR="00B35D37" w:rsidRDefault="00B35D37" w:rsidP="00B35D37">
      <w:pPr>
        <w:pStyle w:val="TextoNormal"/>
      </w:pPr>
      <w:r>
        <w:t>c) La sentencia de apelación fue recurrida en casación por la parte actora. El recurso de casación, núm. 5202-2021, fue inadmitido a trámite por la Sala de lo Civil del Tribunal Supremo mediante auto de 12 de julio de 2023, al no apreciar interés casacional en la cuestión planteada (el concepto de “consumidor”, a estos efectos), pero sí defectos formales en la formulación de la casación. En consecuencia, la sentencia de segunda instancia fue declarada firme.</w:t>
      </w:r>
    </w:p>
    <w:p w14:paraId="69512051" w14:textId="77777777" w:rsidR="00B35D37" w:rsidRDefault="00B35D37" w:rsidP="00B35D37">
      <w:pPr>
        <w:pStyle w:val="TextoNormal"/>
      </w:pPr>
    </w:p>
    <w:p w14:paraId="69335D20" w14:textId="3E29DA80" w:rsidR="00B35D37" w:rsidRDefault="00B35D37" w:rsidP="00B35D37">
      <w:pPr>
        <w:pStyle w:val="TextoNormal"/>
      </w:pPr>
      <w:r>
        <w:t xml:space="preserve">d) Frente a la decisión de inadmisión del Tribunal Supremo la representación de las actoras planteó un recurso de queja al que no se dio trámite por considerarlo indebido, según diligencia de ordenación de 15 de septiembre de 2023, y, a continuación, una solicitud de nulidad de actuaciones, </w:t>
      </w:r>
      <w:r w:rsidRPr="00B35D37">
        <w:rPr>
          <w:i/>
        </w:rPr>
        <w:t>ex</w:t>
      </w:r>
      <w:r>
        <w:t xml:space="preserve"> art. 241 de la Ley Orgánica del Poder Judicial (LOPJ), que fue también inadmitida mediante providencia de 13 de noviembre de 2023, que rechazó que la decisión de inadmisión fuera arbitraria y que, dado el destino del préstamo, según fue declarado en la instancia y en la apelación, no era aplicable a su control el Derecho de la Unión Europea; además de que las cláusulas-suelo establecidas “cumplían los requisitos de incorporación previstos por la jurisprudencia del Tribunal Supremo y del Tribunal de Justicia de la Unión Europea”.</w:t>
      </w:r>
    </w:p>
    <w:p w14:paraId="1164B129" w14:textId="77777777" w:rsidR="00B35D37" w:rsidRDefault="00B35D37" w:rsidP="00B35D37">
      <w:pPr>
        <w:pStyle w:val="TextoNormal"/>
      </w:pPr>
    </w:p>
    <w:p w14:paraId="4BF5F137" w14:textId="1B80045B" w:rsidR="00B35D37" w:rsidRDefault="00B35D37" w:rsidP="00B35D37">
      <w:pPr>
        <w:pStyle w:val="TextoNormal"/>
      </w:pPr>
      <w:r w:rsidRPr="00B35D37">
        <w:rPr>
          <w:rStyle w:val="NumeroAFNegritaCaracter"/>
        </w:rPr>
        <w:t>3</w:t>
      </w:r>
      <w:r>
        <w:t>. Las demandantes de amparo alegan en su recurso la vulneración de su derecho a la tutela judicial efectiva (art. 24.1 CE), en cuanto garantiza el acceso a los recursos legalmente establecidos para cada caso, y el derecho a una resolución motivada y fundada en Derecho, así como la vulneración del principio de igualdad en la aplicación de la ley reconocido en el art. 14 CE.</w:t>
      </w:r>
    </w:p>
    <w:p w14:paraId="770F8BD9" w14:textId="77777777" w:rsidR="00B35D37" w:rsidRDefault="00B35D37" w:rsidP="00B35D37">
      <w:pPr>
        <w:pStyle w:val="TextoNormal"/>
      </w:pPr>
    </w:p>
    <w:p w14:paraId="630982F8" w14:textId="2E6FA94D" w:rsidR="00B35D37" w:rsidRDefault="00B35D37" w:rsidP="00B35D37">
      <w:pPr>
        <w:pStyle w:val="TextoNormal"/>
      </w:pPr>
      <w:r w:rsidRPr="00B35D37">
        <w:rPr>
          <w:rStyle w:val="NumeroAFNegritaCaracter"/>
        </w:rPr>
        <w:t>4</w:t>
      </w:r>
      <w:r>
        <w:t>. Mediante providencia de 12 de febrero de 2024, esta Sección Segunda acordó no admitir a trámite el recurso de amparo con arreglo a lo previsto en el art. 50.1 a) de la Ley Orgánica del Tribunal Constitucional (LOTC), en relación con su art. 44.1 a), toda vez que las recurrentes no habían agotado debidamente los medios de impugnación dentro de la vía judicial (no interposición del incidente de nulidad de actuaciones previsto en el art. 241.1 LOPJ).</w:t>
      </w:r>
    </w:p>
    <w:p w14:paraId="095C5C97" w14:textId="77777777" w:rsidR="00B35D37" w:rsidRDefault="00B35D37" w:rsidP="00B35D37">
      <w:pPr>
        <w:pStyle w:val="TextoNormal"/>
      </w:pPr>
    </w:p>
    <w:p w14:paraId="3AFC6273" w14:textId="77777777" w:rsidR="00B35D37" w:rsidRDefault="00B35D37" w:rsidP="00B35D37">
      <w:pPr>
        <w:pStyle w:val="TextoNormal"/>
      </w:pPr>
      <w:r w:rsidRPr="00B35D37">
        <w:rPr>
          <w:rStyle w:val="NumeroAFNegritaCaracter"/>
        </w:rPr>
        <w:t>5</w:t>
      </w:r>
      <w:r>
        <w:t>. La fiscal ante el Tribunal Constitucional, mediante escrito registrado el pasado 28 de febrero de 2024, interpuso recurso de súplica impugnando la providencia de inadmisión. En él interesa que se deje sin efecto, reponiendo las actuaciones al momento anterior a su dictado para que se dicte nueva resolución que se pronuncie sobre la admisibilidad del recurso sin apreciar la causa de inadmisión que se cuestiona.</w:t>
      </w:r>
    </w:p>
    <w:p w14:paraId="30765DC4" w14:textId="77777777" w:rsidR="00B35D37" w:rsidRDefault="00B35D37" w:rsidP="00B35D37">
      <w:pPr>
        <w:pStyle w:val="TextoNormal"/>
      </w:pPr>
    </w:p>
    <w:p w14:paraId="62A390E0" w14:textId="21B63E4C" w:rsidR="00B35D37" w:rsidRDefault="00B35D37" w:rsidP="00B35D37">
      <w:pPr>
        <w:pStyle w:val="TextoNormal"/>
      </w:pPr>
      <w:r>
        <w:t>En su recurso pone de manifiesto la fiscal que, frente al auto de 12 de julio de 2023 por el que se acordó la inadmisión del recurso de casación, si bien las recurrentes interpusieron en primer lugar un recurso de queja que fue inadmitido a trámite con devolución del depósito constituido, posteriormente presentaron, el 2 de octubre de 2023, un incidente de nulidad de actuaciones que fue resuelto por providencia de la Sala de lo Civil del Tribunal Supremo de 13 de noviembre de 2023. En tal medida, la fiscal solicita en súplica la reconsideración de la decisión de inadmisión del presente recurso de amparo adoptada en la providencia de 12 de febrero de 2024, “toda vez que consta en las actuaciones remitidas que se han agotado los medios de impugnación dentro de la vía judicial con la interposición del incidente de nulidad de actuaciones, último remedio de que disponían los recurrentes para obtener la reparación del derecho que estima vulnerado”.</w:t>
      </w:r>
    </w:p>
    <w:p w14:paraId="4D9B3534" w14:textId="77777777" w:rsidR="00B35D37" w:rsidRDefault="00B35D37" w:rsidP="00B35D37">
      <w:pPr>
        <w:pStyle w:val="TextoNormal"/>
      </w:pPr>
    </w:p>
    <w:p w14:paraId="14C9C868" w14:textId="2BAAD2BE" w:rsidR="00B35D37" w:rsidRDefault="00B35D37" w:rsidP="00B35D37">
      <w:pPr>
        <w:pStyle w:val="TextoNormal"/>
      </w:pPr>
      <w:r w:rsidRPr="00B35D37">
        <w:rPr>
          <w:rStyle w:val="NumeroAFNegritaCaracter"/>
        </w:rPr>
        <w:t>6</w:t>
      </w:r>
      <w:r>
        <w:t>. Mediante diligencia de ordenación de 29 de febrero de 2024, la Secretaría de Justicia acordó dar traslado del recurso de súplica a la representación de las demandantes, concediéndoles un plazo de tres días a fin de que pudiese presentar las alegaciones que estimase pertinentes (art. 93.2 LOTC).</w:t>
      </w:r>
    </w:p>
    <w:p w14:paraId="2E3B0AD5" w14:textId="77777777" w:rsidR="00B35D37" w:rsidRDefault="00B35D37" w:rsidP="00B35D37">
      <w:pPr>
        <w:pStyle w:val="TextoNormal"/>
      </w:pPr>
    </w:p>
    <w:p w14:paraId="748AEC98" w14:textId="6D0C6B5C" w:rsidR="00B35D37" w:rsidRDefault="00B35D37" w:rsidP="00B35D37">
      <w:pPr>
        <w:pStyle w:val="TextoNormal"/>
      </w:pPr>
      <w:r w:rsidRPr="00B35D37">
        <w:rPr>
          <w:rStyle w:val="NumeroAFNegritaCaracter"/>
        </w:rPr>
        <w:t>7</w:t>
      </w:r>
      <w:r>
        <w:t>. La representación procesal de las demandantes de amparo registró sus alegaciones el día 4 de marzo de 2024; en ellas se adhiere a la solicitud de súplica de la representante del Ministerio Fiscal y solicita que se proceda a acordar la admisión a trámite del recurso de amparo.</w:t>
      </w:r>
    </w:p>
    <w:p w14:paraId="09F99088" w14:textId="77777777" w:rsidR="00B35D37" w:rsidRDefault="00B35D37" w:rsidP="00B35D37">
      <w:pPr>
        <w:pStyle w:val="TextoNormal"/>
      </w:pPr>
    </w:p>
    <w:p w14:paraId="2D1A7D8C" w14:textId="77777777" w:rsidR="00B35D37" w:rsidRDefault="00B35D37" w:rsidP="00B35D37">
      <w:pPr>
        <w:pStyle w:val="TextoNormalNegritaCentrado"/>
        <w:keepNext/>
      </w:pPr>
      <w:r>
        <w:t>II. Fundamentos jurídicos</w:t>
      </w:r>
    </w:p>
    <w:p w14:paraId="63F41DB1" w14:textId="27240D2F" w:rsidR="00B35D37" w:rsidRDefault="00B35D37" w:rsidP="00B35D37">
      <w:pPr>
        <w:pStyle w:val="TextoNormalNegritaCentrado"/>
        <w:keepNext/>
      </w:pPr>
    </w:p>
    <w:p w14:paraId="2901FED6" w14:textId="77777777" w:rsidR="00B35D37" w:rsidRDefault="00B35D37" w:rsidP="00B35D37">
      <w:pPr>
        <w:pStyle w:val="TextoNormal"/>
      </w:pPr>
      <w:r w:rsidRPr="00B35D37">
        <w:rPr>
          <w:rStyle w:val="TextoNormalNegritaCaracter"/>
        </w:rPr>
        <w:t xml:space="preserve">Único. </w:t>
      </w:r>
      <w:r>
        <w:t>Ha de concederse razón a lo expuesto por la representante del Ministerio Fiscal en su escrito de súplica, pues ciertamente en la documentación aportada con la demanda por las recurrentes consta la providencia dictada el 13 de noviembre de 2023 por la sección de admisión de la Sala de lo Civil del Tribunal Supremo en la que se acuerda la inadmisión del incidente de nulidad de actuaciones previamente planteado contra el anterior auto de 12 de julio de 2023. En consecuencia, el recurso de súplica ha de ser estimado y ha de dejarse sin efecto lo resuelto en nuestra providencia de inadmisión de 12 de febrero de 2024.</w:t>
      </w:r>
    </w:p>
    <w:p w14:paraId="4DCCA815" w14:textId="77777777" w:rsidR="00B35D37" w:rsidRDefault="00B35D37" w:rsidP="00B35D37">
      <w:pPr>
        <w:pStyle w:val="TextoNormal"/>
      </w:pPr>
    </w:p>
    <w:p w14:paraId="582EB04F" w14:textId="77777777" w:rsidR="00B35D37" w:rsidRDefault="00B35D37" w:rsidP="00B35D37">
      <w:pPr>
        <w:pStyle w:val="TextoNormal"/>
      </w:pPr>
      <w:r>
        <w:t>Reabierto en consecuencia el trámite para pronunciarnos sobre la admisión del presente recurso de amparo, con exclusión lógicamente del análisis del requisito de agotamiento de la vía judicial [art. 44.1 a) LOTC] ya solventado, esta Sección constata, tras un nuevo estudio de dicho escrito, que la demanda de amparo incumple con la carga de alegar la concurrencia del requisito de la especial trascendencia constitucional del recurso, exigido por el art. 49.1 LOTC y cuyo contenido se enuncia en el art. 50.1 b) de nuestra misma Ley Orgánica reguladora y en la STC 155/2009, de 25 de junio, FJ 2, del Pleno de este tribunal, orientativa de los supuestos a los que responde el mandato legal.</w:t>
      </w:r>
    </w:p>
    <w:p w14:paraId="23B1AA36" w14:textId="77777777" w:rsidR="00B35D37" w:rsidRDefault="00B35D37" w:rsidP="00B35D37">
      <w:pPr>
        <w:pStyle w:val="TextoNormal"/>
      </w:pPr>
    </w:p>
    <w:p w14:paraId="6D529968" w14:textId="77777777" w:rsidR="00B35D37" w:rsidRDefault="00B35D37" w:rsidP="00B35D37">
      <w:pPr>
        <w:pStyle w:val="TextoNormal"/>
      </w:pPr>
      <w:r>
        <w:t>El incumplimiento lo es de forma absoluta, pues no se dedica ningún apartado del escrito de demanda a justificar la especial trascendencia constitucional del recurso, debiendo traerse a colación por tanto la consolidada doctrina de este tribunal, condensada en nuestro ATC 177/2016, de 26 de octubre, FJ 2, conforme a la cual: “El requisito procesal de la suficiente justificación de la transcendencia constitucional se configura no solo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(SSTC 69/2011, FJ 3, y 176/2012, FJ 3).</w:t>
      </w:r>
    </w:p>
    <w:p w14:paraId="2606EAD2" w14:textId="77777777" w:rsidR="00B35D37" w:rsidRDefault="00B35D37" w:rsidP="00B35D37">
      <w:pPr>
        <w:pStyle w:val="TextoNormal"/>
      </w:pPr>
    </w:p>
    <w:p w14:paraId="687943F6" w14:textId="77777777" w:rsidR="00B35D37" w:rsidRDefault="00B35D37" w:rsidP="00B35D37">
      <w:pPr>
        <w:pStyle w:val="TextoNormal"/>
      </w:pPr>
      <w:r>
        <w:t>Para satisfacer esta exigencia, la demanda de amparo no tiene que ajustarse a un modelo rígido, pero sí responder a los ‘cánones propios de este tipo de escritos procesales’ (STC 17/2011, de 28 de febrero, FJ 2); ha de ‘tener en cuenta las precisiones que, con relación a esa específica carga, ha ido efectuando este tribunal a través de diversas resoluciones que despejan las posibles dudas sobre el modo en el que se tiene que hacer efectiva’ (SSTC 69/2011, FJ 3, y 176/2012, FJ 3). En particular, la STC 155/2009, FJ 2, avanzó en la interpretación del art. 50.1. b) LOTC identificando una serie no exhaustiva de casos en que cabe apreciar que el contenido del recurso de amparo justifica una decisión sobre el fondo por parte de este tribunal en razón de su especial trascendencia constitucional, ‘que se apreciará atendiendo a su importancia para la interpretación de la Constitución, para su aplicación o para su general eficacia, y para la determinación del contenido y alcance de los derechos fundamentales’.</w:t>
      </w:r>
    </w:p>
    <w:p w14:paraId="69E382F0" w14:textId="77777777" w:rsidR="00B35D37" w:rsidRDefault="00B35D37" w:rsidP="00B35D37">
      <w:pPr>
        <w:pStyle w:val="TextoNormal"/>
      </w:pPr>
    </w:p>
    <w:p w14:paraId="2523762B" w14:textId="77777777" w:rsidR="00B35D37" w:rsidRDefault="00B35D37" w:rsidP="00B35D37">
      <w:pPr>
        <w:pStyle w:val="TextoNormal"/>
      </w:pPr>
      <w:r>
        <w:t>Hemos precisado también que la carga de justificar esta especial trascendencia consiste en un ‘esfuerzo argumental’ (ATC 154/2010, de 15 de noviembre, FJ 4) que ponga en conexión las vulneraciones constitucionales alegadas con los criterios del art. 50.1 b) LOTC, explicitando la ‘proyección objetiva del amparo solicitado’ y traduciendo en el plano formal (art. 49.1 LOTC) la exigencia material de la especial trascendencia constitucional del asunto (ATC 264/2009, de 16 de noviembre, FJ único).</w:t>
      </w:r>
    </w:p>
    <w:p w14:paraId="2C4187AF" w14:textId="77777777" w:rsidR="00B35D37" w:rsidRDefault="00B35D37" w:rsidP="00B35D37">
      <w:pPr>
        <w:pStyle w:val="TextoNormal"/>
      </w:pPr>
    </w:p>
    <w:p w14:paraId="4A3FCBFF" w14:textId="77777777" w:rsidR="00B35D37" w:rsidRDefault="00B35D37" w:rsidP="00B35D37">
      <w:pPr>
        <w:pStyle w:val="TextoNormal"/>
      </w:pPr>
      <w:r>
        <w:t>Por esta razón, no basta razonar la existencia de la vulneración de un derecho fundamental (SSTC 69/2011, FJ 3; 143/2011, FJ 2; 176/2012, FJ 3; 178/2012, FJ 3, y 140/2013, FJ 3; también, por todos, AATC 188/2008, de 21 de julio, FJ 2; 289/2008, de 22 de septiembre, FJ 2, y 290/2008, de 22 de septiembre, FJ 2), sino que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14:paraId="68E4E54E" w14:textId="77777777" w:rsidR="00B35D37" w:rsidRDefault="00B35D37" w:rsidP="00B35D37">
      <w:pPr>
        <w:pStyle w:val="TextoNormal"/>
      </w:pPr>
    </w:p>
    <w:p w14:paraId="4EEA9DED" w14:textId="77777777" w:rsidR="00B35D37" w:rsidRDefault="00B35D37" w:rsidP="00B35D37">
      <w:pPr>
        <w:pStyle w:val="TextoNormal"/>
      </w:pPr>
      <w:r>
        <w:t>Consecuentemente, ‘la exposición sobre la verosimilitud de la lesión del derecho fundamental no puede suplir la omisión de una argumentación expresa sobre la trascendencia constitucional del recurso de amparo’ (ATC 252/2009, de 19 de octubre, FJ 1)”.</w:t>
      </w:r>
    </w:p>
    <w:p w14:paraId="7C384E1E" w14:textId="77777777" w:rsidR="00B35D37" w:rsidRDefault="00B35D37" w:rsidP="00B35D37">
      <w:pPr>
        <w:pStyle w:val="TextoNormal"/>
      </w:pPr>
    </w:p>
    <w:p w14:paraId="1B6FD134" w14:textId="55EE6E28" w:rsidR="00B35D37" w:rsidRDefault="00B35D37" w:rsidP="00B35D37">
      <w:pPr>
        <w:pStyle w:val="TextoNormal"/>
      </w:pPr>
      <w:r>
        <w:t>El incumplimiento del mencionado requisito comporta por fuerza la inadmisión del recurso de amparo por aplicación de lo dispuesto en el art. 50.1 a), en relación con el art. 49.1, ambos LOTC.</w:t>
      </w:r>
    </w:p>
    <w:p w14:paraId="528CD4B8" w14:textId="77777777" w:rsidR="00B35D37" w:rsidRDefault="00B35D37" w:rsidP="00B35D37">
      <w:pPr>
        <w:pStyle w:val="TextoNormal"/>
      </w:pPr>
    </w:p>
    <w:p w14:paraId="028B9191" w14:textId="77777777" w:rsidR="00B35D37" w:rsidRDefault="00B35D37" w:rsidP="00B35D37">
      <w:pPr>
        <w:pStyle w:val="TextoNormal"/>
      </w:pPr>
      <w:r>
        <w:t>Por lo expuesto, la Sección</w:t>
      </w:r>
    </w:p>
    <w:p w14:paraId="713375DE" w14:textId="5E3DC3C0" w:rsidR="00B35D37" w:rsidRDefault="00B35D37" w:rsidP="00B35D37">
      <w:pPr>
        <w:pStyle w:val="TextoNormal"/>
      </w:pPr>
    </w:p>
    <w:p w14:paraId="35F1B2EC" w14:textId="77777777" w:rsidR="00B35D37" w:rsidRDefault="00B35D37" w:rsidP="00B35D37">
      <w:pPr>
        <w:pStyle w:val="TextoNormalCentrado"/>
      </w:pPr>
      <w:r>
        <w:t>ACUERDA</w:t>
      </w:r>
    </w:p>
    <w:p w14:paraId="6CE8361C" w14:textId="2370B58D" w:rsidR="00B35D37" w:rsidRDefault="00B35D37" w:rsidP="00B35D37">
      <w:pPr>
        <w:pStyle w:val="TextoNormalCentrado"/>
      </w:pPr>
    </w:p>
    <w:p w14:paraId="25AAB2D6" w14:textId="77777777" w:rsidR="00B35D37" w:rsidRDefault="00B35D37" w:rsidP="00B35D37">
      <w:pPr>
        <w:pStyle w:val="TextoNormal"/>
      </w:pPr>
      <w:r>
        <w:t>1º Estimar el recurso de súplica interpuesto por el Ministerio Fiscal contra la providencia de inadmisión dictada por esta Sección Segunda el pasado 12 de febrero de 2024, la cual se deja sin efecto.</w:t>
      </w:r>
    </w:p>
    <w:p w14:paraId="0A56575C" w14:textId="77777777" w:rsidR="00B35D37" w:rsidRDefault="00B35D37" w:rsidP="00B35D37">
      <w:pPr>
        <w:pStyle w:val="TextoNormal"/>
      </w:pPr>
    </w:p>
    <w:p w14:paraId="4EB2A4BE" w14:textId="25BA758F" w:rsidR="00B35D37" w:rsidRDefault="00B35D37" w:rsidP="00B35D37">
      <w:pPr>
        <w:pStyle w:val="TextoNormal"/>
      </w:pPr>
      <w:r>
        <w:t>2º Declarar la inadmisión del presente recurso de amparo, por incumplimiento de la carga procesal consistente en justificar en la demanda el requisito de la especial trascendencia constitucional del recurso exigido por el art. 49.1 LOTC.</w:t>
      </w:r>
    </w:p>
    <w:p w14:paraId="1C6367ED" w14:textId="77777777" w:rsidR="00B35D37" w:rsidRDefault="00B35D37" w:rsidP="00B35D37">
      <w:pPr>
        <w:pStyle w:val="TextoNormal"/>
      </w:pPr>
    </w:p>
    <w:p w14:paraId="5DC039FB" w14:textId="77777777" w:rsidR="00B35D37" w:rsidRDefault="00B35D37" w:rsidP="001D7FA9">
      <w:pPr>
        <w:pStyle w:val="TextoNormal"/>
      </w:pPr>
      <w:r>
        <w:t>Madrid, a veinticuatro de junio de dos mil veinticinco.</w:t>
      </w:r>
    </w:p>
    <w:p w14:paraId="5486D988" w14:textId="545419C3" w:rsidR="001D7FA9" w:rsidRDefault="001D7FA9">
      <w:pPr>
        <w:spacing w:after="160" w:line="278" w:lineRule="auto"/>
        <w:rPr>
          <w:rFonts w:ascii="Times New Roman" w:eastAsia="Times New Roman" w:hAnsi="Times New Roman" w:cs="Times New Roman"/>
          <w:sz w:val="24"/>
          <w:szCs w:val="24"/>
          <w:lang w:eastAsia="es-ES"/>
        </w:rPr>
      </w:pPr>
      <w:r>
        <w:br w:type="page"/>
      </w:r>
    </w:p>
    <w:p w14:paraId="396D2223" w14:textId="77777777" w:rsidR="001D7FA9" w:rsidRDefault="001D7FA9" w:rsidP="00B35D37">
      <w:pPr>
        <w:pStyle w:val="ParrafoNormal"/>
      </w:pPr>
    </w:p>
    <w:p w14:paraId="234B8E96" w14:textId="77777777" w:rsidR="001D7FA9" w:rsidRDefault="001D7FA9" w:rsidP="001D7FA9">
      <w:pPr>
        <w:pStyle w:val="TextoNormal"/>
      </w:pPr>
    </w:p>
    <w:p w14:paraId="1FAA7473" w14:textId="77777777" w:rsidR="001D7FA9" w:rsidRDefault="001D7FA9" w:rsidP="001D7FA9">
      <w:pPr>
        <w:pStyle w:val="TextoNormal"/>
      </w:pPr>
    </w:p>
    <w:p w14:paraId="291FBCCF" w14:textId="77777777" w:rsidR="001D7FA9" w:rsidRDefault="001D7FA9" w:rsidP="001D7FA9">
      <w:pPr>
        <w:pStyle w:val="TextoNormal"/>
      </w:pPr>
    </w:p>
    <w:p w14:paraId="238B00C0" w14:textId="77777777" w:rsidR="001D7FA9" w:rsidRDefault="001D7FA9" w:rsidP="001D7FA9">
      <w:pPr>
        <w:pStyle w:val="Ttulondice"/>
        <w:suppressAutoHyphens/>
      </w:pPr>
      <w:r>
        <w:t>3. ÍNDICE DE DISPOSICIONES CON FUERZA DE LEY IMPUGNADAS</w:t>
      </w:r>
    </w:p>
    <w:p w14:paraId="77CF1BD0" w14:textId="5F6AE974" w:rsidR="001D7FA9" w:rsidRDefault="001D7FA9" w:rsidP="001D7FA9">
      <w:pPr>
        <w:pStyle w:val="TextoNormal"/>
        <w:suppressAutoHyphens/>
      </w:pPr>
    </w:p>
    <w:p w14:paraId="2CDCE297" w14:textId="77777777" w:rsidR="001D7FA9" w:rsidRDefault="001D7FA9" w:rsidP="001D7FA9">
      <w:pPr>
        <w:pStyle w:val="TextoNormal"/>
        <w:suppressAutoHyphens/>
      </w:pPr>
    </w:p>
    <w:p w14:paraId="247FAD12" w14:textId="77777777" w:rsidR="001D7FA9" w:rsidRDefault="001D7FA9" w:rsidP="001D7FA9">
      <w:pPr>
        <w:pStyle w:val="TextoNormal"/>
        <w:suppressAutoHyphens/>
      </w:pPr>
    </w:p>
    <w:p w14:paraId="3BF4323F" w14:textId="77777777" w:rsidR="001D7FA9" w:rsidRDefault="001D7FA9" w:rsidP="001D7FA9">
      <w:pPr>
        <w:pStyle w:val="TextoNormal"/>
        <w:suppressAutoHyphens/>
      </w:pPr>
    </w:p>
    <w:p w14:paraId="6C55A48F" w14:textId="77777777" w:rsidR="001D7FA9" w:rsidRDefault="001D7FA9" w:rsidP="001D7FA9">
      <w:pPr>
        <w:pStyle w:val="TextoNormal"/>
        <w:suppressAutoHyphens/>
      </w:pPr>
    </w:p>
    <w:p w14:paraId="333B3D8A" w14:textId="77777777" w:rsidR="001D7FA9" w:rsidRDefault="001D7FA9" w:rsidP="001D7FA9">
      <w:pPr>
        <w:pStyle w:val="TextoNormal"/>
        <w:suppressAutoHyphens/>
      </w:pPr>
    </w:p>
    <w:p w14:paraId="69D927E9" w14:textId="77777777" w:rsidR="001D7FA9" w:rsidRDefault="001D7FA9" w:rsidP="001D7FA9">
      <w:pPr>
        <w:pStyle w:val="TextoNormal"/>
        <w:suppressAutoHyphens/>
      </w:pPr>
    </w:p>
    <w:p w14:paraId="1BBF0F7D" w14:textId="77777777" w:rsidR="001D7FA9" w:rsidRDefault="001D7FA9" w:rsidP="001D7FA9">
      <w:pPr>
        <w:pStyle w:val="TextoNormal"/>
        <w:suppressAutoHyphens/>
      </w:pPr>
    </w:p>
    <w:p w14:paraId="28D84991" w14:textId="77777777" w:rsidR="001D7FA9" w:rsidRDefault="001D7FA9" w:rsidP="001D7FA9">
      <w:pPr>
        <w:pStyle w:val="TextoNormal"/>
        <w:suppressAutoHyphens/>
      </w:pPr>
    </w:p>
    <w:p w14:paraId="4F982C0A" w14:textId="77777777" w:rsidR="001D7FA9" w:rsidRDefault="001D7FA9" w:rsidP="001D7FA9">
      <w:pPr>
        <w:pStyle w:val="TextoNormal"/>
      </w:pPr>
    </w:p>
    <w:p w14:paraId="3A961F3C" w14:textId="77777777" w:rsidR="001D7FA9" w:rsidRDefault="001D7FA9" w:rsidP="001D7FA9">
      <w:pPr>
        <w:pStyle w:val="TextoNormal"/>
      </w:pPr>
      <w:bookmarkStart w:id="207" w:name="INDICE22802"/>
      <w:bookmarkEnd w:id="207"/>
    </w:p>
    <w:p w14:paraId="117283B3" w14:textId="77777777" w:rsidR="001D7FA9" w:rsidRDefault="001D7FA9" w:rsidP="001D7FA9">
      <w:pPr>
        <w:pStyle w:val="TextoIndiceNivel2"/>
        <w:suppressAutoHyphens/>
      </w:pPr>
      <w:r>
        <w:t>A) Disposiciones con fuerza de ley del Estado</w:t>
      </w:r>
    </w:p>
    <w:p w14:paraId="2494BE57" w14:textId="7956C939" w:rsidR="001D7FA9" w:rsidRDefault="001D7FA9" w:rsidP="001D7FA9">
      <w:pPr>
        <w:pStyle w:val="TextoIndiceNivel2"/>
      </w:pPr>
    </w:p>
    <w:p w14:paraId="0D5FAD3B" w14:textId="77777777" w:rsidR="001D7FA9" w:rsidRDefault="001D7FA9" w:rsidP="001D7FA9">
      <w:pPr>
        <w:pStyle w:val="TextoNormalNegritaCursivandice"/>
        <w:keepNext/>
      </w:pPr>
      <w:r>
        <w:t>Ley Orgánica 5/1985, de 19 de junio, del régimen electoral general</w:t>
      </w:r>
    </w:p>
    <w:p w14:paraId="65002A3F" w14:textId="77067291" w:rsidR="001D7FA9" w:rsidRDefault="001D7FA9" w:rsidP="001D7FA9">
      <w:pPr>
        <w:pStyle w:val="SangriaFrancesaArticulo"/>
      </w:pPr>
      <w:r w:rsidRPr="001D7FA9">
        <w:rPr>
          <w:rStyle w:val="TextoNormalNegritaCaracter"/>
        </w:rPr>
        <w:t>Artículo 197.1 a) párrafo 2</w:t>
      </w:r>
      <w:r>
        <w:t xml:space="preserve"> (redactado por la Ley Orgánica 2/2011, de 28 de enero)</w:t>
      </w:r>
      <w:r w:rsidRPr="001D7FA9">
        <w:rPr>
          <w:rStyle w:val="TextoNormalNegritaCaracter"/>
        </w:rPr>
        <w:t>.</w:t>
      </w:r>
      <w:r w:rsidRPr="001D7FA9">
        <w:rPr>
          <w:rStyle w:val="TextoNormalCaracter"/>
        </w:rPr>
        <w:t>-</w:t>
      </w:r>
      <w:r>
        <w:t xml:space="preserve"> Sentencia </w:t>
      </w:r>
      <w:hyperlink w:anchor="SENTENCIA_2025_134" w:history="1">
        <w:r w:rsidRPr="001D7FA9">
          <w:rPr>
            <w:rStyle w:val="TextoNormalCaracter"/>
          </w:rPr>
          <w:t>134/2025</w:t>
        </w:r>
      </w:hyperlink>
      <w:r>
        <w:t xml:space="preserve"> (anula).</w:t>
      </w:r>
    </w:p>
    <w:p w14:paraId="01F3D671" w14:textId="327E5618" w:rsidR="001D7FA9" w:rsidRDefault="001D7FA9" w:rsidP="001D7FA9">
      <w:pPr>
        <w:pStyle w:val="SangriaFrancesaArticulo"/>
      </w:pPr>
      <w:r w:rsidRPr="001D7FA9">
        <w:rPr>
          <w:rStyle w:val="TextoNormalNegritaCaracter"/>
        </w:rPr>
        <w:t>Artículo 197.1 e) inciso "los tres párrafos de"</w:t>
      </w:r>
      <w:r>
        <w:t xml:space="preserve"> (redactado por la Ley Orgánica 2/2011, de 28 de enero)</w:t>
      </w:r>
      <w:r w:rsidRPr="001D7FA9">
        <w:rPr>
          <w:rStyle w:val="TextoNormalNegritaCaracter"/>
        </w:rPr>
        <w:t>.</w:t>
      </w:r>
      <w:r w:rsidRPr="001D7FA9">
        <w:rPr>
          <w:rStyle w:val="TextoNormalCaracter"/>
        </w:rPr>
        <w:t>-</w:t>
      </w:r>
      <w:r>
        <w:t xml:space="preserve"> Sentencia </w:t>
      </w:r>
      <w:hyperlink w:anchor="SENTENCIA_2025_134" w:history="1">
        <w:r w:rsidRPr="001D7FA9">
          <w:rPr>
            <w:rStyle w:val="TextoNormalCaracter"/>
          </w:rPr>
          <w:t>134/2025</w:t>
        </w:r>
      </w:hyperlink>
      <w:r>
        <w:t xml:space="preserve"> (anula).</w:t>
      </w:r>
    </w:p>
    <w:p w14:paraId="6000FBBF" w14:textId="20C6B3FE" w:rsidR="001D7FA9" w:rsidRDefault="001D7FA9" w:rsidP="001D7FA9">
      <w:pPr>
        <w:pStyle w:val="SangriaFrancesaArticulo"/>
      </w:pPr>
    </w:p>
    <w:p w14:paraId="461D637E" w14:textId="77777777" w:rsidR="001D7FA9" w:rsidRDefault="001D7FA9" w:rsidP="001D7FA9">
      <w:pPr>
        <w:pStyle w:val="TextoNormalNegritaCursivandice"/>
        <w:keepNext/>
      </w:pPr>
      <w:r>
        <w:t>Ley 1/2000, de 7 de enero, de enjuiciamiento civil</w:t>
      </w:r>
    </w:p>
    <w:p w14:paraId="42A68BD6" w14:textId="248D8D0A" w:rsidR="001D7FA9" w:rsidRDefault="001D7FA9" w:rsidP="001D7FA9">
      <w:pPr>
        <w:pStyle w:val="SangriaFrancesaArticulo"/>
      </w:pPr>
      <w:r w:rsidRPr="001D7FA9">
        <w:rPr>
          <w:rStyle w:val="TextoNormalNegritaCaracter"/>
        </w:rPr>
        <w:t>Artículo 60.1.</w:t>
      </w:r>
      <w:r w:rsidRPr="001D7FA9">
        <w:rPr>
          <w:rStyle w:val="TextoNormalCaracter"/>
        </w:rPr>
        <w:t>-</w:t>
      </w:r>
      <w:r>
        <w:t xml:space="preserve"> Auto </w:t>
      </w:r>
      <w:hyperlink w:anchor="AUTO_2025_20" w:history="1">
        <w:r w:rsidRPr="001D7FA9">
          <w:rPr>
            <w:rStyle w:val="TextoNormalCaracter"/>
          </w:rPr>
          <w:t>20/2025</w:t>
        </w:r>
      </w:hyperlink>
      <w:r>
        <w:t>.</w:t>
      </w:r>
    </w:p>
    <w:p w14:paraId="458EBA1D" w14:textId="0F86D503" w:rsidR="001D7FA9" w:rsidRDefault="001D7FA9" w:rsidP="001D7FA9">
      <w:pPr>
        <w:pStyle w:val="SangriaFrancesaArticulo"/>
      </w:pPr>
    </w:p>
    <w:p w14:paraId="2EFB5F12" w14:textId="77777777" w:rsidR="001D7FA9" w:rsidRDefault="001D7FA9" w:rsidP="001D7FA9">
      <w:pPr>
        <w:pStyle w:val="TextoNormalNegritaCursivandice"/>
        <w:keepNext/>
      </w:pPr>
      <w:r>
        <w:t>Ley Orgánica 19/2003, de 23 de diciembre, de modificación de la Ley Orgánica 6/1985, de 1 de julio, del Poder Judicial</w:t>
      </w:r>
    </w:p>
    <w:p w14:paraId="7844FEDE" w14:textId="5E444347" w:rsidR="001D7FA9" w:rsidRDefault="001D7FA9" w:rsidP="001D7FA9">
      <w:pPr>
        <w:pStyle w:val="SangriaFrancesaArticulo"/>
      </w:pPr>
      <w:r w:rsidRPr="001D7FA9">
        <w:rPr>
          <w:rStyle w:val="TextoNormalNegritaCaracter"/>
        </w:rPr>
        <w:t>Artículo 555.1.</w:t>
      </w:r>
      <w:r w:rsidRPr="001D7FA9">
        <w:rPr>
          <w:rStyle w:val="TextoNormalCaracter"/>
        </w:rPr>
        <w:t>-</w:t>
      </w:r>
      <w:r>
        <w:t xml:space="preserve"> Sentencia </w:t>
      </w:r>
      <w:hyperlink w:anchor="SENTENCIA_2025_12" w:history="1">
        <w:r w:rsidRPr="001D7FA9">
          <w:rPr>
            <w:rStyle w:val="TextoNormalCaracter"/>
          </w:rPr>
          <w:t>12/2025</w:t>
        </w:r>
      </w:hyperlink>
      <w:r>
        <w:t>.</w:t>
      </w:r>
    </w:p>
    <w:p w14:paraId="07DE57D1" w14:textId="35A4D3DD" w:rsidR="001D7FA9" w:rsidRDefault="001D7FA9" w:rsidP="001D7FA9">
      <w:pPr>
        <w:pStyle w:val="SangriaFrancesaArticulo"/>
      </w:pPr>
      <w:r w:rsidRPr="001D7FA9">
        <w:rPr>
          <w:rStyle w:val="TextoNormalNegritaCaracter"/>
        </w:rPr>
        <w:t>Artículo 556.</w:t>
      </w:r>
      <w:r w:rsidRPr="001D7FA9">
        <w:rPr>
          <w:rStyle w:val="TextoNormalCaracter"/>
        </w:rPr>
        <w:t>-</w:t>
      </w:r>
      <w:r>
        <w:t xml:space="preserve"> Sentencia </w:t>
      </w:r>
      <w:hyperlink w:anchor="SENTENCIA_2025_12" w:history="1">
        <w:r w:rsidRPr="001D7FA9">
          <w:rPr>
            <w:rStyle w:val="TextoNormalCaracter"/>
          </w:rPr>
          <w:t>12/2025</w:t>
        </w:r>
      </w:hyperlink>
      <w:r>
        <w:t>.</w:t>
      </w:r>
    </w:p>
    <w:p w14:paraId="575C04BA" w14:textId="002E361B" w:rsidR="001D7FA9" w:rsidRDefault="001D7FA9" w:rsidP="001D7FA9">
      <w:pPr>
        <w:pStyle w:val="SangriaFrancesaArticulo"/>
      </w:pPr>
    </w:p>
    <w:p w14:paraId="446E3D1E" w14:textId="77777777" w:rsidR="001D7FA9" w:rsidRDefault="001D7FA9" w:rsidP="001D7FA9">
      <w:pPr>
        <w:pStyle w:val="TextoNormalNegritaCursivandice"/>
        <w:keepNext/>
      </w:pPr>
      <w:r>
        <w:t>Real Decreto Legislativo 2/2015, de 23 de octubre, por el que se aprueba el texto refundido de la Ley del estatuto de los trabajadores</w:t>
      </w:r>
    </w:p>
    <w:p w14:paraId="69F1BE27" w14:textId="63E4AF3C" w:rsidR="001D7FA9" w:rsidRDefault="001D7FA9" w:rsidP="001D7FA9">
      <w:pPr>
        <w:pStyle w:val="SangriaFrancesaArticulo"/>
      </w:pPr>
      <w:r w:rsidRPr="001D7FA9">
        <w:rPr>
          <w:rStyle w:val="TextoNormalNegritaCaracter"/>
        </w:rPr>
        <w:t>Artículo 48.4</w:t>
      </w:r>
      <w:r>
        <w:t xml:space="preserve"> (redactado por el Real Decreto-ley 6/2019, de 1 de marzo)</w:t>
      </w:r>
      <w:r w:rsidRPr="001D7FA9">
        <w:rPr>
          <w:rStyle w:val="TextoNormalNegritaCaracter"/>
        </w:rPr>
        <w:t>.</w:t>
      </w:r>
      <w:r w:rsidRPr="001D7FA9">
        <w:rPr>
          <w:rStyle w:val="TextoNormalCaracter"/>
        </w:rPr>
        <w:t>-</w:t>
      </w:r>
      <w:r>
        <w:t xml:space="preserve"> Autos </w:t>
      </w:r>
      <w:hyperlink w:anchor="AUTO_2025_10" w:history="1">
        <w:r w:rsidRPr="001D7FA9">
          <w:rPr>
            <w:rStyle w:val="TextoNormalCaracter"/>
          </w:rPr>
          <w:t>10/2025</w:t>
        </w:r>
      </w:hyperlink>
      <w:r>
        <w:t xml:space="preserve">; </w:t>
      </w:r>
      <w:hyperlink w:anchor="AUTO_2025_19" w:history="1">
        <w:r w:rsidRPr="001D7FA9">
          <w:rPr>
            <w:rStyle w:val="TextoNormalCaracter"/>
          </w:rPr>
          <w:t>19/2025</w:t>
        </w:r>
      </w:hyperlink>
      <w:r>
        <w:t xml:space="preserve">; </w:t>
      </w:r>
      <w:hyperlink w:anchor="AUTO_2025_55" w:history="1">
        <w:r w:rsidRPr="001D7FA9">
          <w:rPr>
            <w:rStyle w:val="TextoNormalCaracter"/>
          </w:rPr>
          <w:t>55/2025</w:t>
        </w:r>
      </w:hyperlink>
      <w:r>
        <w:t>.</w:t>
      </w:r>
    </w:p>
    <w:p w14:paraId="08966CE1" w14:textId="6CB846B8" w:rsidR="001D7FA9" w:rsidRDefault="001D7FA9" w:rsidP="001D7FA9">
      <w:pPr>
        <w:pStyle w:val="SangriaFrancesaArticulo"/>
      </w:pPr>
      <w:r w:rsidRPr="001D7FA9">
        <w:rPr>
          <w:rStyle w:val="TextoNormalNegritaCaracter"/>
        </w:rPr>
        <w:t>Artículo 48.5</w:t>
      </w:r>
      <w:r>
        <w:t xml:space="preserve"> (redactado por el Real Decreto-ley 6/2019, de 1 de marzo)</w:t>
      </w:r>
      <w:r w:rsidRPr="001D7FA9">
        <w:rPr>
          <w:rStyle w:val="TextoNormalNegritaCaracter"/>
        </w:rPr>
        <w:t>.</w:t>
      </w:r>
      <w:r w:rsidRPr="001D7FA9">
        <w:rPr>
          <w:rStyle w:val="TextoNormalCaracter"/>
        </w:rPr>
        <w:t>-</w:t>
      </w:r>
      <w:r>
        <w:t xml:space="preserve"> Autos </w:t>
      </w:r>
      <w:hyperlink w:anchor="AUTO_2025_10" w:history="1">
        <w:r w:rsidRPr="001D7FA9">
          <w:rPr>
            <w:rStyle w:val="TextoNormalCaracter"/>
          </w:rPr>
          <w:t>10/2025</w:t>
        </w:r>
      </w:hyperlink>
      <w:r>
        <w:t xml:space="preserve">; </w:t>
      </w:r>
      <w:hyperlink w:anchor="AUTO_2025_55" w:history="1">
        <w:r w:rsidRPr="001D7FA9">
          <w:rPr>
            <w:rStyle w:val="TextoNormalCaracter"/>
          </w:rPr>
          <w:t>55/2025</w:t>
        </w:r>
      </w:hyperlink>
      <w:r>
        <w:t>.</w:t>
      </w:r>
    </w:p>
    <w:p w14:paraId="144D6DCE" w14:textId="5AEB0281" w:rsidR="001D7FA9" w:rsidRDefault="001D7FA9" w:rsidP="001D7FA9">
      <w:pPr>
        <w:pStyle w:val="SangriaFrancesaArticulo"/>
      </w:pPr>
      <w:r w:rsidRPr="001D7FA9">
        <w:rPr>
          <w:rStyle w:val="TextoNormalNegritaCaracter"/>
        </w:rPr>
        <w:t>Artículo 48.6</w:t>
      </w:r>
      <w:r>
        <w:t xml:space="preserve"> (redactado por el Real Decreto-ley 6/2019, de 1 de marzo)</w:t>
      </w:r>
      <w:r w:rsidRPr="001D7FA9">
        <w:rPr>
          <w:rStyle w:val="TextoNormalNegritaCaracter"/>
        </w:rPr>
        <w:t>.</w:t>
      </w:r>
      <w:r w:rsidRPr="001D7FA9">
        <w:rPr>
          <w:rStyle w:val="TextoNormalCaracter"/>
        </w:rPr>
        <w:t>-</w:t>
      </w:r>
      <w:r>
        <w:t xml:space="preserve"> Autos </w:t>
      </w:r>
      <w:hyperlink w:anchor="AUTO_2025_10" w:history="1">
        <w:r w:rsidRPr="001D7FA9">
          <w:rPr>
            <w:rStyle w:val="TextoNormalCaracter"/>
          </w:rPr>
          <w:t>10/2025</w:t>
        </w:r>
      </w:hyperlink>
      <w:r>
        <w:t xml:space="preserve">; </w:t>
      </w:r>
      <w:hyperlink w:anchor="AUTO_2025_55" w:history="1">
        <w:r w:rsidRPr="001D7FA9">
          <w:rPr>
            <w:rStyle w:val="TextoNormalCaracter"/>
          </w:rPr>
          <w:t>55/2025</w:t>
        </w:r>
      </w:hyperlink>
      <w:r>
        <w:t>.</w:t>
      </w:r>
    </w:p>
    <w:p w14:paraId="1F62CD79" w14:textId="2C715EC5" w:rsidR="001D7FA9" w:rsidRDefault="001D7FA9" w:rsidP="001D7FA9">
      <w:pPr>
        <w:pStyle w:val="SangriaFrancesaArticulo"/>
      </w:pPr>
    </w:p>
    <w:p w14:paraId="698E1298" w14:textId="77777777" w:rsidR="001D7FA9" w:rsidRDefault="001D7FA9" w:rsidP="001D7FA9">
      <w:pPr>
        <w:pStyle w:val="TextoNormalNegritaCursivandice"/>
        <w:keepNext/>
      </w:pPr>
      <w:r>
        <w:t>Real Decreto Legislativo 8/2015, de 30 de octubre, por el que se aprueba el texto refundido de la Ley general de la Seguridad Social</w:t>
      </w:r>
    </w:p>
    <w:p w14:paraId="2A9620E8" w14:textId="7CDE70C9" w:rsidR="001D7FA9" w:rsidRDefault="001D7FA9" w:rsidP="001D7FA9">
      <w:pPr>
        <w:pStyle w:val="SangriaFrancesaArticulo"/>
      </w:pPr>
      <w:r w:rsidRPr="001D7FA9">
        <w:rPr>
          <w:rStyle w:val="TextoNormalNegritaCaracter"/>
        </w:rPr>
        <w:t>Artículo 177</w:t>
      </w:r>
      <w:r>
        <w:t xml:space="preserve"> (redactado por el Real Decreto-ley 6/2019, de 1 de marzo)</w:t>
      </w:r>
      <w:r w:rsidRPr="001D7FA9">
        <w:rPr>
          <w:rStyle w:val="TextoNormalNegritaCaracter"/>
        </w:rPr>
        <w:t>.</w:t>
      </w:r>
      <w:r w:rsidRPr="001D7FA9">
        <w:rPr>
          <w:rStyle w:val="TextoNormalCaracter"/>
        </w:rPr>
        <w:t>-</w:t>
      </w:r>
      <w:r>
        <w:t xml:space="preserve"> Autos </w:t>
      </w:r>
      <w:hyperlink w:anchor="AUTO_2025_10" w:history="1">
        <w:r w:rsidRPr="001D7FA9">
          <w:rPr>
            <w:rStyle w:val="TextoNormalCaracter"/>
          </w:rPr>
          <w:t>10/2025</w:t>
        </w:r>
      </w:hyperlink>
      <w:r>
        <w:t xml:space="preserve">; </w:t>
      </w:r>
      <w:hyperlink w:anchor="AUTO_2025_19" w:history="1">
        <w:r w:rsidRPr="001D7FA9">
          <w:rPr>
            <w:rStyle w:val="TextoNormalCaracter"/>
          </w:rPr>
          <w:t>19/2025</w:t>
        </w:r>
      </w:hyperlink>
      <w:r>
        <w:t xml:space="preserve">; </w:t>
      </w:r>
      <w:hyperlink w:anchor="AUTO_2025_55" w:history="1">
        <w:r w:rsidRPr="001D7FA9">
          <w:rPr>
            <w:rStyle w:val="TextoNormalCaracter"/>
          </w:rPr>
          <w:t>55/2025</w:t>
        </w:r>
      </w:hyperlink>
      <w:r>
        <w:t>.</w:t>
      </w:r>
    </w:p>
    <w:p w14:paraId="75B94DB8" w14:textId="60E77591" w:rsidR="001D7FA9" w:rsidRDefault="001D7FA9" w:rsidP="001D7FA9">
      <w:pPr>
        <w:pStyle w:val="SangriaFrancesaArticulo"/>
      </w:pPr>
    </w:p>
    <w:p w14:paraId="6D2AAAEE" w14:textId="77777777" w:rsidR="001D7FA9" w:rsidRDefault="001D7FA9" w:rsidP="001D7FA9">
      <w:pPr>
        <w:pStyle w:val="TextoNormalNegritaCursivandice"/>
        <w:keepNext/>
      </w:pPr>
      <w:r>
        <w:t>Real Decreto-ley 11/2020, de 31 de marzo, por el que se adoptan medidas urgentes complementarias en el ámbito social y económico para hacer frente al Covid-19</w:t>
      </w:r>
    </w:p>
    <w:p w14:paraId="67F0A1E7" w14:textId="4574C600" w:rsidR="001D7FA9" w:rsidRDefault="001D7FA9" w:rsidP="001D7FA9">
      <w:pPr>
        <w:pStyle w:val="SangriaFrancesaArticulo"/>
      </w:pPr>
      <w:r w:rsidRPr="001D7FA9">
        <w:rPr>
          <w:rStyle w:val="TextoNormalNegritaCaracter"/>
        </w:rPr>
        <w:t>Artículo 1.1</w:t>
      </w:r>
      <w:r>
        <w:t xml:space="preserve"> (redactado por el Real Decreto-ley 8/2023, de 27 de diciembre)</w:t>
      </w:r>
      <w:r w:rsidRPr="001D7FA9">
        <w:rPr>
          <w:rStyle w:val="TextoNormalNegritaCaracter"/>
        </w:rPr>
        <w:t>.</w:t>
      </w:r>
      <w:r w:rsidRPr="001D7FA9">
        <w:rPr>
          <w:rStyle w:val="TextoNormalCaracter"/>
        </w:rPr>
        <w:t>-</w:t>
      </w:r>
      <w:r>
        <w:t xml:space="preserve"> Auto </w:t>
      </w:r>
      <w:hyperlink w:anchor="AUTO_2025_13" w:history="1">
        <w:r w:rsidRPr="001D7FA9">
          <w:rPr>
            <w:rStyle w:val="TextoNormalCaracter"/>
          </w:rPr>
          <w:t>13/2025</w:t>
        </w:r>
      </w:hyperlink>
      <w:r>
        <w:t>.</w:t>
      </w:r>
    </w:p>
    <w:p w14:paraId="3C23A034" w14:textId="3DC5CA5A" w:rsidR="001D7FA9" w:rsidRDefault="001D7FA9" w:rsidP="001D7FA9">
      <w:pPr>
        <w:pStyle w:val="SangriaFrancesaArticulo"/>
      </w:pPr>
    </w:p>
    <w:p w14:paraId="04B8F59E" w14:textId="77777777" w:rsidR="001D7FA9" w:rsidRDefault="001D7FA9" w:rsidP="001D7FA9">
      <w:pPr>
        <w:pStyle w:val="TextoNormalNegritaCursivandice"/>
        <w:keepNext/>
      </w:pPr>
      <w:r>
        <w:t>Ley 20/2021, de 28 de diciembre, de medidas urgentes para la reducción de la temporalidad en el empleo público</w:t>
      </w:r>
    </w:p>
    <w:p w14:paraId="3691BFDF" w14:textId="4EBC929D" w:rsidR="001D7FA9" w:rsidRDefault="001D7FA9" w:rsidP="001D7FA9">
      <w:pPr>
        <w:pStyle w:val="SangriaFrancesaArticulo"/>
      </w:pPr>
      <w:r w:rsidRPr="001D7FA9">
        <w:rPr>
          <w:rStyle w:val="TextoNormalNegritaCaracter"/>
        </w:rPr>
        <w:t>Disposción adicional octava.</w:t>
      </w:r>
      <w:r w:rsidRPr="001D7FA9">
        <w:rPr>
          <w:rStyle w:val="TextoNormalCaracter"/>
        </w:rPr>
        <w:t>-</w:t>
      </w:r>
      <w:r>
        <w:t xml:space="preserve"> Sentencia </w:t>
      </w:r>
      <w:hyperlink w:anchor="SENTENCIA_2025_27" w:history="1">
        <w:r w:rsidRPr="001D7FA9">
          <w:rPr>
            <w:rStyle w:val="TextoNormalCaracter"/>
          </w:rPr>
          <w:t>27/2025</w:t>
        </w:r>
      </w:hyperlink>
      <w:r>
        <w:t>.</w:t>
      </w:r>
    </w:p>
    <w:p w14:paraId="366F7CE8" w14:textId="142C8746" w:rsidR="001D7FA9" w:rsidRDefault="001D7FA9" w:rsidP="001D7FA9">
      <w:pPr>
        <w:pStyle w:val="SangriaFrancesaArticulo"/>
      </w:pPr>
      <w:r w:rsidRPr="001D7FA9">
        <w:rPr>
          <w:rStyle w:val="TextoNormalNegritaCaracter"/>
        </w:rPr>
        <w:t>Disposición adicional sexta.</w:t>
      </w:r>
      <w:r w:rsidRPr="001D7FA9">
        <w:rPr>
          <w:rStyle w:val="TextoNormalCaracter"/>
        </w:rPr>
        <w:t>-</w:t>
      </w:r>
      <w:r>
        <w:t xml:space="preserve"> Sentencia </w:t>
      </w:r>
      <w:hyperlink w:anchor="SENTENCIA_2025_27" w:history="1">
        <w:r w:rsidRPr="001D7FA9">
          <w:rPr>
            <w:rStyle w:val="TextoNormalCaracter"/>
          </w:rPr>
          <w:t>27/2025</w:t>
        </w:r>
      </w:hyperlink>
      <w:r>
        <w:t>.</w:t>
      </w:r>
    </w:p>
    <w:p w14:paraId="55360847" w14:textId="14E87F7C" w:rsidR="001D7FA9" w:rsidRDefault="001D7FA9" w:rsidP="001D7FA9">
      <w:pPr>
        <w:pStyle w:val="SangriaFrancesaArticulo"/>
      </w:pPr>
    </w:p>
    <w:p w14:paraId="77EACFAE" w14:textId="77777777" w:rsidR="001D7FA9" w:rsidRDefault="001D7FA9" w:rsidP="001D7FA9">
      <w:pPr>
        <w:pStyle w:val="TextoNormalNegritaCursivandice"/>
        <w:keepNext/>
      </w:pPr>
      <w:r>
        <w:t>Ley 12/2023, de 24 de mayo, por el derecho a la vivienda</w:t>
      </w:r>
    </w:p>
    <w:p w14:paraId="683FD3E6" w14:textId="2D716A4D" w:rsidR="001D7FA9" w:rsidRDefault="001D7FA9" w:rsidP="001D7FA9">
      <w:pPr>
        <w:pStyle w:val="SangriaFrancesaArticulo"/>
      </w:pPr>
      <w:r w:rsidRPr="001D7FA9">
        <w:rPr>
          <w:rStyle w:val="TextoNormalNegritaCaracter"/>
        </w:rPr>
        <w:t>Artículo 15.1 b).</w:t>
      </w:r>
      <w:r w:rsidRPr="001D7FA9">
        <w:rPr>
          <w:rStyle w:val="TextoNormalCaracter"/>
        </w:rPr>
        <w:t>-</w:t>
      </w:r>
      <w:r>
        <w:t xml:space="preserve"> Sentencia </w:t>
      </w:r>
      <w:hyperlink w:anchor="SENTENCIA_2025_26" w:history="1">
        <w:r w:rsidRPr="001D7FA9">
          <w:rPr>
            <w:rStyle w:val="TextoNormalCaracter"/>
          </w:rPr>
          <w:t>26/2025</w:t>
        </w:r>
      </w:hyperlink>
      <w:r>
        <w:t>.</w:t>
      </w:r>
    </w:p>
    <w:p w14:paraId="7A175A9D" w14:textId="0F60FF43" w:rsidR="001D7FA9" w:rsidRDefault="001D7FA9" w:rsidP="001D7FA9">
      <w:pPr>
        <w:pStyle w:val="SangriaFrancesaArticulo"/>
      </w:pPr>
      <w:r w:rsidRPr="001D7FA9">
        <w:rPr>
          <w:rStyle w:val="TextoNormalNegritaCaracter"/>
        </w:rPr>
        <w:t>Artículo 15.1 c).</w:t>
      </w:r>
      <w:r w:rsidRPr="001D7FA9">
        <w:rPr>
          <w:rStyle w:val="TextoNormalCaracter"/>
        </w:rPr>
        <w:t>-</w:t>
      </w:r>
      <w:r>
        <w:t xml:space="preserve"> Sentencia </w:t>
      </w:r>
      <w:hyperlink w:anchor="SENTENCIA_2025_26" w:history="1">
        <w:r w:rsidRPr="001D7FA9">
          <w:rPr>
            <w:rStyle w:val="TextoNormalCaracter"/>
          </w:rPr>
          <w:t>26/2025</w:t>
        </w:r>
      </w:hyperlink>
      <w:r>
        <w:t>.</w:t>
      </w:r>
    </w:p>
    <w:p w14:paraId="443866DA" w14:textId="5626FE52" w:rsidR="001D7FA9" w:rsidRDefault="001D7FA9" w:rsidP="001D7FA9">
      <w:pPr>
        <w:pStyle w:val="SangriaFrancesaArticulo"/>
      </w:pPr>
      <w:r w:rsidRPr="001D7FA9">
        <w:rPr>
          <w:rStyle w:val="TextoNormalNegritaCaracter"/>
        </w:rPr>
        <w:t>Artículo 15.1 d).</w:t>
      </w:r>
      <w:r w:rsidRPr="001D7FA9">
        <w:rPr>
          <w:rStyle w:val="TextoNormalCaracter"/>
        </w:rPr>
        <w:t>-</w:t>
      </w:r>
      <w:r>
        <w:t xml:space="preserve"> Sentencia </w:t>
      </w:r>
      <w:hyperlink w:anchor="SENTENCIA_2025_26" w:history="1">
        <w:r w:rsidRPr="001D7FA9">
          <w:rPr>
            <w:rStyle w:val="TextoNormalCaracter"/>
          </w:rPr>
          <w:t>26/2025</w:t>
        </w:r>
      </w:hyperlink>
      <w:r>
        <w:t>.</w:t>
      </w:r>
    </w:p>
    <w:p w14:paraId="030EB0E9" w14:textId="02E9BC63" w:rsidR="001D7FA9" w:rsidRDefault="001D7FA9" w:rsidP="001D7FA9">
      <w:pPr>
        <w:pStyle w:val="SangriaFrancesaArticulo"/>
      </w:pPr>
      <w:r w:rsidRPr="001D7FA9">
        <w:rPr>
          <w:rStyle w:val="TextoNormalNegritaCaracter"/>
        </w:rPr>
        <w:t>Artículo 15.1 e).</w:t>
      </w:r>
      <w:r w:rsidRPr="001D7FA9">
        <w:rPr>
          <w:rStyle w:val="TextoNormalCaracter"/>
        </w:rPr>
        <w:t>-</w:t>
      </w:r>
      <w:r>
        <w:t xml:space="preserve"> Sentencia </w:t>
      </w:r>
      <w:hyperlink w:anchor="SENTENCIA_2025_26" w:history="1">
        <w:r w:rsidRPr="001D7FA9">
          <w:rPr>
            <w:rStyle w:val="TextoNormalCaracter"/>
          </w:rPr>
          <w:t>26/2025</w:t>
        </w:r>
      </w:hyperlink>
      <w:r>
        <w:t>.</w:t>
      </w:r>
    </w:p>
    <w:p w14:paraId="4D382E59" w14:textId="7A048D6A" w:rsidR="001D7FA9" w:rsidRDefault="001D7FA9" w:rsidP="001D7FA9">
      <w:pPr>
        <w:pStyle w:val="SangriaFrancesaArticulo"/>
      </w:pPr>
      <w:r w:rsidRPr="001D7FA9">
        <w:rPr>
          <w:rStyle w:val="TextoNormalNegritaCaracter"/>
        </w:rPr>
        <w:t>Artículo 16.1 d).</w:t>
      </w:r>
      <w:r w:rsidRPr="001D7FA9">
        <w:rPr>
          <w:rStyle w:val="TextoNormalCaracter"/>
        </w:rPr>
        <w:t>-</w:t>
      </w:r>
      <w:r>
        <w:t xml:space="preserve"> Sentencia </w:t>
      </w:r>
      <w:hyperlink w:anchor="SENTENCIA_2025_26" w:history="1">
        <w:r w:rsidRPr="001D7FA9">
          <w:rPr>
            <w:rStyle w:val="TextoNormalCaracter"/>
          </w:rPr>
          <w:t>26/2025</w:t>
        </w:r>
      </w:hyperlink>
      <w:r>
        <w:t>.</w:t>
      </w:r>
    </w:p>
    <w:p w14:paraId="11A01BFE" w14:textId="532453FB"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Sentencia </w:t>
      </w:r>
      <w:hyperlink w:anchor="SENTENCIA_2025_26" w:history="1">
        <w:r w:rsidRPr="001D7FA9">
          <w:rPr>
            <w:rStyle w:val="TextoNormalCaracter"/>
          </w:rPr>
          <w:t>26/2025</w:t>
        </w:r>
      </w:hyperlink>
      <w:r>
        <w:t>.</w:t>
      </w:r>
    </w:p>
    <w:p w14:paraId="73E397A2" w14:textId="6D66F0EE" w:rsidR="001D7FA9" w:rsidRDefault="001D7FA9" w:rsidP="001D7FA9">
      <w:pPr>
        <w:pStyle w:val="SangriaFrancesaArticulo"/>
      </w:pPr>
      <w:r w:rsidRPr="001D7FA9">
        <w:rPr>
          <w:rStyle w:val="TextoNormalNegritaCaracter"/>
        </w:rPr>
        <w:t>Artículo 18.3.</w:t>
      </w:r>
      <w:r w:rsidRPr="001D7FA9">
        <w:rPr>
          <w:rStyle w:val="TextoNormalCaracter"/>
        </w:rPr>
        <w:t>-</w:t>
      </w:r>
      <w:r>
        <w:t xml:space="preserve"> Sentencia </w:t>
      </w:r>
      <w:hyperlink w:anchor="SENTENCIA_2025_26" w:history="1">
        <w:r w:rsidRPr="001D7FA9">
          <w:rPr>
            <w:rStyle w:val="TextoNormalCaracter"/>
          </w:rPr>
          <w:t>26/2025</w:t>
        </w:r>
      </w:hyperlink>
      <w:r>
        <w:t>.</w:t>
      </w:r>
    </w:p>
    <w:p w14:paraId="0D6361A2" w14:textId="4C3BB11C" w:rsidR="001D7FA9" w:rsidRDefault="001D7FA9" w:rsidP="001D7FA9">
      <w:pPr>
        <w:pStyle w:val="SangriaFrancesaArticulo"/>
      </w:pPr>
      <w:r w:rsidRPr="001D7FA9">
        <w:rPr>
          <w:rStyle w:val="TextoNormalNegritaCaracter"/>
        </w:rPr>
        <w:t>Artículo 18.4.</w:t>
      </w:r>
      <w:r w:rsidRPr="001D7FA9">
        <w:rPr>
          <w:rStyle w:val="TextoNormalCaracter"/>
        </w:rPr>
        <w:t>-</w:t>
      </w:r>
      <w:r>
        <w:t xml:space="preserve"> Sentencia </w:t>
      </w:r>
      <w:hyperlink w:anchor="SENTENCIA_2025_26" w:history="1">
        <w:r w:rsidRPr="001D7FA9">
          <w:rPr>
            <w:rStyle w:val="TextoNormalCaracter"/>
          </w:rPr>
          <w:t>26/2025</w:t>
        </w:r>
      </w:hyperlink>
      <w:r>
        <w:t>.</w:t>
      </w:r>
    </w:p>
    <w:p w14:paraId="1F08497E" w14:textId="12E0B9A4" w:rsidR="001D7FA9" w:rsidRDefault="001D7FA9" w:rsidP="001D7FA9">
      <w:pPr>
        <w:pStyle w:val="SangriaFrancesaArticulo"/>
      </w:pPr>
      <w:r w:rsidRPr="001D7FA9">
        <w:rPr>
          <w:rStyle w:val="TextoNormalNegritaCaracter"/>
        </w:rPr>
        <w:t>Artículo 27.1.</w:t>
      </w:r>
      <w:r w:rsidRPr="001D7FA9">
        <w:rPr>
          <w:rStyle w:val="TextoNormalCaracter"/>
        </w:rPr>
        <w:t>-</w:t>
      </w:r>
      <w:r>
        <w:t xml:space="preserve"> Sentencia </w:t>
      </w:r>
      <w:hyperlink w:anchor="SENTENCIA_2025_26" w:history="1">
        <w:r w:rsidRPr="001D7FA9">
          <w:rPr>
            <w:rStyle w:val="TextoNormalCaracter"/>
          </w:rPr>
          <w:t>26/2025</w:t>
        </w:r>
      </w:hyperlink>
      <w:r>
        <w:t>.</w:t>
      </w:r>
    </w:p>
    <w:p w14:paraId="7A428C8D" w14:textId="2BDBABD5" w:rsidR="001D7FA9" w:rsidRDefault="001D7FA9" w:rsidP="001D7FA9">
      <w:pPr>
        <w:pStyle w:val="SangriaFrancesaArticulo"/>
      </w:pPr>
      <w:r w:rsidRPr="001D7FA9">
        <w:rPr>
          <w:rStyle w:val="TextoNormalNegritaCaracter"/>
        </w:rPr>
        <w:t>Artículo 27.3.</w:t>
      </w:r>
      <w:r w:rsidRPr="001D7FA9">
        <w:rPr>
          <w:rStyle w:val="TextoNormalCaracter"/>
        </w:rPr>
        <w:t>-</w:t>
      </w:r>
      <w:r>
        <w:t xml:space="preserve"> Sentencia </w:t>
      </w:r>
      <w:hyperlink w:anchor="SENTENCIA_2025_26" w:history="1">
        <w:r w:rsidRPr="001D7FA9">
          <w:rPr>
            <w:rStyle w:val="TextoNormalCaracter"/>
          </w:rPr>
          <w:t>26/2025</w:t>
        </w:r>
      </w:hyperlink>
      <w:r>
        <w:t>.</w:t>
      </w:r>
    </w:p>
    <w:p w14:paraId="2E198342" w14:textId="4388238E" w:rsidR="001D7FA9" w:rsidRDefault="001D7FA9" w:rsidP="001D7FA9">
      <w:pPr>
        <w:pStyle w:val="SangriaFrancesaArticulo"/>
      </w:pPr>
      <w:r w:rsidRPr="001D7FA9">
        <w:rPr>
          <w:rStyle w:val="TextoNormalNegritaCaracter"/>
        </w:rPr>
        <w:t>Artículo 28.1 b).</w:t>
      </w:r>
      <w:r w:rsidRPr="001D7FA9">
        <w:rPr>
          <w:rStyle w:val="TextoNormalCaracter"/>
        </w:rPr>
        <w:t>-</w:t>
      </w:r>
      <w:r>
        <w:t xml:space="preserve"> Sentencia </w:t>
      </w:r>
      <w:hyperlink w:anchor="SENTENCIA_2025_26" w:history="1">
        <w:r w:rsidRPr="001D7FA9">
          <w:rPr>
            <w:rStyle w:val="TextoNormalCaracter"/>
          </w:rPr>
          <w:t>26/2025</w:t>
        </w:r>
      </w:hyperlink>
      <w:r>
        <w:t>.</w:t>
      </w:r>
    </w:p>
    <w:p w14:paraId="523D4BDE" w14:textId="3400884E" w:rsidR="001D7FA9" w:rsidRDefault="001D7FA9" w:rsidP="001D7FA9">
      <w:pPr>
        <w:pStyle w:val="SangriaFrancesaArticulo"/>
      </w:pPr>
      <w:r w:rsidRPr="001D7FA9">
        <w:rPr>
          <w:rStyle w:val="TextoNormalNegritaCaracter"/>
        </w:rPr>
        <w:t>Artículo 28.1 c).</w:t>
      </w:r>
      <w:r w:rsidRPr="001D7FA9">
        <w:rPr>
          <w:rStyle w:val="TextoNormalCaracter"/>
        </w:rPr>
        <w:t>-</w:t>
      </w:r>
      <w:r>
        <w:t xml:space="preserve"> Sentencia </w:t>
      </w:r>
      <w:hyperlink w:anchor="SENTENCIA_2025_26" w:history="1">
        <w:r w:rsidRPr="001D7FA9">
          <w:rPr>
            <w:rStyle w:val="TextoNormalCaracter"/>
          </w:rPr>
          <w:t>26/2025</w:t>
        </w:r>
      </w:hyperlink>
      <w:r>
        <w:t>.</w:t>
      </w:r>
    </w:p>
    <w:p w14:paraId="406A2762" w14:textId="0012A287" w:rsidR="001D7FA9" w:rsidRDefault="001D7FA9" w:rsidP="001D7FA9">
      <w:pPr>
        <w:pStyle w:val="SangriaFrancesaArticulo"/>
      </w:pPr>
      <w:r w:rsidRPr="001D7FA9">
        <w:rPr>
          <w:rStyle w:val="TextoNormalNegritaCaracter"/>
        </w:rPr>
        <w:t>Artículo 28.1 d).</w:t>
      </w:r>
      <w:r w:rsidRPr="001D7FA9">
        <w:rPr>
          <w:rStyle w:val="TextoNormalCaracter"/>
        </w:rPr>
        <w:t>-</w:t>
      </w:r>
      <w:r>
        <w:t xml:space="preserve"> Sentencia </w:t>
      </w:r>
      <w:hyperlink w:anchor="SENTENCIA_2025_26" w:history="1">
        <w:r w:rsidRPr="001D7FA9">
          <w:rPr>
            <w:rStyle w:val="TextoNormalCaracter"/>
          </w:rPr>
          <w:t>26/2025</w:t>
        </w:r>
      </w:hyperlink>
      <w:r>
        <w:t>.</w:t>
      </w:r>
    </w:p>
    <w:p w14:paraId="000F2272" w14:textId="02ECC8DA" w:rsidR="001D7FA9" w:rsidRDefault="001D7FA9" w:rsidP="001D7FA9">
      <w:pPr>
        <w:pStyle w:val="SangriaFrancesaArticulo"/>
      </w:pPr>
      <w:r w:rsidRPr="001D7FA9">
        <w:rPr>
          <w:rStyle w:val="TextoNormalNegritaCaracter"/>
        </w:rPr>
        <w:t>Artículo 29.2.</w:t>
      </w:r>
      <w:r w:rsidRPr="001D7FA9">
        <w:rPr>
          <w:rStyle w:val="TextoNormalCaracter"/>
        </w:rPr>
        <w:t>-</w:t>
      </w:r>
      <w:r>
        <w:t xml:space="preserve"> Sentencia </w:t>
      </w:r>
      <w:hyperlink w:anchor="SENTENCIA_2025_26" w:history="1">
        <w:r w:rsidRPr="001D7FA9">
          <w:rPr>
            <w:rStyle w:val="TextoNormalCaracter"/>
          </w:rPr>
          <w:t>26/2025</w:t>
        </w:r>
      </w:hyperlink>
      <w:r>
        <w:t>.</w:t>
      </w:r>
    </w:p>
    <w:p w14:paraId="689921DD" w14:textId="7326EC77"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Sentencia </w:t>
      </w:r>
      <w:hyperlink w:anchor="SENTENCIA_2025_26" w:history="1">
        <w:r w:rsidRPr="001D7FA9">
          <w:rPr>
            <w:rStyle w:val="TextoNormalCaracter"/>
          </w:rPr>
          <w:t>26/2025</w:t>
        </w:r>
      </w:hyperlink>
      <w:r>
        <w:t>.</w:t>
      </w:r>
    </w:p>
    <w:p w14:paraId="129D4852" w14:textId="3B77880E" w:rsidR="001D7FA9" w:rsidRDefault="001D7FA9" w:rsidP="001D7FA9">
      <w:pPr>
        <w:pStyle w:val="SangriaFrancesaArticulo"/>
      </w:pPr>
      <w:r w:rsidRPr="001D7FA9">
        <w:rPr>
          <w:rStyle w:val="TextoNormalNegritaCaracter"/>
        </w:rPr>
        <w:t>Artículo 31.2.</w:t>
      </w:r>
      <w:r w:rsidRPr="001D7FA9">
        <w:rPr>
          <w:rStyle w:val="TextoNormalCaracter"/>
        </w:rPr>
        <w:t>-</w:t>
      </w:r>
      <w:r>
        <w:t xml:space="preserve"> Sentencia </w:t>
      </w:r>
      <w:hyperlink w:anchor="SENTENCIA_2025_26" w:history="1">
        <w:r w:rsidRPr="001D7FA9">
          <w:rPr>
            <w:rStyle w:val="TextoNormalCaracter"/>
          </w:rPr>
          <w:t>26/2025</w:t>
        </w:r>
      </w:hyperlink>
      <w:r>
        <w:t>.</w:t>
      </w:r>
    </w:p>
    <w:p w14:paraId="714D416A" w14:textId="1AA9EAAE" w:rsidR="001D7FA9" w:rsidRDefault="001D7FA9" w:rsidP="001D7FA9">
      <w:pPr>
        <w:pStyle w:val="SangriaFrancesaArticulo"/>
      </w:pPr>
      <w:r w:rsidRPr="001D7FA9">
        <w:rPr>
          <w:rStyle w:val="TextoNormalNegritaCaracter"/>
        </w:rPr>
        <w:t>Disposición adicional tercera.</w:t>
      </w:r>
      <w:r w:rsidRPr="001D7FA9">
        <w:rPr>
          <w:rStyle w:val="TextoNormalCaracter"/>
        </w:rPr>
        <w:t>-</w:t>
      </w:r>
      <w:r>
        <w:t xml:space="preserve"> Sentencia </w:t>
      </w:r>
      <w:hyperlink w:anchor="SENTENCIA_2025_26" w:history="1">
        <w:r w:rsidRPr="001D7FA9">
          <w:rPr>
            <w:rStyle w:val="TextoNormalCaracter"/>
          </w:rPr>
          <w:t>26/2025</w:t>
        </w:r>
      </w:hyperlink>
      <w:r>
        <w:t>.</w:t>
      </w:r>
    </w:p>
    <w:p w14:paraId="5E53630E" w14:textId="63A0417E" w:rsidR="001D7FA9" w:rsidRDefault="001D7FA9" w:rsidP="001D7FA9">
      <w:pPr>
        <w:pStyle w:val="SangriaFrancesaArticulo"/>
      </w:pPr>
      <w:r w:rsidRPr="001D7FA9">
        <w:rPr>
          <w:rStyle w:val="TextoNormalNegritaCaracter"/>
        </w:rPr>
        <w:t>Disposición final primera, apartado 3.</w:t>
      </w:r>
      <w:r w:rsidRPr="001D7FA9">
        <w:rPr>
          <w:rStyle w:val="TextoNormalCaracter"/>
        </w:rPr>
        <w:t>-</w:t>
      </w:r>
      <w:r>
        <w:t xml:space="preserve"> Sentencia </w:t>
      </w:r>
      <w:hyperlink w:anchor="SENTENCIA_2025_26" w:history="1">
        <w:r w:rsidRPr="001D7FA9">
          <w:rPr>
            <w:rStyle w:val="TextoNormalCaracter"/>
          </w:rPr>
          <w:t>26/2025</w:t>
        </w:r>
      </w:hyperlink>
      <w:r>
        <w:t>.</w:t>
      </w:r>
    </w:p>
    <w:p w14:paraId="710E83F4" w14:textId="1BBC9F6A" w:rsidR="001D7FA9" w:rsidRDefault="001D7FA9" w:rsidP="001D7FA9">
      <w:pPr>
        <w:pStyle w:val="SangriaFrancesaArticulo"/>
      </w:pPr>
      <w:r w:rsidRPr="001D7FA9">
        <w:rPr>
          <w:rStyle w:val="TextoNormalNegritaCaracter"/>
        </w:rPr>
        <w:t>Disposición final cuarta.</w:t>
      </w:r>
      <w:r w:rsidRPr="001D7FA9">
        <w:rPr>
          <w:rStyle w:val="TextoNormalCaracter"/>
        </w:rPr>
        <w:t>-</w:t>
      </w:r>
      <w:r>
        <w:t xml:space="preserve"> Sentencia </w:t>
      </w:r>
      <w:hyperlink w:anchor="SENTENCIA_2025_26" w:history="1">
        <w:r w:rsidRPr="001D7FA9">
          <w:rPr>
            <w:rStyle w:val="TextoNormalCaracter"/>
          </w:rPr>
          <w:t>26/2025</w:t>
        </w:r>
      </w:hyperlink>
      <w:r>
        <w:t>.</w:t>
      </w:r>
    </w:p>
    <w:p w14:paraId="66C16589" w14:textId="42DD0CD8" w:rsidR="001D7FA9" w:rsidRDefault="001D7FA9" w:rsidP="001D7FA9">
      <w:pPr>
        <w:pStyle w:val="SangriaFrancesaArticulo"/>
      </w:pPr>
      <w:r w:rsidRPr="001D7FA9">
        <w:rPr>
          <w:rStyle w:val="TextoNormalNegritaCaracter"/>
        </w:rPr>
        <w:t>Disposición final quinta, apartado 2.</w:t>
      </w:r>
      <w:r w:rsidRPr="001D7FA9">
        <w:rPr>
          <w:rStyle w:val="TextoNormalCaracter"/>
        </w:rPr>
        <w:t>-</w:t>
      </w:r>
      <w:r>
        <w:t xml:space="preserve"> Sentencia </w:t>
      </w:r>
      <w:hyperlink w:anchor="SENTENCIA_2025_26" w:history="1">
        <w:r w:rsidRPr="001D7FA9">
          <w:rPr>
            <w:rStyle w:val="TextoNormalCaracter"/>
          </w:rPr>
          <w:t>26/2025</w:t>
        </w:r>
      </w:hyperlink>
      <w:r>
        <w:t xml:space="preserve"> (declara inconstitucional).</w:t>
      </w:r>
    </w:p>
    <w:p w14:paraId="1CC34DCA" w14:textId="71AB0080" w:rsidR="001D7FA9" w:rsidRDefault="001D7FA9" w:rsidP="001D7FA9">
      <w:pPr>
        <w:pStyle w:val="SangriaFrancesaArticulo"/>
      </w:pPr>
      <w:r w:rsidRPr="001D7FA9">
        <w:rPr>
          <w:rStyle w:val="TextoNormalNegritaCaracter"/>
        </w:rPr>
        <w:t>Disposición final quinta, apartado 6.</w:t>
      </w:r>
      <w:r w:rsidRPr="001D7FA9">
        <w:rPr>
          <w:rStyle w:val="TextoNormalCaracter"/>
        </w:rPr>
        <w:t>-</w:t>
      </w:r>
      <w:r>
        <w:t xml:space="preserve"> Sentencia </w:t>
      </w:r>
      <w:hyperlink w:anchor="SENTENCIA_2025_26" w:history="1">
        <w:r w:rsidRPr="001D7FA9">
          <w:rPr>
            <w:rStyle w:val="TextoNormalCaracter"/>
          </w:rPr>
          <w:t>26/2025</w:t>
        </w:r>
      </w:hyperlink>
      <w:r>
        <w:t xml:space="preserve"> (declara inconstitucional).</w:t>
      </w:r>
    </w:p>
    <w:p w14:paraId="559F739D" w14:textId="61232806" w:rsidR="001D7FA9" w:rsidRDefault="001D7FA9" w:rsidP="001D7FA9">
      <w:pPr>
        <w:pStyle w:val="SangriaFrancesaArticulo"/>
      </w:pPr>
    </w:p>
    <w:p w14:paraId="70F547C7" w14:textId="77777777" w:rsidR="001D7FA9" w:rsidRDefault="001D7FA9" w:rsidP="001D7FA9">
      <w:pPr>
        <w:pStyle w:val="TextoNormalNegritaCursivandice"/>
        <w:keepNext/>
      </w:pPr>
      <w:r>
        <w:t>Reforma del Reglamento del Senado de 14 de noviembre de 2023 por la que se modifican los artículos 133 y 182</w:t>
      </w:r>
    </w:p>
    <w:p w14:paraId="53499C66" w14:textId="5A675652" w:rsidR="001D7FA9" w:rsidRDefault="001D7FA9" w:rsidP="001D7FA9">
      <w:pPr>
        <w:pStyle w:val="SangriaFrancesaArticulo"/>
      </w:pPr>
      <w:r w:rsidRPr="001D7FA9">
        <w:rPr>
          <w:rStyle w:val="TextoNormalNegritaCaracter"/>
        </w:rPr>
        <w:t>Artículo 133.2.</w:t>
      </w:r>
      <w:r w:rsidRPr="001D7FA9">
        <w:rPr>
          <w:rStyle w:val="TextoNormalCaracter"/>
        </w:rPr>
        <w:t>-</w:t>
      </w:r>
      <w:r>
        <w:t xml:space="preserve"> Sentencia </w:t>
      </w:r>
      <w:hyperlink w:anchor="SENTENCIA_2025_63" w:history="1">
        <w:r w:rsidRPr="001D7FA9">
          <w:rPr>
            <w:rStyle w:val="TextoNormalCaracter"/>
          </w:rPr>
          <w:t>63/2025</w:t>
        </w:r>
      </w:hyperlink>
      <w:r>
        <w:t xml:space="preserve"> (anula).</w:t>
      </w:r>
    </w:p>
    <w:p w14:paraId="13B148AF" w14:textId="133E2CCE" w:rsidR="001D7FA9" w:rsidRDefault="001D7FA9" w:rsidP="001D7FA9">
      <w:pPr>
        <w:pStyle w:val="SangriaFrancesaArticulo"/>
      </w:pPr>
    </w:p>
    <w:p w14:paraId="4C8C0D02" w14:textId="77777777" w:rsidR="001D7FA9" w:rsidRDefault="001D7FA9" w:rsidP="001D7FA9">
      <w:pPr>
        <w:pStyle w:val="TextoNormalNegritaCursivandice"/>
        <w:keepNext/>
      </w:pPr>
      <w:r>
        <w:t>Ley Orgánica 1/2024, de 10 de junio, de amnistía para la normalización institucional, política y social en Cataluña</w:t>
      </w:r>
    </w:p>
    <w:p w14:paraId="3712492D" w14:textId="4E40F4AB"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137" w:history="1">
        <w:r w:rsidRPr="001D7FA9">
          <w:rPr>
            <w:rStyle w:val="TextoNormalCaracter"/>
          </w:rPr>
          <w:t>137/2025</w:t>
        </w:r>
      </w:hyperlink>
      <w:r>
        <w:t>.</w:t>
      </w:r>
    </w:p>
    <w:p w14:paraId="6C35E786" w14:textId="42CFE1C3"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137" w:history="1">
        <w:r w:rsidRPr="001D7FA9">
          <w:rPr>
            <w:rStyle w:val="TextoNormalCaracter"/>
          </w:rPr>
          <w:t>137/2025</w:t>
        </w:r>
      </w:hyperlink>
      <w:r>
        <w:t xml:space="preserve"> (declara inconstitucional).</w:t>
      </w:r>
    </w:p>
    <w:p w14:paraId="015D9803" w14:textId="22BA20D2" w:rsidR="001D7FA9" w:rsidRDefault="001D7FA9" w:rsidP="001D7FA9">
      <w:pPr>
        <w:pStyle w:val="SangriaFrancesaArticulo"/>
      </w:pPr>
      <w:r w:rsidRPr="001D7FA9">
        <w:rPr>
          <w:rStyle w:val="TextoNormalNegritaCaracter"/>
        </w:rPr>
        <w:t>Artículo 1.3 párrafo segundo.</w:t>
      </w:r>
      <w:r w:rsidRPr="001D7FA9">
        <w:rPr>
          <w:rStyle w:val="TextoNormalCaracter"/>
        </w:rPr>
        <w:t>-</w:t>
      </w:r>
      <w:r>
        <w:t xml:space="preserve"> Sentencia </w:t>
      </w:r>
      <w:hyperlink w:anchor="SENTENCIA_2025_137" w:history="1">
        <w:r w:rsidRPr="001D7FA9">
          <w:rPr>
            <w:rStyle w:val="TextoNormalCaracter"/>
          </w:rPr>
          <w:t>137/2025</w:t>
        </w:r>
      </w:hyperlink>
      <w:r>
        <w:t xml:space="preserve"> (anula).</w:t>
      </w:r>
    </w:p>
    <w:p w14:paraId="7B3E47DD" w14:textId="04F7F3B3" w:rsidR="001D7FA9" w:rsidRDefault="001D7FA9" w:rsidP="001D7FA9">
      <w:pPr>
        <w:pStyle w:val="SangriaFrancesaArticulo"/>
      </w:pPr>
      <w:r w:rsidRPr="001D7FA9">
        <w:rPr>
          <w:rStyle w:val="TextoNormalNegritaCaracter"/>
        </w:rPr>
        <w:t>Artículo 2 a).</w:t>
      </w:r>
      <w:r w:rsidRPr="001D7FA9">
        <w:rPr>
          <w:rStyle w:val="TextoNormalCaracter"/>
        </w:rPr>
        <w:t>-</w:t>
      </w:r>
      <w:r>
        <w:t xml:space="preserve"> Sentencia </w:t>
      </w:r>
      <w:hyperlink w:anchor="SENTENCIA_2025_137" w:history="1">
        <w:r w:rsidRPr="001D7FA9">
          <w:rPr>
            <w:rStyle w:val="TextoNormalCaracter"/>
          </w:rPr>
          <w:t>137/2025</w:t>
        </w:r>
      </w:hyperlink>
      <w:r>
        <w:t>.</w:t>
      </w:r>
    </w:p>
    <w:p w14:paraId="3BF6AE35" w14:textId="424B25CA" w:rsidR="001D7FA9" w:rsidRDefault="001D7FA9" w:rsidP="001D7FA9">
      <w:pPr>
        <w:pStyle w:val="SangriaFrancesaArticulo"/>
      </w:pPr>
      <w:r w:rsidRPr="001D7FA9">
        <w:rPr>
          <w:rStyle w:val="TextoNormalNegritaCaracter"/>
        </w:rPr>
        <w:t>Artículo 2 c).</w:t>
      </w:r>
      <w:r w:rsidRPr="001D7FA9">
        <w:rPr>
          <w:rStyle w:val="TextoNormalCaracter"/>
        </w:rPr>
        <w:t>-</w:t>
      </w:r>
      <w:r>
        <w:t xml:space="preserve"> Sentencia </w:t>
      </w:r>
      <w:hyperlink w:anchor="SENTENCIA_2025_137" w:history="1">
        <w:r w:rsidRPr="001D7FA9">
          <w:rPr>
            <w:rStyle w:val="TextoNormalCaracter"/>
          </w:rPr>
          <w:t>137/2025</w:t>
        </w:r>
      </w:hyperlink>
      <w:r>
        <w:t>.</w:t>
      </w:r>
    </w:p>
    <w:p w14:paraId="47358152" w14:textId="0CCAEFFD" w:rsidR="001D7FA9" w:rsidRDefault="001D7FA9" w:rsidP="001D7FA9">
      <w:pPr>
        <w:pStyle w:val="SangriaFrancesaArticulo"/>
      </w:pPr>
      <w:r w:rsidRPr="001D7FA9">
        <w:rPr>
          <w:rStyle w:val="TextoNormalNegritaCaracter"/>
        </w:rPr>
        <w:t>Artículo 2 d).</w:t>
      </w:r>
      <w:r w:rsidRPr="001D7FA9">
        <w:rPr>
          <w:rStyle w:val="TextoNormalCaracter"/>
        </w:rPr>
        <w:t>-</w:t>
      </w:r>
      <w:r>
        <w:t xml:space="preserve"> Sentencia </w:t>
      </w:r>
      <w:hyperlink w:anchor="SENTENCIA_2025_137" w:history="1">
        <w:r w:rsidRPr="001D7FA9">
          <w:rPr>
            <w:rStyle w:val="TextoNormalCaracter"/>
          </w:rPr>
          <w:t>137/2025</w:t>
        </w:r>
      </w:hyperlink>
      <w:r>
        <w:t>.</w:t>
      </w:r>
    </w:p>
    <w:p w14:paraId="7E19611B" w14:textId="2AB84F16" w:rsidR="001D7FA9" w:rsidRDefault="001D7FA9" w:rsidP="001D7FA9">
      <w:pPr>
        <w:pStyle w:val="SangriaFrancesaArticulo"/>
      </w:pPr>
      <w:r w:rsidRPr="001D7FA9">
        <w:rPr>
          <w:rStyle w:val="TextoNormalNegritaCaracter"/>
        </w:rPr>
        <w:t>Artículo 4 a).</w:t>
      </w:r>
      <w:r w:rsidRPr="001D7FA9">
        <w:rPr>
          <w:rStyle w:val="TextoNormalCaracter"/>
        </w:rPr>
        <w:t>-</w:t>
      </w:r>
      <w:r>
        <w:t xml:space="preserve"> Sentencia </w:t>
      </w:r>
      <w:hyperlink w:anchor="SENTENCIA_2025_137" w:history="1">
        <w:r w:rsidRPr="001D7FA9">
          <w:rPr>
            <w:rStyle w:val="TextoNormalCaracter"/>
          </w:rPr>
          <w:t>137/2025</w:t>
        </w:r>
      </w:hyperlink>
      <w:r>
        <w:t>.</w:t>
      </w:r>
    </w:p>
    <w:p w14:paraId="73083EC3" w14:textId="394E4EB8" w:rsidR="001D7FA9" w:rsidRDefault="001D7FA9" w:rsidP="001D7FA9">
      <w:pPr>
        <w:pStyle w:val="SangriaFrancesaArticulo"/>
      </w:pPr>
      <w:r w:rsidRPr="001D7FA9">
        <w:rPr>
          <w:rStyle w:val="TextoNormalNegritaCaracter"/>
        </w:rPr>
        <w:t>Artículo 4 b).</w:t>
      </w:r>
      <w:r w:rsidRPr="001D7FA9">
        <w:rPr>
          <w:rStyle w:val="TextoNormalCaracter"/>
        </w:rPr>
        <w:t>-</w:t>
      </w:r>
      <w:r>
        <w:t xml:space="preserve"> Sentencia </w:t>
      </w:r>
      <w:hyperlink w:anchor="SENTENCIA_2025_137" w:history="1">
        <w:r w:rsidRPr="001D7FA9">
          <w:rPr>
            <w:rStyle w:val="TextoNormalCaracter"/>
          </w:rPr>
          <w:t>137/2025</w:t>
        </w:r>
      </w:hyperlink>
      <w:r>
        <w:t>.</w:t>
      </w:r>
    </w:p>
    <w:p w14:paraId="442C5147" w14:textId="3762ECCE" w:rsidR="001D7FA9" w:rsidRDefault="001D7FA9" w:rsidP="001D7FA9">
      <w:pPr>
        <w:pStyle w:val="SangriaFrancesaArticulo"/>
      </w:pPr>
      <w:r w:rsidRPr="001D7FA9">
        <w:rPr>
          <w:rStyle w:val="TextoNormalNegritaCaracter"/>
        </w:rPr>
        <w:t>Artículo 4 d).</w:t>
      </w:r>
      <w:r w:rsidRPr="001D7FA9">
        <w:rPr>
          <w:rStyle w:val="TextoNormalCaracter"/>
        </w:rPr>
        <w:t>-</w:t>
      </w:r>
      <w:r>
        <w:t xml:space="preserve"> Sentencia </w:t>
      </w:r>
      <w:hyperlink w:anchor="SENTENCIA_2025_137" w:history="1">
        <w:r w:rsidRPr="001D7FA9">
          <w:rPr>
            <w:rStyle w:val="TextoNormalCaracter"/>
          </w:rPr>
          <w:t>137/2025</w:t>
        </w:r>
      </w:hyperlink>
      <w:r>
        <w:t>.</w:t>
      </w:r>
    </w:p>
    <w:p w14:paraId="5BBC0341" w14:textId="0A241CBF" w:rsidR="001D7FA9" w:rsidRDefault="001D7FA9" w:rsidP="001D7FA9">
      <w:pPr>
        <w:pStyle w:val="SangriaFrancesaArticulo"/>
      </w:pPr>
      <w:r w:rsidRPr="001D7FA9">
        <w:rPr>
          <w:rStyle w:val="TextoNormalNegritaCaracter"/>
        </w:rPr>
        <w:t>Artículo 7.2.</w:t>
      </w:r>
      <w:r w:rsidRPr="001D7FA9">
        <w:rPr>
          <w:rStyle w:val="TextoNormalCaracter"/>
        </w:rPr>
        <w:t>-</w:t>
      </w:r>
      <w:r>
        <w:t xml:space="preserve"> Sentencia </w:t>
      </w:r>
      <w:hyperlink w:anchor="SENTENCIA_2025_137" w:history="1">
        <w:r w:rsidRPr="001D7FA9">
          <w:rPr>
            <w:rStyle w:val="TextoNormalCaracter"/>
          </w:rPr>
          <w:t>137/2025</w:t>
        </w:r>
      </w:hyperlink>
      <w:r>
        <w:t>.</w:t>
      </w:r>
    </w:p>
    <w:p w14:paraId="13B96D50" w14:textId="4B66A906" w:rsidR="001D7FA9" w:rsidRDefault="001D7FA9" w:rsidP="001D7FA9">
      <w:pPr>
        <w:pStyle w:val="SangriaFrancesaArticulo"/>
      </w:pPr>
      <w:r w:rsidRPr="001D7FA9">
        <w:rPr>
          <w:rStyle w:val="TextoNormalNegritaCaracter"/>
        </w:rPr>
        <w:t>Artículo 8.2.</w:t>
      </w:r>
      <w:r w:rsidRPr="001D7FA9">
        <w:rPr>
          <w:rStyle w:val="TextoNormalCaracter"/>
        </w:rPr>
        <w:t>-</w:t>
      </w:r>
      <w:r>
        <w:t xml:space="preserve"> Sentencia </w:t>
      </w:r>
      <w:hyperlink w:anchor="SENTENCIA_2025_137" w:history="1">
        <w:r w:rsidRPr="001D7FA9">
          <w:rPr>
            <w:rStyle w:val="TextoNormalCaracter"/>
          </w:rPr>
          <w:t>137/2025</w:t>
        </w:r>
      </w:hyperlink>
      <w:r>
        <w:t>.</w:t>
      </w:r>
    </w:p>
    <w:p w14:paraId="4A7CC7A6" w14:textId="5164A2EC" w:rsidR="001D7FA9" w:rsidRDefault="001D7FA9" w:rsidP="001D7FA9">
      <w:pPr>
        <w:pStyle w:val="SangriaFrancesaArticulo"/>
      </w:pPr>
      <w:r w:rsidRPr="001D7FA9">
        <w:rPr>
          <w:rStyle w:val="TextoNormalNegritaCaracter"/>
        </w:rPr>
        <w:t>Artículo 10 párrafo segundo.</w:t>
      </w:r>
      <w:r w:rsidRPr="001D7FA9">
        <w:rPr>
          <w:rStyle w:val="TextoNormalCaracter"/>
        </w:rPr>
        <w:t>-</w:t>
      </w:r>
      <w:r>
        <w:t xml:space="preserve"> Sentencia </w:t>
      </w:r>
      <w:hyperlink w:anchor="SENTENCIA_2025_137" w:history="1">
        <w:r w:rsidRPr="001D7FA9">
          <w:rPr>
            <w:rStyle w:val="TextoNormalCaracter"/>
          </w:rPr>
          <w:t>137/2025</w:t>
        </w:r>
      </w:hyperlink>
      <w:r>
        <w:t>.</w:t>
      </w:r>
    </w:p>
    <w:p w14:paraId="7702933B" w14:textId="082D3AE1" w:rsidR="001D7FA9" w:rsidRDefault="001D7FA9" w:rsidP="001D7FA9">
      <w:pPr>
        <w:pStyle w:val="SangriaFrancesaArticulo"/>
      </w:pPr>
      <w:r w:rsidRPr="001D7FA9">
        <w:rPr>
          <w:rStyle w:val="TextoNormalNegritaCaracter"/>
        </w:rPr>
        <w:t>Artículo 11.2.</w:t>
      </w:r>
      <w:r w:rsidRPr="001D7FA9">
        <w:rPr>
          <w:rStyle w:val="TextoNormalCaracter"/>
        </w:rPr>
        <w:t>-</w:t>
      </w:r>
      <w:r>
        <w:t xml:space="preserve"> Sentencia </w:t>
      </w:r>
      <w:hyperlink w:anchor="SENTENCIA_2025_137" w:history="1">
        <w:r w:rsidRPr="001D7FA9">
          <w:rPr>
            <w:rStyle w:val="TextoNormalCaracter"/>
          </w:rPr>
          <w:t>137/2025</w:t>
        </w:r>
      </w:hyperlink>
      <w:r>
        <w:t>.</w:t>
      </w:r>
    </w:p>
    <w:p w14:paraId="15C0D3DA" w14:textId="7DE9EFFB"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Sentencia </w:t>
      </w:r>
      <w:hyperlink w:anchor="SENTENCIA_2025_137" w:history="1">
        <w:r w:rsidRPr="001D7FA9">
          <w:rPr>
            <w:rStyle w:val="TextoNormalCaracter"/>
          </w:rPr>
          <w:t>137/2025</w:t>
        </w:r>
      </w:hyperlink>
      <w:r>
        <w:t>.</w:t>
      </w:r>
    </w:p>
    <w:p w14:paraId="14895C82" w14:textId="67417CAE" w:rsidR="001D7FA9" w:rsidRDefault="001D7FA9" w:rsidP="001D7FA9">
      <w:pPr>
        <w:pStyle w:val="SangriaFrancesaArticulo"/>
      </w:pPr>
      <w:r w:rsidRPr="001D7FA9">
        <w:rPr>
          <w:rStyle w:val="TextoNormalNegritaCaracter"/>
        </w:rPr>
        <w:t>Artículo 13.2.</w:t>
      </w:r>
      <w:r w:rsidRPr="001D7FA9">
        <w:rPr>
          <w:rStyle w:val="TextoNormalCaracter"/>
        </w:rPr>
        <w:t>-</w:t>
      </w:r>
      <w:r>
        <w:t xml:space="preserve"> Sentencia </w:t>
      </w:r>
      <w:hyperlink w:anchor="SENTENCIA_2025_137" w:history="1">
        <w:r w:rsidRPr="001D7FA9">
          <w:rPr>
            <w:rStyle w:val="TextoNormalCaracter"/>
          </w:rPr>
          <w:t>137/2025</w:t>
        </w:r>
      </w:hyperlink>
      <w:r>
        <w:t xml:space="preserve"> (interpreta).</w:t>
      </w:r>
    </w:p>
    <w:p w14:paraId="4A221D51" w14:textId="35F7E438" w:rsidR="001D7FA9" w:rsidRDefault="001D7FA9" w:rsidP="001D7FA9">
      <w:pPr>
        <w:pStyle w:val="SangriaFrancesaArticulo"/>
      </w:pPr>
      <w:r w:rsidRPr="001D7FA9">
        <w:rPr>
          <w:rStyle w:val="TextoNormalNegritaCaracter"/>
        </w:rPr>
        <w:t>Artículo 13.3.</w:t>
      </w:r>
      <w:r w:rsidRPr="001D7FA9">
        <w:rPr>
          <w:rStyle w:val="TextoNormalCaracter"/>
        </w:rPr>
        <w:t>-</w:t>
      </w:r>
      <w:r>
        <w:t xml:space="preserve"> Sentencia </w:t>
      </w:r>
      <w:hyperlink w:anchor="SENTENCIA_2025_137" w:history="1">
        <w:r w:rsidRPr="001D7FA9">
          <w:rPr>
            <w:rStyle w:val="TextoNormalCaracter"/>
          </w:rPr>
          <w:t>137/2025</w:t>
        </w:r>
      </w:hyperlink>
      <w:r>
        <w:t xml:space="preserve"> (interpreta).</w:t>
      </w:r>
    </w:p>
    <w:p w14:paraId="3375FE6C" w14:textId="50AE4F39" w:rsidR="001D7FA9" w:rsidRDefault="001D7FA9" w:rsidP="001D7FA9">
      <w:pPr>
        <w:pStyle w:val="TextoNormal"/>
      </w:pPr>
    </w:p>
    <w:p w14:paraId="16183C38" w14:textId="77777777" w:rsidR="001D7FA9" w:rsidRDefault="001D7FA9" w:rsidP="001D7FA9">
      <w:pPr>
        <w:pStyle w:val="SangriaFrancesaArticulo"/>
      </w:pPr>
      <w:bookmarkStart w:id="208" w:name="INDICE22806"/>
    </w:p>
    <w:bookmarkEnd w:id="208"/>
    <w:p w14:paraId="635D514E" w14:textId="77777777" w:rsidR="001D7FA9" w:rsidRDefault="001D7FA9" w:rsidP="001D7FA9">
      <w:pPr>
        <w:pStyle w:val="TextoIndiceNivel2"/>
        <w:suppressAutoHyphens/>
      </w:pPr>
      <w:r>
        <w:t>B) Disposiciones con fuerza de ley de las Comunidades Autónomas</w:t>
      </w:r>
    </w:p>
    <w:p w14:paraId="2B39E87B" w14:textId="67989371" w:rsidR="001D7FA9" w:rsidRDefault="001D7FA9" w:rsidP="001D7FA9">
      <w:pPr>
        <w:pStyle w:val="TextoNormal"/>
      </w:pPr>
    </w:p>
    <w:p w14:paraId="73006E0C" w14:textId="77777777" w:rsidR="001D7FA9" w:rsidRDefault="001D7FA9" w:rsidP="001D7FA9">
      <w:pPr>
        <w:pStyle w:val="TextoNormalNegritaCentrado"/>
        <w:suppressAutoHyphens/>
      </w:pPr>
      <w:r w:rsidRPr="001D7FA9">
        <w:rPr>
          <w:rStyle w:val="TextoNormalNegritaCentradoSombreado"/>
        </w:rPr>
        <w:t>B.1) Andalucía</w:t>
      </w:r>
    </w:p>
    <w:p w14:paraId="18645A90" w14:textId="5CF30B2C" w:rsidR="001D7FA9" w:rsidRDefault="001D7FA9" w:rsidP="001D7FA9">
      <w:pPr>
        <w:pStyle w:val="TextoNormalNegritaCentrado"/>
      </w:pPr>
    </w:p>
    <w:p w14:paraId="4415DEC8" w14:textId="77777777" w:rsidR="001D7FA9" w:rsidRDefault="001D7FA9" w:rsidP="001D7FA9">
      <w:pPr>
        <w:pStyle w:val="TextoNormalNegritaCursivandice"/>
        <w:keepNext/>
      </w:pPr>
      <w:r>
        <w:t>Comunidad Autónoma de Andalucía. Decreto-ley 2/2020, de 9 de marzo, de mejora y simplificación de la regulación para el fomento de la actividad productiva de Andalucía</w:t>
      </w:r>
    </w:p>
    <w:p w14:paraId="04D3673F" w14:textId="214A6FD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w:t>
      </w:r>
    </w:p>
    <w:p w14:paraId="1FF82E82" w14:textId="2BC74484"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40" w:history="1">
        <w:r w:rsidRPr="001D7FA9">
          <w:rPr>
            <w:rStyle w:val="TextoNormalCaracter"/>
          </w:rPr>
          <w:t>40/2025</w:t>
        </w:r>
      </w:hyperlink>
      <w:r>
        <w:t xml:space="preserve"> (anula).</w:t>
      </w:r>
    </w:p>
    <w:p w14:paraId="24928091" w14:textId="63D3281D"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 </w:t>
      </w:r>
      <w:hyperlink w:anchor="SENTENCIA_2025_40" w:history="1">
        <w:r w:rsidRPr="001D7FA9">
          <w:rPr>
            <w:rStyle w:val="TextoNormalCaracter"/>
          </w:rPr>
          <w:t>40/2025</w:t>
        </w:r>
      </w:hyperlink>
      <w:r>
        <w:t xml:space="preserve"> (anula).</w:t>
      </w:r>
    </w:p>
    <w:p w14:paraId="07A4B2F7" w14:textId="6E1808BE" w:rsidR="001D7FA9" w:rsidRDefault="001D7FA9" w:rsidP="001D7FA9">
      <w:pPr>
        <w:pStyle w:val="SangriaFrancesaArticulo"/>
      </w:pPr>
      <w:r w:rsidRPr="001D7FA9">
        <w:rPr>
          <w:rStyle w:val="TextoNormalNegritaCaracter"/>
        </w:rPr>
        <w:t>Artículo 23.</w:t>
      </w:r>
      <w:r w:rsidRPr="001D7FA9">
        <w:rPr>
          <w:rStyle w:val="TextoNormalCaracter"/>
        </w:rPr>
        <w:t>-</w:t>
      </w:r>
      <w:r>
        <w:t xml:space="preserve"> Sentencia </w:t>
      </w:r>
      <w:hyperlink w:anchor="SENTENCIA_2025_40" w:history="1">
        <w:r w:rsidRPr="001D7FA9">
          <w:rPr>
            <w:rStyle w:val="TextoNormalCaracter"/>
          </w:rPr>
          <w:t>40/2025</w:t>
        </w:r>
      </w:hyperlink>
      <w:r>
        <w:t xml:space="preserve"> (anula).</w:t>
      </w:r>
    </w:p>
    <w:p w14:paraId="0BC77F34" w14:textId="2A9F0D5A" w:rsidR="001D7FA9" w:rsidRDefault="001D7FA9" w:rsidP="001D7FA9">
      <w:pPr>
        <w:pStyle w:val="SangriaFrancesaArticulo"/>
      </w:pPr>
      <w:r w:rsidRPr="001D7FA9">
        <w:rPr>
          <w:rStyle w:val="TextoNormalNegritaCaracter"/>
        </w:rPr>
        <w:t>Artículo 25.</w:t>
      </w:r>
      <w:r w:rsidRPr="001D7FA9">
        <w:rPr>
          <w:rStyle w:val="TextoNormalCaracter"/>
        </w:rPr>
        <w:t>-</w:t>
      </w:r>
      <w:r>
        <w:t xml:space="preserve"> Sentencia </w:t>
      </w:r>
      <w:hyperlink w:anchor="SENTENCIA_2025_40" w:history="1">
        <w:r w:rsidRPr="001D7FA9">
          <w:rPr>
            <w:rStyle w:val="TextoNormalCaracter"/>
          </w:rPr>
          <w:t>40/2025</w:t>
        </w:r>
      </w:hyperlink>
      <w:r>
        <w:t xml:space="preserve"> (anula).</w:t>
      </w:r>
    </w:p>
    <w:p w14:paraId="448A265B" w14:textId="02EE51DF" w:rsidR="001D7FA9" w:rsidRDefault="001D7FA9" w:rsidP="001D7FA9">
      <w:pPr>
        <w:pStyle w:val="SangriaFrancesaArticulo"/>
      </w:pPr>
    </w:p>
    <w:p w14:paraId="6FECD42E" w14:textId="77777777" w:rsidR="001D7FA9" w:rsidRDefault="001D7FA9" w:rsidP="001D7FA9">
      <w:pPr>
        <w:pStyle w:val="TextoNormalNegritaCursivandice"/>
        <w:keepNext/>
      </w:pPr>
      <w:r>
        <w:t>Comunidad Autónoma de Andalucía. Acuerdo de la Diputación Permanente del Parlamento de Andalucía de 2 de abril de 2020 por el que se convalida el Decreto-ley 2/2020, de 9 de marzo, de mejora y simplificación de la regulación para el fomento de la actividad productiva de Andalucía</w:t>
      </w:r>
    </w:p>
    <w:p w14:paraId="7847EEE8" w14:textId="75DE2EE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w:t>
      </w:r>
    </w:p>
    <w:p w14:paraId="4B70227A" w14:textId="27E7878D" w:rsidR="001D7FA9" w:rsidRDefault="001D7FA9" w:rsidP="001D7FA9">
      <w:pPr>
        <w:pStyle w:val="TextoNormal"/>
      </w:pPr>
    </w:p>
    <w:p w14:paraId="41202749" w14:textId="77777777" w:rsidR="001D7FA9" w:rsidRDefault="001D7FA9" w:rsidP="001D7FA9">
      <w:pPr>
        <w:pStyle w:val="TextoNormalNegritaCentrado"/>
        <w:suppressAutoHyphens/>
      </w:pPr>
      <w:r w:rsidRPr="001D7FA9">
        <w:rPr>
          <w:rStyle w:val="TextoNormalNegritaCentradoSombreado"/>
        </w:rPr>
        <w:t>B.2) Aragón</w:t>
      </w:r>
    </w:p>
    <w:p w14:paraId="7E058F1D" w14:textId="3650497E" w:rsidR="001D7FA9" w:rsidRDefault="001D7FA9" w:rsidP="001D7FA9">
      <w:pPr>
        <w:pStyle w:val="TextoNormalNegritaCentrado"/>
      </w:pPr>
    </w:p>
    <w:p w14:paraId="45310727" w14:textId="77777777" w:rsidR="001D7FA9" w:rsidRDefault="001D7FA9" w:rsidP="001D7FA9">
      <w:pPr>
        <w:pStyle w:val="TextoNormalNegritaCursivandice"/>
        <w:keepNext/>
      </w:pPr>
      <w:r>
        <w:t>Comunidad Autónoma de Aragón. Ley 3/2020, de 3 de diciembre, por la que se establece el régimen jurídico de alerta sanitaria para el control de la pandemia COVID-19 en Aragón</w:t>
      </w:r>
    </w:p>
    <w:p w14:paraId="7CC8CE9C" w14:textId="6BB6E59A"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Auto </w:t>
      </w:r>
      <w:hyperlink w:anchor="AUTO_2025_24" w:history="1">
        <w:r w:rsidRPr="001D7FA9">
          <w:rPr>
            <w:rStyle w:val="TextoNormalCaracter"/>
          </w:rPr>
          <w:t>24/2025</w:t>
        </w:r>
      </w:hyperlink>
      <w:r>
        <w:t>.</w:t>
      </w:r>
    </w:p>
    <w:p w14:paraId="02159874" w14:textId="19647CC6"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Auto </w:t>
      </w:r>
      <w:hyperlink w:anchor="AUTO_2025_24" w:history="1">
        <w:r w:rsidRPr="001D7FA9">
          <w:rPr>
            <w:rStyle w:val="TextoNormalCaracter"/>
          </w:rPr>
          <w:t>24/2025</w:t>
        </w:r>
      </w:hyperlink>
      <w:r>
        <w:t>.</w:t>
      </w:r>
    </w:p>
    <w:p w14:paraId="2E89847C" w14:textId="3C144889" w:rsidR="001D7FA9" w:rsidRDefault="001D7FA9" w:rsidP="001D7FA9">
      <w:pPr>
        <w:pStyle w:val="SangriaFrancesaArticulo"/>
      </w:pPr>
      <w:r w:rsidRPr="001D7FA9">
        <w:rPr>
          <w:rStyle w:val="TextoNormalNegritaCaracter"/>
        </w:rPr>
        <w:t>Artículo 17.4.</w:t>
      </w:r>
      <w:r w:rsidRPr="001D7FA9">
        <w:rPr>
          <w:rStyle w:val="TextoNormalCaracter"/>
        </w:rPr>
        <w:t>-</w:t>
      </w:r>
      <w:r>
        <w:t xml:space="preserve"> Auto </w:t>
      </w:r>
      <w:hyperlink w:anchor="AUTO_2025_24" w:history="1">
        <w:r w:rsidRPr="001D7FA9">
          <w:rPr>
            <w:rStyle w:val="TextoNormalCaracter"/>
          </w:rPr>
          <w:t>24/2025</w:t>
        </w:r>
      </w:hyperlink>
      <w:r>
        <w:t>.</w:t>
      </w:r>
    </w:p>
    <w:p w14:paraId="76AF7D44" w14:textId="1832BDFB" w:rsidR="001D7FA9" w:rsidRDefault="001D7FA9" w:rsidP="001D7FA9">
      <w:pPr>
        <w:pStyle w:val="SangriaFrancesaArticulo"/>
      </w:pPr>
      <w:r w:rsidRPr="001D7FA9">
        <w:rPr>
          <w:rStyle w:val="TextoNormalNegritaCaracter"/>
        </w:rPr>
        <w:t>Artículo 18.1.</w:t>
      </w:r>
      <w:r w:rsidRPr="001D7FA9">
        <w:rPr>
          <w:rStyle w:val="TextoNormalCaracter"/>
        </w:rPr>
        <w:t>-</w:t>
      </w:r>
      <w:r>
        <w:t xml:space="preserve"> Auto </w:t>
      </w:r>
      <w:hyperlink w:anchor="AUTO_2025_24" w:history="1">
        <w:r w:rsidRPr="001D7FA9">
          <w:rPr>
            <w:rStyle w:val="TextoNormalCaracter"/>
          </w:rPr>
          <w:t>24/2025</w:t>
        </w:r>
      </w:hyperlink>
      <w:r>
        <w:t>.</w:t>
      </w:r>
    </w:p>
    <w:p w14:paraId="5CA5B3A4" w14:textId="618B8F63"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Auto </w:t>
      </w:r>
      <w:hyperlink w:anchor="AUTO_2025_24" w:history="1">
        <w:r w:rsidRPr="001D7FA9">
          <w:rPr>
            <w:rStyle w:val="TextoNormalCaracter"/>
          </w:rPr>
          <w:t>24/2025</w:t>
        </w:r>
      </w:hyperlink>
      <w:r>
        <w:t>.</w:t>
      </w:r>
    </w:p>
    <w:p w14:paraId="267F5749" w14:textId="6CEF90B7" w:rsidR="001D7FA9" w:rsidRDefault="001D7FA9" w:rsidP="001D7FA9">
      <w:pPr>
        <w:pStyle w:val="SangriaFrancesaArticulo"/>
      </w:pPr>
      <w:r w:rsidRPr="001D7FA9">
        <w:rPr>
          <w:rStyle w:val="TextoNormalNegritaCaracter"/>
        </w:rPr>
        <w:t>Artículo 18.3.</w:t>
      </w:r>
      <w:r w:rsidRPr="001D7FA9">
        <w:rPr>
          <w:rStyle w:val="TextoNormalCaracter"/>
        </w:rPr>
        <w:t>-</w:t>
      </w:r>
      <w:r>
        <w:t xml:space="preserve"> Auto </w:t>
      </w:r>
      <w:hyperlink w:anchor="AUTO_2025_24" w:history="1">
        <w:r w:rsidRPr="001D7FA9">
          <w:rPr>
            <w:rStyle w:val="TextoNormalCaracter"/>
          </w:rPr>
          <w:t>24/2025</w:t>
        </w:r>
      </w:hyperlink>
      <w:r>
        <w:t>.</w:t>
      </w:r>
    </w:p>
    <w:p w14:paraId="75763A71" w14:textId="2EBA6128" w:rsidR="001D7FA9" w:rsidRDefault="001D7FA9" w:rsidP="001D7FA9">
      <w:pPr>
        <w:pStyle w:val="SangriaFrancesaArticulo"/>
      </w:pPr>
      <w:r w:rsidRPr="001D7FA9">
        <w:rPr>
          <w:rStyle w:val="TextoNormalNegritaCaracter"/>
        </w:rPr>
        <w:t>Artículo 19.1.</w:t>
      </w:r>
      <w:r w:rsidRPr="001D7FA9">
        <w:rPr>
          <w:rStyle w:val="TextoNormalCaracter"/>
        </w:rPr>
        <w:t>-</w:t>
      </w:r>
      <w:r>
        <w:t xml:space="preserve"> Auto </w:t>
      </w:r>
      <w:hyperlink w:anchor="AUTO_2025_24" w:history="1">
        <w:r w:rsidRPr="001D7FA9">
          <w:rPr>
            <w:rStyle w:val="TextoNormalCaracter"/>
          </w:rPr>
          <w:t>24/2025</w:t>
        </w:r>
      </w:hyperlink>
      <w:r>
        <w:t>.</w:t>
      </w:r>
    </w:p>
    <w:p w14:paraId="1E45AEA0" w14:textId="18FA8C83" w:rsidR="001D7FA9" w:rsidRDefault="001D7FA9" w:rsidP="001D7FA9">
      <w:pPr>
        <w:pStyle w:val="SangriaFrancesaArticulo"/>
      </w:pPr>
      <w:r w:rsidRPr="001D7FA9">
        <w:rPr>
          <w:rStyle w:val="TextoNormalNegritaCaracter"/>
        </w:rPr>
        <w:t>Artículo 28.</w:t>
      </w:r>
      <w:r w:rsidRPr="001D7FA9">
        <w:rPr>
          <w:rStyle w:val="TextoNormalCaracter"/>
        </w:rPr>
        <w:t>-</w:t>
      </w:r>
      <w:r>
        <w:t xml:space="preserve"> Auto </w:t>
      </w:r>
      <w:hyperlink w:anchor="AUTO_2025_24" w:history="1">
        <w:r w:rsidRPr="001D7FA9">
          <w:rPr>
            <w:rStyle w:val="TextoNormalCaracter"/>
          </w:rPr>
          <w:t>24/2025</w:t>
        </w:r>
      </w:hyperlink>
      <w:r>
        <w:t>.</w:t>
      </w:r>
    </w:p>
    <w:p w14:paraId="0B23C524" w14:textId="741CDC99" w:rsidR="001D7FA9" w:rsidRDefault="001D7FA9" w:rsidP="001D7FA9">
      <w:pPr>
        <w:pStyle w:val="SangriaFrancesaArticulo"/>
      </w:pPr>
      <w:r w:rsidRPr="001D7FA9">
        <w:rPr>
          <w:rStyle w:val="TextoNormalNegritaCaracter"/>
        </w:rPr>
        <w:t>Artículo 29 a).</w:t>
      </w:r>
      <w:r w:rsidRPr="001D7FA9">
        <w:rPr>
          <w:rStyle w:val="TextoNormalCaracter"/>
        </w:rPr>
        <w:t>-</w:t>
      </w:r>
      <w:r>
        <w:t xml:space="preserve"> Auto </w:t>
      </w:r>
      <w:hyperlink w:anchor="AUTO_2025_24" w:history="1">
        <w:r w:rsidRPr="001D7FA9">
          <w:rPr>
            <w:rStyle w:val="TextoNormalCaracter"/>
          </w:rPr>
          <w:t>24/2025</w:t>
        </w:r>
      </w:hyperlink>
      <w:r>
        <w:t>.</w:t>
      </w:r>
    </w:p>
    <w:p w14:paraId="105BE4B0" w14:textId="5832DD79" w:rsidR="001D7FA9" w:rsidRDefault="001D7FA9" w:rsidP="001D7FA9">
      <w:pPr>
        <w:pStyle w:val="SangriaFrancesaArticulo"/>
      </w:pPr>
      <w:r w:rsidRPr="001D7FA9">
        <w:rPr>
          <w:rStyle w:val="TextoNormalNegritaCaracter"/>
        </w:rPr>
        <w:t>Artículo 29 a6).</w:t>
      </w:r>
      <w:r w:rsidRPr="001D7FA9">
        <w:rPr>
          <w:rStyle w:val="TextoNormalCaracter"/>
        </w:rPr>
        <w:t>-</w:t>
      </w:r>
      <w:r>
        <w:t xml:space="preserve"> Auto </w:t>
      </w:r>
      <w:hyperlink w:anchor="AUTO_2025_24" w:history="1">
        <w:r w:rsidRPr="001D7FA9">
          <w:rPr>
            <w:rStyle w:val="TextoNormalCaracter"/>
          </w:rPr>
          <w:t>24/2025</w:t>
        </w:r>
      </w:hyperlink>
      <w:r>
        <w:t>.</w:t>
      </w:r>
    </w:p>
    <w:p w14:paraId="758DA6A0" w14:textId="4ABB6FCA"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Auto </w:t>
      </w:r>
      <w:hyperlink w:anchor="AUTO_2025_24" w:history="1">
        <w:r w:rsidRPr="001D7FA9">
          <w:rPr>
            <w:rStyle w:val="TextoNormalCaracter"/>
          </w:rPr>
          <w:t>24/2025</w:t>
        </w:r>
      </w:hyperlink>
      <w:r>
        <w:t>.</w:t>
      </w:r>
    </w:p>
    <w:p w14:paraId="3B39EE7E" w14:textId="13547619" w:rsidR="001D7FA9" w:rsidRDefault="001D7FA9" w:rsidP="001D7FA9">
      <w:pPr>
        <w:pStyle w:val="SangriaFrancesaArticulo"/>
      </w:pPr>
      <w:r w:rsidRPr="001D7FA9">
        <w:rPr>
          <w:rStyle w:val="TextoNormalNegritaCaracter"/>
        </w:rPr>
        <w:t>Anexo II.</w:t>
      </w:r>
      <w:r w:rsidRPr="001D7FA9">
        <w:rPr>
          <w:rStyle w:val="TextoNormalCaracter"/>
        </w:rPr>
        <w:t>-</w:t>
      </w:r>
      <w:r>
        <w:t xml:space="preserve"> Auto </w:t>
      </w:r>
      <w:hyperlink w:anchor="AUTO_2025_24" w:history="1">
        <w:r w:rsidRPr="001D7FA9">
          <w:rPr>
            <w:rStyle w:val="TextoNormalCaracter"/>
          </w:rPr>
          <w:t>24/2025</w:t>
        </w:r>
      </w:hyperlink>
      <w:r>
        <w:t>.</w:t>
      </w:r>
    </w:p>
    <w:p w14:paraId="3E90D0BA" w14:textId="54A43960" w:rsidR="001D7FA9" w:rsidRDefault="001D7FA9" w:rsidP="001D7FA9">
      <w:pPr>
        <w:pStyle w:val="SangriaFrancesaArticulo"/>
      </w:pPr>
    </w:p>
    <w:p w14:paraId="210E83C7" w14:textId="77777777" w:rsidR="001D7FA9" w:rsidRDefault="001D7FA9" w:rsidP="001D7FA9">
      <w:pPr>
        <w:pStyle w:val="TextoNormalNegritaCursivandice"/>
        <w:keepNext/>
      </w:pPr>
      <w:r>
        <w:t>Comunidad Autónoma de Aragón. Decreto-ley 4/2021, de 8 de julio, del Gobierno de Aragón, por el que se modifica la Ley 3/2020, de 3 de diciembre, por la que se establece el régimen jurídico de alerta sanitaria para el control de la pandemia COVID-19 en Aragón, para el establecimiento del nivel de alerta sanitaria 2 en la Comunidad Autónoma de Aragón</w:t>
      </w:r>
    </w:p>
    <w:p w14:paraId="51CAA34D" w14:textId="4761C6F0" w:rsidR="001D7FA9" w:rsidRDefault="001D7FA9" w:rsidP="001D7FA9">
      <w:pPr>
        <w:pStyle w:val="SangriaFrancesaArticulo"/>
      </w:pPr>
      <w:r w:rsidRPr="001D7FA9">
        <w:rPr>
          <w:rStyle w:val="TextoNormalNegritaCaracter"/>
        </w:rPr>
        <w:t>Artículo único. Dos.</w:t>
      </w:r>
      <w:r w:rsidRPr="001D7FA9">
        <w:rPr>
          <w:rStyle w:val="TextoNormalCaracter"/>
        </w:rPr>
        <w:t>-</w:t>
      </w:r>
      <w:r>
        <w:t xml:space="preserve"> Auto </w:t>
      </w:r>
      <w:hyperlink w:anchor="AUTO_2025_24" w:history="1">
        <w:r w:rsidRPr="001D7FA9">
          <w:rPr>
            <w:rStyle w:val="TextoNormalCaracter"/>
          </w:rPr>
          <w:t>24/2025</w:t>
        </w:r>
      </w:hyperlink>
      <w:r>
        <w:t>.</w:t>
      </w:r>
    </w:p>
    <w:p w14:paraId="341CE4B8" w14:textId="537F32BF" w:rsidR="001D7FA9" w:rsidRDefault="001D7FA9" w:rsidP="001D7FA9">
      <w:pPr>
        <w:pStyle w:val="TextoNormal"/>
      </w:pPr>
    </w:p>
    <w:p w14:paraId="5D27F8E1" w14:textId="77777777" w:rsidR="001D7FA9" w:rsidRDefault="001D7FA9" w:rsidP="001D7FA9">
      <w:pPr>
        <w:pStyle w:val="TextoNormalNegritaCentrado"/>
        <w:suppressAutoHyphens/>
      </w:pPr>
      <w:r w:rsidRPr="001D7FA9">
        <w:rPr>
          <w:rStyle w:val="TextoNormalNegritaCentradoSombreado"/>
        </w:rPr>
        <w:t>B.3) Baleares</w:t>
      </w:r>
    </w:p>
    <w:p w14:paraId="2CB42289" w14:textId="159DADF9" w:rsidR="001D7FA9" w:rsidRDefault="001D7FA9" w:rsidP="001D7FA9">
      <w:pPr>
        <w:pStyle w:val="TextoNormalNegritaCentrado"/>
      </w:pPr>
    </w:p>
    <w:p w14:paraId="39A0C533" w14:textId="77777777" w:rsidR="001D7FA9" w:rsidRDefault="001D7FA9" w:rsidP="001D7FA9">
      <w:pPr>
        <w:pStyle w:val="TextoNormalNegritaCursivandice"/>
        <w:keepNext/>
      </w:pPr>
      <w:r>
        <w:t>Comunidad Autónoma de las Illes Balears. Ley 3/2007, de 27 de marzo de la Función Pública de la Comunidad Autónoma de las Illes Balears</w:t>
      </w:r>
    </w:p>
    <w:p w14:paraId="0D6C7528" w14:textId="2C169693" w:rsidR="001D7FA9" w:rsidRDefault="001D7FA9" w:rsidP="001D7FA9">
      <w:pPr>
        <w:pStyle w:val="SangriaFrancesaArticulo"/>
      </w:pPr>
      <w:r w:rsidRPr="001D7FA9">
        <w:rPr>
          <w:rStyle w:val="TextoNormalNegritaCaracter"/>
        </w:rPr>
        <w:t>Artículo 59.2.</w:t>
      </w:r>
      <w:r w:rsidRPr="001D7FA9">
        <w:rPr>
          <w:rStyle w:val="TextoNormalCaracter"/>
        </w:rPr>
        <w:t>-</w:t>
      </w:r>
      <w:r>
        <w:t xml:space="preserve"> Auto </w:t>
      </w:r>
      <w:hyperlink w:anchor="AUTO_2025_32" w:history="1">
        <w:r w:rsidRPr="001D7FA9">
          <w:rPr>
            <w:rStyle w:val="TextoNormalCaracter"/>
          </w:rPr>
          <w:t>32/2025</w:t>
        </w:r>
      </w:hyperlink>
      <w:r>
        <w:t>.</w:t>
      </w:r>
    </w:p>
    <w:p w14:paraId="65F83152" w14:textId="7D890AB3" w:rsidR="001D7FA9" w:rsidRDefault="001D7FA9" w:rsidP="001D7FA9">
      <w:pPr>
        <w:pStyle w:val="SangriaFrancesaArticulo"/>
      </w:pPr>
    </w:p>
    <w:p w14:paraId="33AA771C" w14:textId="77777777" w:rsidR="001D7FA9" w:rsidRDefault="001D7FA9" w:rsidP="001D7FA9">
      <w:pPr>
        <w:pStyle w:val="TextoNormalNegritaCursivandice"/>
        <w:keepNext/>
      </w:pPr>
      <w:r>
        <w:t>Comunidad Autónoma de las Illes Balears. Decreto-ley 5/2023, de 28 de agosto, de medidas urgentes en el ámbito educativo y en el sanitario</w:t>
      </w:r>
    </w:p>
    <w:p w14:paraId="72EF9C4E" w14:textId="68F08186" w:rsidR="001D7FA9" w:rsidRDefault="001D7FA9" w:rsidP="001D7FA9">
      <w:pPr>
        <w:pStyle w:val="SangriaFrancesaArticulo"/>
      </w:pPr>
      <w:r w:rsidRPr="001D7FA9">
        <w:rPr>
          <w:rStyle w:val="TextoNormalNegritaCaracter"/>
        </w:rPr>
        <w:t>Disposición derogatoria única, inciso “y de la Ley 4/2016, de 6 de abril, de medidas de capacitación lingüística para la recuperación del uso del catalán en el ámbito de la función pública”.</w:t>
      </w:r>
      <w:r w:rsidRPr="001D7FA9">
        <w:rPr>
          <w:rStyle w:val="TextoNormalCaracter"/>
        </w:rPr>
        <w:t>-</w:t>
      </w:r>
      <w:r>
        <w:t xml:space="preserve"> Sentencia </w:t>
      </w:r>
      <w:hyperlink w:anchor="SENTENCIA_2025_118" w:history="1">
        <w:r w:rsidRPr="001D7FA9">
          <w:rPr>
            <w:rStyle w:val="TextoNormalCaracter"/>
          </w:rPr>
          <w:t>118/2025</w:t>
        </w:r>
      </w:hyperlink>
      <w:r>
        <w:t>.</w:t>
      </w:r>
    </w:p>
    <w:p w14:paraId="213D6DCA" w14:textId="04183E44" w:rsidR="001D7FA9" w:rsidRDefault="001D7FA9" w:rsidP="001D7FA9">
      <w:pPr>
        <w:pStyle w:val="SangriaFrancesaArticulo"/>
      </w:pPr>
      <w:r w:rsidRPr="001D7FA9">
        <w:rPr>
          <w:rStyle w:val="TextoNormalNegritaCaracter"/>
        </w:rPr>
        <w:t>Disposición final segunda.</w:t>
      </w:r>
      <w:r w:rsidRPr="001D7FA9">
        <w:rPr>
          <w:rStyle w:val="TextoNormalCaracter"/>
        </w:rPr>
        <w:t>-</w:t>
      </w:r>
      <w:r>
        <w:t xml:space="preserve"> Sentencia </w:t>
      </w:r>
      <w:hyperlink w:anchor="SENTENCIA_2025_118" w:history="1">
        <w:r w:rsidRPr="001D7FA9">
          <w:rPr>
            <w:rStyle w:val="TextoNormalCaracter"/>
          </w:rPr>
          <w:t>118/2025</w:t>
        </w:r>
      </w:hyperlink>
      <w:r>
        <w:t>.</w:t>
      </w:r>
    </w:p>
    <w:p w14:paraId="11D8A14E" w14:textId="3EB0D739" w:rsidR="001D7FA9" w:rsidRDefault="001D7FA9" w:rsidP="001D7FA9">
      <w:pPr>
        <w:pStyle w:val="TextoNormal"/>
      </w:pPr>
    </w:p>
    <w:p w14:paraId="5EA12060" w14:textId="77777777" w:rsidR="001D7FA9" w:rsidRDefault="001D7FA9" w:rsidP="001D7FA9">
      <w:pPr>
        <w:pStyle w:val="TextoNormalNegritaCentrado"/>
        <w:suppressAutoHyphens/>
      </w:pPr>
      <w:r w:rsidRPr="001D7FA9">
        <w:rPr>
          <w:rStyle w:val="TextoNormalNegritaCentradoSombreado"/>
        </w:rPr>
        <w:t>B.4) Canarias</w:t>
      </w:r>
    </w:p>
    <w:p w14:paraId="3163E3CF" w14:textId="60274C25" w:rsidR="001D7FA9" w:rsidRDefault="001D7FA9" w:rsidP="001D7FA9">
      <w:pPr>
        <w:pStyle w:val="TextoNormalNegritaCentrado"/>
      </w:pPr>
    </w:p>
    <w:p w14:paraId="4BA22873" w14:textId="77777777" w:rsidR="001D7FA9" w:rsidRDefault="001D7FA9" w:rsidP="001D7FA9">
      <w:pPr>
        <w:pStyle w:val="TextoNormalNegritaCursivandice"/>
        <w:keepNext/>
      </w:pPr>
      <w:r>
        <w:t>Comunidad Autónoma de Canarias. Decreto-ley 11/2021, de 2 de septiembre, por el que se establece el régimen jurídico de alerta sanitaria y las medidas para el control y gestión de la pandemia de COVID-19 en Canarias</w:t>
      </w:r>
    </w:p>
    <w:p w14:paraId="4E824A49" w14:textId="78EC5B2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5" w:history="1">
        <w:r w:rsidRPr="001D7FA9">
          <w:rPr>
            <w:rStyle w:val="TextoNormalCaracter"/>
          </w:rPr>
          <w:t>95/2025</w:t>
        </w:r>
      </w:hyperlink>
      <w:r>
        <w:t xml:space="preserve"> (anula parcialmente).</w:t>
      </w:r>
    </w:p>
    <w:p w14:paraId="6AF34B7C" w14:textId="795CBBC9"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95" w:history="1">
        <w:r w:rsidRPr="001D7FA9">
          <w:rPr>
            <w:rStyle w:val="TextoNormalCaracter"/>
          </w:rPr>
          <w:t>95/2025</w:t>
        </w:r>
      </w:hyperlink>
      <w:r>
        <w:t>.</w:t>
      </w:r>
    </w:p>
    <w:p w14:paraId="435CB225" w14:textId="6B4C86C7"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95" w:history="1">
        <w:r w:rsidRPr="001D7FA9">
          <w:rPr>
            <w:rStyle w:val="TextoNormalCaracter"/>
          </w:rPr>
          <w:t>95/2025</w:t>
        </w:r>
      </w:hyperlink>
      <w:r>
        <w:t>.</w:t>
      </w:r>
    </w:p>
    <w:p w14:paraId="3767943D" w14:textId="1E223533"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Sentencia </w:t>
      </w:r>
      <w:hyperlink w:anchor="SENTENCIA_2025_95" w:history="1">
        <w:r w:rsidRPr="001D7FA9">
          <w:rPr>
            <w:rStyle w:val="TextoNormalCaracter"/>
          </w:rPr>
          <w:t>95/2025</w:t>
        </w:r>
      </w:hyperlink>
      <w:r>
        <w:t>.</w:t>
      </w:r>
    </w:p>
    <w:p w14:paraId="14F19C46" w14:textId="013E49ED" w:rsidR="001D7FA9" w:rsidRDefault="001D7FA9" w:rsidP="001D7FA9">
      <w:pPr>
        <w:pStyle w:val="SangriaFrancesaArticulo"/>
      </w:pPr>
      <w:r w:rsidRPr="001D7FA9">
        <w:rPr>
          <w:rStyle w:val="TextoNormalNegritaCaracter"/>
        </w:rPr>
        <w:t>Artículo 5.2.</w:t>
      </w:r>
      <w:r w:rsidRPr="001D7FA9">
        <w:rPr>
          <w:rStyle w:val="TextoNormalCaracter"/>
        </w:rPr>
        <w:t>-</w:t>
      </w:r>
      <w:r>
        <w:t xml:space="preserve"> Sentencia </w:t>
      </w:r>
      <w:hyperlink w:anchor="SENTENCIA_2025_95" w:history="1">
        <w:r w:rsidRPr="001D7FA9">
          <w:rPr>
            <w:rStyle w:val="TextoNormalCaracter"/>
          </w:rPr>
          <w:t>95/2025</w:t>
        </w:r>
      </w:hyperlink>
      <w:r>
        <w:t>.</w:t>
      </w:r>
    </w:p>
    <w:p w14:paraId="1A423182" w14:textId="21C263C7"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 </w:t>
      </w:r>
      <w:hyperlink w:anchor="SENTENCIA_2025_95" w:history="1">
        <w:r w:rsidRPr="001D7FA9">
          <w:rPr>
            <w:rStyle w:val="TextoNormalCaracter"/>
          </w:rPr>
          <w:t>95/2025</w:t>
        </w:r>
      </w:hyperlink>
      <w:r>
        <w:t>.</w:t>
      </w:r>
    </w:p>
    <w:p w14:paraId="66A04D0D" w14:textId="76C78E12" w:rsidR="001D7FA9" w:rsidRDefault="001D7FA9" w:rsidP="001D7FA9">
      <w:pPr>
        <w:pStyle w:val="SangriaFrancesaArticulo"/>
      </w:pPr>
      <w:r w:rsidRPr="001D7FA9">
        <w:rPr>
          <w:rStyle w:val="TextoNormalNegritaCaracter"/>
        </w:rPr>
        <w:t>Artículo 6.1 inciso "incluyendo el cumplimiento del aislamiento o cuarentena prescritos por un profesional sanitario".</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083B8179" w14:textId="6732CC69" w:rsidR="001D7FA9" w:rsidRDefault="001D7FA9" w:rsidP="001D7FA9">
      <w:pPr>
        <w:pStyle w:val="SangriaFrancesaArticulo"/>
      </w:pPr>
      <w:r w:rsidRPr="001D7FA9">
        <w:rPr>
          <w:rStyle w:val="TextoNormalNegritaCaracter"/>
        </w:rPr>
        <w:t>Artículo 6.2.</w:t>
      </w:r>
      <w:r w:rsidRPr="001D7FA9">
        <w:rPr>
          <w:rStyle w:val="TextoNormalCaracter"/>
        </w:rPr>
        <w:t>-</w:t>
      </w:r>
      <w:r>
        <w:t xml:space="preserve"> Sentencia </w:t>
      </w:r>
      <w:hyperlink w:anchor="SENTENCIA_2025_95" w:history="1">
        <w:r w:rsidRPr="001D7FA9">
          <w:rPr>
            <w:rStyle w:val="TextoNormalCaracter"/>
          </w:rPr>
          <w:t>95/2025</w:t>
        </w:r>
      </w:hyperlink>
      <w:r>
        <w:t>.</w:t>
      </w:r>
    </w:p>
    <w:p w14:paraId="365B6B7F" w14:textId="3F40E9DC" w:rsidR="001D7FA9" w:rsidRDefault="001D7FA9" w:rsidP="001D7FA9">
      <w:pPr>
        <w:pStyle w:val="SangriaFrancesaArticulo"/>
      </w:pPr>
      <w:r w:rsidRPr="001D7FA9">
        <w:rPr>
          <w:rStyle w:val="TextoNormalNegritaCaracter"/>
        </w:rPr>
        <w:t>Artículo 6.2 inciso "permanecerá en su domicilio".</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779ABB4E" w14:textId="1E671470" w:rsidR="001D7FA9" w:rsidRDefault="001D7FA9" w:rsidP="001D7FA9">
      <w:pPr>
        <w:pStyle w:val="SangriaFrancesaArticulo"/>
      </w:pPr>
      <w:r w:rsidRPr="001D7FA9">
        <w:rPr>
          <w:rStyle w:val="TextoNormalNegritaCaracter"/>
        </w:rPr>
        <w:t>Artículo 7.4.</w:t>
      </w:r>
      <w:r w:rsidRPr="001D7FA9">
        <w:rPr>
          <w:rStyle w:val="TextoNormalCaracter"/>
        </w:rPr>
        <w:t>-</w:t>
      </w:r>
      <w:r>
        <w:t xml:space="preserve"> Sentencia </w:t>
      </w:r>
      <w:hyperlink w:anchor="SENTENCIA_2025_95" w:history="1">
        <w:r w:rsidRPr="001D7FA9">
          <w:rPr>
            <w:rStyle w:val="TextoNormalCaracter"/>
          </w:rPr>
          <w:t>95/2025</w:t>
        </w:r>
      </w:hyperlink>
      <w:r>
        <w:t>.</w:t>
      </w:r>
    </w:p>
    <w:p w14:paraId="412327BD" w14:textId="03AC76B7" w:rsidR="001D7FA9" w:rsidRDefault="001D7FA9" w:rsidP="001D7FA9">
      <w:pPr>
        <w:pStyle w:val="SangriaFrancesaArticulo"/>
      </w:pPr>
      <w:r w:rsidRPr="001D7FA9">
        <w:rPr>
          <w:rStyle w:val="TextoNormalNegritaCaracter"/>
        </w:rPr>
        <w:t>Artículo 9.1.</w:t>
      </w:r>
      <w:r w:rsidRPr="001D7FA9">
        <w:rPr>
          <w:rStyle w:val="TextoNormalCaracter"/>
        </w:rPr>
        <w:t>-</w:t>
      </w:r>
      <w:r>
        <w:t xml:space="preserve"> Sentencia </w:t>
      </w:r>
      <w:hyperlink w:anchor="SENTENCIA_2025_95" w:history="1">
        <w:r w:rsidRPr="001D7FA9">
          <w:rPr>
            <w:rStyle w:val="TextoNormalCaracter"/>
          </w:rPr>
          <w:t>95/2025</w:t>
        </w:r>
      </w:hyperlink>
      <w:r>
        <w:t>.</w:t>
      </w:r>
    </w:p>
    <w:p w14:paraId="11F4A732" w14:textId="64560B56" w:rsidR="001D7FA9" w:rsidRDefault="001D7FA9" w:rsidP="001D7FA9">
      <w:pPr>
        <w:pStyle w:val="SangriaFrancesaArticulo"/>
      </w:pPr>
      <w:r w:rsidRPr="001D7FA9">
        <w:rPr>
          <w:rStyle w:val="TextoNormalNegritaCaracter"/>
        </w:rPr>
        <w:t>Artículo 12.1 a).</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614162A5" w14:textId="73017D41" w:rsidR="001D7FA9" w:rsidRDefault="001D7FA9" w:rsidP="001D7FA9">
      <w:pPr>
        <w:pStyle w:val="SangriaFrancesaArticulo"/>
      </w:pPr>
      <w:r w:rsidRPr="001D7FA9">
        <w:rPr>
          <w:rStyle w:val="TextoNormalNegritaCaracter"/>
        </w:rPr>
        <w:t>Artículo 12.1 b).</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713D13E1" w14:textId="51AAAC91"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6380AFC3" w14:textId="51F7B564" w:rsidR="001D7FA9" w:rsidRDefault="001D7FA9" w:rsidP="001D7FA9">
      <w:pPr>
        <w:pStyle w:val="SangriaFrancesaArticulo"/>
      </w:pPr>
      <w:r w:rsidRPr="001D7FA9">
        <w:rPr>
          <w:rStyle w:val="TextoNormalNegritaCaracter"/>
        </w:rPr>
        <w:t>Artículo 12.3.</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2D312BF0" w14:textId="0C125B34" w:rsidR="001D7FA9" w:rsidRDefault="001D7FA9" w:rsidP="001D7FA9">
      <w:pPr>
        <w:pStyle w:val="SangriaFrancesaArticulo"/>
      </w:pPr>
      <w:r w:rsidRPr="001D7FA9">
        <w:rPr>
          <w:rStyle w:val="TextoNormalNegritaCaracter"/>
        </w:rPr>
        <w:t>Artículo 12.4.</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3FEE58A1" w14:textId="77633EA5" w:rsidR="001D7FA9" w:rsidRDefault="001D7FA9" w:rsidP="001D7FA9">
      <w:pPr>
        <w:pStyle w:val="SangriaFrancesaArticulo"/>
      </w:pPr>
      <w:r w:rsidRPr="001D7FA9">
        <w:rPr>
          <w:rStyle w:val="TextoNormalNegritaCaracter"/>
        </w:rPr>
        <w:t>Artículo 12.5.</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4768BE42" w14:textId="0A5CDBA5" w:rsidR="001D7FA9" w:rsidRDefault="001D7FA9" w:rsidP="001D7FA9">
      <w:pPr>
        <w:pStyle w:val="SangriaFrancesaArticulo"/>
      </w:pPr>
      <w:r w:rsidRPr="001D7FA9">
        <w:rPr>
          <w:rStyle w:val="TextoNormalNegritaCaracter"/>
        </w:rPr>
        <w:t>Artículo 12.6.</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65F30767" w14:textId="336BB5F2" w:rsidR="001D7FA9" w:rsidRDefault="001D7FA9" w:rsidP="001D7FA9">
      <w:pPr>
        <w:pStyle w:val="SangriaFrancesaArticulo"/>
      </w:pPr>
      <w:r w:rsidRPr="001D7FA9">
        <w:rPr>
          <w:rStyle w:val="TextoNormalNegritaCaracter"/>
        </w:rPr>
        <w:t>Artículo 12.7.</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42E275AA" w14:textId="69A41AC0" w:rsidR="001D7FA9" w:rsidRDefault="001D7FA9" w:rsidP="001D7FA9">
      <w:pPr>
        <w:pStyle w:val="SangriaFrancesaArticulo"/>
      </w:pPr>
      <w:r w:rsidRPr="001D7FA9">
        <w:rPr>
          <w:rStyle w:val="TextoNormalNegritaCaracter"/>
        </w:rPr>
        <w:t>Artículo 14.2.</w:t>
      </w:r>
      <w:r w:rsidRPr="001D7FA9">
        <w:rPr>
          <w:rStyle w:val="TextoNormalCaracter"/>
        </w:rPr>
        <w:t>-</w:t>
      </w:r>
      <w:r>
        <w:t xml:space="preserve"> Sentencia </w:t>
      </w:r>
      <w:hyperlink w:anchor="SENTENCIA_2025_95" w:history="1">
        <w:r w:rsidRPr="001D7FA9">
          <w:rPr>
            <w:rStyle w:val="TextoNormalCaracter"/>
          </w:rPr>
          <w:t>95/2025</w:t>
        </w:r>
      </w:hyperlink>
      <w:r>
        <w:t>.</w:t>
      </w:r>
    </w:p>
    <w:p w14:paraId="4FD3DF12" w14:textId="4827A242" w:rsidR="001D7FA9" w:rsidRDefault="001D7FA9" w:rsidP="001D7FA9">
      <w:pPr>
        <w:pStyle w:val="SangriaFrancesaArticulo"/>
      </w:pPr>
      <w:r w:rsidRPr="001D7FA9">
        <w:rPr>
          <w:rStyle w:val="TextoNormalNegritaCaracter"/>
        </w:rPr>
        <w:t>Artículo 14.2 párrafo 2.</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37141E55" w14:textId="2C40742D" w:rsidR="001D7FA9" w:rsidRDefault="001D7FA9" w:rsidP="001D7FA9">
      <w:pPr>
        <w:pStyle w:val="SangriaFrancesaArticulo"/>
      </w:pPr>
      <w:r w:rsidRPr="001D7FA9">
        <w:rPr>
          <w:rStyle w:val="TextoNormalNegritaCaracter"/>
        </w:rPr>
        <w:t>Artículo 14.2 párrafo 3.</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2B6504DF" w14:textId="5AFFA6DB" w:rsidR="001D7FA9" w:rsidRDefault="001D7FA9" w:rsidP="001D7FA9">
      <w:pPr>
        <w:pStyle w:val="SangriaFrancesaArticulo"/>
      </w:pPr>
      <w:r w:rsidRPr="001D7FA9">
        <w:rPr>
          <w:rStyle w:val="TextoNormalNegritaCaracter"/>
        </w:rPr>
        <w:t>Artículo 15.7.</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3ED5F65A" w14:textId="52D0B793" w:rsidR="001D7FA9" w:rsidRDefault="001D7FA9" w:rsidP="001D7FA9">
      <w:pPr>
        <w:pStyle w:val="SangriaFrancesaArticulo"/>
      </w:pPr>
      <w:r w:rsidRPr="001D7FA9">
        <w:rPr>
          <w:rStyle w:val="TextoNormalNegritaCaracter"/>
        </w:rPr>
        <w:t>Artículo 19.3.</w:t>
      </w:r>
      <w:r w:rsidRPr="001D7FA9">
        <w:rPr>
          <w:rStyle w:val="TextoNormalCaracter"/>
        </w:rPr>
        <w:t>-</w:t>
      </w:r>
      <w:r>
        <w:t xml:space="preserve"> Sentencia </w:t>
      </w:r>
      <w:hyperlink w:anchor="SENTENCIA_2025_95" w:history="1">
        <w:r w:rsidRPr="001D7FA9">
          <w:rPr>
            <w:rStyle w:val="TextoNormalCaracter"/>
          </w:rPr>
          <w:t>95/2025</w:t>
        </w:r>
      </w:hyperlink>
      <w:r>
        <w:t>.</w:t>
      </w:r>
    </w:p>
    <w:p w14:paraId="74684DE1" w14:textId="62556EE5" w:rsidR="001D7FA9" w:rsidRDefault="001D7FA9" w:rsidP="001D7FA9">
      <w:pPr>
        <w:pStyle w:val="SangriaFrancesaArticulo"/>
      </w:pPr>
      <w:r w:rsidRPr="001D7FA9">
        <w:rPr>
          <w:rStyle w:val="TextoNormalNegritaCaracter"/>
        </w:rPr>
        <w:t>Artículo 19.4.</w:t>
      </w:r>
      <w:r w:rsidRPr="001D7FA9">
        <w:rPr>
          <w:rStyle w:val="TextoNormalCaracter"/>
        </w:rPr>
        <w:t>-</w:t>
      </w:r>
      <w:r>
        <w:t xml:space="preserve"> Sentencia </w:t>
      </w:r>
      <w:hyperlink w:anchor="SENTENCIA_2025_95" w:history="1">
        <w:r w:rsidRPr="001D7FA9">
          <w:rPr>
            <w:rStyle w:val="TextoNormalCaracter"/>
          </w:rPr>
          <w:t>95/2025</w:t>
        </w:r>
      </w:hyperlink>
      <w:r>
        <w:t>.</w:t>
      </w:r>
    </w:p>
    <w:p w14:paraId="77656EE9" w14:textId="4A21FB25" w:rsidR="001D7FA9" w:rsidRDefault="001D7FA9" w:rsidP="001D7FA9">
      <w:pPr>
        <w:pStyle w:val="SangriaFrancesaArticulo"/>
      </w:pPr>
      <w:r w:rsidRPr="001D7FA9">
        <w:rPr>
          <w:rStyle w:val="TextoNormalNegritaCaracter"/>
        </w:rPr>
        <w:t>Artículo 21.3.</w:t>
      </w:r>
      <w:r w:rsidRPr="001D7FA9">
        <w:rPr>
          <w:rStyle w:val="TextoNormalCaracter"/>
        </w:rPr>
        <w:t>-</w:t>
      </w:r>
      <w:r>
        <w:t xml:space="preserve"> Sentencia </w:t>
      </w:r>
      <w:hyperlink w:anchor="SENTENCIA_2025_95" w:history="1">
        <w:r w:rsidRPr="001D7FA9">
          <w:rPr>
            <w:rStyle w:val="TextoNormalCaracter"/>
          </w:rPr>
          <w:t>95/2025</w:t>
        </w:r>
      </w:hyperlink>
      <w:r>
        <w:t>.</w:t>
      </w:r>
    </w:p>
    <w:p w14:paraId="0901AECC" w14:textId="0DE8C676" w:rsidR="001D7FA9" w:rsidRDefault="001D7FA9" w:rsidP="001D7FA9">
      <w:pPr>
        <w:pStyle w:val="SangriaFrancesaArticulo"/>
      </w:pPr>
      <w:r w:rsidRPr="001D7FA9">
        <w:rPr>
          <w:rStyle w:val="TextoNormalNegritaCaracter"/>
        </w:rPr>
        <w:t>Artículo 22.2.</w:t>
      </w:r>
      <w:r w:rsidRPr="001D7FA9">
        <w:rPr>
          <w:rStyle w:val="TextoNormalCaracter"/>
        </w:rPr>
        <w:t>-</w:t>
      </w:r>
      <w:r>
        <w:t xml:space="preserve"> Sentencia </w:t>
      </w:r>
      <w:hyperlink w:anchor="SENTENCIA_2025_95" w:history="1">
        <w:r w:rsidRPr="001D7FA9">
          <w:rPr>
            <w:rStyle w:val="TextoNormalCaracter"/>
          </w:rPr>
          <w:t>95/2025</w:t>
        </w:r>
      </w:hyperlink>
      <w:r>
        <w:t>.</w:t>
      </w:r>
    </w:p>
    <w:p w14:paraId="518D20E5" w14:textId="5120A934" w:rsidR="001D7FA9" w:rsidRDefault="001D7FA9" w:rsidP="001D7FA9">
      <w:pPr>
        <w:pStyle w:val="SangriaFrancesaArticulo"/>
      </w:pPr>
      <w:r w:rsidRPr="001D7FA9">
        <w:rPr>
          <w:rStyle w:val="TextoNormalNegritaCaracter"/>
        </w:rPr>
        <w:t>Artículo 22.3.</w:t>
      </w:r>
      <w:r w:rsidRPr="001D7FA9">
        <w:rPr>
          <w:rStyle w:val="TextoNormalCaracter"/>
        </w:rPr>
        <w:t>-</w:t>
      </w:r>
      <w:r>
        <w:t xml:space="preserve"> Sentencia </w:t>
      </w:r>
      <w:hyperlink w:anchor="SENTENCIA_2025_95" w:history="1">
        <w:r w:rsidRPr="001D7FA9">
          <w:rPr>
            <w:rStyle w:val="TextoNormalCaracter"/>
          </w:rPr>
          <w:t>95/2025</w:t>
        </w:r>
      </w:hyperlink>
      <w:r>
        <w:t>.</w:t>
      </w:r>
    </w:p>
    <w:p w14:paraId="4E903354" w14:textId="5E00A7BE" w:rsidR="001D7FA9" w:rsidRDefault="001D7FA9" w:rsidP="001D7FA9">
      <w:pPr>
        <w:pStyle w:val="SangriaFrancesaArticulo"/>
      </w:pPr>
      <w:r w:rsidRPr="001D7FA9">
        <w:rPr>
          <w:rStyle w:val="TextoNormalNegritaCaracter"/>
        </w:rPr>
        <w:t>Artículo 22.4.</w:t>
      </w:r>
      <w:r w:rsidRPr="001D7FA9">
        <w:rPr>
          <w:rStyle w:val="TextoNormalCaracter"/>
        </w:rPr>
        <w:t>-</w:t>
      </w:r>
      <w:r>
        <w:t xml:space="preserve"> Sentencia </w:t>
      </w:r>
      <w:hyperlink w:anchor="SENTENCIA_2025_95" w:history="1">
        <w:r w:rsidRPr="001D7FA9">
          <w:rPr>
            <w:rStyle w:val="TextoNormalCaracter"/>
          </w:rPr>
          <w:t>95/2025</w:t>
        </w:r>
      </w:hyperlink>
      <w:r>
        <w:t>.</w:t>
      </w:r>
    </w:p>
    <w:p w14:paraId="5F6573D0" w14:textId="16E834A2" w:rsidR="001D7FA9" w:rsidRDefault="001D7FA9" w:rsidP="001D7FA9">
      <w:pPr>
        <w:pStyle w:val="SangriaFrancesaArticulo"/>
      </w:pPr>
      <w:r w:rsidRPr="001D7FA9">
        <w:rPr>
          <w:rStyle w:val="TextoNormalNegritaCaracter"/>
        </w:rPr>
        <w:t>Artículo 23.1.</w:t>
      </w:r>
      <w:r w:rsidRPr="001D7FA9">
        <w:rPr>
          <w:rStyle w:val="TextoNormalCaracter"/>
        </w:rPr>
        <w:t>-</w:t>
      </w:r>
      <w:r>
        <w:t xml:space="preserve"> Sentencia </w:t>
      </w:r>
      <w:hyperlink w:anchor="SENTENCIA_2025_95" w:history="1">
        <w:r w:rsidRPr="001D7FA9">
          <w:rPr>
            <w:rStyle w:val="TextoNormalCaracter"/>
          </w:rPr>
          <w:t>95/2025</w:t>
        </w:r>
      </w:hyperlink>
      <w:r>
        <w:t>.</w:t>
      </w:r>
    </w:p>
    <w:p w14:paraId="62707E9D" w14:textId="28EBA08B" w:rsidR="001D7FA9" w:rsidRDefault="001D7FA9" w:rsidP="001D7FA9">
      <w:pPr>
        <w:pStyle w:val="SangriaFrancesaArticulo"/>
      </w:pPr>
      <w:r w:rsidRPr="001D7FA9">
        <w:rPr>
          <w:rStyle w:val="TextoNormalNegritaCaracter"/>
        </w:rPr>
        <w:t>Artículo 23.2.</w:t>
      </w:r>
      <w:r w:rsidRPr="001D7FA9">
        <w:rPr>
          <w:rStyle w:val="TextoNormalCaracter"/>
        </w:rPr>
        <w:t>-</w:t>
      </w:r>
      <w:r>
        <w:t xml:space="preserve"> Sentencia </w:t>
      </w:r>
      <w:hyperlink w:anchor="SENTENCIA_2025_95" w:history="1">
        <w:r w:rsidRPr="001D7FA9">
          <w:rPr>
            <w:rStyle w:val="TextoNormalCaracter"/>
          </w:rPr>
          <w:t>95/2025</w:t>
        </w:r>
      </w:hyperlink>
      <w:r>
        <w:t>.</w:t>
      </w:r>
    </w:p>
    <w:p w14:paraId="4853F67D" w14:textId="250AE7C8" w:rsidR="001D7FA9" w:rsidRDefault="001D7FA9" w:rsidP="001D7FA9">
      <w:pPr>
        <w:pStyle w:val="SangriaFrancesaArticulo"/>
      </w:pPr>
      <w:r w:rsidRPr="001D7FA9">
        <w:rPr>
          <w:rStyle w:val="TextoNormalNegritaCaracter"/>
        </w:rPr>
        <w:t>Artículo 23.3.</w:t>
      </w:r>
      <w:r w:rsidRPr="001D7FA9">
        <w:rPr>
          <w:rStyle w:val="TextoNormalCaracter"/>
        </w:rPr>
        <w:t>-</w:t>
      </w:r>
      <w:r>
        <w:t xml:space="preserve"> Sentencia </w:t>
      </w:r>
      <w:hyperlink w:anchor="SENTENCIA_2025_95" w:history="1">
        <w:r w:rsidRPr="001D7FA9">
          <w:rPr>
            <w:rStyle w:val="TextoNormalCaracter"/>
          </w:rPr>
          <w:t>95/2025</w:t>
        </w:r>
      </w:hyperlink>
      <w:r>
        <w:t>.</w:t>
      </w:r>
    </w:p>
    <w:p w14:paraId="0847DC77" w14:textId="0C235C1E" w:rsidR="001D7FA9" w:rsidRDefault="001D7FA9" w:rsidP="001D7FA9">
      <w:pPr>
        <w:pStyle w:val="SangriaFrancesaArticulo"/>
      </w:pPr>
      <w:r w:rsidRPr="001D7FA9">
        <w:rPr>
          <w:rStyle w:val="TextoNormalNegritaCaracter"/>
        </w:rPr>
        <w:t>Artículo 24.3.</w:t>
      </w:r>
      <w:r w:rsidRPr="001D7FA9">
        <w:rPr>
          <w:rStyle w:val="TextoNormalCaracter"/>
        </w:rPr>
        <w:t>-</w:t>
      </w:r>
      <w:r>
        <w:t xml:space="preserve"> Sentencia </w:t>
      </w:r>
      <w:hyperlink w:anchor="SENTENCIA_2025_95" w:history="1">
        <w:r w:rsidRPr="001D7FA9">
          <w:rPr>
            <w:rStyle w:val="TextoNormalCaracter"/>
          </w:rPr>
          <w:t>95/2025</w:t>
        </w:r>
      </w:hyperlink>
      <w:r>
        <w:t>.</w:t>
      </w:r>
    </w:p>
    <w:p w14:paraId="1263ECA4" w14:textId="53C91C99" w:rsidR="001D7FA9" w:rsidRDefault="001D7FA9" w:rsidP="001D7FA9">
      <w:pPr>
        <w:pStyle w:val="SangriaFrancesaArticulo"/>
      </w:pPr>
      <w:r w:rsidRPr="001D7FA9">
        <w:rPr>
          <w:rStyle w:val="TextoNormalNegritaCaracter"/>
        </w:rPr>
        <w:t>Artículo 25.</w:t>
      </w:r>
      <w:r w:rsidRPr="001D7FA9">
        <w:rPr>
          <w:rStyle w:val="TextoNormalCaracter"/>
        </w:rPr>
        <w:t>-</w:t>
      </w:r>
      <w:r>
        <w:t xml:space="preserve"> Sentencia </w:t>
      </w:r>
      <w:hyperlink w:anchor="SENTENCIA_2025_95" w:history="1">
        <w:r w:rsidRPr="001D7FA9">
          <w:rPr>
            <w:rStyle w:val="TextoNormalCaracter"/>
          </w:rPr>
          <w:t>95/2025</w:t>
        </w:r>
      </w:hyperlink>
      <w:r>
        <w:t>.</w:t>
      </w:r>
    </w:p>
    <w:p w14:paraId="24EE3E01" w14:textId="2035765F" w:rsidR="001D7FA9" w:rsidRDefault="001D7FA9" w:rsidP="001D7FA9">
      <w:pPr>
        <w:pStyle w:val="SangriaFrancesaArticulo"/>
      </w:pPr>
      <w:r w:rsidRPr="001D7FA9">
        <w:rPr>
          <w:rStyle w:val="TextoNormalNegritaCaracter"/>
        </w:rPr>
        <w:t>Artículo 25.2.</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295131AC" w14:textId="4BA48701" w:rsidR="001D7FA9" w:rsidRDefault="001D7FA9" w:rsidP="001D7FA9">
      <w:pPr>
        <w:pStyle w:val="SangriaFrancesaArticulo"/>
      </w:pPr>
      <w:r w:rsidRPr="001D7FA9">
        <w:rPr>
          <w:rStyle w:val="TextoNormalNegritaCaracter"/>
        </w:rPr>
        <w:t>Artículo 26.</w:t>
      </w:r>
      <w:r w:rsidRPr="001D7FA9">
        <w:rPr>
          <w:rStyle w:val="TextoNormalCaracter"/>
        </w:rPr>
        <w:t>-</w:t>
      </w:r>
      <w:r>
        <w:t xml:space="preserve"> Sentencia </w:t>
      </w:r>
      <w:hyperlink w:anchor="SENTENCIA_2025_95" w:history="1">
        <w:r w:rsidRPr="001D7FA9">
          <w:rPr>
            <w:rStyle w:val="TextoNormalCaracter"/>
          </w:rPr>
          <w:t>95/2025</w:t>
        </w:r>
      </w:hyperlink>
      <w:r>
        <w:t>.</w:t>
      </w:r>
    </w:p>
    <w:p w14:paraId="24233542" w14:textId="3BA5078F" w:rsidR="001D7FA9" w:rsidRDefault="001D7FA9" w:rsidP="001D7FA9">
      <w:pPr>
        <w:pStyle w:val="SangriaFrancesaArticulo"/>
      </w:pPr>
      <w:r w:rsidRPr="001D7FA9">
        <w:rPr>
          <w:rStyle w:val="TextoNormalNegritaCaracter"/>
        </w:rPr>
        <w:t>Artículo 26.2.</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56027AA7" w14:textId="0FEE7A50" w:rsidR="001D7FA9" w:rsidRDefault="001D7FA9" w:rsidP="001D7FA9">
      <w:pPr>
        <w:pStyle w:val="SangriaFrancesaArticulo"/>
      </w:pPr>
      <w:r w:rsidRPr="001D7FA9">
        <w:rPr>
          <w:rStyle w:val="TextoNormalNegritaCaracter"/>
        </w:rPr>
        <w:t>Artículo 27.</w:t>
      </w:r>
      <w:r w:rsidRPr="001D7FA9">
        <w:rPr>
          <w:rStyle w:val="TextoNormalCaracter"/>
        </w:rPr>
        <w:t>-</w:t>
      </w:r>
      <w:r>
        <w:t xml:space="preserve"> Sentencia </w:t>
      </w:r>
      <w:hyperlink w:anchor="SENTENCIA_2025_95" w:history="1">
        <w:r w:rsidRPr="001D7FA9">
          <w:rPr>
            <w:rStyle w:val="TextoNormalCaracter"/>
          </w:rPr>
          <w:t>95/2025</w:t>
        </w:r>
      </w:hyperlink>
      <w:r>
        <w:t>.</w:t>
      </w:r>
    </w:p>
    <w:p w14:paraId="3D6D05BC" w14:textId="700F90A6" w:rsidR="001D7FA9" w:rsidRDefault="001D7FA9" w:rsidP="001D7FA9">
      <w:pPr>
        <w:pStyle w:val="SangriaFrancesaArticulo"/>
      </w:pPr>
      <w:r w:rsidRPr="001D7FA9">
        <w:rPr>
          <w:rStyle w:val="TextoNormalNegritaCaracter"/>
        </w:rPr>
        <w:t>Artículo 27.2.</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105BB4F9" w14:textId="0D1C0C6D" w:rsidR="001D7FA9" w:rsidRDefault="001D7FA9" w:rsidP="001D7FA9">
      <w:pPr>
        <w:pStyle w:val="SangriaFrancesaArticulo"/>
      </w:pPr>
      <w:r w:rsidRPr="001D7FA9">
        <w:rPr>
          <w:rStyle w:val="TextoNormalNegritaCaracter"/>
        </w:rPr>
        <w:t>Artículo 28.</w:t>
      </w:r>
      <w:r w:rsidRPr="001D7FA9">
        <w:rPr>
          <w:rStyle w:val="TextoNormalCaracter"/>
        </w:rPr>
        <w:t>-</w:t>
      </w:r>
      <w:r>
        <w:t xml:space="preserve"> Sentencia </w:t>
      </w:r>
      <w:hyperlink w:anchor="SENTENCIA_2025_95" w:history="1">
        <w:r w:rsidRPr="001D7FA9">
          <w:rPr>
            <w:rStyle w:val="TextoNormalCaracter"/>
          </w:rPr>
          <w:t>95/2025</w:t>
        </w:r>
      </w:hyperlink>
      <w:r>
        <w:t>.</w:t>
      </w:r>
    </w:p>
    <w:p w14:paraId="1B1C687F" w14:textId="4689043C" w:rsidR="001D7FA9" w:rsidRDefault="001D7FA9" w:rsidP="001D7FA9">
      <w:pPr>
        <w:pStyle w:val="SangriaFrancesaArticulo"/>
      </w:pPr>
      <w:r w:rsidRPr="001D7FA9">
        <w:rPr>
          <w:rStyle w:val="TextoNormalNegritaCaracter"/>
        </w:rPr>
        <w:t>Artículo 28.2.</w:t>
      </w:r>
      <w:r w:rsidRPr="001D7FA9">
        <w:rPr>
          <w:rStyle w:val="TextoNormalCaracter"/>
        </w:rPr>
        <w:t>-</w:t>
      </w:r>
      <w:r>
        <w:t xml:space="preserve"> Sentencia </w:t>
      </w:r>
      <w:hyperlink w:anchor="SENTENCIA_2025_95" w:history="1">
        <w:r w:rsidRPr="001D7FA9">
          <w:rPr>
            <w:rStyle w:val="TextoNormalCaracter"/>
          </w:rPr>
          <w:t>95/2025</w:t>
        </w:r>
      </w:hyperlink>
      <w:r>
        <w:t xml:space="preserve"> (anula).</w:t>
      </w:r>
    </w:p>
    <w:p w14:paraId="1AF93F35" w14:textId="4B6CC401" w:rsidR="001D7FA9" w:rsidRDefault="001D7FA9" w:rsidP="001D7FA9">
      <w:pPr>
        <w:pStyle w:val="SangriaFrancesaArticulo"/>
      </w:pPr>
      <w:r w:rsidRPr="001D7FA9">
        <w:rPr>
          <w:rStyle w:val="TextoNormalNegritaCaracter"/>
        </w:rPr>
        <w:t>Disposición transitoria segunda.</w:t>
      </w:r>
      <w:r w:rsidRPr="001D7FA9">
        <w:rPr>
          <w:rStyle w:val="TextoNormalCaracter"/>
        </w:rPr>
        <w:t>-</w:t>
      </w:r>
      <w:r>
        <w:t xml:space="preserve"> Sentencia </w:t>
      </w:r>
      <w:hyperlink w:anchor="SENTENCIA_2025_95" w:history="1">
        <w:r w:rsidRPr="001D7FA9">
          <w:rPr>
            <w:rStyle w:val="TextoNormalCaracter"/>
          </w:rPr>
          <w:t>95/2025</w:t>
        </w:r>
      </w:hyperlink>
      <w:r>
        <w:t>.</w:t>
      </w:r>
    </w:p>
    <w:p w14:paraId="4D500522" w14:textId="3CF77B7D" w:rsidR="001D7FA9" w:rsidRDefault="001D7FA9" w:rsidP="001D7FA9">
      <w:pPr>
        <w:pStyle w:val="SangriaFrancesaArticulo"/>
      </w:pPr>
      <w:r w:rsidRPr="001D7FA9">
        <w:rPr>
          <w:rStyle w:val="TextoNormalNegritaCaracter"/>
        </w:rPr>
        <w:t>Disposición final primera.</w:t>
      </w:r>
      <w:r w:rsidRPr="001D7FA9">
        <w:rPr>
          <w:rStyle w:val="TextoNormalCaracter"/>
        </w:rPr>
        <w:t>-</w:t>
      </w:r>
      <w:r>
        <w:t xml:space="preserve"> Sentencia </w:t>
      </w:r>
      <w:hyperlink w:anchor="SENTENCIA_2025_95" w:history="1">
        <w:r w:rsidRPr="001D7FA9">
          <w:rPr>
            <w:rStyle w:val="TextoNormalCaracter"/>
          </w:rPr>
          <w:t>95/2025</w:t>
        </w:r>
      </w:hyperlink>
      <w:r>
        <w:t>.</w:t>
      </w:r>
    </w:p>
    <w:p w14:paraId="1F1F8E3C" w14:textId="6E9F897E" w:rsidR="001D7FA9" w:rsidRDefault="001D7FA9" w:rsidP="001D7FA9">
      <w:pPr>
        <w:pStyle w:val="SangriaFrancesaArticulo"/>
      </w:pPr>
      <w:r w:rsidRPr="001D7FA9">
        <w:rPr>
          <w:rStyle w:val="TextoNormalNegritaCaracter"/>
        </w:rPr>
        <w:t>Anexo III.</w:t>
      </w:r>
      <w:r w:rsidRPr="001D7FA9">
        <w:rPr>
          <w:rStyle w:val="TextoNormalCaracter"/>
        </w:rPr>
        <w:t>-</w:t>
      </w:r>
      <w:r>
        <w:t xml:space="preserve"> Sentencia </w:t>
      </w:r>
      <w:hyperlink w:anchor="SENTENCIA_2025_95" w:history="1">
        <w:r w:rsidRPr="001D7FA9">
          <w:rPr>
            <w:rStyle w:val="TextoNormalCaracter"/>
          </w:rPr>
          <w:t>95/2025</w:t>
        </w:r>
      </w:hyperlink>
      <w:r>
        <w:t>.</w:t>
      </w:r>
    </w:p>
    <w:p w14:paraId="7EA99E78" w14:textId="4C316C96" w:rsidR="001D7FA9" w:rsidRDefault="001D7FA9" w:rsidP="001D7FA9">
      <w:pPr>
        <w:pStyle w:val="TextoNormal"/>
      </w:pPr>
    </w:p>
    <w:p w14:paraId="2A8A2DC6" w14:textId="77777777" w:rsidR="001D7FA9" w:rsidRDefault="001D7FA9" w:rsidP="001D7FA9">
      <w:pPr>
        <w:pStyle w:val="TextoNormalNegritaCentrado"/>
        <w:suppressAutoHyphens/>
      </w:pPr>
      <w:r w:rsidRPr="001D7FA9">
        <w:rPr>
          <w:rStyle w:val="TextoNormalNegritaCentradoSombreado"/>
        </w:rPr>
        <w:t>B.5) Cantabria</w:t>
      </w:r>
    </w:p>
    <w:p w14:paraId="354177C4" w14:textId="2B9C698E" w:rsidR="001D7FA9" w:rsidRDefault="001D7FA9" w:rsidP="001D7FA9">
      <w:pPr>
        <w:pStyle w:val="TextoNormalNegritaCentrado"/>
      </w:pPr>
    </w:p>
    <w:p w14:paraId="71828612" w14:textId="77777777" w:rsidR="001D7FA9" w:rsidRDefault="001D7FA9" w:rsidP="001D7FA9">
      <w:pPr>
        <w:pStyle w:val="TextoNormalNegritaCursivandice"/>
        <w:keepNext/>
      </w:pPr>
      <w:r>
        <w:t>Comunidad Autónoma de Cantabria. Ley 1/2024, de 8 de noviembre, de derogación de la Ley 8/2021, de 17 de noviembre, de memoria histórica y democrática de Cantabria</w:t>
      </w:r>
    </w:p>
    <w:p w14:paraId="5934AB6A" w14:textId="15D539F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4" w:history="1">
        <w:r w:rsidRPr="001D7FA9">
          <w:rPr>
            <w:rStyle w:val="TextoNormalCaracter"/>
          </w:rPr>
          <w:t>64/2025</w:t>
        </w:r>
      </w:hyperlink>
      <w:r>
        <w:t>.</w:t>
      </w:r>
    </w:p>
    <w:p w14:paraId="39EEB391" w14:textId="156B875D" w:rsidR="001D7FA9" w:rsidRDefault="001D7FA9" w:rsidP="001D7FA9">
      <w:pPr>
        <w:pStyle w:val="TextoNormal"/>
      </w:pPr>
    </w:p>
    <w:p w14:paraId="471193C0" w14:textId="77777777" w:rsidR="001D7FA9" w:rsidRDefault="001D7FA9" w:rsidP="001D7FA9">
      <w:pPr>
        <w:pStyle w:val="TextoNormalNegritaCentrado"/>
        <w:suppressAutoHyphens/>
      </w:pPr>
      <w:r w:rsidRPr="001D7FA9">
        <w:rPr>
          <w:rStyle w:val="TextoNormalNegritaCentradoSombreado"/>
        </w:rPr>
        <w:t>B.6) Cataluña</w:t>
      </w:r>
    </w:p>
    <w:p w14:paraId="65190874" w14:textId="0C662E79" w:rsidR="001D7FA9" w:rsidRDefault="001D7FA9" w:rsidP="001D7FA9">
      <w:pPr>
        <w:pStyle w:val="TextoNormalNegritaCentrado"/>
      </w:pPr>
    </w:p>
    <w:p w14:paraId="2083E6F9" w14:textId="77777777" w:rsidR="001D7FA9" w:rsidRDefault="001D7FA9" w:rsidP="001D7FA9">
      <w:pPr>
        <w:pStyle w:val="TextoNormalNegritaCursivandice"/>
        <w:keepNext/>
      </w:pPr>
      <w:r>
        <w:t>Comunidad Autónoma de Cataluña. Ley 1/2022, de 3 de marzo, de modificación de la Ley 18/2007, la Ley 24/2015 y la Ley 4/2016, para afrontar la emergencia en el ámbito de la vivienda</w:t>
      </w:r>
    </w:p>
    <w:p w14:paraId="5D27F5EF" w14:textId="4F463AD7"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25" w:history="1">
        <w:r w:rsidRPr="001D7FA9">
          <w:rPr>
            <w:rStyle w:val="TextoNormalCaracter"/>
          </w:rPr>
          <w:t>25/2025</w:t>
        </w:r>
      </w:hyperlink>
      <w:r>
        <w:t>.</w:t>
      </w:r>
    </w:p>
    <w:p w14:paraId="44B4B4C8" w14:textId="446C3021"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25" w:history="1">
        <w:r w:rsidRPr="001D7FA9">
          <w:rPr>
            <w:rStyle w:val="TextoNormalCaracter"/>
          </w:rPr>
          <w:t>25/2025</w:t>
        </w:r>
      </w:hyperlink>
      <w:r>
        <w:t>.</w:t>
      </w:r>
    </w:p>
    <w:p w14:paraId="453A3281" w14:textId="101F0575"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25" w:history="1">
        <w:r w:rsidRPr="001D7FA9">
          <w:rPr>
            <w:rStyle w:val="TextoNormalCaracter"/>
          </w:rPr>
          <w:t>25/2025</w:t>
        </w:r>
      </w:hyperlink>
      <w:r>
        <w:t>.</w:t>
      </w:r>
    </w:p>
    <w:p w14:paraId="09B6ACE0" w14:textId="07025064"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25" w:history="1">
        <w:r w:rsidRPr="001D7FA9">
          <w:rPr>
            <w:rStyle w:val="TextoNormalCaracter"/>
          </w:rPr>
          <w:t>25/2025</w:t>
        </w:r>
      </w:hyperlink>
      <w:r>
        <w:t>.</w:t>
      </w:r>
    </w:p>
    <w:p w14:paraId="1716C015" w14:textId="18CFA437"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25" w:history="1">
        <w:r w:rsidRPr="001D7FA9">
          <w:rPr>
            <w:rStyle w:val="TextoNormalCaracter"/>
          </w:rPr>
          <w:t>25/2025</w:t>
        </w:r>
      </w:hyperlink>
      <w:r>
        <w:t>.</w:t>
      </w:r>
    </w:p>
    <w:p w14:paraId="44AAD9F2" w14:textId="6F0C30E8"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25" w:history="1">
        <w:r w:rsidRPr="001D7FA9">
          <w:rPr>
            <w:rStyle w:val="TextoNormalCaracter"/>
          </w:rPr>
          <w:t>25/2025</w:t>
        </w:r>
      </w:hyperlink>
      <w:r>
        <w:t>.</w:t>
      </w:r>
    </w:p>
    <w:p w14:paraId="48CB3433" w14:textId="7C90C1F1" w:rsidR="001D7FA9" w:rsidRDefault="001D7FA9" w:rsidP="001D7FA9">
      <w:pPr>
        <w:pStyle w:val="SangriaFrancesaArticulo"/>
      </w:pPr>
      <w:r w:rsidRPr="001D7FA9">
        <w:rPr>
          <w:rStyle w:val="TextoNormalNegritaCaracter"/>
        </w:rPr>
        <w:t>Artículo 6.2.</w:t>
      </w:r>
      <w:r w:rsidRPr="001D7FA9">
        <w:rPr>
          <w:rStyle w:val="TextoNormalCaracter"/>
        </w:rPr>
        <w:t>-</w:t>
      </w:r>
      <w:r>
        <w:t xml:space="preserve"> Sentencia </w:t>
      </w:r>
      <w:hyperlink w:anchor="SENTENCIA_2025_25" w:history="1">
        <w:r w:rsidRPr="001D7FA9">
          <w:rPr>
            <w:rStyle w:val="TextoNormalCaracter"/>
          </w:rPr>
          <w:t>25/2025</w:t>
        </w:r>
      </w:hyperlink>
      <w:r>
        <w:t>.</w:t>
      </w:r>
    </w:p>
    <w:p w14:paraId="790FDDF3" w14:textId="3D2D9E94" w:rsidR="001D7FA9" w:rsidRDefault="001D7FA9" w:rsidP="001D7FA9">
      <w:pPr>
        <w:pStyle w:val="SangriaFrancesaArticulo"/>
      </w:pPr>
      <w:r w:rsidRPr="001D7FA9">
        <w:rPr>
          <w:rStyle w:val="TextoNormalNegritaCaracter"/>
        </w:rPr>
        <w:t>Artículo 6.2.</w:t>
      </w:r>
      <w:r w:rsidRPr="001D7FA9">
        <w:rPr>
          <w:rStyle w:val="TextoNormalCaracter"/>
        </w:rPr>
        <w:t>-</w:t>
      </w:r>
      <w:r>
        <w:t xml:space="preserve"> Sentencia </w:t>
      </w:r>
      <w:hyperlink w:anchor="SENTENCIA_2025_25" w:history="1">
        <w:r w:rsidRPr="001D7FA9">
          <w:rPr>
            <w:rStyle w:val="TextoNormalCaracter"/>
          </w:rPr>
          <w:t>25/2025</w:t>
        </w:r>
      </w:hyperlink>
      <w:r>
        <w:t xml:space="preserve"> (interpreta).</w:t>
      </w:r>
    </w:p>
    <w:p w14:paraId="533F1F5A" w14:textId="48808989"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25" w:history="1">
        <w:r w:rsidRPr="001D7FA9">
          <w:rPr>
            <w:rStyle w:val="TextoNormalCaracter"/>
          </w:rPr>
          <w:t>25/2025</w:t>
        </w:r>
      </w:hyperlink>
      <w:r>
        <w:t>.</w:t>
      </w:r>
    </w:p>
    <w:p w14:paraId="4039BC5B" w14:textId="4746102D"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25" w:history="1">
        <w:r w:rsidRPr="001D7FA9">
          <w:rPr>
            <w:rStyle w:val="TextoNormalCaracter"/>
          </w:rPr>
          <w:t>25/2025</w:t>
        </w:r>
      </w:hyperlink>
      <w:r>
        <w:t>.</w:t>
      </w:r>
    </w:p>
    <w:p w14:paraId="37B6D470" w14:textId="12D74D70"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25" w:history="1">
        <w:r w:rsidRPr="001D7FA9">
          <w:rPr>
            <w:rStyle w:val="TextoNormalCaracter"/>
          </w:rPr>
          <w:t>25/2025</w:t>
        </w:r>
      </w:hyperlink>
      <w:r>
        <w:t>.</w:t>
      </w:r>
    </w:p>
    <w:p w14:paraId="7FF487AA" w14:textId="11C94D87"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25" w:history="1">
        <w:r w:rsidRPr="001D7FA9">
          <w:rPr>
            <w:rStyle w:val="TextoNormalCaracter"/>
          </w:rPr>
          <w:t>25/2025</w:t>
        </w:r>
      </w:hyperlink>
      <w:r>
        <w:t>.</w:t>
      </w:r>
    </w:p>
    <w:p w14:paraId="26AC999B" w14:textId="2389F23F"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25" w:history="1">
        <w:r w:rsidRPr="001D7FA9">
          <w:rPr>
            <w:rStyle w:val="TextoNormalCaracter"/>
          </w:rPr>
          <w:t>25/2025</w:t>
        </w:r>
      </w:hyperlink>
      <w:r>
        <w:t>.</w:t>
      </w:r>
    </w:p>
    <w:p w14:paraId="4073F23D" w14:textId="5E3CB239"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25" w:history="1">
        <w:r w:rsidRPr="001D7FA9">
          <w:rPr>
            <w:rStyle w:val="TextoNormalCaracter"/>
          </w:rPr>
          <w:t>25/2025</w:t>
        </w:r>
      </w:hyperlink>
      <w:r>
        <w:t>.</w:t>
      </w:r>
    </w:p>
    <w:p w14:paraId="1519BA4F" w14:textId="372DA2D2" w:rsidR="001D7FA9" w:rsidRDefault="001D7FA9" w:rsidP="001D7FA9">
      <w:pPr>
        <w:pStyle w:val="SangriaFrancesaArticulo"/>
      </w:pPr>
      <w:r w:rsidRPr="001D7FA9">
        <w:rPr>
          <w:rStyle w:val="TextoNormalNegritaCaracter"/>
        </w:rPr>
        <w:t>Articulo 12.3 inciso "y, en cualquier caso, no inferior a cinco años si el titular de la vivienda es una persona física y no inferior a siete años si es una persona jurídica".</w:t>
      </w:r>
      <w:r w:rsidRPr="001D7FA9">
        <w:rPr>
          <w:rStyle w:val="TextoNormalCaracter"/>
        </w:rPr>
        <w:t>-</w:t>
      </w:r>
      <w:r>
        <w:t xml:space="preserve"> Sentencia </w:t>
      </w:r>
      <w:hyperlink w:anchor="SENTENCIA_2025_25" w:history="1">
        <w:r w:rsidRPr="001D7FA9">
          <w:rPr>
            <w:rStyle w:val="TextoNormalCaracter"/>
          </w:rPr>
          <w:t>25/2025</w:t>
        </w:r>
      </w:hyperlink>
      <w:r>
        <w:t>.</w:t>
      </w:r>
    </w:p>
    <w:p w14:paraId="6C530851" w14:textId="5D50A509"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 </w:t>
      </w:r>
      <w:hyperlink w:anchor="SENTENCIA_2025_25" w:history="1">
        <w:r w:rsidRPr="001D7FA9">
          <w:rPr>
            <w:rStyle w:val="TextoNormalCaracter"/>
          </w:rPr>
          <w:t>25/2025</w:t>
        </w:r>
      </w:hyperlink>
      <w:r>
        <w:t>.</w:t>
      </w:r>
    </w:p>
    <w:p w14:paraId="094FCDFF" w14:textId="51205519" w:rsidR="001D7FA9" w:rsidRDefault="001D7FA9" w:rsidP="001D7FA9">
      <w:pPr>
        <w:pStyle w:val="SangriaFrancesaArticulo"/>
      </w:pPr>
      <w:r w:rsidRPr="001D7FA9">
        <w:rPr>
          <w:rStyle w:val="TextoNormalNegritaCaracter"/>
        </w:rPr>
        <w:t>Artículo 15 inciso "y de que, de conformidad con el artículo 49.3 del texto refundido de la Ley del suelo y rehabilitación urbana, el contenido del derecho de propiedad se reduce en un 50 por 100 de su valor, cuya diferencia corresponde a la administración expropiante".</w:t>
      </w:r>
      <w:r w:rsidRPr="001D7FA9">
        <w:rPr>
          <w:rStyle w:val="TextoNormalCaracter"/>
        </w:rPr>
        <w:t>-</w:t>
      </w:r>
      <w:r>
        <w:t xml:space="preserve"> Sentencia </w:t>
      </w:r>
      <w:hyperlink w:anchor="SENTENCIA_2025_25" w:history="1">
        <w:r w:rsidRPr="001D7FA9">
          <w:rPr>
            <w:rStyle w:val="TextoNormalCaracter"/>
          </w:rPr>
          <w:t>25/2025</w:t>
        </w:r>
      </w:hyperlink>
      <w:r>
        <w:t xml:space="preserve"> (anula).</w:t>
      </w:r>
    </w:p>
    <w:p w14:paraId="371402F2" w14:textId="797EEE1A" w:rsidR="001D7FA9" w:rsidRDefault="001D7FA9" w:rsidP="001D7FA9">
      <w:pPr>
        <w:pStyle w:val="SangriaFrancesaArticulo"/>
      </w:pPr>
      <w:r w:rsidRPr="001D7FA9">
        <w:rPr>
          <w:rStyle w:val="TextoNormalNegritaCaracter"/>
        </w:rPr>
        <w:t>Disposición transitoria.</w:t>
      </w:r>
      <w:r w:rsidRPr="001D7FA9">
        <w:rPr>
          <w:rStyle w:val="TextoNormalCaracter"/>
        </w:rPr>
        <w:t>-</w:t>
      </w:r>
      <w:r>
        <w:t xml:space="preserve"> Sentencia </w:t>
      </w:r>
      <w:hyperlink w:anchor="SENTENCIA_2025_25" w:history="1">
        <w:r w:rsidRPr="001D7FA9">
          <w:rPr>
            <w:rStyle w:val="TextoNormalCaracter"/>
          </w:rPr>
          <w:t>25/2025</w:t>
        </w:r>
      </w:hyperlink>
      <w:r>
        <w:t>.</w:t>
      </w:r>
    </w:p>
    <w:p w14:paraId="65E4E222" w14:textId="18C42033" w:rsidR="001D7FA9" w:rsidRDefault="001D7FA9" w:rsidP="001D7FA9">
      <w:pPr>
        <w:pStyle w:val="SangriaFrancesaArticulo"/>
      </w:pPr>
    </w:p>
    <w:p w14:paraId="49A8EA0F" w14:textId="77777777" w:rsidR="001D7FA9" w:rsidRDefault="001D7FA9" w:rsidP="001D7FA9">
      <w:pPr>
        <w:pStyle w:val="TextoNormalNegritaCursivandice"/>
        <w:keepNext/>
      </w:pPr>
      <w:r>
        <w:t>Comunidad Autónoma de Cataluña. Decreto-ley 3/2023, de 7 de noviembre, de medidas urgentes sobre el régimen urbanístico de las viviendas de uso turístico</w:t>
      </w:r>
    </w:p>
    <w:p w14:paraId="332DF99D" w14:textId="03D87985"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64" w:history="1">
        <w:r w:rsidRPr="001D7FA9">
          <w:rPr>
            <w:rStyle w:val="TextoNormalCaracter"/>
          </w:rPr>
          <w:t>64/2025</w:t>
        </w:r>
      </w:hyperlink>
      <w:r>
        <w:t>.</w:t>
      </w:r>
    </w:p>
    <w:p w14:paraId="3540CF60" w14:textId="2DF2F417"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64" w:history="1">
        <w:r w:rsidRPr="001D7FA9">
          <w:rPr>
            <w:rStyle w:val="TextoNormalCaracter"/>
          </w:rPr>
          <w:t>64/2025</w:t>
        </w:r>
      </w:hyperlink>
      <w:r>
        <w:t>.</w:t>
      </w:r>
    </w:p>
    <w:p w14:paraId="15E14F1F" w14:textId="225C2D4B"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64" w:history="1">
        <w:r w:rsidRPr="001D7FA9">
          <w:rPr>
            <w:rStyle w:val="TextoNormalCaracter"/>
          </w:rPr>
          <w:t>64/2025</w:t>
        </w:r>
      </w:hyperlink>
      <w:r>
        <w:t>.</w:t>
      </w:r>
    </w:p>
    <w:p w14:paraId="45B9C13A" w14:textId="6C1E28FE" w:rsidR="001D7FA9" w:rsidRDefault="001D7FA9" w:rsidP="001D7FA9">
      <w:pPr>
        <w:pStyle w:val="SangriaFrancesaArticulo"/>
      </w:pPr>
      <w:r w:rsidRPr="001D7FA9">
        <w:rPr>
          <w:rStyle w:val="TextoNormalNegritaCaracter"/>
        </w:rPr>
        <w:t>Disposición transitoria primera, apartado 1 a).</w:t>
      </w:r>
      <w:r w:rsidRPr="001D7FA9">
        <w:rPr>
          <w:rStyle w:val="TextoNormalCaracter"/>
        </w:rPr>
        <w:t>-</w:t>
      </w:r>
      <w:r>
        <w:t xml:space="preserve"> Sentencia </w:t>
      </w:r>
      <w:hyperlink w:anchor="SENTENCIA_2025_64" w:history="1">
        <w:r w:rsidRPr="001D7FA9">
          <w:rPr>
            <w:rStyle w:val="TextoNormalCaracter"/>
          </w:rPr>
          <w:t>64/2025</w:t>
        </w:r>
      </w:hyperlink>
      <w:r>
        <w:t>.</w:t>
      </w:r>
    </w:p>
    <w:p w14:paraId="2410BF05" w14:textId="0ACE8D87" w:rsidR="001D7FA9" w:rsidRDefault="001D7FA9" w:rsidP="001D7FA9">
      <w:pPr>
        <w:pStyle w:val="SangriaFrancesaArticulo"/>
      </w:pPr>
      <w:r w:rsidRPr="001D7FA9">
        <w:rPr>
          <w:rStyle w:val="TextoNormalNegritaCaracter"/>
        </w:rPr>
        <w:t>Disposición transitoria segunda.</w:t>
      </w:r>
      <w:r w:rsidRPr="001D7FA9">
        <w:rPr>
          <w:rStyle w:val="TextoNormalCaracter"/>
        </w:rPr>
        <w:t>-</w:t>
      </w:r>
      <w:r>
        <w:t xml:space="preserve"> Sentencia </w:t>
      </w:r>
      <w:hyperlink w:anchor="SENTENCIA_2025_64" w:history="1">
        <w:r w:rsidRPr="001D7FA9">
          <w:rPr>
            <w:rStyle w:val="TextoNormalCaracter"/>
          </w:rPr>
          <w:t>64/2025</w:t>
        </w:r>
      </w:hyperlink>
      <w:r>
        <w:t>.</w:t>
      </w:r>
    </w:p>
    <w:p w14:paraId="03351279" w14:textId="291EEDD2" w:rsidR="001D7FA9" w:rsidRDefault="001D7FA9" w:rsidP="001D7FA9">
      <w:pPr>
        <w:pStyle w:val="SangriaFrancesaArticulo"/>
      </w:pPr>
      <w:r w:rsidRPr="001D7FA9">
        <w:rPr>
          <w:rStyle w:val="TextoNormalNegritaCaracter"/>
        </w:rPr>
        <w:t>Disposición final primera.</w:t>
      </w:r>
      <w:r w:rsidRPr="001D7FA9">
        <w:rPr>
          <w:rStyle w:val="TextoNormalCaracter"/>
        </w:rPr>
        <w:t>-</w:t>
      </w:r>
      <w:r>
        <w:t xml:space="preserve"> Sentencia </w:t>
      </w:r>
      <w:hyperlink w:anchor="SENTENCIA_2025_64" w:history="1">
        <w:r w:rsidRPr="001D7FA9">
          <w:rPr>
            <w:rStyle w:val="TextoNormalCaracter"/>
          </w:rPr>
          <w:t>64/2025</w:t>
        </w:r>
      </w:hyperlink>
      <w:r>
        <w:t>.</w:t>
      </w:r>
    </w:p>
    <w:p w14:paraId="324160F6" w14:textId="6619C4C8" w:rsidR="001D7FA9" w:rsidRDefault="001D7FA9" w:rsidP="001D7FA9">
      <w:pPr>
        <w:pStyle w:val="SangriaFrancesaArticulo"/>
      </w:pPr>
      <w:r w:rsidRPr="001D7FA9">
        <w:rPr>
          <w:rStyle w:val="TextoNormalNegritaCaracter"/>
        </w:rPr>
        <w:t>Anexo.</w:t>
      </w:r>
      <w:r w:rsidRPr="001D7FA9">
        <w:rPr>
          <w:rStyle w:val="TextoNormalCaracter"/>
        </w:rPr>
        <w:t>-</w:t>
      </w:r>
      <w:r>
        <w:t xml:space="preserve"> Sentencia </w:t>
      </w:r>
      <w:hyperlink w:anchor="SENTENCIA_2025_64" w:history="1">
        <w:r w:rsidRPr="001D7FA9">
          <w:rPr>
            <w:rStyle w:val="TextoNormalCaracter"/>
          </w:rPr>
          <w:t>64/2025</w:t>
        </w:r>
      </w:hyperlink>
      <w:r>
        <w:t>.</w:t>
      </w:r>
    </w:p>
    <w:p w14:paraId="7E22F378" w14:textId="1DE34100" w:rsidR="001D7FA9" w:rsidRDefault="001D7FA9" w:rsidP="001D7FA9">
      <w:pPr>
        <w:pStyle w:val="TextoNormal"/>
      </w:pPr>
    </w:p>
    <w:p w14:paraId="06C824DD" w14:textId="77777777" w:rsidR="001D7FA9" w:rsidRDefault="001D7FA9" w:rsidP="001D7FA9">
      <w:pPr>
        <w:pStyle w:val="TextoNormalNegritaCentrado"/>
        <w:suppressAutoHyphens/>
      </w:pPr>
      <w:r w:rsidRPr="001D7FA9">
        <w:rPr>
          <w:rStyle w:val="TextoNormalNegritaCentradoSombreado"/>
        </w:rPr>
        <w:t>B.7) Extremadura</w:t>
      </w:r>
    </w:p>
    <w:p w14:paraId="281D3626" w14:textId="03B30B60" w:rsidR="001D7FA9" w:rsidRDefault="001D7FA9" w:rsidP="001D7FA9">
      <w:pPr>
        <w:pStyle w:val="TextoNormalNegritaCentrado"/>
      </w:pPr>
    </w:p>
    <w:p w14:paraId="6F9D86DE" w14:textId="77777777" w:rsidR="001D7FA9" w:rsidRDefault="001D7FA9" w:rsidP="001D7FA9">
      <w:pPr>
        <w:pStyle w:val="TextoNormalNegritaCursivandice"/>
        <w:keepNext/>
      </w:pPr>
      <w:r>
        <w:t>Comunidad Autónoma de Extremadura.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w:t>
      </w:r>
    </w:p>
    <w:p w14:paraId="7AEF4BD0" w14:textId="5D954C96" w:rsidR="001D7FA9" w:rsidRDefault="001D7FA9" w:rsidP="001D7FA9">
      <w:pPr>
        <w:pStyle w:val="SangriaFrancesaArticulo"/>
      </w:pPr>
      <w:r w:rsidRPr="001D7FA9">
        <w:rPr>
          <w:rStyle w:val="TextoNormalNegritaCaracter"/>
        </w:rPr>
        <w:t>Artículo 3, párrafo primero, inciso "en las mismas condiciones a las establecidas en el artículo 1".</w:t>
      </w:r>
      <w:r w:rsidRPr="001D7FA9">
        <w:rPr>
          <w:rStyle w:val="TextoNormalCaracter"/>
        </w:rPr>
        <w:t>-</w:t>
      </w:r>
      <w:r>
        <w:t xml:space="preserve"> Auto </w:t>
      </w:r>
      <w:hyperlink w:anchor="AUTO_2025_29" w:history="1">
        <w:r w:rsidRPr="001D7FA9">
          <w:rPr>
            <w:rStyle w:val="TextoNormalCaracter"/>
          </w:rPr>
          <w:t>29/2025</w:t>
        </w:r>
      </w:hyperlink>
      <w:r>
        <w:t>.</w:t>
      </w:r>
    </w:p>
    <w:p w14:paraId="4196882E" w14:textId="46F332C3" w:rsidR="001D7FA9" w:rsidRDefault="001D7FA9" w:rsidP="001D7FA9">
      <w:pPr>
        <w:pStyle w:val="TextoNormal"/>
      </w:pPr>
    </w:p>
    <w:p w14:paraId="3BCD70AB" w14:textId="77777777" w:rsidR="001D7FA9" w:rsidRDefault="001D7FA9" w:rsidP="001D7FA9">
      <w:pPr>
        <w:pStyle w:val="TextoNormalNegritaCentrado"/>
        <w:suppressAutoHyphens/>
      </w:pPr>
      <w:r w:rsidRPr="001D7FA9">
        <w:rPr>
          <w:rStyle w:val="TextoNormalNegritaCentradoSombreado"/>
        </w:rPr>
        <w:t>B.8) La Rioja</w:t>
      </w:r>
    </w:p>
    <w:p w14:paraId="46875A2A" w14:textId="519AD440" w:rsidR="001D7FA9" w:rsidRDefault="001D7FA9" w:rsidP="001D7FA9">
      <w:pPr>
        <w:pStyle w:val="TextoNormalNegritaCentrado"/>
      </w:pPr>
    </w:p>
    <w:p w14:paraId="3D30DE74" w14:textId="77777777" w:rsidR="001D7FA9" w:rsidRDefault="001D7FA9" w:rsidP="001D7FA9">
      <w:pPr>
        <w:pStyle w:val="TextoNormalNegritaCursivandice"/>
        <w:keepNext/>
      </w:pPr>
      <w:r>
        <w:t>Comunidad Autónoma de La Rioja. Ley 13/2023, de 28 de diciembre, de medidas fiscales y administrativas para el año 2024</w:t>
      </w:r>
    </w:p>
    <w:p w14:paraId="5E807A46" w14:textId="636020DE"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44" w:history="1">
        <w:r w:rsidRPr="001D7FA9">
          <w:rPr>
            <w:rStyle w:val="TextoNormalCaracter"/>
          </w:rPr>
          <w:t>44/2025</w:t>
        </w:r>
      </w:hyperlink>
      <w:r>
        <w:t>.</w:t>
      </w:r>
    </w:p>
    <w:p w14:paraId="10C35922" w14:textId="1794FCF2"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44" w:history="1">
        <w:r w:rsidRPr="001D7FA9">
          <w:rPr>
            <w:rStyle w:val="TextoNormalCaracter"/>
          </w:rPr>
          <w:t>44/2025</w:t>
        </w:r>
      </w:hyperlink>
      <w:r>
        <w:t>.</w:t>
      </w:r>
    </w:p>
    <w:p w14:paraId="33EE963E" w14:textId="6306A3B6" w:rsidR="001D7FA9" w:rsidRDefault="001D7FA9" w:rsidP="001D7FA9">
      <w:pPr>
        <w:pStyle w:val="TextoNormal"/>
      </w:pPr>
    </w:p>
    <w:p w14:paraId="5A532237" w14:textId="77777777" w:rsidR="001D7FA9" w:rsidRDefault="001D7FA9" w:rsidP="001D7FA9">
      <w:pPr>
        <w:pStyle w:val="TextoNormalNegritaCentrado"/>
        <w:suppressAutoHyphens/>
      </w:pPr>
      <w:r w:rsidRPr="001D7FA9">
        <w:rPr>
          <w:rStyle w:val="TextoNormalNegritaCentradoSombreado"/>
        </w:rPr>
        <w:t>B.9) Madrid</w:t>
      </w:r>
    </w:p>
    <w:p w14:paraId="138EC687" w14:textId="6762F4B8" w:rsidR="001D7FA9" w:rsidRDefault="001D7FA9" w:rsidP="001D7FA9">
      <w:pPr>
        <w:pStyle w:val="TextoNormalNegritaCentrado"/>
      </w:pPr>
    </w:p>
    <w:p w14:paraId="1B635D5A" w14:textId="77777777" w:rsidR="001D7FA9" w:rsidRDefault="001D7FA9" w:rsidP="001D7FA9">
      <w:pPr>
        <w:pStyle w:val="TextoNormalNegritaCursivandice"/>
        <w:keepNext/>
      </w:pPr>
      <w:r>
        <w:t>Comunidad de Madrid. Ley 3/2016, de 22 de julio, de protección integral contra LGTBIfobia y la discriminación por razón de orientación e identidad sexual en la Comunidad de Madrid</w:t>
      </w:r>
    </w:p>
    <w:p w14:paraId="5FC8DDF5" w14:textId="378E0829" w:rsidR="001D7FA9" w:rsidRDefault="001D7FA9" w:rsidP="001D7FA9">
      <w:pPr>
        <w:pStyle w:val="SangriaFrancesaArticulo"/>
      </w:pPr>
      <w:r w:rsidRPr="001D7FA9">
        <w:rPr>
          <w:rStyle w:val="TextoNormalNegritaCaracter"/>
        </w:rPr>
        <w:t>Artículo 65 d)</w:t>
      </w:r>
      <w:r>
        <w:t xml:space="preserve"> (redactado por la Ley 18/2023, de 27 de diciembre)</w:t>
      </w:r>
      <w:r w:rsidRPr="001D7FA9">
        <w:rPr>
          <w:rStyle w:val="TextoNormalNegritaCaracter"/>
        </w:rPr>
        <w:t>.</w:t>
      </w:r>
      <w:r w:rsidRPr="001D7FA9">
        <w:rPr>
          <w:rStyle w:val="TextoNormalCaracter"/>
        </w:rPr>
        <w:t>-</w:t>
      </w:r>
      <w:r>
        <w:t xml:space="preserve"> Sentencia </w:t>
      </w:r>
      <w:hyperlink w:anchor="SENTENCIA_2025_96" w:history="1">
        <w:r w:rsidRPr="001D7FA9">
          <w:rPr>
            <w:rStyle w:val="TextoNormalCaracter"/>
          </w:rPr>
          <w:t>96/2025</w:t>
        </w:r>
      </w:hyperlink>
      <w:r>
        <w:t xml:space="preserve"> (anula).</w:t>
      </w:r>
    </w:p>
    <w:p w14:paraId="18694761" w14:textId="19E420BE" w:rsidR="001D7FA9" w:rsidRDefault="001D7FA9" w:rsidP="001D7FA9">
      <w:pPr>
        <w:pStyle w:val="SangriaFrancesaArticulo"/>
      </w:pPr>
    </w:p>
    <w:p w14:paraId="16194C5C" w14:textId="77777777" w:rsidR="001D7FA9" w:rsidRDefault="001D7FA9" w:rsidP="001D7FA9">
      <w:pPr>
        <w:pStyle w:val="TextoNormalNegritaCursivandice"/>
        <w:keepNext/>
      </w:pPr>
      <w:r>
        <w:t>Comunidad de Madrid. Ley 5/2018, de 17 de octubre, para la protección, reconocimiento y memoria de las víctimas del terrorismo</w:t>
      </w:r>
    </w:p>
    <w:p w14:paraId="65E475E6" w14:textId="608E0792" w:rsidR="001D7FA9" w:rsidRDefault="001D7FA9" w:rsidP="001D7FA9">
      <w:pPr>
        <w:pStyle w:val="SangriaFrancesaArticulo"/>
      </w:pPr>
      <w:r w:rsidRPr="001D7FA9">
        <w:rPr>
          <w:rStyle w:val="TextoNormalNegritaCaracter"/>
        </w:rPr>
        <w:t>Artículo 2.2 b).</w:t>
      </w:r>
      <w:r w:rsidRPr="001D7FA9">
        <w:rPr>
          <w:rStyle w:val="TextoNormalCaracter"/>
        </w:rPr>
        <w:t>-</w:t>
      </w:r>
      <w:r>
        <w:t xml:space="preserve"> Auto </w:t>
      </w:r>
      <w:hyperlink w:anchor="AUTO_2025_59" w:history="1">
        <w:r w:rsidRPr="001D7FA9">
          <w:rPr>
            <w:rStyle w:val="TextoNormalCaracter"/>
          </w:rPr>
          <w:t>59/2025</w:t>
        </w:r>
      </w:hyperlink>
      <w:r>
        <w:t>.</w:t>
      </w:r>
    </w:p>
    <w:p w14:paraId="1ED58E38" w14:textId="01BDB564" w:rsidR="001D7FA9" w:rsidRDefault="001D7FA9" w:rsidP="001D7FA9">
      <w:pPr>
        <w:pStyle w:val="SangriaFrancesaArticulo"/>
      </w:pPr>
    </w:p>
    <w:p w14:paraId="6BAF1BBB" w14:textId="77777777" w:rsidR="001D7FA9" w:rsidRDefault="001D7FA9" w:rsidP="001D7FA9">
      <w:pPr>
        <w:pStyle w:val="TextoNormalNegritaCursivandice"/>
        <w:keepNext/>
      </w:pPr>
      <w:r>
        <w:t>Comunidad de Madrid. Ley 18/2023, de 27 de diciembre, por la que se modifica la Ley 3/2016, de 22 de julio, de protección integral contra la LGTBIfobia y la discriminación por razón de orientación e identidad sexual en la Comunidad de Madrid</w:t>
      </w:r>
    </w:p>
    <w:p w14:paraId="260FECDB" w14:textId="201BC2DE" w:rsidR="001D7FA9" w:rsidRDefault="001D7FA9" w:rsidP="001D7FA9">
      <w:pPr>
        <w:pStyle w:val="SangriaFrancesaArticulo"/>
      </w:pPr>
      <w:r w:rsidRPr="001D7FA9">
        <w:rPr>
          <w:rStyle w:val="TextoNormalNegritaCaracter"/>
        </w:rPr>
        <w:t>Artículo único apartado 14 ter.</w:t>
      </w:r>
      <w:r w:rsidRPr="001D7FA9">
        <w:rPr>
          <w:rStyle w:val="TextoNormalCaracter"/>
        </w:rPr>
        <w:t>-</w:t>
      </w:r>
      <w:r>
        <w:t xml:space="preserve"> Sentencia </w:t>
      </w:r>
      <w:hyperlink w:anchor="SENTENCIA_2025_96" w:history="1">
        <w:r w:rsidRPr="001D7FA9">
          <w:rPr>
            <w:rStyle w:val="TextoNormalCaracter"/>
          </w:rPr>
          <w:t>96/2025</w:t>
        </w:r>
      </w:hyperlink>
      <w:r>
        <w:t>.</w:t>
      </w:r>
    </w:p>
    <w:p w14:paraId="0898EDD8" w14:textId="6DE93129" w:rsidR="001D7FA9" w:rsidRDefault="001D7FA9" w:rsidP="001D7FA9">
      <w:pPr>
        <w:pStyle w:val="TextoNormal"/>
      </w:pPr>
    </w:p>
    <w:p w14:paraId="3F0158AD" w14:textId="77777777" w:rsidR="001D7FA9" w:rsidRDefault="001D7FA9" w:rsidP="001D7FA9">
      <w:pPr>
        <w:pStyle w:val="TextoNormalNegritaCentrado"/>
        <w:suppressAutoHyphens/>
      </w:pPr>
      <w:r w:rsidRPr="001D7FA9">
        <w:rPr>
          <w:rStyle w:val="TextoNormalNegritaCentradoSombreado"/>
        </w:rPr>
        <w:t>B.10) Murcia</w:t>
      </w:r>
    </w:p>
    <w:p w14:paraId="02C33652" w14:textId="1607A994" w:rsidR="001D7FA9" w:rsidRDefault="001D7FA9" w:rsidP="001D7FA9">
      <w:pPr>
        <w:pStyle w:val="TextoNormalNegritaCentrado"/>
      </w:pPr>
    </w:p>
    <w:p w14:paraId="5ACE2693" w14:textId="77777777" w:rsidR="001D7FA9" w:rsidRDefault="001D7FA9" w:rsidP="001D7FA9">
      <w:pPr>
        <w:pStyle w:val="TextoNormalNegritaCursivandice"/>
        <w:keepNext/>
      </w:pPr>
      <w:r>
        <w:t>Comunidad Autónoma de Murcia. Ley 6/2019, de 4 de abril, de coordinación de las policías locales de la Comunidad Autónoma de la Región de Murcia</w:t>
      </w:r>
    </w:p>
    <w:p w14:paraId="1C93B1CE" w14:textId="6AB3BF2D" w:rsidR="001D7FA9" w:rsidRDefault="001D7FA9" w:rsidP="001D7FA9">
      <w:pPr>
        <w:pStyle w:val="SangriaFrancesaArticulo"/>
      </w:pPr>
      <w:r w:rsidRPr="001D7FA9">
        <w:rPr>
          <w:rStyle w:val="TextoNormalNegritaCaracter"/>
        </w:rPr>
        <w:t>Disposición transitoria quinta.</w:t>
      </w:r>
      <w:r w:rsidRPr="001D7FA9">
        <w:rPr>
          <w:rStyle w:val="TextoNormalCaracter"/>
        </w:rPr>
        <w:t>-</w:t>
      </w:r>
      <w:r>
        <w:t xml:space="preserve"> Sentencia </w:t>
      </w:r>
      <w:hyperlink w:anchor="SENTENCIA_2025_42" w:history="1">
        <w:r w:rsidRPr="001D7FA9">
          <w:rPr>
            <w:rStyle w:val="TextoNormalCaracter"/>
          </w:rPr>
          <w:t>42/2025</w:t>
        </w:r>
      </w:hyperlink>
      <w:r>
        <w:t xml:space="preserve"> (anula).</w:t>
      </w:r>
    </w:p>
    <w:p w14:paraId="7BBB7312" w14:textId="613A81D5" w:rsidR="001D7FA9" w:rsidRDefault="001D7FA9" w:rsidP="001D7FA9">
      <w:pPr>
        <w:pStyle w:val="TextoNormal"/>
      </w:pPr>
    </w:p>
    <w:p w14:paraId="047F79FE" w14:textId="77777777" w:rsidR="001D7FA9" w:rsidRDefault="001D7FA9" w:rsidP="001D7FA9">
      <w:pPr>
        <w:pStyle w:val="TextoNormalNegritaCentrado"/>
        <w:suppressAutoHyphens/>
      </w:pPr>
      <w:r w:rsidRPr="001D7FA9">
        <w:rPr>
          <w:rStyle w:val="TextoNormalNegritaCentradoSombreado"/>
        </w:rPr>
        <w:t>B.11) Navarra</w:t>
      </w:r>
    </w:p>
    <w:p w14:paraId="4227D434" w14:textId="0D049973" w:rsidR="001D7FA9" w:rsidRDefault="001D7FA9" w:rsidP="001D7FA9">
      <w:pPr>
        <w:pStyle w:val="TextoNormalNegritaCentrado"/>
      </w:pPr>
    </w:p>
    <w:p w14:paraId="49AC5753" w14:textId="77777777" w:rsidR="001D7FA9" w:rsidRDefault="001D7FA9" w:rsidP="001D7FA9">
      <w:pPr>
        <w:pStyle w:val="TextoNormalNegritaCursivandice"/>
        <w:keepNext/>
      </w:pPr>
      <w:r>
        <w:t>Comunidad Foral de Navarra. Ley Foral 2/1995, de 10 de marzo, de haciendas locales de Navarra</w:t>
      </w:r>
    </w:p>
    <w:p w14:paraId="3DAF3AAE" w14:textId="2E31ECBF" w:rsidR="001D7FA9" w:rsidRDefault="001D7FA9" w:rsidP="001D7FA9">
      <w:pPr>
        <w:pStyle w:val="SangriaFrancesaArticulo"/>
      </w:pPr>
      <w:r w:rsidRPr="001D7FA9">
        <w:rPr>
          <w:rStyle w:val="TextoNormalNegritaCaracter"/>
        </w:rPr>
        <w:t>Artículo 175.2</w:t>
      </w:r>
      <w:r>
        <w:t xml:space="preserve"> (redacción original)</w:t>
      </w:r>
      <w:r w:rsidRPr="001D7FA9">
        <w:rPr>
          <w:rStyle w:val="TextoNormalNegritaCaracter"/>
        </w:rPr>
        <w:t>.</w:t>
      </w:r>
      <w:r w:rsidRPr="001D7FA9">
        <w:rPr>
          <w:rStyle w:val="TextoNormalCaracter"/>
        </w:rPr>
        <w:t>-</w:t>
      </w:r>
      <w:r>
        <w:t xml:space="preserve"> Sentencia </w:t>
      </w:r>
      <w:hyperlink w:anchor="SENTENCIA_2025_98" w:history="1">
        <w:r w:rsidRPr="001D7FA9">
          <w:rPr>
            <w:rStyle w:val="TextoNormalCaracter"/>
          </w:rPr>
          <w:t>98/2025</w:t>
        </w:r>
      </w:hyperlink>
      <w:r>
        <w:t xml:space="preserve"> (anula).</w:t>
      </w:r>
    </w:p>
    <w:p w14:paraId="3056A65F" w14:textId="07395645" w:rsidR="001D7FA9" w:rsidRDefault="001D7FA9" w:rsidP="001D7FA9">
      <w:pPr>
        <w:pStyle w:val="TextoNormal"/>
      </w:pPr>
    </w:p>
    <w:p w14:paraId="123E3F6B" w14:textId="77777777" w:rsidR="001D7FA9" w:rsidRDefault="001D7FA9" w:rsidP="001D7FA9">
      <w:pPr>
        <w:pStyle w:val="TextoNormalNegritaCentrado"/>
        <w:suppressAutoHyphens/>
      </w:pPr>
      <w:r w:rsidRPr="001D7FA9">
        <w:rPr>
          <w:rStyle w:val="TextoNormalNegritaCentradoSombreado"/>
        </w:rPr>
        <w:t>B.12) País Vasco</w:t>
      </w:r>
    </w:p>
    <w:p w14:paraId="54907FDA" w14:textId="4685B359" w:rsidR="001D7FA9" w:rsidRDefault="001D7FA9" w:rsidP="001D7FA9">
      <w:pPr>
        <w:pStyle w:val="TextoNormalNegritaCentrado"/>
      </w:pPr>
    </w:p>
    <w:p w14:paraId="0F1376A2" w14:textId="77777777" w:rsidR="001D7FA9" w:rsidRDefault="001D7FA9" w:rsidP="001D7FA9">
      <w:pPr>
        <w:pStyle w:val="TextoNormalNegritaCursivandice"/>
        <w:keepNext/>
      </w:pPr>
      <w:r>
        <w:t>Comunidad Autónoma del País Vasco. Ley 2/2021, de 24 de junio, de medidas para la gestión de la pandemia de covid-19</w:t>
      </w:r>
    </w:p>
    <w:p w14:paraId="2F6549A1" w14:textId="44DC5EEA" w:rsidR="001D7FA9" w:rsidRDefault="001D7FA9" w:rsidP="001D7FA9">
      <w:pPr>
        <w:pStyle w:val="SangriaFrancesaArticulo"/>
      </w:pPr>
      <w:r w:rsidRPr="001D7FA9">
        <w:rPr>
          <w:rStyle w:val="TextoNormalNegritaCaracter"/>
        </w:rPr>
        <w:t>Artículo 1 a).</w:t>
      </w:r>
      <w:r w:rsidRPr="001D7FA9">
        <w:rPr>
          <w:rStyle w:val="TextoNormalCaracter"/>
        </w:rPr>
        <w:t>-</w:t>
      </w:r>
      <w:r>
        <w:t xml:space="preserve"> Sentencia </w:t>
      </w:r>
      <w:hyperlink w:anchor="SENTENCIA_2025_133" w:history="1">
        <w:r w:rsidRPr="001D7FA9">
          <w:rPr>
            <w:rStyle w:val="TextoNormalCaracter"/>
          </w:rPr>
          <w:t>133/2025</w:t>
        </w:r>
      </w:hyperlink>
      <w:r>
        <w:t>.</w:t>
      </w:r>
    </w:p>
    <w:p w14:paraId="6D822422" w14:textId="06F3B637"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133" w:history="1">
        <w:r w:rsidRPr="001D7FA9">
          <w:rPr>
            <w:rStyle w:val="TextoNormalCaracter"/>
          </w:rPr>
          <w:t>133/2025</w:t>
        </w:r>
      </w:hyperlink>
      <w:r>
        <w:t>.</w:t>
      </w:r>
    </w:p>
    <w:p w14:paraId="2B69FF86" w14:textId="51D2C8B1"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133" w:history="1">
        <w:r w:rsidRPr="001D7FA9">
          <w:rPr>
            <w:rStyle w:val="TextoNormalCaracter"/>
          </w:rPr>
          <w:t>133/2025</w:t>
        </w:r>
      </w:hyperlink>
      <w:r>
        <w:t>.</w:t>
      </w:r>
    </w:p>
    <w:p w14:paraId="2B12F4E0" w14:textId="789505A2" w:rsidR="001D7FA9" w:rsidRDefault="001D7FA9" w:rsidP="001D7FA9">
      <w:pPr>
        <w:pStyle w:val="SangriaFrancesaArticulo"/>
      </w:pPr>
      <w:r w:rsidRPr="001D7FA9">
        <w:rPr>
          <w:rStyle w:val="TextoNormalNegritaCaracter"/>
        </w:rPr>
        <w:t>Artículo 8.1.</w:t>
      </w:r>
      <w:r w:rsidRPr="001D7FA9">
        <w:rPr>
          <w:rStyle w:val="TextoNormalCaracter"/>
        </w:rPr>
        <w:t>-</w:t>
      </w:r>
      <w:r>
        <w:t xml:space="preserve"> Sentencia </w:t>
      </w:r>
      <w:hyperlink w:anchor="SENTENCIA_2025_133" w:history="1">
        <w:r w:rsidRPr="001D7FA9">
          <w:rPr>
            <w:rStyle w:val="TextoNormalCaracter"/>
          </w:rPr>
          <w:t>133/2025</w:t>
        </w:r>
      </w:hyperlink>
      <w:r>
        <w:t>.</w:t>
      </w:r>
    </w:p>
    <w:p w14:paraId="11EBC9E7" w14:textId="5B894F92" w:rsidR="001D7FA9" w:rsidRDefault="001D7FA9" w:rsidP="001D7FA9">
      <w:pPr>
        <w:pStyle w:val="SangriaFrancesaArticulo"/>
      </w:pPr>
      <w:r w:rsidRPr="001D7FA9">
        <w:rPr>
          <w:rStyle w:val="TextoNormalNegritaCaracter"/>
        </w:rPr>
        <w:t>Artículo 11.1.</w:t>
      </w:r>
      <w:r w:rsidRPr="001D7FA9">
        <w:rPr>
          <w:rStyle w:val="TextoNormalCaracter"/>
        </w:rPr>
        <w:t>-</w:t>
      </w:r>
      <w:r>
        <w:t xml:space="preserve"> Sentencia </w:t>
      </w:r>
      <w:hyperlink w:anchor="SENTENCIA_2025_133" w:history="1">
        <w:r w:rsidRPr="001D7FA9">
          <w:rPr>
            <w:rStyle w:val="TextoNormalCaracter"/>
          </w:rPr>
          <w:t>133/2025</w:t>
        </w:r>
      </w:hyperlink>
      <w:r>
        <w:t>.</w:t>
      </w:r>
    </w:p>
    <w:p w14:paraId="5F083EF3" w14:textId="3A04B06E" w:rsidR="001D7FA9" w:rsidRDefault="001D7FA9" w:rsidP="001D7FA9">
      <w:pPr>
        <w:pStyle w:val="SangriaFrancesaArticulo"/>
      </w:pPr>
      <w:r w:rsidRPr="001D7FA9">
        <w:rPr>
          <w:rStyle w:val="TextoNormalNegritaCaracter"/>
        </w:rPr>
        <w:t>Artículo 14.3.</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7BB1CA55" w14:textId="6218436A" w:rsidR="001D7FA9" w:rsidRDefault="001D7FA9" w:rsidP="001D7FA9">
      <w:pPr>
        <w:pStyle w:val="SangriaFrancesaArticulo"/>
      </w:pPr>
      <w:r w:rsidRPr="001D7FA9">
        <w:rPr>
          <w:rStyle w:val="TextoNormalNegritaCaracter"/>
        </w:rPr>
        <w:t>Artículo 15.2.</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26CF7E5A" w14:textId="0B7D19B9" w:rsidR="001D7FA9" w:rsidRDefault="001D7FA9" w:rsidP="001D7FA9">
      <w:pPr>
        <w:pStyle w:val="SangriaFrancesaArticulo"/>
      </w:pPr>
      <w:r w:rsidRPr="001D7FA9">
        <w:rPr>
          <w:rStyle w:val="TextoNormalNegritaCaracter"/>
        </w:rPr>
        <w:t>Artículo 19.3.</w:t>
      </w:r>
      <w:r w:rsidRPr="001D7FA9">
        <w:rPr>
          <w:rStyle w:val="TextoNormalCaracter"/>
        </w:rPr>
        <w:t>-</w:t>
      </w:r>
      <w:r>
        <w:t xml:space="preserve"> Sentencia </w:t>
      </w:r>
      <w:hyperlink w:anchor="SENTENCIA_2025_133" w:history="1">
        <w:r w:rsidRPr="001D7FA9">
          <w:rPr>
            <w:rStyle w:val="TextoNormalCaracter"/>
          </w:rPr>
          <w:t>133/2025</w:t>
        </w:r>
      </w:hyperlink>
      <w:r>
        <w:t>.</w:t>
      </w:r>
    </w:p>
    <w:p w14:paraId="14686C56" w14:textId="216B2456" w:rsidR="001D7FA9" w:rsidRDefault="001D7FA9" w:rsidP="001D7FA9">
      <w:pPr>
        <w:pStyle w:val="SangriaFrancesaArticulo"/>
      </w:pPr>
      <w:r w:rsidRPr="001D7FA9">
        <w:rPr>
          <w:rStyle w:val="TextoNormalNegritaCaracter"/>
        </w:rPr>
        <w:t>Artículo 23.1.</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4DA31BD9" w14:textId="47EC9E50" w:rsidR="001D7FA9" w:rsidRDefault="001D7FA9" w:rsidP="001D7FA9">
      <w:pPr>
        <w:pStyle w:val="SangriaFrancesaArticulo"/>
      </w:pPr>
      <w:r w:rsidRPr="001D7FA9">
        <w:rPr>
          <w:rStyle w:val="TextoNormalNegritaCaracter"/>
        </w:rPr>
        <w:t>Artículo 23.2.</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1FCF17F3" w14:textId="4F430D70" w:rsidR="001D7FA9" w:rsidRDefault="001D7FA9" w:rsidP="001D7FA9">
      <w:pPr>
        <w:pStyle w:val="SangriaFrancesaArticulo"/>
      </w:pPr>
      <w:r w:rsidRPr="001D7FA9">
        <w:rPr>
          <w:rStyle w:val="TextoNormalNegritaCaracter"/>
        </w:rPr>
        <w:t>Artículo 23.3.</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72ED31EF" w14:textId="4DE3E1C3" w:rsidR="001D7FA9" w:rsidRDefault="001D7FA9" w:rsidP="001D7FA9">
      <w:pPr>
        <w:pStyle w:val="SangriaFrancesaArticulo"/>
      </w:pPr>
      <w:r w:rsidRPr="001D7FA9">
        <w:rPr>
          <w:rStyle w:val="TextoNormalNegritaCaracter"/>
        </w:rPr>
        <w:t>Artículo 23.4.</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2C7B794D" w14:textId="62DA4FF2" w:rsidR="001D7FA9" w:rsidRDefault="001D7FA9" w:rsidP="001D7FA9">
      <w:pPr>
        <w:pStyle w:val="SangriaFrancesaArticulo"/>
      </w:pPr>
      <w:r w:rsidRPr="001D7FA9">
        <w:rPr>
          <w:rStyle w:val="TextoNormalNegritaCaracter"/>
        </w:rPr>
        <w:t>Artículo 23.5.</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29444CF0" w14:textId="517AF152" w:rsidR="001D7FA9" w:rsidRDefault="001D7FA9" w:rsidP="001D7FA9">
      <w:pPr>
        <w:pStyle w:val="SangriaFrancesaArticulo"/>
      </w:pPr>
      <w:r w:rsidRPr="001D7FA9">
        <w:rPr>
          <w:rStyle w:val="TextoNormalNegritaCaracter"/>
        </w:rPr>
        <w:t>Artículo 24.3.</w:t>
      </w:r>
      <w:r w:rsidRPr="001D7FA9">
        <w:rPr>
          <w:rStyle w:val="TextoNormalCaracter"/>
        </w:rPr>
        <w:t>-</w:t>
      </w:r>
      <w:r>
        <w:t xml:space="preserve"> Sentencia </w:t>
      </w:r>
      <w:hyperlink w:anchor="SENTENCIA_2025_133" w:history="1">
        <w:r w:rsidRPr="001D7FA9">
          <w:rPr>
            <w:rStyle w:val="TextoNormalCaracter"/>
          </w:rPr>
          <w:t>133/2025</w:t>
        </w:r>
      </w:hyperlink>
      <w:r>
        <w:t>.</w:t>
      </w:r>
    </w:p>
    <w:p w14:paraId="2B3670CF" w14:textId="11425DE8" w:rsidR="001D7FA9" w:rsidRDefault="001D7FA9" w:rsidP="001D7FA9">
      <w:pPr>
        <w:pStyle w:val="SangriaFrancesaArticulo"/>
      </w:pPr>
      <w:r w:rsidRPr="001D7FA9">
        <w:rPr>
          <w:rStyle w:val="TextoNormalNegritaCaracter"/>
        </w:rPr>
        <w:t>Artículo 24.4.</w:t>
      </w:r>
      <w:r w:rsidRPr="001D7FA9">
        <w:rPr>
          <w:rStyle w:val="TextoNormalCaracter"/>
        </w:rPr>
        <w:t>-</w:t>
      </w:r>
      <w:r>
        <w:t xml:space="preserve"> Sentencia </w:t>
      </w:r>
      <w:hyperlink w:anchor="SENTENCIA_2025_133" w:history="1">
        <w:r w:rsidRPr="001D7FA9">
          <w:rPr>
            <w:rStyle w:val="TextoNormalCaracter"/>
          </w:rPr>
          <w:t>133/2025</w:t>
        </w:r>
      </w:hyperlink>
      <w:r>
        <w:t>.</w:t>
      </w:r>
    </w:p>
    <w:p w14:paraId="4CEFA1FD" w14:textId="2399DBC8" w:rsidR="001D7FA9" w:rsidRDefault="001D7FA9" w:rsidP="001D7FA9">
      <w:pPr>
        <w:pStyle w:val="SangriaFrancesaArticulo"/>
      </w:pPr>
      <w:r w:rsidRPr="001D7FA9">
        <w:rPr>
          <w:rStyle w:val="TextoNormalNegritaCaracter"/>
        </w:rPr>
        <w:t>Artículo 26.1.</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21EAC517" w14:textId="62B80ECF" w:rsidR="001D7FA9" w:rsidRDefault="001D7FA9" w:rsidP="001D7FA9">
      <w:pPr>
        <w:pStyle w:val="SangriaFrancesaArticulo"/>
      </w:pPr>
      <w:r w:rsidRPr="001D7FA9">
        <w:rPr>
          <w:rStyle w:val="TextoNormalNegritaCaracter"/>
        </w:rPr>
        <w:t>Artículo 26.3.</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5328DB5B" w14:textId="6AF38F12" w:rsidR="001D7FA9" w:rsidRDefault="001D7FA9" w:rsidP="001D7FA9">
      <w:pPr>
        <w:pStyle w:val="SangriaFrancesaArticulo"/>
      </w:pPr>
      <w:r w:rsidRPr="001D7FA9">
        <w:rPr>
          <w:rStyle w:val="TextoNormalNegritaCaracter"/>
        </w:rPr>
        <w:t>Artículo 30.1.</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326DB99B" w14:textId="409129F8" w:rsidR="001D7FA9" w:rsidRDefault="001D7FA9" w:rsidP="001D7FA9">
      <w:pPr>
        <w:pStyle w:val="SangriaFrancesaArticulo"/>
      </w:pPr>
      <w:r w:rsidRPr="001D7FA9">
        <w:rPr>
          <w:rStyle w:val="TextoNormalNegritaCaracter"/>
        </w:rPr>
        <w:t>Artículo 32.1.</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4E4FABF4" w14:textId="60465EB4" w:rsidR="001D7FA9" w:rsidRDefault="001D7FA9" w:rsidP="001D7FA9">
      <w:pPr>
        <w:pStyle w:val="SangriaFrancesaArticulo"/>
      </w:pPr>
      <w:r w:rsidRPr="001D7FA9">
        <w:rPr>
          <w:rStyle w:val="TextoNormalNegritaCaracter"/>
        </w:rPr>
        <w:t>Artículo 33.2.</w:t>
      </w:r>
      <w:r w:rsidRPr="001D7FA9">
        <w:rPr>
          <w:rStyle w:val="TextoNormalCaracter"/>
        </w:rPr>
        <w:t>-</w:t>
      </w:r>
      <w:r>
        <w:t xml:space="preserve"> Sentencia </w:t>
      </w:r>
      <w:hyperlink w:anchor="SENTENCIA_2025_133" w:history="1">
        <w:r w:rsidRPr="001D7FA9">
          <w:rPr>
            <w:rStyle w:val="TextoNormalCaracter"/>
          </w:rPr>
          <w:t>133/2025</w:t>
        </w:r>
      </w:hyperlink>
      <w:r>
        <w:t>.</w:t>
      </w:r>
    </w:p>
    <w:p w14:paraId="78704063" w14:textId="05FF4FD0" w:rsidR="001D7FA9" w:rsidRDefault="001D7FA9" w:rsidP="001D7FA9">
      <w:pPr>
        <w:pStyle w:val="SangriaFrancesaArticulo"/>
      </w:pPr>
      <w:r w:rsidRPr="001D7FA9">
        <w:rPr>
          <w:rStyle w:val="TextoNormalNegritaCaracter"/>
        </w:rPr>
        <w:t>Artículo 34.1 a).</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6BFD9659" w14:textId="627E5B83" w:rsidR="001D7FA9" w:rsidRDefault="001D7FA9" w:rsidP="001D7FA9">
      <w:pPr>
        <w:pStyle w:val="SangriaFrancesaArticulo"/>
      </w:pPr>
      <w:r w:rsidRPr="001D7FA9">
        <w:rPr>
          <w:rStyle w:val="TextoNormalNegritaCaracter"/>
        </w:rPr>
        <w:t>Artículo 34.1 b).</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2D178DF6" w14:textId="4735063B" w:rsidR="001D7FA9" w:rsidRDefault="001D7FA9" w:rsidP="001D7FA9">
      <w:pPr>
        <w:pStyle w:val="SangriaFrancesaArticulo"/>
      </w:pPr>
      <w:r w:rsidRPr="001D7FA9">
        <w:rPr>
          <w:rStyle w:val="TextoNormalNegritaCaracter"/>
        </w:rPr>
        <w:t>Artículo 36.2 a).</w:t>
      </w:r>
      <w:r w:rsidRPr="001D7FA9">
        <w:rPr>
          <w:rStyle w:val="TextoNormalCaracter"/>
        </w:rPr>
        <w:t>-</w:t>
      </w:r>
      <w:r>
        <w:t xml:space="preserve"> Sentencia </w:t>
      </w:r>
      <w:hyperlink w:anchor="SENTENCIA_2025_133" w:history="1">
        <w:r w:rsidRPr="001D7FA9">
          <w:rPr>
            <w:rStyle w:val="TextoNormalCaracter"/>
          </w:rPr>
          <w:t>133/2025</w:t>
        </w:r>
      </w:hyperlink>
      <w:r>
        <w:t>.</w:t>
      </w:r>
    </w:p>
    <w:p w14:paraId="74F79018" w14:textId="43F28267" w:rsidR="001D7FA9" w:rsidRDefault="001D7FA9" w:rsidP="001D7FA9">
      <w:pPr>
        <w:pStyle w:val="SangriaFrancesaArticulo"/>
      </w:pPr>
      <w:r w:rsidRPr="001D7FA9">
        <w:rPr>
          <w:rStyle w:val="TextoNormalNegritaCaracter"/>
        </w:rPr>
        <w:t>Artículo 36.2 b).</w:t>
      </w:r>
      <w:r w:rsidRPr="001D7FA9">
        <w:rPr>
          <w:rStyle w:val="TextoNormalCaracter"/>
        </w:rPr>
        <w:t>-</w:t>
      </w:r>
      <w:r>
        <w:t xml:space="preserve"> Sentencia </w:t>
      </w:r>
      <w:hyperlink w:anchor="SENTENCIA_2025_133" w:history="1">
        <w:r w:rsidRPr="001D7FA9">
          <w:rPr>
            <w:rStyle w:val="TextoNormalCaracter"/>
          </w:rPr>
          <w:t>133/2025</w:t>
        </w:r>
      </w:hyperlink>
      <w:r>
        <w:t>.</w:t>
      </w:r>
    </w:p>
    <w:p w14:paraId="0F5AA0C7" w14:textId="153FEB33" w:rsidR="001D7FA9" w:rsidRDefault="001D7FA9" w:rsidP="001D7FA9">
      <w:pPr>
        <w:pStyle w:val="SangriaFrancesaArticulo"/>
      </w:pPr>
      <w:r w:rsidRPr="001D7FA9">
        <w:rPr>
          <w:rStyle w:val="TextoNormalNegritaCaracter"/>
        </w:rPr>
        <w:t>Artículo 36.2 c).</w:t>
      </w:r>
      <w:r w:rsidRPr="001D7FA9">
        <w:rPr>
          <w:rStyle w:val="TextoNormalCaracter"/>
        </w:rPr>
        <w:t>-</w:t>
      </w:r>
      <w:r>
        <w:t xml:space="preserve"> Sentencia </w:t>
      </w:r>
      <w:hyperlink w:anchor="SENTENCIA_2025_133" w:history="1">
        <w:r w:rsidRPr="001D7FA9">
          <w:rPr>
            <w:rStyle w:val="TextoNormalCaracter"/>
          </w:rPr>
          <w:t>133/2025</w:t>
        </w:r>
      </w:hyperlink>
      <w:r>
        <w:t>.</w:t>
      </w:r>
    </w:p>
    <w:p w14:paraId="4676EE24" w14:textId="77BFC82C" w:rsidR="001D7FA9" w:rsidRDefault="001D7FA9" w:rsidP="001D7FA9">
      <w:pPr>
        <w:pStyle w:val="SangriaFrancesaArticulo"/>
      </w:pPr>
      <w:r w:rsidRPr="001D7FA9">
        <w:rPr>
          <w:rStyle w:val="TextoNormalNegritaCaracter"/>
        </w:rPr>
        <w:t>Apartado a) del artículo 28.1.</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68591A39" w14:textId="0E606710" w:rsidR="001D7FA9" w:rsidRDefault="001D7FA9" w:rsidP="001D7FA9">
      <w:pPr>
        <w:pStyle w:val="SangriaFrancesaArticulo"/>
      </w:pPr>
      <w:r w:rsidRPr="001D7FA9">
        <w:rPr>
          <w:rStyle w:val="TextoNormalNegritaCaracter"/>
        </w:rPr>
        <w:t>Apartado d) del artículo 40.1.</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071C9C38" w14:textId="020A6681" w:rsidR="001D7FA9" w:rsidRDefault="001D7FA9" w:rsidP="001D7FA9">
      <w:pPr>
        <w:pStyle w:val="SangriaFrancesaArticulo"/>
      </w:pPr>
      <w:r w:rsidRPr="001D7FA9">
        <w:rPr>
          <w:rStyle w:val="TextoNormalNegritaCaracter"/>
        </w:rPr>
        <w:t>Apartado e) del artículo 40.2.</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2A6556C0" w14:textId="674997BB" w:rsidR="001D7FA9" w:rsidRDefault="001D7FA9" w:rsidP="001D7FA9">
      <w:pPr>
        <w:pStyle w:val="SangriaFrancesaArticulo"/>
      </w:pPr>
      <w:r w:rsidRPr="001D7FA9">
        <w:rPr>
          <w:rStyle w:val="TextoNormalNegritaCaracter"/>
        </w:rPr>
        <w:t>Artículo 40.1 f) inciso "restricción de la movilidad nocturna y de limitación de la libertad de circulación de las personas en horario nocturno".</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5E2D8152" w14:textId="444D7CB2" w:rsidR="001D7FA9" w:rsidRDefault="001D7FA9" w:rsidP="001D7FA9">
      <w:pPr>
        <w:pStyle w:val="SangriaFrancesaArticulo"/>
      </w:pPr>
      <w:r w:rsidRPr="001D7FA9">
        <w:rPr>
          <w:rStyle w:val="TextoNormalNegritaCaracter"/>
        </w:rPr>
        <w:t>Artículo 40.3 j) inciso "o de los límites del número de asistentes a los actos y reuniones sociales de carácter privado".</w:t>
      </w:r>
      <w:r w:rsidRPr="001D7FA9">
        <w:rPr>
          <w:rStyle w:val="TextoNormalCaracter"/>
        </w:rPr>
        <w:t>-</w:t>
      </w:r>
      <w:r>
        <w:t xml:space="preserve"> Sentencia </w:t>
      </w:r>
      <w:hyperlink w:anchor="SENTENCIA_2025_133" w:history="1">
        <w:r w:rsidRPr="001D7FA9">
          <w:rPr>
            <w:rStyle w:val="TextoNormalCaracter"/>
          </w:rPr>
          <w:t>133/2025</w:t>
        </w:r>
      </w:hyperlink>
      <w:r>
        <w:t xml:space="preserve"> (anula).</w:t>
      </w:r>
    </w:p>
    <w:p w14:paraId="31885C1A" w14:textId="57422BE2" w:rsidR="001D7FA9" w:rsidRDefault="001D7FA9">
      <w:pPr>
        <w:spacing w:after="160" w:line="278" w:lineRule="auto"/>
        <w:rPr>
          <w:rFonts w:ascii="Times New Roman" w:eastAsia="Times New Roman" w:hAnsi="Times New Roman" w:cs="Times New Roman"/>
          <w:sz w:val="24"/>
          <w:szCs w:val="24"/>
          <w:lang w:eastAsia="es-ES"/>
        </w:rPr>
      </w:pPr>
      <w:r>
        <w:br w:type="page"/>
      </w:r>
    </w:p>
    <w:p w14:paraId="209A6029" w14:textId="77777777" w:rsidR="001D7FA9" w:rsidRDefault="001D7FA9" w:rsidP="001D7FA9">
      <w:pPr>
        <w:pStyle w:val="SangriaFrancesaArticulo"/>
      </w:pPr>
    </w:p>
    <w:p w14:paraId="6FD69DA5" w14:textId="77777777" w:rsidR="001D7FA9" w:rsidRDefault="001D7FA9" w:rsidP="001D7FA9">
      <w:pPr>
        <w:pStyle w:val="TextoNormal"/>
      </w:pPr>
    </w:p>
    <w:p w14:paraId="7537BAE9" w14:textId="77777777" w:rsidR="001D7FA9" w:rsidRDefault="001D7FA9" w:rsidP="001D7FA9">
      <w:pPr>
        <w:pStyle w:val="TextoNormal"/>
      </w:pPr>
    </w:p>
    <w:p w14:paraId="09FD12D3" w14:textId="77777777" w:rsidR="001D7FA9" w:rsidRDefault="001D7FA9" w:rsidP="001D7FA9">
      <w:pPr>
        <w:pStyle w:val="TextoNormal"/>
      </w:pPr>
    </w:p>
    <w:p w14:paraId="03DE398A" w14:textId="77777777" w:rsidR="001D7FA9" w:rsidRDefault="001D7FA9" w:rsidP="001D7FA9">
      <w:pPr>
        <w:pStyle w:val="Ttulondice"/>
        <w:suppressAutoHyphens/>
      </w:pPr>
      <w:r>
        <w:t>4. ÍNDICE DE DISPOSICIONES GENERALES Y RESOLUCIONES IMPUGNADAS</w:t>
      </w:r>
    </w:p>
    <w:p w14:paraId="2912BE25" w14:textId="4F156C07" w:rsidR="001D7FA9" w:rsidRDefault="001D7FA9" w:rsidP="001D7FA9">
      <w:pPr>
        <w:pStyle w:val="TextoNormal"/>
        <w:suppressAutoHyphens/>
      </w:pPr>
    </w:p>
    <w:p w14:paraId="0ABBB60A" w14:textId="77777777" w:rsidR="001D7FA9" w:rsidRDefault="001D7FA9" w:rsidP="001D7FA9">
      <w:pPr>
        <w:pStyle w:val="TextoNormal"/>
        <w:suppressAutoHyphens/>
      </w:pPr>
    </w:p>
    <w:p w14:paraId="55ED8377" w14:textId="77777777" w:rsidR="001D7FA9" w:rsidRDefault="001D7FA9" w:rsidP="001D7FA9">
      <w:pPr>
        <w:pStyle w:val="TextoNormal"/>
        <w:suppressAutoHyphens/>
      </w:pPr>
    </w:p>
    <w:p w14:paraId="140293F4" w14:textId="77777777" w:rsidR="001D7FA9" w:rsidRDefault="001D7FA9" w:rsidP="001D7FA9">
      <w:pPr>
        <w:pStyle w:val="TextoNormal"/>
        <w:suppressAutoHyphens/>
      </w:pPr>
    </w:p>
    <w:p w14:paraId="14C0F967" w14:textId="77777777" w:rsidR="001D7FA9" w:rsidRDefault="001D7FA9" w:rsidP="001D7FA9">
      <w:pPr>
        <w:pStyle w:val="TextoNormal"/>
        <w:suppressAutoHyphens/>
      </w:pPr>
    </w:p>
    <w:p w14:paraId="2CAC33C7" w14:textId="77777777" w:rsidR="001D7FA9" w:rsidRDefault="001D7FA9" w:rsidP="001D7FA9">
      <w:pPr>
        <w:pStyle w:val="TextoNormal"/>
        <w:suppressAutoHyphens/>
      </w:pPr>
    </w:p>
    <w:p w14:paraId="0EB68AE4" w14:textId="77777777" w:rsidR="001D7FA9" w:rsidRDefault="001D7FA9" w:rsidP="001D7FA9">
      <w:pPr>
        <w:pStyle w:val="TextoNormal"/>
        <w:suppressAutoHyphens/>
      </w:pPr>
    </w:p>
    <w:p w14:paraId="39FF22B6" w14:textId="77777777" w:rsidR="001D7FA9" w:rsidRDefault="001D7FA9" w:rsidP="001D7FA9">
      <w:pPr>
        <w:pStyle w:val="TextoNormal"/>
        <w:suppressAutoHyphens/>
      </w:pPr>
    </w:p>
    <w:p w14:paraId="30BEFE32" w14:textId="77777777" w:rsidR="001D7FA9" w:rsidRDefault="001D7FA9" w:rsidP="001D7FA9">
      <w:pPr>
        <w:pStyle w:val="TextoNormal"/>
        <w:suppressAutoHyphens/>
      </w:pPr>
    </w:p>
    <w:p w14:paraId="3CA3C493" w14:textId="77777777" w:rsidR="001D7FA9" w:rsidRDefault="001D7FA9" w:rsidP="001D7FA9">
      <w:pPr>
        <w:pStyle w:val="TextoNormal"/>
      </w:pPr>
    </w:p>
    <w:p w14:paraId="6470BD32" w14:textId="77777777" w:rsidR="001D7FA9" w:rsidRDefault="001D7FA9" w:rsidP="001D7FA9">
      <w:pPr>
        <w:pStyle w:val="TextoNormal"/>
      </w:pPr>
      <w:bookmarkStart w:id="209" w:name="INDICE22803"/>
      <w:bookmarkEnd w:id="209"/>
    </w:p>
    <w:p w14:paraId="460AC7CF" w14:textId="77777777" w:rsidR="001D7FA9" w:rsidRDefault="001D7FA9" w:rsidP="001D7FA9">
      <w:pPr>
        <w:pStyle w:val="TextoIndiceNivel2"/>
        <w:suppressAutoHyphens/>
      </w:pPr>
      <w:r>
        <w:t>A) Disposiciones del Estado</w:t>
      </w:r>
    </w:p>
    <w:p w14:paraId="1182D58E" w14:textId="63476C18" w:rsidR="001D7FA9" w:rsidRDefault="001D7FA9" w:rsidP="001D7FA9">
      <w:pPr>
        <w:pStyle w:val="TextoIndiceNivel2"/>
      </w:pPr>
    </w:p>
    <w:p w14:paraId="5B4E3843" w14:textId="77777777" w:rsidR="001D7FA9" w:rsidRDefault="001D7FA9" w:rsidP="001D7FA9">
      <w:pPr>
        <w:pStyle w:val="TextoNormalNegritaCursivandice"/>
        <w:keepNext/>
      </w:pPr>
      <w:r>
        <w:t>Dictamen de la Comisión de Investigación relativa al accidente del vuelo JK5022 de Spanair, aprobado por el Pleno del Congreso de los Diputados el 13 de mayo de 2021</w:t>
      </w:r>
    </w:p>
    <w:p w14:paraId="3336CB8F" w14:textId="46326D7F" w:rsidR="001D7FA9" w:rsidRDefault="001D7FA9" w:rsidP="001D7FA9">
      <w:pPr>
        <w:pStyle w:val="SangriaFrancesaArticulo"/>
      </w:pPr>
      <w:r w:rsidRPr="001D7FA9">
        <w:rPr>
          <w:rStyle w:val="TextoNormalNegritaCaracter"/>
        </w:rPr>
        <w:t>Conclusión X.</w:t>
      </w:r>
      <w:r w:rsidRPr="001D7FA9">
        <w:rPr>
          <w:rStyle w:val="TextoNormalCaracter"/>
        </w:rPr>
        <w:t>-</w:t>
      </w:r>
      <w:r>
        <w:t xml:space="preserve"> Sentencias </w:t>
      </w:r>
      <w:hyperlink w:anchor="SENTENCIA_2025_107" w:history="1">
        <w:r w:rsidRPr="001D7FA9">
          <w:rPr>
            <w:rStyle w:val="TextoNormalCaracter"/>
          </w:rPr>
          <w:t>107/2025</w:t>
        </w:r>
      </w:hyperlink>
      <w:r>
        <w:t xml:space="preserve">; </w:t>
      </w:r>
      <w:hyperlink w:anchor="SENTENCIA_2025_108" w:history="1">
        <w:r w:rsidRPr="001D7FA9">
          <w:rPr>
            <w:rStyle w:val="TextoNormalCaracter"/>
          </w:rPr>
          <w:t>108/2025</w:t>
        </w:r>
      </w:hyperlink>
      <w:r>
        <w:t>.</w:t>
      </w:r>
    </w:p>
    <w:p w14:paraId="510368B6" w14:textId="53FCF4BE" w:rsidR="001D7FA9" w:rsidRDefault="001D7FA9" w:rsidP="001D7FA9">
      <w:pPr>
        <w:pStyle w:val="SangriaFrancesaArticulo"/>
      </w:pPr>
      <w:r w:rsidRPr="001D7FA9">
        <w:rPr>
          <w:rStyle w:val="TextoNormalNegritaCaracter"/>
        </w:rPr>
        <w:t>Recomendación novena.</w:t>
      </w:r>
      <w:r w:rsidRPr="001D7FA9">
        <w:rPr>
          <w:rStyle w:val="TextoNormalCaracter"/>
        </w:rPr>
        <w:t>-</w:t>
      </w:r>
      <w:r>
        <w:t xml:space="preserve"> Sentencias </w:t>
      </w:r>
      <w:hyperlink w:anchor="SENTENCIA_2025_107" w:history="1">
        <w:r w:rsidRPr="001D7FA9">
          <w:rPr>
            <w:rStyle w:val="TextoNormalCaracter"/>
          </w:rPr>
          <w:t>107/2025</w:t>
        </w:r>
      </w:hyperlink>
      <w:r>
        <w:t xml:space="preserve">; </w:t>
      </w:r>
      <w:hyperlink w:anchor="SENTENCIA_2025_108" w:history="1">
        <w:r w:rsidRPr="001D7FA9">
          <w:rPr>
            <w:rStyle w:val="TextoNormalCaracter"/>
          </w:rPr>
          <w:t>108/2025</w:t>
        </w:r>
      </w:hyperlink>
      <w:r>
        <w:t>.</w:t>
      </w:r>
    </w:p>
    <w:p w14:paraId="59ED7522" w14:textId="05B377B1" w:rsidR="001D7FA9" w:rsidRDefault="001D7FA9" w:rsidP="001D7FA9">
      <w:pPr>
        <w:pStyle w:val="SangriaFrancesaArticulo"/>
      </w:pPr>
    </w:p>
    <w:p w14:paraId="7ADAFF19" w14:textId="77777777" w:rsidR="001D7FA9" w:rsidRDefault="001D7FA9" w:rsidP="001D7FA9">
      <w:pPr>
        <w:pStyle w:val="TextoNormalNegritaCursivandice"/>
        <w:keepNext/>
      </w:pPr>
      <w:r>
        <w:t>Real Decreto 659/2023, de 18 de julio, por el que se desarrolla la ordenación del sistema de formación profesional</w:t>
      </w:r>
    </w:p>
    <w:p w14:paraId="6B46E375" w14:textId="6FDCAFA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xml:space="preserve"> (anula parcialmente).</w:t>
      </w:r>
    </w:p>
    <w:p w14:paraId="1193A967" w14:textId="437D28E0"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Sentencia </w:t>
      </w:r>
      <w:hyperlink w:anchor="SENTENCIA_2025_82" w:history="1">
        <w:r w:rsidRPr="001D7FA9">
          <w:rPr>
            <w:rStyle w:val="TextoNormalCaracter"/>
          </w:rPr>
          <w:t>82/2025</w:t>
        </w:r>
      </w:hyperlink>
      <w:r>
        <w:t>.</w:t>
      </w:r>
    </w:p>
    <w:p w14:paraId="544E2856" w14:textId="23A9BD19" w:rsidR="001D7FA9" w:rsidRDefault="001D7FA9" w:rsidP="001D7FA9">
      <w:pPr>
        <w:pStyle w:val="SangriaFrancesaArticulo"/>
      </w:pPr>
      <w:r w:rsidRPr="001D7FA9">
        <w:rPr>
          <w:rStyle w:val="TextoNormalNegritaCaracter"/>
        </w:rPr>
        <w:t>Artículo 9.5.</w:t>
      </w:r>
      <w:r w:rsidRPr="001D7FA9">
        <w:rPr>
          <w:rStyle w:val="TextoNormalCaracter"/>
        </w:rPr>
        <w:t>-</w:t>
      </w:r>
      <w:r>
        <w:t xml:space="preserve"> Sentencia </w:t>
      </w:r>
      <w:hyperlink w:anchor="SENTENCIA_2025_82" w:history="1">
        <w:r w:rsidRPr="001D7FA9">
          <w:rPr>
            <w:rStyle w:val="TextoNormalCaracter"/>
          </w:rPr>
          <w:t>82/2025</w:t>
        </w:r>
      </w:hyperlink>
      <w:r>
        <w:t>.</w:t>
      </w:r>
    </w:p>
    <w:p w14:paraId="49798320" w14:textId="270DACE8" w:rsidR="001D7FA9" w:rsidRDefault="001D7FA9" w:rsidP="001D7FA9">
      <w:pPr>
        <w:pStyle w:val="SangriaFrancesaArticulo"/>
      </w:pPr>
      <w:r w:rsidRPr="001D7FA9">
        <w:rPr>
          <w:rStyle w:val="TextoNormalNegritaCaracter"/>
        </w:rPr>
        <w:t>Artículo 25.1 b).</w:t>
      </w:r>
      <w:r w:rsidRPr="001D7FA9">
        <w:rPr>
          <w:rStyle w:val="TextoNormalCaracter"/>
        </w:rPr>
        <w:t>-</w:t>
      </w:r>
      <w:r>
        <w:t xml:space="preserve"> Sentencia </w:t>
      </w:r>
      <w:hyperlink w:anchor="SENTENCIA_2025_82" w:history="1">
        <w:r w:rsidRPr="001D7FA9">
          <w:rPr>
            <w:rStyle w:val="TextoNormalCaracter"/>
          </w:rPr>
          <w:t>82/2025</w:t>
        </w:r>
      </w:hyperlink>
      <w:r>
        <w:t>.</w:t>
      </w:r>
    </w:p>
    <w:p w14:paraId="0F6D73C2" w14:textId="20AC2130" w:rsidR="001D7FA9" w:rsidRDefault="001D7FA9" w:rsidP="001D7FA9">
      <w:pPr>
        <w:pStyle w:val="SangriaFrancesaArticulo"/>
      </w:pPr>
      <w:r w:rsidRPr="001D7FA9">
        <w:rPr>
          <w:rStyle w:val="TextoNormalNegritaCaracter"/>
        </w:rPr>
        <w:t>Artículo  47.1 b).</w:t>
      </w:r>
      <w:r w:rsidRPr="001D7FA9">
        <w:rPr>
          <w:rStyle w:val="TextoNormalCaracter"/>
        </w:rPr>
        <w:t>-</w:t>
      </w:r>
      <w:r>
        <w:t xml:space="preserve"> Sentencia </w:t>
      </w:r>
      <w:hyperlink w:anchor="SENTENCIA_2025_82" w:history="1">
        <w:r w:rsidRPr="001D7FA9">
          <w:rPr>
            <w:rStyle w:val="TextoNormalCaracter"/>
          </w:rPr>
          <w:t>82/2025</w:t>
        </w:r>
      </w:hyperlink>
      <w:r>
        <w:t xml:space="preserve"> (anula).</w:t>
      </w:r>
    </w:p>
    <w:p w14:paraId="5FFF981A" w14:textId="298B6DB9" w:rsidR="001D7FA9" w:rsidRDefault="001D7FA9" w:rsidP="001D7FA9">
      <w:pPr>
        <w:pStyle w:val="SangriaFrancesaArticulo"/>
      </w:pPr>
      <w:r w:rsidRPr="001D7FA9">
        <w:rPr>
          <w:rStyle w:val="TextoNormalNegritaCaracter"/>
        </w:rPr>
        <w:t>Artículo 84.1 b).</w:t>
      </w:r>
      <w:r w:rsidRPr="001D7FA9">
        <w:rPr>
          <w:rStyle w:val="TextoNormalCaracter"/>
        </w:rPr>
        <w:t>-</w:t>
      </w:r>
      <w:r>
        <w:t xml:space="preserve"> Sentencia </w:t>
      </w:r>
      <w:hyperlink w:anchor="SENTENCIA_2025_82" w:history="1">
        <w:r w:rsidRPr="001D7FA9">
          <w:rPr>
            <w:rStyle w:val="TextoNormalCaracter"/>
          </w:rPr>
          <w:t>82/2025</w:t>
        </w:r>
      </w:hyperlink>
      <w:r>
        <w:t>.</w:t>
      </w:r>
    </w:p>
    <w:p w14:paraId="3962BBE4" w14:textId="7E8C1141" w:rsidR="001D7FA9" w:rsidRDefault="001D7FA9" w:rsidP="001D7FA9">
      <w:pPr>
        <w:pStyle w:val="SangriaFrancesaArticulo"/>
      </w:pPr>
      <w:r w:rsidRPr="001D7FA9">
        <w:rPr>
          <w:rStyle w:val="TextoNormalNegritaCaracter"/>
        </w:rPr>
        <w:t>Artículo 96.1 b).</w:t>
      </w:r>
      <w:r w:rsidRPr="001D7FA9">
        <w:rPr>
          <w:rStyle w:val="TextoNormalCaracter"/>
        </w:rPr>
        <w:t>-</w:t>
      </w:r>
      <w:r>
        <w:t xml:space="preserve"> Sentencia </w:t>
      </w:r>
      <w:hyperlink w:anchor="SENTENCIA_2025_82" w:history="1">
        <w:r w:rsidRPr="001D7FA9">
          <w:rPr>
            <w:rStyle w:val="TextoNormalCaracter"/>
          </w:rPr>
          <w:t>82/2025</w:t>
        </w:r>
      </w:hyperlink>
      <w:r>
        <w:t>.</w:t>
      </w:r>
    </w:p>
    <w:p w14:paraId="44E45E4D" w14:textId="50E59E65" w:rsidR="001D7FA9" w:rsidRDefault="001D7FA9" w:rsidP="001D7FA9">
      <w:pPr>
        <w:pStyle w:val="SangriaFrancesaArticulo"/>
      </w:pPr>
      <w:r w:rsidRPr="001D7FA9">
        <w:rPr>
          <w:rStyle w:val="TextoNormalNegritaCaracter"/>
        </w:rPr>
        <w:t>Artículo 96.2 c).</w:t>
      </w:r>
      <w:r w:rsidRPr="001D7FA9">
        <w:rPr>
          <w:rStyle w:val="TextoNormalCaracter"/>
        </w:rPr>
        <w:t>-</w:t>
      </w:r>
      <w:r>
        <w:t xml:space="preserve"> Sentencia </w:t>
      </w:r>
      <w:hyperlink w:anchor="SENTENCIA_2025_82" w:history="1">
        <w:r w:rsidRPr="001D7FA9">
          <w:rPr>
            <w:rStyle w:val="TextoNormalCaracter"/>
          </w:rPr>
          <w:t>82/2025</w:t>
        </w:r>
      </w:hyperlink>
      <w:r>
        <w:t>.</w:t>
      </w:r>
    </w:p>
    <w:p w14:paraId="2C98CCAF" w14:textId="3AF8430A" w:rsidR="001D7FA9" w:rsidRDefault="001D7FA9" w:rsidP="001D7FA9">
      <w:pPr>
        <w:pStyle w:val="SangriaFrancesaArticulo"/>
      </w:pPr>
      <w:r w:rsidRPr="001D7FA9">
        <w:rPr>
          <w:rStyle w:val="TextoNormalNegritaCaracter"/>
        </w:rPr>
        <w:t xml:space="preserve">Artículo 97.3 a) </w:t>
      </w:r>
      <w:r w:rsidRPr="001D7FA9">
        <w:rPr>
          <w:rStyle w:val="TextoNormalNegritaCursivaCaracter"/>
        </w:rPr>
        <w:t>in fine</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w:t>
      </w:r>
    </w:p>
    <w:p w14:paraId="0D4DF866" w14:textId="3959BDCB" w:rsidR="001D7FA9" w:rsidRDefault="001D7FA9" w:rsidP="001D7FA9">
      <w:pPr>
        <w:pStyle w:val="SangriaFrancesaArticulo"/>
      </w:pPr>
      <w:r w:rsidRPr="001D7FA9">
        <w:rPr>
          <w:rStyle w:val="TextoNormalNegritaCaracter"/>
        </w:rPr>
        <w:t>Artículo 102.1.</w:t>
      </w:r>
      <w:r w:rsidRPr="001D7FA9">
        <w:rPr>
          <w:rStyle w:val="TextoNormalCaracter"/>
        </w:rPr>
        <w:t>-</w:t>
      </w:r>
      <w:r>
        <w:t xml:space="preserve"> Sentencia </w:t>
      </w:r>
      <w:hyperlink w:anchor="SENTENCIA_2025_82" w:history="1">
        <w:r w:rsidRPr="001D7FA9">
          <w:rPr>
            <w:rStyle w:val="TextoNormalCaracter"/>
          </w:rPr>
          <w:t>82/2025</w:t>
        </w:r>
      </w:hyperlink>
      <w:r>
        <w:t>.</w:t>
      </w:r>
    </w:p>
    <w:p w14:paraId="1158ECC6" w14:textId="36E58F35" w:rsidR="001D7FA9" w:rsidRDefault="001D7FA9" w:rsidP="001D7FA9">
      <w:pPr>
        <w:pStyle w:val="SangriaFrancesaArticulo"/>
      </w:pPr>
      <w:r w:rsidRPr="001D7FA9">
        <w:rPr>
          <w:rStyle w:val="TextoNormalNegritaCaracter"/>
        </w:rPr>
        <w:t>Artículo 103.2 apartados a), b).</w:t>
      </w:r>
      <w:r w:rsidRPr="001D7FA9">
        <w:rPr>
          <w:rStyle w:val="TextoNormalCaracter"/>
        </w:rPr>
        <w:t>-</w:t>
      </w:r>
      <w:r>
        <w:t xml:space="preserve"> Sentencia </w:t>
      </w:r>
      <w:hyperlink w:anchor="SENTENCIA_2025_82" w:history="1">
        <w:r w:rsidRPr="001D7FA9">
          <w:rPr>
            <w:rStyle w:val="TextoNormalCaracter"/>
          </w:rPr>
          <w:t>82/2025</w:t>
        </w:r>
      </w:hyperlink>
      <w:r>
        <w:t>.</w:t>
      </w:r>
    </w:p>
    <w:p w14:paraId="2B0E29F6" w14:textId="4185E563" w:rsidR="001D7FA9" w:rsidRDefault="001D7FA9" w:rsidP="001D7FA9">
      <w:pPr>
        <w:pStyle w:val="SangriaFrancesaArticulo"/>
      </w:pPr>
      <w:r w:rsidRPr="001D7FA9">
        <w:rPr>
          <w:rStyle w:val="TextoNormalNegritaCaracter"/>
        </w:rPr>
        <w:t>Artículo 105 apartados b), c).</w:t>
      </w:r>
      <w:r w:rsidRPr="001D7FA9">
        <w:rPr>
          <w:rStyle w:val="TextoNormalCaracter"/>
        </w:rPr>
        <w:t>-</w:t>
      </w:r>
      <w:r>
        <w:t xml:space="preserve"> Sentencia </w:t>
      </w:r>
      <w:hyperlink w:anchor="SENTENCIA_2025_82" w:history="1">
        <w:r w:rsidRPr="001D7FA9">
          <w:rPr>
            <w:rStyle w:val="TextoNormalCaracter"/>
          </w:rPr>
          <w:t>82/2025</w:t>
        </w:r>
      </w:hyperlink>
      <w:r>
        <w:t>.</w:t>
      </w:r>
    </w:p>
    <w:p w14:paraId="56FD8B9F" w14:textId="14FC4BBA" w:rsidR="001D7FA9" w:rsidRDefault="001D7FA9" w:rsidP="001D7FA9">
      <w:pPr>
        <w:pStyle w:val="SangriaFrancesaArticulo"/>
      </w:pPr>
      <w:r w:rsidRPr="001D7FA9">
        <w:rPr>
          <w:rStyle w:val="TextoNormalNegritaCaracter"/>
        </w:rPr>
        <w:t>Artículo 108.1 d).</w:t>
      </w:r>
      <w:r w:rsidRPr="001D7FA9">
        <w:rPr>
          <w:rStyle w:val="TextoNormalCaracter"/>
        </w:rPr>
        <w:t>-</w:t>
      </w:r>
      <w:r>
        <w:t xml:space="preserve"> Sentencia </w:t>
      </w:r>
      <w:hyperlink w:anchor="SENTENCIA_2025_82" w:history="1">
        <w:r w:rsidRPr="001D7FA9">
          <w:rPr>
            <w:rStyle w:val="TextoNormalCaracter"/>
          </w:rPr>
          <w:t>82/2025</w:t>
        </w:r>
      </w:hyperlink>
      <w:r>
        <w:t>.</w:t>
      </w:r>
    </w:p>
    <w:p w14:paraId="02C3C879" w14:textId="61EE929D" w:rsidR="001D7FA9" w:rsidRDefault="001D7FA9" w:rsidP="001D7FA9">
      <w:pPr>
        <w:pStyle w:val="SangriaFrancesaArticulo"/>
      </w:pPr>
      <w:r w:rsidRPr="001D7FA9">
        <w:rPr>
          <w:rStyle w:val="TextoNormalNegritaCaracter"/>
        </w:rPr>
        <w:t>Artículo 109.1.</w:t>
      </w:r>
      <w:r w:rsidRPr="001D7FA9">
        <w:rPr>
          <w:rStyle w:val="TextoNormalCaracter"/>
        </w:rPr>
        <w:t>-</w:t>
      </w:r>
      <w:r>
        <w:t xml:space="preserve"> Sentencia </w:t>
      </w:r>
      <w:hyperlink w:anchor="SENTENCIA_2025_82" w:history="1">
        <w:r w:rsidRPr="001D7FA9">
          <w:rPr>
            <w:rStyle w:val="TextoNormalCaracter"/>
          </w:rPr>
          <w:t>82/2025</w:t>
        </w:r>
      </w:hyperlink>
      <w:r>
        <w:t>.</w:t>
      </w:r>
    </w:p>
    <w:p w14:paraId="5C9A4295" w14:textId="10B9B7AF" w:rsidR="001D7FA9" w:rsidRDefault="001D7FA9" w:rsidP="001D7FA9">
      <w:pPr>
        <w:pStyle w:val="SangriaFrancesaArticulo"/>
      </w:pPr>
      <w:r w:rsidRPr="001D7FA9">
        <w:rPr>
          <w:rStyle w:val="TextoNormalNegritaCaracter"/>
        </w:rPr>
        <w:t>Artículo 109.4.</w:t>
      </w:r>
      <w:r w:rsidRPr="001D7FA9">
        <w:rPr>
          <w:rStyle w:val="TextoNormalCaracter"/>
        </w:rPr>
        <w:t>-</w:t>
      </w:r>
      <w:r>
        <w:t xml:space="preserve"> Sentencia </w:t>
      </w:r>
      <w:hyperlink w:anchor="SENTENCIA_2025_82" w:history="1">
        <w:r w:rsidRPr="001D7FA9">
          <w:rPr>
            <w:rStyle w:val="TextoNormalCaracter"/>
          </w:rPr>
          <w:t>82/2025</w:t>
        </w:r>
      </w:hyperlink>
      <w:r>
        <w:t>.</w:t>
      </w:r>
    </w:p>
    <w:p w14:paraId="32045EE1" w14:textId="4A98B001" w:rsidR="001D7FA9" w:rsidRDefault="001D7FA9" w:rsidP="001D7FA9">
      <w:pPr>
        <w:pStyle w:val="SangriaFrancesaArticulo"/>
      </w:pPr>
      <w:r w:rsidRPr="001D7FA9">
        <w:rPr>
          <w:rStyle w:val="TextoNormalNegritaCaracter"/>
        </w:rPr>
        <w:t>Artículo 111.2 inciso 2.</w:t>
      </w:r>
      <w:r w:rsidRPr="001D7FA9">
        <w:rPr>
          <w:rStyle w:val="TextoNormalCaracter"/>
        </w:rPr>
        <w:t>-</w:t>
      </w:r>
      <w:r>
        <w:t xml:space="preserve"> Sentencia </w:t>
      </w:r>
      <w:hyperlink w:anchor="SENTENCIA_2025_82" w:history="1">
        <w:r w:rsidRPr="001D7FA9">
          <w:rPr>
            <w:rStyle w:val="TextoNormalCaracter"/>
          </w:rPr>
          <w:t>82/2025</w:t>
        </w:r>
      </w:hyperlink>
      <w:r>
        <w:t>.</w:t>
      </w:r>
    </w:p>
    <w:p w14:paraId="6335E2A0" w14:textId="228D7435" w:rsidR="001D7FA9" w:rsidRDefault="001D7FA9" w:rsidP="001D7FA9">
      <w:pPr>
        <w:pStyle w:val="SangriaFrancesaArticulo"/>
      </w:pPr>
      <w:r w:rsidRPr="001D7FA9">
        <w:rPr>
          <w:rStyle w:val="TextoNormalNegritaCaracter"/>
        </w:rPr>
        <w:t>Artículo 112.1 d).</w:t>
      </w:r>
      <w:r w:rsidRPr="001D7FA9">
        <w:rPr>
          <w:rStyle w:val="TextoNormalCaracter"/>
        </w:rPr>
        <w:t>-</w:t>
      </w:r>
      <w:r>
        <w:t xml:space="preserve"> Sentencia </w:t>
      </w:r>
      <w:hyperlink w:anchor="SENTENCIA_2025_82" w:history="1">
        <w:r w:rsidRPr="001D7FA9">
          <w:rPr>
            <w:rStyle w:val="TextoNormalCaracter"/>
          </w:rPr>
          <w:t>82/2025</w:t>
        </w:r>
      </w:hyperlink>
      <w:r>
        <w:t>.</w:t>
      </w:r>
    </w:p>
    <w:p w14:paraId="695A4AA4" w14:textId="2B665678" w:rsidR="001D7FA9" w:rsidRDefault="001D7FA9" w:rsidP="001D7FA9">
      <w:pPr>
        <w:pStyle w:val="SangriaFrancesaArticulo"/>
      </w:pPr>
      <w:r w:rsidRPr="001D7FA9">
        <w:rPr>
          <w:rStyle w:val="TextoNormalNegritaCaracter"/>
        </w:rPr>
        <w:t>Artículo 113.4.</w:t>
      </w:r>
      <w:r w:rsidRPr="001D7FA9">
        <w:rPr>
          <w:rStyle w:val="TextoNormalCaracter"/>
        </w:rPr>
        <w:t>-</w:t>
      </w:r>
      <w:r>
        <w:t xml:space="preserve"> Sentencia </w:t>
      </w:r>
      <w:hyperlink w:anchor="SENTENCIA_2025_82" w:history="1">
        <w:r w:rsidRPr="001D7FA9">
          <w:rPr>
            <w:rStyle w:val="TextoNormalCaracter"/>
          </w:rPr>
          <w:t>82/2025</w:t>
        </w:r>
      </w:hyperlink>
      <w:r>
        <w:t>.</w:t>
      </w:r>
    </w:p>
    <w:p w14:paraId="48A172B9" w14:textId="2FC240F0" w:rsidR="001D7FA9" w:rsidRDefault="001D7FA9" w:rsidP="001D7FA9">
      <w:pPr>
        <w:pStyle w:val="SangriaFrancesaArticulo"/>
      </w:pPr>
      <w:r w:rsidRPr="001D7FA9">
        <w:rPr>
          <w:rStyle w:val="TextoNormalNegritaCaracter"/>
        </w:rPr>
        <w:t>Artículo 117.2.</w:t>
      </w:r>
      <w:r w:rsidRPr="001D7FA9">
        <w:rPr>
          <w:rStyle w:val="TextoNormalCaracter"/>
        </w:rPr>
        <w:t>-</w:t>
      </w:r>
      <w:r>
        <w:t xml:space="preserve"> Sentencia </w:t>
      </w:r>
      <w:hyperlink w:anchor="SENTENCIA_2025_82" w:history="1">
        <w:r w:rsidRPr="001D7FA9">
          <w:rPr>
            <w:rStyle w:val="TextoNormalCaracter"/>
          </w:rPr>
          <w:t>82/2025</w:t>
        </w:r>
      </w:hyperlink>
      <w:r>
        <w:t>.</w:t>
      </w:r>
    </w:p>
    <w:p w14:paraId="18D52EC4" w14:textId="0585AA9F" w:rsidR="001D7FA9" w:rsidRDefault="001D7FA9" w:rsidP="001D7FA9">
      <w:pPr>
        <w:pStyle w:val="SangriaFrancesaArticulo"/>
      </w:pPr>
      <w:r w:rsidRPr="001D7FA9">
        <w:rPr>
          <w:rStyle w:val="TextoNormalNegritaCaracter"/>
        </w:rPr>
        <w:t>Artículo 130.</w:t>
      </w:r>
      <w:r w:rsidRPr="001D7FA9">
        <w:rPr>
          <w:rStyle w:val="TextoNormalCaracter"/>
        </w:rPr>
        <w:t>-</w:t>
      </w:r>
      <w:r>
        <w:t xml:space="preserve"> Sentencia </w:t>
      </w:r>
      <w:hyperlink w:anchor="SENTENCIA_2025_82" w:history="1">
        <w:r w:rsidRPr="001D7FA9">
          <w:rPr>
            <w:rStyle w:val="TextoNormalCaracter"/>
          </w:rPr>
          <w:t>82/2025</w:t>
        </w:r>
      </w:hyperlink>
      <w:r>
        <w:t>.</w:t>
      </w:r>
    </w:p>
    <w:p w14:paraId="7E4A4CF5" w14:textId="7E11623F" w:rsidR="001D7FA9" w:rsidRDefault="001D7FA9" w:rsidP="001D7FA9">
      <w:pPr>
        <w:pStyle w:val="SangriaFrancesaArticulo"/>
      </w:pPr>
      <w:r w:rsidRPr="001D7FA9">
        <w:rPr>
          <w:rStyle w:val="TextoNormalNegritaCaracter"/>
        </w:rPr>
        <w:t>Artículo 154.6.</w:t>
      </w:r>
      <w:r w:rsidRPr="001D7FA9">
        <w:rPr>
          <w:rStyle w:val="TextoNormalCaracter"/>
        </w:rPr>
        <w:t>-</w:t>
      </w:r>
      <w:r>
        <w:t xml:space="preserve"> Sentencia </w:t>
      </w:r>
      <w:hyperlink w:anchor="SENTENCIA_2025_82" w:history="1">
        <w:r w:rsidRPr="001D7FA9">
          <w:rPr>
            <w:rStyle w:val="TextoNormalCaracter"/>
          </w:rPr>
          <w:t>82/2025</w:t>
        </w:r>
      </w:hyperlink>
      <w:r>
        <w:t>.</w:t>
      </w:r>
    </w:p>
    <w:p w14:paraId="40F739DF" w14:textId="686B1BF3" w:rsidR="001D7FA9" w:rsidRDefault="001D7FA9" w:rsidP="001D7FA9">
      <w:pPr>
        <w:pStyle w:val="SangriaFrancesaArticulo"/>
      </w:pPr>
      <w:r w:rsidRPr="001D7FA9">
        <w:rPr>
          <w:rStyle w:val="TextoNormalNegritaCaracter"/>
        </w:rPr>
        <w:t>Artículo 154.7.</w:t>
      </w:r>
      <w:r w:rsidRPr="001D7FA9">
        <w:rPr>
          <w:rStyle w:val="TextoNormalCaracter"/>
        </w:rPr>
        <w:t>-</w:t>
      </w:r>
      <w:r>
        <w:t xml:space="preserve"> Sentencia </w:t>
      </w:r>
      <w:hyperlink w:anchor="SENTENCIA_2025_82" w:history="1">
        <w:r w:rsidRPr="001D7FA9">
          <w:rPr>
            <w:rStyle w:val="TextoNormalCaracter"/>
          </w:rPr>
          <w:t>82/2025</w:t>
        </w:r>
      </w:hyperlink>
      <w:r>
        <w:t>.</w:t>
      </w:r>
    </w:p>
    <w:p w14:paraId="1A18348B" w14:textId="0C492A3A" w:rsidR="001D7FA9" w:rsidRDefault="001D7FA9" w:rsidP="001D7FA9">
      <w:pPr>
        <w:pStyle w:val="SangriaFrancesaArticulo"/>
      </w:pPr>
      <w:r w:rsidRPr="001D7FA9">
        <w:rPr>
          <w:rStyle w:val="TextoNormalNegritaCaracter"/>
        </w:rPr>
        <w:t>Artículo 155.2 párrafo 1 inciso 2 "Los centros recogerán las solicitudes de cada alumno o alumna con indicación de la preferencia en participar en el régimen general o intensivo, en el caso de ofertar una misma especialidad en ambos regímenes, así como de la preferencias de las empresas".</w:t>
      </w:r>
      <w:r w:rsidRPr="001D7FA9">
        <w:rPr>
          <w:rStyle w:val="TextoNormalCaracter"/>
        </w:rPr>
        <w:t>-</w:t>
      </w:r>
      <w:r>
        <w:t xml:space="preserve"> Sentencia </w:t>
      </w:r>
      <w:hyperlink w:anchor="SENTENCIA_2025_82" w:history="1">
        <w:r w:rsidRPr="001D7FA9">
          <w:rPr>
            <w:rStyle w:val="TextoNormalCaracter"/>
          </w:rPr>
          <w:t>82/2025</w:t>
        </w:r>
      </w:hyperlink>
      <w:r>
        <w:t xml:space="preserve"> (anula).</w:t>
      </w:r>
    </w:p>
    <w:p w14:paraId="35FDE469" w14:textId="29C3B384" w:rsidR="001D7FA9" w:rsidRDefault="001D7FA9" w:rsidP="001D7FA9">
      <w:pPr>
        <w:pStyle w:val="SangriaFrancesaArticulo"/>
      </w:pPr>
      <w:r w:rsidRPr="001D7FA9">
        <w:rPr>
          <w:rStyle w:val="TextoNormalNegritaCaracter"/>
        </w:rPr>
        <w:t>Artículo 157.3.</w:t>
      </w:r>
      <w:r w:rsidRPr="001D7FA9">
        <w:rPr>
          <w:rStyle w:val="TextoNormalCaracter"/>
        </w:rPr>
        <w:t>-</w:t>
      </w:r>
      <w:r>
        <w:t xml:space="preserve"> Sentencia </w:t>
      </w:r>
      <w:hyperlink w:anchor="SENTENCIA_2025_82" w:history="1">
        <w:r w:rsidRPr="001D7FA9">
          <w:rPr>
            <w:rStyle w:val="TextoNormalCaracter"/>
          </w:rPr>
          <w:t>82/2025</w:t>
        </w:r>
      </w:hyperlink>
      <w:r>
        <w:t>.</w:t>
      </w:r>
    </w:p>
    <w:p w14:paraId="260DCC0C" w14:textId="79660D0A" w:rsidR="001D7FA9" w:rsidRDefault="001D7FA9" w:rsidP="001D7FA9">
      <w:pPr>
        <w:pStyle w:val="SangriaFrancesaArticulo"/>
      </w:pPr>
      <w:r w:rsidRPr="001D7FA9">
        <w:rPr>
          <w:rStyle w:val="TextoNormalNegritaCaracter"/>
        </w:rPr>
        <w:t>Artículo 160.1 inciso 2.</w:t>
      </w:r>
      <w:r w:rsidRPr="001D7FA9">
        <w:rPr>
          <w:rStyle w:val="TextoNormalCaracter"/>
        </w:rPr>
        <w:t>-</w:t>
      </w:r>
      <w:r>
        <w:t xml:space="preserve"> Sentencia </w:t>
      </w:r>
      <w:hyperlink w:anchor="SENTENCIA_2025_82" w:history="1">
        <w:r w:rsidRPr="001D7FA9">
          <w:rPr>
            <w:rStyle w:val="TextoNormalCaracter"/>
          </w:rPr>
          <w:t>82/2025</w:t>
        </w:r>
      </w:hyperlink>
      <w:r>
        <w:t>.</w:t>
      </w:r>
    </w:p>
    <w:p w14:paraId="04345332" w14:textId="4FC8D577" w:rsidR="001D7FA9" w:rsidRDefault="001D7FA9" w:rsidP="001D7FA9">
      <w:pPr>
        <w:pStyle w:val="SangriaFrancesaArticulo"/>
      </w:pPr>
      <w:r w:rsidRPr="001D7FA9">
        <w:rPr>
          <w:rStyle w:val="TextoNormalNegritaCaracter"/>
        </w:rPr>
        <w:t>Artículos 166 apartados 2 a 4, 6.</w:t>
      </w:r>
      <w:r w:rsidRPr="001D7FA9">
        <w:rPr>
          <w:rStyle w:val="TextoNormalCaracter"/>
        </w:rPr>
        <w:t>-</w:t>
      </w:r>
      <w:r>
        <w:t xml:space="preserve"> Sentencia </w:t>
      </w:r>
      <w:hyperlink w:anchor="SENTENCIA_2025_82" w:history="1">
        <w:r w:rsidRPr="001D7FA9">
          <w:rPr>
            <w:rStyle w:val="TextoNormalCaracter"/>
          </w:rPr>
          <w:t>82/2025</w:t>
        </w:r>
      </w:hyperlink>
      <w:r>
        <w:t xml:space="preserve"> (anula).</w:t>
      </w:r>
    </w:p>
    <w:p w14:paraId="79EDD307" w14:textId="5D301E82" w:rsidR="001D7FA9" w:rsidRDefault="001D7FA9" w:rsidP="001D7FA9">
      <w:pPr>
        <w:pStyle w:val="SangriaFrancesaArticulo"/>
      </w:pPr>
      <w:r w:rsidRPr="001D7FA9">
        <w:rPr>
          <w:rStyle w:val="TextoNormalNegritaCaracter"/>
        </w:rPr>
        <w:t>Artículo 203 apartados 2 a 4.</w:t>
      </w:r>
      <w:r w:rsidRPr="001D7FA9">
        <w:rPr>
          <w:rStyle w:val="TextoNormalCaracter"/>
        </w:rPr>
        <w:t>-</w:t>
      </w:r>
      <w:r>
        <w:t xml:space="preserve"> Sentencia </w:t>
      </w:r>
      <w:hyperlink w:anchor="SENTENCIA_2025_82" w:history="1">
        <w:r w:rsidRPr="001D7FA9">
          <w:rPr>
            <w:rStyle w:val="TextoNormalCaracter"/>
          </w:rPr>
          <w:t>82/2025</w:t>
        </w:r>
      </w:hyperlink>
      <w:r>
        <w:t xml:space="preserve"> (anula).</w:t>
      </w:r>
    </w:p>
    <w:p w14:paraId="0486365D" w14:textId="5816E1D7" w:rsidR="001D7FA9" w:rsidRDefault="001D7FA9" w:rsidP="001D7FA9">
      <w:pPr>
        <w:pStyle w:val="SangriaFrancesaArticulo"/>
      </w:pPr>
      <w:r w:rsidRPr="001D7FA9">
        <w:rPr>
          <w:rStyle w:val="TextoNormalNegritaCaracter"/>
        </w:rPr>
        <w:t>Artículo 205.1 a) párrafo 1 inciso "con una antelación no inferior a treinta días a la fecha de inicio".</w:t>
      </w:r>
      <w:r w:rsidRPr="001D7FA9">
        <w:rPr>
          <w:rStyle w:val="TextoNormalCaracter"/>
        </w:rPr>
        <w:t>-</w:t>
      </w:r>
      <w:r>
        <w:t xml:space="preserve"> Sentencia </w:t>
      </w:r>
      <w:hyperlink w:anchor="SENTENCIA_2025_82" w:history="1">
        <w:r w:rsidRPr="001D7FA9">
          <w:rPr>
            <w:rStyle w:val="TextoNormalCaracter"/>
          </w:rPr>
          <w:t>82/2025</w:t>
        </w:r>
      </w:hyperlink>
      <w:r>
        <w:t xml:space="preserve"> (anula).</w:t>
      </w:r>
    </w:p>
    <w:p w14:paraId="6FC5F954" w14:textId="357898BC" w:rsidR="001D7FA9" w:rsidRDefault="001D7FA9" w:rsidP="001D7FA9">
      <w:pPr>
        <w:pStyle w:val="SangriaFrancesaArticulo"/>
      </w:pPr>
      <w:r w:rsidRPr="001D7FA9">
        <w:rPr>
          <w:rStyle w:val="TextoNormalNegritaCaracter"/>
        </w:rPr>
        <w:t>Artículo 205.1 a) párrafo 2 apartados 1 a 5.</w:t>
      </w:r>
      <w:r w:rsidRPr="001D7FA9">
        <w:rPr>
          <w:rStyle w:val="TextoNormalCaracter"/>
        </w:rPr>
        <w:t>-</w:t>
      </w:r>
      <w:r>
        <w:t xml:space="preserve"> Sentencia </w:t>
      </w:r>
      <w:hyperlink w:anchor="SENTENCIA_2025_82" w:history="1">
        <w:r w:rsidRPr="001D7FA9">
          <w:rPr>
            <w:rStyle w:val="TextoNormalCaracter"/>
          </w:rPr>
          <w:t>82/2025</w:t>
        </w:r>
      </w:hyperlink>
      <w:r>
        <w:t xml:space="preserve"> (anula).</w:t>
      </w:r>
    </w:p>
    <w:p w14:paraId="617F144F" w14:textId="4B9DBF56" w:rsidR="001D7FA9" w:rsidRDefault="001D7FA9" w:rsidP="001D7FA9">
      <w:pPr>
        <w:pStyle w:val="SangriaFrancesaArticulo"/>
      </w:pPr>
      <w:r w:rsidRPr="001D7FA9">
        <w:rPr>
          <w:rStyle w:val="TextoNormalNegritaCaracter"/>
        </w:rPr>
        <w:t>Artículo 205.1 c) inciso "en un plazo no superior a dos meses desde la finalización de la acción formativa".</w:t>
      </w:r>
      <w:r w:rsidRPr="001D7FA9">
        <w:rPr>
          <w:rStyle w:val="TextoNormalCaracter"/>
        </w:rPr>
        <w:t>-</w:t>
      </w:r>
      <w:r>
        <w:t xml:space="preserve"> Sentencia </w:t>
      </w:r>
      <w:hyperlink w:anchor="SENTENCIA_2025_82" w:history="1">
        <w:r w:rsidRPr="001D7FA9">
          <w:rPr>
            <w:rStyle w:val="TextoNormalCaracter"/>
          </w:rPr>
          <w:t>82/2025</w:t>
        </w:r>
      </w:hyperlink>
      <w:r>
        <w:t xml:space="preserve"> (anula).</w:t>
      </w:r>
    </w:p>
    <w:p w14:paraId="23C5672F" w14:textId="1B60BA57" w:rsidR="001D7FA9" w:rsidRDefault="001D7FA9" w:rsidP="001D7FA9">
      <w:pPr>
        <w:pStyle w:val="SangriaFrancesaArticulo"/>
      </w:pPr>
      <w:r w:rsidRPr="001D7FA9">
        <w:rPr>
          <w:rStyle w:val="TextoNormalNegritaCaracter"/>
        </w:rPr>
        <w:t>Artículo 205.2.</w:t>
      </w:r>
      <w:r w:rsidRPr="001D7FA9">
        <w:rPr>
          <w:rStyle w:val="TextoNormalCaracter"/>
        </w:rPr>
        <w:t>-</w:t>
      </w:r>
      <w:r>
        <w:t xml:space="preserve"> Sentencia </w:t>
      </w:r>
      <w:hyperlink w:anchor="SENTENCIA_2025_82" w:history="1">
        <w:r w:rsidRPr="001D7FA9">
          <w:rPr>
            <w:rStyle w:val="TextoNormalCaracter"/>
          </w:rPr>
          <w:t>82/2025</w:t>
        </w:r>
      </w:hyperlink>
      <w:r>
        <w:t>.</w:t>
      </w:r>
    </w:p>
    <w:p w14:paraId="47D2CDE8" w14:textId="6D7EDD1E" w:rsidR="001D7FA9" w:rsidRDefault="001D7FA9" w:rsidP="001D7FA9">
      <w:pPr>
        <w:pStyle w:val="SangriaFrancesaArticulo"/>
      </w:pPr>
      <w:r w:rsidRPr="001D7FA9">
        <w:rPr>
          <w:rStyle w:val="TextoNormalNegritaCaracter"/>
        </w:rPr>
        <w:t>Disposición final segunda.</w:t>
      </w:r>
      <w:r w:rsidRPr="001D7FA9">
        <w:rPr>
          <w:rStyle w:val="TextoNormalCaracter"/>
        </w:rPr>
        <w:t>-</w:t>
      </w:r>
      <w:r>
        <w:t xml:space="preserve"> Sentencia </w:t>
      </w:r>
      <w:hyperlink w:anchor="SENTENCIA_2025_82" w:history="1">
        <w:r w:rsidRPr="001D7FA9">
          <w:rPr>
            <w:rStyle w:val="TextoNormalCaracter"/>
          </w:rPr>
          <w:t>82/2025</w:t>
        </w:r>
      </w:hyperlink>
      <w:r>
        <w:t>.</w:t>
      </w:r>
    </w:p>
    <w:p w14:paraId="1F51E7BC" w14:textId="632D2D1A" w:rsidR="001D7FA9" w:rsidRDefault="001D7FA9" w:rsidP="001D7FA9">
      <w:pPr>
        <w:pStyle w:val="SangriaFrancesaArticulo"/>
      </w:pPr>
      <w:r w:rsidRPr="001D7FA9">
        <w:rPr>
          <w:rStyle w:val="TextoNormalNegritaCaracter"/>
        </w:rPr>
        <w:t>Disposición final sexta.</w:t>
      </w:r>
      <w:r w:rsidRPr="001D7FA9">
        <w:rPr>
          <w:rStyle w:val="TextoNormalCaracter"/>
        </w:rPr>
        <w:t>-</w:t>
      </w:r>
      <w:r>
        <w:t xml:space="preserve"> Sentencia </w:t>
      </w:r>
      <w:hyperlink w:anchor="SENTENCIA_2025_82" w:history="1">
        <w:r w:rsidRPr="001D7FA9">
          <w:rPr>
            <w:rStyle w:val="TextoNormalCaracter"/>
          </w:rPr>
          <w:t>82/2025</w:t>
        </w:r>
      </w:hyperlink>
      <w:r>
        <w:t>.</w:t>
      </w:r>
    </w:p>
    <w:p w14:paraId="3F920AE3" w14:textId="1DBA1A09" w:rsidR="001D7FA9" w:rsidRDefault="001D7FA9" w:rsidP="001D7FA9">
      <w:pPr>
        <w:pStyle w:val="SangriaFrancesaArticulo"/>
      </w:pPr>
      <w:r w:rsidRPr="001D7FA9">
        <w:rPr>
          <w:rStyle w:val="TextoNormalNegritaCaracter"/>
        </w:rPr>
        <w:t>Anexo IV.</w:t>
      </w:r>
      <w:r w:rsidRPr="001D7FA9">
        <w:rPr>
          <w:rStyle w:val="TextoNormalCaracter"/>
        </w:rPr>
        <w:t>-</w:t>
      </w:r>
      <w:r>
        <w:t xml:space="preserve"> Sentencia </w:t>
      </w:r>
      <w:hyperlink w:anchor="SENTENCIA_2025_82" w:history="1">
        <w:r w:rsidRPr="001D7FA9">
          <w:rPr>
            <w:rStyle w:val="TextoNormalCaracter"/>
          </w:rPr>
          <w:t>82/2025</w:t>
        </w:r>
      </w:hyperlink>
      <w:r>
        <w:t>.</w:t>
      </w:r>
    </w:p>
    <w:p w14:paraId="45395DFA" w14:textId="0004D1E8" w:rsidR="001D7FA9" w:rsidRDefault="001D7FA9" w:rsidP="001D7FA9">
      <w:pPr>
        <w:pStyle w:val="SangriaFrancesaArticulo"/>
      </w:pPr>
      <w:r w:rsidRPr="001D7FA9">
        <w:rPr>
          <w:rStyle w:val="TextoNormalNegritaCaracter"/>
        </w:rPr>
        <w:t>Anexo XI.</w:t>
      </w:r>
      <w:r w:rsidRPr="001D7FA9">
        <w:rPr>
          <w:rStyle w:val="TextoNormalCaracter"/>
        </w:rPr>
        <w:t>-</w:t>
      </w:r>
      <w:r>
        <w:t xml:space="preserve"> Sentencia </w:t>
      </w:r>
      <w:hyperlink w:anchor="SENTENCIA_2025_82" w:history="1">
        <w:r w:rsidRPr="001D7FA9">
          <w:rPr>
            <w:rStyle w:val="TextoNormalCaracter"/>
          </w:rPr>
          <w:t>82/2025</w:t>
        </w:r>
      </w:hyperlink>
      <w:r>
        <w:t>.</w:t>
      </w:r>
    </w:p>
    <w:p w14:paraId="292B023D" w14:textId="7201AC3C" w:rsidR="001D7FA9" w:rsidRDefault="001D7FA9" w:rsidP="001D7FA9">
      <w:pPr>
        <w:pStyle w:val="SangriaFrancesaArticulo"/>
      </w:pPr>
    </w:p>
    <w:p w14:paraId="126BFBF8" w14:textId="77777777" w:rsidR="001D7FA9" w:rsidRDefault="001D7FA9" w:rsidP="001D7FA9">
      <w:pPr>
        <w:pStyle w:val="TextoNormalNegritaCursivandice"/>
        <w:keepNext/>
      </w:pPr>
      <w:r>
        <w:t>Acuerdo de la mesa del Senado, de 21 de noviembre de 2023, ratificado el 18 de enero de 2024, de toma en consideración la proposición de ley por la que se deroga la Ley 29/1987, de 18 de diciembre, del impuesto sobre sucesiones y donaciones</w:t>
      </w:r>
    </w:p>
    <w:p w14:paraId="7F27C804" w14:textId="609EEBD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5" w:history="1">
        <w:r w:rsidRPr="001D7FA9">
          <w:rPr>
            <w:rStyle w:val="TextoNormalCaracter"/>
          </w:rPr>
          <w:t>135/2025</w:t>
        </w:r>
      </w:hyperlink>
      <w:r>
        <w:t>.</w:t>
      </w:r>
    </w:p>
    <w:p w14:paraId="57029043" w14:textId="18653ED2" w:rsidR="001D7FA9" w:rsidRDefault="001D7FA9" w:rsidP="001D7FA9">
      <w:pPr>
        <w:pStyle w:val="TextoNormal"/>
      </w:pPr>
    </w:p>
    <w:p w14:paraId="2F7E6F8C" w14:textId="77777777" w:rsidR="001D7FA9" w:rsidRDefault="001D7FA9" w:rsidP="001D7FA9">
      <w:pPr>
        <w:pStyle w:val="SangriaFrancesaArticulo"/>
      </w:pPr>
      <w:bookmarkStart w:id="210" w:name="INDICE22824"/>
    </w:p>
    <w:bookmarkEnd w:id="210"/>
    <w:p w14:paraId="0E3BEFF7" w14:textId="77777777" w:rsidR="001D7FA9" w:rsidRDefault="001D7FA9" w:rsidP="001D7FA9">
      <w:pPr>
        <w:pStyle w:val="TextoIndiceNivel2"/>
        <w:suppressAutoHyphens/>
      </w:pPr>
      <w:r>
        <w:t>B) Disposiciones de las Comunidades y Ciudades Autónomas</w:t>
      </w:r>
    </w:p>
    <w:p w14:paraId="22721D66" w14:textId="0EDEA3BB" w:rsidR="001D7FA9" w:rsidRDefault="001D7FA9" w:rsidP="001D7FA9">
      <w:pPr>
        <w:pStyle w:val="TextoNormal"/>
      </w:pPr>
    </w:p>
    <w:p w14:paraId="73163171" w14:textId="77777777" w:rsidR="001D7FA9" w:rsidRDefault="001D7FA9" w:rsidP="001D7FA9">
      <w:pPr>
        <w:pStyle w:val="TextoNormalNegritaCentrado"/>
        <w:suppressAutoHyphens/>
      </w:pPr>
      <w:r w:rsidRPr="001D7FA9">
        <w:rPr>
          <w:rStyle w:val="TextoNormalNegritaCentradoSombreado"/>
        </w:rPr>
        <w:t>B.1) Andalucía</w:t>
      </w:r>
    </w:p>
    <w:p w14:paraId="4ED8C735" w14:textId="6D5F10D8" w:rsidR="001D7FA9" w:rsidRDefault="001D7FA9" w:rsidP="001D7FA9">
      <w:pPr>
        <w:pStyle w:val="TextoNormalNegritaCentrado"/>
      </w:pPr>
    </w:p>
    <w:p w14:paraId="1519C078" w14:textId="77777777" w:rsidR="001D7FA9" w:rsidRDefault="001D7FA9" w:rsidP="001D7FA9">
      <w:pPr>
        <w:pStyle w:val="TextoNormalNegritaCursivandice"/>
        <w:keepNext/>
      </w:pPr>
      <w:r>
        <w:t>Comunidad Autónoma de Andalucía. Resoluciones de la Presidencia del Parlamento de Andalucía de 18 de marzo de 2020, sobre habilitación de la convocatoria de la Diputación Permanente en una situación de declaración de estado de alarma; y de 31 de marzo de 2020, por la que se convoca para el 2 de abril de 2020 la Diputación Permanente del Parlamento de Andalucía</w:t>
      </w:r>
    </w:p>
    <w:p w14:paraId="6ACA2394" w14:textId="58B3292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52" w:history="1">
        <w:r w:rsidRPr="001D7FA9">
          <w:rPr>
            <w:rStyle w:val="TextoNormalCaracter"/>
          </w:rPr>
          <w:t>52/2025</w:t>
        </w:r>
      </w:hyperlink>
      <w:r>
        <w:t xml:space="preserve">; </w:t>
      </w:r>
      <w:hyperlink w:anchor="SENTENCIA_2025_53" w:history="1">
        <w:r w:rsidRPr="001D7FA9">
          <w:rPr>
            <w:rStyle w:val="TextoNormalCaracter"/>
          </w:rPr>
          <w:t>53/2025</w:t>
        </w:r>
      </w:hyperlink>
      <w:r>
        <w:t>.</w:t>
      </w:r>
    </w:p>
    <w:p w14:paraId="5A82508B" w14:textId="5458B950" w:rsidR="001D7FA9" w:rsidRDefault="001D7FA9" w:rsidP="001D7FA9">
      <w:pPr>
        <w:pStyle w:val="SangriaFrancesaArticulo"/>
      </w:pPr>
    </w:p>
    <w:p w14:paraId="42DB05DB" w14:textId="77777777" w:rsidR="001D7FA9" w:rsidRDefault="001D7FA9" w:rsidP="001D7FA9">
      <w:pPr>
        <w:pStyle w:val="TextoNormalNegritaCursivandice"/>
        <w:keepNext/>
      </w:pPr>
      <w:r>
        <w:t>Comunidad Autónoma de Andalucía. Acuerdos de 25 de marzo, 2, 16 y 24 de abril de 2020, de la Diputación Permanente de convalidación de diversos decretos-leyes</w:t>
      </w:r>
    </w:p>
    <w:p w14:paraId="415D0F0C" w14:textId="52085B0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3" w:history="1">
        <w:r w:rsidRPr="001D7FA9">
          <w:rPr>
            <w:rStyle w:val="TextoNormalCaracter"/>
          </w:rPr>
          <w:t>53/2025</w:t>
        </w:r>
      </w:hyperlink>
      <w:r>
        <w:t>.</w:t>
      </w:r>
    </w:p>
    <w:p w14:paraId="2D27AD74" w14:textId="663604A5" w:rsidR="001D7FA9" w:rsidRDefault="001D7FA9" w:rsidP="001D7FA9">
      <w:pPr>
        <w:pStyle w:val="TextoNormal"/>
      </w:pPr>
    </w:p>
    <w:p w14:paraId="7B1FE3EC" w14:textId="77777777" w:rsidR="001D7FA9" w:rsidRDefault="001D7FA9" w:rsidP="001D7FA9">
      <w:pPr>
        <w:pStyle w:val="TextoNormalNegritaCentrado"/>
        <w:suppressAutoHyphens/>
      </w:pPr>
      <w:r w:rsidRPr="001D7FA9">
        <w:rPr>
          <w:rStyle w:val="TextoNormalNegritaCentradoSombreado"/>
        </w:rPr>
        <w:t>B.2) Baleares</w:t>
      </w:r>
    </w:p>
    <w:p w14:paraId="384A7177" w14:textId="1AEFC331" w:rsidR="001D7FA9" w:rsidRDefault="001D7FA9" w:rsidP="001D7FA9">
      <w:pPr>
        <w:pStyle w:val="TextoNormalNegritaCentrado"/>
      </w:pPr>
    </w:p>
    <w:p w14:paraId="403A828A" w14:textId="77777777" w:rsidR="001D7FA9" w:rsidRDefault="001D7FA9" w:rsidP="001D7FA9">
      <w:pPr>
        <w:pStyle w:val="TextoNormalNegritaCursivandice"/>
        <w:keepNext/>
      </w:pPr>
      <w:r>
        <w:t>Comunidad Autónoma de las Illes Balears. Acuerdos de la mesa del Parlamento de las Illes Balears de 14 y 27 de octubre, 24 de noviembre y 9 y 15 de diciembre de 2021 por los que se delimita el ejercicio de los derechos y facultades de un diputado no adscrito a grupo parlamentario y se desestiman las reconsideraciones formuladas contra dichas limitaciones</w:t>
      </w:r>
    </w:p>
    <w:p w14:paraId="4525D998" w14:textId="5D6BCB8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4" w:history="1">
        <w:r w:rsidRPr="001D7FA9">
          <w:rPr>
            <w:rStyle w:val="TextoNormalCaracter"/>
          </w:rPr>
          <w:t>14/2025</w:t>
        </w:r>
      </w:hyperlink>
      <w:r>
        <w:t>.</w:t>
      </w:r>
    </w:p>
    <w:p w14:paraId="0D3A8BCE" w14:textId="1A122518" w:rsidR="001D7FA9" w:rsidRDefault="001D7FA9" w:rsidP="001D7FA9">
      <w:pPr>
        <w:pStyle w:val="SangriaFrancesaArticulo"/>
      </w:pPr>
    </w:p>
    <w:p w14:paraId="60AEE917" w14:textId="77777777" w:rsidR="001D7FA9" w:rsidRDefault="001D7FA9" w:rsidP="001D7FA9">
      <w:pPr>
        <w:pStyle w:val="TextoNormalNegritaCursivandice"/>
        <w:keepNext/>
      </w:pPr>
      <w:r>
        <w:t>Comunidad Autónoma de las Illes Balears. Acuerdos de la mesa del Parlamento de 26 de enero, de 16 de febrero, de 7 y de 23 de marzo de 2022, por los que se inadmiten o deniegan las reconsideraciones formuladas por un diputado no adscrito, en relación con sus derechos o facultades</w:t>
      </w:r>
    </w:p>
    <w:p w14:paraId="33FFD9E4" w14:textId="62575D3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5" w:history="1">
        <w:r w:rsidRPr="001D7FA9">
          <w:rPr>
            <w:rStyle w:val="TextoNormalCaracter"/>
          </w:rPr>
          <w:t>15/2025</w:t>
        </w:r>
      </w:hyperlink>
      <w:r>
        <w:t>.</w:t>
      </w:r>
    </w:p>
    <w:p w14:paraId="3E17B789" w14:textId="2EE8CCA6" w:rsidR="001D7FA9" w:rsidRDefault="001D7FA9" w:rsidP="001D7FA9">
      <w:pPr>
        <w:pStyle w:val="TextoNormal"/>
      </w:pPr>
    </w:p>
    <w:p w14:paraId="0ABEC841" w14:textId="77777777" w:rsidR="001D7FA9" w:rsidRDefault="001D7FA9" w:rsidP="001D7FA9">
      <w:pPr>
        <w:pStyle w:val="TextoNormalNegritaCentrado"/>
        <w:suppressAutoHyphens/>
      </w:pPr>
      <w:r w:rsidRPr="001D7FA9">
        <w:rPr>
          <w:rStyle w:val="TextoNormalNegritaCentradoSombreado"/>
        </w:rPr>
        <w:t>B.3) Canarias</w:t>
      </w:r>
    </w:p>
    <w:p w14:paraId="5994D55C" w14:textId="3DCA08C2" w:rsidR="001D7FA9" w:rsidRDefault="001D7FA9" w:rsidP="001D7FA9">
      <w:pPr>
        <w:pStyle w:val="TextoNormalNegritaCentrado"/>
      </w:pPr>
    </w:p>
    <w:p w14:paraId="36FFBB4A" w14:textId="77777777" w:rsidR="001D7FA9" w:rsidRDefault="001D7FA9" w:rsidP="001D7FA9">
      <w:pPr>
        <w:pStyle w:val="TextoNormalNegritaCursivandice"/>
        <w:keepNext/>
      </w:pPr>
      <w:r>
        <w:t>Comunidad Autónoma de Canarias. Acuerdo del Gobierno de Canarias, de 2 de septiembre de 2024, en relación con los menores extranjeros no acompañados</w:t>
      </w:r>
    </w:p>
    <w:p w14:paraId="383E4925" w14:textId="1D2FD7FE" w:rsidR="001D7FA9" w:rsidRDefault="001D7FA9" w:rsidP="001D7FA9">
      <w:pPr>
        <w:pStyle w:val="SangriaFrancesaArticulo"/>
      </w:pPr>
      <w:r w:rsidRPr="001D7FA9">
        <w:rPr>
          <w:rStyle w:val="TextoNormalNegritaCaracter"/>
        </w:rPr>
        <w:t>Apartado segundo.</w:t>
      </w:r>
      <w:r w:rsidRPr="001D7FA9">
        <w:rPr>
          <w:rStyle w:val="TextoNormalCaracter"/>
        </w:rPr>
        <w:t>-</w:t>
      </w:r>
      <w:r>
        <w:t xml:space="preserve"> Sentencia </w:t>
      </w:r>
      <w:hyperlink w:anchor="SENTENCIA_2025_43" w:history="1">
        <w:r w:rsidRPr="001D7FA9">
          <w:rPr>
            <w:rStyle w:val="TextoNormalCaracter"/>
          </w:rPr>
          <w:t>43/2025</w:t>
        </w:r>
      </w:hyperlink>
      <w:r>
        <w:t xml:space="preserve"> (anula).</w:t>
      </w:r>
    </w:p>
    <w:p w14:paraId="7C287013" w14:textId="7BAC2088" w:rsidR="001D7FA9" w:rsidRDefault="001D7FA9" w:rsidP="001D7FA9">
      <w:pPr>
        <w:pStyle w:val="SangriaFrancesaArticulo"/>
      </w:pPr>
      <w:r w:rsidRPr="001D7FA9">
        <w:rPr>
          <w:rStyle w:val="TextoNormalNegritaCaracter"/>
        </w:rPr>
        <w:t>Apartado sexto.</w:t>
      </w:r>
      <w:r w:rsidRPr="001D7FA9">
        <w:rPr>
          <w:rStyle w:val="TextoNormalCaracter"/>
        </w:rPr>
        <w:t>-</w:t>
      </w:r>
      <w:r>
        <w:t xml:space="preserve"> Sentencia </w:t>
      </w:r>
      <w:hyperlink w:anchor="SENTENCIA_2025_43" w:history="1">
        <w:r w:rsidRPr="001D7FA9">
          <w:rPr>
            <w:rStyle w:val="TextoNormalCaracter"/>
          </w:rPr>
          <w:t>43/2025</w:t>
        </w:r>
      </w:hyperlink>
      <w:r>
        <w:t>.</w:t>
      </w:r>
    </w:p>
    <w:p w14:paraId="29019DA5" w14:textId="73A23B84" w:rsidR="001D7FA9" w:rsidRDefault="001D7FA9" w:rsidP="001D7FA9">
      <w:pPr>
        <w:pStyle w:val="SangriaFrancesaArticulo"/>
      </w:pPr>
      <w:r w:rsidRPr="001D7FA9">
        <w:rPr>
          <w:rStyle w:val="TextoNormalNegritaCaracter"/>
        </w:rPr>
        <w:t>Apartado tercero.</w:t>
      </w:r>
      <w:r w:rsidRPr="001D7FA9">
        <w:rPr>
          <w:rStyle w:val="TextoNormalCaracter"/>
        </w:rPr>
        <w:t>-</w:t>
      </w:r>
      <w:r>
        <w:t xml:space="preserve"> Sentencia </w:t>
      </w:r>
      <w:hyperlink w:anchor="SENTENCIA_2025_43" w:history="1">
        <w:r w:rsidRPr="001D7FA9">
          <w:rPr>
            <w:rStyle w:val="TextoNormalCaracter"/>
          </w:rPr>
          <w:t>43/2025</w:t>
        </w:r>
      </w:hyperlink>
      <w:r>
        <w:t>.</w:t>
      </w:r>
    </w:p>
    <w:p w14:paraId="77E2B5D4" w14:textId="4F667775" w:rsidR="001D7FA9" w:rsidRDefault="001D7FA9" w:rsidP="001D7FA9">
      <w:pPr>
        <w:pStyle w:val="SangriaFrancesaArticulo"/>
      </w:pPr>
    </w:p>
    <w:p w14:paraId="4CBEC21C" w14:textId="77777777" w:rsidR="001D7FA9" w:rsidRDefault="001D7FA9" w:rsidP="001D7FA9">
      <w:pPr>
        <w:pStyle w:val="TextoNormalNegritaCursivandice"/>
        <w:keepNext/>
      </w:pPr>
      <w:r>
        <w:t>Comunidad Autónoma de Canarias. Resolución de 10 de septiembre de 2024, de la Dirección General de Protección a la Infancia y las Familias, por la que se establece el Protocolo territorial de recepción de menores extranjeros migrantes no acompañados en la Comunidad Autónoma de Canarias</w:t>
      </w:r>
    </w:p>
    <w:p w14:paraId="70DA5219" w14:textId="5EFD345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3" w:history="1">
        <w:r w:rsidRPr="001D7FA9">
          <w:rPr>
            <w:rStyle w:val="TextoNormalCaracter"/>
          </w:rPr>
          <w:t>43/2025</w:t>
        </w:r>
      </w:hyperlink>
      <w:r>
        <w:t xml:space="preserve"> (anula).</w:t>
      </w:r>
    </w:p>
    <w:p w14:paraId="4ED2DE12" w14:textId="0A9E2ABD" w:rsidR="001D7FA9" w:rsidRDefault="001D7FA9" w:rsidP="001D7FA9">
      <w:pPr>
        <w:pStyle w:val="TextoNormal"/>
      </w:pPr>
    </w:p>
    <w:p w14:paraId="37E3E6D9" w14:textId="77777777" w:rsidR="001D7FA9" w:rsidRDefault="001D7FA9" w:rsidP="001D7FA9">
      <w:pPr>
        <w:pStyle w:val="TextoNormalNegritaCentrado"/>
        <w:suppressAutoHyphens/>
      </w:pPr>
      <w:r w:rsidRPr="001D7FA9">
        <w:rPr>
          <w:rStyle w:val="TextoNormalNegritaCentradoSombreado"/>
        </w:rPr>
        <w:t>B.4) Cataluña</w:t>
      </w:r>
    </w:p>
    <w:p w14:paraId="258B93D1" w14:textId="76B27949" w:rsidR="001D7FA9" w:rsidRDefault="001D7FA9" w:rsidP="001D7FA9">
      <w:pPr>
        <w:pStyle w:val="TextoNormalNegritaCentrado"/>
      </w:pPr>
    </w:p>
    <w:p w14:paraId="4621F955" w14:textId="77777777" w:rsidR="001D7FA9" w:rsidRDefault="001D7FA9" w:rsidP="001D7FA9">
      <w:pPr>
        <w:pStyle w:val="TextoNormalNegritaCursivandice"/>
        <w:keepNext/>
      </w:pPr>
      <w:r>
        <w:t>Comunidad Autónoma de Cataluña. Acuerdo de 10 de junio de 2024 de la mesa de edad del Parlamento de Cataluña sobre delegación de voto</w:t>
      </w:r>
    </w:p>
    <w:p w14:paraId="4FD1AEEA" w14:textId="4EC61EF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3" w:history="1">
        <w:r w:rsidRPr="001D7FA9">
          <w:rPr>
            <w:rStyle w:val="TextoNormalCaracter"/>
          </w:rPr>
          <w:t>83/2025</w:t>
        </w:r>
      </w:hyperlink>
      <w:r>
        <w:t xml:space="preserve"> (anula).</w:t>
      </w:r>
    </w:p>
    <w:p w14:paraId="15126B64" w14:textId="1D7F746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6" w:history="1">
        <w:r w:rsidRPr="001D7FA9">
          <w:rPr>
            <w:rStyle w:val="TextoNormalCaracter"/>
          </w:rPr>
          <w:t>136/2025</w:t>
        </w:r>
      </w:hyperlink>
      <w:r>
        <w:t>.</w:t>
      </w:r>
    </w:p>
    <w:p w14:paraId="6A9DAF2E" w14:textId="3E566FF9" w:rsidR="001D7FA9" w:rsidRDefault="001D7FA9" w:rsidP="001D7FA9">
      <w:pPr>
        <w:pStyle w:val="SangriaFrancesaArticulo"/>
      </w:pPr>
    </w:p>
    <w:p w14:paraId="57C7E9C4" w14:textId="77777777" w:rsidR="001D7FA9" w:rsidRDefault="001D7FA9" w:rsidP="001D7FA9">
      <w:pPr>
        <w:pStyle w:val="TextoNormalNegritaCursivandice"/>
        <w:keepNext/>
      </w:pPr>
      <w:r>
        <w:t>Comunidad Autónoma de Cataluña. Acuerdo de 10 de junio de 2024 del presidente del Parlamento de Cataluña que declara constituido el Parlamento</w:t>
      </w:r>
    </w:p>
    <w:p w14:paraId="1C3661BA" w14:textId="4AC24CB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3" w:history="1">
        <w:r w:rsidRPr="001D7FA9">
          <w:rPr>
            <w:rStyle w:val="TextoNormalCaracter"/>
          </w:rPr>
          <w:t>83/2025</w:t>
        </w:r>
      </w:hyperlink>
      <w:r>
        <w:t>.</w:t>
      </w:r>
    </w:p>
    <w:p w14:paraId="184638A1" w14:textId="58F7243F" w:rsidR="001D7FA9" w:rsidRDefault="001D7FA9" w:rsidP="001D7FA9">
      <w:pPr>
        <w:pStyle w:val="SangriaFrancesaArticulo"/>
      </w:pPr>
    </w:p>
    <w:p w14:paraId="1B3E8D61" w14:textId="77777777" w:rsidR="001D7FA9" w:rsidRDefault="001D7FA9" w:rsidP="001D7FA9">
      <w:pPr>
        <w:pStyle w:val="TextoNormalNegritaCursivandice"/>
        <w:keepNext/>
      </w:pPr>
      <w:r>
        <w:t>Comunidad Autónoma de Cataluña. Acuerdo verbal de 10 de junio de 2024 del presidente del Parlamento de Cataluña sobre reconsideración del acuerdo de esa misma fecha de la mesa de edad del Parlamento de Cataluña, sobre delegación de voto</w:t>
      </w:r>
    </w:p>
    <w:p w14:paraId="3E2896E2" w14:textId="2E8512F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6" w:history="1">
        <w:r w:rsidRPr="001D7FA9">
          <w:rPr>
            <w:rStyle w:val="TextoNormalCaracter"/>
          </w:rPr>
          <w:t>136/2025</w:t>
        </w:r>
      </w:hyperlink>
      <w:r>
        <w:t>.</w:t>
      </w:r>
    </w:p>
    <w:p w14:paraId="456CB0AB" w14:textId="75C2684F" w:rsidR="001D7FA9" w:rsidRDefault="001D7FA9" w:rsidP="001D7FA9">
      <w:pPr>
        <w:pStyle w:val="TextoNormal"/>
      </w:pPr>
    </w:p>
    <w:p w14:paraId="1E22287D" w14:textId="77777777" w:rsidR="001D7FA9" w:rsidRDefault="001D7FA9" w:rsidP="001D7FA9">
      <w:pPr>
        <w:pStyle w:val="TextoNormalNegritaCentrado"/>
        <w:suppressAutoHyphens/>
      </w:pPr>
      <w:r w:rsidRPr="001D7FA9">
        <w:rPr>
          <w:rStyle w:val="TextoNormalNegritaCentradoSombreado"/>
        </w:rPr>
        <w:t>B.5) La Rioja</w:t>
      </w:r>
    </w:p>
    <w:p w14:paraId="32966F78" w14:textId="503F0EA8" w:rsidR="001D7FA9" w:rsidRDefault="001D7FA9" w:rsidP="001D7FA9">
      <w:pPr>
        <w:pStyle w:val="TextoNormalNegritaCentrado"/>
      </w:pPr>
    </w:p>
    <w:p w14:paraId="0E0861F8" w14:textId="77777777" w:rsidR="001D7FA9" w:rsidRDefault="001D7FA9" w:rsidP="001D7FA9">
      <w:pPr>
        <w:pStyle w:val="TextoNormalNegritaCursivandice"/>
        <w:keepNext/>
      </w:pPr>
      <w:r>
        <w:t>Comunidad Autónoma de La Rioja. Resoluciones del presidente del Parlamento de 16 y 23 de diciembre de 2022, por las que se fija el orden del día de sendos plenos de la Cámara</w:t>
      </w:r>
    </w:p>
    <w:p w14:paraId="638D7311" w14:textId="2CFF3B0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0" w:history="1">
        <w:r w:rsidRPr="001D7FA9">
          <w:rPr>
            <w:rStyle w:val="TextoNormalCaracter"/>
          </w:rPr>
          <w:t>120/2025</w:t>
        </w:r>
      </w:hyperlink>
      <w:r>
        <w:t xml:space="preserve"> (anula).</w:t>
      </w:r>
    </w:p>
    <w:p w14:paraId="74A13755" w14:textId="67D4A366" w:rsidR="001D7FA9" w:rsidRDefault="001D7FA9" w:rsidP="001D7FA9">
      <w:pPr>
        <w:pStyle w:val="SangriaFrancesaArticulo"/>
      </w:pPr>
    </w:p>
    <w:p w14:paraId="1FA470B0" w14:textId="77777777" w:rsidR="001D7FA9" w:rsidRDefault="001D7FA9" w:rsidP="001D7FA9">
      <w:pPr>
        <w:pStyle w:val="TextoNormalNegritaCursivandice"/>
        <w:keepNext/>
      </w:pPr>
      <w:r>
        <w:t>Comunidad Autónoma de La Rioja. Acuerdos de la mesa del Parlamento de 28 y 29 de diciembre de 2022; de 10, 16, 17 de enero y 9 de febrero de 2023. En materia de distintos aspectos de régimen parlamentario</w:t>
      </w:r>
    </w:p>
    <w:p w14:paraId="2AC53FE1" w14:textId="1B39F86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0" w:history="1">
        <w:r w:rsidRPr="001D7FA9">
          <w:rPr>
            <w:rStyle w:val="TextoNormalCaracter"/>
          </w:rPr>
          <w:t>120/2025</w:t>
        </w:r>
      </w:hyperlink>
      <w:r>
        <w:t>.</w:t>
      </w:r>
    </w:p>
    <w:p w14:paraId="165F2EFD" w14:textId="5C9A6944" w:rsidR="001D7FA9" w:rsidRDefault="001D7FA9" w:rsidP="001D7FA9">
      <w:pPr>
        <w:pStyle w:val="TextoNormal"/>
      </w:pPr>
    </w:p>
    <w:p w14:paraId="5620F9D6" w14:textId="77777777" w:rsidR="001D7FA9" w:rsidRDefault="001D7FA9" w:rsidP="001D7FA9">
      <w:pPr>
        <w:pStyle w:val="TextoNormalNegritaCentrado"/>
        <w:suppressAutoHyphens/>
      </w:pPr>
      <w:r w:rsidRPr="001D7FA9">
        <w:rPr>
          <w:rStyle w:val="TextoNormalNegritaCentradoSombreado"/>
        </w:rPr>
        <w:t>B.6) País Vasco</w:t>
      </w:r>
    </w:p>
    <w:p w14:paraId="5A70AF79" w14:textId="3008A14E" w:rsidR="001D7FA9" w:rsidRDefault="001D7FA9" w:rsidP="001D7FA9">
      <w:pPr>
        <w:pStyle w:val="TextoNormalNegritaCentrado"/>
      </w:pPr>
    </w:p>
    <w:p w14:paraId="36766AC9" w14:textId="77777777" w:rsidR="001D7FA9" w:rsidRDefault="001D7FA9" w:rsidP="001D7FA9">
      <w:pPr>
        <w:pStyle w:val="TextoNormalNegritaCursivandice"/>
        <w:keepNext/>
      </w:pPr>
      <w:r>
        <w:t>Comunidad Autónoma del País Vasco. Acuerdo de la junta de portavoces del Parlamento Vasco, de 14 de septiembre de 2021, que establece el orden del día de la sesión plenaria de 23 de septiembre de 2021. Acuerdo del mismo órgano, de 21 de septiembre de 2021, que rechaza la solicitud de reconsideración del anterior</w:t>
      </w:r>
    </w:p>
    <w:p w14:paraId="352FB987" w14:textId="484E7C3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7" w:history="1">
        <w:r w:rsidRPr="001D7FA9">
          <w:rPr>
            <w:rStyle w:val="TextoNormalCaracter"/>
          </w:rPr>
          <w:t>97/2025</w:t>
        </w:r>
      </w:hyperlink>
      <w:r>
        <w:t xml:space="preserve"> (anula).</w:t>
      </w:r>
    </w:p>
    <w:p w14:paraId="1F6220C5" w14:textId="128FE422" w:rsidR="001D7FA9" w:rsidRDefault="001D7FA9" w:rsidP="001D7FA9">
      <w:pPr>
        <w:pStyle w:val="SangriaFrancesaArticulo"/>
      </w:pPr>
    </w:p>
    <w:p w14:paraId="5AADCD79" w14:textId="77777777" w:rsidR="001D7FA9" w:rsidRDefault="001D7FA9" w:rsidP="001D7FA9">
      <w:pPr>
        <w:pStyle w:val="TextoNormalNegritaCursivandice"/>
        <w:keepNext/>
      </w:pPr>
      <w:r>
        <w:t>Comunidad Autónoma del País Vasco. Acuerdo de la mesa del Parlamento Vasco, de 21 de septiembre de 2021, por el que se considera incompetente para resolver sobre la decisión de otro órgano parlamentario</w:t>
      </w:r>
    </w:p>
    <w:p w14:paraId="0AA6FF34" w14:textId="05FFA75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7" w:history="1">
        <w:r w:rsidRPr="001D7FA9">
          <w:rPr>
            <w:rStyle w:val="TextoNormalCaracter"/>
          </w:rPr>
          <w:t>97/2025</w:t>
        </w:r>
      </w:hyperlink>
      <w:r>
        <w:t>.</w:t>
      </w:r>
    </w:p>
    <w:p w14:paraId="0001F305" w14:textId="65D4A71C" w:rsidR="001D7FA9" w:rsidRDefault="001D7FA9">
      <w:pPr>
        <w:spacing w:after="160" w:line="278" w:lineRule="auto"/>
        <w:rPr>
          <w:rFonts w:ascii="Times New Roman" w:eastAsia="Times New Roman" w:hAnsi="Times New Roman" w:cs="Times New Roman"/>
          <w:sz w:val="24"/>
          <w:szCs w:val="24"/>
          <w:lang w:eastAsia="es-ES"/>
        </w:rPr>
      </w:pPr>
      <w:r>
        <w:br w:type="page"/>
      </w:r>
    </w:p>
    <w:p w14:paraId="2A1BC207" w14:textId="77777777" w:rsidR="001D7FA9" w:rsidRDefault="001D7FA9" w:rsidP="001D7FA9">
      <w:pPr>
        <w:pStyle w:val="SangriaFrancesaArticulo"/>
      </w:pPr>
    </w:p>
    <w:p w14:paraId="4A740B3B" w14:textId="77777777" w:rsidR="001D7FA9" w:rsidRDefault="001D7FA9" w:rsidP="001D7FA9">
      <w:pPr>
        <w:pStyle w:val="TextoNormal"/>
      </w:pPr>
    </w:p>
    <w:p w14:paraId="01F88DE8" w14:textId="77777777" w:rsidR="001D7FA9" w:rsidRDefault="001D7FA9" w:rsidP="001D7FA9">
      <w:pPr>
        <w:pStyle w:val="TextoNormal"/>
      </w:pPr>
    </w:p>
    <w:p w14:paraId="449A07F0" w14:textId="77777777" w:rsidR="001D7FA9" w:rsidRDefault="001D7FA9" w:rsidP="001D7FA9">
      <w:pPr>
        <w:pStyle w:val="TextoNormal"/>
      </w:pPr>
    </w:p>
    <w:p w14:paraId="2058422C" w14:textId="77777777" w:rsidR="001D7FA9" w:rsidRDefault="001D7FA9" w:rsidP="001D7FA9">
      <w:pPr>
        <w:pStyle w:val="Ttulondice"/>
        <w:suppressAutoHyphens/>
      </w:pPr>
      <w:r>
        <w:t>5. ÍNDICE DE DISPOSICIONES CITADAS</w:t>
      </w:r>
    </w:p>
    <w:p w14:paraId="080CC8AB" w14:textId="6D7AF00E" w:rsidR="001D7FA9" w:rsidRDefault="001D7FA9" w:rsidP="001D7FA9">
      <w:pPr>
        <w:pStyle w:val="TextoNormal"/>
        <w:suppressAutoHyphens/>
      </w:pPr>
    </w:p>
    <w:p w14:paraId="1D566E5D" w14:textId="77777777" w:rsidR="001D7FA9" w:rsidRDefault="001D7FA9" w:rsidP="001D7FA9">
      <w:pPr>
        <w:pStyle w:val="TextoNormal"/>
        <w:suppressAutoHyphens/>
      </w:pPr>
    </w:p>
    <w:p w14:paraId="567ABDCC" w14:textId="77777777" w:rsidR="001D7FA9" w:rsidRDefault="001D7FA9" w:rsidP="001D7FA9">
      <w:pPr>
        <w:pStyle w:val="TextoNormal"/>
        <w:suppressAutoHyphens/>
      </w:pPr>
    </w:p>
    <w:p w14:paraId="7555A234" w14:textId="77777777" w:rsidR="001D7FA9" w:rsidRDefault="001D7FA9" w:rsidP="001D7FA9">
      <w:pPr>
        <w:pStyle w:val="TextoNormal"/>
        <w:suppressAutoHyphens/>
      </w:pPr>
    </w:p>
    <w:p w14:paraId="3A748B0F" w14:textId="77777777" w:rsidR="001D7FA9" w:rsidRDefault="001D7FA9" w:rsidP="001D7FA9">
      <w:pPr>
        <w:pStyle w:val="TextoNormal"/>
        <w:suppressAutoHyphens/>
      </w:pPr>
    </w:p>
    <w:p w14:paraId="50B53436" w14:textId="77777777" w:rsidR="001D7FA9" w:rsidRDefault="001D7FA9" w:rsidP="001D7FA9">
      <w:pPr>
        <w:pStyle w:val="TextoNormal"/>
        <w:suppressAutoHyphens/>
      </w:pPr>
    </w:p>
    <w:p w14:paraId="00FB663B" w14:textId="77777777" w:rsidR="001D7FA9" w:rsidRDefault="001D7FA9" w:rsidP="001D7FA9">
      <w:pPr>
        <w:pStyle w:val="TextoNormal"/>
        <w:suppressAutoHyphens/>
      </w:pPr>
    </w:p>
    <w:p w14:paraId="1BCE8FBD" w14:textId="77777777" w:rsidR="001D7FA9" w:rsidRDefault="001D7FA9" w:rsidP="001D7FA9">
      <w:pPr>
        <w:pStyle w:val="TextoNormal"/>
        <w:suppressAutoHyphens/>
      </w:pPr>
    </w:p>
    <w:p w14:paraId="15F7A161" w14:textId="77777777" w:rsidR="001D7FA9" w:rsidRDefault="001D7FA9" w:rsidP="001D7FA9">
      <w:pPr>
        <w:pStyle w:val="TextoNormal"/>
        <w:suppressAutoHyphens/>
      </w:pPr>
    </w:p>
    <w:p w14:paraId="33082792" w14:textId="77777777" w:rsidR="001D7FA9" w:rsidRDefault="001D7FA9" w:rsidP="001D7FA9">
      <w:pPr>
        <w:pStyle w:val="TextoNormal"/>
      </w:pPr>
    </w:p>
    <w:p w14:paraId="4C606882" w14:textId="77777777" w:rsidR="001D7FA9" w:rsidRDefault="001D7FA9" w:rsidP="001D7FA9">
      <w:pPr>
        <w:pStyle w:val="TextoNormal"/>
      </w:pPr>
      <w:bookmarkStart w:id="211" w:name="INDICE22804"/>
      <w:bookmarkEnd w:id="211"/>
    </w:p>
    <w:p w14:paraId="2E9F85A8" w14:textId="77777777" w:rsidR="001D7FA9" w:rsidRDefault="001D7FA9" w:rsidP="001D7FA9">
      <w:pPr>
        <w:pStyle w:val="TextoIndiceNivel2"/>
        <w:suppressAutoHyphens/>
      </w:pPr>
      <w:r>
        <w:t>A) Constitución</w:t>
      </w:r>
    </w:p>
    <w:p w14:paraId="7D285AE4" w14:textId="1033CF2C" w:rsidR="001D7FA9" w:rsidRDefault="001D7FA9" w:rsidP="001D7FA9">
      <w:pPr>
        <w:pStyle w:val="TextoIndiceNivel2"/>
      </w:pPr>
    </w:p>
    <w:p w14:paraId="333C50BF" w14:textId="77777777" w:rsidR="001D7FA9" w:rsidRDefault="001D7FA9" w:rsidP="001D7FA9">
      <w:pPr>
        <w:pStyle w:val="TextoNormalNegritaCursivandice"/>
        <w:keepNext/>
      </w:pPr>
      <w:r>
        <w:t>Constitución política de la Monarquía española, promulgada en Cádiz el 19 de marzo de 1812</w:t>
      </w:r>
    </w:p>
    <w:p w14:paraId="11AB3A91" w14:textId="02AB34D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4, VP IV.</w:t>
      </w:r>
    </w:p>
    <w:p w14:paraId="581A09D2" w14:textId="75C842B5" w:rsidR="001D7FA9" w:rsidRDefault="001D7FA9" w:rsidP="001D7FA9">
      <w:pPr>
        <w:pStyle w:val="SangriaFrancesaArticulo"/>
      </w:pPr>
      <w:r w:rsidRPr="001D7FA9">
        <w:rPr>
          <w:rStyle w:val="TextoNormalNegritaCaracter"/>
        </w:rPr>
        <w:t>Artículo 243.</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C8B4F18" w14:textId="67663C09" w:rsidR="001D7FA9" w:rsidRDefault="001D7FA9" w:rsidP="001D7FA9">
      <w:pPr>
        <w:pStyle w:val="SangriaFrancesaArticulo"/>
      </w:pPr>
    </w:p>
    <w:p w14:paraId="5042A258" w14:textId="77777777" w:rsidR="001D7FA9" w:rsidRDefault="001D7FA9" w:rsidP="001D7FA9">
      <w:pPr>
        <w:pStyle w:val="TextoNormalNegritaCursivandice"/>
        <w:keepNext/>
      </w:pPr>
      <w:r>
        <w:t>Constitución de la Monarquía española, de 1 de junio de 1869</w:t>
      </w:r>
    </w:p>
    <w:p w14:paraId="5268E9EC" w14:textId="476F206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66D6775E" w14:textId="4CAE3660" w:rsidR="001D7FA9" w:rsidRDefault="001D7FA9" w:rsidP="001D7FA9">
      <w:pPr>
        <w:pStyle w:val="SangriaFrancesaArticulo"/>
      </w:pPr>
    </w:p>
    <w:p w14:paraId="1CA50001" w14:textId="77777777" w:rsidR="001D7FA9" w:rsidRDefault="001D7FA9" w:rsidP="001D7FA9">
      <w:pPr>
        <w:pStyle w:val="TextoNormalNegritaCursivandice"/>
        <w:keepNext/>
      </w:pPr>
      <w:r>
        <w:t>Constitución de la República española, de 10 de diciembre de 1931</w:t>
      </w:r>
    </w:p>
    <w:p w14:paraId="3C3E7EB7" w14:textId="4A2CA43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 VP IV.</w:t>
      </w:r>
    </w:p>
    <w:p w14:paraId="542E54C0" w14:textId="5547EC5B" w:rsidR="001D7FA9" w:rsidRDefault="001D7FA9" w:rsidP="001D7FA9">
      <w:pPr>
        <w:pStyle w:val="SangriaFrancesaArticulo"/>
      </w:pPr>
      <w:r w:rsidRPr="001D7FA9">
        <w:rPr>
          <w:rStyle w:val="TextoNormalNegritaCaracter"/>
        </w:rPr>
        <w:t>Título VII.</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E3622CC" w14:textId="1D6A86C9" w:rsidR="001D7FA9" w:rsidRDefault="001D7FA9" w:rsidP="001D7FA9">
      <w:pPr>
        <w:pStyle w:val="SangriaFrancesaArticulo"/>
      </w:pPr>
      <w:r w:rsidRPr="001D7FA9">
        <w:rPr>
          <w:rStyle w:val="TextoNormalNegritaCaracter"/>
        </w:rPr>
        <w:t>Artículo 102.</w:t>
      </w:r>
      <w:r w:rsidRPr="001D7FA9">
        <w:rPr>
          <w:rStyle w:val="TextoNormalCaracter"/>
        </w:rPr>
        <w:t>-</w:t>
      </w:r>
      <w:r>
        <w:t xml:space="preserve"> Sentencia </w:t>
      </w:r>
      <w:hyperlink w:anchor="SENTENCIA_2025_137" w:history="1">
        <w:r w:rsidRPr="001D7FA9">
          <w:rPr>
            <w:rStyle w:val="TextoNormalCaracter"/>
          </w:rPr>
          <w:t>137/2025</w:t>
        </w:r>
      </w:hyperlink>
      <w:r>
        <w:t>, f. 3, VP I, VP II, VP IV.</w:t>
      </w:r>
    </w:p>
    <w:p w14:paraId="03BCCECF" w14:textId="7D5698F0" w:rsidR="001D7FA9" w:rsidRDefault="001D7FA9" w:rsidP="001D7FA9">
      <w:pPr>
        <w:pStyle w:val="SangriaFrancesaArticulo"/>
      </w:pPr>
    </w:p>
    <w:p w14:paraId="7EEC7419" w14:textId="77777777" w:rsidR="001D7FA9" w:rsidRDefault="001D7FA9" w:rsidP="001D7FA9">
      <w:pPr>
        <w:pStyle w:val="TextoNormalNegritaCursivandice"/>
        <w:keepNext/>
      </w:pPr>
      <w:r>
        <w:t>Constitución española, de 27 de diciembre de 1978</w:t>
      </w:r>
    </w:p>
    <w:p w14:paraId="73A2FA3A" w14:textId="6AB7A75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26" w:history="1">
        <w:r w:rsidRPr="001D7FA9">
          <w:rPr>
            <w:rStyle w:val="TextoNormalCaracter"/>
          </w:rPr>
          <w:t>26/2025</w:t>
        </w:r>
      </w:hyperlink>
      <w:r>
        <w:t xml:space="preserve">, f. 6; </w:t>
      </w:r>
      <w:hyperlink w:anchor="SENTENCIA_2025_82" w:history="1">
        <w:r w:rsidRPr="001D7FA9">
          <w:rPr>
            <w:rStyle w:val="TextoNormalCaracter"/>
          </w:rPr>
          <w:t>82/2025</w:t>
        </w:r>
      </w:hyperlink>
      <w:r>
        <w:t xml:space="preserve">, ff. 4, 6; </w:t>
      </w:r>
      <w:hyperlink w:anchor="SENTENCIA_2025_137" w:history="1">
        <w:r w:rsidRPr="001D7FA9">
          <w:rPr>
            <w:rStyle w:val="TextoNormalCaracter"/>
          </w:rPr>
          <w:t>137/2025</w:t>
        </w:r>
      </w:hyperlink>
      <w:r>
        <w:t>, f. 3, VP I, VP III, VP IV.</w:t>
      </w:r>
    </w:p>
    <w:p w14:paraId="67F23AAB" w14:textId="58F52BB0" w:rsidR="001D7FA9" w:rsidRDefault="001D7FA9" w:rsidP="001D7FA9">
      <w:pPr>
        <w:pStyle w:val="SangriaFrancesaArticulo"/>
      </w:pPr>
      <w:r w:rsidRPr="001D7FA9">
        <w:rPr>
          <w:rStyle w:val="TextoNormalNegritaCaracter"/>
        </w:rPr>
        <w:t>Título I.</w:t>
      </w:r>
      <w:r w:rsidRPr="001D7FA9">
        <w:rPr>
          <w:rStyle w:val="TextoNormalCaracter"/>
        </w:rPr>
        <w:t>-</w:t>
      </w:r>
      <w:r>
        <w:t xml:space="preserve"> Sentencias </w:t>
      </w:r>
      <w:hyperlink w:anchor="SENTENCIA_2025_1" w:history="1">
        <w:r w:rsidRPr="001D7FA9">
          <w:rPr>
            <w:rStyle w:val="TextoNormalCaracter"/>
          </w:rPr>
          <w:t>1/2025</w:t>
        </w:r>
      </w:hyperlink>
      <w:r>
        <w:t xml:space="preserve">, f. 3; </w:t>
      </w:r>
      <w:hyperlink w:anchor="SENTENCIA_2025_25" w:history="1">
        <w:r w:rsidRPr="001D7FA9">
          <w:rPr>
            <w:rStyle w:val="TextoNormalCaracter"/>
          </w:rPr>
          <w:t>25/2025</w:t>
        </w:r>
      </w:hyperlink>
      <w:r>
        <w:t xml:space="preserve">, f. 3; </w:t>
      </w:r>
      <w:hyperlink w:anchor="SENTENCIA_2025_40" w:history="1">
        <w:r w:rsidRPr="001D7FA9">
          <w:rPr>
            <w:rStyle w:val="TextoNormalCaracter"/>
          </w:rPr>
          <w:t>40/2025</w:t>
        </w:r>
      </w:hyperlink>
      <w:r>
        <w:t xml:space="preserve">, VP III; </w:t>
      </w:r>
      <w:hyperlink w:anchor="SENTENCIA_2025_64" w:history="1">
        <w:r w:rsidRPr="001D7FA9">
          <w:rPr>
            <w:rStyle w:val="TextoNormalCaracter"/>
          </w:rPr>
          <w:t>64/2025</w:t>
        </w:r>
      </w:hyperlink>
      <w:r>
        <w:t xml:space="preserve">, f. 4; </w:t>
      </w:r>
      <w:hyperlink w:anchor="SENTENCIA_2025_95" w:history="1">
        <w:r w:rsidRPr="001D7FA9">
          <w:rPr>
            <w:rStyle w:val="TextoNormalCaracter"/>
          </w:rPr>
          <w:t>95/2025</w:t>
        </w:r>
      </w:hyperlink>
      <w:r>
        <w:t>, ff. 2, 3.</w:t>
      </w:r>
    </w:p>
    <w:p w14:paraId="52750A45" w14:textId="2A6CA5A5" w:rsidR="001D7FA9" w:rsidRDefault="001D7FA9" w:rsidP="001D7FA9">
      <w:pPr>
        <w:pStyle w:val="SangriaFrancesaArticulo"/>
      </w:pPr>
      <w:r w:rsidRPr="001D7FA9">
        <w:rPr>
          <w:rStyle w:val="TextoNormalNegritaCaracter"/>
        </w:rPr>
        <w:t>Título III, capítulo I.</w:t>
      </w:r>
      <w:r w:rsidRPr="001D7FA9">
        <w:rPr>
          <w:rStyle w:val="TextoNormalCaracter"/>
        </w:rPr>
        <w:t>-</w:t>
      </w:r>
      <w:r>
        <w:t xml:space="preserve"> Sentencia </w:t>
      </w:r>
      <w:hyperlink w:anchor="SENTENCIA_2025_137" w:history="1">
        <w:r w:rsidRPr="001D7FA9">
          <w:rPr>
            <w:rStyle w:val="TextoNormalCaracter"/>
          </w:rPr>
          <w:t>137/2025</w:t>
        </w:r>
      </w:hyperlink>
      <w:r>
        <w:t>, f. 3.</w:t>
      </w:r>
    </w:p>
    <w:p w14:paraId="24ED6FDC" w14:textId="331D6D99" w:rsidR="001D7FA9" w:rsidRDefault="001D7FA9" w:rsidP="001D7FA9">
      <w:pPr>
        <w:pStyle w:val="SangriaFrancesaArticulo"/>
      </w:pPr>
      <w:r w:rsidRPr="001D7FA9">
        <w:rPr>
          <w:rStyle w:val="TextoNormalNegritaCaracter"/>
        </w:rPr>
        <w:t>Título III, capítulo II.</w:t>
      </w:r>
      <w:r w:rsidRPr="001D7FA9">
        <w:rPr>
          <w:rStyle w:val="TextoNormalCaracter"/>
        </w:rPr>
        <w:t>-</w:t>
      </w:r>
      <w:r>
        <w:t xml:space="preserve"> Sentencia </w:t>
      </w:r>
      <w:hyperlink w:anchor="SENTENCIA_2025_63" w:history="1">
        <w:r w:rsidRPr="001D7FA9">
          <w:rPr>
            <w:rStyle w:val="TextoNormalCaracter"/>
          </w:rPr>
          <w:t>63/2025</w:t>
        </w:r>
      </w:hyperlink>
      <w:r>
        <w:t>, f. 9.</w:t>
      </w:r>
    </w:p>
    <w:p w14:paraId="1A1BE961" w14:textId="4C840A72" w:rsidR="001D7FA9" w:rsidRDefault="001D7FA9" w:rsidP="001D7FA9">
      <w:pPr>
        <w:pStyle w:val="SangriaFrancesaArticulo"/>
      </w:pPr>
      <w:r w:rsidRPr="001D7FA9">
        <w:rPr>
          <w:rStyle w:val="TextoNormalNegritaCaracter"/>
        </w:rPr>
        <w:t>Título IV.</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DE3C90B" w14:textId="0D8F1020" w:rsidR="001D7FA9" w:rsidRDefault="001D7FA9" w:rsidP="001D7FA9">
      <w:pPr>
        <w:pStyle w:val="SangriaFrancesaArticulo"/>
      </w:pPr>
      <w:r w:rsidRPr="001D7FA9">
        <w:rPr>
          <w:rStyle w:val="TextoNormalNegritaCaracter"/>
        </w:rPr>
        <w:t>Título VI.</w:t>
      </w:r>
      <w:r w:rsidRPr="001D7FA9">
        <w:rPr>
          <w:rStyle w:val="TextoNormalCaracter"/>
        </w:rPr>
        <w:t>-</w:t>
      </w:r>
      <w:r>
        <w:t xml:space="preserve"> Sentencia </w:t>
      </w:r>
      <w:hyperlink w:anchor="SENTENCIA_2025_12" w:history="1">
        <w:r w:rsidRPr="001D7FA9">
          <w:rPr>
            <w:rStyle w:val="TextoNormalCaracter"/>
          </w:rPr>
          <w:t>12/2025</w:t>
        </w:r>
      </w:hyperlink>
      <w:r>
        <w:t>, f. 4.</w:t>
      </w:r>
    </w:p>
    <w:p w14:paraId="301576C7" w14:textId="3D6F00ED" w:rsidR="001D7FA9" w:rsidRDefault="001D7FA9" w:rsidP="001D7FA9">
      <w:pPr>
        <w:pStyle w:val="SangriaFrancesaArticulo"/>
      </w:pPr>
      <w:r w:rsidRPr="001D7FA9">
        <w:rPr>
          <w:rStyle w:val="TextoNormalNegritaCaracter"/>
        </w:rPr>
        <w:t>Título VIII.</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31ADD2DB" w14:textId="03A25E31" w:rsidR="001D7FA9" w:rsidRDefault="001D7FA9" w:rsidP="001D7FA9">
      <w:pPr>
        <w:pStyle w:val="SangriaFrancesaArticulo"/>
      </w:pPr>
      <w:r w:rsidRPr="001D7FA9">
        <w:rPr>
          <w:rStyle w:val="TextoNormalNegritaCaracter"/>
        </w:rPr>
        <w:t>Título IX.</w:t>
      </w:r>
      <w:r w:rsidRPr="001D7FA9">
        <w:rPr>
          <w:rStyle w:val="TextoNormalCaracter"/>
        </w:rPr>
        <w:t>-</w:t>
      </w:r>
      <w:r>
        <w:t xml:space="preserve"> Sentencia </w:t>
      </w:r>
      <w:hyperlink w:anchor="SENTENCIA_2025_137" w:history="1">
        <w:r w:rsidRPr="001D7FA9">
          <w:rPr>
            <w:rStyle w:val="TextoNormalCaracter"/>
          </w:rPr>
          <w:t>137/2025</w:t>
        </w:r>
      </w:hyperlink>
      <w:r>
        <w:t>, f. 4.</w:t>
      </w:r>
    </w:p>
    <w:p w14:paraId="2A0DD1AD" w14:textId="09959783" w:rsidR="001D7FA9" w:rsidRDefault="001D7FA9" w:rsidP="001D7FA9">
      <w:pPr>
        <w:pStyle w:val="SangriaFrancesaArticulo"/>
      </w:pPr>
      <w:r w:rsidRPr="001D7FA9">
        <w:rPr>
          <w:rStyle w:val="TextoNormalNegritaCaracter"/>
        </w:rPr>
        <w:t>Título X.</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1044AD81" w14:textId="6F3F44EF" w:rsidR="001D7FA9" w:rsidRDefault="001D7FA9" w:rsidP="001D7FA9">
      <w:pPr>
        <w:pStyle w:val="SangriaFrancesaArticulo"/>
      </w:pPr>
      <w:r w:rsidRPr="001D7FA9">
        <w:rPr>
          <w:rStyle w:val="TextoNormalNegritaCaracter"/>
        </w:rPr>
        <w:t>Capítulo II.</w:t>
      </w:r>
      <w:r w:rsidRPr="001D7FA9">
        <w:rPr>
          <w:rStyle w:val="TextoNormalCaracter"/>
        </w:rPr>
        <w:t>-</w:t>
      </w:r>
      <w:r>
        <w:t xml:space="preserve"> Sentencia </w:t>
      </w:r>
      <w:hyperlink w:anchor="SENTENCIA_2025_63" w:history="1">
        <w:r w:rsidRPr="001D7FA9">
          <w:rPr>
            <w:rStyle w:val="TextoNormalCaracter"/>
          </w:rPr>
          <w:t>63/2025</w:t>
        </w:r>
      </w:hyperlink>
      <w:r>
        <w:t>, f. 9.</w:t>
      </w:r>
    </w:p>
    <w:p w14:paraId="68B24052" w14:textId="6E49E66A"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137" w:history="1">
        <w:r w:rsidRPr="001D7FA9">
          <w:rPr>
            <w:rStyle w:val="TextoNormalCaracter"/>
          </w:rPr>
          <w:t>137/2025</w:t>
        </w:r>
      </w:hyperlink>
      <w:r>
        <w:t>, f. 4, VP III, VP IV.</w:t>
      </w:r>
    </w:p>
    <w:p w14:paraId="77DB8453" w14:textId="72EE3F91"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Sentencias </w:t>
      </w:r>
      <w:hyperlink w:anchor="SENTENCIA_2025_51" w:history="1">
        <w:r w:rsidRPr="001D7FA9">
          <w:rPr>
            <w:rStyle w:val="TextoNormalCaracter"/>
          </w:rPr>
          <w:t>51/2025</w:t>
        </w:r>
      </w:hyperlink>
      <w:r>
        <w:t xml:space="preserve">, f. 3; </w:t>
      </w:r>
      <w:hyperlink w:anchor="SENTENCIA_2025_137" w:history="1">
        <w:r w:rsidRPr="001D7FA9">
          <w:rPr>
            <w:rStyle w:val="TextoNormalCaracter"/>
          </w:rPr>
          <w:t>137/2025</w:t>
        </w:r>
      </w:hyperlink>
      <w:r>
        <w:t>, VP III.</w:t>
      </w:r>
    </w:p>
    <w:p w14:paraId="675E4B8A" w14:textId="0C5CD1B0" w:rsidR="001D7FA9" w:rsidRDefault="001D7FA9" w:rsidP="001D7FA9">
      <w:pPr>
        <w:pStyle w:val="SangriaIzquierdaArticulo"/>
      </w:pPr>
      <w:r>
        <w:t xml:space="preserve">Auto </w:t>
      </w:r>
      <w:hyperlink w:anchor="AUTO_2025_64" w:history="1">
        <w:r w:rsidRPr="001D7FA9">
          <w:rPr>
            <w:rStyle w:val="TextoNormalCaracter"/>
          </w:rPr>
          <w:t>64/2025</w:t>
        </w:r>
      </w:hyperlink>
      <w:r>
        <w:t>, VP III.</w:t>
      </w:r>
    </w:p>
    <w:p w14:paraId="2F29DE5F" w14:textId="234AB4B0"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40" w:history="1">
        <w:r w:rsidRPr="001D7FA9">
          <w:rPr>
            <w:rStyle w:val="TextoNormalCaracter"/>
          </w:rPr>
          <w:t>40/2025</w:t>
        </w:r>
      </w:hyperlink>
      <w:r>
        <w:t xml:space="preserve">, f. 4, VP III; </w:t>
      </w:r>
      <w:hyperlink w:anchor="SENTENCIA_2025_51" w:history="1">
        <w:r w:rsidRPr="001D7FA9">
          <w:rPr>
            <w:rStyle w:val="TextoNormalCaracter"/>
          </w:rPr>
          <w:t>51/2025</w:t>
        </w:r>
      </w:hyperlink>
      <w:r>
        <w:t xml:space="preserve">, f. 3; </w:t>
      </w:r>
      <w:hyperlink w:anchor="SENTENCIA_2025_95" w:history="1">
        <w:r w:rsidRPr="001D7FA9">
          <w:rPr>
            <w:rStyle w:val="TextoNormalCaracter"/>
          </w:rPr>
          <w:t>95/2025</w:t>
        </w:r>
      </w:hyperlink>
      <w:r>
        <w:t xml:space="preserve">, ff. 2, 3; </w:t>
      </w:r>
      <w:hyperlink w:anchor="SENTENCIA_2025_105" w:history="1">
        <w:r w:rsidRPr="001D7FA9">
          <w:rPr>
            <w:rStyle w:val="TextoNormalCaracter"/>
          </w:rPr>
          <w:t>105/2025</w:t>
        </w:r>
      </w:hyperlink>
      <w:r>
        <w:t xml:space="preserve">, VP III; </w:t>
      </w:r>
      <w:hyperlink w:anchor="SENTENCIA_2025_120" w:history="1">
        <w:r w:rsidRPr="001D7FA9">
          <w:rPr>
            <w:rStyle w:val="TextoNormalCaracter"/>
          </w:rPr>
          <w:t>120/2025</w:t>
        </w:r>
      </w:hyperlink>
      <w:r>
        <w:t xml:space="preserve">, f. 6; </w:t>
      </w:r>
      <w:hyperlink w:anchor="SENTENCIA_2025_121" w:history="1">
        <w:r w:rsidRPr="001D7FA9">
          <w:rPr>
            <w:rStyle w:val="TextoNormalCaracter"/>
          </w:rPr>
          <w:t>121/2025</w:t>
        </w:r>
      </w:hyperlink>
      <w:r>
        <w:t xml:space="preserve">, f. 3; </w:t>
      </w:r>
      <w:hyperlink w:anchor="SENTENCIA_2025_134" w:history="1">
        <w:r w:rsidRPr="001D7FA9">
          <w:rPr>
            <w:rStyle w:val="TextoNormalCaracter"/>
          </w:rPr>
          <w:t>134/2025</w:t>
        </w:r>
      </w:hyperlink>
      <w:r>
        <w:t xml:space="preserve">, f. 3; </w:t>
      </w:r>
      <w:hyperlink w:anchor="SENTENCIA_2025_137" w:history="1">
        <w:r w:rsidRPr="001D7FA9">
          <w:rPr>
            <w:rStyle w:val="TextoNormalCaracter"/>
          </w:rPr>
          <w:t>137/2025</w:t>
        </w:r>
      </w:hyperlink>
      <w:r>
        <w:t>, ff. 1, 4, 5, 8, 11 a 14, VP I, VP II, VP III, VP IV.</w:t>
      </w:r>
    </w:p>
    <w:p w14:paraId="593AC151" w14:textId="12FA4FC0"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f. 3; </w:t>
      </w:r>
      <w:hyperlink w:anchor="AUTO_2025_12" w:history="1">
        <w:r w:rsidRPr="001D7FA9">
          <w:rPr>
            <w:rStyle w:val="TextoNormalCaracter"/>
          </w:rPr>
          <w:t>12/2025</w:t>
        </w:r>
      </w:hyperlink>
      <w:r>
        <w:t xml:space="preserve">, f. 1; </w:t>
      </w:r>
      <w:hyperlink w:anchor="AUTO_2025_35" w:history="1">
        <w:r w:rsidRPr="001D7FA9">
          <w:rPr>
            <w:rStyle w:val="TextoNormalCaracter"/>
          </w:rPr>
          <w:t>35/2025</w:t>
        </w:r>
      </w:hyperlink>
      <w:r>
        <w:t>, f. 4.</w:t>
      </w:r>
    </w:p>
    <w:p w14:paraId="023C0925" w14:textId="55D51D1B"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Sentencias </w:t>
      </w:r>
      <w:hyperlink w:anchor="SENTENCIA_2025_51" w:history="1">
        <w:r w:rsidRPr="001D7FA9">
          <w:rPr>
            <w:rStyle w:val="TextoNormalCaracter"/>
          </w:rPr>
          <w:t>51/2025</w:t>
        </w:r>
      </w:hyperlink>
      <w:r>
        <w:t xml:space="preserve">, f. 3; </w:t>
      </w:r>
      <w:hyperlink w:anchor="SENTENCIA_2025_137" w:history="1">
        <w:r w:rsidRPr="001D7FA9">
          <w:rPr>
            <w:rStyle w:val="TextoNormalCaracter"/>
          </w:rPr>
          <w:t>137/2025</w:t>
        </w:r>
      </w:hyperlink>
      <w:r>
        <w:t>, VP II, VP III, VP IV.</w:t>
      </w:r>
    </w:p>
    <w:p w14:paraId="620478D2" w14:textId="16B56831"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137" w:history="1">
        <w:r w:rsidRPr="001D7FA9">
          <w:rPr>
            <w:rStyle w:val="TextoNormalCaracter"/>
          </w:rPr>
          <w:t>137/2025</w:t>
        </w:r>
      </w:hyperlink>
      <w:r>
        <w:t>, f. 4.</w:t>
      </w:r>
    </w:p>
    <w:p w14:paraId="7E54FFD1" w14:textId="3AC3CA76"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Sentencias </w:t>
      </w:r>
      <w:hyperlink w:anchor="SENTENCIA_2025_43" w:history="1">
        <w:r w:rsidRPr="001D7FA9">
          <w:rPr>
            <w:rStyle w:val="TextoNormalCaracter"/>
          </w:rPr>
          <w:t>43/2025</w:t>
        </w:r>
      </w:hyperlink>
      <w:r>
        <w:t xml:space="preserve">, f. 3; </w:t>
      </w:r>
      <w:hyperlink w:anchor="SENTENCIA_2025_137" w:history="1">
        <w:r w:rsidRPr="001D7FA9">
          <w:rPr>
            <w:rStyle w:val="TextoNormalCaracter"/>
          </w:rPr>
          <w:t>137/2025</w:t>
        </w:r>
      </w:hyperlink>
      <w:r>
        <w:t>, f. 1, VP II, VP IV.</w:t>
      </w:r>
    </w:p>
    <w:p w14:paraId="7509E271" w14:textId="61B53C62"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118" w:history="1">
        <w:r w:rsidRPr="001D7FA9">
          <w:rPr>
            <w:rStyle w:val="TextoNormalCaracter"/>
          </w:rPr>
          <w:t>118/2025</w:t>
        </w:r>
      </w:hyperlink>
      <w:r>
        <w:t>, f. 1.</w:t>
      </w:r>
    </w:p>
    <w:p w14:paraId="5B2E74AB" w14:textId="06319196"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 </w:t>
      </w:r>
      <w:hyperlink w:anchor="SENTENCIA_2025_51" w:history="1">
        <w:r w:rsidRPr="001D7FA9">
          <w:rPr>
            <w:rStyle w:val="TextoNormalCaracter"/>
          </w:rPr>
          <w:t>51/2025</w:t>
        </w:r>
      </w:hyperlink>
      <w:r>
        <w:t>, f. 3.</w:t>
      </w:r>
    </w:p>
    <w:p w14:paraId="018A0277" w14:textId="5D612DB1" w:rsidR="001D7FA9" w:rsidRDefault="001D7FA9" w:rsidP="001D7FA9">
      <w:pPr>
        <w:pStyle w:val="SangriaFrancesaArticulo"/>
      </w:pPr>
      <w:r w:rsidRPr="001D7FA9">
        <w:rPr>
          <w:rStyle w:val="TextoNormalNegritaCaracter"/>
        </w:rPr>
        <w:t>Artículo 3.2.</w:t>
      </w:r>
      <w:r w:rsidRPr="001D7FA9">
        <w:rPr>
          <w:rStyle w:val="TextoNormalCaracter"/>
        </w:rPr>
        <w:t>-</w:t>
      </w:r>
      <w:r>
        <w:t xml:space="preserve"> Sentencia </w:t>
      </w:r>
      <w:hyperlink w:anchor="SENTENCIA_2025_118" w:history="1">
        <w:r w:rsidRPr="001D7FA9">
          <w:rPr>
            <w:rStyle w:val="TextoNormalCaracter"/>
          </w:rPr>
          <w:t>118/2025</w:t>
        </w:r>
      </w:hyperlink>
      <w:r>
        <w:t>, f. 1.</w:t>
      </w:r>
    </w:p>
    <w:p w14:paraId="1D279244" w14:textId="745F383D" w:rsidR="001D7FA9" w:rsidRDefault="001D7FA9" w:rsidP="001D7FA9">
      <w:pPr>
        <w:pStyle w:val="SangriaFrancesaArticulo"/>
      </w:pPr>
      <w:r w:rsidRPr="001D7FA9">
        <w:rPr>
          <w:rStyle w:val="TextoNormalNegritaCaracter"/>
        </w:rPr>
        <w:t>Artículo 6.</w:t>
      </w:r>
      <w:r w:rsidRPr="001D7FA9">
        <w:rPr>
          <w:rStyle w:val="TextoNormalCaracter"/>
        </w:rPr>
        <w:t>-</w:t>
      </w:r>
      <w:r>
        <w:t xml:space="preserve"> Sentencias </w:t>
      </w:r>
      <w:hyperlink w:anchor="SENTENCIA_2025_120" w:history="1">
        <w:r w:rsidRPr="001D7FA9">
          <w:rPr>
            <w:rStyle w:val="TextoNormalCaracter"/>
          </w:rPr>
          <w:t>120/2025</w:t>
        </w:r>
      </w:hyperlink>
      <w:r>
        <w:t xml:space="preserve">, f. 6; </w:t>
      </w:r>
      <w:hyperlink w:anchor="SENTENCIA_2025_134" w:history="1">
        <w:r w:rsidRPr="001D7FA9">
          <w:rPr>
            <w:rStyle w:val="TextoNormalCaracter"/>
          </w:rPr>
          <w:t>134/2025</w:t>
        </w:r>
      </w:hyperlink>
      <w:r>
        <w:t>, f. 3.</w:t>
      </w:r>
    </w:p>
    <w:p w14:paraId="3A4E9DEB" w14:textId="2752B411" w:rsidR="001D7FA9" w:rsidRDefault="001D7FA9" w:rsidP="001D7FA9">
      <w:pPr>
        <w:pStyle w:val="SangriaFrancesaArticulo"/>
      </w:pPr>
      <w:r w:rsidRPr="001D7FA9">
        <w:rPr>
          <w:rStyle w:val="TextoNormalNegritaCaracter"/>
        </w:rPr>
        <w:t>Artículo 9.</w:t>
      </w:r>
      <w:r w:rsidRPr="001D7FA9">
        <w:rPr>
          <w:rStyle w:val="TextoNormalCaracter"/>
        </w:rPr>
        <w:t>-</w:t>
      </w:r>
      <w:r>
        <w:t xml:space="preserve"> Sentencias </w:t>
      </w:r>
      <w:hyperlink w:anchor="SENTENCIA_2025_41" w:history="1">
        <w:r w:rsidRPr="001D7FA9">
          <w:rPr>
            <w:rStyle w:val="TextoNormalCaracter"/>
          </w:rPr>
          <w:t>41/2025</w:t>
        </w:r>
      </w:hyperlink>
      <w:r>
        <w:t xml:space="preserve">, f. 1; </w:t>
      </w:r>
      <w:hyperlink w:anchor="SENTENCIA_2025_84" w:history="1">
        <w:r w:rsidRPr="001D7FA9">
          <w:rPr>
            <w:rStyle w:val="TextoNormalCaracter"/>
          </w:rPr>
          <w:t>84/2025</w:t>
        </w:r>
      </w:hyperlink>
      <w:r>
        <w:t>, f. 4.</w:t>
      </w:r>
    </w:p>
    <w:p w14:paraId="2D5C1917" w14:textId="50D5E68C" w:rsidR="001D7FA9" w:rsidRDefault="001D7FA9" w:rsidP="001D7FA9">
      <w:pPr>
        <w:pStyle w:val="SangriaFrancesaArticulo"/>
      </w:pPr>
      <w:r w:rsidRPr="001D7FA9">
        <w:rPr>
          <w:rStyle w:val="TextoNormalNegritaCaracter"/>
        </w:rPr>
        <w:t>Artículo 9.1.</w:t>
      </w:r>
      <w:r w:rsidRPr="001D7FA9">
        <w:rPr>
          <w:rStyle w:val="TextoNormalCaracter"/>
        </w:rPr>
        <w:t>-</w:t>
      </w:r>
      <w:r>
        <w:t xml:space="preserve"> Sentencias </w:t>
      </w:r>
      <w:hyperlink w:anchor="SENTENCIA_2025_105" w:history="1">
        <w:r w:rsidRPr="001D7FA9">
          <w:rPr>
            <w:rStyle w:val="TextoNormalCaracter"/>
          </w:rPr>
          <w:t>105/2025</w:t>
        </w:r>
      </w:hyperlink>
      <w:r>
        <w:t xml:space="preserve">, VP III; </w:t>
      </w:r>
      <w:hyperlink w:anchor="SENTENCIA_2025_107" w:history="1">
        <w:r w:rsidRPr="001D7FA9">
          <w:rPr>
            <w:rStyle w:val="TextoNormalCaracter"/>
          </w:rPr>
          <w:t>107/2025</w:t>
        </w:r>
      </w:hyperlink>
      <w:r>
        <w:t xml:space="preserve">, f. 3; </w:t>
      </w:r>
      <w:hyperlink w:anchor="SENTENCIA_2025_120" w:history="1">
        <w:r w:rsidRPr="001D7FA9">
          <w:rPr>
            <w:rStyle w:val="TextoNormalCaracter"/>
          </w:rPr>
          <w:t>120/2025</w:t>
        </w:r>
      </w:hyperlink>
      <w:r>
        <w:t xml:space="preserve">, f. 5; </w:t>
      </w:r>
      <w:hyperlink w:anchor="SENTENCIA_2025_137" w:history="1">
        <w:r w:rsidRPr="001D7FA9">
          <w:rPr>
            <w:rStyle w:val="TextoNormalCaracter"/>
          </w:rPr>
          <w:t>137/2025</w:t>
        </w:r>
      </w:hyperlink>
      <w:r>
        <w:t>, f. 4, VP I, VP II, VP III, VP IV.</w:t>
      </w:r>
    </w:p>
    <w:p w14:paraId="4ADEB036" w14:textId="444729E6" w:rsidR="001D7FA9" w:rsidRDefault="001D7FA9" w:rsidP="001D7FA9">
      <w:pPr>
        <w:pStyle w:val="SangriaFrancesaArticulo"/>
      </w:pPr>
      <w:r w:rsidRPr="001D7FA9">
        <w:rPr>
          <w:rStyle w:val="TextoNormalNegritaCaracter"/>
        </w:rPr>
        <w:t>Artículo 9.2.</w:t>
      </w:r>
      <w:r w:rsidRPr="001D7FA9">
        <w:rPr>
          <w:rStyle w:val="TextoNormalCaracter"/>
        </w:rPr>
        <w:t>-</w:t>
      </w:r>
      <w:r>
        <w:t xml:space="preserve"> Sentencias </w:t>
      </w:r>
      <w:hyperlink w:anchor="SENTENCIA_2025_1" w:history="1">
        <w:r w:rsidRPr="001D7FA9">
          <w:rPr>
            <w:rStyle w:val="TextoNormalCaracter"/>
          </w:rPr>
          <w:t>1/2025</w:t>
        </w:r>
      </w:hyperlink>
      <w:r>
        <w:t xml:space="preserve">, f. 3; </w:t>
      </w:r>
      <w:hyperlink w:anchor="SENTENCIA_2025_51" w:history="1">
        <w:r w:rsidRPr="001D7FA9">
          <w:rPr>
            <w:rStyle w:val="TextoNormalCaracter"/>
          </w:rPr>
          <w:t>51/2025</w:t>
        </w:r>
      </w:hyperlink>
      <w:r>
        <w:t xml:space="preserve">, f. 3; </w:t>
      </w:r>
      <w:hyperlink w:anchor="SENTENCIA_2025_82" w:history="1">
        <w:r w:rsidRPr="001D7FA9">
          <w:rPr>
            <w:rStyle w:val="TextoNormalCaracter"/>
          </w:rPr>
          <w:t>82/2025</w:t>
        </w:r>
      </w:hyperlink>
      <w:r>
        <w:t xml:space="preserve">, f. 4; </w:t>
      </w:r>
      <w:hyperlink w:anchor="SENTENCIA_2025_95" w:history="1">
        <w:r w:rsidRPr="001D7FA9">
          <w:rPr>
            <w:rStyle w:val="TextoNormalCaracter"/>
          </w:rPr>
          <w:t>95/2025</w:t>
        </w:r>
      </w:hyperlink>
      <w:r>
        <w:t>, f. 2.</w:t>
      </w:r>
    </w:p>
    <w:p w14:paraId="69A8B04A" w14:textId="24C8C0D4"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Sentencias </w:t>
      </w:r>
      <w:hyperlink w:anchor="SENTENCIA_2025_25" w:history="1">
        <w:r w:rsidRPr="001D7FA9">
          <w:rPr>
            <w:rStyle w:val="TextoNormalCaracter"/>
          </w:rPr>
          <w:t>25/2025</w:t>
        </w:r>
      </w:hyperlink>
      <w:r>
        <w:t xml:space="preserve">, VP I; </w:t>
      </w:r>
      <w:hyperlink w:anchor="SENTENCIA_2025_26" w:history="1">
        <w:r w:rsidRPr="001D7FA9">
          <w:rPr>
            <w:rStyle w:val="TextoNormalCaracter"/>
          </w:rPr>
          <w:t>26/2025</w:t>
        </w:r>
      </w:hyperlink>
      <w:r>
        <w:t xml:space="preserve">, VP II; </w:t>
      </w:r>
      <w:hyperlink w:anchor="SENTENCIA_2025_31" w:history="1">
        <w:r w:rsidRPr="001D7FA9">
          <w:rPr>
            <w:rStyle w:val="TextoNormalCaracter"/>
          </w:rPr>
          <w:t>31/2025</w:t>
        </w:r>
      </w:hyperlink>
      <w:r>
        <w:t xml:space="preserve">, f. 2; </w:t>
      </w:r>
      <w:hyperlink w:anchor="SENTENCIA_2025_64" w:history="1">
        <w:r w:rsidRPr="001D7FA9">
          <w:rPr>
            <w:rStyle w:val="TextoNormalCaracter"/>
          </w:rPr>
          <w:t>64/2025</w:t>
        </w:r>
      </w:hyperlink>
      <w:r>
        <w:t xml:space="preserve">, ff. 1, 7; </w:t>
      </w:r>
      <w:hyperlink w:anchor="SENTENCIA_2025_134" w:history="1">
        <w:r w:rsidRPr="001D7FA9">
          <w:rPr>
            <w:rStyle w:val="TextoNormalCaracter"/>
          </w:rPr>
          <w:t>134/2025</w:t>
        </w:r>
      </w:hyperlink>
      <w:r>
        <w:t xml:space="preserve">, f. 6; </w:t>
      </w:r>
      <w:hyperlink w:anchor="SENTENCIA_2025_137" w:history="1">
        <w:r w:rsidRPr="001D7FA9">
          <w:rPr>
            <w:rStyle w:val="TextoNormalCaracter"/>
          </w:rPr>
          <w:t>137/2025</w:t>
        </w:r>
      </w:hyperlink>
      <w:r>
        <w:t>, ff. 1, 2, 5, 7, 8, 13, 14, 16, VP I, VP II, VP III, VP IV.</w:t>
      </w:r>
    </w:p>
    <w:p w14:paraId="5CFF68F4" w14:textId="34FEC7EC" w:rsidR="001D7FA9" w:rsidRDefault="001D7FA9" w:rsidP="001D7FA9">
      <w:pPr>
        <w:pStyle w:val="SangriaIzquierdaArticulo"/>
      </w:pPr>
      <w:r>
        <w:t xml:space="preserve">Autos </w:t>
      </w:r>
      <w:hyperlink w:anchor="AUTO_2025_24" w:history="1">
        <w:r w:rsidRPr="001D7FA9">
          <w:rPr>
            <w:rStyle w:val="TextoNormalCaracter"/>
          </w:rPr>
          <w:t>24/2025</w:t>
        </w:r>
      </w:hyperlink>
      <w:r>
        <w:t xml:space="preserve">, ff. 1, 4; </w:t>
      </w:r>
      <w:hyperlink w:anchor="AUTO_2025_32" w:history="1">
        <w:r w:rsidRPr="001D7FA9">
          <w:rPr>
            <w:rStyle w:val="TextoNormalCaracter"/>
          </w:rPr>
          <w:t>32/2025</w:t>
        </w:r>
      </w:hyperlink>
      <w:r>
        <w:t>, f. 6.</w:t>
      </w:r>
    </w:p>
    <w:p w14:paraId="41BF27AE" w14:textId="7CFB6927" w:rsidR="001D7FA9" w:rsidRDefault="001D7FA9" w:rsidP="001D7FA9">
      <w:pPr>
        <w:pStyle w:val="SangriaFrancesaArticulo"/>
      </w:pPr>
      <w:r w:rsidRPr="001D7FA9">
        <w:rPr>
          <w:rStyle w:val="TextoNormalNegritaCaracter"/>
        </w:rPr>
        <w:t>Artículo 9.3</w:t>
      </w:r>
      <w:r>
        <w:t xml:space="preserve"> (interdicción de la arbitrariedad de los poderes públicos)</w:t>
      </w:r>
      <w:r w:rsidRPr="001D7FA9">
        <w:rPr>
          <w:rStyle w:val="TextoNormalNegritaCaracter"/>
        </w:rPr>
        <w:t>.</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58FC38F" w14:textId="13D0BB25" w:rsidR="001D7FA9" w:rsidRDefault="001D7FA9" w:rsidP="001D7FA9">
      <w:pPr>
        <w:pStyle w:val="SangriaIzquierdaArticulo"/>
      </w:pPr>
      <w:r>
        <w:t xml:space="preserve">Autos </w:t>
      </w:r>
      <w:hyperlink w:anchor="AUTO_2025_20" w:history="1">
        <w:r w:rsidRPr="001D7FA9">
          <w:rPr>
            <w:rStyle w:val="TextoNormalCaracter"/>
          </w:rPr>
          <w:t>20/2025</w:t>
        </w:r>
      </w:hyperlink>
      <w:r>
        <w:t xml:space="preserve">, f. 1; </w:t>
      </w:r>
      <w:hyperlink w:anchor="AUTO_2025_64" w:history="1">
        <w:r w:rsidRPr="001D7FA9">
          <w:rPr>
            <w:rStyle w:val="TextoNormalCaracter"/>
          </w:rPr>
          <w:t>64/2025</w:t>
        </w:r>
      </w:hyperlink>
      <w:r>
        <w:t>, f. 1.</w:t>
      </w:r>
    </w:p>
    <w:p w14:paraId="227E71F7" w14:textId="1B7875E3" w:rsidR="001D7FA9" w:rsidRDefault="001D7FA9" w:rsidP="001D7FA9">
      <w:pPr>
        <w:pStyle w:val="SangriaFrancesaArticulo"/>
      </w:pPr>
      <w:r w:rsidRPr="001D7FA9">
        <w:rPr>
          <w:rStyle w:val="TextoNormalNegritaCaracter"/>
        </w:rPr>
        <w:t>Artículo 9.3</w:t>
      </w:r>
      <w:r>
        <w:t xml:space="preserve"> (principio de legalidad)</w:t>
      </w:r>
      <w:r w:rsidRPr="001D7FA9">
        <w:rPr>
          <w:rStyle w:val="TextoNormalNegritaCaracter"/>
        </w:rPr>
        <w:t>.</w:t>
      </w:r>
      <w:r w:rsidRPr="001D7FA9">
        <w:rPr>
          <w:rStyle w:val="TextoNormalCaracter"/>
        </w:rPr>
        <w:t>-</w:t>
      </w:r>
      <w:r>
        <w:t xml:space="preserve"> Auto </w:t>
      </w:r>
      <w:hyperlink w:anchor="AUTO_2025_20" w:history="1">
        <w:r w:rsidRPr="001D7FA9">
          <w:rPr>
            <w:rStyle w:val="TextoNormalCaracter"/>
          </w:rPr>
          <w:t>20/2025</w:t>
        </w:r>
      </w:hyperlink>
      <w:r>
        <w:t>, f. 1.</w:t>
      </w:r>
    </w:p>
    <w:p w14:paraId="37C70E06" w14:textId="21122EDD" w:rsidR="001D7FA9" w:rsidRDefault="001D7FA9" w:rsidP="001D7FA9">
      <w:pPr>
        <w:pStyle w:val="SangriaFrancesaArticulo"/>
      </w:pPr>
      <w:r w:rsidRPr="001D7FA9">
        <w:rPr>
          <w:rStyle w:val="TextoNormalNegritaCaracter"/>
        </w:rPr>
        <w:t>Artículo 9.3</w:t>
      </w:r>
      <w:r>
        <w:t xml:space="preserve"> (responsabilidad de los poderes públicos)</w:t>
      </w:r>
      <w:r w:rsidRPr="001D7FA9">
        <w:rPr>
          <w:rStyle w:val="TextoNormalNegritaCaracter"/>
        </w:rPr>
        <w:t>.</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76A758F" w14:textId="7D23D284" w:rsidR="001D7FA9" w:rsidRDefault="001D7FA9" w:rsidP="001D7FA9">
      <w:pPr>
        <w:pStyle w:val="SangriaFrancesaArticulo"/>
      </w:pPr>
      <w:r w:rsidRPr="001D7FA9">
        <w:rPr>
          <w:rStyle w:val="TextoNormalNegritaCaracter"/>
        </w:rPr>
        <w:t>Artículo 9.3</w:t>
      </w:r>
      <w:r>
        <w:t xml:space="preserve"> (seguridad jurídica)</w:t>
      </w:r>
      <w:r w:rsidRPr="001D7FA9">
        <w:rPr>
          <w:rStyle w:val="TextoNormalNegritaCaracter"/>
        </w:rPr>
        <w:t>.</w:t>
      </w:r>
      <w:r w:rsidRPr="001D7FA9">
        <w:rPr>
          <w:rStyle w:val="TextoNormalCaracter"/>
        </w:rPr>
        <w:t>-</w:t>
      </w:r>
      <w:r>
        <w:t xml:space="preserve"> Sentencias </w:t>
      </w:r>
      <w:hyperlink w:anchor="SENTENCIA_2025_83" w:history="1">
        <w:r w:rsidRPr="001D7FA9">
          <w:rPr>
            <w:rStyle w:val="TextoNormalCaracter"/>
          </w:rPr>
          <w:t>83/2025</w:t>
        </w:r>
      </w:hyperlink>
      <w:r>
        <w:t xml:space="preserve">, f. 2; </w:t>
      </w:r>
      <w:hyperlink w:anchor="SENTENCIA_2025_98" w:history="1">
        <w:r w:rsidRPr="001D7FA9">
          <w:rPr>
            <w:rStyle w:val="TextoNormalCaracter"/>
          </w:rPr>
          <w:t>98/2025</w:t>
        </w:r>
      </w:hyperlink>
      <w:r>
        <w:t xml:space="preserve">, f. 4, VP; </w:t>
      </w:r>
      <w:hyperlink w:anchor="SENTENCIA_2025_105" w:history="1">
        <w:r w:rsidRPr="001D7FA9">
          <w:rPr>
            <w:rStyle w:val="TextoNormalCaracter"/>
          </w:rPr>
          <w:t>105/2025</w:t>
        </w:r>
      </w:hyperlink>
      <w:r>
        <w:t xml:space="preserve">, VP III; </w:t>
      </w:r>
      <w:hyperlink w:anchor="SENTENCIA_2025_136" w:history="1">
        <w:r w:rsidRPr="001D7FA9">
          <w:rPr>
            <w:rStyle w:val="TextoNormalCaracter"/>
          </w:rPr>
          <w:t>136/2025</w:t>
        </w:r>
      </w:hyperlink>
      <w:r>
        <w:t xml:space="preserve">, f. 2; </w:t>
      </w:r>
      <w:hyperlink w:anchor="SENTENCIA_2025_137" w:history="1">
        <w:r w:rsidRPr="001D7FA9">
          <w:rPr>
            <w:rStyle w:val="TextoNormalCaracter"/>
          </w:rPr>
          <w:t>137/2025</w:t>
        </w:r>
      </w:hyperlink>
      <w:r>
        <w:t>, VP III.</w:t>
      </w:r>
    </w:p>
    <w:p w14:paraId="40D6C37B" w14:textId="3DBFE0B8"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Sentencias </w:t>
      </w:r>
      <w:hyperlink w:anchor="SENTENCIA_2025_25" w:history="1">
        <w:r w:rsidRPr="001D7FA9">
          <w:rPr>
            <w:rStyle w:val="TextoNormalCaracter"/>
          </w:rPr>
          <w:t>25/2025</w:t>
        </w:r>
      </w:hyperlink>
      <w:r>
        <w:t xml:space="preserve">, f. 1; </w:t>
      </w:r>
      <w:hyperlink w:anchor="SENTENCIA_2025_28" w:history="1">
        <w:r w:rsidRPr="001D7FA9">
          <w:rPr>
            <w:rStyle w:val="TextoNormalCaracter"/>
          </w:rPr>
          <w:t>28/2025</w:t>
        </w:r>
      </w:hyperlink>
      <w:r>
        <w:t>, f. 4.</w:t>
      </w:r>
    </w:p>
    <w:p w14:paraId="2A56C817" w14:textId="31F5DEB9" w:rsidR="001D7FA9" w:rsidRDefault="001D7FA9" w:rsidP="001D7FA9">
      <w:pPr>
        <w:pStyle w:val="SangriaFrancesaArticulo"/>
      </w:pPr>
      <w:r w:rsidRPr="001D7FA9">
        <w:rPr>
          <w:rStyle w:val="TextoNormalNegritaCaracter"/>
        </w:rPr>
        <w:t>Artículo 10.1.</w:t>
      </w:r>
      <w:r w:rsidRPr="001D7FA9">
        <w:rPr>
          <w:rStyle w:val="TextoNormalCaracter"/>
        </w:rPr>
        <w:t>-</w:t>
      </w:r>
      <w:r>
        <w:t xml:space="preserve"> Sentencias </w:t>
      </w:r>
      <w:hyperlink w:anchor="SENTENCIA_2025_1" w:history="1">
        <w:r w:rsidRPr="001D7FA9">
          <w:rPr>
            <w:rStyle w:val="TextoNormalCaracter"/>
          </w:rPr>
          <w:t>1/2025</w:t>
        </w:r>
      </w:hyperlink>
      <w:r>
        <w:t xml:space="preserve">, f. 3; </w:t>
      </w:r>
      <w:hyperlink w:anchor="SENTENCIA_2025_28" w:history="1">
        <w:r w:rsidRPr="001D7FA9">
          <w:rPr>
            <w:rStyle w:val="TextoNormalCaracter"/>
          </w:rPr>
          <w:t>28/2025</w:t>
        </w:r>
      </w:hyperlink>
      <w:r>
        <w:t xml:space="preserve">, ff. 3, 4; </w:t>
      </w:r>
      <w:hyperlink w:anchor="SENTENCIA_2025_43" w:history="1">
        <w:r w:rsidRPr="001D7FA9">
          <w:rPr>
            <w:rStyle w:val="TextoNormalCaracter"/>
          </w:rPr>
          <w:t>43/2025</w:t>
        </w:r>
      </w:hyperlink>
      <w:r>
        <w:t xml:space="preserve">, f. 1; </w:t>
      </w:r>
      <w:hyperlink w:anchor="SENTENCIA_2025_95" w:history="1">
        <w:r w:rsidRPr="001D7FA9">
          <w:rPr>
            <w:rStyle w:val="TextoNormalCaracter"/>
          </w:rPr>
          <w:t>95/2025</w:t>
        </w:r>
      </w:hyperlink>
      <w:r>
        <w:t xml:space="preserve">, f. 2; </w:t>
      </w:r>
      <w:hyperlink w:anchor="SENTENCIA_2025_137" w:history="1">
        <w:r w:rsidRPr="001D7FA9">
          <w:rPr>
            <w:rStyle w:val="TextoNormalCaracter"/>
          </w:rPr>
          <w:t>137/2025</w:t>
        </w:r>
      </w:hyperlink>
      <w:r>
        <w:t>, f. 14, VP IV.</w:t>
      </w:r>
    </w:p>
    <w:p w14:paraId="03E6ECAC" w14:textId="7F4DBF4E" w:rsidR="001D7FA9" w:rsidRDefault="001D7FA9" w:rsidP="001D7FA9">
      <w:pPr>
        <w:pStyle w:val="SangriaIzquierdaArticulo"/>
      </w:pPr>
      <w:r>
        <w:t xml:space="preserve">Autos </w:t>
      </w:r>
      <w:hyperlink w:anchor="AUTO_2025_8" w:history="1">
        <w:r w:rsidRPr="001D7FA9">
          <w:rPr>
            <w:rStyle w:val="TextoNormalCaracter"/>
          </w:rPr>
          <w:t>8/2025</w:t>
        </w:r>
      </w:hyperlink>
      <w:r>
        <w:t xml:space="preserve">, VP; </w:t>
      </w:r>
      <w:hyperlink w:anchor="AUTO_2025_64" w:history="1">
        <w:r w:rsidRPr="001D7FA9">
          <w:rPr>
            <w:rStyle w:val="TextoNormalCaracter"/>
          </w:rPr>
          <w:t>64/2025</w:t>
        </w:r>
      </w:hyperlink>
      <w:r>
        <w:t>, f. 1.</w:t>
      </w:r>
    </w:p>
    <w:p w14:paraId="2CB31B20" w14:textId="3883AD8F" w:rsidR="001D7FA9" w:rsidRDefault="001D7FA9" w:rsidP="001D7FA9">
      <w:pPr>
        <w:pStyle w:val="SangriaFrancesaArticulo"/>
      </w:pPr>
      <w:r w:rsidRPr="001D7FA9">
        <w:rPr>
          <w:rStyle w:val="TextoNormalNegritaCaracter"/>
        </w:rPr>
        <w:t>Artículo 10.2.</w:t>
      </w:r>
      <w:r w:rsidRPr="001D7FA9">
        <w:rPr>
          <w:rStyle w:val="TextoNormalCaracter"/>
        </w:rPr>
        <w:t>-</w:t>
      </w:r>
      <w:r>
        <w:t xml:space="preserve"> Sentencias </w:t>
      </w:r>
      <w:hyperlink w:anchor="SENTENCIA_2025_12" w:history="1">
        <w:r w:rsidRPr="001D7FA9">
          <w:rPr>
            <w:rStyle w:val="TextoNormalCaracter"/>
          </w:rPr>
          <w:t>12/2025</w:t>
        </w:r>
      </w:hyperlink>
      <w:r>
        <w:t xml:space="preserve">, VP I; </w:t>
      </w:r>
      <w:hyperlink w:anchor="SENTENCIA_2025_41" w:history="1">
        <w:r w:rsidRPr="001D7FA9">
          <w:rPr>
            <w:rStyle w:val="TextoNormalCaracter"/>
          </w:rPr>
          <w:t>41/2025</w:t>
        </w:r>
      </w:hyperlink>
      <w:r>
        <w:t xml:space="preserve">, VP; </w:t>
      </w:r>
      <w:hyperlink w:anchor="SENTENCIA_2025_69" w:history="1">
        <w:r w:rsidRPr="001D7FA9">
          <w:rPr>
            <w:rStyle w:val="TextoNormalCaracter"/>
          </w:rPr>
          <w:t>69/2025</w:t>
        </w:r>
      </w:hyperlink>
      <w:r>
        <w:t xml:space="preserve">, f. 3; </w:t>
      </w:r>
      <w:hyperlink w:anchor="SENTENCIA_2025_110" w:history="1">
        <w:r w:rsidRPr="001D7FA9">
          <w:rPr>
            <w:rStyle w:val="TextoNormalCaracter"/>
          </w:rPr>
          <w:t>110/2025</w:t>
        </w:r>
      </w:hyperlink>
      <w:r>
        <w:t xml:space="preserve">, VP I, VP II; </w:t>
      </w:r>
      <w:hyperlink w:anchor="SENTENCIA_2025_119" w:history="1">
        <w:r w:rsidRPr="001D7FA9">
          <w:rPr>
            <w:rStyle w:val="TextoNormalCaracter"/>
          </w:rPr>
          <w:t>119/2025</w:t>
        </w:r>
      </w:hyperlink>
      <w:r>
        <w:t xml:space="preserve">, f. 2; </w:t>
      </w:r>
      <w:hyperlink w:anchor="SENTENCIA_2025_126" w:history="1">
        <w:r w:rsidRPr="001D7FA9">
          <w:rPr>
            <w:rStyle w:val="TextoNormalCaracter"/>
          </w:rPr>
          <w:t>126/2025</w:t>
        </w:r>
      </w:hyperlink>
      <w:r>
        <w:t xml:space="preserve">, f. 4; </w:t>
      </w:r>
      <w:hyperlink w:anchor="SENTENCIA_2025_137" w:history="1">
        <w:r w:rsidRPr="001D7FA9">
          <w:rPr>
            <w:rStyle w:val="TextoNormalCaracter"/>
          </w:rPr>
          <w:t>137/2025</w:t>
        </w:r>
      </w:hyperlink>
      <w:r>
        <w:t>, ff. 1, 11, VP III, VP IV.</w:t>
      </w:r>
    </w:p>
    <w:p w14:paraId="63E07539" w14:textId="6FC37465" w:rsidR="001D7FA9" w:rsidRDefault="001D7FA9" w:rsidP="001D7FA9">
      <w:pPr>
        <w:pStyle w:val="SangriaIzquierdaArticulo"/>
      </w:pPr>
      <w:r>
        <w:t xml:space="preserve">Auto </w:t>
      </w:r>
      <w:hyperlink w:anchor="AUTO_2025_64" w:history="1">
        <w:r w:rsidRPr="001D7FA9">
          <w:rPr>
            <w:rStyle w:val="TextoNormalCaracter"/>
          </w:rPr>
          <w:t>64/2025</w:t>
        </w:r>
      </w:hyperlink>
      <w:r>
        <w:t>, f. 3.</w:t>
      </w:r>
    </w:p>
    <w:p w14:paraId="04EF26F9" w14:textId="3EFDBB0B" w:rsidR="001D7FA9" w:rsidRDefault="001D7FA9" w:rsidP="001D7FA9">
      <w:pPr>
        <w:pStyle w:val="SangriaFrancesaArticulo"/>
      </w:pPr>
      <w:r w:rsidRPr="001D7FA9">
        <w:rPr>
          <w:rStyle w:val="TextoNormalNegritaCaracter"/>
        </w:rPr>
        <w:t>Artículo 13.2.</w:t>
      </w:r>
      <w:r w:rsidRPr="001D7FA9">
        <w:rPr>
          <w:rStyle w:val="TextoNormalCaracter"/>
        </w:rPr>
        <w:t>-</w:t>
      </w:r>
      <w:r>
        <w:t xml:space="preserve"> Sentencia </w:t>
      </w:r>
      <w:hyperlink w:anchor="SENTENCIA_2025_51" w:history="1">
        <w:r w:rsidRPr="001D7FA9">
          <w:rPr>
            <w:rStyle w:val="TextoNormalCaracter"/>
          </w:rPr>
          <w:t>51/2025</w:t>
        </w:r>
      </w:hyperlink>
      <w:r>
        <w:t>, f. 3.</w:t>
      </w:r>
    </w:p>
    <w:p w14:paraId="33E68737" w14:textId="728D187D"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Sentencias </w:t>
      </w:r>
      <w:hyperlink w:anchor="SENTENCIA_2025_5" w:history="1">
        <w:r w:rsidRPr="001D7FA9">
          <w:rPr>
            <w:rStyle w:val="TextoNormalCaracter"/>
          </w:rPr>
          <w:t>5/2025</w:t>
        </w:r>
      </w:hyperlink>
      <w:r>
        <w:t xml:space="preserve">, f. único; </w:t>
      </w:r>
      <w:hyperlink w:anchor="SENTENCIA_2025_6" w:history="1">
        <w:r w:rsidRPr="001D7FA9">
          <w:rPr>
            <w:rStyle w:val="TextoNormalCaracter"/>
          </w:rPr>
          <w:t>6/2025</w:t>
        </w:r>
      </w:hyperlink>
      <w:r>
        <w:t xml:space="preserve">, ff. 1, 3; </w:t>
      </w:r>
      <w:hyperlink w:anchor="SENTENCIA_2025_8" w:history="1">
        <w:r w:rsidRPr="001D7FA9">
          <w:rPr>
            <w:rStyle w:val="TextoNormalCaracter"/>
          </w:rPr>
          <w:t>8/2025</w:t>
        </w:r>
      </w:hyperlink>
      <w:r>
        <w:t xml:space="preserve">, ff. 1 a 3; </w:t>
      </w:r>
      <w:hyperlink w:anchor="SENTENCIA_2025_10" w:history="1">
        <w:r w:rsidRPr="001D7FA9">
          <w:rPr>
            <w:rStyle w:val="TextoNormalCaracter"/>
          </w:rPr>
          <w:t>10/2025</w:t>
        </w:r>
      </w:hyperlink>
      <w:r>
        <w:t xml:space="preserve">, ff. 1, 3; </w:t>
      </w:r>
      <w:hyperlink w:anchor="SENTENCIA_2025_11" w:history="1">
        <w:r w:rsidRPr="001D7FA9">
          <w:rPr>
            <w:rStyle w:val="TextoNormalCaracter"/>
          </w:rPr>
          <w:t>11/2025</w:t>
        </w:r>
      </w:hyperlink>
      <w:r>
        <w:t xml:space="preserve">, ff. 1, 2; </w:t>
      </w:r>
      <w:hyperlink w:anchor="SENTENCIA_2025_14" w:history="1">
        <w:r w:rsidRPr="001D7FA9">
          <w:rPr>
            <w:rStyle w:val="TextoNormalCaracter"/>
          </w:rPr>
          <w:t>14/2025</w:t>
        </w:r>
      </w:hyperlink>
      <w:r>
        <w:t xml:space="preserve">, ff. 1, 4; </w:t>
      </w:r>
      <w:hyperlink w:anchor="SENTENCIA_2025_15" w:history="1">
        <w:r w:rsidRPr="001D7FA9">
          <w:rPr>
            <w:rStyle w:val="TextoNormalCaracter"/>
          </w:rPr>
          <w:t>15/2025</w:t>
        </w:r>
      </w:hyperlink>
      <w:r>
        <w:t xml:space="preserve">, ff. 1, 3; </w:t>
      </w:r>
      <w:hyperlink w:anchor="SENTENCIA_2025_17" w:history="1">
        <w:r w:rsidRPr="001D7FA9">
          <w:rPr>
            <w:rStyle w:val="TextoNormalCaracter"/>
          </w:rPr>
          <w:t>17/2025</w:t>
        </w:r>
      </w:hyperlink>
      <w:r>
        <w:t xml:space="preserve">, f. único; </w:t>
      </w:r>
      <w:hyperlink w:anchor="SENTENCIA_2025_18" w:history="1">
        <w:r w:rsidRPr="001D7FA9">
          <w:rPr>
            <w:rStyle w:val="TextoNormalCaracter"/>
          </w:rPr>
          <w:t>18/2025</w:t>
        </w:r>
      </w:hyperlink>
      <w:r>
        <w:t xml:space="preserve">, f. único; </w:t>
      </w:r>
      <w:hyperlink w:anchor="SENTENCIA_2025_19" w:history="1">
        <w:r w:rsidRPr="001D7FA9">
          <w:rPr>
            <w:rStyle w:val="TextoNormalCaracter"/>
          </w:rPr>
          <w:t>19/2025</w:t>
        </w:r>
      </w:hyperlink>
      <w:r>
        <w:t xml:space="preserve">, f. único; </w:t>
      </w:r>
      <w:hyperlink w:anchor="SENTENCIA_2025_20" w:history="1">
        <w:r w:rsidRPr="001D7FA9">
          <w:rPr>
            <w:rStyle w:val="TextoNormalCaracter"/>
          </w:rPr>
          <w:t>20/2025</w:t>
        </w:r>
      </w:hyperlink>
      <w:r>
        <w:t xml:space="preserve">, f. único; </w:t>
      </w:r>
      <w:hyperlink w:anchor="SENTENCIA_2025_21" w:history="1">
        <w:r w:rsidRPr="001D7FA9">
          <w:rPr>
            <w:rStyle w:val="TextoNormalCaracter"/>
          </w:rPr>
          <w:t>21/2025</w:t>
        </w:r>
      </w:hyperlink>
      <w:r>
        <w:t xml:space="preserve">, f. 1; </w:t>
      </w:r>
      <w:hyperlink w:anchor="SENTENCIA_2025_22" w:history="1">
        <w:r w:rsidRPr="001D7FA9">
          <w:rPr>
            <w:rStyle w:val="TextoNormalCaracter"/>
          </w:rPr>
          <w:t>22/2025</w:t>
        </w:r>
      </w:hyperlink>
      <w:r>
        <w:t xml:space="preserve">, f. único; </w:t>
      </w:r>
      <w:hyperlink w:anchor="SENTENCIA_2025_23" w:history="1">
        <w:r w:rsidRPr="001D7FA9">
          <w:rPr>
            <w:rStyle w:val="TextoNormalCaracter"/>
          </w:rPr>
          <w:t>23/2025</w:t>
        </w:r>
      </w:hyperlink>
      <w:r>
        <w:t xml:space="preserve">, ff. 1, 2; </w:t>
      </w:r>
      <w:hyperlink w:anchor="SENTENCIA_2025_24" w:history="1">
        <w:r w:rsidRPr="001D7FA9">
          <w:rPr>
            <w:rStyle w:val="TextoNormalCaracter"/>
          </w:rPr>
          <w:t>24/2025</w:t>
        </w:r>
      </w:hyperlink>
      <w:r>
        <w:t xml:space="preserve">, ff. 1, 2; </w:t>
      </w:r>
      <w:hyperlink w:anchor="SENTENCIA_2025_25" w:history="1">
        <w:r w:rsidRPr="001D7FA9">
          <w:rPr>
            <w:rStyle w:val="TextoNormalCaracter"/>
          </w:rPr>
          <w:t>25/2025</w:t>
        </w:r>
      </w:hyperlink>
      <w:r>
        <w:t xml:space="preserve">, ff. 1, 2, VP II; </w:t>
      </w:r>
      <w:hyperlink w:anchor="SENTENCIA_2025_28" w:history="1">
        <w:r w:rsidRPr="001D7FA9">
          <w:rPr>
            <w:rStyle w:val="TextoNormalCaracter"/>
          </w:rPr>
          <w:t>28/2025</w:t>
        </w:r>
      </w:hyperlink>
      <w:r>
        <w:t xml:space="preserve">, f. 4; </w:t>
      </w:r>
      <w:hyperlink w:anchor="SENTENCIA_2025_30" w:history="1">
        <w:r w:rsidRPr="001D7FA9">
          <w:rPr>
            <w:rStyle w:val="TextoNormalCaracter"/>
          </w:rPr>
          <w:t>30/2025</w:t>
        </w:r>
      </w:hyperlink>
      <w:r>
        <w:t xml:space="preserve">, ff. 1, 2; </w:t>
      </w:r>
      <w:hyperlink w:anchor="SENTENCIA_2025_32" w:history="1">
        <w:r w:rsidRPr="001D7FA9">
          <w:rPr>
            <w:rStyle w:val="TextoNormalCaracter"/>
          </w:rPr>
          <w:t>32/2025</w:t>
        </w:r>
      </w:hyperlink>
      <w:r>
        <w:t xml:space="preserve">, ff. 1, 2; </w:t>
      </w:r>
      <w:hyperlink w:anchor="SENTENCIA_2025_33" w:history="1">
        <w:r w:rsidRPr="001D7FA9">
          <w:rPr>
            <w:rStyle w:val="TextoNormalCaracter"/>
          </w:rPr>
          <w:t>33/2025</w:t>
        </w:r>
      </w:hyperlink>
      <w:r>
        <w:t xml:space="preserve">, ff. 1, 2; </w:t>
      </w:r>
      <w:hyperlink w:anchor="SENTENCIA_2025_35" w:history="1">
        <w:r w:rsidRPr="001D7FA9">
          <w:rPr>
            <w:rStyle w:val="TextoNormalCaracter"/>
          </w:rPr>
          <w:t>35/2025</w:t>
        </w:r>
      </w:hyperlink>
      <w:r>
        <w:t xml:space="preserve">, ff. 1, 2; </w:t>
      </w:r>
      <w:hyperlink w:anchor="SENTENCIA_2025_36" w:history="1">
        <w:r w:rsidRPr="001D7FA9">
          <w:rPr>
            <w:rStyle w:val="TextoNormalCaracter"/>
          </w:rPr>
          <w:t>36/2025</w:t>
        </w:r>
      </w:hyperlink>
      <w:r>
        <w:t xml:space="preserve">, f. único; </w:t>
      </w:r>
      <w:hyperlink w:anchor="SENTENCIA_2025_38" w:history="1">
        <w:r w:rsidRPr="001D7FA9">
          <w:rPr>
            <w:rStyle w:val="TextoNormalCaracter"/>
          </w:rPr>
          <w:t>38/2025</w:t>
        </w:r>
      </w:hyperlink>
      <w:r>
        <w:t xml:space="preserve">, ff. 1, 2; </w:t>
      </w:r>
      <w:hyperlink w:anchor="SENTENCIA_2025_39" w:history="1">
        <w:r w:rsidRPr="001D7FA9">
          <w:rPr>
            <w:rStyle w:val="TextoNormalCaracter"/>
          </w:rPr>
          <w:t>39/2025</w:t>
        </w:r>
      </w:hyperlink>
      <w:r>
        <w:t xml:space="preserve">, ff. 1, 2; </w:t>
      </w:r>
      <w:hyperlink w:anchor="SENTENCIA_2025_46" w:history="1">
        <w:r w:rsidRPr="001D7FA9">
          <w:rPr>
            <w:rStyle w:val="TextoNormalCaracter"/>
          </w:rPr>
          <w:t>46/2025</w:t>
        </w:r>
      </w:hyperlink>
      <w:r>
        <w:t xml:space="preserve">, f. único; </w:t>
      </w:r>
      <w:hyperlink w:anchor="SENTENCIA_2025_47" w:history="1">
        <w:r w:rsidRPr="001D7FA9">
          <w:rPr>
            <w:rStyle w:val="TextoNormalCaracter"/>
          </w:rPr>
          <w:t>47/2025</w:t>
        </w:r>
      </w:hyperlink>
      <w:r>
        <w:t xml:space="preserve">, f. único; </w:t>
      </w:r>
      <w:hyperlink w:anchor="SENTENCIA_2025_48" w:history="1">
        <w:r w:rsidRPr="001D7FA9">
          <w:rPr>
            <w:rStyle w:val="TextoNormalCaracter"/>
          </w:rPr>
          <w:t>48/2025</w:t>
        </w:r>
      </w:hyperlink>
      <w:r>
        <w:t xml:space="preserve">, ff. 1, 2; </w:t>
      </w:r>
      <w:hyperlink w:anchor="SENTENCIA_2025_50" w:history="1">
        <w:r w:rsidRPr="001D7FA9">
          <w:rPr>
            <w:rStyle w:val="TextoNormalCaracter"/>
          </w:rPr>
          <w:t>50/2025</w:t>
        </w:r>
      </w:hyperlink>
      <w:r>
        <w:t xml:space="preserve">, ff. 1, 2; </w:t>
      </w:r>
      <w:hyperlink w:anchor="SENTENCIA_2025_56" w:history="1">
        <w:r w:rsidRPr="001D7FA9">
          <w:rPr>
            <w:rStyle w:val="TextoNormalCaracter"/>
          </w:rPr>
          <w:t>56/2025</w:t>
        </w:r>
      </w:hyperlink>
      <w:r>
        <w:t xml:space="preserve">, ff. 1, 2; </w:t>
      </w:r>
      <w:hyperlink w:anchor="SENTENCIA_2025_57" w:history="1">
        <w:r w:rsidRPr="001D7FA9">
          <w:rPr>
            <w:rStyle w:val="TextoNormalCaracter"/>
          </w:rPr>
          <w:t>57/2025</w:t>
        </w:r>
      </w:hyperlink>
      <w:r>
        <w:t xml:space="preserve">, ff. 1, 2; </w:t>
      </w:r>
      <w:hyperlink w:anchor="SENTENCIA_2025_58" w:history="1">
        <w:r w:rsidRPr="001D7FA9">
          <w:rPr>
            <w:rStyle w:val="TextoNormalCaracter"/>
          </w:rPr>
          <w:t>58/2025</w:t>
        </w:r>
      </w:hyperlink>
      <w:r>
        <w:t xml:space="preserve">, ff. 1, 2; </w:t>
      </w:r>
      <w:hyperlink w:anchor="SENTENCIA_2025_59" w:history="1">
        <w:r w:rsidRPr="001D7FA9">
          <w:rPr>
            <w:rStyle w:val="TextoNormalCaracter"/>
          </w:rPr>
          <w:t>59/2025</w:t>
        </w:r>
      </w:hyperlink>
      <w:r>
        <w:t xml:space="preserve">, ff. 1, 2; </w:t>
      </w:r>
      <w:hyperlink w:anchor="SENTENCIA_2025_60" w:history="1">
        <w:r w:rsidRPr="001D7FA9">
          <w:rPr>
            <w:rStyle w:val="TextoNormalCaracter"/>
          </w:rPr>
          <w:t>60/2025</w:t>
        </w:r>
      </w:hyperlink>
      <w:r>
        <w:t xml:space="preserve">, f. 1; </w:t>
      </w:r>
      <w:hyperlink w:anchor="SENTENCIA_2025_61" w:history="1">
        <w:r w:rsidRPr="001D7FA9">
          <w:rPr>
            <w:rStyle w:val="TextoNormalCaracter"/>
          </w:rPr>
          <w:t>61/2025</w:t>
        </w:r>
      </w:hyperlink>
      <w:r>
        <w:t xml:space="preserve">, f. único; </w:t>
      </w:r>
      <w:hyperlink w:anchor="SENTENCIA_2025_64" w:history="1">
        <w:r w:rsidRPr="001D7FA9">
          <w:rPr>
            <w:rStyle w:val="TextoNormalCaracter"/>
          </w:rPr>
          <w:t>64/2025</w:t>
        </w:r>
      </w:hyperlink>
      <w:r>
        <w:t xml:space="preserve">, ff. 1, 7; </w:t>
      </w:r>
      <w:hyperlink w:anchor="SENTENCIA_2025_65" w:history="1">
        <w:r w:rsidRPr="001D7FA9">
          <w:rPr>
            <w:rStyle w:val="TextoNormalCaracter"/>
          </w:rPr>
          <w:t>65/2025</w:t>
        </w:r>
      </w:hyperlink>
      <w:r>
        <w:t xml:space="preserve">, f. único; </w:t>
      </w:r>
      <w:hyperlink w:anchor="SENTENCIA_2025_66" w:history="1">
        <w:r w:rsidRPr="001D7FA9">
          <w:rPr>
            <w:rStyle w:val="TextoNormalCaracter"/>
          </w:rPr>
          <w:t>66/2025</w:t>
        </w:r>
      </w:hyperlink>
      <w:r>
        <w:t xml:space="preserve">, ff. 1, 2; </w:t>
      </w:r>
      <w:hyperlink w:anchor="SENTENCIA_2025_67" w:history="1">
        <w:r w:rsidRPr="001D7FA9">
          <w:rPr>
            <w:rStyle w:val="TextoNormalCaracter"/>
          </w:rPr>
          <w:t>67/2025</w:t>
        </w:r>
      </w:hyperlink>
      <w:r>
        <w:t xml:space="preserve">, ff. 1, 2; </w:t>
      </w:r>
      <w:hyperlink w:anchor="SENTENCIA_2025_68" w:history="1">
        <w:r w:rsidRPr="001D7FA9">
          <w:rPr>
            <w:rStyle w:val="TextoNormalCaracter"/>
          </w:rPr>
          <w:t>68/2025</w:t>
        </w:r>
      </w:hyperlink>
      <w:r>
        <w:t xml:space="preserve">, ff. 1, 2; </w:t>
      </w:r>
      <w:hyperlink w:anchor="SENTENCIA_2025_70" w:history="1">
        <w:r w:rsidRPr="001D7FA9">
          <w:rPr>
            <w:rStyle w:val="TextoNormalCaracter"/>
          </w:rPr>
          <w:t>70/2025</w:t>
        </w:r>
      </w:hyperlink>
      <w:r>
        <w:t xml:space="preserve">, ff. 1, 2; </w:t>
      </w:r>
      <w:hyperlink w:anchor="SENTENCIA_2025_71" w:history="1">
        <w:r w:rsidRPr="001D7FA9">
          <w:rPr>
            <w:rStyle w:val="TextoNormalCaracter"/>
          </w:rPr>
          <w:t>71/2025</w:t>
        </w:r>
      </w:hyperlink>
      <w:r>
        <w:t xml:space="preserve">, f. único; </w:t>
      </w:r>
      <w:hyperlink w:anchor="SENTENCIA_2025_72" w:history="1">
        <w:r w:rsidRPr="001D7FA9">
          <w:rPr>
            <w:rStyle w:val="TextoNormalCaracter"/>
          </w:rPr>
          <w:t>72/2025</w:t>
        </w:r>
      </w:hyperlink>
      <w:r>
        <w:t xml:space="preserve">, f. único; </w:t>
      </w:r>
      <w:hyperlink w:anchor="SENTENCIA_2025_73" w:history="1">
        <w:r w:rsidRPr="001D7FA9">
          <w:rPr>
            <w:rStyle w:val="TextoNormalCaracter"/>
          </w:rPr>
          <w:t>73/2025</w:t>
        </w:r>
      </w:hyperlink>
      <w:r>
        <w:t xml:space="preserve">, ff. 1, 2; </w:t>
      </w:r>
      <w:hyperlink w:anchor="SENTENCIA_2025_74" w:history="1">
        <w:r w:rsidRPr="001D7FA9">
          <w:rPr>
            <w:rStyle w:val="TextoNormalCaracter"/>
          </w:rPr>
          <w:t>74/2025</w:t>
        </w:r>
      </w:hyperlink>
      <w:r>
        <w:t xml:space="preserve">, f. único; </w:t>
      </w:r>
      <w:hyperlink w:anchor="SENTENCIA_2025_75" w:history="1">
        <w:r w:rsidRPr="001D7FA9">
          <w:rPr>
            <w:rStyle w:val="TextoNormalCaracter"/>
          </w:rPr>
          <w:t>75/2025</w:t>
        </w:r>
      </w:hyperlink>
      <w:r>
        <w:t xml:space="preserve">, f. único; </w:t>
      </w:r>
      <w:hyperlink w:anchor="SENTENCIA_2025_76" w:history="1">
        <w:r w:rsidRPr="001D7FA9">
          <w:rPr>
            <w:rStyle w:val="TextoNormalCaracter"/>
          </w:rPr>
          <w:t>76/2025</w:t>
        </w:r>
      </w:hyperlink>
      <w:r>
        <w:t xml:space="preserve">, ff. 1, 2; </w:t>
      </w:r>
      <w:hyperlink w:anchor="SENTENCIA_2025_77" w:history="1">
        <w:r w:rsidRPr="001D7FA9">
          <w:rPr>
            <w:rStyle w:val="TextoNormalCaracter"/>
          </w:rPr>
          <w:t>77/2025</w:t>
        </w:r>
      </w:hyperlink>
      <w:r>
        <w:t xml:space="preserve">, f. único; </w:t>
      </w:r>
      <w:hyperlink w:anchor="SENTENCIA_2025_78" w:history="1">
        <w:r w:rsidRPr="001D7FA9">
          <w:rPr>
            <w:rStyle w:val="TextoNormalCaracter"/>
          </w:rPr>
          <w:t>78/2025</w:t>
        </w:r>
      </w:hyperlink>
      <w:r>
        <w:t xml:space="preserve">, f. único; </w:t>
      </w:r>
      <w:hyperlink w:anchor="SENTENCIA_2025_79" w:history="1">
        <w:r w:rsidRPr="001D7FA9">
          <w:rPr>
            <w:rStyle w:val="TextoNormalCaracter"/>
          </w:rPr>
          <w:t>79/2025</w:t>
        </w:r>
      </w:hyperlink>
      <w:r>
        <w:t xml:space="preserve">, ff. 1, 3; </w:t>
      </w:r>
      <w:hyperlink w:anchor="SENTENCIA_2025_80" w:history="1">
        <w:r w:rsidRPr="001D7FA9">
          <w:rPr>
            <w:rStyle w:val="TextoNormalCaracter"/>
          </w:rPr>
          <w:t>80/2025</w:t>
        </w:r>
      </w:hyperlink>
      <w:r>
        <w:t xml:space="preserve">, ff. 1, 2; </w:t>
      </w:r>
      <w:hyperlink w:anchor="SENTENCIA_2025_81" w:history="1">
        <w:r w:rsidRPr="001D7FA9">
          <w:rPr>
            <w:rStyle w:val="TextoNormalCaracter"/>
          </w:rPr>
          <w:t>81/2025</w:t>
        </w:r>
      </w:hyperlink>
      <w:r>
        <w:t xml:space="preserve">, ff. 1, 2; </w:t>
      </w:r>
      <w:hyperlink w:anchor="SENTENCIA_2025_88" w:history="1">
        <w:r w:rsidRPr="001D7FA9">
          <w:rPr>
            <w:rStyle w:val="TextoNormalCaracter"/>
          </w:rPr>
          <w:t>88/2025</w:t>
        </w:r>
      </w:hyperlink>
      <w:r>
        <w:t xml:space="preserve">, ff. 1, 2; </w:t>
      </w:r>
      <w:hyperlink w:anchor="SENTENCIA_2025_89" w:history="1">
        <w:r w:rsidRPr="001D7FA9">
          <w:rPr>
            <w:rStyle w:val="TextoNormalCaracter"/>
          </w:rPr>
          <w:t>89/2025</w:t>
        </w:r>
      </w:hyperlink>
      <w:r>
        <w:t xml:space="preserve">, ff. 1, 2; </w:t>
      </w:r>
      <w:hyperlink w:anchor="SENTENCIA_2025_90" w:history="1">
        <w:r w:rsidRPr="001D7FA9">
          <w:rPr>
            <w:rStyle w:val="TextoNormalCaracter"/>
          </w:rPr>
          <w:t>90/2025</w:t>
        </w:r>
      </w:hyperlink>
      <w:r>
        <w:t xml:space="preserve">, ff. 1, 2; </w:t>
      </w:r>
      <w:hyperlink w:anchor="SENTENCIA_2025_91" w:history="1">
        <w:r w:rsidRPr="001D7FA9">
          <w:rPr>
            <w:rStyle w:val="TextoNormalCaracter"/>
          </w:rPr>
          <w:t>91/2025</w:t>
        </w:r>
      </w:hyperlink>
      <w:r>
        <w:t xml:space="preserve">, f. único; </w:t>
      </w:r>
      <w:hyperlink w:anchor="SENTENCIA_2025_92" w:history="1">
        <w:r w:rsidRPr="001D7FA9">
          <w:rPr>
            <w:rStyle w:val="TextoNormalCaracter"/>
          </w:rPr>
          <w:t>92/2025</w:t>
        </w:r>
      </w:hyperlink>
      <w:r>
        <w:t xml:space="preserve">, ff. 1, 2; </w:t>
      </w:r>
      <w:hyperlink w:anchor="SENTENCIA_2025_93" w:history="1">
        <w:r w:rsidRPr="001D7FA9">
          <w:rPr>
            <w:rStyle w:val="TextoNormalCaracter"/>
          </w:rPr>
          <w:t>93/2025</w:t>
        </w:r>
      </w:hyperlink>
      <w:r>
        <w:t xml:space="preserve">, ff. 1, 2; </w:t>
      </w:r>
      <w:hyperlink w:anchor="SENTENCIA_2025_94" w:history="1">
        <w:r w:rsidRPr="001D7FA9">
          <w:rPr>
            <w:rStyle w:val="TextoNormalCaracter"/>
          </w:rPr>
          <w:t>94/2025</w:t>
        </w:r>
      </w:hyperlink>
      <w:r>
        <w:t xml:space="preserve">, ff. 1, 2; </w:t>
      </w:r>
      <w:hyperlink w:anchor="SENTENCIA_2025_102" w:history="1">
        <w:r w:rsidRPr="001D7FA9">
          <w:rPr>
            <w:rStyle w:val="TextoNormalCaracter"/>
          </w:rPr>
          <w:t>102/2025</w:t>
        </w:r>
      </w:hyperlink>
      <w:r>
        <w:t xml:space="preserve">, ff. 1, 2; </w:t>
      </w:r>
      <w:hyperlink w:anchor="SENTENCIA_2025_103" w:history="1">
        <w:r w:rsidRPr="001D7FA9">
          <w:rPr>
            <w:rStyle w:val="TextoNormalCaracter"/>
          </w:rPr>
          <w:t>103/2025</w:t>
        </w:r>
      </w:hyperlink>
      <w:r>
        <w:t xml:space="preserve">, f. único; </w:t>
      </w:r>
      <w:hyperlink w:anchor="SENTENCIA_2025_104" w:history="1">
        <w:r w:rsidRPr="001D7FA9">
          <w:rPr>
            <w:rStyle w:val="TextoNormalCaracter"/>
          </w:rPr>
          <w:t>104/2025</w:t>
        </w:r>
      </w:hyperlink>
      <w:r>
        <w:t xml:space="preserve">, ff. 1, 2; </w:t>
      </w:r>
      <w:hyperlink w:anchor="SENTENCIA_2025_109" w:history="1">
        <w:r w:rsidRPr="001D7FA9">
          <w:rPr>
            <w:rStyle w:val="TextoNormalCaracter"/>
          </w:rPr>
          <w:t>109/2025</w:t>
        </w:r>
      </w:hyperlink>
      <w:r>
        <w:t xml:space="preserve">, f. 1; </w:t>
      </w:r>
      <w:hyperlink w:anchor="SENTENCIA_2025_112" w:history="1">
        <w:r w:rsidRPr="001D7FA9">
          <w:rPr>
            <w:rStyle w:val="TextoNormalCaracter"/>
          </w:rPr>
          <w:t>112/2025</w:t>
        </w:r>
      </w:hyperlink>
      <w:r>
        <w:t xml:space="preserve">, ff. 1, 2; </w:t>
      </w:r>
      <w:hyperlink w:anchor="SENTENCIA_2025_113" w:history="1">
        <w:r w:rsidRPr="001D7FA9">
          <w:rPr>
            <w:rStyle w:val="TextoNormalCaracter"/>
          </w:rPr>
          <w:t>113/2025</w:t>
        </w:r>
      </w:hyperlink>
      <w:r>
        <w:t xml:space="preserve">, f. único; </w:t>
      </w:r>
      <w:hyperlink w:anchor="SENTENCIA_2025_114" w:history="1">
        <w:r w:rsidRPr="001D7FA9">
          <w:rPr>
            <w:rStyle w:val="TextoNormalCaracter"/>
          </w:rPr>
          <w:t>114/2025</w:t>
        </w:r>
      </w:hyperlink>
      <w:r>
        <w:t xml:space="preserve">, f. único; </w:t>
      </w:r>
      <w:hyperlink w:anchor="SENTENCIA_2025_115" w:history="1">
        <w:r w:rsidRPr="001D7FA9">
          <w:rPr>
            <w:rStyle w:val="TextoNormalCaracter"/>
          </w:rPr>
          <w:t>115/2025</w:t>
        </w:r>
      </w:hyperlink>
      <w:r>
        <w:t xml:space="preserve">, f. único; </w:t>
      </w:r>
      <w:hyperlink w:anchor="SENTENCIA_2025_116" w:history="1">
        <w:r w:rsidRPr="001D7FA9">
          <w:rPr>
            <w:rStyle w:val="TextoNormalCaracter"/>
          </w:rPr>
          <w:t>116/2025</w:t>
        </w:r>
      </w:hyperlink>
      <w:r>
        <w:t xml:space="preserve">, f. único; </w:t>
      </w:r>
      <w:hyperlink w:anchor="SENTENCIA_2025_118" w:history="1">
        <w:r w:rsidRPr="001D7FA9">
          <w:rPr>
            <w:rStyle w:val="TextoNormalCaracter"/>
          </w:rPr>
          <w:t>118/2025</w:t>
        </w:r>
      </w:hyperlink>
      <w:r>
        <w:t xml:space="preserve">, f. 1; </w:t>
      </w:r>
      <w:hyperlink w:anchor="SENTENCIA_2025_119" w:history="1">
        <w:r w:rsidRPr="001D7FA9">
          <w:rPr>
            <w:rStyle w:val="TextoNormalCaracter"/>
          </w:rPr>
          <w:t>119/2025</w:t>
        </w:r>
      </w:hyperlink>
      <w:r>
        <w:t xml:space="preserve">, ff. 1, 3, 7; </w:t>
      </w:r>
      <w:hyperlink w:anchor="SENTENCIA_2025_122" w:history="1">
        <w:r w:rsidRPr="001D7FA9">
          <w:rPr>
            <w:rStyle w:val="TextoNormalCaracter"/>
          </w:rPr>
          <w:t>122/2025</w:t>
        </w:r>
      </w:hyperlink>
      <w:r>
        <w:t xml:space="preserve">, f. único; </w:t>
      </w:r>
      <w:hyperlink w:anchor="SENTENCIA_2025_123" w:history="1">
        <w:r w:rsidRPr="001D7FA9">
          <w:rPr>
            <w:rStyle w:val="TextoNormalCaracter"/>
          </w:rPr>
          <w:t>123/2025</w:t>
        </w:r>
      </w:hyperlink>
      <w:r>
        <w:t xml:space="preserve">, ff. 1, 2; </w:t>
      </w:r>
      <w:hyperlink w:anchor="SENTENCIA_2025_124" w:history="1">
        <w:r w:rsidRPr="001D7FA9">
          <w:rPr>
            <w:rStyle w:val="TextoNormalCaracter"/>
          </w:rPr>
          <w:t>124/2025</w:t>
        </w:r>
      </w:hyperlink>
      <w:r>
        <w:t xml:space="preserve">, ff. 1, 2; </w:t>
      </w:r>
      <w:hyperlink w:anchor="SENTENCIA_2025_125" w:history="1">
        <w:r w:rsidRPr="001D7FA9">
          <w:rPr>
            <w:rStyle w:val="TextoNormalCaracter"/>
          </w:rPr>
          <w:t>125/2025</w:t>
        </w:r>
      </w:hyperlink>
      <w:r>
        <w:t xml:space="preserve">, f. único; </w:t>
      </w:r>
      <w:hyperlink w:anchor="SENTENCIA_2025_127" w:history="1">
        <w:r w:rsidRPr="001D7FA9">
          <w:rPr>
            <w:rStyle w:val="TextoNormalCaracter"/>
          </w:rPr>
          <w:t>127/2025</w:t>
        </w:r>
      </w:hyperlink>
      <w:r>
        <w:t xml:space="preserve">, ff. 1, 2; </w:t>
      </w:r>
      <w:hyperlink w:anchor="SENTENCIA_2025_128" w:history="1">
        <w:r w:rsidRPr="001D7FA9">
          <w:rPr>
            <w:rStyle w:val="TextoNormalCaracter"/>
          </w:rPr>
          <w:t>128/2025</w:t>
        </w:r>
      </w:hyperlink>
      <w:r>
        <w:t xml:space="preserve">, ff. 1, 2; </w:t>
      </w:r>
      <w:hyperlink w:anchor="SENTENCIA_2025_129" w:history="1">
        <w:r w:rsidRPr="001D7FA9">
          <w:rPr>
            <w:rStyle w:val="TextoNormalCaracter"/>
          </w:rPr>
          <w:t>129/2025</w:t>
        </w:r>
      </w:hyperlink>
      <w:r>
        <w:t xml:space="preserve">, ff. 1, 2; </w:t>
      </w:r>
      <w:hyperlink w:anchor="SENTENCIA_2025_130" w:history="1">
        <w:r w:rsidRPr="001D7FA9">
          <w:rPr>
            <w:rStyle w:val="TextoNormalCaracter"/>
          </w:rPr>
          <w:t>130/2025</w:t>
        </w:r>
      </w:hyperlink>
      <w:r>
        <w:t xml:space="preserve">, ff. 1, 2; </w:t>
      </w:r>
      <w:hyperlink w:anchor="SENTENCIA_2025_131" w:history="1">
        <w:r w:rsidRPr="001D7FA9">
          <w:rPr>
            <w:rStyle w:val="TextoNormalCaracter"/>
          </w:rPr>
          <w:t>131/2025</w:t>
        </w:r>
      </w:hyperlink>
      <w:r>
        <w:t xml:space="preserve">, ff. 1, 2; </w:t>
      </w:r>
      <w:hyperlink w:anchor="SENTENCIA_2025_137" w:history="1">
        <w:r w:rsidRPr="001D7FA9">
          <w:rPr>
            <w:rStyle w:val="TextoNormalCaracter"/>
          </w:rPr>
          <w:t>137/2025</w:t>
        </w:r>
      </w:hyperlink>
      <w:r>
        <w:t>, ff. 1, 5, 7, 8, 13, 14, 16, 17, VP I, VP II, VP III, VP IV.</w:t>
      </w:r>
    </w:p>
    <w:p w14:paraId="35E524A5" w14:textId="261AB021"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8" w:history="1">
        <w:r w:rsidRPr="001D7FA9">
          <w:rPr>
            <w:rStyle w:val="TextoNormalCaracter"/>
          </w:rPr>
          <w:t>8/2025</w:t>
        </w:r>
      </w:hyperlink>
      <w:r>
        <w:t xml:space="preserve">, VP; </w:t>
      </w:r>
      <w:hyperlink w:anchor="AUTO_2025_10" w:history="1">
        <w:r w:rsidRPr="001D7FA9">
          <w:rPr>
            <w:rStyle w:val="TextoNormalCaracter"/>
          </w:rPr>
          <w:t>10/2025</w:t>
        </w:r>
      </w:hyperlink>
      <w:r>
        <w:t xml:space="preserve">, f. único; </w:t>
      </w:r>
      <w:hyperlink w:anchor="AUTO_2025_11" w:history="1">
        <w:r w:rsidRPr="001D7FA9">
          <w:rPr>
            <w:rStyle w:val="TextoNormalCaracter"/>
          </w:rPr>
          <w:t>11/2025</w:t>
        </w:r>
      </w:hyperlink>
      <w:r>
        <w:t xml:space="preserve">, VP; </w:t>
      </w:r>
      <w:hyperlink w:anchor="AUTO_2025_19" w:history="1">
        <w:r w:rsidRPr="001D7FA9">
          <w:rPr>
            <w:rStyle w:val="TextoNormalCaracter"/>
          </w:rPr>
          <w:t>19/2025</w:t>
        </w:r>
      </w:hyperlink>
      <w:r>
        <w:t xml:space="preserve">, f. único; </w:t>
      </w:r>
      <w:hyperlink w:anchor="AUTO_2025_24" w:history="1">
        <w:r w:rsidRPr="001D7FA9">
          <w:rPr>
            <w:rStyle w:val="TextoNormalCaracter"/>
          </w:rPr>
          <w:t>24/2025</w:t>
        </w:r>
      </w:hyperlink>
      <w:r>
        <w:t xml:space="preserve">, f. 1; </w:t>
      </w:r>
      <w:hyperlink w:anchor="AUTO_2025_29" w:history="1">
        <w:r w:rsidRPr="001D7FA9">
          <w:rPr>
            <w:rStyle w:val="TextoNormalCaracter"/>
          </w:rPr>
          <w:t>29/2025</w:t>
        </w:r>
      </w:hyperlink>
      <w:r>
        <w:t xml:space="preserve">, f. 1; </w:t>
      </w:r>
      <w:hyperlink w:anchor="AUTO_2025_34" w:history="1">
        <w:r w:rsidRPr="001D7FA9">
          <w:rPr>
            <w:rStyle w:val="TextoNormalCaracter"/>
          </w:rPr>
          <w:t>34/2025</w:t>
        </w:r>
      </w:hyperlink>
      <w:r>
        <w:t xml:space="preserve">, VP; </w:t>
      </w:r>
      <w:hyperlink w:anchor="AUTO_2025_54" w:history="1">
        <w:r w:rsidRPr="001D7FA9">
          <w:rPr>
            <w:rStyle w:val="TextoNormalCaracter"/>
          </w:rPr>
          <w:t>54/2025</w:t>
        </w:r>
      </w:hyperlink>
      <w:r>
        <w:t xml:space="preserve">, f. 3; </w:t>
      </w:r>
      <w:hyperlink w:anchor="AUTO_2025_55" w:history="1">
        <w:r w:rsidRPr="001D7FA9">
          <w:rPr>
            <w:rStyle w:val="TextoNormalCaracter"/>
          </w:rPr>
          <w:t>55/2025</w:t>
        </w:r>
      </w:hyperlink>
      <w:r>
        <w:t xml:space="preserve">, f. único; </w:t>
      </w:r>
      <w:hyperlink w:anchor="AUTO_2025_59" w:history="1">
        <w:r w:rsidRPr="001D7FA9">
          <w:rPr>
            <w:rStyle w:val="TextoNormalCaracter"/>
          </w:rPr>
          <w:t>59/2025</w:t>
        </w:r>
      </w:hyperlink>
      <w:r>
        <w:t>, ff. 1, 4.</w:t>
      </w:r>
    </w:p>
    <w:p w14:paraId="11D17F6E" w14:textId="5B25A2A2" w:rsidR="001D7FA9" w:rsidRDefault="001D7FA9" w:rsidP="001D7FA9">
      <w:pPr>
        <w:pStyle w:val="SangriaFrancesaArticulo"/>
      </w:pPr>
      <w:r w:rsidRPr="001D7FA9">
        <w:rPr>
          <w:rStyle w:val="TextoNormalNegritaCaracter"/>
        </w:rPr>
        <w:t>Artículo 14</w:t>
      </w:r>
      <w:r>
        <w:t xml:space="preserve"> (discriminación por nacimiento)</w:t>
      </w:r>
      <w:r w:rsidRPr="001D7FA9">
        <w:rPr>
          <w:rStyle w:val="TextoNormalNegritaCaracter"/>
        </w:rPr>
        <w:t>.</w:t>
      </w:r>
      <w:r w:rsidRPr="001D7FA9">
        <w:rPr>
          <w:rStyle w:val="TextoNormalCaracter"/>
        </w:rPr>
        <w:t>-</w:t>
      </w:r>
      <w:r>
        <w:t xml:space="preserve"> Sentencias </w:t>
      </w:r>
      <w:hyperlink w:anchor="SENTENCIA_2025_4" w:history="1">
        <w:r w:rsidRPr="001D7FA9">
          <w:rPr>
            <w:rStyle w:val="TextoNormalCaracter"/>
          </w:rPr>
          <w:t>4/2025</w:t>
        </w:r>
      </w:hyperlink>
      <w:r>
        <w:t xml:space="preserve">, ff. 1, 3; </w:t>
      </w:r>
      <w:hyperlink w:anchor="SENTENCIA_2025_7" w:history="1">
        <w:r w:rsidRPr="001D7FA9">
          <w:rPr>
            <w:rStyle w:val="TextoNormalCaracter"/>
          </w:rPr>
          <w:t>7/2025</w:t>
        </w:r>
      </w:hyperlink>
      <w:r>
        <w:t xml:space="preserve">, f. único; </w:t>
      </w:r>
      <w:hyperlink w:anchor="SENTENCIA_2025_9" w:history="1">
        <w:r w:rsidRPr="001D7FA9">
          <w:rPr>
            <w:rStyle w:val="TextoNormalCaracter"/>
          </w:rPr>
          <w:t>9/2025</w:t>
        </w:r>
      </w:hyperlink>
      <w:r>
        <w:t xml:space="preserve">, ff. 1, 2; </w:t>
      </w:r>
      <w:hyperlink w:anchor="SENTENCIA_2025_29" w:history="1">
        <w:r w:rsidRPr="001D7FA9">
          <w:rPr>
            <w:rStyle w:val="TextoNormalCaracter"/>
          </w:rPr>
          <w:t>29/2025</w:t>
        </w:r>
      </w:hyperlink>
      <w:r>
        <w:t xml:space="preserve">, f. único; </w:t>
      </w:r>
      <w:hyperlink w:anchor="SENTENCIA_2025_34" w:history="1">
        <w:r w:rsidRPr="001D7FA9">
          <w:rPr>
            <w:rStyle w:val="TextoNormalCaracter"/>
          </w:rPr>
          <w:t>34/2025</w:t>
        </w:r>
      </w:hyperlink>
      <w:r>
        <w:t>, f. único.</w:t>
      </w:r>
    </w:p>
    <w:p w14:paraId="3EC47547" w14:textId="56633771" w:rsidR="001D7FA9" w:rsidRDefault="001D7FA9" w:rsidP="001D7FA9">
      <w:pPr>
        <w:pStyle w:val="SangriaFrancesaArticulo"/>
      </w:pPr>
      <w:r w:rsidRPr="001D7FA9">
        <w:rPr>
          <w:rStyle w:val="TextoNormalNegritaCaracter"/>
        </w:rPr>
        <w:t>Artículo 14</w:t>
      </w:r>
      <w:r>
        <w:t xml:space="preserve"> (discriminación por sexo)</w:t>
      </w:r>
      <w:r w:rsidRPr="001D7FA9">
        <w:rPr>
          <w:rStyle w:val="TextoNormalNegritaCaracter"/>
        </w:rPr>
        <w:t>.</w:t>
      </w:r>
      <w:r w:rsidRPr="001D7FA9">
        <w:rPr>
          <w:rStyle w:val="TextoNormalCaracter"/>
        </w:rPr>
        <w:t>-</w:t>
      </w:r>
      <w:r>
        <w:t xml:space="preserve"> Sentencia </w:t>
      </w:r>
      <w:hyperlink w:anchor="SENTENCIA_2025_54" w:history="1">
        <w:r w:rsidRPr="001D7FA9">
          <w:rPr>
            <w:rStyle w:val="TextoNormalCaracter"/>
          </w:rPr>
          <w:t>54/2025</w:t>
        </w:r>
      </w:hyperlink>
      <w:r>
        <w:t>, f. 2, VP.</w:t>
      </w:r>
    </w:p>
    <w:p w14:paraId="41DAAF2A" w14:textId="4AA5D86D" w:rsidR="001D7FA9" w:rsidRDefault="001D7FA9" w:rsidP="001D7FA9">
      <w:pPr>
        <w:pStyle w:val="SangriaFrancesaArticulo"/>
      </w:pPr>
      <w:r w:rsidRPr="001D7FA9">
        <w:rPr>
          <w:rStyle w:val="TextoNormalNegritaCaracter"/>
        </w:rPr>
        <w:t>Artículo 14</w:t>
      </w:r>
      <w:r>
        <w:t xml:space="preserve"> (igualdad en la aplicación de la ley)</w:t>
      </w:r>
      <w:r w:rsidRPr="001D7FA9">
        <w:rPr>
          <w:rStyle w:val="TextoNormalNegritaCaracter"/>
        </w:rPr>
        <w:t>.</w:t>
      </w:r>
      <w:r w:rsidRPr="001D7FA9">
        <w:rPr>
          <w:rStyle w:val="TextoNormalCaracter"/>
        </w:rPr>
        <w:t>-</w:t>
      </w:r>
      <w:r>
        <w:t xml:space="preserve"> Sentencias </w:t>
      </w:r>
      <w:hyperlink w:anchor="SENTENCIA_2025_105" w:history="1">
        <w:r w:rsidRPr="001D7FA9">
          <w:rPr>
            <w:rStyle w:val="TextoNormalCaracter"/>
          </w:rPr>
          <w:t>105/2025</w:t>
        </w:r>
      </w:hyperlink>
      <w:r>
        <w:t xml:space="preserve">, ff. 1, 3, VP I, VP III; </w:t>
      </w:r>
      <w:hyperlink w:anchor="SENTENCIA_2025_110" w:history="1">
        <w:r w:rsidRPr="001D7FA9">
          <w:rPr>
            <w:rStyle w:val="TextoNormalCaracter"/>
          </w:rPr>
          <w:t>110/2025</w:t>
        </w:r>
      </w:hyperlink>
      <w:r>
        <w:t>, f. 1.</w:t>
      </w:r>
    </w:p>
    <w:p w14:paraId="4C4F620B" w14:textId="140E5C34" w:rsidR="001D7FA9" w:rsidRDefault="001D7FA9" w:rsidP="001D7FA9">
      <w:pPr>
        <w:pStyle w:val="SangriaFrancesaArticulo"/>
      </w:pPr>
      <w:r w:rsidRPr="001D7FA9">
        <w:rPr>
          <w:rStyle w:val="TextoNormalNegritaCaracter"/>
        </w:rPr>
        <w:t>Artículo 14, primer inciso.</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57AF12EB" w14:textId="6BB36F9A" w:rsidR="001D7FA9" w:rsidRDefault="001D7FA9" w:rsidP="001D7FA9">
      <w:pPr>
        <w:pStyle w:val="SangriaFrancesaArticulo"/>
      </w:pPr>
      <w:r w:rsidRPr="001D7FA9">
        <w:rPr>
          <w:rStyle w:val="TextoNormalNegritaCaracter"/>
        </w:rPr>
        <w:t>Artículos 14 a 30.</w:t>
      </w:r>
      <w:r w:rsidRPr="001D7FA9">
        <w:rPr>
          <w:rStyle w:val="TextoNormalCaracter"/>
        </w:rPr>
        <w:t>-</w:t>
      </w:r>
      <w:r>
        <w:t xml:space="preserve"> Sentencia </w:t>
      </w:r>
      <w:hyperlink w:anchor="SENTENCIA_2025_69" w:history="1">
        <w:r w:rsidRPr="001D7FA9">
          <w:rPr>
            <w:rStyle w:val="TextoNormalCaracter"/>
          </w:rPr>
          <w:t>69/2025</w:t>
        </w:r>
      </w:hyperlink>
      <w:r>
        <w:t>, f. 3.</w:t>
      </w:r>
    </w:p>
    <w:p w14:paraId="04B1ABDB" w14:textId="1AC7EA3C"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Sentencias </w:t>
      </w:r>
      <w:hyperlink w:anchor="SENTENCIA_2025_28" w:history="1">
        <w:r w:rsidRPr="001D7FA9">
          <w:rPr>
            <w:rStyle w:val="TextoNormalCaracter"/>
          </w:rPr>
          <w:t>28/2025</w:t>
        </w:r>
      </w:hyperlink>
      <w:r>
        <w:t xml:space="preserve">, ff. 1 a 6; </w:t>
      </w:r>
      <w:hyperlink w:anchor="SENTENCIA_2025_43" w:history="1">
        <w:r w:rsidRPr="001D7FA9">
          <w:rPr>
            <w:rStyle w:val="TextoNormalCaracter"/>
          </w:rPr>
          <w:t>43/2025</w:t>
        </w:r>
      </w:hyperlink>
      <w:r>
        <w:t xml:space="preserve">, f. 1; </w:t>
      </w:r>
      <w:hyperlink w:anchor="SENTENCIA_2025_95" w:history="1">
        <w:r w:rsidRPr="001D7FA9">
          <w:rPr>
            <w:rStyle w:val="TextoNormalCaracter"/>
          </w:rPr>
          <w:t>95/2025</w:t>
        </w:r>
      </w:hyperlink>
      <w:r>
        <w:t xml:space="preserve">, ff. 2, 3; </w:t>
      </w:r>
      <w:hyperlink w:anchor="SENTENCIA_2025_119" w:history="1">
        <w:r w:rsidRPr="001D7FA9">
          <w:rPr>
            <w:rStyle w:val="TextoNormalCaracter"/>
          </w:rPr>
          <w:t>119/2025</w:t>
        </w:r>
      </w:hyperlink>
      <w:r>
        <w:t xml:space="preserve">, f. 5; </w:t>
      </w:r>
      <w:hyperlink w:anchor="SENTENCIA_2025_126" w:history="1">
        <w:r w:rsidRPr="001D7FA9">
          <w:rPr>
            <w:rStyle w:val="TextoNormalCaracter"/>
          </w:rPr>
          <w:t>126/2025</w:t>
        </w:r>
      </w:hyperlink>
      <w:r>
        <w:t xml:space="preserve">, ff. 1, 2, 4, 5, 8; </w:t>
      </w:r>
      <w:hyperlink w:anchor="SENTENCIA_2025_133" w:history="1">
        <w:r w:rsidRPr="001D7FA9">
          <w:rPr>
            <w:rStyle w:val="TextoNormalCaracter"/>
          </w:rPr>
          <w:t>133/2025</w:t>
        </w:r>
      </w:hyperlink>
      <w:r>
        <w:t xml:space="preserve">, ff. 2, 3; </w:t>
      </w:r>
      <w:hyperlink w:anchor="SENTENCIA_2025_137" w:history="1">
        <w:r w:rsidRPr="001D7FA9">
          <w:rPr>
            <w:rStyle w:val="TextoNormalCaracter"/>
          </w:rPr>
          <w:t>137/2025</w:t>
        </w:r>
      </w:hyperlink>
      <w:r>
        <w:t>, ff. 8, 14, VP IV.</w:t>
      </w:r>
    </w:p>
    <w:p w14:paraId="0E16EECA" w14:textId="197D0146" w:rsidR="001D7FA9" w:rsidRDefault="001D7FA9" w:rsidP="001D7FA9">
      <w:pPr>
        <w:pStyle w:val="SangriaIzquierdaArticulo"/>
      </w:pPr>
      <w:r>
        <w:t xml:space="preserve">Autos </w:t>
      </w:r>
      <w:hyperlink w:anchor="AUTO_2025_28" w:history="1">
        <w:r w:rsidRPr="001D7FA9">
          <w:rPr>
            <w:rStyle w:val="TextoNormalCaracter"/>
          </w:rPr>
          <w:t>28/2025</w:t>
        </w:r>
      </w:hyperlink>
      <w:r>
        <w:t xml:space="preserve">, f. 1, VP; </w:t>
      </w:r>
      <w:hyperlink w:anchor="AUTO_2025_64" w:history="1">
        <w:r w:rsidRPr="001D7FA9">
          <w:rPr>
            <w:rStyle w:val="TextoNormalCaracter"/>
          </w:rPr>
          <w:t>64/2025</w:t>
        </w:r>
      </w:hyperlink>
      <w:r>
        <w:t>, ff. 1, 3, VP II.</w:t>
      </w:r>
    </w:p>
    <w:p w14:paraId="413EAED9" w14:textId="5673787F" w:rsidR="001D7FA9" w:rsidRDefault="001D7FA9" w:rsidP="001D7FA9">
      <w:pPr>
        <w:pStyle w:val="SangriaFrancesaArticulo"/>
      </w:pPr>
      <w:r w:rsidRPr="001D7FA9">
        <w:rPr>
          <w:rStyle w:val="TextoNormalNegritaCaracter"/>
        </w:rPr>
        <w:t>Artículo 16.</w:t>
      </w:r>
      <w:r w:rsidRPr="001D7FA9">
        <w:rPr>
          <w:rStyle w:val="TextoNormalCaracter"/>
        </w:rPr>
        <w:t>-</w:t>
      </w:r>
      <w:r>
        <w:t xml:space="preserve"> Sentencia </w:t>
      </w:r>
      <w:hyperlink w:anchor="SENTENCIA_2025_119" w:history="1">
        <w:r w:rsidRPr="001D7FA9">
          <w:rPr>
            <w:rStyle w:val="TextoNormalCaracter"/>
          </w:rPr>
          <w:t>119/2025</w:t>
        </w:r>
      </w:hyperlink>
      <w:r>
        <w:t>, ff. 1, 3, 5.</w:t>
      </w:r>
    </w:p>
    <w:p w14:paraId="31864ABD" w14:textId="64F0E543" w:rsidR="001D7FA9" w:rsidRDefault="001D7FA9" w:rsidP="001D7FA9">
      <w:pPr>
        <w:pStyle w:val="SangriaFrancesaArticulo"/>
      </w:pPr>
      <w:r w:rsidRPr="001D7FA9">
        <w:rPr>
          <w:rStyle w:val="TextoNormalNegritaCaracter"/>
        </w:rPr>
        <w:t>Artículo 16.1.</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753435E7" w14:textId="6834A078" w:rsidR="001D7FA9" w:rsidRDefault="001D7FA9" w:rsidP="001D7FA9">
      <w:pPr>
        <w:pStyle w:val="SangriaFrancesaArticulo"/>
      </w:pPr>
      <w:r w:rsidRPr="001D7FA9">
        <w:rPr>
          <w:rStyle w:val="TextoNormalNegritaCaracter"/>
        </w:rPr>
        <w:t>Artículo 17.</w:t>
      </w:r>
      <w:r w:rsidRPr="001D7FA9">
        <w:rPr>
          <w:rStyle w:val="TextoNormalCaracter"/>
        </w:rPr>
        <w:t>-</w:t>
      </w:r>
      <w:r>
        <w:t xml:space="preserve"> Sentencias </w:t>
      </w:r>
      <w:hyperlink w:anchor="SENTENCIA_2025_3" w:history="1">
        <w:r w:rsidRPr="001D7FA9">
          <w:rPr>
            <w:rStyle w:val="TextoNormalCaracter"/>
          </w:rPr>
          <w:t>3/2025</w:t>
        </w:r>
      </w:hyperlink>
      <w:r>
        <w:t xml:space="preserve">, ff. 1 a 4; </w:t>
      </w:r>
      <w:hyperlink w:anchor="SENTENCIA_2025_37" w:history="1">
        <w:r w:rsidRPr="001D7FA9">
          <w:rPr>
            <w:rStyle w:val="TextoNormalCaracter"/>
          </w:rPr>
          <w:t>37/2025</w:t>
        </w:r>
      </w:hyperlink>
      <w:r>
        <w:t xml:space="preserve">, f. 3; </w:t>
      </w:r>
      <w:hyperlink w:anchor="SENTENCIA_2025_95" w:history="1">
        <w:r w:rsidRPr="001D7FA9">
          <w:rPr>
            <w:rStyle w:val="TextoNormalCaracter"/>
          </w:rPr>
          <w:t>95/2025</w:t>
        </w:r>
      </w:hyperlink>
      <w:r>
        <w:t xml:space="preserve">, ff. 1 a 3; </w:t>
      </w:r>
      <w:hyperlink w:anchor="SENTENCIA_2025_106" w:history="1">
        <w:r w:rsidRPr="001D7FA9">
          <w:rPr>
            <w:rStyle w:val="TextoNormalCaracter"/>
          </w:rPr>
          <w:t>106/2025</w:t>
        </w:r>
      </w:hyperlink>
      <w:r>
        <w:t xml:space="preserve">, f. 2; </w:t>
      </w:r>
      <w:hyperlink w:anchor="SENTENCIA_2025_110" w:history="1">
        <w:r w:rsidRPr="001D7FA9">
          <w:rPr>
            <w:rStyle w:val="TextoNormalCaracter"/>
          </w:rPr>
          <w:t>110/2025</w:t>
        </w:r>
      </w:hyperlink>
      <w:r>
        <w:t xml:space="preserve">, f. 1; </w:t>
      </w:r>
      <w:hyperlink w:anchor="SENTENCIA_2025_133" w:history="1">
        <w:r w:rsidRPr="001D7FA9">
          <w:rPr>
            <w:rStyle w:val="TextoNormalCaracter"/>
          </w:rPr>
          <w:t>133/2025</w:t>
        </w:r>
      </w:hyperlink>
      <w:r>
        <w:t xml:space="preserve">, ff. 2, 3; </w:t>
      </w:r>
      <w:hyperlink w:anchor="SENTENCIA_2025_137" w:history="1">
        <w:r w:rsidRPr="001D7FA9">
          <w:rPr>
            <w:rStyle w:val="TextoNormalCaracter"/>
          </w:rPr>
          <w:t>137/2025</w:t>
        </w:r>
      </w:hyperlink>
      <w:r>
        <w:t>, ff. 5, 18, VP IV.</w:t>
      </w:r>
    </w:p>
    <w:p w14:paraId="750A4FDA" w14:textId="175FFD30" w:rsidR="001D7FA9" w:rsidRDefault="001D7FA9" w:rsidP="001D7FA9">
      <w:pPr>
        <w:pStyle w:val="SangriaFrancesaArticulo"/>
      </w:pPr>
      <w:r w:rsidRPr="001D7FA9">
        <w:rPr>
          <w:rStyle w:val="TextoNormalNegritaCaracter"/>
        </w:rPr>
        <w:t>Artículo 17.1.</w:t>
      </w:r>
      <w:r w:rsidRPr="001D7FA9">
        <w:rPr>
          <w:rStyle w:val="TextoNormalCaracter"/>
        </w:rPr>
        <w:t>-</w:t>
      </w:r>
      <w:r>
        <w:t xml:space="preserve"> Sentencias </w:t>
      </w:r>
      <w:hyperlink w:anchor="SENTENCIA_2025_3" w:history="1">
        <w:r w:rsidRPr="001D7FA9">
          <w:rPr>
            <w:rStyle w:val="TextoNormalCaracter"/>
          </w:rPr>
          <w:t>3/2025</w:t>
        </w:r>
      </w:hyperlink>
      <w:r>
        <w:t xml:space="preserve">, ff. 1, 3, 4; </w:t>
      </w:r>
      <w:hyperlink w:anchor="SENTENCIA_2025_37" w:history="1">
        <w:r w:rsidRPr="001D7FA9">
          <w:rPr>
            <w:rStyle w:val="TextoNormalCaracter"/>
          </w:rPr>
          <w:t>37/2025</w:t>
        </w:r>
      </w:hyperlink>
      <w:r>
        <w:t xml:space="preserve">, f. 1; </w:t>
      </w:r>
      <w:hyperlink w:anchor="SENTENCIA_2025_41" w:history="1">
        <w:r w:rsidRPr="001D7FA9">
          <w:rPr>
            <w:rStyle w:val="TextoNormalCaracter"/>
          </w:rPr>
          <w:t>41/2025</w:t>
        </w:r>
      </w:hyperlink>
      <w:r>
        <w:t xml:space="preserve">, VP; </w:t>
      </w:r>
      <w:hyperlink w:anchor="SENTENCIA_2025_49" w:history="1">
        <w:r w:rsidRPr="001D7FA9">
          <w:rPr>
            <w:rStyle w:val="TextoNormalCaracter"/>
          </w:rPr>
          <w:t>49/2025</w:t>
        </w:r>
      </w:hyperlink>
      <w:r>
        <w:t xml:space="preserve">, f. único; </w:t>
      </w:r>
      <w:hyperlink w:anchor="SENTENCIA_2025_86" w:history="1">
        <w:r w:rsidRPr="001D7FA9">
          <w:rPr>
            <w:rStyle w:val="TextoNormalCaracter"/>
          </w:rPr>
          <w:t>86/2025</w:t>
        </w:r>
      </w:hyperlink>
      <w:r>
        <w:t xml:space="preserve">, ff. 1 a 3; </w:t>
      </w:r>
      <w:hyperlink w:anchor="SENTENCIA_2025_95" w:history="1">
        <w:r w:rsidRPr="001D7FA9">
          <w:rPr>
            <w:rStyle w:val="TextoNormalCaracter"/>
          </w:rPr>
          <w:t>95/2025</w:t>
        </w:r>
      </w:hyperlink>
      <w:r>
        <w:t xml:space="preserve">, f. 3; </w:t>
      </w:r>
      <w:hyperlink w:anchor="SENTENCIA_2025_106" w:history="1">
        <w:r w:rsidRPr="001D7FA9">
          <w:rPr>
            <w:rStyle w:val="TextoNormalCaracter"/>
          </w:rPr>
          <w:t>106/2025</w:t>
        </w:r>
      </w:hyperlink>
      <w:r>
        <w:t xml:space="preserve">, ff. 1, 2; </w:t>
      </w:r>
      <w:hyperlink w:anchor="SENTENCIA_2025_117" w:history="1">
        <w:r w:rsidRPr="001D7FA9">
          <w:rPr>
            <w:rStyle w:val="TextoNormalCaracter"/>
          </w:rPr>
          <w:t>117/2025</w:t>
        </w:r>
      </w:hyperlink>
      <w:r>
        <w:t xml:space="preserve">, f. 1; </w:t>
      </w:r>
      <w:hyperlink w:anchor="SENTENCIA_2025_137" w:history="1">
        <w:r w:rsidRPr="001D7FA9">
          <w:rPr>
            <w:rStyle w:val="TextoNormalCaracter"/>
          </w:rPr>
          <w:t>137/2025</w:t>
        </w:r>
      </w:hyperlink>
      <w:r>
        <w:t>, ff. 1, 5, 13 a 15, 18, VP III.</w:t>
      </w:r>
    </w:p>
    <w:p w14:paraId="6F3F89E3" w14:textId="3F8584A8" w:rsidR="001D7FA9" w:rsidRDefault="001D7FA9" w:rsidP="001D7FA9">
      <w:pPr>
        <w:pStyle w:val="SangriaIzquierdaArticulo"/>
      </w:pPr>
      <w:r>
        <w:t xml:space="preserve">Auto </w:t>
      </w:r>
      <w:hyperlink w:anchor="AUTO_2025_8" w:history="1">
        <w:r w:rsidRPr="001D7FA9">
          <w:rPr>
            <w:rStyle w:val="TextoNormalCaracter"/>
          </w:rPr>
          <w:t>8/2025</w:t>
        </w:r>
      </w:hyperlink>
      <w:r>
        <w:t>, VP.</w:t>
      </w:r>
    </w:p>
    <w:p w14:paraId="2AD0E6B6" w14:textId="09623E32" w:rsidR="001D7FA9" w:rsidRDefault="001D7FA9" w:rsidP="001D7FA9">
      <w:pPr>
        <w:pStyle w:val="SangriaFrancesaArticulo"/>
      </w:pPr>
      <w:r w:rsidRPr="001D7FA9">
        <w:rPr>
          <w:rStyle w:val="TextoNormalNegritaCaracter"/>
        </w:rPr>
        <w:t>Artículo 17.2.</w:t>
      </w:r>
      <w:r w:rsidRPr="001D7FA9">
        <w:rPr>
          <w:rStyle w:val="TextoNormalCaracter"/>
        </w:rPr>
        <w:t>-</w:t>
      </w:r>
      <w:r>
        <w:t xml:space="preserve"> Sentencias </w:t>
      </w:r>
      <w:hyperlink w:anchor="SENTENCIA_2025_3" w:history="1">
        <w:r w:rsidRPr="001D7FA9">
          <w:rPr>
            <w:rStyle w:val="TextoNormalCaracter"/>
          </w:rPr>
          <w:t>3/2025</w:t>
        </w:r>
      </w:hyperlink>
      <w:r>
        <w:t xml:space="preserve">, f. 3; </w:t>
      </w:r>
      <w:hyperlink w:anchor="SENTENCIA_2025_106" w:history="1">
        <w:r w:rsidRPr="001D7FA9">
          <w:rPr>
            <w:rStyle w:val="TextoNormalCaracter"/>
          </w:rPr>
          <w:t>106/2025</w:t>
        </w:r>
      </w:hyperlink>
      <w:r>
        <w:t>, f. 2.</w:t>
      </w:r>
    </w:p>
    <w:p w14:paraId="0F927781" w14:textId="5273832F" w:rsidR="001D7FA9" w:rsidRDefault="001D7FA9" w:rsidP="001D7FA9">
      <w:pPr>
        <w:pStyle w:val="SangriaFrancesaArticulo"/>
      </w:pPr>
      <w:r w:rsidRPr="001D7FA9">
        <w:rPr>
          <w:rStyle w:val="TextoNormalNegritaCaracter"/>
        </w:rPr>
        <w:t>Artículo 17.3.</w:t>
      </w:r>
      <w:r w:rsidRPr="001D7FA9">
        <w:rPr>
          <w:rStyle w:val="TextoNormalCaracter"/>
        </w:rPr>
        <w:t>-</w:t>
      </w:r>
      <w:r>
        <w:t xml:space="preserve"> Sentencias </w:t>
      </w:r>
      <w:hyperlink w:anchor="SENTENCIA_2025_86" w:history="1">
        <w:r w:rsidRPr="001D7FA9">
          <w:rPr>
            <w:rStyle w:val="TextoNormalCaracter"/>
          </w:rPr>
          <w:t>86/2025</w:t>
        </w:r>
      </w:hyperlink>
      <w:r>
        <w:t xml:space="preserve">, ff. 1, 3; </w:t>
      </w:r>
      <w:hyperlink w:anchor="SENTENCIA_2025_106" w:history="1">
        <w:r w:rsidRPr="001D7FA9">
          <w:rPr>
            <w:rStyle w:val="TextoNormalCaracter"/>
          </w:rPr>
          <w:t>106/2025</w:t>
        </w:r>
      </w:hyperlink>
      <w:r>
        <w:t>, ff. 1, 2.</w:t>
      </w:r>
    </w:p>
    <w:p w14:paraId="2D638690" w14:textId="5C3F07CE" w:rsidR="001D7FA9" w:rsidRDefault="001D7FA9" w:rsidP="001D7FA9">
      <w:pPr>
        <w:pStyle w:val="SangriaIzquierdaArticulo"/>
      </w:pPr>
      <w:r>
        <w:t xml:space="preserve">Autos </w:t>
      </w:r>
      <w:hyperlink w:anchor="AUTO_2025_8" w:history="1">
        <w:r w:rsidRPr="001D7FA9">
          <w:rPr>
            <w:rStyle w:val="TextoNormalCaracter"/>
          </w:rPr>
          <w:t>8/2025</w:t>
        </w:r>
      </w:hyperlink>
      <w:r>
        <w:t xml:space="preserve">, VP; </w:t>
      </w:r>
      <w:hyperlink w:anchor="AUTO_2025_28" w:history="1">
        <w:r w:rsidRPr="001D7FA9">
          <w:rPr>
            <w:rStyle w:val="TextoNormalCaracter"/>
          </w:rPr>
          <w:t>28/2025</w:t>
        </w:r>
      </w:hyperlink>
      <w:r>
        <w:t>, f. 2, VP.</w:t>
      </w:r>
    </w:p>
    <w:p w14:paraId="125818D2" w14:textId="228ED5BB" w:rsidR="001D7FA9" w:rsidRDefault="001D7FA9" w:rsidP="001D7FA9">
      <w:pPr>
        <w:pStyle w:val="SangriaFrancesaArticulo"/>
      </w:pPr>
      <w:r w:rsidRPr="001D7FA9">
        <w:rPr>
          <w:rStyle w:val="TextoNormalNegritaCaracter"/>
        </w:rPr>
        <w:t>Artículo 17.4.</w:t>
      </w:r>
      <w:r w:rsidRPr="001D7FA9">
        <w:rPr>
          <w:rStyle w:val="TextoNormalCaracter"/>
        </w:rPr>
        <w:t>-</w:t>
      </w:r>
      <w:r>
        <w:t xml:space="preserve"> Sentencias </w:t>
      </w:r>
      <w:hyperlink w:anchor="SENTENCIA_2025_3" w:history="1">
        <w:r w:rsidRPr="001D7FA9">
          <w:rPr>
            <w:rStyle w:val="TextoNormalCaracter"/>
          </w:rPr>
          <w:t>3/2025</w:t>
        </w:r>
      </w:hyperlink>
      <w:r>
        <w:t xml:space="preserve">, ff. 1, 3, 4; </w:t>
      </w:r>
      <w:hyperlink w:anchor="SENTENCIA_2025_86" w:history="1">
        <w:r w:rsidRPr="001D7FA9">
          <w:rPr>
            <w:rStyle w:val="TextoNormalCaracter"/>
          </w:rPr>
          <w:t>86/2025</w:t>
        </w:r>
      </w:hyperlink>
      <w:r>
        <w:t xml:space="preserve">, ff. 1 a 3; </w:t>
      </w:r>
      <w:hyperlink w:anchor="SENTENCIA_2025_106" w:history="1">
        <w:r w:rsidRPr="001D7FA9">
          <w:rPr>
            <w:rStyle w:val="TextoNormalCaracter"/>
          </w:rPr>
          <w:t>106/2025</w:t>
        </w:r>
      </w:hyperlink>
      <w:r>
        <w:t>, f. 2.</w:t>
      </w:r>
    </w:p>
    <w:p w14:paraId="5CE8597E" w14:textId="1FBD1461" w:rsidR="001D7FA9" w:rsidRDefault="001D7FA9" w:rsidP="001D7FA9">
      <w:pPr>
        <w:pStyle w:val="SangriaFrancesaArticulo"/>
      </w:pPr>
      <w:r w:rsidRPr="001D7FA9">
        <w:rPr>
          <w:rStyle w:val="TextoNormalNegritaCaracter"/>
        </w:rPr>
        <w:t>Artículo 18.</w:t>
      </w:r>
      <w:r w:rsidRPr="001D7FA9">
        <w:rPr>
          <w:rStyle w:val="TextoNormalCaracter"/>
        </w:rPr>
        <w:t>-</w:t>
      </w:r>
      <w:r>
        <w:t xml:space="preserve"> Sentencias </w:t>
      </w:r>
      <w:hyperlink w:anchor="SENTENCIA_2025_14" w:history="1">
        <w:r w:rsidRPr="001D7FA9">
          <w:rPr>
            <w:rStyle w:val="TextoNormalCaracter"/>
          </w:rPr>
          <w:t>14/2025</w:t>
        </w:r>
      </w:hyperlink>
      <w:r>
        <w:t xml:space="preserve">, f. 2; </w:t>
      </w:r>
      <w:hyperlink w:anchor="SENTENCIA_2025_28" w:history="1">
        <w:r w:rsidRPr="001D7FA9">
          <w:rPr>
            <w:rStyle w:val="TextoNormalCaracter"/>
          </w:rPr>
          <w:t>28/2025</w:t>
        </w:r>
      </w:hyperlink>
      <w:r>
        <w:t xml:space="preserve">, ff. 3, 4; </w:t>
      </w:r>
      <w:hyperlink w:anchor="SENTENCIA_2025_62" w:history="1">
        <w:r w:rsidRPr="001D7FA9">
          <w:rPr>
            <w:rStyle w:val="TextoNormalCaracter"/>
          </w:rPr>
          <w:t>62/2025</w:t>
        </w:r>
      </w:hyperlink>
      <w:r>
        <w:t xml:space="preserve">, f. 2; </w:t>
      </w:r>
      <w:hyperlink w:anchor="SENTENCIA_2025_87" w:history="1">
        <w:r w:rsidRPr="001D7FA9">
          <w:rPr>
            <w:rStyle w:val="TextoNormalCaracter"/>
          </w:rPr>
          <w:t>87/2025</w:t>
        </w:r>
      </w:hyperlink>
      <w:r>
        <w:t xml:space="preserve">, f. 3; </w:t>
      </w:r>
      <w:hyperlink w:anchor="SENTENCIA_2025_95" w:history="1">
        <w:r w:rsidRPr="001D7FA9">
          <w:rPr>
            <w:rStyle w:val="TextoNormalCaracter"/>
          </w:rPr>
          <w:t>95/2025</w:t>
        </w:r>
      </w:hyperlink>
      <w:r>
        <w:t xml:space="preserve">, ff. 1 a 3; </w:t>
      </w:r>
      <w:hyperlink w:anchor="SENTENCIA_2025_101" w:history="1">
        <w:r w:rsidRPr="001D7FA9">
          <w:rPr>
            <w:rStyle w:val="TextoNormalCaracter"/>
          </w:rPr>
          <w:t>101/2025</w:t>
        </w:r>
      </w:hyperlink>
      <w:r>
        <w:t xml:space="preserve">, f. 3; </w:t>
      </w:r>
      <w:hyperlink w:anchor="SENTENCIA_2025_111" w:history="1">
        <w:r w:rsidRPr="001D7FA9">
          <w:rPr>
            <w:rStyle w:val="TextoNormalCaracter"/>
          </w:rPr>
          <w:t>111/2025</w:t>
        </w:r>
      </w:hyperlink>
      <w:r>
        <w:t xml:space="preserve">, f. 1; </w:t>
      </w:r>
      <w:hyperlink w:anchor="SENTENCIA_2025_117" w:history="1">
        <w:r w:rsidRPr="001D7FA9">
          <w:rPr>
            <w:rStyle w:val="TextoNormalCaracter"/>
          </w:rPr>
          <w:t>117/2025</w:t>
        </w:r>
      </w:hyperlink>
      <w:r>
        <w:t xml:space="preserve">, f. 4; </w:t>
      </w:r>
      <w:hyperlink w:anchor="SENTENCIA_2025_133" w:history="1">
        <w:r w:rsidRPr="001D7FA9">
          <w:rPr>
            <w:rStyle w:val="TextoNormalCaracter"/>
          </w:rPr>
          <w:t>133/2025</w:t>
        </w:r>
      </w:hyperlink>
      <w:r>
        <w:t>, ff. 2, 3.</w:t>
      </w:r>
    </w:p>
    <w:p w14:paraId="45647683" w14:textId="3708D388" w:rsidR="001D7FA9" w:rsidRDefault="001D7FA9" w:rsidP="001D7FA9">
      <w:pPr>
        <w:pStyle w:val="SangriaIzquierdaArticulo"/>
      </w:pPr>
      <w:r>
        <w:t xml:space="preserve">Auto </w:t>
      </w:r>
      <w:hyperlink w:anchor="AUTO_2025_8" w:history="1">
        <w:r w:rsidRPr="001D7FA9">
          <w:rPr>
            <w:rStyle w:val="TextoNormalCaracter"/>
          </w:rPr>
          <w:t>8/2025</w:t>
        </w:r>
      </w:hyperlink>
      <w:r>
        <w:t>, f. 1.</w:t>
      </w:r>
    </w:p>
    <w:p w14:paraId="7E467FFD" w14:textId="4AA4B8ED" w:rsidR="001D7FA9" w:rsidRDefault="001D7FA9" w:rsidP="001D7FA9">
      <w:pPr>
        <w:pStyle w:val="SangriaFrancesaArticulo"/>
      </w:pPr>
      <w:r w:rsidRPr="001D7FA9">
        <w:rPr>
          <w:rStyle w:val="TextoNormalNegritaCaracter"/>
        </w:rPr>
        <w:t>Artículo 18.1.</w:t>
      </w:r>
      <w:r w:rsidRPr="001D7FA9">
        <w:rPr>
          <w:rStyle w:val="TextoNormalCaracter"/>
        </w:rPr>
        <w:t>-</w:t>
      </w:r>
      <w:r>
        <w:t xml:space="preserve"> Sentencias </w:t>
      </w:r>
      <w:hyperlink w:anchor="SENTENCIA_2025_1" w:history="1">
        <w:r w:rsidRPr="001D7FA9">
          <w:rPr>
            <w:rStyle w:val="TextoNormalCaracter"/>
          </w:rPr>
          <w:t>1/2025</w:t>
        </w:r>
      </w:hyperlink>
      <w:r>
        <w:t xml:space="preserve">, ff. 1, 2, 4, 5; </w:t>
      </w:r>
      <w:hyperlink w:anchor="SENTENCIA_2025_41" w:history="1">
        <w:r w:rsidRPr="001D7FA9">
          <w:rPr>
            <w:rStyle w:val="TextoNormalCaracter"/>
          </w:rPr>
          <w:t>41/2025</w:t>
        </w:r>
      </w:hyperlink>
      <w:r>
        <w:t xml:space="preserve">, f. 2; </w:t>
      </w:r>
      <w:hyperlink w:anchor="SENTENCIA_2025_62" w:history="1">
        <w:r w:rsidRPr="001D7FA9">
          <w:rPr>
            <w:rStyle w:val="TextoNormalCaracter"/>
          </w:rPr>
          <w:t>62/2025</w:t>
        </w:r>
      </w:hyperlink>
      <w:r>
        <w:t xml:space="preserve">, ff. 3, 4, VP II, VP III,; </w:t>
      </w:r>
      <w:hyperlink w:anchor="SENTENCIA_2025_87" w:history="1">
        <w:r w:rsidRPr="001D7FA9">
          <w:rPr>
            <w:rStyle w:val="TextoNormalCaracter"/>
          </w:rPr>
          <w:t>87/2025</w:t>
        </w:r>
      </w:hyperlink>
      <w:r>
        <w:t xml:space="preserve">, f. 3, VP I; </w:t>
      </w:r>
      <w:hyperlink w:anchor="SENTENCIA_2025_95" w:history="1">
        <w:r w:rsidRPr="001D7FA9">
          <w:rPr>
            <w:rStyle w:val="TextoNormalCaracter"/>
          </w:rPr>
          <w:t>95/2025</w:t>
        </w:r>
      </w:hyperlink>
      <w:r>
        <w:t xml:space="preserve">, f. 3; </w:t>
      </w:r>
      <w:hyperlink w:anchor="SENTENCIA_2025_100" w:history="1">
        <w:r w:rsidRPr="001D7FA9">
          <w:rPr>
            <w:rStyle w:val="TextoNormalCaracter"/>
          </w:rPr>
          <w:t>100/2025</w:t>
        </w:r>
      </w:hyperlink>
      <w:r>
        <w:t xml:space="preserve">, ff. 3, 4; </w:t>
      </w:r>
      <w:hyperlink w:anchor="SENTENCIA_2025_101" w:history="1">
        <w:r w:rsidRPr="001D7FA9">
          <w:rPr>
            <w:rStyle w:val="TextoNormalCaracter"/>
          </w:rPr>
          <w:t>101/2025</w:t>
        </w:r>
      </w:hyperlink>
      <w:r>
        <w:t xml:space="preserve">, ff. 1, 3; </w:t>
      </w:r>
      <w:hyperlink w:anchor="SENTENCIA_2025_107" w:history="1">
        <w:r w:rsidRPr="001D7FA9">
          <w:rPr>
            <w:rStyle w:val="TextoNormalCaracter"/>
          </w:rPr>
          <w:t>107/2025</w:t>
        </w:r>
      </w:hyperlink>
      <w:r>
        <w:t xml:space="preserve">, ff. 1, 3; </w:t>
      </w:r>
      <w:hyperlink w:anchor="SENTENCIA_2025_108" w:history="1">
        <w:r w:rsidRPr="001D7FA9">
          <w:rPr>
            <w:rStyle w:val="TextoNormalCaracter"/>
          </w:rPr>
          <w:t>108/2025</w:t>
        </w:r>
      </w:hyperlink>
      <w:r>
        <w:t xml:space="preserve">, f. 3; </w:t>
      </w:r>
      <w:hyperlink w:anchor="SENTENCIA_2025_133" w:history="1">
        <w:r w:rsidRPr="001D7FA9">
          <w:rPr>
            <w:rStyle w:val="TextoNormalCaracter"/>
          </w:rPr>
          <w:t>133/2025</w:t>
        </w:r>
      </w:hyperlink>
      <w:r>
        <w:t>, f. 3.</w:t>
      </w:r>
    </w:p>
    <w:p w14:paraId="1F3EE26A" w14:textId="12066DF9"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Sentencia </w:t>
      </w:r>
      <w:hyperlink w:anchor="SENTENCIA_2025_31" w:history="1">
        <w:r w:rsidRPr="001D7FA9">
          <w:rPr>
            <w:rStyle w:val="TextoNormalCaracter"/>
          </w:rPr>
          <w:t>31/2025</w:t>
        </w:r>
      </w:hyperlink>
      <w:r>
        <w:t>, ff. 1, 5, 6.</w:t>
      </w:r>
    </w:p>
    <w:p w14:paraId="1ED8513B" w14:textId="7B26E75C" w:rsidR="001D7FA9" w:rsidRDefault="001D7FA9" w:rsidP="001D7FA9">
      <w:pPr>
        <w:pStyle w:val="SangriaIzquierdaArticulo"/>
      </w:pPr>
      <w:r>
        <w:t xml:space="preserve">Auto </w:t>
      </w:r>
      <w:hyperlink w:anchor="AUTO_2025_8" w:history="1">
        <w:r w:rsidRPr="001D7FA9">
          <w:rPr>
            <w:rStyle w:val="TextoNormalCaracter"/>
          </w:rPr>
          <w:t>8/2025</w:t>
        </w:r>
      </w:hyperlink>
      <w:r>
        <w:t>, VP.</w:t>
      </w:r>
    </w:p>
    <w:p w14:paraId="4E91E212" w14:textId="3B50A9EE" w:rsidR="001D7FA9" w:rsidRDefault="001D7FA9" w:rsidP="001D7FA9">
      <w:pPr>
        <w:pStyle w:val="SangriaFrancesaArticulo"/>
      </w:pPr>
      <w:r w:rsidRPr="001D7FA9">
        <w:rPr>
          <w:rStyle w:val="TextoNormalNegritaCaracter"/>
        </w:rPr>
        <w:t>Artículo 18.3.</w:t>
      </w:r>
      <w:r w:rsidRPr="001D7FA9">
        <w:rPr>
          <w:rStyle w:val="TextoNormalCaracter"/>
        </w:rPr>
        <w:t>-</w:t>
      </w:r>
      <w:r>
        <w:t xml:space="preserve"> Sentencia </w:t>
      </w:r>
      <w:hyperlink w:anchor="SENTENCIA_2025_105" w:history="1">
        <w:r w:rsidRPr="001D7FA9">
          <w:rPr>
            <w:rStyle w:val="TextoNormalCaracter"/>
          </w:rPr>
          <w:t>105/2025</w:t>
        </w:r>
      </w:hyperlink>
      <w:r>
        <w:t>, VP I.</w:t>
      </w:r>
    </w:p>
    <w:p w14:paraId="365AD691" w14:textId="0C2744B0" w:rsidR="001D7FA9" w:rsidRDefault="001D7FA9" w:rsidP="001D7FA9">
      <w:pPr>
        <w:pStyle w:val="SangriaIzquierdaArticulo"/>
      </w:pPr>
      <w:r>
        <w:t xml:space="preserve">Auto </w:t>
      </w:r>
      <w:hyperlink w:anchor="AUTO_2025_8" w:history="1">
        <w:r w:rsidRPr="001D7FA9">
          <w:rPr>
            <w:rStyle w:val="TextoNormalCaracter"/>
          </w:rPr>
          <w:t>8/2025</w:t>
        </w:r>
      </w:hyperlink>
      <w:r>
        <w:t>, VP.</w:t>
      </w:r>
    </w:p>
    <w:p w14:paraId="1DBD00E5" w14:textId="0B7DC626"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Sentencias </w:t>
      </w:r>
      <w:hyperlink w:anchor="SENTENCIA_2025_54" w:history="1">
        <w:r w:rsidRPr="001D7FA9">
          <w:rPr>
            <w:rStyle w:val="TextoNormalCaracter"/>
          </w:rPr>
          <w:t>54/2025</w:t>
        </w:r>
      </w:hyperlink>
      <w:r>
        <w:t xml:space="preserve">, ff. 1 a 3, VP; </w:t>
      </w:r>
      <w:hyperlink w:anchor="SENTENCIA_2025_95" w:history="1">
        <w:r w:rsidRPr="001D7FA9">
          <w:rPr>
            <w:rStyle w:val="TextoNormalCaracter"/>
          </w:rPr>
          <w:t>95/2025</w:t>
        </w:r>
      </w:hyperlink>
      <w:r>
        <w:t xml:space="preserve">, ff. 2, 3; </w:t>
      </w:r>
      <w:hyperlink w:anchor="SENTENCIA_2025_133" w:history="1">
        <w:r w:rsidRPr="001D7FA9">
          <w:rPr>
            <w:rStyle w:val="TextoNormalCaracter"/>
          </w:rPr>
          <w:t>133/2025</w:t>
        </w:r>
      </w:hyperlink>
      <w:r>
        <w:t>, ff. 2, 3.</w:t>
      </w:r>
    </w:p>
    <w:p w14:paraId="0F86101A" w14:textId="13291552" w:rsidR="001D7FA9" w:rsidRDefault="001D7FA9" w:rsidP="001D7FA9">
      <w:pPr>
        <w:pStyle w:val="SangriaFrancesaArticulo"/>
      </w:pPr>
      <w:r w:rsidRPr="001D7FA9">
        <w:rPr>
          <w:rStyle w:val="TextoNormalNegritaCaracter"/>
        </w:rPr>
        <w:t>Artículo 19.1.</w:t>
      </w:r>
      <w:r w:rsidRPr="001D7FA9">
        <w:rPr>
          <w:rStyle w:val="TextoNormalCaracter"/>
        </w:rPr>
        <w:t>-</w:t>
      </w:r>
      <w:r>
        <w:t xml:space="preserve"> Sentencia </w:t>
      </w:r>
      <w:hyperlink w:anchor="SENTENCIA_2025_95" w:history="1">
        <w:r w:rsidRPr="001D7FA9">
          <w:rPr>
            <w:rStyle w:val="TextoNormalCaracter"/>
          </w:rPr>
          <w:t>95/2025</w:t>
        </w:r>
      </w:hyperlink>
      <w:r>
        <w:t>, f. 3.</w:t>
      </w:r>
    </w:p>
    <w:p w14:paraId="2B967B14" w14:textId="345C22F5" w:rsidR="001D7FA9" w:rsidRDefault="001D7FA9" w:rsidP="001D7FA9">
      <w:pPr>
        <w:pStyle w:val="SangriaFrancesaArticulo"/>
      </w:pPr>
      <w:r w:rsidRPr="001D7FA9">
        <w:rPr>
          <w:rStyle w:val="TextoNormalNegritaCaracter"/>
        </w:rPr>
        <w:t>Artículo 20.</w:t>
      </w:r>
      <w:r w:rsidRPr="001D7FA9">
        <w:rPr>
          <w:rStyle w:val="TextoNormalCaracter"/>
        </w:rPr>
        <w:t>-</w:t>
      </w:r>
      <w:r>
        <w:t xml:space="preserve"> Sentencias </w:t>
      </w:r>
      <w:hyperlink w:anchor="SENTENCIA_2025_62" w:history="1">
        <w:r w:rsidRPr="001D7FA9">
          <w:rPr>
            <w:rStyle w:val="TextoNormalCaracter"/>
          </w:rPr>
          <w:t>62/2025</w:t>
        </w:r>
      </w:hyperlink>
      <w:r>
        <w:t xml:space="preserve">, f. 1, VP III; </w:t>
      </w:r>
      <w:hyperlink w:anchor="SENTENCIA_2025_87" w:history="1">
        <w:r w:rsidRPr="001D7FA9">
          <w:rPr>
            <w:rStyle w:val="TextoNormalCaracter"/>
          </w:rPr>
          <w:t>87/2025</w:t>
        </w:r>
      </w:hyperlink>
      <w:r>
        <w:t xml:space="preserve">, ff. 1 a 3; </w:t>
      </w:r>
      <w:hyperlink w:anchor="SENTENCIA_2025_100" w:history="1">
        <w:r w:rsidRPr="001D7FA9">
          <w:rPr>
            <w:rStyle w:val="TextoNormalCaracter"/>
          </w:rPr>
          <w:t>100/2025</w:t>
        </w:r>
      </w:hyperlink>
      <w:r>
        <w:t xml:space="preserve">, f. 3; </w:t>
      </w:r>
      <w:hyperlink w:anchor="SENTENCIA_2025_101" w:history="1">
        <w:r w:rsidRPr="001D7FA9">
          <w:rPr>
            <w:rStyle w:val="TextoNormalCaracter"/>
          </w:rPr>
          <w:t>101/2025</w:t>
        </w:r>
      </w:hyperlink>
      <w:r>
        <w:t xml:space="preserve">, ff. 1 a 3; </w:t>
      </w:r>
      <w:hyperlink w:anchor="SENTENCIA_2025_117" w:history="1">
        <w:r w:rsidRPr="001D7FA9">
          <w:rPr>
            <w:rStyle w:val="TextoNormalCaracter"/>
          </w:rPr>
          <w:t>117/2025</w:t>
        </w:r>
      </w:hyperlink>
      <w:r>
        <w:t xml:space="preserve">, f. 6; </w:t>
      </w:r>
      <w:hyperlink w:anchor="SENTENCIA_2025_118" w:history="1">
        <w:r w:rsidRPr="001D7FA9">
          <w:rPr>
            <w:rStyle w:val="TextoNormalCaracter"/>
          </w:rPr>
          <w:t>118/2025</w:t>
        </w:r>
      </w:hyperlink>
      <w:r>
        <w:t>, f. 6.</w:t>
      </w:r>
    </w:p>
    <w:p w14:paraId="0AD750F0" w14:textId="59C7A2B3" w:rsidR="001D7FA9" w:rsidRDefault="001D7FA9" w:rsidP="001D7FA9">
      <w:pPr>
        <w:pStyle w:val="SangriaFrancesaArticulo"/>
      </w:pPr>
      <w:r w:rsidRPr="001D7FA9">
        <w:rPr>
          <w:rStyle w:val="TextoNormalNegritaCaracter"/>
        </w:rPr>
        <w:t>Artículo 20.1.</w:t>
      </w:r>
      <w:r w:rsidRPr="001D7FA9">
        <w:rPr>
          <w:rStyle w:val="TextoNormalCaracter"/>
        </w:rPr>
        <w:t>-</w:t>
      </w:r>
      <w:r>
        <w:t xml:space="preserve"> Sentencias </w:t>
      </w:r>
      <w:hyperlink w:anchor="SENTENCIA_2025_1" w:history="1">
        <w:r w:rsidRPr="001D7FA9">
          <w:rPr>
            <w:rStyle w:val="TextoNormalCaracter"/>
          </w:rPr>
          <w:t>1/2025</w:t>
        </w:r>
      </w:hyperlink>
      <w:r>
        <w:t xml:space="preserve">, f. 3; </w:t>
      </w:r>
      <w:hyperlink w:anchor="SENTENCIA_2025_84" w:history="1">
        <w:r w:rsidRPr="001D7FA9">
          <w:rPr>
            <w:rStyle w:val="TextoNormalCaracter"/>
          </w:rPr>
          <w:t>84/2025</w:t>
        </w:r>
      </w:hyperlink>
      <w:r>
        <w:t xml:space="preserve">, f. 1; </w:t>
      </w:r>
      <w:hyperlink w:anchor="SENTENCIA_2025_117" w:history="1">
        <w:r w:rsidRPr="001D7FA9">
          <w:rPr>
            <w:rStyle w:val="TextoNormalCaracter"/>
          </w:rPr>
          <w:t>117/2025</w:t>
        </w:r>
      </w:hyperlink>
      <w:r>
        <w:t>, ff. 5, 6.</w:t>
      </w:r>
    </w:p>
    <w:p w14:paraId="69FF8299" w14:textId="37D81A16" w:rsidR="001D7FA9" w:rsidRDefault="001D7FA9" w:rsidP="001D7FA9">
      <w:pPr>
        <w:pStyle w:val="SangriaFrancesaArticulo"/>
      </w:pPr>
      <w:r w:rsidRPr="001D7FA9">
        <w:rPr>
          <w:rStyle w:val="TextoNormalNegritaCaracter"/>
        </w:rPr>
        <w:t>Artículo 20.1 a).</w:t>
      </w:r>
      <w:r w:rsidRPr="001D7FA9">
        <w:rPr>
          <w:rStyle w:val="TextoNormalCaracter"/>
        </w:rPr>
        <w:t>-</w:t>
      </w:r>
      <w:r>
        <w:t xml:space="preserve"> Sentencias </w:t>
      </w:r>
      <w:hyperlink w:anchor="SENTENCIA_2025_1" w:history="1">
        <w:r w:rsidRPr="001D7FA9">
          <w:rPr>
            <w:rStyle w:val="TextoNormalCaracter"/>
          </w:rPr>
          <w:t>1/2025</w:t>
        </w:r>
      </w:hyperlink>
      <w:r>
        <w:t xml:space="preserve">, ff. 3, 4; </w:t>
      </w:r>
      <w:hyperlink w:anchor="SENTENCIA_2025_12" w:history="1">
        <w:r w:rsidRPr="001D7FA9">
          <w:rPr>
            <w:rStyle w:val="TextoNormalCaracter"/>
          </w:rPr>
          <w:t>12/2025</w:t>
        </w:r>
      </w:hyperlink>
      <w:r>
        <w:t xml:space="preserve">, VP I; </w:t>
      </w:r>
      <w:hyperlink w:anchor="SENTENCIA_2025_13" w:history="1">
        <w:r w:rsidRPr="001D7FA9">
          <w:rPr>
            <w:rStyle w:val="TextoNormalCaracter"/>
          </w:rPr>
          <w:t>13/2025</w:t>
        </w:r>
      </w:hyperlink>
      <w:r>
        <w:t xml:space="preserve">, f. 1; </w:t>
      </w:r>
      <w:hyperlink w:anchor="SENTENCIA_2025_100" w:history="1">
        <w:r w:rsidRPr="001D7FA9">
          <w:rPr>
            <w:rStyle w:val="TextoNormalCaracter"/>
          </w:rPr>
          <w:t>100/2025</w:t>
        </w:r>
      </w:hyperlink>
      <w:r>
        <w:t xml:space="preserve">, ff. 1, 3, 4; </w:t>
      </w:r>
      <w:hyperlink w:anchor="SENTENCIA_2025_117" w:history="1">
        <w:r w:rsidRPr="001D7FA9">
          <w:rPr>
            <w:rStyle w:val="TextoNormalCaracter"/>
          </w:rPr>
          <w:t>117/2025</w:t>
        </w:r>
      </w:hyperlink>
      <w:r>
        <w:t>, ff. 1, 3 a 6.</w:t>
      </w:r>
    </w:p>
    <w:p w14:paraId="56FFA0BB" w14:textId="711438A0" w:rsidR="001D7FA9" w:rsidRDefault="001D7FA9" w:rsidP="001D7FA9">
      <w:pPr>
        <w:pStyle w:val="SangriaFrancesaArticulo"/>
      </w:pPr>
      <w:r w:rsidRPr="001D7FA9">
        <w:rPr>
          <w:rStyle w:val="TextoNormalNegritaCaracter"/>
        </w:rPr>
        <w:t>Artículo 20.1 b).</w:t>
      </w:r>
      <w:r w:rsidRPr="001D7FA9">
        <w:rPr>
          <w:rStyle w:val="TextoNormalCaracter"/>
        </w:rPr>
        <w:t>-</w:t>
      </w:r>
      <w:r>
        <w:t xml:space="preserve"> Sentencias </w:t>
      </w:r>
      <w:hyperlink w:anchor="SENTENCIA_2025_1" w:history="1">
        <w:r w:rsidRPr="001D7FA9">
          <w:rPr>
            <w:rStyle w:val="TextoNormalCaracter"/>
          </w:rPr>
          <w:t>1/2025</w:t>
        </w:r>
      </w:hyperlink>
      <w:r>
        <w:t xml:space="preserve">, f. 2; </w:t>
      </w:r>
      <w:hyperlink w:anchor="SENTENCIA_2025_117" w:history="1">
        <w:r w:rsidRPr="001D7FA9">
          <w:rPr>
            <w:rStyle w:val="TextoNormalCaracter"/>
          </w:rPr>
          <w:t>117/2025</w:t>
        </w:r>
      </w:hyperlink>
      <w:r>
        <w:t>, ff. 1, 5.</w:t>
      </w:r>
    </w:p>
    <w:p w14:paraId="2CE6AD73" w14:textId="7320C90F" w:rsidR="001D7FA9" w:rsidRDefault="001D7FA9" w:rsidP="001D7FA9">
      <w:pPr>
        <w:pStyle w:val="SangriaFrancesaArticulo"/>
      </w:pPr>
      <w:r w:rsidRPr="001D7FA9">
        <w:rPr>
          <w:rStyle w:val="TextoNormalNegritaCaracter"/>
        </w:rPr>
        <w:t>Artículo 20.1 c).</w:t>
      </w:r>
      <w:r w:rsidRPr="001D7FA9">
        <w:rPr>
          <w:rStyle w:val="TextoNormalCaracter"/>
        </w:rPr>
        <w:t>-</w:t>
      </w:r>
      <w:r>
        <w:t xml:space="preserve"> Sentencia </w:t>
      </w:r>
      <w:hyperlink w:anchor="SENTENCIA_2025_1" w:history="1">
        <w:r w:rsidRPr="001D7FA9">
          <w:rPr>
            <w:rStyle w:val="TextoNormalCaracter"/>
          </w:rPr>
          <w:t>1/2025</w:t>
        </w:r>
      </w:hyperlink>
      <w:r>
        <w:t>, f. 3.</w:t>
      </w:r>
    </w:p>
    <w:p w14:paraId="52AEFCDD" w14:textId="1993D7FA" w:rsidR="001D7FA9" w:rsidRDefault="001D7FA9" w:rsidP="001D7FA9">
      <w:pPr>
        <w:pStyle w:val="SangriaFrancesaArticulo"/>
      </w:pPr>
      <w:r w:rsidRPr="001D7FA9">
        <w:rPr>
          <w:rStyle w:val="TextoNormalNegritaCaracter"/>
        </w:rPr>
        <w:t>Artículo 20.1 d).</w:t>
      </w:r>
      <w:r w:rsidRPr="001D7FA9">
        <w:rPr>
          <w:rStyle w:val="TextoNormalCaracter"/>
        </w:rPr>
        <w:t>-</w:t>
      </w:r>
      <w:r>
        <w:t xml:space="preserve"> Sentencias </w:t>
      </w:r>
      <w:hyperlink w:anchor="SENTENCIA_2025_1" w:history="1">
        <w:r w:rsidRPr="001D7FA9">
          <w:rPr>
            <w:rStyle w:val="TextoNormalCaracter"/>
          </w:rPr>
          <w:t>1/2025</w:t>
        </w:r>
      </w:hyperlink>
      <w:r>
        <w:t xml:space="preserve">, ff. 3, 4; </w:t>
      </w:r>
      <w:hyperlink w:anchor="SENTENCIA_2025_62" w:history="1">
        <w:r w:rsidRPr="001D7FA9">
          <w:rPr>
            <w:rStyle w:val="TextoNormalCaracter"/>
          </w:rPr>
          <w:t>62/2025</w:t>
        </w:r>
      </w:hyperlink>
      <w:r>
        <w:t xml:space="preserve">, ff. 2, 4, VP II; </w:t>
      </w:r>
      <w:hyperlink w:anchor="SENTENCIA_2025_87" w:history="1">
        <w:r w:rsidRPr="001D7FA9">
          <w:rPr>
            <w:rStyle w:val="TextoNormalCaracter"/>
          </w:rPr>
          <w:t>87/2025</w:t>
        </w:r>
      </w:hyperlink>
      <w:r>
        <w:t xml:space="preserve">, f. 3, VP I; </w:t>
      </w:r>
      <w:hyperlink w:anchor="SENTENCIA_2025_100" w:history="1">
        <w:r w:rsidRPr="001D7FA9">
          <w:rPr>
            <w:rStyle w:val="TextoNormalCaracter"/>
          </w:rPr>
          <w:t>100/2025</w:t>
        </w:r>
      </w:hyperlink>
      <w:r>
        <w:t xml:space="preserve">, ff. 3, 4; </w:t>
      </w:r>
      <w:hyperlink w:anchor="SENTENCIA_2025_101" w:history="1">
        <w:r w:rsidRPr="001D7FA9">
          <w:rPr>
            <w:rStyle w:val="TextoNormalCaracter"/>
          </w:rPr>
          <w:t>101/2025</w:t>
        </w:r>
      </w:hyperlink>
      <w:r>
        <w:t xml:space="preserve">, f. 3; </w:t>
      </w:r>
      <w:hyperlink w:anchor="SENTENCIA_2025_117" w:history="1">
        <w:r w:rsidRPr="001D7FA9">
          <w:rPr>
            <w:rStyle w:val="TextoNormalCaracter"/>
          </w:rPr>
          <w:t>117/2025</w:t>
        </w:r>
      </w:hyperlink>
      <w:r>
        <w:t>, f. 5.</w:t>
      </w:r>
    </w:p>
    <w:p w14:paraId="7714B207" w14:textId="36F1FCFC" w:rsidR="001D7FA9" w:rsidRDefault="001D7FA9" w:rsidP="001D7FA9">
      <w:pPr>
        <w:pStyle w:val="SangriaFrancesaArticulo"/>
      </w:pPr>
      <w:r w:rsidRPr="001D7FA9">
        <w:rPr>
          <w:rStyle w:val="TextoNormalNegritaCaracter"/>
        </w:rPr>
        <w:t>Artículo 20.2.</w:t>
      </w:r>
      <w:r w:rsidRPr="001D7FA9">
        <w:rPr>
          <w:rStyle w:val="TextoNormalCaracter"/>
        </w:rPr>
        <w:t>-</w:t>
      </w:r>
      <w:r>
        <w:t xml:space="preserve"> Sentencia </w:t>
      </w:r>
      <w:hyperlink w:anchor="SENTENCIA_2025_1" w:history="1">
        <w:r w:rsidRPr="001D7FA9">
          <w:rPr>
            <w:rStyle w:val="TextoNormalCaracter"/>
          </w:rPr>
          <w:t>1/2025</w:t>
        </w:r>
      </w:hyperlink>
      <w:r>
        <w:t>, f. 3.</w:t>
      </w:r>
    </w:p>
    <w:p w14:paraId="36B91EF5" w14:textId="23DAB86E" w:rsidR="001D7FA9" w:rsidRDefault="001D7FA9" w:rsidP="001D7FA9">
      <w:pPr>
        <w:pStyle w:val="SangriaFrancesaArticulo"/>
      </w:pPr>
      <w:r w:rsidRPr="001D7FA9">
        <w:rPr>
          <w:rStyle w:val="TextoNormalNegritaCaracter"/>
        </w:rPr>
        <w:t>Artículo 20.4.</w:t>
      </w:r>
      <w:r w:rsidRPr="001D7FA9">
        <w:rPr>
          <w:rStyle w:val="TextoNormalCaracter"/>
        </w:rPr>
        <w:t>-</w:t>
      </w:r>
      <w:r>
        <w:t xml:space="preserve"> Sentencias </w:t>
      </w:r>
      <w:hyperlink w:anchor="SENTENCIA_2025_1" w:history="1">
        <w:r w:rsidRPr="001D7FA9">
          <w:rPr>
            <w:rStyle w:val="TextoNormalCaracter"/>
          </w:rPr>
          <w:t>1/2025</w:t>
        </w:r>
      </w:hyperlink>
      <w:r>
        <w:t xml:space="preserve">, ff. 3, 4; </w:t>
      </w:r>
      <w:hyperlink w:anchor="SENTENCIA_2025_62" w:history="1">
        <w:r w:rsidRPr="001D7FA9">
          <w:rPr>
            <w:rStyle w:val="TextoNormalCaracter"/>
          </w:rPr>
          <w:t>62/2025</w:t>
        </w:r>
      </w:hyperlink>
      <w:r>
        <w:t xml:space="preserve">, VP III; </w:t>
      </w:r>
      <w:hyperlink w:anchor="SENTENCIA_2025_100" w:history="1">
        <w:r w:rsidRPr="001D7FA9">
          <w:rPr>
            <w:rStyle w:val="TextoNormalCaracter"/>
          </w:rPr>
          <w:t>100/2025</w:t>
        </w:r>
      </w:hyperlink>
      <w:r>
        <w:t xml:space="preserve">, f. 4; </w:t>
      </w:r>
      <w:hyperlink w:anchor="SENTENCIA_2025_117" w:history="1">
        <w:r w:rsidRPr="001D7FA9">
          <w:rPr>
            <w:rStyle w:val="TextoNormalCaracter"/>
          </w:rPr>
          <w:t>117/2025</w:t>
        </w:r>
      </w:hyperlink>
      <w:r>
        <w:t>, f. 6.</w:t>
      </w:r>
    </w:p>
    <w:p w14:paraId="42279726" w14:textId="5A0CC190" w:rsidR="001D7FA9" w:rsidRDefault="001D7FA9" w:rsidP="001D7FA9">
      <w:pPr>
        <w:pStyle w:val="SangriaFrancesaArticulo"/>
      </w:pPr>
      <w:r w:rsidRPr="001D7FA9">
        <w:rPr>
          <w:rStyle w:val="TextoNormalNegritaCaracter"/>
        </w:rPr>
        <w:t>Artículo 20.5.</w:t>
      </w:r>
      <w:r w:rsidRPr="001D7FA9">
        <w:rPr>
          <w:rStyle w:val="TextoNormalCaracter"/>
        </w:rPr>
        <w:t>-</w:t>
      </w:r>
      <w:r>
        <w:t xml:space="preserve"> Sentencia </w:t>
      </w:r>
      <w:hyperlink w:anchor="SENTENCIA_2025_1" w:history="1">
        <w:r w:rsidRPr="001D7FA9">
          <w:rPr>
            <w:rStyle w:val="TextoNormalCaracter"/>
          </w:rPr>
          <w:t>1/2025</w:t>
        </w:r>
      </w:hyperlink>
      <w:r>
        <w:t>, f. 3.</w:t>
      </w:r>
    </w:p>
    <w:p w14:paraId="0A6E998A" w14:textId="546905D9"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Sentencias </w:t>
      </w:r>
      <w:hyperlink w:anchor="SENTENCIA_2025_95" w:history="1">
        <w:r w:rsidRPr="001D7FA9">
          <w:rPr>
            <w:rStyle w:val="TextoNormalCaracter"/>
          </w:rPr>
          <w:t>95/2025</w:t>
        </w:r>
      </w:hyperlink>
      <w:r>
        <w:t xml:space="preserve">, ff. 1 a 3; </w:t>
      </w:r>
      <w:hyperlink w:anchor="SENTENCIA_2025_133" w:history="1">
        <w:r w:rsidRPr="001D7FA9">
          <w:rPr>
            <w:rStyle w:val="TextoNormalCaracter"/>
          </w:rPr>
          <w:t>133/2025</w:t>
        </w:r>
      </w:hyperlink>
      <w:r>
        <w:t>, ff. 2, 3.</w:t>
      </w:r>
    </w:p>
    <w:p w14:paraId="1B74588B" w14:textId="0B9D9EED" w:rsidR="001D7FA9" w:rsidRDefault="001D7FA9" w:rsidP="001D7FA9">
      <w:pPr>
        <w:pStyle w:val="SangriaFrancesaArticulo"/>
      </w:pPr>
      <w:r w:rsidRPr="001D7FA9">
        <w:rPr>
          <w:rStyle w:val="TextoNormalNegritaCaracter"/>
        </w:rPr>
        <w:t>Artículo 21.1.</w:t>
      </w:r>
      <w:r w:rsidRPr="001D7FA9">
        <w:rPr>
          <w:rStyle w:val="TextoNormalCaracter"/>
        </w:rPr>
        <w:t>-</w:t>
      </w:r>
      <w:r>
        <w:t xml:space="preserve"> Sentencias </w:t>
      </w:r>
      <w:hyperlink w:anchor="SENTENCIA_2025_95" w:history="1">
        <w:r w:rsidRPr="001D7FA9">
          <w:rPr>
            <w:rStyle w:val="TextoNormalCaracter"/>
          </w:rPr>
          <w:t>95/2025</w:t>
        </w:r>
      </w:hyperlink>
      <w:r>
        <w:t xml:space="preserve">, ff. 3, 4; </w:t>
      </w:r>
      <w:hyperlink w:anchor="SENTENCIA_2025_133" w:history="1">
        <w:r w:rsidRPr="001D7FA9">
          <w:rPr>
            <w:rStyle w:val="TextoNormalCaracter"/>
          </w:rPr>
          <w:t>133/2025</w:t>
        </w:r>
      </w:hyperlink>
      <w:r>
        <w:t>, ff. 2, 3.</w:t>
      </w:r>
    </w:p>
    <w:p w14:paraId="2AAC4499" w14:textId="28D5D41B" w:rsidR="001D7FA9" w:rsidRDefault="001D7FA9" w:rsidP="001D7FA9">
      <w:pPr>
        <w:pStyle w:val="SangriaFrancesaArticulo"/>
      </w:pPr>
      <w:r w:rsidRPr="001D7FA9">
        <w:rPr>
          <w:rStyle w:val="TextoNormalNegritaCaracter"/>
        </w:rPr>
        <w:t>Artículo 21.3.</w:t>
      </w:r>
      <w:r w:rsidRPr="001D7FA9">
        <w:rPr>
          <w:rStyle w:val="TextoNormalCaracter"/>
        </w:rPr>
        <w:t>-</w:t>
      </w:r>
      <w:r>
        <w:t xml:space="preserve"> Sentencia </w:t>
      </w:r>
      <w:hyperlink w:anchor="SENTENCIA_2025_95" w:history="1">
        <w:r w:rsidRPr="001D7FA9">
          <w:rPr>
            <w:rStyle w:val="TextoNormalCaracter"/>
          </w:rPr>
          <w:t>95/2025</w:t>
        </w:r>
      </w:hyperlink>
      <w:r>
        <w:t>, f. 4.</w:t>
      </w:r>
    </w:p>
    <w:p w14:paraId="6423C311" w14:textId="04715CB7" w:rsidR="001D7FA9" w:rsidRDefault="001D7FA9" w:rsidP="001D7FA9">
      <w:pPr>
        <w:pStyle w:val="SangriaFrancesaArticulo"/>
      </w:pPr>
      <w:r w:rsidRPr="001D7FA9">
        <w:rPr>
          <w:rStyle w:val="TextoNormalNegritaCaracter"/>
        </w:rPr>
        <w:t>Artículo 23.</w:t>
      </w:r>
      <w:r w:rsidRPr="001D7FA9">
        <w:rPr>
          <w:rStyle w:val="TextoNormalCaracter"/>
        </w:rPr>
        <w:t>-</w:t>
      </w:r>
      <w:r>
        <w:t xml:space="preserve"> Sentencias </w:t>
      </w:r>
      <w:hyperlink w:anchor="SENTENCIA_2025_14" w:history="1">
        <w:r w:rsidRPr="001D7FA9">
          <w:rPr>
            <w:rStyle w:val="TextoNormalCaracter"/>
          </w:rPr>
          <w:t>14/2025</w:t>
        </w:r>
      </w:hyperlink>
      <w:r>
        <w:t xml:space="preserve">, f. 4, VP; </w:t>
      </w:r>
      <w:hyperlink w:anchor="SENTENCIA_2025_15" w:history="1">
        <w:r w:rsidRPr="001D7FA9">
          <w:rPr>
            <w:rStyle w:val="TextoNormalCaracter"/>
          </w:rPr>
          <w:t>15/2025</w:t>
        </w:r>
      </w:hyperlink>
      <w:r>
        <w:t xml:space="preserve">, f. 3; </w:t>
      </w:r>
      <w:hyperlink w:anchor="SENTENCIA_2025_97" w:history="1">
        <w:r w:rsidRPr="001D7FA9">
          <w:rPr>
            <w:rStyle w:val="TextoNormalCaracter"/>
          </w:rPr>
          <w:t>97/2025</w:t>
        </w:r>
      </w:hyperlink>
      <w:r>
        <w:t xml:space="preserve">, ff. 1 a 3; </w:t>
      </w:r>
      <w:hyperlink w:anchor="SENTENCIA_2025_107" w:history="1">
        <w:r w:rsidRPr="001D7FA9">
          <w:rPr>
            <w:rStyle w:val="TextoNormalCaracter"/>
          </w:rPr>
          <w:t>107/2025</w:t>
        </w:r>
      </w:hyperlink>
      <w:r>
        <w:t xml:space="preserve">, f. 1; </w:t>
      </w:r>
      <w:hyperlink w:anchor="SENTENCIA_2025_108" w:history="1">
        <w:r w:rsidRPr="001D7FA9">
          <w:rPr>
            <w:rStyle w:val="TextoNormalCaracter"/>
          </w:rPr>
          <w:t>108/2025</w:t>
        </w:r>
      </w:hyperlink>
      <w:r>
        <w:t xml:space="preserve">, f. 1; </w:t>
      </w:r>
      <w:hyperlink w:anchor="SENTENCIA_2025_137" w:history="1">
        <w:r w:rsidRPr="001D7FA9">
          <w:rPr>
            <w:rStyle w:val="TextoNormalCaracter"/>
          </w:rPr>
          <w:t>137/2025</w:t>
        </w:r>
      </w:hyperlink>
      <w:r>
        <w:t>, ff. 1, 5, 12, VP I, VP II, VP III.</w:t>
      </w:r>
    </w:p>
    <w:p w14:paraId="7BFCD333" w14:textId="36ADA6D1"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VP II; </w:t>
      </w:r>
      <w:hyperlink w:anchor="AUTO_2025_11" w:history="1">
        <w:r w:rsidRPr="001D7FA9">
          <w:rPr>
            <w:rStyle w:val="TextoNormalCaracter"/>
          </w:rPr>
          <w:t>11/2025</w:t>
        </w:r>
      </w:hyperlink>
      <w:r>
        <w:t>, VP.</w:t>
      </w:r>
    </w:p>
    <w:p w14:paraId="57247B9E" w14:textId="3CFAAF08" w:rsidR="001D7FA9" w:rsidRDefault="001D7FA9" w:rsidP="001D7FA9">
      <w:pPr>
        <w:pStyle w:val="SangriaFrancesaArticulo"/>
      </w:pPr>
      <w:r w:rsidRPr="001D7FA9">
        <w:rPr>
          <w:rStyle w:val="TextoNormalNegritaCaracter"/>
        </w:rPr>
        <w:t>Artículo 23.1.</w:t>
      </w:r>
      <w:r w:rsidRPr="001D7FA9">
        <w:rPr>
          <w:rStyle w:val="TextoNormalCaracter"/>
        </w:rPr>
        <w:t>-</w:t>
      </w:r>
      <w:r>
        <w:t xml:space="preserve"> Sentencias </w:t>
      </w:r>
      <w:hyperlink w:anchor="SENTENCIA_2025_14" w:history="1">
        <w:r w:rsidRPr="001D7FA9">
          <w:rPr>
            <w:rStyle w:val="TextoNormalCaracter"/>
          </w:rPr>
          <w:t>14/2025</w:t>
        </w:r>
      </w:hyperlink>
      <w:r>
        <w:t xml:space="preserve">, f. 4; </w:t>
      </w:r>
      <w:hyperlink w:anchor="SENTENCIA_2025_15" w:history="1">
        <w:r w:rsidRPr="001D7FA9">
          <w:rPr>
            <w:rStyle w:val="TextoNormalCaracter"/>
          </w:rPr>
          <w:t>15/2025</w:t>
        </w:r>
      </w:hyperlink>
      <w:r>
        <w:t xml:space="preserve">, f. 3; </w:t>
      </w:r>
      <w:hyperlink w:anchor="SENTENCIA_2025_83" w:history="1">
        <w:r w:rsidRPr="001D7FA9">
          <w:rPr>
            <w:rStyle w:val="TextoNormalCaracter"/>
          </w:rPr>
          <w:t>83/2025</w:t>
        </w:r>
      </w:hyperlink>
      <w:r>
        <w:t xml:space="preserve">, ff. 1 a 3; </w:t>
      </w:r>
      <w:hyperlink w:anchor="SENTENCIA_2025_120" w:history="1">
        <w:r w:rsidRPr="001D7FA9">
          <w:rPr>
            <w:rStyle w:val="TextoNormalCaracter"/>
          </w:rPr>
          <w:t>120/2025</w:t>
        </w:r>
      </w:hyperlink>
      <w:r>
        <w:t xml:space="preserve">, f. 1; </w:t>
      </w:r>
      <w:hyperlink w:anchor="SENTENCIA_2025_136" w:history="1">
        <w:r w:rsidRPr="001D7FA9">
          <w:rPr>
            <w:rStyle w:val="TextoNormalCaracter"/>
          </w:rPr>
          <w:t>136/2025</w:t>
        </w:r>
      </w:hyperlink>
      <w:r>
        <w:t xml:space="preserve">, ff. 1 a 3; </w:t>
      </w:r>
      <w:hyperlink w:anchor="SENTENCIA_2025_137" w:history="1">
        <w:r w:rsidRPr="001D7FA9">
          <w:rPr>
            <w:rStyle w:val="TextoNormalCaracter"/>
          </w:rPr>
          <w:t>137/2025</w:t>
        </w:r>
      </w:hyperlink>
      <w:r>
        <w:t>, VP II, VP III.</w:t>
      </w:r>
    </w:p>
    <w:p w14:paraId="66548B53" w14:textId="4CF03E81" w:rsidR="001D7FA9" w:rsidRDefault="001D7FA9" w:rsidP="001D7FA9">
      <w:pPr>
        <w:pStyle w:val="SangriaIzquierdaArticulo"/>
      </w:pPr>
      <w:r>
        <w:t xml:space="preserve">Auto </w:t>
      </w:r>
      <w:hyperlink w:anchor="AUTO_2025_7" w:history="1">
        <w:r w:rsidRPr="001D7FA9">
          <w:rPr>
            <w:rStyle w:val="TextoNormalCaracter"/>
          </w:rPr>
          <w:t>7/2025</w:t>
        </w:r>
      </w:hyperlink>
      <w:r>
        <w:t>, f. único.</w:t>
      </w:r>
    </w:p>
    <w:p w14:paraId="244BE966" w14:textId="33B5AA0D" w:rsidR="001D7FA9" w:rsidRDefault="001D7FA9" w:rsidP="001D7FA9">
      <w:pPr>
        <w:pStyle w:val="SangriaFrancesaArticulo"/>
      </w:pPr>
      <w:r w:rsidRPr="001D7FA9">
        <w:rPr>
          <w:rStyle w:val="TextoNormalNegritaCaracter"/>
        </w:rPr>
        <w:t>Artículo 23.2.</w:t>
      </w:r>
      <w:r w:rsidRPr="001D7FA9">
        <w:rPr>
          <w:rStyle w:val="TextoNormalCaracter"/>
        </w:rPr>
        <w:t>-</w:t>
      </w:r>
      <w:r>
        <w:t xml:space="preserve"> Sentencias </w:t>
      </w:r>
      <w:hyperlink w:anchor="SENTENCIA_2025_14" w:history="1">
        <w:r w:rsidRPr="001D7FA9">
          <w:rPr>
            <w:rStyle w:val="TextoNormalCaracter"/>
          </w:rPr>
          <w:t>14/2025</w:t>
        </w:r>
      </w:hyperlink>
      <w:r>
        <w:t xml:space="preserve">, ff. 1, 4, 5, VP; </w:t>
      </w:r>
      <w:hyperlink w:anchor="SENTENCIA_2025_15" w:history="1">
        <w:r w:rsidRPr="001D7FA9">
          <w:rPr>
            <w:rStyle w:val="TextoNormalCaracter"/>
          </w:rPr>
          <w:t>15/2025</w:t>
        </w:r>
      </w:hyperlink>
      <w:r>
        <w:t xml:space="preserve">, ff. 1, 3, 4; </w:t>
      </w:r>
      <w:hyperlink w:anchor="SENTENCIA_2025_27" w:history="1">
        <w:r w:rsidRPr="001D7FA9">
          <w:rPr>
            <w:rStyle w:val="TextoNormalCaracter"/>
          </w:rPr>
          <w:t>27/2025</w:t>
        </w:r>
      </w:hyperlink>
      <w:r>
        <w:t xml:space="preserve">, f. 1; </w:t>
      </w:r>
      <w:hyperlink w:anchor="SENTENCIA_2025_40" w:history="1">
        <w:r w:rsidRPr="001D7FA9">
          <w:rPr>
            <w:rStyle w:val="TextoNormalCaracter"/>
          </w:rPr>
          <w:t>40/2025</w:t>
        </w:r>
      </w:hyperlink>
      <w:r>
        <w:t xml:space="preserve">, ff. 1, 3, VP I, VP III; </w:t>
      </w:r>
      <w:hyperlink w:anchor="SENTENCIA_2025_52" w:history="1">
        <w:r w:rsidRPr="001D7FA9">
          <w:rPr>
            <w:rStyle w:val="TextoNormalCaracter"/>
          </w:rPr>
          <w:t>52/2025</w:t>
        </w:r>
      </w:hyperlink>
      <w:r>
        <w:t xml:space="preserve">, f. único; </w:t>
      </w:r>
      <w:hyperlink w:anchor="SENTENCIA_2025_53" w:history="1">
        <w:r w:rsidRPr="001D7FA9">
          <w:rPr>
            <w:rStyle w:val="TextoNormalCaracter"/>
          </w:rPr>
          <w:t>53/2025</w:t>
        </w:r>
      </w:hyperlink>
      <w:r>
        <w:t xml:space="preserve">, f. único; </w:t>
      </w:r>
      <w:hyperlink w:anchor="SENTENCIA_2025_63" w:history="1">
        <w:r w:rsidRPr="001D7FA9">
          <w:rPr>
            <w:rStyle w:val="TextoNormalCaracter"/>
          </w:rPr>
          <w:t>63/2025</w:t>
        </w:r>
      </w:hyperlink>
      <w:r>
        <w:t xml:space="preserve">, f. 1, VP I; </w:t>
      </w:r>
      <w:hyperlink w:anchor="SENTENCIA_2025_83" w:history="1">
        <w:r w:rsidRPr="001D7FA9">
          <w:rPr>
            <w:rStyle w:val="TextoNormalCaracter"/>
          </w:rPr>
          <w:t>83/2025</w:t>
        </w:r>
      </w:hyperlink>
      <w:r>
        <w:t xml:space="preserve">, ff. 1 a 3; </w:t>
      </w:r>
      <w:hyperlink w:anchor="SENTENCIA_2025_97" w:history="1">
        <w:r w:rsidRPr="001D7FA9">
          <w:rPr>
            <w:rStyle w:val="TextoNormalCaracter"/>
          </w:rPr>
          <w:t>97/2025</w:t>
        </w:r>
      </w:hyperlink>
      <w:r>
        <w:t xml:space="preserve">, f. 3; </w:t>
      </w:r>
      <w:hyperlink w:anchor="SENTENCIA_2025_107" w:history="1">
        <w:r w:rsidRPr="001D7FA9">
          <w:rPr>
            <w:rStyle w:val="TextoNormalCaracter"/>
          </w:rPr>
          <w:t>107/2025</w:t>
        </w:r>
      </w:hyperlink>
      <w:r>
        <w:t xml:space="preserve">, f. 3; </w:t>
      </w:r>
      <w:hyperlink w:anchor="SENTENCIA_2025_120" w:history="1">
        <w:r w:rsidRPr="001D7FA9">
          <w:rPr>
            <w:rStyle w:val="TextoNormalCaracter"/>
          </w:rPr>
          <w:t>120/2025</w:t>
        </w:r>
      </w:hyperlink>
      <w:r>
        <w:t xml:space="preserve">, ff. 1 a 6; </w:t>
      </w:r>
      <w:hyperlink w:anchor="SENTENCIA_2025_134" w:history="1">
        <w:r w:rsidRPr="001D7FA9">
          <w:rPr>
            <w:rStyle w:val="TextoNormalCaracter"/>
          </w:rPr>
          <w:t>134/2025</w:t>
        </w:r>
      </w:hyperlink>
      <w:r>
        <w:t xml:space="preserve">, ff. 1 a 5; </w:t>
      </w:r>
      <w:hyperlink w:anchor="SENTENCIA_2025_136" w:history="1">
        <w:r w:rsidRPr="001D7FA9">
          <w:rPr>
            <w:rStyle w:val="TextoNormalCaracter"/>
          </w:rPr>
          <w:t>136/2025</w:t>
        </w:r>
      </w:hyperlink>
      <w:r>
        <w:t xml:space="preserve">, ff. 1 a 3; </w:t>
      </w:r>
      <w:hyperlink w:anchor="SENTENCIA_2025_137" w:history="1">
        <w:r w:rsidRPr="001D7FA9">
          <w:rPr>
            <w:rStyle w:val="TextoNormalCaracter"/>
          </w:rPr>
          <w:t>137/2025</w:t>
        </w:r>
      </w:hyperlink>
      <w:r>
        <w:t>, f. 12, VP II, VP III.</w:t>
      </w:r>
    </w:p>
    <w:p w14:paraId="77A8A670" w14:textId="389AEA44"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f. único, VP; </w:t>
      </w:r>
      <w:hyperlink w:anchor="AUTO_2025_5" w:history="1">
        <w:r w:rsidRPr="001D7FA9">
          <w:rPr>
            <w:rStyle w:val="TextoNormalCaracter"/>
          </w:rPr>
          <w:t>5/2025</w:t>
        </w:r>
      </w:hyperlink>
      <w:r>
        <w:t xml:space="preserve">, f. único, VP; </w:t>
      </w:r>
      <w:hyperlink w:anchor="AUTO_2025_6" w:history="1">
        <w:r w:rsidRPr="001D7FA9">
          <w:rPr>
            <w:rStyle w:val="TextoNormalCaracter"/>
          </w:rPr>
          <w:t>6/2025</w:t>
        </w:r>
      </w:hyperlink>
      <w:r>
        <w:t xml:space="preserve">, VP II; </w:t>
      </w:r>
      <w:hyperlink w:anchor="AUTO_2025_7" w:history="1">
        <w:r w:rsidRPr="001D7FA9">
          <w:rPr>
            <w:rStyle w:val="TextoNormalCaracter"/>
          </w:rPr>
          <w:t>7/2025</w:t>
        </w:r>
      </w:hyperlink>
      <w:r>
        <w:t xml:space="preserve">, f. único; </w:t>
      </w:r>
      <w:hyperlink w:anchor="AUTO_2025_11" w:history="1">
        <w:r w:rsidRPr="001D7FA9">
          <w:rPr>
            <w:rStyle w:val="TextoNormalCaracter"/>
          </w:rPr>
          <w:t>11/2025</w:t>
        </w:r>
      </w:hyperlink>
      <w:r>
        <w:t xml:space="preserve">, f. único, VP; </w:t>
      </w:r>
      <w:hyperlink w:anchor="AUTO_2025_12" w:history="1">
        <w:r w:rsidRPr="001D7FA9">
          <w:rPr>
            <w:rStyle w:val="TextoNormalCaracter"/>
          </w:rPr>
          <w:t>12/2025</w:t>
        </w:r>
      </w:hyperlink>
      <w:r>
        <w:t xml:space="preserve">, VP III; </w:t>
      </w:r>
      <w:hyperlink w:anchor="AUTO_2025_35" w:history="1">
        <w:r w:rsidRPr="001D7FA9">
          <w:rPr>
            <w:rStyle w:val="TextoNormalCaracter"/>
          </w:rPr>
          <w:t>35/2025</w:t>
        </w:r>
      </w:hyperlink>
      <w:r>
        <w:t xml:space="preserve">, VP II; </w:t>
      </w:r>
      <w:hyperlink w:anchor="AUTO_2025_59" w:history="1">
        <w:r w:rsidRPr="001D7FA9">
          <w:rPr>
            <w:rStyle w:val="TextoNormalCaracter"/>
          </w:rPr>
          <w:t>59/2025</w:t>
        </w:r>
      </w:hyperlink>
      <w:r>
        <w:t>, f. 4.</w:t>
      </w:r>
    </w:p>
    <w:p w14:paraId="5913ADC6" w14:textId="0C4114D8" w:rsidR="001D7FA9" w:rsidRDefault="001D7FA9" w:rsidP="001D7FA9">
      <w:pPr>
        <w:pStyle w:val="SangriaFrancesaArticulo"/>
      </w:pPr>
      <w:r w:rsidRPr="001D7FA9">
        <w:rPr>
          <w:rStyle w:val="TextoNormalNegritaCaracter"/>
        </w:rPr>
        <w:t>Artículo 24.</w:t>
      </w:r>
      <w:r w:rsidRPr="001D7FA9">
        <w:rPr>
          <w:rStyle w:val="TextoNormalCaracter"/>
        </w:rPr>
        <w:t>-</w:t>
      </w:r>
      <w:r>
        <w:t xml:space="preserve"> Sentencias </w:t>
      </w:r>
      <w:hyperlink w:anchor="SENTENCIA_2025_1" w:history="1">
        <w:r w:rsidRPr="001D7FA9">
          <w:rPr>
            <w:rStyle w:val="TextoNormalCaracter"/>
          </w:rPr>
          <w:t>1/2025</w:t>
        </w:r>
      </w:hyperlink>
      <w:r>
        <w:t xml:space="preserve">, f. 2; </w:t>
      </w:r>
      <w:hyperlink w:anchor="SENTENCIA_2025_2" w:history="1">
        <w:r w:rsidRPr="001D7FA9">
          <w:rPr>
            <w:rStyle w:val="TextoNormalCaracter"/>
          </w:rPr>
          <w:t>2/2025</w:t>
        </w:r>
      </w:hyperlink>
      <w:r>
        <w:t xml:space="preserve">, f, 2; </w:t>
      </w:r>
      <w:hyperlink w:anchor="SENTENCIA_2025_12" w:history="1">
        <w:r w:rsidRPr="001D7FA9">
          <w:rPr>
            <w:rStyle w:val="TextoNormalCaracter"/>
          </w:rPr>
          <w:t>12/2025</w:t>
        </w:r>
      </w:hyperlink>
      <w:r>
        <w:t xml:space="preserve">, f. 3, VP I, VP II; </w:t>
      </w:r>
      <w:hyperlink w:anchor="SENTENCIA_2025_13" w:history="1">
        <w:r w:rsidRPr="001D7FA9">
          <w:rPr>
            <w:rStyle w:val="TextoNormalCaracter"/>
          </w:rPr>
          <w:t>13/2025</w:t>
        </w:r>
      </w:hyperlink>
      <w:r>
        <w:t xml:space="preserve">, f. 1; </w:t>
      </w:r>
      <w:hyperlink w:anchor="SENTENCIA_2025_25" w:history="1">
        <w:r w:rsidRPr="001D7FA9">
          <w:rPr>
            <w:rStyle w:val="TextoNormalCaracter"/>
          </w:rPr>
          <w:t>25/2025</w:t>
        </w:r>
      </w:hyperlink>
      <w:r>
        <w:t xml:space="preserve">, f. 1; </w:t>
      </w:r>
      <w:hyperlink w:anchor="SENTENCIA_2025_26" w:history="1">
        <w:r w:rsidRPr="001D7FA9">
          <w:rPr>
            <w:rStyle w:val="TextoNormalCaracter"/>
          </w:rPr>
          <w:t>26/2025</w:t>
        </w:r>
      </w:hyperlink>
      <w:r>
        <w:t xml:space="preserve">, VP II; </w:t>
      </w:r>
      <w:hyperlink w:anchor="SENTENCIA_2025_28" w:history="1">
        <w:r w:rsidRPr="001D7FA9">
          <w:rPr>
            <w:rStyle w:val="TextoNormalCaracter"/>
          </w:rPr>
          <w:t>28/2025</w:t>
        </w:r>
      </w:hyperlink>
      <w:r>
        <w:t xml:space="preserve">, ff. 1, 2, 4; </w:t>
      </w:r>
      <w:hyperlink w:anchor="SENTENCIA_2025_55" w:history="1">
        <w:r w:rsidRPr="001D7FA9">
          <w:rPr>
            <w:rStyle w:val="TextoNormalCaracter"/>
          </w:rPr>
          <w:t>55/2025</w:t>
        </w:r>
      </w:hyperlink>
      <w:r>
        <w:t xml:space="preserve">, f. 2; </w:t>
      </w:r>
      <w:hyperlink w:anchor="SENTENCIA_2025_84" w:history="1">
        <w:r w:rsidRPr="001D7FA9">
          <w:rPr>
            <w:rStyle w:val="TextoNormalCaracter"/>
          </w:rPr>
          <w:t>84/2025</w:t>
        </w:r>
      </w:hyperlink>
      <w:r>
        <w:t xml:space="preserve">, ff. 1, 4; </w:t>
      </w:r>
      <w:hyperlink w:anchor="SENTENCIA_2025_95" w:history="1">
        <w:r w:rsidRPr="001D7FA9">
          <w:rPr>
            <w:rStyle w:val="TextoNormalCaracter"/>
          </w:rPr>
          <w:t>95/2025</w:t>
        </w:r>
      </w:hyperlink>
      <w:r>
        <w:t xml:space="preserve">, ff. 1, 2; </w:t>
      </w:r>
      <w:hyperlink w:anchor="SENTENCIA_2025_106" w:history="1">
        <w:r w:rsidRPr="001D7FA9">
          <w:rPr>
            <w:rStyle w:val="TextoNormalCaracter"/>
          </w:rPr>
          <w:t>106/2025</w:t>
        </w:r>
      </w:hyperlink>
      <w:r>
        <w:t xml:space="preserve">, f. 2;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xml:space="preserve">, f. 2; </w:t>
      </w:r>
      <w:hyperlink w:anchor="SENTENCIA_2025_126" w:history="1">
        <w:r w:rsidRPr="001D7FA9">
          <w:rPr>
            <w:rStyle w:val="TextoNormalCaracter"/>
          </w:rPr>
          <w:t>126/2025</w:t>
        </w:r>
      </w:hyperlink>
      <w:r>
        <w:t xml:space="preserve">, ff. 1, 2; </w:t>
      </w:r>
      <w:hyperlink w:anchor="SENTENCIA_2025_133" w:history="1">
        <w:r w:rsidRPr="001D7FA9">
          <w:rPr>
            <w:rStyle w:val="TextoNormalCaracter"/>
          </w:rPr>
          <w:t>133/2025</w:t>
        </w:r>
      </w:hyperlink>
      <w:r>
        <w:t xml:space="preserve">, ff. 1, 2, 4; </w:t>
      </w:r>
      <w:hyperlink w:anchor="SENTENCIA_2025_137" w:history="1">
        <w:r w:rsidRPr="001D7FA9">
          <w:rPr>
            <w:rStyle w:val="TextoNormalCaracter"/>
          </w:rPr>
          <w:t>137/2025</w:t>
        </w:r>
      </w:hyperlink>
      <w:r>
        <w:t>, ff. 1, 14, 20, VP II, VP III, VP IV.</w:t>
      </w:r>
    </w:p>
    <w:p w14:paraId="7FD90B21" w14:textId="44891055" w:rsidR="001D7FA9" w:rsidRDefault="001D7FA9" w:rsidP="001D7FA9">
      <w:pPr>
        <w:pStyle w:val="SangriaIzquierdaArticulo"/>
      </w:pPr>
      <w:r>
        <w:t xml:space="preserve">Autos </w:t>
      </w:r>
      <w:hyperlink w:anchor="AUTO_2025_11" w:history="1">
        <w:r w:rsidRPr="001D7FA9">
          <w:rPr>
            <w:rStyle w:val="TextoNormalCaracter"/>
          </w:rPr>
          <w:t>11/2025</w:t>
        </w:r>
      </w:hyperlink>
      <w:r>
        <w:t xml:space="preserve">, VP; </w:t>
      </w:r>
      <w:hyperlink w:anchor="AUTO_2025_12" w:history="1">
        <w:r w:rsidRPr="001D7FA9">
          <w:rPr>
            <w:rStyle w:val="TextoNormalCaracter"/>
          </w:rPr>
          <w:t>12/2025</w:t>
        </w:r>
      </w:hyperlink>
      <w:r>
        <w:t xml:space="preserve">, VP II; </w:t>
      </w:r>
      <w:hyperlink w:anchor="AUTO_2025_15" w:history="1">
        <w:r w:rsidRPr="001D7FA9">
          <w:rPr>
            <w:rStyle w:val="TextoNormalCaracter"/>
          </w:rPr>
          <w:t>15/2025</w:t>
        </w:r>
      </w:hyperlink>
      <w:r>
        <w:t xml:space="preserve">, VP; </w:t>
      </w:r>
      <w:hyperlink w:anchor="AUTO_2025_20" w:history="1">
        <w:r w:rsidRPr="001D7FA9">
          <w:rPr>
            <w:rStyle w:val="TextoNormalCaracter"/>
          </w:rPr>
          <w:t>20/2025</w:t>
        </w:r>
      </w:hyperlink>
      <w:r>
        <w:t xml:space="preserve">, f. 6; </w:t>
      </w:r>
      <w:hyperlink w:anchor="AUTO_2025_24" w:history="1">
        <w:r w:rsidRPr="001D7FA9">
          <w:rPr>
            <w:rStyle w:val="TextoNormalCaracter"/>
          </w:rPr>
          <w:t>24/2025</w:t>
        </w:r>
      </w:hyperlink>
      <w:r>
        <w:t xml:space="preserve">, f. 1; </w:t>
      </w:r>
      <w:hyperlink w:anchor="AUTO_2025_35" w:history="1">
        <w:r w:rsidRPr="001D7FA9">
          <w:rPr>
            <w:rStyle w:val="TextoNormalCaracter"/>
          </w:rPr>
          <w:t>35/2025</w:t>
        </w:r>
      </w:hyperlink>
      <w:r>
        <w:t xml:space="preserve">, VP II; </w:t>
      </w:r>
      <w:hyperlink w:anchor="AUTO_2025_54" w:history="1">
        <w:r w:rsidRPr="001D7FA9">
          <w:rPr>
            <w:rStyle w:val="TextoNormalCaracter"/>
          </w:rPr>
          <w:t>54/2025</w:t>
        </w:r>
      </w:hyperlink>
      <w:r>
        <w:t xml:space="preserve">, f. 4; </w:t>
      </w:r>
      <w:hyperlink w:anchor="AUTO_2025_65" w:history="1">
        <w:r w:rsidRPr="001D7FA9">
          <w:rPr>
            <w:rStyle w:val="TextoNormalCaracter"/>
          </w:rPr>
          <w:t>65/2025</w:t>
        </w:r>
      </w:hyperlink>
      <w:r>
        <w:t>, VP.</w:t>
      </w:r>
    </w:p>
    <w:p w14:paraId="2FCC9665" w14:textId="5ADA5BCB" w:rsidR="001D7FA9" w:rsidRDefault="001D7FA9" w:rsidP="001D7FA9">
      <w:pPr>
        <w:pStyle w:val="SangriaFrancesaArticulo"/>
      </w:pPr>
      <w:r w:rsidRPr="001D7FA9">
        <w:rPr>
          <w:rStyle w:val="TextoNormalNegritaCaracter"/>
        </w:rPr>
        <w:t>Artículo 24.1.</w:t>
      </w:r>
      <w:r w:rsidRPr="001D7FA9">
        <w:rPr>
          <w:rStyle w:val="TextoNormalCaracter"/>
        </w:rPr>
        <w:t>-</w:t>
      </w:r>
      <w:r>
        <w:t xml:space="preserve"> Sentencias </w:t>
      </w:r>
      <w:hyperlink w:anchor="SENTENCIA_2025_2" w:history="1">
        <w:r w:rsidRPr="001D7FA9">
          <w:rPr>
            <w:rStyle w:val="TextoNormalCaracter"/>
          </w:rPr>
          <w:t>2/2025</w:t>
        </w:r>
      </w:hyperlink>
      <w:r>
        <w:t xml:space="preserve">, ff. 1, 4; </w:t>
      </w:r>
      <w:hyperlink w:anchor="SENTENCIA_2025_3" w:history="1">
        <w:r w:rsidRPr="001D7FA9">
          <w:rPr>
            <w:rStyle w:val="TextoNormalCaracter"/>
          </w:rPr>
          <w:t>3/2025</w:t>
        </w:r>
      </w:hyperlink>
      <w:r>
        <w:t xml:space="preserve">, f. 1; </w:t>
      </w:r>
      <w:hyperlink w:anchor="SENTENCIA_2025_10" w:history="1">
        <w:r w:rsidRPr="001D7FA9">
          <w:rPr>
            <w:rStyle w:val="TextoNormalCaracter"/>
          </w:rPr>
          <w:t>10/2025</w:t>
        </w:r>
      </w:hyperlink>
      <w:r>
        <w:t xml:space="preserve">, f. 1; </w:t>
      </w:r>
      <w:hyperlink w:anchor="SENTENCIA_2025_12" w:history="1">
        <w:r w:rsidRPr="001D7FA9">
          <w:rPr>
            <w:rStyle w:val="TextoNormalCaracter"/>
          </w:rPr>
          <w:t>12/2025</w:t>
        </w:r>
      </w:hyperlink>
      <w:r>
        <w:t xml:space="preserve">, ff. 1, 2, 4, VP I, VP II; </w:t>
      </w:r>
      <w:hyperlink w:anchor="SENTENCIA_2025_13" w:history="1">
        <w:r w:rsidRPr="001D7FA9">
          <w:rPr>
            <w:rStyle w:val="TextoNormalCaracter"/>
          </w:rPr>
          <w:t>13/2025</w:t>
        </w:r>
      </w:hyperlink>
      <w:r>
        <w:t xml:space="preserve">, f. 2; </w:t>
      </w:r>
      <w:hyperlink w:anchor="SENTENCIA_2025_16" w:history="1">
        <w:r w:rsidRPr="001D7FA9">
          <w:rPr>
            <w:rStyle w:val="TextoNormalCaracter"/>
          </w:rPr>
          <w:t>16/2025</w:t>
        </w:r>
      </w:hyperlink>
      <w:r>
        <w:t xml:space="preserve">, ff. 1 a 3; </w:t>
      </w:r>
      <w:hyperlink w:anchor="SENTENCIA_2025_26" w:history="1">
        <w:r w:rsidRPr="001D7FA9">
          <w:rPr>
            <w:rStyle w:val="TextoNormalCaracter"/>
          </w:rPr>
          <w:t>26/2025</w:t>
        </w:r>
      </w:hyperlink>
      <w:r>
        <w:t xml:space="preserve">, ff. 1, 2, 6, VP II; </w:t>
      </w:r>
      <w:hyperlink w:anchor="SENTENCIA_2025_28" w:history="1">
        <w:r w:rsidRPr="001D7FA9">
          <w:rPr>
            <w:rStyle w:val="TextoNormalCaracter"/>
          </w:rPr>
          <w:t>28/2025</w:t>
        </w:r>
      </w:hyperlink>
      <w:r>
        <w:t xml:space="preserve">, ff. 1 a 6; </w:t>
      </w:r>
      <w:hyperlink w:anchor="SENTENCIA_2025_31" w:history="1">
        <w:r w:rsidRPr="001D7FA9">
          <w:rPr>
            <w:rStyle w:val="TextoNormalCaracter"/>
          </w:rPr>
          <w:t>31/2025</w:t>
        </w:r>
      </w:hyperlink>
      <w:r>
        <w:t xml:space="preserve">, ff. 1 a 3, 5, 6; </w:t>
      </w:r>
      <w:hyperlink w:anchor="SENTENCIA_2025_37" w:history="1">
        <w:r w:rsidRPr="001D7FA9">
          <w:rPr>
            <w:rStyle w:val="TextoNormalCaracter"/>
          </w:rPr>
          <w:t>37/2025</w:t>
        </w:r>
      </w:hyperlink>
      <w:r>
        <w:t xml:space="preserve">, ff. 1, 3; </w:t>
      </w:r>
      <w:hyperlink w:anchor="SENTENCIA_2025_41" w:history="1">
        <w:r w:rsidRPr="001D7FA9">
          <w:rPr>
            <w:rStyle w:val="TextoNormalCaracter"/>
          </w:rPr>
          <w:t>41/2025</w:t>
        </w:r>
      </w:hyperlink>
      <w:r>
        <w:t xml:space="preserve">, ff. 1, 2, VP; </w:t>
      </w:r>
      <w:hyperlink w:anchor="SENTENCIA_2025_45" w:history="1">
        <w:r w:rsidRPr="001D7FA9">
          <w:rPr>
            <w:rStyle w:val="TextoNormalCaracter"/>
          </w:rPr>
          <w:t>45/2025</w:t>
        </w:r>
      </w:hyperlink>
      <w:r>
        <w:t xml:space="preserve">, ff. 1 a 3; </w:t>
      </w:r>
      <w:hyperlink w:anchor="SENTENCIA_2025_49" w:history="1">
        <w:r w:rsidRPr="001D7FA9">
          <w:rPr>
            <w:rStyle w:val="TextoNormalCaracter"/>
          </w:rPr>
          <w:t>49/2025</w:t>
        </w:r>
      </w:hyperlink>
      <w:r>
        <w:t xml:space="preserve">, f. único; </w:t>
      </w:r>
      <w:hyperlink w:anchor="SENTENCIA_2025_51" w:history="1">
        <w:r w:rsidRPr="001D7FA9">
          <w:rPr>
            <w:rStyle w:val="TextoNormalCaracter"/>
          </w:rPr>
          <w:t>51/2025</w:t>
        </w:r>
      </w:hyperlink>
      <w:r>
        <w:t xml:space="preserve">, f. 1; </w:t>
      </w:r>
      <w:hyperlink w:anchor="SENTENCIA_2025_54" w:history="1">
        <w:r w:rsidRPr="001D7FA9">
          <w:rPr>
            <w:rStyle w:val="TextoNormalCaracter"/>
          </w:rPr>
          <w:t>54/2025</w:t>
        </w:r>
      </w:hyperlink>
      <w:r>
        <w:t xml:space="preserve">, ff. 1 a 3, VP; </w:t>
      </w:r>
      <w:hyperlink w:anchor="SENTENCIA_2025_55" w:history="1">
        <w:r w:rsidRPr="001D7FA9">
          <w:rPr>
            <w:rStyle w:val="TextoNormalCaracter"/>
          </w:rPr>
          <w:t>55/2025</w:t>
        </w:r>
      </w:hyperlink>
      <w:r>
        <w:t xml:space="preserve">, ff. 1, 2; </w:t>
      </w:r>
      <w:hyperlink w:anchor="SENTENCIA_2025_64" w:history="1">
        <w:r w:rsidRPr="001D7FA9">
          <w:rPr>
            <w:rStyle w:val="TextoNormalCaracter"/>
          </w:rPr>
          <w:t>64/2025</w:t>
        </w:r>
      </w:hyperlink>
      <w:r>
        <w:t xml:space="preserve">, ff. 1, 7; </w:t>
      </w:r>
      <w:hyperlink w:anchor="SENTENCIA_2025_69" w:history="1">
        <w:r w:rsidRPr="001D7FA9">
          <w:rPr>
            <w:rStyle w:val="TextoNormalCaracter"/>
          </w:rPr>
          <w:t>69/2025</w:t>
        </w:r>
      </w:hyperlink>
      <w:r>
        <w:t xml:space="preserve">, ff. 1 a 3; </w:t>
      </w:r>
      <w:hyperlink w:anchor="SENTENCIA_2025_84" w:history="1">
        <w:r w:rsidRPr="001D7FA9">
          <w:rPr>
            <w:rStyle w:val="TextoNormalCaracter"/>
          </w:rPr>
          <w:t>84/2025</w:t>
        </w:r>
      </w:hyperlink>
      <w:r>
        <w:t xml:space="preserve">, ff. 2 a 4, VP I; </w:t>
      </w:r>
      <w:hyperlink w:anchor="SENTENCIA_2025_85" w:history="1">
        <w:r w:rsidRPr="001D7FA9">
          <w:rPr>
            <w:rStyle w:val="TextoNormalCaracter"/>
          </w:rPr>
          <w:t>85/2025</w:t>
        </w:r>
      </w:hyperlink>
      <w:r>
        <w:t xml:space="preserve">, ff. 1 a 4; </w:t>
      </w:r>
      <w:hyperlink w:anchor="SENTENCIA_2025_95" w:history="1">
        <w:r w:rsidRPr="001D7FA9">
          <w:rPr>
            <w:rStyle w:val="TextoNormalCaracter"/>
          </w:rPr>
          <w:t>95/2025</w:t>
        </w:r>
      </w:hyperlink>
      <w:r>
        <w:t xml:space="preserve">, f. 4; </w:t>
      </w:r>
      <w:hyperlink w:anchor="SENTENCIA_2025_99" w:history="1">
        <w:r w:rsidRPr="001D7FA9">
          <w:rPr>
            <w:rStyle w:val="TextoNormalCaracter"/>
          </w:rPr>
          <w:t>99/2025</w:t>
        </w:r>
      </w:hyperlink>
      <w:r>
        <w:t xml:space="preserve">, ff. 1 a 3; </w:t>
      </w:r>
      <w:hyperlink w:anchor="SENTENCIA_2025_105" w:history="1">
        <w:r w:rsidRPr="001D7FA9">
          <w:rPr>
            <w:rStyle w:val="TextoNormalCaracter"/>
          </w:rPr>
          <w:t>105/2025</w:t>
        </w:r>
      </w:hyperlink>
      <w:r>
        <w:t xml:space="preserve">, ff. 1 a 3, VP I, VP II, VP III; </w:t>
      </w:r>
      <w:hyperlink w:anchor="SENTENCIA_2025_106" w:history="1">
        <w:r w:rsidRPr="001D7FA9">
          <w:rPr>
            <w:rStyle w:val="TextoNormalCaracter"/>
          </w:rPr>
          <w:t>106/2025</w:t>
        </w:r>
      </w:hyperlink>
      <w:r>
        <w:t xml:space="preserve">, f. 1; </w:t>
      </w:r>
      <w:hyperlink w:anchor="SENTENCIA_2025_107" w:history="1">
        <w:r w:rsidRPr="001D7FA9">
          <w:rPr>
            <w:rStyle w:val="TextoNormalCaracter"/>
          </w:rPr>
          <w:t>107/2025</w:t>
        </w:r>
      </w:hyperlink>
      <w:r>
        <w:t xml:space="preserve">, ff. 1 a 3; </w:t>
      </w:r>
      <w:hyperlink w:anchor="SENTENCIA_2025_108" w:history="1">
        <w:r w:rsidRPr="001D7FA9">
          <w:rPr>
            <w:rStyle w:val="TextoNormalCaracter"/>
          </w:rPr>
          <w:t>108/2025</w:t>
        </w:r>
      </w:hyperlink>
      <w:r>
        <w:t xml:space="preserve">, f. 2; </w:t>
      </w:r>
      <w:hyperlink w:anchor="SENTENCIA_2025_109" w:history="1">
        <w:r w:rsidRPr="001D7FA9">
          <w:rPr>
            <w:rStyle w:val="TextoNormalCaracter"/>
          </w:rPr>
          <w:t>109/2025</w:t>
        </w:r>
      </w:hyperlink>
      <w:r>
        <w:t xml:space="preserve">, ff. 1 a 3; </w:t>
      </w:r>
      <w:hyperlink w:anchor="SENTENCIA_2025_110" w:history="1">
        <w:r w:rsidRPr="001D7FA9">
          <w:rPr>
            <w:rStyle w:val="TextoNormalCaracter"/>
          </w:rPr>
          <w:t>110/2025</w:t>
        </w:r>
      </w:hyperlink>
      <w:r>
        <w:t xml:space="preserve">, ff. 1, 2, VP I, VP II; </w:t>
      </w:r>
      <w:hyperlink w:anchor="SENTENCIA_2025_111" w:history="1">
        <w:r w:rsidRPr="001D7FA9">
          <w:rPr>
            <w:rStyle w:val="TextoNormalCaracter"/>
          </w:rPr>
          <w:t>111/2025</w:t>
        </w:r>
      </w:hyperlink>
      <w:r>
        <w:t xml:space="preserve">, f. 1; </w:t>
      </w:r>
      <w:hyperlink w:anchor="SENTENCIA_2025_117" w:history="1">
        <w:r w:rsidRPr="001D7FA9">
          <w:rPr>
            <w:rStyle w:val="TextoNormalCaracter"/>
          </w:rPr>
          <w:t>117/2025</w:t>
        </w:r>
      </w:hyperlink>
      <w:r>
        <w:t xml:space="preserve">, ff. 1, 4; </w:t>
      </w:r>
      <w:hyperlink w:anchor="SENTENCIA_2025_121" w:history="1">
        <w:r w:rsidRPr="001D7FA9">
          <w:rPr>
            <w:rStyle w:val="TextoNormalCaracter"/>
          </w:rPr>
          <w:t>121/2025</w:t>
        </w:r>
      </w:hyperlink>
      <w:r>
        <w:t xml:space="preserve">, ff. 1 a 4; </w:t>
      </w:r>
      <w:hyperlink w:anchor="SENTENCIA_2025_126" w:history="1">
        <w:r w:rsidRPr="001D7FA9">
          <w:rPr>
            <w:rStyle w:val="TextoNormalCaracter"/>
          </w:rPr>
          <w:t>126/2025</w:t>
        </w:r>
      </w:hyperlink>
      <w:r>
        <w:t xml:space="preserve">, ff. 1, 3, 4 a 8; </w:t>
      </w:r>
      <w:hyperlink w:anchor="SENTENCIA_2025_133" w:history="1">
        <w:r w:rsidRPr="001D7FA9">
          <w:rPr>
            <w:rStyle w:val="TextoNormalCaracter"/>
          </w:rPr>
          <w:t>133/2025</w:t>
        </w:r>
      </w:hyperlink>
      <w:r>
        <w:t xml:space="preserve">, f. 2; </w:t>
      </w:r>
      <w:hyperlink w:anchor="SENTENCIA_2025_137" w:history="1">
        <w:r w:rsidRPr="001D7FA9">
          <w:rPr>
            <w:rStyle w:val="TextoNormalCaracter"/>
          </w:rPr>
          <w:t>137/2025</w:t>
        </w:r>
      </w:hyperlink>
      <w:r>
        <w:t>, ff. 1, 3, 5, 9, 11, 15 a 17, 19, 20, VP II, VP III, VP IV.</w:t>
      </w:r>
    </w:p>
    <w:p w14:paraId="16B5FBE6" w14:textId="10148915"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8" w:history="1">
        <w:r w:rsidRPr="001D7FA9">
          <w:rPr>
            <w:rStyle w:val="TextoNormalCaracter"/>
          </w:rPr>
          <w:t>8/2025</w:t>
        </w:r>
      </w:hyperlink>
      <w:r>
        <w:t xml:space="preserve">, f. 1, VP; </w:t>
      </w:r>
      <w:hyperlink w:anchor="AUTO_2025_11" w:history="1">
        <w:r w:rsidRPr="001D7FA9">
          <w:rPr>
            <w:rStyle w:val="TextoNormalCaracter"/>
          </w:rPr>
          <w:t>11/2025</w:t>
        </w:r>
      </w:hyperlink>
      <w:r>
        <w:t xml:space="preserve">, VP; </w:t>
      </w:r>
      <w:hyperlink w:anchor="AUTO_2025_31" w:history="1">
        <w:r w:rsidRPr="001D7FA9">
          <w:rPr>
            <w:rStyle w:val="TextoNormalCaracter"/>
          </w:rPr>
          <w:t>31/2025</w:t>
        </w:r>
      </w:hyperlink>
      <w:r>
        <w:t xml:space="preserve">, VP; </w:t>
      </w:r>
      <w:hyperlink w:anchor="AUTO_2025_35" w:history="1">
        <w:r w:rsidRPr="001D7FA9">
          <w:rPr>
            <w:rStyle w:val="TextoNormalCaracter"/>
          </w:rPr>
          <w:t>35/2025</w:t>
        </w:r>
      </w:hyperlink>
      <w:r>
        <w:t>, VP II.</w:t>
      </w:r>
    </w:p>
    <w:p w14:paraId="07E99532" w14:textId="2EEDEEAA" w:rsidR="001D7FA9" w:rsidRDefault="001D7FA9" w:rsidP="001D7FA9">
      <w:pPr>
        <w:pStyle w:val="SangriaFrancesaArticulo"/>
      </w:pPr>
      <w:r w:rsidRPr="001D7FA9">
        <w:rPr>
          <w:rStyle w:val="TextoNormalNegritaCaracter"/>
        </w:rPr>
        <w:t>Artículo 24.2.</w:t>
      </w:r>
      <w:r w:rsidRPr="001D7FA9">
        <w:rPr>
          <w:rStyle w:val="TextoNormalCaracter"/>
        </w:rPr>
        <w:t>-</w:t>
      </w:r>
      <w:r>
        <w:t xml:space="preserve"> Sentencias </w:t>
      </w:r>
      <w:hyperlink w:anchor="SENTENCIA_2025_3" w:history="1">
        <w:r w:rsidRPr="001D7FA9">
          <w:rPr>
            <w:rStyle w:val="TextoNormalCaracter"/>
          </w:rPr>
          <w:t>3/2025</w:t>
        </w:r>
      </w:hyperlink>
      <w:r>
        <w:t xml:space="preserve">, ff. 1, 2; </w:t>
      </w:r>
      <w:hyperlink w:anchor="SENTENCIA_2025_10" w:history="1">
        <w:r w:rsidRPr="001D7FA9">
          <w:rPr>
            <w:rStyle w:val="TextoNormalCaracter"/>
          </w:rPr>
          <w:t>10/2025</w:t>
        </w:r>
      </w:hyperlink>
      <w:r>
        <w:t xml:space="preserve">, f. 1; </w:t>
      </w:r>
      <w:hyperlink w:anchor="SENTENCIA_2025_12" w:history="1">
        <w:r w:rsidRPr="001D7FA9">
          <w:rPr>
            <w:rStyle w:val="TextoNormalCaracter"/>
          </w:rPr>
          <w:t>12/2025</w:t>
        </w:r>
      </w:hyperlink>
      <w:r>
        <w:t xml:space="preserve">, f. 4, VP I; </w:t>
      </w:r>
      <w:hyperlink w:anchor="SENTENCIA_2025_31" w:history="1">
        <w:r w:rsidRPr="001D7FA9">
          <w:rPr>
            <w:rStyle w:val="TextoNormalCaracter"/>
          </w:rPr>
          <w:t>31/2025</w:t>
        </w:r>
      </w:hyperlink>
      <w:r>
        <w:t xml:space="preserve">, f. 3; </w:t>
      </w:r>
      <w:hyperlink w:anchor="SENTENCIA_2025_41" w:history="1">
        <w:r w:rsidRPr="001D7FA9">
          <w:rPr>
            <w:rStyle w:val="TextoNormalCaracter"/>
          </w:rPr>
          <w:t>41/2025</w:t>
        </w:r>
      </w:hyperlink>
      <w:r>
        <w:t xml:space="preserve">, ff. 1 a 3, VP; </w:t>
      </w:r>
      <w:hyperlink w:anchor="SENTENCIA_2025_84" w:history="1">
        <w:r w:rsidRPr="001D7FA9">
          <w:rPr>
            <w:rStyle w:val="TextoNormalCaracter"/>
          </w:rPr>
          <w:t>84/2025</w:t>
        </w:r>
      </w:hyperlink>
      <w:r>
        <w:t xml:space="preserve">, f. 4, VP I; </w:t>
      </w:r>
      <w:hyperlink w:anchor="SENTENCIA_2025_85" w:history="1">
        <w:r w:rsidRPr="001D7FA9">
          <w:rPr>
            <w:rStyle w:val="TextoNormalCaracter"/>
          </w:rPr>
          <w:t>85/2025</w:t>
        </w:r>
      </w:hyperlink>
      <w:r>
        <w:t xml:space="preserve">, ff. 1 a 4; </w:t>
      </w:r>
      <w:hyperlink w:anchor="SENTENCIA_2025_105" w:history="1">
        <w:r w:rsidRPr="001D7FA9">
          <w:rPr>
            <w:rStyle w:val="TextoNormalCaracter"/>
          </w:rPr>
          <w:t>105/2025</w:t>
        </w:r>
      </w:hyperlink>
      <w:r>
        <w:t xml:space="preserve">, f. 1; </w:t>
      </w:r>
      <w:hyperlink w:anchor="SENTENCIA_2025_106" w:history="1">
        <w:r w:rsidRPr="001D7FA9">
          <w:rPr>
            <w:rStyle w:val="TextoNormalCaracter"/>
          </w:rPr>
          <w:t>106/2025</w:t>
        </w:r>
      </w:hyperlink>
      <w:r>
        <w:t xml:space="preserve">, ff. 1, 2; </w:t>
      </w:r>
      <w:hyperlink w:anchor="SENTENCIA_2025_108" w:history="1">
        <w:r w:rsidRPr="001D7FA9">
          <w:rPr>
            <w:rStyle w:val="TextoNormalCaracter"/>
          </w:rPr>
          <w:t>108/2025</w:t>
        </w:r>
      </w:hyperlink>
      <w:r>
        <w:t xml:space="preserve">, f. 2; </w:t>
      </w:r>
      <w:hyperlink w:anchor="SENTENCIA_2025_109" w:history="1">
        <w:r w:rsidRPr="001D7FA9">
          <w:rPr>
            <w:rStyle w:val="TextoNormalCaracter"/>
          </w:rPr>
          <w:t>109/2025</w:t>
        </w:r>
      </w:hyperlink>
      <w:r>
        <w:t xml:space="preserve">, f. 1; </w:t>
      </w:r>
      <w:hyperlink w:anchor="SENTENCIA_2025_117" w:history="1">
        <w:r w:rsidRPr="001D7FA9">
          <w:rPr>
            <w:rStyle w:val="TextoNormalCaracter"/>
          </w:rPr>
          <w:t>117/2025</w:t>
        </w:r>
      </w:hyperlink>
      <w:r>
        <w:t xml:space="preserve">, f. 1; </w:t>
      </w:r>
      <w:hyperlink w:anchor="SENTENCIA_2025_126" w:history="1">
        <w:r w:rsidRPr="001D7FA9">
          <w:rPr>
            <w:rStyle w:val="TextoNormalCaracter"/>
          </w:rPr>
          <w:t>126/2025</w:t>
        </w:r>
      </w:hyperlink>
      <w:r>
        <w:t xml:space="preserve">, f. 3; </w:t>
      </w:r>
      <w:hyperlink w:anchor="SENTENCIA_2025_137" w:history="1">
        <w:r w:rsidRPr="001D7FA9">
          <w:rPr>
            <w:rStyle w:val="TextoNormalCaracter"/>
          </w:rPr>
          <w:t>137/2025</w:t>
        </w:r>
      </w:hyperlink>
      <w:r>
        <w:t>, ff. 1, 20, VP II, VP III, VP IV.</w:t>
      </w:r>
    </w:p>
    <w:p w14:paraId="20F5C339" w14:textId="2C37B851" w:rsidR="001D7FA9" w:rsidRDefault="001D7FA9" w:rsidP="001D7FA9">
      <w:pPr>
        <w:pStyle w:val="SangriaIzquierdaArticulo"/>
      </w:pPr>
      <w:r>
        <w:t xml:space="preserve">Autos </w:t>
      </w:r>
      <w:hyperlink w:anchor="AUTO_2025_8" w:history="1">
        <w:r w:rsidRPr="001D7FA9">
          <w:rPr>
            <w:rStyle w:val="TextoNormalCaracter"/>
          </w:rPr>
          <w:t>8/2025</w:t>
        </w:r>
      </w:hyperlink>
      <w:r>
        <w:t xml:space="preserve">, VP; </w:t>
      </w:r>
      <w:hyperlink w:anchor="AUTO_2025_12" w:history="1">
        <w:r w:rsidRPr="001D7FA9">
          <w:rPr>
            <w:rStyle w:val="TextoNormalCaracter"/>
          </w:rPr>
          <w:t>12/2025</w:t>
        </w:r>
      </w:hyperlink>
      <w:r>
        <w:t xml:space="preserve">, f. 1, VP III; </w:t>
      </w:r>
      <w:hyperlink w:anchor="AUTO_2025_20" w:history="1">
        <w:r w:rsidRPr="001D7FA9">
          <w:rPr>
            <w:rStyle w:val="TextoNormalCaracter"/>
          </w:rPr>
          <w:t>20/2025</w:t>
        </w:r>
      </w:hyperlink>
      <w:r>
        <w:t xml:space="preserve">, f. 1; </w:t>
      </w:r>
      <w:hyperlink w:anchor="AUTO_2025_28" w:history="1">
        <w:r w:rsidRPr="001D7FA9">
          <w:rPr>
            <w:rStyle w:val="TextoNormalCaracter"/>
          </w:rPr>
          <w:t>28/2025</w:t>
        </w:r>
      </w:hyperlink>
      <w:r>
        <w:t xml:space="preserve">, ff. 1, 2, 4, VP; </w:t>
      </w:r>
      <w:hyperlink w:anchor="AUTO_2025_31" w:history="1">
        <w:r w:rsidRPr="001D7FA9">
          <w:rPr>
            <w:rStyle w:val="TextoNormalCaracter"/>
          </w:rPr>
          <w:t>31/2025</w:t>
        </w:r>
      </w:hyperlink>
      <w:r>
        <w:t xml:space="preserve">, f. 2, VP; </w:t>
      </w:r>
      <w:hyperlink w:anchor="AUTO_2025_35" w:history="1">
        <w:r w:rsidRPr="001D7FA9">
          <w:rPr>
            <w:rStyle w:val="TextoNormalCaracter"/>
          </w:rPr>
          <w:t>35/2025</w:t>
        </w:r>
      </w:hyperlink>
      <w:r>
        <w:t xml:space="preserve">, ff. 2, 4, 7, VP I, VP II; </w:t>
      </w:r>
      <w:hyperlink w:anchor="AUTO_2025_65" w:history="1">
        <w:r w:rsidRPr="001D7FA9">
          <w:rPr>
            <w:rStyle w:val="TextoNormalCaracter"/>
          </w:rPr>
          <w:t>65/2025</w:t>
        </w:r>
      </w:hyperlink>
      <w:r>
        <w:t>, f. 4.</w:t>
      </w:r>
    </w:p>
    <w:p w14:paraId="6F256094" w14:textId="7310B769" w:rsidR="001D7FA9" w:rsidRDefault="001D7FA9" w:rsidP="001D7FA9">
      <w:pPr>
        <w:pStyle w:val="SangriaFrancesaArticulo"/>
      </w:pPr>
      <w:r w:rsidRPr="001D7FA9">
        <w:rPr>
          <w:rStyle w:val="TextoNormalNegritaCaracter"/>
        </w:rPr>
        <w:t>Artículo 24.2</w:t>
      </w:r>
      <w:r>
        <w:t xml:space="preserve"> (derecho a la defensa)</w:t>
      </w:r>
      <w:r w:rsidRPr="001D7FA9">
        <w:rPr>
          <w:rStyle w:val="TextoNormalNegritaCaracter"/>
        </w:rPr>
        <w:t>.</w:t>
      </w:r>
      <w:r w:rsidRPr="001D7FA9">
        <w:rPr>
          <w:rStyle w:val="TextoNormalCaracter"/>
        </w:rPr>
        <w:t>-</w:t>
      </w:r>
      <w:r>
        <w:t xml:space="preserve"> Sentencias </w:t>
      </w:r>
      <w:hyperlink w:anchor="SENTENCIA_2025_105" w:history="1">
        <w:r w:rsidRPr="001D7FA9">
          <w:rPr>
            <w:rStyle w:val="TextoNormalCaracter"/>
          </w:rPr>
          <w:t>105/2025</w:t>
        </w:r>
      </w:hyperlink>
      <w:r>
        <w:t xml:space="preserve">, f. 1; </w:t>
      </w:r>
      <w:hyperlink w:anchor="SENTENCIA_2025_107" w:history="1">
        <w:r w:rsidRPr="001D7FA9">
          <w:rPr>
            <w:rStyle w:val="TextoNormalCaracter"/>
          </w:rPr>
          <w:t>107/2025</w:t>
        </w:r>
      </w:hyperlink>
      <w:r>
        <w:t>, ff. 1, 3.</w:t>
      </w:r>
    </w:p>
    <w:p w14:paraId="4FD8DC25" w14:textId="2AB58DB1" w:rsidR="001D7FA9" w:rsidRDefault="001D7FA9" w:rsidP="001D7FA9">
      <w:pPr>
        <w:pStyle w:val="SangriaIzquierdaArticulo"/>
      </w:pPr>
      <w:r>
        <w:t xml:space="preserve">Auto </w:t>
      </w:r>
      <w:hyperlink w:anchor="AUTO_2025_8" w:history="1">
        <w:r w:rsidRPr="001D7FA9">
          <w:rPr>
            <w:rStyle w:val="TextoNormalCaracter"/>
          </w:rPr>
          <w:t>8/2025</w:t>
        </w:r>
      </w:hyperlink>
      <w:r>
        <w:t>, f. 1.</w:t>
      </w:r>
    </w:p>
    <w:p w14:paraId="4FA97599" w14:textId="38A9EABD" w:rsidR="001D7FA9" w:rsidRDefault="001D7FA9" w:rsidP="001D7FA9">
      <w:pPr>
        <w:pStyle w:val="SangriaFrancesaArticulo"/>
      </w:pPr>
      <w:r w:rsidRPr="001D7FA9">
        <w:rPr>
          <w:rStyle w:val="TextoNormalNegritaCaracter"/>
        </w:rPr>
        <w:t>Artículo 24.2</w:t>
      </w:r>
      <w:r>
        <w:t xml:space="preserve"> (derecho a la presunción de inocencia)</w:t>
      </w:r>
      <w:r w:rsidRPr="001D7FA9">
        <w:rPr>
          <w:rStyle w:val="TextoNormalNegritaCaracter"/>
        </w:rPr>
        <w:t>.</w:t>
      </w:r>
      <w:r w:rsidRPr="001D7FA9">
        <w:rPr>
          <w:rStyle w:val="TextoNormalCaracter"/>
        </w:rPr>
        <w:t>-</w:t>
      </w:r>
      <w:r>
        <w:t xml:space="preserve"> Sentencias </w:t>
      </w:r>
      <w:hyperlink w:anchor="SENTENCIA_2025_54" w:history="1">
        <w:r w:rsidRPr="001D7FA9">
          <w:rPr>
            <w:rStyle w:val="TextoNormalCaracter"/>
          </w:rPr>
          <w:t>54/2025</w:t>
        </w:r>
      </w:hyperlink>
      <w:r>
        <w:t xml:space="preserve">, VP; </w:t>
      </w:r>
      <w:hyperlink w:anchor="SENTENCIA_2025_107" w:history="1">
        <w:r w:rsidRPr="001D7FA9">
          <w:rPr>
            <w:rStyle w:val="TextoNormalCaracter"/>
          </w:rPr>
          <w:t>107/2025</w:t>
        </w:r>
      </w:hyperlink>
      <w:r>
        <w:t xml:space="preserve">, ff. 1, 3; </w:t>
      </w:r>
      <w:hyperlink w:anchor="SENTENCIA_2025_108" w:history="1">
        <w:r w:rsidRPr="001D7FA9">
          <w:rPr>
            <w:rStyle w:val="TextoNormalCaracter"/>
          </w:rPr>
          <w:t>108/2025</w:t>
        </w:r>
      </w:hyperlink>
      <w:r>
        <w:t>, ff. 2, 3.</w:t>
      </w:r>
    </w:p>
    <w:p w14:paraId="4589F6C1" w14:textId="06A00682" w:rsidR="001D7FA9" w:rsidRDefault="001D7FA9" w:rsidP="001D7FA9">
      <w:pPr>
        <w:pStyle w:val="SangriaIzquierdaArticulo"/>
      </w:pPr>
      <w:r>
        <w:t xml:space="preserve">Auto </w:t>
      </w:r>
      <w:hyperlink w:anchor="AUTO_2025_8" w:history="1">
        <w:r w:rsidRPr="001D7FA9">
          <w:rPr>
            <w:rStyle w:val="TextoNormalCaracter"/>
          </w:rPr>
          <w:t>8/2025</w:t>
        </w:r>
      </w:hyperlink>
      <w:r>
        <w:t>, VP.</w:t>
      </w:r>
    </w:p>
    <w:p w14:paraId="101FC43E" w14:textId="05D2FECA" w:rsidR="001D7FA9" w:rsidRDefault="001D7FA9" w:rsidP="001D7FA9">
      <w:pPr>
        <w:pStyle w:val="SangriaFrancesaArticulo"/>
      </w:pPr>
      <w:r w:rsidRPr="001D7FA9">
        <w:rPr>
          <w:rStyle w:val="TextoNormalNegritaCaracter"/>
        </w:rPr>
        <w:t>Artículo 24.2</w:t>
      </w:r>
      <w:r>
        <w:t xml:space="preserve"> (derecho a la prueba)</w:t>
      </w:r>
      <w:r w:rsidRPr="001D7FA9">
        <w:rPr>
          <w:rStyle w:val="TextoNormalNegritaCaracter"/>
        </w:rPr>
        <w:t>.</w:t>
      </w:r>
      <w:r w:rsidRPr="001D7FA9">
        <w:rPr>
          <w:rStyle w:val="TextoNormalCaracter"/>
        </w:rPr>
        <w:t>-</w:t>
      </w:r>
      <w:r>
        <w:t xml:space="preserve"> Sentencia </w:t>
      </w:r>
      <w:hyperlink w:anchor="SENTENCIA_2025_107" w:history="1">
        <w:r w:rsidRPr="001D7FA9">
          <w:rPr>
            <w:rStyle w:val="TextoNormalCaracter"/>
          </w:rPr>
          <w:t>107/2025</w:t>
        </w:r>
      </w:hyperlink>
      <w:r>
        <w:t>, ff. 1, 3.</w:t>
      </w:r>
    </w:p>
    <w:p w14:paraId="3038E541" w14:textId="586C75E0" w:rsidR="001D7FA9" w:rsidRDefault="001D7FA9" w:rsidP="001D7FA9">
      <w:pPr>
        <w:pStyle w:val="SangriaFrancesaArticulo"/>
      </w:pPr>
      <w:r w:rsidRPr="001D7FA9">
        <w:rPr>
          <w:rStyle w:val="TextoNormalNegritaCaracter"/>
        </w:rPr>
        <w:t>Artículo 24.2</w:t>
      </w:r>
      <w:r>
        <w:t xml:space="preserve"> (derecho a no confesarse culpable)</w:t>
      </w:r>
      <w:r w:rsidRPr="001D7FA9">
        <w:rPr>
          <w:rStyle w:val="TextoNormalNegritaCaracter"/>
        </w:rPr>
        <w:t>.</w:t>
      </w:r>
      <w:r w:rsidRPr="001D7FA9">
        <w:rPr>
          <w:rStyle w:val="TextoNormalCaracter"/>
        </w:rPr>
        <w:t>-</w:t>
      </w:r>
      <w:r>
        <w:t xml:space="preserve"> Sentencia </w:t>
      </w:r>
      <w:hyperlink w:anchor="SENTENCIA_2025_107" w:history="1">
        <w:r w:rsidRPr="001D7FA9">
          <w:rPr>
            <w:rStyle w:val="TextoNormalCaracter"/>
          </w:rPr>
          <w:t>107/2025</w:t>
        </w:r>
      </w:hyperlink>
      <w:r>
        <w:t>, ff. 1, 3.</w:t>
      </w:r>
    </w:p>
    <w:p w14:paraId="394483B7" w14:textId="5A2B7088" w:rsidR="001D7FA9" w:rsidRDefault="001D7FA9" w:rsidP="001D7FA9">
      <w:pPr>
        <w:pStyle w:val="SangriaFrancesaArticulo"/>
      </w:pPr>
      <w:r w:rsidRPr="001D7FA9">
        <w:rPr>
          <w:rStyle w:val="TextoNormalNegritaCaracter"/>
        </w:rPr>
        <w:t>Artículo 24.2</w:t>
      </w:r>
      <w:r>
        <w:t xml:space="preserve"> (derecho a no declarar contra sí mismo)</w:t>
      </w:r>
      <w:r w:rsidRPr="001D7FA9">
        <w:rPr>
          <w:rStyle w:val="TextoNormalNegritaCaracter"/>
        </w:rPr>
        <w:t>.</w:t>
      </w:r>
      <w:r w:rsidRPr="001D7FA9">
        <w:rPr>
          <w:rStyle w:val="TextoNormalCaracter"/>
        </w:rPr>
        <w:t>-</w:t>
      </w:r>
      <w:r>
        <w:t xml:space="preserve"> Sentencia </w:t>
      </w:r>
      <w:hyperlink w:anchor="SENTENCIA_2025_107" w:history="1">
        <w:r w:rsidRPr="001D7FA9">
          <w:rPr>
            <w:rStyle w:val="TextoNormalCaracter"/>
          </w:rPr>
          <w:t>107/2025</w:t>
        </w:r>
      </w:hyperlink>
      <w:r>
        <w:t>, ff. 1, 3.</w:t>
      </w:r>
    </w:p>
    <w:p w14:paraId="5A8CED1F" w14:textId="4B86FFAB" w:rsidR="001D7FA9" w:rsidRDefault="001D7FA9" w:rsidP="001D7FA9">
      <w:pPr>
        <w:pStyle w:val="SangriaFrancesaArticulo"/>
      </w:pPr>
      <w:r w:rsidRPr="001D7FA9">
        <w:rPr>
          <w:rStyle w:val="TextoNormalNegritaCaracter"/>
        </w:rPr>
        <w:t>Artículo 24.2</w:t>
      </w:r>
      <w:r>
        <w:t xml:space="preserve"> (derecho a ser informado de la acusación)</w:t>
      </w:r>
      <w:r w:rsidRPr="001D7FA9">
        <w:rPr>
          <w:rStyle w:val="TextoNormalNegritaCaracter"/>
        </w:rPr>
        <w:t>.</w:t>
      </w:r>
      <w:r w:rsidRPr="001D7FA9">
        <w:rPr>
          <w:rStyle w:val="TextoNormalCaracter"/>
        </w:rPr>
        <w:t>-</w:t>
      </w:r>
      <w:r>
        <w:t xml:space="preserve"> Sentencia </w:t>
      </w:r>
      <w:hyperlink w:anchor="SENTENCIA_2025_107" w:history="1">
        <w:r w:rsidRPr="001D7FA9">
          <w:rPr>
            <w:rStyle w:val="TextoNormalCaracter"/>
          </w:rPr>
          <w:t>107/2025</w:t>
        </w:r>
      </w:hyperlink>
      <w:r>
        <w:t>, ff. 1, 3.</w:t>
      </w:r>
    </w:p>
    <w:p w14:paraId="6A9CBE02" w14:textId="230EFAC9" w:rsidR="001D7FA9" w:rsidRDefault="001D7FA9" w:rsidP="001D7FA9">
      <w:pPr>
        <w:pStyle w:val="SangriaFrancesaArticulo"/>
      </w:pPr>
      <w:r w:rsidRPr="001D7FA9">
        <w:rPr>
          <w:rStyle w:val="TextoNormalNegritaCaracter"/>
        </w:rPr>
        <w:t>Artículo 24.2</w:t>
      </w:r>
      <w:r>
        <w:t xml:space="preserve"> (derecho a un juez imparcial)</w:t>
      </w:r>
      <w:r w:rsidRPr="001D7FA9">
        <w:rPr>
          <w:rStyle w:val="TextoNormalNegritaCaracter"/>
        </w:rPr>
        <w:t>.</w:t>
      </w:r>
      <w:r w:rsidRPr="001D7FA9">
        <w:rPr>
          <w:rStyle w:val="TextoNormalCaracter"/>
        </w:rPr>
        <w:t>-</w:t>
      </w:r>
      <w:r>
        <w:t xml:space="preserve"> Sentencia </w:t>
      </w:r>
      <w:hyperlink w:anchor="SENTENCIA_2025_13" w:history="1">
        <w:r w:rsidRPr="001D7FA9">
          <w:rPr>
            <w:rStyle w:val="TextoNormalCaracter"/>
          </w:rPr>
          <w:t>13/2025</w:t>
        </w:r>
      </w:hyperlink>
      <w:r>
        <w:t>, f. 1.</w:t>
      </w:r>
    </w:p>
    <w:p w14:paraId="15BE2076" w14:textId="397AB324" w:rsidR="001D7FA9" w:rsidRDefault="001D7FA9" w:rsidP="001D7FA9">
      <w:pPr>
        <w:pStyle w:val="SangriaFrancesaArticulo"/>
      </w:pPr>
      <w:r w:rsidRPr="001D7FA9">
        <w:rPr>
          <w:rStyle w:val="TextoNormalNegritaCaracter"/>
        </w:rPr>
        <w:t>Artículo 24.2</w:t>
      </w:r>
      <w:r>
        <w:t xml:space="preserve"> (derecho a un proceso con todas las garantías)</w:t>
      </w:r>
      <w:r w:rsidRPr="001D7FA9">
        <w:rPr>
          <w:rStyle w:val="TextoNormalNegritaCaracter"/>
        </w:rPr>
        <w:t>.</w:t>
      </w:r>
      <w:r w:rsidRPr="001D7FA9">
        <w:rPr>
          <w:rStyle w:val="TextoNormalCaracter"/>
        </w:rPr>
        <w:t>-</w:t>
      </w:r>
      <w:r>
        <w:t xml:space="preserve"> Sentencias </w:t>
      </w:r>
      <w:hyperlink w:anchor="SENTENCIA_2025_105" w:history="1">
        <w:r w:rsidRPr="001D7FA9">
          <w:rPr>
            <w:rStyle w:val="TextoNormalCaracter"/>
          </w:rPr>
          <w:t>105/2025</w:t>
        </w:r>
      </w:hyperlink>
      <w:r>
        <w:t xml:space="preserve">, ff. 1, 3; </w:t>
      </w:r>
      <w:hyperlink w:anchor="SENTENCIA_2025_107" w:history="1">
        <w:r w:rsidRPr="001D7FA9">
          <w:rPr>
            <w:rStyle w:val="TextoNormalCaracter"/>
          </w:rPr>
          <w:t>107/2025</w:t>
        </w:r>
      </w:hyperlink>
      <w:r>
        <w:t xml:space="preserve">, ff. 2, 3; </w:t>
      </w:r>
      <w:hyperlink w:anchor="SENTENCIA_2025_108" w:history="1">
        <w:r w:rsidRPr="001D7FA9">
          <w:rPr>
            <w:rStyle w:val="TextoNormalCaracter"/>
          </w:rPr>
          <w:t>108/2025</w:t>
        </w:r>
      </w:hyperlink>
      <w:r>
        <w:t xml:space="preserve">, f. 2; </w:t>
      </w:r>
      <w:hyperlink w:anchor="SENTENCIA_2025_110" w:history="1">
        <w:r w:rsidRPr="001D7FA9">
          <w:rPr>
            <w:rStyle w:val="TextoNormalCaracter"/>
          </w:rPr>
          <w:t>110/2025</w:t>
        </w:r>
      </w:hyperlink>
      <w:r>
        <w:t>, ff. 1, 2, VP I, VP II.</w:t>
      </w:r>
    </w:p>
    <w:p w14:paraId="4AB88BE1" w14:textId="1C271164" w:rsidR="001D7FA9" w:rsidRDefault="001D7FA9" w:rsidP="001D7FA9">
      <w:pPr>
        <w:pStyle w:val="SangriaIzquierdaArticulo"/>
      </w:pPr>
      <w:r>
        <w:t xml:space="preserve">Auto </w:t>
      </w:r>
      <w:hyperlink w:anchor="AUTO_2025_8" w:history="1">
        <w:r w:rsidRPr="001D7FA9">
          <w:rPr>
            <w:rStyle w:val="TextoNormalCaracter"/>
          </w:rPr>
          <w:t>8/2025</w:t>
        </w:r>
      </w:hyperlink>
      <w:r>
        <w:t>, f. 1, VP.</w:t>
      </w:r>
    </w:p>
    <w:p w14:paraId="3092C7D4" w14:textId="79B6D3F3" w:rsidR="001D7FA9" w:rsidRDefault="001D7FA9" w:rsidP="001D7FA9">
      <w:pPr>
        <w:pStyle w:val="SangriaFrancesaArticulo"/>
      </w:pPr>
      <w:r w:rsidRPr="001D7FA9">
        <w:rPr>
          <w:rStyle w:val="TextoNormalNegritaCaracter"/>
        </w:rPr>
        <w:t>Artículo 24.2</w:t>
      </w:r>
      <w:r>
        <w:t xml:space="preserve"> (derecho al juez ordinario predeterminado por la ley)</w:t>
      </w:r>
      <w:r w:rsidRPr="001D7FA9">
        <w:rPr>
          <w:rStyle w:val="TextoNormalNegritaCaracter"/>
        </w:rPr>
        <w:t>.</w:t>
      </w:r>
      <w:r w:rsidRPr="001D7FA9">
        <w:rPr>
          <w:rStyle w:val="TextoNormalCaracter"/>
        </w:rPr>
        <w:t>-</w:t>
      </w:r>
      <w:r>
        <w:t xml:space="preserve"> Sentencia </w:t>
      </w:r>
      <w:hyperlink w:anchor="SENTENCIA_2025_13" w:history="1">
        <w:r w:rsidRPr="001D7FA9">
          <w:rPr>
            <w:rStyle w:val="TextoNormalCaracter"/>
          </w:rPr>
          <w:t>13/2025</w:t>
        </w:r>
      </w:hyperlink>
      <w:r>
        <w:t>, ff. 1, 2, 4.</w:t>
      </w:r>
    </w:p>
    <w:p w14:paraId="5432CF6B" w14:textId="13B1B32C" w:rsidR="001D7FA9" w:rsidRDefault="001D7FA9" w:rsidP="001D7FA9">
      <w:pPr>
        <w:pStyle w:val="SangriaIzquierdaArticulo"/>
      </w:pPr>
      <w:r>
        <w:t xml:space="preserve">Auto </w:t>
      </w:r>
      <w:hyperlink w:anchor="AUTO_2025_8" w:history="1">
        <w:r w:rsidRPr="001D7FA9">
          <w:rPr>
            <w:rStyle w:val="TextoNormalCaracter"/>
          </w:rPr>
          <w:t>8/2025</w:t>
        </w:r>
      </w:hyperlink>
      <w:r>
        <w:t>, f. 1.</w:t>
      </w:r>
    </w:p>
    <w:p w14:paraId="0F13E5F4" w14:textId="636330BF" w:rsidR="001D7FA9" w:rsidRDefault="001D7FA9" w:rsidP="001D7FA9">
      <w:pPr>
        <w:pStyle w:val="SangriaFrancesaArticulo"/>
      </w:pPr>
      <w:r w:rsidRPr="001D7FA9">
        <w:rPr>
          <w:rStyle w:val="TextoNormalNegritaCaracter"/>
        </w:rPr>
        <w:t>Artículo 24.2 párrafo 1.</w:t>
      </w:r>
      <w:r w:rsidRPr="001D7FA9">
        <w:rPr>
          <w:rStyle w:val="TextoNormalCaracter"/>
        </w:rPr>
        <w:t>-</w:t>
      </w:r>
      <w:r>
        <w:t xml:space="preserve"> Sentencia </w:t>
      </w:r>
      <w:hyperlink w:anchor="SENTENCIA_2025_41" w:history="1">
        <w:r w:rsidRPr="001D7FA9">
          <w:rPr>
            <w:rStyle w:val="TextoNormalCaracter"/>
          </w:rPr>
          <w:t>41/2025</w:t>
        </w:r>
      </w:hyperlink>
      <w:r>
        <w:t>, f. 2.</w:t>
      </w:r>
    </w:p>
    <w:p w14:paraId="44320E6A" w14:textId="05210731" w:rsidR="001D7FA9" w:rsidRDefault="001D7FA9" w:rsidP="001D7FA9">
      <w:pPr>
        <w:pStyle w:val="SangriaFrancesaArticulo"/>
      </w:pPr>
      <w:r w:rsidRPr="001D7FA9">
        <w:rPr>
          <w:rStyle w:val="TextoNormalNegritaCaracter"/>
        </w:rPr>
        <w:t>Artículo 24.2 párrafo 2.</w:t>
      </w:r>
      <w:r w:rsidRPr="001D7FA9">
        <w:rPr>
          <w:rStyle w:val="TextoNormalCaracter"/>
        </w:rPr>
        <w:t>-</w:t>
      </w:r>
      <w:r>
        <w:t xml:space="preserve"> Sentencia </w:t>
      </w:r>
      <w:hyperlink w:anchor="SENTENCIA_2025_41" w:history="1">
        <w:r w:rsidRPr="001D7FA9">
          <w:rPr>
            <w:rStyle w:val="TextoNormalCaracter"/>
          </w:rPr>
          <w:t>41/2025</w:t>
        </w:r>
      </w:hyperlink>
      <w:r>
        <w:t>, ff. 1, 2, VP.</w:t>
      </w:r>
    </w:p>
    <w:p w14:paraId="4F755FC3" w14:textId="7B3B98BE" w:rsidR="001D7FA9" w:rsidRDefault="001D7FA9" w:rsidP="001D7FA9">
      <w:pPr>
        <w:pStyle w:val="SangriaFrancesaArticulo"/>
      </w:pPr>
      <w:r w:rsidRPr="001D7FA9">
        <w:rPr>
          <w:rStyle w:val="TextoNormalNegritaCaracter"/>
        </w:rPr>
        <w:t>Artículo 24.2, inciso final.</w:t>
      </w:r>
      <w:r w:rsidRPr="001D7FA9">
        <w:rPr>
          <w:rStyle w:val="TextoNormalCaracter"/>
        </w:rPr>
        <w:t>-</w:t>
      </w:r>
      <w:r>
        <w:t xml:space="preserve"> Sentencia </w:t>
      </w:r>
      <w:hyperlink w:anchor="SENTENCIA_2025_41" w:history="1">
        <w:r w:rsidRPr="001D7FA9">
          <w:rPr>
            <w:rStyle w:val="TextoNormalCaracter"/>
          </w:rPr>
          <w:t>41/2025</w:t>
        </w:r>
      </w:hyperlink>
      <w:r>
        <w:t>, VP.</w:t>
      </w:r>
    </w:p>
    <w:p w14:paraId="32E84AFD" w14:textId="7721D67F" w:rsidR="001D7FA9" w:rsidRDefault="001D7FA9" w:rsidP="001D7FA9">
      <w:pPr>
        <w:pStyle w:val="SangriaFrancesaArticulo"/>
      </w:pPr>
      <w:r w:rsidRPr="001D7FA9">
        <w:rPr>
          <w:rStyle w:val="TextoNormalNegritaCaracter"/>
        </w:rPr>
        <w:t>Artículo 25.</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95" w:history="1">
        <w:r w:rsidRPr="001D7FA9">
          <w:rPr>
            <w:rStyle w:val="TextoNormalCaracter"/>
          </w:rPr>
          <w:t>95/2025</w:t>
        </w:r>
      </w:hyperlink>
      <w:r>
        <w:t xml:space="preserve">, ff. 1, 2;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xml:space="preserve">, f. 2; </w:t>
      </w:r>
      <w:hyperlink w:anchor="SENTENCIA_2025_117" w:history="1">
        <w:r w:rsidRPr="001D7FA9">
          <w:rPr>
            <w:rStyle w:val="TextoNormalCaracter"/>
          </w:rPr>
          <w:t>117/2025</w:t>
        </w:r>
      </w:hyperlink>
      <w:r>
        <w:t xml:space="preserve">, f. 1; </w:t>
      </w:r>
      <w:hyperlink w:anchor="SENTENCIA_2025_137" w:history="1">
        <w:r w:rsidRPr="001D7FA9">
          <w:rPr>
            <w:rStyle w:val="TextoNormalCaracter"/>
          </w:rPr>
          <w:t>137/2025</w:t>
        </w:r>
      </w:hyperlink>
      <w:r>
        <w:t>, f. 5, VP IV.</w:t>
      </w:r>
    </w:p>
    <w:p w14:paraId="6CCA5642" w14:textId="0F986FC6" w:rsidR="001D7FA9" w:rsidRDefault="001D7FA9" w:rsidP="001D7FA9">
      <w:pPr>
        <w:pStyle w:val="SangriaIzquierdaArticulo"/>
      </w:pPr>
      <w:r>
        <w:t xml:space="preserve">Auto </w:t>
      </w:r>
      <w:hyperlink w:anchor="AUTO_2025_8" w:history="1">
        <w:r w:rsidRPr="001D7FA9">
          <w:rPr>
            <w:rStyle w:val="TextoNormalCaracter"/>
          </w:rPr>
          <w:t>8/2025</w:t>
        </w:r>
      </w:hyperlink>
      <w:r>
        <w:t>, VP.</w:t>
      </w:r>
    </w:p>
    <w:p w14:paraId="0274290E" w14:textId="2FE8A2DB" w:rsidR="001D7FA9" w:rsidRDefault="001D7FA9" w:rsidP="001D7FA9">
      <w:pPr>
        <w:pStyle w:val="SangriaFrancesaArticulo"/>
      </w:pPr>
      <w:r w:rsidRPr="001D7FA9">
        <w:rPr>
          <w:rStyle w:val="TextoNormalNegritaCaracter"/>
        </w:rPr>
        <w:t>Artículo 25.1.</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51" w:history="1">
        <w:r w:rsidRPr="001D7FA9">
          <w:rPr>
            <w:rStyle w:val="TextoNormalCaracter"/>
          </w:rPr>
          <w:t>51/2025</w:t>
        </w:r>
      </w:hyperlink>
      <w:r>
        <w:t xml:space="preserve">, ff. 1 a 4; </w:t>
      </w:r>
      <w:hyperlink w:anchor="SENTENCIA_2025_111" w:history="1">
        <w:r w:rsidRPr="001D7FA9">
          <w:rPr>
            <w:rStyle w:val="TextoNormalCaracter"/>
          </w:rPr>
          <w:t>111/2025</w:t>
        </w:r>
      </w:hyperlink>
      <w:r>
        <w:t xml:space="preserve">, ff. 1 a 3; </w:t>
      </w:r>
      <w:hyperlink w:anchor="SENTENCIA_2025_117" w:history="1">
        <w:r w:rsidRPr="001D7FA9">
          <w:rPr>
            <w:rStyle w:val="TextoNormalCaracter"/>
          </w:rPr>
          <w:t>117/2025</w:t>
        </w:r>
      </w:hyperlink>
      <w:r>
        <w:t xml:space="preserve">, ff. 1, 4; </w:t>
      </w:r>
      <w:hyperlink w:anchor="SENTENCIA_2025_133" w:history="1">
        <w:r w:rsidRPr="001D7FA9">
          <w:rPr>
            <w:rStyle w:val="TextoNormalCaracter"/>
          </w:rPr>
          <w:t>133/2025</w:t>
        </w:r>
      </w:hyperlink>
      <w:r>
        <w:t xml:space="preserve">, ff. 1, 2, 4; </w:t>
      </w:r>
      <w:hyperlink w:anchor="SENTENCIA_2025_137" w:history="1">
        <w:r w:rsidRPr="001D7FA9">
          <w:rPr>
            <w:rStyle w:val="TextoNormalCaracter"/>
          </w:rPr>
          <w:t>137/2025</w:t>
        </w:r>
      </w:hyperlink>
      <w:r>
        <w:t>, ff. 1, 2, 5, 12 a 14, 18, VP I, VP II, VP III, VP IV.</w:t>
      </w:r>
    </w:p>
    <w:p w14:paraId="3503DA1E" w14:textId="79CFB89A" w:rsidR="001D7FA9" w:rsidRDefault="001D7FA9" w:rsidP="001D7FA9">
      <w:pPr>
        <w:pStyle w:val="SangriaIzquierdaArticulo"/>
      </w:pPr>
      <w:r>
        <w:t xml:space="preserve">Auto </w:t>
      </w:r>
      <w:hyperlink w:anchor="AUTO_2025_8" w:history="1">
        <w:r w:rsidRPr="001D7FA9">
          <w:rPr>
            <w:rStyle w:val="TextoNormalCaracter"/>
          </w:rPr>
          <w:t>8/2025</w:t>
        </w:r>
      </w:hyperlink>
      <w:r>
        <w:t>, VP.</w:t>
      </w:r>
    </w:p>
    <w:p w14:paraId="426E27BA" w14:textId="6C07FFA0" w:rsidR="001D7FA9" w:rsidRDefault="001D7FA9" w:rsidP="001D7FA9">
      <w:pPr>
        <w:pStyle w:val="SangriaFrancesaArticulo"/>
      </w:pPr>
      <w:r w:rsidRPr="001D7FA9">
        <w:rPr>
          <w:rStyle w:val="TextoNormalNegritaCaracter"/>
        </w:rPr>
        <w:t>Artículo 25.2.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549D9D4" w14:textId="64A86889" w:rsidR="001D7FA9" w:rsidRDefault="001D7FA9" w:rsidP="001D7FA9">
      <w:pPr>
        <w:pStyle w:val="SangriaFrancesaArticulo"/>
      </w:pPr>
      <w:r w:rsidRPr="001D7FA9">
        <w:rPr>
          <w:rStyle w:val="TextoNormalNegritaCaracter"/>
        </w:rPr>
        <w:t>Artículo 25.3.</w:t>
      </w:r>
      <w:r w:rsidRPr="001D7FA9">
        <w:rPr>
          <w:rStyle w:val="TextoNormalCaracter"/>
        </w:rPr>
        <w:t>-</w:t>
      </w:r>
      <w:r>
        <w:t xml:space="preserve"> Auto </w:t>
      </w:r>
      <w:hyperlink w:anchor="AUTO_2025_8" w:history="1">
        <w:r w:rsidRPr="001D7FA9">
          <w:rPr>
            <w:rStyle w:val="TextoNormalCaracter"/>
          </w:rPr>
          <w:t>8/2025</w:t>
        </w:r>
      </w:hyperlink>
      <w:r>
        <w:t>, VP.</w:t>
      </w:r>
    </w:p>
    <w:p w14:paraId="233CD1D8" w14:textId="01B785F4" w:rsidR="001D7FA9" w:rsidRDefault="001D7FA9" w:rsidP="001D7FA9">
      <w:pPr>
        <w:pStyle w:val="SangriaFrancesaArticulo"/>
      </w:pPr>
      <w:r w:rsidRPr="001D7FA9">
        <w:rPr>
          <w:rStyle w:val="TextoNormalNegritaCaracter"/>
        </w:rPr>
        <w:t>Artículo 27.</w:t>
      </w:r>
      <w:r w:rsidRPr="001D7FA9">
        <w:rPr>
          <w:rStyle w:val="TextoNormalCaracter"/>
        </w:rPr>
        <w:t>-</w:t>
      </w:r>
      <w:r>
        <w:t xml:space="preserve"> Sentencia </w:t>
      </w:r>
      <w:hyperlink w:anchor="SENTENCIA_2025_82" w:history="1">
        <w:r w:rsidRPr="001D7FA9">
          <w:rPr>
            <w:rStyle w:val="TextoNormalCaracter"/>
          </w:rPr>
          <w:t>82/2025</w:t>
        </w:r>
      </w:hyperlink>
      <w:r>
        <w:t>, ff. 4, 8.</w:t>
      </w:r>
    </w:p>
    <w:p w14:paraId="5225A60E" w14:textId="673B5672" w:rsidR="001D7FA9" w:rsidRDefault="001D7FA9" w:rsidP="001D7FA9">
      <w:pPr>
        <w:pStyle w:val="SangriaIzquierdaArticulo"/>
      </w:pPr>
      <w:r>
        <w:t xml:space="preserve">Auto </w:t>
      </w:r>
      <w:hyperlink w:anchor="AUTO_2025_64" w:history="1">
        <w:r w:rsidRPr="001D7FA9">
          <w:rPr>
            <w:rStyle w:val="TextoNormalCaracter"/>
          </w:rPr>
          <w:t>64/2025</w:t>
        </w:r>
      </w:hyperlink>
      <w:r>
        <w:t>, f. 3.</w:t>
      </w:r>
    </w:p>
    <w:p w14:paraId="085C3F21" w14:textId="050AE13C" w:rsidR="001D7FA9" w:rsidRDefault="001D7FA9" w:rsidP="001D7FA9">
      <w:pPr>
        <w:pStyle w:val="SangriaFrancesaArticulo"/>
      </w:pPr>
      <w:r w:rsidRPr="001D7FA9">
        <w:rPr>
          <w:rStyle w:val="TextoNormalNegritaCaracter"/>
        </w:rPr>
        <w:t>Artículo 27.1.</w:t>
      </w:r>
      <w:r w:rsidRPr="001D7FA9">
        <w:rPr>
          <w:rStyle w:val="TextoNormalCaracter"/>
        </w:rPr>
        <w:t>-</w:t>
      </w:r>
      <w:r>
        <w:t xml:space="preserve"> Sentencia </w:t>
      </w:r>
      <w:hyperlink w:anchor="SENTENCIA_2025_119" w:history="1">
        <w:r w:rsidRPr="001D7FA9">
          <w:rPr>
            <w:rStyle w:val="TextoNormalCaracter"/>
          </w:rPr>
          <w:t>119/2025</w:t>
        </w:r>
      </w:hyperlink>
      <w:r>
        <w:t>, f. 4.</w:t>
      </w:r>
    </w:p>
    <w:p w14:paraId="5086FAAC" w14:textId="6DC6861D" w:rsidR="001D7FA9" w:rsidRDefault="001D7FA9" w:rsidP="001D7FA9">
      <w:pPr>
        <w:pStyle w:val="SangriaFrancesaArticulo"/>
      </w:pPr>
      <w:r w:rsidRPr="001D7FA9">
        <w:rPr>
          <w:rStyle w:val="TextoNormalNegritaCaracter"/>
        </w:rPr>
        <w:t>Artículo 27.3.</w:t>
      </w:r>
      <w:r w:rsidRPr="001D7FA9">
        <w:rPr>
          <w:rStyle w:val="TextoNormalCaracter"/>
        </w:rPr>
        <w:t>-</w:t>
      </w:r>
      <w:r>
        <w:t xml:space="preserve"> Sentencia </w:t>
      </w:r>
      <w:hyperlink w:anchor="SENTENCIA_2025_119" w:history="1">
        <w:r w:rsidRPr="001D7FA9">
          <w:rPr>
            <w:rStyle w:val="TextoNormalCaracter"/>
          </w:rPr>
          <w:t>119/2025</w:t>
        </w:r>
      </w:hyperlink>
      <w:r>
        <w:t>, ff. 1, 3, 4, 7.</w:t>
      </w:r>
    </w:p>
    <w:p w14:paraId="6C903D2C" w14:textId="6D399873" w:rsidR="001D7FA9" w:rsidRDefault="001D7FA9" w:rsidP="001D7FA9">
      <w:pPr>
        <w:pStyle w:val="SangriaFrancesaArticulo"/>
      </w:pPr>
      <w:r w:rsidRPr="001D7FA9">
        <w:rPr>
          <w:rStyle w:val="TextoNormalNegritaCaracter"/>
        </w:rPr>
        <w:t>Artículo 29.1.</w:t>
      </w:r>
      <w:r w:rsidRPr="001D7FA9">
        <w:rPr>
          <w:rStyle w:val="TextoNormalCaracter"/>
        </w:rPr>
        <w:t>-</w:t>
      </w:r>
      <w:r>
        <w:t xml:space="preserve"> Auto </w:t>
      </w:r>
      <w:hyperlink w:anchor="AUTO_2025_7" w:history="1">
        <w:r w:rsidRPr="001D7FA9">
          <w:rPr>
            <w:rStyle w:val="TextoNormalCaracter"/>
          </w:rPr>
          <w:t>7/2025</w:t>
        </w:r>
      </w:hyperlink>
      <w:r>
        <w:t>, f. único.</w:t>
      </w:r>
    </w:p>
    <w:p w14:paraId="6C9B118A" w14:textId="5F49BC5C"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Auto </w:t>
      </w:r>
      <w:hyperlink w:anchor="AUTO_2025_59" w:history="1">
        <w:r w:rsidRPr="001D7FA9">
          <w:rPr>
            <w:rStyle w:val="TextoNormalCaracter"/>
          </w:rPr>
          <w:t>59/2025</w:t>
        </w:r>
      </w:hyperlink>
      <w:r>
        <w:t>, f. 4.</w:t>
      </w:r>
    </w:p>
    <w:p w14:paraId="6B8D205E" w14:textId="18E4B3A9"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Sentencias </w:t>
      </w:r>
      <w:hyperlink w:anchor="SENTENCIA_2025_98" w:history="1">
        <w:r w:rsidRPr="001D7FA9">
          <w:rPr>
            <w:rStyle w:val="TextoNormalCaracter"/>
          </w:rPr>
          <w:t>98/2025</w:t>
        </w:r>
      </w:hyperlink>
      <w:r>
        <w:t xml:space="preserve">, ff. 1 a 3; </w:t>
      </w:r>
      <w:hyperlink w:anchor="SENTENCIA_2025_137" w:history="1">
        <w:r w:rsidRPr="001D7FA9">
          <w:rPr>
            <w:rStyle w:val="TextoNormalCaracter"/>
          </w:rPr>
          <w:t>137/2025</w:t>
        </w:r>
      </w:hyperlink>
      <w:r>
        <w:t>, VP IV.</w:t>
      </w:r>
    </w:p>
    <w:p w14:paraId="59A9CEE9" w14:textId="31FCC3A4" w:rsidR="001D7FA9" w:rsidRDefault="001D7FA9" w:rsidP="001D7FA9">
      <w:pPr>
        <w:pStyle w:val="SangriaIzquierdaArticulo"/>
      </w:pPr>
      <w:r>
        <w:t xml:space="preserve">Auto </w:t>
      </w:r>
      <w:hyperlink w:anchor="AUTO_2025_59" w:history="1">
        <w:r w:rsidRPr="001D7FA9">
          <w:rPr>
            <w:rStyle w:val="TextoNormalCaracter"/>
          </w:rPr>
          <w:t>59/2025</w:t>
        </w:r>
      </w:hyperlink>
      <w:r>
        <w:t>, f. 4.</w:t>
      </w:r>
    </w:p>
    <w:p w14:paraId="501FDBE7" w14:textId="7C5411CF" w:rsidR="001D7FA9" w:rsidRDefault="001D7FA9" w:rsidP="001D7FA9">
      <w:pPr>
        <w:pStyle w:val="SangriaFrancesaArticulo"/>
      </w:pPr>
      <w:r w:rsidRPr="001D7FA9">
        <w:rPr>
          <w:rStyle w:val="TextoNormalNegritaCaracter"/>
        </w:rPr>
        <w:t>Artículo 31.3.</w:t>
      </w:r>
      <w:r w:rsidRPr="001D7FA9">
        <w:rPr>
          <w:rStyle w:val="TextoNormalCaracter"/>
        </w:rPr>
        <w:t>-</w:t>
      </w:r>
      <w:r>
        <w:t xml:space="preserve"> Sentencia </w:t>
      </w:r>
      <w:hyperlink w:anchor="SENTENCIA_2025_95" w:history="1">
        <w:r w:rsidRPr="001D7FA9">
          <w:rPr>
            <w:rStyle w:val="TextoNormalCaracter"/>
          </w:rPr>
          <w:t>95/2025</w:t>
        </w:r>
      </w:hyperlink>
      <w:r>
        <w:t>, f. 2.</w:t>
      </w:r>
    </w:p>
    <w:p w14:paraId="67F99164" w14:textId="3E12E7C4" w:rsidR="001D7FA9" w:rsidRDefault="001D7FA9" w:rsidP="001D7FA9">
      <w:pPr>
        <w:pStyle w:val="SangriaFrancesaArticulo"/>
      </w:pPr>
      <w:r w:rsidRPr="001D7FA9">
        <w:rPr>
          <w:rStyle w:val="TextoNormalNegritaCaracter"/>
        </w:rPr>
        <w:t>Artículo 33.</w:t>
      </w:r>
      <w:r w:rsidRPr="001D7FA9">
        <w:rPr>
          <w:rStyle w:val="TextoNormalCaracter"/>
        </w:rPr>
        <w:t>-</w:t>
      </w:r>
      <w:r>
        <w:t xml:space="preserve"> Sentencias </w:t>
      </w:r>
      <w:hyperlink w:anchor="SENTENCIA_2025_25" w:history="1">
        <w:r w:rsidRPr="001D7FA9">
          <w:rPr>
            <w:rStyle w:val="TextoNormalCaracter"/>
          </w:rPr>
          <w:t>25/2025</w:t>
        </w:r>
      </w:hyperlink>
      <w:r>
        <w:t xml:space="preserve">, ff. 1 a 5, VP I, VP II; </w:t>
      </w:r>
      <w:hyperlink w:anchor="SENTENCIA_2025_26" w:history="1">
        <w:r w:rsidRPr="001D7FA9">
          <w:rPr>
            <w:rStyle w:val="TextoNormalCaracter"/>
          </w:rPr>
          <w:t>26/2025</w:t>
        </w:r>
      </w:hyperlink>
      <w:r>
        <w:t xml:space="preserve">, ff. 1, 2, 5, VP II; </w:t>
      </w:r>
      <w:hyperlink w:anchor="SENTENCIA_2025_64" w:history="1">
        <w:r w:rsidRPr="001D7FA9">
          <w:rPr>
            <w:rStyle w:val="TextoNormalCaracter"/>
          </w:rPr>
          <w:t>64/2025</w:t>
        </w:r>
      </w:hyperlink>
      <w:r>
        <w:t>, ff. 1, 4, VP.</w:t>
      </w:r>
    </w:p>
    <w:p w14:paraId="58E89CDD" w14:textId="5E986ED4" w:rsidR="001D7FA9" w:rsidRDefault="001D7FA9" w:rsidP="001D7FA9">
      <w:pPr>
        <w:pStyle w:val="SangriaFrancesaArticulo"/>
      </w:pPr>
      <w:r w:rsidRPr="001D7FA9">
        <w:rPr>
          <w:rStyle w:val="TextoNormalNegritaCaracter"/>
        </w:rPr>
        <w:t>Artículo 33.1.</w:t>
      </w:r>
      <w:r w:rsidRPr="001D7FA9">
        <w:rPr>
          <w:rStyle w:val="TextoNormalCaracter"/>
        </w:rPr>
        <w:t>-</w:t>
      </w:r>
      <w:r>
        <w:t xml:space="preserve"> Sentencias </w:t>
      </w:r>
      <w:hyperlink w:anchor="SENTENCIA_2025_26" w:history="1">
        <w:r w:rsidRPr="001D7FA9">
          <w:rPr>
            <w:rStyle w:val="TextoNormalCaracter"/>
          </w:rPr>
          <w:t>26/2025</w:t>
        </w:r>
      </w:hyperlink>
      <w:r>
        <w:t xml:space="preserve">, f. 5; </w:t>
      </w:r>
      <w:hyperlink w:anchor="SENTENCIA_2025_64" w:history="1">
        <w:r w:rsidRPr="001D7FA9">
          <w:rPr>
            <w:rStyle w:val="TextoNormalCaracter"/>
          </w:rPr>
          <w:t>64/2025</w:t>
        </w:r>
      </w:hyperlink>
      <w:r>
        <w:t>, f. 4.</w:t>
      </w:r>
    </w:p>
    <w:p w14:paraId="16BE5879" w14:textId="6F87646B" w:rsidR="001D7FA9" w:rsidRDefault="001D7FA9" w:rsidP="001D7FA9">
      <w:pPr>
        <w:pStyle w:val="SangriaIzquierdaArticulo"/>
      </w:pPr>
      <w:r>
        <w:t xml:space="preserve">Auto </w:t>
      </w:r>
      <w:hyperlink w:anchor="AUTO_2025_13" w:history="1">
        <w:r w:rsidRPr="001D7FA9">
          <w:rPr>
            <w:rStyle w:val="TextoNormalCaracter"/>
          </w:rPr>
          <w:t>13/2025</w:t>
        </w:r>
      </w:hyperlink>
      <w:r>
        <w:t>, f. 1.</w:t>
      </w:r>
    </w:p>
    <w:p w14:paraId="116634B8" w14:textId="19CF5420" w:rsidR="001D7FA9" w:rsidRDefault="001D7FA9" w:rsidP="001D7FA9">
      <w:pPr>
        <w:pStyle w:val="SangriaFrancesaArticulo"/>
      </w:pPr>
      <w:r w:rsidRPr="001D7FA9">
        <w:rPr>
          <w:rStyle w:val="TextoNormalNegritaCaracter"/>
        </w:rPr>
        <w:t>Artículo 33.2.</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xml:space="preserve">, f. 5, VP II; </w:t>
      </w:r>
      <w:hyperlink w:anchor="SENTENCIA_2025_64" w:history="1">
        <w:r w:rsidRPr="001D7FA9">
          <w:rPr>
            <w:rStyle w:val="TextoNormalCaracter"/>
          </w:rPr>
          <w:t>64/2025</w:t>
        </w:r>
      </w:hyperlink>
      <w:r>
        <w:t>, ff. 4, 5.</w:t>
      </w:r>
    </w:p>
    <w:p w14:paraId="64ABA9AB" w14:textId="33C860F6" w:rsidR="001D7FA9" w:rsidRDefault="001D7FA9" w:rsidP="001D7FA9">
      <w:pPr>
        <w:pStyle w:val="SangriaIzquierdaArticulo"/>
      </w:pPr>
      <w:r>
        <w:t xml:space="preserve">Auto </w:t>
      </w:r>
      <w:hyperlink w:anchor="AUTO_2025_13" w:history="1">
        <w:r w:rsidRPr="001D7FA9">
          <w:rPr>
            <w:rStyle w:val="TextoNormalCaracter"/>
          </w:rPr>
          <w:t>13/2025</w:t>
        </w:r>
      </w:hyperlink>
      <w:r>
        <w:t>, f. 1.</w:t>
      </w:r>
    </w:p>
    <w:p w14:paraId="4F945C69" w14:textId="2B901D2A" w:rsidR="001D7FA9" w:rsidRDefault="001D7FA9" w:rsidP="001D7FA9">
      <w:pPr>
        <w:pStyle w:val="SangriaFrancesaArticulo"/>
      </w:pPr>
      <w:r w:rsidRPr="001D7FA9">
        <w:rPr>
          <w:rStyle w:val="TextoNormalNegritaCaracter"/>
        </w:rPr>
        <w:t>Artículo 33.3.</w:t>
      </w:r>
      <w:r w:rsidRPr="001D7FA9">
        <w:rPr>
          <w:rStyle w:val="TextoNormalCaracter"/>
        </w:rPr>
        <w:t>-</w:t>
      </w:r>
      <w:r>
        <w:t xml:space="preserve"> Sentencias </w:t>
      </w:r>
      <w:hyperlink w:anchor="SENTENCIA_2025_25" w:history="1">
        <w:r w:rsidRPr="001D7FA9">
          <w:rPr>
            <w:rStyle w:val="TextoNormalCaracter"/>
          </w:rPr>
          <w:t>25/2025</w:t>
        </w:r>
      </w:hyperlink>
      <w:r>
        <w:t xml:space="preserve">, f. 5, VP I; </w:t>
      </w:r>
      <w:hyperlink w:anchor="SENTENCIA_2025_26" w:history="1">
        <w:r w:rsidRPr="001D7FA9">
          <w:rPr>
            <w:rStyle w:val="TextoNormalCaracter"/>
          </w:rPr>
          <w:t>26/2025</w:t>
        </w:r>
      </w:hyperlink>
      <w:r>
        <w:t xml:space="preserve">, f. 5; </w:t>
      </w:r>
      <w:hyperlink w:anchor="SENTENCIA_2025_64" w:history="1">
        <w:r w:rsidRPr="001D7FA9">
          <w:rPr>
            <w:rStyle w:val="TextoNormalCaracter"/>
          </w:rPr>
          <w:t>64/2025</w:t>
        </w:r>
      </w:hyperlink>
      <w:r>
        <w:t>, ff. 1, 4, VP.</w:t>
      </w:r>
    </w:p>
    <w:p w14:paraId="4BD2A391" w14:textId="6987A22D" w:rsidR="001D7FA9" w:rsidRDefault="001D7FA9" w:rsidP="001D7FA9">
      <w:pPr>
        <w:pStyle w:val="SangriaFrancesaArticulo"/>
      </w:pPr>
      <w:r w:rsidRPr="001D7FA9">
        <w:rPr>
          <w:rStyle w:val="TextoNormalNegritaCaracter"/>
        </w:rPr>
        <w:t>Artículo 35.1.</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60731F0D" w14:textId="4D621368" w:rsidR="001D7FA9" w:rsidRDefault="001D7FA9" w:rsidP="001D7FA9">
      <w:pPr>
        <w:pStyle w:val="SangriaFrancesaArticulo"/>
      </w:pPr>
      <w:r w:rsidRPr="001D7FA9">
        <w:rPr>
          <w:rStyle w:val="TextoNormalNegritaCaracter"/>
        </w:rPr>
        <w:t>Artículo 38.</w:t>
      </w:r>
      <w:r w:rsidRPr="001D7FA9">
        <w:rPr>
          <w:rStyle w:val="TextoNormalCaracter"/>
        </w:rPr>
        <w:t>-</w:t>
      </w:r>
      <w:r>
        <w:t xml:space="preserve"> Sentencias </w:t>
      </w:r>
      <w:hyperlink w:anchor="SENTENCIA_2025_25" w:history="1">
        <w:r w:rsidRPr="001D7FA9">
          <w:rPr>
            <w:rStyle w:val="TextoNormalCaracter"/>
          </w:rPr>
          <w:t>25/2025</w:t>
        </w:r>
      </w:hyperlink>
      <w:r>
        <w:t xml:space="preserve">, f. 1; </w:t>
      </w:r>
      <w:hyperlink w:anchor="SENTENCIA_2025_95" w:history="1">
        <w:r w:rsidRPr="001D7FA9">
          <w:rPr>
            <w:rStyle w:val="TextoNormalCaracter"/>
          </w:rPr>
          <w:t>95/2025</w:t>
        </w:r>
      </w:hyperlink>
      <w:r>
        <w:t xml:space="preserve">, ff. 1, 2; </w:t>
      </w:r>
      <w:hyperlink w:anchor="SENTENCIA_2025_133" w:history="1">
        <w:r w:rsidRPr="001D7FA9">
          <w:rPr>
            <w:rStyle w:val="TextoNormalCaracter"/>
          </w:rPr>
          <w:t>133/2025</w:t>
        </w:r>
      </w:hyperlink>
      <w:r>
        <w:t>, ff. 1, 4.</w:t>
      </w:r>
    </w:p>
    <w:p w14:paraId="378C0448" w14:textId="0FD67F48" w:rsidR="001D7FA9" w:rsidRDefault="001D7FA9" w:rsidP="001D7FA9">
      <w:pPr>
        <w:pStyle w:val="SangriaFrancesaArticulo"/>
      </w:pPr>
      <w:r w:rsidRPr="001D7FA9">
        <w:rPr>
          <w:rStyle w:val="TextoNormalNegritaCaracter"/>
        </w:rPr>
        <w:t>Artículo 39.</w:t>
      </w:r>
      <w:r w:rsidRPr="001D7FA9">
        <w:rPr>
          <w:rStyle w:val="TextoNormalCaracter"/>
        </w:rPr>
        <w:t>-</w:t>
      </w:r>
      <w:r>
        <w:t xml:space="preserve"> Sentencias </w:t>
      </w:r>
      <w:hyperlink w:anchor="SENTENCIA_2025_4" w:history="1">
        <w:r w:rsidRPr="001D7FA9">
          <w:rPr>
            <w:rStyle w:val="TextoNormalCaracter"/>
          </w:rPr>
          <w:t>4/2025</w:t>
        </w:r>
      </w:hyperlink>
      <w:r>
        <w:t xml:space="preserve">, ff. 1, 3; </w:t>
      </w:r>
      <w:hyperlink w:anchor="SENTENCIA_2025_5" w:history="1">
        <w:r w:rsidRPr="001D7FA9">
          <w:rPr>
            <w:rStyle w:val="TextoNormalCaracter"/>
          </w:rPr>
          <w:t>5/2025</w:t>
        </w:r>
      </w:hyperlink>
      <w:r>
        <w:t xml:space="preserve">, f. único; </w:t>
      </w:r>
      <w:hyperlink w:anchor="SENTENCIA_2025_6" w:history="1">
        <w:r w:rsidRPr="001D7FA9">
          <w:rPr>
            <w:rStyle w:val="TextoNormalCaracter"/>
          </w:rPr>
          <w:t>6/2025</w:t>
        </w:r>
      </w:hyperlink>
      <w:r>
        <w:t xml:space="preserve">, ff. 1, 3; </w:t>
      </w:r>
      <w:hyperlink w:anchor="SENTENCIA_2025_7" w:history="1">
        <w:r w:rsidRPr="001D7FA9">
          <w:rPr>
            <w:rStyle w:val="TextoNormalCaracter"/>
          </w:rPr>
          <w:t>7/2025</w:t>
        </w:r>
      </w:hyperlink>
      <w:r>
        <w:t xml:space="preserve">, f. único; </w:t>
      </w:r>
      <w:hyperlink w:anchor="SENTENCIA_2025_8" w:history="1">
        <w:r w:rsidRPr="001D7FA9">
          <w:rPr>
            <w:rStyle w:val="TextoNormalCaracter"/>
          </w:rPr>
          <w:t>8/2025</w:t>
        </w:r>
      </w:hyperlink>
      <w:r>
        <w:t xml:space="preserve">, ff. 1, 3; </w:t>
      </w:r>
      <w:hyperlink w:anchor="SENTENCIA_2025_9" w:history="1">
        <w:r w:rsidRPr="001D7FA9">
          <w:rPr>
            <w:rStyle w:val="TextoNormalCaracter"/>
          </w:rPr>
          <w:t>9/2025</w:t>
        </w:r>
      </w:hyperlink>
      <w:r>
        <w:t xml:space="preserve">, ff. 1, 2; </w:t>
      </w:r>
      <w:hyperlink w:anchor="SENTENCIA_2025_10" w:history="1">
        <w:r w:rsidRPr="001D7FA9">
          <w:rPr>
            <w:rStyle w:val="TextoNormalCaracter"/>
          </w:rPr>
          <w:t>10/2025</w:t>
        </w:r>
      </w:hyperlink>
      <w:r>
        <w:t xml:space="preserve">, ff. 1, 3; </w:t>
      </w:r>
      <w:hyperlink w:anchor="SENTENCIA_2025_11" w:history="1">
        <w:r w:rsidRPr="001D7FA9">
          <w:rPr>
            <w:rStyle w:val="TextoNormalCaracter"/>
          </w:rPr>
          <w:t>11/2025</w:t>
        </w:r>
      </w:hyperlink>
      <w:r>
        <w:t xml:space="preserve">, f. 2; </w:t>
      </w:r>
      <w:hyperlink w:anchor="SENTENCIA_2025_17" w:history="1">
        <w:r w:rsidRPr="001D7FA9">
          <w:rPr>
            <w:rStyle w:val="TextoNormalCaracter"/>
          </w:rPr>
          <w:t>17/2025</w:t>
        </w:r>
      </w:hyperlink>
      <w:r>
        <w:t xml:space="preserve">, f. único; </w:t>
      </w:r>
      <w:hyperlink w:anchor="SENTENCIA_2025_18" w:history="1">
        <w:r w:rsidRPr="001D7FA9">
          <w:rPr>
            <w:rStyle w:val="TextoNormalCaracter"/>
          </w:rPr>
          <w:t>18/2025</w:t>
        </w:r>
      </w:hyperlink>
      <w:r>
        <w:t xml:space="preserve">, f. único; </w:t>
      </w:r>
      <w:hyperlink w:anchor="SENTENCIA_2025_19" w:history="1">
        <w:r w:rsidRPr="001D7FA9">
          <w:rPr>
            <w:rStyle w:val="TextoNormalCaracter"/>
          </w:rPr>
          <w:t>19/2025</w:t>
        </w:r>
      </w:hyperlink>
      <w:r>
        <w:t xml:space="preserve">, f. único; </w:t>
      </w:r>
      <w:hyperlink w:anchor="SENTENCIA_2025_20" w:history="1">
        <w:r w:rsidRPr="001D7FA9">
          <w:rPr>
            <w:rStyle w:val="TextoNormalCaracter"/>
          </w:rPr>
          <w:t>20/2025</w:t>
        </w:r>
      </w:hyperlink>
      <w:r>
        <w:t xml:space="preserve">, f. único; </w:t>
      </w:r>
      <w:hyperlink w:anchor="SENTENCIA_2025_21" w:history="1">
        <w:r w:rsidRPr="001D7FA9">
          <w:rPr>
            <w:rStyle w:val="TextoNormalCaracter"/>
          </w:rPr>
          <w:t>21/2025</w:t>
        </w:r>
      </w:hyperlink>
      <w:r>
        <w:t xml:space="preserve">, f. 1; </w:t>
      </w:r>
      <w:hyperlink w:anchor="SENTENCIA_2025_22" w:history="1">
        <w:r w:rsidRPr="001D7FA9">
          <w:rPr>
            <w:rStyle w:val="TextoNormalCaracter"/>
          </w:rPr>
          <w:t>22/2025</w:t>
        </w:r>
      </w:hyperlink>
      <w:r>
        <w:t xml:space="preserve">, f. único; </w:t>
      </w:r>
      <w:hyperlink w:anchor="SENTENCIA_2025_23" w:history="1">
        <w:r w:rsidRPr="001D7FA9">
          <w:rPr>
            <w:rStyle w:val="TextoNormalCaracter"/>
          </w:rPr>
          <w:t>23/2025</w:t>
        </w:r>
      </w:hyperlink>
      <w:r>
        <w:t xml:space="preserve">, ff. 1, 2; </w:t>
      </w:r>
      <w:hyperlink w:anchor="SENTENCIA_2025_24" w:history="1">
        <w:r w:rsidRPr="001D7FA9">
          <w:rPr>
            <w:rStyle w:val="TextoNormalCaracter"/>
          </w:rPr>
          <w:t>24/2025</w:t>
        </w:r>
      </w:hyperlink>
      <w:r>
        <w:t xml:space="preserve">, ff. 1, 2; </w:t>
      </w:r>
      <w:hyperlink w:anchor="SENTENCIA_2025_26" w:history="1">
        <w:r w:rsidRPr="001D7FA9">
          <w:rPr>
            <w:rStyle w:val="TextoNormalCaracter"/>
          </w:rPr>
          <w:t>26/2025</w:t>
        </w:r>
      </w:hyperlink>
      <w:r>
        <w:t xml:space="preserve">, f. 6; </w:t>
      </w:r>
      <w:hyperlink w:anchor="SENTENCIA_2025_29" w:history="1">
        <w:r w:rsidRPr="001D7FA9">
          <w:rPr>
            <w:rStyle w:val="TextoNormalCaracter"/>
          </w:rPr>
          <w:t>29/2025</w:t>
        </w:r>
      </w:hyperlink>
      <w:r>
        <w:t xml:space="preserve">, f. único; </w:t>
      </w:r>
      <w:hyperlink w:anchor="SENTENCIA_2025_30" w:history="1">
        <w:r w:rsidRPr="001D7FA9">
          <w:rPr>
            <w:rStyle w:val="TextoNormalCaracter"/>
          </w:rPr>
          <w:t>30/2025</w:t>
        </w:r>
      </w:hyperlink>
      <w:r>
        <w:t xml:space="preserve">, ff. 1, 2; </w:t>
      </w:r>
      <w:hyperlink w:anchor="SENTENCIA_2025_32" w:history="1">
        <w:r w:rsidRPr="001D7FA9">
          <w:rPr>
            <w:rStyle w:val="TextoNormalCaracter"/>
          </w:rPr>
          <w:t>32/2025</w:t>
        </w:r>
      </w:hyperlink>
      <w:r>
        <w:t xml:space="preserve">, ff. 1, 2; </w:t>
      </w:r>
      <w:hyperlink w:anchor="SENTENCIA_2025_33" w:history="1">
        <w:r w:rsidRPr="001D7FA9">
          <w:rPr>
            <w:rStyle w:val="TextoNormalCaracter"/>
          </w:rPr>
          <w:t>33/2025</w:t>
        </w:r>
      </w:hyperlink>
      <w:r>
        <w:t xml:space="preserve">, ff. 1, 2; </w:t>
      </w:r>
      <w:hyperlink w:anchor="SENTENCIA_2025_34" w:history="1">
        <w:r w:rsidRPr="001D7FA9">
          <w:rPr>
            <w:rStyle w:val="TextoNormalCaracter"/>
          </w:rPr>
          <w:t>34/2025</w:t>
        </w:r>
      </w:hyperlink>
      <w:r>
        <w:t xml:space="preserve">, f. único; </w:t>
      </w:r>
      <w:hyperlink w:anchor="SENTENCIA_2025_35" w:history="1">
        <w:r w:rsidRPr="001D7FA9">
          <w:rPr>
            <w:rStyle w:val="TextoNormalCaracter"/>
          </w:rPr>
          <w:t>35/2025</w:t>
        </w:r>
      </w:hyperlink>
      <w:r>
        <w:t xml:space="preserve">, ff. 1, 2; </w:t>
      </w:r>
      <w:hyperlink w:anchor="SENTENCIA_2025_36" w:history="1">
        <w:r w:rsidRPr="001D7FA9">
          <w:rPr>
            <w:rStyle w:val="TextoNormalCaracter"/>
          </w:rPr>
          <w:t>36/2025</w:t>
        </w:r>
      </w:hyperlink>
      <w:r>
        <w:t xml:space="preserve">, f. único; </w:t>
      </w:r>
      <w:hyperlink w:anchor="SENTENCIA_2025_38" w:history="1">
        <w:r w:rsidRPr="001D7FA9">
          <w:rPr>
            <w:rStyle w:val="TextoNormalCaracter"/>
          </w:rPr>
          <w:t>38/2025</w:t>
        </w:r>
      </w:hyperlink>
      <w:r>
        <w:t xml:space="preserve">, ff. 1, 2; </w:t>
      </w:r>
      <w:hyperlink w:anchor="SENTENCIA_2025_39" w:history="1">
        <w:r w:rsidRPr="001D7FA9">
          <w:rPr>
            <w:rStyle w:val="TextoNormalCaracter"/>
          </w:rPr>
          <w:t>39/2025</w:t>
        </w:r>
      </w:hyperlink>
      <w:r>
        <w:t xml:space="preserve">, ff. 1, 2; </w:t>
      </w:r>
      <w:hyperlink w:anchor="SENTENCIA_2025_43" w:history="1">
        <w:r w:rsidRPr="001D7FA9">
          <w:rPr>
            <w:rStyle w:val="TextoNormalCaracter"/>
          </w:rPr>
          <w:t>43/2025</w:t>
        </w:r>
      </w:hyperlink>
      <w:r>
        <w:t xml:space="preserve">, f. 3; </w:t>
      </w:r>
      <w:hyperlink w:anchor="SENTENCIA_2025_46" w:history="1">
        <w:r w:rsidRPr="001D7FA9">
          <w:rPr>
            <w:rStyle w:val="TextoNormalCaracter"/>
          </w:rPr>
          <w:t>46/2025</w:t>
        </w:r>
      </w:hyperlink>
      <w:r>
        <w:t xml:space="preserve">, f. único; </w:t>
      </w:r>
      <w:hyperlink w:anchor="SENTENCIA_2025_47" w:history="1">
        <w:r w:rsidRPr="001D7FA9">
          <w:rPr>
            <w:rStyle w:val="TextoNormalCaracter"/>
          </w:rPr>
          <w:t>47/2025</w:t>
        </w:r>
      </w:hyperlink>
      <w:r>
        <w:t xml:space="preserve">, f. único; </w:t>
      </w:r>
      <w:hyperlink w:anchor="SENTENCIA_2025_48" w:history="1">
        <w:r w:rsidRPr="001D7FA9">
          <w:rPr>
            <w:rStyle w:val="TextoNormalCaracter"/>
          </w:rPr>
          <w:t>48/2025</w:t>
        </w:r>
      </w:hyperlink>
      <w:r>
        <w:t xml:space="preserve">, f. 2; </w:t>
      </w:r>
      <w:hyperlink w:anchor="SENTENCIA_2025_50" w:history="1">
        <w:r w:rsidRPr="001D7FA9">
          <w:rPr>
            <w:rStyle w:val="TextoNormalCaracter"/>
          </w:rPr>
          <w:t>50/2025</w:t>
        </w:r>
      </w:hyperlink>
      <w:r>
        <w:t xml:space="preserve">, ff. 1, 2; </w:t>
      </w:r>
      <w:hyperlink w:anchor="SENTENCIA_2025_54" w:history="1">
        <w:r w:rsidRPr="001D7FA9">
          <w:rPr>
            <w:rStyle w:val="TextoNormalCaracter"/>
          </w:rPr>
          <w:t>54/2025</w:t>
        </w:r>
      </w:hyperlink>
      <w:r>
        <w:t xml:space="preserve">, ff. 1 a 3, VP; </w:t>
      </w:r>
      <w:hyperlink w:anchor="SENTENCIA_2025_56" w:history="1">
        <w:r w:rsidRPr="001D7FA9">
          <w:rPr>
            <w:rStyle w:val="TextoNormalCaracter"/>
          </w:rPr>
          <w:t>56/2025</w:t>
        </w:r>
      </w:hyperlink>
      <w:r>
        <w:t xml:space="preserve">, ff. 1, 2; </w:t>
      </w:r>
      <w:hyperlink w:anchor="SENTENCIA_2025_57" w:history="1">
        <w:r w:rsidRPr="001D7FA9">
          <w:rPr>
            <w:rStyle w:val="TextoNormalCaracter"/>
          </w:rPr>
          <w:t>57/2025</w:t>
        </w:r>
      </w:hyperlink>
      <w:r>
        <w:t xml:space="preserve">, ff. 1, 2; </w:t>
      </w:r>
      <w:hyperlink w:anchor="SENTENCIA_2025_58" w:history="1">
        <w:r w:rsidRPr="001D7FA9">
          <w:rPr>
            <w:rStyle w:val="TextoNormalCaracter"/>
          </w:rPr>
          <w:t>58/2025</w:t>
        </w:r>
      </w:hyperlink>
      <w:r>
        <w:t xml:space="preserve">, ff. 1, 2; </w:t>
      </w:r>
      <w:hyperlink w:anchor="SENTENCIA_2025_59" w:history="1">
        <w:r w:rsidRPr="001D7FA9">
          <w:rPr>
            <w:rStyle w:val="TextoNormalCaracter"/>
          </w:rPr>
          <w:t>59/2025</w:t>
        </w:r>
      </w:hyperlink>
      <w:r>
        <w:t xml:space="preserve">, ff. 1, 2; </w:t>
      </w:r>
      <w:hyperlink w:anchor="SENTENCIA_2025_60" w:history="1">
        <w:r w:rsidRPr="001D7FA9">
          <w:rPr>
            <w:rStyle w:val="TextoNormalCaracter"/>
          </w:rPr>
          <w:t>60/2025</w:t>
        </w:r>
      </w:hyperlink>
      <w:r>
        <w:t xml:space="preserve">, f. 1; </w:t>
      </w:r>
      <w:hyperlink w:anchor="SENTENCIA_2025_61" w:history="1">
        <w:r w:rsidRPr="001D7FA9">
          <w:rPr>
            <w:rStyle w:val="TextoNormalCaracter"/>
          </w:rPr>
          <w:t>61/2025</w:t>
        </w:r>
      </w:hyperlink>
      <w:r>
        <w:t xml:space="preserve">, f. único; </w:t>
      </w:r>
      <w:hyperlink w:anchor="SENTENCIA_2025_65" w:history="1">
        <w:r w:rsidRPr="001D7FA9">
          <w:rPr>
            <w:rStyle w:val="TextoNormalCaracter"/>
          </w:rPr>
          <w:t>65/2025</w:t>
        </w:r>
      </w:hyperlink>
      <w:r>
        <w:t xml:space="preserve">, f. único; </w:t>
      </w:r>
      <w:hyperlink w:anchor="SENTENCIA_2025_66" w:history="1">
        <w:r w:rsidRPr="001D7FA9">
          <w:rPr>
            <w:rStyle w:val="TextoNormalCaracter"/>
          </w:rPr>
          <w:t>66/2025</w:t>
        </w:r>
      </w:hyperlink>
      <w:r>
        <w:t xml:space="preserve">, ff. 1, 2; </w:t>
      </w:r>
      <w:hyperlink w:anchor="SENTENCIA_2025_67" w:history="1">
        <w:r w:rsidRPr="001D7FA9">
          <w:rPr>
            <w:rStyle w:val="TextoNormalCaracter"/>
          </w:rPr>
          <w:t>67/2025</w:t>
        </w:r>
      </w:hyperlink>
      <w:r>
        <w:t xml:space="preserve">, ff. 1, 2; </w:t>
      </w:r>
      <w:hyperlink w:anchor="SENTENCIA_2025_68" w:history="1">
        <w:r w:rsidRPr="001D7FA9">
          <w:rPr>
            <w:rStyle w:val="TextoNormalCaracter"/>
          </w:rPr>
          <w:t>68/2025</w:t>
        </w:r>
      </w:hyperlink>
      <w:r>
        <w:t xml:space="preserve">, ff. 1, 2; </w:t>
      </w:r>
      <w:hyperlink w:anchor="SENTENCIA_2025_70" w:history="1">
        <w:r w:rsidRPr="001D7FA9">
          <w:rPr>
            <w:rStyle w:val="TextoNormalCaracter"/>
          </w:rPr>
          <w:t>70/2025</w:t>
        </w:r>
      </w:hyperlink>
      <w:r>
        <w:t xml:space="preserve">, ff. 1, 2; </w:t>
      </w:r>
      <w:hyperlink w:anchor="SENTENCIA_2025_71" w:history="1">
        <w:r w:rsidRPr="001D7FA9">
          <w:rPr>
            <w:rStyle w:val="TextoNormalCaracter"/>
          </w:rPr>
          <w:t>71/2025</w:t>
        </w:r>
      </w:hyperlink>
      <w:r>
        <w:t xml:space="preserve">, f. único; </w:t>
      </w:r>
      <w:hyperlink w:anchor="SENTENCIA_2025_72" w:history="1">
        <w:r w:rsidRPr="001D7FA9">
          <w:rPr>
            <w:rStyle w:val="TextoNormalCaracter"/>
          </w:rPr>
          <w:t>72/2025</w:t>
        </w:r>
      </w:hyperlink>
      <w:r>
        <w:t xml:space="preserve">, f. único; </w:t>
      </w:r>
      <w:hyperlink w:anchor="SENTENCIA_2025_73" w:history="1">
        <w:r w:rsidRPr="001D7FA9">
          <w:rPr>
            <w:rStyle w:val="TextoNormalCaracter"/>
          </w:rPr>
          <w:t>73/2025</w:t>
        </w:r>
      </w:hyperlink>
      <w:r>
        <w:t xml:space="preserve">, ff. 1, 2; </w:t>
      </w:r>
      <w:hyperlink w:anchor="SENTENCIA_2025_74" w:history="1">
        <w:r w:rsidRPr="001D7FA9">
          <w:rPr>
            <w:rStyle w:val="TextoNormalCaracter"/>
          </w:rPr>
          <w:t>74/2025</w:t>
        </w:r>
      </w:hyperlink>
      <w:r>
        <w:t xml:space="preserve">, f. único; </w:t>
      </w:r>
      <w:hyperlink w:anchor="SENTENCIA_2025_75" w:history="1">
        <w:r w:rsidRPr="001D7FA9">
          <w:rPr>
            <w:rStyle w:val="TextoNormalCaracter"/>
          </w:rPr>
          <w:t>75/2025</w:t>
        </w:r>
      </w:hyperlink>
      <w:r>
        <w:t xml:space="preserve">, f. único; </w:t>
      </w:r>
      <w:hyperlink w:anchor="SENTENCIA_2025_76" w:history="1">
        <w:r w:rsidRPr="001D7FA9">
          <w:rPr>
            <w:rStyle w:val="TextoNormalCaracter"/>
          </w:rPr>
          <w:t>76/2025</w:t>
        </w:r>
      </w:hyperlink>
      <w:r>
        <w:t xml:space="preserve">, ff. 1, 2; </w:t>
      </w:r>
      <w:hyperlink w:anchor="SENTENCIA_2025_77" w:history="1">
        <w:r w:rsidRPr="001D7FA9">
          <w:rPr>
            <w:rStyle w:val="TextoNormalCaracter"/>
          </w:rPr>
          <w:t>77/2025</w:t>
        </w:r>
      </w:hyperlink>
      <w:r>
        <w:t xml:space="preserve">, f. único; </w:t>
      </w:r>
      <w:hyperlink w:anchor="SENTENCIA_2025_78" w:history="1">
        <w:r w:rsidRPr="001D7FA9">
          <w:rPr>
            <w:rStyle w:val="TextoNormalCaracter"/>
          </w:rPr>
          <w:t>78/2025</w:t>
        </w:r>
      </w:hyperlink>
      <w:r>
        <w:t xml:space="preserve">, f. único; </w:t>
      </w:r>
      <w:hyperlink w:anchor="SENTENCIA_2025_79" w:history="1">
        <w:r w:rsidRPr="001D7FA9">
          <w:rPr>
            <w:rStyle w:val="TextoNormalCaracter"/>
          </w:rPr>
          <w:t>79/2025</w:t>
        </w:r>
      </w:hyperlink>
      <w:r>
        <w:t xml:space="preserve">, f. 3; </w:t>
      </w:r>
      <w:hyperlink w:anchor="SENTENCIA_2025_80" w:history="1">
        <w:r w:rsidRPr="001D7FA9">
          <w:rPr>
            <w:rStyle w:val="TextoNormalCaracter"/>
          </w:rPr>
          <w:t>80/2025</w:t>
        </w:r>
      </w:hyperlink>
      <w:r>
        <w:t xml:space="preserve">, ff. 1, 2; </w:t>
      </w:r>
      <w:hyperlink w:anchor="SENTENCIA_2025_81" w:history="1">
        <w:r w:rsidRPr="001D7FA9">
          <w:rPr>
            <w:rStyle w:val="TextoNormalCaracter"/>
          </w:rPr>
          <w:t>81/2025</w:t>
        </w:r>
      </w:hyperlink>
      <w:r>
        <w:t xml:space="preserve">, ff. 1, 2; </w:t>
      </w:r>
      <w:hyperlink w:anchor="SENTENCIA_2025_88" w:history="1">
        <w:r w:rsidRPr="001D7FA9">
          <w:rPr>
            <w:rStyle w:val="TextoNormalCaracter"/>
          </w:rPr>
          <w:t>88/2025</w:t>
        </w:r>
      </w:hyperlink>
      <w:r>
        <w:t xml:space="preserve">, ff. 1, 2; </w:t>
      </w:r>
      <w:hyperlink w:anchor="SENTENCIA_2025_89" w:history="1">
        <w:r w:rsidRPr="001D7FA9">
          <w:rPr>
            <w:rStyle w:val="TextoNormalCaracter"/>
          </w:rPr>
          <w:t>89/2025</w:t>
        </w:r>
      </w:hyperlink>
      <w:r>
        <w:t xml:space="preserve">, ff. 1, 2; </w:t>
      </w:r>
      <w:hyperlink w:anchor="SENTENCIA_2025_90" w:history="1">
        <w:r w:rsidRPr="001D7FA9">
          <w:rPr>
            <w:rStyle w:val="TextoNormalCaracter"/>
          </w:rPr>
          <w:t>90/2025</w:t>
        </w:r>
      </w:hyperlink>
      <w:r>
        <w:t xml:space="preserve">, ff. 1, 2; </w:t>
      </w:r>
      <w:hyperlink w:anchor="SENTENCIA_2025_91" w:history="1">
        <w:r w:rsidRPr="001D7FA9">
          <w:rPr>
            <w:rStyle w:val="TextoNormalCaracter"/>
          </w:rPr>
          <w:t>91/2025</w:t>
        </w:r>
      </w:hyperlink>
      <w:r>
        <w:t xml:space="preserve">, f. único; </w:t>
      </w:r>
      <w:hyperlink w:anchor="SENTENCIA_2025_92" w:history="1">
        <w:r w:rsidRPr="001D7FA9">
          <w:rPr>
            <w:rStyle w:val="TextoNormalCaracter"/>
          </w:rPr>
          <w:t>92/2025</w:t>
        </w:r>
      </w:hyperlink>
      <w:r>
        <w:t xml:space="preserve">, ff. 1, 2; </w:t>
      </w:r>
      <w:hyperlink w:anchor="SENTENCIA_2025_93" w:history="1">
        <w:r w:rsidRPr="001D7FA9">
          <w:rPr>
            <w:rStyle w:val="TextoNormalCaracter"/>
          </w:rPr>
          <w:t>93/2025</w:t>
        </w:r>
      </w:hyperlink>
      <w:r>
        <w:t xml:space="preserve">, ff. 1, 2; </w:t>
      </w:r>
      <w:hyperlink w:anchor="SENTENCIA_2025_94" w:history="1">
        <w:r w:rsidRPr="001D7FA9">
          <w:rPr>
            <w:rStyle w:val="TextoNormalCaracter"/>
          </w:rPr>
          <w:t>94/2025</w:t>
        </w:r>
      </w:hyperlink>
      <w:r>
        <w:t xml:space="preserve">, ff. 1, 2; </w:t>
      </w:r>
      <w:hyperlink w:anchor="SENTENCIA_2025_102" w:history="1">
        <w:r w:rsidRPr="001D7FA9">
          <w:rPr>
            <w:rStyle w:val="TextoNormalCaracter"/>
          </w:rPr>
          <w:t>102/2025</w:t>
        </w:r>
      </w:hyperlink>
      <w:r>
        <w:t xml:space="preserve">, ff. 1, 2; </w:t>
      </w:r>
      <w:hyperlink w:anchor="SENTENCIA_2025_103" w:history="1">
        <w:r w:rsidRPr="001D7FA9">
          <w:rPr>
            <w:rStyle w:val="TextoNormalCaracter"/>
          </w:rPr>
          <w:t>103/2025</w:t>
        </w:r>
      </w:hyperlink>
      <w:r>
        <w:t xml:space="preserve">, f. único; </w:t>
      </w:r>
      <w:hyperlink w:anchor="SENTENCIA_2025_104" w:history="1">
        <w:r w:rsidRPr="001D7FA9">
          <w:rPr>
            <w:rStyle w:val="TextoNormalCaracter"/>
          </w:rPr>
          <w:t>104/2025</w:t>
        </w:r>
      </w:hyperlink>
      <w:r>
        <w:t xml:space="preserve">, ff. 1, 2; </w:t>
      </w:r>
      <w:hyperlink w:anchor="SENTENCIA_2025_112" w:history="1">
        <w:r w:rsidRPr="001D7FA9">
          <w:rPr>
            <w:rStyle w:val="TextoNormalCaracter"/>
          </w:rPr>
          <w:t>112/2025</w:t>
        </w:r>
      </w:hyperlink>
      <w:r>
        <w:t xml:space="preserve">, ff. 1, 2; </w:t>
      </w:r>
      <w:hyperlink w:anchor="SENTENCIA_2025_113" w:history="1">
        <w:r w:rsidRPr="001D7FA9">
          <w:rPr>
            <w:rStyle w:val="TextoNormalCaracter"/>
          </w:rPr>
          <w:t>113/2025</w:t>
        </w:r>
      </w:hyperlink>
      <w:r>
        <w:t xml:space="preserve">, f. único; </w:t>
      </w:r>
      <w:hyperlink w:anchor="SENTENCIA_2025_114" w:history="1">
        <w:r w:rsidRPr="001D7FA9">
          <w:rPr>
            <w:rStyle w:val="TextoNormalCaracter"/>
          </w:rPr>
          <w:t>114/2025</w:t>
        </w:r>
      </w:hyperlink>
      <w:r>
        <w:t xml:space="preserve">, f. único; </w:t>
      </w:r>
      <w:hyperlink w:anchor="SENTENCIA_2025_115" w:history="1">
        <w:r w:rsidRPr="001D7FA9">
          <w:rPr>
            <w:rStyle w:val="TextoNormalCaracter"/>
          </w:rPr>
          <w:t>115/2025</w:t>
        </w:r>
      </w:hyperlink>
      <w:r>
        <w:t xml:space="preserve">, f. único; </w:t>
      </w:r>
      <w:hyperlink w:anchor="SENTENCIA_2025_116" w:history="1">
        <w:r w:rsidRPr="001D7FA9">
          <w:rPr>
            <w:rStyle w:val="TextoNormalCaracter"/>
          </w:rPr>
          <w:t>116/2025</w:t>
        </w:r>
      </w:hyperlink>
      <w:r>
        <w:t xml:space="preserve">, f. único; </w:t>
      </w:r>
      <w:hyperlink w:anchor="SENTENCIA_2025_119" w:history="1">
        <w:r w:rsidRPr="001D7FA9">
          <w:rPr>
            <w:rStyle w:val="TextoNormalCaracter"/>
          </w:rPr>
          <w:t>119/2025</w:t>
        </w:r>
      </w:hyperlink>
      <w:r>
        <w:t xml:space="preserve">, ff. 3, 5; </w:t>
      </w:r>
      <w:hyperlink w:anchor="SENTENCIA_2025_122" w:history="1">
        <w:r w:rsidRPr="001D7FA9">
          <w:rPr>
            <w:rStyle w:val="TextoNormalCaracter"/>
          </w:rPr>
          <w:t>122/2025</w:t>
        </w:r>
      </w:hyperlink>
      <w:r>
        <w:t xml:space="preserve">, f. único; </w:t>
      </w:r>
      <w:hyperlink w:anchor="SENTENCIA_2025_123" w:history="1">
        <w:r w:rsidRPr="001D7FA9">
          <w:rPr>
            <w:rStyle w:val="TextoNormalCaracter"/>
          </w:rPr>
          <w:t>123/2025</w:t>
        </w:r>
      </w:hyperlink>
      <w:r>
        <w:t xml:space="preserve">, ff. 1, 2; </w:t>
      </w:r>
      <w:hyperlink w:anchor="SENTENCIA_2025_124" w:history="1">
        <w:r w:rsidRPr="001D7FA9">
          <w:rPr>
            <w:rStyle w:val="TextoNormalCaracter"/>
          </w:rPr>
          <w:t>124/2025</w:t>
        </w:r>
      </w:hyperlink>
      <w:r>
        <w:t xml:space="preserve">, ff. 1, 2; </w:t>
      </w:r>
      <w:hyperlink w:anchor="SENTENCIA_2025_125" w:history="1">
        <w:r w:rsidRPr="001D7FA9">
          <w:rPr>
            <w:rStyle w:val="TextoNormalCaracter"/>
          </w:rPr>
          <w:t>125/2025</w:t>
        </w:r>
      </w:hyperlink>
      <w:r>
        <w:t xml:space="preserve">, f. único; </w:t>
      </w:r>
      <w:hyperlink w:anchor="SENTENCIA_2025_127" w:history="1">
        <w:r w:rsidRPr="001D7FA9">
          <w:rPr>
            <w:rStyle w:val="TextoNormalCaracter"/>
          </w:rPr>
          <w:t>127/2025</w:t>
        </w:r>
      </w:hyperlink>
      <w:r>
        <w:t xml:space="preserve">, ff. 1, 2; </w:t>
      </w:r>
      <w:hyperlink w:anchor="SENTENCIA_2025_128" w:history="1">
        <w:r w:rsidRPr="001D7FA9">
          <w:rPr>
            <w:rStyle w:val="TextoNormalCaracter"/>
          </w:rPr>
          <w:t>128/2025</w:t>
        </w:r>
      </w:hyperlink>
      <w:r>
        <w:t xml:space="preserve">, ff. 1, 2; </w:t>
      </w:r>
      <w:hyperlink w:anchor="SENTENCIA_2025_129" w:history="1">
        <w:r w:rsidRPr="001D7FA9">
          <w:rPr>
            <w:rStyle w:val="TextoNormalCaracter"/>
          </w:rPr>
          <w:t>129/2025</w:t>
        </w:r>
      </w:hyperlink>
      <w:r>
        <w:t xml:space="preserve">, ff. 1, 2; </w:t>
      </w:r>
      <w:hyperlink w:anchor="SENTENCIA_2025_130" w:history="1">
        <w:r w:rsidRPr="001D7FA9">
          <w:rPr>
            <w:rStyle w:val="TextoNormalCaracter"/>
          </w:rPr>
          <w:t>130/2025</w:t>
        </w:r>
      </w:hyperlink>
      <w:r>
        <w:t xml:space="preserve">, ff. 1, 2; </w:t>
      </w:r>
      <w:hyperlink w:anchor="SENTENCIA_2025_131" w:history="1">
        <w:r w:rsidRPr="001D7FA9">
          <w:rPr>
            <w:rStyle w:val="TextoNormalCaracter"/>
          </w:rPr>
          <w:t>131/2025</w:t>
        </w:r>
      </w:hyperlink>
      <w:r>
        <w:t>, ff. 1, 2.</w:t>
      </w:r>
    </w:p>
    <w:p w14:paraId="28D3694B" w14:textId="5F86734C" w:rsidR="001D7FA9" w:rsidRDefault="001D7FA9" w:rsidP="001D7FA9">
      <w:pPr>
        <w:pStyle w:val="SangriaIzquierdaArticulo"/>
      </w:pPr>
      <w:r>
        <w:t xml:space="preserve">Autos </w:t>
      </w:r>
      <w:hyperlink w:anchor="AUTO_2025_10" w:history="1">
        <w:r w:rsidRPr="001D7FA9">
          <w:rPr>
            <w:rStyle w:val="TextoNormalCaracter"/>
          </w:rPr>
          <w:t>10/2025</w:t>
        </w:r>
      </w:hyperlink>
      <w:r>
        <w:t xml:space="preserve">, f. único; </w:t>
      </w:r>
      <w:hyperlink w:anchor="AUTO_2025_19" w:history="1">
        <w:r w:rsidRPr="001D7FA9">
          <w:rPr>
            <w:rStyle w:val="TextoNormalCaracter"/>
          </w:rPr>
          <w:t>19/2025</w:t>
        </w:r>
      </w:hyperlink>
      <w:r>
        <w:t xml:space="preserve">, f. único; </w:t>
      </w:r>
      <w:hyperlink w:anchor="AUTO_2025_29" w:history="1">
        <w:r w:rsidRPr="001D7FA9">
          <w:rPr>
            <w:rStyle w:val="TextoNormalCaracter"/>
          </w:rPr>
          <w:t>29/2025</w:t>
        </w:r>
      </w:hyperlink>
      <w:r>
        <w:t xml:space="preserve">, f. 1; </w:t>
      </w:r>
      <w:hyperlink w:anchor="AUTO_2025_34" w:history="1">
        <w:r w:rsidRPr="001D7FA9">
          <w:rPr>
            <w:rStyle w:val="TextoNormalCaracter"/>
          </w:rPr>
          <w:t>34/2025</w:t>
        </w:r>
      </w:hyperlink>
      <w:r>
        <w:t xml:space="preserve">, VP; </w:t>
      </w:r>
      <w:hyperlink w:anchor="AUTO_2025_55" w:history="1">
        <w:r w:rsidRPr="001D7FA9">
          <w:rPr>
            <w:rStyle w:val="TextoNormalCaracter"/>
          </w:rPr>
          <w:t>55/2025</w:t>
        </w:r>
      </w:hyperlink>
      <w:r>
        <w:t>, f. único.</w:t>
      </w:r>
    </w:p>
    <w:p w14:paraId="08780568" w14:textId="19D9E1F7" w:rsidR="001D7FA9" w:rsidRDefault="001D7FA9" w:rsidP="001D7FA9">
      <w:pPr>
        <w:pStyle w:val="SangriaFrancesaArticulo"/>
      </w:pPr>
      <w:r w:rsidRPr="001D7FA9">
        <w:rPr>
          <w:rStyle w:val="TextoNormalNegritaCaracter"/>
        </w:rPr>
        <w:t>Artículo 39.3.</w:t>
      </w:r>
      <w:r w:rsidRPr="001D7FA9">
        <w:rPr>
          <w:rStyle w:val="TextoNormalCaracter"/>
        </w:rPr>
        <w:t>-</w:t>
      </w:r>
      <w:r>
        <w:t xml:space="preserve"> Sentencia </w:t>
      </w:r>
      <w:hyperlink w:anchor="SENTENCIA_2025_95" w:history="1">
        <w:r w:rsidRPr="001D7FA9">
          <w:rPr>
            <w:rStyle w:val="TextoNormalCaracter"/>
          </w:rPr>
          <w:t>95/2025</w:t>
        </w:r>
      </w:hyperlink>
      <w:r>
        <w:t>, f. 2.</w:t>
      </w:r>
    </w:p>
    <w:p w14:paraId="4393A23D" w14:textId="24E32AD1" w:rsidR="001D7FA9" w:rsidRDefault="001D7FA9" w:rsidP="001D7FA9">
      <w:pPr>
        <w:pStyle w:val="SangriaFrancesaArticulo"/>
      </w:pPr>
      <w:r w:rsidRPr="001D7FA9">
        <w:rPr>
          <w:rStyle w:val="TextoNormalNegritaCaracter"/>
        </w:rPr>
        <w:t>Artículo 40.2.</w:t>
      </w:r>
      <w:r w:rsidRPr="001D7FA9">
        <w:rPr>
          <w:rStyle w:val="TextoNormalCaracter"/>
        </w:rPr>
        <w:t>-</w:t>
      </w:r>
      <w:r>
        <w:t xml:space="preserve"> Sentencia </w:t>
      </w:r>
      <w:hyperlink w:anchor="SENTENCIA_2025_28" w:history="1">
        <w:r w:rsidRPr="001D7FA9">
          <w:rPr>
            <w:rStyle w:val="TextoNormalCaracter"/>
          </w:rPr>
          <w:t>28/2025</w:t>
        </w:r>
      </w:hyperlink>
      <w:r>
        <w:t>, ff. 3, 4.</w:t>
      </w:r>
    </w:p>
    <w:p w14:paraId="3AF8A736" w14:textId="3DF577A4" w:rsidR="001D7FA9" w:rsidRDefault="001D7FA9" w:rsidP="001D7FA9">
      <w:pPr>
        <w:pStyle w:val="SangriaFrancesaArticulo"/>
      </w:pPr>
      <w:r w:rsidRPr="001D7FA9">
        <w:rPr>
          <w:rStyle w:val="TextoNormalNegritaCaracter"/>
        </w:rPr>
        <w:t>Artículo 41.</w:t>
      </w:r>
      <w:r w:rsidRPr="001D7FA9">
        <w:rPr>
          <w:rStyle w:val="TextoNormalCaracter"/>
        </w:rPr>
        <w:t>-</w:t>
      </w:r>
      <w:r>
        <w:t xml:space="preserve"> Auto </w:t>
      </w:r>
      <w:hyperlink w:anchor="AUTO_2025_19" w:history="1">
        <w:r w:rsidRPr="001D7FA9">
          <w:rPr>
            <w:rStyle w:val="TextoNormalCaracter"/>
          </w:rPr>
          <w:t>19/2025</w:t>
        </w:r>
      </w:hyperlink>
      <w:r>
        <w:t>, f. único.</w:t>
      </w:r>
    </w:p>
    <w:p w14:paraId="6F25B45C" w14:textId="7795F37B" w:rsidR="001D7FA9" w:rsidRDefault="001D7FA9" w:rsidP="001D7FA9">
      <w:pPr>
        <w:pStyle w:val="SangriaFrancesaArticulo"/>
      </w:pPr>
      <w:r w:rsidRPr="001D7FA9">
        <w:rPr>
          <w:rStyle w:val="TextoNormalNegritaCaracter"/>
        </w:rPr>
        <w:t>Artículo 43.</w:t>
      </w:r>
      <w:r w:rsidRPr="001D7FA9">
        <w:rPr>
          <w:rStyle w:val="TextoNormalCaracter"/>
        </w:rPr>
        <w:t>-</w:t>
      </w:r>
      <w:r>
        <w:t xml:space="preserve"> Sentencia </w:t>
      </w:r>
      <w:hyperlink w:anchor="SENTENCIA_2025_118" w:history="1">
        <w:r w:rsidRPr="001D7FA9">
          <w:rPr>
            <w:rStyle w:val="TextoNormalCaracter"/>
          </w:rPr>
          <w:t>118/2025</w:t>
        </w:r>
      </w:hyperlink>
      <w:r>
        <w:t>, f. 5.</w:t>
      </w:r>
    </w:p>
    <w:p w14:paraId="7ADC97D4" w14:textId="34249A1D" w:rsidR="001D7FA9" w:rsidRDefault="001D7FA9" w:rsidP="001D7FA9">
      <w:pPr>
        <w:pStyle w:val="SangriaFrancesaArticulo"/>
      </w:pPr>
      <w:r w:rsidRPr="001D7FA9">
        <w:rPr>
          <w:rStyle w:val="TextoNormalNegritaCaracter"/>
        </w:rPr>
        <w:t>Artículo 44.1.</w:t>
      </w:r>
      <w:r w:rsidRPr="001D7FA9">
        <w:rPr>
          <w:rStyle w:val="TextoNormalCaracter"/>
        </w:rPr>
        <w:t>-</w:t>
      </w:r>
      <w:r>
        <w:t xml:space="preserve"> Sentencia </w:t>
      </w:r>
      <w:hyperlink w:anchor="SENTENCIA_2025_1" w:history="1">
        <w:r w:rsidRPr="001D7FA9">
          <w:rPr>
            <w:rStyle w:val="TextoNormalCaracter"/>
          </w:rPr>
          <w:t>1/2025</w:t>
        </w:r>
      </w:hyperlink>
      <w:r>
        <w:t>, f. 3.</w:t>
      </w:r>
    </w:p>
    <w:p w14:paraId="32F8BEB6" w14:textId="7BC6F467" w:rsidR="001D7FA9" w:rsidRDefault="001D7FA9" w:rsidP="001D7FA9">
      <w:pPr>
        <w:pStyle w:val="SangriaFrancesaArticulo"/>
      </w:pPr>
      <w:r w:rsidRPr="001D7FA9">
        <w:rPr>
          <w:rStyle w:val="TextoNormalNegritaCaracter"/>
        </w:rPr>
        <w:t>Artículo 44.2.</w:t>
      </w:r>
      <w:r w:rsidRPr="001D7FA9">
        <w:rPr>
          <w:rStyle w:val="TextoNormalCaracter"/>
        </w:rPr>
        <w:t>-</w:t>
      </w:r>
      <w:r>
        <w:t xml:space="preserve"> Sentencia </w:t>
      </w:r>
      <w:hyperlink w:anchor="SENTENCIA_2025_1" w:history="1">
        <w:r w:rsidRPr="001D7FA9">
          <w:rPr>
            <w:rStyle w:val="TextoNormalCaracter"/>
          </w:rPr>
          <w:t>1/2025</w:t>
        </w:r>
      </w:hyperlink>
      <w:r>
        <w:t>, f. 3.</w:t>
      </w:r>
    </w:p>
    <w:p w14:paraId="20E4D15E" w14:textId="0BFC4C71" w:rsidR="001D7FA9" w:rsidRDefault="001D7FA9" w:rsidP="001D7FA9">
      <w:pPr>
        <w:pStyle w:val="SangriaFrancesaArticulo"/>
      </w:pPr>
      <w:r w:rsidRPr="001D7FA9">
        <w:rPr>
          <w:rStyle w:val="TextoNormalNegritaCaracter"/>
        </w:rPr>
        <w:t>Artículo 47.</w:t>
      </w:r>
      <w:r w:rsidRPr="001D7FA9">
        <w:rPr>
          <w:rStyle w:val="TextoNormalCaracter"/>
        </w:rPr>
        <w:t>-</w:t>
      </w:r>
      <w:r>
        <w:t xml:space="preserve"> Sentencias </w:t>
      </w:r>
      <w:hyperlink w:anchor="SENTENCIA_2025_25" w:history="1">
        <w:r w:rsidRPr="001D7FA9">
          <w:rPr>
            <w:rStyle w:val="TextoNormalCaracter"/>
          </w:rPr>
          <w:t>25/2025</w:t>
        </w:r>
      </w:hyperlink>
      <w:r>
        <w:t xml:space="preserve">, f. 5, VP II; </w:t>
      </w:r>
      <w:hyperlink w:anchor="SENTENCIA_2025_26" w:history="1">
        <w:r w:rsidRPr="001D7FA9">
          <w:rPr>
            <w:rStyle w:val="TextoNormalCaracter"/>
          </w:rPr>
          <w:t>26/2025</w:t>
        </w:r>
      </w:hyperlink>
      <w:r>
        <w:t xml:space="preserve">, ff. 5, 6, VP I, VP II; </w:t>
      </w:r>
      <w:hyperlink w:anchor="SENTENCIA_2025_64" w:history="1">
        <w:r w:rsidRPr="001D7FA9">
          <w:rPr>
            <w:rStyle w:val="TextoNormalCaracter"/>
          </w:rPr>
          <w:t>64/2025</w:t>
        </w:r>
      </w:hyperlink>
      <w:r>
        <w:t>, ff. 4, 5.</w:t>
      </w:r>
    </w:p>
    <w:p w14:paraId="3B29462C" w14:textId="15743C1B" w:rsidR="001D7FA9" w:rsidRDefault="001D7FA9" w:rsidP="001D7FA9">
      <w:pPr>
        <w:pStyle w:val="SangriaFrancesaArticulo"/>
      </w:pPr>
      <w:r w:rsidRPr="001D7FA9">
        <w:rPr>
          <w:rStyle w:val="TextoNormalNegritaCaracter"/>
        </w:rPr>
        <w:t>Artículo 47.1.</w:t>
      </w:r>
      <w:r w:rsidRPr="001D7FA9">
        <w:rPr>
          <w:rStyle w:val="TextoNormalCaracter"/>
        </w:rPr>
        <w:t>-</w:t>
      </w:r>
      <w:r>
        <w:t xml:space="preserve"> Sentencia </w:t>
      </w:r>
      <w:hyperlink w:anchor="SENTENCIA_2025_25" w:history="1">
        <w:r w:rsidRPr="001D7FA9">
          <w:rPr>
            <w:rStyle w:val="TextoNormalCaracter"/>
          </w:rPr>
          <w:t>25/2025</w:t>
        </w:r>
      </w:hyperlink>
      <w:r>
        <w:t>, f. 5.</w:t>
      </w:r>
    </w:p>
    <w:p w14:paraId="3C5C1ACF" w14:textId="39B92E4A" w:rsidR="001D7FA9" w:rsidRDefault="001D7FA9" w:rsidP="001D7FA9">
      <w:pPr>
        <w:pStyle w:val="SangriaFrancesaArticulo"/>
      </w:pPr>
      <w:r w:rsidRPr="001D7FA9">
        <w:rPr>
          <w:rStyle w:val="TextoNormalNegritaCaracter"/>
        </w:rPr>
        <w:t>Artículo 51.</w:t>
      </w:r>
      <w:r w:rsidRPr="001D7FA9">
        <w:rPr>
          <w:rStyle w:val="TextoNormalCaracter"/>
        </w:rPr>
        <w:t>-</w:t>
      </w:r>
      <w:r>
        <w:t xml:space="preserve"> Sentencias </w:t>
      </w:r>
      <w:hyperlink w:anchor="SENTENCIA_2025_26" w:history="1">
        <w:r w:rsidRPr="001D7FA9">
          <w:rPr>
            <w:rStyle w:val="TextoNormalCaracter"/>
          </w:rPr>
          <w:t>26/2025</w:t>
        </w:r>
      </w:hyperlink>
      <w:r>
        <w:t xml:space="preserve">, VP I; </w:t>
      </w:r>
      <w:hyperlink w:anchor="SENTENCIA_2025_121" w:history="1">
        <w:r w:rsidRPr="001D7FA9">
          <w:rPr>
            <w:rStyle w:val="TextoNormalCaracter"/>
          </w:rPr>
          <w:t>121/2025</w:t>
        </w:r>
      </w:hyperlink>
      <w:r>
        <w:t>, f. 3.</w:t>
      </w:r>
    </w:p>
    <w:p w14:paraId="44D58A01" w14:textId="4B728FB1" w:rsidR="001D7FA9" w:rsidRDefault="001D7FA9" w:rsidP="001D7FA9">
      <w:pPr>
        <w:pStyle w:val="SangriaFrancesaArticulo"/>
      </w:pPr>
      <w:r w:rsidRPr="001D7FA9">
        <w:rPr>
          <w:rStyle w:val="TextoNormalNegritaCaracter"/>
        </w:rPr>
        <w:t>Artículo 53.</w:t>
      </w:r>
      <w:r w:rsidRPr="001D7FA9">
        <w:rPr>
          <w:rStyle w:val="TextoNormalCaracter"/>
        </w:rPr>
        <w:t>-</w:t>
      </w:r>
      <w:r>
        <w:t xml:space="preserve"> Sentencia </w:t>
      </w:r>
      <w:hyperlink w:anchor="SENTENCIA_2025_64" w:history="1">
        <w:r w:rsidRPr="001D7FA9">
          <w:rPr>
            <w:rStyle w:val="TextoNormalCaracter"/>
          </w:rPr>
          <w:t>64/2025</w:t>
        </w:r>
      </w:hyperlink>
      <w:r>
        <w:t>, f. 4.</w:t>
      </w:r>
    </w:p>
    <w:p w14:paraId="262E0C48" w14:textId="0E806EB5" w:rsidR="001D7FA9" w:rsidRDefault="001D7FA9" w:rsidP="001D7FA9">
      <w:pPr>
        <w:pStyle w:val="SangriaFrancesaArticulo"/>
      </w:pPr>
      <w:r w:rsidRPr="001D7FA9">
        <w:rPr>
          <w:rStyle w:val="TextoNormalNegritaCaracter"/>
        </w:rPr>
        <w:t>Artículo 53.1.</w:t>
      </w:r>
      <w:r w:rsidRPr="001D7FA9">
        <w:rPr>
          <w:rStyle w:val="TextoNormalCaracter"/>
        </w:rPr>
        <w:t>-</w:t>
      </w:r>
      <w:r>
        <w:t xml:space="preserve"> Sentencias </w:t>
      </w:r>
      <w:hyperlink w:anchor="SENTENCIA_2025_25" w:history="1">
        <w:r w:rsidRPr="001D7FA9">
          <w:rPr>
            <w:rStyle w:val="TextoNormalCaracter"/>
          </w:rPr>
          <w:t>25/2025</w:t>
        </w:r>
      </w:hyperlink>
      <w:r>
        <w:t xml:space="preserve">, ff. 2, 5, VP I; </w:t>
      </w:r>
      <w:hyperlink w:anchor="SENTENCIA_2025_26" w:history="1">
        <w:r w:rsidRPr="001D7FA9">
          <w:rPr>
            <w:rStyle w:val="TextoNormalCaracter"/>
          </w:rPr>
          <w:t>26/2025</w:t>
        </w:r>
      </w:hyperlink>
      <w:r>
        <w:t xml:space="preserve">, ff. 5, 6, VP II; </w:t>
      </w:r>
      <w:hyperlink w:anchor="SENTENCIA_2025_41" w:history="1">
        <w:r w:rsidRPr="001D7FA9">
          <w:rPr>
            <w:rStyle w:val="TextoNormalCaracter"/>
          </w:rPr>
          <w:t>41/2025</w:t>
        </w:r>
      </w:hyperlink>
      <w:r>
        <w:t xml:space="preserve">, f. 1; </w:t>
      </w:r>
      <w:hyperlink w:anchor="SENTENCIA_2025_64" w:history="1">
        <w:r w:rsidRPr="001D7FA9">
          <w:rPr>
            <w:rStyle w:val="TextoNormalCaracter"/>
          </w:rPr>
          <w:t>64/2025</w:t>
        </w:r>
      </w:hyperlink>
      <w:r>
        <w:t xml:space="preserve">, f. 4; </w:t>
      </w:r>
      <w:hyperlink w:anchor="SENTENCIA_2025_95" w:history="1">
        <w:r w:rsidRPr="001D7FA9">
          <w:rPr>
            <w:rStyle w:val="TextoNormalCaracter"/>
          </w:rPr>
          <w:t>95/2025</w:t>
        </w:r>
      </w:hyperlink>
      <w:r>
        <w:t xml:space="preserve">, f. 1; </w:t>
      </w:r>
      <w:hyperlink w:anchor="SENTENCIA_2025_133" w:history="1">
        <w:r w:rsidRPr="001D7FA9">
          <w:rPr>
            <w:rStyle w:val="TextoNormalCaracter"/>
          </w:rPr>
          <w:t>133/2025</w:t>
        </w:r>
      </w:hyperlink>
      <w:r>
        <w:t>, ff. 1, 2.</w:t>
      </w:r>
    </w:p>
    <w:p w14:paraId="1CD238A6" w14:textId="72ABD1ED" w:rsidR="001D7FA9" w:rsidRDefault="001D7FA9" w:rsidP="001D7FA9">
      <w:pPr>
        <w:pStyle w:val="SangriaFrancesaArticulo"/>
      </w:pPr>
      <w:r w:rsidRPr="001D7FA9">
        <w:rPr>
          <w:rStyle w:val="TextoNormalNegritaCaracter"/>
        </w:rPr>
        <w:t>Artículo 53.2.</w:t>
      </w:r>
      <w:r w:rsidRPr="001D7FA9">
        <w:rPr>
          <w:rStyle w:val="TextoNormalCaracter"/>
        </w:rPr>
        <w:t>-</w:t>
      </w:r>
      <w:r>
        <w:t xml:space="preserve"> Sentencia </w:t>
      </w:r>
      <w:hyperlink w:anchor="SENTENCIA_2025_64" w:history="1">
        <w:r w:rsidRPr="001D7FA9">
          <w:rPr>
            <w:rStyle w:val="TextoNormalCaracter"/>
          </w:rPr>
          <w:t>64/2025</w:t>
        </w:r>
      </w:hyperlink>
      <w:r>
        <w:t>, f. 4.</w:t>
      </w:r>
    </w:p>
    <w:p w14:paraId="0741141A" w14:textId="34683A16"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VP.</w:t>
      </w:r>
    </w:p>
    <w:p w14:paraId="7BCD28EA" w14:textId="0A6CCBEA" w:rsidR="001D7FA9" w:rsidRDefault="001D7FA9" w:rsidP="001D7FA9">
      <w:pPr>
        <w:pStyle w:val="SangriaFrancesaArticulo"/>
      </w:pPr>
      <w:r w:rsidRPr="001D7FA9">
        <w:rPr>
          <w:rStyle w:val="TextoNormalNegritaCaracter"/>
        </w:rPr>
        <w:t>Artículo 55.</w:t>
      </w:r>
      <w:r w:rsidRPr="001D7FA9">
        <w:rPr>
          <w:rStyle w:val="TextoNormalCaracter"/>
        </w:rPr>
        <w:t>-</w:t>
      </w:r>
      <w:r>
        <w:t xml:space="preserve"> Sentencia </w:t>
      </w:r>
      <w:hyperlink w:anchor="SENTENCIA_2025_95" w:history="1">
        <w:r w:rsidRPr="001D7FA9">
          <w:rPr>
            <w:rStyle w:val="TextoNormalCaracter"/>
          </w:rPr>
          <w:t>95/2025</w:t>
        </w:r>
      </w:hyperlink>
      <w:r>
        <w:t>, ff. 1 a 3.</w:t>
      </w:r>
    </w:p>
    <w:p w14:paraId="375933AB" w14:textId="2C301A21" w:rsidR="001D7FA9" w:rsidRDefault="001D7FA9" w:rsidP="001D7FA9">
      <w:pPr>
        <w:pStyle w:val="SangriaFrancesaArticulo"/>
      </w:pPr>
      <w:r w:rsidRPr="001D7FA9">
        <w:rPr>
          <w:rStyle w:val="TextoNormalNegritaCaracter"/>
        </w:rPr>
        <w:t>Artículo 55.1.</w:t>
      </w:r>
      <w:r w:rsidRPr="001D7FA9">
        <w:rPr>
          <w:rStyle w:val="TextoNormalCaracter"/>
        </w:rPr>
        <w:t>-</w:t>
      </w:r>
      <w:r>
        <w:t xml:space="preserve"> Sentencia </w:t>
      </w:r>
      <w:hyperlink w:anchor="SENTENCIA_2025_133" w:history="1">
        <w:r w:rsidRPr="001D7FA9">
          <w:rPr>
            <w:rStyle w:val="TextoNormalCaracter"/>
          </w:rPr>
          <w:t>133/2025</w:t>
        </w:r>
      </w:hyperlink>
      <w:r>
        <w:t>, ff. 1, 2, 4.</w:t>
      </w:r>
    </w:p>
    <w:p w14:paraId="37B16F6F" w14:textId="624F0A50" w:rsidR="001D7FA9" w:rsidRDefault="001D7FA9" w:rsidP="001D7FA9">
      <w:pPr>
        <w:pStyle w:val="SangriaFrancesaArticulo"/>
      </w:pPr>
      <w:r w:rsidRPr="001D7FA9">
        <w:rPr>
          <w:rStyle w:val="TextoNormalNegritaCaracter"/>
        </w:rPr>
        <w:t>Artículo 56.3.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5D8D5CA" w14:textId="7C0F1D69" w:rsidR="001D7FA9" w:rsidRDefault="001D7FA9" w:rsidP="001D7FA9">
      <w:pPr>
        <w:pStyle w:val="SangriaFrancesaArticulo"/>
      </w:pPr>
      <w:r w:rsidRPr="001D7FA9">
        <w:rPr>
          <w:rStyle w:val="TextoNormalNegritaCaracter"/>
        </w:rPr>
        <w:t>Artículo 57.1.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C47D673" w14:textId="2714DDB3" w:rsidR="001D7FA9" w:rsidRDefault="001D7FA9" w:rsidP="001D7FA9">
      <w:pPr>
        <w:pStyle w:val="SangriaFrancesaArticulo"/>
      </w:pPr>
      <w:r w:rsidRPr="001D7FA9">
        <w:rPr>
          <w:rStyle w:val="TextoNormalNegritaCaracter"/>
        </w:rPr>
        <w:t>Artículo 57.5.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4AD7408" w14:textId="40A25827" w:rsidR="001D7FA9" w:rsidRDefault="001D7FA9" w:rsidP="001D7FA9">
      <w:pPr>
        <w:pStyle w:val="SangriaFrancesaArticulo"/>
      </w:pPr>
      <w:r w:rsidRPr="001D7FA9">
        <w:rPr>
          <w:rStyle w:val="TextoNormalNegritaCaracter"/>
        </w:rPr>
        <w:t>Artículo 62 a).</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5F9FC631" w14:textId="005D5790" w:rsidR="001D7FA9" w:rsidRDefault="001D7FA9" w:rsidP="001D7FA9">
      <w:pPr>
        <w:pStyle w:val="SangriaFrancesaArticulo"/>
      </w:pPr>
      <w:r w:rsidRPr="001D7FA9">
        <w:rPr>
          <w:rStyle w:val="TextoNormalNegritaCaracter"/>
        </w:rPr>
        <w:t>Artículo 62 i).</w:t>
      </w:r>
      <w:r w:rsidRPr="001D7FA9">
        <w:rPr>
          <w:rStyle w:val="TextoNormalCaracter"/>
        </w:rPr>
        <w:t>-</w:t>
      </w:r>
      <w:r>
        <w:t xml:space="preserve"> Sentencia </w:t>
      </w:r>
      <w:hyperlink w:anchor="SENTENCIA_2025_137" w:history="1">
        <w:r w:rsidRPr="001D7FA9">
          <w:rPr>
            <w:rStyle w:val="TextoNormalCaracter"/>
          </w:rPr>
          <w:t>137/2025</w:t>
        </w:r>
      </w:hyperlink>
      <w:r>
        <w:t>, ff. 1 a 3, VP I, VP II, VP III, VP IV.</w:t>
      </w:r>
    </w:p>
    <w:p w14:paraId="0DCCF1A7" w14:textId="67C734A3" w:rsidR="001D7FA9" w:rsidRDefault="001D7FA9" w:rsidP="001D7FA9">
      <w:pPr>
        <w:pStyle w:val="SangriaFrancesaArticulo"/>
      </w:pPr>
      <w:r w:rsidRPr="001D7FA9">
        <w:rPr>
          <w:rStyle w:val="TextoNormalNegritaCaracter"/>
        </w:rPr>
        <w:t>Artículo 64.</w:t>
      </w:r>
      <w:r w:rsidRPr="001D7FA9">
        <w:rPr>
          <w:rStyle w:val="TextoNormalCaracter"/>
        </w:rPr>
        <w:t>-</w:t>
      </w:r>
      <w:r>
        <w:t xml:space="preserve"> Sentencia </w:t>
      </w:r>
      <w:hyperlink w:anchor="SENTENCIA_2025_137" w:history="1">
        <w:r w:rsidRPr="001D7FA9">
          <w:rPr>
            <w:rStyle w:val="TextoNormalCaracter"/>
          </w:rPr>
          <w:t>137/2025</w:t>
        </w:r>
      </w:hyperlink>
      <w:r>
        <w:t>, f. 3.</w:t>
      </w:r>
    </w:p>
    <w:p w14:paraId="71AF8FE3" w14:textId="696B8251" w:rsidR="001D7FA9" w:rsidRDefault="001D7FA9" w:rsidP="001D7FA9">
      <w:pPr>
        <w:pStyle w:val="SangriaFrancesaArticulo"/>
      </w:pPr>
      <w:r w:rsidRPr="001D7FA9">
        <w:rPr>
          <w:rStyle w:val="TextoNormalNegritaCaracter"/>
        </w:rPr>
        <w:t>Artículo 64.1.</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42146CC2" w14:textId="289B53D4" w:rsidR="001D7FA9" w:rsidRDefault="001D7FA9" w:rsidP="001D7FA9">
      <w:pPr>
        <w:pStyle w:val="SangriaFrancesaArticulo"/>
      </w:pPr>
      <w:r w:rsidRPr="001D7FA9">
        <w:rPr>
          <w:rStyle w:val="TextoNormalNegritaCaracter"/>
        </w:rPr>
        <w:t>Artículo 66.</w:t>
      </w:r>
      <w:r w:rsidRPr="001D7FA9">
        <w:rPr>
          <w:rStyle w:val="TextoNormalCaracter"/>
        </w:rPr>
        <w:t>-</w:t>
      </w:r>
      <w:r>
        <w:t xml:space="preserve"> Sentencias </w:t>
      </w:r>
      <w:hyperlink w:anchor="SENTENCIA_2025_63" w:history="1">
        <w:r w:rsidRPr="001D7FA9">
          <w:rPr>
            <w:rStyle w:val="TextoNormalCaracter"/>
          </w:rPr>
          <w:t>63/2025</w:t>
        </w:r>
      </w:hyperlink>
      <w:r>
        <w:t xml:space="preserve">, f. 9; </w:t>
      </w:r>
      <w:hyperlink w:anchor="SENTENCIA_2025_135" w:history="1">
        <w:r w:rsidRPr="001D7FA9">
          <w:rPr>
            <w:rStyle w:val="TextoNormalCaracter"/>
          </w:rPr>
          <w:t>135/2025</w:t>
        </w:r>
      </w:hyperlink>
      <w:r>
        <w:t xml:space="preserve">, f. 4; </w:t>
      </w:r>
      <w:hyperlink w:anchor="SENTENCIA_2025_137" w:history="1">
        <w:r w:rsidRPr="001D7FA9">
          <w:rPr>
            <w:rStyle w:val="TextoNormalCaracter"/>
          </w:rPr>
          <w:t>137/2025</w:t>
        </w:r>
      </w:hyperlink>
      <w:r>
        <w:t>, f. 3, VP II.</w:t>
      </w:r>
    </w:p>
    <w:p w14:paraId="03506B21" w14:textId="5D04B84D" w:rsidR="001D7FA9" w:rsidRDefault="001D7FA9" w:rsidP="001D7FA9">
      <w:pPr>
        <w:pStyle w:val="SangriaFrancesaArticulo"/>
      </w:pPr>
      <w:r w:rsidRPr="001D7FA9">
        <w:rPr>
          <w:rStyle w:val="TextoNormalNegritaCaracter"/>
        </w:rPr>
        <w:t>Artículo 66.1.</w:t>
      </w:r>
      <w:r w:rsidRPr="001D7FA9">
        <w:rPr>
          <w:rStyle w:val="TextoNormalCaracter"/>
        </w:rPr>
        <w:t>-</w:t>
      </w:r>
      <w:r>
        <w:t xml:space="preserve"> Sentencia </w:t>
      </w:r>
      <w:hyperlink w:anchor="SENTENCIA_2025_137" w:history="1">
        <w:r w:rsidRPr="001D7FA9">
          <w:rPr>
            <w:rStyle w:val="TextoNormalCaracter"/>
          </w:rPr>
          <w:t>137/2025</w:t>
        </w:r>
      </w:hyperlink>
      <w:r>
        <w:t>, VP II, VP IV.</w:t>
      </w:r>
    </w:p>
    <w:p w14:paraId="0CAB7A2B" w14:textId="07F7279F" w:rsidR="001D7FA9" w:rsidRDefault="001D7FA9" w:rsidP="001D7FA9">
      <w:pPr>
        <w:pStyle w:val="SangriaFrancesaArticulo"/>
      </w:pPr>
      <w:r w:rsidRPr="001D7FA9">
        <w:rPr>
          <w:rStyle w:val="TextoNormalNegritaCaracter"/>
        </w:rPr>
        <w:t>Artículo 66.2.</w:t>
      </w:r>
      <w:r w:rsidRPr="001D7FA9">
        <w:rPr>
          <w:rStyle w:val="TextoNormalCaracter"/>
        </w:rPr>
        <w:t>-</w:t>
      </w:r>
      <w:r>
        <w:t xml:space="preserve"> Sentencias </w:t>
      </w:r>
      <w:hyperlink w:anchor="SENTENCIA_2025_63" w:history="1">
        <w:r w:rsidRPr="001D7FA9">
          <w:rPr>
            <w:rStyle w:val="TextoNormalCaracter"/>
          </w:rPr>
          <w:t>63/2025</w:t>
        </w:r>
      </w:hyperlink>
      <w:r>
        <w:t xml:space="preserve">, ff. 9, 10, VP I; </w:t>
      </w:r>
      <w:hyperlink w:anchor="SENTENCIA_2025_107" w:history="1">
        <w:r w:rsidRPr="001D7FA9">
          <w:rPr>
            <w:rStyle w:val="TextoNormalCaracter"/>
          </w:rPr>
          <w:t>107/2025</w:t>
        </w:r>
      </w:hyperlink>
      <w:r>
        <w:t xml:space="preserve">, f. 3; </w:t>
      </w:r>
      <w:hyperlink w:anchor="SENTENCIA_2025_137" w:history="1">
        <w:r w:rsidRPr="001D7FA9">
          <w:rPr>
            <w:rStyle w:val="TextoNormalCaracter"/>
          </w:rPr>
          <w:t>137/2025</w:t>
        </w:r>
      </w:hyperlink>
      <w:r>
        <w:t>, ff. 3 a 5, VP I, VP II, VP III, VP IV.</w:t>
      </w:r>
    </w:p>
    <w:p w14:paraId="6DFB550E" w14:textId="695DC96B" w:rsidR="001D7FA9" w:rsidRDefault="001D7FA9" w:rsidP="001D7FA9">
      <w:pPr>
        <w:pStyle w:val="SangriaFrancesaArticulo"/>
      </w:pPr>
      <w:r w:rsidRPr="001D7FA9">
        <w:rPr>
          <w:rStyle w:val="TextoNormalNegritaCaracter"/>
        </w:rPr>
        <w:t>Artículo 66.2, inciso final.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4EE2A10" w14:textId="5BB31DAA" w:rsidR="001D7FA9" w:rsidRDefault="001D7FA9" w:rsidP="001D7FA9">
      <w:pPr>
        <w:pStyle w:val="SangriaFrancesaArticulo"/>
      </w:pPr>
      <w:r w:rsidRPr="001D7FA9">
        <w:rPr>
          <w:rStyle w:val="TextoNormalNegritaCaracter"/>
        </w:rPr>
        <w:t>Artículo 67.2.</w:t>
      </w:r>
      <w:r w:rsidRPr="001D7FA9">
        <w:rPr>
          <w:rStyle w:val="TextoNormalCaracter"/>
        </w:rPr>
        <w:t>-</w:t>
      </w:r>
      <w:r>
        <w:t xml:space="preserve"> Sentencia </w:t>
      </w:r>
      <w:hyperlink w:anchor="SENTENCIA_2025_134" w:history="1">
        <w:r w:rsidRPr="001D7FA9">
          <w:rPr>
            <w:rStyle w:val="TextoNormalCaracter"/>
          </w:rPr>
          <w:t>134/2025</w:t>
        </w:r>
      </w:hyperlink>
      <w:r>
        <w:t>, f. 3.</w:t>
      </w:r>
    </w:p>
    <w:p w14:paraId="010475B0" w14:textId="2CA67F50" w:rsidR="001D7FA9" w:rsidRDefault="001D7FA9" w:rsidP="001D7FA9">
      <w:pPr>
        <w:pStyle w:val="SangriaFrancesaArticulo"/>
      </w:pPr>
      <w:r w:rsidRPr="001D7FA9">
        <w:rPr>
          <w:rStyle w:val="TextoNormalNegritaCaracter"/>
        </w:rPr>
        <w:t>Artículo 70.1 b).</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BD2103F" w14:textId="177F7FD4" w:rsidR="001D7FA9" w:rsidRDefault="001D7FA9" w:rsidP="001D7FA9">
      <w:pPr>
        <w:pStyle w:val="SangriaFrancesaArticulo"/>
      </w:pPr>
      <w:r w:rsidRPr="001D7FA9">
        <w:rPr>
          <w:rStyle w:val="TextoNormalNegritaCaracter"/>
        </w:rPr>
        <w:t>Artículo 71.1.</w:t>
      </w:r>
      <w:r w:rsidRPr="001D7FA9">
        <w:rPr>
          <w:rStyle w:val="TextoNormalCaracter"/>
        </w:rPr>
        <w:t>-</w:t>
      </w:r>
      <w:r>
        <w:t xml:space="preserve"> Sentencias </w:t>
      </w:r>
      <w:hyperlink w:anchor="SENTENCIA_2025_107" w:history="1">
        <w:r w:rsidRPr="001D7FA9">
          <w:rPr>
            <w:rStyle w:val="TextoNormalCaracter"/>
          </w:rPr>
          <w:t>107/2025</w:t>
        </w:r>
      </w:hyperlink>
      <w:r>
        <w:t xml:space="preserve">, f. 3; </w:t>
      </w:r>
      <w:hyperlink w:anchor="SENTENCIA_2025_137" w:history="1">
        <w:r w:rsidRPr="001D7FA9">
          <w:rPr>
            <w:rStyle w:val="TextoNormalCaracter"/>
          </w:rPr>
          <w:t>137/2025</w:t>
        </w:r>
      </w:hyperlink>
      <w:r>
        <w:t>, VP III.</w:t>
      </w:r>
    </w:p>
    <w:p w14:paraId="68897852" w14:textId="58AB5689" w:rsidR="001D7FA9" w:rsidRDefault="001D7FA9" w:rsidP="001D7FA9">
      <w:pPr>
        <w:pStyle w:val="SangriaFrancesaArticulo"/>
      </w:pPr>
      <w:r w:rsidRPr="001D7FA9">
        <w:rPr>
          <w:rStyle w:val="TextoNormalNegritaCaracter"/>
        </w:rPr>
        <w:t>Artículo 71.2.</w:t>
      </w:r>
      <w:r w:rsidRPr="001D7FA9">
        <w:rPr>
          <w:rStyle w:val="TextoNormalCaracter"/>
        </w:rPr>
        <w:t>-</w:t>
      </w:r>
      <w:r>
        <w:t xml:space="preserve"> Sentencia </w:t>
      </w:r>
      <w:hyperlink w:anchor="SENTENCIA_2025_137" w:history="1">
        <w:r w:rsidRPr="001D7FA9">
          <w:rPr>
            <w:rStyle w:val="TextoNormalCaracter"/>
          </w:rPr>
          <w:t>137/2025</w:t>
        </w:r>
      </w:hyperlink>
      <w:r>
        <w:t>, f. 4, VP III.</w:t>
      </w:r>
    </w:p>
    <w:p w14:paraId="06384C5C" w14:textId="06FA5739" w:rsidR="001D7FA9" w:rsidRDefault="001D7FA9" w:rsidP="001D7FA9">
      <w:pPr>
        <w:pStyle w:val="SangriaFrancesaArticulo"/>
      </w:pPr>
      <w:r w:rsidRPr="001D7FA9">
        <w:rPr>
          <w:rStyle w:val="TextoNormalNegritaCaracter"/>
        </w:rPr>
        <w:t>Artículo 72.1.</w:t>
      </w:r>
      <w:r w:rsidRPr="001D7FA9">
        <w:rPr>
          <w:rStyle w:val="TextoNormalCaracter"/>
        </w:rPr>
        <w:t>-</w:t>
      </w:r>
      <w:r>
        <w:t xml:space="preserve"> Sentencias </w:t>
      </w:r>
      <w:hyperlink w:anchor="SENTENCIA_2025_63" w:history="1">
        <w:r w:rsidRPr="001D7FA9">
          <w:rPr>
            <w:rStyle w:val="TextoNormalCaracter"/>
          </w:rPr>
          <w:t>63/2025</w:t>
        </w:r>
      </w:hyperlink>
      <w:r>
        <w:t xml:space="preserve">, ff. 1, 3, 7, VP I; </w:t>
      </w:r>
      <w:hyperlink w:anchor="SENTENCIA_2025_120" w:history="1">
        <w:r w:rsidRPr="001D7FA9">
          <w:rPr>
            <w:rStyle w:val="TextoNormalCaracter"/>
          </w:rPr>
          <w:t>120/2025</w:t>
        </w:r>
      </w:hyperlink>
      <w:r>
        <w:t>, f. 2.</w:t>
      </w:r>
    </w:p>
    <w:p w14:paraId="1C5DAF25" w14:textId="79F5FB29" w:rsidR="001D7FA9" w:rsidRDefault="001D7FA9" w:rsidP="001D7FA9">
      <w:pPr>
        <w:pStyle w:val="SangriaFrancesaArticulo"/>
      </w:pPr>
      <w:r w:rsidRPr="001D7FA9">
        <w:rPr>
          <w:rStyle w:val="TextoNormalNegritaCaracter"/>
        </w:rPr>
        <w:t>Artículo 73.</w:t>
      </w:r>
      <w:r w:rsidRPr="001D7FA9">
        <w:rPr>
          <w:rStyle w:val="TextoNormalCaracter"/>
        </w:rPr>
        <w:t>-</w:t>
      </w:r>
      <w:r>
        <w:t xml:space="preserve"> Sentencia </w:t>
      </w:r>
      <w:hyperlink w:anchor="SENTENCIA_2025_40" w:history="1">
        <w:r w:rsidRPr="001D7FA9">
          <w:rPr>
            <w:rStyle w:val="TextoNormalCaracter"/>
          </w:rPr>
          <w:t>40/2025</w:t>
        </w:r>
      </w:hyperlink>
      <w:r>
        <w:t>, VP III.</w:t>
      </w:r>
    </w:p>
    <w:p w14:paraId="122A5055" w14:textId="0832917A" w:rsidR="001D7FA9" w:rsidRDefault="001D7FA9" w:rsidP="001D7FA9">
      <w:pPr>
        <w:pStyle w:val="SangriaFrancesaArticulo"/>
      </w:pPr>
      <w:r w:rsidRPr="001D7FA9">
        <w:rPr>
          <w:rStyle w:val="TextoNormalNegritaCaracter"/>
        </w:rPr>
        <w:t>Artículo 74.2.</w:t>
      </w:r>
      <w:r w:rsidRPr="001D7FA9">
        <w:rPr>
          <w:rStyle w:val="TextoNormalCaracter"/>
        </w:rPr>
        <w:t>-</w:t>
      </w:r>
      <w:r>
        <w:t xml:space="preserve"> Sentencia </w:t>
      </w:r>
      <w:hyperlink w:anchor="SENTENCIA_2025_63" w:history="1">
        <w:r w:rsidRPr="001D7FA9">
          <w:rPr>
            <w:rStyle w:val="TextoNormalCaracter"/>
          </w:rPr>
          <w:t>63/2025</w:t>
        </w:r>
      </w:hyperlink>
      <w:r>
        <w:t>, f. 9, VP I.</w:t>
      </w:r>
    </w:p>
    <w:p w14:paraId="7E42527F" w14:textId="3FAA3C30" w:rsidR="001D7FA9" w:rsidRDefault="001D7FA9" w:rsidP="001D7FA9">
      <w:pPr>
        <w:pStyle w:val="SangriaFrancesaArticulo"/>
      </w:pPr>
      <w:r w:rsidRPr="001D7FA9">
        <w:rPr>
          <w:rStyle w:val="TextoNormalNegritaCaracter"/>
        </w:rPr>
        <w:t>Artículo 75.</w:t>
      </w:r>
      <w:r w:rsidRPr="001D7FA9">
        <w:rPr>
          <w:rStyle w:val="TextoNormalCaracter"/>
        </w:rPr>
        <w:t>-</w:t>
      </w:r>
      <w:r>
        <w:t xml:space="preserve"> Sentencia </w:t>
      </w:r>
      <w:hyperlink w:anchor="SENTENCIA_2025_63" w:history="1">
        <w:r w:rsidRPr="001D7FA9">
          <w:rPr>
            <w:rStyle w:val="TextoNormalCaracter"/>
          </w:rPr>
          <w:t>63/2025</w:t>
        </w:r>
      </w:hyperlink>
      <w:r>
        <w:t>, f. 9.</w:t>
      </w:r>
    </w:p>
    <w:p w14:paraId="06C3895F" w14:textId="00EEBE83" w:rsidR="001D7FA9" w:rsidRDefault="001D7FA9" w:rsidP="001D7FA9">
      <w:pPr>
        <w:pStyle w:val="SangriaFrancesaArticulo"/>
      </w:pPr>
      <w:r w:rsidRPr="001D7FA9">
        <w:rPr>
          <w:rStyle w:val="TextoNormalNegritaCaracter"/>
        </w:rPr>
        <w:t>Artículo 76.</w:t>
      </w:r>
      <w:r w:rsidRPr="001D7FA9">
        <w:rPr>
          <w:rStyle w:val="TextoNormalCaracter"/>
        </w:rPr>
        <w:t>-</w:t>
      </w:r>
      <w:r>
        <w:t xml:space="preserve"> Sentencias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f. 2.</w:t>
      </w:r>
    </w:p>
    <w:p w14:paraId="3993E9E0" w14:textId="1D128297" w:rsidR="001D7FA9" w:rsidRDefault="001D7FA9" w:rsidP="001D7FA9">
      <w:pPr>
        <w:pStyle w:val="SangriaFrancesaArticulo"/>
      </w:pPr>
      <w:r w:rsidRPr="001D7FA9">
        <w:rPr>
          <w:rStyle w:val="TextoNormalNegritaCaracter"/>
        </w:rPr>
        <w:t>Artículo 77.</w:t>
      </w:r>
      <w:r w:rsidRPr="001D7FA9">
        <w:rPr>
          <w:rStyle w:val="TextoNormalCaracter"/>
        </w:rPr>
        <w:t>-</w:t>
      </w:r>
      <w:r>
        <w:t xml:space="preserve"> Sentencia </w:t>
      </w:r>
      <w:hyperlink w:anchor="SENTENCIA_2025_43" w:history="1">
        <w:r w:rsidRPr="001D7FA9">
          <w:rPr>
            <w:rStyle w:val="TextoNormalCaracter"/>
          </w:rPr>
          <w:t>43/2025</w:t>
        </w:r>
      </w:hyperlink>
      <w:r>
        <w:t>, f. 1.</w:t>
      </w:r>
    </w:p>
    <w:p w14:paraId="0674FD1C" w14:textId="53425985" w:rsidR="001D7FA9" w:rsidRDefault="001D7FA9" w:rsidP="001D7FA9">
      <w:pPr>
        <w:pStyle w:val="SangriaFrancesaArticulo"/>
      </w:pPr>
      <w:r w:rsidRPr="001D7FA9">
        <w:rPr>
          <w:rStyle w:val="TextoNormalNegritaCaracter"/>
        </w:rPr>
        <w:t>Artículo 78.</w:t>
      </w:r>
      <w:r w:rsidRPr="001D7FA9">
        <w:rPr>
          <w:rStyle w:val="TextoNormalCaracter"/>
        </w:rPr>
        <w:t>-</w:t>
      </w:r>
      <w:r>
        <w:t xml:space="preserve"> Sentencia </w:t>
      </w:r>
      <w:hyperlink w:anchor="SENTENCIA_2025_40" w:history="1">
        <w:r w:rsidRPr="001D7FA9">
          <w:rPr>
            <w:rStyle w:val="TextoNormalCaracter"/>
          </w:rPr>
          <w:t>40/2025</w:t>
        </w:r>
      </w:hyperlink>
      <w:r>
        <w:t>, f. 3, VP III.</w:t>
      </w:r>
    </w:p>
    <w:p w14:paraId="1346738B" w14:textId="7D0DFF12" w:rsidR="001D7FA9" w:rsidRDefault="001D7FA9" w:rsidP="001D7FA9">
      <w:pPr>
        <w:pStyle w:val="SangriaFrancesaArticulo"/>
      </w:pPr>
      <w:r w:rsidRPr="001D7FA9">
        <w:rPr>
          <w:rStyle w:val="TextoNormalNegritaCaracter"/>
        </w:rPr>
        <w:t>Artículo 78.2.</w:t>
      </w:r>
      <w:r w:rsidRPr="001D7FA9">
        <w:rPr>
          <w:rStyle w:val="TextoNormalCaracter"/>
        </w:rPr>
        <w:t>-</w:t>
      </w:r>
      <w:r>
        <w:t xml:space="preserve"> Sentencia </w:t>
      </w:r>
      <w:hyperlink w:anchor="SENTENCIA_2025_40" w:history="1">
        <w:r w:rsidRPr="001D7FA9">
          <w:rPr>
            <w:rStyle w:val="TextoNormalCaracter"/>
          </w:rPr>
          <w:t>40/2025</w:t>
        </w:r>
      </w:hyperlink>
      <w:r>
        <w:t>, f. 3, VP III.</w:t>
      </w:r>
    </w:p>
    <w:p w14:paraId="5951F64D" w14:textId="4F7B163D" w:rsidR="001D7FA9" w:rsidRDefault="001D7FA9" w:rsidP="001D7FA9">
      <w:pPr>
        <w:pStyle w:val="SangriaFrancesaArticulo"/>
      </w:pPr>
      <w:r w:rsidRPr="001D7FA9">
        <w:rPr>
          <w:rStyle w:val="TextoNormalNegritaCaracter"/>
        </w:rPr>
        <w:t>Artículo 78.3.</w:t>
      </w:r>
      <w:r w:rsidRPr="001D7FA9">
        <w:rPr>
          <w:rStyle w:val="TextoNormalCaracter"/>
        </w:rPr>
        <w:t>-</w:t>
      </w:r>
      <w:r>
        <w:t xml:space="preserve"> Sentencia </w:t>
      </w:r>
      <w:hyperlink w:anchor="SENTENCIA_2025_40" w:history="1">
        <w:r w:rsidRPr="001D7FA9">
          <w:rPr>
            <w:rStyle w:val="TextoNormalCaracter"/>
          </w:rPr>
          <w:t>40/2025</w:t>
        </w:r>
      </w:hyperlink>
      <w:r>
        <w:t>, f. 3, VP III.</w:t>
      </w:r>
    </w:p>
    <w:p w14:paraId="4F4C8B45" w14:textId="3E55AE25" w:rsidR="001D7FA9" w:rsidRDefault="001D7FA9" w:rsidP="001D7FA9">
      <w:pPr>
        <w:pStyle w:val="SangriaFrancesaArticulo"/>
      </w:pPr>
      <w:r w:rsidRPr="001D7FA9">
        <w:rPr>
          <w:rStyle w:val="TextoNormalNegritaCaracter"/>
        </w:rPr>
        <w:t>Artículo 79.</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63691667" w14:textId="0B008FBB" w:rsidR="001D7FA9" w:rsidRDefault="001D7FA9" w:rsidP="001D7FA9">
      <w:pPr>
        <w:pStyle w:val="SangriaFrancesaArticulo"/>
      </w:pPr>
      <w:r w:rsidRPr="001D7FA9">
        <w:rPr>
          <w:rStyle w:val="TextoNormalNegritaCaracter"/>
        </w:rPr>
        <w:t>Artículo 79.1.</w:t>
      </w:r>
      <w:r w:rsidRPr="001D7FA9">
        <w:rPr>
          <w:rStyle w:val="TextoNormalCaracter"/>
        </w:rPr>
        <w:t>-</w:t>
      </w:r>
      <w:r>
        <w:t xml:space="preserve"> Sentencia </w:t>
      </w:r>
      <w:hyperlink w:anchor="SENTENCIA_2025_137" w:history="1">
        <w:r w:rsidRPr="001D7FA9">
          <w:rPr>
            <w:rStyle w:val="TextoNormalCaracter"/>
          </w:rPr>
          <w:t>137/2025</w:t>
        </w:r>
      </w:hyperlink>
      <w:r>
        <w:t>, f. 12, VP II, VP III.</w:t>
      </w:r>
    </w:p>
    <w:p w14:paraId="3DF9B51E" w14:textId="2DF5271B" w:rsidR="001D7FA9" w:rsidRDefault="001D7FA9" w:rsidP="001D7FA9">
      <w:pPr>
        <w:pStyle w:val="SangriaFrancesaArticulo"/>
      </w:pPr>
      <w:r w:rsidRPr="001D7FA9">
        <w:rPr>
          <w:rStyle w:val="TextoNormalNegritaCaracter"/>
        </w:rPr>
        <w:t>Artículo 79.2.</w:t>
      </w:r>
      <w:r w:rsidRPr="001D7FA9">
        <w:rPr>
          <w:rStyle w:val="TextoNormalCaracter"/>
        </w:rPr>
        <w:t>-</w:t>
      </w:r>
      <w:r>
        <w:t xml:space="preserve"> Sentencia </w:t>
      </w:r>
      <w:hyperlink w:anchor="SENTENCIA_2025_137" w:history="1">
        <w:r w:rsidRPr="001D7FA9">
          <w:rPr>
            <w:rStyle w:val="TextoNormalCaracter"/>
          </w:rPr>
          <w:t>137/2025</w:t>
        </w:r>
      </w:hyperlink>
      <w:r>
        <w:t>, ff. 1, 12, VP III.</w:t>
      </w:r>
    </w:p>
    <w:p w14:paraId="7BFDBD25" w14:textId="4438F8D3" w:rsidR="001D7FA9" w:rsidRDefault="001D7FA9" w:rsidP="001D7FA9">
      <w:pPr>
        <w:pStyle w:val="SangriaFrancesaArticulo"/>
      </w:pPr>
      <w:r w:rsidRPr="001D7FA9">
        <w:rPr>
          <w:rStyle w:val="TextoNormalNegritaCaracter"/>
        </w:rPr>
        <w:t>Artículo 79.3.</w:t>
      </w:r>
      <w:r w:rsidRPr="001D7FA9">
        <w:rPr>
          <w:rStyle w:val="TextoNormalCaracter"/>
        </w:rPr>
        <w:t>-</w:t>
      </w:r>
      <w:r>
        <w:t xml:space="preserve"> Sentencias </w:t>
      </w:r>
      <w:hyperlink w:anchor="SENTENCIA_2025_40" w:history="1">
        <w:r w:rsidRPr="001D7FA9">
          <w:rPr>
            <w:rStyle w:val="TextoNormalCaracter"/>
          </w:rPr>
          <w:t>40/2025</w:t>
        </w:r>
      </w:hyperlink>
      <w:r>
        <w:t xml:space="preserve">, VP III; </w:t>
      </w:r>
      <w:hyperlink w:anchor="SENTENCIA_2025_83" w:history="1">
        <w:r w:rsidRPr="001D7FA9">
          <w:rPr>
            <w:rStyle w:val="TextoNormalCaracter"/>
          </w:rPr>
          <w:t>83/2025</w:t>
        </w:r>
      </w:hyperlink>
      <w:r>
        <w:t xml:space="preserve">, f. 2; </w:t>
      </w:r>
      <w:hyperlink w:anchor="SENTENCIA_2025_136" w:history="1">
        <w:r w:rsidRPr="001D7FA9">
          <w:rPr>
            <w:rStyle w:val="TextoNormalCaracter"/>
          </w:rPr>
          <w:t>136/2025</w:t>
        </w:r>
      </w:hyperlink>
      <w:r>
        <w:t>, ff. 1, 2.</w:t>
      </w:r>
    </w:p>
    <w:p w14:paraId="21EA8962" w14:textId="0B39CD9F" w:rsidR="001D7FA9" w:rsidRDefault="001D7FA9" w:rsidP="001D7FA9">
      <w:pPr>
        <w:pStyle w:val="SangriaFrancesaArticulo"/>
      </w:pPr>
      <w:r w:rsidRPr="001D7FA9">
        <w:rPr>
          <w:rStyle w:val="TextoNormalNegritaCaracter"/>
        </w:rPr>
        <w:t>Artículo 81.</w:t>
      </w:r>
      <w:r w:rsidRPr="001D7FA9">
        <w:rPr>
          <w:rStyle w:val="TextoNormalCaracter"/>
        </w:rPr>
        <w:t>-</w:t>
      </w:r>
      <w:r>
        <w:t xml:space="preserve"> Sentencias </w:t>
      </w:r>
      <w:hyperlink w:anchor="SENTENCIA_2025_63" w:history="1">
        <w:r w:rsidRPr="001D7FA9">
          <w:rPr>
            <w:rStyle w:val="TextoNormalCaracter"/>
          </w:rPr>
          <w:t>63/2025</w:t>
        </w:r>
      </w:hyperlink>
      <w:r>
        <w:t xml:space="preserve">, f. 9; </w:t>
      </w:r>
      <w:hyperlink w:anchor="SENTENCIA_2025_95" w:history="1">
        <w:r w:rsidRPr="001D7FA9">
          <w:rPr>
            <w:rStyle w:val="TextoNormalCaracter"/>
          </w:rPr>
          <w:t>95/2025</w:t>
        </w:r>
      </w:hyperlink>
      <w:r>
        <w:t xml:space="preserve">, ff. 1, 2; </w:t>
      </w:r>
      <w:hyperlink w:anchor="SENTENCIA_2025_137" w:history="1">
        <w:r w:rsidRPr="001D7FA9">
          <w:rPr>
            <w:rStyle w:val="TextoNormalCaracter"/>
          </w:rPr>
          <w:t>137/2025</w:t>
        </w:r>
      </w:hyperlink>
      <w:r>
        <w:t>, VP IV.</w:t>
      </w:r>
    </w:p>
    <w:p w14:paraId="7BB7E747" w14:textId="60F711B0" w:rsidR="001D7FA9" w:rsidRDefault="001D7FA9" w:rsidP="001D7FA9">
      <w:pPr>
        <w:pStyle w:val="SangriaFrancesaArticulo"/>
      </w:pPr>
      <w:r w:rsidRPr="001D7FA9">
        <w:rPr>
          <w:rStyle w:val="TextoNormalNegritaCaracter"/>
        </w:rPr>
        <w:t>Artículo 81.1.</w:t>
      </w:r>
      <w:r w:rsidRPr="001D7FA9">
        <w:rPr>
          <w:rStyle w:val="TextoNormalCaracter"/>
        </w:rPr>
        <w:t>-</w:t>
      </w:r>
      <w:r>
        <w:t xml:space="preserve"> Sentencias </w:t>
      </w:r>
      <w:hyperlink w:anchor="SENTENCIA_2025_26" w:history="1">
        <w:r w:rsidRPr="001D7FA9">
          <w:rPr>
            <w:rStyle w:val="TextoNormalCaracter"/>
          </w:rPr>
          <w:t>26/2025</w:t>
        </w:r>
      </w:hyperlink>
      <w:r>
        <w:t xml:space="preserve">, f. 6, VP II; </w:t>
      </w:r>
      <w:hyperlink w:anchor="SENTENCIA_2025_82" w:history="1">
        <w:r w:rsidRPr="001D7FA9">
          <w:rPr>
            <w:rStyle w:val="TextoNormalCaracter"/>
          </w:rPr>
          <w:t>82/2025</w:t>
        </w:r>
      </w:hyperlink>
      <w:r>
        <w:t xml:space="preserve">, f. 4; </w:t>
      </w:r>
      <w:hyperlink w:anchor="SENTENCIA_2025_95" w:history="1">
        <w:r w:rsidRPr="001D7FA9">
          <w:rPr>
            <w:rStyle w:val="TextoNormalCaracter"/>
          </w:rPr>
          <w:t>95/2025</w:t>
        </w:r>
      </w:hyperlink>
      <w:r>
        <w:t xml:space="preserve">, ff. 2, 3; </w:t>
      </w:r>
      <w:hyperlink w:anchor="SENTENCIA_2025_133" w:history="1">
        <w:r w:rsidRPr="001D7FA9">
          <w:rPr>
            <w:rStyle w:val="TextoNormalCaracter"/>
          </w:rPr>
          <w:t>133/2025</w:t>
        </w:r>
      </w:hyperlink>
      <w:r>
        <w:t>, ff. 1 a 4.</w:t>
      </w:r>
    </w:p>
    <w:p w14:paraId="4DCDDAF0" w14:textId="2278B22C" w:rsidR="001D7FA9" w:rsidRDefault="001D7FA9" w:rsidP="001D7FA9">
      <w:pPr>
        <w:pStyle w:val="SangriaIzquierdaArticulo"/>
      </w:pPr>
      <w:r>
        <w:t xml:space="preserve">Auto </w:t>
      </w:r>
      <w:hyperlink w:anchor="AUTO_2025_24" w:history="1">
        <w:r w:rsidRPr="001D7FA9">
          <w:rPr>
            <w:rStyle w:val="TextoNormalCaracter"/>
          </w:rPr>
          <w:t>24/2025</w:t>
        </w:r>
      </w:hyperlink>
      <w:r>
        <w:t>, f. 1.</w:t>
      </w:r>
    </w:p>
    <w:p w14:paraId="43A7A861" w14:textId="39A772D0" w:rsidR="001D7FA9" w:rsidRDefault="001D7FA9" w:rsidP="001D7FA9">
      <w:pPr>
        <w:pStyle w:val="SangriaFrancesaArticulo"/>
      </w:pPr>
      <w:r w:rsidRPr="001D7FA9">
        <w:rPr>
          <w:rStyle w:val="TextoNormalNegritaCaracter"/>
        </w:rPr>
        <w:t>Artículo 81.2.</w:t>
      </w:r>
      <w:r w:rsidRPr="001D7FA9">
        <w:rPr>
          <w:rStyle w:val="TextoNormalCaracter"/>
        </w:rPr>
        <w:t>-</w:t>
      </w:r>
      <w:r>
        <w:t xml:space="preserve"> Sentencias </w:t>
      </w:r>
      <w:hyperlink w:anchor="SENTENCIA_2025_63" w:history="1">
        <w:r w:rsidRPr="001D7FA9">
          <w:rPr>
            <w:rStyle w:val="TextoNormalCaracter"/>
          </w:rPr>
          <w:t>63/2025</w:t>
        </w:r>
      </w:hyperlink>
      <w:r>
        <w:t xml:space="preserve">, f. 5; </w:t>
      </w:r>
      <w:hyperlink w:anchor="SENTENCIA_2025_137" w:history="1">
        <w:r w:rsidRPr="001D7FA9">
          <w:rPr>
            <w:rStyle w:val="TextoNormalCaracter"/>
          </w:rPr>
          <w:t>137/2025</w:t>
        </w:r>
      </w:hyperlink>
      <w:r>
        <w:t>, f. 12, VP II, VP III.</w:t>
      </w:r>
    </w:p>
    <w:p w14:paraId="5A9ECB90" w14:textId="7A0B978F" w:rsidR="001D7FA9" w:rsidRDefault="001D7FA9" w:rsidP="001D7FA9">
      <w:pPr>
        <w:pStyle w:val="SangriaFrancesaArticulo"/>
      </w:pPr>
      <w:r w:rsidRPr="001D7FA9">
        <w:rPr>
          <w:rStyle w:val="TextoNormalNegritaCaracter"/>
        </w:rPr>
        <w:t>Artículos 82 a 85.</w:t>
      </w:r>
      <w:r w:rsidRPr="001D7FA9">
        <w:rPr>
          <w:rStyle w:val="TextoNormalCaracter"/>
        </w:rPr>
        <w:t>-</w:t>
      </w:r>
      <w:r>
        <w:t xml:space="preserve"> Sentencia </w:t>
      </w:r>
      <w:hyperlink w:anchor="SENTENCIA_2025_137" w:history="1">
        <w:r w:rsidRPr="001D7FA9">
          <w:rPr>
            <w:rStyle w:val="TextoNormalCaracter"/>
          </w:rPr>
          <w:t>137/2025</w:t>
        </w:r>
      </w:hyperlink>
      <w:r>
        <w:t>, f. 4.</w:t>
      </w:r>
    </w:p>
    <w:p w14:paraId="5B23C0BF" w14:textId="7DA0EC80" w:rsidR="001D7FA9" w:rsidRDefault="001D7FA9" w:rsidP="001D7FA9">
      <w:pPr>
        <w:pStyle w:val="SangriaFrancesaArticulo"/>
      </w:pPr>
      <w:r w:rsidRPr="001D7FA9">
        <w:rPr>
          <w:rStyle w:val="TextoNormalNegritaCaracter"/>
        </w:rPr>
        <w:t>Artículos 82 a 86.</w:t>
      </w:r>
      <w:r w:rsidRPr="001D7FA9">
        <w:rPr>
          <w:rStyle w:val="TextoNormalCaracter"/>
        </w:rPr>
        <w:t>-</w:t>
      </w:r>
      <w:r>
        <w:t xml:space="preserve"> Sentencia </w:t>
      </w:r>
      <w:hyperlink w:anchor="SENTENCIA_2025_63" w:history="1">
        <w:r w:rsidRPr="001D7FA9">
          <w:rPr>
            <w:rStyle w:val="TextoNormalCaracter"/>
          </w:rPr>
          <w:t>63/2025</w:t>
        </w:r>
      </w:hyperlink>
      <w:r>
        <w:t>, f. 9.</w:t>
      </w:r>
    </w:p>
    <w:p w14:paraId="59BDBAD4" w14:textId="6DC7663F" w:rsidR="001D7FA9" w:rsidRDefault="001D7FA9" w:rsidP="001D7FA9">
      <w:pPr>
        <w:pStyle w:val="SangriaFrancesaArticulo"/>
      </w:pPr>
      <w:r w:rsidRPr="001D7FA9">
        <w:rPr>
          <w:rStyle w:val="TextoNormalNegritaCaracter"/>
        </w:rPr>
        <w:t>Artículo 86.</w:t>
      </w:r>
      <w:r w:rsidRPr="001D7FA9">
        <w:rPr>
          <w:rStyle w:val="TextoNormalCaracter"/>
        </w:rPr>
        <w:t>-</w:t>
      </w:r>
      <w:r>
        <w:t xml:space="preserve"> Sentencias </w:t>
      </w:r>
      <w:hyperlink w:anchor="SENTENCIA_2025_40" w:history="1">
        <w:r w:rsidRPr="001D7FA9">
          <w:rPr>
            <w:rStyle w:val="TextoNormalCaracter"/>
          </w:rPr>
          <w:t>40/2025</w:t>
        </w:r>
      </w:hyperlink>
      <w:r>
        <w:t xml:space="preserve">, VP III; </w:t>
      </w:r>
      <w:hyperlink w:anchor="SENTENCIA_2025_137" w:history="1">
        <w:r w:rsidRPr="001D7FA9">
          <w:rPr>
            <w:rStyle w:val="TextoNormalCaracter"/>
          </w:rPr>
          <w:t>137/2025</w:t>
        </w:r>
      </w:hyperlink>
      <w:r>
        <w:t>, f. 4.</w:t>
      </w:r>
    </w:p>
    <w:p w14:paraId="7F558D95" w14:textId="2860AAA3" w:rsidR="001D7FA9" w:rsidRDefault="001D7FA9" w:rsidP="001D7FA9">
      <w:pPr>
        <w:pStyle w:val="SangriaFrancesaArticulo"/>
      </w:pPr>
      <w:r w:rsidRPr="001D7FA9">
        <w:rPr>
          <w:rStyle w:val="TextoNormalNegritaCaracter"/>
        </w:rPr>
        <w:t>Artículo 86.1.</w:t>
      </w:r>
      <w:r w:rsidRPr="001D7FA9">
        <w:rPr>
          <w:rStyle w:val="TextoNormalCaracter"/>
        </w:rPr>
        <w:t>-</w:t>
      </w:r>
      <w:r>
        <w:t xml:space="preserve"> Sentencias </w:t>
      </w:r>
      <w:hyperlink w:anchor="SENTENCIA_2025_25" w:history="1">
        <w:r w:rsidRPr="001D7FA9">
          <w:rPr>
            <w:rStyle w:val="TextoNormalCaracter"/>
          </w:rPr>
          <w:t>25/2025</w:t>
        </w:r>
      </w:hyperlink>
      <w:r>
        <w:t xml:space="preserve">, f. 3; </w:t>
      </w:r>
      <w:hyperlink w:anchor="SENTENCIA_2025_27" w:history="1">
        <w:r w:rsidRPr="001D7FA9">
          <w:rPr>
            <w:rStyle w:val="TextoNormalCaracter"/>
          </w:rPr>
          <w:t>27/2025</w:t>
        </w:r>
      </w:hyperlink>
      <w:r>
        <w:t xml:space="preserve">, f. 1; </w:t>
      </w:r>
      <w:hyperlink w:anchor="SENTENCIA_2025_40" w:history="1">
        <w:r w:rsidRPr="001D7FA9">
          <w:rPr>
            <w:rStyle w:val="TextoNormalCaracter"/>
          </w:rPr>
          <w:t>40/2025</w:t>
        </w:r>
      </w:hyperlink>
      <w:r>
        <w:t xml:space="preserve">, ff. 1, 4 a 6, VP I, VP II, VP III; </w:t>
      </w:r>
      <w:hyperlink w:anchor="SENTENCIA_2025_64" w:history="1">
        <w:r w:rsidRPr="001D7FA9">
          <w:rPr>
            <w:rStyle w:val="TextoNormalCaracter"/>
          </w:rPr>
          <w:t>64/2025</w:t>
        </w:r>
      </w:hyperlink>
      <w:r>
        <w:t xml:space="preserve">, ff. 1, 3, 4, VP; </w:t>
      </w:r>
      <w:hyperlink w:anchor="SENTENCIA_2025_95" w:history="1">
        <w:r w:rsidRPr="001D7FA9">
          <w:rPr>
            <w:rStyle w:val="TextoNormalCaracter"/>
          </w:rPr>
          <w:t>95/2025</w:t>
        </w:r>
      </w:hyperlink>
      <w:r>
        <w:t xml:space="preserve">, ff. 1 a 3; </w:t>
      </w:r>
      <w:hyperlink w:anchor="SENTENCIA_2025_118" w:history="1">
        <w:r w:rsidRPr="001D7FA9">
          <w:rPr>
            <w:rStyle w:val="TextoNormalCaracter"/>
          </w:rPr>
          <w:t>118/2025</w:t>
        </w:r>
      </w:hyperlink>
      <w:r>
        <w:t xml:space="preserve">, ff. 1 a 4, 6; </w:t>
      </w:r>
      <w:hyperlink w:anchor="SENTENCIA_2025_133" w:history="1">
        <w:r w:rsidRPr="001D7FA9">
          <w:rPr>
            <w:rStyle w:val="TextoNormalCaracter"/>
          </w:rPr>
          <w:t>133/2025</w:t>
        </w:r>
      </w:hyperlink>
      <w:r>
        <w:t>, f. 3.</w:t>
      </w:r>
    </w:p>
    <w:p w14:paraId="73372422" w14:textId="02FE2C34" w:rsidR="001D7FA9" w:rsidRDefault="001D7FA9" w:rsidP="001D7FA9">
      <w:pPr>
        <w:pStyle w:val="SangriaFrancesaArticulo"/>
      </w:pPr>
      <w:r w:rsidRPr="001D7FA9">
        <w:rPr>
          <w:rStyle w:val="TextoNormalNegritaCaracter"/>
        </w:rPr>
        <w:t>Artículo 86.2.</w:t>
      </w:r>
      <w:r w:rsidRPr="001D7FA9">
        <w:rPr>
          <w:rStyle w:val="TextoNormalCaracter"/>
        </w:rPr>
        <w:t>-</w:t>
      </w:r>
      <w:r>
        <w:t xml:space="preserve"> Sentencias </w:t>
      </w:r>
      <w:hyperlink w:anchor="SENTENCIA_2025_25" w:history="1">
        <w:r w:rsidRPr="001D7FA9">
          <w:rPr>
            <w:rStyle w:val="TextoNormalCaracter"/>
          </w:rPr>
          <w:t>25/2025</w:t>
        </w:r>
      </w:hyperlink>
      <w:r>
        <w:t xml:space="preserve">, VP II; </w:t>
      </w:r>
      <w:hyperlink w:anchor="SENTENCIA_2025_40" w:history="1">
        <w:r w:rsidRPr="001D7FA9">
          <w:rPr>
            <w:rStyle w:val="TextoNormalCaracter"/>
          </w:rPr>
          <w:t>40/2025</w:t>
        </w:r>
      </w:hyperlink>
      <w:r>
        <w:t xml:space="preserve">, ff. 1, 3; </w:t>
      </w:r>
      <w:hyperlink w:anchor="SENTENCIA_2025_118" w:history="1">
        <w:r w:rsidRPr="001D7FA9">
          <w:rPr>
            <w:rStyle w:val="TextoNormalCaracter"/>
          </w:rPr>
          <w:t>118/2025</w:t>
        </w:r>
      </w:hyperlink>
      <w:r>
        <w:t>, f. 3.</w:t>
      </w:r>
    </w:p>
    <w:p w14:paraId="667C238C" w14:textId="34CC4BF7" w:rsidR="001D7FA9" w:rsidRDefault="001D7FA9" w:rsidP="001D7FA9">
      <w:pPr>
        <w:pStyle w:val="SangriaFrancesaArticulo"/>
      </w:pPr>
      <w:r w:rsidRPr="001D7FA9">
        <w:rPr>
          <w:rStyle w:val="TextoNormalNegritaCaracter"/>
        </w:rPr>
        <w:t>Artículo 87.</w:t>
      </w:r>
      <w:r w:rsidRPr="001D7FA9">
        <w:rPr>
          <w:rStyle w:val="TextoNormalCaracter"/>
        </w:rPr>
        <w:t>-</w:t>
      </w:r>
      <w:r>
        <w:t xml:space="preserve"> Sentencias </w:t>
      </w:r>
      <w:hyperlink w:anchor="SENTENCIA_2025_63" w:history="1">
        <w:r w:rsidRPr="001D7FA9">
          <w:rPr>
            <w:rStyle w:val="TextoNormalCaracter"/>
          </w:rPr>
          <w:t>63/2025</w:t>
        </w:r>
      </w:hyperlink>
      <w:r>
        <w:t xml:space="preserve">, ff. 3, 5, 9, VP I; </w:t>
      </w:r>
      <w:hyperlink w:anchor="SENTENCIA_2025_137" w:history="1">
        <w:r w:rsidRPr="001D7FA9">
          <w:rPr>
            <w:rStyle w:val="TextoNormalCaracter"/>
          </w:rPr>
          <w:t>137/2025</w:t>
        </w:r>
      </w:hyperlink>
      <w:r>
        <w:t>, VP I.</w:t>
      </w:r>
    </w:p>
    <w:p w14:paraId="02DD738B" w14:textId="5FCADE32" w:rsidR="001D7FA9" w:rsidRDefault="001D7FA9" w:rsidP="001D7FA9">
      <w:pPr>
        <w:pStyle w:val="SangriaFrancesaArticulo"/>
      </w:pPr>
      <w:r w:rsidRPr="001D7FA9">
        <w:rPr>
          <w:rStyle w:val="TextoNormalNegritaCaracter"/>
        </w:rPr>
        <w:t>Artículo 87.1.</w:t>
      </w:r>
      <w:r w:rsidRPr="001D7FA9">
        <w:rPr>
          <w:rStyle w:val="TextoNormalCaracter"/>
        </w:rPr>
        <w:t>-</w:t>
      </w:r>
      <w:r>
        <w:t xml:space="preserve"> Sentencia </w:t>
      </w:r>
      <w:hyperlink w:anchor="SENTENCIA_2025_63" w:history="1">
        <w:r w:rsidRPr="001D7FA9">
          <w:rPr>
            <w:rStyle w:val="TextoNormalCaracter"/>
          </w:rPr>
          <w:t>63/2025</w:t>
        </w:r>
      </w:hyperlink>
      <w:r>
        <w:t>, f. 9, VP I.</w:t>
      </w:r>
    </w:p>
    <w:p w14:paraId="2A0BB40E" w14:textId="7B2FFA12" w:rsidR="001D7FA9" w:rsidRDefault="001D7FA9" w:rsidP="001D7FA9">
      <w:pPr>
        <w:pStyle w:val="SangriaFrancesaArticulo"/>
      </w:pPr>
      <w:r w:rsidRPr="001D7FA9">
        <w:rPr>
          <w:rStyle w:val="TextoNormalNegritaCaracter"/>
        </w:rPr>
        <w:t>Artículo 87.2.</w:t>
      </w:r>
      <w:r w:rsidRPr="001D7FA9">
        <w:rPr>
          <w:rStyle w:val="TextoNormalCaracter"/>
        </w:rPr>
        <w:t>-</w:t>
      </w:r>
      <w:r>
        <w:t xml:space="preserve"> Sentencia </w:t>
      </w:r>
      <w:hyperlink w:anchor="SENTENCIA_2025_63" w:history="1">
        <w:r w:rsidRPr="001D7FA9">
          <w:rPr>
            <w:rStyle w:val="TextoNormalCaracter"/>
          </w:rPr>
          <w:t>63/2025</w:t>
        </w:r>
      </w:hyperlink>
      <w:r>
        <w:t>, f. 9.</w:t>
      </w:r>
    </w:p>
    <w:p w14:paraId="14340B43" w14:textId="17AAF12F" w:rsidR="001D7FA9" w:rsidRDefault="001D7FA9" w:rsidP="001D7FA9">
      <w:pPr>
        <w:pStyle w:val="SangriaFrancesaArticulo"/>
      </w:pPr>
      <w:r w:rsidRPr="001D7FA9">
        <w:rPr>
          <w:rStyle w:val="TextoNormalNegritaCaracter"/>
        </w:rPr>
        <w:t>Artículo 87.3.</w:t>
      </w:r>
      <w:r w:rsidRPr="001D7FA9">
        <w:rPr>
          <w:rStyle w:val="TextoNormalCaracter"/>
        </w:rPr>
        <w:t>-</w:t>
      </w:r>
      <w:r>
        <w:t xml:space="preserve"> Sentencias </w:t>
      </w:r>
      <w:hyperlink w:anchor="SENTENCIA_2025_63" w:history="1">
        <w:r w:rsidRPr="001D7FA9">
          <w:rPr>
            <w:rStyle w:val="TextoNormalCaracter"/>
          </w:rPr>
          <w:t>63/2025</w:t>
        </w:r>
      </w:hyperlink>
      <w:r>
        <w:t xml:space="preserve">, f. 9; </w:t>
      </w:r>
      <w:hyperlink w:anchor="SENTENCIA_2025_137" w:history="1">
        <w:r w:rsidRPr="001D7FA9">
          <w:rPr>
            <w:rStyle w:val="TextoNormalCaracter"/>
          </w:rPr>
          <w:t>137/2025</w:t>
        </w:r>
      </w:hyperlink>
      <w:r>
        <w:t>, ff. 1, 3, VP I, VP II, VP III, VP IV.</w:t>
      </w:r>
    </w:p>
    <w:p w14:paraId="4D8F1E50" w14:textId="70024F42" w:rsidR="001D7FA9" w:rsidRDefault="001D7FA9" w:rsidP="001D7FA9">
      <w:pPr>
        <w:pStyle w:val="SangriaFrancesaArticulo"/>
      </w:pPr>
      <w:r w:rsidRPr="001D7FA9">
        <w:rPr>
          <w:rStyle w:val="TextoNormalNegritaCaracter"/>
        </w:rPr>
        <w:t>Artículos 87 a 91.</w:t>
      </w:r>
      <w:r w:rsidRPr="001D7FA9">
        <w:rPr>
          <w:rStyle w:val="TextoNormalCaracter"/>
        </w:rPr>
        <w:t>-</w:t>
      </w:r>
      <w:r>
        <w:t xml:space="preserve"> Sentencia </w:t>
      </w:r>
      <w:hyperlink w:anchor="SENTENCIA_2025_63" w:history="1">
        <w:r w:rsidRPr="001D7FA9">
          <w:rPr>
            <w:rStyle w:val="TextoNormalCaracter"/>
          </w:rPr>
          <w:t>63/2025</w:t>
        </w:r>
      </w:hyperlink>
      <w:r>
        <w:t>, f. 9.</w:t>
      </w:r>
    </w:p>
    <w:p w14:paraId="7C3AD446" w14:textId="4B399F27" w:rsidR="001D7FA9" w:rsidRDefault="001D7FA9" w:rsidP="001D7FA9">
      <w:pPr>
        <w:pStyle w:val="SangriaFrancesaArticulo"/>
      </w:pPr>
      <w:r w:rsidRPr="001D7FA9">
        <w:rPr>
          <w:rStyle w:val="TextoNormalNegritaCaracter"/>
        </w:rPr>
        <w:t>Artículo 88.</w:t>
      </w:r>
      <w:r w:rsidRPr="001D7FA9">
        <w:rPr>
          <w:rStyle w:val="TextoNormalCaracter"/>
        </w:rPr>
        <w:t>-</w:t>
      </w:r>
      <w:r>
        <w:t xml:space="preserve"> Sentencias </w:t>
      </w:r>
      <w:hyperlink w:anchor="SENTENCIA_2025_63" w:history="1">
        <w:r w:rsidRPr="001D7FA9">
          <w:rPr>
            <w:rStyle w:val="TextoNormalCaracter"/>
          </w:rPr>
          <w:t>63/2025</w:t>
        </w:r>
      </w:hyperlink>
      <w:r>
        <w:t xml:space="preserve">, ff. 5, 9, VP I; </w:t>
      </w:r>
      <w:hyperlink w:anchor="SENTENCIA_2025_137" w:history="1">
        <w:r w:rsidRPr="001D7FA9">
          <w:rPr>
            <w:rStyle w:val="TextoNormalCaracter"/>
          </w:rPr>
          <w:t>137/2025</w:t>
        </w:r>
      </w:hyperlink>
      <w:r>
        <w:t>, VP II.</w:t>
      </w:r>
    </w:p>
    <w:p w14:paraId="11AE0966" w14:textId="7F2E61F9" w:rsidR="001D7FA9" w:rsidRDefault="001D7FA9" w:rsidP="001D7FA9">
      <w:pPr>
        <w:pStyle w:val="SangriaFrancesaArticulo"/>
      </w:pPr>
      <w:r w:rsidRPr="001D7FA9">
        <w:rPr>
          <w:rStyle w:val="TextoNormalNegritaCaracter"/>
        </w:rPr>
        <w:t>Artículo 89.</w:t>
      </w:r>
      <w:r w:rsidRPr="001D7FA9">
        <w:rPr>
          <w:rStyle w:val="TextoNormalCaracter"/>
        </w:rPr>
        <w:t>-</w:t>
      </w:r>
      <w:r>
        <w:t xml:space="preserve"> Sentencias </w:t>
      </w:r>
      <w:hyperlink w:anchor="SENTENCIA_2025_63" w:history="1">
        <w:r w:rsidRPr="001D7FA9">
          <w:rPr>
            <w:rStyle w:val="TextoNormalCaracter"/>
          </w:rPr>
          <w:t>63/2025</w:t>
        </w:r>
      </w:hyperlink>
      <w:r>
        <w:t xml:space="preserve">, ff. 1, 5, 7, 9, VP I; </w:t>
      </w:r>
      <w:hyperlink w:anchor="SENTENCIA_2025_137" w:history="1">
        <w:r w:rsidRPr="001D7FA9">
          <w:rPr>
            <w:rStyle w:val="TextoNormalCaracter"/>
          </w:rPr>
          <w:t>137/2025</w:t>
        </w:r>
      </w:hyperlink>
      <w:r>
        <w:t>, VP I.</w:t>
      </w:r>
    </w:p>
    <w:p w14:paraId="1A3974EC" w14:textId="13F56794" w:rsidR="001D7FA9" w:rsidRDefault="001D7FA9" w:rsidP="001D7FA9">
      <w:pPr>
        <w:pStyle w:val="SangriaFrancesaArticulo"/>
      </w:pPr>
      <w:r w:rsidRPr="001D7FA9">
        <w:rPr>
          <w:rStyle w:val="TextoNormalNegritaCaracter"/>
        </w:rPr>
        <w:t>Artículo 89.1.</w:t>
      </w:r>
      <w:r w:rsidRPr="001D7FA9">
        <w:rPr>
          <w:rStyle w:val="TextoNormalCaracter"/>
        </w:rPr>
        <w:t>-</w:t>
      </w:r>
      <w:r>
        <w:t xml:space="preserve"> Sentencia </w:t>
      </w:r>
      <w:hyperlink w:anchor="SENTENCIA_2025_63" w:history="1">
        <w:r w:rsidRPr="001D7FA9">
          <w:rPr>
            <w:rStyle w:val="TextoNormalCaracter"/>
          </w:rPr>
          <w:t>63/2025</w:t>
        </w:r>
      </w:hyperlink>
      <w:r>
        <w:t>, ff. 3, 10, VP I.</w:t>
      </w:r>
    </w:p>
    <w:p w14:paraId="56236C1C" w14:textId="68BF2EB8" w:rsidR="001D7FA9" w:rsidRDefault="001D7FA9" w:rsidP="001D7FA9">
      <w:pPr>
        <w:pStyle w:val="SangriaFrancesaArticulo"/>
      </w:pPr>
      <w:r w:rsidRPr="001D7FA9">
        <w:rPr>
          <w:rStyle w:val="TextoNormalNegritaCaracter"/>
        </w:rPr>
        <w:t>Artículo 89.2.</w:t>
      </w:r>
      <w:r w:rsidRPr="001D7FA9">
        <w:rPr>
          <w:rStyle w:val="TextoNormalCaracter"/>
        </w:rPr>
        <w:t>-</w:t>
      </w:r>
      <w:r>
        <w:t xml:space="preserve"> Sentencia </w:t>
      </w:r>
      <w:hyperlink w:anchor="SENTENCIA_2025_63" w:history="1">
        <w:r w:rsidRPr="001D7FA9">
          <w:rPr>
            <w:rStyle w:val="TextoNormalCaracter"/>
          </w:rPr>
          <w:t>63/2025</w:t>
        </w:r>
      </w:hyperlink>
      <w:r>
        <w:t>, f. 9, VP I.</w:t>
      </w:r>
    </w:p>
    <w:p w14:paraId="58CA6786" w14:textId="06832DC9" w:rsidR="001D7FA9" w:rsidRDefault="001D7FA9" w:rsidP="001D7FA9">
      <w:pPr>
        <w:pStyle w:val="SangriaFrancesaArticulo"/>
      </w:pPr>
      <w:r w:rsidRPr="001D7FA9">
        <w:rPr>
          <w:rStyle w:val="TextoNormalNegritaCaracter"/>
        </w:rPr>
        <w:t>Artículo 90.</w:t>
      </w:r>
      <w:r w:rsidRPr="001D7FA9">
        <w:rPr>
          <w:rStyle w:val="TextoNormalCaracter"/>
        </w:rPr>
        <w:t>-</w:t>
      </w:r>
      <w:r>
        <w:t xml:space="preserve"> Sentencia </w:t>
      </w:r>
      <w:hyperlink w:anchor="SENTENCIA_2025_63" w:history="1">
        <w:r w:rsidRPr="001D7FA9">
          <w:rPr>
            <w:rStyle w:val="TextoNormalCaracter"/>
          </w:rPr>
          <w:t>63/2025</w:t>
        </w:r>
      </w:hyperlink>
      <w:r>
        <w:t>, ff. 1 a 3, 6 a 10.</w:t>
      </w:r>
    </w:p>
    <w:p w14:paraId="59B4D280" w14:textId="3498D73F" w:rsidR="001D7FA9" w:rsidRDefault="001D7FA9" w:rsidP="001D7FA9">
      <w:pPr>
        <w:pStyle w:val="SangriaFrancesaArticulo"/>
      </w:pPr>
      <w:r w:rsidRPr="001D7FA9">
        <w:rPr>
          <w:rStyle w:val="TextoNormalNegritaCaracter"/>
        </w:rPr>
        <w:t>Artículo 90.1.</w:t>
      </w:r>
      <w:r w:rsidRPr="001D7FA9">
        <w:rPr>
          <w:rStyle w:val="TextoNormalCaracter"/>
        </w:rPr>
        <w:t>-</w:t>
      </w:r>
      <w:r>
        <w:t xml:space="preserve"> Sentencia </w:t>
      </w:r>
      <w:hyperlink w:anchor="SENTENCIA_2025_63" w:history="1">
        <w:r w:rsidRPr="001D7FA9">
          <w:rPr>
            <w:rStyle w:val="TextoNormalCaracter"/>
          </w:rPr>
          <w:t>63/2025</w:t>
        </w:r>
      </w:hyperlink>
      <w:r>
        <w:t>, ff. 9, 10, VP I.</w:t>
      </w:r>
    </w:p>
    <w:p w14:paraId="1657CC38" w14:textId="3FB378EF" w:rsidR="001D7FA9" w:rsidRDefault="001D7FA9" w:rsidP="001D7FA9">
      <w:pPr>
        <w:pStyle w:val="SangriaFrancesaArticulo"/>
      </w:pPr>
      <w:r w:rsidRPr="001D7FA9">
        <w:rPr>
          <w:rStyle w:val="TextoNormalNegritaCaracter"/>
        </w:rPr>
        <w:t>Artículo 90.2.</w:t>
      </w:r>
      <w:r w:rsidRPr="001D7FA9">
        <w:rPr>
          <w:rStyle w:val="TextoNormalCaracter"/>
        </w:rPr>
        <w:t>-</w:t>
      </w:r>
      <w:r>
        <w:t xml:space="preserve"> Sentencias </w:t>
      </w:r>
      <w:hyperlink w:anchor="SENTENCIA_2025_63" w:history="1">
        <w:r w:rsidRPr="001D7FA9">
          <w:rPr>
            <w:rStyle w:val="TextoNormalCaracter"/>
          </w:rPr>
          <w:t>63/2025</w:t>
        </w:r>
      </w:hyperlink>
      <w:r>
        <w:t xml:space="preserve">, ff. 7 a 10; </w:t>
      </w:r>
      <w:hyperlink w:anchor="SENTENCIA_2025_137" w:history="1">
        <w:r w:rsidRPr="001D7FA9">
          <w:rPr>
            <w:rStyle w:val="TextoNormalCaracter"/>
          </w:rPr>
          <w:t>137/2025</w:t>
        </w:r>
      </w:hyperlink>
      <w:r>
        <w:t>, f. 12.</w:t>
      </w:r>
    </w:p>
    <w:p w14:paraId="20BD677C" w14:textId="3CABAB74" w:rsidR="001D7FA9" w:rsidRDefault="001D7FA9" w:rsidP="001D7FA9">
      <w:pPr>
        <w:pStyle w:val="SangriaFrancesaArticulo"/>
      </w:pPr>
      <w:r w:rsidRPr="001D7FA9">
        <w:rPr>
          <w:rStyle w:val="TextoNormalNegritaCaracter"/>
        </w:rPr>
        <w:t>Artículo 90.3.</w:t>
      </w:r>
      <w:r w:rsidRPr="001D7FA9">
        <w:rPr>
          <w:rStyle w:val="TextoNormalCaracter"/>
        </w:rPr>
        <w:t>-</w:t>
      </w:r>
      <w:r>
        <w:t xml:space="preserve"> Sentencia </w:t>
      </w:r>
      <w:hyperlink w:anchor="SENTENCIA_2025_63" w:history="1">
        <w:r w:rsidRPr="001D7FA9">
          <w:rPr>
            <w:rStyle w:val="TextoNormalCaracter"/>
          </w:rPr>
          <w:t>63/2025</w:t>
        </w:r>
      </w:hyperlink>
      <w:r>
        <w:t>, ff. 1, 3 a 11, VP I.</w:t>
      </w:r>
    </w:p>
    <w:p w14:paraId="740B775B" w14:textId="4AA58434" w:rsidR="001D7FA9" w:rsidRDefault="001D7FA9" w:rsidP="001D7FA9">
      <w:pPr>
        <w:pStyle w:val="SangriaFrancesaArticulo"/>
      </w:pPr>
      <w:r w:rsidRPr="001D7FA9">
        <w:rPr>
          <w:rStyle w:val="TextoNormalNegritaCaracter"/>
        </w:rPr>
        <w:t>Artículo 91.</w:t>
      </w:r>
      <w:r w:rsidRPr="001D7FA9">
        <w:rPr>
          <w:rStyle w:val="TextoNormalCaracter"/>
        </w:rPr>
        <w:t>-</w:t>
      </w:r>
      <w:r>
        <w:t xml:space="preserve"> Sentencia </w:t>
      </w:r>
      <w:hyperlink w:anchor="SENTENCIA_2025_63" w:history="1">
        <w:r w:rsidRPr="001D7FA9">
          <w:rPr>
            <w:rStyle w:val="TextoNormalCaracter"/>
          </w:rPr>
          <w:t>63/2025</w:t>
        </w:r>
      </w:hyperlink>
      <w:r>
        <w:t>, f. 9.</w:t>
      </w:r>
    </w:p>
    <w:p w14:paraId="386CA11E" w14:textId="6E2F48AA" w:rsidR="001D7FA9" w:rsidRDefault="001D7FA9" w:rsidP="001D7FA9">
      <w:pPr>
        <w:pStyle w:val="SangriaFrancesaArticulo"/>
      </w:pPr>
      <w:r w:rsidRPr="001D7FA9">
        <w:rPr>
          <w:rStyle w:val="TextoNormalNegritaCaracter"/>
        </w:rPr>
        <w:t>Artículo 92.</w:t>
      </w:r>
      <w:r w:rsidRPr="001D7FA9">
        <w:rPr>
          <w:rStyle w:val="TextoNormalCaracter"/>
        </w:rPr>
        <w:t>-</w:t>
      </w:r>
      <w:r>
        <w:t xml:space="preserve"> Sentencia </w:t>
      </w:r>
      <w:hyperlink w:anchor="SENTENCIA_2025_63" w:history="1">
        <w:r w:rsidRPr="001D7FA9">
          <w:rPr>
            <w:rStyle w:val="TextoNormalCaracter"/>
          </w:rPr>
          <w:t>63/2025</w:t>
        </w:r>
      </w:hyperlink>
      <w:r>
        <w:t>, f. 9.</w:t>
      </w:r>
    </w:p>
    <w:p w14:paraId="56F52FCF" w14:textId="0467D6B3"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309927F2" w14:textId="52942AA4" w:rsidR="001D7FA9" w:rsidRDefault="001D7FA9" w:rsidP="001D7FA9">
      <w:pPr>
        <w:pStyle w:val="SangriaFrancesaArticulo"/>
      </w:pPr>
      <w:r w:rsidRPr="001D7FA9">
        <w:rPr>
          <w:rStyle w:val="TextoNormalNegritaCaracter"/>
        </w:rPr>
        <w:t>Artículo 95.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12EAC6E" w14:textId="4A5C10B0" w:rsidR="001D7FA9" w:rsidRDefault="001D7FA9" w:rsidP="001D7FA9">
      <w:pPr>
        <w:pStyle w:val="SangriaFrancesaArticulo"/>
      </w:pPr>
      <w:r w:rsidRPr="001D7FA9">
        <w:rPr>
          <w:rStyle w:val="TextoNormalNegritaCaracter"/>
        </w:rPr>
        <w:t>Artículo 96.</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7708F0A2" w14:textId="34E365D8" w:rsidR="001D7FA9" w:rsidRDefault="001D7FA9" w:rsidP="001D7FA9">
      <w:pPr>
        <w:pStyle w:val="SangriaFrancesaArticulo"/>
      </w:pPr>
      <w:r w:rsidRPr="001D7FA9">
        <w:rPr>
          <w:rStyle w:val="TextoNormalNegritaCaracter"/>
        </w:rPr>
        <w:t>Artículo 96.1.</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5C93FEEF" w14:textId="3D616F86" w:rsidR="001D7FA9" w:rsidRDefault="001D7FA9" w:rsidP="001D7FA9">
      <w:pPr>
        <w:pStyle w:val="SangriaFrancesaArticulo"/>
      </w:pPr>
      <w:r w:rsidRPr="001D7FA9">
        <w:rPr>
          <w:rStyle w:val="TextoNormalNegritaCaracter"/>
        </w:rPr>
        <w:t>Artículo 97.</w:t>
      </w:r>
      <w:r w:rsidRPr="001D7FA9">
        <w:rPr>
          <w:rStyle w:val="TextoNormalCaracter"/>
        </w:rPr>
        <w:t>-</w:t>
      </w:r>
      <w:r>
        <w:t xml:space="preserve"> Sentencias </w:t>
      </w:r>
      <w:hyperlink w:anchor="SENTENCIA_2025_107" w:history="1">
        <w:r w:rsidRPr="001D7FA9">
          <w:rPr>
            <w:rStyle w:val="TextoNormalCaracter"/>
          </w:rPr>
          <w:t>107/2025</w:t>
        </w:r>
      </w:hyperlink>
      <w:r>
        <w:t xml:space="preserve">, f. 3; </w:t>
      </w:r>
      <w:hyperlink w:anchor="SENTENCIA_2025_108" w:history="1">
        <w:r w:rsidRPr="001D7FA9">
          <w:rPr>
            <w:rStyle w:val="TextoNormalCaracter"/>
          </w:rPr>
          <w:t>108/2025</w:t>
        </w:r>
      </w:hyperlink>
      <w:r>
        <w:t xml:space="preserve">, f. 3; </w:t>
      </w:r>
      <w:hyperlink w:anchor="SENTENCIA_2025_137" w:history="1">
        <w:r w:rsidRPr="001D7FA9">
          <w:rPr>
            <w:rStyle w:val="TextoNormalCaracter"/>
          </w:rPr>
          <w:t>137/2025</w:t>
        </w:r>
      </w:hyperlink>
      <w:r>
        <w:t>, ff. 4, 5, VP I, VP IV.</w:t>
      </w:r>
    </w:p>
    <w:p w14:paraId="058771B1" w14:textId="7F073B81" w:rsidR="001D7FA9" w:rsidRDefault="001D7FA9" w:rsidP="001D7FA9">
      <w:pPr>
        <w:pStyle w:val="SangriaFrancesaArticulo"/>
      </w:pPr>
      <w:r w:rsidRPr="001D7FA9">
        <w:rPr>
          <w:rStyle w:val="TextoNormalNegritaCaracter"/>
        </w:rPr>
        <w:t>Artículo 98.3.</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60EA7AE" w14:textId="0F2F66C7" w:rsidR="001D7FA9" w:rsidRDefault="001D7FA9" w:rsidP="001D7FA9">
      <w:pPr>
        <w:pStyle w:val="SangriaFrancesaArticulo"/>
      </w:pPr>
      <w:r w:rsidRPr="001D7FA9">
        <w:rPr>
          <w:rStyle w:val="TextoNormalNegritaCaracter"/>
        </w:rPr>
        <w:t>Artículo 99.</w:t>
      </w:r>
      <w:r w:rsidRPr="001D7FA9">
        <w:rPr>
          <w:rStyle w:val="TextoNormalCaracter"/>
        </w:rPr>
        <w:t>-</w:t>
      </w:r>
      <w:r>
        <w:t xml:space="preserve"> Sentencia </w:t>
      </w:r>
      <w:hyperlink w:anchor="SENTENCIA_2025_63" w:history="1">
        <w:r w:rsidRPr="001D7FA9">
          <w:rPr>
            <w:rStyle w:val="TextoNormalCaracter"/>
          </w:rPr>
          <w:t>63/2025</w:t>
        </w:r>
      </w:hyperlink>
      <w:r>
        <w:t>, f. 10.</w:t>
      </w:r>
    </w:p>
    <w:p w14:paraId="16DA0335" w14:textId="3CE022C3" w:rsidR="001D7FA9" w:rsidRDefault="001D7FA9" w:rsidP="001D7FA9">
      <w:pPr>
        <w:pStyle w:val="SangriaFrancesaArticulo"/>
      </w:pPr>
      <w:r w:rsidRPr="001D7FA9">
        <w:rPr>
          <w:rStyle w:val="TextoNormalNegritaCaracter"/>
        </w:rPr>
        <w:t>Artículo 102.</w:t>
      </w:r>
      <w:r w:rsidRPr="001D7FA9">
        <w:rPr>
          <w:rStyle w:val="TextoNormalCaracter"/>
        </w:rPr>
        <w:t>-</w:t>
      </w:r>
      <w:r>
        <w:t xml:space="preserve"> Sentencia </w:t>
      </w:r>
      <w:hyperlink w:anchor="SENTENCIA_2025_137" w:history="1">
        <w:r w:rsidRPr="001D7FA9">
          <w:rPr>
            <w:rStyle w:val="TextoNormalCaracter"/>
          </w:rPr>
          <w:t>137/2025</w:t>
        </w:r>
      </w:hyperlink>
      <w:r>
        <w:t>, f. 5, VP III.</w:t>
      </w:r>
    </w:p>
    <w:p w14:paraId="221C668A" w14:textId="7012A60D" w:rsidR="001D7FA9" w:rsidRDefault="001D7FA9" w:rsidP="001D7FA9">
      <w:pPr>
        <w:pStyle w:val="SangriaFrancesaArticulo"/>
      </w:pPr>
      <w:r w:rsidRPr="001D7FA9">
        <w:rPr>
          <w:rStyle w:val="TextoNormalNegritaCaracter"/>
        </w:rPr>
        <w:t>Artículo 102.2.</w:t>
      </w:r>
      <w:r w:rsidRPr="001D7FA9">
        <w:rPr>
          <w:rStyle w:val="TextoNormalCaracter"/>
        </w:rPr>
        <w:t>-</w:t>
      </w:r>
      <w:r>
        <w:t xml:space="preserve"> Sentencia </w:t>
      </w:r>
      <w:hyperlink w:anchor="SENTENCIA_2025_137" w:history="1">
        <w:r w:rsidRPr="001D7FA9">
          <w:rPr>
            <w:rStyle w:val="TextoNormalCaracter"/>
          </w:rPr>
          <w:t>137/2025</w:t>
        </w:r>
      </w:hyperlink>
      <w:r>
        <w:t>, f. 4, VP III.</w:t>
      </w:r>
    </w:p>
    <w:p w14:paraId="3033A57A" w14:textId="599BBE1A" w:rsidR="001D7FA9" w:rsidRDefault="001D7FA9" w:rsidP="001D7FA9">
      <w:pPr>
        <w:pStyle w:val="SangriaFrancesaArticulo"/>
      </w:pPr>
      <w:r w:rsidRPr="001D7FA9">
        <w:rPr>
          <w:rStyle w:val="TextoNormalNegritaCaracter"/>
        </w:rPr>
        <w:t>Artículo 102.3.</w:t>
      </w:r>
      <w:r w:rsidRPr="001D7FA9">
        <w:rPr>
          <w:rStyle w:val="TextoNormalCaracter"/>
        </w:rPr>
        <w:t>-</w:t>
      </w:r>
      <w:r>
        <w:t xml:space="preserve"> Sentencia </w:t>
      </w:r>
      <w:hyperlink w:anchor="SENTENCIA_2025_137" w:history="1">
        <w:r w:rsidRPr="001D7FA9">
          <w:rPr>
            <w:rStyle w:val="TextoNormalCaracter"/>
          </w:rPr>
          <w:t>137/2025</w:t>
        </w:r>
      </w:hyperlink>
      <w:r>
        <w:t>, ff. 5, 10, VP II, VP III.</w:t>
      </w:r>
    </w:p>
    <w:p w14:paraId="697CDACC" w14:textId="0468E021" w:rsidR="001D7FA9" w:rsidRDefault="001D7FA9" w:rsidP="001D7FA9">
      <w:pPr>
        <w:pStyle w:val="SangriaFrancesaArticulo"/>
      </w:pPr>
      <w:r w:rsidRPr="001D7FA9">
        <w:rPr>
          <w:rStyle w:val="TextoNormalNegritaCaracter"/>
        </w:rPr>
        <w:t>Artículo 103.1.</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61D11F17" w14:textId="0AB3A248" w:rsidR="001D7FA9" w:rsidRDefault="001D7FA9" w:rsidP="001D7FA9">
      <w:pPr>
        <w:pStyle w:val="SangriaFrancesaArticulo"/>
      </w:pPr>
      <w:r w:rsidRPr="001D7FA9">
        <w:rPr>
          <w:rStyle w:val="TextoNormalNegritaCaracter"/>
        </w:rPr>
        <w:t>Artículo 103.3.</w:t>
      </w:r>
      <w:r w:rsidRPr="001D7FA9">
        <w:rPr>
          <w:rStyle w:val="TextoNormalCaracter"/>
        </w:rPr>
        <w:t>-</w:t>
      </w:r>
      <w:r>
        <w:t xml:space="preserve"> 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32" w:history="1">
        <w:r w:rsidRPr="001D7FA9">
          <w:rPr>
            <w:rStyle w:val="TextoNormalCaracter"/>
          </w:rPr>
          <w:t>32/2025</w:t>
        </w:r>
      </w:hyperlink>
      <w:r>
        <w:t>, f. 6.</w:t>
      </w:r>
    </w:p>
    <w:p w14:paraId="440C2BE7" w14:textId="680C1E8D" w:rsidR="001D7FA9" w:rsidRDefault="001D7FA9" w:rsidP="001D7FA9">
      <w:pPr>
        <w:pStyle w:val="SangriaFrancesaArticulo"/>
      </w:pPr>
      <w:r w:rsidRPr="001D7FA9">
        <w:rPr>
          <w:rStyle w:val="TextoNormalNegritaCaracter"/>
        </w:rPr>
        <w:t>Artículo 106.</w:t>
      </w:r>
      <w:r w:rsidRPr="001D7FA9">
        <w:rPr>
          <w:rStyle w:val="TextoNormalCaracter"/>
        </w:rPr>
        <w:t>-</w:t>
      </w:r>
      <w:r>
        <w:t xml:space="preserve"> Sentencia </w:t>
      </w:r>
      <w:hyperlink w:anchor="SENTENCIA_2025_137" w:history="1">
        <w:r w:rsidRPr="001D7FA9">
          <w:rPr>
            <w:rStyle w:val="TextoNormalCaracter"/>
          </w:rPr>
          <w:t>137/2025</w:t>
        </w:r>
      </w:hyperlink>
      <w:r>
        <w:t>, f. 3.</w:t>
      </w:r>
    </w:p>
    <w:p w14:paraId="002C0CC5" w14:textId="49877B03" w:rsidR="001D7FA9" w:rsidRDefault="001D7FA9" w:rsidP="001D7FA9">
      <w:pPr>
        <w:pStyle w:val="SangriaFrancesaArticulo"/>
      </w:pPr>
      <w:r w:rsidRPr="001D7FA9">
        <w:rPr>
          <w:rStyle w:val="TextoNormalNegritaCaracter"/>
        </w:rPr>
        <w:t>Artículo 106.1.</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25" w:history="1">
        <w:r w:rsidRPr="001D7FA9">
          <w:rPr>
            <w:rStyle w:val="TextoNormalCaracter"/>
          </w:rPr>
          <w:t>25/2025</w:t>
        </w:r>
      </w:hyperlink>
      <w:r>
        <w:t xml:space="preserve">, VP I; </w:t>
      </w:r>
      <w:hyperlink w:anchor="SENTENCIA_2025_31" w:history="1">
        <w:r w:rsidRPr="001D7FA9">
          <w:rPr>
            <w:rStyle w:val="TextoNormalCaracter"/>
          </w:rPr>
          <w:t>31/2025</w:t>
        </w:r>
      </w:hyperlink>
      <w:r>
        <w:t xml:space="preserve">, f. 5; </w:t>
      </w:r>
      <w:hyperlink w:anchor="SENTENCIA_2025_137" w:history="1">
        <w:r w:rsidRPr="001D7FA9">
          <w:rPr>
            <w:rStyle w:val="TextoNormalCaracter"/>
          </w:rPr>
          <w:t>137/2025</w:t>
        </w:r>
      </w:hyperlink>
      <w:r>
        <w:t>, f. 4.</w:t>
      </w:r>
    </w:p>
    <w:p w14:paraId="618211E7" w14:textId="53BEF862" w:rsidR="001D7FA9" w:rsidRDefault="001D7FA9" w:rsidP="001D7FA9">
      <w:pPr>
        <w:pStyle w:val="SangriaFrancesaArticulo"/>
      </w:pPr>
      <w:r w:rsidRPr="001D7FA9">
        <w:rPr>
          <w:rStyle w:val="TextoNormalNegritaCaracter"/>
        </w:rPr>
        <w:t>Artículo 106.2.</w:t>
      </w:r>
      <w:r w:rsidRPr="001D7FA9">
        <w:rPr>
          <w:rStyle w:val="TextoNormalCaracter"/>
        </w:rPr>
        <w:t>-</w:t>
      </w:r>
      <w:r>
        <w:t xml:space="preserve"> Sentencia </w:t>
      </w:r>
      <w:hyperlink w:anchor="SENTENCIA_2025_64" w:history="1">
        <w:r w:rsidRPr="001D7FA9">
          <w:rPr>
            <w:rStyle w:val="TextoNormalCaracter"/>
          </w:rPr>
          <w:t>64/2025</w:t>
        </w:r>
      </w:hyperlink>
      <w:r>
        <w:t>, f. 4.</w:t>
      </w:r>
    </w:p>
    <w:p w14:paraId="23C709A6" w14:textId="575FDA6C" w:rsidR="001D7FA9" w:rsidRDefault="001D7FA9" w:rsidP="001D7FA9">
      <w:pPr>
        <w:pStyle w:val="SangriaFrancesaArticulo"/>
      </w:pPr>
      <w:r w:rsidRPr="001D7FA9">
        <w:rPr>
          <w:rStyle w:val="TextoNormalNegritaCaracter"/>
        </w:rPr>
        <w:t>Artículo 108.</w:t>
      </w:r>
      <w:r w:rsidRPr="001D7FA9">
        <w:rPr>
          <w:rStyle w:val="TextoNormalCaracter"/>
        </w:rPr>
        <w:t>-</w:t>
      </w:r>
      <w:r>
        <w:t xml:space="preserve"> Sentencia </w:t>
      </w:r>
      <w:hyperlink w:anchor="SENTENCIA_2025_63" w:history="1">
        <w:r w:rsidRPr="001D7FA9">
          <w:rPr>
            <w:rStyle w:val="TextoNormalCaracter"/>
          </w:rPr>
          <w:t>63/2025</w:t>
        </w:r>
      </w:hyperlink>
      <w:r>
        <w:t>, f. 10.</w:t>
      </w:r>
    </w:p>
    <w:p w14:paraId="48E65683" w14:textId="527171D1" w:rsidR="001D7FA9" w:rsidRDefault="001D7FA9" w:rsidP="001D7FA9">
      <w:pPr>
        <w:pStyle w:val="SangriaFrancesaArticulo"/>
      </w:pPr>
      <w:r w:rsidRPr="001D7FA9">
        <w:rPr>
          <w:rStyle w:val="TextoNormalNegritaCaracter"/>
        </w:rPr>
        <w:t>Artículos 108 y ss.</w:t>
      </w:r>
      <w:r w:rsidRPr="001D7FA9">
        <w:rPr>
          <w:rStyle w:val="TextoNormalCaracter"/>
        </w:rPr>
        <w:t>-</w:t>
      </w:r>
      <w:r>
        <w:t xml:space="preserve"> Sentencia </w:t>
      </w:r>
      <w:hyperlink w:anchor="SENTENCIA_2025_107" w:history="1">
        <w:r w:rsidRPr="001D7FA9">
          <w:rPr>
            <w:rStyle w:val="TextoNormalCaracter"/>
          </w:rPr>
          <w:t>107/2025</w:t>
        </w:r>
      </w:hyperlink>
      <w:r>
        <w:t>, f. 3.</w:t>
      </w:r>
    </w:p>
    <w:p w14:paraId="0C109BF3" w14:textId="658E9D58" w:rsidR="001D7FA9" w:rsidRDefault="001D7FA9" w:rsidP="001D7FA9">
      <w:pPr>
        <w:pStyle w:val="SangriaFrancesaArticulo"/>
      </w:pPr>
      <w:r w:rsidRPr="001D7FA9">
        <w:rPr>
          <w:rStyle w:val="TextoNormalNegritaCaracter"/>
        </w:rPr>
        <w:t>Artículo 109.</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025AF234" w14:textId="24D98E77" w:rsidR="001D7FA9" w:rsidRDefault="001D7FA9" w:rsidP="001D7FA9">
      <w:pPr>
        <w:pStyle w:val="SangriaFrancesaArticulo"/>
      </w:pPr>
      <w:r w:rsidRPr="001D7FA9">
        <w:rPr>
          <w:rStyle w:val="TextoNormalNegritaCaracter"/>
        </w:rPr>
        <w:t>Artículo 110.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DFFF879" w14:textId="7031EACB" w:rsidR="001D7FA9" w:rsidRDefault="001D7FA9" w:rsidP="001D7FA9">
      <w:pPr>
        <w:pStyle w:val="SangriaFrancesaArticulo"/>
      </w:pPr>
      <w:r w:rsidRPr="001D7FA9">
        <w:rPr>
          <w:rStyle w:val="TextoNormalNegritaCaracter"/>
        </w:rPr>
        <w:t>Artículo 112.</w:t>
      </w:r>
      <w:r w:rsidRPr="001D7FA9">
        <w:rPr>
          <w:rStyle w:val="TextoNormalCaracter"/>
        </w:rPr>
        <w:t>-</w:t>
      </w:r>
      <w:r>
        <w:t xml:space="preserve"> Sentencia </w:t>
      </w:r>
      <w:hyperlink w:anchor="SENTENCIA_2025_63" w:history="1">
        <w:r w:rsidRPr="001D7FA9">
          <w:rPr>
            <w:rStyle w:val="TextoNormalCaracter"/>
          </w:rPr>
          <w:t>63/2025</w:t>
        </w:r>
      </w:hyperlink>
      <w:r>
        <w:t>, f. 10.</w:t>
      </w:r>
    </w:p>
    <w:p w14:paraId="1D1A8323" w14:textId="78E0BAA5"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Sentencia </w:t>
      </w:r>
      <w:hyperlink w:anchor="SENTENCIA_2025_63" w:history="1">
        <w:r w:rsidRPr="001D7FA9">
          <w:rPr>
            <w:rStyle w:val="TextoNormalCaracter"/>
          </w:rPr>
          <w:t>63/2025</w:t>
        </w:r>
      </w:hyperlink>
      <w:r>
        <w:t>, f. 10.</w:t>
      </w:r>
    </w:p>
    <w:p w14:paraId="251DABF1" w14:textId="731B89C1" w:rsidR="001D7FA9" w:rsidRDefault="001D7FA9" w:rsidP="001D7FA9">
      <w:pPr>
        <w:pStyle w:val="SangriaFrancesaArticulo"/>
      </w:pPr>
      <w:r w:rsidRPr="001D7FA9">
        <w:rPr>
          <w:rStyle w:val="TextoNormalNegritaCaracter"/>
        </w:rPr>
        <w:t>Artículo 114.</w:t>
      </w:r>
      <w:r w:rsidRPr="001D7FA9">
        <w:rPr>
          <w:rStyle w:val="TextoNormalCaracter"/>
        </w:rPr>
        <w:t>-</w:t>
      </w:r>
      <w:r>
        <w:t xml:space="preserve"> Sentencia </w:t>
      </w:r>
      <w:hyperlink w:anchor="SENTENCIA_2025_63" w:history="1">
        <w:r w:rsidRPr="001D7FA9">
          <w:rPr>
            <w:rStyle w:val="TextoNormalCaracter"/>
          </w:rPr>
          <w:t>63/2025</w:t>
        </w:r>
      </w:hyperlink>
      <w:r>
        <w:t>, f. 10.</w:t>
      </w:r>
    </w:p>
    <w:p w14:paraId="4AC5062A" w14:textId="54897A66" w:rsidR="001D7FA9" w:rsidRDefault="001D7FA9" w:rsidP="001D7FA9">
      <w:pPr>
        <w:pStyle w:val="SangriaFrancesaArticulo"/>
      </w:pPr>
      <w:r w:rsidRPr="001D7FA9">
        <w:rPr>
          <w:rStyle w:val="TextoNormalNegritaCaracter"/>
        </w:rPr>
        <w:t>Artículo 116.</w:t>
      </w:r>
      <w:r w:rsidRPr="001D7FA9">
        <w:rPr>
          <w:rStyle w:val="TextoNormalCaracter"/>
        </w:rPr>
        <w:t>-</w:t>
      </w:r>
      <w:r>
        <w:t xml:space="preserve"> Sentencias </w:t>
      </w:r>
      <w:hyperlink w:anchor="SENTENCIA_2025_40" w:history="1">
        <w:r w:rsidRPr="001D7FA9">
          <w:rPr>
            <w:rStyle w:val="TextoNormalCaracter"/>
          </w:rPr>
          <w:t>40/2025</w:t>
        </w:r>
      </w:hyperlink>
      <w:r>
        <w:t xml:space="preserve">, VP III; </w:t>
      </w:r>
      <w:hyperlink w:anchor="SENTENCIA_2025_95" w:history="1">
        <w:r w:rsidRPr="001D7FA9">
          <w:rPr>
            <w:rStyle w:val="TextoNormalCaracter"/>
          </w:rPr>
          <w:t>95/2025</w:t>
        </w:r>
      </w:hyperlink>
      <w:r>
        <w:t xml:space="preserve">, ff. 1 a 3; </w:t>
      </w:r>
      <w:hyperlink w:anchor="SENTENCIA_2025_133" w:history="1">
        <w:r w:rsidRPr="001D7FA9">
          <w:rPr>
            <w:rStyle w:val="TextoNormalCaracter"/>
          </w:rPr>
          <w:t>133/2025</w:t>
        </w:r>
      </w:hyperlink>
      <w:r>
        <w:t xml:space="preserve">, ff. 1, 2, 4; </w:t>
      </w:r>
      <w:hyperlink w:anchor="SENTENCIA_2025_137" w:history="1">
        <w:r w:rsidRPr="001D7FA9">
          <w:rPr>
            <w:rStyle w:val="TextoNormalCaracter"/>
          </w:rPr>
          <w:t>137/2025</w:t>
        </w:r>
      </w:hyperlink>
      <w:r>
        <w:t>, VP III, VP IV.</w:t>
      </w:r>
    </w:p>
    <w:p w14:paraId="67F6AB4C" w14:textId="6616FEC4" w:rsidR="001D7FA9" w:rsidRDefault="001D7FA9" w:rsidP="001D7FA9">
      <w:pPr>
        <w:pStyle w:val="SangriaFrancesaArticulo"/>
      </w:pPr>
      <w:r w:rsidRPr="001D7FA9">
        <w:rPr>
          <w:rStyle w:val="TextoNormalNegritaCaracter"/>
        </w:rPr>
        <w:t>Artículo 116.5.</w:t>
      </w:r>
      <w:r w:rsidRPr="001D7FA9">
        <w:rPr>
          <w:rStyle w:val="TextoNormalCaracter"/>
        </w:rPr>
        <w:t>-</w:t>
      </w:r>
      <w:r>
        <w:t xml:space="preserve"> Sentencia </w:t>
      </w:r>
      <w:hyperlink w:anchor="SENTENCIA_2025_40" w:history="1">
        <w:r w:rsidRPr="001D7FA9">
          <w:rPr>
            <w:rStyle w:val="TextoNormalCaracter"/>
          </w:rPr>
          <w:t>40/2025</w:t>
        </w:r>
      </w:hyperlink>
      <w:r>
        <w:t>, VP III.</w:t>
      </w:r>
    </w:p>
    <w:p w14:paraId="76CBB9CC" w14:textId="580075B0" w:rsidR="001D7FA9" w:rsidRDefault="001D7FA9" w:rsidP="001D7FA9">
      <w:pPr>
        <w:pStyle w:val="SangriaFrancesaArticulo"/>
      </w:pPr>
      <w:r w:rsidRPr="001D7FA9">
        <w:rPr>
          <w:rStyle w:val="TextoNormalNegritaCaracter"/>
        </w:rPr>
        <w:t>Artículo 117.</w:t>
      </w:r>
      <w:r w:rsidRPr="001D7FA9">
        <w:rPr>
          <w:rStyle w:val="TextoNormalCaracter"/>
        </w:rPr>
        <w:t>-</w:t>
      </w:r>
      <w:r>
        <w:t xml:space="preserve"> Sentencias </w:t>
      </w:r>
      <w:hyperlink w:anchor="SENTENCIA_2025_12" w:history="1">
        <w:r w:rsidRPr="001D7FA9">
          <w:rPr>
            <w:rStyle w:val="TextoNormalCaracter"/>
          </w:rPr>
          <w:t>12/2025</w:t>
        </w:r>
      </w:hyperlink>
      <w:r>
        <w:t xml:space="preserve">, VP I; </w:t>
      </w:r>
      <w:hyperlink w:anchor="SENTENCIA_2025_121" w:history="1">
        <w:r w:rsidRPr="001D7FA9">
          <w:rPr>
            <w:rStyle w:val="TextoNormalCaracter"/>
          </w:rPr>
          <w:t>121/2025</w:t>
        </w:r>
      </w:hyperlink>
      <w:r>
        <w:t xml:space="preserve">, f. 3; </w:t>
      </w:r>
      <w:hyperlink w:anchor="SENTENCIA_2025_137" w:history="1">
        <w:r w:rsidRPr="001D7FA9">
          <w:rPr>
            <w:rStyle w:val="TextoNormalCaracter"/>
          </w:rPr>
          <w:t>137/2025</w:t>
        </w:r>
      </w:hyperlink>
      <w:r>
        <w:t>, ff. 4, 11, VP II, VP III, VP IV.</w:t>
      </w:r>
    </w:p>
    <w:p w14:paraId="05AAB780" w14:textId="1A3E3DE3" w:rsidR="001D7FA9" w:rsidRDefault="001D7FA9" w:rsidP="001D7FA9">
      <w:pPr>
        <w:pStyle w:val="SangriaIzquierdaArticulo"/>
      </w:pPr>
      <w:r>
        <w:t xml:space="preserve">Autos </w:t>
      </w:r>
      <w:hyperlink w:anchor="AUTO_2025_8" w:history="1">
        <w:r w:rsidRPr="001D7FA9">
          <w:rPr>
            <w:rStyle w:val="TextoNormalCaracter"/>
          </w:rPr>
          <w:t>8/2025</w:t>
        </w:r>
      </w:hyperlink>
      <w:r>
        <w:t xml:space="preserve">, VP; </w:t>
      </w:r>
      <w:hyperlink w:anchor="AUTO_2025_12" w:history="1">
        <w:r w:rsidRPr="001D7FA9">
          <w:rPr>
            <w:rStyle w:val="TextoNormalCaracter"/>
          </w:rPr>
          <w:t>12/2025</w:t>
        </w:r>
      </w:hyperlink>
      <w:r>
        <w:t xml:space="preserve">, f. 1; </w:t>
      </w:r>
      <w:hyperlink w:anchor="AUTO_2025_35" w:history="1">
        <w:r w:rsidRPr="001D7FA9">
          <w:rPr>
            <w:rStyle w:val="TextoNormalCaracter"/>
          </w:rPr>
          <w:t>35/2025</w:t>
        </w:r>
      </w:hyperlink>
      <w:r>
        <w:t>, f. 4.</w:t>
      </w:r>
    </w:p>
    <w:p w14:paraId="37B60595" w14:textId="37991F5B" w:rsidR="001D7FA9" w:rsidRDefault="001D7FA9" w:rsidP="001D7FA9">
      <w:pPr>
        <w:pStyle w:val="SangriaFrancesaArticulo"/>
      </w:pPr>
      <w:r w:rsidRPr="001D7FA9">
        <w:rPr>
          <w:rStyle w:val="TextoNormalNegritaCaracter"/>
        </w:rPr>
        <w:t>Artículo 117.1.</w:t>
      </w:r>
      <w:r w:rsidRPr="001D7FA9">
        <w:rPr>
          <w:rStyle w:val="TextoNormalCaracter"/>
        </w:rPr>
        <w:t>-</w:t>
      </w:r>
      <w:r>
        <w:t xml:space="preserve"> Sentencias </w:t>
      </w:r>
      <w:hyperlink w:anchor="SENTENCIA_2025_12" w:history="1">
        <w:r w:rsidRPr="001D7FA9">
          <w:rPr>
            <w:rStyle w:val="TextoNormalCaracter"/>
          </w:rPr>
          <w:t>12/2025</w:t>
        </w:r>
      </w:hyperlink>
      <w:r>
        <w:t xml:space="preserve">, VP I; </w:t>
      </w:r>
      <w:hyperlink w:anchor="SENTENCIA_2025_41" w:history="1">
        <w:r w:rsidRPr="001D7FA9">
          <w:rPr>
            <w:rStyle w:val="TextoNormalCaracter"/>
          </w:rPr>
          <w:t>41/2025</w:t>
        </w:r>
      </w:hyperlink>
      <w:r>
        <w:t xml:space="preserve">, VP; </w:t>
      </w:r>
      <w:hyperlink w:anchor="SENTENCIA_2025_84" w:history="1">
        <w:r w:rsidRPr="001D7FA9">
          <w:rPr>
            <w:rStyle w:val="TextoNormalCaracter"/>
          </w:rPr>
          <w:t>84/2025</w:t>
        </w:r>
      </w:hyperlink>
      <w:r>
        <w:t xml:space="preserve">, VP I; </w:t>
      </w:r>
      <w:hyperlink w:anchor="SENTENCIA_2025_105" w:history="1">
        <w:r w:rsidRPr="001D7FA9">
          <w:rPr>
            <w:rStyle w:val="TextoNormalCaracter"/>
          </w:rPr>
          <w:t>105/2025</w:t>
        </w:r>
      </w:hyperlink>
      <w:r>
        <w:t xml:space="preserve">, VP I, VP II, VP III; </w:t>
      </w:r>
      <w:hyperlink w:anchor="SENTENCIA_2025_110" w:history="1">
        <w:r w:rsidRPr="001D7FA9">
          <w:rPr>
            <w:rStyle w:val="TextoNormalCaracter"/>
          </w:rPr>
          <w:t>110/2025</w:t>
        </w:r>
      </w:hyperlink>
      <w:r>
        <w:t xml:space="preserve">, VP I, VP II; </w:t>
      </w:r>
      <w:hyperlink w:anchor="SENTENCIA_2025_137" w:history="1">
        <w:r w:rsidRPr="001D7FA9">
          <w:rPr>
            <w:rStyle w:val="TextoNormalCaracter"/>
          </w:rPr>
          <w:t>137/2025</w:t>
        </w:r>
      </w:hyperlink>
      <w:r>
        <w:t>, ff. 4, 5, 11, VP III, VP IV.</w:t>
      </w:r>
    </w:p>
    <w:p w14:paraId="5011A630" w14:textId="4D6A1D3B" w:rsidR="001D7FA9" w:rsidRDefault="001D7FA9" w:rsidP="001D7FA9">
      <w:pPr>
        <w:pStyle w:val="SangriaFrancesaArticulo"/>
      </w:pPr>
      <w:r w:rsidRPr="001D7FA9">
        <w:rPr>
          <w:rStyle w:val="TextoNormalNegritaCaracter"/>
        </w:rPr>
        <w:t>Artículo 117.2.</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20179621" w14:textId="627D072B" w:rsidR="001D7FA9" w:rsidRDefault="001D7FA9" w:rsidP="001D7FA9">
      <w:pPr>
        <w:pStyle w:val="SangriaFrancesaArticulo"/>
      </w:pPr>
      <w:r w:rsidRPr="001D7FA9">
        <w:rPr>
          <w:rStyle w:val="TextoNormalNegritaCaracter"/>
        </w:rPr>
        <w:t>Artículo 117.3.</w:t>
      </w:r>
      <w:r w:rsidRPr="001D7FA9">
        <w:rPr>
          <w:rStyle w:val="TextoNormalCaracter"/>
        </w:rPr>
        <w:t>-</w:t>
      </w:r>
      <w:r>
        <w:t xml:space="preserve"> Sentencias </w:t>
      </w:r>
      <w:hyperlink w:anchor="SENTENCIA_2025_12" w:history="1">
        <w:r w:rsidRPr="001D7FA9">
          <w:rPr>
            <w:rStyle w:val="TextoNormalCaracter"/>
          </w:rPr>
          <w:t>12/2025</w:t>
        </w:r>
      </w:hyperlink>
      <w:r>
        <w:t xml:space="preserve">, ff. 1 a 4, VP I, VP II; </w:t>
      </w:r>
      <w:hyperlink w:anchor="SENTENCIA_2025_13" w:history="1">
        <w:r w:rsidRPr="001D7FA9">
          <w:rPr>
            <w:rStyle w:val="TextoNormalCaracter"/>
          </w:rPr>
          <w:t>13/2025</w:t>
        </w:r>
      </w:hyperlink>
      <w:r>
        <w:t xml:space="preserve">, ff. 2, 3; </w:t>
      </w:r>
      <w:hyperlink w:anchor="SENTENCIA_2025_27" w:history="1">
        <w:r w:rsidRPr="001D7FA9">
          <w:rPr>
            <w:rStyle w:val="TextoNormalCaracter"/>
          </w:rPr>
          <w:t>27/2025</w:t>
        </w:r>
      </w:hyperlink>
      <w:r>
        <w:t xml:space="preserve">, f. 2; </w:t>
      </w:r>
      <w:hyperlink w:anchor="SENTENCIA_2025_31" w:history="1">
        <w:r w:rsidRPr="001D7FA9">
          <w:rPr>
            <w:rStyle w:val="TextoNormalCaracter"/>
          </w:rPr>
          <w:t>31/2025</w:t>
        </w:r>
      </w:hyperlink>
      <w:r>
        <w:t xml:space="preserve">, f. 2; </w:t>
      </w:r>
      <w:hyperlink w:anchor="SENTENCIA_2025_41" w:history="1">
        <w:r w:rsidRPr="001D7FA9">
          <w:rPr>
            <w:rStyle w:val="TextoNormalCaracter"/>
          </w:rPr>
          <w:t>41/2025</w:t>
        </w:r>
      </w:hyperlink>
      <w:r>
        <w:t xml:space="preserve">, VP; </w:t>
      </w:r>
      <w:hyperlink w:anchor="SENTENCIA_2025_51" w:history="1">
        <w:r w:rsidRPr="001D7FA9">
          <w:rPr>
            <w:rStyle w:val="TextoNormalCaracter"/>
          </w:rPr>
          <w:t>51/2025</w:t>
        </w:r>
      </w:hyperlink>
      <w:r>
        <w:t xml:space="preserve">, f. 4; </w:t>
      </w:r>
      <w:hyperlink w:anchor="SENTENCIA_2025_55" w:history="1">
        <w:r w:rsidRPr="001D7FA9">
          <w:rPr>
            <w:rStyle w:val="TextoNormalCaracter"/>
          </w:rPr>
          <w:t>55/2025</w:t>
        </w:r>
      </w:hyperlink>
      <w:r>
        <w:t xml:space="preserve">, f. 2; </w:t>
      </w:r>
      <w:hyperlink w:anchor="SENTENCIA_2025_69" w:history="1">
        <w:r w:rsidRPr="001D7FA9">
          <w:rPr>
            <w:rStyle w:val="TextoNormalCaracter"/>
          </w:rPr>
          <w:t>69/2025</w:t>
        </w:r>
      </w:hyperlink>
      <w:r>
        <w:t xml:space="preserve">, f. 3; </w:t>
      </w:r>
      <w:hyperlink w:anchor="SENTENCIA_2025_84" w:history="1">
        <w:r w:rsidRPr="001D7FA9">
          <w:rPr>
            <w:rStyle w:val="TextoNormalCaracter"/>
          </w:rPr>
          <w:t>84/2025</w:t>
        </w:r>
      </w:hyperlink>
      <w:r>
        <w:t xml:space="preserve">, ff. 2, 3, VP I; </w:t>
      </w:r>
      <w:hyperlink w:anchor="SENTENCIA_2025_105" w:history="1">
        <w:r w:rsidRPr="001D7FA9">
          <w:rPr>
            <w:rStyle w:val="TextoNormalCaracter"/>
          </w:rPr>
          <w:t>105/2025</w:t>
        </w:r>
      </w:hyperlink>
      <w:r>
        <w:t xml:space="preserve">, VP I;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xml:space="preserve">, f. 2; </w:t>
      </w:r>
      <w:hyperlink w:anchor="SENTENCIA_2025_137" w:history="1">
        <w:r w:rsidRPr="001D7FA9">
          <w:rPr>
            <w:rStyle w:val="TextoNormalCaracter"/>
          </w:rPr>
          <w:t>137/2025</w:t>
        </w:r>
      </w:hyperlink>
      <w:r>
        <w:t>, ff. 1, 3 a 5, 11, 15, VP I, VP II, VP III, VP IV.</w:t>
      </w:r>
    </w:p>
    <w:p w14:paraId="2CB841C5" w14:textId="1EA3FE26"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8" w:history="1">
        <w:r w:rsidRPr="001D7FA9">
          <w:rPr>
            <w:rStyle w:val="TextoNormalCaracter"/>
          </w:rPr>
          <w:t>8/2025</w:t>
        </w:r>
      </w:hyperlink>
      <w:r>
        <w:t xml:space="preserve">, VP; </w:t>
      </w:r>
      <w:hyperlink w:anchor="AUTO_2025_9" w:history="1">
        <w:r w:rsidRPr="001D7FA9">
          <w:rPr>
            <w:rStyle w:val="TextoNormalCaracter"/>
          </w:rPr>
          <w:t>9/2025</w:t>
        </w:r>
      </w:hyperlink>
      <w:r>
        <w:t xml:space="preserve">, f. 1; </w:t>
      </w:r>
      <w:hyperlink w:anchor="AUTO_2025_11" w:history="1">
        <w:r w:rsidRPr="001D7FA9">
          <w:rPr>
            <w:rStyle w:val="TextoNormalCaracter"/>
          </w:rPr>
          <w:t>11/2025</w:t>
        </w:r>
      </w:hyperlink>
      <w:r>
        <w:t xml:space="preserve">, VP; </w:t>
      </w:r>
      <w:hyperlink w:anchor="AUTO_2025_13" w:history="1">
        <w:r w:rsidRPr="001D7FA9">
          <w:rPr>
            <w:rStyle w:val="TextoNormalCaracter"/>
          </w:rPr>
          <w:t>13/2025</w:t>
        </w:r>
      </w:hyperlink>
      <w:r>
        <w:t xml:space="preserve">, f. 2; </w:t>
      </w:r>
      <w:hyperlink w:anchor="AUTO_2025_24" w:history="1">
        <w:r w:rsidRPr="001D7FA9">
          <w:rPr>
            <w:rStyle w:val="TextoNormalCaracter"/>
          </w:rPr>
          <w:t>24/2025</w:t>
        </w:r>
      </w:hyperlink>
      <w:r>
        <w:t>, f. 3.</w:t>
      </w:r>
    </w:p>
    <w:p w14:paraId="5DEEE43A" w14:textId="1E6BEDC9" w:rsidR="001D7FA9" w:rsidRDefault="001D7FA9" w:rsidP="001D7FA9">
      <w:pPr>
        <w:pStyle w:val="SangriaFrancesaArticulo"/>
      </w:pPr>
      <w:r w:rsidRPr="001D7FA9">
        <w:rPr>
          <w:rStyle w:val="TextoNormalNegritaCaracter"/>
        </w:rPr>
        <w:t>Artículo 117.4.</w:t>
      </w:r>
      <w:r w:rsidRPr="001D7FA9">
        <w:rPr>
          <w:rStyle w:val="TextoNormalCaracter"/>
        </w:rPr>
        <w:t>-</w:t>
      </w:r>
      <w:r>
        <w:t xml:space="preserve"> Sentencias </w:t>
      </w:r>
      <w:hyperlink w:anchor="SENTENCIA_2025_12" w:history="1">
        <w:r w:rsidRPr="001D7FA9">
          <w:rPr>
            <w:rStyle w:val="TextoNormalCaracter"/>
          </w:rPr>
          <w:t>12/2025</w:t>
        </w:r>
      </w:hyperlink>
      <w:r>
        <w:t xml:space="preserve">, VP I; </w:t>
      </w:r>
      <w:hyperlink w:anchor="SENTENCIA_2025_13" w:history="1">
        <w:r w:rsidRPr="001D7FA9">
          <w:rPr>
            <w:rStyle w:val="TextoNormalCaracter"/>
          </w:rPr>
          <w:t>13/2025</w:t>
        </w:r>
      </w:hyperlink>
      <w:r>
        <w:t xml:space="preserve">, f. 3; </w:t>
      </w:r>
      <w:hyperlink w:anchor="SENTENCIA_2025_84" w:history="1">
        <w:r w:rsidRPr="001D7FA9">
          <w:rPr>
            <w:rStyle w:val="TextoNormalCaracter"/>
          </w:rPr>
          <w:t>84/2025</w:t>
        </w:r>
      </w:hyperlink>
      <w:r>
        <w:t xml:space="preserve">, f. 3; </w:t>
      </w:r>
      <w:hyperlink w:anchor="SENTENCIA_2025_137" w:history="1">
        <w:r w:rsidRPr="001D7FA9">
          <w:rPr>
            <w:rStyle w:val="TextoNormalCaracter"/>
          </w:rPr>
          <w:t>137/2025</w:t>
        </w:r>
      </w:hyperlink>
      <w:r>
        <w:t>, f. 11, VP IV.</w:t>
      </w:r>
    </w:p>
    <w:p w14:paraId="4B8C0DFC" w14:textId="3471C344" w:rsidR="001D7FA9" w:rsidRDefault="001D7FA9" w:rsidP="001D7FA9">
      <w:pPr>
        <w:pStyle w:val="SangriaFrancesaArticulo"/>
      </w:pPr>
      <w:r w:rsidRPr="001D7FA9">
        <w:rPr>
          <w:rStyle w:val="TextoNormalNegritaCaracter"/>
        </w:rPr>
        <w:t>Artículo 117.5.</w:t>
      </w:r>
      <w:r w:rsidRPr="001D7FA9">
        <w:rPr>
          <w:rStyle w:val="TextoNormalCaracter"/>
        </w:rPr>
        <w:t>-</w:t>
      </w:r>
      <w:r>
        <w:t xml:space="preserve"> Sentencia </w:t>
      </w:r>
      <w:hyperlink w:anchor="SENTENCIA_2025_12" w:history="1">
        <w:r w:rsidRPr="001D7FA9">
          <w:rPr>
            <w:rStyle w:val="TextoNormalCaracter"/>
          </w:rPr>
          <w:t>12/2025</w:t>
        </w:r>
      </w:hyperlink>
      <w:r>
        <w:t>, f. 4.</w:t>
      </w:r>
    </w:p>
    <w:p w14:paraId="3926B735" w14:textId="44A567AB" w:rsidR="001D7FA9" w:rsidRDefault="001D7FA9" w:rsidP="001D7FA9">
      <w:pPr>
        <w:pStyle w:val="SangriaFrancesaArticulo"/>
      </w:pPr>
      <w:r w:rsidRPr="001D7FA9">
        <w:rPr>
          <w:rStyle w:val="TextoNormalNegritaCaracter"/>
        </w:rPr>
        <w:t>Artículo 118.</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25" w:history="1">
        <w:r w:rsidRPr="001D7FA9">
          <w:rPr>
            <w:rStyle w:val="TextoNormalCaracter"/>
          </w:rPr>
          <w:t>25/2025</w:t>
        </w:r>
      </w:hyperlink>
      <w:r>
        <w:t xml:space="preserve">, f. 1; </w:t>
      </w:r>
      <w:hyperlink w:anchor="SENTENCIA_2025_137" w:history="1">
        <w:r w:rsidRPr="001D7FA9">
          <w:rPr>
            <w:rStyle w:val="TextoNormalCaracter"/>
          </w:rPr>
          <w:t>137/2025</w:t>
        </w:r>
      </w:hyperlink>
      <w:r>
        <w:t>, ff. 1 a 4, 9, VP I, VP II, VP III, VP IV.</w:t>
      </w:r>
    </w:p>
    <w:p w14:paraId="52B73231" w14:textId="21A7C341" w:rsidR="001D7FA9" w:rsidRDefault="001D7FA9" w:rsidP="001D7FA9">
      <w:pPr>
        <w:pStyle w:val="SangriaFrancesaArticulo"/>
      </w:pPr>
      <w:r w:rsidRPr="001D7FA9">
        <w:rPr>
          <w:rStyle w:val="TextoNormalNegritaCaracter"/>
        </w:rPr>
        <w:t>Artículo 119.</w:t>
      </w:r>
      <w:r w:rsidRPr="001D7FA9">
        <w:rPr>
          <w:rStyle w:val="TextoNormalCaracter"/>
        </w:rPr>
        <w:t>-</w:t>
      </w:r>
      <w:r>
        <w:t xml:space="preserve"> Sentencia </w:t>
      </w:r>
      <w:hyperlink w:anchor="SENTENCIA_2025_118" w:history="1">
        <w:r w:rsidRPr="001D7FA9">
          <w:rPr>
            <w:rStyle w:val="TextoNormalCaracter"/>
          </w:rPr>
          <w:t>118/2025</w:t>
        </w:r>
      </w:hyperlink>
      <w:r>
        <w:t>, f. 6.</w:t>
      </w:r>
    </w:p>
    <w:p w14:paraId="1772DB5A" w14:textId="799A1057" w:rsidR="001D7FA9" w:rsidRDefault="001D7FA9" w:rsidP="001D7FA9">
      <w:pPr>
        <w:pStyle w:val="SangriaFrancesaArticulo"/>
      </w:pPr>
      <w:r w:rsidRPr="001D7FA9">
        <w:rPr>
          <w:rStyle w:val="TextoNormalNegritaCaracter"/>
        </w:rPr>
        <w:t>Artículo 120.3.</w:t>
      </w:r>
      <w:r w:rsidRPr="001D7FA9">
        <w:rPr>
          <w:rStyle w:val="TextoNormalCaracter"/>
        </w:rPr>
        <w:t>-</w:t>
      </w:r>
      <w:r>
        <w:t xml:space="preserve"> Sentencia </w:t>
      </w:r>
      <w:hyperlink w:anchor="SENTENCIA_2025_31" w:history="1">
        <w:r w:rsidRPr="001D7FA9">
          <w:rPr>
            <w:rStyle w:val="TextoNormalCaracter"/>
          </w:rPr>
          <w:t>31/2025</w:t>
        </w:r>
      </w:hyperlink>
      <w:r>
        <w:t>, f. 3.</w:t>
      </w:r>
    </w:p>
    <w:p w14:paraId="18E86E06" w14:textId="71D9B8C0" w:rsidR="001D7FA9" w:rsidRDefault="001D7FA9" w:rsidP="001D7FA9">
      <w:pPr>
        <w:pStyle w:val="SangriaFrancesaArticulo"/>
      </w:pPr>
      <w:r w:rsidRPr="001D7FA9">
        <w:rPr>
          <w:rStyle w:val="TextoNormalNegritaCaracter"/>
        </w:rPr>
        <w:t>Artículo 121.1.</w:t>
      </w:r>
      <w:r w:rsidRPr="001D7FA9">
        <w:rPr>
          <w:rStyle w:val="TextoNormalCaracter"/>
        </w:rPr>
        <w:t>-</w:t>
      </w:r>
      <w:r>
        <w:t xml:space="preserve"> Auto </w:t>
      </w:r>
      <w:hyperlink w:anchor="AUTO_2025_8" w:history="1">
        <w:r w:rsidRPr="001D7FA9">
          <w:rPr>
            <w:rStyle w:val="TextoNormalCaracter"/>
          </w:rPr>
          <w:t>8/2025</w:t>
        </w:r>
      </w:hyperlink>
      <w:r>
        <w:t>, VP.</w:t>
      </w:r>
    </w:p>
    <w:p w14:paraId="2447003A" w14:textId="5B7ECD0E" w:rsidR="001D7FA9" w:rsidRDefault="001D7FA9" w:rsidP="001D7FA9">
      <w:pPr>
        <w:pStyle w:val="SangriaFrancesaArticulo"/>
      </w:pPr>
      <w:r w:rsidRPr="001D7FA9">
        <w:rPr>
          <w:rStyle w:val="TextoNormalNegritaCaracter"/>
        </w:rPr>
        <w:t>Artículo 122.1.</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0413EBCE" w14:textId="487A5E48" w:rsidR="001D7FA9" w:rsidRDefault="001D7FA9" w:rsidP="001D7FA9">
      <w:pPr>
        <w:pStyle w:val="SangriaFrancesaArticulo"/>
      </w:pPr>
      <w:r w:rsidRPr="001D7FA9">
        <w:rPr>
          <w:rStyle w:val="TextoNormalNegritaCaracter"/>
        </w:rPr>
        <w:t>Artículo 123.1.</w:t>
      </w:r>
      <w:r w:rsidRPr="001D7FA9">
        <w:rPr>
          <w:rStyle w:val="TextoNormalCaracter"/>
        </w:rPr>
        <w:t>-</w:t>
      </w:r>
      <w:r>
        <w:t xml:space="preserve"> Sentencias </w:t>
      </w:r>
      <w:hyperlink w:anchor="SENTENCIA_2025_105" w:history="1">
        <w:r w:rsidRPr="001D7FA9">
          <w:rPr>
            <w:rStyle w:val="TextoNormalCaracter"/>
          </w:rPr>
          <w:t>105/2025</w:t>
        </w:r>
      </w:hyperlink>
      <w:r>
        <w:t xml:space="preserve">, VP I, VP II; </w:t>
      </w:r>
      <w:hyperlink w:anchor="SENTENCIA_2025_110" w:history="1">
        <w:r w:rsidRPr="001D7FA9">
          <w:rPr>
            <w:rStyle w:val="TextoNormalCaracter"/>
          </w:rPr>
          <w:t>110/2025</w:t>
        </w:r>
      </w:hyperlink>
      <w:r>
        <w:t>, VP I.</w:t>
      </w:r>
    </w:p>
    <w:p w14:paraId="6A6441F7" w14:textId="61C3FDEB"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11" w:history="1">
        <w:r w:rsidRPr="001D7FA9">
          <w:rPr>
            <w:rStyle w:val="TextoNormalCaracter"/>
          </w:rPr>
          <w:t>11/2025</w:t>
        </w:r>
      </w:hyperlink>
      <w:r>
        <w:t>, VP.</w:t>
      </w:r>
    </w:p>
    <w:p w14:paraId="65E35C89" w14:textId="3F10BF63" w:rsidR="001D7FA9" w:rsidRDefault="001D7FA9" w:rsidP="001D7FA9">
      <w:pPr>
        <w:pStyle w:val="SangriaFrancesaArticulo"/>
      </w:pPr>
      <w:r w:rsidRPr="001D7FA9">
        <w:rPr>
          <w:rStyle w:val="TextoNormalNegritaCaracter"/>
        </w:rPr>
        <w:t>Artículo 124.</w:t>
      </w:r>
      <w:r w:rsidRPr="001D7FA9">
        <w:rPr>
          <w:rStyle w:val="TextoNormalCaracter"/>
        </w:rPr>
        <w:t>-</w:t>
      </w:r>
      <w:r>
        <w:t xml:space="preserve"> Sentencia </w:t>
      </w:r>
      <w:hyperlink w:anchor="SENTENCIA_2025_137" w:history="1">
        <w:r w:rsidRPr="001D7FA9">
          <w:rPr>
            <w:rStyle w:val="TextoNormalCaracter"/>
          </w:rPr>
          <w:t>137/2025</w:t>
        </w:r>
      </w:hyperlink>
      <w:r>
        <w:t>, ff. 11, 20.</w:t>
      </w:r>
    </w:p>
    <w:p w14:paraId="5F70E89C" w14:textId="5FE1641D"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VP II; </w:t>
      </w:r>
      <w:hyperlink w:anchor="AUTO_2025_8" w:history="1">
        <w:r w:rsidRPr="001D7FA9">
          <w:rPr>
            <w:rStyle w:val="TextoNormalCaracter"/>
          </w:rPr>
          <w:t>8/2025</w:t>
        </w:r>
      </w:hyperlink>
      <w:r>
        <w:t xml:space="preserve">, VP; </w:t>
      </w:r>
      <w:hyperlink w:anchor="AUTO_2025_35" w:history="1">
        <w:r w:rsidRPr="001D7FA9">
          <w:rPr>
            <w:rStyle w:val="TextoNormalCaracter"/>
          </w:rPr>
          <w:t>35/2025</w:t>
        </w:r>
      </w:hyperlink>
      <w:r>
        <w:t>, VP II.</w:t>
      </w:r>
    </w:p>
    <w:p w14:paraId="75C90667" w14:textId="2E0EEFC9" w:rsidR="001D7FA9" w:rsidRDefault="001D7FA9" w:rsidP="001D7FA9">
      <w:pPr>
        <w:pStyle w:val="SangriaFrancesaArticulo"/>
      </w:pPr>
      <w:r w:rsidRPr="001D7FA9">
        <w:rPr>
          <w:rStyle w:val="TextoNormalNegritaCaracter"/>
        </w:rPr>
        <w:t>Artículo 124.1.</w:t>
      </w:r>
      <w:r w:rsidRPr="001D7FA9">
        <w:rPr>
          <w:rStyle w:val="TextoNormalCaracter"/>
        </w:rPr>
        <w:t>-</w:t>
      </w:r>
      <w:r>
        <w:t xml:space="preserve"> Sentencias </w:t>
      </w:r>
      <w:hyperlink w:anchor="SENTENCIA_2025_126" w:history="1">
        <w:r w:rsidRPr="001D7FA9">
          <w:rPr>
            <w:rStyle w:val="TextoNormalCaracter"/>
          </w:rPr>
          <w:t>126/2025</w:t>
        </w:r>
      </w:hyperlink>
      <w:r>
        <w:t xml:space="preserve">, f. 7; </w:t>
      </w:r>
      <w:hyperlink w:anchor="SENTENCIA_2025_137" w:history="1">
        <w:r w:rsidRPr="001D7FA9">
          <w:rPr>
            <w:rStyle w:val="TextoNormalCaracter"/>
          </w:rPr>
          <w:t>137/2025</w:t>
        </w:r>
      </w:hyperlink>
      <w:r>
        <w:t>, VP IV.</w:t>
      </w:r>
    </w:p>
    <w:p w14:paraId="4EF8B679" w14:textId="64DB189D" w:rsidR="001D7FA9" w:rsidRDefault="001D7FA9" w:rsidP="001D7FA9">
      <w:pPr>
        <w:pStyle w:val="SangriaIzquierdaArticulo"/>
      </w:pPr>
      <w:r>
        <w:t xml:space="preserve">Auto </w:t>
      </w:r>
      <w:hyperlink w:anchor="AUTO_2025_6" w:history="1">
        <w:r w:rsidRPr="001D7FA9">
          <w:rPr>
            <w:rStyle w:val="TextoNormalCaracter"/>
          </w:rPr>
          <w:t>6/2025</w:t>
        </w:r>
      </w:hyperlink>
      <w:r>
        <w:t>, VP II.</w:t>
      </w:r>
    </w:p>
    <w:p w14:paraId="5FA31BA4" w14:textId="1A165304" w:rsidR="001D7FA9" w:rsidRDefault="001D7FA9" w:rsidP="001D7FA9">
      <w:pPr>
        <w:pStyle w:val="SangriaFrancesaArticulo"/>
      </w:pPr>
      <w:r w:rsidRPr="001D7FA9">
        <w:rPr>
          <w:rStyle w:val="TextoNormalNegritaCaracter"/>
        </w:rPr>
        <w:t>Artículo 125.</w:t>
      </w:r>
      <w:r w:rsidRPr="001D7FA9">
        <w:rPr>
          <w:rStyle w:val="TextoNormalCaracter"/>
        </w:rPr>
        <w:t>-</w:t>
      </w:r>
      <w:r>
        <w:t xml:space="preserve"> Sentencia </w:t>
      </w:r>
      <w:hyperlink w:anchor="SENTENCIA_2025_137" w:history="1">
        <w:r w:rsidRPr="001D7FA9">
          <w:rPr>
            <w:rStyle w:val="TextoNormalCaracter"/>
          </w:rPr>
          <w:t>137/2025</w:t>
        </w:r>
      </w:hyperlink>
      <w:r>
        <w:t>, ff. 4, 20, VP III.</w:t>
      </w:r>
    </w:p>
    <w:p w14:paraId="77BB8E1A" w14:textId="536B3F7C" w:rsidR="001D7FA9" w:rsidRDefault="001D7FA9" w:rsidP="001D7FA9">
      <w:pPr>
        <w:pStyle w:val="SangriaFrancesaArticulo"/>
      </w:pPr>
      <w:r w:rsidRPr="001D7FA9">
        <w:rPr>
          <w:rStyle w:val="TextoNormalNegritaCaracter"/>
        </w:rPr>
        <w:t>Artículo 126.</w:t>
      </w:r>
      <w:r w:rsidRPr="001D7FA9">
        <w:rPr>
          <w:rStyle w:val="TextoNormalCaracter"/>
        </w:rPr>
        <w:t>-</w:t>
      </w:r>
      <w:r>
        <w:t xml:space="preserve"> Auto </w:t>
      </w:r>
      <w:hyperlink w:anchor="AUTO_2025_8" w:history="1">
        <w:r w:rsidRPr="001D7FA9">
          <w:rPr>
            <w:rStyle w:val="TextoNormalCaracter"/>
          </w:rPr>
          <w:t>8/2025</w:t>
        </w:r>
      </w:hyperlink>
      <w:r>
        <w:t>, VP.</w:t>
      </w:r>
    </w:p>
    <w:p w14:paraId="17816430" w14:textId="7ED28603" w:rsidR="001D7FA9" w:rsidRDefault="001D7FA9" w:rsidP="001D7FA9">
      <w:pPr>
        <w:pStyle w:val="SangriaFrancesaArticulo"/>
      </w:pPr>
      <w:r w:rsidRPr="001D7FA9">
        <w:rPr>
          <w:rStyle w:val="TextoNormalNegritaCaracter"/>
        </w:rPr>
        <w:t>Artículo 127.2.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03EA9E0" w14:textId="37BD8605" w:rsidR="001D7FA9" w:rsidRDefault="001D7FA9" w:rsidP="001D7FA9">
      <w:pPr>
        <w:pStyle w:val="SangriaFrancesaArticulo"/>
      </w:pPr>
      <w:r w:rsidRPr="001D7FA9">
        <w:rPr>
          <w:rStyle w:val="TextoNormalNegritaCaracter"/>
        </w:rPr>
        <w:t>Artículo 128.2.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79D7772" w14:textId="3BE42FAA" w:rsidR="001D7FA9" w:rsidRDefault="001D7FA9" w:rsidP="001D7FA9">
      <w:pPr>
        <w:pStyle w:val="SangriaFrancesaArticulo"/>
      </w:pPr>
      <w:r w:rsidRPr="001D7FA9">
        <w:rPr>
          <w:rStyle w:val="TextoNormalNegritaCaracter"/>
        </w:rPr>
        <w:t>Artículo 131.</w:t>
      </w:r>
      <w:r w:rsidRPr="001D7FA9">
        <w:rPr>
          <w:rStyle w:val="TextoNormalCaracter"/>
        </w:rPr>
        <w:t>-</w:t>
      </w:r>
      <w:r>
        <w:t xml:space="preserve"> Sentencia </w:t>
      </w:r>
      <w:hyperlink w:anchor="SENTENCIA_2025_63" w:history="1">
        <w:r w:rsidRPr="001D7FA9">
          <w:rPr>
            <w:rStyle w:val="TextoNormalCaracter"/>
          </w:rPr>
          <w:t>63/2025</w:t>
        </w:r>
      </w:hyperlink>
      <w:r>
        <w:t>, f. 5.</w:t>
      </w:r>
    </w:p>
    <w:p w14:paraId="18F18F19" w14:textId="797D7849" w:rsidR="001D7FA9" w:rsidRDefault="001D7FA9" w:rsidP="001D7FA9">
      <w:pPr>
        <w:pStyle w:val="SangriaFrancesaArticulo"/>
      </w:pPr>
      <w:r w:rsidRPr="001D7FA9">
        <w:rPr>
          <w:rStyle w:val="TextoNormalNegritaCaracter"/>
        </w:rPr>
        <w:t>Artículo 131.2.</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2912BBA4" w14:textId="25CBA7D3" w:rsidR="001D7FA9" w:rsidRDefault="001D7FA9" w:rsidP="001D7FA9">
      <w:pPr>
        <w:pStyle w:val="SangriaFrancesaArticulo"/>
      </w:pPr>
      <w:r w:rsidRPr="001D7FA9">
        <w:rPr>
          <w:rStyle w:val="TextoNormalNegritaCaracter"/>
        </w:rPr>
        <w:t>Artículo 133.1.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5085816" w14:textId="01BBB93E" w:rsidR="001D7FA9" w:rsidRDefault="001D7FA9" w:rsidP="001D7FA9">
      <w:pPr>
        <w:pStyle w:val="SangriaFrancesaArticulo"/>
      </w:pPr>
      <w:r w:rsidRPr="001D7FA9">
        <w:rPr>
          <w:rStyle w:val="TextoNormalNegritaCaracter"/>
        </w:rPr>
        <w:t>Artículo 134.</w:t>
      </w:r>
      <w:r w:rsidRPr="001D7FA9">
        <w:rPr>
          <w:rStyle w:val="TextoNormalCaracter"/>
        </w:rPr>
        <w:t>-</w:t>
      </w:r>
      <w:r>
        <w:t xml:space="preserve"> Sentencias </w:t>
      </w:r>
      <w:hyperlink w:anchor="SENTENCIA_2025_63" w:history="1">
        <w:r w:rsidRPr="001D7FA9">
          <w:rPr>
            <w:rStyle w:val="TextoNormalCaracter"/>
          </w:rPr>
          <w:t>63/2025</w:t>
        </w:r>
      </w:hyperlink>
      <w:r>
        <w:t xml:space="preserve">, f. 5; </w:t>
      </w:r>
      <w:hyperlink w:anchor="SENTENCIA_2025_135" w:history="1">
        <w:r w:rsidRPr="001D7FA9">
          <w:rPr>
            <w:rStyle w:val="TextoNormalCaracter"/>
          </w:rPr>
          <w:t>135/2025</w:t>
        </w:r>
      </w:hyperlink>
      <w:r>
        <w:t>, ff. 3, 4.</w:t>
      </w:r>
    </w:p>
    <w:p w14:paraId="047057FD" w14:textId="442B4BCA" w:rsidR="001D7FA9" w:rsidRDefault="001D7FA9" w:rsidP="001D7FA9">
      <w:pPr>
        <w:pStyle w:val="SangriaFrancesaArticulo"/>
      </w:pPr>
      <w:r w:rsidRPr="001D7FA9">
        <w:rPr>
          <w:rStyle w:val="TextoNormalNegritaCaracter"/>
        </w:rPr>
        <w:t>Artículo 134.1.</w:t>
      </w:r>
      <w:r w:rsidRPr="001D7FA9">
        <w:rPr>
          <w:rStyle w:val="TextoNormalCaracter"/>
        </w:rPr>
        <w:t>-</w:t>
      </w:r>
      <w:r>
        <w:t xml:space="preserve"> Sentencia </w:t>
      </w:r>
      <w:hyperlink w:anchor="SENTENCIA_2025_135" w:history="1">
        <w:r w:rsidRPr="001D7FA9">
          <w:rPr>
            <w:rStyle w:val="TextoNormalCaracter"/>
          </w:rPr>
          <w:t>135/2025</w:t>
        </w:r>
      </w:hyperlink>
      <w:r>
        <w:t>, ff. 3, 4.</w:t>
      </w:r>
    </w:p>
    <w:p w14:paraId="70C2AAEF" w14:textId="7D2124F5" w:rsidR="001D7FA9" w:rsidRDefault="001D7FA9" w:rsidP="001D7FA9">
      <w:pPr>
        <w:pStyle w:val="SangriaFrancesaArticulo"/>
      </w:pPr>
      <w:r w:rsidRPr="001D7FA9">
        <w:rPr>
          <w:rStyle w:val="TextoNormalNegritaCaracter"/>
        </w:rPr>
        <w:t>Artículo 134.2.</w:t>
      </w:r>
      <w:r w:rsidRPr="001D7FA9">
        <w:rPr>
          <w:rStyle w:val="TextoNormalCaracter"/>
        </w:rPr>
        <w:t>-</w:t>
      </w:r>
      <w:r>
        <w:t xml:space="preserve"> Sentencia </w:t>
      </w:r>
      <w:hyperlink w:anchor="SENTENCIA_2025_135" w:history="1">
        <w:r w:rsidRPr="001D7FA9">
          <w:rPr>
            <w:rStyle w:val="TextoNormalCaracter"/>
          </w:rPr>
          <w:t>135/2025</w:t>
        </w:r>
      </w:hyperlink>
      <w:r>
        <w:t>, f. 3.</w:t>
      </w:r>
    </w:p>
    <w:p w14:paraId="2075FDC5" w14:textId="61B633FE" w:rsidR="001D7FA9" w:rsidRDefault="001D7FA9" w:rsidP="001D7FA9">
      <w:pPr>
        <w:pStyle w:val="SangriaFrancesaArticulo"/>
      </w:pPr>
      <w:r w:rsidRPr="001D7FA9">
        <w:rPr>
          <w:rStyle w:val="TextoNormalNegritaCaracter"/>
        </w:rPr>
        <w:t>Artículo 134.4.</w:t>
      </w:r>
      <w:r w:rsidRPr="001D7FA9">
        <w:rPr>
          <w:rStyle w:val="TextoNormalCaracter"/>
        </w:rPr>
        <w:t>-</w:t>
      </w:r>
      <w:r>
        <w:t xml:space="preserve"> Sentencia </w:t>
      </w:r>
      <w:hyperlink w:anchor="SENTENCIA_2025_135" w:history="1">
        <w:r w:rsidRPr="001D7FA9">
          <w:rPr>
            <w:rStyle w:val="TextoNormalCaracter"/>
          </w:rPr>
          <w:t>135/2025</w:t>
        </w:r>
      </w:hyperlink>
      <w:r>
        <w:t>, f. 3.</w:t>
      </w:r>
    </w:p>
    <w:p w14:paraId="0434F250" w14:textId="2D764819" w:rsidR="001D7FA9" w:rsidRDefault="001D7FA9" w:rsidP="001D7FA9">
      <w:pPr>
        <w:pStyle w:val="SangriaFrancesaArticulo"/>
      </w:pPr>
      <w:r w:rsidRPr="001D7FA9">
        <w:rPr>
          <w:rStyle w:val="TextoNormalNegritaCaracter"/>
        </w:rPr>
        <w:t>Artículo 134.5.</w:t>
      </w:r>
      <w:r w:rsidRPr="001D7FA9">
        <w:rPr>
          <w:rStyle w:val="TextoNormalCaracter"/>
        </w:rPr>
        <w:t>-</w:t>
      </w:r>
      <w:r>
        <w:t xml:space="preserve"> Sentencia </w:t>
      </w:r>
      <w:hyperlink w:anchor="SENTENCIA_2025_135" w:history="1">
        <w:r w:rsidRPr="001D7FA9">
          <w:rPr>
            <w:rStyle w:val="TextoNormalCaracter"/>
          </w:rPr>
          <w:t>135/2025</w:t>
        </w:r>
      </w:hyperlink>
      <w:r>
        <w:t>, f. 3.</w:t>
      </w:r>
    </w:p>
    <w:p w14:paraId="7FBDEDFA" w14:textId="486A343D" w:rsidR="001D7FA9" w:rsidRDefault="001D7FA9" w:rsidP="001D7FA9">
      <w:pPr>
        <w:pStyle w:val="SangriaFrancesaArticulo"/>
      </w:pPr>
      <w:r w:rsidRPr="001D7FA9">
        <w:rPr>
          <w:rStyle w:val="TextoNormalNegritaCaracter"/>
        </w:rPr>
        <w:t>Artículo 134.6.</w:t>
      </w:r>
      <w:r w:rsidRPr="001D7FA9">
        <w:rPr>
          <w:rStyle w:val="TextoNormalCaracter"/>
        </w:rPr>
        <w:t>-</w:t>
      </w:r>
      <w:r>
        <w:t xml:space="preserve"> Sentencias </w:t>
      </w:r>
      <w:hyperlink w:anchor="SENTENCIA_2025_63" w:history="1">
        <w:r w:rsidRPr="001D7FA9">
          <w:rPr>
            <w:rStyle w:val="TextoNormalCaracter"/>
          </w:rPr>
          <w:t>63/2025</w:t>
        </w:r>
      </w:hyperlink>
      <w:r>
        <w:t xml:space="preserve">, VP I; </w:t>
      </w:r>
      <w:hyperlink w:anchor="SENTENCIA_2025_135" w:history="1">
        <w:r w:rsidRPr="001D7FA9">
          <w:rPr>
            <w:rStyle w:val="TextoNormalCaracter"/>
          </w:rPr>
          <w:t>135/2025</w:t>
        </w:r>
      </w:hyperlink>
      <w:r>
        <w:t>, ff. 1 a 4.</w:t>
      </w:r>
    </w:p>
    <w:p w14:paraId="229D0BAF" w14:textId="66B83822" w:rsidR="001D7FA9" w:rsidRDefault="001D7FA9" w:rsidP="001D7FA9">
      <w:pPr>
        <w:pStyle w:val="SangriaFrancesaArticulo"/>
      </w:pPr>
      <w:r w:rsidRPr="001D7FA9">
        <w:rPr>
          <w:rStyle w:val="TextoNormalNegritaCaracter"/>
        </w:rPr>
        <w:t>Artículo 134.7.</w:t>
      </w:r>
      <w:r w:rsidRPr="001D7FA9">
        <w:rPr>
          <w:rStyle w:val="TextoNormalCaracter"/>
        </w:rPr>
        <w:t>-</w:t>
      </w:r>
      <w:r>
        <w:t xml:space="preserve"> Sentencia </w:t>
      </w:r>
      <w:hyperlink w:anchor="SENTENCIA_2025_135" w:history="1">
        <w:r w:rsidRPr="001D7FA9">
          <w:rPr>
            <w:rStyle w:val="TextoNormalCaracter"/>
          </w:rPr>
          <w:t>135/2025</w:t>
        </w:r>
      </w:hyperlink>
      <w:r>
        <w:t>, f. 3.</w:t>
      </w:r>
    </w:p>
    <w:p w14:paraId="184AB294" w14:textId="72C74EB6" w:rsidR="001D7FA9" w:rsidRDefault="001D7FA9" w:rsidP="001D7FA9">
      <w:pPr>
        <w:pStyle w:val="SangriaFrancesaArticulo"/>
      </w:pPr>
      <w:r w:rsidRPr="001D7FA9">
        <w:rPr>
          <w:rStyle w:val="TextoNormalNegritaCaracter"/>
        </w:rPr>
        <w:t>Artículo 135.</w:t>
      </w:r>
      <w:r w:rsidRPr="001D7FA9">
        <w:rPr>
          <w:rStyle w:val="TextoNormalCaracter"/>
        </w:rPr>
        <w:t>-</w:t>
      </w:r>
      <w:r>
        <w:t xml:space="preserve"> Sentencia </w:t>
      </w:r>
      <w:hyperlink w:anchor="SENTENCIA_2025_135" w:history="1">
        <w:r w:rsidRPr="001D7FA9">
          <w:rPr>
            <w:rStyle w:val="TextoNormalCaracter"/>
          </w:rPr>
          <w:t>135/2025</w:t>
        </w:r>
      </w:hyperlink>
      <w:r>
        <w:t>, ff. 3, 4.</w:t>
      </w:r>
    </w:p>
    <w:p w14:paraId="21E23E7F" w14:textId="194D992A" w:rsidR="001D7FA9" w:rsidRDefault="001D7FA9" w:rsidP="001D7FA9">
      <w:pPr>
        <w:pStyle w:val="SangriaFrancesaArticulo"/>
      </w:pPr>
      <w:r w:rsidRPr="001D7FA9">
        <w:rPr>
          <w:rStyle w:val="TextoNormalNegritaCaracter"/>
        </w:rPr>
        <w:t>Artículo 136.</w:t>
      </w:r>
      <w:r w:rsidRPr="001D7FA9">
        <w:rPr>
          <w:rStyle w:val="TextoNormalCaracter"/>
        </w:rPr>
        <w:t>-</w:t>
      </w:r>
      <w:r>
        <w:t xml:space="preserve"> Sentencia </w:t>
      </w:r>
      <w:hyperlink w:anchor="SENTENCIA_2025_137" w:history="1">
        <w:r w:rsidRPr="001D7FA9">
          <w:rPr>
            <w:rStyle w:val="TextoNormalCaracter"/>
          </w:rPr>
          <w:t>137/2025</w:t>
        </w:r>
      </w:hyperlink>
      <w:r>
        <w:t>, ff. 4, 20, VP III.</w:t>
      </w:r>
    </w:p>
    <w:p w14:paraId="172426DD" w14:textId="5730AB19" w:rsidR="001D7FA9" w:rsidRDefault="001D7FA9" w:rsidP="001D7FA9">
      <w:pPr>
        <w:pStyle w:val="SangriaFrancesaArticulo"/>
      </w:pPr>
      <w:r w:rsidRPr="001D7FA9">
        <w:rPr>
          <w:rStyle w:val="TextoNormalNegritaCaracter"/>
        </w:rPr>
        <w:t>Artículo 136.3.</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463360C6" w14:textId="7E25D344" w:rsidR="001D7FA9" w:rsidRDefault="001D7FA9" w:rsidP="001D7FA9">
      <w:pPr>
        <w:pStyle w:val="SangriaFrancesaArticulo"/>
      </w:pPr>
      <w:r w:rsidRPr="001D7FA9">
        <w:rPr>
          <w:rStyle w:val="TextoNormalNegritaCaracter"/>
        </w:rPr>
        <w:t>Artículo 137.</w:t>
      </w:r>
      <w:r w:rsidRPr="001D7FA9">
        <w:rPr>
          <w:rStyle w:val="TextoNormalCaracter"/>
        </w:rPr>
        <w:t>-</w:t>
      </w:r>
      <w:r>
        <w:t xml:space="preserve"> Sentencias </w:t>
      </w:r>
      <w:hyperlink w:anchor="SENTENCIA_2025_26" w:history="1">
        <w:r w:rsidRPr="001D7FA9">
          <w:rPr>
            <w:rStyle w:val="TextoNormalCaracter"/>
          </w:rPr>
          <w:t>26/2025</w:t>
        </w:r>
      </w:hyperlink>
      <w:r>
        <w:t xml:space="preserve">, ff. 1 a 3, VP II; </w:t>
      </w:r>
      <w:hyperlink w:anchor="SENTENCIA_2025_43" w:history="1">
        <w:r w:rsidRPr="001D7FA9">
          <w:rPr>
            <w:rStyle w:val="TextoNormalCaracter"/>
          </w:rPr>
          <w:t>43/2025</w:t>
        </w:r>
      </w:hyperlink>
      <w:r>
        <w:t xml:space="preserve">, f. 3; </w:t>
      </w:r>
      <w:hyperlink w:anchor="SENTENCIA_2025_64" w:history="1">
        <w:r w:rsidRPr="001D7FA9">
          <w:rPr>
            <w:rStyle w:val="TextoNormalCaracter"/>
          </w:rPr>
          <w:t>64/2025</w:t>
        </w:r>
      </w:hyperlink>
      <w:r>
        <w:t>, ff. 1, 6.</w:t>
      </w:r>
    </w:p>
    <w:p w14:paraId="4AFA138E" w14:textId="311519D5" w:rsidR="001D7FA9" w:rsidRDefault="001D7FA9" w:rsidP="001D7FA9">
      <w:pPr>
        <w:pStyle w:val="SangriaFrancesaArticulo"/>
      </w:pPr>
      <w:r w:rsidRPr="001D7FA9">
        <w:rPr>
          <w:rStyle w:val="TextoNormalNegritaCaracter"/>
        </w:rPr>
        <w:t>Artículo 139.</w:t>
      </w:r>
      <w:r w:rsidRPr="001D7FA9">
        <w:rPr>
          <w:rStyle w:val="TextoNormalCaracter"/>
        </w:rPr>
        <w:t>-</w:t>
      </w:r>
      <w:r>
        <w:t xml:space="preserve"> Sentencia </w:t>
      </w:r>
      <w:hyperlink w:anchor="SENTENCIA_2025_25" w:history="1">
        <w:r w:rsidRPr="001D7FA9">
          <w:rPr>
            <w:rStyle w:val="TextoNormalCaracter"/>
          </w:rPr>
          <w:t>25/2025</w:t>
        </w:r>
      </w:hyperlink>
      <w:r>
        <w:t>, ff. 1, 2, VP II.</w:t>
      </w:r>
    </w:p>
    <w:p w14:paraId="45AF079E" w14:textId="35DE5BBB" w:rsidR="001D7FA9" w:rsidRDefault="001D7FA9" w:rsidP="001D7FA9">
      <w:pPr>
        <w:pStyle w:val="SangriaFrancesaArticulo"/>
      </w:pPr>
      <w:r w:rsidRPr="001D7FA9">
        <w:rPr>
          <w:rStyle w:val="TextoNormalNegritaCaracter"/>
        </w:rPr>
        <w:t>Artículo 139.1.</w:t>
      </w:r>
      <w:r w:rsidRPr="001D7FA9">
        <w:rPr>
          <w:rStyle w:val="TextoNormalCaracter"/>
        </w:rPr>
        <w:t>-</w:t>
      </w:r>
      <w:r>
        <w:t xml:space="preserve"> Sentencia </w:t>
      </w:r>
      <w:hyperlink w:anchor="SENTENCIA_2025_105" w:history="1">
        <w:r w:rsidRPr="001D7FA9">
          <w:rPr>
            <w:rStyle w:val="TextoNormalCaracter"/>
          </w:rPr>
          <w:t>105/2025</w:t>
        </w:r>
      </w:hyperlink>
      <w:r>
        <w:t>, VP III.</w:t>
      </w:r>
    </w:p>
    <w:p w14:paraId="6C248FBB" w14:textId="0A37341B" w:rsidR="001D7FA9" w:rsidRDefault="001D7FA9" w:rsidP="001D7FA9">
      <w:pPr>
        <w:pStyle w:val="SangriaFrancesaArticulo"/>
      </w:pPr>
      <w:r w:rsidRPr="001D7FA9">
        <w:rPr>
          <w:rStyle w:val="TextoNormalNegritaCaracter"/>
        </w:rPr>
        <w:t>Artículo 140.</w:t>
      </w:r>
      <w:r w:rsidRPr="001D7FA9">
        <w:rPr>
          <w:rStyle w:val="TextoNormalCaracter"/>
        </w:rPr>
        <w:t>-</w:t>
      </w:r>
      <w:r>
        <w:t xml:space="preserve"> Sentencias </w:t>
      </w:r>
      <w:hyperlink w:anchor="SENTENCIA_2025_26" w:history="1">
        <w:r w:rsidRPr="001D7FA9">
          <w:rPr>
            <w:rStyle w:val="TextoNormalCaracter"/>
          </w:rPr>
          <w:t>26/2025</w:t>
        </w:r>
      </w:hyperlink>
      <w:r>
        <w:t xml:space="preserve">, ff. 1 a 3, VP I, VP II; </w:t>
      </w:r>
      <w:hyperlink w:anchor="SENTENCIA_2025_64" w:history="1">
        <w:r w:rsidRPr="001D7FA9">
          <w:rPr>
            <w:rStyle w:val="TextoNormalCaracter"/>
          </w:rPr>
          <w:t>64/2025</w:t>
        </w:r>
      </w:hyperlink>
      <w:r>
        <w:t xml:space="preserve">, f. 6; </w:t>
      </w:r>
      <w:hyperlink w:anchor="SENTENCIA_2025_134" w:history="1">
        <w:r w:rsidRPr="001D7FA9">
          <w:rPr>
            <w:rStyle w:val="TextoNormalCaracter"/>
          </w:rPr>
          <w:t>134/2025</w:t>
        </w:r>
      </w:hyperlink>
      <w:r>
        <w:t>, f. 5.</w:t>
      </w:r>
    </w:p>
    <w:p w14:paraId="6F677050" w14:textId="0E065B05" w:rsidR="001D7FA9" w:rsidRDefault="001D7FA9" w:rsidP="001D7FA9">
      <w:pPr>
        <w:pStyle w:val="SangriaFrancesaArticulo"/>
      </w:pPr>
      <w:r w:rsidRPr="001D7FA9">
        <w:rPr>
          <w:rStyle w:val="TextoNormalNegritaCaracter"/>
        </w:rPr>
        <w:t>Artículo 141.</w:t>
      </w:r>
      <w:r w:rsidRPr="001D7FA9">
        <w:rPr>
          <w:rStyle w:val="TextoNormalCaracter"/>
        </w:rPr>
        <w:t>-</w:t>
      </w:r>
      <w:r>
        <w:t xml:space="preserve"> Sentencia </w:t>
      </w:r>
      <w:hyperlink w:anchor="SENTENCIA_2025_64" w:history="1">
        <w:r w:rsidRPr="001D7FA9">
          <w:rPr>
            <w:rStyle w:val="TextoNormalCaracter"/>
          </w:rPr>
          <w:t>64/2025</w:t>
        </w:r>
      </w:hyperlink>
      <w:r>
        <w:t>, ff. 1, 6.</w:t>
      </w:r>
    </w:p>
    <w:p w14:paraId="48D50EDD" w14:textId="02B1701A" w:rsidR="001D7FA9" w:rsidRDefault="001D7FA9" w:rsidP="001D7FA9">
      <w:pPr>
        <w:pStyle w:val="SangriaFrancesaArticulo"/>
      </w:pPr>
      <w:r w:rsidRPr="001D7FA9">
        <w:rPr>
          <w:rStyle w:val="TextoNormalNegritaCaracter"/>
        </w:rPr>
        <w:t>Artículo 141.1.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B97E869" w14:textId="043B94EF" w:rsidR="001D7FA9" w:rsidRDefault="001D7FA9" w:rsidP="001D7FA9">
      <w:pPr>
        <w:pStyle w:val="SangriaFrancesaArticulo"/>
      </w:pPr>
      <w:r w:rsidRPr="001D7FA9">
        <w:rPr>
          <w:rStyle w:val="TextoNormalNegritaCaracter"/>
        </w:rPr>
        <w:t>Artículo 147.2 c).</w:t>
      </w:r>
      <w:r w:rsidRPr="001D7FA9">
        <w:rPr>
          <w:rStyle w:val="TextoNormalCaracter"/>
        </w:rPr>
        <w:t>-</w:t>
      </w:r>
      <w:r>
        <w:t xml:space="preserve"> Sentencia </w:t>
      </w:r>
      <w:hyperlink w:anchor="SENTENCIA_2025_40" w:history="1">
        <w:r w:rsidRPr="001D7FA9">
          <w:rPr>
            <w:rStyle w:val="TextoNormalCaracter"/>
          </w:rPr>
          <w:t>40/2025</w:t>
        </w:r>
      </w:hyperlink>
      <w:r>
        <w:t>, f. 3.</w:t>
      </w:r>
    </w:p>
    <w:p w14:paraId="2BD0F16B" w14:textId="76384517" w:rsidR="001D7FA9" w:rsidRDefault="001D7FA9" w:rsidP="001D7FA9">
      <w:pPr>
        <w:pStyle w:val="SangriaFrancesaArticulo"/>
      </w:pPr>
      <w:r w:rsidRPr="001D7FA9">
        <w:rPr>
          <w:rStyle w:val="TextoNormalNegritaCaracter"/>
        </w:rPr>
        <w:t>Artículo 147.2 d).</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2B208E4C" w14:textId="1E8821E0" w:rsidR="001D7FA9" w:rsidRDefault="001D7FA9" w:rsidP="001D7FA9">
      <w:pPr>
        <w:pStyle w:val="SangriaFrancesaArticulo"/>
      </w:pPr>
      <w:r w:rsidRPr="001D7FA9">
        <w:rPr>
          <w:rStyle w:val="TextoNormalNegritaCaracter"/>
        </w:rPr>
        <w:t>Artículo 148.1.3.</w:t>
      </w:r>
      <w:r w:rsidRPr="001D7FA9">
        <w:rPr>
          <w:rStyle w:val="TextoNormalCaracter"/>
        </w:rPr>
        <w:t>-</w:t>
      </w:r>
      <w:r>
        <w:t xml:space="preserve"> Sentencias </w:t>
      </w:r>
      <w:hyperlink w:anchor="SENTENCIA_2025_26" w:history="1">
        <w:r w:rsidRPr="001D7FA9">
          <w:rPr>
            <w:rStyle w:val="TextoNormalCaracter"/>
          </w:rPr>
          <w:t>26/2025</w:t>
        </w:r>
      </w:hyperlink>
      <w:r>
        <w:t xml:space="preserve">, f. 3, VP I; </w:t>
      </w:r>
      <w:hyperlink w:anchor="SENTENCIA_2025_64" w:history="1">
        <w:r w:rsidRPr="001D7FA9">
          <w:rPr>
            <w:rStyle w:val="TextoNormalCaracter"/>
          </w:rPr>
          <w:t>64/2025</w:t>
        </w:r>
      </w:hyperlink>
      <w:r>
        <w:t>, f. 6.</w:t>
      </w:r>
    </w:p>
    <w:p w14:paraId="22201911" w14:textId="1B391975" w:rsidR="001D7FA9" w:rsidRDefault="001D7FA9" w:rsidP="001D7FA9">
      <w:pPr>
        <w:pStyle w:val="SangriaFrancesaArticulo"/>
      </w:pPr>
      <w:r w:rsidRPr="001D7FA9">
        <w:rPr>
          <w:rStyle w:val="TextoNormalNegritaCaracter"/>
        </w:rPr>
        <w:t>Artículo 148.1.20.</w:t>
      </w:r>
      <w:r w:rsidRPr="001D7FA9">
        <w:rPr>
          <w:rStyle w:val="TextoNormalCaracter"/>
        </w:rPr>
        <w:t>-</w:t>
      </w:r>
      <w:r>
        <w:t xml:space="preserve"> Sentencias </w:t>
      </w:r>
      <w:hyperlink w:anchor="SENTENCIA_2025_43" w:history="1">
        <w:r w:rsidRPr="001D7FA9">
          <w:rPr>
            <w:rStyle w:val="TextoNormalCaracter"/>
          </w:rPr>
          <w:t>43/2025</w:t>
        </w:r>
      </w:hyperlink>
      <w:r>
        <w:t xml:space="preserve">, f. 3; </w:t>
      </w:r>
      <w:hyperlink w:anchor="SENTENCIA_2025_96" w:history="1">
        <w:r w:rsidRPr="001D7FA9">
          <w:rPr>
            <w:rStyle w:val="TextoNormalCaracter"/>
          </w:rPr>
          <w:t>96/2025</w:t>
        </w:r>
      </w:hyperlink>
      <w:r>
        <w:t>, f. 3.</w:t>
      </w:r>
    </w:p>
    <w:p w14:paraId="7BA17EBB" w14:textId="2A3D1F96" w:rsidR="001D7FA9" w:rsidRDefault="001D7FA9" w:rsidP="001D7FA9">
      <w:pPr>
        <w:pStyle w:val="SangriaFrancesaArticulo"/>
      </w:pPr>
      <w:r w:rsidRPr="001D7FA9">
        <w:rPr>
          <w:rStyle w:val="TextoNormalNegritaCaracter"/>
        </w:rPr>
        <w:t>Artículo 149.1.</w:t>
      </w:r>
      <w:r w:rsidRPr="001D7FA9">
        <w:rPr>
          <w:rStyle w:val="TextoNormalCaracter"/>
        </w:rPr>
        <w:t>-</w:t>
      </w:r>
      <w:r>
        <w:t xml:space="preserve"> Sentencias </w:t>
      </w:r>
      <w:hyperlink w:anchor="SENTENCIA_2025_44" w:history="1">
        <w:r w:rsidRPr="001D7FA9">
          <w:rPr>
            <w:rStyle w:val="TextoNormalCaracter"/>
          </w:rPr>
          <w:t>44/2025</w:t>
        </w:r>
      </w:hyperlink>
      <w:r>
        <w:t xml:space="preserve">, f. 4; </w:t>
      </w:r>
      <w:hyperlink w:anchor="SENTENCIA_2025_137" w:history="1">
        <w:r w:rsidRPr="001D7FA9">
          <w:rPr>
            <w:rStyle w:val="TextoNormalCaracter"/>
          </w:rPr>
          <w:t>137/2025</w:t>
        </w:r>
      </w:hyperlink>
      <w:r>
        <w:t>, VP II.</w:t>
      </w:r>
    </w:p>
    <w:p w14:paraId="7B17D1C0" w14:textId="112FC05D" w:rsidR="001D7FA9" w:rsidRDefault="001D7FA9" w:rsidP="001D7FA9">
      <w:pPr>
        <w:pStyle w:val="SangriaIzquierdaArticulo"/>
      </w:pPr>
      <w:r>
        <w:t xml:space="preserve">Auto </w:t>
      </w:r>
      <w:hyperlink w:anchor="AUTO_2025_64" w:history="1">
        <w:r w:rsidRPr="001D7FA9">
          <w:rPr>
            <w:rStyle w:val="TextoNormalCaracter"/>
          </w:rPr>
          <w:t>64/2025</w:t>
        </w:r>
      </w:hyperlink>
      <w:r>
        <w:t>, VP I.</w:t>
      </w:r>
    </w:p>
    <w:p w14:paraId="1141D349" w14:textId="56E501C1" w:rsidR="001D7FA9" w:rsidRDefault="001D7FA9" w:rsidP="001D7FA9">
      <w:pPr>
        <w:pStyle w:val="SangriaFrancesaArticulo"/>
      </w:pPr>
      <w:r w:rsidRPr="001D7FA9">
        <w:rPr>
          <w:rStyle w:val="TextoNormalNegritaCaracter"/>
        </w:rPr>
        <w:t>Artículo 149.1.1.</w:t>
      </w:r>
      <w:r w:rsidRPr="001D7FA9">
        <w:rPr>
          <w:rStyle w:val="TextoNormalCaracter"/>
        </w:rPr>
        <w:t>-</w:t>
      </w:r>
      <w:r>
        <w:t xml:space="preserve"> Sentencias </w:t>
      </w:r>
      <w:hyperlink w:anchor="SENTENCIA_2025_25" w:history="1">
        <w:r w:rsidRPr="001D7FA9">
          <w:rPr>
            <w:rStyle w:val="TextoNormalCaracter"/>
          </w:rPr>
          <w:t>25/2025</w:t>
        </w:r>
      </w:hyperlink>
      <w:r>
        <w:t xml:space="preserve">, ff. 1, 2, VP II; </w:t>
      </w:r>
      <w:hyperlink w:anchor="SENTENCIA_2025_26" w:history="1">
        <w:r w:rsidRPr="001D7FA9">
          <w:rPr>
            <w:rStyle w:val="TextoNormalCaracter"/>
          </w:rPr>
          <w:t>26/2025</w:t>
        </w:r>
      </w:hyperlink>
      <w:r>
        <w:t xml:space="preserve">, ff. 2 a 4, VP I, VP II; </w:t>
      </w:r>
      <w:hyperlink w:anchor="SENTENCIA_2025_82" w:history="1">
        <w:r w:rsidRPr="001D7FA9">
          <w:rPr>
            <w:rStyle w:val="TextoNormalCaracter"/>
          </w:rPr>
          <w:t>82/2025</w:t>
        </w:r>
      </w:hyperlink>
      <w:r>
        <w:t xml:space="preserve">, f. 8; </w:t>
      </w:r>
      <w:hyperlink w:anchor="SENTENCIA_2025_95" w:history="1">
        <w:r w:rsidRPr="001D7FA9">
          <w:rPr>
            <w:rStyle w:val="TextoNormalCaracter"/>
          </w:rPr>
          <w:t>95/2025</w:t>
        </w:r>
      </w:hyperlink>
      <w:r>
        <w:t xml:space="preserve">, ff. 1 a 3; </w:t>
      </w:r>
      <w:hyperlink w:anchor="SENTENCIA_2025_96" w:history="1">
        <w:r w:rsidRPr="001D7FA9">
          <w:rPr>
            <w:rStyle w:val="TextoNormalCaracter"/>
          </w:rPr>
          <w:t>96/2025</w:t>
        </w:r>
      </w:hyperlink>
      <w:r>
        <w:t xml:space="preserve">, f. 4; </w:t>
      </w:r>
      <w:hyperlink w:anchor="SENTENCIA_2025_133" w:history="1">
        <w:r w:rsidRPr="001D7FA9">
          <w:rPr>
            <w:rStyle w:val="TextoNormalCaracter"/>
          </w:rPr>
          <w:t>133/2025</w:t>
        </w:r>
      </w:hyperlink>
      <w:r>
        <w:t>, ff. 1, 2, 4.</w:t>
      </w:r>
    </w:p>
    <w:p w14:paraId="5F7BC31A" w14:textId="6C0DF18F" w:rsidR="001D7FA9" w:rsidRDefault="001D7FA9" w:rsidP="001D7FA9">
      <w:pPr>
        <w:pStyle w:val="SangriaIzquierdaArticulo"/>
      </w:pPr>
      <w:r>
        <w:t xml:space="preserve">Autos </w:t>
      </w:r>
      <w:hyperlink w:anchor="AUTO_2025_8" w:history="1">
        <w:r w:rsidRPr="001D7FA9">
          <w:rPr>
            <w:rStyle w:val="TextoNormalCaracter"/>
          </w:rPr>
          <w:t>8/2025</w:t>
        </w:r>
      </w:hyperlink>
      <w:r>
        <w:t xml:space="preserve">, VP; </w:t>
      </w:r>
      <w:hyperlink w:anchor="AUTO_2025_24" w:history="1">
        <w:r w:rsidRPr="001D7FA9">
          <w:rPr>
            <w:rStyle w:val="TextoNormalCaracter"/>
          </w:rPr>
          <w:t>24/2025</w:t>
        </w:r>
      </w:hyperlink>
      <w:r>
        <w:t xml:space="preserve">, ff. 1, 2; </w:t>
      </w:r>
      <w:hyperlink w:anchor="AUTO_2025_59" w:history="1">
        <w:r w:rsidRPr="001D7FA9">
          <w:rPr>
            <w:rStyle w:val="TextoNormalCaracter"/>
          </w:rPr>
          <w:t>59/2025</w:t>
        </w:r>
      </w:hyperlink>
      <w:r>
        <w:t xml:space="preserve">, f. 4; </w:t>
      </w:r>
      <w:hyperlink w:anchor="AUTO_2025_64" w:history="1">
        <w:r w:rsidRPr="001D7FA9">
          <w:rPr>
            <w:rStyle w:val="TextoNormalCaracter"/>
          </w:rPr>
          <w:t>64/2025</w:t>
        </w:r>
      </w:hyperlink>
      <w:r>
        <w:t>, f. 1, VP I.</w:t>
      </w:r>
    </w:p>
    <w:p w14:paraId="37EDB783" w14:textId="0A575C6C" w:rsidR="001D7FA9" w:rsidRDefault="001D7FA9" w:rsidP="001D7FA9">
      <w:pPr>
        <w:pStyle w:val="SangriaFrancesaArticulo"/>
      </w:pPr>
      <w:r w:rsidRPr="001D7FA9">
        <w:rPr>
          <w:rStyle w:val="TextoNormalNegritaCaracter"/>
        </w:rPr>
        <w:t>Artículo 149.1.2.</w:t>
      </w:r>
      <w:r w:rsidRPr="001D7FA9">
        <w:rPr>
          <w:rStyle w:val="TextoNormalCaracter"/>
        </w:rPr>
        <w:t>-</w:t>
      </w:r>
      <w:r>
        <w:t xml:space="preserve"> Sentencia </w:t>
      </w:r>
      <w:hyperlink w:anchor="SENTENCIA_2025_43" w:history="1">
        <w:r w:rsidRPr="001D7FA9">
          <w:rPr>
            <w:rStyle w:val="TextoNormalCaracter"/>
          </w:rPr>
          <w:t>43/2025</w:t>
        </w:r>
      </w:hyperlink>
      <w:r>
        <w:t>, ff. 1, 3.</w:t>
      </w:r>
    </w:p>
    <w:p w14:paraId="342E822C" w14:textId="04F21B3C" w:rsidR="001D7FA9" w:rsidRDefault="001D7FA9" w:rsidP="001D7FA9">
      <w:pPr>
        <w:pStyle w:val="SangriaFrancesaArticulo"/>
      </w:pPr>
      <w:r w:rsidRPr="001D7FA9">
        <w:rPr>
          <w:rStyle w:val="TextoNormalNegritaCaracter"/>
        </w:rPr>
        <w:t>Artículo 149.1.5.</w:t>
      </w:r>
      <w:r w:rsidRPr="001D7FA9">
        <w:rPr>
          <w:rStyle w:val="TextoNormalCaracter"/>
        </w:rPr>
        <w:t>-</w:t>
      </w:r>
      <w:r>
        <w:t xml:space="preserve"> Auto </w:t>
      </w:r>
      <w:hyperlink w:anchor="AUTO_2025_24" w:history="1">
        <w:r w:rsidRPr="001D7FA9">
          <w:rPr>
            <w:rStyle w:val="TextoNormalCaracter"/>
          </w:rPr>
          <w:t>24/2025</w:t>
        </w:r>
      </w:hyperlink>
      <w:r>
        <w:t>, ff. 1, 2.</w:t>
      </w:r>
    </w:p>
    <w:p w14:paraId="49E5E8EE" w14:textId="63E11ABF" w:rsidR="001D7FA9" w:rsidRDefault="001D7FA9" w:rsidP="001D7FA9">
      <w:pPr>
        <w:pStyle w:val="SangriaFrancesaArticulo"/>
      </w:pPr>
      <w:r w:rsidRPr="001D7FA9">
        <w:rPr>
          <w:rStyle w:val="TextoNormalNegritaCaracter"/>
        </w:rPr>
        <w:t>Artículo 149.1.6.</w:t>
      </w:r>
      <w:r w:rsidRPr="001D7FA9">
        <w:rPr>
          <w:rStyle w:val="TextoNormalCaracter"/>
        </w:rPr>
        <w:t>-</w:t>
      </w:r>
      <w:r>
        <w:t xml:space="preserve"> Sentencias </w:t>
      </w:r>
      <w:hyperlink w:anchor="SENTENCIA_2025_25" w:history="1">
        <w:r w:rsidRPr="001D7FA9">
          <w:rPr>
            <w:rStyle w:val="TextoNormalCaracter"/>
          </w:rPr>
          <w:t>25/2025</w:t>
        </w:r>
      </w:hyperlink>
      <w:r>
        <w:t xml:space="preserve">, ff. 1, 2, 5; </w:t>
      </w:r>
      <w:hyperlink w:anchor="SENTENCIA_2025_96" w:history="1">
        <w:r w:rsidRPr="001D7FA9">
          <w:rPr>
            <w:rStyle w:val="TextoNormalCaracter"/>
          </w:rPr>
          <w:t>96/2025</w:t>
        </w:r>
      </w:hyperlink>
      <w:r>
        <w:t>, ff. 1, 3, VP.</w:t>
      </w:r>
    </w:p>
    <w:p w14:paraId="5439B4BF" w14:textId="074C6D45" w:rsidR="001D7FA9" w:rsidRDefault="001D7FA9" w:rsidP="001D7FA9">
      <w:pPr>
        <w:pStyle w:val="SangriaIzquierdaArticulo"/>
      </w:pPr>
      <w:r>
        <w:t xml:space="preserve">Autos </w:t>
      </w:r>
      <w:hyperlink w:anchor="AUTO_2025_8" w:history="1">
        <w:r w:rsidRPr="001D7FA9">
          <w:rPr>
            <w:rStyle w:val="TextoNormalCaracter"/>
          </w:rPr>
          <w:t>8/2025</w:t>
        </w:r>
      </w:hyperlink>
      <w:r>
        <w:t xml:space="preserve">, VP; </w:t>
      </w:r>
      <w:hyperlink w:anchor="AUTO_2025_24" w:history="1">
        <w:r w:rsidRPr="001D7FA9">
          <w:rPr>
            <w:rStyle w:val="TextoNormalCaracter"/>
          </w:rPr>
          <w:t>24/2025</w:t>
        </w:r>
      </w:hyperlink>
      <w:r>
        <w:t>, ff. 1, 2.</w:t>
      </w:r>
    </w:p>
    <w:p w14:paraId="408F4220" w14:textId="079331BC" w:rsidR="001D7FA9" w:rsidRDefault="001D7FA9" w:rsidP="001D7FA9">
      <w:pPr>
        <w:pStyle w:val="SangriaFrancesaArticulo"/>
      </w:pPr>
      <w:r w:rsidRPr="001D7FA9">
        <w:rPr>
          <w:rStyle w:val="TextoNormalNegritaCaracter"/>
        </w:rPr>
        <w:t>Artículo 149.1.7.</w:t>
      </w:r>
      <w:r w:rsidRPr="001D7FA9">
        <w:rPr>
          <w:rStyle w:val="TextoNormalCaracter"/>
        </w:rPr>
        <w:t>-</w:t>
      </w:r>
      <w:r>
        <w:t xml:space="preserve"> Sentencia </w:t>
      </w:r>
      <w:hyperlink w:anchor="SENTENCIA_2025_82" w:history="1">
        <w:r w:rsidRPr="001D7FA9">
          <w:rPr>
            <w:rStyle w:val="TextoNormalCaracter"/>
          </w:rPr>
          <w:t>82/2025</w:t>
        </w:r>
      </w:hyperlink>
      <w:r>
        <w:t>, f. 8.</w:t>
      </w:r>
    </w:p>
    <w:p w14:paraId="763F194A" w14:textId="235784FC" w:rsidR="001D7FA9" w:rsidRDefault="001D7FA9" w:rsidP="001D7FA9">
      <w:pPr>
        <w:pStyle w:val="SangriaIzquierdaArticulo"/>
      </w:pPr>
      <w:r>
        <w:t xml:space="preserve">Auto </w:t>
      </w:r>
      <w:hyperlink w:anchor="AUTO_2025_32" w:history="1">
        <w:r w:rsidRPr="001D7FA9">
          <w:rPr>
            <w:rStyle w:val="TextoNormalCaracter"/>
          </w:rPr>
          <w:t>32/2025</w:t>
        </w:r>
      </w:hyperlink>
      <w:r>
        <w:t>, f. 6.</w:t>
      </w:r>
    </w:p>
    <w:p w14:paraId="1CABE0B1" w14:textId="1B558959" w:rsidR="001D7FA9" w:rsidRDefault="001D7FA9" w:rsidP="001D7FA9">
      <w:pPr>
        <w:pStyle w:val="SangriaFrancesaArticulo"/>
      </w:pPr>
      <w:r w:rsidRPr="001D7FA9">
        <w:rPr>
          <w:rStyle w:val="TextoNormalNegritaCaracter"/>
        </w:rPr>
        <w:t>Artículo 149.1.8.</w:t>
      </w:r>
      <w:r w:rsidRPr="001D7FA9">
        <w:rPr>
          <w:rStyle w:val="TextoNormalCaracter"/>
        </w:rPr>
        <w:t>-</w:t>
      </w:r>
      <w:r>
        <w:t xml:space="preserve"> Sentencias </w:t>
      </w:r>
      <w:hyperlink w:anchor="SENTENCIA_2025_25" w:history="1">
        <w:r w:rsidRPr="001D7FA9">
          <w:rPr>
            <w:rStyle w:val="TextoNormalCaracter"/>
          </w:rPr>
          <w:t>25/2025</w:t>
        </w:r>
      </w:hyperlink>
      <w:r>
        <w:t xml:space="preserve">, ff. 1, 2; </w:t>
      </w:r>
      <w:hyperlink w:anchor="SENTENCIA_2025_26" w:history="1">
        <w:r w:rsidRPr="001D7FA9">
          <w:rPr>
            <w:rStyle w:val="TextoNormalCaracter"/>
          </w:rPr>
          <w:t>26/2025</w:t>
        </w:r>
      </w:hyperlink>
      <w:r>
        <w:t xml:space="preserve">, ff. 2 a 4, VP I, VP II; </w:t>
      </w:r>
      <w:hyperlink w:anchor="SENTENCIA_2025_43" w:history="1">
        <w:r w:rsidRPr="001D7FA9">
          <w:rPr>
            <w:rStyle w:val="TextoNormalCaracter"/>
          </w:rPr>
          <w:t>43/2025</w:t>
        </w:r>
      </w:hyperlink>
      <w:r>
        <w:t>, f. 1.</w:t>
      </w:r>
    </w:p>
    <w:p w14:paraId="68D0AD83" w14:textId="37E41193" w:rsidR="001D7FA9" w:rsidRDefault="001D7FA9" w:rsidP="001D7FA9">
      <w:pPr>
        <w:pStyle w:val="SangriaFrancesaArticulo"/>
      </w:pPr>
      <w:r w:rsidRPr="001D7FA9">
        <w:rPr>
          <w:rStyle w:val="TextoNormalNegritaCaracter"/>
        </w:rPr>
        <w:t>Artículo 149.1.13.</w:t>
      </w:r>
      <w:r w:rsidRPr="001D7FA9">
        <w:rPr>
          <w:rStyle w:val="TextoNormalCaracter"/>
        </w:rPr>
        <w:t>-</w:t>
      </w:r>
      <w:r>
        <w:t xml:space="preserve"> Sentencias </w:t>
      </w:r>
      <w:hyperlink w:anchor="SENTENCIA_2025_26" w:history="1">
        <w:r w:rsidRPr="001D7FA9">
          <w:rPr>
            <w:rStyle w:val="TextoNormalCaracter"/>
          </w:rPr>
          <w:t>26/2025</w:t>
        </w:r>
      </w:hyperlink>
      <w:r>
        <w:t xml:space="preserve">, ff. 2 a 4, VP I, VP II; </w:t>
      </w:r>
      <w:hyperlink w:anchor="SENTENCIA_2025_64" w:history="1">
        <w:r w:rsidRPr="001D7FA9">
          <w:rPr>
            <w:rStyle w:val="TextoNormalCaracter"/>
          </w:rPr>
          <w:t>64/2025</w:t>
        </w:r>
      </w:hyperlink>
      <w:r>
        <w:t>, ff. 1, 5.</w:t>
      </w:r>
    </w:p>
    <w:p w14:paraId="17A05194" w14:textId="4ED5575B" w:rsidR="001D7FA9" w:rsidRDefault="001D7FA9" w:rsidP="001D7FA9">
      <w:pPr>
        <w:pStyle w:val="SangriaIzquierdaArticulo"/>
      </w:pPr>
      <w:r>
        <w:t xml:space="preserve">Auto </w:t>
      </w:r>
      <w:hyperlink w:anchor="AUTO_2025_32" w:history="1">
        <w:r w:rsidRPr="001D7FA9">
          <w:rPr>
            <w:rStyle w:val="TextoNormalCaracter"/>
          </w:rPr>
          <w:t>32/2025</w:t>
        </w:r>
      </w:hyperlink>
      <w:r>
        <w:t>, f. 6.</w:t>
      </w:r>
    </w:p>
    <w:p w14:paraId="7E8064C0" w14:textId="0FB5A23D" w:rsidR="001D7FA9" w:rsidRDefault="001D7FA9" w:rsidP="001D7FA9">
      <w:pPr>
        <w:pStyle w:val="SangriaFrancesaArticulo"/>
      </w:pPr>
      <w:r w:rsidRPr="001D7FA9">
        <w:rPr>
          <w:rStyle w:val="TextoNormalNegritaCaracter"/>
        </w:rPr>
        <w:t>Artículo 149.1.16.</w:t>
      </w:r>
      <w:r w:rsidRPr="001D7FA9">
        <w:rPr>
          <w:rStyle w:val="TextoNormalCaracter"/>
        </w:rPr>
        <w:t>-</w:t>
      </w:r>
      <w:r>
        <w:t xml:space="preserve"> Sentencias </w:t>
      </w:r>
      <w:hyperlink w:anchor="SENTENCIA_2025_26" w:history="1">
        <w:r w:rsidRPr="001D7FA9">
          <w:rPr>
            <w:rStyle w:val="TextoNormalCaracter"/>
          </w:rPr>
          <w:t>26/2025</w:t>
        </w:r>
      </w:hyperlink>
      <w:r>
        <w:t xml:space="preserve">, VP I; </w:t>
      </w:r>
      <w:hyperlink w:anchor="SENTENCIA_2025_95" w:history="1">
        <w:r w:rsidRPr="001D7FA9">
          <w:rPr>
            <w:rStyle w:val="TextoNormalCaracter"/>
          </w:rPr>
          <w:t>95/2025</w:t>
        </w:r>
      </w:hyperlink>
      <w:r>
        <w:t xml:space="preserve">, ff. 1 a 3; </w:t>
      </w:r>
      <w:hyperlink w:anchor="SENTENCIA_2025_133" w:history="1">
        <w:r w:rsidRPr="001D7FA9">
          <w:rPr>
            <w:rStyle w:val="TextoNormalCaracter"/>
          </w:rPr>
          <w:t>133/2025</w:t>
        </w:r>
      </w:hyperlink>
      <w:r>
        <w:t>, ff. 1, 2, 4.</w:t>
      </w:r>
    </w:p>
    <w:p w14:paraId="7C461CC2" w14:textId="217F6E5D" w:rsidR="001D7FA9" w:rsidRDefault="001D7FA9" w:rsidP="001D7FA9">
      <w:pPr>
        <w:pStyle w:val="SangriaFrancesaArticulo"/>
      </w:pPr>
      <w:r w:rsidRPr="001D7FA9">
        <w:rPr>
          <w:rStyle w:val="TextoNormalNegritaCaracter"/>
        </w:rPr>
        <w:t>Artículo 149.1.18.</w:t>
      </w:r>
      <w:r w:rsidRPr="001D7FA9">
        <w:rPr>
          <w:rStyle w:val="TextoNormalCaracter"/>
        </w:rPr>
        <w:t>-</w:t>
      </w:r>
      <w:r>
        <w:t xml:space="preserve"> Sentencias </w:t>
      </w:r>
      <w:hyperlink w:anchor="SENTENCIA_2025_25" w:history="1">
        <w:r w:rsidRPr="001D7FA9">
          <w:rPr>
            <w:rStyle w:val="TextoNormalCaracter"/>
          </w:rPr>
          <w:t>25/2025</w:t>
        </w:r>
      </w:hyperlink>
      <w:r>
        <w:t xml:space="preserve">, ff. 1, 2, 4; </w:t>
      </w:r>
      <w:hyperlink w:anchor="SENTENCIA_2025_27" w:history="1">
        <w:r w:rsidRPr="001D7FA9">
          <w:rPr>
            <w:rStyle w:val="TextoNormalCaracter"/>
          </w:rPr>
          <w:t>27/2025</w:t>
        </w:r>
      </w:hyperlink>
      <w:r>
        <w:t xml:space="preserve">, f. 1; </w:t>
      </w:r>
      <w:hyperlink w:anchor="SENTENCIA_2025_42" w:history="1">
        <w:r w:rsidRPr="001D7FA9">
          <w:rPr>
            <w:rStyle w:val="TextoNormalCaracter"/>
          </w:rPr>
          <w:t>42/2025</w:t>
        </w:r>
      </w:hyperlink>
      <w:r>
        <w:t xml:space="preserve">, ff. 1, 4; </w:t>
      </w:r>
      <w:hyperlink w:anchor="SENTENCIA_2025_44" w:history="1">
        <w:r w:rsidRPr="001D7FA9">
          <w:rPr>
            <w:rStyle w:val="TextoNormalCaracter"/>
          </w:rPr>
          <w:t>44/2025</w:t>
        </w:r>
      </w:hyperlink>
      <w:r>
        <w:t xml:space="preserve">, ff. 1, 2, 4; </w:t>
      </w:r>
      <w:hyperlink w:anchor="SENTENCIA_2025_82" w:history="1">
        <w:r w:rsidRPr="001D7FA9">
          <w:rPr>
            <w:rStyle w:val="TextoNormalCaracter"/>
          </w:rPr>
          <w:t>82/2025</w:t>
        </w:r>
      </w:hyperlink>
      <w:r>
        <w:t xml:space="preserve">, f. 8; </w:t>
      </w:r>
      <w:hyperlink w:anchor="SENTENCIA_2025_96" w:history="1">
        <w:r w:rsidRPr="001D7FA9">
          <w:rPr>
            <w:rStyle w:val="TextoNormalCaracter"/>
          </w:rPr>
          <w:t>96/2025</w:t>
        </w:r>
      </w:hyperlink>
      <w:r>
        <w:t>, f. 4, VP.</w:t>
      </w:r>
    </w:p>
    <w:p w14:paraId="63DECB79" w14:textId="1EA4490B" w:rsidR="001D7FA9" w:rsidRDefault="001D7FA9" w:rsidP="001D7FA9">
      <w:pPr>
        <w:pStyle w:val="SangriaIzquierdaArticulo"/>
      </w:pPr>
      <w:r>
        <w:t xml:space="preserve">Auto </w:t>
      </w:r>
      <w:hyperlink w:anchor="AUTO_2025_32" w:history="1">
        <w:r w:rsidRPr="001D7FA9">
          <w:rPr>
            <w:rStyle w:val="TextoNormalCaracter"/>
          </w:rPr>
          <w:t>32/2025</w:t>
        </w:r>
      </w:hyperlink>
      <w:r>
        <w:t>, ff. 1, 4, 6.</w:t>
      </w:r>
    </w:p>
    <w:p w14:paraId="4D531CCB" w14:textId="4B53728F" w:rsidR="001D7FA9" w:rsidRDefault="001D7FA9" w:rsidP="001D7FA9">
      <w:pPr>
        <w:pStyle w:val="SangriaFrancesaArticulo"/>
      </w:pPr>
      <w:r w:rsidRPr="001D7FA9">
        <w:rPr>
          <w:rStyle w:val="TextoNormalNegritaCaracter"/>
        </w:rPr>
        <w:t>Artículo 149.1.23.</w:t>
      </w:r>
      <w:r w:rsidRPr="001D7FA9">
        <w:rPr>
          <w:rStyle w:val="TextoNormalCaracter"/>
        </w:rPr>
        <w:t>-</w:t>
      </w:r>
      <w:r>
        <w:t xml:space="preserve"> Sentencia </w:t>
      </w:r>
      <w:hyperlink w:anchor="SENTENCIA_2025_26" w:history="1">
        <w:r w:rsidRPr="001D7FA9">
          <w:rPr>
            <w:rStyle w:val="TextoNormalCaracter"/>
          </w:rPr>
          <w:t>26/2025</w:t>
        </w:r>
      </w:hyperlink>
      <w:r>
        <w:t>, VP I.</w:t>
      </w:r>
    </w:p>
    <w:p w14:paraId="1C35F51F" w14:textId="57E83ACF" w:rsidR="001D7FA9" w:rsidRDefault="001D7FA9" w:rsidP="001D7FA9">
      <w:pPr>
        <w:pStyle w:val="SangriaFrancesaArticulo"/>
      </w:pPr>
      <w:r w:rsidRPr="001D7FA9">
        <w:rPr>
          <w:rStyle w:val="TextoNormalNegritaCaracter"/>
        </w:rPr>
        <w:t>Artículo 149.1.26.</w:t>
      </w:r>
      <w:r w:rsidRPr="001D7FA9">
        <w:rPr>
          <w:rStyle w:val="TextoNormalCaracter"/>
        </w:rPr>
        <w:t>-</w:t>
      </w:r>
      <w:r>
        <w:t xml:space="preserve"> Auto </w:t>
      </w:r>
      <w:hyperlink w:anchor="AUTO_2025_8" w:history="1">
        <w:r w:rsidRPr="001D7FA9">
          <w:rPr>
            <w:rStyle w:val="TextoNormalCaracter"/>
          </w:rPr>
          <w:t>8/2025</w:t>
        </w:r>
      </w:hyperlink>
      <w:r>
        <w:t>, VP.</w:t>
      </w:r>
    </w:p>
    <w:p w14:paraId="66890EF3" w14:textId="584B9FA4" w:rsidR="001D7FA9" w:rsidRDefault="001D7FA9" w:rsidP="001D7FA9">
      <w:pPr>
        <w:pStyle w:val="SangriaFrancesaArticulo"/>
      </w:pPr>
      <w:r w:rsidRPr="001D7FA9">
        <w:rPr>
          <w:rStyle w:val="TextoNormalNegritaCaracter"/>
        </w:rPr>
        <w:t>Artículo 149.1.28.</w:t>
      </w:r>
      <w:r w:rsidRPr="001D7FA9">
        <w:rPr>
          <w:rStyle w:val="TextoNormalCaracter"/>
        </w:rPr>
        <w:t>-</w:t>
      </w:r>
      <w:r>
        <w:t xml:space="preserve"> Sentencia </w:t>
      </w:r>
      <w:hyperlink w:anchor="SENTENCIA_2025_40" w:history="1">
        <w:r w:rsidRPr="001D7FA9">
          <w:rPr>
            <w:rStyle w:val="TextoNormalCaracter"/>
          </w:rPr>
          <w:t>40/2025</w:t>
        </w:r>
      </w:hyperlink>
      <w:r>
        <w:t>, ff. 1, 2.</w:t>
      </w:r>
    </w:p>
    <w:p w14:paraId="4EF99784" w14:textId="501DBF91" w:rsidR="001D7FA9" w:rsidRDefault="001D7FA9" w:rsidP="001D7FA9">
      <w:pPr>
        <w:pStyle w:val="SangriaFrancesaArticulo"/>
      </w:pPr>
      <w:r w:rsidRPr="001D7FA9">
        <w:rPr>
          <w:rStyle w:val="TextoNormalNegritaCaracter"/>
        </w:rPr>
        <w:t>Artículo 149.1.30.</w:t>
      </w:r>
      <w:r w:rsidRPr="001D7FA9">
        <w:rPr>
          <w:rStyle w:val="TextoNormalCaracter"/>
        </w:rPr>
        <w:t>-</w:t>
      </w:r>
      <w:r>
        <w:t xml:space="preserve"> Sentencia </w:t>
      </w:r>
      <w:hyperlink w:anchor="SENTENCIA_2025_82" w:history="1">
        <w:r w:rsidRPr="001D7FA9">
          <w:rPr>
            <w:rStyle w:val="TextoNormalCaracter"/>
          </w:rPr>
          <w:t>82/2025</w:t>
        </w:r>
      </w:hyperlink>
      <w:r>
        <w:t>, ff. 4, 5, 7, 8.</w:t>
      </w:r>
    </w:p>
    <w:p w14:paraId="1A9F7FB9" w14:textId="3738F603" w:rsidR="001D7FA9" w:rsidRDefault="001D7FA9" w:rsidP="001D7FA9">
      <w:pPr>
        <w:pStyle w:val="SangriaIzquierdaArticulo"/>
      </w:pPr>
      <w:r>
        <w:t xml:space="preserve">Auto </w:t>
      </w:r>
      <w:hyperlink w:anchor="AUTO_2025_64" w:history="1">
        <w:r w:rsidRPr="001D7FA9">
          <w:rPr>
            <w:rStyle w:val="TextoNormalCaracter"/>
          </w:rPr>
          <w:t>64/2025</w:t>
        </w:r>
      </w:hyperlink>
      <w:r>
        <w:t>, f. 1, VP I.</w:t>
      </w:r>
    </w:p>
    <w:p w14:paraId="307D8BFC" w14:textId="0B1286F7" w:rsidR="001D7FA9" w:rsidRDefault="001D7FA9" w:rsidP="001D7FA9">
      <w:pPr>
        <w:pStyle w:val="SangriaFrancesaArticulo"/>
      </w:pPr>
      <w:r w:rsidRPr="001D7FA9">
        <w:rPr>
          <w:rStyle w:val="TextoNormalNegritaCaracter"/>
        </w:rPr>
        <w:t>Artículo 149.3.</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26D08145" w14:textId="299F27B7" w:rsidR="001D7FA9" w:rsidRDefault="001D7FA9" w:rsidP="001D7FA9">
      <w:pPr>
        <w:pStyle w:val="SangriaIzquierdaArticulo"/>
      </w:pPr>
      <w:r>
        <w:t xml:space="preserve">Auto </w:t>
      </w:r>
      <w:hyperlink w:anchor="AUTO_2025_32" w:history="1">
        <w:r w:rsidRPr="001D7FA9">
          <w:rPr>
            <w:rStyle w:val="TextoNormalCaracter"/>
          </w:rPr>
          <w:t>32/2025</w:t>
        </w:r>
      </w:hyperlink>
      <w:r>
        <w:t>, ff. 1, 4 a 6.</w:t>
      </w:r>
    </w:p>
    <w:p w14:paraId="20D57527" w14:textId="057EE214" w:rsidR="001D7FA9" w:rsidRDefault="001D7FA9" w:rsidP="001D7FA9">
      <w:pPr>
        <w:pStyle w:val="SangriaFrancesaArticulo"/>
      </w:pPr>
      <w:r w:rsidRPr="001D7FA9">
        <w:rPr>
          <w:rStyle w:val="TextoNormalNegritaCaracter"/>
        </w:rPr>
        <w:t xml:space="preserve">Artículo 149.3 </w:t>
      </w:r>
      <w:r w:rsidRPr="001D7FA9">
        <w:rPr>
          <w:rStyle w:val="TextoNormalNegritaCursivaCaracter"/>
        </w:rPr>
        <w:t>in fine</w:t>
      </w:r>
      <w:r w:rsidRPr="001D7FA9">
        <w:rPr>
          <w:rStyle w:val="TextoNormalNegritaCaracter"/>
        </w:rPr>
        <w:t>.</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0ECE718B" w14:textId="58CE477A" w:rsidR="001D7FA9" w:rsidRDefault="001D7FA9" w:rsidP="001D7FA9">
      <w:pPr>
        <w:pStyle w:val="SangriaFrancesaArticulo"/>
      </w:pPr>
      <w:r w:rsidRPr="001D7FA9">
        <w:rPr>
          <w:rStyle w:val="TextoNormalNegritaCaracter"/>
        </w:rPr>
        <w:t>Artículo 152.</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29382DC5" w14:textId="2FAD88D8" w:rsidR="001D7FA9" w:rsidRDefault="001D7FA9" w:rsidP="001D7FA9">
      <w:pPr>
        <w:pStyle w:val="SangriaFrancesaArticulo"/>
      </w:pPr>
      <w:r w:rsidRPr="001D7FA9">
        <w:rPr>
          <w:rStyle w:val="TextoNormalNegritaCaracter"/>
        </w:rPr>
        <w:t>Artículo 155.</w:t>
      </w:r>
      <w:r w:rsidRPr="001D7FA9">
        <w:rPr>
          <w:rStyle w:val="TextoNormalCaracter"/>
        </w:rPr>
        <w:t>-</w:t>
      </w:r>
      <w:r>
        <w:t xml:space="preserve"> Sentencia </w:t>
      </w:r>
      <w:hyperlink w:anchor="SENTENCIA_2025_137" w:history="1">
        <w:r w:rsidRPr="001D7FA9">
          <w:rPr>
            <w:rStyle w:val="TextoNormalCaracter"/>
          </w:rPr>
          <w:t>137/2025</w:t>
        </w:r>
      </w:hyperlink>
      <w:r>
        <w:t>, ff. 6, 8, VP III, VP IV.</w:t>
      </w:r>
    </w:p>
    <w:p w14:paraId="6419AAFC" w14:textId="7603E002" w:rsidR="001D7FA9" w:rsidRDefault="001D7FA9" w:rsidP="001D7FA9">
      <w:pPr>
        <w:pStyle w:val="SangriaFrancesaArticulo"/>
      </w:pPr>
      <w:r w:rsidRPr="001D7FA9">
        <w:rPr>
          <w:rStyle w:val="TextoNormalNegritaCaracter"/>
        </w:rPr>
        <w:t>Artículo 156.1.</w:t>
      </w:r>
      <w:r w:rsidRPr="001D7FA9">
        <w:rPr>
          <w:rStyle w:val="TextoNormalCaracter"/>
        </w:rPr>
        <w:t>-</w:t>
      </w:r>
      <w:r>
        <w:t xml:space="preserve"> Sentencia </w:t>
      </w:r>
      <w:hyperlink w:anchor="SENTENCIA_2025_26" w:history="1">
        <w:r w:rsidRPr="001D7FA9">
          <w:rPr>
            <w:rStyle w:val="TextoNormalCaracter"/>
          </w:rPr>
          <w:t>26/2025</w:t>
        </w:r>
      </w:hyperlink>
      <w:r>
        <w:t>, f. 1.</w:t>
      </w:r>
    </w:p>
    <w:p w14:paraId="38481D30" w14:textId="57326258" w:rsidR="001D7FA9" w:rsidRDefault="001D7FA9" w:rsidP="001D7FA9">
      <w:pPr>
        <w:pStyle w:val="SangriaFrancesaArticulo"/>
      </w:pPr>
      <w:r w:rsidRPr="001D7FA9">
        <w:rPr>
          <w:rStyle w:val="TextoNormalNegritaCaracter"/>
        </w:rPr>
        <w:t>Artículo 159.1.</w:t>
      </w:r>
      <w:r w:rsidRPr="001D7FA9">
        <w:rPr>
          <w:rStyle w:val="TextoNormalCaracter"/>
        </w:rPr>
        <w:t>-</w:t>
      </w:r>
      <w:r>
        <w:t xml:space="preserve"> Auto </w:t>
      </w:r>
      <w:hyperlink w:anchor="AUTO_2025_23" w:history="1">
        <w:r w:rsidRPr="001D7FA9">
          <w:rPr>
            <w:rStyle w:val="TextoNormalCaracter"/>
          </w:rPr>
          <w:t>23/2025</w:t>
        </w:r>
      </w:hyperlink>
      <w:r>
        <w:t>, f. 2.</w:t>
      </w:r>
    </w:p>
    <w:p w14:paraId="7DF14AD6" w14:textId="50FC61AE" w:rsidR="001D7FA9" w:rsidRDefault="001D7FA9" w:rsidP="001D7FA9">
      <w:pPr>
        <w:pStyle w:val="SangriaFrancesaArticulo"/>
      </w:pPr>
      <w:r w:rsidRPr="001D7FA9">
        <w:rPr>
          <w:rStyle w:val="TextoNormalNegritaCaracter"/>
        </w:rPr>
        <w:t>Artículo 159.2.</w:t>
      </w:r>
      <w:r w:rsidRPr="001D7FA9">
        <w:rPr>
          <w:rStyle w:val="TextoNormalCaracter"/>
        </w:rPr>
        <w:t>-</w:t>
      </w:r>
      <w:r>
        <w:t xml:space="preserve"> Autos </w:t>
      </w:r>
      <w:hyperlink w:anchor="AUTO_2025_6" w:history="1">
        <w:r w:rsidRPr="001D7FA9">
          <w:rPr>
            <w:rStyle w:val="TextoNormalCaracter"/>
          </w:rPr>
          <w:t>6/2025</w:t>
        </w:r>
      </w:hyperlink>
      <w:r>
        <w:t xml:space="preserve">, f. 3, VP II; </w:t>
      </w:r>
      <w:hyperlink w:anchor="AUTO_2025_12" w:history="1">
        <w:r w:rsidRPr="001D7FA9">
          <w:rPr>
            <w:rStyle w:val="TextoNormalCaracter"/>
          </w:rPr>
          <w:t>12/2025</w:t>
        </w:r>
      </w:hyperlink>
      <w:r>
        <w:t xml:space="preserve">, VP II; </w:t>
      </w:r>
      <w:hyperlink w:anchor="AUTO_2025_23" w:history="1">
        <w:r w:rsidRPr="001D7FA9">
          <w:rPr>
            <w:rStyle w:val="TextoNormalCaracter"/>
          </w:rPr>
          <w:t>23/2025</w:t>
        </w:r>
      </w:hyperlink>
      <w:r>
        <w:t>, f. 3.</w:t>
      </w:r>
    </w:p>
    <w:p w14:paraId="05E6ECF9" w14:textId="7F2EC763" w:rsidR="001D7FA9" w:rsidRDefault="001D7FA9" w:rsidP="001D7FA9">
      <w:pPr>
        <w:pStyle w:val="SangriaFrancesaArticulo"/>
      </w:pPr>
      <w:r w:rsidRPr="001D7FA9">
        <w:rPr>
          <w:rStyle w:val="TextoNormalNegritaCaracter"/>
        </w:rPr>
        <w:t>Artículo 159.3.</w:t>
      </w:r>
      <w:r w:rsidRPr="001D7FA9">
        <w:rPr>
          <w:rStyle w:val="TextoNormalCaracter"/>
        </w:rPr>
        <w:t>-</w:t>
      </w:r>
      <w:r>
        <w:t xml:space="preserve"> Auto </w:t>
      </w:r>
      <w:hyperlink w:anchor="AUTO_2025_6" w:history="1">
        <w:r w:rsidRPr="001D7FA9">
          <w:rPr>
            <w:rStyle w:val="TextoNormalCaracter"/>
          </w:rPr>
          <w:t>6/2025</w:t>
        </w:r>
      </w:hyperlink>
      <w:r>
        <w:t>, VP II.</w:t>
      </w:r>
    </w:p>
    <w:p w14:paraId="7307E349" w14:textId="41080241" w:rsidR="001D7FA9" w:rsidRDefault="001D7FA9" w:rsidP="001D7FA9">
      <w:pPr>
        <w:pStyle w:val="SangriaFrancesaArticulo"/>
      </w:pPr>
      <w:r w:rsidRPr="001D7FA9">
        <w:rPr>
          <w:rStyle w:val="TextoNormalNegritaCaracter"/>
        </w:rPr>
        <w:t>Artículo 161.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5884613" w14:textId="24005D4A" w:rsidR="001D7FA9" w:rsidRDefault="001D7FA9" w:rsidP="001D7FA9">
      <w:pPr>
        <w:pStyle w:val="SangriaFrancesaArticulo"/>
      </w:pPr>
      <w:r w:rsidRPr="001D7FA9">
        <w:rPr>
          <w:rStyle w:val="TextoNormalNegritaCaracter"/>
        </w:rPr>
        <w:t>Artículo 161.1 a).</w:t>
      </w:r>
      <w:r w:rsidRPr="001D7FA9">
        <w:rPr>
          <w:rStyle w:val="TextoNormalCaracter"/>
        </w:rPr>
        <w:t>-</w:t>
      </w:r>
      <w:r>
        <w:t xml:space="preserve"> Sentencias </w:t>
      </w:r>
      <w:hyperlink w:anchor="SENTENCIA_2025_40" w:history="1">
        <w:r w:rsidRPr="001D7FA9">
          <w:rPr>
            <w:rStyle w:val="TextoNormalCaracter"/>
          </w:rPr>
          <w:t>40/2025</w:t>
        </w:r>
      </w:hyperlink>
      <w:r>
        <w:t xml:space="preserve">, ff. 3, 5, VP II; </w:t>
      </w:r>
      <w:hyperlink w:anchor="SENTENCIA_2025_98" w:history="1">
        <w:r w:rsidRPr="001D7FA9">
          <w:rPr>
            <w:rStyle w:val="TextoNormalCaracter"/>
          </w:rPr>
          <w:t>98/2025</w:t>
        </w:r>
      </w:hyperlink>
      <w:r>
        <w:t xml:space="preserve">, VP; </w:t>
      </w:r>
      <w:hyperlink w:anchor="SENTENCIA_2025_105" w:history="1">
        <w:r w:rsidRPr="001D7FA9">
          <w:rPr>
            <w:rStyle w:val="TextoNormalCaracter"/>
          </w:rPr>
          <w:t>105/2025</w:t>
        </w:r>
      </w:hyperlink>
      <w:r>
        <w:t xml:space="preserve">, VP III; </w:t>
      </w:r>
      <w:hyperlink w:anchor="SENTENCIA_2025_137" w:history="1">
        <w:r w:rsidRPr="001D7FA9">
          <w:rPr>
            <w:rStyle w:val="TextoNormalCaracter"/>
          </w:rPr>
          <w:t>137/2025</w:t>
        </w:r>
      </w:hyperlink>
      <w:r>
        <w:t>, VP III.</w:t>
      </w:r>
    </w:p>
    <w:p w14:paraId="16EC1248" w14:textId="29D7EAF9" w:rsidR="001D7FA9" w:rsidRDefault="001D7FA9" w:rsidP="001D7FA9">
      <w:pPr>
        <w:pStyle w:val="SangriaFrancesaArticulo"/>
      </w:pPr>
      <w:r w:rsidRPr="001D7FA9">
        <w:rPr>
          <w:rStyle w:val="TextoNormalNegritaCaracter"/>
        </w:rPr>
        <w:t>Artículo 161.1 b).</w:t>
      </w:r>
      <w:r w:rsidRPr="001D7FA9">
        <w:rPr>
          <w:rStyle w:val="TextoNormalCaracter"/>
        </w:rPr>
        <w:t>-</w:t>
      </w:r>
      <w:r>
        <w:t xml:space="preserve"> 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VP.</w:t>
      </w:r>
    </w:p>
    <w:p w14:paraId="2F6460B7" w14:textId="10EC436C" w:rsidR="001D7FA9" w:rsidRDefault="001D7FA9" w:rsidP="001D7FA9">
      <w:pPr>
        <w:pStyle w:val="SangriaFrancesaArticulo"/>
      </w:pPr>
      <w:r w:rsidRPr="001D7FA9">
        <w:rPr>
          <w:rStyle w:val="TextoNormalNegritaCaracter"/>
        </w:rPr>
        <w:t>Artículo 161.2.</w:t>
      </w:r>
      <w:r w:rsidRPr="001D7FA9">
        <w:rPr>
          <w:rStyle w:val="TextoNormalCaracter"/>
        </w:rPr>
        <w:t>-</w:t>
      </w:r>
      <w:r>
        <w:t xml:space="preserve"> Sentencias </w:t>
      </w:r>
      <w:hyperlink w:anchor="SENTENCIA_2025_43" w:history="1">
        <w:r w:rsidRPr="001D7FA9">
          <w:rPr>
            <w:rStyle w:val="TextoNormalCaracter"/>
          </w:rPr>
          <w:t>43/2025</w:t>
        </w:r>
      </w:hyperlink>
      <w:r>
        <w:t xml:space="preserve">, ff. 1, 2, 5; </w:t>
      </w:r>
      <w:hyperlink w:anchor="SENTENCIA_2025_44" w:history="1">
        <w:r w:rsidRPr="001D7FA9">
          <w:rPr>
            <w:rStyle w:val="TextoNormalCaracter"/>
          </w:rPr>
          <w:t>44/2025</w:t>
        </w:r>
      </w:hyperlink>
      <w:r>
        <w:t>, f. 4.</w:t>
      </w:r>
    </w:p>
    <w:p w14:paraId="15D6A3B2" w14:textId="36FF3317" w:rsidR="001D7FA9" w:rsidRDefault="001D7FA9" w:rsidP="001D7FA9">
      <w:pPr>
        <w:pStyle w:val="SangriaIzquierdaArticulo"/>
      </w:pPr>
      <w:r>
        <w:t xml:space="preserve">Auto </w:t>
      </w:r>
      <w:hyperlink w:anchor="AUTO_2025_64" w:history="1">
        <w:r w:rsidRPr="001D7FA9">
          <w:rPr>
            <w:rStyle w:val="TextoNormalCaracter"/>
          </w:rPr>
          <w:t>64/2025</w:t>
        </w:r>
      </w:hyperlink>
      <w:r>
        <w:t>, ff. 1 a 3, VP I, VP II, VP III.</w:t>
      </w:r>
    </w:p>
    <w:p w14:paraId="25E1B3F3" w14:textId="04A15BFC" w:rsidR="001D7FA9" w:rsidRDefault="001D7FA9" w:rsidP="001D7FA9">
      <w:pPr>
        <w:pStyle w:val="SangriaFrancesaArticulo"/>
      </w:pPr>
      <w:r w:rsidRPr="001D7FA9">
        <w:rPr>
          <w:rStyle w:val="TextoNormalNegritaCaracter"/>
        </w:rPr>
        <w:t>Artículo 162.1 a).</w:t>
      </w:r>
      <w:r w:rsidRPr="001D7FA9">
        <w:rPr>
          <w:rStyle w:val="TextoNormalCaracter"/>
        </w:rPr>
        <w:t>-</w:t>
      </w:r>
      <w:r>
        <w:t xml:space="preserve"> Sentencias </w:t>
      </w:r>
      <w:hyperlink w:anchor="SENTENCIA_2025_27" w:history="1">
        <w:r w:rsidRPr="001D7FA9">
          <w:rPr>
            <w:rStyle w:val="TextoNormalCaracter"/>
          </w:rPr>
          <w:t>27/2025</w:t>
        </w:r>
      </w:hyperlink>
      <w:r>
        <w:t xml:space="preserve">, f. 2; </w:t>
      </w:r>
      <w:hyperlink w:anchor="SENTENCIA_2025_40" w:history="1">
        <w:r w:rsidRPr="001D7FA9">
          <w:rPr>
            <w:rStyle w:val="TextoNormalCaracter"/>
          </w:rPr>
          <w:t>40/2025</w:t>
        </w:r>
      </w:hyperlink>
      <w:r>
        <w:t xml:space="preserve">, f. 5, VP II; </w:t>
      </w:r>
      <w:hyperlink w:anchor="SENTENCIA_2025_137" w:history="1">
        <w:r w:rsidRPr="001D7FA9">
          <w:rPr>
            <w:rStyle w:val="TextoNormalCaracter"/>
          </w:rPr>
          <w:t>137/2025</w:t>
        </w:r>
      </w:hyperlink>
      <w:r>
        <w:t>, f. 1, VP III.</w:t>
      </w:r>
    </w:p>
    <w:p w14:paraId="33B44827" w14:textId="187B192C" w:rsidR="001D7FA9" w:rsidRDefault="001D7FA9" w:rsidP="001D7FA9">
      <w:pPr>
        <w:pStyle w:val="SangriaIzquierdaArticulo"/>
      </w:pPr>
      <w:r>
        <w:t xml:space="preserve">Autos </w:t>
      </w:r>
      <w:hyperlink w:anchor="AUTO_2025_12" w:history="1">
        <w:r w:rsidRPr="001D7FA9">
          <w:rPr>
            <w:rStyle w:val="TextoNormalCaracter"/>
          </w:rPr>
          <w:t>12/2025</w:t>
        </w:r>
      </w:hyperlink>
      <w:r>
        <w:t xml:space="preserve">, VP II, VP III; </w:t>
      </w:r>
      <w:hyperlink w:anchor="AUTO_2025_13" w:history="1">
        <w:r w:rsidRPr="001D7FA9">
          <w:rPr>
            <w:rStyle w:val="TextoNormalCaracter"/>
          </w:rPr>
          <w:t>13/2025</w:t>
        </w:r>
      </w:hyperlink>
      <w:r>
        <w:t xml:space="preserve">, f. 2; </w:t>
      </w:r>
      <w:hyperlink w:anchor="AUTO_2025_20" w:history="1">
        <w:r w:rsidRPr="001D7FA9">
          <w:rPr>
            <w:rStyle w:val="TextoNormalCaracter"/>
          </w:rPr>
          <w:t>20/2025</w:t>
        </w:r>
      </w:hyperlink>
      <w:r>
        <w:t xml:space="preserve">, f. 5; </w:t>
      </w:r>
      <w:hyperlink w:anchor="AUTO_2025_24" w:history="1">
        <w:r w:rsidRPr="001D7FA9">
          <w:rPr>
            <w:rStyle w:val="TextoNormalCaracter"/>
          </w:rPr>
          <w:t>24/2025</w:t>
        </w:r>
      </w:hyperlink>
      <w:r>
        <w:t xml:space="preserve">, f. 3; </w:t>
      </w:r>
      <w:hyperlink w:anchor="AUTO_2025_35" w:history="1">
        <w:r w:rsidRPr="001D7FA9">
          <w:rPr>
            <w:rStyle w:val="TextoNormalCaracter"/>
          </w:rPr>
          <w:t>35/2025</w:t>
        </w:r>
      </w:hyperlink>
      <w:r>
        <w:t>, VP II.</w:t>
      </w:r>
    </w:p>
    <w:p w14:paraId="0703D943" w14:textId="3F2611B7" w:rsidR="001D7FA9" w:rsidRDefault="001D7FA9" w:rsidP="001D7FA9">
      <w:pPr>
        <w:pStyle w:val="SangriaFrancesaArticulo"/>
      </w:pPr>
      <w:r w:rsidRPr="001D7FA9">
        <w:rPr>
          <w:rStyle w:val="TextoNormalNegritaCaracter"/>
        </w:rPr>
        <w:t>Artículo 162.2.</w:t>
      </w:r>
      <w:r w:rsidRPr="001D7FA9">
        <w:rPr>
          <w:rStyle w:val="TextoNormalCaracter"/>
        </w:rPr>
        <w:t>-</w:t>
      </w:r>
      <w:r>
        <w:t xml:space="preserve"> Sentencia </w:t>
      </w:r>
      <w:hyperlink w:anchor="SENTENCIA_2025_44" w:history="1">
        <w:r w:rsidRPr="001D7FA9">
          <w:rPr>
            <w:rStyle w:val="TextoNormalCaracter"/>
          </w:rPr>
          <w:t>44/2025</w:t>
        </w:r>
      </w:hyperlink>
      <w:r>
        <w:t>, f. 4.</w:t>
      </w:r>
    </w:p>
    <w:p w14:paraId="50D45EDB" w14:textId="24FC95E1" w:rsidR="001D7FA9" w:rsidRDefault="001D7FA9" w:rsidP="001D7FA9">
      <w:pPr>
        <w:pStyle w:val="SangriaFrancesaArticulo"/>
      </w:pPr>
      <w:r w:rsidRPr="001D7FA9">
        <w:rPr>
          <w:rStyle w:val="TextoNormalNegritaCaracter"/>
        </w:rPr>
        <w:t>Artículo 163.</w:t>
      </w:r>
      <w:r w:rsidRPr="001D7FA9">
        <w:rPr>
          <w:rStyle w:val="TextoNormalCaracter"/>
        </w:rPr>
        <w:t>-</w:t>
      </w:r>
      <w:r>
        <w:t xml:space="preserve"> Sentencias </w:t>
      </w:r>
      <w:hyperlink w:anchor="SENTENCIA_2025_27" w:history="1">
        <w:r w:rsidRPr="001D7FA9">
          <w:rPr>
            <w:rStyle w:val="TextoNormalCaracter"/>
          </w:rPr>
          <w:t>27/2025</w:t>
        </w:r>
      </w:hyperlink>
      <w:r>
        <w:t xml:space="preserve">, f. 2; </w:t>
      </w:r>
      <w:hyperlink w:anchor="SENTENCIA_2025_40" w:history="1">
        <w:r w:rsidRPr="001D7FA9">
          <w:rPr>
            <w:rStyle w:val="TextoNormalCaracter"/>
          </w:rPr>
          <w:t>40/2025</w:t>
        </w:r>
      </w:hyperlink>
      <w:r>
        <w:t xml:space="preserve">, f. 5; </w:t>
      </w:r>
      <w:hyperlink w:anchor="SENTENCIA_2025_95" w:history="1">
        <w:r w:rsidRPr="001D7FA9">
          <w:rPr>
            <w:rStyle w:val="TextoNormalCaracter"/>
          </w:rPr>
          <w:t>95/2025</w:t>
        </w:r>
      </w:hyperlink>
      <w:r>
        <w:t xml:space="preserve">, f. 4; </w:t>
      </w:r>
      <w:hyperlink w:anchor="SENTENCIA_2025_98" w:history="1">
        <w:r w:rsidRPr="001D7FA9">
          <w:rPr>
            <w:rStyle w:val="TextoNormalCaracter"/>
          </w:rPr>
          <w:t>98/2025</w:t>
        </w:r>
      </w:hyperlink>
      <w:r>
        <w:t xml:space="preserve">, f. 2; </w:t>
      </w:r>
      <w:hyperlink w:anchor="SENTENCIA_2025_137" w:history="1">
        <w:r w:rsidRPr="001D7FA9">
          <w:rPr>
            <w:rStyle w:val="TextoNormalCaracter"/>
          </w:rPr>
          <w:t>137/2025</w:t>
        </w:r>
      </w:hyperlink>
      <w:r>
        <w:t>, f. 1, VP III.</w:t>
      </w:r>
    </w:p>
    <w:p w14:paraId="34571ADA" w14:textId="25B7B18C" w:rsidR="001D7FA9" w:rsidRDefault="001D7FA9" w:rsidP="001D7FA9">
      <w:pPr>
        <w:pStyle w:val="SangriaIzquierdaArticulo"/>
      </w:pPr>
      <w:r>
        <w:t xml:space="preserve">Autos </w:t>
      </w:r>
      <w:hyperlink w:anchor="AUTO_2025_20" w:history="1">
        <w:r w:rsidRPr="001D7FA9">
          <w:rPr>
            <w:rStyle w:val="TextoNormalCaracter"/>
          </w:rPr>
          <w:t>20/2025</w:t>
        </w:r>
      </w:hyperlink>
      <w:r>
        <w:t xml:space="preserve">, f. 5; </w:t>
      </w:r>
      <w:hyperlink w:anchor="AUTO_2025_24" w:history="1">
        <w:r w:rsidRPr="001D7FA9">
          <w:rPr>
            <w:rStyle w:val="TextoNormalCaracter"/>
          </w:rPr>
          <w:t>24/2025</w:t>
        </w:r>
      </w:hyperlink>
      <w:r>
        <w:t xml:space="preserve">, ff. 2, 3; </w:t>
      </w:r>
      <w:hyperlink w:anchor="AUTO_2025_29" w:history="1">
        <w:r w:rsidRPr="001D7FA9">
          <w:rPr>
            <w:rStyle w:val="TextoNormalCaracter"/>
          </w:rPr>
          <w:t>29/2025</w:t>
        </w:r>
      </w:hyperlink>
      <w:r>
        <w:t xml:space="preserve">, f. 2; </w:t>
      </w:r>
      <w:hyperlink w:anchor="AUTO_2025_32" w:history="1">
        <w:r w:rsidRPr="001D7FA9">
          <w:rPr>
            <w:rStyle w:val="TextoNormalCaracter"/>
          </w:rPr>
          <w:t>32/2025</w:t>
        </w:r>
      </w:hyperlink>
      <w:r>
        <w:t>, f. 3.</w:t>
      </w:r>
    </w:p>
    <w:p w14:paraId="70BEFF3F" w14:textId="1929EAC9" w:rsidR="001D7FA9" w:rsidRDefault="001D7FA9" w:rsidP="001D7FA9">
      <w:pPr>
        <w:pStyle w:val="SangriaFrancesaArticulo"/>
      </w:pPr>
      <w:r w:rsidRPr="001D7FA9">
        <w:rPr>
          <w:rStyle w:val="TextoNormalNegritaCaracter"/>
        </w:rPr>
        <w:t>Artículo 164.</w:t>
      </w:r>
      <w:r w:rsidRPr="001D7FA9">
        <w:rPr>
          <w:rStyle w:val="TextoNormalCaracter"/>
        </w:rPr>
        <w:t>-</w:t>
      </w:r>
      <w:r>
        <w:t xml:space="preserve"> Sentencias </w:t>
      </w:r>
      <w:hyperlink w:anchor="SENTENCIA_2025_105" w:history="1">
        <w:r w:rsidRPr="001D7FA9">
          <w:rPr>
            <w:rStyle w:val="TextoNormalCaracter"/>
          </w:rPr>
          <w:t>105/2025</w:t>
        </w:r>
      </w:hyperlink>
      <w:r>
        <w:t xml:space="preserve">, f. 1, VP I; </w:t>
      </w:r>
      <w:hyperlink w:anchor="SENTENCIA_2025_110" w:history="1">
        <w:r w:rsidRPr="001D7FA9">
          <w:rPr>
            <w:rStyle w:val="TextoNormalCaracter"/>
          </w:rPr>
          <w:t>110/2025</w:t>
        </w:r>
      </w:hyperlink>
      <w:r>
        <w:t>, f. 1.</w:t>
      </w:r>
    </w:p>
    <w:p w14:paraId="4C60FF21" w14:textId="7059D360" w:rsidR="001D7FA9" w:rsidRDefault="001D7FA9" w:rsidP="001D7FA9">
      <w:pPr>
        <w:pStyle w:val="SangriaFrancesaArticulo"/>
      </w:pPr>
      <w:r w:rsidRPr="001D7FA9">
        <w:rPr>
          <w:rStyle w:val="TextoNormalNegritaCaracter"/>
        </w:rPr>
        <w:t>Artículo 167.</w:t>
      </w:r>
      <w:r w:rsidRPr="001D7FA9">
        <w:rPr>
          <w:rStyle w:val="TextoNormalCaracter"/>
        </w:rPr>
        <w:t>-</w:t>
      </w:r>
      <w:r>
        <w:t xml:space="preserve"> Sentencias </w:t>
      </w:r>
      <w:hyperlink w:anchor="SENTENCIA_2025_63" w:history="1">
        <w:r w:rsidRPr="001D7FA9">
          <w:rPr>
            <w:rStyle w:val="TextoNormalCaracter"/>
          </w:rPr>
          <w:t>63/2025</w:t>
        </w:r>
      </w:hyperlink>
      <w:r>
        <w:t xml:space="preserve">, f. 5; </w:t>
      </w:r>
      <w:hyperlink w:anchor="SENTENCIA_2025_137" w:history="1">
        <w:r w:rsidRPr="001D7FA9">
          <w:rPr>
            <w:rStyle w:val="TextoNormalCaracter"/>
          </w:rPr>
          <w:t>137/2025</w:t>
        </w:r>
      </w:hyperlink>
      <w:r>
        <w:t>, VP III.</w:t>
      </w:r>
    </w:p>
    <w:p w14:paraId="7DC0882D" w14:textId="0991C896" w:rsidR="001D7FA9" w:rsidRDefault="001D7FA9" w:rsidP="001D7FA9">
      <w:pPr>
        <w:pStyle w:val="SangriaFrancesaArticulo"/>
      </w:pPr>
      <w:r w:rsidRPr="001D7FA9">
        <w:rPr>
          <w:rStyle w:val="TextoNormalNegritaCaracter"/>
        </w:rPr>
        <w:t>Artículo 168.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C06A8A7" w14:textId="75B98D5E" w:rsidR="001D7FA9" w:rsidRDefault="001D7FA9" w:rsidP="001D7FA9">
      <w:pPr>
        <w:pStyle w:val="SangriaFrancesaArticulo"/>
      </w:pPr>
      <w:r w:rsidRPr="001D7FA9">
        <w:rPr>
          <w:rStyle w:val="TextoNormalNegritaCaracter"/>
        </w:rPr>
        <w:t>Disposición derogatoria.</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C9CF312" w14:textId="7C25AA64" w:rsidR="001D7FA9" w:rsidRDefault="001D7FA9" w:rsidP="001D7FA9">
      <w:pPr>
        <w:pStyle w:val="TextoNormal"/>
      </w:pPr>
    </w:p>
    <w:p w14:paraId="176B67F7" w14:textId="77777777" w:rsidR="001D7FA9" w:rsidRDefault="001D7FA9" w:rsidP="001D7FA9">
      <w:pPr>
        <w:pStyle w:val="SangriaFrancesaArticulo"/>
      </w:pPr>
      <w:bookmarkStart w:id="212" w:name="INDICE22843"/>
    </w:p>
    <w:bookmarkEnd w:id="212"/>
    <w:p w14:paraId="2F9902DD" w14:textId="77777777" w:rsidR="001D7FA9" w:rsidRDefault="001D7FA9" w:rsidP="001D7FA9">
      <w:pPr>
        <w:pStyle w:val="TextoIndiceNivel2"/>
        <w:suppressAutoHyphens/>
      </w:pPr>
      <w:r>
        <w:t>B) Tribunal Constitucional</w:t>
      </w:r>
    </w:p>
    <w:p w14:paraId="7B552F18" w14:textId="0DFCA029" w:rsidR="001D7FA9" w:rsidRDefault="001D7FA9" w:rsidP="001D7FA9">
      <w:pPr>
        <w:pStyle w:val="TextoIndiceNivel2"/>
      </w:pPr>
    </w:p>
    <w:p w14:paraId="28448F26" w14:textId="77777777" w:rsidR="001D7FA9" w:rsidRDefault="001D7FA9" w:rsidP="001D7FA9">
      <w:pPr>
        <w:pStyle w:val="TextoNormalNegritaCursivandice"/>
        <w:keepNext/>
      </w:pPr>
      <w:r>
        <w:t>Ley Orgánica 2/1979, de 3 de octubre, del Tribunal Constitucional</w:t>
      </w:r>
    </w:p>
    <w:p w14:paraId="67A003A9" w14:textId="109307C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Autos </w:t>
      </w:r>
      <w:hyperlink w:anchor="AUTO_2025_6" w:history="1">
        <w:r w:rsidRPr="001D7FA9">
          <w:rPr>
            <w:rStyle w:val="TextoNormalCaracter"/>
          </w:rPr>
          <w:t>6/2025</w:t>
        </w:r>
      </w:hyperlink>
      <w:r>
        <w:t xml:space="preserve">, f. 5, VP I, VP II; </w:t>
      </w:r>
      <w:hyperlink w:anchor="AUTO_2025_31" w:history="1">
        <w:r w:rsidRPr="001D7FA9">
          <w:rPr>
            <w:rStyle w:val="TextoNormalCaracter"/>
          </w:rPr>
          <w:t>31/2025</w:t>
        </w:r>
      </w:hyperlink>
      <w:r>
        <w:t xml:space="preserve">, f. 2; </w:t>
      </w:r>
      <w:hyperlink w:anchor="AUTO_2025_35" w:history="1">
        <w:r w:rsidRPr="001D7FA9">
          <w:rPr>
            <w:rStyle w:val="TextoNormalCaracter"/>
          </w:rPr>
          <w:t>35/2025</w:t>
        </w:r>
      </w:hyperlink>
      <w:r>
        <w:t xml:space="preserve">, f. 5, VP II; </w:t>
      </w:r>
      <w:hyperlink w:anchor="AUTO_2025_64" w:history="1">
        <w:r w:rsidRPr="001D7FA9">
          <w:rPr>
            <w:rStyle w:val="TextoNormalCaracter"/>
          </w:rPr>
          <w:t>64/2025</w:t>
        </w:r>
      </w:hyperlink>
      <w:r>
        <w:t xml:space="preserve">, VP II; </w:t>
      </w:r>
      <w:hyperlink w:anchor="AUTO_2025_65" w:history="1">
        <w:r w:rsidRPr="001D7FA9">
          <w:rPr>
            <w:rStyle w:val="TextoNormalCaracter"/>
          </w:rPr>
          <w:t>65/2025</w:t>
        </w:r>
      </w:hyperlink>
      <w:r>
        <w:t>, VP.</w:t>
      </w:r>
    </w:p>
    <w:p w14:paraId="6CE7015E" w14:textId="26969D53" w:rsidR="001D7FA9" w:rsidRDefault="001D7FA9" w:rsidP="001D7FA9">
      <w:pPr>
        <w:pStyle w:val="SangriaFrancesaArticulo"/>
      </w:pPr>
      <w:r w:rsidRPr="001D7FA9">
        <w:rPr>
          <w:rStyle w:val="TextoNormalNegritaCaracter"/>
        </w:rPr>
        <w:t>Título II.</w:t>
      </w:r>
      <w:r w:rsidRPr="001D7FA9">
        <w:rPr>
          <w:rStyle w:val="TextoNormalCaracter"/>
        </w:rPr>
        <w:t>-</w:t>
      </w:r>
      <w:r>
        <w:t xml:space="preserve"> Sentencia </w:t>
      </w:r>
      <w:hyperlink w:anchor="SENTENCIA_2025_137" w:history="1">
        <w:r w:rsidRPr="001D7FA9">
          <w:rPr>
            <w:rStyle w:val="TextoNormalCaracter"/>
          </w:rPr>
          <w:t>137/2025</w:t>
        </w:r>
      </w:hyperlink>
      <w:r>
        <w:t>, f. 1, VP III.</w:t>
      </w:r>
    </w:p>
    <w:p w14:paraId="74512EF2" w14:textId="5D17AD8B" w:rsidR="001D7FA9" w:rsidRDefault="001D7FA9" w:rsidP="001D7FA9">
      <w:pPr>
        <w:pStyle w:val="SangriaFrancesaArticulo"/>
      </w:pPr>
      <w:r w:rsidRPr="001D7FA9">
        <w:rPr>
          <w:rStyle w:val="TextoNormalNegritaCaracter"/>
        </w:rPr>
        <w:t>Título II, capítulo IV.</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060AFA8" w14:textId="04857378" w:rsidR="001D7FA9" w:rsidRDefault="001D7FA9" w:rsidP="001D7FA9">
      <w:pPr>
        <w:pStyle w:val="SangriaFrancesaArticulo"/>
      </w:pPr>
      <w:r w:rsidRPr="001D7FA9">
        <w:rPr>
          <w:rStyle w:val="TextoNormalNegritaCaracter"/>
        </w:rPr>
        <w:t>Título III, capítulo I.</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D88B16B" w14:textId="5E67B38B" w:rsidR="001D7FA9" w:rsidRDefault="001D7FA9" w:rsidP="001D7FA9">
      <w:pPr>
        <w:pStyle w:val="SangriaFrancesaArticulo"/>
      </w:pPr>
      <w:r w:rsidRPr="001D7FA9">
        <w:rPr>
          <w:rStyle w:val="TextoNormalNegritaCaracter"/>
        </w:rPr>
        <w:t>Título V.</w:t>
      </w:r>
      <w:r w:rsidRPr="001D7FA9">
        <w:rPr>
          <w:rStyle w:val="TextoNormalCaracter"/>
        </w:rPr>
        <w:t>-</w:t>
      </w:r>
      <w:r>
        <w:t xml:space="preserve"> Sentencia </w:t>
      </w:r>
      <w:hyperlink w:anchor="SENTENCIA_2025_43" w:history="1">
        <w:r w:rsidRPr="001D7FA9">
          <w:rPr>
            <w:rStyle w:val="TextoNormalCaracter"/>
          </w:rPr>
          <w:t>43/2025</w:t>
        </w:r>
      </w:hyperlink>
      <w:r>
        <w:t>, f. 2.</w:t>
      </w:r>
    </w:p>
    <w:p w14:paraId="7CC334AC" w14:textId="61037956"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137" w:history="1">
        <w:r w:rsidRPr="001D7FA9">
          <w:rPr>
            <w:rStyle w:val="TextoNormalCaracter"/>
          </w:rPr>
          <w:t>137/2025</w:t>
        </w:r>
      </w:hyperlink>
      <w:r>
        <w:t>, VP II, VP III, VP IV.</w:t>
      </w:r>
    </w:p>
    <w:p w14:paraId="314EC014" w14:textId="328B6F78"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6542485E" w14:textId="622363ED" w:rsidR="001D7FA9" w:rsidRDefault="001D7FA9" w:rsidP="001D7FA9">
      <w:pPr>
        <w:pStyle w:val="SangriaFrancesaArticulo"/>
      </w:pPr>
      <w:r w:rsidRPr="001D7FA9">
        <w:rPr>
          <w:rStyle w:val="TextoNormalNegritaCaracter"/>
        </w:rPr>
        <w:t>Artículo 4.1.</w:t>
      </w:r>
      <w:r w:rsidRPr="001D7FA9">
        <w:rPr>
          <w:rStyle w:val="TextoNormalCaracter"/>
        </w:rPr>
        <w:t>-</w:t>
      </w:r>
      <w:r>
        <w:t xml:space="preserve"> Autos </w:t>
      </w:r>
      <w:hyperlink w:anchor="AUTO_2025_23" w:history="1">
        <w:r w:rsidRPr="001D7FA9">
          <w:rPr>
            <w:rStyle w:val="TextoNormalCaracter"/>
          </w:rPr>
          <w:t>23/2025</w:t>
        </w:r>
      </w:hyperlink>
      <w:r>
        <w:t xml:space="preserve">, f. 2; </w:t>
      </w:r>
      <w:hyperlink w:anchor="AUTO_2025_36" w:history="1">
        <w:r w:rsidRPr="001D7FA9">
          <w:rPr>
            <w:rStyle w:val="TextoNormalCaracter"/>
          </w:rPr>
          <w:t>36/2025</w:t>
        </w:r>
      </w:hyperlink>
      <w:r>
        <w:t>, f. 2.</w:t>
      </w:r>
    </w:p>
    <w:p w14:paraId="4C531D6E" w14:textId="61C65AD0" w:rsidR="001D7FA9" w:rsidRDefault="001D7FA9" w:rsidP="001D7FA9">
      <w:pPr>
        <w:pStyle w:val="SangriaFrancesaArticulo"/>
      </w:pPr>
      <w:r w:rsidRPr="001D7FA9">
        <w:rPr>
          <w:rStyle w:val="TextoNormalNegritaCaracter"/>
        </w:rPr>
        <w:t>Artículo 10.1 j).</w:t>
      </w:r>
      <w:r w:rsidRPr="001D7FA9">
        <w:rPr>
          <w:rStyle w:val="TextoNormalCaracter"/>
        </w:rPr>
        <w:t>-</w:t>
      </w:r>
      <w:r>
        <w:t xml:space="preserve"> Auto </w:t>
      </w:r>
      <w:hyperlink w:anchor="AUTO_2025_6" w:history="1">
        <w:r w:rsidRPr="001D7FA9">
          <w:rPr>
            <w:rStyle w:val="TextoNormalCaracter"/>
          </w:rPr>
          <w:t>6/2025</w:t>
        </w:r>
      </w:hyperlink>
      <w:r>
        <w:t>, VP II.</w:t>
      </w:r>
    </w:p>
    <w:p w14:paraId="33AFF469" w14:textId="1CF98EB0" w:rsidR="001D7FA9" w:rsidRDefault="001D7FA9" w:rsidP="001D7FA9">
      <w:pPr>
        <w:pStyle w:val="SangriaFrancesaArticulo"/>
      </w:pPr>
      <w:r w:rsidRPr="001D7FA9">
        <w:rPr>
          <w:rStyle w:val="TextoNormalNegritaCaracter"/>
        </w:rPr>
        <w:t>Artículo 10.1 k).</w:t>
      </w:r>
      <w:r w:rsidRPr="001D7FA9">
        <w:rPr>
          <w:rStyle w:val="TextoNormalCaracter"/>
        </w:rPr>
        <w:t>-</w:t>
      </w:r>
      <w:r>
        <w:t xml:space="preserve"> Autos </w:t>
      </w:r>
      <w:hyperlink w:anchor="AUTO_2025_3" w:history="1">
        <w:r w:rsidRPr="001D7FA9">
          <w:rPr>
            <w:rStyle w:val="TextoNormalCaracter"/>
          </w:rPr>
          <w:t>3/2025</w:t>
        </w:r>
      </w:hyperlink>
      <w:r>
        <w:t xml:space="preserve">, f. único; </w:t>
      </w:r>
      <w:hyperlink w:anchor="AUTO_2025_16" w:history="1">
        <w:r w:rsidRPr="001D7FA9">
          <w:rPr>
            <w:rStyle w:val="TextoNormalCaracter"/>
          </w:rPr>
          <w:t>16/2025</w:t>
        </w:r>
      </w:hyperlink>
      <w:r>
        <w:t xml:space="preserve">, f. 1; </w:t>
      </w:r>
      <w:hyperlink w:anchor="AUTO_2025_23" w:history="1">
        <w:r w:rsidRPr="001D7FA9">
          <w:rPr>
            <w:rStyle w:val="TextoNormalCaracter"/>
          </w:rPr>
          <w:t>23/2025</w:t>
        </w:r>
      </w:hyperlink>
      <w:r>
        <w:t>, f. 2.</w:t>
      </w:r>
    </w:p>
    <w:p w14:paraId="2D585AAC" w14:textId="60169500" w:rsidR="001D7FA9" w:rsidRDefault="001D7FA9" w:rsidP="001D7FA9">
      <w:pPr>
        <w:pStyle w:val="SangriaFrancesaArticulo"/>
      </w:pPr>
      <w:r w:rsidRPr="001D7FA9">
        <w:rPr>
          <w:rStyle w:val="TextoNormalNegritaCaracter"/>
        </w:rPr>
        <w:t>Artículo 10.1 n).</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30D551B5" w14:textId="533269BD"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781C61C5" w14:textId="43122D3B"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Autos </w:t>
      </w:r>
      <w:hyperlink w:anchor="AUTO_2025_23" w:history="1">
        <w:r w:rsidRPr="001D7FA9">
          <w:rPr>
            <w:rStyle w:val="TextoNormalCaracter"/>
          </w:rPr>
          <w:t>23/2025</w:t>
        </w:r>
      </w:hyperlink>
      <w:r>
        <w:t xml:space="preserve">, f. 2; </w:t>
      </w:r>
      <w:hyperlink w:anchor="AUTO_2025_31" w:history="1">
        <w:r w:rsidRPr="001D7FA9">
          <w:rPr>
            <w:rStyle w:val="TextoNormalCaracter"/>
          </w:rPr>
          <w:t>31/2025</w:t>
        </w:r>
      </w:hyperlink>
      <w:r>
        <w:t>, f. 2.</w:t>
      </w:r>
    </w:p>
    <w:p w14:paraId="2771F335" w14:textId="5F298577"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557A6CB" w14:textId="49F7DACB" w:rsidR="001D7FA9" w:rsidRDefault="001D7FA9" w:rsidP="001D7FA9">
      <w:pPr>
        <w:pStyle w:val="SangriaIzquierdaArticulo"/>
      </w:pPr>
      <w:r>
        <w:t xml:space="preserve">Auto </w:t>
      </w:r>
      <w:hyperlink w:anchor="AUTO_2025_65" w:history="1">
        <w:r w:rsidRPr="001D7FA9">
          <w:rPr>
            <w:rStyle w:val="TextoNormalCaracter"/>
          </w:rPr>
          <w:t>65/2025</w:t>
        </w:r>
      </w:hyperlink>
      <w:r>
        <w:t>, f. 4, VP.</w:t>
      </w:r>
    </w:p>
    <w:p w14:paraId="0A03032D" w14:textId="7C947B1D"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Autos </w:t>
      </w:r>
      <w:hyperlink w:anchor="AUTO_2025_6" w:history="1">
        <w:r w:rsidRPr="001D7FA9">
          <w:rPr>
            <w:rStyle w:val="TextoNormalCaracter"/>
          </w:rPr>
          <w:t>6/2025</w:t>
        </w:r>
      </w:hyperlink>
      <w:r>
        <w:t xml:space="preserve">, ff. 3, 5, VP II; </w:t>
      </w:r>
      <w:hyperlink w:anchor="AUTO_2025_12" w:history="1">
        <w:r w:rsidRPr="001D7FA9">
          <w:rPr>
            <w:rStyle w:val="TextoNormalCaracter"/>
          </w:rPr>
          <w:t>12/2025</w:t>
        </w:r>
      </w:hyperlink>
      <w:r>
        <w:t xml:space="preserve">, f. 1, VP II; </w:t>
      </w:r>
      <w:hyperlink w:anchor="AUTO_2025_35" w:history="1">
        <w:r w:rsidRPr="001D7FA9">
          <w:rPr>
            <w:rStyle w:val="TextoNormalCaracter"/>
          </w:rPr>
          <w:t>35/2025</w:t>
        </w:r>
      </w:hyperlink>
      <w:r>
        <w:t>, ff. 3, 4, 7, VP I.</w:t>
      </w:r>
    </w:p>
    <w:p w14:paraId="62DBEC56" w14:textId="76002B76" w:rsidR="001D7FA9" w:rsidRDefault="001D7FA9" w:rsidP="001D7FA9">
      <w:pPr>
        <w:pStyle w:val="SangriaFrancesaArticulo"/>
      </w:pPr>
      <w:r w:rsidRPr="001D7FA9">
        <w:rPr>
          <w:rStyle w:val="TextoNormalNegritaCaracter"/>
        </w:rPr>
        <w:t>Artículo 27.1.</w:t>
      </w:r>
      <w:r w:rsidRPr="001D7FA9">
        <w:rPr>
          <w:rStyle w:val="TextoNormalCaracter"/>
        </w:rPr>
        <w:t>-</w:t>
      </w:r>
      <w:r>
        <w:t xml:space="preserve"> Sentencias </w:t>
      </w:r>
      <w:hyperlink w:anchor="SENTENCIA_2025_63" w:history="1">
        <w:r w:rsidRPr="001D7FA9">
          <w:rPr>
            <w:rStyle w:val="TextoNormalCaracter"/>
          </w:rPr>
          <w:t>63/2025</w:t>
        </w:r>
      </w:hyperlink>
      <w:r>
        <w:t xml:space="preserve">, f. 4; </w:t>
      </w:r>
      <w:hyperlink w:anchor="SENTENCIA_2025_137" w:history="1">
        <w:r w:rsidRPr="001D7FA9">
          <w:rPr>
            <w:rStyle w:val="TextoNormalCaracter"/>
          </w:rPr>
          <w:t>137/2025</w:t>
        </w:r>
      </w:hyperlink>
      <w:r>
        <w:t>, VP II, VP III.</w:t>
      </w:r>
    </w:p>
    <w:p w14:paraId="31835979" w14:textId="1844C436" w:rsidR="001D7FA9" w:rsidRDefault="001D7FA9" w:rsidP="001D7FA9">
      <w:pPr>
        <w:pStyle w:val="SangriaFrancesaArticulo"/>
      </w:pPr>
      <w:r w:rsidRPr="001D7FA9">
        <w:rPr>
          <w:rStyle w:val="TextoNormalNegritaCaracter"/>
        </w:rPr>
        <w:t>Artículo 27.2 e).</w:t>
      </w:r>
      <w:r w:rsidRPr="001D7FA9">
        <w:rPr>
          <w:rStyle w:val="TextoNormalCaracter"/>
        </w:rPr>
        <w:t>-</w:t>
      </w:r>
      <w:r>
        <w:t xml:space="preserve"> Sentencia </w:t>
      </w:r>
      <w:hyperlink w:anchor="SENTENCIA_2025_40" w:history="1">
        <w:r w:rsidRPr="001D7FA9">
          <w:rPr>
            <w:rStyle w:val="TextoNormalCaracter"/>
          </w:rPr>
          <w:t>40/2025</w:t>
        </w:r>
      </w:hyperlink>
      <w:r>
        <w:t>, f. 3.</w:t>
      </w:r>
    </w:p>
    <w:p w14:paraId="4D557172" w14:textId="4E653AFD" w:rsidR="001D7FA9" w:rsidRDefault="001D7FA9" w:rsidP="001D7FA9">
      <w:pPr>
        <w:pStyle w:val="SangriaFrancesaArticulo"/>
      </w:pPr>
      <w:r w:rsidRPr="001D7FA9">
        <w:rPr>
          <w:rStyle w:val="TextoNormalNegritaCaracter"/>
        </w:rPr>
        <w:t>Artículo 27.2 f).</w:t>
      </w:r>
      <w:r w:rsidRPr="001D7FA9">
        <w:rPr>
          <w:rStyle w:val="TextoNormalCaracter"/>
        </w:rPr>
        <w:t>-</w:t>
      </w:r>
      <w:r>
        <w:t xml:space="preserve"> Sentencias </w:t>
      </w:r>
      <w:hyperlink w:anchor="SENTENCIA_2025_14" w:history="1">
        <w:r w:rsidRPr="001D7FA9">
          <w:rPr>
            <w:rStyle w:val="TextoNormalCaracter"/>
          </w:rPr>
          <w:t>14/2025</w:t>
        </w:r>
      </w:hyperlink>
      <w:r>
        <w:t xml:space="preserve">, VP; </w:t>
      </w:r>
      <w:hyperlink w:anchor="SENTENCIA_2025_63" w:history="1">
        <w:r w:rsidRPr="001D7FA9">
          <w:rPr>
            <w:rStyle w:val="TextoNormalCaracter"/>
          </w:rPr>
          <w:t>63/2025</w:t>
        </w:r>
      </w:hyperlink>
      <w:r>
        <w:t>, f. 4.</w:t>
      </w:r>
    </w:p>
    <w:p w14:paraId="08EB73AC" w14:textId="4BA071BC" w:rsidR="001D7FA9" w:rsidRDefault="001D7FA9" w:rsidP="001D7FA9">
      <w:pPr>
        <w:pStyle w:val="SangriaFrancesaArticulo"/>
      </w:pPr>
      <w:r w:rsidRPr="001D7FA9">
        <w:rPr>
          <w:rStyle w:val="TextoNormalNegritaCaracter"/>
        </w:rPr>
        <w:t>Artículos 27 a 30.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A24F514" w14:textId="4FE7CF3D" w:rsidR="001D7FA9" w:rsidRDefault="001D7FA9" w:rsidP="001D7FA9">
      <w:pPr>
        <w:pStyle w:val="SangriaFrancesaArticulo"/>
      </w:pPr>
      <w:r w:rsidRPr="001D7FA9">
        <w:rPr>
          <w:rStyle w:val="TextoNormalNegritaCaracter"/>
        </w:rPr>
        <w:t>Artículo 28.1.</w:t>
      </w:r>
      <w:r w:rsidRPr="001D7FA9">
        <w:rPr>
          <w:rStyle w:val="TextoNormalCaracter"/>
        </w:rPr>
        <w:t>-</w:t>
      </w:r>
      <w:r>
        <w:t xml:space="preserve"> Auto </w:t>
      </w:r>
      <w:hyperlink w:anchor="AUTO_2025_32" w:history="1">
        <w:r w:rsidRPr="001D7FA9">
          <w:rPr>
            <w:rStyle w:val="TextoNormalCaracter"/>
          </w:rPr>
          <w:t>32/2025</w:t>
        </w:r>
      </w:hyperlink>
      <w:r>
        <w:t>, f. 6.</w:t>
      </w:r>
    </w:p>
    <w:p w14:paraId="08FF73E7" w14:textId="4C962F64" w:rsidR="001D7FA9" w:rsidRDefault="001D7FA9" w:rsidP="001D7FA9">
      <w:pPr>
        <w:pStyle w:val="SangriaFrancesaArticulo"/>
      </w:pPr>
      <w:r w:rsidRPr="001D7FA9">
        <w:rPr>
          <w:rStyle w:val="TextoNormalNegritaCaracter"/>
        </w:rPr>
        <w:t>Artículo 30.</w:t>
      </w:r>
      <w:r w:rsidRPr="001D7FA9">
        <w:rPr>
          <w:rStyle w:val="TextoNormalCaracter"/>
        </w:rPr>
        <w:t>-</w:t>
      </w:r>
      <w:r>
        <w:t xml:space="preserve"> Auto </w:t>
      </w:r>
      <w:hyperlink w:anchor="AUTO_2025_64" w:history="1">
        <w:r w:rsidRPr="001D7FA9">
          <w:rPr>
            <w:rStyle w:val="TextoNormalCaracter"/>
          </w:rPr>
          <w:t>64/2025</w:t>
        </w:r>
      </w:hyperlink>
      <w:r>
        <w:t>, VP II.</w:t>
      </w:r>
    </w:p>
    <w:p w14:paraId="006DC930" w14:textId="7A93011C" w:rsidR="001D7FA9" w:rsidRDefault="001D7FA9" w:rsidP="001D7FA9">
      <w:pPr>
        <w:pStyle w:val="SangriaFrancesaArticulo"/>
      </w:pPr>
      <w:r w:rsidRPr="001D7FA9">
        <w:rPr>
          <w:rStyle w:val="TextoNormalNegritaCaracter"/>
        </w:rPr>
        <w:t>Artículos 31 a 34.</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6058318" w14:textId="4E370F8E" w:rsidR="001D7FA9" w:rsidRDefault="001D7FA9" w:rsidP="001D7FA9">
      <w:pPr>
        <w:pStyle w:val="SangriaFrancesaArticulo"/>
      </w:pPr>
      <w:r w:rsidRPr="001D7FA9">
        <w:rPr>
          <w:rStyle w:val="TextoNormalNegritaCaracter"/>
        </w:rPr>
        <w:t>Artículo 32.1.</w:t>
      </w:r>
      <w:r w:rsidRPr="001D7FA9">
        <w:rPr>
          <w:rStyle w:val="TextoNormalCaracter"/>
        </w:rPr>
        <w:t>-</w:t>
      </w:r>
      <w:r>
        <w:t xml:space="preserve"> Sentencias </w:t>
      </w:r>
      <w:hyperlink w:anchor="SENTENCIA_2025_27" w:history="1">
        <w:r w:rsidRPr="001D7FA9">
          <w:rPr>
            <w:rStyle w:val="TextoNormalCaracter"/>
          </w:rPr>
          <w:t>27/2025</w:t>
        </w:r>
      </w:hyperlink>
      <w:r>
        <w:t xml:space="preserve">, f. 2; </w:t>
      </w:r>
      <w:hyperlink w:anchor="SENTENCIA_2025_40" w:history="1">
        <w:r w:rsidRPr="001D7FA9">
          <w:rPr>
            <w:rStyle w:val="TextoNormalCaracter"/>
          </w:rPr>
          <w:t>40/2025</w:t>
        </w:r>
      </w:hyperlink>
      <w:r>
        <w:t>, f. 3.</w:t>
      </w:r>
    </w:p>
    <w:p w14:paraId="37DB2C88" w14:textId="694E2E5B" w:rsidR="001D7FA9" w:rsidRDefault="001D7FA9" w:rsidP="001D7FA9">
      <w:pPr>
        <w:pStyle w:val="SangriaIzquierdaArticulo"/>
      </w:pPr>
      <w:r>
        <w:t xml:space="preserve">Autos </w:t>
      </w:r>
      <w:hyperlink w:anchor="AUTO_2025_13" w:history="1">
        <w:r w:rsidRPr="001D7FA9">
          <w:rPr>
            <w:rStyle w:val="TextoNormalCaracter"/>
          </w:rPr>
          <w:t>13/2025</w:t>
        </w:r>
      </w:hyperlink>
      <w:r>
        <w:t xml:space="preserve">, f. 2; </w:t>
      </w:r>
      <w:hyperlink w:anchor="AUTO_2025_20" w:history="1">
        <w:r w:rsidRPr="001D7FA9">
          <w:rPr>
            <w:rStyle w:val="TextoNormalCaracter"/>
          </w:rPr>
          <w:t>20/2025</w:t>
        </w:r>
      </w:hyperlink>
      <w:r>
        <w:t xml:space="preserve">, f. 5; </w:t>
      </w:r>
      <w:hyperlink w:anchor="AUTO_2025_24" w:history="1">
        <w:r w:rsidRPr="001D7FA9">
          <w:rPr>
            <w:rStyle w:val="TextoNormalCaracter"/>
          </w:rPr>
          <w:t>24/2025</w:t>
        </w:r>
      </w:hyperlink>
      <w:r>
        <w:t>, f. 3.</w:t>
      </w:r>
    </w:p>
    <w:p w14:paraId="550C4F24" w14:textId="224C21CF" w:rsidR="001D7FA9" w:rsidRDefault="001D7FA9" w:rsidP="001D7FA9">
      <w:pPr>
        <w:pStyle w:val="SangriaFrancesaArticulo"/>
      </w:pPr>
      <w:r w:rsidRPr="001D7FA9">
        <w:rPr>
          <w:rStyle w:val="TextoNormalNegritaCaracter"/>
        </w:rPr>
        <w:t>Artículo 33.1.</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72C02D8B" w14:textId="4A9375E5"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Sentencia </w:t>
      </w:r>
      <w:hyperlink w:anchor="SENTENCIA_2025_137" w:history="1">
        <w:r w:rsidRPr="001D7FA9">
          <w:rPr>
            <w:rStyle w:val="TextoNormalCaracter"/>
          </w:rPr>
          <w:t>137/2025</w:t>
        </w:r>
      </w:hyperlink>
      <w:r>
        <w:t>, f. 1, VP III.</w:t>
      </w:r>
    </w:p>
    <w:p w14:paraId="13F13A99" w14:textId="754BBBF3" w:rsidR="001D7FA9" w:rsidRDefault="001D7FA9" w:rsidP="001D7FA9">
      <w:pPr>
        <w:pStyle w:val="SangriaFrancesaArticulo"/>
      </w:pPr>
      <w:r w:rsidRPr="001D7FA9">
        <w:rPr>
          <w:rStyle w:val="TextoNormalNegritaCaracter"/>
        </w:rPr>
        <w:t>Artículo 34.1.</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6BC05307" w14:textId="508BB8D9" w:rsidR="001D7FA9" w:rsidRDefault="001D7FA9" w:rsidP="001D7FA9">
      <w:pPr>
        <w:pStyle w:val="SangriaIzquierdaArticulo"/>
      </w:pPr>
      <w:r>
        <w:t xml:space="preserve">Auto </w:t>
      </w:r>
      <w:hyperlink w:anchor="AUTO_2025_6" w:history="1">
        <w:r w:rsidRPr="001D7FA9">
          <w:rPr>
            <w:rStyle w:val="TextoNormalCaracter"/>
          </w:rPr>
          <w:t>6/2025</w:t>
        </w:r>
      </w:hyperlink>
      <w:r>
        <w:t>, f. 1.</w:t>
      </w:r>
    </w:p>
    <w:p w14:paraId="52E6FB94" w14:textId="35D0C1D9" w:rsidR="001D7FA9" w:rsidRDefault="001D7FA9" w:rsidP="001D7FA9">
      <w:pPr>
        <w:pStyle w:val="SangriaFrancesaArticulo"/>
      </w:pPr>
      <w:r w:rsidRPr="001D7FA9">
        <w:rPr>
          <w:rStyle w:val="TextoNormalNegritaCaracter"/>
        </w:rPr>
        <w:t>Artículo 35.</w:t>
      </w:r>
      <w:r w:rsidRPr="001D7FA9">
        <w:rPr>
          <w:rStyle w:val="TextoNormalCaracter"/>
        </w:rPr>
        <w:t>-</w:t>
      </w:r>
      <w:r>
        <w:t xml:space="preserve"> Sentencia </w:t>
      </w:r>
      <w:hyperlink w:anchor="SENTENCIA_2025_27" w:history="1">
        <w:r w:rsidRPr="001D7FA9">
          <w:rPr>
            <w:rStyle w:val="TextoNormalCaracter"/>
          </w:rPr>
          <w:t>27/2025</w:t>
        </w:r>
      </w:hyperlink>
      <w:r>
        <w:t>, f. 2.</w:t>
      </w:r>
    </w:p>
    <w:p w14:paraId="48498443" w14:textId="4465B68A"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VP II; </w:t>
      </w:r>
      <w:hyperlink w:anchor="AUTO_2025_13" w:history="1">
        <w:r w:rsidRPr="001D7FA9">
          <w:rPr>
            <w:rStyle w:val="TextoNormalCaracter"/>
          </w:rPr>
          <w:t>13/2025</w:t>
        </w:r>
      </w:hyperlink>
      <w:r>
        <w:t xml:space="preserve">, f. 2; </w:t>
      </w:r>
      <w:hyperlink w:anchor="AUTO_2025_20" w:history="1">
        <w:r w:rsidRPr="001D7FA9">
          <w:rPr>
            <w:rStyle w:val="TextoNormalCaracter"/>
          </w:rPr>
          <w:t>20/2025</w:t>
        </w:r>
      </w:hyperlink>
      <w:r>
        <w:t xml:space="preserve">, f. 5; </w:t>
      </w:r>
      <w:hyperlink w:anchor="AUTO_2025_24" w:history="1">
        <w:r w:rsidRPr="001D7FA9">
          <w:rPr>
            <w:rStyle w:val="TextoNormalCaracter"/>
          </w:rPr>
          <w:t>24/2025</w:t>
        </w:r>
      </w:hyperlink>
      <w:r>
        <w:t xml:space="preserve">, ff. 1, 2; </w:t>
      </w:r>
      <w:hyperlink w:anchor="AUTO_2025_29" w:history="1">
        <w:r w:rsidRPr="001D7FA9">
          <w:rPr>
            <w:rStyle w:val="TextoNormalCaracter"/>
          </w:rPr>
          <w:t>29/2025</w:t>
        </w:r>
      </w:hyperlink>
      <w:r>
        <w:t xml:space="preserve">, f. 3; </w:t>
      </w:r>
      <w:hyperlink w:anchor="AUTO_2025_32" w:history="1">
        <w:r w:rsidRPr="001D7FA9">
          <w:rPr>
            <w:rStyle w:val="TextoNormalCaracter"/>
          </w:rPr>
          <w:t>32/2025</w:t>
        </w:r>
      </w:hyperlink>
      <w:r>
        <w:t>, f. 3.</w:t>
      </w:r>
    </w:p>
    <w:p w14:paraId="79B43D0C" w14:textId="79000A54" w:rsidR="001D7FA9" w:rsidRDefault="001D7FA9" w:rsidP="001D7FA9">
      <w:pPr>
        <w:pStyle w:val="SangriaFrancesaArticulo"/>
      </w:pPr>
      <w:r w:rsidRPr="001D7FA9">
        <w:rPr>
          <w:rStyle w:val="TextoNormalNegritaCaracter"/>
        </w:rPr>
        <w:t>Artículo 35 y ss..</w:t>
      </w:r>
      <w:r w:rsidRPr="001D7FA9">
        <w:rPr>
          <w:rStyle w:val="TextoNormalCaracter"/>
        </w:rPr>
        <w:t>-</w:t>
      </w:r>
      <w:r>
        <w:t xml:space="preserve"> Sentencia </w:t>
      </w:r>
      <w:hyperlink w:anchor="SENTENCIA_2025_95" w:history="1">
        <w:r w:rsidRPr="001D7FA9">
          <w:rPr>
            <w:rStyle w:val="TextoNormalCaracter"/>
          </w:rPr>
          <w:t>95/2025</w:t>
        </w:r>
      </w:hyperlink>
      <w:r>
        <w:t>, f. 4.</w:t>
      </w:r>
    </w:p>
    <w:p w14:paraId="2EFDD89B" w14:textId="28155C19" w:rsidR="001D7FA9" w:rsidRDefault="001D7FA9" w:rsidP="001D7FA9">
      <w:pPr>
        <w:pStyle w:val="SangriaFrancesaArticulo"/>
      </w:pPr>
      <w:r w:rsidRPr="001D7FA9">
        <w:rPr>
          <w:rStyle w:val="TextoNormalNegritaCaracter"/>
        </w:rPr>
        <w:t>Artículo 35.1.</w:t>
      </w:r>
      <w:r w:rsidRPr="001D7FA9">
        <w:rPr>
          <w:rStyle w:val="TextoNormalCaracter"/>
        </w:rPr>
        <w:t>-</w:t>
      </w:r>
      <w:r>
        <w:t xml:space="preserve"> Sentencias </w:t>
      </w:r>
      <w:hyperlink w:anchor="SENTENCIA_2025_69" w:history="1">
        <w:r w:rsidRPr="001D7FA9">
          <w:rPr>
            <w:rStyle w:val="TextoNormalCaracter"/>
          </w:rPr>
          <w:t>69/2025</w:t>
        </w:r>
      </w:hyperlink>
      <w:r>
        <w:t xml:space="preserve">, f. 3; </w:t>
      </w:r>
      <w:hyperlink w:anchor="SENTENCIA_2025_137" w:history="1">
        <w:r w:rsidRPr="001D7FA9">
          <w:rPr>
            <w:rStyle w:val="TextoNormalCaracter"/>
          </w:rPr>
          <w:t>137/2025</w:t>
        </w:r>
      </w:hyperlink>
      <w:r>
        <w:t>, VP II.</w:t>
      </w:r>
    </w:p>
    <w:p w14:paraId="53A55E46" w14:textId="1F6CF611" w:rsidR="001D7FA9" w:rsidRDefault="001D7FA9" w:rsidP="001D7FA9">
      <w:pPr>
        <w:pStyle w:val="SangriaIzquierdaArticulo"/>
      </w:pPr>
      <w:r>
        <w:t xml:space="preserve">Autos </w:t>
      </w:r>
      <w:hyperlink w:anchor="AUTO_2025_13" w:history="1">
        <w:r w:rsidRPr="001D7FA9">
          <w:rPr>
            <w:rStyle w:val="TextoNormalCaracter"/>
          </w:rPr>
          <w:t>13/2025</w:t>
        </w:r>
      </w:hyperlink>
      <w:r>
        <w:t xml:space="preserve">, f. 2; </w:t>
      </w:r>
      <w:hyperlink w:anchor="AUTO_2025_24" w:history="1">
        <w:r w:rsidRPr="001D7FA9">
          <w:rPr>
            <w:rStyle w:val="TextoNormalCaracter"/>
          </w:rPr>
          <w:t>24/2025</w:t>
        </w:r>
      </w:hyperlink>
      <w:r>
        <w:t>, f. 3.</w:t>
      </w:r>
    </w:p>
    <w:p w14:paraId="5489174F" w14:textId="240122EB" w:rsidR="001D7FA9" w:rsidRDefault="001D7FA9" w:rsidP="001D7FA9">
      <w:pPr>
        <w:pStyle w:val="SangriaFrancesaArticulo"/>
      </w:pPr>
      <w:r w:rsidRPr="001D7FA9">
        <w:rPr>
          <w:rStyle w:val="TextoNormalNegritaCaracter"/>
        </w:rPr>
        <w:t>Artículo 35.2.</w:t>
      </w:r>
      <w:r w:rsidRPr="001D7FA9">
        <w:rPr>
          <w:rStyle w:val="TextoNormalCaracter"/>
        </w:rPr>
        <w:t>-</w:t>
      </w:r>
      <w:r>
        <w:t xml:space="preserve"> Sentencia </w:t>
      </w:r>
      <w:hyperlink w:anchor="SENTENCIA_2025_98" w:history="1">
        <w:r w:rsidRPr="001D7FA9">
          <w:rPr>
            <w:rStyle w:val="TextoNormalCaracter"/>
          </w:rPr>
          <w:t>98/2025</w:t>
        </w:r>
      </w:hyperlink>
      <w:r>
        <w:t>, f. 2.</w:t>
      </w:r>
    </w:p>
    <w:p w14:paraId="552E5D8D" w14:textId="6C0E5901"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VP II; </w:t>
      </w:r>
      <w:hyperlink w:anchor="AUTO_2025_20" w:history="1">
        <w:r w:rsidRPr="001D7FA9">
          <w:rPr>
            <w:rStyle w:val="TextoNormalCaracter"/>
          </w:rPr>
          <w:t>20/2025</w:t>
        </w:r>
      </w:hyperlink>
      <w:r>
        <w:t xml:space="preserve">, ff. 2, 4; </w:t>
      </w:r>
      <w:hyperlink w:anchor="AUTO_2025_24" w:history="1">
        <w:r w:rsidRPr="001D7FA9">
          <w:rPr>
            <w:rStyle w:val="TextoNormalCaracter"/>
          </w:rPr>
          <w:t>24/2025</w:t>
        </w:r>
      </w:hyperlink>
      <w:r>
        <w:t xml:space="preserve">, ff. 2, 3; </w:t>
      </w:r>
      <w:hyperlink w:anchor="AUTO_2025_29" w:history="1">
        <w:r w:rsidRPr="001D7FA9">
          <w:rPr>
            <w:rStyle w:val="TextoNormalCaracter"/>
          </w:rPr>
          <w:t>29/2025</w:t>
        </w:r>
      </w:hyperlink>
      <w:r>
        <w:t xml:space="preserve">, ff. 1, 3; </w:t>
      </w:r>
      <w:hyperlink w:anchor="AUTO_2025_32" w:history="1">
        <w:r w:rsidRPr="001D7FA9">
          <w:rPr>
            <w:rStyle w:val="TextoNormalCaracter"/>
          </w:rPr>
          <w:t>32/2025</w:t>
        </w:r>
      </w:hyperlink>
      <w:r>
        <w:t xml:space="preserve">, f. 2; </w:t>
      </w:r>
      <w:hyperlink w:anchor="AUTO_2025_59" w:history="1">
        <w:r w:rsidRPr="001D7FA9">
          <w:rPr>
            <w:rStyle w:val="TextoNormalCaracter"/>
          </w:rPr>
          <w:t>59/2025</w:t>
        </w:r>
      </w:hyperlink>
      <w:r>
        <w:t>, ff. 1, 2.</w:t>
      </w:r>
    </w:p>
    <w:p w14:paraId="5D1EB53B" w14:textId="6C5AB87B" w:rsidR="001D7FA9" w:rsidRDefault="001D7FA9" w:rsidP="001D7FA9">
      <w:pPr>
        <w:pStyle w:val="SangriaFrancesaArticulo"/>
      </w:pPr>
      <w:r w:rsidRPr="001D7FA9">
        <w:rPr>
          <w:rStyle w:val="TextoNormalNegritaCaracter"/>
        </w:rPr>
        <w:t>Artículo 35.2</w:t>
      </w:r>
      <w:r>
        <w:t xml:space="preserve"> (redactado por la Ley Orgánica 6/2007, de 24 de mayo)</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II.</w:t>
      </w:r>
    </w:p>
    <w:p w14:paraId="79A0F214" w14:textId="688C40E0" w:rsidR="001D7FA9" w:rsidRDefault="001D7FA9" w:rsidP="001D7FA9">
      <w:pPr>
        <w:pStyle w:val="SangriaIzquierdaArticulo"/>
      </w:pPr>
      <w:r>
        <w:t xml:space="preserve">Auto </w:t>
      </w:r>
      <w:hyperlink w:anchor="AUTO_2025_20" w:history="1">
        <w:r w:rsidRPr="001D7FA9">
          <w:rPr>
            <w:rStyle w:val="TextoNormalCaracter"/>
          </w:rPr>
          <w:t>20/2025</w:t>
        </w:r>
      </w:hyperlink>
      <w:r>
        <w:t>, f. 4.</w:t>
      </w:r>
    </w:p>
    <w:p w14:paraId="714CA40A" w14:textId="6D7B8670" w:rsidR="001D7FA9" w:rsidRDefault="001D7FA9" w:rsidP="001D7FA9">
      <w:pPr>
        <w:pStyle w:val="SangriaFrancesaArticulo"/>
      </w:pPr>
      <w:r w:rsidRPr="001D7FA9">
        <w:rPr>
          <w:rStyle w:val="TextoNormalNegritaCaracter"/>
        </w:rPr>
        <w:t>Artículos 35 a 37.</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8D09CCF" w14:textId="4D30797A" w:rsidR="001D7FA9" w:rsidRDefault="001D7FA9" w:rsidP="001D7FA9">
      <w:pPr>
        <w:pStyle w:val="SangriaIzquierdaArticulo"/>
      </w:pPr>
      <w:r>
        <w:t xml:space="preserve">Auto </w:t>
      </w:r>
      <w:hyperlink w:anchor="AUTO_2025_29" w:history="1">
        <w:r w:rsidRPr="001D7FA9">
          <w:rPr>
            <w:rStyle w:val="TextoNormalCaracter"/>
          </w:rPr>
          <w:t>29/2025</w:t>
        </w:r>
      </w:hyperlink>
      <w:r>
        <w:t>, f. 2.</w:t>
      </w:r>
    </w:p>
    <w:p w14:paraId="01B11FFA" w14:textId="1E221828" w:rsidR="001D7FA9" w:rsidRDefault="001D7FA9" w:rsidP="001D7FA9">
      <w:pPr>
        <w:pStyle w:val="SangriaFrancesaArticulo"/>
      </w:pPr>
      <w:r w:rsidRPr="001D7FA9">
        <w:rPr>
          <w:rStyle w:val="TextoNormalNegritaCaracter"/>
        </w:rPr>
        <w:t>Artículo 37.</w:t>
      </w:r>
      <w:r w:rsidRPr="001D7FA9">
        <w:rPr>
          <w:rStyle w:val="TextoNormalCaracter"/>
        </w:rPr>
        <w:t>-</w:t>
      </w:r>
      <w:r>
        <w:t xml:space="preserve"> Autos </w:t>
      </w:r>
      <w:hyperlink w:anchor="AUTO_2025_6" w:history="1">
        <w:r w:rsidRPr="001D7FA9">
          <w:rPr>
            <w:rStyle w:val="TextoNormalCaracter"/>
          </w:rPr>
          <w:t>6/2025</w:t>
        </w:r>
      </w:hyperlink>
      <w:r>
        <w:t xml:space="preserve">, VP II; </w:t>
      </w:r>
      <w:hyperlink w:anchor="AUTO_2025_29" w:history="1">
        <w:r w:rsidRPr="001D7FA9">
          <w:rPr>
            <w:rStyle w:val="TextoNormalCaracter"/>
          </w:rPr>
          <w:t>29/2025</w:t>
        </w:r>
      </w:hyperlink>
      <w:r>
        <w:t>, f. 3.</w:t>
      </w:r>
    </w:p>
    <w:p w14:paraId="5A4A794A" w14:textId="459E5F3F" w:rsidR="001D7FA9" w:rsidRDefault="001D7FA9" w:rsidP="001D7FA9">
      <w:pPr>
        <w:pStyle w:val="SangriaFrancesaArticulo"/>
      </w:pPr>
      <w:r w:rsidRPr="001D7FA9">
        <w:rPr>
          <w:rStyle w:val="TextoNormalNegritaCaracter"/>
        </w:rPr>
        <w:t>Artículo 37.1.</w:t>
      </w:r>
      <w:r w:rsidRPr="001D7FA9">
        <w:rPr>
          <w:rStyle w:val="TextoNormalCaracter"/>
        </w:rPr>
        <w:t>-</w:t>
      </w:r>
      <w:r>
        <w:t xml:space="preserve"> Sentencias </w:t>
      </w:r>
      <w:hyperlink w:anchor="SENTENCIA_2025_27" w:history="1">
        <w:r w:rsidRPr="001D7FA9">
          <w:rPr>
            <w:rStyle w:val="TextoNormalCaracter"/>
          </w:rPr>
          <w:t>27/2025</w:t>
        </w:r>
      </w:hyperlink>
      <w:r>
        <w:t xml:space="preserve">, f. 2; </w:t>
      </w:r>
      <w:hyperlink w:anchor="SENTENCIA_2025_69" w:history="1">
        <w:r w:rsidRPr="001D7FA9">
          <w:rPr>
            <w:rStyle w:val="TextoNormalCaracter"/>
          </w:rPr>
          <w:t>69/2025</w:t>
        </w:r>
      </w:hyperlink>
      <w:r>
        <w:t>, f. 3.</w:t>
      </w:r>
    </w:p>
    <w:p w14:paraId="7A7FF724" w14:textId="3DC61E84"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f. 1, VP II; </w:t>
      </w:r>
      <w:hyperlink w:anchor="AUTO_2025_12" w:history="1">
        <w:r w:rsidRPr="001D7FA9">
          <w:rPr>
            <w:rStyle w:val="TextoNormalCaracter"/>
          </w:rPr>
          <w:t>12/2025</w:t>
        </w:r>
      </w:hyperlink>
      <w:r>
        <w:t xml:space="preserve">, VP II; </w:t>
      </w:r>
      <w:hyperlink w:anchor="AUTO_2025_13" w:history="1">
        <w:r w:rsidRPr="001D7FA9">
          <w:rPr>
            <w:rStyle w:val="TextoNormalCaracter"/>
          </w:rPr>
          <w:t>13/2025</w:t>
        </w:r>
      </w:hyperlink>
      <w:r>
        <w:t xml:space="preserve">, ff. 1, 2; </w:t>
      </w:r>
      <w:hyperlink w:anchor="AUTO_2025_20" w:history="1">
        <w:r w:rsidRPr="001D7FA9">
          <w:rPr>
            <w:rStyle w:val="TextoNormalCaracter"/>
          </w:rPr>
          <w:t>20/2025</w:t>
        </w:r>
      </w:hyperlink>
      <w:r>
        <w:t xml:space="preserve">, ff. 2, 3, 6; </w:t>
      </w:r>
      <w:hyperlink w:anchor="AUTO_2025_24" w:history="1">
        <w:r w:rsidRPr="001D7FA9">
          <w:rPr>
            <w:rStyle w:val="TextoNormalCaracter"/>
          </w:rPr>
          <w:t>24/2025</w:t>
        </w:r>
      </w:hyperlink>
      <w:r>
        <w:t xml:space="preserve">, ff. 1, 2; </w:t>
      </w:r>
      <w:hyperlink w:anchor="AUTO_2025_29" w:history="1">
        <w:r w:rsidRPr="001D7FA9">
          <w:rPr>
            <w:rStyle w:val="TextoNormalCaracter"/>
          </w:rPr>
          <w:t>29/2025</w:t>
        </w:r>
      </w:hyperlink>
      <w:r>
        <w:t xml:space="preserve">, ff. 1, 2; </w:t>
      </w:r>
      <w:hyperlink w:anchor="AUTO_2025_32" w:history="1">
        <w:r w:rsidRPr="001D7FA9">
          <w:rPr>
            <w:rStyle w:val="TextoNormalCaracter"/>
          </w:rPr>
          <w:t>32/2025</w:t>
        </w:r>
      </w:hyperlink>
      <w:r>
        <w:t xml:space="preserve">, f. 2; </w:t>
      </w:r>
      <w:hyperlink w:anchor="AUTO_2025_59" w:history="1">
        <w:r w:rsidRPr="001D7FA9">
          <w:rPr>
            <w:rStyle w:val="TextoNormalCaracter"/>
          </w:rPr>
          <w:t>59/2025</w:t>
        </w:r>
      </w:hyperlink>
      <w:r>
        <w:t>, f. 4.</w:t>
      </w:r>
    </w:p>
    <w:p w14:paraId="5A18C640" w14:textId="0B386908" w:rsidR="001D7FA9" w:rsidRDefault="001D7FA9" w:rsidP="001D7FA9">
      <w:pPr>
        <w:pStyle w:val="SangriaFrancesaArticulo"/>
      </w:pPr>
      <w:r w:rsidRPr="001D7FA9">
        <w:rPr>
          <w:rStyle w:val="TextoNormalNegritaCaracter"/>
        </w:rPr>
        <w:t>Artículo 37.2.</w:t>
      </w:r>
      <w:r w:rsidRPr="001D7FA9">
        <w:rPr>
          <w:rStyle w:val="TextoNormalCaracter"/>
        </w:rPr>
        <w:t>-</w:t>
      </w:r>
      <w:r>
        <w:t xml:space="preserve"> Sentencia </w:t>
      </w:r>
      <w:hyperlink w:anchor="SENTENCIA_2025_98" w:history="1">
        <w:r w:rsidRPr="001D7FA9">
          <w:rPr>
            <w:rStyle w:val="TextoNormalCaracter"/>
          </w:rPr>
          <w:t>98/2025</w:t>
        </w:r>
      </w:hyperlink>
      <w:r>
        <w:t>, f. 2.</w:t>
      </w:r>
    </w:p>
    <w:p w14:paraId="71784891" w14:textId="5EB0305D" w:rsidR="001D7FA9" w:rsidRDefault="001D7FA9" w:rsidP="001D7FA9">
      <w:pPr>
        <w:pStyle w:val="SangriaIzquierdaArticulo"/>
      </w:pPr>
      <w:r>
        <w:t xml:space="preserve">Auto </w:t>
      </w:r>
      <w:hyperlink w:anchor="AUTO_2025_12" w:history="1">
        <w:r w:rsidRPr="001D7FA9">
          <w:rPr>
            <w:rStyle w:val="TextoNormalCaracter"/>
          </w:rPr>
          <w:t>12/2025</w:t>
        </w:r>
      </w:hyperlink>
      <w:r>
        <w:t>, VP II.</w:t>
      </w:r>
    </w:p>
    <w:p w14:paraId="33186BF3" w14:textId="00169DE9" w:rsidR="001D7FA9" w:rsidRDefault="001D7FA9" w:rsidP="001D7FA9">
      <w:pPr>
        <w:pStyle w:val="SangriaFrancesaArticulo"/>
      </w:pPr>
      <w:r w:rsidRPr="001D7FA9">
        <w:rPr>
          <w:rStyle w:val="TextoNormalNegritaCaracter"/>
        </w:rPr>
        <w:t>Artículo 37.3.</w:t>
      </w:r>
      <w:r w:rsidRPr="001D7FA9">
        <w:rPr>
          <w:rStyle w:val="TextoNormalCaracter"/>
        </w:rPr>
        <w:t>-</w:t>
      </w:r>
      <w:r>
        <w:t xml:space="preserve"> Auto </w:t>
      </w:r>
      <w:hyperlink w:anchor="AUTO_2025_12" w:history="1">
        <w:r w:rsidRPr="001D7FA9">
          <w:rPr>
            <w:rStyle w:val="TextoNormalCaracter"/>
          </w:rPr>
          <w:t>12/2025</w:t>
        </w:r>
      </w:hyperlink>
      <w:r>
        <w:t>, VP II.</w:t>
      </w:r>
    </w:p>
    <w:p w14:paraId="2252FF99" w14:textId="0F247548" w:rsidR="001D7FA9" w:rsidRDefault="001D7FA9" w:rsidP="001D7FA9">
      <w:pPr>
        <w:pStyle w:val="SangriaFrancesaArticulo"/>
      </w:pPr>
      <w:r w:rsidRPr="001D7FA9">
        <w:rPr>
          <w:rStyle w:val="TextoNormalNegritaCaracter"/>
        </w:rPr>
        <w:t>Artículos 38 a 40.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AEE16A1" w14:textId="4C001789" w:rsidR="001D7FA9" w:rsidRDefault="001D7FA9" w:rsidP="001D7FA9">
      <w:pPr>
        <w:pStyle w:val="SangriaFrancesaArticulo"/>
      </w:pPr>
      <w:r w:rsidRPr="001D7FA9">
        <w:rPr>
          <w:rStyle w:val="TextoNormalNegritaCaracter"/>
        </w:rPr>
        <w:t>Artículo 39.</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73617671" w14:textId="759E0597" w:rsidR="001D7FA9" w:rsidRDefault="001D7FA9" w:rsidP="001D7FA9">
      <w:pPr>
        <w:pStyle w:val="SangriaFrancesaArticulo"/>
      </w:pPr>
      <w:r w:rsidRPr="001D7FA9">
        <w:rPr>
          <w:rStyle w:val="TextoNormalNegritaCaracter"/>
        </w:rPr>
        <w:t>Artículo 39.1.</w:t>
      </w:r>
      <w:r w:rsidRPr="001D7FA9">
        <w:rPr>
          <w:rStyle w:val="TextoNormalCaracter"/>
        </w:rPr>
        <w:t>-</w:t>
      </w:r>
      <w:r>
        <w:t xml:space="preserve"> Sentencias </w:t>
      </w:r>
      <w:hyperlink w:anchor="SENTENCIA_2025_26" w:history="1">
        <w:r w:rsidRPr="001D7FA9">
          <w:rPr>
            <w:rStyle w:val="TextoNormalCaracter"/>
          </w:rPr>
          <w:t>26/2025</w:t>
        </w:r>
      </w:hyperlink>
      <w:r>
        <w:t xml:space="preserve">, f. 7, VP II; </w:t>
      </w:r>
      <w:hyperlink w:anchor="SENTENCIA_2025_42" w:history="1">
        <w:r w:rsidRPr="001D7FA9">
          <w:rPr>
            <w:rStyle w:val="TextoNormalCaracter"/>
          </w:rPr>
          <w:t>42/2025</w:t>
        </w:r>
      </w:hyperlink>
      <w:r>
        <w:t xml:space="preserve">, f. 4; </w:t>
      </w:r>
      <w:hyperlink w:anchor="SENTENCIA_2025_95" w:history="1">
        <w:r w:rsidRPr="001D7FA9">
          <w:rPr>
            <w:rStyle w:val="TextoNormalCaracter"/>
          </w:rPr>
          <w:t>95/2025</w:t>
        </w:r>
      </w:hyperlink>
      <w:r>
        <w:t xml:space="preserve">, f. 3; </w:t>
      </w:r>
      <w:hyperlink w:anchor="SENTENCIA_2025_98" w:history="1">
        <w:r w:rsidRPr="001D7FA9">
          <w:rPr>
            <w:rStyle w:val="TextoNormalCaracter"/>
          </w:rPr>
          <w:t>98/2025</w:t>
        </w:r>
      </w:hyperlink>
      <w:r>
        <w:t xml:space="preserve">, VP; </w:t>
      </w:r>
      <w:hyperlink w:anchor="SENTENCIA_2025_133" w:history="1">
        <w:r w:rsidRPr="001D7FA9">
          <w:rPr>
            <w:rStyle w:val="TextoNormalCaracter"/>
          </w:rPr>
          <w:t>133/2025</w:t>
        </w:r>
      </w:hyperlink>
      <w:r>
        <w:t xml:space="preserve">, f. 3; </w:t>
      </w:r>
      <w:hyperlink w:anchor="SENTENCIA_2025_134" w:history="1">
        <w:r w:rsidRPr="001D7FA9">
          <w:rPr>
            <w:rStyle w:val="TextoNormalCaracter"/>
          </w:rPr>
          <w:t>134/2025</w:t>
        </w:r>
      </w:hyperlink>
      <w:r>
        <w:t>, f. 6.</w:t>
      </w:r>
    </w:p>
    <w:p w14:paraId="522E7E2C" w14:textId="7B1BD41A" w:rsidR="001D7FA9" w:rsidRDefault="001D7FA9" w:rsidP="001D7FA9">
      <w:pPr>
        <w:pStyle w:val="SangriaFrancesaArticulo"/>
      </w:pPr>
      <w:r w:rsidRPr="001D7FA9">
        <w:rPr>
          <w:rStyle w:val="TextoNormalNegritaCaracter"/>
        </w:rPr>
        <w:t>Artículo 39.2.</w:t>
      </w:r>
      <w:r w:rsidRPr="001D7FA9">
        <w:rPr>
          <w:rStyle w:val="TextoNormalCaracter"/>
        </w:rPr>
        <w:t>-</w:t>
      </w:r>
      <w:r>
        <w:t xml:space="preserve"> Sentencia </w:t>
      </w:r>
      <w:hyperlink w:anchor="SENTENCIA_2025_137" w:history="1">
        <w:r w:rsidRPr="001D7FA9">
          <w:rPr>
            <w:rStyle w:val="TextoNormalCaracter"/>
          </w:rPr>
          <w:t>137/2025</w:t>
        </w:r>
      </w:hyperlink>
      <w:r>
        <w:t>, VP I, VP III.</w:t>
      </w:r>
    </w:p>
    <w:p w14:paraId="4B3A4727" w14:textId="400F640E" w:rsidR="001D7FA9" w:rsidRDefault="001D7FA9" w:rsidP="001D7FA9">
      <w:pPr>
        <w:pStyle w:val="SangriaFrancesaArticulo"/>
      </w:pPr>
      <w:r w:rsidRPr="001D7FA9">
        <w:rPr>
          <w:rStyle w:val="TextoNormalNegritaCaracter"/>
        </w:rPr>
        <w:t>Artículo 40.</w:t>
      </w:r>
      <w:r w:rsidRPr="001D7FA9">
        <w:rPr>
          <w:rStyle w:val="TextoNormalCaracter"/>
        </w:rPr>
        <w:t>-</w:t>
      </w:r>
      <w:r>
        <w:t xml:space="preserve"> Sentencia </w:t>
      </w:r>
      <w:hyperlink w:anchor="SENTENCIA_2025_98" w:history="1">
        <w:r w:rsidRPr="001D7FA9">
          <w:rPr>
            <w:rStyle w:val="TextoNormalCaracter"/>
          </w:rPr>
          <w:t>98/2025</w:t>
        </w:r>
      </w:hyperlink>
      <w:r>
        <w:t>, VP.</w:t>
      </w:r>
    </w:p>
    <w:p w14:paraId="51D3BD53" w14:textId="20FFCF57" w:rsidR="001D7FA9" w:rsidRDefault="001D7FA9" w:rsidP="001D7FA9">
      <w:pPr>
        <w:pStyle w:val="SangriaFrancesaArticulo"/>
      </w:pPr>
      <w:r w:rsidRPr="001D7FA9">
        <w:rPr>
          <w:rStyle w:val="TextoNormalNegritaCaracter"/>
        </w:rPr>
        <w:t>Artículo 40.1.</w:t>
      </w:r>
      <w:r w:rsidRPr="001D7FA9">
        <w:rPr>
          <w:rStyle w:val="TextoNormalCaracter"/>
        </w:rPr>
        <w:t>-</w:t>
      </w:r>
      <w:r>
        <w:t xml:space="preserve"> Sentencia </w:t>
      </w:r>
      <w:hyperlink w:anchor="SENTENCIA_2025_134" w:history="1">
        <w:r w:rsidRPr="001D7FA9">
          <w:rPr>
            <w:rStyle w:val="TextoNormalCaracter"/>
          </w:rPr>
          <w:t>134/2025</w:t>
        </w:r>
      </w:hyperlink>
      <w:r>
        <w:t>, f. 6.</w:t>
      </w:r>
    </w:p>
    <w:p w14:paraId="4774678D" w14:textId="3D3750D0" w:rsidR="001D7FA9" w:rsidRDefault="001D7FA9" w:rsidP="001D7FA9">
      <w:pPr>
        <w:pStyle w:val="SangriaIzquierdaArticulo"/>
      </w:pPr>
      <w:r>
        <w:t xml:space="preserve">Auto </w:t>
      </w:r>
      <w:hyperlink w:anchor="AUTO_2025_6" w:history="1">
        <w:r w:rsidRPr="001D7FA9">
          <w:rPr>
            <w:rStyle w:val="TextoNormalCaracter"/>
          </w:rPr>
          <w:t>6/2025</w:t>
        </w:r>
      </w:hyperlink>
      <w:r>
        <w:t>, VP I.</w:t>
      </w:r>
    </w:p>
    <w:p w14:paraId="3B252EC2" w14:textId="41A499FE" w:rsidR="001D7FA9" w:rsidRDefault="001D7FA9" w:rsidP="001D7FA9">
      <w:pPr>
        <w:pStyle w:val="SangriaFrancesaArticulo"/>
      </w:pPr>
      <w:r w:rsidRPr="001D7FA9">
        <w:rPr>
          <w:rStyle w:val="TextoNormalNegritaCaracter"/>
        </w:rPr>
        <w:t>Artículo 40.2.</w:t>
      </w:r>
      <w:r w:rsidRPr="001D7FA9">
        <w:rPr>
          <w:rStyle w:val="TextoNormalCaracter"/>
        </w:rPr>
        <w:t>-</w:t>
      </w:r>
      <w:r>
        <w:t xml:space="preserve"> Sentencia </w:t>
      </w:r>
      <w:hyperlink w:anchor="SENTENCIA_2025_105" w:history="1">
        <w:r w:rsidRPr="001D7FA9">
          <w:rPr>
            <w:rStyle w:val="TextoNormalCaracter"/>
          </w:rPr>
          <w:t>105/2025</w:t>
        </w:r>
      </w:hyperlink>
      <w:r>
        <w:t>, VP III.</w:t>
      </w:r>
    </w:p>
    <w:p w14:paraId="4B7AFD28" w14:textId="77661426" w:rsidR="001D7FA9" w:rsidRDefault="001D7FA9" w:rsidP="001D7FA9">
      <w:pPr>
        <w:pStyle w:val="SangriaFrancesaArticulo"/>
      </w:pPr>
      <w:r w:rsidRPr="001D7FA9">
        <w:rPr>
          <w:rStyle w:val="TextoNormalNegritaCaracter"/>
        </w:rPr>
        <w:t>Artículo 41.</w:t>
      </w:r>
      <w:r w:rsidRPr="001D7FA9">
        <w:rPr>
          <w:rStyle w:val="TextoNormalCaracter"/>
        </w:rPr>
        <w:t>-</w:t>
      </w:r>
      <w:r>
        <w:t xml:space="preserve"> 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VP.</w:t>
      </w:r>
    </w:p>
    <w:p w14:paraId="3EFE7B6B" w14:textId="5083402F" w:rsidR="001D7FA9" w:rsidRDefault="001D7FA9" w:rsidP="001D7FA9">
      <w:pPr>
        <w:pStyle w:val="SangriaFrancesaArticulo"/>
      </w:pPr>
      <w:r w:rsidRPr="001D7FA9">
        <w:rPr>
          <w:rStyle w:val="TextoNormalNegritaCaracter"/>
        </w:rPr>
        <w:t>Artículo 41.2.</w:t>
      </w:r>
      <w:r w:rsidRPr="001D7FA9">
        <w:rPr>
          <w:rStyle w:val="TextoNormalCaracter"/>
        </w:rPr>
        <w:t>-</w:t>
      </w:r>
      <w:r>
        <w:t xml:space="preserve"> Sentencias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f. 2.</w:t>
      </w:r>
    </w:p>
    <w:p w14:paraId="6D61E8AF" w14:textId="707872DD" w:rsidR="001D7FA9" w:rsidRDefault="001D7FA9" w:rsidP="001D7FA9">
      <w:pPr>
        <w:pStyle w:val="SangriaFrancesaArticulo"/>
      </w:pPr>
      <w:r w:rsidRPr="001D7FA9">
        <w:rPr>
          <w:rStyle w:val="TextoNormalNegritaCaracter"/>
        </w:rPr>
        <w:t>Artículo 41.3.</w:t>
      </w:r>
      <w:r w:rsidRPr="001D7FA9">
        <w:rPr>
          <w:rStyle w:val="TextoNormalCaracter"/>
        </w:rPr>
        <w:t>-</w:t>
      </w:r>
      <w:r>
        <w:t xml:space="preserve"> Sentencias </w:t>
      </w:r>
      <w:hyperlink w:anchor="SENTENCIA_2025_69" w:history="1">
        <w:r w:rsidRPr="001D7FA9">
          <w:rPr>
            <w:rStyle w:val="TextoNormalCaracter"/>
          </w:rPr>
          <w:t>69/2025</w:t>
        </w:r>
      </w:hyperlink>
      <w:r>
        <w:t xml:space="preserve">, f. 3; </w:t>
      </w:r>
      <w:hyperlink w:anchor="SENTENCIA_2025_132" w:history="1">
        <w:r w:rsidRPr="001D7FA9">
          <w:rPr>
            <w:rStyle w:val="TextoNormalCaracter"/>
          </w:rPr>
          <w:t>132/2025</w:t>
        </w:r>
      </w:hyperlink>
      <w:r>
        <w:t>, f. 2.</w:t>
      </w:r>
    </w:p>
    <w:p w14:paraId="66EDAA11" w14:textId="74F44F43"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Sentencias </w:t>
      </w:r>
      <w:hyperlink w:anchor="SENTENCIA_2025_14" w:history="1">
        <w:r w:rsidRPr="001D7FA9">
          <w:rPr>
            <w:rStyle w:val="TextoNormalCaracter"/>
          </w:rPr>
          <w:t>14/2025</w:t>
        </w:r>
      </w:hyperlink>
      <w:r>
        <w:t xml:space="preserve">, ff. 3, 5; </w:t>
      </w:r>
      <w:hyperlink w:anchor="SENTENCIA_2025_83" w:history="1">
        <w:r w:rsidRPr="001D7FA9">
          <w:rPr>
            <w:rStyle w:val="TextoNormalCaracter"/>
          </w:rPr>
          <w:t>83/2025</w:t>
        </w:r>
      </w:hyperlink>
      <w:r>
        <w:t xml:space="preserve">, f. 1; </w:t>
      </w:r>
      <w:hyperlink w:anchor="SENTENCIA_2025_97" w:history="1">
        <w:r w:rsidRPr="001D7FA9">
          <w:rPr>
            <w:rStyle w:val="TextoNormalCaracter"/>
          </w:rPr>
          <w:t>97/2025</w:t>
        </w:r>
      </w:hyperlink>
      <w:r>
        <w:t xml:space="preserve">, f. 1;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xml:space="preserve">, f. 2; </w:t>
      </w:r>
      <w:hyperlink w:anchor="SENTENCIA_2025_120" w:history="1">
        <w:r w:rsidRPr="001D7FA9">
          <w:rPr>
            <w:rStyle w:val="TextoNormalCaracter"/>
          </w:rPr>
          <w:t>120/2025</w:t>
        </w:r>
      </w:hyperlink>
      <w:r>
        <w:t xml:space="preserve">, f. 1; </w:t>
      </w:r>
      <w:hyperlink w:anchor="SENTENCIA_2025_136" w:history="1">
        <w:r w:rsidRPr="001D7FA9">
          <w:rPr>
            <w:rStyle w:val="TextoNormalCaracter"/>
          </w:rPr>
          <w:t>136/2025</w:t>
        </w:r>
      </w:hyperlink>
      <w:r>
        <w:t>, f. 1.</w:t>
      </w:r>
    </w:p>
    <w:p w14:paraId="12E7A02E" w14:textId="2C38D14E" w:rsidR="001D7FA9" w:rsidRDefault="001D7FA9" w:rsidP="001D7FA9">
      <w:pPr>
        <w:pStyle w:val="SangriaFrancesaArticulo"/>
      </w:pPr>
      <w:r w:rsidRPr="001D7FA9">
        <w:rPr>
          <w:rStyle w:val="TextoNormalNegritaCaracter"/>
        </w:rPr>
        <w:t>Artículo 43.</w:t>
      </w:r>
      <w:r w:rsidRPr="001D7FA9">
        <w:rPr>
          <w:rStyle w:val="TextoNormalCaracter"/>
        </w:rPr>
        <w:t>-</w:t>
      </w:r>
      <w:r>
        <w:t xml:space="preserve"> Sentencias </w:t>
      </w:r>
      <w:hyperlink w:anchor="SENTENCIA_2025_11" w:history="1">
        <w:r w:rsidRPr="001D7FA9">
          <w:rPr>
            <w:rStyle w:val="TextoNormalCaracter"/>
          </w:rPr>
          <w:t>11/2025</w:t>
        </w:r>
      </w:hyperlink>
      <w:r>
        <w:t xml:space="preserve">, f. 2; </w:t>
      </w:r>
      <w:hyperlink w:anchor="SENTENCIA_2025_28" w:history="1">
        <w:r w:rsidRPr="001D7FA9">
          <w:rPr>
            <w:rStyle w:val="TextoNormalCaracter"/>
          </w:rPr>
          <w:t>28/2025</w:t>
        </w:r>
      </w:hyperlink>
      <w:r>
        <w:t xml:space="preserve">, f. 5; </w:t>
      </w:r>
      <w:hyperlink w:anchor="SENTENCIA_2025_86" w:history="1">
        <w:r w:rsidRPr="001D7FA9">
          <w:rPr>
            <w:rStyle w:val="TextoNormalCaracter"/>
          </w:rPr>
          <w:t>86/2025</w:t>
        </w:r>
      </w:hyperlink>
      <w:r>
        <w:t xml:space="preserve">, f. 1; </w:t>
      </w:r>
      <w:hyperlink w:anchor="SENTENCIA_2025_106" w:history="1">
        <w:r w:rsidRPr="001D7FA9">
          <w:rPr>
            <w:rStyle w:val="TextoNormalCaracter"/>
          </w:rPr>
          <w:t>106/2025</w:t>
        </w:r>
      </w:hyperlink>
      <w:r>
        <w:t>, f. 2.</w:t>
      </w:r>
    </w:p>
    <w:p w14:paraId="4921CBA0" w14:textId="6A6708DD" w:rsidR="001D7FA9" w:rsidRDefault="001D7FA9" w:rsidP="001D7FA9">
      <w:pPr>
        <w:pStyle w:val="SangriaFrancesaArticulo"/>
      </w:pPr>
      <w:r w:rsidRPr="001D7FA9">
        <w:rPr>
          <w:rStyle w:val="TextoNormalNegritaCaracter"/>
        </w:rPr>
        <w:t>Artículo 43.1.</w:t>
      </w:r>
      <w:r w:rsidRPr="001D7FA9">
        <w:rPr>
          <w:rStyle w:val="TextoNormalCaracter"/>
        </w:rPr>
        <w:t>-</w:t>
      </w:r>
      <w:r>
        <w:t xml:space="preserve"> Sentencia </w:t>
      </w:r>
      <w:hyperlink w:anchor="SENTENCIA_2025_106" w:history="1">
        <w:r w:rsidRPr="001D7FA9">
          <w:rPr>
            <w:rStyle w:val="TextoNormalCaracter"/>
          </w:rPr>
          <w:t>106/2025</w:t>
        </w:r>
      </w:hyperlink>
      <w:r>
        <w:t>, f. 2.</w:t>
      </w:r>
    </w:p>
    <w:p w14:paraId="011D38B6" w14:textId="0A18A95D" w:rsidR="001D7FA9" w:rsidRDefault="001D7FA9" w:rsidP="001D7FA9">
      <w:pPr>
        <w:pStyle w:val="SangriaFrancesaArticulo"/>
      </w:pPr>
      <w:r w:rsidRPr="001D7FA9">
        <w:rPr>
          <w:rStyle w:val="TextoNormalNegritaCaracter"/>
        </w:rPr>
        <w:t>Artículo 43.2.</w:t>
      </w:r>
      <w:r w:rsidRPr="001D7FA9">
        <w:rPr>
          <w:rStyle w:val="TextoNormalCaracter"/>
        </w:rPr>
        <w:t>-</w:t>
      </w:r>
      <w:r>
        <w:t xml:space="preserve"> Sentencias </w:t>
      </w:r>
      <w:hyperlink w:anchor="SENTENCIA_2025_11" w:history="1">
        <w:r w:rsidRPr="001D7FA9">
          <w:rPr>
            <w:rStyle w:val="TextoNormalCaracter"/>
          </w:rPr>
          <w:t>11/2025</w:t>
        </w:r>
      </w:hyperlink>
      <w:r>
        <w:t xml:space="preserve">, ff. 1, 2; </w:t>
      </w:r>
      <w:hyperlink w:anchor="SENTENCIA_2025_106" w:history="1">
        <w:r w:rsidRPr="001D7FA9">
          <w:rPr>
            <w:rStyle w:val="TextoNormalCaracter"/>
          </w:rPr>
          <w:t>106/2025</w:t>
        </w:r>
      </w:hyperlink>
      <w:r>
        <w:t>, f. 2.</w:t>
      </w:r>
    </w:p>
    <w:p w14:paraId="298FBC65" w14:textId="54367D8F" w:rsidR="001D7FA9" w:rsidRDefault="001D7FA9" w:rsidP="001D7FA9">
      <w:pPr>
        <w:pStyle w:val="SangriaFrancesaArticulo"/>
      </w:pPr>
      <w:r w:rsidRPr="001D7FA9">
        <w:rPr>
          <w:rStyle w:val="TextoNormalNegritaCaracter"/>
        </w:rPr>
        <w:t>Artículo 43.2</w:t>
      </w:r>
      <w:r>
        <w:t xml:space="preserve"> (redactado por la Ley Orgánica 6/2007, de 24 de mayo)</w:t>
      </w:r>
      <w:r w:rsidRPr="001D7FA9">
        <w:rPr>
          <w:rStyle w:val="TextoNormalNegritaCaracter"/>
        </w:rPr>
        <w:t>.</w:t>
      </w:r>
      <w:r w:rsidRPr="001D7FA9">
        <w:rPr>
          <w:rStyle w:val="TextoNormalCaracter"/>
        </w:rPr>
        <w:t>-</w:t>
      </w:r>
      <w:r>
        <w:t xml:space="preserve"> Sentencia </w:t>
      </w:r>
      <w:hyperlink w:anchor="SENTENCIA_2025_106" w:history="1">
        <w:r w:rsidRPr="001D7FA9">
          <w:rPr>
            <w:rStyle w:val="TextoNormalCaracter"/>
          </w:rPr>
          <w:t>106/2025</w:t>
        </w:r>
      </w:hyperlink>
      <w:r>
        <w:t>, f. 2.</w:t>
      </w:r>
    </w:p>
    <w:p w14:paraId="641A9498" w14:textId="1863A326" w:rsidR="001D7FA9" w:rsidRDefault="001D7FA9" w:rsidP="001D7FA9">
      <w:pPr>
        <w:pStyle w:val="SangriaFrancesaArticulo"/>
      </w:pPr>
      <w:r w:rsidRPr="001D7FA9">
        <w:rPr>
          <w:rStyle w:val="TextoNormalNegritaCaracter"/>
        </w:rPr>
        <w:t>Artículo 44.</w:t>
      </w:r>
      <w:r w:rsidRPr="001D7FA9">
        <w:rPr>
          <w:rStyle w:val="TextoNormalCaracter"/>
        </w:rPr>
        <w:t>-</w:t>
      </w:r>
      <w:r>
        <w:t xml:space="preserve"> Sentencias </w:t>
      </w:r>
      <w:hyperlink w:anchor="SENTENCIA_2025_28" w:history="1">
        <w:r w:rsidRPr="001D7FA9">
          <w:rPr>
            <w:rStyle w:val="TextoNormalCaracter"/>
          </w:rPr>
          <w:t>28/2025</w:t>
        </w:r>
      </w:hyperlink>
      <w:r>
        <w:t xml:space="preserve">, f. 5; </w:t>
      </w:r>
      <w:hyperlink w:anchor="SENTENCIA_2025_51" w:history="1">
        <w:r w:rsidRPr="001D7FA9">
          <w:rPr>
            <w:rStyle w:val="TextoNormalCaracter"/>
          </w:rPr>
          <w:t>51/2025</w:t>
        </w:r>
      </w:hyperlink>
      <w:r>
        <w:t xml:space="preserve">, f. 1; </w:t>
      </w:r>
      <w:hyperlink w:anchor="SENTENCIA_2025_86" w:history="1">
        <w:r w:rsidRPr="001D7FA9">
          <w:rPr>
            <w:rStyle w:val="TextoNormalCaracter"/>
          </w:rPr>
          <w:t>86/2025</w:t>
        </w:r>
      </w:hyperlink>
      <w:r>
        <w:t xml:space="preserve">, f. 1; </w:t>
      </w:r>
      <w:hyperlink w:anchor="SENTENCIA_2025_106" w:history="1">
        <w:r w:rsidRPr="001D7FA9">
          <w:rPr>
            <w:rStyle w:val="TextoNormalCaracter"/>
          </w:rPr>
          <w:t>106/2025</w:t>
        </w:r>
      </w:hyperlink>
      <w:r>
        <w:t>, f. 2.</w:t>
      </w:r>
    </w:p>
    <w:p w14:paraId="067570CB" w14:textId="7361F54E" w:rsidR="001D7FA9" w:rsidRDefault="001D7FA9" w:rsidP="001D7FA9">
      <w:pPr>
        <w:pStyle w:val="SangriaFrancesaArticulo"/>
      </w:pPr>
      <w:r w:rsidRPr="001D7FA9">
        <w:rPr>
          <w:rStyle w:val="TextoNormalNegritaCaracter"/>
        </w:rPr>
        <w:t>Artículo 44.1.</w:t>
      </w:r>
      <w:r w:rsidRPr="001D7FA9">
        <w:rPr>
          <w:rStyle w:val="TextoNormalCaracter"/>
        </w:rPr>
        <w:t>-</w:t>
      </w:r>
      <w:r>
        <w:t xml:space="preserve"> 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11" w:history="1">
        <w:r w:rsidRPr="001D7FA9">
          <w:rPr>
            <w:rStyle w:val="TextoNormalCaracter"/>
          </w:rPr>
          <w:t>11/2025</w:t>
        </w:r>
      </w:hyperlink>
      <w:r>
        <w:t>, VP.</w:t>
      </w:r>
    </w:p>
    <w:p w14:paraId="7A80F368" w14:textId="3B16BB78" w:rsidR="001D7FA9" w:rsidRDefault="001D7FA9" w:rsidP="001D7FA9">
      <w:pPr>
        <w:pStyle w:val="SangriaFrancesaArticulo"/>
      </w:pPr>
      <w:r w:rsidRPr="001D7FA9">
        <w:rPr>
          <w:rStyle w:val="TextoNormalNegritaCaracter"/>
        </w:rPr>
        <w:t>Artículo 44.1 a).</w:t>
      </w:r>
      <w:r w:rsidRPr="001D7FA9">
        <w:rPr>
          <w:rStyle w:val="TextoNormalCaracter"/>
        </w:rPr>
        <w:t>-</w:t>
      </w:r>
      <w:r>
        <w:t xml:space="preserve"> Sentencias </w:t>
      </w:r>
      <w:hyperlink w:anchor="SENTENCIA_2025_28" w:history="1">
        <w:r w:rsidRPr="001D7FA9">
          <w:rPr>
            <w:rStyle w:val="TextoNormalCaracter"/>
          </w:rPr>
          <w:t>28/2025</w:t>
        </w:r>
      </w:hyperlink>
      <w:r>
        <w:t xml:space="preserve">, f. 2; </w:t>
      </w:r>
      <w:hyperlink w:anchor="SENTENCIA_2025_78" w:history="1">
        <w:r w:rsidRPr="001D7FA9">
          <w:rPr>
            <w:rStyle w:val="TextoNormalCaracter"/>
          </w:rPr>
          <w:t>78/2025</w:t>
        </w:r>
      </w:hyperlink>
      <w:r>
        <w:t xml:space="preserve">, f. único; </w:t>
      </w:r>
      <w:hyperlink w:anchor="SENTENCIA_2025_79" w:history="1">
        <w:r w:rsidRPr="001D7FA9">
          <w:rPr>
            <w:rStyle w:val="TextoNormalCaracter"/>
          </w:rPr>
          <w:t>79/2025</w:t>
        </w:r>
      </w:hyperlink>
      <w:r>
        <w:t>, f. 2.</w:t>
      </w:r>
    </w:p>
    <w:p w14:paraId="09535D33" w14:textId="278B7E45" w:rsidR="001D7FA9" w:rsidRDefault="001D7FA9" w:rsidP="001D7FA9">
      <w:pPr>
        <w:pStyle w:val="SangriaIzquierdaArticulo"/>
      </w:pPr>
      <w:r>
        <w:t xml:space="preserve">Auto </w:t>
      </w:r>
      <w:hyperlink w:anchor="AUTO_2025_67" w:history="1">
        <w:r w:rsidRPr="001D7FA9">
          <w:rPr>
            <w:rStyle w:val="TextoNormalCaracter"/>
          </w:rPr>
          <w:t>67/2025</w:t>
        </w:r>
      </w:hyperlink>
      <w:r>
        <w:t>, f. único.</w:t>
      </w:r>
    </w:p>
    <w:p w14:paraId="325D6586" w14:textId="7220033F" w:rsidR="001D7FA9" w:rsidRDefault="001D7FA9" w:rsidP="001D7FA9">
      <w:pPr>
        <w:pStyle w:val="SangriaFrancesaArticulo"/>
      </w:pPr>
      <w:r w:rsidRPr="001D7FA9">
        <w:rPr>
          <w:rStyle w:val="TextoNormalNegritaCaracter"/>
        </w:rPr>
        <w:t>Artículo 44.1 b).</w:t>
      </w:r>
      <w:r w:rsidRPr="001D7FA9">
        <w:rPr>
          <w:rStyle w:val="TextoNormalCaracter"/>
        </w:rPr>
        <w:t>-</w:t>
      </w:r>
      <w:r>
        <w:t xml:space="preserve"> Sentencias </w:t>
      </w:r>
      <w:hyperlink w:anchor="SENTENCIA_2025_28" w:history="1">
        <w:r w:rsidRPr="001D7FA9">
          <w:rPr>
            <w:rStyle w:val="TextoNormalCaracter"/>
          </w:rPr>
          <w:t>28/2025</w:t>
        </w:r>
      </w:hyperlink>
      <w:r>
        <w:t xml:space="preserve">, ff. 2, 5; </w:t>
      </w:r>
      <w:hyperlink w:anchor="SENTENCIA_2025_62" w:history="1">
        <w:r w:rsidRPr="001D7FA9">
          <w:rPr>
            <w:rStyle w:val="TextoNormalCaracter"/>
          </w:rPr>
          <w:t>62/2025</w:t>
        </w:r>
      </w:hyperlink>
      <w:r>
        <w:t xml:space="preserve">, f. 4; </w:t>
      </w:r>
      <w:hyperlink w:anchor="SENTENCIA_2025_100" w:history="1">
        <w:r w:rsidRPr="001D7FA9">
          <w:rPr>
            <w:rStyle w:val="TextoNormalCaracter"/>
          </w:rPr>
          <w:t>100/2025</w:t>
        </w:r>
      </w:hyperlink>
      <w:r>
        <w:t>, f. 2.</w:t>
      </w:r>
    </w:p>
    <w:p w14:paraId="0CF5EE6C" w14:textId="7A3BB6C2" w:rsidR="001D7FA9" w:rsidRDefault="001D7FA9" w:rsidP="001D7FA9">
      <w:pPr>
        <w:pStyle w:val="SangriaFrancesaArticulo"/>
      </w:pPr>
      <w:r w:rsidRPr="001D7FA9">
        <w:rPr>
          <w:rStyle w:val="TextoNormalNegritaCaracter"/>
        </w:rPr>
        <w:t>Artículo 44.1 c).</w:t>
      </w:r>
      <w:r w:rsidRPr="001D7FA9">
        <w:rPr>
          <w:rStyle w:val="TextoNormalCaracter"/>
        </w:rPr>
        <w:t>-</w:t>
      </w:r>
      <w:r>
        <w:t xml:space="preserve"> Sentencias </w:t>
      </w:r>
      <w:hyperlink w:anchor="SENTENCIA_2025_28" w:history="1">
        <w:r w:rsidRPr="001D7FA9">
          <w:rPr>
            <w:rStyle w:val="TextoNormalCaracter"/>
          </w:rPr>
          <w:t>28/2025</w:t>
        </w:r>
      </w:hyperlink>
      <w:r>
        <w:t xml:space="preserve">, f. 2; </w:t>
      </w:r>
      <w:hyperlink w:anchor="SENTENCIA_2025_105" w:history="1">
        <w:r w:rsidRPr="001D7FA9">
          <w:rPr>
            <w:rStyle w:val="TextoNormalCaracter"/>
          </w:rPr>
          <w:t>105/2025</w:t>
        </w:r>
      </w:hyperlink>
      <w:r>
        <w:t xml:space="preserve">, f. 1, VP I; </w:t>
      </w:r>
      <w:hyperlink w:anchor="SENTENCIA_2025_117" w:history="1">
        <w:r w:rsidRPr="001D7FA9">
          <w:rPr>
            <w:rStyle w:val="TextoNormalCaracter"/>
          </w:rPr>
          <w:t>117/2025</w:t>
        </w:r>
      </w:hyperlink>
      <w:r>
        <w:t xml:space="preserve">, f. 2; </w:t>
      </w:r>
      <w:hyperlink w:anchor="SENTENCIA_2025_121" w:history="1">
        <w:r w:rsidRPr="001D7FA9">
          <w:rPr>
            <w:rStyle w:val="TextoNormalCaracter"/>
          </w:rPr>
          <w:t>121/2025</w:t>
        </w:r>
      </w:hyperlink>
      <w:r>
        <w:t>, ff. 1, 2.</w:t>
      </w:r>
    </w:p>
    <w:p w14:paraId="359E759E" w14:textId="7CDAAC64" w:rsidR="001D7FA9" w:rsidRDefault="001D7FA9" w:rsidP="001D7FA9">
      <w:pPr>
        <w:pStyle w:val="SangriaFrancesaArticulo"/>
      </w:pPr>
      <w:r w:rsidRPr="001D7FA9">
        <w:rPr>
          <w:rStyle w:val="TextoNormalNegritaCaracter"/>
        </w:rPr>
        <w:t>Artículo 44.2.</w:t>
      </w:r>
      <w:r w:rsidRPr="001D7FA9">
        <w:rPr>
          <w:rStyle w:val="TextoNormalCaracter"/>
        </w:rPr>
        <w:t>-</w:t>
      </w:r>
      <w:r>
        <w:t xml:space="preserve"> Sentencia </w:t>
      </w:r>
      <w:hyperlink w:anchor="SENTENCIA_2025_121" w:history="1">
        <w:r w:rsidRPr="001D7FA9">
          <w:rPr>
            <w:rStyle w:val="TextoNormalCaracter"/>
          </w:rPr>
          <w:t>121/2025</w:t>
        </w:r>
      </w:hyperlink>
      <w:r>
        <w:t>, f. 2.</w:t>
      </w:r>
    </w:p>
    <w:p w14:paraId="395AB1DD" w14:textId="6BEF824B" w:rsidR="001D7FA9" w:rsidRDefault="001D7FA9" w:rsidP="001D7FA9">
      <w:pPr>
        <w:pStyle w:val="SangriaFrancesaArticulo"/>
      </w:pPr>
      <w:r w:rsidRPr="001D7FA9">
        <w:rPr>
          <w:rStyle w:val="TextoNormalNegritaCaracter"/>
        </w:rPr>
        <w:t>Artículo 47.1.</w:t>
      </w:r>
      <w:r w:rsidRPr="001D7FA9">
        <w:rPr>
          <w:rStyle w:val="TextoNormalCaracter"/>
        </w:rPr>
        <w:t>-</w:t>
      </w:r>
      <w:r>
        <w:t xml:space="preserve"> Autos </w:t>
      </w:r>
      <w:hyperlink w:anchor="AUTO_2025_56" w:history="1">
        <w:r w:rsidRPr="001D7FA9">
          <w:rPr>
            <w:rStyle w:val="TextoNormalCaracter"/>
          </w:rPr>
          <w:t>56/2025</w:t>
        </w:r>
      </w:hyperlink>
      <w:r>
        <w:t xml:space="preserve">, f. único; </w:t>
      </w:r>
      <w:hyperlink w:anchor="AUTO_2025_57" w:history="1">
        <w:r w:rsidRPr="001D7FA9">
          <w:rPr>
            <w:rStyle w:val="TextoNormalCaracter"/>
          </w:rPr>
          <w:t>57/2025</w:t>
        </w:r>
      </w:hyperlink>
      <w:r>
        <w:t>, f. único.</w:t>
      </w:r>
    </w:p>
    <w:p w14:paraId="3011A6E7" w14:textId="70DC0853" w:rsidR="001D7FA9" w:rsidRDefault="001D7FA9" w:rsidP="001D7FA9">
      <w:pPr>
        <w:pStyle w:val="SangriaFrancesaArticulo"/>
      </w:pPr>
      <w:r w:rsidRPr="001D7FA9">
        <w:rPr>
          <w:rStyle w:val="TextoNormalNegritaCaracter"/>
        </w:rPr>
        <w:t>Artículo 49.1.</w:t>
      </w:r>
      <w:r w:rsidRPr="001D7FA9">
        <w:rPr>
          <w:rStyle w:val="TextoNormalCaracter"/>
        </w:rPr>
        <w:t>-</w:t>
      </w:r>
      <w:r>
        <w:t xml:space="preserve"> Sentencia </w:t>
      </w:r>
      <w:hyperlink w:anchor="SENTENCIA_2025_28" w:history="1">
        <w:r w:rsidRPr="001D7FA9">
          <w:rPr>
            <w:rStyle w:val="TextoNormalCaracter"/>
          </w:rPr>
          <w:t>28/2025</w:t>
        </w:r>
      </w:hyperlink>
      <w:r>
        <w:t>, f. 2.</w:t>
      </w:r>
    </w:p>
    <w:p w14:paraId="1DA1ABCE" w14:textId="445DF221" w:rsidR="001D7FA9" w:rsidRDefault="001D7FA9" w:rsidP="001D7FA9">
      <w:pPr>
        <w:pStyle w:val="SangriaIzquierdaArticulo"/>
      </w:pPr>
      <w:r>
        <w:t xml:space="preserve">Autos </w:t>
      </w:r>
      <w:hyperlink w:anchor="AUTO_2025_8" w:history="1">
        <w:r w:rsidRPr="001D7FA9">
          <w:rPr>
            <w:rStyle w:val="TextoNormalCaracter"/>
          </w:rPr>
          <w:t>8/2025</w:t>
        </w:r>
      </w:hyperlink>
      <w:r>
        <w:t xml:space="preserve">, f. 2; </w:t>
      </w:r>
      <w:hyperlink w:anchor="AUTO_2025_67" w:history="1">
        <w:r w:rsidRPr="001D7FA9">
          <w:rPr>
            <w:rStyle w:val="TextoNormalCaracter"/>
          </w:rPr>
          <w:t>67/2025</w:t>
        </w:r>
      </w:hyperlink>
      <w:r>
        <w:t>, f. único.</w:t>
      </w:r>
    </w:p>
    <w:p w14:paraId="14114860" w14:textId="6DA0728D" w:rsidR="001D7FA9" w:rsidRDefault="001D7FA9" w:rsidP="001D7FA9">
      <w:pPr>
        <w:pStyle w:val="SangriaFrancesaArticulo"/>
      </w:pPr>
      <w:r w:rsidRPr="001D7FA9">
        <w:rPr>
          <w:rStyle w:val="TextoNormalNegritaCaracter"/>
        </w:rPr>
        <w:t xml:space="preserve">Artículo 49.1 </w:t>
      </w:r>
      <w:r w:rsidRPr="001D7FA9">
        <w:rPr>
          <w:rStyle w:val="TextoNormalNegritaCursivaCaracter"/>
        </w:rPr>
        <w:t>in fine</w:t>
      </w:r>
      <w:r w:rsidRPr="001D7FA9">
        <w:rPr>
          <w:rStyle w:val="TextoNormalNegritaCaracter"/>
        </w:rPr>
        <w:t>.</w:t>
      </w:r>
      <w:r w:rsidRPr="001D7FA9">
        <w:rPr>
          <w:rStyle w:val="TextoNormalCaracter"/>
        </w:rPr>
        <w:t>-</w:t>
      </w:r>
      <w:r>
        <w:t xml:space="preserve"> Sentencias </w:t>
      </w:r>
      <w:hyperlink w:anchor="SENTENCIA_2025_4" w:history="1">
        <w:r w:rsidRPr="001D7FA9">
          <w:rPr>
            <w:rStyle w:val="TextoNormalCaracter"/>
          </w:rPr>
          <w:t>4/2025</w:t>
        </w:r>
      </w:hyperlink>
      <w:r>
        <w:t xml:space="preserve">, f. 2; </w:t>
      </w:r>
      <w:hyperlink w:anchor="SENTENCIA_2025_10" w:history="1">
        <w:r w:rsidRPr="001D7FA9">
          <w:rPr>
            <w:rStyle w:val="TextoNormalCaracter"/>
          </w:rPr>
          <w:t>10/2025</w:t>
        </w:r>
      </w:hyperlink>
      <w:r>
        <w:t>, f. 2.</w:t>
      </w:r>
    </w:p>
    <w:p w14:paraId="6654E636" w14:textId="72D4FD92"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8" w:history="1">
        <w:r w:rsidRPr="001D7FA9">
          <w:rPr>
            <w:rStyle w:val="TextoNormalCaracter"/>
          </w:rPr>
          <w:t>8/2025</w:t>
        </w:r>
      </w:hyperlink>
      <w:r>
        <w:t xml:space="preserve">, VP; </w:t>
      </w:r>
      <w:hyperlink w:anchor="AUTO_2025_11" w:history="1">
        <w:r w:rsidRPr="001D7FA9">
          <w:rPr>
            <w:rStyle w:val="TextoNormalCaracter"/>
          </w:rPr>
          <w:t>11/2025</w:t>
        </w:r>
      </w:hyperlink>
      <w:r>
        <w:t>, VP.</w:t>
      </w:r>
    </w:p>
    <w:p w14:paraId="4672A2DC" w14:textId="54FAB058" w:rsidR="001D7FA9" w:rsidRDefault="001D7FA9" w:rsidP="001D7FA9">
      <w:pPr>
        <w:pStyle w:val="SangriaFrancesaArticulo"/>
      </w:pPr>
      <w:r w:rsidRPr="001D7FA9">
        <w:rPr>
          <w:rStyle w:val="TextoNormalNegritaCaracter"/>
        </w:rPr>
        <w:t>Artículo 49.4.</w:t>
      </w:r>
      <w:r w:rsidRPr="001D7FA9">
        <w:rPr>
          <w:rStyle w:val="TextoNormalCaracter"/>
        </w:rPr>
        <w:t>-</w:t>
      </w:r>
      <w:r>
        <w:t xml:space="preserve"> Auto </w:t>
      </w:r>
      <w:hyperlink w:anchor="AUTO_2025_16" w:history="1">
        <w:r w:rsidRPr="001D7FA9">
          <w:rPr>
            <w:rStyle w:val="TextoNormalCaracter"/>
          </w:rPr>
          <w:t>16/2025</w:t>
        </w:r>
      </w:hyperlink>
      <w:r>
        <w:t>, f. 2.</w:t>
      </w:r>
    </w:p>
    <w:p w14:paraId="252E6A90" w14:textId="30999CEF" w:rsidR="001D7FA9" w:rsidRDefault="001D7FA9" w:rsidP="001D7FA9">
      <w:pPr>
        <w:pStyle w:val="SangriaFrancesaArticulo"/>
      </w:pPr>
      <w:r w:rsidRPr="001D7FA9">
        <w:rPr>
          <w:rStyle w:val="TextoNormalNegritaCaracter"/>
        </w:rPr>
        <w:t>Artículo 50.1.</w:t>
      </w:r>
      <w:r w:rsidRPr="001D7FA9">
        <w:rPr>
          <w:rStyle w:val="TextoNormalCaracter"/>
        </w:rPr>
        <w:t>-</w:t>
      </w:r>
      <w:r>
        <w:t xml:space="preserve"> Sentencias </w:t>
      </w:r>
      <w:hyperlink w:anchor="SENTENCIA_2025_14" w:history="1">
        <w:r w:rsidRPr="001D7FA9">
          <w:rPr>
            <w:rStyle w:val="TextoNormalCaracter"/>
          </w:rPr>
          <w:t>14/2025</w:t>
        </w:r>
      </w:hyperlink>
      <w:r>
        <w:t xml:space="preserve">, f. 3; </w:t>
      </w:r>
      <w:hyperlink w:anchor="SENTENCIA_2025_15" w:history="1">
        <w:r w:rsidRPr="001D7FA9">
          <w:rPr>
            <w:rStyle w:val="TextoNormalCaracter"/>
          </w:rPr>
          <w:t>15/2025</w:t>
        </w:r>
      </w:hyperlink>
      <w:r>
        <w:t xml:space="preserve">, f. 2; </w:t>
      </w:r>
      <w:hyperlink w:anchor="SENTENCIA_2025_28" w:history="1">
        <w:r w:rsidRPr="001D7FA9">
          <w:rPr>
            <w:rStyle w:val="TextoNormalCaracter"/>
          </w:rPr>
          <w:t>28/2025</w:t>
        </w:r>
      </w:hyperlink>
      <w:r>
        <w:t xml:space="preserve">, f. 2; </w:t>
      </w:r>
      <w:hyperlink w:anchor="SENTENCIA_2025_69" w:history="1">
        <w:r w:rsidRPr="001D7FA9">
          <w:rPr>
            <w:rStyle w:val="TextoNormalCaracter"/>
          </w:rPr>
          <w:t>69/2025</w:t>
        </w:r>
      </w:hyperlink>
      <w:r>
        <w:t xml:space="preserve">, f. 1; </w:t>
      </w:r>
      <w:hyperlink w:anchor="SENTENCIA_2025_100" w:history="1">
        <w:r w:rsidRPr="001D7FA9">
          <w:rPr>
            <w:rStyle w:val="TextoNormalCaracter"/>
          </w:rPr>
          <w:t>100/2025</w:t>
        </w:r>
      </w:hyperlink>
      <w:r>
        <w:t>, f. 2.</w:t>
      </w:r>
    </w:p>
    <w:p w14:paraId="43ACAA36" w14:textId="1F43BE69"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f. único; </w:t>
      </w:r>
      <w:hyperlink w:anchor="AUTO_2025_5" w:history="1">
        <w:r w:rsidRPr="001D7FA9">
          <w:rPr>
            <w:rStyle w:val="TextoNormalCaracter"/>
          </w:rPr>
          <w:t>5/2025</w:t>
        </w:r>
      </w:hyperlink>
      <w:r>
        <w:t xml:space="preserve">, f. único; </w:t>
      </w:r>
      <w:hyperlink w:anchor="AUTO_2025_11" w:history="1">
        <w:r w:rsidRPr="001D7FA9">
          <w:rPr>
            <w:rStyle w:val="TextoNormalCaracter"/>
          </w:rPr>
          <w:t>11/2025</w:t>
        </w:r>
      </w:hyperlink>
      <w:r>
        <w:t xml:space="preserve">, f. único; </w:t>
      </w:r>
      <w:hyperlink w:anchor="AUTO_2025_16" w:history="1">
        <w:r w:rsidRPr="001D7FA9">
          <w:rPr>
            <w:rStyle w:val="TextoNormalCaracter"/>
          </w:rPr>
          <w:t>16/2025</w:t>
        </w:r>
      </w:hyperlink>
      <w:r>
        <w:t>, f. 1.</w:t>
      </w:r>
    </w:p>
    <w:p w14:paraId="67BD54DE" w14:textId="3F6AB680" w:rsidR="001D7FA9" w:rsidRDefault="001D7FA9" w:rsidP="001D7FA9">
      <w:pPr>
        <w:pStyle w:val="SangriaFrancesaArticulo"/>
      </w:pPr>
      <w:r w:rsidRPr="001D7FA9">
        <w:rPr>
          <w:rStyle w:val="TextoNormalNegritaCaracter"/>
        </w:rPr>
        <w:t>Artículo 50.1 a).</w:t>
      </w:r>
      <w:r w:rsidRPr="001D7FA9">
        <w:rPr>
          <w:rStyle w:val="TextoNormalCaracter"/>
        </w:rPr>
        <w:t>-</w:t>
      </w:r>
      <w:r>
        <w:t xml:space="preserve"> Sentencias </w:t>
      </w:r>
      <w:hyperlink w:anchor="SENTENCIA_2025_78" w:history="1">
        <w:r w:rsidRPr="001D7FA9">
          <w:rPr>
            <w:rStyle w:val="TextoNormalCaracter"/>
          </w:rPr>
          <w:t>78/2025</w:t>
        </w:r>
      </w:hyperlink>
      <w:r>
        <w:t xml:space="preserve">, f. único; </w:t>
      </w:r>
      <w:hyperlink w:anchor="SENTENCIA_2025_79" w:history="1">
        <w:r w:rsidRPr="001D7FA9">
          <w:rPr>
            <w:rStyle w:val="TextoNormalCaracter"/>
          </w:rPr>
          <w:t>79/2025</w:t>
        </w:r>
      </w:hyperlink>
      <w:r>
        <w:t xml:space="preserve">, f. 2; </w:t>
      </w:r>
      <w:hyperlink w:anchor="SENTENCIA_2025_106" w:history="1">
        <w:r w:rsidRPr="001D7FA9">
          <w:rPr>
            <w:rStyle w:val="TextoNormalCaracter"/>
          </w:rPr>
          <w:t>106/2025</w:t>
        </w:r>
      </w:hyperlink>
      <w:r>
        <w:t>, f. 2.</w:t>
      </w:r>
    </w:p>
    <w:p w14:paraId="235010FA" w14:textId="25C6349C" w:rsidR="001D7FA9" w:rsidRDefault="001D7FA9" w:rsidP="001D7FA9">
      <w:pPr>
        <w:pStyle w:val="SangriaIzquierdaArticulo"/>
      </w:pPr>
      <w:r>
        <w:t xml:space="preserve">Autos </w:t>
      </w:r>
      <w:hyperlink w:anchor="AUTO_2025_28" w:history="1">
        <w:r w:rsidRPr="001D7FA9">
          <w:rPr>
            <w:rStyle w:val="TextoNormalCaracter"/>
          </w:rPr>
          <w:t>28/2025</w:t>
        </w:r>
      </w:hyperlink>
      <w:r>
        <w:t xml:space="preserve">, f. 4; </w:t>
      </w:r>
      <w:hyperlink w:anchor="AUTO_2025_67" w:history="1">
        <w:r w:rsidRPr="001D7FA9">
          <w:rPr>
            <w:rStyle w:val="TextoNormalCaracter"/>
          </w:rPr>
          <w:t>67/2025</w:t>
        </w:r>
      </w:hyperlink>
      <w:r>
        <w:t>, f. único.</w:t>
      </w:r>
    </w:p>
    <w:p w14:paraId="0FC74462" w14:textId="581B1AED" w:rsidR="001D7FA9" w:rsidRDefault="001D7FA9" w:rsidP="001D7FA9">
      <w:pPr>
        <w:pStyle w:val="SangriaFrancesaArticulo"/>
      </w:pPr>
      <w:r w:rsidRPr="001D7FA9">
        <w:rPr>
          <w:rStyle w:val="TextoNormalNegritaCaracter"/>
        </w:rPr>
        <w:t>Artículo 50.1 b).</w:t>
      </w:r>
      <w:r w:rsidRPr="001D7FA9">
        <w:rPr>
          <w:rStyle w:val="TextoNormalCaracter"/>
        </w:rPr>
        <w:t>-</w:t>
      </w:r>
      <w:r>
        <w:t xml:space="preserve"> Sentencias </w:t>
      </w:r>
      <w:hyperlink w:anchor="SENTENCIA_2025_4" w:history="1">
        <w:r w:rsidRPr="001D7FA9">
          <w:rPr>
            <w:rStyle w:val="TextoNormalCaracter"/>
          </w:rPr>
          <w:t>4/2025</w:t>
        </w:r>
      </w:hyperlink>
      <w:r>
        <w:t xml:space="preserve">, f. 2; </w:t>
      </w:r>
      <w:hyperlink w:anchor="SENTENCIA_2025_10" w:history="1">
        <w:r w:rsidRPr="001D7FA9">
          <w:rPr>
            <w:rStyle w:val="TextoNormalCaracter"/>
          </w:rPr>
          <w:t>10/2025</w:t>
        </w:r>
      </w:hyperlink>
      <w:r>
        <w:t xml:space="preserve">, f. 2; </w:t>
      </w:r>
      <w:hyperlink w:anchor="SENTENCIA_2025_28" w:history="1">
        <w:r w:rsidRPr="001D7FA9">
          <w:rPr>
            <w:rStyle w:val="TextoNormalCaracter"/>
          </w:rPr>
          <w:t>28/2025</w:t>
        </w:r>
      </w:hyperlink>
      <w:r>
        <w:t xml:space="preserve">, f. 2; </w:t>
      </w:r>
      <w:hyperlink w:anchor="SENTENCIA_2025_119" w:history="1">
        <w:r w:rsidRPr="001D7FA9">
          <w:rPr>
            <w:rStyle w:val="TextoNormalCaracter"/>
          </w:rPr>
          <w:t>119/2025</w:t>
        </w:r>
      </w:hyperlink>
      <w:r>
        <w:t>, f. 2.</w:t>
      </w:r>
    </w:p>
    <w:p w14:paraId="6BC97302" w14:textId="7083495E"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8" w:history="1">
        <w:r w:rsidRPr="001D7FA9">
          <w:rPr>
            <w:rStyle w:val="TextoNormalCaracter"/>
          </w:rPr>
          <w:t>8/2025</w:t>
        </w:r>
      </w:hyperlink>
      <w:r>
        <w:t xml:space="preserve">, f. 2, VP; </w:t>
      </w:r>
      <w:hyperlink w:anchor="AUTO_2025_11" w:history="1">
        <w:r w:rsidRPr="001D7FA9">
          <w:rPr>
            <w:rStyle w:val="TextoNormalCaracter"/>
          </w:rPr>
          <w:t>11/2025</w:t>
        </w:r>
      </w:hyperlink>
      <w:r>
        <w:t xml:space="preserve">, VP; </w:t>
      </w:r>
      <w:hyperlink w:anchor="AUTO_2025_28" w:history="1">
        <w:r w:rsidRPr="001D7FA9">
          <w:rPr>
            <w:rStyle w:val="TextoNormalCaracter"/>
          </w:rPr>
          <w:t>28/2025</w:t>
        </w:r>
      </w:hyperlink>
      <w:r>
        <w:t xml:space="preserve">, VP; </w:t>
      </w:r>
      <w:hyperlink w:anchor="AUTO_2025_67" w:history="1">
        <w:r w:rsidRPr="001D7FA9">
          <w:rPr>
            <w:rStyle w:val="TextoNormalCaracter"/>
          </w:rPr>
          <w:t>67/2025</w:t>
        </w:r>
      </w:hyperlink>
      <w:r>
        <w:t>, f. único.</w:t>
      </w:r>
    </w:p>
    <w:p w14:paraId="69DBF669" w14:textId="09AFBF5C" w:rsidR="001D7FA9" w:rsidRDefault="001D7FA9" w:rsidP="001D7FA9">
      <w:pPr>
        <w:pStyle w:val="SangriaFrancesaArticulo"/>
      </w:pPr>
      <w:r w:rsidRPr="001D7FA9">
        <w:rPr>
          <w:rStyle w:val="TextoNormalNegritaCaracter"/>
        </w:rPr>
        <w:t>Artñiculo 1.</w:t>
      </w:r>
      <w:r w:rsidRPr="001D7FA9">
        <w:rPr>
          <w:rStyle w:val="TextoNormalCaracter"/>
        </w:rPr>
        <w:t>-</w:t>
      </w:r>
      <w:r>
        <w:t xml:space="preserve"> Auto </w:t>
      </w:r>
      <w:hyperlink w:anchor="AUTO_2025_31" w:history="1">
        <w:r w:rsidRPr="001D7FA9">
          <w:rPr>
            <w:rStyle w:val="TextoNormalCaracter"/>
          </w:rPr>
          <w:t>31/2025</w:t>
        </w:r>
      </w:hyperlink>
      <w:r>
        <w:t>, f. 2.</w:t>
      </w:r>
    </w:p>
    <w:p w14:paraId="4C837BAE" w14:textId="0D8BB932" w:rsidR="001D7FA9" w:rsidRDefault="001D7FA9" w:rsidP="001D7FA9">
      <w:pPr>
        <w:pStyle w:val="SangriaFrancesaArticulo"/>
      </w:pPr>
      <w:r w:rsidRPr="001D7FA9">
        <w:rPr>
          <w:rStyle w:val="TextoNormalNegritaCaracter"/>
        </w:rPr>
        <w:t>Artículo 50.4.</w:t>
      </w:r>
      <w:r w:rsidRPr="001D7FA9">
        <w:rPr>
          <w:rStyle w:val="TextoNormalCaracter"/>
        </w:rPr>
        <w:t>-</w:t>
      </w:r>
      <w:r>
        <w:t xml:space="preserve"> Auto </w:t>
      </w:r>
      <w:hyperlink w:anchor="AUTO_2025_16" w:history="1">
        <w:r w:rsidRPr="001D7FA9">
          <w:rPr>
            <w:rStyle w:val="TextoNormalCaracter"/>
          </w:rPr>
          <w:t>16/2025</w:t>
        </w:r>
      </w:hyperlink>
      <w:r>
        <w:t>, f. 2.</w:t>
      </w:r>
    </w:p>
    <w:p w14:paraId="49C3CE47" w14:textId="439495C7" w:rsidR="001D7FA9" w:rsidRDefault="001D7FA9" w:rsidP="001D7FA9">
      <w:pPr>
        <w:pStyle w:val="SangriaFrancesaArticulo"/>
      </w:pPr>
      <w:r w:rsidRPr="001D7FA9">
        <w:rPr>
          <w:rStyle w:val="TextoNormalNegritaCaracter"/>
        </w:rPr>
        <w:t>Artículo 51.</w:t>
      </w:r>
      <w:r w:rsidRPr="001D7FA9">
        <w:rPr>
          <w:rStyle w:val="TextoNormalCaracter"/>
        </w:rPr>
        <w:t>-</w:t>
      </w:r>
      <w:r>
        <w:t xml:space="preserve"> Auto </w:t>
      </w:r>
      <w:hyperlink w:anchor="AUTO_2025_31" w:history="1">
        <w:r w:rsidRPr="001D7FA9">
          <w:rPr>
            <w:rStyle w:val="TextoNormalCaracter"/>
          </w:rPr>
          <w:t>31/2025</w:t>
        </w:r>
      </w:hyperlink>
      <w:r>
        <w:t>, VP.</w:t>
      </w:r>
    </w:p>
    <w:p w14:paraId="07720A01" w14:textId="5ADAFFE9" w:rsidR="001D7FA9" w:rsidRDefault="001D7FA9" w:rsidP="001D7FA9">
      <w:pPr>
        <w:pStyle w:val="SangriaFrancesaArticulo"/>
      </w:pPr>
      <w:r w:rsidRPr="001D7FA9">
        <w:rPr>
          <w:rStyle w:val="TextoNormalNegritaCaracter"/>
        </w:rPr>
        <w:t>Artículo 52.</w:t>
      </w:r>
      <w:r w:rsidRPr="001D7FA9">
        <w:rPr>
          <w:rStyle w:val="TextoNormalCaracter"/>
        </w:rPr>
        <w:t>-</w:t>
      </w:r>
      <w:r>
        <w:t xml:space="preserve"> Sentencias </w:t>
      </w:r>
      <w:hyperlink w:anchor="SENTENCIA_2025_4" w:history="1">
        <w:r w:rsidRPr="001D7FA9">
          <w:rPr>
            <w:rStyle w:val="TextoNormalCaracter"/>
          </w:rPr>
          <w:t>4/2025</w:t>
        </w:r>
      </w:hyperlink>
      <w:r>
        <w:t xml:space="preserve">, f. 2; </w:t>
      </w:r>
      <w:hyperlink w:anchor="SENTENCIA_2025_10" w:history="1">
        <w:r w:rsidRPr="001D7FA9">
          <w:rPr>
            <w:rStyle w:val="TextoNormalCaracter"/>
          </w:rPr>
          <w:t>10/2025</w:t>
        </w:r>
      </w:hyperlink>
      <w:r>
        <w:t xml:space="preserve">, f. 2; </w:t>
      </w:r>
      <w:hyperlink w:anchor="SENTENCIA_2025_105" w:history="1">
        <w:r w:rsidRPr="001D7FA9">
          <w:rPr>
            <w:rStyle w:val="TextoNormalCaracter"/>
          </w:rPr>
          <w:t>105/2025</w:t>
        </w:r>
      </w:hyperlink>
      <w:r>
        <w:t>, f. 1.</w:t>
      </w:r>
    </w:p>
    <w:p w14:paraId="2B5B40B6" w14:textId="18F08536" w:rsidR="001D7FA9" w:rsidRDefault="001D7FA9" w:rsidP="001D7FA9">
      <w:pPr>
        <w:pStyle w:val="SangriaFrancesaArticulo"/>
      </w:pPr>
      <w:r w:rsidRPr="001D7FA9">
        <w:rPr>
          <w:rStyle w:val="TextoNormalNegritaCaracter"/>
        </w:rPr>
        <w:t>Artículo 52.1.</w:t>
      </w:r>
      <w:r w:rsidRPr="001D7FA9">
        <w:rPr>
          <w:rStyle w:val="TextoNormalCaracter"/>
        </w:rPr>
        <w:t>-</w:t>
      </w:r>
      <w:r>
        <w:t xml:space="preserve"> Sentencia </w:t>
      </w:r>
      <w:hyperlink w:anchor="SENTENCIA_2025_106" w:history="1">
        <w:r w:rsidRPr="001D7FA9">
          <w:rPr>
            <w:rStyle w:val="TextoNormalCaracter"/>
          </w:rPr>
          <w:t>106/2025</w:t>
        </w:r>
      </w:hyperlink>
      <w:r>
        <w:t>, f. 2.</w:t>
      </w:r>
    </w:p>
    <w:p w14:paraId="71F970C0" w14:textId="6F320F83" w:rsidR="001D7FA9" w:rsidRDefault="001D7FA9" w:rsidP="001D7FA9">
      <w:pPr>
        <w:pStyle w:val="SangriaIzquierdaArticulo"/>
      </w:pPr>
      <w:r>
        <w:t xml:space="preserve">Auto </w:t>
      </w:r>
      <w:hyperlink w:anchor="AUTO_2025_31" w:history="1">
        <w:r w:rsidRPr="001D7FA9">
          <w:rPr>
            <w:rStyle w:val="TextoNormalCaracter"/>
          </w:rPr>
          <w:t>31/2025</w:t>
        </w:r>
      </w:hyperlink>
      <w:r>
        <w:t>, f. 1, VP.</w:t>
      </w:r>
    </w:p>
    <w:p w14:paraId="11C71F3F" w14:textId="2E486BE4" w:rsidR="001D7FA9" w:rsidRDefault="001D7FA9" w:rsidP="001D7FA9">
      <w:pPr>
        <w:pStyle w:val="SangriaFrancesaArticulo"/>
      </w:pPr>
      <w:r w:rsidRPr="001D7FA9">
        <w:rPr>
          <w:rStyle w:val="TextoNormalNegritaCaracter"/>
        </w:rPr>
        <w:t>Artículo 52.2.</w:t>
      </w:r>
      <w:r w:rsidRPr="001D7FA9">
        <w:rPr>
          <w:rStyle w:val="TextoNormalCaracter"/>
        </w:rPr>
        <w:t>-</w:t>
      </w:r>
      <w:r>
        <w:t xml:space="preserve"> Auto </w:t>
      </w:r>
      <w:hyperlink w:anchor="AUTO_2025_18" w:history="1">
        <w:r w:rsidRPr="001D7FA9">
          <w:rPr>
            <w:rStyle w:val="TextoNormalCaracter"/>
          </w:rPr>
          <w:t>18/2025</w:t>
        </w:r>
      </w:hyperlink>
      <w:r>
        <w:t>, ff. 1, 2.</w:t>
      </w:r>
    </w:p>
    <w:p w14:paraId="3E4E85EC" w14:textId="7D89115E" w:rsidR="001D7FA9" w:rsidRDefault="001D7FA9" w:rsidP="001D7FA9">
      <w:pPr>
        <w:pStyle w:val="SangriaFrancesaArticulo"/>
      </w:pPr>
      <w:r w:rsidRPr="001D7FA9">
        <w:rPr>
          <w:rStyle w:val="TextoNormalNegritaCaracter"/>
        </w:rPr>
        <w:t>Artículo 53.</w:t>
      </w:r>
      <w:r w:rsidRPr="001D7FA9">
        <w:rPr>
          <w:rStyle w:val="TextoNormalCaracter"/>
        </w:rPr>
        <w:t>-</w:t>
      </w:r>
      <w:r>
        <w:t xml:space="preserve"> Sentencias </w:t>
      </w:r>
      <w:hyperlink w:anchor="SENTENCIA_2025_11" w:history="1">
        <w:r w:rsidRPr="001D7FA9">
          <w:rPr>
            <w:rStyle w:val="TextoNormalCaracter"/>
          </w:rPr>
          <w:t>11/2025</w:t>
        </w:r>
      </w:hyperlink>
      <w:r>
        <w:t xml:space="preserve">, f. 2; </w:t>
      </w:r>
      <w:hyperlink w:anchor="SENTENCIA_2025_106" w:history="1">
        <w:r w:rsidRPr="001D7FA9">
          <w:rPr>
            <w:rStyle w:val="TextoNormalCaracter"/>
          </w:rPr>
          <w:t>106/2025</w:t>
        </w:r>
      </w:hyperlink>
      <w:r>
        <w:t>, f. 2.</w:t>
      </w:r>
    </w:p>
    <w:p w14:paraId="23B0259E" w14:textId="3011C479" w:rsidR="001D7FA9" w:rsidRDefault="001D7FA9" w:rsidP="001D7FA9">
      <w:pPr>
        <w:pStyle w:val="SangriaFrancesaArticulo"/>
      </w:pPr>
      <w:r w:rsidRPr="001D7FA9">
        <w:rPr>
          <w:rStyle w:val="TextoNormalNegritaCaracter"/>
        </w:rPr>
        <w:t>Artículo 53 a).</w:t>
      </w:r>
      <w:r w:rsidRPr="001D7FA9">
        <w:rPr>
          <w:rStyle w:val="TextoNormalCaracter"/>
        </w:rPr>
        <w:t>-</w:t>
      </w:r>
      <w:r>
        <w:t xml:space="preserve"> Sentencias </w:t>
      </w:r>
      <w:hyperlink w:anchor="SENTENCIA_2025_31" w:history="1">
        <w:r w:rsidRPr="001D7FA9">
          <w:rPr>
            <w:rStyle w:val="TextoNormalCaracter"/>
          </w:rPr>
          <w:t>31/2025</w:t>
        </w:r>
      </w:hyperlink>
      <w:r>
        <w:t xml:space="preserve">, f. 6; </w:t>
      </w:r>
      <w:hyperlink w:anchor="SENTENCIA_2025_49" w:history="1">
        <w:r w:rsidRPr="001D7FA9">
          <w:rPr>
            <w:rStyle w:val="TextoNormalCaracter"/>
          </w:rPr>
          <w:t>49/2025</w:t>
        </w:r>
      </w:hyperlink>
      <w:r>
        <w:t xml:space="preserve">, f. único; </w:t>
      </w:r>
      <w:hyperlink w:anchor="SENTENCIA_2025_111" w:history="1">
        <w:r w:rsidRPr="001D7FA9">
          <w:rPr>
            <w:rStyle w:val="TextoNormalCaracter"/>
          </w:rPr>
          <w:t>111/2025</w:t>
        </w:r>
      </w:hyperlink>
      <w:r>
        <w:t>, f. 3.</w:t>
      </w:r>
    </w:p>
    <w:p w14:paraId="44C58DD4" w14:textId="0D706651" w:rsidR="001D7FA9" w:rsidRDefault="001D7FA9" w:rsidP="001D7FA9">
      <w:pPr>
        <w:pStyle w:val="SangriaFrancesaArticulo"/>
      </w:pPr>
      <w:r w:rsidRPr="001D7FA9">
        <w:rPr>
          <w:rStyle w:val="TextoNormalNegritaCaracter"/>
        </w:rPr>
        <w:t>Artículo 55.1.</w:t>
      </w:r>
      <w:r w:rsidRPr="001D7FA9">
        <w:rPr>
          <w:rStyle w:val="TextoNormalCaracter"/>
        </w:rPr>
        <w:t>-</w:t>
      </w:r>
      <w:r>
        <w:t xml:space="preserve"> Sentencias </w:t>
      </w:r>
      <w:hyperlink w:anchor="SENTENCIA_2025_31" w:history="1">
        <w:r w:rsidRPr="001D7FA9">
          <w:rPr>
            <w:rStyle w:val="TextoNormalCaracter"/>
          </w:rPr>
          <w:t>31/2025</w:t>
        </w:r>
      </w:hyperlink>
      <w:r>
        <w:t xml:space="preserve">, f. 6; </w:t>
      </w:r>
      <w:hyperlink w:anchor="SENTENCIA_2025_49" w:history="1">
        <w:r w:rsidRPr="001D7FA9">
          <w:rPr>
            <w:rStyle w:val="TextoNormalCaracter"/>
          </w:rPr>
          <w:t>49/2025</w:t>
        </w:r>
      </w:hyperlink>
      <w:r>
        <w:t>, f. único.</w:t>
      </w:r>
    </w:p>
    <w:p w14:paraId="51E84611" w14:textId="5C8C4A62" w:rsidR="001D7FA9" w:rsidRDefault="001D7FA9" w:rsidP="001D7FA9">
      <w:pPr>
        <w:pStyle w:val="SangriaFrancesaArticulo"/>
      </w:pPr>
      <w:r w:rsidRPr="001D7FA9">
        <w:rPr>
          <w:rStyle w:val="TextoNormalNegritaCaracter"/>
        </w:rPr>
        <w:t>Artículo 55.1 c).</w:t>
      </w:r>
      <w:r w:rsidRPr="001D7FA9">
        <w:rPr>
          <w:rStyle w:val="TextoNormalCaracter"/>
        </w:rPr>
        <w:t>-</w:t>
      </w:r>
      <w:r>
        <w:t xml:space="preserve"> Sentencia </w:t>
      </w:r>
      <w:hyperlink w:anchor="SENTENCIA_2025_126" w:history="1">
        <w:r w:rsidRPr="001D7FA9">
          <w:rPr>
            <w:rStyle w:val="TextoNormalCaracter"/>
          </w:rPr>
          <w:t>126/2025</w:t>
        </w:r>
      </w:hyperlink>
      <w:r>
        <w:t>, f. 9.</w:t>
      </w:r>
    </w:p>
    <w:p w14:paraId="5C50EEAB" w14:textId="4BD31CB0" w:rsidR="001D7FA9" w:rsidRDefault="001D7FA9" w:rsidP="001D7FA9">
      <w:pPr>
        <w:pStyle w:val="SangriaFrancesaArticulo"/>
      </w:pPr>
      <w:r w:rsidRPr="001D7FA9">
        <w:rPr>
          <w:rStyle w:val="TextoNormalNegritaCaracter"/>
        </w:rPr>
        <w:t>Artículo 55.2.</w:t>
      </w:r>
      <w:r w:rsidRPr="001D7FA9">
        <w:rPr>
          <w:rStyle w:val="TextoNormalCaracter"/>
        </w:rPr>
        <w:t>-</w:t>
      </w:r>
      <w:r>
        <w:t xml:space="preserve"> Sentencia </w:t>
      </w:r>
      <w:hyperlink w:anchor="SENTENCIA_2025_14" w:history="1">
        <w:r w:rsidRPr="001D7FA9">
          <w:rPr>
            <w:rStyle w:val="TextoNormalCaracter"/>
          </w:rPr>
          <w:t>14/2025</w:t>
        </w:r>
      </w:hyperlink>
      <w:r>
        <w:t>, VP.</w:t>
      </w:r>
    </w:p>
    <w:p w14:paraId="5315A0D1" w14:textId="7930A577" w:rsidR="001D7FA9" w:rsidRDefault="001D7FA9" w:rsidP="001D7FA9">
      <w:pPr>
        <w:pStyle w:val="SangriaFrancesaArticulo"/>
      </w:pPr>
      <w:r w:rsidRPr="001D7FA9">
        <w:rPr>
          <w:rStyle w:val="TextoNormalNegritaCaracter"/>
        </w:rPr>
        <w:t>Artículo 55.2</w:t>
      </w:r>
      <w:r>
        <w:t xml:space="preserve"> (redactado por la Ley Orgánica 6/2007, de 24 de mayo)</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II.</w:t>
      </w:r>
    </w:p>
    <w:p w14:paraId="7E3B23B4" w14:textId="679546F0" w:rsidR="001D7FA9" w:rsidRDefault="001D7FA9" w:rsidP="001D7FA9">
      <w:pPr>
        <w:pStyle w:val="SangriaFrancesaArticulo"/>
      </w:pPr>
      <w:r w:rsidRPr="001D7FA9">
        <w:rPr>
          <w:rStyle w:val="TextoNormalNegritaCaracter"/>
        </w:rPr>
        <w:t>Artículo 56.</w:t>
      </w:r>
      <w:r w:rsidRPr="001D7FA9">
        <w:rPr>
          <w:rStyle w:val="TextoNormalCaracter"/>
        </w:rPr>
        <w:t>-</w:t>
      </w:r>
      <w:r>
        <w:t xml:space="preserve"> Autos </w:t>
      </w:r>
      <w:hyperlink w:anchor="AUTO_2025_9" w:history="1">
        <w:r w:rsidRPr="001D7FA9">
          <w:rPr>
            <w:rStyle w:val="TextoNormalCaracter"/>
          </w:rPr>
          <w:t>9/2025</w:t>
        </w:r>
      </w:hyperlink>
      <w:r>
        <w:t xml:space="preserve">, ff. 1, 2; </w:t>
      </w:r>
      <w:hyperlink w:anchor="AUTO_2025_18" w:history="1">
        <w:r w:rsidRPr="001D7FA9">
          <w:rPr>
            <w:rStyle w:val="TextoNormalCaracter"/>
          </w:rPr>
          <w:t>18/2025</w:t>
        </w:r>
      </w:hyperlink>
      <w:r>
        <w:t xml:space="preserve">, f. 2; </w:t>
      </w:r>
      <w:hyperlink w:anchor="AUTO_2025_20" w:history="1">
        <w:r w:rsidRPr="001D7FA9">
          <w:rPr>
            <w:rStyle w:val="TextoNormalCaracter"/>
          </w:rPr>
          <w:t>20/2025</w:t>
        </w:r>
      </w:hyperlink>
      <w:r>
        <w:t xml:space="preserve">, f. 5; </w:t>
      </w:r>
      <w:hyperlink w:anchor="AUTO_2025_21" w:history="1">
        <w:r w:rsidRPr="001D7FA9">
          <w:rPr>
            <w:rStyle w:val="TextoNormalCaracter"/>
          </w:rPr>
          <w:t>21/2025</w:t>
        </w:r>
      </w:hyperlink>
      <w:r>
        <w:t>, f. 2.</w:t>
      </w:r>
    </w:p>
    <w:p w14:paraId="19886EDA" w14:textId="78C5C2E5" w:rsidR="001D7FA9" w:rsidRDefault="001D7FA9" w:rsidP="001D7FA9">
      <w:pPr>
        <w:pStyle w:val="SangriaFrancesaArticulo"/>
      </w:pPr>
      <w:r w:rsidRPr="001D7FA9">
        <w:rPr>
          <w:rStyle w:val="TextoNormalNegritaCaracter"/>
        </w:rPr>
        <w:t>Artículo 56.1.</w:t>
      </w:r>
      <w:r w:rsidRPr="001D7FA9">
        <w:rPr>
          <w:rStyle w:val="TextoNormalCaracter"/>
        </w:rPr>
        <w:t>-</w:t>
      </w:r>
      <w:r>
        <w:t xml:space="preserve"> Auto </w:t>
      </w:r>
      <w:hyperlink w:anchor="AUTO_2025_18" w:history="1">
        <w:r w:rsidRPr="001D7FA9">
          <w:rPr>
            <w:rStyle w:val="TextoNormalCaracter"/>
          </w:rPr>
          <w:t>18/2025</w:t>
        </w:r>
      </w:hyperlink>
      <w:r>
        <w:t>, ff. 1, 2.</w:t>
      </w:r>
    </w:p>
    <w:p w14:paraId="679574A8" w14:textId="12C42733" w:rsidR="001D7FA9" w:rsidRDefault="001D7FA9" w:rsidP="001D7FA9">
      <w:pPr>
        <w:pStyle w:val="SangriaFrancesaArticulo"/>
      </w:pPr>
      <w:r w:rsidRPr="001D7FA9">
        <w:rPr>
          <w:rStyle w:val="TextoNormalNegritaCaracter"/>
        </w:rPr>
        <w:t>Artículo 56.2.</w:t>
      </w:r>
      <w:r w:rsidRPr="001D7FA9">
        <w:rPr>
          <w:rStyle w:val="TextoNormalCaracter"/>
        </w:rPr>
        <w:t>-</w:t>
      </w:r>
      <w:r>
        <w:t xml:space="preserve"> Auto </w:t>
      </w:r>
      <w:hyperlink w:anchor="AUTO_2025_21" w:history="1">
        <w:r w:rsidRPr="001D7FA9">
          <w:rPr>
            <w:rStyle w:val="TextoNormalCaracter"/>
          </w:rPr>
          <w:t>21/2025</w:t>
        </w:r>
      </w:hyperlink>
      <w:r>
        <w:t>, f. 2.</w:t>
      </w:r>
    </w:p>
    <w:p w14:paraId="054DEAF9" w14:textId="104F5DF9" w:rsidR="001D7FA9" w:rsidRDefault="001D7FA9" w:rsidP="001D7FA9">
      <w:pPr>
        <w:pStyle w:val="SangriaFrancesaArticulo"/>
      </w:pPr>
      <w:r w:rsidRPr="001D7FA9">
        <w:rPr>
          <w:rStyle w:val="TextoNormalNegritaCaracter"/>
        </w:rPr>
        <w:t>Artículo 56.6.</w:t>
      </w:r>
      <w:r w:rsidRPr="001D7FA9">
        <w:rPr>
          <w:rStyle w:val="TextoNormalCaracter"/>
        </w:rPr>
        <w:t>-</w:t>
      </w:r>
      <w:r>
        <w:t xml:space="preserve"> Autos </w:t>
      </w:r>
      <w:hyperlink w:anchor="AUTO_2025_5" w:history="1">
        <w:r w:rsidRPr="001D7FA9">
          <w:rPr>
            <w:rStyle w:val="TextoNormalCaracter"/>
          </w:rPr>
          <w:t>5/2025</w:t>
        </w:r>
      </w:hyperlink>
      <w:r>
        <w:t xml:space="preserve">, f. único; </w:t>
      </w:r>
      <w:hyperlink w:anchor="AUTO_2025_21" w:history="1">
        <w:r w:rsidRPr="001D7FA9">
          <w:rPr>
            <w:rStyle w:val="TextoNormalCaracter"/>
          </w:rPr>
          <w:t>21/2025</w:t>
        </w:r>
      </w:hyperlink>
      <w:r>
        <w:t>, f. 1.</w:t>
      </w:r>
    </w:p>
    <w:p w14:paraId="3A68AB62" w14:textId="3CDE8AB7" w:rsidR="001D7FA9" w:rsidRDefault="001D7FA9" w:rsidP="001D7FA9">
      <w:pPr>
        <w:pStyle w:val="SangriaFrancesaArticulo"/>
      </w:pPr>
      <w:r w:rsidRPr="001D7FA9">
        <w:rPr>
          <w:rStyle w:val="TextoNormalNegritaCaracter"/>
        </w:rPr>
        <w:t>Artículo 63.3.</w:t>
      </w:r>
      <w:r w:rsidRPr="001D7FA9">
        <w:rPr>
          <w:rStyle w:val="TextoNormalCaracter"/>
        </w:rPr>
        <w:t>-</w:t>
      </w:r>
      <w:r>
        <w:t xml:space="preserve"> Sentencia </w:t>
      </w:r>
      <w:hyperlink w:anchor="SENTENCIA_2025_82" w:history="1">
        <w:r w:rsidRPr="001D7FA9">
          <w:rPr>
            <w:rStyle w:val="TextoNormalCaracter"/>
          </w:rPr>
          <w:t>82/2025</w:t>
        </w:r>
      </w:hyperlink>
      <w:r>
        <w:t>, f. 2.</w:t>
      </w:r>
    </w:p>
    <w:p w14:paraId="6DCF834D" w14:textId="58114BA4" w:rsidR="001D7FA9" w:rsidRDefault="001D7FA9" w:rsidP="001D7FA9">
      <w:pPr>
        <w:pStyle w:val="SangriaFrancesaArticulo"/>
      </w:pPr>
      <w:r w:rsidRPr="001D7FA9">
        <w:rPr>
          <w:rStyle w:val="TextoNormalNegritaCaracter"/>
        </w:rPr>
        <w:t>Artículo 65.2.</w:t>
      </w:r>
      <w:r w:rsidRPr="001D7FA9">
        <w:rPr>
          <w:rStyle w:val="TextoNormalCaracter"/>
        </w:rPr>
        <w:t>-</w:t>
      </w:r>
      <w:r>
        <w:t xml:space="preserve"> Auto </w:t>
      </w:r>
      <w:hyperlink w:anchor="AUTO_2025_64" w:history="1">
        <w:r w:rsidRPr="001D7FA9">
          <w:rPr>
            <w:rStyle w:val="TextoNormalCaracter"/>
          </w:rPr>
          <w:t>64/2025</w:t>
        </w:r>
      </w:hyperlink>
      <w:r>
        <w:t>, VP III.</w:t>
      </w:r>
    </w:p>
    <w:p w14:paraId="6D469704" w14:textId="5581933F" w:rsidR="001D7FA9" w:rsidRDefault="001D7FA9" w:rsidP="001D7FA9">
      <w:pPr>
        <w:pStyle w:val="SangriaFrancesaArticulo"/>
      </w:pPr>
      <w:r w:rsidRPr="001D7FA9">
        <w:rPr>
          <w:rStyle w:val="TextoNormalNegritaCaracter"/>
        </w:rPr>
        <w:t>Artículo 76.</w:t>
      </w:r>
      <w:r w:rsidRPr="001D7FA9">
        <w:rPr>
          <w:rStyle w:val="TextoNormalCaracter"/>
        </w:rPr>
        <w:t>-</w:t>
      </w:r>
      <w:r>
        <w:t xml:space="preserve"> Sentencia </w:t>
      </w:r>
      <w:hyperlink w:anchor="SENTENCIA_2025_43" w:history="1">
        <w:r w:rsidRPr="001D7FA9">
          <w:rPr>
            <w:rStyle w:val="TextoNormalCaracter"/>
          </w:rPr>
          <w:t>43/2025</w:t>
        </w:r>
      </w:hyperlink>
      <w:r>
        <w:t>, ff. 1, 2.</w:t>
      </w:r>
    </w:p>
    <w:p w14:paraId="58317276" w14:textId="6ECF9BE1" w:rsidR="001D7FA9" w:rsidRDefault="001D7FA9" w:rsidP="001D7FA9">
      <w:pPr>
        <w:pStyle w:val="SangriaFrancesaArticulo"/>
      </w:pPr>
      <w:r w:rsidRPr="001D7FA9">
        <w:rPr>
          <w:rStyle w:val="TextoNormalNegritaCaracter"/>
        </w:rPr>
        <w:t>Artículo 77.</w:t>
      </w:r>
      <w:r w:rsidRPr="001D7FA9">
        <w:rPr>
          <w:rStyle w:val="TextoNormalCaracter"/>
        </w:rPr>
        <w:t>-</w:t>
      </w:r>
      <w:r>
        <w:t xml:space="preserve"> Sentencia </w:t>
      </w:r>
      <w:hyperlink w:anchor="SENTENCIA_2025_43" w:history="1">
        <w:r w:rsidRPr="001D7FA9">
          <w:rPr>
            <w:rStyle w:val="TextoNormalCaracter"/>
          </w:rPr>
          <w:t>43/2025</w:t>
        </w:r>
      </w:hyperlink>
      <w:r>
        <w:t>, ff. 1, 2.</w:t>
      </w:r>
    </w:p>
    <w:p w14:paraId="0384A8A0" w14:textId="0E969841" w:rsidR="001D7FA9" w:rsidRDefault="001D7FA9" w:rsidP="001D7FA9">
      <w:pPr>
        <w:pStyle w:val="SangriaFrancesaArticulo"/>
      </w:pPr>
      <w:r w:rsidRPr="001D7FA9">
        <w:rPr>
          <w:rStyle w:val="TextoNormalNegritaCaracter"/>
        </w:rPr>
        <w:t>Artículo 80.</w:t>
      </w:r>
      <w:r w:rsidRPr="001D7FA9">
        <w:rPr>
          <w:rStyle w:val="TextoNormalCaracter"/>
        </w:rPr>
        <w:t>-</w:t>
      </w:r>
      <w:r>
        <w:t xml:space="preserve"> Autos </w:t>
      </w:r>
      <w:hyperlink w:anchor="AUTO_2025_1" w:history="1">
        <w:r w:rsidRPr="001D7FA9">
          <w:rPr>
            <w:rStyle w:val="TextoNormalCaracter"/>
          </w:rPr>
          <w:t>1/2025</w:t>
        </w:r>
      </w:hyperlink>
      <w:r>
        <w:t xml:space="preserve">, f. único; </w:t>
      </w:r>
      <w:hyperlink w:anchor="AUTO_2025_2" w:history="1">
        <w:r w:rsidRPr="001D7FA9">
          <w:rPr>
            <w:rStyle w:val="TextoNormalCaracter"/>
          </w:rPr>
          <w:t>2/2025</w:t>
        </w:r>
      </w:hyperlink>
      <w:r>
        <w:t xml:space="preserve">, f. único; </w:t>
      </w:r>
      <w:hyperlink w:anchor="AUTO_2025_6" w:history="1">
        <w:r w:rsidRPr="001D7FA9">
          <w:rPr>
            <w:rStyle w:val="TextoNormalCaracter"/>
          </w:rPr>
          <w:t>6/2025</w:t>
        </w:r>
      </w:hyperlink>
      <w:r>
        <w:t xml:space="preserve">, ff. 1, 3, VP II; </w:t>
      </w:r>
      <w:hyperlink w:anchor="AUTO_2025_12" w:history="1">
        <w:r w:rsidRPr="001D7FA9">
          <w:rPr>
            <w:rStyle w:val="TextoNormalCaracter"/>
          </w:rPr>
          <w:t>12/2025</w:t>
        </w:r>
      </w:hyperlink>
      <w:r>
        <w:t xml:space="preserve">, VP II, VP III; </w:t>
      </w:r>
      <w:hyperlink w:anchor="AUTO_2025_14" w:history="1">
        <w:r w:rsidRPr="001D7FA9">
          <w:rPr>
            <w:rStyle w:val="TextoNormalCaracter"/>
          </w:rPr>
          <w:t>14/2025</w:t>
        </w:r>
      </w:hyperlink>
      <w:r>
        <w:t xml:space="preserve">, f. 2; </w:t>
      </w:r>
      <w:hyperlink w:anchor="AUTO_2025_15" w:history="1">
        <w:r w:rsidRPr="001D7FA9">
          <w:rPr>
            <w:rStyle w:val="TextoNormalCaracter"/>
          </w:rPr>
          <w:t>15/2025</w:t>
        </w:r>
      </w:hyperlink>
      <w:r>
        <w:t xml:space="preserve">, f. 2, VP; </w:t>
      </w:r>
      <w:hyperlink w:anchor="AUTO_2025_16" w:history="1">
        <w:r w:rsidRPr="001D7FA9">
          <w:rPr>
            <w:rStyle w:val="TextoNormalCaracter"/>
          </w:rPr>
          <w:t>16/2025</w:t>
        </w:r>
      </w:hyperlink>
      <w:r>
        <w:t xml:space="preserve">, f. 1; </w:t>
      </w:r>
      <w:hyperlink w:anchor="AUTO_2025_17" w:history="1">
        <w:r w:rsidRPr="001D7FA9">
          <w:rPr>
            <w:rStyle w:val="TextoNormalCaracter"/>
          </w:rPr>
          <w:t>17/2025</w:t>
        </w:r>
      </w:hyperlink>
      <w:r>
        <w:t xml:space="preserve">, f. 2; </w:t>
      </w:r>
      <w:hyperlink w:anchor="AUTO_2025_23" w:history="1">
        <w:r w:rsidRPr="001D7FA9">
          <w:rPr>
            <w:rStyle w:val="TextoNormalCaracter"/>
          </w:rPr>
          <w:t>23/2025</w:t>
        </w:r>
      </w:hyperlink>
      <w:r>
        <w:t xml:space="preserve">, f. 2; </w:t>
      </w:r>
      <w:hyperlink w:anchor="AUTO_2025_25" w:history="1">
        <w:r w:rsidRPr="001D7FA9">
          <w:rPr>
            <w:rStyle w:val="TextoNormalCaracter"/>
          </w:rPr>
          <w:t>25/2025</w:t>
        </w:r>
      </w:hyperlink>
      <w:r>
        <w:t xml:space="preserve">, f. 2; </w:t>
      </w:r>
      <w:hyperlink w:anchor="AUTO_2025_26" w:history="1">
        <w:r w:rsidRPr="001D7FA9">
          <w:rPr>
            <w:rStyle w:val="TextoNormalCaracter"/>
          </w:rPr>
          <w:t>26/2025</w:t>
        </w:r>
      </w:hyperlink>
      <w:r>
        <w:t xml:space="preserve">, f. 2; </w:t>
      </w:r>
      <w:hyperlink w:anchor="AUTO_2025_27" w:history="1">
        <w:r w:rsidRPr="001D7FA9">
          <w:rPr>
            <w:rStyle w:val="TextoNormalCaracter"/>
          </w:rPr>
          <w:t>27/2025</w:t>
        </w:r>
      </w:hyperlink>
      <w:r>
        <w:t xml:space="preserve">, f. 2; </w:t>
      </w:r>
      <w:hyperlink w:anchor="AUTO_2025_30" w:history="1">
        <w:r w:rsidRPr="001D7FA9">
          <w:rPr>
            <w:rStyle w:val="TextoNormalCaracter"/>
          </w:rPr>
          <w:t>30/2025</w:t>
        </w:r>
      </w:hyperlink>
      <w:r>
        <w:t xml:space="preserve">, f. único; </w:t>
      </w:r>
      <w:hyperlink w:anchor="AUTO_2025_31" w:history="1">
        <w:r w:rsidRPr="001D7FA9">
          <w:rPr>
            <w:rStyle w:val="TextoNormalCaracter"/>
          </w:rPr>
          <w:t>31/2025</w:t>
        </w:r>
      </w:hyperlink>
      <w:r>
        <w:t xml:space="preserve">, ff. 1 a 3, VP; </w:t>
      </w:r>
      <w:hyperlink w:anchor="AUTO_2025_35" w:history="1">
        <w:r w:rsidRPr="001D7FA9">
          <w:rPr>
            <w:rStyle w:val="TextoNormalCaracter"/>
          </w:rPr>
          <w:t>35/2025</w:t>
        </w:r>
      </w:hyperlink>
      <w:r>
        <w:t xml:space="preserve">, ff. 1, 4, VP I, VP II; </w:t>
      </w:r>
      <w:hyperlink w:anchor="AUTO_2025_66" w:history="1">
        <w:r w:rsidRPr="001D7FA9">
          <w:rPr>
            <w:rStyle w:val="TextoNormalCaracter"/>
          </w:rPr>
          <w:t>66/2025</w:t>
        </w:r>
      </w:hyperlink>
      <w:r>
        <w:t>, f. único.</w:t>
      </w:r>
    </w:p>
    <w:p w14:paraId="12CCAE79" w14:textId="39071F7E" w:rsidR="001D7FA9" w:rsidRDefault="001D7FA9" w:rsidP="001D7FA9">
      <w:pPr>
        <w:pStyle w:val="SangriaFrancesaArticulo"/>
      </w:pPr>
      <w:r w:rsidRPr="001D7FA9">
        <w:rPr>
          <w:rStyle w:val="TextoNormalNegritaCaracter"/>
        </w:rPr>
        <w:t>Artículo 84.</w:t>
      </w:r>
      <w:r w:rsidRPr="001D7FA9">
        <w:rPr>
          <w:rStyle w:val="TextoNormalCaracter"/>
        </w:rPr>
        <w:t>-</w:t>
      </w:r>
      <w:r>
        <w:t xml:space="preserve"> Sentencia </w:t>
      </w:r>
      <w:hyperlink w:anchor="SENTENCIA_2025_3" w:history="1">
        <w:r w:rsidRPr="001D7FA9">
          <w:rPr>
            <w:rStyle w:val="TextoNormalCaracter"/>
          </w:rPr>
          <w:t>3/2025</w:t>
        </w:r>
      </w:hyperlink>
      <w:r>
        <w:t>, f. 2.</w:t>
      </w:r>
    </w:p>
    <w:p w14:paraId="22A6E7FD" w14:textId="6A8D565C" w:rsidR="001D7FA9" w:rsidRDefault="001D7FA9" w:rsidP="001D7FA9">
      <w:pPr>
        <w:pStyle w:val="SangriaFrancesaArticulo"/>
      </w:pPr>
      <w:r w:rsidRPr="001D7FA9">
        <w:rPr>
          <w:rStyle w:val="TextoNormalNegritaCaracter"/>
        </w:rPr>
        <w:t>Artículo 85.2.</w:t>
      </w:r>
      <w:r w:rsidRPr="001D7FA9">
        <w:rPr>
          <w:rStyle w:val="TextoNormalCaracter"/>
        </w:rPr>
        <w:t>-</w:t>
      </w:r>
      <w:r>
        <w:t xml:space="preserve"> Sentencia </w:t>
      </w:r>
      <w:hyperlink w:anchor="SENTENCIA_2025_106" w:history="1">
        <w:r w:rsidRPr="001D7FA9">
          <w:rPr>
            <w:rStyle w:val="TextoNormalCaracter"/>
          </w:rPr>
          <w:t>106/2025</w:t>
        </w:r>
      </w:hyperlink>
      <w:r>
        <w:t>, f. 2.</w:t>
      </w:r>
    </w:p>
    <w:p w14:paraId="0CC75243" w14:textId="4C02B453" w:rsidR="001D7FA9" w:rsidRDefault="001D7FA9" w:rsidP="001D7FA9">
      <w:pPr>
        <w:pStyle w:val="SangriaFrancesaArticulo"/>
      </w:pPr>
      <w:r w:rsidRPr="001D7FA9">
        <w:rPr>
          <w:rStyle w:val="TextoNormalNegritaCaracter"/>
        </w:rPr>
        <w:t>Artículo 86.1.</w:t>
      </w:r>
      <w:r w:rsidRPr="001D7FA9">
        <w:rPr>
          <w:rStyle w:val="TextoNormalCaracter"/>
        </w:rPr>
        <w:t>-</w:t>
      </w:r>
      <w:r>
        <w:t xml:space="preserve"> Sentencia </w:t>
      </w:r>
      <w:hyperlink w:anchor="SENTENCIA_2025_132" w:history="1">
        <w:r w:rsidRPr="001D7FA9">
          <w:rPr>
            <w:rStyle w:val="TextoNormalCaracter"/>
          </w:rPr>
          <w:t>132/2025</w:t>
        </w:r>
      </w:hyperlink>
      <w:r>
        <w:t>, f. 2.</w:t>
      </w:r>
    </w:p>
    <w:p w14:paraId="580D1CE1" w14:textId="2350A5A9" w:rsidR="001D7FA9" w:rsidRDefault="001D7FA9" w:rsidP="001D7FA9">
      <w:pPr>
        <w:pStyle w:val="SangriaIzquierdaArticulo"/>
      </w:pPr>
      <w:r>
        <w:t xml:space="preserve">Autos </w:t>
      </w:r>
      <w:hyperlink w:anchor="AUTO_2025_2" w:history="1">
        <w:r w:rsidRPr="001D7FA9">
          <w:rPr>
            <w:rStyle w:val="TextoNormalCaracter"/>
          </w:rPr>
          <w:t>2/2025</w:t>
        </w:r>
      </w:hyperlink>
      <w:r>
        <w:t xml:space="preserve">, f. único; </w:t>
      </w:r>
      <w:hyperlink w:anchor="AUTO_2025_6" w:history="1">
        <w:r w:rsidRPr="001D7FA9">
          <w:rPr>
            <w:rStyle w:val="TextoNormalCaracter"/>
          </w:rPr>
          <w:t>6/2025</w:t>
        </w:r>
      </w:hyperlink>
      <w:r>
        <w:t xml:space="preserve">, f. 1; </w:t>
      </w:r>
      <w:hyperlink w:anchor="AUTO_2025_7" w:history="1">
        <w:r w:rsidRPr="001D7FA9">
          <w:rPr>
            <w:rStyle w:val="TextoNormalCaracter"/>
          </w:rPr>
          <w:t>7/2025</w:t>
        </w:r>
      </w:hyperlink>
      <w:r>
        <w:t xml:space="preserve">, f. único; </w:t>
      </w:r>
      <w:hyperlink w:anchor="AUTO_2025_9" w:history="1">
        <w:r w:rsidRPr="001D7FA9">
          <w:rPr>
            <w:rStyle w:val="TextoNormalCaracter"/>
          </w:rPr>
          <w:t>9/2025</w:t>
        </w:r>
      </w:hyperlink>
      <w:r>
        <w:t>, f. 2.</w:t>
      </w:r>
    </w:p>
    <w:p w14:paraId="47BD1DAF" w14:textId="0DB13CAB" w:rsidR="001D7FA9" w:rsidRDefault="001D7FA9" w:rsidP="001D7FA9">
      <w:pPr>
        <w:pStyle w:val="SangriaFrancesaArticulo"/>
      </w:pPr>
      <w:r w:rsidRPr="001D7FA9">
        <w:rPr>
          <w:rStyle w:val="TextoNormalNegritaCaracter"/>
        </w:rPr>
        <w:t>Artículo 86.3.</w:t>
      </w:r>
      <w:r w:rsidRPr="001D7FA9">
        <w:rPr>
          <w:rStyle w:val="TextoNormalCaracter"/>
        </w:rPr>
        <w:t>-</w:t>
      </w:r>
      <w:r>
        <w:t xml:space="preserve"> Sentencias </w:t>
      </w:r>
      <w:hyperlink w:anchor="SENTENCIA_2025_54" w:history="1">
        <w:r w:rsidRPr="001D7FA9">
          <w:rPr>
            <w:rStyle w:val="TextoNormalCaracter"/>
          </w:rPr>
          <w:t>54/2025</w:t>
        </w:r>
      </w:hyperlink>
      <w:r>
        <w:t xml:space="preserve">, f. 1; </w:t>
      </w:r>
      <w:hyperlink w:anchor="SENTENCIA_2025_119" w:history="1">
        <w:r w:rsidRPr="001D7FA9">
          <w:rPr>
            <w:rStyle w:val="TextoNormalCaracter"/>
          </w:rPr>
          <w:t>119/2025</w:t>
        </w:r>
      </w:hyperlink>
      <w:r>
        <w:t>, f. 1.</w:t>
      </w:r>
    </w:p>
    <w:p w14:paraId="3BB15FEE" w14:textId="5D901C7D" w:rsidR="001D7FA9" w:rsidRDefault="001D7FA9" w:rsidP="001D7FA9">
      <w:pPr>
        <w:pStyle w:val="SangriaFrancesaArticulo"/>
      </w:pPr>
      <w:r w:rsidRPr="001D7FA9">
        <w:rPr>
          <w:rStyle w:val="TextoNormalNegritaCaracter"/>
        </w:rPr>
        <w:t>Artículo 87.1.</w:t>
      </w:r>
      <w:r w:rsidRPr="001D7FA9">
        <w:rPr>
          <w:rStyle w:val="TextoNormalCaracter"/>
        </w:rPr>
        <w:t>-</w:t>
      </w:r>
      <w:r>
        <w:t xml:space="preserve"> Sentencias </w:t>
      </w:r>
      <w:hyperlink w:anchor="SENTENCIA_2025_105" w:history="1">
        <w:r w:rsidRPr="001D7FA9">
          <w:rPr>
            <w:rStyle w:val="TextoNormalCaracter"/>
          </w:rPr>
          <w:t>105/2025</w:t>
        </w:r>
      </w:hyperlink>
      <w:r>
        <w:t xml:space="preserve">, VP I; </w:t>
      </w:r>
      <w:hyperlink w:anchor="SENTENCIA_2025_120" w:history="1">
        <w:r w:rsidRPr="001D7FA9">
          <w:rPr>
            <w:rStyle w:val="TextoNormalCaracter"/>
          </w:rPr>
          <w:t>120/2025</w:t>
        </w:r>
      </w:hyperlink>
      <w:r>
        <w:t>, f. 5.</w:t>
      </w:r>
    </w:p>
    <w:p w14:paraId="04DBA255" w14:textId="68B9BE8C" w:rsidR="001D7FA9" w:rsidRDefault="001D7FA9" w:rsidP="001D7FA9">
      <w:pPr>
        <w:pStyle w:val="SangriaIzquierdaArticulo"/>
      </w:pPr>
      <w:r>
        <w:t xml:space="preserve">Auto </w:t>
      </w:r>
      <w:hyperlink w:anchor="AUTO_2025_54" w:history="1">
        <w:r w:rsidRPr="001D7FA9">
          <w:rPr>
            <w:rStyle w:val="TextoNormalCaracter"/>
          </w:rPr>
          <w:t>54/2025</w:t>
        </w:r>
      </w:hyperlink>
      <w:r>
        <w:t>, f. 4.</w:t>
      </w:r>
    </w:p>
    <w:p w14:paraId="2942BB2E" w14:textId="5A42F742" w:rsidR="001D7FA9" w:rsidRDefault="001D7FA9" w:rsidP="001D7FA9">
      <w:pPr>
        <w:pStyle w:val="SangriaFrancesaArticulo"/>
      </w:pPr>
      <w:r w:rsidRPr="001D7FA9">
        <w:rPr>
          <w:rStyle w:val="TextoNormalNegritaCaracter"/>
        </w:rPr>
        <w:t>Artículo 87.1 párrafo 1.</w:t>
      </w:r>
      <w:r w:rsidRPr="001D7FA9">
        <w:rPr>
          <w:rStyle w:val="TextoNormalCaracter"/>
        </w:rPr>
        <w:t>-</w:t>
      </w:r>
      <w:r>
        <w:t xml:space="preserve"> Auto </w:t>
      </w:r>
      <w:hyperlink w:anchor="AUTO_2025_54" w:history="1">
        <w:r w:rsidRPr="001D7FA9">
          <w:rPr>
            <w:rStyle w:val="TextoNormalCaracter"/>
          </w:rPr>
          <w:t>54/2025</w:t>
        </w:r>
      </w:hyperlink>
      <w:r>
        <w:t>, f. 2.</w:t>
      </w:r>
    </w:p>
    <w:p w14:paraId="4B83765B" w14:textId="2B8FDCBB" w:rsidR="001D7FA9" w:rsidRDefault="001D7FA9" w:rsidP="001D7FA9">
      <w:pPr>
        <w:pStyle w:val="SangriaFrancesaArticulo"/>
      </w:pPr>
      <w:r w:rsidRPr="001D7FA9">
        <w:rPr>
          <w:rStyle w:val="TextoNormalNegritaCaracter"/>
        </w:rPr>
        <w:t>Artículo 90.</w:t>
      </w:r>
      <w:r w:rsidRPr="001D7FA9">
        <w:rPr>
          <w:rStyle w:val="TextoNormalCaracter"/>
        </w:rPr>
        <w:t>-</w:t>
      </w:r>
      <w:r>
        <w:t xml:space="preserve"> Sentencia </w:t>
      </w:r>
      <w:hyperlink w:anchor="SENTENCIA_2025_63" w:history="1">
        <w:r w:rsidRPr="001D7FA9">
          <w:rPr>
            <w:rStyle w:val="TextoNormalCaracter"/>
          </w:rPr>
          <w:t>63/2025</w:t>
        </w:r>
      </w:hyperlink>
      <w:r>
        <w:t>, VP I.</w:t>
      </w:r>
    </w:p>
    <w:p w14:paraId="1DE870FF" w14:textId="53AABEE1" w:rsidR="001D7FA9" w:rsidRDefault="001D7FA9" w:rsidP="001D7FA9">
      <w:pPr>
        <w:pStyle w:val="SangriaFrancesaArticulo"/>
      </w:pPr>
      <w:r w:rsidRPr="001D7FA9">
        <w:rPr>
          <w:rStyle w:val="TextoNormalNegritaCaracter"/>
        </w:rPr>
        <w:t>Artículo 90.1.</w:t>
      </w:r>
      <w:r w:rsidRPr="001D7FA9">
        <w:rPr>
          <w:rStyle w:val="TextoNormalCaracter"/>
        </w:rPr>
        <w:t>-</w:t>
      </w:r>
      <w:r>
        <w:t xml:space="preserve"> Sentencia </w:t>
      </w:r>
      <w:hyperlink w:anchor="SENTENCIA_2025_63" w:history="1">
        <w:r w:rsidRPr="001D7FA9">
          <w:rPr>
            <w:rStyle w:val="TextoNormalCaracter"/>
          </w:rPr>
          <w:t>63/2025</w:t>
        </w:r>
      </w:hyperlink>
      <w:r>
        <w:t>, VP I.</w:t>
      </w:r>
    </w:p>
    <w:p w14:paraId="1C0C557B" w14:textId="1C8242A9" w:rsidR="001D7FA9" w:rsidRDefault="001D7FA9" w:rsidP="001D7FA9">
      <w:pPr>
        <w:pStyle w:val="SangriaFrancesaArticulo"/>
      </w:pPr>
      <w:r w:rsidRPr="001D7FA9">
        <w:rPr>
          <w:rStyle w:val="TextoNormalNegritaCaracter"/>
        </w:rPr>
        <w:t>Artículo 90.2.</w:t>
      </w:r>
      <w:r w:rsidRPr="001D7FA9">
        <w:rPr>
          <w:rStyle w:val="TextoNormalCaracter"/>
        </w:rPr>
        <w:t>-</w:t>
      </w:r>
      <w:r>
        <w:t xml:space="preserve"> Sentencias </w:t>
      </w:r>
      <w:hyperlink w:anchor="SENTENCIA_2025_12" w:history="1">
        <w:r w:rsidRPr="001D7FA9">
          <w:rPr>
            <w:rStyle w:val="TextoNormalCaracter"/>
          </w:rPr>
          <w:t>12/2025</w:t>
        </w:r>
      </w:hyperlink>
      <w:r>
        <w:t xml:space="preserve">, VP I, VP II; </w:t>
      </w:r>
      <w:hyperlink w:anchor="SENTENCIA_2025_14" w:history="1">
        <w:r w:rsidRPr="001D7FA9">
          <w:rPr>
            <w:rStyle w:val="TextoNormalCaracter"/>
          </w:rPr>
          <w:t>14/2025</w:t>
        </w:r>
      </w:hyperlink>
      <w:r>
        <w:t xml:space="preserve">, VP; </w:t>
      </w:r>
      <w:hyperlink w:anchor="SENTENCIA_2025_15" w:history="1">
        <w:r w:rsidRPr="001D7FA9">
          <w:rPr>
            <w:rStyle w:val="TextoNormalCaracter"/>
          </w:rPr>
          <w:t>15/2025</w:t>
        </w:r>
      </w:hyperlink>
      <w:r>
        <w:t xml:space="preserve">, VP; </w:t>
      </w:r>
      <w:hyperlink w:anchor="SENTENCIA_2025_25" w:history="1">
        <w:r w:rsidRPr="001D7FA9">
          <w:rPr>
            <w:rStyle w:val="TextoNormalCaracter"/>
          </w:rPr>
          <w:t>25/2025</w:t>
        </w:r>
      </w:hyperlink>
      <w:r>
        <w:t xml:space="preserve">, VP I, VP II; </w:t>
      </w:r>
      <w:hyperlink w:anchor="SENTENCIA_2025_26" w:history="1">
        <w:r w:rsidRPr="001D7FA9">
          <w:rPr>
            <w:rStyle w:val="TextoNormalCaracter"/>
          </w:rPr>
          <w:t>26/2025</w:t>
        </w:r>
      </w:hyperlink>
      <w:r>
        <w:t xml:space="preserve">, VP I, VP II; </w:t>
      </w:r>
      <w:hyperlink w:anchor="SENTENCIA_2025_40" w:history="1">
        <w:r w:rsidRPr="001D7FA9">
          <w:rPr>
            <w:rStyle w:val="TextoNormalCaracter"/>
          </w:rPr>
          <w:t>40/2025</w:t>
        </w:r>
      </w:hyperlink>
      <w:r>
        <w:t xml:space="preserve">, VP I, VP II, VP III; </w:t>
      </w:r>
      <w:hyperlink w:anchor="SENTENCIA_2025_41" w:history="1">
        <w:r w:rsidRPr="001D7FA9">
          <w:rPr>
            <w:rStyle w:val="TextoNormalCaracter"/>
          </w:rPr>
          <w:t>41/2025</w:t>
        </w:r>
      </w:hyperlink>
      <w:r>
        <w:t xml:space="preserve">, VP; </w:t>
      </w:r>
      <w:hyperlink w:anchor="SENTENCIA_2025_52" w:history="1">
        <w:r w:rsidRPr="001D7FA9">
          <w:rPr>
            <w:rStyle w:val="TextoNormalCaracter"/>
          </w:rPr>
          <w:t>52/2025</w:t>
        </w:r>
      </w:hyperlink>
      <w:r>
        <w:t xml:space="preserve">, VP I; </w:t>
      </w:r>
      <w:hyperlink w:anchor="SENTENCIA_2025_53" w:history="1">
        <w:r w:rsidRPr="001D7FA9">
          <w:rPr>
            <w:rStyle w:val="TextoNormalCaracter"/>
          </w:rPr>
          <w:t>53/2025</w:t>
        </w:r>
      </w:hyperlink>
      <w:r>
        <w:t xml:space="preserve">, VP I; </w:t>
      </w:r>
      <w:hyperlink w:anchor="SENTENCIA_2025_54" w:history="1">
        <w:r w:rsidRPr="001D7FA9">
          <w:rPr>
            <w:rStyle w:val="TextoNormalCaracter"/>
          </w:rPr>
          <w:t>54/2025</w:t>
        </w:r>
      </w:hyperlink>
      <w:r>
        <w:t xml:space="preserve">, VP; </w:t>
      </w:r>
      <w:hyperlink w:anchor="SENTENCIA_2025_62" w:history="1">
        <w:r w:rsidRPr="001D7FA9">
          <w:rPr>
            <w:rStyle w:val="TextoNormalCaracter"/>
          </w:rPr>
          <w:t>62/2025</w:t>
        </w:r>
      </w:hyperlink>
      <w:r>
        <w:t xml:space="preserve">, VP I, VP II; </w:t>
      </w:r>
      <w:hyperlink w:anchor="SENTENCIA_2025_63" w:history="1">
        <w:r w:rsidRPr="001D7FA9">
          <w:rPr>
            <w:rStyle w:val="TextoNormalCaracter"/>
          </w:rPr>
          <w:t>63/2025</w:t>
        </w:r>
      </w:hyperlink>
      <w:r>
        <w:t xml:space="preserve">, VP I; </w:t>
      </w:r>
      <w:hyperlink w:anchor="SENTENCIA_2025_64" w:history="1">
        <w:r w:rsidRPr="001D7FA9">
          <w:rPr>
            <w:rStyle w:val="TextoNormalCaracter"/>
          </w:rPr>
          <w:t>64/2025</w:t>
        </w:r>
      </w:hyperlink>
      <w:r>
        <w:t xml:space="preserve">, VP; </w:t>
      </w:r>
      <w:hyperlink w:anchor="SENTENCIA_2025_84" w:history="1">
        <w:r w:rsidRPr="001D7FA9">
          <w:rPr>
            <w:rStyle w:val="TextoNormalCaracter"/>
          </w:rPr>
          <w:t>84/2025</w:t>
        </w:r>
      </w:hyperlink>
      <w:r>
        <w:t xml:space="preserve">, VP I; </w:t>
      </w:r>
      <w:hyperlink w:anchor="SENTENCIA_2025_87" w:history="1">
        <w:r w:rsidRPr="001D7FA9">
          <w:rPr>
            <w:rStyle w:val="TextoNormalCaracter"/>
          </w:rPr>
          <w:t>87/2025</w:t>
        </w:r>
      </w:hyperlink>
      <w:r>
        <w:t xml:space="preserve">, VP I, VP II; </w:t>
      </w:r>
      <w:hyperlink w:anchor="SENTENCIA_2025_96" w:history="1">
        <w:r w:rsidRPr="001D7FA9">
          <w:rPr>
            <w:rStyle w:val="TextoNormalCaracter"/>
          </w:rPr>
          <w:t>96/2025</w:t>
        </w:r>
      </w:hyperlink>
      <w:r>
        <w:t xml:space="preserve">, VP; </w:t>
      </w:r>
      <w:hyperlink w:anchor="SENTENCIA_2025_98" w:history="1">
        <w:r w:rsidRPr="001D7FA9">
          <w:rPr>
            <w:rStyle w:val="TextoNormalCaracter"/>
          </w:rPr>
          <w:t>98/2025</w:t>
        </w:r>
      </w:hyperlink>
      <w:r>
        <w:t xml:space="preserve">, VP; </w:t>
      </w:r>
      <w:hyperlink w:anchor="SENTENCIA_2025_101" w:history="1">
        <w:r w:rsidRPr="001D7FA9">
          <w:rPr>
            <w:rStyle w:val="TextoNormalCaracter"/>
          </w:rPr>
          <w:t>101/2025</w:t>
        </w:r>
      </w:hyperlink>
      <w:r>
        <w:t xml:space="preserve">, VP; </w:t>
      </w:r>
      <w:hyperlink w:anchor="SENTENCIA_2025_105" w:history="1">
        <w:r w:rsidRPr="001D7FA9">
          <w:rPr>
            <w:rStyle w:val="TextoNormalCaracter"/>
          </w:rPr>
          <w:t>105/2025</w:t>
        </w:r>
      </w:hyperlink>
      <w:r>
        <w:t xml:space="preserve">, VP I, VP II, VP III; </w:t>
      </w:r>
      <w:hyperlink w:anchor="SENTENCIA_2025_110" w:history="1">
        <w:r w:rsidRPr="001D7FA9">
          <w:rPr>
            <w:rStyle w:val="TextoNormalCaracter"/>
          </w:rPr>
          <w:t>110/2025</w:t>
        </w:r>
      </w:hyperlink>
      <w:r>
        <w:t xml:space="preserve">, VP I, VP II; </w:t>
      </w:r>
      <w:hyperlink w:anchor="SENTENCIA_2025_137" w:history="1">
        <w:r w:rsidRPr="001D7FA9">
          <w:rPr>
            <w:rStyle w:val="TextoNormalCaracter"/>
          </w:rPr>
          <w:t>137/2025</w:t>
        </w:r>
      </w:hyperlink>
      <w:r>
        <w:t>, VP I, VP II, VP III.</w:t>
      </w:r>
    </w:p>
    <w:p w14:paraId="507E81D6" w14:textId="08229C7B" w:rsidR="001D7FA9" w:rsidRDefault="001D7FA9" w:rsidP="001D7FA9">
      <w:pPr>
        <w:pStyle w:val="SangriaIzquierdaArticulo"/>
      </w:pPr>
      <w:r>
        <w:t xml:space="preserve">Autos </w:t>
      </w:r>
      <w:hyperlink w:anchor="AUTO_2025_4" w:history="1">
        <w:r w:rsidRPr="001D7FA9">
          <w:rPr>
            <w:rStyle w:val="TextoNormalCaracter"/>
          </w:rPr>
          <w:t>4/2025</w:t>
        </w:r>
      </w:hyperlink>
      <w:r>
        <w:t xml:space="preserve">, VP; </w:t>
      </w:r>
      <w:hyperlink w:anchor="AUTO_2025_5" w:history="1">
        <w:r w:rsidRPr="001D7FA9">
          <w:rPr>
            <w:rStyle w:val="TextoNormalCaracter"/>
          </w:rPr>
          <w:t>5/2025</w:t>
        </w:r>
      </w:hyperlink>
      <w:r>
        <w:t xml:space="preserve">, VP; </w:t>
      </w:r>
      <w:hyperlink w:anchor="AUTO_2025_6" w:history="1">
        <w:r w:rsidRPr="001D7FA9">
          <w:rPr>
            <w:rStyle w:val="TextoNormalCaracter"/>
          </w:rPr>
          <w:t>6/2025</w:t>
        </w:r>
      </w:hyperlink>
      <w:r>
        <w:t xml:space="preserve">, VP I, VP II; </w:t>
      </w:r>
      <w:hyperlink w:anchor="AUTO_2025_8" w:history="1">
        <w:r w:rsidRPr="001D7FA9">
          <w:rPr>
            <w:rStyle w:val="TextoNormalCaracter"/>
          </w:rPr>
          <w:t>8/2025</w:t>
        </w:r>
      </w:hyperlink>
      <w:r>
        <w:t xml:space="preserve">, VP; </w:t>
      </w:r>
      <w:hyperlink w:anchor="AUTO_2025_11" w:history="1">
        <w:r w:rsidRPr="001D7FA9">
          <w:rPr>
            <w:rStyle w:val="TextoNormalCaracter"/>
          </w:rPr>
          <w:t>11/2025</w:t>
        </w:r>
      </w:hyperlink>
      <w:r>
        <w:t xml:space="preserve">, VP; </w:t>
      </w:r>
      <w:hyperlink w:anchor="AUTO_2025_12" w:history="1">
        <w:r w:rsidRPr="001D7FA9">
          <w:rPr>
            <w:rStyle w:val="TextoNormalCaracter"/>
          </w:rPr>
          <w:t>12/2025</w:t>
        </w:r>
      </w:hyperlink>
      <w:r>
        <w:t xml:space="preserve">, VP I, VP II, VP III; </w:t>
      </w:r>
      <w:hyperlink w:anchor="AUTO_2025_15" w:history="1">
        <w:r w:rsidRPr="001D7FA9">
          <w:rPr>
            <w:rStyle w:val="TextoNormalCaracter"/>
          </w:rPr>
          <w:t>15/2025</w:t>
        </w:r>
      </w:hyperlink>
      <w:r>
        <w:t xml:space="preserve">, VP; </w:t>
      </w:r>
      <w:hyperlink w:anchor="AUTO_2025_28" w:history="1">
        <w:r w:rsidRPr="001D7FA9">
          <w:rPr>
            <w:rStyle w:val="TextoNormalCaracter"/>
          </w:rPr>
          <w:t>28/2025</w:t>
        </w:r>
      </w:hyperlink>
      <w:r>
        <w:t xml:space="preserve">, VP; </w:t>
      </w:r>
      <w:hyperlink w:anchor="AUTO_2025_31" w:history="1">
        <w:r w:rsidRPr="001D7FA9">
          <w:rPr>
            <w:rStyle w:val="TextoNormalCaracter"/>
          </w:rPr>
          <w:t>31/2025</w:t>
        </w:r>
      </w:hyperlink>
      <w:r>
        <w:t xml:space="preserve">, VP; </w:t>
      </w:r>
      <w:hyperlink w:anchor="AUTO_2025_34" w:history="1">
        <w:r w:rsidRPr="001D7FA9">
          <w:rPr>
            <w:rStyle w:val="TextoNormalCaracter"/>
          </w:rPr>
          <w:t>34/2025</w:t>
        </w:r>
      </w:hyperlink>
      <w:r>
        <w:t xml:space="preserve">, VP; </w:t>
      </w:r>
      <w:hyperlink w:anchor="AUTO_2025_35" w:history="1">
        <w:r w:rsidRPr="001D7FA9">
          <w:rPr>
            <w:rStyle w:val="TextoNormalCaracter"/>
          </w:rPr>
          <w:t>35/2025</w:t>
        </w:r>
      </w:hyperlink>
      <w:r>
        <w:t xml:space="preserve">, VP I, VP II; </w:t>
      </w:r>
      <w:hyperlink w:anchor="AUTO_2025_64" w:history="1">
        <w:r w:rsidRPr="001D7FA9">
          <w:rPr>
            <w:rStyle w:val="TextoNormalCaracter"/>
          </w:rPr>
          <w:t>64/2025</w:t>
        </w:r>
      </w:hyperlink>
      <w:r>
        <w:t xml:space="preserve">, VP I, VP II, VP III; </w:t>
      </w:r>
      <w:hyperlink w:anchor="AUTO_2025_65" w:history="1">
        <w:r w:rsidRPr="001D7FA9">
          <w:rPr>
            <w:rStyle w:val="TextoNormalCaracter"/>
          </w:rPr>
          <w:t>65/2025</w:t>
        </w:r>
      </w:hyperlink>
      <w:r>
        <w:t>, VP.</w:t>
      </w:r>
    </w:p>
    <w:p w14:paraId="5408DA96" w14:textId="681A7E54" w:rsidR="001D7FA9" w:rsidRDefault="001D7FA9" w:rsidP="001D7FA9">
      <w:pPr>
        <w:pStyle w:val="SangriaFrancesaArticulo"/>
      </w:pPr>
      <w:r w:rsidRPr="001D7FA9">
        <w:rPr>
          <w:rStyle w:val="TextoNormalNegritaCaracter"/>
        </w:rPr>
        <w:t>Artículo 90.3.</w:t>
      </w:r>
      <w:r w:rsidRPr="001D7FA9">
        <w:rPr>
          <w:rStyle w:val="TextoNormalCaracter"/>
        </w:rPr>
        <w:t>-</w:t>
      </w:r>
      <w:r>
        <w:t xml:space="preserve"> Sentencia </w:t>
      </w:r>
      <w:hyperlink w:anchor="SENTENCIA_2025_63" w:history="1">
        <w:r w:rsidRPr="001D7FA9">
          <w:rPr>
            <w:rStyle w:val="TextoNormalCaracter"/>
          </w:rPr>
          <w:t>63/2025</w:t>
        </w:r>
      </w:hyperlink>
      <w:r>
        <w:t>, VP I.</w:t>
      </w:r>
    </w:p>
    <w:p w14:paraId="227DBAE8" w14:textId="383F2882" w:rsidR="001D7FA9" w:rsidRDefault="001D7FA9" w:rsidP="001D7FA9">
      <w:pPr>
        <w:pStyle w:val="SangriaFrancesaArticulo"/>
      </w:pPr>
      <w:r w:rsidRPr="001D7FA9">
        <w:rPr>
          <w:rStyle w:val="TextoNormalNegritaCaracter"/>
        </w:rPr>
        <w:t>Artículo 92.</w:t>
      </w:r>
      <w:r w:rsidRPr="001D7FA9">
        <w:rPr>
          <w:rStyle w:val="TextoNormalCaracter"/>
        </w:rPr>
        <w:t>-</w:t>
      </w:r>
      <w:r>
        <w:t xml:space="preserve"> Autos </w:t>
      </w:r>
      <w:hyperlink w:anchor="AUTO_2025_33" w:history="1">
        <w:r w:rsidRPr="001D7FA9">
          <w:rPr>
            <w:rStyle w:val="TextoNormalCaracter"/>
          </w:rPr>
          <w:t>33/2025</w:t>
        </w:r>
      </w:hyperlink>
      <w:r>
        <w:t xml:space="preserve">, f. 1; </w:t>
      </w:r>
      <w:hyperlink w:anchor="AUTO_2025_34" w:history="1">
        <w:r w:rsidRPr="001D7FA9">
          <w:rPr>
            <w:rStyle w:val="TextoNormalCaracter"/>
          </w:rPr>
          <w:t>34/2025</w:t>
        </w:r>
      </w:hyperlink>
      <w:r>
        <w:t xml:space="preserve">, f. único, VP;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7" w:history="1">
        <w:r w:rsidRPr="001D7FA9">
          <w:rPr>
            <w:rStyle w:val="TextoNormalCaracter"/>
          </w:rPr>
          <w:t>47/2025</w:t>
        </w:r>
      </w:hyperlink>
      <w:r>
        <w:t xml:space="preserve">, f. único; </w:t>
      </w:r>
      <w:hyperlink w:anchor="AUTO_2025_48" w:history="1">
        <w:r w:rsidRPr="001D7FA9">
          <w:rPr>
            <w:rStyle w:val="TextoNormalCaracter"/>
          </w:rPr>
          <w:t>48/2025</w:t>
        </w:r>
      </w:hyperlink>
      <w:r>
        <w:t xml:space="preserve">, f. único; </w:t>
      </w:r>
      <w:hyperlink w:anchor="AUTO_2025_49" w:history="1">
        <w:r w:rsidRPr="001D7FA9">
          <w:rPr>
            <w:rStyle w:val="TextoNormalCaracter"/>
          </w:rPr>
          <w:t>49/2025</w:t>
        </w:r>
      </w:hyperlink>
      <w:r>
        <w:t xml:space="preserve">, f. único; </w:t>
      </w:r>
      <w:hyperlink w:anchor="AUTO_2025_50" w:history="1">
        <w:r w:rsidRPr="001D7FA9">
          <w:rPr>
            <w:rStyle w:val="TextoNormalCaracter"/>
          </w:rPr>
          <w:t>50/2025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3" w:history="1">
        <w:r w:rsidRPr="001D7FA9">
          <w:rPr>
            <w:rStyle w:val="TextoNormalCaracter"/>
          </w:rPr>
          <w:t>53/2025</w:t>
        </w:r>
      </w:hyperlink>
      <w:r>
        <w:t xml:space="preserve">, f. único; </w:t>
      </w:r>
      <w:hyperlink w:anchor="AUTO_2025_54" w:history="1">
        <w:r w:rsidRPr="001D7FA9">
          <w:rPr>
            <w:rStyle w:val="TextoNormalCaracter"/>
          </w:rPr>
          <w:t>54/2025</w:t>
        </w:r>
      </w:hyperlink>
      <w:r>
        <w:t xml:space="preserve">, ff. 2, 4; </w:t>
      </w:r>
      <w:hyperlink w:anchor="AUTO_2025_58" w:history="1">
        <w:r w:rsidRPr="001D7FA9">
          <w:rPr>
            <w:rStyle w:val="TextoNormalCaracter"/>
          </w:rPr>
          <w:t>58/2025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f. único.</w:t>
      </w:r>
    </w:p>
    <w:p w14:paraId="0635C8F7" w14:textId="31978109" w:rsidR="001D7FA9" w:rsidRDefault="001D7FA9" w:rsidP="001D7FA9">
      <w:pPr>
        <w:pStyle w:val="SangriaFrancesaArticulo"/>
      </w:pPr>
      <w:r w:rsidRPr="001D7FA9">
        <w:rPr>
          <w:rStyle w:val="TextoNormalNegritaCaracter"/>
        </w:rPr>
        <w:t>Artículo 92.1.</w:t>
      </w:r>
      <w:r w:rsidRPr="001D7FA9">
        <w:rPr>
          <w:rStyle w:val="TextoNormalCaracter"/>
        </w:rPr>
        <w:t>-</w:t>
      </w:r>
      <w:r>
        <w:t xml:space="preserve"> Autos </w:t>
      </w:r>
      <w:hyperlink w:anchor="AUTO_2025_33" w:history="1">
        <w:r w:rsidRPr="001D7FA9">
          <w:rPr>
            <w:rStyle w:val="TextoNormalCaracter"/>
          </w:rPr>
          <w:t>33/2025</w:t>
        </w:r>
      </w:hyperlink>
      <w:r>
        <w:t xml:space="preserve">, f. 1; </w:t>
      </w:r>
      <w:hyperlink w:anchor="AUTO_2025_34" w:history="1">
        <w:r w:rsidRPr="001D7FA9">
          <w:rPr>
            <w:rStyle w:val="TextoNormalCaracter"/>
          </w:rPr>
          <w:t>34/2025</w:t>
        </w:r>
      </w:hyperlink>
      <w:r>
        <w:t xml:space="preserve">, f. único;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9" w:history="1">
        <w:r w:rsidRPr="001D7FA9">
          <w:rPr>
            <w:rStyle w:val="TextoNormalCaracter"/>
          </w:rPr>
          <w:t>49/2025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4" w:history="1">
        <w:r w:rsidRPr="001D7FA9">
          <w:rPr>
            <w:rStyle w:val="TextoNormalCaracter"/>
          </w:rPr>
          <w:t>54/2025</w:t>
        </w:r>
      </w:hyperlink>
      <w:r>
        <w:t xml:space="preserve">, f. 2; </w:t>
      </w:r>
      <w:hyperlink w:anchor="AUTO_2025_58" w:history="1">
        <w:r w:rsidRPr="001D7FA9">
          <w:rPr>
            <w:rStyle w:val="TextoNormalCaracter"/>
          </w:rPr>
          <w:t>58/2025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xml:space="preserve">, f. único; </w:t>
      </w:r>
      <w:hyperlink w:anchor="AUTO_2025_65" w:history="1">
        <w:r w:rsidRPr="001D7FA9">
          <w:rPr>
            <w:rStyle w:val="TextoNormalCaracter"/>
          </w:rPr>
          <w:t>65/2025</w:t>
        </w:r>
      </w:hyperlink>
      <w:r>
        <w:t>, VP.</w:t>
      </w:r>
    </w:p>
    <w:p w14:paraId="79FAF961" w14:textId="1359C169" w:rsidR="001D7FA9" w:rsidRDefault="001D7FA9" w:rsidP="001D7FA9">
      <w:pPr>
        <w:pStyle w:val="SangriaFrancesaArticulo"/>
      </w:pPr>
      <w:r w:rsidRPr="001D7FA9">
        <w:rPr>
          <w:rStyle w:val="TextoNormalNegritaCaracter"/>
        </w:rPr>
        <w:t>Artículo 92.1 párrafo 2.</w:t>
      </w:r>
      <w:r w:rsidRPr="001D7FA9">
        <w:rPr>
          <w:rStyle w:val="TextoNormalCaracter"/>
        </w:rPr>
        <w:t>-</w:t>
      </w:r>
      <w:r>
        <w:t xml:space="preserve"> Autos </w:t>
      </w:r>
      <w:hyperlink w:anchor="AUTO_2025_33" w:history="1">
        <w:r w:rsidRPr="001D7FA9">
          <w:rPr>
            <w:rStyle w:val="TextoNormalCaracter"/>
          </w:rPr>
          <w:t>33/2025</w:t>
        </w:r>
      </w:hyperlink>
      <w:r>
        <w:t xml:space="preserve">, f. 1; </w:t>
      </w:r>
      <w:hyperlink w:anchor="AUTO_2025_34" w:history="1">
        <w:r w:rsidRPr="001D7FA9">
          <w:rPr>
            <w:rStyle w:val="TextoNormalCaracter"/>
          </w:rPr>
          <w:t>34/2025</w:t>
        </w:r>
      </w:hyperlink>
      <w:r>
        <w:t xml:space="preserve">, f. único;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9" w:history="1">
        <w:r w:rsidRPr="001D7FA9">
          <w:rPr>
            <w:rStyle w:val="TextoNormalCaracter"/>
          </w:rPr>
          <w:t>49/2025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4" w:history="1">
        <w:r w:rsidRPr="001D7FA9">
          <w:rPr>
            <w:rStyle w:val="TextoNormalCaracter"/>
          </w:rPr>
          <w:t>54/2025</w:t>
        </w:r>
      </w:hyperlink>
      <w:r>
        <w:t xml:space="preserve">, f. 2; </w:t>
      </w:r>
      <w:hyperlink w:anchor="AUTO_2025_58" w:history="1">
        <w:r w:rsidRPr="001D7FA9">
          <w:rPr>
            <w:rStyle w:val="TextoNormalCaracter"/>
          </w:rPr>
          <w:t>58/2025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f. único.</w:t>
      </w:r>
    </w:p>
    <w:p w14:paraId="37E713FF" w14:textId="4CE9AFFB" w:rsidR="001D7FA9" w:rsidRDefault="001D7FA9" w:rsidP="001D7FA9">
      <w:pPr>
        <w:pStyle w:val="SangriaFrancesaArticulo"/>
      </w:pPr>
      <w:r w:rsidRPr="001D7FA9">
        <w:rPr>
          <w:rStyle w:val="TextoNormalNegritaCaracter"/>
        </w:rPr>
        <w:t>Artículo 92.3.</w:t>
      </w:r>
      <w:r w:rsidRPr="001D7FA9">
        <w:rPr>
          <w:rStyle w:val="TextoNormalCaracter"/>
        </w:rPr>
        <w:t>-</w:t>
      </w:r>
      <w:r>
        <w:t xml:space="preserve"> Sentencia </w:t>
      </w:r>
      <w:hyperlink w:anchor="SENTENCIA_2025_127" w:history="1">
        <w:r w:rsidRPr="001D7FA9">
          <w:rPr>
            <w:rStyle w:val="TextoNormalCaracter"/>
          </w:rPr>
          <w:t>127/2025</w:t>
        </w:r>
      </w:hyperlink>
      <w:r>
        <w:t>, f. 2.</w:t>
      </w:r>
    </w:p>
    <w:p w14:paraId="0D2DEB9E" w14:textId="62DAEF51" w:rsidR="001D7FA9" w:rsidRDefault="001D7FA9" w:rsidP="001D7FA9">
      <w:pPr>
        <w:pStyle w:val="SangriaIzquierdaArticulo"/>
      </w:pPr>
      <w:r>
        <w:t xml:space="preserve">Autos </w:t>
      </w:r>
      <w:hyperlink w:anchor="AUTO_2025_33" w:history="1">
        <w:r w:rsidRPr="001D7FA9">
          <w:rPr>
            <w:rStyle w:val="TextoNormalCaracter"/>
          </w:rPr>
          <w:t>33/2025</w:t>
        </w:r>
      </w:hyperlink>
      <w:r>
        <w:t xml:space="preserve">, f. 1; </w:t>
      </w:r>
      <w:hyperlink w:anchor="AUTO_2025_34" w:history="1">
        <w:r w:rsidRPr="001D7FA9">
          <w:rPr>
            <w:rStyle w:val="TextoNormalCaracter"/>
          </w:rPr>
          <w:t>34/2025</w:t>
        </w:r>
      </w:hyperlink>
      <w:r>
        <w:t xml:space="preserve">, f. único;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9" w:history="1">
        <w:r w:rsidRPr="001D7FA9">
          <w:rPr>
            <w:rStyle w:val="TextoNormalCaracter"/>
          </w:rPr>
          <w:t>49/2025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4" w:history="1">
        <w:r w:rsidRPr="001D7FA9">
          <w:rPr>
            <w:rStyle w:val="TextoNormalCaracter"/>
          </w:rPr>
          <w:t>54/2025</w:t>
        </w:r>
      </w:hyperlink>
      <w:r>
        <w:t xml:space="preserve">, f. 2; </w:t>
      </w:r>
      <w:hyperlink w:anchor="AUTO_2025_58" w:history="1">
        <w:r w:rsidRPr="001D7FA9">
          <w:rPr>
            <w:rStyle w:val="TextoNormalCaracter"/>
          </w:rPr>
          <w:t>58/2025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f. único.</w:t>
      </w:r>
    </w:p>
    <w:p w14:paraId="19C150C0" w14:textId="36835CCE" w:rsidR="001D7FA9" w:rsidRDefault="001D7FA9" w:rsidP="001D7FA9">
      <w:pPr>
        <w:pStyle w:val="SangriaFrancesaArticulo"/>
      </w:pPr>
      <w:r w:rsidRPr="001D7FA9">
        <w:rPr>
          <w:rStyle w:val="TextoNormalNegritaCaracter"/>
        </w:rPr>
        <w:t>Artículo 92.4 párrafo 2.</w:t>
      </w:r>
      <w:r w:rsidRPr="001D7FA9">
        <w:rPr>
          <w:rStyle w:val="TextoNormalCaracter"/>
        </w:rPr>
        <w:t>-</w:t>
      </w:r>
      <w:r>
        <w:t xml:space="preserve"> Autos </w:t>
      </w:r>
      <w:hyperlink w:anchor="AUTO_2025_33" w:history="1">
        <w:r w:rsidRPr="001D7FA9">
          <w:rPr>
            <w:rStyle w:val="TextoNormalCaracter"/>
          </w:rPr>
          <w:t>33/2025</w:t>
        </w:r>
      </w:hyperlink>
      <w:r>
        <w:t xml:space="preserve">, f. 1; </w:t>
      </w:r>
      <w:hyperlink w:anchor="AUTO_2025_34" w:history="1">
        <w:r w:rsidRPr="001D7FA9">
          <w:rPr>
            <w:rStyle w:val="TextoNormalCaracter"/>
          </w:rPr>
          <w:t>34/2025</w:t>
        </w:r>
      </w:hyperlink>
      <w:r>
        <w:t xml:space="preserve">, f. único;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9" w:history="1">
        <w:r w:rsidRPr="001D7FA9">
          <w:rPr>
            <w:rStyle w:val="TextoNormalCaracter"/>
          </w:rPr>
          <w:t>49/2025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4" w:history="1">
        <w:r w:rsidRPr="001D7FA9">
          <w:rPr>
            <w:rStyle w:val="TextoNormalCaracter"/>
          </w:rPr>
          <w:t>54/2025</w:t>
        </w:r>
      </w:hyperlink>
      <w:r>
        <w:t xml:space="preserve">, f. 2; </w:t>
      </w:r>
      <w:hyperlink w:anchor="AUTO_2025_58" w:history="1">
        <w:r w:rsidRPr="001D7FA9">
          <w:rPr>
            <w:rStyle w:val="TextoNormalCaracter"/>
          </w:rPr>
          <w:t>58/2025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f. único.</w:t>
      </w:r>
    </w:p>
    <w:p w14:paraId="288DBB50" w14:textId="41E313E0"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Auto </w:t>
      </w:r>
      <w:hyperlink w:anchor="AUTO_2025_31" w:history="1">
        <w:r w:rsidRPr="001D7FA9">
          <w:rPr>
            <w:rStyle w:val="TextoNormalCaracter"/>
          </w:rPr>
          <w:t>31/2025</w:t>
        </w:r>
      </w:hyperlink>
      <w:r>
        <w:t>, f. 2, VP.</w:t>
      </w:r>
    </w:p>
    <w:p w14:paraId="017284F7" w14:textId="2C6CD2EC" w:rsidR="001D7FA9" w:rsidRDefault="001D7FA9" w:rsidP="001D7FA9">
      <w:pPr>
        <w:pStyle w:val="SangriaFrancesaArticulo"/>
      </w:pPr>
      <w:r w:rsidRPr="001D7FA9">
        <w:rPr>
          <w:rStyle w:val="TextoNormalNegritaCaracter"/>
        </w:rPr>
        <w:t>Artículo 93.2.</w:t>
      </w:r>
      <w:r w:rsidRPr="001D7FA9">
        <w:rPr>
          <w:rStyle w:val="TextoNormalCaracter"/>
        </w:rPr>
        <w:t>-</w:t>
      </w:r>
      <w:r>
        <w:t xml:space="preserve"> Autos </w:t>
      </w:r>
      <w:hyperlink w:anchor="AUTO_2025_31" w:history="1">
        <w:r w:rsidRPr="001D7FA9">
          <w:rPr>
            <w:rStyle w:val="TextoNormalCaracter"/>
          </w:rPr>
          <w:t>31/2025</w:t>
        </w:r>
      </w:hyperlink>
      <w:r>
        <w:t xml:space="preserve">, VP; </w:t>
      </w:r>
      <w:hyperlink w:anchor="AUTO_2025_35" w:history="1">
        <w:r w:rsidRPr="001D7FA9">
          <w:rPr>
            <w:rStyle w:val="TextoNormalCaracter"/>
          </w:rPr>
          <w:t>35/2025</w:t>
        </w:r>
      </w:hyperlink>
      <w:r>
        <w:t xml:space="preserve">, f. 1, VP II; </w:t>
      </w:r>
      <w:hyperlink w:anchor="AUTO_2025_54" w:history="1">
        <w:r w:rsidRPr="001D7FA9">
          <w:rPr>
            <w:rStyle w:val="TextoNormalCaracter"/>
          </w:rPr>
          <w:t>54/2025</w:t>
        </w:r>
      </w:hyperlink>
      <w:r>
        <w:t>, f. 1.</w:t>
      </w:r>
    </w:p>
    <w:p w14:paraId="3B20866C" w14:textId="316AB39C" w:rsidR="001D7FA9" w:rsidRDefault="001D7FA9" w:rsidP="001D7FA9">
      <w:pPr>
        <w:pStyle w:val="SangriaFrancesaArticulo"/>
      </w:pPr>
      <w:r w:rsidRPr="001D7FA9">
        <w:rPr>
          <w:rStyle w:val="TextoNormalNegritaCaracter"/>
        </w:rPr>
        <w:t>Artículo 93.2 inciso 1.</w:t>
      </w:r>
      <w:r w:rsidRPr="001D7FA9">
        <w:rPr>
          <w:rStyle w:val="TextoNormalCaracter"/>
        </w:rPr>
        <w:t>-</w:t>
      </w:r>
      <w:r>
        <w:t xml:space="preserve"> Auto </w:t>
      </w:r>
      <w:hyperlink w:anchor="AUTO_2025_31" w:history="1">
        <w:r w:rsidRPr="001D7FA9">
          <w:rPr>
            <w:rStyle w:val="TextoNormalCaracter"/>
          </w:rPr>
          <w:t>31/2025</w:t>
        </w:r>
      </w:hyperlink>
      <w:r>
        <w:t>, f. 2.</w:t>
      </w:r>
    </w:p>
    <w:p w14:paraId="0AE6EF18" w14:textId="586F2663" w:rsidR="001D7FA9" w:rsidRDefault="001D7FA9" w:rsidP="001D7FA9">
      <w:pPr>
        <w:pStyle w:val="SangriaFrancesaArticulo"/>
      </w:pPr>
    </w:p>
    <w:p w14:paraId="7C5554C2" w14:textId="77777777" w:rsidR="001D7FA9" w:rsidRDefault="001D7FA9" w:rsidP="001D7FA9">
      <w:pPr>
        <w:pStyle w:val="TextoNormalNegritaCursivandice"/>
        <w:keepNext/>
      </w:pPr>
      <w:r>
        <w:t>Acuerdo de 5 de julio de 1990, del Pleno del Tribunal Constitucional, por el que se aprueba el Reglamento de organización y personal del Tribunal Constitucional</w:t>
      </w:r>
    </w:p>
    <w:p w14:paraId="1E9DBFDF" w14:textId="504D03CD" w:rsidR="001D7FA9" w:rsidRDefault="001D7FA9" w:rsidP="001D7FA9">
      <w:pPr>
        <w:pStyle w:val="SangriaFrancesaArticulo"/>
      </w:pPr>
      <w:r w:rsidRPr="001D7FA9">
        <w:rPr>
          <w:rStyle w:val="TextoNormalNegritaCaracter"/>
        </w:rPr>
        <w:t>Artículo 14 a).</w:t>
      </w:r>
      <w:r w:rsidRPr="001D7FA9">
        <w:rPr>
          <w:rStyle w:val="TextoNormalCaracter"/>
        </w:rPr>
        <w:t>-</w:t>
      </w:r>
      <w:r>
        <w:t xml:space="preserve"> Auto </w:t>
      </w:r>
      <w:hyperlink w:anchor="AUTO_2025_65" w:history="1">
        <w:r w:rsidRPr="001D7FA9">
          <w:rPr>
            <w:rStyle w:val="TextoNormalCaracter"/>
          </w:rPr>
          <w:t>65/2025</w:t>
        </w:r>
      </w:hyperlink>
      <w:r>
        <w:t>, f. 4.</w:t>
      </w:r>
    </w:p>
    <w:p w14:paraId="01BCA75C" w14:textId="3D6D2128" w:rsidR="001D7FA9" w:rsidRDefault="001D7FA9" w:rsidP="001D7FA9">
      <w:pPr>
        <w:pStyle w:val="SangriaFrancesaArticulo"/>
      </w:pPr>
    </w:p>
    <w:p w14:paraId="217170FE" w14:textId="77777777" w:rsidR="001D7FA9" w:rsidRDefault="001D7FA9" w:rsidP="001D7FA9">
      <w:pPr>
        <w:pStyle w:val="TextoNormalNegritaCursivandice"/>
        <w:keepNext/>
      </w:pPr>
      <w:r>
        <w:t>Acuerdo de 18 de junio de 1996, del Pleno del Tribunal Constitucional, sobre asistencia jurídica gratuita en los procesos de amparo constitucional</w:t>
      </w:r>
    </w:p>
    <w:p w14:paraId="077699E5" w14:textId="3547403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6" w:history="1">
        <w:r w:rsidRPr="001D7FA9">
          <w:rPr>
            <w:rStyle w:val="TextoNormalCaracter"/>
          </w:rPr>
          <w:t>36/2025</w:t>
        </w:r>
      </w:hyperlink>
      <w:r>
        <w:t>, f. 1.</w:t>
      </w:r>
    </w:p>
    <w:p w14:paraId="3F28624F" w14:textId="06B362E5" w:rsidR="001D7FA9" w:rsidRDefault="001D7FA9" w:rsidP="001D7FA9">
      <w:pPr>
        <w:pStyle w:val="SangriaFrancesaArticulo"/>
      </w:pPr>
      <w:r w:rsidRPr="001D7FA9">
        <w:rPr>
          <w:rStyle w:val="TextoNormalNegritaCaracter"/>
        </w:rPr>
        <w:t>Artículo 9.</w:t>
      </w:r>
      <w:r w:rsidRPr="001D7FA9">
        <w:rPr>
          <w:rStyle w:val="TextoNormalCaracter"/>
        </w:rPr>
        <w:t>-</w:t>
      </w:r>
      <w:r>
        <w:t xml:space="preserve"> Auto </w:t>
      </w:r>
      <w:hyperlink w:anchor="AUTO_2025_36" w:history="1">
        <w:r w:rsidRPr="001D7FA9">
          <w:rPr>
            <w:rStyle w:val="TextoNormalCaracter"/>
          </w:rPr>
          <w:t>36/2025</w:t>
        </w:r>
      </w:hyperlink>
      <w:r>
        <w:t>, f. 2.</w:t>
      </w:r>
    </w:p>
    <w:p w14:paraId="1AAEE00A" w14:textId="21155DFA"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Auto </w:t>
      </w:r>
      <w:hyperlink w:anchor="AUTO_2025_36" w:history="1">
        <w:r w:rsidRPr="001D7FA9">
          <w:rPr>
            <w:rStyle w:val="TextoNormalCaracter"/>
          </w:rPr>
          <w:t>36/2025</w:t>
        </w:r>
      </w:hyperlink>
      <w:r>
        <w:t>, f. 2.</w:t>
      </w:r>
    </w:p>
    <w:p w14:paraId="48D93734" w14:textId="50279C95" w:rsidR="001D7FA9" w:rsidRDefault="001D7FA9" w:rsidP="001D7FA9">
      <w:pPr>
        <w:pStyle w:val="SangriaFrancesaArticulo"/>
      </w:pPr>
    </w:p>
    <w:p w14:paraId="1CABE49E" w14:textId="77777777" w:rsidR="001D7FA9" w:rsidRDefault="001D7FA9" w:rsidP="001D7FA9">
      <w:pPr>
        <w:pStyle w:val="TextoNormalNegritaCursivandice"/>
        <w:keepNext/>
      </w:pPr>
      <w:r>
        <w:t>Ley Orgánica 6/2007, de 24 de mayo, por la que se modifica la Ley Orgánica 2/1979, de 3 de octubre, del Tribunal Constitucional</w:t>
      </w:r>
    </w:p>
    <w:p w14:paraId="6E4A764C" w14:textId="3534F2AA"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06" w:history="1">
        <w:r w:rsidRPr="001D7FA9">
          <w:rPr>
            <w:rStyle w:val="TextoNormalCaracter"/>
          </w:rPr>
          <w:t>106/2025</w:t>
        </w:r>
      </w:hyperlink>
      <w:r>
        <w:t>, f. 2.</w:t>
      </w:r>
    </w:p>
    <w:p w14:paraId="7AA7EA89" w14:textId="1C6DCFEC" w:rsidR="001D7FA9" w:rsidRDefault="001D7FA9" w:rsidP="001D7FA9">
      <w:pPr>
        <w:pStyle w:val="SangriaIzquierdaArticulo"/>
      </w:pPr>
      <w:r>
        <w:t xml:space="preserve">Auto </w:t>
      </w:r>
      <w:hyperlink w:anchor="AUTO_2025_20" w:history="1">
        <w:r w:rsidRPr="001D7FA9">
          <w:rPr>
            <w:rStyle w:val="TextoNormalCaracter"/>
          </w:rPr>
          <w:t>20/2025</w:t>
        </w:r>
      </w:hyperlink>
      <w:r>
        <w:t>, f. 4.</w:t>
      </w:r>
    </w:p>
    <w:p w14:paraId="0F599967" w14:textId="7B5EB08C" w:rsidR="001D7FA9" w:rsidRDefault="001D7FA9" w:rsidP="001D7FA9">
      <w:pPr>
        <w:pStyle w:val="SangriaIzquierdaArticulo"/>
      </w:pPr>
    </w:p>
    <w:p w14:paraId="18CE4A39" w14:textId="77777777" w:rsidR="001D7FA9" w:rsidRDefault="001D7FA9" w:rsidP="001D7FA9">
      <w:pPr>
        <w:pStyle w:val="TextoNormalNegritaCursivandice"/>
        <w:keepNext/>
      </w:pPr>
      <w:r>
        <w:t>Acuerdo de 23 de julio de 2015, del Pleno del Tribunal Constitucional, por el que se regula la exclusión de los datos de identidad personal en la publicación de las resoluciones jurisdiccionales</w:t>
      </w:r>
    </w:p>
    <w:p w14:paraId="3C4CF9C6" w14:textId="1BB83B6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54" w:history="1">
        <w:r w:rsidRPr="001D7FA9">
          <w:rPr>
            <w:rStyle w:val="TextoNormalCaracter"/>
          </w:rPr>
          <w:t>54/2025</w:t>
        </w:r>
      </w:hyperlink>
      <w:r>
        <w:t xml:space="preserve">, f. 1; </w:t>
      </w:r>
      <w:hyperlink w:anchor="SENTENCIA_2025_105" w:history="1">
        <w:r w:rsidRPr="001D7FA9">
          <w:rPr>
            <w:rStyle w:val="TextoNormalCaracter"/>
          </w:rPr>
          <w:t>105/2025</w:t>
        </w:r>
      </w:hyperlink>
      <w:r>
        <w:t xml:space="preserve">, f. 1; </w:t>
      </w:r>
      <w:hyperlink w:anchor="SENTENCIA_2025_119" w:history="1">
        <w:r w:rsidRPr="001D7FA9">
          <w:rPr>
            <w:rStyle w:val="TextoNormalCaracter"/>
          </w:rPr>
          <w:t>119/2025</w:t>
        </w:r>
      </w:hyperlink>
      <w:r>
        <w:t>, f. 1.</w:t>
      </w:r>
    </w:p>
    <w:p w14:paraId="324C15D4" w14:textId="4D0E49E8"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Sentencias </w:t>
      </w:r>
      <w:hyperlink w:anchor="SENTENCIA_2025_105" w:history="1">
        <w:r w:rsidRPr="001D7FA9">
          <w:rPr>
            <w:rStyle w:val="TextoNormalCaracter"/>
          </w:rPr>
          <w:t>105/2025</w:t>
        </w:r>
      </w:hyperlink>
      <w:r>
        <w:t xml:space="preserve">, f. 1; </w:t>
      </w:r>
      <w:hyperlink w:anchor="SENTENCIA_2025_110" w:history="1">
        <w:r w:rsidRPr="001D7FA9">
          <w:rPr>
            <w:rStyle w:val="TextoNormalCaracter"/>
          </w:rPr>
          <w:t>110/2025</w:t>
        </w:r>
      </w:hyperlink>
      <w:r>
        <w:t>, f. 1.</w:t>
      </w:r>
    </w:p>
    <w:p w14:paraId="5C6C7661" w14:textId="48063C82" w:rsidR="001D7FA9" w:rsidRDefault="001D7FA9" w:rsidP="001D7FA9">
      <w:pPr>
        <w:pStyle w:val="TextoNormal"/>
      </w:pPr>
    </w:p>
    <w:p w14:paraId="135246E1" w14:textId="77777777" w:rsidR="001D7FA9" w:rsidRDefault="001D7FA9" w:rsidP="001D7FA9">
      <w:pPr>
        <w:pStyle w:val="SangriaFrancesaArticulo"/>
      </w:pPr>
      <w:bookmarkStart w:id="213" w:name="INDICE22844"/>
    </w:p>
    <w:bookmarkEnd w:id="213"/>
    <w:p w14:paraId="3E359EBA" w14:textId="77777777" w:rsidR="001D7FA9" w:rsidRDefault="001D7FA9" w:rsidP="001D7FA9">
      <w:pPr>
        <w:pStyle w:val="TextoIndiceNivel2"/>
        <w:suppressAutoHyphens/>
      </w:pPr>
      <w:r>
        <w:t>C) Cortes Generales</w:t>
      </w:r>
    </w:p>
    <w:p w14:paraId="4FFA2A73" w14:textId="4B3B54EB" w:rsidR="001D7FA9" w:rsidRDefault="001D7FA9" w:rsidP="001D7FA9">
      <w:pPr>
        <w:pStyle w:val="TextoIndiceNivel2"/>
      </w:pPr>
    </w:p>
    <w:p w14:paraId="64A3CE22" w14:textId="77777777" w:rsidR="001D7FA9" w:rsidRDefault="001D7FA9" w:rsidP="001D7FA9">
      <w:pPr>
        <w:pStyle w:val="TextoNormalNegritaCursivandice"/>
        <w:keepNext/>
      </w:pPr>
      <w:r>
        <w:t>Reglamento del Congreso de los Diputados, de 10 de febrero de 1982</w:t>
      </w:r>
    </w:p>
    <w:p w14:paraId="61CEA781" w14:textId="2036D25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56D01BC" w14:textId="7F81E476" w:rsidR="001D7FA9" w:rsidRDefault="001D7FA9" w:rsidP="001D7FA9">
      <w:pPr>
        <w:pStyle w:val="SangriaFrancesaArticulo"/>
      </w:pPr>
      <w:r w:rsidRPr="001D7FA9">
        <w:rPr>
          <w:rStyle w:val="TextoNormalNegritaCaracter"/>
        </w:rPr>
        <w:t>Título IV, Capítulo I.</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37436EC1" w14:textId="5D014107" w:rsidR="001D7FA9" w:rsidRDefault="001D7FA9" w:rsidP="001D7FA9">
      <w:pPr>
        <w:pStyle w:val="SangriaFrancesaArticulo"/>
      </w:pPr>
      <w:r w:rsidRPr="001D7FA9">
        <w:rPr>
          <w:rStyle w:val="TextoNormalNegritaCaracter"/>
        </w:rPr>
        <w:t>Título V, capítulo III, sección primera.</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5454ECD9" w14:textId="69DD9647" w:rsidR="001D7FA9" w:rsidRDefault="001D7FA9" w:rsidP="001D7FA9">
      <w:pPr>
        <w:pStyle w:val="SangriaFrancesaArticulo"/>
      </w:pPr>
      <w:r w:rsidRPr="001D7FA9">
        <w:rPr>
          <w:rStyle w:val="TextoNormalNegritaCaracter"/>
        </w:rPr>
        <w:t>Título VIII.</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79FA214D" w14:textId="77DB3C7A" w:rsidR="001D7FA9" w:rsidRDefault="001D7FA9" w:rsidP="001D7FA9">
      <w:pPr>
        <w:pStyle w:val="SangriaFrancesaArticulo"/>
      </w:pPr>
      <w:r w:rsidRPr="001D7FA9">
        <w:rPr>
          <w:rStyle w:val="TextoNormalNegritaCaracter"/>
        </w:rPr>
        <w:t>Artículo 69.</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3D675ADB" w14:textId="788787CB" w:rsidR="001D7FA9" w:rsidRDefault="001D7FA9" w:rsidP="001D7FA9">
      <w:pPr>
        <w:pStyle w:val="SangriaFrancesaArticulo"/>
      </w:pPr>
      <w:r w:rsidRPr="001D7FA9">
        <w:rPr>
          <w:rStyle w:val="TextoNormalNegritaCaracter"/>
        </w:rPr>
        <w:t>Artículo 78.1.</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62D11ACE" w14:textId="78BC3083" w:rsidR="001D7FA9" w:rsidRDefault="001D7FA9" w:rsidP="001D7FA9">
      <w:pPr>
        <w:pStyle w:val="SangriaFrancesaArticulo"/>
      </w:pPr>
      <w:r w:rsidRPr="001D7FA9">
        <w:rPr>
          <w:rStyle w:val="TextoNormalNegritaCaracter"/>
        </w:rPr>
        <w:t>Artículo 79.1.</w:t>
      </w:r>
      <w:r w:rsidRPr="001D7FA9">
        <w:rPr>
          <w:rStyle w:val="TextoNormalCaracter"/>
        </w:rPr>
        <w:t>-</w:t>
      </w:r>
      <w:r>
        <w:t xml:space="preserve"> Sentencia </w:t>
      </w:r>
      <w:hyperlink w:anchor="SENTENCIA_2025_137" w:history="1">
        <w:r w:rsidRPr="001D7FA9">
          <w:rPr>
            <w:rStyle w:val="TextoNormalCaracter"/>
          </w:rPr>
          <w:t>137/2025</w:t>
        </w:r>
      </w:hyperlink>
      <w:r>
        <w:t>, f. 12, VP III.</w:t>
      </w:r>
    </w:p>
    <w:p w14:paraId="1D985254" w14:textId="11BD5341"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4E58258F" w14:textId="5985597B" w:rsidR="001D7FA9" w:rsidRDefault="001D7FA9" w:rsidP="001D7FA9">
      <w:pPr>
        <w:pStyle w:val="SangriaFrancesaArticulo"/>
      </w:pPr>
      <w:r w:rsidRPr="001D7FA9">
        <w:rPr>
          <w:rStyle w:val="TextoNormalNegritaCaracter"/>
        </w:rPr>
        <w:t>Artículo 94.</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6308493E" w14:textId="52B5B921" w:rsidR="001D7FA9" w:rsidRDefault="001D7FA9" w:rsidP="001D7FA9">
      <w:pPr>
        <w:pStyle w:val="SangriaFrancesaArticulo"/>
      </w:pPr>
      <w:r w:rsidRPr="001D7FA9">
        <w:rPr>
          <w:rStyle w:val="TextoNormalNegritaCaracter"/>
        </w:rPr>
        <w:t>Artículo 109.</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68424DF8" w14:textId="7E7AF362" w:rsidR="001D7FA9" w:rsidRDefault="001D7FA9" w:rsidP="001D7FA9">
      <w:pPr>
        <w:pStyle w:val="SangriaFrancesaArticulo"/>
      </w:pPr>
      <w:r w:rsidRPr="001D7FA9">
        <w:rPr>
          <w:rStyle w:val="TextoNormalNegritaCaracter"/>
        </w:rPr>
        <w:t>Artículo 109 a 123.</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4B0B6AE8" w14:textId="6712B062"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14A4D865" w14:textId="49398E7E" w:rsidR="001D7FA9" w:rsidRDefault="001D7FA9" w:rsidP="001D7FA9">
      <w:pPr>
        <w:pStyle w:val="SangriaFrancesaArticulo"/>
      </w:pPr>
      <w:r w:rsidRPr="001D7FA9">
        <w:rPr>
          <w:rStyle w:val="TextoNormalNegritaCaracter"/>
        </w:rPr>
        <w:t>Artículo 114.</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25E0C7DF" w14:textId="084795BB" w:rsidR="001D7FA9" w:rsidRDefault="001D7FA9" w:rsidP="001D7FA9">
      <w:pPr>
        <w:pStyle w:val="SangriaFrancesaArticulo"/>
      </w:pPr>
      <w:r w:rsidRPr="001D7FA9">
        <w:rPr>
          <w:rStyle w:val="TextoNormalNegritaCaracter"/>
        </w:rPr>
        <w:t>Artículo 114.3.</w:t>
      </w:r>
      <w:r w:rsidRPr="001D7FA9">
        <w:rPr>
          <w:rStyle w:val="TextoNormalCaracter"/>
        </w:rPr>
        <w:t>-</w:t>
      </w:r>
      <w:r>
        <w:t xml:space="preserve"> Sentencia </w:t>
      </w:r>
      <w:hyperlink w:anchor="SENTENCIA_2025_137" w:history="1">
        <w:r w:rsidRPr="001D7FA9">
          <w:rPr>
            <w:rStyle w:val="TextoNormalCaracter"/>
          </w:rPr>
          <w:t>137/2025</w:t>
        </w:r>
      </w:hyperlink>
      <w:r>
        <w:t>, f. 12, VP III.</w:t>
      </w:r>
    </w:p>
    <w:p w14:paraId="19B5A744" w14:textId="481C297A" w:rsidR="001D7FA9" w:rsidRDefault="001D7FA9" w:rsidP="001D7FA9">
      <w:pPr>
        <w:pStyle w:val="SangriaFrancesaArticulo"/>
      </w:pPr>
      <w:r w:rsidRPr="001D7FA9">
        <w:rPr>
          <w:rStyle w:val="TextoNormalNegritaCaracter"/>
        </w:rPr>
        <w:t>Artículo 118.3.</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1F6E3EF6" w14:textId="15B538F2" w:rsidR="001D7FA9" w:rsidRDefault="001D7FA9" w:rsidP="001D7FA9">
      <w:pPr>
        <w:pStyle w:val="SangriaFrancesaArticulo"/>
      </w:pPr>
      <w:r w:rsidRPr="001D7FA9">
        <w:rPr>
          <w:rStyle w:val="TextoNormalNegritaCaracter"/>
        </w:rPr>
        <w:t>Artículo 124 a 125.</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5F47510D" w14:textId="20A5CDFE" w:rsidR="001D7FA9" w:rsidRDefault="001D7FA9" w:rsidP="001D7FA9">
      <w:pPr>
        <w:pStyle w:val="SangriaFrancesaArticulo"/>
      </w:pPr>
      <w:r w:rsidRPr="001D7FA9">
        <w:rPr>
          <w:rStyle w:val="TextoNormalNegritaCaracter"/>
        </w:rPr>
        <w:t>Artículos 124 y ss..</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33463797" w14:textId="6D2B6336" w:rsidR="001D7FA9" w:rsidRDefault="001D7FA9" w:rsidP="001D7FA9">
      <w:pPr>
        <w:pStyle w:val="SangriaFrancesaArticulo"/>
      </w:pPr>
      <w:r w:rsidRPr="001D7FA9">
        <w:rPr>
          <w:rStyle w:val="TextoNormalNegritaCaracter"/>
        </w:rPr>
        <w:t>Artículo 125.</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6423305F" w14:textId="517E59A4" w:rsidR="001D7FA9" w:rsidRDefault="001D7FA9" w:rsidP="001D7FA9">
      <w:pPr>
        <w:pStyle w:val="SangriaFrancesaArticulo"/>
      </w:pPr>
      <w:r w:rsidRPr="001D7FA9">
        <w:rPr>
          <w:rStyle w:val="TextoNormalNegritaCaracter"/>
        </w:rPr>
        <w:t>Artículo 131.2.</w:t>
      </w:r>
      <w:r w:rsidRPr="001D7FA9">
        <w:rPr>
          <w:rStyle w:val="TextoNormalCaracter"/>
        </w:rPr>
        <w:t>-</w:t>
      </w:r>
      <w:r>
        <w:t xml:space="preserve"> Sentencia </w:t>
      </w:r>
      <w:hyperlink w:anchor="SENTENCIA_2025_137" w:history="1">
        <w:r w:rsidRPr="001D7FA9">
          <w:rPr>
            <w:rStyle w:val="TextoNormalCaracter"/>
          </w:rPr>
          <w:t>137/2025</w:t>
        </w:r>
      </w:hyperlink>
      <w:r>
        <w:t>, f. 12, VP III.</w:t>
      </w:r>
    </w:p>
    <w:p w14:paraId="3CAD4696" w14:textId="586D7029" w:rsidR="001D7FA9" w:rsidRDefault="001D7FA9" w:rsidP="001D7FA9">
      <w:pPr>
        <w:pStyle w:val="SangriaFrancesaArticulo"/>
      </w:pPr>
      <w:r w:rsidRPr="001D7FA9">
        <w:rPr>
          <w:rStyle w:val="TextoNormalNegritaCaracter"/>
        </w:rPr>
        <w:t>Artículo 131.3.</w:t>
      </w:r>
      <w:r w:rsidRPr="001D7FA9">
        <w:rPr>
          <w:rStyle w:val="TextoNormalCaracter"/>
        </w:rPr>
        <w:t>-</w:t>
      </w:r>
      <w:r>
        <w:t xml:space="preserve"> Sentencia </w:t>
      </w:r>
      <w:hyperlink w:anchor="SENTENCIA_2025_137" w:history="1">
        <w:r w:rsidRPr="001D7FA9">
          <w:rPr>
            <w:rStyle w:val="TextoNormalCaracter"/>
          </w:rPr>
          <w:t>137/2025</w:t>
        </w:r>
      </w:hyperlink>
      <w:r>
        <w:t>, f. 12.</w:t>
      </w:r>
    </w:p>
    <w:p w14:paraId="312E1026" w14:textId="4F2E422B" w:rsidR="001D7FA9" w:rsidRDefault="001D7FA9" w:rsidP="001D7FA9">
      <w:pPr>
        <w:pStyle w:val="SangriaFrancesaArticulo"/>
      </w:pPr>
    </w:p>
    <w:p w14:paraId="006BB879" w14:textId="77777777" w:rsidR="001D7FA9" w:rsidRDefault="001D7FA9" w:rsidP="001D7FA9">
      <w:pPr>
        <w:pStyle w:val="TextoNormalNegritaCursivandice"/>
        <w:keepNext/>
      </w:pPr>
      <w:r>
        <w:t>Reglamento del Senado, de 26 de mayo de 1982</w:t>
      </w:r>
    </w:p>
    <w:p w14:paraId="15B2F8CF" w14:textId="1A5AC12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3" w:history="1">
        <w:r w:rsidRPr="001D7FA9">
          <w:rPr>
            <w:rStyle w:val="TextoNormalCaracter"/>
          </w:rPr>
          <w:t>63/2025</w:t>
        </w:r>
      </w:hyperlink>
      <w:r>
        <w:t>, f. 1.</w:t>
      </w:r>
    </w:p>
    <w:p w14:paraId="2856B83E" w14:textId="63E18F98" w:rsidR="001D7FA9" w:rsidRDefault="001D7FA9" w:rsidP="001D7FA9">
      <w:pPr>
        <w:pStyle w:val="SangriaFrancesaArticulo"/>
      </w:pPr>
      <w:r w:rsidRPr="001D7FA9">
        <w:rPr>
          <w:rStyle w:val="TextoNormalNegritaCaracter"/>
        </w:rPr>
        <w:t>Título IV, capítulo II, sección III.</w:t>
      </w:r>
      <w:r w:rsidRPr="001D7FA9">
        <w:rPr>
          <w:rStyle w:val="TextoNormalCaracter"/>
        </w:rPr>
        <w:t>-</w:t>
      </w:r>
      <w:r>
        <w:t xml:space="preserve"> Sentencia </w:t>
      </w:r>
      <w:hyperlink w:anchor="SENTENCIA_2025_63" w:history="1">
        <w:r w:rsidRPr="001D7FA9">
          <w:rPr>
            <w:rStyle w:val="TextoNormalCaracter"/>
          </w:rPr>
          <w:t>63/2025</w:t>
        </w:r>
      </w:hyperlink>
      <w:r>
        <w:t>, f. 3.</w:t>
      </w:r>
    </w:p>
    <w:p w14:paraId="2BCB4D5F" w14:textId="3ED6792B" w:rsidR="001D7FA9" w:rsidRDefault="001D7FA9" w:rsidP="001D7FA9">
      <w:pPr>
        <w:pStyle w:val="SangriaFrancesaArticulo"/>
      </w:pPr>
      <w:r w:rsidRPr="001D7FA9">
        <w:rPr>
          <w:rStyle w:val="TextoNormalNegritaCaracter"/>
        </w:rPr>
        <w:t>Artículo 71.1.</w:t>
      </w:r>
      <w:r w:rsidRPr="001D7FA9">
        <w:rPr>
          <w:rStyle w:val="TextoNormalCaracter"/>
        </w:rPr>
        <w:t>-</w:t>
      </w:r>
      <w:r>
        <w:t xml:space="preserve"> Sentencia </w:t>
      </w:r>
      <w:hyperlink w:anchor="SENTENCIA_2025_63" w:history="1">
        <w:r w:rsidRPr="001D7FA9">
          <w:rPr>
            <w:rStyle w:val="TextoNormalCaracter"/>
          </w:rPr>
          <w:t>63/2025</w:t>
        </w:r>
      </w:hyperlink>
      <w:r>
        <w:t>, f. 1.</w:t>
      </w:r>
    </w:p>
    <w:p w14:paraId="5B7E0E41" w14:textId="46FC0D0F" w:rsidR="001D7FA9" w:rsidRDefault="001D7FA9" w:rsidP="001D7FA9">
      <w:pPr>
        <w:pStyle w:val="SangriaFrancesaArticulo"/>
      </w:pPr>
      <w:r w:rsidRPr="001D7FA9">
        <w:rPr>
          <w:rStyle w:val="TextoNormalNegritaCaracter"/>
        </w:rPr>
        <w:t>Artículo 108.</w:t>
      </w:r>
      <w:r w:rsidRPr="001D7FA9">
        <w:rPr>
          <w:rStyle w:val="TextoNormalCaracter"/>
        </w:rPr>
        <w:t>-</w:t>
      </w:r>
      <w:r>
        <w:t xml:space="preserve"> Sentencia </w:t>
      </w:r>
      <w:hyperlink w:anchor="SENTENCIA_2025_63" w:history="1">
        <w:r w:rsidRPr="001D7FA9">
          <w:rPr>
            <w:rStyle w:val="TextoNormalCaracter"/>
          </w:rPr>
          <w:t>63/2025</w:t>
        </w:r>
      </w:hyperlink>
      <w:r>
        <w:t>, f. 1.</w:t>
      </w:r>
    </w:p>
    <w:p w14:paraId="0F310031" w14:textId="5079D0BE" w:rsidR="001D7FA9" w:rsidRDefault="001D7FA9" w:rsidP="001D7FA9">
      <w:pPr>
        <w:pStyle w:val="SangriaFrancesaArticulo"/>
      </w:pPr>
      <w:r w:rsidRPr="001D7FA9">
        <w:rPr>
          <w:rStyle w:val="TextoNormalNegritaCaracter"/>
        </w:rPr>
        <w:t>Artículo 108.3.</w:t>
      </w:r>
      <w:r w:rsidRPr="001D7FA9">
        <w:rPr>
          <w:rStyle w:val="TextoNormalCaracter"/>
        </w:rPr>
        <w:t>-</w:t>
      </w:r>
      <w:r>
        <w:t xml:space="preserve"> Sentencia </w:t>
      </w:r>
      <w:hyperlink w:anchor="SENTENCIA_2025_63" w:history="1">
        <w:r w:rsidRPr="001D7FA9">
          <w:rPr>
            <w:rStyle w:val="TextoNormalCaracter"/>
          </w:rPr>
          <w:t>63/2025</w:t>
        </w:r>
      </w:hyperlink>
      <w:r>
        <w:t>, f. 1.</w:t>
      </w:r>
    </w:p>
    <w:p w14:paraId="29216B6E" w14:textId="564817F6"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Sentencia </w:t>
      </w:r>
      <w:hyperlink w:anchor="SENTENCIA_2025_63" w:history="1">
        <w:r w:rsidRPr="001D7FA9">
          <w:rPr>
            <w:rStyle w:val="TextoNormalCaracter"/>
          </w:rPr>
          <w:t>63/2025</w:t>
        </w:r>
      </w:hyperlink>
      <w:r>
        <w:t>, f. 5.</w:t>
      </w:r>
    </w:p>
    <w:p w14:paraId="7780F5BB" w14:textId="11582778" w:rsidR="001D7FA9" w:rsidRDefault="001D7FA9" w:rsidP="001D7FA9">
      <w:pPr>
        <w:pStyle w:val="SangriaFrancesaArticulo"/>
      </w:pPr>
      <w:r w:rsidRPr="001D7FA9">
        <w:rPr>
          <w:rStyle w:val="TextoNormalNegritaCaracter"/>
        </w:rPr>
        <w:t>Artículo 117.</w:t>
      </w:r>
      <w:r w:rsidRPr="001D7FA9">
        <w:rPr>
          <w:rStyle w:val="TextoNormalCaracter"/>
        </w:rPr>
        <w:t>-</w:t>
      </w:r>
      <w:r>
        <w:t xml:space="preserve"> Sentencia </w:t>
      </w:r>
      <w:hyperlink w:anchor="SENTENCIA_2025_63" w:history="1">
        <w:r w:rsidRPr="001D7FA9">
          <w:rPr>
            <w:rStyle w:val="TextoNormalCaracter"/>
          </w:rPr>
          <w:t>63/2025</w:t>
        </w:r>
      </w:hyperlink>
      <w:r>
        <w:t>, f. 5.</w:t>
      </w:r>
    </w:p>
    <w:p w14:paraId="4B7382A2" w14:textId="3FF32835" w:rsidR="001D7FA9" w:rsidRDefault="001D7FA9" w:rsidP="001D7FA9">
      <w:pPr>
        <w:pStyle w:val="SangriaFrancesaArticulo"/>
      </w:pPr>
      <w:r w:rsidRPr="001D7FA9">
        <w:rPr>
          <w:rStyle w:val="TextoNormalNegritaCaracter"/>
        </w:rPr>
        <w:t>Artículo 120.</w:t>
      </w:r>
      <w:r w:rsidRPr="001D7FA9">
        <w:rPr>
          <w:rStyle w:val="TextoNormalCaracter"/>
        </w:rPr>
        <w:t>-</w:t>
      </w:r>
      <w:r>
        <w:t xml:space="preserve"> Sentencia </w:t>
      </w:r>
      <w:hyperlink w:anchor="SENTENCIA_2025_63" w:history="1">
        <w:r w:rsidRPr="001D7FA9">
          <w:rPr>
            <w:rStyle w:val="TextoNormalCaracter"/>
          </w:rPr>
          <w:t>63/2025</w:t>
        </w:r>
      </w:hyperlink>
      <w:r>
        <w:t>, f. 5.</w:t>
      </w:r>
    </w:p>
    <w:p w14:paraId="75CF2069" w14:textId="2FCFFB90"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63" w:history="1">
        <w:r w:rsidRPr="001D7FA9">
          <w:rPr>
            <w:rStyle w:val="TextoNormalCaracter"/>
          </w:rPr>
          <w:t>63/2025</w:t>
        </w:r>
      </w:hyperlink>
      <w:r>
        <w:t>, f. 5.</w:t>
      </w:r>
    </w:p>
    <w:p w14:paraId="75B4ADF8" w14:textId="23CE94A9"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63" w:history="1">
        <w:r w:rsidRPr="001D7FA9">
          <w:rPr>
            <w:rStyle w:val="TextoNormalCaracter"/>
          </w:rPr>
          <w:t>63/2025</w:t>
        </w:r>
      </w:hyperlink>
      <w:r>
        <w:t>, f. 5.</w:t>
      </w:r>
    </w:p>
    <w:p w14:paraId="6BA3EEE5" w14:textId="29854D33" w:rsidR="001D7FA9" w:rsidRDefault="001D7FA9" w:rsidP="001D7FA9">
      <w:pPr>
        <w:pStyle w:val="SangriaFrancesaArticulo"/>
      </w:pPr>
      <w:r w:rsidRPr="001D7FA9">
        <w:rPr>
          <w:rStyle w:val="TextoNormalNegritaCaracter"/>
        </w:rPr>
        <w:t>Artículo 123.</w:t>
      </w:r>
      <w:r w:rsidRPr="001D7FA9">
        <w:rPr>
          <w:rStyle w:val="TextoNormalCaracter"/>
        </w:rPr>
        <w:t>-</w:t>
      </w:r>
      <w:r>
        <w:t xml:space="preserve"> Sentencia </w:t>
      </w:r>
      <w:hyperlink w:anchor="SENTENCIA_2025_63" w:history="1">
        <w:r w:rsidRPr="001D7FA9">
          <w:rPr>
            <w:rStyle w:val="TextoNormalCaracter"/>
          </w:rPr>
          <w:t>63/2025</w:t>
        </w:r>
      </w:hyperlink>
      <w:r>
        <w:t>, f. 5.</w:t>
      </w:r>
    </w:p>
    <w:p w14:paraId="4D548CDC" w14:textId="74C93CC1" w:rsidR="001D7FA9" w:rsidRDefault="001D7FA9" w:rsidP="001D7FA9">
      <w:pPr>
        <w:pStyle w:val="SangriaFrancesaArticulo"/>
      </w:pPr>
      <w:r w:rsidRPr="001D7FA9">
        <w:rPr>
          <w:rStyle w:val="TextoNormalNegritaCaracter"/>
        </w:rPr>
        <w:t>Artículo 125.</w:t>
      </w:r>
      <w:r w:rsidRPr="001D7FA9">
        <w:rPr>
          <w:rStyle w:val="TextoNormalCaracter"/>
        </w:rPr>
        <w:t>-</w:t>
      </w:r>
      <w:r>
        <w:t xml:space="preserve"> Sentencia </w:t>
      </w:r>
      <w:hyperlink w:anchor="SENTENCIA_2025_63" w:history="1">
        <w:r w:rsidRPr="001D7FA9">
          <w:rPr>
            <w:rStyle w:val="TextoNormalCaracter"/>
          </w:rPr>
          <w:t>63/2025</w:t>
        </w:r>
      </w:hyperlink>
      <w:r>
        <w:t>, VP I.</w:t>
      </w:r>
    </w:p>
    <w:p w14:paraId="7DB2705C" w14:textId="2CB321D5" w:rsidR="001D7FA9" w:rsidRDefault="001D7FA9" w:rsidP="001D7FA9">
      <w:pPr>
        <w:pStyle w:val="SangriaFrancesaArticulo"/>
      </w:pPr>
      <w:r w:rsidRPr="001D7FA9">
        <w:rPr>
          <w:rStyle w:val="TextoNormalNegritaCaracter"/>
        </w:rPr>
        <w:t>Artículo 129.</w:t>
      </w:r>
      <w:r w:rsidRPr="001D7FA9">
        <w:rPr>
          <w:rStyle w:val="TextoNormalCaracter"/>
        </w:rPr>
        <w:t>-</w:t>
      </w:r>
      <w:r>
        <w:t xml:space="preserve"> Sentencia </w:t>
      </w:r>
      <w:hyperlink w:anchor="SENTENCIA_2025_63" w:history="1">
        <w:r w:rsidRPr="001D7FA9">
          <w:rPr>
            <w:rStyle w:val="TextoNormalCaracter"/>
          </w:rPr>
          <w:t>63/2025</w:t>
        </w:r>
      </w:hyperlink>
      <w:r>
        <w:t>, f. 5.</w:t>
      </w:r>
    </w:p>
    <w:p w14:paraId="029FA499" w14:textId="0932EB90" w:rsidR="001D7FA9" w:rsidRDefault="001D7FA9" w:rsidP="001D7FA9">
      <w:pPr>
        <w:pStyle w:val="SangriaFrancesaArticulo"/>
      </w:pPr>
      <w:r w:rsidRPr="001D7FA9">
        <w:rPr>
          <w:rStyle w:val="TextoNormalNegritaCaracter"/>
        </w:rPr>
        <w:t>Artículo 133.</w:t>
      </w:r>
      <w:r w:rsidRPr="001D7FA9">
        <w:rPr>
          <w:rStyle w:val="TextoNormalCaracter"/>
        </w:rPr>
        <w:t>-</w:t>
      </w:r>
      <w:r>
        <w:t xml:space="preserve"> Sentencia </w:t>
      </w:r>
      <w:hyperlink w:anchor="SENTENCIA_2025_63" w:history="1">
        <w:r w:rsidRPr="001D7FA9">
          <w:rPr>
            <w:rStyle w:val="TextoNormalCaracter"/>
          </w:rPr>
          <w:t>63/2025</w:t>
        </w:r>
      </w:hyperlink>
      <w:r>
        <w:t>, ff. 3, 4.</w:t>
      </w:r>
    </w:p>
    <w:p w14:paraId="7F8BEE22" w14:textId="07223E6B" w:rsidR="001D7FA9" w:rsidRDefault="001D7FA9" w:rsidP="001D7FA9">
      <w:pPr>
        <w:pStyle w:val="SangriaFrancesaArticulo"/>
      </w:pPr>
      <w:r w:rsidRPr="001D7FA9">
        <w:rPr>
          <w:rStyle w:val="TextoNormalNegritaCaracter"/>
        </w:rPr>
        <w:t>Artículo 135.</w:t>
      </w:r>
      <w:r w:rsidRPr="001D7FA9">
        <w:rPr>
          <w:rStyle w:val="TextoNormalCaracter"/>
        </w:rPr>
        <w:t>-</w:t>
      </w:r>
      <w:r>
        <w:t xml:space="preserve"> Sentencia </w:t>
      </w:r>
      <w:hyperlink w:anchor="SENTENCIA_2025_63" w:history="1">
        <w:r w:rsidRPr="001D7FA9">
          <w:rPr>
            <w:rStyle w:val="TextoNormalCaracter"/>
          </w:rPr>
          <w:t>63/2025</w:t>
        </w:r>
      </w:hyperlink>
      <w:r>
        <w:t>, f. 5.</w:t>
      </w:r>
    </w:p>
    <w:p w14:paraId="1037873B" w14:textId="34922F83" w:rsidR="001D7FA9" w:rsidRDefault="001D7FA9" w:rsidP="001D7FA9">
      <w:pPr>
        <w:pStyle w:val="SangriaFrancesaArticulo"/>
      </w:pPr>
      <w:r w:rsidRPr="001D7FA9">
        <w:rPr>
          <w:rStyle w:val="TextoNormalNegritaCaracter"/>
        </w:rPr>
        <w:t>Artículo 136.</w:t>
      </w:r>
      <w:r w:rsidRPr="001D7FA9">
        <w:rPr>
          <w:rStyle w:val="TextoNormalCaracter"/>
        </w:rPr>
        <w:t>-</w:t>
      </w:r>
      <w:r>
        <w:t xml:space="preserve"> Sentencia </w:t>
      </w:r>
      <w:hyperlink w:anchor="SENTENCIA_2025_63" w:history="1">
        <w:r w:rsidRPr="001D7FA9">
          <w:rPr>
            <w:rStyle w:val="TextoNormalCaracter"/>
          </w:rPr>
          <w:t>63/2025</w:t>
        </w:r>
      </w:hyperlink>
      <w:r>
        <w:t>, f. 5.</w:t>
      </w:r>
    </w:p>
    <w:p w14:paraId="56AACDA5" w14:textId="76610B51" w:rsidR="001D7FA9" w:rsidRDefault="001D7FA9" w:rsidP="001D7FA9">
      <w:pPr>
        <w:pStyle w:val="SangriaFrancesaArticulo"/>
      </w:pPr>
      <w:r w:rsidRPr="001D7FA9">
        <w:rPr>
          <w:rStyle w:val="TextoNormalNegritaCaracter"/>
        </w:rPr>
        <w:t>Artículo 149.</w:t>
      </w:r>
      <w:r w:rsidRPr="001D7FA9">
        <w:rPr>
          <w:rStyle w:val="TextoNormalCaracter"/>
        </w:rPr>
        <w:t>-</w:t>
      </w:r>
      <w:r>
        <w:t xml:space="preserve"> Sentencia </w:t>
      </w:r>
      <w:hyperlink w:anchor="SENTENCIA_2025_63" w:history="1">
        <w:r w:rsidRPr="001D7FA9">
          <w:rPr>
            <w:rStyle w:val="TextoNormalCaracter"/>
          </w:rPr>
          <w:t>63/2025</w:t>
        </w:r>
      </w:hyperlink>
      <w:r>
        <w:t>, f. 5.</w:t>
      </w:r>
    </w:p>
    <w:p w14:paraId="57933EAA" w14:textId="514170A2" w:rsidR="001D7FA9" w:rsidRDefault="001D7FA9" w:rsidP="001D7FA9">
      <w:pPr>
        <w:pStyle w:val="SangriaFrancesaArticulo"/>
      </w:pPr>
      <w:r w:rsidRPr="001D7FA9">
        <w:rPr>
          <w:rStyle w:val="TextoNormalNegritaCaracter"/>
        </w:rPr>
        <w:t>Artículo 151.</w:t>
      </w:r>
      <w:r w:rsidRPr="001D7FA9">
        <w:rPr>
          <w:rStyle w:val="TextoNormalCaracter"/>
        </w:rPr>
        <w:t>-</w:t>
      </w:r>
      <w:r>
        <w:t xml:space="preserve"> Sentencia </w:t>
      </w:r>
      <w:hyperlink w:anchor="SENTENCIA_2025_63" w:history="1">
        <w:r w:rsidRPr="001D7FA9">
          <w:rPr>
            <w:rStyle w:val="TextoNormalCaracter"/>
          </w:rPr>
          <w:t>63/2025</w:t>
        </w:r>
      </w:hyperlink>
      <w:r>
        <w:t>, f. 5.</w:t>
      </w:r>
    </w:p>
    <w:p w14:paraId="43B8D649" w14:textId="2F769572" w:rsidR="001D7FA9" w:rsidRDefault="001D7FA9" w:rsidP="001D7FA9">
      <w:pPr>
        <w:pStyle w:val="SangriaFrancesaArticulo"/>
      </w:pPr>
      <w:r w:rsidRPr="001D7FA9">
        <w:rPr>
          <w:rStyle w:val="TextoNormalNegritaCaracter"/>
        </w:rPr>
        <w:t>Artículo 153.</w:t>
      </w:r>
      <w:r w:rsidRPr="001D7FA9">
        <w:rPr>
          <w:rStyle w:val="TextoNormalCaracter"/>
        </w:rPr>
        <w:t>-</w:t>
      </w:r>
      <w:r>
        <w:t xml:space="preserve"> Sentencia </w:t>
      </w:r>
      <w:hyperlink w:anchor="SENTENCIA_2025_63" w:history="1">
        <w:r w:rsidRPr="001D7FA9">
          <w:rPr>
            <w:rStyle w:val="TextoNormalCaracter"/>
          </w:rPr>
          <w:t>63/2025</w:t>
        </w:r>
      </w:hyperlink>
      <w:r>
        <w:t>, f. 5.</w:t>
      </w:r>
    </w:p>
    <w:p w14:paraId="2F454302" w14:textId="125AE698" w:rsidR="001D7FA9" w:rsidRDefault="001D7FA9" w:rsidP="001D7FA9">
      <w:pPr>
        <w:pStyle w:val="SangriaFrancesaArticulo"/>
      </w:pPr>
      <w:r w:rsidRPr="001D7FA9">
        <w:rPr>
          <w:rStyle w:val="TextoNormalNegritaCaracter"/>
        </w:rPr>
        <w:t>Artículo 196.</w:t>
      </w:r>
      <w:r w:rsidRPr="001D7FA9">
        <w:rPr>
          <w:rStyle w:val="TextoNormalCaracter"/>
        </w:rPr>
        <w:t>-</w:t>
      </w:r>
      <w:r>
        <w:t xml:space="preserve"> Sentencia </w:t>
      </w:r>
      <w:hyperlink w:anchor="SENTENCIA_2025_63" w:history="1">
        <w:r w:rsidRPr="001D7FA9">
          <w:rPr>
            <w:rStyle w:val="TextoNormalCaracter"/>
          </w:rPr>
          <w:t>63/2025</w:t>
        </w:r>
      </w:hyperlink>
      <w:r>
        <w:t>, f. 1.</w:t>
      </w:r>
    </w:p>
    <w:p w14:paraId="5F3DA9DC" w14:textId="5BAA4C7D" w:rsidR="001D7FA9" w:rsidRDefault="001D7FA9" w:rsidP="001D7FA9">
      <w:pPr>
        <w:pStyle w:val="SangriaFrancesaArticulo"/>
      </w:pPr>
    </w:p>
    <w:p w14:paraId="5A684826" w14:textId="77777777" w:rsidR="001D7FA9" w:rsidRDefault="001D7FA9" w:rsidP="001D7FA9">
      <w:pPr>
        <w:pStyle w:val="TextoNormalNegritaCursivandice"/>
        <w:keepNext/>
      </w:pPr>
      <w:r>
        <w:t>Dictamen de la Comisión de Investigación relativa al accidente del vuelo JK5022 de Spanair, aprobado por el Pleno del Congreso de los Diputados el 13 de mayo de 2021</w:t>
      </w:r>
    </w:p>
    <w:p w14:paraId="3E03D937" w14:textId="7D47E940" w:rsidR="001D7FA9" w:rsidRDefault="001D7FA9" w:rsidP="001D7FA9">
      <w:pPr>
        <w:pStyle w:val="SangriaFrancesaArticulo"/>
      </w:pPr>
      <w:r w:rsidRPr="001D7FA9">
        <w:rPr>
          <w:rStyle w:val="TextoNormalNegritaCaracter"/>
        </w:rPr>
        <w:t>Conclusión X.</w:t>
      </w:r>
      <w:r w:rsidRPr="001D7FA9">
        <w:rPr>
          <w:rStyle w:val="TextoNormalCaracter"/>
        </w:rPr>
        <w:t>-</w:t>
      </w:r>
      <w:r>
        <w:t xml:space="preserve"> Sentencias </w:t>
      </w:r>
      <w:hyperlink w:anchor="SENTENCIA_2025_107" w:history="1">
        <w:r w:rsidRPr="001D7FA9">
          <w:rPr>
            <w:rStyle w:val="TextoNormalCaracter"/>
          </w:rPr>
          <w:t>107/2025</w:t>
        </w:r>
      </w:hyperlink>
      <w:r>
        <w:t xml:space="preserve">, ff. 1, 3; </w:t>
      </w:r>
      <w:hyperlink w:anchor="SENTENCIA_2025_108" w:history="1">
        <w:r w:rsidRPr="001D7FA9">
          <w:rPr>
            <w:rStyle w:val="TextoNormalCaracter"/>
          </w:rPr>
          <w:t>108/2025</w:t>
        </w:r>
      </w:hyperlink>
      <w:r>
        <w:t>, ff. 1, 3.</w:t>
      </w:r>
    </w:p>
    <w:p w14:paraId="1E60D1F6" w14:textId="60B65C24" w:rsidR="001D7FA9" w:rsidRDefault="001D7FA9" w:rsidP="001D7FA9">
      <w:pPr>
        <w:pStyle w:val="SangriaFrancesaArticulo"/>
      </w:pPr>
      <w:r w:rsidRPr="001D7FA9">
        <w:rPr>
          <w:rStyle w:val="TextoNormalNegritaCaracter"/>
        </w:rPr>
        <w:t>Recomendación novena.</w:t>
      </w:r>
      <w:r w:rsidRPr="001D7FA9">
        <w:rPr>
          <w:rStyle w:val="TextoNormalCaracter"/>
        </w:rPr>
        <w:t>-</w:t>
      </w:r>
      <w:r>
        <w:t xml:space="preserve"> Sentencias </w:t>
      </w:r>
      <w:hyperlink w:anchor="SENTENCIA_2025_107" w:history="1">
        <w:r w:rsidRPr="001D7FA9">
          <w:rPr>
            <w:rStyle w:val="TextoNormalCaracter"/>
          </w:rPr>
          <w:t>107/2025</w:t>
        </w:r>
      </w:hyperlink>
      <w:r>
        <w:t xml:space="preserve">, ff. 1, 3; </w:t>
      </w:r>
      <w:hyperlink w:anchor="SENTENCIA_2025_108" w:history="1">
        <w:r w:rsidRPr="001D7FA9">
          <w:rPr>
            <w:rStyle w:val="TextoNormalCaracter"/>
          </w:rPr>
          <w:t>108/2025</w:t>
        </w:r>
      </w:hyperlink>
      <w:r>
        <w:t>, ff. 1, 3.</w:t>
      </w:r>
    </w:p>
    <w:p w14:paraId="17C7E4DC" w14:textId="6AA38637" w:rsidR="001D7FA9" w:rsidRDefault="001D7FA9" w:rsidP="001D7FA9">
      <w:pPr>
        <w:pStyle w:val="SangriaFrancesaArticulo"/>
      </w:pPr>
    </w:p>
    <w:p w14:paraId="3F62153F" w14:textId="77777777" w:rsidR="001D7FA9" w:rsidRDefault="001D7FA9" w:rsidP="001D7FA9">
      <w:pPr>
        <w:pStyle w:val="TextoNormalNegritaCursivandice"/>
        <w:keepNext/>
      </w:pPr>
      <w:r>
        <w:t>Reforma del Reglamento del Senado de 14 de noviembre de 2023 por la que se modifican los artículos 133 y 182</w:t>
      </w:r>
    </w:p>
    <w:p w14:paraId="44292CA6" w14:textId="7C06E57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3" w:history="1">
        <w:r w:rsidRPr="001D7FA9">
          <w:rPr>
            <w:rStyle w:val="TextoNormalCaracter"/>
          </w:rPr>
          <w:t>63/2025</w:t>
        </w:r>
      </w:hyperlink>
      <w:r>
        <w:t>, f. 1, VP I.</w:t>
      </w:r>
    </w:p>
    <w:p w14:paraId="4A1D8A75" w14:textId="4FE5D9A9" w:rsidR="001D7FA9" w:rsidRDefault="001D7FA9" w:rsidP="001D7FA9">
      <w:pPr>
        <w:pStyle w:val="SangriaFrancesaArticulo"/>
      </w:pPr>
      <w:r w:rsidRPr="001D7FA9">
        <w:rPr>
          <w:rStyle w:val="TextoNormalNegritaCaracter"/>
        </w:rPr>
        <w:t>Artículo 133.</w:t>
      </w:r>
      <w:r w:rsidRPr="001D7FA9">
        <w:rPr>
          <w:rStyle w:val="TextoNormalCaracter"/>
        </w:rPr>
        <w:t>-</w:t>
      </w:r>
      <w:r>
        <w:t xml:space="preserve"> Sentencia </w:t>
      </w:r>
      <w:hyperlink w:anchor="SENTENCIA_2025_63" w:history="1">
        <w:r w:rsidRPr="001D7FA9">
          <w:rPr>
            <w:rStyle w:val="TextoNormalCaracter"/>
          </w:rPr>
          <w:t>63/2025</w:t>
        </w:r>
      </w:hyperlink>
      <w:r>
        <w:t>, ff. 2, 3, 4, 7, 10.</w:t>
      </w:r>
    </w:p>
    <w:p w14:paraId="005D1D1E" w14:textId="615199DE" w:rsidR="001D7FA9" w:rsidRDefault="001D7FA9" w:rsidP="001D7FA9">
      <w:pPr>
        <w:pStyle w:val="SangriaFrancesaArticulo"/>
      </w:pPr>
      <w:r w:rsidRPr="001D7FA9">
        <w:rPr>
          <w:rStyle w:val="TextoNormalNegritaCaracter"/>
        </w:rPr>
        <w:t>Artículo 133.1.</w:t>
      </w:r>
      <w:r w:rsidRPr="001D7FA9">
        <w:rPr>
          <w:rStyle w:val="TextoNormalCaracter"/>
        </w:rPr>
        <w:t>-</w:t>
      </w:r>
      <w:r>
        <w:t xml:space="preserve"> Sentencia </w:t>
      </w:r>
      <w:hyperlink w:anchor="SENTENCIA_2025_63" w:history="1">
        <w:r w:rsidRPr="001D7FA9">
          <w:rPr>
            <w:rStyle w:val="TextoNormalCaracter"/>
          </w:rPr>
          <w:t>63/2025</w:t>
        </w:r>
      </w:hyperlink>
      <w:r>
        <w:t>, f. 3.</w:t>
      </w:r>
    </w:p>
    <w:p w14:paraId="7B9B6ED8" w14:textId="3350068C" w:rsidR="001D7FA9" w:rsidRDefault="001D7FA9" w:rsidP="001D7FA9">
      <w:pPr>
        <w:pStyle w:val="SangriaFrancesaArticulo"/>
      </w:pPr>
      <w:r w:rsidRPr="001D7FA9">
        <w:rPr>
          <w:rStyle w:val="TextoNormalNegritaCaracter"/>
        </w:rPr>
        <w:t>Artículo 133.2.</w:t>
      </w:r>
      <w:r w:rsidRPr="001D7FA9">
        <w:rPr>
          <w:rStyle w:val="TextoNormalCaracter"/>
        </w:rPr>
        <w:t>-</w:t>
      </w:r>
      <w:r>
        <w:t xml:space="preserve"> Sentencia </w:t>
      </w:r>
      <w:hyperlink w:anchor="SENTENCIA_2025_63" w:history="1">
        <w:r w:rsidRPr="001D7FA9">
          <w:rPr>
            <w:rStyle w:val="TextoNormalCaracter"/>
          </w:rPr>
          <w:t>63/2025</w:t>
        </w:r>
      </w:hyperlink>
      <w:r>
        <w:t>, ff. 1 a 5, 7, 10, VP I.</w:t>
      </w:r>
    </w:p>
    <w:p w14:paraId="0089FBD4" w14:textId="2E669038"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Sentencia </w:t>
      </w:r>
      <w:hyperlink w:anchor="SENTENCIA_2025_63" w:history="1">
        <w:r w:rsidRPr="001D7FA9">
          <w:rPr>
            <w:rStyle w:val="TextoNormalCaracter"/>
          </w:rPr>
          <w:t>63/2025</w:t>
        </w:r>
      </w:hyperlink>
      <w:r>
        <w:t>, f. 2.</w:t>
      </w:r>
    </w:p>
    <w:p w14:paraId="53E1A210" w14:textId="12131143" w:rsidR="001D7FA9" w:rsidRDefault="001D7FA9" w:rsidP="001D7FA9">
      <w:pPr>
        <w:pStyle w:val="SangriaFrancesaArticulo"/>
      </w:pPr>
    </w:p>
    <w:p w14:paraId="275D43CB" w14:textId="77777777" w:rsidR="001D7FA9" w:rsidRDefault="001D7FA9" w:rsidP="001D7FA9">
      <w:pPr>
        <w:pStyle w:val="TextoNormalNegritaCursivandice"/>
        <w:keepNext/>
      </w:pPr>
      <w:r>
        <w:t>Acuerdo de la mesa del Senado, de 21 de noviembre de 2023, ratificado el 18 de enero de 2024, de toma en consideración la proposición de ley por la que se deroga la Ley 29/1987, de 18 de diciembre, del impuesto sobre sucesiones y donaciones</w:t>
      </w:r>
    </w:p>
    <w:p w14:paraId="52911FB1" w14:textId="7224F29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5" w:history="1">
        <w:r w:rsidRPr="001D7FA9">
          <w:rPr>
            <w:rStyle w:val="TextoNormalCaracter"/>
          </w:rPr>
          <w:t>135/2025</w:t>
        </w:r>
      </w:hyperlink>
      <w:r>
        <w:t>, ff. 1, 2, 4.</w:t>
      </w:r>
    </w:p>
    <w:p w14:paraId="20C2321B" w14:textId="5508EDA1" w:rsidR="001D7FA9" w:rsidRDefault="001D7FA9" w:rsidP="001D7FA9">
      <w:pPr>
        <w:pStyle w:val="TextoNormal"/>
      </w:pPr>
    </w:p>
    <w:p w14:paraId="1E3D3181" w14:textId="77777777" w:rsidR="001D7FA9" w:rsidRDefault="001D7FA9" w:rsidP="001D7FA9">
      <w:pPr>
        <w:pStyle w:val="SangriaFrancesaArticulo"/>
      </w:pPr>
      <w:bookmarkStart w:id="214" w:name="INDICE22845"/>
    </w:p>
    <w:bookmarkEnd w:id="214"/>
    <w:p w14:paraId="5DDB3A5B" w14:textId="77777777" w:rsidR="001D7FA9" w:rsidRDefault="001D7FA9" w:rsidP="001D7FA9">
      <w:pPr>
        <w:pStyle w:val="TextoIndiceNivel2"/>
        <w:suppressAutoHyphens/>
      </w:pPr>
      <w:r>
        <w:t>D) Leyes Orgánicas</w:t>
      </w:r>
    </w:p>
    <w:p w14:paraId="5DC88FB8" w14:textId="723E5F4E" w:rsidR="001D7FA9" w:rsidRDefault="001D7FA9" w:rsidP="001D7FA9">
      <w:pPr>
        <w:pStyle w:val="TextoIndiceNivel2"/>
      </w:pPr>
    </w:p>
    <w:p w14:paraId="7FFA04A9" w14:textId="77777777" w:rsidR="001D7FA9" w:rsidRDefault="001D7FA9" w:rsidP="001D7FA9">
      <w:pPr>
        <w:pStyle w:val="TextoNormalNegritaCursivandice"/>
        <w:keepNext/>
      </w:pPr>
      <w:r>
        <w:t>Ley Orgánica 8/1980, de 22 de septiembre, de financiación de las comunidades autónomas</w:t>
      </w:r>
    </w:p>
    <w:p w14:paraId="478D5419" w14:textId="765F6114" w:rsidR="001D7FA9" w:rsidRDefault="001D7FA9" w:rsidP="001D7FA9">
      <w:pPr>
        <w:pStyle w:val="SangriaFrancesaArticulo"/>
      </w:pPr>
      <w:r w:rsidRPr="001D7FA9">
        <w:rPr>
          <w:rStyle w:val="TextoNormalNegritaCaracter"/>
        </w:rPr>
        <w:t>Artículo 11 c).</w:t>
      </w:r>
      <w:r w:rsidRPr="001D7FA9">
        <w:rPr>
          <w:rStyle w:val="TextoNormalCaracter"/>
        </w:rPr>
        <w:t>-</w:t>
      </w:r>
      <w:r>
        <w:t xml:space="preserve"> Sentencia </w:t>
      </w:r>
      <w:hyperlink w:anchor="SENTENCIA_2025_135" w:history="1">
        <w:r w:rsidRPr="001D7FA9">
          <w:rPr>
            <w:rStyle w:val="TextoNormalCaracter"/>
          </w:rPr>
          <w:t>135/2025</w:t>
        </w:r>
      </w:hyperlink>
      <w:r>
        <w:t>, f. 2.</w:t>
      </w:r>
    </w:p>
    <w:p w14:paraId="36C811B4" w14:textId="345BF9DD" w:rsidR="001D7FA9" w:rsidRDefault="001D7FA9" w:rsidP="001D7FA9">
      <w:pPr>
        <w:pStyle w:val="SangriaFrancesaArticulo"/>
      </w:pPr>
    </w:p>
    <w:p w14:paraId="51A14FDE" w14:textId="77777777" w:rsidR="001D7FA9" w:rsidRDefault="001D7FA9" w:rsidP="001D7FA9">
      <w:pPr>
        <w:pStyle w:val="TextoNormalNegritaCursivandice"/>
        <w:keepNext/>
      </w:pPr>
      <w:r>
        <w:t>Ley Orgánica 4/1981, de 1 de junio, de los estados de alarma, excepción y sitio</w:t>
      </w:r>
    </w:p>
    <w:p w14:paraId="55CB0C04" w14:textId="7B7C90C4" w:rsidR="001D7FA9" w:rsidRDefault="001D7FA9" w:rsidP="001D7FA9">
      <w:pPr>
        <w:pStyle w:val="SangriaFrancesaArticulo"/>
      </w:pPr>
      <w:r w:rsidRPr="001D7FA9">
        <w:rPr>
          <w:rStyle w:val="TextoNormalNegritaCaracter"/>
        </w:rPr>
        <w:t>Artículo 11 b).</w:t>
      </w:r>
      <w:r w:rsidRPr="001D7FA9">
        <w:rPr>
          <w:rStyle w:val="TextoNormalCaracter"/>
        </w:rPr>
        <w:t>-</w:t>
      </w:r>
      <w:r>
        <w:t xml:space="preserve"> Sentencia </w:t>
      </w:r>
      <w:hyperlink w:anchor="SENTENCIA_2025_133" w:history="1">
        <w:r w:rsidRPr="001D7FA9">
          <w:rPr>
            <w:rStyle w:val="TextoNormalCaracter"/>
          </w:rPr>
          <w:t>133/2025</w:t>
        </w:r>
      </w:hyperlink>
      <w:r>
        <w:t>, f. 1.</w:t>
      </w:r>
    </w:p>
    <w:p w14:paraId="7196ADDE" w14:textId="3C9907BF" w:rsidR="001D7FA9" w:rsidRDefault="001D7FA9" w:rsidP="001D7FA9">
      <w:pPr>
        <w:pStyle w:val="SangriaFrancesaArticulo"/>
      </w:pPr>
    </w:p>
    <w:p w14:paraId="736E0B87" w14:textId="77777777" w:rsidR="001D7FA9" w:rsidRDefault="001D7FA9" w:rsidP="001D7FA9">
      <w:pPr>
        <w:pStyle w:val="TextoNormalNegritaCursivandice"/>
        <w:keepNext/>
      </w:pPr>
      <w:r>
        <w:t>Ley Orgánica 1/1982, de 5 de mayo. Protección civil del derecho al honor, a la intimidad personal y familiar y a la propia imagen</w:t>
      </w:r>
    </w:p>
    <w:p w14:paraId="73E7C6BD" w14:textId="74032ED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62" w:history="1">
        <w:r w:rsidRPr="001D7FA9">
          <w:rPr>
            <w:rStyle w:val="TextoNormalCaracter"/>
          </w:rPr>
          <w:t>62/2025</w:t>
        </w:r>
      </w:hyperlink>
      <w:r>
        <w:t xml:space="preserve">, f. 4, VP III; </w:t>
      </w:r>
      <w:hyperlink w:anchor="SENTENCIA_2025_87" w:history="1">
        <w:r w:rsidRPr="001D7FA9">
          <w:rPr>
            <w:rStyle w:val="TextoNormalCaracter"/>
          </w:rPr>
          <w:t>87/2025</w:t>
        </w:r>
      </w:hyperlink>
      <w:r>
        <w:t xml:space="preserve">, f. 3; </w:t>
      </w:r>
      <w:hyperlink w:anchor="SENTENCIA_2025_101" w:history="1">
        <w:r w:rsidRPr="001D7FA9">
          <w:rPr>
            <w:rStyle w:val="TextoNormalCaracter"/>
          </w:rPr>
          <w:t>101/2025</w:t>
        </w:r>
      </w:hyperlink>
      <w:r>
        <w:t>, f. 3.</w:t>
      </w:r>
    </w:p>
    <w:p w14:paraId="793FCEEB" w14:textId="51EFBC90" w:rsidR="001D7FA9" w:rsidRDefault="001D7FA9" w:rsidP="001D7FA9">
      <w:pPr>
        <w:pStyle w:val="SangriaFrancesaArticulo"/>
      </w:pPr>
      <w:r w:rsidRPr="001D7FA9">
        <w:rPr>
          <w:rStyle w:val="TextoNormalNegritaCaracter"/>
        </w:rPr>
        <w:t>Artículo 9.2 a).</w:t>
      </w:r>
      <w:r w:rsidRPr="001D7FA9">
        <w:rPr>
          <w:rStyle w:val="TextoNormalCaracter"/>
        </w:rPr>
        <w:t>-</w:t>
      </w:r>
      <w:r>
        <w:t xml:space="preserve"> Sentencia </w:t>
      </w:r>
      <w:hyperlink w:anchor="SENTENCIA_2025_62" w:history="1">
        <w:r w:rsidRPr="001D7FA9">
          <w:rPr>
            <w:rStyle w:val="TextoNormalCaracter"/>
          </w:rPr>
          <w:t>62/2025</w:t>
        </w:r>
      </w:hyperlink>
      <w:r>
        <w:t>, VP III.</w:t>
      </w:r>
    </w:p>
    <w:p w14:paraId="2C03DC5F" w14:textId="662477F3" w:rsidR="001D7FA9" w:rsidRDefault="001D7FA9" w:rsidP="001D7FA9">
      <w:pPr>
        <w:pStyle w:val="SangriaFrancesaArticulo"/>
      </w:pPr>
      <w:r w:rsidRPr="001D7FA9">
        <w:rPr>
          <w:rStyle w:val="TextoNormalNegritaCaracter"/>
        </w:rPr>
        <w:t>Artículo 9.2 d).</w:t>
      </w:r>
      <w:r w:rsidRPr="001D7FA9">
        <w:rPr>
          <w:rStyle w:val="TextoNormalCaracter"/>
        </w:rPr>
        <w:t>-</w:t>
      </w:r>
      <w:r>
        <w:t xml:space="preserve"> Sentencia </w:t>
      </w:r>
      <w:hyperlink w:anchor="SENTENCIA_2025_62" w:history="1">
        <w:r w:rsidRPr="001D7FA9">
          <w:rPr>
            <w:rStyle w:val="TextoNormalCaracter"/>
          </w:rPr>
          <w:t>62/2025</w:t>
        </w:r>
      </w:hyperlink>
      <w:r>
        <w:t>, VP III.</w:t>
      </w:r>
    </w:p>
    <w:p w14:paraId="2CEEB950" w14:textId="5D47F160" w:rsidR="001D7FA9" w:rsidRDefault="001D7FA9" w:rsidP="001D7FA9">
      <w:pPr>
        <w:pStyle w:val="SangriaFrancesaArticulo"/>
      </w:pPr>
    </w:p>
    <w:p w14:paraId="5A67F488" w14:textId="77777777" w:rsidR="001D7FA9" w:rsidRDefault="001D7FA9" w:rsidP="001D7FA9">
      <w:pPr>
        <w:pStyle w:val="TextoNormalNegritaCursivandice"/>
        <w:keepNext/>
      </w:pPr>
      <w:r>
        <w:t>Ley Orgánica 2/1982, de 12 de mayo, del Tribunal de Cuentas</w:t>
      </w:r>
    </w:p>
    <w:p w14:paraId="373ABF9C" w14:textId="13B8008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011DFA7" w14:textId="16643B09" w:rsidR="001D7FA9" w:rsidRDefault="001D7FA9" w:rsidP="001D7FA9">
      <w:pPr>
        <w:pStyle w:val="SangriaFrancesaArticulo"/>
      </w:pPr>
      <w:r w:rsidRPr="001D7FA9">
        <w:rPr>
          <w:rStyle w:val="TextoNormalNegritaCaracter"/>
        </w:rPr>
        <w:t>Artículo 47.</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12D66A85" w14:textId="129616A2" w:rsidR="001D7FA9" w:rsidRDefault="001D7FA9" w:rsidP="001D7FA9">
      <w:pPr>
        <w:pStyle w:val="SangriaFrancesaArticulo"/>
      </w:pPr>
      <w:r w:rsidRPr="001D7FA9">
        <w:rPr>
          <w:rStyle w:val="TextoNormalNegritaCaracter"/>
        </w:rPr>
        <w:t>Artículo 47.1.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64DC82DE" w14:textId="19ECB88A" w:rsidR="001D7FA9" w:rsidRDefault="001D7FA9" w:rsidP="001D7FA9">
      <w:pPr>
        <w:pStyle w:val="SangriaFrancesaArticulo"/>
      </w:pPr>
      <w:r w:rsidRPr="001D7FA9">
        <w:rPr>
          <w:rStyle w:val="TextoNormalNegritaCaracter"/>
        </w:rPr>
        <w:t>Artículo 47.2.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3CDD64B" w14:textId="4AA2DBF1" w:rsidR="001D7FA9" w:rsidRDefault="001D7FA9" w:rsidP="001D7FA9">
      <w:pPr>
        <w:pStyle w:val="SangriaFrancesaArticulo"/>
      </w:pPr>
    </w:p>
    <w:p w14:paraId="6B6EE054" w14:textId="77777777" w:rsidR="001D7FA9" w:rsidRDefault="001D7FA9" w:rsidP="001D7FA9">
      <w:pPr>
        <w:pStyle w:val="TextoNormalNegritaCursivandice"/>
        <w:keepNext/>
      </w:pPr>
      <w:r>
        <w:t>Ley Orgánica 8/1983, de 25 de junio, de reforma urgente y parcial del Código penal</w:t>
      </w:r>
    </w:p>
    <w:p w14:paraId="35E5AEB5" w14:textId="477CA5B4" w:rsidR="001D7FA9" w:rsidRDefault="001D7FA9" w:rsidP="001D7FA9">
      <w:pPr>
        <w:pStyle w:val="SangriaFrancesaArticulo"/>
      </w:pPr>
      <w:r w:rsidRPr="001D7FA9">
        <w:rPr>
          <w:rStyle w:val="TextoNormalNegritaCaracter"/>
        </w:rPr>
        <w:t>Disposición transitoria.</w:t>
      </w:r>
      <w:r w:rsidRPr="001D7FA9">
        <w:rPr>
          <w:rStyle w:val="TextoNormalCaracter"/>
        </w:rPr>
        <w:t>-</w:t>
      </w:r>
      <w:r>
        <w:t xml:space="preserve"> Sentencia </w:t>
      </w:r>
      <w:hyperlink w:anchor="SENTENCIA_2025_110" w:history="1">
        <w:r w:rsidRPr="001D7FA9">
          <w:rPr>
            <w:rStyle w:val="TextoNormalCaracter"/>
          </w:rPr>
          <w:t>110/2025</w:t>
        </w:r>
      </w:hyperlink>
      <w:r>
        <w:t>, VP I.</w:t>
      </w:r>
    </w:p>
    <w:p w14:paraId="1E27F343" w14:textId="6E4AD04F" w:rsidR="001D7FA9" w:rsidRDefault="001D7FA9" w:rsidP="001D7FA9">
      <w:pPr>
        <w:pStyle w:val="SangriaFrancesaArticulo"/>
      </w:pPr>
      <w:r w:rsidRPr="001D7FA9">
        <w:rPr>
          <w:rStyle w:val="TextoNormalNegritaCaracter"/>
        </w:rPr>
        <w:t>Disposición transitoria, párrafo 3.</w:t>
      </w:r>
      <w:r w:rsidRPr="001D7FA9">
        <w:rPr>
          <w:rStyle w:val="TextoNormalCaracter"/>
        </w:rPr>
        <w:t>-</w:t>
      </w:r>
      <w:r>
        <w:t xml:space="preserve"> Sentencia </w:t>
      </w:r>
      <w:hyperlink w:anchor="SENTENCIA_2025_105" w:history="1">
        <w:r w:rsidRPr="001D7FA9">
          <w:rPr>
            <w:rStyle w:val="TextoNormalCaracter"/>
          </w:rPr>
          <w:t>105/2025</w:t>
        </w:r>
      </w:hyperlink>
      <w:r>
        <w:t>, ff. 2, 3.</w:t>
      </w:r>
    </w:p>
    <w:p w14:paraId="225D2AD1" w14:textId="6B4055C9" w:rsidR="001D7FA9" w:rsidRDefault="001D7FA9" w:rsidP="001D7FA9">
      <w:pPr>
        <w:pStyle w:val="SangriaFrancesaArticulo"/>
      </w:pPr>
    </w:p>
    <w:p w14:paraId="0FEE3548" w14:textId="77777777" w:rsidR="001D7FA9" w:rsidRDefault="001D7FA9" w:rsidP="001D7FA9">
      <w:pPr>
        <w:pStyle w:val="TextoNormalNegritaCursivandice"/>
        <w:keepNext/>
      </w:pPr>
      <w:r>
        <w:t>Ley Orgánica 9/1983, de 15 de julio, reguladora del derecho de reunión</w:t>
      </w:r>
    </w:p>
    <w:p w14:paraId="61815501" w14:textId="468B7BC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5" w:history="1">
        <w:r w:rsidRPr="001D7FA9">
          <w:rPr>
            <w:rStyle w:val="TextoNormalCaracter"/>
          </w:rPr>
          <w:t>95/2025</w:t>
        </w:r>
      </w:hyperlink>
      <w:r>
        <w:t>, f. 3.</w:t>
      </w:r>
    </w:p>
    <w:p w14:paraId="00D81205" w14:textId="0EE041AE" w:rsidR="001D7FA9" w:rsidRDefault="001D7FA9" w:rsidP="001D7FA9">
      <w:pPr>
        <w:pStyle w:val="SangriaFrancesaArticulo"/>
      </w:pPr>
      <w:r w:rsidRPr="001D7FA9">
        <w:rPr>
          <w:rStyle w:val="TextoNormalNegritaCaracter"/>
        </w:rPr>
        <w:t>Artículo 2 a).</w:t>
      </w:r>
      <w:r w:rsidRPr="001D7FA9">
        <w:rPr>
          <w:rStyle w:val="TextoNormalCaracter"/>
        </w:rPr>
        <w:t>-</w:t>
      </w:r>
      <w:r>
        <w:t xml:space="preserve"> Sentencia </w:t>
      </w:r>
      <w:hyperlink w:anchor="SENTENCIA_2025_95" w:history="1">
        <w:r w:rsidRPr="001D7FA9">
          <w:rPr>
            <w:rStyle w:val="TextoNormalCaracter"/>
          </w:rPr>
          <w:t>95/2025</w:t>
        </w:r>
      </w:hyperlink>
      <w:r>
        <w:t>, f. 3.</w:t>
      </w:r>
    </w:p>
    <w:p w14:paraId="600E78B1" w14:textId="3F0EAC6F" w:rsidR="001D7FA9" w:rsidRDefault="001D7FA9" w:rsidP="001D7FA9">
      <w:pPr>
        <w:pStyle w:val="SangriaFrancesaArticulo"/>
      </w:pPr>
      <w:r w:rsidRPr="001D7FA9">
        <w:rPr>
          <w:rStyle w:val="TextoNormalNegritaCaracter"/>
        </w:rPr>
        <w:t>Artículo 2 b).</w:t>
      </w:r>
      <w:r w:rsidRPr="001D7FA9">
        <w:rPr>
          <w:rStyle w:val="TextoNormalCaracter"/>
        </w:rPr>
        <w:t>-</w:t>
      </w:r>
      <w:r>
        <w:t xml:space="preserve"> Sentencia </w:t>
      </w:r>
      <w:hyperlink w:anchor="SENTENCIA_2025_95" w:history="1">
        <w:r w:rsidRPr="001D7FA9">
          <w:rPr>
            <w:rStyle w:val="TextoNormalCaracter"/>
          </w:rPr>
          <w:t>95/2025</w:t>
        </w:r>
      </w:hyperlink>
      <w:r>
        <w:t>, f. 3.</w:t>
      </w:r>
    </w:p>
    <w:p w14:paraId="790CCD73" w14:textId="7B329F19" w:rsidR="001D7FA9" w:rsidRDefault="001D7FA9" w:rsidP="001D7FA9">
      <w:pPr>
        <w:pStyle w:val="SangriaFrancesaArticulo"/>
      </w:pPr>
    </w:p>
    <w:p w14:paraId="7217F264" w14:textId="77777777" w:rsidR="001D7FA9" w:rsidRDefault="001D7FA9" w:rsidP="001D7FA9">
      <w:pPr>
        <w:pStyle w:val="TextoNormalNegritaCursivandice"/>
        <w:keepNext/>
      </w:pPr>
      <w:r>
        <w:t>Ley Orgánica 3/1984, de 26 de marzo, reguladora de la iniciativa legislativa popular</w:t>
      </w:r>
    </w:p>
    <w:p w14:paraId="7CF5B6D6" w14:textId="7E40900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3" w:history="1">
        <w:r w:rsidRPr="001D7FA9">
          <w:rPr>
            <w:rStyle w:val="TextoNormalCaracter"/>
          </w:rPr>
          <w:t>63/2025</w:t>
        </w:r>
      </w:hyperlink>
      <w:r>
        <w:t>, f. 9.</w:t>
      </w:r>
    </w:p>
    <w:p w14:paraId="681D0FEA" w14:textId="3DF862DE" w:rsidR="001D7FA9" w:rsidRDefault="001D7FA9" w:rsidP="001D7FA9">
      <w:pPr>
        <w:pStyle w:val="SangriaFrancesaArticulo"/>
      </w:pPr>
    </w:p>
    <w:p w14:paraId="624459A7" w14:textId="77777777" w:rsidR="001D7FA9" w:rsidRDefault="001D7FA9" w:rsidP="001D7FA9">
      <w:pPr>
        <w:pStyle w:val="TextoNormalNegritaCursivandice"/>
        <w:keepNext/>
      </w:pPr>
      <w:r>
        <w:t>Ley Orgánica 6/1984, de 24 de mayo, reguladora del procedimiento de habeas corpus</w:t>
      </w:r>
    </w:p>
    <w:p w14:paraId="7BF9A79D" w14:textId="40DFBA25"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86" w:history="1">
        <w:r w:rsidRPr="001D7FA9">
          <w:rPr>
            <w:rStyle w:val="TextoNormalCaracter"/>
          </w:rPr>
          <w:t>86/2025</w:t>
        </w:r>
      </w:hyperlink>
      <w:r>
        <w:t>, f. 2.</w:t>
      </w:r>
    </w:p>
    <w:p w14:paraId="47246027" w14:textId="605EE6BC"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86" w:history="1">
        <w:r w:rsidRPr="001D7FA9">
          <w:rPr>
            <w:rStyle w:val="TextoNormalCaracter"/>
          </w:rPr>
          <w:t>86/2025</w:t>
        </w:r>
      </w:hyperlink>
      <w:r>
        <w:t>, f. 2.</w:t>
      </w:r>
    </w:p>
    <w:p w14:paraId="47E8F03F" w14:textId="04844B0B"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86" w:history="1">
        <w:r w:rsidRPr="001D7FA9">
          <w:rPr>
            <w:rStyle w:val="TextoNormalCaracter"/>
          </w:rPr>
          <w:t>86/2025</w:t>
        </w:r>
      </w:hyperlink>
      <w:r>
        <w:t>, f. 2.</w:t>
      </w:r>
    </w:p>
    <w:p w14:paraId="674730B1" w14:textId="3123DD2E" w:rsidR="001D7FA9" w:rsidRDefault="001D7FA9" w:rsidP="001D7FA9">
      <w:pPr>
        <w:pStyle w:val="SangriaFrancesaArticulo"/>
      </w:pPr>
    </w:p>
    <w:p w14:paraId="4425D887" w14:textId="77777777" w:rsidR="001D7FA9" w:rsidRDefault="001D7FA9" w:rsidP="001D7FA9">
      <w:pPr>
        <w:pStyle w:val="TextoNormalNegritaCursivandice"/>
        <w:keepNext/>
      </w:pPr>
      <w:r>
        <w:t>Ley Orgánica 5/1985, de 19 de junio, del régimen electoral general</w:t>
      </w:r>
    </w:p>
    <w:p w14:paraId="7437DC9A" w14:textId="6B77EBE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1" w:history="1">
        <w:r w:rsidRPr="001D7FA9">
          <w:rPr>
            <w:rStyle w:val="TextoNormalCaracter"/>
          </w:rPr>
          <w:t>51/2025</w:t>
        </w:r>
      </w:hyperlink>
      <w:r>
        <w:t>, f. 3.</w:t>
      </w:r>
    </w:p>
    <w:p w14:paraId="4CC4E8D0" w14:textId="566A6A6F" w:rsidR="001D7FA9" w:rsidRDefault="001D7FA9" w:rsidP="001D7FA9">
      <w:pPr>
        <w:pStyle w:val="SangriaFrancesaArticulo"/>
      </w:pPr>
      <w:r w:rsidRPr="001D7FA9">
        <w:rPr>
          <w:rStyle w:val="TextoNormalNegritaCaracter"/>
        </w:rPr>
        <w:t>Título I, capítulo VI, sección decimosegunda.</w:t>
      </w:r>
      <w:r w:rsidRPr="001D7FA9">
        <w:rPr>
          <w:rStyle w:val="TextoNormalCaracter"/>
        </w:rPr>
        <w:t>-</w:t>
      </w:r>
      <w:r>
        <w:t xml:space="preserve"> Sentencia </w:t>
      </w:r>
      <w:hyperlink w:anchor="SENTENCIA_2025_51" w:history="1">
        <w:r w:rsidRPr="001D7FA9">
          <w:rPr>
            <w:rStyle w:val="TextoNormalCaracter"/>
          </w:rPr>
          <w:t>51/2025</w:t>
        </w:r>
      </w:hyperlink>
      <w:r>
        <w:t>, f. 3.</w:t>
      </w:r>
    </w:p>
    <w:p w14:paraId="3CE50827" w14:textId="6C25F19E" w:rsidR="001D7FA9" w:rsidRDefault="001D7FA9" w:rsidP="001D7FA9">
      <w:pPr>
        <w:pStyle w:val="SangriaFrancesaArticulo"/>
      </w:pPr>
      <w:r w:rsidRPr="001D7FA9">
        <w:rPr>
          <w:rStyle w:val="TextoNormalNegritaCaracter"/>
        </w:rPr>
        <w:t>Artículo 6.2 a).</w:t>
      </w:r>
      <w:r w:rsidRPr="001D7FA9">
        <w:rPr>
          <w:rStyle w:val="TextoNormalCaracter"/>
        </w:rPr>
        <w:t>-</w:t>
      </w:r>
      <w:r>
        <w:t xml:space="preserve"> Sentencia </w:t>
      </w:r>
      <w:hyperlink w:anchor="SENTENCIA_2025_137" w:history="1">
        <w:r w:rsidRPr="001D7FA9">
          <w:rPr>
            <w:rStyle w:val="TextoNormalCaracter"/>
          </w:rPr>
          <w:t>137/2025</w:t>
        </w:r>
      </w:hyperlink>
      <w:r>
        <w:t>, f. 10, VP IV.</w:t>
      </w:r>
    </w:p>
    <w:p w14:paraId="6A117A17" w14:textId="18C5740A"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51" w:history="1">
        <w:r w:rsidRPr="001D7FA9">
          <w:rPr>
            <w:rStyle w:val="TextoNormalCaracter"/>
          </w:rPr>
          <w:t>51/2025</w:t>
        </w:r>
      </w:hyperlink>
      <w:r>
        <w:t>, f. 4.</w:t>
      </w:r>
    </w:p>
    <w:p w14:paraId="7AF50CC9" w14:textId="69240FD4" w:rsidR="001D7FA9" w:rsidRDefault="001D7FA9" w:rsidP="001D7FA9">
      <w:pPr>
        <w:pStyle w:val="SangriaFrancesaArticulo"/>
      </w:pPr>
      <w:r w:rsidRPr="001D7FA9">
        <w:rPr>
          <w:rStyle w:val="TextoNormalNegritaCaracter"/>
        </w:rPr>
        <w:t>Artículo 8.1.</w:t>
      </w:r>
      <w:r w:rsidRPr="001D7FA9">
        <w:rPr>
          <w:rStyle w:val="TextoNormalCaracter"/>
        </w:rPr>
        <w:t>-</w:t>
      </w:r>
      <w:r>
        <w:t xml:space="preserve"> Sentencia </w:t>
      </w:r>
      <w:hyperlink w:anchor="SENTENCIA_2025_51" w:history="1">
        <w:r w:rsidRPr="001D7FA9">
          <w:rPr>
            <w:rStyle w:val="TextoNormalCaracter"/>
          </w:rPr>
          <w:t>51/2025</w:t>
        </w:r>
      </w:hyperlink>
      <w:r>
        <w:t>, f. 3.</w:t>
      </w:r>
    </w:p>
    <w:p w14:paraId="03D0199A" w14:textId="78058A24" w:rsidR="001D7FA9" w:rsidRDefault="001D7FA9" w:rsidP="001D7FA9">
      <w:pPr>
        <w:pStyle w:val="SangriaFrancesaArticulo"/>
      </w:pPr>
      <w:r w:rsidRPr="001D7FA9">
        <w:rPr>
          <w:rStyle w:val="TextoNormalNegritaCaracter"/>
        </w:rPr>
        <w:t>Artículo 8.2.</w:t>
      </w:r>
      <w:r w:rsidRPr="001D7FA9">
        <w:rPr>
          <w:rStyle w:val="TextoNormalCaracter"/>
        </w:rPr>
        <w:t>-</w:t>
      </w:r>
      <w:r>
        <w:t xml:space="preserve"> Sentencia </w:t>
      </w:r>
      <w:hyperlink w:anchor="SENTENCIA_2025_51" w:history="1">
        <w:r w:rsidRPr="001D7FA9">
          <w:rPr>
            <w:rStyle w:val="TextoNormalCaracter"/>
          </w:rPr>
          <w:t>51/2025</w:t>
        </w:r>
      </w:hyperlink>
      <w:r>
        <w:t>, f. 3.</w:t>
      </w:r>
    </w:p>
    <w:p w14:paraId="2FA87A18" w14:textId="12118D52" w:rsidR="001D7FA9" w:rsidRDefault="001D7FA9" w:rsidP="001D7FA9">
      <w:pPr>
        <w:pStyle w:val="SangriaFrancesaArticulo"/>
      </w:pPr>
      <w:r w:rsidRPr="001D7FA9">
        <w:rPr>
          <w:rStyle w:val="TextoNormalNegritaCaracter"/>
        </w:rPr>
        <w:t>Artículo 11.4.</w:t>
      </w:r>
      <w:r w:rsidRPr="001D7FA9">
        <w:rPr>
          <w:rStyle w:val="TextoNormalCaracter"/>
        </w:rPr>
        <w:t>-</w:t>
      </w:r>
      <w:r>
        <w:t xml:space="preserve"> Sentencia </w:t>
      </w:r>
      <w:hyperlink w:anchor="SENTENCIA_2025_51" w:history="1">
        <w:r w:rsidRPr="001D7FA9">
          <w:rPr>
            <w:rStyle w:val="TextoNormalCaracter"/>
          </w:rPr>
          <w:t>51/2025</w:t>
        </w:r>
      </w:hyperlink>
      <w:r>
        <w:t>, f. 3.</w:t>
      </w:r>
    </w:p>
    <w:p w14:paraId="26D440D5" w14:textId="49425005"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 </w:t>
      </w:r>
      <w:hyperlink w:anchor="SENTENCIA_2025_51" w:history="1">
        <w:r w:rsidRPr="001D7FA9">
          <w:rPr>
            <w:rStyle w:val="TextoNormalCaracter"/>
          </w:rPr>
          <w:t>51/2025</w:t>
        </w:r>
      </w:hyperlink>
      <w:r>
        <w:t>, f. 3.</w:t>
      </w:r>
    </w:p>
    <w:p w14:paraId="33CC5F50" w14:textId="4367F9D0" w:rsidR="001D7FA9" w:rsidRDefault="001D7FA9" w:rsidP="001D7FA9">
      <w:pPr>
        <w:pStyle w:val="SangriaFrancesaArticulo"/>
      </w:pPr>
      <w:r w:rsidRPr="001D7FA9">
        <w:rPr>
          <w:rStyle w:val="TextoNormalNegritaCaracter"/>
        </w:rPr>
        <w:t>Artículo 23.</w:t>
      </w:r>
      <w:r w:rsidRPr="001D7FA9">
        <w:rPr>
          <w:rStyle w:val="TextoNormalCaracter"/>
        </w:rPr>
        <w:t>-</w:t>
      </w:r>
      <w:r>
        <w:t xml:space="preserve"> Sentencia </w:t>
      </w:r>
      <w:hyperlink w:anchor="SENTENCIA_2025_51" w:history="1">
        <w:r w:rsidRPr="001D7FA9">
          <w:rPr>
            <w:rStyle w:val="TextoNormalCaracter"/>
          </w:rPr>
          <w:t>51/2025</w:t>
        </w:r>
      </w:hyperlink>
      <w:r>
        <w:t>, f. 3.</w:t>
      </w:r>
    </w:p>
    <w:p w14:paraId="4F9BC37C" w14:textId="420ABF0E" w:rsidR="001D7FA9" w:rsidRDefault="001D7FA9" w:rsidP="001D7FA9">
      <w:pPr>
        <w:pStyle w:val="SangriaFrancesaArticulo"/>
      </w:pPr>
      <w:r w:rsidRPr="001D7FA9">
        <w:rPr>
          <w:rStyle w:val="TextoNormalNegritaCaracter"/>
        </w:rPr>
        <w:t>Artículo 25.2.</w:t>
      </w:r>
      <w:r w:rsidRPr="001D7FA9">
        <w:rPr>
          <w:rStyle w:val="TextoNormalCaracter"/>
        </w:rPr>
        <w:t>-</w:t>
      </w:r>
      <w:r>
        <w:t xml:space="preserve"> Sentencia </w:t>
      </w:r>
      <w:hyperlink w:anchor="SENTENCIA_2025_51" w:history="1">
        <w:r w:rsidRPr="001D7FA9">
          <w:rPr>
            <w:rStyle w:val="TextoNormalCaracter"/>
          </w:rPr>
          <w:t>51/2025</w:t>
        </w:r>
      </w:hyperlink>
      <w:r>
        <w:t>, f. 3.</w:t>
      </w:r>
    </w:p>
    <w:p w14:paraId="6B38A095" w14:textId="0E69889A" w:rsidR="001D7FA9" w:rsidRDefault="001D7FA9" w:rsidP="001D7FA9">
      <w:pPr>
        <w:pStyle w:val="SangriaFrancesaArticulo"/>
      </w:pPr>
      <w:r w:rsidRPr="001D7FA9">
        <w:rPr>
          <w:rStyle w:val="TextoNormalNegritaCaracter"/>
        </w:rPr>
        <w:t>Artículo 26.</w:t>
      </w:r>
      <w:r w:rsidRPr="001D7FA9">
        <w:rPr>
          <w:rStyle w:val="TextoNormalCaracter"/>
        </w:rPr>
        <w:t>-</w:t>
      </w:r>
      <w:r>
        <w:t xml:space="preserve"> Sentencia </w:t>
      </w:r>
      <w:hyperlink w:anchor="SENTENCIA_2025_51" w:history="1">
        <w:r w:rsidRPr="001D7FA9">
          <w:rPr>
            <w:rStyle w:val="TextoNormalCaracter"/>
          </w:rPr>
          <w:t>51/2025</w:t>
        </w:r>
      </w:hyperlink>
      <w:r>
        <w:t>, ff. 3, 4.</w:t>
      </w:r>
    </w:p>
    <w:p w14:paraId="1EED3DA2" w14:textId="05F58928" w:rsidR="001D7FA9" w:rsidRDefault="001D7FA9" w:rsidP="001D7FA9">
      <w:pPr>
        <w:pStyle w:val="SangriaFrancesaArticulo"/>
      </w:pPr>
      <w:r w:rsidRPr="001D7FA9">
        <w:rPr>
          <w:rStyle w:val="TextoNormalNegritaCaracter"/>
        </w:rPr>
        <w:t>Artículo 26.2.</w:t>
      </w:r>
      <w:r w:rsidRPr="001D7FA9">
        <w:rPr>
          <w:rStyle w:val="TextoNormalCaracter"/>
        </w:rPr>
        <w:t>-</w:t>
      </w:r>
      <w:r>
        <w:t xml:space="preserve"> Sentencia </w:t>
      </w:r>
      <w:hyperlink w:anchor="SENTENCIA_2025_51" w:history="1">
        <w:r w:rsidRPr="001D7FA9">
          <w:rPr>
            <w:rStyle w:val="TextoNormalCaracter"/>
          </w:rPr>
          <w:t>51/2025</w:t>
        </w:r>
      </w:hyperlink>
      <w:r>
        <w:t>, ff. 3, 4.</w:t>
      </w:r>
    </w:p>
    <w:p w14:paraId="1F133FD7" w14:textId="3DFDA8BE" w:rsidR="001D7FA9" w:rsidRDefault="001D7FA9" w:rsidP="001D7FA9">
      <w:pPr>
        <w:pStyle w:val="SangriaFrancesaArticulo"/>
      </w:pPr>
      <w:r w:rsidRPr="001D7FA9">
        <w:rPr>
          <w:rStyle w:val="TextoNormalNegritaCaracter"/>
        </w:rPr>
        <w:t>Artículo 26.4.</w:t>
      </w:r>
      <w:r w:rsidRPr="001D7FA9">
        <w:rPr>
          <w:rStyle w:val="TextoNormalCaracter"/>
        </w:rPr>
        <w:t>-</w:t>
      </w:r>
      <w:r>
        <w:t xml:space="preserve"> Sentencia </w:t>
      </w:r>
      <w:hyperlink w:anchor="SENTENCIA_2025_51" w:history="1">
        <w:r w:rsidRPr="001D7FA9">
          <w:rPr>
            <w:rStyle w:val="TextoNormalCaracter"/>
          </w:rPr>
          <w:t>51/2025</w:t>
        </w:r>
      </w:hyperlink>
      <w:r>
        <w:t>, f. 3.</w:t>
      </w:r>
    </w:p>
    <w:p w14:paraId="228D14D5" w14:textId="5FD63439" w:rsidR="001D7FA9" w:rsidRDefault="001D7FA9" w:rsidP="001D7FA9">
      <w:pPr>
        <w:pStyle w:val="SangriaFrancesaArticulo"/>
      </w:pPr>
      <w:r w:rsidRPr="001D7FA9">
        <w:rPr>
          <w:rStyle w:val="TextoNormalNegritaCaracter"/>
        </w:rPr>
        <w:t>Artículo 27.3.</w:t>
      </w:r>
      <w:r w:rsidRPr="001D7FA9">
        <w:rPr>
          <w:rStyle w:val="TextoNormalCaracter"/>
        </w:rPr>
        <w:t>-</w:t>
      </w:r>
      <w:r>
        <w:t xml:space="preserve"> Sentencia </w:t>
      </w:r>
      <w:hyperlink w:anchor="SENTENCIA_2025_51" w:history="1">
        <w:r w:rsidRPr="001D7FA9">
          <w:rPr>
            <w:rStyle w:val="TextoNormalCaracter"/>
          </w:rPr>
          <w:t>51/2025</w:t>
        </w:r>
      </w:hyperlink>
      <w:r>
        <w:t>, f. 3.</w:t>
      </w:r>
    </w:p>
    <w:p w14:paraId="35422944" w14:textId="56B22133" w:rsidR="001D7FA9" w:rsidRDefault="001D7FA9" w:rsidP="001D7FA9">
      <w:pPr>
        <w:pStyle w:val="SangriaFrancesaArticulo"/>
      </w:pPr>
      <w:r w:rsidRPr="001D7FA9">
        <w:rPr>
          <w:rStyle w:val="TextoNormalNegritaCaracter"/>
        </w:rPr>
        <w:t>Artículo 58 bis</w:t>
      </w:r>
      <w:r>
        <w:t xml:space="preserve"> (redactado por la Ley Orgánica 3/2018, de 5 de diciembre)</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VP I.</w:t>
      </w:r>
    </w:p>
    <w:p w14:paraId="104C8D29" w14:textId="1409A58F" w:rsidR="001D7FA9" w:rsidRDefault="001D7FA9" w:rsidP="001D7FA9">
      <w:pPr>
        <w:pStyle w:val="SangriaFrancesaArticulo"/>
      </w:pPr>
      <w:r w:rsidRPr="001D7FA9">
        <w:rPr>
          <w:rStyle w:val="TextoNormalNegritaCaracter"/>
        </w:rPr>
        <w:t>Artículo 80.</w:t>
      </w:r>
      <w:r w:rsidRPr="001D7FA9">
        <w:rPr>
          <w:rStyle w:val="TextoNormalCaracter"/>
        </w:rPr>
        <w:t>-</w:t>
      </w:r>
      <w:r>
        <w:t xml:space="preserve"> Sentencia </w:t>
      </w:r>
      <w:hyperlink w:anchor="SENTENCIA_2025_51" w:history="1">
        <w:r w:rsidRPr="001D7FA9">
          <w:rPr>
            <w:rStyle w:val="TextoNormalCaracter"/>
          </w:rPr>
          <w:t>51/2025</w:t>
        </w:r>
      </w:hyperlink>
      <w:r>
        <w:t>, f. 3.</w:t>
      </w:r>
    </w:p>
    <w:p w14:paraId="74C17555" w14:textId="4259F021" w:rsidR="001D7FA9" w:rsidRDefault="001D7FA9" w:rsidP="001D7FA9">
      <w:pPr>
        <w:pStyle w:val="SangriaFrancesaArticulo"/>
      </w:pPr>
      <w:r w:rsidRPr="001D7FA9">
        <w:rPr>
          <w:rStyle w:val="TextoNormalNegritaCaracter"/>
        </w:rPr>
        <w:t>Artículos 80 a 83.</w:t>
      </w:r>
      <w:r w:rsidRPr="001D7FA9">
        <w:rPr>
          <w:rStyle w:val="TextoNormalCaracter"/>
        </w:rPr>
        <w:t>-</w:t>
      </w:r>
      <w:r>
        <w:t xml:space="preserve"> Sentencia </w:t>
      </w:r>
      <w:hyperlink w:anchor="SENTENCIA_2025_51" w:history="1">
        <w:r w:rsidRPr="001D7FA9">
          <w:rPr>
            <w:rStyle w:val="TextoNormalCaracter"/>
          </w:rPr>
          <w:t>51/2025</w:t>
        </w:r>
      </w:hyperlink>
      <w:r>
        <w:t>, f. 3.</w:t>
      </w:r>
    </w:p>
    <w:p w14:paraId="4EC6F280" w14:textId="2E9CCCFF" w:rsidR="001D7FA9" w:rsidRDefault="001D7FA9" w:rsidP="001D7FA9">
      <w:pPr>
        <w:pStyle w:val="SangriaFrancesaArticulo"/>
      </w:pPr>
      <w:r w:rsidRPr="001D7FA9">
        <w:rPr>
          <w:rStyle w:val="TextoNormalNegritaCaracter"/>
        </w:rPr>
        <w:t>Artículos 81 a 83.</w:t>
      </w:r>
      <w:r w:rsidRPr="001D7FA9">
        <w:rPr>
          <w:rStyle w:val="TextoNormalCaracter"/>
        </w:rPr>
        <w:t>-</w:t>
      </w:r>
      <w:r>
        <w:t xml:space="preserve"> Sentencia </w:t>
      </w:r>
      <w:hyperlink w:anchor="SENTENCIA_2025_51" w:history="1">
        <w:r w:rsidRPr="001D7FA9">
          <w:rPr>
            <w:rStyle w:val="TextoNormalCaracter"/>
          </w:rPr>
          <w:t>51/2025</w:t>
        </w:r>
      </w:hyperlink>
      <w:r>
        <w:t>, f. 4.</w:t>
      </w:r>
    </w:p>
    <w:p w14:paraId="5461C56E" w14:textId="68BEA6DA" w:rsidR="001D7FA9" w:rsidRDefault="001D7FA9" w:rsidP="001D7FA9">
      <w:pPr>
        <w:pStyle w:val="SangriaFrancesaArticulo"/>
      </w:pPr>
      <w:r w:rsidRPr="001D7FA9">
        <w:rPr>
          <w:rStyle w:val="TextoNormalNegritaCaracter"/>
        </w:rPr>
        <w:t>Artículo 137.</w:t>
      </w:r>
      <w:r w:rsidRPr="001D7FA9">
        <w:rPr>
          <w:rStyle w:val="TextoNormalCaracter"/>
        </w:rPr>
        <w:t>-</w:t>
      </w:r>
      <w:r>
        <w:t xml:space="preserve"> Sentencia </w:t>
      </w:r>
      <w:hyperlink w:anchor="SENTENCIA_2025_51" w:history="1">
        <w:r w:rsidRPr="001D7FA9">
          <w:rPr>
            <w:rStyle w:val="TextoNormalCaracter"/>
          </w:rPr>
          <w:t>51/2025</w:t>
        </w:r>
      </w:hyperlink>
      <w:r>
        <w:t>, f. 3.</w:t>
      </w:r>
    </w:p>
    <w:p w14:paraId="35F0555C" w14:textId="53A8B710" w:rsidR="001D7FA9" w:rsidRDefault="001D7FA9" w:rsidP="001D7FA9">
      <w:pPr>
        <w:pStyle w:val="SangriaFrancesaArticulo"/>
      </w:pPr>
      <w:r w:rsidRPr="001D7FA9">
        <w:rPr>
          <w:rStyle w:val="TextoNormalNegritaCaracter"/>
        </w:rPr>
        <w:t>Artículo 139.2.</w:t>
      </w:r>
      <w:r w:rsidRPr="001D7FA9">
        <w:rPr>
          <w:rStyle w:val="TextoNormalCaracter"/>
        </w:rPr>
        <w:t>-</w:t>
      </w:r>
      <w:r>
        <w:t xml:space="preserve"> Sentencia </w:t>
      </w:r>
      <w:hyperlink w:anchor="SENTENCIA_2025_51" w:history="1">
        <w:r w:rsidRPr="001D7FA9">
          <w:rPr>
            <w:rStyle w:val="TextoNormalCaracter"/>
          </w:rPr>
          <w:t>51/2025</w:t>
        </w:r>
      </w:hyperlink>
      <w:r>
        <w:t>, ff. 1, 3, 4.</w:t>
      </w:r>
    </w:p>
    <w:p w14:paraId="622D9CFE" w14:textId="3E60E9AC" w:rsidR="001D7FA9" w:rsidRDefault="001D7FA9" w:rsidP="001D7FA9">
      <w:pPr>
        <w:pStyle w:val="SangriaFrancesaArticulo"/>
      </w:pPr>
      <w:r w:rsidRPr="001D7FA9">
        <w:rPr>
          <w:rStyle w:val="TextoNormalNegritaCaracter"/>
        </w:rPr>
        <w:t>Artículo 153.</w:t>
      </w:r>
      <w:r w:rsidRPr="001D7FA9">
        <w:rPr>
          <w:rStyle w:val="TextoNormalCaracter"/>
        </w:rPr>
        <w:t>-</w:t>
      </w:r>
      <w:r>
        <w:t xml:space="preserve"> Sentencia </w:t>
      </w:r>
      <w:hyperlink w:anchor="SENTENCIA_2025_51" w:history="1">
        <w:r w:rsidRPr="001D7FA9">
          <w:rPr>
            <w:rStyle w:val="TextoNormalCaracter"/>
          </w:rPr>
          <w:t>51/2025</w:t>
        </w:r>
      </w:hyperlink>
      <w:r>
        <w:t>, f. 4.</w:t>
      </w:r>
    </w:p>
    <w:p w14:paraId="581DA2CF" w14:textId="611B305D" w:rsidR="001D7FA9" w:rsidRDefault="001D7FA9" w:rsidP="001D7FA9">
      <w:pPr>
        <w:pStyle w:val="SangriaFrancesaArticulo"/>
      </w:pPr>
      <w:r w:rsidRPr="001D7FA9">
        <w:rPr>
          <w:rStyle w:val="TextoNormalNegritaCaracter"/>
        </w:rPr>
        <w:t>Artículo 183.1.</w:t>
      </w:r>
      <w:r w:rsidRPr="001D7FA9">
        <w:rPr>
          <w:rStyle w:val="TextoNormalCaracter"/>
        </w:rPr>
        <w:t>-</w:t>
      </w:r>
      <w:r>
        <w:t xml:space="preserve"> Sentencia </w:t>
      </w:r>
      <w:hyperlink w:anchor="SENTENCIA_2025_134" w:history="1">
        <w:r w:rsidRPr="001D7FA9">
          <w:rPr>
            <w:rStyle w:val="TextoNormalCaracter"/>
          </w:rPr>
          <w:t>134/2025</w:t>
        </w:r>
      </w:hyperlink>
      <w:r>
        <w:t>, f. 5.</w:t>
      </w:r>
    </w:p>
    <w:p w14:paraId="00907311" w14:textId="7BC4FA03" w:rsidR="001D7FA9" w:rsidRDefault="001D7FA9" w:rsidP="001D7FA9">
      <w:pPr>
        <w:pStyle w:val="SangriaFrancesaArticulo"/>
      </w:pPr>
      <w:r w:rsidRPr="001D7FA9">
        <w:rPr>
          <w:rStyle w:val="TextoNormalNegritaCaracter"/>
        </w:rPr>
        <w:t>Artículo 183.2.</w:t>
      </w:r>
      <w:r w:rsidRPr="001D7FA9">
        <w:rPr>
          <w:rStyle w:val="TextoNormalCaracter"/>
        </w:rPr>
        <w:t>-</w:t>
      </w:r>
      <w:r>
        <w:t xml:space="preserve"> Sentencia </w:t>
      </w:r>
      <w:hyperlink w:anchor="SENTENCIA_2025_134" w:history="1">
        <w:r w:rsidRPr="001D7FA9">
          <w:rPr>
            <w:rStyle w:val="TextoNormalCaracter"/>
          </w:rPr>
          <w:t>134/2025</w:t>
        </w:r>
      </w:hyperlink>
      <w:r>
        <w:t>, f. 5.</w:t>
      </w:r>
    </w:p>
    <w:p w14:paraId="7E4DE26C" w14:textId="1367D264" w:rsidR="001D7FA9" w:rsidRDefault="001D7FA9" w:rsidP="001D7FA9">
      <w:pPr>
        <w:pStyle w:val="SangriaFrancesaArticulo"/>
      </w:pPr>
      <w:r w:rsidRPr="001D7FA9">
        <w:rPr>
          <w:rStyle w:val="TextoNormalNegritaCaracter"/>
        </w:rPr>
        <w:t>Artículo 197.1 a)</w:t>
      </w:r>
      <w:r>
        <w:t xml:space="preserve"> (redactado por la Ley Orgánica 2/2011, de 28 de enero)</w:t>
      </w:r>
      <w:r w:rsidRPr="001D7FA9">
        <w:rPr>
          <w:rStyle w:val="TextoNormalNegritaCaracter"/>
        </w:rPr>
        <w:t>.</w:t>
      </w:r>
      <w:r w:rsidRPr="001D7FA9">
        <w:rPr>
          <w:rStyle w:val="TextoNormalCaracter"/>
        </w:rPr>
        <w:t>-</w:t>
      </w:r>
      <w:r>
        <w:t xml:space="preserve"> Sentencia </w:t>
      </w:r>
      <w:hyperlink w:anchor="SENTENCIA_2025_134" w:history="1">
        <w:r w:rsidRPr="001D7FA9">
          <w:rPr>
            <w:rStyle w:val="TextoNormalCaracter"/>
          </w:rPr>
          <w:t>134/2025</w:t>
        </w:r>
      </w:hyperlink>
      <w:r>
        <w:t>, ff. 2 a 6.</w:t>
      </w:r>
    </w:p>
    <w:p w14:paraId="1002B6C4" w14:textId="59B63F72" w:rsidR="001D7FA9" w:rsidRDefault="001D7FA9" w:rsidP="001D7FA9">
      <w:pPr>
        <w:pStyle w:val="SangriaFrancesaArticulo"/>
      </w:pPr>
      <w:r w:rsidRPr="001D7FA9">
        <w:rPr>
          <w:rStyle w:val="TextoNormalNegritaCaracter"/>
        </w:rPr>
        <w:t>Artículo 197.1 a) párrafo 2</w:t>
      </w:r>
      <w:r>
        <w:t xml:space="preserve"> (redactado por la Ley Orgánica 2/2011, de 28 de enero)</w:t>
      </w:r>
      <w:r w:rsidRPr="001D7FA9">
        <w:rPr>
          <w:rStyle w:val="TextoNormalNegritaCaracter"/>
        </w:rPr>
        <w:t>.</w:t>
      </w:r>
      <w:r w:rsidRPr="001D7FA9">
        <w:rPr>
          <w:rStyle w:val="TextoNormalCaracter"/>
        </w:rPr>
        <w:t>-</w:t>
      </w:r>
      <w:r>
        <w:t xml:space="preserve"> Sentencia </w:t>
      </w:r>
      <w:hyperlink w:anchor="SENTENCIA_2025_134" w:history="1">
        <w:r w:rsidRPr="001D7FA9">
          <w:rPr>
            <w:rStyle w:val="TextoNormalCaracter"/>
          </w:rPr>
          <w:t>134/2025</w:t>
        </w:r>
      </w:hyperlink>
      <w:r>
        <w:t>, f. 1.</w:t>
      </w:r>
    </w:p>
    <w:p w14:paraId="27340281" w14:textId="1BF3E52F" w:rsidR="001D7FA9" w:rsidRDefault="001D7FA9" w:rsidP="001D7FA9">
      <w:pPr>
        <w:pStyle w:val="SangriaFrancesaArticulo"/>
      </w:pPr>
      <w:r w:rsidRPr="001D7FA9">
        <w:rPr>
          <w:rStyle w:val="TextoNormalNegritaCaracter"/>
        </w:rPr>
        <w:t>Artículo 197.1 a) párrafo 3</w:t>
      </w:r>
      <w:r>
        <w:t xml:space="preserve"> (redactado por la Ley Orgánica 2/2011, de 28 de enero)</w:t>
      </w:r>
      <w:r w:rsidRPr="001D7FA9">
        <w:rPr>
          <w:rStyle w:val="TextoNormalNegritaCaracter"/>
        </w:rPr>
        <w:t>.</w:t>
      </w:r>
      <w:r w:rsidRPr="001D7FA9">
        <w:rPr>
          <w:rStyle w:val="TextoNormalCaracter"/>
        </w:rPr>
        <w:t>-</w:t>
      </w:r>
      <w:r>
        <w:t xml:space="preserve"> Sentencia </w:t>
      </w:r>
      <w:hyperlink w:anchor="SENTENCIA_2025_134" w:history="1">
        <w:r w:rsidRPr="001D7FA9">
          <w:rPr>
            <w:rStyle w:val="TextoNormalCaracter"/>
          </w:rPr>
          <w:t>134/2025</w:t>
        </w:r>
      </w:hyperlink>
      <w:r>
        <w:t>, f. 1.</w:t>
      </w:r>
    </w:p>
    <w:p w14:paraId="0926812C" w14:textId="7A2858EC" w:rsidR="001D7FA9" w:rsidRDefault="001D7FA9" w:rsidP="001D7FA9">
      <w:pPr>
        <w:pStyle w:val="SangriaFrancesaArticulo"/>
      </w:pPr>
      <w:r w:rsidRPr="001D7FA9">
        <w:rPr>
          <w:rStyle w:val="TextoNormalNegritaCaracter"/>
        </w:rPr>
        <w:t>Artículo 197.1 e) inciso "los tres párrafos de"</w:t>
      </w:r>
      <w:r>
        <w:t xml:space="preserve"> (redactado por la Ley Orgánica 2/2011, de 28 de enero)</w:t>
      </w:r>
      <w:r w:rsidRPr="001D7FA9">
        <w:rPr>
          <w:rStyle w:val="TextoNormalNegritaCaracter"/>
        </w:rPr>
        <w:t>.</w:t>
      </w:r>
      <w:r w:rsidRPr="001D7FA9">
        <w:rPr>
          <w:rStyle w:val="TextoNormalCaracter"/>
        </w:rPr>
        <w:t>-</w:t>
      </w:r>
      <w:r>
        <w:t xml:space="preserve"> Sentencia </w:t>
      </w:r>
      <w:hyperlink w:anchor="SENTENCIA_2025_134" w:history="1">
        <w:r w:rsidRPr="001D7FA9">
          <w:rPr>
            <w:rStyle w:val="TextoNormalCaracter"/>
          </w:rPr>
          <w:t>134/2025</w:t>
        </w:r>
      </w:hyperlink>
      <w:r>
        <w:t>, f. 6.</w:t>
      </w:r>
    </w:p>
    <w:p w14:paraId="3DF1FBCF" w14:textId="0755FF0E" w:rsidR="001D7FA9" w:rsidRDefault="001D7FA9" w:rsidP="001D7FA9">
      <w:pPr>
        <w:pStyle w:val="SangriaFrancesaArticulo"/>
      </w:pPr>
    </w:p>
    <w:p w14:paraId="33A985A8" w14:textId="77777777" w:rsidR="001D7FA9" w:rsidRDefault="001D7FA9" w:rsidP="001D7FA9">
      <w:pPr>
        <w:pStyle w:val="TextoNormalNegritaCursivandice"/>
        <w:keepNext/>
      </w:pPr>
      <w:r>
        <w:t>Ley Orgánica 6/1985, de 1 de julio, del Poder judicial</w:t>
      </w:r>
    </w:p>
    <w:p w14:paraId="10C3991E" w14:textId="15C523D8"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Sentencias </w:t>
      </w:r>
      <w:hyperlink w:anchor="SENTENCIA_2025_12" w:history="1">
        <w:r w:rsidRPr="001D7FA9">
          <w:rPr>
            <w:rStyle w:val="TextoNormalCaracter"/>
          </w:rPr>
          <w:t>12/2025</w:t>
        </w:r>
      </w:hyperlink>
      <w:r>
        <w:t xml:space="preserve">, ff. 1, 3, 4, VP I; </w:t>
      </w:r>
      <w:hyperlink w:anchor="SENTENCIA_2025_105" w:history="1">
        <w:r w:rsidRPr="001D7FA9">
          <w:rPr>
            <w:rStyle w:val="TextoNormalCaracter"/>
          </w:rPr>
          <w:t>105/2025</w:t>
        </w:r>
      </w:hyperlink>
      <w:r>
        <w:t>, VP II.</w:t>
      </w:r>
    </w:p>
    <w:p w14:paraId="14E325C5" w14:textId="32FD4379"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f. 5, VP I, VP II; </w:t>
      </w:r>
      <w:hyperlink w:anchor="AUTO_2025_8" w:history="1">
        <w:r w:rsidRPr="001D7FA9">
          <w:rPr>
            <w:rStyle w:val="TextoNormalCaracter"/>
          </w:rPr>
          <w:t>8/2025</w:t>
        </w:r>
      </w:hyperlink>
      <w:r>
        <w:t xml:space="preserve">, VP; </w:t>
      </w:r>
      <w:hyperlink w:anchor="AUTO_2025_12" w:history="1">
        <w:r w:rsidRPr="001D7FA9">
          <w:rPr>
            <w:rStyle w:val="TextoNormalCaracter"/>
          </w:rPr>
          <w:t>12/2025</w:t>
        </w:r>
      </w:hyperlink>
      <w:r>
        <w:t xml:space="preserve">, VP II; </w:t>
      </w:r>
      <w:hyperlink w:anchor="AUTO_2025_16" w:history="1">
        <w:r w:rsidRPr="001D7FA9">
          <w:rPr>
            <w:rStyle w:val="TextoNormalCaracter"/>
          </w:rPr>
          <w:t>16/2025</w:t>
        </w:r>
      </w:hyperlink>
      <w:r>
        <w:t xml:space="preserve">, f. 1; </w:t>
      </w:r>
      <w:hyperlink w:anchor="AUTO_2025_23" w:history="1">
        <w:r w:rsidRPr="001D7FA9">
          <w:rPr>
            <w:rStyle w:val="TextoNormalCaracter"/>
          </w:rPr>
          <w:t>23/2025</w:t>
        </w:r>
      </w:hyperlink>
      <w:r>
        <w:t xml:space="preserve">, f. 2; </w:t>
      </w:r>
      <w:hyperlink w:anchor="AUTO_2025_31" w:history="1">
        <w:r w:rsidRPr="001D7FA9">
          <w:rPr>
            <w:rStyle w:val="TextoNormalCaracter"/>
          </w:rPr>
          <w:t>31/2025</w:t>
        </w:r>
      </w:hyperlink>
      <w:r>
        <w:t xml:space="preserve">, f. 2; </w:t>
      </w:r>
      <w:hyperlink w:anchor="AUTO_2025_35" w:history="1">
        <w:r w:rsidRPr="001D7FA9">
          <w:rPr>
            <w:rStyle w:val="TextoNormalCaracter"/>
          </w:rPr>
          <w:t>35/2025</w:t>
        </w:r>
      </w:hyperlink>
      <w:r>
        <w:t>, f. 4, VP II.</w:t>
      </w:r>
    </w:p>
    <w:p w14:paraId="75EDD793" w14:textId="6924CC34" w:rsidR="001D7FA9" w:rsidRDefault="001D7FA9" w:rsidP="001D7FA9">
      <w:pPr>
        <w:pStyle w:val="SangriaFrancesaArticulo"/>
      </w:pPr>
      <w:r w:rsidRPr="001D7FA9">
        <w:rPr>
          <w:rStyle w:val="TextoNormalNegritaCaracter"/>
        </w:rPr>
        <w:t>Título V.</w:t>
      </w:r>
      <w:r w:rsidRPr="001D7FA9">
        <w:rPr>
          <w:rStyle w:val="TextoNormalCaracter"/>
        </w:rPr>
        <w:t>-</w:t>
      </w:r>
      <w:r>
        <w:t xml:space="preserve"> Sentencia </w:t>
      </w:r>
      <w:hyperlink w:anchor="SENTENCIA_2025_12" w:history="1">
        <w:r w:rsidRPr="001D7FA9">
          <w:rPr>
            <w:rStyle w:val="TextoNormalCaracter"/>
          </w:rPr>
          <w:t>12/2025</w:t>
        </w:r>
      </w:hyperlink>
      <w:r>
        <w:t>, f. 1.</w:t>
      </w:r>
    </w:p>
    <w:p w14:paraId="576F80BA" w14:textId="6BB10975"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602AB60B" w14:textId="7F8CD21F" w:rsidR="001D7FA9" w:rsidRDefault="001D7FA9" w:rsidP="001D7FA9">
      <w:pPr>
        <w:pStyle w:val="SangriaFrancesaArticulo"/>
      </w:pPr>
      <w:r w:rsidRPr="001D7FA9">
        <w:rPr>
          <w:rStyle w:val="TextoNormalNegritaCaracter"/>
        </w:rPr>
        <w:t>Artículo 4 bis.</w:t>
      </w:r>
      <w:r w:rsidRPr="001D7FA9">
        <w:rPr>
          <w:rStyle w:val="TextoNormalCaracter"/>
        </w:rPr>
        <w:t>-</w:t>
      </w:r>
      <w:r>
        <w:t xml:space="preserve"> Auto </w:t>
      </w:r>
      <w:hyperlink w:anchor="AUTO_2025_65" w:history="1">
        <w:r w:rsidRPr="001D7FA9">
          <w:rPr>
            <w:rStyle w:val="TextoNormalCaracter"/>
          </w:rPr>
          <w:t>65/2025</w:t>
        </w:r>
      </w:hyperlink>
      <w:r>
        <w:t>, VP.</w:t>
      </w:r>
    </w:p>
    <w:p w14:paraId="08AA79D3" w14:textId="05FB04E7" w:rsidR="001D7FA9" w:rsidRDefault="001D7FA9" w:rsidP="001D7FA9">
      <w:pPr>
        <w:pStyle w:val="SangriaFrancesaArticulo"/>
      </w:pPr>
      <w:r w:rsidRPr="001D7FA9">
        <w:rPr>
          <w:rStyle w:val="TextoNormalNegritaCaracter"/>
        </w:rPr>
        <w:t>Artículo 5.1.</w:t>
      </w:r>
      <w:r w:rsidRPr="001D7FA9">
        <w:rPr>
          <w:rStyle w:val="TextoNormalCaracter"/>
        </w:rPr>
        <w:t>-</w:t>
      </w:r>
      <w:r>
        <w:t xml:space="preserve"> Sentencia </w:t>
      </w:r>
      <w:hyperlink w:anchor="SENTENCIA_2025_105" w:history="1">
        <w:r w:rsidRPr="001D7FA9">
          <w:rPr>
            <w:rStyle w:val="TextoNormalCaracter"/>
          </w:rPr>
          <w:t>105/2025</w:t>
        </w:r>
      </w:hyperlink>
      <w:r>
        <w:t>, VP I, VP III.</w:t>
      </w:r>
    </w:p>
    <w:p w14:paraId="1997C780" w14:textId="3C245CC8" w:rsidR="001D7FA9" w:rsidRDefault="001D7FA9" w:rsidP="001D7FA9">
      <w:pPr>
        <w:pStyle w:val="SangriaFrancesaArticulo"/>
      </w:pPr>
      <w:r w:rsidRPr="001D7FA9">
        <w:rPr>
          <w:rStyle w:val="TextoNormalNegritaCaracter"/>
        </w:rPr>
        <w:t>Artículo 5.4.</w:t>
      </w:r>
      <w:r w:rsidRPr="001D7FA9">
        <w:rPr>
          <w:rStyle w:val="TextoNormalCaracter"/>
        </w:rPr>
        <w:t>-</w:t>
      </w:r>
      <w:r>
        <w:t xml:space="preserve"> Auto </w:t>
      </w:r>
      <w:hyperlink w:anchor="AUTO_2025_8" w:history="1">
        <w:r w:rsidRPr="001D7FA9">
          <w:rPr>
            <w:rStyle w:val="TextoNormalCaracter"/>
          </w:rPr>
          <w:t>8/2025</w:t>
        </w:r>
      </w:hyperlink>
      <w:r>
        <w:t>, VP.</w:t>
      </w:r>
    </w:p>
    <w:p w14:paraId="524A8126" w14:textId="09F25496"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Auto </w:t>
      </w:r>
      <w:hyperlink w:anchor="AUTO_2025_8" w:history="1">
        <w:r w:rsidRPr="001D7FA9">
          <w:rPr>
            <w:rStyle w:val="TextoNormalCaracter"/>
          </w:rPr>
          <w:t>8/2025</w:t>
        </w:r>
      </w:hyperlink>
      <w:r>
        <w:t>, VP.</w:t>
      </w:r>
    </w:p>
    <w:p w14:paraId="2AC948DB" w14:textId="6B095F56" w:rsidR="001D7FA9" w:rsidRDefault="001D7FA9" w:rsidP="001D7FA9">
      <w:pPr>
        <w:pStyle w:val="SangriaFrancesaArticulo"/>
      </w:pPr>
      <w:r w:rsidRPr="001D7FA9">
        <w:rPr>
          <w:rStyle w:val="TextoNormalNegritaCaracter"/>
        </w:rPr>
        <w:t>Artículo 11.1.</w:t>
      </w:r>
      <w:r w:rsidRPr="001D7FA9">
        <w:rPr>
          <w:rStyle w:val="TextoNormalCaracter"/>
        </w:rPr>
        <w:t>-</w:t>
      </w:r>
      <w:r>
        <w:t xml:space="preserve"> Auto </w:t>
      </w:r>
      <w:hyperlink w:anchor="AUTO_2025_8" w:history="1">
        <w:r w:rsidRPr="001D7FA9">
          <w:rPr>
            <w:rStyle w:val="TextoNormalCaracter"/>
          </w:rPr>
          <w:t>8/2025</w:t>
        </w:r>
      </w:hyperlink>
      <w:r>
        <w:t>, VP.</w:t>
      </w:r>
    </w:p>
    <w:p w14:paraId="27B6B27A" w14:textId="50C445F5" w:rsidR="001D7FA9" w:rsidRDefault="001D7FA9" w:rsidP="001D7FA9">
      <w:pPr>
        <w:pStyle w:val="SangriaFrancesaArticulo"/>
      </w:pPr>
      <w:r w:rsidRPr="001D7FA9">
        <w:rPr>
          <w:rStyle w:val="TextoNormalNegritaCaracter"/>
        </w:rPr>
        <w:t>Artículo 11.2.</w:t>
      </w:r>
      <w:r w:rsidRPr="001D7FA9">
        <w:rPr>
          <w:rStyle w:val="TextoNormalCaracter"/>
        </w:rPr>
        <w:t>-</w:t>
      </w:r>
      <w:r>
        <w:t xml:space="preserve"> Autos </w:t>
      </w:r>
      <w:hyperlink w:anchor="AUTO_2025_16" w:history="1">
        <w:r w:rsidRPr="001D7FA9">
          <w:rPr>
            <w:rStyle w:val="TextoNormalCaracter"/>
          </w:rPr>
          <w:t>16/2025</w:t>
        </w:r>
      </w:hyperlink>
      <w:r>
        <w:t xml:space="preserve">, f. 1; </w:t>
      </w:r>
      <w:hyperlink w:anchor="AUTO_2025_30" w:history="1">
        <w:r w:rsidRPr="001D7FA9">
          <w:rPr>
            <w:rStyle w:val="TextoNormalCaracter"/>
          </w:rPr>
          <w:t>30/2025</w:t>
        </w:r>
      </w:hyperlink>
      <w:r>
        <w:t xml:space="preserve">, f. único; </w:t>
      </w:r>
      <w:hyperlink w:anchor="AUTO_2025_56" w:history="1">
        <w:r w:rsidRPr="001D7FA9">
          <w:rPr>
            <w:rStyle w:val="TextoNormalCaracter"/>
          </w:rPr>
          <w:t>56/2025</w:t>
        </w:r>
      </w:hyperlink>
      <w:r>
        <w:t xml:space="preserve">, f. único; </w:t>
      </w:r>
      <w:hyperlink w:anchor="AUTO_2025_57" w:history="1">
        <w:r w:rsidRPr="001D7FA9">
          <w:rPr>
            <w:rStyle w:val="TextoNormalCaracter"/>
          </w:rPr>
          <w:t>57/2025</w:t>
        </w:r>
      </w:hyperlink>
      <w:r>
        <w:t>, f. único.</w:t>
      </w:r>
    </w:p>
    <w:p w14:paraId="002ECA22" w14:textId="4EAD7416"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Auto </w:t>
      </w:r>
      <w:hyperlink w:anchor="AUTO_2025_6" w:history="1">
        <w:r w:rsidRPr="001D7FA9">
          <w:rPr>
            <w:rStyle w:val="TextoNormalCaracter"/>
          </w:rPr>
          <w:t>6/2025</w:t>
        </w:r>
      </w:hyperlink>
      <w:r>
        <w:t>, f. 4, VP II.</w:t>
      </w:r>
    </w:p>
    <w:p w14:paraId="18EEFC63" w14:textId="41A57F08" w:rsidR="001D7FA9" w:rsidRDefault="001D7FA9" w:rsidP="001D7FA9">
      <w:pPr>
        <w:pStyle w:val="SangriaFrancesaArticulo"/>
      </w:pPr>
      <w:r w:rsidRPr="001D7FA9">
        <w:rPr>
          <w:rStyle w:val="TextoNormalNegritaCaracter"/>
        </w:rPr>
        <w:t>Artículo 91.2.</w:t>
      </w:r>
      <w:r w:rsidRPr="001D7FA9">
        <w:rPr>
          <w:rStyle w:val="TextoNormalCaracter"/>
        </w:rPr>
        <w:t>-</w:t>
      </w:r>
      <w:r>
        <w:t xml:space="preserve"> Sentencia </w:t>
      </w:r>
      <w:hyperlink w:anchor="SENTENCIA_2025_31" w:history="1">
        <w:r w:rsidRPr="001D7FA9">
          <w:rPr>
            <w:rStyle w:val="TextoNormalCaracter"/>
          </w:rPr>
          <w:t>31/2025</w:t>
        </w:r>
      </w:hyperlink>
      <w:r>
        <w:t>, f. 5.</w:t>
      </w:r>
    </w:p>
    <w:p w14:paraId="7AC6149D" w14:textId="1202FCF5" w:rsidR="001D7FA9" w:rsidRDefault="001D7FA9" w:rsidP="001D7FA9">
      <w:pPr>
        <w:pStyle w:val="SangriaFrancesaArticulo"/>
      </w:pPr>
      <w:r w:rsidRPr="001D7FA9">
        <w:rPr>
          <w:rStyle w:val="TextoNormalNegritaCaracter"/>
        </w:rPr>
        <w:t>Artículo 108.</w:t>
      </w:r>
      <w:r w:rsidRPr="001D7FA9">
        <w:rPr>
          <w:rStyle w:val="TextoNormalCaracter"/>
        </w:rPr>
        <w:t>-</w:t>
      </w:r>
      <w:r>
        <w:t xml:space="preserve"> Auto </w:t>
      </w:r>
      <w:hyperlink w:anchor="AUTO_2025_6" w:history="1">
        <w:r w:rsidRPr="001D7FA9">
          <w:rPr>
            <w:rStyle w:val="TextoNormalCaracter"/>
          </w:rPr>
          <w:t>6/2025</w:t>
        </w:r>
      </w:hyperlink>
      <w:r>
        <w:t>, f. 4.</w:t>
      </w:r>
    </w:p>
    <w:p w14:paraId="147E6DCB" w14:textId="5BB1BFB2" w:rsidR="001D7FA9" w:rsidRDefault="001D7FA9" w:rsidP="001D7FA9">
      <w:pPr>
        <w:pStyle w:val="SangriaFrancesaArticulo"/>
      </w:pPr>
      <w:r w:rsidRPr="001D7FA9">
        <w:rPr>
          <w:rStyle w:val="TextoNormalNegritaCaracter"/>
        </w:rPr>
        <w:t>Artículo 108.1.</w:t>
      </w:r>
      <w:r w:rsidRPr="001D7FA9">
        <w:rPr>
          <w:rStyle w:val="TextoNormalCaracter"/>
        </w:rPr>
        <w:t>-</w:t>
      </w:r>
      <w:r>
        <w:t xml:space="preserve"> Auto </w:t>
      </w:r>
      <w:hyperlink w:anchor="AUTO_2025_35" w:history="1">
        <w:r w:rsidRPr="001D7FA9">
          <w:rPr>
            <w:rStyle w:val="TextoNormalCaracter"/>
          </w:rPr>
          <w:t>35/2025</w:t>
        </w:r>
      </w:hyperlink>
      <w:r>
        <w:t>, VP II.</w:t>
      </w:r>
    </w:p>
    <w:p w14:paraId="57733A03" w14:textId="0CC6D07D" w:rsidR="001D7FA9" w:rsidRDefault="001D7FA9" w:rsidP="001D7FA9">
      <w:pPr>
        <w:pStyle w:val="SangriaFrancesaArticulo"/>
      </w:pPr>
      <w:r w:rsidRPr="001D7FA9">
        <w:rPr>
          <w:rStyle w:val="TextoNormalNegritaCaracter"/>
        </w:rPr>
        <w:t>Artículo 108.1 e) y f)</w:t>
      </w:r>
      <w:r>
        <w:t xml:space="preserve"> (redactado por la Ley Orgánica 16/1994, de 8 de noviembre)</w:t>
      </w:r>
      <w:r w:rsidRPr="001D7FA9">
        <w:rPr>
          <w:rStyle w:val="TextoNormalNegritaCaracter"/>
        </w:rPr>
        <w:t>.</w:t>
      </w:r>
      <w:r w:rsidRPr="001D7FA9">
        <w:rPr>
          <w:rStyle w:val="TextoNormalCaracter"/>
        </w:rPr>
        <w:t>-</w:t>
      </w:r>
      <w:r>
        <w:t xml:space="preserve"> Auto </w:t>
      </w:r>
      <w:hyperlink w:anchor="AUTO_2025_6" w:history="1">
        <w:r w:rsidRPr="001D7FA9">
          <w:rPr>
            <w:rStyle w:val="TextoNormalCaracter"/>
          </w:rPr>
          <w:t>6/2025</w:t>
        </w:r>
      </w:hyperlink>
      <w:r>
        <w:t>, VP I, VP II.</w:t>
      </w:r>
    </w:p>
    <w:p w14:paraId="576E3D89" w14:textId="2BB2C3B0" w:rsidR="001D7FA9" w:rsidRDefault="001D7FA9" w:rsidP="001D7FA9">
      <w:pPr>
        <w:pStyle w:val="SangriaFrancesaArticulo"/>
      </w:pPr>
      <w:r w:rsidRPr="001D7FA9">
        <w:rPr>
          <w:rStyle w:val="TextoNormalNegritaCaracter"/>
        </w:rPr>
        <w:t>Artículo 149.2.</w:t>
      </w:r>
      <w:r w:rsidRPr="001D7FA9">
        <w:rPr>
          <w:rStyle w:val="TextoNormalCaracter"/>
        </w:rPr>
        <w:t>-</w:t>
      </w:r>
      <w:r>
        <w:t xml:space="preserve"> Sentencia </w:t>
      </w:r>
      <w:hyperlink w:anchor="SENTENCIA_2025_12" w:history="1">
        <w:r w:rsidRPr="001D7FA9">
          <w:rPr>
            <w:rStyle w:val="TextoNormalCaracter"/>
          </w:rPr>
          <w:t>12/2025</w:t>
        </w:r>
      </w:hyperlink>
      <w:r>
        <w:t>, f. 3.</w:t>
      </w:r>
    </w:p>
    <w:p w14:paraId="52C7DEE5" w14:textId="132D6EFD" w:rsidR="001D7FA9" w:rsidRDefault="001D7FA9" w:rsidP="001D7FA9">
      <w:pPr>
        <w:pStyle w:val="SangriaFrancesaArticulo"/>
      </w:pPr>
      <w:r w:rsidRPr="001D7FA9">
        <w:rPr>
          <w:rStyle w:val="TextoNormalNegritaCaracter"/>
        </w:rPr>
        <w:t>Artículo 152.</w:t>
      </w:r>
      <w:r w:rsidRPr="001D7FA9">
        <w:rPr>
          <w:rStyle w:val="TextoNormalCaracter"/>
        </w:rPr>
        <w:t>-</w:t>
      </w:r>
      <w:r>
        <w:t xml:space="preserve"> Sentencia </w:t>
      </w:r>
      <w:hyperlink w:anchor="SENTENCIA_2025_12" w:history="1">
        <w:r w:rsidRPr="001D7FA9">
          <w:rPr>
            <w:rStyle w:val="TextoNormalCaracter"/>
          </w:rPr>
          <w:t>12/2025</w:t>
        </w:r>
      </w:hyperlink>
      <w:r>
        <w:t>, f. 3.</w:t>
      </w:r>
    </w:p>
    <w:p w14:paraId="591811C5" w14:textId="11B18B11" w:rsidR="001D7FA9" w:rsidRDefault="001D7FA9" w:rsidP="001D7FA9">
      <w:pPr>
        <w:pStyle w:val="SangriaFrancesaArticulo"/>
      </w:pPr>
      <w:r w:rsidRPr="001D7FA9">
        <w:rPr>
          <w:rStyle w:val="TextoNormalNegritaCaracter"/>
        </w:rPr>
        <w:t>Artículo 190.</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13" w:history="1">
        <w:r w:rsidRPr="001D7FA9">
          <w:rPr>
            <w:rStyle w:val="TextoNormalCaracter"/>
          </w:rPr>
          <w:t>13/2025</w:t>
        </w:r>
      </w:hyperlink>
      <w:r>
        <w:t xml:space="preserve">, f. 3; </w:t>
      </w:r>
      <w:hyperlink w:anchor="SENTENCIA_2025_84" w:history="1">
        <w:r w:rsidRPr="001D7FA9">
          <w:rPr>
            <w:rStyle w:val="TextoNormalCaracter"/>
          </w:rPr>
          <w:t>84/2025</w:t>
        </w:r>
      </w:hyperlink>
      <w:r>
        <w:t>, ff. 2, 3.</w:t>
      </w:r>
    </w:p>
    <w:p w14:paraId="462763F5" w14:textId="3B21BF01" w:rsidR="001D7FA9" w:rsidRDefault="001D7FA9" w:rsidP="001D7FA9">
      <w:pPr>
        <w:pStyle w:val="SangriaFrancesaArticulo"/>
      </w:pPr>
      <w:r w:rsidRPr="001D7FA9">
        <w:rPr>
          <w:rStyle w:val="TextoNormalNegritaCaracter"/>
        </w:rPr>
        <w:t>Artículo 190.3.</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13" w:history="1">
        <w:r w:rsidRPr="001D7FA9">
          <w:rPr>
            <w:rStyle w:val="TextoNormalCaracter"/>
          </w:rPr>
          <w:t>13/2025</w:t>
        </w:r>
      </w:hyperlink>
      <w:r>
        <w:t xml:space="preserve">, f. 4; </w:t>
      </w:r>
      <w:hyperlink w:anchor="SENTENCIA_2025_84" w:history="1">
        <w:r w:rsidRPr="001D7FA9">
          <w:rPr>
            <w:rStyle w:val="TextoNormalCaracter"/>
          </w:rPr>
          <w:t>84/2025</w:t>
        </w:r>
      </w:hyperlink>
      <w:r>
        <w:t>, f. 4.</w:t>
      </w:r>
    </w:p>
    <w:p w14:paraId="5EC553BA" w14:textId="5FF78F4C" w:rsidR="001D7FA9" w:rsidRDefault="001D7FA9" w:rsidP="001D7FA9">
      <w:pPr>
        <w:pStyle w:val="SangriaFrancesaArticulo"/>
      </w:pPr>
      <w:r w:rsidRPr="001D7FA9">
        <w:rPr>
          <w:rStyle w:val="TextoNormalNegritaCaracter"/>
        </w:rPr>
        <w:t>Artículo 217.</w:t>
      </w:r>
      <w:r w:rsidRPr="001D7FA9">
        <w:rPr>
          <w:rStyle w:val="TextoNormalCaracter"/>
        </w:rPr>
        <w:t>-</w:t>
      </w:r>
      <w:r>
        <w:t xml:space="preserve"> Auto </w:t>
      </w:r>
      <w:hyperlink w:anchor="AUTO_2025_12" w:history="1">
        <w:r w:rsidRPr="001D7FA9">
          <w:rPr>
            <w:rStyle w:val="TextoNormalCaracter"/>
          </w:rPr>
          <w:t>12/2025</w:t>
        </w:r>
      </w:hyperlink>
      <w:r>
        <w:t>, f. 1.</w:t>
      </w:r>
    </w:p>
    <w:p w14:paraId="755A595D" w14:textId="5581F6F6" w:rsidR="001D7FA9" w:rsidRDefault="001D7FA9" w:rsidP="001D7FA9">
      <w:pPr>
        <w:pStyle w:val="SangriaFrancesaArticulo"/>
      </w:pPr>
      <w:r w:rsidRPr="001D7FA9">
        <w:rPr>
          <w:rStyle w:val="TextoNormalNegritaCaracter"/>
        </w:rPr>
        <w:t>Artículo 217 y ss..</w:t>
      </w:r>
      <w:r w:rsidRPr="001D7FA9">
        <w:rPr>
          <w:rStyle w:val="TextoNormalCaracter"/>
        </w:rPr>
        <w:t>-</w:t>
      </w:r>
      <w:r>
        <w:t xml:space="preserve"> Auto </w:t>
      </w:r>
      <w:hyperlink w:anchor="AUTO_2025_35" w:history="1">
        <w:r w:rsidRPr="001D7FA9">
          <w:rPr>
            <w:rStyle w:val="TextoNormalCaracter"/>
          </w:rPr>
          <w:t>35/2025</w:t>
        </w:r>
      </w:hyperlink>
      <w:r>
        <w:t>, VP I.</w:t>
      </w:r>
    </w:p>
    <w:p w14:paraId="57FD5953" w14:textId="7A8FEEBA" w:rsidR="001D7FA9" w:rsidRDefault="001D7FA9" w:rsidP="001D7FA9">
      <w:pPr>
        <w:pStyle w:val="SangriaFrancesaArticulo"/>
      </w:pPr>
      <w:r w:rsidRPr="001D7FA9">
        <w:rPr>
          <w:rStyle w:val="TextoNormalNegritaCaracter"/>
        </w:rPr>
        <w:t>Artículo 218.</w:t>
      </w:r>
      <w:r w:rsidRPr="001D7FA9">
        <w:rPr>
          <w:rStyle w:val="TextoNormalCaracter"/>
        </w:rPr>
        <w:t>-</w:t>
      </w:r>
      <w:r>
        <w:t xml:space="preserve"> Auto </w:t>
      </w:r>
      <w:hyperlink w:anchor="AUTO_2025_35" w:history="1">
        <w:r w:rsidRPr="001D7FA9">
          <w:rPr>
            <w:rStyle w:val="TextoNormalCaracter"/>
          </w:rPr>
          <w:t>35/2025</w:t>
        </w:r>
      </w:hyperlink>
      <w:r>
        <w:t>, VP I.</w:t>
      </w:r>
    </w:p>
    <w:p w14:paraId="6883D1BD" w14:textId="1BD51C6B" w:rsidR="001D7FA9" w:rsidRDefault="001D7FA9" w:rsidP="001D7FA9">
      <w:pPr>
        <w:pStyle w:val="SangriaFrancesaArticulo"/>
      </w:pPr>
      <w:r w:rsidRPr="001D7FA9">
        <w:rPr>
          <w:rStyle w:val="TextoNormalNegritaCaracter"/>
        </w:rPr>
        <w:t>Artículo 218.1.</w:t>
      </w:r>
      <w:r w:rsidRPr="001D7FA9">
        <w:rPr>
          <w:rStyle w:val="TextoNormalCaracter"/>
        </w:rPr>
        <w:t>-</w:t>
      </w:r>
      <w:r>
        <w:t xml:space="preserve"> Auto </w:t>
      </w:r>
      <w:hyperlink w:anchor="AUTO_2025_12" w:history="1">
        <w:r w:rsidRPr="001D7FA9">
          <w:rPr>
            <w:rStyle w:val="TextoNormalCaracter"/>
          </w:rPr>
          <w:t>12/2025</w:t>
        </w:r>
      </w:hyperlink>
      <w:r>
        <w:t>, VP I.</w:t>
      </w:r>
    </w:p>
    <w:p w14:paraId="7E98F1D0" w14:textId="0FA7D707" w:rsidR="001D7FA9" w:rsidRDefault="001D7FA9" w:rsidP="001D7FA9">
      <w:pPr>
        <w:pStyle w:val="SangriaFrancesaArticulo"/>
      </w:pPr>
      <w:r w:rsidRPr="001D7FA9">
        <w:rPr>
          <w:rStyle w:val="TextoNormalNegritaCaracter"/>
        </w:rPr>
        <w:t>Artículo 219.</w:t>
      </w:r>
      <w:r w:rsidRPr="001D7FA9">
        <w:rPr>
          <w:rStyle w:val="TextoNormalCaracter"/>
        </w:rPr>
        <w:t>-</w:t>
      </w:r>
      <w:r>
        <w:t xml:space="preserve"> Autos </w:t>
      </w:r>
      <w:hyperlink w:anchor="AUTO_2025_12" w:history="1">
        <w:r w:rsidRPr="001D7FA9">
          <w:rPr>
            <w:rStyle w:val="TextoNormalCaracter"/>
          </w:rPr>
          <w:t>12/2025</w:t>
        </w:r>
      </w:hyperlink>
      <w:r>
        <w:t xml:space="preserve">, f. 1; </w:t>
      </w:r>
      <w:hyperlink w:anchor="AUTO_2025_35" w:history="1">
        <w:r w:rsidRPr="001D7FA9">
          <w:rPr>
            <w:rStyle w:val="TextoNormalCaracter"/>
          </w:rPr>
          <w:t>35/2025</w:t>
        </w:r>
      </w:hyperlink>
      <w:r>
        <w:t xml:space="preserve">, ff. 2, 6, VP II; </w:t>
      </w:r>
      <w:hyperlink w:anchor="AUTO_2025_56" w:history="1">
        <w:r w:rsidRPr="001D7FA9">
          <w:rPr>
            <w:rStyle w:val="TextoNormalCaracter"/>
          </w:rPr>
          <w:t>56/2025</w:t>
        </w:r>
      </w:hyperlink>
      <w:r>
        <w:t xml:space="preserve">, f. único; </w:t>
      </w:r>
      <w:hyperlink w:anchor="AUTO_2025_57" w:history="1">
        <w:r w:rsidRPr="001D7FA9">
          <w:rPr>
            <w:rStyle w:val="TextoNormalCaracter"/>
          </w:rPr>
          <w:t>57/2025</w:t>
        </w:r>
      </w:hyperlink>
      <w:r>
        <w:t>, f. único.</w:t>
      </w:r>
    </w:p>
    <w:p w14:paraId="4D9D4A54" w14:textId="6E9AED73" w:rsidR="001D7FA9" w:rsidRDefault="001D7FA9" w:rsidP="001D7FA9">
      <w:pPr>
        <w:pStyle w:val="SangriaFrancesaArticulo"/>
      </w:pPr>
      <w:r w:rsidRPr="001D7FA9">
        <w:rPr>
          <w:rStyle w:val="TextoNormalNegritaCaracter"/>
        </w:rPr>
        <w:t>Artículo 219.9.</w:t>
      </w:r>
      <w:r w:rsidRPr="001D7FA9">
        <w:rPr>
          <w:rStyle w:val="TextoNormalCaracter"/>
        </w:rPr>
        <w:t>-</w:t>
      </w:r>
      <w:r>
        <w:t xml:space="preserve"> Auto </w:t>
      </w:r>
      <w:hyperlink w:anchor="AUTO_2025_23" w:history="1">
        <w:r w:rsidRPr="001D7FA9">
          <w:rPr>
            <w:rStyle w:val="TextoNormalCaracter"/>
          </w:rPr>
          <w:t>23/2025</w:t>
        </w:r>
      </w:hyperlink>
      <w:r>
        <w:t>, f. 3.</w:t>
      </w:r>
    </w:p>
    <w:p w14:paraId="39063964" w14:textId="2078DD8E" w:rsidR="001D7FA9" w:rsidRDefault="001D7FA9" w:rsidP="001D7FA9">
      <w:pPr>
        <w:pStyle w:val="SangriaFrancesaArticulo"/>
      </w:pPr>
      <w:r w:rsidRPr="001D7FA9">
        <w:rPr>
          <w:rStyle w:val="TextoNormalNegritaCaracter"/>
        </w:rPr>
        <w:t>Artículo 219.10.</w:t>
      </w:r>
      <w:r w:rsidRPr="001D7FA9">
        <w:rPr>
          <w:rStyle w:val="TextoNormalCaracter"/>
        </w:rPr>
        <w:t>-</w:t>
      </w:r>
      <w:r>
        <w:t xml:space="preserve"> Autos </w:t>
      </w:r>
      <w:hyperlink w:anchor="AUTO_2025_23" w:history="1">
        <w:r w:rsidRPr="001D7FA9">
          <w:rPr>
            <w:rStyle w:val="TextoNormalCaracter"/>
          </w:rPr>
          <w:t>23/2025</w:t>
        </w:r>
      </w:hyperlink>
      <w:r>
        <w:t xml:space="preserve">, f. 3; </w:t>
      </w:r>
      <w:hyperlink w:anchor="AUTO_2025_56" w:history="1">
        <w:r w:rsidRPr="001D7FA9">
          <w:rPr>
            <w:rStyle w:val="TextoNormalCaracter"/>
          </w:rPr>
          <w:t>56/2025</w:t>
        </w:r>
      </w:hyperlink>
      <w:r>
        <w:t xml:space="preserve">, f. único; </w:t>
      </w:r>
      <w:hyperlink w:anchor="AUTO_2025_57" w:history="1">
        <w:r w:rsidRPr="001D7FA9">
          <w:rPr>
            <w:rStyle w:val="TextoNormalCaracter"/>
          </w:rPr>
          <w:t>57/2025</w:t>
        </w:r>
      </w:hyperlink>
      <w:r>
        <w:t xml:space="preserve">, f. único; </w:t>
      </w:r>
      <w:hyperlink w:anchor="AUTO_2025_66" w:history="1">
        <w:r w:rsidRPr="001D7FA9">
          <w:rPr>
            <w:rStyle w:val="TextoNormalCaracter"/>
          </w:rPr>
          <w:t>66/2025</w:t>
        </w:r>
      </w:hyperlink>
      <w:r>
        <w:t>, f. único.</w:t>
      </w:r>
    </w:p>
    <w:p w14:paraId="0260291E" w14:textId="2CFFD5E2" w:rsidR="001D7FA9" w:rsidRDefault="001D7FA9" w:rsidP="001D7FA9">
      <w:pPr>
        <w:pStyle w:val="SangriaFrancesaArticulo"/>
      </w:pPr>
      <w:r w:rsidRPr="001D7FA9">
        <w:rPr>
          <w:rStyle w:val="TextoNormalNegritaCaracter"/>
        </w:rPr>
        <w:t>Artículo 219.11.</w:t>
      </w:r>
      <w:r w:rsidRPr="001D7FA9">
        <w:rPr>
          <w:rStyle w:val="TextoNormalCaracter"/>
        </w:rPr>
        <w:t>-</w:t>
      </w:r>
      <w:r>
        <w:t xml:space="preserve"> Auto </w:t>
      </w:r>
      <w:hyperlink w:anchor="AUTO_2025_6" w:history="1">
        <w:r w:rsidRPr="001D7FA9">
          <w:rPr>
            <w:rStyle w:val="TextoNormalCaracter"/>
          </w:rPr>
          <w:t>6/2025</w:t>
        </w:r>
      </w:hyperlink>
      <w:r>
        <w:t>, f. 4, VP II.</w:t>
      </w:r>
    </w:p>
    <w:p w14:paraId="2B6641AC" w14:textId="6CEBF532" w:rsidR="001D7FA9" w:rsidRDefault="001D7FA9" w:rsidP="001D7FA9">
      <w:pPr>
        <w:pStyle w:val="SangriaFrancesaArticulo"/>
      </w:pPr>
      <w:r w:rsidRPr="001D7FA9">
        <w:rPr>
          <w:rStyle w:val="TextoNormalNegritaCaracter"/>
        </w:rPr>
        <w:t>Artículo 219.12.</w:t>
      </w:r>
      <w:r w:rsidRPr="001D7FA9">
        <w:rPr>
          <w:rStyle w:val="TextoNormalCaracter"/>
        </w:rPr>
        <w:t>-</w:t>
      </w:r>
      <w:r>
        <w:t xml:space="preserve"> Autos </w:t>
      </w:r>
      <w:hyperlink w:anchor="AUTO_2025_14" w:history="1">
        <w:r w:rsidRPr="001D7FA9">
          <w:rPr>
            <w:rStyle w:val="TextoNormalCaracter"/>
          </w:rPr>
          <w:t>14/2025</w:t>
        </w:r>
      </w:hyperlink>
      <w:r>
        <w:t xml:space="preserve">, f. 2; </w:t>
      </w:r>
      <w:hyperlink w:anchor="AUTO_2025_15" w:history="1">
        <w:r w:rsidRPr="001D7FA9">
          <w:rPr>
            <w:rStyle w:val="TextoNormalCaracter"/>
          </w:rPr>
          <w:t>15/2025</w:t>
        </w:r>
      </w:hyperlink>
      <w:r>
        <w:t xml:space="preserve">, f. 2, VP; </w:t>
      </w:r>
      <w:hyperlink w:anchor="AUTO_2025_17" w:history="1">
        <w:r w:rsidRPr="001D7FA9">
          <w:rPr>
            <w:rStyle w:val="TextoNormalCaracter"/>
          </w:rPr>
          <w:t>17/2025</w:t>
        </w:r>
      </w:hyperlink>
      <w:r>
        <w:t xml:space="preserve">, f. 2; </w:t>
      </w:r>
      <w:hyperlink w:anchor="AUTO_2025_25" w:history="1">
        <w:r w:rsidRPr="001D7FA9">
          <w:rPr>
            <w:rStyle w:val="TextoNormalCaracter"/>
          </w:rPr>
          <w:t>25/2025</w:t>
        </w:r>
      </w:hyperlink>
      <w:r>
        <w:t xml:space="preserve">, f. 2; </w:t>
      </w:r>
      <w:hyperlink w:anchor="AUTO_2025_26" w:history="1">
        <w:r w:rsidRPr="001D7FA9">
          <w:rPr>
            <w:rStyle w:val="TextoNormalCaracter"/>
          </w:rPr>
          <w:t>26/2025</w:t>
        </w:r>
      </w:hyperlink>
      <w:r>
        <w:t xml:space="preserve">, f. 2; </w:t>
      </w:r>
      <w:hyperlink w:anchor="AUTO_2025_27" w:history="1">
        <w:r w:rsidRPr="001D7FA9">
          <w:rPr>
            <w:rStyle w:val="TextoNormalCaracter"/>
          </w:rPr>
          <w:t>27/2025</w:t>
        </w:r>
      </w:hyperlink>
      <w:r>
        <w:t xml:space="preserve">, f. 2; </w:t>
      </w:r>
      <w:hyperlink w:anchor="AUTO_2025_31" w:history="1">
        <w:r w:rsidRPr="001D7FA9">
          <w:rPr>
            <w:rStyle w:val="TextoNormalCaracter"/>
          </w:rPr>
          <w:t>31/2025</w:t>
        </w:r>
      </w:hyperlink>
      <w:r>
        <w:t>, VP.</w:t>
      </w:r>
    </w:p>
    <w:p w14:paraId="34170DCE" w14:textId="0607BD9B" w:rsidR="001D7FA9" w:rsidRDefault="001D7FA9" w:rsidP="001D7FA9">
      <w:pPr>
        <w:pStyle w:val="SangriaFrancesaArticulo"/>
      </w:pPr>
      <w:r w:rsidRPr="001D7FA9">
        <w:rPr>
          <w:rStyle w:val="TextoNormalNegritaCaracter"/>
        </w:rPr>
        <w:t>Artículo 219.13.</w:t>
      </w:r>
      <w:r w:rsidRPr="001D7FA9">
        <w:rPr>
          <w:rStyle w:val="TextoNormalCaracter"/>
        </w:rPr>
        <w:t>-</w:t>
      </w:r>
      <w:r>
        <w:t xml:space="preserve"> Autos </w:t>
      </w:r>
      <w:hyperlink w:anchor="AUTO_2025_3" w:history="1">
        <w:r w:rsidRPr="001D7FA9">
          <w:rPr>
            <w:rStyle w:val="TextoNormalCaracter"/>
          </w:rPr>
          <w:t>3/2025</w:t>
        </w:r>
      </w:hyperlink>
      <w:r>
        <w:t xml:space="preserve">, f. único; </w:t>
      </w:r>
      <w:hyperlink w:anchor="AUTO_2025_6" w:history="1">
        <w:r w:rsidRPr="001D7FA9">
          <w:rPr>
            <w:rStyle w:val="TextoNormalCaracter"/>
          </w:rPr>
          <w:t>6/2025</w:t>
        </w:r>
      </w:hyperlink>
      <w:r>
        <w:t xml:space="preserve">, ff. 2, 3, 5, VP I, VP II; </w:t>
      </w:r>
      <w:hyperlink w:anchor="AUTO_2025_12" w:history="1">
        <w:r w:rsidRPr="001D7FA9">
          <w:rPr>
            <w:rStyle w:val="TextoNormalCaracter"/>
          </w:rPr>
          <w:t>12/2025</w:t>
        </w:r>
      </w:hyperlink>
      <w:r>
        <w:t xml:space="preserve">, ff. 3, 4, VP II, VP III; </w:t>
      </w:r>
      <w:hyperlink w:anchor="AUTO_2025_23" w:history="1">
        <w:r w:rsidRPr="001D7FA9">
          <w:rPr>
            <w:rStyle w:val="TextoNormalCaracter"/>
          </w:rPr>
          <w:t>23/2025</w:t>
        </w:r>
      </w:hyperlink>
      <w:r>
        <w:t xml:space="preserve">, f. 3; </w:t>
      </w:r>
      <w:hyperlink w:anchor="AUTO_2025_35" w:history="1">
        <w:r w:rsidRPr="001D7FA9">
          <w:rPr>
            <w:rStyle w:val="TextoNormalCaracter"/>
          </w:rPr>
          <w:t>35/2025</w:t>
        </w:r>
      </w:hyperlink>
      <w:r>
        <w:t>, VP II.</w:t>
      </w:r>
    </w:p>
    <w:p w14:paraId="426309C4" w14:textId="5151199A" w:rsidR="001D7FA9" w:rsidRDefault="001D7FA9" w:rsidP="001D7FA9">
      <w:pPr>
        <w:pStyle w:val="SangriaFrancesaArticulo"/>
      </w:pPr>
      <w:r w:rsidRPr="001D7FA9">
        <w:rPr>
          <w:rStyle w:val="TextoNormalNegritaCaracter"/>
        </w:rPr>
        <w:t>Artículo 219.13 y 16.</w:t>
      </w:r>
      <w:r w:rsidRPr="001D7FA9">
        <w:rPr>
          <w:rStyle w:val="TextoNormalCaracter"/>
        </w:rPr>
        <w:t>-</w:t>
      </w:r>
      <w:r>
        <w:t xml:space="preserve"> Sentencia </w:t>
      </w:r>
      <w:hyperlink w:anchor="SENTENCIA_2025_137" w:history="1">
        <w:r w:rsidRPr="001D7FA9">
          <w:rPr>
            <w:rStyle w:val="TextoNormalCaracter"/>
          </w:rPr>
          <w:t>137/2025</w:t>
        </w:r>
      </w:hyperlink>
      <w:r>
        <w:t>, VP II, VP III.</w:t>
      </w:r>
    </w:p>
    <w:p w14:paraId="641377A0" w14:textId="7A140444" w:rsidR="001D7FA9" w:rsidRDefault="001D7FA9" w:rsidP="001D7FA9">
      <w:pPr>
        <w:pStyle w:val="SangriaFrancesaArticulo"/>
      </w:pPr>
      <w:r w:rsidRPr="001D7FA9">
        <w:rPr>
          <w:rStyle w:val="TextoNormalNegritaCaracter"/>
        </w:rPr>
        <w:t>Artículo 219.15.</w:t>
      </w:r>
      <w:r w:rsidRPr="001D7FA9">
        <w:rPr>
          <w:rStyle w:val="TextoNormalCaracter"/>
        </w:rPr>
        <w:t>-</w:t>
      </w:r>
      <w:r>
        <w:t xml:space="preserve"> Auto </w:t>
      </w:r>
      <w:hyperlink w:anchor="AUTO_2025_1" w:history="1">
        <w:r w:rsidRPr="001D7FA9">
          <w:rPr>
            <w:rStyle w:val="TextoNormalCaracter"/>
          </w:rPr>
          <w:t>1/2025</w:t>
        </w:r>
      </w:hyperlink>
      <w:r>
        <w:t>, f. único.</w:t>
      </w:r>
    </w:p>
    <w:p w14:paraId="3C157433" w14:textId="38638692" w:rsidR="001D7FA9" w:rsidRDefault="001D7FA9" w:rsidP="001D7FA9">
      <w:pPr>
        <w:pStyle w:val="SangriaFrancesaArticulo"/>
      </w:pPr>
      <w:r w:rsidRPr="001D7FA9">
        <w:rPr>
          <w:rStyle w:val="TextoNormalNegritaCaracter"/>
        </w:rPr>
        <w:t>Artículo 219.16.</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31688A3" w14:textId="64A85C21"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ff. 2, 3, 5, VP I, VP II; </w:t>
      </w:r>
      <w:hyperlink w:anchor="AUTO_2025_12" w:history="1">
        <w:r w:rsidRPr="001D7FA9">
          <w:rPr>
            <w:rStyle w:val="TextoNormalCaracter"/>
          </w:rPr>
          <w:t>12/2025</w:t>
        </w:r>
      </w:hyperlink>
      <w:r>
        <w:t xml:space="preserve">, ff. 3, 4, VP II, VP III; </w:t>
      </w:r>
      <w:hyperlink w:anchor="AUTO_2025_35" w:history="1">
        <w:r w:rsidRPr="001D7FA9">
          <w:rPr>
            <w:rStyle w:val="TextoNormalCaracter"/>
          </w:rPr>
          <w:t>35/2025</w:t>
        </w:r>
      </w:hyperlink>
      <w:r>
        <w:t>, VP II.</w:t>
      </w:r>
    </w:p>
    <w:p w14:paraId="1AB3F94E" w14:textId="146B0A50" w:rsidR="001D7FA9" w:rsidRDefault="001D7FA9" w:rsidP="001D7FA9">
      <w:pPr>
        <w:pStyle w:val="SangriaFrancesaArticulo"/>
      </w:pPr>
      <w:r w:rsidRPr="001D7FA9">
        <w:rPr>
          <w:rStyle w:val="TextoNormalNegritaCaracter"/>
        </w:rPr>
        <w:t>Artículo 221.</w:t>
      </w:r>
      <w:r w:rsidRPr="001D7FA9">
        <w:rPr>
          <w:rStyle w:val="TextoNormalCaracter"/>
        </w:rPr>
        <w:t>-</w:t>
      </w:r>
      <w:r>
        <w:t xml:space="preserve"> Auto </w:t>
      </w:r>
      <w:hyperlink w:anchor="AUTO_2025_31" w:history="1">
        <w:r w:rsidRPr="001D7FA9">
          <w:rPr>
            <w:rStyle w:val="TextoNormalCaracter"/>
          </w:rPr>
          <w:t>31/2025</w:t>
        </w:r>
      </w:hyperlink>
      <w:r>
        <w:t>, f. 3.</w:t>
      </w:r>
    </w:p>
    <w:p w14:paraId="7E75F553" w14:textId="115C7952" w:rsidR="001D7FA9" w:rsidRDefault="001D7FA9" w:rsidP="001D7FA9">
      <w:pPr>
        <w:pStyle w:val="SangriaFrancesaArticulo"/>
      </w:pPr>
      <w:r w:rsidRPr="001D7FA9">
        <w:rPr>
          <w:rStyle w:val="TextoNormalNegritaCaracter"/>
        </w:rPr>
        <w:t>Artículo 221.4.</w:t>
      </w:r>
      <w:r w:rsidRPr="001D7FA9">
        <w:rPr>
          <w:rStyle w:val="TextoNormalCaracter"/>
        </w:rPr>
        <w:t>-</w:t>
      </w:r>
      <w:r>
        <w:t xml:space="preserve"> Autos </w:t>
      </w:r>
      <w:hyperlink w:anchor="AUTO_2025_31" w:history="1">
        <w:r w:rsidRPr="001D7FA9">
          <w:rPr>
            <w:rStyle w:val="TextoNormalCaracter"/>
          </w:rPr>
          <w:t>31/2025</w:t>
        </w:r>
      </w:hyperlink>
      <w:r>
        <w:t xml:space="preserve">, ff. 2, 3; </w:t>
      </w:r>
      <w:hyperlink w:anchor="AUTO_2025_66" w:history="1">
        <w:r w:rsidRPr="001D7FA9">
          <w:rPr>
            <w:rStyle w:val="TextoNormalCaracter"/>
          </w:rPr>
          <w:t>66/2025</w:t>
        </w:r>
      </w:hyperlink>
      <w:r>
        <w:t>, f. único.</w:t>
      </w:r>
    </w:p>
    <w:p w14:paraId="221D2B3A" w14:textId="7B49628A" w:rsidR="001D7FA9" w:rsidRDefault="001D7FA9" w:rsidP="001D7FA9">
      <w:pPr>
        <w:pStyle w:val="SangriaFrancesaArticulo"/>
      </w:pPr>
      <w:r w:rsidRPr="001D7FA9">
        <w:rPr>
          <w:rStyle w:val="TextoNormalNegritaCaracter"/>
        </w:rPr>
        <w:t>Artículo 223.</w:t>
      </w:r>
      <w:r w:rsidRPr="001D7FA9">
        <w:rPr>
          <w:rStyle w:val="TextoNormalCaracter"/>
        </w:rPr>
        <w:t>-</w:t>
      </w:r>
      <w:r>
        <w:t xml:space="preserve"> Autos </w:t>
      </w:r>
      <w:hyperlink w:anchor="AUTO_2025_6" w:history="1">
        <w:r w:rsidRPr="001D7FA9">
          <w:rPr>
            <w:rStyle w:val="TextoNormalCaracter"/>
          </w:rPr>
          <w:t>6/2025</w:t>
        </w:r>
      </w:hyperlink>
      <w:r>
        <w:t xml:space="preserve">, VP II; </w:t>
      </w:r>
      <w:hyperlink w:anchor="AUTO_2025_35" w:history="1">
        <w:r w:rsidRPr="001D7FA9">
          <w:rPr>
            <w:rStyle w:val="TextoNormalCaracter"/>
          </w:rPr>
          <w:t>35/2025</w:t>
        </w:r>
      </w:hyperlink>
      <w:r>
        <w:t>, VP I.</w:t>
      </w:r>
    </w:p>
    <w:p w14:paraId="6CF3528F" w14:textId="7B0FAD17" w:rsidR="001D7FA9" w:rsidRDefault="001D7FA9" w:rsidP="001D7FA9">
      <w:pPr>
        <w:pStyle w:val="SangriaFrancesaArticulo"/>
      </w:pPr>
      <w:r w:rsidRPr="001D7FA9">
        <w:rPr>
          <w:rStyle w:val="TextoNormalNegritaCaracter"/>
        </w:rPr>
        <w:t>Artículo 223.1.</w:t>
      </w:r>
      <w:r w:rsidRPr="001D7FA9">
        <w:rPr>
          <w:rStyle w:val="TextoNormalCaracter"/>
        </w:rPr>
        <w:t>-</w:t>
      </w:r>
      <w:r>
        <w:t xml:space="preserve"> Autos </w:t>
      </w:r>
      <w:hyperlink w:anchor="AUTO_2025_6" w:history="1">
        <w:r w:rsidRPr="001D7FA9">
          <w:rPr>
            <w:rStyle w:val="TextoNormalCaracter"/>
          </w:rPr>
          <w:t>6/2025</w:t>
        </w:r>
      </w:hyperlink>
      <w:r>
        <w:t xml:space="preserve">, f. 1, VP II; </w:t>
      </w:r>
      <w:hyperlink w:anchor="AUTO_2025_12" w:history="1">
        <w:r w:rsidRPr="001D7FA9">
          <w:rPr>
            <w:rStyle w:val="TextoNormalCaracter"/>
          </w:rPr>
          <w:t>12/2025</w:t>
        </w:r>
      </w:hyperlink>
      <w:r>
        <w:t xml:space="preserve">, VP III; </w:t>
      </w:r>
      <w:hyperlink w:anchor="AUTO_2025_30" w:history="1">
        <w:r w:rsidRPr="001D7FA9">
          <w:rPr>
            <w:rStyle w:val="TextoNormalCaracter"/>
          </w:rPr>
          <w:t>30/2025</w:t>
        </w:r>
      </w:hyperlink>
      <w:r>
        <w:t xml:space="preserve">, f. único; </w:t>
      </w:r>
      <w:hyperlink w:anchor="AUTO_2025_35" w:history="1">
        <w:r w:rsidRPr="001D7FA9">
          <w:rPr>
            <w:rStyle w:val="TextoNormalCaracter"/>
          </w:rPr>
          <w:t>35/2025</w:t>
        </w:r>
      </w:hyperlink>
      <w:r>
        <w:t>, VP II.</w:t>
      </w:r>
    </w:p>
    <w:p w14:paraId="5764FDE0" w14:textId="73A95F48" w:rsidR="001D7FA9" w:rsidRDefault="001D7FA9" w:rsidP="001D7FA9">
      <w:pPr>
        <w:pStyle w:val="SangriaFrancesaArticulo"/>
      </w:pPr>
      <w:r w:rsidRPr="001D7FA9">
        <w:rPr>
          <w:rStyle w:val="TextoNormalNegritaCaracter"/>
        </w:rPr>
        <w:t>Artículo 223.1.1.</w:t>
      </w:r>
      <w:r w:rsidRPr="001D7FA9">
        <w:rPr>
          <w:rStyle w:val="TextoNormalCaracter"/>
        </w:rPr>
        <w:t>-</w:t>
      </w:r>
      <w:r>
        <w:t xml:space="preserve"> Auto </w:t>
      </w:r>
      <w:hyperlink w:anchor="AUTO_2025_6" w:history="1">
        <w:r w:rsidRPr="001D7FA9">
          <w:rPr>
            <w:rStyle w:val="TextoNormalCaracter"/>
          </w:rPr>
          <w:t>6/2025</w:t>
        </w:r>
      </w:hyperlink>
      <w:r>
        <w:t>, VP II.</w:t>
      </w:r>
    </w:p>
    <w:p w14:paraId="1479B786" w14:textId="113B785A" w:rsidR="001D7FA9" w:rsidRDefault="001D7FA9" w:rsidP="001D7FA9">
      <w:pPr>
        <w:pStyle w:val="SangriaFrancesaArticulo"/>
      </w:pPr>
      <w:r w:rsidRPr="001D7FA9">
        <w:rPr>
          <w:rStyle w:val="TextoNormalNegritaCaracter"/>
        </w:rPr>
        <w:t>Artículo 223.1.2.</w:t>
      </w:r>
      <w:r w:rsidRPr="001D7FA9">
        <w:rPr>
          <w:rStyle w:val="TextoNormalCaracter"/>
        </w:rPr>
        <w:t>-</w:t>
      </w:r>
      <w:r>
        <w:t xml:space="preserve"> Autos </w:t>
      </w:r>
      <w:hyperlink w:anchor="AUTO_2025_6" w:history="1">
        <w:r w:rsidRPr="001D7FA9">
          <w:rPr>
            <w:rStyle w:val="TextoNormalCaracter"/>
          </w:rPr>
          <w:t>6/2025</w:t>
        </w:r>
      </w:hyperlink>
      <w:r>
        <w:t xml:space="preserve">, VP II; </w:t>
      </w:r>
      <w:hyperlink w:anchor="AUTO_2025_35" w:history="1">
        <w:r w:rsidRPr="001D7FA9">
          <w:rPr>
            <w:rStyle w:val="TextoNormalCaracter"/>
          </w:rPr>
          <w:t>35/2025</w:t>
        </w:r>
      </w:hyperlink>
      <w:r>
        <w:t>, VP II.</w:t>
      </w:r>
    </w:p>
    <w:p w14:paraId="1E4494AF" w14:textId="4F8119B1" w:rsidR="001D7FA9" w:rsidRDefault="001D7FA9" w:rsidP="001D7FA9">
      <w:pPr>
        <w:pStyle w:val="SangriaFrancesaArticulo"/>
      </w:pPr>
      <w:r w:rsidRPr="001D7FA9">
        <w:rPr>
          <w:rStyle w:val="TextoNormalNegritaCaracter"/>
        </w:rPr>
        <w:t>Artículo 223.2.</w:t>
      </w:r>
      <w:r w:rsidRPr="001D7FA9">
        <w:rPr>
          <w:rStyle w:val="TextoNormalCaracter"/>
        </w:rPr>
        <w:t>-</w:t>
      </w:r>
      <w:r>
        <w:t xml:space="preserve"> Autos </w:t>
      </w:r>
      <w:hyperlink w:anchor="AUTO_2025_12" w:history="1">
        <w:r w:rsidRPr="001D7FA9">
          <w:rPr>
            <w:rStyle w:val="TextoNormalCaracter"/>
          </w:rPr>
          <w:t>12/2025</w:t>
        </w:r>
      </w:hyperlink>
      <w:r>
        <w:t xml:space="preserve">, VP III; </w:t>
      </w:r>
      <w:hyperlink w:anchor="AUTO_2025_35" w:history="1">
        <w:r w:rsidRPr="001D7FA9">
          <w:rPr>
            <w:rStyle w:val="TextoNormalCaracter"/>
          </w:rPr>
          <w:t>35/2025</w:t>
        </w:r>
      </w:hyperlink>
      <w:r>
        <w:t>, VP II.</w:t>
      </w:r>
    </w:p>
    <w:p w14:paraId="6D00B31C" w14:textId="1D09DC81" w:rsidR="001D7FA9" w:rsidRDefault="001D7FA9" w:rsidP="001D7FA9">
      <w:pPr>
        <w:pStyle w:val="SangriaFrancesaArticulo"/>
      </w:pPr>
      <w:r w:rsidRPr="001D7FA9">
        <w:rPr>
          <w:rStyle w:val="TextoNormalNegritaCaracter"/>
        </w:rPr>
        <w:t>Artículo 223.3.</w:t>
      </w:r>
      <w:r w:rsidRPr="001D7FA9">
        <w:rPr>
          <w:rStyle w:val="TextoNormalCaracter"/>
        </w:rPr>
        <w:t>-</w:t>
      </w:r>
      <w:r>
        <w:t xml:space="preserve"> Autos </w:t>
      </w:r>
      <w:hyperlink w:anchor="AUTO_2025_12" w:history="1">
        <w:r w:rsidRPr="001D7FA9">
          <w:rPr>
            <w:rStyle w:val="TextoNormalCaracter"/>
          </w:rPr>
          <w:t>12/2025</w:t>
        </w:r>
      </w:hyperlink>
      <w:r>
        <w:t xml:space="preserve">, VP I, VP II, VP III; </w:t>
      </w:r>
      <w:hyperlink w:anchor="AUTO_2025_35" w:history="1">
        <w:r w:rsidRPr="001D7FA9">
          <w:rPr>
            <w:rStyle w:val="TextoNormalCaracter"/>
          </w:rPr>
          <w:t>35/2025</w:t>
        </w:r>
      </w:hyperlink>
      <w:r>
        <w:t>, VP II.</w:t>
      </w:r>
    </w:p>
    <w:p w14:paraId="53680CEA" w14:textId="3E432131" w:rsidR="001D7FA9" w:rsidRDefault="001D7FA9" w:rsidP="001D7FA9">
      <w:pPr>
        <w:pStyle w:val="SangriaFrancesaArticulo"/>
      </w:pPr>
      <w:r w:rsidRPr="001D7FA9">
        <w:rPr>
          <w:rStyle w:val="TextoNormalNegritaCaracter"/>
        </w:rPr>
        <w:t xml:space="preserve">Artículo 223.3 </w:t>
      </w:r>
      <w:r w:rsidRPr="001D7FA9">
        <w:rPr>
          <w:rStyle w:val="TextoNormalNegritaCursivaCaracter"/>
        </w:rPr>
        <w:t>in fine</w:t>
      </w:r>
      <w:r w:rsidRPr="001D7FA9">
        <w:rPr>
          <w:rStyle w:val="TextoNormalNegritaCaracter"/>
        </w:rPr>
        <w:t>.</w:t>
      </w:r>
      <w:r w:rsidRPr="001D7FA9">
        <w:rPr>
          <w:rStyle w:val="TextoNormalCaracter"/>
        </w:rPr>
        <w:t>-</w:t>
      </w:r>
      <w:r>
        <w:t xml:space="preserve"> Auto </w:t>
      </w:r>
      <w:hyperlink w:anchor="AUTO_2025_12" w:history="1">
        <w:r w:rsidRPr="001D7FA9">
          <w:rPr>
            <w:rStyle w:val="TextoNormalCaracter"/>
          </w:rPr>
          <w:t>12/2025</w:t>
        </w:r>
      </w:hyperlink>
      <w:r>
        <w:t>, VP II.</w:t>
      </w:r>
    </w:p>
    <w:p w14:paraId="06CEAA10" w14:textId="06779269" w:rsidR="001D7FA9" w:rsidRDefault="001D7FA9" w:rsidP="001D7FA9">
      <w:pPr>
        <w:pStyle w:val="SangriaFrancesaArticulo"/>
      </w:pPr>
      <w:r w:rsidRPr="001D7FA9">
        <w:rPr>
          <w:rStyle w:val="TextoNormalNegritaCaracter"/>
        </w:rPr>
        <w:t>Artículo 223.4.</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C72E8E9" w14:textId="04CA0BDA" w:rsidR="001D7FA9" w:rsidRDefault="001D7FA9" w:rsidP="001D7FA9">
      <w:pPr>
        <w:pStyle w:val="SangriaIzquierdaArticulo"/>
      </w:pPr>
      <w:r>
        <w:t xml:space="preserve">Autos </w:t>
      </w:r>
      <w:hyperlink w:anchor="AUTO_2025_12" w:history="1">
        <w:r w:rsidRPr="001D7FA9">
          <w:rPr>
            <w:rStyle w:val="TextoNormalCaracter"/>
          </w:rPr>
          <w:t>12/2025</w:t>
        </w:r>
      </w:hyperlink>
      <w:r>
        <w:t xml:space="preserve">, VP III; </w:t>
      </w:r>
      <w:hyperlink w:anchor="AUTO_2025_35" w:history="1">
        <w:r w:rsidRPr="001D7FA9">
          <w:rPr>
            <w:rStyle w:val="TextoNormalCaracter"/>
          </w:rPr>
          <w:t>35/2025</w:t>
        </w:r>
      </w:hyperlink>
      <w:r>
        <w:t>, VP II.</w:t>
      </w:r>
    </w:p>
    <w:p w14:paraId="4690A561" w14:textId="2D67C4C2" w:rsidR="001D7FA9" w:rsidRDefault="001D7FA9" w:rsidP="001D7FA9">
      <w:pPr>
        <w:pStyle w:val="SangriaFrancesaArticulo"/>
      </w:pPr>
      <w:r w:rsidRPr="001D7FA9">
        <w:rPr>
          <w:rStyle w:val="TextoNormalNegritaCaracter"/>
        </w:rPr>
        <w:t>Artículos 223 y ss.</w:t>
      </w:r>
      <w:r w:rsidRPr="001D7FA9">
        <w:rPr>
          <w:rStyle w:val="TextoNormalCaracter"/>
        </w:rPr>
        <w:t>-</w:t>
      </w:r>
      <w:r>
        <w:t xml:space="preserve"> Auto </w:t>
      </w:r>
      <w:hyperlink w:anchor="AUTO_2025_12" w:history="1">
        <w:r w:rsidRPr="001D7FA9">
          <w:rPr>
            <w:rStyle w:val="TextoNormalCaracter"/>
          </w:rPr>
          <w:t>12/2025</w:t>
        </w:r>
      </w:hyperlink>
      <w:r>
        <w:t>, VP II.</w:t>
      </w:r>
    </w:p>
    <w:p w14:paraId="60B89ED7" w14:textId="64E2F0E7" w:rsidR="001D7FA9" w:rsidRDefault="001D7FA9" w:rsidP="001D7FA9">
      <w:pPr>
        <w:pStyle w:val="SangriaFrancesaArticulo"/>
      </w:pPr>
      <w:r w:rsidRPr="001D7FA9">
        <w:rPr>
          <w:rStyle w:val="TextoNormalNegritaCaracter"/>
        </w:rPr>
        <w:t>Artículo 225.3.</w:t>
      </w:r>
      <w:r w:rsidRPr="001D7FA9">
        <w:rPr>
          <w:rStyle w:val="TextoNormalCaracter"/>
        </w:rPr>
        <w:t>-</w:t>
      </w:r>
      <w:r>
        <w:t xml:space="preserve"> Auto </w:t>
      </w:r>
      <w:hyperlink w:anchor="AUTO_2025_6" w:history="1">
        <w:r w:rsidRPr="001D7FA9">
          <w:rPr>
            <w:rStyle w:val="TextoNormalCaracter"/>
          </w:rPr>
          <w:t>6/2025</w:t>
        </w:r>
      </w:hyperlink>
      <w:r>
        <w:t>, VP II.</w:t>
      </w:r>
    </w:p>
    <w:p w14:paraId="164F7BCB" w14:textId="06C78575" w:rsidR="001D7FA9" w:rsidRDefault="001D7FA9" w:rsidP="001D7FA9">
      <w:pPr>
        <w:pStyle w:val="SangriaFrancesaArticulo"/>
      </w:pPr>
      <w:r w:rsidRPr="001D7FA9">
        <w:rPr>
          <w:rStyle w:val="TextoNormalNegritaCaracter"/>
        </w:rPr>
        <w:t>Artículo 225.3 párrafo 3.</w:t>
      </w:r>
      <w:r w:rsidRPr="001D7FA9">
        <w:rPr>
          <w:rStyle w:val="TextoNormalCaracter"/>
        </w:rPr>
        <w:t>-</w:t>
      </w:r>
      <w:r>
        <w:t xml:space="preserve"> Autos </w:t>
      </w:r>
      <w:hyperlink w:anchor="AUTO_2025_6" w:history="1">
        <w:r w:rsidRPr="001D7FA9">
          <w:rPr>
            <w:rStyle w:val="TextoNormalCaracter"/>
          </w:rPr>
          <w:t>6/2025</w:t>
        </w:r>
      </w:hyperlink>
      <w:r>
        <w:t xml:space="preserve">, VP II; </w:t>
      </w:r>
      <w:hyperlink w:anchor="AUTO_2025_35" w:history="1">
        <w:r w:rsidRPr="001D7FA9">
          <w:rPr>
            <w:rStyle w:val="TextoNormalCaracter"/>
          </w:rPr>
          <w:t>35/2025</w:t>
        </w:r>
      </w:hyperlink>
      <w:r>
        <w:t>, f. 1.</w:t>
      </w:r>
    </w:p>
    <w:p w14:paraId="46102E75" w14:textId="35AB0111" w:rsidR="001D7FA9" w:rsidRDefault="001D7FA9" w:rsidP="001D7FA9">
      <w:pPr>
        <w:pStyle w:val="SangriaFrancesaArticulo"/>
      </w:pPr>
      <w:r w:rsidRPr="001D7FA9">
        <w:rPr>
          <w:rStyle w:val="TextoNormalNegritaCaracter"/>
        </w:rPr>
        <w:t>Artículo 227.</w:t>
      </w:r>
      <w:r w:rsidRPr="001D7FA9">
        <w:rPr>
          <w:rStyle w:val="TextoNormalCaracter"/>
        </w:rPr>
        <w:t>-</w:t>
      </w:r>
      <w:r>
        <w:t xml:space="preserve"> Auto </w:t>
      </w:r>
      <w:hyperlink w:anchor="AUTO_2025_23" w:history="1">
        <w:r w:rsidRPr="001D7FA9">
          <w:rPr>
            <w:rStyle w:val="TextoNormalCaracter"/>
          </w:rPr>
          <w:t>23/2025</w:t>
        </w:r>
      </w:hyperlink>
      <w:r>
        <w:t>, f. 2.</w:t>
      </w:r>
    </w:p>
    <w:p w14:paraId="2189E71A" w14:textId="6509B00C" w:rsidR="001D7FA9" w:rsidRDefault="001D7FA9" w:rsidP="001D7FA9">
      <w:pPr>
        <w:pStyle w:val="SangriaFrancesaArticulo"/>
      </w:pPr>
      <w:r w:rsidRPr="001D7FA9">
        <w:rPr>
          <w:rStyle w:val="TextoNormalNegritaCaracter"/>
        </w:rPr>
        <w:t>Artículo 228.3.</w:t>
      </w:r>
      <w:r w:rsidRPr="001D7FA9">
        <w:rPr>
          <w:rStyle w:val="TextoNormalCaracter"/>
        </w:rPr>
        <w:t>-</w:t>
      </w:r>
      <w:r>
        <w:t xml:space="preserve"> Autos </w:t>
      </w:r>
      <w:hyperlink w:anchor="AUTO_2025_31" w:history="1">
        <w:r w:rsidRPr="001D7FA9">
          <w:rPr>
            <w:rStyle w:val="TextoNormalCaracter"/>
          </w:rPr>
          <w:t>31/2025</w:t>
        </w:r>
      </w:hyperlink>
      <w:r>
        <w:t xml:space="preserve">, f. 2; </w:t>
      </w:r>
      <w:hyperlink w:anchor="AUTO_2025_35" w:history="1">
        <w:r w:rsidRPr="001D7FA9">
          <w:rPr>
            <w:rStyle w:val="TextoNormalCaracter"/>
          </w:rPr>
          <w:t>35/2025</w:t>
        </w:r>
      </w:hyperlink>
      <w:r>
        <w:t>, VP I.</w:t>
      </w:r>
    </w:p>
    <w:p w14:paraId="579C5D82" w14:textId="10FE8AB7" w:rsidR="001D7FA9" w:rsidRDefault="001D7FA9" w:rsidP="001D7FA9">
      <w:pPr>
        <w:pStyle w:val="SangriaFrancesaArticulo"/>
      </w:pPr>
      <w:r w:rsidRPr="001D7FA9">
        <w:rPr>
          <w:rStyle w:val="TextoNormalNegritaCaracter"/>
        </w:rPr>
        <w:t>Artículo 238.3.</w:t>
      </w:r>
      <w:r w:rsidRPr="001D7FA9">
        <w:rPr>
          <w:rStyle w:val="TextoNormalCaracter"/>
        </w:rPr>
        <w:t>-</w:t>
      </w:r>
      <w:r>
        <w:t xml:space="preserve"> Auto </w:t>
      </w:r>
      <w:hyperlink w:anchor="AUTO_2025_31" w:history="1">
        <w:r w:rsidRPr="001D7FA9">
          <w:rPr>
            <w:rStyle w:val="TextoNormalCaracter"/>
          </w:rPr>
          <w:t>31/2025</w:t>
        </w:r>
      </w:hyperlink>
      <w:r>
        <w:t>, f. 3, VP.</w:t>
      </w:r>
    </w:p>
    <w:p w14:paraId="6DA90B56" w14:textId="03FED921" w:rsidR="001D7FA9" w:rsidRDefault="001D7FA9" w:rsidP="001D7FA9">
      <w:pPr>
        <w:pStyle w:val="SangriaFrancesaArticulo"/>
      </w:pPr>
      <w:r w:rsidRPr="001D7FA9">
        <w:rPr>
          <w:rStyle w:val="TextoNormalNegritaCaracter"/>
        </w:rPr>
        <w:t>Artículos 238 y ss..</w:t>
      </w:r>
      <w:r w:rsidRPr="001D7FA9">
        <w:rPr>
          <w:rStyle w:val="TextoNormalCaracter"/>
        </w:rPr>
        <w:t>-</w:t>
      </w:r>
      <w:r>
        <w:t xml:space="preserve"> Auto </w:t>
      </w:r>
      <w:hyperlink w:anchor="AUTO_2025_31" w:history="1">
        <w:r w:rsidRPr="001D7FA9">
          <w:rPr>
            <w:rStyle w:val="TextoNormalCaracter"/>
          </w:rPr>
          <w:t>31/2025</w:t>
        </w:r>
      </w:hyperlink>
      <w:r>
        <w:t>, ff. 1 a 3.</w:t>
      </w:r>
    </w:p>
    <w:p w14:paraId="32087369" w14:textId="5B4D475C" w:rsidR="001D7FA9" w:rsidRDefault="001D7FA9" w:rsidP="001D7FA9">
      <w:pPr>
        <w:pStyle w:val="SangriaFrancesaArticulo"/>
      </w:pPr>
      <w:r w:rsidRPr="001D7FA9">
        <w:rPr>
          <w:rStyle w:val="TextoNormalNegritaCaracter"/>
        </w:rPr>
        <w:t>Artículo 240 y ss..</w:t>
      </w:r>
      <w:r w:rsidRPr="001D7FA9">
        <w:rPr>
          <w:rStyle w:val="TextoNormalCaracter"/>
        </w:rPr>
        <w:t>-</w:t>
      </w:r>
      <w:r>
        <w:t xml:space="preserve"> Auto </w:t>
      </w:r>
      <w:hyperlink w:anchor="AUTO_2025_31" w:history="1">
        <w:r w:rsidRPr="001D7FA9">
          <w:rPr>
            <w:rStyle w:val="TextoNormalCaracter"/>
          </w:rPr>
          <w:t>31/2025</w:t>
        </w:r>
      </w:hyperlink>
      <w:r>
        <w:t>, f. 2.</w:t>
      </w:r>
    </w:p>
    <w:p w14:paraId="447A3FD9" w14:textId="08949AE1" w:rsidR="001D7FA9" w:rsidRDefault="001D7FA9" w:rsidP="001D7FA9">
      <w:pPr>
        <w:pStyle w:val="SangriaFrancesaArticulo"/>
      </w:pPr>
      <w:r w:rsidRPr="001D7FA9">
        <w:rPr>
          <w:rStyle w:val="TextoNormalNegritaCaracter"/>
        </w:rPr>
        <w:t>Artículo 241.</w:t>
      </w:r>
      <w:r w:rsidRPr="001D7FA9">
        <w:rPr>
          <w:rStyle w:val="TextoNormalCaracter"/>
        </w:rPr>
        <w:t>-</w:t>
      </w:r>
      <w:r>
        <w:t xml:space="preserve"> Sentencias </w:t>
      </w:r>
      <w:hyperlink w:anchor="SENTENCIA_2025_16" w:history="1">
        <w:r w:rsidRPr="001D7FA9">
          <w:rPr>
            <w:rStyle w:val="TextoNormalCaracter"/>
          </w:rPr>
          <w:t>16/2025</w:t>
        </w:r>
      </w:hyperlink>
      <w:r>
        <w:t xml:space="preserve">, ff. 2, 3; </w:t>
      </w:r>
      <w:hyperlink w:anchor="SENTENCIA_2025_28" w:history="1">
        <w:r w:rsidRPr="001D7FA9">
          <w:rPr>
            <w:rStyle w:val="TextoNormalCaracter"/>
          </w:rPr>
          <w:t>28/2025</w:t>
        </w:r>
      </w:hyperlink>
      <w:r>
        <w:t>, f. 2.</w:t>
      </w:r>
    </w:p>
    <w:p w14:paraId="0EF774AA" w14:textId="6668E7BC" w:rsidR="001D7FA9" w:rsidRDefault="001D7FA9" w:rsidP="001D7FA9">
      <w:pPr>
        <w:pStyle w:val="SangriaIzquierdaArticulo"/>
      </w:pPr>
      <w:r>
        <w:t xml:space="preserve">Auto </w:t>
      </w:r>
      <w:hyperlink w:anchor="AUTO_2025_31" w:history="1">
        <w:r w:rsidRPr="001D7FA9">
          <w:rPr>
            <w:rStyle w:val="TextoNormalCaracter"/>
          </w:rPr>
          <w:t>31/2025</w:t>
        </w:r>
      </w:hyperlink>
      <w:r>
        <w:t>, f. 2.</w:t>
      </w:r>
    </w:p>
    <w:p w14:paraId="1D5BCE27" w14:textId="5EE4DA44" w:rsidR="001D7FA9" w:rsidRDefault="001D7FA9" w:rsidP="001D7FA9">
      <w:pPr>
        <w:pStyle w:val="SangriaFrancesaArticulo"/>
      </w:pPr>
      <w:r w:rsidRPr="001D7FA9">
        <w:rPr>
          <w:rStyle w:val="TextoNormalNegritaCaracter"/>
        </w:rPr>
        <w:t>Artículo 241.1.</w:t>
      </w:r>
      <w:r w:rsidRPr="001D7FA9">
        <w:rPr>
          <w:rStyle w:val="TextoNormalCaracter"/>
        </w:rPr>
        <w:t>-</w:t>
      </w:r>
      <w:r>
        <w:t xml:space="preserve"> Sentencias </w:t>
      </w:r>
      <w:hyperlink w:anchor="SENTENCIA_2025_16" w:history="1">
        <w:r w:rsidRPr="001D7FA9">
          <w:rPr>
            <w:rStyle w:val="TextoNormalCaracter"/>
          </w:rPr>
          <w:t>16/2025</w:t>
        </w:r>
      </w:hyperlink>
      <w:r>
        <w:t xml:space="preserve">, f. 2; </w:t>
      </w:r>
      <w:hyperlink w:anchor="SENTENCIA_2025_79" w:history="1">
        <w:r w:rsidRPr="001D7FA9">
          <w:rPr>
            <w:rStyle w:val="TextoNormalCaracter"/>
          </w:rPr>
          <w:t>79/2025</w:t>
        </w:r>
      </w:hyperlink>
      <w:r>
        <w:t>, f. 2.</w:t>
      </w:r>
    </w:p>
    <w:p w14:paraId="4E7C714D" w14:textId="1A2385B1" w:rsidR="001D7FA9" w:rsidRDefault="001D7FA9" w:rsidP="001D7FA9">
      <w:pPr>
        <w:pStyle w:val="SangriaFrancesaArticulo"/>
      </w:pPr>
      <w:r w:rsidRPr="001D7FA9">
        <w:rPr>
          <w:rStyle w:val="TextoNormalNegritaCaracter"/>
        </w:rPr>
        <w:t>Artículo 435.1.</w:t>
      </w:r>
      <w:r w:rsidRPr="001D7FA9">
        <w:rPr>
          <w:rStyle w:val="TextoNormalCaracter"/>
        </w:rPr>
        <w:t>-</w:t>
      </w:r>
      <w:r>
        <w:t xml:space="preserve"> Sentencia </w:t>
      </w:r>
      <w:hyperlink w:anchor="SENTENCIA_2025_12" w:history="1">
        <w:r w:rsidRPr="001D7FA9">
          <w:rPr>
            <w:rStyle w:val="TextoNormalCaracter"/>
          </w:rPr>
          <w:t>12/2025</w:t>
        </w:r>
      </w:hyperlink>
      <w:r>
        <w:t>, VP I.</w:t>
      </w:r>
    </w:p>
    <w:p w14:paraId="540ACB7F" w14:textId="74347602" w:rsidR="001D7FA9" w:rsidRDefault="001D7FA9" w:rsidP="001D7FA9">
      <w:pPr>
        <w:pStyle w:val="SangriaFrancesaArticulo"/>
      </w:pPr>
      <w:r w:rsidRPr="001D7FA9">
        <w:rPr>
          <w:rStyle w:val="TextoNormalNegritaCaracter"/>
        </w:rPr>
        <w:t>Artículo 435.4</w:t>
      </w:r>
      <w:r>
        <w:t xml:space="preserve"> (redactado por la Ley Orgánica 19/2003, de 23 de diciembre)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f. 2.</w:t>
      </w:r>
    </w:p>
    <w:p w14:paraId="57E1A1A2" w14:textId="13765629" w:rsidR="001D7FA9" w:rsidRDefault="001D7FA9" w:rsidP="001D7FA9">
      <w:pPr>
        <w:pStyle w:val="SangriaFrancesaArticulo"/>
      </w:pPr>
      <w:r w:rsidRPr="001D7FA9">
        <w:rPr>
          <w:rStyle w:val="TextoNormalNegritaCaracter"/>
        </w:rPr>
        <w:t>Artículo 437.1.</w:t>
      </w:r>
      <w:r w:rsidRPr="001D7FA9">
        <w:rPr>
          <w:rStyle w:val="TextoNormalCaracter"/>
        </w:rPr>
        <w:t>-</w:t>
      </w:r>
      <w:r>
        <w:t xml:space="preserve"> Sentencia </w:t>
      </w:r>
      <w:hyperlink w:anchor="SENTENCIA_2025_12" w:history="1">
        <w:r w:rsidRPr="001D7FA9">
          <w:rPr>
            <w:rStyle w:val="TextoNormalCaracter"/>
          </w:rPr>
          <w:t>12/2025</w:t>
        </w:r>
      </w:hyperlink>
      <w:r>
        <w:t>, VP I.</w:t>
      </w:r>
    </w:p>
    <w:p w14:paraId="41E8CCD2" w14:textId="17959BC0" w:rsidR="001D7FA9" w:rsidRDefault="001D7FA9" w:rsidP="001D7FA9">
      <w:pPr>
        <w:pStyle w:val="SangriaFrancesaArticulo"/>
      </w:pPr>
      <w:r w:rsidRPr="001D7FA9">
        <w:rPr>
          <w:rStyle w:val="TextoNormalNegritaCaracter"/>
        </w:rPr>
        <w:t>Artículo 448.</w:t>
      </w:r>
      <w:r w:rsidRPr="001D7FA9">
        <w:rPr>
          <w:rStyle w:val="TextoNormalCaracter"/>
        </w:rPr>
        <w:t>-</w:t>
      </w:r>
      <w:r>
        <w:t xml:space="preserve"> Sentencia </w:t>
      </w:r>
      <w:hyperlink w:anchor="SENTENCIA_2025_12" w:history="1">
        <w:r w:rsidRPr="001D7FA9">
          <w:rPr>
            <w:rStyle w:val="TextoNormalCaracter"/>
          </w:rPr>
          <w:t>12/2025</w:t>
        </w:r>
      </w:hyperlink>
      <w:r>
        <w:t>, VP I.</w:t>
      </w:r>
    </w:p>
    <w:p w14:paraId="2982E3B9" w14:textId="19A190CC" w:rsidR="001D7FA9" w:rsidRDefault="001D7FA9" w:rsidP="001D7FA9">
      <w:pPr>
        <w:pStyle w:val="SangriaFrancesaArticulo"/>
      </w:pPr>
      <w:r w:rsidRPr="001D7FA9">
        <w:rPr>
          <w:rStyle w:val="TextoNormalNegritaCaracter"/>
        </w:rPr>
        <w:t>Artículo 448 y ss..</w:t>
      </w:r>
      <w:r w:rsidRPr="001D7FA9">
        <w:rPr>
          <w:rStyle w:val="TextoNormalCaracter"/>
        </w:rPr>
        <w:t>-</w:t>
      </w:r>
      <w:r>
        <w:t xml:space="preserve"> Sentencia </w:t>
      </w:r>
      <w:hyperlink w:anchor="SENTENCIA_2025_84" w:history="1">
        <w:r w:rsidRPr="001D7FA9">
          <w:rPr>
            <w:rStyle w:val="TextoNormalCaracter"/>
          </w:rPr>
          <w:t>84/2025</w:t>
        </w:r>
      </w:hyperlink>
      <w:r>
        <w:t>, VP I.</w:t>
      </w:r>
    </w:p>
    <w:p w14:paraId="6041BCDB" w14:textId="60ACDA4A" w:rsidR="001D7FA9" w:rsidRDefault="001D7FA9" w:rsidP="001D7FA9">
      <w:pPr>
        <w:pStyle w:val="SangriaFrancesaArticulo"/>
      </w:pPr>
      <w:r w:rsidRPr="001D7FA9">
        <w:rPr>
          <w:rStyle w:val="TextoNormalNegritaCaracter"/>
        </w:rPr>
        <w:t>Artículo 450.2.</w:t>
      </w:r>
      <w:r w:rsidRPr="001D7FA9">
        <w:rPr>
          <w:rStyle w:val="TextoNormalCaracter"/>
        </w:rPr>
        <w:t>-</w:t>
      </w:r>
      <w:r>
        <w:t xml:space="preserve"> Sentencia </w:t>
      </w:r>
      <w:hyperlink w:anchor="SENTENCIA_2025_12" w:history="1">
        <w:r w:rsidRPr="001D7FA9">
          <w:rPr>
            <w:rStyle w:val="TextoNormalCaracter"/>
          </w:rPr>
          <w:t>12/2025</w:t>
        </w:r>
      </w:hyperlink>
      <w:r>
        <w:t>, f. 3.</w:t>
      </w:r>
    </w:p>
    <w:p w14:paraId="2D8BBE2C" w14:textId="33ABD982" w:rsidR="001D7FA9" w:rsidRDefault="001D7FA9" w:rsidP="001D7FA9">
      <w:pPr>
        <w:pStyle w:val="SangriaFrancesaArticulo"/>
      </w:pPr>
      <w:r w:rsidRPr="001D7FA9">
        <w:rPr>
          <w:rStyle w:val="TextoNormalNegritaCaracter"/>
        </w:rPr>
        <w:t>Artículo 451.1.</w:t>
      </w:r>
      <w:r w:rsidRPr="001D7FA9">
        <w:rPr>
          <w:rStyle w:val="TextoNormalCaracter"/>
        </w:rPr>
        <w:t>-</w:t>
      </w:r>
      <w:r>
        <w:t xml:space="preserve"> Sentencias </w:t>
      </w:r>
      <w:hyperlink w:anchor="SENTENCIA_2025_12" w:history="1">
        <w:r w:rsidRPr="001D7FA9">
          <w:rPr>
            <w:rStyle w:val="TextoNormalCaracter"/>
          </w:rPr>
          <w:t>12/2025</w:t>
        </w:r>
      </w:hyperlink>
      <w:r>
        <w:t xml:space="preserve">, VP I; </w:t>
      </w:r>
      <w:hyperlink w:anchor="SENTENCIA_2025_84" w:history="1">
        <w:r w:rsidRPr="001D7FA9">
          <w:rPr>
            <w:rStyle w:val="TextoNormalCaracter"/>
          </w:rPr>
          <w:t>84/2025</w:t>
        </w:r>
      </w:hyperlink>
      <w:r>
        <w:t>, VP I.</w:t>
      </w:r>
    </w:p>
    <w:p w14:paraId="68A37578" w14:textId="3CC0532C" w:rsidR="001D7FA9" w:rsidRDefault="001D7FA9" w:rsidP="001D7FA9">
      <w:pPr>
        <w:pStyle w:val="SangriaFrancesaArticulo"/>
      </w:pPr>
      <w:r w:rsidRPr="001D7FA9">
        <w:rPr>
          <w:rStyle w:val="TextoNormalNegritaCaracter"/>
        </w:rPr>
        <w:t>Artículo 452.</w:t>
      </w:r>
      <w:r w:rsidRPr="001D7FA9">
        <w:rPr>
          <w:rStyle w:val="TextoNormalCaracter"/>
        </w:rPr>
        <w:t>-</w:t>
      </w:r>
      <w:r>
        <w:t xml:space="preserve"> Sentencia </w:t>
      </w:r>
      <w:hyperlink w:anchor="SENTENCIA_2025_12" w:history="1">
        <w:r w:rsidRPr="001D7FA9">
          <w:rPr>
            <w:rStyle w:val="TextoNormalCaracter"/>
          </w:rPr>
          <w:t>12/2025</w:t>
        </w:r>
      </w:hyperlink>
      <w:r>
        <w:t>, f. 4.</w:t>
      </w:r>
    </w:p>
    <w:p w14:paraId="22B04112" w14:textId="141540C1" w:rsidR="001D7FA9" w:rsidRDefault="001D7FA9" w:rsidP="001D7FA9">
      <w:pPr>
        <w:pStyle w:val="SangriaFrancesaArticulo"/>
      </w:pPr>
      <w:r w:rsidRPr="001D7FA9">
        <w:rPr>
          <w:rStyle w:val="TextoNormalNegritaCaracter"/>
        </w:rPr>
        <w:t>Artículo 548.1.</w:t>
      </w:r>
      <w:r w:rsidRPr="001D7FA9">
        <w:rPr>
          <w:rStyle w:val="TextoNormalCaracter"/>
        </w:rPr>
        <w:t>-</w:t>
      </w:r>
      <w:r>
        <w:t xml:space="preserve"> Auto </w:t>
      </w:r>
      <w:hyperlink w:anchor="AUTO_2025_8" w:history="1">
        <w:r w:rsidRPr="001D7FA9">
          <w:rPr>
            <w:rStyle w:val="TextoNormalCaracter"/>
          </w:rPr>
          <w:t>8/2025</w:t>
        </w:r>
      </w:hyperlink>
      <w:r>
        <w:t>, VP.</w:t>
      </w:r>
    </w:p>
    <w:p w14:paraId="77DB88B8" w14:textId="088ED82A" w:rsidR="001D7FA9" w:rsidRDefault="001D7FA9" w:rsidP="001D7FA9">
      <w:pPr>
        <w:pStyle w:val="SangriaFrancesaArticulo"/>
      </w:pPr>
      <w:r w:rsidRPr="001D7FA9">
        <w:rPr>
          <w:rStyle w:val="TextoNormalNegritaCaracter"/>
        </w:rPr>
        <w:t>Artículos 548 y ss..</w:t>
      </w:r>
      <w:r w:rsidRPr="001D7FA9">
        <w:rPr>
          <w:rStyle w:val="TextoNormalCaracter"/>
        </w:rPr>
        <w:t>-</w:t>
      </w:r>
      <w:r>
        <w:t xml:space="preserve"> Auto </w:t>
      </w:r>
      <w:hyperlink w:anchor="AUTO_2025_8" w:history="1">
        <w:r w:rsidRPr="001D7FA9">
          <w:rPr>
            <w:rStyle w:val="TextoNormalCaracter"/>
          </w:rPr>
          <w:t>8/2025</w:t>
        </w:r>
      </w:hyperlink>
      <w:r>
        <w:t>, VP.</w:t>
      </w:r>
    </w:p>
    <w:p w14:paraId="474A722D" w14:textId="5D1B8A4B" w:rsidR="001D7FA9" w:rsidRDefault="001D7FA9" w:rsidP="001D7FA9">
      <w:pPr>
        <w:pStyle w:val="SangriaFrancesaArticulo"/>
      </w:pPr>
      <w:r w:rsidRPr="001D7FA9">
        <w:rPr>
          <w:rStyle w:val="TextoNormalNegritaCaracter"/>
        </w:rPr>
        <w:t>Artículo 549.1.</w:t>
      </w:r>
      <w:r w:rsidRPr="001D7FA9">
        <w:rPr>
          <w:rStyle w:val="TextoNormalCaracter"/>
        </w:rPr>
        <w:t>-</w:t>
      </w:r>
      <w:r>
        <w:t xml:space="preserve"> Auto </w:t>
      </w:r>
      <w:hyperlink w:anchor="AUTO_2025_8" w:history="1">
        <w:r w:rsidRPr="001D7FA9">
          <w:rPr>
            <w:rStyle w:val="TextoNormalCaracter"/>
          </w:rPr>
          <w:t>8/2025</w:t>
        </w:r>
      </w:hyperlink>
      <w:r>
        <w:t>, VP.</w:t>
      </w:r>
    </w:p>
    <w:p w14:paraId="1D6B2983" w14:textId="401827B5" w:rsidR="001D7FA9" w:rsidRDefault="001D7FA9" w:rsidP="001D7FA9">
      <w:pPr>
        <w:pStyle w:val="SangriaFrancesaArticulo"/>
      </w:pPr>
      <w:r w:rsidRPr="001D7FA9">
        <w:rPr>
          <w:rStyle w:val="TextoNormalNegritaCaracter"/>
        </w:rPr>
        <w:t>Artículo 550.1.</w:t>
      </w:r>
      <w:r w:rsidRPr="001D7FA9">
        <w:rPr>
          <w:rStyle w:val="TextoNormalCaracter"/>
        </w:rPr>
        <w:t>-</w:t>
      </w:r>
      <w:r>
        <w:t xml:space="preserve"> Auto </w:t>
      </w:r>
      <w:hyperlink w:anchor="AUTO_2025_8" w:history="1">
        <w:r w:rsidRPr="001D7FA9">
          <w:rPr>
            <w:rStyle w:val="TextoNormalCaracter"/>
          </w:rPr>
          <w:t>8/2025</w:t>
        </w:r>
      </w:hyperlink>
      <w:r>
        <w:t>, VP.</w:t>
      </w:r>
    </w:p>
    <w:p w14:paraId="4F9EAA6C" w14:textId="13B86BFA" w:rsidR="001D7FA9" w:rsidRDefault="001D7FA9" w:rsidP="001D7FA9">
      <w:pPr>
        <w:pStyle w:val="SangriaFrancesaArticulo"/>
      </w:pPr>
      <w:r w:rsidRPr="001D7FA9">
        <w:rPr>
          <w:rStyle w:val="TextoNormalNegritaCaracter"/>
        </w:rPr>
        <w:t>Artículo 552</w:t>
      </w:r>
      <w:r>
        <w:t xml:space="preserve"> (redactado por la Ley Orgánica 19/2003, de 23 de diciembre)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ff. 1, 4.</w:t>
      </w:r>
    </w:p>
    <w:p w14:paraId="1936A8E4" w14:textId="2A8E1FAE" w:rsidR="001D7FA9" w:rsidRDefault="001D7FA9" w:rsidP="001D7FA9">
      <w:pPr>
        <w:pStyle w:val="SangriaFrancesaArticulo"/>
      </w:pPr>
      <w:r w:rsidRPr="001D7FA9">
        <w:rPr>
          <w:rStyle w:val="TextoNormalNegritaCaracter"/>
        </w:rPr>
        <w:t>Artículo 552 y ss..</w:t>
      </w:r>
      <w:r w:rsidRPr="001D7FA9">
        <w:rPr>
          <w:rStyle w:val="TextoNormalCaracter"/>
        </w:rPr>
        <w:t>-</w:t>
      </w:r>
      <w:r>
        <w:t xml:space="preserve"> Sentencia </w:t>
      </w:r>
      <w:hyperlink w:anchor="SENTENCIA_2025_84" w:history="1">
        <w:r w:rsidRPr="001D7FA9">
          <w:rPr>
            <w:rStyle w:val="TextoNormalCaracter"/>
          </w:rPr>
          <w:t>84/2025</w:t>
        </w:r>
      </w:hyperlink>
      <w:r>
        <w:t>, ff. 2, 4, VP I.</w:t>
      </w:r>
    </w:p>
    <w:p w14:paraId="5A1370FA" w14:textId="2CA1147B" w:rsidR="001D7FA9" w:rsidRDefault="001D7FA9" w:rsidP="001D7FA9">
      <w:pPr>
        <w:pStyle w:val="SangriaFrancesaArticulo"/>
      </w:pPr>
      <w:r w:rsidRPr="001D7FA9">
        <w:rPr>
          <w:rStyle w:val="TextoNormalNegritaCaracter"/>
        </w:rPr>
        <w:t>Artículo 553.</w:t>
      </w:r>
      <w:r w:rsidRPr="001D7FA9">
        <w:rPr>
          <w:rStyle w:val="TextoNormalCaracter"/>
        </w:rPr>
        <w:t>-</w:t>
      </w:r>
      <w:r>
        <w:t xml:space="preserve"> Sentencia </w:t>
      </w:r>
      <w:hyperlink w:anchor="SENTENCIA_2025_12" w:history="1">
        <w:r w:rsidRPr="001D7FA9">
          <w:rPr>
            <w:rStyle w:val="TextoNormalCaracter"/>
          </w:rPr>
          <w:t>12/2025</w:t>
        </w:r>
      </w:hyperlink>
      <w:r>
        <w:t>, ff. 1, 4.</w:t>
      </w:r>
    </w:p>
    <w:p w14:paraId="05C7216E" w14:textId="6EB01338" w:rsidR="001D7FA9" w:rsidRDefault="001D7FA9" w:rsidP="001D7FA9">
      <w:pPr>
        <w:pStyle w:val="SangriaFrancesaArticulo"/>
      </w:pPr>
      <w:r w:rsidRPr="001D7FA9">
        <w:rPr>
          <w:rStyle w:val="TextoNormalNegritaCaracter"/>
        </w:rPr>
        <w:t>Artículo 553.1.</w:t>
      </w:r>
      <w:r w:rsidRPr="001D7FA9">
        <w:rPr>
          <w:rStyle w:val="TextoNormalCaracter"/>
        </w:rPr>
        <w:t>-</w:t>
      </w:r>
      <w:r>
        <w:t xml:space="preserve"> Sentencia </w:t>
      </w:r>
      <w:hyperlink w:anchor="SENTENCIA_2025_13" w:history="1">
        <w:r w:rsidRPr="001D7FA9">
          <w:rPr>
            <w:rStyle w:val="TextoNormalCaracter"/>
          </w:rPr>
          <w:t>13/2025</w:t>
        </w:r>
      </w:hyperlink>
      <w:r>
        <w:t>, f. 1.</w:t>
      </w:r>
    </w:p>
    <w:p w14:paraId="3C279B01" w14:textId="03CD8FB3" w:rsidR="001D7FA9" w:rsidRDefault="001D7FA9" w:rsidP="001D7FA9">
      <w:pPr>
        <w:pStyle w:val="SangriaFrancesaArticulo"/>
      </w:pPr>
      <w:r w:rsidRPr="001D7FA9">
        <w:rPr>
          <w:rStyle w:val="TextoNormalNegritaCaracter"/>
        </w:rPr>
        <w:t>Artículo 553.1</w:t>
      </w:r>
      <w:r>
        <w:t xml:space="preserve"> (redactado por la Ley Orgánica 19/2003, de 23 de diciembre)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f. 4.</w:t>
      </w:r>
    </w:p>
    <w:p w14:paraId="4843C021" w14:textId="50CBD1A0" w:rsidR="001D7FA9" w:rsidRDefault="001D7FA9" w:rsidP="001D7FA9">
      <w:pPr>
        <w:pStyle w:val="SangriaFrancesaArticulo"/>
      </w:pPr>
      <w:r w:rsidRPr="001D7FA9">
        <w:rPr>
          <w:rStyle w:val="TextoNormalNegritaCaracter"/>
        </w:rPr>
        <w:t>Artículo 554.</w:t>
      </w:r>
      <w:r w:rsidRPr="001D7FA9">
        <w:rPr>
          <w:rStyle w:val="TextoNormalCaracter"/>
        </w:rPr>
        <w:t>-</w:t>
      </w:r>
      <w:r>
        <w:t xml:space="preserve"> Sentencia </w:t>
      </w:r>
      <w:hyperlink w:anchor="SENTENCIA_2025_12" w:history="1">
        <w:r w:rsidRPr="001D7FA9">
          <w:rPr>
            <w:rStyle w:val="TextoNormalCaracter"/>
          </w:rPr>
          <w:t>12/2025</w:t>
        </w:r>
      </w:hyperlink>
      <w:r>
        <w:t>, f. 1.</w:t>
      </w:r>
    </w:p>
    <w:p w14:paraId="0891B7B1" w14:textId="5E20F16E" w:rsidR="001D7FA9" w:rsidRDefault="001D7FA9" w:rsidP="001D7FA9">
      <w:pPr>
        <w:pStyle w:val="SangriaFrancesaArticulo"/>
      </w:pPr>
      <w:r w:rsidRPr="001D7FA9">
        <w:rPr>
          <w:rStyle w:val="TextoNormalNegritaCaracter"/>
        </w:rPr>
        <w:t>Artículo 554.2</w:t>
      </w:r>
      <w:r>
        <w:t xml:space="preserve"> (redactado por la Ley Orgánica 19/2003, de 23 de diciembre)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f. 3.</w:t>
      </w:r>
    </w:p>
    <w:p w14:paraId="0510FB07" w14:textId="34EB41D7" w:rsidR="001D7FA9" w:rsidRDefault="001D7FA9" w:rsidP="001D7FA9">
      <w:pPr>
        <w:pStyle w:val="SangriaFrancesaArticulo"/>
      </w:pPr>
      <w:r w:rsidRPr="001D7FA9">
        <w:rPr>
          <w:rStyle w:val="TextoNormalNegritaCaracter"/>
        </w:rPr>
        <w:t>Artículo 555.</w:t>
      </w:r>
      <w:r w:rsidRPr="001D7FA9">
        <w:rPr>
          <w:rStyle w:val="TextoNormalCaracter"/>
        </w:rPr>
        <w:t>-</w:t>
      </w:r>
      <w:r>
        <w:t xml:space="preserve"> Sentencias </w:t>
      </w:r>
      <w:hyperlink w:anchor="SENTENCIA_2025_12" w:history="1">
        <w:r w:rsidRPr="001D7FA9">
          <w:rPr>
            <w:rStyle w:val="TextoNormalCaracter"/>
          </w:rPr>
          <w:t>12/2025</w:t>
        </w:r>
      </w:hyperlink>
      <w:r>
        <w:t xml:space="preserve">, f. 4; </w:t>
      </w:r>
      <w:hyperlink w:anchor="SENTENCIA_2025_84" w:history="1">
        <w:r w:rsidRPr="001D7FA9">
          <w:rPr>
            <w:rStyle w:val="TextoNormalCaracter"/>
          </w:rPr>
          <w:t>84/2025</w:t>
        </w:r>
      </w:hyperlink>
      <w:r>
        <w:t>, ff. 3, 4.</w:t>
      </w:r>
    </w:p>
    <w:p w14:paraId="60E3C266" w14:textId="7046C04E" w:rsidR="001D7FA9" w:rsidRDefault="001D7FA9" w:rsidP="001D7FA9">
      <w:pPr>
        <w:pStyle w:val="SangriaFrancesaArticulo"/>
      </w:pPr>
      <w:r w:rsidRPr="001D7FA9">
        <w:rPr>
          <w:rStyle w:val="TextoNormalNegritaCaracter"/>
        </w:rPr>
        <w:t>Artículo 555.1.</w:t>
      </w:r>
      <w:r w:rsidRPr="001D7FA9">
        <w:rPr>
          <w:rStyle w:val="TextoNormalCaracter"/>
        </w:rPr>
        <w:t>-</w:t>
      </w:r>
      <w:r>
        <w:t xml:space="preserve"> Sentencia </w:t>
      </w:r>
      <w:hyperlink w:anchor="SENTENCIA_2025_84" w:history="1">
        <w:r w:rsidRPr="001D7FA9">
          <w:rPr>
            <w:rStyle w:val="TextoNormalCaracter"/>
          </w:rPr>
          <w:t>84/2025</w:t>
        </w:r>
      </w:hyperlink>
      <w:r>
        <w:t>, ff. 1 a 4.</w:t>
      </w:r>
    </w:p>
    <w:p w14:paraId="4F41233F" w14:textId="1EB2FE21" w:rsidR="001D7FA9" w:rsidRDefault="001D7FA9" w:rsidP="001D7FA9">
      <w:pPr>
        <w:pStyle w:val="SangriaFrancesaArticulo"/>
      </w:pPr>
      <w:r w:rsidRPr="001D7FA9">
        <w:rPr>
          <w:rStyle w:val="TextoNormalNegritaCaracter"/>
        </w:rPr>
        <w:t>Artículo 555.1</w:t>
      </w:r>
      <w:r>
        <w:t xml:space="preserve"> (redactado por la Ley Orgánica 19/2003, de 23 de diciembre)</w:t>
      </w:r>
      <w:r w:rsidRPr="001D7FA9">
        <w:rPr>
          <w:rStyle w:val="TextoNormalNegritaCaracter"/>
        </w:rPr>
        <w:t>.</w:t>
      </w:r>
      <w:r w:rsidRPr="001D7FA9">
        <w:rPr>
          <w:rStyle w:val="TextoNormalCaracter"/>
        </w:rPr>
        <w:t>-</w:t>
      </w:r>
      <w:r>
        <w:t xml:space="preserve"> Sentencias </w:t>
      </w:r>
      <w:hyperlink w:anchor="SENTENCIA_2025_12" w:history="1">
        <w:r w:rsidRPr="001D7FA9">
          <w:rPr>
            <w:rStyle w:val="TextoNormalCaracter"/>
          </w:rPr>
          <w:t>12/2025</w:t>
        </w:r>
      </w:hyperlink>
      <w:r>
        <w:t xml:space="preserve">, ff. 1, 2, 4, VP I, VP II; </w:t>
      </w:r>
      <w:hyperlink w:anchor="SENTENCIA_2025_13" w:history="1">
        <w:r w:rsidRPr="001D7FA9">
          <w:rPr>
            <w:rStyle w:val="TextoNormalCaracter"/>
          </w:rPr>
          <w:t>13/2025</w:t>
        </w:r>
      </w:hyperlink>
      <w:r>
        <w:t xml:space="preserve">, ff. 2 a 4; </w:t>
      </w:r>
      <w:hyperlink w:anchor="SENTENCIA_2025_84" w:history="1">
        <w:r w:rsidRPr="001D7FA9">
          <w:rPr>
            <w:rStyle w:val="TextoNormalCaracter"/>
          </w:rPr>
          <w:t>84/2025</w:t>
        </w:r>
      </w:hyperlink>
      <w:r>
        <w:t>, VP I.</w:t>
      </w:r>
    </w:p>
    <w:p w14:paraId="2A24C819" w14:textId="6ECA0788" w:rsidR="001D7FA9" w:rsidRDefault="001D7FA9" w:rsidP="001D7FA9">
      <w:pPr>
        <w:pStyle w:val="SangriaFrancesaArticulo"/>
      </w:pPr>
      <w:r w:rsidRPr="001D7FA9">
        <w:rPr>
          <w:rStyle w:val="TextoNormalNegritaCaracter"/>
        </w:rPr>
        <w:t>Artículo 555.2</w:t>
      </w:r>
      <w:r>
        <w:t xml:space="preserve"> (redactado por la Ley Orgánica 19/2003, de 23 de diciembre)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74D103D3" w14:textId="3265D28C" w:rsidR="001D7FA9" w:rsidRDefault="001D7FA9" w:rsidP="001D7FA9">
      <w:pPr>
        <w:pStyle w:val="SangriaFrancesaArticulo"/>
      </w:pPr>
      <w:r w:rsidRPr="001D7FA9">
        <w:rPr>
          <w:rStyle w:val="TextoNormalNegritaCaracter"/>
        </w:rPr>
        <w:t>Artículo 556.</w:t>
      </w:r>
      <w:r w:rsidRPr="001D7FA9">
        <w:rPr>
          <w:rStyle w:val="TextoNormalCaracter"/>
        </w:rPr>
        <w:t>-</w:t>
      </w:r>
      <w:r>
        <w:t xml:space="preserve"> Sentencias </w:t>
      </w:r>
      <w:hyperlink w:anchor="SENTENCIA_2025_12" w:history="1">
        <w:r w:rsidRPr="001D7FA9">
          <w:rPr>
            <w:rStyle w:val="TextoNormalCaracter"/>
          </w:rPr>
          <w:t>12/2025</w:t>
        </w:r>
      </w:hyperlink>
      <w:r>
        <w:t xml:space="preserve">, ff. 1, 2, 4, VP I, VP II; </w:t>
      </w:r>
      <w:hyperlink w:anchor="SENTENCIA_2025_84" w:history="1">
        <w:r w:rsidRPr="001D7FA9">
          <w:rPr>
            <w:rStyle w:val="TextoNormalCaracter"/>
          </w:rPr>
          <w:t>84/2025</w:t>
        </w:r>
      </w:hyperlink>
      <w:r>
        <w:t>, ff. 1 a 4, VP I.</w:t>
      </w:r>
    </w:p>
    <w:p w14:paraId="47BF93F9" w14:textId="1569F74B" w:rsidR="001D7FA9" w:rsidRDefault="001D7FA9" w:rsidP="001D7FA9">
      <w:pPr>
        <w:pStyle w:val="SangriaFrancesaArticulo"/>
      </w:pPr>
      <w:r w:rsidRPr="001D7FA9">
        <w:rPr>
          <w:rStyle w:val="TextoNormalNegritaCaracter"/>
        </w:rPr>
        <w:t>Artículo 556</w:t>
      </w:r>
      <w:r>
        <w:t xml:space="preserve"> (redactado por la Ley Orgánica 19/2003, de 23 de diciembre)</w:t>
      </w:r>
      <w:r w:rsidRPr="001D7FA9">
        <w:rPr>
          <w:rStyle w:val="TextoNormalNegritaCaracter"/>
        </w:rPr>
        <w:t>.</w:t>
      </w:r>
      <w:r w:rsidRPr="001D7FA9">
        <w:rPr>
          <w:rStyle w:val="TextoNormalCaracter"/>
        </w:rPr>
        <w:t>-</w:t>
      </w:r>
      <w:r>
        <w:t xml:space="preserve"> Sentencias </w:t>
      </w:r>
      <w:hyperlink w:anchor="SENTENCIA_2025_12" w:history="1">
        <w:r w:rsidRPr="001D7FA9">
          <w:rPr>
            <w:rStyle w:val="TextoNormalCaracter"/>
          </w:rPr>
          <w:t>12/2025</w:t>
        </w:r>
      </w:hyperlink>
      <w:r>
        <w:t xml:space="preserve">, VP I; </w:t>
      </w:r>
      <w:hyperlink w:anchor="SENTENCIA_2025_13" w:history="1">
        <w:r w:rsidRPr="001D7FA9">
          <w:rPr>
            <w:rStyle w:val="TextoNormalCaracter"/>
          </w:rPr>
          <w:t>13/2025</w:t>
        </w:r>
      </w:hyperlink>
      <w:r>
        <w:t xml:space="preserve">, ff. 2 a 4; </w:t>
      </w:r>
      <w:hyperlink w:anchor="SENTENCIA_2025_84" w:history="1">
        <w:r w:rsidRPr="001D7FA9">
          <w:rPr>
            <w:rStyle w:val="TextoNormalCaracter"/>
          </w:rPr>
          <w:t>84/2025</w:t>
        </w:r>
      </w:hyperlink>
      <w:r>
        <w:t>, VP I.</w:t>
      </w:r>
    </w:p>
    <w:p w14:paraId="5380F0DE" w14:textId="666D63A4" w:rsidR="001D7FA9" w:rsidRDefault="001D7FA9" w:rsidP="001D7FA9">
      <w:pPr>
        <w:pStyle w:val="SangriaFrancesaArticulo"/>
      </w:pPr>
      <w:r w:rsidRPr="001D7FA9">
        <w:rPr>
          <w:rStyle w:val="TextoNormalNegritaCaracter"/>
        </w:rPr>
        <w:t>Artículo 561</w:t>
      </w:r>
      <w:r>
        <w:t xml:space="preserve"> (redactado por la Ley Orgánica 4/2018, de 28 de diciembre)</w:t>
      </w:r>
      <w:r w:rsidRPr="001D7FA9">
        <w:rPr>
          <w:rStyle w:val="TextoNormalNegritaCaracter"/>
        </w:rPr>
        <w:t>.</w:t>
      </w:r>
      <w:r w:rsidRPr="001D7FA9">
        <w:rPr>
          <w:rStyle w:val="TextoNormalCaracter"/>
        </w:rPr>
        <w:t>-</w:t>
      </w:r>
      <w:r>
        <w:t xml:space="preserve"> Auto </w:t>
      </w:r>
      <w:hyperlink w:anchor="AUTO_2025_6" w:history="1">
        <w:r w:rsidRPr="001D7FA9">
          <w:rPr>
            <w:rStyle w:val="TextoNormalCaracter"/>
          </w:rPr>
          <w:t>6/2025</w:t>
        </w:r>
      </w:hyperlink>
      <w:r>
        <w:t>, f. 4.</w:t>
      </w:r>
    </w:p>
    <w:p w14:paraId="65C21AB8" w14:textId="5651D883" w:rsidR="001D7FA9" w:rsidRDefault="001D7FA9" w:rsidP="001D7FA9">
      <w:pPr>
        <w:pStyle w:val="SangriaFrancesaArticulo"/>
      </w:pPr>
      <w:r w:rsidRPr="001D7FA9">
        <w:rPr>
          <w:rStyle w:val="TextoNormalNegritaCaracter"/>
        </w:rPr>
        <w:t>Artículo 561.1</w:t>
      </w:r>
      <w:r>
        <w:t xml:space="preserve"> (redactado por la Ley Orgánica 4/2013, de 28 de junio)</w:t>
      </w:r>
      <w:r w:rsidRPr="001D7FA9">
        <w:rPr>
          <w:rStyle w:val="TextoNormalNegritaCaracter"/>
        </w:rPr>
        <w:t>.</w:t>
      </w:r>
      <w:r w:rsidRPr="001D7FA9">
        <w:rPr>
          <w:rStyle w:val="TextoNormalCaracter"/>
        </w:rPr>
        <w:t>-</w:t>
      </w:r>
      <w:r>
        <w:t xml:space="preserve"> Auto </w:t>
      </w:r>
      <w:hyperlink w:anchor="AUTO_2025_6" w:history="1">
        <w:r w:rsidRPr="001D7FA9">
          <w:rPr>
            <w:rStyle w:val="TextoNormalCaracter"/>
          </w:rPr>
          <w:t>6/2025</w:t>
        </w:r>
      </w:hyperlink>
      <w:r>
        <w:t>, f. 5, VP II.</w:t>
      </w:r>
    </w:p>
    <w:p w14:paraId="3F4697B8" w14:textId="4B173DCD" w:rsidR="001D7FA9" w:rsidRDefault="001D7FA9" w:rsidP="001D7FA9">
      <w:pPr>
        <w:pStyle w:val="SangriaFrancesaArticulo"/>
      </w:pPr>
      <w:r w:rsidRPr="001D7FA9">
        <w:rPr>
          <w:rStyle w:val="TextoNormalNegritaCaracter"/>
        </w:rPr>
        <w:t>Artículo 568.1.</w:t>
      </w:r>
      <w:r w:rsidRPr="001D7FA9">
        <w:rPr>
          <w:rStyle w:val="TextoNormalCaracter"/>
        </w:rPr>
        <w:t>-</w:t>
      </w:r>
      <w:r>
        <w:t xml:space="preserve"> Auto </w:t>
      </w:r>
      <w:hyperlink w:anchor="AUTO_2025_7" w:history="1">
        <w:r w:rsidRPr="001D7FA9">
          <w:rPr>
            <w:rStyle w:val="TextoNormalCaracter"/>
          </w:rPr>
          <w:t>7/2025</w:t>
        </w:r>
      </w:hyperlink>
      <w:r>
        <w:t>, f. único.</w:t>
      </w:r>
    </w:p>
    <w:p w14:paraId="2464E36F" w14:textId="4D75E7B3" w:rsidR="001D7FA9" w:rsidRDefault="001D7FA9" w:rsidP="001D7FA9">
      <w:pPr>
        <w:pStyle w:val="SangriaFrancesaArticulo"/>
      </w:pPr>
    </w:p>
    <w:p w14:paraId="42428C2A" w14:textId="77777777" w:rsidR="001D7FA9" w:rsidRDefault="001D7FA9" w:rsidP="001D7FA9">
      <w:pPr>
        <w:pStyle w:val="TextoNormalNegritaCursivandice"/>
        <w:keepNext/>
      </w:pPr>
      <w:r>
        <w:t>Ley Orgánica 13/1985, de 9 de diciembre. Código penal militar</w:t>
      </w:r>
    </w:p>
    <w:p w14:paraId="0A191390" w14:textId="4BB660D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1" w:history="1">
        <w:r w:rsidRPr="001D7FA9">
          <w:rPr>
            <w:rStyle w:val="TextoNormalCaracter"/>
          </w:rPr>
          <w:t>21/2025</w:t>
        </w:r>
      </w:hyperlink>
      <w:r>
        <w:t>, f. 3.</w:t>
      </w:r>
    </w:p>
    <w:p w14:paraId="61280FE5" w14:textId="58F6AB5E" w:rsidR="001D7FA9" w:rsidRDefault="001D7FA9" w:rsidP="001D7FA9">
      <w:pPr>
        <w:pStyle w:val="SangriaFrancesaArticulo"/>
      </w:pPr>
    </w:p>
    <w:p w14:paraId="364AC3D4" w14:textId="77777777" w:rsidR="001D7FA9" w:rsidRDefault="001D7FA9" w:rsidP="001D7FA9">
      <w:pPr>
        <w:pStyle w:val="TextoNormalNegritaCursivandice"/>
        <w:keepNext/>
      </w:pPr>
      <w:r>
        <w:t>Ley Orgánica 2/1986, de 13 de marzo, de fuerzas y cuerpos de seguridad</w:t>
      </w:r>
    </w:p>
    <w:p w14:paraId="6695FD27" w14:textId="15972E7D" w:rsidR="001D7FA9" w:rsidRDefault="001D7FA9" w:rsidP="001D7FA9">
      <w:pPr>
        <w:pStyle w:val="SangriaFrancesaArticulo"/>
      </w:pPr>
      <w:r w:rsidRPr="001D7FA9">
        <w:rPr>
          <w:rStyle w:val="TextoNormalNegritaCaracter"/>
        </w:rPr>
        <w:t>Artículo 29.1.</w:t>
      </w:r>
      <w:r w:rsidRPr="001D7FA9">
        <w:rPr>
          <w:rStyle w:val="TextoNormalCaracter"/>
        </w:rPr>
        <w:t>-</w:t>
      </w:r>
      <w:r>
        <w:t xml:space="preserve"> Auto </w:t>
      </w:r>
      <w:hyperlink w:anchor="AUTO_2025_8" w:history="1">
        <w:r w:rsidRPr="001D7FA9">
          <w:rPr>
            <w:rStyle w:val="TextoNormalCaracter"/>
          </w:rPr>
          <w:t>8/2025</w:t>
        </w:r>
      </w:hyperlink>
      <w:r>
        <w:t>, VP.</w:t>
      </w:r>
    </w:p>
    <w:p w14:paraId="6B699017" w14:textId="2AB6FE9E" w:rsidR="001D7FA9" w:rsidRDefault="001D7FA9" w:rsidP="001D7FA9">
      <w:pPr>
        <w:pStyle w:val="SangriaFrancesaArticulo"/>
      </w:pPr>
      <w:r w:rsidRPr="001D7FA9">
        <w:rPr>
          <w:rStyle w:val="TextoNormalNegritaCaracter"/>
        </w:rPr>
        <w:t>Artículo 29.2.</w:t>
      </w:r>
      <w:r w:rsidRPr="001D7FA9">
        <w:rPr>
          <w:rStyle w:val="TextoNormalCaracter"/>
        </w:rPr>
        <w:t>-</w:t>
      </w:r>
      <w:r>
        <w:t xml:space="preserve"> Auto </w:t>
      </w:r>
      <w:hyperlink w:anchor="AUTO_2025_8" w:history="1">
        <w:r w:rsidRPr="001D7FA9">
          <w:rPr>
            <w:rStyle w:val="TextoNormalCaracter"/>
          </w:rPr>
          <w:t>8/2025</w:t>
        </w:r>
      </w:hyperlink>
      <w:r>
        <w:t>, VP.</w:t>
      </w:r>
    </w:p>
    <w:p w14:paraId="2470C91A" w14:textId="27905DFC" w:rsidR="001D7FA9" w:rsidRDefault="001D7FA9" w:rsidP="001D7FA9">
      <w:pPr>
        <w:pStyle w:val="SangriaFrancesaArticulo"/>
      </w:pPr>
      <w:r w:rsidRPr="001D7FA9">
        <w:rPr>
          <w:rStyle w:val="TextoNormalNegritaCaracter"/>
        </w:rPr>
        <w:t>Artículos 29 y ss..</w:t>
      </w:r>
      <w:r w:rsidRPr="001D7FA9">
        <w:rPr>
          <w:rStyle w:val="TextoNormalCaracter"/>
        </w:rPr>
        <w:t>-</w:t>
      </w:r>
      <w:r>
        <w:t xml:space="preserve"> Auto </w:t>
      </w:r>
      <w:hyperlink w:anchor="AUTO_2025_8" w:history="1">
        <w:r w:rsidRPr="001D7FA9">
          <w:rPr>
            <w:rStyle w:val="TextoNormalCaracter"/>
          </w:rPr>
          <w:t>8/2025</w:t>
        </w:r>
      </w:hyperlink>
      <w:r>
        <w:t>, VP.</w:t>
      </w:r>
    </w:p>
    <w:p w14:paraId="33957A69" w14:textId="57BF6AD2" w:rsidR="001D7FA9" w:rsidRDefault="001D7FA9" w:rsidP="001D7FA9">
      <w:pPr>
        <w:pStyle w:val="SangriaFrancesaArticulo"/>
      </w:pPr>
      <w:r w:rsidRPr="001D7FA9">
        <w:rPr>
          <w:rStyle w:val="TextoNormalNegritaCaracter"/>
        </w:rPr>
        <w:t>Artículo 30.1.</w:t>
      </w:r>
      <w:r w:rsidRPr="001D7FA9">
        <w:rPr>
          <w:rStyle w:val="TextoNormalCaracter"/>
        </w:rPr>
        <w:t>-</w:t>
      </w:r>
      <w:r>
        <w:t xml:space="preserve"> Auto </w:t>
      </w:r>
      <w:hyperlink w:anchor="AUTO_2025_8" w:history="1">
        <w:r w:rsidRPr="001D7FA9">
          <w:rPr>
            <w:rStyle w:val="TextoNormalCaracter"/>
          </w:rPr>
          <w:t>8/2025</w:t>
        </w:r>
      </w:hyperlink>
      <w:r>
        <w:t>, VP.</w:t>
      </w:r>
    </w:p>
    <w:p w14:paraId="14F6AEC6" w14:textId="1A232D9C" w:rsidR="001D7FA9" w:rsidRDefault="001D7FA9" w:rsidP="001D7FA9">
      <w:pPr>
        <w:pStyle w:val="SangriaFrancesaArticulo"/>
      </w:pPr>
      <w:r w:rsidRPr="001D7FA9">
        <w:rPr>
          <w:rStyle w:val="TextoNormalNegritaCaracter"/>
        </w:rPr>
        <w:t>Artículo 30.2.</w:t>
      </w:r>
      <w:r w:rsidRPr="001D7FA9">
        <w:rPr>
          <w:rStyle w:val="TextoNormalCaracter"/>
        </w:rPr>
        <w:t>-</w:t>
      </w:r>
      <w:r>
        <w:t xml:space="preserve"> Auto </w:t>
      </w:r>
      <w:hyperlink w:anchor="AUTO_2025_8" w:history="1">
        <w:r w:rsidRPr="001D7FA9">
          <w:rPr>
            <w:rStyle w:val="TextoNormalCaracter"/>
          </w:rPr>
          <w:t>8/2025</w:t>
        </w:r>
      </w:hyperlink>
      <w:r>
        <w:t>, VP.</w:t>
      </w:r>
    </w:p>
    <w:p w14:paraId="06BFC476" w14:textId="4BF66375"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Auto </w:t>
      </w:r>
      <w:hyperlink w:anchor="AUTO_2025_8" w:history="1">
        <w:r w:rsidRPr="001D7FA9">
          <w:rPr>
            <w:rStyle w:val="TextoNormalCaracter"/>
          </w:rPr>
          <w:t>8/2025</w:t>
        </w:r>
      </w:hyperlink>
      <w:r>
        <w:t>, VP.</w:t>
      </w:r>
    </w:p>
    <w:p w14:paraId="37DC503D" w14:textId="110E880E" w:rsidR="001D7FA9" w:rsidRDefault="001D7FA9" w:rsidP="001D7FA9">
      <w:pPr>
        <w:pStyle w:val="SangriaFrancesaArticulo"/>
      </w:pPr>
      <w:r w:rsidRPr="001D7FA9">
        <w:rPr>
          <w:rStyle w:val="TextoNormalNegritaCaracter"/>
        </w:rPr>
        <w:t>Artículo 35.</w:t>
      </w:r>
      <w:r w:rsidRPr="001D7FA9">
        <w:rPr>
          <w:rStyle w:val="TextoNormalCaracter"/>
        </w:rPr>
        <w:t>-</w:t>
      </w:r>
      <w:r>
        <w:t xml:space="preserve"> Auto </w:t>
      </w:r>
      <w:hyperlink w:anchor="AUTO_2025_8" w:history="1">
        <w:r w:rsidRPr="001D7FA9">
          <w:rPr>
            <w:rStyle w:val="TextoNormalCaracter"/>
          </w:rPr>
          <w:t>8/2025</w:t>
        </w:r>
      </w:hyperlink>
      <w:r>
        <w:t>, VP.</w:t>
      </w:r>
    </w:p>
    <w:p w14:paraId="1A20AB30" w14:textId="7EFF7F0C" w:rsidR="001D7FA9" w:rsidRDefault="001D7FA9" w:rsidP="001D7FA9">
      <w:pPr>
        <w:pStyle w:val="SangriaFrancesaArticulo"/>
      </w:pPr>
      <w:r w:rsidRPr="001D7FA9">
        <w:rPr>
          <w:rStyle w:val="TextoNormalNegritaCaracter"/>
        </w:rPr>
        <w:t>Artículo 38.2 b).</w:t>
      </w:r>
      <w:r w:rsidRPr="001D7FA9">
        <w:rPr>
          <w:rStyle w:val="TextoNormalCaracter"/>
        </w:rPr>
        <w:t>-</w:t>
      </w:r>
      <w:r>
        <w:t xml:space="preserve"> Auto </w:t>
      </w:r>
      <w:hyperlink w:anchor="AUTO_2025_8" w:history="1">
        <w:r w:rsidRPr="001D7FA9">
          <w:rPr>
            <w:rStyle w:val="TextoNormalCaracter"/>
          </w:rPr>
          <w:t>8/2025</w:t>
        </w:r>
      </w:hyperlink>
      <w:r>
        <w:t>, VP.</w:t>
      </w:r>
    </w:p>
    <w:p w14:paraId="7CF8B96C" w14:textId="65E1A5EF" w:rsidR="001D7FA9" w:rsidRDefault="001D7FA9" w:rsidP="001D7FA9">
      <w:pPr>
        <w:pStyle w:val="SangriaFrancesaArticulo"/>
      </w:pPr>
      <w:r w:rsidRPr="001D7FA9">
        <w:rPr>
          <w:rStyle w:val="TextoNormalNegritaCaracter"/>
        </w:rPr>
        <w:t>Artículo 46.</w:t>
      </w:r>
      <w:r w:rsidRPr="001D7FA9">
        <w:rPr>
          <w:rStyle w:val="TextoNormalCaracter"/>
        </w:rPr>
        <w:t>-</w:t>
      </w:r>
      <w:r>
        <w:t xml:space="preserve"> Auto </w:t>
      </w:r>
      <w:hyperlink w:anchor="AUTO_2025_8" w:history="1">
        <w:r w:rsidRPr="001D7FA9">
          <w:rPr>
            <w:rStyle w:val="TextoNormalCaracter"/>
          </w:rPr>
          <w:t>8/2025</w:t>
        </w:r>
      </w:hyperlink>
      <w:r>
        <w:t>, VP.</w:t>
      </w:r>
    </w:p>
    <w:p w14:paraId="1D6E85BD" w14:textId="246E7EFC" w:rsidR="001D7FA9" w:rsidRDefault="001D7FA9" w:rsidP="001D7FA9">
      <w:pPr>
        <w:pStyle w:val="SangriaFrancesaArticulo"/>
      </w:pPr>
      <w:r w:rsidRPr="001D7FA9">
        <w:rPr>
          <w:rStyle w:val="TextoNormalNegritaCaracter"/>
        </w:rPr>
        <w:t>Artículo 53.1 e).</w:t>
      </w:r>
      <w:r w:rsidRPr="001D7FA9">
        <w:rPr>
          <w:rStyle w:val="TextoNormalCaracter"/>
        </w:rPr>
        <w:t>-</w:t>
      </w:r>
      <w:r>
        <w:t xml:space="preserve"> Auto </w:t>
      </w:r>
      <w:hyperlink w:anchor="AUTO_2025_8" w:history="1">
        <w:r w:rsidRPr="001D7FA9">
          <w:rPr>
            <w:rStyle w:val="TextoNormalCaracter"/>
          </w:rPr>
          <w:t>8/2025</w:t>
        </w:r>
      </w:hyperlink>
      <w:r>
        <w:t>, VP.</w:t>
      </w:r>
    </w:p>
    <w:p w14:paraId="106B8A32" w14:textId="15DE3F18" w:rsidR="001D7FA9" w:rsidRDefault="001D7FA9" w:rsidP="001D7FA9">
      <w:pPr>
        <w:pStyle w:val="SangriaFrancesaArticulo"/>
      </w:pPr>
      <w:r w:rsidRPr="001D7FA9">
        <w:rPr>
          <w:rStyle w:val="TextoNormalNegritaCaracter"/>
        </w:rPr>
        <w:t>Artículo 126.</w:t>
      </w:r>
      <w:r w:rsidRPr="001D7FA9">
        <w:rPr>
          <w:rStyle w:val="TextoNormalCaracter"/>
        </w:rPr>
        <w:t>-</w:t>
      </w:r>
      <w:r>
        <w:t xml:space="preserve"> Auto </w:t>
      </w:r>
      <w:hyperlink w:anchor="AUTO_2025_8" w:history="1">
        <w:r w:rsidRPr="001D7FA9">
          <w:rPr>
            <w:rStyle w:val="TextoNormalCaracter"/>
          </w:rPr>
          <w:t>8/2025</w:t>
        </w:r>
      </w:hyperlink>
      <w:r>
        <w:t>, VP.</w:t>
      </w:r>
    </w:p>
    <w:p w14:paraId="2F01053C" w14:textId="5532942E" w:rsidR="001D7FA9" w:rsidRDefault="001D7FA9" w:rsidP="001D7FA9">
      <w:pPr>
        <w:pStyle w:val="SangriaFrancesaArticulo"/>
      </w:pPr>
    </w:p>
    <w:p w14:paraId="1A9986A3" w14:textId="77777777" w:rsidR="001D7FA9" w:rsidRDefault="001D7FA9" w:rsidP="001D7FA9">
      <w:pPr>
        <w:pStyle w:val="TextoNormalNegritaCursivandice"/>
        <w:keepNext/>
      </w:pPr>
      <w:r>
        <w:t>Ley Orgánica 3/1986, de 14 de abril, de medidas especiales en materia de salud pública</w:t>
      </w:r>
    </w:p>
    <w:p w14:paraId="6946AD7F" w14:textId="592A7CB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4" w:history="1">
        <w:r w:rsidRPr="001D7FA9">
          <w:rPr>
            <w:rStyle w:val="TextoNormalCaracter"/>
          </w:rPr>
          <w:t>24/2025</w:t>
        </w:r>
      </w:hyperlink>
      <w:r>
        <w:t>, f. 1.</w:t>
      </w:r>
    </w:p>
    <w:p w14:paraId="30A81948" w14:textId="3BDEB15A" w:rsidR="001D7FA9" w:rsidRDefault="001D7FA9" w:rsidP="001D7FA9">
      <w:pPr>
        <w:pStyle w:val="SangriaFrancesaArticulo"/>
      </w:pPr>
    </w:p>
    <w:p w14:paraId="5423EDFA" w14:textId="77777777" w:rsidR="001D7FA9" w:rsidRDefault="001D7FA9" w:rsidP="001D7FA9">
      <w:pPr>
        <w:pStyle w:val="TextoNormalNegritaCursivandice"/>
        <w:keepNext/>
      </w:pPr>
      <w:r>
        <w:t>Ley Orgánica 16/1994, de 8 de noviembre, por la que se reforma la Ley Orgánica 6/1985, de 1 de julio, del Poder Judicial</w:t>
      </w:r>
    </w:p>
    <w:p w14:paraId="173A7214" w14:textId="732C144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 w:history="1">
        <w:r w:rsidRPr="001D7FA9">
          <w:rPr>
            <w:rStyle w:val="TextoNormalCaracter"/>
          </w:rPr>
          <w:t>6/2025</w:t>
        </w:r>
      </w:hyperlink>
      <w:r>
        <w:t>, VP I.</w:t>
      </w:r>
    </w:p>
    <w:p w14:paraId="612CFF84" w14:textId="16535D99" w:rsidR="001D7FA9" w:rsidRDefault="001D7FA9" w:rsidP="001D7FA9">
      <w:pPr>
        <w:pStyle w:val="SangriaFrancesaArticulo"/>
      </w:pPr>
    </w:p>
    <w:p w14:paraId="064DD323" w14:textId="77777777" w:rsidR="001D7FA9" w:rsidRDefault="001D7FA9" w:rsidP="001D7FA9">
      <w:pPr>
        <w:pStyle w:val="TextoNormalNegritaCursivandice"/>
        <w:keepNext/>
      </w:pPr>
      <w:r>
        <w:t>Ley Orgánica 5/1995, de 22 de mayo, del Tribunal del jurado</w:t>
      </w:r>
    </w:p>
    <w:p w14:paraId="1D3C10C9" w14:textId="408AD0C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3" w:history="1">
        <w:r w:rsidRPr="001D7FA9">
          <w:rPr>
            <w:rStyle w:val="TextoNormalCaracter"/>
          </w:rPr>
          <w:t>3/2025</w:t>
        </w:r>
      </w:hyperlink>
      <w:r>
        <w:t>, f. 3.</w:t>
      </w:r>
    </w:p>
    <w:p w14:paraId="52B4EA75" w14:textId="31B2B831" w:rsidR="001D7FA9" w:rsidRDefault="001D7FA9" w:rsidP="001D7FA9">
      <w:pPr>
        <w:pStyle w:val="SangriaFrancesaArticulo"/>
      </w:pPr>
      <w:r w:rsidRPr="001D7FA9">
        <w:rPr>
          <w:rStyle w:val="TextoNormalNegritaCaracter"/>
        </w:rPr>
        <w:t>Artículo 36.</w:t>
      </w:r>
      <w:r w:rsidRPr="001D7FA9">
        <w:rPr>
          <w:rStyle w:val="TextoNormalCaracter"/>
        </w:rPr>
        <w:t>-</w:t>
      </w:r>
      <w:r>
        <w:t xml:space="preserve"> Sentencia </w:t>
      </w:r>
      <w:hyperlink w:anchor="SENTENCIA_2025_105" w:history="1">
        <w:r w:rsidRPr="001D7FA9">
          <w:rPr>
            <w:rStyle w:val="TextoNormalCaracter"/>
          </w:rPr>
          <w:t>105/2025</w:t>
        </w:r>
      </w:hyperlink>
      <w:r>
        <w:t>, VP II.</w:t>
      </w:r>
    </w:p>
    <w:p w14:paraId="26012909" w14:textId="15900FA5" w:rsidR="001D7FA9" w:rsidRDefault="001D7FA9" w:rsidP="001D7FA9">
      <w:pPr>
        <w:pStyle w:val="SangriaFrancesaArticulo"/>
      </w:pPr>
    </w:p>
    <w:p w14:paraId="405252C4" w14:textId="77777777" w:rsidR="001D7FA9" w:rsidRDefault="001D7FA9" w:rsidP="001D7FA9">
      <w:pPr>
        <w:pStyle w:val="TextoNormalNegritaCursivandice"/>
        <w:keepNext/>
      </w:pPr>
      <w:r>
        <w:t>Ley Orgánica 10/1995, de 23 de noviembre, del Código penal</w:t>
      </w:r>
    </w:p>
    <w:p w14:paraId="44D4E2D1" w14:textId="6221D3E4"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Sentencias </w:t>
      </w:r>
      <w:hyperlink w:anchor="SENTENCIA_2025_105" w:history="1">
        <w:r w:rsidRPr="001D7FA9">
          <w:rPr>
            <w:rStyle w:val="TextoNormalCaracter"/>
          </w:rPr>
          <w:t>105/2025</w:t>
        </w:r>
      </w:hyperlink>
      <w:r>
        <w:t xml:space="preserve">, ff. 2, 3; </w:t>
      </w:r>
      <w:hyperlink w:anchor="SENTENCIA_2025_110" w:history="1">
        <w:r w:rsidRPr="001D7FA9">
          <w:rPr>
            <w:rStyle w:val="TextoNormalCaracter"/>
          </w:rPr>
          <w:t>110/2025</w:t>
        </w:r>
      </w:hyperlink>
      <w:r>
        <w:t xml:space="preserve">, VP I; </w:t>
      </w:r>
      <w:hyperlink w:anchor="SENTENCIA_2025_111" w:history="1">
        <w:r w:rsidRPr="001D7FA9">
          <w:rPr>
            <w:rStyle w:val="TextoNormalCaracter"/>
          </w:rPr>
          <w:t>111/2025</w:t>
        </w:r>
      </w:hyperlink>
      <w:r>
        <w:t xml:space="preserve">, f. 3; </w:t>
      </w:r>
      <w:hyperlink w:anchor="SENTENCIA_2025_132" w:history="1">
        <w:r w:rsidRPr="001D7FA9">
          <w:rPr>
            <w:rStyle w:val="TextoNormalCaracter"/>
          </w:rPr>
          <w:t>132/2025</w:t>
        </w:r>
      </w:hyperlink>
      <w:r>
        <w:t xml:space="preserve">, f. 2; </w:t>
      </w:r>
      <w:hyperlink w:anchor="SENTENCIA_2025_137" w:history="1">
        <w:r w:rsidRPr="001D7FA9">
          <w:rPr>
            <w:rStyle w:val="TextoNormalCaracter"/>
          </w:rPr>
          <w:t>137/2025</w:t>
        </w:r>
      </w:hyperlink>
      <w:r>
        <w:t>, f. 14, VP I, VP III, VP IV.</w:t>
      </w:r>
    </w:p>
    <w:p w14:paraId="38DA279A" w14:textId="4C23B479" w:rsidR="001D7FA9" w:rsidRDefault="001D7FA9" w:rsidP="001D7FA9">
      <w:pPr>
        <w:pStyle w:val="SangriaIzquierdaArticulo"/>
      </w:pPr>
      <w:r>
        <w:t xml:space="preserve">Auto </w:t>
      </w:r>
      <w:hyperlink w:anchor="AUTO_2025_8" w:history="1">
        <w:r w:rsidRPr="001D7FA9">
          <w:rPr>
            <w:rStyle w:val="TextoNormalCaracter"/>
          </w:rPr>
          <w:t>8/2025</w:t>
        </w:r>
      </w:hyperlink>
      <w:r>
        <w:t>, VP.</w:t>
      </w:r>
    </w:p>
    <w:p w14:paraId="683AEDB8" w14:textId="05EC8E0A" w:rsidR="001D7FA9" w:rsidRDefault="001D7FA9" w:rsidP="001D7FA9">
      <w:pPr>
        <w:pStyle w:val="SangriaFrancesaArticulo"/>
      </w:pPr>
      <w:r w:rsidRPr="001D7FA9">
        <w:rPr>
          <w:rStyle w:val="TextoNormalNegritaCaracter"/>
        </w:rPr>
        <w:t>Libro I, título III, capítulo III, sección segunda.</w:t>
      </w:r>
      <w:r w:rsidRPr="001D7FA9">
        <w:rPr>
          <w:rStyle w:val="TextoNormalCaracter"/>
        </w:rPr>
        <w:t>-</w:t>
      </w:r>
      <w:r>
        <w:t xml:space="preserve"> Sentencia </w:t>
      </w:r>
      <w:hyperlink w:anchor="SENTENCIA_2025_111" w:history="1">
        <w:r w:rsidRPr="001D7FA9">
          <w:rPr>
            <w:rStyle w:val="TextoNormalCaracter"/>
          </w:rPr>
          <w:t>111/2025</w:t>
        </w:r>
      </w:hyperlink>
      <w:r>
        <w:t>, f. 3.</w:t>
      </w:r>
    </w:p>
    <w:p w14:paraId="049BCF95" w14:textId="5A88C5D4" w:rsidR="001D7FA9" w:rsidRDefault="001D7FA9" w:rsidP="001D7FA9">
      <w:pPr>
        <w:pStyle w:val="SangriaFrancesaArticulo"/>
      </w:pPr>
      <w:r w:rsidRPr="001D7FA9">
        <w:rPr>
          <w:rStyle w:val="TextoNormalNegritaCaracter"/>
        </w:rPr>
        <w:t>Libro II, título XXII, capítulo VII.</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20B6691" w14:textId="3651BE55" w:rsidR="001D7FA9" w:rsidRDefault="001D7FA9" w:rsidP="001D7FA9">
      <w:pPr>
        <w:pStyle w:val="SangriaFrancesaArticulo"/>
      </w:pPr>
      <w:r w:rsidRPr="001D7FA9">
        <w:rPr>
          <w:rStyle w:val="TextoNormalNegritaCaracter"/>
        </w:rPr>
        <w:t>Libro II, título XXIII.</w:t>
      </w:r>
      <w:r w:rsidRPr="001D7FA9">
        <w:rPr>
          <w:rStyle w:val="TextoNormalCaracter"/>
        </w:rPr>
        <w:t>-</w:t>
      </w:r>
      <w:r>
        <w:t xml:space="preserve"> Sentencia </w:t>
      </w:r>
      <w:hyperlink w:anchor="SENTENCIA_2025_137" w:history="1">
        <w:r w:rsidRPr="001D7FA9">
          <w:rPr>
            <w:rStyle w:val="TextoNormalCaracter"/>
          </w:rPr>
          <w:t>137/2025</w:t>
        </w:r>
      </w:hyperlink>
      <w:r>
        <w:t>, f. 8, VP IV.</w:t>
      </w:r>
    </w:p>
    <w:p w14:paraId="70465051" w14:textId="6C75E465" w:rsidR="001D7FA9" w:rsidRDefault="001D7FA9" w:rsidP="001D7FA9">
      <w:pPr>
        <w:pStyle w:val="SangriaFrancesaArticulo"/>
      </w:pPr>
      <w:r w:rsidRPr="001D7FA9">
        <w:rPr>
          <w:rStyle w:val="TextoNormalNegritaCaracter"/>
        </w:rPr>
        <w:t>Libro II, título XXIV.</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0DA41C48" w14:textId="5E62DE15" w:rsidR="001D7FA9" w:rsidRDefault="001D7FA9" w:rsidP="001D7FA9">
      <w:pPr>
        <w:pStyle w:val="SangriaFrancesaArticulo"/>
      </w:pPr>
      <w:r w:rsidRPr="001D7FA9">
        <w:rPr>
          <w:rStyle w:val="TextoNormalNegritaCaracter"/>
        </w:rPr>
        <w:t>Artículo 2 a).</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0BC2CCDD" w14:textId="12430908" w:rsidR="001D7FA9" w:rsidRDefault="001D7FA9" w:rsidP="001D7FA9">
      <w:pPr>
        <w:pStyle w:val="SangriaFrancesaArticulo"/>
      </w:pPr>
      <w:r w:rsidRPr="001D7FA9">
        <w:rPr>
          <w:rStyle w:val="TextoNormalNegritaCaracter"/>
        </w:rPr>
        <w:t>Artículo 2 g).</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7AA6001B" w14:textId="6A590116"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Sentencias </w:t>
      </w:r>
      <w:hyperlink w:anchor="SENTENCIA_2025_105" w:history="1">
        <w:r w:rsidRPr="001D7FA9">
          <w:rPr>
            <w:rStyle w:val="TextoNormalCaracter"/>
          </w:rPr>
          <w:t>105/2025</w:t>
        </w:r>
      </w:hyperlink>
      <w:r>
        <w:t xml:space="preserve">, f. 2; </w:t>
      </w:r>
      <w:hyperlink w:anchor="SENTENCIA_2025_110" w:history="1">
        <w:r w:rsidRPr="001D7FA9">
          <w:rPr>
            <w:rStyle w:val="TextoNormalCaracter"/>
          </w:rPr>
          <w:t>110/2025</w:t>
        </w:r>
      </w:hyperlink>
      <w:r>
        <w:t xml:space="preserve">, f. 1; </w:t>
      </w:r>
      <w:hyperlink w:anchor="SENTENCIA_2025_137" w:history="1">
        <w:r w:rsidRPr="001D7FA9">
          <w:rPr>
            <w:rStyle w:val="TextoNormalCaracter"/>
          </w:rPr>
          <w:t>137/2025</w:t>
        </w:r>
      </w:hyperlink>
      <w:r>
        <w:t>, f. 7.</w:t>
      </w:r>
    </w:p>
    <w:p w14:paraId="3D46DE1C" w14:textId="71CE5EC1"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 </w:t>
      </w:r>
      <w:hyperlink w:anchor="SENTENCIA_2025_41" w:history="1">
        <w:r w:rsidRPr="001D7FA9">
          <w:rPr>
            <w:rStyle w:val="TextoNormalCaracter"/>
          </w:rPr>
          <w:t>41/2025</w:t>
        </w:r>
      </w:hyperlink>
      <w:r>
        <w:t>, VP.</w:t>
      </w:r>
    </w:p>
    <w:p w14:paraId="1C85B728" w14:textId="61BF55F2" w:rsidR="001D7FA9" w:rsidRDefault="001D7FA9" w:rsidP="001D7FA9">
      <w:pPr>
        <w:pStyle w:val="SangriaFrancesaArticulo"/>
      </w:pPr>
      <w:r w:rsidRPr="001D7FA9">
        <w:rPr>
          <w:rStyle w:val="TextoNormalNegritaCaracter"/>
        </w:rPr>
        <w:t>Artículo 20.1.</w:t>
      </w:r>
      <w:r w:rsidRPr="001D7FA9">
        <w:rPr>
          <w:rStyle w:val="TextoNormalCaracter"/>
        </w:rPr>
        <w:t>-</w:t>
      </w:r>
      <w:r>
        <w:t xml:space="preserve"> Sentencia </w:t>
      </w:r>
      <w:hyperlink w:anchor="SENTENCIA_2025_37" w:history="1">
        <w:r w:rsidRPr="001D7FA9">
          <w:rPr>
            <w:rStyle w:val="TextoNormalCaracter"/>
          </w:rPr>
          <w:t>37/2025</w:t>
        </w:r>
      </w:hyperlink>
      <w:r>
        <w:t>, f. 2.</w:t>
      </w:r>
    </w:p>
    <w:p w14:paraId="36451C3A" w14:textId="5C0AC5F4" w:rsidR="001D7FA9" w:rsidRDefault="001D7FA9" w:rsidP="001D7FA9">
      <w:pPr>
        <w:pStyle w:val="SangriaFrancesaArticulo"/>
      </w:pPr>
      <w:r w:rsidRPr="001D7FA9">
        <w:rPr>
          <w:rStyle w:val="TextoNormalNegritaCaracter"/>
        </w:rPr>
        <w:t>Artículo 22.4.</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6BA030ED" w14:textId="0168BEAB" w:rsidR="001D7FA9" w:rsidRDefault="001D7FA9" w:rsidP="001D7FA9">
      <w:pPr>
        <w:pStyle w:val="SangriaFrancesaArticulo"/>
      </w:pPr>
      <w:r w:rsidRPr="001D7FA9">
        <w:rPr>
          <w:rStyle w:val="TextoNormalNegritaCaracter"/>
        </w:rPr>
        <w:t>Artículo 33.</w:t>
      </w:r>
      <w:r w:rsidRPr="001D7FA9">
        <w:rPr>
          <w:rStyle w:val="TextoNormalCaracter"/>
        </w:rPr>
        <w:t>-</w:t>
      </w:r>
      <w:r>
        <w:t xml:space="preserve"> Auto </w:t>
      </w:r>
      <w:hyperlink w:anchor="AUTO_2025_21" w:history="1">
        <w:r w:rsidRPr="001D7FA9">
          <w:rPr>
            <w:rStyle w:val="TextoNormalCaracter"/>
          </w:rPr>
          <w:t>21/2025</w:t>
        </w:r>
      </w:hyperlink>
      <w:r>
        <w:t>, f. 2.</w:t>
      </w:r>
    </w:p>
    <w:p w14:paraId="0AD3E9E1" w14:textId="4437592C" w:rsidR="001D7FA9" w:rsidRDefault="001D7FA9" w:rsidP="001D7FA9">
      <w:pPr>
        <w:pStyle w:val="SangriaFrancesaArticulo"/>
      </w:pPr>
      <w:r w:rsidRPr="001D7FA9">
        <w:rPr>
          <w:rStyle w:val="TextoNormalNegritaCaracter"/>
        </w:rPr>
        <w:t>Artículo 80.1.</w:t>
      </w:r>
      <w:r w:rsidRPr="001D7FA9">
        <w:rPr>
          <w:rStyle w:val="TextoNormalCaracter"/>
        </w:rPr>
        <w:t>-</w:t>
      </w:r>
      <w:r>
        <w:t xml:space="preserve"> Sentencia </w:t>
      </w:r>
      <w:hyperlink w:anchor="SENTENCIA_2025_37" w:history="1">
        <w:r w:rsidRPr="001D7FA9">
          <w:rPr>
            <w:rStyle w:val="TextoNormalCaracter"/>
          </w:rPr>
          <w:t>37/2025</w:t>
        </w:r>
      </w:hyperlink>
      <w:r>
        <w:t>, f. 3.</w:t>
      </w:r>
    </w:p>
    <w:p w14:paraId="37F2D473" w14:textId="020BC520" w:rsidR="001D7FA9" w:rsidRDefault="001D7FA9" w:rsidP="001D7FA9">
      <w:pPr>
        <w:pStyle w:val="SangriaFrancesaArticulo"/>
      </w:pPr>
      <w:r w:rsidRPr="001D7FA9">
        <w:rPr>
          <w:rStyle w:val="TextoNormalNegritaCaracter"/>
        </w:rPr>
        <w:t>Artículo 80.2.</w:t>
      </w:r>
      <w:r w:rsidRPr="001D7FA9">
        <w:rPr>
          <w:rStyle w:val="TextoNormalCaracter"/>
        </w:rPr>
        <w:t>-</w:t>
      </w:r>
      <w:r>
        <w:t xml:space="preserve"> Auto </w:t>
      </w:r>
      <w:hyperlink w:anchor="AUTO_2025_8" w:history="1">
        <w:r w:rsidRPr="001D7FA9">
          <w:rPr>
            <w:rStyle w:val="TextoNormalCaracter"/>
          </w:rPr>
          <w:t>8/2025</w:t>
        </w:r>
      </w:hyperlink>
      <w:r>
        <w:t>, VP.</w:t>
      </w:r>
    </w:p>
    <w:p w14:paraId="1167A55E" w14:textId="7669BDC1" w:rsidR="001D7FA9" w:rsidRDefault="001D7FA9" w:rsidP="001D7FA9">
      <w:pPr>
        <w:pStyle w:val="SangriaFrancesaArticulo"/>
      </w:pPr>
      <w:r w:rsidRPr="001D7FA9">
        <w:rPr>
          <w:rStyle w:val="TextoNormalNegritaCaracter"/>
        </w:rPr>
        <w:t>Artículo 80.5</w:t>
      </w:r>
      <w:r>
        <w:t xml:space="preserve"> (redactado por la Ley Orgánica 1/2015, de 30 de marzo)</w:t>
      </w:r>
      <w:r w:rsidRPr="001D7FA9">
        <w:rPr>
          <w:rStyle w:val="TextoNormalNegritaCaracter"/>
        </w:rPr>
        <w:t>.</w:t>
      </w:r>
      <w:r w:rsidRPr="001D7FA9">
        <w:rPr>
          <w:rStyle w:val="TextoNormalCaracter"/>
        </w:rPr>
        <w:t>-</w:t>
      </w:r>
      <w:r>
        <w:t xml:space="preserve"> Sentencia </w:t>
      </w:r>
      <w:hyperlink w:anchor="SENTENCIA_2025_37" w:history="1">
        <w:r w:rsidRPr="001D7FA9">
          <w:rPr>
            <w:rStyle w:val="TextoNormalCaracter"/>
          </w:rPr>
          <w:t>37/2025</w:t>
        </w:r>
      </w:hyperlink>
      <w:r>
        <w:t>, ff. 2, 3.</w:t>
      </w:r>
    </w:p>
    <w:p w14:paraId="1D592AB1" w14:textId="401CD74A" w:rsidR="001D7FA9" w:rsidRDefault="001D7FA9" w:rsidP="001D7FA9">
      <w:pPr>
        <w:pStyle w:val="SangriaFrancesaArticulo"/>
      </w:pPr>
      <w:r w:rsidRPr="001D7FA9">
        <w:rPr>
          <w:rStyle w:val="TextoNormalNegritaCaracter"/>
        </w:rPr>
        <w:t>Artículo 83.</w:t>
      </w:r>
      <w:r w:rsidRPr="001D7FA9">
        <w:rPr>
          <w:rStyle w:val="TextoNormalCaracter"/>
        </w:rPr>
        <w:t>-</w:t>
      </w:r>
      <w:r>
        <w:t xml:space="preserve"> Sentencia </w:t>
      </w:r>
      <w:hyperlink w:anchor="SENTENCIA_2025_37" w:history="1">
        <w:r w:rsidRPr="001D7FA9">
          <w:rPr>
            <w:rStyle w:val="TextoNormalCaracter"/>
          </w:rPr>
          <w:t>37/2025</w:t>
        </w:r>
      </w:hyperlink>
      <w:r>
        <w:t>, f. 3.</w:t>
      </w:r>
    </w:p>
    <w:p w14:paraId="2FD9526B" w14:textId="1ED19AB7" w:rsidR="001D7FA9" w:rsidRDefault="001D7FA9" w:rsidP="001D7FA9">
      <w:pPr>
        <w:pStyle w:val="SangriaFrancesaArticulo"/>
      </w:pPr>
      <w:r w:rsidRPr="001D7FA9">
        <w:rPr>
          <w:rStyle w:val="TextoNormalNegritaCaracter"/>
        </w:rPr>
        <w:t>Artículo 84.</w:t>
      </w:r>
      <w:r w:rsidRPr="001D7FA9">
        <w:rPr>
          <w:rStyle w:val="TextoNormalCaracter"/>
        </w:rPr>
        <w:t>-</w:t>
      </w:r>
      <w:r>
        <w:t xml:space="preserve"> Sentencia </w:t>
      </w:r>
      <w:hyperlink w:anchor="SENTENCIA_2025_37" w:history="1">
        <w:r w:rsidRPr="001D7FA9">
          <w:rPr>
            <w:rStyle w:val="TextoNormalCaracter"/>
          </w:rPr>
          <w:t>37/2025</w:t>
        </w:r>
      </w:hyperlink>
      <w:r>
        <w:t>, f. 3.</w:t>
      </w:r>
    </w:p>
    <w:p w14:paraId="353C5352" w14:textId="5440952C" w:rsidR="001D7FA9" w:rsidRDefault="001D7FA9" w:rsidP="001D7FA9">
      <w:pPr>
        <w:pStyle w:val="SangriaFrancesaArticulo"/>
      </w:pPr>
      <w:r w:rsidRPr="001D7FA9">
        <w:rPr>
          <w:rStyle w:val="TextoNormalNegritaCaracter"/>
        </w:rPr>
        <w:t>Artículo 86.</w:t>
      </w:r>
      <w:r w:rsidRPr="001D7FA9">
        <w:rPr>
          <w:rStyle w:val="TextoNormalCaracter"/>
        </w:rPr>
        <w:t>-</w:t>
      </w:r>
      <w:r>
        <w:t xml:space="preserve"> Sentencia </w:t>
      </w:r>
      <w:hyperlink w:anchor="SENTENCIA_2025_37" w:history="1">
        <w:r w:rsidRPr="001D7FA9">
          <w:rPr>
            <w:rStyle w:val="TextoNormalCaracter"/>
          </w:rPr>
          <w:t>37/2025</w:t>
        </w:r>
      </w:hyperlink>
      <w:r>
        <w:t>, ff. 2, 3.</w:t>
      </w:r>
    </w:p>
    <w:p w14:paraId="18A897DD" w14:textId="1F182735" w:rsidR="001D7FA9" w:rsidRDefault="001D7FA9" w:rsidP="001D7FA9">
      <w:pPr>
        <w:pStyle w:val="SangriaFrancesaArticulo"/>
      </w:pPr>
      <w:r w:rsidRPr="001D7FA9">
        <w:rPr>
          <w:rStyle w:val="TextoNormalNegritaCaracter"/>
        </w:rPr>
        <w:t>Artículo 86.1.</w:t>
      </w:r>
      <w:r w:rsidRPr="001D7FA9">
        <w:rPr>
          <w:rStyle w:val="TextoNormalCaracter"/>
        </w:rPr>
        <w:t>-</w:t>
      </w:r>
      <w:r>
        <w:t xml:space="preserve"> Sentencia </w:t>
      </w:r>
      <w:hyperlink w:anchor="SENTENCIA_2025_37" w:history="1">
        <w:r w:rsidRPr="001D7FA9">
          <w:rPr>
            <w:rStyle w:val="TextoNormalCaracter"/>
          </w:rPr>
          <w:t>37/2025</w:t>
        </w:r>
      </w:hyperlink>
      <w:r>
        <w:t>, f. 3.</w:t>
      </w:r>
    </w:p>
    <w:p w14:paraId="59D6B715" w14:textId="3FE27BA6" w:rsidR="001D7FA9" w:rsidRDefault="001D7FA9" w:rsidP="001D7FA9">
      <w:pPr>
        <w:pStyle w:val="SangriaFrancesaArticulo"/>
      </w:pPr>
      <w:r w:rsidRPr="001D7FA9">
        <w:rPr>
          <w:rStyle w:val="TextoNormalNegritaCaracter"/>
        </w:rPr>
        <w:t>Artículo 86.1</w:t>
      </w:r>
      <w:r>
        <w:t xml:space="preserve"> (redactado por la Ley Orgánica 1/2015, de 30 de marzo)</w:t>
      </w:r>
      <w:r w:rsidRPr="001D7FA9">
        <w:rPr>
          <w:rStyle w:val="TextoNormalNegritaCaracter"/>
        </w:rPr>
        <w:t>.</w:t>
      </w:r>
      <w:r w:rsidRPr="001D7FA9">
        <w:rPr>
          <w:rStyle w:val="TextoNormalCaracter"/>
        </w:rPr>
        <w:t>-</w:t>
      </w:r>
      <w:r>
        <w:t xml:space="preserve"> Sentencia </w:t>
      </w:r>
      <w:hyperlink w:anchor="SENTENCIA_2025_37" w:history="1">
        <w:r w:rsidRPr="001D7FA9">
          <w:rPr>
            <w:rStyle w:val="TextoNormalCaracter"/>
          </w:rPr>
          <w:t>37/2025</w:t>
        </w:r>
      </w:hyperlink>
      <w:r>
        <w:t>, f. 3.</w:t>
      </w:r>
    </w:p>
    <w:p w14:paraId="2A5D28BC" w14:textId="0D265C58" w:rsidR="001D7FA9" w:rsidRDefault="001D7FA9" w:rsidP="001D7FA9">
      <w:pPr>
        <w:pStyle w:val="SangriaFrancesaArticulo"/>
      </w:pPr>
      <w:r w:rsidRPr="001D7FA9">
        <w:rPr>
          <w:rStyle w:val="TextoNormalNegritaCaracter"/>
        </w:rPr>
        <w:t>Artículo 86.1 a).</w:t>
      </w:r>
      <w:r w:rsidRPr="001D7FA9">
        <w:rPr>
          <w:rStyle w:val="TextoNormalCaracter"/>
        </w:rPr>
        <w:t>-</w:t>
      </w:r>
      <w:r>
        <w:t xml:space="preserve"> Sentencia </w:t>
      </w:r>
      <w:hyperlink w:anchor="SENTENCIA_2025_37" w:history="1">
        <w:r w:rsidRPr="001D7FA9">
          <w:rPr>
            <w:rStyle w:val="TextoNormalCaracter"/>
          </w:rPr>
          <w:t>37/2025</w:t>
        </w:r>
      </w:hyperlink>
      <w:r>
        <w:t>, f. 3.</w:t>
      </w:r>
    </w:p>
    <w:p w14:paraId="3FAC0301" w14:textId="36E25B56" w:rsidR="001D7FA9" w:rsidRDefault="001D7FA9" w:rsidP="001D7FA9">
      <w:pPr>
        <w:pStyle w:val="SangriaFrancesaArticulo"/>
      </w:pPr>
      <w:r w:rsidRPr="001D7FA9">
        <w:rPr>
          <w:rStyle w:val="TextoNormalNegritaCaracter"/>
        </w:rPr>
        <w:t>Artículo 86.1 d).</w:t>
      </w:r>
      <w:r w:rsidRPr="001D7FA9">
        <w:rPr>
          <w:rStyle w:val="TextoNormalCaracter"/>
        </w:rPr>
        <w:t>-</w:t>
      </w:r>
      <w:r>
        <w:t xml:space="preserve"> Sentencias </w:t>
      </w:r>
      <w:hyperlink w:anchor="SENTENCIA_2025_37" w:history="1">
        <w:r w:rsidRPr="001D7FA9">
          <w:rPr>
            <w:rStyle w:val="TextoNormalCaracter"/>
          </w:rPr>
          <w:t>37/2025</w:t>
        </w:r>
      </w:hyperlink>
      <w:r>
        <w:t xml:space="preserve">, ff. 2, 3; </w:t>
      </w:r>
      <w:hyperlink w:anchor="SENTENCIA_2025_49" w:history="1">
        <w:r w:rsidRPr="001D7FA9">
          <w:rPr>
            <w:rStyle w:val="TextoNormalCaracter"/>
          </w:rPr>
          <w:t>49/2025</w:t>
        </w:r>
      </w:hyperlink>
      <w:r>
        <w:t>, f. único.</w:t>
      </w:r>
    </w:p>
    <w:p w14:paraId="63C98E21" w14:textId="128C2873" w:rsidR="001D7FA9" w:rsidRDefault="001D7FA9" w:rsidP="001D7FA9">
      <w:pPr>
        <w:pStyle w:val="SangriaFrancesaArticulo"/>
      </w:pPr>
      <w:r w:rsidRPr="001D7FA9">
        <w:rPr>
          <w:rStyle w:val="TextoNormalNegritaCaracter"/>
        </w:rPr>
        <w:t>Artículo 86.4.</w:t>
      </w:r>
      <w:r w:rsidRPr="001D7FA9">
        <w:rPr>
          <w:rStyle w:val="TextoNormalCaracter"/>
        </w:rPr>
        <w:t>-</w:t>
      </w:r>
      <w:r>
        <w:t xml:space="preserve"> Sentencia </w:t>
      </w:r>
      <w:hyperlink w:anchor="SENTENCIA_2025_49" w:history="1">
        <w:r w:rsidRPr="001D7FA9">
          <w:rPr>
            <w:rStyle w:val="TextoNormalCaracter"/>
          </w:rPr>
          <w:t>49/2025</w:t>
        </w:r>
      </w:hyperlink>
      <w:r>
        <w:t>, f. único.</w:t>
      </w:r>
    </w:p>
    <w:p w14:paraId="35264A23" w14:textId="1C3018C1" w:rsidR="001D7FA9" w:rsidRDefault="001D7FA9" w:rsidP="001D7FA9">
      <w:pPr>
        <w:pStyle w:val="SangriaFrancesaArticulo"/>
      </w:pPr>
      <w:r w:rsidRPr="001D7FA9">
        <w:rPr>
          <w:rStyle w:val="TextoNormalNegritaCaracter"/>
        </w:rPr>
        <w:t>Artículo 87</w:t>
      </w:r>
      <w:r>
        <w:t xml:space="preserve"> (redactado por la Ley Orgánica 15/2003, de 25 de noviembre)</w:t>
      </w:r>
      <w:r w:rsidRPr="001D7FA9">
        <w:rPr>
          <w:rStyle w:val="TextoNormalNegritaCaracter"/>
        </w:rPr>
        <w:t>.</w:t>
      </w:r>
      <w:r w:rsidRPr="001D7FA9">
        <w:rPr>
          <w:rStyle w:val="TextoNormalCaracter"/>
        </w:rPr>
        <w:t>-</w:t>
      </w:r>
      <w:r>
        <w:t xml:space="preserve"> Sentencia </w:t>
      </w:r>
      <w:hyperlink w:anchor="SENTENCIA_2025_37" w:history="1">
        <w:r w:rsidRPr="001D7FA9">
          <w:rPr>
            <w:rStyle w:val="TextoNormalCaracter"/>
          </w:rPr>
          <w:t>37/2025</w:t>
        </w:r>
      </w:hyperlink>
      <w:r>
        <w:t>, f. 2.</w:t>
      </w:r>
    </w:p>
    <w:p w14:paraId="1A784D76" w14:textId="4DF8DBBF" w:rsidR="001D7FA9" w:rsidRDefault="001D7FA9" w:rsidP="001D7FA9">
      <w:pPr>
        <w:pStyle w:val="SangriaFrancesaArticulo"/>
      </w:pPr>
      <w:r w:rsidRPr="001D7FA9">
        <w:rPr>
          <w:rStyle w:val="TextoNormalNegritaCaracter"/>
        </w:rPr>
        <w:t>Artículo 87.1</w:t>
      </w:r>
      <w:r>
        <w:t xml:space="preserve"> (redactado por la Ley Orgánica 15/2003, de 25 de noviembre)</w:t>
      </w:r>
      <w:r w:rsidRPr="001D7FA9">
        <w:rPr>
          <w:rStyle w:val="TextoNormalNegritaCaracter"/>
        </w:rPr>
        <w:t>.</w:t>
      </w:r>
      <w:r w:rsidRPr="001D7FA9">
        <w:rPr>
          <w:rStyle w:val="TextoNormalCaracter"/>
        </w:rPr>
        <w:t>-</w:t>
      </w:r>
      <w:r>
        <w:t xml:space="preserve"> Sentencia </w:t>
      </w:r>
      <w:hyperlink w:anchor="SENTENCIA_2025_37" w:history="1">
        <w:r w:rsidRPr="001D7FA9">
          <w:rPr>
            <w:rStyle w:val="TextoNormalCaracter"/>
          </w:rPr>
          <w:t>37/2025</w:t>
        </w:r>
      </w:hyperlink>
      <w:r>
        <w:t>, f. 2.</w:t>
      </w:r>
    </w:p>
    <w:p w14:paraId="7218E2E8" w14:textId="751B1679" w:rsidR="001D7FA9" w:rsidRDefault="001D7FA9" w:rsidP="001D7FA9">
      <w:pPr>
        <w:pStyle w:val="SangriaFrancesaArticulo"/>
      </w:pPr>
      <w:r w:rsidRPr="001D7FA9">
        <w:rPr>
          <w:rStyle w:val="TextoNormalNegritaCaracter"/>
        </w:rPr>
        <w:t>Artículo 88.</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5BCAE4F7" w14:textId="730D3E1B" w:rsidR="001D7FA9" w:rsidRDefault="001D7FA9" w:rsidP="001D7FA9">
      <w:pPr>
        <w:pStyle w:val="SangriaFrancesaArticulo"/>
      </w:pPr>
      <w:r w:rsidRPr="001D7FA9">
        <w:rPr>
          <w:rStyle w:val="TextoNormalNegritaCaracter"/>
        </w:rPr>
        <w:t>Artículo 89</w:t>
      </w:r>
      <w:r>
        <w:t xml:space="preserve"> (redactado por la Ley Orgánica 1/2015, de 30 de marzo)</w:t>
      </w:r>
      <w:r w:rsidRPr="001D7FA9">
        <w:rPr>
          <w:rStyle w:val="TextoNormalNegritaCaracter"/>
        </w:rPr>
        <w:t>.</w:t>
      </w:r>
      <w:r w:rsidRPr="001D7FA9">
        <w:rPr>
          <w:rStyle w:val="TextoNormalCaracter"/>
        </w:rPr>
        <w:t>-</w:t>
      </w:r>
      <w:r>
        <w:t xml:space="preserve"> Sentencia </w:t>
      </w:r>
      <w:hyperlink w:anchor="SENTENCIA_2025_111" w:history="1">
        <w:r w:rsidRPr="001D7FA9">
          <w:rPr>
            <w:rStyle w:val="TextoNormalCaracter"/>
          </w:rPr>
          <w:t>111/2025</w:t>
        </w:r>
      </w:hyperlink>
      <w:r>
        <w:t>, ff. 1 a 3.</w:t>
      </w:r>
    </w:p>
    <w:p w14:paraId="17079ED1" w14:textId="7BC6939B" w:rsidR="001D7FA9" w:rsidRDefault="001D7FA9" w:rsidP="001D7FA9">
      <w:pPr>
        <w:pStyle w:val="SangriaFrancesaArticulo"/>
      </w:pPr>
      <w:r w:rsidRPr="001D7FA9">
        <w:rPr>
          <w:rStyle w:val="TextoNormalNegritaCaracter"/>
        </w:rPr>
        <w:t>Artículo 89</w:t>
      </w:r>
      <w:r>
        <w:t xml:space="preserve"> (redactado por la Ley Orgánica 5/2010, de 22 de junio)</w:t>
      </w:r>
      <w:r w:rsidRPr="001D7FA9">
        <w:rPr>
          <w:rStyle w:val="TextoNormalNegritaCaracter"/>
        </w:rPr>
        <w:t>.</w:t>
      </w:r>
      <w:r w:rsidRPr="001D7FA9">
        <w:rPr>
          <w:rStyle w:val="TextoNormalCaracter"/>
        </w:rPr>
        <w:t>-</w:t>
      </w:r>
      <w:r>
        <w:t xml:space="preserve"> Sentencia </w:t>
      </w:r>
      <w:hyperlink w:anchor="SENTENCIA_2025_111" w:history="1">
        <w:r w:rsidRPr="001D7FA9">
          <w:rPr>
            <w:rStyle w:val="TextoNormalCaracter"/>
          </w:rPr>
          <w:t>111/2025</w:t>
        </w:r>
      </w:hyperlink>
      <w:r>
        <w:t>, f. 3.</w:t>
      </w:r>
    </w:p>
    <w:p w14:paraId="4F481CFA" w14:textId="608EDDB6" w:rsidR="001D7FA9" w:rsidRDefault="001D7FA9" w:rsidP="001D7FA9">
      <w:pPr>
        <w:pStyle w:val="SangriaFrancesaArticulo"/>
      </w:pPr>
      <w:r w:rsidRPr="001D7FA9">
        <w:rPr>
          <w:rStyle w:val="TextoNormalNegritaCaracter"/>
        </w:rPr>
        <w:t>Artículo 89.1</w:t>
      </w:r>
      <w:r>
        <w:t xml:space="preserve"> (redactado por la Ley Orgánica 5/2010, de 22 de junio)</w:t>
      </w:r>
      <w:r w:rsidRPr="001D7FA9">
        <w:rPr>
          <w:rStyle w:val="TextoNormalNegritaCaracter"/>
        </w:rPr>
        <w:t>.</w:t>
      </w:r>
      <w:r w:rsidRPr="001D7FA9">
        <w:rPr>
          <w:rStyle w:val="TextoNormalCaracter"/>
        </w:rPr>
        <w:t>-</w:t>
      </w:r>
      <w:r>
        <w:t xml:space="preserve"> Sentencia </w:t>
      </w:r>
      <w:hyperlink w:anchor="SENTENCIA_2025_111" w:history="1">
        <w:r w:rsidRPr="001D7FA9">
          <w:rPr>
            <w:rStyle w:val="TextoNormalCaracter"/>
          </w:rPr>
          <w:t>111/2025</w:t>
        </w:r>
      </w:hyperlink>
      <w:r>
        <w:t>, f. 3.</w:t>
      </w:r>
    </w:p>
    <w:p w14:paraId="2C22D33E" w14:textId="0ADEC471" w:rsidR="001D7FA9" w:rsidRDefault="001D7FA9" w:rsidP="001D7FA9">
      <w:pPr>
        <w:pStyle w:val="SangriaFrancesaArticulo"/>
      </w:pPr>
      <w:r w:rsidRPr="001D7FA9">
        <w:rPr>
          <w:rStyle w:val="TextoNormalNegritaCaracter"/>
        </w:rPr>
        <w:t>Artículo 89.2</w:t>
      </w:r>
      <w:r>
        <w:t xml:space="preserve"> (redactado por la Ley Orgánica 5/2010, de 22 de junio)</w:t>
      </w:r>
      <w:r w:rsidRPr="001D7FA9">
        <w:rPr>
          <w:rStyle w:val="TextoNormalNegritaCaracter"/>
        </w:rPr>
        <w:t>.</w:t>
      </w:r>
      <w:r w:rsidRPr="001D7FA9">
        <w:rPr>
          <w:rStyle w:val="TextoNormalCaracter"/>
        </w:rPr>
        <w:t>-</w:t>
      </w:r>
      <w:r>
        <w:t xml:space="preserve"> Sentencia </w:t>
      </w:r>
      <w:hyperlink w:anchor="SENTENCIA_2025_111" w:history="1">
        <w:r w:rsidRPr="001D7FA9">
          <w:rPr>
            <w:rStyle w:val="TextoNormalCaracter"/>
          </w:rPr>
          <w:t>111/2025</w:t>
        </w:r>
      </w:hyperlink>
      <w:r>
        <w:t>, f. 3.</w:t>
      </w:r>
    </w:p>
    <w:p w14:paraId="0AE2F876" w14:textId="2DDF3497" w:rsidR="001D7FA9" w:rsidRDefault="001D7FA9" w:rsidP="001D7FA9">
      <w:pPr>
        <w:pStyle w:val="SangriaFrancesaArticulo"/>
      </w:pPr>
      <w:r w:rsidRPr="001D7FA9">
        <w:rPr>
          <w:rStyle w:val="TextoNormalNegritaCaracter"/>
        </w:rPr>
        <w:t>Artículo 89.5</w:t>
      </w:r>
      <w:r>
        <w:t xml:space="preserve"> (redactado por la Ley Orgánica 5/2010, de 22 de junio)</w:t>
      </w:r>
      <w:r w:rsidRPr="001D7FA9">
        <w:rPr>
          <w:rStyle w:val="TextoNormalNegritaCaracter"/>
        </w:rPr>
        <w:t>.</w:t>
      </w:r>
      <w:r w:rsidRPr="001D7FA9">
        <w:rPr>
          <w:rStyle w:val="TextoNormalCaracter"/>
        </w:rPr>
        <w:t>-</w:t>
      </w:r>
      <w:r>
        <w:t xml:space="preserve"> Sentencia </w:t>
      </w:r>
      <w:hyperlink w:anchor="SENTENCIA_2025_111" w:history="1">
        <w:r w:rsidRPr="001D7FA9">
          <w:rPr>
            <w:rStyle w:val="TextoNormalCaracter"/>
          </w:rPr>
          <w:t>111/2025</w:t>
        </w:r>
      </w:hyperlink>
      <w:r>
        <w:t>, f. 3.</w:t>
      </w:r>
    </w:p>
    <w:p w14:paraId="3D622501" w14:textId="1909AAD9" w:rsidR="001D7FA9" w:rsidRDefault="001D7FA9" w:rsidP="001D7FA9">
      <w:pPr>
        <w:pStyle w:val="SangriaFrancesaArticulo"/>
      </w:pPr>
      <w:r w:rsidRPr="001D7FA9">
        <w:rPr>
          <w:rStyle w:val="TextoNormalNegritaCaracter"/>
        </w:rPr>
        <w:t>Artículo 130.</w:t>
      </w:r>
      <w:r w:rsidRPr="001D7FA9">
        <w:rPr>
          <w:rStyle w:val="TextoNormalCaracter"/>
        </w:rPr>
        <w:t>-</w:t>
      </w:r>
      <w:r>
        <w:t xml:space="preserve"> Sentencia </w:t>
      </w:r>
      <w:hyperlink w:anchor="SENTENCIA_2025_137" w:history="1">
        <w:r w:rsidRPr="001D7FA9">
          <w:rPr>
            <w:rStyle w:val="TextoNormalCaracter"/>
          </w:rPr>
          <w:t>137/2025</w:t>
        </w:r>
      </w:hyperlink>
      <w:r>
        <w:t>, VP I, VP IV.</w:t>
      </w:r>
    </w:p>
    <w:p w14:paraId="0197A837" w14:textId="309AFD8F" w:rsidR="001D7FA9" w:rsidRDefault="001D7FA9" w:rsidP="001D7FA9">
      <w:pPr>
        <w:pStyle w:val="SangriaFrancesaArticulo"/>
      </w:pPr>
      <w:r w:rsidRPr="001D7FA9">
        <w:rPr>
          <w:rStyle w:val="TextoNormalNegritaCaracter"/>
        </w:rPr>
        <w:t>Artículo 130.1.4.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9A2CBB6" w14:textId="4C730F3D" w:rsidR="001D7FA9" w:rsidRDefault="001D7FA9" w:rsidP="001D7FA9">
      <w:pPr>
        <w:pStyle w:val="SangriaFrancesaArticulo"/>
      </w:pPr>
      <w:r w:rsidRPr="001D7FA9">
        <w:rPr>
          <w:rStyle w:val="TextoNormalNegritaCaracter"/>
        </w:rPr>
        <w:t>Artículo 147.2.</w:t>
      </w:r>
      <w:r w:rsidRPr="001D7FA9">
        <w:rPr>
          <w:rStyle w:val="TextoNormalCaracter"/>
        </w:rPr>
        <w:t>-</w:t>
      </w:r>
      <w:r>
        <w:t xml:space="preserve"> Sentencia </w:t>
      </w:r>
      <w:hyperlink w:anchor="SENTENCIA_2025_85" w:history="1">
        <w:r w:rsidRPr="001D7FA9">
          <w:rPr>
            <w:rStyle w:val="TextoNormalCaracter"/>
          </w:rPr>
          <w:t>85/2025</w:t>
        </w:r>
      </w:hyperlink>
      <w:r>
        <w:t>, f. 1.</w:t>
      </w:r>
    </w:p>
    <w:p w14:paraId="2365837A" w14:textId="1214F693" w:rsidR="001D7FA9" w:rsidRDefault="001D7FA9" w:rsidP="001D7FA9">
      <w:pPr>
        <w:pStyle w:val="SangriaFrancesaArticulo"/>
      </w:pPr>
      <w:r w:rsidRPr="001D7FA9">
        <w:rPr>
          <w:rStyle w:val="TextoNormalNegritaCaracter"/>
        </w:rPr>
        <w:t>Artículo 153.1.</w:t>
      </w:r>
      <w:r w:rsidRPr="001D7FA9">
        <w:rPr>
          <w:rStyle w:val="TextoNormalCaracter"/>
        </w:rPr>
        <w:t>-</w:t>
      </w:r>
      <w:r>
        <w:t xml:space="preserve"> Sentencia </w:t>
      </w:r>
      <w:hyperlink w:anchor="SENTENCIA_2025_41" w:history="1">
        <w:r w:rsidRPr="001D7FA9">
          <w:rPr>
            <w:rStyle w:val="TextoNormalCaracter"/>
          </w:rPr>
          <w:t>41/2025</w:t>
        </w:r>
      </w:hyperlink>
      <w:r>
        <w:t>, f. 1.</w:t>
      </w:r>
    </w:p>
    <w:p w14:paraId="5E45BCCE" w14:textId="19181EEA" w:rsidR="001D7FA9" w:rsidRDefault="001D7FA9" w:rsidP="001D7FA9">
      <w:pPr>
        <w:pStyle w:val="SangriaFrancesaArticulo"/>
      </w:pPr>
      <w:r w:rsidRPr="001D7FA9">
        <w:rPr>
          <w:rStyle w:val="TextoNormalNegritaCaracter"/>
        </w:rPr>
        <w:t>Artículo 173.1.</w:t>
      </w:r>
      <w:r w:rsidRPr="001D7FA9">
        <w:rPr>
          <w:rStyle w:val="TextoNormalCaracter"/>
        </w:rPr>
        <w:t>-</w:t>
      </w:r>
      <w:r>
        <w:t xml:space="preserve"> Sentencia </w:t>
      </w:r>
      <w:hyperlink w:anchor="SENTENCIA_2025_117" w:history="1">
        <w:r w:rsidRPr="001D7FA9">
          <w:rPr>
            <w:rStyle w:val="TextoNormalCaracter"/>
          </w:rPr>
          <w:t>117/2025</w:t>
        </w:r>
      </w:hyperlink>
      <w:r>
        <w:t>, ff. 1, 2, 6.</w:t>
      </w:r>
    </w:p>
    <w:p w14:paraId="154C9308" w14:textId="31C399D8" w:rsidR="001D7FA9" w:rsidRDefault="001D7FA9" w:rsidP="001D7FA9">
      <w:pPr>
        <w:pStyle w:val="SangriaFrancesaArticulo"/>
      </w:pPr>
      <w:r w:rsidRPr="001D7FA9">
        <w:rPr>
          <w:rStyle w:val="TextoNormalNegritaCaracter"/>
        </w:rPr>
        <w:t>Artículo 173.1</w:t>
      </w:r>
      <w:r>
        <w:t xml:space="preserve"> (redactado por la Ley Orgánica 5/2010, de 22 de junio)</w:t>
      </w:r>
      <w:r w:rsidRPr="001D7FA9">
        <w:rPr>
          <w:rStyle w:val="TextoNormalNegritaCaracter"/>
        </w:rPr>
        <w:t>.</w:t>
      </w:r>
      <w:r w:rsidRPr="001D7FA9">
        <w:rPr>
          <w:rStyle w:val="TextoNormalCaracter"/>
        </w:rPr>
        <w:t>-</w:t>
      </w:r>
      <w:r>
        <w:t xml:space="preserve"> Sentencia </w:t>
      </w:r>
      <w:hyperlink w:anchor="SENTENCIA_2025_28" w:history="1">
        <w:r w:rsidRPr="001D7FA9">
          <w:rPr>
            <w:rStyle w:val="TextoNormalCaracter"/>
          </w:rPr>
          <w:t>28/2025</w:t>
        </w:r>
      </w:hyperlink>
      <w:r>
        <w:t>, f. 3.</w:t>
      </w:r>
    </w:p>
    <w:p w14:paraId="64045014" w14:textId="68A68568" w:rsidR="001D7FA9" w:rsidRDefault="001D7FA9" w:rsidP="001D7FA9">
      <w:pPr>
        <w:pStyle w:val="SangriaFrancesaArticulo"/>
      </w:pPr>
      <w:r w:rsidRPr="001D7FA9">
        <w:rPr>
          <w:rStyle w:val="TextoNormalNegritaCaracter"/>
        </w:rPr>
        <w:t>Artículo 183.</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7E597BA9" w14:textId="52186F13" w:rsidR="001D7FA9" w:rsidRDefault="001D7FA9" w:rsidP="001D7FA9">
      <w:pPr>
        <w:pStyle w:val="SangriaFrancesaArticulo"/>
      </w:pPr>
      <w:r w:rsidRPr="001D7FA9">
        <w:rPr>
          <w:rStyle w:val="TextoNormalNegritaCaracter"/>
        </w:rPr>
        <w:t>Artículo 305.1.</w:t>
      </w:r>
      <w:r w:rsidRPr="001D7FA9">
        <w:rPr>
          <w:rStyle w:val="TextoNormalCaracter"/>
        </w:rPr>
        <w:t>-</w:t>
      </w:r>
      <w:r>
        <w:t xml:space="preserve"> Sentencia </w:t>
      </w:r>
      <w:hyperlink w:anchor="SENTENCIA_2025_31" w:history="1">
        <w:r w:rsidRPr="001D7FA9">
          <w:rPr>
            <w:rStyle w:val="TextoNormalCaracter"/>
          </w:rPr>
          <w:t>31/2025</w:t>
        </w:r>
      </w:hyperlink>
      <w:r>
        <w:t>, f. 5.</w:t>
      </w:r>
    </w:p>
    <w:p w14:paraId="61658C67" w14:textId="19AAB01C" w:rsidR="001D7FA9" w:rsidRDefault="001D7FA9" w:rsidP="001D7FA9">
      <w:pPr>
        <w:pStyle w:val="SangriaFrancesaArticulo"/>
      </w:pPr>
      <w:r w:rsidRPr="001D7FA9">
        <w:rPr>
          <w:rStyle w:val="TextoNormalNegritaCaracter"/>
        </w:rPr>
        <w:t>Artículo 305.2.</w:t>
      </w:r>
      <w:r w:rsidRPr="001D7FA9">
        <w:rPr>
          <w:rStyle w:val="TextoNormalCaracter"/>
        </w:rPr>
        <w:t>-</w:t>
      </w:r>
      <w:r>
        <w:t xml:space="preserve"> Sentencia </w:t>
      </w:r>
      <w:hyperlink w:anchor="SENTENCIA_2025_31" w:history="1">
        <w:r w:rsidRPr="001D7FA9">
          <w:rPr>
            <w:rStyle w:val="TextoNormalCaracter"/>
          </w:rPr>
          <w:t>31/2025</w:t>
        </w:r>
      </w:hyperlink>
      <w:r>
        <w:t>, f. 5.</w:t>
      </w:r>
    </w:p>
    <w:p w14:paraId="491FF04E" w14:textId="73272810" w:rsidR="001D7FA9" w:rsidRDefault="001D7FA9" w:rsidP="001D7FA9">
      <w:pPr>
        <w:pStyle w:val="SangriaFrancesaArticulo"/>
      </w:pPr>
      <w:r w:rsidRPr="001D7FA9">
        <w:rPr>
          <w:rStyle w:val="TextoNormalNegritaCaracter"/>
        </w:rPr>
        <w:t>Artículo 510.</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4E8D5E53" w14:textId="4B800A2D" w:rsidR="001D7FA9" w:rsidRDefault="001D7FA9" w:rsidP="001D7FA9">
      <w:pPr>
        <w:pStyle w:val="SangriaFrancesaArticulo"/>
      </w:pPr>
      <w:r w:rsidRPr="001D7FA9">
        <w:rPr>
          <w:rStyle w:val="TextoNormalNegritaCaracter"/>
        </w:rPr>
        <w:t>Artículos 573 a 580.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CAC5E93" w14:textId="3D1C5FE0" w:rsidR="001D7FA9" w:rsidRDefault="001D7FA9" w:rsidP="001D7FA9">
      <w:pPr>
        <w:pStyle w:val="SangriaFrancesaArticulo"/>
      </w:pPr>
      <w:r w:rsidRPr="001D7FA9">
        <w:rPr>
          <w:rStyle w:val="TextoNormalNegritaCaracter"/>
        </w:rPr>
        <w:t>Artículos 573 a 580 bis.</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205448D5" w14:textId="7CDAF6D1" w:rsidR="001D7FA9" w:rsidRDefault="001D7FA9" w:rsidP="001D7FA9">
      <w:pPr>
        <w:pStyle w:val="SangriaFrancesaArticulo"/>
      </w:pPr>
      <w:r w:rsidRPr="001D7FA9">
        <w:rPr>
          <w:rStyle w:val="TextoNormalNegritaCaracter"/>
        </w:rPr>
        <w:t>Artículos 578 a 580.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C40C614" w14:textId="377FD68B" w:rsidR="001D7FA9" w:rsidRDefault="001D7FA9" w:rsidP="001D7FA9">
      <w:pPr>
        <w:pStyle w:val="SangriaFrancesaArticulo"/>
      </w:pPr>
      <w:r w:rsidRPr="001D7FA9">
        <w:rPr>
          <w:rStyle w:val="TextoNormalNegritaCaracter"/>
        </w:rPr>
        <w:t>Artículo 605.</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3FAF6E92" w14:textId="0AE85F1B" w:rsidR="001D7FA9" w:rsidRDefault="001D7FA9" w:rsidP="001D7FA9">
      <w:pPr>
        <w:pStyle w:val="SangriaFrancesaArticulo"/>
      </w:pPr>
      <w:r w:rsidRPr="001D7FA9">
        <w:rPr>
          <w:rStyle w:val="TextoNormalNegritaCaracter"/>
        </w:rPr>
        <w:t>Artículo 606.</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2A391C1E" w14:textId="4E2E8E61" w:rsidR="001D7FA9" w:rsidRDefault="001D7FA9" w:rsidP="001D7FA9">
      <w:pPr>
        <w:pStyle w:val="SangriaFrancesaArticulo"/>
      </w:pPr>
      <w:r w:rsidRPr="001D7FA9">
        <w:rPr>
          <w:rStyle w:val="TextoNormalNegritaCaracter"/>
        </w:rPr>
        <w:t>Artículo 607.</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3C3E29E0" w14:textId="3263389B" w:rsidR="001D7FA9" w:rsidRDefault="001D7FA9" w:rsidP="001D7FA9">
      <w:pPr>
        <w:pStyle w:val="SangriaFrancesaArticulo"/>
      </w:pPr>
      <w:r w:rsidRPr="001D7FA9">
        <w:rPr>
          <w:rStyle w:val="TextoNormalNegritaCaracter"/>
        </w:rPr>
        <w:t>Artículo 607 bis.</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688F0F96" w14:textId="25346F45" w:rsidR="001D7FA9" w:rsidRDefault="001D7FA9" w:rsidP="001D7FA9">
      <w:pPr>
        <w:pStyle w:val="SangriaFrancesaArticulo"/>
      </w:pPr>
      <w:r w:rsidRPr="001D7FA9">
        <w:rPr>
          <w:rStyle w:val="TextoNormalNegritaCaracter"/>
        </w:rPr>
        <w:t>Artículo 608 a 614 bis.</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48F3DC0D" w14:textId="70D8612F" w:rsidR="001D7FA9" w:rsidRDefault="001D7FA9" w:rsidP="001D7FA9">
      <w:pPr>
        <w:pStyle w:val="SangriaFrancesaArticulo"/>
      </w:pPr>
      <w:r w:rsidRPr="001D7FA9">
        <w:rPr>
          <w:rStyle w:val="TextoNormalNegritaCaracter"/>
        </w:rPr>
        <w:t>Artículo 616 quater.</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6656FBC9" w14:textId="324C5014" w:rsidR="001D7FA9" w:rsidRDefault="001D7FA9" w:rsidP="001D7FA9">
      <w:pPr>
        <w:pStyle w:val="SangriaFrancesaArticulo"/>
      </w:pPr>
      <w:r w:rsidRPr="001D7FA9">
        <w:rPr>
          <w:rStyle w:val="TextoNormalNegritaCaracter"/>
        </w:rPr>
        <w:t>Artículo 616 ter.</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1F6C08BE" w14:textId="23CAB16C" w:rsidR="001D7FA9" w:rsidRDefault="001D7FA9" w:rsidP="001D7FA9">
      <w:pPr>
        <w:pStyle w:val="SangriaFrancesaArticulo"/>
      </w:pPr>
      <w:r w:rsidRPr="001D7FA9">
        <w:rPr>
          <w:rStyle w:val="TextoNormalNegritaCaracter"/>
        </w:rPr>
        <w:t>Disposición derogatoria única, apartado 1 a).</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4B0150A6" w14:textId="0C7FD71C" w:rsidR="001D7FA9" w:rsidRDefault="001D7FA9" w:rsidP="001D7FA9">
      <w:pPr>
        <w:pStyle w:val="SangriaFrancesaArticulo"/>
      </w:pPr>
    </w:p>
    <w:p w14:paraId="7F8164A0" w14:textId="77777777" w:rsidR="001D7FA9" w:rsidRDefault="001D7FA9" w:rsidP="001D7FA9">
      <w:pPr>
        <w:pStyle w:val="TextoNormalNegritaCursivandice"/>
        <w:keepNext/>
      </w:pPr>
      <w:r>
        <w:t>Ley Orgánica 12/1995, de 12 de diciembre, de represión del contrabando</w:t>
      </w:r>
    </w:p>
    <w:p w14:paraId="2D623E89" w14:textId="51B6347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69832FEE" w14:textId="513447C3" w:rsidR="001D7FA9" w:rsidRDefault="001D7FA9" w:rsidP="001D7FA9">
      <w:pPr>
        <w:pStyle w:val="SangriaFrancesaArticulo"/>
      </w:pPr>
      <w:r w:rsidRPr="001D7FA9">
        <w:rPr>
          <w:rStyle w:val="TextoNormalNegritaCaracter"/>
        </w:rPr>
        <w:t>Disposición adicional primera.</w:t>
      </w:r>
      <w:r w:rsidRPr="001D7FA9">
        <w:rPr>
          <w:rStyle w:val="TextoNormalCaracter"/>
        </w:rPr>
        <w:t>-</w:t>
      </w:r>
      <w:r>
        <w:t xml:space="preserve"> Auto </w:t>
      </w:r>
      <w:hyperlink w:anchor="AUTO_2025_8" w:history="1">
        <w:r w:rsidRPr="001D7FA9">
          <w:rPr>
            <w:rStyle w:val="TextoNormalCaracter"/>
          </w:rPr>
          <w:t>8/2025</w:t>
        </w:r>
      </w:hyperlink>
      <w:r>
        <w:t>, VP.</w:t>
      </w:r>
    </w:p>
    <w:p w14:paraId="1DA4C0E3" w14:textId="0F6E6768" w:rsidR="001D7FA9" w:rsidRDefault="001D7FA9" w:rsidP="001D7FA9">
      <w:pPr>
        <w:pStyle w:val="SangriaFrancesaArticulo"/>
      </w:pPr>
      <w:r w:rsidRPr="001D7FA9">
        <w:rPr>
          <w:rStyle w:val="TextoNormalNegritaCaracter"/>
        </w:rPr>
        <w:t>Disposición adicional cuarta, apartado 3.</w:t>
      </w:r>
      <w:r w:rsidRPr="001D7FA9">
        <w:rPr>
          <w:rStyle w:val="TextoNormalCaracter"/>
        </w:rPr>
        <w:t>-</w:t>
      </w:r>
      <w:r>
        <w:t xml:space="preserve"> Auto </w:t>
      </w:r>
      <w:hyperlink w:anchor="AUTO_2025_8" w:history="1">
        <w:r w:rsidRPr="001D7FA9">
          <w:rPr>
            <w:rStyle w:val="TextoNormalCaracter"/>
          </w:rPr>
          <w:t>8/2025</w:t>
        </w:r>
      </w:hyperlink>
      <w:r>
        <w:t>, VP.</w:t>
      </w:r>
    </w:p>
    <w:p w14:paraId="0F2A0480" w14:textId="59FB6D81" w:rsidR="001D7FA9" w:rsidRDefault="001D7FA9" w:rsidP="001D7FA9">
      <w:pPr>
        <w:pStyle w:val="SangriaFrancesaArticulo"/>
      </w:pPr>
    </w:p>
    <w:p w14:paraId="1C2548A5" w14:textId="77777777" w:rsidR="001D7FA9" w:rsidRDefault="001D7FA9" w:rsidP="001D7FA9">
      <w:pPr>
        <w:pStyle w:val="TextoNormalNegritaCursivandice"/>
        <w:keepNext/>
      </w:pPr>
      <w:r>
        <w:t>Ley Orgánica 1/1996, de 15 de enero, de protección jurídica del menor, de modificación parcial del Código civil y de la Ley de enjuiciamiento civil</w:t>
      </w:r>
    </w:p>
    <w:p w14:paraId="02C38134" w14:textId="785CC3D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3" w:history="1">
        <w:r w:rsidRPr="001D7FA9">
          <w:rPr>
            <w:rStyle w:val="TextoNormalCaracter"/>
          </w:rPr>
          <w:t>43/2025</w:t>
        </w:r>
      </w:hyperlink>
      <w:r>
        <w:t xml:space="preserve">, f. 3; </w:t>
      </w:r>
      <w:hyperlink w:anchor="SENTENCIA_2025_119" w:history="1">
        <w:r w:rsidRPr="001D7FA9">
          <w:rPr>
            <w:rStyle w:val="TextoNormalCaracter"/>
          </w:rPr>
          <w:t>119/2025</w:t>
        </w:r>
      </w:hyperlink>
      <w:r>
        <w:t>, f. 3.</w:t>
      </w:r>
    </w:p>
    <w:p w14:paraId="415E05B0" w14:textId="4FE6CAD2"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43" w:history="1">
        <w:r w:rsidRPr="001D7FA9">
          <w:rPr>
            <w:rStyle w:val="TextoNormalCaracter"/>
          </w:rPr>
          <w:t>43/2025</w:t>
        </w:r>
      </w:hyperlink>
      <w:r>
        <w:t>, f. 3.</w:t>
      </w:r>
    </w:p>
    <w:p w14:paraId="5BE7DC85" w14:textId="0736FBA5"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Sentencias </w:t>
      </w:r>
      <w:hyperlink w:anchor="SENTENCIA_2025_54" w:history="1">
        <w:r w:rsidRPr="001D7FA9">
          <w:rPr>
            <w:rStyle w:val="TextoNormalCaracter"/>
          </w:rPr>
          <w:t>54/2025</w:t>
        </w:r>
      </w:hyperlink>
      <w:r>
        <w:t xml:space="preserve">, f. 2; </w:t>
      </w:r>
      <w:hyperlink w:anchor="SENTENCIA_2025_119" w:history="1">
        <w:r w:rsidRPr="001D7FA9">
          <w:rPr>
            <w:rStyle w:val="TextoNormalCaracter"/>
          </w:rPr>
          <w:t>119/2025</w:t>
        </w:r>
      </w:hyperlink>
      <w:r>
        <w:t>, f. 3.</w:t>
      </w:r>
    </w:p>
    <w:p w14:paraId="2E53CA27" w14:textId="4D99E91A"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 </w:t>
      </w:r>
      <w:hyperlink w:anchor="SENTENCIA_2025_54" w:history="1">
        <w:r w:rsidRPr="001D7FA9">
          <w:rPr>
            <w:rStyle w:val="TextoNormalCaracter"/>
          </w:rPr>
          <w:t>54/2025</w:t>
        </w:r>
      </w:hyperlink>
      <w:r>
        <w:t>, f. 2.</w:t>
      </w:r>
    </w:p>
    <w:p w14:paraId="6F833906" w14:textId="315166AA" w:rsidR="001D7FA9" w:rsidRDefault="001D7FA9" w:rsidP="001D7FA9">
      <w:pPr>
        <w:pStyle w:val="SangriaFrancesaArticulo"/>
      </w:pPr>
      <w:r w:rsidRPr="001D7FA9">
        <w:rPr>
          <w:rStyle w:val="TextoNormalNegritaCaracter"/>
        </w:rPr>
        <w:t>Artículo 2.2 c).</w:t>
      </w:r>
      <w:r w:rsidRPr="001D7FA9">
        <w:rPr>
          <w:rStyle w:val="TextoNormalCaracter"/>
        </w:rPr>
        <w:t>-</w:t>
      </w:r>
      <w:r>
        <w:t xml:space="preserve"> Sentencia </w:t>
      </w:r>
      <w:hyperlink w:anchor="SENTENCIA_2025_54" w:history="1">
        <w:r w:rsidRPr="001D7FA9">
          <w:rPr>
            <w:rStyle w:val="TextoNormalCaracter"/>
          </w:rPr>
          <w:t>54/2025</w:t>
        </w:r>
      </w:hyperlink>
      <w:r>
        <w:t>, f. 2.</w:t>
      </w:r>
    </w:p>
    <w:p w14:paraId="682260F8" w14:textId="1FCE9D13" w:rsidR="001D7FA9" w:rsidRDefault="001D7FA9" w:rsidP="001D7FA9">
      <w:pPr>
        <w:pStyle w:val="SangriaFrancesaArticulo"/>
      </w:pPr>
      <w:r w:rsidRPr="001D7FA9">
        <w:rPr>
          <w:rStyle w:val="TextoNormalNegritaCaracter"/>
        </w:rPr>
        <w:t>Artículo 10.3.</w:t>
      </w:r>
      <w:r w:rsidRPr="001D7FA9">
        <w:rPr>
          <w:rStyle w:val="TextoNormalCaracter"/>
        </w:rPr>
        <w:t>-</w:t>
      </w:r>
      <w:r>
        <w:t xml:space="preserve"> Sentencia </w:t>
      </w:r>
      <w:hyperlink w:anchor="SENTENCIA_2025_43" w:history="1">
        <w:r w:rsidRPr="001D7FA9">
          <w:rPr>
            <w:rStyle w:val="TextoNormalCaracter"/>
          </w:rPr>
          <w:t>43/2025</w:t>
        </w:r>
      </w:hyperlink>
      <w:r>
        <w:t>, f. 3.</w:t>
      </w:r>
    </w:p>
    <w:p w14:paraId="693E446E" w14:textId="514BE002" w:rsidR="001D7FA9" w:rsidRDefault="001D7FA9" w:rsidP="001D7FA9">
      <w:pPr>
        <w:pStyle w:val="SangriaFrancesaArticulo"/>
      </w:pPr>
      <w:r w:rsidRPr="001D7FA9">
        <w:rPr>
          <w:rStyle w:val="TextoNormalNegritaCaracter"/>
        </w:rPr>
        <w:t>Artículo 10.4.</w:t>
      </w:r>
      <w:r w:rsidRPr="001D7FA9">
        <w:rPr>
          <w:rStyle w:val="TextoNormalCaracter"/>
        </w:rPr>
        <w:t>-</w:t>
      </w:r>
      <w:r>
        <w:t xml:space="preserve"> Sentencia </w:t>
      </w:r>
      <w:hyperlink w:anchor="SENTENCIA_2025_43" w:history="1">
        <w:r w:rsidRPr="001D7FA9">
          <w:rPr>
            <w:rStyle w:val="TextoNormalCaracter"/>
          </w:rPr>
          <w:t>43/2025</w:t>
        </w:r>
      </w:hyperlink>
      <w:r>
        <w:t>, f. 3.</w:t>
      </w:r>
    </w:p>
    <w:p w14:paraId="50729ECF" w14:textId="1FA1B859"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43" w:history="1">
        <w:r w:rsidRPr="001D7FA9">
          <w:rPr>
            <w:rStyle w:val="TextoNormalCaracter"/>
          </w:rPr>
          <w:t>43/2025</w:t>
        </w:r>
      </w:hyperlink>
      <w:r>
        <w:t>, f. 3.</w:t>
      </w:r>
    </w:p>
    <w:p w14:paraId="336D5154" w14:textId="267C6DDE" w:rsidR="001D7FA9" w:rsidRDefault="001D7FA9" w:rsidP="001D7FA9">
      <w:pPr>
        <w:pStyle w:val="SangriaFrancesaArticulo"/>
      </w:pPr>
      <w:r w:rsidRPr="001D7FA9">
        <w:rPr>
          <w:rStyle w:val="TextoNormalNegritaCaracter"/>
        </w:rPr>
        <w:t>Artículo 14 bis.</w:t>
      </w:r>
      <w:r w:rsidRPr="001D7FA9">
        <w:rPr>
          <w:rStyle w:val="TextoNormalCaracter"/>
        </w:rPr>
        <w:t>-</w:t>
      </w:r>
      <w:r>
        <w:t xml:space="preserve"> Sentencia </w:t>
      </w:r>
      <w:hyperlink w:anchor="SENTENCIA_2025_43" w:history="1">
        <w:r w:rsidRPr="001D7FA9">
          <w:rPr>
            <w:rStyle w:val="TextoNormalCaracter"/>
          </w:rPr>
          <w:t>43/2025</w:t>
        </w:r>
      </w:hyperlink>
      <w:r>
        <w:t>, f. 3.</w:t>
      </w:r>
    </w:p>
    <w:p w14:paraId="38D01E34" w14:textId="120F95C7" w:rsidR="001D7FA9" w:rsidRDefault="001D7FA9" w:rsidP="001D7FA9">
      <w:pPr>
        <w:pStyle w:val="SangriaFrancesaArticulo"/>
      </w:pPr>
      <w:r w:rsidRPr="001D7FA9">
        <w:rPr>
          <w:rStyle w:val="TextoNormalNegritaCaracter"/>
        </w:rPr>
        <w:t>Artículo 14.2.</w:t>
      </w:r>
      <w:r w:rsidRPr="001D7FA9">
        <w:rPr>
          <w:rStyle w:val="TextoNormalCaracter"/>
        </w:rPr>
        <w:t>-</w:t>
      </w:r>
      <w:r>
        <w:t xml:space="preserve"> Sentencia </w:t>
      </w:r>
      <w:hyperlink w:anchor="SENTENCIA_2025_43" w:history="1">
        <w:r w:rsidRPr="001D7FA9">
          <w:rPr>
            <w:rStyle w:val="TextoNormalCaracter"/>
          </w:rPr>
          <w:t>43/2025</w:t>
        </w:r>
      </w:hyperlink>
      <w:r>
        <w:t>, f. 3.</w:t>
      </w:r>
    </w:p>
    <w:p w14:paraId="35774205" w14:textId="3B2C9800" w:rsidR="001D7FA9" w:rsidRDefault="001D7FA9" w:rsidP="001D7FA9">
      <w:pPr>
        <w:pStyle w:val="SangriaFrancesaArticulo"/>
      </w:pPr>
    </w:p>
    <w:p w14:paraId="767DAF95" w14:textId="77777777" w:rsidR="001D7FA9" w:rsidRDefault="001D7FA9" w:rsidP="001D7FA9">
      <w:pPr>
        <w:pStyle w:val="TextoNormalNegritaCursivandice"/>
        <w:keepNext/>
      </w:pPr>
      <w:r>
        <w:t>Ley Orgánica 4/2000, de 11 de enero, sobre derechos y libertades de los extranjeros en España y su integración social</w:t>
      </w:r>
    </w:p>
    <w:p w14:paraId="3451B946" w14:textId="07EE03D8" w:rsidR="001D7FA9" w:rsidRDefault="001D7FA9" w:rsidP="001D7FA9">
      <w:pPr>
        <w:pStyle w:val="SangriaFrancesaArticulo"/>
      </w:pPr>
      <w:r w:rsidRPr="001D7FA9">
        <w:rPr>
          <w:rStyle w:val="TextoNormalNegritaCaracter"/>
        </w:rPr>
        <w:t>Artículo 2 bis.</w:t>
      </w:r>
      <w:r w:rsidRPr="001D7FA9">
        <w:rPr>
          <w:rStyle w:val="TextoNormalCaracter"/>
        </w:rPr>
        <w:t>-</w:t>
      </w:r>
      <w:r>
        <w:t xml:space="preserve"> Sentencia </w:t>
      </w:r>
      <w:hyperlink w:anchor="SENTENCIA_2025_43" w:history="1">
        <w:r w:rsidRPr="001D7FA9">
          <w:rPr>
            <w:rStyle w:val="TextoNormalCaracter"/>
          </w:rPr>
          <w:t>43/2025</w:t>
        </w:r>
      </w:hyperlink>
      <w:r>
        <w:t>, f. 3.</w:t>
      </w:r>
    </w:p>
    <w:p w14:paraId="59D2F165" w14:textId="715CB06D" w:rsidR="001D7FA9" w:rsidRDefault="001D7FA9" w:rsidP="001D7FA9">
      <w:pPr>
        <w:pStyle w:val="SangriaFrancesaArticulo"/>
      </w:pPr>
      <w:r w:rsidRPr="001D7FA9">
        <w:rPr>
          <w:rStyle w:val="TextoNormalNegritaCaracter"/>
        </w:rPr>
        <w:t>Artículo 35.</w:t>
      </w:r>
      <w:r w:rsidRPr="001D7FA9">
        <w:rPr>
          <w:rStyle w:val="TextoNormalCaracter"/>
        </w:rPr>
        <w:t>-</w:t>
      </w:r>
      <w:r>
        <w:t xml:space="preserve"> Sentencia </w:t>
      </w:r>
      <w:hyperlink w:anchor="SENTENCIA_2025_43" w:history="1">
        <w:r w:rsidRPr="001D7FA9">
          <w:rPr>
            <w:rStyle w:val="TextoNormalCaracter"/>
          </w:rPr>
          <w:t>43/2025</w:t>
        </w:r>
      </w:hyperlink>
      <w:r>
        <w:t>, f. 3.</w:t>
      </w:r>
    </w:p>
    <w:p w14:paraId="5805B66A" w14:textId="6E33F1DF" w:rsidR="001D7FA9" w:rsidRDefault="001D7FA9" w:rsidP="001D7FA9">
      <w:pPr>
        <w:pStyle w:val="SangriaFrancesaArticulo"/>
      </w:pPr>
    </w:p>
    <w:p w14:paraId="3A697189" w14:textId="77777777" w:rsidR="001D7FA9" w:rsidRDefault="001D7FA9" w:rsidP="001D7FA9">
      <w:pPr>
        <w:pStyle w:val="TextoNormalNegritaCursivandice"/>
        <w:keepNext/>
      </w:pPr>
      <w:r>
        <w:t>Ley Orgánica 5/2002, de 19 de junio, de cualificaciones y formación profesional</w:t>
      </w:r>
    </w:p>
    <w:p w14:paraId="01EE24E9" w14:textId="322F056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 3.</w:t>
      </w:r>
    </w:p>
    <w:p w14:paraId="585C7949" w14:textId="5BF6F3B1" w:rsidR="001D7FA9" w:rsidRDefault="001D7FA9" w:rsidP="001D7FA9">
      <w:pPr>
        <w:pStyle w:val="SangriaFrancesaArticulo"/>
      </w:pPr>
      <w:r w:rsidRPr="001D7FA9">
        <w:rPr>
          <w:rStyle w:val="TextoNormalNegritaCaracter"/>
        </w:rPr>
        <w:t>Artículo 11.6.</w:t>
      </w:r>
      <w:r w:rsidRPr="001D7FA9">
        <w:rPr>
          <w:rStyle w:val="TextoNormalCaracter"/>
        </w:rPr>
        <w:t>-</w:t>
      </w:r>
      <w:r>
        <w:t xml:space="preserve"> Sentencia </w:t>
      </w:r>
      <w:hyperlink w:anchor="SENTENCIA_2025_82" w:history="1">
        <w:r w:rsidRPr="001D7FA9">
          <w:rPr>
            <w:rStyle w:val="TextoNormalCaracter"/>
          </w:rPr>
          <w:t>82/2025</w:t>
        </w:r>
      </w:hyperlink>
      <w:r>
        <w:t>, f. 5.</w:t>
      </w:r>
    </w:p>
    <w:p w14:paraId="0CCA1227" w14:textId="3F270E4D" w:rsidR="001D7FA9" w:rsidRDefault="001D7FA9" w:rsidP="001D7FA9">
      <w:pPr>
        <w:pStyle w:val="SangriaFrancesaArticulo"/>
      </w:pPr>
    </w:p>
    <w:p w14:paraId="240694BC" w14:textId="77777777" w:rsidR="001D7FA9" w:rsidRDefault="001D7FA9" w:rsidP="001D7FA9">
      <w:pPr>
        <w:pStyle w:val="TextoNormalNegritaCursivandice"/>
        <w:keepNext/>
      </w:pPr>
      <w:r>
        <w:t>Ley Orgánica 6/2002, de 27 de junio, de partidos políticos</w:t>
      </w:r>
    </w:p>
    <w:p w14:paraId="6A1E42FB" w14:textId="2F13F9F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 w:history="1">
        <w:r w:rsidRPr="001D7FA9">
          <w:rPr>
            <w:rStyle w:val="TextoNormalCaracter"/>
          </w:rPr>
          <w:t>6/2025</w:t>
        </w:r>
      </w:hyperlink>
      <w:r>
        <w:t>, f. 4.</w:t>
      </w:r>
    </w:p>
    <w:p w14:paraId="1D74331C" w14:textId="0DD97305" w:rsidR="001D7FA9" w:rsidRDefault="001D7FA9" w:rsidP="001D7FA9">
      <w:pPr>
        <w:pStyle w:val="SangriaFrancesaArticulo"/>
      </w:pPr>
    </w:p>
    <w:p w14:paraId="69177CE3" w14:textId="77777777" w:rsidR="001D7FA9" w:rsidRDefault="001D7FA9" w:rsidP="001D7FA9">
      <w:pPr>
        <w:pStyle w:val="TextoNormalNegritaCursivandice"/>
        <w:keepNext/>
      </w:pPr>
      <w:r>
        <w:t>Ley Orgánica 11/2003, de 29 de septiembre. Medidas concretas en materia de seguridad ciudadana, violencia doméstica e integración social de los extranjeros</w:t>
      </w:r>
    </w:p>
    <w:p w14:paraId="4C60591D" w14:textId="325A341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51459F05" w14:textId="76F266D8" w:rsidR="001D7FA9" w:rsidRDefault="001D7FA9" w:rsidP="001D7FA9">
      <w:pPr>
        <w:pStyle w:val="SangriaFrancesaArticulo"/>
      </w:pPr>
    </w:p>
    <w:p w14:paraId="089494BC" w14:textId="77777777" w:rsidR="001D7FA9" w:rsidRDefault="001D7FA9" w:rsidP="001D7FA9">
      <w:pPr>
        <w:pStyle w:val="TextoNormalNegritaCursivandice"/>
        <w:keepNext/>
      </w:pPr>
      <w:r>
        <w:t>Ley Orgánica 13/2003, de 24 octubre, de reforma de la Ley de enjuiciamiento criminal en materia de prisión provisional</w:t>
      </w:r>
    </w:p>
    <w:p w14:paraId="469E4627" w14:textId="3E450C1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3" w:history="1">
        <w:r w:rsidRPr="001D7FA9">
          <w:rPr>
            <w:rStyle w:val="TextoNormalCaracter"/>
          </w:rPr>
          <w:t>3/2025</w:t>
        </w:r>
      </w:hyperlink>
      <w:r>
        <w:t>, ff. 3, 4.</w:t>
      </w:r>
    </w:p>
    <w:p w14:paraId="6393D9E7" w14:textId="3A1B5BD1" w:rsidR="001D7FA9" w:rsidRDefault="001D7FA9" w:rsidP="001D7FA9">
      <w:pPr>
        <w:pStyle w:val="SangriaFrancesaArticulo"/>
      </w:pPr>
    </w:p>
    <w:p w14:paraId="2497E141" w14:textId="77777777" w:rsidR="001D7FA9" w:rsidRDefault="001D7FA9" w:rsidP="001D7FA9">
      <w:pPr>
        <w:pStyle w:val="TextoNormalNegritaCursivandice"/>
        <w:keepNext/>
      </w:pPr>
      <w:r>
        <w:t>Ley Orgánica 15/2003, de 25 de noviembre, por la que se modifica la Ley Orgánica 10/1995, de 23 de noviembre, del Código penal</w:t>
      </w:r>
    </w:p>
    <w:p w14:paraId="76A1B301" w14:textId="46E4089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37" w:history="1">
        <w:r w:rsidRPr="001D7FA9">
          <w:rPr>
            <w:rStyle w:val="TextoNormalCaracter"/>
          </w:rPr>
          <w:t>37/2025</w:t>
        </w:r>
      </w:hyperlink>
      <w:r>
        <w:t>, f. 2.</w:t>
      </w:r>
    </w:p>
    <w:p w14:paraId="074AC121" w14:textId="59DFB7F9" w:rsidR="001D7FA9" w:rsidRDefault="001D7FA9" w:rsidP="001D7FA9">
      <w:pPr>
        <w:pStyle w:val="SangriaFrancesaArticulo"/>
      </w:pPr>
    </w:p>
    <w:p w14:paraId="5DB9F0DB" w14:textId="77777777" w:rsidR="001D7FA9" w:rsidRDefault="001D7FA9" w:rsidP="001D7FA9">
      <w:pPr>
        <w:pStyle w:val="TextoNormalNegritaCursivandice"/>
        <w:keepNext/>
      </w:pPr>
      <w:r>
        <w:t>Ley Orgánica 19/2003, de 23 de diciembre, de modificación de la Ley Orgánica 6/1985, de 1 de julio, del Poder Judicial</w:t>
      </w:r>
    </w:p>
    <w:p w14:paraId="5ECB4B4D" w14:textId="57D1AB1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12" w:history="1">
        <w:r w:rsidRPr="001D7FA9">
          <w:rPr>
            <w:rStyle w:val="TextoNormalCaracter"/>
          </w:rPr>
          <w:t>12/2025</w:t>
        </w:r>
      </w:hyperlink>
      <w:r>
        <w:t xml:space="preserve">, ff. 1, 2, 4, VP I, VP II; </w:t>
      </w:r>
      <w:hyperlink w:anchor="SENTENCIA_2025_84" w:history="1">
        <w:r w:rsidRPr="001D7FA9">
          <w:rPr>
            <w:rStyle w:val="TextoNormalCaracter"/>
          </w:rPr>
          <w:t>84/2025</w:t>
        </w:r>
      </w:hyperlink>
      <w:r>
        <w:t>, f. 3, VP I.</w:t>
      </w:r>
    </w:p>
    <w:p w14:paraId="56D6207C" w14:textId="6EFFB47D" w:rsidR="001D7FA9" w:rsidRDefault="001D7FA9" w:rsidP="001D7FA9">
      <w:pPr>
        <w:pStyle w:val="SangriaFrancesaArticulo"/>
      </w:pPr>
      <w:r w:rsidRPr="001D7FA9">
        <w:rPr>
          <w:rStyle w:val="TextoNormalNegritaCaracter"/>
        </w:rPr>
        <w:t>Artículo 552.</w:t>
      </w:r>
      <w:r w:rsidRPr="001D7FA9">
        <w:rPr>
          <w:rStyle w:val="TextoNormalCaracter"/>
        </w:rPr>
        <w:t>-</w:t>
      </w:r>
      <w:r>
        <w:t xml:space="preserve"> Sentencia </w:t>
      </w:r>
      <w:hyperlink w:anchor="SENTENCIA_2025_12" w:history="1">
        <w:r w:rsidRPr="001D7FA9">
          <w:rPr>
            <w:rStyle w:val="TextoNormalCaracter"/>
          </w:rPr>
          <w:t>12/2025</w:t>
        </w:r>
      </w:hyperlink>
      <w:r>
        <w:t>, VP I.</w:t>
      </w:r>
    </w:p>
    <w:p w14:paraId="6C8C8740" w14:textId="6AFA7CDE" w:rsidR="001D7FA9" w:rsidRDefault="001D7FA9" w:rsidP="001D7FA9">
      <w:pPr>
        <w:pStyle w:val="SangriaFrancesaArticulo"/>
      </w:pPr>
      <w:r w:rsidRPr="001D7FA9">
        <w:rPr>
          <w:rStyle w:val="TextoNormalNegritaCaracter"/>
        </w:rPr>
        <w:t>Artículo 555.1.</w:t>
      </w:r>
      <w:r w:rsidRPr="001D7FA9">
        <w:rPr>
          <w:rStyle w:val="TextoNormalCaracter"/>
        </w:rPr>
        <w:t>-</w:t>
      </w:r>
      <w:r>
        <w:t xml:space="preserve"> Sentencia </w:t>
      </w:r>
      <w:hyperlink w:anchor="SENTENCIA_2025_12" w:history="1">
        <w:r w:rsidRPr="001D7FA9">
          <w:rPr>
            <w:rStyle w:val="TextoNormalCaracter"/>
          </w:rPr>
          <w:t>12/2025</w:t>
        </w:r>
      </w:hyperlink>
      <w:r>
        <w:t>, f. 1, VP I.</w:t>
      </w:r>
    </w:p>
    <w:p w14:paraId="746CA887" w14:textId="1FC9889B" w:rsidR="001D7FA9" w:rsidRDefault="001D7FA9" w:rsidP="001D7FA9">
      <w:pPr>
        <w:pStyle w:val="SangriaFrancesaArticulo"/>
      </w:pPr>
      <w:r w:rsidRPr="001D7FA9">
        <w:rPr>
          <w:rStyle w:val="TextoNormalNegritaCaracter"/>
        </w:rPr>
        <w:t>Artículo 556.</w:t>
      </w:r>
      <w:r w:rsidRPr="001D7FA9">
        <w:rPr>
          <w:rStyle w:val="TextoNormalCaracter"/>
        </w:rPr>
        <w:t>-</w:t>
      </w:r>
      <w:r>
        <w:t xml:space="preserve"> Sentencia </w:t>
      </w:r>
      <w:hyperlink w:anchor="SENTENCIA_2025_12" w:history="1">
        <w:r w:rsidRPr="001D7FA9">
          <w:rPr>
            <w:rStyle w:val="TextoNormalCaracter"/>
          </w:rPr>
          <w:t>12/2025</w:t>
        </w:r>
      </w:hyperlink>
      <w:r>
        <w:t>, f. 1, VP I.</w:t>
      </w:r>
    </w:p>
    <w:p w14:paraId="493A4DB8" w14:textId="5CC45E90" w:rsidR="001D7FA9" w:rsidRDefault="001D7FA9" w:rsidP="001D7FA9">
      <w:pPr>
        <w:pStyle w:val="SangriaFrancesaArticulo"/>
      </w:pPr>
    </w:p>
    <w:p w14:paraId="2BA7ACA0" w14:textId="77777777" w:rsidR="001D7FA9" w:rsidRDefault="001D7FA9" w:rsidP="001D7FA9">
      <w:pPr>
        <w:pStyle w:val="TextoNormalNegritaCursivandice"/>
        <w:keepNext/>
      </w:pPr>
      <w:r>
        <w:t>Ley Orgánica 1/2004, de 28 de diciembre, de medidas de protección integral contra la violencia de género</w:t>
      </w:r>
    </w:p>
    <w:p w14:paraId="43EAB8CA" w14:textId="112EF893"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54" w:history="1">
        <w:r w:rsidRPr="001D7FA9">
          <w:rPr>
            <w:rStyle w:val="TextoNormalCaracter"/>
          </w:rPr>
          <w:t>54/2025</w:t>
        </w:r>
      </w:hyperlink>
      <w:r>
        <w:t>, f. 2.</w:t>
      </w:r>
    </w:p>
    <w:p w14:paraId="391FAD5A" w14:textId="65644F4D" w:rsidR="001D7FA9" w:rsidRDefault="001D7FA9" w:rsidP="001D7FA9">
      <w:pPr>
        <w:pStyle w:val="SangriaFrancesaArticulo"/>
      </w:pPr>
      <w:r w:rsidRPr="001D7FA9">
        <w:rPr>
          <w:rStyle w:val="TextoNormalNegritaCaracter"/>
        </w:rPr>
        <w:t>Artículo 20.</w:t>
      </w:r>
      <w:r w:rsidRPr="001D7FA9">
        <w:rPr>
          <w:rStyle w:val="TextoNormalCaracter"/>
        </w:rPr>
        <w:t>-</w:t>
      </w:r>
      <w:r>
        <w:t xml:space="preserve"> Sentencia </w:t>
      </w:r>
      <w:hyperlink w:anchor="SENTENCIA_2025_41" w:history="1">
        <w:r w:rsidRPr="001D7FA9">
          <w:rPr>
            <w:rStyle w:val="TextoNormalCaracter"/>
          </w:rPr>
          <w:t>41/2025</w:t>
        </w:r>
      </w:hyperlink>
      <w:r>
        <w:t>, VP.</w:t>
      </w:r>
    </w:p>
    <w:p w14:paraId="1750667A" w14:textId="5BD21E50"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 </w:t>
      </w:r>
      <w:hyperlink w:anchor="SENTENCIA_2025_54" w:history="1">
        <w:r w:rsidRPr="001D7FA9">
          <w:rPr>
            <w:rStyle w:val="TextoNormalCaracter"/>
          </w:rPr>
          <w:t>54/2025</w:t>
        </w:r>
      </w:hyperlink>
      <w:r>
        <w:t>, f. 2.</w:t>
      </w:r>
    </w:p>
    <w:p w14:paraId="19F3A500" w14:textId="244C8DF7" w:rsidR="001D7FA9" w:rsidRDefault="001D7FA9" w:rsidP="001D7FA9">
      <w:pPr>
        <w:pStyle w:val="SangriaFrancesaArticulo"/>
      </w:pPr>
      <w:r w:rsidRPr="001D7FA9">
        <w:rPr>
          <w:rStyle w:val="TextoNormalNegritaCaracter"/>
        </w:rPr>
        <w:t>Artículo 65.</w:t>
      </w:r>
      <w:r w:rsidRPr="001D7FA9">
        <w:rPr>
          <w:rStyle w:val="TextoNormalCaracter"/>
        </w:rPr>
        <w:t>-</w:t>
      </w:r>
      <w:r>
        <w:t xml:space="preserve"> Sentencia </w:t>
      </w:r>
      <w:hyperlink w:anchor="SENTENCIA_2025_54" w:history="1">
        <w:r w:rsidRPr="001D7FA9">
          <w:rPr>
            <w:rStyle w:val="TextoNormalCaracter"/>
          </w:rPr>
          <w:t>54/2025</w:t>
        </w:r>
      </w:hyperlink>
      <w:r>
        <w:t>, f. 2.</w:t>
      </w:r>
    </w:p>
    <w:p w14:paraId="40B09235" w14:textId="50E5C642" w:rsidR="001D7FA9" w:rsidRDefault="001D7FA9" w:rsidP="001D7FA9">
      <w:pPr>
        <w:pStyle w:val="SangriaFrancesaArticulo"/>
      </w:pPr>
    </w:p>
    <w:p w14:paraId="7ACA2973" w14:textId="77777777" w:rsidR="001D7FA9" w:rsidRDefault="001D7FA9" w:rsidP="001D7FA9">
      <w:pPr>
        <w:pStyle w:val="TextoNormalNegritaCursivandice"/>
        <w:keepNext/>
      </w:pPr>
      <w:r>
        <w:t>Ley Orgánica 2/2006, de 3 de mayo, de educación</w:t>
      </w:r>
    </w:p>
    <w:p w14:paraId="4088812D" w14:textId="6A9E99C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ff. 3 a 5.</w:t>
      </w:r>
    </w:p>
    <w:p w14:paraId="3F5A9657" w14:textId="1DE66431" w:rsidR="001D7FA9" w:rsidRDefault="001D7FA9" w:rsidP="001D7FA9">
      <w:pPr>
        <w:pStyle w:val="SangriaFrancesaArticulo"/>
      </w:pPr>
      <w:r w:rsidRPr="001D7FA9">
        <w:rPr>
          <w:rStyle w:val="TextoNormalNegritaCaracter"/>
        </w:rPr>
        <w:t>Artículo 6.</w:t>
      </w:r>
      <w:r w:rsidRPr="001D7FA9">
        <w:rPr>
          <w:rStyle w:val="TextoNormalCaracter"/>
        </w:rPr>
        <w:t>-</w:t>
      </w:r>
      <w:r>
        <w:t xml:space="preserve"> Sentencia </w:t>
      </w:r>
      <w:hyperlink w:anchor="SENTENCIA_2025_82" w:history="1">
        <w:r w:rsidRPr="001D7FA9">
          <w:rPr>
            <w:rStyle w:val="TextoNormalCaracter"/>
          </w:rPr>
          <w:t>82/2025</w:t>
        </w:r>
      </w:hyperlink>
      <w:r>
        <w:t>, f. 5.</w:t>
      </w:r>
    </w:p>
    <w:p w14:paraId="6B796AB6" w14:textId="37BB032C"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 </w:t>
      </w:r>
      <w:hyperlink w:anchor="SENTENCIA_2025_82" w:history="1">
        <w:r w:rsidRPr="001D7FA9">
          <w:rPr>
            <w:rStyle w:val="TextoNormalCaracter"/>
          </w:rPr>
          <w:t>82/2025</w:t>
        </w:r>
      </w:hyperlink>
      <w:r>
        <w:t>, f. 5.</w:t>
      </w:r>
    </w:p>
    <w:p w14:paraId="1E850B19" w14:textId="5D6F24E9" w:rsidR="001D7FA9" w:rsidRDefault="001D7FA9" w:rsidP="001D7FA9">
      <w:pPr>
        <w:pStyle w:val="SangriaFrancesaArticulo"/>
      </w:pPr>
      <w:r w:rsidRPr="001D7FA9">
        <w:rPr>
          <w:rStyle w:val="TextoNormalNegritaCaracter"/>
        </w:rPr>
        <w:t>Artículo 6.3.</w:t>
      </w:r>
      <w:r w:rsidRPr="001D7FA9">
        <w:rPr>
          <w:rStyle w:val="TextoNormalCaracter"/>
        </w:rPr>
        <w:t>-</w:t>
      </w:r>
      <w:r>
        <w:t xml:space="preserve"> Sentencia </w:t>
      </w:r>
      <w:hyperlink w:anchor="SENTENCIA_2025_82" w:history="1">
        <w:r w:rsidRPr="001D7FA9">
          <w:rPr>
            <w:rStyle w:val="TextoNormalCaracter"/>
          </w:rPr>
          <w:t>82/2025</w:t>
        </w:r>
      </w:hyperlink>
      <w:r>
        <w:t>, f. 5.</w:t>
      </w:r>
    </w:p>
    <w:p w14:paraId="662DBC2D" w14:textId="4594300F" w:rsidR="001D7FA9" w:rsidRDefault="001D7FA9" w:rsidP="001D7FA9">
      <w:pPr>
        <w:pStyle w:val="SangriaFrancesaArticulo"/>
      </w:pPr>
      <w:r w:rsidRPr="001D7FA9">
        <w:rPr>
          <w:rStyle w:val="TextoNormalNegritaCaracter"/>
        </w:rPr>
        <w:t>Artículo 6.4.</w:t>
      </w:r>
      <w:r w:rsidRPr="001D7FA9">
        <w:rPr>
          <w:rStyle w:val="TextoNormalCaracter"/>
        </w:rPr>
        <w:t>-</w:t>
      </w:r>
      <w:r>
        <w:t xml:space="preserve"> Sentencia </w:t>
      </w:r>
      <w:hyperlink w:anchor="SENTENCIA_2025_82" w:history="1">
        <w:r w:rsidRPr="001D7FA9">
          <w:rPr>
            <w:rStyle w:val="TextoNormalCaracter"/>
          </w:rPr>
          <w:t>82/2025</w:t>
        </w:r>
      </w:hyperlink>
      <w:r>
        <w:t>, f. 5.</w:t>
      </w:r>
    </w:p>
    <w:p w14:paraId="4C9637AB" w14:textId="2C65F2AB" w:rsidR="001D7FA9" w:rsidRDefault="001D7FA9" w:rsidP="001D7FA9">
      <w:pPr>
        <w:pStyle w:val="SangriaFrancesaArticulo"/>
      </w:pPr>
      <w:r w:rsidRPr="001D7FA9">
        <w:rPr>
          <w:rStyle w:val="TextoNormalNegritaCaracter"/>
        </w:rPr>
        <w:t>Artículo 6.5.</w:t>
      </w:r>
      <w:r w:rsidRPr="001D7FA9">
        <w:rPr>
          <w:rStyle w:val="TextoNormalCaracter"/>
        </w:rPr>
        <w:t>-</w:t>
      </w:r>
      <w:r>
        <w:t xml:space="preserve"> Sentencia </w:t>
      </w:r>
      <w:hyperlink w:anchor="SENTENCIA_2025_82" w:history="1">
        <w:r w:rsidRPr="001D7FA9">
          <w:rPr>
            <w:rStyle w:val="TextoNormalCaracter"/>
          </w:rPr>
          <w:t>82/2025</w:t>
        </w:r>
      </w:hyperlink>
      <w:r>
        <w:t>, f. 5.</w:t>
      </w:r>
    </w:p>
    <w:p w14:paraId="0A813067" w14:textId="33A1671D" w:rsidR="001D7FA9" w:rsidRDefault="001D7FA9" w:rsidP="001D7FA9">
      <w:pPr>
        <w:pStyle w:val="SangriaFrancesaArticulo"/>
      </w:pPr>
      <w:r w:rsidRPr="001D7FA9">
        <w:rPr>
          <w:rStyle w:val="TextoNormalNegritaCaracter"/>
        </w:rPr>
        <w:t>Artículo 39.4.</w:t>
      </w:r>
      <w:r w:rsidRPr="001D7FA9">
        <w:rPr>
          <w:rStyle w:val="TextoNormalCaracter"/>
        </w:rPr>
        <w:t>-</w:t>
      </w:r>
      <w:r>
        <w:t xml:space="preserve"> Sentencia </w:t>
      </w:r>
      <w:hyperlink w:anchor="SENTENCIA_2025_82" w:history="1">
        <w:r w:rsidRPr="001D7FA9">
          <w:rPr>
            <w:rStyle w:val="TextoNormalCaracter"/>
          </w:rPr>
          <w:t>82/2025</w:t>
        </w:r>
      </w:hyperlink>
      <w:r>
        <w:t>, f. 5.</w:t>
      </w:r>
    </w:p>
    <w:p w14:paraId="1BA8238C" w14:textId="7854EFEF" w:rsidR="001D7FA9" w:rsidRDefault="001D7FA9" w:rsidP="001D7FA9">
      <w:pPr>
        <w:pStyle w:val="SangriaFrancesaArticulo"/>
      </w:pPr>
      <w:r w:rsidRPr="001D7FA9">
        <w:rPr>
          <w:rStyle w:val="TextoNormalNegritaCaracter"/>
        </w:rPr>
        <w:t>Artículo 41.</w:t>
      </w:r>
      <w:r w:rsidRPr="001D7FA9">
        <w:rPr>
          <w:rStyle w:val="TextoNormalCaracter"/>
        </w:rPr>
        <w:t>-</w:t>
      </w:r>
      <w:r>
        <w:t xml:space="preserve"> Sentencia </w:t>
      </w:r>
      <w:hyperlink w:anchor="SENTENCIA_2025_82" w:history="1">
        <w:r w:rsidRPr="001D7FA9">
          <w:rPr>
            <w:rStyle w:val="TextoNormalCaracter"/>
          </w:rPr>
          <w:t>82/2025</w:t>
        </w:r>
      </w:hyperlink>
      <w:r>
        <w:t>, f. 5.</w:t>
      </w:r>
    </w:p>
    <w:p w14:paraId="6C732B02" w14:textId="1C47E646" w:rsidR="001D7FA9" w:rsidRDefault="001D7FA9" w:rsidP="001D7FA9">
      <w:pPr>
        <w:pStyle w:val="SangriaFrancesaArticulo"/>
      </w:pPr>
      <w:r w:rsidRPr="001D7FA9">
        <w:rPr>
          <w:rStyle w:val="TextoNormalNegritaCaracter"/>
        </w:rPr>
        <w:t>Artículo 42 bis.2.</w:t>
      </w:r>
      <w:r w:rsidRPr="001D7FA9">
        <w:rPr>
          <w:rStyle w:val="TextoNormalCaracter"/>
        </w:rPr>
        <w:t>-</w:t>
      </w:r>
      <w:r>
        <w:t xml:space="preserve"> Sentencia </w:t>
      </w:r>
      <w:hyperlink w:anchor="SENTENCIA_2025_82" w:history="1">
        <w:r w:rsidRPr="001D7FA9">
          <w:rPr>
            <w:rStyle w:val="TextoNormalCaracter"/>
          </w:rPr>
          <w:t>82/2025</w:t>
        </w:r>
      </w:hyperlink>
      <w:r>
        <w:t>, f. 5.</w:t>
      </w:r>
    </w:p>
    <w:p w14:paraId="33C259D2" w14:textId="08BF0B1E" w:rsidR="001D7FA9" w:rsidRDefault="001D7FA9" w:rsidP="001D7FA9">
      <w:pPr>
        <w:pStyle w:val="SangriaFrancesaArticulo"/>
      </w:pPr>
      <w:r w:rsidRPr="001D7FA9">
        <w:rPr>
          <w:rStyle w:val="TextoNormalNegritaCaracter"/>
        </w:rPr>
        <w:t>Artículo 85.2.</w:t>
      </w:r>
      <w:r w:rsidRPr="001D7FA9">
        <w:rPr>
          <w:rStyle w:val="TextoNormalCaracter"/>
        </w:rPr>
        <w:t>-</w:t>
      </w:r>
      <w:r>
        <w:t xml:space="preserve"> Sentencia </w:t>
      </w:r>
      <w:hyperlink w:anchor="SENTENCIA_2025_82" w:history="1">
        <w:r w:rsidRPr="001D7FA9">
          <w:rPr>
            <w:rStyle w:val="TextoNormalCaracter"/>
          </w:rPr>
          <w:t>82/2025</w:t>
        </w:r>
      </w:hyperlink>
      <w:r>
        <w:t>, f. 5.</w:t>
      </w:r>
    </w:p>
    <w:p w14:paraId="72385EFD" w14:textId="3EA3BC87" w:rsidR="001D7FA9" w:rsidRDefault="001D7FA9" w:rsidP="001D7FA9">
      <w:pPr>
        <w:pStyle w:val="SangriaFrancesaArticulo"/>
      </w:pPr>
      <w:r w:rsidRPr="001D7FA9">
        <w:rPr>
          <w:rStyle w:val="TextoNormalNegritaCaracter"/>
        </w:rPr>
        <w:t>Artículo 107.2.</w:t>
      </w:r>
      <w:r w:rsidRPr="001D7FA9">
        <w:rPr>
          <w:rStyle w:val="TextoNormalCaracter"/>
        </w:rPr>
        <w:t>-</w:t>
      </w:r>
      <w:r>
        <w:t xml:space="preserve"> Sentencia </w:t>
      </w:r>
      <w:hyperlink w:anchor="SENTENCIA_2025_82" w:history="1">
        <w:r w:rsidRPr="001D7FA9">
          <w:rPr>
            <w:rStyle w:val="TextoNormalCaracter"/>
          </w:rPr>
          <w:t>82/2025</w:t>
        </w:r>
      </w:hyperlink>
      <w:r>
        <w:t>, f. 5.</w:t>
      </w:r>
    </w:p>
    <w:p w14:paraId="59781606" w14:textId="210B4FDD" w:rsidR="001D7FA9" w:rsidRDefault="001D7FA9" w:rsidP="001D7FA9">
      <w:pPr>
        <w:pStyle w:val="SangriaFrancesaArticulo"/>
      </w:pPr>
      <w:r w:rsidRPr="001D7FA9">
        <w:rPr>
          <w:rStyle w:val="TextoNormalNegritaCaracter"/>
        </w:rPr>
        <w:t>Artículo 118.5.</w:t>
      </w:r>
      <w:r w:rsidRPr="001D7FA9">
        <w:rPr>
          <w:rStyle w:val="TextoNormalCaracter"/>
        </w:rPr>
        <w:t>-</w:t>
      </w:r>
      <w:r>
        <w:t xml:space="preserve"> Sentencia </w:t>
      </w:r>
      <w:hyperlink w:anchor="SENTENCIA_2025_82" w:history="1">
        <w:r w:rsidRPr="001D7FA9">
          <w:rPr>
            <w:rStyle w:val="TextoNormalCaracter"/>
          </w:rPr>
          <w:t>82/2025</w:t>
        </w:r>
      </w:hyperlink>
      <w:r>
        <w:t>, f. 5.</w:t>
      </w:r>
    </w:p>
    <w:p w14:paraId="1DB1EAAD" w14:textId="72A8F0DA" w:rsidR="001D7FA9" w:rsidRDefault="001D7FA9" w:rsidP="001D7FA9">
      <w:pPr>
        <w:pStyle w:val="SangriaFrancesaArticulo"/>
      </w:pPr>
      <w:r w:rsidRPr="001D7FA9">
        <w:rPr>
          <w:rStyle w:val="TextoNormalNegritaCaracter"/>
        </w:rPr>
        <w:t>Artículo 130.</w:t>
      </w:r>
      <w:r w:rsidRPr="001D7FA9">
        <w:rPr>
          <w:rStyle w:val="TextoNormalCaracter"/>
        </w:rPr>
        <w:t>-</w:t>
      </w:r>
      <w:r>
        <w:t xml:space="preserve"> Sentencia </w:t>
      </w:r>
      <w:hyperlink w:anchor="SENTENCIA_2025_82" w:history="1">
        <w:r w:rsidRPr="001D7FA9">
          <w:rPr>
            <w:rStyle w:val="TextoNormalCaracter"/>
          </w:rPr>
          <w:t>82/2025</w:t>
        </w:r>
      </w:hyperlink>
      <w:r>
        <w:t>, f. 5.</w:t>
      </w:r>
    </w:p>
    <w:p w14:paraId="4D00F5AA" w14:textId="64852521" w:rsidR="001D7FA9" w:rsidRDefault="001D7FA9" w:rsidP="001D7FA9">
      <w:pPr>
        <w:pStyle w:val="SangriaFrancesaArticulo"/>
      </w:pPr>
      <w:r w:rsidRPr="001D7FA9">
        <w:rPr>
          <w:rStyle w:val="TextoNormalNegritaCaracter"/>
        </w:rPr>
        <w:t>Artículo 148.1.</w:t>
      </w:r>
      <w:r w:rsidRPr="001D7FA9">
        <w:rPr>
          <w:rStyle w:val="TextoNormalCaracter"/>
        </w:rPr>
        <w:t>-</w:t>
      </w:r>
      <w:r>
        <w:t xml:space="preserve"> Sentencia </w:t>
      </w:r>
      <w:hyperlink w:anchor="SENTENCIA_2025_82" w:history="1">
        <w:r w:rsidRPr="001D7FA9">
          <w:rPr>
            <w:rStyle w:val="TextoNormalCaracter"/>
          </w:rPr>
          <w:t>82/2025</w:t>
        </w:r>
      </w:hyperlink>
      <w:r>
        <w:t>, f. 5.</w:t>
      </w:r>
    </w:p>
    <w:p w14:paraId="64584CF0" w14:textId="66222E12" w:rsidR="001D7FA9" w:rsidRDefault="001D7FA9" w:rsidP="001D7FA9">
      <w:pPr>
        <w:pStyle w:val="SangriaFrancesaArticulo"/>
      </w:pPr>
      <w:r w:rsidRPr="001D7FA9">
        <w:rPr>
          <w:rStyle w:val="TextoNormalNegritaCaracter"/>
        </w:rPr>
        <w:t>Disposición adicional cuarta, apartado 3.</w:t>
      </w:r>
      <w:r w:rsidRPr="001D7FA9">
        <w:rPr>
          <w:rStyle w:val="TextoNormalCaracter"/>
        </w:rPr>
        <w:t>-</w:t>
      </w:r>
      <w:r>
        <w:t xml:space="preserve"> Sentencia </w:t>
      </w:r>
      <w:hyperlink w:anchor="SENTENCIA_2025_82" w:history="1">
        <w:r w:rsidRPr="001D7FA9">
          <w:rPr>
            <w:rStyle w:val="TextoNormalCaracter"/>
          </w:rPr>
          <w:t>82/2025</w:t>
        </w:r>
      </w:hyperlink>
      <w:r>
        <w:t>, f. 5.</w:t>
      </w:r>
    </w:p>
    <w:p w14:paraId="69F39EE4" w14:textId="42236EA3" w:rsidR="001D7FA9" w:rsidRDefault="001D7FA9" w:rsidP="001D7FA9">
      <w:pPr>
        <w:pStyle w:val="SangriaFrancesaArticulo"/>
      </w:pPr>
    </w:p>
    <w:p w14:paraId="7EE74897" w14:textId="77777777" w:rsidR="001D7FA9" w:rsidRDefault="001D7FA9" w:rsidP="001D7FA9">
      <w:pPr>
        <w:pStyle w:val="TextoNormalNegritaCursivandice"/>
        <w:keepNext/>
      </w:pPr>
      <w:r>
        <w:t>Ley Orgánica 1/2008, de 30 de julio. Ratificación por España del Tratado de Lisboa de 13 de diciembre de 2007</w:t>
      </w:r>
    </w:p>
    <w:p w14:paraId="28052D52" w14:textId="465B3A1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59955993" w14:textId="519A503E" w:rsidR="001D7FA9" w:rsidRDefault="001D7FA9" w:rsidP="001D7FA9">
      <w:pPr>
        <w:pStyle w:val="SangriaFrancesaArticulo"/>
      </w:pPr>
    </w:p>
    <w:p w14:paraId="41B99421" w14:textId="77777777" w:rsidR="001D7FA9" w:rsidRDefault="001D7FA9" w:rsidP="001D7FA9">
      <w:pPr>
        <w:pStyle w:val="TextoNormalNegritaCursivandice"/>
        <w:keepNext/>
      </w:pPr>
      <w:r>
        <w:t>Ley Orgánica 2/2010, de 3 de marzo, de salud sexual y reproductiva y de la interrupción voluntaria del embarazo</w:t>
      </w:r>
    </w:p>
    <w:p w14:paraId="308D15A8" w14:textId="0A8ECBBA"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7249F0F2" w14:textId="3504B592" w:rsidR="001D7FA9" w:rsidRDefault="001D7FA9" w:rsidP="001D7FA9">
      <w:pPr>
        <w:pStyle w:val="SangriaIzquierdaArticulo"/>
      </w:pPr>
      <w:r>
        <w:t xml:space="preserve">Auto </w:t>
      </w:r>
      <w:hyperlink w:anchor="AUTO_2025_6" w:history="1">
        <w:r w:rsidRPr="001D7FA9">
          <w:rPr>
            <w:rStyle w:val="TextoNormalCaracter"/>
          </w:rPr>
          <w:t>6/2025</w:t>
        </w:r>
      </w:hyperlink>
      <w:r>
        <w:t>, f. 4, VP I.</w:t>
      </w:r>
    </w:p>
    <w:p w14:paraId="2872555B" w14:textId="4541398F" w:rsidR="001D7FA9" w:rsidRDefault="001D7FA9" w:rsidP="001D7FA9">
      <w:pPr>
        <w:pStyle w:val="SangriaIzquierdaArticulo"/>
      </w:pPr>
    </w:p>
    <w:p w14:paraId="175F8CC8" w14:textId="77777777" w:rsidR="001D7FA9" w:rsidRDefault="001D7FA9" w:rsidP="001D7FA9">
      <w:pPr>
        <w:pStyle w:val="TextoNormalNegritaCursivandice"/>
        <w:keepNext/>
      </w:pPr>
      <w:r>
        <w:t>Ley Orgánica 5/2010, de 22 de junio, por la que se modifica la Ley Orgánica 10/1995, de 23 de noviembre, del Código penal</w:t>
      </w:r>
    </w:p>
    <w:p w14:paraId="65BCCFC8" w14:textId="28B2E3C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62" w:history="1">
        <w:r w:rsidRPr="001D7FA9">
          <w:rPr>
            <w:rStyle w:val="TextoNormalCaracter"/>
          </w:rPr>
          <w:t>62/2025</w:t>
        </w:r>
      </w:hyperlink>
      <w:r>
        <w:t xml:space="preserve">, VP III; </w:t>
      </w:r>
      <w:hyperlink w:anchor="SENTENCIA_2025_111" w:history="1">
        <w:r w:rsidRPr="001D7FA9">
          <w:rPr>
            <w:rStyle w:val="TextoNormalCaracter"/>
          </w:rPr>
          <w:t>111/2025</w:t>
        </w:r>
      </w:hyperlink>
      <w:r>
        <w:t>, f. 3.</w:t>
      </w:r>
    </w:p>
    <w:p w14:paraId="24DB894F" w14:textId="7B5CC3EB" w:rsidR="001D7FA9" w:rsidRDefault="001D7FA9" w:rsidP="001D7FA9">
      <w:pPr>
        <w:pStyle w:val="SangriaFrancesaArticulo"/>
      </w:pPr>
      <w:r w:rsidRPr="001D7FA9">
        <w:rPr>
          <w:rStyle w:val="TextoNormalNegritaCaracter"/>
        </w:rPr>
        <w:t>Preámbulo, apartado 11.</w:t>
      </w:r>
      <w:r w:rsidRPr="001D7FA9">
        <w:rPr>
          <w:rStyle w:val="TextoNormalCaracter"/>
        </w:rPr>
        <w:t>-</w:t>
      </w:r>
      <w:r>
        <w:t xml:space="preserve"> Sentencia </w:t>
      </w:r>
      <w:hyperlink w:anchor="SENTENCIA_2025_28" w:history="1">
        <w:r w:rsidRPr="001D7FA9">
          <w:rPr>
            <w:rStyle w:val="TextoNormalCaracter"/>
          </w:rPr>
          <w:t>28/2025</w:t>
        </w:r>
      </w:hyperlink>
      <w:r>
        <w:t>, f. 3.</w:t>
      </w:r>
    </w:p>
    <w:p w14:paraId="18580A38" w14:textId="048CB3D4" w:rsidR="001D7FA9" w:rsidRDefault="001D7FA9" w:rsidP="001D7FA9">
      <w:pPr>
        <w:pStyle w:val="SangriaFrancesaArticulo"/>
      </w:pPr>
    </w:p>
    <w:p w14:paraId="1470FE49" w14:textId="77777777" w:rsidR="001D7FA9" w:rsidRDefault="001D7FA9" w:rsidP="001D7FA9">
      <w:pPr>
        <w:pStyle w:val="TextoNormalNegritaCursivandice"/>
        <w:keepNext/>
      </w:pPr>
      <w:r>
        <w:t>Ley Orgánica 2/2011, de 28 de enero, por la que se modifica la Ley Orgánica 5/1985, de 19 de junio, del régimen electoral general</w:t>
      </w:r>
    </w:p>
    <w:p w14:paraId="7A504738" w14:textId="367C902D" w:rsidR="001D7FA9" w:rsidRDefault="001D7FA9" w:rsidP="001D7FA9">
      <w:pPr>
        <w:pStyle w:val="SangriaFrancesaArticulo"/>
      </w:pPr>
      <w:r w:rsidRPr="001D7FA9">
        <w:rPr>
          <w:rStyle w:val="TextoNormalNegritaCaracter"/>
        </w:rPr>
        <w:t>Artículo único, apartado 57.</w:t>
      </w:r>
      <w:r w:rsidRPr="001D7FA9">
        <w:rPr>
          <w:rStyle w:val="TextoNormalCaracter"/>
        </w:rPr>
        <w:t>-</w:t>
      </w:r>
      <w:r>
        <w:t xml:space="preserve"> Sentencia </w:t>
      </w:r>
      <w:hyperlink w:anchor="SENTENCIA_2025_134" w:history="1">
        <w:r w:rsidRPr="001D7FA9">
          <w:rPr>
            <w:rStyle w:val="TextoNormalCaracter"/>
          </w:rPr>
          <w:t>134/2025</w:t>
        </w:r>
      </w:hyperlink>
      <w:r>
        <w:t>, f. 3.</w:t>
      </w:r>
    </w:p>
    <w:p w14:paraId="7032C20E" w14:textId="664B8593" w:rsidR="001D7FA9" w:rsidRDefault="001D7FA9" w:rsidP="001D7FA9">
      <w:pPr>
        <w:pStyle w:val="SangriaFrancesaArticulo"/>
      </w:pPr>
    </w:p>
    <w:p w14:paraId="05D76D49" w14:textId="77777777" w:rsidR="001D7FA9" w:rsidRDefault="001D7FA9" w:rsidP="001D7FA9">
      <w:pPr>
        <w:pStyle w:val="TextoNormalNegritaCursivandice"/>
        <w:keepNext/>
      </w:pPr>
      <w:r>
        <w:t>Ley Orgánica 4/2013, de 28 de junio, de reforma del Consejo General del Poder Judicial, por la que se modifica la Ley Orgánica 6/1985, de 1 de julio, del Poder Judicial</w:t>
      </w:r>
    </w:p>
    <w:p w14:paraId="55D22972" w14:textId="227EB5B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 w:history="1">
        <w:r w:rsidRPr="001D7FA9">
          <w:rPr>
            <w:rStyle w:val="TextoNormalCaracter"/>
          </w:rPr>
          <w:t>6/2025</w:t>
        </w:r>
      </w:hyperlink>
      <w:r>
        <w:t>, f. 5, VP I.</w:t>
      </w:r>
    </w:p>
    <w:p w14:paraId="69DDD134" w14:textId="7DAFA176" w:rsidR="001D7FA9" w:rsidRDefault="001D7FA9" w:rsidP="001D7FA9">
      <w:pPr>
        <w:pStyle w:val="SangriaFrancesaArticulo"/>
      </w:pPr>
    </w:p>
    <w:p w14:paraId="77F2FB7E" w14:textId="77777777" w:rsidR="001D7FA9" w:rsidRDefault="001D7FA9" w:rsidP="001D7FA9">
      <w:pPr>
        <w:pStyle w:val="TextoNormalNegritaCursivandice"/>
        <w:keepNext/>
      </w:pPr>
      <w:r>
        <w:t>Ley Orgánica 1/2015, de 30 de marzo, por la que se modifica la Ley Orgánica 10/1995, de 23 de noviembre, del Código penal</w:t>
      </w:r>
    </w:p>
    <w:p w14:paraId="2A69A1D2" w14:textId="6CF103A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37" w:history="1">
        <w:r w:rsidRPr="001D7FA9">
          <w:rPr>
            <w:rStyle w:val="TextoNormalCaracter"/>
          </w:rPr>
          <w:t>37/2025</w:t>
        </w:r>
      </w:hyperlink>
      <w:r>
        <w:t xml:space="preserve">, ff. 2, 3; </w:t>
      </w:r>
      <w:hyperlink w:anchor="SENTENCIA_2025_111" w:history="1">
        <w:r w:rsidRPr="001D7FA9">
          <w:rPr>
            <w:rStyle w:val="TextoNormalCaracter"/>
          </w:rPr>
          <w:t>111/2025</w:t>
        </w:r>
      </w:hyperlink>
      <w:r>
        <w:t>, f. 1.</w:t>
      </w:r>
    </w:p>
    <w:p w14:paraId="05043270" w14:textId="0D0F98E8" w:rsidR="001D7FA9" w:rsidRDefault="001D7FA9" w:rsidP="001D7FA9">
      <w:pPr>
        <w:pStyle w:val="SangriaFrancesaArticulo"/>
      </w:pPr>
    </w:p>
    <w:p w14:paraId="70556FCC" w14:textId="77777777" w:rsidR="001D7FA9" w:rsidRDefault="001D7FA9" w:rsidP="001D7FA9">
      <w:pPr>
        <w:pStyle w:val="TextoNormalNegritaCursivandice"/>
        <w:keepNext/>
      </w:pPr>
      <w:r>
        <w:t>Ley Orgánica 2/2015, de 30 de marzo, por la que se modifica la Ley Orgánica 10/1995, de 23 de noviembre, del Código penal, en materia de delitos de terrorismo</w:t>
      </w:r>
    </w:p>
    <w:p w14:paraId="75F7E098" w14:textId="277EFD6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0738B00E" w14:textId="24C6B419" w:rsidR="001D7FA9" w:rsidRDefault="001D7FA9" w:rsidP="001D7FA9">
      <w:pPr>
        <w:pStyle w:val="SangriaFrancesaArticulo"/>
      </w:pPr>
    </w:p>
    <w:p w14:paraId="02E1D87A" w14:textId="77777777" w:rsidR="001D7FA9" w:rsidRDefault="001D7FA9" w:rsidP="001D7FA9">
      <w:pPr>
        <w:pStyle w:val="TextoNormalNegritaCursivandice"/>
        <w:keepNext/>
      </w:pPr>
      <w:r>
        <w:t>Ley Orgánica 4/2015, de 30 de marzo, de protección de la seguridad ciudadana</w:t>
      </w:r>
    </w:p>
    <w:p w14:paraId="33DAC374" w14:textId="7518D0A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16.</w:t>
      </w:r>
    </w:p>
    <w:p w14:paraId="6DCC997A" w14:textId="0D3C69A4" w:rsidR="001D7FA9" w:rsidRDefault="001D7FA9" w:rsidP="001D7FA9">
      <w:pPr>
        <w:pStyle w:val="SangriaFrancesaArticulo"/>
      </w:pPr>
      <w:r w:rsidRPr="001D7FA9">
        <w:rPr>
          <w:rStyle w:val="TextoNormalNegritaCaracter"/>
        </w:rPr>
        <w:t>Artículo 35.</w:t>
      </w:r>
      <w:r w:rsidRPr="001D7FA9">
        <w:rPr>
          <w:rStyle w:val="TextoNormalCaracter"/>
        </w:rPr>
        <w:t>-</w:t>
      </w:r>
      <w:r>
        <w:t xml:space="preserve"> Sentencia </w:t>
      </w:r>
      <w:hyperlink w:anchor="SENTENCIA_2025_137" w:history="1">
        <w:r w:rsidRPr="001D7FA9">
          <w:rPr>
            <w:rStyle w:val="TextoNormalCaracter"/>
          </w:rPr>
          <w:t>137/2025</w:t>
        </w:r>
      </w:hyperlink>
      <w:r>
        <w:t>, f. 16.</w:t>
      </w:r>
    </w:p>
    <w:p w14:paraId="37F314CC" w14:textId="20BC5624" w:rsidR="001D7FA9" w:rsidRDefault="001D7FA9" w:rsidP="001D7FA9">
      <w:pPr>
        <w:pStyle w:val="SangriaFrancesaArticulo"/>
      </w:pPr>
      <w:r w:rsidRPr="001D7FA9">
        <w:rPr>
          <w:rStyle w:val="TextoNormalNegritaCaracter"/>
        </w:rPr>
        <w:t>Artículo 36.</w:t>
      </w:r>
      <w:r w:rsidRPr="001D7FA9">
        <w:rPr>
          <w:rStyle w:val="TextoNormalCaracter"/>
        </w:rPr>
        <w:t>-</w:t>
      </w:r>
      <w:r>
        <w:t xml:space="preserve"> Sentencia </w:t>
      </w:r>
      <w:hyperlink w:anchor="SENTENCIA_2025_137" w:history="1">
        <w:r w:rsidRPr="001D7FA9">
          <w:rPr>
            <w:rStyle w:val="TextoNormalCaracter"/>
          </w:rPr>
          <w:t>137/2025</w:t>
        </w:r>
      </w:hyperlink>
      <w:r>
        <w:t>, f. 16.</w:t>
      </w:r>
    </w:p>
    <w:p w14:paraId="47BB162E" w14:textId="246F55C2" w:rsidR="001D7FA9" w:rsidRDefault="001D7FA9" w:rsidP="001D7FA9">
      <w:pPr>
        <w:pStyle w:val="SangriaFrancesaArticulo"/>
      </w:pPr>
      <w:r w:rsidRPr="001D7FA9">
        <w:rPr>
          <w:rStyle w:val="TextoNormalNegritaCaracter"/>
        </w:rPr>
        <w:t>Artículo 37.</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54961F32" w14:textId="02C9792C" w:rsidR="001D7FA9" w:rsidRDefault="001D7FA9" w:rsidP="001D7FA9">
      <w:pPr>
        <w:pStyle w:val="SangriaFrancesaArticulo"/>
      </w:pPr>
      <w:r w:rsidRPr="001D7FA9">
        <w:rPr>
          <w:rStyle w:val="TextoNormalNegritaCaracter"/>
        </w:rPr>
        <w:t>Artículo 39.</w:t>
      </w:r>
      <w:r w:rsidRPr="001D7FA9">
        <w:rPr>
          <w:rStyle w:val="TextoNormalCaracter"/>
        </w:rPr>
        <w:t>-</w:t>
      </w:r>
      <w:r>
        <w:t xml:space="preserve"> Sentencia </w:t>
      </w:r>
      <w:hyperlink w:anchor="SENTENCIA_2025_137" w:history="1">
        <w:r w:rsidRPr="001D7FA9">
          <w:rPr>
            <w:rStyle w:val="TextoNormalCaracter"/>
          </w:rPr>
          <w:t>137/2025</w:t>
        </w:r>
      </w:hyperlink>
      <w:r>
        <w:t>, f. 16.</w:t>
      </w:r>
    </w:p>
    <w:p w14:paraId="65B54594" w14:textId="763B1B60" w:rsidR="001D7FA9" w:rsidRDefault="001D7FA9" w:rsidP="001D7FA9">
      <w:pPr>
        <w:pStyle w:val="SangriaFrancesaArticulo"/>
      </w:pPr>
    </w:p>
    <w:p w14:paraId="77291AC4" w14:textId="77777777" w:rsidR="001D7FA9" w:rsidRDefault="001D7FA9" w:rsidP="001D7FA9">
      <w:pPr>
        <w:pStyle w:val="TextoNormalNegritaCursivandice"/>
        <w:keepNext/>
      </w:pPr>
      <w:r>
        <w:t>Ley Orgánica 7/2015, de 21 de julio, por la que se modifica la Ley Orgánica 6/1985, de 1 de julio, del Poder Judicial</w:t>
      </w:r>
    </w:p>
    <w:p w14:paraId="7D26BD88" w14:textId="6D541FC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12" w:history="1">
        <w:r w:rsidRPr="001D7FA9">
          <w:rPr>
            <w:rStyle w:val="TextoNormalCaracter"/>
          </w:rPr>
          <w:t>12/2025</w:t>
        </w:r>
      </w:hyperlink>
      <w:r>
        <w:t xml:space="preserve">, ff. 2, 4; </w:t>
      </w:r>
      <w:hyperlink w:anchor="SENTENCIA_2025_84" w:history="1">
        <w:r w:rsidRPr="001D7FA9">
          <w:rPr>
            <w:rStyle w:val="TextoNormalCaracter"/>
          </w:rPr>
          <w:t>84/2025</w:t>
        </w:r>
      </w:hyperlink>
      <w:r>
        <w:t xml:space="preserve">, f. 3; </w:t>
      </w:r>
      <w:hyperlink w:anchor="SENTENCIA_2025_105" w:history="1">
        <w:r w:rsidRPr="001D7FA9">
          <w:rPr>
            <w:rStyle w:val="TextoNormalCaracter"/>
          </w:rPr>
          <w:t>105/2025</w:t>
        </w:r>
      </w:hyperlink>
      <w:r>
        <w:t xml:space="preserve">, VP II; </w:t>
      </w:r>
      <w:hyperlink w:anchor="SENTENCIA_2025_110" w:history="1">
        <w:r w:rsidRPr="001D7FA9">
          <w:rPr>
            <w:rStyle w:val="TextoNormalCaracter"/>
          </w:rPr>
          <w:t>110/2025</w:t>
        </w:r>
      </w:hyperlink>
      <w:r>
        <w:t>, VP I.</w:t>
      </w:r>
    </w:p>
    <w:p w14:paraId="0D973C9F" w14:textId="7DFD655E" w:rsidR="001D7FA9" w:rsidRDefault="001D7FA9" w:rsidP="001D7FA9">
      <w:pPr>
        <w:pStyle w:val="SangriaFrancesaArticulo"/>
      </w:pPr>
    </w:p>
    <w:p w14:paraId="320E3B2C" w14:textId="77777777" w:rsidR="001D7FA9" w:rsidRDefault="001D7FA9" w:rsidP="001D7FA9">
      <w:pPr>
        <w:pStyle w:val="TextoNormalNegritaCursivandice"/>
        <w:keepNext/>
      </w:pPr>
      <w:r>
        <w:t>Ley Orgánica 13/2015, de 5 de octubre, de modificación de la Ley de enjuiciamiento criminal para el fortalecimiento de las garantías procesales y la regulación de las medidas de investigación tecnológica</w:t>
      </w:r>
    </w:p>
    <w:p w14:paraId="6C382AC3" w14:textId="57A9AEC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8" w:history="1">
        <w:r w:rsidRPr="001D7FA9">
          <w:rPr>
            <w:rStyle w:val="TextoNormalCaracter"/>
          </w:rPr>
          <w:t>28/2025</w:t>
        </w:r>
      </w:hyperlink>
      <w:r>
        <w:t>, ff. 2, 4, VP.</w:t>
      </w:r>
    </w:p>
    <w:p w14:paraId="27E8EE63" w14:textId="2E0E0DE7" w:rsidR="001D7FA9" w:rsidRDefault="001D7FA9" w:rsidP="001D7FA9">
      <w:pPr>
        <w:pStyle w:val="SangriaFrancesaArticulo"/>
      </w:pPr>
    </w:p>
    <w:p w14:paraId="05F1DFC2" w14:textId="77777777" w:rsidR="001D7FA9" w:rsidRDefault="001D7FA9" w:rsidP="001D7FA9">
      <w:pPr>
        <w:pStyle w:val="TextoNormalNegritaCursivandice"/>
        <w:keepNext/>
      </w:pPr>
      <w:r>
        <w:t>Ley Orgánica 15/2015, de 16 de octubre, de reforma de la Ley Orgánica 2/1979, de 3 de octubre, del Tribunal Constitucional, para la ejecución de las resoluciones del Tribunal Constitucional como garantía del Estado de Derecho</w:t>
      </w:r>
    </w:p>
    <w:p w14:paraId="6E60548C" w14:textId="45EBDDB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6, VP III.</w:t>
      </w:r>
    </w:p>
    <w:p w14:paraId="4BB69856" w14:textId="36FEF741" w:rsidR="001D7FA9" w:rsidRDefault="001D7FA9" w:rsidP="001D7FA9">
      <w:pPr>
        <w:pStyle w:val="SangriaFrancesaArticulo"/>
      </w:pPr>
    </w:p>
    <w:p w14:paraId="09706CA3" w14:textId="77777777" w:rsidR="001D7FA9" w:rsidRDefault="001D7FA9" w:rsidP="001D7FA9">
      <w:pPr>
        <w:pStyle w:val="TextoNormalNegritaCursivandice"/>
        <w:keepNext/>
      </w:pPr>
      <w:r>
        <w:t>Ley Orgánica 4/2018, de 28 de diciembre, de reforma de la Ley Orgánica 6/1985, de 1 de julio, del Poder Judicial</w:t>
      </w:r>
    </w:p>
    <w:p w14:paraId="39B0D582" w14:textId="3F79D2B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 w:history="1">
        <w:r w:rsidRPr="001D7FA9">
          <w:rPr>
            <w:rStyle w:val="TextoNormalCaracter"/>
          </w:rPr>
          <w:t>6/2025</w:t>
        </w:r>
      </w:hyperlink>
      <w:r>
        <w:t>, f. 4.</w:t>
      </w:r>
    </w:p>
    <w:p w14:paraId="786A5833" w14:textId="22C6A4E6" w:rsidR="001D7FA9" w:rsidRDefault="001D7FA9" w:rsidP="001D7FA9">
      <w:pPr>
        <w:pStyle w:val="SangriaFrancesaArticulo"/>
      </w:pPr>
    </w:p>
    <w:p w14:paraId="3E257551" w14:textId="77777777" w:rsidR="001D7FA9" w:rsidRDefault="001D7FA9" w:rsidP="001D7FA9">
      <w:pPr>
        <w:pStyle w:val="TextoNormalNegritaCursivandice"/>
        <w:keepNext/>
      </w:pPr>
      <w:r>
        <w:t>Ley Orgánica 1/2019, de 20 de febrero, por la que se modifica la Ley Orgánica 10/1995, de 23 de noviembre, del Código Penal, para transponer Directivas de la Unión Europea en los ámbitos financiero y de terrorismo, y abordar cuestiones de índole internacional</w:t>
      </w:r>
    </w:p>
    <w:p w14:paraId="7796B750" w14:textId="00E769D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6335AE65" w14:textId="1D704869" w:rsidR="001D7FA9" w:rsidRDefault="001D7FA9" w:rsidP="001D7FA9">
      <w:pPr>
        <w:pStyle w:val="SangriaFrancesaArticulo"/>
      </w:pPr>
    </w:p>
    <w:p w14:paraId="1976B087" w14:textId="77777777" w:rsidR="001D7FA9" w:rsidRDefault="001D7FA9" w:rsidP="001D7FA9">
      <w:pPr>
        <w:pStyle w:val="TextoNormalNegritaCursivandice"/>
        <w:keepNext/>
      </w:pPr>
      <w:r>
        <w:t>Ley Orgánica 8/2021, de 4 de junio, de protección integral a la infancia y la adolescencia frente a la violencia</w:t>
      </w:r>
    </w:p>
    <w:p w14:paraId="16B10D87" w14:textId="0B2CB29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1" w:history="1">
        <w:r w:rsidRPr="001D7FA9">
          <w:rPr>
            <w:rStyle w:val="TextoNormalCaracter"/>
          </w:rPr>
          <w:t>41/2025</w:t>
        </w:r>
      </w:hyperlink>
      <w:r>
        <w:t>, VP.</w:t>
      </w:r>
    </w:p>
    <w:p w14:paraId="41E55D79" w14:textId="62500D94" w:rsidR="001D7FA9" w:rsidRDefault="001D7FA9" w:rsidP="001D7FA9">
      <w:pPr>
        <w:pStyle w:val="SangriaFrancesaArticulo"/>
      </w:pPr>
      <w:r w:rsidRPr="001D7FA9">
        <w:rPr>
          <w:rStyle w:val="TextoNormalNegritaCaracter"/>
        </w:rPr>
        <w:t>Preámbulo, apartado II.</w:t>
      </w:r>
      <w:r w:rsidRPr="001D7FA9">
        <w:rPr>
          <w:rStyle w:val="TextoNormalCaracter"/>
        </w:rPr>
        <w:t>-</w:t>
      </w:r>
      <w:r>
        <w:t xml:space="preserve"> Sentencia </w:t>
      </w:r>
      <w:hyperlink w:anchor="SENTENCIA_2025_41" w:history="1">
        <w:r w:rsidRPr="001D7FA9">
          <w:rPr>
            <w:rStyle w:val="TextoNormalCaracter"/>
          </w:rPr>
          <w:t>41/2025</w:t>
        </w:r>
      </w:hyperlink>
      <w:r>
        <w:t>, VP.</w:t>
      </w:r>
    </w:p>
    <w:p w14:paraId="3E664D9A" w14:textId="75BBD4F3" w:rsidR="001D7FA9" w:rsidRDefault="001D7FA9" w:rsidP="001D7FA9">
      <w:pPr>
        <w:pStyle w:val="SangriaFrancesaArticulo"/>
      </w:pPr>
    </w:p>
    <w:p w14:paraId="4ED85E06" w14:textId="77777777" w:rsidR="001D7FA9" w:rsidRDefault="001D7FA9" w:rsidP="001D7FA9">
      <w:pPr>
        <w:pStyle w:val="TextoNormalNegritaCursivandice"/>
        <w:keepNext/>
      </w:pPr>
      <w:r>
        <w:t>Ley Orgánica 3/2022, de 31 de marzo, de ordenación e integración de la formación profesional</w:t>
      </w:r>
    </w:p>
    <w:p w14:paraId="7CFBDD9A" w14:textId="599131D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ff. 2 a 5, 7.</w:t>
      </w:r>
    </w:p>
    <w:p w14:paraId="6A7E25D8" w14:textId="540F67D1"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82" w:history="1">
        <w:r w:rsidRPr="001D7FA9">
          <w:rPr>
            <w:rStyle w:val="TextoNormalCaracter"/>
          </w:rPr>
          <w:t>82/2025</w:t>
        </w:r>
      </w:hyperlink>
      <w:r>
        <w:t>, f. 3.</w:t>
      </w:r>
    </w:p>
    <w:p w14:paraId="6A26A4A4" w14:textId="47A1AA3F" w:rsidR="001D7FA9" w:rsidRDefault="001D7FA9" w:rsidP="001D7FA9">
      <w:pPr>
        <w:pStyle w:val="SangriaFrancesaArticulo"/>
      </w:pPr>
      <w:r w:rsidRPr="001D7FA9">
        <w:rPr>
          <w:rStyle w:val="TextoNormalNegritaCaracter"/>
        </w:rPr>
        <w:t>Artículo 2.12.</w:t>
      </w:r>
      <w:r w:rsidRPr="001D7FA9">
        <w:rPr>
          <w:rStyle w:val="TextoNormalCaracter"/>
        </w:rPr>
        <w:t>-</w:t>
      </w:r>
      <w:r>
        <w:t xml:space="preserve"> Sentencia </w:t>
      </w:r>
      <w:hyperlink w:anchor="SENTENCIA_2025_82" w:history="1">
        <w:r w:rsidRPr="001D7FA9">
          <w:rPr>
            <w:rStyle w:val="TextoNormalCaracter"/>
          </w:rPr>
          <w:t>82/2025</w:t>
        </w:r>
      </w:hyperlink>
      <w:r>
        <w:t>, f. 5.</w:t>
      </w:r>
    </w:p>
    <w:p w14:paraId="4BB01017" w14:textId="580FE91B" w:rsidR="001D7FA9" w:rsidRDefault="001D7FA9" w:rsidP="001D7FA9">
      <w:pPr>
        <w:pStyle w:val="SangriaFrancesaArticulo"/>
      </w:pPr>
      <w:r w:rsidRPr="001D7FA9">
        <w:rPr>
          <w:rStyle w:val="TextoNormalNegritaCaracter"/>
        </w:rPr>
        <w:t>Artículo 2.17.</w:t>
      </w:r>
      <w:r w:rsidRPr="001D7FA9">
        <w:rPr>
          <w:rStyle w:val="TextoNormalCaracter"/>
        </w:rPr>
        <w:t>-</w:t>
      </w:r>
      <w:r>
        <w:t xml:space="preserve"> Sentencia </w:t>
      </w:r>
      <w:hyperlink w:anchor="SENTENCIA_2025_82" w:history="1">
        <w:r w:rsidRPr="001D7FA9">
          <w:rPr>
            <w:rStyle w:val="TextoNormalCaracter"/>
          </w:rPr>
          <w:t>82/2025</w:t>
        </w:r>
      </w:hyperlink>
      <w:r>
        <w:t>, f. 5.</w:t>
      </w:r>
    </w:p>
    <w:p w14:paraId="0C28EF43" w14:textId="4857C73E" w:rsidR="001D7FA9" w:rsidRDefault="001D7FA9" w:rsidP="001D7FA9">
      <w:pPr>
        <w:pStyle w:val="SangriaFrancesaArticulo"/>
      </w:pPr>
      <w:r w:rsidRPr="001D7FA9">
        <w:rPr>
          <w:rStyle w:val="TextoNormalNegritaCaracter"/>
        </w:rPr>
        <w:t>Artículo 2.18.</w:t>
      </w:r>
      <w:r w:rsidRPr="001D7FA9">
        <w:rPr>
          <w:rStyle w:val="TextoNormalCaracter"/>
        </w:rPr>
        <w:t>-</w:t>
      </w:r>
      <w:r>
        <w:t xml:space="preserve"> Sentencia </w:t>
      </w:r>
      <w:hyperlink w:anchor="SENTENCIA_2025_82" w:history="1">
        <w:r w:rsidRPr="001D7FA9">
          <w:rPr>
            <w:rStyle w:val="TextoNormalCaracter"/>
          </w:rPr>
          <w:t>82/2025</w:t>
        </w:r>
      </w:hyperlink>
      <w:r>
        <w:t>, f. 5.</w:t>
      </w:r>
    </w:p>
    <w:p w14:paraId="630D4ABD" w14:textId="5B69E5F9" w:rsidR="001D7FA9" w:rsidRDefault="001D7FA9" w:rsidP="001D7FA9">
      <w:pPr>
        <w:pStyle w:val="SangriaFrancesaArticulo"/>
      </w:pPr>
      <w:r w:rsidRPr="001D7FA9">
        <w:rPr>
          <w:rStyle w:val="TextoNormalNegritaCaracter"/>
        </w:rPr>
        <w:t>Artículo 13.2.</w:t>
      </w:r>
      <w:r w:rsidRPr="001D7FA9">
        <w:rPr>
          <w:rStyle w:val="TextoNormalCaracter"/>
        </w:rPr>
        <w:t>-</w:t>
      </w:r>
      <w:r>
        <w:t xml:space="preserve"> Sentencia </w:t>
      </w:r>
      <w:hyperlink w:anchor="SENTENCIA_2025_82" w:history="1">
        <w:r w:rsidRPr="001D7FA9">
          <w:rPr>
            <w:rStyle w:val="TextoNormalCaracter"/>
          </w:rPr>
          <w:t>82/2025</w:t>
        </w:r>
      </w:hyperlink>
      <w:r>
        <w:t>, f. 5.</w:t>
      </w:r>
    </w:p>
    <w:p w14:paraId="4061896E" w14:textId="34014AAB" w:rsidR="001D7FA9" w:rsidRDefault="001D7FA9" w:rsidP="001D7FA9">
      <w:pPr>
        <w:pStyle w:val="SangriaFrancesaArticulo"/>
      </w:pPr>
      <w:r w:rsidRPr="001D7FA9">
        <w:rPr>
          <w:rStyle w:val="TextoNormalNegritaCaracter"/>
        </w:rPr>
        <w:t>Artículo 23.5.</w:t>
      </w:r>
      <w:r w:rsidRPr="001D7FA9">
        <w:rPr>
          <w:rStyle w:val="TextoNormalCaracter"/>
        </w:rPr>
        <w:t>-</w:t>
      </w:r>
      <w:r>
        <w:t xml:space="preserve"> Sentencia </w:t>
      </w:r>
      <w:hyperlink w:anchor="SENTENCIA_2025_82" w:history="1">
        <w:r w:rsidRPr="001D7FA9">
          <w:rPr>
            <w:rStyle w:val="TextoNormalCaracter"/>
          </w:rPr>
          <w:t>82/2025</w:t>
        </w:r>
      </w:hyperlink>
      <w:r>
        <w:t>, f. 5.</w:t>
      </w:r>
    </w:p>
    <w:p w14:paraId="0006342A" w14:textId="753D3FD7" w:rsidR="001D7FA9" w:rsidRDefault="001D7FA9" w:rsidP="001D7FA9">
      <w:pPr>
        <w:pStyle w:val="SangriaFrancesaArticulo"/>
      </w:pPr>
      <w:r w:rsidRPr="001D7FA9">
        <w:rPr>
          <w:rStyle w:val="TextoNormalNegritaCaracter"/>
        </w:rPr>
        <w:t>Artículo 39.1.</w:t>
      </w:r>
      <w:r w:rsidRPr="001D7FA9">
        <w:rPr>
          <w:rStyle w:val="TextoNormalCaracter"/>
        </w:rPr>
        <w:t>-</w:t>
      </w:r>
      <w:r>
        <w:t xml:space="preserve"> Sentencia </w:t>
      </w:r>
      <w:hyperlink w:anchor="SENTENCIA_2025_82" w:history="1">
        <w:r w:rsidRPr="001D7FA9">
          <w:rPr>
            <w:rStyle w:val="TextoNormalCaracter"/>
          </w:rPr>
          <w:t>82/2025</w:t>
        </w:r>
      </w:hyperlink>
      <w:r>
        <w:t>, ff. 3, 5.</w:t>
      </w:r>
    </w:p>
    <w:p w14:paraId="037EB216" w14:textId="40C5B4B7" w:rsidR="001D7FA9" w:rsidRDefault="001D7FA9" w:rsidP="001D7FA9">
      <w:pPr>
        <w:pStyle w:val="SangriaFrancesaArticulo"/>
      </w:pPr>
      <w:r w:rsidRPr="001D7FA9">
        <w:rPr>
          <w:rStyle w:val="TextoNormalNegritaCaracter"/>
        </w:rPr>
        <w:t>Artículo 40.</w:t>
      </w:r>
      <w:r w:rsidRPr="001D7FA9">
        <w:rPr>
          <w:rStyle w:val="TextoNormalCaracter"/>
        </w:rPr>
        <w:t>-</w:t>
      </w:r>
      <w:r>
        <w:t xml:space="preserve"> Sentencia </w:t>
      </w:r>
      <w:hyperlink w:anchor="SENTENCIA_2025_82" w:history="1">
        <w:r w:rsidRPr="001D7FA9">
          <w:rPr>
            <w:rStyle w:val="TextoNormalCaracter"/>
          </w:rPr>
          <w:t>82/2025</w:t>
        </w:r>
      </w:hyperlink>
      <w:r>
        <w:t>, f. 5.</w:t>
      </w:r>
    </w:p>
    <w:p w14:paraId="79A8F621" w14:textId="1D9139BA" w:rsidR="001D7FA9" w:rsidRDefault="001D7FA9" w:rsidP="001D7FA9">
      <w:pPr>
        <w:pStyle w:val="SangriaFrancesaArticulo"/>
      </w:pPr>
      <w:r w:rsidRPr="001D7FA9">
        <w:rPr>
          <w:rStyle w:val="TextoNormalNegritaCaracter"/>
        </w:rPr>
        <w:t>Artículo 40.1 c).</w:t>
      </w:r>
      <w:r w:rsidRPr="001D7FA9">
        <w:rPr>
          <w:rStyle w:val="TextoNormalCaracter"/>
        </w:rPr>
        <w:t>-</w:t>
      </w:r>
      <w:r>
        <w:t xml:space="preserve"> Sentencia </w:t>
      </w:r>
      <w:hyperlink w:anchor="SENTENCIA_2025_82" w:history="1">
        <w:r w:rsidRPr="001D7FA9">
          <w:rPr>
            <w:rStyle w:val="TextoNormalCaracter"/>
          </w:rPr>
          <w:t>82/2025</w:t>
        </w:r>
      </w:hyperlink>
      <w:r>
        <w:t>, f. 5.</w:t>
      </w:r>
    </w:p>
    <w:p w14:paraId="7F439B7C" w14:textId="0B2D6542" w:rsidR="001D7FA9" w:rsidRDefault="001D7FA9" w:rsidP="001D7FA9">
      <w:pPr>
        <w:pStyle w:val="SangriaFrancesaArticulo"/>
      </w:pPr>
      <w:r w:rsidRPr="001D7FA9">
        <w:rPr>
          <w:rStyle w:val="TextoNormalNegritaCaracter"/>
        </w:rPr>
        <w:t>Artículo 45.2 b).</w:t>
      </w:r>
      <w:r w:rsidRPr="001D7FA9">
        <w:rPr>
          <w:rStyle w:val="TextoNormalCaracter"/>
        </w:rPr>
        <w:t>-</w:t>
      </w:r>
      <w:r>
        <w:t xml:space="preserve"> Sentencia </w:t>
      </w:r>
      <w:hyperlink w:anchor="SENTENCIA_2025_82" w:history="1">
        <w:r w:rsidRPr="001D7FA9">
          <w:rPr>
            <w:rStyle w:val="TextoNormalCaracter"/>
          </w:rPr>
          <w:t>82/2025</w:t>
        </w:r>
      </w:hyperlink>
      <w:r>
        <w:t>, f. 5.</w:t>
      </w:r>
    </w:p>
    <w:p w14:paraId="4C3F45F1" w14:textId="3605F947" w:rsidR="001D7FA9" w:rsidRDefault="001D7FA9" w:rsidP="001D7FA9">
      <w:pPr>
        <w:pStyle w:val="SangriaFrancesaArticulo"/>
      </w:pPr>
      <w:r w:rsidRPr="001D7FA9">
        <w:rPr>
          <w:rStyle w:val="TextoNormalNegritaCaracter"/>
        </w:rPr>
        <w:t>Artículo 45.3.</w:t>
      </w:r>
      <w:r w:rsidRPr="001D7FA9">
        <w:rPr>
          <w:rStyle w:val="TextoNormalCaracter"/>
        </w:rPr>
        <w:t>-</w:t>
      </w:r>
      <w:r>
        <w:t xml:space="preserve"> Sentencia </w:t>
      </w:r>
      <w:hyperlink w:anchor="SENTENCIA_2025_82" w:history="1">
        <w:r w:rsidRPr="001D7FA9">
          <w:rPr>
            <w:rStyle w:val="TextoNormalCaracter"/>
          </w:rPr>
          <w:t>82/2025</w:t>
        </w:r>
      </w:hyperlink>
      <w:r>
        <w:t>, f. 5.</w:t>
      </w:r>
    </w:p>
    <w:p w14:paraId="414B760E" w14:textId="28572544" w:rsidR="001D7FA9" w:rsidRDefault="001D7FA9" w:rsidP="001D7FA9">
      <w:pPr>
        <w:pStyle w:val="SangriaFrancesaArticulo"/>
      </w:pPr>
      <w:r w:rsidRPr="001D7FA9">
        <w:rPr>
          <w:rStyle w:val="TextoNormalNegritaCaracter"/>
        </w:rPr>
        <w:t>Artículo 48.</w:t>
      </w:r>
      <w:r w:rsidRPr="001D7FA9">
        <w:rPr>
          <w:rStyle w:val="TextoNormalCaracter"/>
        </w:rPr>
        <w:t>-</w:t>
      </w:r>
      <w:r>
        <w:t xml:space="preserve"> Sentencia </w:t>
      </w:r>
      <w:hyperlink w:anchor="SENTENCIA_2025_82" w:history="1">
        <w:r w:rsidRPr="001D7FA9">
          <w:rPr>
            <w:rStyle w:val="TextoNormalCaracter"/>
          </w:rPr>
          <w:t>82/2025</w:t>
        </w:r>
      </w:hyperlink>
      <w:r>
        <w:t>, f. 7.</w:t>
      </w:r>
    </w:p>
    <w:p w14:paraId="078CD3FE" w14:textId="22CA12E3" w:rsidR="001D7FA9" w:rsidRDefault="001D7FA9" w:rsidP="001D7FA9">
      <w:pPr>
        <w:pStyle w:val="SangriaFrancesaArticulo"/>
      </w:pPr>
      <w:r w:rsidRPr="001D7FA9">
        <w:rPr>
          <w:rStyle w:val="TextoNormalNegritaCaracter"/>
        </w:rPr>
        <w:t>Artículo 49.</w:t>
      </w:r>
      <w:r w:rsidRPr="001D7FA9">
        <w:rPr>
          <w:rStyle w:val="TextoNormalCaracter"/>
        </w:rPr>
        <w:t>-</w:t>
      </w:r>
      <w:r>
        <w:t xml:space="preserve"> Sentencia </w:t>
      </w:r>
      <w:hyperlink w:anchor="SENTENCIA_2025_82" w:history="1">
        <w:r w:rsidRPr="001D7FA9">
          <w:rPr>
            <w:rStyle w:val="TextoNormalCaracter"/>
          </w:rPr>
          <w:t>82/2025</w:t>
        </w:r>
      </w:hyperlink>
      <w:r>
        <w:t>, f. 7.</w:t>
      </w:r>
    </w:p>
    <w:p w14:paraId="7C8CD528" w14:textId="4C972BEB" w:rsidR="001D7FA9" w:rsidRDefault="001D7FA9" w:rsidP="001D7FA9">
      <w:pPr>
        <w:pStyle w:val="SangriaFrancesaArticulo"/>
      </w:pPr>
      <w:r w:rsidRPr="001D7FA9">
        <w:rPr>
          <w:rStyle w:val="TextoNormalNegritaCaracter"/>
        </w:rPr>
        <w:t>Artículo 51.</w:t>
      </w:r>
      <w:r w:rsidRPr="001D7FA9">
        <w:rPr>
          <w:rStyle w:val="TextoNormalCaracter"/>
        </w:rPr>
        <w:t>-</w:t>
      </w:r>
      <w:r>
        <w:t xml:space="preserve"> Sentencia </w:t>
      </w:r>
      <w:hyperlink w:anchor="SENTENCIA_2025_82" w:history="1">
        <w:r w:rsidRPr="001D7FA9">
          <w:rPr>
            <w:rStyle w:val="TextoNormalCaracter"/>
          </w:rPr>
          <w:t>82/2025</w:t>
        </w:r>
      </w:hyperlink>
      <w:r>
        <w:t>, f. 5.</w:t>
      </w:r>
    </w:p>
    <w:p w14:paraId="4F979BEB" w14:textId="4122588E" w:rsidR="001D7FA9" w:rsidRDefault="001D7FA9" w:rsidP="001D7FA9">
      <w:pPr>
        <w:pStyle w:val="SangriaFrancesaArticulo"/>
      </w:pPr>
      <w:r w:rsidRPr="001D7FA9">
        <w:rPr>
          <w:rStyle w:val="TextoNormalNegritaCaracter"/>
        </w:rPr>
        <w:t>Artículo 51 y ss.</w:t>
      </w:r>
      <w:r w:rsidRPr="001D7FA9">
        <w:rPr>
          <w:rStyle w:val="TextoNormalCaracter"/>
        </w:rPr>
        <w:t>-</w:t>
      </w:r>
      <w:r>
        <w:t xml:space="preserve"> Sentencia </w:t>
      </w:r>
      <w:hyperlink w:anchor="SENTENCIA_2025_82" w:history="1">
        <w:r w:rsidRPr="001D7FA9">
          <w:rPr>
            <w:rStyle w:val="TextoNormalCaracter"/>
          </w:rPr>
          <w:t>82/2025</w:t>
        </w:r>
      </w:hyperlink>
      <w:r>
        <w:t>, f. 3.</w:t>
      </w:r>
    </w:p>
    <w:p w14:paraId="21E16942" w14:textId="5101C504" w:rsidR="001D7FA9" w:rsidRDefault="001D7FA9" w:rsidP="001D7FA9">
      <w:pPr>
        <w:pStyle w:val="SangriaFrancesaArticulo"/>
      </w:pPr>
      <w:r w:rsidRPr="001D7FA9">
        <w:rPr>
          <w:rStyle w:val="TextoNormalNegritaCaracter"/>
        </w:rPr>
        <w:t>Artículo 52.2.</w:t>
      </w:r>
      <w:r w:rsidRPr="001D7FA9">
        <w:rPr>
          <w:rStyle w:val="TextoNormalCaracter"/>
        </w:rPr>
        <w:t>-</w:t>
      </w:r>
      <w:r>
        <w:t xml:space="preserve"> Sentencia </w:t>
      </w:r>
      <w:hyperlink w:anchor="SENTENCIA_2025_82" w:history="1">
        <w:r w:rsidRPr="001D7FA9">
          <w:rPr>
            <w:rStyle w:val="TextoNormalCaracter"/>
          </w:rPr>
          <w:t>82/2025</w:t>
        </w:r>
      </w:hyperlink>
      <w:r>
        <w:t>, f. 5.</w:t>
      </w:r>
    </w:p>
    <w:p w14:paraId="6B823131" w14:textId="70B21C14" w:rsidR="001D7FA9" w:rsidRDefault="001D7FA9" w:rsidP="001D7FA9">
      <w:pPr>
        <w:pStyle w:val="SangriaFrancesaArticulo"/>
      </w:pPr>
      <w:r w:rsidRPr="001D7FA9">
        <w:rPr>
          <w:rStyle w:val="TextoNormalNegritaCaracter"/>
        </w:rPr>
        <w:t>Artículo 55.1.</w:t>
      </w:r>
      <w:r w:rsidRPr="001D7FA9">
        <w:rPr>
          <w:rStyle w:val="TextoNormalCaracter"/>
        </w:rPr>
        <w:t>-</w:t>
      </w:r>
      <w:r>
        <w:t xml:space="preserve"> Sentencia </w:t>
      </w:r>
      <w:hyperlink w:anchor="SENTENCIA_2025_82" w:history="1">
        <w:r w:rsidRPr="001D7FA9">
          <w:rPr>
            <w:rStyle w:val="TextoNormalCaracter"/>
          </w:rPr>
          <w:t>82/2025</w:t>
        </w:r>
      </w:hyperlink>
      <w:r>
        <w:t>, f. 5.</w:t>
      </w:r>
    </w:p>
    <w:p w14:paraId="0691488B" w14:textId="58085DE9" w:rsidR="001D7FA9" w:rsidRDefault="001D7FA9" w:rsidP="001D7FA9">
      <w:pPr>
        <w:pStyle w:val="SangriaFrancesaArticulo"/>
      </w:pPr>
      <w:r w:rsidRPr="001D7FA9">
        <w:rPr>
          <w:rStyle w:val="TextoNormalNegritaCaracter"/>
        </w:rPr>
        <w:t>Artículo 55.2.</w:t>
      </w:r>
      <w:r w:rsidRPr="001D7FA9">
        <w:rPr>
          <w:rStyle w:val="TextoNormalCaracter"/>
        </w:rPr>
        <w:t>-</w:t>
      </w:r>
      <w:r>
        <w:t xml:space="preserve"> Sentencia </w:t>
      </w:r>
      <w:hyperlink w:anchor="SENTENCIA_2025_82" w:history="1">
        <w:r w:rsidRPr="001D7FA9">
          <w:rPr>
            <w:rStyle w:val="TextoNormalCaracter"/>
          </w:rPr>
          <w:t>82/2025</w:t>
        </w:r>
      </w:hyperlink>
      <w:r>
        <w:t>, f. 5.</w:t>
      </w:r>
    </w:p>
    <w:p w14:paraId="25B0AC05" w14:textId="4514B5EF" w:rsidR="001D7FA9" w:rsidRDefault="001D7FA9" w:rsidP="001D7FA9">
      <w:pPr>
        <w:pStyle w:val="SangriaFrancesaArticulo"/>
      </w:pPr>
      <w:r w:rsidRPr="001D7FA9">
        <w:rPr>
          <w:rStyle w:val="TextoNormalNegritaCaracter"/>
        </w:rPr>
        <w:t>Artículo 55.5.</w:t>
      </w:r>
      <w:r w:rsidRPr="001D7FA9">
        <w:rPr>
          <w:rStyle w:val="TextoNormalCaracter"/>
        </w:rPr>
        <w:t>-</w:t>
      </w:r>
      <w:r>
        <w:t xml:space="preserve"> Sentencia </w:t>
      </w:r>
      <w:hyperlink w:anchor="SENTENCIA_2025_82" w:history="1">
        <w:r w:rsidRPr="001D7FA9">
          <w:rPr>
            <w:rStyle w:val="TextoNormalCaracter"/>
          </w:rPr>
          <w:t>82/2025</w:t>
        </w:r>
      </w:hyperlink>
      <w:r>
        <w:t>, f. 5.</w:t>
      </w:r>
    </w:p>
    <w:p w14:paraId="7CBC87ED" w14:textId="71F9D843" w:rsidR="001D7FA9" w:rsidRDefault="001D7FA9" w:rsidP="001D7FA9">
      <w:pPr>
        <w:pStyle w:val="SangriaFrancesaArticulo"/>
      </w:pPr>
      <w:r w:rsidRPr="001D7FA9">
        <w:rPr>
          <w:rStyle w:val="TextoNormalNegritaCaracter"/>
        </w:rPr>
        <w:t>Artículos 55 a 58.</w:t>
      </w:r>
      <w:r w:rsidRPr="001D7FA9">
        <w:rPr>
          <w:rStyle w:val="TextoNormalCaracter"/>
        </w:rPr>
        <w:t>-</w:t>
      </w:r>
      <w:r>
        <w:t xml:space="preserve"> Sentencia </w:t>
      </w:r>
      <w:hyperlink w:anchor="SENTENCIA_2025_82" w:history="1">
        <w:r w:rsidRPr="001D7FA9">
          <w:rPr>
            <w:rStyle w:val="TextoNormalCaracter"/>
          </w:rPr>
          <w:t>82/2025</w:t>
        </w:r>
      </w:hyperlink>
      <w:r>
        <w:t>, f. 5.</w:t>
      </w:r>
    </w:p>
    <w:p w14:paraId="77F2D8C4" w14:textId="13238EFE" w:rsidR="001D7FA9" w:rsidRDefault="001D7FA9" w:rsidP="001D7FA9">
      <w:pPr>
        <w:pStyle w:val="SangriaFrancesaArticulo"/>
      </w:pPr>
      <w:r w:rsidRPr="001D7FA9">
        <w:rPr>
          <w:rStyle w:val="TextoNormalNegritaCaracter"/>
        </w:rPr>
        <w:t>Artículo 56.</w:t>
      </w:r>
      <w:r w:rsidRPr="001D7FA9">
        <w:rPr>
          <w:rStyle w:val="TextoNormalCaracter"/>
        </w:rPr>
        <w:t>-</w:t>
      </w:r>
      <w:r>
        <w:t xml:space="preserve"> Sentencia </w:t>
      </w:r>
      <w:hyperlink w:anchor="SENTENCIA_2025_82" w:history="1">
        <w:r w:rsidRPr="001D7FA9">
          <w:rPr>
            <w:rStyle w:val="TextoNormalCaracter"/>
          </w:rPr>
          <w:t>82/2025</w:t>
        </w:r>
      </w:hyperlink>
      <w:r>
        <w:t>, f. 5.</w:t>
      </w:r>
    </w:p>
    <w:p w14:paraId="1C5F5575" w14:textId="21DE9944" w:rsidR="001D7FA9" w:rsidRDefault="001D7FA9" w:rsidP="001D7FA9">
      <w:pPr>
        <w:pStyle w:val="SangriaFrancesaArticulo"/>
      </w:pPr>
      <w:r w:rsidRPr="001D7FA9">
        <w:rPr>
          <w:rStyle w:val="TextoNormalNegritaCaracter"/>
        </w:rPr>
        <w:t>Artículo 57.3.</w:t>
      </w:r>
      <w:r w:rsidRPr="001D7FA9">
        <w:rPr>
          <w:rStyle w:val="TextoNormalCaracter"/>
        </w:rPr>
        <w:t>-</w:t>
      </w:r>
      <w:r>
        <w:t xml:space="preserve"> Sentencia </w:t>
      </w:r>
      <w:hyperlink w:anchor="SENTENCIA_2025_82" w:history="1">
        <w:r w:rsidRPr="001D7FA9">
          <w:rPr>
            <w:rStyle w:val="TextoNormalCaracter"/>
          </w:rPr>
          <w:t>82/2025</w:t>
        </w:r>
      </w:hyperlink>
      <w:r>
        <w:t>, f. 5.</w:t>
      </w:r>
    </w:p>
    <w:p w14:paraId="1F44CE2F" w14:textId="4967A3EA" w:rsidR="001D7FA9" w:rsidRDefault="001D7FA9" w:rsidP="001D7FA9">
      <w:pPr>
        <w:pStyle w:val="SangriaFrancesaArticulo"/>
      </w:pPr>
      <w:r w:rsidRPr="001D7FA9">
        <w:rPr>
          <w:rStyle w:val="TextoNormalNegritaCaracter"/>
        </w:rPr>
        <w:t>Artículo 57.4.</w:t>
      </w:r>
      <w:r w:rsidRPr="001D7FA9">
        <w:rPr>
          <w:rStyle w:val="TextoNormalCaracter"/>
        </w:rPr>
        <w:t>-</w:t>
      </w:r>
      <w:r>
        <w:t xml:space="preserve"> Sentencia </w:t>
      </w:r>
      <w:hyperlink w:anchor="SENTENCIA_2025_82" w:history="1">
        <w:r w:rsidRPr="001D7FA9">
          <w:rPr>
            <w:rStyle w:val="TextoNormalCaracter"/>
          </w:rPr>
          <w:t>82/2025</w:t>
        </w:r>
      </w:hyperlink>
      <w:r>
        <w:t>, f. 5.</w:t>
      </w:r>
    </w:p>
    <w:p w14:paraId="0F9B175E" w14:textId="40BEE50F" w:rsidR="001D7FA9" w:rsidRDefault="001D7FA9" w:rsidP="001D7FA9">
      <w:pPr>
        <w:pStyle w:val="SangriaFrancesaArticulo"/>
      </w:pPr>
      <w:r w:rsidRPr="001D7FA9">
        <w:rPr>
          <w:rStyle w:val="TextoNormalNegritaCaracter"/>
        </w:rPr>
        <w:t>Artículo 58.</w:t>
      </w:r>
      <w:r w:rsidRPr="001D7FA9">
        <w:rPr>
          <w:rStyle w:val="TextoNormalCaracter"/>
        </w:rPr>
        <w:t>-</w:t>
      </w:r>
      <w:r>
        <w:t xml:space="preserve"> Sentencia </w:t>
      </w:r>
      <w:hyperlink w:anchor="SENTENCIA_2025_82" w:history="1">
        <w:r w:rsidRPr="001D7FA9">
          <w:rPr>
            <w:rStyle w:val="TextoNormalCaracter"/>
          </w:rPr>
          <w:t>82/2025</w:t>
        </w:r>
      </w:hyperlink>
      <w:r>
        <w:t>, f. 5.</w:t>
      </w:r>
    </w:p>
    <w:p w14:paraId="5BB938D0" w14:textId="24B6D6C7" w:rsidR="001D7FA9" w:rsidRDefault="001D7FA9" w:rsidP="001D7FA9">
      <w:pPr>
        <w:pStyle w:val="SangriaFrancesaArticulo"/>
      </w:pPr>
      <w:r w:rsidRPr="001D7FA9">
        <w:rPr>
          <w:rStyle w:val="TextoNormalNegritaCaracter"/>
        </w:rPr>
        <w:t>Artículo 58.2.</w:t>
      </w:r>
      <w:r w:rsidRPr="001D7FA9">
        <w:rPr>
          <w:rStyle w:val="TextoNormalCaracter"/>
        </w:rPr>
        <w:t>-</w:t>
      </w:r>
      <w:r>
        <w:t xml:space="preserve"> Sentencia </w:t>
      </w:r>
      <w:hyperlink w:anchor="SENTENCIA_2025_82" w:history="1">
        <w:r w:rsidRPr="001D7FA9">
          <w:rPr>
            <w:rStyle w:val="TextoNormalCaracter"/>
          </w:rPr>
          <w:t>82/2025</w:t>
        </w:r>
      </w:hyperlink>
      <w:r>
        <w:t>, f. 5.</w:t>
      </w:r>
    </w:p>
    <w:p w14:paraId="7C30B816" w14:textId="084F29FC" w:rsidR="001D7FA9" w:rsidRDefault="001D7FA9" w:rsidP="001D7FA9">
      <w:pPr>
        <w:pStyle w:val="SangriaFrancesaArticulo"/>
      </w:pPr>
      <w:r w:rsidRPr="001D7FA9">
        <w:rPr>
          <w:rStyle w:val="TextoNormalNegritaCaracter"/>
        </w:rPr>
        <w:t>Artículo 59.</w:t>
      </w:r>
      <w:r w:rsidRPr="001D7FA9">
        <w:rPr>
          <w:rStyle w:val="TextoNormalCaracter"/>
        </w:rPr>
        <w:t>-</w:t>
      </w:r>
      <w:r>
        <w:t xml:space="preserve"> Sentencia </w:t>
      </w:r>
      <w:hyperlink w:anchor="SENTENCIA_2025_82" w:history="1">
        <w:r w:rsidRPr="001D7FA9">
          <w:rPr>
            <w:rStyle w:val="TextoNormalCaracter"/>
          </w:rPr>
          <w:t>82/2025</w:t>
        </w:r>
      </w:hyperlink>
      <w:r>
        <w:t>, f. 5.</w:t>
      </w:r>
    </w:p>
    <w:p w14:paraId="6A7FBF08" w14:textId="771FFF8F" w:rsidR="001D7FA9" w:rsidRDefault="001D7FA9" w:rsidP="001D7FA9">
      <w:pPr>
        <w:pStyle w:val="SangriaFrancesaArticulo"/>
      </w:pPr>
      <w:r w:rsidRPr="001D7FA9">
        <w:rPr>
          <w:rStyle w:val="TextoNormalNegritaCaracter"/>
        </w:rPr>
        <w:t>Artículo 60.</w:t>
      </w:r>
      <w:r w:rsidRPr="001D7FA9">
        <w:rPr>
          <w:rStyle w:val="TextoNormalCaracter"/>
        </w:rPr>
        <w:t>-</w:t>
      </w:r>
      <w:r>
        <w:t xml:space="preserve"> Sentencia </w:t>
      </w:r>
      <w:hyperlink w:anchor="SENTENCIA_2025_82" w:history="1">
        <w:r w:rsidRPr="001D7FA9">
          <w:rPr>
            <w:rStyle w:val="TextoNormalCaracter"/>
          </w:rPr>
          <w:t>82/2025</w:t>
        </w:r>
      </w:hyperlink>
      <w:r>
        <w:t>, f. 5.</w:t>
      </w:r>
    </w:p>
    <w:p w14:paraId="4FF63C40" w14:textId="76CE1314" w:rsidR="001D7FA9" w:rsidRDefault="001D7FA9" w:rsidP="001D7FA9">
      <w:pPr>
        <w:pStyle w:val="SangriaFrancesaArticulo"/>
      </w:pPr>
      <w:r w:rsidRPr="001D7FA9">
        <w:rPr>
          <w:rStyle w:val="TextoNormalNegritaCaracter"/>
        </w:rPr>
        <w:t>Artículo 60.3 a).</w:t>
      </w:r>
      <w:r w:rsidRPr="001D7FA9">
        <w:rPr>
          <w:rStyle w:val="TextoNormalCaracter"/>
        </w:rPr>
        <w:t>-</w:t>
      </w:r>
      <w:r>
        <w:t xml:space="preserve"> Sentencia </w:t>
      </w:r>
      <w:hyperlink w:anchor="SENTENCIA_2025_82" w:history="1">
        <w:r w:rsidRPr="001D7FA9">
          <w:rPr>
            <w:rStyle w:val="TextoNormalCaracter"/>
          </w:rPr>
          <w:t>82/2025</w:t>
        </w:r>
      </w:hyperlink>
      <w:r>
        <w:t>, f. 5.</w:t>
      </w:r>
    </w:p>
    <w:p w14:paraId="7D3CAEF2" w14:textId="24E633AC" w:rsidR="001D7FA9" w:rsidRDefault="001D7FA9" w:rsidP="001D7FA9">
      <w:pPr>
        <w:pStyle w:val="SangriaFrancesaArticulo"/>
      </w:pPr>
      <w:r w:rsidRPr="001D7FA9">
        <w:rPr>
          <w:rStyle w:val="TextoNormalNegritaCaracter"/>
        </w:rPr>
        <w:t>Artículo 60.4.</w:t>
      </w:r>
      <w:r w:rsidRPr="001D7FA9">
        <w:rPr>
          <w:rStyle w:val="TextoNormalCaracter"/>
        </w:rPr>
        <w:t>-</w:t>
      </w:r>
      <w:r>
        <w:t xml:space="preserve"> Sentencia </w:t>
      </w:r>
      <w:hyperlink w:anchor="SENTENCIA_2025_82" w:history="1">
        <w:r w:rsidRPr="001D7FA9">
          <w:rPr>
            <w:rStyle w:val="TextoNormalCaracter"/>
          </w:rPr>
          <w:t>82/2025</w:t>
        </w:r>
      </w:hyperlink>
      <w:r>
        <w:t>, f. 5.</w:t>
      </w:r>
    </w:p>
    <w:p w14:paraId="6AE99C3D" w14:textId="0A195C43"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 </w:t>
      </w:r>
      <w:hyperlink w:anchor="SENTENCIA_2025_82" w:history="1">
        <w:r w:rsidRPr="001D7FA9">
          <w:rPr>
            <w:rStyle w:val="TextoNormalCaracter"/>
          </w:rPr>
          <w:t>82/2025</w:t>
        </w:r>
      </w:hyperlink>
      <w:r>
        <w:t>, f. 5.</w:t>
      </w:r>
    </w:p>
    <w:p w14:paraId="3982D310" w14:textId="3D968FF0" w:rsidR="001D7FA9" w:rsidRDefault="001D7FA9" w:rsidP="001D7FA9">
      <w:pPr>
        <w:pStyle w:val="SangriaFrancesaArticulo"/>
      </w:pPr>
      <w:r w:rsidRPr="001D7FA9">
        <w:rPr>
          <w:rStyle w:val="TextoNormalNegritaCaracter"/>
        </w:rPr>
        <w:t>Artículo 61.4.</w:t>
      </w:r>
      <w:r w:rsidRPr="001D7FA9">
        <w:rPr>
          <w:rStyle w:val="TextoNormalCaracter"/>
        </w:rPr>
        <w:t>-</w:t>
      </w:r>
      <w:r>
        <w:t xml:space="preserve"> Sentencia </w:t>
      </w:r>
      <w:hyperlink w:anchor="SENTENCIA_2025_82" w:history="1">
        <w:r w:rsidRPr="001D7FA9">
          <w:rPr>
            <w:rStyle w:val="TextoNormalCaracter"/>
          </w:rPr>
          <w:t>82/2025</w:t>
        </w:r>
      </w:hyperlink>
      <w:r>
        <w:t>, f. 5.</w:t>
      </w:r>
    </w:p>
    <w:p w14:paraId="54EF8F0E" w14:textId="1446C2C1" w:rsidR="001D7FA9" w:rsidRDefault="001D7FA9" w:rsidP="001D7FA9">
      <w:pPr>
        <w:pStyle w:val="SangriaFrancesaArticulo"/>
      </w:pPr>
      <w:r w:rsidRPr="001D7FA9">
        <w:rPr>
          <w:rStyle w:val="TextoNormalNegritaCaracter"/>
        </w:rPr>
        <w:t>Artículo 62.</w:t>
      </w:r>
      <w:r w:rsidRPr="001D7FA9">
        <w:rPr>
          <w:rStyle w:val="TextoNormalCaracter"/>
        </w:rPr>
        <w:t>-</w:t>
      </w:r>
      <w:r>
        <w:t xml:space="preserve"> Sentencia </w:t>
      </w:r>
      <w:hyperlink w:anchor="SENTENCIA_2025_82" w:history="1">
        <w:r w:rsidRPr="001D7FA9">
          <w:rPr>
            <w:rStyle w:val="TextoNormalCaracter"/>
          </w:rPr>
          <w:t>82/2025</w:t>
        </w:r>
      </w:hyperlink>
      <w:r>
        <w:t>, f. 5.</w:t>
      </w:r>
    </w:p>
    <w:p w14:paraId="72E46650" w14:textId="181F65FB" w:rsidR="001D7FA9" w:rsidRDefault="001D7FA9" w:rsidP="001D7FA9">
      <w:pPr>
        <w:pStyle w:val="SangriaFrancesaArticulo"/>
      </w:pPr>
      <w:r w:rsidRPr="001D7FA9">
        <w:rPr>
          <w:rStyle w:val="TextoNormalNegritaCaracter"/>
        </w:rPr>
        <w:t>Artículo 62 c).</w:t>
      </w:r>
      <w:r w:rsidRPr="001D7FA9">
        <w:rPr>
          <w:rStyle w:val="TextoNormalCaracter"/>
        </w:rPr>
        <w:t>-</w:t>
      </w:r>
      <w:r>
        <w:t xml:space="preserve"> Sentencia </w:t>
      </w:r>
      <w:hyperlink w:anchor="SENTENCIA_2025_82" w:history="1">
        <w:r w:rsidRPr="001D7FA9">
          <w:rPr>
            <w:rStyle w:val="TextoNormalCaracter"/>
          </w:rPr>
          <w:t>82/2025</w:t>
        </w:r>
      </w:hyperlink>
      <w:r>
        <w:t>, f. 5.</w:t>
      </w:r>
    </w:p>
    <w:p w14:paraId="1DDBD42A" w14:textId="068B7BC7" w:rsidR="001D7FA9" w:rsidRDefault="001D7FA9" w:rsidP="001D7FA9">
      <w:pPr>
        <w:pStyle w:val="SangriaFrancesaArticulo"/>
      </w:pPr>
      <w:r w:rsidRPr="001D7FA9">
        <w:rPr>
          <w:rStyle w:val="TextoNormalNegritaCaracter"/>
        </w:rPr>
        <w:t>Artículo 68.1 a).</w:t>
      </w:r>
      <w:r w:rsidRPr="001D7FA9">
        <w:rPr>
          <w:rStyle w:val="TextoNormalCaracter"/>
        </w:rPr>
        <w:t>-</w:t>
      </w:r>
      <w:r>
        <w:t xml:space="preserve"> Sentencia </w:t>
      </w:r>
      <w:hyperlink w:anchor="SENTENCIA_2025_82" w:history="1">
        <w:r w:rsidRPr="001D7FA9">
          <w:rPr>
            <w:rStyle w:val="TextoNormalCaracter"/>
          </w:rPr>
          <w:t>82/2025</w:t>
        </w:r>
      </w:hyperlink>
      <w:r>
        <w:t>, f. 5.</w:t>
      </w:r>
    </w:p>
    <w:p w14:paraId="6767DA7D" w14:textId="69539124" w:rsidR="001D7FA9" w:rsidRDefault="001D7FA9" w:rsidP="001D7FA9">
      <w:pPr>
        <w:pStyle w:val="SangriaFrancesaArticulo"/>
      </w:pPr>
      <w:r w:rsidRPr="001D7FA9">
        <w:rPr>
          <w:rStyle w:val="TextoNormalNegritaCaracter"/>
        </w:rPr>
        <w:t>Artículo 68.6.</w:t>
      </w:r>
      <w:r w:rsidRPr="001D7FA9">
        <w:rPr>
          <w:rStyle w:val="TextoNormalCaracter"/>
        </w:rPr>
        <w:t>-</w:t>
      </w:r>
      <w:r>
        <w:t xml:space="preserve"> Sentencia </w:t>
      </w:r>
      <w:hyperlink w:anchor="SENTENCIA_2025_82" w:history="1">
        <w:r w:rsidRPr="001D7FA9">
          <w:rPr>
            <w:rStyle w:val="TextoNormalCaracter"/>
          </w:rPr>
          <w:t>82/2025</w:t>
        </w:r>
      </w:hyperlink>
      <w:r>
        <w:t>, f. 5.</w:t>
      </w:r>
    </w:p>
    <w:p w14:paraId="0E7A7B6A" w14:textId="540957BA" w:rsidR="001D7FA9" w:rsidRDefault="001D7FA9" w:rsidP="001D7FA9">
      <w:pPr>
        <w:pStyle w:val="SangriaFrancesaArticulo"/>
      </w:pPr>
      <w:r w:rsidRPr="001D7FA9">
        <w:rPr>
          <w:rStyle w:val="TextoNormalNegritaCaracter"/>
        </w:rPr>
        <w:t>Artículo 68.6 a).</w:t>
      </w:r>
      <w:r w:rsidRPr="001D7FA9">
        <w:rPr>
          <w:rStyle w:val="TextoNormalCaracter"/>
        </w:rPr>
        <w:t>-</w:t>
      </w:r>
      <w:r>
        <w:t xml:space="preserve"> Sentencia </w:t>
      </w:r>
      <w:hyperlink w:anchor="SENTENCIA_2025_82" w:history="1">
        <w:r w:rsidRPr="001D7FA9">
          <w:rPr>
            <w:rStyle w:val="TextoNormalCaracter"/>
          </w:rPr>
          <w:t>82/2025</w:t>
        </w:r>
      </w:hyperlink>
      <w:r>
        <w:t>, f. 5.</w:t>
      </w:r>
    </w:p>
    <w:p w14:paraId="2B3D241C" w14:textId="114252CF" w:rsidR="001D7FA9" w:rsidRDefault="001D7FA9" w:rsidP="001D7FA9">
      <w:pPr>
        <w:pStyle w:val="SangriaFrancesaArticulo"/>
      </w:pPr>
      <w:r w:rsidRPr="001D7FA9">
        <w:rPr>
          <w:rStyle w:val="TextoNormalNegritaCaracter"/>
        </w:rPr>
        <w:t>Artículo 68.6 b).</w:t>
      </w:r>
      <w:r w:rsidRPr="001D7FA9">
        <w:rPr>
          <w:rStyle w:val="TextoNormalCaracter"/>
        </w:rPr>
        <w:t>-</w:t>
      </w:r>
      <w:r>
        <w:t xml:space="preserve"> Sentencia </w:t>
      </w:r>
      <w:hyperlink w:anchor="SENTENCIA_2025_82" w:history="1">
        <w:r w:rsidRPr="001D7FA9">
          <w:rPr>
            <w:rStyle w:val="TextoNormalCaracter"/>
          </w:rPr>
          <w:t>82/2025</w:t>
        </w:r>
      </w:hyperlink>
      <w:r>
        <w:t>, f. 5.</w:t>
      </w:r>
    </w:p>
    <w:p w14:paraId="0AFE3AC5" w14:textId="483B4A7A" w:rsidR="001D7FA9" w:rsidRDefault="001D7FA9" w:rsidP="001D7FA9">
      <w:pPr>
        <w:pStyle w:val="SangriaFrancesaArticulo"/>
      </w:pPr>
      <w:r w:rsidRPr="001D7FA9">
        <w:rPr>
          <w:rStyle w:val="TextoNormalNegritaCaracter"/>
        </w:rPr>
        <w:t>Artículo 73.</w:t>
      </w:r>
      <w:r w:rsidRPr="001D7FA9">
        <w:rPr>
          <w:rStyle w:val="TextoNormalCaracter"/>
        </w:rPr>
        <w:t>-</w:t>
      </w:r>
      <w:r>
        <w:t xml:space="preserve"> Sentencia </w:t>
      </w:r>
      <w:hyperlink w:anchor="SENTENCIA_2025_82" w:history="1">
        <w:r w:rsidRPr="001D7FA9">
          <w:rPr>
            <w:rStyle w:val="TextoNormalCaracter"/>
          </w:rPr>
          <w:t>82/2025</w:t>
        </w:r>
      </w:hyperlink>
      <w:r>
        <w:t>, f. 5.</w:t>
      </w:r>
    </w:p>
    <w:p w14:paraId="143AA488" w14:textId="1CE38DCE" w:rsidR="001D7FA9" w:rsidRDefault="001D7FA9" w:rsidP="001D7FA9">
      <w:pPr>
        <w:pStyle w:val="SangriaFrancesaArticulo"/>
      </w:pPr>
      <w:r w:rsidRPr="001D7FA9">
        <w:rPr>
          <w:rStyle w:val="TextoNormalNegritaCaracter"/>
        </w:rPr>
        <w:t>Artículo 110.2.</w:t>
      </w:r>
      <w:r w:rsidRPr="001D7FA9">
        <w:rPr>
          <w:rStyle w:val="TextoNormalCaracter"/>
        </w:rPr>
        <w:t>-</w:t>
      </w:r>
      <w:r>
        <w:t xml:space="preserve"> Sentencia </w:t>
      </w:r>
      <w:hyperlink w:anchor="SENTENCIA_2025_82" w:history="1">
        <w:r w:rsidRPr="001D7FA9">
          <w:rPr>
            <w:rStyle w:val="TextoNormalCaracter"/>
          </w:rPr>
          <w:t>82/2025</w:t>
        </w:r>
      </w:hyperlink>
      <w:r>
        <w:t>, f. 5.</w:t>
      </w:r>
    </w:p>
    <w:p w14:paraId="50E258A4" w14:textId="5CDC9E3A"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Sentencia </w:t>
      </w:r>
      <w:hyperlink w:anchor="SENTENCIA_2025_82" w:history="1">
        <w:r w:rsidRPr="001D7FA9">
          <w:rPr>
            <w:rStyle w:val="TextoNormalCaracter"/>
          </w:rPr>
          <w:t>82/2025</w:t>
        </w:r>
      </w:hyperlink>
      <w:r>
        <w:t>, f. 5.</w:t>
      </w:r>
    </w:p>
    <w:p w14:paraId="21C6AA70" w14:textId="1E4A06CB" w:rsidR="001D7FA9" w:rsidRDefault="001D7FA9" w:rsidP="001D7FA9">
      <w:pPr>
        <w:pStyle w:val="SangriaFrancesaArticulo"/>
      </w:pPr>
      <w:r w:rsidRPr="001D7FA9">
        <w:rPr>
          <w:rStyle w:val="TextoNormalNegritaCaracter"/>
        </w:rPr>
        <w:t>Artículo 113.1.</w:t>
      </w:r>
      <w:r w:rsidRPr="001D7FA9">
        <w:rPr>
          <w:rStyle w:val="TextoNormalCaracter"/>
        </w:rPr>
        <w:t>-</w:t>
      </w:r>
      <w:r>
        <w:t xml:space="preserve"> Sentencia </w:t>
      </w:r>
      <w:hyperlink w:anchor="SENTENCIA_2025_82" w:history="1">
        <w:r w:rsidRPr="001D7FA9">
          <w:rPr>
            <w:rStyle w:val="TextoNormalCaracter"/>
          </w:rPr>
          <w:t>82/2025</w:t>
        </w:r>
      </w:hyperlink>
      <w:r>
        <w:t>, f. 5.</w:t>
      </w:r>
    </w:p>
    <w:p w14:paraId="484F2E3F" w14:textId="56BBC7ED" w:rsidR="001D7FA9" w:rsidRDefault="001D7FA9" w:rsidP="001D7FA9">
      <w:pPr>
        <w:pStyle w:val="SangriaFrancesaArticulo"/>
      </w:pPr>
      <w:r w:rsidRPr="001D7FA9">
        <w:rPr>
          <w:rStyle w:val="TextoNormalNegritaCaracter"/>
        </w:rPr>
        <w:t>Artículo 113.1 a).</w:t>
      </w:r>
      <w:r w:rsidRPr="001D7FA9">
        <w:rPr>
          <w:rStyle w:val="TextoNormalCaracter"/>
        </w:rPr>
        <w:t>-</w:t>
      </w:r>
      <w:r>
        <w:t xml:space="preserve"> Sentencia </w:t>
      </w:r>
      <w:hyperlink w:anchor="SENTENCIA_2025_82" w:history="1">
        <w:r w:rsidRPr="001D7FA9">
          <w:rPr>
            <w:rStyle w:val="TextoNormalCaracter"/>
          </w:rPr>
          <w:t>82/2025</w:t>
        </w:r>
      </w:hyperlink>
      <w:r>
        <w:t>, f. 5.</w:t>
      </w:r>
    </w:p>
    <w:p w14:paraId="6284A572" w14:textId="3B9F9DA9" w:rsidR="001D7FA9" w:rsidRDefault="001D7FA9" w:rsidP="001D7FA9">
      <w:pPr>
        <w:pStyle w:val="SangriaFrancesaArticulo"/>
      </w:pPr>
      <w:r w:rsidRPr="001D7FA9">
        <w:rPr>
          <w:rStyle w:val="TextoNormalNegritaCaracter"/>
        </w:rPr>
        <w:t>Artículo 113.1 b).</w:t>
      </w:r>
      <w:r w:rsidRPr="001D7FA9">
        <w:rPr>
          <w:rStyle w:val="TextoNormalCaracter"/>
        </w:rPr>
        <w:t>-</w:t>
      </w:r>
      <w:r>
        <w:t xml:space="preserve"> Sentencia </w:t>
      </w:r>
      <w:hyperlink w:anchor="SENTENCIA_2025_82" w:history="1">
        <w:r w:rsidRPr="001D7FA9">
          <w:rPr>
            <w:rStyle w:val="TextoNormalCaracter"/>
          </w:rPr>
          <w:t>82/2025</w:t>
        </w:r>
      </w:hyperlink>
      <w:r>
        <w:t>, f. 5.</w:t>
      </w:r>
    </w:p>
    <w:p w14:paraId="07E875F2" w14:textId="2DB0825F" w:rsidR="001D7FA9" w:rsidRDefault="001D7FA9" w:rsidP="001D7FA9">
      <w:pPr>
        <w:pStyle w:val="SangriaFrancesaArticulo"/>
      </w:pPr>
      <w:r w:rsidRPr="001D7FA9">
        <w:rPr>
          <w:rStyle w:val="TextoNormalNegritaCaracter"/>
        </w:rPr>
        <w:t>Artículo 113.1 g).</w:t>
      </w:r>
      <w:r w:rsidRPr="001D7FA9">
        <w:rPr>
          <w:rStyle w:val="TextoNormalCaracter"/>
        </w:rPr>
        <w:t>-</w:t>
      </w:r>
      <w:r>
        <w:t xml:space="preserve"> Sentencia </w:t>
      </w:r>
      <w:hyperlink w:anchor="SENTENCIA_2025_82" w:history="1">
        <w:r w:rsidRPr="001D7FA9">
          <w:rPr>
            <w:rStyle w:val="TextoNormalCaracter"/>
          </w:rPr>
          <w:t>82/2025</w:t>
        </w:r>
      </w:hyperlink>
      <w:r>
        <w:t>, f. 5.</w:t>
      </w:r>
    </w:p>
    <w:p w14:paraId="07FC1A1E" w14:textId="05F489E9" w:rsidR="001D7FA9" w:rsidRDefault="001D7FA9" w:rsidP="001D7FA9">
      <w:pPr>
        <w:pStyle w:val="SangriaFrancesaArticulo"/>
      </w:pPr>
      <w:r w:rsidRPr="001D7FA9">
        <w:rPr>
          <w:rStyle w:val="TextoNormalNegritaCaracter"/>
        </w:rPr>
        <w:t>Artículo 113.1 i).</w:t>
      </w:r>
      <w:r w:rsidRPr="001D7FA9">
        <w:rPr>
          <w:rStyle w:val="TextoNormalCaracter"/>
        </w:rPr>
        <w:t>-</w:t>
      </w:r>
      <w:r>
        <w:t xml:space="preserve"> Sentencia </w:t>
      </w:r>
      <w:hyperlink w:anchor="SENTENCIA_2025_82" w:history="1">
        <w:r w:rsidRPr="001D7FA9">
          <w:rPr>
            <w:rStyle w:val="TextoNormalCaracter"/>
          </w:rPr>
          <w:t>82/2025</w:t>
        </w:r>
      </w:hyperlink>
      <w:r>
        <w:t>, f. 7.</w:t>
      </w:r>
    </w:p>
    <w:p w14:paraId="26976070" w14:textId="185B774A" w:rsidR="001D7FA9" w:rsidRDefault="001D7FA9" w:rsidP="001D7FA9">
      <w:pPr>
        <w:pStyle w:val="SangriaFrancesaArticulo"/>
      </w:pPr>
    </w:p>
    <w:p w14:paraId="6375FBB5" w14:textId="77777777" w:rsidR="001D7FA9" w:rsidRDefault="001D7FA9" w:rsidP="001D7FA9">
      <w:pPr>
        <w:pStyle w:val="TextoNormalNegritaCursivandice"/>
        <w:keepNext/>
      </w:pPr>
      <w:r>
        <w:t>Ley Orgánica 10/2022, de 6 de septiembre, de garantía integral de la libertad sexual</w:t>
      </w:r>
    </w:p>
    <w:p w14:paraId="47C5C353" w14:textId="1B730ED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28" w:history="1">
        <w:r w:rsidRPr="001D7FA9">
          <w:rPr>
            <w:rStyle w:val="TextoNormalCaracter"/>
          </w:rPr>
          <w:t>28/2025</w:t>
        </w:r>
      </w:hyperlink>
      <w:r>
        <w:t xml:space="preserve">, f. 3; </w:t>
      </w:r>
      <w:hyperlink w:anchor="SENTENCIA_2025_105" w:history="1">
        <w:r w:rsidRPr="001D7FA9">
          <w:rPr>
            <w:rStyle w:val="TextoNormalCaracter"/>
          </w:rPr>
          <w:t>105/2025</w:t>
        </w:r>
      </w:hyperlink>
      <w:r>
        <w:t xml:space="preserve">, ff. 1, 2, VP I, VP II, VP III; </w:t>
      </w:r>
      <w:hyperlink w:anchor="SENTENCIA_2025_110" w:history="1">
        <w:r w:rsidRPr="001D7FA9">
          <w:rPr>
            <w:rStyle w:val="TextoNormalCaracter"/>
          </w:rPr>
          <w:t>110/2025</w:t>
        </w:r>
      </w:hyperlink>
      <w:r>
        <w:t>, ff. 1, 2, VP I.</w:t>
      </w:r>
    </w:p>
    <w:p w14:paraId="38A2DF8E" w14:textId="5F6A3699"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28" w:history="1">
        <w:r w:rsidRPr="001D7FA9">
          <w:rPr>
            <w:rStyle w:val="TextoNormalCaracter"/>
          </w:rPr>
          <w:t>28/2025</w:t>
        </w:r>
      </w:hyperlink>
      <w:r>
        <w:t>, f. 3.</w:t>
      </w:r>
    </w:p>
    <w:p w14:paraId="512DA145" w14:textId="44FB7DB7" w:rsidR="001D7FA9" w:rsidRDefault="001D7FA9" w:rsidP="001D7FA9">
      <w:pPr>
        <w:pStyle w:val="SangriaFrancesaArticulo"/>
      </w:pPr>
      <w:r w:rsidRPr="001D7FA9">
        <w:rPr>
          <w:rStyle w:val="TextoNormalNegritaCaracter"/>
        </w:rPr>
        <w:t>Artículo 13.1.</w:t>
      </w:r>
      <w:r w:rsidRPr="001D7FA9">
        <w:rPr>
          <w:rStyle w:val="TextoNormalCaracter"/>
        </w:rPr>
        <w:t>-</w:t>
      </w:r>
      <w:r>
        <w:t xml:space="preserve"> Sentencia </w:t>
      </w:r>
      <w:hyperlink w:anchor="SENTENCIA_2025_28" w:history="1">
        <w:r w:rsidRPr="001D7FA9">
          <w:rPr>
            <w:rStyle w:val="TextoNormalCaracter"/>
          </w:rPr>
          <w:t>28/2025</w:t>
        </w:r>
      </w:hyperlink>
      <w:r>
        <w:t>, f. 3.</w:t>
      </w:r>
    </w:p>
    <w:p w14:paraId="41B2CF77" w14:textId="63FD63B2" w:rsidR="001D7FA9" w:rsidRDefault="001D7FA9" w:rsidP="001D7FA9">
      <w:pPr>
        <w:pStyle w:val="SangriaFrancesaArticulo"/>
      </w:pPr>
      <w:r w:rsidRPr="001D7FA9">
        <w:rPr>
          <w:rStyle w:val="TextoNormalNegritaCaracter"/>
        </w:rPr>
        <w:t>Disposición final cuarta.</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0C2A1F76" w14:textId="4705B9B9" w:rsidR="001D7FA9" w:rsidRDefault="001D7FA9" w:rsidP="001D7FA9">
      <w:pPr>
        <w:pStyle w:val="SangriaFrancesaArticulo"/>
      </w:pPr>
    </w:p>
    <w:p w14:paraId="485F43DB" w14:textId="77777777" w:rsidR="001D7FA9" w:rsidRDefault="001D7FA9" w:rsidP="001D7FA9">
      <w:pPr>
        <w:pStyle w:val="TextoNormalNegritaCursivandice"/>
        <w:keepNext/>
      </w:pPr>
      <w:r>
        <w:t>Ley Orgánica 14/2022, de 22 de diciembre, de transposición de directivas europeas y otras disposiciones para la adaptación de la legislación penal al ordenamiento de la Unión Europea, y reforma de los delitos contra la integridad moral, desórdenes públicos y contrabando de armas de doble uso</w:t>
      </w:r>
    </w:p>
    <w:p w14:paraId="0074C96C" w14:textId="53E78D6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2" w:history="1">
        <w:r w:rsidRPr="001D7FA9">
          <w:rPr>
            <w:rStyle w:val="TextoNormalCaracter"/>
          </w:rPr>
          <w:t>132/2025</w:t>
        </w:r>
      </w:hyperlink>
      <w:r>
        <w:t>, f. 2.</w:t>
      </w:r>
    </w:p>
    <w:p w14:paraId="6671B390" w14:textId="330275FA" w:rsidR="001D7FA9" w:rsidRDefault="001D7FA9" w:rsidP="001D7FA9">
      <w:pPr>
        <w:pStyle w:val="SangriaFrancesaArticulo"/>
      </w:pPr>
    </w:p>
    <w:p w14:paraId="4BC9BCFC" w14:textId="77777777" w:rsidR="001D7FA9" w:rsidRDefault="001D7FA9" w:rsidP="001D7FA9">
      <w:pPr>
        <w:pStyle w:val="TextoNormalNegritaCursivandice"/>
        <w:keepNext/>
      </w:pPr>
      <w:r>
        <w:t>Ley Orgánica 2/2023, de 22 de marzo, del sistema universitario</w:t>
      </w:r>
    </w:p>
    <w:p w14:paraId="2DA85807" w14:textId="198E049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 7.</w:t>
      </w:r>
    </w:p>
    <w:p w14:paraId="7D38093D" w14:textId="1B73BAA3" w:rsidR="001D7FA9" w:rsidRDefault="001D7FA9" w:rsidP="001D7FA9">
      <w:pPr>
        <w:pStyle w:val="SangriaFrancesaArticulo"/>
      </w:pPr>
      <w:r w:rsidRPr="001D7FA9">
        <w:rPr>
          <w:rStyle w:val="TextoNormalNegritaCaracter"/>
        </w:rPr>
        <w:t>Artículo 10 e).</w:t>
      </w:r>
      <w:r w:rsidRPr="001D7FA9">
        <w:rPr>
          <w:rStyle w:val="TextoNormalCaracter"/>
        </w:rPr>
        <w:t>-</w:t>
      </w:r>
      <w:r>
        <w:t xml:space="preserve"> Sentencia </w:t>
      </w:r>
      <w:hyperlink w:anchor="SENTENCIA_2025_82" w:history="1">
        <w:r w:rsidRPr="001D7FA9">
          <w:rPr>
            <w:rStyle w:val="TextoNormalCaracter"/>
          </w:rPr>
          <w:t>82/2025</w:t>
        </w:r>
      </w:hyperlink>
      <w:r>
        <w:t>, f. 7.</w:t>
      </w:r>
    </w:p>
    <w:p w14:paraId="24D5DCB1" w14:textId="4CD0DA74" w:rsidR="001D7FA9" w:rsidRDefault="001D7FA9" w:rsidP="001D7FA9">
      <w:pPr>
        <w:pStyle w:val="SangriaFrancesaArticulo"/>
      </w:pPr>
      <w:r w:rsidRPr="001D7FA9">
        <w:rPr>
          <w:rStyle w:val="TextoNormalNegritaCaracter"/>
        </w:rPr>
        <w:t>Artículo 15.1 b).</w:t>
      </w:r>
      <w:r w:rsidRPr="001D7FA9">
        <w:rPr>
          <w:rStyle w:val="TextoNormalCaracter"/>
        </w:rPr>
        <w:t>-</w:t>
      </w:r>
      <w:r>
        <w:t xml:space="preserve"> Sentencia </w:t>
      </w:r>
      <w:hyperlink w:anchor="SENTENCIA_2025_82" w:history="1">
        <w:r w:rsidRPr="001D7FA9">
          <w:rPr>
            <w:rStyle w:val="TextoNormalCaracter"/>
          </w:rPr>
          <w:t>82/2025</w:t>
        </w:r>
      </w:hyperlink>
      <w:r>
        <w:t>, f. 7.</w:t>
      </w:r>
    </w:p>
    <w:p w14:paraId="32A6019D" w14:textId="3FBF2FAA" w:rsidR="001D7FA9" w:rsidRDefault="001D7FA9" w:rsidP="001D7FA9">
      <w:pPr>
        <w:pStyle w:val="SangriaFrancesaArticulo"/>
      </w:pPr>
      <w:r w:rsidRPr="001D7FA9">
        <w:rPr>
          <w:rStyle w:val="TextoNormalNegritaCaracter"/>
        </w:rPr>
        <w:t>Artículo 16.</w:t>
      </w:r>
      <w:r w:rsidRPr="001D7FA9">
        <w:rPr>
          <w:rStyle w:val="TextoNormalCaracter"/>
        </w:rPr>
        <w:t>-</w:t>
      </w:r>
      <w:r>
        <w:t xml:space="preserve"> Sentencia </w:t>
      </w:r>
      <w:hyperlink w:anchor="SENTENCIA_2025_82" w:history="1">
        <w:r w:rsidRPr="001D7FA9">
          <w:rPr>
            <w:rStyle w:val="TextoNormalCaracter"/>
          </w:rPr>
          <w:t>82/2025</w:t>
        </w:r>
      </w:hyperlink>
      <w:r>
        <w:t>, f. 7.</w:t>
      </w:r>
    </w:p>
    <w:p w14:paraId="195002AF" w14:textId="2D83C193" w:rsidR="001D7FA9" w:rsidRDefault="001D7FA9" w:rsidP="001D7FA9">
      <w:pPr>
        <w:pStyle w:val="SangriaFrancesaArticulo"/>
      </w:pPr>
    </w:p>
    <w:p w14:paraId="2D38A782" w14:textId="77777777" w:rsidR="001D7FA9" w:rsidRDefault="001D7FA9" w:rsidP="001D7FA9">
      <w:pPr>
        <w:pStyle w:val="TextoNormalNegritaCursivandice"/>
        <w:keepNext/>
      </w:pPr>
      <w:r>
        <w:t>Ley Orgánica 1/2024, de 10 de junio, de amnistía para la normalización institucional, política y social en Cataluña</w:t>
      </w:r>
    </w:p>
    <w:p w14:paraId="5BE47806" w14:textId="04ED3727"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ff. 1 a 3, 5, 6, 8 a 16, 20, VP I, VP II, VP III, VP IV.</w:t>
      </w:r>
    </w:p>
    <w:p w14:paraId="53136A0F" w14:textId="74869D40"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ff. 1, 2, 4, 5, VP I, VP II; </w:t>
      </w:r>
      <w:hyperlink w:anchor="AUTO_2025_12" w:history="1">
        <w:r w:rsidRPr="001D7FA9">
          <w:rPr>
            <w:rStyle w:val="TextoNormalCaracter"/>
          </w:rPr>
          <w:t>12/2025</w:t>
        </w:r>
      </w:hyperlink>
      <w:r>
        <w:t xml:space="preserve">, ff. 3, 4, VP II, VP III; </w:t>
      </w:r>
      <w:hyperlink w:anchor="AUTO_2025_35" w:history="1">
        <w:r w:rsidRPr="001D7FA9">
          <w:rPr>
            <w:rStyle w:val="TextoNormalCaracter"/>
          </w:rPr>
          <w:t>35/2025</w:t>
        </w:r>
      </w:hyperlink>
      <w:r>
        <w:t xml:space="preserve">, ff. 3, 5 a 7; </w:t>
      </w:r>
      <w:hyperlink w:anchor="AUTO_2025_65" w:history="1">
        <w:r w:rsidRPr="001D7FA9">
          <w:rPr>
            <w:rStyle w:val="TextoNormalCaracter"/>
          </w:rPr>
          <w:t>65/2025</w:t>
        </w:r>
      </w:hyperlink>
      <w:r>
        <w:t>, VP.</w:t>
      </w:r>
    </w:p>
    <w:p w14:paraId="6820851E" w14:textId="6EC50911" w:rsidR="001D7FA9" w:rsidRDefault="001D7FA9" w:rsidP="001D7FA9">
      <w:pPr>
        <w:pStyle w:val="SangriaFrancesaArticulo"/>
      </w:pPr>
      <w:r w:rsidRPr="001D7FA9">
        <w:rPr>
          <w:rStyle w:val="TextoNormalNegritaCaracter"/>
        </w:rPr>
        <w:t>Título I.</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5C64D3D" w14:textId="69FCD05C" w:rsidR="001D7FA9" w:rsidRDefault="001D7FA9" w:rsidP="001D7FA9">
      <w:pPr>
        <w:pStyle w:val="SangriaFrancesaArticulo"/>
      </w:pPr>
      <w:r w:rsidRPr="001D7FA9">
        <w:rPr>
          <w:rStyle w:val="TextoNormalNegritaCaracter"/>
        </w:rPr>
        <w:t>Título II.</w:t>
      </w:r>
      <w:r w:rsidRPr="001D7FA9">
        <w:rPr>
          <w:rStyle w:val="TextoNormalCaracter"/>
        </w:rPr>
        <w:t>-</w:t>
      </w:r>
      <w:r>
        <w:t xml:space="preserve"> Sentencia </w:t>
      </w:r>
      <w:hyperlink w:anchor="SENTENCIA_2025_137" w:history="1">
        <w:r w:rsidRPr="001D7FA9">
          <w:rPr>
            <w:rStyle w:val="TextoNormalCaracter"/>
          </w:rPr>
          <w:t>137/2025</w:t>
        </w:r>
      </w:hyperlink>
      <w:r>
        <w:t>, f. 8.</w:t>
      </w:r>
    </w:p>
    <w:p w14:paraId="782E60E7" w14:textId="63BD7ED6" w:rsidR="001D7FA9" w:rsidRDefault="001D7FA9" w:rsidP="001D7FA9">
      <w:pPr>
        <w:pStyle w:val="SangriaFrancesaArticulo"/>
      </w:pPr>
      <w:r w:rsidRPr="001D7FA9">
        <w:rPr>
          <w:rStyle w:val="TextoNormalNegritaCaracter"/>
        </w:rPr>
        <w:t>Título II, apartado IV.</w:t>
      </w:r>
      <w:r w:rsidRPr="001D7FA9">
        <w:rPr>
          <w:rStyle w:val="TextoNormalCaracter"/>
        </w:rPr>
        <w:t>-</w:t>
      </w:r>
      <w:r>
        <w:t xml:space="preserve"> Sentencia </w:t>
      </w:r>
      <w:hyperlink w:anchor="SENTENCIA_2025_137" w:history="1">
        <w:r w:rsidRPr="001D7FA9">
          <w:rPr>
            <w:rStyle w:val="TextoNormalCaracter"/>
          </w:rPr>
          <w:t>137/2025</w:t>
        </w:r>
      </w:hyperlink>
      <w:r>
        <w:t>, f. 16.</w:t>
      </w:r>
    </w:p>
    <w:p w14:paraId="3A743D19" w14:textId="00194A7A" w:rsidR="001D7FA9" w:rsidRDefault="001D7FA9" w:rsidP="001D7FA9">
      <w:pPr>
        <w:pStyle w:val="SangriaFrancesaArticulo"/>
      </w:pPr>
      <w:r w:rsidRPr="001D7FA9">
        <w:rPr>
          <w:rStyle w:val="TextoNormalNegritaCaracter"/>
        </w:rPr>
        <w:t>Título III.</w:t>
      </w:r>
      <w:r w:rsidRPr="001D7FA9">
        <w:rPr>
          <w:rStyle w:val="TextoNormalCaracter"/>
        </w:rPr>
        <w:t>-</w:t>
      </w:r>
      <w:r>
        <w:t xml:space="preserve"> Sentencia </w:t>
      </w:r>
      <w:hyperlink w:anchor="SENTENCIA_2025_137" w:history="1">
        <w:r w:rsidRPr="001D7FA9">
          <w:rPr>
            <w:rStyle w:val="TextoNormalCaracter"/>
          </w:rPr>
          <w:t>137/2025</w:t>
        </w:r>
      </w:hyperlink>
      <w:r>
        <w:t>, ff. 18, 20.</w:t>
      </w:r>
    </w:p>
    <w:p w14:paraId="050576FD" w14:textId="34D16FF2"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137" w:history="1">
        <w:r w:rsidRPr="001D7FA9">
          <w:rPr>
            <w:rStyle w:val="TextoNormalCaracter"/>
          </w:rPr>
          <w:t>137/2025</w:t>
        </w:r>
      </w:hyperlink>
      <w:r>
        <w:t>, VP I, VP III, VP IV.</w:t>
      </w:r>
    </w:p>
    <w:p w14:paraId="652D4458" w14:textId="2BB51C5C" w:rsidR="001D7FA9" w:rsidRDefault="001D7FA9" w:rsidP="001D7FA9">
      <w:pPr>
        <w:pStyle w:val="SangriaFrancesaArticulo"/>
      </w:pPr>
      <w:r w:rsidRPr="001D7FA9">
        <w:rPr>
          <w:rStyle w:val="TextoNormalNegritaCaracter"/>
        </w:rPr>
        <w:t>Preámbulo, apartado II.</w:t>
      </w:r>
      <w:r w:rsidRPr="001D7FA9">
        <w:rPr>
          <w:rStyle w:val="TextoNormalCaracter"/>
        </w:rPr>
        <w:t>-</w:t>
      </w:r>
      <w:r>
        <w:t xml:space="preserve"> Sentencia </w:t>
      </w:r>
      <w:hyperlink w:anchor="SENTENCIA_2025_137" w:history="1">
        <w:r w:rsidRPr="001D7FA9">
          <w:rPr>
            <w:rStyle w:val="TextoNormalCaracter"/>
          </w:rPr>
          <w:t>137/2025</w:t>
        </w:r>
      </w:hyperlink>
      <w:r>
        <w:t>, f. 16, VP III.</w:t>
      </w:r>
    </w:p>
    <w:p w14:paraId="30B91CA1" w14:textId="7C08E43A" w:rsidR="001D7FA9" w:rsidRDefault="001D7FA9" w:rsidP="001D7FA9">
      <w:pPr>
        <w:pStyle w:val="SangriaFrancesaArticulo"/>
      </w:pPr>
      <w:r w:rsidRPr="001D7FA9">
        <w:rPr>
          <w:rStyle w:val="TextoNormalNegritaCaracter"/>
        </w:rPr>
        <w:t>Preámbulo, apartado IV.</w:t>
      </w:r>
      <w:r w:rsidRPr="001D7FA9">
        <w:rPr>
          <w:rStyle w:val="TextoNormalCaracter"/>
        </w:rPr>
        <w:t>-</w:t>
      </w:r>
      <w:r>
        <w:t xml:space="preserve"> Sentencia </w:t>
      </w:r>
      <w:hyperlink w:anchor="SENTENCIA_2025_137" w:history="1">
        <w:r w:rsidRPr="001D7FA9">
          <w:rPr>
            <w:rStyle w:val="TextoNormalCaracter"/>
          </w:rPr>
          <w:t>137/2025</w:t>
        </w:r>
      </w:hyperlink>
      <w:r>
        <w:t>, f. 16, VP III.</w:t>
      </w:r>
    </w:p>
    <w:p w14:paraId="5BEDFEA8" w14:textId="1191E189" w:rsidR="001D7FA9" w:rsidRDefault="001D7FA9" w:rsidP="001D7FA9">
      <w:pPr>
        <w:pStyle w:val="SangriaFrancesaArticulo"/>
      </w:pPr>
      <w:r w:rsidRPr="001D7FA9">
        <w:rPr>
          <w:rStyle w:val="TextoNormalNegritaCaracter"/>
        </w:rPr>
        <w:t>Preámbulo, apartado IV, inciso "[l]a constitucionalidad de la amnistía".</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9101756" w14:textId="090BC599" w:rsidR="001D7FA9" w:rsidRDefault="001D7FA9" w:rsidP="001D7FA9">
      <w:pPr>
        <w:pStyle w:val="SangriaFrancesaArticulo"/>
      </w:pPr>
      <w:r w:rsidRPr="001D7FA9">
        <w:rPr>
          <w:rStyle w:val="TextoNormalNegritaCaracter"/>
        </w:rPr>
        <w:t>Preámbulo, apartado V.</w:t>
      </w:r>
      <w:r w:rsidRPr="001D7FA9">
        <w:rPr>
          <w:rStyle w:val="TextoNormalCaracter"/>
        </w:rPr>
        <w:t>-</w:t>
      </w:r>
      <w:r>
        <w:t xml:space="preserve"> Sentencia </w:t>
      </w:r>
      <w:hyperlink w:anchor="SENTENCIA_2025_137" w:history="1">
        <w:r w:rsidRPr="001D7FA9">
          <w:rPr>
            <w:rStyle w:val="TextoNormalCaracter"/>
          </w:rPr>
          <w:t>137/2025</w:t>
        </w:r>
      </w:hyperlink>
      <w:r>
        <w:t>, f. 13, VP IV.</w:t>
      </w:r>
    </w:p>
    <w:p w14:paraId="34A17384" w14:textId="5C28A187" w:rsidR="001D7FA9" w:rsidRDefault="001D7FA9" w:rsidP="001D7FA9">
      <w:pPr>
        <w:pStyle w:val="SangriaFrancesaArticulo"/>
      </w:pPr>
      <w:r w:rsidRPr="001D7FA9">
        <w:rPr>
          <w:rStyle w:val="TextoNormalNegritaCaracter"/>
        </w:rPr>
        <w:t>Preámbulo, apartados II y III.</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3A05DB7" w14:textId="2B54952E"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137" w:history="1">
        <w:r w:rsidRPr="001D7FA9">
          <w:rPr>
            <w:rStyle w:val="TextoNormalCaracter"/>
          </w:rPr>
          <w:t>137/2025</w:t>
        </w:r>
      </w:hyperlink>
      <w:r>
        <w:t>, ff. 1, 8, 13, 14, 16, VP I, VP III, VP IV.</w:t>
      </w:r>
    </w:p>
    <w:p w14:paraId="1552D412" w14:textId="1D29D8E2"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BA5CE00" w14:textId="6081751E" w:rsidR="001D7FA9" w:rsidRDefault="001D7FA9" w:rsidP="001D7FA9">
      <w:pPr>
        <w:pStyle w:val="SangriaFrancesaArticulo"/>
      </w:pPr>
      <w:r w:rsidRPr="001D7FA9">
        <w:rPr>
          <w:rStyle w:val="TextoNormalNegritaCaracter"/>
        </w:rPr>
        <w:t>Artículo 1 a).</w:t>
      </w:r>
      <w:r w:rsidRPr="001D7FA9">
        <w:rPr>
          <w:rStyle w:val="TextoNormalCaracter"/>
        </w:rPr>
        <w:t>-</w:t>
      </w:r>
      <w:r>
        <w:t xml:space="preserve"> Sentencia </w:t>
      </w:r>
      <w:hyperlink w:anchor="SENTENCIA_2025_137" w:history="1">
        <w:r w:rsidRPr="001D7FA9">
          <w:rPr>
            <w:rStyle w:val="TextoNormalCaracter"/>
          </w:rPr>
          <w:t>137/2025</w:t>
        </w:r>
      </w:hyperlink>
      <w:r>
        <w:t>, f. 13.</w:t>
      </w:r>
    </w:p>
    <w:p w14:paraId="744714E6" w14:textId="24D63D46" w:rsidR="001D7FA9" w:rsidRDefault="001D7FA9" w:rsidP="001D7FA9">
      <w:pPr>
        <w:pStyle w:val="SangriaFrancesaArticulo"/>
      </w:pPr>
      <w:r w:rsidRPr="001D7FA9">
        <w:rPr>
          <w:rStyle w:val="TextoNormalNegritaCaracter"/>
        </w:rPr>
        <w:t>Artículo 1 b).</w:t>
      </w:r>
      <w:r w:rsidRPr="001D7FA9">
        <w:rPr>
          <w:rStyle w:val="TextoNormalCaracter"/>
        </w:rPr>
        <w:t>-</w:t>
      </w:r>
      <w:r>
        <w:t xml:space="preserve"> Sentencia </w:t>
      </w:r>
      <w:hyperlink w:anchor="SENTENCIA_2025_137" w:history="1">
        <w:r w:rsidRPr="001D7FA9">
          <w:rPr>
            <w:rStyle w:val="TextoNormalCaracter"/>
          </w:rPr>
          <w:t>137/2025</w:t>
        </w:r>
      </w:hyperlink>
      <w:r>
        <w:t>, f. 13.</w:t>
      </w:r>
    </w:p>
    <w:p w14:paraId="2494E4EF" w14:textId="7C47393C" w:rsidR="001D7FA9" w:rsidRDefault="001D7FA9" w:rsidP="001D7FA9">
      <w:pPr>
        <w:pStyle w:val="SangriaFrancesaArticulo"/>
      </w:pPr>
      <w:r w:rsidRPr="001D7FA9">
        <w:rPr>
          <w:rStyle w:val="TextoNormalNegritaCaracter"/>
        </w:rPr>
        <w:t>Artículo 1 d).</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4DC3C824" w14:textId="6010BF48"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137" w:history="1">
        <w:r w:rsidRPr="001D7FA9">
          <w:rPr>
            <w:rStyle w:val="TextoNormalCaracter"/>
          </w:rPr>
          <w:t>137/2025</w:t>
        </w:r>
      </w:hyperlink>
      <w:r>
        <w:t>, ff. 8, 13, 16, VP III, VP IV.</w:t>
      </w:r>
    </w:p>
    <w:p w14:paraId="0BDD46B2" w14:textId="29009663"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7AC0C93F" w14:textId="0F6DF97F" w:rsidR="001D7FA9" w:rsidRDefault="001D7FA9" w:rsidP="001D7FA9">
      <w:pPr>
        <w:pStyle w:val="SangriaFrancesaArticulo"/>
      </w:pPr>
      <w:r w:rsidRPr="001D7FA9">
        <w:rPr>
          <w:rStyle w:val="TextoNormalNegritaCaracter"/>
        </w:rPr>
        <w:t>Artículo 1.1 a).</w:t>
      </w:r>
      <w:r w:rsidRPr="001D7FA9">
        <w:rPr>
          <w:rStyle w:val="TextoNormalCaracter"/>
        </w:rPr>
        <w:t>-</w:t>
      </w:r>
      <w:r>
        <w:t xml:space="preserve"> Sentencia </w:t>
      </w:r>
      <w:hyperlink w:anchor="SENTENCIA_2025_137" w:history="1">
        <w:r w:rsidRPr="001D7FA9">
          <w:rPr>
            <w:rStyle w:val="TextoNormalCaracter"/>
          </w:rPr>
          <w:t>137/2025</w:t>
        </w:r>
      </w:hyperlink>
      <w:r>
        <w:t>, ff. 1, 13, VP III, VP IV.</w:t>
      </w:r>
    </w:p>
    <w:p w14:paraId="5BCFE960" w14:textId="5753C419" w:rsidR="001D7FA9" w:rsidRDefault="001D7FA9" w:rsidP="001D7FA9">
      <w:pPr>
        <w:pStyle w:val="SangriaFrancesaArticulo"/>
      </w:pPr>
      <w:r w:rsidRPr="001D7FA9">
        <w:rPr>
          <w:rStyle w:val="TextoNormalNegritaCaracter"/>
        </w:rPr>
        <w:t>Artículo 1.1 a) a f).</w:t>
      </w:r>
      <w:r w:rsidRPr="001D7FA9">
        <w:rPr>
          <w:rStyle w:val="TextoNormalCaracter"/>
        </w:rPr>
        <w:t>-</w:t>
      </w:r>
      <w:r>
        <w:t xml:space="preserve"> Sentencia </w:t>
      </w:r>
      <w:hyperlink w:anchor="SENTENCIA_2025_137" w:history="1">
        <w:r w:rsidRPr="001D7FA9">
          <w:rPr>
            <w:rStyle w:val="TextoNormalCaracter"/>
          </w:rPr>
          <w:t>137/2025</w:t>
        </w:r>
      </w:hyperlink>
      <w:r>
        <w:t>, ff. 8, 13.</w:t>
      </w:r>
    </w:p>
    <w:p w14:paraId="14E3B62B" w14:textId="46487A52" w:rsidR="001D7FA9" w:rsidRDefault="001D7FA9" w:rsidP="001D7FA9">
      <w:pPr>
        <w:pStyle w:val="SangriaFrancesaArticulo"/>
      </w:pPr>
      <w:r w:rsidRPr="001D7FA9">
        <w:rPr>
          <w:rStyle w:val="TextoNormalNegritaCaracter"/>
        </w:rPr>
        <w:t>Artículo 1.1 b).</w:t>
      </w:r>
      <w:r w:rsidRPr="001D7FA9">
        <w:rPr>
          <w:rStyle w:val="TextoNormalCaracter"/>
        </w:rPr>
        <w:t>-</w:t>
      </w:r>
      <w:r>
        <w:t xml:space="preserve"> Sentencia </w:t>
      </w:r>
      <w:hyperlink w:anchor="SENTENCIA_2025_137" w:history="1">
        <w:r w:rsidRPr="001D7FA9">
          <w:rPr>
            <w:rStyle w:val="TextoNormalCaracter"/>
          </w:rPr>
          <w:t>137/2025</w:t>
        </w:r>
      </w:hyperlink>
      <w:r>
        <w:t>, f. 1, VP III, VP IV.</w:t>
      </w:r>
    </w:p>
    <w:p w14:paraId="108DA59C" w14:textId="4C1B316B" w:rsidR="001D7FA9" w:rsidRDefault="001D7FA9" w:rsidP="001D7FA9">
      <w:pPr>
        <w:pStyle w:val="SangriaFrancesaArticulo"/>
      </w:pPr>
      <w:r w:rsidRPr="001D7FA9">
        <w:rPr>
          <w:rStyle w:val="TextoNormalNegritaCaracter"/>
        </w:rPr>
        <w:t>Artículo 1.1 c).</w:t>
      </w:r>
      <w:r w:rsidRPr="001D7FA9">
        <w:rPr>
          <w:rStyle w:val="TextoNormalCaracter"/>
        </w:rPr>
        <w:t>-</w:t>
      </w:r>
      <w:r>
        <w:t xml:space="preserve"> Sentencia </w:t>
      </w:r>
      <w:hyperlink w:anchor="SENTENCIA_2025_137" w:history="1">
        <w:r w:rsidRPr="001D7FA9">
          <w:rPr>
            <w:rStyle w:val="TextoNormalCaracter"/>
          </w:rPr>
          <w:t>137/2025</w:t>
        </w:r>
      </w:hyperlink>
      <w:r>
        <w:t>, f. 13, VP III, VP IV.</w:t>
      </w:r>
    </w:p>
    <w:p w14:paraId="52E37EA2" w14:textId="117DD12B" w:rsidR="001D7FA9" w:rsidRDefault="001D7FA9" w:rsidP="001D7FA9">
      <w:pPr>
        <w:pStyle w:val="SangriaFrancesaArticulo"/>
      </w:pPr>
      <w:r w:rsidRPr="001D7FA9">
        <w:rPr>
          <w:rStyle w:val="TextoNormalNegritaCaracter"/>
        </w:rPr>
        <w:t>Artículo 1.1 d).</w:t>
      </w:r>
      <w:r w:rsidRPr="001D7FA9">
        <w:rPr>
          <w:rStyle w:val="TextoNormalCaracter"/>
        </w:rPr>
        <w:t>-</w:t>
      </w:r>
      <w:r>
        <w:t xml:space="preserve"> Sentencia </w:t>
      </w:r>
      <w:hyperlink w:anchor="SENTENCIA_2025_137" w:history="1">
        <w:r w:rsidRPr="001D7FA9">
          <w:rPr>
            <w:rStyle w:val="TextoNormalCaracter"/>
          </w:rPr>
          <w:t>137/2025</w:t>
        </w:r>
      </w:hyperlink>
      <w:r>
        <w:t>, f. 13, VP III, VP IV.</w:t>
      </w:r>
    </w:p>
    <w:p w14:paraId="3921CF8C" w14:textId="2940EBA4" w:rsidR="001D7FA9" w:rsidRDefault="001D7FA9" w:rsidP="001D7FA9">
      <w:pPr>
        <w:pStyle w:val="SangriaFrancesaArticulo"/>
      </w:pPr>
      <w:r w:rsidRPr="001D7FA9">
        <w:rPr>
          <w:rStyle w:val="TextoNormalNegritaCaracter"/>
        </w:rPr>
        <w:t>Artículo 1.1 e).</w:t>
      </w:r>
      <w:r w:rsidRPr="001D7FA9">
        <w:rPr>
          <w:rStyle w:val="TextoNormalCaracter"/>
        </w:rPr>
        <w:t>-</w:t>
      </w:r>
      <w:r>
        <w:t xml:space="preserve"> Sentencia </w:t>
      </w:r>
      <w:hyperlink w:anchor="SENTENCIA_2025_137" w:history="1">
        <w:r w:rsidRPr="001D7FA9">
          <w:rPr>
            <w:rStyle w:val="TextoNormalCaracter"/>
          </w:rPr>
          <w:t>137/2025</w:t>
        </w:r>
      </w:hyperlink>
      <w:r>
        <w:t>, f. 13, VP IV.</w:t>
      </w:r>
    </w:p>
    <w:p w14:paraId="22E0CCCA" w14:textId="7BE42C23" w:rsidR="001D7FA9" w:rsidRDefault="001D7FA9" w:rsidP="001D7FA9">
      <w:pPr>
        <w:pStyle w:val="SangriaFrancesaArticulo"/>
      </w:pPr>
      <w:r w:rsidRPr="001D7FA9">
        <w:rPr>
          <w:rStyle w:val="TextoNormalNegritaCaracter"/>
        </w:rPr>
        <w:t>Artículo 1.1 f).</w:t>
      </w:r>
      <w:r w:rsidRPr="001D7FA9">
        <w:rPr>
          <w:rStyle w:val="TextoNormalCaracter"/>
        </w:rPr>
        <w:t>-</w:t>
      </w:r>
      <w:r>
        <w:t xml:space="preserve"> Sentencia </w:t>
      </w:r>
      <w:hyperlink w:anchor="SENTENCIA_2025_137" w:history="1">
        <w:r w:rsidRPr="001D7FA9">
          <w:rPr>
            <w:rStyle w:val="TextoNormalCaracter"/>
          </w:rPr>
          <w:t>137/2025</w:t>
        </w:r>
      </w:hyperlink>
      <w:r>
        <w:t>, f. 13, VP III, VP IV.</w:t>
      </w:r>
    </w:p>
    <w:p w14:paraId="11EA6791" w14:textId="3A4917EC" w:rsidR="001D7FA9" w:rsidRDefault="001D7FA9" w:rsidP="001D7FA9">
      <w:pPr>
        <w:pStyle w:val="SangriaFrancesaArticulo"/>
      </w:pPr>
      <w:r w:rsidRPr="001D7FA9">
        <w:rPr>
          <w:rStyle w:val="TextoNormalNegritaCaracter"/>
        </w:rPr>
        <w:t>Artículo 1.1 párrafo primero.</w:t>
      </w:r>
      <w:r w:rsidRPr="001D7FA9">
        <w:rPr>
          <w:rStyle w:val="TextoNormalCaracter"/>
        </w:rPr>
        <w:t>-</w:t>
      </w:r>
      <w:r>
        <w:t xml:space="preserve"> Sentencia </w:t>
      </w:r>
      <w:hyperlink w:anchor="SENTENCIA_2025_137" w:history="1">
        <w:r w:rsidRPr="001D7FA9">
          <w:rPr>
            <w:rStyle w:val="TextoNormalCaracter"/>
          </w:rPr>
          <w:t>137/2025</w:t>
        </w:r>
      </w:hyperlink>
      <w:r>
        <w:t>, f. 13.</w:t>
      </w:r>
    </w:p>
    <w:p w14:paraId="440C3939" w14:textId="00D1D556"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C7EE022" w14:textId="29291241"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137" w:history="1">
        <w:r w:rsidRPr="001D7FA9">
          <w:rPr>
            <w:rStyle w:val="TextoNormalCaracter"/>
          </w:rPr>
          <w:t>137/2025</w:t>
        </w:r>
      </w:hyperlink>
      <w:r>
        <w:t>, ff. 8, 13, VP III, VP IV.</w:t>
      </w:r>
    </w:p>
    <w:p w14:paraId="70A0F782" w14:textId="04964FD2" w:rsidR="001D7FA9" w:rsidRDefault="001D7FA9" w:rsidP="001D7FA9">
      <w:pPr>
        <w:pStyle w:val="SangriaFrancesaArticulo"/>
      </w:pPr>
      <w:r w:rsidRPr="001D7FA9">
        <w:rPr>
          <w:rStyle w:val="TextoNormalNegritaCaracter"/>
        </w:rPr>
        <w:t>Artículo 1.3 párrafo primero.</w:t>
      </w:r>
      <w:r w:rsidRPr="001D7FA9">
        <w:rPr>
          <w:rStyle w:val="TextoNormalCaracter"/>
        </w:rPr>
        <w:t>-</w:t>
      </w:r>
      <w:r>
        <w:t xml:space="preserve"> Sentencia </w:t>
      </w:r>
      <w:hyperlink w:anchor="SENTENCIA_2025_137" w:history="1">
        <w:r w:rsidRPr="001D7FA9">
          <w:rPr>
            <w:rStyle w:val="TextoNormalCaracter"/>
          </w:rPr>
          <w:t>137/2025</w:t>
        </w:r>
      </w:hyperlink>
      <w:r>
        <w:t>, ff. 8, 13, VP IV.</w:t>
      </w:r>
    </w:p>
    <w:p w14:paraId="4C8FB703" w14:textId="70F624EB" w:rsidR="001D7FA9" w:rsidRDefault="001D7FA9" w:rsidP="001D7FA9">
      <w:pPr>
        <w:pStyle w:val="SangriaFrancesaArticulo"/>
      </w:pPr>
      <w:r w:rsidRPr="001D7FA9">
        <w:rPr>
          <w:rStyle w:val="TextoNormalNegritaCaracter"/>
        </w:rPr>
        <w:t>Artículo 1.3 párrafo segundo.</w:t>
      </w:r>
      <w:r w:rsidRPr="001D7FA9">
        <w:rPr>
          <w:rStyle w:val="TextoNormalCaracter"/>
        </w:rPr>
        <w:t>-</w:t>
      </w:r>
      <w:r>
        <w:t xml:space="preserve"> Sentencia </w:t>
      </w:r>
      <w:hyperlink w:anchor="SENTENCIA_2025_137" w:history="1">
        <w:r w:rsidRPr="001D7FA9">
          <w:rPr>
            <w:rStyle w:val="TextoNormalCaracter"/>
          </w:rPr>
          <w:t>137/2025</w:t>
        </w:r>
      </w:hyperlink>
      <w:r>
        <w:t>, ff. 8, 13, VP IV.</w:t>
      </w:r>
    </w:p>
    <w:p w14:paraId="0F0F31B0" w14:textId="6FF043DF"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 </w:t>
      </w:r>
      <w:hyperlink w:anchor="SENTENCIA_2025_137" w:history="1">
        <w:r w:rsidRPr="001D7FA9">
          <w:rPr>
            <w:rStyle w:val="TextoNormalCaracter"/>
          </w:rPr>
          <w:t>137/2025</w:t>
        </w:r>
      </w:hyperlink>
      <w:r>
        <w:t>, VP I, VP III.</w:t>
      </w:r>
    </w:p>
    <w:p w14:paraId="51327245" w14:textId="66B2C9AC"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137" w:history="1">
        <w:r w:rsidRPr="001D7FA9">
          <w:rPr>
            <w:rStyle w:val="TextoNormalCaracter"/>
          </w:rPr>
          <w:t>137/2025</w:t>
        </w:r>
      </w:hyperlink>
      <w:r>
        <w:t>, ff. 10, 13, 14, 16, VP III, VP IV.</w:t>
      </w:r>
    </w:p>
    <w:p w14:paraId="09F43601" w14:textId="37795DE9"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BD9BB55" w14:textId="74000E42" w:rsidR="001D7FA9" w:rsidRDefault="001D7FA9" w:rsidP="001D7FA9">
      <w:pPr>
        <w:pStyle w:val="SangriaFrancesaArticulo"/>
      </w:pPr>
      <w:r w:rsidRPr="001D7FA9">
        <w:rPr>
          <w:rStyle w:val="TextoNormalNegritaCaracter"/>
        </w:rPr>
        <w:t>Artículo 2 a).</w:t>
      </w:r>
      <w:r w:rsidRPr="001D7FA9">
        <w:rPr>
          <w:rStyle w:val="TextoNormalCaracter"/>
        </w:rPr>
        <w:t>-</w:t>
      </w:r>
      <w:r>
        <w:t xml:space="preserve"> Sentencia </w:t>
      </w:r>
      <w:hyperlink w:anchor="SENTENCIA_2025_137" w:history="1">
        <w:r w:rsidRPr="001D7FA9">
          <w:rPr>
            <w:rStyle w:val="TextoNormalCaracter"/>
          </w:rPr>
          <w:t>137/2025</w:t>
        </w:r>
      </w:hyperlink>
      <w:r>
        <w:t>, ff. 1, 14, VP I, VP IV.</w:t>
      </w:r>
    </w:p>
    <w:p w14:paraId="37819DA9" w14:textId="522136BE" w:rsidR="001D7FA9" w:rsidRDefault="001D7FA9" w:rsidP="001D7FA9">
      <w:pPr>
        <w:pStyle w:val="SangriaFrancesaArticulo"/>
      </w:pPr>
      <w:r w:rsidRPr="001D7FA9">
        <w:rPr>
          <w:rStyle w:val="TextoNormalNegritaCaracter"/>
        </w:rPr>
        <w:t>Artículo 2 b).</w:t>
      </w:r>
      <w:r w:rsidRPr="001D7FA9">
        <w:rPr>
          <w:rStyle w:val="TextoNormalCaracter"/>
        </w:rPr>
        <w:t>-</w:t>
      </w:r>
      <w:r>
        <w:t xml:space="preserve"> Sentencia </w:t>
      </w:r>
      <w:hyperlink w:anchor="SENTENCIA_2025_137" w:history="1">
        <w:r w:rsidRPr="001D7FA9">
          <w:rPr>
            <w:rStyle w:val="TextoNormalCaracter"/>
          </w:rPr>
          <w:t>137/2025</w:t>
        </w:r>
      </w:hyperlink>
      <w:r>
        <w:t>, f. 8, VP I.</w:t>
      </w:r>
    </w:p>
    <w:p w14:paraId="0728488C" w14:textId="3FA81CC0" w:rsidR="001D7FA9" w:rsidRDefault="001D7FA9" w:rsidP="001D7FA9">
      <w:pPr>
        <w:pStyle w:val="SangriaFrancesaArticulo"/>
      </w:pPr>
      <w:r w:rsidRPr="001D7FA9">
        <w:rPr>
          <w:rStyle w:val="TextoNormalNegritaCaracter"/>
        </w:rPr>
        <w:t>Artículo 2 c).</w:t>
      </w:r>
      <w:r w:rsidRPr="001D7FA9">
        <w:rPr>
          <w:rStyle w:val="TextoNormalCaracter"/>
        </w:rPr>
        <w:t>-</w:t>
      </w:r>
      <w:r>
        <w:t xml:space="preserve"> Sentencia </w:t>
      </w:r>
      <w:hyperlink w:anchor="SENTENCIA_2025_137" w:history="1">
        <w:r w:rsidRPr="001D7FA9">
          <w:rPr>
            <w:rStyle w:val="TextoNormalCaracter"/>
          </w:rPr>
          <w:t>137/2025</w:t>
        </w:r>
      </w:hyperlink>
      <w:r>
        <w:t>, ff. 1, 8, 14, VP I, VP III, VP IV.</w:t>
      </w:r>
    </w:p>
    <w:p w14:paraId="7F34CB89" w14:textId="20FFF3E8"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633EECB" w14:textId="02617086" w:rsidR="001D7FA9" w:rsidRDefault="001D7FA9" w:rsidP="001D7FA9">
      <w:pPr>
        <w:pStyle w:val="SangriaFrancesaArticulo"/>
      </w:pPr>
      <w:r w:rsidRPr="001D7FA9">
        <w:rPr>
          <w:rStyle w:val="TextoNormalNegritaCaracter"/>
        </w:rPr>
        <w:t>Artículo 2 d).</w:t>
      </w:r>
      <w:r w:rsidRPr="001D7FA9">
        <w:rPr>
          <w:rStyle w:val="TextoNormalCaracter"/>
        </w:rPr>
        <w:t>-</w:t>
      </w:r>
      <w:r>
        <w:t xml:space="preserve"> Sentencia </w:t>
      </w:r>
      <w:hyperlink w:anchor="SENTENCIA_2025_137" w:history="1">
        <w:r w:rsidRPr="001D7FA9">
          <w:rPr>
            <w:rStyle w:val="TextoNormalCaracter"/>
          </w:rPr>
          <w:t>137/2025</w:t>
        </w:r>
      </w:hyperlink>
      <w:r>
        <w:t>, ff. 1, 8, 14, VP IV.</w:t>
      </w:r>
    </w:p>
    <w:p w14:paraId="4B31F534" w14:textId="78D7027E" w:rsidR="001D7FA9" w:rsidRDefault="001D7FA9" w:rsidP="001D7FA9">
      <w:pPr>
        <w:pStyle w:val="SangriaFrancesaArticulo"/>
      </w:pPr>
      <w:r w:rsidRPr="001D7FA9">
        <w:rPr>
          <w:rStyle w:val="TextoNormalNegritaCaracter"/>
        </w:rPr>
        <w:t>Artículo 2 e).</w:t>
      </w:r>
      <w:r w:rsidRPr="001D7FA9">
        <w:rPr>
          <w:rStyle w:val="TextoNormalCaracter"/>
        </w:rPr>
        <w:t>-</w:t>
      </w:r>
      <w:r>
        <w:t xml:space="preserve"> Sentencia </w:t>
      </w:r>
      <w:hyperlink w:anchor="SENTENCIA_2025_137" w:history="1">
        <w:r w:rsidRPr="001D7FA9">
          <w:rPr>
            <w:rStyle w:val="TextoNormalCaracter"/>
          </w:rPr>
          <w:t>137/2025</w:t>
        </w:r>
      </w:hyperlink>
      <w:r>
        <w:t>, f. 8, VP III.</w:t>
      </w:r>
    </w:p>
    <w:p w14:paraId="51277FCC" w14:textId="03EEA4BE"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13286C4" w14:textId="5B043CBF" w:rsidR="001D7FA9" w:rsidRDefault="001D7FA9" w:rsidP="001D7FA9">
      <w:pPr>
        <w:pStyle w:val="SangriaFrancesaArticulo"/>
      </w:pPr>
      <w:r w:rsidRPr="001D7FA9">
        <w:rPr>
          <w:rStyle w:val="TextoNormalNegritaCaracter"/>
        </w:rPr>
        <w:t>Artículo 2 f).</w:t>
      </w:r>
      <w:r w:rsidRPr="001D7FA9">
        <w:rPr>
          <w:rStyle w:val="TextoNormalCaracter"/>
        </w:rPr>
        <w:t>-</w:t>
      </w:r>
      <w:r>
        <w:t xml:space="preserve"> Sentencia </w:t>
      </w:r>
      <w:hyperlink w:anchor="SENTENCIA_2025_137" w:history="1">
        <w:r w:rsidRPr="001D7FA9">
          <w:rPr>
            <w:rStyle w:val="TextoNormalCaracter"/>
          </w:rPr>
          <w:t>137/2025</w:t>
        </w:r>
      </w:hyperlink>
      <w:r>
        <w:t>, ff. 1, 8.</w:t>
      </w:r>
    </w:p>
    <w:p w14:paraId="2FFBB1FA" w14:textId="288D4CD2" w:rsidR="001D7FA9" w:rsidRDefault="001D7FA9" w:rsidP="001D7FA9">
      <w:pPr>
        <w:pStyle w:val="SangriaFrancesaArticulo"/>
      </w:pPr>
      <w:r w:rsidRPr="001D7FA9">
        <w:rPr>
          <w:rStyle w:val="TextoNormalNegritaCaracter"/>
        </w:rPr>
        <w:t>Artículo 2 g).</w:t>
      </w:r>
      <w:r w:rsidRPr="001D7FA9">
        <w:rPr>
          <w:rStyle w:val="TextoNormalCaracter"/>
        </w:rPr>
        <w:t>-</w:t>
      </w:r>
      <w:r>
        <w:t xml:space="preserve"> Sentencia </w:t>
      </w:r>
      <w:hyperlink w:anchor="SENTENCIA_2025_137" w:history="1">
        <w:r w:rsidRPr="001D7FA9">
          <w:rPr>
            <w:rStyle w:val="TextoNormalCaracter"/>
          </w:rPr>
          <w:t>137/2025</w:t>
        </w:r>
      </w:hyperlink>
      <w:r>
        <w:t>, f. 10.</w:t>
      </w:r>
    </w:p>
    <w:p w14:paraId="2FB67257" w14:textId="3EEA4145"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4EB2376B" w14:textId="26E9EE30"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137" w:history="1">
        <w:r w:rsidRPr="001D7FA9">
          <w:rPr>
            <w:rStyle w:val="TextoNormalCaracter"/>
          </w:rPr>
          <w:t>137/2025</w:t>
        </w:r>
      </w:hyperlink>
      <w:r>
        <w:t>, f. 15, VP III, VP IV.</w:t>
      </w:r>
    </w:p>
    <w:p w14:paraId="40179A94" w14:textId="4BAF7C8E" w:rsidR="001D7FA9" w:rsidRDefault="001D7FA9" w:rsidP="001D7FA9">
      <w:pPr>
        <w:pStyle w:val="SangriaFrancesaArticulo"/>
      </w:pPr>
      <w:r w:rsidRPr="001D7FA9">
        <w:rPr>
          <w:rStyle w:val="TextoNormalNegritaCaracter"/>
        </w:rPr>
        <w:t>Artículo 4 a).</w:t>
      </w:r>
      <w:r w:rsidRPr="001D7FA9">
        <w:rPr>
          <w:rStyle w:val="TextoNormalCaracter"/>
        </w:rPr>
        <w:t>-</w:t>
      </w:r>
      <w:r>
        <w:t xml:space="preserve"> Sentencia </w:t>
      </w:r>
      <w:hyperlink w:anchor="SENTENCIA_2025_137" w:history="1">
        <w:r w:rsidRPr="001D7FA9">
          <w:rPr>
            <w:rStyle w:val="TextoNormalCaracter"/>
          </w:rPr>
          <w:t>137/2025</w:t>
        </w:r>
      </w:hyperlink>
      <w:r>
        <w:t>, ff. 1, 15.</w:t>
      </w:r>
    </w:p>
    <w:p w14:paraId="58FFC1F0" w14:textId="56DDA52A" w:rsidR="001D7FA9" w:rsidRDefault="001D7FA9" w:rsidP="001D7FA9">
      <w:pPr>
        <w:pStyle w:val="SangriaFrancesaArticulo"/>
      </w:pPr>
      <w:r w:rsidRPr="001D7FA9">
        <w:rPr>
          <w:rStyle w:val="TextoNormalNegritaCaracter"/>
        </w:rPr>
        <w:t>Artículo 4 a) párrafo segundo.</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F4C3FE5" w14:textId="63DABD71" w:rsidR="001D7FA9" w:rsidRDefault="001D7FA9" w:rsidP="001D7FA9">
      <w:pPr>
        <w:pStyle w:val="SangriaFrancesaArticulo"/>
      </w:pPr>
      <w:r w:rsidRPr="001D7FA9">
        <w:rPr>
          <w:rStyle w:val="TextoNormalNegritaCaracter"/>
        </w:rPr>
        <w:t>Artículo 4 b).</w:t>
      </w:r>
      <w:r w:rsidRPr="001D7FA9">
        <w:rPr>
          <w:rStyle w:val="TextoNormalCaracter"/>
        </w:rPr>
        <w:t>-</w:t>
      </w:r>
      <w:r>
        <w:t xml:space="preserve"> Sentencia </w:t>
      </w:r>
      <w:hyperlink w:anchor="SENTENCIA_2025_137" w:history="1">
        <w:r w:rsidRPr="001D7FA9">
          <w:rPr>
            <w:rStyle w:val="TextoNormalCaracter"/>
          </w:rPr>
          <w:t>137/2025</w:t>
        </w:r>
      </w:hyperlink>
      <w:r>
        <w:t>, ff. 1, 15, VP III, VP IV.</w:t>
      </w:r>
    </w:p>
    <w:p w14:paraId="4946C760" w14:textId="465E070D"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24E260A" w14:textId="2D6DC3FE" w:rsidR="001D7FA9" w:rsidRDefault="001D7FA9" w:rsidP="001D7FA9">
      <w:pPr>
        <w:pStyle w:val="SangriaFrancesaArticulo"/>
      </w:pPr>
      <w:r w:rsidRPr="001D7FA9">
        <w:rPr>
          <w:rStyle w:val="TextoNormalNegritaCaracter"/>
        </w:rPr>
        <w:t>Artículo 4 c).</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665D66B2" w14:textId="72D4E546" w:rsidR="001D7FA9" w:rsidRDefault="001D7FA9" w:rsidP="001D7FA9">
      <w:pPr>
        <w:pStyle w:val="SangriaFrancesaArticulo"/>
      </w:pPr>
      <w:r w:rsidRPr="001D7FA9">
        <w:rPr>
          <w:rStyle w:val="TextoNormalNegritaCaracter"/>
        </w:rPr>
        <w:t>Artículo 4 d).</w:t>
      </w:r>
      <w:r w:rsidRPr="001D7FA9">
        <w:rPr>
          <w:rStyle w:val="TextoNormalCaracter"/>
        </w:rPr>
        <w:t>-</w:t>
      </w:r>
      <w:r>
        <w:t xml:space="preserve"> Sentencia </w:t>
      </w:r>
      <w:hyperlink w:anchor="SENTENCIA_2025_137" w:history="1">
        <w:r w:rsidRPr="001D7FA9">
          <w:rPr>
            <w:rStyle w:val="TextoNormalCaracter"/>
          </w:rPr>
          <w:t>137/2025</w:t>
        </w:r>
      </w:hyperlink>
      <w:r>
        <w:t>, ff. 1, 15, VP III.</w:t>
      </w:r>
    </w:p>
    <w:p w14:paraId="4D2DE337" w14:textId="481DEFFE" w:rsidR="001D7FA9" w:rsidRDefault="001D7FA9" w:rsidP="001D7FA9">
      <w:pPr>
        <w:pStyle w:val="SangriaFrancesaArticulo"/>
      </w:pPr>
      <w:r w:rsidRPr="001D7FA9">
        <w:rPr>
          <w:rStyle w:val="TextoNormalNegritaCaracter"/>
        </w:rPr>
        <w:t>Artículo 4 f).</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852BA71" w14:textId="71D6FE83" w:rsidR="001D7FA9" w:rsidRDefault="001D7FA9" w:rsidP="001D7FA9">
      <w:pPr>
        <w:pStyle w:val="SangriaFrancesaArticulo"/>
      </w:pPr>
      <w:r w:rsidRPr="001D7FA9">
        <w:rPr>
          <w:rStyle w:val="TextoNormalNegritaCaracter"/>
        </w:rPr>
        <w:t>Artículos 4 a 16.</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A6266A4" w14:textId="2603B987"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137" w:history="1">
        <w:r w:rsidRPr="001D7FA9">
          <w:rPr>
            <w:rStyle w:val="TextoNormalCaracter"/>
          </w:rPr>
          <w:t>137/2025</w:t>
        </w:r>
      </w:hyperlink>
      <w:r>
        <w:t>, f. 16.</w:t>
      </w:r>
    </w:p>
    <w:p w14:paraId="0B74FBB1" w14:textId="6CEF31F7" w:rsidR="001D7FA9" w:rsidRDefault="001D7FA9" w:rsidP="001D7FA9">
      <w:pPr>
        <w:pStyle w:val="SangriaFrancesaArticulo"/>
      </w:pPr>
      <w:r w:rsidRPr="001D7FA9">
        <w:rPr>
          <w:rStyle w:val="TextoNormalNegritaCaracter"/>
        </w:rPr>
        <w:t>Artículo 5.2.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3F5D664" w14:textId="4A45902E" w:rsidR="001D7FA9" w:rsidRDefault="001D7FA9" w:rsidP="001D7FA9">
      <w:pPr>
        <w:pStyle w:val="SangriaFrancesaArticulo"/>
      </w:pPr>
      <w:r w:rsidRPr="001D7FA9">
        <w:rPr>
          <w:rStyle w:val="TextoNormalNegritaCaracter"/>
        </w:rPr>
        <w:t>Artículo 5.3.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47548AF" w14:textId="2B9CBB5F"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137" w:history="1">
        <w:r w:rsidRPr="001D7FA9">
          <w:rPr>
            <w:rStyle w:val="TextoNormalCaracter"/>
          </w:rPr>
          <w:t>137/2025</w:t>
        </w:r>
      </w:hyperlink>
      <w:r>
        <w:t>, ff. 8, 16.</w:t>
      </w:r>
    </w:p>
    <w:p w14:paraId="1E747517" w14:textId="0FCE352F" w:rsidR="001D7FA9" w:rsidRDefault="001D7FA9" w:rsidP="001D7FA9">
      <w:pPr>
        <w:pStyle w:val="SangriaFrancesaArticulo"/>
      </w:pPr>
      <w:r w:rsidRPr="001D7FA9">
        <w:rPr>
          <w:rStyle w:val="TextoNormalNegritaCaracter"/>
        </w:rPr>
        <w:t>Artículo 7.2.</w:t>
      </w:r>
      <w:r w:rsidRPr="001D7FA9">
        <w:rPr>
          <w:rStyle w:val="TextoNormalCaracter"/>
        </w:rPr>
        <w:t>-</w:t>
      </w:r>
      <w:r>
        <w:t xml:space="preserve"> Sentencia </w:t>
      </w:r>
      <w:hyperlink w:anchor="SENTENCIA_2025_137" w:history="1">
        <w:r w:rsidRPr="001D7FA9">
          <w:rPr>
            <w:rStyle w:val="TextoNormalCaracter"/>
          </w:rPr>
          <w:t>137/2025</w:t>
        </w:r>
      </w:hyperlink>
      <w:r>
        <w:t>, ff. 1, 16.</w:t>
      </w:r>
    </w:p>
    <w:p w14:paraId="0ECED9E0" w14:textId="3C90105B"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0CCB1266" w14:textId="666FD8B3" w:rsidR="001D7FA9" w:rsidRDefault="001D7FA9" w:rsidP="001D7FA9">
      <w:pPr>
        <w:pStyle w:val="SangriaFrancesaArticulo"/>
      </w:pPr>
      <w:r w:rsidRPr="001D7FA9">
        <w:rPr>
          <w:rStyle w:val="TextoNormalNegritaCaracter"/>
        </w:rPr>
        <w:t>Artículo 8.2.</w:t>
      </w:r>
      <w:r w:rsidRPr="001D7FA9">
        <w:rPr>
          <w:rStyle w:val="TextoNormalCaracter"/>
        </w:rPr>
        <w:t>-</w:t>
      </w:r>
      <w:r>
        <w:t xml:space="preserve"> Sentencia </w:t>
      </w:r>
      <w:hyperlink w:anchor="SENTENCIA_2025_137" w:history="1">
        <w:r w:rsidRPr="001D7FA9">
          <w:rPr>
            <w:rStyle w:val="TextoNormalCaracter"/>
          </w:rPr>
          <w:t>137/2025</w:t>
        </w:r>
      </w:hyperlink>
      <w:r>
        <w:t>, ff. 1, 8, 9, 15, 17, VP III, VP IV.</w:t>
      </w:r>
    </w:p>
    <w:p w14:paraId="0DCDA561" w14:textId="697508E0" w:rsidR="001D7FA9" w:rsidRDefault="001D7FA9" w:rsidP="001D7FA9">
      <w:pPr>
        <w:pStyle w:val="SangriaFrancesaArticulo"/>
      </w:pPr>
      <w:r w:rsidRPr="001D7FA9">
        <w:rPr>
          <w:rStyle w:val="TextoNormalNegritaCaracter"/>
        </w:rPr>
        <w:t>Artículo 8.3.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77D93B1" w14:textId="1B551860" w:rsidR="001D7FA9" w:rsidRDefault="001D7FA9" w:rsidP="001D7FA9">
      <w:pPr>
        <w:pStyle w:val="SangriaFrancesaArticulo"/>
      </w:pPr>
      <w:r w:rsidRPr="001D7FA9">
        <w:rPr>
          <w:rStyle w:val="TextoNormalNegritaCaracter"/>
        </w:rPr>
        <w:t>Artículo 9.</w:t>
      </w:r>
      <w:r w:rsidRPr="001D7FA9">
        <w:rPr>
          <w:rStyle w:val="TextoNormalCaracter"/>
        </w:rPr>
        <w:t>-</w:t>
      </w:r>
      <w:r>
        <w:t xml:space="preserve"> Sentencia </w:t>
      </w:r>
      <w:hyperlink w:anchor="SENTENCIA_2025_137" w:history="1">
        <w:r w:rsidRPr="001D7FA9">
          <w:rPr>
            <w:rStyle w:val="TextoNormalCaracter"/>
          </w:rPr>
          <w:t>137/2025</w:t>
        </w:r>
      </w:hyperlink>
      <w:r>
        <w:t>, f. 18.</w:t>
      </w:r>
    </w:p>
    <w:p w14:paraId="77C3BF1E" w14:textId="7DE9452B" w:rsidR="001D7FA9" w:rsidRDefault="001D7FA9" w:rsidP="001D7FA9">
      <w:pPr>
        <w:pStyle w:val="SangriaFrancesaArticulo"/>
      </w:pPr>
      <w:r w:rsidRPr="001D7FA9">
        <w:rPr>
          <w:rStyle w:val="TextoNormalNegritaCaracter"/>
        </w:rPr>
        <w:t>Artículo 9.2.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C5D3638" w14:textId="2E5CDFC4"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Sentencia </w:t>
      </w:r>
      <w:hyperlink w:anchor="SENTENCIA_2025_137" w:history="1">
        <w:r w:rsidRPr="001D7FA9">
          <w:rPr>
            <w:rStyle w:val="TextoNormalCaracter"/>
          </w:rPr>
          <w:t>137/2025</w:t>
        </w:r>
      </w:hyperlink>
      <w:r>
        <w:t>, f. 18.</w:t>
      </w:r>
    </w:p>
    <w:p w14:paraId="7696E907" w14:textId="54C7CE82"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137" w:history="1">
        <w:r w:rsidRPr="001D7FA9">
          <w:rPr>
            <w:rStyle w:val="TextoNormalCaracter"/>
          </w:rPr>
          <w:t>137/2025</w:t>
        </w:r>
      </w:hyperlink>
      <w:r>
        <w:t>, ff. 18, 20, VP III.</w:t>
      </w:r>
    </w:p>
    <w:p w14:paraId="103DA4B9" w14:textId="44C6A548" w:rsidR="001D7FA9" w:rsidRDefault="001D7FA9" w:rsidP="001D7FA9">
      <w:pPr>
        <w:pStyle w:val="SangriaFrancesaArticulo"/>
      </w:pPr>
      <w:r w:rsidRPr="001D7FA9">
        <w:rPr>
          <w:rStyle w:val="TextoNormalNegritaCaracter"/>
        </w:rPr>
        <w:t>Artículo 10 párrafo segundo.</w:t>
      </w:r>
      <w:r w:rsidRPr="001D7FA9">
        <w:rPr>
          <w:rStyle w:val="TextoNormalCaracter"/>
        </w:rPr>
        <w:t>-</w:t>
      </w:r>
      <w:r>
        <w:t xml:space="preserve"> Sentencias </w:t>
      </w:r>
      <w:hyperlink w:anchor="SENTENCIA_2025_137" w:history="1">
        <w:r w:rsidRPr="001D7FA9">
          <w:rPr>
            <w:rStyle w:val="TextoNormalCaracter"/>
          </w:rPr>
          <w:t>137/2025</w:t>
        </w:r>
      </w:hyperlink>
      <w:r>
        <w:t xml:space="preserve">, f. 18; </w:t>
      </w:r>
      <w:hyperlink w:anchor="SENTENCIA_2025_137" w:history="1">
        <w:r w:rsidRPr="001D7FA9">
          <w:rPr>
            <w:rStyle w:val="TextoNormalCaracter"/>
          </w:rPr>
          <w:t>137/2025</w:t>
        </w:r>
      </w:hyperlink>
      <w:r>
        <w:t>, f. 1.</w:t>
      </w:r>
    </w:p>
    <w:p w14:paraId="09A55219" w14:textId="40FBA264" w:rsidR="001D7FA9" w:rsidRDefault="001D7FA9" w:rsidP="001D7FA9">
      <w:pPr>
        <w:pStyle w:val="SangriaFrancesaArticulo"/>
      </w:pPr>
      <w:r w:rsidRPr="001D7FA9">
        <w:rPr>
          <w:rStyle w:val="TextoNormalNegritaCaracter"/>
        </w:rPr>
        <w:t>Artículo 10 último inciso.</w:t>
      </w:r>
      <w:r w:rsidRPr="001D7FA9">
        <w:rPr>
          <w:rStyle w:val="TextoNormalCaracter"/>
        </w:rPr>
        <w:t>-</w:t>
      </w:r>
      <w:r>
        <w:t xml:space="preserve"> Sentencia </w:t>
      </w:r>
      <w:hyperlink w:anchor="SENTENCIA_2025_137" w:history="1">
        <w:r w:rsidRPr="001D7FA9">
          <w:rPr>
            <w:rStyle w:val="TextoNormalCaracter"/>
          </w:rPr>
          <w:t>137/2025</w:t>
        </w:r>
      </w:hyperlink>
      <w:r>
        <w:t>, f. 18.</w:t>
      </w:r>
    </w:p>
    <w:p w14:paraId="509286D6" w14:textId="300ECDD8"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137" w:history="1">
        <w:r w:rsidRPr="001D7FA9">
          <w:rPr>
            <w:rStyle w:val="TextoNormalCaracter"/>
          </w:rPr>
          <w:t>137/2025</w:t>
        </w:r>
      </w:hyperlink>
      <w:r>
        <w:t>, ff. 1, 19, VP III.</w:t>
      </w:r>
    </w:p>
    <w:p w14:paraId="21F18332" w14:textId="79D694A3" w:rsidR="001D7FA9" w:rsidRDefault="001D7FA9" w:rsidP="001D7FA9">
      <w:pPr>
        <w:pStyle w:val="SangriaFrancesaArticulo"/>
      </w:pPr>
      <w:r w:rsidRPr="001D7FA9">
        <w:rPr>
          <w:rStyle w:val="TextoNormalNegritaCaracter"/>
        </w:rPr>
        <w:t>Artículo 11.2.</w:t>
      </w:r>
      <w:r w:rsidRPr="001D7FA9">
        <w:rPr>
          <w:rStyle w:val="TextoNormalCaracter"/>
        </w:rPr>
        <w:t>-</w:t>
      </w:r>
      <w:r>
        <w:t xml:space="preserve"> Sentencia </w:t>
      </w:r>
      <w:hyperlink w:anchor="SENTENCIA_2025_137" w:history="1">
        <w:r w:rsidRPr="001D7FA9">
          <w:rPr>
            <w:rStyle w:val="TextoNormalCaracter"/>
          </w:rPr>
          <w:t>137/2025</w:t>
        </w:r>
      </w:hyperlink>
      <w:r>
        <w:t>, ff. 1, 19, VP III.</w:t>
      </w:r>
    </w:p>
    <w:p w14:paraId="16576232" w14:textId="3415EA80"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Sentencia </w:t>
      </w:r>
      <w:hyperlink w:anchor="SENTENCIA_2025_137" w:history="1">
        <w:r w:rsidRPr="001D7FA9">
          <w:rPr>
            <w:rStyle w:val="TextoNormalCaracter"/>
          </w:rPr>
          <w:t>137/2025</w:t>
        </w:r>
      </w:hyperlink>
      <w:r>
        <w:t>, ff. 1, 19.</w:t>
      </w:r>
    </w:p>
    <w:p w14:paraId="1EA8729F" w14:textId="349B6E88" w:rsidR="001D7FA9" w:rsidRDefault="001D7FA9" w:rsidP="001D7FA9">
      <w:pPr>
        <w:pStyle w:val="SangriaFrancesaArticulo"/>
      </w:pPr>
      <w:r w:rsidRPr="001D7FA9">
        <w:rPr>
          <w:rStyle w:val="TextoNormalNegritaCaracter"/>
        </w:rPr>
        <w:t>Artículo 11.5.</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654C737D" w14:textId="32631704"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6AC08E08" w14:textId="6787B218"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0AD76F01" w14:textId="1F382381"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684850CC" w14:textId="6C0A8419" w:rsidR="001D7FA9" w:rsidRDefault="001D7FA9" w:rsidP="001D7FA9">
      <w:pPr>
        <w:pStyle w:val="SangriaFrancesaArticulo"/>
      </w:pPr>
      <w:r w:rsidRPr="001D7FA9">
        <w:rPr>
          <w:rStyle w:val="TextoNormalNegritaCaracter"/>
        </w:rPr>
        <w:t>Artículo 12.3.</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ECF4B31" w14:textId="1C31A876" w:rsidR="001D7FA9" w:rsidRDefault="001D7FA9" w:rsidP="001D7FA9">
      <w:pPr>
        <w:pStyle w:val="SangriaFrancesaArticulo"/>
      </w:pPr>
      <w:r w:rsidRPr="001D7FA9">
        <w:rPr>
          <w:rStyle w:val="TextoNormalNegritaCaracter"/>
        </w:rPr>
        <w:t>Artículo 12.4.</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31CE15CF" w14:textId="0CDA8451"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137" w:history="1">
        <w:r w:rsidRPr="001D7FA9">
          <w:rPr>
            <w:rStyle w:val="TextoNormalCaracter"/>
          </w:rPr>
          <w:t>137/2025</w:t>
        </w:r>
      </w:hyperlink>
      <w:r>
        <w:t>, ff. 11, 20, VP III.</w:t>
      </w:r>
    </w:p>
    <w:p w14:paraId="109C8CB2" w14:textId="7AFEF35A" w:rsidR="001D7FA9" w:rsidRDefault="001D7FA9" w:rsidP="001D7FA9">
      <w:pPr>
        <w:pStyle w:val="SangriaFrancesaArticulo"/>
      </w:pPr>
      <w:r w:rsidRPr="001D7FA9">
        <w:rPr>
          <w:rStyle w:val="TextoNormalNegritaCaracter"/>
        </w:rPr>
        <w:t>Artículo 13.2.</w:t>
      </w:r>
      <w:r w:rsidRPr="001D7FA9">
        <w:rPr>
          <w:rStyle w:val="TextoNormalCaracter"/>
        </w:rPr>
        <w:t>-</w:t>
      </w:r>
      <w:r>
        <w:t xml:space="preserve"> Sentencia </w:t>
      </w:r>
      <w:hyperlink w:anchor="SENTENCIA_2025_137" w:history="1">
        <w:r w:rsidRPr="001D7FA9">
          <w:rPr>
            <w:rStyle w:val="TextoNormalCaracter"/>
          </w:rPr>
          <w:t>137/2025</w:t>
        </w:r>
      </w:hyperlink>
      <w:r>
        <w:t>, ff. 1, 20.</w:t>
      </w:r>
    </w:p>
    <w:p w14:paraId="7AA03CCA" w14:textId="53A69B10" w:rsidR="001D7FA9" w:rsidRDefault="001D7FA9" w:rsidP="001D7FA9">
      <w:pPr>
        <w:pStyle w:val="SangriaFrancesaArticulo"/>
      </w:pPr>
      <w:r w:rsidRPr="001D7FA9">
        <w:rPr>
          <w:rStyle w:val="TextoNormalNegritaCaracter"/>
        </w:rPr>
        <w:t>Artículo 13.3.</w:t>
      </w:r>
      <w:r w:rsidRPr="001D7FA9">
        <w:rPr>
          <w:rStyle w:val="TextoNormalCaracter"/>
        </w:rPr>
        <w:t>-</w:t>
      </w:r>
      <w:r>
        <w:t xml:space="preserve"> Sentencia </w:t>
      </w:r>
      <w:hyperlink w:anchor="SENTENCIA_2025_137" w:history="1">
        <w:r w:rsidRPr="001D7FA9">
          <w:rPr>
            <w:rStyle w:val="TextoNormalCaracter"/>
          </w:rPr>
          <w:t>137/2025</w:t>
        </w:r>
      </w:hyperlink>
      <w:r>
        <w:t>, ff. 1, 20, VP III.</w:t>
      </w:r>
    </w:p>
    <w:p w14:paraId="5AE505CD" w14:textId="15F3548A" w:rsidR="001D7FA9" w:rsidRDefault="001D7FA9" w:rsidP="001D7FA9">
      <w:pPr>
        <w:pStyle w:val="SangriaFrancesaArticulo"/>
      </w:pPr>
      <w:r w:rsidRPr="001D7FA9">
        <w:rPr>
          <w:rStyle w:val="TextoNormalNegritaCaracter"/>
        </w:rPr>
        <w:t>Artículo 16.</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254E0AF" w14:textId="6873561B" w:rsidR="001D7FA9" w:rsidRDefault="001D7FA9" w:rsidP="001D7FA9">
      <w:pPr>
        <w:pStyle w:val="SangriaFrancesaArticulo"/>
      </w:pPr>
      <w:r w:rsidRPr="001D7FA9">
        <w:rPr>
          <w:rStyle w:val="TextoNormalNegritaCaracter"/>
        </w:rPr>
        <w:t>Artículo 16.1.</w:t>
      </w:r>
      <w:r w:rsidRPr="001D7FA9">
        <w:rPr>
          <w:rStyle w:val="TextoNormalCaracter"/>
        </w:rPr>
        <w:t>-</w:t>
      </w:r>
      <w:r>
        <w:t xml:space="preserve"> Sentencia </w:t>
      </w:r>
      <w:hyperlink w:anchor="SENTENCIA_2025_137" w:history="1">
        <w:r w:rsidRPr="001D7FA9">
          <w:rPr>
            <w:rStyle w:val="TextoNormalCaracter"/>
          </w:rPr>
          <w:t>137/2025</w:t>
        </w:r>
      </w:hyperlink>
      <w:r>
        <w:t>, ff. 19, 20.</w:t>
      </w:r>
    </w:p>
    <w:p w14:paraId="6194AAD1" w14:textId="7DF9C29B" w:rsidR="001D7FA9" w:rsidRDefault="001D7FA9" w:rsidP="001D7FA9">
      <w:pPr>
        <w:pStyle w:val="SangriaFrancesaArticulo"/>
      </w:pPr>
      <w:r w:rsidRPr="001D7FA9">
        <w:rPr>
          <w:rStyle w:val="TextoNormalNegritaCaracter"/>
        </w:rPr>
        <w:t>Artículo 16.2.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510717CA" w14:textId="45785CDB" w:rsidR="001D7FA9" w:rsidRDefault="001D7FA9" w:rsidP="001D7FA9">
      <w:pPr>
        <w:pStyle w:val="SangriaFrancesaArticulo"/>
      </w:pPr>
      <w:r w:rsidRPr="001D7FA9">
        <w:rPr>
          <w:rStyle w:val="TextoNormalNegritaCaracter"/>
        </w:rPr>
        <w:t>Disposición final primera.</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C41A23B" w14:textId="420097EA" w:rsidR="001D7FA9" w:rsidRDefault="001D7FA9" w:rsidP="001D7FA9">
      <w:pPr>
        <w:pStyle w:val="SangriaFrancesaArticulo"/>
      </w:pPr>
      <w:r w:rsidRPr="001D7FA9">
        <w:rPr>
          <w:rStyle w:val="TextoNormalNegritaCaracter"/>
        </w:rPr>
        <w:t>Disposición final segunda.</w:t>
      </w:r>
      <w:r w:rsidRPr="001D7FA9">
        <w:rPr>
          <w:rStyle w:val="TextoNormalCaracter"/>
        </w:rPr>
        <w:t>-</w:t>
      </w:r>
      <w:r>
        <w:t xml:space="preserve"> Sentencia </w:t>
      </w:r>
      <w:hyperlink w:anchor="SENTENCIA_2025_137" w:history="1">
        <w:r w:rsidRPr="001D7FA9">
          <w:rPr>
            <w:rStyle w:val="TextoNormalCaracter"/>
          </w:rPr>
          <w:t>137/2025</w:t>
        </w:r>
      </w:hyperlink>
      <w:r>
        <w:t>, VP I, VP III.</w:t>
      </w:r>
    </w:p>
    <w:p w14:paraId="4E7B8A7A" w14:textId="747C3672" w:rsidR="001D7FA9" w:rsidRDefault="001D7FA9" w:rsidP="001D7FA9">
      <w:pPr>
        <w:pStyle w:val="TextoNormal"/>
      </w:pPr>
    </w:p>
    <w:p w14:paraId="04D55567" w14:textId="77777777" w:rsidR="001D7FA9" w:rsidRDefault="001D7FA9" w:rsidP="001D7FA9">
      <w:pPr>
        <w:pStyle w:val="SangriaFrancesaArticulo"/>
      </w:pPr>
      <w:bookmarkStart w:id="215" w:name="INDICE22846"/>
    </w:p>
    <w:bookmarkEnd w:id="215"/>
    <w:p w14:paraId="1930F072" w14:textId="77777777" w:rsidR="001D7FA9" w:rsidRDefault="001D7FA9" w:rsidP="001D7FA9">
      <w:pPr>
        <w:pStyle w:val="TextoIndiceNivel2"/>
        <w:suppressAutoHyphens/>
      </w:pPr>
      <w:r>
        <w:t>E) Leyes de las Cortes Generales</w:t>
      </w:r>
    </w:p>
    <w:p w14:paraId="695911CC" w14:textId="190CC010" w:rsidR="001D7FA9" w:rsidRDefault="001D7FA9" w:rsidP="001D7FA9">
      <w:pPr>
        <w:pStyle w:val="TextoIndiceNivel2"/>
      </w:pPr>
    </w:p>
    <w:p w14:paraId="3DA25033" w14:textId="77777777" w:rsidR="001D7FA9" w:rsidRDefault="001D7FA9" w:rsidP="001D7FA9">
      <w:pPr>
        <w:pStyle w:val="TextoNormalNegritaCursivandice"/>
        <w:keepNext/>
      </w:pPr>
      <w:r>
        <w:t>Ley 34/1979, de 16 de noviembre, sobre fincas manifiestamente mejorables</w:t>
      </w:r>
    </w:p>
    <w:p w14:paraId="5170B77E" w14:textId="55425B3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VP I.</w:t>
      </w:r>
    </w:p>
    <w:p w14:paraId="2379D3A2" w14:textId="3A9B307F" w:rsidR="001D7FA9" w:rsidRDefault="001D7FA9" w:rsidP="001D7FA9">
      <w:pPr>
        <w:pStyle w:val="SangriaFrancesaArticulo"/>
      </w:pPr>
      <w:r w:rsidRPr="001D7FA9">
        <w:rPr>
          <w:rStyle w:val="TextoNormalNegritaCaracter"/>
        </w:rPr>
        <w:t>Artículo 10 a 12.</w:t>
      </w:r>
      <w:r w:rsidRPr="001D7FA9">
        <w:rPr>
          <w:rStyle w:val="TextoNormalCaracter"/>
        </w:rPr>
        <w:t>-</w:t>
      </w:r>
      <w:r>
        <w:t xml:space="preserve"> Sentencia </w:t>
      </w:r>
      <w:hyperlink w:anchor="SENTENCIA_2025_25" w:history="1">
        <w:r w:rsidRPr="001D7FA9">
          <w:rPr>
            <w:rStyle w:val="TextoNormalCaracter"/>
          </w:rPr>
          <w:t>25/2025</w:t>
        </w:r>
      </w:hyperlink>
      <w:r>
        <w:t>, VP I.</w:t>
      </w:r>
    </w:p>
    <w:p w14:paraId="3EFEFF51" w14:textId="5795A8CE" w:rsidR="001D7FA9" w:rsidRDefault="001D7FA9" w:rsidP="001D7FA9">
      <w:pPr>
        <w:pStyle w:val="SangriaFrancesaArticulo"/>
      </w:pPr>
    </w:p>
    <w:p w14:paraId="60710F36" w14:textId="77777777" w:rsidR="001D7FA9" w:rsidRDefault="001D7FA9" w:rsidP="001D7FA9">
      <w:pPr>
        <w:pStyle w:val="TextoNormalNegritaCursivandice"/>
        <w:keepNext/>
      </w:pPr>
      <w:r>
        <w:t>Ley 10/1980, de 14 de marzo, sobre modificación del Real Decreto-ley 6/1978, de 6 de marzo, por el que se regula la situación de los militares que intervinieron en la guerra civil</w:t>
      </w:r>
    </w:p>
    <w:p w14:paraId="7A41AACE" w14:textId="4F3F398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2.</w:t>
      </w:r>
    </w:p>
    <w:p w14:paraId="73D57A71" w14:textId="5FC74227" w:rsidR="001D7FA9" w:rsidRDefault="001D7FA9" w:rsidP="001D7FA9">
      <w:pPr>
        <w:pStyle w:val="SangriaFrancesaArticulo"/>
      </w:pPr>
    </w:p>
    <w:p w14:paraId="55BEDD97" w14:textId="77777777" w:rsidR="001D7FA9" w:rsidRDefault="001D7FA9" w:rsidP="001D7FA9">
      <w:pPr>
        <w:pStyle w:val="TextoNormalNegritaCursivandice"/>
        <w:keepNext/>
      </w:pPr>
      <w:r>
        <w:t>Ley 50/1981, de 30 de diciembre, por la que se regula el Estatuto orgánico del Ministerio Fiscal</w:t>
      </w:r>
    </w:p>
    <w:p w14:paraId="394C112D" w14:textId="087D99E7" w:rsidR="001D7FA9" w:rsidRDefault="001D7FA9" w:rsidP="001D7FA9">
      <w:pPr>
        <w:pStyle w:val="SangriaFrancesaArticulo"/>
      </w:pPr>
      <w:r w:rsidRPr="001D7FA9">
        <w:rPr>
          <w:rStyle w:val="TextoNormalNegritaCaracter"/>
        </w:rPr>
        <w:t>Artículo 25.</w:t>
      </w:r>
      <w:r w:rsidRPr="001D7FA9">
        <w:rPr>
          <w:rStyle w:val="TextoNormalCaracter"/>
        </w:rPr>
        <w:t>-</w:t>
      </w:r>
      <w:r>
        <w:t xml:space="preserve"> Auto </w:t>
      </w:r>
      <w:hyperlink w:anchor="AUTO_2025_6" w:history="1">
        <w:r w:rsidRPr="001D7FA9">
          <w:rPr>
            <w:rStyle w:val="TextoNormalCaracter"/>
          </w:rPr>
          <w:t>6/2025</w:t>
        </w:r>
      </w:hyperlink>
      <w:r>
        <w:t>, VP II.</w:t>
      </w:r>
    </w:p>
    <w:p w14:paraId="5CFFB4BF" w14:textId="58C5DA14" w:rsidR="001D7FA9" w:rsidRDefault="001D7FA9" w:rsidP="001D7FA9">
      <w:pPr>
        <w:pStyle w:val="SangriaFrancesaArticulo"/>
      </w:pPr>
    </w:p>
    <w:p w14:paraId="3CDA72A6" w14:textId="77777777" w:rsidR="001D7FA9" w:rsidRDefault="001D7FA9" w:rsidP="001D7FA9">
      <w:pPr>
        <w:pStyle w:val="TextoNormalNegritaCursivandice"/>
        <w:keepNext/>
      </w:pPr>
      <w:r>
        <w:t>Ley 12/1983, de 14 de octubre, del proceso autonómico</w:t>
      </w:r>
    </w:p>
    <w:p w14:paraId="2F5A473C" w14:textId="562C741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2975BAA1" w14:textId="24857806" w:rsidR="001D7FA9" w:rsidRDefault="001D7FA9" w:rsidP="001D7FA9">
      <w:pPr>
        <w:pStyle w:val="SangriaFrancesaArticulo"/>
      </w:pPr>
    </w:p>
    <w:p w14:paraId="76B559A3" w14:textId="77777777" w:rsidR="001D7FA9" w:rsidRDefault="001D7FA9" w:rsidP="001D7FA9">
      <w:pPr>
        <w:pStyle w:val="TextoNormalNegritaCursivandice"/>
        <w:keepNext/>
      </w:pPr>
      <w:r>
        <w:t>Ley 1/1984, de 9 de enero, de adición de un nuevo artículo a la Ley 46/1977, de 15 de octubre</w:t>
      </w:r>
    </w:p>
    <w:p w14:paraId="10CC1690" w14:textId="763BFB3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2, VP I, VP IV.</w:t>
      </w:r>
    </w:p>
    <w:p w14:paraId="04B34C58" w14:textId="6D848AC2" w:rsidR="001D7FA9" w:rsidRDefault="001D7FA9" w:rsidP="001D7FA9">
      <w:pPr>
        <w:pStyle w:val="SangriaFrancesaArticulo"/>
      </w:pPr>
    </w:p>
    <w:p w14:paraId="006B1954" w14:textId="77777777" w:rsidR="001D7FA9" w:rsidRDefault="001D7FA9" w:rsidP="001D7FA9">
      <w:pPr>
        <w:pStyle w:val="TextoNormalNegritaCursivandice"/>
        <w:keepNext/>
      </w:pPr>
      <w:r>
        <w:t>Ley 26/1984, de 19 de julio. General para la defensa de los consumidores y usuarios</w:t>
      </w:r>
    </w:p>
    <w:p w14:paraId="02EDF9D4" w14:textId="6D39741B" w:rsidR="001D7FA9" w:rsidRDefault="001D7FA9" w:rsidP="001D7FA9">
      <w:pPr>
        <w:pStyle w:val="SangriaFrancesaArticulo"/>
      </w:pPr>
      <w:r w:rsidRPr="001D7FA9">
        <w:rPr>
          <w:rStyle w:val="TextoNormalNegritaCaracter"/>
        </w:rPr>
        <w:t>Capítulo III.</w:t>
      </w:r>
      <w:r w:rsidRPr="001D7FA9">
        <w:rPr>
          <w:rStyle w:val="TextoNormalCaracter"/>
        </w:rPr>
        <w:t>-</w:t>
      </w:r>
      <w:r>
        <w:t xml:space="preserve"> Sentencia </w:t>
      </w:r>
      <w:hyperlink w:anchor="SENTENCIA_2025_26" w:history="1">
        <w:r w:rsidRPr="001D7FA9">
          <w:rPr>
            <w:rStyle w:val="TextoNormalCaracter"/>
          </w:rPr>
          <w:t>26/2025</w:t>
        </w:r>
      </w:hyperlink>
      <w:r>
        <w:t>, VP I.</w:t>
      </w:r>
    </w:p>
    <w:p w14:paraId="77F75BE5" w14:textId="3FBB35C4" w:rsidR="001D7FA9" w:rsidRDefault="001D7FA9" w:rsidP="001D7FA9">
      <w:pPr>
        <w:pStyle w:val="SangriaFrancesaArticulo"/>
      </w:pPr>
      <w:r w:rsidRPr="001D7FA9">
        <w:rPr>
          <w:rStyle w:val="TextoNormalNegritaCaracter"/>
        </w:rPr>
        <w:t>Capítulo IV.</w:t>
      </w:r>
      <w:r w:rsidRPr="001D7FA9">
        <w:rPr>
          <w:rStyle w:val="TextoNormalCaracter"/>
        </w:rPr>
        <w:t>-</w:t>
      </w:r>
      <w:r>
        <w:t xml:space="preserve"> Sentencia </w:t>
      </w:r>
      <w:hyperlink w:anchor="SENTENCIA_2025_26" w:history="1">
        <w:r w:rsidRPr="001D7FA9">
          <w:rPr>
            <w:rStyle w:val="TextoNormalCaracter"/>
          </w:rPr>
          <w:t>26/2025</w:t>
        </w:r>
      </w:hyperlink>
      <w:r>
        <w:t>, VP I.</w:t>
      </w:r>
    </w:p>
    <w:p w14:paraId="123070F8" w14:textId="5E94B799" w:rsidR="001D7FA9" w:rsidRDefault="001D7FA9" w:rsidP="001D7FA9">
      <w:pPr>
        <w:pStyle w:val="SangriaFrancesaArticulo"/>
      </w:pPr>
      <w:r w:rsidRPr="001D7FA9">
        <w:rPr>
          <w:rStyle w:val="TextoNormalNegritaCaracter"/>
        </w:rPr>
        <w:t>Artículo 13.2.</w:t>
      </w:r>
      <w:r w:rsidRPr="001D7FA9">
        <w:rPr>
          <w:rStyle w:val="TextoNormalCaracter"/>
        </w:rPr>
        <w:t>-</w:t>
      </w:r>
      <w:r>
        <w:t xml:space="preserve"> Sentencia </w:t>
      </w:r>
      <w:hyperlink w:anchor="SENTENCIA_2025_26" w:history="1">
        <w:r w:rsidRPr="001D7FA9">
          <w:rPr>
            <w:rStyle w:val="TextoNormalCaracter"/>
          </w:rPr>
          <w:t>26/2025</w:t>
        </w:r>
      </w:hyperlink>
      <w:r>
        <w:t>, VP I.</w:t>
      </w:r>
    </w:p>
    <w:p w14:paraId="0996E28F" w14:textId="7C7E3E7E" w:rsidR="001D7FA9" w:rsidRDefault="001D7FA9" w:rsidP="001D7FA9">
      <w:pPr>
        <w:pStyle w:val="SangriaFrancesaArticulo"/>
      </w:pPr>
    </w:p>
    <w:p w14:paraId="75D536DA" w14:textId="77777777" w:rsidR="001D7FA9" w:rsidRDefault="001D7FA9" w:rsidP="001D7FA9">
      <w:pPr>
        <w:pStyle w:val="TextoNormalNegritaCursivandice"/>
        <w:keepNext/>
      </w:pPr>
      <w:r>
        <w:t>Ley 30/1984, de 2 de agosto, de medidas para la reforma de la función pública</w:t>
      </w:r>
    </w:p>
    <w:p w14:paraId="1CF91567" w14:textId="4C8F1639" w:rsidR="001D7FA9" w:rsidRDefault="001D7FA9" w:rsidP="001D7FA9">
      <w:pPr>
        <w:pStyle w:val="SangriaFrancesaArticulo"/>
      </w:pPr>
      <w:r w:rsidRPr="001D7FA9">
        <w:rPr>
          <w:rStyle w:val="TextoNormalNegritaCaracter"/>
        </w:rPr>
        <w:t>Artículo 29.3 c)</w:t>
      </w:r>
      <w:r>
        <w:t xml:space="preserve"> (redactado por la Ley 22/1993, de 29 de diciembre)</w:t>
      </w:r>
      <w:r w:rsidRPr="001D7FA9">
        <w:rPr>
          <w:rStyle w:val="TextoNormalNegritaCaracter"/>
        </w:rPr>
        <w:t>.</w:t>
      </w:r>
      <w:r w:rsidRPr="001D7FA9">
        <w:rPr>
          <w:rStyle w:val="TextoNormalCaracter"/>
        </w:rPr>
        <w:t>-</w:t>
      </w:r>
      <w:r>
        <w:t xml:space="preserve"> Auto </w:t>
      </w:r>
      <w:hyperlink w:anchor="AUTO_2025_32" w:history="1">
        <w:r w:rsidRPr="001D7FA9">
          <w:rPr>
            <w:rStyle w:val="TextoNormalCaracter"/>
          </w:rPr>
          <w:t>32/2025</w:t>
        </w:r>
      </w:hyperlink>
      <w:r>
        <w:t>, f. 6.</w:t>
      </w:r>
    </w:p>
    <w:p w14:paraId="4CEFCFA2" w14:textId="0B2C4D60" w:rsidR="001D7FA9" w:rsidRDefault="001D7FA9" w:rsidP="001D7FA9">
      <w:pPr>
        <w:pStyle w:val="SangriaFrancesaArticulo"/>
      </w:pPr>
      <w:r w:rsidRPr="001D7FA9">
        <w:rPr>
          <w:rStyle w:val="TextoNormalNegritaCaracter"/>
        </w:rPr>
        <w:t>Artículo 33.</w:t>
      </w:r>
      <w:r w:rsidRPr="001D7FA9">
        <w:rPr>
          <w:rStyle w:val="TextoNormalCaracter"/>
        </w:rPr>
        <w:t>-</w:t>
      </w:r>
      <w:r>
        <w:t xml:space="preserve"> Auto </w:t>
      </w:r>
      <w:hyperlink w:anchor="AUTO_2025_32" w:history="1">
        <w:r w:rsidRPr="001D7FA9">
          <w:rPr>
            <w:rStyle w:val="TextoNormalCaracter"/>
          </w:rPr>
          <w:t>32/2025</w:t>
        </w:r>
      </w:hyperlink>
      <w:r>
        <w:t>, f. 6.</w:t>
      </w:r>
    </w:p>
    <w:p w14:paraId="48BCE1E0" w14:textId="11322CDD" w:rsidR="001D7FA9" w:rsidRDefault="001D7FA9" w:rsidP="001D7FA9">
      <w:pPr>
        <w:pStyle w:val="SangriaFrancesaArticulo"/>
      </w:pPr>
    </w:p>
    <w:p w14:paraId="423742DC" w14:textId="77777777" w:rsidR="001D7FA9" w:rsidRDefault="001D7FA9" w:rsidP="001D7FA9">
      <w:pPr>
        <w:pStyle w:val="TextoNormalNegritaCursivandice"/>
        <w:keepNext/>
      </w:pPr>
      <w:r>
        <w:t>Ley 7/1985, de 2 de abril, reguladora de las bases del régimen local</w:t>
      </w:r>
    </w:p>
    <w:p w14:paraId="38DF058B" w14:textId="42C98DB1" w:rsidR="001D7FA9" w:rsidRDefault="001D7FA9" w:rsidP="001D7FA9">
      <w:pPr>
        <w:pStyle w:val="SangriaFrancesaArticulo"/>
      </w:pPr>
      <w:r w:rsidRPr="001D7FA9">
        <w:rPr>
          <w:rStyle w:val="TextoNormalNegritaCaracter"/>
        </w:rPr>
        <w:t>Artículo 25.2 a).</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6F3CEB25" w14:textId="31154286" w:rsidR="001D7FA9" w:rsidRDefault="001D7FA9" w:rsidP="001D7FA9">
      <w:pPr>
        <w:pStyle w:val="SangriaFrancesaArticulo"/>
      </w:pPr>
      <w:r w:rsidRPr="001D7FA9">
        <w:rPr>
          <w:rStyle w:val="TextoNormalNegritaCaracter"/>
        </w:rPr>
        <w:t>Artículo 92.</w:t>
      </w:r>
      <w:r w:rsidRPr="001D7FA9">
        <w:rPr>
          <w:rStyle w:val="TextoNormalCaracter"/>
        </w:rPr>
        <w:t>-</w:t>
      </w:r>
      <w:r>
        <w:t xml:space="preserve"> Sentencia </w:t>
      </w:r>
      <w:hyperlink w:anchor="SENTENCIA_2025_42" w:history="1">
        <w:r w:rsidRPr="001D7FA9">
          <w:rPr>
            <w:rStyle w:val="TextoNormalCaracter"/>
          </w:rPr>
          <w:t>42/2025</w:t>
        </w:r>
      </w:hyperlink>
      <w:r>
        <w:t>, f. 4.</w:t>
      </w:r>
    </w:p>
    <w:p w14:paraId="41F5C05F" w14:textId="0BE1C485" w:rsidR="001D7FA9" w:rsidRDefault="001D7FA9" w:rsidP="001D7FA9">
      <w:pPr>
        <w:pStyle w:val="SangriaFrancesaArticulo"/>
      </w:pPr>
    </w:p>
    <w:p w14:paraId="23B9CA09" w14:textId="77777777" w:rsidR="001D7FA9" w:rsidRDefault="001D7FA9" w:rsidP="001D7FA9">
      <w:pPr>
        <w:pStyle w:val="TextoNormalNegritaCursivandice"/>
        <w:keepNext/>
      </w:pPr>
      <w:r>
        <w:t>Ley 29/1987, de 18 de diciembre, del impuesto sobre sucesiones y donaciones</w:t>
      </w:r>
    </w:p>
    <w:p w14:paraId="630912E1" w14:textId="76BA0FF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5" w:history="1">
        <w:r w:rsidRPr="001D7FA9">
          <w:rPr>
            <w:rStyle w:val="TextoNormalCaracter"/>
          </w:rPr>
          <w:t>135/2025</w:t>
        </w:r>
      </w:hyperlink>
      <w:r>
        <w:t>, f. 1.</w:t>
      </w:r>
    </w:p>
    <w:p w14:paraId="75E75AB2" w14:textId="478F6456" w:rsidR="001D7FA9" w:rsidRDefault="001D7FA9" w:rsidP="001D7FA9">
      <w:pPr>
        <w:pStyle w:val="SangriaFrancesaArticulo"/>
      </w:pPr>
    </w:p>
    <w:p w14:paraId="1518F2D4" w14:textId="77777777" w:rsidR="001D7FA9" w:rsidRDefault="001D7FA9" w:rsidP="001D7FA9">
      <w:pPr>
        <w:pStyle w:val="TextoNormalNegritaCursivandice"/>
        <w:keepNext/>
      </w:pPr>
      <w:r>
        <w:t>Ley 7/1988, de 5 de abril, de funcionamiento del Tribunal de Cuentas</w:t>
      </w:r>
    </w:p>
    <w:p w14:paraId="7A70921F" w14:textId="7F3A1F8A" w:rsidR="001D7FA9" w:rsidRDefault="001D7FA9" w:rsidP="001D7FA9">
      <w:pPr>
        <w:pStyle w:val="SangriaFrancesaArticulo"/>
      </w:pPr>
      <w:r w:rsidRPr="001D7FA9">
        <w:rPr>
          <w:rStyle w:val="TextoNormalNegritaCaracter"/>
        </w:rPr>
        <w:t>Artículos 45 a 47.</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AE9DA02" w14:textId="749FE9CD" w:rsidR="001D7FA9" w:rsidRDefault="001D7FA9" w:rsidP="001D7FA9">
      <w:pPr>
        <w:pStyle w:val="SangriaFrancesaArticulo"/>
      </w:pPr>
      <w:r w:rsidRPr="001D7FA9">
        <w:rPr>
          <w:rStyle w:val="TextoNormalNegritaCaracter"/>
        </w:rPr>
        <w:t>Artículo 46.2.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3FB39EC7" w14:textId="2A132357" w:rsidR="001D7FA9" w:rsidRDefault="001D7FA9" w:rsidP="001D7FA9">
      <w:pPr>
        <w:pStyle w:val="SangriaFrancesaArticulo"/>
      </w:pPr>
      <w:r w:rsidRPr="001D7FA9">
        <w:rPr>
          <w:rStyle w:val="TextoNormalNegritaCaracter"/>
        </w:rPr>
        <w:t>Artículo 47.1.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9F0CFCA" w14:textId="2979B88E" w:rsidR="001D7FA9" w:rsidRDefault="001D7FA9" w:rsidP="001D7FA9">
      <w:pPr>
        <w:pStyle w:val="SangriaFrancesaArticulo"/>
      </w:pPr>
      <w:r w:rsidRPr="001D7FA9">
        <w:rPr>
          <w:rStyle w:val="TextoNormalNegritaCaracter"/>
        </w:rPr>
        <w:t>Artículo 47.2.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0EC35AE" w14:textId="645A4BA5" w:rsidR="001D7FA9" w:rsidRDefault="001D7FA9" w:rsidP="001D7FA9">
      <w:pPr>
        <w:pStyle w:val="SangriaFrancesaArticulo"/>
      </w:pPr>
      <w:r w:rsidRPr="001D7FA9">
        <w:rPr>
          <w:rStyle w:val="TextoNormalNegritaCaracter"/>
        </w:rPr>
        <w:t>Artículo 47.3.</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0AFD212E" w14:textId="2332227F" w:rsidR="001D7FA9" w:rsidRDefault="001D7FA9" w:rsidP="001D7FA9">
      <w:pPr>
        <w:pStyle w:val="SangriaFrancesaArticulo"/>
      </w:pPr>
      <w:r w:rsidRPr="001D7FA9">
        <w:rPr>
          <w:rStyle w:val="TextoNormalNegritaCaracter"/>
        </w:rPr>
        <w:t>Artículo 55.1.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97E1E52" w14:textId="0C04531F" w:rsidR="001D7FA9" w:rsidRDefault="001D7FA9" w:rsidP="001D7FA9">
      <w:pPr>
        <w:pStyle w:val="SangriaFrancesaArticulo"/>
      </w:pPr>
      <w:r w:rsidRPr="001D7FA9">
        <w:rPr>
          <w:rStyle w:val="TextoNormalNegritaCaracter"/>
        </w:rPr>
        <w:t>Artículo 55.2.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3964869" w14:textId="493D64A3" w:rsidR="001D7FA9" w:rsidRDefault="001D7FA9" w:rsidP="001D7FA9">
      <w:pPr>
        <w:pStyle w:val="SangriaFrancesaArticulo"/>
      </w:pPr>
      <w:r w:rsidRPr="001D7FA9">
        <w:rPr>
          <w:rStyle w:val="TextoNormalNegritaCaracter"/>
        </w:rPr>
        <w:t>Artículo 56.</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7492ACD" w14:textId="558E2E88" w:rsidR="001D7FA9" w:rsidRDefault="001D7FA9" w:rsidP="001D7FA9">
      <w:pPr>
        <w:pStyle w:val="SangriaFrancesaArticulo"/>
      </w:pPr>
      <w:r w:rsidRPr="001D7FA9">
        <w:rPr>
          <w:rStyle w:val="TextoNormalNegritaCaracter"/>
        </w:rPr>
        <w:t>Artículo 56.3.</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52E8C081" w14:textId="1F7E063A" w:rsidR="001D7FA9" w:rsidRDefault="001D7FA9" w:rsidP="001D7FA9">
      <w:pPr>
        <w:pStyle w:val="SangriaFrancesaArticulo"/>
      </w:pPr>
      <w:r w:rsidRPr="001D7FA9">
        <w:rPr>
          <w:rStyle w:val="TextoNormalNegritaCaracter"/>
        </w:rPr>
        <w:t>Artículo 58.3.</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58165310" w14:textId="1F38E4A7" w:rsidR="001D7FA9" w:rsidRDefault="001D7FA9" w:rsidP="001D7FA9">
      <w:pPr>
        <w:pStyle w:val="SangriaFrancesaArticulo"/>
      </w:pPr>
      <w:r w:rsidRPr="001D7FA9">
        <w:rPr>
          <w:rStyle w:val="TextoNormalNegritaCaracter"/>
        </w:rPr>
        <w:t>Artículo 68.1.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57B0E03" w14:textId="7FE6512F" w:rsidR="001D7FA9" w:rsidRDefault="001D7FA9" w:rsidP="001D7FA9">
      <w:pPr>
        <w:pStyle w:val="SangriaFrancesaArticulo"/>
      </w:pPr>
      <w:r w:rsidRPr="001D7FA9">
        <w:rPr>
          <w:rStyle w:val="TextoNormalNegritaCaracter"/>
        </w:rPr>
        <w:t>Artículo 69.1.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6243C8F" w14:textId="6BB506B3" w:rsidR="001D7FA9" w:rsidRDefault="001D7FA9" w:rsidP="001D7FA9">
      <w:pPr>
        <w:pStyle w:val="SangriaFrancesaArticulo"/>
      </w:pPr>
      <w:r w:rsidRPr="001D7FA9">
        <w:rPr>
          <w:rStyle w:val="TextoNormalNegritaCaracter"/>
        </w:rPr>
        <w:t>Artículo 69.2.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16A731BA" w14:textId="5289C30D" w:rsidR="001D7FA9" w:rsidRDefault="001D7FA9" w:rsidP="001D7FA9">
      <w:pPr>
        <w:pStyle w:val="SangriaFrancesaArticulo"/>
      </w:pPr>
      <w:r w:rsidRPr="001D7FA9">
        <w:rPr>
          <w:rStyle w:val="TextoNormalNegritaCaracter"/>
        </w:rPr>
        <w:t>Artículo 70.2.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F12F086" w14:textId="641D76E5" w:rsidR="001D7FA9" w:rsidRDefault="001D7FA9" w:rsidP="001D7FA9">
      <w:pPr>
        <w:pStyle w:val="SangriaFrancesaArticulo"/>
      </w:pPr>
      <w:r w:rsidRPr="001D7FA9">
        <w:rPr>
          <w:rStyle w:val="TextoNormalNegritaCaracter"/>
        </w:rPr>
        <w:t>Artículo 71.2.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74BD58A0" w14:textId="311B9CFC" w:rsidR="001D7FA9" w:rsidRDefault="001D7FA9" w:rsidP="001D7FA9">
      <w:pPr>
        <w:pStyle w:val="SangriaFrancesaArticulo"/>
      </w:pPr>
      <w:r w:rsidRPr="001D7FA9">
        <w:rPr>
          <w:rStyle w:val="TextoNormalNegritaCaracter"/>
        </w:rPr>
        <w:t>Artículo 73.1.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5EA480E9" w14:textId="0D587301" w:rsidR="001D7FA9" w:rsidRDefault="001D7FA9" w:rsidP="001D7FA9">
      <w:pPr>
        <w:pStyle w:val="SangriaFrancesaArticulo"/>
      </w:pPr>
      <w:r w:rsidRPr="001D7FA9">
        <w:rPr>
          <w:rStyle w:val="TextoNormalNegritaCaracter"/>
        </w:rPr>
        <w:t>Artículo 73.2.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0B815225" w14:textId="08F2F2F7" w:rsidR="001D7FA9" w:rsidRDefault="001D7FA9" w:rsidP="001D7FA9">
      <w:pPr>
        <w:pStyle w:val="SangriaFrancesaArticulo"/>
      </w:pPr>
      <w:r w:rsidRPr="001D7FA9">
        <w:rPr>
          <w:rStyle w:val="TextoNormalNegritaCaracter"/>
        </w:rPr>
        <w:t>Artículo 73.3.</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09939A1E" w14:textId="1671E581" w:rsidR="001D7FA9" w:rsidRDefault="001D7FA9" w:rsidP="001D7FA9">
      <w:pPr>
        <w:pStyle w:val="SangriaFrancesaArticulo"/>
      </w:pPr>
      <w:r w:rsidRPr="001D7FA9">
        <w:rPr>
          <w:rStyle w:val="TextoNormalNegritaCaracter"/>
        </w:rPr>
        <w:t>Artículo 74.2.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349B4BD0" w14:textId="645550E7" w:rsidR="001D7FA9" w:rsidRDefault="001D7FA9" w:rsidP="001D7FA9">
      <w:pPr>
        <w:pStyle w:val="SangriaFrancesaArticulo"/>
      </w:pPr>
      <w:r w:rsidRPr="001D7FA9">
        <w:rPr>
          <w:rStyle w:val="TextoNormalNegritaCaracter"/>
        </w:rPr>
        <w:t>Artículo 79.</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7009F8FD" w14:textId="62EDF778" w:rsidR="001D7FA9" w:rsidRDefault="001D7FA9" w:rsidP="001D7FA9">
      <w:pPr>
        <w:pStyle w:val="SangriaFrancesaArticulo"/>
      </w:pPr>
      <w:r w:rsidRPr="001D7FA9">
        <w:rPr>
          <w:rStyle w:val="TextoNormalNegritaCaracter"/>
        </w:rPr>
        <w:t>Artículo 80.</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02859542" w14:textId="72EACCFB" w:rsidR="001D7FA9" w:rsidRDefault="001D7FA9" w:rsidP="001D7FA9">
      <w:pPr>
        <w:pStyle w:val="SangriaFrancesaArticulo"/>
      </w:pPr>
      <w:r w:rsidRPr="001D7FA9">
        <w:rPr>
          <w:rStyle w:val="TextoNormalNegritaCaracter"/>
        </w:rPr>
        <w:t>Artículo 80 y ss..</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31482FDB" w14:textId="744E459A" w:rsidR="001D7FA9" w:rsidRDefault="001D7FA9" w:rsidP="001D7FA9">
      <w:pPr>
        <w:pStyle w:val="SangriaFrancesaArticulo"/>
      </w:pPr>
      <w:r w:rsidRPr="001D7FA9">
        <w:rPr>
          <w:rStyle w:val="TextoNormalNegritaCaracter"/>
        </w:rPr>
        <w:t>Artículo 81.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1A2551D" w14:textId="12265522" w:rsidR="001D7FA9" w:rsidRDefault="001D7FA9" w:rsidP="001D7FA9">
      <w:pPr>
        <w:pStyle w:val="SangriaFrancesaArticulo"/>
      </w:pPr>
      <w:r w:rsidRPr="001D7FA9">
        <w:rPr>
          <w:rStyle w:val="TextoNormalNegritaCaracter"/>
        </w:rPr>
        <w:t>Artículo 83.</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11FE3BBE" w14:textId="7F54A567" w:rsidR="001D7FA9" w:rsidRDefault="001D7FA9" w:rsidP="001D7FA9">
      <w:pPr>
        <w:pStyle w:val="SangriaFrancesaArticulo"/>
      </w:pPr>
      <w:r w:rsidRPr="001D7FA9">
        <w:rPr>
          <w:rStyle w:val="TextoNormalNegritaCaracter"/>
        </w:rPr>
        <w:t>Artículo 84.1.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0C9F12B1" w14:textId="4D9CC354" w:rsidR="001D7FA9" w:rsidRDefault="001D7FA9" w:rsidP="001D7FA9">
      <w:pPr>
        <w:pStyle w:val="SangriaFrancesaArticulo"/>
      </w:pPr>
    </w:p>
    <w:p w14:paraId="15F88BEF" w14:textId="77777777" w:rsidR="001D7FA9" w:rsidRDefault="001D7FA9" w:rsidP="001D7FA9">
      <w:pPr>
        <w:pStyle w:val="TextoNormalNegritaCursivandice"/>
        <w:keepNext/>
      </w:pPr>
      <w:r>
        <w:t>Ley 30/1992, de 26 de noviembre, de régimen jurídico de las administraciones públicas y del procedimiento administrativo común</w:t>
      </w:r>
    </w:p>
    <w:p w14:paraId="2381E961" w14:textId="41754279" w:rsidR="001D7FA9" w:rsidRDefault="001D7FA9" w:rsidP="001D7FA9">
      <w:pPr>
        <w:pStyle w:val="SangriaFrancesaArticulo"/>
      </w:pPr>
      <w:r w:rsidRPr="001D7FA9">
        <w:rPr>
          <w:rStyle w:val="TextoNormalNegritaCaracter"/>
        </w:rPr>
        <w:t>Artículo 30.</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260B5081" w14:textId="1B1C309E" w:rsidR="001D7FA9" w:rsidRDefault="001D7FA9" w:rsidP="001D7FA9">
      <w:pPr>
        <w:pStyle w:val="SangriaFrancesaArticulo"/>
      </w:pPr>
    </w:p>
    <w:p w14:paraId="6B1ABE93" w14:textId="77777777" w:rsidR="001D7FA9" w:rsidRDefault="001D7FA9" w:rsidP="001D7FA9">
      <w:pPr>
        <w:pStyle w:val="TextoNormalNegritaCursivandice"/>
        <w:keepNext/>
      </w:pPr>
      <w:r>
        <w:t>Ley 22/1993, de 29 de diciembre. Medidas fiscales de reforma del régimen jurídico de la función pública y de la protección al desempleo</w:t>
      </w:r>
    </w:p>
    <w:p w14:paraId="2F5F2F5F" w14:textId="17227784"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Auto </w:t>
      </w:r>
      <w:hyperlink w:anchor="AUTO_2025_32" w:history="1">
        <w:r w:rsidRPr="001D7FA9">
          <w:rPr>
            <w:rStyle w:val="TextoNormalCaracter"/>
          </w:rPr>
          <w:t>32/2025</w:t>
        </w:r>
      </w:hyperlink>
      <w:r>
        <w:t>, f. 6.</w:t>
      </w:r>
    </w:p>
    <w:p w14:paraId="40D6B45F" w14:textId="07D271AA" w:rsidR="001D7FA9" w:rsidRDefault="001D7FA9" w:rsidP="001D7FA9">
      <w:pPr>
        <w:pStyle w:val="SangriaFrancesaArticulo"/>
      </w:pPr>
    </w:p>
    <w:p w14:paraId="6B5DC8F2" w14:textId="77777777" w:rsidR="001D7FA9" w:rsidRDefault="001D7FA9" w:rsidP="001D7FA9">
      <w:pPr>
        <w:pStyle w:val="TextoNormalNegritaCursivandice"/>
        <w:keepNext/>
      </w:pPr>
      <w:r>
        <w:t>Ley 29/1994, de 24 de noviembre, de arrendamientos urbanos</w:t>
      </w:r>
    </w:p>
    <w:p w14:paraId="25C50986" w14:textId="0B47BD11"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Sentencias </w:t>
      </w:r>
      <w:hyperlink w:anchor="SENTENCIA_2025_26" w:history="1">
        <w:r w:rsidRPr="001D7FA9">
          <w:rPr>
            <w:rStyle w:val="TextoNormalCaracter"/>
          </w:rPr>
          <w:t>26/2025</w:t>
        </w:r>
      </w:hyperlink>
      <w:r>
        <w:t xml:space="preserve">, VP II; </w:t>
      </w:r>
      <w:hyperlink w:anchor="SENTENCIA_2025_137" w:history="1">
        <w:r w:rsidRPr="001D7FA9">
          <w:rPr>
            <w:rStyle w:val="TextoNormalCaracter"/>
          </w:rPr>
          <w:t>137/2025</w:t>
        </w:r>
      </w:hyperlink>
      <w:r>
        <w:t>, VP I.</w:t>
      </w:r>
    </w:p>
    <w:p w14:paraId="7D26CA37" w14:textId="0097D95E" w:rsidR="001D7FA9" w:rsidRDefault="001D7FA9" w:rsidP="001D7FA9">
      <w:pPr>
        <w:pStyle w:val="SangriaIzquierdaArticulo"/>
      </w:pPr>
      <w:r>
        <w:t xml:space="preserve">Auto </w:t>
      </w:r>
      <w:hyperlink w:anchor="AUTO_2025_13" w:history="1">
        <w:r w:rsidRPr="001D7FA9">
          <w:rPr>
            <w:rStyle w:val="TextoNormalCaracter"/>
          </w:rPr>
          <w:t>13/2025</w:t>
        </w:r>
      </w:hyperlink>
      <w:r>
        <w:t>, ff. 1, 3.</w:t>
      </w:r>
    </w:p>
    <w:p w14:paraId="153FA013" w14:textId="16D316A2" w:rsidR="001D7FA9" w:rsidRDefault="001D7FA9" w:rsidP="001D7FA9">
      <w:pPr>
        <w:pStyle w:val="SangriaFrancesaArticulo"/>
      </w:pPr>
      <w:r w:rsidRPr="001D7FA9">
        <w:rPr>
          <w:rStyle w:val="TextoNormalNegritaCaracter"/>
        </w:rPr>
        <w:t>Artículo 10</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5.</w:t>
      </w:r>
    </w:p>
    <w:p w14:paraId="582F0571" w14:textId="38B78A40" w:rsidR="001D7FA9" w:rsidRDefault="001D7FA9" w:rsidP="001D7FA9">
      <w:pPr>
        <w:pStyle w:val="SangriaFrancesaArticulo"/>
      </w:pPr>
      <w:r w:rsidRPr="001D7FA9">
        <w:rPr>
          <w:rStyle w:val="TextoNormalNegritaCaracter"/>
        </w:rPr>
        <w:t>Artículo 17.</w:t>
      </w:r>
      <w:r w:rsidRPr="001D7FA9">
        <w:rPr>
          <w:rStyle w:val="TextoNormalCaracter"/>
        </w:rPr>
        <w:t>-</w:t>
      </w:r>
      <w:r>
        <w:t xml:space="preserve"> Sentencia </w:t>
      </w:r>
      <w:hyperlink w:anchor="SENTENCIA_2025_26" w:history="1">
        <w:r w:rsidRPr="001D7FA9">
          <w:rPr>
            <w:rStyle w:val="TextoNormalCaracter"/>
          </w:rPr>
          <w:t>26/2025</w:t>
        </w:r>
      </w:hyperlink>
      <w:r>
        <w:t>, f. 5.</w:t>
      </w:r>
    </w:p>
    <w:p w14:paraId="3C2B464B" w14:textId="097FAD9B" w:rsidR="001D7FA9" w:rsidRDefault="001D7FA9" w:rsidP="001D7FA9">
      <w:pPr>
        <w:pStyle w:val="SangriaFrancesaArticulo"/>
      </w:pPr>
      <w:r w:rsidRPr="001D7FA9">
        <w:rPr>
          <w:rStyle w:val="TextoNormalNegritaCaracter"/>
        </w:rPr>
        <w:t>Artículo 17.6</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5, VP II.</w:t>
      </w:r>
    </w:p>
    <w:p w14:paraId="013D43C7" w14:textId="42B6B786" w:rsidR="001D7FA9" w:rsidRDefault="001D7FA9" w:rsidP="001D7FA9">
      <w:pPr>
        <w:pStyle w:val="SangriaFrancesaArticulo"/>
      </w:pPr>
      <w:r w:rsidRPr="001D7FA9">
        <w:rPr>
          <w:rStyle w:val="TextoNormalNegritaCaracter"/>
        </w:rPr>
        <w:t>Artículo 17.7</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5, VP I, VP II.</w:t>
      </w:r>
    </w:p>
    <w:p w14:paraId="2C5DEA3E" w14:textId="7330424F" w:rsidR="001D7FA9" w:rsidRDefault="001D7FA9" w:rsidP="001D7FA9">
      <w:pPr>
        <w:pStyle w:val="SangriaFrancesaArticulo"/>
      </w:pPr>
      <w:r w:rsidRPr="001D7FA9">
        <w:rPr>
          <w:rStyle w:val="TextoNormalNegritaCaracter"/>
        </w:rPr>
        <w:t>Artículo 17.7, párrafo 1</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28682EE9" w14:textId="0300B50C" w:rsidR="001D7FA9" w:rsidRDefault="001D7FA9" w:rsidP="001D7FA9">
      <w:pPr>
        <w:pStyle w:val="SangriaFrancesaArticulo"/>
      </w:pPr>
      <w:r w:rsidRPr="001D7FA9">
        <w:rPr>
          <w:rStyle w:val="TextoNormalNegritaCaracter"/>
        </w:rPr>
        <w:t>Artículo 17.7, párrafo 2</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5AC1FDF9" w14:textId="6A821E69" w:rsidR="001D7FA9" w:rsidRDefault="001D7FA9" w:rsidP="001D7FA9">
      <w:pPr>
        <w:pStyle w:val="SangriaFrancesaArticulo"/>
      </w:pPr>
      <w:r w:rsidRPr="001D7FA9">
        <w:rPr>
          <w:rStyle w:val="TextoNormalNegritaCaracter"/>
        </w:rPr>
        <w:t>Disposición transitoria.</w:t>
      </w:r>
      <w:r w:rsidRPr="001D7FA9">
        <w:rPr>
          <w:rStyle w:val="TextoNormalCaracter"/>
        </w:rPr>
        <w:t>-</w:t>
      </w:r>
      <w:r>
        <w:t xml:space="preserve"> Sentencia </w:t>
      </w:r>
      <w:hyperlink w:anchor="SENTENCIA_2025_26" w:history="1">
        <w:r w:rsidRPr="001D7FA9">
          <w:rPr>
            <w:rStyle w:val="TextoNormalCaracter"/>
          </w:rPr>
          <w:t>26/2025</w:t>
        </w:r>
      </w:hyperlink>
      <w:r>
        <w:t>, f. 5.</w:t>
      </w:r>
    </w:p>
    <w:p w14:paraId="2498EE70" w14:textId="212D7A09" w:rsidR="001D7FA9" w:rsidRDefault="001D7FA9" w:rsidP="001D7FA9">
      <w:pPr>
        <w:pStyle w:val="SangriaFrancesaArticulo"/>
      </w:pPr>
      <w:r w:rsidRPr="001D7FA9">
        <w:rPr>
          <w:rStyle w:val="TextoNormalNegritaCaracter"/>
        </w:rPr>
        <w:t>Disposición transitoria séptima</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5.</w:t>
      </w:r>
    </w:p>
    <w:p w14:paraId="3A9110AB" w14:textId="389ADB46" w:rsidR="001D7FA9" w:rsidRDefault="001D7FA9" w:rsidP="001D7FA9">
      <w:pPr>
        <w:pStyle w:val="SangriaFrancesaArticulo"/>
      </w:pPr>
      <w:r w:rsidRPr="001D7FA9">
        <w:rPr>
          <w:rStyle w:val="TextoNormalNegritaCaracter"/>
        </w:rPr>
        <w:t>Disposición transitoria séptima, apartado 1</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5.</w:t>
      </w:r>
    </w:p>
    <w:p w14:paraId="06C881AE" w14:textId="648A8E33" w:rsidR="001D7FA9" w:rsidRDefault="001D7FA9" w:rsidP="001D7FA9">
      <w:pPr>
        <w:pStyle w:val="SangriaFrancesaArticulo"/>
      </w:pPr>
      <w:r w:rsidRPr="001D7FA9">
        <w:rPr>
          <w:rStyle w:val="TextoNormalNegritaCaracter"/>
        </w:rPr>
        <w:t>Disposición transitoria séptima, apartado 2</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5.</w:t>
      </w:r>
    </w:p>
    <w:p w14:paraId="1106362B" w14:textId="3658C69F" w:rsidR="001D7FA9" w:rsidRDefault="001D7FA9" w:rsidP="001D7FA9">
      <w:pPr>
        <w:pStyle w:val="SangriaFrancesaArticulo"/>
      </w:pPr>
    </w:p>
    <w:p w14:paraId="537CAB35" w14:textId="77777777" w:rsidR="001D7FA9" w:rsidRDefault="001D7FA9" w:rsidP="001D7FA9">
      <w:pPr>
        <w:pStyle w:val="TextoNormalNegritaCursivandice"/>
        <w:keepNext/>
      </w:pPr>
      <w:r>
        <w:t>Ley 30/1995, de 8 de noviembre, de ordenación y supervisión de los seguros privados</w:t>
      </w:r>
    </w:p>
    <w:p w14:paraId="631CFEF4" w14:textId="0CFF407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3EFCBBF" w14:textId="11682340" w:rsidR="001D7FA9" w:rsidRDefault="001D7FA9" w:rsidP="001D7FA9">
      <w:pPr>
        <w:pStyle w:val="SangriaFrancesaArticulo"/>
      </w:pPr>
    </w:p>
    <w:p w14:paraId="06655934" w14:textId="77777777" w:rsidR="001D7FA9" w:rsidRDefault="001D7FA9" w:rsidP="001D7FA9">
      <w:pPr>
        <w:pStyle w:val="TextoNormalNegritaCursivandice"/>
        <w:keepNext/>
      </w:pPr>
      <w:r>
        <w:t>Ley 31/1995, de 8 de noviembre, de prevención de riesgos laborales</w:t>
      </w:r>
    </w:p>
    <w:p w14:paraId="7C01CA55" w14:textId="7489B7F7"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 </w:t>
      </w:r>
      <w:hyperlink w:anchor="SENTENCIA_2025_28" w:history="1">
        <w:r w:rsidRPr="001D7FA9">
          <w:rPr>
            <w:rStyle w:val="TextoNormalCaracter"/>
          </w:rPr>
          <w:t>28/2025</w:t>
        </w:r>
      </w:hyperlink>
      <w:r>
        <w:t>, f. 3.</w:t>
      </w:r>
    </w:p>
    <w:p w14:paraId="3E151177" w14:textId="494BCCEF" w:rsidR="001D7FA9" w:rsidRDefault="001D7FA9" w:rsidP="001D7FA9">
      <w:pPr>
        <w:pStyle w:val="SangriaFrancesaArticulo"/>
      </w:pPr>
    </w:p>
    <w:p w14:paraId="50E9A5D5" w14:textId="77777777" w:rsidR="001D7FA9" w:rsidRDefault="001D7FA9" w:rsidP="001D7FA9">
      <w:pPr>
        <w:pStyle w:val="TextoNormalNegritaCursivandice"/>
        <w:keepNext/>
      </w:pPr>
      <w:r>
        <w:t>Ley 1/1996, de 10 de enero, de asistencia jurídica gratuita</w:t>
      </w:r>
    </w:p>
    <w:p w14:paraId="0DD7C844" w14:textId="552F2ADE" w:rsidR="001D7FA9" w:rsidRDefault="001D7FA9" w:rsidP="001D7FA9">
      <w:pPr>
        <w:pStyle w:val="SangriaFrancesaArticulo"/>
      </w:pPr>
      <w:r w:rsidRPr="001D7FA9">
        <w:rPr>
          <w:rStyle w:val="TextoNormalNegritaCaracter"/>
        </w:rPr>
        <w:t>Artículo 20.</w:t>
      </w:r>
      <w:r w:rsidRPr="001D7FA9">
        <w:rPr>
          <w:rStyle w:val="TextoNormalCaracter"/>
        </w:rPr>
        <w:t>-</w:t>
      </w:r>
      <w:r>
        <w:t xml:space="preserve"> Auto </w:t>
      </w:r>
      <w:hyperlink w:anchor="AUTO_2025_36" w:history="1">
        <w:r w:rsidRPr="001D7FA9">
          <w:rPr>
            <w:rStyle w:val="TextoNormalCaracter"/>
          </w:rPr>
          <w:t>36/2025</w:t>
        </w:r>
      </w:hyperlink>
      <w:r>
        <w:t>, f. 1.</w:t>
      </w:r>
    </w:p>
    <w:p w14:paraId="40B7D591" w14:textId="67890027" w:rsidR="001D7FA9" w:rsidRDefault="001D7FA9" w:rsidP="001D7FA9">
      <w:pPr>
        <w:pStyle w:val="SangriaFrancesaArticulo"/>
      </w:pPr>
    </w:p>
    <w:p w14:paraId="7B0C3449" w14:textId="77777777" w:rsidR="001D7FA9" w:rsidRDefault="001D7FA9" w:rsidP="001D7FA9">
      <w:pPr>
        <w:pStyle w:val="TextoNormalNegritaCursivandice"/>
        <w:keepNext/>
      </w:pPr>
      <w:r>
        <w:t>Ley 13/1996, de 30 de diciembre. Medidas fiscales, administrativas y del orden social</w:t>
      </w:r>
    </w:p>
    <w:p w14:paraId="0B502E67" w14:textId="23505CF3" w:rsidR="001D7FA9" w:rsidRDefault="001D7FA9" w:rsidP="001D7FA9">
      <w:pPr>
        <w:pStyle w:val="SangriaFrancesaArticulo"/>
      </w:pPr>
      <w:r w:rsidRPr="001D7FA9">
        <w:rPr>
          <w:rStyle w:val="TextoNormalNegritaCaracter"/>
        </w:rPr>
        <w:t>Artículo 104.</w:t>
      </w:r>
      <w:r w:rsidRPr="001D7FA9">
        <w:rPr>
          <w:rStyle w:val="TextoNormalCaracter"/>
        </w:rPr>
        <w:t>-</w:t>
      </w:r>
      <w:r>
        <w:t xml:space="preserve"> Auto </w:t>
      </w:r>
      <w:hyperlink w:anchor="AUTO_2025_32" w:history="1">
        <w:r w:rsidRPr="001D7FA9">
          <w:rPr>
            <w:rStyle w:val="TextoNormalCaracter"/>
          </w:rPr>
          <w:t>32/2025</w:t>
        </w:r>
      </w:hyperlink>
      <w:r>
        <w:t>, f. 6.</w:t>
      </w:r>
    </w:p>
    <w:p w14:paraId="116A55C2" w14:textId="3A29F2BE" w:rsidR="001D7FA9" w:rsidRDefault="001D7FA9" w:rsidP="001D7FA9">
      <w:pPr>
        <w:pStyle w:val="SangriaFrancesaArticulo"/>
      </w:pPr>
      <w:r w:rsidRPr="001D7FA9">
        <w:rPr>
          <w:rStyle w:val="TextoNormalNegritaCaracter"/>
        </w:rPr>
        <w:t>Artículo 105.</w:t>
      </w:r>
      <w:r w:rsidRPr="001D7FA9">
        <w:rPr>
          <w:rStyle w:val="TextoNormalCaracter"/>
        </w:rPr>
        <w:t>-</w:t>
      </w:r>
      <w:r>
        <w:t xml:space="preserve"> Auto </w:t>
      </w:r>
      <w:hyperlink w:anchor="AUTO_2025_32" w:history="1">
        <w:r w:rsidRPr="001D7FA9">
          <w:rPr>
            <w:rStyle w:val="TextoNormalCaracter"/>
          </w:rPr>
          <w:t>32/2025</w:t>
        </w:r>
      </w:hyperlink>
      <w:r>
        <w:t>, f. 6.</w:t>
      </w:r>
    </w:p>
    <w:p w14:paraId="7947D7CA" w14:textId="542E5B1D" w:rsidR="001D7FA9" w:rsidRDefault="001D7FA9" w:rsidP="001D7FA9">
      <w:pPr>
        <w:pStyle w:val="SangriaFrancesaArticulo"/>
      </w:pPr>
    </w:p>
    <w:p w14:paraId="1479977C" w14:textId="77777777" w:rsidR="001D7FA9" w:rsidRDefault="001D7FA9" w:rsidP="001D7FA9">
      <w:pPr>
        <w:pStyle w:val="TextoNormalNegritaCursivandice"/>
        <w:keepNext/>
      </w:pPr>
      <w:r>
        <w:t>Ley 50/1997, de 27 de noviembre, del Gobierno</w:t>
      </w:r>
    </w:p>
    <w:p w14:paraId="2B2499FA" w14:textId="25B1C34E"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Auto </w:t>
      </w:r>
      <w:hyperlink w:anchor="AUTO_2025_6" w:history="1">
        <w:r w:rsidRPr="001D7FA9">
          <w:rPr>
            <w:rStyle w:val="TextoNormalCaracter"/>
          </w:rPr>
          <w:t>6/2025</w:t>
        </w:r>
      </w:hyperlink>
      <w:r>
        <w:t>, f. 4.</w:t>
      </w:r>
    </w:p>
    <w:p w14:paraId="7708FE1A" w14:textId="69150928" w:rsidR="001D7FA9" w:rsidRDefault="001D7FA9" w:rsidP="001D7FA9">
      <w:pPr>
        <w:pStyle w:val="SangriaFrancesaArticulo"/>
      </w:pPr>
      <w:r w:rsidRPr="001D7FA9">
        <w:rPr>
          <w:rStyle w:val="TextoNormalNegritaCaracter"/>
        </w:rPr>
        <w:t>Artículo 21.5.</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1EA7040B" w14:textId="31064CFC" w:rsidR="001D7FA9" w:rsidRDefault="001D7FA9" w:rsidP="001D7FA9">
      <w:pPr>
        <w:pStyle w:val="SangriaFrancesaArticulo"/>
      </w:pPr>
      <w:r w:rsidRPr="001D7FA9">
        <w:rPr>
          <w:rStyle w:val="TextoNormalNegritaCaracter"/>
        </w:rPr>
        <w:t>Artículo 21.5 b).</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8207EA1" w14:textId="73698A8F" w:rsidR="001D7FA9" w:rsidRDefault="001D7FA9" w:rsidP="001D7FA9">
      <w:pPr>
        <w:pStyle w:val="SangriaFrancesaArticulo"/>
      </w:pPr>
      <w:r w:rsidRPr="001D7FA9">
        <w:rPr>
          <w:rStyle w:val="TextoNormalNegritaCaracter"/>
        </w:rPr>
        <w:t>Artículo 26.</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54FA7DBE" w14:textId="28B6CE99" w:rsidR="001D7FA9" w:rsidRDefault="001D7FA9" w:rsidP="001D7FA9">
      <w:pPr>
        <w:pStyle w:val="SangriaFrancesaArticulo"/>
      </w:pPr>
    </w:p>
    <w:p w14:paraId="173FAD07" w14:textId="77777777" w:rsidR="001D7FA9" w:rsidRDefault="001D7FA9" w:rsidP="001D7FA9">
      <w:pPr>
        <w:pStyle w:val="TextoNormalNegritaCursivandice"/>
        <w:keepNext/>
      </w:pPr>
      <w:r>
        <w:t>Ley 29/1998, de 13 de julio, reguladora de la jurisdicción contencioso-administrativa</w:t>
      </w:r>
    </w:p>
    <w:p w14:paraId="7ADF46DE" w14:textId="7A377D5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20, VP IV.</w:t>
      </w:r>
    </w:p>
    <w:p w14:paraId="1BC60A54" w14:textId="3D389EC7"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64" w:history="1">
        <w:r w:rsidRPr="001D7FA9">
          <w:rPr>
            <w:rStyle w:val="TextoNormalCaracter"/>
          </w:rPr>
          <w:t>64/2025</w:t>
        </w:r>
      </w:hyperlink>
      <w:r>
        <w:t>, f. 7.</w:t>
      </w:r>
    </w:p>
    <w:p w14:paraId="693262AD" w14:textId="3CBB29CD" w:rsidR="001D7FA9" w:rsidRDefault="001D7FA9" w:rsidP="001D7FA9">
      <w:pPr>
        <w:pStyle w:val="SangriaFrancesaArticulo"/>
      </w:pPr>
      <w:r w:rsidRPr="001D7FA9">
        <w:rPr>
          <w:rStyle w:val="TextoNormalNegritaCaracter"/>
        </w:rPr>
        <w:t>Artículo 8.6.</w:t>
      </w:r>
      <w:r w:rsidRPr="001D7FA9">
        <w:rPr>
          <w:rStyle w:val="TextoNormalCaracter"/>
        </w:rPr>
        <w:t>-</w:t>
      </w:r>
      <w:r>
        <w:t xml:space="preserve"> Sentencia </w:t>
      </w:r>
      <w:hyperlink w:anchor="SENTENCIA_2025_31" w:history="1">
        <w:r w:rsidRPr="001D7FA9">
          <w:rPr>
            <w:rStyle w:val="TextoNormalCaracter"/>
          </w:rPr>
          <w:t>31/2025</w:t>
        </w:r>
      </w:hyperlink>
      <w:r>
        <w:t>, f. 5.</w:t>
      </w:r>
    </w:p>
    <w:p w14:paraId="09422CC6" w14:textId="143B230D"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 </w:t>
      </w:r>
      <w:hyperlink w:anchor="SENTENCIA_2025_69" w:history="1">
        <w:r w:rsidRPr="001D7FA9">
          <w:rPr>
            <w:rStyle w:val="TextoNormalCaracter"/>
          </w:rPr>
          <w:t>69/2025</w:t>
        </w:r>
      </w:hyperlink>
      <w:r>
        <w:t>, f. 2.</w:t>
      </w:r>
    </w:p>
    <w:p w14:paraId="2FBC1230" w14:textId="3DD9795A" w:rsidR="001D7FA9" w:rsidRDefault="001D7FA9" w:rsidP="001D7FA9">
      <w:pPr>
        <w:pStyle w:val="SangriaFrancesaArticulo"/>
      </w:pPr>
      <w:r w:rsidRPr="001D7FA9">
        <w:rPr>
          <w:rStyle w:val="TextoNormalNegritaCaracter"/>
        </w:rPr>
        <w:t>Artículo 19.1 a).</w:t>
      </w:r>
      <w:r w:rsidRPr="001D7FA9">
        <w:rPr>
          <w:rStyle w:val="TextoNormalCaracter"/>
        </w:rPr>
        <w:t>-</w:t>
      </w:r>
      <w:r>
        <w:t xml:space="preserve"> Sentencia </w:t>
      </w:r>
      <w:hyperlink w:anchor="SENTENCIA_2025_69" w:history="1">
        <w:r w:rsidRPr="001D7FA9">
          <w:rPr>
            <w:rStyle w:val="TextoNormalCaracter"/>
          </w:rPr>
          <w:t>69/2025</w:t>
        </w:r>
      </w:hyperlink>
      <w:r>
        <w:t>, ff. 2, 3.</w:t>
      </w:r>
    </w:p>
    <w:p w14:paraId="51E94624" w14:textId="11167253" w:rsidR="001D7FA9" w:rsidRDefault="001D7FA9" w:rsidP="001D7FA9">
      <w:pPr>
        <w:pStyle w:val="SangriaFrancesaArticulo"/>
      </w:pPr>
      <w:r w:rsidRPr="001D7FA9">
        <w:rPr>
          <w:rStyle w:val="TextoNormalNegritaCaracter"/>
        </w:rPr>
        <w:t>Artículo 19.1 b).</w:t>
      </w:r>
      <w:r w:rsidRPr="001D7FA9">
        <w:rPr>
          <w:rStyle w:val="TextoNormalCaracter"/>
        </w:rPr>
        <w:t>-</w:t>
      </w:r>
      <w:r>
        <w:t xml:space="preserve"> Sentencia </w:t>
      </w:r>
      <w:hyperlink w:anchor="SENTENCIA_2025_69" w:history="1">
        <w:r w:rsidRPr="001D7FA9">
          <w:rPr>
            <w:rStyle w:val="TextoNormalCaracter"/>
          </w:rPr>
          <w:t>69/2025</w:t>
        </w:r>
      </w:hyperlink>
      <w:r>
        <w:t>, f. 3.</w:t>
      </w:r>
    </w:p>
    <w:p w14:paraId="13B01DAF" w14:textId="683162EC" w:rsidR="001D7FA9" w:rsidRDefault="001D7FA9" w:rsidP="001D7FA9">
      <w:pPr>
        <w:pStyle w:val="SangriaFrancesaArticulo"/>
      </w:pPr>
      <w:r w:rsidRPr="001D7FA9">
        <w:rPr>
          <w:rStyle w:val="TextoNormalNegritaCaracter"/>
        </w:rPr>
        <w:t>Artículo 25.1.</w:t>
      </w:r>
      <w:r w:rsidRPr="001D7FA9">
        <w:rPr>
          <w:rStyle w:val="TextoNormalCaracter"/>
        </w:rPr>
        <w:t>-</w:t>
      </w:r>
      <w:r>
        <w:t xml:space="preserve"> Sentencia </w:t>
      </w:r>
      <w:hyperlink w:anchor="SENTENCIA_2025_95" w:history="1">
        <w:r w:rsidRPr="001D7FA9">
          <w:rPr>
            <w:rStyle w:val="TextoNormalCaracter"/>
          </w:rPr>
          <w:t>95/2025</w:t>
        </w:r>
      </w:hyperlink>
      <w:r>
        <w:t>, f. 4.</w:t>
      </w:r>
    </w:p>
    <w:p w14:paraId="364C6023" w14:textId="3B54AFF2" w:rsidR="001D7FA9" w:rsidRDefault="001D7FA9" w:rsidP="001D7FA9">
      <w:pPr>
        <w:pStyle w:val="SangriaFrancesaArticulo"/>
      </w:pPr>
      <w:r w:rsidRPr="001D7FA9">
        <w:rPr>
          <w:rStyle w:val="TextoNormalNegritaCaracter"/>
        </w:rPr>
        <w:t>Artículo 44.</w:t>
      </w:r>
      <w:r w:rsidRPr="001D7FA9">
        <w:rPr>
          <w:rStyle w:val="TextoNormalCaracter"/>
        </w:rPr>
        <w:t>-</w:t>
      </w:r>
      <w:r>
        <w:t xml:space="preserve"> Sentencia </w:t>
      </w:r>
      <w:hyperlink w:anchor="SENTENCIA_2025_43" w:history="1">
        <w:r w:rsidRPr="001D7FA9">
          <w:rPr>
            <w:rStyle w:val="TextoNormalCaracter"/>
          </w:rPr>
          <w:t>43/2025</w:t>
        </w:r>
      </w:hyperlink>
      <w:r>
        <w:t>, f. 3.</w:t>
      </w:r>
    </w:p>
    <w:p w14:paraId="4AAD8A15" w14:textId="621D580F" w:rsidR="001D7FA9" w:rsidRDefault="001D7FA9" w:rsidP="001D7FA9">
      <w:pPr>
        <w:pStyle w:val="SangriaFrancesaArticulo"/>
      </w:pPr>
      <w:r w:rsidRPr="001D7FA9">
        <w:rPr>
          <w:rStyle w:val="TextoNormalNegritaCaracter"/>
        </w:rPr>
        <w:t>Artículo 51.</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0199DAD8" w14:textId="1A2FEC58" w:rsidR="001D7FA9" w:rsidRDefault="001D7FA9" w:rsidP="001D7FA9">
      <w:pPr>
        <w:pStyle w:val="SangriaFrancesaArticulo"/>
      </w:pPr>
      <w:r w:rsidRPr="001D7FA9">
        <w:rPr>
          <w:rStyle w:val="TextoNormalNegritaCaracter"/>
        </w:rPr>
        <w:t>Artículo 70.2.</w:t>
      </w:r>
      <w:r w:rsidRPr="001D7FA9">
        <w:rPr>
          <w:rStyle w:val="TextoNormalCaracter"/>
        </w:rPr>
        <w:t>-</w:t>
      </w:r>
      <w:r>
        <w:t xml:space="preserve"> Auto </w:t>
      </w:r>
      <w:hyperlink w:anchor="AUTO_2025_11" w:history="1">
        <w:r w:rsidRPr="001D7FA9">
          <w:rPr>
            <w:rStyle w:val="TextoNormalCaracter"/>
          </w:rPr>
          <w:t>11/2025</w:t>
        </w:r>
      </w:hyperlink>
      <w:r>
        <w:t>, VP.</w:t>
      </w:r>
    </w:p>
    <w:p w14:paraId="63E91E48" w14:textId="779195A7" w:rsidR="001D7FA9" w:rsidRDefault="001D7FA9" w:rsidP="001D7FA9">
      <w:pPr>
        <w:pStyle w:val="SangriaFrancesaArticulo"/>
      </w:pPr>
      <w:r w:rsidRPr="001D7FA9">
        <w:rPr>
          <w:rStyle w:val="TextoNormalNegritaCaracter"/>
        </w:rPr>
        <w:t>Artículo 78.3</w:t>
      </w:r>
      <w:r>
        <w:t xml:space="preserve"> (redactado por la Ley 13/2009, de 3 de noviembre)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06A09E5D" w14:textId="205B6AF7" w:rsidR="001D7FA9" w:rsidRDefault="001D7FA9" w:rsidP="001D7FA9">
      <w:pPr>
        <w:pStyle w:val="SangriaFrancesaArticulo"/>
      </w:pPr>
      <w:r w:rsidRPr="001D7FA9">
        <w:rPr>
          <w:rStyle w:val="TextoNormalNegritaCaracter"/>
        </w:rPr>
        <w:t>Artículo 100.7.</w:t>
      </w:r>
      <w:r w:rsidRPr="001D7FA9">
        <w:rPr>
          <w:rStyle w:val="TextoNormalCaracter"/>
        </w:rPr>
        <w:t>-</w:t>
      </w:r>
      <w:r>
        <w:t xml:space="preserve"> Sentencias </w:t>
      </w:r>
      <w:hyperlink w:anchor="SENTENCIA_2025_105" w:history="1">
        <w:r w:rsidRPr="001D7FA9">
          <w:rPr>
            <w:rStyle w:val="TextoNormalCaracter"/>
          </w:rPr>
          <w:t>105/2025</w:t>
        </w:r>
      </w:hyperlink>
      <w:r>
        <w:t xml:space="preserve">, VP II, VP III; </w:t>
      </w:r>
      <w:hyperlink w:anchor="SENTENCIA_2025_110" w:history="1">
        <w:r w:rsidRPr="001D7FA9">
          <w:rPr>
            <w:rStyle w:val="TextoNormalCaracter"/>
          </w:rPr>
          <w:t>110/2025</w:t>
        </w:r>
      </w:hyperlink>
      <w:r>
        <w:t>, VP I.</w:t>
      </w:r>
    </w:p>
    <w:p w14:paraId="059E0652" w14:textId="0E400257" w:rsidR="001D7FA9" w:rsidRDefault="001D7FA9" w:rsidP="001D7FA9">
      <w:pPr>
        <w:pStyle w:val="SangriaFrancesaArticulo"/>
      </w:pPr>
      <w:r w:rsidRPr="001D7FA9">
        <w:rPr>
          <w:rStyle w:val="TextoNormalNegritaCaracter"/>
        </w:rPr>
        <w:t>Artículo 102.</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223DAA0E" w14:textId="5016C330" w:rsidR="001D7FA9" w:rsidRDefault="001D7FA9" w:rsidP="001D7FA9">
      <w:pPr>
        <w:pStyle w:val="SangriaFrancesaArticulo"/>
      </w:pPr>
      <w:r w:rsidRPr="001D7FA9">
        <w:rPr>
          <w:rStyle w:val="TextoNormalNegritaCaracter"/>
        </w:rPr>
        <w:t>Artículo 102 bis.2, párrafo 1</w:t>
      </w:r>
      <w:r>
        <w:t xml:space="preserve"> (redactado por la Ley 13/2009, de 3 de noviembre)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355E505D" w14:textId="7E3DC1B8" w:rsidR="001D7FA9" w:rsidRDefault="001D7FA9" w:rsidP="001D7FA9">
      <w:pPr>
        <w:pStyle w:val="SangriaFrancesaArticulo"/>
      </w:pPr>
    </w:p>
    <w:p w14:paraId="4E7C377F" w14:textId="77777777" w:rsidR="001D7FA9" w:rsidRDefault="001D7FA9" w:rsidP="001D7FA9">
      <w:pPr>
        <w:pStyle w:val="TextoNormalNegritaCursivandice"/>
        <w:keepNext/>
      </w:pPr>
      <w:r>
        <w:t>Ley 1/2000, de 7 de enero, de enjuiciamiento civil</w:t>
      </w:r>
    </w:p>
    <w:p w14:paraId="226AB3F8" w14:textId="054F0C84"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26" w:history="1">
        <w:r w:rsidRPr="001D7FA9">
          <w:rPr>
            <w:rStyle w:val="TextoNormalCaracter"/>
          </w:rPr>
          <w:t>26/2025</w:t>
        </w:r>
      </w:hyperlink>
      <w:r>
        <w:t>, ff. 6, 7.</w:t>
      </w:r>
    </w:p>
    <w:p w14:paraId="2EF99FE7" w14:textId="7B2C03EA" w:rsidR="001D7FA9" w:rsidRDefault="001D7FA9" w:rsidP="001D7FA9">
      <w:pPr>
        <w:pStyle w:val="SangriaIzquierdaArticulo"/>
      </w:pPr>
      <w:r>
        <w:t xml:space="preserve">Autos </w:t>
      </w:r>
      <w:hyperlink w:anchor="AUTO_2025_6" w:history="1">
        <w:r w:rsidRPr="001D7FA9">
          <w:rPr>
            <w:rStyle w:val="TextoNormalCaracter"/>
          </w:rPr>
          <w:t>6/2025</w:t>
        </w:r>
      </w:hyperlink>
      <w:r>
        <w:t xml:space="preserve">, f. 5, VP II; </w:t>
      </w:r>
      <w:hyperlink w:anchor="AUTO_2025_12" w:history="1">
        <w:r w:rsidRPr="001D7FA9">
          <w:rPr>
            <w:rStyle w:val="TextoNormalCaracter"/>
          </w:rPr>
          <w:t>12/2025</w:t>
        </w:r>
      </w:hyperlink>
      <w:r>
        <w:t xml:space="preserve">, VP II; </w:t>
      </w:r>
      <w:hyperlink w:anchor="AUTO_2025_16" w:history="1">
        <w:r w:rsidRPr="001D7FA9">
          <w:rPr>
            <w:rStyle w:val="TextoNormalCaracter"/>
          </w:rPr>
          <w:t>16/2025</w:t>
        </w:r>
      </w:hyperlink>
      <w:r>
        <w:t xml:space="preserve">, f. 1; </w:t>
      </w:r>
      <w:hyperlink w:anchor="AUTO_2025_31" w:history="1">
        <w:r w:rsidRPr="001D7FA9">
          <w:rPr>
            <w:rStyle w:val="TextoNormalCaracter"/>
          </w:rPr>
          <w:t>31/2025</w:t>
        </w:r>
      </w:hyperlink>
      <w:r>
        <w:t xml:space="preserve">, f. 2; </w:t>
      </w:r>
      <w:hyperlink w:anchor="AUTO_2025_35" w:history="1">
        <w:r w:rsidRPr="001D7FA9">
          <w:rPr>
            <w:rStyle w:val="TextoNormalCaracter"/>
          </w:rPr>
          <w:t>35/2025</w:t>
        </w:r>
      </w:hyperlink>
      <w:r>
        <w:t>, f. 4, VP II.</w:t>
      </w:r>
    </w:p>
    <w:p w14:paraId="1450D923" w14:textId="4D1ABB84" w:rsidR="001D7FA9" w:rsidRDefault="001D7FA9" w:rsidP="001D7FA9">
      <w:pPr>
        <w:pStyle w:val="SangriaFrancesaArticulo"/>
      </w:pPr>
      <w:r w:rsidRPr="001D7FA9">
        <w:rPr>
          <w:rStyle w:val="TextoNormalNegritaCaracter"/>
        </w:rPr>
        <w:t>Artículo 19.1.</w:t>
      </w:r>
      <w:r w:rsidRPr="001D7FA9">
        <w:rPr>
          <w:rStyle w:val="TextoNormalCaracter"/>
        </w:rPr>
        <w:t>-</w:t>
      </w:r>
      <w:r>
        <w:t xml:space="preserve"> Auto </w:t>
      </w:r>
      <w:hyperlink w:anchor="AUTO_2025_2" w:history="1">
        <w:r w:rsidRPr="001D7FA9">
          <w:rPr>
            <w:rStyle w:val="TextoNormalCaracter"/>
          </w:rPr>
          <w:t>2/2025</w:t>
        </w:r>
      </w:hyperlink>
      <w:r>
        <w:t>, f. único.</w:t>
      </w:r>
    </w:p>
    <w:p w14:paraId="737F51B3" w14:textId="1AFA1B20" w:rsidR="001D7FA9" w:rsidRDefault="001D7FA9" w:rsidP="001D7FA9">
      <w:pPr>
        <w:pStyle w:val="SangriaFrancesaArticulo"/>
      </w:pPr>
      <w:r w:rsidRPr="001D7FA9">
        <w:rPr>
          <w:rStyle w:val="TextoNormalNegritaCaracter"/>
        </w:rPr>
        <w:t>Artículo 20.2.</w:t>
      </w:r>
      <w:r w:rsidRPr="001D7FA9">
        <w:rPr>
          <w:rStyle w:val="TextoNormalCaracter"/>
        </w:rPr>
        <w:t>-</w:t>
      </w:r>
      <w:r>
        <w:t xml:space="preserve"> Auto </w:t>
      </w:r>
      <w:hyperlink w:anchor="AUTO_2025_2" w:history="1">
        <w:r w:rsidRPr="001D7FA9">
          <w:rPr>
            <w:rStyle w:val="TextoNormalCaracter"/>
          </w:rPr>
          <w:t>2/2025</w:t>
        </w:r>
      </w:hyperlink>
      <w:r>
        <w:t>, f. único.</w:t>
      </w:r>
    </w:p>
    <w:p w14:paraId="1A296B38" w14:textId="28BA6B7D" w:rsidR="001D7FA9" w:rsidRDefault="001D7FA9" w:rsidP="001D7FA9">
      <w:pPr>
        <w:pStyle w:val="SangriaFrancesaArticulo"/>
      </w:pPr>
      <w:r w:rsidRPr="001D7FA9">
        <w:rPr>
          <w:rStyle w:val="TextoNormalNegritaCaracter"/>
        </w:rPr>
        <w:t>Artículo 20.3.</w:t>
      </w:r>
      <w:r w:rsidRPr="001D7FA9">
        <w:rPr>
          <w:rStyle w:val="TextoNormalCaracter"/>
        </w:rPr>
        <w:t>-</w:t>
      </w:r>
      <w:r>
        <w:t xml:space="preserve"> Auto </w:t>
      </w:r>
      <w:hyperlink w:anchor="AUTO_2025_2" w:history="1">
        <w:r w:rsidRPr="001D7FA9">
          <w:rPr>
            <w:rStyle w:val="TextoNormalCaracter"/>
          </w:rPr>
          <w:t>2/2025</w:t>
        </w:r>
      </w:hyperlink>
      <w:r>
        <w:t>, f. único.</w:t>
      </w:r>
    </w:p>
    <w:p w14:paraId="323AD1CF" w14:textId="7F4F44EB" w:rsidR="001D7FA9" w:rsidRDefault="001D7FA9" w:rsidP="001D7FA9">
      <w:pPr>
        <w:pStyle w:val="SangriaFrancesaArticulo"/>
      </w:pPr>
      <w:r w:rsidRPr="001D7FA9">
        <w:rPr>
          <w:rStyle w:val="TextoNormalNegritaCaracter"/>
        </w:rPr>
        <w:t>Artículo 34.2 párrafo 2</w:t>
      </w:r>
      <w:r>
        <w:t xml:space="preserve"> (redactado por la Ley 13/2009, de 3 de noviembre)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6FC49F65" w14:textId="71636F7B" w:rsidR="001D7FA9" w:rsidRDefault="001D7FA9" w:rsidP="001D7FA9">
      <w:pPr>
        <w:pStyle w:val="SangriaFrancesaArticulo"/>
      </w:pPr>
      <w:r w:rsidRPr="001D7FA9">
        <w:rPr>
          <w:rStyle w:val="TextoNormalNegritaCaracter"/>
        </w:rPr>
        <w:t>Artículo 34.2 párrafo 3</w:t>
      </w:r>
      <w:r>
        <w:t xml:space="preserve"> (redactado por la Ley 13/2009, de 3 de noviembre)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1491E100" w14:textId="5B2F500D" w:rsidR="001D7FA9" w:rsidRDefault="001D7FA9" w:rsidP="001D7FA9">
      <w:pPr>
        <w:pStyle w:val="SangriaFrancesaArticulo"/>
      </w:pPr>
      <w:r w:rsidRPr="001D7FA9">
        <w:rPr>
          <w:rStyle w:val="TextoNormalNegritaCaracter"/>
        </w:rPr>
        <w:t>Artículo 35.2</w:t>
      </w:r>
      <w:r>
        <w:t xml:space="preserve"> (redactado por la Ley 13/2009, de 3 de noviembre)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35405847" w14:textId="4EA06BFB" w:rsidR="001D7FA9" w:rsidRDefault="001D7FA9" w:rsidP="001D7FA9">
      <w:pPr>
        <w:pStyle w:val="SangriaFrancesaArticulo"/>
      </w:pPr>
      <w:r w:rsidRPr="001D7FA9">
        <w:rPr>
          <w:rStyle w:val="TextoNormalNegritaCaracter"/>
        </w:rPr>
        <w:t>Artículo 54.</w:t>
      </w:r>
      <w:r w:rsidRPr="001D7FA9">
        <w:rPr>
          <w:rStyle w:val="TextoNormalCaracter"/>
        </w:rPr>
        <w:t>-</w:t>
      </w:r>
      <w:r>
        <w:t xml:space="preserve"> Auto </w:t>
      </w:r>
      <w:hyperlink w:anchor="AUTO_2025_20" w:history="1">
        <w:r w:rsidRPr="001D7FA9">
          <w:rPr>
            <w:rStyle w:val="TextoNormalCaracter"/>
          </w:rPr>
          <w:t>20/2025</w:t>
        </w:r>
      </w:hyperlink>
      <w:r>
        <w:t>, f. 6.</w:t>
      </w:r>
    </w:p>
    <w:p w14:paraId="621932AD" w14:textId="6B7E9080" w:rsidR="001D7FA9" w:rsidRDefault="001D7FA9" w:rsidP="001D7FA9">
      <w:pPr>
        <w:pStyle w:val="SangriaFrancesaArticulo"/>
      </w:pPr>
      <w:r w:rsidRPr="001D7FA9">
        <w:rPr>
          <w:rStyle w:val="TextoNormalNegritaCaracter"/>
        </w:rPr>
        <w:t>Artículo 60.1.</w:t>
      </w:r>
      <w:r w:rsidRPr="001D7FA9">
        <w:rPr>
          <w:rStyle w:val="TextoNormalCaracter"/>
        </w:rPr>
        <w:t>-</w:t>
      </w:r>
      <w:r>
        <w:t xml:space="preserve"> Auto </w:t>
      </w:r>
      <w:hyperlink w:anchor="AUTO_2025_20" w:history="1">
        <w:r w:rsidRPr="001D7FA9">
          <w:rPr>
            <w:rStyle w:val="TextoNormalCaracter"/>
          </w:rPr>
          <w:t>20/2025</w:t>
        </w:r>
      </w:hyperlink>
      <w:r>
        <w:t>, ff. 1, 4, 5.</w:t>
      </w:r>
    </w:p>
    <w:p w14:paraId="111BBC46" w14:textId="32303EB6" w:rsidR="001D7FA9" w:rsidRDefault="001D7FA9" w:rsidP="001D7FA9">
      <w:pPr>
        <w:pStyle w:val="SangriaFrancesaArticulo"/>
      </w:pPr>
      <w:r w:rsidRPr="001D7FA9">
        <w:rPr>
          <w:rStyle w:val="TextoNormalNegritaCaracter"/>
        </w:rPr>
        <w:t>Artículo 101.</w:t>
      </w:r>
      <w:r w:rsidRPr="001D7FA9">
        <w:rPr>
          <w:rStyle w:val="TextoNormalCaracter"/>
        </w:rPr>
        <w:t>-</w:t>
      </w:r>
      <w:r>
        <w:t xml:space="preserve"> Autos </w:t>
      </w:r>
      <w:hyperlink w:anchor="AUTO_2025_12" w:history="1">
        <w:r w:rsidRPr="001D7FA9">
          <w:rPr>
            <w:rStyle w:val="TextoNormalCaracter"/>
          </w:rPr>
          <w:t>12/2025</w:t>
        </w:r>
      </w:hyperlink>
      <w:r>
        <w:t xml:space="preserve">, VP I; </w:t>
      </w:r>
      <w:hyperlink w:anchor="AUTO_2025_35" w:history="1">
        <w:r w:rsidRPr="001D7FA9">
          <w:rPr>
            <w:rStyle w:val="TextoNormalCaracter"/>
          </w:rPr>
          <w:t>35/2025</w:t>
        </w:r>
      </w:hyperlink>
      <w:r>
        <w:t>, VP I.</w:t>
      </w:r>
    </w:p>
    <w:p w14:paraId="58AAB508" w14:textId="6DBB71CE" w:rsidR="001D7FA9" w:rsidRDefault="001D7FA9" w:rsidP="001D7FA9">
      <w:pPr>
        <w:pStyle w:val="SangriaFrancesaArticulo"/>
      </w:pPr>
      <w:r w:rsidRPr="001D7FA9">
        <w:rPr>
          <w:rStyle w:val="TextoNormalNegritaCaracter"/>
        </w:rPr>
        <w:t>Artículo 102.4.</w:t>
      </w:r>
      <w:r w:rsidRPr="001D7FA9">
        <w:rPr>
          <w:rStyle w:val="TextoNormalCaracter"/>
        </w:rPr>
        <w:t>-</w:t>
      </w:r>
      <w:r>
        <w:t xml:space="preserve"> Auto </w:t>
      </w:r>
      <w:hyperlink w:anchor="AUTO_2025_31" w:history="1">
        <w:r w:rsidRPr="001D7FA9">
          <w:rPr>
            <w:rStyle w:val="TextoNormalCaracter"/>
          </w:rPr>
          <w:t>31/2025</w:t>
        </w:r>
      </w:hyperlink>
      <w:r>
        <w:t>, f. 2.</w:t>
      </w:r>
    </w:p>
    <w:p w14:paraId="0326CD5E" w14:textId="340DE9F0" w:rsidR="001D7FA9" w:rsidRDefault="001D7FA9" w:rsidP="001D7FA9">
      <w:pPr>
        <w:pStyle w:val="SangriaFrancesaArticulo"/>
      </w:pPr>
      <w:r w:rsidRPr="001D7FA9">
        <w:rPr>
          <w:rStyle w:val="TextoNormalNegritaCaracter"/>
        </w:rPr>
        <w:t>Artículo 107.</w:t>
      </w:r>
      <w:r w:rsidRPr="001D7FA9">
        <w:rPr>
          <w:rStyle w:val="TextoNormalCaracter"/>
        </w:rPr>
        <w:t>-</w:t>
      </w:r>
      <w:r>
        <w:t xml:space="preserve"> Auto </w:t>
      </w:r>
      <w:hyperlink w:anchor="AUTO_2025_35" w:history="1">
        <w:r w:rsidRPr="001D7FA9">
          <w:rPr>
            <w:rStyle w:val="TextoNormalCaracter"/>
          </w:rPr>
          <w:t>35/2025</w:t>
        </w:r>
      </w:hyperlink>
      <w:r>
        <w:t>, VP I.</w:t>
      </w:r>
    </w:p>
    <w:p w14:paraId="25A0BF45" w14:textId="786A46B8" w:rsidR="001D7FA9" w:rsidRDefault="001D7FA9" w:rsidP="001D7FA9">
      <w:pPr>
        <w:pStyle w:val="SangriaFrancesaArticulo"/>
      </w:pPr>
      <w:r w:rsidRPr="001D7FA9">
        <w:rPr>
          <w:rStyle w:val="TextoNormalNegritaCaracter"/>
        </w:rPr>
        <w:t>Artículo 107 y ss..</w:t>
      </w:r>
      <w:r w:rsidRPr="001D7FA9">
        <w:rPr>
          <w:rStyle w:val="TextoNormalCaracter"/>
        </w:rPr>
        <w:t>-</w:t>
      </w:r>
      <w:r>
        <w:t xml:space="preserve"> Autos </w:t>
      </w:r>
      <w:hyperlink w:anchor="AUTO_2025_12" w:history="1">
        <w:r w:rsidRPr="001D7FA9">
          <w:rPr>
            <w:rStyle w:val="TextoNormalCaracter"/>
          </w:rPr>
          <w:t>12/2025</w:t>
        </w:r>
      </w:hyperlink>
      <w:r>
        <w:t xml:space="preserve">, VP II; </w:t>
      </w:r>
      <w:hyperlink w:anchor="AUTO_2025_35" w:history="1">
        <w:r w:rsidRPr="001D7FA9">
          <w:rPr>
            <w:rStyle w:val="TextoNormalCaracter"/>
          </w:rPr>
          <w:t>35/2025</w:t>
        </w:r>
      </w:hyperlink>
      <w:r>
        <w:t>, VP I.</w:t>
      </w:r>
    </w:p>
    <w:p w14:paraId="4148A63A" w14:textId="576C9BC9" w:rsidR="001D7FA9" w:rsidRDefault="001D7FA9" w:rsidP="001D7FA9">
      <w:pPr>
        <w:pStyle w:val="SangriaFrancesaArticulo"/>
      </w:pPr>
      <w:r w:rsidRPr="001D7FA9">
        <w:rPr>
          <w:rStyle w:val="TextoNormalNegritaCaracter"/>
        </w:rPr>
        <w:t>Artículo 107.1.</w:t>
      </w:r>
      <w:r w:rsidRPr="001D7FA9">
        <w:rPr>
          <w:rStyle w:val="TextoNormalCaracter"/>
        </w:rPr>
        <w:t>-</w:t>
      </w:r>
      <w:r>
        <w:t xml:space="preserve"> Autos </w:t>
      </w:r>
      <w:hyperlink w:anchor="AUTO_2025_12" w:history="1">
        <w:r w:rsidRPr="001D7FA9">
          <w:rPr>
            <w:rStyle w:val="TextoNormalCaracter"/>
          </w:rPr>
          <w:t>12/2025</w:t>
        </w:r>
      </w:hyperlink>
      <w:r>
        <w:t xml:space="preserve">, VP III; </w:t>
      </w:r>
      <w:hyperlink w:anchor="AUTO_2025_35" w:history="1">
        <w:r w:rsidRPr="001D7FA9">
          <w:rPr>
            <w:rStyle w:val="TextoNormalCaracter"/>
          </w:rPr>
          <w:t>35/2025</w:t>
        </w:r>
      </w:hyperlink>
      <w:r>
        <w:t>, VP II.</w:t>
      </w:r>
    </w:p>
    <w:p w14:paraId="4C821291" w14:textId="44FDAA26" w:rsidR="001D7FA9" w:rsidRDefault="001D7FA9" w:rsidP="001D7FA9">
      <w:pPr>
        <w:pStyle w:val="SangriaFrancesaArticulo"/>
      </w:pPr>
      <w:r w:rsidRPr="001D7FA9">
        <w:rPr>
          <w:rStyle w:val="TextoNormalNegritaCaracter"/>
        </w:rPr>
        <w:t>Artículo 107.2.</w:t>
      </w:r>
      <w:r w:rsidRPr="001D7FA9">
        <w:rPr>
          <w:rStyle w:val="TextoNormalCaracter"/>
        </w:rPr>
        <w:t>-</w:t>
      </w:r>
      <w:r>
        <w:t xml:space="preserve"> Autos </w:t>
      </w:r>
      <w:hyperlink w:anchor="AUTO_2025_12" w:history="1">
        <w:r w:rsidRPr="001D7FA9">
          <w:rPr>
            <w:rStyle w:val="TextoNormalCaracter"/>
          </w:rPr>
          <w:t>12/2025</w:t>
        </w:r>
      </w:hyperlink>
      <w:r>
        <w:t xml:space="preserve">, VP III; </w:t>
      </w:r>
      <w:hyperlink w:anchor="AUTO_2025_35" w:history="1">
        <w:r w:rsidRPr="001D7FA9">
          <w:rPr>
            <w:rStyle w:val="TextoNormalCaracter"/>
          </w:rPr>
          <w:t>35/2025</w:t>
        </w:r>
      </w:hyperlink>
      <w:r>
        <w:t>, VP II.</w:t>
      </w:r>
    </w:p>
    <w:p w14:paraId="51F239E0" w14:textId="2CE45A10" w:rsidR="001D7FA9" w:rsidRDefault="001D7FA9" w:rsidP="001D7FA9">
      <w:pPr>
        <w:pStyle w:val="SangriaFrancesaArticulo"/>
      </w:pPr>
      <w:r w:rsidRPr="001D7FA9">
        <w:rPr>
          <w:rStyle w:val="TextoNormalNegritaCaracter"/>
        </w:rPr>
        <w:t>Artículo 107.3.</w:t>
      </w:r>
      <w:r w:rsidRPr="001D7FA9">
        <w:rPr>
          <w:rStyle w:val="TextoNormalCaracter"/>
        </w:rPr>
        <w:t>-</w:t>
      </w:r>
      <w:r>
        <w:t xml:space="preserve"> Autos </w:t>
      </w:r>
      <w:hyperlink w:anchor="AUTO_2025_12" w:history="1">
        <w:r w:rsidRPr="001D7FA9">
          <w:rPr>
            <w:rStyle w:val="TextoNormalCaracter"/>
          </w:rPr>
          <w:t>12/2025</w:t>
        </w:r>
      </w:hyperlink>
      <w:r>
        <w:t xml:space="preserve">, VP I, VP II, VP III; </w:t>
      </w:r>
      <w:hyperlink w:anchor="AUTO_2025_35" w:history="1">
        <w:r w:rsidRPr="001D7FA9">
          <w:rPr>
            <w:rStyle w:val="TextoNormalCaracter"/>
          </w:rPr>
          <w:t>35/2025</w:t>
        </w:r>
      </w:hyperlink>
      <w:r>
        <w:t>, VP II.</w:t>
      </w:r>
    </w:p>
    <w:p w14:paraId="0B60C763" w14:textId="6F19612E" w:rsidR="001D7FA9" w:rsidRDefault="001D7FA9" w:rsidP="001D7FA9">
      <w:pPr>
        <w:pStyle w:val="SangriaFrancesaArticulo"/>
      </w:pPr>
      <w:r w:rsidRPr="001D7FA9">
        <w:rPr>
          <w:rStyle w:val="TextoNormalNegritaCaracter"/>
        </w:rPr>
        <w:t>Artículo 107.4.</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1A3E4BD" w14:textId="3B9000DA" w:rsidR="001D7FA9" w:rsidRDefault="001D7FA9" w:rsidP="001D7FA9">
      <w:pPr>
        <w:pStyle w:val="SangriaIzquierdaArticulo"/>
      </w:pPr>
      <w:r>
        <w:t xml:space="preserve">Autos </w:t>
      </w:r>
      <w:hyperlink w:anchor="AUTO_2025_12" w:history="1">
        <w:r w:rsidRPr="001D7FA9">
          <w:rPr>
            <w:rStyle w:val="TextoNormalCaracter"/>
          </w:rPr>
          <w:t>12/2025</w:t>
        </w:r>
      </w:hyperlink>
      <w:r>
        <w:t xml:space="preserve">, VP II, VP III; </w:t>
      </w:r>
      <w:hyperlink w:anchor="AUTO_2025_35" w:history="1">
        <w:r w:rsidRPr="001D7FA9">
          <w:rPr>
            <w:rStyle w:val="TextoNormalCaracter"/>
          </w:rPr>
          <w:t>35/2025</w:t>
        </w:r>
      </w:hyperlink>
      <w:r>
        <w:t>, VP II.</w:t>
      </w:r>
    </w:p>
    <w:p w14:paraId="08565BFD" w14:textId="066D66D7" w:rsidR="001D7FA9" w:rsidRDefault="001D7FA9" w:rsidP="001D7FA9">
      <w:pPr>
        <w:pStyle w:val="SangriaFrancesaArticulo"/>
      </w:pPr>
      <w:r w:rsidRPr="001D7FA9">
        <w:rPr>
          <w:rStyle w:val="TextoNormalNegritaCaracter"/>
        </w:rPr>
        <w:t>Artículo 112.</w:t>
      </w:r>
      <w:r w:rsidRPr="001D7FA9">
        <w:rPr>
          <w:rStyle w:val="TextoNormalCaracter"/>
        </w:rPr>
        <w:t>-</w:t>
      </w:r>
      <w:r>
        <w:t xml:space="preserve"> Auto </w:t>
      </w:r>
      <w:hyperlink w:anchor="AUTO_2025_35" w:history="1">
        <w:r w:rsidRPr="001D7FA9">
          <w:rPr>
            <w:rStyle w:val="TextoNormalCaracter"/>
          </w:rPr>
          <w:t>35/2025</w:t>
        </w:r>
      </w:hyperlink>
      <w:r>
        <w:t>, f. 3.</w:t>
      </w:r>
    </w:p>
    <w:p w14:paraId="55DD4E17" w14:textId="7E6FAAB5"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Autos </w:t>
      </w:r>
      <w:hyperlink w:anchor="AUTO_2025_31" w:history="1">
        <w:r w:rsidRPr="001D7FA9">
          <w:rPr>
            <w:rStyle w:val="TextoNormalCaracter"/>
          </w:rPr>
          <w:t>31/2025</w:t>
        </w:r>
      </w:hyperlink>
      <w:r>
        <w:t xml:space="preserve">, f. 2; </w:t>
      </w:r>
      <w:hyperlink w:anchor="AUTO_2025_35" w:history="1">
        <w:r w:rsidRPr="001D7FA9">
          <w:rPr>
            <w:rStyle w:val="TextoNormalCaracter"/>
          </w:rPr>
          <w:t>35/2025</w:t>
        </w:r>
      </w:hyperlink>
      <w:r>
        <w:t>, f. 1, VP I.</w:t>
      </w:r>
    </w:p>
    <w:p w14:paraId="7B916DF5" w14:textId="0D48DE26" w:rsidR="001D7FA9" w:rsidRDefault="001D7FA9" w:rsidP="001D7FA9">
      <w:pPr>
        <w:pStyle w:val="SangriaFrancesaArticulo"/>
      </w:pPr>
      <w:r w:rsidRPr="001D7FA9">
        <w:rPr>
          <w:rStyle w:val="TextoNormalNegritaCaracter"/>
        </w:rPr>
        <w:t>Artículo 135.1.</w:t>
      </w:r>
      <w:r w:rsidRPr="001D7FA9">
        <w:rPr>
          <w:rStyle w:val="TextoNormalCaracter"/>
        </w:rPr>
        <w:t>-</w:t>
      </w:r>
      <w:r>
        <w:t xml:space="preserve"> Sentencia </w:t>
      </w:r>
      <w:hyperlink w:anchor="SENTENCIA_2025_106" w:history="1">
        <w:r w:rsidRPr="001D7FA9">
          <w:rPr>
            <w:rStyle w:val="TextoNormalCaracter"/>
          </w:rPr>
          <w:t>106/2025</w:t>
        </w:r>
      </w:hyperlink>
      <w:r>
        <w:t>, f. 2.</w:t>
      </w:r>
    </w:p>
    <w:p w14:paraId="3068BF53" w14:textId="3508A701" w:rsidR="001D7FA9" w:rsidRDefault="001D7FA9" w:rsidP="001D7FA9">
      <w:pPr>
        <w:pStyle w:val="SangriaFrancesaArticulo"/>
      </w:pPr>
      <w:r w:rsidRPr="001D7FA9">
        <w:rPr>
          <w:rStyle w:val="TextoNormalNegritaCaracter"/>
        </w:rPr>
        <w:t>Artículo 151.</w:t>
      </w:r>
      <w:r w:rsidRPr="001D7FA9">
        <w:rPr>
          <w:rStyle w:val="TextoNormalCaracter"/>
        </w:rPr>
        <w:t>-</w:t>
      </w:r>
      <w:r>
        <w:t xml:space="preserve"> Sentencia </w:t>
      </w:r>
      <w:hyperlink w:anchor="SENTENCIA_2025_121" w:history="1">
        <w:r w:rsidRPr="001D7FA9">
          <w:rPr>
            <w:rStyle w:val="TextoNormalCaracter"/>
          </w:rPr>
          <w:t>121/2025</w:t>
        </w:r>
      </w:hyperlink>
      <w:r>
        <w:t>, f. 2.</w:t>
      </w:r>
    </w:p>
    <w:p w14:paraId="51992439" w14:textId="3468A8DA" w:rsidR="001D7FA9" w:rsidRDefault="001D7FA9" w:rsidP="001D7FA9">
      <w:pPr>
        <w:pStyle w:val="SangriaFrancesaArticulo"/>
      </w:pPr>
      <w:r w:rsidRPr="001D7FA9">
        <w:rPr>
          <w:rStyle w:val="TextoNormalNegritaCaracter"/>
        </w:rPr>
        <w:t>Artículo 155.3.</w:t>
      </w:r>
      <w:r w:rsidRPr="001D7FA9">
        <w:rPr>
          <w:rStyle w:val="TextoNormalCaracter"/>
        </w:rPr>
        <w:t>-</w:t>
      </w:r>
      <w:r>
        <w:t xml:space="preserve"> Sentencia </w:t>
      </w:r>
      <w:hyperlink w:anchor="SENTENCIA_2025_2" w:history="1">
        <w:r w:rsidRPr="001D7FA9">
          <w:rPr>
            <w:rStyle w:val="TextoNormalCaracter"/>
          </w:rPr>
          <w:t>2/2025</w:t>
        </w:r>
      </w:hyperlink>
      <w:r>
        <w:t>, f. 3.</w:t>
      </w:r>
    </w:p>
    <w:p w14:paraId="1F1C395E" w14:textId="742312F0" w:rsidR="001D7FA9" w:rsidRDefault="001D7FA9" w:rsidP="001D7FA9">
      <w:pPr>
        <w:pStyle w:val="SangriaFrancesaArticulo"/>
      </w:pPr>
      <w:r w:rsidRPr="001D7FA9">
        <w:rPr>
          <w:rStyle w:val="TextoNormalNegritaCaracter"/>
        </w:rPr>
        <w:t>Artículo 156.</w:t>
      </w:r>
      <w:r w:rsidRPr="001D7FA9">
        <w:rPr>
          <w:rStyle w:val="TextoNormalCaracter"/>
        </w:rPr>
        <w:t>-</w:t>
      </w:r>
      <w:r>
        <w:t xml:space="preserve"> Sentencia </w:t>
      </w:r>
      <w:hyperlink w:anchor="SENTENCIA_2025_99" w:history="1">
        <w:r w:rsidRPr="001D7FA9">
          <w:rPr>
            <w:rStyle w:val="TextoNormalCaracter"/>
          </w:rPr>
          <w:t>99/2025</w:t>
        </w:r>
      </w:hyperlink>
      <w:r>
        <w:t>, f. 3.</w:t>
      </w:r>
    </w:p>
    <w:p w14:paraId="13F506B0" w14:textId="42DF5B01" w:rsidR="001D7FA9" w:rsidRDefault="001D7FA9" w:rsidP="001D7FA9">
      <w:pPr>
        <w:pStyle w:val="SangriaFrancesaArticulo"/>
      </w:pPr>
      <w:r w:rsidRPr="001D7FA9">
        <w:rPr>
          <w:rStyle w:val="TextoNormalNegritaCaracter"/>
        </w:rPr>
        <w:t>Artículo 156.4.</w:t>
      </w:r>
      <w:r w:rsidRPr="001D7FA9">
        <w:rPr>
          <w:rStyle w:val="TextoNormalCaracter"/>
        </w:rPr>
        <w:t>-</w:t>
      </w:r>
      <w:r>
        <w:t xml:space="preserve"> Sentencia </w:t>
      </w:r>
      <w:hyperlink w:anchor="SENTENCIA_2025_99" w:history="1">
        <w:r w:rsidRPr="001D7FA9">
          <w:rPr>
            <w:rStyle w:val="TextoNormalCaracter"/>
          </w:rPr>
          <w:t>99/2025</w:t>
        </w:r>
      </w:hyperlink>
      <w:r>
        <w:t>, f. 3.</w:t>
      </w:r>
    </w:p>
    <w:p w14:paraId="367EC3F3" w14:textId="5A03550E" w:rsidR="001D7FA9" w:rsidRDefault="001D7FA9" w:rsidP="001D7FA9">
      <w:pPr>
        <w:pStyle w:val="SangriaFrancesaArticulo"/>
      </w:pPr>
      <w:r w:rsidRPr="001D7FA9">
        <w:rPr>
          <w:rStyle w:val="TextoNormalNegritaCaracter"/>
        </w:rPr>
        <w:t>Artículo 162.</w:t>
      </w:r>
      <w:r w:rsidRPr="001D7FA9">
        <w:rPr>
          <w:rStyle w:val="TextoNormalCaracter"/>
        </w:rPr>
        <w:t>-</w:t>
      </w:r>
      <w:r>
        <w:t xml:space="preserve"> Sentencia </w:t>
      </w:r>
      <w:hyperlink w:anchor="SENTENCIA_2025_121" w:history="1">
        <w:r w:rsidRPr="001D7FA9">
          <w:rPr>
            <w:rStyle w:val="TextoNormalCaracter"/>
          </w:rPr>
          <w:t>121/2025</w:t>
        </w:r>
      </w:hyperlink>
      <w:r>
        <w:t>, f. 2.</w:t>
      </w:r>
    </w:p>
    <w:p w14:paraId="3D6D55CF" w14:textId="145C92CF" w:rsidR="001D7FA9" w:rsidRDefault="001D7FA9" w:rsidP="001D7FA9">
      <w:pPr>
        <w:pStyle w:val="SangriaFrancesaArticulo"/>
      </w:pPr>
      <w:r w:rsidRPr="001D7FA9">
        <w:rPr>
          <w:rStyle w:val="TextoNormalNegritaCaracter"/>
        </w:rPr>
        <w:t>Artículo 164.</w:t>
      </w:r>
      <w:r w:rsidRPr="001D7FA9">
        <w:rPr>
          <w:rStyle w:val="TextoNormalCaracter"/>
        </w:rPr>
        <w:t>-</w:t>
      </w:r>
      <w:r>
        <w:t xml:space="preserve"> Sentencia </w:t>
      </w:r>
      <w:hyperlink w:anchor="SENTENCIA_2025_99" w:history="1">
        <w:r w:rsidRPr="001D7FA9">
          <w:rPr>
            <w:rStyle w:val="TextoNormalCaracter"/>
          </w:rPr>
          <w:t>99/2025</w:t>
        </w:r>
      </w:hyperlink>
      <w:r>
        <w:t>, f. 3.</w:t>
      </w:r>
    </w:p>
    <w:p w14:paraId="68C5805A" w14:textId="289B5472" w:rsidR="001D7FA9" w:rsidRDefault="001D7FA9" w:rsidP="001D7FA9">
      <w:pPr>
        <w:pStyle w:val="SangriaFrancesaArticulo"/>
      </w:pPr>
      <w:r w:rsidRPr="001D7FA9">
        <w:rPr>
          <w:rStyle w:val="TextoNormalNegritaCaracter"/>
        </w:rPr>
        <w:t>Artículo 186.</w:t>
      </w:r>
      <w:r w:rsidRPr="001D7FA9">
        <w:rPr>
          <w:rStyle w:val="TextoNormalCaracter"/>
        </w:rPr>
        <w:t>-</w:t>
      </w:r>
      <w:r>
        <w:t xml:space="preserve"> Sentencias </w:t>
      </w:r>
      <w:hyperlink w:anchor="SENTENCIA_2025_12" w:history="1">
        <w:r w:rsidRPr="001D7FA9">
          <w:rPr>
            <w:rStyle w:val="TextoNormalCaracter"/>
          </w:rPr>
          <w:t>12/2025</w:t>
        </w:r>
      </w:hyperlink>
      <w:r>
        <w:t xml:space="preserve">, f. 4, VP I; </w:t>
      </w:r>
      <w:hyperlink w:anchor="SENTENCIA_2025_13" w:history="1">
        <w:r w:rsidRPr="001D7FA9">
          <w:rPr>
            <w:rStyle w:val="TextoNormalCaracter"/>
          </w:rPr>
          <w:t>13/2025</w:t>
        </w:r>
      </w:hyperlink>
      <w:r>
        <w:t xml:space="preserve">, ff. 3, 4; </w:t>
      </w:r>
      <w:hyperlink w:anchor="SENTENCIA_2025_84" w:history="1">
        <w:r w:rsidRPr="001D7FA9">
          <w:rPr>
            <w:rStyle w:val="TextoNormalCaracter"/>
          </w:rPr>
          <w:t>84/2025</w:t>
        </w:r>
      </w:hyperlink>
      <w:r>
        <w:t>, f. 4.</w:t>
      </w:r>
    </w:p>
    <w:p w14:paraId="34B99CFA" w14:textId="72908860" w:rsidR="001D7FA9" w:rsidRDefault="001D7FA9" w:rsidP="001D7FA9">
      <w:pPr>
        <w:pStyle w:val="SangriaFrancesaArticulo"/>
      </w:pPr>
      <w:r w:rsidRPr="001D7FA9">
        <w:rPr>
          <w:rStyle w:val="TextoNormalNegritaCaracter"/>
        </w:rPr>
        <w:t>Artículo 222.</w:t>
      </w:r>
      <w:r w:rsidRPr="001D7FA9">
        <w:rPr>
          <w:rStyle w:val="TextoNormalCaracter"/>
        </w:rPr>
        <w:t>-</w:t>
      </w:r>
      <w:r>
        <w:t xml:space="preserve"> Auto </w:t>
      </w:r>
      <w:hyperlink w:anchor="AUTO_2025_35" w:history="1">
        <w:r w:rsidRPr="001D7FA9">
          <w:rPr>
            <w:rStyle w:val="TextoNormalCaracter"/>
          </w:rPr>
          <w:t>35/2025</w:t>
        </w:r>
      </w:hyperlink>
      <w:r>
        <w:t>, VP II.</w:t>
      </w:r>
    </w:p>
    <w:p w14:paraId="33B8DB70" w14:textId="0C5F0BC5" w:rsidR="001D7FA9" w:rsidRDefault="001D7FA9" w:rsidP="001D7FA9">
      <w:pPr>
        <w:pStyle w:val="SangriaFrancesaArticulo"/>
      </w:pPr>
      <w:r w:rsidRPr="001D7FA9">
        <w:rPr>
          <w:rStyle w:val="TextoNormalNegritaCaracter"/>
        </w:rPr>
        <w:t>Artículo 250.1.</w:t>
      </w:r>
      <w:r w:rsidRPr="001D7FA9">
        <w:rPr>
          <w:rStyle w:val="TextoNormalCaracter"/>
        </w:rPr>
        <w:t>-</w:t>
      </w:r>
      <w:r>
        <w:t xml:space="preserve"> Sentencia </w:t>
      </w:r>
      <w:hyperlink w:anchor="SENTENCIA_2025_26" w:history="1">
        <w:r w:rsidRPr="001D7FA9">
          <w:rPr>
            <w:rStyle w:val="TextoNormalCaracter"/>
          </w:rPr>
          <w:t>26/2025</w:t>
        </w:r>
      </w:hyperlink>
      <w:r>
        <w:t>, f. 6.</w:t>
      </w:r>
    </w:p>
    <w:p w14:paraId="68F9A958" w14:textId="5A96542F" w:rsidR="001D7FA9" w:rsidRDefault="001D7FA9" w:rsidP="001D7FA9">
      <w:pPr>
        <w:pStyle w:val="SangriaFrancesaArticulo"/>
      </w:pPr>
      <w:r w:rsidRPr="001D7FA9">
        <w:rPr>
          <w:rStyle w:val="TextoNormalNegritaCaracter"/>
        </w:rPr>
        <w:t>Artículo 250.1.1.</w:t>
      </w:r>
      <w:r w:rsidRPr="001D7FA9">
        <w:rPr>
          <w:rStyle w:val="TextoNormalCaracter"/>
        </w:rPr>
        <w:t>-</w:t>
      </w:r>
      <w:r>
        <w:t xml:space="preserve"> Sentencia </w:t>
      </w:r>
      <w:hyperlink w:anchor="SENTENCIA_2025_26" w:history="1">
        <w:r w:rsidRPr="001D7FA9">
          <w:rPr>
            <w:rStyle w:val="TextoNormalCaracter"/>
          </w:rPr>
          <w:t>26/2025</w:t>
        </w:r>
      </w:hyperlink>
      <w:r>
        <w:t>, f. 6, VP II.</w:t>
      </w:r>
    </w:p>
    <w:p w14:paraId="5B3A1500" w14:textId="019C7252" w:rsidR="001D7FA9" w:rsidRDefault="001D7FA9" w:rsidP="001D7FA9">
      <w:pPr>
        <w:pStyle w:val="SangriaFrancesaArticulo"/>
      </w:pPr>
      <w:r w:rsidRPr="001D7FA9">
        <w:rPr>
          <w:rStyle w:val="TextoNormalNegritaCaracter"/>
        </w:rPr>
        <w:t>Artículo 250.1.2.</w:t>
      </w:r>
      <w:r w:rsidRPr="001D7FA9">
        <w:rPr>
          <w:rStyle w:val="TextoNormalCaracter"/>
        </w:rPr>
        <w:t>-</w:t>
      </w:r>
      <w:r>
        <w:t xml:space="preserve"> Sentencia </w:t>
      </w:r>
      <w:hyperlink w:anchor="SENTENCIA_2025_26" w:history="1">
        <w:r w:rsidRPr="001D7FA9">
          <w:rPr>
            <w:rStyle w:val="TextoNormalCaracter"/>
          </w:rPr>
          <w:t>26/2025</w:t>
        </w:r>
      </w:hyperlink>
      <w:r>
        <w:t>, f. 6, VP II.</w:t>
      </w:r>
    </w:p>
    <w:p w14:paraId="53C114AD" w14:textId="45E8913A" w:rsidR="001D7FA9" w:rsidRDefault="001D7FA9" w:rsidP="001D7FA9">
      <w:pPr>
        <w:pStyle w:val="SangriaFrancesaArticulo"/>
      </w:pPr>
      <w:r w:rsidRPr="001D7FA9">
        <w:rPr>
          <w:rStyle w:val="TextoNormalNegritaCaracter"/>
        </w:rPr>
        <w:t>Artículo 250.1.4.</w:t>
      </w:r>
      <w:r w:rsidRPr="001D7FA9">
        <w:rPr>
          <w:rStyle w:val="TextoNormalCaracter"/>
        </w:rPr>
        <w:t>-</w:t>
      </w:r>
      <w:r>
        <w:t xml:space="preserve"> Sentencia </w:t>
      </w:r>
      <w:hyperlink w:anchor="SENTENCIA_2025_26" w:history="1">
        <w:r w:rsidRPr="001D7FA9">
          <w:rPr>
            <w:rStyle w:val="TextoNormalCaracter"/>
          </w:rPr>
          <w:t>26/2025</w:t>
        </w:r>
      </w:hyperlink>
      <w:r>
        <w:t>, f. 6, VP II.</w:t>
      </w:r>
    </w:p>
    <w:p w14:paraId="5A51BB80" w14:textId="432A0561" w:rsidR="001D7FA9" w:rsidRDefault="001D7FA9" w:rsidP="001D7FA9">
      <w:pPr>
        <w:pStyle w:val="SangriaFrancesaArticulo"/>
      </w:pPr>
      <w:r w:rsidRPr="001D7FA9">
        <w:rPr>
          <w:rStyle w:val="TextoNormalNegritaCaracter"/>
        </w:rPr>
        <w:t>Artículo 250.1.7.</w:t>
      </w:r>
      <w:r w:rsidRPr="001D7FA9">
        <w:rPr>
          <w:rStyle w:val="TextoNormalCaracter"/>
        </w:rPr>
        <w:t>-</w:t>
      </w:r>
      <w:r>
        <w:t xml:space="preserve"> Sentencia </w:t>
      </w:r>
      <w:hyperlink w:anchor="SENTENCIA_2025_26" w:history="1">
        <w:r w:rsidRPr="001D7FA9">
          <w:rPr>
            <w:rStyle w:val="TextoNormalCaracter"/>
          </w:rPr>
          <w:t>26/2025</w:t>
        </w:r>
      </w:hyperlink>
      <w:r>
        <w:t>, f. 6, VP II.</w:t>
      </w:r>
    </w:p>
    <w:p w14:paraId="674BD242" w14:textId="69424CF1" w:rsidR="001D7FA9" w:rsidRDefault="001D7FA9" w:rsidP="001D7FA9">
      <w:pPr>
        <w:pStyle w:val="SangriaFrancesaArticulo"/>
      </w:pPr>
      <w:r w:rsidRPr="001D7FA9">
        <w:rPr>
          <w:rStyle w:val="TextoNormalNegritaCaracter"/>
        </w:rPr>
        <w:t>Artículo 394.</w:t>
      </w:r>
      <w:r w:rsidRPr="001D7FA9">
        <w:rPr>
          <w:rStyle w:val="TextoNormalCaracter"/>
        </w:rPr>
        <w:t>-</w:t>
      </w:r>
      <w:r>
        <w:t xml:space="preserve"> Sentencias </w:t>
      </w:r>
      <w:hyperlink w:anchor="SENTENCIA_2025_45" w:history="1">
        <w:r w:rsidRPr="001D7FA9">
          <w:rPr>
            <w:rStyle w:val="TextoNormalCaracter"/>
          </w:rPr>
          <w:t>45/2025</w:t>
        </w:r>
      </w:hyperlink>
      <w:r>
        <w:t xml:space="preserve">, ff. 2, 3; </w:t>
      </w:r>
      <w:hyperlink w:anchor="SENTENCIA_2025_109" w:history="1">
        <w:r w:rsidRPr="001D7FA9">
          <w:rPr>
            <w:rStyle w:val="TextoNormalCaracter"/>
          </w:rPr>
          <w:t>109/2025</w:t>
        </w:r>
      </w:hyperlink>
      <w:r>
        <w:t xml:space="preserve">, f. 2; </w:t>
      </w:r>
      <w:hyperlink w:anchor="SENTENCIA_2025_121" w:history="1">
        <w:r w:rsidRPr="001D7FA9">
          <w:rPr>
            <w:rStyle w:val="TextoNormalCaracter"/>
          </w:rPr>
          <w:t>121/2025</w:t>
        </w:r>
      </w:hyperlink>
      <w:r>
        <w:t>, ff. 3, 4.</w:t>
      </w:r>
    </w:p>
    <w:p w14:paraId="66C71D03" w14:textId="27CCF2AD" w:rsidR="001D7FA9" w:rsidRDefault="001D7FA9" w:rsidP="001D7FA9">
      <w:pPr>
        <w:pStyle w:val="SangriaFrancesaArticulo"/>
      </w:pPr>
      <w:r w:rsidRPr="001D7FA9">
        <w:rPr>
          <w:rStyle w:val="TextoNormalNegritaCaracter"/>
        </w:rPr>
        <w:t>Artículo 394.1.</w:t>
      </w:r>
      <w:r w:rsidRPr="001D7FA9">
        <w:rPr>
          <w:rStyle w:val="TextoNormalCaracter"/>
        </w:rPr>
        <w:t>-</w:t>
      </w:r>
      <w:r>
        <w:t xml:space="preserve"> Sentencias </w:t>
      </w:r>
      <w:hyperlink w:anchor="SENTENCIA_2025_45" w:history="1">
        <w:r w:rsidRPr="001D7FA9">
          <w:rPr>
            <w:rStyle w:val="TextoNormalCaracter"/>
          </w:rPr>
          <w:t>45/2025</w:t>
        </w:r>
      </w:hyperlink>
      <w:r>
        <w:t xml:space="preserve">, ff. 1 a 3; </w:t>
      </w:r>
      <w:hyperlink w:anchor="SENTENCIA_2025_109" w:history="1">
        <w:r w:rsidRPr="001D7FA9">
          <w:rPr>
            <w:rStyle w:val="TextoNormalCaracter"/>
          </w:rPr>
          <w:t>109/2025</w:t>
        </w:r>
      </w:hyperlink>
      <w:r>
        <w:t xml:space="preserve">, f. 3; </w:t>
      </w:r>
      <w:hyperlink w:anchor="SENTENCIA_2025_121" w:history="1">
        <w:r w:rsidRPr="001D7FA9">
          <w:rPr>
            <w:rStyle w:val="TextoNormalCaracter"/>
          </w:rPr>
          <w:t>121/2025</w:t>
        </w:r>
      </w:hyperlink>
      <w:r>
        <w:t>, ff. 3, 4.</w:t>
      </w:r>
    </w:p>
    <w:p w14:paraId="4ED025DB" w14:textId="276A3513" w:rsidR="001D7FA9" w:rsidRDefault="001D7FA9" w:rsidP="001D7FA9">
      <w:pPr>
        <w:pStyle w:val="SangriaFrancesaArticulo"/>
      </w:pPr>
      <w:r w:rsidRPr="001D7FA9">
        <w:rPr>
          <w:rStyle w:val="TextoNormalNegritaCaracter"/>
        </w:rPr>
        <w:t>Artículo 398.2.</w:t>
      </w:r>
      <w:r w:rsidRPr="001D7FA9">
        <w:rPr>
          <w:rStyle w:val="TextoNormalCaracter"/>
        </w:rPr>
        <w:t>-</w:t>
      </w:r>
      <w:r>
        <w:t xml:space="preserve"> Sentencia </w:t>
      </w:r>
      <w:hyperlink w:anchor="SENTENCIA_2025_121" w:history="1">
        <w:r w:rsidRPr="001D7FA9">
          <w:rPr>
            <w:rStyle w:val="TextoNormalCaracter"/>
          </w:rPr>
          <w:t>121/2025</w:t>
        </w:r>
      </w:hyperlink>
      <w:r>
        <w:t>, ff. 2, 4.</w:t>
      </w:r>
    </w:p>
    <w:p w14:paraId="3B4E0428" w14:textId="4F8C03F7" w:rsidR="001D7FA9" w:rsidRDefault="001D7FA9" w:rsidP="001D7FA9">
      <w:pPr>
        <w:pStyle w:val="SangriaFrancesaArticulo"/>
      </w:pPr>
      <w:r w:rsidRPr="001D7FA9">
        <w:rPr>
          <w:rStyle w:val="TextoNormalNegritaCaracter"/>
        </w:rPr>
        <w:t>Artículo 439.3.</w:t>
      </w:r>
      <w:r w:rsidRPr="001D7FA9">
        <w:rPr>
          <w:rStyle w:val="TextoNormalCaracter"/>
        </w:rPr>
        <w:t>-</w:t>
      </w:r>
      <w:r>
        <w:t xml:space="preserve"> Auto </w:t>
      </w:r>
      <w:hyperlink w:anchor="AUTO_2025_13" w:history="1">
        <w:r w:rsidRPr="001D7FA9">
          <w:rPr>
            <w:rStyle w:val="TextoNormalCaracter"/>
          </w:rPr>
          <w:t>13/2025</w:t>
        </w:r>
      </w:hyperlink>
      <w:r>
        <w:t>, f. 3.</w:t>
      </w:r>
    </w:p>
    <w:p w14:paraId="1D3A94E8" w14:textId="2A379116" w:rsidR="001D7FA9" w:rsidRDefault="001D7FA9" w:rsidP="001D7FA9">
      <w:pPr>
        <w:pStyle w:val="SangriaFrancesaArticulo"/>
      </w:pPr>
      <w:r w:rsidRPr="001D7FA9">
        <w:rPr>
          <w:rStyle w:val="TextoNormalNegritaCaracter"/>
        </w:rPr>
        <w:t>Artículo 439.6</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6, VP II.</w:t>
      </w:r>
    </w:p>
    <w:p w14:paraId="019001AC" w14:textId="679E3EE8" w:rsidR="001D7FA9" w:rsidRDefault="001D7FA9" w:rsidP="001D7FA9">
      <w:pPr>
        <w:pStyle w:val="SangriaFrancesaArticulo"/>
      </w:pPr>
      <w:r w:rsidRPr="001D7FA9">
        <w:rPr>
          <w:rStyle w:val="TextoNormalNegritaCaracter"/>
        </w:rPr>
        <w:t>Artículo 439.6 a)</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6.</w:t>
      </w:r>
    </w:p>
    <w:p w14:paraId="37B544A7" w14:textId="4A3587B7" w:rsidR="001D7FA9" w:rsidRDefault="001D7FA9" w:rsidP="001D7FA9">
      <w:pPr>
        <w:pStyle w:val="SangriaFrancesaArticulo"/>
      </w:pPr>
      <w:r w:rsidRPr="001D7FA9">
        <w:rPr>
          <w:rStyle w:val="TextoNormalNegritaCaracter"/>
        </w:rPr>
        <w:t>Artículo 439.6 b)</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6.</w:t>
      </w:r>
    </w:p>
    <w:p w14:paraId="75353E29" w14:textId="11991D52" w:rsidR="001D7FA9" w:rsidRDefault="001D7FA9" w:rsidP="001D7FA9">
      <w:pPr>
        <w:pStyle w:val="SangriaFrancesaArticulo"/>
      </w:pPr>
      <w:r w:rsidRPr="001D7FA9">
        <w:rPr>
          <w:rStyle w:val="TextoNormalNegritaCaracter"/>
        </w:rPr>
        <w:t>Artículo 439.6 c)</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ff. 6, 7, VP II.</w:t>
      </w:r>
    </w:p>
    <w:p w14:paraId="0756EB9D" w14:textId="231E96D3" w:rsidR="001D7FA9" w:rsidRDefault="001D7FA9" w:rsidP="001D7FA9">
      <w:pPr>
        <w:pStyle w:val="SangriaFrancesaArticulo"/>
      </w:pPr>
      <w:r w:rsidRPr="001D7FA9">
        <w:rPr>
          <w:rStyle w:val="TextoNormalNegritaCaracter"/>
        </w:rPr>
        <w:t>Artículo 439.7</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ff. 6, 7, VP II.</w:t>
      </w:r>
    </w:p>
    <w:p w14:paraId="4C1A716D" w14:textId="1BFBF0BA" w:rsidR="001D7FA9" w:rsidRDefault="001D7FA9" w:rsidP="001D7FA9">
      <w:pPr>
        <w:pStyle w:val="SangriaFrancesaArticulo"/>
      </w:pPr>
      <w:r w:rsidRPr="001D7FA9">
        <w:rPr>
          <w:rStyle w:val="TextoNormalNegritaCaracter"/>
        </w:rPr>
        <w:t>Artículo 439.7, párrafo 1</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78B3693F" w14:textId="56D8E50E" w:rsidR="001D7FA9" w:rsidRDefault="001D7FA9" w:rsidP="001D7FA9">
      <w:pPr>
        <w:pStyle w:val="SangriaFrancesaArticulo"/>
      </w:pPr>
      <w:r w:rsidRPr="001D7FA9">
        <w:rPr>
          <w:rStyle w:val="TextoNormalNegritaCaracter"/>
        </w:rPr>
        <w:t>Artículo 440.3.</w:t>
      </w:r>
      <w:r w:rsidRPr="001D7FA9">
        <w:rPr>
          <w:rStyle w:val="TextoNormalCaracter"/>
        </w:rPr>
        <w:t>-</w:t>
      </w:r>
      <w:r>
        <w:t xml:space="preserve"> Auto </w:t>
      </w:r>
      <w:hyperlink w:anchor="AUTO_2025_13" w:history="1">
        <w:r w:rsidRPr="001D7FA9">
          <w:rPr>
            <w:rStyle w:val="TextoNormalCaracter"/>
          </w:rPr>
          <w:t>13/2025</w:t>
        </w:r>
      </w:hyperlink>
      <w:r>
        <w:t>, ff. 1, 3.</w:t>
      </w:r>
    </w:p>
    <w:p w14:paraId="093C1410" w14:textId="00517C7D" w:rsidR="001D7FA9" w:rsidRDefault="001D7FA9" w:rsidP="001D7FA9">
      <w:pPr>
        <w:pStyle w:val="SangriaFrancesaArticulo"/>
      </w:pPr>
      <w:r w:rsidRPr="001D7FA9">
        <w:rPr>
          <w:rStyle w:val="TextoNormalNegritaCaracter"/>
        </w:rPr>
        <w:t>Artículo 441.5.</w:t>
      </w:r>
      <w:r w:rsidRPr="001D7FA9">
        <w:rPr>
          <w:rStyle w:val="TextoNormalCaracter"/>
        </w:rPr>
        <w:t>-</w:t>
      </w:r>
      <w:r>
        <w:t xml:space="preserve"> Auto </w:t>
      </w:r>
      <w:hyperlink w:anchor="AUTO_2025_13" w:history="1">
        <w:r w:rsidRPr="001D7FA9">
          <w:rPr>
            <w:rStyle w:val="TextoNormalCaracter"/>
          </w:rPr>
          <w:t>13/2025</w:t>
        </w:r>
      </w:hyperlink>
      <w:r>
        <w:t>, f. 1.</w:t>
      </w:r>
    </w:p>
    <w:p w14:paraId="7FF5C9A9" w14:textId="5201854D" w:rsidR="001D7FA9" w:rsidRDefault="001D7FA9" w:rsidP="001D7FA9">
      <w:pPr>
        <w:pStyle w:val="SangriaFrancesaArticulo"/>
      </w:pPr>
      <w:r w:rsidRPr="001D7FA9">
        <w:rPr>
          <w:rStyle w:val="TextoNormalNegritaCaracter"/>
        </w:rPr>
        <w:t>Artículo 441.5</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6.</w:t>
      </w:r>
    </w:p>
    <w:p w14:paraId="4C92FE06" w14:textId="6005571F" w:rsidR="001D7FA9" w:rsidRDefault="001D7FA9" w:rsidP="001D7FA9">
      <w:pPr>
        <w:pStyle w:val="SangriaFrancesaArticulo"/>
      </w:pPr>
      <w:r w:rsidRPr="001D7FA9">
        <w:rPr>
          <w:rStyle w:val="TextoNormalNegritaCaracter"/>
        </w:rPr>
        <w:t>Artículo 451.2.</w:t>
      </w:r>
      <w:r w:rsidRPr="001D7FA9">
        <w:rPr>
          <w:rStyle w:val="TextoNormalCaracter"/>
        </w:rPr>
        <w:t>-</w:t>
      </w:r>
      <w:r>
        <w:t xml:space="preserve"> Auto </w:t>
      </w:r>
      <w:hyperlink w:anchor="AUTO_2025_31" w:history="1">
        <w:r w:rsidRPr="001D7FA9">
          <w:rPr>
            <w:rStyle w:val="TextoNormalCaracter"/>
          </w:rPr>
          <w:t>31/2025</w:t>
        </w:r>
      </w:hyperlink>
      <w:r>
        <w:t>, ff. 1, 3.</w:t>
      </w:r>
    </w:p>
    <w:p w14:paraId="67036DB3" w14:textId="386FE155" w:rsidR="001D7FA9" w:rsidRDefault="001D7FA9" w:rsidP="001D7FA9">
      <w:pPr>
        <w:pStyle w:val="SangriaFrancesaArticulo"/>
      </w:pPr>
      <w:r w:rsidRPr="001D7FA9">
        <w:rPr>
          <w:rStyle w:val="TextoNormalNegritaCaracter"/>
        </w:rPr>
        <w:t>Artículo 454 bis.1.</w:t>
      </w:r>
      <w:r w:rsidRPr="001D7FA9">
        <w:rPr>
          <w:rStyle w:val="TextoNormalCaracter"/>
        </w:rPr>
        <w:t>-</w:t>
      </w:r>
      <w:r>
        <w:t xml:space="preserve"> Sentencia </w:t>
      </w:r>
      <w:hyperlink w:anchor="SENTENCIA_2025_13" w:history="1">
        <w:r w:rsidRPr="001D7FA9">
          <w:rPr>
            <w:rStyle w:val="TextoNormalCaracter"/>
          </w:rPr>
          <w:t>13/2025</w:t>
        </w:r>
      </w:hyperlink>
      <w:r>
        <w:t>, f. 4.</w:t>
      </w:r>
    </w:p>
    <w:p w14:paraId="6DFE7E94" w14:textId="65846B95" w:rsidR="001D7FA9" w:rsidRDefault="001D7FA9" w:rsidP="001D7FA9">
      <w:pPr>
        <w:pStyle w:val="SangriaFrancesaArticulo"/>
      </w:pPr>
      <w:r w:rsidRPr="001D7FA9">
        <w:rPr>
          <w:rStyle w:val="TextoNormalNegritaCaracter"/>
        </w:rPr>
        <w:t>Artículo 454 bis.1 párrafo primero</w:t>
      </w:r>
      <w:r>
        <w:t xml:space="preserve"> (redactado por la Ley 37/2011, de 10 de octubre)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670CAB81" w14:textId="7560A00D" w:rsidR="001D7FA9" w:rsidRDefault="001D7FA9" w:rsidP="001D7FA9">
      <w:pPr>
        <w:pStyle w:val="SangriaFrancesaArticulo"/>
      </w:pPr>
      <w:r w:rsidRPr="001D7FA9">
        <w:rPr>
          <w:rStyle w:val="TextoNormalNegritaCaracter"/>
        </w:rPr>
        <w:t>Artículo 477.</w:t>
      </w:r>
      <w:r w:rsidRPr="001D7FA9">
        <w:rPr>
          <w:rStyle w:val="TextoNormalCaracter"/>
        </w:rPr>
        <w:t>-</w:t>
      </w:r>
      <w:r>
        <w:t xml:space="preserve"> Sentencia </w:t>
      </w:r>
      <w:hyperlink w:anchor="SENTENCIA_2025_16" w:history="1">
        <w:r w:rsidRPr="001D7FA9">
          <w:rPr>
            <w:rStyle w:val="TextoNormalCaracter"/>
          </w:rPr>
          <w:t>16/2025</w:t>
        </w:r>
      </w:hyperlink>
      <w:r>
        <w:t>, f. 3.</w:t>
      </w:r>
    </w:p>
    <w:p w14:paraId="07121EF4" w14:textId="1DFCFDAF" w:rsidR="001D7FA9" w:rsidRDefault="001D7FA9" w:rsidP="001D7FA9">
      <w:pPr>
        <w:pStyle w:val="SangriaFrancesaArticulo"/>
      </w:pPr>
      <w:r w:rsidRPr="001D7FA9">
        <w:rPr>
          <w:rStyle w:val="TextoNormalNegritaCaracter"/>
        </w:rPr>
        <w:t>Artículo 477.1.</w:t>
      </w:r>
      <w:r w:rsidRPr="001D7FA9">
        <w:rPr>
          <w:rStyle w:val="TextoNormalCaracter"/>
        </w:rPr>
        <w:t>-</w:t>
      </w:r>
      <w:r>
        <w:t xml:space="preserve"> Sentencia </w:t>
      </w:r>
      <w:hyperlink w:anchor="SENTENCIA_2025_16" w:history="1">
        <w:r w:rsidRPr="001D7FA9">
          <w:rPr>
            <w:rStyle w:val="TextoNormalCaracter"/>
          </w:rPr>
          <w:t>16/2025</w:t>
        </w:r>
      </w:hyperlink>
      <w:r>
        <w:t>, f. 3.</w:t>
      </w:r>
    </w:p>
    <w:p w14:paraId="2DC4A8A4" w14:textId="558FD165" w:rsidR="001D7FA9" w:rsidRDefault="001D7FA9" w:rsidP="001D7FA9">
      <w:pPr>
        <w:pStyle w:val="SangriaFrancesaArticulo"/>
      </w:pPr>
      <w:r w:rsidRPr="001D7FA9">
        <w:rPr>
          <w:rStyle w:val="TextoNormalNegritaCaracter"/>
        </w:rPr>
        <w:t>Artículo 477.2.3.</w:t>
      </w:r>
      <w:r w:rsidRPr="001D7FA9">
        <w:rPr>
          <w:rStyle w:val="TextoNormalCaracter"/>
        </w:rPr>
        <w:t>-</w:t>
      </w:r>
      <w:r>
        <w:t xml:space="preserve"> Sentencia </w:t>
      </w:r>
      <w:hyperlink w:anchor="SENTENCIA_2025_16" w:history="1">
        <w:r w:rsidRPr="001D7FA9">
          <w:rPr>
            <w:rStyle w:val="TextoNormalCaracter"/>
          </w:rPr>
          <w:t>16/2025</w:t>
        </w:r>
      </w:hyperlink>
      <w:r>
        <w:t>, f. 3.</w:t>
      </w:r>
    </w:p>
    <w:p w14:paraId="740A0815" w14:textId="74ABA2F8" w:rsidR="001D7FA9" w:rsidRDefault="001D7FA9" w:rsidP="001D7FA9">
      <w:pPr>
        <w:pStyle w:val="SangriaFrancesaArticulo"/>
      </w:pPr>
      <w:r w:rsidRPr="001D7FA9">
        <w:rPr>
          <w:rStyle w:val="TextoNormalNegritaCaracter"/>
        </w:rPr>
        <w:t>Artículo 496.</w:t>
      </w:r>
      <w:r w:rsidRPr="001D7FA9">
        <w:rPr>
          <w:rStyle w:val="TextoNormalCaracter"/>
        </w:rPr>
        <w:t>-</w:t>
      </w:r>
      <w:r>
        <w:t xml:space="preserve"> Sentencia </w:t>
      </w:r>
      <w:hyperlink w:anchor="SENTENCIA_2025_16" w:history="1">
        <w:r w:rsidRPr="001D7FA9">
          <w:rPr>
            <w:rStyle w:val="TextoNormalCaracter"/>
          </w:rPr>
          <w:t>16/2025</w:t>
        </w:r>
      </w:hyperlink>
      <w:r>
        <w:t>, f. 2.</w:t>
      </w:r>
    </w:p>
    <w:p w14:paraId="034994B1" w14:textId="50686D09" w:rsidR="001D7FA9" w:rsidRDefault="001D7FA9" w:rsidP="001D7FA9">
      <w:pPr>
        <w:pStyle w:val="SangriaFrancesaArticulo"/>
      </w:pPr>
      <w:r w:rsidRPr="001D7FA9">
        <w:rPr>
          <w:rStyle w:val="TextoNormalNegritaCaracter"/>
        </w:rPr>
        <w:t>Artículo 561.</w:t>
      </w:r>
      <w:r w:rsidRPr="001D7FA9">
        <w:rPr>
          <w:rStyle w:val="TextoNormalCaracter"/>
        </w:rPr>
        <w:t>-</w:t>
      </w:r>
      <w:r>
        <w:t xml:space="preserve"> Sentencias </w:t>
      </w:r>
      <w:hyperlink w:anchor="SENTENCIA_2025_45" w:history="1">
        <w:r w:rsidRPr="001D7FA9">
          <w:rPr>
            <w:rStyle w:val="TextoNormalCaracter"/>
          </w:rPr>
          <w:t>45/2025</w:t>
        </w:r>
      </w:hyperlink>
      <w:r>
        <w:t xml:space="preserve">, f. 3; </w:t>
      </w:r>
      <w:hyperlink w:anchor="SENTENCIA_2025_109" w:history="1">
        <w:r w:rsidRPr="001D7FA9">
          <w:rPr>
            <w:rStyle w:val="TextoNormalCaracter"/>
          </w:rPr>
          <w:t>109/2025</w:t>
        </w:r>
      </w:hyperlink>
      <w:r>
        <w:t>, f. 3.</w:t>
      </w:r>
    </w:p>
    <w:p w14:paraId="21359EAD" w14:textId="7B33BE7A" w:rsidR="001D7FA9" w:rsidRDefault="001D7FA9" w:rsidP="001D7FA9">
      <w:pPr>
        <w:pStyle w:val="SangriaFrancesaArticulo"/>
      </w:pPr>
      <w:r w:rsidRPr="001D7FA9">
        <w:rPr>
          <w:rStyle w:val="TextoNormalNegritaCaracter"/>
        </w:rPr>
        <w:t>Artículo 561.2.</w:t>
      </w:r>
      <w:r w:rsidRPr="001D7FA9">
        <w:rPr>
          <w:rStyle w:val="TextoNormalCaracter"/>
        </w:rPr>
        <w:t>-</w:t>
      </w:r>
      <w:r>
        <w:t xml:space="preserve"> Sentencia </w:t>
      </w:r>
      <w:hyperlink w:anchor="SENTENCIA_2025_45" w:history="1">
        <w:r w:rsidRPr="001D7FA9">
          <w:rPr>
            <w:rStyle w:val="TextoNormalCaracter"/>
          </w:rPr>
          <w:t>45/2025</w:t>
        </w:r>
      </w:hyperlink>
      <w:r>
        <w:t>, f. 3.</w:t>
      </w:r>
    </w:p>
    <w:p w14:paraId="689A9020" w14:textId="731B235F" w:rsidR="001D7FA9" w:rsidRDefault="001D7FA9" w:rsidP="001D7FA9">
      <w:pPr>
        <w:pStyle w:val="SangriaFrancesaArticulo"/>
      </w:pPr>
      <w:r w:rsidRPr="001D7FA9">
        <w:rPr>
          <w:rStyle w:val="TextoNormalNegritaCaracter"/>
        </w:rPr>
        <w:t>Artículo 561.2</w:t>
      </w:r>
      <w:r>
        <w:t xml:space="preserve"> (redactado por el Real Decreto-ley 6/2023, de 19 de diciembre)</w:t>
      </w:r>
      <w:r w:rsidRPr="001D7FA9">
        <w:rPr>
          <w:rStyle w:val="TextoNormalNegritaCaracter"/>
        </w:rPr>
        <w:t>.</w:t>
      </w:r>
      <w:r w:rsidRPr="001D7FA9">
        <w:rPr>
          <w:rStyle w:val="TextoNormalCaracter"/>
        </w:rPr>
        <w:t>-</w:t>
      </w:r>
      <w:r>
        <w:t xml:space="preserve"> Sentencias </w:t>
      </w:r>
      <w:hyperlink w:anchor="SENTENCIA_2025_45" w:history="1">
        <w:r w:rsidRPr="001D7FA9">
          <w:rPr>
            <w:rStyle w:val="TextoNormalCaracter"/>
          </w:rPr>
          <w:t>45/2025</w:t>
        </w:r>
      </w:hyperlink>
      <w:r>
        <w:t xml:space="preserve">, f. 3; </w:t>
      </w:r>
      <w:hyperlink w:anchor="SENTENCIA_2025_109" w:history="1">
        <w:r w:rsidRPr="001D7FA9">
          <w:rPr>
            <w:rStyle w:val="TextoNormalCaracter"/>
          </w:rPr>
          <w:t>109/2025</w:t>
        </w:r>
      </w:hyperlink>
      <w:r>
        <w:t>, f. 3.</w:t>
      </w:r>
    </w:p>
    <w:p w14:paraId="717D80AC" w14:textId="73CE8A92" w:rsidR="001D7FA9" w:rsidRDefault="001D7FA9" w:rsidP="001D7FA9">
      <w:pPr>
        <w:pStyle w:val="SangriaFrancesaArticulo"/>
      </w:pPr>
      <w:r w:rsidRPr="001D7FA9">
        <w:rPr>
          <w:rStyle w:val="TextoNormalNegritaCaracter"/>
        </w:rPr>
        <w:t>Artículo 589.</w:t>
      </w:r>
      <w:r w:rsidRPr="001D7FA9">
        <w:rPr>
          <w:rStyle w:val="TextoNormalCaracter"/>
        </w:rPr>
        <w:t>-</w:t>
      </w:r>
      <w:r>
        <w:t xml:space="preserve"> Sentencia </w:t>
      </w:r>
      <w:hyperlink w:anchor="SENTENCIA_2025_37" w:history="1">
        <w:r w:rsidRPr="001D7FA9">
          <w:rPr>
            <w:rStyle w:val="TextoNormalCaracter"/>
          </w:rPr>
          <w:t>37/2025</w:t>
        </w:r>
      </w:hyperlink>
      <w:r>
        <w:t>, f. 3.</w:t>
      </w:r>
    </w:p>
    <w:p w14:paraId="4E80AA91" w14:textId="67D074EE" w:rsidR="001D7FA9" w:rsidRDefault="001D7FA9" w:rsidP="001D7FA9">
      <w:pPr>
        <w:pStyle w:val="SangriaFrancesaArticulo"/>
      </w:pPr>
      <w:r w:rsidRPr="001D7FA9">
        <w:rPr>
          <w:rStyle w:val="TextoNormalNegritaCaracter"/>
        </w:rPr>
        <w:t>Artículo 655 bis</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6, VP II.</w:t>
      </w:r>
    </w:p>
    <w:p w14:paraId="67BACA4D" w14:textId="3A074131" w:rsidR="001D7FA9" w:rsidRDefault="001D7FA9" w:rsidP="001D7FA9">
      <w:pPr>
        <w:pStyle w:val="SangriaFrancesaArticulo"/>
      </w:pPr>
      <w:r w:rsidRPr="001D7FA9">
        <w:rPr>
          <w:rStyle w:val="TextoNormalNegritaCaracter"/>
        </w:rPr>
        <w:t>Artículo 655 bis.1</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ff. 6, 7, VP II.</w:t>
      </w:r>
    </w:p>
    <w:p w14:paraId="2E7C9626" w14:textId="5252F226" w:rsidR="001D7FA9" w:rsidRDefault="001D7FA9" w:rsidP="001D7FA9">
      <w:pPr>
        <w:pStyle w:val="SangriaFrancesaArticulo"/>
      </w:pPr>
      <w:r w:rsidRPr="001D7FA9">
        <w:rPr>
          <w:rStyle w:val="TextoNormalNegritaCaracter"/>
        </w:rPr>
        <w:t>Artículo 655 bis.2</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ff. 6, 7, VP II.</w:t>
      </w:r>
    </w:p>
    <w:p w14:paraId="1E234836" w14:textId="6FA49CCE" w:rsidR="001D7FA9" w:rsidRDefault="001D7FA9" w:rsidP="001D7FA9">
      <w:pPr>
        <w:pStyle w:val="SangriaFrancesaArticulo"/>
      </w:pPr>
      <w:r w:rsidRPr="001D7FA9">
        <w:rPr>
          <w:rStyle w:val="TextoNormalNegritaCaracter"/>
        </w:rPr>
        <w:t>Artículo 655 bis.2, párrafo 1</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1B37BB37" w14:textId="2D59B6F5" w:rsidR="001D7FA9" w:rsidRDefault="001D7FA9" w:rsidP="001D7FA9">
      <w:pPr>
        <w:pStyle w:val="SangriaFrancesaArticulo"/>
      </w:pPr>
      <w:r w:rsidRPr="001D7FA9">
        <w:rPr>
          <w:rStyle w:val="TextoNormalNegritaCaracter"/>
        </w:rPr>
        <w:t>Artículo 685.2</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f. 7, VP II.</w:t>
      </w:r>
    </w:p>
    <w:p w14:paraId="162471B9" w14:textId="26316191" w:rsidR="001D7FA9" w:rsidRDefault="001D7FA9" w:rsidP="001D7FA9">
      <w:pPr>
        <w:pStyle w:val="SangriaFrancesaArticulo"/>
      </w:pPr>
      <w:r w:rsidRPr="001D7FA9">
        <w:rPr>
          <w:rStyle w:val="TextoNormalNegritaCaracter"/>
        </w:rPr>
        <w:t>Artículo 685.2</w:t>
      </w:r>
      <w:r>
        <w:t xml:space="preserve"> (redactado por la Ley 12/2023, de 24 de mayo) inciso "al procedimiento de conciliación o intermediación que a tal efecto establezcan las administraciones públicas competentes, en base al análisis de las circunstancias de ambas partes y de las posibles ayudas y subvenciones existentes conforme a la legislación y normativa autonómica en materia de vivienda"</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531736E0" w14:textId="0DA407DD" w:rsidR="001D7FA9" w:rsidRDefault="001D7FA9" w:rsidP="001D7FA9">
      <w:pPr>
        <w:pStyle w:val="SangriaFrancesaArticulo"/>
      </w:pPr>
      <w:r w:rsidRPr="001D7FA9">
        <w:rPr>
          <w:rStyle w:val="TextoNormalNegritaCaracter"/>
        </w:rPr>
        <w:t>Disposición final decimosexta.</w:t>
      </w:r>
      <w:r w:rsidRPr="001D7FA9">
        <w:rPr>
          <w:rStyle w:val="TextoNormalCaracter"/>
        </w:rPr>
        <w:t>-</w:t>
      </w:r>
      <w:r>
        <w:t xml:space="preserve"> Sentencia </w:t>
      </w:r>
      <w:hyperlink w:anchor="SENTENCIA_2025_16" w:history="1">
        <w:r w:rsidRPr="001D7FA9">
          <w:rPr>
            <w:rStyle w:val="TextoNormalCaracter"/>
          </w:rPr>
          <w:t>16/2025</w:t>
        </w:r>
      </w:hyperlink>
      <w:r>
        <w:t>, f. 3.</w:t>
      </w:r>
    </w:p>
    <w:p w14:paraId="18D8A920" w14:textId="0E8EF743" w:rsidR="001D7FA9" w:rsidRDefault="001D7FA9" w:rsidP="001D7FA9">
      <w:pPr>
        <w:pStyle w:val="SangriaFrancesaArticulo"/>
      </w:pPr>
      <w:r w:rsidRPr="001D7FA9">
        <w:rPr>
          <w:rStyle w:val="TextoNormalNegritaCaracter"/>
        </w:rPr>
        <w:t>Disposición final decimosexta, apartado 1, párrafo 2, regla 2.</w:t>
      </w:r>
      <w:r w:rsidRPr="001D7FA9">
        <w:rPr>
          <w:rStyle w:val="TextoNormalCaracter"/>
        </w:rPr>
        <w:t>-</w:t>
      </w:r>
      <w:r>
        <w:t xml:space="preserve"> Sentencia </w:t>
      </w:r>
      <w:hyperlink w:anchor="SENTENCIA_2025_16" w:history="1">
        <w:r w:rsidRPr="001D7FA9">
          <w:rPr>
            <w:rStyle w:val="TextoNormalCaracter"/>
          </w:rPr>
          <w:t>16/2025</w:t>
        </w:r>
      </w:hyperlink>
      <w:r>
        <w:t>, f. 3.</w:t>
      </w:r>
    </w:p>
    <w:p w14:paraId="768CBCD2" w14:textId="79D9A4AB" w:rsidR="001D7FA9" w:rsidRDefault="001D7FA9" w:rsidP="001D7FA9">
      <w:pPr>
        <w:pStyle w:val="SangriaFrancesaArticulo"/>
      </w:pPr>
      <w:r w:rsidRPr="001D7FA9">
        <w:rPr>
          <w:rStyle w:val="TextoNormalNegritaCaracter"/>
        </w:rPr>
        <w:t>Disposición final decimosexta, apartado 1, párrafo 2, regla 5.</w:t>
      </w:r>
      <w:r w:rsidRPr="001D7FA9">
        <w:rPr>
          <w:rStyle w:val="TextoNormalCaracter"/>
        </w:rPr>
        <w:t>-</w:t>
      </w:r>
      <w:r>
        <w:t xml:space="preserve"> Sentencia </w:t>
      </w:r>
      <w:hyperlink w:anchor="SENTENCIA_2025_16" w:history="1">
        <w:r w:rsidRPr="001D7FA9">
          <w:rPr>
            <w:rStyle w:val="TextoNormalCaracter"/>
          </w:rPr>
          <w:t>16/2025</w:t>
        </w:r>
      </w:hyperlink>
      <w:r>
        <w:t>, f. 3.</w:t>
      </w:r>
    </w:p>
    <w:p w14:paraId="150C67A1" w14:textId="17F03E25" w:rsidR="001D7FA9" w:rsidRDefault="001D7FA9" w:rsidP="001D7FA9">
      <w:pPr>
        <w:pStyle w:val="SangriaFrancesaArticulo"/>
      </w:pPr>
    </w:p>
    <w:p w14:paraId="0C884C13" w14:textId="77777777" w:rsidR="001D7FA9" w:rsidRDefault="001D7FA9" w:rsidP="001D7FA9">
      <w:pPr>
        <w:pStyle w:val="TextoNormalNegritaCursivandice"/>
        <w:keepNext/>
      </w:pPr>
      <w:r>
        <w:t>Ley 34/2002, de 11 de julio, de servicios de la sociedad de la información y de comercio electrónico</w:t>
      </w:r>
    </w:p>
    <w:p w14:paraId="2A13BADC" w14:textId="1BB3B647"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62" w:history="1">
        <w:r w:rsidRPr="001D7FA9">
          <w:rPr>
            <w:rStyle w:val="TextoNormalCaracter"/>
          </w:rPr>
          <w:t>62/2025</w:t>
        </w:r>
      </w:hyperlink>
      <w:r>
        <w:t>, VP I.</w:t>
      </w:r>
    </w:p>
    <w:p w14:paraId="69838497" w14:textId="75827D74" w:rsidR="001D7FA9" w:rsidRDefault="001D7FA9" w:rsidP="001D7FA9">
      <w:pPr>
        <w:pStyle w:val="SangriaFrancesaArticulo"/>
      </w:pPr>
    </w:p>
    <w:p w14:paraId="7740563B" w14:textId="77777777" w:rsidR="001D7FA9" w:rsidRDefault="001D7FA9" w:rsidP="001D7FA9">
      <w:pPr>
        <w:pStyle w:val="TextoNormalNegritaCursivandice"/>
        <w:keepNext/>
      </w:pPr>
      <w:r>
        <w:t>Ley 41/2002, de 14 de noviembre, básica reguladora de la autonomía del paciente y de derechos y obligaciones en materia de información y documentación clínica</w:t>
      </w:r>
    </w:p>
    <w:p w14:paraId="70096010" w14:textId="7195ACD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5" w:history="1">
        <w:r w:rsidRPr="001D7FA9">
          <w:rPr>
            <w:rStyle w:val="TextoNormalCaracter"/>
          </w:rPr>
          <w:t>95/2025</w:t>
        </w:r>
      </w:hyperlink>
      <w:r>
        <w:t>, f. 3.</w:t>
      </w:r>
    </w:p>
    <w:p w14:paraId="2E8343AA" w14:textId="5A7C3880"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133" w:history="1">
        <w:r w:rsidRPr="001D7FA9">
          <w:rPr>
            <w:rStyle w:val="TextoNormalCaracter"/>
          </w:rPr>
          <w:t>133/2025</w:t>
        </w:r>
      </w:hyperlink>
      <w:r>
        <w:t>, f. 1.</w:t>
      </w:r>
    </w:p>
    <w:p w14:paraId="1835CB96" w14:textId="72F5C1C5" w:rsidR="001D7FA9" w:rsidRDefault="001D7FA9" w:rsidP="001D7FA9">
      <w:pPr>
        <w:pStyle w:val="SangriaFrancesaArticulo"/>
      </w:pPr>
      <w:r w:rsidRPr="001D7FA9">
        <w:rPr>
          <w:rStyle w:val="TextoNormalNegritaCaracter"/>
        </w:rPr>
        <w:t>Artículo 9.2 a).</w:t>
      </w:r>
      <w:r w:rsidRPr="001D7FA9">
        <w:rPr>
          <w:rStyle w:val="TextoNormalCaracter"/>
        </w:rPr>
        <w:t>-</w:t>
      </w:r>
      <w:r>
        <w:t xml:space="preserve"> Sentencia </w:t>
      </w:r>
      <w:hyperlink w:anchor="SENTENCIA_2025_133" w:history="1">
        <w:r w:rsidRPr="001D7FA9">
          <w:rPr>
            <w:rStyle w:val="TextoNormalCaracter"/>
          </w:rPr>
          <w:t>133/2025</w:t>
        </w:r>
      </w:hyperlink>
      <w:r>
        <w:t>, f. 1.</w:t>
      </w:r>
    </w:p>
    <w:p w14:paraId="4025D745" w14:textId="06C03ECC" w:rsidR="001D7FA9" w:rsidRDefault="001D7FA9" w:rsidP="001D7FA9">
      <w:pPr>
        <w:pStyle w:val="SangriaFrancesaArticulo"/>
      </w:pPr>
    </w:p>
    <w:p w14:paraId="645F71A4" w14:textId="77777777" w:rsidR="001D7FA9" w:rsidRDefault="001D7FA9" w:rsidP="001D7FA9">
      <w:pPr>
        <w:pStyle w:val="TextoNormalNegritaCursivandice"/>
        <w:keepNext/>
      </w:pPr>
      <w:r>
        <w:t>Ley 3/2003, de 14 de marzo, sobre la orden europea de detención y entrega</w:t>
      </w:r>
    </w:p>
    <w:p w14:paraId="61F9F138" w14:textId="45ECEA1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1AC74678" w14:textId="69E71ABF" w:rsidR="001D7FA9" w:rsidRDefault="001D7FA9" w:rsidP="001D7FA9">
      <w:pPr>
        <w:pStyle w:val="SangriaFrancesaArticulo"/>
      </w:pPr>
    </w:p>
    <w:p w14:paraId="46AA714C" w14:textId="77777777" w:rsidR="001D7FA9" w:rsidRDefault="001D7FA9" w:rsidP="001D7FA9">
      <w:pPr>
        <w:pStyle w:val="TextoNormalNegritaCursivandice"/>
        <w:keepNext/>
      </w:pPr>
      <w:r>
        <w:t>Ley 38/2003, de 17 de noviembre, general de subvenciones</w:t>
      </w:r>
    </w:p>
    <w:p w14:paraId="3EBAA024" w14:textId="20A8D89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6" w:history="1">
        <w:r w:rsidRPr="001D7FA9">
          <w:rPr>
            <w:rStyle w:val="TextoNormalCaracter"/>
          </w:rPr>
          <w:t>96/2025</w:t>
        </w:r>
      </w:hyperlink>
      <w:r>
        <w:t>, f. 4.</w:t>
      </w:r>
    </w:p>
    <w:p w14:paraId="2BCCB45D" w14:textId="67303052" w:rsidR="001D7FA9" w:rsidRDefault="001D7FA9" w:rsidP="001D7FA9">
      <w:pPr>
        <w:pStyle w:val="SangriaFrancesaArticulo"/>
      </w:pPr>
    </w:p>
    <w:p w14:paraId="6BC27D25" w14:textId="77777777" w:rsidR="001D7FA9" w:rsidRDefault="001D7FA9" w:rsidP="001D7FA9">
      <w:pPr>
        <w:pStyle w:val="TextoNormalNegritaCursivandice"/>
        <w:keepNext/>
      </w:pPr>
      <w:r>
        <w:t>Ley 47/2003, de 26 de noviembre, general presupuestaria</w:t>
      </w:r>
    </w:p>
    <w:p w14:paraId="61855B33" w14:textId="6CC21DC2" w:rsidR="001D7FA9" w:rsidRDefault="001D7FA9" w:rsidP="001D7FA9">
      <w:pPr>
        <w:pStyle w:val="SangriaFrancesaArticulo"/>
      </w:pPr>
      <w:r w:rsidRPr="001D7FA9">
        <w:rPr>
          <w:rStyle w:val="TextoNormalNegritaCaracter"/>
        </w:rPr>
        <w:t>Artículos 26 y ss..</w:t>
      </w:r>
      <w:r w:rsidRPr="001D7FA9">
        <w:rPr>
          <w:rStyle w:val="TextoNormalCaracter"/>
        </w:rPr>
        <w:t>-</w:t>
      </w:r>
      <w:r>
        <w:t xml:space="preserve"> Sentencia </w:t>
      </w:r>
      <w:hyperlink w:anchor="SENTENCIA_2025_135" w:history="1">
        <w:r w:rsidRPr="001D7FA9">
          <w:rPr>
            <w:rStyle w:val="TextoNormalCaracter"/>
          </w:rPr>
          <w:t>135/2025</w:t>
        </w:r>
      </w:hyperlink>
      <w:r>
        <w:t>, f. 3.</w:t>
      </w:r>
    </w:p>
    <w:p w14:paraId="26DD2B8D" w14:textId="0DDC8FCD" w:rsidR="001D7FA9" w:rsidRDefault="001D7FA9" w:rsidP="001D7FA9">
      <w:pPr>
        <w:pStyle w:val="SangriaFrancesaArticulo"/>
      </w:pPr>
    </w:p>
    <w:p w14:paraId="445E5FEE" w14:textId="77777777" w:rsidR="001D7FA9" w:rsidRDefault="001D7FA9" w:rsidP="001D7FA9">
      <w:pPr>
        <w:pStyle w:val="TextoNormalNegritaCursivandice"/>
        <w:keepNext/>
      </w:pPr>
      <w:r>
        <w:t>Ley 55/2003, de 16 de diciembre, del estatuto marco del personal estatutario de los servicios de salud</w:t>
      </w:r>
    </w:p>
    <w:p w14:paraId="4C6DF391" w14:textId="7747101C" w:rsidR="001D7FA9" w:rsidRDefault="001D7FA9" w:rsidP="001D7FA9">
      <w:pPr>
        <w:pStyle w:val="SangriaFrancesaArticulo"/>
      </w:pPr>
      <w:r w:rsidRPr="001D7FA9">
        <w:rPr>
          <w:rStyle w:val="TextoNormalNegritaCaracter"/>
        </w:rPr>
        <w:t>Artículo 4 d).</w:t>
      </w:r>
      <w:r w:rsidRPr="001D7FA9">
        <w:rPr>
          <w:rStyle w:val="TextoNormalCaracter"/>
        </w:rPr>
        <w:t>-</w:t>
      </w:r>
      <w:r>
        <w:t xml:space="preserve"> Sentencia </w:t>
      </w:r>
      <w:hyperlink w:anchor="SENTENCIA_2025_118" w:history="1">
        <w:r w:rsidRPr="001D7FA9">
          <w:rPr>
            <w:rStyle w:val="TextoNormalCaracter"/>
          </w:rPr>
          <w:t>118/2025</w:t>
        </w:r>
      </w:hyperlink>
      <w:r>
        <w:t>, f. 4.</w:t>
      </w:r>
    </w:p>
    <w:p w14:paraId="696C7393" w14:textId="009AC46B" w:rsidR="001D7FA9" w:rsidRDefault="001D7FA9" w:rsidP="001D7FA9">
      <w:pPr>
        <w:pStyle w:val="SangriaFrancesaArticulo"/>
      </w:pPr>
    </w:p>
    <w:p w14:paraId="1F3FF53B" w14:textId="77777777" w:rsidR="001D7FA9" w:rsidRDefault="001D7FA9" w:rsidP="001D7FA9">
      <w:pPr>
        <w:pStyle w:val="TextoNormalNegritaCursivandice"/>
        <w:keepNext/>
      </w:pPr>
      <w:r>
        <w:t>Ley 58/2003, de 17 de diciembre, general tributaria</w:t>
      </w:r>
    </w:p>
    <w:p w14:paraId="7F839F09" w14:textId="2CA37F8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9" w:history="1">
        <w:r w:rsidRPr="001D7FA9">
          <w:rPr>
            <w:rStyle w:val="TextoNormalCaracter"/>
          </w:rPr>
          <w:t>59/2025</w:t>
        </w:r>
      </w:hyperlink>
      <w:r>
        <w:t>, f. 4.</w:t>
      </w:r>
    </w:p>
    <w:p w14:paraId="5DC14685" w14:textId="5245FEA9"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Auto </w:t>
      </w:r>
      <w:hyperlink w:anchor="AUTO_2025_54" w:history="1">
        <w:r w:rsidRPr="001D7FA9">
          <w:rPr>
            <w:rStyle w:val="TextoNormalCaracter"/>
          </w:rPr>
          <w:t>54/2025</w:t>
        </w:r>
      </w:hyperlink>
      <w:r>
        <w:t>, f. 3.</w:t>
      </w:r>
    </w:p>
    <w:p w14:paraId="4EA501E9" w14:textId="5DA827E5"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Auto </w:t>
      </w:r>
      <w:hyperlink w:anchor="AUTO_2025_8" w:history="1">
        <w:r w:rsidRPr="001D7FA9">
          <w:rPr>
            <w:rStyle w:val="TextoNormalCaracter"/>
          </w:rPr>
          <w:t>8/2025</w:t>
        </w:r>
      </w:hyperlink>
      <w:r>
        <w:t>, VP.</w:t>
      </w:r>
    </w:p>
    <w:p w14:paraId="093068FC" w14:textId="1877F226" w:rsidR="001D7FA9" w:rsidRDefault="001D7FA9" w:rsidP="001D7FA9">
      <w:pPr>
        <w:pStyle w:val="SangriaFrancesaArticulo"/>
      </w:pPr>
      <w:r w:rsidRPr="001D7FA9">
        <w:rPr>
          <w:rStyle w:val="TextoNormalNegritaCaracter"/>
        </w:rPr>
        <w:t>Artículo 94.</w:t>
      </w:r>
      <w:r w:rsidRPr="001D7FA9">
        <w:rPr>
          <w:rStyle w:val="TextoNormalCaracter"/>
        </w:rPr>
        <w:t>-</w:t>
      </w:r>
      <w:r>
        <w:t xml:space="preserve"> Auto </w:t>
      </w:r>
      <w:hyperlink w:anchor="AUTO_2025_8" w:history="1">
        <w:r w:rsidRPr="001D7FA9">
          <w:rPr>
            <w:rStyle w:val="TextoNormalCaracter"/>
          </w:rPr>
          <w:t>8/2025</w:t>
        </w:r>
      </w:hyperlink>
      <w:r>
        <w:t>, VP.</w:t>
      </w:r>
    </w:p>
    <w:p w14:paraId="4443F6FD" w14:textId="0D863E3D" w:rsidR="001D7FA9" w:rsidRDefault="001D7FA9" w:rsidP="001D7FA9">
      <w:pPr>
        <w:pStyle w:val="SangriaFrancesaArticulo"/>
      </w:pPr>
      <w:r w:rsidRPr="001D7FA9">
        <w:rPr>
          <w:rStyle w:val="TextoNormalNegritaCaracter"/>
        </w:rPr>
        <w:t>Artículo 95.3.</w:t>
      </w:r>
      <w:r w:rsidRPr="001D7FA9">
        <w:rPr>
          <w:rStyle w:val="TextoNormalCaracter"/>
        </w:rPr>
        <w:t>-</w:t>
      </w:r>
      <w:r>
        <w:t xml:space="preserve"> Auto </w:t>
      </w:r>
      <w:hyperlink w:anchor="AUTO_2025_8" w:history="1">
        <w:r w:rsidRPr="001D7FA9">
          <w:rPr>
            <w:rStyle w:val="TextoNormalCaracter"/>
          </w:rPr>
          <w:t>8/2025</w:t>
        </w:r>
      </w:hyperlink>
      <w:r>
        <w:t>, VP.</w:t>
      </w:r>
    </w:p>
    <w:p w14:paraId="1CADB6B8" w14:textId="7E7AFA2E" w:rsidR="001D7FA9" w:rsidRDefault="001D7FA9" w:rsidP="001D7FA9">
      <w:pPr>
        <w:pStyle w:val="SangriaFrancesaArticulo"/>
      </w:pPr>
      <w:r w:rsidRPr="001D7FA9">
        <w:rPr>
          <w:rStyle w:val="TextoNormalNegritaCaracter"/>
        </w:rPr>
        <w:t>Artículo 113.</w:t>
      </w:r>
      <w:r w:rsidRPr="001D7FA9">
        <w:rPr>
          <w:rStyle w:val="TextoNormalCaracter"/>
        </w:rPr>
        <w:t>-</w:t>
      </w:r>
      <w:r>
        <w:t xml:space="preserve"> Sentencia </w:t>
      </w:r>
      <w:hyperlink w:anchor="SENTENCIA_2025_31" w:history="1">
        <w:r w:rsidRPr="001D7FA9">
          <w:rPr>
            <w:rStyle w:val="TextoNormalCaracter"/>
          </w:rPr>
          <w:t>31/2025</w:t>
        </w:r>
      </w:hyperlink>
      <w:r>
        <w:t>, f. 5.</w:t>
      </w:r>
    </w:p>
    <w:p w14:paraId="382ADA83" w14:textId="0804032D" w:rsidR="001D7FA9" w:rsidRDefault="001D7FA9" w:rsidP="001D7FA9">
      <w:pPr>
        <w:pStyle w:val="SangriaFrancesaArticulo"/>
      </w:pPr>
      <w:r w:rsidRPr="001D7FA9">
        <w:rPr>
          <w:rStyle w:val="TextoNormalNegritaCaracter"/>
        </w:rPr>
        <w:t>Artículo 141.</w:t>
      </w:r>
      <w:r w:rsidRPr="001D7FA9">
        <w:rPr>
          <w:rStyle w:val="TextoNormalCaracter"/>
        </w:rPr>
        <w:t>-</w:t>
      </w:r>
      <w:r>
        <w:t xml:space="preserve"> Auto </w:t>
      </w:r>
      <w:hyperlink w:anchor="AUTO_2025_8" w:history="1">
        <w:r w:rsidRPr="001D7FA9">
          <w:rPr>
            <w:rStyle w:val="TextoNormalCaracter"/>
          </w:rPr>
          <w:t>8/2025</w:t>
        </w:r>
      </w:hyperlink>
      <w:r>
        <w:t>, VP.</w:t>
      </w:r>
    </w:p>
    <w:p w14:paraId="1262C3CC" w14:textId="5AAE9D13" w:rsidR="001D7FA9" w:rsidRDefault="001D7FA9" w:rsidP="001D7FA9">
      <w:pPr>
        <w:pStyle w:val="SangriaFrancesaArticulo"/>
      </w:pPr>
      <w:r w:rsidRPr="001D7FA9">
        <w:rPr>
          <w:rStyle w:val="TextoNormalNegritaCaracter"/>
        </w:rPr>
        <w:t>Artículo 145.1.</w:t>
      </w:r>
      <w:r w:rsidRPr="001D7FA9">
        <w:rPr>
          <w:rStyle w:val="TextoNormalCaracter"/>
        </w:rPr>
        <w:t>-</w:t>
      </w:r>
      <w:r>
        <w:t xml:space="preserve"> Auto </w:t>
      </w:r>
      <w:hyperlink w:anchor="AUTO_2025_8" w:history="1">
        <w:r w:rsidRPr="001D7FA9">
          <w:rPr>
            <w:rStyle w:val="TextoNormalCaracter"/>
          </w:rPr>
          <w:t>8/2025</w:t>
        </w:r>
      </w:hyperlink>
      <w:r>
        <w:t>, VP.</w:t>
      </w:r>
    </w:p>
    <w:p w14:paraId="0A15B2AA" w14:textId="167B4608" w:rsidR="001D7FA9" w:rsidRDefault="001D7FA9" w:rsidP="001D7FA9">
      <w:pPr>
        <w:pStyle w:val="SangriaFrancesaArticulo"/>
      </w:pPr>
      <w:r w:rsidRPr="001D7FA9">
        <w:rPr>
          <w:rStyle w:val="TextoNormalNegritaCaracter"/>
        </w:rPr>
        <w:t>Artículo 162.</w:t>
      </w:r>
      <w:r w:rsidRPr="001D7FA9">
        <w:rPr>
          <w:rStyle w:val="TextoNormalCaracter"/>
        </w:rPr>
        <w:t>-</w:t>
      </w:r>
      <w:r>
        <w:t xml:space="preserve"> Auto </w:t>
      </w:r>
      <w:hyperlink w:anchor="AUTO_2025_8" w:history="1">
        <w:r w:rsidRPr="001D7FA9">
          <w:rPr>
            <w:rStyle w:val="TextoNormalCaracter"/>
          </w:rPr>
          <w:t>8/2025</w:t>
        </w:r>
      </w:hyperlink>
      <w:r>
        <w:t>, VP.</w:t>
      </w:r>
    </w:p>
    <w:p w14:paraId="0A3F035C" w14:textId="7CBCE3DC" w:rsidR="001D7FA9" w:rsidRDefault="001D7FA9" w:rsidP="001D7FA9">
      <w:pPr>
        <w:pStyle w:val="SangriaFrancesaArticulo"/>
      </w:pPr>
      <w:r w:rsidRPr="001D7FA9">
        <w:rPr>
          <w:rStyle w:val="TextoNormalNegritaCaracter"/>
        </w:rPr>
        <w:t>Artículo 251.1.</w:t>
      </w:r>
      <w:r w:rsidRPr="001D7FA9">
        <w:rPr>
          <w:rStyle w:val="TextoNormalCaracter"/>
        </w:rPr>
        <w:t>-</w:t>
      </w:r>
      <w:r>
        <w:t xml:space="preserve"> Auto </w:t>
      </w:r>
      <w:hyperlink w:anchor="AUTO_2025_8" w:history="1">
        <w:r w:rsidRPr="001D7FA9">
          <w:rPr>
            <w:rStyle w:val="TextoNormalCaracter"/>
          </w:rPr>
          <w:t>8/2025</w:t>
        </w:r>
      </w:hyperlink>
      <w:r>
        <w:t>, VP.</w:t>
      </w:r>
    </w:p>
    <w:p w14:paraId="47F79708" w14:textId="3AF4EC73" w:rsidR="001D7FA9" w:rsidRDefault="001D7FA9" w:rsidP="001D7FA9">
      <w:pPr>
        <w:pStyle w:val="SangriaFrancesaArticulo"/>
      </w:pPr>
      <w:r w:rsidRPr="001D7FA9">
        <w:rPr>
          <w:rStyle w:val="TextoNormalNegritaCaracter"/>
        </w:rPr>
        <w:t>Artículo 254.1.</w:t>
      </w:r>
      <w:r w:rsidRPr="001D7FA9">
        <w:rPr>
          <w:rStyle w:val="TextoNormalCaracter"/>
        </w:rPr>
        <w:t>-</w:t>
      </w:r>
      <w:r>
        <w:t xml:space="preserve"> Auto </w:t>
      </w:r>
      <w:hyperlink w:anchor="AUTO_2025_8" w:history="1">
        <w:r w:rsidRPr="001D7FA9">
          <w:rPr>
            <w:rStyle w:val="TextoNormalCaracter"/>
          </w:rPr>
          <w:t>8/2025</w:t>
        </w:r>
      </w:hyperlink>
      <w:r>
        <w:t>, VP.</w:t>
      </w:r>
    </w:p>
    <w:p w14:paraId="474AA351" w14:textId="7ADB2AB0" w:rsidR="001D7FA9" w:rsidRDefault="001D7FA9" w:rsidP="001D7FA9">
      <w:pPr>
        <w:pStyle w:val="SangriaFrancesaArticulo"/>
      </w:pPr>
      <w:r w:rsidRPr="001D7FA9">
        <w:rPr>
          <w:rStyle w:val="TextoNormalNegritaCaracter"/>
        </w:rPr>
        <w:t>Disposición adicional decimonovena.</w:t>
      </w:r>
      <w:r w:rsidRPr="001D7FA9">
        <w:rPr>
          <w:rStyle w:val="TextoNormalCaracter"/>
        </w:rPr>
        <w:t>-</w:t>
      </w:r>
      <w:r>
        <w:t xml:space="preserve"> Auto </w:t>
      </w:r>
      <w:hyperlink w:anchor="AUTO_2025_8" w:history="1">
        <w:r w:rsidRPr="001D7FA9">
          <w:rPr>
            <w:rStyle w:val="TextoNormalCaracter"/>
          </w:rPr>
          <w:t>8/2025</w:t>
        </w:r>
      </w:hyperlink>
      <w:r>
        <w:t>, VP.</w:t>
      </w:r>
    </w:p>
    <w:p w14:paraId="1E79D7E6" w14:textId="435C4EDF" w:rsidR="001D7FA9" w:rsidRDefault="001D7FA9" w:rsidP="001D7FA9">
      <w:pPr>
        <w:pStyle w:val="SangriaFrancesaArticulo"/>
      </w:pPr>
    </w:p>
    <w:p w14:paraId="25159AC9" w14:textId="77777777" w:rsidR="001D7FA9" w:rsidRDefault="001D7FA9" w:rsidP="001D7FA9">
      <w:pPr>
        <w:pStyle w:val="TextoNormalNegritaCursivandice"/>
        <w:keepNext/>
      </w:pPr>
      <w:r>
        <w:t>Ley 27/2006, de 18 de julio, por la que se regulan los derechos de acceso a la información, de participación pública y de acceso a la justicia en materia de medio ambiente (incorpora las Directivas 2003/4/CE y 2003/35/CE)</w:t>
      </w:r>
    </w:p>
    <w:p w14:paraId="0F8F8211" w14:textId="619F1E5D" w:rsidR="001D7FA9" w:rsidRDefault="001D7FA9" w:rsidP="001D7FA9">
      <w:pPr>
        <w:pStyle w:val="SangriaFrancesaArticulo"/>
      </w:pPr>
      <w:r w:rsidRPr="001D7FA9">
        <w:rPr>
          <w:rStyle w:val="TextoNormalNegritaCaracter"/>
        </w:rPr>
        <w:t>Artículos 20 a 23.</w:t>
      </w:r>
      <w:r w:rsidRPr="001D7FA9">
        <w:rPr>
          <w:rStyle w:val="TextoNormalCaracter"/>
        </w:rPr>
        <w:t>-</w:t>
      </w:r>
      <w:r>
        <w:t xml:space="preserve"> Sentencia </w:t>
      </w:r>
      <w:hyperlink w:anchor="SENTENCIA_2025_69" w:history="1">
        <w:r w:rsidRPr="001D7FA9">
          <w:rPr>
            <w:rStyle w:val="TextoNormalCaracter"/>
          </w:rPr>
          <w:t>69/2025</w:t>
        </w:r>
      </w:hyperlink>
      <w:r>
        <w:t>, f. 3.</w:t>
      </w:r>
    </w:p>
    <w:p w14:paraId="4F7E7FE6" w14:textId="42FD6EC6" w:rsidR="001D7FA9" w:rsidRDefault="001D7FA9" w:rsidP="001D7FA9">
      <w:pPr>
        <w:pStyle w:val="SangriaFrancesaArticulo"/>
      </w:pPr>
    </w:p>
    <w:p w14:paraId="395CDF58" w14:textId="77777777" w:rsidR="001D7FA9" w:rsidRDefault="001D7FA9" w:rsidP="001D7FA9">
      <w:pPr>
        <w:pStyle w:val="TextoNormalNegritaCursivandice"/>
        <w:keepNext/>
      </w:pPr>
      <w:r>
        <w:t>Ley 7/2007, de 12 de abril, del estatuto básico del empleado público</w:t>
      </w:r>
    </w:p>
    <w:p w14:paraId="195A43DE" w14:textId="508893D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2" w:history="1">
        <w:r w:rsidRPr="001D7FA9">
          <w:rPr>
            <w:rStyle w:val="TextoNormalCaracter"/>
          </w:rPr>
          <w:t>32/2025</w:t>
        </w:r>
      </w:hyperlink>
      <w:r>
        <w:t>, f. 6.</w:t>
      </w:r>
    </w:p>
    <w:p w14:paraId="4D6B2886" w14:textId="22FE85A8" w:rsidR="001D7FA9" w:rsidRDefault="001D7FA9" w:rsidP="001D7FA9">
      <w:pPr>
        <w:pStyle w:val="SangriaFrancesaArticulo"/>
      </w:pPr>
    </w:p>
    <w:p w14:paraId="04258038" w14:textId="77777777" w:rsidR="001D7FA9" w:rsidRDefault="001D7FA9" w:rsidP="001D7FA9">
      <w:pPr>
        <w:pStyle w:val="TextoNormalNegritaCursivandice"/>
        <w:keepNext/>
      </w:pPr>
      <w:r>
        <w:t>Ley 8/2007, de 28 de mayo, de suelo</w:t>
      </w:r>
    </w:p>
    <w:p w14:paraId="722E9490" w14:textId="1DE309EF" w:rsidR="001D7FA9" w:rsidRDefault="001D7FA9" w:rsidP="001D7FA9">
      <w:pPr>
        <w:pStyle w:val="SangriaFrancesaArticulo"/>
      </w:pPr>
      <w:r w:rsidRPr="001D7FA9">
        <w:rPr>
          <w:rStyle w:val="TextoNormalNegritaCaracter"/>
        </w:rPr>
        <w:t>Artículo 2.3.</w:t>
      </w:r>
      <w:r w:rsidRPr="001D7FA9">
        <w:rPr>
          <w:rStyle w:val="TextoNormalCaracter"/>
        </w:rPr>
        <w:t>-</w:t>
      </w:r>
      <w:r>
        <w:t xml:space="preserve"> Sentencia </w:t>
      </w:r>
      <w:hyperlink w:anchor="SENTENCIA_2025_64" w:history="1">
        <w:r w:rsidRPr="001D7FA9">
          <w:rPr>
            <w:rStyle w:val="TextoNormalCaracter"/>
          </w:rPr>
          <w:t>64/2025</w:t>
        </w:r>
      </w:hyperlink>
      <w:r>
        <w:t>, f. 4.</w:t>
      </w:r>
    </w:p>
    <w:p w14:paraId="518E4946" w14:textId="5B8F043F" w:rsidR="001D7FA9" w:rsidRDefault="001D7FA9" w:rsidP="001D7FA9">
      <w:pPr>
        <w:pStyle w:val="SangriaFrancesaArticulo"/>
      </w:pPr>
      <w:r w:rsidRPr="001D7FA9">
        <w:rPr>
          <w:rStyle w:val="TextoNormalNegritaCaracter"/>
        </w:rPr>
        <w:t>Artículo 10 b).</w:t>
      </w:r>
      <w:r w:rsidRPr="001D7FA9">
        <w:rPr>
          <w:rStyle w:val="TextoNormalCaracter"/>
        </w:rPr>
        <w:t>-</w:t>
      </w:r>
      <w:r>
        <w:t xml:space="preserve"> Sentencia </w:t>
      </w:r>
      <w:hyperlink w:anchor="SENTENCIA_2025_26" w:history="1">
        <w:r w:rsidRPr="001D7FA9">
          <w:rPr>
            <w:rStyle w:val="TextoNormalCaracter"/>
          </w:rPr>
          <w:t>26/2025</w:t>
        </w:r>
      </w:hyperlink>
      <w:r>
        <w:t>, f. 3, VP II.</w:t>
      </w:r>
    </w:p>
    <w:p w14:paraId="7F28533F" w14:textId="490EA2F4" w:rsidR="001D7FA9" w:rsidRDefault="001D7FA9" w:rsidP="001D7FA9">
      <w:pPr>
        <w:pStyle w:val="SangriaFrancesaArticulo"/>
      </w:pPr>
    </w:p>
    <w:p w14:paraId="7BB69962" w14:textId="77777777" w:rsidR="001D7FA9" w:rsidRDefault="001D7FA9" w:rsidP="001D7FA9">
      <w:pPr>
        <w:pStyle w:val="TextoNormalNegritaCursivandice"/>
        <w:keepNext/>
      </w:pPr>
      <w:r>
        <w:t>Ley 20/2007, de 11 de julio, del estatuto del trabajo autónomo</w:t>
      </w:r>
    </w:p>
    <w:p w14:paraId="24E0B670" w14:textId="3209B29F" w:rsidR="001D7FA9" w:rsidRDefault="001D7FA9" w:rsidP="001D7FA9">
      <w:pPr>
        <w:pStyle w:val="SangriaFrancesaArticulo"/>
      </w:pPr>
      <w:r w:rsidRPr="001D7FA9">
        <w:rPr>
          <w:rStyle w:val="TextoNormalNegritaCaracter"/>
        </w:rPr>
        <w:t>Artículo 4.3 c).</w:t>
      </w:r>
      <w:r w:rsidRPr="001D7FA9">
        <w:rPr>
          <w:rStyle w:val="TextoNormalCaracter"/>
        </w:rPr>
        <w:t>-</w:t>
      </w:r>
      <w:r>
        <w:t xml:space="preserve"> Sentencia </w:t>
      </w:r>
      <w:hyperlink w:anchor="SENTENCIA_2025_28" w:history="1">
        <w:r w:rsidRPr="001D7FA9">
          <w:rPr>
            <w:rStyle w:val="TextoNormalCaracter"/>
          </w:rPr>
          <w:t>28/2025</w:t>
        </w:r>
      </w:hyperlink>
      <w:r>
        <w:t>, f. 3.</w:t>
      </w:r>
    </w:p>
    <w:p w14:paraId="65444331" w14:textId="30890BE5" w:rsidR="001D7FA9" w:rsidRDefault="001D7FA9" w:rsidP="001D7FA9">
      <w:pPr>
        <w:pStyle w:val="SangriaFrancesaArticulo"/>
      </w:pPr>
      <w:r w:rsidRPr="001D7FA9">
        <w:rPr>
          <w:rStyle w:val="TextoNormalNegritaCaracter"/>
        </w:rPr>
        <w:t>Artículo 14 h).</w:t>
      </w:r>
      <w:r w:rsidRPr="001D7FA9">
        <w:rPr>
          <w:rStyle w:val="TextoNormalCaracter"/>
        </w:rPr>
        <w:t>-</w:t>
      </w:r>
      <w:r>
        <w:t xml:space="preserve"> Sentencia </w:t>
      </w:r>
      <w:hyperlink w:anchor="SENTENCIA_2025_28" w:history="1">
        <w:r w:rsidRPr="001D7FA9">
          <w:rPr>
            <w:rStyle w:val="TextoNormalCaracter"/>
          </w:rPr>
          <w:t>28/2025</w:t>
        </w:r>
      </w:hyperlink>
      <w:r>
        <w:t>, f. 3.</w:t>
      </w:r>
    </w:p>
    <w:p w14:paraId="277C5405" w14:textId="67AFFB30" w:rsidR="001D7FA9" w:rsidRDefault="001D7FA9" w:rsidP="001D7FA9">
      <w:pPr>
        <w:pStyle w:val="SangriaFrancesaArticulo"/>
      </w:pPr>
    </w:p>
    <w:p w14:paraId="1F80C59A" w14:textId="77777777" w:rsidR="001D7FA9" w:rsidRDefault="001D7FA9" w:rsidP="001D7FA9">
      <w:pPr>
        <w:pStyle w:val="TextoNormalNegritaCursivandice"/>
        <w:keepNext/>
      </w:pPr>
      <w:r>
        <w:t>Ley 25/2007, de 18 de octubre, de conservación de datos relativos a las comunicaciones electrónicas y a las redes públicas de comunicaciones</w:t>
      </w:r>
    </w:p>
    <w:p w14:paraId="741A5DDB" w14:textId="3CEDF19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4C29AC2A" w14:textId="2BAD7E0A" w:rsidR="001D7FA9" w:rsidRDefault="001D7FA9" w:rsidP="001D7FA9">
      <w:pPr>
        <w:pStyle w:val="SangriaFrancesaArticulo"/>
      </w:pPr>
      <w:r w:rsidRPr="001D7FA9">
        <w:rPr>
          <w:rStyle w:val="TextoNormalNegritaCaracter"/>
        </w:rPr>
        <w:t>Artículo 6.</w:t>
      </w:r>
      <w:r w:rsidRPr="001D7FA9">
        <w:rPr>
          <w:rStyle w:val="TextoNormalCaracter"/>
        </w:rPr>
        <w:t>-</w:t>
      </w:r>
      <w:r>
        <w:t xml:space="preserve"> Auto </w:t>
      </w:r>
      <w:hyperlink w:anchor="AUTO_2025_8" w:history="1">
        <w:r w:rsidRPr="001D7FA9">
          <w:rPr>
            <w:rStyle w:val="TextoNormalCaracter"/>
          </w:rPr>
          <w:t>8/2025</w:t>
        </w:r>
      </w:hyperlink>
      <w:r>
        <w:t>, VP.</w:t>
      </w:r>
    </w:p>
    <w:p w14:paraId="10C526B8" w14:textId="6DA46FFE" w:rsidR="001D7FA9" w:rsidRDefault="001D7FA9" w:rsidP="001D7FA9">
      <w:pPr>
        <w:pStyle w:val="SangriaFrancesaArticulo"/>
      </w:pPr>
      <w:r w:rsidRPr="001D7FA9">
        <w:rPr>
          <w:rStyle w:val="TextoNormalNegritaCaracter"/>
        </w:rPr>
        <w:t>Artículo 6.2 b).</w:t>
      </w:r>
      <w:r w:rsidRPr="001D7FA9">
        <w:rPr>
          <w:rStyle w:val="TextoNormalCaracter"/>
        </w:rPr>
        <w:t>-</w:t>
      </w:r>
      <w:r>
        <w:t xml:space="preserve"> Auto </w:t>
      </w:r>
      <w:hyperlink w:anchor="AUTO_2025_8" w:history="1">
        <w:r w:rsidRPr="001D7FA9">
          <w:rPr>
            <w:rStyle w:val="TextoNormalCaracter"/>
          </w:rPr>
          <w:t>8/2025</w:t>
        </w:r>
      </w:hyperlink>
      <w:r>
        <w:t>, VP.</w:t>
      </w:r>
    </w:p>
    <w:p w14:paraId="7419B301" w14:textId="18F52CD2" w:rsidR="001D7FA9" w:rsidRDefault="001D7FA9" w:rsidP="001D7FA9">
      <w:pPr>
        <w:pStyle w:val="SangriaFrancesaArticulo"/>
      </w:pPr>
    </w:p>
    <w:p w14:paraId="65047410" w14:textId="77777777" w:rsidR="001D7FA9" w:rsidRDefault="001D7FA9" w:rsidP="001D7FA9">
      <w:pPr>
        <w:pStyle w:val="TextoNormalNegritaCursivandice"/>
        <w:keepNext/>
      </w:pPr>
      <w:r>
        <w:t>Ley 52/2007, de 26 de diciembre, por la que se reconocen y amplían derechos y se establecen medidas en favor de quienes padecieron persecución o violencia durante la guerra civil y la dictadura</w:t>
      </w:r>
    </w:p>
    <w:p w14:paraId="5ACC7CE7" w14:textId="2BFE83F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4" w:history="1">
        <w:r w:rsidRPr="001D7FA9">
          <w:rPr>
            <w:rStyle w:val="TextoNormalCaracter"/>
          </w:rPr>
          <w:t>64/2025</w:t>
        </w:r>
      </w:hyperlink>
      <w:r>
        <w:t>, VP I.</w:t>
      </w:r>
    </w:p>
    <w:p w14:paraId="5D1DC1F2" w14:textId="59A645B1" w:rsidR="001D7FA9" w:rsidRDefault="001D7FA9" w:rsidP="001D7FA9">
      <w:pPr>
        <w:pStyle w:val="SangriaFrancesaArticulo"/>
      </w:pPr>
    </w:p>
    <w:p w14:paraId="73448547" w14:textId="77777777" w:rsidR="001D7FA9" w:rsidRDefault="001D7FA9" w:rsidP="001D7FA9">
      <w:pPr>
        <w:pStyle w:val="TextoNormalNegritaCursivandice"/>
        <w:keepNext/>
      </w:pPr>
      <w:r>
        <w:t>Ley 56/2007, de 28 de diciembre, de medidas de impulso de la sociedad de la información</w:t>
      </w:r>
    </w:p>
    <w:p w14:paraId="2A4D0B2A" w14:textId="52AC40B4" w:rsidR="001D7FA9" w:rsidRDefault="001D7FA9" w:rsidP="001D7FA9">
      <w:pPr>
        <w:pStyle w:val="SangriaFrancesaArticulo"/>
      </w:pPr>
      <w:r w:rsidRPr="001D7FA9">
        <w:rPr>
          <w:rStyle w:val="TextoNormalNegritaCaracter"/>
        </w:rPr>
        <w:t>Artículo 4.4.</w:t>
      </w:r>
      <w:r w:rsidRPr="001D7FA9">
        <w:rPr>
          <w:rStyle w:val="TextoNormalCaracter"/>
        </w:rPr>
        <w:t>-</w:t>
      </w:r>
      <w:r>
        <w:t xml:space="preserve"> Sentencia </w:t>
      </w:r>
      <w:hyperlink w:anchor="SENTENCIA_2025_62" w:history="1">
        <w:r w:rsidRPr="001D7FA9">
          <w:rPr>
            <w:rStyle w:val="TextoNormalCaracter"/>
          </w:rPr>
          <w:t>62/2025</w:t>
        </w:r>
      </w:hyperlink>
      <w:r>
        <w:t>, VP I.</w:t>
      </w:r>
    </w:p>
    <w:p w14:paraId="46E48D37" w14:textId="490A46DB" w:rsidR="001D7FA9" w:rsidRDefault="001D7FA9" w:rsidP="001D7FA9">
      <w:pPr>
        <w:pStyle w:val="SangriaFrancesaArticulo"/>
      </w:pPr>
    </w:p>
    <w:p w14:paraId="4D83F6D4" w14:textId="77777777" w:rsidR="001D7FA9" w:rsidRDefault="001D7FA9" w:rsidP="001D7FA9">
      <w:pPr>
        <w:pStyle w:val="TextoNormalNegritaCursivandice"/>
        <w:keepNext/>
      </w:pPr>
      <w:r>
        <w:t>Ley 13/2009, de 3 de noviembre, de reforma de la legislación procesal para la implantación de la nueva oficina judicial</w:t>
      </w:r>
    </w:p>
    <w:p w14:paraId="590E4007" w14:textId="5320790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12" w:history="1">
        <w:r w:rsidRPr="001D7FA9">
          <w:rPr>
            <w:rStyle w:val="TextoNormalCaracter"/>
          </w:rPr>
          <w:t>12/2025</w:t>
        </w:r>
      </w:hyperlink>
      <w:r>
        <w:t xml:space="preserve">, f. 2, VP I; </w:t>
      </w:r>
      <w:hyperlink w:anchor="SENTENCIA_2025_84" w:history="1">
        <w:r w:rsidRPr="001D7FA9">
          <w:rPr>
            <w:rStyle w:val="TextoNormalCaracter"/>
          </w:rPr>
          <w:t>84/2025</w:t>
        </w:r>
      </w:hyperlink>
      <w:r>
        <w:t>, VP I.</w:t>
      </w:r>
    </w:p>
    <w:p w14:paraId="6F80F32A" w14:textId="40FD8619" w:rsidR="001D7FA9" w:rsidRDefault="001D7FA9" w:rsidP="001D7FA9">
      <w:pPr>
        <w:pStyle w:val="SangriaFrancesaArticulo"/>
      </w:pPr>
    </w:p>
    <w:p w14:paraId="5A9890D7" w14:textId="77777777" w:rsidR="001D7FA9" w:rsidRDefault="001D7FA9" w:rsidP="001D7FA9">
      <w:pPr>
        <w:pStyle w:val="TextoNormalNegritaCursivandice"/>
        <w:keepNext/>
      </w:pPr>
      <w:r>
        <w:t>Ley 17/2009, de 23 de noviembre, sobre el libre acceso a las actividades de servicios y su ejercicio</w:t>
      </w:r>
    </w:p>
    <w:p w14:paraId="1EB955C6" w14:textId="247EB15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4" w:history="1">
        <w:r w:rsidRPr="001D7FA9">
          <w:rPr>
            <w:rStyle w:val="TextoNormalCaracter"/>
          </w:rPr>
          <w:t>64/2025</w:t>
        </w:r>
      </w:hyperlink>
      <w:r>
        <w:t>, f. 5.</w:t>
      </w:r>
    </w:p>
    <w:p w14:paraId="2985E434" w14:textId="02799A97"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Sentencia </w:t>
      </w:r>
      <w:hyperlink w:anchor="SENTENCIA_2025_64" w:history="1">
        <w:r w:rsidRPr="001D7FA9">
          <w:rPr>
            <w:rStyle w:val="TextoNormalCaracter"/>
          </w:rPr>
          <w:t>64/2025</w:t>
        </w:r>
      </w:hyperlink>
      <w:r>
        <w:t>, f. 5.</w:t>
      </w:r>
    </w:p>
    <w:p w14:paraId="6E5C599F" w14:textId="67E72511" w:rsidR="001D7FA9" w:rsidRDefault="001D7FA9" w:rsidP="001D7FA9">
      <w:pPr>
        <w:pStyle w:val="SangriaFrancesaArticulo"/>
      </w:pPr>
    </w:p>
    <w:p w14:paraId="1A3400F3" w14:textId="77777777" w:rsidR="001D7FA9" w:rsidRDefault="001D7FA9" w:rsidP="001D7FA9">
      <w:pPr>
        <w:pStyle w:val="TextoNormalNegritaCursivandice"/>
        <w:keepNext/>
      </w:pPr>
      <w:r>
        <w:t>Ley 22/2009, de 18 de diciembre, por la que se regula el sistema de financiación de las comunidades autónomas de régimen común y ciudades con estatuto de autonomía y se modifican determinadas normas tributarias</w:t>
      </w:r>
    </w:p>
    <w:p w14:paraId="4A7239AE" w14:textId="7B06C26E" w:rsidR="001D7FA9" w:rsidRDefault="001D7FA9" w:rsidP="001D7FA9">
      <w:pPr>
        <w:pStyle w:val="SangriaFrancesaArticulo"/>
      </w:pPr>
      <w:r w:rsidRPr="001D7FA9">
        <w:rPr>
          <w:rStyle w:val="TextoNormalNegritaCaracter"/>
        </w:rPr>
        <w:t>Artículo 25.1 c).</w:t>
      </w:r>
      <w:r w:rsidRPr="001D7FA9">
        <w:rPr>
          <w:rStyle w:val="TextoNormalCaracter"/>
        </w:rPr>
        <w:t>-</w:t>
      </w:r>
      <w:r>
        <w:t xml:space="preserve"> Sentencia </w:t>
      </w:r>
      <w:hyperlink w:anchor="SENTENCIA_2025_135" w:history="1">
        <w:r w:rsidRPr="001D7FA9">
          <w:rPr>
            <w:rStyle w:val="TextoNormalCaracter"/>
          </w:rPr>
          <w:t>135/2025</w:t>
        </w:r>
      </w:hyperlink>
      <w:r>
        <w:t>, f. 2.</w:t>
      </w:r>
    </w:p>
    <w:p w14:paraId="300AB74C" w14:textId="272BAE3A" w:rsidR="001D7FA9" w:rsidRDefault="001D7FA9" w:rsidP="001D7FA9">
      <w:pPr>
        <w:pStyle w:val="SangriaFrancesaArticulo"/>
      </w:pPr>
      <w:r w:rsidRPr="001D7FA9">
        <w:rPr>
          <w:rStyle w:val="TextoNormalNegritaCaracter"/>
        </w:rPr>
        <w:t>Artículo 32.</w:t>
      </w:r>
      <w:r w:rsidRPr="001D7FA9">
        <w:rPr>
          <w:rStyle w:val="TextoNormalCaracter"/>
        </w:rPr>
        <w:t>-</w:t>
      </w:r>
      <w:r>
        <w:t xml:space="preserve"> Sentencia </w:t>
      </w:r>
      <w:hyperlink w:anchor="SENTENCIA_2025_135" w:history="1">
        <w:r w:rsidRPr="001D7FA9">
          <w:rPr>
            <w:rStyle w:val="TextoNormalCaracter"/>
          </w:rPr>
          <w:t>135/2025</w:t>
        </w:r>
      </w:hyperlink>
      <w:r>
        <w:t>, f. 2.</w:t>
      </w:r>
    </w:p>
    <w:p w14:paraId="263B57B8" w14:textId="4DA0E1FE" w:rsidR="001D7FA9" w:rsidRDefault="001D7FA9" w:rsidP="001D7FA9">
      <w:pPr>
        <w:pStyle w:val="SangriaFrancesaArticulo"/>
      </w:pPr>
    </w:p>
    <w:p w14:paraId="4833812A" w14:textId="77777777" w:rsidR="001D7FA9" w:rsidRDefault="001D7FA9" w:rsidP="001D7FA9">
      <w:pPr>
        <w:pStyle w:val="TextoNormalNegritaCursivandice"/>
        <w:keepNext/>
      </w:pPr>
      <w:r>
        <w:t>Ley 31/2010, de 27 de julio, sobre simplificación del intercambio de información e inteligencia entre los servicios de seguridad de los Estados miembros de la Unión Europea</w:t>
      </w:r>
    </w:p>
    <w:p w14:paraId="34E5B39E" w14:textId="1D10B3C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0837208F" w14:textId="63B81188" w:rsidR="001D7FA9" w:rsidRDefault="001D7FA9" w:rsidP="001D7FA9">
      <w:pPr>
        <w:pStyle w:val="SangriaFrancesaArticulo"/>
      </w:pPr>
      <w:r w:rsidRPr="001D7FA9">
        <w:rPr>
          <w:rStyle w:val="TextoNormalNegritaCaracter"/>
        </w:rPr>
        <w:t>Artículo 1.1 a).</w:t>
      </w:r>
      <w:r w:rsidRPr="001D7FA9">
        <w:rPr>
          <w:rStyle w:val="TextoNormalCaracter"/>
        </w:rPr>
        <w:t>-</w:t>
      </w:r>
      <w:r>
        <w:t xml:space="preserve"> Auto </w:t>
      </w:r>
      <w:hyperlink w:anchor="AUTO_2025_8" w:history="1">
        <w:r w:rsidRPr="001D7FA9">
          <w:rPr>
            <w:rStyle w:val="TextoNormalCaracter"/>
          </w:rPr>
          <w:t>8/2025</w:t>
        </w:r>
      </w:hyperlink>
      <w:r>
        <w:t>, VP.</w:t>
      </w:r>
    </w:p>
    <w:p w14:paraId="16AC3A70" w14:textId="5EEDFF18" w:rsidR="001D7FA9" w:rsidRDefault="001D7FA9" w:rsidP="001D7FA9">
      <w:pPr>
        <w:pStyle w:val="SangriaFrancesaArticulo"/>
      </w:pPr>
      <w:r w:rsidRPr="001D7FA9">
        <w:rPr>
          <w:rStyle w:val="TextoNormalNegritaCaracter"/>
        </w:rPr>
        <w:t>Artículo 1.1 b).</w:t>
      </w:r>
      <w:r w:rsidRPr="001D7FA9">
        <w:rPr>
          <w:rStyle w:val="TextoNormalCaracter"/>
        </w:rPr>
        <w:t>-</w:t>
      </w:r>
      <w:r>
        <w:t xml:space="preserve"> Auto </w:t>
      </w:r>
      <w:hyperlink w:anchor="AUTO_2025_8" w:history="1">
        <w:r w:rsidRPr="001D7FA9">
          <w:rPr>
            <w:rStyle w:val="TextoNormalCaracter"/>
          </w:rPr>
          <w:t>8/2025</w:t>
        </w:r>
      </w:hyperlink>
      <w:r>
        <w:t>, VP.</w:t>
      </w:r>
    </w:p>
    <w:p w14:paraId="7BBB1E23" w14:textId="4C932A7D" w:rsidR="001D7FA9" w:rsidRDefault="001D7FA9" w:rsidP="001D7FA9">
      <w:pPr>
        <w:pStyle w:val="SangriaFrancesaArticulo"/>
      </w:pPr>
      <w:r w:rsidRPr="001D7FA9">
        <w:rPr>
          <w:rStyle w:val="TextoNormalNegritaCaracter"/>
        </w:rPr>
        <w:t>Disposición adicional primera.</w:t>
      </w:r>
      <w:r w:rsidRPr="001D7FA9">
        <w:rPr>
          <w:rStyle w:val="TextoNormalCaracter"/>
        </w:rPr>
        <w:t>-</w:t>
      </w:r>
      <w:r>
        <w:t xml:space="preserve"> Auto </w:t>
      </w:r>
      <w:hyperlink w:anchor="AUTO_2025_8" w:history="1">
        <w:r w:rsidRPr="001D7FA9">
          <w:rPr>
            <w:rStyle w:val="TextoNormalCaracter"/>
          </w:rPr>
          <w:t>8/2025</w:t>
        </w:r>
      </w:hyperlink>
      <w:r>
        <w:t>, VP.</w:t>
      </w:r>
    </w:p>
    <w:p w14:paraId="64860E50" w14:textId="05DFF4B3" w:rsidR="001D7FA9" w:rsidRDefault="001D7FA9" w:rsidP="001D7FA9">
      <w:pPr>
        <w:pStyle w:val="SangriaFrancesaArticulo"/>
      </w:pPr>
    </w:p>
    <w:p w14:paraId="0D8DB536" w14:textId="77777777" w:rsidR="001D7FA9" w:rsidRDefault="001D7FA9" w:rsidP="001D7FA9">
      <w:pPr>
        <w:pStyle w:val="TextoNormalNegritaCursivandice"/>
        <w:keepNext/>
      </w:pPr>
      <w:r>
        <w:t>Ley 29/2011, de 22 de septiembre. Reconocimiento y protección integral a las víctimas del terrorismo</w:t>
      </w:r>
    </w:p>
    <w:p w14:paraId="5BF91FCF" w14:textId="5F54150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9" w:history="1">
        <w:r w:rsidRPr="001D7FA9">
          <w:rPr>
            <w:rStyle w:val="TextoNormalCaracter"/>
          </w:rPr>
          <w:t>59/2025</w:t>
        </w:r>
      </w:hyperlink>
      <w:r>
        <w:t>, ff. 1, 4.</w:t>
      </w:r>
    </w:p>
    <w:p w14:paraId="19AD4355" w14:textId="443FE153" w:rsidR="001D7FA9" w:rsidRDefault="001D7FA9" w:rsidP="001D7FA9">
      <w:pPr>
        <w:pStyle w:val="SangriaFrancesaArticulo"/>
      </w:pPr>
      <w:r w:rsidRPr="001D7FA9">
        <w:rPr>
          <w:rStyle w:val="TextoNormalNegritaCaracter"/>
        </w:rPr>
        <w:t>Artículo 15.1.</w:t>
      </w:r>
      <w:r w:rsidRPr="001D7FA9">
        <w:rPr>
          <w:rStyle w:val="TextoNormalCaracter"/>
        </w:rPr>
        <w:t>-</w:t>
      </w:r>
      <w:r>
        <w:t xml:space="preserve"> Auto </w:t>
      </w:r>
      <w:hyperlink w:anchor="AUTO_2025_59" w:history="1">
        <w:r w:rsidRPr="001D7FA9">
          <w:rPr>
            <w:rStyle w:val="TextoNormalCaracter"/>
          </w:rPr>
          <w:t>59/2025</w:t>
        </w:r>
      </w:hyperlink>
      <w:r>
        <w:t>, f. 4.</w:t>
      </w:r>
    </w:p>
    <w:p w14:paraId="78D98571" w14:textId="4BE134A4" w:rsidR="001D7FA9" w:rsidRDefault="001D7FA9" w:rsidP="001D7FA9">
      <w:pPr>
        <w:pStyle w:val="SangriaFrancesaArticulo"/>
      </w:pPr>
    </w:p>
    <w:p w14:paraId="08760D8B" w14:textId="77777777" w:rsidR="001D7FA9" w:rsidRDefault="001D7FA9" w:rsidP="001D7FA9">
      <w:pPr>
        <w:pStyle w:val="TextoNormalNegritaCursivandice"/>
        <w:keepNext/>
      </w:pPr>
      <w:r>
        <w:t>Ley 36/2011, de 10 de octubre, reguladora de la jurisdicción social</w:t>
      </w:r>
    </w:p>
    <w:p w14:paraId="69DB226B" w14:textId="397AF34B" w:rsidR="001D7FA9" w:rsidRDefault="001D7FA9" w:rsidP="001D7FA9">
      <w:pPr>
        <w:pStyle w:val="SangriaFrancesaArticulo"/>
      </w:pPr>
      <w:r w:rsidRPr="001D7FA9">
        <w:rPr>
          <w:rStyle w:val="TextoNormalNegritaCaracter"/>
        </w:rPr>
        <w:t>Artículo 104 b).</w:t>
      </w:r>
      <w:r w:rsidRPr="001D7FA9">
        <w:rPr>
          <w:rStyle w:val="TextoNormalCaracter"/>
        </w:rPr>
        <w:t>-</w:t>
      </w:r>
      <w:r>
        <w:t xml:space="preserve"> Sentencia </w:t>
      </w:r>
      <w:hyperlink w:anchor="SENTENCIA_2025_55" w:history="1">
        <w:r w:rsidRPr="001D7FA9">
          <w:rPr>
            <w:rStyle w:val="TextoNormalCaracter"/>
          </w:rPr>
          <w:t>55/2025</w:t>
        </w:r>
      </w:hyperlink>
      <w:r>
        <w:t>, f. 3.</w:t>
      </w:r>
    </w:p>
    <w:p w14:paraId="0009B9EC" w14:textId="459FFA9B" w:rsidR="001D7FA9" w:rsidRDefault="001D7FA9" w:rsidP="001D7FA9">
      <w:pPr>
        <w:pStyle w:val="SangriaFrancesaArticulo"/>
      </w:pPr>
      <w:r w:rsidRPr="001D7FA9">
        <w:rPr>
          <w:rStyle w:val="TextoNormalNegritaCaracter"/>
        </w:rPr>
        <w:t>Artículo 188.1 párrafo 1.</w:t>
      </w:r>
      <w:r w:rsidRPr="001D7FA9">
        <w:rPr>
          <w:rStyle w:val="TextoNormalCaracter"/>
        </w:rPr>
        <w:t>-</w:t>
      </w:r>
      <w:r>
        <w:t xml:space="preserve"> Sentencia </w:t>
      </w:r>
      <w:hyperlink w:anchor="SENTENCIA_2025_12" w:history="1">
        <w:r w:rsidRPr="001D7FA9">
          <w:rPr>
            <w:rStyle w:val="TextoNormalCaracter"/>
          </w:rPr>
          <w:t>12/2025</w:t>
        </w:r>
      </w:hyperlink>
      <w:r>
        <w:t>, VP I.</w:t>
      </w:r>
    </w:p>
    <w:p w14:paraId="2FF1BE9F" w14:textId="77EBA926" w:rsidR="001D7FA9" w:rsidRDefault="001D7FA9" w:rsidP="001D7FA9">
      <w:pPr>
        <w:pStyle w:val="SangriaFrancesaArticulo"/>
      </w:pPr>
      <w:r w:rsidRPr="001D7FA9">
        <w:rPr>
          <w:rStyle w:val="TextoNormalNegritaCaracter"/>
        </w:rPr>
        <w:t>Artículo 226.</w:t>
      </w:r>
      <w:r w:rsidRPr="001D7FA9">
        <w:rPr>
          <w:rStyle w:val="TextoNormalCaracter"/>
        </w:rPr>
        <w:t>-</w:t>
      </w:r>
      <w:r>
        <w:t xml:space="preserve"> Sentencia </w:t>
      </w:r>
      <w:hyperlink w:anchor="SENTENCIA_2025_12" w:history="1">
        <w:r w:rsidRPr="001D7FA9">
          <w:rPr>
            <w:rStyle w:val="TextoNormalCaracter"/>
          </w:rPr>
          <w:t>12/2025</w:t>
        </w:r>
      </w:hyperlink>
      <w:r>
        <w:t>, VP I.</w:t>
      </w:r>
    </w:p>
    <w:p w14:paraId="1F72848C" w14:textId="0753ABC8" w:rsidR="001D7FA9" w:rsidRDefault="001D7FA9" w:rsidP="001D7FA9">
      <w:pPr>
        <w:pStyle w:val="SangriaFrancesaArticulo"/>
      </w:pPr>
    </w:p>
    <w:p w14:paraId="738EF464" w14:textId="77777777" w:rsidR="001D7FA9" w:rsidRDefault="001D7FA9" w:rsidP="001D7FA9">
      <w:pPr>
        <w:pStyle w:val="TextoNormalNegritaCursivandice"/>
        <w:keepNext/>
      </w:pPr>
      <w:r>
        <w:t>Ley 7/2012, de 29 de octubre, de modificación de la normativa tributaria y presupuestaria y de adecuación de la normativa financiera para la intensificación de las actuaciones en la prevención y lucha contra el fraude</w:t>
      </w:r>
    </w:p>
    <w:p w14:paraId="30D26003" w14:textId="0FA4E74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06919267" w14:textId="4FB466C2" w:rsidR="001D7FA9" w:rsidRDefault="001D7FA9" w:rsidP="001D7FA9">
      <w:pPr>
        <w:pStyle w:val="SangriaFrancesaArticulo"/>
      </w:pPr>
      <w:r w:rsidRPr="001D7FA9">
        <w:rPr>
          <w:rStyle w:val="TextoNormalNegritaCaracter"/>
        </w:rPr>
        <w:t>Exposición de motivos, apartado II.</w:t>
      </w:r>
      <w:r w:rsidRPr="001D7FA9">
        <w:rPr>
          <w:rStyle w:val="TextoNormalCaracter"/>
        </w:rPr>
        <w:t>-</w:t>
      </w:r>
      <w:r>
        <w:t xml:space="preserve"> Auto </w:t>
      </w:r>
      <w:hyperlink w:anchor="AUTO_2025_8" w:history="1">
        <w:r w:rsidRPr="001D7FA9">
          <w:rPr>
            <w:rStyle w:val="TextoNormalCaracter"/>
          </w:rPr>
          <w:t>8/2025</w:t>
        </w:r>
      </w:hyperlink>
      <w:r>
        <w:t>, VP.</w:t>
      </w:r>
    </w:p>
    <w:p w14:paraId="66EE2FC6" w14:textId="5AABA97A" w:rsidR="001D7FA9" w:rsidRDefault="001D7FA9" w:rsidP="001D7FA9">
      <w:pPr>
        <w:pStyle w:val="SangriaFrancesaArticulo"/>
      </w:pPr>
    </w:p>
    <w:p w14:paraId="377E4854" w14:textId="77777777" w:rsidR="001D7FA9" w:rsidRDefault="001D7FA9" w:rsidP="001D7FA9">
      <w:pPr>
        <w:pStyle w:val="TextoNormalNegritaCursivandice"/>
        <w:keepNext/>
      </w:pPr>
      <w:r>
        <w:t>Ley 20/2013, de 9 de diciembre, de garantía de la unidad de mercado</w:t>
      </w:r>
    </w:p>
    <w:p w14:paraId="45013622" w14:textId="44B9A70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26" w:history="1">
        <w:r w:rsidRPr="001D7FA9">
          <w:rPr>
            <w:rStyle w:val="TextoNormalCaracter"/>
          </w:rPr>
          <w:t>26/2025</w:t>
        </w:r>
      </w:hyperlink>
      <w:r>
        <w:t xml:space="preserve">, VP I; </w:t>
      </w:r>
      <w:hyperlink w:anchor="SENTENCIA_2025_64" w:history="1">
        <w:r w:rsidRPr="001D7FA9">
          <w:rPr>
            <w:rStyle w:val="TextoNormalCaracter"/>
          </w:rPr>
          <w:t>64/2025</w:t>
        </w:r>
      </w:hyperlink>
      <w:r>
        <w:t>, f. 5.</w:t>
      </w:r>
    </w:p>
    <w:p w14:paraId="57FE94D7" w14:textId="16DCCD67"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64" w:history="1">
        <w:r w:rsidRPr="001D7FA9">
          <w:rPr>
            <w:rStyle w:val="TextoNormalCaracter"/>
          </w:rPr>
          <w:t>64/2025</w:t>
        </w:r>
      </w:hyperlink>
      <w:r>
        <w:t>, f. 5.</w:t>
      </w:r>
    </w:p>
    <w:p w14:paraId="0CE44833" w14:textId="2E93D8FB"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Sentencia </w:t>
      </w:r>
      <w:hyperlink w:anchor="SENTENCIA_2025_64" w:history="1">
        <w:r w:rsidRPr="001D7FA9">
          <w:rPr>
            <w:rStyle w:val="TextoNormalCaracter"/>
          </w:rPr>
          <w:t>64/2025</w:t>
        </w:r>
      </w:hyperlink>
      <w:r>
        <w:t>, f. 5.</w:t>
      </w:r>
    </w:p>
    <w:p w14:paraId="23F3BE21" w14:textId="3DFA9AA4"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 </w:t>
      </w:r>
      <w:hyperlink w:anchor="SENTENCIA_2025_64" w:history="1">
        <w:r w:rsidRPr="001D7FA9">
          <w:rPr>
            <w:rStyle w:val="TextoNormalCaracter"/>
          </w:rPr>
          <w:t>64/2025</w:t>
        </w:r>
      </w:hyperlink>
      <w:r>
        <w:t>, f. 5.</w:t>
      </w:r>
    </w:p>
    <w:p w14:paraId="475DAD72" w14:textId="46560069"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64" w:history="1">
        <w:r w:rsidRPr="001D7FA9">
          <w:rPr>
            <w:rStyle w:val="TextoNormalCaracter"/>
          </w:rPr>
          <w:t>64/2025</w:t>
        </w:r>
      </w:hyperlink>
      <w:r>
        <w:t>, f. 5.</w:t>
      </w:r>
    </w:p>
    <w:p w14:paraId="455982A1" w14:textId="6B931E40" w:rsidR="001D7FA9" w:rsidRDefault="001D7FA9" w:rsidP="001D7FA9">
      <w:pPr>
        <w:pStyle w:val="SangriaFrancesaArticulo"/>
      </w:pPr>
      <w:r w:rsidRPr="001D7FA9">
        <w:rPr>
          <w:rStyle w:val="TextoNormalNegritaCaracter"/>
        </w:rPr>
        <w:t>Artículo 17.</w:t>
      </w:r>
      <w:r w:rsidRPr="001D7FA9">
        <w:rPr>
          <w:rStyle w:val="TextoNormalCaracter"/>
        </w:rPr>
        <w:t>-</w:t>
      </w:r>
      <w:r>
        <w:t xml:space="preserve"> Sentencia </w:t>
      </w:r>
      <w:hyperlink w:anchor="SENTENCIA_2025_64" w:history="1">
        <w:r w:rsidRPr="001D7FA9">
          <w:rPr>
            <w:rStyle w:val="TextoNormalCaracter"/>
          </w:rPr>
          <w:t>64/2025</w:t>
        </w:r>
      </w:hyperlink>
      <w:r>
        <w:t>, ff. 1, 5.</w:t>
      </w:r>
    </w:p>
    <w:p w14:paraId="4E105B03" w14:textId="1FD86D88" w:rsidR="001D7FA9" w:rsidRDefault="001D7FA9" w:rsidP="001D7FA9">
      <w:pPr>
        <w:pStyle w:val="SangriaFrancesaArticulo"/>
      </w:pPr>
      <w:r w:rsidRPr="001D7FA9">
        <w:rPr>
          <w:rStyle w:val="TextoNormalNegritaCaracter"/>
        </w:rPr>
        <w:t>Artículo 17.1.</w:t>
      </w:r>
      <w:r w:rsidRPr="001D7FA9">
        <w:rPr>
          <w:rStyle w:val="TextoNormalCaracter"/>
        </w:rPr>
        <w:t>-</w:t>
      </w:r>
      <w:r>
        <w:t xml:space="preserve"> Sentencia </w:t>
      </w:r>
      <w:hyperlink w:anchor="SENTENCIA_2025_64" w:history="1">
        <w:r w:rsidRPr="001D7FA9">
          <w:rPr>
            <w:rStyle w:val="TextoNormalCaracter"/>
          </w:rPr>
          <w:t>64/2025</w:t>
        </w:r>
      </w:hyperlink>
      <w:r>
        <w:t>, f. 5.</w:t>
      </w:r>
    </w:p>
    <w:p w14:paraId="39AAA013" w14:textId="7AB70807" w:rsidR="001D7FA9" w:rsidRDefault="001D7FA9" w:rsidP="001D7FA9">
      <w:pPr>
        <w:pStyle w:val="SangriaFrancesaArticulo"/>
      </w:pPr>
      <w:r w:rsidRPr="001D7FA9">
        <w:rPr>
          <w:rStyle w:val="TextoNormalNegritaCaracter"/>
        </w:rPr>
        <w:t>Artículo 17.1 b).</w:t>
      </w:r>
      <w:r w:rsidRPr="001D7FA9">
        <w:rPr>
          <w:rStyle w:val="TextoNormalCaracter"/>
        </w:rPr>
        <w:t>-</w:t>
      </w:r>
      <w:r>
        <w:t xml:space="preserve"> Sentencia </w:t>
      </w:r>
      <w:hyperlink w:anchor="SENTENCIA_2025_64" w:history="1">
        <w:r w:rsidRPr="001D7FA9">
          <w:rPr>
            <w:rStyle w:val="TextoNormalCaracter"/>
          </w:rPr>
          <w:t>64/2025</w:t>
        </w:r>
      </w:hyperlink>
      <w:r>
        <w:t>, f. 5.</w:t>
      </w:r>
    </w:p>
    <w:p w14:paraId="7F0F808D" w14:textId="10C39152" w:rsidR="001D7FA9" w:rsidRDefault="001D7FA9" w:rsidP="001D7FA9">
      <w:pPr>
        <w:pStyle w:val="SangriaFrancesaArticulo"/>
      </w:pPr>
    </w:p>
    <w:p w14:paraId="0F9110BC" w14:textId="77777777" w:rsidR="001D7FA9" w:rsidRDefault="001D7FA9" w:rsidP="001D7FA9">
      <w:pPr>
        <w:pStyle w:val="TextoNormalNegritaCursivandice"/>
        <w:keepNext/>
      </w:pPr>
      <w:r>
        <w:t>Ley 3/2015, de 30 de marzo, reguladora del ejercicio del alto cargo de la administración general del Estado</w:t>
      </w:r>
    </w:p>
    <w:p w14:paraId="6E9C726F" w14:textId="7AC9C604" w:rsidR="001D7FA9" w:rsidRDefault="001D7FA9" w:rsidP="001D7FA9">
      <w:pPr>
        <w:pStyle w:val="SangriaFrancesaArticulo"/>
      </w:pPr>
      <w:r w:rsidRPr="001D7FA9">
        <w:rPr>
          <w:rStyle w:val="TextoNormalNegritaCaracter"/>
        </w:rPr>
        <w:t>Artículo 15.3.</w:t>
      </w:r>
      <w:r w:rsidRPr="001D7FA9">
        <w:rPr>
          <w:rStyle w:val="TextoNormalCaracter"/>
        </w:rPr>
        <w:t>-</w:t>
      </w:r>
      <w:r>
        <w:t xml:space="preserve"> Auto </w:t>
      </w:r>
      <w:hyperlink w:anchor="AUTO_2025_6" w:history="1">
        <w:r w:rsidRPr="001D7FA9">
          <w:rPr>
            <w:rStyle w:val="TextoNormalCaracter"/>
          </w:rPr>
          <w:t>6/2025</w:t>
        </w:r>
      </w:hyperlink>
      <w:r>
        <w:t>, VP II.</w:t>
      </w:r>
    </w:p>
    <w:p w14:paraId="4BADBFF0" w14:textId="63A93D2A" w:rsidR="001D7FA9" w:rsidRDefault="001D7FA9" w:rsidP="001D7FA9">
      <w:pPr>
        <w:pStyle w:val="SangriaFrancesaArticulo"/>
      </w:pPr>
    </w:p>
    <w:p w14:paraId="01354EA7" w14:textId="77777777" w:rsidR="001D7FA9" w:rsidRDefault="001D7FA9" w:rsidP="001D7FA9">
      <w:pPr>
        <w:pStyle w:val="TextoNormalNegritaCursivandice"/>
        <w:keepNext/>
      </w:pPr>
      <w:r>
        <w:t>Ley 4/2015, de 27 de abril, del estatuto de la víctima del delito</w:t>
      </w:r>
    </w:p>
    <w:p w14:paraId="2AACD072" w14:textId="5D11F7A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1" w:history="1">
        <w:r w:rsidRPr="001D7FA9">
          <w:rPr>
            <w:rStyle w:val="TextoNormalCaracter"/>
          </w:rPr>
          <w:t>41/2025</w:t>
        </w:r>
      </w:hyperlink>
      <w:r>
        <w:t xml:space="preserve">, VP; </w:t>
      </w:r>
      <w:hyperlink w:anchor="SENTENCIA_2025_126" w:history="1">
        <w:r w:rsidRPr="001D7FA9">
          <w:rPr>
            <w:rStyle w:val="TextoNormalCaracter"/>
          </w:rPr>
          <w:t>126/2025</w:t>
        </w:r>
      </w:hyperlink>
      <w:r>
        <w:t>, ff. 6, 8.</w:t>
      </w:r>
    </w:p>
    <w:p w14:paraId="6ECA1C73" w14:textId="613BC846"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126" w:history="1">
        <w:r w:rsidRPr="001D7FA9">
          <w:rPr>
            <w:rStyle w:val="TextoNormalCaracter"/>
          </w:rPr>
          <w:t>126/2025</w:t>
        </w:r>
      </w:hyperlink>
      <w:r>
        <w:t>, f. 8.</w:t>
      </w:r>
    </w:p>
    <w:p w14:paraId="130F3513" w14:textId="1997A388" w:rsidR="001D7FA9" w:rsidRDefault="001D7FA9" w:rsidP="001D7FA9">
      <w:pPr>
        <w:pStyle w:val="SangriaFrancesaArticulo"/>
      </w:pPr>
      <w:r w:rsidRPr="001D7FA9">
        <w:rPr>
          <w:rStyle w:val="TextoNormalNegritaCaracter"/>
        </w:rPr>
        <w:t>Artículo 2 b).</w:t>
      </w:r>
      <w:r w:rsidRPr="001D7FA9">
        <w:rPr>
          <w:rStyle w:val="TextoNormalCaracter"/>
        </w:rPr>
        <w:t>-</w:t>
      </w:r>
      <w:r>
        <w:t xml:space="preserve"> Sentencia </w:t>
      </w:r>
      <w:hyperlink w:anchor="SENTENCIA_2025_126" w:history="1">
        <w:r w:rsidRPr="001D7FA9">
          <w:rPr>
            <w:rStyle w:val="TextoNormalCaracter"/>
          </w:rPr>
          <w:t>126/2025</w:t>
        </w:r>
      </w:hyperlink>
      <w:r>
        <w:t>, f. 8.</w:t>
      </w:r>
    </w:p>
    <w:p w14:paraId="5D5D0F2E" w14:textId="429C96B8"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 </w:t>
      </w:r>
      <w:hyperlink w:anchor="SENTENCIA_2025_126" w:history="1">
        <w:r w:rsidRPr="001D7FA9">
          <w:rPr>
            <w:rStyle w:val="TextoNormalCaracter"/>
          </w:rPr>
          <w:t>126/2025</w:t>
        </w:r>
      </w:hyperlink>
      <w:r>
        <w:t>, f. 6.</w:t>
      </w:r>
    </w:p>
    <w:p w14:paraId="39A64EB2" w14:textId="027C4EF3"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41" w:history="1">
        <w:r w:rsidRPr="001D7FA9">
          <w:rPr>
            <w:rStyle w:val="TextoNormalCaracter"/>
          </w:rPr>
          <w:t>41/2025</w:t>
        </w:r>
      </w:hyperlink>
      <w:r>
        <w:t>, VP.</w:t>
      </w:r>
    </w:p>
    <w:p w14:paraId="12CA96E9" w14:textId="11455CD7"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126" w:history="1">
        <w:r w:rsidRPr="001D7FA9">
          <w:rPr>
            <w:rStyle w:val="TextoNormalCaracter"/>
          </w:rPr>
          <w:t>126/2025</w:t>
        </w:r>
      </w:hyperlink>
      <w:r>
        <w:t>, f. 8.</w:t>
      </w:r>
    </w:p>
    <w:p w14:paraId="2E68085A" w14:textId="6815437A" w:rsidR="001D7FA9" w:rsidRDefault="001D7FA9" w:rsidP="001D7FA9">
      <w:pPr>
        <w:pStyle w:val="SangriaFrancesaArticulo"/>
      </w:pPr>
    </w:p>
    <w:p w14:paraId="7EF50488" w14:textId="77777777" w:rsidR="001D7FA9" w:rsidRDefault="001D7FA9" w:rsidP="001D7FA9">
      <w:pPr>
        <w:pStyle w:val="TextoNormalNegritaCursivandice"/>
        <w:keepNext/>
      </w:pPr>
      <w:r>
        <w:t>Ley 30/2015, de 9 de septiembre, por la que se regula el sistema de formación profesional para el empleo en el ámbito laboral</w:t>
      </w:r>
    </w:p>
    <w:p w14:paraId="4542FC7F" w14:textId="70ACEA7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 3.</w:t>
      </w:r>
    </w:p>
    <w:p w14:paraId="7B06DBEF" w14:textId="51304E91" w:rsidR="001D7FA9" w:rsidRDefault="001D7FA9" w:rsidP="001D7FA9">
      <w:pPr>
        <w:pStyle w:val="SangriaFrancesaArticulo"/>
      </w:pPr>
    </w:p>
    <w:p w14:paraId="37D8E98D" w14:textId="77777777" w:rsidR="001D7FA9" w:rsidRDefault="001D7FA9" w:rsidP="001D7FA9">
      <w:pPr>
        <w:pStyle w:val="TextoNormalNegritaCursivandice"/>
        <w:keepNext/>
      </w:pPr>
      <w:r>
        <w:t>Ley 39/2015, de 1 de octubre, del procedimiento administrativo común de las administraciones públicas</w:t>
      </w:r>
    </w:p>
    <w:p w14:paraId="78520A16" w14:textId="6CF2835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4" w:history="1">
        <w:r w:rsidRPr="001D7FA9">
          <w:rPr>
            <w:rStyle w:val="TextoNormalCaracter"/>
          </w:rPr>
          <w:t>44/2025</w:t>
        </w:r>
      </w:hyperlink>
      <w:r>
        <w:t xml:space="preserve">, f. 3; </w:t>
      </w:r>
      <w:hyperlink w:anchor="SENTENCIA_2025_96" w:history="1">
        <w:r w:rsidRPr="001D7FA9">
          <w:rPr>
            <w:rStyle w:val="TextoNormalCaracter"/>
          </w:rPr>
          <w:t>96/2025</w:t>
        </w:r>
      </w:hyperlink>
      <w:r>
        <w:t>, f. 4.</w:t>
      </w:r>
    </w:p>
    <w:p w14:paraId="6A7D062D" w14:textId="0F4F8AFC"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96" w:history="1">
        <w:r w:rsidRPr="001D7FA9">
          <w:rPr>
            <w:rStyle w:val="TextoNormalCaracter"/>
          </w:rPr>
          <w:t>96/2025</w:t>
        </w:r>
      </w:hyperlink>
      <w:r>
        <w:t>, f. 4.</w:t>
      </w:r>
    </w:p>
    <w:p w14:paraId="75923199" w14:textId="5F04337A" w:rsidR="001D7FA9" w:rsidRDefault="001D7FA9" w:rsidP="001D7FA9">
      <w:pPr>
        <w:pStyle w:val="SangriaFrancesaArticulo"/>
      </w:pPr>
      <w:r w:rsidRPr="001D7FA9">
        <w:rPr>
          <w:rStyle w:val="TextoNormalNegritaCaracter"/>
        </w:rPr>
        <w:t>Artículo 4.1.</w:t>
      </w:r>
      <w:r w:rsidRPr="001D7FA9">
        <w:rPr>
          <w:rStyle w:val="TextoNormalCaracter"/>
        </w:rPr>
        <w:t>-</w:t>
      </w:r>
      <w:r>
        <w:t xml:space="preserve"> Sentencia </w:t>
      </w:r>
      <w:hyperlink w:anchor="SENTENCIA_2025_96" w:history="1">
        <w:r w:rsidRPr="001D7FA9">
          <w:rPr>
            <w:rStyle w:val="TextoNormalCaracter"/>
          </w:rPr>
          <w:t>96/2025</w:t>
        </w:r>
      </w:hyperlink>
      <w:r>
        <w:t>, VP.</w:t>
      </w:r>
    </w:p>
    <w:p w14:paraId="3CCB7E03" w14:textId="128CD6B0"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 </w:t>
      </w:r>
      <w:hyperlink w:anchor="SENTENCIA_2025_96" w:history="1">
        <w:r w:rsidRPr="001D7FA9">
          <w:rPr>
            <w:rStyle w:val="TextoNormalCaracter"/>
          </w:rPr>
          <w:t>96/2025</w:t>
        </w:r>
      </w:hyperlink>
      <w:r>
        <w:t>, f. 4, VP.</w:t>
      </w:r>
    </w:p>
    <w:p w14:paraId="272055E7" w14:textId="3734B5CF" w:rsidR="001D7FA9" w:rsidRDefault="001D7FA9" w:rsidP="001D7FA9">
      <w:pPr>
        <w:pStyle w:val="SangriaFrancesaArticulo"/>
      </w:pPr>
      <w:r w:rsidRPr="001D7FA9">
        <w:rPr>
          <w:rStyle w:val="TextoNormalNegritaCaracter"/>
        </w:rPr>
        <w:t>Artículo 33.</w:t>
      </w:r>
      <w:r w:rsidRPr="001D7FA9">
        <w:rPr>
          <w:rStyle w:val="TextoNormalCaracter"/>
        </w:rPr>
        <w:t>-</w:t>
      </w:r>
      <w:r>
        <w:t xml:space="preserve"> Sentencia </w:t>
      </w:r>
      <w:hyperlink w:anchor="SENTENCIA_2025_44" w:history="1">
        <w:r w:rsidRPr="001D7FA9">
          <w:rPr>
            <w:rStyle w:val="TextoNormalCaracter"/>
          </w:rPr>
          <w:t>44/2025</w:t>
        </w:r>
      </w:hyperlink>
      <w:r>
        <w:t>, ff. 1 a 3.</w:t>
      </w:r>
    </w:p>
    <w:p w14:paraId="6133C51F" w14:textId="756932EC" w:rsidR="001D7FA9" w:rsidRDefault="001D7FA9" w:rsidP="001D7FA9">
      <w:pPr>
        <w:pStyle w:val="SangriaFrancesaArticulo"/>
      </w:pPr>
      <w:r w:rsidRPr="001D7FA9">
        <w:rPr>
          <w:rStyle w:val="TextoNormalNegritaCaracter"/>
        </w:rPr>
        <w:t>Artículo 48.</w:t>
      </w:r>
      <w:r w:rsidRPr="001D7FA9">
        <w:rPr>
          <w:rStyle w:val="TextoNormalCaracter"/>
        </w:rPr>
        <w:t>-</w:t>
      </w:r>
      <w:r>
        <w:t xml:space="preserve"> Auto </w:t>
      </w:r>
      <w:hyperlink w:anchor="AUTO_2025_11" w:history="1">
        <w:r w:rsidRPr="001D7FA9">
          <w:rPr>
            <w:rStyle w:val="TextoNormalCaracter"/>
          </w:rPr>
          <w:t>11/2025</w:t>
        </w:r>
      </w:hyperlink>
      <w:r>
        <w:t>, VP.</w:t>
      </w:r>
    </w:p>
    <w:p w14:paraId="3DCE78B6" w14:textId="4DD8D946"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Auto </w:t>
      </w:r>
      <w:hyperlink w:anchor="AUTO_2025_34" w:history="1">
        <w:r w:rsidRPr="001D7FA9">
          <w:rPr>
            <w:rStyle w:val="TextoNormalCaracter"/>
          </w:rPr>
          <w:t>34/2025</w:t>
        </w:r>
      </w:hyperlink>
      <w:r>
        <w:t>, VP.</w:t>
      </w:r>
    </w:p>
    <w:p w14:paraId="1FBDFF5D" w14:textId="68B7B23B" w:rsidR="001D7FA9" w:rsidRDefault="001D7FA9" w:rsidP="001D7FA9">
      <w:pPr>
        <w:pStyle w:val="SangriaFrancesaArticulo"/>
      </w:pPr>
      <w:r w:rsidRPr="001D7FA9">
        <w:rPr>
          <w:rStyle w:val="TextoNormalNegritaCaracter"/>
        </w:rPr>
        <w:t>Artículo 71.</w:t>
      </w:r>
      <w:r w:rsidRPr="001D7FA9">
        <w:rPr>
          <w:rStyle w:val="TextoNormalCaracter"/>
        </w:rPr>
        <w:t>-</w:t>
      </w:r>
      <w:r>
        <w:t xml:space="preserve"> Sentencia </w:t>
      </w:r>
      <w:hyperlink w:anchor="SENTENCIA_2025_44" w:history="1">
        <w:r w:rsidRPr="001D7FA9">
          <w:rPr>
            <w:rStyle w:val="TextoNormalCaracter"/>
          </w:rPr>
          <w:t>44/2025</w:t>
        </w:r>
      </w:hyperlink>
      <w:r>
        <w:t>, ff. 2, 3.</w:t>
      </w:r>
    </w:p>
    <w:p w14:paraId="74011BC8" w14:textId="405D5EC3" w:rsidR="001D7FA9" w:rsidRDefault="001D7FA9" w:rsidP="001D7FA9">
      <w:pPr>
        <w:pStyle w:val="SangriaFrancesaArticulo"/>
      </w:pPr>
      <w:r w:rsidRPr="001D7FA9">
        <w:rPr>
          <w:rStyle w:val="TextoNormalNegritaCaracter"/>
        </w:rPr>
        <w:t>Artículo 99.</w:t>
      </w:r>
      <w:r w:rsidRPr="001D7FA9">
        <w:rPr>
          <w:rStyle w:val="TextoNormalCaracter"/>
        </w:rPr>
        <w:t>-</w:t>
      </w:r>
      <w:r>
        <w:t xml:space="preserve"> Sentencia </w:t>
      </w:r>
      <w:hyperlink w:anchor="SENTENCIA_2025_25" w:history="1">
        <w:r w:rsidRPr="001D7FA9">
          <w:rPr>
            <w:rStyle w:val="TextoNormalCaracter"/>
          </w:rPr>
          <w:t>25/2025</w:t>
        </w:r>
      </w:hyperlink>
      <w:r>
        <w:t>, f. 5.</w:t>
      </w:r>
    </w:p>
    <w:p w14:paraId="63365B38" w14:textId="504B9B24" w:rsidR="001D7FA9" w:rsidRDefault="001D7FA9" w:rsidP="001D7FA9">
      <w:pPr>
        <w:pStyle w:val="SangriaFrancesaArticulo"/>
      </w:pPr>
      <w:r w:rsidRPr="001D7FA9">
        <w:rPr>
          <w:rStyle w:val="TextoNormalNegritaCaracter"/>
        </w:rPr>
        <w:t>Artículo 100.</w:t>
      </w:r>
      <w:r w:rsidRPr="001D7FA9">
        <w:rPr>
          <w:rStyle w:val="TextoNormalCaracter"/>
        </w:rPr>
        <w:t>-</w:t>
      </w:r>
      <w:r>
        <w:t xml:space="preserve"> Sentencia </w:t>
      </w:r>
      <w:hyperlink w:anchor="SENTENCIA_2025_25" w:history="1">
        <w:r w:rsidRPr="001D7FA9">
          <w:rPr>
            <w:rStyle w:val="TextoNormalCaracter"/>
          </w:rPr>
          <w:t>25/2025</w:t>
        </w:r>
      </w:hyperlink>
      <w:r>
        <w:t>, f. 5.</w:t>
      </w:r>
    </w:p>
    <w:p w14:paraId="52EDB90B" w14:textId="5E59F820" w:rsidR="001D7FA9" w:rsidRDefault="001D7FA9" w:rsidP="001D7FA9">
      <w:pPr>
        <w:pStyle w:val="SangriaFrancesaArticulo"/>
      </w:pPr>
      <w:r w:rsidRPr="001D7FA9">
        <w:rPr>
          <w:rStyle w:val="TextoNormalNegritaCaracter"/>
        </w:rPr>
        <w:t>Artículo 100.2.</w:t>
      </w:r>
      <w:r w:rsidRPr="001D7FA9">
        <w:rPr>
          <w:rStyle w:val="TextoNormalCaracter"/>
        </w:rPr>
        <w:t>-</w:t>
      </w:r>
      <w:r>
        <w:t xml:space="preserve"> Sentencia </w:t>
      </w:r>
      <w:hyperlink w:anchor="SENTENCIA_2025_25" w:history="1">
        <w:r w:rsidRPr="001D7FA9">
          <w:rPr>
            <w:rStyle w:val="TextoNormalCaracter"/>
          </w:rPr>
          <w:t>25/2025</w:t>
        </w:r>
      </w:hyperlink>
      <w:r>
        <w:t>, f. 5, VP I.</w:t>
      </w:r>
    </w:p>
    <w:p w14:paraId="1ABD4347" w14:textId="13D75795" w:rsidR="001D7FA9" w:rsidRDefault="001D7FA9" w:rsidP="001D7FA9">
      <w:pPr>
        <w:pStyle w:val="SangriaFrancesaArticulo"/>
      </w:pPr>
      <w:r w:rsidRPr="001D7FA9">
        <w:rPr>
          <w:rStyle w:val="TextoNormalNegritaCaracter"/>
        </w:rPr>
        <w:t>Artículo 103.</w:t>
      </w:r>
      <w:r w:rsidRPr="001D7FA9">
        <w:rPr>
          <w:rStyle w:val="TextoNormalCaracter"/>
        </w:rPr>
        <w:t>-</w:t>
      </w:r>
      <w:r>
        <w:t xml:space="preserve"> Sentencia </w:t>
      </w:r>
      <w:hyperlink w:anchor="SENTENCIA_2025_25" w:history="1">
        <w:r w:rsidRPr="001D7FA9">
          <w:rPr>
            <w:rStyle w:val="TextoNormalCaracter"/>
          </w:rPr>
          <w:t>25/2025</w:t>
        </w:r>
      </w:hyperlink>
      <w:r>
        <w:t>, f. 5.</w:t>
      </w:r>
    </w:p>
    <w:p w14:paraId="3826CCC2" w14:textId="31AE5BD3" w:rsidR="001D7FA9" w:rsidRDefault="001D7FA9" w:rsidP="001D7FA9">
      <w:pPr>
        <w:pStyle w:val="SangriaFrancesaArticulo"/>
      </w:pPr>
      <w:r w:rsidRPr="001D7FA9">
        <w:rPr>
          <w:rStyle w:val="TextoNormalNegritaCaracter"/>
        </w:rPr>
        <w:t>Disposición final primera.</w:t>
      </w:r>
      <w:r w:rsidRPr="001D7FA9">
        <w:rPr>
          <w:rStyle w:val="TextoNormalCaracter"/>
        </w:rPr>
        <w:t>-</w:t>
      </w:r>
      <w:r>
        <w:t xml:space="preserve"> Sentencia </w:t>
      </w:r>
      <w:hyperlink w:anchor="SENTENCIA_2025_96" w:history="1">
        <w:r w:rsidRPr="001D7FA9">
          <w:rPr>
            <w:rStyle w:val="TextoNormalCaracter"/>
          </w:rPr>
          <w:t>96/2025</w:t>
        </w:r>
      </w:hyperlink>
      <w:r>
        <w:t>, f. 4.</w:t>
      </w:r>
    </w:p>
    <w:p w14:paraId="211C32A8" w14:textId="51D01E4A" w:rsidR="001D7FA9" w:rsidRDefault="001D7FA9" w:rsidP="001D7FA9">
      <w:pPr>
        <w:pStyle w:val="SangriaFrancesaArticulo"/>
      </w:pPr>
    </w:p>
    <w:p w14:paraId="4C46871A" w14:textId="77777777" w:rsidR="001D7FA9" w:rsidRDefault="001D7FA9" w:rsidP="001D7FA9">
      <w:pPr>
        <w:pStyle w:val="TextoNormalNegritaCursivandice"/>
        <w:keepNext/>
      </w:pPr>
      <w:r>
        <w:t>Ley 40/2015, de 1 de octubre, de régimen jurídico del sector público</w:t>
      </w:r>
    </w:p>
    <w:p w14:paraId="3776A12F" w14:textId="02985E2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6" w:history="1">
        <w:r w:rsidRPr="001D7FA9">
          <w:rPr>
            <w:rStyle w:val="TextoNormalCaracter"/>
          </w:rPr>
          <w:t>96/2025</w:t>
        </w:r>
      </w:hyperlink>
      <w:r>
        <w:t>, f. 4.</w:t>
      </w:r>
    </w:p>
    <w:p w14:paraId="0606BB3E" w14:textId="4F546C82" w:rsidR="001D7FA9" w:rsidRDefault="001D7FA9" w:rsidP="001D7FA9">
      <w:pPr>
        <w:pStyle w:val="SangriaFrancesaArticulo"/>
      </w:pPr>
      <w:r w:rsidRPr="001D7FA9">
        <w:rPr>
          <w:rStyle w:val="TextoNormalNegritaCaracter"/>
        </w:rPr>
        <w:t>Artículo 140.</w:t>
      </w:r>
      <w:r w:rsidRPr="001D7FA9">
        <w:rPr>
          <w:rStyle w:val="TextoNormalCaracter"/>
        </w:rPr>
        <w:t>-</w:t>
      </w:r>
      <w:r>
        <w:t xml:space="preserve"> Sentencia </w:t>
      </w:r>
      <w:hyperlink w:anchor="SENTENCIA_2025_43" w:history="1">
        <w:r w:rsidRPr="001D7FA9">
          <w:rPr>
            <w:rStyle w:val="TextoNormalCaracter"/>
          </w:rPr>
          <w:t>43/2025</w:t>
        </w:r>
      </w:hyperlink>
      <w:r>
        <w:t>, f. 3.</w:t>
      </w:r>
    </w:p>
    <w:p w14:paraId="6592999E" w14:textId="441C200F" w:rsidR="001D7FA9" w:rsidRDefault="001D7FA9" w:rsidP="001D7FA9">
      <w:pPr>
        <w:pStyle w:val="SangriaFrancesaArticulo"/>
      </w:pPr>
    </w:p>
    <w:p w14:paraId="235419CD" w14:textId="77777777" w:rsidR="001D7FA9" w:rsidRDefault="001D7FA9" w:rsidP="001D7FA9">
      <w:pPr>
        <w:pStyle w:val="TextoNormalNegritaCursivandice"/>
        <w:keepNext/>
      </w:pPr>
      <w:r>
        <w:t>Ley 41/2015, de 5 de octubre, de modificación de la Ley de enjuiciamiento criminal para la agilización de la justicia penal y el fortalecimiento de las garantías procesales</w:t>
      </w:r>
    </w:p>
    <w:p w14:paraId="7FE1C0DC" w14:textId="7B0122E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85" w:history="1">
        <w:r w:rsidRPr="001D7FA9">
          <w:rPr>
            <w:rStyle w:val="TextoNormalCaracter"/>
          </w:rPr>
          <w:t>85/2025</w:t>
        </w:r>
      </w:hyperlink>
      <w:r>
        <w:t xml:space="preserve">, f. 2; </w:t>
      </w:r>
      <w:hyperlink w:anchor="SENTENCIA_2025_105" w:history="1">
        <w:r w:rsidRPr="001D7FA9">
          <w:rPr>
            <w:rStyle w:val="TextoNormalCaracter"/>
          </w:rPr>
          <w:t>105/2025</w:t>
        </w:r>
      </w:hyperlink>
      <w:r>
        <w:t xml:space="preserve">, f. 3; </w:t>
      </w:r>
      <w:hyperlink w:anchor="SENTENCIA_2025_110" w:history="1">
        <w:r w:rsidRPr="001D7FA9">
          <w:rPr>
            <w:rStyle w:val="TextoNormalCaracter"/>
          </w:rPr>
          <w:t>110/2025</w:t>
        </w:r>
      </w:hyperlink>
      <w:r>
        <w:t>, f. 2.</w:t>
      </w:r>
    </w:p>
    <w:p w14:paraId="66CE7684" w14:textId="19A59214" w:rsidR="001D7FA9" w:rsidRDefault="001D7FA9" w:rsidP="001D7FA9">
      <w:pPr>
        <w:pStyle w:val="SangriaFrancesaArticulo"/>
      </w:pPr>
    </w:p>
    <w:p w14:paraId="049F4E20" w14:textId="77777777" w:rsidR="001D7FA9" w:rsidRDefault="001D7FA9" w:rsidP="001D7FA9">
      <w:pPr>
        <w:pStyle w:val="TextoNormalNegritaCursivandice"/>
        <w:keepNext/>
      </w:pPr>
      <w:r>
        <w:t>Ley 3/2017, de 27 de junio. Presupuestos Generales del Estado para el año 2017</w:t>
      </w:r>
    </w:p>
    <w:p w14:paraId="36BFC5F5" w14:textId="79A948E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7" w:history="1">
        <w:r w:rsidRPr="001D7FA9">
          <w:rPr>
            <w:rStyle w:val="TextoNormalCaracter"/>
          </w:rPr>
          <w:t>27/2025</w:t>
        </w:r>
      </w:hyperlink>
      <w:r>
        <w:t>, f. 2.</w:t>
      </w:r>
    </w:p>
    <w:p w14:paraId="79E18D40" w14:textId="5CF4CF41" w:rsidR="001D7FA9" w:rsidRDefault="001D7FA9" w:rsidP="001D7FA9">
      <w:pPr>
        <w:pStyle w:val="SangriaFrancesaArticulo"/>
      </w:pPr>
    </w:p>
    <w:p w14:paraId="126374BA" w14:textId="77777777" w:rsidR="001D7FA9" w:rsidRDefault="001D7FA9" w:rsidP="001D7FA9">
      <w:pPr>
        <w:pStyle w:val="TextoNormalNegritaCursivandice"/>
        <w:keepNext/>
      </w:pPr>
      <w:r>
        <w:t>Ley 9/2017, de 8 de noviembre, de contratos del sector público, por la que se transponen al ordenamiento jurídico español las Directivas del Parlamento Europeo y del Consejo 2014/23/UE y 2014/24/UE, de 26 de febrero de 2014</w:t>
      </w:r>
    </w:p>
    <w:p w14:paraId="148D2A02" w14:textId="44BAEB6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4" w:history="1">
        <w:r w:rsidRPr="001D7FA9">
          <w:rPr>
            <w:rStyle w:val="TextoNormalCaracter"/>
          </w:rPr>
          <w:t>44/2025</w:t>
        </w:r>
      </w:hyperlink>
      <w:r>
        <w:t>, f. 3.</w:t>
      </w:r>
    </w:p>
    <w:p w14:paraId="552B6EA9" w14:textId="60C0E034" w:rsidR="001D7FA9" w:rsidRDefault="001D7FA9" w:rsidP="001D7FA9">
      <w:pPr>
        <w:pStyle w:val="SangriaFrancesaArticulo"/>
      </w:pPr>
      <w:r w:rsidRPr="001D7FA9">
        <w:rPr>
          <w:rStyle w:val="TextoNormalNegritaCaracter"/>
        </w:rPr>
        <w:t>Artículo 119.</w:t>
      </w:r>
      <w:r w:rsidRPr="001D7FA9">
        <w:rPr>
          <w:rStyle w:val="TextoNormalCaracter"/>
        </w:rPr>
        <w:t>-</w:t>
      </w:r>
      <w:r>
        <w:t xml:space="preserve"> Sentencia </w:t>
      </w:r>
      <w:hyperlink w:anchor="SENTENCIA_2025_44" w:history="1">
        <w:r w:rsidRPr="001D7FA9">
          <w:rPr>
            <w:rStyle w:val="TextoNormalCaracter"/>
          </w:rPr>
          <w:t>44/2025</w:t>
        </w:r>
      </w:hyperlink>
      <w:r>
        <w:t>, ff. 1 a 4.</w:t>
      </w:r>
    </w:p>
    <w:p w14:paraId="1202123F" w14:textId="7482B374" w:rsidR="001D7FA9" w:rsidRDefault="001D7FA9" w:rsidP="001D7FA9">
      <w:pPr>
        <w:pStyle w:val="SangriaFrancesaArticulo"/>
      </w:pPr>
    </w:p>
    <w:p w14:paraId="1AF5DB7B" w14:textId="77777777" w:rsidR="001D7FA9" w:rsidRDefault="001D7FA9" w:rsidP="001D7FA9">
      <w:pPr>
        <w:pStyle w:val="TextoNormalNegritaCursivandice"/>
        <w:keepNext/>
      </w:pPr>
      <w:r>
        <w:t>Ley 6/2018, de 3 de julio, de presupuestos generales del Estado para el año 2018</w:t>
      </w:r>
    </w:p>
    <w:p w14:paraId="45BCC0AD" w14:textId="52DD602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7" w:history="1">
        <w:r w:rsidRPr="001D7FA9">
          <w:rPr>
            <w:rStyle w:val="TextoNormalCaracter"/>
          </w:rPr>
          <w:t>27/2025</w:t>
        </w:r>
      </w:hyperlink>
      <w:r>
        <w:t>, f. 2.</w:t>
      </w:r>
    </w:p>
    <w:p w14:paraId="27A7A940" w14:textId="6614C454" w:rsidR="001D7FA9" w:rsidRDefault="001D7FA9" w:rsidP="001D7FA9">
      <w:pPr>
        <w:pStyle w:val="SangriaFrancesaArticulo"/>
      </w:pPr>
    </w:p>
    <w:p w14:paraId="436B64CB" w14:textId="77777777" w:rsidR="001D7FA9" w:rsidRDefault="001D7FA9" w:rsidP="001D7FA9">
      <w:pPr>
        <w:pStyle w:val="TextoNormalNegritaCursivandice"/>
        <w:keepNext/>
      </w:pPr>
      <w:r>
        <w:t>Ley 3/2020, de 18 de septiembre, de medidas procesales y organizativas para hacer frente al COVID-19 en el ámbito de la administración de justicia</w:t>
      </w:r>
    </w:p>
    <w:p w14:paraId="756BF6CF" w14:textId="7018F9D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75382CA" w14:textId="19CD5614" w:rsidR="001D7FA9" w:rsidRDefault="001D7FA9" w:rsidP="001D7FA9">
      <w:pPr>
        <w:pStyle w:val="SangriaFrancesaArticulo"/>
      </w:pPr>
    </w:p>
    <w:p w14:paraId="07E59AD7" w14:textId="77777777" w:rsidR="001D7FA9" w:rsidRDefault="001D7FA9" w:rsidP="001D7FA9">
      <w:pPr>
        <w:pStyle w:val="TextoNormalNegritaCursivandice"/>
        <w:keepNext/>
      </w:pPr>
      <w:r>
        <w:t>Ley 8/2021, de 2 de junio, por la que se reforma la legislación civil y procesal para el apoyo a las personas con discapacidad en el ejercicio de su capacidad jurídica</w:t>
      </w:r>
    </w:p>
    <w:p w14:paraId="4B32452D" w14:textId="207E3F8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f. 2, VP.</w:t>
      </w:r>
    </w:p>
    <w:p w14:paraId="4228F079" w14:textId="379E33B4" w:rsidR="001D7FA9" w:rsidRDefault="001D7FA9" w:rsidP="001D7FA9">
      <w:pPr>
        <w:pStyle w:val="SangriaFrancesaArticulo"/>
      </w:pPr>
    </w:p>
    <w:p w14:paraId="0D01B18E" w14:textId="77777777" w:rsidR="001D7FA9" w:rsidRDefault="001D7FA9" w:rsidP="001D7FA9">
      <w:pPr>
        <w:pStyle w:val="TextoNormalNegritaCursivandice"/>
        <w:keepNext/>
      </w:pPr>
      <w:r>
        <w:t>Ley 20/2021, de 28 de diciembre, de medidas urgentes para la reducción de la temporalidad en el empleo público</w:t>
      </w:r>
    </w:p>
    <w:p w14:paraId="4EBEB0DA" w14:textId="7910A9A0" w:rsidR="001D7FA9" w:rsidRDefault="001D7FA9" w:rsidP="001D7FA9">
      <w:pPr>
        <w:pStyle w:val="SangriaFrancesaArticulo"/>
      </w:pPr>
      <w:r w:rsidRPr="001D7FA9">
        <w:rPr>
          <w:rStyle w:val="TextoNormalNegritaCaracter"/>
        </w:rPr>
        <w:t>Disposción adicional octava.</w:t>
      </w:r>
      <w:r w:rsidRPr="001D7FA9">
        <w:rPr>
          <w:rStyle w:val="TextoNormalCaracter"/>
        </w:rPr>
        <w:t>-</w:t>
      </w:r>
      <w:r>
        <w:t xml:space="preserve"> Sentencia </w:t>
      </w:r>
      <w:hyperlink w:anchor="SENTENCIA_2025_27" w:history="1">
        <w:r w:rsidRPr="001D7FA9">
          <w:rPr>
            <w:rStyle w:val="TextoNormalCaracter"/>
          </w:rPr>
          <w:t>27/2025</w:t>
        </w:r>
      </w:hyperlink>
      <w:r>
        <w:t>, ff. 1, 2.</w:t>
      </w:r>
    </w:p>
    <w:p w14:paraId="7B579049" w14:textId="0A9513B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7" w:history="1">
        <w:r w:rsidRPr="001D7FA9">
          <w:rPr>
            <w:rStyle w:val="TextoNormalCaracter"/>
          </w:rPr>
          <w:t>27/2025</w:t>
        </w:r>
      </w:hyperlink>
      <w:r>
        <w:t>, f. 2.</w:t>
      </w:r>
    </w:p>
    <w:p w14:paraId="7F7A29FD" w14:textId="02D1B9D9"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Sentencia </w:t>
      </w:r>
      <w:hyperlink w:anchor="SENTENCIA_2025_27" w:history="1">
        <w:r w:rsidRPr="001D7FA9">
          <w:rPr>
            <w:rStyle w:val="TextoNormalCaracter"/>
          </w:rPr>
          <w:t>27/2025</w:t>
        </w:r>
      </w:hyperlink>
      <w:r>
        <w:t>, ff. 1, 2.</w:t>
      </w:r>
    </w:p>
    <w:p w14:paraId="13E714F8" w14:textId="74978B76" w:rsidR="001D7FA9" w:rsidRDefault="001D7FA9" w:rsidP="001D7FA9">
      <w:pPr>
        <w:pStyle w:val="SangriaFrancesaArticulo"/>
      </w:pPr>
      <w:r w:rsidRPr="001D7FA9">
        <w:rPr>
          <w:rStyle w:val="TextoNormalNegritaCaracter"/>
        </w:rPr>
        <w:t>Disposición adicional sexta.</w:t>
      </w:r>
      <w:r w:rsidRPr="001D7FA9">
        <w:rPr>
          <w:rStyle w:val="TextoNormalCaracter"/>
        </w:rPr>
        <w:t>-</w:t>
      </w:r>
      <w:r>
        <w:t xml:space="preserve"> Sentencia </w:t>
      </w:r>
      <w:hyperlink w:anchor="SENTENCIA_2025_27" w:history="1">
        <w:r w:rsidRPr="001D7FA9">
          <w:rPr>
            <w:rStyle w:val="TextoNormalCaracter"/>
          </w:rPr>
          <w:t>27/2025</w:t>
        </w:r>
      </w:hyperlink>
      <w:r>
        <w:t>, ff. 1, 2.</w:t>
      </w:r>
    </w:p>
    <w:p w14:paraId="463768CD" w14:textId="56BC6121" w:rsidR="001D7FA9" w:rsidRDefault="001D7FA9" w:rsidP="001D7FA9">
      <w:pPr>
        <w:pStyle w:val="SangriaFrancesaArticulo"/>
      </w:pPr>
    </w:p>
    <w:p w14:paraId="7B1C4D15" w14:textId="77777777" w:rsidR="001D7FA9" w:rsidRDefault="001D7FA9" w:rsidP="001D7FA9">
      <w:pPr>
        <w:pStyle w:val="TextoNormalNegritaCursivandice"/>
        <w:keepNext/>
      </w:pPr>
      <w:r>
        <w:t>Ley 15/2022, de 12 de julio, integral para la igualdad de trato y la no discriminación</w:t>
      </w:r>
    </w:p>
    <w:p w14:paraId="430C49B7" w14:textId="7EE3CF2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6" w:history="1">
        <w:r w:rsidRPr="001D7FA9">
          <w:rPr>
            <w:rStyle w:val="TextoNormalCaracter"/>
          </w:rPr>
          <w:t>96/2025</w:t>
        </w:r>
      </w:hyperlink>
      <w:r>
        <w:t>, f. 4.</w:t>
      </w:r>
    </w:p>
    <w:p w14:paraId="6AA972EB" w14:textId="3DB7EA61" w:rsidR="001D7FA9" w:rsidRDefault="001D7FA9" w:rsidP="001D7FA9">
      <w:pPr>
        <w:pStyle w:val="SangriaFrancesaArticulo"/>
      </w:pPr>
      <w:r w:rsidRPr="001D7FA9">
        <w:rPr>
          <w:rStyle w:val="TextoNormalNegritaCaracter"/>
        </w:rPr>
        <w:t>Título II, capítulo I.</w:t>
      </w:r>
      <w:r w:rsidRPr="001D7FA9">
        <w:rPr>
          <w:rStyle w:val="TextoNormalCaracter"/>
        </w:rPr>
        <w:t>-</w:t>
      </w:r>
      <w:r>
        <w:t xml:space="preserve"> Sentencia </w:t>
      </w:r>
      <w:hyperlink w:anchor="SENTENCIA_2025_96" w:history="1">
        <w:r w:rsidRPr="001D7FA9">
          <w:rPr>
            <w:rStyle w:val="TextoNormalCaracter"/>
          </w:rPr>
          <w:t>96/2025</w:t>
        </w:r>
      </w:hyperlink>
      <w:r>
        <w:t>, f. 4.</w:t>
      </w:r>
    </w:p>
    <w:p w14:paraId="6DF344BB" w14:textId="098DECC7" w:rsidR="001D7FA9" w:rsidRDefault="001D7FA9" w:rsidP="001D7FA9">
      <w:pPr>
        <w:pStyle w:val="SangriaFrancesaArticulo"/>
      </w:pPr>
      <w:r w:rsidRPr="001D7FA9">
        <w:rPr>
          <w:rStyle w:val="TextoNormalNegritaCaracter"/>
        </w:rPr>
        <w:t>Artículo 30.3.</w:t>
      </w:r>
      <w:r w:rsidRPr="001D7FA9">
        <w:rPr>
          <w:rStyle w:val="TextoNormalCaracter"/>
        </w:rPr>
        <w:t>-</w:t>
      </w:r>
      <w:r>
        <w:t xml:space="preserve"> Sentencia </w:t>
      </w:r>
      <w:hyperlink w:anchor="SENTENCIA_2025_96" w:history="1">
        <w:r w:rsidRPr="001D7FA9">
          <w:rPr>
            <w:rStyle w:val="TextoNormalCaracter"/>
          </w:rPr>
          <w:t>96/2025</w:t>
        </w:r>
      </w:hyperlink>
      <w:r>
        <w:t>, f. 4.</w:t>
      </w:r>
    </w:p>
    <w:p w14:paraId="3C7F77D7" w14:textId="33F57D38"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 </w:t>
      </w:r>
      <w:hyperlink w:anchor="SENTENCIA_2025_96" w:history="1">
        <w:r w:rsidRPr="001D7FA9">
          <w:rPr>
            <w:rStyle w:val="TextoNormalCaracter"/>
          </w:rPr>
          <w:t>96/2025</w:t>
        </w:r>
      </w:hyperlink>
      <w:r>
        <w:t>, f. 4.</w:t>
      </w:r>
    </w:p>
    <w:p w14:paraId="402ED768" w14:textId="790EDA2F"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Sentencia </w:t>
      </w:r>
      <w:hyperlink w:anchor="SENTENCIA_2025_96" w:history="1">
        <w:r w:rsidRPr="001D7FA9">
          <w:rPr>
            <w:rStyle w:val="TextoNormalCaracter"/>
          </w:rPr>
          <w:t>96/2025</w:t>
        </w:r>
      </w:hyperlink>
      <w:r>
        <w:t>, f. 4.</w:t>
      </w:r>
    </w:p>
    <w:p w14:paraId="1C9952DC" w14:textId="7A5AC8C0" w:rsidR="001D7FA9" w:rsidRDefault="001D7FA9" w:rsidP="001D7FA9">
      <w:pPr>
        <w:pStyle w:val="SangriaFrancesaArticulo"/>
      </w:pPr>
      <w:r w:rsidRPr="001D7FA9">
        <w:rPr>
          <w:rStyle w:val="TextoNormalNegritaCaracter"/>
        </w:rPr>
        <w:t>Artículo 31.2.</w:t>
      </w:r>
      <w:r w:rsidRPr="001D7FA9">
        <w:rPr>
          <w:rStyle w:val="TextoNormalCaracter"/>
        </w:rPr>
        <w:t>-</w:t>
      </w:r>
      <w:r>
        <w:t xml:space="preserve"> Sentencia </w:t>
      </w:r>
      <w:hyperlink w:anchor="SENTENCIA_2025_96" w:history="1">
        <w:r w:rsidRPr="001D7FA9">
          <w:rPr>
            <w:rStyle w:val="TextoNormalCaracter"/>
          </w:rPr>
          <w:t>96/2025</w:t>
        </w:r>
      </w:hyperlink>
      <w:r>
        <w:t>, f. 4, VP.</w:t>
      </w:r>
    </w:p>
    <w:p w14:paraId="1357CD3B" w14:textId="2A6916B8" w:rsidR="001D7FA9" w:rsidRDefault="001D7FA9" w:rsidP="001D7FA9">
      <w:pPr>
        <w:pStyle w:val="SangriaFrancesaArticulo"/>
      </w:pPr>
    </w:p>
    <w:p w14:paraId="5DB43E81" w14:textId="77777777" w:rsidR="001D7FA9" w:rsidRDefault="001D7FA9" w:rsidP="001D7FA9">
      <w:pPr>
        <w:pStyle w:val="TextoNormalNegritaCursivandice"/>
        <w:keepNext/>
      </w:pPr>
      <w:r>
        <w:t>Ley 20/2022, de 19 de octubre, de memoria democrática</w:t>
      </w:r>
    </w:p>
    <w:p w14:paraId="128D280A" w14:textId="6DDEE97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4" w:history="1">
        <w:r w:rsidRPr="001D7FA9">
          <w:rPr>
            <w:rStyle w:val="TextoNormalCaracter"/>
          </w:rPr>
          <w:t>64/2025</w:t>
        </w:r>
      </w:hyperlink>
      <w:r>
        <w:t>, f. 3, VP I, VP III.</w:t>
      </w:r>
    </w:p>
    <w:p w14:paraId="63157CAB" w14:textId="77ED04FE"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3B4EB451" w14:textId="41173A15"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Auto </w:t>
      </w:r>
      <w:hyperlink w:anchor="AUTO_2025_64" w:history="1">
        <w:r w:rsidRPr="001D7FA9">
          <w:rPr>
            <w:rStyle w:val="TextoNormalCaracter"/>
          </w:rPr>
          <w:t>64/2025</w:t>
        </w:r>
      </w:hyperlink>
      <w:r>
        <w:t>, f. 1, VP I, VP III.</w:t>
      </w:r>
    </w:p>
    <w:p w14:paraId="32D1596F" w14:textId="0289B642" w:rsidR="001D7FA9" w:rsidRDefault="001D7FA9" w:rsidP="001D7FA9">
      <w:pPr>
        <w:pStyle w:val="SangriaFrancesaArticulo"/>
      </w:pPr>
      <w:r w:rsidRPr="001D7FA9">
        <w:rPr>
          <w:rStyle w:val="TextoNormalNegritaCaracter"/>
        </w:rPr>
        <w:t>Artículo 14.1.</w:t>
      </w:r>
      <w:r w:rsidRPr="001D7FA9">
        <w:rPr>
          <w:rStyle w:val="TextoNormalCaracter"/>
        </w:rPr>
        <w:t>-</w:t>
      </w:r>
      <w:r>
        <w:t xml:space="preserve"> Auto </w:t>
      </w:r>
      <w:hyperlink w:anchor="AUTO_2025_64" w:history="1">
        <w:r w:rsidRPr="001D7FA9">
          <w:rPr>
            <w:rStyle w:val="TextoNormalCaracter"/>
          </w:rPr>
          <w:t>64/2025</w:t>
        </w:r>
      </w:hyperlink>
      <w:r>
        <w:t>, VP I.</w:t>
      </w:r>
    </w:p>
    <w:p w14:paraId="1C51681B" w14:textId="75B6BDEB" w:rsidR="001D7FA9" w:rsidRDefault="001D7FA9" w:rsidP="001D7FA9">
      <w:pPr>
        <w:pStyle w:val="SangriaFrancesaArticulo"/>
      </w:pPr>
      <w:r w:rsidRPr="001D7FA9">
        <w:rPr>
          <w:rStyle w:val="TextoNormalNegritaCaracter"/>
        </w:rPr>
        <w:t>Artículo 16.</w:t>
      </w:r>
      <w:r w:rsidRPr="001D7FA9">
        <w:rPr>
          <w:rStyle w:val="TextoNormalCaracter"/>
        </w:rPr>
        <w:t>-</w:t>
      </w:r>
      <w:r>
        <w:t xml:space="preserve"> Auto </w:t>
      </w:r>
      <w:hyperlink w:anchor="AUTO_2025_64" w:history="1">
        <w:r w:rsidRPr="001D7FA9">
          <w:rPr>
            <w:rStyle w:val="TextoNormalCaracter"/>
          </w:rPr>
          <w:t>64/2025</w:t>
        </w:r>
      </w:hyperlink>
      <w:r>
        <w:t>, VP I.</w:t>
      </w:r>
    </w:p>
    <w:p w14:paraId="3C359622" w14:textId="3264FE23" w:rsidR="001D7FA9" w:rsidRDefault="001D7FA9" w:rsidP="001D7FA9">
      <w:pPr>
        <w:pStyle w:val="SangriaFrancesaArticulo"/>
      </w:pPr>
      <w:r w:rsidRPr="001D7FA9">
        <w:rPr>
          <w:rStyle w:val="TextoNormalNegritaCaracter"/>
        </w:rPr>
        <w:t>Artículo 17.</w:t>
      </w:r>
      <w:r w:rsidRPr="001D7FA9">
        <w:rPr>
          <w:rStyle w:val="TextoNormalCaracter"/>
        </w:rPr>
        <w:t>-</w:t>
      </w:r>
      <w:r>
        <w:t xml:space="preserve"> Auto </w:t>
      </w:r>
      <w:hyperlink w:anchor="AUTO_2025_64" w:history="1">
        <w:r w:rsidRPr="001D7FA9">
          <w:rPr>
            <w:rStyle w:val="TextoNormalCaracter"/>
          </w:rPr>
          <w:t>64/2025</w:t>
        </w:r>
      </w:hyperlink>
      <w:r>
        <w:t>, VP I.</w:t>
      </w:r>
    </w:p>
    <w:p w14:paraId="29CF8869" w14:textId="2CF55C5A"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Auto </w:t>
      </w:r>
      <w:hyperlink w:anchor="AUTO_2025_64" w:history="1">
        <w:r w:rsidRPr="001D7FA9">
          <w:rPr>
            <w:rStyle w:val="TextoNormalCaracter"/>
          </w:rPr>
          <w:t>64/2025</w:t>
        </w:r>
      </w:hyperlink>
      <w:r>
        <w:t>, VP I.</w:t>
      </w:r>
    </w:p>
    <w:p w14:paraId="07ABF7FC" w14:textId="49266A27" w:rsidR="001D7FA9" w:rsidRDefault="001D7FA9" w:rsidP="001D7FA9">
      <w:pPr>
        <w:pStyle w:val="SangriaFrancesaArticulo"/>
      </w:pPr>
      <w:r w:rsidRPr="001D7FA9">
        <w:rPr>
          <w:rStyle w:val="TextoNormalNegritaCaracter"/>
        </w:rPr>
        <w:t>Artículo 38.1.</w:t>
      </w:r>
      <w:r w:rsidRPr="001D7FA9">
        <w:rPr>
          <w:rStyle w:val="TextoNormalCaracter"/>
        </w:rPr>
        <w:t>-</w:t>
      </w:r>
      <w:r>
        <w:t xml:space="preserve"> Auto </w:t>
      </w:r>
      <w:hyperlink w:anchor="AUTO_2025_64" w:history="1">
        <w:r w:rsidRPr="001D7FA9">
          <w:rPr>
            <w:rStyle w:val="TextoNormalCaracter"/>
          </w:rPr>
          <w:t>64/2025</w:t>
        </w:r>
      </w:hyperlink>
      <w:r>
        <w:t>, VP I.</w:t>
      </w:r>
    </w:p>
    <w:p w14:paraId="0DB10D36" w14:textId="37A8F7D9" w:rsidR="001D7FA9" w:rsidRDefault="001D7FA9" w:rsidP="001D7FA9">
      <w:pPr>
        <w:pStyle w:val="SangriaFrancesaArticulo"/>
      </w:pPr>
      <w:r w:rsidRPr="001D7FA9">
        <w:rPr>
          <w:rStyle w:val="TextoNormalNegritaCaracter"/>
        </w:rPr>
        <w:t>Artículo 44.</w:t>
      </w:r>
      <w:r w:rsidRPr="001D7FA9">
        <w:rPr>
          <w:rStyle w:val="TextoNormalCaracter"/>
        </w:rPr>
        <w:t>-</w:t>
      </w:r>
      <w:r>
        <w:t xml:space="preserve"> Auto </w:t>
      </w:r>
      <w:hyperlink w:anchor="AUTO_2025_64" w:history="1">
        <w:r w:rsidRPr="001D7FA9">
          <w:rPr>
            <w:rStyle w:val="TextoNormalCaracter"/>
          </w:rPr>
          <w:t>64/2025</w:t>
        </w:r>
      </w:hyperlink>
      <w:r>
        <w:t>, f. 1, VP I.</w:t>
      </w:r>
    </w:p>
    <w:p w14:paraId="3EF8B5E1" w14:textId="2723B906" w:rsidR="001D7FA9" w:rsidRDefault="001D7FA9" w:rsidP="001D7FA9">
      <w:pPr>
        <w:pStyle w:val="SangriaFrancesaArticulo"/>
      </w:pPr>
      <w:r w:rsidRPr="001D7FA9">
        <w:rPr>
          <w:rStyle w:val="TextoNormalNegritaCaracter"/>
        </w:rPr>
        <w:t>Artículo 44.2.</w:t>
      </w:r>
      <w:r w:rsidRPr="001D7FA9">
        <w:rPr>
          <w:rStyle w:val="TextoNormalCaracter"/>
        </w:rPr>
        <w:t>-</w:t>
      </w:r>
      <w:r>
        <w:t xml:space="preserve"> Auto </w:t>
      </w:r>
      <w:hyperlink w:anchor="AUTO_2025_64" w:history="1">
        <w:r w:rsidRPr="001D7FA9">
          <w:rPr>
            <w:rStyle w:val="TextoNormalCaracter"/>
          </w:rPr>
          <w:t>64/2025</w:t>
        </w:r>
      </w:hyperlink>
      <w:r>
        <w:t>, VP I.</w:t>
      </w:r>
    </w:p>
    <w:p w14:paraId="6DB819E7" w14:textId="4AC692C0" w:rsidR="001D7FA9" w:rsidRDefault="001D7FA9" w:rsidP="001D7FA9">
      <w:pPr>
        <w:pStyle w:val="SangriaFrancesaArticulo"/>
      </w:pPr>
    </w:p>
    <w:p w14:paraId="115C895C" w14:textId="77777777" w:rsidR="001D7FA9" w:rsidRDefault="001D7FA9" w:rsidP="001D7FA9">
      <w:pPr>
        <w:pStyle w:val="TextoNormalNegritaCursivandice"/>
        <w:keepNext/>
      </w:pPr>
      <w:r>
        <w:t>Ley 31/2022, de 23 de diciembre, de presupuestos generales del Estado para el año 2023</w:t>
      </w:r>
    </w:p>
    <w:p w14:paraId="48A924DF" w14:textId="562ACE6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5" w:history="1">
        <w:r w:rsidRPr="001D7FA9">
          <w:rPr>
            <w:rStyle w:val="TextoNormalCaracter"/>
          </w:rPr>
          <w:t>135/2025</w:t>
        </w:r>
      </w:hyperlink>
      <w:r>
        <w:t>, f. 4.</w:t>
      </w:r>
    </w:p>
    <w:p w14:paraId="0B1CF093" w14:textId="70460134" w:rsidR="001D7FA9" w:rsidRDefault="001D7FA9" w:rsidP="001D7FA9">
      <w:pPr>
        <w:pStyle w:val="SangriaFrancesaArticulo"/>
      </w:pPr>
    </w:p>
    <w:p w14:paraId="5B0B8364" w14:textId="77777777" w:rsidR="001D7FA9" w:rsidRDefault="001D7FA9" w:rsidP="001D7FA9">
      <w:pPr>
        <w:pStyle w:val="TextoNormalNegritaCursivandice"/>
        <w:keepNext/>
      </w:pPr>
      <w:r>
        <w:t>Ley 2/2023, de 20 de febrero, reguladora de la protección de las personas que informen sobre infracciones normativas y de lucha contra la corrupción</w:t>
      </w:r>
    </w:p>
    <w:p w14:paraId="3DC0C8ED" w14:textId="7DCCFAF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8" w:history="1">
        <w:r w:rsidRPr="001D7FA9">
          <w:rPr>
            <w:rStyle w:val="TextoNormalCaracter"/>
          </w:rPr>
          <w:t>28/2025</w:t>
        </w:r>
      </w:hyperlink>
      <w:r>
        <w:t>, f. 3.</w:t>
      </w:r>
    </w:p>
    <w:p w14:paraId="2BEF9236" w14:textId="16F9D945" w:rsidR="001D7FA9" w:rsidRDefault="001D7FA9" w:rsidP="001D7FA9">
      <w:pPr>
        <w:pStyle w:val="SangriaFrancesaArticulo"/>
      </w:pPr>
      <w:r w:rsidRPr="001D7FA9">
        <w:rPr>
          <w:rStyle w:val="TextoNormalNegritaCaracter"/>
        </w:rPr>
        <w:t>Artículo 36.3 b).</w:t>
      </w:r>
      <w:r w:rsidRPr="001D7FA9">
        <w:rPr>
          <w:rStyle w:val="TextoNormalCaracter"/>
        </w:rPr>
        <w:t>-</w:t>
      </w:r>
      <w:r>
        <w:t xml:space="preserve"> Sentencia </w:t>
      </w:r>
      <w:hyperlink w:anchor="SENTENCIA_2025_28" w:history="1">
        <w:r w:rsidRPr="001D7FA9">
          <w:rPr>
            <w:rStyle w:val="TextoNormalCaracter"/>
          </w:rPr>
          <w:t>28/2025</w:t>
        </w:r>
      </w:hyperlink>
      <w:r>
        <w:t>, f. 3.</w:t>
      </w:r>
    </w:p>
    <w:p w14:paraId="780B1904" w14:textId="1837727D" w:rsidR="001D7FA9" w:rsidRDefault="001D7FA9" w:rsidP="001D7FA9">
      <w:pPr>
        <w:pStyle w:val="SangriaFrancesaArticulo"/>
      </w:pPr>
      <w:r w:rsidRPr="001D7FA9">
        <w:rPr>
          <w:rStyle w:val="TextoNormalNegritaCaracter"/>
        </w:rPr>
        <w:t>Artículo 38.4.</w:t>
      </w:r>
      <w:r w:rsidRPr="001D7FA9">
        <w:rPr>
          <w:rStyle w:val="TextoNormalCaracter"/>
        </w:rPr>
        <w:t>-</w:t>
      </w:r>
      <w:r>
        <w:t xml:space="preserve"> Sentencia </w:t>
      </w:r>
      <w:hyperlink w:anchor="SENTENCIA_2025_28" w:history="1">
        <w:r w:rsidRPr="001D7FA9">
          <w:rPr>
            <w:rStyle w:val="TextoNormalCaracter"/>
          </w:rPr>
          <w:t>28/2025</w:t>
        </w:r>
      </w:hyperlink>
      <w:r>
        <w:t>, ff. 3, 4.</w:t>
      </w:r>
    </w:p>
    <w:p w14:paraId="44C9E441" w14:textId="104667DC" w:rsidR="001D7FA9" w:rsidRDefault="001D7FA9" w:rsidP="001D7FA9">
      <w:pPr>
        <w:pStyle w:val="SangriaFrancesaArticulo"/>
      </w:pPr>
    </w:p>
    <w:p w14:paraId="41BCB2C0" w14:textId="77777777" w:rsidR="001D7FA9" w:rsidRDefault="001D7FA9" w:rsidP="001D7FA9">
      <w:pPr>
        <w:pStyle w:val="TextoNormalNegritaCursivandice"/>
        <w:keepNext/>
      </w:pPr>
      <w:r>
        <w:t>Ley 4/2023, de 28 de febrero, para la igualdad real y efectiva de las personas trans y para la garantía de los derechos de las personas LGTBI</w:t>
      </w:r>
    </w:p>
    <w:p w14:paraId="6181C478" w14:textId="471C15D7" w:rsidR="001D7FA9" w:rsidRDefault="001D7FA9" w:rsidP="001D7FA9">
      <w:pPr>
        <w:pStyle w:val="SangriaFrancesaArticulo"/>
      </w:pPr>
      <w:r w:rsidRPr="001D7FA9">
        <w:rPr>
          <w:rStyle w:val="TextoNormalNegritaCaracter"/>
        </w:rPr>
        <w:t>Artículo 63.2.</w:t>
      </w:r>
      <w:r w:rsidRPr="001D7FA9">
        <w:rPr>
          <w:rStyle w:val="TextoNormalCaracter"/>
        </w:rPr>
        <w:t>-</w:t>
      </w:r>
      <w:r>
        <w:t xml:space="preserve"> Sentencia </w:t>
      </w:r>
      <w:hyperlink w:anchor="SENTENCIA_2025_96" w:history="1">
        <w:r w:rsidRPr="001D7FA9">
          <w:rPr>
            <w:rStyle w:val="TextoNormalCaracter"/>
          </w:rPr>
          <w:t>96/2025</w:t>
        </w:r>
      </w:hyperlink>
      <w:r>
        <w:t>, f. 4.</w:t>
      </w:r>
    </w:p>
    <w:p w14:paraId="723FD679" w14:textId="55540DCB" w:rsidR="001D7FA9" w:rsidRDefault="001D7FA9" w:rsidP="001D7FA9">
      <w:pPr>
        <w:pStyle w:val="SangriaFrancesaArticulo"/>
      </w:pPr>
      <w:r w:rsidRPr="001D7FA9">
        <w:rPr>
          <w:rStyle w:val="TextoNormalNegritaCaracter"/>
        </w:rPr>
        <w:t>Artículos 76 a 82.</w:t>
      </w:r>
      <w:r w:rsidRPr="001D7FA9">
        <w:rPr>
          <w:rStyle w:val="TextoNormalCaracter"/>
        </w:rPr>
        <w:t>-</w:t>
      </w:r>
      <w:r>
        <w:t xml:space="preserve"> Sentencia </w:t>
      </w:r>
      <w:hyperlink w:anchor="SENTENCIA_2025_96" w:history="1">
        <w:r w:rsidRPr="001D7FA9">
          <w:rPr>
            <w:rStyle w:val="TextoNormalCaracter"/>
          </w:rPr>
          <w:t>96/2025</w:t>
        </w:r>
      </w:hyperlink>
      <w:r>
        <w:t>, f. 4.</w:t>
      </w:r>
    </w:p>
    <w:p w14:paraId="666D220B" w14:textId="03BFDAF7" w:rsidR="001D7FA9" w:rsidRDefault="001D7FA9" w:rsidP="001D7FA9">
      <w:pPr>
        <w:pStyle w:val="SangriaFrancesaArticulo"/>
      </w:pPr>
    </w:p>
    <w:p w14:paraId="3BEA13A9" w14:textId="77777777" w:rsidR="001D7FA9" w:rsidRDefault="001D7FA9" w:rsidP="001D7FA9">
      <w:pPr>
        <w:pStyle w:val="TextoNormalNegritaCursivandice"/>
        <w:keepNext/>
      </w:pPr>
      <w:r>
        <w:t>Ley 12/2023, de 24 de mayo, por el derecho a la vivienda</w:t>
      </w:r>
    </w:p>
    <w:p w14:paraId="3C4888D9" w14:textId="232356D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25" w:history="1">
        <w:r w:rsidRPr="001D7FA9">
          <w:rPr>
            <w:rStyle w:val="TextoNormalCaracter"/>
          </w:rPr>
          <w:t>25/2025</w:t>
        </w:r>
      </w:hyperlink>
      <w:r>
        <w:t xml:space="preserve">, VP II; </w:t>
      </w:r>
      <w:hyperlink w:anchor="SENTENCIA_2025_26" w:history="1">
        <w:r w:rsidRPr="001D7FA9">
          <w:rPr>
            <w:rStyle w:val="TextoNormalCaracter"/>
          </w:rPr>
          <w:t>26/2025</w:t>
        </w:r>
      </w:hyperlink>
      <w:r>
        <w:t xml:space="preserve">, ff. 1, 2, 4, 5, 6, VP I, VP II; </w:t>
      </w:r>
      <w:hyperlink w:anchor="SENTENCIA_2025_64" w:history="1">
        <w:r w:rsidRPr="001D7FA9">
          <w:rPr>
            <w:rStyle w:val="TextoNormalCaracter"/>
          </w:rPr>
          <w:t>64/2025</w:t>
        </w:r>
      </w:hyperlink>
      <w:r>
        <w:t>, f. 3.</w:t>
      </w:r>
    </w:p>
    <w:p w14:paraId="6111481E" w14:textId="72FA688C" w:rsidR="001D7FA9" w:rsidRDefault="001D7FA9" w:rsidP="001D7FA9">
      <w:pPr>
        <w:pStyle w:val="SangriaFrancesaArticulo"/>
      </w:pPr>
      <w:r w:rsidRPr="001D7FA9">
        <w:rPr>
          <w:rStyle w:val="TextoNormalNegritaCaracter"/>
        </w:rPr>
        <w:t>Título II.</w:t>
      </w:r>
      <w:r w:rsidRPr="001D7FA9">
        <w:rPr>
          <w:rStyle w:val="TextoNormalCaracter"/>
        </w:rPr>
        <w:t>-</w:t>
      </w:r>
      <w:r>
        <w:t xml:space="preserve"> Sentencia </w:t>
      </w:r>
      <w:hyperlink w:anchor="SENTENCIA_2025_26" w:history="1">
        <w:r w:rsidRPr="001D7FA9">
          <w:rPr>
            <w:rStyle w:val="TextoNormalCaracter"/>
          </w:rPr>
          <w:t>26/2025</w:t>
        </w:r>
      </w:hyperlink>
      <w:r>
        <w:t>, f. 3.</w:t>
      </w:r>
    </w:p>
    <w:p w14:paraId="304595B8" w14:textId="168190A4" w:rsidR="001D7FA9" w:rsidRDefault="001D7FA9" w:rsidP="001D7FA9">
      <w:pPr>
        <w:pStyle w:val="SangriaFrancesaArticulo"/>
      </w:pPr>
      <w:r w:rsidRPr="001D7FA9">
        <w:rPr>
          <w:rStyle w:val="TextoNormalNegritaCaracter"/>
        </w:rPr>
        <w:t>Título II, capítulo I.</w:t>
      </w:r>
      <w:r w:rsidRPr="001D7FA9">
        <w:rPr>
          <w:rStyle w:val="TextoNormalCaracter"/>
        </w:rPr>
        <w:t>-</w:t>
      </w:r>
      <w:r>
        <w:t xml:space="preserve"> Sentencia </w:t>
      </w:r>
      <w:hyperlink w:anchor="SENTENCIA_2025_26" w:history="1">
        <w:r w:rsidRPr="001D7FA9">
          <w:rPr>
            <w:rStyle w:val="TextoNormalCaracter"/>
          </w:rPr>
          <w:t>26/2025</w:t>
        </w:r>
      </w:hyperlink>
      <w:r>
        <w:t>, f. 3.</w:t>
      </w:r>
    </w:p>
    <w:p w14:paraId="6D7C0281" w14:textId="1B939159" w:rsidR="001D7FA9" w:rsidRDefault="001D7FA9" w:rsidP="001D7FA9">
      <w:pPr>
        <w:pStyle w:val="SangriaFrancesaArticulo"/>
      </w:pPr>
      <w:r w:rsidRPr="001D7FA9">
        <w:rPr>
          <w:rStyle w:val="TextoNormalNegritaCaracter"/>
        </w:rPr>
        <w:t>Título IV.</w:t>
      </w:r>
      <w:r w:rsidRPr="001D7FA9">
        <w:rPr>
          <w:rStyle w:val="TextoNormalCaracter"/>
        </w:rPr>
        <w:t>-</w:t>
      </w:r>
      <w:r>
        <w:t xml:space="preserve"> Sentencia </w:t>
      </w:r>
      <w:hyperlink w:anchor="SENTENCIA_2025_26" w:history="1">
        <w:r w:rsidRPr="001D7FA9">
          <w:rPr>
            <w:rStyle w:val="TextoNormalCaracter"/>
          </w:rPr>
          <w:t>26/2025</w:t>
        </w:r>
      </w:hyperlink>
      <w:r>
        <w:t>, f. 4.</w:t>
      </w:r>
    </w:p>
    <w:p w14:paraId="5C886A2D" w14:textId="62C8405F" w:rsidR="001D7FA9" w:rsidRDefault="001D7FA9" w:rsidP="001D7FA9">
      <w:pPr>
        <w:pStyle w:val="SangriaFrancesaArticulo"/>
      </w:pPr>
      <w:r w:rsidRPr="001D7FA9">
        <w:rPr>
          <w:rStyle w:val="TextoNormalNegritaCaracter"/>
        </w:rPr>
        <w:t>Título IV, capítulo I.</w:t>
      </w:r>
      <w:r w:rsidRPr="001D7FA9">
        <w:rPr>
          <w:rStyle w:val="TextoNormalCaracter"/>
        </w:rPr>
        <w:t>-</w:t>
      </w:r>
      <w:r>
        <w:t xml:space="preserve"> Sentencia </w:t>
      </w:r>
      <w:hyperlink w:anchor="SENTENCIA_2025_26" w:history="1">
        <w:r w:rsidRPr="001D7FA9">
          <w:rPr>
            <w:rStyle w:val="TextoNormalCaracter"/>
          </w:rPr>
          <w:t>26/2025</w:t>
        </w:r>
      </w:hyperlink>
      <w:r>
        <w:t>, f. 4.</w:t>
      </w:r>
    </w:p>
    <w:p w14:paraId="0545CC73" w14:textId="525E9C4D"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26" w:history="1">
        <w:r w:rsidRPr="001D7FA9">
          <w:rPr>
            <w:rStyle w:val="TextoNormalCaracter"/>
          </w:rPr>
          <w:t>26/2025</w:t>
        </w:r>
      </w:hyperlink>
      <w:r>
        <w:t>, ff. 3, 5, VP II.</w:t>
      </w:r>
    </w:p>
    <w:p w14:paraId="704B4E09" w14:textId="5DC701A8" w:rsidR="001D7FA9" w:rsidRDefault="001D7FA9" w:rsidP="001D7FA9">
      <w:pPr>
        <w:pStyle w:val="SangriaFrancesaArticulo"/>
      </w:pPr>
      <w:r w:rsidRPr="001D7FA9">
        <w:rPr>
          <w:rStyle w:val="TextoNormalNegritaCaracter"/>
        </w:rPr>
        <w:t>Preámbulo, apartado III, cuadragésimo noveno párrafo.</w:t>
      </w:r>
      <w:r w:rsidRPr="001D7FA9">
        <w:rPr>
          <w:rStyle w:val="TextoNormalCaracter"/>
        </w:rPr>
        <w:t>-</w:t>
      </w:r>
      <w:r>
        <w:t xml:space="preserve"> Sentencia </w:t>
      </w:r>
      <w:hyperlink w:anchor="SENTENCIA_2025_26" w:history="1">
        <w:r w:rsidRPr="001D7FA9">
          <w:rPr>
            <w:rStyle w:val="TextoNormalCaracter"/>
          </w:rPr>
          <w:t>26/2025</w:t>
        </w:r>
      </w:hyperlink>
      <w:r>
        <w:t>, f. 5.</w:t>
      </w:r>
    </w:p>
    <w:p w14:paraId="726A6659" w14:textId="674A48D1" w:rsidR="001D7FA9" w:rsidRDefault="001D7FA9" w:rsidP="001D7FA9">
      <w:pPr>
        <w:pStyle w:val="SangriaFrancesaArticulo"/>
      </w:pPr>
      <w:r w:rsidRPr="001D7FA9">
        <w:rPr>
          <w:rStyle w:val="TextoNormalNegritaCaracter"/>
        </w:rPr>
        <w:t>Preámbulo, apartado III, cuadragésimo octavo párrafo.</w:t>
      </w:r>
      <w:r w:rsidRPr="001D7FA9">
        <w:rPr>
          <w:rStyle w:val="TextoNormalCaracter"/>
        </w:rPr>
        <w:t>-</w:t>
      </w:r>
      <w:r>
        <w:t xml:space="preserve"> Sentencia </w:t>
      </w:r>
      <w:hyperlink w:anchor="SENTENCIA_2025_26" w:history="1">
        <w:r w:rsidRPr="001D7FA9">
          <w:rPr>
            <w:rStyle w:val="TextoNormalCaracter"/>
          </w:rPr>
          <w:t>26/2025</w:t>
        </w:r>
      </w:hyperlink>
      <w:r>
        <w:t>, f. 5.</w:t>
      </w:r>
    </w:p>
    <w:p w14:paraId="44CEACA4" w14:textId="00C6F36F" w:rsidR="001D7FA9" w:rsidRDefault="001D7FA9" w:rsidP="001D7FA9">
      <w:pPr>
        <w:pStyle w:val="SangriaFrancesaArticulo"/>
      </w:pPr>
      <w:r w:rsidRPr="001D7FA9">
        <w:rPr>
          <w:rStyle w:val="TextoNormalNegritaCaracter"/>
        </w:rPr>
        <w:t>Preámbulo, apartado III, quincuagésimo sexto párrafo.</w:t>
      </w:r>
      <w:r w:rsidRPr="001D7FA9">
        <w:rPr>
          <w:rStyle w:val="TextoNormalCaracter"/>
        </w:rPr>
        <w:t>-</w:t>
      </w:r>
      <w:r>
        <w:t xml:space="preserve"> Sentencia </w:t>
      </w:r>
      <w:hyperlink w:anchor="SENTENCIA_2025_26" w:history="1">
        <w:r w:rsidRPr="001D7FA9">
          <w:rPr>
            <w:rStyle w:val="TextoNormalCaracter"/>
          </w:rPr>
          <w:t>26/2025</w:t>
        </w:r>
      </w:hyperlink>
      <w:r>
        <w:t>, f. 6.</w:t>
      </w:r>
    </w:p>
    <w:p w14:paraId="5A574B7D" w14:textId="146C8E10" w:rsidR="001D7FA9" w:rsidRDefault="001D7FA9" w:rsidP="001D7FA9">
      <w:pPr>
        <w:pStyle w:val="SangriaFrancesaArticulo"/>
      </w:pPr>
      <w:r w:rsidRPr="001D7FA9">
        <w:rPr>
          <w:rStyle w:val="TextoNormalNegritaCaracter"/>
        </w:rPr>
        <w:t>Preámbulo, apartado III, segundo párrafo.</w:t>
      </w:r>
      <w:r w:rsidRPr="001D7FA9">
        <w:rPr>
          <w:rStyle w:val="TextoNormalCaracter"/>
        </w:rPr>
        <w:t>-</w:t>
      </w:r>
      <w:r>
        <w:t xml:space="preserve"> Sentencia </w:t>
      </w:r>
      <w:hyperlink w:anchor="SENTENCIA_2025_26" w:history="1">
        <w:r w:rsidRPr="001D7FA9">
          <w:rPr>
            <w:rStyle w:val="TextoNormalCaracter"/>
          </w:rPr>
          <w:t>26/2025</w:t>
        </w:r>
      </w:hyperlink>
      <w:r>
        <w:t>, f. 5.</w:t>
      </w:r>
    </w:p>
    <w:p w14:paraId="5B895C81" w14:textId="128489D0"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26" w:history="1">
        <w:r w:rsidRPr="001D7FA9">
          <w:rPr>
            <w:rStyle w:val="TextoNormalCaracter"/>
          </w:rPr>
          <w:t>26/2025</w:t>
        </w:r>
      </w:hyperlink>
      <w:r>
        <w:t>, f. 5.</w:t>
      </w:r>
    </w:p>
    <w:p w14:paraId="54ACE875" w14:textId="752268FB"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26" w:history="1">
        <w:r w:rsidRPr="001D7FA9">
          <w:rPr>
            <w:rStyle w:val="TextoNormalCaracter"/>
          </w:rPr>
          <w:t>26/2025</w:t>
        </w:r>
      </w:hyperlink>
      <w:r>
        <w:t>, f. 5.</w:t>
      </w:r>
    </w:p>
    <w:p w14:paraId="47AB563E" w14:textId="258C591A"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26" w:history="1">
        <w:r w:rsidRPr="001D7FA9">
          <w:rPr>
            <w:rStyle w:val="TextoNormalCaracter"/>
          </w:rPr>
          <w:t>26/2025</w:t>
        </w:r>
      </w:hyperlink>
      <w:r>
        <w:t>, f. 5.</w:t>
      </w:r>
    </w:p>
    <w:p w14:paraId="6142F2E3" w14:textId="0259AF7C" w:rsidR="001D7FA9" w:rsidRDefault="001D7FA9" w:rsidP="001D7FA9">
      <w:pPr>
        <w:pStyle w:val="SangriaFrancesaArticulo"/>
      </w:pPr>
      <w:r w:rsidRPr="001D7FA9">
        <w:rPr>
          <w:rStyle w:val="TextoNormalNegritaCaracter"/>
        </w:rPr>
        <w:t>Artículo 2 a).</w:t>
      </w:r>
      <w:r w:rsidRPr="001D7FA9">
        <w:rPr>
          <w:rStyle w:val="TextoNormalCaracter"/>
        </w:rPr>
        <w:t>-</w:t>
      </w:r>
      <w:r>
        <w:t xml:space="preserve"> Sentencia </w:t>
      </w:r>
      <w:hyperlink w:anchor="SENTENCIA_2025_26" w:history="1">
        <w:r w:rsidRPr="001D7FA9">
          <w:rPr>
            <w:rStyle w:val="TextoNormalCaracter"/>
          </w:rPr>
          <w:t>26/2025</w:t>
        </w:r>
      </w:hyperlink>
      <w:r>
        <w:t>, f. 5.</w:t>
      </w:r>
    </w:p>
    <w:p w14:paraId="304EE3D7" w14:textId="2A8065E9" w:rsidR="001D7FA9" w:rsidRDefault="001D7FA9" w:rsidP="001D7FA9">
      <w:pPr>
        <w:pStyle w:val="SangriaFrancesaArticulo"/>
      </w:pPr>
      <w:r w:rsidRPr="001D7FA9">
        <w:rPr>
          <w:rStyle w:val="TextoNormalNegritaCaracter"/>
        </w:rPr>
        <w:t>Artículo 2 h).</w:t>
      </w:r>
      <w:r w:rsidRPr="001D7FA9">
        <w:rPr>
          <w:rStyle w:val="TextoNormalCaracter"/>
        </w:rPr>
        <w:t>-</w:t>
      </w:r>
      <w:r>
        <w:t xml:space="preserve"> Sentencia </w:t>
      </w:r>
      <w:hyperlink w:anchor="SENTENCIA_2025_26" w:history="1">
        <w:r w:rsidRPr="001D7FA9">
          <w:rPr>
            <w:rStyle w:val="TextoNormalCaracter"/>
          </w:rPr>
          <w:t>26/2025</w:t>
        </w:r>
      </w:hyperlink>
      <w:r>
        <w:t>, ff. 3, 5.</w:t>
      </w:r>
    </w:p>
    <w:p w14:paraId="23A24B69" w14:textId="18D713EE" w:rsidR="001D7FA9" w:rsidRDefault="001D7FA9" w:rsidP="001D7FA9">
      <w:pPr>
        <w:pStyle w:val="SangriaFrancesaArticulo"/>
      </w:pPr>
      <w:r w:rsidRPr="001D7FA9">
        <w:rPr>
          <w:rStyle w:val="TextoNormalNegritaCaracter"/>
        </w:rPr>
        <w:t>Artículo 2 n).</w:t>
      </w:r>
      <w:r w:rsidRPr="001D7FA9">
        <w:rPr>
          <w:rStyle w:val="TextoNormalCaracter"/>
        </w:rPr>
        <w:t>-</w:t>
      </w:r>
      <w:r>
        <w:t xml:space="preserve"> Sentencia </w:t>
      </w:r>
      <w:hyperlink w:anchor="SENTENCIA_2025_26" w:history="1">
        <w:r w:rsidRPr="001D7FA9">
          <w:rPr>
            <w:rStyle w:val="TextoNormalCaracter"/>
          </w:rPr>
          <w:t>26/2025</w:t>
        </w:r>
      </w:hyperlink>
      <w:r>
        <w:t>, f. 5.</w:t>
      </w:r>
    </w:p>
    <w:p w14:paraId="74858284" w14:textId="340418C9" w:rsidR="001D7FA9" w:rsidRDefault="001D7FA9" w:rsidP="001D7FA9">
      <w:pPr>
        <w:pStyle w:val="SangriaFrancesaArticulo"/>
      </w:pPr>
      <w:r w:rsidRPr="001D7FA9">
        <w:rPr>
          <w:rStyle w:val="TextoNormalNegritaCaracter"/>
        </w:rPr>
        <w:t>Artículo 3 d).</w:t>
      </w:r>
      <w:r w:rsidRPr="001D7FA9">
        <w:rPr>
          <w:rStyle w:val="TextoNormalCaracter"/>
        </w:rPr>
        <w:t>-</w:t>
      </w:r>
      <w:r>
        <w:t xml:space="preserve"> Sentencia </w:t>
      </w:r>
      <w:hyperlink w:anchor="SENTENCIA_2025_64" w:history="1">
        <w:r w:rsidRPr="001D7FA9">
          <w:rPr>
            <w:rStyle w:val="TextoNormalCaracter"/>
          </w:rPr>
          <w:t>64/2025</w:t>
        </w:r>
      </w:hyperlink>
      <w:r>
        <w:t>, f. 7.</w:t>
      </w:r>
    </w:p>
    <w:p w14:paraId="2116E284" w14:textId="1240183A" w:rsidR="001D7FA9" w:rsidRDefault="001D7FA9" w:rsidP="001D7FA9">
      <w:pPr>
        <w:pStyle w:val="SangriaFrancesaArticulo"/>
      </w:pPr>
      <w:r w:rsidRPr="001D7FA9">
        <w:rPr>
          <w:rStyle w:val="TextoNormalNegritaCaracter"/>
        </w:rPr>
        <w:t>Artículo 3 k).</w:t>
      </w:r>
      <w:r w:rsidRPr="001D7FA9">
        <w:rPr>
          <w:rStyle w:val="TextoNormalCaracter"/>
        </w:rPr>
        <w:t>-</w:t>
      </w:r>
      <w:r>
        <w:t xml:space="preserve"> Sentencia </w:t>
      </w:r>
      <w:hyperlink w:anchor="SENTENCIA_2025_26" w:history="1">
        <w:r w:rsidRPr="001D7FA9">
          <w:rPr>
            <w:rStyle w:val="TextoNormalCaracter"/>
          </w:rPr>
          <w:t>26/2025</w:t>
        </w:r>
      </w:hyperlink>
      <w:r>
        <w:t>, f. 6, VP II.</w:t>
      </w:r>
    </w:p>
    <w:p w14:paraId="300DA178" w14:textId="385C55B0"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25" w:history="1">
        <w:r w:rsidRPr="001D7FA9">
          <w:rPr>
            <w:rStyle w:val="TextoNormalCaracter"/>
          </w:rPr>
          <w:t>25/2025</w:t>
        </w:r>
      </w:hyperlink>
      <w:r>
        <w:t>, VP II.</w:t>
      </w:r>
    </w:p>
    <w:p w14:paraId="7C02865E" w14:textId="3B6ACCB2" w:rsidR="001D7FA9" w:rsidRDefault="001D7FA9" w:rsidP="001D7FA9">
      <w:pPr>
        <w:pStyle w:val="SangriaFrancesaArticulo"/>
      </w:pPr>
      <w:r w:rsidRPr="001D7FA9">
        <w:rPr>
          <w:rStyle w:val="TextoNormalNegritaCaracter"/>
        </w:rPr>
        <w:t>Artículo 10.2 f).</w:t>
      </w:r>
      <w:r w:rsidRPr="001D7FA9">
        <w:rPr>
          <w:rStyle w:val="TextoNormalCaracter"/>
        </w:rPr>
        <w:t>-</w:t>
      </w:r>
      <w:r>
        <w:t xml:space="preserve"> Sentencia </w:t>
      </w:r>
      <w:hyperlink w:anchor="SENTENCIA_2025_25" w:history="1">
        <w:r w:rsidRPr="001D7FA9">
          <w:rPr>
            <w:rStyle w:val="TextoNormalCaracter"/>
          </w:rPr>
          <w:t>25/2025</w:t>
        </w:r>
      </w:hyperlink>
      <w:r>
        <w:t>, VP II.</w:t>
      </w:r>
    </w:p>
    <w:p w14:paraId="2E05005C" w14:textId="5E0CCE70"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 </w:t>
      </w:r>
      <w:hyperlink w:anchor="SENTENCIA_2025_26" w:history="1">
        <w:r w:rsidRPr="001D7FA9">
          <w:rPr>
            <w:rStyle w:val="TextoNormalCaracter"/>
          </w:rPr>
          <w:t>26/2025</w:t>
        </w:r>
      </w:hyperlink>
      <w:r>
        <w:t>, f. 3, VP I.</w:t>
      </w:r>
    </w:p>
    <w:p w14:paraId="6B419C14" w14:textId="37BF82E8" w:rsidR="001D7FA9" w:rsidRDefault="001D7FA9" w:rsidP="001D7FA9">
      <w:pPr>
        <w:pStyle w:val="SangriaFrancesaArticulo"/>
      </w:pPr>
      <w:r w:rsidRPr="001D7FA9">
        <w:rPr>
          <w:rStyle w:val="TextoNormalNegritaCaracter"/>
        </w:rPr>
        <w:t>Artículo 15.1.</w:t>
      </w:r>
      <w:r w:rsidRPr="001D7FA9">
        <w:rPr>
          <w:rStyle w:val="TextoNormalCaracter"/>
        </w:rPr>
        <w:t>-</w:t>
      </w:r>
      <w:r>
        <w:t xml:space="preserve"> Sentencia </w:t>
      </w:r>
      <w:hyperlink w:anchor="SENTENCIA_2025_26" w:history="1">
        <w:r w:rsidRPr="001D7FA9">
          <w:rPr>
            <w:rStyle w:val="TextoNormalCaracter"/>
          </w:rPr>
          <w:t>26/2025</w:t>
        </w:r>
      </w:hyperlink>
      <w:r>
        <w:t>, f. 3, VP I, VP II.</w:t>
      </w:r>
    </w:p>
    <w:p w14:paraId="10B59A67" w14:textId="43FBC893" w:rsidR="001D7FA9" w:rsidRDefault="001D7FA9" w:rsidP="001D7FA9">
      <w:pPr>
        <w:pStyle w:val="SangriaFrancesaArticulo"/>
      </w:pPr>
      <w:r w:rsidRPr="001D7FA9">
        <w:rPr>
          <w:rStyle w:val="TextoNormalNegritaCaracter"/>
        </w:rPr>
        <w:t>Artículo 15.1 b).</w:t>
      </w:r>
      <w:r w:rsidRPr="001D7FA9">
        <w:rPr>
          <w:rStyle w:val="TextoNormalCaracter"/>
        </w:rPr>
        <w:t>-</w:t>
      </w:r>
      <w:r>
        <w:t xml:space="preserve"> Sentencia </w:t>
      </w:r>
      <w:hyperlink w:anchor="SENTENCIA_2025_26" w:history="1">
        <w:r w:rsidRPr="001D7FA9">
          <w:rPr>
            <w:rStyle w:val="TextoNormalCaracter"/>
          </w:rPr>
          <w:t>26/2025</w:t>
        </w:r>
      </w:hyperlink>
      <w:r>
        <w:t>, ff. 1 a 3, VP I.</w:t>
      </w:r>
    </w:p>
    <w:p w14:paraId="138B6ADD" w14:textId="0EC969D1" w:rsidR="001D7FA9" w:rsidRDefault="001D7FA9" w:rsidP="001D7FA9">
      <w:pPr>
        <w:pStyle w:val="SangriaFrancesaArticulo"/>
      </w:pPr>
      <w:r w:rsidRPr="001D7FA9">
        <w:rPr>
          <w:rStyle w:val="TextoNormalNegritaCaracter"/>
        </w:rPr>
        <w:t>Artículo 15.1 c).</w:t>
      </w:r>
      <w:r w:rsidRPr="001D7FA9">
        <w:rPr>
          <w:rStyle w:val="TextoNormalCaracter"/>
        </w:rPr>
        <w:t>-</w:t>
      </w:r>
      <w:r>
        <w:t xml:space="preserve"> Sentencia </w:t>
      </w:r>
      <w:hyperlink w:anchor="SENTENCIA_2025_26" w:history="1">
        <w:r w:rsidRPr="001D7FA9">
          <w:rPr>
            <w:rStyle w:val="TextoNormalCaracter"/>
          </w:rPr>
          <w:t>26/2025</w:t>
        </w:r>
      </w:hyperlink>
      <w:r>
        <w:t>, ff. 1 a 3, VP I, VP II.</w:t>
      </w:r>
    </w:p>
    <w:p w14:paraId="3918460C" w14:textId="4EEC82D7" w:rsidR="001D7FA9" w:rsidRDefault="001D7FA9" w:rsidP="001D7FA9">
      <w:pPr>
        <w:pStyle w:val="SangriaFrancesaArticulo"/>
      </w:pPr>
      <w:r w:rsidRPr="001D7FA9">
        <w:rPr>
          <w:rStyle w:val="TextoNormalNegritaCaracter"/>
        </w:rPr>
        <w:t>Artículo 15.1 d).</w:t>
      </w:r>
      <w:r w:rsidRPr="001D7FA9">
        <w:rPr>
          <w:rStyle w:val="TextoNormalCaracter"/>
        </w:rPr>
        <w:t>-</w:t>
      </w:r>
      <w:r>
        <w:t xml:space="preserve"> Sentencia </w:t>
      </w:r>
      <w:hyperlink w:anchor="SENTENCIA_2025_26" w:history="1">
        <w:r w:rsidRPr="001D7FA9">
          <w:rPr>
            <w:rStyle w:val="TextoNormalCaracter"/>
          </w:rPr>
          <w:t>26/2025</w:t>
        </w:r>
      </w:hyperlink>
      <w:r>
        <w:t>, ff. 1 a 3, VP I.</w:t>
      </w:r>
    </w:p>
    <w:p w14:paraId="60D69BA4" w14:textId="4B7291DC" w:rsidR="001D7FA9" w:rsidRDefault="001D7FA9" w:rsidP="001D7FA9">
      <w:pPr>
        <w:pStyle w:val="SangriaFrancesaArticulo"/>
      </w:pPr>
      <w:r w:rsidRPr="001D7FA9">
        <w:rPr>
          <w:rStyle w:val="TextoNormalNegritaCaracter"/>
        </w:rPr>
        <w:t>Artículo 15.1 e).</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71420BD2" w14:textId="6B292993" w:rsidR="001D7FA9" w:rsidRDefault="001D7FA9" w:rsidP="001D7FA9">
      <w:pPr>
        <w:pStyle w:val="SangriaFrancesaArticulo"/>
      </w:pPr>
      <w:r w:rsidRPr="001D7FA9">
        <w:rPr>
          <w:rStyle w:val="TextoNormalNegritaCaracter"/>
        </w:rPr>
        <w:t>Artículo 15.3.</w:t>
      </w:r>
      <w:r w:rsidRPr="001D7FA9">
        <w:rPr>
          <w:rStyle w:val="TextoNormalCaracter"/>
        </w:rPr>
        <w:t>-</w:t>
      </w:r>
      <w:r>
        <w:t xml:space="preserve"> Sentencia </w:t>
      </w:r>
      <w:hyperlink w:anchor="SENTENCIA_2025_64" w:history="1">
        <w:r w:rsidRPr="001D7FA9">
          <w:rPr>
            <w:rStyle w:val="TextoNormalCaracter"/>
          </w:rPr>
          <w:t>64/2025</w:t>
        </w:r>
      </w:hyperlink>
      <w:r>
        <w:t>, ff. 5, 6.</w:t>
      </w:r>
    </w:p>
    <w:p w14:paraId="05982077" w14:textId="53737813" w:rsidR="001D7FA9" w:rsidRDefault="001D7FA9" w:rsidP="001D7FA9">
      <w:pPr>
        <w:pStyle w:val="SangriaFrancesaArticulo"/>
      </w:pPr>
      <w:r w:rsidRPr="001D7FA9">
        <w:rPr>
          <w:rStyle w:val="TextoNormalNegritaCaracter"/>
        </w:rPr>
        <w:t>Artículo 16.</w:t>
      </w:r>
      <w:r w:rsidRPr="001D7FA9">
        <w:rPr>
          <w:rStyle w:val="TextoNormalCaracter"/>
        </w:rPr>
        <w:t>-</w:t>
      </w:r>
      <w:r>
        <w:t xml:space="preserve"> Sentencia </w:t>
      </w:r>
      <w:hyperlink w:anchor="SENTENCIA_2025_26" w:history="1">
        <w:r w:rsidRPr="001D7FA9">
          <w:rPr>
            <w:rStyle w:val="TextoNormalCaracter"/>
          </w:rPr>
          <w:t>26/2025</w:t>
        </w:r>
      </w:hyperlink>
      <w:r>
        <w:t>, f. 2, VP II.</w:t>
      </w:r>
    </w:p>
    <w:p w14:paraId="47DC0DEB" w14:textId="43A35E83" w:rsidR="001D7FA9" w:rsidRDefault="001D7FA9" w:rsidP="001D7FA9">
      <w:pPr>
        <w:pStyle w:val="SangriaFrancesaArticulo"/>
      </w:pPr>
      <w:r w:rsidRPr="001D7FA9">
        <w:rPr>
          <w:rStyle w:val="TextoNormalNegritaCaracter"/>
        </w:rPr>
        <w:t>Artículo 16.1 d).</w:t>
      </w:r>
      <w:r w:rsidRPr="001D7FA9">
        <w:rPr>
          <w:rStyle w:val="TextoNormalCaracter"/>
        </w:rPr>
        <w:t>-</w:t>
      </w:r>
      <w:r>
        <w:t xml:space="preserve"> Sentencia </w:t>
      </w:r>
      <w:hyperlink w:anchor="SENTENCIA_2025_26" w:history="1">
        <w:r w:rsidRPr="001D7FA9">
          <w:rPr>
            <w:rStyle w:val="TextoNormalCaracter"/>
          </w:rPr>
          <w:t>26/2025</w:t>
        </w:r>
      </w:hyperlink>
      <w:r>
        <w:t>, ff. 1, 2.</w:t>
      </w:r>
    </w:p>
    <w:p w14:paraId="5C804398" w14:textId="55EDCBC8" w:rsidR="001D7FA9" w:rsidRDefault="001D7FA9" w:rsidP="001D7FA9">
      <w:pPr>
        <w:pStyle w:val="SangriaFrancesaArticulo"/>
      </w:pPr>
      <w:r w:rsidRPr="001D7FA9">
        <w:rPr>
          <w:rStyle w:val="TextoNormalNegritaCaracter"/>
        </w:rPr>
        <w:t>Artículo 18.</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60D8B1AB" w14:textId="525EACA4" w:rsidR="001D7FA9" w:rsidRDefault="001D7FA9" w:rsidP="001D7FA9">
      <w:pPr>
        <w:pStyle w:val="SangriaFrancesaArticulo"/>
      </w:pPr>
      <w:r w:rsidRPr="001D7FA9">
        <w:rPr>
          <w:rStyle w:val="TextoNormalNegritaCaracter"/>
        </w:rPr>
        <w:t>Artículo 18.1.</w:t>
      </w:r>
      <w:r w:rsidRPr="001D7FA9">
        <w:rPr>
          <w:rStyle w:val="TextoNormalCaracter"/>
        </w:rPr>
        <w:t>-</w:t>
      </w:r>
      <w:r>
        <w:t xml:space="preserve"> Sentencia </w:t>
      </w:r>
      <w:hyperlink w:anchor="SENTENCIA_2025_26" w:history="1">
        <w:r w:rsidRPr="001D7FA9">
          <w:rPr>
            <w:rStyle w:val="TextoNormalCaracter"/>
          </w:rPr>
          <w:t>26/2025</w:t>
        </w:r>
      </w:hyperlink>
      <w:r>
        <w:t>, f. 5.</w:t>
      </w:r>
    </w:p>
    <w:p w14:paraId="3AE9244B" w14:textId="580E9E55"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25606180" w14:textId="11AD9110" w:rsidR="001D7FA9" w:rsidRDefault="001D7FA9" w:rsidP="001D7FA9">
      <w:pPr>
        <w:pStyle w:val="SangriaFrancesaArticulo"/>
      </w:pPr>
      <w:r w:rsidRPr="001D7FA9">
        <w:rPr>
          <w:rStyle w:val="TextoNormalNegritaCaracter"/>
        </w:rPr>
        <w:t>Artículo 18.2 d).</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0E1B662F" w14:textId="091F1329" w:rsidR="001D7FA9" w:rsidRDefault="001D7FA9" w:rsidP="001D7FA9">
      <w:pPr>
        <w:pStyle w:val="SangriaFrancesaArticulo"/>
      </w:pPr>
      <w:r w:rsidRPr="001D7FA9">
        <w:rPr>
          <w:rStyle w:val="TextoNormalNegritaCaracter"/>
        </w:rPr>
        <w:t>Artículo 18.3.</w:t>
      </w:r>
      <w:r w:rsidRPr="001D7FA9">
        <w:rPr>
          <w:rStyle w:val="TextoNormalCaracter"/>
        </w:rPr>
        <w:t>-</w:t>
      </w:r>
      <w:r>
        <w:t xml:space="preserve"> Sentencias </w:t>
      </w:r>
      <w:hyperlink w:anchor="SENTENCIA_2025_26" w:history="1">
        <w:r w:rsidRPr="001D7FA9">
          <w:rPr>
            <w:rStyle w:val="TextoNormalCaracter"/>
          </w:rPr>
          <w:t>26/2025</w:t>
        </w:r>
      </w:hyperlink>
      <w:r>
        <w:t xml:space="preserve">, ff. 1, 2, VP II; </w:t>
      </w:r>
      <w:hyperlink w:anchor="SENTENCIA_2025_64" w:history="1">
        <w:r w:rsidRPr="001D7FA9">
          <w:rPr>
            <w:rStyle w:val="TextoNormalCaracter"/>
          </w:rPr>
          <w:t>64/2025</w:t>
        </w:r>
      </w:hyperlink>
      <w:r>
        <w:t>, f. 7.</w:t>
      </w:r>
    </w:p>
    <w:p w14:paraId="375DB953" w14:textId="3C8E70DB" w:rsidR="001D7FA9" w:rsidRDefault="001D7FA9" w:rsidP="001D7FA9">
      <w:pPr>
        <w:pStyle w:val="SangriaFrancesaArticulo"/>
      </w:pPr>
      <w:r w:rsidRPr="001D7FA9">
        <w:rPr>
          <w:rStyle w:val="TextoNormalNegritaCaracter"/>
        </w:rPr>
        <w:t>Artículo 18.4.</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22D440C7" w14:textId="68BE0DA8" w:rsidR="001D7FA9" w:rsidRDefault="001D7FA9" w:rsidP="001D7FA9">
      <w:pPr>
        <w:pStyle w:val="SangriaFrancesaArticulo"/>
      </w:pPr>
      <w:r w:rsidRPr="001D7FA9">
        <w:rPr>
          <w:rStyle w:val="TextoNormalNegritaCaracter"/>
        </w:rPr>
        <w:t>Artículo 19.3.</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07C1D519" w14:textId="05D7B37D" w:rsidR="001D7FA9" w:rsidRDefault="001D7FA9" w:rsidP="001D7FA9">
      <w:pPr>
        <w:pStyle w:val="SangriaFrancesaArticulo"/>
      </w:pPr>
      <w:r w:rsidRPr="001D7FA9">
        <w:rPr>
          <w:rStyle w:val="TextoNormalNegritaCaracter"/>
        </w:rPr>
        <w:t>Artículo 23 a 25.</w:t>
      </w:r>
      <w:r w:rsidRPr="001D7FA9">
        <w:rPr>
          <w:rStyle w:val="TextoNormalCaracter"/>
        </w:rPr>
        <w:t>-</w:t>
      </w:r>
      <w:r>
        <w:t xml:space="preserve"> Sentencia </w:t>
      </w:r>
      <w:hyperlink w:anchor="SENTENCIA_2025_25" w:history="1">
        <w:r w:rsidRPr="001D7FA9">
          <w:rPr>
            <w:rStyle w:val="TextoNormalCaracter"/>
          </w:rPr>
          <w:t>25/2025</w:t>
        </w:r>
      </w:hyperlink>
      <w:r>
        <w:t>, VP II.</w:t>
      </w:r>
    </w:p>
    <w:p w14:paraId="535088AF" w14:textId="2EBEE630" w:rsidR="001D7FA9" w:rsidRDefault="001D7FA9" w:rsidP="001D7FA9">
      <w:pPr>
        <w:pStyle w:val="SangriaFrancesaArticulo"/>
      </w:pPr>
      <w:r w:rsidRPr="001D7FA9">
        <w:rPr>
          <w:rStyle w:val="TextoNormalNegritaCaracter"/>
        </w:rPr>
        <w:t>Artículo 27.1.</w:t>
      </w:r>
      <w:r w:rsidRPr="001D7FA9">
        <w:rPr>
          <w:rStyle w:val="TextoNormalCaracter"/>
        </w:rPr>
        <w:t>-</w:t>
      </w:r>
      <w:r>
        <w:t xml:space="preserve"> Sentencia </w:t>
      </w:r>
      <w:hyperlink w:anchor="SENTENCIA_2025_26" w:history="1">
        <w:r w:rsidRPr="001D7FA9">
          <w:rPr>
            <w:rStyle w:val="TextoNormalCaracter"/>
          </w:rPr>
          <w:t>26/2025</w:t>
        </w:r>
      </w:hyperlink>
      <w:r>
        <w:t>, ff. 1, VP II.</w:t>
      </w:r>
    </w:p>
    <w:p w14:paraId="7D9244D2" w14:textId="76478726" w:rsidR="001D7FA9" w:rsidRDefault="001D7FA9" w:rsidP="001D7FA9">
      <w:pPr>
        <w:pStyle w:val="SangriaFrancesaArticulo"/>
      </w:pPr>
      <w:r w:rsidRPr="001D7FA9">
        <w:rPr>
          <w:rStyle w:val="TextoNormalNegritaCaracter"/>
        </w:rPr>
        <w:t>Artículo 27.1, tercer párrafo.</w:t>
      </w:r>
      <w:r w:rsidRPr="001D7FA9">
        <w:rPr>
          <w:rStyle w:val="TextoNormalCaracter"/>
        </w:rPr>
        <w:t>-</w:t>
      </w:r>
      <w:r>
        <w:t xml:space="preserve"> Sentencia </w:t>
      </w:r>
      <w:hyperlink w:anchor="SENTENCIA_2025_26" w:history="1">
        <w:r w:rsidRPr="001D7FA9">
          <w:rPr>
            <w:rStyle w:val="TextoNormalCaracter"/>
          </w:rPr>
          <w:t>26/2025</w:t>
        </w:r>
      </w:hyperlink>
      <w:r>
        <w:t>, f. 2.</w:t>
      </w:r>
    </w:p>
    <w:p w14:paraId="6FAA8F02" w14:textId="7851FDE4" w:rsidR="001D7FA9" w:rsidRDefault="001D7FA9" w:rsidP="001D7FA9">
      <w:pPr>
        <w:pStyle w:val="SangriaFrancesaArticulo"/>
      </w:pPr>
      <w:r w:rsidRPr="001D7FA9">
        <w:rPr>
          <w:rStyle w:val="TextoNormalNegritaCaracter"/>
        </w:rPr>
        <w:t>Artículo 27.3.</w:t>
      </w:r>
      <w:r w:rsidRPr="001D7FA9">
        <w:rPr>
          <w:rStyle w:val="TextoNormalCaracter"/>
        </w:rPr>
        <w:t>-</w:t>
      </w:r>
      <w:r>
        <w:t xml:space="preserve"> Sentencia </w:t>
      </w:r>
      <w:hyperlink w:anchor="SENTENCIA_2025_26" w:history="1">
        <w:r w:rsidRPr="001D7FA9">
          <w:rPr>
            <w:rStyle w:val="TextoNormalCaracter"/>
          </w:rPr>
          <w:t>26/2025</w:t>
        </w:r>
      </w:hyperlink>
      <w:r>
        <w:t>, ff. 1, 2.</w:t>
      </w:r>
    </w:p>
    <w:p w14:paraId="655BBB49" w14:textId="05F2C5C9" w:rsidR="001D7FA9" w:rsidRDefault="001D7FA9" w:rsidP="001D7FA9">
      <w:pPr>
        <w:pStyle w:val="SangriaFrancesaArticulo"/>
      </w:pPr>
      <w:r w:rsidRPr="001D7FA9">
        <w:rPr>
          <w:rStyle w:val="TextoNormalNegritaCaracter"/>
        </w:rPr>
        <w:t>Artículo 28.</w:t>
      </w:r>
      <w:r w:rsidRPr="001D7FA9">
        <w:rPr>
          <w:rStyle w:val="TextoNormalCaracter"/>
        </w:rPr>
        <w:t>-</w:t>
      </w:r>
      <w:r>
        <w:t xml:space="preserve"> Sentencia </w:t>
      </w:r>
      <w:hyperlink w:anchor="SENTENCIA_2025_26" w:history="1">
        <w:r w:rsidRPr="001D7FA9">
          <w:rPr>
            <w:rStyle w:val="TextoNormalCaracter"/>
          </w:rPr>
          <w:t>26/2025</w:t>
        </w:r>
      </w:hyperlink>
      <w:r>
        <w:t>, f. 2.</w:t>
      </w:r>
    </w:p>
    <w:p w14:paraId="32B0C0AD" w14:textId="0576DA10" w:rsidR="001D7FA9" w:rsidRDefault="001D7FA9" w:rsidP="001D7FA9">
      <w:pPr>
        <w:pStyle w:val="SangriaFrancesaArticulo"/>
      </w:pPr>
      <w:r w:rsidRPr="001D7FA9">
        <w:rPr>
          <w:rStyle w:val="TextoNormalNegritaCaracter"/>
        </w:rPr>
        <w:t>Artículo 28.1 b).</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31038E9C" w14:textId="7F4CDBDD" w:rsidR="001D7FA9" w:rsidRDefault="001D7FA9" w:rsidP="001D7FA9">
      <w:pPr>
        <w:pStyle w:val="SangriaFrancesaArticulo"/>
      </w:pPr>
      <w:r w:rsidRPr="001D7FA9">
        <w:rPr>
          <w:rStyle w:val="TextoNormalNegritaCaracter"/>
        </w:rPr>
        <w:t>Artículo 28.1 c).</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005E4FE8" w14:textId="00D3EFA3" w:rsidR="001D7FA9" w:rsidRDefault="001D7FA9" w:rsidP="001D7FA9">
      <w:pPr>
        <w:pStyle w:val="SangriaFrancesaArticulo"/>
      </w:pPr>
      <w:r w:rsidRPr="001D7FA9">
        <w:rPr>
          <w:rStyle w:val="TextoNormalNegritaCaracter"/>
        </w:rPr>
        <w:t>Artículo 28.1 d).</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075FED20" w14:textId="71D5F435" w:rsidR="001D7FA9" w:rsidRDefault="001D7FA9" w:rsidP="001D7FA9">
      <w:pPr>
        <w:pStyle w:val="SangriaFrancesaArticulo"/>
      </w:pPr>
      <w:r w:rsidRPr="001D7FA9">
        <w:rPr>
          <w:rStyle w:val="TextoNormalNegritaCaracter"/>
        </w:rPr>
        <w:t>Artículo 29.</w:t>
      </w:r>
      <w:r w:rsidRPr="001D7FA9">
        <w:rPr>
          <w:rStyle w:val="TextoNormalCaracter"/>
        </w:rPr>
        <w:t>-</w:t>
      </w:r>
      <w:r>
        <w:t xml:space="preserve"> Sentencia </w:t>
      </w:r>
      <w:hyperlink w:anchor="SENTENCIA_2025_26" w:history="1">
        <w:r w:rsidRPr="001D7FA9">
          <w:rPr>
            <w:rStyle w:val="TextoNormalCaracter"/>
          </w:rPr>
          <w:t>26/2025</w:t>
        </w:r>
      </w:hyperlink>
      <w:r>
        <w:t>, f. 2.</w:t>
      </w:r>
    </w:p>
    <w:p w14:paraId="5485F3DF" w14:textId="4D84D16D" w:rsidR="001D7FA9" w:rsidRDefault="001D7FA9" w:rsidP="001D7FA9">
      <w:pPr>
        <w:pStyle w:val="SangriaFrancesaArticulo"/>
      </w:pPr>
      <w:r w:rsidRPr="001D7FA9">
        <w:rPr>
          <w:rStyle w:val="TextoNormalNegritaCaracter"/>
        </w:rPr>
        <w:t>Artículo 29.2.</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552DE187" w14:textId="13851403" w:rsidR="001D7FA9" w:rsidRDefault="001D7FA9" w:rsidP="001D7FA9">
      <w:pPr>
        <w:pStyle w:val="SangriaFrancesaArticulo"/>
      </w:pPr>
      <w:r w:rsidRPr="001D7FA9">
        <w:rPr>
          <w:rStyle w:val="TextoNormalNegritaCaracter"/>
        </w:rPr>
        <w:t>Artículo 30.</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3AD517F4" w14:textId="2E536010" w:rsidR="001D7FA9" w:rsidRDefault="001D7FA9" w:rsidP="001D7FA9">
      <w:pPr>
        <w:pStyle w:val="SangriaFrancesaArticulo"/>
      </w:pPr>
      <w:r w:rsidRPr="001D7FA9">
        <w:rPr>
          <w:rStyle w:val="TextoNormalNegritaCaracter"/>
        </w:rPr>
        <w:t>Artículo 30.1.</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286715E2" w14:textId="2DD5107D" w:rsidR="001D7FA9" w:rsidRDefault="001D7FA9" w:rsidP="001D7FA9">
      <w:pPr>
        <w:pStyle w:val="SangriaFrancesaArticulo"/>
      </w:pPr>
      <w:r w:rsidRPr="001D7FA9">
        <w:rPr>
          <w:rStyle w:val="TextoNormalNegritaCaracter"/>
        </w:rPr>
        <w:t>Artículo 30.1 b).</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74D3EB3B" w14:textId="5B270983" w:rsidR="001D7FA9" w:rsidRDefault="001D7FA9" w:rsidP="001D7FA9">
      <w:pPr>
        <w:pStyle w:val="SangriaFrancesaArticulo"/>
      </w:pPr>
      <w:r w:rsidRPr="001D7FA9">
        <w:rPr>
          <w:rStyle w:val="TextoNormalNegritaCaracter"/>
        </w:rPr>
        <w:t>Artículo 30.2.</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20AF1983" w14:textId="37C6A648" w:rsidR="001D7FA9" w:rsidRDefault="001D7FA9" w:rsidP="001D7FA9">
      <w:pPr>
        <w:pStyle w:val="SangriaFrancesaArticulo"/>
      </w:pPr>
      <w:r w:rsidRPr="001D7FA9">
        <w:rPr>
          <w:rStyle w:val="TextoNormalNegritaCaracter"/>
        </w:rPr>
        <w:t>Artículo 30.3.</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5B4AA978" w14:textId="03A55AD1"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 </w:t>
      </w:r>
      <w:hyperlink w:anchor="SENTENCIA_2025_26" w:history="1">
        <w:r w:rsidRPr="001D7FA9">
          <w:rPr>
            <w:rStyle w:val="TextoNormalCaracter"/>
          </w:rPr>
          <w:t>26/2025</w:t>
        </w:r>
      </w:hyperlink>
      <w:r>
        <w:t>, f. 4, VP I, VP II.</w:t>
      </w:r>
    </w:p>
    <w:p w14:paraId="1A888D39" w14:textId="15A4842A"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Sentencia </w:t>
      </w:r>
      <w:hyperlink w:anchor="SENTENCIA_2025_26" w:history="1">
        <w:r w:rsidRPr="001D7FA9">
          <w:rPr>
            <w:rStyle w:val="TextoNormalCaracter"/>
          </w:rPr>
          <w:t>26/2025</w:t>
        </w:r>
      </w:hyperlink>
      <w:r>
        <w:t>, ff. 1, 2, 4, VP II.</w:t>
      </w:r>
    </w:p>
    <w:p w14:paraId="19F0FDB8" w14:textId="7BBB229A" w:rsidR="001D7FA9" w:rsidRDefault="001D7FA9" w:rsidP="001D7FA9">
      <w:pPr>
        <w:pStyle w:val="SangriaFrancesaArticulo"/>
      </w:pPr>
      <w:r w:rsidRPr="001D7FA9">
        <w:rPr>
          <w:rStyle w:val="TextoNormalNegritaCaracter"/>
        </w:rPr>
        <w:t>Artículo 31.1 a).</w:t>
      </w:r>
      <w:r w:rsidRPr="001D7FA9">
        <w:rPr>
          <w:rStyle w:val="TextoNormalCaracter"/>
        </w:rPr>
        <w:t>-</w:t>
      </w:r>
      <w:r>
        <w:t xml:space="preserve"> Sentencia </w:t>
      </w:r>
      <w:hyperlink w:anchor="SENTENCIA_2025_26" w:history="1">
        <w:r w:rsidRPr="001D7FA9">
          <w:rPr>
            <w:rStyle w:val="TextoNormalCaracter"/>
          </w:rPr>
          <w:t>26/2025</w:t>
        </w:r>
      </w:hyperlink>
      <w:r>
        <w:t>, f. 4.</w:t>
      </w:r>
    </w:p>
    <w:p w14:paraId="153BD419" w14:textId="43EFD8D9" w:rsidR="001D7FA9" w:rsidRDefault="001D7FA9" w:rsidP="001D7FA9">
      <w:pPr>
        <w:pStyle w:val="SangriaFrancesaArticulo"/>
      </w:pPr>
      <w:r w:rsidRPr="001D7FA9">
        <w:rPr>
          <w:rStyle w:val="TextoNormalNegritaCaracter"/>
        </w:rPr>
        <w:t>Artículo 31.1 b).</w:t>
      </w:r>
      <w:r w:rsidRPr="001D7FA9">
        <w:rPr>
          <w:rStyle w:val="TextoNormalCaracter"/>
        </w:rPr>
        <w:t>-</w:t>
      </w:r>
      <w:r>
        <w:t xml:space="preserve"> Sentencia </w:t>
      </w:r>
      <w:hyperlink w:anchor="SENTENCIA_2025_26" w:history="1">
        <w:r w:rsidRPr="001D7FA9">
          <w:rPr>
            <w:rStyle w:val="TextoNormalCaracter"/>
          </w:rPr>
          <w:t>26/2025</w:t>
        </w:r>
      </w:hyperlink>
      <w:r>
        <w:t>, f. 4.</w:t>
      </w:r>
    </w:p>
    <w:p w14:paraId="233AE053" w14:textId="1FFB36C7" w:rsidR="001D7FA9" w:rsidRDefault="001D7FA9" w:rsidP="001D7FA9">
      <w:pPr>
        <w:pStyle w:val="SangriaFrancesaArticulo"/>
      </w:pPr>
      <w:r w:rsidRPr="001D7FA9">
        <w:rPr>
          <w:rStyle w:val="TextoNormalNegritaCaracter"/>
        </w:rPr>
        <w:t>Artículo 31.1 b) inciso "precio total y conceptos en este incluidos, así como las condiciones de financiación o pago que, en su caso, pudieran establecerse".</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506FB2D6" w14:textId="15ED0336" w:rsidR="001D7FA9" w:rsidRDefault="001D7FA9" w:rsidP="001D7FA9">
      <w:pPr>
        <w:pStyle w:val="SangriaFrancesaArticulo"/>
      </w:pPr>
      <w:r w:rsidRPr="001D7FA9">
        <w:rPr>
          <w:rStyle w:val="TextoNormalNegritaCaracter"/>
        </w:rPr>
        <w:t>Artículo 31.1 c).</w:t>
      </w:r>
      <w:r w:rsidRPr="001D7FA9">
        <w:rPr>
          <w:rStyle w:val="TextoNormalCaracter"/>
        </w:rPr>
        <w:t>-</w:t>
      </w:r>
      <w:r>
        <w:t xml:space="preserve"> Sentencia </w:t>
      </w:r>
      <w:hyperlink w:anchor="SENTENCIA_2025_26" w:history="1">
        <w:r w:rsidRPr="001D7FA9">
          <w:rPr>
            <w:rStyle w:val="TextoNormalCaracter"/>
          </w:rPr>
          <w:t>26/2025</w:t>
        </w:r>
      </w:hyperlink>
      <w:r>
        <w:t>, f. 4, VP I.</w:t>
      </w:r>
    </w:p>
    <w:p w14:paraId="20B563A8" w14:textId="7E152F2C" w:rsidR="001D7FA9" w:rsidRDefault="001D7FA9" w:rsidP="001D7FA9">
      <w:pPr>
        <w:pStyle w:val="SangriaFrancesaArticulo"/>
      </w:pPr>
      <w:r w:rsidRPr="001D7FA9">
        <w:rPr>
          <w:rStyle w:val="TextoNormalNegritaCaracter"/>
        </w:rPr>
        <w:t>Artículo 31.1 c) inciso desde "entre ellas" hasta el final de la letra, incluyendo la totalidad de los subapartados 1 a 7.</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7D3F80DC" w14:textId="1197B201" w:rsidR="001D7FA9" w:rsidRDefault="001D7FA9" w:rsidP="001D7FA9">
      <w:pPr>
        <w:pStyle w:val="SangriaFrancesaArticulo"/>
      </w:pPr>
      <w:r w:rsidRPr="001D7FA9">
        <w:rPr>
          <w:rStyle w:val="TextoNormalNegritaCaracter"/>
        </w:rPr>
        <w:t>Artículo 31.1 d) inciso "la identificación registral de la finca, con la referencia de las cargas, gravámenes y afecciones de cualquier naturaleza, y la cuota de participación fijada en el título de propiedad".</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4D037916" w14:textId="48F930C9" w:rsidR="001D7FA9" w:rsidRDefault="001D7FA9" w:rsidP="001D7FA9">
      <w:pPr>
        <w:pStyle w:val="SangriaFrancesaArticulo"/>
      </w:pPr>
      <w:r w:rsidRPr="001D7FA9">
        <w:rPr>
          <w:rStyle w:val="TextoNormalNegritaCaracter"/>
        </w:rPr>
        <w:t>Artículo 31.1 f).</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50BDFA8D" w14:textId="077CB097" w:rsidR="001D7FA9" w:rsidRDefault="001D7FA9" w:rsidP="001D7FA9">
      <w:pPr>
        <w:pStyle w:val="SangriaFrancesaArticulo"/>
      </w:pPr>
      <w:r w:rsidRPr="001D7FA9">
        <w:rPr>
          <w:rStyle w:val="TextoNormalNegritaCaracter"/>
        </w:rPr>
        <w:t>Artículo 31.1 g).</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16026F91" w14:textId="0AF718D6" w:rsidR="001D7FA9" w:rsidRDefault="001D7FA9" w:rsidP="001D7FA9">
      <w:pPr>
        <w:pStyle w:val="SangriaFrancesaArticulo"/>
      </w:pPr>
      <w:r w:rsidRPr="001D7FA9">
        <w:rPr>
          <w:rStyle w:val="TextoNormalNegritaCaracter"/>
        </w:rPr>
        <w:t>Artículo 31.1 primer inciso.</w:t>
      </w:r>
      <w:r w:rsidRPr="001D7FA9">
        <w:rPr>
          <w:rStyle w:val="TextoNormalCaracter"/>
        </w:rPr>
        <w:t>-</w:t>
      </w:r>
      <w:r>
        <w:t xml:space="preserve"> Sentencia </w:t>
      </w:r>
      <w:hyperlink w:anchor="SENTENCIA_2025_26" w:history="1">
        <w:r w:rsidRPr="001D7FA9">
          <w:rPr>
            <w:rStyle w:val="TextoNormalCaracter"/>
          </w:rPr>
          <w:t>26/2025</w:t>
        </w:r>
      </w:hyperlink>
      <w:r>
        <w:t>, f. 4.</w:t>
      </w:r>
    </w:p>
    <w:p w14:paraId="04A68FBA" w14:textId="1972E6DD" w:rsidR="001D7FA9" w:rsidRDefault="001D7FA9" w:rsidP="001D7FA9">
      <w:pPr>
        <w:pStyle w:val="SangriaFrancesaArticulo"/>
      </w:pPr>
      <w:r w:rsidRPr="001D7FA9">
        <w:rPr>
          <w:rStyle w:val="TextoNormalNegritaCaracter"/>
        </w:rPr>
        <w:t>Artículo 31.2.</w:t>
      </w:r>
      <w:r w:rsidRPr="001D7FA9">
        <w:rPr>
          <w:rStyle w:val="TextoNormalCaracter"/>
        </w:rPr>
        <w:t>-</w:t>
      </w:r>
      <w:r>
        <w:t xml:space="preserve"> Sentencia </w:t>
      </w:r>
      <w:hyperlink w:anchor="SENTENCIA_2025_26" w:history="1">
        <w:r w:rsidRPr="001D7FA9">
          <w:rPr>
            <w:rStyle w:val="TextoNormalCaracter"/>
          </w:rPr>
          <w:t>26/2025</w:t>
        </w:r>
      </w:hyperlink>
      <w:r>
        <w:t>, ff. 1, 2, 4, VP II.</w:t>
      </w:r>
    </w:p>
    <w:p w14:paraId="6787A0A8" w14:textId="4BE6614B" w:rsidR="001D7FA9" w:rsidRDefault="001D7FA9" w:rsidP="001D7FA9">
      <w:pPr>
        <w:pStyle w:val="SangriaFrancesaArticulo"/>
      </w:pPr>
      <w:r w:rsidRPr="001D7FA9">
        <w:rPr>
          <w:rStyle w:val="TextoNormalNegritaCaracter"/>
        </w:rPr>
        <w:t>Disposición adicional primera.</w:t>
      </w:r>
      <w:r w:rsidRPr="001D7FA9">
        <w:rPr>
          <w:rStyle w:val="TextoNormalCaracter"/>
        </w:rPr>
        <w:t>-</w:t>
      </w:r>
      <w:r>
        <w:t xml:space="preserve"> Sentencia </w:t>
      </w:r>
      <w:hyperlink w:anchor="SENTENCIA_2025_26" w:history="1">
        <w:r w:rsidRPr="001D7FA9">
          <w:rPr>
            <w:rStyle w:val="TextoNormalCaracter"/>
          </w:rPr>
          <w:t>26/2025</w:t>
        </w:r>
      </w:hyperlink>
      <w:r>
        <w:t>, f. 5.</w:t>
      </w:r>
    </w:p>
    <w:p w14:paraId="2567526E" w14:textId="4DA42BE3" w:rsidR="001D7FA9" w:rsidRDefault="001D7FA9" w:rsidP="001D7FA9">
      <w:pPr>
        <w:pStyle w:val="SangriaFrancesaArticulo"/>
      </w:pPr>
      <w:r w:rsidRPr="001D7FA9">
        <w:rPr>
          <w:rStyle w:val="TextoNormalNegritaCaracter"/>
        </w:rPr>
        <w:t>Disposición adicional primera, apartado 1.</w:t>
      </w:r>
      <w:r w:rsidRPr="001D7FA9">
        <w:rPr>
          <w:rStyle w:val="TextoNormalCaracter"/>
        </w:rPr>
        <w:t>-</w:t>
      </w:r>
      <w:r>
        <w:t xml:space="preserve"> Sentencia </w:t>
      </w:r>
      <w:hyperlink w:anchor="SENTENCIA_2025_26" w:history="1">
        <w:r w:rsidRPr="001D7FA9">
          <w:rPr>
            <w:rStyle w:val="TextoNormalCaracter"/>
          </w:rPr>
          <w:t>26/2025</w:t>
        </w:r>
      </w:hyperlink>
      <w:r>
        <w:t>, f. 5.</w:t>
      </w:r>
    </w:p>
    <w:p w14:paraId="0422C366" w14:textId="172AD444" w:rsidR="001D7FA9" w:rsidRDefault="001D7FA9" w:rsidP="001D7FA9">
      <w:pPr>
        <w:pStyle w:val="SangriaFrancesaArticulo"/>
      </w:pPr>
      <w:r w:rsidRPr="001D7FA9">
        <w:rPr>
          <w:rStyle w:val="TextoNormalNegritaCaracter"/>
        </w:rPr>
        <w:t>Disposición adicional primera, apartado 2.</w:t>
      </w:r>
      <w:r w:rsidRPr="001D7FA9">
        <w:rPr>
          <w:rStyle w:val="TextoNormalCaracter"/>
        </w:rPr>
        <w:t>-</w:t>
      </w:r>
      <w:r>
        <w:t xml:space="preserve"> Sentencia </w:t>
      </w:r>
      <w:hyperlink w:anchor="SENTENCIA_2025_26" w:history="1">
        <w:r w:rsidRPr="001D7FA9">
          <w:rPr>
            <w:rStyle w:val="TextoNormalCaracter"/>
          </w:rPr>
          <w:t>26/2025</w:t>
        </w:r>
      </w:hyperlink>
      <w:r>
        <w:t>, f. 5.</w:t>
      </w:r>
    </w:p>
    <w:p w14:paraId="19B883E9" w14:textId="2C43539E" w:rsidR="001D7FA9" w:rsidRDefault="001D7FA9" w:rsidP="001D7FA9">
      <w:pPr>
        <w:pStyle w:val="SangriaFrancesaArticulo"/>
      </w:pPr>
      <w:r w:rsidRPr="001D7FA9">
        <w:rPr>
          <w:rStyle w:val="TextoNormalNegritaCaracter"/>
        </w:rPr>
        <w:t>Disposición adicional primera, apartado 3.</w:t>
      </w:r>
      <w:r w:rsidRPr="001D7FA9">
        <w:rPr>
          <w:rStyle w:val="TextoNormalCaracter"/>
        </w:rPr>
        <w:t>-</w:t>
      </w:r>
      <w:r>
        <w:t xml:space="preserve"> Sentencia </w:t>
      </w:r>
      <w:hyperlink w:anchor="SENTENCIA_2025_26" w:history="1">
        <w:r w:rsidRPr="001D7FA9">
          <w:rPr>
            <w:rStyle w:val="TextoNormalCaracter"/>
          </w:rPr>
          <w:t>26/2025</w:t>
        </w:r>
      </w:hyperlink>
      <w:r>
        <w:t>, f. 5.</w:t>
      </w:r>
    </w:p>
    <w:p w14:paraId="146F1FCA" w14:textId="42AA0D87" w:rsidR="001D7FA9" w:rsidRDefault="001D7FA9" w:rsidP="001D7FA9">
      <w:pPr>
        <w:pStyle w:val="SangriaFrancesaArticulo"/>
      </w:pPr>
      <w:r w:rsidRPr="001D7FA9">
        <w:rPr>
          <w:rStyle w:val="TextoNormalNegritaCaracter"/>
        </w:rPr>
        <w:t>Disposición adicional tercera.</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5ADD7714" w14:textId="73BC875F" w:rsidR="001D7FA9" w:rsidRDefault="001D7FA9" w:rsidP="001D7FA9">
      <w:pPr>
        <w:pStyle w:val="SangriaFrancesaArticulo"/>
      </w:pPr>
      <w:r w:rsidRPr="001D7FA9">
        <w:rPr>
          <w:rStyle w:val="TextoNormalNegritaCaracter"/>
        </w:rPr>
        <w:t>Disposición transitoria tercera.</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02C3E3D2" w14:textId="2F234CDE" w:rsidR="001D7FA9" w:rsidRDefault="001D7FA9" w:rsidP="001D7FA9">
      <w:pPr>
        <w:pStyle w:val="SangriaFrancesaArticulo"/>
      </w:pPr>
      <w:r w:rsidRPr="001D7FA9">
        <w:rPr>
          <w:rStyle w:val="TextoNormalNegritaCaracter"/>
        </w:rPr>
        <w:t>Disposición final primera.</w:t>
      </w:r>
      <w:r w:rsidRPr="001D7FA9">
        <w:rPr>
          <w:rStyle w:val="TextoNormalCaracter"/>
        </w:rPr>
        <w:t>-</w:t>
      </w:r>
      <w:r>
        <w:t xml:space="preserve"> Sentencia </w:t>
      </w:r>
      <w:hyperlink w:anchor="SENTENCIA_2025_26" w:history="1">
        <w:r w:rsidRPr="001D7FA9">
          <w:rPr>
            <w:rStyle w:val="TextoNormalCaracter"/>
          </w:rPr>
          <w:t>26/2025</w:t>
        </w:r>
      </w:hyperlink>
      <w:r>
        <w:t>, f. 5.</w:t>
      </w:r>
    </w:p>
    <w:p w14:paraId="2051194C" w14:textId="5E89DB27" w:rsidR="001D7FA9" w:rsidRDefault="001D7FA9" w:rsidP="001D7FA9">
      <w:pPr>
        <w:pStyle w:val="SangriaFrancesaArticulo"/>
      </w:pPr>
      <w:r w:rsidRPr="001D7FA9">
        <w:rPr>
          <w:rStyle w:val="TextoNormalNegritaCaracter"/>
        </w:rPr>
        <w:t>Disposición final primera, apartado 1.</w:t>
      </w:r>
      <w:r w:rsidRPr="001D7FA9">
        <w:rPr>
          <w:rStyle w:val="TextoNormalCaracter"/>
        </w:rPr>
        <w:t>-</w:t>
      </w:r>
      <w:r>
        <w:t xml:space="preserve"> Sentencia </w:t>
      </w:r>
      <w:hyperlink w:anchor="SENTENCIA_2025_26" w:history="1">
        <w:r w:rsidRPr="001D7FA9">
          <w:rPr>
            <w:rStyle w:val="TextoNormalCaracter"/>
          </w:rPr>
          <w:t>26/2025</w:t>
        </w:r>
      </w:hyperlink>
      <w:r>
        <w:t>, f. 5.</w:t>
      </w:r>
    </w:p>
    <w:p w14:paraId="5CFCF92C" w14:textId="064C607C" w:rsidR="001D7FA9" w:rsidRDefault="001D7FA9" w:rsidP="001D7FA9">
      <w:pPr>
        <w:pStyle w:val="SangriaFrancesaArticulo"/>
      </w:pPr>
      <w:r w:rsidRPr="001D7FA9">
        <w:rPr>
          <w:rStyle w:val="TextoNormalNegritaCaracter"/>
        </w:rPr>
        <w:t>Disposición final primera, apartado 3.</w:t>
      </w:r>
      <w:r w:rsidRPr="001D7FA9">
        <w:rPr>
          <w:rStyle w:val="TextoNormalCaracter"/>
        </w:rPr>
        <w:t>-</w:t>
      </w:r>
      <w:r>
        <w:t xml:space="preserve"> Sentencia </w:t>
      </w:r>
      <w:hyperlink w:anchor="SENTENCIA_2025_26" w:history="1">
        <w:r w:rsidRPr="001D7FA9">
          <w:rPr>
            <w:rStyle w:val="TextoNormalCaracter"/>
          </w:rPr>
          <w:t>26/2025</w:t>
        </w:r>
      </w:hyperlink>
      <w:r>
        <w:t>, ff. 1, 2, 5, VP I, VP II.</w:t>
      </w:r>
    </w:p>
    <w:p w14:paraId="5B6E2FC4" w14:textId="6812B4C0" w:rsidR="001D7FA9" w:rsidRDefault="001D7FA9" w:rsidP="001D7FA9">
      <w:pPr>
        <w:pStyle w:val="SangriaFrancesaArticulo"/>
      </w:pPr>
      <w:r w:rsidRPr="001D7FA9">
        <w:rPr>
          <w:rStyle w:val="TextoNormalNegritaCaracter"/>
        </w:rPr>
        <w:t>Disposición final primera, apartado 6.</w:t>
      </w:r>
      <w:r w:rsidRPr="001D7FA9">
        <w:rPr>
          <w:rStyle w:val="TextoNormalCaracter"/>
        </w:rPr>
        <w:t>-</w:t>
      </w:r>
      <w:r>
        <w:t xml:space="preserve"> Sentencia </w:t>
      </w:r>
      <w:hyperlink w:anchor="SENTENCIA_2025_26" w:history="1">
        <w:r w:rsidRPr="001D7FA9">
          <w:rPr>
            <w:rStyle w:val="TextoNormalCaracter"/>
          </w:rPr>
          <w:t>26/2025</w:t>
        </w:r>
      </w:hyperlink>
      <w:r>
        <w:t>, f. 5.</w:t>
      </w:r>
    </w:p>
    <w:p w14:paraId="3F9C5104" w14:textId="56E0E2D6" w:rsidR="001D7FA9" w:rsidRDefault="001D7FA9" w:rsidP="001D7FA9">
      <w:pPr>
        <w:pStyle w:val="SangriaFrancesaArticulo"/>
      </w:pPr>
      <w:r w:rsidRPr="001D7FA9">
        <w:rPr>
          <w:rStyle w:val="TextoNormalNegritaCaracter"/>
        </w:rPr>
        <w:t>Disposición final cuarta.</w:t>
      </w:r>
      <w:r w:rsidRPr="001D7FA9">
        <w:rPr>
          <w:rStyle w:val="TextoNormalCaracter"/>
        </w:rPr>
        <w:t>-</w:t>
      </w:r>
      <w:r>
        <w:t xml:space="preserve"> Sentencia </w:t>
      </w:r>
      <w:hyperlink w:anchor="SENTENCIA_2025_26" w:history="1">
        <w:r w:rsidRPr="001D7FA9">
          <w:rPr>
            <w:rStyle w:val="TextoNormalCaracter"/>
          </w:rPr>
          <w:t>26/2025</w:t>
        </w:r>
      </w:hyperlink>
      <w:r>
        <w:t>, ff. 1, 2, VP II.</w:t>
      </w:r>
    </w:p>
    <w:p w14:paraId="4B9CB770" w14:textId="5FA8DEC0" w:rsidR="001D7FA9" w:rsidRDefault="001D7FA9" w:rsidP="001D7FA9">
      <w:pPr>
        <w:pStyle w:val="SangriaFrancesaArticulo"/>
      </w:pPr>
      <w:r w:rsidRPr="001D7FA9">
        <w:rPr>
          <w:rStyle w:val="TextoNormalNegritaCaracter"/>
        </w:rPr>
        <w:t>Disposición final quinta.</w:t>
      </w:r>
      <w:r w:rsidRPr="001D7FA9">
        <w:rPr>
          <w:rStyle w:val="TextoNormalCaracter"/>
        </w:rPr>
        <w:t>-</w:t>
      </w:r>
      <w:r>
        <w:t xml:space="preserve"> Sentencia </w:t>
      </w:r>
      <w:hyperlink w:anchor="SENTENCIA_2025_26" w:history="1">
        <w:r w:rsidRPr="001D7FA9">
          <w:rPr>
            <w:rStyle w:val="TextoNormalCaracter"/>
          </w:rPr>
          <w:t>26/2025</w:t>
        </w:r>
      </w:hyperlink>
      <w:r>
        <w:t>, ff. 1, 6, 7, VP II.</w:t>
      </w:r>
    </w:p>
    <w:p w14:paraId="2FF2CDAB" w14:textId="53CF94DC" w:rsidR="001D7FA9" w:rsidRDefault="001D7FA9" w:rsidP="001D7FA9">
      <w:pPr>
        <w:pStyle w:val="SangriaFrancesaArticulo"/>
      </w:pPr>
      <w:r w:rsidRPr="001D7FA9">
        <w:rPr>
          <w:rStyle w:val="TextoNormalNegritaCaracter"/>
        </w:rPr>
        <w:t>Disposición final quinta, apartado 2.</w:t>
      </w:r>
      <w:r w:rsidRPr="001D7FA9">
        <w:rPr>
          <w:rStyle w:val="TextoNormalCaracter"/>
        </w:rPr>
        <w:t>-</w:t>
      </w:r>
      <w:r>
        <w:t xml:space="preserve"> Sentencia </w:t>
      </w:r>
      <w:hyperlink w:anchor="SENTENCIA_2025_26" w:history="1">
        <w:r w:rsidRPr="001D7FA9">
          <w:rPr>
            <w:rStyle w:val="TextoNormalCaracter"/>
          </w:rPr>
          <w:t>26/2025</w:t>
        </w:r>
      </w:hyperlink>
      <w:r>
        <w:t>, ff. 1, 2, 6, VP II.</w:t>
      </w:r>
    </w:p>
    <w:p w14:paraId="3B7B20E4" w14:textId="70C06323" w:rsidR="001D7FA9" w:rsidRDefault="001D7FA9" w:rsidP="001D7FA9">
      <w:pPr>
        <w:pStyle w:val="SangriaFrancesaArticulo"/>
      </w:pPr>
      <w:r w:rsidRPr="001D7FA9">
        <w:rPr>
          <w:rStyle w:val="TextoNormalNegritaCaracter"/>
        </w:rPr>
        <w:t>Disposición final quinta, apartado 4.</w:t>
      </w:r>
      <w:r w:rsidRPr="001D7FA9">
        <w:rPr>
          <w:rStyle w:val="TextoNormalCaracter"/>
        </w:rPr>
        <w:t>-</w:t>
      </w:r>
      <w:r>
        <w:t xml:space="preserve"> Sentencia </w:t>
      </w:r>
      <w:hyperlink w:anchor="SENTENCIA_2025_26" w:history="1">
        <w:r w:rsidRPr="001D7FA9">
          <w:rPr>
            <w:rStyle w:val="TextoNormalCaracter"/>
          </w:rPr>
          <w:t>26/2025</w:t>
        </w:r>
      </w:hyperlink>
      <w:r>
        <w:t>, f. 6.</w:t>
      </w:r>
    </w:p>
    <w:p w14:paraId="6A8CB5FE" w14:textId="195BBD64" w:rsidR="001D7FA9" w:rsidRDefault="001D7FA9" w:rsidP="001D7FA9">
      <w:pPr>
        <w:pStyle w:val="SangriaFrancesaArticulo"/>
      </w:pPr>
      <w:r w:rsidRPr="001D7FA9">
        <w:rPr>
          <w:rStyle w:val="TextoNormalNegritaCaracter"/>
        </w:rPr>
        <w:t>Disposición final quinta, apartado 6.</w:t>
      </w:r>
      <w:r w:rsidRPr="001D7FA9">
        <w:rPr>
          <w:rStyle w:val="TextoNormalCaracter"/>
        </w:rPr>
        <w:t>-</w:t>
      </w:r>
      <w:r>
        <w:t xml:space="preserve"> Sentencia </w:t>
      </w:r>
      <w:hyperlink w:anchor="SENTENCIA_2025_26" w:history="1">
        <w:r w:rsidRPr="001D7FA9">
          <w:rPr>
            <w:rStyle w:val="TextoNormalCaracter"/>
          </w:rPr>
          <w:t>26/2025</w:t>
        </w:r>
      </w:hyperlink>
      <w:r>
        <w:t>, ff. 1, 2, 6.</w:t>
      </w:r>
    </w:p>
    <w:p w14:paraId="70F8C151" w14:textId="2156514E" w:rsidR="001D7FA9" w:rsidRDefault="001D7FA9" w:rsidP="001D7FA9">
      <w:pPr>
        <w:pStyle w:val="SangriaFrancesaArticulo"/>
      </w:pPr>
      <w:r w:rsidRPr="001D7FA9">
        <w:rPr>
          <w:rStyle w:val="TextoNormalNegritaCaracter"/>
        </w:rPr>
        <w:t>Disposición final quinta, apartado 8.</w:t>
      </w:r>
      <w:r w:rsidRPr="001D7FA9">
        <w:rPr>
          <w:rStyle w:val="TextoNormalCaracter"/>
        </w:rPr>
        <w:t>-</w:t>
      </w:r>
      <w:r>
        <w:t xml:space="preserve"> Sentencia </w:t>
      </w:r>
      <w:hyperlink w:anchor="SENTENCIA_2025_26" w:history="1">
        <w:r w:rsidRPr="001D7FA9">
          <w:rPr>
            <w:rStyle w:val="TextoNormalCaracter"/>
          </w:rPr>
          <w:t>26/2025</w:t>
        </w:r>
      </w:hyperlink>
      <w:r>
        <w:t>, f. 7, VP II.</w:t>
      </w:r>
    </w:p>
    <w:p w14:paraId="452C4ADF" w14:textId="6F8D2693" w:rsidR="001D7FA9" w:rsidRDefault="001D7FA9" w:rsidP="001D7FA9">
      <w:pPr>
        <w:pStyle w:val="SangriaFrancesaArticulo"/>
      </w:pPr>
      <w:r w:rsidRPr="001D7FA9">
        <w:rPr>
          <w:rStyle w:val="TextoNormalNegritaCaracter"/>
        </w:rPr>
        <w:t>Disposición final séptima.</w:t>
      </w:r>
      <w:r w:rsidRPr="001D7FA9">
        <w:rPr>
          <w:rStyle w:val="TextoNormalCaracter"/>
        </w:rPr>
        <w:t>-</w:t>
      </w:r>
      <w:r>
        <w:t xml:space="preserve"> Sentencia </w:t>
      </w:r>
      <w:hyperlink w:anchor="SENTENCIA_2025_26" w:history="1">
        <w:r w:rsidRPr="001D7FA9">
          <w:rPr>
            <w:rStyle w:val="TextoNormalCaracter"/>
          </w:rPr>
          <w:t>26/2025</w:t>
        </w:r>
      </w:hyperlink>
      <w:r>
        <w:t>, f. 4.</w:t>
      </w:r>
    </w:p>
    <w:p w14:paraId="1E4976F8" w14:textId="61408F7E" w:rsidR="001D7FA9" w:rsidRDefault="001D7FA9" w:rsidP="001D7FA9">
      <w:pPr>
        <w:pStyle w:val="SangriaFrancesaArticulo"/>
      </w:pPr>
      <w:r w:rsidRPr="001D7FA9">
        <w:rPr>
          <w:rStyle w:val="TextoNormalNegritaCaracter"/>
        </w:rPr>
        <w:t>Disposición final séptima, apartado 1.</w:t>
      </w:r>
      <w:r w:rsidRPr="001D7FA9">
        <w:rPr>
          <w:rStyle w:val="TextoNormalCaracter"/>
        </w:rPr>
        <w:t>-</w:t>
      </w:r>
      <w:r>
        <w:t xml:space="preserve"> Sentencia </w:t>
      </w:r>
      <w:hyperlink w:anchor="SENTENCIA_2025_26" w:history="1">
        <w:r w:rsidRPr="001D7FA9">
          <w:rPr>
            <w:rStyle w:val="TextoNormalCaracter"/>
          </w:rPr>
          <w:t>26/2025</w:t>
        </w:r>
      </w:hyperlink>
      <w:r>
        <w:t>, VP I.</w:t>
      </w:r>
    </w:p>
    <w:p w14:paraId="5C935B4D" w14:textId="7BA9FAB4" w:rsidR="001D7FA9" w:rsidRDefault="001D7FA9" w:rsidP="001D7FA9">
      <w:pPr>
        <w:pStyle w:val="SangriaFrancesaArticulo"/>
      </w:pPr>
      <w:r w:rsidRPr="001D7FA9">
        <w:rPr>
          <w:rStyle w:val="TextoNormalNegritaCaracter"/>
        </w:rPr>
        <w:t>Disposición final séptima, apartado 4.</w:t>
      </w:r>
      <w:r w:rsidRPr="001D7FA9">
        <w:rPr>
          <w:rStyle w:val="TextoNormalCaracter"/>
        </w:rPr>
        <w:t>-</w:t>
      </w:r>
      <w:r>
        <w:t xml:space="preserve"> Sentencia </w:t>
      </w:r>
      <w:hyperlink w:anchor="SENTENCIA_2025_26" w:history="1">
        <w:r w:rsidRPr="001D7FA9">
          <w:rPr>
            <w:rStyle w:val="TextoNormalCaracter"/>
          </w:rPr>
          <w:t>26/2025</w:t>
        </w:r>
      </w:hyperlink>
      <w:r>
        <w:t>, f. 4.</w:t>
      </w:r>
    </w:p>
    <w:p w14:paraId="6445B0F6" w14:textId="60A2B1FF" w:rsidR="001D7FA9" w:rsidRDefault="001D7FA9" w:rsidP="001D7FA9">
      <w:pPr>
        <w:pStyle w:val="TextoNormal"/>
      </w:pPr>
    </w:p>
    <w:p w14:paraId="01DA6CA9" w14:textId="77777777" w:rsidR="001D7FA9" w:rsidRDefault="001D7FA9" w:rsidP="001D7FA9">
      <w:pPr>
        <w:pStyle w:val="SangriaFrancesaArticulo"/>
      </w:pPr>
      <w:bookmarkStart w:id="216" w:name="INDICE22847"/>
    </w:p>
    <w:bookmarkEnd w:id="216"/>
    <w:p w14:paraId="2EE0A3A8" w14:textId="77777777" w:rsidR="001D7FA9" w:rsidRDefault="001D7FA9" w:rsidP="001D7FA9">
      <w:pPr>
        <w:pStyle w:val="TextoIndiceNivel2"/>
        <w:suppressAutoHyphens/>
      </w:pPr>
      <w:r>
        <w:t>F) Reales Decretos Legislativos</w:t>
      </w:r>
    </w:p>
    <w:p w14:paraId="74DC8F5B" w14:textId="4C7490B7" w:rsidR="001D7FA9" w:rsidRDefault="001D7FA9" w:rsidP="001D7FA9">
      <w:pPr>
        <w:pStyle w:val="TextoIndiceNivel2"/>
      </w:pPr>
    </w:p>
    <w:p w14:paraId="423841F3" w14:textId="77777777" w:rsidR="001D7FA9" w:rsidRDefault="001D7FA9" w:rsidP="001D7FA9">
      <w:pPr>
        <w:pStyle w:val="TextoNormalNegritaCursivandice"/>
        <w:keepNext/>
      </w:pPr>
      <w:r>
        <w:t>Real Decreto Legislativo 1/1992, de 26 de junio, por el que se aprueba el texto refundido de la Ley sobre el régimen del suelo y ordenación urbana</w:t>
      </w:r>
    </w:p>
    <w:p w14:paraId="2CCCAEB7" w14:textId="6F9A1F53" w:rsidR="001D7FA9" w:rsidRDefault="001D7FA9" w:rsidP="001D7FA9">
      <w:pPr>
        <w:pStyle w:val="SangriaFrancesaArticulo"/>
      </w:pPr>
      <w:r w:rsidRPr="001D7FA9">
        <w:rPr>
          <w:rStyle w:val="TextoNormalNegritaCaracter"/>
        </w:rPr>
        <w:t>Artículo 21.1.</w:t>
      </w:r>
      <w:r w:rsidRPr="001D7FA9">
        <w:rPr>
          <w:rStyle w:val="TextoNormalCaracter"/>
        </w:rPr>
        <w:t>-</w:t>
      </w:r>
      <w:r>
        <w:t xml:space="preserve"> Sentencia </w:t>
      </w:r>
      <w:hyperlink w:anchor="SENTENCIA_2025_64" w:history="1">
        <w:r w:rsidRPr="001D7FA9">
          <w:rPr>
            <w:rStyle w:val="TextoNormalCaracter"/>
          </w:rPr>
          <w:t>64/2025</w:t>
        </w:r>
      </w:hyperlink>
      <w:r>
        <w:t>, f. 4.</w:t>
      </w:r>
    </w:p>
    <w:p w14:paraId="535934FF" w14:textId="20530AA9" w:rsidR="001D7FA9" w:rsidRDefault="001D7FA9" w:rsidP="001D7FA9">
      <w:pPr>
        <w:pStyle w:val="SangriaFrancesaArticulo"/>
      </w:pPr>
    </w:p>
    <w:p w14:paraId="29BE1A55" w14:textId="77777777" w:rsidR="001D7FA9" w:rsidRDefault="001D7FA9" w:rsidP="001D7FA9">
      <w:pPr>
        <w:pStyle w:val="TextoNormalNegritaCursivandice"/>
        <w:keepNext/>
      </w:pPr>
      <w:r>
        <w:t>Real Decreto Legislativo 2/1995, de 7 de abril, por el que se aprueba el texto refundido de la Ley de procedimiento laboral</w:t>
      </w:r>
    </w:p>
    <w:p w14:paraId="278799AA" w14:textId="27F48B7A" w:rsidR="001D7FA9" w:rsidRDefault="001D7FA9" w:rsidP="001D7FA9">
      <w:pPr>
        <w:pStyle w:val="SangriaFrancesaArticulo"/>
      </w:pPr>
      <w:r w:rsidRPr="001D7FA9">
        <w:rPr>
          <w:rStyle w:val="TextoNormalNegritaCaracter"/>
        </w:rPr>
        <w:t>Artículo 104.</w:t>
      </w:r>
      <w:r w:rsidRPr="001D7FA9">
        <w:rPr>
          <w:rStyle w:val="TextoNormalCaracter"/>
        </w:rPr>
        <w:t>-</w:t>
      </w:r>
      <w:r>
        <w:t xml:space="preserve"> Sentencia </w:t>
      </w:r>
      <w:hyperlink w:anchor="SENTENCIA_2025_55" w:history="1">
        <w:r w:rsidRPr="001D7FA9">
          <w:rPr>
            <w:rStyle w:val="TextoNormalCaracter"/>
          </w:rPr>
          <w:t>55/2025</w:t>
        </w:r>
      </w:hyperlink>
      <w:r>
        <w:t>, f. 3.</w:t>
      </w:r>
    </w:p>
    <w:p w14:paraId="47343364" w14:textId="5E46B336" w:rsidR="001D7FA9" w:rsidRDefault="001D7FA9" w:rsidP="001D7FA9">
      <w:pPr>
        <w:pStyle w:val="SangriaFrancesaArticulo"/>
      </w:pPr>
      <w:r w:rsidRPr="001D7FA9">
        <w:rPr>
          <w:rStyle w:val="TextoNormalNegritaCaracter"/>
        </w:rPr>
        <w:t>Artículo 105.</w:t>
      </w:r>
      <w:r w:rsidRPr="001D7FA9">
        <w:rPr>
          <w:rStyle w:val="TextoNormalCaracter"/>
        </w:rPr>
        <w:t>-</w:t>
      </w:r>
      <w:r>
        <w:t xml:space="preserve"> Sentencia </w:t>
      </w:r>
      <w:hyperlink w:anchor="SENTENCIA_2025_55" w:history="1">
        <w:r w:rsidRPr="001D7FA9">
          <w:rPr>
            <w:rStyle w:val="TextoNormalCaracter"/>
          </w:rPr>
          <w:t>55/2025</w:t>
        </w:r>
      </w:hyperlink>
      <w:r>
        <w:t>, f. 3.</w:t>
      </w:r>
    </w:p>
    <w:p w14:paraId="32BB1751" w14:textId="4E7A5C4F" w:rsidR="001D7FA9" w:rsidRDefault="001D7FA9" w:rsidP="001D7FA9">
      <w:pPr>
        <w:pStyle w:val="SangriaFrancesaArticulo"/>
      </w:pPr>
    </w:p>
    <w:p w14:paraId="1D3544DC" w14:textId="77777777" w:rsidR="001D7FA9" w:rsidRDefault="001D7FA9" w:rsidP="001D7FA9">
      <w:pPr>
        <w:pStyle w:val="TextoNormalNegritaCursivandice"/>
        <w:keepNext/>
      </w:pPr>
      <w:r>
        <w:t>Real Decreto Legislativo 5/2000, de 4 de agosto, por el que se aprueba el texto refundido de la Ley sobre infracciones y sanciones en el orden social</w:t>
      </w:r>
    </w:p>
    <w:p w14:paraId="52FC4E5D" w14:textId="3236C5F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8" w:history="1">
        <w:r w:rsidRPr="001D7FA9">
          <w:rPr>
            <w:rStyle w:val="TextoNormalCaracter"/>
          </w:rPr>
          <w:t>28/2025</w:t>
        </w:r>
      </w:hyperlink>
      <w:r>
        <w:t>, f. 3.</w:t>
      </w:r>
    </w:p>
    <w:p w14:paraId="023157B5" w14:textId="37E81CC6" w:rsidR="001D7FA9" w:rsidRDefault="001D7FA9" w:rsidP="001D7FA9">
      <w:pPr>
        <w:pStyle w:val="SangriaFrancesaArticulo"/>
      </w:pPr>
      <w:r w:rsidRPr="001D7FA9">
        <w:rPr>
          <w:rStyle w:val="TextoNormalNegritaCaracter"/>
        </w:rPr>
        <w:t>Artículo 8.11.</w:t>
      </w:r>
      <w:r w:rsidRPr="001D7FA9">
        <w:rPr>
          <w:rStyle w:val="TextoNormalCaracter"/>
        </w:rPr>
        <w:t>-</w:t>
      </w:r>
      <w:r>
        <w:t xml:space="preserve"> Sentencia </w:t>
      </w:r>
      <w:hyperlink w:anchor="SENTENCIA_2025_28" w:history="1">
        <w:r w:rsidRPr="001D7FA9">
          <w:rPr>
            <w:rStyle w:val="TextoNormalCaracter"/>
          </w:rPr>
          <w:t>28/2025</w:t>
        </w:r>
      </w:hyperlink>
      <w:r>
        <w:t>, f. 3.</w:t>
      </w:r>
    </w:p>
    <w:p w14:paraId="18594C3F" w14:textId="4E4B4CC7" w:rsidR="001D7FA9" w:rsidRDefault="001D7FA9" w:rsidP="001D7FA9">
      <w:pPr>
        <w:pStyle w:val="SangriaFrancesaArticulo"/>
      </w:pPr>
      <w:r w:rsidRPr="001D7FA9">
        <w:rPr>
          <w:rStyle w:val="TextoNormalNegritaCaracter"/>
        </w:rPr>
        <w:t>Artículo 8.12.</w:t>
      </w:r>
      <w:r w:rsidRPr="001D7FA9">
        <w:rPr>
          <w:rStyle w:val="TextoNormalCaracter"/>
        </w:rPr>
        <w:t>-</w:t>
      </w:r>
      <w:r>
        <w:t xml:space="preserve"> Sentencia </w:t>
      </w:r>
      <w:hyperlink w:anchor="SENTENCIA_2025_28" w:history="1">
        <w:r w:rsidRPr="001D7FA9">
          <w:rPr>
            <w:rStyle w:val="TextoNormalCaracter"/>
          </w:rPr>
          <w:t>28/2025</w:t>
        </w:r>
      </w:hyperlink>
      <w:r>
        <w:t>, f. 3.</w:t>
      </w:r>
    </w:p>
    <w:p w14:paraId="6F41C45D" w14:textId="491727A9" w:rsidR="001D7FA9" w:rsidRDefault="001D7FA9" w:rsidP="001D7FA9">
      <w:pPr>
        <w:pStyle w:val="SangriaFrancesaArticulo"/>
      </w:pPr>
    </w:p>
    <w:p w14:paraId="259B79A4" w14:textId="77777777" w:rsidR="001D7FA9" w:rsidRDefault="001D7FA9" w:rsidP="001D7FA9">
      <w:pPr>
        <w:pStyle w:val="TextoNormalNegritaCursivandice"/>
        <w:keepNext/>
      </w:pPr>
      <w:r>
        <w:t>Real Decreto Legislativo 2/2004, de 5 de marzo, por el que se aprueba el texto refundido de la Ley reguladora de las haciendas locales</w:t>
      </w:r>
    </w:p>
    <w:p w14:paraId="7B8A365A" w14:textId="6A1D048E" w:rsidR="001D7FA9" w:rsidRDefault="001D7FA9" w:rsidP="001D7FA9">
      <w:pPr>
        <w:pStyle w:val="SangriaFrancesaArticulo"/>
      </w:pPr>
      <w:r w:rsidRPr="001D7FA9">
        <w:rPr>
          <w:rStyle w:val="TextoNormalNegritaCaracter"/>
        </w:rPr>
        <w:t>Artículo 107.</w:t>
      </w:r>
      <w:r w:rsidRPr="001D7FA9">
        <w:rPr>
          <w:rStyle w:val="TextoNormalCaracter"/>
        </w:rPr>
        <w:t>-</w:t>
      </w:r>
      <w:r>
        <w:t xml:space="preserve"> Sentencia </w:t>
      </w:r>
      <w:hyperlink w:anchor="SENTENCIA_2025_98" w:history="1">
        <w:r w:rsidRPr="001D7FA9">
          <w:rPr>
            <w:rStyle w:val="TextoNormalCaracter"/>
          </w:rPr>
          <w:t>98/2025</w:t>
        </w:r>
      </w:hyperlink>
      <w:r>
        <w:t>, f. 3.</w:t>
      </w:r>
    </w:p>
    <w:p w14:paraId="6E472C42" w14:textId="759B0E30" w:rsidR="001D7FA9" w:rsidRDefault="001D7FA9" w:rsidP="001D7FA9">
      <w:pPr>
        <w:pStyle w:val="SangriaFrancesaArticulo"/>
      </w:pPr>
      <w:r w:rsidRPr="001D7FA9">
        <w:rPr>
          <w:rStyle w:val="TextoNormalNegritaCaracter"/>
        </w:rPr>
        <w:t>Artículo 107.1 párrafo 2.</w:t>
      </w:r>
      <w:r w:rsidRPr="001D7FA9">
        <w:rPr>
          <w:rStyle w:val="TextoNormalCaracter"/>
        </w:rPr>
        <w:t>-</w:t>
      </w:r>
      <w:r>
        <w:t xml:space="preserve"> Sentencia </w:t>
      </w:r>
      <w:hyperlink w:anchor="SENTENCIA_2025_98" w:history="1">
        <w:r w:rsidRPr="001D7FA9">
          <w:rPr>
            <w:rStyle w:val="TextoNormalCaracter"/>
          </w:rPr>
          <w:t>98/2025</w:t>
        </w:r>
      </w:hyperlink>
      <w:r>
        <w:t>, f. 3.</w:t>
      </w:r>
    </w:p>
    <w:p w14:paraId="23C391B4" w14:textId="0AEC36DE" w:rsidR="001D7FA9" w:rsidRDefault="001D7FA9" w:rsidP="001D7FA9">
      <w:pPr>
        <w:pStyle w:val="SangriaFrancesaArticulo"/>
      </w:pPr>
      <w:r w:rsidRPr="001D7FA9">
        <w:rPr>
          <w:rStyle w:val="TextoNormalNegritaCaracter"/>
        </w:rPr>
        <w:t>Artículo 107.2 a).</w:t>
      </w:r>
      <w:r w:rsidRPr="001D7FA9">
        <w:rPr>
          <w:rStyle w:val="TextoNormalCaracter"/>
        </w:rPr>
        <w:t>-</w:t>
      </w:r>
      <w:r>
        <w:t xml:space="preserve"> Sentencia </w:t>
      </w:r>
      <w:hyperlink w:anchor="SENTENCIA_2025_98" w:history="1">
        <w:r w:rsidRPr="001D7FA9">
          <w:rPr>
            <w:rStyle w:val="TextoNormalCaracter"/>
          </w:rPr>
          <w:t>98/2025</w:t>
        </w:r>
      </w:hyperlink>
      <w:r>
        <w:t>, f. 3.</w:t>
      </w:r>
    </w:p>
    <w:p w14:paraId="64506FF0" w14:textId="29EB695F" w:rsidR="001D7FA9" w:rsidRDefault="001D7FA9" w:rsidP="001D7FA9">
      <w:pPr>
        <w:pStyle w:val="SangriaFrancesaArticulo"/>
      </w:pPr>
      <w:r w:rsidRPr="001D7FA9">
        <w:rPr>
          <w:rStyle w:val="TextoNormalNegritaCaracter"/>
        </w:rPr>
        <w:t>Artículo 107.4.</w:t>
      </w:r>
      <w:r w:rsidRPr="001D7FA9">
        <w:rPr>
          <w:rStyle w:val="TextoNormalCaracter"/>
        </w:rPr>
        <w:t>-</w:t>
      </w:r>
      <w:r>
        <w:t xml:space="preserve"> Sentencia </w:t>
      </w:r>
      <w:hyperlink w:anchor="SENTENCIA_2025_98" w:history="1">
        <w:r w:rsidRPr="001D7FA9">
          <w:rPr>
            <w:rStyle w:val="TextoNormalCaracter"/>
          </w:rPr>
          <w:t>98/2025</w:t>
        </w:r>
      </w:hyperlink>
      <w:r>
        <w:t>, ff. 1, 3.</w:t>
      </w:r>
    </w:p>
    <w:p w14:paraId="10FFC33F" w14:textId="3EF1FBAA" w:rsidR="001D7FA9" w:rsidRDefault="001D7FA9" w:rsidP="001D7FA9">
      <w:pPr>
        <w:pStyle w:val="SangriaFrancesaArticulo"/>
      </w:pPr>
    </w:p>
    <w:p w14:paraId="142939B1" w14:textId="77777777" w:rsidR="001D7FA9" w:rsidRDefault="001D7FA9" w:rsidP="001D7FA9">
      <w:pPr>
        <w:pStyle w:val="TextoNormalNegritaCursivandice"/>
        <w:keepNext/>
      </w:pPr>
      <w:r>
        <w:t>Real Decreto Legislativo 1/2007, de 16 de noviembre, por el que se aprueba el texto refundido de la Ley general para la defensa de los consumidores y usuarios y otras leyes complementarias</w:t>
      </w:r>
    </w:p>
    <w:p w14:paraId="3AD26F4B" w14:textId="56DC5A65" w:rsidR="001D7FA9" w:rsidRDefault="001D7FA9" w:rsidP="001D7FA9">
      <w:pPr>
        <w:pStyle w:val="SangriaFrancesaArticulo"/>
      </w:pPr>
      <w:r w:rsidRPr="001D7FA9">
        <w:rPr>
          <w:rStyle w:val="TextoNormalNegritaCaracter"/>
        </w:rPr>
        <w:t>Artículo 8.1 b).</w:t>
      </w:r>
      <w:r w:rsidRPr="001D7FA9">
        <w:rPr>
          <w:rStyle w:val="TextoNormalCaracter"/>
        </w:rPr>
        <w:t>-</w:t>
      </w:r>
      <w:r>
        <w:t xml:space="preserve"> Sentencia </w:t>
      </w:r>
      <w:hyperlink w:anchor="SENTENCIA_2025_121" w:history="1">
        <w:r w:rsidRPr="001D7FA9">
          <w:rPr>
            <w:rStyle w:val="TextoNormalCaracter"/>
          </w:rPr>
          <w:t>121/2025</w:t>
        </w:r>
      </w:hyperlink>
      <w:r>
        <w:t>, f. 2.</w:t>
      </w:r>
    </w:p>
    <w:p w14:paraId="4D098726" w14:textId="0B311877" w:rsidR="001D7FA9" w:rsidRDefault="001D7FA9" w:rsidP="001D7FA9">
      <w:pPr>
        <w:pStyle w:val="SangriaFrancesaArticulo"/>
      </w:pPr>
      <w:r w:rsidRPr="001D7FA9">
        <w:rPr>
          <w:rStyle w:val="TextoNormalNegritaCaracter"/>
        </w:rPr>
        <w:t>Artículo 8.1 c).</w:t>
      </w:r>
      <w:r w:rsidRPr="001D7FA9">
        <w:rPr>
          <w:rStyle w:val="TextoNormalCaracter"/>
        </w:rPr>
        <w:t>-</w:t>
      </w:r>
      <w:r>
        <w:t xml:space="preserve"> Sentencia </w:t>
      </w:r>
      <w:hyperlink w:anchor="SENTENCIA_2025_121" w:history="1">
        <w:r w:rsidRPr="001D7FA9">
          <w:rPr>
            <w:rStyle w:val="TextoNormalCaracter"/>
          </w:rPr>
          <w:t>121/2025</w:t>
        </w:r>
      </w:hyperlink>
      <w:r>
        <w:t>, f. 2.</w:t>
      </w:r>
    </w:p>
    <w:p w14:paraId="580E185A" w14:textId="41B47FC3" w:rsidR="001D7FA9" w:rsidRDefault="001D7FA9" w:rsidP="001D7FA9">
      <w:pPr>
        <w:pStyle w:val="SangriaFrancesaArticulo"/>
      </w:pPr>
      <w:r w:rsidRPr="001D7FA9">
        <w:rPr>
          <w:rStyle w:val="TextoNormalNegritaCaracter"/>
        </w:rPr>
        <w:t>Artículo 83.</w:t>
      </w:r>
      <w:r w:rsidRPr="001D7FA9">
        <w:rPr>
          <w:rStyle w:val="TextoNormalCaracter"/>
        </w:rPr>
        <w:t>-</w:t>
      </w:r>
      <w:r>
        <w:t xml:space="preserve"> Sentencia </w:t>
      </w:r>
      <w:hyperlink w:anchor="SENTENCIA_2025_121" w:history="1">
        <w:r w:rsidRPr="001D7FA9">
          <w:rPr>
            <w:rStyle w:val="TextoNormalCaracter"/>
          </w:rPr>
          <w:t>121/2025</w:t>
        </w:r>
      </w:hyperlink>
      <w:r>
        <w:t>, f. 2.</w:t>
      </w:r>
    </w:p>
    <w:p w14:paraId="6CE43ABC" w14:textId="0AAE3403" w:rsidR="001D7FA9" w:rsidRDefault="001D7FA9" w:rsidP="001D7FA9">
      <w:pPr>
        <w:pStyle w:val="SangriaFrancesaArticulo"/>
      </w:pPr>
    </w:p>
    <w:p w14:paraId="450A06D3" w14:textId="77777777" w:rsidR="001D7FA9" w:rsidRDefault="001D7FA9" w:rsidP="001D7FA9">
      <w:pPr>
        <w:pStyle w:val="TextoNormalNegritaCursivandice"/>
        <w:keepNext/>
      </w:pPr>
      <w:r>
        <w:t>Real Decreto Legislativo 2/2008, de 20 de junio, por el que se aprueba el texto refundido de la Ley de suelo</w:t>
      </w:r>
    </w:p>
    <w:p w14:paraId="363EFF87" w14:textId="23DB3FF8" w:rsidR="001D7FA9" w:rsidRDefault="001D7FA9" w:rsidP="001D7FA9">
      <w:pPr>
        <w:pStyle w:val="SangriaFrancesaArticulo"/>
      </w:pPr>
      <w:r w:rsidRPr="001D7FA9">
        <w:rPr>
          <w:rStyle w:val="TextoNormalNegritaCaracter"/>
        </w:rPr>
        <w:t>Artículo 2.4.</w:t>
      </w:r>
      <w:r w:rsidRPr="001D7FA9">
        <w:rPr>
          <w:rStyle w:val="TextoNormalCaracter"/>
        </w:rPr>
        <w:t>-</w:t>
      </w:r>
      <w:r>
        <w:t xml:space="preserve"> Sentencia </w:t>
      </w:r>
      <w:hyperlink w:anchor="SENTENCIA_2025_64" w:history="1">
        <w:r w:rsidRPr="001D7FA9">
          <w:rPr>
            <w:rStyle w:val="TextoNormalCaracter"/>
          </w:rPr>
          <w:t>64/2025</w:t>
        </w:r>
      </w:hyperlink>
      <w:r>
        <w:t>, f. 4.</w:t>
      </w:r>
    </w:p>
    <w:p w14:paraId="768A92B6" w14:textId="65969615" w:rsidR="001D7FA9" w:rsidRDefault="001D7FA9" w:rsidP="001D7FA9">
      <w:pPr>
        <w:pStyle w:val="SangriaFrancesaArticulo"/>
      </w:pPr>
      <w:r w:rsidRPr="001D7FA9">
        <w:rPr>
          <w:rStyle w:val="TextoNormalNegritaCaracter"/>
        </w:rPr>
        <w:t>Artículo 9.1.</w:t>
      </w:r>
      <w:r w:rsidRPr="001D7FA9">
        <w:rPr>
          <w:rStyle w:val="TextoNormalCaracter"/>
        </w:rPr>
        <w:t>-</w:t>
      </w:r>
      <w:r>
        <w:t xml:space="preserve"> Sentencia </w:t>
      </w:r>
      <w:hyperlink w:anchor="SENTENCIA_2025_64" w:history="1">
        <w:r w:rsidRPr="001D7FA9">
          <w:rPr>
            <w:rStyle w:val="TextoNormalCaracter"/>
          </w:rPr>
          <w:t>64/2025</w:t>
        </w:r>
      </w:hyperlink>
      <w:r>
        <w:t>, f. 4.</w:t>
      </w:r>
    </w:p>
    <w:p w14:paraId="59B2D6AF" w14:textId="792CD779" w:rsidR="001D7FA9" w:rsidRDefault="001D7FA9" w:rsidP="001D7FA9">
      <w:pPr>
        <w:pStyle w:val="SangriaFrancesaArticulo"/>
      </w:pPr>
      <w:r w:rsidRPr="001D7FA9">
        <w:rPr>
          <w:rStyle w:val="TextoNormalNegritaCaracter"/>
        </w:rPr>
        <w:t>Artículo 10.1 b).</w:t>
      </w:r>
      <w:r w:rsidRPr="001D7FA9">
        <w:rPr>
          <w:rStyle w:val="TextoNormalCaracter"/>
        </w:rPr>
        <w:t>-</w:t>
      </w:r>
      <w:r>
        <w:t xml:space="preserve"> Sentencia </w:t>
      </w:r>
      <w:hyperlink w:anchor="SENTENCIA_2025_26" w:history="1">
        <w:r w:rsidRPr="001D7FA9">
          <w:rPr>
            <w:rStyle w:val="TextoNormalCaracter"/>
          </w:rPr>
          <w:t>26/2025</w:t>
        </w:r>
      </w:hyperlink>
      <w:r>
        <w:t>, VP I.</w:t>
      </w:r>
    </w:p>
    <w:p w14:paraId="2BF59CEB" w14:textId="0891BAAB" w:rsidR="001D7FA9" w:rsidRDefault="001D7FA9" w:rsidP="001D7FA9">
      <w:pPr>
        <w:pStyle w:val="SangriaFrancesaArticulo"/>
      </w:pPr>
    </w:p>
    <w:p w14:paraId="5FCC6150" w14:textId="77777777" w:rsidR="001D7FA9" w:rsidRDefault="001D7FA9" w:rsidP="001D7FA9">
      <w:pPr>
        <w:pStyle w:val="TextoNormalNegritaCursivandice"/>
        <w:keepNext/>
      </w:pPr>
      <w:r>
        <w:t>Real Decreto Legislativo 2/2015, de 23 de octubre, por el que se aprueba el texto refundido de la Ley del estatuto de los trabajadores</w:t>
      </w:r>
    </w:p>
    <w:p w14:paraId="489DFE10" w14:textId="04921184" w:rsidR="001D7FA9" w:rsidRDefault="001D7FA9" w:rsidP="001D7FA9">
      <w:pPr>
        <w:pStyle w:val="SangriaFrancesaArticulo"/>
      </w:pPr>
      <w:r w:rsidRPr="001D7FA9">
        <w:rPr>
          <w:rStyle w:val="TextoNormalNegritaCaracter"/>
        </w:rPr>
        <w:t>Artículo 4.2 e).</w:t>
      </w:r>
      <w:r w:rsidRPr="001D7FA9">
        <w:rPr>
          <w:rStyle w:val="TextoNormalCaracter"/>
        </w:rPr>
        <w:t>-</w:t>
      </w:r>
      <w:r>
        <w:t xml:space="preserve"> Sentencia </w:t>
      </w:r>
      <w:hyperlink w:anchor="SENTENCIA_2025_28" w:history="1">
        <w:r w:rsidRPr="001D7FA9">
          <w:rPr>
            <w:rStyle w:val="TextoNormalCaracter"/>
          </w:rPr>
          <w:t>28/2025</w:t>
        </w:r>
      </w:hyperlink>
      <w:r>
        <w:t>, f. 3.</w:t>
      </w:r>
    </w:p>
    <w:p w14:paraId="40988D03" w14:textId="4785C9A7" w:rsidR="001D7FA9" w:rsidRDefault="001D7FA9" w:rsidP="001D7FA9">
      <w:pPr>
        <w:pStyle w:val="SangriaFrancesaArticulo"/>
      </w:pPr>
      <w:r w:rsidRPr="001D7FA9">
        <w:rPr>
          <w:rStyle w:val="TextoNormalNegritaCaracter"/>
        </w:rPr>
        <w:t>Articulo 20.3.</w:t>
      </w:r>
      <w:r w:rsidRPr="001D7FA9">
        <w:rPr>
          <w:rStyle w:val="TextoNormalCaracter"/>
        </w:rPr>
        <w:t>-</w:t>
      </w:r>
      <w:r>
        <w:t xml:space="preserve"> Sentencia </w:t>
      </w:r>
      <w:hyperlink w:anchor="SENTENCIA_2025_28" w:history="1">
        <w:r w:rsidRPr="001D7FA9">
          <w:rPr>
            <w:rStyle w:val="TextoNormalCaracter"/>
          </w:rPr>
          <w:t>28/2025</w:t>
        </w:r>
      </w:hyperlink>
      <w:r>
        <w:t>, f. 3.</w:t>
      </w:r>
    </w:p>
    <w:p w14:paraId="070A0079" w14:textId="0C3B3BBB" w:rsidR="001D7FA9" w:rsidRDefault="001D7FA9" w:rsidP="001D7FA9">
      <w:pPr>
        <w:pStyle w:val="SangriaFrancesaArticulo"/>
      </w:pPr>
      <w:r w:rsidRPr="001D7FA9">
        <w:rPr>
          <w:rStyle w:val="TextoNormalNegritaCaracter"/>
        </w:rPr>
        <w:t>Artículo 48</w:t>
      </w:r>
      <w:r>
        <w:t xml:space="preserve"> (redactado por el Real Decreto-ley 6/2019, de 1 de marzo)</w:t>
      </w:r>
      <w:r w:rsidRPr="001D7FA9">
        <w:rPr>
          <w:rStyle w:val="TextoNormalNegritaCaracter"/>
        </w:rPr>
        <w:t>.</w:t>
      </w:r>
      <w:r w:rsidRPr="001D7FA9">
        <w:rPr>
          <w:rStyle w:val="TextoNormalCaracter"/>
        </w:rPr>
        <w:t>-</w:t>
      </w:r>
      <w:r>
        <w:t xml:space="preserve"> Sentencia </w:t>
      </w:r>
      <w:hyperlink w:anchor="SENTENCIA_2025_60" w:history="1">
        <w:r w:rsidRPr="001D7FA9">
          <w:rPr>
            <w:rStyle w:val="TextoNormalCaracter"/>
          </w:rPr>
          <w:t>60/2025</w:t>
        </w:r>
      </w:hyperlink>
      <w:r>
        <w:t>, f. 1.</w:t>
      </w:r>
    </w:p>
    <w:p w14:paraId="65D9B972" w14:textId="1A9CE6A0" w:rsidR="001D7FA9" w:rsidRDefault="001D7FA9" w:rsidP="001D7FA9">
      <w:pPr>
        <w:pStyle w:val="SangriaFrancesaArticulo"/>
      </w:pPr>
      <w:r w:rsidRPr="001D7FA9">
        <w:rPr>
          <w:rStyle w:val="TextoNormalNegritaCaracter"/>
        </w:rPr>
        <w:t>Artículo 48.4.</w:t>
      </w:r>
      <w:r w:rsidRPr="001D7FA9">
        <w:rPr>
          <w:rStyle w:val="TextoNormalCaracter"/>
        </w:rPr>
        <w:t>-</w:t>
      </w:r>
      <w:r>
        <w:t xml:space="preserve"> Sentencia </w:t>
      </w:r>
      <w:hyperlink w:anchor="SENTENCIA_2025_5" w:history="1">
        <w:r w:rsidRPr="001D7FA9">
          <w:rPr>
            <w:rStyle w:val="TextoNormalCaracter"/>
          </w:rPr>
          <w:t>5/2025</w:t>
        </w:r>
      </w:hyperlink>
      <w:r>
        <w:t>, f. único.</w:t>
      </w:r>
    </w:p>
    <w:p w14:paraId="28BA47A7" w14:textId="057FD523" w:rsidR="001D7FA9" w:rsidRDefault="001D7FA9" w:rsidP="001D7FA9">
      <w:pPr>
        <w:pStyle w:val="SangriaIzquierdaArticulo"/>
      </w:pPr>
      <w:r>
        <w:t xml:space="preserve">Autos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9" w:history="1">
        <w:r w:rsidRPr="001D7FA9">
          <w:rPr>
            <w:rStyle w:val="TextoNormalCaracter"/>
          </w:rPr>
          <w:t>49/2025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8" w:history="1">
        <w:r w:rsidRPr="001D7FA9">
          <w:rPr>
            <w:rStyle w:val="TextoNormalCaracter"/>
          </w:rPr>
          <w:t>58/2025</w:t>
        </w:r>
      </w:hyperlink>
      <w:r>
        <w:t>, f. único.</w:t>
      </w:r>
    </w:p>
    <w:p w14:paraId="6790ED58" w14:textId="567F26EF" w:rsidR="001D7FA9" w:rsidRDefault="001D7FA9" w:rsidP="001D7FA9">
      <w:pPr>
        <w:pStyle w:val="SangriaFrancesaArticulo"/>
      </w:pPr>
      <w:r w:rsidRPr="001D7FA9">
        <w:rPr>
          <w:rStyle w:val="TextoNormalNegritaCaracter"/>
        </w:rPr>
        <w:t>Artículo 48.4</w:t>
      </w:r>
      <w:r>
        <w:t xml:space="preserve"> (redactado por el Real Decreto-ley 6/2019, de 1 de marzo)</w:t>
      </w:r>
      <w:r w:rsidRPr="001D7FA9">
        <w:rPr>
          <w:rStyle w:val="TextoNormalNegritaCaracter"/>
        </w:rPr>
        <w:t>.</w:t>
      </w:r>
      <w:r w:rsidRPr="001D7FA9">
        <w:rPr>
          <w:rStyle w:val="TextoNormalCaracter"/>
        </w:rPr>
        <w:t>-</w:t>
      </w:r>
      <w:r>
        <w:t xml:space="preserve"> Sentencias </w:t>
      </w:r>
      <w:hyperlink w:anchor="SENTENCIA_2025_4" w:history="1">
        <w:r w:rsidRPr="001D7FA9">
          <w:rPr>
            <w:rStyle w:val="TextoNormalCaracter"/>
          </w:rPr>
          <w:t>4/2025</w:t>
        </w:r>
      </w:hyperlink>
      <w:r>
        <w:t xml:space="preserve">, ff. 1, 3; </w:t>
      </w:r>
      <w:hyperlink w:anchor="SENTENCIA_2025_6" w:history="1">
        <w:r w:rsidRPr="001D7FA9">
          <w:rPr>
            <w:rStyle w:val="TextoNormalCaracter"/>
          </w:rPr>
          <w:t>6/2025</w:t>
        </w:r>
      </w:hyperlink>
      <w:r>
        <w:t xml:space="preserve">, ff. 1 a 3; </w:t>
      </w:r>
      <w:hyperlink w:anchor="SENTENCIA_2025_7" w:history="1">
        <w:r w:rsidRPr="001D7FA9">
          <w:rPr>
            <w:rStyle w:val="TextoNormalCaracter"/>
          </w:rPr>
          <w:t>7/2025</w:t>
        </w:r>
      </w:hyperlink>
      <w:r>
        <w:t xml:space="preserve">, f. único; </w:t>
      </w:r>
      <w:hyperlink w:anchor="SENTENCIA_2025_8" w:history="1">
        <w:r w:rsidRPr="001D7FA9">
          <w:rPr>
            <w:rStyle w:val="TextoNormalCaracter"/>
          </w:rPr>
          <w:t>8/2025</w:t>
        </w:r>
      </w:hyperlink>
      <w:r>
        <w:t xml:space="preserve">, ff. 1 a 3; </w:t>
      </w:r>
      <w:hyperlink w:anchor="SENTENCIA_2025_9" w:history="1">
        <w:r w:rsidRPr="001D7FA9">
          <w:rPr>
            <w:rStyle w:val="TextoNormalCaracter"/>
          </w:rPr>
          <w:t>9/2025</w:t>
        </w:r>
      </w:hyperlink>
      <w:r>
        <w:t xml:space="preserve">, ff. 1, 2; </w:t>
      </w:r>
      <w:hyperlink w:anchor="SENTENCIA_2025_10" w:history="1">
        <w:r w:rsidRPr="001D7FA9">
          <w:rPr>
            <w:rStyle w:val="TextoNormalCaracter"/>
          </w:rPr>
          <w:t>10/2025</w:t>
        </w:r>
      </w:hyperlink>
      <w:r>
        <w:t xml:space="preserve">, ff. 1, 3; </w:t>
      </w:r>
      <w:hyperlink w:anchor="SENTENCIA_2025_11" w:history="1">
        <w:r w:rsidRPr="001D7FA9">
          <w:rPr>
            <w:rStyle w:val="TextoNormalCaracter"/>
          </w:rPr>
          <w:t>11/2025</w:t>
        </w:r>
      </w:hyperlink>
      <w:r>
        <w:t xml:space="preserve">, ff. 1, 2; </w:t>
      </w:r>
      <w:hyperlink w:anchor="SENTENCIA_2025_17" w:history="1">
        <w:r w:rsidRPr="001D7FA9">
          <w:rPr>
            <w:rStyle w:val="TextoNormalCaracter"/>
          </w:rPr>
          <w:t>17/2025</w:t>
        </w:r>
      </w:hyperlink>
      <w:r>
        <w:t xml:space="preserve">, f. único; </w:t>
      </w:r>
      <w:hyperlink w:anchor="SENTENCIA_2025_18" w:history="1">
        <w:r w:rsidRPr="001D7FA9">
          <w:rPr>
            <w:rStyle w:val="TextoNormalCaracter"/>
          </w:rPr>
          <w:t>18/2025</w:t>
        </w:r>
      </w:hyperlink>
      <w:r>
        <w:t xml:space="preserve">, f. único; </w:t>
      </w:r>
      <w:hyperlink w:anchor="SENTENCIA_2025_19" w:history="1">
        <w:r w:rsidRPr="001D7FA9">
          <w:rPr>
            <w:rStyle w:val="TextoNormalCaracter"/>
          </w:rPr>
          <w:t>19/2025</w:t>
        </w:r>
      </w:hyperlink>
      <w:r>
        <w:t xml:space="preserve">, f. único; </w:t>
      </w:r>
      <w:hyperlink w:anchor="SENTENCIA_2025_20" w:history="1">
        <w:r w:rsidRPr="001D7FA9">
          <w:rPr>
            <w:rStyle w:val="TextoNormalCaracter"/>
          </w:rPr>
          <w:t>20/2025</w:t>
        </w:r>
      </w:hyperlink>
      <w:r>
        <w:t xml:space="preserve">, f. único; </w:t>
      </w:r>
      <w:hyperlink w:anchor="SENTENCIA_2025_21" w:history="1">
        <w:r w:rsidRPr="001D7FA9">
          <w:rPr>
            <w:rStyle w:val="TextoNormalCaracter"/>
          </w:rPr>
          <w:t>21/2025</w:t>
        </w:r>
      </w:hyperlink>
      <w:r>
        <w:t xml:space="preserve">, f. 1; </w:t>
      </w:r>
      <w:hyperlink w:anchor="SENTENCIA_2025_22" w:history="1">
        <w:r w:rsidRPr="001D7FA9">
          <w:rPr>
            <w:rStyle w:val="TextoNormalCaracter"/>
          </w:rPr>
          <w:t>22/2025</w:t>
        </w:r>
      </w:hyperlink>
      <w:r>
        <w:t xml:space="preserve">, f. único; </w:t>
      </w:r>
      <w:hyperlink w:anchor="SENTENCIA_2025_23" w:history="1">
        <w:r w:rsidRPr="001D7FA9">
          <w:rPr>
            <w:rStyle w:val="TextoNormalCaracter"/>
          </w:rPr>
          <w:t>23/2025</w:t>
        </w:r>
      </w:hyperlink>
      <w:r>
        <w:t xml:space="preserve">, ff. 1, 2; </w:t>
      </w:r>
      <w:hyperlink w:anchor="SENTENCIA_2025_24" w:history="1">
        <w:r w:rsidRPr="001D7FA9">
          <w:rPr>
            <w:rStyle w:val="TextoNormalCaracter"/>
          </w:rPr>
          <w:t>24/2025</w:t>
        </w:r>
      </w:hyperlink>
      <w:r>
        <w:t xml:space="preserve">, ff. 1, 2; </w:t>
      </w:r>
      <w:hyperlink w:anchor="SENTENCIA_2025_29" w:history="1">
        <w:r w:rsidRPr="001D7FA9">
          <w:rPr>
            <w:rStyle w:val="TextoNormalCaracter"/>
          </w:rPr>
          <w:t>29/2025</w:t>
        </w:r>
      </w:hyperlink>
      <w:r>
        <w:t xml:space="preserve">, f. único; </w:t>
      </w:r>
      <w:hyperlink w:anchor="SENTENCIA_2025_30" w:history="1">
        <w:r w:rsidRPr="001D7FA9">
          <w:rPr>
            <w:rStyle w:val="TextoNormalCaracter"/>
          </w:rPr>
          <w:t>30/2025</w:t>
        </w:r>
      </w:hyperlink>
      <w:r>
        <w:t xml:space="preserve">, ff. 1, 2; </w:t>
      </w:r>
      <w:hyperlink w:anchor="SENTENCIA_2025_32" w:history="1">
        <w:r w:rsidRPr="001D7FA9">
          <w:rPr>
            <w:rStyle w:val="TextoNormalCaracter"/>
          </w:rPr>
          <w:t>32/2025</w:t>
        </w:r>
      </w:hyperlink>
      <w:r>
        <w:t xml:space="preserve">, ff. 1, 2; </w:t>
      </w:r>
      <w:hyperlink w:anchor="SENTENCIA_2025_33" w:history="1">
        <w:r w:rsidRPr="001D7FA9">
          <w:rPr>
            <w:rStyle w:val="TextoNormalCaracter"/>
          </w:rPr>
          <w:t>33/2025</w:t>
        </w:r>
      </w:hyperlink>
      <w:r>
        <w:t xml:space="preserve">, ff. 1, 2; </w:t>
      </w:r>
      <w:hyperlink w:anchor="SENTENCIA_2025_34" w:history="1">
        <w:r w:rsidRPr="001D7FA9">
          <w:rPr>
            <w:rStyle w:val="TextoNormalCaracter"/>
          </w:rPr>
          <w:t>34/2025</w:t>
        </w:r>
      </w:hyperlink>
      <w:r>
        <w:t xml:space="preserve">, f. único; </w:t>
      </w:r>
      <w:hyperlink w:anchor="SENTENCIA_2025_35" w:history="1">
        <w:r w:rsidRPr="001D7FA9">
          <w:rPr>
            <w:rStyle w:val="TextoNormalCaracter"/>
          </w:rPr>
          <w:t>35/2025</w:t>
        </w:r>
      </w:hyperlink>
      <w:r>
        <w:t xml:space="preserve">, ff. 1, 2; </w:t>
      </w:r>
      <w:hyperlink w:anchor="SENTENCIA_2025_36" w:history="1">
        <w:r w:rsidRPr="001D7FA9">
          <w:rPr>
            <w:rStyle w:val="TextoNormalCaracter"/>
          </w:rPr>
          <w:t>36/2025</w:t>
        </w:r>
      </w:hyperlink>
      <w:r>
        <w:t xml:space="preserve">, f. único; </w:t>
      </w:r>
      <w:hyperlink w:anchor="SENTENCIA_2025_38" w:history="1">
        <w:r w:rsidRPr="001D7FA9">
          <w:rPr>
            <w:rStyle w:val="TextoNormalCaracter"/>
          </w:rPr>
          <w:t>38/2025</w:t>
        </w:r>
      </w:hyperlink>
      <w:r>
        <w:t xml:space="preserve">, ff. 1, 2; </w:t>
      </w:r>
      <w:hyperlink w:anchor="SENTENCIA_2025_39" w:history="1">
        <w:r w:rsidRPr="001D7FA9">
          <w:rPr>
            <w:rStyle w:val="TextoNormalCaracter"/>
          </w:rPr>
          <w:t>39/2025</w:t>
        </w:r>
      </w:hyperlink>
      <w:r>
        <w:t xml:space="preserve">, ff. 1, 2; </w:t>
      </w:r>
      <w:hyperlink w:anchor="SENTENCIA_2025_46" w:history="1">
        <w:r w:rsidRPr="001D7FA9">
          <w:rPr>
            <w:rStyle w:val="TextoNormalCaracter"/>
          </w:rPr>
          <w:t>46/2025</w:t>
        </w:r>
      </w:hyperlink>
      <w:r>
        <w:t xml:space="preserve">, f. único; </w:t>
      </w:r>
      <w:hyperlink w:anchor="SENTENCIA_2025_47" w:history="1">
        <w:r w:rsidRPr="001D7FA9">
          <w:rPr>
            <w:rStyle w:val="TextoNormalCaracter"/>
          </w:rPr>
          <w:t>47/2025</w:t>
        </w:r>
      </w:hyperlink>
      <w:r>
        <w:t xml:space="preserve">, f. único; </w:t>
      </w:r>
      <w:hyperlink w:anchor="SENTENCIA_2025_48" w:history="1">
        <w:r w:rsidRPr="001D7FA9">
          <w:rPr>
            <w:rStyle w:val="TextoNormalCaracter"/>
          </w:rPr>
          <w:t>48/2025</w:t>
        </w:r>
      </w:hyperlink>
      <w:r>
        <w:t xml:space="preserve">, ff. 1, 2; </w:t>
      </w:r>
      <w:hyperlink w:anchor="SENTENCIA_2025_50" w:history="1">
        <w:r w:rsidRPr="001D7FA9">
          <w:rPr>
            <w:rStyle w:val="TextoNormalCaracter"/>
          </w:rPr>
          <w:t>50/2025</w:t>
        </w:r>
      </w:hyperlink>
      <w:r>
        <w:t xml:space="preserve">, ff. 1, 2; </w:t>
      </w:r>
      <w:hyperlink w:anchor="SENTENCIA_2025_56" w:history="1">
        <w:r w:rsidRPr="001D7FA9">
          <w:rPr>
            <w:rStyle w:val="TextoNormalCaracter"/>
          </w:rPr>
          <w:t>56/2025</w:t>
        </w:r>
      </w:hyperlink>
      <w:r>
        <w:t xml:space="preserve">, ff. 1, 2; </w:t>
      </w:r>
      <w:hyperlink w:anchor="SENTENCIA_2025_57" w:history="1">
        <w:r w:rsidRPr="001D7FA9">
          <w:rPr>
            <w:rStyle w:val="TextoNormalCaracter"/>
          </w:rPr>
          <w:t>57/2025</w:t>
        </w:r>
      </w:hyperlink>
      <w:r>
        <w:t xml:space="preserve">, ff. 1, 2; </w:t>
      </w:r>
      <w:hyperlink w:anchor="SENTENCIA_2025_58" w:history="1">
        <w:r w:rsidRPr="001D7FA9">
          <w:rPr>
            <w:rStyle w:val="TextoNormalCaracter"/>
          </w:rPr>
          <w:t>58/2025</w:t>
        </w:r>
      </w:hyperlink>
      <w:r>
        <w:t xml:space="preserve">, f. 2; </w:t>
      </w:r>
      <w:hyperlink w:anchor="SENTENCIA_2025_59" w:history="1">
        <w:r w:rsidRPr="001D7FA9">
          <w:rPr>
            <w:rStyle w:val="TextoNormalCaracter"/>
          </w:rPr>
          <w:t>59/2025</w:t>
        </w:r>
      </w:hyperlink>
      <w:r>
        <w:t xml:space="preserve">, ff. 1, 2; </w:t>
      </w:r>
      <w:hyperlink w:anchor="SENTENCIA_2025_61" w:history="1">
        <w:r w:rsidRPr="001D7FA9">
          <w:rPr>
            <w:rStyle w:val="TextoNormalCaracter"/>
          </w:rPr>
          <w:t>61/2025</w:t>
        </w:r>
      </w:hyperlink>
      <w:r>
        <w:t xml:space="preserve">, f. único; </w:t>
      </w:r>
      <w:hyperlink w:anchor="SENTENCIA_2025_65" w:history="1">
        <w:r w:rsidRPr="001D7FA9">
          <w:rPr>
            <w:rStyle w:val="TextoNormalCaracter"/>
          </w:rPr>
          <w:t>65/2025</w:t>
        </w:r>
      </w:hyperlink>
      <w:r>
        <w:t xml:space="preserve">, f. único; </w:t>
      </w:r>
      <w:hyperlink w:anchor="SENTENCIA_2025_66" w:history="1">
        <w:r w:rsidRPr="001D7FA9">
          <w:rPr>
            <w:rStyle w:val="TextoNormalCaracter"/>
          </w:rPr>
          <w:t>66/2025</w:t>
        </w:r>
      </w:hyperlink>
      <w:r>
        <w:t xml:space="preserve">, f. 2; </w:t>
      </w:r>
      <w:hyperlink w:anchor="SENTENCIA_2025_67" w:history="1">
        <w:r w:rsidRPr="001D7FA9">
          <w:rPr>
            <w:rStyle w:val="TextoNormalCaracter"/>
          </w:rPr>
          <w:t>67/2025</w:t>
        </w:r>
      </w:hyperlink>
      <w:r>
        <w:t xml:space="preserve">, ff. 1, 2; </w:t>
      </w:r>
      <w:hyperlink w:anchor="SENTENCIA_2025_68" w:history="1">
        <w:r w:rsidRPr="001D7FA9">
          <w:rPr>
            <w:rStyle w:val="TextoNormalCaracter"/>
          </w:rPr>
          <w:t>68/2025</w:t>
        </w:r>
      </w:hyperlink>
      <w:r>
        <w:t xml:space="preserve">, ff. 1, 2; </w:t>
      </w:r>
      <w:hyperlink w:anchor="SENTENCIA_2025_70" w:history="1">
        <w:r w:rsidRPr="001D7FA9">
          <w:rPr>
            <w:rStyle w:val="TextoNormalCaracter"/>
          </w:rPr>
          <w:t>70/2025</w:t>
        </w:r>
      </w:hyperlink>
      <w:r>
        <w:t xml:space="preserve">, ff. 1, 2; </w:t>
      </w:r>
      <w:hyperlink w:anchor="SENTENCIA_2025_71" w:history="1">
        <w:r w:rsidRPr="001D7FA9">
          <w:rPr>
            <w:rStyle w:val="TextoNormalCaracter"/>
          </w:rPr>
          <w:t>71/2025</w:t>
        </w:r>
      </w:hyperlink>
      <w:r>
        <w:t xml:space="preserve">, f. único; </w:t>
      </w:r>
      <w:hyperlink w:anchor="SENTENCIA_2025_72" w:history="1">
        <w:r w:rsidRPr="001D7FA9">
          <w:rPr>
            <w:rStyle w:val="TextoNormalCaracter"/>
          </w:rPr>
          <w:t>72/2025</w:t>
        </w:r>
      </w:hyperlink>
      <w:r>
        <w:t xml:space="preserve">, f. único; </w:t>
      </w:r>
      <w:hyperlink w:anchor="SENTENCIA_2025_73" w:history="1">
        <w:r w:rsidRPr="001D7FA9">
          <w:rPr>
            <w:rStyle w:val="TextoNormalCaracter"/>
          </w:rPr>
          <w:t>73/2025</w:t>
        </w:r>
      </w:hyperlink>
      <w:r>
        <w:t xml:space="preserve">, ff. 1, 2; </w:t>
      </w:r>
      <w:hyperlink w:anchor="SENTENCIA_2025_74" w:history="1">
        <w:r w:rsidRPr="001D7FA9">
          <w:rPr>
            <w:rStyle w:val="TextoNormalCaracter"/>
          </w:rPr>
          <w:t>74/2025</w:t>
        </w:r>
      </w:hyperlink>
      <w:r>
        <w:t xml:space="preserve">, f. único; </w:t>
      </w:r>
      <w:hyperlink w:anchor="SENTENCIA_2025_75" w:history="1">
        <w:r w:rsidRPr="001D7FA9">
          <w:rPr>
            <w:rStyle w:val="TextoNormalCaracter"/>
          </w:rPr>
          <w:t>75/2025</w:t>
        </w:r>
      </w:hyperlink>
      <w:r>
        <w:t xml:space="preserve">, f. único; </w:t>
      </w:r>
      <w:hyperlink w:anchor="SENTENCIA_2025_76" w:history="1">
        <w:r w:rsidRPr="001D7FA9">
          <w:rPr>
            <w:rStyle w:val="TextoNormalCaracter"/>
          </w:rPr>
          <w:t>76/2025</w:t>
        </w:r>
      </w:hyperlink>
      <w:r>
        <w:t xml:space="preserve">, ff. 1, 2; </w:t>
      </w:r>
      <w:hyperlink w:anchor="SENTENCIA_2025_77" w:history="1">
        <w:r w:rsidRPr="001D7FA9">
          <w:rPr>
            <w:rStyle w:val="TextoNormalCaracter"/>
          </w:rPr>
          <w:t>77/2025</w:t>
        </w:r>
      </w:hyperlink>
      <w:r>
        <w:t xml:space="preserve">, f. único; </w:t>
      </w:r>
      <w:hyperlink w:anchor="SENTENCIA_2025_78" w:history="1">
        <w:r w:rsidRPr="001D7FA9">
          <w:rPr>
            <w:rStyle w:val="TextoNormalCaracter"/>
          </w:rPr>
          <w:t>78/2025</w:t>
        </w:r>
      </w:hyperlink>
      <w:r>
        <w:t xml:space="preserve">, f. único; </w:t>
      </w:r>
      <w:hyperlink w:anchor="SENTENCIA_2025_79" w:history="1">
        <w:r w:rsidRPr="001D7FA9">
          <w:rPr>
            <w:rStyle w:val="TextoNormalCaracter"/>
          </w:rPr>
          <w:t>79/2025</w:t>
        </w:r>
      </w:hyperlink>
      <w:r>
        <w:t xml:space="preserve">, ff. 1, 3; </w:t>
      </w:r>
      <w:hyperlink w:anchor="SENTENCIA_2025_80" w:history="1">
        <w:r w:rsidRPr="001D7FA9">
          <w:rPr>
            <w:rStyle w:val="TextoNormalCaracter"/>
          </w:rPr>
          <w:t>80/2025</w:t>
        </w:r>
      </w:hyperlink>
      <w:r>
        <w:t xml:space="preserve">, ff. 1, 2; </w:t>
      </w:r>
      <w:hyperlink w:anchor="SENTENCIA_2025_81" w:history="1">
        <w:r w:rsidRPr="001D7FA9">
          <w:rPr>
            <w:rStyle w:val="TextoNormalCaracter"/>
          </w:rPr>
          <w:t>81/2025</w:t>
        </w:r>
      </w:hyperlink>
      <w:r>
        <w:t xml:space="preserve">, ff. 1, 2; </w:t>
      </w:r>
      <w:hyperlink w:anchor="SENTENCIA_2025_88" w:history="1">
        <w:r w:rsidRPr="001D7FA9">
          <w:rPr>
            <w:rStyle w:val="TextoNormalCaracter"/>
          </w:rPr>
          <w:t>88/2025</w:t>
        </w:r>
      </w:hyperlink>
      <w:r>
        <w:t xml:space="preserve">, ff. 1, 2; </w:t>
      </w:r>
      <w:hyperlink w:anchor="SENTENCIA_2025_89" w:history="1">
        <w:r w:rsidRPr="001D7FA9">
          <w:rPr>
            <w:rStyle w:val="TextoNormalCaracter"/>
          </w:rPr>
          <w:t>89/2025</w:t>
        </w:r>
      </w:hyperlink>
      <w:r>
        <w:t xml:space="preserve">, ff. 1, 2; </w:t>
      </w:r>
      <w:hyperlink w:anchor="SENTENCIA_2025_90" w:history="1">
        <w:r w:rsidRPr="001D7FA9">
          <w:rPr>
            <w:rStyle w:val="TextoNormalCaracter"/>
          </w:rPr>
          <w:t>90/2025</w:t>
        </w:r>
      </w:hyperlink>
      <w:r>
        <w:t xml:space="preserve">, ff. 1, 2; </w:t>
      </w:r>
      <w:hyperlink w:anchor="SENTENCIA_2025_91" w:history="1">
        <w:r w:rsidRPr="001D7FA9">
          <w:rPr>
            <w:rStyle w:val="TextoNormalCaracter"/>
          </w:rPr>
          <w:t>91/2025</w:t>
        </w:r>
      </w:hyperlink>
      <w:r>
        <w:t xml:space="preserve">, f. único; </w:t>
      </w:r>
      <w:hyperlink w:anchor="SENTENCIA_2025_92" w:history="1">
        <w:r w:rsidRPr="001D7FA9">
          <w:rPr>
            <w:rStyle w:val="TextoNormalCaracter"/>
          </w:rPr>
          <w:t>92/2025</w:t>
        </w:r>
      </w:hyperlink>
      <w:r>
        <w:t xml:space="preserve">, ff. 1, 2; </w:t>
      </w:r>
      <w:hyperlink w:anchor="SENTENCIA_2025_93" w:history="1">
        <w:r w:rsidRPr="001D7FA9">
          <w:rPr>
            <w:rStyle w:val="TextoNormalCaracter"/>
          </w:rPr>
          <w:t>93/2025</w:t>
        </w:r>
      </w:hyperlink>
      <w:r>
        <w:t xml:space="preserve">, ff. 1, 2; </w:t>
      </w:r>
      <w:hyperlink w:anchor="SENTENCIA_2025_94" w:history="1">
        <w:r w:rsidRPr="001D7FA9">
          <w:rPr>
            <w:rStyle w:val="TextoNormalCaracter"/>
          </w:rPr>
          <w:t>94/2025</w:t>
        </w:r>
      </w:hyperlink>
      <w:r>
        <w:t xml:space="preserve">, ff. 1, 2; </w:t>
      </w:r>
      <w:hyperlink w:anchor="SENTENCIA_2025_102" w:history="1">
        <w:r w:rsidRPr="001D7FA9">
          <w:rPr>
            <w:rStyle w:val="TextoNormalCaracter"/>
          </w:rPr>
          <w:t>102/2025</w:t>
        </w:r>
      </w:hyperlink>
      <w:r>
        <w:t xml:space="preserve">, ff. 1, 2; </w:t>
      </w:r>
      <w:hyperlink w:anchor="SENTENCIA_2025_103" w:history="1">
        <w:r w:rsidRPr="001D7FA9">
          <w:rPr>
            <w:rStyle w:val="TextoNormalCaracter"/>
          </w:rPr>
          <w:t>103/2025</w:t>
        </w:r>
      </w:hyperlink>
      <w:r>
        <w:t xml:space="preserve">, f. único; </w:t>
      </w:r>
      <w:hyperlink w:anchor="SENTENCIA_2025_104" w:history="1">
        <w:r w:rsidRPr="001D7FA9">
          <w:rPr>
            <w:rStyle w:val="TextoNormalCaracter"/>
          </w:rPr>
          <w:t>104/2025</w:t>
        </w:r>
      </w:hyperlink>
      <w:r>
        <w:t xml:space="preserve">, ff. 1, 2; </w:t>
      </w:r>
      <w:hyperlink w:anchor="SENTENCIA_2025_112" w:history="1">
        <w:r w:rsidRPr="001D7FA9">
          <w:rPr>
            <w:rStyle w:val="TextoNormalCaracter"/>
          </w:rPr>
          <w:t>112/2025</w:t>
        </w:r>
      </w:hyperlink>
      <w:r>
        <w:t xml:space="preserve">, ff. 1, 2; </w:t>
      </w:r>
      <w:hyperlink w:anchor="SENTENCIA_2025_113" w:history="1">
        <w:r w:rsidRPr="001D7FA9">
          <w:rPr>
            <w:rStyle w:val="TextoNormalCaracter"/>
          </w:rPr>
          <w:t>113/2025</w:t>
        </w:r>
      </w:hyperlink>
      <w:r>
        <w:t xml:space="preserve">, f. único; </w:t>
      </w:r>
      <w:hyperlink w:anchor="SENTENCIA_2025_114" w:history="1">
        <w:r w:rsidRPr="001D7FA9">
          <w:rPr>
            <w:rStyle w:val="TextoNormalCaracter"/>
          </w:rPr>
          <w:t>114/2025</w:t>
        </w:r>
      </w:hyperlink>
      <w:r>
        <w:t xml:space="preserve">, f. único; </w:t>
      </w:r>
      <w:hyperlink w:anchor="SENTENCIA_2025_115" w:history="1">
        <w:r w:rsidRPr="001D7FA9">
          <w:rPr>
            <w:rStyle w:val="TextoNormalCaracter"/>
          </w:rPr>
          <w:t>115/2025</w:t>
        </w:r>
      </w:hyperlink>
      <w:r>
        <w:t xml:space="preserve">, f. único; </w:t>
      </w:r>
      <w:hyperlink w:anchor="SENTENCIA_2025_116" w:history="1">
        <w:r w:rsidRPr="001D7FA9">
          <w:rPr>
            <w:rStyle w:val="TextoNormalCaracter"/>
          </w:rPr>
          <w:t>116/2025</w:t>
        </w:r>
      </w:hyperlink>
      <w:r>
        <w:t xml:space="preserve">, f. único; </w:t>
      </w:r>
      <w:hyperlink w:anchor="SENTENCIA_2025_122" w:history="1">
        <w:r w:rsidRPr="001D7FA9">
          <w:rPr>
            <w:rStyle w:val="TextoNormalCaracter"/>
          </w:rPr>
          <w:t>122/2025</w:t>
        </w:r>
      </w:hyperlink>
      <w:r>
        <w:t xml:space="preserve">, f. único; </w:t>
      </w:r>
      <w:hyperlink w:anchor="SENTENCIA_2025_123" w:history="1">
        <w:r w:rsidRPr="001D7FA9">
          <w:rPr>
            <w:rStyle w:val="TextoNormalCaracter"/>
          </w:rPr>
          <w:t>123/2025</w:t>
        </w:r>
      </w:hyperlink>
      <w:r>
        <w:t xml:space="preserve">, ff. 1, 2; </w:t>
      </w:r>
      <w:hyperlink w:anchor="SENTENCIA_2025_124" w:history="1">
        <w:r w:rsidRPr="001D7FA9">
          <w:rPr>
            <w:rStyle w:val="TextoNormalCaracter"/>
          </w:rPr>
          <w:t>124/2025</w:t>
        </w:r>
      </w:hyperlink>
      <w:r>
        <w:t xml:space="preserve">, ff. 1, 2; </w:t>
      </w:r>
      <w:hyperlink w:anchor="SENTENCIA_2025_125" w:history="1">
        <w:r w:rsidRPr="001D7FA9">
          <w:rPr>
            <w:rStyle w:val="TextoNormalCaracter"/>
          </w:rPr>
          <w:t>125/2025</w:t>
        </w:r>
      </w:hyperlink>
      <w:r>
        <w:t xml:space="preserve">, f. único; </w:t>
      </w:r>
      <w:hyperlink w:anchor="SENTENCIA_2025_127" w:history="1">
        <w:r w:rsidRPr="001D7FA9">
          <w:rPr>
            <w:rStyle w:val="TextoNormalCaracter"/>
          </w:rPr>
          <w:t>127/2025</w:t>
        </w:r>
      </w:hyperlink>
      <w:r>
        <w:t xml:space="preserve">, ff. 1, 2; </w:t>
      </w:r>
      <w:hyperlink w:anchor="SENTENCIA_2025_128" w:history="1">
        <w:r w:rsidRPr="001D7FA9">
          <w:rPr>
            <w:rStyle w:val="TextoNormalCaracter"/>
          </w:rPr>
          <w:t>128/2025</w:t>
        </w:r>
      </w:hyperlink>
      <w:r>
        <w:t xml:space="preserve">, ff. 1, 2; </w:t>
      </w:r>
      <w:hyperlink w:anchor="SENTENCIA_2025_129" w:history="1">
        <w:r w:rsidRPr="001D7FA9">
          <w:rPr>
            <w:rStyle w:val="TextoNormalCaracter"/>
          </w:rPr>
          <w:t>129/2025</w:t>
        </w:r>
      </w:hyperlink>
      <w:r>
        <w:t xml:space="preserve">, ff. 1, 2; </w:t>
      </w:r>
      <w:hyperlink w:anchor="SENTENCIA_2025_130" w:history="1">
        <w:r w:rsidRPr="001D7FA9">
          <w:rPr>
            <w:rStyle w:val="TextoNormalCaracter"/>
          </w:rPr>
          <w:t>130/2025</w:t>
        </w:r>
      </w:hyperlink>
      <w:r>
        <w:t xml:space="preserve">, ff. 1, 2; </w:t>
      </w:r>
      <w:hyperlink w:anchor="SENTENCIA_2025_131" w:history="1">
        <w:r w:rsidRPr="001D7FA9">
          <w:rPr>
            <w:rStyle w:val="TextoNormalCaracter"/>
          </w:rPr>
          <w:t>131/2025</w:t>
        </w:r>
      </w:hyperlink>
      <w:r>
        <w:t>, ff. 1, 2.</w:t>
      </w:r>
    </w:p>
    <w:p w14:paraId="56BB2B03" w14:textId="129753BF" w:rsidR="001D7FA9" w:rsidRDefault="001D7FA9" w:rsidP="001D7FA9">
      <w:pPr>
        <w:pStyle w:val="SangriaIzquierdaArticulo"/>
      </w:pPr>
      <w:r>
        <w:t xml:space="preserve">Autos </w:t>
      </w:r>
      <w:hyperlink w:anchor="AUTO_2025_10" w:history="1">
        <w:r w:rsidRPr="001D7FA9">
          <w:rPr>
            <w:rStyle w:val="TextoNormalCaracter"/>
          </w:rPr>
          <w:t>10/2025</w:t>
        </w:r>
      </w:hyperlink>
      <w:r>
        <w:t xml:space="preserve">, f. único; </w:t>
      </w:r>
      <w:hyperlink w:anchor="AUTO_2025_19" w:history="1">
        <w:r w:rsidRPr="001D7FA9">
          <w:rPr>
            <w:rStyle w:val="TextoNormalCaracter"/>
          </w:rPr>
          <w:t>19/2025</w:t>
        </w:r>
      </w:hyperlink>
      <w:r>
        <w:t xml:space="preserve">, f. único; </w:t>
      </w:r>
      <w:hyperlink w:anchor="AUTO_2025_34" w:history="1">
        <w:r w:rsidRPr="001D7FA9">
          <w:rPr>
            <w:rStyle w:val="TextoNormalCaracter"/>
          </w:rPr>
          <w:t>34/2025</w:t>
        </w:r>
      </w:hyperlink>
      <w:r>
        <w:t xml:space="preserve">, f. único, VP; </w:t>
      </w:r>
      <w:hyperlink w:anchor="AUTO_2025_55" w:history="1">
        <w:r w:rsidRPr="001D7FA9">
          <w:rPr>
            <w:rStyle w:val="TextoNormalCaracter"/>
          </w:rPr>
          <w:t>55/2025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f. único.</w:t>
      </w:r>
    </w:p>
    <w:p w14:paraId="4F371C94" w14:textId="04B41113" w:rsidR="001D7FA9" w:rsidRDefault="001D7FA9" w:rsidP="001D7FA9">
      <w:pPr>
        <w:pStyle w:val="SangriaFrancesaArticulo"/>
      </w:pPr>
      <w:r w:rsidRPr="001D7FA9">
        <w:rPr>
          <w:rStyle w:val="TextoNormalNegritaCaracter"/>
        </w:rPr>
        <w:t>Artículo 48.4 párrafo 1.</w:t>
      </w:r>
      <w:r w:rsidRPr="001D7FA9">
        <w:rPr>
          <w:rStyle w:val="TextoNormalCaracter"/>
        </w:rPr>
        <w:t>-</w:t>
      </w:r>
      <w:r>
        <w:t xml:space="preserve"> Autos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9" w:history="1">
        <w:r w:rsidRPr="001D7FA9">
          <w:rPr>
            <w:rStyle w:val="TextoNormalCaracter"/>
          </w:rPr>
          <w:t>49/2025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8" w:history="1">
        <w:r w:rsidRPr="001D7FA9">
          <w:rPr>
            <w:rStyle w:val="TextoNormalCaracter"/>
          </w:rPr>
          <w:t>58/2025</w:t>
        </w:r>
      </w:hyperlink>
      <w:r>
        <w:t>, f. único.</w:t>
      </w:r>
    </w:p>
    <w:p w14:paraId="575DB5E3" w14:textId="5A341349" w:rsidR="001D7FA9" w:rsidRDefault="001D7FA9" w:rsidP="001D7FA9">
      <w:pPr>
        <w:pStyle w:val="SangriaFrancesaArticulo"/>
      </w:pPr>
      <w:r w:rsidRPr="001D7FA9">
        <w:rPr>
          <w:rStyle w:val="TextoNormalNegritaCaracter"/>
        </w:rPr>
        <w:t>Artículo 48.4 párrafo 1</w:t>
      </w:r>
      <w:r>
        <w:t xml:space="preserve"> (redactado por el Real Decreto-ley 6/2019, de 1 de marzo)</w:t>
      </w:r>
      <w:r w:rsidRPr="001D7FA9">
        <w:rPr>
          <w:rStyle w:val="TextoNormalNegritaCaracter"/>
        </w:rPr>
        <w:t>.</w:t>
      </w:r>
      <w:r w:rsidRPr="001D7FA9">
        <w:rPr>
          <w:rStyle w:val="TextoNormalCaracter"/>
        </w:rPr>
        <w:t>-</w:t>
      </w:r>
      <w:r>
        <w:t xml:space="preserve"> Auto </w:t>
      </w:r>
      <w:hyperlink w:anchor="AUTO_2025_34" w:history="1">
        <w:r w:rsidRPr="001D7FA9">
          <w:rPr>
            <w:rStyle w:val="TextoNormalCaracter"/>
          </w:rPr>
          <w:t>34/2025</w:t>
        </w:r>
      </w:hyperlink>
      <w:r>
        <w:t>, f. único.</w:t>
      </w:r>
    </w:p>
    <w:p w14:paraId="3D7374AB" w14:textId="27427A47" w:rsidR="001D7FA9" w:rsidRDefault="001D7FA9" w:rsidP="001D7FA9">
      <w:pPr>
        <w:pStyle w:val="SangriaFrancesaArticulo"/>
      </w:pPr>
      <w:r w:rsidRPr="001D7FA9">
        <w:rPr>
          <w:rStyle w:val="TextoNormalNegritaCaracter"/>
        </w:rPr>
        <w:t>Artículo 48.5</w:t>
      </w:r>
      <w:r>
        <w:t xml:space="preserve"> (redactado por el Real Decreto-ley 6/2019, de 1 de marzo)</w:t>
      </w:r>
      <w:r w:rsidRPr="001D7FA9">
        <w:rPr>
          <w:rStyle w:val="TextoNormalNegritaCaracter"/>
        </w:rPr>
        <w:t>.</w:t>
      </w:r>
      <w:r w:rsidRPr="001D7FA9">
        <w:rPr>
          <w:rStyle w:val="TextoNormalCaracter"/>
        </w:rPr>
        <w:t>-</w:t>
      </w:r>
      <w:r>
        <w:t xml:space="preserve"> Autos </w:t>
      </w:r>
      <w:hyperlink w:anchor="AUTO_2025_10" w:history="1">
        <w:r w:rsidRPr="001D7FA9">
          <w:rPr>
            <w:rStyle w:val="TextoNormalCaracter"/>
          </w:rPr>
          <w:t>10/2025</w:t>
        </w:r>
      </w:hyperlink>
      <w:r>
        <w:t xml:space="preserve">, f. único; </w:t>
      </w:r>
      <w:hyperlink w:anchor="AUTO_2025_55" w:history="1">
        <w:r w:rsidRPr="001D7FA9">
          <w:rPr>
            <w:rStyle w:val="TextoNormalCaracter"/>
          </w:rPr>
          <w:t>55/2025</w:t>
        </w:r>
      </w:hyperlink>
      <w:r>
        <w:t>, f. único.</w:t>
      </w:r>
    </w:p>
    <w:p w14:paraId="4322F7B8" w14:textId="6A9B685C" w:rsidR="001D7FA9" w:rsidRDefault="001D7FA9" w:rsidP="001D7FA9">
      <w:pPr>
        <w:pStyle w:val="SangriaFrancesaArticulo"/>
      </w:pPr>
      <w:r w:rsidRPr="001D7FA9">
        <w:rPr>
          <w:rStyle w:val="TextoNormalNegritaCaracter"/>
        </w:rPr>
        <w:t>Artículo 48.6</w:t>
      </w:r>
      <w:r>
        <w:t xml:space="preserve"> (redactado por el Real Decreto-ley 6/2019, de 1 de marzo)</w:t>
      </w:r>
      <w:r w:rsidRPr="001D7FA9">
        <w:rPr>
          <w:rStyle w:val="TextoNormalNegritaCaracter"/>
        </w:rPr>
        <w:t>.</w:t>
      </w:r>
      <w:r w:rsidRPr="001D7FA9">
        <w:rPr>
          <w:rStyle w:val="TextoNormalCaracter"/>
        </w:rPr>
        <w:t>-</w:t>
      </w:r>
      <w:r>
        <w:t xml:space="preserve"> Sentencia </w:t>
      </w:r>
      <w:hyperlink w:anchor="SENTENCIA_2025_29" w:history="1">
        <w:r w:rsidRPr="001D7FA9">
          <w:rPr>
            <w:rStyle w:val="TextoNormalCaracter"/>
          </w:rPr>
          <w:t>29/2025</w:t>
        </w:r>
      </w:hyperlink>
      <w:r>
        <w:t>, f. único.</w:t>
      </w:r>
    </w:p>
    <w:p w14:paraId="507E509D" w14:textId="2CA862F4" w:rsidR="001D7FA9" w:rsidRDefault="001D7FA9" w:rsidP="001D7FA9">
      <w:pPr>
        <w:pStyle w:val="SangriaIzquierdaArticulo"/>
      </w:pPr>
      <w:r>
        <w:t xml:space="preserve">Autos </w:t>
      </w:r>
      <w:hyperlink w:anchor="AUTO_2025_10" w:history="1">
        <w:r w:rsidRPr="001D7FA9">
          <w:rPr>
            <w:rStyle w:val="TextoNormalCaracter"/>
          </w:rPr>
          <w:t>10/2025</w:t>
        </w:r>
      </w:hyperlink>
      <w:r>
        <w:t xml:space="preserve">, f. único; </w:t>
      </w:r>
      <w:hyperlink w:anchor="AUTO_2025_55" w:history="1">
        <w:r w:rsidRPr="001D7FA9">
          <w:rPr>
            <w:rStyle w:val="TextoNormalCaracter"/>
          </w:rPr>
          <w:t>55/2025</w:t>
        </w:r>
      </w:hyperlink>
      <w:r>
        <w:t>, f. único.</w:t>
      </w:r>
    </w:p>
    <w:p w14:paraId="7FD6CBEF" w14:textId="4D2716CD" w:rsidR="001D7FA9" w:rsidRDefault="001D7FA9" w:rsidP="001D7FA9">
      <w:pPr>
        <w:pStyle w:val="SangriaFrancesaArticulo"/>
      </w:pPr>
      <w:r w:rsidRPr="001D7FA9">
        <w:rPr>
          <w:rStyle w:val="TextoNormalNegritaCaracter"/>
        </w:rPr>
        <w:t>Disposición transitoria decimotercera.</w:t>
      </w:r>
      <w:r w:rsidRPr="001D7FA9">
        <w:rPr>
          <w:rStyle w:val="TextoNormalCaracter"/>
        </w:rPr>
        <w:t>-</w:t>
      </w:r>
      <w:r>
        <w:t xml:space="preserve"> Sentencia </w:t>
      </w:r>
      <w:hyperlink w:anchor="SENTENCIA_2025_89" w:history="1">
        <w:r w:rsidRPr="001D7FA9">
          <w:rPr>
            <w:rStyle w:val="TextoNormalCaracter"/>
          </w:rPr>
          <w:t>89/2025</w:t>
        </w:r>
      </w:hyperlink>
      <w:r>
        <w:t>, f. 2.</w:t>
      </w:r>
    </w:p>
    <w:p w14:paraId="4CB5F5F9" w14:textId="3D4B0BC2" w:rsidR="001D7FA9" w:rsidRDefault="001D7FA9" w:rsidP="001D7FA9">
      <w:pPr>
        <w:pStyle w:val="SangriaFrancesaArticulo"/>
      </w:pPr>
      <w:r w:rsidRPr="001D7FA9">
        <w:rPr>
          <w:rStyle w:val="TextoNormalNegritaCaracter"/>
        </w:rPr>
        <w:t>Disposición transitoria decimotercera, apartado 1 d).</w:t>
      </w:r>
      <w:r w:rsidRPr="001D7FA9">
        <w:rPr>
          <w:rStyle w:val="TextoNormalCaracter"/>
        </w:rPr>
        <w:t>-</w:t>
      </w:r>
      <w:r>
        <w:t xml:space="preserve"> Sentencia </w:t>
      </w:r>
      <w:hyperlink w:anchor="SENTENCIA_2025_93" w:history="1">
        <w:r w:rsidRPr="001D7FA9">
          <w:rPr>
            <w:rStyle w:val="TextoNormalCaracter"/>
          </w:rPr>
          <w:t>93/2025</w:t>
        </w:r>
      </w:hyperlink>
      <w:r>
        <w:t>, f. 2.</w:t>
      </w:r>
    </w:p>
    <w:p w14:paraId="4BE8AED4" w14:textId="3887CC50" w:rsidR="001D7FA9" w:rsidRDefault="001D7FA9" w:rsidP="001D7FA9">
      <w:pPr>
        <w:pStyle w:val="SangriaFrancesaArticulo"/>
      </w:pPr>
    </w:p>
    <w:p w14:paraId="2BAB33D1" w14:textId="77777777" w:rsidR="001D7FA9" w:rsidRDefault="001D7FA9" w:rsidP="001D7FA9">
      <w:pPr>
        <w:pStyle w:val="TextoNormalNegritaCursivandice"/>
        <w:keepNext/>
      </w:pPr>
      <w:r>
        <w:t>Real Decreto Legislativo 5/2015, de 30 de octubre, por el que se aprueba el texto refundido de la Ley del estatuto básico del empleado público</w:t>
      </w:r>
    </w:p>
    <w:p w14:paraId="7566507C" w14:textId="745693A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7" w:history="1">
        <w:r w:rsidRPr="001D7FA9">
          <w:rPr>
            <w:rStyle w:val="TextoNormalCaracter"/>
          </w:rPr>
          <w:t>27/2025</w:t>
        </w:r>
      </w:hyperlink>
      <w:r>
        <w:t>, f. 2.</w:t>
      </w:r>
    </w:p>
    <w:p w14:paraId="52622FDA" w14:textId="308A9409" w:rsidR="001D7FA9" w:rsidRDefault="001D7FA9" w:rsidP="001D7FA9">
      <w:pPr>
        <w:pStyle w:val="SangriaFrancesaArticulo"/>
      </w:pPr>
      <w:r w:rsidRPr="001D7FA9">
        <w:rPr>
          <w:rStyle w:val="TextoNormalNegritaCaracter"/>
        </w:rPr>
        <w:t>Artículo 2.1 b).</w:t>
      </w:r>
      <w:r w:rsidRPr="001D7FA9">
        <w:rPr>
          <w:rStyle w:val="TextoNormalCaracter"/>
        </w:rPr>
        <w:t>-</w:t>
      </w:r>
      <w:r>
        <w:t xml:space="preserve"> Auto </w:t>
      </w:r>
      <w:hyperlink w:anchor="AUTO_2025_32" w:history="1">
        <w:r w:rsidRPr="001D7FA9">
          <w:rPr>
            <w:rStyle w:val="TextoNormalCaracter"/>
          </w:rPr>
          <w:t>32/2025</w:t>
        </w:r>
      </w:hyperlink>
      <w:r>
        <w:t>, f. 6.</w:t>
      </w:r>
    </w:p>
    <w:p w14:paraId="22280DDC" w14:textId="469FA02E"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 </w:t>
      </w:r>
      <w:hyperlink w:anchor="SENTENCIA_2025_42" w:history="1">
        <w:r w:rsidRPr="001D7FA9">
          <w:rPr>
            <w:rStyle w:val="TextoNormalCaracter"/>
          </w:rPr>
          <w:t>42/2025</w:t>
        </w:r>
      </w:hyperlink>
      <w:r>
        <w:t>, f. 4.</w:t>
      </w:r>
    </w:p>
    <w:p w14:paraId="3149994C" w14:textId="4362387D" w:rsidR="001D7FA9" w:rsidRDefault="001D7FA9" w:rsidP="001D7FA9">
      <w:pPr>
        <w:pStyle w:val="SangriaFrancesaArticulo"/>
      </w:pPr>
      <w:r w:rsidRPr="001D7FA9">
        <w:rPr>
          <w:rStyle w:val="TextoNormalNegritaCaracter"/>
        </w:rPr>
        <w:t>Artículo 14.1 c).</w:t>
      </w:r>
      <w:r w:rsidRPr="001D7FA9">
        <w:rPr>
          <w:rStyle w:val="TextoNormalCaracter"/>
        </w:rPr>
        <w:t>-</w:t>
      </w:r>
      <w:r>
        <w:t xml:space="preserve"> Sentencia </w:t>
      </w:r>
      <w:hyperlink w:anchor="SENTENCIA_2025_42" w:history="1">
        <w:r w:rsidRPr="001D7FA9">
          <w:rPr>
            <w:rStyle w:val="TextoNormalCaracter"/>
          </w:rPr>
          <w:t>42/2025</w:t>
        </w:r>
      </w:hyperlink>
      <w:r>
        <w:t>, f. 4.</w:t>
      </w:r>
    </w:p>
    <w:p w14:paraId="6DD41C2B" w14:textId="7909F86B" w:rsidR="001D7FA9" w:rsidRDefault="001D7FA9" w:rsidP="001D7FA9">
      <w:pPr>
        <w:pStyle w:val="SangriaFrancesaArticulo"/>
      </w:pPr>
      <w:r w:rsidRPr="001D7FA9">
        <w:rPr>
          <w:rStyle w:val="TextoNormalNegritaCaracter"/>
        </w:rPr>
        <w:t>Artículo 16.3 c).</w:t>
      </w:r>
      <w:r w:rsidRPr="001D7FA9">
        <w:rPr>
          <w:rStyle w:val="TextoNormalCaracter"/>
        </w:rPr>
        <w:t>-</w:t>
      </w:r>
      <w:r>
        <w:t xml:space="preserve"> Sentencia </w:t>
      </w:r>
      <w:hyperlink w:anchor="SENTENCIA_2025_42" w:history="1">
        <w:r w:rsidRPr="001D7FA9">
          <w:rPr>
            <w:rStyle w:val="TextoNormalCaracter"/>
          </w:rPr>
          <w:t>42/2025</w:t>
        </w:r>
      </w:hyperlink>
      <w:r>
        <w:t>, ff. 1, 4.</w:t>
      </w:r>
    </w:p>
    <w:p w14:paraId="0F611922" w14:textId="10D58919" w:rsidR="001D7FA9" w:rsidRDefault="001D7FA9" w:rsidP="001D7FA9">
      <w:pPr>
        <w:pStyle w:val="SangriaFrancesaArticulo"/>
      </w:pPr>
      <w:r w:rsidRPr="001D7FA9">
        <w:rPr>
          <w:rStyle w:val="TextoNormalNegritaCaracter"/>
        </w:rPr>
        <w:t>Artículo 18.1.</w:t>
      </w:r>
      <w:r w:rsidRPr="001D7FA9">
        <w:rPr>
          <w:rStyle w:val="TextoNormalCaracter"/>
        </w:rPr>
        <w:t>-</w:t>
      </w:r>
      <w:r>
        <w:t xml:space="preserve"> Sentencia </w:t>
      </w:r>
      <w:hyperlink w:anchor="SENTENCIA_2025_42" w:history="1">
        <w:r w:rsidRPr="001D7FA9">
          <w:rPr>
            <w:rStyle w:val="TextoNormalCaracter"/>
          </w:rPr>
          <w:t>42/2025</w:t>
        </w:r>
      </w:hyperlink>
      <w:r>
        <w:t>, ff. 1, 4.</w:t>
      </w:r>
    </w:p>
    <w:p w14:paraId="0ED55854" w14:textId="54F9038A"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Sentencia </w:t>
      </w:r>
      <w:hyperlink w:anchor="SENTENCIA_2025_42" w:history="1">
        <w:r w:rsidRPr="001D7FA9">
          <w:rPr>
            <w:rStyle w:val="TextoNormalCaracter"/>
          </w:rPr>
          <w:t>42/2025</w:t>
        </w:r>
      </w:hyperlink>
      <w:r>
        <w:t>, ff. 1, 4.</w:t>
      </w:r>
    </w:p>
    <w:p w14:paraId="6031A8F8" w14:textId="3A632516" w:rsidR="001D7FA9" w:rsidRDefault="001D7FA9" w:rsidP="001D7FA9">
      <w:pPr>
        <w:pStyle w:val="SangriaFrancesaArticulo"/>
      </w:pPr>
      <w:r w:rsidRPr="001D7FA9">
        <w:rPr>
          <w:rStyle w:val="TextoNormalNegritaCaracter"/>
        </w:rPr>
        <w:t>Artículo 54.1.</w:t>
      </w:r>
      <w:r w:rsidRPr="001D7FA9">
        <w:rPr>
          <w:rStyle w:val="TextoNormalCaracter"/>
        </w:rPr>
        <w:t>-</w:t>
      </w:r>
      <w:r>
        <w:t xml:space="preserve"> Sentencia </w:t>
      </w:r>
      <w:hyperlink w:anchor="SENTENCIA_2025_28" w:history="1">
        <w:r w:rsidRPr="001D7FA9">
          <w:rPr>
            <w:rStyle w:val="TextoNormalCaracter"/>
          </w:rPr>
          <w:t>28/2025</w:t>
        </w:r>
      </w:hyperlink>
      <w:r>
        <w:t>, f. 3.</w:t>
      </w:r>
    </w:p>
    <w:p w14:paraId="2F12EC87" w14:textId="791BF873" w:rsidR="001D7FA9" w:rsidRDefault="001D7FA9" w:rsidP="001D7FA9">
      <w:pPr>
        <w:pStyle w:val="SangriaFrancesaArticulo"/>
      </w:pPr>
      <w:r w:rsidRPr="001D7FA9">
        <w:rPr>
          <w:rStyle w:val="TextoNormalNegritaCaracter"/>
        </w:rPr>
        <w:t>Artículo 61.6.</w:t>
      </w:r>
      <w:r w:rsidRPr="001D7FA9">
        <w:rPr>
          <w:rStyle w:val="TextoNormalCaracter"/>
        </w:rPr>
        <w:t>-</w:t>
      </w:r>
      <w:r>
        <w:t xml:space="preserve"> Sentencia </w:t>
      </w:r>
      <w:hyperlink w:anchor="SENTENCIA_2025_27" w:history="1">
        <w:r w:rsidRPr="001D7FA9">
          <w:rPr>
            <w:rStyle w:val="TextoNormalCaracter"/>
          </w:rPr>
          <w:t>27/2025</w:t>
        </w:r>
      </w:hyperlink>
      <w:r>
        <w:t>, f. 1.</w:t>
      </w:r>
    </w:p>
    <w:p w14:paraId="57470362" w14:textId="0C071D01" w:rsidR="001D7FA9" w:rsidRDefault="001D7FA9" w:rsidP="001D7FA9">
      <w:pPr>
        <w:pStyle w:val="SangriaFrancesaArticulo"/>
      </w:pPr>
      <w:r w:rsidRPr="001D7FA9">
        <w:rPr>
          <w:rStyle w:val="TextoNormalNegritaCaracter"/>
        </w:rPr>
        <w:t>Artículo 61.7.</w:t>
      </w:r>
      <w:r w:rsidRPr="001D7FA9">
        <w:rPr>
          <w:rStyle w:val="TextoNormalCaracter"/>
        </w:rPr>
        <w:t>-</w:t>
      </w:r>
      <w:r>
        <w:t xml:space="preserve"> Sentencia </w:t>
      </w:r>
      <w:hyperlink w:anchor="SENTENCIA_2025_27" w:history="1">
        <w:r w:rsidRPr="001D7FA9">
          <w:rPr>
            <w:rStyle w:val="TextoNormalCaracter"/>
          </w:rPr>
          <w:t>27/2025</w:t>
        </w:r>
      </w:hyperlink>
      <w:r>
        <w:t>, f. 1.</w:t>
      </w:r>
    </w:p>
    <w:p w14:paraId="4437AFA5" w14:textId="6FAB06B7" w:rsidR="001D7FA9" w:rsidRDefault="001D7FA9" w:rsidP="001D7FA9">
      <w:pPr>
        <w:pStyle w:val="SangriaFrancesaArticulo"/>
      </w:pPr>
      <w:r w:rsidRPr="001D7FA9">
        <w:rPr>
          <w:rStyle w:val="TextoNormalNegritaCaracter"/>
        </w:rPr>
        <w:t>Artículo 68.2.</w:t>
      </w:r>
      <w:r w:rsidRPr="001D7FA9">
        <w:rPr>
          <w:rStyle w:val="TextoNormalCaracter"/>
        </w:rPr>
        <w:t>-</w:t>
      </w:r>
      <w:r>
        <w:t xml:space="preserve"> Auto </w:t>
      </w:r>
      <w:hyperlink w:anchor="AUTO_2025_32" w:history="1">
        <w:r w:rsidRPr="001D7FA9">
          <w:rPr>
            <w:rStyle w:val="TextoNormalCaracter"/>
          </w:rPr>
          <w:t>32/2025</w:t>
        </w:r>
      </w:hyperlink>
      <w:r>
        <w:t>, ff. 1, 4, 6.</w:t>
      </w:r>
    </w:p>
    <w:p w14:paraId="1A75E3A6" w14:textId="4C883E8D" w:rsidR="001D7FA9" w:rsidRDefault="001D7FA9" w:rsidP="001D7FA9">
      <w:pPr>
        <w:pStyle w:val="SangriaFrancesaArticulo"/>
      </w:pPr>
      <w:r w:rsidRPr="001D7FA9">
        <w:rPr>
          <w:rStyle w:val="TextoNormalNegritaCaracter"/>
        </w:rPr>
        <w:t>Artículo 76.</w:t>
      </w:r>
      <w:r w:rsidRPr="001D7FA9">
        <w:rPr>
          <w:rStyle w:val="TextoNormalCaracter"/>
        </w:rPr>
        <w:t>-</w:t>
      </w:r>
      <w:r>
        <w:t xml:space="preserve"> Sentencia </w:t>
      </w:r>
      <w:hyperlink w:anchor="SENTENCIA_2025_42" w:history="1">
        <w:r w:rsidRPr="001D7FA9">
          <w:rPr>
            <w:rStyle w:val="TextoNormalCaracter"/>
          </w:rPr>
          <w:t>42/2025</w:t>
        </w:r>
      </w:hyperlink>
      <w:r>
        <w:t>, f. 3.</w:t>
      </w:r>
    </w:p>
    <w:p w14:paraId="175238D8" w14:textId="5FA821F4" w:rsidR="001D7FA9" w:rsidRDefault="001D7FA9" w:rsidP="001D7FA9">
      <w:pPr>
        <w:pStyle w:val="SangriaFrancesaArticulo"/>
      </w:pPr>
      <w:r w:rsidRPr="001D7FA9">
        <w:rPr>
          <w:rStyle w:val="TextoNormalNegritaCaracter"/>
        </w:rPr>
        <w:t>Artículo 95.2 o).</w:t>
      </w:r>
      <w:r w:rsidRPr="001D7FA9">
        <w:rPr>
          <w:rStyle w:val="TextoNormalCaracter"/>
        </w:rPr>
        <w:t>-</w:t>
      </w:r>
      <w:r>
        <w:t xml:space="preserve"> Sentencia </w:t>
      </w:r>
      <w:hyperlink w:anchor="SENTENCIA_2025_28" w:history="1">
        <w:r w:rsidRPr="001D7FA9">
          <w:rPr>
            <w:rStyle w:val="TextoNormalCaracter"/>
          </w:rPr>
          <w:t>28/2025</w:t>
        </w:r>
      </w:hyperlink>
      <w:r>
        <w:t>, f. 3.</w:t>
      </w:r>
    </w:p>
    <w:p w14:paraId="6E2EEE17" w14:textId="1970CC16" w:rsidR="001D7FA9" w:rsidRDefault="001D7FA9" w:rsidP="001D7FA9">
      <w:pPr>
        <w:pStyle w:val="SangriaFrancesaArticulo"/>
      </w:pPr>
    </w:p>
    <w:p w14:paraId="13A75578" w14:textId="77777777" w:rsidR="001D7FA9" w:rsidRDefault="001D7FA9" w:rsidP="001D7FA9">
      <w:pPr>
        <w:pStyle w:val="TextoNormalNegritaCursivandice"/>
        <w:keepNext/>
      </w:pPr>
      <w:r>
        <w:t>Real Decreto Legislativo 7/2015, de 30 de octubre, por el que se aprueba el texto refundido de la Ley de suelo y rehabilitación urbana</w:t>
      </w:r>
    </w:p>
    <w:p w14:paraId="1C82E4F3" w14:textId="1DB80AA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6" w:history="1">
        <w:r w:rsidRPr="001D7FA9">
          <w:rPr>
            <w:rStyle w:val="TextoNormalCaracter"/>
          </w:rPr>
          <w:t>26/2025</w:t>
        </w:r>
      </w:hyperlink>
      <w:r>
        <w:t>, f. 3, VP II.</w:t>
      </w:r>
    </w:p>
    <w:p w14:paraId="4B83064F" w14:textId="2E96FD8F"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64" w:history="1">
        <w:r w:rsidRPr="001D7FA9">
          <w:rPr>
            <w:rStyle w:val="TextoNormalCaracter"/>
          </w:rPr>
          <w:t>64/2025</w:t>
        </w:r>
      </w:hyperlink>
      <w:r>
        <w:t>, f. 5.</w:t>
      </w:r>
    </w:p>
    <w:p w14:paraId="181F3DAB" w14:textId="01D36BE4" w:rsidR="001D7FA9" w:rsidRDefault="001D7FA9" w:rsidP="001D7FA9">
      <w:pPr>
        <w:pStyle w:val="SangriaFrancesaArticulo"/>
      </w:pPr>
      <w:r w:rsidRPr="001D7FA9">
        <w:rPr>
          <w:rStyle w:val="TextoNormalNegritaCaracter"/>
        </w:rPr>
        <w:t>Artículo 3.3 a).</w:t>
      </w:r>
      <w:r w:rsidRPr="001D7FA9">
        <w:rPr>
          <w:rStyle w:val="TextoNormalCaracter"/>
        </w:rPr>
        <w:t>-</w:t>
      </w:r>
      <w:r>
        <w:t xml:space="preserve"> Sentencia </w:t>
      </w:r>
      <w:hyperlink w:anchor="SENTENCIA_2025_64" w:history="1">
        <w:r w:rsidRPr="001D7FA9">
          <w:rPr>
            <w:rStyle w:val="TextoNormalCaracter"/>
          </w:rPr>
          <w:t>64/2025</w:t>
        </w:r>
      </w:hyperlink>
      <w:r>
        <w:t>, f. 5.</w:t>
      </w:r>
    </w:p>
    <w:p w14:paraId="5DC53FB6" w14:textId="52B1FF70"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Sentencia </w:t>
      </w:r>
      <w:hyperlink w:anchor="SENTENCIA_2025_64" w:history="1">
        <w:r w:rsidRPr="001D7FA9">
          <w:rPr>
            <w:rStyle w:val="TextoNormalCaracter"/>
          </w:rPr>
          <w:t>64/2025</w:t>
        </w:r>
      </w:hyperlink>
      <w:r>
        <w:t>, ff. 5, 6.</w:t>
      </w:r>
    </w:p>
    <w:p w14:paraId="52AB5EC2" w14:textId="0369251D" w:rsidR="001D7FA9" w:rsidRDefault="001D7FA9" w:rsidP="001D7FA9">
      <w:pPr>
        <w:pStyle w:val="SangriaFrancesaArticulo"/>
      </w:pPr>
      <w:r w:rsidRPr="001D7FA9">
        <w:rPr>
          <w:rStyle w:val="TextoNormalNegritaCaracter"/>
        </w:rPr>
        <w:t xml:space="preserve">Artículo 3.4 </w:t>
      </w:r>
      <w:r w:rsidRPr="001D7FA9">
        <w:rPr>
          <w:rStyle w:val="TextoNormalNegritaCursivaCaracter"/>
        </w:rPr>
        <w:t>in fine</w:t>
      </w:r>
      <w:r w:rsidRPr="001D7FA9">
        <w:rPr>
          <w:rStyle w:val="TextoNormalNegritaCaracter"/>
        </w:rPr>
        <w:t>.</w:t>
      </w:r>
      <w:r w:rsidRPr="001D7FA9">
        <w:rPr>
          <w:rStyle w:val="TextoNormalCaracter"/>
        </w:rPr>
        <w:t>-</w:t>
      </w:r>
      <w:r>
        <w:t xml:space="preserve"> Sentencia </w:t>
      </w:r>
      <w:hyperlink w:anchor="SENTENCIA_2025_64" w:history="1">
        <w:r w:rsidRPr="001D7FA9">
          <w:rPr>
            <w:rStyle w:val="TextoNormalCaracter"/>
          </w:rPr>
          <w:t>64/2025</w:t>
        </w:r>
      </w:hyperlink>
      <w:r>
        <w:t>, f. 4.</w:t>
      </w:r>
    </w:p>
    <w:p w14:paraId="7D4F0535" w14:textId="165461E2"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26" w:history="1">
        <w:r w:rsidRPr="001D7FA9">
          <w:rPr>
            <w:rStyle w:val="TextoNormalCaracter"/>
          </w:rPr>
          <w:t>26/2025</w:t>
        </w:r>
      </w:hyperlink>
      <w:r>
        <w:t>, f. 3.</w:t>
      </w:r>
    </w:p>
    <w:p w14:paraId="55300272" w14:textId="2697B5C5" w:rsidR="001D7FA9" w:rsidRDefault="001D7FA9" w:rsidP="001D7FA9">
      <w:pPr>
        <w:pStyle w:val="SangriaFrancesaArticulo"/>
      </w:pPr>
      <w:r w:rsidRPr="001D7FA9">
        <w:rPr>
          <w:rStyle w:val="TextoNormalNegritaCaracter"/>
        </w:rPr>
        <w:t>Artículo 15.1 a).</w:t>
      </w:r>
      <w:r w:rsidRPr="001D7FA9">
        <w:rPr>
          <w:rStyle w:val="TextoNormalCaracter"/>
        </w:rPr>
        <w:t>-</w:t>
      </w:r>
      <w:r>
        <w:t xml:space="preserve"> Sentencia </w:t>
      </w:r>
      <w:hyperlink w:anchor="SENTENCIA_2025_64" w:history="1">
        <w:r w:rsidRPr="001D7FA9">
          <w:rPr>
            <w:rStyle w:val="TextoNormalCaracter"/>
          </w:rPr>
          <w:t>64/2025</w:t>
        </w:r>
      </w:hyperlink>
      <w:r>
        <w:t>, f. 4.</w:t>
      </w:r>
    </w:p>
    <w:p w14:paraId="73C1FB87" w14:textId="66C7CA8F" w:rsidR="001D7FA9" w:rsidRDefault="001D7FA9" w:rsidP="001D7FA9">
      <w:pPr>
        <w:pStyle w:val="SangriaFrancesaArticulo"/>
      </w:pPr>
      <w:r w:rsidRPr="001D7FA9">
        <w:rPr>
          <w:rStyle w:val="TextoNormalNegritaCaracter"/>
        </w:rPr>
        <w:t>Artículo 20.1 b).</w:t>
      </w:r>
      <w:r w:rsidRPr="001D7FA9">
        <w:rPr>
          <w:rStyle w:val="TextoNormalCaracter"/>
        </w:rPr>
        <w:t>-</w:t>
      </w:r>
      <w:r>
        <w:t xml:space="preserve"> Sentencia </w:t>
      </w:r>
      <w:hyperlink w:anchor="SENTENCIA_2025_26" w:history="1">
        <w:r w:rsidRPr="001D7FA9">
          <w:rPr>
            <w:rStyle w:val="TextoNormalCaracter"/>
          </w:rPr>
          <w:t>26/2025</w:t>
        </w:r>
      </w:hyperlink>
      <w:r>
        <w:t>, ff. 2, 3, VP I, VP II.</w:t>
      </w:r>
    </w:p>
    <w:p w14:paraId="64F57C61" w14:textId="6793A84A" w:rsidR="001D7FA9" w:rsidRDefault="001D7FA9" w:rsidP="001D7FA9">
      <w:pPr>
        <w:pStyle w:val="SangriaFrancesaArticulo"/>
      </w:pPr>
      <w:r w:rsidRPr="001D7FA9">
        <w:rPr>
          <w:rStyle w:val="TextoNormalNegritaCaracter"/>
        </w:rPr>
        <w:t>Artículo 20.1 b)</w:t>
      </w:r>
      <w:r>
        <w:t xml:space="preserve"> (redactado por la Ley 12/2023, de 24 de mayo)</w:t>
      </w:r>
      <w:r w:rsidRPr="001D7FA9">
        <w:rPr>
          <w:rStyle w:val="TextoNormalNegritaCaracter"/>
        </w:rPr>
        <w:t>.</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0BCB2DD1" w14:textId="5746F428" w:rsidR="001D7FA9" w:rsidRDefault="001D7FA9" w:rsidP="001D7FA9">
      <w:pPr>
        <w:pStyle w:val="SangriaFrancesaArticulo"/>
      </w:pPr>
      <w:r w:rsidRPr="001D7FA9">
        <w:rPr>
          <w:rStyle w:val="TextoNormalNegritaCaracter"/>
        </w:rPr>
        <w:t>Artículo 49.</w:t>
      </w:r>
      <w:r w:rsidRPr="001D7FA9">
        <w:rPr>
          <w:rStyle w:val="TextoNormalCaracter"/>
        </w:rPr>
        <w:t>-</w:t>
      </w:r>
      <w:r>
        <w:t xml:space="preserve"> Sentencia </w:t>
      </w:r>
      <w:hyperlink w:anchor="SENTENCIA_2025_25" w:history="1">
        <w:r w:rsidRPr="001D7FA9">
          <w:rPr>
            <w:rStyle w:val="TextoNormalCaracter"/>
          </w:rPr>
          <w:t>25/2025</w:t>
        </w:r>
      </w:hyperlink>
      <w:r>
        <w:t>, f. 4.</w:t>
      </w:r>
    </w:p>
    <w:p w14:paraId="4BAAB348" w14:textId="25A0E7D3" w:rsidR="001D7FA9" w:rsidRDefault="001D7FA9" w:rsidP="001D7FA9">
      <w:pPr>
        <w:pStyle w:val="SangriaFrancesaArticulo"/>
      </w:pPr>
      <w:r w:rsidRPr="001D7FA9">
        <w:rPr>
          <w:rStyle w:val="TextoNormalNegritaCaracter"/>
        </w:rPr>
        <w:t>Artículo 49.3.</w:t>
      </w:r>
      <w:r w:rsidRPr="001D7FA9">
        <w:rPr>
          <w:rStyle w:val="TextoNormalCaracter"/>
        </w:rPr>
        <w:t>-</w:t>
      </w:r>
      <w:r>
        <w:t xml:space="preserve"> Sentencia </w:t>
      </w:r>
      <w:hyperlink w:anchor="SENTENCIA_2025_25" w:history="1">
        <w:r w:rsidRPr="001D7FA9">
          <w:rPr>
            <w:rStyle w:val="TextoNormalCaracter"/>
          </w:rPr>
          <w:t>25/2025</w:t>
        </w:r>
      </w:hyperlink>
      <w:r>
        <w:t>, f. 4.</w:t>
      </w:r>
    </w:p>
    <w:p w14:paraId="31F6F905" w14:textId="6ABC0F7A" w:rsidR="001D7FA9" w:rsidRDefault="001D7FA9" w:rsidP="001D7FA9">
      <w:pPr>
        <w:pStyle w:val="SangriaFrancesaArticulo"/>
      </w:pPr>
    </w:p>
    <w:p w14:paraId="7216BCB2" w14:textId="77777777" w:rsidR="001D7FA9" w:rsidRDefault="001D7FA9" w:rsidP="001D7FA9">
      <w:pPr>
        <w:pStyle w:val="TextoNormalNegritaCursivandice"/>
        <w:keepNext/>
      </w:pPr>
      <w:r>
        <w:t>Real Decreto Legislativo 8/2015, de 30 de octubre, por el que se aprueba el texto refundido de la Ley general de la Seguridad Social</w:t>
      </w:r>
    </w:p>
    <w:p w14:paraId="2DC37EDA" w14:textId="49C0DE41" w:rsidR="001D7FA9" w:rsidRDefault="001D7FA9" w:rsidP="001D7FA9">
      <w:pPr>
        <w:pStyle w:val="SangriaFrancesaArticulo"/>
      </w:pPr>
      <w:r w:rsidRPr="001D7FA9">
        <w:rPr>
          <w:rStyle w:val="TextoNormalNegritaCaracter"/>
        </w:rPr>
        <w:t>Artículo 177.</w:t>
      </w:r>
      <w:r w:rsidRPr="001D7FA9">
        <w:rPr>
          <w:rStyle w:val="TextoNormalCaracter"/>
        </w:rPr>
        <w:t>-</w:t>
      </w:r>
      <w:r>
        <w:t xml:space="preserve"> Autos </w:t>
      </w:r>
      <w:hyperlink w:anchor="AUTO_2025_37" w:history="1">
        <w:r w:rsidRPr="001D7FA9">
          <w:rPr>
            <w:rStyle w:val="TextoNormalCaracter"/>
          </w:rPr>
          <w:t>37/2025</w:t>
        </w:r>
      </w:hyperlink>
      <w:r>
        <w:t xml:space="preserve">, f. único; </w:t>
      </w:r>
      <w:hyperlink w:anchor="AUTO_2025_38" w:history="1">
        <w:r w:rsidRPr="001D7FA9">
          <w:rPr>
            <w:rStyle w:val="TextoNormalCaracter"/>
          </w:rPr>
          <w:t>38/2025</w:t>
        </w:r>
      </w:hyperlink>
      <w:r>
        <w:t xml:space="preserve">, f. único; </w:t>
      </w:r>
      <w:hyperlink w:anchor="AUTO_2025_39" w:history="1">
        <w:r w:rsidRPr="001D7FA9">
          <w:rPr>
            <w:rStyle w:val="TextoNormalCaracter"/>
          </w:rPr>
          <w:t>39/2025</w:t>
        </w:r>
      </w:hyperlink>
      <w:r>
        <w:t xml:space="preserve">, f. único; </w:t>
      </w:r>
      <w:hyperlink w:anchor="AUTO_2025_40" w:history="1">
        <w:r w:rsidRPr="001D7FA9">
          <w:rPr>
            <w:rStyle w:val="TextoNormalCaracter"/>
          </w:rPr>
          <w:t>40/2025</w:t>
        </w:r>
      </w:hyperlink>
      <w:r>
        <w:t xml:space="preserve">, f. único; </w:t>
      </w:r>
      <w:hyperlink w:anchor="AUTO_2025_41" w:history="1">
        <w:r w:rsidRPr="001D7FA9">
          <w:rPr>
            <w:rStyle w:val="TextoNormalCaracter"/>
          </w:rPr>
          <w:t>41/2025</w:t>
        </w:r>
      </w:hyperlink>
      <w:r>
        <w:t xml:space="preserve">, f. único; </w:t>
      </w:r>
      <w:hyperlink w:anchor="AUTO_2025_42" w:history="1">
        <w:r w:rsidRPr="001D7FA9">
          <w:rPr>
            <w:rStyle w:val="TextoNormalCaracter"/>
          </w:rPr>
          <w:t>42/2025</w:t>
        </w:r>
      </w:hyperlink>
      <w:r>
        <w:t xml:space="preserve">, f. único; </w:t>
      </w:r>
      <w:hyperlink w:anchor="AUTO_2025_43" w:history="1">
        <w:r w:rsidRPr="001D7FA9">
          <w:rPr>
            <w:rStyle w:val="TextoNormalCaracter"/>
          </w:rPr>
          <w:t>43/2025</w:t>
        </w:r>
      </w:hyperlink>
      <w:r>
        <w:t xml:space="preserve">, f. único; </w:t>
      </w:r>
      <w:hyperlink w:anchor="AUTO_2025_44" w:history="1">
        <w:r w:rsidRPr="001D7FA9">
          <w:rPr>
            <w:rStyle w:val="TextoNormalCaracter"/>
          </w:rPr>
          <w:t>44/2025</w:t>
        </w:r>
      </w:hyperlink>
      <w:r>
        <w:t xml:space="preserve">, f. único; </w:t>
      </w:r>
      <w:hyperlink w:anchor="AUTO_2025_45" w:history="1">
        <w:r w:rsidRPr="001D7FA9">
          <w:rPr>
            <w:rStyle w:val="TextoNormalCaracter"/>
          </w:rPr>
          <w:t>45/2025</w:t>
        </w:r>
      </w:hyperlink>
      <w:r>
        <w:t xml:space="preserve">, f. único; </w:t>
      </w:r>
      <w:hyperlink w:anchor="AUTO_2025_46" w:history="1">
        <w:r w:rsidRPr="001D7FA9">
          <w:rPr>
            <w:rStyle w:val="TextoNormalCaracter"/>
          </w:rPr>
          <w:t>46/2025</w:t>
        </w:r>
      </w:hyperlink>
      <w:r>
        <w:t xml:space="preserve">, f. único; </w:t>
      </w:r>
      <w:hyperlink w:anchor="AUTO_2025_49" w:history="1">
        <w:r w:rsidRPr="001D7FA9">
          <w:rPr>
            <w:rStyle w:val="TextoNormalCaracter"/>
          </w:rPr>
          <w:t>49/2025</w:t>
        </w:r>
      </w:hyperlink>
      <w:r>
        <w:t xml:space="preserve">, f. único; </w:t>
      </w:r>
      <w:hyperlink w:anchor="AUTO_2025_51" w:history="1">
        <w:r w:rsidRPr="001D7FA9">
          <w:rPr>
            <w:rStyle w:val="TextoNormalCaracter"/>
          </w:rPr>
          <w:t>51/2025</w:t>
        </w:r>
      </w:hyperlink>
      <w:r>
        <w:t xml:space="preserve">, f. único; </w:t>
      </w:r>
      <w:hyperlink w:anchor="AUTO_2025_52" w:history="1">
        <w:r w:rsidRPr="001D7FA9">
          <w:rPr>
            <w:rStyle w:val="TextoNormalCaracter"/>
          </w:rPr>
          <w:t>52/2025</w:t>
        </w:r>
      </w:hyperlink>
      <w:r>
        <w:t xml:space="preserve">, f. único; </w:t>
      </w:r>
      <w:hyperlink w:anchor="AUTO_2025_58" w:history="1">
        <w:r w:rsidRPr="001D7FA9">
          <w:rPr>
            <w:rStyle w:val="TextoNormalCaracter"/>
          </w:rPr>
          <w:t>58/2025</w:t>
        </w:r>
      </w:hyperlink>
      <w:r>
        <w:t>, f. único.</w:t>
      </w:r>
    </w:p>
    <w:p w14:paraId="58F9E237" w14:textId="75E0EF45" w:rsidR="001D7FA9" w:rsidRDefault="001D7FA9" w:rsidP="001D7FA9">
      <w:pPr>
        <w:pStyle w:val="SangriaFrancesaArticulo"/>
      </w:pPr>
      <w:r w:rsidRPr="001D7FA9">
        <w:rPr>
          <w:rStyle w:val="TextoNormalNegritaCaracter"/>
        </w:rPr>
        <w:t>Artículo 177</w:t>
      </w:r>
      <w:r>
        <w:t xml:space="preserve"> (redactado por el Real Decreto-ley 6/2019, de 1 de marzo)</w:t>
      </w:r>
      <w:r w:rsidRPr="001D7FA9">
        <w:rPr>
          <w:rStyle w:val="TextoNormalNegritaCaracter"/>
        </w:rPr>
        <w:t>.</w:t>
      </w:r>
      <w:r w:rsidRPr="001D7FA9">
        <w:rPr>
          <w:rStyle w:val="TextoNormalCaracter"/>
        </w:rPr>
        <w:t>-</w:t>
      </w:r>
      <w:r>
        <w:t xml:space="preserve"> Sentencias </w:t>
      </w:r>
      <w:hyperlink w:anchor="SENTENCIA_2025_4" w:history="1">
        <w:r w:rsidRPr="001D7FA9">
          <w:rPr>
            <w:rStyle w:val="TextoNormalCaracter"/>
          </w:rPr>
          <w:t>4/2025</w:t>
        </w:r>
      </w:hyperlink>
      <w:r>
        <w:t xml:space="preserve">, ff. 1, 3; </w:t>
      </w:r>
      <w:hyperlink w:anchor="SENTENCIA_2025_5" w:history="1">
        <w:r w:rsidRPr="001D7FA9">
          <w:rPr>
            <w:rStyle w:val="TextoNormalCaracter"/>
          </w:rPr>
          <w:t>5/2025</w:t>
        </w:r>
      </w:hyperlink>
      <w:r>
        <w:t xml:space="preserve">, f. único; </w:t>
      </w:r>
      <w:hyperlink w:anchor="SENTENCIA_2025_6" w:history="1">
        <w:r w:rsidRPr="001D7FA9">
          <w:rPr>
            <w:rStyle w:val="TextoNormalCaracter"/>
          </w:rPr>
          <w:t>6/2025</w:t>
        </w:r>
      </w:hyperlink>
      <w:r>
        <w:t xml:space="preserve">, ff. 2, 3; </w:t>
      </w:r>
      <w:hyperlink w:anchor="SENTENCIA_2025_7" w:history="1">
        <w:r w:rsidRPr="001D7FA9">
          <w:rPr>
            <w:rStyle w:val="TextoNormalCaracter"/>
          </w:rPr>
          <w:t>7/2025</w:t>
        </w:r>
      </w:hyperlink>
      <w:r>
        <w:t xml:space="preserve">, f. único; </w:t>
      </w:r>
      <w:hyperlink w:anchor="SENTENCIA_2025_8" w:history="1">
        <w:r w:rsidRPr="001D7FA9">
          <w:rPr>
            <w:rStyle w:val="TextoNormalCaracter"/>
          </w:rPr>
          <w:t>8/2025</w:t>
        </w:r>
      </w:hyperlink>
      <w:r>
        <w:t xml:space="preserve">, ff. 1 a 3; </w:t>
      </w:r>
      <w:hyperlink w:anchor="SENTENCIA_2025_9" w:history="1">
        <w:r w:rsidRPr="001D7FA9">
          <w:rPr>
            <w:rStyle w:val="TextoNormalCaracter"/>
          </w:rPr>
          <w:t>9/2025</w:t>
        </w:r>
      </w:hyperlink>
      <w:r>
        <w:t xml:space="preserve">, ff. 1, 2; </w:t>
      </w:r>
      <w:hyperlink w:anchor="SENTENCIA_2025_10" w:history="1">
        <w:r w:rsidRPr="001D7FA9">
          <w:rPr>
            <w:rStyle w:val="TextoNormalCaracter"/>
          </w:rPr>
          <w:t>10/2025</w:t>
        </w:r>
      </w:hyperlink>
      <w:r>
        <w:t xml:space="preserve">, ff. 1, 3; </w:t>
      </w:r>
      <w:hyperlink w:anchor="SENTENCIA_2025_11" w:history="1">
        <w:r w:rsidRPr="001D7FA9">
          <w:rPr>
            <w:rStyle w:val="TextoNormalCaracter"/>
          </w:rPr>
          <w:t>11/2025</w:t>
        </w:r>
      </w:hyperlink>
      <w:r>
        <w:t xml:space="preserve">, ff. 1, 2; </w:t>
      </w:r>
      <w:hyperlink w:anchor="SENTENCIA_2025_17" w:history="1">
        <w:r w:rsidRPr="001D7FA9">
          <w:rPr>
            <w:rStyle w:val="TextoNormalCaracter"/>
          </w:rPr>
          <w:t>17/2025</w:t>
        </w:r>
      </w:hyperlink>
      <w:r>
        <w:t xml:space="preserve">, f. único; </w:t>
      </w:r>
      <w:hyperlink w:anchor="SENTENCIA_2025_18" w:history="1">
        <w:r w:rsidRPr="001D7FA9">
          <w:rPr>
            <w:rStyle w:val="TextoNormalCaracter"/>
          </w:rPr>
          <w:t>18/2025</w:t>
        </w:r>
      </w:hyperlink>
      <w:r>
        <w:t xml:space="preserve">, f. único; </w:t>
      </w:r>
      <w:hyperlink w:anchor="SENTENCIA_2025_19" w:history="1">
        <w:r w:rsidRPr="001D7FA9">
          <w:rPr>
            <w:rStyle w:val="TextoNormalCaracter"/>
          </w:rPr>
          <w:t>19/2025</w:t>
        </w:r>
      </w:hyperlink>
      <w:r>
        <w:t xml:space="preserve">, f. único; </w:t>
      </w:r>
      <w:hyperlink w:anchor="SENTENCIA_2025_20" w:history="1">
        <w:r w:rsidRPr="001D7FA9">
          <w:rPr>
            <w:rStyle w:val="TextoNormalCaracter"/>
          </w:rPr>
          <w:t>20/2025</w:t>
        </w:r>
      </w:hyperlink>
      <w:r>
        <w:t xml:space="preserve">, f. único; </w:t>
      </w:r>
      <w:hyperlink w:anchor="SENTENCIA_2025_21" w:history="1">
        <w:r w:rsidRPr="001D7FA9">
          <w:rPr>
            <w:rStyle w:val="TextoNormalCaracter"/>
          </w:rPr>
          <w:t>21/2025</w:t>
        </w:r>
      </w:hyperlink>
      <w:r>
        <w:t xml:space="preserve">, f. 1; </w:t>
      </w:r>
      <w:hyperlink w:anchor="SENTENCIA_2025_22" w:history="1">
        <w:r w:rsidRPr="001D7FA9">
          <w:rPr>
            <w:rStyle w:val="TextoNormalCaracter"/>
          </w:rPr>
          <w:t>22/2025</w:t>
        </w:r>
      </w:hyperlink>
      <w:r>
        <w:t xml:space="preserve">, f. único; </w:t>
      </w:r>
      <w:hyperlink w:anchor="SENTENCIA_2025_23" w:history="1">
        <w:r w:rsidRPr="001D7FA9">
          <w:rPr>
            <w:rStyle w:val="TextoNormalCaracter"/>
          </w:rPr>
          <w:t>23/2025</w:t>
        </w:r>
      </w:hyperlink>
      <w:r>
        <w:t xml:space="preserve">, ff. 1, 2; </w:t>
      </w:r>
      <w:hyperlink w:anchor="SENTENCIA_2025_24" w:history="1">
        <w:r w:rsidRPr="001D7FA9">
          <w:rPr>
            <w:rStyle w:val="TextoNormalCaracter"/>
          </w:rPr>
          <w:t>24/2025</w:t>
        </w:r>
      </w:hyperlink>
      <w:r>
        <w:t xml:space="preserve">, ff. 1, 2; </w:t>
      </w:r>
      <w:hyperlink w:anchor="SENTENCIA_2025_29" w:history="1">
        <w:r w:rsidRPr="001D7FA9">
          <w:rPr>
            <w:rStyle w:val="TextoNormalCaracter"/>
          </w:rPr>
          <w:t>29/2025</w:t>
        </w:r>
      </w:hyperlink>
      <w:r>
        <w:t xml:space="preserve">, f. único; </w:t>
      </w:r>
      <w:hyperlink w:anchor="SENTENCIA_2025_30" w:history="1">
        <w:r w:rsidRPr="001D7FA9">
          <w:rPr>
            <w:rStyle w:val="TextoNormalCaracter"/>
          </w:rPr>
          <w:t>30/2025</w:t>
        </w:r>
      </w:hyperlink>
      <w:r>
        <w:t xml:space="preserve">, ff. 1, 2; </w:t>
      </w:r>
      <w:hyperlink w:anchor="SENTENCIA_2025_32" w:history="1">
        <w:r w:rsidRPr="001D7FA9">
          <w:rPr>
            <w:rStyle w:val="TextoNormalCaracter"/>
          </w:rPr>
          <w:t>32/2025</w:t>
        </w:r>
      </w:hyperlink>
      <w:r>
        <w:t xml:space="preserve">, ff. 1, 2; </w:t>
      </w:r>
      <w:hyperlink w:anchor="SENTENCIA_2025_33" w:history="1">
        <w:r w:rsidRPr="001D7FA9">
          <w:rPr>
            <w:rStyle w:val="TextoNormalCaracter"/>
          </w:rPr>
          <w:t>33/2025</w:t>
        </w:r>
      </w:hyperlink>
      <w:r>
        <w:t xml:space="preserve">, ff. 1, 2; </w:t>
      </w:r>
      <w:hyperlink w:anchor="SENTENCIA_2025_34" w:history="1">
        <w:r w:rsidRPr="001D7FA9">
          <w:rPr>
            <w:rStyle w:val="TextoNormalCaracter"/>
          </w:rPr>
          <w:t>34/2025</w:t>
        </w:r>
      </w:hyperlink>
      <w:r>
        <w:t xml:space="preserve">, f. único; </w:t>
      </w:r>
      <w:hyperlink w:anchor="SENTENCIA_2025_35" w:history="1">
        <w:r w:rsidRPr="001D7FA9">
          <w:rPr>
            <w:rStyle w:val="TextoNormalCaracter"/>
          </w:rPr>
          <w:t>35/2025</w:t>
        </w:r>
      </w:hyperlink>
      <w:r>
        <w:t xml:space="preserve">, ff. 1, 2; </w:t>
      </w:r>
      <w:hyperlink w:anchor="SENTENCIA_2025_36" w:history="1">
        <w:r w:rsidRPr="001D7FA9">
          <w:rPr>
            <w:rStyle w:val="TextoNormalCaracter"/>
          </w:rPr>
          <w:t>36/2025</w:t>
        </w:r>
      </w:hyperlink>
      <w:r>
        <w:t xml:space="preserve">, f. único; </w:t>
      </w:r>
      <w:hyperlink w:anchor="SENTENCIA_2025_38" w:history="1">
        <w:r w:rsidRPr="001D7FA9">
          <w:rPr>
            <w:rStyle w:val="TextoNormalCaracter"/>
          </w:rPr>
          <w:t>38/2025</w:t>
        </w:r>
      </w:hyperlink>
      <w:r>
        <w:t xml:space="preserve">, ff. 1, 2; </w:t>
      </w:r>
      <w:hyperlink w:anchor="SENTENCIA_2025_39" w:history="1">
        <w:r w:rsidRPr="001D7FA9">
          <w:rPr>
            <w:rStyle w:val="TextoNormalCaracter"/>
          </w:rPr>
          <w:t>39/2025</w:t>
        </w:r>
      </w:hyperlink>
      <w:r>
        <w:t xml:space="preserve">, ff. 1, 2; </w:t>
      </w:r>
      <w:hyperlink w:anchor="SENTENCIA_2025_46" w:history="1">
        <w:r w:rsidRPr="001D7FA9">
          <w:rPr>
            <w:rStyle w:val="TextoNormalCaracter"/>
          </w:rPr>
          <w:t>46/2025</w:t>
        </w:r>
      </w:hyperlink>
      <w:r>
        <w:t xml:space="preserve">, f. único; </w:t>
      </w:r>
      <w:hyperlink w:anchor="SENTENCIA_2025_47" w:history="1">
        <w:r w:rsidRPr="001D7FA9">
          <w:rPr>
            <w:rStyle w:val="TextoNormalCaracter"/>
          </w:rPr>
          <w:t>47/2025</w:t>
        </w:r>
      </w:hyperlink>
      <w:r>
        <w:t xml:space="preserve">, f. único; </w:t>
      </w:r>
      <w:hyperlink w:anchor="SENTENCIA_2025_48" w:history="1">
        <w:r w:rsidRPr="001D7FA9">
          <w:rPr>
            <w:rStyle w:val="TextoNormalCaracter"/>
          </w:rPr>
          <w:t>48/2025</w:t>
        </w:r>
      </w:hyperlink>
      <w:r>
        <w:t xml:space="preserve">, ff. 1, 2; </w:t>
      </w:r>
      <w:hyperlink w:anchor="SENTENCIA_2025_50" w:history="1">
        <w:r w:rsidRPr="001D7FA9">
          <w:rPr>
            <w:rStyle w:val="TextoNormalCaracter"/>
          </w:rPr>
          <w:t>50/2025</w:t>
        </w:r>
      </w:hyperlink>
      <w:r>
        <w:t xml:space="preserve">, ff. 1, 2; </w:t>
      </w:r>
      <w:hyperlink w:anchor="SENTENCIA_2025_56" w:history="1">
        <w:r w:rsidRPr="001D7FA9">
          <w:rPr>
            <w:rStyle w:val="TextoNormalCaracter"/>
          </w:rPr>
          <w:t>56/2025</w:t>
        </w:r>
      </w:hyperlink>
      <w:r>
        <w:t xml:space="preserve">, ff. 1, 2; </w:t>
      </w:r>
      <w:hyperlink w:anchor="SENTENCIA_2025_57" w:history="1">
        <w:r w:rsidRPr="001D7FA9">
          <w:rPr>
            <w:rStyle w:val="TextoNormalCaracter"/>
          </w:rPr>
          <w:t>57/2025</w:t>
        </w:r>
      </w:hyperlink>
      <w:r>
        <w:t xml:space="preserve">, ff. 1, 2; </w:t>
      </w:r>
      <w:hyperlink w:anchor="SENTENCIA_2025_58" w:history="1">
        <w:r w:rsidRPr="001D7FA9">
          <w:rPr>
            <w:rStyle w:val="TextoNormalCaracter"/>
          </w:rPr>
          <w:t>58/2025</w:t>
        </w:r>
      </w:hyperlink>
      <w:r>
        <w:t xml:space="preserve">, f. 2; </w:t>
      </w:r>
      <w:hyperlink w:anchor="SENTENCIA_2025_59" w:history="1">
        <w:r w:rsidRPr="001D7FA9">
          <w:rPr>
            <w:rStyle w:val="TextoNormalCaracter"/>
          </w:rPr>
          <w:t>59/2025</w:t>
        </w:r>
      </w:hyperlink>
      <w:r>
        <w:t xml:space="preserve">, ff. 1, 2; </w:t>
      </w:r>
      <w:hyperlink w:anchor="SENTENCIA_2025_60" w:history="1">
        <w:r w:rsidRPr="001D7FA9">
          <w:rPr>
            <w:rStyle w:val="TextoNormalCaracter"/>
          </w:rPr>
          <w:t>60/2025</w:t>
        </w:r>
      </w:hyperlink>
      <w:r>
        <w:t xml:space="preserve">, f. 1; </w:t>
      </w:r>
      <w:hyperlink w:anchor="SENTENCIA_2025_61" w:history="1">
        <w:r w:rsidRPr="001D7FA9">
          <w:rPr>
            <w:rStyle w:val="TextoNormalCaracter"/>
          </w:rPr>
          <w:t>61/2025</w:t>
        </w:r>
      </w:hyperlink>
      <w:r>
        <w:t xml:space="preserve">, f. único; </w:t>
      </w:r>
      <w:hyperlink w:anchor="SENTENCIA_2025_65" w:history="1">
        <w:r w:rsidRPr="001D7FA9">
          <w:rPr>
            <w:rStyle w:val="TextoNormalCaracter"/>
          </w:rPr>
          <w:t>65/2025</w:t>
        </w:r>
      </w:hyperlink>
      <w:r>
        <w:t xml:space="preserve">, f. único; </w:t>
      </w:r>
      <w:hyperlink w:anchor="SENTENCIA_2025_66" w:history="1">
        <w:r w:rsidRPr="001D7FA9">
          <w:rPr>
            <w:rStyle w:val="TextoNormalCaracter"/>
          </w:rPr>
          <w:t>66/2025</w:t>
        </w:r>
      </w:hyperlink>
      <w:r>
        <w:t xml:space="preserve">, f. 2; </w:t>
      </w:r>
      <w:hyperlink w:anchor="SENTENCIA_2025_67" w:history="1">
        <w:r w:rsidRPr="001D7FA9">
          <w:rPr>
            <w:rStyle w:val="TextoNormalCaracter"/>
          </w:rPr>
          <w:t>67/2025</w:t>
        </w:r>
      </w:hyperlink>
      <w:r>
        <w:t xml:space="preserve">, ff. 1, 2; </w:t>
      </w:r>
      <w:hyperlink w:anchor="SENTENCIA_2025_68" w:history="1">
        <w:r w:rsidRPr="001D7FA9">
          <w:rPr>
            <w:rStyle w:val="TextoNormalCaracter"/>
          </w:rPr>
          <w:t>68/2025</w:t>
        </w:r>
      </w:hyperlink>
      <w:r>
        <w:t xml:space="preserve">, ff. 1, 2; </w:t>
      </w:r>
      <w:hyperlink w:anchor="SENTENCIA_2025_70" w:history="1">
        <w:r w:rsidRPr="001D7FA9">
          <w:rPr>
            <w:rStyle w:val="TextoNormalCaracter"/>
          </w:rPr>
          <w:t>70/2025</w:t>
        </w:r>
      </w:hyperlink>
      <w:r>
        <w:t xml:space="preserve">, ff. 1, 2; </w:t>
      </w:r>
      <w:hyperlink w:anchor="SENTENCIA_2025_71" w:history="1">
        <w:r w:rsidRPr="001D7FA9">
          <w:rPr>
            <w:rStyle w:val="TextoNormalCaracter"/>
          </w:rPr>
          <w:t>71/2025</w:t>
        </w:r>
      </w:hyperlink>
      <w:r>
        <w:t xml:space="preserve">, f. único; </w:t>
      </w:r>
      <w:hyperlink w:anchor="SENTENCIA_2025_72" w:history="1">
        <w:r w:rsidRPr="001D7FA9">
          <w:rPr>
            <w:rStyle w:val="TextoNormalCaracter"/>
          </w:rPr>
          <w:t>72/2025</w:t>
        </w:r>
      </w:hyperlink>
      <w:r>
        <w:t xml:space="preserve">, f. único; </w:t>
      </w:r>
      <w:hyperlink w:anchor="SENTENCIA_2025_73" w:history="1">
        <w:r w:rsidRPr="001D7FA9">
          <w:rPr>
            <w:rStyle w:val="TextoNormalCaracter"/>
          </w:rPr>
          <w:t>73/2025</w:t>
        </w:r>
      </w:hyperlink>
      <w:r>
        <w:t xml:space="preserve">, ff. 1, 2; </w:t>
      </w:r>
      <w:hyperlink w:anchor="SENTENCIA_2025_74" w:history="1">
        <w:r w:rsidRPr="001D7FA9">
          <w:rPr>
            <w:rStyle w:val="TextoNormalCaracter"/>
          </w:rPr>
          <w:t>74/2025</w:t>
        </w:r>
      </w:hyperlink>
      <w:r>
        <w:t xml:space="preserve">, f. único; </w:t>
      </w:r>
      <w:hyperlink w:anchor="SENTENCIA_2025_75" w:history="1">
        <w:r w:rsidRPr="001D7FA9">
          <w:rPr>
            <w:rStyle w:val="TextoNormalCaracter"/>
          </w:rPr>
          <w:t>75/2025</w:t>
        </w:r>
      </w:hyperlink>
      <w:r>
        <w:t xml:space="preserve">, f. único; </w:t>
      </w:r>
      <w:hyperlink w:anchor="SENTENCIA_2025_76" w:history="1">
        <w:r w:rsidRPr="001D7FA9">
          <w:rPr>
            <w:rStyle w:val="TextoNormalCaracter"/>
          </w:rPr>
          <w:t>76/2025</w:t>
        </w:r>
      </w:hyperlink>
      <w:r>
        <w:t xml:space="preserve">, ff. 1, 2; </w:t>
      </w:r>
      <w:hyperlink w:anchor="SENTENCIA_2025_77" w:history="1">
        <w:r w:rsidRPr="001D7FA9">
          <w:rPr>
            <w:rStyle w:val="TextoNormalCaracter"/>
          </w:rPr>
          <w:t>77/2025</w:t>
        </w:r>
      </w:hyperlink>
      <w:r>
        <w:t xml:space="preserve">, f. único; </w:t>
      </w:r>
      <w:hyperlink w:anchor="SENTENCIA_2025_78" w:history="1">
        <w:r w:rsidRPr="001D7FA9">
          <w:rPr>
            <w:rStyle w:val="TextoNormalCaracter"/>
          </w:rPr>
          <w:t>78/2025</w:t>
        </w:r>
      </w:hyperlink>
      <w:r>
        <w:t xml:space="preserve">, f. único; </w:t>
      </w:r>
      <w:hyperlink w:anchor="SENTENCIA_2025_79" w:history="1">
        <w:r w:rsidRPr="001D7FA9">
          <w:rPr>
            <w:rStyle w:val="TextoNormalCaracter"/>
          </w:rPr>
          <w:t>79/2025</w:t>
        </w:r>
      </w:hyperlink>
      <w:r>
        <w:t xml:space="preserve">, ff. 1, 3; </w:t>
      </w:r>
      <w:hyperlink w:anchor="SENTENCIA_2025_80" w:history="1">
        <w:r w:rsidRPr="001D7FA9">
          <w:rPr>
            <w:rStyle w:val="TextoNormalCaracter"/>
          </w:rPr>
          <w:t>80/2025</w:t>
        </w:r>
      </w:hyperlink>
      <w:r>
        <w:t xml:space="preserve">, ff. 1, 2; </w:t>
      </w:r>
      <w:hyperlink w:anchor="SENTENCIA_2025_81" w:history="1">
        <w:r w:rsidRPr="001D7FA9">
          <w:rPr>
            <w:rStyle w:val="TextoNormalCaracter"/>
          </w:rPr>
          <w:t>81/2025</w:t>
        </w:r>
      </w:hyperlink>
      <w:r>
        <w:t xml:space="preserve">, ff. 1, 2; </w:t>
      </w:r>
      <w:hyperlink w:anchor="SENTENCIA_2025_88" w:history="1">
        <w:r w:rsidRPr="001D7FA9">
          <w:rPr>
            <w:rStyle w:val="TextoNormalCaracter"/>
          </w:rPr>
          <w:t>88/2025</w:t>
        </w:r>
      </w:hyperlink>
      <w:r>
        <w:t xml:space="preserve">, ff. 1, 2; </w:t>
      </w:r>
      <w:hyperlink w:anchor="SENTENCIA_2025_89" w:history="1">
        <w:r w:rsidRPr="001D7FA9">
          <w:rPr>
            <w:rStyle w:val="TextoNormalCaracter"/>
          </w:rPr>
          <w:t>89/2025</w:t>
        </w:r>
      </w:hyperlink>
      <w:r>
        <w:t xml:space="preserve">, ff. 1, 2; </w:t>
      </w:r>
      <w:hyperlink w:anchor="SENTENCIA_2025_90" w:history="1">
        <w:r w:rsidRPr="001D7FA9">
          <w:rPr>
            <w:rStyle w:val="TextoNormalCaracter"/>
          </w:rPr>
          <w:t>90/2025</w:t>
        </w:r>
      </w:hyperlink>
      <w:r>
        <w:t xml:space="preserve">, ff. 1, 2; </w:t>
      </w:r>
      <w:hyperlink w:anchor="SENTENCIA_2025_91" w:history="1">
        <w:r w:rsidRPr="001D7FA9">
          <w:rPr>
            <w:rStyle w:val="TextoNormalCaracter"/>
          </w:rPr>
          <w:t>91/2025</w:t>
        </w:r>
      </w:hyperlink>
      <w:r>
        <w:t xml:space="preserve">, f. único; </w:t>
      </w:r>
      <w:hyperlink w:anchor="SENTENCIA_2025_92" w:history="1">
        <w:r w:rsidRPr="001D7FA9">
          <w:rPr>
            <w:rStyle w:val="TextoNormalCaracter"/>
          </w:rPr>
          <w:t>92/2025</w:t>
        </w:r>
      </w:hyperlink>
      <w:r>
        <w:t xml:space="preserve">, ff. 1, 2; </w:t>
      </w:r>
      <w:hyperlink w:anchor="SENTENCIA_2025_93" w:history="1">
        <w:r w:rsidRPr="001D7FA9">
          <w:rPr>
            <w:rStyle w:val="TextoNormalCaracter"/>
          </w:rPr>
          <w:t>93/2025</w:t>
        </w:r>
      </w:hyperlink>
      <w:r>
        <w:t xml:space="preserve">, ff. 1, 2; </w:t>
      </w:r>
      <w:hyperlink w:anchor="SENTENCIA_2025_94" w:history="1">
        <w:r w:rsidRPr="001D7FA9">
          <w:rPr>
            <w:rStyle w:val="TextoNormalCaracter"/>
          </w:rPr>
          <w:t>94/2025</w:t>
        </w:r>
      </w:hyperlink>
      <w:r>
        <w:t xml:space="preserve">, ff. 1, 2; </w:t>
      </w:r>
      <w:hyperlink w:anchor="SENTENCIA_2025_102" w:history="1">
        <w:r w:rsidRPr="001D7FA9">
          <w:rPr>
            <w:rStyle w:val="TextoNormalCaracter"/>
          </w:rPr>
          <w:t>102/2025</w:t>
        </w:r>
      </w:hyperlink>
      <w:r>
        <w:t xml:space="preserve">, ff. 1, 2; </w:t>
      </w:r>
      <w:hyperlink w:anchor="SENTENCIA_2025_103" w:history="1">
        <w:r w:rsidRPr="001D7FA9">
          <w:rPr>
            <w:rStyle w:val="TextoNormalCaracter"/>
          </w:rPr>
          <w:t>103/2025</w:t>
        </w:r>
      </w:hyperlink>
      <w:r>
        <w:t xml:space="preserve">, f. único; </w:t>
      </w:r>
      <w:hyperlink w:anchor="SENTENCIA_2025_104" w:history="1">
        <w:r w:rsidRPr="001D7FA9">
          <w:rPr>
            <w:rStyle w:val="TextoNormalCaracter"/>
          </w:rPr>
          <w:t>104/2025</w:t>
        </w:r>
      </w:hyperlink>
      <w:r>
        <w:t xml:space="preserve">, ff. 1, 2; </w:t>
      </w:r>
      <w:hyperlink w:anchor="SENTENCIA_2025_112" w:history="1">
        <w:r w:rsidRPr="001D7FA9">
          <w:rPr>
            <w:rStyle w:val="TextoNormalCaracter"/>
          </w:rPr>
          <w:t>112/2025</w:t>
        </w:r>
      </w:hyperlink>
      <w:r>
        <w:t xml:space="preserve">, ff. 1, 2; </w:t>
      </w:r>
      <w:hyperlink w:anchor="SENTENCIA_2025_113" w:history="1">
        <w:r w:rsidRPr="001D7FA9">
          <w:rPr>
            <w:rStyle w:val="TextoNormalCaracter"/>
          </w:rPr>
          <w:t>113/2025</w:t>
        </w:r>
      </w:hyperlink>
      <w:r>
        <w:t xml:space="preserve">, f. único; </w:t>
      </w:r>
      <w:hyperlink w:anchor="SENTENCIA_2025_114" w:history="1">
        <w:r w:rsidRPr="001D7FA9">
          <w:rPr>
            <w:rStyle w:val="TextoNormalCaracter"/>
          </w:rPr>
          <w:t>114/2025</w:t>
        </w:r>
      </w:hyperlink>
      <w:r>
        <w:t xml:space="preserve">, f. único; </w:t>
      </w:r>
      <w:hyperlink w:anchor="SENTENCIA_2025_115" w:history="1">
        <w:r w:rsidRPr="001D7FA9">
          <w:rPr>
            <w:rStyle w:val="TextoNormalCaracter"/>
          </w:rPr>
          <w:t>115/2025</w:t>
        </w:r>
      </w:hyperlink>
      <w:r>
        <w:t xml:space="preserve">, f. único; </w:t>
      </w:r>
      <w:hyperlink w:anchor="SENTENCIA_2025_116" w:history="1">
        <w:r w:rsidRPr="001D7FA9">
          <w:rPr>
            <w:rStyle w:val="TextoNormalCaracter"/>
          </w:rPr>
          <w:t>116/2025</w:t>
        </w:r>
      </w:hyperlink>
      <w:r>
        <w:t xml:space="preserve">, f. único; </w:t>
      </w:r>
      <w:hyperlink w:anchor="SENTENCIA_2025_122" w:history="1">
        <w:r w:rsidRPr="001D7FA9">
          <w:rPr>
            <w:rStyle w:val="TextoNormalCaracter"/>
          </w:rPr>
          <w:t>122/2025</w:t>
        </w:r>
      </w:hyperlink>
      <w:r>
        <w:t xml:space="preserve">, f. único; </w:t>
      </w:r>
      <w:hyperlink w:anchor="SENTENCIA_2025_123" w:history="1">
        <w:r w:rsidRPr="001D7FA9">
          <w:rPr>
            <w:rStyle w:val="TextoNormalCaracter"/>
          </w:rPr>
          <w:t>123/2025</w:t>
        </w:r>
      </w:hyperlink>
      <w:r>
        <w:t xml:space="preserve">, ff. 1, 2; </w:t>
      </w:r>
      <w:hyperlink w:anchor="SENTENCIA_2025_124" w:history="1">
        <w:r w:rsidRPr="001D7FA9">
          <w:rPr>
            <w:rStyle w:val="TextoNormalCaracter"/>
          </w:rPr>
          <w:t>124/2025</w:t>
        </w:r>
      </w:hyperlink>
      <w:r>
        <w:t xml:space="preserve">, ff. 1, 2; </w:t>
      </w:r>
      <w:hyperlink w:anchor="SENTENCIA_2025_125" w:history="1">
        <w:r w:rsidRPr="001D7FA9">
          <w:rPr>
            <w:rStyle w:val="TextoNormalCaracter"/>
          </w:rPr>
          <w:t>125/2025</w:t>
        </w:r>
      </w:hyperlink>
      <w:r>
        <w:t xml:space="preserve">, f. único; </w:t>
      </w:r>
      <w:hyperlink w:anchor="SENTENCIA_2025_127" w:history="1">
        <w:r w:rsidRPr="001D7FA9">
          <w:rPr>
            <w:rStyle w:val="TextoNormalCaracter"/>
          </w:rPr>
          <w:t>127/2025</w:t>
        </w:r>
      </w:hyperlink>
      <w:r>
        <w:t xml:space="preserve">, ff. 1, 2; </w:t>
      </w:r>
      <w:hyperlink w:anchor="SENTENCIA_2025_128" w:history="1">
        <w:r w:rsidRPr="001D7FA9">
          <w:rPr>
            <w:rStyle w:val="TextoNormalCaracter"/>
          </w:rPr>
          <w:t>128/2025</w:t>
        </w:r>
      </w:hyperlink>
      <w:r>
        <w:t xml:space="preserve">, ff. 1, 2; </w:t>
      </w:r>
      <w:hyperlink w:anchor="SENTENCIA_2025_129" w:history="1">
        <w:r w:rsidRPr="001D7FA9">
          <w:rPr>
            <w:rStyle w:val="TextoNormalCaracter"/>
          </w:rPr>
          <w:t>129/2025</w:t>
        </w:r>
      </w:hyperlink>
      <w:r>
        <w:t xml:space="preserve">, ff. 1, 2; </w:t>
      </w:r>
      <w:hyperlink w:anchor="SENTENCIA_2025_130" w:history="1">
        <w:r w:rsidRPr="001D7FA9">
          <w:rPr>
            <w:rStyle w:val="TextoNormalCaracter"/>
          </w:rPr>
          <w:t>130/2025</w:t>
        </w:r>
      </w:hyperlink>
      <w:r>
        <w:t xml:space="preserve">, ff. 1, 2; </w:t>
      </w:r>
      <w:hyperlink w:anchor="SENTENCIA_2025_131" w:history="1">
        <w:r w:rsidRPr="001D7FA9">
          <w:rPr>
            <w:rStyle w:val="TextoNormalCaracter"/>
          </w:rPr>
          <w:t>131/2025</w:t>
        </w:r>
      </w:hyperlink>
      <w:r>
        <w:t>, ff. 1, 2.</w:t>
      </w:r>
    </w:p>
    <w:p w14:paraId="41EAFC13" w14:textId="3E39F543" w:rsidR="001D7FA9" w:rsidRDefault="001D7FA9" w:rsidP="001D7FA9">
      <w:pPr>
        <w:pStyle w:val="SangriaIzquierdaArticulo"/>
      </w:pPr>
      <w:r>
        <w:t xml:space="preserve">Autos </w:t>
      </w:r>
      <w:hyperlink w:anchor="AUTO_2025_10" w:history="1">
        <w:r w:rsidRPr="001D7FA9">
          <w:rPr>
            <w:rStyle w:val="TextoNormalCaracter"/>
          </w:rPr>
          <w:t>10/2025</w:t>
        </w:r>
      </w:hyperlink>
      <w:r>
        <w:t xml:space="preserve">, f. único; </w:t>
      </w:r>
      <w:hyperlink w:anchor="AUTO_2025_19" w:history="1">
        <w:r w:rsidRPr="001D7FA9">
          <w:rPr>
            <w:rStyle w:val="TextoNormalCaracter"/>
          </w:rPr>
          <w:t>19/2025</w:t>
        </w:r>
      </w:hyperlink>
      <w:r>
        <w:t xml:space="preserve">, f. único; </w:t>
      </w:r>
      <w:hyperlink w:anchor="AUTO_2025_34" w:history="1">
        <w:r w:rsidRPr="001D7FA9">
          <w:rPr>
            <w:rStyle w:val="TextoNormalCaracter"/>
          </w:rPr>
          <w:t>34/2025</w:t>
        </w:r>
      </w:hyperlink>
      <w:r>
        <w:t xml:space="preserve">, f. único, VP; </w:t>
      </w:r>
      <w:hyperlink w:anchor="AUTO_2025_55" w:history="1">
        <w:r w:rsidRPr="001D7FA9">
          <w:rPr>
            <w:rStyle w:val="TextoNormalCaracter"/>
          </w:rPr>
          <w:t>55/2025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f. único.</w:t>
      </w:r>
    </w:p>
    <w:p w14:paraId="551232D9" w14:textId="36359D94" w:rsidR="001D7FA9" w:rsidRDefault="001D7FA9" w:rsidP="001D7FA9">
      <w:pPr>
        <w:pStyle w:val="TextoNormal"/>
      </w:pPr>
    </w:p>
    <w:p w14:paraId="49E0D8E6" w14:textId="77777777" w:rsidR="001D7FA9" w:rsidRDefault="001D7FA9" w:rsidP="001D7FA9">
      <w:pPr>
        <w:pStyle w:val="SangriaIzquierdaArticulo"/>
      </w:pPr>
      <w:bookmarkStart w:id="217" w:name="INDICE22848"/>
    </w:p>
    <w:bookmarkEnd w:id="217"/>
    <w:p w14:paraId="2547934F" w14:textId="77777777" w:rsidR="001D7FA9" w:rsidRDefault="001D7FA9" w:rsidP="001D7FA9">
      <w:pPr>
        <w:pStyle w:val="TextoIndiceNivel2"/>
        <w:suppressAutoHyphens/>
      </w:pPr>
      <w:r>
        <w:t>G) Reales Decretos-leyes</w:t>
      </w:r>
    </w:p>
    <w:p w14:paraId="26D92E1D" w14:textId="74CADB2F" w:rsidR="001D7FA9" w:rsidRDefault="001D7FA9" w:rsidP="001D7FA9">
      <w:pPr>
        <w:pStyle w:val="TextoIndiceNivel2"/>
      </w:pPr>
    </w:p>
    <w:p w14:paraId="125080A1" w14:textId="77777777" w:rsidR="001D7FA9" w:rsidRDefault="001D7FA9" w:rsidP="001D7FA9">
      <w:pPr>
        <w:pStyle w:val="TextoNormalNegritaCursivandice"/>
        <w:keepNext/>
      </w:pPr>
      <w:r>
        <w:t>Real Decreto-ley 1/2017, de 20 de enero, de medidas urgentes de protección de consumidores en materia de cláusulas suelo</w:t>
      </w:r>
    </w:p>
    <w:p w14:paraId="03AB3A57" w14:textId="0F057C7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5A48ED7" w14:textId="1C956E0E"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Sentencias </w:t>
      </w:r>
      <w:hyperlink w:anchor="SENTENCIA_2025_45" w:history="1">
        <w:r w:rsidRPr="001D7FA9">
          <w:rPr>
            <w:rStyle w:val="TextoNormalCaracter"/>
          </w:rPr>
          <w:t>45/2025</w:t>
        </w:r>
      </w:hyperlink>
      <w:r>
        <w:t xml:space="preserve">, f. 2; </w:t>
      </w:r>
      <w:hyperlink w:anchor="SENTENCIA_2025_109" w:history="1">
        <w:r w:rsidRPr="001D7FA9">
          <w:rPr>
            <w:rStyle w:val="TextoNormalCaracter"/>
          </w:rPr>
          <w:t>109/2025</w:t>
        </w:r>
      </w:hyperlink>
      <w:r>
        <w:t xml:space="preserve">, f. 2; </w:t>
      </w:r>
      <w:hyperlink w:anchor="SENTENCIA_2025_121" w:history="1">
        <w:r w:rsidRPr="001D7FA9">
          <w:rPr>
            <w:rStyle w:val="TextoNormalCaracter"/>
          </w:rPr>
          <w:t>121/2025</w:t>
        </w:r>
      </w:hyperlink>
      <w:r>
        <w:t>, f. 3.</w:t>
      </w:r>
    </w:p>
    <w:p w14:paraId="48A894F5" w14:textId="066757EB" w:rsidR="001D7FA9" w:rsidRDefault="001D7FA9" w:rsidP="001D7FA9">
      <w:pPr>
        <w:pStyle w:val="SangriaFrancesaArticulo"/>
      </w:pPr>
    </w:p>
    <w:p w14:paraId="332B7269" w14:textId="77777777" w:rsidR="001D7FA9" w:rsidRDefault="001D7FA9" w:rsidP="001D7FA9">
      <w:pPr>
        <w:pStyle w:val="TextoNormalNegritaCursivandice"/>
        <w:keepNext/>
      </w:pPr>
      <w:r>
        <w:t>Real Decreto-ley 6/2019, de 1 de marzo, de medidas urgentes para garantía de la igualdad de trato y de oportunidades entre mujeres y hombres en el empleo y la ocupación</w:t>
      </w:r>
    </w:p>
    <w:p w14:paraId="2473EF6E" w14:textId="664DC942"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Sentencias </w:t>
      </w:r>
      <w:hyperlink w:anchor="SENTENCIA_2025_4" w:history="1">
        <w:r w:rsidRPr="001D7FA9">
          <w:rPr>
            <w:rStyle w:val="TextoNormalCaracter"/>
          </w:rPr>
          <w:t>4/2025</w:t>
        </w:r>
      </w:hyperlink>
      <w:r>
        <w:t xml:space="preserve">, f. 1; </w:t>
      </w:r>
      <w:hyperlink w:anchor="SENTENCIA_2025_5" w:history="1">
        <w:r w:rsidRPr="001D7FA9">
          <w:rPr>
            <w:rStyle w:val="TextoNormalCaracter"/>
          </w:rPr>
          <w:t>5/2025</w:t>
        </w:r>
      </w:hyperlink>
      <w:r>
        <w:t xml:space="preserve">, f. único; </w:t>
      </w:r>
      <w:hyperlink w:anchor="SENTENCIA_2025_7" w:history="1">
        <w:r w:rsidRPr="001D7FA9">
          <w:rPr>
            <w:rStyle w:val="TextoNormalCaracter"/>
          </w:rPr>
          <w:t>7/2025</w:t>
        </w:r>
      </w:hyperlink>
      <w:r>
        <w:t xml:space="preserve">, f. único; </w:t>
      </w:r>
      <w:hyperlink w:anchor="SENTENCIA_2025_8" w:history="1">
        <w:r w:rsidRPr="001D7FA9">
          <w:rPr>
            <w:rStyle w:val="TextoNormalCaracter"/>
          </w:rPr>
          <w:t>8/2025</w:t>
        </w:r>
      </w:hyperlink>
      <w:r>
        <w:t xml:space="preserve">, f. 1; </w:t>
      </w:r>
      <w:hyperlink w:anchor="SENTENCIA_2025_9" w:history="1">
        <w:r w:rsidRPr="001D7FA9">
          <w:rPr>
            <w:rStyle w:val="TextoNormalCaracter"/>
          </w:rPr>
          <w:t>9/2025</w:t>
        </w:r>
      </w:hyperlink>
      <w:r>
        <w:t xml:space="preserve">, ff. 1, 2; </w:t>
      </w:r>
      <w:hyperlink w:anchor="SENTENCIA_2025_10" w:history="1">
        <w:r w:rsidRPr="001D7FA9">
          <w:rPr>
            <w:rStyle w:val="TextoNormalCaracter"/>
          </w:rPr>
          <w:t>10/2025</w:t>
        </w:r>
      </w:hyperlink>
      <w:r>
        <w:t xml:space="preserve">, f. 1; </w:t>
      </w:r>
      <w:hyperlink w:anchor="SENTENCIA_2025_11" w:history="1">
        <w:r w:rsidRPr="001D7FA9">
          <w:rPr>
            <w:rStyle w:val="TextoNormalCaracter"/>
          </w:rPr>
          <w:t>11/2025</w:t>
        </w:r>
      </w:hyperlink>
      <w:r>
        <w:t xml:space="preserve">, f. 1; </w:t>
      </w:r>
      <w:hyperlink w:anchor="SENTENCIA_2025_17" w:history="1">
        <w:r w:rsidRPr="001D7FA9">
          <w:rPr>
            <w:rStyle w:val="TextoNormalCaracter"/>
          </w:rPr>
          <w:t>17/2025</w:t>
        </w:r>
      </w:hyperlink>
      <w:r>
        <w:t xml:space="preserve">, f. único; </w:t>
      </w:r>
      <w:hyperlink w:anchor="SENTENCIA_2025_18" w:history="1">
        <w:r w:rsidRPr="001D7FA9">
          <w:rPr>
            <w:rStyle w:val="TextoNormalCaracter"/>
          </w:rPr>
          <w:t>18/2025</w:t>
        </w:r>
      </w:hyperlink>
      <w:r>
        <w:t xml:space="preserve">, f. único; </w:t>
      </w:r>
      <w:hyperlink w:anchor="SENTENCIA_2025_19" w:history="1">
        <w:r w:rsidRPr="001D7FA9">
          <w:rPr>
            <w:rStyle w:val="TextoNormalCaracter"/>
          </w:rPr>
          <w:t>19/2025</w:t>
        </w:r>
      </w:hyperlink>
      <w:r>
        <w:t xml:space="preserve">, f. único; </w:t>
      </w:r>
      <w:hyperlink w:anchor="SENTENCIA_2025_20" w:history="1">
        <w:r w:rsidRPr="001D7FA9">
          <w:rPr>
            <w:rStyle w:val="TextoNormalCaracter"/>
          </w:rPr>
          <w:t>20/2025</w:t>
        </w:r>
      </w:hyperlink>
      <w:r>
        <w:t xml:space="preserve">, f. único; </w:t>
      </w:r>
      <w:hyperlink w:anchor="SENTENCIA_2025_21" w:history="1">
        <w:r w:rsidRPr="001D7FA9">
          <w:rPr>
            <w:rStyle w:val="TextoNormalCaracter"/>
          </w:rPr>
          <w:t>21/2025</w:t>
        </w:r>
      </w:hyperlink>
      <w:r>
        <w:t xml:space="preserve">, f. 1; </w:t>
      </w:r>
      <w:hyperlink w:anchor="SENTENCIA_2025_22" w:history="1">
        <w:r w:rsidRPr="001D7FA9">
          <w:rPr>
            <w:rStyle w:val="TextoNormalCaracter"/>
          </w:rPr>
          <w:t>22/2025</w:t>
        </w:r>
      </w:hyperlink>
      <w:r>
        <w:t xml:space="preserve">, f. único; </w:t>
      </w:r>
      <w:hyperlink w:anchor="SENTENCIA_2025_24" w:history="1">
        <w:r w:rsidRPr="001D7FA9">
          <w:rPr>
            <w:rStyle w:val="TextoNormalCaracter"/>
          </w:rPr>
          <w:t>24/2025</w:t>
        </w:r>
      </w:hyperlink>
      <w:r>
        <w:t xml:space="preserve">, f. 1; </w:t>
      </w:r>
      <w:hyperlink w:anchor="SENTENCIA_2025_29" w:history="1">
        <w:r w:rsidRPr="001D7FA9">
          <w:rPr>
            <w:rStyle w:val="TextoNormalCaracter"/>
          </w:rPr>
          <w:t>29/2025</w:t>
        </w:r>
      </w:hyperlink>
      <w:r>
        <w:t xml:space="preserve">, f. único; </w:t>
      </w:r>
      <w:hyperlink w:anchor="SENTENCIA_2025_32" w:history="1">
        <w:r w:rsidRPr="001D7FA9">
          <w:rPr>
            <w:rStyle w:val="TextoNormalCaracter"/>
          </w:rPr>
          <w:t>32/2025</w:t>
        </w:r>
      </w:hyperlink>
      <w:r>
        <w:t xml:space="preserve">, f. 1; </w:t>
      </w:r>
      <w:hyperlink w:anchor="SENTENCIA_2025_34" w:history="1">
        <w:r w:rsidRPr="001D7FA9">
          <w:rPr>
            <w:rStyle w:val="TextoNormalCaracter"/>
          </w:rPr>
          <w:t>34/2025</w:t>
        </w:r>
      </w:hyperlink>
      <w:r>
        <w:t xml:space="preserve">, f. único; </w:t>
      </w:r>
      <w:hyperlink w:anchor="SENTENCIA_2025_38" w:history="1">
        <w:r w:rsidRPr="001D7FA9">
          <w:rPr>
            <w:rStyle w:val="TextoNormalCaracter"/>
          </w:rPr>
          <w:t>38/2025</w:t>
        </w:r>
      </w:hyperlink>
      <w:r>
        <w:t xml:space="preserve">, ff. 1, 2; </w:t>
      </w:r>
      <w:hyperlink w:anchor="SENTENCIA_2025_39" w:history="1">
        <w:r w:rsidRPr="001D7FA9">
          <w:rPr>
            <w:rStyle w:val="TextoNormalCaracter"/>
          </w:rPr>
          <w:t>39/2025</w:t>
        </w:r>
      </w:hyperlink>
      <w:r>
        <w:t xml:space="preserve">, ff. 1, 2; </w:t>
      </w:r>
      <w:hyperlink w:anchor="SENTENCIA_2025_46" w:history="1">
        <w:r w:rsidRPr="001D7FA9">
          <w:rPr>
            <w:rStyle w:val="TextoNormalCaracter"/>
          </w:rPr>
          <w:t>46/2025</w:t>
        </w:r>
      </w:hyperlink>
      <w:r>
        <w:t xml:space="preserve">, f. único; </w:t>
      </w:r>
      <w:hyperlink w:anchor="SENTENCIA_2025_47" w:history="1">
        <w:r w:rsidRPr="001D7FA9">
          <w:rPr>
            <w:rStyle w:val="TextoNormalCaracter"/>
          </w:rPr>
          <w:t>47/2025</w:t>
        </w:r>
      </w:hyperlink>
      <w:r>
        <w:t xml:space="preserve">, f. único; </w:t>
      </w:r>
      <w:hyperlink w:anchor="SENTENCIA_2025_48" w:history="1">
        <w:r w:rsidRPr="001D7FA9">
          <w:rPr>
            <w:rStyle w:val="TextoNormalCaracter"/>
          </w:rPr>
          <w:t>48/2025</w:t>
        </w:r>
      </w:hyperlink>
      <w:r>
        <w:t xml:space="preserve">, ff. 1, 2; </w:t>
      </w:r>
      <w:hyperlink w:anchor="SENTENCIA_2025_50" w:history="1">
        <w:r w:rsidRPr="001D7FA9">
          <w:rPr>
            <w:rStyle w:val="TextoNormalCaracter"/>
          </w:rPr>
          <w:t>50/2025</w:t>
        </w:r>
      </w:hyperlink>
      <w:r>
        <w:t xml:space="preserve">, ff. 1, 2; </w:t>
      </w:r>
      <w:hyperlink w:anchor="SENTENCIA_2025_56" w:history="1">
        <w:r w:rsidRPr="001D7FA9">
          <w:rPr>
            <w:rStyle w:val="TextoNormalCaracter"/>
          </w:rPr>
          <w:t>56/2025</w:t>
        </w:r>
      </w:hyperlink>
      <w:r>
        <w:t xml:space="preserve">, f. 1; </w:t>
      </w:r>
      <w:hyperlink w:anchor="SENTENCIA_2025_57" w:history="1">
        <w:r w:rsidRPr="001D7FA9">
          <w:rPr>
            <w:rStyle w:val="TextoNormalCaracter"/>
          </w:rPr>
          <w:t>57/2025</w:t>
        </w:r>
      </w:hyperlink>
      <w:r>
        <w:t xml:space="preserve">, ff. 1, 2; </w:t>
      </w:r>
      <w:hyperlink w:anchor="SENTENCIA_2025_58" w:history="1">
        <w:r w:rsidRPr="001D7FA9">
          <w:rPr>
            <w:rStyle w:val="TextoNormalCaracter"/>
          </w:rPr>
          <w:t>58/2025</w:t>
        </w:r>
      </w:hyperlink>
      <w:r>
        <w:t xml:space="preserve">, f. 2; </w:t>
      </w:r>
      <w:hyperlink w:anchor="SENTENCIA_2025_59" w:history="1">
        <w:r w:rsidRPr="001D7FA9">
          <w:rPr>
            <w:rStyle w:val="TextoNormalCaracter"/>
          </w:rPr>
          <w:t>59/2025</w:t>
        </w:r>
      </w:hyperlink>
      <w:r>
        <w:t xml:space="preserve">, f. 1; </w:t>
      </w:r>
      <w:hyperlink w:anchor="SENTENCIA_2025_61" w:history="1">
        <w:r w:rsidRPr="001D7FA9">
          <w:rPr>
            <w:rStyle w:val="TextoNormalCaracter"/>
          </w:rPr>
          <w:t>61/2025</w:t>
        </w:r>
      </w:hyperlink>
      <w:r>
        <w:t xml:space="preserve">, f. único; </w:t>
      </w:r>
      <w:hyperlink w:anchor="SENTENCIA_2025_65" w:history="1">
        <w:r w:rsidRPr="001D7FA9">
          <w:rPr>
            <w:rStyle w:val="TextoNormalCaracter"/>
          </w:rPr>
          <w:t>65/2025</w:t>
        </w:r>
      </w:hyperlink>
      <w:r>
        <w:t xml:space="preserve">, f. único; </w:t>
      </w:r>
      <w:hyperlink w:anchor="SENTENCIA_2025_66" w:history="1">
        <w:r w:rsidRPr="001D7FA9">
          <w:rPr>
            <w:rStyle w:val="TextoNormalCaracter"/>
          </w:rPr>
          <w:t>66/2025</w:t>
        </w:r>
      </w:hyperlink>
      <w:r>
        <w:t xml:space="preserve">, f. 2; </w:t>
      </w:r>
      <w:hyperlink w:anchor="SENTENCIA_2025_67" w:history="1">
        <w:r w:rsidRPr="001D7FA9">
          <w:rPr>
            <w:rStyle w:val="TextoNormalCaracter"/>
          </w:rPr>
          <w:t>67/2025</w:t>
        </w:r>
      </w:hyperlink>
      <w:r>
        <w:t xml:space="preserve">, f. 1; </w:t>
      </w:r>
      <w:hyperlink w:anchor="SENTENCIA_2025_68" w:history="1">
        <w:r w:rsidRPr="001D7FA9">
          <w:rPr>
            <w:rStyle w:val="TextoNormalCaracter"/>
          </w:rPr>
          <w:t>68/2025</w:t>
        </w:r>
      </w:hyperlink>
      <w:r>
        <w:t xml:space="preserve">, f. 1; </w:t>
      </w:r>
      <w:hyperlink w:anchor="SENTENCIA_2025_70" w:history="1">
        <w:r w:rsidRPr="001D7FA9">
          <w:rPr>
            <w:rStyle w:val="TextoNormalCaracter"/>
          </w:rPr>
          <w:t>70/2025</w:t>
        </w:r>
      </w:hyperlink>
      <w:r>
        <w:t xml:space="preserve">, ff. 1, 2; </w:t>
      </w:r>
      <w:hyperlink w:anchor="SENTENCIA_2025_71" w:history="1">
        <w:r w:rsidRPr="001D7FA9">
          <w:rPr>
            <w:rStyle w:val="TextoNormalCaracter"/>
          </w:rPr>
          <w:t>71/2025</w:t>
        </w:r>
      </w:hyperlink>
      <w:r>
        <w:t xml:space="preserve">, f. único; </w:t>
      </w:r>
      <w:hyperlink w:anchor="SENTENCIA_2025_72" w:history="1">
        <w:r w:rsidRPr="001D7FA9">
          <w:rPr>
            <w:rStyle w:val="TextoNormalCaracter"/>
          </w:rPr>
          <w:t>72/2025</w:t>
        </w:r>
      </w:hyperlink>
      <w:r>
        <w:t xml:space="preserve">, f. único; </w:t>
      </w:r>
      <w:hyperlink w:anchor="SENTENCIA_2025_73" w:history="1">
        <w:r w:rsidRPr="001D7FA9">
          <w:rPr>
            <w:rStyle w:val="TextoNormalCaracter"/>
          </w:rPr>
          <w:t>73/2025</w:t>
        </w:r>
      </w:hyperlink>
      <w:r>
        <w:t xml:space="preserve">, ff. 1, 2; </w:t>
      </w:r>
      <w:hyperlink w:anchor="SENTENCIA_2025_74" w:history="1">
        <w:r w:rsidRPr="001D7FA9">
          <w:rPr>
            <w:rStyle w:val="TextoNormalCaracter"/>
          </w:rPr>
          <w:t>74/2025</w:t>
        </w:r>
      </w:hyperlink>
      <w:r>
        <w:t xml:space="preserve">, f. único; </w:t>
      </w:r>
      <w:hyperlink w:anchor="SENTENCIA_2025_75" w:history="1">
        <w:r w:rsidRPr="001D7FA9">
          <w:rPr>
            <w:rStyle w:val="TextoNormalCaracter"/>
          </w:rPr>
          <w:t>75/2025</w:t>
        </w:r>
      </w:hyperlink>
      <w:r>
        <w:t xml:space="preserve">, f. único; </w:t>
      </w:r>
      <w:hyperlink w:anchor="SENTENCIA_2025_76" w:history="1">
        <w:r w:rsidRPr="001D7FA9">
          <w:rPr>
            <w:rStyle w:val="TextoNormalCaracter"/>
          </w:rPr>
          <w:t>76/2025</w:t>
        </w:r>
      </w:hyperlink>
      <w:r>
        <w:t xml:space="preserve">, f. 1; </w:t>
      </w:r>
      <w:hyperlink w:anchor="SENTENCIA_2025_77" w:history="1">
        <w:r w:rsidRPr="001D7FA9">
          <w:rPr>
            <w:rStyle w:val="TextoNormalCaracter"/>
          </w:rPr>
          <w:t>77/2025</w:t>
        </w:r>
      </w:hyperlink>
      <w:r>
        <w:t xml:space="preserve">, f. único; </w:t>
      </w:r>
      <w:hyperlink w:anchor="SENTENCIA_2025_78" w:history="1">
        <w:r w:rsidRPr="001D7FA9">
          <w:rPr>
            <w:rStyle w:val="TextoNormalCaracter"/>
          </w:rPr>
          <w:t>78/2025</w:t>
        </w:r>
      </w:hyperlink>
      <w:r>
        <w:t xml:space="preserve">, f. único; </w:t>
      </w:r>
      <w:hyperlink w:anchor="SENTENCIA_2025_79" w:history="1">
        <w:r w:rsidRPr="001D7FA9">
          <w:rPr>
            <w:rStyle w:val="TextoNormalCaracter"/>
          </w:rPr>
          <w:t>79/2025</w:t>
        </w:r>
      </w:hyperlink>
      <w:r>
        <w:t xml:space="preserve">, ff. 1, 3; </w:t>
      </w:r>
      <w:hyperlink w:anchor="SENTENCIA_2025_80" w:history="1">
        <w:r w:rsidRPr="001D7FA9">
          <w:rPr>
            <w:rStyle w:val="TextoNormalCaracter"/>
          </w:rPr>
          <w:t>80/2025</w:t>
        </w:r>
      </w:hyperlink>
      <w:r>
        <w:t xml:space="preserve">, f. 1; </w:t>
      </w:r>
      <w:hyperlink w:anchor="SENTENCIA_2025_81" w:history="1">
        <w:r w:rsidRPr="001D7FA9">
          <w:rPr>
            <w:rStyle w:val="TextoNormalCaracter"/>
          </w:rPr>
          <w:t>81/2025</w:t>
        </w:r>
      </w:hyperlink>
      <w:r>
        <w:t xml:space="preserve">, ff. 1, 2; </w:t>
      </w:r>
      <w:hyperlink w:anchor="SENTENCIA_2025_88" w:history="1">
        <w:r w:rsidRPr="001D7FA9">
          <w:rPr>
            <w:rStyle w:val="TextoNormalCaracter"/>
          </w:rPr>
          <w:t>88/2025</w:t>
        </w:r>
      </w:hyperlink>
      <w:r>
        <w:t xml:space="preserve">, ff. 1, 2; </w:t>
      </w:r>
      <w:hyperlink w:anchor="SENTENCIA_2025_89" w:history="1">
        <w:r w:rsidRPr="001D7FA9">
          <w:rPr>
            <w:rStyle w:val="TextoNormalCaracter"/>
          </w:rPr>
          <w:t>89/2025</w:t>
        </w:r>
      </w:hyperlink>
      <w:r>
        <w:t xml:space="preserve">, ff. 1, 2; </w:t>
      </w:r>
      <w:hyperlink w:anchor="SENTENCIA_2025_90" w:history="1">
        <w:r w:rsidRPr="001D7FA9">
          <w:rPr>
            <w:rStyle w:val="TextoNormalCaracter"/>
          </w:rPr>
          <w:t>90/2025</w:t>
        </w:r>
      </w:hyperlink>
      <w:r>
        <w:t xml:space="preserve">, ff. 1, 2; </w:t>
      </w:r>
      <w:hyperlink w:anchor="SENTENCIA_2025_91" w:history="1">
        <w:r w:rsidRPr="001D7FA9">
          <w:rPr>
            <w:rStyle w:val="TextoNormalCaracter"/>
          </w:rPr>
          <w:t>91/2025</w:t>
        </w:r>
      </w:hyperlink>
      <w:r>
        <w:t xml:space="preserve">, f. único; </w:t>
      </w:r>
      <w:hyperlink w:anchor="SENTENCIA_2025_92" w:history="1">
        <w:r w:rsidRPr="001D7FA9">
          <w:rPr>
            <w:rStyle w:val="TextoNormalCaracter"/>
          </w:rPr>
          <w:t>92/2025</w:t>
        </w:r>
      </w:hyperlink>
      <w:r>
        <w:t xml:space="preserve">, f. 1; </w:t>
      </w:r>
      <w:hyperlink w:anchor="SENTENCIA_2025_93" w:history="1">
        <w:r w:rsidRPr="001D7FA9">
          <w:rPr>
            <w:rStyle w:val="TextoNormalCaracter"/>
          </w:rPr>
          <w:t>93/2025</w:t>
        </w:r>
      </w:hyperlink>
      <w:r>
        <w:t xml:space="preserve">, ff. 1, 2; </w:t>
      </w:r>
      <w:hyperlink w:anchor="SENTENCIA_2025_94" w:history="1">
        <w:r w:rsidRPr="001D7FA9">
          <w:rPr>
            <w:rStyle w:val="TextoNormalCaracter"/>
          </w:rPr>
          <w:t>94/2025</w:t>
        </w:r>
      </w:hyperlink>
      <w:r>
        <w:t xml:space="preserve">, f. 1; </w:t>
      </w:r>
      <w:hyperlink w:anchor="SENTENCIA_2025_102" w:history="1">
        <w:r w:rsidRPr="001D7FA9">
          <w:rPr>
            <w:rStyle w:val="TextoNormalCaracter"/>
          </w:rPr>
          <w:t>102/2025</w:t>
        </w:r>
      </w:hyperlink>
      <w:r>
        <w:t xml:space="preserve">, f. 1; </w:t>
      </w:r>
      <w:hyperlink w:anchor="SENTENCIA_2025_103" w:history="1">
        <w:r w:rsidRPr="001D7FA9">
          <w:rPr>
            <w:rStyle w:val="TextoNormalCaracter"/>
          </w:rPr>
          <w:t>103/2025</w:t>
        </w:r>
      </w:hyperlink>
      <w:r>
        <w:t xml:space="preserve">, f. único; </w:t>
      </w:r>
      <w:hyperlink w:anchor="SENTENCIA_2025_104" w:history="1">
        <w:r w:rsidRPr="001D7FA9">
          <w:rPr>
            <w:rStyle w:val="TextoNormalCaracter"/>
          </w:rPr>
          <w:t>104/2025</w:t>
        </w:r>
      </w:hyperlink>
      <w:r>
        <w:t xml:space="preserve">, f. 1; </w:t>
      </w:r>
      <w:hyperlink w:anchor="SENTENCIA_2025_112" w:history="1">
        <w:r w:rsidRPr="001D7FA9">
          <w:rPr>
            <w:rStyle w:val="TextoNormalCaracter"/>
          </w:rPr>
          <w:t>112/2025</w:t>
        </w:r>
      </w:hyperlink>
      <w:r>
        <w:t xml:space="preserve">, ff. 1, 2; </w:t>
      </w:r>
      <w:hyperlink w:anchor="SENTENCIA_2025_113" w:history="1">
        <w:r w:rsidRPr="001D7FA9">
          <w:rPr>
            <w:rStyle w:val="TextoNormalCaracter"/>
          </w:rPr>
          <w:t>113/2025</w:t>
        </w:r>
      </w:hyperlink>
      <w:r>
        <w:t xml:space="preserve">, f. único; </w:t>
      </w:r>
      <w:hyperlink w:anchor="SENTENCIA_2025_114" w:history="1">
        <w:r w:rsidRPr="001D7FA9">
          <w:rPr>
            <w:rStyle w:val="TextoNormalCaracter"/>
          </w:rPr>
          <w:t>114/2025</w:t>
        </w:r>
      </w:hyperlink>
      <w:r>
        <w:t xml:space="preserve">, f. único; </w:t>
      </w:r>
      <w:hyperlink w:anchor="SENTENCIA_2025_115" w:history="1">
        <w:r w:rsidRPr="001D7FA9">
          <w:rPr>
            <w:rStyle w:val="TextoNormalCaracter"/>
          </w:rPr>
          <w:t>115/2025</w:t>
        </w:r>
      </w:hyperlink>
      <w:r>
        <w:t xml:space="preserve">, f. único; </w:t>
      </w:r>
      <w:hyperlink w:anchor="SENTENCIA_2025_116" w:history="1">
        <w:r w:rsidRPr="001D7FA9">
          <w:rPr>
            <w:rStyle w:val="TextoNormalCaracter"/>
          </w:rPr>
          <w:t>116/2025</w:t>
        </w:r>
      </w:hyperlink>
      <w:r>
        <w:t xml:space="preserve">, f. único; </w:t>
      </w:r>
      <w:hyperlink w:anchor="SENTENCIA_2025_122" w:history="1">
        <w:r w:rsidRPr="001D7FA9">
          <w:rPr>
            <w:rStyle w:val="TextoNormalCaracter"/>
          </w:rPr>
          <w:t>122/2025</w:t>
        </w:r>
      </w:hyperlink>
      <w:r>
        <w:t xml:space="preserve">, f. único; </w:t>
      </w:r>
      <w:hyperlink w:anchor="SENTENCIA_2025_123" w:history="1">
        <w:r w:rsidRPr="001D7FA9">
          <w:rPr>
            <w:rStyle w:val="TextoNormalCaracter"/>
          </w:rPr>
          <w:t>123/2025</w:t>
        </w:r>
      </w:hyperlink>
      <w:r>
        <w:t xml:space="preserve">, ff. 1, 2; </w:t>
      </w:r>
      <w:hyperlink w:anchor="SENTENCIA_2025_124" w:history="1">
        <w:r w:rsidRPr="001D7FA9">
          <w:rPr>
            <w:rStyle w:val="TextoNormalCaracter"/>
          </w:rPr>
          <w:t>124/2025</w:t>
        </w:r>
      </w:hyperlink>
      <w:r>
        <w:t xml:space="preserve">, f. 1; </w:t>
      </w:r>
      <w:hyperlink w:anchor="SENTENCIA_2025_125" w:history="1">
        <w:r w:rsidRPr="001D7FA9">
          <w:rPr>
            <w:rStyle w:val="TextoNormalCaracter"/>
          </w:rPr>
          <w:t>125/2025</w:t>
        </w:r>
      </w:hyperlink>
      <w:r>
        <w:t xml:space="preserve">, f. único; </w:t>
      </w:r>
      <w:hyperlink w:anchor="SENTENCIA_2025_127" w:history="1">
        <w:r w:rsidRPr="001D7FA9">
          <w:rPr>
            <w:rStyle w:val="TextoNormalCaracter"/>
          </w:rPr>
          <w:t>127/2025</w:t>
        </w:r>
      </w:hyperlink>
      <w:r>
        <w:t xml:space="preserve">, ff. 1, 2; </w:t>
      </w:r>
      <w:hyperlink w:anchor="SENTENCIA_2025_130" w:history="1">
        <w:r w:rsidRPr="001D7FA9">
          <w:rPr>
            <w:rStyle w:val="TextoNormalCaracter"/>
          </w:rPr>
          <w:t>130/2025</w:t>
        </w:r>
      </w:hyperlink>
      <w:r>
        <w:t xml:space="preserve">, ff. 1, 2; </w:t>
      </w:r>
      <w:hyperlink w:anchor="SENTENCIA_2025_131" w:history="1">
        <w:r w:rsidRPr="001D7FA9">
          <w:rPr>
            <w:rStyle w:val="TextoNormalCaracter"/>
          </w:rPr>
          <w:t>131/2025</w:t>
        </w:r>
      </w:hyperlink>
      <w:r>
        <w:t>, ff. 1, 2.</w:t>
      </w:r>
    </w:p>
    <w:p w14:paraId="7774FBD1" w14:textId="5F216258" w:rsidR="001D7FA9" w:rsidRDefault="001D7FA9" w:rsidP="001D7FA9">
      <w:pPr>
        <w:pStyle w:val="SangriaIzquierdaArticulo"/>
      </w:pPr>
      <w:r>
        <w:t xml:space="preserve">Autos </w:t>
      </w:r>
      <w:hyperlink w:anchor="AUTO_2025_19" w:history="1">
        <w:r w:rsidRPr="001D7FA9">
          <w:rPr>
            <w:rStyle w:val="TextoNormalCaracter"/>
          </w:rPr>
          <w:t>19/2025</w:t>
        </w:r>
      </w:hyperlink>
      <w:r>
        <w:t xml:space="preserve">, f. único; </w:t>
      </w:r>
      <w:hyperlink w:anchor="AUTO_2025_34" w:history="1">
        <w:r w:rsidRPr="001D7FA9">
          <w:rPr>
            <w:rStyle w:val="TextoNormalCaracter"/>
          </w:rPr>
          <w:t>34/2025</w:t>
        </w:r>
      </w:hyperlink>
      <w:r>
        <w:t xml:space="preserve">, f. único; </w:t>
      </w:r>
      <w:hyperlink w:anchor="AUTO_2025_60" w:history="1">
        <w:r w:rsidRPr="001D7FA9">
          <w:rPr>
            <w:rStyle w:val="TextoNormalCaracter"/>
          </w:rPr>
          <w:t>60/2025</w:t>
        </w:r>
      </w:hyperlink>
      <w:r>
        <w:t xml:space="preserve">, f. único; </w:t>
      </w:r>
      <w:hyperlink w:anchor="AUTO_2025_61" w:history="1">
        <w:r w:rsidRPr="001D7FA9">
          <w:rPr>
            <w:rStyle w:val="TextoNormalCaracter"/>
          </w:rPr>
          <w:t>61/2025</w:t>
        </w:r>
      </w:hyperlink>
      <w:r>
        <w:t xml:space="preserve">, f. único; </w:t>
      </w:r>
      <w:hyperlink w:anchor="AUTO_2025_62" w:history="1">
        <w:r w:rsidRPr="001D7FA9">
          <w:rPr>
            <w:rStyle w:val="TextoNormalCaracter"/>
          </w:rPr>
          <w:t>62/2025</w:t>
        </w:r>
      </w:hyperlink>
      <w:r>
        <w:t xml:space="preserve">, f. único; </w:t>
      </w:r>
      <w:hyperlink w:anchor="AUTO_2025_63" w:history="1">
        <w:r w:rsidRPr="001D7FA9">
          <w:rPr>
            <w:rStyle w:val="TextoNormalCaracter"/>
          </w:rPr>
          <w:t>63/2025</w:t>
        </w:r>
      </w:hyperlink>
      <w:r>
        <w:t>, f. único.</w:t>
      </w:r>
    </w:p>
    <w:p w14:paraId="0A845723" w14:textId="120F7E82" w:rsidR="001D7FA9" w:rsidRDefault="001D7FA9" w:rsidP="001D7FA9">
      <w:pPr>
        <w:pStyle w:val="SangriaIzquierdaArticulo"/>
      </w:pPr>
    </w:p>
    <w:p w14:paraId="50D10B1F" w14:textId="77777777" w:rsidR="001D7FA9" w:rsidRDefault="001D7FA9" w:rsidP="001D7FA9">
      <w:pPr>
        <w:pStyle w:val="TextoNormalNegritaCursivandice"/>
        <w:keepNext/>
      </w:pPr>
      <w:r>
        <w:t>Real Decreto-ley 7/2019, de 1 de marzo, de medidas urgentes en materia de vivienda y alquiler</w:t>
      </w:r>
    </w:p>
    <w:p w14:paraId="6978A900" w14:textId="47B6EFA4" w:rsidR="001D7FA9" w:rsidRDefault="001D7FA9" w:rsidP="001D7FA9">
      <w:pPr>
        <w:pStyle w:val="SangriaFrancesaArticulo"/>
      </w:pPr>
      <w:r w:rsidRPr="001D7FA9">
        <w:rPr>
          <w:rStyle w:val="TextoNormalNegritaCaracter"/>
        </w:rPr>
        <w:t>Disposición adicional segunda.</w:t>
      </w:r>
      <w:r w:rsidRPr="001D7FA9">
        <w:rPr>
          <w:rStyle w:val="TextoNormalCaracter"/>
        </w:rPr>
        <w:t>-</w:t>
      </w:r>
      <w:r>
        <w:t xml:space="preserve"> Sentencia </w:t>
      </w:r>
      <w:hyperlink w:anchor="SENTENCIA_2025_26" w:history="1">
        <w:r w:rsidRPr="001D7FA9">
          <w:rPr>
            <w:rStyle w:val="TextoNormalCaracter"/>
          </w:rPr>
          <w:t>26/2025</w:t>
        </w:r>
      </w:hyperlink>
      <w:r>
        <w:t>, f. 5.</w:t>
      </w:r>
    </w:p>
    <w:p w14:paraId="56F7BD6A" w14:textId="3B937DFB" w:rsidR="001D7FA9" w:rsidRDefault="001D7FA9" w:rsidP="001D7FA9">
      <w:pPr>
        <w:pStyle w:val="SangriaFrancesaArticulo"/>
      </w:pPr>
      <w:r w:rsidRPr="001D7FA9">
        <w:rPr>
          <w:rStyle w:val="TextoNormalNegritaCaracter"/>
        </w:rPr>
        <w:t>Disposición adicional segunda, apartado primero.</w:t>
      </w:r>
      <w:r w:rsidRPr="001D7FA9">
        <w:rPr>
          <w:rStyle w:val="TextoNormalCaracter"/>
        </w:rPr>
        <w:t>-</w:t>
      </w:r>
      <w:r>
        <w:t xml:space="preserve"> Sentencia </w:t>
      </w:r>
      <w:hyperlink w:anchor="SENTENCIA_2025_26" w:history="1">
        <w:r w:rsidRPr="001D7FA9">
          <w:rPr>
            <w:rStyle w:val="TextoNormalCaracter"/>
          </w:rPr>
          <w:t>26/2025</w:t>
        </w:r>
      </w:hyperlink>
      <w:r>
        <w:t>, f. 5.</w:t>
      </w:r>
    </w:p>
    <w:p w14:paraId="15B360C5" w14:textId="0C420135" w:rsidR="001D7FA9" w:rsidRDefault="001D7FA9" w:rsidP="001D7FA9">
      <w:pPr>
        <w:pStyle w:val="SangriaFrancesaArticulo"/>
      </w:pPr>
      <w:r w:rsidRPr="001D7FA9">
        <w:rPr>
          <w:rStyle w:val="TextoNormalNegritaCaracter"/>
        </w:rPr>
        <w:t>Disposición adicional segunda, apartado primero a).</w:t>
      </w:r>
      <w:r w:rsidRPr="001D7FA9">
        <w:rPr>
          <w:rStyle w:val="TextoNormalCaracter"/>
        </w:rPr>
        <w:t>-</w:t>
      </w:r>
      <w:r>
        <w:t xml:space="preserve"> Sentencia </w:t>
      </w:r>
      <w:hyperlink w:anchor="SENTENCIA_2025_26" w:history="1">
        <w:r w:rsidRPr="001D7FA9">
          <w:rPr>
            <w:rStyle w:val="TextoNormalCaracter"/>
          </w:rPr>
          <w:t>26/2025</w:t>
        </w:r>
      </w:hyperlink>
      <w:r>
        <w:t>, f. 5.</w:t>
      </w:r>
    </w:p>
    <w:p w14:paraId="0DD1499F" w14:textId="4DA99E51" w:rsidR="001D7FA9" w:rsidRDefault="001D7FA9" w:rsidP="001D7FA9">
      <w:pPr>
        <w:pStyle w:val="SangriaFrancesaArticulo"/>
      </w:pPr>
      <w:r w:rsidRPr="001D7FA9">
        <w:rPr>
          <w:rStyle w:val="TextoNormalNegritaCaracter"/>
        </w:rPr>
        <w:t>Disposición adicional segunda, apartado primero b).</w:t>
      </w:r>
      <w:r w:rsidRPr="001D7FA9">
        <w:rPr>
          <w:rStyle w:val="TextoNormalCaracter"/>
        </w:rPr>
        <w:t>-</w:t>
      </w:r>
      <w:r>
        <w:t xml:space="preserve"> Sentencia </w:t>
      </w:r>
      <w:hyperlink w:anchor="SENTENCIA_2025_26" w:history="1">
        <w:r w:rsidRPr="001D7FA9">
          <w:rPr>
            <w:rStyle w:val="TextoNormalCaracter"/>
          </w:rPr>
          <w:t>26/2025</w:t>
        </w:r>
      </w:hyperlink>
      <w:r>
        <w:t>, f. 5.</w:t>
      </w:r>
    </w:p>
    <w:p w14:paraId="57BCA61A" w14:textId="69AC02AF" w:rsidR="001D7FA9" w:rsidRDefault="001D7FA9" w:rsidP="001D7FA9">
      <w:pPr>
        <w:pStyle w:val="SangriaFrancesaArticulo"/>
      </w:pPr>
      <w:r w:rsidRPr="001D7FA9">
        <w:rPr>
          <w:rStyle w:val="TextoNormalNegritaCaracter"/>
        </w:rPr>
        <w:t>Disposición adicional segunda, apartado segundo.</w:t>
      </w:r>
      <w:r w:rsidRPr="001D7FA9">
        <w:rPr>
          <w:rStyle w:val="TextoNormalCaracter"/>
        </w:rPr>
        <w:t>-</w:t>
      </w:r>
      <w:r>
        <w:t xml:space="preserve"> Sentencia </w:t>
      </w:r>
      <w:hyperlink w:anchor="SENTENCIA_2025_26" w:history="1">
        <w:r w:rsidRPr="001D7FA9">
          <w:rPr>
            <w:rStyle w:val="TextoNormalCaracter"/>
          </w:rPr>
          <w:t>26/2025</w:t>
        </w:r>
      </w:hyperlink>
      <w:r>
        <w:t>, f. 5.</w:t>
      </w:r>
    </w:p>
    <w:p w14:paraId="3D586737" w14:textId="037C6F0B" w:rsidR="001D7FA9" w:rsidRDefault="001D7FA9" w:rsidP="001D7FA9">
      <w:pPr>
        <w:pStyle w:val="SangriaFrancesaArticulo"/>
      </w:pPr>
    </w:p>
    <w:p w14:paraId="595E2EF3" w14:textId="77777777" w:rsidR="001D7FA9" w:rsidRDefault="001D7FA9" w:rsidP="001D7FA9">
      <w:pPr>
        <w:pStyle w:val="TextoNormalNegritaCursivandice"/>
        <w:keepNext/>
      </w:pPr>
      <w:r>
        <w:t>Real Decreto-ley 8/2020, de 17 de marzo, de medidas urgentes extraordinarias para hacer frente al impacto económico y social del COVID-19</w:t>
      </w:r>
    </w:p>
    <w:p w14:paraId="2BC3BFAE" w14:textId="4780528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VP III.</w:t>
      </w:r>
    </w:p>
    <w:p w14:paraId="549798CC" w14:textId="56CDAF1D" w:rsidR="001D7FA9" w:rsidRDefault="001D7FA9" w:rsidP="001D7FA9">
      <w:pPr>
        <w:pStyle w:val="SangriaFrancesaArticulo"/>
      </w:pPr>
    </w:p>
    <w:p w14:paraId="684D11D0" w14:textId="77777777" w:rsidR="001D7FA9" w:rsidRDefault="001D7FA9" w:rsidP="001D7FA9">
      <w:pPr>
        <w:pStyle w:val="TextoNormalNegritaCursivandice"/>
        <w:keepNext/>
      </w:pPr>
      <w:r>
        <w:t>Real Decreto-ley 11/2020, de 31 de marzo, por el que se adoptan medidas urgentes complementarias en el ámbito social y económico para hacer frente al Covid-19</w:t>
      </w:r>
    </w:p>
    <w:p w14:paraId="367D2D8D" w14:textId="22035A8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VP III.</w:t>
      </w:r>
    </w:p>
    <w:p w14:paraId="554F596E" w14:textId="503CB119" w:rsidR="001D7FA9" w:rsidRDefault="001D7FA9" w:rsidP="001D7FA9">
      <w:pPr>
        <w:pStyle w:val="SangriaFrancesaArticulo"/>
      </w:pPr>
      <w:r w:rsidRPr="001D7FA9">
        <w:rPr>
          <w:rStyle w:val="TextoNormalNegritaCaracter"/>
        </w:rPr>
        <w:t>Artículo 1.1</w:t>
      </w:r>
      <w:r>
        <w:t xml:space="preserve"> (redactado por el Real Decreto-ley 8/2023, de 27 de diciembre)</w:t>
      </w:r>
      <w:r w:rsidRPr="001D7FA9">
        <w:rPr>
          <w:rStyle w:val="TextoNormalNegritaCaracter"/>
        </w:rPr>
        <w:t>.</w:t>
      </w:r>
      <w:r w:rsidRPr="001D7FA9">
        <w:rPr>
          <w:rStyle w:val="TextoNormalCaracter"/>
        </w:rPr>
        <w:t>-</w:t>
      </w:r>
      <w:r>
        <w:t xml:space="preserve"> Auto </w:t>
      </w:r>
      <w:hyperlink w:anchor="AUTO_2025_13" w:history="1">
        <w:r w:rsidRPr="001D7FA9">
          <w:rPr>
            <w:rStyle w:val="TextoNormalCaracter"/>
          </w:rPr>
          <w:t>13/2025</w:t>
        </w:r>
      </w:hyperlink>
      <w:r>
        <w:t>, ff. 1, 3.</w:t>
      </w:r>
    </w:p>
    <w:p w14:paraId="13F6828A" w14:textId="77E414FA" w:rsidR="001D7FA9" w:rsidRDefault="001D7FA9" w:rsidP="001D7FA9">
      <w:pPr>
        <w:pStyle w:val="SangriaFrancesaArticulo"/>
      </w:pPr>
      <w:r w:rsidRPr="001D7FA9">
        <w:rPr>
          <w:rStyle w:val="TextoNormalNegritaCaracter"/>
        </w:rPr>
        <w:t>Artículo 1.1, párrafo 1</w:t>
      </w:r>
      <w:r>
        <w:t xml:space="preserve"> (redactado por el Real Decreto-ley 8/2023, de 27 de diciembre)</w:t>
      </w:r>
      <w:r w:rsidRPr="001D7FA9">
        <w:rPr>
          <w:rStyle w:val="TextoNormalNegritaCaracter"/>
        </w:rPr>
        <w:t>.</w:t>
      </w:r>
      <w:r w:rsidRPr="001D7FA9">
        <w:rPr>
          <w:rStyle w:val="TextoNormalCaracter"/>
        </w:rPr>
        <w:t>-</w:t>
      </w:r>
      <w:r>
        <w:t xml:space="preserve"> Auto </w:t>
      </w:r>
      <w:hyperlink w:anchor="AUTO_2025_13" w:history="1">
        <w:r w:rsidRPr="001D7FA9">
          <w:rPr>
            <w:rStyle w:val="TextoNormalCaracter"/>
          </w:rPr>
          <w:t>13/2025</w:t>
        </w:r>
      </w:hyperlink>
      <w:r>
        <w:t>, f. 3.</w:t>
      </w:r>
    </w:p>
    <w:p w14:paraId="32021378" w14:textId="28521847" w:rsidR="001D7FA9" w:rsidRDefault="001D7FA9" w:rsidP="001D7FA9">
      <w:pPr>
        <w:pStyle w:val="SangriaFrancesaArticulo"/>
      </w:pPr>
      <w:r w:rsidRPr="001D7FA9">
        <w:rPr>
          <w:rStyle w:val="TextoNormalNegritaCaracter"/>
        </w:rPr>
        <w:t>Artículo 1.1, párrafo 2</w:t>
      </w:r>
      <w:r>
        <w:t xml:space="preserve"> (redactado por el Real Decreto-ley 8/2023, de 27 de diciembre)</w:t>
      </w:r>
      <w:r w:rsidRPr="001D7FA9">
        <w:rPr>
          <w:rStyle w:val="TextoNormalNegritaCaracter"/>
        </w:rPr>
        <w:t>.</w:t>
      </w:r>
      <w:r w:rsidRPr="001D7FA9">
        <w:rPr>
          <w:rStyle w:val="TextoNormalCaracter"/>
        </w:rPr>
        <w:t>-</w:t>
      </w:r>
      <w:r>
        <w:t xml:space="preserve"> Auto </w:t>
      </w:r>
      <w:hyperlink w:anchor="AUTO_2025_13" w:history="1">
        <w:r w:rsidRPr="001D7FA9">
          <w:rPr>
            <w:rStyle w:val="TextoNormalCaracter"/>
          </w:rPr>
          <w:t>13/2025</w:t>
        </w:r>
      </w:hyperlink>
      <w:r>
        <w:t>, f. 3.</w:t>
      </w:r>
    </w:p>
    <w:p w14:paraId="40BC1F8B" w14:textId="45471A56"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Auto </w:t>
      </w:r>
      <w:hyperlink w:anchor="AUTO_2025_13" w:history="1">
        <w:r w:rsidRPr="001D7FA9">
          <w:rPr>
            <w:rStyle w:val="TextoNormalCaracter"/>
          </w:rPr>
          <w:t>13/2025</w:t>
        </w:r>
      </w:hyperlink>
      <w:r>
        <w:t>, f. 3.</w:t>
      </w:r>
    </w:p>
    <w:p w14:paraId="184EFD38" w14:textId="29551966" w:rsidR="001D7FA9" w:rsidRDefault="001D7FA9" w:rsidP="001D7FA9">
      <w:pPr>
        <w:pStyle w:val="SangriaFrancesaArticulo"/>
      </w:pPr>
    </w:p>
    <w:p w14:paraId="4092FA4B" w14:textId="77777777" w:rsidR="001D7FA9" w:rsidRDefault="001D7FA9" w:rsidP="001D7FA9">
      <w:pPr>
        <w:pStyle w:val="TextoNormalNegritaCursivandice"/>
        <w:keepNext/>
      </w:pPr>
      <w:r>
        <w:t>Real Decreto-ley 21/2020, de 9 de junio, de medidas urgentes de prevención, contención y coordinación para hacer frente a la crisis sanitaria ocasionada por el COVID-19</w:t>
      </w:r>
    </w:p>
    <w:p w14:paraId="5F3228DD" w14:textId="6B26B2D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4" w:history="1">
        <w:r w:rsidRPr="001D7FA9">
          <w:rPr>
            <w:rStyle w:val="TextoNormalCaracter"/>
          </w:rPr>
          <w:t>24/2025</w:t>
        </w:r>
      </w:hyperlink>
      <w:r>
        <w:t>, f. 1.</w:t>
      </w:r>
    </w:p>
    <w:p w14:paraId="43F60E5C" w14:textId="5191BDFB" w:rsidR="001D7FA9" w:rsidRDefault="001D7FA9" w:rsidP="001D7FA9">
      <w:pPr>
        <w:pStyle w:val="SangriaFrancesaArticulo"/>
      </w:pPr>
    </w:p>
    <w:p w14:paraId="3E8EE439" w14:textId="77777777" w:rsidR="001D7FA9" w:rsidRDefault="001D7FA9" w:rsidP="001D7FA9">
      <w:pPr>
        <w:pStyle w:val="TextoNormalNegritaCursivandice"/>
        <w:keepNext/>
      </w:pPr>
      <w:r>
        <w:t>Real Decreto-ley 37/2020, de 22 de diciembre, de medidas urgentes para hacer frente a las situaciones de vulnerabilidad social y económica en el ámbito de la vivienda y en materia de transportes</w:t>
      </w:r>
    </w:p>
    <w:p w14:paraId="57EFDAC7" w14:textId="0D1F6F1A" w:rsidR="001D7FA9" w:rsidRDefault="001D7FA9" w:rsidP="001D7FA9">
      <w:pPr>
        <w:pStyle w:val="SangriaFrancesaArticulo"/>
      </w:pPr>
      <w:r w:rsidRPr="001D7FA9">
        <w:rPr>
          <w:rStyle w:val="TextoNormalNegritaCaracter"/>
        </w:rPr>
        <w:t>Disposición adicional segunda.</w:t>
      </w:r>
      <w:r w:rsidRPr="001D7FA9">
        <w:rPr>
          <w:rStyle w:val="TextoNormalCaracter"/>
        </w:rPr>
        <w:t>-</w:t>
      </w:r>
      <w:r>
        <w:t xml:space="preserve"> Auto </w:t>
      </w:r>
      <w:hyperlink w:anchor="AUTO_2025_13" w:history="1">
        <w:r w:rsidRPr="001D7FA9">
          <w:rPr>
            <w:rStyle w:val="TextoNormalCaracter"/>
          </w:rPr>
          <w:t>13/2025</w:t>
        </w:r>
      </w:hyperlink>
      <w:r>
        <w:t>, f. 1.</w:t>
      </w:r>
    </w:p>
    <w:p w14:paraId="56A04BE7" w14:textId="5E8CBB07" w:rsidR="001D7FA9" w:rsidRDefault="001D7FA9" w:rsidP="001D7FA9">
      <w:pPr>
        <w:pStyle w:val="SangriaFrancesaArticulo"/>
      </w:pPr>
    </w:p>
    <w:p w14:paraId="01968AB7" w14:textId="77777777" w:rsidR="001D7FA9" w:rsidRDefault="001D7FA9" w:rsidP="001D7FA9">
      <w:pPr>
        <w:pStyle w:val="TextoNormalNegritaCursivandice"/>
        <w:keepNext/>
      </w:pPr>
      <w:r>
        <w:t>Real Decreto-ley 36/2020, de 30 de diciembre, por el que se aprueban medidas urgentes para la modernización de la administración pública y para la ejecución del Plan de recuperación, transformación y resiliencia</w:t>
      </w:r>
    </w:p>
    <w:p w14:paraId="796A1E40" w14:textId="5A357E9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4" w:history="1">
        <w:r w:rsidRPr="001D7FA9">
          <w:rPr>
            <w:rStyle w:val="TextoNormalCaracter"/>
          </w:rPr>
          <w:t>44/2025</w:t>
        </w:r>
      </w:hyperlink>
      <w:r>
        <w:t>, ff. 2, 3.</w:t>
      </w:r>
    </w:p>
    <w:p w14:paraId="5C3D4B2B" w14:textId="74937915" w:rsidR="001D7FA9" w:rsidRDefault="001D7FA9" w:rsidP="001D7FA9">
      <w:pPr>
        <w:pStyle w:val="SangriaFrancesaArticulo"/>
      </w:pPr>
      <w:r w:rsidRPr="001D7FA9">
        <w:rPr>
          <w:rStyle w:val="TextoNormalNegritaCaracter"/>
        </w:rPr>
        <w:t>Título IV, capítulo III.</w:t>
      </w:r>
      <w:r w:rsidRPr="001D7FA9">
        <w:rPr>
          <w:rStyle w:val="TextoNormalCaracter"/>
        </w:rPr>
        <w:t>-</w:t>
      </w:r>
      <w:r>
        <w:t xml:space="preserve"> Sentencia </w:t>
      </w:r>
      <w:hyperlink w:anchor="SENTENCIA_2025_44" w:history="1">
        <w:r w:rsidRPr="001D7FA9">
          <w:rPr>
            <w:rStyle w:val="TextoNormalCaracter"/>
          </w:rPr>
          <w:t>44/2025</w:t>
        </w:r>
      </w:hyperlink>
      <w:r>
        <w:t>, f. 2.</w:t>
      </w:r>
    </w:p>
    <w:p w14:paraId="28F08B82" w14:textId="175FACDA" w:rsidR="001D7FA9" w:rsidRDefault="001D7FA9" w:rsidP="001D7FA9">
      <w:pPr>
        <w:pStyle w:val="SangriaFrancesaArticulo"/>
      </w:pPr>
      <w:r w:rsidRPr="001D7FA9">
        <w:rPr>
          <w:rStyle w:val="TextoNormalNegritaCaracter"/>
        </w:rPr>
        <w:t>Exposición de motivos, apartado XI.</w:t>
      </w:r>
      <w:r w:rsidRPr="001D7FA9">
        <w:rPr>
          <w:rStyle w:val="TextoNormalCaracter"/>
        </w:rPr>
        <w:t>-</w:t>
      </w:r>
      <w:r>
        <w:t xml:space="preserve"> Sentencia </w:t>
      </w:r>
      <w:hyperlink w:anchor="SENTENCIA_2025_44" w:history="1">
        <w:r w:rsidRPr="001D7FA9">
          <w:rPr>
            <w:rStyle w:val="TextoNormalCaracter"/>
          </w:rPr>
          <w:t>44/2025</w:t>
        </w:r>
      </w:hyperlink>
      <w:r>
        <w:t>, f. 2.</w:t>
      </w:r>
    </w:p>
    <w:p w14:paraId="549B55AE" w14:textId="0C1CAF57" w:rsidR="001D7FA9" w:rsidRDefault="001D7FA9" w:rsidP="001D7FA9">
      <w:pPr>
        <w:pStyle w:val="SangriaFrancesaArticulo"/>
      </w:pPr>
      <w:r w:rsidRPr="001D7FA9">
        <w:rPr>
          <w:rStyle w:val="TextoNormalNegritaCaracter"/>
        </w:rPr>
        <w:t>Exposición de motivos, apartado XII.</w:t>
      </w:r>
      <w:r w:rsidRPr="001D7FA9">
        <w:rPr>
          <w:rStyle w:val="TextoNormalCaracter"/>
        </w:rPr>
        <w:t>-</w:t>
      </w:r>
      <w:r>
        <w:t xml:space="preserve"> Sentencia </w:t>
      </w:r>
      <w:hyperlink w:anchor="SENTENCIA_2025_44" w:history="1">
        <w:r w:rsidRPr="001D7FA9">
          <w:rPr>
            <w:rStyle w:val="TextoNormalCaracter"/>
          </w:rPr>
          <w:t>44/2025</w:t>
        </w:r>
      </w:hyperlink>
      <w:r>
        <w:t>, f. 2.</w:t>
      </w:r>
    </w:p>
    <w:p w14:paraId="1605CAC3" w14:textId="10DCDB82" w:rsidR="001D7FA9" w:rsidRDefault="001D7FA9" w:rsidP="001D7FA9">
      <w:pPr>
        <w:pStyle w:val="SangriaFrancesaArticulo"/>
      </w:pPr>
      <w:r w:rsidRPr="001D7FA9">
        <w:rPr>
          <w:rStyle w:val="TextoNormalNegritaCaracter"/>
        </w:rPr>
        <w:t>Artículo 48.</w:t>
      </w:r>
      <w:r w:rsidRPr="001D7FA9">
        <w:rPr>
          <w:rStyle w:val="TextoNormalCaracter"/>
        </w:rPr>
        <w:t>-</w:t>
      </w:r>
      <w:r>
        <w:t xml:space="preserve"> Sentencia </w:t>
      </w:r>
      <w:hyperlink w:anchor="SENTENCIA_2025_44" w:history="1">
        <w:r w:rsidRPr="001D7FA9">
          <w:rPr>
            <w:rStyle w:val="TextoNormalCaracter"/>
          </w:rPr>
          <w:t>44/2025</w:t>
        </w:r>
      </w:hyperlink>
      <w:r>
        <w:t>, ff. 1 a 3.</w:t>
      </w:r>
    </w:p>
    <w:p w14:paraId="4ED6FE59" w14:textId="252B4735" w:rsidR="001D7FA9" w:rsidRDefault="001D7FA9" w:rsidP="001D7FA9">
      <w:pPr>
        <w:pStyle w:val="SangriaFrancesaArticulo"/>
      </w:pPr>
      <w:r w:rsidRPr="001D7FA9">
        <w:rPr>
          <w:rStyle w:val="TextoNormalNegritaCaracter"/>
        </w:rPr>
        <w:t>Artículo 48.1.</w:t>
      </w:r>
      <w:r w:rsidRPr="001D7FA9">
        <w:rPr>
          <w:rStyle w:val="TextoNormalCaracter"/>
        </w:rPr>
        <w:t>-</w:t>
      </w:r>
      <w:r>
        <w:t xml:space="preserve"> Sentencia </w:t>
      </w:r>
      <w:hyperlink w:anchor="SENTENCIA_2025_44" w:history="1">
        <w:r w:rsidRPr="001D7FA9">
          <w:rPr>
            <w:rStyle w:val="TextoNormalCaracter"/>
          </w:rPr>
          <w:t>44/2025</w:t>
        </w:r>
      </w:hyperlink>
      <w:r>
        <w:t>, ff. 2, 3.</w:t>
      </w:r>
    </w:p>
    <w:p w14:paraId="584EAC6D" w14:textId="74E1E177" w:rsidR="001D7FA9" w:rsidRDefault="001D7FA9" w:rsidP="001D7FA9">
      <w:pPr>
        <w:pStyle w:val="SangriaFrancesaArticulo"/>
      </w:pPr>
      <w:r w:rsidRPr="001D7FA9">
        <w:rPr>
          <w:rStyle w:val="TextoNormalNegritaCaracter"/>
        </w:rPr>
        <w:t>Artículo 48.2.</w:t>
      </w:r>
      <w:r w:rsidRPr="001D7FA9">
        <w:rPr>
          <w:rStyle w:val="TextoNormalCaracter"/>
        </w:rPr>
        <w:t>-</w:t>
      </w:r>
      <w:r>
        <w:t xml:space="preserve"> Sentencia </w:t>
      </w:r>
      <w:hyperlink w:anchor="SENTENCIA_2025_44" w:history="1">
        <w:r w:rsidRPr="001D7FA9">
          <w:rPr>
            <w:rStyle w:val="TextoNormalCaracter"/>
          </w:rPr>
          <w:t>44/2025</w:t>
        </w:r>
      </w:hyperlink>
      <w:r>
        <w:t>, ff. 2 a 4.</w:t>
      </w:r>
    </w:p>
    <w:p w14:paraId="1420E3CD" w14:textId="4A066CAC" w:rsidR="001D7FA9" w:rsidRDefault="001D7FA9" w:rsidP="001D7FA9">
      <w:pPr>
        <w:pStyle w:val="SangriaFrancesaArticulo"/>
      </w:pPr>
      <w:r w:rsidRPr="001D7FA9">
        <w:rPr>
          <w:rStyle w:val="TextoNormalNegritaCaracter"/>
        </w:rPr>
        <w:t>Artículo 50.</w:t>
      </w:r>
      <w:r w:rsidRPr="001D7FA9">
        <w:rPr>
          <w:rStyle w:val="TextoNormalCaracter"/>
        </w:rPr>
        <w:t>-</w:t>
      </w:r>
      <w:r>
        <w:t xml:space="preserve"> Sentencia </w:t>
      </w:r>
      <w:hyperlink w:anchor="SENTENCIA_2025_44" w:history="1">
        <w:r w:rsidRPr="001D7FA9">
          <w:rPr>
            <w:rStyle w:val="TextoNormalCaracter"/>
          </w:rPr>
          <w:t>44/2025</w:t>
        </w:r>
      </w:hyperlink>
      <w:r>
        <w:t>, ff. 1 a 4.</w:t>
      </w:r>
    </w:p>
    <w:p w14:paraId="77803798" w14:textId="70F754E8" w:rsidR="001D7FA9" w:rsidRDefault="001D7FA9" w:rsidP="001D7FA9">
      <w:pPr>
        <w:pStyle w:val="SangriaFrancesaArticulo"/>
      </w:pPr>
      <w:r w:rsidRPr="001D7FA9">
        <w:rPr>
          <w:rStyle w:val="TextoNormalNegritaCaracter"/>
        </w:rPr>
        <w:t>Disposición final primera, apartado 1.</w:t>
      </w:r>
      <w:r w:rsidRPr="001D7FA9">
        <w:rPr>
          <w:rStyle w:val="TextoNormalCaracter"/>
        </w:rPr>
        <w:t>-</w:t>
      </w:r>
      <w:r>
        <w:t xml:space="preserve"> Sentencia </w:t>
      </w:r>
      <w:hyperlink w:anchor="SENTENCIA_2025_44" w:history="1">
        <w:r w:rsidRPr="001D7FA9">
          <w:rPr>
            <w:rStyle w:val="TextoNormalCaracter"/>
          </w:rPr>
          <w:t>44/2025</w:t>
        </w:r>
      </w:hyperlink>
      <w:r>
        <w:t>, f. 4.</w:t>
      </w:r>
    </w:p>
    <w:p w14:paraId="378C4D95" w14:textId="1681BB4B" w:rsidR="001D7FA9" w:rsidRDefault="001D7FA9" w:rsidP="001D7FA9">
      <w:pPr>
        <w:pStyle w:val="SangriaFrancesaArticulo"/>
      </w:pPr>
      <w:r w:rsidRPr="001D7FA9">
        <w:rPr>
          <w:rStyle w:val="TextoNormalNegritaCaracter"/>
        </w:rPr>
        <w:t>Disposición final primera, apartado 2 l).</w:t>
      </w:r>
      <w:r w:rsidRPr="001D7FA9">
        <w:rPr>
          <w:rStyle w:val="TextoNormalCaracter"/>
        </w:rPr>
        <w:t>-</w:t>
      </w:r>
      <w:r>
        <w:t xml:space="preserve"> Sentencia </w:t>
      </w:r>
      <w:hyperlink w:anchor="SENTENCIA_2025_44" w:history="1">
        <w:r w:rsidRPr="001D7FA9">
          <w:rPr>
            <w:rStyle w:val="TextoNormalCaracter"/>
          </w:rPr>
          <w:t>44/2025</w:t>
        </w:r>
      </w:hyperlink>
      <w:r>
        <w:t>, f. 2.</w:t>
      </w:r>
    </w:p>
    <w:p w14:paraId="0670D548" w14:textId="31B2E873" w:rsidR="001D7FA9" w:rsidRDefault="001D7FA9" w:rsidP="001D7FA9">
      <w:pPr>
        <w:pStyle w:val="SangriaFrancesaArticulo"/>
      </w:pPr>
    </w:p>
    <w:p w14:paraId="6CFA0127" w14:textId="77777777" w:rsidR="001D7FA9" w:rsidRDefault="001D7FA9" w:rsidP="001D7FA9">
      <w:pPr>
        <w:pStyle w:val="TextoNormalNegritaCursivandice"/>
        <w:keepNext/>
      </w:pPr>
      <w:r>
        <w:t>Real Decreto-ley 14/2021, de 6 de julio, de medidas urgentes para la reducción de la temporalidad en el empleo público</w:t>
      </w:r>
    </w:p>
    <w:p w14:paraId="06EB3655" w14:textId="6DD9A2C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7" w:history="1">
        <w:r w:rsidRPr="001D7FA9">
          <w:rPr>
            <w:rStyle w:val="TextoNormalCaracter"/>
          </w:rPr>
          <w:t>27/2025</w:t>
        </w:r>
      </w:hyperlink>
      <w:r>
        <w:t>, f. 1.</w:t>
      </w:r>
    </w:p>
    <w:p w14:paraId="1DB53E93" w14:textId="4D2E5E79" w:rsidR="001D7FA9" w:rsidRDefault="001D7FA9" w:rsidP="001D7FA9">
      <w:pPr>
        <w:pStyle w:val="SangriaFrancesaArticulo"/>
      </w:pPr>
    </w:p>
    <w:p w14:paraId="76A76FEA" w14:textId="77777777" w:rsidR="001D7FA9" w:rsidRDefault="001D7FA9" w:rsidP="001D7FA9">
      <w:pPr>
        <w:pStyle w:val="TextoNormalNegritaCursivandice"/>
        <w:keepNext/>
      </w:pPr>
      <w:r>
        <w:t>Real Decreto-ley 6/2023, de 19 de diciembre, por el que se aprueban medidas urgentes para la ejecución del plan de recuperación, transformación y resiliencia en materia de servicio público de justicia, función pública, régimen local y mecenazgo</w:t>
      </w:r>
    </w:p>
    <w:p w14:paraId="2DB73544" w14:textId="0CA2986D" w:rsidR="001D7FA9" w:rsidRDefault="001D7FA9" w:rsidP="001D7FA9">
      <w:pPr>
        <w:pStyle w:val="SangriaFrancesaArticulo"/>
      </w:pPr>
      <w:r w:rsidRPr="001D7FA9">
        <w:rPr>
          <w:rStyle w:val="TextoNormalNegritaCaracter"/>
        </w:rPr>
        <w:t>Artículo 103.107.</w:t>
      </w:r>
      <w:r w:rsidRPr="001D7FA9">
        <w:rPr>
          <w:rStyle w:val="TextoNormalCaracter"/>
        </w:rPr>
        <w:t>-</w:t>
      </w:r>
      <w:r>
        <w:t xml:space="preserve"> Sentencias </w:t>
      </w:r>
      <w:hyperlink w:anchor="SENTENCIA_2025_45" w:history="1">
        <w:r w:rsidRPr="001D7FA9">
          <w:rPr>
            <w:rStyle w:val="TextoNormalCaracter"/>
          </w:rPr>
          <w:t>45/2025</w:t>
        </w:r>
      </w:hyperlink>
      <w:r>
        <w:t xml:space="preserve">, f. 3; </w:t>
      </w:r>
      <w:hyperlink w:anchor="SENTENCIA_2025_109" w:history="1">
        <w:r w:rsidRPr="001D7FA9">
          <w:rPr>
            <w:rStyle w:val="TextoNormalCaracter"/>
          </w:rPr>
          <w:t>109/2025</w:t>
        </w:r>
      </w:hyperlink>
      <w:r>
        <w:t>, f. 3.</w:t>
      </w:r>
    </w:p>
    <w:p w14:paraId="3668D2B5" w14:textId="6E682DF0" w:rsidR="001D7FA9" w:rsidRDefault="001D7FA9" w:rsidP="001D7FA9">
      <w:pPr>
        <w:pStyle w:val="SangriaFrancesaArticulo"/>
      </w:pPr>
    </w:p>
    <w:p w14:paraId="04059C17" w14:textId="77777777" w:rsidR="001D7FA9" w:rsidRDefault="001D7FA9" w:rsidP="001D7FA9">
      <w:pPr>
        <w:pStyle w:val="TextoNormalNegritaCursivandice"/>
        <w:keepNext/>
      </w:pPr>
      <w:r>
        <w:t>Real Decreto-ley 8/2023, de 27 de diciembre, por el que se adoptan medidas para afrontar las consecuencias económicas y sociales derivadas de los conflictos en Ucrania y Oriente Próximo, así como para paliar los efectos de la sequía</w:t>
      </w:r>
    </w:p>
    <w:p w14:paraId="21820C23" w14:textId="0E87E2C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13" w:history="1">
        <w:r w:rsidRPr="001D7FA9">
          <w:rPr>
            <w:rStyle w:val="TextoNormalCaracter"/>
          </w:rPr>
          <w:t>13/2025</w:t>
        </w:r>
      </w:hyperlink>
      <w:r>
        <w:t>, f. 1.</w:t>
      </w:r>
    </w:p>
    <w:p w14:paraId="3B82CC4F" w14:textId="5DAB6656" w:rsidR="001D7FA9" w:rsidRDefault="001D7FA9" w:rsidP="001D7FA9">
      <w:pPr>
        <w:pStyle w:val="SangriaFrancesaArticulo"/>
      </w:pPr>
      <w:r w:rsidRPr="001D7FA9">
        <w:rPr>
          <w:rStyle w:val="TextoNormalNegritaCaracter"/>
        </w:rPr>
        <w:t>Artículo 87.</w:t>
      </w:r>
      <w:r w:rsidRPr="001D7FA9">
        <w:rPr>
          <w:rStyle w:val="TextoNormalCaracter"/>
        </w:rPr>
        <w:t>-</w:t>
      </w:r>
      <w:r>
        <w:t xml:space="preserve"> Auto </w:t>
      </w:r>
      <w:hyperlink w:anchor="AUTO_2025_13" w:history="1">
        <w:r w:rsidRPr="001D7FA9">
          <w:rPr>
            <w:rStyle w:val="TextoNormalCaracter"/>
          </w:rPr>
          <w:t>13/2025</w:t>
        </w:r>
      </w:hyperlink>
      <w:r>
        <w:t>, f. 3.</w:t>
      </w:r>
    </w:p>
    <w:p w14:paraId="7A8FBF43" w14:textId="77A9788E" w:rsidR="001D7FA9" w:rsidRDefault="001D7FA9" w:rsidP="001D7FA9">
      <w:pPr>
        <w:pStyle w:val="TextoNormal"/>
      </w:pPr>
    </w:p>
    <w:p w14:paraId="781336DF" w14:textId="77777777" w:rsidR="001D7FA9" w:rsidRDefault="001D7FA9" w:rsidP="001D7FA9">
      <w:pPr>
        <w:pStyle w:val="SangriaFrancesaArticulo"/>
      </w:pPr>
      <w:bookmarkStart w:id="218" w:name="INDICE22849"/>
    </w:p>
    <w:bookmarkEnd w:id="218"/>
    <w:p w14:paraId="28A55551" w14:textId="77777777" w:rsidR="001D7FA9" w:rsidRDefault="001D7FA9" w:rsidP="001D7FA9">
      <w:pPr>
        <w:pStyle w:val="TextoIndiceNivel2"/>
        <w:suppressAutoHyphens/>
      </w:pPr>
      <w:r>
        <w:t>H) Reales Decretos y otras disposiciones generales del Estado</w:t>
      </w:r>
    </w:p>
    <w:p w14:paraId="53FFE5B6" w14:textId="1B1C52E8" w:rsidR="001D7FA9" w:rsidRDefault="001D7FA9" w:rsidP="001D7FA9">
      <w:pPr>
        <w:pStyle w:val="TextoIndiceNivel2"/>
      </w:pPr>
    </w:p>
    <w:p w14:paraId="2755FC82" w14:textId="77777777" w:rsidR="001D7FA9" w:rsidRDefault="001D7FA9" w:rsidP="001D7FA9">
      <w:pPr>
        <w:pStyle w:val="TextoNormalNegritaCursivandice"/>
        <w:keepNext/>
      </w:pPr>
      <w:r>
        <w:t>Real Decreto 1346/1976, de 9 de abril, por el que se aprueba el texto refundido de la Ley sobre régimen del suelo y ordenación urbana</w:t>
      </w:r>
    </w:p>
    <w:p w14:paraId="16602803" w14:textId="4FE51ABF" w:rsidR="001D7FA9" w:rsidRDefault="001D7FA9" w:rsidP="001D7FA9">
      <w:pPr>
        <w:pStyle w:val="SangriaFrancesaArticulo"/>
      </w:pPr>
      <w:r w:rsidRPr="001D7FA9">
        <w:rPr>
          <w:rStyle w:val="TextoNormalNegritaCaracter"/>
        </w:rPr>
        <w:t>Artículo 158.1.</w:t>
      </w:r>
      <w:r w:rsidRPr="001D7FA9">
        <w:rPr>
          <w:rStyle w:val="TextoNormalCaracter"/>
        </w:rPr>
        <w:t>-</w:t>
      </w:r>
      <w:r>
        <w:t xml:space="preserve"> Sentencia </w:t>
      </w:r>
      <w:hyperlink w:anchor="SENTENCIA_2025_64" w:history="1">
        <w:r w:rsidRPr="001D7FA9">
          <w:rPr>
            <w:rStyle w:val="TextoNormalCaracter"/>
          </w:rPr>
          <w:t>64/2025</w:t>
        </w:r>
      </w:hyperlink>
      <w:r>
        <w:t>, f. 4.</w:t>
      </w:r>
    </w:p>
    <w:p w14:paraId="1E9D18AB" w14:textId="0BC8187D" w:rsidR="001D7FA9" w:rsidRDefault="001D7FA9" w:rsidP="001D7FA9">
      <w:pPr>
        <w:pStyle w:val="SangriaFrancesaArticulo"/>
      </w:pPr>
    </w:p>
    <w:p w14:paraId="79B6C909" w14:textId="77777777" w:rsidR="001D7FA9" w:rsidRDefault="001D7FA9" w:rsidP="001D7FA9">
      <w:pPr>
        <w:pStyle w:val="TextoNormalNegritaCursivandice"/>
        <w:keepNext/>
      </w:pPr>
      <w:r>
        <w:t>Real Decreto 319/1982, de 12 de febrero, por el que se reestructura y adscribe directamente el Servicio de Vigilancia Aduanera</w:t>
      </w:r>
    </w:p>
    <w:p w14:paraId="3A1B4213" w14:textId="21D22F90"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Auto </w:t>
      </w:r>
      <w:hyperlink w:anchor="AUTO_2025_8" w:history="1">
        <w:r w:rsidRPr="001D7FA9">
          <w:rPr>
            <w:rStyle w:val="TextoNormalCaracter"/>
          </w:rPr>
          <w:t>8/2025</w:t>
        </w:r>
      </w:hyperlink>
      <w:r>
        <w:t>, VP.</w:t>
      </w:r>
    </w:p>
    <w:p w14:paraId="50553124" w14:textId="6A6890A5"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Auto </w:t>
      </w:r>
      <w:hyperlink w:anchor="AUTO_2025_8" w:history="1">
        <w:r w:rsidRPr="001D7FA9">
          <w:rPr>
            <w:rStyle w:val="TextoNormalCaracter"/>
          </w:rPr>
          <w:t>8/2025</w:t>
        </w:r>
      </w:hyperlink>
      <w:r>
        <w:t>, VP.</w:t>
      </w:r>
    </w:p>
    <w:p w14:paraId="3410439D" w14:textId="13CDED55"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Auto </w:t>
      </w:r>
      <w:hyperlink w:anchor="AUTO_2025_8" w:history="1">
        <w:r w:rsidRPr="001D7FA9">
          <w:rPr>
            <w:rStyle w:val="TextoNormalCaracter"/>
          </w:rPr>
          <w:t>8/2025</w:t>
        </w:r>
      </w:hyperlink>
      <w:r>
        <w:t>, VP.</w:t>
      </w:r>
    </w:p>
    <w:p w14:paraId="6E39BD7D" w14:textId="258B3B82" w:rsidR="001D7FA9" w:rsidRDefault="001D7FA9" w:rsidP="001D7FA9">
      <w:pPr>
        <w:pStyle w:val="SangriaFrancesaArticulo"/>
      </w:pPr>
      <w:r w:rsidRPr="001D7FA9">
        <w:rPr>
          <w:rStyle w:val="TextoNormalNegritaCaracter"/>
        </w:rPr>
        <w:t>Artículo 2.6.</w:t>
      </w:r>
      <w:r w:rsidRPr="001D7FA9">
        <w:rPr>
          <w:rStyle w:val="TextoNormalCaracter"/>
        </w:rPr>
        <w:t>-</w:t>
      </w:r>
      <w:r>
        <w:t xml:space="preserve"> Auto </w:t>
      </w:r>
      <w:hyperlink w:anchor="AUTO_2025_8" w:history="1">
        <w:r w:rsidRPr="001D7FA9">
          <w:rPr>
            <w:rStyle w:val="TextoNormalCaracter"/>
          </w:rPr>
          <w:t>8/2025</w:t>
        </w:r>
      </w:hyperlink>
      <w:r>
        <w:t>, VP.</w:t>
      </w:r>
    </w:p>
    <w:p w14:paraId="2078270E" w14:textId="3C7EF996" w:rsidR="001D7FA9" w:rsidRDefault="001D7FA9" w:rsidP="001D7FA9">
      <w:pPr>
        <w:pStyle w:val="SangriaFrancesaArticulo"/>
      </w:pPr>
    </w:p>
    <w:p w14:paraId="28E0E37F" w14:textId="77777777" w:rsidR="001D7FA9" w:rsidRDefault="001D7FA9" w:rsidP="001D7FA9">
      <w:pPr>
        <w:pStyle w:val="TextoNormalNegritaCursivandice"/>
        <w:keepNext/>
      </w:pPr>
      <w:r>
        <w:t>Orden de 2 de junio de 1994 por la que se desarrolla la estructura de la Agencia Estatal de Administración Tributaria</w:t>
      </w:r>
    </w:p>
    <w:p w14:paraId="79B41092" w14:textId="77B1E26A" w:rsidR="001D7FA9" w:rsidRDefault="001D7FA9" w:rsidP="001D7FA9">
      <w:pPr>
        <w:pStyle w:val="SangriaFrancesaArticulo"/>
      </w:pPr>
      <w:r w:rsidRPr="001D7FA9">
        <w:rPr>
          <w:rStyle w:val="TextoNormalNegritaCaracter"/>
        </w:rPr>
        <w:t>Preámbulo, párrafo sexto.</w:t>
      </w:r>
      <w:r w:rsidRPr="001D7FA9">
        <w:rPr>
          <w:rStyle w:val="TextoNormalCaracter"/>
        </w:rPr>
        <w:t>-</w:t>
      </w:r>
      <w:r>
        <w:t xml:space="preserve"> Auto </w:t>
      </w:r>
      <w:hyperlink w:anchor="AUTO_2025_8" w:history="1">
        <w:r w:rsidRPr="001D7FA9">
          <w:rPr>
            <w:rStyle w:val="TextoNormalCaracter"/>
          </w:rPr>
          <w:t>8/2025</w:t>
        </w:r>
      </w:hyperlink>
      <w:r>
        <w:t>, VP.</w:t>
      </w:r>
    </w:p>
    <w:p w14:paraId="017F50A5" w14:textId="75AB2A40" w:rsidR="001D7FA9" w:rsidRDefault="001D7FA9" w:rsidP="001D7FA9">
      <w:pPr>
        <w:pStyle w:val="SangriaFrancesaArticulo"/>
      </w:pPr>
      <w:r w:rsidRPr="001D7FA9">
        <w:rPr>
          <w:rStyle w:val="TextoNormalNegritaCaracter"/>
        </w:rPr>
        <w:t>Artículo 5.1.</w:t>
      </w:r>
      <w:r w:rsidRPr="001D7FA9">
        <w:rPr>
          <w:rStyle w:val="TextoNormalCaracter"/>
        </w:rPr>
        <w:t>-</w:t>
      </w:r>
      <w:r>
        <w:t xml:space="preserve"> Auto </w:t>
      </w:r>
      <w:hyperlink w:anchor="AUTO_2025_8" w:history="1">
        <w:r w:rsidRPr="001D7FA9">
          <w:rPr>
            <w:rStyle w:val="TextoNormalCaracter"/>
          </w:rPr>
          <w:t>8/2025</w:t>
        </w:r>
      </w:hyperlink>
      <w:r>
        <w:t>, VP.</w:t>
      </w:r>
    </w:p>
    <w:p w14:paraId="299730CC" w14:textId="2837D8A7" w:rsidR="001D7FA9" w:rsidRDefault="001D7FA9" w:rsidP="001D7FA9">
      <w:pPr>
        <w:pStyle w:val="SangriaFrancesaArticulo"/>
      </w:pPr>
    </w:p>
    <w:p w14:paraId="03FC1DE0" w14:textId="77777777" w:rsidR="001D7FA9" w:rsidRDefault="001D7FA9" w:rsidP="001D7FA9">
      <w:pPr>
        <w:pStyle w:val="TextoNormalNegritaCursivandice"/>
        <w:keepNext/>
      </w:pPr>
      <w:r>
        <w:t>Circular 1/1996, de 23 de febrero, de la Fiscalía General del Estado, sobre el régimen transitorio del Código penal de 1995 (revisión de sentencias)</w:t>
      </w:r>
    </w:p>
    <w:p w14:paraId="0F733D23" w14:textId="2395BEE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05" w:history="1">
        <w:r w:rsidRPr="001D7FA9">
          <w:rPr>
            <w:rStyle w:val="TextoNormalCaracter"/>
          </w:rPr>
          <w:t>105/2025</w:t>
        </w:r>
      </w:hyperlink>
      <w:r>
        <w:t>, f. 3.</w:t>
      </w:r>
    </w:p>
    <w:p w14:paraId="3D5C0248" w14:textId="0DD069B0" w:rsidR="001D7FA9" w:rsidRDefault="001D7FA9" w:rsidP="001D7FA9">
      <w:pPr>
        <w:pStyle w:val="SangriaFrancesaArticulo"/>
      </w:pPr>
    </w:p>
    <w:p w14:paraId="174D8C18" w14:textId="77777777" w:rsidR="001D7FA9" w:rsidRDefault="001D7FA9" w:rsidP="001D7FA9">
      <w:pPr>
        <w:pStyle w:val="TextoNormalNegritaCursivandice"/>
        <w:keepNext/>
      </w:pPr>
      <w:r>
        <w:t>Real Decreto 2669/1998, de 11 de diciembre.  Aprueba el procedimiento a seguir en materia de rehabilitación de los funcionarios públicos en el ámbito de la Administración General del Estado</w:t>
      </w:r>
    </w:p>
    <w:p w14:paraId="18AEFDF2" w14:textId="0FD9DFD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2" w:history="1">
        <w:r w:rsidRPr="001D7FA9">
          <w:rPr>
            <w:rStyle w:val="TextoNormalCaracter"/>
          </w:rPr>
          <w:t>32/2025</w:t>
        </w:r>
      </w:hyperlink>
      <w:r>
        <w:t>, ff. 4, 6.</w:t>
      </w:r>
    </w:p>
    <w:p w14:paraId="5DD13D74" w14:textId="3F2F67D4" w:rsidR="001D7FA9" w:rsidRDefault="001D7FA9" w:rsidP="001D7FA9">
      <w:pPr>
        <w:pStyle w:val="SangriaFrancesaArticulo"/>
      </w:pPr>
    </w:p>
    <w:p w14:paraId="4CF68CC3" w14:textId="77777777" w:rsidR="001D7FA9" w:rsidRDefault="001D7FA9" w:rsidP="001D7FA9">
      <w:pPr>
        <w:pStyle w:val="TextoNormalNegritaCursivandice"/>
        <w:keepNext/>
      </w:pPr>
      <w:r>
        <w:t>Real Decreto 1558/2005, de 23 de diciembre, por el que se regulan los requisitos básicos de los centros integrados de formación profesional</w:t>
      </w:r>
    </w:p>
    <w:p w14:paraId="37101AB7" w14:textId="02F4D40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 5.</w:t>
      </w:r>
    </w:p>
    <w:p w14:paraId="07ABA04D" w14:textId="17631219"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82" w:history="1">
        <w:r w:rsidRPr="001D7FA9">
          <w:rPr>
            <w:rStyle w:val="TextoNormalCaracter"/>
          </w:rPr>
          <w:t>82/2025</w:t>
        </w:r>
      </w:hyperlink>
      <w:r>
        <w:t>, f. 5.</w:t>
      </w:r>
    </w:p>
    <w:p w14:paraId="1C4F9345" w14:textId="33D1836C" w:rsidR="001D7FA9" w:rsidRDefault="001D7FA9" w:rsidP="001D7FA9">
      <w:pPr>
        <w:pStyle w:val="SangriaFrancesaArticulo"/>
      </w:pPr>
    </w:p>
    <w:p w14:paraId="7FE5FD18" w14:textId="77777777" w:rsidR="001D7FA9" w:rsidRDefault="001D7FA9" w:rsidP="001D7FA9">
      <w:pPr>
        <w:pStyle w:val="TextoNormalNegritaCursivandice"/>
        <w:keepNext/>
      </w:pPr>
      <w:r>
        <w:t>Real Decreto 1065/2007, de 27 de julio. Aprueba el reglamento general de las actuaciones y los procedimientos de gestión e inspección tributaria y de desarrollo de las normas comunes de los procedimientos de aplicación de los tributos</w:t>
      </w:r>
    </w:p>
    <w:p w14:paraId="20C2CC7A" w14:textId="4A2E6D34" w:rsidR="001D7FA9" w:rsidRDefault="001D7FA9" w:rsidP="001D7FA9">
      <w:pPr>
        <w:pStyle w:val="SangriaFrancesaArticulo"/>
      </w:pPr>
      <w:r w:rsidRPr="001D7FA9">
        <w:rPr>
          <w:rStyle w:val="TextoNormalNegritaCaracter"/>
        </w:rPr>
        <w:t>Artículo 100.2 b).</w:t>
      </w:r>
      <w:r w:rsidRPr="001D7FA9">
        <w:rPr>
          <w:rStyle w:val="TextoNormalCaracter"/>
        </w:rPr>
        <w:t>-</w:t>
      </w:r>
      <w:r>
        <w:t xml:space="preserve"> Auto </w:t>
      </w:r>
      <w:hyperlink w:anchor="AUTO_2025_8" w:history="1">
        <w:r w:rsidRPr="001D7FA9">
          <w:rPr>
            <w:rStyle w:val="TextoNormalCaracter"/>
          </w:rPr>
          <w:t>8/2025</w:t>
        </w:r>
      </w:hyperlink>
      <w:r>
        <w:t>, VP.</w:t>
      </w:r>
    </w:p>
    <w:p w14:paraId="631B15EC" w14:textId="2124EDC8" w:rsidR="001D7FA9" w:rsidRDefault="001D7FA9" w:rsidP="001D7FA9">
      <w:pPr>
        <w:pStyle w:val="SangriaFrancesaArticulo"/>
      </w:pPr>
    </w:p>
    <w:p w14:paraId="62EF0FFF" w14:textId="77777777" w:rsidR="001D7FA9" w:rsidRDefault="001D7FA9" w:rsidP="001D7FA9">
      <w:pPr>
        <w:pStyle w:val="TextoNormalNegritaCursivandice"/>
        <w:keepNext/>
      </w:pPr>
      <w:r>
        <w:t>Real Decreto 229/2008, de 15 de febrero, por el que se regulan los centros de referencia nacional en el ámbito de la formación profesional</w:t>
      </w:r>
    </w:p>
    <w:p w14:paraId="11CF473D" w14:textId="3640C0F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 6.</w:t>
      </w:r>
    </w:p>
    <w:p w14:paraId="4A93C856" w14:textId="061D042B" w:rsidR="001D7FA9" w:rsidRDefault="001D7FA9" w:rsidP="001D7FA9">
      <w:pPr>
        <w:pStyle w:val="SangriaFrancesaArticulo"/>
      </w:pPr>
      <w:r w:rsidRPr="001D7FA9">
        <w:rPr>
          <w:rStyle w:val="TextoNormalNegritaCaracter"/>
        </w:rPr>
        <w:t>Artículo 7.6</w:t>
      </w:r>
      <w:r>
        <w:t xml:space="preserve"> (redactado por el Real Decreto 659/2023, de 18 de julio)</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 f. 6.</w:t>
      </w:r>
    </w:p>
    <w:p w14:paraId="2830E0C7" w14:textId="3126F761" w:rsidR="001D7FA9" w:rsidRDefault="001D7FA9" w:rsidP="001D7FA9">
      <w:pPr>
        <w:pStyle w:val="SangriaFrancesaArticulo"/>
      </w:pPr>
      <w:r w:rsidRPr="001D7FA9">
        <w:rPr>
          <w:rStyle w:val="TextoNormalNegritaCaracter"/>
        </w:rPr>
        <w:t>Artículo 8.2</w:t>
      </w:r>
      <w:r>
        <w:t xml:space="preserve"> (redacto por el Real Decreto 659/2023, de 18 de julio)</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 f. 6.</w:t>
      </w:r>
    </w:p>
    <w:p w14:paraId="7A9024A9" w14:textId="06DB5AA3" w:rsidR="001D7FA9" w:rsidRDefault="001D7FA9" w:rsidP="001D7FA9">
      <w:pPr>
        <w:pStyle w:val="SangriaFrancesaArticulo"/>
      </w:pPr>
    </w:p>
    <w:p w14:paraId="4A4BFB02" w14:textId="77777777" w:rsidR="001D7FA9" w:rsidRDefault="001D7FA9" w:rsidP="001D7FA9">
      <w:pPr>
        <w:pStyle w:val="TextoNormalNegritaCursivandice"/>
        <w:keepNext/>
      </w:pPr>
      <w:r>
        <w:t>Instrucción del fiscal general del Estado 1/2008, de 7 de marzo, sobre la dirección por el Ministerio Fiscal de las actuaciones de la Policía Judicial (FIS-I-2008-00001)</w:t>
      </w:r>
    </w:p>
    <w:p w14:paraId="49FEAF65" w14:textId="25066BD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1DD3879B" w14:textId="3FA6D78C" w:rsidR="001D7FA9" w:rsidRDefault="001D7FA9" w:rsidP="001D7FA9">
      <w:pPr>
        <w:pStyle w:val="SangriaFrancesaArticulo"/>
      </w:pPr>
      <w:r w:rsidRPr="001D7FA9">
        <w:rPr>
          <w:rStyle w:val="TextoNormalNegritaCaracter"/>
        </w:rPr>
        <w:t>Apartado III.</w:t>
      </w:r>
      <w:r w:rsidRPr="001D7FA9">
        <w:rPr>
          <w:rStyle w:val="TextoNormalCaracter"/>
        </w:rPr>
        <w:t>-</w:t>
      </w:r>
      <w:r>
        <w:t xml:space="preserve"> Auto </w:t>
      </w:r>
      <w:hyperlink w:anchor="AUTO_2025_8" w:history="1">
        <w:r w:rsidRPr="001D7FA9">
          <w:rPr>
            <w:rStyle w:val="TextoNormalCaracter"/>
          </w:rPr>
          <w:t>8/2025</w:t>
        </w:r>
      </w:hyperlink>
      <w:r>
        <w:t>, VP.</w:t>
      </w:r>
    </w:p>
    <w:p w14:paraId="3F305D1A" w14:textId="3D707209" w:rsidR="001D7FA9" w:rsidRDefault="001D7FA9" w:rsidP="001D7FA9">
      <w:pPr>
        <w:pStyle w:val="SangriaFrancesaArticulo"/>
      </w:pPr>
    </w:p>
    <w:p w14:paraId="409BA33C" w14:textId="77777777" w:rsidR="001D7FA9" w:rsidRDefault="001D7FA9" w:rsidP="001D7FA9">
      <w:pPr>
        <w:pStyle w:val="TextoNormalNegritaCursivandice"/>
        <w:keepNext/>
      </w:pPr>
      <w:r>
        <w:t>Resolución de 5 de mayo de 2011, de la Secretaría de Estado para la Función Pública. Se aprueba y publica el Acuerdo de 6 de abril de 2011 de la mesa general de negociación de la Administración General del Estado sobre el protocolo de actuación frente al acoso laboral en la Administración General del Estado</w:t>
      </w:r>
    </w:p>
    <w:p w14:paraId="49B9D0A3" w14:textId="2F4F20EF" w:rsidR="001D7FA9" w:rsidRDefault="001D7FA9" w:rsidP="001D7FA9">
      <w:pPr>
        <w:pStyle w:val="SangriaFrancesaArticulo"/>
      </w:pPr>
      <w:r w:rsidRPr="001D7FA9">
        <w:rPr>
          <w:rStyle w:val="TextoNormalNegritaCaracter"/>
        </w:rPr>
        <w:t>Apartado 2.1.</w:t>
      </w:r>
      <w:r w:rsidRPr="001D7FA9">
        <w:rPr>
          <w:rStyle w:val="TextoNormalCaracter"/>
        </w:rPr>
        <w:t>-</w:t>
      </w:r>
      <w:r>
        <w:t xml:space="preserve"> Sentencia </w:t>
      </w:r>
      <w:hyperlink w:anchor="SENTENCIA_2025_28" w:history="1">
        <w:r w:rsidRPr="001D7FA9">
          <w:rPr>
            <w:rStyle w:val="TextoNormalCaracter"/>
          </w:rPr>
          <w:t>28/2025</w:t>
        </w:r>
      </w:hyperlink>
      <w:r>
        <w:t>, f. 3.</w:t>
      </w:r>
    </w:p>
    <w:p w14:paraId="58D0EF13" w14:textId="4BF650FC" w:rsidR="001D7FA9" w:rsidRDefault="001D7FA9" w:rsidP="001D7FA9">
      <w:pPr>
        <w:pStyle w:val="SangriaFrancesaArticulo"/>
      </w:pPr>
      <w:r w:rsidRPr="001D7FA9">
        <w:rPr>
          <w:rStyle w:val="TextoNormalNegritaCaracter"/>
        </w:rPr>
        <w:t>Apartado 2.1, último párrafo.</w:t>
      </w:r>
      <w:r w:rsidRPr="001D7FA9">
        <w:rPr>
          <w:rStyle w:val="TextoNormalCaracter"/>
        </w:rPr>
        <w:t>-</w:t>
      </w:r>
      <w:r>
        <w:t xml:space="preserve"> Sentencia </w:t>
      </w:r>
      <w:hyperlink w:anchor="SENTENCIA_2025_28" w:history="1">
        <w:r w:rsidRPr="001D7FA9">
          <w:rPr>
            <w:rStyle w:val="TextoNormalCaracter"/>
          </w:rPr>
          <w:t>28/2025</w:t>
        </w:r>
      </w:hyperlink>
      <w:r>
        <w:t>, f. 3.</w:t>
      </w:r>
    </w:p>
    <w:p w14:paraId="544DD617" w14:textId="793EA316" w:rsidR="001D7FA9" w:rsidRDefault="001D7FA9" w:rsidP="001D7FA9">
      <w:pPr>
        <w:pStyle w:val="SangriaFrancesaArticulo"/>
      </w:pPr>
      <w:r w:rsidRPr="001D7FA9">
        <w:rPr>
          <w:rStyle w:val="TextoNormalNegritaCaracter"/>
        </w:rPr>
        <w:t>Apartado III.</w:t>
      </w:r>
      <w:r w:rsidRPr="001D7FA9">
        <w:rPr>
          <w:rStyle w:val="TextoNormalCaracter"/>
        </w:rPr>
        <w:t>-</w:t>
      </w:r>
      <w:r>
        <w:t xml:space="preserve"> Sentencia </w:t>
      </w:r>
      <w:hyperlink w:anchor="SENTENCIA_2025_28" w:history="1">
        <w:r w:rsidRPr="001D7FA9">
          <w:rPr>
            <w:rStyle w:val="TextoNormalCaracter"/>
          </w:rPr>
          <w:t>28/2025</w:t>
        </w:r>
      </w:hyperlink>
      <w:r>
        <w:t>, f. 3.</w:t>
      </w:r>
    </w:p>
    <w:p w14:paraId="307BF7BA" w14:textId="697946B7" w:rsidR="001D7FA9" w:rsidRDefault="001D7FA9" w:rsidP="001D7FA9">
      <w:pPr>
        <w:pStyle w:val="SangriaFrancesaArticulo"/>
      </w:pPr>
      <w:r w:rsidRPr="001D7FA9">
        <w:rPr>
          <w:rStyle w:val="TextoNormalNegritaCaracter"/>
        </w:rPr>
        <w:t>Anexo II.</w:t>
      </w:r>
      <w:r w:rsidRPr="001D7FA9">
        <w:rPr>
          <w:rStyle w:val="TextoNormalCaracter"/>
        </w:rPr>
        <w:t>-</w:t>
      </w:r>
      <w:r>
        <w:t xml:space="preserve"> Sentencia </w:t>
      </w:r>
      <w:hyperlink w:anchor="SENTENCIA_2025_28" w:history="1">
        <w:r w:rsidRPr="001D7FA9">
          <w:rPr>
            <w:rStyle w:val="TextoNormalCaracter"/>
          </w:rPr>
          <w:t>28/2025</w:t>
        </w:r>
      </w:hyperlink>
      <w:r>
        <w:t>, f. 3.</w:t>
      </w:r>
    </w:p>
    <w:p w14:paraId="449D4710" w14:textId="4C22C396" w:rsidR="001D7FA9" w:rsidRDefault="001D7FA9" w:rsidP="001D7FA9">
      <w:pPr>
        <w:pStyle w:val="SangriaFrancesaArticulo"/>
      </w:pPr>
      <w:r w:rsidRPr="001D7FA9">
        <w:rPr>
          <w:rStyle w:val="TextoNormalNegritaCaracter"/>
        </w:rPr>
        <w:t>Anexo II, apartado A).</w:t>
      </w:r>
      <w:r w:rsidRPr="001D7FA9">
        <w:rPr>
          <w:rStyle w:val="TextoNormalCaracter"/>
        </w:rPr>
        <w:t>-</w:t>
      </w:r>
      <w:r>
        <w:t xml:space="preserve"> Sentencia </w:t>
      </w:r>
      <w:hyperlink w:anchor="SENTENCIA_2025_28" w:history="1">
        <w:r w:rsidRPr="001D7FA9">
          <w:rPr>
            <w:rStyle w:val="TextoNormalCaracter"/>
          </w:rPr>
          <w:t>28/2025</w:t>
        </w:r>
      </w:hyperlink>
      <w:r>
        <w:t>, f .3.</w:t>
      </w:r>
    </w:p>
    <w:p w14:paraId="6B400244" w14:textId="5E7080DF" w:rsidR="001D7FA9" w:rsidRDefault="001D7FA9" w:rsidP="001D7FA9">
      <w:pPr>
        <w:pStyle w:val="SangriaFrancesaArticulo"/>
      </w:pPr>
      <w:r w:rsidRPr="001D7FA9">
        <w:rPr>
          <w:rStyle w:val="TextoNormalNegritaCaracter"/>
        </w:rPr>
        <w:t>Anexo II, apartado B).</w:t>
      </w:r>
      <w:r w:rsidRPr="001D7FA9">
        <w:rPr>
          <w:rStyle w:val="TextoNormalCaracter"/>
        </w:rPr>
        <w:t>-</w:t>
      </w:r>
      <w:r>
        <w:t xml:space="preserve"> Sentencia </w:t>
      </w:r>
      <w:hyperlink w:anchor="SENTENCIA_2025_28" w:history="1">
        <w:r w:rsidRPr="001D7FA9">
          <w:rPr>
            <w:rStyle w:val="TextoNormalCaracter"/>
          </w:rPr>
          <w:t>28/2025</w:t>
        </w:r>
      </w:hyperlink>
      <w:r>
        <w:t>, f. 3.</w:t>
      </w:r>
    </w:p>
    <w:p w14:paraId="2BA2FF83" w14:textId="62BA3540" w:rsidR="001D7FA9" w:rsidRDefault="001D7FA9" w:rsidP="001D7FA9">
      <w:pPr>
        <w:pStyle w:val="SangriaFrancesaArticulo"/>
      </w:pPr>
      <w:r w:rsidRPr="001D7FA9">
        <w:rPr>
          <w:rStyle w:val="TextoNormalNegritaCaracter"/>
        </w:rPr>
        <w:t>Apartado 2.1, epígrafe II.</w:t>
      </w:r>
      <w:r w:rsidRPr="001D7FA9">
        <w:rPr>
          <w:rStyle w:val="TextoNormalCaracter"/>
        </w:rPr>
        <w:t>-</w:t>
      </w:r>
      <w:r>
        <w:t xml:space="preserve"> Sentencia </w:t>
      </w:r>
      <w:hyperlink w:anchor="SENTENCIA_2025_28" w:history="1">
        <w:r w:rsidRPr="001D7FA9">
          <w:rPr>
            <w:rStyle w:val="TextoNormalCaracter"/>
          </w:rPr>
          <w:t>28/2025</w:t>
        </w:r>
      </w:hyperlink>
      <w:r>
        <w:t>, f. 3.</w:t>
      </w:r>
    </w:p>
    <w:p w14:paraId="2D85B2F4" w14:textId="28ECB9A9" w:rsidR="001D7FA9" w:rsidRDefault="001D7FA9" w:rsidP="001D7FA9">
      <w:pPr>
        <w:pStyle w:val="SangriaFrancesaArticulo"/>
      </w:pPr>
      <w:r w:rsidRPr="001D7FA9">
        <w:rPr>
          <w:rStyle w:val="TextoNormalNegritaCaracter"/>
        </w:rPr>
        <w:t>Epígrafe III.</w:t>
      </w:r>
      <w:r w:rsidRPr="001D7FA9">
        <w:rPr>
          <w:rStyle w:val="TextoNormalCaracter"/>
        </w:rPr>
        <w:t>-</w:t>
      </w:r>
      <w:r>
        <w:t xml:space="preserve"> Sentencia </w:t>
      </w:r>
      <w:hyperlink w:anchor="SENTENCIA_2025_28" w:history="1">
        <w:r w:rsidRPr="001D7FA9">
          <w:rPr>
            <w:rStyle w:val="TextoNormalCaracter"/>
          </w:rPr>
          <w:t>28/2025</w:t>
        </w:r>
      </w:hyperlink>
      <w:r>
        <w:t>, f. 3.</w:t>
      </w:r>
    </w:p>
    <w:p w14:paraId="515D167D" w14:textId="7B34A408" w:rsidR="001D7FA9" w:rsidRDefault="001D7FA9" w:rsidP="001D7FA9">
      <w:pPr>
        <w:pStyle w:val="SangriaFrancesaArticulo"/>
      </w:pPr>
    </w:p>
    <w:p w14:paraId="1E1F30AF" w14:textId="77777777" w:rsidR="001D7FA9" w:rsidRDefault="001D7FA9" w:rsidP="001D7FA9">
      <w:pPr>
        <w:pStyle w:val="TextoNormalNegritaCursivandice"/>
        <w:keepNext/>
      </w:pPr>
      <w:r>
        <w:t>Instrucción de la Fiscalía General del Estado 2/2012, de 27 de junio, sobre criterios a seguir en la tramitación de las cuestiones de inconstitucionalidad</w:t>
      </w:r>
    </w:p>
    <w:p w14:paraId="7710E57A" w14:textId="1B065680" w:rsidR="001D7FA9" w:rsidRDefault="001D7FA9" w:rsidP="001D7FA9">
      <w:pPr>
        <w:pStyle w:val="SangriaFrancesaArticulo"/>
      </w:pPr>
      <w:r w:rsidRPr="001D7FA9">
        <w:rPr>
          <w:rStyle w:val="TextoNormalNegritaCaracter"/>
        </w:rPr>
        <w:t>Apartado II.</w:t>
      </w:r>
      <w:r w:rsidRPr="001D7FA9">
        <w:rPr>
          <w:rStyle w:val="TextoNormalCaracter"/>
        </w:rPr>
        <w:t>-</w:t>
      </w:r>
      <w:r>
        <w:t xml:space="preserve"> Auto </w:t>
      </w:r>
      <w:hyperlink w:anchor="AUTO_2025_6" w:history="1">
        <w:r w:rsidRPr="001D7FA9">
          <w:rPr>
            <w:rStyle w:val="TextoNormalCaracter"/>
          </w:rPr>
          <w:t>6/2025</w:t>
        </w:r>
      </w:hyperlink>
      <w:r>
        <w:t>, VP II.</w:t>
      </w:r>
    </w:p>
    <w:p w14:paraId="3D3942CA" w14:textId="58C4201D" w:rsidR="001D7FA9" w:rsidRDefault="001D7FA9" w:rsidP="001D7FA9">
      <w:pPr>
        <w:pStyle w:val="SangriaFrancesaArticulo"/>
      </w:pPr>
    </w:p>
    <w:p w14:paraId="732E35B0" w14:textId="77777777" w:rsidR="001D7FA9" w:rsidRDefault="001D7FA9" w:rsidP="001D7FA9">
      <w:pPr>
        <w:pStyle w:val="TextoNormalNegritaCursivandice"/>
        <w:keepNext/>
      </w:pPr>
      <w:r>
        <w:t>Instrucción de la Fiscalía General del Estado 1/2016, de 7 de enero, sobre la intervención del fiscal en las cuestiones prejudiciales europeas</w:t>
      </w:r>
    </w:p>
    <w:p w14:paraId="7B123C6A" w14:textId="2762C4A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5" w:history="1">
        <w:r w:rsidRPr="001D7FA9">
          <w:rPr>
            <w:rStyle w:val="TextoNormalCaracter"/>
          </w:rPr>
          <w:t>65/2025</w:t>
        </w:r>
      </w:hyperlink>
      <w:r>
        <w:t>, VP.</w:t>
      </w:r>
    </w:p>
    <w:p w14:paraId="66E0A112" w14:textId="52900B66" w:rsidR="001D7FA9" w:rsidRDefault="001D7FA9" w:rsidP="001D7FA9">
      <w:pPr>
        <w:pStyle w:val="SangriaFrancesaArticulo"/>
      </w:pPr>
    </w:p>
    <w:p w14:paraId="1C93A692" w14:textId="77777777" w:rsidR="001D7FA9" w:rsidRDefault="001D7FA9" w:rsidP="001D7FA9">
      <w:pPr>
        <w:pStyle w:val="TextoNormalNegritaCursivandice"/>
        <w:keepNext/>
      </w:pPr>
      <w:r>
        <w:t>Real Decreto 463/2020, de 14 de marzo, por el que se declara el estado de alarma para la gestión de la situación de crisis sanitaria ocasionada por el COVID-19</w:t>
      </w:r>
    </w:p>
    <w:p w14:paraId="5FEB96C2" w14:textId="1EB1B4B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3.</w:t>
      </w:r>
    </w:p>
    <w:p w14:paraId="700EE78D" w14:textId="445E7981"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133" w:history="1">
        <w:r w:rsidRPr="001D7FA9">
          <w:rPr>
            <w:rStyle w:val="TextoNormalCaracter"/>
          </w:rPr>
          <w:t>133/2025</w:t>
        </w:r>
      </w:hyperlink>
      <w:r>
        <w:t>, f. 4.</w:t>
      </w:r>
    </w:p>
    <w:p w14:paraId="1683F379" w14:textId="5F202A98" w:rsidR="001D7FA9" w:rsidRDefault="001D7FA9" w:rsidP="001D7FA9">
      <w:pPr>
        <w:pStyle w:val="SangriaFrancesaArticulo"/>
      </w:pPr>
    </w:p>
    <w:p w14:paraId="70B09623" w14:textId="77777777" w:rsidR="001D7FA9" w:rsidRDefault="001D7FA9" w:rsidP="001D7FA9">
      <w:pPr>
        <w:pStyle w:val="TextoNormalNegritaCursivandice"/>
        <w:keepNext/>
      </w:pPr>
      <w:r>
        <w:t>Real Decreto 926/2020, de 25 de octubre, por el que se declara el estado de alarma para contener la propagación de infecciones causadas por el SARS-CoV-2</w:t>
      </w:r>
    </w:p>
    <w:p w14:paraId="3927835C" w14:textId="6DA27261" w:rsidR="001D7FA9" w:rsidRDefault="001D7FA9" w:rsidP="001D7FA9">
      <w:pPr>
        <w:pStyle w:val="SangriaFrancesaArticulo"/>
      </w:pPr>
      <w:r w:rsidRPr="001D7FA9">
        <w:rPr>
          <w:rStyle w:val="TextoNormalNegritaCaracter"/>
        </w:rPr>
        <w:t>Artículo 7.1.</w:t>
      </w:r>
      <w:r w:rsidRPr="001D7FA9">
        <w:rPr>
          <w:rStyle w:val="TextoNormalCaracter"/>
        </w:rPr>
        <w:t>-</w:t>
      </w:r>
      <w:r>
        <w:t xml:space="preserve"> Sentencia </w:t>
      </w:r>
      <w:hyperlink w:anchor="SENTENCIA_2025_95" w:history="1">
        <w:r w:rsidRPr="001D7FA9">
          <w:rPr>
            <w:rStyle w:val="TextoNormalCaracter"/>
          </w:rPr>
          <w:t>95/2025</w:t>
        </w:r>
      </w:hyperlink>
      <w:r>
        <w:t>, f. 3.</w:t>
      </w:r>
    </w:p>
    <w:p w14:paraId="6879BFC6" w14:textId="21BF0B76" w:rsidR="001D7FA9" w:rsidRDefault="001D7FA9" w:rsidP="001D7FA9">
      <w:pPr>
        <w:pStyle w:val="SangriaFrancesaArticulo"/>
      </w:pPr>
    </w:p>
    <w:p w14:paraId="180B4D8A" w14:textId="77777777" w:rsidR="001D7FA9" w:rsidRDefault="001D7FA9" w:rsidP="001D7FA9">
      <w:pPr>
        <w:pStyle w:val="TextoNormalNegritaCursivandice"/>
        <w:keepNext/>
      </w:pPr>
      <w:r>
        <w:t>Orden JUS/90/2021, de 27 de enero, por la que se convocan para su provisión destinos vacantes en la carrera fiscal</w:t>
      </w:r>
    </w:p>
    <w:p w14:paraId="5E6C35C0" w14:textId="7521F90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 w:history="1">
        <w:r w:rsidRPr="001D7FA9">
          <w:rPr>
            <w:rStyle w:val="TextoNormalCaracter"/>
          </w:rPr>
          <w:t>3/2025</w:t>
        </w:r>
      </w:hyperlink>
      <w:r>
        <w:t>, f. único.</w:t>
      </w:r>
    </w:p>
    <w:p w14:paraId="1870ECAE" w14:textId="3F348F5A" w:rsidR="001D7FA9" w:rsidRDefault="001D7FA9" w:rsidP="001D7FA9">
      <w:pPr>
        <w:pStyle w:val="SangriaFrancesaArticulo"/>
      </w:pPr>
    </w:p>
    <w:p w14:paraId="3D491E02" w14:textId="77777777" w:rsidR="001D7FA9" w:rsidRDefault="001D7FA9" w:rsidP="001D7FA9">
      <w:pPr>
        <w:pStyle w:val="TextoNormalNegritaCursivandice"/>
        <w:keepNext/>
      </w:pPr>
      <w:r>
        <w:t>Real Decreto 212/2021, de 30 de marzo, por el que se promueve a la categoría de fiscal de sala a don Eduardo Esteban Rincón y se le nombra fiscal de sala de la Fiscalía de Sala de Menores de la Fiscalía General del Estado</w:t>
      </w:r>
    </w:p>
    <w:p w14:paraId="572C397E" w14:textId="311CCB4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 w:history="1">
        <w:r w:rsidRPr="001D7FA9">
          <w:rPr>
            <w:rStyle w:val="TextoNormalCaracter"/>
          </w:rPr>
          <w:t>3/2025</w:t>
        </w:r>
      </w:hyperlink>
      <w:r>
        <w:t>, f. único.</w:t>
      </w:r>
    </w:p>
    <w:p w14:paraId="5CBA5841" w14:textId="73D8972B" w:rsidR="001D7FA9" w:rsidRDefault="001D7FA9" w:rsidP="001D7FA9">
      <w:pPr>
        <w:pStyle w:val="SangriaFrancesaArticulo"/>
      </w:pPr>
    </w:p>
    <w:p w14:paraId="5D8E6ADB" w14:textId="77777777" w:rsidR="001D7FA9" w:rsidRDefault="001D7FA9" w:rsidP="001D7FA9">
      <w:pPr>
        <w:pStyle w:val="TextoNormalNegritaCursivandice"/>
        <w:keepNext/>
      </w:pPr>
      <w:r>
        <w:t>Real Decreto 807/2022, de 4 de octubre, por el que se promueve a la categoría de fiscal de sala a doña Dolores Delgado García y se le nombra fiscal de sala de la Fiscalía Togada del Tribunal Supremo</w:t>
      </w:r>
    </w:p>
    <w:p w14:paraId="4A2C828A" w14:textId="250FE72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11" w:history="1">
        <w:r w:rsidRPr="001D7FA9">
          <w:rPr>
            <w:rStyle w:val="TextoNormalCaracter"/>
          </w:rPr>
          <w:t>11/2025</w:t>
        </w:r>
      </w:hyperlink>
      <w:r>
        <w:t>, f. único.</w:t>
      </w:r>
    </w:p>
    <w:p w14:paraId="7242270D" w14:textId="6EE1093E" w:rsidR="001D7FA9" w:rsidRDefault="001D7FA9" w:rsidP="001D7FA9">
      <w:pPr>
        <w:pStyle w:val="SangriaFrancesaArticulo"/>
      </w:pPr>
    </w:p>
    <w:p w14:paraId="75AE142D" w14:textId="77777777" w:rsidR="001D7FA9" w:rsidRDefault="001D7FA9" w:rsidP="001D7FA9">
      <w:pPr>
        <w:pStyle w:val="TextoNormalNegritaCursivandice"/>
        <w:keepNext/>
      </w:pPr>
      <w:r>
        <w:t>Decreto de la Fiscalía General del Estado de 21 de noviembre de 2022 para unificar criterios de actuación tras la entrada en vigor de la Ley Orgánica 10/2022, de 6 de septiembre</w:t>
      </w:r>
    </w:p>
    <w:p w14:paraId="154B63F1" w14:textId="45319D55" w:rsidR="001D7FA9" w:rsidRDefault="001D7FA9" w:rsidP="001D7FA9">
      <w:pPr>
        <w:pStyle w:val="SangriaFrancesaArticulo"/>
      </w:pPr>
      <w:r w:rsidRPr="001D7FA9">
        <w:rPr>
          <w:rStyle w:val="TextoNormalNegritaCaracter"/>
        </w:rPr>
        <w:t>Apartado 3.9.</w:t>
      </w:r>
      <w:r w:rsidRPr="001D7FA9">
        <w:rPr>
          <w:rStyle w:val="TextoNormalCaracter"/>
        </w:rPr>
        <w:t>-</w:t>
      </w:r>
      <w:r>
        <w:t xml:space="preserve"> Sentencia </w:t>
      </w:r>
      <w:hyperlink w:anchor="SENTENCIA_2025_110" w:history="1">
        <w:r w:rsidRPr="001D7FA9">
          <w:rPr>
            <w:rStyle w:val="TextoNormalCaracter"/>
          </w:rPr>
          <w:t>110/2025</w:t>
        </w:r>
      </w:hyperlink>
      <w:r>
        <w:t>, VP I.</w:t>
      </w:r>
    </w:p>
    <w:p w14:paraId="34B77B32" w14:textId="7DFE067A" w:rsidR="001D7FA9" w:rsidRDefault="001D7FA9" w:rsidP="001D7FA9">
      <w:pPr>
        <w:pStyle w:val="SangriaFrancesaArticulo"/>
      </w:pPr>
    </w:p>
    <w:p w14:paraId="51B1F4BB" w14:textId="77777777" w:rsidR="001D7FA9" w:rsidRDefault="001D7FA9" w:rsidP="001D7FA9">
      <w:pPr>
        <w:pStyle w:val="TextoNormalNegritaCursivandice"/>
        <w:keepNext/>
      </w:pPr>
      <w:r>
        <w:t>Orden del Ministerio de Sanidad SND/726/2023, de 4 de julio, por la que se publica el acuerdo del Consejo de Ministros de 4 de julio de 2023, por el que se declara la finalización de la situación de crisis sanitaria ocasionada por la covid-19</w:t>
      </w:r>
    </w:p>
    <w:p w14:paraId="283E8421" w14:textId="0CAAB53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5" w:history="1">
        <w:r w:rsidRPr="001D7FA9">
          <w:rPr>
            <w:rStyle w:val="TextoNormalCaracter"/>
          </w:rPr>
          <w:t>95/2025</w:t>
        </w:r>
      </w:hyperlink>
      <w:r>
        <w:t>, f. 4.</w:t>
      </w:r>
    </w:p>
    <w:p w14:paraId="1B677B33" w14:textId="6BEE18E9" w:rsidR="001D7FA9" w:rsidRDefault="001D7FA9" w:rsidP="001D7FA9">
      <w:pPr>
        <w:pStyle w:val="SangriaFrancesaArticulo"/>
      </w:pPr>
    </w:p>
    <w:p w14:paraId="00C95A6E" w14:textId="77777777" w:rsidR="001D7FA9" w:rsidRDefault="001D7FA9" w:rsidP="001D7FA9">
      <w:pPr>
        <w:pStyle w:val="TextoNormalNegritaCursivandice"/>
        <w:keepNext/>
      </w:pPr>
      <w:r>
        <w:t>Real Decreto 659/2023, de 18 de julio, por el que se desarrolla la ordenación del sistema de formación profesional</w:t>
      </w:r>
    </w:p>
    <w:p w14:paraId="45DB2C91" w14:textId="0B0D0EF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ff. 2, 3, 7.</w:t>
      </w:r>
    </w:p>
    <w:p w14:paraId="4146089C" w14:textId="2C680706"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82" w:history="1">
        <w:r w:rsidRPr="001D7FA9">
          <w:rPr>
            <w:rStyle w:val="TextoNormalCaracter"/>
          </w:rPr>
          <w:t>82/2025</w:t>
        </w:r>
      </w:hyperlink>
      <w:r>
        <w:t>, f. 3.</w:t>
      </w:r>
    </w:p>
    <w:p w14:paraId="5EF880AB" w14:textId="6878EDCC"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4B4C8B84" w14:textId="1E9CDF01" w:rsidR="001D7FA9" w:rsidRDefault="001D7FA9" w:rsidP="001D7FA9">
      <w:pPr>
        <w:pStyle w:val="SangriaFrancesaArticulo"/>
      </w:pPr>
      <w:r w:rsidRPr="001D7FA9">
        <w:rPr>
          <w:rStyle w:val="TextoNormalNegritaCaracter"/>
        </w:rPr>
        <w:t>Artículo 9.5.</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79B8AA31" w14:textId="1EF44BB1" w:rsidR="001D7FA9" w:rsidRDefault="001D7FA9" w:rsidP="001D7FA9">
      <w:pPr>
        <w:pStyle w:val="SangriaFrancesaArticulo"/>
      </w:pPr>
      <w:r w:rsidRPr="001D7FA9">
        <w:rPr>
          <w:rStyle w:val="TextoNormalNegritaCaracter"/>
        </w:rPr>
        <w:t>Artículo 25.1 b).</w:t>
      </w:r>
      <w:r w:rsidRPr="001D7FA9">
        <w:rPr>
          <w:rStyle w:val="TextoNormalCaracter"/>
        </w:rPr>
        <w:t>-</w:t>
      </w:r>
      <w:r>
        <w:t xml:space="preserve"> Sentencia </w:t>
      </w:r>
      <w:hyperlink w:anchor="SENTENCIA_2025_82" w:history="1">
        <w:r w:rsidRPr="001D7FA9">
          <w:rPr>
            <w:rStyle w:val="TextoNormalCaracter"/>
          </w:rPr>
          <w:t>82/2025</w:t>
        </w:r>
      </w:hyperlink>
      <w:r>
        <w:t>, ff. 1, 2, 4, 5.</w:t>
      </w:r>
    </w:p>
    <w:p w14:paraId="1CD2B9C7" w14:textId="72B60221" w:rsidR="001D7FA9" w:rsidRDefault="001D7FA9" w:rsidP="001D7FA9">
      <w:pPr>
        <w:pStyle w:val="SangriaFrancesaArticulo"/>
      </w:pPr>
      <w:r w:rsidRPr="001D7FA9">
        <w:rPr>
          <w:rStyle w:val="TextoNormalNegritaCaracter"/>
        </w:rPr>
        <w:t>Artículo 46.</w:t>
      </w:r>
      <w:r w:rsidRPr="001D7FA9">
        <w:rPr>
          <w:rStyle w:val="TextoNormalCaracter"/>
        </w:rPr>
        <w:t>-</w:t>
      </w:r>
      <w:r>
        <w:t xml:space="preserve"> Sentencia </w:t>
      </w:r>
      <w:hyperlink w:anchor="SENTENCIA_2025_82" w:history="1">
        <w:r w:rsidRPr="001D7FA9">
          <w:rPr>
            <w:rStyle w:val="TextoNormalCaracter"/>
          </w:rPr>
          <w:t>82/2025</w:t>
        </w:r>
      </w:hyperlink>
      <w:r>
        <w:t>, f. 5.</w:t>
      </w:r>
    </w:p>
    <w:p w14:paraId="5E37F2ED" w14:textId="75C084B9" w:rsidR="001D7FA9" w:rsidRDefault="001D7FA9" w:rsidP="001D7FA9">
      <w:pPr>
        <w:pStyle w:val="SangriaFrancesaArticulo"/>
      </w:pPr>
      <w:r w:rsidRPr="001D7FA9">
        <w:rPr>
          <w:rStyle w:val="TextoNormalNegritaCaracter"/>
        </w:rPr>
        <w:t>Artículo  47.1 b).</w:t>
      </w:r>
      <w:r w:rsidRPr="001D7FA9">
        <w:rPr>
          <w:rStyle w:val="TextoNormalCaracter"/>
        </w:rPr>
        <w:t>-</w:t>
      </w:r>
      <w:r>
        <w:t xml:space="preserve"> Sentencia </w:t>
      </w:r>
      <w:hyperlink w:anchor="SENTENCIA_2025_82" w:history="1">
        <w:r w:rsidRPr="001D7FA9">
          <w:rPr>
            <w:rStyle w:val="TextoNormalCaracter"/>
          </w:rPr>
          <w:t>82/2025</w:t>
        </w:r>
      </w:hyperlink>
      <w:r>
        <w:t>, ff. 1, 2, 4, 5.</w:t>
      </w:r>
    </w:p>
    <w:p w14:paraId="0AE5C98F" w14:textId="1F4BA306" w:rsidR="001D7FA9" w:rsidRDefault="001D7FA9" w:rsidP="001D7FA9">
      <w:pPr>
        <w:pStyle w:val="SangriaFrancesaArticulo"/>
      </w:pPr>
      <w:r w:rsidRPr="001D7FA9">
        <w:rPr>
          <w:rStyle w:val="TextoNormalNegritaCaracter"/>
        </w:rPr>
        <w:t>Artículo 82.3.</w:t>
      </w:r>
      <w:r w:rsidRPr="001D7FA9">
        <w:rPr>
          <w:rStyle w:val="TextoNormalCaracter"/>
        </w:rPr>
        <w:t>-</w:t>
      </w:r>
      <w:r>
        <w:t xml:space="preserve"> Sentencia </w:t>
      </w:r>
      <w:hyperlink w:anchor="SENTENCIA_2025_82" w:history="1">
        <w:r w:rsidRPr="001D7FA9">
          <w:rPr>
            <w:rStyle w:val="TextoNormalCaracter"/>
          </w:rPr>
          <w:t>82/2025</w:t>
        </w:r>
      </w:hyperlink>
      <w:r>
        <w:t>, f. 4.</w:t>
      </w:r>
    </w:p>
    <w:p w14:paraId="0F6BD099" w14:textId="61462F5D" w:rsidR="001D7FA9" w:rsidRDefault="001D7FA9" w:rsidP="001D7FA9">
      <w:pPr>
        <w:pStyle w:val="SangriaFrancesaArticulo"/>
      </w:pPr>
      <w:r w:rsidRPr="001D7FA9">
        <w:rPr>
          <w:rStyle w:val="TextoNormalNegritaCaracter"/>
        </w:rPr>
        <w:t>Artículo 84.1 b).</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69E0E7FA" w14:textId="74B055D5" w:rsidR="001D7FA9" w:rsidRDefault="001D7FA9" w:rsidP="001D7FA9">
      <w:pPr>
        <w:pStyle w:val="SangriaFrancesaArticulo"/>
      </w:pPr>
      <w:r w:rsidRPr="001D7FA9">
        <w:rPr>
          <w:rStyle w:val="TextoNormalNegritaCaracter"/>
        </w:rPr>
        <w:t>Artículo 96.1 b).</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135BC033" w14:textId="717166AC" w:rsidR="001D7FA9" w:rsidRDefault="001D7FA9" w:rsidP="001D7FA9">
      <w:pPr>
        <w:pStyle w:val="SangriaFrancesaArticulo"/>
      </w:pPr>
      <w:r w:rsidRPr="001D7FA9">
        <w:rPr>
          <w:rStyle w:val="TextoNormalNegritaCaracter"/>
        </w:rPr>
        <w:t>Artículo 96.1 b)</w:t>
      </w:r>
      <w:r>
        <w:t xml:space="preserve"> (redactado por el Real Decreto 658/2024, de 9 de julio)</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 f. 2.</w:t>
      </w:r>
    </w:p>
    <w:p w14:paraId="22F8E6C6" w14:textId="4E845AD7" w:rsidR="001D7FA9" w:rsidRDefault="001D7FA9" w:rsidP="001D7FA9">
      <w:pPr>
        <w:pStyle w:val="SangriaFrancesaArticulo"/>
      </w:pPr>
      <w:r w:rsidRPr="001D7FA9">
        <w:rPr>
          <w:rStyle w:val="TextoNormalNegritaCaracter"/>
        </w:rPr>
        <w:t>Artículo 96.2 c).</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6FE799A1" w14:textId="3C1586B0" w:rsidR="001D7FA9" w:rsidRDefault="001D7FA9" w:rsidP="001D7FA9">
      <w:pPr>
        <w:pStyle w:val="SangriaFrancesaArticulo"/>
      </w:pPr>
      <w:r w:rsidRPr="001D7FA9">
        <w:rPr>
          <w:rStyle w:val="TextoNormalNegritaCaracter"/>
        </w:rPr>
        <w:t>Artículo 97.</w:t>
      </w:r>
      <w:r w:rsidRPr="001D7FA9">
        <w:rPr>
          <w:rStyle w:val="TextoNormalCaracter"/>
        </w:rPr>
        <w:t>-</w:t>
      </w:r>
      <w:r>
        <w:t xml:space="preserve"> Sentencia </w:t>
      </w:r>
      <w:hyperlink w:anchor="SENTENCIA_2025_82" w:history="1">
        <w:r w:rsidRPr="001D7FA9">
          <w:rPr>
            <w:rStyle w:val="TextoNormalCaracter"/>
          </w:rPr>
          <w:t>82/2025</w:t>
        </w:r>
      </w:hyperlink>
      <w:r>
        <w:t>, f. 5.</w:t>
      </w:r>
    </w:p>
    <w:p w14:paraId="6B810355" w14:textId="39C415AC" w:rsidR="001D7FA9" w:rsidRDefault="001D7FA9" w:rsidP="001D7FA9">
      <w:pPr>
        <w:pStyle w:val="SangriaFrancesaArticulo"/>
      </w:pPr>
      <w:r w:rsidRPr="001D7FA9">
        <w:rPr>
          <w:rStyle w:val="TextoNormalNegritaCaracter"/>
        </w:rPr>
        <w:t>Artículo 97.2.</w:t>
      </w:r>
      <w:r w:rsidRPr="001D7FA9">
        <w:rPr>
          <w:rStyle w:val="TextoNormalCaracter"/>
        </w:rPr>
        <w:t>-</w:t>
      </w:r>
      <w:r>
        <w:t xml:space="preserve"> Sentencia </w:t>
      </w:r>
      <w:hyperlink w:anchor="SENTENCIA_2025_82" w:history="1">
        <w:r w:rsidRPr="001D7FA9">
          <w:rPr>
            <w:rStyle w:val="TextoNormalCaracter"/>
          </w:rPr>
          <w:t>82/2025</w:t>
        </w:r>
      </w:hyperlink>
      <w:r>
        <w:t>, f. 5.</w:t>
      </w:r>
    </w:p>
    <w:p w14:paraId="006A8610" w14:textId="11A1B1A2" w:rsidR="001D7FA9" w:rsidRDefault="001D7FA9" w:rsidP="001D7FA9">
      <w:pPr>
        <w:pStyle w:val="SangriaFrancesaArticulo"/>
      </w:pPr>
      <w:r w:rsidRPr="001D7FA9">
        <w:rPr>
          <w:rStyle w:val="TextoNormalNegritaCaracter"/>
        </w:rPr>
        <w:t>Artículo 97.3.</w:t>
      </w:r>
      <w:r w:rsidRPr="001D7FA9">
        <w:rPr>
          <w:rStyle w:val="TextoNormalCaracter"/>
        </w:rPr>
        <w:t>-</w:t>
      </w:r>
      <w:r>
        <w:t xml:space="preserve"> Sentencia </w:t>
      </w:r>
      <w:hyperlink w:anchor="SENTENCIA_2025_82" w:history="1">
        <w:r w:rsidRPr="001D7FA9">
          <w:rPr>
            <w:rStyle w:val="TextoNormalCaracter"/>
          </w:rPr>
          <w:t>82/2025</w:t>
        </w:r>
      </w:hyperlink>
      <w:r>
        <w:t>, f. 5.</w:t>
      </w:r>
    </w:p>
    <w:p w14:paraId="5349FAE5" w14:textId="53CF8EBB" w:rsidR="001D7FA9" w:rsidRDefault="001D7FA9" w:rsidP="001D7FA9">
      <w:pPr>
        <w:pStyle w:val="SangriaFrancesaArticulo"/>
      </w:pPr>
      <w:r w:rsidRPr="001D7FA9">
        <w:rPr>
          <w:rStyle w:val="TextoNormalNegritaCaracter"/>
        </w:rPr>
        <w:t xml:space="preserve">Artículo 97.3 a) </w:t>
      </w:r>
      <w:r w:rsidRPr="001D7FA9">
        <w:rPr>
          <w:rStyle w:val="TextoNormalNegritaCursivaCaracter"/>
        </w:rPr>
        <w:t>in fine</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049B6510" w14:textId="19271095" w:rsidR="001D7FA9" w:rsidRDefault="001D7FA9" w:rsidP="001D7FA9">
      <w:pPr>
        <w:pStyle w:val="SangriaFrancesaArticulo"/>
      </w:pPr>
      <w:r w:rsidRPr="001D7FA9">
        <w:rPr>
          <w:rStyle w:val="TextoNormalNegritaCaracter"/>
        </w:rPr>
        <w:t>Artículo 97.3 a) inciso 1.</w:t>
      </w:r>
      <w:r w:rsidRPr="001D7FA9">
        <w:rPr>
          <w:rStyle w:val="TextoNormalCaracter"/>
        </w:rPr>
        <w:t>-</w:t>
      </w:r>
      <w:r>
        <w:t xml:space="preserve"> Sentencia </w:t>
      </w:r>
      <w:hyperlink w:anchor="SENTENCIA_2025_82" w:history="1">
        <w:r w:rsidRPr="001D7FA9">
          <w:rPr>
            <w:rStyle w:val="TextoNormalCaracter"/>
          </w:rPr>
          <w:t>82/2025</w:t>
        </w:r>
      </w:hyperlink>
      <w:r>
        <w:t>, f. 5.</w:t>
      </w:r>
    </w:p>
    <w:p w14:paraId="2446CA84" w14:textId="7DCEBBF7" w:rsidR="001D7FA9" w:rsidRDefault="001D7FA9" w:rsidP="001D7FA9">
      <w:pPr>
        <w:pStyle w:val="SangriaFrancesaArticulo"/>
      </w:pPr>
      <w:r w:rsidRPr="001D7FA9">
        <w:rPr>
          <w:rStyle w:val="TextoNormalNegritaCaracter"/>
        </w:rPr>
        <w:t>Artículo 102.1.</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3D4604CE" w14:textId="1F06FD73" w:rsidR="001D7FA9" w:rsidRDefault="001D7FA9" w:rsidP="001D7FA9">
      <w:pPr>
        <w:pStyle w:val="SangriaFrancesaArticulo"/>
      </w:pPr>
      <w:r w:rsidRPr="001D7FA9">
        <w:rPr>
          <w:rStyle w:val="TextoNormalNegritaCaracter"/>
        </w:rPr>
        <w:t>Artículo 102.1</w:t>
      </w:r>
      <w:r>
        <w:t xml:space="preserve"> (redactado por el Real Decreto 658/2024, de 9 de julio)</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 f. 2.</w:t>
      </w:r>
    </w:p>
    <w:p w14:paraId="06F6F0BF" w14:textId="7DCAAFF6" w:rsidR="001D7FA9" w:rsidRDefault="001D7FA9" w:rsidP="001D7FA9">
      <w:pPr>
        <w:pStyle w:val="SangriaFrancesaArticulo"/>
      </w:pPr>
      <w:r w:rsidRPr="001D7FA9">
        <w:rPr>
          <w:rStyle w:val="TextoNormalNegritaCaracter"/>
        </w:rPr>
        <w:t>Artículo 103.2 apartados a), b).</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22FE4FD2" w14:textId="3188A3E4" w:rsidR="001D7FA9" w:rsidRDefault="001D7FA9" w:rsidP="001D7FA9">
      <w:pPr>
        <w:pStyle w:val="SangriaFrancesaArticulo"/>
      </w:pPr>
      <w:r w:rsidRPr="001D7FA9">
        <w:rPr>
          <w:rStyle w:val="TextoNormalNegritaCaracter"/>
        </w:rPr>
        <w:t>Artículo 103.2 b).</w:t>
      </w:r>
      <w:r w:rsidRPr="001D7FA9">
        <w:rPr>
          <w:rStyle w:val="TextoNormalCaracter"/>
        </w:rPr>
        <w:t>-</w:t>
      </w:r>
      <w:r>
        <w:t xml:space="preserve"> Sentencia </w:t>
      </w:r>
      <w:hyperlink w:anchor="SENTENCIA_2025_82" w:history="1">
        <w:r w:rsidRPr="001D7FA9">
          <w:rPr>
            <w:rStyle w:val="TextoNormalCaracter"/>
          </w:rPr>
          <w:t>82/2025</w:t>
        </w:r>
      </w:hyperlink>
      <w:r>
        <w:t>, f. 1.</w:t>
      </w:r>
    </w:p>
    <w:p w14:paraId="3B78CD5A" w14:textId="647C4418" w:rsidR="001D7FA9" w:rsidRDefault="001D7FA9" w:rsidP="001D7FA9">
      <w:pPr>
        <w:pStyle w:val="SangriaFrancesaArticulo"/>
      </w:pPr>
      <w:r w:rsidRPr="001D7FA9">
        <w:rPr>
          <w:rStyle w:val="TextoNormalNegritaCaracter"/>
        </w:rPr>
        <w:t>Artículo 105.</w:t>
      </w:r>
      <w:r w:rsidRPr="001D7FA9">
        <w:rPr>
          <w:rStyle w:val="TextoNormalCaracter"/>
        </w:rPr>
        <w:t>-</w:t>
      </w:r>
      <w:r>
        <w:t xml:space="preserve"> Sentencia </w:t>
      </w:r>
      <w:hyperlink w:anchor="SENTENCIA_2025_82" w:history="1">
        <w:r w:rsidRPr="001D7FA9">
          <w:rPr>
            <w:rStyle w:val="TextoNormalCaracter"/>
          </w:rPr>
          <w:t>82/2025</w:t>
        </w:r>
      </w:hyperlink>
      <w:r>
        <w:t>, f. 5.</w:t>
      </w:r>
    </w:p>
    <w:p w14:paraId="1DFF36EC" w14:textId="267D2CBC" w:rsidR="001D7FA9" w:rsidRDefault="001D7FA9" w:rsidP="001D7FA9">
      <w:pPr>
        <w:pStyle w:val="SangriaFrancesaArticulo"/>
      </w:pPr>
      <w:r w:rsidRPr="001D7FA9">
        <w:rPr>
          <w:rStyle w:val="TextoNormalNegritaCaracter"/>
        </w:rPr>
        <w:t>Artículo 105 a).</w:t>
      </w:r>
      <w:r w:rsidRPr="001D7FA9">
        <w:rPr>
          <w:rStyle w:val="TextoNormalCaracter"/>
        </w:rPr>
        <w:t>-</w:t>
      </w:r>
      <w:r>
        <w:t xml:space="preserve"> Sentencia </w:t>
      </w:r>
      <w:hyperlink w:anchor="SENTENCIA_2025_82" w:history="1">
        <w:r w:rsidRPr="001D7FA9">
          <w:rPr>
            <w:rStyle w:val="TextoNormalCaracter"/>
          </w:rPr>
          <w:t>82/2025</w:t>
        </w:r>
      </w:hyperlink>
      <w:r>
        <w:t>, f. 5.</w:t>
      </w:r>
    </w:p>
    <w:p w14:paraId="5FA1374C" w14:textId="213A3C24" w:rsidR="001D7FA9" w:rsidRDefault="001D7FA9" w:rsidP="001D7FA9">
      <w:pPr>
        <w:pStyle w:val="SangriaFrancesaArticulo"/>
      </w:pPr>
      <w:r w:rsidRPr="001D7FA9">
        <w:rPr>
          <w:rStyle w:val="TextoNormalNegritaCaracter"/>
        </w:rPr>
        <w:t>Artículo 105 apartados b), c).</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785C2A8E" w14:textId="3EB8D1D2" w:rsidR="001D7FA9" w:rsidRDefault="001D7FA9" w:rsidP="001D7FA9">
      <w:pPr>
        <w:pStyle w:val="SangriaFrancesaArticulo"/>
      </w:pPr>
      <w:r w:rsidRPr="001D7FA9">
        <w:rPr>
          <w:rStyle w:val="TextoNormalNegritaCaracter"/>
        </w:rPr>
        <w:t>Artículo 105 b).</w:t>
      </w:r>
      <w:r w:rsidRPr="001D7FA9">
        <w:rPr>
          <w:rStyle w:val="TextoNormalCaracter"/>
        </w:rPr>
        <w:t>-</w:t>
      </w:r>
      <w:r>
        <w:t xml:space="preserve"> Sentencia </w:t>
      </w:r>
      <w:hyperlink w:anchor="SENTENCIA_2025_82" w:history="1">
        <w:r w:rsidRPr="001D7FA9">
          <w:rPr>
            <w:rStyle w:val="TextoNormalCaracter"/>
          </w:rPr>
          <w:t>82/2025</w:t>
        </w:r>
      </w:hyperlink>
      <w:r>
        <w:t>, f. 5.</w:t>
      </w:r>
    </w:p>
    <w:p w14:paraId="020BC830" w14:textId="4A0899D0" w:rsidR="001D7FA9" w:rsidRDefault="001D7FA9" w:rsidP="001D7FA9">
      <w:pPr>
        <w:pStyle w:val="SangriaFrancesaArticulo"/>
      </w:pPr>
      <w:r w:rsidRPr="001D7FA9">
        <w:rPr>
          <w:rStyle w:val="TextoNormalNegritaCaracter"/>
        </w:rPr>
        <w:t>Artículo 105 c).</w:t>
      </w:r>
      <w:r w:rsidRPr="001D7FA9">
        <w:rPr>
          <w:rStyle w:val="TextoNormalCaracter"/>
        </w:rPr>
        <w:t>-</w:t>
      </w:r>
      <w:r>
        <w:t xml:space="preserve"> Sentencia </w:t>
      </w:r>
      <w:hyperlink w:anchor="SENTENCIA_2025_82" w:history="1">
        <w:r w:rsidRPr="001D7FA9">
          <w:rPr>
            <w:rStyle w:val="TextoNormalCaracter"/>
          </w:rPr>
          <w:t>82/2025</w:t>
        </w:r>
      </w:hyperlink>
      <w:r>
        <w:t>, f. 5.</w:t>
      </w:r>
    </w:p>
    <w:p w14:paraId="35772916" w14:textId="0569A3F1" w:rsidR="001D7FA9" w:rsidRDefault="001D7FA9" w:rsidP="001D7FA9">
      <w:pPr>
        <w:pStyle w:val="SangriaFrancesaArticulo"/>
      </w:pPr>
      <w:r w:rsidRPr="001D7FA9">
        <w:rPr>
          <w:rStyle w:val="TextoNormalNegritaCaracter"/>
        </w:rPr>
        <w:t>Artículo 108.1 d).</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3DE65949" w14:textId="691DCCAE" w:rsidR="001D7FA9" w:rsidRDefault="001D7FA9" w:rsidP="001D7FA9">
      <w:pPr>
        <w:pStyle w:val="SangriaFrancesaArticulo"/>
      </w:pPr>
      <w:r w:rsidRPr="001D7FA9">
        <w:rPr>
          <w:rStyle w:val="TextoNormalNegritaCaracter"/>
        </w:rPr>
        <w:t>Artículo 108.1 d)</w:t>
      </w:r>
      <w:r>
        <w:t xml:space="preserve"> (redactado por el Real Decreto 658/2024, de 9 de julio)</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 f. 2.</w:t>
      </w:r>
    </w:p>
    <w:p w14:paraId="18E28807" w14:textId="382BD042" w:rsidR="001D7FA9" w:rsidRDefault="001D7FA9" w:rsidP="001D7FA9">
      <w:pPr>
        <w:pStyle w:val="SangriaFrancesaArticulo"/>
      </w:pPr>
      <w:r w:rsidRPr="001D7FA9">
        <w:rPr>
          <w:rStyle w:val="TextoNormalNegritaCaracter"/>
        </w:rPr>
        <w:t>Artículo 109.</w:t>
      </w:r>
      <w:r w:rsidRPr="001D7FA9">
        <w:rPr>
          <w:rStyle w:val="TextoNormalCaracter"/>
        </w:rPr>
        <w:t>-</w:t>
      </w:r>
      <w:r>
        <w:t xml:space="preserve"> Sentencia </w:t>
      </w:r>
      <w:hyperlink w:anchor="SENTENCIA_2025_82" w:history="1">
        <w:r w:rsidRPr="001D7FA9">
          <w:rPr>
            <w:rStyle w:val="TextoNormalCaracter"/>
          </w:rPr>
          <w:t>82/2025</w:t>
        </w:r>
      </w:hyperlink>
      <w:r>
        <w:t>, f. 2.</w:t>
      </w:r>
    </w:p>
    <w:p w14:paraId="68273145" w14:textId="12A4F900" w:rsidR="001D7FA9" w:rsidRDefault="001D7FA9" w:rsidP="001D7FA9">
      <w:pPr>
        <w:pStyle w:val="SangriaFrancesaArticulo"/>
      </w:pPr>
      <w:r w:rsidRPr="001D7FA9">
        <w:rPr>
          <w:rStyle w:val="TextoNormalNegritaCaracter"/>
        </w:rPr>
        <w:t>Artículo 109.1.</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3B39FF4B" w14:textId="0AEDD185" w:rsidR="001D7FA9" w:rsidRDefault="001D7FA9" w:rsidP="001D7FA9">
      <w:pPr>
        <w:pStyle w:val="SangriaFrancesaArticulo"/>
      </w:pPr>
      <w:r w:rsidRPr="001D7FA9">
        <w:rPr>
          <w:rStyle w:val="TextoNormalNegritaCaracter"/>
        </w:rPr>
        <w:t>Artículo 109.4.</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25D3A821" w14:textId="66E996E9" w:rsidR="001D7FA9" w:rsidRDefault="001D7FA9" w:rsidP="001D7FA9">
      <w:pPr>
        <w:pStyle w:val="SangriaFrancesaArticulo"/>
      </w:pPr>
      <w:r w:rsidRPr="001D7FA9">
        <w:rPr>
          <w:rStyle w:val="TextoNormalNegritaCaracter"/>
        </w:rPr>
        <w:t>Artículo 111.1.</w:t>
      </w:r>
      <w:r w:rsidRPr="001D7FA9">
        <w:rPr>
          <w:rStyle w:val="TextoNormalCaracter"/>
        </w:rPr>
        <w:t>-</w:t>
      </w:r>
      <w:r>
        <w:t xml:space="preserve"> Sentencia </w:t>
      </w:r>
      <w:hyperlink w:anchor="SENTENCIA_2025_82" w:history="1">
        <w:r w:rsidRPr="001D7FA9">
          <w:rPr>
            <w:rStyle w:val="TextoNormalCaracter"/>
          </w:rPr>
          <w:t>82/2025</w:t>
        </w:r>
      </w:hyperlink>
      <w:r>
        <w:t>, f. 2.</w:t>
      </w:r>
    </w:p>
    <w:p w14:paraId="7B8283A2" w14:textId="50702DF0" w:rsidR="001D7FA9" w:rsidRDefault="001D7FA9" w:rsidP="001D7FA9">
      <w:pPr>
        <w:pStyle w:val="SangriaFrancesaArticulo"/>
      </w:pPr>
      <w:r w:rsidRPr="001D7FA9">
        <w:rPr>
          <w:rStyle w:val="TextoNormalNegritaCaracter"/>
        </w:rPr>
        <w:t>Artículo 111.2.</w:t>
      </w:r>
      <w:r w:rsidRPr="001D7FA9">
        <w:rPr>
          <w:rStyle w:val="TextoNormalCaracter"/>
        </w:rPr>
        <w:t>-</w:t>
      </w:r>
      <w:r>
        <w:t xml:space="preserve"> Sentencia </w:t>
      </w:r>
      <w:hyperlink w:anchor="SENTENCIA_2025_82" w:history="1">
        <w:r w:rsidRPr="001D7FA9">
          <w:rPr>
            <w:rStyle w:val="TextoNormalCaracter"/>
          </w:rPr>
          <w:t>82/2025</w:t>
        </w:r>
      </w:hyperlink>
      <w:r>
        <w:t>, ff. 2, 5.</w:t>
      </w:r>
    </w:p>
    <w:p w14:paraId="127C2625" w14:textId="344C51A6" w:rsidR="001D7FA9" w:rsidRDefault="001D7FA9" w:rsidP="001D7FA9">
      <w:pPr>
        <w:pStyle w:val="SangriaFrancesaArticulo"/>
      </w:pPr>
      <w:r w:rsidRPr="001D7FA9">
        <w:rPr>
          <w:rStyle w:val="TextoNormalNegritaCaracter"/>
        </w:rPr>
        <w:t>Artículo 111.2 inciso 1.</w:t>
      </w:r>
      <w:r w:rsidRPr="001D7FA9">
        <w:rPr>
          <w:rStyle w:val="TextoNormalCaracter"/>
        </w:rPr>
        <w:t>-</w:t>
      </w:r>
      <w:r>
        <w:t xml:space="preserve"> Sentencia </w:t>
      </w:r>
      <w:hyperlink w:anchor="SENTENCIA_2025_82" w:history="1">
        <w:r w:rsidRPr="001D7FA9">
          <w:rPr>
            <w:rStyle w:val="TextoNormalCaracter"/>
          </w:rPr>
          <w:t>82/2025</w:t>
        </w:r>
      </w:hyperlink>
      <w:r>
        <w:t>, f. 5.</w:t>
      </w:r>
    </w:p>
    <w:p w14:paraId="7C35BECE" w14:textId="551B7AA9" w:rsidR="001D7FA9" w:rsidRDefault="001D7FA9" w:rsidP="001D7FA9">
      <w:pPr>
        <w:pStyle w:val="SangriaFrancesaArticulo"/>
      </w:pPr>
      <w:r w:rsidRPr="001D7FA9">
        <w:rPr>
          <w:rStyle w:val="TextoNormalNegritaCaracter"/>
        </w:rPr>
        <w:t>Artículo 111.2 inciso 2.</w:t>
      </w:r>
      <w:r w:rsidRPr="001D7FA9">
        <w:rPr>
          <w:rStyle w:val="TextoNormalCaracter"/>
        </w:rPr>
        <w:t>-</w:t>
      </w:r>
      <w:r>
        <w:t xml:space="preserve"> Sentencia </w:t>
      </w:r>
      <w:hyperlink w:anchor="SENTENCIA_2025_82" w:history="1">
        <w:r w:rsidRPr="001D7FA9">
          <w:rPr>
            <w:rStyle w:val="TextoNormalCaracter"/>
          </w:rPr>
          <w:t>82/2025</w:t>
        </w:r>
      </w:hyperlink>
      <w:r>
        <w:t>, ff. 1, 5.</w:t>
      </w:r>
    </w:p>
    <w:p w14:paraId="295B1FF5" w14:textId="656CDE6E" w:rsidR="001D7FA9" w:rsidRDefault="001D7FA9" w:rsidP="001D7FA9">
      <w:pPr>
        <w:pStyle w:val="SangriaFrancesaArticulo"/>
      </w:pPr>
      <w:r w:rsidRPr="001D7FA9">
        <w:rPr>
          <w:rStyle w:val="TextoNormalNegritaCaracter"/>
        </w:rPr>
        <w:t>Artículo 112.1 d).</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1BE34F83" w14:textId="11BD5C5E" w:rsidR="001D7FA9" w:rsidRDefault="001D7FA9" w:rsidP="001D7FA9">
      <w:pPr>
        <w:pStyle w:val="SangriaFrancesaArticulo"/>
      </w:pPr>
      <w:r w:rsidRPr="001D7FA9">
        <w:rPr>
          <w:rStyle w:val="TextoNormalNegritaCaracter"/>
        </w:rPr>
        <w:t>Artículo 113.1.</w:t>
      </w:r>
      <w:r w:rsidRPr="001D7FA9">
        <w:rPr>
          <w:rStyle w:val="TextoNormalCaracter"/>
        </w:rPr>
        <w:t>-</w:t>
      </w:r>
      <w:r>
        <w:t xml:space="preserve"> Sentencia </w:t>
      </w:r>
      <w:hyperlink w:anchor="SENTENCIA_2025_82" w:history="1">
        <w:r w:rsidRPr="001D7FA9">
          <w:rPr>
            <w:rStyle w:val="TextoNormalCaracter"/>
          </w:rPr>
          <w:t>82/2025</w:t>
        </w:r>
      </w:hyperlink>
      <w:r>
        <w:t>, f. 2.</w:t>
      </w:r>
    </w:p>
    <w:p w14:paraId="645E3B93" w14:textId="7727FFCD" w:rsidR="001D7FA9" w:rsidRDefault="001D7FA9" w:rsidP="001D7FA9">
      <w:pPr>
        <w:pStyle w:val="SangriaFrancesaArticulo"/>
      </w:pPr>
      <w:r w:rsidRPr="001D7FA9">
        <w:rPr>
          <w:rStyle w:val="TextoNormalNegritaCaracter"/>
        </w:rPr>
        <w:t>Artículo 113.4.</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0AAF9150" w14:textId="253AA326" w:rsidR="001D7FA9" w:rsidRDefault="001D7FA9" w:rsidP="001D7FA9">
      <w:pPr>
        <w:pStyle w:val="SangriaFrancesaArticulo"/>
      </w:pPr>
      <w:r w:rsidRPr="001D7FA9">
        <w:rPr>
          <w:rStyle w:val="TextoNormalNegritaCaracter"/>
        </w:rPr>
        <w:t>Artículo 113.4</w:t>
      </w:r>
      <w:r>
        <w:t xml:space="preserve"> (redactado por el Real Decreto 658/2024, de 9 de julio)</w:t>
      </w:r>
      <w:r w:rsidRPr="001D7FA9">
        <w:rPr>
          <w:rStyle w:val="TextoNormalNegritaCaracter"/>
        </w:rPr>
        <w:t>.</w:t>
      </w:r>
      <w:r w:rsidRPr="001D7FA9">
        <w:rPr>
          <w:rStyle w:val="TextoNormalCaracter"/>
        </w:rPr>
        <w:t>-</w:t>
      </w:r>
      <w:r>
        <w:t xml:space="preserve"> Sentencia </w:t>
      </w:r>
      <w:hyperlink w:anchor="SENTENCIA_2025_82" w:history="1">
        <w:r w:rsidRPr="001D7FA9">
          <w:rPr>
            <w:rStyle w:val="TextoNormalCaracter"/>
          </w:rPr>
          <w:t>82/2025</w:t>
        </w:r>
      </w:hyperlink>
      <w:r>
        <w:t>, f. 2.</w:t>
      </w:r>
    </w:p>
    <w:p w14:paraId="64822E63" w14:textId="7FBDC927" w:rsidR="001D7FA9" w:rsidRDefault="001D7FA9" w:rsidP="001D7FA9">
      <w:pPr>
        <w:pStyle w:val="SangriaFrancesaArticulo"/>
      </w:pPr>
      <w:r w:rsidRPr="001D7FA9">
        <w:rPr>
          <w:rStyle w:val="TextoNormalNegritaCaracter"/>
        </w:rPr>
        <w:t>Artículo 115.1.</w:t>
      </w:r>
      <w:r w:rsidRPr="001D7FA9">
        <w:rPr>
          <w:rStyle w:val="TextoNormalCaracter"/>
        </w:rPr>
        <w:t>-</w:t>
      </w:r>
      <w:r>
        <w:t xml:space="preserve"> Sentencia </w:t>
      </w:r>
      <w:hyperlink w:anchor="SENTENCIA_2025_82" w:history="1">
        <w:r w:rsidRPr="001D7FA9">
          <w:rPr>
            <w:rStyle w:val="TextoNormalCaracter"/>
          </w:rPr>
          <w:t>82/2025</w:t>
        </w:r>
      </w:hyperlink>
      <w:r>
        <w:t>, f. 2.</w:t>
      </w:r>
    </w:p>
    <w:p w14:paraId="680D3D52" w14:textId="5ED12F49" w:rsidR="001D7FA9" w:rsidRDefault="001D7FA9" w:rsidP="001D7FA9">
      <w:pPr>
        <w:pStyle w:val="SangriaFrancesaArticulo"/>
      </w:pPr>
      <w:r w:rsidRPr="001D7FA9">
        <w:rPr>
          <w:rStyle w:val="TextoNormalNegritaCaracter"/>
        </w:rPr>
        <w:t>Artículo 115.2.</w:t>
      </w:r>
      <w:r w:rsidRPr="001D7FA9">
        <w:rPr>
          <w:rStyle w:val="TextoNormalCaracter"/>
        </w:rPr>
        <w:t>-</w:t>
      </w:r>
      <w:r>
        <w:t xml:space="preserve"> Sentencia </w:t>
      </w:r>
      <w:hyperlink w:anchor="SENTENCIA_2025_82" w:history="1">
        <w:r w:rsidRPr="001D7FA9">
          <w:rPr>
            <w:rStyle w:val="TextoNormalCaracter"/>
          </w:rPr>
          <w:t>82/2025</w:t>
        </w:r>
      </w:hyperlink>
      <w:r>
        <w:t>, f. 2.</w:t>
      </w:r>
    </w:p>
    <w:p w14:paraId="51E8D2F8" w14:textId="39FD45C9" w:rsidR="001D7FA9" w:rsidRDefault="001D7FA9" w:rsidP="001D7FA9">
      <w:pPr>
        <w:pStyle w:val="SangriaFrancesaArticulo"/>
      </w:pPr>
      <w:r w:rsidRPr="001D7FA9">
        <w:rPr>
          <w:rStyle w:val="TextoNormalNegritaCaracter"/>
        </w:rPr>
        <w:t>Artículo 116.</w:t>
      </w:r>
      <w:r w:rsidRPr="001D7FA9">
        <w:rPr>
          <w:rStyle w:val="TextoNormalCaracter"/>
        </w:rPr>
        <w:t>-</w:t>
      </w:r>
      <w:r>
        <w:t xml:space="preserve"> Sentencia </w:t>
      </w:r>
      <w:hyperlink w:anchor="SENTENCIA_2025_82" w:history="1">
        <w:r w:rsidRPr="001D7FA9">
          <w:rPr>
            <w:rStyle w:val="TextoNormalCaracter"/>
          </w:rPr>
          <w:t>82/2025</w:t>
        </w:r>
      </w:hyperlink>
      <w:r>
        <w:t>, f. 5.</w:t>
      </w:r>
    </w:p>
    <w:p w14:paraId="2BCEBBE2" w14:textId="52FDDE0C" w:rsidR="001D7FA9" w:rsidRDefault="001D7FA9" w:rsidP="001D7FA9">
      <w:pPr>
        <w:pStyle w:val="SangriaFrancesaArticulo"/>
      </w:pPr>
      <w:r w:rsidRPr="001D7FA9">
        <w:rPr>
          <w:rStyle w:val="TextoNormalNegritaCaracter"/>
        </w:rPr>
        <w:t>Artículo 116 y ss.</w:t>
      </w:r>
      <w:r w:rsidRPr="001D7FA9">
        <w:rPr>
          <w:rStyle w:val="TextoNormalCaracter"/>
        </w:rPr>
        <w:t>-</w:t>
      </w:r>
      <w:r>
        <w:t xml:space="preserve"> Sentencia </w:t>
      </w:r>
      <w:hyperlink w:anchor="SENTENCIA_2025_82" w:history="1">
        <w:r w:rsidRPr="001D7FA9">
          <w:rPr>
            <w:rStyle w:val="TextoNormalCaracter"/>
          </w:rPr>
          <w:t>82/2025</w:t>
        </w:r>
      </w:hyperlink>
      <w:r>
        <w:t>, f. 4.</w:t>
      </w:r>
    </w:p>
    <w:p w14:paraId="56CF1831" w14:textId="29908C6E" w:rsidR="001D7FA9" w:rsidRDefault="001D7FA9" w:rsidP="001D7FA9">
      <w:pPr>
        <w:pStyle w:val="SangriaFrancesaArticulo"/>
      </w:pPr>
      <w:r w:rsidRPr="001D7FA9">
        <w:rPr>
          <w:rStyle w:val="TextoNormalNegritaCaracter"/>
        </w:rPr>
        <w:t>Artículo 117.</w:t>
      </w:r>
      <w:r w:rsidRPr="001D7FA9">
        <w:rPr>
          <w:rStyle w:val="TextoNormalCaracter"/>
        </w:rPr>
        <w:t>-</w:t>
      </w:r>
      <w:r>
        <w:t xml:space="preserve"> Sentencia </w:t>
      </w:r>
      <w:hyperlink w:anchor="SENTENCIA_2025_82" w:history="1">
        <w:r w:rsidRPr="001D7FA9">
          <w:rPr>
            <w:rStyle w:val="TextoNormalCaracter"/>
          </w:rPr>
          <w:t>82/2025</w:t>
        </w:r>
      </w:hyperlink>
      <w:r>
        <w:t>, ff. 4, 5.</w:t>
      </w:r>
    </w:p>
    <w:p w14:paraId="6F2939AC" w14:textId="26BE6964" w:rsidR="001D7FA9" w:rsidRDefault="001D7FA9" w:rsidP="001D7FA9">
      <w:pPr>
        <w:pStyle w:val="SangriaFrancesaArticulo"/>
      </w:pPr>
      <w:r w:rsidRPr="001D7FA9">
        <w:rPr>
          <w:rStyle w:val="TextoNormalNegritaCaracter"/>
        </w:rPr>
        <w:t>Artículo 117.2.</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3DAD9750" w14:textId="35918BC0" w:rsidR="001D7FA9" w:rsidRDefault="001D7FA9" w:rsidP="001D7FA9">
      <w:pPr>
        <w:pStyle w:val="SangriaFrancesaArticulo"/>
      </w:pPr>
      <w:r w:rsidRPr="001D7FA9">
        <w:rPr>
          <w:rStyle w:val="TextoNormalNegritaCaracter"/>
        </w:rPr>
        <w:t>Artículo 130.</w:t>
      </w:r>
      <w:r w:rsidRPr="001D7FA9">
        <w:rPr>
          <w:rStyle w:val="TextoNormalCaracter"/>
        </w:rPr>
        <w:t>-</w:t>
      </w:r>
      <w:r>
        <w:t xml:space="preserve"> Sentencia </w:t>
      </w:r>
      <w:hyperlink w:anchor="SENTENCIA_2025_82" w:history="1">
        <w:r w:rsidRPr="001D7FA9">
          <w:rPr>
            <w:rStyle w:val="TextoNormalCaracter"/>
          </w:rPr>
          <w:t>82/2025</w:t>
        </w:r>
      </w:hyperlink>
      <w:r>
        <w:t>, ff. 1, 2, 7.</w:t>
      </w:r>
    </w:p>
    <w:p w14:paraId="39517D2D" w14:textId="2D072DCD" w:rsidR="001D7FA9" w:rsidRDefault="001D7FA9" w:rsidP="001D7FA9">
      <w:pPr>
        <w:pStyle w:val="SangriaFrancesaArticulo"/>
      </w:pPr>
      <w:r w:rsidRPr="001D7FA9">
        <w:rPr>
          <w:rStyle w:val="TextoNormalNegritaCaracter"/>
        </w:rPr>
        <w:t>Artículo 154.6.</w:t>
      </w:r>
      <w:r w:rsidRPr="001D7FA9">
        <w:rPr>
          <w:rStyle w:val="TextoNormalCaracter"/>
        </w:rPr>
        <w:t>-</w:t>
      </w:r>
      <w:r>
        <w:t xml:space="preserve"> Sentencia </w:t>
      </w:r>
      <w:hyperlink w:anchor="SENTENCIA_2025_82" w:history="1">
        <w:r w:rsidRPr="001D7FA9">
          <w:rPr>
            <w:rStyle w:val="TextoNormalCaracter"/>
          </w:rPr>
          <w:t>82/2025</w:t>
        </w:r>
      </w:hyperlink>
      <w:r>
        <w:t>, ff. 1, 2, 4, 5.</w:t>
      </w:r>
    </w:p>
    <w:p w14:paraId="60143A35" w14:textId="054E6C93" w:rsidR="001D7FA9" w:rsidRDefault="001D7FA9" w:rsidP="001D7FA9">
      <w:pPr>
        <w:pStyle w:val="SangriaFrancesaArticulo"/>
      </w:pPr>
      <w:r w:rsidRPr="001D7FA9">
        <w:rPr>
          <w:rStyle w:val="TextoNormalNegritaCaracter"/>
        </w:rPr>
        <w:t>Artículo 154.7.</w:t>
      </w:r>
      <w:r w:rsidRPr="001D7FA9">
        <w:rPr>
          <w:rStyle w:val="TextoNormalCaracter"/>
        </w:rPr>
        <w:t>-</w:t>
      </w:r>
      <w:r>
        <w:t xml:space="preserve"> Sentencia </w:t>
      </w:r>
      <w:hyperlink w:anchor="SENTENCIA_2025_82" w:history="1">
        <w:r w:rsidRPr="001D7FA9">
          <w:rPr>
            <w:rStyle w:val="TextoNormalCaracter"/>
          </w:rPr>
          <w:t>82/2025</w:t>
        </w:r>
      </w:hyperlink>
      <w:r>
        <w:t>, ff. 1, 2, 4, 5.</w:t>
      </w:r>
    </w:p>
    <w:p w14:paraId="1CBB6086" w14:textId="5E770C97" w:rsidR="001D7FA9" w:rsidRDefault="001D7FA9" w:rsidP="001D7FA9">
      <w:pPr>
        <w:pStyle w:val="SangriaFrancesaArticulo"/>
      </w:pPr>
      <w:r w:rsidRPr="001D7FA9">
        <w:rPr>
          <w:rStyle w:val="TextoNormalNegritaCaracter"/>
        </w:rPr>
        <w:t>Artículo 155 párrafo 3.</w:t>
      </w:r>
      <w:r w:rsidRPr="001D7FA9">
        <w:rPr>
          <w:rStyle w:val="TextoNormalCaracter"/>
        </w:rPr>
        <w:t>-</w:t>
      </w:r>
      <w:r>
        <w:t xml:space="preserve"> Sentencia </w:t>
      </w:r>
      <w:hyperlink w:anchor="SENTENCIA_2025_82" w:history="1">
        <w:r w:rsidRPr="001D7FA9">
          <w:rPr>
            <w:rStyle w:val="TextoNormalCaracter"/>
          </w:rPr>
          <w:t>82/2025</w:t>
        </w:r>
      </w:hyperlink>
      <w:r>
        <w:t>, f. 5.</w:t>
      </w:r>
    </w:p>
    <w:p w14:paraId="26E7ECF8" w14:textId="67B8718C" w:rsidR="001D7FA9" w:rsidRDefault="001D7FA9" w:rsidP="001D7FA9">
      <w:pPr>
        <w:pStyle w:val="SangriaFrancesaArticulo"/>
      </w:pPr>
      <w:r w:rsidRPr="001D7FA9">
        <w:rPr>
          <w:rStyle w:val="TextoNormalNegritaCaracter"/>
        </w:rPr>
        <w:t>Artículo 155.1.</w:t>
      </w:r>
      <w:r w:rsidRPr="001D7FA9">
        <w:rPr>
          <w:rStyle w:val="TextoNormalCaracter"/>
        </w:rPr>
        <w:t>-</w:t>
      </w:r>
      <w:r>
        <w:t xml:space="preserve"> Sentencia </w:t>
      </w:r>
      <w:hyperlink w:anchor="SENTENCIA_2025_82" w:history="1">
        <w:r w:rsidRPr="001D7FA9">
          <w:rPr>
            <w:rStyle w:val="TextoNormalCaracter"/>
          </w:rPr>
          <w:t>82/2025</w:t>
        </w:r>
      </w:hyperlink>
      <w:r>
        <w:t>, f. 5.</w:t>
      </w:r>
    </w:p>
    <w:p w14:paraId="26877D00" w14:textId="6C72DCC8" w:rsidR="001D7FA9" w:rsidRDefault="001D7FA9" w:rsidP="001D7FA9">
      <w:pPr>
        <w:pStyle w:val="SangriaFrancesaArticulo"/>
      </w:pPr>
      <w:r w:rsidRPr="001D7FA9">
        <w:rPr>
          <w:rStyle w:val="TextoNormalNegritaCaracter"/>
        </w:rPr>
        <w:t>Artículo 155.2.</w:t>
      </w:r>
      <w:r w:rsidRPr="001D7FA9">
        <w:rPr>
          <w:rStyle w:val="TextoNormalCaracter"/>
        </w:rPr>
        <w:t>-</w:t>
      </w:r>
      <w:r>
        <w:t xml:space="preserve"> Sentencia </w:t>
      </w:r>
      <w:hyperlink w:anchor="SENTENCIA_2025_82" w:history="1">
        <w:r w:rsidRPr="001D7FA9">
          <w:rPr>
            <w:rStyle w:val="TextoNormalCaracter"/>
          </w:rPr>
          <w:t>82/2025</w:t>
        </w:r>
      </w:hyperlink>
      <w:r>
        <w:t>, ff. 1, 2, 4, 5.</w:t>
      </w:r>
    </w:p>
    <w:p w14:paraId="4AB895EE" w14:textId="6FD728AF" w:rsidR="001D7FA9" w:rsidRDefault="001D7FA9" w:rsidP="001D7FA9">
      <w:pPr>
        <w:pStyle w:val="SangriaFrancesaArticulo"/>
      </w:pPr>
      <w:r w:rsidRPr="001D7FA9">
        <w:rPr>
          <w:rStyle w:val="TextoNormalNegritaCaracter"/>
        </w:rPr>
        <w:t>Artículo 155.2 párrafo 1 inciso 2.</w:t>
      </w:r>
      <w:r w:rsidRPr="001D7FA9">
        <w:rPr>
          <w:rStyle w:val="TextoNormalCaracter"/>
        </w:rPr>
        <w:t>-</w:t>
      </w:r>
      <w:r>
        <w:t xml:space="preserve"> Sentencia </w:t>
      </w:r>
      <w:hyperlink w:anchor="SENTENCIA_2025_82" w:history="1">
        <w:r w:rsidRPr="001D7FA9">
          <w:rPr>
            <w:rStyle w:val="TextoNormalCaracter"/>
          </w:rPr>
          <w:t>82/2025</w:t>
        </w:r>
      </w:hyperlink>
      <w:r>
        <w:t>, f. 5.</w:t>
      </w:r>
    </w:p>
    <w:p w14:paraId="6A7338FE" w14:textId="2C8AC6DE" w:rsidR="001D7FA9" w:rsidRDefault="001D7FA9" w:rsidP="001D7FA9">
      <w:pPr>
        <w:pStyle w:val="SangriaFrancesaArticulo"/>
      </w:pPr>
      <w:r w:rsidRPr="001D7FA9">
        <w:rPr>
          <w:rStyle w:val="TextoNormalNegritaCaracter"/>
        </w:rPr>
        <w:t>Artículo 155.2 párrafo 3.</w:t>
      </w:r>
      <w:r w:rsidRPr="001D7FA9">
        <w:rPr>
          <w:rStyle w:val="TextoNormalCaracter"/>
        </w:rPr>
        <w:t>-</w:t>
      </w:r>
      <w:r>
        <w:t xml:space="preserve"> Sentencia </w:t>
      </w:r>
      <w:hyperlink w:anchor="SENTENCIA_2025_82" w:history="1">
        <w:r w:rsidRPr="001D7FA9">
          <w:rPr>
            <w:rStyle w:val="TextoNormalCaracter"/>
          </w:rPr>
          <w:t>82/2025</w:t>
        </w:r>
      </w:hyperlink>
      <w:r>
        <w:t>, f. 5.</w:t>
      </w:r>
    </w:p>
    <w:p w14:paraId="6F2F6C95" w14:textId="6F68B538" w:rsidR="001D7FA9" w:rsidRDefault="001D7FA9" w:rsidP="001D7FA9">
      <w:pPr>
        <w:pStyle w:val="SangriaFrancesaArticulo"/>
      </w:pPr>
      <w:r w:rsidRPr="001D7FA9">
        <w:rPr>
          <w:rStyle w:val="TextoNormalNegritaCaracter"/>
        </w:rPr>
        <w:t>Artículo 156.2 d).</w:t>
      </w:r>
      <w:r w:rsidRPr="001D7FA9">
        <w:rPr>
          <w:rStyle w:val="TextoNormalCaracter"/>
        </w:rPr>
        <w:t>-</w:t>
      </w:r>
      <w:r>
        <w:t xml:space="preserve"> Sentencia </w:t>
      </w:r>
      <w:hyperlink w:anchor="SENTENCIA_2025_82" w:history="1">
        <w:r w:rsidRPr="001D7FA9">
          <w:rPr>
            <w:rStyle w:val="TextoNormalCaracter"/>
          </w:rPr>
          <w:t>82/2025</w:t>
        </w:r>
      </w:hyperlink>
      <w:r>
        <w:t>, f. 5.</w:t>
      </w:r>
    </w:p>
    <w:p w14:paraId="23323944" w14:textId="7557B41D" w:rsidR="001D7FA9" w:rsidRDefault="001D7FA9" w:rsidP="001D7FA9">
      <w:pPr>
        <w:pStyle w:val="SangriaFrancesaArticulo"/>
      </w:pPr>
      <w:r w:rsidRPr="001D7FA9">
        <w:rPr>
          <w:rStyle w:val="TextoNormalNegritaCaracter"/>
        </w:rPr>
        <w:t>Artículo 156.2 e).</w:t>
      </w:r>
      <w:r w:rsidRPr="001D7FA9">
        <w:rPr>
          <w:rStyle w:val="TextoNormalCaracter"/>
        </w:rPr>
        <w:t>-</w:t>
      </w:r>
      <w:r>
        <w:t xml:space="preserve"> Sentencia </w:t>
      </w:r>
      <w:hyperlink w:anchor="SENTENCIA_2025_82" w:history="1">
        <w:r w:rsidRPr="001D7FA9">
          <w:rPr>
            <w:rStyle w:val="TextoNormalCaracter"/>
          </w:rPr>
          <w:t>82/2025</w:t>
        </w:r>
      </w:hyperlink>
      <w:r>
        <w:t>, f. 5.</w:t>
      </w:r>
    </w:p>
    <w:p w14:paraId="44DAC5D6" w14:textId="567C0BCE" w:rsidR="001D7FA9" w:rsidRDefault="001D7FA9" w:rsidP="001D7FA9">
      <w:pPr>
        <w:pStyle w:val="SangriaFrancesaArticulo"/>
      </w:pPr>
      <w:r w:rsidRPr="001D7FA9">
        <w:rPr>
          <w:rStyle w:val="TextoNormalNegritaCaracter"/>
        </w:rPr>
        <w:t>Artículo 157.3.</w:t>
      </w:r>
      <w:r w:rsidRPr="001D7FA9">
        <w:rPr>
          <w:rStyle w:val="TextoNormalCaracter"/>
        </w:rPr>
        <w:t>-</w:t>
      </w:r>
      <w:r>
        <w:t xml:space="preserve"> Sentencia </w:t>
      </w:r>
      <w:hyperlink w:anchor="SENTENCIA_2025_82" w:history="1">
        <w:r w:rsidRPr="001D7FA9">
          <w:rPr>
            <w:rStyle w:val="TextoNormalCaracter"/>
          </w:rPr>
          <w:t>82/2025</w:t>
        </w:r>
      </w:hyperlink>
      <w:r>
        <w:t>, ff. 1, 2, 4, 5.</w:t>
      </w:r>
    </w:p>
    <w:p w14:paraId="76BAED8D" w14:textId="4C472980" w:rsidR="001D7FA9" w:rsidRDefault="001D7FA9" w:rsidP="001D7FA9">
      <w:pPr>
        <w:pStyle w:val="SangriaFrancesaArticulo"/>
      </w:pPr>
      <w:r w:rsidRPr="001D7FA9">
        <w:rPr>
          <w:rStyle w:val="TextoNormalNegritaCaracter"/>
        </w:rPr>
        <w:t>Artículo 160.</w:t>
      </w:r>
      <w:r w:rsidRPr="001D7FA9">
        <w:rPr>
          <w:rStyle w:val="TextoNormalCaracter"/>
        </w:rPr>
        <w:t>-</w:t>
      </w:r>
      <w:r>
        <w:t xml:space="preserve"> Sentencia </w:t>
      </w:r>
      <w:hyperlink w:anchor="SENTENCIA_2025_82" w:history="1">
        <w:r w:rsidRPr="001D7FA9">
          <w:rPr>
            <w:rStyle w:val="TextoNormalCaracter"/>
          </w:rPr>
          <w:t>82/2025</w:t>
        </w:r>
      </w:hyperlink>
      <w:r>
        <w:t>, f. 4.</w:t>
      </w:r>
    </w:p>
    <w:p w14:paraId="7B158F12" w14:textId="68FBE805" w:rsidR="001D7FA9" w:rsidRDefault="001D7FA9" w:rsidP="001D7FA9">
      <w:pPr>
        <w:pStyle w:val="SangriaFrancesaArticulo"/>
      </w:pPr>
      <w:r w:rsidRPr="001D7FA9">
        <w:rPr>
          <w:rStyle w:val="TextoNormalNegritaCaracter"/>
        </w:rPr>
        <w:t>Artículo 160.1.</w:t>
      </w:r>
      <w:r w:rsidRPr="001D7FA9">
        <w:rPr>
          <w:rStyle w:val="TextoNormalCaracter"/>
        </w:rPr>
        <w:t>-</w:t>
      </w:r>
      <w:r>
        <w:t xml:space="preserve"> Sentencia </w:t>
      </w:r>
      <w:hyperlink w:anchor="SENTENCIA_2025_82" w:history="1">
        <w:r w:rsidRPr="001D7FA9">
          <w:rPr>
            <w:rStyle w:val="TextoNormalCaracter"/>
          </w:rPr>
          <w:t>82/2025</w:t>
        </w:r>
      </w:hyperlink>
      <w:r>
        <w:t>, f. 5.</w:t>
      </w:r>
    </w:p>
    <w:p w14:paraId="311AEA63" w14:textId="0921065B" w:rsidR="001D7FA9" w:rsidRDefault="001D7FA9" w:rsidP="001D7FA9">
      <w:pPr>
        <w:pStyle w:val="SangriaFrancesaArticulo"/>
      </w:pPr>
      <w:r w:rsidRPr="001D7FA9">
        <w:rPr>
          <w:rStyle w:val="TextoNormalNegritaCaracter"/>
        </w:rPr>
        <w:t>Artículo 160.1 inciso 2.</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7DFECEF4" w14:textId="3D48CEA4" w:rsidR="001D7FA9" w:rsidRDefault="001D7FA9" w:rsidP="001D7FA9">
      <w:pPr>
        <w:pStyle w:val="SangriaFrancesaArticulo"/>
      </w:pPr>
      <w:r w:rsidRPr="001D7FA9">
        <w:rPr>
          <w:rStyle w:val="TextoNormalNegritaCaracter"/>
        </w:rPr>
        <w:t>Artículo 166.</w:t>
      </w:r>
      <w:r w:rsidRPr="001D7FA9">
        <w:rPr>
          <w:rStyle w:val="TextoNormalCaracter"/>
        </w:rPr>
        <w:t>-</w:t>
      </w:r>
      <w:r>
        <w:t xml:space="preserve"> Sentencia </w:t>
      </w:r>
      <w:hyperlink w:anchor="SENTENCIA_2025_82" w:history="1">
        <w:r w:rsidRPr="001D7FA9">
          <w:rPr>
            <w:rStyle w:val="TextoNormalCaracter"/>
          </w:rPr>
          <w:t>82/2025</w:t>
        </w:r>
      </w:hyperlink>
      <w:r>
        <w:t>, f. 5.</w:t>
      </w:r>
    </w:p>
    <w:p w14:paraId="174C5FD8" w14:textId="4869205E" w:rsidR="001D7FA9" w:rsidRDefault="001D7FA9" w:rsidP="001D7FA9">
      <w:pPr>
        <w:pStyle w:val="SangriaFrancesaArticulo"/>
      </w:pPr>
      <w:r w:rsidRPr="001D7FA9">
        <w:rPr>
          <w:rStyle w:val="TextoNormalNegritaCaracter"/>
        </w:rPr>
        <w:t>Artículo 166.1.</w:t>
      </w:r>
      <w:r w:rsidRPr="001D7FA9">
        <w:rPr>
          <w:rStyle w:val="TextoNormalCaracter"/>
        </w:rPr>
        <w:t>-</w:t>
      </w:r>
      <w:r>
        <w:t xml:space="preserve"> Sentencia </w:t>
      </w:r>
      <w:hyperlink w:anchor="SENTENCIA_2025_82" w:history="1">
        <w:r w:rsidRPr="001D7FA9">
          <w:rPr>
            <w:rStyle w:val="TextoNormalCaracter"/>
          </w:rPr>
          <w:t>82/2025</w:t>
        </w:r>
      </w:hyperlink>
      <w:r>
        <w:t>, f. 5.</w:t>
      </w:r>
    </w:p>
    <w:p w14:paraId="1D66D592" w14:textId="783CDA80" w:rsidR="001D7FA9" w:rsidRDefault="001D7FA9" w:rsidP="001D7FA9">
      <w:pPr>
        <w:pStyle w:val="SangriaFrancesaArticulo"/>
      </w:pPr>
      <w:r w:rsidRPr="001D7FA9">
        <w:rPr>
          <w:rStyle w:val="TextoNormalNegritaCaracter"/>
        </w:rPr>
        <w:t>Artículo 166.1 a).</w:t>
      </w:r>
      <w:r w:rsidRPr="001D7FA9">
        <w:rPr>
          <w:rStyle w:val="TextoNormalCaracter"/>
        </w:rPr>
        <w:t>-</w:t>
      </w:r>
      <w:r>
        <w:t xml:space="preserve"> Sentencia </w:t>
      </w:r>
      <w:hyperlink w:anchor="SENTENCIA_2025_82" w:history="1">
        <w:r w:rsidRPr="001D7FA9">
          <w:rPr>
            <w:rStyle w:val="TextoNormalCaracter"/>
          </w:rPr>
          <w:t>82/2025</w:t>
        </w:r>
      </w:hyperlink>
      <w:r>
        <w:t>, f. 5.</w:t>
      </w:r>
    </w:p>
    <w:p w14:paraId="3B37A8F8" w14:textId="2ED92053" w:rsidR="001D7FA9" w:rsidRDefault="001D7FA9" w:rsidP="001D7FA9">
      <w:pPr>
        <w:pStyle w:val="SangriaFrancesaArticulo"/>
      </w:pPr>
      <w:r w:rsidRPr="001D7FA9">
        <w:rPr>
          <w:rStyle w:val="TextoNormalNegritaCaracter"/>
        </w:rPr>
        <w:t>Artículo 166.1 b).</w:t>
      </w:r>
      <w:r w:rsidRPr="001D7FA9">
        <w:rPr>
          <w:rStyle w:val="TextoNormalCaracter"/>
        </w:rPr>
        <w:t>-</w:t>
      </w:r>
      <w:r>
        <w:t xml:space="preserve"> Sentencia </w:t>
      </w:r>
      <w:hyperlink w:anchor="SENTENCIA_2025_82" w:history="1">
        <w:r w:rsidRPr="001D7FA9">
          <w:rPr>
            <w:rStyle w:val="TextoNormalCaracter"/>
          </w:rPr>
          <w:t>82/2025</w:t>
        </w:r>
      </w:hyperlink>
      <w:r>
        <w:t>, f. 5.</w:t>
      </w:r>
    </w:p>
    <w:p w14:paraId="15B284DD" w14:textId="5E17B571" w:rsidR="001D7FA9" w:rsidRDefault="001D7FA9" w:rsidP="001D7FA9">
      <w:pPr>
        <w:pStyle w:val="SangriaFrancesaArticulo"/>
      </w:pPr>
      <w:r w:rsidRPr="001D7FA9">
        <w:rPr>
          <w:rStyle w:val="TextoNormalNegritaCaracter"/>
        </w:rPr>
        <w:t>Artículo 166.1 c).</w:t>
      </w:r>
      <w:r w:rsidRPr="001D7FA9">
        <w:rPr>
          <w:rStyle w:val="TextoNormalCaracter"/>
        </w:rPr>
        <w:t>-</w:t>
      </w:r>
      <w:r>
        <w:t xml:space="preserve"> Sentencia </w:t>
      </w:r>
      <w:hyperlink w:anchor="SENTENCIA_2025_82" w:history="1">
        <w:r w:rsidRPr="001D7FA9">
          <w:rPr>
            <w:rStyle w:val="TextoNormalCaracter"/>
          </w:rPr>
          <w:t>82/2025</w:t>
        </w:r>
      </w:hyperlink>
      <w:r>
        <w:t>, f. 5.</w:t>
      </w:r>
    </w:p>
    <w:p w14:paraId="05BF0DF6" w14:textId="0527679B" w:rsidR="001D7FA9" w:rsidRDefault="001D7FA9" w:rsidP="001D7FA9">
      <w:pPr>
        <w:pStyle w:val="SangriaFrancesaArticulo"/>
      </w:pPr>
      <w:r w:rsidRPr="001D7FA9">
        <w:rPr>
          <w:rStyle w:val="TextoNormalNegritaCaracter"/>
        </w:rPr>
        <w:t>Artículo 166.1 d).</w:t>
      </w:r>
      <w:r w:rsidRPr="001D7FA9">
        <w:rPr>
          <w:rStyle w:val="TextoNormalCaracter"/>
        </w:rPr>
        <w:t>-</w:t>
      </w:r>
      <w:r>
        <w:t xml:space="preserve"> Sentencia </w:t>
      </w:r>
      <w:hyperlink w:anchor="SENTENCIA_2025_82" w:history="1">
        <w:r w:rsidRPr="001D7FA9">
          <w:rPr>
            <w:rStyle w:val="TextoNormalCaracter"/>
          </w:rPr>
          <w:t>82/2025</w:t>
        </w:r>
      </w:hyperlink>
      <w:r>
        <w:t>, f. 5.</w:t>
      </w:r>
    </w:p>
    <w:p w14:paraId="7C86CA1A" w14:textId="0F545385" w:rsidR="001D7FA9" w:rsidRDefault="001D7FA9" w:rsidP="001D7FA9">
      <w:pPr>
        <w:pStyle w:val="SangriaFrancesaArticulo"/>
      </w:pPr>
      <w:r w:rsidRPr="001D7FA9">
        <w:rPr>
          <w:rStyle w:val="TextoNormalNegritaCaracter"/>
        </w:rPr>
        <w:t>Artículos 166 apartados 2 a 4, 6.</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18F60061" w14:textId="073A8003" w:rsidR="001D7FA9" w:rsidRDefault="001D7FA9" w:rsidP="001D7FA9">
      <w:pPr>
        <w:pStyle w:val="SangriaFrancesaArticulo"/>
      </w:pPr>
      <w:r w:rsidRPr="001D7FA9">
        <w:rPr>
          <w:rStyle w:val="TextoNormalNegritaCaracter"/>
        </w:rPr>
        <w:t>Artículo 199.</w:t>
      </w:r>
      <w:r w:rsidRPr="001D7FA9">
        <w:rPr>
          <w:rStyle w:val="TextoNormalCaracter"/>
        </w:rPr>
        <w:t>-</w:t>
      </w:r>
      <w:r>
        <w:t xml:space="preserve"> Sentencia </w:t>
      </w:r>
      <w:hyperlink w:anchor="SENTENCIA_2025_82" w:history="1">
        <w:r w:rsidRPr="001D7FA9">
          <w:rPr>
            <w:rStyle w:val="TextoNormalCaracter"/>
          </w:rPr>
          <w:t>82/2025</w:t>
        </w:r>
      </w:hyperlink>
      <w:r>
        <w:t>, f. 5.</w:t>
      </w:r>
    </w:p>
    <w:p w14:paraId="1CC4BB88" w14:textId="40F728DA" w:rsidR="001D7FA9" w:rsidRDefault="001D7FA9" w:rsidP="001D7FA9">
      <w:pPr>
        <w:pStyle w:val="SangriaFrancesaArticulo"/>
      </w:pPr>
      <w:r w:rsidRPr="001D7FA9">
        <w:rPr>
          <w:rStyle w:val="TextoNormalNegritaCaracter"/>
        </w:rPr>
        <w:t>Artículo 203.</w:t>
      </w:r>
      <w:r w:rsidRPr="001D7FA9">
        <w:rPr>
          <w:rStyle w:val="TextoNormalCaracter"/>
        </w:rPr>
        <w:t>-</w:t>
      </w:r>
      <w:r>
        <w:t xml:space="preserve"> Sentencia </w:t>
      </w:r>
      <w:hyperlink w:anchor="SENTENCIA_2025_82" w:history="1">
        <w:r w:rsidRPr="001D7FA9">
          <w:rPr>
            <w:rStyle w:val="TextoNormalCaracter"/>
          </w:rPr>
          <w:t>82/2025</w:t>
        </w:r>
      </w:hyperlink>
      <w:r>
        <w:t>, f. 5.</w:t>
      </w:r>
    </w:p>
    <w:p w14:paraId="37E8983E" w14:textId="19B2FD1C" w:rsidR="001D7FA9" w:rsidRDefault="001D7FA9" w:rsidP="001D7FA9">
      <w:pPr>
        <w:pStyle w:val="SangriaFrancesaArticulo"/>
      </w:pPr>
      <w:r w:rsidRPr="001D7FA9">
        <w:rPr>
          <w:rStyle w:val="TextoNormalNegritaCaracter"/>
        </w:rPr>
        <w:t>Artículo 203 apartados 2 a 4.</w:t>
      </w:r>
      <w:r w:rsidRPr="001D7FA9">
        <w:rPr>
          <w:rStyle w:val="TextoNormalCaracter"/>
        </w:rPr>
        <w:t>-</w:t>
      </w:r>
      <w:r>
        <w:t xml:space="preserve"> Sentencia </w:t>
      </w:r>
      <w:hyperlink w:anchor="SENTENCIA_2025_82" w:history="1">
        <w:r w:rsidRPr="001D7FA9">
          <w:rPr>
            <w:rStyle w:val="TextoNormalCaracter"/>
          </w:rPr>
          <w:t>82/2025</w:t>
        </w:r>
      </w:hyperlink>
      <w:r>
        <w:t>, ff. 1, 2, 5.</w:t>
      </w:r>
    </w:p>
    <w:p w14:paraId="24A6524F" w14:textId="3DAC2947" w:rsidR="001D7FA9" w:rsidRDefault="001D7FA9" w:rsidP="001D7FA9">
      <w:pPr>
        <w:pStyle w:val="SangriaFrancesaArticulo"/>
      </w:pPr>
      <w:r w:rsidRPr="001D7FA9">
        <w:rPr>
          <w:rStyle w:val="TextoNormalNegritaCaracter"/>
        </w:rPr>
        <w:t>Artículo 205.</w:t>
      </w:r>
      <w:r w:rsidRPr="001D7FA9">
        <w:rPr>
          <w:rStyle w:val="TextoNormalCaracter"/>
        </w:rPr>
        <w:t>-</w:t>
      </w:r>
      <w:r>
        <w:t xml:space="preserve"> Sentencia </w:t>
      </w:r>
      <w:hyperlink w:anchor="SENTENCIA_2025_82" w:history="1">
        <w:r w:rsidRPr="001D7FA9">
          <w:rPr>
            <w:rStyle w:val="TextoNormalCaracter"/>
          </w:rPr>
          <w:t>82/2025</w:t>
        </w:r>
      </w:hyperlink>
      <w:r>
        <w:t>, f. 5.</w:t>
      </w:r>
    </w:p>
    <w:p w14:paraId="3589AAF5" w14:textId="12FECCA1" w:rsidR="001D7FA9" w:rsidRDefault="001D7FA9" w:rsidP="001D7FA9">
      <w:pPr>
        <w:pStyle w:val="SangriaFrancesaArticulo"/>
      </w:pPr>
      <w:r w:rsidRPr="001D7FA9">
        <w:rPr>
          <w:rStyle w:val="TextoNormalNegritaCaracter"/>
        </w:rPr>
        <w:t>Artículo 205.1 a).</w:t>
      </w:r>
      <w:r w:rsidRPr="001D7FA9">
        <w:rPr>
          <w:rStyle w:val="TextoNormalCaracter"/>
        </w:rPr>
        <w:t>-</w:t>
      </w:r>
      <w:r>
        <w:t xml:space="preserve"> Sentencia </w:t>
      </w:r>
      <w:hyperlink w:anchor="SENTENCIA_2025_82" w:history="1">
        <w:r w:rsidRPr="001D7FA9">
          <w:rPr>
            <w:rStyle w:val="TextoNormalCaracter"/>
          </w:rPr>
          <w:t>82/2025</w:t>
        </w:r>
      </w:hyperlink>
      <w:r>
        <w:t>, f. 5.</w:t>
      </w:r>
    </w:p>
    <w:p w14:paraId="597ED0DD" w14:textId="3E7E1031" w:rsidR="001D7FA9" w:rsidRDefault="001D7FA9" w:rsidP="001D7FA9">
      <w:pPr>
        <w:pStyle w:val="SangriaFrancesaArticulo"/>
      </w:pPr>
      <w:r w:rsidRPr="001D7FA9">
        <w:rPr>
          <w:rStyle w:val="TextoNormalNegritaCaracter"/>
        </w:rPr>
        <w:t>Artículo 205.1 a) párrafo 1 inciso "con una antelación no inferior a treinta días a la fecha de inicio".</w:t>
      </w:r>
      <w:r w:rsidRPr="001D7FA9">
        <w:rPr>
          <w:rStyle w:val="TextoNormalCaracter"/>
        </w:rPr>
        <w:t>-</w:t>
      </w:r>
      <w:r>
        <w:t xml:space="preserve"> Sentencia </w:t>
      </w:r>
      <w:hyperlink w:anchor="SENTENCIA_2025_82" w:history="1">
        <w:r w:rsidRPr="001D7FA9">
          <w:rPr>
            <w:rStyle w:val="TextoNormalCaracter"/>
          </w:rPr>
          <w:t>82/2025</w:t>
        </w:r>
      </w:hyperlink>
      <w:r>
        <w:t>, f. 5.</w:t>
      </w:r>
    </w:p>
    <w:p w14:paraId="7D4D0C48" w14:textId="44DCBE26" w:rsidR="001D7FA9" w:rsidRDefault="001D7FA9" w:rsidP="001D7FA9">
      <w:pPr>
        <w:pStyle w:val="SangriaFrancesaArticulo"/>
      </w:pPr>
      <w:r w:rsidRPr="001D7FA9">
        <w:rPr>
          <w:rStyle w:val="TextoNormalNegritaCaracter"/>
        </w:rPr>
        <w:t>Artículo 205.1 a) párrafo 2 apartados 1 a 5.</w:t>
      </w:r>
      <w:r w:rsidRPr="001D7FA9">
        <w:rPr>
          <w:rStyle w:val="TextoNormalCaracter"/>
        </w:rPr>
        <w:t>-</w:t>
      </w:r>
      <w:r>
        <w:t xml:space="preserve"> Sentencia </w:t>
      </w:r>
      <w:hyperlink w:anchor="SENTENCIA_2025_82" w:history="1">
        <w:r w:rsidRPr="001D7FA9">
          <w:rPr>
            <w:rStyle w:val="TextoNormalCaracter"/>
          </w:rPr>
          <w:t>82/2025</w:t>
        </w:r>
      </w:hyperlink>
      <w:r>
        <w:t>, f. 5.</w:t>
      </w:r>
    </w:p>
    <w:p w14:paraId="2D3B37CF" w14:textId="02F6BBD2" w:rsidR="001D7FA9" w:rsidRDefault="001D7FA9" w:rsidP="001D7FA9">
      <w:pPr>
        <w:pStyle w:val="SangriaFrancesaArticulo"/>
      </w:pPr>
      <w:r w:rsidRPr="001D7FA9">
        <w:rPr>
          <w:rStyle w:val="TextoNormalNegritaCaracter"/>
        </w:rPr>
        <w:t>Artículo 205.1 apartados a), c).</w:t>
      </w:r>
      <w:r w:rsidRPr="001D7FA9">
        <w:rPr>
          <w:rStyle w:val="TextoNormalCaracter"/>
        </w:rPr>
        <w:t>-</w:t>
      </w:r>
      <w:r>
        <w:t xml:space="preserve"> Sentencia </w:t>
      </w:r>
      <w:hyperlink w:anchor="SENTENCIA_2025_82" w:history="1">
        <w:r w:rsidRPr="001D7FA9">
          <w:rPr>
            <w:rStyle w:val="TextoNormalCaracter"/>
          </w:rPr>
          <w:t>82/2025</w:t>
        </w:r>
      </w:hyperlink>
      <w:r>
        <w:t>, ff. 1, 2, 4, 5.</w:t>
      </w:r>
    </w:p>
    <w:p w14:paraId="4D5B533C" w14:textId="0D9C6978" w:rsidR="001D7FA9" w:rsidRDefault="001D7FA9" w:rsidP="001D7FA9">
      <w:pPr>
        <w:pStyle w:val="SangriaFrancesaArticulo"/>
      </w:pPr>
      <w:r w:rsidRPr="001D7FA9">
        <w:rPr>
          <w:rStyle w:val="TextoNormalNegritaCaracter"/>
        </w:rPr>
        <w:t>Artículo 205.1 c).</w:t>
      </w:r>
      <w:r w:rsidRPr="001D7FA9">
        <w:rPr>
          <w:rStyle w:val="TextoNormalCaracter"/>
        </w:rPr>
        <w:t>-</w:t>
      </w:r>
      <w:r>
        <w:t xml:space="preserve"> Sentencia </w:t>
      </w:r>
      <w:hyperlink w:anchor="SENTENCIA_2025_82" w:history="1">
        <w:r w:rsidRPr="001D7FA9">
          <w:rPr>
            <w:rStyle w:val="TextoNormalCaracter"/>
          </w:rPr>
          <w:t>82/2025</w:t>
        </w:r>
      </w:hyperlink>
      <w:r>
        <w:t>, f. 5.</w:t>
      </w:r>
    </w:p>
    <w:p w14:paraId="478F01CC" w14:textId="1E34C708" w:rsidR="001D7FA9" w:rsidRDefault="001D7FA9" w:rsidP="001D7FA9">
      <w:pPr>
        <w:pStyle w:val="SangriaFrancesaArticulo"/>
      </w:pPr>
      <w:r w:rsidRPr="001D7FA9">
        <w:rPr>
          <w:rStyle w:val="TextoNormalNegritaCaracter"/>
        </w:rPr>
        <w:t>Artículo 205.1 c) inciso "en un plazo no superior a dos meses desde la finalización de la acción formativa".</w:t>
      </w:r>
      <w:r w:rsidRPr="001D7FA9">
        <w:rPr>
          <w:rStyle w:val="TextoNormalCaracter"/>
        </w:rPr>
        <w:t>-</w:t>
      </w:r>
      <w:r>
        <w:t xml:space="preserve"> Sentencia </w:t>
      </w:r>
      <w:hyperlink w:anchor="SENTENCIA_2025_82" w:history="1">
        <w:r w:rsidRPr="001D7FA9">
          <w:rPr>
            <w:rStyle w:val="TextoNormalCaracter"/>
          </w:rPr>
          <w:t>82/2025</w:t>
        </w:r>
      </w:hyperlink>
      <w:r>
        <w:t>, f. 5.</w:t>
      </w:r>
    </w:p>
    <w:p w14:paraId="6592E14C" w14:textId="5C7B95AD" w:rsidR="001D7FA9" w:rsidRDefault="001D7FA9" w:rsidP="001D7FA9">
      <w:pPr>
        <w:pStyle w:val="SangriaFrancesaArticulo"/>
      </w:pPr>
      <w:r w:rsidRPr="001D7FA9">
        <w:rPr>
          <w:rStyle w:val="TextoNormalNegritaCaracter"/>
        </w:rPr>
        <w:t>Artículo 205.2.</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1BE603A5" w14:textId="3C06D0DB" w:rsidR="001D7FA9" w:rsidRDefault="001D7FA9" w:rsidP="001D7FA9">
      <w:pPr>
        <w:pStyle w:val="SangriaFrancesaArticulo"/>
      </w:pPr>
      <w:r w:rsidRPr="001D7FA9">
        <w:rPr>
          <w:rStyle w:val="TextoNormalNegritaCaracter"/>
        </w:rPr>
        <w:t>Disposición final segunda.</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7559AE82" w14:textId="51F0F305" w:rsidR="001D7FA9" w:rsidRDefault="001D7FA9" w:rsidP="001D7FA9">
      <w:pPr>
        <w:pStyle w:val="SangriaFrancesaArticulo"/>
      </w:pPr>
      <w:r w:rsidRPr="001D7FA9">
        <w:rPr>
          <w:rStyle w:val="TextoNormalNegritaCaracter"/>
        </w:rPr>
        <w:t>Disposición final segunda, apartado 7.</w:t>
      </w:r>
      <w:r w:rsidRPr="001D7FA9">
        <w:rPr>
          <w:rStyle w:val="TextoNormalCaracter"/>
        </w:rPr>
        <w:t>-</w:t>
      </w:r>
      <w:r>
        <w:t xml:space="preserve"> Sentencia </w:t>
      </w:r>
      <w:hyperlink w:anchor="SENTENCIA_2025_82" w:history="1">
        <w:r w:rsidRPr="001D7FA9">
          <w:rPr>
            <w:rStyle w:val="TextoNormalCaracter"/>
          </w:rPr>
          <w:t>82/2025</w:t>
        </w:r>
      </w:hyperlink>
      <w:r>
        <w:t>, f. 6.</w:t>
      </w:r>
    </w:p>
    <w:p w14:paraId="29F24DDF" w14:textId="68B3A2B5" w:rsidR="001D7FA9" w:rsidRDefault="001D7FA9" w:rsidP="001D7FA9">
      <w:pPr>
        <w:pStyle w:val="SangriaFrancesaArticulo"/>
      </w:pPr>
      <w:r w:rsidRPr="001D7FA9">
        <w:rPr>
          <w:rStyle w:val="TextoNormalNegritaCaracter"/>
        </w:rPr>
        <w:t>Disposición final segunda, apartado 8.</w:t>
      </w:r>
      <w:r w:rsidRPr="001D7FA9">
        <w:rPr>
          <w:rStyle w:val="TextoNormalCaracter"/>
        </w:rPr>
        <w:t>-</w:t>
      </w:r>
      <w:r>
        <w:t xml:space="preserve"> Sentencia </w:t>
      </w:r>
      <w:hyperlink w:anchor="SENTENCIA_2025_82" w:history="1">
        <w:r w:rsidRPr="001D7FA9">
          <w:rPr>
            <w:rStyle w:val="TextoNormalCaracter"/>
          </w:rPr>
          <w:t>82/2025</w:t>
        </w:r>
      </w:hyperlink>
      <w:r>
        <w:t>, f. 6.</w:t>
      </w:r>
    </w:p>
    <w:p w14:paraId="4C32CA32" w14:textId="39454AC6" w:rsidR="001D7FA9" w:rsidRDefault="001D7FA9" w:rsidP="001D7FA9">
      <w:pPr>
        <w:pStyle w:val="SangriaFrancesaArticulo"/>
      </w:pPr>
      <w:r w:rsidRPr="001D7FA9">
        <w:rPr>
          <w:rStyle w:val="TextoNormalNegritaCaracter"/>
        </w:rPr>
        <w:t>Disposición final sexta.</w:t>
      </w:r>
      <w:r w:rsidRPr="001D7FA9">
        <w:rPr>
          <w:rStyle w:val="TextoNormalCaracter"/>
        </w:rPr>
        <w:t>-</w:t>
      </w:r>
      <w:r>
        <w:t xml:space="preserve"> Sentencia </w:t>
      </w:r>
      <w:hyperlink w:anchor="SENTENCIA_2025_82" w:history="1">
        <w:r w:rsidRPr="001D7FA9">
          <w:rPr>
            <w:rStyle w:val="TextoNormalCaracter"/>
          </w:rPr>
          <w:t>82/2025</w:t>
        </w:r>
      </w:hyperlink>
      <w:r>
        <w:t>, ff. 1, 2, 8.</w:t>
      </w:r>
    </w:p>
    <w:p w14:paraId="7E133AAA" w14:textId="5D40761E" w:rsidR="001D7FA9" w:rsidRDefault="001D7FA9" w:rsidP="001D7FA9">
      <w:pPr>
        <w:pStyle w:val="SangriaFrancesaArticulo"/>
      </w:pPr>
      <w:r w:rsidRPr="001D7FA9">
        <w:rPr>
          <w:rStyle w:val="TextoNormalNegritaCaracter"/>
        </w:rPr>
        <w:t>Anexo IV.</w:t>
      </w:r>
      <w:r w:rsidRPr="001D7FA9">
        <w:rPr>
          <w:rStyle w:val="TextoNormalCaracter"/>
        </w:rPr>
        <w:t>-</w:t>
      </w:r>
      <w:r>
        <w:t xml:space="preserve"> Sentencia </w:t>
      </w:r>
      <w:hyperlink w:anchor="SENTENCIA_2025_82" w:history="1">
        <w:r w:rsidRPr="001D7FA9">
          <w:rPr>
            <w:rStyle w:val="TextoNormalCaracter"/>
          </w:rPr>
          <w:t>82/2025</w:t>
        </w:r>
      </w:hyperlink>
      <w:r>
        <w:t>, ff. 1, 2.</w:t>
      </w:r>
    </w:p>
    <w:p w14:paraId="59B18DB2" w14:textId="3C6906A5" w:rsidR="001D7FA9" w:rsidRDefault="001D7FA9" w:rsidP="001D7FA9">
      <w:pPr>
        <w:pStyle w:val="SangriaFrancesaArticulo"/>
      </w:pPr>
      <w:r w:rsidRPr="001D7FA9">
        <w:rPr>
          <w:rStyle w:val="TextoNormalNegritaCaracter"/>
        </w:rPr>
        <w:t>Anexo XI.</w:t>
      </w:r>
      <w:r w:rsidRPr="001D7FA9">
        <w:rPr>
          <w:rStyle w:val="TextoNormalCaracter"/>
        </w:rPr>
        <w:t>-</w:t>
      </w:r>
      <w:r>
        <w:t xml:space="preserve"> Sentencia </w:t>
      </w:r>
      <w:hyperlink w:anchor="SENTENCIA_2025_82" w:history="1">
        <w:r w:rsidRPr="001D7FA9">
          <w:rPr>
            <w:rStyle w:val="TextoNormalCaracter"/>
          </w:rPr>
          <w:t>82/2025</w:t>
        </w:r>
      </w:hyperlink>
      <w:r>
        <w:t>, ff. 1, 2, 7.</w:t>
      </w:r>
    </w:p>
    <w:p w14:paraId="612609F2" w14:textId="0B58689A" w:rsidR="001D7FA9" w:rsidRDefault="001D7FA9" w:rsidP="001D7FA9">
      <w:pPr>
        <w:pStyle w:val="SangriaFrancesaArticulo"/>
      </w:pPr>
    </w:p>
    <w:p w14:paraId="14F0AF11" w14:textId="77777777" w:rsidR="001D7FA9" w:rsidRDefault="001D7FA9" w:rsidP="001D7FA9">
      <w:pPr>
        <w:pStyle w:val="TextoNormalNegritaCursivandice"/>
        <w:keepNext/>
      </w:pPr>
      <w:r>
        <w:t>Real Decreto 952/2023, de 28 de noviembre, por el que, en ejecución de sentencias, se anula el Real Decreto 417/2022, de 31 de mayo, que promueve a la categoría de fiscal de sala a don Eduardo Esteban Rincón y le nombra fiscal de sala de la Fiscalía de Sala de Menores de la Fiscalía General del Estado, y se dispone su cese</w:t>
      </w:r>
    </w:p>
    <w:p w14:paraId="58ED8061" w14:textId="5C971CB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 w:history="1">
        <w:r w:rsidRPr="001D7FA9">
          <w:rPr>
            <w:rStyle w:val="TextoNormalCaracter"/>
          </w:rPr>
          <w:t>5/2025</w:t>
        </w:r>
      </w:hyperlink>
      <w:r>
        <w:t>, f. único.</w:t>
      </w:r>
    </w:p>
    <w:p w14:paraId="65502CAF" w14:textId="4FCF25E4" w:rsidR="001D7FA9" w:rsidRDefault="001D7FA9" w:rsidP="001D7FA9">
      <w:pPr>
        <w:pStyle w:val="SangriaFrancesaArticulo"/>
      </w:pPr>
    </w:p>
    <w:p w14:paraId="18EE4602" w14:textId="77777777" w:rsidR="001D7FA9" w:rsidRDefault="001D7FA9" w:rsidP="001D7FA9">
      <w:pPr>
        <w:pStyle w:val="TextoNormalNegritaCursivandice"/>
        <w:keepNext/>
      </w:pPr>
      <w:r>
        <w:t>Resolución de 14 de marzo de 2024, de la Secretaría de Estado de Vivienda y Agenta Urbana, por la que se determina el sistema de índices de precios de referencia a los efectos de lo establecido en el artículo 17.7 de la Ley 29/1994, de 24 de noviembre, de arrendamientos urbanos</w:t>
      </w:r>
    </w:p>
    <w:p w14:paraId="2EA352E5" w14:textId="20354AA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6" w:history="1">
        <w:r w:rsidRPr="001D7FA9">
          <w:rPr>
            <w:rStyle w:val="TextoNormalCaracter"/>
          </w:rPr>
          <w:t>26/2025</w:t>
        </w:r>
      </w:hyperlink>
      <w:r>
        <w:t>, f. 5.</w:t>
      </w:r>
    </w:p>
    <w:p w14:paraId="171FC992" w14:textId="3984970B" w:rsidR="001D7FA9" w:rsidRDefault="001D7FA9" w:rsidP="001D7FA9">
      <w:pPr>
        <w:pStyle w:val="SangriaFrancesaArticulo"/>
      </w:pPr>
    </w:p>
    <w:p w14:paraId="787D8FC9" w14:textId="77777777" w:rsidR="001D7FA9" w:rsidRDefault="001D7FA9" w:rsidP="001D7FA9">
      <w:pPr>
        <w:pStyle w:val="TextoNormalNegritaCursivandice"/>
        <w:keepNext/>
      </w:pPr>
      <w:r>
        <w:t>Real Decreto 658/2024, de 9 de julio, por el que se modifican el Real Decreto 132/2010, de 12 de febrero, por el que se establecen los requisitos mínimos de los centros que impartan las enseñanzas del segundo ciclo de la educación infantil, la educación primaria y la educación secundaria, y el Real Decreto 659/2023, de 18 de julio, por el que se desarrolla la ordenación del sistema de formación profesional</w:t>
      </w:r>
    </w:p>
    <w:p w14:paraId="35120214" w14:textId="1180352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 2.</w:t>
      </w:r>
    </w:p>
    <w:p w14:paraId="5C5FBF06" w14:textId="60303945" w:rsidR="001D7FA9" w:rsidRDefault="001D7FA9" w:rsidP="001D7FA9">
      <w:pPr>
        <w:pStyle w:val="TextoNormal"/>
      </w:pPr>
    </w:p>
    <w:p w14:paraId="48286825" w14:textId="77777777" w:rsidR="001D7FA9" w:rsidRDefault="001D7FA9" w:rsidP="001D7FA9">
      <w:pPr>
        <w:pStyle w:val="SangriaFrancesaArticulo"/>
      </w:pPr>
      <w:bookmarkStart w:id="219" w:name="INDICE22850"/>
    </w:p>
    <w:bookmarkEnd w:id="219"/>
    <w:p w14:paraId="371091B1" w14:textId="77777777" w:rsidR="001D7FA9" w:rsidRDefault="001D7FA9" w:rsidP="001D7FA9">
      <w:pPr>
        <w:pStyle w:val="TextoIndiceNivel2"/>
        <w:suppressAutoHyphens/>
      </w:pPr>
      <w:r>
        <w:t>I) Legislación preconstitucional</w:t>
      </w:r>
    </w:p>
    <w:p w14:paraId="51887E73" w14:textId="7C67D984" w:rsidR="001D7FA9" w:rsidRDefault="001D7FA9" w:rsidP="001D7FA9">
      <w:pPr>
        <w:pStyle w:val="TextoIndiceNivel2"/>
      </w:pPr>
    </w:p>
    <w:p w14:paraId="0196F93A" w14:textId="77777777" w:rsidR="001D7FA9" w:rsidRDefault="001D7FA9" w:rsidP="001D7FA9">
      <w:pPr>
        <w:pStyle w:val="TextoNormalNegritaCursivandice"/>
        <w:keepNext/>
      </w:pPr>
      <w:r>
        <w:t>Real Decreto de 9 de marzo de 1829, organizando el Cuerpo de Carabineros de Costas y Fronteras para impedir el contrabando</w:t>
      </w:r>
    </w:p>
    <w:p w14:paraId="76361B8E" w14:textId="2B88996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1C3A34BB" w14:textId="0005B67A" w:rsidR="001D7FA9" w:rsidRDefault="001D7FA9" w:rsidP="001D7FA9">
      <w:pPr>
        <w:pStyle w:val="SangriaFrancesaArticulo"/>
      </w:pPr>
    </w:p>
    <w:p w14:paraId="29EC4D9B" w14:textId="77777777" w:rsidR="001D7FA9" w:rsidRDefault="001D7FA9" w:rsidP="001D7FA9">
      <w:pPr>
        <w:pStyle w:val="TextoNormalNegritaCursivandice"/>
        <w:keepNext/>
      </w:pPr>
      <w:r>
        <w:t>Real Decreto de 25 de noviembre de 1834, del Cuerpo de Carabineros de la Real Hacienda</w:t>
      </w:r>
    </w:p>
    <w:p w14:paraId="0AC3205E" w14:textId="0DA02EF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23CF44C1" w14:textId="618D74B5" w:rsidR="001D7FA9" w:rsidRDefault="001D7FA9" w:rsidP="001D7FA9">
      <w:pPr>
        <w:pStyle w:val="SangriaFrancesaArticulo"/>
      </w:pPr>
    </w:p>
    <w:p w14:paraId="383A31A7" w14:textId="77777777" w:rsidR="001D7FA9" w:rsidRDefault="001D7FA9" w:rsidP="001D7FA9">
      <w:pPr>
        <w:pStyle w:val="TextoNormalNegritaCursivandice"/>
        <w:keepNext/>
      </w:pPr>
      <w:r>
        <w:t>Ley de 18 de junio de 1870 estableciendo reglas para el ejercicio de la gracia de indulto</w:t>
      </w:r>
    </w:p>
    <w:p w14:paraId="0FA797A4" w14:textId="287C497C" w:rsidR="001D7FA9" w:rsidRDefault="001D7FA9" w:rsidP="001D7FA9">
      <w:pPr>
        <w:pStyle w:val="SangriaFrancesaArticulo"/>
      </w:pPr>
      <w:r w:rsidRPr="001D7FA9">
        <w:rPr>
          <w:rStyle w:val="TextoNormalNegritaCaracter"/>
        </w:rPr>
        <w:t>Artículo 24.</w:t>
      </w:r>
      <w:r w:rsidRPr="001D7FA9">
        <w:rPr>
          <w:rStyle w:val="TextoNormalCaracter"/>
        </w:rPr>
        <w:t>-</w:t>
      </w:r>
      <w:r>
        <w:t xml:space="preserve"> Sentencia </w:t>
      </w:r>
      <w:hyperlink w:anchor="SENTENCIA_2025_137" w:history="1">
        <w:r w:rsidRPr="001D7FA9">
          <w:rPr>
            <w:rStyle w:val="TextoNormalCaracter"/>
          </w:rPr>
          <w:t>137/2025</w:t>
        </w:r>
      </w:hyperlink>
      <w:r>
        <w:t>, f. 20.</w:t>
      </w:r>
    </w:p>
    <w:p w14:paraId="4195CAAF" w14:textId="2A8D73FE" w:rsidR="001D7FA9" w:rsidRDefault="001D7FA9" w:rsidP="001D7FA9">
      <w:pPr>
        <w:pStyle w:val="SangriaFrancesaArticulo"/>
      </w:pPr>
    </w:p>
    <w:p w14:paraId="1A46F835" w14:textId="77777777" w:rsidR="001D7FA9" w:rsidRDefault="001D7FA9" w:rsidP="001D7FA9">
      <w:pPr>
        <w:pStyle w:val="TextoNormalNegritaCursivandice"/>
        <w:keepNext/>
      </w:pPr>
      <w:r>
        <w:t>Ley provisional de 15 de septiembre de 1870, sobre organización del Poder judicial</w:t>
      </w:r>
    </w:p>
    <w:p w14:paraId="6FBD81A1" w14:textId="44C381F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 w:history="1">
        <w:r w:rsidRPr="001D7FA9">
          <w:rPr>
            <w:rStyle w:val="TextoNormalCaracter"/>
          </w:rPr>
          <w:t>12/2025</w:t>
        </w:r>
      </w:hyperlink>
      <w:r>
        <w:t>, f. 3.</w:t>
      </w:r>
    </w:p>
    <w:p w14:paraId="10BA24A5" w14:textId="501C7B92" w:rsidR="001D7FA9" w:rsidRDefault="001D7FA9" w:rsidP="001D7FA9">
      <w:pPr>
        <w:pStyle w:val="SangriaFrancesaArticulo"/>
      </w:pPr>
    </w:p>
    <w:p w14:paraId="3876F628" w14:textId="77777777" w:rsidR="001D7FA9" w:rsidRDefault="001D7FA9" w:rsidP="001D7FA9">
      <w:pPr>
        <w:pStyle w:val="TextoNormalNegritaCursivandice"/>
        <w:keepNext/>
      </w:pPr>
      <w:r>
        <w:t>Real Decreto de 14 de septiembre de 1882, por el que se aprueba la Ley de enjuiciamiento criminal</w:t>
      </w:r>
    </w:p>
    <w:p w14:paraId="66C3403A" w14:textId="31FF37A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110" w:history="1">
        <w:r w:rsidRPr="001D7FA9">
          <w:rPr>
            <w:rStyle w:val="TextoNormalCaracter"/>
          </w:rPr>
          <w:t>110/2025</w:t>
        </w:r>
      </w:hyperlink>
      <w:r>
        <w:t xml:space="preserve">, VP I; </w:t>
      </w:r>
      <w:hyperlink w:anchor="SENTENCIA_2025_126" w:history="1">
        <w:r w:rsidRPr="001D7FA9">
          <w:rPr>
            <w:rStyle w:val="TextoNormalCaracter"/>
          </w:rPr>
          <w:t>126/2025</w:t>
        </w:r>
      </w:hyperlink>
      <w:r>
        <w:t xml:space="preserve">, f. 6; </w:t>
      </w:r>
      <w:hyperlink w:anchor="SENTENCIA_2025_137" w:history="1">
        <w:r w:rsidRPr="001D7FA9">
          <w:rPr>
            <w:rStyle w:val="TextoNormalCaracter"/>
          </w:rPr>
          <w:t>137/2025</w:t>
        </w:r>
      </w:hyperlink>
      <w:r>
        <w:t>, VP I, VP II.</w:t>
      </w:r>
    </w:p>
    <w:p w14:paraId="4CF1209B" w14:textId="6E5878D0" w:rsidR="001D7FA9" w:rsidRDefault="001D7FA9" w:rsidP="001D7FA9">
      <w:pPr>
        <w:pStyle w:val="SangriaFrancesaArticulo"/>
      </w:pPr>
      <w:r w:rsidRPr="001D7FA9">
        <w:rPr>
          <w:rStyle w:val="TextoNormalNegritaCaracter"/>
        </w:rPr>
        <w:t>En general</w:t>
      </w:r>
      <w:r>
        <w:t xml:space="preserve"> (redactada por la Ley Orgánica 13/2015, de 5 de octubre)</w:t>
      </w:r>
      <w:r w:rsidRPr="001D7FA9">
        <w:rPr>
          <w:rStyle w:val="TextoNormalNegritaCaracter"/>
        </w:rPr>
        <w:t>.</w:t>
      </w:r>
      <w:r w:rsidRPr="001D7FA9">
        <w:rPr>
          <w:rStyle w:val="TextoNormalCaracter"/>
        </w:rPr>
        <w:t>-</w:t>
      </w:r>
      <w:r>
        <w:t xml:space="preserve"> Auto </w:t>
      </w:r>
      <w:hyperlink w:anchor="AUTO_2025_28" w:history="1">
        <w:r w:rsidRPr="001D7FA9">
          <w:rPr>
            <w:rStyle w:val="TextoNormalCaracter"/>
          </w:rPr>
          <w:t>28/2025</w:t>
        </w:r>
      </w:hyperlink>
      <w:r>
        <w:t>, ff. 2, 4.</w:t>
      </w:r>
    </w:p>
    <w:p w14:paraId="36761849" w14:textId="652E5BDB" w:rsidR="001D7FA9" w:rsidRDefault="001D7FA9" w:rsidP="001D7FA9">
      <w:pPr>
        <w:pStyle w:val="SangriaFrancesaArticulo"/>
      </w:pPr>
      <w:r w:rsidRPr="001D7FA9">
        <w:rPr>
          <w:rStyle w:val="TextoNormalNegritaCaracter"/>
        </w:rPr>
        <w:t>Libro III, título II.</w:t>
      </w:r>
      <w:r w:rsidRPr="001D7FA9">
        <w:rPr>
          <w:rStyle w:val="TextoNormalCaracter"/>
        </w:rPr>
        <w:t>-</w:t>
      </w:r>
      <w:r>
        <w:t xml:space="preserve"> Sentencia </w:t>
      </w:r>
      <w:hyperlink w:anchor="SENTENCIA_2025_137" w:history="1">
        <w:r w:rsidRPr="001D7FA9">
          <w:rPr>
            <w:rStyle w:val="TextoNormalCaracter"/>
          </w:rPr>
          <w:t>137/2025</w:t>
        </w:r>
      </w:hyperlink>
      <w:r>
        <w:t>, f. 19.</w:t>
      </w:r>
    </w:p>
    <w:p w14:paraId="11F623EE" w14:textId="5EA26DCD"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41" w:history="1">
        <w:r w:rsidRPr="001D7FA9">
          <w:rPr>
            <w:rStyle w:val="TextoNormalCaracter"/>
          </w:rPr>
          <w:t>41/2025</w:t>
        </w:r>
      </w:hyperlink>
      <w:r>
        <w:t>, VP.</w:t>
      </w:r>
    </w:p>
    <w:p w14:paraId="6FFF52BE" w14:textId="482C933E" w:rsidR="001D7FA9" w:rsidRDefault="001D7FA9" w:rsidP="001D7FA9">
      <w:pPr>
        <w:pStyle w:val="SangriaFrancesaArticulo"/>
      </w:pPr>
      <w:r w:rsidRPr="001D7FA9">
        <w:rPr>
          <w:rStyle w:val="TextoNormalNegritaCaracter"/>
        </w:rPr>
        <w:t>Artículo 100 y ss..</w:t>
      </w:r>
      <w:r w:rsidRPr="001D7FA9">
        <w:rPr>
          <w:rStyle w:val="TextoNormalCaracter"/>
        </w:rPr>
        <w:t>-</w:t>
      </w:r>
      <w:r>
        <w:t xml:space="preserve"> Sentencia </w:t>
      </w:r>
      <w:hyperlink w:anchor="SENTENCIA_2025_137" w:history="1">
        <w:r w:rsidRPr="001D7FA9">
          <w:rPr>
            <w:rStyle w:val="TextoNormalCaracter"/>
          </w:rPr>
          <w:t>137/2025</w:t>
        </w:r>
      </w:hyperlink>
      <w:r>
        <w:t>, f. 17.</w:t>
      </w:r>
    </w:p>
    <w:p w14:paraId="6891F7BC" w14:textId="2457BEBB" w:rsidR="001D7FA9" w:rsidRDefault="001D7FA9" w:rsidP="001D7FA9">
      <w:pPr>
        <w:pStyle w:val="SangriaFrancesaArticulo"/>
      </w:pPr>
      <w:r w:rsidRPr="001D7FA9">
        <w:rPr>
          <w:rStyle w:val="TextoNormalNegritaCaracter"/>
        </w:rPr>
        <w:t>Artículo 109 bis.</w:t>
      </w:r>
      <w:r w:rsidRPr="001D7FA9">
        <w:rPr>
          <w:rStyle w:val="TextoNormalCaracter"/>
        </w:rPr>
        <w:t>-</w:t>
      </w:r>
      <w:r>
        <w:t xml:space="preserve"> Sentencia </w:t>
      </w:r>
      <w:hyperlink w:anchor="SENTENCIA_2025_126" w:history="1">
        <w:r w:rsidRPr="001D7FA9">
          <w:rPr>
            <w:rStyle w:val="TextoNormalCaracter"/>
          </w:rPr>
          <w:t>126/2025</w:t>
        </w:r>
      </w:hyperlink>
      <w:r>
        <w:t>, f. 6.</w:t>
      </w:r>
    </w:p>
    <w:p w14:paraId="368FC993" w14:textId="0425D309" w:rsidR="001D7FA9" w:rsidRDefault="001D7FA9" w:rsidP="001D7FA9">
      <w:pPr>
        <w:pStyle w:val="SangriaFrancesaArticulo"/>
      </w:pPr>
      <w:r w:rsidRPr="001D7FA9">
        <w:rPr>
          <w:rStyle w:val="TextoNormalNegritaCaracter"/>
        </w:rPr>
        <w:t>Artículo 109 bis 1.</w:t>
      </w:r>
      <w:r w:rsidRPr="001D7FA9">
        <w:rPr>
          <w:rStyle w:val="TextoNormalCaracter"/>
        </w:rPr>
        <w:t>-</w:t>
      </w:r>
      <w:r>
        <w:t xml:space="preserve"> Sentencia </w:t>
      </w:r>
      <w:hyperlink w:anchor="SENTENCIA_2025_126" w:history="1">
        <w:r w:rsidRPr="001D7FA9">
          <w:rPr>
            <w:rStyle w:val="TextoNormalCaracter"/>
          </w:rPr>
          <w:t>126/2025</w:t>
        </w:r>
      </w:hyperlink>
      <w:r>
        <w:t>, f. 6.</w:t>
      </w:r>
    </w:p>
    <w:p w14:paraId="2148A3B7" w14:textId="3A930C55" w:rsidR="001D7FA9" w:rsidRDefault="001D7FA9" w:rsidP="001D7FA9">
      <w:pPr>
        <w:pStyle w:val="SangriaFrancesaArticulo"/>
      </w:pPr>
      <w:r w:rsidRPr="001D7FA9">
        <w:rPr>
          <w:rStyle w:val="TextoNormalNegritaCaracter"/>
        </w:rPr>
        <w:t>Artículo 109 bis 3.</w:t>
      </w:r>
      <w:r w:rsidRPr="001D7FA9">
        <w:rPr>
          <w:rStyle w:val="TextoNormalCaracter"/>
        </w:rPr>
        <w:t>-</w:t>
      </w:r>
      <w:r>
        <w:t xml:space="preserve"> Sentencia </w:t>
      </w:r>
      <w:hyperlink w:anchor="SENTENCIA_2025_96" w:history="1">
        <w:r w:rsidRPr="001D7FA9">
          <w:rPr>
            <w:rStyle w:val="TextoNormalCaracter"/>
          </w:rPr>
          <w:t>96/2025</w:t>
        </w:r>
      </w:hyperlink>
      <w:r>
        <w:t>, f. 3, VP.</w:t>
      </w:r>
    </w:p>
    <w:p w14:paraId="337698D4" w14:textId="2423966D" w:rsidR="001D7FA9" w:rsidRDefault="001D7FA9" w:rsidP="001D7FA9">
      <w:pPr>
        <w:pStyle w:val="SangriaFrancesaArticulo"/>
      </w:pPr>
      <w:r w:rsidRPr="001D7FA9">
        <w:rPr>
          <w:rStyle w:val="TextoNormalNegritaCaracter"/>
        </w:rPr>
        <w:t>Artículo 116.</w:t>
      </w:r>
      <w:r w:rsidRPr="001D7FA9">
        <w:rPr>
          <w:rStyle w:val="TextoNormalCaracter"/>
        </w:rPr>
        <w:t>-</w:t>
      </w:r>
      <w:r>
        <w:t xml:space="preserve"> Sentencia </w:t>
      </w:r>
      <w:hyperlink w:anchor="SENTENCIA_2025_137" w:history="1">
        <w:r w:rsidRPr="001D7FA9">
          <w:rPr>
            <w:rStyle w:val="TextoNormalCaracter"/>
          </w:rPr>
          <w:t>137/2025</w:t>
        </w:r>
      </w:hyperlink>
      <w:r>
        <w:t>, f. 17.</w:t>
      </w:r>
    </w:p>
    <w:p w14:paraId="2C1219D0" w14:textId="59AFF165" w:rsidR="001D7FA9" w:rsidRDefault="001D7FA9" w:rsidP="001D7FA9">
      <w:pPr>
        <w:pStyle w:val="SangriaFrancesaArticulo"/>
      </w:pPr>
      <w:r w:rsidRPr="001D7FA9">
        <w:rPr>
          <w:rStyle w:val="TextoNormalNegritaCaracter"/>
        </w:rPr>
        <w:t>Artículo 236.</w:t>
      </w:r>
      <w:r w:rsidRPr="001D7FA9">
        <w:rPr>
          <w:rStyle w:val="TextoNormalCaracter"/>
        </w:rPr>
        <w:t>-</w:t>
      </w:r>
      <w:r>
        <w:t xml:space="preserve"> Sentencias </w:t>
      </w:r>
      <w:hyperlink w:anchor="SENTENCIA_2025_105" w:history="1">
        <w:r w:rsidRPr="001D7FA9">
          <w:rPr>
            <w:rStyle w:val="TextoNormalCaracter"/>
          </w:rPr>
          <w:t>105/2025</w:t>
        </w:r>
      </w:hyperlink>
      <w:r>
        <w:t xml:space="preserve">, f. 2, VP II; </w:t>
      </w:r>
      <w:hyperlink w:anchor="SENTENCIA_2025_110" w:history="1">
        <w:r w:rsidRPr="001D7FA9">
          <w:rPr>
            <w:rStyle w:val="TextoNormalCaracter"/>
          </w:rPr>
          <w:t>110/2025</w:t>
        </w:r>
      </w:hyperlink>
      <w:r>
        <w:t>, VP I.</w:t>
      </w:r>
    </w:p>
    <w:p w14:paraId="05322CEB" w14:textId="6C573014" w:rsidR="001D7FA9" w:rsidRDefault="001D7FA9" w:rsidP="001D7FA9">
      <w:pPr>
        <w:pStyle w:val="SangriaFrancesaArticulo"/>
      </w:pPr>
      <w:r w:rsidRPr="001D7FA9">
        <w:rPr>
          <w:rStyle w:val="TextoNormalNegritaCaracter"/>
        </w:rPr>
        <w:t>Artículo 238 bis, último párrafo</w:t>
      </w:r>
      <w:r>
        <w:t xml:space="preserve"> (redactado por la Ley 13/2009, de 3 de noviembre)</w:t>
      </w:r>
      <w:r w:rsidRPr="001D7FA9">
        <w:rPr>
          <w:rStyle w:val="TextoNormalNegritaCaracter"/>
        </w:rPr>
        <w:t>.</w:t>
      </w:r>
      <w:r w:rsidRPr="001D7FA9">
        <w:rPr>
          <w:rStyle w:val="TextoNormalCaracter"/>
        </w:rPr>
        <w:t>-</w:t>
      </w:r>
      <w:r>
        <w:t xml:space="preserve"> Sentencia </w:t>
      </w:r>
      <w:hyperlink w:anchor="SENTENCIA_2025_12" w:history="1">
        <w:r w:rsidRPr="001D7FA9">
          <w:rPr>
            <w:rStyle w:val="TextoNormalCaracter"/>
          </w:rPr>
          <w:t>12/2025</w:t>
        </w:r>
      </w:hyperlink>
      <w:r>
        <w:t>, VP I.</w:t>
      </w:r>
    </w:p>
    <w:p w14:paraId="47919291" w14:textId="2B969107" w:rsidR="001D7FA9" w:rsidRDefault="001D7FA9" w:rsidP="001D7FA9">
      <w:pPr>
        <w:pStyle w:val="SangriaFrancesaArticulo"/>
      </w:pPr>
      <w:r w:rsidRPr="001D7FA9">
        <w:rPr>
          <w:rStyle w:val="TextoNormalNegritaCaracter"/>
        </w:rPr>
        <w:t>Artículo 261.3.</w:t>
      </w:r>
      <w:r w:rsidRPr="001D7FA9">
        <w:rPr>
          <w:rStyle w:val="TextoNormalCaracter"/>
        </w:rPr>
        <w:t>-</w:t>
      </w:r>
      <w:r>
        <w:t xml:space="preserve"> Sentencia </w:t>
      </w:r>
      <w:hyperlink w:anchor="SENTENCIA_2025_41" w:history="1">
        <w:r w:rsidRPr="001D7FA9">
          <w:rPr>
            <w:rStyle w:val="TextoNormalCaracter"/>
          </w:rPr>
          <w:t>41/2025</w:t>
        </w:r>
      </w:hyperlink>
      <w:r>
        <w:t>, VP.</w:t>
      </w:r>
    </w:p>
    <w:p w14:paraId="566FEAD6" w14:textId="3754EAB5" w:rsidR="001D7FA9" w:rsidRDefault="001D7FA9" w:rsidP="001D7FA9">
      <w:pPr>
        <w:pStyle w:val="SangriaFrancesaArticulo"/>
      </w:pPr>
      <w:r w:rsidRPr="001D7FA9">
        <w:rPr>
          <w:rStyle w:val="TextoNormalNegritaCaracter"/>
        </w:rPr>
        <w:t>Artículo 283.</w:t>
      </w:r>
      <w:r w:rsidRPr="001D7FA9">
        <w:rPr>
          <w:rStyle w:val="TextoNormalCaracter"/>
        </w:rPr>
        <w:t>-</w:t>
      </w:r>
      <w:r>
        <w:t xml:space="preserve"> Auto </w:t>
      </w:r>
      <w:hyperlink w:anchor="AUTO_2025_8" w:history="1">
        <w:r w:rsidRPr="001D7FA9">
          <w:rPr>
            <w:rStyle w:val="TextoNormalCaracter"/>
          </w:rPr>
          <w:t>8/2025</w:t>
        </w:r>
      </w:hyperlink>
      <w:r>
        <w:t>, VP.</w:t>
      </w:r>
    </w:p>
    <w:p w14:paraId="56DA3513" w14:textId="175B1099" w:rsidR="001D7FA9" w:rsidRDefault="001D7FA9" w:rsidP="001D7FA9">
      <w:pPr>
        <w:pStyle w:val="SangriaFrancesaArticulo"/>
      </w:pPr>
      <w:r w:rsidRPr="001D7FA9">
        <w:rPr>
          <w:rStyle w:val="TextoNormalNegritaCaracter"/>
        </w:rPr>
        <w:t>Artículo 283.1.</w:t>
      </w:r>
      <w:r w:rsidRPr="001D7FA9">
        <w:rPr>
          <w:rStyle w:val="TextoNormalCaracter"/>
        </w:rPr>
        <w:t>-</w:t>
      </w:r>
      <w:r>
        <w:t xml:space="preserve"> Auto </w:t>
      </w:r>
      <w:hyperlink w:anchor="AUTO_2025_8" w:history="1">
        <w:r w:rsidRPr="001D7FA9">
          <w:rPr>
            <w:rStyle w:val="TextoNormalCaracter"/>
          </w:rPr>
          <w:t>8/2025</w:t>
        </w:r>
      </w:hyperlink>
      <w:r>
        <w:t>, VP.</w:t>
      </w:r>
    </w:p>
    <w:p w14:paraId="3DD2E5BE" w14:textId="4A9456FD" w:rsidR="001D7FA9" w:rsidRDefault="001D7FA9" w:rsidP="001D7FA9">
      <w:pPr>
        <w:pStyle w:val="SangriaFrancesaArticulo"/>
      </w:pPr>
      <w:r w:rsidRPr="001D7FA9">
        <w:rPr>
          <w:rStyle w:val="TextoNormalNegritaCaracter"/>
        </w:rPr>
        <w:t>Artículo 297.</w:t>
      </w:r>
      <w:r w:rsidRPr="001D7FA9">
        <w:rPr>
          <w:rStyle w:val="TextoNormalCaracter"/>
        </w:rPr>
        <w:t>-</w:t>
      </w:r>
      <w:r>
        <w:t xml:space="preserve"> Sentencia </w:t>
      </w:r>
      <w:hyperlink w:anchor="SENTENCIA_2025_54" w:history="1">
        <w:r w:rsidRPr="001D7FA9">
          <w:rPr>
            <w:rStyle w:val="TextoNormalCaracter"/>
          </w:rPr>
          <w:t>54/2025</w:t>
        </w:r>
      </w:hyperlink>
      <w:r>
        <w:t>, VP.</w:t>
      </w:r>
    </w:p>
    <w:p w14:paraId="1F647AAD" w14:textId="63E49B59" w:rsidR="001D7FA9" w:rsidRDefault="001D7FA9" w:rsidP="001D7FA9">
      <w:pPr>
        <w:pStyle w:val="SangriaFrancesaArticulo"/>
      </w:pPr>
      <w:r w:rsidRPr="001D7FA9">
        <w:rPr>
          <w:rStyle w:val="TextoNormalNegritaCaracter"/>
        </w:rPr>
        <w:t>Artículo 324.</w:t>
      </w:r>
      <w:r w:rsidRPr="001D7FA9">
        <w:rPr>
          <w:rStyle w:val="TextoNormalCaracter"/>
        </w:rPr>
        <w:t>-</w:t>
      </w:r>
      <w:r>
        <w:t xml:space="preserve"> Sentencia </w:t>
      </w:r>
      <w:hyperlink w:anchor="SENTENCIA_2025_126" w:history="1">
        <w:r w:rsidRPr="001D7FA9">
          <w:rPr>
            <w:rStyle w:val="TextoNormalCaracter"/>
          </w:rPr>
          <w:t>126/2025</w:t>
        </w:r>
      </w:hyperlink>
      <w:r>
        <w:t>, f. 9.</w:t>
      </w:r>
    </w:p>
    <w:p w14:paraId="16811038" w14:textId="45819E43" w:rsidR="001D7FA9" w:rsidRDefault="001D7FA9" w:rsidP="001D7FA9">
      <w:pPr>
        <w:pStyle w:val="SangriaFrancesaArticulo"/>
      </w:pPr>
      <w:r w:rsidRPr="001D7FA9">
        <w:rPr>
          <w:rStyle w:val="TextoNormalNegritaCaracter"/>
        </w:rPr>
        <w:t>Artículo 410.</w:t>
      </w:r>
      <w:r w:rsidRPr="001D7FA9">
        <w:rPr>
          <w:rStyle w:val="TextoNormalCaracter"/>
        </w:rPr>
        <w:t>-</w:t>
      </w:r>
      <w:r>
        <w:t xml:space="preserve"> Sentencia </w:t>
      </w:r>
      <w:hyperlink w:anchor="SENTENCIA_2025_41" w:history="1">
        <w:r w:rsidRPr="001D7FA9">
          <w:rPr>
            <w:rStyle w:val="TextoNormalCaracter"/>
          </w:rPr>
          <w:t>41/2025</w:t>
        </w:r>
      </w:hyperlink>
      <w:r>
        <w:t>, f. 2.</w:t>
      </w:r>
    </w:p>
    <w:p w14:paraId="28765747" w14:textId="43B82399" w:rsidR="001D7FA9" w:rsidRDefault="001D7FA9" w:rsidP="001D7FA9">
      <w:pPr>
        <w:pStyle w:val="SangriaFrancesaArticulo"/>
      </w:pPr>
      <w:r w:rsidRPr="001D7FA9">
        <w:rPr>
          <w:rStyle w:val="TextoNormalNegritaCaracter"/>
        </w:rPr>
        <w:t>Artículo 416.</w:t>
      </w:r>
      <w:r w:rsidRPr="001D7FA9">
        <w:rPr>
          <w:rStyle w:val="TextoNormalCaracter"/>
        </w:rPr>
        <w:t>-</w:t>
      </w:r>
      <w:r>
        <w:t xml:space="preserve"> Sentencia </w:t>
      </w:r>
      <w:hyperlink w:anchor="SENTENCIA_2025_41" w:history="1">
        <w:r w:rsidRPr="001D7FA9">
          <w:rPr>
            <w:rStyle w:val="TextoNormalCaracter"/>
          </w:rPr>
          <w:t>41/2025</w:t>
        </w:r>
      </w:hyperlink>
      <w:r>
        <w:t>, ff. 1, 2, VP.</w:t>
      </w:r>
    </w:p>
    <w:p w14:paraId="1BB3AE89" w14:textId="36293A1D" w:rsidR="001D7FA9" w:rsidRDefault="001D7FA9" w:rsidP="001D7FA9">
      <w:pPr>
        <w:pStyle w:val="SangriaFrancesaArticulo"/>
      </w:pPr>
      <w:r w:rsidRPr="001D7FA9">
        <w:rPr>
          <w:rStyle w:val="TextoNormalNegritaCaracter"/>
        </w:rPr>
        <w:t>Artículo 416.1.</w:t>
      </w:r>
      <w:r w:rsidRPr="001D7FA9">
        <w:rPr>
          <w:rStyle w:val="TextoNormalCaracter"/>
        </w:rPr>
        <w:t>-</w:t>
      </w:r>
      <w:r>
        <w:t xml:space="preserve"> Sentencia </w:t>
      </w:r>
      <w:hyperlink w:anchor="SENTENCIA_2025_41" w:history="1">
        <w:r w:rsidRPr="001D7FA9">
          <w:rPr>
            <w:rStyle w:val="TextoNormalCaracter"/>
          </w:rPr>
          <w:t>41/2025</w:t>
        </w:r>
      </w:hyperlink>
      <w:r>
        <w:t>, VP.</w:t>
      </w:r>
    </w:p>
    <w:p w14:paraId="6E997AC3" w14:textId="5447438D" w:rsidR="001D7FA9" w:rsidRDefault="001D7FA9" w:rsidP="001D7FA9">
      <w:pPr>
        <w:pStyle w:val="SangriaFrancesaArticulo"/>
      </w:pPr>
      <w:r w:rsidRPr="001D7FA9">
        <w:rPr>
          <w:rStyle w:val="TextoNormalNegritaCaracter"/>
        </w:rPr>
        <w:t>Artículo 416.1</w:t>
      </w:r>
      <w:r>
        <w:t xml:space="preserve"> (redactado por la Ley Orgánica 8/2021, de 4 de junio)</w:t>
      </w:r>
      <w:r w:rsidRPr="001D7FA9">
        <w:rPr>
          <w:rStyle w:val="TextoNormalNegritaCaracter"/>
        </w:rPr>
        <w:t>.</w:t>
      </w:r>
      <w:r w:rsidRPr="001D7FA9">
        <w:rPr>
          <w:rStyle w:val="TextoNormalCaracter"/>
        </w:rPr>
        <w:t>-</w:t>
      </w:r>
      <w:r>
        <w:t xml:space="preserve"> Sentencia </w:t>
      </w:r>
      <w:hyperlink w:anchor="SENTENCIA_2025_41" w:history="1">
        <w:r w:rsidRPr="001D7FA9">
          <w:rPr>
            <w:rStyle w:val="TextoNormalCaracter"/>
          </w:rPr>
          <w:t>41/2025</w:t>
        </w:r>
      </w:hyperlink>
      <w:r>
        <w:t>, VP.</w:t>
      </w:r>
    </w:p>
    <w:p w14:paraId="6772BC11" w14:textId="717F6185" w:rsidR="001D7FA9" w:rsidRDefault="001D7FA9" w:rsidP="001D7FA9">
      <w:pPr>
        <w:pStyle w:val="SangriaFrancesaArticulo"/>
      </w:pPr>
      <w:r w:rsidRPr="001D7FA9">
        <w:rPr>
          <w:rStyle w:val="TextoNormalNegritaCaracter"/>
        </w:rPr>
        <w:t>Artículos 416 a 418.</w:t>
      </w:r>
      <w:r w:rsidRPr="001D7FA9">
        <w:rPr>
          <w:rStyle w:val="TextoNormalCaracter"/>
        </w:rPr>
        <w:t>-</w:t>
      </w:r>
      <w:r>
        <w:t xml:space="preserve"> Sentencia </w:t>
      </w:r>
      <w:hyperlink w:anchor="SENTENCIA_2025_41" w:history="1">
        <w:r w:rsidRPr="001D7FA9">
          <w:rPr>
            <w:rStyle w:val="TextoNormalCaracter"/>
          </w:rPr>
          <w:t>41/2025</w:t>
        </w:r>
      </w:hyperlink>
      <w:r>
        <w:t>, VP.</w:t>
      </w:r>
    </w:p>
    <w:p w14:paraId="37EEF898" w14:textId="56E87E95" w:rsidR="001D7FA9" w:rsidRDefault="001D7FA9" w:rsidP="001D7FA9">
      <w:pPr>
        <w:pStyle w:val="SangriaFrancesaArticulo"/>
      </w:pPr>
      <w:r w:rsidRPr="001D7FA9">
        <w:rPr>
          <w:rStyle w:val="TextoNormalNegritaCaracter"/>
        </w:rPr>
        <w:t>Artículo 418.</w:t>
      </w:r>
      <w:r w:rsidRPr="001D7FA9">
        <w:rPr>
          <w:rStyle w:val="TextoNormalCaracter"/>
        </w:rPr>
        <w:t>-</w:t>
      </w:r>
      <w:r>
        <w:t xml:space="preserve"> Sentencia </w:t>
      </w:r>
      <w:hyperlink w:anchor="SENTENCIA_2025_41" w:history="1">
        <w:r w:rsidRPr="001D7FA9">
          <w:rPr>
            <w:rStyle w:val="TextoNormalCaracter"/>
          </w:rPr>
          <w:t>41/2025</w:t>
        </w:r>
      </w:hyperlink>
      <w:r>
        <w:t>, VP.</w:t>
      </w:r>
    </w:p>
    <w:p w14:paraId="16578EDB" w14:textId="14A4BE98" w:rsidR="001D7FA9" w:rsidRDefault="001D7FA9" w:rsidP="001D7FA9">
      <w:pPr>
        <w:pStyle w:val="SangriaFrancesaArticulo"/>
      </w:pPr>
      <w:r w:rsidRPr="001D7FA9">
        <w:rPr>
          <w:rStyle w:val="TextoNormalNegritaCaracter"/>
        </w:rPr>
        <w:t>Artículo 420.</w:t>
      </w:r>
      <w:r w:rsidRPr="001D7FA9">
        <w:rPr>
          <w:rStyle w:val="TextoNormalCaracter"/>
        </w:rPr>
        <w:t>-</w:t>
      </w:r>
      <w:r>
        <w:t xml:space="preserve"> Sentencia </w:t>
      </w:r>
      <w:hyperlink w:anchor="SENTENCIA_2025_41" w:history="1">
        <w:r w:rsidRPr="001D7FA9">
          <w:rPr>
            <w:rStyle w:val="TextoNormalCaracter"/>
          </w:rPr>
          <w:t>41/2025</w:t>
        </w:r>
      </w:hyperlink>
      <w:r>
        <w:t>, VP.</w:t>
      </w:r>
    </w:p>
    <w:p w14:paraId="4A420BE3" w14:textId="025DA3EB" w:rsidR="001D7FA9" w:rsidRDefault="001D7FA9" w:rsidP="001D7FA9">
      <w:pPr>
        <w:pStyle w:val="SangriaFrancesaArticulo"/>
      </w:pPr>
      <w:r w:rsidRPr="001D7FA9">
        <w:rPr>
          <w:rStyle w:val="TextoNormalNegritaCaracter"/>
        </w:rPr>
        <w:t>Artículo 489.</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7249B2F5" w14:textId="5956F8A7" w:rsidR="001D7FA9" w:rsidRDefault="001D7FA9" w:rsidP="001D7FA9">
      <w:pPr>
        <w:pStyle w:val="SangriaFrancesaArticulo"/>
      </w:pPr>
      <w:r w:rsidRPr="001D7FA9">
        <w:rPr>
          <w:rStyle w:val="TextoNormalNegritaCaracter"/>
        </w:rPr>
        <w:t>Artículo 490.</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7577EB81" w14:textId="32CB2979" w:rsidR="001D7FA9" w:rsidRDefault="001D7FA9" w:rsidP="001D7FA9">
      <w:pPr>
        <w:pStyle w:val="SangriaFrancesaArticulo"/>
      </w:pPr>
      <w:r w:rsidRPr="001D7FA9">
        <w:rPr>
          <w:rStyle w:val="TextoNormalNegritaCaracter"/>
        </w:rPr>
        <w:t>Artículo 492.4.</w:t>
      </w:r>
      <w:r w:rsidRPr="001D7FA9">
        <w:rPr>
          <w:rStyle w:val="TextoNormalCaracter"/>
        </w:rPr>
        <w:t>-</w:t>
      </w:r>
      <w:r>
        <w:t xml:space="preserve"> Sentencia </w:t>
      </w:r>
      <w:hyperlink w:anchor="SENTENCIA_2025_106" w:history="1">
        <w:r w:rsidRPr="001D7FA9">
          <w:rPr>
            <w:rStyle w:val="TextoNormalCaracter"/>
          </w:rPr>
          <w:t>106/2025</w:t>
        </w:r>
      </w:hyperlink>
      <w:r>
        <w:t>, f. 1.</w:t>
      </w:r>
    </w:p>
    <w:p w14:paraId="5D82FDED" w14:textId="2B4E2567" w:rsidR="001D7FA9" w:rsidRDefault="001D7FA9" w:rsidP="001D7FA9">
      <w:pPr>
        <w:pStyle w:val="SangriaFrancesaArticulo"/>
      </w:pPr>
      <w:r w:rsidRPr="001D7FA9">
        <w:rPr>
          <w:rStyle w:val="TextoNormalNegritaCaracter"/>
        </w:rPr>
        <w:t>Artículo 493.</w:t>
      </w:r>
      <w:r w:rsidRPr="001D7FA9">
        <w:rPr>
          <w:rStyle w:val="TextoNormalCaracter"/>
        </w:rPr>
        <w:t>-</w:t>
      </w:r>
      <w:r>
        <w:t xml:space="preserve"> Sentencia </w:t>
      </w:r>
      <w:hyperlink w:anchor="SENTENCIA_2025_106" w:history="1">
        <w:r w:rsidRPr="001D7FA9">
          <w:rPr>
            <w:rStyle w:val="TextoNormalCaracter"/>
          </w:rPr>
          <w:t>106/2025</w:t>
        </w:r>
      </w:hyperlink>
      <w:r>
        <w:t>, f. 1.</w:t>
      </w:r>
    </w:p>
    <w:p w14:paraId="58ED374B" w14:textId="3417029B" w:rsidR="001D7FA9" w:rsidRDefault="001D7FA9" w:rsidP="001D7FA9">
      <w:pPr>
        <w:pStyle w:val="SangriaFrancesaArticulo"/>
      </w:pPr>
      <w:r w:rsidRPr="001D7FA9">
        <w:rPr>
          <w:rStyle w:val="TextoNormalNegritaCaracter"/>
        </w:rPr>
        <w:t>Artículo 494.</w:t>
      </w:r>
      <w:r w:rsidRPr="001D7FA9">
        <w:rPr>
          <w:rStyle w:val="TextoNormalCaracter"/>
        </w:rPr>
        <w:t>-</w:t>
      </w:r>
      <w:r>
        <w:t xml:space="preserve"> Sentencia </w:t>
      </w:r>
      <w:hyperlink w:anchor="SENTENCIA_2025_106" w:history="1">
        <w:r w:rsidRPr="001D7FA9">
          <w:rPr>
            <w:rStyle w:val="TextoNormalCaracter"/>
          </w:rPr>
          <w:t>106/2025</w:t>
        </w:r>
      </w:hyperlink>
      <w:r>
        <w:t>, f. 1.</w:t>
      </w:r>
    </w:p>
    <w:p w14:paraId="5A7057E8" w14:textId="0E30FCB0" w:rsidR="001D7FA9" w:rsidRDefault="001D7FA9" w:rsidP="001D7FA9">
      <w:pPr>
        <w:pStyle w:val="SangriaFrancesaArticulo"/>
      </w:pPr>
      <w:r w:rsidRPr="001D7FA9">
        <w:rPr>
          <w:rStyle w:val="TextoNormalNegritaCaracter"/>
        </w:rPr>
        <w:t>Artículo 497.</w:t>
      </w:r>
      <w:r w:rsidRPr="001D7FA9">
        <w:rPr>
          <w:rStyle w:val="TextoNormalCaracter"/>
        </w:rPr>
        <w:t>-</w:t>
      </w:r>
      <w:r>
        <w:t xml:space="preserve"> Sentencia </w:t>
      </w:r>
      <w:hyperlink w:anchor="SENTENCIA_2025_3" w:history="1">
        <w:r w:rsidRPr="001D7FA9">
          <w:rPr>
            <w:rStyle w:val="TextoNormalCaracter"/>
          </w:rPr>
          <w:t>3/2025</w:t>
        </w:r>
      </w:hyperlink>
      <w:r>
        <w:t>, f. 3.</w:t>
      </w:r>
    </w:p>
    <w:p w14:paraId="54303A8D" w14:textId="16508D7C" w:rsidR="001D7FA9" w:rsidRDefault="001D7FA9" w:rsidP="001D7FA9">
      <w:pPr>
        <w:pStyle w:val="SangriaFrancesaArticulo"/>
      </w:pPr>
      <w:r w:rsidRPr="001D7FA9">
        <w:rPr>
          <w:rStyle w:val="TextoNormalNegritaCaracter"/>
        </w:rPr>
        <w:t>Artículo 503.</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61D996E7" w14:textId="2429ECC5" w:rsidR="001D7FA9" w:rsidRDefault="001D7FA9" w:rsidP="001D7FA9">
      <w:pPr>
        <w:pStyle w:val="SangriaFrancesaArticulo"/>
      </w:pPr>
      <w:r w:rsidRPr="001D7FA9">
        <w:rPr>
          <w:rStyle w:val="TextoNormalNegritaCaracter"/>
        </w:rPr>
        <w:t>Artículo 504.</w:t>
      </w:r>
      <w:r w:rsidRPr="001D7FA9">
        <w:rPr>
          <w:rStyle w:val="TextoNormalCaracter"/>
        </w:rPr>
        <w:t>-</w:t>
      </w:r>
      <w:r>
        <w:t xml:space="preserve"> Sentencia </w:t>
      </w:r>
      <w:hyperlink w:anchor="SENTENCIA_2025_3" w:history="1">
        <w:r w:rsidRPr="001D7FA9">
          <w:rPr>
            <w:rStyle w:val="TextoNormalCaracter"/>
          </w:rPr>
          <w:t>3/2025</w:t>
        </w:r>
      </w:hyperlink>
      <w:r>
        <w:t>, f. 4.</w:t>
      </w:r>
    </w:p>
    <w:p w14:paraId="30FCBB15" w14:textId="4A77663B" w:rsidR="001D7FA9" w:rsidRDefault="001D7FA9" w:rsidP="001D7FA9">
      <w:pPr>
        <w:pStyle w:val="SangriaFrancesaArticulo"/>
      </w:pPr>
      <w:r w:rsidRPr="001D7FA9">
        <w:rPr>
          <w:rStyle w:val="TextoNormalNegritaCaracter"/>
        </w:rPr>
        <w:t>Artículo 504</w:t>
      </w:r>
      <w:r>
        <w:t xml:space="preserve"> (redactado por la Ley Orgánica 13/2003, de 24 de octubre)</w:t>
      </w:r>
      <w:r w:rsidRPr="001D7FA9">
        <w:rPr>
          <w:rStyle w:val="TextoNormalNegritaCaracter"/>
        </w:rPr>
        <w:t>.</w:t>
      </w:r>
      <w:r w:rsidRPr="001D7FA9">
        <w:rPr>
          <w:rStyle w:val="TextoNormalCaracter"/>
        </w:rPr>
        <w:t>-</w:t>
      </w:r>
      <w:r>
        <w:t xml:space="preserve"> Sentencia </w:t>
      </w:r>
      <w:hyperlink w:anchor="SENTENCIA_2025_3" w:history="1">
        <w:r w:rsidRPr="001D7FA9">
          <w:rPr>
            <w:rStyle w:val="TextoNormalCaracter"/>
          </w:rPr>
          <w:t>3/2025</w:t>
        </w:r>
      </w:hyperlink>
      <w:r>
        <w:t>, ff. 3, 4.</w:t>
      </w:r>
    </w:p>
    <w:p w14:paraId="7D33037C" w14:textId="6A30181A" w:rsidR="001D7FA9" w:rsidRDefault="001D7FA9" w:rsidP="001D7FA9">
      <w:pPr>
        <w:pStyle w:val="SangriaFrancesaArticulo"/>
      </w:pPr>
      <w:r w:rsidRPr="001D7FA9">
        <w:rPr>
          <w:rStyle w:val="TextoNormalNegritaCaracter"/>
        </w:rPr>
        <w:t>Artículo 504</w:t>
      </w:r>
      <w:r>
        <w:t xml:space="preserve"> (redactado por la Ley Orgánica 5/1995, de 22 de mayo)</w:t>
      </w:r>
      <w:r w:rsidRPr="001D7FA9">
        <w:rPr>
          <w:rStyle w:val="TextoNormalNegritaCaracter"/>
        </w:rPr>
        <w:t>.</w:t>
      </w:r>
      <w:r w:rsidRPr="001D7FA9">
        <w:rPr>
          <w:rStyle w:val="TextoNormalCaracter"/>
        </w:rPr>
        <w:t>-</w:t>
      </w:r>
      <w:r>
        <w:t xml:space="preserve"> Sentencia </w:t>
      </w:r>
      <w:hyperlink w:anchor="SENTENCIA_2025_3" w:history="1">
        <w:r w:rsidRPr="001D7FA9">
          <w:rPr>
            <w:rStyle w:val="TextoNormalCaracter"/>
          </w:rPr>
          <w:t>3/2025</w:t>
        </w:r>
      </w:hyperlink>
      <w:r>
        <w:t>, f. 3.</w:t>
      </w:r>
    </w:p>
    <w:p w14:paraId="0DFA2E05" w14:textId="36F5200B" w:rsidR="001D7FA9" w:rsidRDefault="001D7FA9" w:rsidP="001D7FA9">
      <w:pPr>
        <w:pStyle w:val="SangriaFrancesaArticulo"/>
      </w:pPr>
      <w:r w:rsidRPr="001D7FA9">
        <w:rPr>
          <w:rStyle w:val="TextoNormalNegritaCaracter"/>
        </w:rPr>
        <w:t>Artículo 504.2.</w:t>
      </w:r>
      <w:r w:rsidRPr="001D7FA9">
        <w:rPr>
          <w:rStyle w:val="TextoNormalCaracter"/>
        </w:rPr>
        <w:t>-</w:t>
      </w:r>
      <w:r>
        <w:t xml:space="preserve"> Sentencia </w:t>
      </w:r>
      <w:hyperlink w:anchor="SENTENCIA_2025_3" w:history="1">
        <w:r w:rsidRPr="001D7FA9">
          <w:rPr>
            <w:rStyle w:val="TextoNormalCaracter"/>
          </w:rPr>
          <w:t>3/2025</w:t>
        </w:r>
      </w:hyperlink>
      <w:r>
        <w:t>, ff. 3, 4.</w:t>
      </w:r>
    </w:p>
    <w:p w14:paraId="28B0E467" w14:textId="163A49D6" w:rsidR="001D7FA9" w:rsidRDefault="001D7FA9" w:rsidP="001D7FA9">
      <w:pPr>
        <w:pStyle w:val="SangriaFrancesaArticulo"/>
      </w:pPr>
      <w:r w:rsidRPr="001D7FA9">
        <w:rPr>
          <w:rStyle w:val="TextoNormalNegritaCaracter"/>
        </w:rPr>
        <w:t>Artículo 504.4.</w:t>
      </w:r>
      <w:r w:rsidRPr="001D7FA9">
        <w:rPr>
          <w:rStyle w:val="TextoNormalCaracter"/>
        </w:rPr>
        <w:t>-</w:t>
      </w:r>
      <w:r>
        <w:t xml:space="preserve"> Sentencia </w:t>
      </w:r>
      <w:hyperlink w:anchor="SENTENCIA_2025_3" w:history="1">
        <w:r w:rsidRPr="001D7FA9">
          <w:rPr>
            <w:rStyle w:val="TextoNormalCaracter"/>
          </w:rPr>
          <w:t>3/2025</w:t>
        </w:r>
      </w:hyperlink>
      <w:r>
        <w:t>, f. 3.</w:t>
      </w:r>
    </w:p>
    <w:p w14:paraId="3CFCFEE1" w14:textId="1CA4069E" w:rsidR="001D7FA9" w:rsidRDefault="001D7FA9" w:rsidP="001D7FA9">
      <w:pPr>
        <w:pStyle w:val="SangriaFrancesaArticulo"/>
      </w:pPr>
      <w:r w:rsidRPr="001D7FA9">
        <w:rPr>
          <w:rStyle w:val="TextoNormalNegritaCaracter"/>
        </w:rPr>
        <w:t>Artículo 504.5.</w:t>
      </w:r>
      <w:r w:rsidRPr="001D7FA9">
        <w:rPr>
          <w:rStyle w:val="TextoNormalCaracter"/>
        </w:rPr>
        <w:t>-</w:t>
      </w:r>
      <w:r>
        <w:t xml:space="preserve"> Sentencia </w:t>
      </w:r>
      <w:hyperlink w:anchor="SENTENCIA_2025_3" w:history="1">
        <w:r w:rsidRPr="001D7FA9">
          <w:rPr>
            <w:rStyle w:val="TextoNormalCaracter"/>
          </w:rPr>
          <w:t>3/2025</w:t>
        </w:r>
      </w:hyperlink>
      <w:r>
        <w:t>, ff. 1, 4.</w:t>
      </w:r>
    </w:p>
    <w:p w14:paraId="06D0F114" w14:textId="06220FCC" w:rsidR="001D7FA9" w:rsidRDefault="001D7FA9" w:rsidP="001D7FA9">
      <w:pPr>
        <w:pStyle w:val="SangriaFrancesaArticulo"/>
      </w:pPr>
      <w:r w:rsidRPr="001D7FA9">
        <w:rPr>
          <w:rStyle w:val="TextoNormalNegritaCaracter"/>
        </w:rPr>
        <w:t>Artículo 504.5</w:t>
      </w:r>
      <w:r>
        <w:t xml:space="preserve"> (redactado por la Ley Orgánica 13/2003, de 24 de octubre)</w:t>
      </w:r>
      <w:r w:rsidRPr="001D7FA9">
        <w:rPr>
          <w:rStyle w:val="TextoNormalNegritaCaracter"/>
        </w:rPr>
        <w:t>.</w:t>
      </w:r>
      <w:r w:rsidRPr="001D7FA9">
        <w:rPr>
          <w:rStyle w:val="TextoNormalCaracter"/>
        </w:rPr>
        <w:t>-</w:t>
      </w:r>
      <w:r>
        <w:t xml:space="preserve"> Sentencia </w:t>
      </w:r>
      <w:hyperlink w:anchor="SENTENCIA_2025_3" w:history="1">
        <w:r w:rsidRPr="001D7FA9">
          <w:rPr>
            <w:rStyle w:val="TextoNormalCaracter"/>
          </w:rPr>
          <w:t>3/2025</w:t>
        </w:r>
      </w:hyperlink>
      <w:r>
        <w:t>, f. 4.</w:t>
      </w:r>
    </w:p>
    <w:p w14:paraId="063E50C8" w14:textId="087169EF" w:rsidR="001D7FA9" w:rsidRDefault="001D7FA9" w:rsidP="001D7FA9">
      <w:pPr>
        <w:pStyle w:val="SangriaFrancesaArticulo"/>
      </w:pPr>
      <w:r w:rsidRPr="001D7FA9">
        <w:rPr>
          <w:rStyle w:val="TextoNormalNegritaCaracter"/>
        </w:rPr>
        <w:t>Artículo 504.5 párrafo primero.</w:t>
      </w:r>
      <w:r w:rsidRPr="001D7FA9">
        <w:rPr>
          <w:rStyle w:val="TextoNormalCaracter"/>
        </w:rPr>
        <w:t>-</w:t>
      </w:r>
      <w:r>
        <w:t xml:space="preserve"> Sentencia </w:t>
      </w:r>
      <w:hyperlink w:anchor="SENTENCIA_2025_3" w:history="1">
        <w:r w:rsidRPr="001D7FA9">
          <w:rPr>
            <w:rStyle w:val="TextoNormalCaracter"/>
          </w:rPr>
          <w:t>3/2025</w:t>
        </w:r>
      </w:hyperlink>
      <w:r>
        <w:t>, f. 4.</w:t>
      </w:r>
    </w:p>
    <w:p w14:paraId="62654D37" w14:textId="49C4C5A6" w:rsidR="001D7FA9" w:rsidRDefault="001D7FA9" w:rsidP="001D7FA9">
      <w:pPr>
        <w:pStyle w:val="SangriaFrancesaArticulo"/>
      </w:pPr>
      <w:r w:rsidRPr="001D7FA9">
        <w:rPr>
          <w:rStyle w:val="TextoNormalNegritaCaracter"/>
        </w:rPr>
        <w:t>Artículo 504.5 párrafo segundo.</w:t>
      </w:r>
      <w:r w:rsidRPr="001D7FA9">
        <w:rPr>
          <w:rStyle w:val="TextoNormalCaracter"/>
        </w:rPr>
        <w:t>-</w:t>
      </w:r>
      <w:r>
        <w:t xml:space="preserve"> Sentencia </w:t>
      </w:r>
      <w:hyperlink w:anchor="SENTENCIA_2025_3" w:history="1">
        <w:r w:rsidRPr="001D7FA9">
          <w:rPr>
            <w:rStyle w:val="TextoNormalCaracter"/>
          </w:rPr>
          <w:t>3/2025</w:t>
        </w:r>
      </w:hyperlink>
      <w:r>
        <w:t>, f. 4.</w:t>
      </w:r>
    </w:p>
    <w:p w14:paraId="698FA921" w14:textId="6679963B" w:rsidR="001D7FA9" w:rsidRDefault="001D7FA9" w:rsidP="001D7FA9">
      <w:pPr>
        <w:pStyle w:val="SangriaFrancesaArticulo"/>
      </w:pPr>
      <w:r w:rsidRPr="001D7FA9">
        <w:rPr>
          <w:rStyle w:val="TextoNormalNegritaCaracter"/>
        </w:rPr>
        <w:t>Artículo 505.</w:t>
      </w:r>
      <w:r w:rsidRPr="001D7FA9">
        <w:rPr>
          <w:rStyle w:val="TextoNormalCaracter"/>
        </w:rPr>
        <w:t>-</w:t>
      </w:r>
      <w:r>
        <w:t xml:space="preserve"> Sentencia </w:t>
      </w:r>
      <w:hyperlink w:anchor="SENTENCIA_2025_3" w:history="1">
        <w:r w:rsidRPr="001D7FA9">
          <w:rPr>
            <w:rStyle w:val="TextoNormalCaracter"/>
          </w:rPr>
          <w:t>3/2025</w:t>
        </w:r>
      </w:hyperlink>
      <w:r>
        <w:t>, f. 4.</w:t>
      </w:r>
    </w:p>
    <w:p w14:paraId="5E5C8CAB" w14:textId="3B122FCA" w:rsidR="001D7FA9" w:rsidRDefault="001D7FA9" w:rsidP="001D7FA9">
      <w:pPr>
        <w:pStyle w:val="SangriaFrancesaArticulo"/>
      </w:pPr>
      <w:r w:rsidRPr="001D7FA9">
        <w:rPr>
          <w:rStyle w:val="TextoNormalNegritaCaracter"/>
        </w:rPr>
        <w:t>Artículo 509.</w:t>
      </w:r>
      <w:r w:rsidRPr="001D7FA9">
        <w:rPr>
          <w:rStyle w:val="TextoNormalCaracter"/>
        </w:rPr>
        <w:t>-</w:t>
      </w:r>
      <w:r>
        <w:t xml:space="preserve"> Auto </w:t>
      </w:r>
      <w:hyperlink w:anchor="AUTO_2025_28" w:history="1">
        <w:r w:rsidRPr="001D7FA9">
          <w:rPr>
            <w:rStyle w:val="TextoNormalCaracter"/>
          </w:rPr>
          <w:t>28/2025</w:t>
        </w:r>
      </w:hyperlink>
      <w:r>
        <w:t>, VP.</w:t>
      </w:r>
    </w:p>
    <w:p w14:paraId="5D0DFDF0" w14:textId="4FC2DF20" w:rsidR="001D7FA9" w:rsidRDefault="001D7FA9" w:rsidP="001D7FA9">
      <w:pPr>
        <w:pStyle w:val="SangriaFrancesaArticulo"/>
      </w:pPr>
      <w:r w:rsidRPr="001D7FA9">
        <w:rPr>
          <w:rStyle w:val="TextoNormalNegritaCaracter"/>
        </w:rPr>
        <w:t>Artículo 520.</w:t>
      </w:r>
      <w:r w:rsidRPr="001D7FA9">
        <w:rPr>
          <w:rStyle w:val="TextoNormalCaracter"/>
        </w:rPr>
        <w:t>-</w:t>
      </w:r>
      <w:r>
        <w:t xml:space="preserve"> Auto </w:t>
      </w:r>
      <w:hyperlink w:anchor="AUTO_2025_28" w:history="1">
        <w:r w:rsidRPr="001D7FA9">
          <w:rPr>
            <w:rStyle w:val="TextoNormalCaracter"/>
          </w:rPr>
          <w:t>28/2025</w:t>
        </w:r>
      </w:hyperlink>
      <w:r>
        <w:t>, f. 4, VP.</w:t>
      </w:r>
    </w:p>
    <w:p w14:paraId="5F1E91C1" w14:textId="42B7AEB0" w:rsidR="001D7FA9" w:rsidRDefault="001D7FA9" w:rsidP="001D7FA9">
      <w:pPr>
        <w:pStyle w:val="SangriaFrancesaArticulo"/>
      </w:pPr>
      <w:r w:rsidRPr="001D7FA9">
        <w:rPr>
          <w:rStyle w:val="TextoNormalNegritaCaracter"/>
        </w:rPr>
        <w:t>Artículo 520</w:t>
      </w:r>
      <w:r>
        <w:t xml:space="preserve"> (redactado por la Ley Orgánica 13/2015, de 5 de octubre)</w:t>
      </w:r>
      <w:r w:rsidRPr="001D7FA9">
        <w:rPr>
          <w:rStyle w:val="TextoNormalNegritaCaracter"/>
        </w:rPr>
        <w:t>.</w:t>
      </w:r>
      <w:r w:rsidRPr="001D7FA9">
        <w:rPr>
          <w:rStyle w:val="TextoNormalCaracter"/>
        </w:rPr>
        <w:t>-</w:t>
      </w:r>
      <w:r>
        <w:t xml:space="preserve"> Auto </w:t>
      </w:r>
      <w:hyperlink w:anchor="AUTO_2025_28" w:history="1">
        <w:r w:rsidRPr="001D7FA9">
          <w:rPr>
            <w:rStyle w:val="TextoNormalCaracter"/>
          </w:rPr>
          <w:t>28/2025</w:t>
        </w:r>
      </w:hyperlink>
      <w:r>
        <w:t>, VP.</w:t>
      </w:r>
    </w:p>
    <w:p w14:paraId="2865C476" w14:textId="570B477C" w:rsidR="001D7FA9" w:rsidRDefault="001D7FA9" w:rsidP="001D7FA9">
      <w:pPr>
        <w:pStyle w:val="SangriaFrancesaArticulo"/>
      </w:pPr>
      <w:r w:rsidRPr="001D7FA9">
        <w:rPr>
          <w:rStyle w:val="TextoNormalNegritaCaracter"/>
        </w:rPr>
        <w:t>Artículo 520 bis.</w:t>
      </w:r>
      <w:r w:rsidRPr="001D7FA9">
        <w:rPr>
          <w:rStyle w:val="TextoNormalCaracter"/>
        </w:rPr>
        <w:t>-</w:t>
      </w:r>
      <w:r>
        <w:t xml:space="preserve"> Auto </w:t>
      </w:r>
      <w:hyperlink w:anchor="AUTO_2025_28" w:history="1">
        <w:r w:rsidRPr="001D7FA9">
          <w:rPr>
            <w:rStyle w:val="TextoNormalCaracter"/>
          </w:rPr>
          <w:t>28/2025</w:t>
        </w:r>
      </w:hyperlink>
      <w:r>
        <w:t>, f. 4, VP.</w:t>
      </w:r>
    </w:p>
    <w:p w14:paraId="12267ECA" w14:textId="71D14BE1" w:rsidR="001D7FA9" w:rsidRDefault="001D7FA9" w:rsidP="001D7FA9">
      <w:pPr>
        <w:pStyle w:val="SangriaFrancesaArticulo"/>
      </w:pPr>
      <w:r w:rsidRPr="001D7FA9">
        <w:rPr>
          <w:rStyle w:val="TextoNormalNegritaCaracter"/>
        </w:rPr>
        <w:t>Artículo 520 bis.2</w:t>
      </w:r>
      <w:r>
        <w:t xml:space="preserve"> (redactado por la Ley Orgánica 13/2015, de 5 de octubre)</w:t>
      </w:r>
      <w:r w:rsidRPr="001D7FA9">
        <w:rPr>
          <w:rStyle w:val="TextoNormalNegritaCaracter"/>
        </w:rPr>
        <w:t>.</w:t>
      </w:r>
      <w:r w:rsidRPr="001D7FA9">
        <w:rPr>
          <w:rStyle w:val="TextoNormalCaracter"/>
        </w:rPr>
        <w:t>-</w:t>
      </w:r>
      <w:r>
        <w:t xml:space="preserve"> Auto </w:t>
      </w:r>
      <w:hyperlink w:anchor="AUTO_2025_28" w:history="1">
        <w:r w:rsidRPr="001D7FA9">
          <w:rPr>
            <w:rStyle w:val="TextoNormalCaracter"/>
          </w:rPr>
          <w:t>28/2025</w:t>
        </w:r>
      </w:hyperlink>
      <w:r>
        <w:t>, f. 4.</w:t>
      </w:r>
    </w:p>
    <w:p w14:paraId="6ED8894F" w14:textId="0ACCFF18" w:rsidR="001D7FA9" w:rsidRDefault="001D7FA9" w:rsidP="001D7FA9">
      <w:pPr>
        <w:pStyle w:val="SangriaFrancesaArticulo"/>
      </w:pPr>
      <w:r w:rsidRPr="001D7FA9">
        <w:rPr>
          <w:rStyle w:val="TextoNormalNegritaCaracter"/>
        </w:rPr>
        <w:t>Artículo 520.2.</w:t>
      </w:r>
      <w:r w:rsidRPr="001D7FA9">
        <w:rPr>
          <w:rStyle w:val="TextoNormalCaracter"/>
        </w:rPr>
        <w:t>-</w:t>
      </w:r>
      <w:r>
        <w:t xml:space="preserve"> Autos </w:t>
      </w:r>
      <w:hyperlink w:anchor="AUTO_2025_8" w:history="1">
        <w:r w:rsidRPr="001D7FA9">
          <w:rPr>
            <w:rStyle w:val="TextoNormalCaracter"/>
          </w:rPr>
          <w:t>8/2025</w:t>
        </w:r>
      </w:hyperlink>
      <w:r>
        <w:t xml:space="preserve">, VP; </w:t>
      </w:r>
      <w:hyperlink w:anchor="AUTO_2025_28" w:history="1">
        <w:r w:rsidRPr="001D7FA9">
          <w:rPr>
            <w:rStyle w:val="TextoNormalCaracter"/>
          </w:rPr>
          <w:t>28/2025</w:t>
        </w:r>
      </w:hyperlink>
      <w:r>
        <w:t>, f. 2.</w:t>
      </w:r>
    </w:p>
    <w:p w14:paraId="06A23989" w14:textId="08868A8F" w:rsidR="001D7FA9" w:rsidRDefault="001D7FA9" w:rsidP="001D7FA9">
      <w:pPr>
        <w:pStyle w:val="SangriaFrancesaArticulo"/>
      </w:pPr>
      <w:r w:rsidRPr="001D7FA9">
        <w:rPr>
          <w:rStyle w:val="TextoNormalNegritaCaracter"/>
        </w:rPr>
        <w:t>Artículo 520.2 d).</w:t>
      </w:r>
      <w:r w:rsidRPr="001D7FA9">
        <w:rPr>
          <w:rStyle w:val="TextoNormalCaracter"/>
        </w:rPr>
        <w:t>-</w:t>
      </w:r>
      <w:r>
        <w:t xml:space="preserve"> Sentencias </w:t>
      </w:r>
      <w:hyperlink w:anchor="SENTENCIA_2025_86" w:history="1">
        <w:r w:rsidRPr="001D7FA9">
          <w:rPr>
            <w:rStyle w:val="TextoNormalCaracter"/>
          </w:rPr>
          <w:t>86/2025</w:t>
        </w:r>
      </w:hyperlink>
      <w:r>
        <w:t xml:space="preserve">, ff. 2, 3; </w:t>
      </w:r>
      <w:hyperlink w:anchor="SENTENCIA_2025_106" w:history="1">
        <w:r w:rsidRPr="001D7FA9">
          <w:rPr>
            <w:rStyle w:val="TextoNormalCaracter"/>
          </w:rPr>
          <w:t>106/2025</w:t>
        </w:r>
      </w:hyperlink>
      <w:r>
        <w:t>, f. 1.</w:t>
      </w:r>
    </w:p>
    <w:p w14:paraId="4747A7D3" w14:textId="4C72B133" w:rsidR="001D7FA9" w:rsidRDefault="001D7FA9" w:rsidP="001D7FA9">
      <w:pPr>
        <w:pStyle w:val="SangriaFrancesaArticulo"/>
      </w:pPr>
      <w:r w:rsidRPr="001D7FA9">
        <w:rPr>
          <w:rStyle w:val="TextoNormalNegritaCaracter"/>
        </w:rPr>
        <w:t>Artículo 527.</w:t>
      </w:r>
      <w:r w:rsidRPr="001D7FA9">
        <w:rPr>
          <w:rStyle w:val="TextoNormalCaracter"/>
        </w:rPr>
        <w:t>-</w:t>
      </w:r>
      <w:r>
        <w:t xml:space="preserve"> Auto </w:t>
      </w:r>
      <w:hyperlink w:anchor="AUTO_2025_28" w:history="1">
        <w:r w:rsidRPr="001D7FA9">
          <w:rPr>
            <w:rStyle w:val="TextoNormalCaracter"/>
          </w:rPr>
          <w:t>28/2025</w:t>
        </w:r>
      </w:hyperlink>
      <w:r>
        <w:t>, ff. 2, 4, VP.</w:t>
      </w:r>
    </w:p>
    <w:p w14:paraId="155BEBBD" w14:textId="7C25D87B" w:rsidR="001D7FA9" w:rsidRDefault="001D7FA9" w:rsidP="001D7FA9">
      <w:pPr>
        <w:pStyle w:val="SangriaFrancesaArticulo"/>
      </w:pPr>
      <w:r w:rsidRPr="001D7FA9">
        <w:rPr>
          <w:rStyle w:val="TextoNormalNegritaCaracter"/>
        </w:rPr>
        <w:t>Artículo 527</w:t>
      </w:r>
      <w:r>
        <w:t xml:space="preserve"> (redactado por la Ley Orgánica 13/2015, de 5 de octubre)</w:t>
      </w:r>
      <w:r w:rsidRPr="001D7FA9">
        <w:rPr>
          <w:rStyle w:val="TextoNormalNegritaCaracter"/>
        </w:rPr>
        <w:t>.</w:t>
      </w:r>
      <w:r w:rsidRPr="001D7FA9">
        <w:rPr>
          <w:rStyle w:val="TextoNormalCaracter"/>
        </w:rPr>
        <w:t>-</w:t>
      </w:r>
      <w:r>
        <w:t xml:space="preserve"> Auto </w:t>
      </w:r>
      <w:hyperlink w:anchor="AUTO_2025_28" w:history="1">
        <w:r w:rsidRPr="001D7FA9">
          <w:rPr>
            <w:rStyle w:val="TextoNormalCaracter"/>
          </w:rPr>
          <w:t>28/2025</w:t>
        </w:r>
      </w:hyperlink>
      <w:r>
        <w:t>, VP.</w:t>
      </w:r>
    </w:p>
    <w:p w14:paraId="3A8A5943" w14:textId="3A1713E5" w:rsidR="001D7FA9" w:rsidRDefault="001D7FA9" w:rsidP="001D7FA9">
      <w:pPr>
        <w:pStyle w:val="SangriaFrancesaArticulo"/>
      </w:pPr>
      <w:r w:rsidRPr="001D7FA9">
        <w:rPr>
          <w:rStyle w:val="TextoNormalNegritaCaracter"/>
        </w:rPr>
        <w:t>Artículo 527.1 d).</w:t>
      </w:r>
      <w:r w:rsidRPr="001D7FA9">
        <w:rPr>
          <w:rStyle w:val="TextoNormalCaracter"/>
        </w:rPr>
        <w:t>-</w:t>
      </w:r>
      <w:r>
        <w:t xml:space="preserve"> Sentencia </w:t>
      </w:r>
      <w:hyperlink w:anchor="SENTENCIA_2025_86" w:history="1">
        <w:r w:rsidRPr="001D7FA9">
          <w:rPr>
            <w:rStyle w:val="TextoNormalCaracter"/>
          </w:rPr>
          <w:t>86/2025</w:t>
        </w:r>
      </w:hyperlink>
      <w:r>
        <w:t>, f. 2.</w:t>
      </w:r>
    </w:p>
    <w:p w14:paraId="30E6DF6B" w14:textId="3529A714" w:rsidR="001D7FA9" w:rsidRDefault="001D7FA9" w:rsidP="001D7FA9">
      <w:pPr>
        <w:pStyle w:val="SangriaFrancesaArticulo"/>
      </w:pPr>
      <w:r w:rsidRPr="001D7FA9">
        <w:rPr>
          <w:rStyle w:val="TextoNormalNegritaCaracter"/>
        </w:rPr>
        <w:t>Artículo 527.2.</w:t>
      </w:r>
      <w:r w:rsidRPr="001D7FA9">
        <w:rPr>
          <w:rStyle w:val="TextoNormalCaracter"/>
        </w:rPr>
        <w:t>-</w:t>
      </w:r>
      <w:r>
        <w:t xml:space="preserve"> Auto </w:t>
      </w:r>
      <w:hyperlink w:anchor="AUTO_2025_28" w:history="1">
        <w:r w:rsidRPr="001D7FA9">
          <w:rPr>
            <w:rStyle w:val="TextoNormalCaracter"/>
          </w:rPr>
          <w:t>28/2025</w:t>
        </w:r>
      </w:hyperlink>
      <w:r>
        <w:t>, VP.</w:t>
      </w:r>
    </w:p>
    <w:p w14:paraId="7E83915C" w14:textId="0023872F" w:rsidR="001D7FA9" w:rsidRDefault="001D7FA9" w:rsidP="001D7FA9">
      <w:pPr>
        <w:pStyle w:val="SangriaFrancesaArticulo"/>
      </w:pPr>
      <w:r w:rsidRPr="001D7FA9">
        <w:rPr>
          <w:rStyle w:val="TextoNormalNegritaCaracter"/>
        </w:rPr>
        <w:t>Artículo 528.</w:t>
      </w:r>
      <w:r w:rsidRPr="001D7FA9">
        <w:rPr>
          <w:rStyle w:val="TextoNormalCaracter"/>
        </w:rPr>
        <w:t>-</w:t>
      </w:r>
      <w:r>
        <w:t xml:space="preserve"> Sentencia </w:t>
      </w:r>
      <w:hyperlink w:anchor="SENTENCIA_2025_137" w:history="1">
        <w:r w:rsidRPr="001D7FA9">
          <w:rPr>
            <w:rStyle w:val="TextoNormalCaracter"/>
          </w:rPr>
          <w:t>137/2025</w:t>
        </w:r>
      </w:hyperlink>
      <w:r>
        <w:t>, f. 18.</w:t>
      </w:r>
    </w:p>
    <w:p w14:paraId="7D28F68A" w14:textId="4CBCF32F" w:rsidR="001D7FA9" w:rsidRDefault="001D7FA9" w:rsidP="001D7FA9">
      <w:pPr>
        <w:pStyle w:val="SangriaFrancesaArticulo"/>
      </w:pPr>
      <w:r w:rsidRPr="001D7FA9">
        <w:rPr>
          <w:rStyle w:val="TextoNormalNegritaCaracter"/>
        </w:rPr>
        <w:t>Artículo 636.</w:t>
      </w:r>
      <w:r w:rsidRPr="001D7FA9">
        <w:rPr>
          <w:rStyle w:val="TextoNormalCaracter"/>
        </w:rPr>
        <w:t>-</w:t>
      </w:r>
      <w:r>
        <w:t xml:space="preserve"> Sentencia </w:t>
      </w:r>
      <w:hyperlink w:anchor="SENTENCIA_2025_126" w:history="1">
        <w:r w:rsidRPr="001D7FA9">
          <w:rPr>
            <w:rStyle w:val="TextoNormalCaracter"/>
          </w:rPr>
          <w:t>126/2025</w:t>
        </w:r>
      </w:hyperlink>
      <w:r>
        <w:t>, f. 6.</w:t>
      </w:r>
    </w:p>
    <w:p w14:paraId="7A326CDD" w14:textId="5B198A69" w:rsidR="001D7FA9" w:rsidRDefault="001D7FA9" w:rsidP="001D7FA9">
      <w:pPr>
        <w:pStyle w:val="SangriaFrancesaArticulo"/>
      </w:pPr>
      <w:r w:rsidRPr="001D7FA9">
        <w:rPr>
          <w:rStyle w:val="TextoNormalNegritaCaracter"/>
        </w:rPr>
        <w:t>Artículo 637.</w:t>
      </w:r>
      <w:r w:rsidRPr="001D7FA9">
        <w:rPr>
          <w:rStyle w:val="TextoNormalCaracter"/>
        </w:rPr>
        <w:t>-</w:t>
      </w:r>
      <w:r>
        <w:t xml:space="preserve"> Sentencias </w:t>
      </w:r>
      <w:hyperlink w:anchor="SENTENCIA_2025_126" w:history="1">
        <w:r w:rsidRPr="001D7FA9">
          <w:rPr>
            <w:rStyle w:val="TextoNormalCaracter"/>
          </w:rPr>
          <w:t>126/2025</w:t>
        </w:r>
      </w:hyperlink>
      <w:r>
        <w:t xml:space="preserve">, f. 3; </w:t>
      </w:r>
      <w:hyperlink w:anchor="SENTENCIA_2025_137" w:history="1">
        <w:r w:rsidRPr="001D7FA9">
          <w:rPr>
            <w:rStyle w:val="TextoNormalCaracter"/>
          </w:rPr>
          <w:t>137/2025</w:t>
        </w:r>
      </w:hyperlink>
      <w:r>
        <w:t>, f. 19.</w:t>
      </w:r>
    </w:p>
    <w:p w14:paraId="5C2BB764" w14:textId="664F9E47" w:rsidR="001D7FA9" w:rsidRDefault="001D7FA9" w:rsidP="001D7FA9">
      <w:pPr>
        <w:pStyle w:val="SangriaFrancesaArticulo"/>
      </w:pPr>
      <w:r w:rsidRPr="001D7FA9">
        <w:rPr>
          <w:rStyle w:val="TextoNormalNegritaCaracter"/>
        </w:rPr>
        <w:t>Artículo 637.2.</w:t>
      </w:r>
      <w:r w:rsidRPr="001D7FA9">
        <w:rPr>
          <w:rStyle w:val="TextoNormalCaracter"/>
        </w:rPr>
        <w:t>-</w:t>
      </w:r>
      <w:r>
        <w:t xml:space="preserve"> Sentencia </w:t>
      </w:r>
      <w:hyperlink w:anchor="SENTENCIA_2025_137" w:history="1">
        <w:r w:rsidRPr="001D7FA9">
          <w:rPr>
            <w:rStyle w:val="TextoNormalCaracter"/>
          </w:rPr>
          <w:t>137/2025</w:t>
        </w:r>
      </w:hyperlink>
      <w:r>
        <w:t>, f. 19.</w:t>
      </w:r>
    </w:p>
    <w:p w14:paraId="4CB12734" w14:textId="3E2F4538" w:rsidR="001D7FA9" w:rsidRDefault="001D7FA9" w:rsidP="001D7FA9">
      <w:pPr>
        <w:pStyle w:val="SangriaFrancesaArticulo"/>
      </w:pPr>
      <w:r w:rsidRPr="001D7FA9">
        <w:rPr>
          <w:rStyle w:val="TextoNormalNegritaCaracter"/>
        </w:rPr>
        <w:t>Artículo 637.3.</w:t>
      </w:r>
      <w:r w:rsidRPr="001D7FA9">
        <w:rPr>
          <w:rStyle w:val="TextoNormalCaracter"/>
        </w:rPr>
        <w:t>-</w:t>
      </w:r>
      <w:r>
        <w:t xml:space="preserve"> Sentencia </w:t>
      </w:r>
      <w:hyperlink w:anchor="SENTENCIA_2025_137" w:history="1">
        <w:r w:rsidRPr="001D7FA9">
          <w:rPr>
            <w:rStyle w:val="TextoNormalCaracter"/>
          </w:rPr>
          <w:t>137/2025</w:t>
        </w:r>
      </w:hyperlink>
      <w:r>
        <w:t>, f. 19.</w:t>
      </w:r>
    </w:p>
    <w:p w14:paraId="79566251" w14:textId="12CEE72F" w:rsidR="001D7FA9" w:rsidRDefault="001D7FA9" w:rsidP="001D7FA9">
      <w:pPr>
        <w:pStyle w:val="SangriaFrancesaArticulo"/>
      </w:pPr>
      <w:r w:rsidRPr="001D7FA9">
        <w:rPr>
          <w:rStyle w:val="TextoNormalNegritaCaracter"/>
        </w:rPr>
        <w:t>Artículo 641.</w:t>
      </w:r>
      <w:r w:rsidRPr="001D7FA9">
        <w:rPr>
          <w:rStyle w:val="TextoNormalCaracter"/>
        </w:rPr>
        <w:t>-</w:t>
      </w:r>
      <w:r>
        <w:t xml:space="preserve"> Sentencia </w:t>
      </w:r>
      <w:hyperlink w:anchor="SENTENCIA_2025_126" w:history="1">
        <w:r w:rsidRPr="001D7FA9">
          <w:rPr>
            <w:rStyle w:val="TextoNormalCaracter"/>
          </w:rPr>
          <w:t>126/2025</w:t>
        </w:r>
      </w:hyperlink>
      <w:r>
        <w:t>, f. 3.</w:t>
      </w:r>
    </w:p>
    <w:p w14:paraId="1F592E7D" w14:textId="07D7B393" w:rsidR="001D7FA9" w:rsidRDefault="001D7FA9" w:rsidP="001D7FA9">
      <w:pPr>
        <w:pStyle w:val="SangriaFrancesaArticulo"/>
      </w:pPr>
      <w:r w:rsidRPr="001D7FA9">
        <w:rPr>
          <w:rStyle w:val="TextoNormalNegritaCaracter"/>
        </w:rPr>
        <w:t>Artículo 641.2.</w:t>
      </w:r>
      <w:r w:rsidRPr="001D7FA9">
        <w:rPr>
          <w:rStyle w:val="TextoNormalCaracter"/>
        </w:rPr>
        <w:t>-</w:t>
      </w:r>
      <w:r>
        <w:t xml:space="preserve"> Sentencia </w:t>
      </w:r>
      <w:hyperlink w:anchor="SENTENCIA_2025_137" w:history="1">
        <w:r w:rsidRPr="001D7FA9">
          <w:rPr>
            <w:rStyle w:val="TextoNormalCaracter"/>
          </w:rPr>
          <w:t>137/2025</w:t>
        </w:r>
      </w:hyperlink>
      <w:r>
        <w:t>, f. 19.</w:t>
      </w:r>
    </w:p>
    <w:p w14:paraId="2AA7852E" w14:textId="0FC19588" w:rsidR="001D7FA9" w:rsidRDefault="001D7FA9" w:rsidP="001D7FA9">
      <w:pPr>
        <w:pStyle w:val="SangriaFrancesaArticulo"/>
      </w:pPr>
      <w:r w:rsidRPr="001D7FA9">
        <w:rPr>
          <w:rStyle w:val="TextoNormalNegritaCaracter"/>
        </w:rPr>
        <w:t>Artículo 666.4.</w:t>
      </w:r>
      <w:r w:rsidRPr="001D7FA9">
        <w:rPr>
          <w:rStyle w:val="TextoNormalCaracter"/>
        </w:rPr>
        <w:t>-</w:t>
      </w:r>
      <w:r>
        <w:t xml:space="preserve"> Sentencia </w:t>
      </w:r>
      <w:hyperlink w:anchor="SENTENCIA_2025_137" w:history="1">
        <w:r w:rsidRPr="001D7FA9">
          <w:rPr>
            <w:rStyle w:val="TextoNormalCaracter"/>
          </w:rPr>
          <w:t>137/2025</w:t>
        </w:r>
      </w:hyperlink>
      <w:r>
        <w:t>, f. 19, VP I, VP IV.</w:t>
      </w:r>
    </w:p>
    <w:p w14:paraId="2C558592" w14:textId="2A6D28A6" w:rsidR="001D7FA9" w:rsidRDefault="001D7FA9" w:rsidP="001D7FA9">
      <w:pPr>
        <w:pStyle w:val="SangriaFrancesaArticulo"/>
      </w:pPr>
      <w:r w:rsidRPr="001D7FA9">
        <w:rPr>
          <w:rStyle w:val="TextoNormalNegritaCaracter"/>
        </w:rPr>
        <w:t>Artículo 675.</w:t>
      </w:r>
      <w:r w:rsidRPr="001D7FA9">
        <w:rPr>
          <w:rStyle w:val="TextoNormalCaracter"/>
        </w:rPr>
        <w:t>-</w:t>
      </w:r>
      <w:r>
        <w:t xml:space="preserve"> Sentencia </w:t>
      </w:r>
      <w:hyperlink w:anchor="SENTENCIA_2025_137" w:history="1">
        <w:r w:rsidRPr="001D7FA9">
          <w:rPr>
            <w:rStyle w:val="TextoNormalCaracter"/>
          </w:rPr>
          <w:t>137/2025</w:t>
        </w:r>
      </w:hyperlink>
      <w:r>
        <w:t>, f. 19.</w:t>
      </w:r>
    </w:p>
    <w:p w14:paraId="0FA24F78" w14:textId="0FB39881" w:rsidR="001D7FA9" w:rsidRDefault="001D7FA9" w:rsidP="001D7FA9">
      <w:pPr>
        <w:pStyle w:val="SangriaFrancesaArticulo"/>
      </w:pPr>
      <w:r w:rsidRPr="001D7FA9">
        <w:rPr>
          <w:rStyle w:val="TextoNormalNegritaCaracter"/>
        </w:rPr>
        <w:t>Artículo 676.</w:t>
      </w:r>
      <w:r w:rsidRPr="001D7FA9">
        <w:rPr>
          <w:rStyle w:val="TextoNormalCaracter"/>
        </w:rPr>
        <w:t>-</w:t>
      </w:r>
      <w:r>
        <w:t xml:space="preserve"> Sentencia </w:t>
      </w:r>
      <w:hyperlink w:anchor="SENTENCIA_2025_105" w:history="1">
        <w:r w:rsidRPr="001D7FA9">
          <w:rPr>
            <w:rStyle w:val="TextoNormalCaracter"/>
          </w:rPr>
          <w:t>105/2025</w:t>
        </w:r>
      </w:hyperlink>
      <w:r>
        <w:t>, VP II.</w:t>
      </w:r>
    </w:p>
    <w:p w14:paraId="0D407672" w14:textId="0561A0E2" w:rsidR="001D7FA9" w:rsidRDefault="001D7FA9" w:rsidP="001D7FA9">
      <w:pPr>
        <w:pStyle w:val="SangriaFrancesaArticulo"/>
      </w:pPr>
      <w:r w:rsidRPr="001D7FA9">
        <w:rPr>
          <w:rStyle w:val="TextoNormalNegritaCaracter"/>
        </w:rPr>
        <w:t>Artículo 707.</w:t>
      </w:r>
      <w:r w:rsidRPr="001D7FA9">
        <w:rPr>
          <w:rStyle w:val="TextoNormalCaracter"/>
        </w:rPr>
        <w:t>-</w:t>
      </w:r>
      <w:r>
        <w:t xml:space="preserve"> Sentencia </w:t>
      </w:r>
      <w:hyperlink w:anchor="SENTENCIA_2025_41" w:history="1">
        <w:r w:rsidRPr="001D7FA9">
          <w:rPr>
            <w:rStyle w:val="TextoNormalCaracter"/>
          </w:rPr>
          <w:t>41/2025</w:t>
        </w:r>
      </w:hyperlink>
      <w:r>
        <w:t>, VP.</w:t>
      </w:r>
    </w:p>
    <w:p w14:paraId="6FF784E8" w14:textId="7DE9B3DD" w:rsidR="001D7FA9" w:rsidRDefault="001D7FA9" w:rsidP="001D7FA9">
      <w:pPr>
        <w:pStyle w:val="SangriaFrancesaArticulo"/>
      </w:pPr>
      <w:r w:rsidRPr="001D7FA9">
        <w:rPr>
          <w:rStyle w:val="TextoNormalNegritaCaracter"/>
        </w:rPr>
        <w:t>Artículo 707, párrafo 1</w:t>
      </w:r>
      <w:r>
        <w:t xml:space="preserve"> (redactado por la Ley 4/2015, de 27 de abril)</w:t>
      </w:r>
      <w:r w:rsidRPr="001D7FA9">
        <w:rPr>
          <w:rStyle w:val="TextoNormalNegritaCaracter"/>
        </w:rPr>
        <w:t>.</w:t>
      </w:r>
      <w:r w:rsidRPr="001D7FA9">
        <w:rPr>
          <w:rStyle w:val="TextoNormalCaracter"/>
        </w:rPr>
        <w:t>-</w:t>
      </w:r>
      <w:r>
        <w:t xml:space="preserve"> Sentencia </w:t>
      </w:r>
      <w:hyperlink w:anchor="SENTENCIA_2025_41" w:history="1">
        <w:r w:rsidRPr="001D7FA9">
          <w:rPr>
            <w:rStyle w:val="TextoNormalCaracter"/>
          </w:rPr>
          <w:t>41/2025</w:t>
        </w:r>
      </w:hyperlink>
      <w:r>
        <w:t>, VP.</w:t>
      </w:r>
    </w:p>
    <w:p w14:paraId="671B3CF5" w14:textId="570006E5" w:rsidR="001D7FA9" w:rsidRDefault="001D7FA9" w:rsidP="001D7FA9">
      <w:pPr>
        <w:pStyle w:val="SangriaFrancesaArticulo"/>
      </w:pPr>
      <w:r w:rsidRPr="001D7FA9">
        <w:rPr>
          <w:rStyle w:val="TextoNormalNegritaCaracter"/>
        </w:rPr>
        <w:t>Artículo 708.</w:t>
      </w:r>
      <w:r w:rsidRPr="001D7FA9">
        <w:rPr>
          <w:rStyle w:val="TextoNormalCaracter"/>
        </w:rPr>
        <w:t>-</w:t>
      </w:r>
      <w:r>
        <w:t xml:space="preserve"> Sentencia </w:t>
      </w:r>
      <w:hyperlink w:anchor="SENTENCIA_2025_41" w:history="1">
        <w:r w:rsidRPr="001D7FA9">
          <w:rPr>
            <w:rStyle w:val="TextoNormalCaracter"/>
          </w:rPr>
          <w:t>41/2025</w:t>
        </w:r>
      </w:hyperlink>
      <w:r>
        <w:t>, VP.</w:t>
      </w:r>
    </w:p>
    <w:p w14:paraId="403C5EDC" w14:textId="63782E94" w:rsidR="001D7FA9" w:rsidRDefault="001D7FA9" w:rsidP="001D7FA9">
      <w:pPr>
        <w:pStyle w:val="SangriaFrancesaArticulo"/>
      </w:pPr>
      <w:r w:rsidRPr="001D7FA9">
        <w:rPr>
          <w:rStyle w:val="TextoNormalNegritaCaracter"/>
        </w:rPr>
        <w:t>Artículo 708, párrafo 2.</w:t>
      </w:r>
      <w:r w:rsidRPr="001D7FA9">
        <w:rPr>
          <w:rStyle w:val="TextoNormalCaracter"/>
        </w:rPr>
        <w:t>-</w:t>
      </w:r>
      <w:r>
        <w:t xml:space="preserve"> Sentencia </w:t>
      </w:r>
      <w:hyperlink w:anchor="SENTENCIA_2025_41" w:history="1">
        <w:r w:rsidRPr="001D7FA9">
          <w:rPr>
            <w:rStyle w:val="TextoNormalCaracter"/>
          </w:rPr>
          <w:t>41/2025</w:t>
        </w:r>
      </w:hyperlink>
      <w:r>
        <w:t>, f. 3.</w:t>
      </w:r>
    </w:p>
    <w:p w14:paraId="457B8201" w14:textId="308B7D94" w:rsidR="001D7FA9" w:rsidRDefault="001D7FA9" w:rsidP="001D7FA9">
      <w:pPr>
        <w:pStyle w:val="SangriaFrancesaArticulo"/>
      </w:pPr>
      <w:r w:rsidRPr="001D7FA9">
        <w:rPr>
          <w:rStyle w:val="TextoNormalNegritaCaracter"/>
        </w:rPr>
        <w:t>Artículo 714.</w:t>
      </w:r>
      <w:r w:rsidRPr="001D7FA9">
        <w:rPr>
          <w:rStyle w:val="TextoNormalCaracter"/>
        </w:rPr>
        <w:t>-</w:t>
      </w:r>
      <w:r>
        <w:t xml:space="preserve"> Sentencia </w:t>
      </w:r>
      <w:hyperlink w:anchor="SENTENCIA_2025_41" w:history="1">
        <w:r w:rsidRPr="001D7FA9">
          <w:rPr>
            <w:rStyle w:val="TextoNormalCaracter"/>
          </w:rPr>
          <w:t>41/2025</w:t>
        </w:r>
      </w:hyperlink>
      <w:r>
        <w:t>, f. 3, VP.</w:t>
      </w:r>
    </w:p>
    <w:p w14:paraId="272BEEDA" w14:textId="66414897" w:rsidR="001D7FA9" w:rsidRDefault="001D7FA9" w:rsidP="001D7FA9">
      <w:pPr>
        <w:pStyle w:val="SangriaFrancesaArticulo"/>
      </w:pPr>
      <w:r w:rsidRPr="001D7FA9">
        <w:rPr>
          <w:rStyle w:val="TextoNormalNegritaCaracter"/>
        </w:rPr>
        <w:t>Artículo 741.</w:t>
      </w:r>
      <w:r w:rsidRPr="001D7FA9">
        <w:rPr>
          <w:rStyle w:val="TextoNormalCaracter"/>
        </w:rPr>
        <w:t>-</w:t>
      </w:r>
      <w:r>
        <w:t xml:space="preserve"> Sentencia </w:t>
      </w:r>
      <w:hyperlink w:anchor="SENTENCIA_2025_41" w:history="1">
        <w:r w:rsidRPr="001D7FA9">
          <w:rPr>
            <w:rStyle w:val="TextoNormalCaracter"/>
          </w:rPr>
          <w:t>41/2025</w:t>
        </w:r>
      </w:hyperlink>
      <w:r>
        <w:t>, VP.</w:t>
      </w:r>
    </w:p>
    <w:p w14:paraId="7C82F3C4" w14:textId="19F876B0" w:rsidR="001D7FA9" w:rsidRDefault="001D7FA9" w:rsidP="001D7FA9">
      <w:pPr>
        <w:pStyle w:val="SangriaFrancesaArticulo"/>
      </w:pPr>
      <w:r w:rsidRPr="001D7FA9">
        <w:rPr>
          <w:rStyle w:val="TextoNormalNegritaCaracter"/>
        </w:rPr>
        <w:t>Artículo 770.</w:t>
      </w:r>
      <w:r w:rsidRPr="001D7FA9">
        <w:rPr>
          <w:rStyle w:val="TextoNormalCaracter"/>
        </w:rPr>
        <w:t>-</w:t>
      </w:r>
      <w:r>
        <w:t xml:space="preserve"> Auto </w:t>
      </w:r>
      <w:hyperlink w:anchor="AUTO_2025_8" w:history="1">
        <w:r w:rsidRPr="001D7FA9">
          <w:rPr>
            <w:rStyle w:val="TextoNormalCaracter"/>
          </w:rPr>
          <w:t>8/2025</w:t>
        </w:r>
      </w:hyperlink>
      <w:r>
        <w:t>, VP.</w:t>
      </w:r>
    </w:p>
    <w:p w14:paraId="4441E286" w14:textId="77423332" w:rsidR="001D7FA9" w:rsidRDefault="001D7FA9" w:rsidP="001D7FA9">
      <w:pPr>
        <w:pStyle w:val="SangriaFrancesaArticulo"/>
      </w:pPr>
      <w:r w:rsidRPr="001D7FA9">
        <w:rPr>
          <w:rStyle w:val="TextoNormalNegritaCaracter"/>
        </w:rPr>
        <w:t>Artículo 771.</w:t>
      </w:r>
      <w:r w:rsidRPr="001D7FA9">
        <w:rPr>
          <w:rStyle w:val="TextoNormalCaracter"/>
        </w:rPr>
        <w:t>-</w:t>
      </w:r>
      <w:r>
        <w:t xml:space="preserve"> Auto </w:t>
      </w:r>
      <w:hyperlink w:anchor="AUTO_2025_8" w:history="1">
        <w:r w:rsidRPr="001D7FA9">
          <w:rPr>
            <w:rStyle w:val="TextoNormalCaracter"/>
          </w:rPr>
          <w:t>8/2025</w:t>
        </w:r>
      </w:hyperlink>
      <w:r>
        <w:t>, VP.</w:t>
      </w:r>
    </w:p>
    <w:p w14:paraId="63F182F1" w14:textId="288FA311" w:rsidR="001D7FA9" w:rsidRDefault="001D7FA9" w:rsidP="001D7FA9">
      <w:pPr>
        <w:pStyle w:val="SangriaFrancesaArticulo"/>
      </w:pPr>
      <w:r w:rsidRPr="001D7FA9">
        <w:rPr>
          <w:rStyle w:val="TextoNormalNegritaCaracter"/>
        </w:rPr>
        <w:t>Artículo 779.1.1.</w:t>
      </w:r>
      <w:r w:rsidRPr="001D7FA9">
        <w:rPr>
          <w:rStyle w:val="TextoNormalCaracter"/>
        </w:rPr>
        <w:t>-</w:t>
      </w:r>
      <w:r>
        <w:t xml:space="preserve"> Sentencia </w:t>
      </w:r>
      <w:hyperlink w:anchor="SENTENCIA_2025_126" w:history="1">
        <w:r w:rsidRPr="001D7FA9">
          <w:rPr>
            <w:rStyle w:val="TextoNormalCaracter"/>
          </w:rPr>
          <w:t>126/2025</w:t>
        </w:r>
      </w:hyperlink>
      <w:r>
        <w:t>, f. 3.</w:t>
      </w:r>
    </w:p>
    <w:p w14:paraId="6AA4951E" w14:textId="52D4C3C3" w:rsidR="001D7FA9" w:rsidRDefault="001D7FA9" w:rsidP="001D7FA9">
      <w:pPr>
        <w:pStyle w:val="SangriaFrancesaArticulo"/>
      </w:pPr>
      <w:r w:rsidRPr="001D7FA9">
        <w:rPr>
          <w:rStyle w:val="TextoNormalNegritaCaracter"/>
        </w:rPr>
        <w:t>Artículo 786.</w:t>
      </w:r>
      <w:r w:rsidRPr="001D7FA9">
        <w:rPr>
          <w:rStyle w:val="TextoNormalCaracter"/>
        </w:rPr>
        <w:t>-</w:t>
      </w:r>
      <w:r>
        <w:t xml:space="preserve"> Sentencia </w:t>
      </w:r>
      <w:hyperlink w:anchor="SENTENCIA_2025_137" w:history="1">
        <w:r w:rsidRPr="001D7FA9">
          <w:rPr>
            <w:rStyle w:val="TextoNormalCaracter"/>
          </w:rPr>
          <w:t>137/2025</w:t>
        </w:r>
      </w:hyperlink>
      <w:r>
        <w:t>, f. 19.</w:t>
      </w:r>
    </w:p>
    <w:p w14:paraId="1F875FA7" w14:textId="3101C72B" w:rsidR="001D7FA9" w:rsidRDefault="001D7FA9" w:rsidP="001D7FA9">
      <w:pPr>
        <w:pStyle w:val="SangriaFrancesaArticulo"/>
      </w:pPr>
      <w:r w:rsidRPr="001D7FA9">
        <w:rPr>
          <w:rStyle w:val="TextoNormalNegritaCaracter"/>
        </w:rPr>
        <w:t>Artículo 786.2.</w:t>
      </w:r>
      <w:r w:rsidRPr="001D7FA9">
        <w:rPr>
          <w:rStyle w:val="TextoNormalCaracter"/>
        </w:rPr>
        <w:t>-</w:t>
      </w:r>
      <w:r>
        <w:t xml:space="preserve"> Sentencia </w:t>
      </w:r>
      <w:hyperlink w:anchor="SENTENCIA_2025_31" w:history="1">
        <w:r w:rsidRPr="001D7FA9">
          <w:rPr>
            <w:rStyle w:val="TextoNormalCaracter"/>
          </w:rPr>
          <w:t>31/2025</w:t>
        </w:r>
      </w:hyperlink>
      <w:r>
        <w:t>, f. 4.</w:t>
      </w:r>
    </w:p>
    <w:p w14:paraId="5AE98E14" w14:textId="6B14140E" w:rsidR="001D7FA9" w:rsidRDefault="001D7FA9" w:rsidP="001D7FA9">
      <w:pPr>
        <w:pStyle w:val="SangriaFrancesaArticulo"/>
      </w:pPr>
      <w:r w:rsidRPr="001D7FA9">
        <w:rPr>
          <w:rStyle w:val="TextoNormalNegritaCaracter"/>
        </w:rPr>
        <w:t>Artículo 792.</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2D002CB6" w14:textId="0E019B2A" w:rsidR="001D7FA9" w:rsidRDefault="001D7FA9" w:rsidP="001D7FA9">
      <w:pPr>
        <w:pStyle w:val="SangriaFrancesaArticulo"/>
      </w:pPr>
      <w:r w:rsidRPr="001D7FA9">
        <w:rPr>
          <w:rStyle w:val="TextoNormalNegritaCaracter"/>
        </w:rPr>
        <w:t>Artículo 792.2</w:t>
      </w:r>
      <w:r>
        <w:t xml:space="preserve"> (redactado por la Ley 41/2015, de 5 de octubre)</w:t>
      </w:r>
      <w:r w:rsidRPr="001D7FA9">
        <w:rPr>
          <w:rStyle w:val="TextoNormalNegritaCaracter"/>
        </w:rPr>
        <w:t>.</w:t>
      </w:r>
      <w:r w:rsidRPr="001D7FA9">
        <w:rPr>
          <w:rStyle w:val="TextoNormalCaracter"/>
        </w:rPr>
        <w:t>-</w:t>
      </w:r>
      <w:r>
        <w:t xml:space="preserve"> Sentencia </w:t>
      </w:r>
      <w:hyperlink w:anchor="SENTENCIA_2025_85" w:history="1">
        <w:r w:rsidRPr="001D7FA9">
          <w:rPr>
            <w:rStyle w:val="TextoNormalCaracter"/>
          </w:rPr>
          <w:t>85/2025</w:t>
        </w:r>
      </w:hyperlink>
      <w:r>
        <w:t>, ff. 1 a 3.</w:t>
      </w:r>
    </w:p>
    <w:p w14:paraId="7633E927" w14:textId="4C139879" w:rsidR="001D7FA9" w:rsidRDefault="001D7FA9" w:rsidP="001D7FA9">
      <w:pPr>
        <w:pStyle w:val="SangriaFrancesaArticulo"/>
      </w:pPr>
      <w:r w:rsidRPr="001D7FA9">
        <w:rPr>
          <w:rStyle w:val="TextoNormalNegritaCaracter"/>
        </w:rPr>
        <w:t>Artículo 793.2.</w:t>
      </w:r>
      <w:r w:rsidRPr="001D7FA9">
        <w:rPr>
          <w:rStyle w:val="TextoNormalCaracter"/>
        </w:rPr>
        <w:t>-</w:t>
      </w:r>
      <w:r>
        <w:t xml:space="preserve"> Sentencia </w:t>
      </w:r>
      <w:hyperlink w:anchor="SENTENCIA_2025_31" w:history="1">
        <w:r w:rsidRPr="001D7FA9">
          <w:rPr>
            <w:rStyle w:val="TextoNormalCaracter"/>
          </w:rPr>
          <w:t>31/2025</w:t>
        </w:r>
      </w:hyperlink>
      <w:r>
        <w:t>, f. 4.</w:t>
      </w:r>
    </w:p>
    <w:p w14:paraId="0056346F" w14:textId="5A5883FD" w:rsidR="001D7FA9" w:rsidRDefault="001D7FA9" w:rsidP="001D7FA9">
      <w:pPr>
        <w:pStyle w:val="SangriaFrancesaArticulo"/>
      </w:pPr>
      <w:r w:rsidRPr="001D7FA9">
        <w:rPr>
          <w:rStyle w:val="TextoNormalNegritaCaracter"/>
        </w:rPr>
        <w:t>Artículo 794.</w:t>
      </w:r>
      <w:r w:rsidRPr="001D7FA9">
        <w:rPr>
          <w:rStyle w:val="TextoNormalCaracter"/>
        </w:rPr>
        <w:t>-</w:t>
      </w:r>
      <w:r>
        <w:t xml:space="preserve"> Sentencia </w:t>
      </w:r>
      <w:hyperlink w:anchor="SENTENCIA_2025_137" w:history="1">
        <w:r w:rsidRPr="001D7FA9">
          <w:rPr>
            <w:rStyle w:val="TextoNormalCaracter"/>
          </w:rPr>
          <w:t>137/2025</w:t>
        </w:r>
      </w:hyperlink>
      <w:r>
        <w:t>, f. 18.</w:t>
      </w:r>
    </w:p>
    <w:p w14:paraId="2046E03B" w14:textId="70764927" w:rsidR="001D7FA9" w:rsidRDefault="001D7FA9" w:rsidP="001D7FA9">
      <w:pPr>
        <w:pStyle w:val="SangriaFrancesaArticulo"/>
      </w:pPr>
      <w:r w:rsidRPr="001D7FA9">
        <w:rPr>
          <w:rStyle w:val="TextoNormalNegritaCaracter"/>
        </w:rPr>
        <w:t>Artículo 846 bis a).</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4792C891" w14:textId="5AF81869" w:rsidR="001D7FA9" w:rsidRDefault="001D7FA9" w:rsidP="001D7FA9">
      <w:pPr>
        <w:pStyle w:val="SangriaFrancesaArticulo"/>
      </w:pPr>
      <w:r w:rsidRPr="001D7FA9">
        <w:rPr>
          <w:rStyle w:val="TextoNormalNegritaCaracter"/>
        </w:rPr>
        <w:t>Artículo 846 bis a), párrafo 2.</w:t>
      </w:r>
      <w:r w:rsidRPr="001D7FA9">
        <w:rPr>
          <w:rStyle w:val="TextoNormalCaracter"/>
        </w:rPr>
        <w:t>-</w:t>
      </w:r>
      <w:r>
        <w:t xml:space="preserve"> Sentencia </w:t>
      </w:r>
      <w:hyperlink w:anchor="SENTENCIA_2025_105" w:history="1">
        <w:r w:rsidRPr="001D7FA9">
          <w:rPr>
            <w:rStyle w:val="TextoNormalCaracter"/>
          </w:rPr>
          <w:t>105/2025</w:t>
        </w:r>
      </w:hyperlink>
      <w:r>
        <w:t>, VP II.</w:t>
      </w:r>
    </w:p>
    <w:p w14:paraId="5F13B25E" w14:textId="53C0BDFD" w:rsidR="001D7FA9" w:rsidRDefault="001D7FA9" w:rsidP="001D7FA9">
      <w:pPr>
        <w:pStyle w:val="SangriaFrancesaArticulo"/>
      </w:pPr>
      <w:r w:rsidRPr="001D7FA9">
        <w:rPr>
          <w:rStyle w:val="TextoNormalNegritaCaracter"/>
        </w:rPr>
        <w:t>Artículo 846 ter.</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3805387E" w14:textId="1E23ED7F" w:rsidR="001D7FA9" w:rsidRDefault="001D7FA9" w:rsidP="001D7FA9">
      <w:pPr>
        <w:pStyle w:val="SangriaFrancesaArticulo"/>
      </w:pPr>
      <w:r w:rsidRPr="001D7FA9">
        <w:rPr>
          <w:rStyle w:val="TextoNormalNegritaCaracter"/>
        </w:rPr>
        <w:t>Artículo 846 ter.1.</w:t>
      </w:r>
      <w:r w:rsidRPr="001D7FA9">
        <w:rPr>
          <w:rStyle w:val="TextoNormalCaracter"/>
        </w:rPr>
        <w:t>-</w:t>
      </w:r>
      <w:r>
        <w:t xml:space="preserve"> Sentencias </w:t>
      </w:r>
      <w:hyperlink w:anchor="SENTENCIA_2025_105" w:history="1">
        <w:r w:rsidRPr="001D7FA9">
          <w:rPr>
            <w:rStyle w:val="TextoNormalCaracter"/>
          </w:rPr>
          <w:t>105/2025</w:t>
        </w:r>
      </w:hyperlink>
      <w:r>
        <w:t xml:space="preserve">, f. 2, VP II; </w:t>
      </w:r>
      <w:hyperlink w:anchor="SENTENCIA_2025_110" w:history="1">
        <w:r w:rsidRPr="001D7FA9">
          <w:rPr>
            <w:rStyle w:val="TextoNormalCaracter"/>
          </w:rPr>
          <w:t>110/2025</w:t>
        </w:r>
      </w:hyperlink>
      <w:r>
        <w:t>, VP I.</w:t>
      </w:r>
    </w:p>
    <w:p w14:paraId="0AE39C96" w14:textId="5ADD8D8D" w:rsidR="001D7FA9" w:rsidRDefault="001D7FA9" w:rsidP="001D7FA9">
      <w:pPr>
        <w:pStyle w:val="SangriaFrancesaArticulo"/>
      </w:pPr>
      <w:r w:rsidRPr="001D7FA9">
        <w:rPr>
          <w:rStyle w:val="TextoNormalNegritaCaracter"/>
        </w:rPr>
        <w:t>Artículo 848.</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5BFA30AB" w14:textId="6E9B3D99" w:rsidR="001D7FA9" w:rsidRDefault="001D7FA9" w:rsidP="001D7FA9">
      <w:pPr>
        <w:pStyle w:val="SangriaFrancesaArticulo"/>
      </w:pPr>
      <w:r w:rsidRPr="001D7FA9">
        <w:rPr>
          <w:rStyle w:val="TextoNormalNegritaCaracter"/>
        </w:rPr>
        <w:t>Artículo 849.</w:t>
      </w:r>
      <w:r w:rsidRPr="001D7FA9">
        <w:rPr>
          <w:rStyle w:val="TextoNormalCaracter"/>
        </w:rPr>
        <w:t>-</w:t>
      </w:r>
      <w:r>
        <w:t xml:space="preserve"> Sentencia </w:t>
      </w:r>
      <w:hyperlink w:anchor="SENTENCIA_2025_105" w:history="1">
        <w:r w:rsidRPr="001D7FA9">
          <w:rPr>
            <w:rStyle w:val="TextoNormalCaracter"/>
          </w:rPr>
          <w:t>105/2025</w:t>
        </w:r>
      </w:hyperlink>
      <w:r>
        <w:t>, ff. 2, 3.</w:t>
      </w:r>
    </w:p>
    <w:p w14:paraId="7ECEE812" w14:textId="157DE5F2" w:rsidR="001D7FA9" w:rsidRDefault="001D7FA9" w:rsidP="001D7FA9">
      <w:pPr>
        <w:pStyle w:val="SangriaFrancesaArticulo"/>
      </w:pPr>
      <w:r w:rsidRPr="001D7FA9">
        <w:rPr>
          <w:rStyle w:val="TextoNormalNegritaCaracter"/>
        </w:rPr>
        <w:t>Artículo 849.1.</w:t>
      </w:r>
      <w:r w:rsidRPr="001D7FA9">
        <w:rPr>
          <w:rStyle w:val="TextoNormalCaracter"/>
        </w:rPr>
        <w:t>-</w:t>
      </w:r>
      <w:r>
        <w:t xml:space="preserve"> Sentencia </w:t>
      </w:r>
      <w:hyperlink w:anchor="SENTENCIA_2025_105" w:history="1">
        <w:r w:rsidRPr="001D7FA9">
          <w:rPr>
            <w:rStyle w:val="TextoNormalCaracter"/>
          </w:rPr>
          <w:t>105/2025</w:t>
        </w:r>
      </w:hyperlink>
      <w:r>
        <w:t>, f. 3.</w:t>
      </w:r>
    </w:p>
    <w:p w14:paraId="52C30942" w14:textId="479E9102" w:rsidR="001D7FA9" w:rsidRDefault="001D7FA9" w:rsidP="001D7FA9">
      <w:pPr>
        <w:pStyle w:val="SangriaFrancesaArticulo"/>
      </w:pPr>
      <w:r w:rsidRPr="001D7FA9">
        <w:rPr>
          <w:rStyle w:val="TextoNormalNegritaCaracter"/>
        </w:rPr>
        <w:t>Artículo 852.</w:t>
      </w:r>
      <w:r w:rsidRPr="001D7FA9">
        <w:rPr>
          <w:rStyle w:val="TextoNormalCaracter"/>
        </w:rPr>
        <w:t>-</w:t>
      </w:r>
      <w:r>
        <w:t xml:space="preserve"> Auto </w:t>
      </w:r>
      <w:hyperlink w:anchor="AUTO_2025_8" w:history="1">
        <w:r w:rsidRPr="001D7FA9">
          <w:rPr>
            <w:rStyle w:val="TextoNormalCaracter"/>
          </w:rPr>
          <w:t>8/2025</w:t>
        </w:r>
      </w:hyperlink>
      <w:r>
        <w:t>, VP.</w:t>
      </w:r>
    </w:p>
    <w:p w14:paraId="77B68B7A" w14:textId="65FD18B3" w:rsidR="001D7FA9" w:rsidRDefault="001D7FA9" w:rsidP="001D7FA9">
      <w:pPr>
        <w:pStyle w:val="SangriaFrancesaArticulo"/>
      </w:pPr>
      <w:r w:rsidRPr="001D7FA9">
        <w:rPr>
          <w:rStyle w:val="TextoNormalNegritaCaracter"/>
        </w:rPr>
        <w:t>Artículo 954.1.</w:t>
      </w:r>
      <w:r w:rsidRPr="001D7FA9">
        <w:rPr>
          <w:rStyle w:val="TextoNormalCaracter"/>
        </w:rPr>
        <w:t>-</w:t>
      </w:r>
      <w:r>
        <w:t xml:space="preserve"> Sentencia </w:t>
      </w:r>
      <w:hyperlink w:anchor="SENTENCIA_2025_137" w:history="1">
        <w:r w:rsidRPr="001D7FA9">
          <w:rPr>
            <w:rStyle w:val="TextoNormalCaracter"/>
          </w:rPr>
          <w:t>137/2025</w:t>
        </w:r>
      </w:hyperlink>
      <w:r>
        <w:t>, f. 19.</w:t>
      </w:r>
    </w:p>
    <w:p w14:paraId="06E50606" w14:textId="532869F8" w:rsidR="001D7FA9" w:rsidRDefault="001D7FA9" w:rsidP="001D7FA9">
      <w:pPr>
        <w:pStyle w:val="SangriaFrancesaArticulo"/>
      </w:pPr>
      <w:r w:rsidRPr="001D7FA9">
        <w:rPr>
          <w:rStyle w:val="TextoNormalNegritaCaracter"/>
        </w:rPr>
        <w:t>Artículo 976.2.</w:t>
      </w:r>
      <w:r w:rsidRPr="001D7FA9">
        <w:rPr>
          <w:rStyle w:val="TextoNormalCaracter"/>
        </w:rPr>
        <w:t>-</w:t>
      </w:r>
      <w:r>
        <w:t xml:space="preserve"> Sentencia </w:t>
      </w:r>
      <w:hyperlink w:anchor="SENTENCIA_2025_85" w:history="1">
        <w:r w:rsidRPr="001D7FA9">
          <w:rPr>
            <w:rStyle w:val="TextoNormalCaracter"/>
          </w:rPr>
          <w:t>85/2025</w:t>
        </w:r>
      </w:hyperlink>
      <w:r>
        <w:t>, f. 3.</w:t>
      </w:r>
    </w:p>
    <w:p w14:paraId="00491CB2" w14:textId="2DB448C3" w:rsidR="001D7FA9" w:rsidRDefault="001D7FA9" w:rsidP="001D7FA9">
      <w:pPr>
        <w:pStyle w:val="SangriaFrancesaArticulo"/>
      </w:pPr>
      <w:r w:rsidRPr="001D7FA9">
        <w:rPr>
          <w:rStyle w:val="TextoNormalNegritaCaracter"/>
        </w:rPr>
        <w:t>Artículo 999.</w:t>
      </w:r>
      <w:r w:rsidRPr="001D7FA9">
        <w:rPr>
          <w:rStyle w:val="TextoNormalCaracter"/>
        </w:rPr>
        <w:t>-</w:t>
      </w:r>
      <w:r>
        <w:t xml:space="preserve"> Sentencias </w:t>
      </w:r>
      <w:hyperlink w:anchor="SENTENCIA_2025_105" w:history="1">
        <w:r w:rsidRPr="001D7FA9">
          <w:rPr>
            <w:rStyle w:val="TextoNormalCaracter"/>
          </w:rPr>
          <w:t>105/2025</w:t>
        </w:r>
      </w:hyperlink>
      <w:r>
        <w:t xml:space="preserve">, f. 2; </w:t>
      </w:r>
      <w:hyperlink w:anchor="SENTENCIA_2025_110" w:history="1">
        <w:r w:rsidRPr="001D7FA9">
          <w:rPr>
            <w:rStyle w:val="TextoNormalCaracter"/>
          </w:rPr>
          <w:t>110/2025</w:t>
        </w:r>
      </w:hyperlink>
      <w:r>
        <w:t>, VP I.</w:t>
      </w:r>
    </w:p>
    <w:p w14:paraId="0EC117D3" w14:textId="106CD2FC" w:rsidR="001D7FA9" w:rsidRDefault="001D7FA9" w:rsidP="001D7FA9">
      <w:pPr>
        <w:pStyle w:val="SangriaFrancesaArticulo"/>
      </w:pPr>
      <w:r w:rsidRPr="001D7FA9">
        <w:rPr>
          <w:rStyle w:val="TextoNormalNegritaCaracter"/>
        </w:rPr>
        <w:t>Artículo 999.2.</w:t>
      </w:r>
      <w:r w:rsidRPr="001D7FA9">
        <w:rPr>
          <w:rStyle w:val="TextoNormalCaracter"/>
        </w:rPr>
        <w:t>-</w:t>
      </w:r>
      <w:r>
        <w:t xml:space="preserve"> Sentencia </w:t>
      </w:r>
      <w:hyperlink w:anchor="SENTENCIA_2025_105" w:history="1">
        <w:r w:rsidRPr="001D7FA9">
          <w:rPr>
            <w:rStyle w:val="TextoNormalCaracter"/>
          </w:rPr>
          <w:t>105/2025</w:t>
        </w:r>
      </w:hyperlink>
      <w:r>
        <w:t>, f. 2.</w:t>
      </w:r>
    </w:p>
    <w:p w14:paraId="6B4E9CB3" w14:textId="41DE787C" w:rsidR="001D7FA9" w:rsidRDefault="001D7FA9" w:rsidP="001D7FA9">
      <w:pPr>
        <w:pStyle w:val="SangriaFrancesaArticulo"/>
      </w:pPr>
    </w:p>
    <w:p w14:paraId="401DAC28" w14:textId="77777777" w:rsidR="001D7FA9" w:rsidRDefault="001D7FA9" w:rsidP="001D7FA9">
      <w:pPr>
        <w:pStyle w:val="TextoNormalNegritaCursivandice"/>
        <w:keepNext/>
      </w:pPr>
      <w:r>
        <w:t>Real Decreto de 24 de julio de 1889 por el que se publica el código civil</w:t>
      </w:r>
    </w:p>
    <w:p w14:paraId="69DAB508" w14:textId="504190FC"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Sentencias </w:t>
      </w:r>
      <w:hyperlink w:anchor="SENTENCIA_2025_105" w:history="1">
        <w:r w:rsidRPr="001D7FA9">
          <w:rPr>
            <w:rStyle w:val="TextoNormalCaracter"/>
          </w:rPr>
          <w:t>105/2025</w:t>
        </w:r>
      </w:hyperlink>
      <w:r>
        <w:t xml:space="preserve">, VP III; </w:t>
      </w:r>
      <w:hyperlink w:anchor="SENTENCIA_2025_110" w:history="1">
        <w:r w:rsidRPr="001D7FA9">
          <w:rPr>
            <w:rStyle w:val="TextoNormalCaracter"/>
          </w:rPr>
          <w:t>110/2025</w:t>
        </w:r>
      </w:hyperlink>
      <w:r>
        <w:t>, VP II.</w:t>
      </w:r>
    </w:p>
    <w:p w14:paraId="08B334E1" w14:textId="318BB789" w:rsidR="001D7FA9" w:rsidRDefault="001D7FA9" w:rsidP="001D7FA9">
      <w:pPr>
        <w:pStyle w:val="SangriaFrancesaArticulo"/>
      </w:pPr>
      <w:r w:rsidRPr="001D7FA9">
        <w:rPr>
          <w:rStyle w:val="TextoNormalNegritaCaracter"/>
        </w:rPr>
        <w:t>Artículo 1.6.</w:t>
      </w:r>
      <w:r w:rsidRPr="001D7FA9">
        <w:rPr>
          <w:rStyle w:val="TextoNormalCaracter"/>
        </w:rPr>
        <w:t>-</w:t>
      </w:r>
      <w:r>
        <w:t xml:space="preserve"> Sentencias </w:t>
      </w:r>
      <w:hyperlink w:anchor="SENTENCIA_2025_105" w:history="1">
        <w:r w:rsidRPr="001D7FA9">
          <w:rPr>
            <w:rStyle w:val="TextoNormalCaracter"/>
          </w:rPr>
          <w:t>105/2025</w:t>
        </w:r>
      </w:hyperlink>
      <w:r>
        <w:t xml:space="preserve">, VP I, VP II, VP III; </w:t>
      </w:r>
      <w:hyperlink w:anchor="SENTENCIA_2025_110" w:history="1">
        <w:r w:rsidRPr="001D7FA9">
          <w:rPr>
            <w:rStyle w:val="TextoNormalCaracter"/>
          </w:rPr>
          <w:t>110/2025</w:t>
        </w:r>
      </w:hyperlink>
      <w:r>
        <w:t>, VP I, VP II.</w:t>
      </w:r>
    </w:p>
    <w:p w14:paraId="50043453" w14:textId="1EE91D66"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 </w:t>
      </w:r>
      <w:hyperlink w:anchor="SENTENCIA_2025_26" w:history="1">
        <w:r w:rsidRPr="001D7FA9">
          <w:rPr>
            <w:rStyle w:val="TextoNormalCaracter"/>
          </w:rPr>
          <w:t>26/2025</w:t>
        </w:r>
      </w:hyperlink>
      <w:r>
        <w:t>, VP I.</w:t>
      </w:r>
    </w:p>
    <w:p w14:paraId="62CDA6EC" w14:textId="50E6691B"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Sentencias </w:t>
      </w:r>
      <w:hyperlink w:anchor="SENTENCIA_2025_105" w:history="1">
        <w:r w:rsidRPr="001D7FA9">
          <w:rPr>
            <w:rStyle w:val="TextoNormalCaracter"/>
          </w:rPr>
          <w:t>105/2025</w:t>
        </w:r>
      </w:hyperlink>
      <w:r>
        <w:t xml:space="preserve">, VP III; </w:t>
      </w:r>
      <w:hyperlink w:anchor="SENTENCIA_2025_137" w:history="1">
        <w:r w:rsidRPr="001D7FA9">
          <w:rPr>
            <w:rStyle w:val="TextoNormalCaracter"/>
          </w:rPr>
          <w:t>137/2025</w:t>
        </w:r>
      </w:hyperlink>
      <w:r>
        <w:t>, VP I.</w:t>
      </w:r>
    </w:p>
    <w:p w14:paraId="34464305" w14:textId="6E53A664" w:rsidR="001D7FA9" w:rsidRDefault="001D7FA9" w:rsidP="001D7FA9">
      <w:pPr>
        <w:pStyle w:val="SangriaFrancesaArticulo"/>
      </w:pPr>
      <w:r w:rsidRPr="001D7FA9">
        <w:rPr>
          <w:rStyle w:val="TextoNormalNegritaCaracter"/>
        </w:rPr>
        <w:t>Artículo 6.4.</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0FEB297D" w14:textId="4FB7C737" w:rsidR="001D7FA9" w:rsidRDefault="001D7FA9" w:rsidP="001D7FA9">
      <w:pPr>
        <w:pStyle w:val="SangriaFrancesaArticulo"/>
      </w:pPr>
      <w:r w:rsidRPr="001D7FA9">
        <w:rPr>
          <w:rStyle w:val="TextoNormalNegritaCaracter"/>
        </w:rPr>
        <w:t>Artículo 21.5.</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0AABD61C" w14:textId="772E1A62" w:rsidR="001D7FA9" w:rsidRDefault="001D7FA9" w:rsidP="001D7FA9">
      <w:pPr>
        <w:pStyle w:val="SangriaFrancesaArticulo"/>
      </w:pPr>
      <w:r w:rsidRPr="001D7FA9">
        <w:rPr>
          <w:rStyle w:val="TextoNormalNegritaCaracter"/>
        </w:rPr>
        <w:t>Artículo 94.</w:t>
      </w:r>
      <w:r w:rsidRPr="001D7FA9">
        <w:rPr>
          <w:rStyle w:val="TextoNormalCaracter"/>
        </w:rPr>
        <w:t>-</w:t>
      </w:r>
      <w:r>
        <w:t xml:space="preserve"> Sentencia </w:t>
      </w:r>
      <w:hyperlink w:anchor="SENTENCIA_2025_54" w:history="1">
        <w:r w:rsidRPr="001D7FA9">
          <w:rPr>
            <w:rStyle w:val="TextoNormalCaracter"/>
          </w:rPr>
          <w:t>54/2025</w:t>
        </w:r>
      </w:hyperlink>
      <w:r>
        <w:t>, f. 2, VP.</w:t>
      </w:r>
    </w:p>
    <w:p w14:paraId="365C2E7C" w14:textId="08A87C58" w:rsidR="001D7FA9" w:rsidRDefault="001D7FA9" w:rsidP="001D7FA9">
      <w:pPr>
        <w:pStyle w:val="SangriaFrancesaArticulo"/>
      </w:pPr>
      <w:r w:rsidRPr="001D7FA9">
        <w:rPr>
          <w:rStyle w:val="TextoNormalNegritaCaracter"/>
        </w:rPr>
        <w:t>Artículo 94</w:t>
      </w:r>
      <w:r>
        <w:t xml:space="preserve"> (redactado por la Ley 8/2021, de 2 de junio)</w:t>
      </w:r>
      <w:r w:rsidRPr="001D7FA9">
        <w:rPr>
          <w:rStyle w:val="TextoNormalNegritaCaracter"/>
        </w:rPr>
        <w:t>.</w:t>
      </w:r>
      <w:r w:rsidRPr="001D7FA9">
        <w:rPr>
          <w:rStyle w:val="TextoNormalCaracter"/>
        </w:rPr>
        <w:t>-</w:t>
      </w:r>
      <w:r>
        <w:t xml:space="preserve"> Sentencia </w:t>
      </w:r>
      <w:hyperlink w:anchor="SENTENCIA_2025_54" w:history="1">
        <w:r w:rsidRPr="001D7FA9">
          <w:rPr>
            <w:rStyle w:val="TextoNormalCaracter"/>
          </w:rPr>
          <w:t>54/2025</w:t>
        </w:r>
      </w:hyperlink>
      <w:r>
        <w:t>, f. 2, VP.</w:t>
      </w:r>
    </w:p>
    <w:p w14:paraId="4B80B0C6" w14:textId="5CFBD5F2" w:rsidR="001D7FA9" w:rsidRDefault="001D7FA9" w:rsidP="001D7FA9">
      <w:pPr>
        <w:pStyle w:val="SangriaFrancesaArticulo"/>
      </w:pPr>
      <w:r w:rsidRPr="001D7FA9">
        <w:rPr>
          <w:rStyle w:val="TextoNormalNegritaCaracter"/>
        </w:rPr>
        <w:t>Artículo 94, párrafo 4</w:t>
      </w:r>
      <w:r>
        <w:t xml:space="preserve"> (redactado por la Ley 8/2021, de 2 de junio)</w:t>
      </w:r>
      <w:r w:rsidRPr="001D7FA9">
        <w:rPr>
          <w:rStyle w:val="TextoNormalNegritaCaracter"/>
        </w:rPr>
        <w:t>.</w:t>
      </w:r>
      <w:r w:rsidRPr="001D7FA9">
        <w:rPr>
          <w:rStyle w:val="TextoNormalCaracter"/>
        </w:rPr>
        <w:t>-</w:t>
      </w:r>
      <w:r>
        <w:t xml:space="preserve"> Sentencia </w:t>
      </w:r>
      <w:hyperlink w:anchor="SENTENCIA_2025_54" w:history="1">
        <w:r w:rsidRPr="001D7FA9">
          <w:rPr>
            <w:rStyle w:val="TextoNormalCaracter"/>
          </w:rPr>
          <w:t>54/2025</w:t>
        </w:r>
      </w:hyperlink>
      <w:r>
        <w:t>, VP.</w:t>
      </w:r>
    </w:p>
    <w:p w14:paraId="41E0058E" w14:textId="621B1B60" w:rsidR="001D7FA9" w:rsidRDefault="001D7FA9" w:rsidP="001D7FA9">
      <w:pPr>
        <w:pStyle w:val="SangriaFrancesaArticulo"/>
      </w:pPr>
      <w:r w:rsidRPr="001D7FA9">
        <w:rPr>
          <w:rStyle w:val="TextoNormalNegritaCaracter"/>
        </w:rPr>
        <w:t>Artículo 154.3.</w:t>
      </w:r>
      <w:r w:rsidRPr="001D7FA9">
        <w:rPr>
          <w:rStyle w:val="TextoNormalCaracter"/>
        </w:rPr>
        <w:t>-</w:t>
      </w:r>
      <w:r>
        <w:t xml:space="preserve"> Sentencia </w:t>
      </w:r>
      <w:hyperlink w:anchor="SENTENCIA_2025_54" w:history="1">
        <w:r w:rsidRPr="001D7FA9">
          <w:rPr>
            <w:rStyle w:val="TextoNormalCaracter"/>
          </w:rPr>
          <w:t>54/2025</w:t>
        </w:r>
      </w:hyperlink>
      <w:r>
        <w:t>, VP.</w:t>
      </w:r>
    </w:p>
    <w:p w14:paraId="67A3214A" w14:textId="0BA92138" w:rsidR="001D7FA9" w:rsidRDefault="001D7FA9" w:rsidP="001D7FA9">
      <w:pPr>
        <w:pStyle w:val="SangriaFrancesaArticulo"/>
      </w:pPr>
      <w:r w:rsidRPr="001D7FA9">
        <w:rPr>
          <w:rStyle w:val="TextoNormalNegritaCaracter"/>
        </w:rPr>
        <w:t>Artículo 156.</w:t>
      </w:r>
      <w:r w:rsidRPr="001D7FA9">
        <w:rPr>
          <w:rStyle w:val="TextoNormalCaracter"/>
        </w:rPr>
        <w:t>-</w:t>
      </w:r>
      <w:r>
        <w:t xml:space="preserve"> Sentencia </w:t>
      </w:r>
      <w:hyperlink w:anchor="SENTENCIA_2025_119" w:history="1">
        <w:r w:rsidRPr="001D7FA9">
          <w:rPr>
            <w:rStyle w:val="TextoNormalCaracter"/>
          </w:rPr>
          <w:t>119/2025</w:t>
        </w:r>
      </w:hyperlink>
      <w:r>
        <w:t>, f. 7.</w:t>
      </w:r>
    </w:p>
    <w:p w14:paraId="10A9BBDA" w14:textId="7DE4C5D2" w:rsidR="001D7FA9" w:rsidRDefault="001D7FA9" w:rsidP="001D7FA9">
      <w:pPr>
        <w:pStyle w:val="SangriaFrancesaArticulo"/>
      </w:pPr>
      <w:r w:rsidRPr="001D7FA9">
        <w:rPr>
          <w:rStyle w:val="TextoNormalNegritaCaracter"/>
        </w:rPr>
        <w:t>Artículo 162.1.</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7A95C8CD" w14:textId="682F0872" w:rsidR="001D7FA9" w:rsidRDefault="001D7FA9" w:rsidP="001D7FA9">
      <w:pPr>
        <w:pStyle w:val="SangriaFrancesaArticulo"/>
      </w:pPr>
      <w:r w:rsidRPr="001D7FA9">
        <w:rPr>
          <w:rStyle w:val="TextoNormalNegritaCaracter"/>
        </w:rPr>
        <w:t>Artículo 172.4.</w:t>
      </w:r>
      <w:r w:rsidRPr="001D7FA9">
        <w:rPr>
          <w:rStyle w:val="TextoNormalCaracter"/>
        </w:rPr>
        <w:t>-</w:t>
      </w:r>
      <w:r>
        <w:t xml:space="preserve"> Sentencia </w:t>
      </w:r>
      <w:hyperlink w:anchor="SENTENCIA_2025_43" w:history="1">
        <w:r w:rsidRPr="001D7FA9">
          <w:rPr>
            <w:rStyle w:val="TextoNormalCaracter"/>
          </w:rPr>
          <w:t>43/2025</w:t>
        </w:r>
      </w:hyperlink>
      <w:r>
        <w:t>, f. 3.</w:t>
      </w:r>
    </w:p>
    <w:p w14:paraId="04DB3F81" w14:textId="29A87768" w:rsidR="001D7FA9" w:rsidRDefault="001D7FA9" w:rsidP="001D7FA9">
      <w:pPr>
        <w:pStyle w:val="SangriaFrancesaArticulo"/>
      </w:pPr>
      <w:r w:rsidRPr="001D7FA9">
        <w:rPr>
          <w:rStyle w:val="TextoNormalNegritaCaracter"/>
        </w:rPr>
        <w:t>Artículo 322.</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46BBAAAD" w14:textId="1E183582" w:rsidR="001D7FA9" w:rsidRDefault="001D7FA9" w:rsidP="001D7FA9">
      <w:pPr>
        <w:pStyle w:val="SangriaFrancesaArticulo"/>
      </w:pPr>
      <w:r w:rsidRPr="001D7FA9">
        <w:rPr>
          <w:rStyle w:val="TextoNormalNegritaCaracter"/>
        </w:rPr>
        <w:t>Artículo 323.</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4FDFB102" w14:textId="41FDD3D5" w:rsidR="001D7FA9" w:rsidRDefault="001D7FA9" w:rsidP="001D7FA9">
      <w:pPr>
        <w:pStyle w:val="SangriaFrancesaArticulo"/>
      </w:pPr>
      <w:r w:rsidRPr="001D7FA9">
        <w:rPr>
          <w:rStyle w:val="TextoNormalNegritaCaracter"/>
        </w:rPr>
        <w:t>Artículo 348.</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7BB1D98A" w14:textId="0FABBF6F" w:rsidR="001D7FA9" w:rsidRDefault="001D7FA9" w:rsidP="001D7FA9">
      <w:pPr>
        <w:pStyle w:val="SangriaFrancesaArticulo"/>
      </w:pPr>
      <w:r w:rsidRPr="001D7FA9">
        <w:rPr>
          <w:rStyle w:val="TextoNormalNegritaCaracter"/>
        </w:rPr>
        <w:t>Artículo 1902.</w:t>
      </w:r>
      <w:r w:rsidRPr="001D7FA9">
        <w:rPr>
          <w:rStyle w:val="TextoNormalCaracter"/>
        </w:rPr>
        <w:t>-</w:t>
      </w:r>
      <w:r>
        <w:t xml:space="preserve"> Sentencia </w:t>
      </w:r>
      <w:hyperlink w:anchor="SENTENCIA_2025_137" w:history="1">
        <w:r w:rsidRPr="001D7FA9">
          <w:rPr>
            <w:rStyle w:val="TextoNormalCaracter"/>
          </w:rPr>
          <w:t>137/2025</w:t>
        </w:r>
      </w:hyperlink>
      <w:r>
        <w:t>, f. 9.</w:t>
      </w:r>
    </w:p>
    <w:p w14:paraId="437A1D11" w14:textId="3EB9DF21" w:rsidR="001D7FA9" w:rsidRDefault="001D7FA9" w:rsidP="001D7FA9">
      <w:pPr>
        <w:pStyle w:val="SangriaFrancesaArticulo"/>
      </w:pPr>
    </w:p>
    <w:p w14:paraId="2CBA536B" w14:textId="77777777" w:rsidR="001D7FA9" w:rsidRDefault="001D7FA9" w:rsidP="001D7FA9">
      <w:pPr>
        <w:pStyle w:val="TextoNormalNegritaCursivandice"/>
        <w:keepNext/>
      </w:pPr>
      <w:r>
        <w:t>Real Decreto de 6 de septiembre de 1838, del Cuerpo de Carabineros de la Hacienda Pública</w:t>
      </w:r>
    </w:p>
    <w:p w14:paraId="63F126F9" w14:textId="082166C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5734CEC4" w14:textId="1FED0BFA" w:rsidR="001D7FA9" w:rsidRDefault="001D7FA9" w:rsidP="001D7FA9">
      <w:pPr>
        <w:pStyle w:val="SangriaFrancesaArticulo"/>
      </w:pPr>
    </w:p>
    <w:p w14:paraId="03EA1E75" w14:textId="77777777" w:rsidR="001D7FA9" w:rsidRDefault="001D7FA9" w:rsidP="001D7FA9">
      <w:pPr>
        <w:pStyle w:val="TextoNormalNegritaCursivandice"/>
        <w:keepNext/>
      </w:pPr>
      <w:r>
        <w:t>Real Decreto de 6 de agosto de 1842, del Cuerpo de Carabineros del Reino</w:t>
      </w:r>
    </w:p>
    <w:p w14:paraId="7D153081" w14:textId="4AD0D7F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8" w:history="1">
        <w:r w:rsidRPr="001D7FA9">
          <w:rPr>
            <w:rStyle w:val="TextoNormalCaracter"/>
          </w:rPr>
          <w:t>8/2025</w:t>
        </w:r>
      </w:hyperlink>
      <w:r>
        <w:t>, VP.</w:t>
      </w:r>
    </w:p>
    <w:p w14:paraId="3D4C5E59" w14:textId="35CC6396" w:rsidR="001D7FA9" w:rsidRDefault="001D7FA9" w:rsidP="001D7FA9">
      <w:pPr>
        <w:pStyle w:val="SangriaFrancesaArticulo"/>
      </w:pPr>
    </w:p>
    <w:p w14:paraId="6D86C64E" w14:textId="77777777" w:rsidR="001D7FA9" w:rsidRDefault="001D7FA9" w:rsidP="001D7FA9">
      <w:pPr>
        <w:pStyle w:val="TextoNormalNegritaCursivandice"/>
        <w:keepNext/>
      </w:pPr>
      <w:r>
        <w:t>Ley de 19 de julio de 1944. Texto refundido del Código penal de 1932</w:t>
      </w:r>
    </w:p>
    <w:p w14:paraId="6DE19129" w14:textId="3F1F609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1E306F9C" w14:textId="5D9F4765" w:rsidR="001D7FA9" w:rsidRDefault="001D7FA9" w:rsidP="001D7FA9">
      <w:pPr>
        <w:pStyle w:val="SangriaFrancesaArticulo"/>
      </w:pPr>
      <w:r w:rsidRPr="001D7FA9">
        <w:rPr>
          <w:rStyle w:val="TextoNormalNegritaCaracter"/>
        </w:rPr>
        <w:t>Articulo 112.3.</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2F28FF21" w14:textId="52D05A99" w:rsidR="001D7FA9" w:rsidRDefault="001D7FA9" w:rsidP="001D7FA9">
      <w:pPr>
        <w:pStyle w:val="SangriaFrancesaArticulo"/>
      </w:pPr>
    </w:p>
    <w:p w14:paraId="21F6128F" w14:textId="77777777" w:rsidR="001D7FA9" w:rsidRDefault="001D7FA9" w:rsidP="001D7FA9">
      <w:pPr>
        <w:pStyle w:val="TextoNormalNegritaCursivandice"/>
        <w:keepNext/>
      </w:pPr>
      <w:r>
        <w:t>Ley de 3 de diciembre de 1953, de reforma y desarrollo agrario</w:t>
      </w:r>
    </w:p>
    <w:p w14:paraId="38CF4BF5" w14:textId="47D3C30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VP I.</w:t>
      </w:r>
    </w:p>
    <w:p w14:paraId="4F4E1393" w14:textId="0151C3C0" w:rsidR="001D7FA9" w:rsidRDefault="001D7FA9" w:rsidP="001D7FA9">
      <w:pPr>
        <w:pStyle w:val="SangriaFrancesaArticulo"/>
      </w:pPr>
    </w:p>
    <w:p w14:paraId="551DDAC3" w14:textId="77777777" w:rsidR="001D7FA9" w:rsidRDefault="001D7FA9" w:rsidP="001D7FA9">
      <w:pPr>
        <w:pStyle w:val="TextoNormalNegritaCursivandice"/>
        <w:keepNext/>
      </w:pPr>
      <w:r>
        <w:t>Ley de 16 de diciembre de 1954 sobre expropiación forzosa</w:t>
      </w:r>
    </w:p>
    <w:p w14:paraId="0B3179E5" w14:textId="1022CE2C"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25" w:history="1">
        <w:r w:rsidRPr="001D7FA9">
          <w:rPr>
            <w:rStyle w:val="TextoNormalCaracter"/>
          </w:rPr>
          <w:t>25/2025</w:t>
        </w:r>
      </w:hyperlink>
      <w:r>
        <w:t>, VP I.</w:t>
      </w:r>
    </w:p>
    <w:p w14:paraId="372A8D36" w14:textId="072855E9" w:rsidR="001D7FA9" w:rsidRDefault="001D7FA9" w:rsidP="001D7FA9">
      <w:pPr>
        <w:pStyle w:val="SangriaFrancesaArticulo"/>
      </w:pPr>
      <w:r w:rsidRPr="001D7FA9">
        <w:rPr>
          <w:rStyle w:val="TextoNormalNegritaCaracter"/>
        </w:rPr>
        <w:t>Artículo 71 y ss.</w:t>
      </w:r>
      <w:r w:rsidRPr="001D7FA9">
        <w:rPr>
          <w:rStyle w:val="TextoNormalCaracter"/>
        </w:rPr>
        <w:t>-</w:t>
      </w:r>
      <w:r>
        <w:t xml:space="preserve"> Sentencia </w:t>
      </w:r>
      <w:hyperlink w:anchor="SENTENCIA_2025_25" w:history="1">
        <w:r w:rsidRPr="001D7FA9">
          <w:rPr>
            <w:rStyle w:val="TextoNormalCaracter"/>
          </w:rPr>
          <w:t>25/2025</w:t>
        </w:r>
      </w:hyperlink>
      <w:r>
        <w:t>, f. 5.</w:t>
      </w:r>
    </w:p>
    <w:p w14:paraId="5C78EB60" w14:textId="25EAAE39" w:rsidR="001D7FA9" w:rsidRDefault="001D7FA9" w:rsidP="001D7FA9">
      <w:pPr>
        <w:pStyle w:val="SangriaFrancesaArticulo"/>
      </w:pPr>
    </w:p>
    <w:p w14:paraId="105EFCC3" w14:textId="77777777" w:rsidR="001D7FA9" w:rsidRDefault="001D7FA9" w:rsidP="001D7FA9">
      <w:pPr>
        <w:pStyle w:val="TextoNormalNegritaCursivandice"/>
        <w:keepNext/>
      </w:pPr>
      <w:r>
        <w:t>Ley de 12 de mayo de 1956 sobre régimen del suelo y ordenación urbana</w:t>
      </w:r>
    </w:p>
    <w:p w14:paraId="17844270" w14:textId="1A9048A2" w:rsidR="001D7FA9" w:rsidRDefault="001D7FA9" w:rsidP="001D7FA9">
      <w:pPr>
        <w:pStyle w:val="SangriaFrancesaArticulo"/>
      </w:pPr>
      <w:r w:rsidRPr="001D7FA9">
        <w:rPr>
          <w:rStyle w:val="TextoNormalNegritaCaracter"/>
        </w:rPr>
        <w:t>Artículo 47.1.</w:t>
      </w:r>
      <w:r w:rsidRPr="001D7FA9">
        <w:rPr>
          <w:rStyle w:val="TextoNormalCaracter"/>
        </w:rPr>
        <w:t>-</w:t>
      </w:r>
      <w:r>
        <w:t xml:space="preserve"> Sentencia </w:t>
      </w:r>
      <w:hyperlink w:anchor="SENTENCIA_2025_64" w:history="1">
        <w:r w:rsidRPr="001D7FA9">
          <w:rPr>
            <w:rStyle w:val="TextoNormalCaracter"/>
          </w:rPr>
          <w:t>64/2025</w:t>
        </w:r>
      </w:hyperlink>
      <w:r>
        <w:t>, f. 4.</w:t>
      </w:r>
    </w:p>
    <w:p w14:paraId="306333F4" w14:textId="68CCE544" w:rsidR="001D7FA9" w:rsidRDefault="001D7FA9" w:rsidP="001D7FA9">
      <w:pPr>
        <w:pStyle w:val="SangriaFrancesaArticulo"/>
      </w:pPr>
    </w:p>
    <w:p w14:paraId="2A16E108" w14:textId="77777777" w:rsidR="001D7FA9" w:rsidRDefault="001D7FA9" w:rsidP="001D7FA9">
      <w:pPr>
        <w:pStyle w:val="TextoNormalNegritaCursivandice"/>
        <w:keepNext/>
      </w:pPr>
      <w:r>
        <w:t>Decreto 168/1963, de 24 de enero. Revisión parcial del Código penal</w:t>
      </w:r>
    </w:p>
    <w:p w14:paraId="4C47EAB5" w14:textId="5EDE89A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4F28EF38" w14:textId="706E232A" w:rsidR="001D7FA9" w:rsidRDefault="001D7FA9" w:rsidP="001D7FA9">
      <w:pPr>
        <w:pStyle w:val="SangriaFrancesaArticulo"/>
      </w:pPr>
    </w:p>
    <w:p w14:paraId="6FB28FCD" w14:textId="77777777" w:rsidR="001D7FA9" w:rsidRDefault="001D7FA9" w:rsidP="001D7FA9">
      <w:pPr>
        <w:pStyle w:val="TextoNormalNegritaCursivandice"/>
        <w:keepNext/>
      </w:pPr>
      <w:r>
        <w:t>Decreto 315/1964, de 7 de febrero. Ley articulada de funcionarios civiles del Estado</w:t>
      </w:r>
    </w:p>
    <w:p w14:paraId="437141C0" w14:textId="441DA441" w:rsidR="001D7FA9" w:rsidRDefault="001D7FA9" w:rsidP="001D7FA9">
      <w:pPr>
        <w:pStyle w:val="SangriaFrancesaArticulo"/>
      </w:pPr>
      <w:r w:rsidRPr="001D7FA9">
        <w:rPr>
          <w:rStyle w:val="TextoNormalNegritaCaracter"/>
        </w:rPr>
        <w:t>Artículo 37.</w:t>
      </w:r>
      <w:r w:rsidRPr="001D7FA9">
        <w:rPr>
          <w:rStyle w:val="TextoNormalCaracter"/>
        </w:rPr>
        <w:t>-</w:t>
      </w:r>
      <w:r>
        <w:t xml:space="preserve"> Auto </w:t>
      </w:r>
      <w:hyperlink w:anchor="AUTO_2025_32" w:history="1">
        <w:r w:rsidRPr="001D7FA9">
          <w:rPr>
            <w:rStyle w:val="TextoNormalCaracter"/>
          </w:rPr>
          <w:t>32/2025</w:t>
        </w:r>
      </w:hyperlink>
      <w:r>
        <w:t>, f. 6.</w:t>
      </w:r>
    </w:p>
    <w:p w14:paraId="32A13A90" w14:textId="3B5D0C09" w:rsidR="001D7FA9" w:rsidRDefault="001D7FA9" w:rsidP="001D7FA9">
      <w:pPr>
        <w:pStyle w:val="SangriaFrancesaArticulo"/>
      </w:pPr>
      <w:r w:rsidRPr="001D7FA9">
        <w:rPr>
          <w:rStyle w:val="TextoNormalNegritaCaracter"/>
        </w:rPr>
        <w:t>Artículo 37.4</w:t>
      </w:r>
      <w:r>
        <w:t xml:space="preserve"> (redactado por la Ley 13/1996, de 30 de diciembre)</w:t>
      </w:r>
      <w:r w:rsidRPr="001D7FA9">
        <w:rPr>
          <w:rStyle w:val="TextoNormalNegritaCaracter"/>
        </w:rPr>
        <w:t>.</w:t>
      </w:r>
      <w:r w:rsidRPr="001D7FA9">
        <w:rPr>
          <w:rStyle w:val="TextoNormalCaracter"/>
        </w:rPr>
        <w:t>-</w:t>
      </w:r>
      <w:r>
        <w:t xml:space="preserve"> Auto </w:t>
      </w:r>
      <w:hyperlink w:anchor="AUTO_2025_32" w:history="1">
        <w:r w:rsidRPr="001D7FA9">
          <w:rPr>
            <w:rStyle w:val="TextoNormalCaracter"/>
          </w:rPr>
          <w:t>32/2025</w:t>
        </w:r>
      </w:hyperlink>
      <w:r>
        <w:t>, f. 6.</w:t>
      </w:r>
    </w:p>
    <w:p w14:paraId="074A64FA" w14:textId="4C109141" w:rsidR="001D7FA9" w:rsidRDefault="001D7FA9" w:rsidP="001D7FA9">
      <w:pPr>
        <w:pStyle w:val="SangriaFrancesaArticulo"/>
      </w:pPr>
    </w:p>
    <w:p w14:paraId="25A2E6A7" w14:textId="77777777" w:rsidR="001D7FA9" w:rsidRDefault="001D7FA9" w:rsidP="001D7FA9">
      <w:pPr>
        <w:pStyle w:val="TextoNormalNegritaCursivandice"/>
        <w:keepNext/>
      </w:pPr>
      <w:r>
        <w:t>Decreto 4104/1964, de 24 de diciembre, por el que se aprueba el texto refundido de la Ley de arrendamientos urbanos</w:t>
      </w:r>
    </w:p>
    <w:p w14:paraId="68952209" w14:textId="2C2BD6C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7D4DF725" w14:textId="330F2F44" w:rsidR="001D7FA9" w:rsidRDefault="001D7FA9" w:rsidP="001D7FA9">
      <w:pPr>
        <w:pStyle w:val="SangriaFrancesaArticulo"/>
      </w:pPr>
    </w:p>
    <w:p w14:paraId="7EE843B7" w14:textId="77777777" w:rsidR="001D7FA9" w:rsidRDefault="001D7FA9" w:rsidP="001D7FA9">
      <w:pPr>
        <w:pStyle w:val="TextoNormalNegritaCursivandice"/>
        <w:keepNext/>
      </w:pPr>
      <w:r>
        <w:t>Ley 14/1966, de 18 de marzo, de prensa e imprenta</w:t>
      </w:r>
    </w:p>
    <w:p w14:paraId="744B8ADD" w14:textId="27E3487B" w:rsidR="001D7FA9" w:rsidRDefault="001D7FA9" w:rsidP="001D7FA9">
      <w:pPr>
        <w:pStyle w:val="SangriaFrancesaArticulo"/>
      </w:pPr>
      <w:r w:rsidRPr="001D7FA9">
        <w:rPr>
          <w:rStyle w:val="TextoNormalNegritaCaracter"/>
        </w:rPr>
        <w:t>Artículo 43 y ss..</w:t>
      </w:r>
      <w:r w:rsidRPr="001D7FA9">
        <w:rPr>
          <w:rStyle w:val="TextoNormalCaracter"/>
        </w:rPr>
        <w:t>-</w:t>
      </w:r>
      <w:r>
        <w:t xml:space="preserve"> Sentencia </w:t>
      </w:r>
      <w:hyperlink w:anchor="SENTENCIA_2025_62" w:history="1">
        <w:r w:rsidRPr="001D7FA9">
          <w:rPr>
            <w:rStyle w:val="TextoNormalCaracter"/>
          </w:rPr>
          <w:t>62/2025</w:t>
        </w:r>
      </w:hyperlink>
      <w:r>
        <w:t>, VP I.</w:t>
      </w:r>
    </w:p>
    <w:p w14:paraId="51EF16F9" w14:textId="1E1117C8" w:rsidR="001D7FA9" w:rsidRDefault="001D7FA9" w:rsidP="001D7FA9">
      <w:pPr>
        <w:pStyle w:val="SangriaFrancesaArticulo"/>
      </w:pPr>
      <w:r w:rsidRPr="001D7FA9">
        <w:rPr>
          <w:rStyle w:val="TextoNormalNegritaCaracter"/>
        </w:rPr>
        <w:t>Artículo 47.</w:t>
      </w:r>
      <w:r w:rsidRPr="001D7FA9">
        <w:rPr>
          <w:rStyle w:val="TextoNormalCaracter"/>
        </w:rPr>
        <w:t>-</w:t>
      </w:r>
      <w:r>
        <w:t xml:space="preserve"> Sentencia </w:t>
      </w:r>
      <w:hyperlink w:anchor="SENTENCIA_2025_62" w:history="1">
        <w:r w:rsidRPr="001D7FA9">
          <w:rPr>
            <w:rStyle w:val="TextoNormalCaracter"/>
          </w:rPr>
          <w:t>62/2025</w:t>
        </w:r>
      </w:hyperlink>
      <w:r>
        <w:t>, VP I.</w:t>
      </w:r>
    </w:p>
    <w:p w14:paraId="6AF2AE17" w14:textId="7B0D8D35" w:rsidR="001D7FA9" w:rsidRDefault="001D7FA9" w:rsidP="001D7FA9">
      <w:pPr>
        <w:pStyle w:val="SangriaFrancesaArticulo"/>
      </w:pPr>
    </w:p>
    <w:p w14:paraId="61297021" w14:textId="77777777" w:rsidR="001D7FA9" w:rsidRDefault="001D7FA9" w:rsidP="001D7FA9">
      <w:pPr>
        <w:pStyle w:val="TextoNormalNegritaCursivandice"/>
        <w:keepNext/>
      </w:pPr>
      <w:r>
        <w:t>Decreto 118/1973, de 12 de enero, por el que se aprueba el texto de la Ley de reforma y desarrollo agrario</w:t>
      </w:r>
    </w:p>
    <w:p w14:paraId="2E0C1627" w14:textId="7A2A309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VP I.</w:t>
      </w:r>
    </w:p>
    <w:p w14:paraId="06D8BBDD" w14:textId="43ABBA04" w:rsidR="001D7FA9" w:rsidRDefault="001D7FA9" w:rsidP="001D7FA9">
      <w:pPr>
        <w:pStyle w:val="SangriaFrancesaArticulo"/>
      </w:pPr>
    </w:p>
    <w:p w14:paraId="159A75BB" w14:textId="77777777" w:rsidR="001D7FA9" w:rsidRDefault="001D7FA9" w:rsidP="001D7FA9">
      <w:pPr>
        <w:pStyle w:val="TextoNormalNegritaCursivandice"/>
        <w:keepNext/>
      </w:pPr>
      <w:r>
        <w:t>Decreto 3096/1973, de 14 de septiembre, por el que se publica el Código penal, texto refundido conforme a la Ley 44/1971, de 15 de noviembre</w:t>
      </w:r>
    </w:p>
    <w:p w14:paraId="29AA5504" w14:textId="494613A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105" w:history="1">
        <w:r w:rsidRPr="001D7FA9">
          <w:rPr>
            <w:rStyle w:val="TextoNormalCaracter"/>
          </w:rPr>
          <w:t>105/2025</w:t>
        </w:r>
      </w:hyperlink>
      <w:r>
        <w:t xml:space="preserve">, f. 2; </w:t>
      </w:r>
      <w:hyperlink w:anchor="SENTENCIA_2025_137" w:history="1">
        <w:r w:rsidRPr="001D7FA9">
          <w:rPr>
            <w:rStyle w:val="TextoNormalCaracter"/>
          </w:rPr>
          <w:t>137/2025</w:t>
        </w:r>
      </w:hyperlink>
      <w:r>
        <w:t>, VP IV.</w:t>
      </w:r>
    </w:p>
    <w:p w14:paraId="59ACCADF" w14:textId="1693B18E" w:rsidR="001D7FA9" w:rsidRDefault="001D7FA9" w:rsidP="001D7FA9">
      <w:pPr>
        <w:pStyle w:val="SangriaFrancesaArticulo"/>
      </w:pPr>
      <w:r w:rsidRPr="001D7FA9">
        <w:rPr>
          <w:rStyle w:val="TextoNormalNegritaCaracter"/>
        </w:rPr>
        <w:t>Artículo 112.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B6D2ACF" w14:textId="26104827" w:rsidR="001D7FA9" w:rsidRDefault="001D7FA9" w:rsidP="001D7FA9">
      <w:pPr>
        <w:pStyle w:val="SangriaFrancesaArticulo"/>
      </w:pPr>
    </w:p>
    <w:p w14:paraId="057308A7" w14:textId="77777777" w:rsidR="001D7FA9" w:rsidRDefault="001D7FA9" w:rsidP="001D7FA9">
      <w:pPr>
        <w:pStyle w:val="TextoNormalNegritaCursivandice"/>
        <w:keepNext/>
      </w:pPr>
      <w:r>
        <w:t>Real Decreto-ley 10/1976, de 30 de julio, sobre amnistía</w:t>
      </w:r>
    </w:p>
    <w:p w14:paraId="06324B15" w14:textId="4ED6C31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ff. 2, 6, VP I, VP II, VP III.</w:t>
      </w:r>
    </w:p>
    <w:p w14:paraId="3D6E392F" w14:textId="48948EAC" w:rsidR="001D7FA9" w:rsidRDefault="001D7FA9" w:rsidP="001D7FA9">
      <w:pPr>
        <w:pStyle w:val="SangriaFrancesaArticulo"/>
      </w:pPr>
    </w:p>
    <w:p w14:paraId="6C9F0A21" w14:textId="77777777" w:rsidR="001D7FA9" w:rsidRDefault="001D7FA9" w:rsidP="001D7FA9">
      <w:pPr>
        <w:pStyle w:val="TextoNormalNegritaCursivandice"/>
        <w:keepNext/>
      </w:pPr>
      <w:r>
        <w:t>Real Decreto-ley 20/1977, de 18 de marzo. Normas electorales</w:t>
      </w:r>
    </w:p>
    <w:p w14:paraId="64A3FFB8" w14:textId="4A9B3F4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1" w:history="1">
        <w:r w:rsidRPr="001D7FA9">
          <w:rPr>
            <w:rStyle w:val="TextoNormalCaracter"/>
          </w:rPr>
          <w:t>51/2025</w:t>
        </w:r>
      </w:hyperlink>
      <w:r>
        <w:t>, f. 2.</w:t>
      </w:r>
    </w:p>
    <w:p w14:paraId="3F312250" w14:textId="5AFE30D3" w:rsidR="001D7FA9" w:rsidRDefault="001D7FA9" w:rsidP="001D7FA9">
      <w:pPr>
        <w:pStyle w:val="SangriaFrancesaArticulo"/>
      </w:pPr>
    </w:p>
    <w:p w14:paraId="747B8FC4" w14:textId="77777777" w:rsidR="001D7FA9" w:rsidRDefault="001D7FA9" w:rsidP="001D7FA9">
      <w:pPr>
        <w:pStyle w:val="TextoNormalNegritaCursivandice"/>
        <w:keepNext/>
      </w:pPr>
      <w:r>
        <w:t>Ley 46/1977, de 15 de octubre, de amnistía</w:t>
      </w:r>
    </w:p>
    <w:p w14:paraId="0C1B1CC3" w14:textId="6D4B5F1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ff. 2, 6, VP I, VP II, VP III, VP IV.</w:t>
      </w:r>
    </w:p>
    <w:p w14:paraId="453964DB" w14:textId="3E582A17"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AB0CF48" w14:textId="48538BB9"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509AA37" w14:textId="0C549A74" w:rsidR="001D7FA9" w:rsidRDefault="001D7FA9" w:rsidP="001D7FA9">
      <w:pPr>
        <w:pStyle w:val="SangriaFrancesaArticulo"/>
      </w:pPr>
      <w:r w:rsidRPr="001D7FA9">
        <w:rPr>
          <w:rStyle w:val="TextoNormalNegritaCaracter"/>
        </w:rPr>
        <w:t>Artículo 11 bis</w:t>
      </w:r>
      <w:r>
        <w:t xml:space="preserve"> (redactado por la Ley 1/1984, de 9 de enero)</w:t>
      </w:r>
      <w:r w:rsidRPr="001D7FA9">
        <w:rPr>
          <w:rStyle w:val="TextoNormalNegritaCaracter"/>
        </w:rPr>
        <w:t>.</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70D9D2D" w14:textId="7E4216C6" w:rsidR="001D7FA9" w:rsidRDefault="001D7FA9" w:rsidP="001D7FA9">
      <w:pPr>
        <w:pStyle w:val="SangriaFrancesaArticulo"/>
      </w:pPr>
      <w:r w:rsidRPr="001D7FA9">
        <w:rPr>
          <w:rStyle w:val="TextoNormalNegritaCaracter"/>
        </w:rPr>
        <w:t>Disposición adicional</w:t>
      </w:r>
      <w:r>
        <w:t xml:space="preserve"> (redactada por la Ley 1/1984, de 9 de enero)</w:t>
      </w:r>
      <w:r w:rsidRPr="001D7FA9">
        <w:rPr>
          <w:rStyle w:val="TextoNormalNegritaCaracter"/>
        </w:rPr>
        <w:t>.</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60CED0B" w14:textId="68EEAA71" w:rsidR="001D7FA9" w:rsidRDefault="001D7FA9" w:rsidP="001D7FA9">
      <w:pPr>
        <w:pStyle w:val="SangriaFrancesaArticulo"/>
      </w:pPr>
    </w:p>
    <w:p w14:paraId="124805B6" w14:textId="77777777" w:rsidR="001D7FA9" w:rsidRDefault="001D7FA9" w:rsidP="001D7FA9">
      <w:pPr>
        <w:pStyle w:val="TextoNormalNegritaCursivandice"/>
        <w:keepNext/>
      </w:pPr>
      <w:r>
        <w:t>Real Decreto-ley 6/1978, de 6 de marzo. Beneficios a militares que tomaron parte en la guerra civil</w:t>
      </w:r>
    </w:p>
    <w:p w14:paraId="7E7E180D" w14:textId="5F78F1B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2.</w:t>
      </w:r>
    </w:p>
    <w:p w14:paraId="2B0F618B" w14:textId="081DE8F1" w:rsidR="001D7FA9" w:rsidRDefault="001D7FA9" w:rsidP="001D7FA9">
      <w:pPr>
        <w:pStyle w:val="TextoNormal"/>
      </w:pPr>
    </w:p>
    <w:p w14:paraId="7FC1DC53" w14:textId="77777777" w:rsidR="001D7FA9" w:rsidRDefault="001D7FA9" w:rsidP="001D7FA9">
      <w:pPr>
        <w:pStyle w:val="SangriaFrancesaArticulo"/>
      </w:pPr>
      <w:bookmarkStart w:id="220" w:name="INDICE22851"/>
    </w:p>
    <w:bookmarkEnd w:id="220"/>
    <w:p w14:paraId="0EBD6FC1" w14:textId="77777777" w:rsidR="001D7FA9" w:rsidRDefault="001D7FA9" w:rsidP="001D7FA9">
      <w:pPr>
        <w:pStyle w:val="TextoIndiceNivel2"/>
        <w:suppressAutoHyphens/>
      </w:pPr>
      <w:r>
        <w:t>J) Comunidades y Ciudades Autónomas</w:t>
      </w:r>
    </w:p>
    <w:p w14:paraId="5D06F485" w14:textId="6EDF7CA3" w:rsidR="001D7FA9" w:rsidRDefault="001D7FA9" w:rsidP="001D7FA9">
      <w:pPr>
        <w:pStyle w:val="TextoNormal"/>
      </w:pPr>
    </w:p>
    <w:p w14:paraId="72E985A8" w14:textId="77777777" w:rsidR="001D7FA9" w:rsidRDefault="001D7FA9" w:rsidP="001D7FA9">
      <w:pPr>
        <w:pStyle w:val="TextoNormalNegritaCentrado"/>
        <w:suppressAutoHyphens/>
      </w:pPr>
      <w:r w:rsidRPr="001D7FA9">
        <w:rPr>
          <w:rStyle w:val="TextoNormalNegritaCentradoSombreado"/>
        </w:rPr>
        <w:t>J.1) Andalucía</w:t>
      </w:r>
    </w:p>
    <w:p w14:paraId="7F4A95DB" w14:textId="6B63E8DE" w:rsidR="001D7FA9" w:rsidRDefault="001D7FA9" w:rsidP="001D7FA9">
      <w:pPr>
        <w:pStyle w:val="TextoNormal"/>
      </w:pPr>
    </w:p>
    <w:p w14:paraId="1020C8C4" w14:textId="77777777" w:rsidR="001D7FA9" w:rsidRDefault="001D7FA9" w:rsidP="001D7FA9">
      <w:pPr>
        <w:pStyle w:val="TextoNormalNegritaCentradoSubrayado"/>
        <w:suppressAutoHyphens/>
      </w:pPr>
      <w:r>
        <w:t>J.1.a) Estatuto de Autonomía</w:t>
      </w:r>
    </w:p>
    <w:p w14:paraId="562DF97E" w14:textId="3CC9431F" w:rsidR="001D7FA9" w:rsidRDefault="001D7FA9" w:rsidP="001D7FA9">
      <w:pPr>
        <w:pStyle w:val="TextoNormalNegritaCentradoSubrayado"/>
      </w:pPr>
    </w:p>
    <w:p w14:paraId="4C11754A" w14:textId="77777777" w:rsidR="001D7FA9" w:rsidRDefault="001D7FA9" w:rsidP="001D7FA9">
      <w:pPr>
        <w:pStyle w:val="TextoNormalNegritaCursivandice"/>
        <w:keepNext/>
      </w:pPr>
      <w:r>
        <w:t>Ley Orgánica 2/2007, de 19 de marzo, de reforma del Estatuto de Autonomía de Andalucía</w:t>
      </w:r>
    </w:p>
    <w:p w14:paraId="1911E669" w14:textId="2C6D59F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VP I.</w:t>
      </w:r>
    </w:p>
    <w:p w14:paraId="328BAD22" w14:textId="253714AA"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Sentencia </w:t>
      </w:r>
      <w:hyperlink w:anchor="SENTENCIA_2025_40" w:history="1">
        <w:r w:rsidRPr="001D7FA9">
          <w:rPr>
            <w:rStyle w:val="TextoNormalCaracter"/>
          </w:rPr>
          <w:t>40/2025</w:t>
        </w:r>
      </w:hyperlink>
      <w:r>
        <w:t>, ff. 1, 6.</w:t>
      </w:r>
    </w:p>
    <w:p w14:paraId="0D6BDD35" w14:textId="708C234E" w:rsidR="001D7FA9" w:rsidRDefault="001D7FA9" w:rsidP="001D7FA9">
      <w:pPr>
        <w:pStyle w:val="SangriaFrancesaArticulo"/>
      </w:pPr>
      <w:r w:rsidRPr="001D7FA9">
        <w:rPr>
          <w:rStyle w:val="TextoNormalNegritaCaracter"/>
        </w:rPr>
        <w:t>Artículo 103.</w:t>
      </w:r>
      <w:r w:rsidRPr="001D7FA9">
        <w:rPr>
          <w:rStyle w:val="TextoNormalCaracter"/>
        </w:rPr>
        <w:t>-</w:t>
      </w:r>
      <w:r>
        <w:t xml:space="preserve"> Sentencia </w:t>
      </w:r>
      <w:hyperlink w:anchor="SENTENCIA_2025_40" w:history="1">
        <w:r w:rsidRPr="001D7FA9">
          <w:rPr>
            <w:rStyle w:val="TextoNormalCaracter"/>
          </w:rPr>
          <w:t>40/2025</w:t>
        </w:r>
      </w:hyperlink>
      <w:r>
        <w:t>, VP I.</w:t>
      </w:r>
    </w:p>
    <w:p w14:paraId="11DAE959" w14:textId="3F38C2DC" w:rsidR="001D7FA9" w:rsidRDefault="001D7FA9" w:rsidP="001D7FA9">
      <w:pPr>
        <w:pStyle w:val="SangriaFrancesaArticulo"/>
      </w:pPr>
      <w:r w:rsidRPr="001D7FA9">
        <w:rPr>
          <w:rStyle w:val="TextoNormalNegritaCaracter"/>
        </w:rPr>
        <w:t>Artículo 103.4.</w:t>
      </w:r>
      <w:r w:rsidRPr="001D7FA9">
        <w:rPr>
          <w:rStyle w:val="TextoNormalCaracter"/>
        </w:rPr>
        <w:t>-</w:t>
      </w:r>
      <w:r>
        <w:t xml:space="preserve"> Sentencia </w:t>
      </w:r>
      <w:hyperlink w:anchor="SENTENCIA_2025_40" w:history="1">
        <w:r w:rsidRPr="001D7FA9">
          <w:rPr>
            <w:rStyle w:val="TextoNormalCaracter"/>
          </w:rPr>
          <w:t>40/2025</w:t>
        </w:r>
      </w:hyperlink>
      <w:r>
        <w:t>, f. 3.</w:t>
      </w:r>
    </w:p>
    <w:p w14:paraId="7B5ACF41" w14:textId="44CF1190" w:rsidR="001D7FA9" w:rsidRDefault="001D7FA9" w:rsidP="001D7FA9">
      <w:pPr>
        <w:pStyle w:val="SangriaFrancesaArticulo"/>
      </w:pPr>
      <w:r w:rsidRPr="001D7FA9">
        <w:rPr>
          <w:rStyle w:val="TextoNormalNegritaCaracter"/>
        </w:rPr>
        <w:t xml:space="preserve">Artículo 103.4 </w:t>
      </w:r>
      <w:r w:rsidRPr="001D7FA9">
        <w:rPr>
          <w:rStyle w:val="TextoNormalNegritaCursivaCaracter"/>
        </w:rPr>
        <w:t>in fine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3.</w:t>
      </w:r>
    </w:p>
    <w:p w14:paraId="30696E68" w14:textId="370AD89A" w:rsidR="001D7FA9" w:rsidRDefault="001D7FA9" w:rsidP="001D7FA9">
      <w:pPr>
        <w:pStyle w:val="SangriaFrancesaArticulo"/>
      </w:pPr>
      <w:r w:rsidRPr="001D7FA9">
        <w:rPr>
          <w:rStyle w:val="TextoNormalNegritaCaracter"/>
        </w:rPr>
        <w:t>Artículo 108.</w:t>
      </w:r>
      <w:r w:rsidRPr="001D7FA9">
        <w:rPr>
          <w:rStyle w:val="TextoNormalCaracter"/>
        </w:rPr>
        <w:t>-</w:t>
      </w:r>
      <w:r>
        <w:t xml:space="preserve"> Sentencia </w:t>
      </w:r>
      <w:hyperlink w:anchor="SENTENCIA_2025_40" w:history="1">
        <w:r w:rsidRPr="001D7FA9">
          <w:rPr>
            <w:rStyle w:val="TextoNormalCaracter"/>
          </w:rPr>
          <w:t>40/2025</w:t>
        </w:r>
      </w:hyperlink>
      <w:r>
        <w:t>, f. 6.</w:t>
      </w:r>
    </w:p>
    <w:p w14:paraId="7B739DB4" w14:textId="79742F20" w:rsidR="001D7FA9" w:rsidRDefault="001D7FA9" w:rsidP="001D7FA9">
      <w:pPr>
        <w:pStyle w:val="SangriaFrancesaArticulo"/>
      </w:pPr>
      <w:r w:rsidRPr="001D7FA9">
        <w:rPr>
          <w:rStyle w:val="TextoNormalNegritaCaracter"/>
        </w:rPr>
        <w:t>Artículo 110.</w:t>
      </w:r>
      <w:r w:rsidRPr="001D7FA9">
        <w:rPr>
          <w:rStyle w:val="TextoNormalCaracter"/>
        </w:rPr>
        <w:t>-</w:t>
      </w:r>
      <w:r>
        <w:t xml:space="preserve"> Sentencia </w:t>
      </w:r>
      <w:hyperlink w:anchor="SENTENCIA_2025_40" w:history="1">
        <w:r w:rsidRPr="001D7FA9">
          <w:rPr>
            <w:rStyle w:val="TextoNormalCaracter"/>
          </w:rPr>
          <w:t>40/2025</w:t>
        </w:r>
      </w:hyperlink>
      <w:r>
        <w:t>, VP I.</w:t>
      </w:r>
    </w:p>
    <w:p w14:paraId="58437DEA" w14:textId="56F6A12C" w:rsidR="001D7FA9" w:rsidRDefault="001D7FA9" w:rsidP="001D7FA9">
      <w:pPr>
        <w:pStyle w:val="SangriaFrancesaArticulo"/>
      </w:pPr>
      <w:r w:rsidRPr="001D7FA9">
        <w:rPr>
          <w:rStyle w:val="TextoNormalNegritaCaracter"/>
        </w:rPr>
        <w:t>Artículo 110.1.</w:t>
      </w:r>
      <w:r w:rsidRPr="001D7FA9">
        <w:rPr>
          <w:rStyle w:val="TextoNormalCaracter"/>
        </w:rPr>
        <w:t>-</w:t>
      </w:r>
      <w:r>
        <w:t xml:space="preserve"> Sentencia </w:t>
      </w:r>
      <w:hyperlink w:anchor="SENTENCIA_2025_40" w:history="1">
        <w:r w:rsidRPr="001D7FA9">
          <w:rPr>
            <w:rStyle w:val="TextoNormalCaracter"/>
          </w:rPr>
          <w:t>40/2025</w:t>
        </w:r>
      </w:hyperlink>
      <w:r>
        <w:t>, ff. 1, 4, 6.</w:t>
      </w:r>
    </w:p>
    <w:p w14:paraId="3FEB883A" w14:textId="5217551E" w:rsidR="001D7FA9" w:rsidRDefault="001D7FA9" w:rsidP="001D7FA9">
      <w:pPr>
        <w:pStyle w:val="SangriaFrancesaArticulo"/>
      </w:pPr>
      <w:r w:rsidRPr="001D7FA9">
        <w:rPr>
          <w:rStyle w:val="TextoNormalNegritaCaracter"/>
        </w:rPr>
        <w:t>Artículo 110.2.</w:t>
      </w:r>
      <w:r w:rsidRPr="001D7FA9">
        <w:rPr>
          <w:rStyle w:val="TextoNormalCaracter"/>
        </w:rPr>
        <w:t>-</w:t>
      </w:r>
      <w:r>
        <w:t xml:space="preserve"> Sentencia </w:t>
      </w:r>
      <w:hyperlink w:anchor="SENTENCIA_2025_40" w:history="1">
        <w:r w:rsidRPr="001D7FA9">
          <w:rPr>
            <w:rStyle w:val="TextoNormalCaracter"/>
          </w:rPr>
          <w:t>40/2025</w:t>
        </w:r>
      </w:hyperlink>
      <w:r>
        <w:t>, ff. 1, 3, VP I, VP III.</w:t>
      </w:r>
    </w:p>
    <w:p w14:paraId="45F21145" w14:textId="59A90607" w:rsidR="001D7FA9" w:rsidRDefault="001D7FA9" w:rsidP="001D7FA9">
      <w:pPr>
        <w:pStyle w:val="SangriaFrancesaArticulo"/>
      </w:pPr>
      <w:r w:rsidRPr="001D7FA9">
        <w:rPr>
          <w:rStyle w:val="TextoNormalNegritaCaracter"/>
        </w:rPr>
        <w:t>Artículo 119.2.</w:t>
      </w:r>
      <w:r w:rsidRPr="001D7FA9">
        <w:rPr>
          <w:rStyle w:val="TextoNormalCaracter"/>
        </w:rPr>
        <w:t>-</w:t>
      </w:r>
      <w:r>
        <w:t xml:space="preserve"> Sentencia </w:t>
      </w:r>
      <w:hyperlink w:anchor="SENTENCIA_2025_40" w:history="1">
        <w:r w:rsidRPr="001D7FA9">
          <w:rPr>
            <w:rStyle w:val="TextoNormalCaracter"/>
          </w:rPr>
          <w:t>40/2025</w:t>
        </w:r>
      </w:hyperlink>
      <w:r>
        <w:t>, f. 4.</w:t>
      </w:r>
    </w:p>
    <w:p w14:paraId="060B2E59" w14:textId="08573FD6" w:rsidR="001D7FA9" w:rsidRDefault="001D7FA9" w:rsidP="001D7FA9">
      <w:pPr>
        <w:pStyle w:val="SangriaFrancesaArticulo"/>
      </w:pPr>
      <w:r w:rsidRPr="001D7FA9">
        <w:rPr>
          <w:rStyle w:val="TextoNormalNegritaCaracter"/>
        </w:rPr>
        <w:t>Artículo 131.3.</w:t>
      </w:r>
      <w:r w:rsidRPr="001D7FA9">
        <w:rPr>
          <w:rStyle w:val="TextoNormalCaracter"/>
        </w:rPr>
        <w:t>-</w:t>
      </w:r>
      <w:r>
        <w:t xml:space="preserve"> Sentencia </w:t>
      </w:r>
      <w:hyperlink w:anchor="SENTENCIA_2025_40" w:history="1">
        <w:r w:rsidRPr="001D7FA9">
          <w:rPr>
            <w:rStyle w:val="TextoNormalCaracter"/>
          </w:rPr>
          <w:t>40/2025</w:t>
        </w:r>
      </w:hyperlink>
      <w:r>
        <w:t>, ff. 1, 6.</w:t>
      </w:r>
    </w:p>
    <w:p w14:paraId="693EC650" w14:textId="56A14168" w:rsidR="001D7FA9" w:rsidRDefault="001D7FA9" w:rsidP="001D7FA9">
      <w:pPr>
        <w:pStyle w:val="SangriaFrancesaArticulo"/>
      </w:pPr>
      <w:r w:rsidRPr="001D7FA9">
        <w:rPr>
          <w:rStyle w:val="TextoNormalNegritaCaracter"/>
        </w:rPr>
        <w:t>Artículo 209.</w:t>
      </w:r>
      <w:r w:rsidRPr="001D7FA9">
        <w:rPr>
          <w:rStyle w:val="TextoNormalCaracter"/>
        </w:rPr>
        <w:t>-</w:t>
      </w:r>
      <w:r>
        <w:t xml:space="preserve"> Sentencia </w:t>
      </w:r>
      <w:hyperlink w:anchor="SENTENCIA_2025_40" w:history="1">
        <w:r w:rsidRPr="001D7FA9">
          <w:rPr>
            <w:rStyle w:val="TextoNormalCaracter"/>
          </w:rPr>
          <w:t>40/2025</w:t>
        </w:r>
      </w:hyperlink>
      <w:r>
        <w:t>, f. 6.</w:t>
      </w:r>
    </w:p>
    <w:p w14:paraId="5AB4AB76" w14:textId="642A38A5" w:rsidR="001D7FA9" w:rsidRDefault="001D7FA9" w:rsidP="001D7FA9">
      <w:pPr>
        <w:pStyle w:val="SangriaFrancesaArticulo"/>
      </w:pPr>
      <w:r w:rsidRPr="001D7FA9">
        <w:rPr>
          <w:rStyle w:val="TextoNormalNegritaCaracter"/>
        </w:rPr>
        <w:t>Artículo 211.</w:t>
      </w:r>
      <w:r w:rsidRPr="001D7FA9">
        <w:rPr>
          <w:rStyle w:val="TextoNormalCaracter"/>
        </w:rPr>
        <w:t>-</w:t>
      </w:r>
      <w:r>
        <w:t xml:space="preserve"> Sentencia </w:t>
      </w:r>
      <w:hyperlink w:anchor="SENTENCIA_2025_40" w:history="1">
        <w:r w:rsidRPr="001D7FA9">
          <w:rPr>
            <w:rStyle w:val="TextoNormalCaracter"/>
          </w:rPr>
          <w:t>40/2025</w:t>
        </w:r>
      </w:hyperlink>
      <w:r>
        <w:t>, f. 1.</w:t>
      </w:r>
    </w:p>
    <w:p w14:paraId="5B499977" w14:textId="38903BC4" w:rsidR="001D7FA9" w:rsidRDefault="001D7FA9" w:rsidP="001D7FA9">
      <w:pPr>
        <w:pStyle w:val="SangriaFrancesaArticulo"/>
      </w:pPr>
      <w:r w:rsidRPr="001D7FA9">
        <w:rPr>
          <w:rStyle w:val="TextoNormalNegritaCaracter"/>
        </w:rPr>
        <w:t>Artículo 211.2.</w:t>
      </w:r>
      <w:r w:rsidRPr="001D7FA9">
        <w:rPr>
          <w:rStyle w:val="TextoNormalCaracter"/>
        </w:rPr>
        <w:t>-</w:t>
      </w:r>
      <w:r>
        <w:t xml:space="preserve"> Sentencia </w:t>
      </w:r>
      <w:hyperlink w:anchor="SENTENCIA_2025_40" w:history="1">
        <w:r w:rsidRPr="001D7FA9">
          <w:rPr>
            <w:rStyle w:val="TextoNormalCaracter"/>
          </w:rPr>
          <w:t>40/2025</w:t>
        </w:r>
      </w:hyperlink>
      <w:r>
        <w:t>, f. 6.</w:t>
      </w:r>
    </w:p>
    <w:p w14:paraId="449A8863" w14:textId="6288E77F" w:rsidR="001D7FA9" w:rsidRDefault="001D7FA9" w:rsidP="001D7FA9">
      <w:pPr>
        <w:pStyle w:val="SangriaFrancesaArticulo"/>
      </w:pPr>
      <w:r w:rsidRPr="001D7FA9">
        <w:rPr>
          <w:rStyle w:val="TextoNormalNegritaCaracter"/>
        </w:rPr>
        <w:t>Artículo 217.</w:t>
      </w:r>
      <w:r w:rsidRPr="001D7FA9">
        <w:rPr>
          <w:rStyle w:val="TextoNormalCaracter"/>
        </w:rPr>
        <w:t>-</w:t>
      </w:r>
      <w:r>
        <w:t xml:space="preserve"> Sentencia </w:t>
      </w:r>
      <w:hyperlink w:anchor="SENTENCIA_2025_40" w:history="1">
        <w:r w:rsidRPr="001D7FA9">
          <w:rPr>
            <w:rStyle w:val="TextoNormalCaracter"/>
          </w:rPr>
          <w:t>40/2025</w:t>
        </w:r>
      </w:hyperlink>
      <w:r>
        <w:t>, f. 1.</w:t>
      </w:r>
    </w:p>
    <w:p w14:paraId="285AB7A7" w14:textId="3B4441BB" w:rsidR="001D7FA9" w:rsidRDefault="001D7FA9" w:rsidP="001D7FA9">
      <w:pPr>
        <w:pStyle w:val="TextoNormal"/>
      </w:pPr>
    </w:p>
    <w:p w14:paraId="298C7503" w14:textId="77777777" w:rsidR="001D7FA9" w:rsidRDefault="001D7FA9" w:rsidP="001D7FA9">
      <w:pPr>
        <w:pStyle w:val="TextoNormalNegritaCentradoSubrayado"/>
        <w:suppressAutoHyphens/>
      </w:pPr>
      <w:r>
        <w:t>J.1.b) Leyes y disposiciones con fuerza de Ley</w:t>
      </w:r>
    </w:p>
    <w:p w14:paraId="44B45CCC" w14:textId="5658D912" w:rsidR="001D7FA9" w:rsidRDefault="001D7FA9" w:rsidP="001D7FA9">
      <w:pPr>
        <w:pStyle w:val="TextoNormalNegritaCentradoSubrayado"/>
      </w:pPr>
    </w:p>
    <w:p w14:paraId="2602285F" w14:textId="77777777" w:rsidR="001D7FA9" w:rsidRDefault="001D7FA9" w:rsidP="001D7FA9">
      <w:pPr>
        <w:pStyle w:val="TextoNormalNegritaCursivandice"/>
        <w:keepNext/>
      </w:pPr>
      <w:r>
        <w:t>Comunidad Autónoma de Andalucía. Ley 8/1984, de 3 de julio, de reforma agraria</w:t>
      </w:r>
    </w:p>
    <w:p w14:paraId="688AA9C5" w14:textId="158EBBB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5.</w:t>
      </w:r>
    </w:p>
    <w:p w14:paraId="3D3E5919" w14:textId="1BECDA98" w:rsidR="001D7FA9" w:rsidRDefault="001D7FA9" w:rsidP="001D7FA9">
      <w:pPr>
        <w:pStyle w:val="SangriaFrancesaArticulo"/>
      </w:pPr>
    </w:p>
    <w:p w14:paraId="114B308C" w14:textId="77777777" w:rsidR="001D7FA9" w:rsidRDefault="001D7FA9" w:rsidP="001D7FA9">
      <w:pPr>
        <w:pStyle w:val="TextoNormalNegritaCursivandice"/>
        <w:keepNext/>
      </w:pPr>
      <w:r>
        <w:t>Comunidad Autónoma de Andalucía. Ley 1/2004, de 17 de diciembre, de creación del Consejo Audiovisual de Andalucía</w:t>
      </w:r>
    </w:p>
    <w:p w14:paraId="44315ACD" w14:textId="6D26246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6.</w:t>
      </w:r>
    </w:p>
    <w:p w14:paraId="3993B367" w14:textId="0BA3C280"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40" w:history="1">
        <w:r w:rsidRPr="001D7FA9">
          <w:rPr>
            <w:rStyle w:val="TextoNormalCaracter"/>
          </w:rPr>
          <w:t>40/2025</w:t>
        </w:r>
      </w:hyperlink>
      <w:r>
        <w:t>, f. 6.</w:t>
      </w:r>
    </w:p>
    <w:p w14:paraId="49A81D2C" w14:textId="31184426" w:rsidR="001D7FA9" w:rsidRDefault="001D7FA9" w:rsidP="001D7FA9">
      <w:pPr>
        <w:pStyle w:val="SangriaFrancesaArticulo"/>
      </w:pPr>
      <w:r w:rsidRPr="001D7FA9">
        <w:rPr>
          <w:rStyle w:val="TextoNormalNegritaCaracter"/>
        </w:rPr>
        <w:t>Artículo 4</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4215CE52" w14:textId="24B676B7" w:rsidR="001D7FA9" w:rsidRDefault="001D7FA9" w:rsidP="001D7FA9">
      <w:pPr>
        <w:pStyle w:val="SangriaFrancesaArticulo"/>
      </w:pPr>
      <w:r w:rsidRPr="001D7FA9">
        <w:rPr>
          <w:rStyle w:val="TextoNormalNegritaCaracter"/>
        </w:rPr>
        <w:t>Artículo 4.1</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76BC2591" w14:textId="77004222" w:rsidR="001D7FA9" w:rsidRDefault="001D7FA9" w:rsidP="001D7FA9">
      <w:pPr>
        <w:pStyle w:val="SangriaFrancesaArticulo"/>
      </w:pPr>
      <w:r w:rsidRPr="001D7FA9">
        <w:rPr>
          <w:rStyle w:val="TextoNormalNegritaCaracter"/>
        </w:rPr>
        <w:t>Artículo 4.4</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40956892" w14:textId="78529A0B" w:rsidR="001D7FA9" w:rsidRDefault="001D7FA9" w:rsidP="001D7FA9">
      <w:pPr>
        <w:pStyle w:val="SangriaFrancesaArticulo"/>
      </w:pPr>
      <w:r w:rsidRPr="001D7FA9">
        <w:rPr>
          <w:rStyle w:val="TextoNormalNegritaCaracter"/>
        </w:rPr>
        <w:t>Artículo 4.6</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158E1237" w14:textId="0ED488B5" w:rsidR="001D7FA9" w:rsidRDefault="001D7FA9" w:rsidP="001D7FA9">
      <w:pPr>
        <w:pStyle w:val="SangriaFrancesaArticulo"/>
      </w:pPr>
      <w:r w:rsidRPr="001D7FA9">
        <w:rPr>
          <w:rStyle w:val="TextoNormalNegritaCaracter"/>
        </w:rPr>
        <w:t>Artículo 4.9</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72BEBAFA" w14:textId="27CEB8E5" w:rsidR="001D7FA9" w:rsidRDefault="001D7FA9" w:rsidP="001D7FA9">
      <w:pPr>
        <w:pStyle w:val="SangriaFrancesaArticulo"/>
      </w:pPr>
      <w:r w:rsidRPr="001D7FA9">
        <w:rPr>
          <w:rStyle w:val="TextoNormalNegritaCaracter"/>
        </w:rPr>
        <w:t>Artículo 4.13</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3C1233FE" w14:textId="0F4B74B2" w:rsidR="001D7FA9" w:rsidRDefault="001D7FA9" w:rsidP="001D7FA9">
      <w:pPr>
        <w:pStyle w:val="SangriaFrancesaArticulo"/>
      </w:pPr>
      <w:r w:rsidRPr="001D7FA9">
        <w:rPr>
          <w:rStyle w:val="TextoNormalNegritaCaracter"/>
        </w:rPr>
        <w:t>Artículo 4.14</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49C61DB9" w14:textId="7E8AE8B7" w:rsidR="001D7FA9" w:rsidRDefault="001D7FA9" w:rsidP="001D7FA9">
      <w:pPr>
        <w:pStyle w:val="SangriaFrancesaArticulo"/>
      </w:pPr>
      <w:r w:rsidRPr="001D7FA9">
        <w:rPr>
          <w:rStyle w:val="TextoNormalNegritaCaracter"/>
        </w:rPr>
        <w:t>Artículo 4.15</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7017FEF0" w14:textId="189D0414" w:rsidR="001D7FA9" w:rsidRDefault="001D7FA9" w:rsidP="001D7FA9">
      <w:pPr>
        <w:pStyle w:val="SangriaFrancesaArticulo"/>
      </w:pPr>
      <w:r w:rsidRPr="001D7FA9">
        <w:rPr>
          <w:rStyle w:val="TextoNormalNegritaCaracter"/>
        </w:rPr>
        <w:t>Artículo 4.16</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25B3653E" w14:textId="5DB580A6" w:rsidR="001D7FA9" w:rsidRDefault="001D7FA9" w:rsidP="001D7FA9">
      <w:pPr>
        <w:pStyle w:val="SangriaFrancesaArticulo"/>
      </w:pPr>
      <w:r w:rsidRPr="001D7FA9">
        <w:rPr>
          <w:rStyle w:val="TextoNormalNegritaCaracter"/>
        </w:rPr>
        <w:t>Artículo 4.17</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2E4B9830" w14:textId="11730023" w:rsidR="001D7FA9" w:rsidRDefault="001D7FA9" w:rsidP="001D7FA9">
      <w:pPr>
        <w:pStyle w:val="SangriaFrancesaArticulo"/>
      </w:pPr>
      <w:r w:rsidRPr="001D7FA9">
        <w:rPr>
          <w:rStyle w:val="TextoNormalNegritaCaracter"/>
        </w:rPr>
        <w:t>Artículo 4.18</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6401AF33" w14:textId="37C09413" w:rsidR="001D7FA9" w:rsidRDefault="001D7FA9" w:rsidP="001D7FA9">
      <w:pPr>
        <w:pStyle w:val="SangriaFrancesaArticulo"/>
      </w:pPr>
      <w:r w:rsidRPr="001D7FA9">
        <w:rPr>
          <w:rStyle w:val="TextoNormalNegritaCaracter"/>
        </w:rPr>
        <w:t>Artículo 4.19</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674A5562" w14:textId="513673A2" w:rsidR="001D7FA9" w:rsidRDefault="001D7FA9" w:rsidP="001D7FA9">
      <w:pPr>
        <w:pStyle w:val="SangriaFrancesaArticulo"/>
      </w:pPr>
      <w:r w:rsidRPr="001D7FA9">
        <w:rPr>
          <w:rStyle w:val="TextoNormalNegritaCaracter"/>
        </w:rPr>
        <w:t>Artículo 4.25</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235AE99E" w14:textId="28012451" w:rsidR="001D7FA9" w:rsidRDefault="001D7FA9" w:rsidP="001D7FA9">
      <w:pPr>
        <w:pStyle w:val="SangriaFrancesaArticulo"/>
      </w:pPr>
      <w:r w:rsidRPr="001D7FA9">
        <w:rPr>
          <w:rStyle w:val="TextoNormalNegritaCaracter"/>
        </w:rPr>
        <w:t>Artículo 4.26</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3C3F57AA" w14:textId="6512F557" w:rsidR="001D7FA9" w:rsidRDefault="001D7FA9" w:rsidP="001D7FA9">
      <w:pPr>
        <w:pStyle w:val="SangriaFrancesaArticulo"/>
      </w:pPr>
    </w:p>
    <w:p w14:paraId="3734ED49" w14:textId="77777777" w:rsidR="001D7FA9" w:rsidRDefault="001D7FA9" w:rsidP="001D7FA9">
      <w:pPr>
        <w:pStyle w:val="TextoNormalNegritaCursivandice"/>
        <w:keepNext/>
      </w:pPr>
      <w:r>
        <w:t>Comunidad Autónoma de Andalucía. Ley 14/2007, de 26 de noviembre, del patrimonio histórico de Andalucía</w:t>
      </w:r>
    </w:p>
    <w:p w14:paraId="2B067746" w14:textId="7603F573" w:rsidR="001D7FA9" w:rsidRDefault="001D7FA9" w:rsidP="001D7FA9">
      <w:pPr>
        <w:pStyle w:val="SangriaFrancesaArticulo"/>
      </w:pPr>
      <w:r w:rsidRPr="001D7FA9">
        <w:rPr>
          <w:rStyle w:val="TextoNormalNegritaCaracter"/>
        </w:rPr>
        <w:t>Artículo 33.3</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3650F3FA" w14:textId="5AAC9CC1" w:rsidR="001D7FA9" w:rsidRDefault="001D7FA9" w:rsidP="001D7FA9">
      <w:pPr>
        <w:pStyle w:val="SangriaFrancesaArticulo"/>
      </w:pPr>
    </w:p>
    <w:p w14:paraId="79613B1C" w14:textId="77777777" w:rsidR="001D7FA9" w:rsidRDefault="001D7FA9" w:rsidP="001D7FA9">
      <w:pPr>
        <w:pStyle w:val="TextoNormalNegritaCursivandice"/>
        <w:keepNext/>
      </w:pPr>
      <w:r>
        <w:t>Comunidad Autónoma de Andalucía. Decreto-ley 1/2008, de 3 de junio, de medidas tributarias y financieras de impulso a la actividad económica de Andalucía</w:t>
      </w:r>
    </w:p>
    <w:p w14:paraId="469FDF7E" w14:textId="668C60F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VP I.</w:t>
      </w:r>
    </w:p>
    <w:p w14:paraId="14C17ED6" w14:textId="5E2B8526" w:rsidR="001D7FA9" w:rsidRDefault="001D7FA9" w:rsidP="001D7FA9">
      <w:pPr>
        <w:pStyle w:val="SangriaFrancesaArticulo"/>
      </w:pPr>
    </w:p>
    <w:p w14:paraId="49CFAF44" w14:textId="77777777" w:rsidR="001D7FA9" w:rsidRDefault="001D7FA9" w:rsidP="001D7FA9">
      <w:pPr>
        <w:pStyle w:val="TextoNormalNegritaCursivandice"/>
        <w:keepNext/>
      </w:pPr>
      <w:r>
        <w:t>Comunidad Autónoma de Andalucía. Ley 16/2011, de 23 de diciembre, de salud pública de Andalucía</w:t>
      </w:r>
    </w:p>
    <w:p w14:paraId="247EFC71" w14:textId="0D00235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5.</w:t>
      </w:r>
    </w:p>
    <w:p w14:paraId="3A30CD49" w14:textId="7D403D5C" w:rsidR="001D7FA9" w:rsidRDefault="001D7FA9" w:rsidP="001D7FA9">
      <w:pPr>
        <w:pStyle w:val="SangriaFrancesaArticulo"/>
      </w:pPr>
    </w:p>
    <w:p w14:paraId="13588117" w14:textId="77777777" w:rsidR="001D7FA9" w:rsidRDefault="001D7FA9" w:rsidP="001D7FA9">
      <w:pPr>
        <w:pStyle w:val="TextoNormalNegritaCursivandice"/>
        <w:keepNext/>
      </w:pPr>
      <w:r>
        <w:t>Comunidad Autónoma de Andalucía. Decreto Legislativo de la Junta de Andalucía 1/2012, de 20 de marzo, por el que se aprueba el texto refundido de la Ley del comercio interior de Andalucía</w:t>
      </w:r>
    </w:p>
    <w:p w14:paraId="5F7CD49E" w14:textId="3CF1678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5.</w:t>
      </w:r>
    </w:p>
    <w:p w14:paraId="1D4DCB07" w14:textId="4C727EF1" w:rsidR="001D7FA9" w:rsidRDefault="001D7FA9" w:rsidP="001D7FA9">
      <w:pPr>
        <w:pStyle w:val="SangriaFrancesaArticulo"/>
      </w:pPr>
    </w:p>
    <w:p w14:paraId="051FCA28" w14:textId="77777777" w:rsidR="001D7FA9" w:rsidRDefault="001D7FA9" w:rsidP="001D7FA9">
      <w:pPr>
        <w:pStyle w:val="TextoNormalNegritaCursivandice"/>
        <w:keepNext/>
      </w:pPr>
      <w:r>
        <w:t>Comunidad Autónoma de Andalucía. Decreto-ley 6/2013, de 9 de abril, de medidas para asegurar el cumplimiento de la función social de la vivienda</w:t>
      </w:r>
    </w:p>
    <w:p w14:paraId="587CC4CD" w14:textId="5F528F2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3.</w:t>
      </w:r>
    </w:p>
    <w:p w14:paraId="6C8654F2" w14:textId="7875C112" w:rsidR="001D7FA9" w:rsidRDefault="001D7FA9" w:rsidP="001D7FA9">
      <w:pPr>
        <w:pStyle w:val="SangriaFrancesaArticulo"/>
      </w:pPr>
    </w:p>
    <w:p w14:paraId="042ACFB9" w14:textId="77777777" w:rsidR="001D7FA9" w:rsidRDefault="001D7FA9" w:rsidP="001D7FA9">
      <w:pPr>
        <w:pStyle w:val="TextoNormalNegritaCursivandice"/>
        <w:keepNext/>
      </w:pPr>
      <w:r>
        <w:t>Comunidad Autónoma de Andalucía. Ley 4/2013, de 1 de octubre, de medidas para asegurar el cumplimiento de la función social de la vivienda</w:t>
      </w:r>
    </w:p>
    <w:p w14:paraId="74105D1D" w14:textId="5CEE881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3.</w:t>
      </w:r>
    </w:p>
    <w:p w14:paraId="4AEEC701" w14:textId="45554A4E" w:rsidR="001D7FA9" w:rsidRDefault="001D7FA9" w:rsidP="001D7FA9">
      <w:pPr>
        <w:pStyle w:val="SangriaFrancesaArticulo"/>
      </w:pPr>
    </w:p>
    <w:p w14:paraId="50077ADD" w14:textId="77777777" w:rsidR="001D7FA9" w:rsidRDefault="001D7FA9" w:rsidP="001D7FA9">
      <w:pPr>
        <w:pStyle w:val="TextoNormalNegritaCursivandice"/>
        <w:keepNext/>
      </w:pPr>
      <w:r>
        <w:t>Comunidad Autónoma de Andalucía. Ley 10/2018, de 9 de octubre, audiovisual de Andalucía</w:t>
      </w:r>
    </w:p>
    <w:p w14:paraId="3F75ABD0" w14:textId="7FD5DB7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6.</w:t>
      </w:r>
    </w:p>
    <w:p w14:paraId="33CCE84D" w14:textId="1C0FED9B" w:rsidR="001D7FA9" w:rsidRDefault="001D7FA9" w:rsidP="001D7FA9">
      <w:pPr>
        <w:pStyle w:val="SangriaFrancesaArticulo"/>
      </w:pPr>
      <w:r w:rsidRPr="001D7FA9">
        <w:rPr>
          <w:rStyle w:val="TextoNormalNegritaCaracter"/>
        </w:rPr>
        <w:t>Título I.</w:t>
      </w:r>
      <w:r w:rsidRPr="001D7FA9">
        <w:rPr>
          <w:rStyle w:val="TextoNormalCaracter"/>
        </w:rPr>
        <w:t>-</w:t>
      </w:r>
      <w:r>
        <w:t xml:space="preserve"> Sentencia </w:t>
      </w:r>
      <w:hyperlink w:anchor="SENTENCIA_2025_40" w:history="1">
        <w:r w:rsidRPr="001D7FA9">
          <w:rPr>
            <w:rStyle w:val="TextoNormalCaracter"/>
          </w:rPr>
          <w:t>40/2025</w:t>
        </w:r>
      </w:hyperlink>
      <w:r>
        <w:t>, f. 6.</w:t>
      </w:r>
    </w:p>
    <w:p w14:paraId="12B0493C" w14:textId="0E918112" w:rsidR="001D7FA9" w:rsidRDefault="001D7FA9" w:rsidP="001D7FA9">
      <w:pPr>
        <w:pStyle w:val="SangriaFrancesaArticulo"/>
      </w:pPr>
      <w:r w:rsidRPr="001D7FA9">
        <w:rPr>
          <w:rStyle w:val="TextoNormalNegritaCaracter"/>
        </w:rPr>
        <w:t>Exposición de motivos.</w:t>
      </w:r>
      <w:r w:rsidRPr="001D7FA9">
        <w:rPr>
          <w:rStyle w:val="TextoNormalCaracter"/>
        </w:rPr>
        <w:t>-</w:t>
      </w:r>
      <w:r>
        <w:t xml:space="preserve"> Sentencia </w:t>
      </w:r>
      <w:hyperlink w:anchor="SENTENCIA_2025_40" w:history="1">
        <w:r w:rsidRPr="001D7FA9">
          <w:rPr>
            <w:rStyle w:val="TextoNormalCaracter"/>
          </w:rPr>
          <w:t>40/2025</w:t>
        </w:r>
      </w:hyperlink>
      <w:r>
        <w:t>, f. 6.</w:t>
      </w:r>
    </w:p>
    <w:p w14:paraId="23BA70E9" w14:textId="26444A10" w:rsidR="001D7FA9" w:rsidRDefault="001D7FA9" w:rsidP="001D7FA9">
      <w:pPr>
        <w:pStyle w:val="SangriaFrancesaArticulo"/>
      </w:pPr>
      <w:r w:rsidRPr="001D7FA9">
        <w:rPr>
          <w:rStyle w:val="TextoNormalNegritaCaracter"/>
        </w:rPr>
        <w:t>Artículo 6.</w:t>
      </w:r>
      <w:r w:rsidRPr="001D7FA9">
        <w:rPr>
          <w:rStyle w:val="TextoNormalCaracter"/>
        </w:rPr>
        <w:t>-</w:t>
      </w:r>
      <w:r>
        <w:t xml:space="preserve"> Sentencia </w:t>
      </w:r>
      <w:hyperlink w:anchor="SENTENCIA_2025_40" w:history="1">
        <w:r w:rsidRPr="001D7FA9">
          <w:rPr>
            <w:rStyle w:val="TextoNormalCaracter"/>
          </w:rPr>
          <w:t>40/2025</w:t>
        </w:r>
      </w:hyperlink>
      <w:r>
        <w:t>, f. 6.</w:t>
      </w:r>
    </w:p>
    <w:p w14:paraId="0F57C45D" w14:textId="6B4E6568"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40" w:history="1">
        <w:r w:rsidRPr="001D7FA9">
          <w:rPr>
            <w:rStyle w:val="TextoNormalCaracter"/>
          </w:rPr>
          <w:t>40/2025</w:t>
        </w:r>
      </w:hyperlink>
      <w:r>
        <w:t>, f. 6.</w:t>
      </w:r>
    </w:p>
    <w:p w14:paraId="14FC4CD7" w14:textId="528AEF59"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40" w:history="1">
        <w:r w:rsidRPr="001D7FA9">
          <w:rPr>
            <w:rStyle w:val="TextoNormalCaracter"/>
          </w:rPr>
          <w:t>40/2025</w:t>
        </w:r>
      </w:hyperlink>
      <w:r>
        <w:t>, f. 6.</w:t>
      </w:r>
    </w:p>
    <w:p w14:paraId="12D50FF6" w14:textId="31E85EC7" w:rsidR="001D7FA9" w:rsidRDefault="001D7FA9" w:rsidP="001D7FA9">
      <w:pPr>
        <w:pStyle w:val="SangriaFrancesaArticulo"/>
      </w:pPr>
      <w:r w:rsidRPr="001D7FA9">
        <w:rPr>
          <w:rStyle w:val="TextoNormalNegritaCaracter"/>
        </w:rPr>
        <w:t>Artículo 9.</w:t>
      </w:r>
      <w:r w:rsidRPr="001D7FA9">
        <w:rPr>
          <w:rStyle w:val="TextoNormalCaracter"/>
        </w:rPr>
        <w:t>-</w:t>
      </w:r>
      <w:r>
        <w:t xml:space="preserve"> Sentencia </w:t>
      </w:r>
      <w:hyperlink w:anchor="SENTENCIA_2025_40" w:history="1">
        <w:r w:rsidRPr="001D7FA9">
          <w:rPr>
            <w:rStyle w:val="TextoNormalCaracter"/>
          </w:rPr>
          <w:t>40/2025</w:t>
        </w:r>
      </w:hyperlink>
      <w:r>
        <w:t>, f. 6.</w:t>
      </w:r>
    </w:p>
    <w:p w14:paraId="5D8522ED" w14:textId="4EE3DE69"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40" w:history="1">
        <w:r w:rsidRPr="001D7FA9">
          <w:rPr>
            <w:rStyle w:val="TextoNormalCaracter"/>
          </w:rPr>
          <w:t>40/2025</w:t>
        </w:r>
      </w:hyperlink>
      <w:r>
        <w:t>, f. 6.</w:t>
      </w:r>
    </w:p>
    <w:p w14:paraId="1F8B09F5" w14:textId="2E9422BE"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40" w:history="1">
        <w:r w:rsidRPr="001D7FA9">
          <w:rPr>
            <w:rStyle w:val="TextoNormalCaracter"/>
          </w:rPr>
          <w:t>40/2025</w:t>
        </w:r>
      </w:hyperlink>
      <w:r>
        <w:t>, f. 6.</w:t>
      </w:r>
    </w:p>
    <w:p w14:paraId="224C031C" w14:textId="74265CCA"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40" w:history="1">
        <w:r w:rsidRPr="001D7FA9">
          <w:rPr>
            <w:rStyle w:val="TextoNormalCaracter"/>
          </w:rPr>
          <w:t>40/2025</w:t>
        </w:r>
      </w:hyperlink>
      <w:r>
        <w:t>, f. 6.</w:t>
      </w:r>
    </w:p>
    <w:p w14:paraId="0ECAB229" w14:textId="54094ED3" w:rsidR="001D7FA9" w:rsidRDefault="001D7FA9" w:rsidP="001D7FA9">
      <w:pPr>
        <w:pStyle w:val="SangriaFrancesaArticulo"/>
      </w:pPr>
      <w:r w:rsidRPr="001D7FA9">
        <w:rPr>
          <w:rStyle w:val="TextoNormalNegritaCaracter"/>
        </w:rPr>
        <w:t>Artículo 40.</w:t>
      </w:r>
      <w:r w:rsidRPr="001D7FA9">
        <w:rPr>
          <w:rStyle w:val="TextoNormalCaracter"/>
        </w:rPr>
        <w:t>-</w:t>
      </w:r>
      <w:r>
        <w:t xml:space="preserve"> Sentencia </w:t>
      </w:r>
      <w:hyperlink w:anchor="SENTENCIA_2025_40" w:history="1">
        <w:r w:rsidRPr="001D7FA9">
          <w:rPr>
            <w:rStyle w:val="TextoNormalCaracter"/>
          </w:rPr>
          <w:t>40/2025</w:t>
        </w:r>
      </w:hyperlink>
      <w:r>
        <w:t>, f. 6.</w:t>
      </w:r>
    </w:p>
    <w:p w14:paraId="52A98934" w14:textId="45B54494" w:rsidR="001D7FA9" w:rsidRDefault="001D7FA9" w:rsidP="001D7FA9">
      <w:pPr>
        <w:pStyle w:val="SangriaFrancesaArticulo"/>
      </w:pPr>
      <w:r w:rsidRPr="001D7FA9">
        <w:rPr>
          <w:rStyle w:val="TextoNormalNegritaCaracter"/>
        </w:rPr>
        <w:t>Artículo 44</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7B60DAD7" w14:textId="5F7556C6" w:rsidR="001D7FA9" w:rsidRDefault="001D7FA9" w:rsidP="001D7FA9">
      <w:pPr>
        <w:pStyle w:val="SangriaFrancesaArticulo"/>
      </w:pPr>
      <w:r w:rsidRPr="001D7FA9">
        <w:rPr>
          <w:rStyle w:val="TextoNormalNegritaCaracter"/>
        </w:rPr>
        <w:t>Artículo 46.1</w:t>
      </w:r>
      <w:r>
        <w:t xml:space="preserve"> (redactado por el Decreto-ley 2/2020, de 9 de marzo)</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6.</w:t>
      </w:r>
    </w:p>
    <w:p w14:paraId="76EEFE23" w14:textId="49988631" w:rsidR="001D7FA9" w:rsidRDefault="001D7FA9" w:rsidP="001D7FA9">
      <w:pPr>
        <w:pStyle w:val="SangriaFrancesaArticulo"/>
      </w:pPr>
    </w:p>
    <w:p w14:paraId="4E5403E0" w14:textId="77777777" w:rsidR="001D7FA9" w:rsidRDefault="001D7FA9" w:rsidP="001D7FA9">
      <w:pPr>
        <w:pStyle w:val="TextoNormalNegritaCursivandice"/>
        <w:keepNext/>
      </w:pPr>
      <w:r>
        <w:t>Comunidad Autónoma de Andalucía. Decreto-ley 2/2020, de 9 de marzo, de mejora y simplificación de la regulación para el fomento de la actividad productiva de Andalucía</w:t>
      </w:r>
    </w:p>
    <w:p w14:paraId="73E32257" w14:textId="6813E3C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0" w:history="1">
        <w:r w:rsidRPr="001D7FA9">
          <w:rPr>
            <w:rStyle w:val="TextoNormalCaracter"/>
          </w:rPr>
          <w:t>40/2025</w:t>
        </w:r>
      </w:hyperlink>
      <w:r>
        <w:t xml:space="preserve">, ff. 1 a 6, VP I, VP II, VP III; </w:t>
      </w:r>
      <w:hyperlink w:anchor="SENTENCIA_2025_52" w:history="1">
        <w:r w:rsidRPr="001D7FA9">
          <w:rPr>
            <w:rStyle w:val="TextoNormalCaracter"/>
          </w:rPr>
          <w:t>52/2025</w:t>
        </w:r>
      </w:hyperlink>
      <w:r>
        <w:t xml:space="preserve">, f. único; </w:t>
      </w:r>
      <w:hyperlink w:anchor="SENTENCIA_2025_53" w:history="1">
        <w:r w:rsidRPr="001D7FA9">
          <w:rPr>
            <w:rStyle w:val="TextoNormalCaracter"/>
          </w:rPr>
          <w:t>53/2025</w:t>
        </w:r>
      </w:hyperlink>
      <w:r>
        <w:t>, f. único.</w:t>
      </w:r>
    </w:p>
    <w:p w14:paraId="56A5C450" w14:textId="66BB52ED" w:rsidR="001D7FA9" w:rsidRDefault="001D7FA9" w:rsidP="001D7FA9">
      <w:pPr>
        <w:pStyle w:val="SangriaFrancesaArticulo"/>
      </w:pPr>
      <w:r w:rsidRPr="001D7FA9">
        <w:rPr>
          <w:rStyle w:val="TextoNormalNegritaCaracter"/>
        </w:rPr>
        <w:t>Exposición de motivos.</w:t>
      </w:r>
      <w:r w:rsidRPr="001D7FA9">
        <w:rPr>
          <w:rStyle w:val="TextoNormalCaracter"/>
        </w:rPr>
        <w:t>-</w:t>
      </w:r>
      <w:r>
        <w:t xml:space="preserve"> Sentencia </w:t>
      </w:r>
      <w:hyperlink w:anchor="SENTENCIA_2025_40" w:history="1">
        <w:r w:rsidRPr="001D7FA9">
          <w:rPr>
            <w:rStyle w:val="TextoNormalCaracter"/>
          </w:rPr>
          <w:t>40/2025</w:t>
        </w:r>
      </w:hyperlink>
      <w:r>
        <w:t>, f. 4.</w:t>
      </w:r>
    </w:p>
    <w:p w14:paraId="1C4E4762" w14:textId="26F11731" w:rsidR="001D7FA9" w:rsidRDefault="001D7FA9" w:rsidP="001D7FA9">
      <w:pPr>
        <w:pStyle w:val="SangriaFrancesaArticulo"/>
      </w:pPr>
      <w:r w:rsidRPr="001D7FA9">
        <w:rPr>
          <w:rStyle w:val="TextoNormalNegritaCaracter"/>
        </w:rPr>
        <w:t>Exposición de motivos, apartado I.</w:t>
      </w:r>
      <w:r w:rsidRPr="001D7FA9">
        <w:rPr>
          <w:rStyle w:val="TextoNormalCaracter"/>
        </w:rPr>
        <w:t>-</w:t>
      </w:r>
      <w:r>
        <w:t xml:space="preserve"> Sentencia </w:t>
      </w:r>
      <w:hyperlink w:anchor="SENTENCIA_2025_40" w:history="1">
        <w:r w:rsidRPr="001D7FA9">
          <w:rPr>
            <w:rStyle w:val="TextoNormalCaracter"/>
          </w:rPr>
          <w:t>40/2025</w:t>
        </w:r>
      </w:hyperlink>
      <w:r>
        <w:t>, f. 4.</w:t>
      </w:r>
    </w:p>
    <w:p w14:paraId="4AABD92A" w14:textId="58E58E0C" w:rsidR="001D7FA9" w:rsidRDefault="001D7FA9" w:rsidP="001D7FA9">
      <w:pPr>
        <w:pStyle w:val="SangriaFrancesaArticulo"/>
      </w:pPr>
      <w:r w:rsidRPr="001D7FA9">
        <w:rPr>
          <w:rStyle w:val="TextoNormalNegritaCaracter"/>
        </w:rPr>
        <w:t>Exposición de motivos, apartado III.</w:t>
      </w:r>
      <w:r w:rsidRPr="001D7FA9">
        <w:rPr>
          <w:rStyle w:val="TextoNormalCaracter"/>
        </w:rPr>
        <w:t>-</w:t>
      </w:r>
      <w:r>
        <w:t xml:space="preserve"> Sentencia </w:t>
      </w:r>
      <w:hyperlink w:anchor="SENTENCIA_2025_40" w:history="1">
        <w:r w:rsidRPr="001D7FA9">
          <w:rPr>
            <w:rStyle w:val="TextoNormalCaracter"/>
          </w:rPr>
          <w:t>40/2025</w:t>
        </w:r>
      </w:hyperlink>
      <w:r>
        <w:t>, f.4.</w:t>
      </w:r>
    </w:p>
    <w:p w14:paraId="07191AD0" w14:textId="2B3AE272" w:rsidR="001D7FA9" w:rsidRDefault="001D7FA9" w:rsidP="001D7FA9">
      <w:pPr>
        <w:pStyle w:val="SangriaFrancesaArticulo"/>
      </w:pPr>
      <w:r w:rsidRPr="001D7FA9">
        <w:rPr>
          <w:rStyle w:val="TextoNormalNegritaCaracter"/>
        </w:rPr>
        <w:t>Exposición de motivos, apartado IV.</w:t>
      </w:r>
      <w:r w:rsidRPr="001D7FA9">
        <w:rPr>
          <w:rStyle w:val="TextoNormalCaracter"/>
        </w:rPr>
        <w:t>-</w:t>
      </w:r>
      <w:r>
        <w:t xml:space="preserve"> Sentencia </w:t>
      </w:r>
      <w:hyperlink w:anchor="SENTENCIA_2025_40" w:history="1">
        <w:r w:rsidRPr="001D7FA9">
          <w:rPr>
            <w:rStyle w:val="TextoNormalCaracter"/>
          </w:rPr>
          <w:t>40/2025</w:t>
        </w:r>
      </w:hyperlink>
      <w:r>
        <w:t>, f. 4.</w:t>
      </w:r>
    </w:p>
    <w:p w14:paraId="57AF93E1" w14:textId="29288866" w:rsidR="001D7FA9" w:rsidRDefault="001D7FA9" w:rsidP="001D7FA9">
      <w:pPr>
        <w:pStyle w:val="SangriaFrancesaArticulo"/>
      </w:pPr>
      <w:r w:rsidRPr="001D7FA9">
        <w:rPr>
          <w:rStyle w:val="TextoNormalNegritaCaracter"/>
        </w:rPr>
        <w:t>Exposición de motivos, apartado IX.</w:t>
      </w:r>
      <w:r w:rsidRPr="001D7FA9">
        <w:rPr>
          <w:rStyle w:val="TextoNormalCaracter"/>
        </w:rPr>
        <w:t>-</w:t>
      </w:r>
      <w:r>
        <w:t xml:space="preserve"> Sentencia </w:t>
      </w:r>
      <w:hyperlink w:anchor="SENTENCIA_2025_40" w:history="1">
        <w:r w:rsidRPr="001D7FA9">
          <w:rPr>
            <w:rStyle w:val="TextoNormalCaracter"/>
          </w:rPr>
          <w:t>40/2025</w:t>
        </w:r>
      </w:hyperlink>
      <w:r>
        <w:t>, f. 4.</w:t>
      </w:r>
    </w:p>
    <w:p w14:paraId="6FADE625" w14:textId="68131F93" w:rsidR="001D7FA9" w:rsidRDefault="001D7FA9" w:rsidP="001D7FA9">
      <w:pPr>
        <w:pStyle w:val="SangriaFrancesaArticulo"/>
      </w:pPr>
      <w:r w:rsidRPr="001D7FA9">
        <w:rPr>
          <w:rStyle w:val="TextoNormalNegritaCaracter"/>
        </w:rPr>
        <w:t>Exposición de motivos, apartado V.</w:t>
      </w:r>
      <w:r w:rsidRPr="001D7FA9">
        <w:rPr>
          <w:rStyle w:val="TextoNormalCaracter"/>
        </w:rPr>
        <w:t>-</w:t>
      </w:r>
      <w:r>
        <w:t xml:space="preserve"> Sentencia </w:t>
      </w:r>
      <w:hyperlink w:anchor="SENTENCIA_2025_40" w:history="1">
        <w:r w:rsidRPr="001D7FA9">
          <w:rPr>
            <w:rStyle w:val="TextoNormalCaracter"/>
          </w:rPr>
          <w:t>40/2025</w:t>
        </w:r>
      </w:hyperlink>
      <w:r>
        <w:t>, f. 4.</w:t>
      </w:r>
    </w:p>
    <w:p w14:paraId="0F9A0CB0" w14:textId="5E9372AC" w:rsidR="001D7FA9" w:rsidRDefault="001D7FA9" w:rsidP="001D7FA9">
      <w:pPr>
        <w:pStyle w:val="SangriaFrancesaArticulo"/>
      </w:pPr>
      <w:r w:rsidRPr="001D7FA9">
        <w:rPr>
          <w:rStyle w:val="TextoNormalNegritaCaracter"/>
        </w:rPr>
        <w:t>Exposición de motivos, apartado VI.</w:t>
      </w:r>
      <w:r w:rsidRPr="001D7FA9">
        <w:rPr>
          <w:rStyle w:val="TextoNormalCaracter"/>
        </w:rPr>
        <w:t>-</w:t>
      </w:r>
      <w:r>
        <w:t xml:space="preserve"> Sentencia </w:t>
      </w:r>
      <w:hyperlink w:anchor="SENTENCIA_2025_40" w:history="1">
        <w:r w:rsidRPr="001D7FA9">
          <w:rPr>
            <w:rStyle w:val="TextoNormalCaracter"/>
          </w:rPr>
          <w:t>40/2025</w:t>
        </w:r>
      </w:hyperlink>
      <w:r>
        <w:t>, f. 4.</w:t>
      </w:r>
    </w:p>
    <w:p w14:paraId="0CB81920" w14:textId="4511266F" w:rsidR="001D7FA9" w:rsidRDefault="001D7FA9" w:rsidP="001D7FA9">
      <w:pPr>
        <w:pStyle w:val="SangriaFrancesaArticulo"/>
      </w:pPr>
      <w:r w:rsidRPr="001D7FA9">
        <w:rPr>
          <w:rStyle w:val="TextoNormalNegritaCaracter"/>
        </w:rPr>
        <w:t>Exposición de motivos, apartado VII.</w:t>
      </w:r>
      <w:r w:rsidRPr="001D7FA9">
        <w:rPr>
          <w:rStyle w:val="TextoNormalCaracter"/>
        </w:rPr>
        <w:t>-</w:t>
      </w:r>
      <w:r>
        <w:t xml:space="preserve"> Sentencia </w:t>
      </w:r>
      <w:hyperlink w:anchor="SENTENCIA_2025_40" w:history="1">
        <w:r w:rsidRPr="001D7FA9">
          <w:rPr>
            <w:rStyle w:val="TextoNormalCaracter"/>
          </w:rPr>
          <w:t>40/2025</w:t>
        </w:r>
      </w:hyperlink>
      <w:r>
        <w:t>, f. 4.</w:t>
      </w:r>
    </w:p>
    <w:p w14:paraId="57CDC596" w14:textId="58C53C7F" w:rsidR="001D7FA9" w:rsidRDefault="001D7FA9" w:rsidP="001D7FA9">
      <w:pPr>
        <w:pStyle w:val="SangriaFrancesaArticulo"/>
      </w:pPr>
      <w:r w:rsidRPr="001D7FA9">
        <w:rPr>
          <w:rStyle w:val="TextoNormalNegritaCaracter"/>
        </w:rPr>
        <w:t>Exposición de motivos, apartado VIII.</w:t>
      </w:r>
      <w:r w:rsidRPr="001D7FA9">
        <w:rPr>
          <w:rStyle w:val="TextoNormalCaracter"/>
        </w:rPr>
        <w:t>-</w:t>
      </w:r>
      <w:r>
        <w:t xml:space="preserve"> Sentencia </w:t>
      </w:r>
      <w:hyperlink w:anchor="SENTENCIA_2025_40" w:history="1">
        <w:r w:rsidRPr="001D7FA9">
          <w:rPr>
            <w:rStyle w:val="TextoNormalCaracter"/>
          </w:rPr>
          <w:t>40/2025</w:t>
        </w:r>
      </w:hyperlink>
      <w:r>
        <w:t>, f. 4.</w:t>
      </w:r>
    </w:p>
    <w:p w14:paraId="2BBB5A0E" w14:textId="156ABA1D" w:rsidR="001D7FA9" w:rsidRDefault="001D7FA9" w:rsidP="001D7FA9">
      <w:pPr>
        <w:pStyle w:val="SangriaFrancesaArticulo"/>
      </w:pPr>
      <w:r w:rsidRPr="001D7FA9">
        <w:rPr>
          <w:rStyle w:val="TextoNormalNegritaCaracter"/>
        </w:rPr>
        <w:t>Exposición de motivos, apartado X.</w:t>
      </w:r>
      <w:r w:rsidRPr="001D7FA9">
        <w:rPr>
          <w:rStyle w:val="TextoNormalCaracter"/>
        </w:rPr>
        <w:t>-</w:t>
      </w:r>
      <w:r>
        <w:t xml:space="preserve"> Sentencia </w:t>
      </w:r>
      <w:hyperlink w:anchor="SENTENCIA_2025_40" w:history="1">
        <w:r w:rsidRPr="001D7FA9">
          <w:rPr>
            <w:rStyle w:val="TextoNormalCaracter"/>
          </w:rPr>
          <w:t>40/2025</w:t>
        </w:r>
      </w:hyperlink>
      <w:r>
        <w:t>, f. 4.</w:t>
      </w:r>
    </w:p>
    <w:p w14:paraId="564D17E3" w14:textId="3F6535FE" w:rsidR="001D7FA9" w:rsidRDefault="001D7FA9" w:rsidP="001D7FA9">
      <w:pPr>
        <w:pStyle w:val="SangriaFrancesaArticulo"/>
      </w:pPr>
      <w:r w:rsidRPr="001D7FA9">
        <w:rPr>
          <w:rStyle w:val="TextoNormalNegritaCaracter"/>
        </w:rPr>
        <w:t>Exposición de motivos, apartado XI.</w:t>
      </w:r>
      <w:r w:rsidRPr="001D7FA9">
        <w:rPr>
          <w:rStyle w:val="TextoNormalCaracter"/>
        </w:rPr>
        <w:t>-</w:t>
      </w:r>
      <w:r>
        <w:t xml:space="preserve"> Sentencia </w:t>
      </w:r>
      <w:hyperlink w:anchor="SENTENCIA_2025_40" w:history="1">
        <w:r w:rsidRPr="001D7FA9">
          <w:rPr>
            <w:rStyle w:val="TextoNormalCaracter"/>
          </w:rPr>
          <w:t>40/2025</w:t>
        </w:r>
      </w:hyperlink>
      <w:r>
        <w:t>, f. 4.</w:t>
      </w:r>
    </w:p>
    <w:p w14:paraId="17B0943D" w14:textId="01184432" w:rsidR="001D7FA9" w:rsidRDefault="001D7FA9" w:rsidP="001D7FA9">
      <w:pPr>
        <w:pStyle w:val="SangriaFrancesaArticulo"/>
      </w:pPr>
      <w:r w:rsidRPr="001D7FA9">
        <w:rPr>
          <w:rStyle w:val="TextoNormalNegritaCaracter"/>
        </w:rPr>
        <w:t>Exposición de motivos, apartado XII.</w:t>
      </w:r>
      <w:r w:rsidRPr="001D7FA9">
        <w:rPr>
          <w:rStyle w:val="TextoNormalCaracter"/>
        </w:rPr>
        <w:t>-</w:t>
      </w:r>
      <w:r>
        <w:t xml:space="preserve"> Sentencia </w:t>
      </w:r>
      <w:hyperlink w:anchor="SENTENCIA_2025_40" w:history="1">
        <w:r w:rsidRPr="001D7FA9">
          <w:rPr>
            <w:rStyle w:val="TextoNormalCaracter"/>
          </w:rPr>
          <w:t>40/2025</w:t>
        </w:r>
      </w:hyperlink>
      <w:r>
        <w:t>, f. 4.</w:t>
      </w:r>
    </w:p>
    <w:p w14:paraId="0A066DEE" w14:textId="6DE3D397" w:rsidR="001D7FA9" w:rsidRDefault="001D7FA9" w:rsidP="001D7FA9">
      <w:pPr>
        <w:pStyle w:val="SangriaFrancesaArticulo"/>
      </w:pPr>
      <w:r w:rsidRPr="001D7FA9">
        <w:rPr>
          <w:rStyle w:val="TextoNormalNegritaCaracter"/>
        </w:rPr>
        <w:t>Exposición de motivos, apartado XIII.</w:t>
      </w:r>
      <w:r w:rsidRPr="001D7FA9">
        <w:rPr>
          <w:rStyle w:val="TextoNormalCaracter"/>
        </w:rPr>
        <w:t>-</w:t>
      </w:r>
      <w:r>
        <w:t xml:space="preserve"> Sentencia </w:t>
      </w:r>
      <w:hyperlink w:anchor="SENTENCIA_2025_40" w:history="1">
        <w:r w:rsidRPr="001D7FA9">
          <w:rPr>
            <w:rStyle w:val="TextoNormalCaracter"/>
          </w:rPr>
          <w:t>40/2025</w:t>
        </w:r>
      </w:hyperlink>
      <w:r>
        <w:t>, f. 4.</w:t>
      </w:r>
    </w:p>
    <w:p w14:paraId="09EA91E1" w14:textId="38B9E034" w:rsidR="001D7FA9" w:rsidRDefault="001D7FA9" w:rsidP="001D7FA9">
      <w:pPr>
        <w:pStyle w:val="SangriaFrancesaArticulo"/>
      </w:pPr>
      <w:r w:rsidRPr="001D7FA9">
        <w:rPr>
          <w:rStyle w:val="TextoNormalNegritaCaracter"/>
        </w:rPr>
        <w:t>Exposición de motivos, apartado XIV.</w:t>
      </w:r>
      <w:r w:rsidRPr="001D7FA9">
        <w:rPr>
          <w:rStyle w:val="TextoNormalCaracter"/>
        </w:rPr>
        <w:t>-</w:t>
      </w:r>
      <w:r>
        <w:t xml:space="preserve"> Sentencia </w:t>
      </w:r>
      <w:hyperlink w:anchor="SENTENCIA_2025_40" w:history="1">
        <w:r w:rsidRPr="001D7FA9">
          <w:rPr>
            <w:rStyle w:val="TextoNormalCaracter"/>
          </w:rPr>
          <w:t>40/2025</w:t>
        </w:r>
      </w:hyperlink>
      <w:r>
        <w:t>, f. 4.</w:t>
      </w:r>
    </w:p>
    <w:p w14:paraId="01E32A5F" w14:textId="6BC39CA0" w:rsidR="001D7FA9" w:rsidRDefault="001D7FA9" w:rsidP="001D7FA9">
      <w:pPr>
        <w:pStyle w:val="SangriaFrancesaArticulo"/>
      </w:pPr>
      <w:r w:rsidRPr="001D7FA9">
        <w:rPr>
          <w:rStyle w:val="TextoNormalNegritaCaracter"/>
        </w:rPr>
        <w:t>Exposición de motivos, apartado XIX.</w:t>
      </w:r>
      <w:r w:rsidRPr="001D7FA9">
        <w:rPr>
          <w:rStyle w:val="TextoNormalCaracter"/>
        </w:rPr>
        <w:t>-</w:t>
      </w:r>
      <w:r>
        <w:t xml:space="preserve"> Sentencia </w:t>
      </w:r>
      <w:hyperlink w:anchor="SENTENCIA_2025_40" w:history="1">
        <w:r w:rsidRPr="001D7FA9">
          <w:rPr>
            <w:rStyle w:val="TextoNormalCaracter"/>
          </w:rPr>
          <w:t>40/2025</w:t>
        </w:r>
      </w:hyperlink>
      <w:r>
        <w:t>, f. 4.</w:t>
      </w:r>
    </w:p>
    <w:p w14:paraId="244C40D0" w14:textId="04278530" w:rsidR="001D7FA9" w:rsidRDefault="001D7FA9" w:rsidP="001D7FA9">
      <w:pPr>
        <w:pStyle w:val="SangriaFrancesaArticulo"/>
      </w:pPr>
      <w:r w:rsidRPr="001D7FA9">
        <w:rPr>
          <w:rStyle w:val="TextoNormalNegritaCaracter"/>
        </w:rPr>
        <w:t>Exposición de motivos, apartado XV.</w:t>
      </w:r>
      <w:r w:rsidRPr="001D7FA9">
        <w:rPr>
          <w:rStyle w:val="TextoNormalCaracter"/>
        </w:rPr>
        <w:t>-</w:t>
      </w:r>
      <w:r>
        <w:t xml:space="preserve"> Sentencia </w:t>
      </w:r>
      <w:hyperlink w:anchor="SENTENCIA_2025_40" w:history="1">
        <w:r w:rsidRPr="001D7FA9">
          <w:rPr>
            <w:rStyle w:val="TextoNormalCaracter"/>
          </w:rPr>
          <w:t>40/2025</w:t>
        </w:r>
      </w:hyperlink>
      <w:r>
        <w:t>, f. 4.</w:t>
      </w:r>
    </w:p>
    <w:p w14:paraId="05B5391A" w14:textId="67A2A43B" w:rsidR="001D7FA9" w:rsidRDefault="001D7FA9" w:rsidP="001D7FA9">
      <w:pPr>
        <w:pStyle w:val="SangriaFrancesaArticulo"/>
      </w:pPr>
      <w:r w:rsidRPr="001D7FA9">
        <w:rPr>
          <w:rStyle w:val="TextoNormalNegritaCaracter"/>
        </w:rPr>
        <w:t>Exposición de motivos, apartado XVI.</w:t>
      </w:r>
      <w:r w:rsidRPr="001D7FA9">
        <w:rPr>
          <w:rStyle w:val="TextoNormalCaracter"/>
        </w:rPr>
        <w:t>-</w:t>
      </w:r>
      <w:r>
        <w:t xml:space="preserve"> Sentencia </w:t>
      </w:r>
      <w:hyperlink w:anchor="SENTENCIA_2025_40" w:history="1">
        <w:r w:rsidRPr="001D7FA9">
          <w:rPr>
            <w:rStyle w:val="TextoNormalCaracter"/>
          </w:rPr>
          <w:t>40/2025</w:t>
        </w:r>
      </w:hyperlink>
      <w:r>
        <w:t>, f. 4.</w:t>
      </w:r>
    </w:p>
    <w:p w14:paraId="69D77775" w14:textId="3625FDC3" w:rsidR="001D7FA9" w:rsidRDefault="001D7FA9" w:rsidP="001D7FA9">
      <w:pPr>
        <w:pStyle w:val="SangriaFrancesaArticulo"/>
      </w:pPr>
      <w:r w:rsidRPr="001D7FA9">
        <w:rPr>
          <w:rStyle w:val="TextoNormalNegritaCaracter"/>
        </w:rPr>
        <w:t>Exposición de motivos, apartado XVII.</w:t>
      </w:r>
      <w:r w:rsidRPr="001D7FA9">
        <w:rPr>
          <w:rStyle w:val="TextoNormalCaracter"/>
        </w:rPr>
        <w:t>-</w:t>
      </w:r>
      <w:r>
        <w:t xml:space="preserve"> Sentencia </w:t>
      </w:r>
      <w:hyperlink w:anchor="SENTENCIA_2025_40" w:history="1">
        <w:r w:rsidRPr="001D7FA9">
          <w:rPr>
            <w:rStyle w:val="TextoNormalCaracter"/>
          </w:rPr>
          <w:t>40/2025</w:t>
        </w:r>
      </w:hyperlink>
      <w:r>
        <w:t>, f. 4.</w:t>
      </w:r>
    </w:p>
    <w:p w14:paraId="7D059FB1" w14:textId="20788A8A" w:rsidR="001D7FA9" w:rsidRDefault="001D7FA9" w:rsidP="001D7FA9">
      <w:pPr>
        <w:pStyle w:val="SangriaFrancesaArticulo"/>
      </w:pPr>
      <w:r w:rsidRPr="001D7FA9">
        <w:rPr>
          <w:rStyle w:val="TextoNormalNegritaCaracter"/>
        </w:rPr>
        <w:t>Exposición de motivos, apartado XVIII.</w:t>
      </w:r>
      <w:r w:rsidRPr="001D7FA9">
        <w:rPr>
          <w:rStyle w:val="TextoNormalCaracter"/>
        </w:rPr>
        <w:t>-</w:t>
      </w:r>
      <w:r>
        <w:t xml:space="preserve"> Sentencia </w:t>
      </w:r>
      <w:hyperlink w:anchor="SENTENCIA_2025_40" w:history="1">
        <w:r w:rsidRPr="001D7FA9">
          <w:rPr>
            <w:rStyle w:val="TextoNormalCaracter"/>
          </w:rPr>
          <w:t>40/2025</w:t>
        </w:r>
      </w:hyperlink>
      <w:r>
        <w:t>, f. 4.</w:t>
      </w:r>
    </w:p>
    <w:p w14:paraId="5B9F4AE2" w14:textId="3AB5072F" w:rsidR="001D7FA9" w:rsidRDefault="001D7FA9" w:rsidP="001D7FA9">
      <w:pPr>
        <w:pStyle w:val="SangriaFrancesaArticulo"/>
      </w:pPr>
      <w:r w:rsidRPr="001D7FA9">
        <w:rPr>
          <w:rStyle w:val="TextoNormalNegritaCaracter"/>
        </w:rPr>
        <w:t>Exposición de motivos, apartado XX.</w:t>
      </w:r>
      <w:r w:rsidRPr="001D7FA9">
        <w:rPr>
          <w:rStyle w:val="TextoNormalCaracter"/>
        </w:rPr>
        <w:t>-</w:t>
      </w:r>
      <w:r>
        <w:t xml:space="preserve"> Sentencia </w:t>
      </w:r>
      <w:hyperlink w:anchor="SENTENCIA_2025_40" w:history="1">
        <w:r w:rsidRPr="001D7FA9">
          <w:rPr>
            <w:rStyle w:val="TextoNormalCaracter"/>
          </w:rPr>
          <w:t>40/2025</w:t>
        </w:r>
      </w:hyperlink>
      <w:r>
        <w:t>, f. 4.</w:t>
      </w:r>
    </w:p>
    <w:p w14:paraId="2FA0CB5B" w14:textId="32AAD7F7" w:rsidR="001D7FA9" w:rsidRDefault="001D7FA9" w:rsidP="001D7FA9">
      <w:pPr>
        <w:pStyle w:val="SangriaFrancesaArticulo"/>
      </w:pPr>
      <w:r w:rsidRPr="001D7FA9">
        <w:rPr>
          <w:rStyle w:val="TextoNormalNegritaCaracter"/>
        </w:rPr>
        <w:t>Exposición de motivos, apartado XXI.</w:t>
      </w:r>
      <w:r w:rsidRPr="001D7FA9">
        <w:rPr>
          <w:rStyle w:val="TextoNormalCaracter"/>
        </w:rPr>
        <w:t>-</w:t>
      </w:r>
      <w:r>
        <w:t xml:space="preserve"> Sentencia </w:t>
      </w:r>
      <w:hyperlink w:anchor="SENTENCIA_2025_40" w:history="1">
        <w:r w:rsidRPr="001D7FA9">
          <w:rPr>
            <w:rStyle w:val="TextoNormalCaracter"/>
          </w:rPr>
          <w:t>40/2025</w:t>
        </w:r>
      </w:hyperlink>
      <w:r>
        <w:t>, f. 4.</w:t>
      </w:r>
    </w:p>
    <w:p w14:paraId="5539F021" w14:textId="5B454BA5" w:rsidR="001D7FA9" w:rsidRDefault="001D7FA9" w:rsidP="001D7FA9">
      <w:pPr>
        <w:pStyle w:val="SangriaFrancesaArticulo"/>
      </w:pPr>
      <w:r w:rsidRPr="001D7FA9">
        <w:rPr>
          <w:rStyle w:val="TextoNormalNegritaCaracter"/>
        </w:rPr>
        <w:t>Exposición de motivos, apartado XXII.</w:t>
      </w:r>
      <w:r w:rsidRPr="001D7FA9">
        <w:rPr>
          <w:rStyle w:val="TextoNormalCaracter"/>
        </w:rPr>
        <w:t>-</w:t>
      </w:r>
      <w:r>
        <w:t xml:space="preserve"> Sentencia </w:t>
      </w:r>
      <w:hyperlink w:anchor="SENTENCIA_2025_40" w:history="1">
        <w:r w:rsidRPr="001D7FA9">
          <w:rPr>
            <w:rStyle w:val="TextoNormalCaracter"/>
          </w:rPr>
          <w:t>40/2025</w:t>
        </w:r>
      </w:hyperlink>
      <w:r>
        <w:t>, ff. 4, 5.</w:t>
      </w:r>
    </w:p>
    <w:p w14:paraId="44C039FC" w14:textId="006A4EC2" w:rsidR="001D7FA9" w:rsidRDefault="001D7FA9" w:rsidP="001D7FA9">
      <w:pPr>
        <w:pStyle w:val="SangriaFrancesaArticulo"/>
      </w:pPr>
      <w:r w:rsidRPr="001D7FA9">
        <w:rPr>
          <w:rStyle w:val="TextoNormalNegritaCaracter"/>
        </w:rPr>
        <w:t>Exposición de motivos, apartado XXIII.</w:t>
      </w:r>
      <w:r w:rsidRPr="001D7FA9">
        <w:rPr>
          <w:rStyle w:val="TextoNormalCaracter"/>
        </w:rPr>
        <w:t>-</w:t>
      </w:r>
      <w:r>
        <w:t xml:space="preserve"> Sentencia </w:t>
      </w:r>
      <w:hyperlink w:anchor="SENTENCIA_2025_40" w:history="1">
        <w:r w:rsidRPr="001D7FA9">
          <w:rPr>
            <w:rStyle w:val="TextoNormalCaracter"/>
          </w:rPr>
          <w:t>40/2025</w:t>
        </w:r>
      </w:hyperlink>
      <w:r>
        <w:t>, ff. 4, 5.</w:t>
      </w:r>
    </w:p>
    <w:p w14:paraId="1FA50E6E" w14:textId="7C548848" w:rsidR="001D7FA9" w:rsidRDefault="001D7FA9" w:rsidP="001D7FA9">
      <w:pPr>
        <w:pStyle w:val="SangriaFrancesaArticulo"/>
      </w:pPr>
      <w:r w:rsidRPr="001D7FA9">
        <w:rPr>
          <w:rStyle w:val="TextoNormalNegritaCaracter"/>
        </w:rPr>
        <w:t>Exposición de motivos, apartado XXIV.</w:t>
      </w:r>
      <w:r w:rsidRPr="001D7FA9">
        <w:rPr>
          <w:rStyle w:val="TextoNormalCaracter"/>
        </w:rPr>
        <w:t>-</w:t>
      </w:r>
      <w:r>
        <w:t xml:space="preserve"> Sentencia </w:t>
      </w:r>
      <w:hyperlink w:anchor="SENTENCIA_2025_40" w:history="1">
        <w:r w:rsidRPr="001D7FA9">
          <w:rPr>
            <w:rStyle w:val="TextoNormalCaracter"/>
          </w:rPr>
          <w:t>40/2025</w:t>
        </w:r>
      </w:hyperlink>
      <w:r>
        <w:t>, f. 4.</w:t>
      </w:r>
    </w:p>
    <w:p w14:paraId="691B87ED" w14:textId="1FF33EA5" w:rsidR="001D7FA9" w:rsidRDefault="001D7FA9" w:rsidP="001D7FA9">
      <w:pPr>
        <w:pStyle w:val="SangriaFrancesaArticulo"/>
      </w:pPr>
      <w:r w:rsidRPr="001D7FA9">
        <w:rPr>
          <w:rStyle w:val="TextoNormalNegritaCaracter"/>
        </w:rPr>
        <w:t>Exposición de motivos, apartado XXV.</w:t>
      </w:r>
      <w:r w:rsidRPr="001D7FA9">
        <w:rPr>
          <w:rStyle w:val="TextoNormalCaracter"/>
        </w:rPr>
        <w:t>-</w:t>
      </w:r>
      <w:r>
        <w:t xml:space="preserve"> Sentencia </w:t>
      </w:r>
      <w:hyperlink w:anchor="SENTENCIA_2025_40" w:history="1">
        <w:r w:rsidRPr="001D7FA9">
          <w:rPr>
            <w:rStyle w:val="TextoNormalCaracter"/>
          </w:rPr>
          <w:t>40/2025</w:t>
        </w:r>
      </w:hyperlink>
      <w:r>
        <w:t>, ff. 4, 5.</w:t>
      </w:r>
    </w:p>
    <w:p w14:paraId="5530A1BE" w14:textId="03C12CB3" w:rsidR="001D7FA9" w:rsidRDefault="001D7FA9" w:rsidP="001D7FA9">
      <w:pPr>
        <w:pStyle w:val="SangriaFrancesaArticulo"/>
      </w:pPr>
      <w:r w:rsidRPr="001D7FA9">
        <w:rPr>
          <w:rStyle w:val="TextoNormalNegritaCaracter"/>
        </w:rPr>
        <w:t>Exposición de motivos, apartado XXVI.</w:t>
      </w:r>
      <w:r w:rsidRPr="001D7FA9">
        <w:rPr>
          <w:rStyle w:val="TextoNormalCaracter"/>
        </w:rPr>
        <w:t>-</w:t>
      </w:r>
      <w:r>
        <w:t xml:space="preserve"> Sentencia </w:t>
      </w:r>
      <w:hyperlink w:anchor="SENTENCIA_2025_40" w:history="1">
        <w:r w:rsidRPr="001D7FA9">
          <w:rPr>
            <w:rStyle w:val="TextoNormalCaracter"/>
          </w:rPr>
          <w:t>40/2025</w:t>
        </w:r>
      </w:hyperlink>
      <w:r>
        <w:t>, f. 4.</w:t>
      </w:r>
    </w:p>
    <w:p w14:paraId="6F57E7A3" w14:textId="220C2427" w:rsidR="001D7FA9" w:rsidRDefault="001D7FA9" w:rsidP="001D7FA9">
      <w:pPr>
        <w:pStyle w:val="SangriaFrancesaArticulo"/>
      </w:pPr>
      <w:r w:rsidRPr="001D7FA9">
        <w:rPr>
          <w:rStyle w:val="TextoNormalNegritaCaracter"/>
        </w:rPr>
        <w:t>Exposición de motivos, apartado XXVII.</w:t>
      </w:r>
      <w:r w:rsidRPr="001D7FA9">
        <w:rPr>
          <w:rStyle w:val="TextoNormalCaracter"/>
        </w:rPr>
        <w:t>-</w:t>
      </w:r>
      <w:r>
        <w:t xml:space="preserve"> Sentencia </w:t>
      </w:r>
      <w:hyperlink w:anchor="SENTENCIA_2025_40" w:history="1">
        <w:r w:rsidRPr="001D7FA9">
          <w:rPr>
            <w:rStyle w:val="TextoNormalCaracter"/>
          </w:rPr>
          <w:t>40/2025</w:t>
        </w:r>
      </w:hyperlink>
      <w:r>
        <w:t>, f. 4.</w:t>
      </w:r>
    </w:p>
    <w:p w14:paraId="38F45F06" w14:textId="19D5E5F8" w:rsidR="001D7FA9" w:rsidRDefault="001D7FA9" w:rsidP="001D7FA9">
      <w:pPr>
        <w:pStyle w:val="SangriaFrancesaArticulo"/>
      </w:pPr>
      <w:r w:rsidRPr="001D7FA9">
        <w:rPr>
          <w:rStyle w:val="TextoNormalNegritaCaracter"/>
        </w:rPr>
        <w:t>Exposición de motivos, apartado XXVIII.</w:t>
      </w:r>
      <w:r w:rsidRPr="001D7FA9">
        <w:rPr>
          <w:rStyle w:val="TextoNormalCaracter"/>
        </w:rPr>
        <w:t>-</w:t>
      </w:r>
      <w:r>
        <w:t xml:space="preserve"> Sentencia </w:t>
      </w:r>
      <w:hyperlink w:anchor="SENTENCIA_2025_40" w:history="1">
        <w:r w:rsidRPr="001D7FA9">
          <w:rPr>
            <w:rStyle w:val="TextoNormalCaracter"/>
          </w:rPr>
          <w:t>40/2025</w:t>
        </w:r>
      </w:hyperlink>
      <w:r>
        <w:t>, ff. 4, 6.</w:t>
      </w:r>
    </w:p>
    <w:p w14:paraId="3F2F860A" w14:textId="2BB59131" w:rsidR="001D7FA9" w:rsidRDefault="001D7FA9" w:rsidP="001D7FA9">
      <w:pPr>
        <w:pStyle w:val="SangriaFrancesaArticulo"/>
      </w:pPr>
      <w:r w:rsidRPr="001D7FA9">
        <w:rPr>
          <w:rStyle w:val="TextoNormalNegritaCaracter"/>
        </w:rPr>
        <w:t>Artículo 4.2</w:t>
      </w:r>
      <w:r>
        <w:t xml:space="preserve"> (redactado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234DF62B" w14:textId="0BCBC49D"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40" w:history="1">
        <w:r w:rsidRPr="001D7FA9">
          <w:rPr>
            <w:rStyle w:val="TextoNormalCaracter"/>
          </w:rPr>
          <w:t>40/2025</w:t>
        </w:r>
      </w:hyperlink>
      <w:r>
        <w:t>, f. 6.</w:t>
      </w:r>
    </w:p>
    <w:p w14:paraId="19977B5A" w14:textId="639377C1"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40" w:history="1">
        <w:r w:rsidRPr="001D7FA9">
          <w:rPr>
            <w:rStyle w:val="TextoNormalCaracter"/>
          </w:rPr>
          <w:t>40/2025</w:t>
        </w:r>
      </w:hyperlink>
      <w:r>
        <w:t>, ff. 1, 2.</w:t>
      </w:r>
    </w:p>
    <w:p w14:paraId="6194C4D3" w14:textId="0AD7D073" w:rsidR="001D7FA9" w:rsidRDefault="001D7FA9" w:rsidP="001D7FA9">
      <w:pPr>
        <w:pStyle w:val="SangriaFrancesaArticulo"/>
      </w:pPr>
      <w:r w:rsidRPr="001D7FA9">
        <w:rPr>
          <w:rStyle w:val="TextoNormalNegritaCaracter"/>
        </w:rPr>
        <w:t>Artículo 13</w:t>
      </w:r>
      <w:r>
        <w:t xml:space="preserve"> (redactado por el Decreto-ley 26/2020, de 13 de octubre)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22FC1F73" w14:textId="5F109D14" w:rsidR="001D7FA9" w:rsidRDefault="001D7FA9" w:rsidP="001D7FA9">
      <w:pPr>
        <w:pStyle w:val="SangriaFrancesaArticulo"/>
      </w:pPr>
      <w:r w:rsidRPr="001D7FA9">
        <w:rPr>
          <w:rStyle w:val="TextoNormalNegritaCaracter"/>
        </w:rPr>
        <w:t>Artículo 17.4</w:t>
      </w:r>
      <w:r>
        <w:t xml:space="preserve"> (redactado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1D28D0D7" w14:textId="31D0404F" w:rsidR="001D7FA9" w:rsidRDefault="001D7FA9" w:rsidP="001D7FA9">
      <w:pPr>
        <w:pStyle w:val="SangriaFrancesaArticulo"/>
      </w:pPr>
      <w:r w:rsidRPr="001D7FA9">
        <w:rPr>
          <w:rStyle w:val="TextoNormalNegritaCaracter"/>
        </w:rPr>
        <w:t>Artículo 17.5</w:t>
      </w:r>
      <w:r>
        <w:t xml:space="preserve"> (redactado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1641F6F6" w14:textId="65DA1FCC" w:rsidR="001D7FA9" w:rsidRDefault="001D7FA9" w:rsidP="001D7FA9">
      <w:pPr>
        <w:pStyle w:val="SangriaFrancesaArticulo"/>
      </w:pPr>
      <w:r w:rsidRPr="001D7FA9">
        <w:rPr>
          <w:rStyle w:val="TextoNormalNegritaCaracter"/>
        </w:rPr>
        <w:t>Artículo 18.</w:t>
      </w:r>
      <w:r w:rsidRPr="001D7FA9">
        <w:rPr>
          <w:rStyle w:val="TextoNormalCaracter"/>
        </w:rPr>
        <w:t>-</w:t>
      </w:r>
      <w:r>
        <w:t xml:space="preserve"> Sentencia </w:t>
      </w:r>
      <w:hyperlink w:anchor="SENTENCIA_2025_40" w:history="1">
        <w:r w:rsidRPr="001D7FA9">
          <w:rPr>
            <w:rStyle w:val="TextoNormalCaracter"/>
          </w:rPr>
          <w:t>40/2025</w:t>
        </w:r>
      </w:hyperlink>
      <w:r>
        <w:t>, f. 5.</w:t>
      </w:r>
    </w:p>
    <w:p w14:paraId="2502B83B" w14:textId="2B0184B6"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 </w:t>
      </w:r>
      <w:hyperlink w:anchor="SENTENCIA_2025_40" w:history="1">
        <w:r w:rsidRPr="001D7FA9">
          <w:rPr>
            <w:rStyle w:val="TextoNormalCaracter"/>
          </w:rPr>
          <w:t>40/2025</w:t>
        </w:r>
      </w:hyperlink>
      <w:r>
        <w:t>, f. 5.</w:t>
      </w:r>
    </w:p>
    <w:p w14:paraId="1408A48D" w14:textId="3D8037EC" w:rsidR="001D7FA9" w:rsidRDefault="001D7FA9" w:rsidP="001D7FA9">
      <w:pPr>
        <w:pStyle w:val="SangriaFrancesaArticulo"/>
      </w:pPr>
      <w:r w:rsidRPr="001D7FA9">
        <w:rPr>
          <w:rStyle w:val="TextoNormalNegritaCaracter"/>
        </w:rPr>
        <w:t>Artículo 19.1</w:t>
      </w:r>
      <w:r>
        <w:t xml:space="preserve"> (redactado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247A5502" w14:textId="37217BCC" w:rsidR="001D7FA9" w:rsidRDefault="001D7FA9" w:rsidP="001D7FA9">
      <w:pPr>
        <w:pStyle w:val="SangriaFrancesaArticulo"/>
      </w:pPr>
      <w:r w:rsidRPr="001D7FA9">
        <w:rPr>
          <w:rStyle w:val="TextoNormalNegritaCaracter"/>
        </w:rPr>
        <w:t>Artículo 20.</w:t>
      </w:r>
      <w:r w:rsidRPr="001D7FA9">
        <w:rPr>
          <w:rStyle w:val="TextoNormalCaracter"/>
        </w:rPr>
        <w:t>-</w:t>
      </w:r>
      <w:r>
        <w:t xml:space="preserve"> Sentencia </w:t>
      </w:r>
      <w:hyperlink w:anchor="SENTENCIA_2025_40" w:history="1">
        <w:r w:rsidRPr="001D7FA9">
          <w:rPr>
            <w:rStyle w:val="TextoNormalCaracter"/>
          </w:rPr>
          <w:t>40/2025</w:t>
        </w:r>
      </w:hyperlink>
      <w:r>
        <w:t>, f. 5, VP II.</w:t>
      </w:r>
    </w:p>
    <w:p w14:paraId="0096F2A0" w14:textId="57F90048"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Sentencia </w:t>
      </w:r>
      <w:hyperlink w:anchor="SENTENCIA_2025_40" w:history="1">
        <w:r w:rsidRPr="001D7FA9">
          <w:rPr>
            <w:rStyle w:val="TextoNormalCaracter"/>
          </w:rPr>
          <w:t>40/2025</w:t>
        </w:r>
      </w:hyperlink>
      <w:r>
        <w:t>, f. 5, VP II.</w:t>
      </w:r>
    </w:p>
    <w:p w14:paraId="228462B3" w14:textId="6DE7BB15"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 </w:t>
      </w:r>
      <w:hyperlink w:anchor="SENTENCIA_2025_40" w:history="1">
        <w:r w:rsidRPr="001D7FA9">
          <w:rPr>
            <w:rStyle w:val="TextoNormalCaracter"/>
          </w:rPr>
          <w:t>40/2025</w:t>
        </w:r>
      </w:hyperlink>
      <w:r>
        <w:t>, f. 5, VP II.</w:t>
      </w:r>
    </w:p>
    <w:p w14:paraId="10CFE0CE" w14:textId="192D8D1F" w:rsidR="001D7FA9" w:rsidRDefault="001D7FA9" w:rsidP="001D7FA9">
      <w:pPr>
        <w:pStyle w:val="SangriaFrancesaArticulo"/>
      </w:pPr>
      <w:r w:rsidRPr="001D7FA9">
        <w:rPr>
          <w:rStyle w:val="TextoNormalNegritaCaracter"/>
        </w:rPr>
        <w:t>Artículo 23.</w:t>
      </w:r>
      <w:r w:rsidRPr="001D7FA9">
        <w:rPr>
          <w:rStyle w:val="TextoNormalCaracter"/>
        </w:rPr>
        <w:t>-</w:t>
      </w:r>
      <w:r>
        <w:t xml:space="preserve"> Sentencia </w:t>
      </w:r>
      <w:hyperlink w:anchor="SENTENCIA_2025_40" w:history="1">
        <w:r w:rsidRPr="001D7FA9">
          <w:rPr>
            <w:rStyle w:val="TextoNormalCaracter"/>
          </w:rPr>
          <w:t>40/2025</w:t>
        </w:r>
      </w:hyperlink>
      <w:r>
        <w:t>, f. 5, VP II.</w:t>
      </w:r>
    </w:p>
    <w:p w14:paraId="1030F69E" w14:textId="2D8DDB9B" w:rsidR="001D7FA9" w:rsidRDefault="001D7FA9" w:rsidP="001D7FA9">
      <w:pPr>
        <w:pStyle w:val="SangriaFrancesaArticulo"/>
      </w:pPr>
      <w:r w:rsidRPr="001D7FA9">
        <w:rPr>
          <w:rStyle w:val="TextoNormalNegritaCaracter"/>
        </w:rPr>
        <w:t>Artículo 25.</w:t>
      </w:r>
      <w:r w:rsidRPr="001D7FA9">
        <w:rPr>
          <w:rStyle w:val="TextoNormalCaracter"/>
        </w:rPr>
        <w:t>-</w:t>
      </w:r>
      <w:r>
        <w:t xml:space="preserve"> Sentencia </w:t>
      </w:r>
      <w:hyperlink w:anchor="SENTENCIA_2025_40" w:history="1">
        <w:r w:rsidRPr="001D7FA9">
          <w:rPr>
            <w:rStyle w:val="TextoNormalCaracter"/>
          </w:rPr>
          <w:t>40/2025</w:t>
        </w:r>
      </w:hyperlink>
      <w:r>
        <w:t>, f. 5, VP II.</w:t>
      </w:r>
    </w:p>
    <w:p w14:paraId="7BE74232" w14:textId="663AA09E" w:rsidR="001D7FA9" w:rsidRDefault="001D7FA9" w:rsidP="001D7FA9">
      <w:pPr>
        <w:pStyle w:val="SangriaFrancesaArticulo"/>
      </w:pPr>
      <w:r w:rsidRPr="001D7FA9">
        <w:rPr>
          <w:rStyle w:val="TextoNormalNegritaCaracter"/>
        </w:rPr>
        <w:t>Artículo 25.1</w:t>
      </w:r>
      <w:r>
        <w:t xml:space="preserve"> (redactado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11F972F7" w14:textId="27050735" w:rsidR="001D7FA9" w:rsidRDefault="001D7FA9" w:rsidP="001D7FA9">
      <w:pPr>
        <w:pStyle w:val="SangriaFrancesaArticulo"/>
      </w:pPr>
      <w:r w:rsidRPr="001D7FA9">
        <w:rPr>
          <w:rStyle w:val="TextoNormalNegritaCaracter"/>
        </w:rPr>
        <w:t>Artículo 26</w:t>
      </w:r>
      <w:r>
        <w:t xml:space="preserve"> (redactado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2E9A4F4E" w14:textId="0ADF440D" w:rsidR="001D7FA9" w:rsidRDefault="001D7FA9" w:rsidP="001D7FA9">
      <w:pPr>
        <w:pStyle w:val="SangriaFrancesaArticulo"/>
      </w:pPr>
      <w:r w:rsidRPr="001D7FA9">
        <w:rPr>
          <w:rStyle w:val="TextoNormalNegritaCaracter"/>
        </w:rPr>
        <w:t>Artículo 28.</w:t>
      </w:r>
      <w:r w:rsidRPr="001D7FA9">
        <w:rPr>
          <w:rStyle w:val="TextoNormalCaracter"/>
        </w:rPr>
        <w:t>-</w:t>
      </w:r>
      <w:r>
        <w:t xml:space="preserve"> Sentencia </w:t>
      </w:r>
      <w:hyperlink w:anchor="SENTENCIA_2025_40" w:history="1">
        <w:r w:rsidRPr="001D7FA9">
          <w:rPr>
            <w:rStyle w:val="TextoNormalCaracter"/>
          </w:rPr>
          <w:t>40/2025</w:t>
        </w:r>
      </w:hyperlink>
      <w:r>
        <w:t>, f. 6.</w:t>
      </w:r>
    </w:p>
    <w:p w14:paraId="71A016A6" w14:textId="1C4ECCED" w:rsidR="001D7FA9" w:rsidRDefault="001D7FA9" w:rsidP="001D7FA9">
      <w:pPr>
        <w:pStyle w:val="SangriaFrancesaArticulo"/>
      </w:pPr>
      <w:r w:rsidRPr="001D7FA9">
        <w:rPr>
          <w:rStyle w:val="TextoNormalNegritaCaracter"/>
        </w:rPr>
        <w:t>Artículo 28.6.</w:t>
      </w:r>
      <w:r w:rsidRPr="001D7FA9">
        <w:rPr>
          <w:rStyle w:val="TextoNormalCaracter"/>
        </w:rPr>
        <w:t>-</w:t>
      </w:r>
      <w:r>
        <w:t xml:space="preserve"> Sentencia </w:t>
      </w:r>
      <w:hyperlink w:anchor="SENTENCIA_2025_40" w:history="1">
        <w:r w:rsidRPr="001D7FA9">
          <w:rPr>
            <w:rStyle w:val="TextoNormalCaracter"/>
          </w:rPr>
          <w:t>40/2025</w:t>
        </w:r>
      </w:hyperlink>
      <w:r>
        <w:t>, ff. 2, 6.</w:t>
      </w:r>
    </w:p>
    <w:p w14:paraId="45E177FB" w14:textId="0D31CB2E" w:rsidR="001D7FA9" w:rsidRDefault="001D7FA9" w:rsidP="001D7FA9">
      <w:pPr>
        <w:pStyle w:val="SangriaFrancesaArticulo"/>
      </w:pPr>
      <w:r w:rsidRPr="001D7FA9">
        <w:rPr>
          <w:rStyle w:val="TextoNormalNegritaCaracter"/>
        </w:rPr>
        <w:t>Artículo 28.7.</w:t>
      </w:r>
      <w:r w:rsidRPr="001D7FA9">
        <w:rPr>
          <w:rStyle w:val="TextoNormalCaracter"/>
        </w:rPr>
        <w:t>-</w:t>
      </w:r>
      <w:r>
        <w:t xml:space="preserve"> Sentencia </w:t>
      </w:r>
      <w:hyperlink w:anchor="SENTENCIA_2025_40" w:history="1">
        <w:r w:rsidRPr="001D7FA9">
          <w:rPr>
            <w:rStyle w:val="TextoNormalCaracter"/>
          </w:rPr>
          <w:t>40/2025</w:t>
        </w:r>
      </w:hyperlink>
      <w:r>
        <w:t>, f. 6.</w:t>
      </w:r>
    </w:p>
    <w:p w14:paraId="35388253" w14:textId="4A1E41C4" w:rsidR="001D7FA9" w:rsidRDefault="001D7FA9" w:rsidP="001D7FA9">
      <w:pPr>
        <w:pStyle w:val="SangriaFrancesaArticulo"/>
      </w:pPr>
      <w:r w:rsidRPr="001D7FA9">
        <w:rPr>
          <w:rStyle w:val="TextoNormalNegritaCaracter"/>
        </w:rPr>
        <w:t>Artículo 28.8.</w:t>
      </w:r>
      <w:r w:rsidRPr="001D7FA9">
        <w:rPr>
          <w:rStyle w:val="TextoNormalCaracter"/>
        </w:rPr>
        <w:t>-</w:t>
      </w:r>
      <w:r>
        <w:t xml:space="preserve"> Sentencia </w:t>
      </w:r>
      <w:hyperlink w:anchor="SENTENCIA_2025_40" w:history="1">
        <w:r w:rsidRPr="001D7FA9">
          <w:rPr>
            <w:rStyle w:val="TextoNormalCaracter"/>
          </w:rPr>
          <w:t>40/2025</w:t>
        </w:r>
      </w:hyperlink>
      <w:r>
        <w:t>, f. 6.</w:t>
      </w:r>
    </w:p>
    <w:p w14:paraId="782A3E8D" w14:textId="772A0FD2" w:rsidR="001D7FA9" w:rsidRDefault="001D7FA9" w:rsidP="001D7FA9">
      <w:pPr>
        <w:pStyle w:val="SangriaFrancesaArticulo"/>
      </w:pPr>
      <w:r w:rsidRPr="001D7FA9">
        <w:rPr>
          <w:rStyle w:val="TextoNormalNegritaCaracter"/>
        </w:rPr>
        <w:t>Artículo 28.8</w:t>
      </w:r>
      <w:r>
        <w:t xml:space="preserve"> (redactado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2D3E30D7" w14:textId="08F68F10" w:rsidR="001D7FA9" w:rsidRDefault="001D7FA9" w:rsidP="001D7FA9">
      <w:pPr>
        <w:pStyle w:val="SangriaFrancesaArticulo"/>
      </w:pPr>
      <w:r w:rsidRPr="001D7FA9">
        <w:rPr>
          <w:rStyle w:val="TextoNormalNegritaCaracter"/>
        </w:rPr>
        <w:t>Artículo 28.11.</w:t>
      </w:r>
      <w:r w:rsidRPr="001D7FA9">
        <w:rPr>
          <w:rStyle w:val="TextoNormalCaracter"/>
        </w:rPr>
        <w:t>-</w:t>
      </w:r>
      <w:r>
        <w:t xml:space="preserve"> Sentencia </w:t>
      </w:r>
      <w:hyperlink w:anchor="SENTENCIA_2025_40" w:history="1">
        <w:r w:rsidRPr="001D7FA9">
          <w:rPr>
            <w:rStyle w:val="TextoNormalCaracter"/>
          </w:rPr>
          <w:t>40/2025</w:t>
        </w:r>
      </w:hyperlink>
      <w:r>
        <w:t>, ff. 2, 6.</w:t>
      </w:r>
    </w:p>
    <w:p w14:paraId="18A15C13" w14:textId="1312F584" w:rsidR="001D7FA9" w:rsidRDefault="001D7FA9" w:rsidP="001D7FA9">
      <w:pPr>
        <w:pStyle w:val="SangriaFrancesaArticulo"/>
      </w:pPr>
      <w:r w:rsidRPr="001D7FA9">
        <w:rPr>
          <w:rStyle w:val="TextoNormalNegritaCaracter"/>
        </w:rPr>
        <w:t>Artículo 28.12.</w:t>
      </w:r>
      <w:r w:rsidRPr="001D7FA9">
        <w:rPr>
          <w:rStyle w:val="TextoNormalCaracter"/>
        </w:rPr>
        <w:t>-</w:t>
      </w:r>
      <w:r>
        <w:t xml:space="preserve"> Sentencia </w:t>
      </w:r>
      <w:hyperlink w:anchor="SENTENCIA_2025_40" w:history="1">
        <w:r w:rsidRPr="001D7FA9">
          <w:rPr>
            <w:rStyle w:val="TextoNormalCaracter"/>
          </w:rPr>
          <w:t>40/2025</w:t>
        </w:r>
      </w:hyperlink>
      <w:r>
        <w:t>, ff. 2, 6.</w:t>
      </w:r>
    </w:p>
    <w:p w14:paraId="0DEB72E5" w14:textId="1252C3AB" w:rsidR="001D7FA9" w:rsidRDefault="001D7FA9" w:rsidP="001D7FA9">
      <w:pPr>
        <w:pStyle w:val="SangriaFrancesaArticulo"/>
      </w:pPr>
      <w:r w:rsidRPr="001D7FA9">
        <w:rPr>
          <w:rStyle w:val="TextoNormalNegritaCaracter"/>
        </w:rPr>
        <w:t>Artículo 28.13.</w:t>
      </w:r>
      <w:r w:rsidRPr="001D7FA9">
        <w:rPr>
          <w:rStyle w:val="TextoNormalCaracter"/>
        </w:rPr>
        <w:t>-</w:t>
      </w:r>
      <w:r>
        <w:t xml:space="preserve"> Sentencia </w:t>
      </w:r>
      <w:hyperlink w:anchor="SENTENCIA_2025_40" w:history="1">
        <w:r w:rsidRPr="001D7FA9">
          <w:rPr>
            <w:rStyle w:val="TextoNormalCaracter"/>
          </w:rPr>
          <w:t>40/2025</w:t>
        </w:r>
      </w:hyperlink>
      <w:r>
        <w:t>, ff. 2, 6.</w:t>
      </w:r>
    </w:p>
    <w:p w14:paraId="018647A2" w14:textId="474463ED" w:rsidR="001D7FA9" w:rsidRDefault="001D7FA9" w:rsidP="001D7FA9">
      <w:pPr>
        <w:pStyle w:val="SangriaFrancesaArticulo"/>
      </w:pPr>
      <w:r w:rsidRPr="001D7FA9">
        <w:rPr>
          <w:rStyle w:val="TextoNormalNegritaCaracter"/>
        </w:rPr>
        <w:t>Artículo 28.14.</w:t>
      </w:r>
      <w:r w:rsidRPr="001D7FA9">
        <w:rPr>
          <w:rStyle w:val="TextoNormalCaracter"/>
        </w:rPr>
        <w:t>-</w:t>
      </w:r>
      <w:r>
        <w:t xml:space="preserve"> Sentencia </w:t>
      </w:r>
      <w:hyperlink w:anchor="SENTENCIA_2025_40" w:history="1">
        <w:r w:rsidRPr="001D7FA9">
          <w:rPr>
            <w:rStyle w:val="TextoNormalCaracter"/>
          </w:rPr>
          <w:t>40/2025</w:t>
        </w:r>
      </w:hyperlink>
      <w:r>
        <w:t>, ff. 2, 6.</w:t>
      </w:r>
    </w:p>
    <w:p w14:paraId="1E98B891" w14:textId="69F7E2BE" w:rsidR="001D7FA9" w:rsidRDefault="001D7FA9" w:rsidP="001D7FA9">
      <w:pPr>
        <w:pStyle w:val="SangriaFrancesaArticulo"/>
      </w:pPr>
      <w:r w:rsidRPr="001D7FA9">
        <w:rPr>
          <w:rStyle w:val="TextoNormalNegritaCaracter"/>
        </w:rPr>
        <w:t>Artículo 28.15.</w:t>
      </w:r>
      <w:r w:rsidRPr="001D7FA9">
        <w:rPr>
          <w:rStyle w:val="TextoNormalCaracter"/>
        </w:rPr>
        <w:t>-</w:t>
      </w:r>
      <w:r>
        <w:t xml:space="preserve"> Sentencia </w:t>
      </w:r>
      <w:hyperlink w:anchor="SENTENCIA_2025_40" w:history="1">
        <w:r w:rsidRPr="001D7FA9">
          <w:rPr>
            <w:rStyle w:val="TextoNormalCaracter"/>
          </w:rPr>
          <w:t>40/2025</w:t>
        </w:r>
      </w:hyperlink>
      <w:r>
        <w:t>, ff. 2, 6.</w:t>
      </w:r>
    </w:p>
    <w:p w14:paraId="2DA6E123" w14:textId="21C06A3E" w:rsidR="001D7FA9" w:rsidRDefault="001D7FA9" w:rsidP="001D7FA9">
      <w:pPr>
        <w:pStyle w:val="SangriaFrancesaArticulo"/>
      </w:pPr>
      <w:r w:rsidRPr="001D7FA9">
        <w:rPr>
          <w:rStyle w:val="TextoNormalNegritaCaracter"/>
        </w:rPr>
        <w:t>Disposición transitoria decimotercera</w:t>
      </w:r>
      <w:r>
        <w:t xml:space="preserve"> (redactada por el Decreto-ley 26/2021, de 14 de diciembre)</w:t>
      </w:r>
      <w:r w:rsidRPr="001D7FA9">
        <w:rPr>
          <w:rStyle w:val="TextoNormalNegritaCaracter"/>
        </w:rPr>
        <w:t>.</w:t>
      </w:r>
      <w:r w:rsidRPr="001D7FA9">
        <w:rPr>
          <w:rStyle w:val="TextoNormalCaracter"/>
        </w:rPr>
        <w:t>-</w:t>
      </w:r>
      <w:r>
        <w:t xml:space="preserve"> Sentencia </w:t>
      </w:r>
      <w:hyperlink w:anchor="SENTENCIA_2025_40" w:history="1">
        <w:r w:rsidRPr="001D7FA9">
          <w:rPr>
            <w:rStyle w:val="TextoNormalCaracter"/>
          </w:rPr>
          <w:t>40/2025</w:t>
        </w:r>
      </w:hyperlink>
      <w:r>
        <w:t>, f. 2.</w:t>
      </w:r>
    </w:p>
    <w:p w14:paraId="0205C824" w14:textId="7C89D7AB" w:rsidR="001D7FA9" w:rsidRDefault="001D7FA9" w:rsidP="001D7FA9">
      <w:pPr>
        <w:pStyle w:val="SangriaFrancesaArticulo"/>
      </w:pPr>
      <w:r w:rsidRPr="001D7FA9">
        <w:rPr>
          <w:rStyle w:val="TextoNormalNegritaCaracter"/>
        </w:rPr>
        <w:t>Disposición final primera.</w:t>
      </w:r>
      <w:r w:rsidRPr="001D7FA9">
        <w:rPr>
          <w:rStyle w:val="TextoNormalCaracter"/>
        </w:rPr>
        <w:t>-</w:t>
      </w:r>
      <w:r>
        <w:t xml:space="preserve"> Sentencia </w:t>
      </w:r>
      <w:hyperlink w:anchor="SENTENCIA_2025_40" w:history="1">
        <w:r w:rsidRPr="001D7FA9">
          <w:rPr>
            <w:rStyle w:val="TextoNormalCaracter"/>
          </w:rPr>
          <w:t>40/2025</w:t>
        </w:r>
      </w:hyperlink>
      <w:r>
        <w:t>, f. 5.</w:t>
      </w:r>
    </w:p>
    <w:p w14:paraId="5F34F691" w14:textId="0DE414FC" w:rsidR="001D7FA9" w:rsidRDefault="001D7FA9" w:rsidP="001D7FA9">
      <w:pPr>
        <w:pStyle w:val="SangriaFrancesaArticulo"/>
      </w:pPr>
    </w:p>
    <w:p w14:paraId="4176A1C0" w14:textId="77777777" w:rsidR="001D7FA9" w:rsidRDefault="001D7FA9" w:rsidP="001D7FA9">
      <w:pPr>
        <w:pStyle w:val="TextoNormalNegritaCursivandice"/>
        <w:keepNext/>
      </w:pPr>
      <w:r>
        <w:t>Comunidad Autónoma de Andalucía. Acuerdo de la Diputación Permanente del Parlamento de Andalucía de 2 de abril de 2020 por el que se convalida el Decreto-ley 2/2020, de 9 de marzo, de mejora y simplificación de la regulación para el fomento de la actividad productiva de Andalucía</w:t>
      </w:r>
    </w:p>
    <w:p w14:paraId="30F85831" w14:textId="60EF1EC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0" w:history="1">
        <w:r w:rsidRPr="001D7FA9">
          <w:rPr>
            <w:rStyle w:val="TextoNormalCaracter"/>
          </w:rPr>
          <w:t>40/2025</w:t>
        </w:r>
      </w:hyperlink>
      <w:r>
        <w:t xml:space="preserve">, ff. 1, 3, 4, VP I, VP III; </w:t>
      </w:r>
      <w:hyperlink w:anchor="SENTENCIA_2025_52" w:history="1">
        <w:r w:rsidRPr="001D7FA9">
          <w:rPr>
            <w:rStyle w:val="TextoNormalCaracter"/>
          </w:rPr>
          <w:t>52/2025</w:t>
        </w:r>
      </w:hyperlink>
      <w:r>
        <w:t xml:space="preserve">, f. único; </w:t>
      </w:r>
      <w:hyperlink w:anchor="SENTENCIA_2025_53" w:history="1">
        <w:r w:rsidRPr="001D7FA9">
          <w:rPr>
            <w:rStyle w:val="TextoNormalCaracter"/>
          </w:rPr>
          <w:t>53/2025</w:t>
        </w:r>
      </w:hyperlink>
      <w:r>
        <w:t>, f. único.</w:t>
      </w:r>
    </w:p>
    <w:p w14:paraId="4214108F" w14:textId="16CC26C7" w:rsidR="001D7FA9" w:rsidRDefault="001D7FA9" w:rsidP="001D7FA9">
      <w:pPr>
        <w:pStyle w:val="SangriaFrancesaArticulo"/>
      </w:pPr>
    </w:p>
    <w:p w14:paraId="721513AB" w14:textId="77777777" w:rsidR="001D7FA9" w:rsidRDefault="001D7FA9" w:rsidP="001D7FA9">
      <w:pPr>
        <w:pStyle w:val="TextoNormalNegritaCursivandice"/>
        <w:keepNext/>
      </w:pPr>
      <w:r>
        <w:t>Comunidad Autónoma de Andalucía. Decreto-ley 26/2020, de 13 de octubre, por el que se establece una medida extraordinaria y urgente en el ámbito económico para facilitar ayudas a las pymes industriales afectadas por las consecuencias económicas de la pandemia SARS-CoV-2</w:t>
      </w:r>
    </w:p>
    <w:p w14:paraId="224A256F" w14:textId="1D92442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2.</w:t>
      </w:r>
    </w:p>
    <w:p w14:paraId="63E1D420" w14:textId="745B4E52" w:rsidR="001D7FA9" w:rsidRDefault="001D7FA9" w:rsidP="001D7FA9">
      <w:pPr>
        <w:pStyle w:val="SangriaFrancesaArticulo"/>
      </w:pPr>
      <w:r w:rsidRPr="001D7FA9">
        <w:rPr>
          <w:rStyle w:val="TextoNormalNegritaCaracter"/>
        </w:rPr>
        <w:t>Exposición de motivos.</w:t>
      </w:r>
      <w:r w:rsidRPr="001D7FA9">
        <w:rPr>
          <w:rStyle w:val="TextoNormalCaracter"/>
        </w:rPr>
        <w:t>-</w:t>
      </w:r>
      <w:r>
        <w:t xml:space="preserve"> Sentencia </w:t>
      </w:r>
      <w:hyperlink w:anchor="SENTENCIA_2025_40" w:history="1">
        <w:r w:rsidRPr="001D7FA9">
          <w:rPr>
            <w:rStyle w:val="TextoNormalCaracter"/>
          </w:rPr>
          <w:t>40/2025</w:t>
        </w:r>
      </w:hyperlink>
      <w:r>
        <w:t>, f. 2.</w:t>
      </w:r>
    </w:p>
    <w:p w14:paraId="46E66617" w14:textId="68DD0B70" w:rsidR="001D7FA9" w:rsidRDefault="001D7FA9" w:rsidP="001D7FA9">
      <w:pPr>
        <w:pStyle w:val="SangriaFrancesaArticulo"/>
      </w:pPr>
      <w:r w:rsidRPr="001D7FA9">
        <w:rPr>
          <w:rStyle w:val="TextoNormalNegritaCaracter"/>
        </w:rPr>
        <w:t>Disposición final segunda, apartado 1.</w:t>
      </w:r>
      <w:r w:rsidRPr="001D7FA9">
        <w:rPr>
          <w:rStyle w:val="TextoNormalCaracter"/>
        </w:rPr>
        <w:t>-</w:t>
      </w:r>
      <w:r>
        <w:t xml:space="preserve"> Sentencia </w:t>
      </w:r>
      <w:hyperlink w:anchor="SENTENCIA_2025_40" w:history="1">
        <w:r w:rsidRPr="001D7FA9">
          <w:rPr>
            <w:rStyle w:val="TextoNormalCaracter"/>
          </w:rPr>
          <w:t>40/2025</w:t>
        </w:r>
      </w:hyperlink>
      <w:r>
        <w:t>, f. 2.</w:t>
      </w:r>
    </w:p>
    <w:p w14:paraId="4F8D7B2E" w14:textId="1AD93665" w:rsidR="001D7FA9" w:rsidRDefault="001D7FA9" w:rsidP="001D7FA9">
      <w:pPr>
        <w:pStyle w:val="SangriaFrancesaArticulo"/>
      </w:pPr>
      <w:r w:rsidRPr="001D7FA9">
        <w:rPr>
          <w:rStyle w:val="TextoNormalNegritaCaracter"/>
        </w:rPr>
        <w:t>Disposición final segunda, apartado 2.</w:t>
      </w:r>
      <w:r w:rsidRPr="001D7FA9">
        <w:rPr>
          <w:rStyle w:val="TextoNormalCaracter"/>
        </w:rPr>
        <w:t>-</w:t>
      </w:r>
      <w:r>
        <w:t xml:space="preserve"> Sentencia </w:t>
      </w:r>
      <w:hyperlink w:anchor="SENTENCIA_2025_40" w:history="1">
        <w:r w:rsidRPr="001D7FA9">
          <w:rPr>
            <w:rStyle w:val="TextoNormalCaracter"/>
          </w:rPr>
          <w:t>40/2025</w:t>
        </w:r>
      </w:hyperlink>
      <w:r>
        <w:t>, f. 2.</w:t>
      </w:r>
    </w:p>
    <w:p w14:paraId="17FF19CF" w14:textId="308DEB6D" w:rsidR="001D7FA9" w:rsidRDefault="001D7FA9" w:rsidP="001D7FA9">
      <w:pPr>
        <w:pStyle w:val="SangriaFrancesaArticulo"/>
      </w:pPr>
    </w:p>
    <w:p w14:paraId="755C028E" w14:textId="77777777" w:rsidR="001D7FA9" w:rsidRDefault="001D7FA9" w:rsidP="001D7FA9">
      <w:pPr>
        <w:pStyle w:val="TextoNormalNegritaCursivandice"/>
        <w:keepNext/>
      </w:pPr>
      <w:r>
        <w:t>Comunidad Autónoma de Andalucía. Decreto-ley 26/2021, de 14 de diciembre, por el que se adoptan medidas de simplificación administrativa y mejora de la calidad regulatoria para la reactivación económica en Andalucía</w:t>
      </w:r>
    </w:p>
    <w:p w14:paraId="55E33723" w14:textId="2D3AB9F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2.</w:t>
      </w:r>
    </w:p>
    <w:p w14:paraId="1D78F8CA" w14:textId="44ED1248" w:rsidR="001D7FA9" w:rsidRDefault="001D7FA9" w:rsidP="001D7FA9">
      <w:pPr>
        <w:pStyle w:val="SangriaFrancesaArticulo"/>
      </w:pPr>
    </w:p>
    <w:p w14:paraId="1C7A2D88" w14:textId="77777777" w:rsidR="001D7FA9" w:rsidRDefault="001D7FA9" w:rsidP="001D7FA9">
      <w:pPr>
        <w:pStyle w:val="TextoNormalNegritaCursivandice"/>
        <w:keepNext/>
      </w:pPr>
      <w:r>
        <w:t>Comunidad Autónoma de Andalucía. Decreto-ley 3/2024, de 6 de febrero, por el que se adoptan medidas de simplificación y racionalización administrativa para la mejora de las relaciones de los ciudadanos con la administración de la Junta de Andalucía y el impulso de la actividad económica en Andalucía</w:t>
      </w:r>
    </w:p>
    <w:p w14:paraId="18D3F9EC" w14:textId="2D3829A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2.</w:t>
      </w:r>
    </w:p>
    <w:p w14:paraId="00ECAD4E" w14:textId="12C13326" w:rsidR="001D7FA9" w:rsidRDefault="001D7FA9" w:rsidP="001D7FA9">
      <w:pPr>
        <w:pStyle w:val="TextoNormal"/>
      </w:pPr>
    </w:p>
    <w:p w14:paraId="7494FF49" w14:textId="77777777" w:rsidR="001D7FA9" w:rsidRDefault="001D7FA9" w:rsidP="001D7FA9">
      <w:pPr>
        <w:pStyle w:val="TextoNormalNegritaCentradoSubrayado"/>
        <w:suppressAutoHyphens/>
      </w:pPr>
      <w:r>
        <w:t>J.1.c) Decretos y otras disposiciones reglamentarias</w:t>
      </w:r>
    </w:p>
    <w:p w14:paraId="63DEDB22" w14:textId="778997E4" w:rsidR="001D7FA9" w:rsidRDefault="001D7FA9" w:rsidP="001D7FA9">
      <w:pPr>
        <w:pStyle w:val="TextoNormalNegritaCentradoSubrayado"/>
      </w:pPr>
    </w:p>
    <w:p w14:paraId="12FE5C1F" w14:textId="77777777" w:rsidR="001D7FA9" w:rsidRDefault="001D7FA9" w:rsidP="001D7FA9">
      <w:pPr>
        <w:pStyle w:val="TextoNormalNegritaCursivandice"/>
        <w:keepNext/>
      </w:pPr>
      <w:r>
        <w:t>Comunidad Autónoma de Andalucía. Decreto de la Consejería de Empleo, Empresa y Trabajo Autónomo 2/2014, de 14 de enero, por el que se regulan los criterios y el procedimiento para la declaración de zonas de gran afluencia turística, a efectos de horarios comerciales</w:t>
      </w:r>
    </w:p>
    <w:p w14:paraId="2571B0CE" w14:textId="092D74B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5.</w:t>
      </w:r>
    </w:p>
    <w:p w14:paraId="5D3C2068" w14:textId="66B4140A" w:rsidR="001D7FA9" w:rsidRDefault="001D7FA9" w:rsidP="001D7FA9">
      <w:pPr>
        <w:pStyle w:val="SangriaFrancesaArticulo"/>
      </w:pPr>
    </w:p>
    <w:p w14:paraId="01C66218" w14:textId="77777777" w:rsidR="001D7FA9" w:rsidRDefault="001D7FA9" w:rsidP="001D7FA9">
      <w:pPr>
        <w:pStyle w:val="TextoNormalNegritaCursivandice"/>
        <w:keepNext/>
      </w:pPr>
      <w:r>
        <w:t>Comunidad Autónoma de Andalucía. Decreto de la Consejería de Igualdad, Salud y Políticas Sociales 169/2014, de 9 de diciembre, por el que se establece el procedimiento de la evaluación del impacto en la salud de la Comunidad Autónoma de Andalucía</w:t>
      </w:r>
    </w:p>
    <w:p w14:paraId="226B088E" w14:textId="38F0757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5.</w:t>
      </w:r>
    </w:p>
    <w:p w14:paraId="54B55A37" w14:textId="4C52E013" w:rsidR="001D7FA9" w:rsidRDefault="001D7FA9" w:rsidP="001D7FA9">
      <w:pPr>
        <w:pStyle w:val="SangriaFrancesaArticulo"/>
      </w:pPr>
    </w:p>
    <w:p w14:paraId="484970AE" w14:textId="77777777" w:rsidR="001D7FA9" w:rsidRDefault="001D7FA9" w:rsidP="001D7FA9">
      <w:pPr>
        <w:pStyle w:val="TextoNormalNegritaCursivandice"/>
        <w:keepNext/>
      </w:pPr>
      <w:r>
        <w:t>Comunidad Autónoma de Andalucía. Decreto de la Consejería de Medio Ambiente y Ordenación del Territorio 18/2015, de 27 de enero, por el que se aprueba el reglamento que regula el régimen aplicable a los suelos contaminados</w:t>
      </w:r>
    </w:p>
    <w:p w14:paraId="42540374" w14:textId="3796C0D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5.</w:t>
      </w:r>
    </w:p>
    <w:p w14:paraId="4988C415" w14:textId="1ED73D36" w:rsidR="001D7FA9" w:rsidRDefault="001D7FA9" w:rsidP="001D7FA9">
      <w:pPr>
        <w:pStyle w:val="SangriaFrancesaArticulo"/>
      </w:pPr>
    </w:p>
    <w:p w14:paraId="5AFB1615" w14:textId="77777777" w:rsidR="001D7FA9" w:rsidRDefault="001D7FA9" w:rsidP="001D7FA9">
      <w:pPr>
        <w:pStyle w:val="TextoNormalNegritaCursivandice"/>
        <w:keepNext/>
      </w:pPr>
      <w:r>
        <w:t>Comunidad Autónoma de Andalucía. Decreto de la Consejería de Medio Ambiente y Ordenación del Territorio 109/2015, de 17 de marzo, por el que se aprueba el reglamento de vertidos al dominio público hidráulico y al dominio público marítimo-terrestre de Andalucía</w:t>
      </w:r>
    </w:p>
    <w:p w14:paraId="354F6776" w14:textId="6BCB4C2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5.</w:t>
      </w:r>
    </w:p>
    <w:p w14:paraId="0B4F920F" w14:textId="06A2F9A2" w:rsidR="001D7FA9" w:rsidRDefault="001D7FA9" w:rsidP="001D7FA9">
      <w:pPr>
        <w:pStyle w:val="SangriaFrancesaArticulo"/>
      </w:pPr>
    </w:p>
    <w:p w14:paraId="06ADC0BD" w14:textId="77777777" w:rsidR="001D7FA9" w:rsidRDefault="001D7FA9" w:rsidP="001D7FA9">
      <w:pPr>
        <w:pStyle w:val="TextoNormalNegritaCursivandice"/>
        <w:keepNext/>
      </w:pPr>
      <w:r>
        <w:t>Comunidad Autónoma de Andalucía. Decreto de la Consejería de Turismo y Deporte 72/2017, de 13 de junio, de municipio turístico de Andalucía</w:t>
      </w:r>
    </w:p>
    <w:p w14:paraId="39A2D5F4" w14:textId="0E6F975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5.</w:t>
      </w:r>
    </w:p>
    <w:p w14:paraId="561FD1D7" w14:textId="1DC214C0" w:rsidR="001D7FA9" w:rsidRDefault="001D7FA9" w:rsidP="001D7FA9">
      <w:pPr>
        <w:pStyle w:val="TextoNormal"/>
      </w:pPr>
    </w:p>
    <w:p w14:paraId="1EA45695" w14:textId="77777777" w:rsidR="001D7FA9" w:rsidRDefault="001D7FA9" w:rsidP="001D7FA9">
      <w:pPr>
        <w:pStyle w:val="TextoNormalNegritaCentradoSubrayado"/>
        <w:suppressAutoHyphens/>
      </w:pPr>
      <w:r>
        <w:t>J.1.d) Disposiciones parlamentarias autonómicas</w:t>
      </w:r>
    </w:p>
    <w:p w14:paraId="08F5AC9F" w14:textId="53EBF860" w:rsidR="001D7FA9" w:rsidRDefault="001D7FA9" w:rsidP="001D7FA9">
      <w:pPr>
        <w:pStyle w:val="TextoNormalNegritaCentradoSubrayado"/>
      </w:pPr>
    </w:p>
    <w:p w14:paraId="4044D0DF" w14:textId="77777777" w:rsidR="001D7FA9" w:rsidRDefault="001D7FA9" w:rsidP="001D7FA9">
      <w:pPr>
        <w:pStyle w:val="TextoNormalNegritaCursivandice"/>
        <w:keepNext/>
      </w:pPr>
      <w:r>
        <w:t>Comunidad Autónoma de Andalucía. Reglamento del Parlamento de Andalucía, de 28 de septiembre de 2005</w:t>
      </w:r>
    </w:p>
    <w:p w14:paraId="59C6983E" w14:textId="3EB903E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0" w:history="1">
        <w:r w:rsidRPr="001D7FA9">
          <w:rPr>
            <w:rStyle w:val="TextoNormalCaracter"/>
          </w:rPr>
          <w:t>40/2025</w:t>
        </w:r>
      </w:hyperlink>
      <w:r>
        <w:t>, f. 3, VP I.</w:t>
      </w:r>
    </w:p>
    <w:p w14:paraId="67CCD181" w14:textId="76B82455" w:rsidR="001D7FA9" w:rsidRDefault="001D7FA9" w:rsidP="001D7FA9">
      <w:pPr>
        <w:pStyle w:val="SangriaFrancesaArticulo"/>
      </w:pPr>
      <w:r w:rsidRPr="001D7FA9">
        <w:rPr>
          <w:rStyle w:val="TextoNormalNegritaCaracter"/>
        </w:rPr>
        <w:t>Artículo 29.2.</w:t>
      </w:r>
      <w:r w:rsidRPr="001D7FA9">
        <w:rPr>
          <w:rStyle w:val="TextoNormalCaracter"/>
        </w:rPr>
        <w:t>-</w:t>
      </w:r>
      <w:r>
        <w:t xml:space="preserve"> Sentencia </w:t>
      </w:r>
      <w:hyperlink w:anchor="SENTENCIA_2025_40" w:history="1">
        <w:r w:rsidRPr="001D7FA9">
          <w:rPr>
            <w:rStyle w:val="TextoNormalCaracter"/>
          </w:rPr>
          <w:t>40/2025</w:t>
        </w:r>
      </w:hyperlink>
      <w:r>
        <w:t>, VP I.</w:t>
      </w:r>
    </w:p>
    <w:p w14:paraId="15C94D45" w14:textId="723B8C12" w:rsidR="001D7FA9" w:rsidRDefault="001D7FA9" w:rsidP="001D7FA9">
      <w:pPr>
        <w:pStyle w:val="SangriaFrancesaArticulo"/>
      </w:pPr>
      <w:r w:rsidRPr="001D7FA9">
        <w:rPr>
          <w:rStyle w:val="TextoNormalNegritaCaracter"/>
        </w:rPr>
        <w:t>Artículo 57.1.</w:t>
      </w:r>
      <w:r w:rsidRPr="001D7FA9">
        <w:rPr>
          <w:rStyle w:val="TextoNormalCaracter"/>
        </w:rPr>
        <w:t>-</w:t>
      </w:r>
      <w:r>
        <w:t xml:space="preserve"> Sentencia </w:t>
      </w:r>
      <w:hyperlink w:anchor="SENTENCIA_2025_40" w:history="1">
        <w:r w:rsidRPr="001D7FA9">
          <w:rPr>
            <w:rStyle w:val="TextoNormalCaracter"/>
          </w:rPr>
          <w:t>40/2025</w:t>
        </w:r>
      </w:hyperlink>
      <w:r>
        <w:t>, f. 3.</w:t>
      </w:r>
    </w:p>
    <w:p w14:paraId="64009162" w14:textId="372B0A38" w:rsidR="001D7FA9" w:rsidRDefault="001D7FA9" w:rsidP="001D7FA9">
      <w:pPr>
        <w:pStyle w:val="SangriaFrancesaArticulo"/>
      </w:pPr>
      <w:r w:rsidRPr="001D7FA9">
        <w:rPr>
          <w:rStyle w:val="TextoNormalNegritaCaracter"/>
        </w:rPr>
        <w:t>Artículo 57.3.</w:t>
      </w:r>
      <w:r w:rsidRPr="001D7FA9">
        <w:rPr>
          <w:rStyle w:val="TextoNormalCaracter"/>
        </w:rPr>
        <w:t>-</w:t>
      </w:r>
      <w:r>
        <w:t xml:space="preserve"> Sentencia </w:t>
      </w:r>
      <w:hyperlink w:anchor="SENTENCIA_2025_40" w:history="1">
        <w:r w:rsidRPr="001D7FA9">
          <w:rPr>
            <w:rStyle w:val="TextoNormalCaracter"/>
          </w:rPr>
          <w:t>40/2025</w:t>
        </w:r>
      </w:hyperlink>
      <w:r>
        <w:t>, VP I.</w:t>
      </w:r>
    </w:p>
    <w:p w14:paraId="4512B9B3" w14:textId="04502C60" w:rsidR="001D7FA9" w:rsidRDefault="001D7FA9" w:rsidP="001D7FA9">
      <w:pPr>
        <w:pStyle w:val="SangriaFrancesaArticulo"/>
      </w:pPr>
      <w:r w:rsidRPr="001D7FA9">
        <w:rPr>
          <w:rStyle w:val="TextoNormalNegritaCaracter"/>
        </w:rPr>
        <w:t>Artículo 58.</w:t>
      </w:r>
      <w:r w:rsidRPr="001D7FA9">
        <w:rPr>
          <w:rStyle w:val="TextoNormalCaracter"/>
        </w:rPr>
        <w:t>-</w:t>
      </w:r>
      <w:r>
        <w:t xml:space="preserve"> Sentencia </w:t>
      </w:r>
      <w:hyperlink w:anchor="SENTENCIA_2025_40" w:history="1">
        <w:r w:rsidRPr="001D7FA9">
          <w:rPr>
            <w:rStyle w:val="TextoNormalCaracter"/>
          </w:rPr>
          <w:t>40/2025</w:t>
        </w:r>
      </w:hyperlink>
      <w:r>
        <w:t>, f. 3, VP I.</w:t>
      </w:r>
    </w:p>
    <w:p w14:paraId="7D060FDF" w14:textId="2DE8F6E0" w:rsidR="001D7FA9" w:rsidRDefault="001D7FA9" w:rsidP="001D7FA9">
      <w:pPr>
        <w:pStyle w:val="SangriaFrancesaArticulo"/>
      </w:pPr>
      <w:r w:rsidRPr="001D7FA9">
        <w:rPr>
          <w:rStyle w:val="TextoNormalNegritaCaracter"/>
        </w:rPr>
        <w:t>Artículo 59.</w:t>
      </w:r>
      <w:r w:rsidRPr="001D7FA9">
        <w:rPr>
          <w:rStyle w:val="TextoNormalCaracter"/>
        </w:rPr>
        <w:t>-</w:t>
      </w:r>
      <w:r>
        <w:t xml:space="preserve"> Sentencia </w:t>
      </w:r>
      <w:hyperlink w:anchor="SENTENCIA_2025_40" w:history="1">
        <w:r w:rsidRPr="001D7FA9">
          <w:rPr>
            <w:rStyle w:val="TextoNormalCaracter"/>
          </w:rPr>
          <w:t>40/2025</w:t>
        </w:r>
      </w:hyperlink>
      <w:r>
        <w:t>, VP I.</w:t>
      </w:r>
    </w:p>
    <w:p w14:paraId="72A1B86B" w14:textId="309F328B" w:rsidR="001D7FA9" w:rsidRDefault="001D7FA9" w:rsidP="001D7FA9">
      <w:pPr>
        <w:pStyle w:val="SangriaFrancesaArticulo"/>
      </w:pPr>
      <w:r w:rsidRPr="001D7FA9">
        <w:rPr>
          <w:rStyle w:val="TextoNormalNegritaCaracter"/>
        </w:rPr>
        <w:t>Artículo 67.2.</w:t>
      </w:r>
      <w:r w:rsidRPr="001D7FA9">
        <w:rPr>
          <w:rStyle w:val="TextoNormalCaracter"/>
        </w:rPr>
        <w:t>-</w:t>
      </w:r>
      <w:r>
        <w:t xml:space="preserve"> Sentencia </w:t>
      </w:r>
      <w:hyperlink w:anchor="SENTENCIA_2025_40" w:history="1">
        <w:r w:rsidRPr="001D7FA9">
          <w:rPr>
            <w:rStyle w:val="TextoNormalCaracter"/>
          </w:rPr>
          <w:t>40/2025</w:t>
        </w:r>
      </w:hyperlink>
      <w:r>
        <w:t>, VP I.</w:t>
      </w:r>
    </w:p>
    <w:p w14:paraId="4F8AABD8" w14:textId="35F32FDA" w:rsidR="001D7FA9" w:rsidRDefault="001D7FA9" w:rsidP="001D7FA9">
      <w:pPr>
        <w:pStyle w:val="SangriaFrancesaArticulo"/>
      </w:pPr>
      <w:r w:rsidRPr="001D7FA9">
        <w:rPr>
          <w:rStyle w:val="TextoNormalNegritaCaracter"/>
        </w:rPr>
        <w:t>Artículo 90 bis.</w:t>
      </w:r>
      <w:r w:rsidRPr="001D7FA9">
        <w:rPr>
          <w:rStyle w:val="TextoNormalCaracter"/>
        </w:rPr>
        <w:t>-</w:t>
      </w:r>
      <w:r>
        <w:t xml:space="preserve"> Sentencia </w:t>
      </w:r>
      <w:hyperlink w:anchor="SENTENCIA_2025_40" w:history="1">
        <w:r w:rsidRPr="001D7FA9">
          <w:rPr>
            <w:rStyle w:val="TextoNormalCaracter"/>
          </w:rPr>
          <w:t>40/2025</w:t>
        </w:r>
      </w:hyperlink>
      <w:r>
        <w:t>, VP I.</w:t>
      </w:r>
    </w:p>
    <w:p w14:paraId="796E28C6" w14:textId="121F22E7" w:rsidR="001D7FA9" w:rsidRDefault="001D7FA9" w:rsidP="001D7FA9">
      <w:pPr>
        <w:pStyle w:val="SangriaFrancesaArticulo"/>
      </w:pPr>
    </w:p>
    <w:p w14:paraId="11B7191B" w14:textId="77777777" w:rsidR="001D7FA9" w:rsidRDefault="001D7FA9" w:rsidP="001D7FA9">
      <w:pPr>
        <w:pStyle w:val="TextoNormalNegritaCursivandice"/>
        <w:keepNext/>
      </w:pPr>
      <w:r>
        <w:t>Comunidad Autónoma de Andalucía. Resoluciones de la Presidencia del Parlamento de Andalucía de 18 de marzo de 2020, sobre habilitación de la convocatoria de la Diputación Permanente en una situación de declaración de estado de alarma; y de 31 de marzo de 2020, por la que se convoca para el 2 de abril de 2020 la Diputación Permanente del Parlamento de Andalucía</w:t>
      </w:r>
    </w:p>
    <w:p w14:paraId="3D166020" w14:textId="3104C3B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52" w:history="1">
        <w:r w:rsidRPr="001D7FA9">
          <w:rPr>
            <w:rStyle w:val="TextoNormalCaracter"/>
          </w:rPr>
          <w:t>52/2025</w:t>
        </w:r>
      </w:hyperlink>
      <w:r>
        <w:t xml:space="preserve">, f. único; </w:t>
      </w:r>
      <w:hyperlink w:anchor="SENTENCIA_2025_53" w:history="1">
        <w:r w:rsidRPr="001D7FA9">
          <w:rPr>
            <w:rStyle w:val="TextoNormalCaracter"/>
          </w:rPr>
          <w:t>53/2025</w:t>
        </w:r>
      </w:hyperlink>
      <w:r>
        <w:t>, f. único.</w:t>
      </w:r>
    </w:p>
    <w:p w14:paraId="2A2361AB" w14:textId="2A66995D" w:rsidR="001D7FA9" w:rsidRDefault="001D7FA9" w:rsidP="001D7FA9">
      <w:pPr>
        <w:pStyle w:val="SangriaFrancesaArticulo"/>
      </w:pPr>
    </w:p>
    <w:p w14:paraId="492AF2E8" w14:textId="77777777" w:rsidR="001D7FA9" w:rsidRDefault="001D7FA9" w:rsidP="001D7FA9">
      <w:pPr>
        <w:pStyle w:val="TextoNormalNegritaCursivandice"/>
        <w:keepNext/>
      </w:pPr>
      <w:r>
        <w:t>Comunidad Autónoma de Andalucía. Acuerdos de 25 de marzo, 2, 16 y 24 de abril de 2020, de la Diputación Permanente de convalidación de diversos decretos-leyes</w:t>
      </w:r>
    </w:p>
    <w:p w14:paraId="4E16CF3F" w14:textId="07C6CD7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3" w:history="1">
        <w:r w:rsidRPr="001D7FA9">
          <w:rPr>
            <w:rStyle w:val="TextoNormalCaracter"/>
          </w:rPr>
          <w:t>53/2025</w:t>
        </w:r>
      </w:hyperlink>
      <w:r>
        <w:t>, f. único.</w:t>
      </w:r>
    </w:p>
    <w:p w14:paraId="425EFCFE" w14:textId="511C8493" w:rsidR="001D7FA9" w:rsidRDefault="001D7FA9" w:rsidP="001D7FA9">
      <w:pPr>
        <w:pStyle w:val="TextoNormal"/>
      </w:pPr>
    </w:p>
    <w:p w14:paraId="792AC131" w14:textId="77777777" w:rsidR="001D7FA9" w:rsidRDefault="001D7FA9" w:rsidP="001D7FA9">
      <w:pPr>
        <w:pStyle w:val="TextoNormalNegritaCentrado"/>
        <w:suppressAutoHyphens/>
      </w:pPr>
      <w:r w:rsidRPr="001D7FA9">
        <w:rPr>
          <w:rStyle w:val="TextoNormalNegritaCentradoSombreado"/>
        </w:rPr>
        <w:t>J.2) Aragón</w:t>
      </w:r>
    </w:p>
    <w:p w14:paraId="2E073EAE" w14:textId="66FC53E1" w:rsidR="001D7FA9" w:rsidRDefault="001D7FA9" w:rsidP="001D7FA9">
      <w:pPr>
        <w:pStyle w:val="TextoNormal"/>
      </w:pPr>
    </w:p>
    <w:p w14:paraId="601AC808" w14:textId="77777777" w:rsidR="001D7FA9" w:rsidRDefault="001D7FA9" w:rsidP="001D7FA9">
      <w:pPr>
        <w:pStyle w:val="TextoNormalNegritaCentradoSubrayado"/>
        <w:suppressAutoHyphens/>
      </w:pPr>
      <w:r>
        <w:t>J.2.a) Estatuto de Autonomía</w:t>
      </w:r>
    </w:p>
    <w:p w14:paraId="618294B8" w14:textId="69904E5A" w:rsidR="001D7FA9" w:rsidRDefault="001D7FA9" w:rsidP="001D7FA9">
      <w:pPr>
        <w:pStyle w:val="TextoNormalNegritaCentradoSubrayado"/>
      </w:pPr>
    </w:p>
    <w:p w14:paraId="6AD01459" w14:textId="77777777" w:rsidR="001D7FA9" w:rsidRDefault="001D7FA9" w:rsidP="001D7FA9">
      <w:pPr>
        <w:pStyle w:val="TextoNormalNegritaCursivandice"/>
        <w:keepNext/>
      </w:pPr>
      <w:r>
        <w:t>Ley Orgánica 5/2007, de 20 de abril, de reforma del Estatuto de Autonomía de Aragón</w:t>
      </w:r>
    </w:p>
    <w:p w14:paraId="1131F5F5" w14:textId="59C814C7" w:rsidR="001D7FA9" w:rsidRDefault="001D7FA9" w:rsidP="001D7FA9">
      <w:pPr>
        <w:pStyle w:val="SangriaFrancesaArticulo"/>
      </w:pPr>
      <w:r w:rsidRPr="001D7FA9">
        <w:rPr>
          <w:rStyle w:val="TextoNormalNegritaCaracter"/>
        </w:rPr>
        <w:t>Artículo 44.</w:t>
      </w:r>
      <w:r w:rsidRPr="001D7FA9">
        <w:rPr>
          <w:rStyle w:val="TextoNormalCaracter"/>
        </w:rPr>
        <w:t>-</w:t>
      </w:r>
      <w:r>
        <w:t xml:space="preserve"> Sentencia </w:t>
      </w:r>
      <w:hyperlink w:anchor="SENTENCIA_2025_118" w:history="1">
        <w:r w:rsidRPr="001D7FA9">
          <w:rPr>
            <w:rStyle w:val="TextoNormalCaracter"/>
          </w:rPr>
          <w:t>118/2025</w:t>
        </w:r>
      </w:hyperlink>
      <w:r>
        <w:t>, f. 3.</w:t>
      </w:r>
    </w:p>
    <w:p w14:paraId="4360F9B0" w14:textId="7A57B119" w:rsidR="001D7FA9" w:rsidRDefault="001D7FA9" w:rsidP="001D7FA9">
      <w:pPr>
        <w:pStyle w:val="TextoNormal"/>
      </w:pPr>
    </w:p>
    <w:p w14:paraId="5B100860" w14:textId="77777777" w:rsidR="001D7FA9" w:rsidRDefault="001D7FA9" w:rsidP="001D7FA9">
      <w:pPr>
        <w:pStyle w:val="TextoNormalNegritaCentradoSubrayado"/>
        <w:suppressAutoHyphens/>
      </w:pPr>
      <w:r>
        <w:t>J.2.b) Leyes y disposiciones con fuerza de Ley</w:t>
      </w:r>
    </w:p>
    <w:p w14:paraId="60DAA1AF" w14:textId="3E79A086" w:rsidR="001D7FA9" w:rsidRDefault="001D7FA9" w:rsidP="001D7FA9">
      <w:pPr>
        <w:pStyle w:val="TextoNormalNegritaCentradoSubrayado"/>
      </w:pPr>
    </w:p>
    <w:p w14:paraId="36A3F692" w14:textId="77777777" w:rsidR="001D7FA9" w:rsidRDefault="001D7FA9" w:rsidP="001D7FA9">
      <w:pPr>
        <w:pStyle w:val="TextoNormalNegritaCursivandice"/>
        <w:keepNext/>
      </w:pPr>
      <w:r>
        <w:t>Comunidad Autónoma de Aragón. Ley 14/2018, de 8 de noviembre, de memoria democrática de Aragón</w:t>
      </w:r>
    </w:p>
    <w:p w14:paraId="1786FBE3" w14:textId="7563D2B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4" w:history="1">
        <w:r w:rsidRPr="001D7FA9">
          <w:rPr>
            <w:rStyle w:val="TextoNormalCaracter"/>
          </w:rPr>
          <w:t>64/2025</w:t>
        </w:r>
      </w:hyperlink>
      <w:r>
        <w:t>, VP II, VP III.</w:t>
      </w:r>
    </w:p>
    <w:p w14:paraId="18DF82A6" w14:textId="51A3E4A2" w:rsidR="001D7FA9" w:rsidRDefault="001D7FA9" w:rsidP="001D7FA9">
      <w:pPr>
        <w:pStyle w:val="SangriaFrancesaArticulo"/>
      </w:pPr>
    </w:p>
    <w:p w14:paraId="2D17036C" w14:textId="77777777" w:rsidR="001D7FA9" w:rsidRDefault="001D7FA9" w:rsidP="001D7FA9">
      <w:pPr>
        <w:pStyle w:val="TextoNormalNegritaCursivandice"/>
        <w:keepNext/>
      </w:pPr>
      <w:r>
        <w:t>Comunidad Autónoma de Aragón. Ley 3/2020, de 3 de diciembre, por la que se establece el régimen jurídico de alerta sanitaria para el control de la pandemia COVID-19 en Aragón</w:t>
      </w:r>
    </w:p>
    <w:p w14:paraId="3548B9A2" w14:textId="1D446A4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4" w:history="1">
        <w:r w:rsidRPr="001D7FA9">
          <w:rPr>
            <w:rStyle w:val="TextoNormalCaracter"/>
          </w:rPr>
          <w:t>24/2025</w:t>
        </w:r>
      </w:hyperlink>
      <w:r>
        <w:t>, f. 4.</w:t>
      </w:r>
    </w:p>
    <w:p w14:paraId="6955875E" w14:textId="12BC9961"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Auto </w:t>
      </w:r>
      <w:hyperlink w:anchor="AUTO_2025_24" w:history="1">
        <w:r w:rsidRPr="001D7FA9">
          <w:rPr>
            <w:rStyle w:val="TextoNormalCaracter"/>
          </w:rPr>
          <w:t>24/2025</w:t>
        </w:r>
      </w:hyperlink>
      <w:r>
        <w:t>, f. 1.</w:t>
      </w:r>
    </w:p>
    <w:p w14:paraId="17234359" w14:textId="24BCD909"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Auto </w:t>
      </w:r>
      <w:hyperlink w:anchor="AUTO_2025_24" w:history="1">
        <w:r w:rsidRPr="001D7FA9">
          <w:rPr>
            <w:rStyle w:val="TextoNormalCaracter"/>
          </w:rPr>
          <w:t>24/2025</w:t>
        </w:r>
      </w:hyperlink>
      <w:r>
        <w:t>, f. 1.</w:t>
      </w:r>
    </w:p>
    <w:p w14:paraId="5377B958" w14:textId="67104F80" w:rsidR="001D7FA9" w:rsidRDefault="001D7FA9" w:rsidP="001D7FA9">
      <w:pPr>
        <w:pStyle w:val="SangriaFrancesaArticulo"/>
      </w:pPr>
      <w:r w:rsidRPr="001D7FA9">
        <w:rPr>
          <w:rStyle w:val="TextoNormalNegritaCaracter"/>
        </w:rPr>
        <w:t>Artículo 17.4.</w:t>
      </w:r>
      <w:r w:rsidRPr="001D7FA9">
        <w:rPr>
          <w:rStyle w:val="TextoNormalCaracter"/>
        </w:rPr>
        <w:t>-</w:t>
      </w:r>
      <w:r>
        <w:t xml:space="preserve"> Auto </w:t>
      </w:r>
      <w:hyperlink w:anchor="AUTO_2025_24" w:history="1">
        <w:r w:rsidRPr="001D7FA9">
          <w:rPr>
            <w:rStyle w:val="TextoNormalCaracter"/>
          </w:rPr>
          <w:t>24/2025</w:t>
        </w:r>
      </w:hyperlink>
      <w:r>
        <w:t>, f. 1.</w:t>
      </w:r>
    </w:p>
    <w:p w14:paraId="516CA917" w14:textId="488785CF" w:rsidR="001D7FA9" w:rsidRDefault="001D7FA9" w:rsidP="001D7FA9">
      <w:pPr>
        <w:pStyle w:val="SangriaFrancesaArticulo"/>
      </w:pPr>
      <w:r w:rsidRPr="001D7FA9">
        <w:rPr>
          <w:rStyle w:val="TextoNormalNegritaCaracter"/>
        </w:rPr>
        <w:t>Artículo 18.1.</w:t>
      </w:r>
      <w:r w:rsidRPr="001D7FA9">
        <w:rPr>
          <w:rStyle w:val="TextoNormalCaracter"/>
        </w:rPr>
        <w:t>-</w:t>
      </w:r>
      <w:r>
        <w:t xml:space="preserve"> Auto </w:t>
      </w:r>
      <w:hyperlink w:anchor="AUTO_2025_24" w:history="1">
        <w:r w:rsidRPr="001D7FA9">
          <w:rPr>
            <w:rStyle w:val="TextoNormalCaracter"/>
          </w:rPr>
          <w:t>24/2025</w:t>
        </w:r>
      </w:hyperlink>
      <w:r>
        <w:t>, f. 1.</w:t>
      </w:r>
    </w:p>
    <w:p w14:paraId="1D3448C2" w14:textId="295FCFAB" w:rsidR="001D7FA9" w:rsidRDefault="001D7FA9" w:rsidP="001D7FA9">
      <w:pPr>
        <w:pStyle w:val="SangriaFrancesaArticulo"/>
      </w:pPr>
      <w:r w:rsidRPr="001D7FA9">
        <w:rPr>
          <w:rStyle w:val="TextoNormalNegritaCaracter"/>
        </w:rPr>
        <w:t>Artículo 18.2.</w:t>
      </w:r>
      <w:r w:rsidRPr="001D7FA9">
        <w:rPr>
          <w:rStyle w:val="TextoNormalCaracter"/>
        </w:rPr>
        <w:t>-</w:t>
      </w:r>
      <w:r>
        <w:t xml:space="preserve"> Auto </w:t>
      </w:r>
      <w:hyperlink w:anchor="AUTO_2025_24" w:history="1">
        <w:r w:rsidRPr="001D7FA9">
          <w:rPr>
            <w:rStyle w:val="TextoNormalCaracter"/>
          </w:rPr>
          <w:t>24/2025</w:t>
        </w:r>
      </w:hyperlink>
      <w:r>
        <w:t>, f. 1.</w:t>
      </w:r>
    </w:p>
    <w:p w14:paraId="58E3DFCC" w14:textId="2C598BB4" w:rsidR="001D7FA9" w:rsidRDefault="001D7FA9" w:rsidP="001D7FA9">
      <w:pPr>
        <w:pStyle w:val="SangriaFrancesaArticulo"/>
      </w:pPr>
      <w:r w:rsidRPr="001D7FA9">
        <w:rPr>
          <w:rStyle w:val="TextoNormalNegritaCaracter"/>
        </w:rPr>
        <w:t>Artículo 18.3.</w:t>
      </w:r>
      <w:r w:rsidRPr="001D7FA9">
        <w:rPr>
          <w:rStyle w:val="TextoNormalCaracter"/>
        </w:rPr>
        <w:t>-</w:t>
      </w:r>
      <w:r>
        <w:t xml:space="preserve"> Auto </w:t>
      </w:r>
      <w:hyperlink w:anchor="AUTO_2025_24" w:history="1">
        <w:r w:rsidRPr="001D7FA9">
          <w:rPr>
            <w:rStyle w:val="TextoNormalCaracter"/>
          </w:rPr>
          <w:t>24/2025</w:t>
        </w:r>
      </w:hyperlink>
      <w:r>
        <w:t>, f. 1.</w:t>
      </w:r>
    </w:p>
    <w:p w14:paraId="1669985A" w14:textId="054F7A64" w:rsidR="001D7FA9" w:rsidRDefault="001D7FA9" w:rsidP="001D7FA9">
      <w:pPr>
        <w:pStyle w:val="SangriaFrancesaArticulo"/>
      </w:pPr>
      <w:r w:rsidRPr="001D7FA9">
        <w:rPr>
          <w:rStyle w:val="TextoNormalNegritaCaracter"/>
        </w:rPr>
        <w:t>Artículo 19.1.</w:t>
      </w:r>
      <w:r w:rsidRPr="001D7FA9">
        <w:rPr>
          <w:rStyle w:val="TextoNormalCaracter"/>
        </w:rPr>
        <w:t>-</w:t>
      </w:r>
      <w:r>
        <w:t xml:space="preserve"> Auto </w:t>
      </w:r>
      <w:hyperlink w:anchor="AUTO_2025_24" w:history="1">
        <w:r w:rsidRPr="001D7FA9">
          <w:rPr>
            <w:rStyle w:val="TextoNormalCaracter"/>
          </w:rPr>
          <w:t>24/2025</w:t>
        </w:r>
      </w:hyperlink>
      <w:r>
        <w:t>, f. 1.</w:t>
      </w:r>
    </w:p>
    <w:p w14:paraId="620091E1" w14:textId="59640CA8" w:rsidR="001D7FA9" w:rsidRDefault="001D7FA9" w:rsidP="001D7FA9">
      <w:pPr>
        <w:pStyle w:val="SangriaFrancesaArticulo"/>
      </w:pPr>
      <w:r w:rsidRPr="001D7FA9">
        <w:rPr>
          <w:rStyle w:val="TextoNormalNegritaCaracter"/>
        </w:rPr>
        <w:t>Artículo 28.</w:t>
      </w:r>
      <w:r w:rsidRPr="001D7FA9">
        <w:rPr>
          <w:rStyle w:val="TextoNormalCaracter"/>
        </w:rPr>
        <w:t>-</w:t>
      </w:r>
      <w:r>
        <w:t xml:space="preserve"> Auto </w:t>
      </w:r>
      <w:hyperlink w:anchor="AUTO_2025_24" w:history="1">
        <w:r w:rsidRPr="001D7FA9">
          <w:rPr>
            <w:rStyle w:val="TextoNormalCaracter"/>
          </w:rPr>
          <w:t>24/2025</w:t>
        </w:r>
      </w:hyperlink>
      <w:r>
        <w:t>, f. 1.</w:t>
      </w:r>
    </w:p>
    <w:p w14:paraId="1431E422" w14:textId="44AD47A8" w:rsidR="001D7FA9" w:rsidRDefault="001D7FA9" w:rsidP="001D7FA9">
      <w:pPr>
        <w:pStyle w:val="SangriaFrancesaArticulo"/>
      </w:pPr>
      <w:r w:rsidRPr="001D7FA9">
        <w:rPr>
          <w:rStyle w:val="TextoNormalNegritaCaracter"/>
        </w:rPr>
        <w:t>Artículo 29.</w:t>
      </w:r>
      <w:r w:rsidRPr="001D7FA9">
        <w:rPr>
          <w:rStyle w:val="TextoNormalCaracter"/>
        </w:rPr>
        <w:t>-</w:t>
      </w:r>
      <w:r>
        <w:t xml:space="preserve"> Auto </w:t>
      </w:r>
      <w:hyperlink w:anchor="AUTO_2025_24" w:history="1">
        <w:r w:rsidRPr="001D7FA9">
          <w:rPr>
            <w:rStyle w:val="TextoNormalCaracter"/>
          </w:rPr>
          <w:t>24/2025</w:t>
        </w:r>
      </w:hyperlink>
      <w:r>
        <w:t>, f. 4.</w:t>
      </w:r>
    </w:p>
    <w:p w14:paraId="1C0BBC6D" w14:textId="0714D031" w:rsidR="001D7FA9" w:rsidRDefault="001D7FA9" w:rsidP="001D7FA9">
      <w:pPr>
        <w:pStyle w:val="SangriaFrancesaArticulo"/>
      </w:pPr>
      <w:r w:rsidRPr="001D7FA9">
        <w:rPr>
          <w:rStyle w:val="TextoNormalNegritaCaracter"/>
        </w:rPr>
        <w:t>Artículo 29 a).</w:t>
      </w:r>
      <w:r w:rsidRPr="001D7FA9">
        <w:rPr>
          <w:rStyle w:val="TextoNormalCaracter"/>
        </w:rPr>
        <w:t>-</w:t>
      </w:r>
      <w:r>
        <w:t xml:space="preserve"> Auto </w:t>
      </w:r>
      <w:hyperlink w:anchor="AUTO_2025_24" w:history="1">
        <w:r w:rsidRPr="001D7FA9">
          <w:rPr>
            <w:rStyle w:val="TextoNormalCaracter"/>
          </w:rPr>
          <w:t>24/2025</w:t>
        </w:r>
      </w:hyperlink>
      <w:r>
        <w:t>, ff. 1 a 4.</w:t>
      </w:r>
    </w:p>
    <w:p w14:paraId="4D93BBFD" w14:textId="114D464C" w:rsidR="001D7FA9" w:rsidRDefault="001D7FA9" w:rsidP="001D7FA9">
      <w:pPr>
        <w:pStyle w:val="SangriaFrancesaArticulo"/>
      </w:pPr>
      <w:r w:rsidRPr="001D7FA9">
        <w:rPr>
          <w:rStyle w:val="TextoNormalNegritaCaracter"/>
        </w:rPr>
        <w:t>Artículo 29 a6).</w:t>
      </w:r>
      <w:r w:rsidRPr="001D7FA9">
        <w:rPr>
          <w:rStyle w:val="TextoNormalCaracter"/>
        </w:rPr>
        <w:t>-</w:t>
      </w:r>
      <w:r>
        <w:t xml:space="preserve"> Auto </w:t>
      </w:r>
      <w:hyperlink w:anchor="AUTO_2025_24" w:history="1">
        <w:r w:rsidRPr="001D7FA9">
          <w:rPr>
            <w:rStyle w:val="TextoNormalCaracter"/>
          </w:rPr>
          <w:t>24/2025</w:t>
        </w:r>
      </w:hyperlink>
      <w:r>
        <w:t>, ff. 1 a 4.</w:t>
      </w:r>
    </w:p>
    <w:p w14:paraId="27E91AFC" w14:textId="72C1F853"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Auto </w:t>
      </w:r>
      <w:hyperlink w:anchor="AUTO_2025_24" w:history="1">
        <w:r w:rsidRPr="001D7FA9">
          <w:rPr>
            <w:rStyle w:val="TextoNormalCaracter"/>
          </w:rPr>
          <w:t>24/2025</w:t>
        </w:r>
      </w:hyperlink>
      <w:r>
        <w:t>, f. 1.</w:t>
      </w:r>
    </w:p>
    <w:p w14:paraId="01927C40" w14:textId="18B4AB8F" w:rsidR="001D7FA9" w:rsidRDefault="001D7FA9" w:rsidP="001D7FA9">
      <w:pPr>
        <w:pStyle w:val="SangriaFrancesaArticulo"/>
      </w:pPr>
      <w:r w:rsidRPr="001D7FA9">
        <w:rPr>
          <w:rStyle w:val="TextoNormalNegritaCaracter"/>
        </w:rPr>
        <w:t>Anexo II.</w:t>
      </w:r>
      <w:r w:rsidRPr="001D7FA9">
        <w:rPr>
          <w:rStyle w:val="TextoNormalCaracter"/>
        </w:rPr>
        <w:t>-</w:t>
      </w:r>
      <w:r>
        <w:t xml:space="preserve"> Auto </w:t>
      </w:r>
      <w:hyperlink w:anchor="AUTO_2025_24" w:history="1">
        <w:r w:rsidRPr="001D7FA9">
          <w:rPr>
            <w:rStyle w:val="TextoNormalCaracter"/>
          </w:rPr>
          <w:t>24/2025</w:t>
        </w:r>
      </w:hyperlink>
      <w:r>
        <w:t>, f. 1.</w:t>
      </w:r>
    </w:p>
    <w:p w14:paraId="0C344CA9" w14:textId="4D6D9FA6" w:rsidR="001D7FA9" w:rsidRDefault="001D7FA9" w:rsidP="001D7FA9">
      <w:pPr>
        <w:pStyle w:val="SangriaFrancesaArticulo"/>
      </w:pPr>
    </w:p>
    <w:p w14:paraId="5D3CE091" w14:textId="77777777" w:rsidR="001D7FA9" w:rsidRDefault="001D7FA9" w:rsidP="001D7FA9">
      <w:pPr>
        <w:pStyle w:val="TextoNormalNegritaCursivandice"/>
        <w:keepNext/>
      </w:pPr>
      <w:r>
        <w:t>Comunidad Autónoma de Aragón. Decreto-ley 4/2021, de 8 de julio, del Gobierno de Aragón, por el que se modifica la Ley 3/2020, de 3 de diciembre, por la que se establece el régimen jurídico de alerta sanitaria para el control de la pandemia COVID-19 en Aragón, para el establecimiento del nivel de alerta sanitaria 2 en la Comunidad Autónoma de Aragón</w:t>
      </w:r>
    </w:p>
    <w:p w14:paraId="5A8B9D62" w14:textId="53FF251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4" w:history="1">
        <w:r w:rsidRPr="001D7FA9">
          <w:rPr>
            <w:rStyle w:val="TextoNormalCaracter"/>
          </w:rPr>
          <w:t>24/2025</w:t>
        </w:r>
      </w:hyperlink>
      <w:r>
        <w:t>, f. 4.</w:t>
      </w:r>
    </w:p>
    <w:p w14:paraId="6A267BA5" w14:textId="1A223BE2" w:rsidR="001D7FA9" w:rsidRDefault="001D7FA9" w:rsidP="001D7FA9">
      <w:pPr>
        <w:pStyle w:val="SangriaFrancesaArticulo"/>
      </w:pPr>
      <w:r w:rsidRPr="001D7FA9">
        <w:rPr>
          <w:rStyle w:val="TextoNormalNegritaCaracter"/>
        </w:rPr>
        <w:t>Artículo único. Dos.</w:t>
      </w:r>
      <w:r w:rsidRPr="001D7FA9">
        <w:rPr>
          <w:rStyle w:val="TextoNormalCaracter"/>
        </w:rPr>
        <w:t>-</w:t>
      </w:r>
      <w:r>
        <w:t xml:space="preserve"> Auto </w:t>
      </w:r>
      <w:hyperlink w:anchor="AUTO_2025_24" w:history="1">
        <w:r w:rsidRPr="001D7FA9">
          <w:rPr>
            <w:rStyle w:val="TextoNormalCaracter"/>
          </w:rPr>
          <w:t>24/2025</w:t>
        </w:r>
      </w:hyperlink>
      <w:r>
        <w:t>, f. 1.</w:t>
      </w:r>
    </w:p>
    <w:p w14:paraId="66ACC6A3" w14:textId="0D4D50EE" w:rsidR="001D7FA9" w:rsidRDefault="001D7FA9" w:rsidP="001D7FA9">
      <w:pPr>
        <w:pStyle w:val="SangriaFrancesaArticulo"/>
      </w:pPr>
    </w:p>
    <w:p w14:paraId="126787C9" w14:textId="77777777" w:rsidR="001D7FA9" w:rsidRDefault="001D7FA9" w:rsidP="001D7FA9">
      <w:pPr>
        <w:pStyle w:val="TextoNormalNegritaCursivandice"/>
        <w:keepNext/>
      </w:pPr>
      <w:r>
        <w:t>Comunidad Autónoma de Aragón. Ley 1/2024, de 15 de febrero, de derogación de la Ley 14/2018, de 8 de noviembre, de memoria democrática de Aragón</w:t>
      </w:r>
    </w:p>
    <w:p w14:paraId="39AC7CB0" w14:textId="081B67F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4" w:history="1">
        <w:r w:rsidRPr="001D7FA9">
          <w:rPr>
            <w:rStyle w:val="TextoNormalCaracter"/>
          </w:rPr>
          <w:t>64/2025</w:t>
        </w:r>
      </w:hyperlink>
      <w:r>
        <w:t>, VP II, VP III.</w:t>
      </w:r>
    </w:p>
    <w:p w14:paraId="72C500AA" w14:textId="0AB76BBA" w:rsidR="001D7FA9" w:rsidRDefault="001D7FA9" w:rsidP="001D7FA9">
      <w:pPr>
        <w:pStyle w:val="TextoNormal"/>
      </w:pPr>
    </w:p>
    <w:p w14:paraId="7DFF56E5" w14:textId="77777777" w:rsidR="001D7FA9" w:rsidRDefault="001D7FA9" w:rsidP="001D7FA9">
      <w:pPr>
        <w:pStyle w:val="TextoNormalNegritaCentrado"/>
        <w:suppressAutoHyphens/>
      </w:pPr>
      <w:r w:rsidRPr="001D7FA9">
        <w:rPr>
          <w:rStyle w:val="TextoNormalNegritaCentradoSombreado"/>
        </w:rPr>
        <w:t>J.3) Baleares</w:t>
      </w:r>
    </w:p>
    <w:p w14:paraId="172F62D9" w14:textId="0FEFCFB0" w:rsidR="001D7FA9" w:rsidRDefault="001D7FA9" w:rsidP="001D7FA9">
      <w:pPr>
        <w:pStyle w:val="TextoNormal"/>
      </w:pPr>
    </w:p>
    <w:p w14:paraId="431FD951" w14:textId="77777777" w:rsidR="001D7FA9" w:rsidRDefault="001D7FA9" w:rsidP="001D7FA9">
      <w:pPr>
        <w:pStyle w:val="TextoNormalNegritaCentradoSubrayado"/>
        <w:suppressAutoHyphens/>
      </w:pPr>
      <w:r>
        <w:t>J.3.a) Estatuto de Autonomía</w:t>
      </w:r>
    </w:p>
    <w:p w14:paraId="34175A33" w14:textId="7EEC1CF5" w:rsidR="001D7FA9" w:rsidRDefault="001D7FA9" w:rsidP="001D7FA9">
      <w:pPr>
        <w:pStyle w:val="TextoNormalNegritaCentradoSubrayado"/>
      </w:pPr>
    </w:p>
    <w:p w14:paraId="3AC776F1" w14:textId="77777777" w:rsidR="001D7FA9" w:rsidRDefault="001D7FA9" w:rsidP="001D7FA9">
      <w:pPr>
        <w:pStyle w:val="TextoNormalNegritaCursivandice"/>
        <w:keepNext/>
      </w:pPr>
      <w:r>
        <w:t>Ley Orgánica 1/2007, de 28 de febrero, de reforma del Estatuto de Autonomía de las Illes Balears</w:t>
      </w:r>
    </w:p>
    <w:p w14:paraId="4951FB83" w14:textId="2C39EA1B" w:rsidR="001D7FA9" w:rsidRDefault="001D7FA9" w:rsidP="001D7FA9">
      <w:pPr>
        <w:pStyle w:val="SangriaFrancesaArticulo"/>
      </w:pPr>
      <w:r w:rsidRPr="001D7FA9">
        <w:rPr>
          <w:rStyle w:val="TextoNormalNegritaCaracter"/>
        </w:rPr>
        <w:t>Título II.</w:t>
      </w:r>
      <w:r w:rsidRPr="001D7FA9">
        <w:rPr>
          <w:rStyle w:val="TextoNormalCaracter"/>
        </w:rPr>
        <w:t>-</w:t>
      </w:r>
      <w:r>
        <w:t xml:space="preserve"> Sentencia </w:t>
      </w:r>
      <w:hyperlink w:anchor="SENTENCIA_2025_118" w:history="1">
        <w:r w:rsidRPr="001D7FA9">
          <w:rPr>
            <w:rStyle w:val="TextoNormalCaracter"/>
          </w:rPr>
          <w:t>118/2025</w:t>
        </w:r>
      </w:hyperlink>
      <w:r>
        <w:t>, f. 6.</w:t>
      </w:r>
    </w:p>
    <w:p w14:paraId="1AB5486D" w14:textId="291E7DCE"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118" w:history="1">
        <w:r w:rsidRPr="001D7FA9">
          <w:rPr>
            <w:rStyle w:val="TextoNormalCaracter"/>
          </w:rPr>
          <w:t>118/2025</w:t>
        </w:r>
      </w:hyperlink>
      <w:r>
        <w:t>, f. 1.</w:t>
      </w:r>
    </w:p>
    <w:p w14:paraId="62DEED32" w14:textId="1D920F65"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 </w:t>
      </w:r>
      <w:hyperlink w:anchor="SENTENCIA_2025_118" w:history="1">
        <w:r w:rsidRPr="001D7FA9">
          <w:rPr>
            <w:rStyle w:val="TextoNormalCaracter"/>
          </w:rPr>
          <w:t>118/2025</w:t>
        </w:r>
      </w:hyperlink>
      <w:r>
        <w:t>, f. 1.</w:t>
      </w:r>
    </w:p>
    <w:p w14:paraId="75FB19C0" w14:textId="5F236BEE" w:rsidR="001D7FA9" w:rsidRDefault="001D7FA9" w:rsidP="001D7FA9">
      <w:pPr>
        <w:pStyle w:val="SangriaFrancesaArticulo"/>
      </w:pPr>
      <w:r w:rsidRPr="001D7FA9">
        <w:rPr>
          <w:rStyle w:val="TextoNormalNegritaCaracter"/>
        </w:rPr>
        <w:t>Artículo 14.3.</w:t>
      </w:r>
      <w:r w:rsidRPr="001D7FA9">
        <w:rPr>
          <w:rStyle w:val="TextoNormalCaracter"/>
        </w:rPr>
        <w:t>-</w:t>
      </w:r>
      <w:r>
        <w:t xml:space="preserve"> Sentencia </w:t>
      </w:r>
      <w:hyperlink w:anchor="SENTENCIA_2025_118" w:history="1">
        <w:r w:rsidRPr="001D7FA9">
          <w:rPr>
            <w:rStyle w:val="TextoNormalCaracter"/>
          </w:rPr>
          <w:t>118/2025</w:t>
        </w:r>
      </w:hyperlink>
      <w:r>
        <w:t>, ff. 1, 6.</w:t>
      </w:r>
    </w:p>
    <w:p w14:paraId="0ABDF145" w14:textId="627AC997" w:rsidR="001D7FA9" w:rsidRDefault="001D7FA9" w:rsidP="001D7FA9">
      <w:pPr>
        <w:pStyle w:val="SangriaFrancesaArticulo"/>
      </w:pPr>
      <w:r w:rsidRPr="001D7FA9">
        <w:rPr>
          <w:rStyle w:val="TextoNormalNegritaCaracter"/>
        </w:rPr>
        <w:t>Artículo 31.3.</w:t>
      </w:r>
      <w:r w:rsidRPr="001D7FA9">
        <w:rPr>
          <w:rStyle w:val="TextoNormalCaracter"/>
        </w:rPr>
        <w:t>-</w:t>
      </w:r>
      <w:r>
        <w:t xml:space="preserve"> Auto </w:t>
      </w:r>
      <w:hyperlink w:anchor="AUTO_2025_32" w:history="1">
        <w:r w:rsidRPr="001D7FA9">
          <w:rPr>
            <w:rStyle w:val="TextoNormalCaracter"/>
          </w:rPr>
          <w:t>32/2025</w:t>
        </w:r>
      </w:hyperlink>
      <w:r>
        <w:t>, f. 6.</w:t>
      </w:r>
    </w:p>
    <w:p w14:paraId="3E23460A" w14:textId="437A8E26" w:rsidR="001D7FA9" w:rsidRDefault="001D7FA9" w:rsidP="001D7FA9">
      <w:pPr>
        <w:pStyle w:val="SangriaFrancesaArticulo"/>
      </w:pPr>
      <w:r w:rsidRPr="001D7FA9">
        <w:rPr>
          <w:rStyle w:val="TextoNormalNegritaCaracter"/>
        </w:rPr>
        <w:t>Artículo 49.1.</w:t>
      </w:r>
      <w:r w:rsidRPr="001D7FA9">
        <w:rPr>
          <w:rStyle w:val="TextoNormalCaracter"/>
        </w:rPr>
        <w:t>-</w:t>
      </w:r>
      <w:r>
        <w:t xml:space="preserve"> Sentencia </w:t>
      </w:r>
      <w:hyperlink w:anchor="SENTENCIA_2025_118" w:history="1">
        <w:r w:rsidRPr="001D7FA9">
          <w:rPr>
            <w:rStyle w:val="TextoNormalCaracter"/>
          </w:rPr>
          <w:t>118/2025</w:t>
        </w:r>
      </w:hyperlink>
      <w:r>
        <w:t>, ff. 1, 3 a 6.</w:t>
      </w:r>
    </w:p>
    <w:p w14:paraId="2B9D39B5" w14:textId="49BBA12E" w:rsidR="001D7FA9" w:rsidRDefault="001D7FA9" w:rsidP="001D7FA9">
      <w:pPr>
        <w:pStyle w:val="TextoNormal"/>
      </w:pPr>
    </w:p>
    <w:p w14:paraId="48765E7A" w14:textId="77777777" w:rsidR="001D7FA9" w:rsidRDefault="001D7FA9" w:rsidP="001D7FA9">
      <w:pPr>
        <w:pStyle w:val="TextoNormalNegritaCentradoSubrayado"/>
        <w:suppressAutoHyphens/>
      </w:pPr>
      <w:r>
        <w:t>J.3.b) Leyes y disposiciones con fuerza de Ley</w:t>
      </w:r>
    </w:p>
    <w:p w14:paraId="2BBD29C2" w14:textId="12F7D36B" w:rsidR="001D7FA9" w:rsidRDefault="001D7FA9" w:rsidP="001D7FA9">
      <w:pPr>
        <w:pStyle w:val="TextoNormalNegritaCentradoSubrayado"/>
      </w:pPr>
    </w:p>
    <w:p w14:paraId="0D6BD3C3" w14:textId="77777777" w:rsidR="001D7FA9" w:rsidRDefault="001D7FA9" w:rsidP="001D7FA9">
      <w:pPr>
        <w:pStyle w:val="TextoNormalNegritaCursivandice"/>
        <w:keepNext/>
      </w:pPr>
      <w:r>
        <w:t>Comunidad Autónoma de las Illes Balears. Ley 3/2007, de 27 de marzo de la Función Pública de la Comunidad Autónoma de las Illes Balears</w:t>
      </w:r>
    </w:p>
    <w:p w14:paraId="618F4ADA" w14:textId="0E5C701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8" w:history="1">
        <w:r w:rsidRPr="001D7FA9">
          <w:rPr>
            <w:rStyle w:val="TextoNormalCaracter"/>
          </w:rPr>
          <w:t>118/2025</w:t>
        </w:r>
      </w:hyperlink>
      <w:r>
        <w:t>, ff. 1, 4.</w:t>
      </w:r>
    </w:p>
    <w:p w14:paraId="5E04AD62" w14:textId="239ECFD7" w:rsidR="001D7FA9" w:rsidRDefault="001D7FA9" w:rsidP="001D7FA9">
      <w:pPr>
        <w:pStyle w:val="SangriaFrancesaArticulo"/>
      </w:pPr>
      <w:r w:rsidRPr="001D7FA9">
        <w:rPr>
          <w:rStyle w:val="TextoNormalNegritaCaracter"/>
        </w:rPr>
        <w:t>Artículo 30 d).</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37986784" w14:textId="6580DFA4" w:rsidR="001D7FA9" w:rsidRDefault="001D7FA9" w:rsidP="001D7FA9">
      <w:pPr>
        <w:pStyle w:val="SangriaFrancesaArticulo"/>
      </w:pPr>
      <w:r w:rsidRPr="001D7FA9">
        <w:rPr>
          <w:rStyle w:val="TextoNormalNegritaCaracter"/>
        </w:rPr>
        <w:t>Artículo 50.1 f).</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0F01C69E" w14:textId="3CD455CF" w:rsidR="001D7FA9" w:rsidRDefault="001D7FA9" w:rsidP="001D7FA9">
      <w:pPr>
        <w:pStyle w:val="SangriaFrancesaArticulo"/>
      </w:pPr>
      <w:r w:rsidRPr="001D7FA9">
        <w:rPr>
          <w:rStyle w:val="TextoNormalNegritaCaracter"/>
        </w:rPr>
        <w:t>Artículo 59.</w:t>
      </w:r>
      <w:r w:rsidRPr="001D7FA9">
        <w:rPr>
          <w:rStyle w:val="TextoNormalCaracter"/>
        </w:rPr>
        <w:t>-</w:t>
      </w:r>
      <w:r>
        <w:t xml:space="preserve"> Auto </w:t>
      </w:r>
      <w:hyperlink w:anchor="AUTO_2025_32" w:history="1">
        <w:r w:rsidRPr="001D7FA9">
          <w:rPr>
            <w:rStyle w:val="TextoNormalCaracter"/>
          </w:rPr>
          <w:t>32/2025</w:t>
        </w:r>
      </w:hyperlink>
      <w:r>
        <w:t>, f. 6.</w:t>
      </w:r>
    </w:p>
    <w:p w14:paraId="3F88C562" w14:textId="7890C042" w:rsidR="001D7FA9" w:rsidRDefault="001D7FA9" w:rsidP="001D7FA9">
      <w:pPr>
        <w:pStyle w:val="SangriaFrancesaArticulo"/>
      </w:pPr>
      <w:r w:rsidRPr="001D7FA9">
        <w:rPr>
          <w:rStyle w:val="TextoNormalNegritaCaracter"/>
        </w:rPr>
        <w:t>Artículo 59.2.</w:t>
      </w:r>
      <w:r w:rsidRPr="001D7FA9">
        <w:rPr>
          <w:rStyle w:val="TextoNormalCaracter"/>
        </w:rPr>
        <w:t>-</w:t>
      </w:r>
      <w:r>
        <w:t xml:space="preserve"> Auto </w:t>
      </w:r>
      <w:hyperlink w:anchor="AUTO_2025_32" w:history="1">
        <w:r w:rsidRPr="001D7FA9">
          <w:rPr>
            <w:rStyle w:val="TextoNormalCaracter"/>
          </w:rPr>
          <w:t>32/2025</w:t>
        </w:r>
      </w:hyperlink>
      <w:r>
        <w:t>, ff. 4, 6.</w:t>
      </w:r>
    </w:p>
    <w:p w14:paraId="5C367CCB" w14:textId="251D0FE9" w:rsidR="001D7FA9" w:rsidRDefault="001D7FA9" w:rsidP="001D7FA9">
      <w:pPr>
        <w:pStyle w:val="SangriaFrancesaArticulo"/>
      </w:pPr>
      <w:r w:rsidRPr="001D7FA9">
        <w:rPr>
          <w:rStyle w:val="TextoNormalNegritaCaracter"/>
        </w:rPr>
        <w:t>Artículo 113.2.</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72506CDA" w14:textId="20853B51" w:rsidR="001D7FA9" w:rsidRDefault="001D7FA9" w:rsidP="001D7FA9">
      <w:pPr>
        <w:pStyle w:val="SangriaFrancesaArticulo"/>
      </w:pPr>
      <w:r w:rsidRPr="001D7FA9">
        <w:rPr>
          <w:rStyle w:val="TextoNormalNegritaCaracter"/>
        </w:rPr>
        <w:t>Disposición transitoria novena.</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55E9619B" w14:textId="7552533E" w:rsidR="001D7FA9" w:rsidRDefault="001D7FA9" w:rsidP="001D7FA9">
      <w:pPr>
        <w:pStyle w:val="SangriaFrancesaArticulo"/>
      </w:pPr>
    </w:p>
    <w:p w14:paraId="390CB7D3" w14:textId="77777777" w:rsidR="001D7FA9" w:rsidRDefault="001D7FA9" w:rsidP="001D7FA9">
      <w:pPr>
        <w:pStyle w:val="TextoNormalNegritaCursivandice"/>
        <w:keepNext/>
      </w:pPr>
      <w:r>
        <w:t>Comunidad Autónoma de las Illes Balears. Ley 4/2016, de 6 de abril, de medidas de capacitación lingüística para la recuperación del uso del catalán en el ámbito de la función pública</w:t>
      </w:r>
    </w:p>
    <w:p w14:paraId="0499E69D" w14:textId="5D93B3C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8" w:history="1">
        <w:r w:rsidRPr="001D7FA9">
          <w:rPr>
            <w:rStyle w:val="TextoNormalCaracter"/>
          </w:rPr>
          <w:t>118/2025</w:t>
        </w:r>
      </w:hyperlink>
      <w:r>
        <w:t>, ff. 1, 4.</w:t>
      </w:r>
    </w:p>
    <w:p w14:paraId="48325282" w14:textId="1DCC7815" w:rsidR="001D7FA9" w:rsidRDefault="001D7FA9" w:rsidP="001D7FA9">
      <w:pPr>
        <w:pStyle w:val="SangriaFrancesaArticulo"/>
      </w:pPr>
      <w:r w:rsidRPr="001D7FA9">
        <w:rPr>
          <w:rStyle w:val="TextoNormalNegritaCaracter"/>
        </w:rPr>
        <w:t>Disposición transitoria segunda 3.</w:t>
      </w:r>
      <w:r w:rsidRPr="001D7FA9">
        <w:rPr>
          <w:rStyle w:val="TextoNormalCaracter"/>
        </w:rPr>
        <w:t>-</w:t>
      </w:r>
      <w:r>
        <w:t xml:space="preserve"> Sentencia </w:t>
      </w:r>
      <w:hyperlink w:anchor="SENTENCIA_2025_118" w:history="1">
        <w:r w:rsidRPr="001D7FA9">
          <w:rPr>
            <w:rStyle w:val="TextoNormalCaracter"/>
          </w:rPr>
          <w:t>118/2025</w:t>
        </w:r>
      </w:hyperlink>
      <w:r>
        <w:t>, f. 5.</w:t>
      </w:r>
    </w:p>
    <w:p w14:paraId="5DF72B04" w14:textId="6E3A288B" w:rsidR="001D7FA9" w:rsidRDefault="001D7FA9" w:rsidP="001D7FA9">
      <w:pPr>
        <w:pStyle w:val="SangriaFrancesaArticulo"/>
      </w:pPr>
    </w:p>
    <w:p w14:paraId="4B4CDDFD" w14:textId="77777777" w:rsidR="001D7FA9" w:rsidRDefault="001D7FA9" w:rsidP="001D7FA9">
      <w:pPr>
        <w:pStyle w:val="TextoNormalNegritaCursivandice"/>
        <w:keepNext/>
      </w:pPr>
      <w:r>
        <w:t>Comunidad Autónoma de las Illes Balears. Decreto-ley 5/2021, de 7 de mayo, por el que se modifican la Ley 16/2010, de 28 de diciembre, de salud pública de las Illes Balears, y el Decreto-ley 11/2020, de 10 de julio, por el que se establece un régimen sancionador específico para hacer frente a los incumplimientos de las disposiciones dictadas para paliar los efectos de la crisis ocasionada por la covid-19</w:t>
      </w:r>
    </w:p>
    <w:p w14:paraId="135C16DB" w14:textId="13D7B54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3" w:history="1">
        <w:r w:rsidRPr="001D7FA9">
          <w:rPr>
            <w:rStyle w:val="TextoNormalCaracter"/>
          </w:rPr>
          <w:t>133/2025</w:t>
        </w:r>
      </w:hyperlink>
      <w:r>
        <w:t>, f. 2.</w:t>
      </w:r>
    </w:p>
    <w:p w14:paraId="45098AB3" w14:textId="1A1ADB4F" w:rsidR="001D7FA9" w:rsidRDefault="001D7FA9" w:rsidP="001D7FA9">
      <w:pPr>
        <w:pStyle w:val="SangriaFrancesaArticulo"/>
      </w:pPr>
    </w:p>
    <w:p w14:paraId="57BD4832" w14:textId="77777777" w:rsidR="001D7FA9" w:rsidRDefault="001D7FA9" w:rsidP="001D7FA9">
      <w:pPr>
        <w:pStyle w:val="TextoNormalNegritaCursivandice"/>
        <w:keepNext/>
      </w:pPr>
      <w:r>
        <w:t>Comunidad Autónoma de las Illes Balears. Decreto-ley 8/2022, de 16 de agosto, de medidas urgentes para garantizar la gratuidad de la educación de los niños matriculados del tercer nivel de educación infantil en los centros de la red pública de escuelas infantiles y de su red complementaria a partir del mes de septiembre de 2022, y para la creación de un fondo extraordinario para compensar una parte de los descuentos del transporte interurbano a partir del 1 de septiembre de 2022 y hasta el 31 de diciembre de 2022</w:t>
      </w:r>
    </w:p>
    <w:p w14:paraId="53FFDE62" w14:textId="6D05CCC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51C1E6F7" w14:textId="16C6643B" w:rsidR="001D7FA9" w:rsidRDefault="001D7FA9" w:rsidP="001D7FA9">
      <w:pPr>
        <w:pStyle w:val="SangriaFrancesaArticulo"/>
      </w:pPr>
    </w:p>
    <w:p w14:paraId="01187939" w14:textId="77777777" w:rsidR="001D7FA9" w:rsidRDefault="001D7FA9" w:rsidP="001D7FA9">
      <w:pPr>
        <w:pStyle w:val="TextoNormalNegritaCursivandice"/>
        <w:keepNext/>
      </w:pPr>
      <w:r>
        <w:t>Comunidad Autónoma de las Illes Balears. Decreto-ley 5/2023, de 28 de agosto, de medidas urgentes en el ámbito educativo y en el sanitario</w:t>
      </w:r>
    </w:p>
    <w:p w14:paraId="1B7F94E3" w14:textId="3E208FB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8" w:history="1">
        <w:r w:rsidRPr="001D7FA9">
          <w:rPr>
            <w:rStyle w:val="TextoNormalCaracter"/>
          </w:rPr>
          <w:t>118/2025</w:t>
        </w:r>
      </w:hyperlink>
      <w:r>
        <w:t>, ff. 2, 5.</w:t>
      </w:r>
    </w:p>
    <w:p w14:paraId="1B5568B1" w14:textId="4FA1988F" w:rsidR="001D7FA9" w:rsidRDefault="001D7FA9" w:rsidP="001D7FA9">
      <w:pPr>
        <w:pStyle w:val="SangriaFrancesaArticulo"/>
      </w:pPr>
      <w:r w:rsidRPr="001D7FA9">
        <w:rPr>
          <w:rStyle w:val="TextoNormalNegritaCaracter"/>
        </w:rPr>
        <w:t>Preámbulo, apartado VII.</w:t>
      </w:r>
      <w:r w:rsidRPr="001D7FA9">
        <w:rPr>
          <w:rStyle w:val="TextoNormalCaracter"/>
        </w:rPr>
        <w:t>-</w:t>
      </w:r>
      <w:r>
        <w:t xml:space="preserve"> Sentencia </w:t>
      </w:r>
      <w:hyperlink w:anchor="SENTENCIA_2025_118" w:history="1">
        <w:r w:rsidRPr="001D7FA9">
          <w:rPr>
            <w:rStyle w:val="TextoNormalCaracter"/>
          </w:rPr>
          <w:t>118/2025</w:t>
        </w:r>
      </w:hyperlink>
      <w:r>
        <w:t>, f. 4.</w:t>
      </w:r>
    </w:p>
    <w:p w14:paraId="5539833A" w14:textId="48BD3438" w:rsidR="001D7FA9" w:rsidRDefault="001D7FA9" w:rsidP="001D7FA9">
      <w:pPr>
        <w:pStyle w:val="SangriaFrancesaArticulo"/>
      </w:pPr>
      <w:r w:rsidRPr="001D7FA9">
        <w:rPr>
          <w:rStyle w:val="TextoNormalNegritaCaracter"/>
        </w:rPr>
        <w:t>Preámbulo, apartado X.</w:t>
      </w:r>
      <w:r w:rsidRPr="001D7FA9">
        <w:rPr>
          <w:rStyle w:val="TextoNormalCaracter"/>
        </w:rPr>
        <w:t>-</w:t>
      </w:r>
      <w:r>
        <w:t xml:space="preserve"> Sentencia </w:t>
      </w:r>
      <w:hyperlink w:anchor="SENTENCIA_2025_118" w:history="1">
        <w:r w:rsidRPr="001D7FA9">
          <w:rPr>
            <w:rStyle w:val="TextoNormalCaracter"/>
          </w:rPr>
          <w:t>118/2025</w:t>
        </w:r>
      </w:hyperlink>
      <w:r>
        <w:t>, f. 4.</w:t>
      </w:r>
    </w:p>
    <w:p w14:paraId="52BEE43B" w14:textId="094D5B7A" w:rsidR="001D7FA9" w:rsidRDefault="001D7FA9" w:rsidP="001D7FA9">
      <w:pPr>
        <w:pStyle w:val="SangriaFrancesaArticulo"/>
      </w:pPr>
      <w:r w:rsidRPr="001D7FA9">
        <w:rPr>
          <w:rStyle w:val="TextoNormalNegritaCaracter"/>
        </w:rPr>
        <w:t>Disposición derogatoria única, inciso “y de la Ley 4/2016, de 6 de abril, de medidas de capacitación lingüística para la recuperación del uso del catalán en el ámbito de la función pública”.</w:t>
      </w:r>
      <w:r w:rsidRPr="001D7FA9">
        <w:rPr>
          <w:rStyle w:val="TextoNormalCaracter"/>
        </w:rPr>
        <w:t>-</w:t>
      </w:r>
      <w:r>
        <w:t xml:space="preserve"> Sentencia </w:t>
      </w:r>
      <w:hyperlink w:anchor="SENTENCIA_2025_118" w:history="1">
        <w:r w:rsidRPr="001D7FA9">
          <w:rPr>
            <w:rStyle w:val="TextoNormalCaracter"/>
          </w:rPr>
          <w:t>118/2025</w:t>
        </w:r>
      </w:hyperlink>
      <w:r>
        <w:t>, ff. 1, 2.</w:t>
      </w:r>
    </w:p>
    <w:p w14:paraId="77BAB574" w14:textId="1EB360AA" w:rsidR="001D7FA9" w:rsidRDefault="001D7FA9" w:rsidP="001D7FA9">
      <w:pPr>
        <w:pStyle w:val="SangriaFrancesaArticulo"/>
      </w:pPr>
      <w:r w:rsidRPr="001D7FA9">
        <w:rPr>
          <w:rStyle w:val="TextoNormalNegritaCaracter"/>
        </w:rPr>
        <w:t>Disposición final segunda.</w:t>
      </w:r>
      <w:r w:rsidRPr="001D7FA9">
        <w:rPr>
          <w:rStyle w:val="TextoNormalCaracter"/>
        </w:rPr>
        <w:t>-</w:t>
      </w:r>
      <w:r>
        <w:t xml:space="preserve"> Sentencia </w:t>
      </w:r>
      <w:hyperlink w:anchor="SENTENCIA_2025_118" w:history="1">
        <w:r w:rsidRPr="001D7FA9">
          <w:rPr>
            <w:rStyle w:val="TextoNormalCaracter"/>
          </w:rPr>
          <w:t>118/2025</w:t>
        </w:r>
      </w:hyperlink>
      <w:r>
        <w:t>, ff. 1, 2.</w:t>
      </w:r>
    </w:p>
    <w:p w14:paraId="5B2A41D8" w14:textId="7F2CE0D8" w:rsidR="001D7FA9" w:rsidRDefault="001D7FA9" w:rsidP="001D7FA9">
      <w:pPr>
        <w:pStyle w:val="SangriaFrancesaArticulo"/>
      </w:pPr>
    </w:p>
    <w:p w14:paraId="3520B3A6" w14:textId="77777777" w:rsidR="001D7FA9" w:rsidRDefault="001D7FA9" w:rsidP="001D7FA9">
      <w:pPr>
        <w:pStyle w:val="TextoNormalNegritaCursivandice"/>
        <w:keepNext/>
      </w:pPr>
      <w:r>
        <w:t>Comunidad Autónoma de  las Illes Barears. Ley 7/2024, de 11 de diciembre, de medidas urgentes de simplificación y racionalización administrativas de las administraciones públicas de las Illes Balears</w:t>
      </w:r>
    </w:p>
    <w:p w14:paraId="00DA33DF" w14:textId="4BEE7D3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5D53858A" w14:textId="4EF42E32" w:rsidR="001D7FA9" w:rsidRDefault="001D7FA9" w:rsidP="001D7FA9">
      <w:pPr>
        <w:pStyle w:val="SangriaFrancesaArticulo"/>
      </w:pPr>
      <w:r w:rsidRPr="001D7FA9">
        <w:rPr>
          <w:rStyle w:val="TextoNormalNegritaCaracter"/>
        </w:rPr>
        <w:t>Artículo 22.3.</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25EF66D2" w14:textId="44AF8BF4" w:rsidR="001D7FA9" w:rsidRDefault="001D7FA9" w:rsidP="001D7FA9">
      <w:pPr>
        <w:pStyle w:val="SangriaFrancesaArticulo"/>
      </w:pPr>
      <w:r w:rsidRPr="001D7FA9">
        <w:rPr>
          <w:rStyle w:val="TextoNormalNegritaCaracter"/>
        </w:rPr>
        <w:t>Artículo 39.</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7DDCB194" w14:textId="78E75054" w:rsidR="001D7FA9" w:rsidRDefault="001D7FA9" w:rsidP="001D7FA9">
      <w:pPr>
        <w:pStyle w:val="SangriaFrancesaArticulo"/>
      </w:pPr>
      <w:r w:rsidRPr="001D7FA9">
        <w:rPr>
          <w:rStyle w:val="TextoNormalNegritaCaracter"/>
        </w:rPr>
        <w:t>Artículo 39.1.</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0919EE94" w14:textId="1ABA533E" w:rsidR="001D7FA9" w:rsidRDefault="001D7FA9" w:rsidP="001D7FA9">
      <w:pPr>
        <w:pStyle w:val="SangriaFrancesaArticulo"/>
      </w:pPr>
      <w:r w:rsidRPr="001D7FA9">
        <w:rPr>
          <w:rStyle w:val="TextoNormalNegritaCaracter"/>
        </w:rPr>
        <w:t>Artículo 39.2.</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3DBA5770" w14:textId="7C2CDF80" w:rsidR="001D7FA9" w:rsidRDefault="001D7FA9" w:rsidP="001D7FA9">
      <w:pPr>
        <w:pStyle w:val="SangriaFrancesaArticulo"/>
      </w:pPr>
      <w:r w:rsidRPr="001D7FA9">
        <w:rPr>
          <w:rStyle w:val="TextoNormalNegritaCaracter"/>
        </w:rPr>
        <w:t>Artículo 39.3.</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295BB5E6" w14:textId="0A88F5DF" w:rsidR="001D7FA9" w:rsidRDefault="001D7FA9" w:rsidP="001D7FA9">
      <w:pPr>
        <w:pStyle w:val="SangriaFrancesaArticulo"/>
      </w:pPr>
      <w:r w:rsidRPr="001D7FA9">
        <w:rPr>
          <w:rStyle w:val="TextoNormalNegritaCaracter"/>
        </w:rPr>
        <w:t>Artículo 39.3 g).</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73ED9482" w14:textId="18504529" w:rsidR="001D7FA9" w:rsidRDefault="001D7FA9" w:rsidP="001D7FA9">
      <w:pPr>
        <w:pStyle w:val="SangriaFrancesaArticulo"/>
      </w:pPr>
      <w:r w:rsidRPr="001D7FA9">
        <w:rPr>
          <w:rStyle w:val="TextoNormalNegritaCaracter"/>
        </w:rPr>
        <w:t>Artículo 39.4.</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32BF0B5C" w14:textId="54F90AEB" w:rsidR="001D7FA9" w:rsidRDefault="001D7FA9" w:rsidP="001D7FA9">
      <w:pPr>
        <w:pStyle w:val="SangriaFrancesaArticulo"/>
      </w:pPr>
      <w:r w:rsidRPr="001D7FA9">
        <w:rPr>
          <w:rStyle w:val="TextoNormalNegritaCaracter"/>
        </w:rPr>
        <w:t>Artículo 39.4 m).</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781503F2" w14:textId="765005D7" w:rsidR="001D7FA9" w:rsidRDefault="001D7FA9" w:rsidP="001D7FA9">
      <w:pPr>
        <w:pStyle w:val="SangriaFrancesaArticulo"/>
      </w:pPr>
      <w:r w:rsidRPr="001D7FA9">
        <w:rPr>
          <w:rStyle w:val="TextoNormalNegritaCaracter"/>
        </w:rPr>
        <w:t>Artículo 124.1.</w:t>
      </w:r>
      <w:r w:rsidRPr="001D7FA9">
        <w:rPr>
          <w:rStyle w:val="TextoNormalCaracter"/>
        </w:rPr>
        <w:t>-</w:t>
      </w:r>
      <w:r>
        <w:t xml:space="preserve"> Sentencia </w:t>
      </w:r>
      <w:hyperlink w:anchor="SENTENCIA_2025_118" w:history="1">
        <w:r w:rsidRPr="001D7FA9">
          <w:rPr>
            <w:rStyle w:val="TextoNormalCaracter"/>
          </w:rPr>
          <w:t>118/2025</w:t>
        </w:r>
      </w:hyperlink>
      <w:r>
        <w:t>, f. 2.</w:t>
      </w:r>
    </w:p>
    <w:p w14:paraId="278EB535" w14:textId="28CA686E" w:rsidR="001D7FA9" w:rsidRDefault="001D7FA9" w:rsidP="001D7FA9">
      <w:pPr>
        <w:pStyle w:val="TextoNormal"/>
      </w:pPr>
    </w:p>
    <w:p w14:paraId="5036F89C" w14:textId="77777777" w:rsidR="001D7FA9" w:rsidRDefault="001D7FA9" w:rsidP="001D7FA9">
      <w:pPr>
        <w:pStyle w:val="TextoNormalNegritaCentradoSubrayado"/>
        <w:suppressAutoHyphens/>
      </w:pPr>
      <w:r>
        <w:t>J.3.d) Disposiciones parlamentarias autonómicas</w:t>
      </w:r>
    </w:p>
    <w:p w14:paraId="0AFC41CF" w14:textId="0A754724" w:rsidR="001D7FA9" w:rsidRDefault="001D7FA9" w:rsidP="001D7FA9">
      <w:pPr>
        <w:pStyle w:val="TextoNormalNegritaCentradoSubrayado"/>
      </w:pPr>
    </w:p>
    <w:p w14:paraId="02E5F66A" w14:textId="77777777" w:rsidR="001D7FA9" w:rsidRDefault="001D7FA9" w:rsidP="001D7FA9">
      <w:pPr>
        <w:pStyle w:val="TextoNormalNegritaCursivandice"/>
        <w:keepNext/>
      </w:pPr>
      <w:r>
        <w:t>Comunidad Autónoma de las Illes Balears. Reglamento del Parlamento de las Illes Balears, aprobado por el Pleno el 19 de marzo de 2019</w:t>
      </w:r>
    </w:p>
    <w:p w14:paraId="75DE8381" w14:textId="40CD4986" w:rsidR="001D7FA9" w:rsidRDefault="001D7FA9" w:rsidP="001D7FA9">
      <w:pPr>
        <w:pStyle w:val="SangriaFrancesaArticulo"/>
      </w:pPr>
      <w:r w:rsidRPr="001D7FA9">
        <w:rPr>
          <w:rStyle w:val="TextoNormalNegritaCaracter"/>
        </w:rPr>
        <w:t>Artículo 14.3.</w:t>
      </w:r>
      <w:r w:rsidRPr="001D7FA9">
        <w:rPr>
          <w:rStyle w:val="TextoNormalCaracter"/>
        </w:rPr>
        <w:t>-</w:t>
      </w:r>
      <w:r>
        <w:t xml:space="preserve"> Sentencia </w:t>
      </w:r>
      <w:hyperlink w:anchor="SENTENCIA_2025_14" w:history="1">
        <w:r w:rsidRPr="001D7FA9">
          <w:rPr>
            <w:rStyle w:val="TextoNormalCaracter"/>
          </w:rPr>
          <w:t>14/2025</w:t>
        </w:r>
      </w:hyperlink>
      <w:r>
        <w:t>, f. 5.</w:t>
      </w:r>
    </w:p>
    <w:p w14:paraId="67B4FACA" w14:textId="68C50AE3" w:rsidR="001D7FA9" w:rsidRDefault="001D7FA9" w:rsidP="001D7FA9">
      <w:pPr>
        <w:pStyle w:val="SangriaFrancesaArticulo"/>
      </w:pPr>
      <w:r w:rsidRPr="001D7FA9">
        <w:rPr>
          <w:rStyle w:val="TextoNormalNegritaCaracter"/>
        </w:rPr>
        <w:t>Artículo 14.4.</w:t>
      </w:r>
      <w:r w:rsidRPr="001D7FA9">
        <w:rPr>
          <w:rStyle w:val="TextoNormalCaracter"/>
        </w:rPr>
        <w:t>-</w:t>
      </w:r>
      <w:r>
        <w:t xml:space="preserve"> Sentencias </w:t>
      </w:r>
      <w:hyperlink w:anchor="SENTENCIA_2025_14" w:history="1">
        <w:r w:rsidRPr="001D7FA9">
          <w:rPr>
            <w:rStyle w:val="TextoNormalCaracter"/>
          </w:rPr>
          <w:t>14/2025</w:t>
        </w:r>
      </w:hyperlink>
      <w:r>
        <w:t xml:space="preserve">, f. 5; </w:t>
      </w:r>
      <w:hyperlink w:anchor="SENTENCIA_2025_15" w:history="1">
        <w:r w:rsidRPr="001D7FA9">
          <w:rPr>
            <w:rStyle w:val="TextoNormalCaracter"/>
          </w:rPr>
          <w:t>15/2025</w:t>
        </w:r>
      </w:hyperlink>
      <w:r>
        <w:t>, f. 4.</w:t>
      </w:r>
    </w:p>
    <w:p w14:paraId="31C898E7" w14:textId="4266BB52" w:rsidR="001D7FA9" w:rsidRDefault="001D7FA9" w:rsidP="001D7FA9">
      <w:pPr>
        <w:pStyle w:val="SangriaFrancesaArticulo"/>
      </w:pPr>
      <w:r w:rsidRPr="001D7FA9">
        <w:rPr>
          <w:rStyle w:val="TextoNormalNegritaCaracter"/>
        </w:rPr>
        <w:t>Artículo 27.1 b).</w:t>
      </w:r>
      <w:r w:rsidRPr="001D7FA9">
        <w:rPr>
          <w:rStyle w:val="TextoNormalCaracter"/>
        </w:rPr>
        <w:t>-</w:t>
      </w:r>
      <w:r>
        <w:t xml:space="preserve"> Sentencias </w:t>
      </w:r>
      <w:hyperlink w:anchor="SENTENCIA_2025_14" w:history="1">
        <w:r w:rsidRPr="001D7FA9">
          <w:rPr>
            <w:rStyle w:val="TextoNormalCaracter"/>
          </w:rPr>
          <w:t>14/2025</w:t>
        </w:r>
      </w:hyperlink>
      <w:r>
        <w:t xml:space="preserve">, f. 1, VP; </w:t>
      </w:r>
      <w:hyperlink w:anchor="SENTENCIA_2025_15" w:history="1">
        <w:r w:rsidRPr="001D7FA9">
          <w:rPr>
            <w:rStyle w:val="TextoNormalCaracter"/>
          </w:rPr>
          <w:t>15/2025</w:t>
        </w:r>
      </w:hyperlink>
      <w:r>
        <w:t>, f. 1.</w:t>
      </w:r>
    </w:p>
    <w:p w14:paraId="3A0F1745" w14:textId="309646FE" w:rsidR="001D7FA9" w:rsidRDefault="001D7FA9" w:rsidP="001D7FA9">
      <w:pPr>
        <w:pStyle w:val="SangriaFrancesaArticulo"/>
      </w:pPr>
      <w:r w:rsidRPr="001D7FA9">
        <w:rPr>
          <w:rStyle w:val="TextoNormalNegritaCaracter"/>
        </w:rPr>
        <w:t>Artículo 28.</w:t>
      </w:r>
      <w:r w:rsidRPr="001D7FA9">
        <w:rPr>
          <w:rStyle w:val="TextoNormalCaracter"/>
        </w:rPr>
        <w:t>-</w:t>
      </w:r>
      <w:r>
        <w:t xml:space="preserve"> Sentencias </w:t>
      </w:r>
      <w:hyperlink w:anchor="SENTENCIA_2025_14" w:history="1">
        <w:r w:rsidRPr="001D7FA9">
          <w:rPr>
            <w:rStyle w:val="TextoNormalCaracter"/>
          </w:rPr>
          <w:t>14/2025</w:t>
        </w:r>
      </w:hyperlink>
      <w:r>
        <w:t xml:space="preserve">, f. 5; </w:t>
      </w:r>
      <w:hyperlink w:anchor="SENTENCIA_2025_15" w:history="1">
        <w:r w:rsidRPr="001D7FA9">
          <w:rPr>
            <w:rStyle w:val="TextoNormalCaracter"/>
          </w:rPr>
          <w:t>15/2025</w:t>
        </w:r>
      </w:hyperlink>
      <w:r>
        <w:t>, ff. 1, 4.</w:t>
      </w:r>
    </w:p>
    <w:p w14:paraId="4FF98BF2" w14:textId="36139EC3" w:rsidR="001D7FA9" w:rsidRDefault="001D7FA9" w:rsidP="001D7FA9">
      <w:pPr>
        <w:pStyle w:val="SangriaFrancesaArticulo"/>
      </w:pPr>
      <w:r w:rsidRPr="001D7FA9">
        <w:rPr>
          <w:rStyle w:val="TextoNormalNegritaCaracter"/>
        </w:rPr>
        <w:t>Artículo 28.1.</w:t>
      </w:r>
      <w:r w:rsidRPr="001D7FA9">
        <w:rPr>
          <w:rStyle w:val="TextoNormalCaracter"/>
        </w:rPr>
        <w:t>-</w:t>
      </w:r>
      <w:r>
        <w:t xml:space="preserve"> Sentencias </w:t>
      </w:r>
      <w:hyperlink w:anchor="SENTENCIA_2025_14" w:history="1">
        <w:r w:rsidRPr="001D7FA9">
          <w:rPr>
            <w:rStyle w:val="TextoNormalCaracter"/>
          </w:rPr>
          <w:t>14/2025</w:t>
        </w:r>
      </w:hyperlink>
      <w:r>
        <w:t xml:space="preserve">, ff. 1, 5, VP; </w:t>
      </w:r>
      <w:hyperlink w:anchor="SENTENCIA_2025_15" w:history="1">
        <w:r w:rsidRPr="001D7FA9">
          <w:rPr>
            <w:rStyle w:val="TextoNormalCaracter"/>
          </w:rPr>
          <w:t>15/2025</w:t>
        </w:r>
      </w:hyperlink>
      <w:r>
        <w:t>, f. 4.</w:t>
      </w:r>
    </w:p>
    <w:p w14:paraId="026486EE" w14:textId="6840DD36" w:rsidR="001D7FA9" w:rsidRDefault="001D7FA9" w:rsidP="001D7FA9">
      <w:pPr>
        <w:pStyle w:val="SangriaFrancesaArticulo"/>
      </w:pPr>
      <w:r w:rsidRPr="001D7FA9">
        <w:rPr>
          <w:rStyle w:val="TextoNormalNegritaCaracter"/>
        </w:rPr>
        <w:t>Artículo 28.2.</w:t>
      </w:r>
      <w:r w:rsidRPr="001D7FA9">
        <w:rPr>
          <w:rStyle w:val="TextoNormalCaracter"/>
        </w:rPr>
        <w:t>-</w:t>
      </w:r>
      <w:r>
        <w:t xml:space="preserve"> Sentencias </w:t>
      </w:r>
      <w:hyperlink w:anchor="SENTENCIA_2025_14" w:history="1">
        <w:r w:rsidRPr="001D7FA9">
          <w:rPr>
            <w:rStyle w:val="TextoNormalCaracter"/>
          </w:rPr>
          <w:t>14/2025</w:t>
        </w:r>
      </w:hyperlink>
      <w:r>
        <w:t xml:space="preserve">, f. 5; </w:t>
      </w:r>
      <w:hyperlink w:anchor="SENTENCIA_2025_15" w:history="1">
        <w:r w:rsidRPr="001D7FA9">
          <w:rPr>
            <w:rStyle w:val="TextoNormalCaracter"/>
          </w:rPr>
          <w:t>15/2025</w:t>
        </w:r>
      </w:hyperlink>
      <w:r>
        <w:t>, f. 4.</w:t>
      </w:r>
    </w:p>
    <w:p w14:paraId="3624E116" w14:textId="3913B575" w:rsidR="001D7FA9" w:rsidRDefault="001D7FA9" w:rsidP="001D7FA9">
      <w:pPr>
        <w:pStyle w:val="SangriaFrancesaArticulo"/>
      </w:pPr>
      <w:r w:rsidRPr="001D7FA9">
        <w:rPr>
          <w:rStyle w:val="TextoNormalNegritaCaracter"/>
        </w:rPr>
        <w:t>Artículo 28.3.</w:t>
      </w:r>
      <w:r w:rsidRPr="001D7FA9">
        <w:rPr>
          <w:rStyle w:val="TextoNormalCaracter"/>
        </w:rPr>
        <w:t>-</w:t>
      </w:r>
      <w:r>
        <w:t xml:space="preserve"> Sentencias </w:t>
      </w:r>
      <w:hyperlink w:anchor="SENTENCIA_2025_14" w:history="1">
        <w:r w:rsidRPr="001D7FA9">
          <w:rPr>
            <w:rStyle w:val="TextoNormalCaracter"/>
          </w:rPr>
          <w:t>14/2025</w:t>
        </w:r>
      </w:hyperlink>
      <w:r>
        <w:t xml:space="preserve">, f. 5; </w:t>
      </w:r>
      <w:hyperlink w:anchor="SENTENCIA_2025_15" w:history="1">
        <w:r w:rsidRPr="001D7FA9">
          <w:rPr>
            <w:rStyle w:val="TextoNormalCaracter"/>
          </w:rPr>
          <w:t>15/2025</w:t>
        </w:r>
      </w:hyperlink>
      <w:r>
        <w:t>, f. 4.</w:t>
      </w:r>
    </w:p>
    <w:p w14:paraId="3C1219A5" w14:textId="08E21EE9" w:rsidR="001D7FA9" w:rsidRDefault="001D7FA9" w:rsidP="001D7FA9">
      <w:pPr>
        <w:pStyle w:val="SangriaFrancesaArticulo"/>
      </w:pPr>
      <w:r w:rsidRPr="001D7FA9">
        <w:rPr>
          <w:rStyle w:val="TextoNormalNegritaCaracter"/>
        </w:rPr>
        <w:t>Artículo 28.3 a).</w:t>
      </w:r>
      <w:r w:rsidRPr="001D7FA9">
        <w:rPr>
          <w:rStyle w:val="TextoNormalCaracter"/>
        </w:rPr>
        <w:t>-</w:t>
      </w:r>
      <w:r>
        <w:t xml:space="preserve"> Sentencia </w:t>
      </w:r>
      <w:hyperlink w:anchor="SENTENCIA_2025_14" w:history="1">
        <w:r w:rsidRPr="001D7FA9">
          <w:rPr>
            <w:rStyle w:val="TextoNormalCaracter"/>
          </w:rPr>
          <w:t>14/2025</w:t>
        </w:r>
      </w:hyperlink>
      <w:r>
        <w:t>, f. 5.</w:t>
      </w:r>
    </w:p>
    <w:p w14:paraId="6CFF1A02" w14:textId="655D0565" w:rsidR="001D7FA9" w:rsidRDefault="001D7FA9" w:rsidP="001D7FA9">
      <w:pPr>
        <w:pStyle w:val="SangriaFrancesaArticulo"/>
      </w:pPr>
      <w:r w:rsidRPr="001D7FA9">
        <w:rPr>
          <w:rStyle w:val="TextoNormalNegritaCaracter"/>
        </w:rPr>
        <w:t>Artículo 28.3 b).</w:t>
      </w:r>
      <w:r w:rsidRPr="001D7FA9">
        <w:rPr>
          <w:rStyle w:val="TextoNormalCaracter"/>
        </w:rPr>
        <w:t>-</w:t>
      </w:r>
      <w:r>
        <w:t xml:space="preserve"> Sentencia </w:t>
      </w:r>
      <w:hyperlink w:anchor="SENTENCIA_2025_14" w:history="1">
        <w:r w:rsidRPr="001D7FA9">
          <w:rPr>
            <w:rStyle w:val="TextoNormalCaracter"/>
          </w:rPr>
          <w:t>14/2025</w:t>
        </w:r>
      </w:hyperlink>
      <w:r>
        <w:t>, f. 5.</w:t>
      </w:r>
    </w:p>
    <w:p w14:paraId="6A087CD7" w14:textId="1B86315C" w:rsidR="001D7FA9" w:rsidRDefault="001D7FA9" w:rsidP="001D7FA9">
      <w:pPr>
        <w:pStyle w:val="SangriaFrancesaArticulo"/>
      </w:pPr>
      <w:r w:rsidRPr="001D7FA9">
        <w:rPr>
          <w:rStyle w:val="TextoNormalNegritaCaracter"/>
        </w:rPr>
        <w:t>Artículo 28.4.</w:t>
      </w:r>
      <w:r w:rsidRPr="001D7FA9">
        <w:rPr>
          <w:rStyle w:val="TextoNormalCaracter"/>
        </w:rPr>
        <w:t>-</w:t>
      </w:r>
      <w:r>
        <w:t xml:space="preserve"> Sentencia </w:t>
      </w:r>
      <w:hyperlink w:anchor="SENTENCIA_2025_14" w:history="1">
        <w:r w:rsidRPr="001D7FA9">
          <w:rPr>
            <w:rStyle w:val="TextoNormalCaracter"/>
          </w:rPr>
          <w:t>14/2025</w:t>
        </w:r>
      </w:hyperlink>
      <w:r>
        <w:t>, ff. 2, 5.</w:t>
      </w:r>
    </w:p>
    <w:p w14:paraId="5BD00CE3" w14:textId="61E7CFA6" w:rsidR="001D7FA9" w:rsidRDefault="001D7FA9" w:rsidP="001D7FA9">
      <w:pPr>
        <w:pStyle w:val="SangriaFrancesaArticulo"/>
      </w:pPr>
      <w:r w:rsidRPr="001D7FA9">
        <w:rPr>
          <w:rStyle w:val="TextoNormalNegritaCaracter"/>
        </w:rPr>
        <w:t>Artículo 29.</w:t>
      </w:r>
      <w:r w:rsidRPr="001D7FA9">
        <w:rPr>
          <w:rStyle w:val="TextoNormalCaracter"/>
        </w:rPr>
        <w:t>-</w:t>
      </w:r>
      <w:r>
        <w:t xml:space="preserve"> Sentencia </w:t>
      </w:r>
      <w:hyperlink w:anchor="SENTENCIA_2025_14" w:history="1">
        <w:r w:rsidRPr="001D7FA9">
          <w:rPr>
            <w:rStyle w:val="TextoNormalCaracter"/>
          </w:rPr>
          <w:t>14/2025</w:t>
        </w:r>
      </w:hyperlink>
      <w:r>
        <w:t>, f. 5.</w:t>
      </w:r>
    </w:p>
    <w:p w14:paraId="3C482EBA" w14:textId="5FBB172A" w:rsidR="001D7FA9" w:rsidRDefault="001D7FA9" w:rsidP="001D7FA9">
      <w:pPr>
        <w:pStyle w:val="SangriaFrancesaArticulo"/>
      </w:pPr>
      <w:r w:rsidRPr="001D7FA9">
        <w:rPr>
          <w:rStyle w:val="TextoNormalNegritaCaracter"/>
        </w:rPr>
        <w:t>Artículo 32.1.4.</w:t>
      </w:r>
      <w:r w:rsidRPr="001D7FA9">
        <w:rPr>
          <w:rStyle w:val="TextoNormalCaracter"/>
        </w:rPr>
        <w:t>-</w:t>
      </w:r>
      <w:r>
        <w:t xml:space="preserve"> Sentencia </w:t>
      </w:r>
      <w:hyperlink w:anchor="SENTENCIA_2025_14" w:history="1">
        <w:r w:rsidRPr="001D7FA9">
          <w:rPr>
            <w:rStyle w:val="TextoNormalCaracter"/>
          </w:rPr>
          <w:t>14/2025</w:t>
        </w:r>
      </w:hyperlink>
      <w:r>
        <w:t>, f. 5.</w:t>
      </w:r>
    </w:p>
    <w:p w14:paraId="19E90699" w14:textId="598AA2A2" w:rsidR="001D7FA9" w:rsidRDefault="001D7FA9" w:rsidP="001D7FA9">
      <w:pPr>
        <w:pStyle w:val="SangriaFrancesaArticulo"/>
      </w:pPr>
      <w:r w:rsidRPr="001D7FA9">
        <w:rPr>
          <w:rStyle w:val="TextoNormalNegritaCaracter"/>
        </w:rPr>
        <w:t>Artículo 32.1.5.</w:t>
      </w:r>
      <w:r w:rsidRPr="001D7FA9">
        <w:rPr>
          <w:rStyle w:val="TextoNormalCaracter"/>
        </w:rPr>
        <w:t>-</w:t>
      </w:r>
      <w:r>
        <w:t xml:space="preserve"> Sentencia </w:t>
      </w:r>
      <w:hyperlink w:anchor="SENTENCIA_2025_14" w:history="1">
        <w:r w:rsidRPr="001D7FA9">
          <w:rPr>
            <w:rStyle w:val="TextoNormalCaracter"/>
          </w:rPr>
          <w:t>14/2025</w:t>
        </w:r>
      </w:hyperlink>
      <w:r>
        <w:t>, f. 5.</w:t>
      </w:r>
    </w:p>
    <w:p w14:paraId="28AF6ECB" w14:textId="3E1A6B66" w:rsidR="001D7FA9" w:rsidRDefault="001D7FA9" w:rsidP="001D7FA9">
      <w:pPr>
        <w:pStyle w:val="SangriaFrancesaArticulo"/>
      </w:pPr>
      <w:r w:rsidRPr="001D7FA9">
        <w:rPr>
          <w:rStyle w:val="TextoNormalNegritaCaracter"/>
        </w:rPr>
        <w:t>Artículo 32.2.</w:t>
      </w:r>
      <w:r w:rsidRPr="001D7FA9">
        <w:rPr>
          <w:rStyle w:val="TextoNormalCaracter"/>
        </w:rPr>
        <w:t>-</w:t>
      </w:r>
      <w:r>
        <w:t xml:space="preserve"> Sentencia </w:t>
      </w:r>
      <w:hyperlink w:anchor="SENTENCIA_2025_14" w:history="1">
        <w:r w:rsidRPr="001D7FA9">
          <w:rPr>
            <w:rStyle w:val="TextoNormalCaracter"/>
          </w:rPr>
          <w:t>14/2025</w:t>
        </w:r>
      </w:hyperlink>
      <w:r>
        <w:t>, f. 5.</w:t>
      </w:r>
    </w:p>
    <w:p w14:paraId="4A8F21AE" w14:textId="21E6DFEA"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 </w:t>
      </w:r>
      <w:hyperlink w:anchor="SENTENCIA_2025_15" w:history="1">
        <w:r w:rsidRPr="001D7FA9">
          <w:rPr>
            <w:rStyle w:val="TextoNormalCaracter"/>
          </w:rPr>
          <w:t>15/2025</w:t>
        </w:r>
      </w:hyperlink>
      <w:r>
        <w:t>, f. 4.</w:t>
      </w:r>
    </w:p>
    <w:p w14:paraId="6586E0A7" w14:textId="59A295BF" w:rsidR="001D7FA9" w:rsidRDefault="001D7FA9" w:rsidP="001D7FA9">
      <w:pPr>
        <w:pStyle w:val="SangriaFrancesaArticulo"/>
      </w:pPr>
      <w:r w:rsidRPr="001D7FA9">
        <w:rPr>
          <w:rStyle w:val="TextoNormalNegritaCaracter"/>
        </w:rPr>
        <w:t>Artículo 42.1.</w:t>
      </w:r>
      <w:r w:rsidRPr="001D7FA9">
        <w:rPr>
          <w:rStyle w:val="TextoNormalCaracter"/>
        </w:rPr>
        <w:t>-</w:t>
      </w:r>
      <w:r>
        <w:t xml:space="preserve"> Sentencia </w:t>
      </w:r>
      <w:hyperlink w:anchor="SENTENCIA_2025_14" w:history="1">
        <w:r w:rsidRPr="001D7FA9">
          <w:rPr>
            <w:rStyle w:val="TextoNormalCaracter"/>
          </w:rPr>
          <w:t>14/2025</w:t>
        </w:r>
      </w:hyperlink>
      <w:r>
        <w:t>, f. 5.</w:t>
      </w:r>
    </w:p>
    <w:p w14:paraId="3B9CF0BE" w14:textId="41C453B5" w:rsidR="001D7FA9" w:rsidRDefault="001D7FA9" w:rsidP="001D7FA9">
      <w:pPr>
        <w:pStyle w:val="SangriaFrancesaArticulo"/>
      </w:pPr>
      <w:r w:rsidRPr="001D7FA9">
        <w:rPr>
          <w:rStyle w:val="TextoNormalNegritaCaracter"/>
        </w:rPr>
        <w:t>Artículo 82.</w:t>
      </w:r>
      <w:r w:rsidRPr="001D7FA9">
        <w:rPr>
          <w:rStyle w:val="TextoNormalCaracter"/>
        </w:rPr>
        <w:t>-</w:t>
      </w:r>
      <w:r>
        <w:t xml:space="preserve"> Sentencia </w:t>
      </w:r>
      <w:hyperlink w:anchor="SENTENCIA_2025_15" w:history="1">
        <w:r w:rsidRPr="001D7FA9">
          <w:rPr>
            <w:rStyle w:val="TextoNormalCaracter"/>
          </w:rPr>
          <w:t>15/2025</w:t>
        </w:r>
      </w:hyperlink>
      <w:r>
        <w:t>, f. 4.</w:t>
      </w:r>
    </w:p>
    <w:p w14:paraId="7D67BEEF" w14:textId="617E9609" w:rsidR="001D7FA9" w:rsidRDefault="001D7FA9" w:rsidP="001D7FA9">
      <w:pPr>
        <w:pStyle w:val="SangriaFrancesaArticulo"/>
      </w:pPr>
      <w:r w:rsidRPr="001D7FA9">
        <w:rPr>
          <w:rStyle w:val="TextoNormalNegritaCaracter"/>
        </w:rPr>
        <w:t>Artículo 123.</w:t>
      </w:r>
      <w:r w:rsidRPr="001D7FA9">
        <w:rPr>
          <w:rStyle w:val="TextoNormalCaracter"/>
        </w:rPr>
        <w:t>-</w:t>
      </w:r>
      <w:r>
        <w:t xml:space="preserve"> Sentencia </w:t>
      </w:r>
      <w:hyperlink w:anchor="SENTENCIA_2025_14" w:history="1">
        <w:r w:rsidRPr="001D7FA9">
          <w:rPr>
            <w:rStyle w:val="TextoNormalCaracter"/>
          </w:rPr>
          <w:t>14/2025</w:t>
        </w:r>
      </w:hyperlink>
      <w:r>
        <w:t>, f. 5.</w:t>
      </w:r>
    </w:p>
    <w:p w14:paraId="78A3FDCA" w14:textId="61437183" w:rsidR="001D7FA9" w:rsidRDefault="001D7FA9" w:rsidP="001D7FA9">
      <w:pPr>
        <w:pStyle w:val="SangriaFrancesaArticulo"/>
      </w:pPr>
      <w:r w:rsidRPr="001D7FA9">
        <w:rPr>
          <w:rStyle w:val="TextoNormalNegritaCaracter"/>
        </w:rPr>
        <w:t>Artículo 134.</w:t>
      </w:r>
      <w:r w:rsidRPr="001D7FA9">
        <w:rPr>
          <w:rStyle w:val="TextoNormalCaracter"/>
        </w:rPr>
        <w:t>-</w:t>
      </w:r>
      <w:r>
        <w:t xml:space="preserve"> Sentencia </w:t>
      </w:r>
      <w:hyperlink w:anchor="SENTENCIA_2025_15" w:history="1">
        <w:r w:rsidRPr="001D7FA9">
          <w:rPr>
            <w:rStyle w:val="TextoNormalCaracter"/>
          </w:rPr>
          <w:t>15/2025</w:t>
        </w:r>
      </w:hyperlink>
      <w:r>
        <w:t>, f. 4.</w:t>
      </w:r>
    </w:p>
    <w:p w14:paraId="1A2F71E1" w14:textId="5D73A22D" w:rsidR="001D7FA9" w:rsidRDefault="001D7FA9" w:rsidP="001D7FA9">
      <w:pPr>
        <w:pStyle w:val="SangriaFrancesaArticulo"/>
      </w:pPr>
      <w:r w:rsidRPr="001D7FA9">
        <w:rPr>
          <w:rStyle w:val="TextoNormalNegritaCaracter"/>
        </w:rPr>
        <w:t>Artículo 139.</w:t>
      </w:r>
      <w:r w:rsidRPr="001D7FA9">
        <w:rPr>
          <w:rStyle w:val="TextoNormalCaracter"/>
        </w:rPr>
        <w:t>-</w:t>
      </w:r>
      <w:r>
        <w:t xml:space="preserve"> Sentencia </w:t>
      </w:r>
      <w:hyperlink w:anchor="SENTENCIA_2025_14" w:history="1">
        <w:r w:rsidRPr="001D7FA9">
          <w:rPr>
            <w:rStyle w:val="TextoNormalCaracter"/>
          </w:rPr>
          <w:t>14/2025</w:t>
        </w:r>
      </w:hyperlink>
      <w:r>
        <w:t>, f. 5.</w:t>
      </w:r>
    </w:p>
    <w:p w14:paraId="22FF31B1" w14:textId="595B454D" w:rsidR="001D7FA9" w:rsidRDefault="001D7FA9" w:rsidP="001D7FA9">
      <w:pPr>
        <w:pStyle w:val="SangriaFrancesaArticulo"/>
      </w:pPr>
      <w:r w:rsidRPr="001D7FA9">
        <w:rPr>
          <w:rStyle w:val="TextoNormalNegritaCaracter"/>
        </w:rPr>
        <w:t>Artículo 139.1.</w:t>
      </w:r>
      <w:r w:rsidRPr="001D7FA9">
        <w:rPr>
          <w:rStyle w:val="TextoNormalCaracter"/>
        </w:rPr>
        <w:t>-</w:t>
      </w:r>
      <w:r>
        <w:t xml:space="preserve"> Sentencia </w:t>
      </w:r>
      <w:hyperlink w:anchor="SENTENCIA_2025_14" w:history="1">
        <w:r w:rsidRPr="001D7FA9">
          <w:rPr>
            <w:rStyle w:val="TextoNormalCaracter"/>
          </w:rPr>
          <w:t>14/2025</w:t>
        </w:r>
      </w:hyperlink>
      <w:r>
        <w:t>, f. 5.</w:t>
      </w:r>
    </w:p>
    <w:p w14:paraId="1D68C206" w14:textId="55E854EE" w:rsidR="001D7FA9" w:rsidRDefault="001D7FA9" w:rsidP="001D7FA9">
      <w:pPr>
        <w:pStyle w:val="SangriaFrancesaArticulo"/>
      </w:pPr>
      <w:r w:rsidRPr="001D7FA9">
        <w:rPr>
          <w:rStyle w:val="TextoNormalNegritaCaracter"/>
        </w:rPr>
        <w:t>Artículo 179.</w:t>
      </w:r>
      <w:r w:rsidRPr="001D7FA9">
        <w:rPr>
          <w:rStyle w:val="TextoNormalCaracter"/>
        </w:rPr>
        <w:t>-</w:t>
      </w:r>
      <w:r>
        <w:t xml:space="preserve"> Sentencia </w:t>
      </w:r>
      <w:hyperlink w:anchor="SENTENCIA_2025_14" w:history="1">
        <w:r w:rsidRPr="001D7FA9">
          <w:rPr>
            <w:rStyle w:val="TextoNormalCaracter"/>
          </w:rPr>
          <w:t>14/2025</w:t>
        </w:r>
      </w:hyperlink>
      <w:r>
        <w:t>, f. 5.</w:t>
      </w:r>
    </w:p>
    <w:p w14:paraId="45DE67E8" w14:textId="55F0F975" w:rsidR="001D7FA9" w:rsidRDefault="001D7FA9" w:rsidP="001D7FA9">
      <w:pPr>
        <w:pStyle w:val="SangriaFrancesaArticulo"/>
      </w:pPr>
      <w:r w:rsidRPr="001D7FA9">
        <w:rPr>
          <w:rStyle w:val="TextoNormalNegritaCaracter"/>
        </w:rPr>
        <w:t>Artículo 181.</w:t>
      </w:r>
      <w:r w:rsidRPr="001D7FA9">
        <w:rPr>
          <w:rStyle w:val="TextoNormalCaracter"/>
        </w:rPr>
        <w:t>-</w:t>
      </w:r>
      <w:r>
        <w:t xml:space="preserve"> Sentencias </w:t>
      </w:r>
      <w:hyperlink w:anchor="SENTENCIA_2025_14" w:history="1">
        <w:r w:rsidRPr="001D7FA9">
          <w:rPr>
            <w:rStyle w:val="TextoNormalCaracter"/>
          </w:rPr>
          <w:t>14/2025</w:t>
        </w:r>
      </w:hyperlink>
      <w:r>
        <w:t xml:space="preserve">, f. 5; </w:t>
      </w:r>
      <w:hyperlink w:anchor="SENTENCIA_2025_15" w:history="1">
        <w:r w:rsidRPr="001D7FA9">
          <w:rPr>
            <w:rStyle w:val="TextoNormalCaracter"/>
          </w:rPr>
          <w:t>15/2025</w:t>
        </w:r>
      </w:hyperlink>
      <w:r>
        <w:t>, f. 4.</w:t>
      </w:r>
    </w:p>
    <w:p w14:paraId="4A42E431" w14:textId="5B85653F" w:rsidR="001D7FA9" w:rsidRDefault="001D7FA9" w:rsidP="001D7FA9">
      <w:pPr>
        <w:pStyle w:val="SangriaFrancesaArticulo"/>
      </w:pPr>
      <w:r w:rsidRPr="001D7FA9">
        <w:rPr>
          <w:rStyle w:val="TextoNormalNegritaCaracter"/>
        </w:rPr>
        <w:t>Artículo 182.2.</w:t>
      </w:r>
      <w:r w:rsidRPr="001D7FA9">
        <w:rPr>
          <w:rStyle w:val="TextoNormalCaracter"/>
        </w:rPr>
        <w:t>-</w:t>
      </w:r>
      <w:r>
        <w:t xml:space="preserve"> Sentencia </w:t>
      </w:r>
      <w:hyperlink w:anchor="SENTENCIA_2025_15" w:history="1">
        <w:r w:rsidRPr="001D7FA9">
          <w:rPr>
            <w:rStyle w:val="TextoNormalCaracter"/>
          </w:rPr>
          <w:t>15/2025</w:t>
        </w:r>
      </w:hyperlink>
      <w:r>
        <w:t>, f. 4.</w:t>
      </w:r>
    </w:p>
    <w:p w14:paraId="21D1CFF8" w14:textId="09242242" w:rsidR="001D7FA9" w:rsidRDefault="001D7FA9" w:rsidP="001D7FA9">
      <w:pPr>
        <w:pStyle w:val="TextoNormal"/>
      </w:pPr>
    </w:p>
    <w:p w14:paraId="2019AB04" w14:textId="77777777" w:rsidR="001D7FA9" w:rsidRDefault="001D7FA9" w:rsidP="001D7FA9">
      <w:pPr>
        <w:pStyle w:val="TextoNormalNegritaCentrado"/>
        <w:suppressAutoHyphens/>
      </w:pPr>
      <w:r w:rsidRPr="001D7FA9">
        <w:rPr>
          <w:rStyle w:val="TextoNormalNegritaCentradoSombreado"/>
        </w:rPr>
        <w:t>J.4) Canarias</w:t>
      </w:r>
    </w:p>
    <w:p w14:paraId="26C7474E" w14:textId="4607461D" w:rsidR="001D7FA9" w:rsidRDefault="001D7FA9" w:rsidP="001D7FA9">
      <w:pPr>
        <w:pStyle w:val="TextoNormal"/>
      </w:pPr>
    </w:p>
    <w:p w14:paraId="3807276D" w14:textId="77777777" w:rsidR="001D7FA9" w:rsidRDefault="001D7FA9" w:rsidP="001D7FA9">
      <w:pPr>
        <w:pStyle w:val="TextoNormalNegritaCentradoSubrayado"/>
        <w:suppressAutoHyphens/>
      </w:pPr>
      <w:r>
        <w:t>J.4.a) Estatuto de Autonomía</w:t>
      </w:r>
    </w:p>
    <w:p w14:paraId="0DFE5379" w14:textId="70D50AAB" w:rsidR="001D7FA9" w:rsidRDefault="001D7FA9" w:rsidP="001D7FA9">
      <w:pPr>
        <w:pStyle w:val="TextoNormalNegritaCentradoSubrayado"/>
      </w:pPr>
    </w:p>
    <w:p w14:paraId="09717AE8" w14:textId="77777777" w:rsidR="001D7FA9" w:rsidRDefault="001D7FA9" w:rsidP="001D7FA9">
      <w:pPr>
        <w:pStyle w:val="TextoNormalNegritaCursivandice"/>
        <w:keepNext/>
      </w:pPr>
      <w:r>
        <w:t>Ley Orgánica 1/2018, de 5 de noviembre, de reforma del Estatuto de Autonomía de Canarias</w:t>
      </w:r>
    </w:p>
    <w:p w14:paraId="78D876AC" w14:textId="4F148C94" w:rsidR="001D7FA9" w:rsidRDefault="001D7FA9" w:rsidP="001D7FA9">
      <w:pPr>
        <w:pStyle w:val="SangriaFrancesaArticulo"/>
      </w:pPr>
      <w:r w:rsidRPr="001D7FA9">
        <w:rPr>
          <w:rStyle w:val="TextoNormalNegritaCaracter"/>
        </w:rPr>
        <w:t>Artículo 46.2.</w:t>
      </w:r>
      <w:r w:rsidRPr="001D7FA9">
        <w:rPr>
          <w:rStyle w:val="TextoNormalCaracter"/>
        </w:rPr>
        <w:t>-</w:t>
      </w:r>
      <w:r>
        <w:t xml:space="preserve"> Sentencia </w:t>
      </w:r>
      <w:hyperlink w:anchor="SENTENCIA_2025_95" w:history="1">
        <w:r w:rsidRPr="001D7FA9">
          <w:rPr>
            <w:rStyle w:val="TextoNormalCaracter"/>
          </w:rPr>
          <w:t>95/2025</w:t>
        </w:r>
      </w:hyperlink>
      <w:r>
        <w:t>, f. 3.</w:t>
      </w:r>
    </w:p>
    <w:p w14:paraId="330B4740" w14:textId="4A2D013A" w:rsidR="001D7FA9" w:rsidRDefault="001D7FA9" w:rsidP="001D7FA9">
      <w:pPr>
        <w:pStyle w:val="SangriaFrancesaArticulo"/>
      </w:pPr>
      <w:r w:rsidRPr="001D7FA9">
        <w:rPr>
          <w:rStyle w:val="TextoNormalNegritaCaracter"/>
        </w:rPr>
        <w:t>Artículo 50.</w:t>
      </w:r>
      <w:r w:rsidRPr="001D7FA9">
        <w:rPr>
          <w:rStyle w:val="TextoNormalCaracter"/>
        </w:rPr>
        <w:t>-</w:t>
      </w:r>
      <w:r>
        <w:t xml:space="preserve"> Sentencia </w:t>
      </w:r>
      <w:hyperlink w:anchor="SENTENCIA_2025_43" w:history="1">
        <w:r w:rsidRPr="001D7FA9">
          <w:rPr>
            <w:rStyle w:val="TextoNormalCaracter"/>
          </w:rPr>
          <w:t>43/2025</w:t>
        </w:r>
      </w:hyperlink>
      <w:r>
        <w:t>, f. 2.</w:t>
      </w:r>
    </w:p>
    <w:p w14:paraId="183C7D71" w14:textId="620C3487" w:rsidR="001D7FA9" w:rsidRDefault="001D7FA9" w:rsidP="001D7FA9">
      <w:pPr>
        <w:pStyle w:val="SangriaFrancesaArticulo"/>
      </w:pPr>
      <w:r w:rsidRPr="001D7FA9">
        <w:rPr>
          <w:rStyle w:val="TextoNormalNegritaCaracter"/>
        </w:rPr>
        <w:t>Artículo 142.</w:t>
      </w:r>
      <w:r w:rsidRPr="001D7FA9">
        <w:rPr>
          <w:rStyle w:val="TextoNormalCaracter"/>
        </w:rPr>
        <w:t>-</w:t>
      </w:r>
      <w:r>
        <w:t xml:space="preserve"> Sentencia </w:t>
      </w:r>
      <w:hyperlink w:anchor="SENTENCIA_2025_43" w:history="1">
        <w:r w:rsidRPr="001D7FA9">
          <w:rPr>
            <w:rStyle w:val="TextoNormalCaracter"/>
          </w:rPr>
          <w:t>43/2025</w:t>
        </w:r>
      </w:hyperlink>
      <w:r>
        <w:t>, f. 1.</w:t>
      </w:r>
    </w:p>
    <w:p w14:paraId="0B09A8D9" w14:textId="6E4F1748" w:rsidR="001D7FA9" w:rsidRDefault="001D7FA9" w:rsidP="001D7FA9">
      <w:pPr>
        <w:pStyle w:val="SangriaFrancesaArticulo"/>
      </w:pPr>
      <w:r w:rsidRPr="001D7FA9">
        <w:rPr>
          <w:rStyle w:val="TextoNormalNegritaCaracter"/>
        </w:rPr>
        <w:t>Artículo 144.1 d).</w:t>
      </w:r>
      <w:r w:rsidRPr="001D7FA9">
        <w:rPr>
          <w:rStyle w:val="TextoNormalCaracter"/>
        </w:rPr>
        <w:t>-</w:t>
      </w:r>
      <w:r>
        <w:t xml:space="preserve"> Sentencia </w:t>
      </w:r>
      <w:hyperlink w:anchor="SENTENCIA_2025_43" w:history="1">
        <w:r w:rsidRPr="001D7FA9">
          <w:rPr>
            <w:rStyle w:val="TextoNormalCaracter"/>
          </w:rPr>
          <w:t>43/2025</w:t>
        </w:r>
      </w:hyperlink>
      <w:r>
        <w:t>, ff. 1, 3.</w:t>
      </w:r>
    </w:p>
    <w:p w14:paraId="2BE4C891" w14:textId="1056D7D5" w:rsidR="001D7FA9" w:rsidRDefault="001D7FA9" w:rsidP="001D7FA9">
      <w:pPr>
        <w:pStyle w:val="SangriaFrancesaArticulo"/>
      </w:pPr>
      <w:r w:rsidRPr="001D7FA9">
        <w:rPr>
          <w:rStyle w:val="TextoNormalNegritaCaracter"/>
        </w:rPr>
        <w:t>Artículo 147.2.</w:t>
      </w:r>
      <w:r w:rsidRPr="001D7FA9">
        <w:rPr>
          <w:rStyle w:val="TextoNormalCaracter"/>
        </w:rPr>
        <w:t>-</w:t>
      </w:r>
      <w:r>
        <w:t xml:space="preserve"> Sentencia </w:t>
      </w:r>
      <w:hyperlink w:anchor="SENTENCIA_2025_43" w:history="1">
        <w:r w:rsidRPr="001D7FA9">
          <w:rPr>
            <w:rStyle w:val="TextoNormalCaracter"/>
          </w:rPr>
          <w:t>43/2025</w:t>
        </w:r>
      </w:hyperlink>
      <w:r>
        <w:t>, f. 3.</w:t>
      </w:r>
    </w:p>
    <w:p w14:paraId="1EF5440A" w14:textId="423FFD4A" w:rsidR="001D7FA9" w:rsidRDefault="001D7FA9" w:rsidP="001D7FA9">
      <w:pPr>
        <w:pStyle w:val="TextoNormal"/>
      </w:pPr>
    </w:p>
    <w:p w14:paraId="477F4B8D" w14:textId="77777777" w:rsidR="001D7FA9" w:rsidRDefault="001D7FA9" w:rsidP="001D7FA9">
      <w:pPr>
        <w:pStyle w:val="TextoNormalNegritaCentradoSubrayado"/>
        <w:suppressAutoHyphens/>
      </w:pPr>
      <w:r>
        <w:t>J.4.b) Leyes y disposiciones con fuerza de Ley</w:t>
      </w:r>
    </w:p>
    <w:p w14:paraId="0EE1FD08" w14:textId="0EB4C1E6" w:rsidR="001D7FA9" w:rsidRDefault="001D7FA9" w:rsidP="001D7FA9">
      <w:pPr>
        <w:pStyle w:val="TextoNormalNegritaCentradoSubrayado"/>
      </w:pPr>
    </w:p>
    <w:p w14:paraId="76BED849" w14:textId="77777777" w:rsidR="001D7FA9" w:rsidRDefault="001D7FA9" w:rsidP="001D7FA9">
      <w:pPr>
        <w:pStyle w:val="TextoNormalNegritaCursivandice"/>
        <w:keepNext/>
      </w:pPr>
      <w:r>
        <w:t>Comunidad Autónoma de Canarias. Ley 11/1994, de 26 de julio, de ordenación sanitaria de Canarias</w:t>
      </w:r>
    </w:p>
    <w:p w14:paraId="1EAB2F4D" w14:textId="3FAEEE6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5" w:history="1">
        <w:r w:rsidRPr="001D7FA9">
          <w:rPr>
            <w:rStyle w:val="TextoNormalCaracter"/>
          </w:rPr>
          <w:t>95/2025</w:t>
        </w:r>
      </w:hyperlink>
      <w:r>
        <w:t>, f. 1.</w:t>
      </w:r>
    </w:p>
    <w:p w14:paraId="25F6F47A" w14:textId="4B94FB29" w:rsidR="001D7FA9" w:rsidRDefault="001D7FA9" w:rsidP="001D7FA9">
      <w:pPr>
        <w:pStyle w:val="SangriaFrancesaArticulo"/>
      </w:pPr>
      <w:r w:rsidRPr="001D7FA9">
        <w:rPr>
          <w:rStyle w:val="TextoNormalNegritaCaracter"/>
        </w:rPr>
        <w:t>Artículo 28.2</w:t>
      </w:r>
      <w:r>
        <w:t xml:space="preserve"> (redactado por la Ley del Gobierno de Canarias 11/2021, de 2 de septiembre</w:t>
      </w:r>
      <w:r w:rsidRPr="001D7FA9">
        <w:rPr>
          <w:rStyle w:val="TextoNormalNegritaCaracter"/>
        </w:rPr>
        <w:t>.</w:t>
      </w:r>
      <w:r w:rsidRPr="001D7FA9">
        <w:rPr>
          <w:rStyle w:val="TextoNormalCaracter"/>
        </w:rPr>
        <w:t>-</w:t>
      </w:r>
      <w:r>
        <w:t xml:space="preserve"> Sentencia </w:t>
      </w:r>
      <w:hyperlink w:anchor="SENTENCIA_2025_95" w:history="1">
        <w:r w:rsidRPr="001D7FA9">
          <w:rPr>
            <w:rStyle w:val="TextoNormalCaracter"/>
          </w:rPr>
          <w:t>95/2025</w:t>
        </w:r>
      </w:hyperlink>
      <w:r>
        <w:t>, f. 1.</w:t>
      </w:r>
    </w:p>
    <w:p w14:paraId="6D37C6C7" w14:textId="3FD9B855" w:rsidR="001D7FA9" w:rsidRDefault="001D7FA9" w:rsidP="001D7FA9">
      <w:pPr>
        <w:pStyle w:val="SangriaFrancesaArticulo"/>
      </w:pPr>
      <w:r w:rsidRPr="001D7FA9">
        <w:rPr>
          <w:rStyle w:val="TextoNormalNegritaCaracter"/>
        </w:rPr>
        <w:t>Artículo 28.3</w:t>
      </w:r>
      <w:r>
        <w:t xml:space="preserve"> (redactado por la Ley del Gobierno de Canarias 11/2021, de 2 de septiembre</w:t>
      </w:r>
      <w:r w:rsidRPr="001D7FA9">
        <w:rPr>
          <w:rStyle w:val="TextoNormalNegritaCaracter"/>
        </w:rPr>
        <w:t>.</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5E4A689D" w14:textId="679C2B58" w:rsidR="001D7FA9" w:rsidRDefault="001D7FA9" w:rsidP="001D7FA9">
      <w:pPr>
        <w:pStyle w:val="SangriaFrancesaArticulo"/>
      </w:pPr>
    </w:p>
    <w:p w14:paraId="74156D50" w14:textId="77777777" w:rsidR="001D7FA9" w:rsidRDefault="001D7FA9" w:rsidP="001D7FA9">
      <w:pPr>
        <w:pStyle w:val="TextoNormalNegritaCursivandice"/>
        <w:keepNext/>
      </w:pPr>
      <w:r>
        <w:t>Comunidad Autónoma de Canarias. Ley 1/1997, de 7 de febrero, de atención integral a los menores</w:t>
      </w:r>
    </w:p>
    <w:p w14:paraId="62442EAE" w14:textId="6F9A92A0" w:rsidR="001D7FA9" w:rsidRDefault="001D7FA9" w:rsidP="001D7FA9">
      <w:pPr>
        <w:pStyle w:val="SangriaFrancesaArticulo"/>
      </w:pPr>
      <w:r w:rsidRPr="001D7FA9">
        <w:rPr>
          <w:rStyle w:val="TextoNormalNegritaCaracter"/>
        </w:rPr>
        <w:t>Artículo 53.2.</w:t>
      </w:r>
      <w:r w:rsidRPr="001D7FA9">
        <w:rPr>
          <w:rStyle w:val="TextoNormalCaracter"/>
        </w:rPr>
        <w:t>-</w:t>
      </w:r>
      <w:r>
        <w:t xml:space="preserve"> Sentencia </w:t>
      </w:r>
      <w:hyperlink w:anchor="SENTENCIA_2025_43" w:history="1">
        <w:r w:rsidRPr="001D7FA9">
          <w:rPr>
            <w:rStyle w:val="TextoNormalCaracter"/>
          </w:rPr>
          <w:t>43/2025</w:t>
        </w:r>
      </w:hyperlink>
      <w:r>
        <w:t>, f. 3.</w:t>
      </w:r>
    </w:p>
    <w:p w14:paraId="71AE4454" w14:textId="4580337D" w:rsidR="001D7FA9" w:rsidRDefault="001D7FA9" w:rsidP="001D7FA9">
      <w:pPr>
        <w:pStyle w:val="SangriaFrancesaArticulo"/>
      </w:pPr>
    </w:p>
    <w:p w14:paraId="7AADB640" w14:textId="77777777" w:rsidR="001D7FA9" w:rsidRDefault="001D7FA9" w:rsidP="001D7FA9">
      <w:pPr>
        <w:pStyle w:val="TextoNormalNegritaCursivandice"/>
        <w:keepNext/>
      </w:pPr>
      <w:r>
        <w:t>Comunidad Autónoma de Canarias. Ley 4/2012, de 25 de junio, de medidas administrativas y fiscales</w:t>
      </w:r>
    </w:p>
    <w:p w14:paraId="52346E28" w14:textId="3D772565" w:rsidR="001D7FA9" w:rsidRDefault="001D7FA9" w:rsidP="001D7FA9">
      <w:pPr>
        <w:pStyle w:val="SangriaFrancesaArticulo"/>
      </w:pPr>
      <w:r w:rsidRPr="001D7FA9">
        <w:rPr>
          <w:rStyle w:val="TextoNormalNegritaCaracter"/>
        </w:rPr>
        <w:t>Artículo 41.9.2 a).</w:t>
      </w:r>
      <w:r w:rsidRPr="001D7FA9">
        <w:rPr>
          <w:rStyle w:val="TextoNormalCaracter"/>
        </w:rPr>
        <w:t>-</w:t>
      </w:r>
      <w:r>
        <w:t xml:space="preserve"> Auto </w:t>
      </w:r>
      <w:hyperlink w:anchor="AUTO_2025_54" w:history="1">
        <w:r w:rsidRPr="001D7FA9">
          <w:rPr>
            <w:rStyle w:val="TextoNormalCaracter"/>
          </w:rPr>
          <w:t>54/2025</w:t>
        </w:r>
      </w:hyperlink>
      <w:r>
        <w:t>, ff. 1, 3, 4.</w:t>
      </w:r>
    </w:p>
    <w:p w14:paraId="1F0A31DC" w14:textId="4A4DE1CB" w:rsidR="001D7FA9" w:rsidRDefault="001D7FA9" w:rsidP="001D7FA9">
      <w:pPr>
        <w:pStyle w:val="SangriaFrancesaArticulo"/>
      </w:pPr>
      <w:r w:rsidRPr="001D7FA9">
        <w:rPr>
          <w:rStyle w:val="TextoNormalNegritaCaracter"/>
        </w:rPr>
        <w:t>Artículo 41.9.2 d).</w:t>
      </w:r>
      <w:r w:rsidRPr="001D7FA9">
        <w:rPr>
          <w:rStyle w:val="TextoNormalCaracter"/>
        </w:rPr>
        <w:t>-</w:t>
      </w:r>
      <w:r>
        <w:t xml:space="preserve"> Auto </w:t>
      </w:r>
      <w:hyperlink w:anchor="AUTO_2025_54" w:history="1">
        <w:r w:rsidRPr="001D7FA9">
          <w:rPr>
            <w:rStyle w:val="TextoNormalCaracter"/>
          </w:rPr>
          <w:t>54/2025</w:t>
        </w:r>
      </w:hyperlink>
      <w:r>
        <w:t>, ff. 1, 3.</w:t>
      </w:r>
    </w:p>
    <w:p w14:paraId="6DEFFED4" w14:textId="2B0FFA83" w:rsidR="001D7FA9" w:rsidRDefault="001D7FA9" w:rsidP="001D7FA9">
      <w:pPr>
        <w:pStyle w:val="SangriaFrancesaArticulo"/>
      </w:pPr>
    </w:p>
    <w:p w14:paraId="3C35CB2D" w14:textId="77777777" w:rsidR="001D7FA9" w:rsidRDefault="001D7FA9" w:rsidP="001D7FA9">
      <w:pPr>
        <w:pStyle w:val="TextoNormalNegritaCursivandice"/>
        <w:keepNext/>
      </w:pPr>
      <w:r>
        <w:t>Comunidad Autónoma de Canarias. Ley del Parlamento 1/2021, de 29 de abril, por la que se establece el régimen sancionador por incumplimiento de las medidas de prevención y contención frente al covid-19 en la Comunidad Autónoma de Canarias</w:t>
      </w:r>
    </w:p>
    <w:p w14:paraId="50B934A0" w14:textId="1FE43651" w:rsidR="001D7FA9" w:rsidRDefault="001D7FA9" w:rsidP="001D7FA9">
      <w:pPr>
        <w:pStyle w:val="SangriaFrancesaArticulo"/>
      </w:pPr>
      <w:r w:rsidRPr="001D7FA9">
        <w:rPr>
          <w:rStyle w:val="TextoNormalNegritaCaracter"/>
        </w:rPr>
        <w:t>Artículo 6.2.A.7.</w:t>
      </w:r>
      <w:r w:rsidRPr="001D7FA9">
        <w:rPr>
          <w:rStyle w:val="TextoNormalCaracter"/>
        </w:rPr>
        <w:t>-</w:t>
      </w:r>
      <w:r>
        <w:t xml:space="preserve"> Sentencia </w:t>
      </w:r>
      <w:hyperlink w:anchor="SENTENCIA_2025_95" w:history="1">
        <w:r w:rsidRPr="001D7FA9">
          <w:rPr>
            <w:rStyle w:val="TextoNormalCaracter"/>
          </w:rPr>
          <w:t>95/2025</w:t>
        </w:r>
      </w:hyperlink>
      <w:r>
        <w:t>, f. 3.</w:t>
      </w:r>
    </w:p>
    <w:p w14:paraId="011D7E91" w14:textId="06428F98" w:rsidR="001D7FA9" w:rsidRDefault="001D7FA9" w:rsidP="001D7FA9">
      <w:pPr>
        <w:pStyle w:val="SangriaFrancesaArticulo"/>
      </w:pPr>
      <w:r w:rsidRPr="001D7FA9">
        <w:rPr>
          <w:rStyle w:val="TextoNormalNegritaCaracter"/>
        </w:rPr>
        <w:t>Artículo 6.2.B.2.</w:t>
      </w:r>
      <w:r w:rsidRPr="001D7FA9">
        <w:rPr>
          <w:rStyle w:val="TextoNormalCaracter"/>
        </w:rPr>
        <w:t>-</w:t>
      </w:r>
      <w:r>
        <w:t xml:space="preserve"> Sentencia </w:t>
      </w:r>
      <w:hyperlink w:anchor="SENTENCIA_2025_95" w:history="1">
        <w:r w:rsidRPr="001D7FA9">
          <w:rPr>
            <w:rStyle w:val="TextoNormalCaracter"/>
          </w:rPr>
          <w:t>95/2025</w:t>
        </w:r>
      </w:hyperlink>
      <w:r>
        <w:t>, f. 3.</w:t>
      </w:r>
    </w:p>
    <w:p w14:paraId="740B27D1" w14:textId="6B03854B" w:rsidR="001D7FA9" w:rsidRDefault="001D7FA9" w:rsidP="001D7FA9">
      <w:pPr>
        <w:pStyle w:val="SangriaFrancesaArticulo"/>
      </w:pPr>
    </w:p>
    <w:p w14:paraId="375AC719" w14:textId="77777777" w:rsidR="001D7FA9" w:rsidRDefault="001D7FA9" w:rsidP="001D7FA9">
      <w:pPr>
        <w:pStyle w:val="TextoNormalNegritaCursivandice"/>
        <w:keepNext/>
      </w:pPr>
      <w:r>
        <w:t>Comunidad Autónoma de Canarias. Decreto-ley 11/2021, de 2 de septiembre, por el que se establece el régimen jurídico de alerta sanitaria y las medidas para el control y gestión de la pandemia de COVID-19 en Canarias</w:t>
      </w:r>
    </w:p>
    <w:p w14:paraId="63F97E1F" w14:textId="62922F0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95" w:history="1">
        <w:r w:rsidRPr="001D7FA9">
          <w:rPr>
            <w:rStyle w:val="TextoNormalCaracter"/>
          </w:rPr>
          <w:t>95/2025</w:t>
        </w:r>
      </w:hyperlink>
      <w:r>
        <w:t xml:space="preserve">, ff. 1 a 4; </w:t>
      </w:r>
      <w:hyperlink w:anchor="SENTENCIA_2025_133" w:history="1">
        <w:r w:rsidRPr="001D7FA9">
          <w:rPr>
            <w:rStyle w:val="TextoNormalCaracter"/>
          </w:rPr>
          <w:t>133/2025</w:t>
        </w:r>
      </w:hyperlink>
      <w:r>
        <w:t>, f. 2.</w:t>
      </w:r>
    </w:p>
    <w:p w14:paraId="2F799EAE" w14:textId="275D660C"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95" w:history="1">
        <w:r w:rsidRPr="001D7FA9">
          <w:rPr>
            <w:rStyle w:val="TextoNormalCaracter"/>
          </w:rPr>
          <w:t>95/2025</w:t>
        </w:r>
      </w:hyperlink>
      <w:r>
        <w:t>, f. 2.</w:t>
      </w:r>
    </w:p>
    <w:p w14:paraId="055CAFFE" w14:textId="1F0A9ECE"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75517AB0" w14:textId="3C05989F"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72BBE655" w14:textId="2C6AF593"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4212F18A" w14:textId="6BDEBA06" w:rsidR="001D7FA9" w:rsidRDefault="001D7FA9" w:rsidP="001D7FA9">
      <w:pPr>
        <w:pStyle w:val="SangriaFrancesaArticulo"/>
      </w:pPr>
      <w:r w:rsidRPr="001D7FA9">
        <w:rPr>
          <w:rStyle w:val="TextoNormalNegritaCaracter"/>
        </w:rPr>
        <w:t>Artículo 5.2.</w:t>
      </w:r>
      <w:r w:rsidRPr="001D7FA9">
        <w:rPr>
          <w:rStyle w:val="TextoNormalCaracter"/>
        </w:rPr>
        <w:t>-</w:t>
      </w:r>
      <w:r>
        <w:t xml:space="preserve"> Sentencia </w:t>
      </w:r>
      <w:hyperlink w:anchor="SENTENCIA_2025_95" w:history="1">
        <w:r w:rsidRPr="001D7FA9">
          <w:rPr>
            <w:rStyle w:val="TextoNormalCaracter"/>
          </w:rPr>
          <w:t>95/2025</w:t>
        </w:r>
      </w:hyperlink>
      <w:r>
        <w:t>, f. 2.</w:t>
      </w:r>
    </w:p>
    <w:p w14:paraId="280D9C1E" w14:textId="4E83AE87"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 </w:t>
      </w:r>
      <w:hyperlink w:anchor="SENTENCIA_2025_95" w:history="1">
        <w:r w:rsidRPr="001D7FA9">
          <w:rPr>
            <w:rStyle w:val="TextoNormalCaracter"/>
          </w:rPr>
          <w:t>95/2025</w:t>
        </w:r>
      </w:hyperlink>
      <w:r>
        <w:t>, f. 3.</w:t>
      </w:r>
    </w:p>
    <w:p w14:paraId="7D33B43E" w14:textId="150BEAF8" w:rsidR="001D7FA9" w:rsidRDefault="001D7FA9" w:rsidP="001D7FA9">
      <w:pPr>
        <w:pStyle w:val="SangriaFrancesaArticulo"/>
      </w:pPr>
      <w:r w:rsidRPr="001D7FA9">
        <w:rPr>
          <w:rStyle w:val="TextoNormalNegritaCaracter"/>
        </w:rPr>
        <w:t>Artículo 6.1 inciso "incluyendo el cumplimiento del aislamiento o cuarentena prescritos por un profesional sanitario".</w:t>
      </w:r>
      <w:r w:rsidRPr="001D7FA9">
        <w:rPr>
          <w:rStyle w:val="TextoNormalCaracter"/>
        </w:rPr>
        <w:t>-</w:t>
      </w:r>
      <w:r>
        <w:t xml:space="preserve"> Sentencia </w:t>
      </w:r>
      <w:hyperlink w:anchor="SENTENCIA_2025_95" w:history="1">
        <w:r w:rsidRPr="001D7FA9">
          <w:rPr>
            <w:rStyle w:val="TextoNormalCaracter"/>
          </w:rPr>
          <w:t>95/2025</w:t>
        </w:r>
      </w:hyperlink>
      <w:r>
        <w:t>, f. 3.</w:t>
      </w:r>
    </w:p>
    <w:p w14:paraId="1634AA49" w14:textId="1E859EC1" w:rsidR="001D7FA9" w:rsidRDefault="001D7FA9" w:rsidP="001D7FA9">
      <w:pPr>
        <w:pStyle w:val="SangriaFrancesaArticulo"/>
      </w:pPr>
      <w:r w:rsidRPr="001D7FA9">
        <w:rPr>
          <w:rStyle w:val="TextoNormalNegritaCaracter"/>
        </w:rPr>
        <w:t>Artículo 6.2.</w:t>
      </w:r>
      <w:r w:rsidRPr="001D7FA9">
        <w:rPr>
          <w:rStyle w:val="TextoNormalCaracter"/>
        </w:rPr>
        <w:t>-</w:t>
      </w:r>
      <w:r>
        <w:t xml:space="preserve"> Sentencia </w:t>
      </w:r>
      <w:hyperlink w:anchor="SENTENCIA_2025_95" w:history="1">
        <w:r w:rsidRPr="001D7FA9">
          <w:rPr>
            <w:rStyle w:val="TextoNormalCaracter"/>
          </w:rPr>
          <w:t>95/2025</w:t>
        </w:r>
      </w:hyperlink>
      <w:r>
        <w:t>, f. 3.</w:t>
      </w:r>
    </w:p>
    <w:p w14:paraId="648396D9" w14:textId="54B57A6A" w:rsidR="001D7FA9" w:rsidRDefault="001D7FA9" w:rsidP="001D7FA9">
      <w:pPr>
        <w:pStyle w:val="SangriaFrancesaArticulo"/>
      </w:pPr>
      <w:r w:rsidRPr="001D7FA9">
        <w:rPr>
          <w:rStyle w:val="TextoNormalNegritaCaracter"/>
        </w:rPr>
        <w:t>Artículo 6.2 inciso "permanecerá en su domicilio".</w:t>
      </w:r>
      <w:r w:rsidRPr="001D7FA9">
        <w:rPr>
          <w:rStyle w:val="TextoNormalCaracter"/>
        </w:rPr>
        <w:t>-</w:t>
      </w:r>
      <w:r>
        <w:t xml:space="preserve"> Sentencia </w:t>
      </w:r>
      <w:hyperlink w:anchor="SENTENCIA_2025_95" w:history="1">
        <w:r w:rsidRPr="001D7FA9">
          <w:rPr>
            <w:rStyle w:val="TextoNormalCaracter"/>
          </w:rPr>
          <w:t>95/2025</w:t>
        </w:r>
      </w:hyperlink>
      <w:r>
        <w:t>, f. 3.</w:t>
      </w:r>
    </w:p>
    <w:p w14:paraId="153309C2" w14:textId="229F4AC4" w:rsidR="001D7FA9" w:rsidRDefault="001D7FA9" w:rsidP="001D7FA9">
      <w:pPr>
        <w:pStyle w:val="SangriaFrancesaArticulo"/>
      </w:pPr>
      <w:r w:rsidRPr="001D7FA9">
        <w:rPr>
          <w:rStyle w:val="TextoNormalNegritaCaracter"/>
        </w:rPr>
        <w:t>Artículo 7.4.</w:t>
      </w:r>
      <w:r w:rsidRPr="001D7FA9">
        <w:rPr>
          <w:rStyle w:val="TextoNormalCaracter"/>
        </w:rPr>
        <w:t>-</w:t>
      </w:r>
      <w:r>
        <w:t xml:space="preserve"> Sentencia </w:t>
      </w:r>
      <w:hyperlink w:anchor="SENTENCIA_2025_95" w:history="1">
        <w:r w:rsidRPr="001D7FA9">
          <w:rPr>
            <w:rStyle w:val="TextoNormalCaracter"/>
          </w:rPr>
          <w:t>95/2025</w:t>
        </w:r>
      </w:hyperlink>
      <w:r>
        <w:t>, f. 2.</w:t>
      </w:r>
    </w:p>
    <w:p w14:paraId="6F581B83" w14:textId="2772D2C4"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13F06BF6" w14:textId="29B9A09E" w:rsidR="001D7FA9" w:rsidRDefault="001D7FA9" w:rsidP="001D7FA9">
      <w:pPr>
        <w:pStyle w:val="SangriaFrancesaArticulo"/>
      </w:pPr>
      <w:r w:rsidRPr="001D7FA9">
        <w:rPr>
          <w:rStyle w:val="TextoNormalNegritaCaracter"/>
        </w:rPr>
        <w:t>Artículo 9.1.</w:t>
      </w:r>
      <w:r w:rsidRPr="001D7FA9">
        <w:rPr>
          <w:rStyle w:val="TextoNormalCaracter"/>
        </w:rPr>
        <w:t>-</w:t>
      </w:r>
      <w:r>
        <w:t xml:space="preserve"> Sentencia </w:t>
      </w:r>
      <w:hyperlink w:anchor="SENTENCIA_2025_95" w:history="1">
        <w:r w:rsidRPr="001D7FA9">
          <w:rPr>
            <w:rStyle w:val="TextoNormalCaracter"/>
          </w:rPr>
          <w:t>95/2025</w:t>
        </w:r>
      </w:hyperlink>
      <w:r>
        <w:t>, f. 2.</w:t>
      </w:r>
    </w:p>
    <w:p w14:paraId="7F01213A" w14:textId="30937A64"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53D9D384" w14:textId="40571FF3"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732448B2" w14:textId="571CA613"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95" w:history="1">
        <w:r w:rsidRPr="001D7FA9">
          <w:rPr>
            <w:rStyle w:val="TextoNormalCaracter"/>
          </w:rPr>
          <w:t>95/2025</w:t>
        </w:r>
      </w:hyperlink>
      <w:r>
        <w:t>, f. 3.</w:t>
      </w:r>
    </w:p>
    <w:p w14:paraId="1AD07006" w14:textId="3C2640CB"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95" w:history="1">
        <w:r w:rsidRPr="001D7FA9">
          <w:rPr>
            <w:rStyle w:val="TextoNormalCaracter"/>
          </w:rPr>
          <w:t>95/2025</w:t>
        </w:r>
      </w:hyperlink>
      <w:r>
        <w:t>, f. 3.</w:t>
      </w:r>
    </w:p>
    <w:p w14:paraId="2E2EB8FD" w14:textId="116CFBF9" w:rsidR="001D7FA9" w:rsidRDefault="001D7FA9" w:rsidP="001D7FA9">
      <w:pPr>
        <w:pStyle w:val="SangriaFrancesaArticulo"/>
      </w:pPr>
      <w:r w:rsidRPr="001D7FA9">
        <w:rPr>
          <w:rStyle w:val="TextoNormalNegritaCaracter"/>
        </w:rPr>
        <w:t>Artículo 12.1 a).</w:t>
      </w:r>
      <w:r w:rsidRPr="001D7FA9">
        <w:rPr>
          <w:rStyle w:val="TextoNormalCaracter"/>
        </w:rPr>
        <w:t>-</w:t>
      </w:r>
      <w:r>
        <w:t xml:space="preserve"> Sentencia </w:t>
      </w:r>
      <w:hyperlink w:anchor="SENTENCIA_2025_95" w:history="1">
        <w:r w:rsidRPr="001D7FA9">
          <w:rPr>
            <w:rStyle w:val="TextoNormalCaracter"/>
          </w:rPr>
          <w:t>95/2025</w:t>
        </w:r>
      </w:hyperlink>
      <w:r>
        <w:t>, f. 3.</w:t>
      </w:r>
    </w:p>
    <w:p w14:paraId="168C552F" w14:textId="4A8211BD" w:rsidR="001D7FA9" w:rsidRDefault="001D7FA9" w:rsidP="001D7FA9">
      <w:pPr>
        <w:pStyle w:val="SangriaFrancesaArticulo"/>
      </w:pPr>
      <w:r w:rsidRPr="001D7FA9">
        <w:rPr>
          <w:rStyle w:val="TextoNormalNegritaCaracter"/>
        </w:rPr>
        <w:t>Artículo 12.1 b).</w:t>
      </w:r>
      <w:r w:rsidRPr="001D7FA9">
        <w:rPr>
          <w:rStyle w:val="TextoNormalCaracter"/>
        </w:rPr>
        <w:t>-</w:t>
      </w:r>
      <w:r>
        <w:t xml:space="preserve"> Sentencia </w:t>
      </w:r>
      <w:hyperlink w:anchor="SENTENCIA_2025_95" w:history="1">
        <w:r w:rsidRPr="001D7FA9">
          <w:rPr>
            <w:rStyle w:val="TextoNormalCaracter"/>
          </w:rPr>
          <w:t>95/2025</w:t>
        </w:r>
      </w:hyperlink>
      <w:r>
        <w:t>, f. 3.</w:t>
      </w:r>
    </w:p>
    <w:p w14:paraId="2E40AE62" w14:textId="5BEA66B8"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95" w:history="1">
        <w:r w:rsidRPr="001D7FA9">
          <w:rPr>
            <w:rStyle w:val="TextoNormalCaracter"/>
          </w:rPr>
          <w:t>95/2025</w:t>
        </w:r>
      </w:hyperlink>
      <w:r>
        <w:t>, f. 3.</w:t>
      </w:r>
    </w:p>
    <w:p w14:paraId="2E310667" w14:textId="5ACBC194" w:rsidR="001D7FA9" w:rsidRDefault="001D7FA9" w:rsidP="001D7FA9">
      <w:pPr>
        <w:pStyle w:val="SangriaFrancesaArticulo"/>
      </w:pPr>
      <w:r w:rsidRPr="001D7FA9">
        <w:rPr>
          <w:rStyle w:val="TextoNormalNegritaCaracter"/>
        </w:rPr>
        <w:t>Artículo 12.3.</w:t>
      </w:r>
      <w:r w:rsidRPr="001D7FA9">
        <w:rPr>
          <w:rStyle w:val="TextoNormalCaracter"/>
        </w:rPr>
        <w:t>-</w:t>
      </w:r>
      <w:r>
        <w:t xml:space="preserve"> Sentencia </w:t>
      </w:r>
      <w:hyperlink w:anchor="SENTENCIA_2025_95" w:history="1">
        <w:r w:rsidRPr="001D7FA9">
          <w:rPr>
            <w:rStyle w:val="TextoNormalCaracter"/>
          </w:rPr>
          <w:t>95/2025</w:t>
        </w:r>
      </w:hyperlink>
      <w:r>
        <w:t>, f. 3.</w:t>
      </w:r>
    </w:p>
    <w:p w14:paraId="1120D2CC" w14:textId="13C42A03" w:rsidR="001D7FA9" w:rsidRDefault="001D7FA9" w:rsidP="001D7FA9">
      <w:pPr>
        <w:pStyle w:val="SangriaFrancesaArticulo"/>
      </w:pPr>
      <w:r w:rsidRPr="001D7FA9">
        <w:rPr>
          <w:rStyle w:val="TextoNormalNegritaCaracter"/>
        </w:rPr>
        <w:t>Artículo 12.4.</w:t>
      </w:r>
      <w:r w:rsidRPr="001D7FA9">
        <w:rPr>
          <w:rStyle w:val="TextoNormalCaracter"/>
        </w:rPr>
        <w:t>-</w:t>
      </w:r>
      <w:r>
        <w:t xml:space="preserve"> Sentencia </w:t>
      </w:r>
      <w:hyperlink w:anchor="SENTENCIA_2025_95" w:history="1">
        <w:r w:rsidRPr="001D7FA9">
          <w:rPr>
            <w:rStyle w:val="TextoNormalCaracter"/>
          </w:rPr>
          <w:t>95/2025</w:t>
        </w:r>
      </w:hyperlink>
      <w:r>
        <w:t>, f. 3.</w:t>
      </w:r>
    </w:p>
    <w:p w14:paraId="0C6BDEA3" w14:textId="6B9F6DDD" w:rsidR="001D7FA9" w:rsidRDefault="001D7FA9" w:rsidP="001D7FA9">
      <w:pPr>
        <w:pStyle w:val="SangriaFrancesaArticulo"/>
      </w:pPr>
      <w:r w:rsidRPr="001D7FA9">
        <w:rPr>
          <w:rStyle w:val="TextoNormalNegritaCaracter"/>
        </w:rPr>
        <w:t>Artículo 12.5.</w:t>
      </w:r>
      <w:r w:rsidRPr="001D7FA9">
        <w:rPr>
          <w:rStyle w:val="TextoNormalCaracter"/>
        </w:rPr>
        <w:t>-</w:t>
      </w:r>
      <w:r>
        <w:t xml:space="preserve"> Sentencia </w:t>
      </w:r>
      <w:hyperlink w:anchor="SENTENCIA_2025_95" w:history="1">
        <w:r w:rsidRPr="001D7FA9">
          <w:rPr>
            <w:rStyle w:val="TextoNormalCaracter"/>
          </w:rPr>
          <w:t>95/2025</w:t>
        </w:r>
      </w:hyperlink>
      <w:r>
        <w:t>, f. 3.</w:t>
      </w:r>
    </w:p>
    <w:p w14:paraId="79F9BBFF" w14:textId="097B6CAA" w:rsidR="001D7FA9" w:rsidRDefault="001D7FA9" w:rsidP="001D7FA9">
      <w:pPr>
        <w:pStyle w:val="SangriaFrancesaArticulo"/>
      </w:pPr>
      <w:r w:rsidRPr="001D7FA9">
        <w:rPr>
          <w:rStyle w:val="TextoNormalNegritaCaracter"/>
        </w:rPr>
        <w:t>Artículo 12.6.</w:t>
      </w:r>
      <w:r w:rsidRPr="001D7FA9">
        <w:rPr>
          <w:rStyle w:val="TextoNormalCaracter"/>
        </w:rPr>
        <w:t>-</w:t>
      </w:r>
      <w:r>
        <w:t xml:space="preserve"> Sentencia </w:t>
      </w:r>
      <w:hyperlink w:anchor="SENTENCIA_2025_95" w:history="1">
        <w:r w:rsidRPr="001D7FA9">
          <w:rPr>
            <w:rStyle w:val="TextoNormalCaracter"/>
          </w:rPr>
          <w:t>95/2025</w:t>
        </w:r>
      </w:hyperlink>
      <w:r>
        <w:t>, f. 3.</w:t>
      </w:r>
    </w:p>
    <w:p w14:paraId="55A1447B" w14:textId="6DA7E976" w:rsidR="001D7FA9" w:rsidRDefault="001D7FA9" w:rsidP="001D7FA9">
      <w:pPr>
        <w:pStyle w:val="SangriaFrancesaArticulo"/>
      </w:pPr>
      <w:r w:rsidRPr="001D7FA9">
        <w:rPr>
          <w:rStyle w:val="TextoNormalNegritaCaracter"/>
        </w:rPr>
        <w:t>Artículo 12.7.</w:t>
      </w:r>
      <w:r w:rsidRPr="001D7FA9">
        <w:rPr>
          <w:rStyle w:val="TextoNormalCaracter"/>
        </w:rPr>
        <w:t>-</w:t>
      </w:r>
      <w:r>
        <w:t xml:space="preserve"> Sentencia </w:t>
      </w:r>
      <w:hyperlink w:anchor="SENTENCIA_2025_95" w:history="1">
        <w:r w:rsidRPr="001D7FA9">
          <w:rPr>
            <w:rStyle w:val="TextoNormalCaracter"/>
          </w:rPr>
          <w:t>95/2025</w:t>
        </w:r>
      </w:hyperlink>
      <w:r>
        <w:t>, f. 3.</w:t>
      </w:r>
    </w:p>
    <w:p w14:paraId="467CC4C1" w14:textId="539B8F66"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7B84069E" w14:textId="4ED13769"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 </w:t>
      </w:r>
      <w:hyperlink w:anchor="SENTENCIA_2025_95" w:history="1">
        <w:r w:rsidRPr="001D7FA9">
          <w:rPr>
            <w:rStyle w:val="TextoNormalCaracter"/>
          </w:rPr>
          <w:t>95/2025</w:t>
        </w:r>
      </w:hyperlink>
      <w:r>
        <w:t>, ff. 1 a 3.</w:t>
      </w:r>
    </w:p>
    <w:p w14:paraId="32E10267" w14:textId="6205A144" w:rsidR="001D7FA9" w:rsidRDefault="001D7FA9" w:rsidP="001D7FA9">
      <w:pPr>
        <w:pStyle w:val="SangriaFrancesaArticulo"/>
      </w:pPr>
      <w:r w:rsidRPr="001D7FA9">
        <w:rPr>
          <w:rStyle w:val="TextoNormalNegritaCaracter"/>
        </w:rPr>
        <w:t>Artículo 14.2.</w:t>
      </w:r>
      <w:r w:rsidRPr="001D7FA9">
        <w:rPr>
          <w:rStyle w:val="TextoNormalCaracter"/>
        </w:rPr>
        <w:t>-</w:t>
      </w:r>
      <w:r>
        <w:t xml:space="preserve"> Sentencia </w:t>
      </w:r>
      <w:hyperlink w:anchor="SENTENCIA_2025_95" w:history="1">
        <w:r w:rsidRPr="001D7FA9">
          <w:rPr>
            <w:rStyle w:val="TextoNormalCaracter"/>
          </w:rPr>
          <w:t>95/2025</w:t>
        </w:r>
      </w:hyperlink>
      <w:r>
        <w:t>, ff . 2, 3.</w:t>
      </w:r>
    </w:p>
    <w:p w14:paraId="2BE3DAA5" w14:textId="55B17341" w:rsidR="001D7FA9" w:rsidRDefault="001D7FA9" w:rsidP="001D7FA9">
      <w:pPr>
        <w:pStyle w:val="SangriaFrancesaArticulo"/>
      </w:pPr>
      <w:r w:rsidRPr="001D7FA9">
        <w:rPr>
          <w:rStyle w:val="TextoNormalNegritaCaracter"/>
        </w:rPr>
        <w:t>Artículo 14.2 párrafo 1.</w:t>
      </w:r>
      <w:r w:rsidRPr="001D7FA9">
        <w:rPr>
          <w:rStyle w:val="TextoNormalCaracter"/>
        </w:rPr>
        <w:t>-</w:t>
      </w:r>
      <w:r>
        <w:t xml:space="preserve"> Sentencia </w:t>
      </w:r>
      <w:hyperlink w:anchor="SENTENCIA_2025_95" w:history="1">
        <w:r w:rsidRPr="001D7FA9">
          <w:rPr>
            <w:rStyle w:val="TextoNormalCaracter"/>
          </w:rPr>
          <w:t>95/2025</w:t>
        </w:r>
      </w:hyperlink>
      <w:r>
        <w:t>, f. 3.</w:t>
      </w:r>
    </w:p>
    <w:p w14:paraId="2FD13652" w14:textId="7D383D9A" w:rsidR="001D7FA9" w:rsidRDefault="001D7FA9" w:rsidP="001D7FA9">
      <w:pPr>
        <w:pStyle w:val="SangriaFrancesaArticulo"/>
      </w:pPr>
      <w:r w:rsidRPr="001D7FA9">
        <w:rPr>
          <w:rStyle w:val="TextoNormalNegritaCaracter"/>
        </w:rPr>
        <w:t>Artículo 14.2 párrafo 2.</w:t>
      </w:r>
      <w:r w:rsidRPr="001D7FA9">
        <w:rPr>
          <w:rStyle w:val="TextoNormalCaracter"/>
        </w:rPr>
        <w:t>-</w:t>
      </w:r>
      <w:r>
        <w:t xml:space="preserve"> Sentencia </w:t>
      </w:r>
      <w:hyperlink w:anchor="SENTENCIA_2025_95" w:history="1">
        <w:r w:rsidRPr="001D7FA9">
          <w:rPr>
            <w:rStyle w:val="TextoNormalCaracter"/>
          </w:rPr>
          <w:t>95/2025</w:t>
        </w:r>
      </w:hyperlink>
      <w:r>
        <w:t>, ff. 2, 3.</w:t>
      </w:r>
    </w:p>
    <w:p w14:paraId="404CE57B" w14:textId="18C47EB2" w:rsidR="001D7FA9" w:rsidRDefault="001D7FA9" w:rsidP="001D7FA9">
      <w:pPr>
        <w:pStyle w:val="SangriaFrancesaArticulo"/>
      </w:pPr>
      <w:r w:rsidRPr="001D7FA9">
        <w:rPr>
          <w:rStyle w:val="TextoNormalNegritaCaracter"/>
        </w:rPr>
        <w:t>Artículo 14.2 párrafo 3.</w:t>
      </w:r>
      <w:r w:rsidRPr="001D7FA9">
        <w:rPr>
          <w:rStyle w:val="TextoNormalCaracter"/>
        </w:rPr>
        <w:t>-</w:t>
      </w:r>
      <w:r>
        <w:t xml:space="preserve"> Sentencia </w:t>
      </w:r>
      <w:hyperlink w:anchor="SENTENCIA_2025_95" w:history="1">
        <w:r w:rsidRPr="001D7FA9">
          <w:rPr>
            <w:rStyle w:val="TextoNormalCaracter"/>
          </w:rPr>
          <w:t>95/2025</w:t>
        </w:r>
      </w:hyperlink>
      <w:r>
        <w:t>, ff. 2, 3.</w:t>
      </w:r>
    </w:p>
    <w:p w14:paraId="67544623" w14:textId="6107A089" w:rsidR="001D7FA9" w:rsidRDefault="001D7FA9" w:rsidP="001D7FA9">
      <w:pPr>
        <w:pStyle w:val="SangriaFrancesaArticulo"/>
      </w:pPr>
      <w:r w:rsidRPr="001D7FA9">
        <w:rPr>
          <w:rStyle w:val="TextoNormalNegritaCaracter"/>
        </w:rPr>
        <w:t>Artículo 14.3.</w:t>
      </w:r>
      <w:r w:rsidRPr="001D7FA9">
        <w:rPr>
          <w:rStyle w:val="TextoNormalCaracter"/>
        </w:rPr>
        <w:t>-</w:t>
      </w:r>
      <w:r>
        <w:t xml:space="preserve"> Sentencia </w:t>
      </w:r>
      <w:hyperlink w:anchor="SENTENCIA_2025_95" w:history="1">
        <w:r w:rsidRPr="001D7FA9">
          <w:rPr>
            <w:rStyle w:val="TextoNormalCaracter"/>
          </w:rPr>
          <w:t>95/2025</w:t>
        </w:r>
      </w:hyperlink>
      <w:r>
        <w:t>, f. 2.</w:t>
      </w:r>
    </w:p>
    <w:p w14:paraId="4566DFA1" w14:textId="4F2AAC2E"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 </w:t>
      </w:r>
      <w:hyperlink w:anchor="SENTENCIA_2025_95" w:history="1">
        <w:r w:rsidRPr="001D7FA9">
          <w:rPr>
            <w:rStyle w:val="TextoNormalCaracter"/>
          </w:rPr>
          <w:t>95/2025</w:t>
        </w:r>
      </w:hyperlink>
      <w:r>
        <w:t>, ff. 1 a 3.</w:t>
      </w:r>
    </w:p>
    <w:p w14:paraId="43BB68BE" w14:textId="51010C1D" w:rsidR="001D7FA9" w:rsidRDefault="001D7FA9" w:rsidP="001D7FA9">
      <w:pPr>
        <w:pStyle w:val="SangriaFrancesaArticulo"/>
      </w:pPr>
      <w:r w:rsidRPr="001D7FA9">
        <w:rPr>
          <w:rStyle w:val="TextoNormalNegritaCaracter"/>
        </w:rPr>
        <w:t>Artículo 15.7.</w:t>
      </w:r>
      <w:r w:rsidRPr="001D7FA9">
        <w:rPr>
          <w:rStyle w:val="TextoNormalCaracter"/>
        </w:rPr>
        <w:t>-</w:t>
      </w:r>
      <w:r>
        <w:t xml:space="preserve"> Sentencia </w:t>
      </w:r>
      <w:hyperlink w:anchor="SENTENCIA_2025_95" w:history="1">
        <w:r w:rsidRPr="001D7FA9">
          <w:rPr>
            <w:rStyle w:val="TextoNormalCaracter"/>
          </w:rPr>
          <w:t>95/2025</w:t>
        </w:r>
      </w:hyperlink>
      <w:r>
        <w:t>, ff. 2, 3.</w:t>
      </w:r>
    </w:p>
    <w:p w14:paraId="244F5FD4" w14:textId="6BEECE69" w:rsidR="001D7FA9" w:rsidRDefault="001D7FA9" w:rsidP="001D7FA9">
      <w:pPr>
        <w:pStyle w:val="SangriaFrancesaArticulo"/>
      </w:pPr>
      <w:r w:rsidRPr="001D7FA9">
        <w:rPr>
          <w:rStyle w:val="TextoNormalNegritaCaracter"/>
        </w:rPr>
        <w:t>Artículo 16.</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11068440" w14:textId="79BDA098" w:rsidR="001D7FA9" w:rsidRDefault="001D7FA9" w:rsidP="001D7FA9">
      <w:pPr>
        <w:pStyle w:val="SangriaFrancesaArticulo"/>
      </w:pPr>
      <w:r w:rsidRPr="001D7FA9">
        <w:rPr>
          <w:rStyle w:val="TextoNormalNegritaCaracter"/>
        </w:rPr>
        <w:t>Artículo 17.</w:t>
      </w:r>
      <w:r w:rsidRPr="001D7FA9">
        <w:rPr>
          <w:rStyle w:val="TextoNormalCaracter"/>
        </w:rPr>
        <w:t>-</w:t>
      </w:r>
      <w:r>
        <w:t xml:space="preserve"> Sentencia </w:t>
      </w:r>
      <w:hyperlink w:anchor="SENTENCIA_2025_95" w:history="1">
        <w:r w:rsidRPr="001D7FA9">
          <w:rPr>
            <w:rStyle w:val="TextoNormalCaracter"/>
          </w:rPr>
          <w:t>95/2025</w:t>
        </w:r>
      </w:hyperlink>
      <w:r>
        <w:t>, ff. 1 a 3.</w:t>
      </w:r>
    </w:p>
    <w:p w14:paraId="48238429" w14:textId="15A054D2" w:rsidR="001D7FA9" w:rsidRDefault="001D7FA9" w:rsidP="001D7FA9">
      <w:pPr>
        <w:pStyle w:val="SangriaFrancesaArticulo"/>
      </w:pPr>
      <w:r w:rsidRPr="001D7FA9">
        <w:rPr>
          <w:rStyle w:val="TextoNormalNegritaCaracter"/>
        </w:rPr>
        <w:t>Artículo 18.</w:t>
      </w:r>
      <w:r w:rsidRPr="001D7FA9">
        <w:rPr>
          <w:rStyle w:val="TextoNormalCaracter"/>
        </w:rPr>
        <w:t>-</w:t>
      </w:r>
      <w:r>
        <w:t xml:space="preserve"> Sentencia </w:t>
      </w:r>
      <w:hyperlink w:anchor="SENTENCIA_2025_95" w:history="1">
        <w:r w:rsidRPr="001D7FA9">
          <w:rPr>
            <w:rStyle w:val="TextoNormalCaracter"/>
          </w:rPr>
          <w:t>95/2025</w:t>
        </w:r>
      </w:hyperlink>
      <w:r>
        <w:t>, ff. 1 a 3.</w:t>
      </w:r>
    </w:p>
    <w:p w14:paraId="58689B6C" w14:textId="2C1A3EF8" w:rsidR="001D7FA9" w:rsidRDefault="001D7FA9" w:rsidP="001D7FA9">
      <w:pPr>
        <w:pStyle w:val="SangriaFrancesaArticulo"/>
      </w:pPr>
      <w:r w:rsidRPr="001D7FA9">
        <w:rPr>
          <w:rStyle w:val="TextoNormalNegritaCaracter"/>
        </w:rPr>
        <w:t>Artículo 18.3.</w:t>
      </w:r>
      <w:r w:rsidRPr="001D7FA9">
        <w:rPr>
          <w:rStyle w:val="TextoNormalCaracter"/>
        </w:rPr>
        <w:t>-</w:t>
      </w:r>
      <w:r>
        <w:t xml:space="preserve"> Sentencia </w:t>
      </w:r>
      <w:hyperlink w:anchor="SENTENCIA_2025_95" w:history="1">
        <w:r w:rsidRPr="001D7FA9">
          <w:rPr>
            <w:rStyle w:val="TextoNormalCaracter"/>
          </w:rPr>
          <w:t>95/2025</w:t>
        </w:r>
      </w:hyperlink>
      <w:r>
        <w:t>, f. 3.</w:t>
      </w:r>
    </w:p>
    <w:p w14:paraId="11FA4B56" w14:textId="283767B0"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 </w:t>
      </w:r>
      <w:hyperlink w:anchor="SENTENCIA_2025_95" w:history="1">
        <w:r w:rsidRPr="001D7FA9">
          <w:rPr>
            <w:rStyle w:val="TextoNormalCaracter"/>
          </w:rPr>
          <w:t>95/2025</w:t>
        </w:r>
      </w:hyperlink>
      <w:r>
        <w:t>, ff. 2, 3.</w:t>
      </w:r>
    </w:p>
    <w:p w14:paraId="53B5924E" w14:textId="73E343ED" w:rsidR="001D7FA9" w:rsidRDefault="001D7FA9" w:rsidP="001D7FA9">
      <w:pPr>
        <w:pStyle w:val="SangriaFrancesaArticulo"/>
      </w:pPr>
      <w:r w:rsidRPr="001D7FA9">
        <w:rPr>
          <w:rStyle w:val="TextoNormalNegritaCaracter"/>
        </w:rPr>
        <w:t>Artículo 19.3.</w:t>
      </w:r>
      <w:r w:rsidRPr="001D7FA9">
        <w:rPr>
          <w:rStyle w:val="TextoNormalCaracter"/>
        </w:rPr>
        <w:t>-</w:t>
      </w:r>
      <w:r>
        <w:t xml:space="preserve"> Sentencia </w:t>
      </w:r>
      <w:hyperlink w:anchor="SENTENCIA_2025_95" w:history="1">
        <w:r w:rsidRPr="001D7FA9">
          <w:rPr>
            <w:rStyle w:val="TextoNormalCaracter"/>
          </w:rPr>
          <w:t>95/2025</w:t>
        </w:r>
      </w:hyperlink>
      <w:r>
        <w:t>, f. 2.</w:t>
      </w:r>
    </w:p>
    <w:p w14:paraId="1350CEBF" w14:textId="319F78F8" w:rsidR="001D7FA9" w:rsidRDefault="001D7FA9" w:rsidP="001D7FA9">
      <w:pPr>
        <w:pStyle w:val="SangriaFrancesaArticulo"/>
      </w:pPr>
      <w:r w:rsidRPr="001D7FA9">
        <w:rPr>
          <w:rStyle w:val="TextoNormalNegritaCaracter"/>
        </w:rPr>
        <w:t>Artículo 19.4.</w:t>
      </w:r>
      <w:r w:rsidRPr="001D7FA9">
        <w:rPr>
          <w:rStyle w:val="TextoNormalCaracter"/>
        </w:rPr>
        <w:t>-</w:t>
      </w:r>
      <w:r>
        <w:t xml:space="preserve"> Sentencia </w:t>
      </w:r>
      <w:hyperlink w:anchor="SENTENCIA_2025_95" w:history="1">
        <w:r w:rsidRPr="001D7FA9">
          <w:rPr>
            <w:rStyle w:val="TextoNormalCaracter"/>
          </w:rPr>
          <w:t>95/2025</w:t>
        </w:r>
      </w:hyperlink>
      <w:r>
        <w:t>, f. 2.</w:t>
      </w:r>
    </w:p>
    <w:p w14:paraId="3E32D36F" w14:textId="37E5D343" w:rsidR="001D7FA9" w:rsidRDefault="001D7FA9" w:rsidP="001D7FA9">
      <w:pPr>
        <w:pStyle w:val="SangriaFrancesaArticulo"/>
      </w:pPr>
      <w:r w:rsidRPr="001D7FA9">
        <w:rPr>
          <w:rStyle w:val="TextoNormalNegritaCaracter"/>
        </w:rPr>
        <w:t>Artículo 20.</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00E4EC68" w14:textId="2B8DA56A"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Sentencia </w:t>
      </w:r>
      <w:hyperlink w:anchor="SENTENCIA_2025_95" w:history="1">
        <w:r w:rsidRPr="001D7FA9">
          <w:rPr>
            <w:rStyle w:val="TextoNormalCaracter"/>
          </w:rPr>
          <w:t>95/2025</w:t>
        </w:r>
      </w:hyperlink>
      <w:r>
        <w:t>, f. 3.</w:t>
      </w:r>
    </w:p>
    <w:p w14:paraId="52AB3D87" w14:textId="103741D9" w:rsidR="001D7FA9" w:rsidRDefault="001D7FA9" w:rsidP="001D7FA9">
      <w:pPr>
        <w:pStyle w:val="SangriaFrancesaArticulo"/>
      </w:pPr>
      <w:r w:rsidRPr="001D7FA9">
        <w:rPr>
          <w:rStyle w:val="TextoNormalNegritaCaracter"/>
        </w:rPr>
        <w:t>Artículo 21.3.</w:t>
      </w:r>
      <w:r w:rsidRPr="001D7FA9">
        <w:rPr>
          <w:rStyle w:val="TextoNormalCaracter"/>
        </w:rPr>
        <w:t>-</w:t>
      </w:r>
      <w:r>
        <w:t xml:space="preserve"> Sentencia </w:t>
      </w:r>
      <w:hyperlink w:anchor="SENTENCIA_2025_95" w:history="1">
        <w:r w:rsidRPr="001D7FA9">
          <w:rPr>
            <w:rStyle w:val="TextoNormalCaracter"/>
          </w:rPr>
          <w:t>95/2025</w:t>
        </w:r>
      </w:hyperlink>
      <w:r>
        <w:t>, f. 2.</w:t>
      </w:r>
    </w:p>
    <w:p w14:paraId="4A5E843A" w14:textId="1CBE453A" w:rsidR="001D7FA9" w:rsidRDefault="001D7FA9" w:rsidP="001D7FA9">
      <w:pPr>
        <w:pStyle w:val="SangriaFrancesaArticulo"/>
      </w:pPr>
      <w:r w:rsidRPr="001D7FA9">
        <w:rPr>
          <w:rStyle w:val="TextoNormalNegritaCaracter"/>
        </w:rPr>
        <w:t>Artículo 22.1.</w:t>
      </w:r>
      <w:r w:rsidRPr="001D7FA9">
        <w:rPr>
          <w:rStyle w:val="TextoNormalCaracter"/>
        </w:rPr>
        <w:t>-</w:t>
      </w:r>
      <w:r>
        <w:t xml:space="preserve"> Sentencia </w:t>
      </w:r>
      <w:hyperlink w:anchor="SENTENCIA_2025_95" w:history="1">
        <w:r w:rsidRPr="001D7FA9">
          <w:rPr>
            <w:rStyle w:val="TextoNormalCaracter"/>
          </w:rPr>
          <w:t>95/2025</w:t>
        </w:r>
      </w:hyperlink>
      <w:r>
        <w:t>, f. 4.</w:t>
      </w:r>
    </w:p>
    <w:p w14:paraId="78DFA35A" w14:textId="157996CD" w:rsidR="001D7FA9" w:rsidRDefault="001D7FA9" w:rsidP="001D7FA9">
      <w:pPr>
        <w:pStyle w:val="SangriaFrancesaArticulo"/>
      </w:pPr>
      <w:r w:rsidRPr="001D7FA9">
        <w:rPr>
          <w:rStyle w:val="TextoNormalNegritaCaracter"/>
        </w:rPr>
        <w:t>Artículo 22.2.</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698EDD20" w14:textId="721F3759" w:rsidR="001D7FA9" w:rsidRDefault="001D7FA9" w:rsidP="001D7FA9">
      <w:pPr>
        <w:pStyle w:val="SangriaFrancesaArticulo"/>
      </w:pPr>
      <w:r w:rsidRPr="001D7FA9">
        <w:rPr>
          <w:rStyle w:val="TextoNormalNegritaCaracter"/>
        </w:rPr>
        <w:t>Artículo 22.3.</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5F6D97C8" w14:textId="644E3C05" w:rsidR="001D7FA9" w:rsidRDefault="001D7FA9" w:rsidP="001D7FA9">
      <w:pPr>
        <w:pStyle w:val="SangriaFrancesaArticulo"/>
      </w:pPr>
      <w:r w:rsidRPr="001D7FA9">
        <w:rPr>
          <w:rStyle w:val="TextoNormalNegritaCaracter"/>
        </w:rPr>
        <w:t>Artículo 22.4.</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5C144689" w14:textId="6E005F71" w:rsidR="001D7FA9" w:rsidRDefault="001D7FA9" w:rsidP="001D7FA9">
      <w:pPr>
        <w:pStyle w:val="SangriaFrancesaArticulo"/>
      </w:pPr>
      <w:r w:rsidRPr="001D7FA9">
        <w:rPr>
          <w:rStyle w:val="TextoNormalNegritaCaracter"/>
        </w:rPr>
        <w:t>Artículo 23.1.</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45F5C64D" w14:textId="4C59C3BE" w:rsidR="001D7FA9" w:rsidRDefault="001D7FA9" w:rsidP="001D7FA9">
      <w:pPr>
        <w:pStyle w:val="SangriaFrancesaArticulo"/>
      </w:pPr>
      <w:r w:rsidRPr="001D7FA9">
        <w:rPr>
          <w:rStyle w:val="TextoNormalNegritaCaracter"/>
        </w:rPr>
        <w:t>Artículo 23.2.</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0C3BF290" w14:textId="5C9D17B7" w:rsidR="001D7FA9" w:rsidRDefault="001D7FA9" w:rsidP="001D7FA9">
      <w:pPr>
        <w:pStyle w:val="SangriaFrancesaArticulo"/>
      </w:pPr>
      <w:r w:rsidRPr="001D7FA9">
        <w:rPr>
          <w:rStyle w:val="TextoNormalNegritaCaracter"/>
        </w:rPr>
        <w:t>Artículo 23.3.</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4B996139" w14:textId="50A8182E" w:rsidR="001D7FA9" w:rsidRDefault="001D7FA9" w:rsidP="001D7FA9">
      <w:pPr>
        <w:pStyle w:val="SangriaFrancesaArticulo"/>
      </w:pPr>
      <w:r w:rsidRPr="001D7FA9">
        <w:rPr>
          <w:rStyle w:val="TextoNormalNegritaCaracter"/>
        </w:rPr>
        <w:t>Artículo 24.3.</w:t>
      </w:r>
      <w:r w:rsidRPr="001D7FA9">
        <w:rPr>
          <w:rStyle w:val="TextoNormalCaracter"/>
        </w:rPr>
        <w:t>-</w:t>
      </w:r>
      <w:r>
        <w:t xml:space="preserve"> Sentencia </w:t>
      </w:r>
      <w:hyperlink w:anchor="SENTENCIA_2025_95" w:history="1">
        <w:r w:rsidRPr="001D7FA9">
          <w:rPr>
            <w:rStyle w:val="TextoNormalCaracter"/>
          </w:rPr>
          <w:t>95/2025</w:t>
        </w:r>
      </w:hyperlink>
      <w:r>
        <w:t>, f. 2.</w:t>
      </w:r>
    </w:p>
    <w:p w14:paraId="49AA60FB" w14:textId="4CC655E8" w:rsidR="001D7FA9" w:rsidRDefault="001D7FA9" w:rsidP="001D7FA9">
      <w:pPr>
        <w:pStyle w:val="SangriaFrancesaArticulo"/>
      </w:pPr>
      <w:r w:rsidRPr="001D7FA9">
        <w:rPr>
          <w:rStyle w:val="TextoNormalNegritaCaracter"/>
        </w:rPr>
        <w:t>Artículo 25.</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1D8EC9F0" w14:textId="4C882FA0" w:rsidR="001D7FA9" w:rsidRDefault="001D7FA9" w:rsidP="001D7FA9">
      <w:pPr>
        <w:pStyle w:val="SangriaFrancesaArticulo"/>
      </w:pPr>
      <w:r w:rsidRPr="001D7FA9">
        <w:rPr>
          <w:rStyle w:val="TextoNormalNegritaCaracter"/>
        </w:rPr>
        <w:t>Artículo 25.2.</w:t>
      </w:r>
      <w:r w:rsidRPr="001D7FA9">
        <w:rPr>
          <w:rStyle w:val="TextoNormalCaracter"/>
        </w:rPr>
        <w:t>-</w:t>
      </w:r>
      <w:r>
        <w:t xml:space="preserve"> Sentencia </w:t>
      </w:r>
      <w:hyperlink w:anchor="SENTENCIA_2025_95" w:history="1">
        <w:r w:rsidRPr="001D7FA9">
          <w:rPr>
            <w:rStyle w:val="TextoNormalCaracter"/>
          </w:rPr>
          <w:t>95/2025</w:t>
        </w:r>
      </w:hyperlink>
      <w:r>
        <w:t>, f. 3.</w:t>
      </w:r>
    </w:p>
    <w:p w14:paraId="3F16A973" w14:textId="2351424C" w:rsidR="001D7FA9" w:rsidRDefault="001D7FA9" w:rsidP="001D7FA9">
      <w:pPr>
        <w:pStyle w:val="SangriaFrancesaArticulo"/>
      </w:pPr>
      <w:r w:rsidRPr="001D7FA9">
        <w:rPr>
          <w:rStyle w:val="TextoNormalNegritaCaracter"/>
        </w:rPr>
        <w:t>Artículo 25.8.</w:t>
      </w:r>
      <w:r w:rsidRPr="001D7FA9">
        <w:rPr>
          <w:rStyle w:val="TextoNormalCaracter"/>
        </w:rPr>
        <w:t>-</w:t>
      </w:r>
      <w:r>
        <w:t xml:space="preserve"> Sentencia </w:t>
      </w:r>
      <w:hyperlink w:anchor="SENTENCIA_2025_95" w:history="1">
        <w:r w:rsidRPr="001D7FA9">
          <w:rPr>
            <w:rStyle w:val="TextoNormalCaracter"/>
          </w:rPr>
          <w:t>95/2025</w:t>
        </w:r>
      </w:hyperlink>
      <w:r>
        <w:t>, f. 2.</w:t>
      </w:r>
    </w:p>
    <w:p w14:paraId="23B4192E" w14:textId="6BA8F9E9" w:rsidR="001D7FA9" w:rsidRDefault="001D7FA9" w:rsidP="001D7FA9">
      <w:pPr>
        <w:pStyle w:val="SangriaFrancesaArticulo"/>
      </w:pPr>
      <w:r w:rsidRPr="001D7FA9">
        <w:rPr>
          <w:rStyle w:val="TextoNormalNegritaCaracter"/>
        </w:rPr>
        <w:t>Artículo 26.</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0F0F966E" w14:textId="5F1E5142" w:rsidR="001D7FA9" w:rsidRDefault="001D7FA9" w:rsidP="001D7FA9">
      <w:pPr>
        <w:pStyle w:val="SangriaFrancesaArticulo"/>
      </w:pPr>
      <w:r w:rsidRPr="001D7FA9">
        <w:rPr>
          <w:rStyle w:val="TextoNormalNegritaCaracter"/>
        </w:rPr>
        <w:t>Artículo 26.2.</w:t>
      </w:r>
      <w:r w:rsidRPr="001D7FA9">
        <w:rPr>
          <w:rStyle w:val="TextoNormalCaracter"/>
        </w:rPr>
        <w:t>-</w:t>
      </w:r>
      <w:r>
        <w:t xml:space="preserve"> Sentencia </w:t>
      </w:r>
      <w:hyperlink w:anchor="SENTENCIA_2025_95" w:history="1">
        <w:r w:rsidRPr="001D7FA9">
          <w:rPr>
            <w:rStyle w:val="TextoNormalCaracter"/>
          </w:rPr>
          <w:t>95/2025</w:t>
        </w:r>
      </w:hyperlink>
      <w:r>
        <w:t>, f. 3.</w:t>
      </w:r>
    </w:p>
    <w:p w14:paraId="0819DB62" w14:textId="531EC76F" w:rsidR="001D7FA9" w:rsidRDefault="001D7FA9" w:rsidP="001D7FA9">
      <w:pPr>
        <w:pStyle w:val="SangriaFrancesaArticulo"/>
      </w:pPr>
      <w:r w:rsidRPr="001D7FA9">
        <w:rPr>
          <w:rStyle w:val="TextoNormalNegritaCaracter"/>
        </w:rPr>
        <w:t>Artículo 26.8.</w:t>
      </w:r>
      <w:r w:rsidRPr="001D7FA9">
        <w:rPr>
          <w:rStyle w:val="TextoNormalCaracter"/>
        </w:rPr>
        <w:t>-</w:t>
      </w:r>
      <w:r>
        <w:t xml:space="preserve"> Sentencia </w:t>
      </w:r>
      <w:hyperlink w:anchor="SENTENCIA_2025_95" w:history="1">
        <w:r w:rsidRPr="001D7FA9">
          <w:rPr>
            <w:rStyle w:val="TextoNormalCaracter"/>
          </w:rPr>
          <w:t>95/2025</w:t>
        </w:r>
      </w:hyperlink>
      <w:r>
        <w:t>, f. 2.</w:t>
      </w:r>
    </w:p>
    <w:p w14:paraId="0509A277" w14:textId="2433BE80" w:rsidR="001D7FA9" w:rsidRDefault="001D7FA9" w:rsidP="001D7FA9">
      <w:pPr>
        <w:pStyle w:val="SangriaFrancesaArticulo"/>
      </w:pPr>
      <w:r w:rsidRPr="001D7FA9">
        <w:rPr>
          <w:rStyle w:val="TextoNormalNegritaCaracter"/>
        </w:rPr>
        <w:t>Artículo 27.</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12752DFE" w14:textId="742BB450" w:rsidR="001D7FA9" w:rsidRDefault="001D7FA9" w:rsidP="001D7FA9">
      <w:pPr>
        <w:pStyle w:val="SangriaFrancesaArticulo"/>
      </w:pPr>
      <w:r w:rsidRPr="001D7FA9">
        <w:rPr>
          <w:rStyle w:val="TextoNormalNegritaCaracter"/>
        </w:rPr>
        <w:t>Artículo 27.2.</w:t>
      </w:r>
      <w:r w:rsidRPr="001D7FA9">
        <w:rPr>
          <w:rStyle w:val="TextoNormalCaracter"/>
        </w:rPr>
        <w:t>-</w:t>
      </w:r>
      <w:r>
        <w:t xml:space="preserve"> Sentencia </w:t>
      </w:r>
      <w:hyperlink w:anchor="SENTENCIA_2025_95" w:history="1">
        <w:r w:rsidRPr="001D7FA9">
          <w:rPr>
            <w:rStyle w:val="TextoNormalCaracter"/>
          </w:rPr>
          <w:t>95/2025</w:t>
        </w:r>
      </w:hyperlink>
      <w:r>
        <w:t>, f. 3.</w:t>
      </w:r>
    </w:p>
    <w:p w14:paraId="1FA8C94A" w14:textId="1C0D334C" w:rsidR="001D7FA9" w:rsidRDefault="001D7FA9" w:rsidP="001D7FA9">
      <w:pPr>
        <w:pStyle w:val="SangriaFrancesaArticulo"/>
      </w:pPr>
      <w:r w:rsidRPr="001D7FA9">
        <w:rPr>
          <w:rStyle w:val="TextoNormalNegritaCaracter"/>
        </w:rPr>
        <w:t>Artículo 27.8.</w:t>
      </w:r>
      <w:r w:rsidRPr="001D7FA9">
        <w:rPr>
          <w:rStyle w:val="TextoNormalCaracter"/>
        </w:rPr>
        <w:t>-</w:t>
      </w:r>
      <w:r>
        <w:t xml:space="preserve"> Sentencia </w:t>
      </w:r>
      <w:hyperlink w:anchor="SENTENCIA_2025_95" w:history="1">
        <w:r w:rsidRPr="001D7FA9">
          <w:rPr>
            <w:rStyle w:val="TextoNormalCaracter"/>
          </w:rPr>
          <w:t>95/2025</w:t>
        </w:r>
      </w:hyperlink>
      <w:r>
        <w:t>, f. 2.</w:t>
      </w:r>
    </w:p>
    <w:p w14:paraId="5E360211" w14:textId="363936FD" w:rsidR="001D7FA9" w:rsidRDefault="001D7FA9" w:rsidP="001D7FA9">
      <w:pPr>
        <w:pStyle w:val="SangriaFrancesaArticulo"/>
      </w:pPr>
      <w:r w:rsidRPr="001D7FA9">
        <w:rPr>
          <w:rStyle w:val="TextoNormalNegritaCaracter"/>
        </w:rPr>
        <w:t>Artículo 28.</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1E6DCF52" w14:textId="1EDCDABB" w:rsidR="001D7FA9" w:rsidRDefault="001D7FA9" w:rsidP="001D7FA9">
      <w:pPr>
        <w:pStyle w:val="SangriaFrancesaArticulo"/>
      </w:pPr>
      <w:r w:rsidRPr="001D7FA9">
        <w:rPr>
          <w:rStyle w:val="TextoNormalNegritaCaracter"/>
        </w:rPr>
        <w:t>Artículo 28 apartados 10, 26 a 33.</w:t>
      </w:r>
      <w:r w:rsidRPr="001D7FA9">
        <w:rPr>
          <w:rStyle w:val="TextoNormalCaracter"/>
        </w:rPr>
        <w:t>-</w:t>
      </w:r>
      <w:r>
        <w:t xml:space="preserve"> Sentencia </w:t>
      </w:r>
      <w:hyperlink w:anchor="SENTENCIA_2025_95" w:history="1">
        <w:r w:rsidRPr="001D7FA9">
          <w:rPr>
            <w:rStyle w:val="TextoNormalCaracter"/>
          </w:rPr>
          <w:t>95/2025</w:t>
        </w:r>
      </w:hyperlink>
      <w:r>
        <w:t>, f. 3.</w:t>
      </w:r>
    </w:p>
    <w:p w14:paraId="51ED0D64" w14:textId="721BFCF1" w:rsidR="001D7FA9" w:rsidRDefault="001D7FA9" w:rsidP="001D7FA9">
      <w:pPr>
        <w:pStyle w:val="SangriaFrancesaArticulo"/>
      </w:pPr>
      <w:r w:rsidRPr="001D7FA9">
        <w:rPr>
          <w:rStyle w:val="TextoNormalNegritaCaracter"/>
        </w:rPr>
        <w:t>Artículo 28 apartados 2, 10, 26 a 33.</w:t>
      </w:r>
      <w:r w:rsidRPr="001D7FA9">
        <w:rPr>
          <w:rStyle w:val="TextoNormalCaracter"/>
        </w:rPr>
        <w:t>-</w:t>
      </w:r>
      <w:r>
        <w:t xml:space="preserve"> Sentencia </w:t>
      </w:r>
      <w:hyperlink w:anchor="SENTENCIA_2025_95" w:history="1">
        <w:r w:rsidRPr="001D7FA9">
          <w:rPr>
            <w:rStyle w:val="TextoNormalCaracter"/>
          </w:rPr>
          <w:t>95/2025</w:t>
        </w:r>
      </w:hyperlink>
      <w:r>
        <w:t>, f. 3.</w:t>
      </w:r>
    </w:p>
    <w:p w14:paraId="362D69CB" w14:textId="4EFEFBC6" w:rsidR="001D7FA9" w:rsidRDefault="001D7FA9" w:rsidP="001D7FA9">
      <w:pPr>
        <w:pStyle w:val="SangriaFrancesaArticulo"/>
      </w:pPr>
      <w:r w:rsidRPr="001D7FA9">
        <w:rPr>
          <w:rStyle w:val="TextoNormalNegritaCaracter"/>
        </w:rPr>
        <w:t>Artículo 28.2.</w:t>
      </w:r>
      <w:r w:rsidRPr="001D7FA9">
        <w:rPr>
          <w:rStyle w:val="TextoNormalCaracter"/>
        </w:rPr>
        <w:t>-</w:t>
      </w:r>
      <w:r>
        <w:t xml:space="preserve"> Sentencia </w:t>
      </w:r>
      <w:hyperlink w:anchor="SENTENCIA_2025_95" w:history="1">
        <w:r w:rsidRPr="001D7FA9">
          <w:rPr>
            <w:rStyle w:val="TextoNormalCaracter"/>
          </w:rPr>
          <w:t>95/2025</w:t>
        </w:r>
      </w:hyperlink>
      <w:r>
        <w:t>, f. 3.</w:t>
      </w:r>
    </w:p>
    <w:p w14:paraId="1A28745F" w14:textId="6927E514" w:rsidR="001D7FA9" w:rsidRDefault="001D7FA9" w:rsidP="001D7FA9">
      <w:pPr>
        <w:pStyle w:val="SangriaFrancesaArticulo"/>
      </w:pPr>
      <w:r w:rsidRPr="001D7FA9">
        <w:rPr>
          <w:rStyle w:val="TextoNormalNegritaCaracter"/>
        </w:rPr>
        <w:t>Artículo 28.8.</w:t>
      </w:r>
      <w:r w:rsidRPr="001D7FA9">
        <w:rPr>
          <w:rStyle w:val="TextoNormalCaracter"/>
        </w:rPr>
        <w:t>-</w:t>
      </w:r>
      <w:r>
        <w:t xml:space="preserve"> Sentencia </w:t>
      </w:r>
      <w:hyperlink w:anchor="SENTENCIA_2025_95" w:history="1">
        <w:r w:rsidRPr="001D7FA9">
          <w:rPr>
            <w:rStyle w:val="TextoNormalCaracter"/>
          </w:rPr>
          <w:t>95/2025</w:t>
        </w:r>
      </w:hyperlink>
      <w:r>
        <w:t>, f. 2.</w:t>
      </w:r>
    </w:p>
    <w:p w14:paraId="2A25E775" w14:textId="5F28517C" w:rsidR="001D7FA9" w:rsidRDefault="001D7FA9" w:rsidP="001D7FA9">
      <w:pPr>
        <w:pStyle w:val="SangriaFrancesaArticulo"/>
      </w:pPr>
      <w:r w:rsidRPr="001D7FA9">
        <w:rPr>
          <w:rStyle w:val="TextoNormalNegritaCaracter"/>
        </w:rPr>
        <w:t>Artículo 28.10.</w:t>
      </w:r>
      <w:r w:rsidRPr="001D7FA9">
        <w:rPr>
          <w:rStyle w:val="TextoNormalCaracter"/>
        </w:rPr>
        <w:t>-</w:t>
      </w:r>
      <w:r>
        <w:t xml:space="preserve"> Sentencia </w:t>
      </w:r>
      <w:hyperlink w:anchor="SENTENCIA_2025_95" w:history="1">
        <w:r w:rsidRPr="001D7FA9">
          <w:rPr>
            <w:rStyle w:val="TextoNormalCaracter"/>
          </w:rPr>
          <w:t>95/2025</w:t>
        </w:r>
      </w:hyperlink>
      <w:r>
        <w:t>, f. 3.</w:t>
      </w:r>
    </w:p>
    <w:p w14:paraId="79EE1E42" w14:textId="19D7E8E3" w:rsidR="001D7FA9" w:rsidRDefault="001D7FA9" w:rsidP="001D7FA9">
      <w:pPr>
        <w:pStyle w:val="SangriaFrancesaArticulo"/>
      </w:pPr>
      <w:r w:rsidRPr="001D7FA9">
        <w:rPr>
          <w:rStyle w:val="TextoNormalNegritaCaracter"/>
        </w:rPr>
        <w:t>Artículo 28.11.</w:t>
      </w:r>
      <w:r w:rsidRPr="001D7FA9">
        <w:rPr>
          <w:rStyle w:val="TextoNormalCaracter"/>
        </w:rPr>
        <w:t>-</w:t>
      </w:r>
      <w:r>
        <w:t xml:space="preserve"> Sentencia </w:t>
      </w:r>
      <w:hyperlink w:anchor="SENTENCIA_2025_95" w:history="1">
        <w:r w:rsidRPr="001D7FA9">
          <w:rPr>
            <w:rStyle w:val="TextoNormalCaracter"/>
          </w:rPr>
          <w:t>95/2025</w:t>
        </w:r>
      </w:hyperlink>
      <w:r>
        <w:t>, f. 2.</w:t>
      </w:r>
    </w:p>
    <w:p w14:paraId="04CDF733" w14:textId="5BA66D41" w:rsidR="001D7FA9" w:rsidRDefault="001D7FA9" w:rsidP="001D7FA9">
      <w:pPr>
        <w:pStyle w:val="SangriaFrancesaArticulo"/>
      </w:pPr>
      <w:r w:rsidRPr="001D7FA9">
        <w:rPr>
          <w:rStyle w:val="TextoNormalNegritaCaracter"/>
        </w:rPr>
        <w:t>Artículo 28.26.</w:t>
      </w:r>
      <w:r w:rsidRPr="001D7FA9">
        <w:rPr>
          <w:rStyle w:val="TextoNormalCaracter"/>
        </w:rPr>
        <w:t>-</w:t>
      </w:r>
      <w:r>
        <w:t xml:space="preserve"> Sentencia </w:t>
      </w:r>
      <w:hyperlink w:anchor="SENTENCIA_2025_95" w:history="1">
        <w:r w:rsidRPr="001D7FA9">
          <w:rPr>
            <w:rStyle w:val="TextoNormalCaracter"/>
          </w:rPr>
          <w:t>95/2025</w:t>
        </w:r>
      </w:hyperlink>
      <w:r>
        <w:t>, f. 3.</w:t>
      </w:r>
    </w:p>
    <w:p w14:paraId="4CB0C7F6" w14:textId="67955B83" w:rsidR="001D7FA9" w:rsidRDefault="001D7FA9" w:rsidP="001D7FA9">
      <w:pPr>
        <w:pStyle w:val="SangriaFrancesaArticulo"/>
      </w:pPr>
      <w:r w:rsidRPr="001D7FA9">
        <w:rPr>
          <w:rStyle w:val="TextoNormalNegritaCaracter"/>
        </w:rPr>
        <w:t>Artículo 28.27.</w:t>
      </w:r>
      <w:r w:rsidRPr="001D7FA9">
        <w:rPr>
          <w:rStyle w:val="TextoNormalCaracter"/>
        </w:rPr>
        <w:t>-</w:t>
      </w:r>
      <w:r>
        <w:t xml:space="preserve"> Sentencia </w:t>
      </w:r>
      <w:hyperlink w:anchor="SENTENCIA_2025_95" w:history="1">
        <w:r w:rsidRPr="001D7FA9">
          <w:rPr>
            <w:rStyle w:val="TextoNormalCaracter"/>
          </w:rPr>
          <w:t>95/2025</w:t>
        </w:r>
      </w:hyperlink>
      <w:r>
        <w:t>, f. 3.</w:t>
      </w:r>
    </w:p>
    <w:p w14:paraId="251BAF29" w14:textId="0D9A53DE" w:rsidR="001D7FA9" w:rsidRDefault="001D7FA9" w:rsidP="001D7FA9">
      <w:pPr>
        <w:pStyle w:val="SangriaFrancesaArticulo"/>
      </w:pPr>
      <w:r w:rsidRPr="001D7FA9">
        <w:rPr>
          <w:rStyle w:val="TextoNormalNegritaCaracter"/>
        </w:rPr>
        <w:t>Artículo 28.28.</w:t>
      </w:r>
      <w:r w:rsidRPr="001D7FA9">
        <w:rPr>
          <w:rStyle w:val="TextoNormalCaracter"/>
        </w:rPr>
        <w:t>-</w:t>
      </w:r>
      <w:r>
        <w:t xml:space="preserve"> Sentencia </w:t>
      </w:r>
      <w:hyperlink w:anchor="SENTENCIA_2025_95" w:history="1">
        <w:r w:rsidRPr="001D7FA9">
          <w:rPr>
            <w:rStyle w:val="TextoNormalCaracter"/>
          </w:rPr>
          <w:t>95/2025</w:t>
        </w:r>
      </w:hyperlink>
      <w:r>
        <w:t>, f. 3.</w:t>
      </w:r>
    </w:p>
    <w:p w14:paraId="3592F3E8" w14:textId="5D391C4D" w:rsidR="001D7FA9" w:rsidRDefault="001D7FA9" w:rsidP="001D7FA9">
      <w:pPr>
        <w:pStyle w:val="SangriaFrancesaArticulo"/>
      </w:pPr>
      <w:r w:rsidRPr="001D7FA9">
        <w:rPr>
          <w:rStyle w:val="TextoNormalNegritaCaracter"/>
        </w:rPr>
        <w:t>Artículo 28.29.</w:t>
      </w:r>
      <w:r w:rsidRPr="001D7FA9">
        <w:rPr>
          <w:rStyle w:val="TextoNormalCaracter"/>
        </w:rPr>
        <w:t>-</w:t>
      </w:r>
      <w:r>
        <w:t xml:space="preserve"> Sentencia </w:t>
      </w:r>
      <w:hyperlink w:anchor="SENTENCIA_2025_95" w:history="1">
        <w:r w:rsidRPr="001D7FA9">
          <w:rPr>
            <w:rStyle w:val="TextoNormalCaracter"/>
          </w:rPr>
          <w:t>95/2025</w:t>
        </w:r>
      </w:hyperlink>
      <w:r>
        <w:t>, f. 3.</w:t>
      </w:r>
    </w:p>
    <w:p w14:paraId="4DE71716" w14:textId="43672C14" w:rsidR="001D7FA9" w:rsidRDefault="001D7FA9" w:rsidP="001D7FA9">
      <w:pPr>
        <w:pStyle w:val="SangriaFrancesaArticulo"/>
      </w:pPr>
      <w:r w:rsidRPr="001D7FA9">
        <w:rPr>
          <w:rStyle w:val="TextoNormalNegritaCaracter"/>
        </w:rPr>
        <w:t>Artículo 28.30.</w:t>
      </w:r>
      <w:r w:rsidRPr="001D7FA9">
        <w:rPr>
          <w:rStyle w:val="TextoNormalCaracter"/>
        </w:rPr>
        <w:t>-</w:t>
      </w:r>
      <w:r>
        <w:t xml:space="preserve"> Sentencia </w:t>
      </w:r>
      <w:hyperlink w:anchor="SENTENCIA_2025_95" w:history="1">
        <w:r w:rsidRPr="001D7FA9">
          <w:rPr>
            <w:rStyle w:val="TextoNormalCaracter"/>
          </w:rPr>
          <w:t>95/2025</w:t>
        </w:r>
      </w:hyperlink>
      <w:r>
        <w:t>, f. 3.</w:t>
      </w:r>
    </w:p>
    <w:p w14:paraId="78F14C89" w14:textId="63A0025C" w:rsidR="001D7FA9" w:rsidRDefault="001D7FA9" w:rsidP="001D7FA9">
      <w:pPr>
        <w:pStyle w:val="SangriaFrancesaArticulo"/>
      </w:pPr>
      <w:r w:rsidRPr="001D7FA9">
        <w:rPr>
          <w:rStyle w:val="TextoNormalNegritaCaracter"/>
        </w:rPr>
        <w:t>Artículo 28.31.</w:t>
      </w:r>
      <w:r w:rsidRPr="001D7FA9">
        <w:rPr>
          <w:rStyle w:val="TextoNormalCaracter"/>
        </w:rPr>
        <w:t>-</w:t>
      </w:r>
      <w:r>
        <w:t xml:space="preserve"> Sentencia </w:t>
      </w:r>
      <w:hyperlink w:anchor="SENTENCIA_2025_95" w:history="1">
        <w:r w:rsidRPr="001D7FA9">
          <w:rPr>
            <w:rStyle w:val="TextoNormalCaracter"/>
          </w:rPr>
          <w:t>95/2025</w:t>
        </w:r>
      </w:hyperlink>
      <w:r>
        <w:t>, f. 3.</w:t>
      </w:r>
    </w:p>
    <w:p w14:paraId="3EC5541A" w14:textId="00BCDD5D" w:rsidR="001D7FA9" w:rsidRDefault="001D7FA9" w:rsidP="001D7FA9">
      <w:pPr>
        <w:pStyle w:val="SangriaFrancesaArticulo"/>
      </w:pPr>
      <w:r w:rsidRPr="001D7FA9">
        <w:rPr>
          <w:rStyle w:val="TextoNormalNegritaCaracter"/>
        </w:rPr>
        <w:t>Artículo 28.32.</w:t>
      </w:r>
      <w:r w:rsidRPr="001D7FA9">
        <w:rPr>
          <w:rStyle w:val="TextoNormalCaracter"/>
        </w:rPr>
        <w:t>-</w:t>
      </w:r>
      <w:r>
        <w:t xml:space="preserve"> Sentencia </w:t>
      </w:r>
      <w:hyperlink w:anchor="SENTENCIA_2025_95" w:history="1">
        <w:r w:rsidRPr="001D7FA9">
          <w:rPr>
            <w:rStyle w:val="TextoNormalCaracter"/>
          </w:rPr>
          <w:t>95/2025</w:t>
        </w:r>
      </w:hyperlink>
      <w:r>
        <w:t>, f. 3.</w:t>
      </w:r>
    </w:p>
    <w:p w14:paraId="60CE0132" w14:textId="6C23D375" w:rsidR="001D7FA9" w:rsidRDefault="001D7FA9" w:rsidP="001D7FA9">
      <w:pPr>
        <w:pStyle w:val="SangriaFrancesaArticulo"/>
      </w:pPr>
      <w:r w:rsidRPr="001D7FA9">
        <w:rPr>
          <w:rStyle w:val="TextoNormalNegritaCaracter"/>
        </w:rPr>
        <w:t>Artículo 28.33.</w:t>
      </w:r>
      <w:r w:rsidRPr="001D7FA9">
        <w:rPr>
          <w:rStyle w:val="TextoNormalCaracter"/>
        </w:rPr>
        <w:t>-</w:t>
      </w:r>
      <w:r>
        <w:t xml:space="preserve"> Sentencia </w:t>
      </w:r>
      <w:hyperlink w:anchor="SENTENCIA_2025_95" w:history="1">
        <w:r w:rsidRPr="001D7FA9">
          <w:rPr>
            <w:rStyle w:val="TextoNormalCaracter"/>
          </w:rPr>
          <w:t>95/2025</w:t>
        </w:r>
      </w:hyperlink>
      <w:r>
        <w:t>, f. 3.</w:t>
      </w:r>
    </w:p>
    <w:p w14:paraId="7AE3655A" w14:textId="1387BFF7" w:rsidR="001D7FA9" w:rsidRDefault="001D7FA9" w:rsidP="001D7FA9">
      <w:pPr>
        <w:pStyle w:val="SangriaFrancesaArticulo"/>
      </w:pPr>
      <w:r w:rsidRPr="001D7FA9">
        <w:rPr>
          <w:rStyle w:val="TextoNormalNegritaCaracter"/>
        </w:rPr>
        <w:t>Disposición adicional única.</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654DD9C0" w14:textId="307B7F59" w:rsidR="001D7FA9" w:rsidRDefault="001D7FA9" w:rsidP="001D7FA9">
      <w:pPr>
        <w:pStyle w:val="SangriaFrancesaArticulo"/>
      </w:pPr>
      <w:r w:rsidRPr="001D7FA9">
        <w:rPr>
          <w:rStyle w:val="TextoNormalNegritaCaracter"/>
        </w:rPr>
        <w:t>Disposición transitoria primera.</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3689D2F6" w14:textId="6A0D2A51" w:rsidR="001D7FA9" w:rsidRDefault="001D7FA9" w:rsidP="001D7FA9">
      <w:pPr>
        <w:pStyle w:val="SangriaFrancesaArticulo"/>
      </w:pPr>
      <w:r w:rsidRPr="001D7FA9">
        <w:rPr>
          <w:rStyle w:val="TextoNormalNegritaCaracter"/>
        </w:rPr>
        <w:t>Disposición transitoria segunda.</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0D6FE0F7" w14:textId="407898B9" w:rsidR="001D7FA9" w:rsidRDefault="001D7FA9" w:rsidP="001D7FA9">
      <w:pPr>
        <w:pStyle w:val="SangriaFrancesaArticulo"/>
      </w:pPr>
      <w:r w:rsidRPr="001D7FA9">
        <w:rPr>
          <w:rStyle w:val="TextoNormalNegritaCaracter"/>
        </w:rPr>
        <w:t>Disposición derogatoria única.</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1A76ED03" w14:textId="4166E367" w:rsidR="001D7FA9" w:rsidRDefault="001D7FA9" w:rsidP="001D7FA9">
      <w:pPr>
        <w:pStyle w:val="SangriaFrancesaArticulo"/>
      </w:pPr>
      <w:r w:rsidRPr="001D7FA9">
        <w:rPr>
          <w:rStyle w:val="TextoNormalNegritaCaracter"/>
        </w:rPr>
        <w:t>Disposición final primera.</w:t>
      </w:r>
      <w:r w:rsidRPr="001D7FA9">
        <w:rPr>
          <w:rStyle w:val="TextoNormalCaracter"/>
        </w:rPr>
        <w:t>-</w:t>
      </w:r>
      <w:r>
        <w:t xml:space="preserve"> Sentencia </w:t>
      </w:r>
      <w:hyperlink w:anchor="SENTENCIA_2025_95" w:history="1">
        <w:r w:rsidRPr="001D7FA9">
          <w:rPr>
            <w:rStyle w:val="TextoNormalCaracter"/>
          </w:rPr>
          <w:t>95/2025</w:t>
        </w:r>
      </w:hyperlink>
      <w:r>
        <w:t>, ff. 1, 2.</w:t>
      </w:r>
    </w:p>
    <w:p w14:paraId="35130E83" w14:textId="32FBF38F" w:rsidR="001D7FA9" w:rsidRDefault="001D7FA9" w:rsidP="001D7FA9">
      <w:pPr>
        <w:pStyle w:val="SangriaFrancesaArticulo"/>
      </w:pPr>
      <w:r w:rsidRPr="001D7FA9">
        <w:rPr>
          <w:rStyle w:val="TextoNormalNegritaCaracter"/>
        </w:rPr>
        <w:t>Anexo I.</w:t>
      </w:r>
      <w:r w:rsidRPr="001D7FA9">
        <w:rPr>
          <w:rStyle w:val="TextoNormalCaracter"/>
        </w:rPr>
        <w:t>-</w:t>
      </w:r>
      <w:r>
        <w:t xml:space="preserve"> Sentencia </w:t>
      </w:r>
      <w:hyperlink w:anchor="SENTENCIA_2025_95" w:history="1">
        <w:r w:rsidRPr="001D7FA9">
          <w:rPr>
            <w:rStyle w:val="TextoNormalCaracter"/>
          </w:rPr>
          <w:t>95/2025</w:t>
        </w:r>
      </w:hyperlink>
      <w:r>
        <w:t>, ff. 1, 2, 4.</w:t>
      </w:r>
    </w:p>
    <w:p w14:paraId="3FC47789" w14:textId="3F96571B" w:rsidR="001D7FA9" w:rsidRDefault="001D7FA9" w:rsidP="001D7FA9">
      <w:pPr>
        <w:pStyle w:val="SangriaFrancesaArticulo"/>
      </w:pPr>
      <w:r w:rsidRPr="001D7FA9">
        <w:rPr>
          <w:rStyle w:val="TextoNormalNegritaCaracter"/>
        </w:rPr>
        <w:t>Anexo II.</w:t>
      </w:r>
      <w:r w:rsidRPr="001D7FA9">
        <w:rPr>
          <w:rStyle w:val="TextoNormalCaracter"/>
        </w:rPr>
        <w:t>-</w:t>
      </w:r>
      <w:r>
        <w:t xml:space="preserve"> Sentencia </w:t>
      </w:r>
      <w:hyperlink w:anchor="SENTENCIA_2025_95" w:history="1">
        <w:r w:rsidRPr="001D7FA9">
          <w:rPr>
            <w:rStyle w:val="TextoNormalCaracter"/>
          </w:rPr>
          <w:t>95/2025</w:t>
        </w:r>
      </w:hyperlink>
      <w:r>
        <w:t>, ff. 1, 2, 4.</w:t>
      </w:r>
    </w:p>
    <w:p w14:paraId="26F0D345" w14:textId="01AAB5D1" w:rsidR="001D7FA9" w:rsidRDefault="001D7FA9" w:rsidP="001D7FA9">
      <w:pPr>
        <w:pStyle w:val="SangriaFrancesaArticulo"/>
      </w:pPr>
      <w:r w:rsidRPr="001D7FA9">
        <w:rPr>
          <w:rStyle w:val="TextoNormalNegritaCaracter"/>
        </w:rPr>
        <w:t>Anexo III.</w:t>
      </w:r>
      <w:r w:rsidRPr="001D7FA9">
        <w:rPr>
          <w:rStyle w:val="TextoNormalCaracter"/>
        </w:rPr>
        <w:t>-</w:t>
      </w:r>
      <w:r>
        <w:t xml:space="preserve"> Sentencia </w:t>
      </w:r>
      <w:hyperlink w:anchor="SENTENCIA_2025_95" w:history="1">
        <w:r w:rsidRPr="001D7FA9">
          <w:rPr>
            <w:rStyle w:val="TextoNormalCaracter"/>
          </w:rPr>
          <w:t>95/2025</w:t>
        </w:r>
      </w:hyperlink>
      <w:r>
        <w:t>, ff. 2, 4.</w:t>
      </w:r>
    </w:p>
    <w:p w14:paraId="45054391" w14:textId="75FDDC14" w:rsidR="001D7FA9" w:rsidRDefault="001D7FA9" w:rsidP="001D7FA9">
      <w:pPr>
        <w:pStyle w:val="SangriaFrancesaArticulo"/>
      </w:pPr>
    </w:p>
    <w:p w14:paraId="5F611D17" w14:textId="77777777" w:rsidR="001D7FA9" w:rsidRDefault="001D7FA9" w:rsidP="001D7FA9">
      <w:pPr>
        <w:pStyle w:val="TextoNormalNegritaCursivandice"/>
        <w:keepNext/>
      </w:pPr>
      <w:r>
        <w:t>Comunidad Autónoma de Canarias. Ley del Parlamento 2/2022, de 6 de junio, por la que se establece el régimen jurídico de alerta sanitaria y las medidas para el control y gestión de la pandemia de covid-19 en Canarias</w:t>
      </w:r>
    </w:p>
    <w:p w14:paraId="486B9C82" w14:textId="672A853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5" w:history="1">
        <w:r w:rsidRPr="001D7FA9">
          <w:rPr>
            <w:rStyle w:val="TextoNormalCaracter"/>
          </w:rPr>
          <w:t>95/2025</w:t>
        </w:r>
      </w:hyperlink>
      <w:r>
        <w:t>, f. 2.</w:t>
      </w:r>
    </w:p>
    <w:p w14:paraId="6EB8367D" w14:textId="75252567" w:rsidR="001D7FA9" w:rsidRDefault="001D7FA9" w:rsidP="001D7FA9">
      <w:pPr>
        <w:pStyle w:val="SangriaFrancesaArticulo"/>
      </w:pPr>
      <w:r w:rsidRPr="001D7FA9">
        <w:rPr>
          <w:rStyle w:val="TextoNormalNegritaCaracter"/>
        </w:rPr>
        <w:t>Artículo 9.1.</w:t>
      </w:r>
      <w:r w:rsidRPr="001D7FA9">
        <w:rPr>
          <w:rStyle w:val="TextoNormalCaracter"/>
        </w:rPr>
        <w:t>-</w:t>
      </w:r>
      <w:r>
        <w:t xml:space="preserve"> Sentencia </w:t>
      </w:r>
      <w:hyperlink w:anchor="SENTENCIA_2025_95" w:history="1">
        <w:r w:rsidRPr="001D7FA9">
          <w:rPr>
            <w:rStyle w:val="TextoNormalCaracter"/>
          </w:rPr>
          <w:t>95/2025</w:t>
        </w:r>
      </w:hyperlink>
      <w:r>
        <w:t>, f. 2.</w:t>
      </w:r>
    </w:p>
    <w:p w14:paraId="602D7768" w14:textId="69FABE22" w:rsidR="001D7FA9" w:rsidRDefault="001D7FA9" w:rsidP="001D7FA9">
      <w:pPr>
        <w:pStyle w:val="SangriaFrancesaArticulo"/>
      </w:pPr>
      <w:r w:rsidRPr="001D7FA9">
        <w:rPr>
          <w:rStyle w:val="TextoNormalNegritaCaracter"/>
        </w:rPr>
        <w:t>Disposición derogatoria única.</w:t>
      </w:r>
      <w:r w:rsidRPr="001D7FA9">
        <w:rPr>
          <w:rStyle w:val="TextoNormalCaracter"/>
        </w:rPr>
        <w:t>-</w:t>
      </w:r>
      <w:r>
        <w:t xml:space="preserve"> Sentencia </w:t>
      </w:r>
      <w:hyperlink w:anchor="SENTENCIA_2025_95" w:history="1">
        <w:r w:rsidRPr="001D7FA9">
          <w:rPr>
            <w:rStyle w:val="TextoNormalCaracter"/>
          </w:rPr>
          <w:t>95/2025</w:t>
        </w:r>
      </w:hyperlink>
      <w:r>
        <w:t>, f. 2.</w:t>
      </w:r>
    </w:p>
    <w:p w14:paraId="3F16B0D6" w14:textId="6D0D9560" w:rsidR="001D7FA9" w:rsidRDefault="001D7FA9" w:rsidP="001D7FA9">
      <w:pPr>
        <w:pStyle w:val="SangriaFrancesaArticulo"/>
      </w:pPr>
      <w:r w:rsidRPr="001D7FA9">
        <w:rPr>
          <w:rStyle w:val="TextoNormalNegritaCaracter"/>
        </w:rPr>
        <w:t>Disposición derogatoria única, apartado 4.</w:t>
      </w:r>
      <w:r w:rsidRPr="001D7FA9">
        <w:rPr>
          <w:rStyle w:val="TextoNormalCaracter"/>
        </w:rPr>
        <w:t>-</w:t>
      </w:r>
      <w:r>
        <w:t xml:space="preserve"> Sentencia </w:t>
      </w:r>
      <w:hyperlink w:anchor="SENTENCIA_2025_95" w:history="1">
        <w:r w:rsidRPr="001D7FA9">
          <w:rPr>
            <w:rStyle w:val="TextoNormalCaracter"/>
          </w:rPr>
          <w:t>95/2025</w:t>
        </w:r>
      </w:hyperlink>
      <w:r>
        <w:t>, f. 2.</w:t>
      </w:r>
    </w:p>
    <w:p w14:paraId="31C9B48B" w14:textId="221FF56A" w:rsidR="001D7FA9" w:rsidRDefault="001D7FA9" w:rsidP="001D7FA9">
      <w:pPr>
        <w:pStyle w:val="TextoNormal"/>
      </w:pPr>
    </w:p>
    <w:p w14:paraId="50587B65" w14:textId="77777777" w:rsidR="001D7FA9" w:rsidRDefault="001D7FA9" w:rsidP="001D7FA9">
      <w:pPr>
        <w:pStyle w:val="TextoNormalNegritaCentradoSubrayado"/>
        <w:suppressAutoHyphens/>
      </w:pPr>
      <w:r>
        <w:t>J.4.c) Decretos y otras disposiciones reglamentarias</w:t>
      </w:r>
    </w:p>
    <w:p w14:paraId="514DDCC9" w14:textId="331BE622" w:rsidR="001D7FA9" w:rsidRDefault="001D7FA9" w:rsidP="001D7FA9">
      <w:pPr>
        <w:pStyle w:val="TextoNormalNegritaCentradoSubrayado"/>
      </w:pPr>
    </w:p>
    <w:p w14:paraId="5030A359" w14:textId="77777777" w:rsidR="001D7FA9" w:rsidRDefault="001D7FA9" w:rsidP="001D7FA9">
      <w:pPr>
        <w:pStyle w:val="TextoNormalNegritaCursivandice"/>
        <w:keepNext/>
      </w:pPr>
      <w:r>
        <w:t>Comunidad Autónoma de Canarias. Acuerdo del Gobierno de Canarias, de 2 de septiembre de 2024, en relación con los menores extranjeros no acompañados</w:t>
      </w:r>
    </w:p>
    <w:p w14:paraId="74EFCE76" w14:textId="7D5BFDBA" w:rsidR="001D7FA9" w:rsidRDefault="001D7FA9" w:rsidP="001D7FA9">
      <w:pPr>
        <w:pStyle w:val="SangriaFrancesaArticulo"/>
      </w:pPr>
      <w:r w:rsidRPr="001D7FA9">
        <w:rPr>
          <w:rStyle w:val="TextoNormalNegritaCaracter"/>
        </w:rPr>
        <w:t>Apartado segundo.</w:t>
      </w:r>
      <w:r w:rsidRPr="001D7FA9">
        <w:rPr>
          <w:rStyle w:val="TextoNormalCaracter"/>
        </w:rPr>
        <w:t>-</w:t>
      </w:r>
      <w:r>
        <w:t xml:space="preserve"> Sentencia </w:t>
      </w:r>
      <w:hyperlink w:anchor="SENTENCIA_2025_43" w:history="1">
        <w:r w:rsidRPr="001D7FA9">
          <w:rPr>
            <w:rStyle w:val="TextoNormalCaracter"/>
          </w:rPr>
          <w:t>43/2025</w:t>
        </w:r>
      </w:hyperlink>
      <w:r>
        <w:t>, f. 1.</w:t>
      </w:r>
    </w:p>
    <w:p w14:paraId="68FC496E" w14:textId="69E41C7C" w:rsidR="001D7FA9" w:rsidRDefault="001D7FA9" w:rsidP="001D7FA9">
      <w:pPr>
        <w:pStyle w:val="SangriaFrancesaArticulo"/>
      </w:pPr>
      <w:r w:rsidRPr="001D7FA9">
        <w:rPr>
          <w:rStyle w:val="TextoNormalNegritaCaracter"/>
        </w:rPr>
        <w:t>Apartado sexto.</w:t>
      </w:r>
      <w:r w:rsidRPr="001D7FA9">
        <w:rPr>
          <w:rStyle w:val="TextoNormalCaracter"/>
        </w:rPr>
        <w:t>-</w:t>
      </w:r>
      <w:r>
        <w:t xml:space="preserve"> Sentencia </w:t>
      </w:r>
      <w:hyperlink w:anchor="SENTENCIA_2025_43" w:history="1">
        <w:r w:rsidRPr="001D7FA9">
          <w:rPr>
            <w:rStyle w:val="TextoNormalCaracter"/>
          </w:rPr>
          <w:t>43/2025</w:t>
        </w:r>
      </w:hyperlink>
      <w:r>
        <w:t>, f. 1.</w:t>
      </w:r>
    </w:p>
    <w:p w14:paraId="4A3AE2FE" w14:textId="7A6EECC0" w:rsidR="001D7FA9" w:rsidRDefault="001D7FA9" w:rsidP="001D7FA9">
      <w:pPr>
        <w:pStyle w:val="SangriaFrancesaArticulo"/>
      </w:pPr>
      <w:r w:rsidRPr="001D7FA9">
        <w:rPr>
          <w:rStyle w:val="TextoNormalNegritaCaracter"/>
        </w:rPr>
        <w:t>Apartado tercero.</w:t>
      </w:r>
      <w:r w:rsidRPr="001D7FA9">
        <w:rPr>
          <w:rStyle w:val="TextoNormalCaracter"/>
        </w:rPr>
        <w:t>-</w:t>
      </w:r>
      <w:r>
        <w:t xml:space="preserve"> Sentencia </w:t>
      </w:r>
      <w:hyperlink w:anchor="SENTENCIA_2025_43" w:history="1">
        <w:r w:rsidRPr="001D7FA9">
          <w:rPr>
            <w:rStyle w:val="TextoNormalCaracter"/>
          </w:rPr>
          <w:t>43/2025</w:t>
        </w:r>
      </w:hyperlink>
      <w:r>
        <w:t>, f. 1.</w:t>
      </w:r>
    </w:p>
    <w:p w14:paraId="12F86E04" w14:textId="5FA14E04" w:rsidR="001D7FA9" w:rsidRDefault="001D7FA9" w:rsidP="001D7FA9">
      <w:pPr>
        <w:pStyle w:val="SangriaFrancesaArticulo"/>
      </w:pPr>
    </w:p>
    <w:p w14:paraId="4919AB94" w14:textId="77777777" w:rsidR="001D7FA9" w:rsidRDefault="001D7FA9" w:rsidP="001D7FA9">
      <w:pPr>
        <w:pStyle w:val="TextoNormalNegritaCursivandice"/>
        <w:keepNext/>
      </w:pPr>
      <w:r>
        <w:t>Comunidad Autónoma de Canarias. Resolución de 10 de septiembre de 2024, de la Dirección General de Protección a la Infancia y las Familias, por la que se establece el Protocolo territorial de recepción de menores extranjeros migrantes no acompañados en la Comunidad Autónoma de Canarias</w:t>
      </w:r>
    </w:p>
    <w:p w14:paraId="56FD5719" w14:textId="2D91BBB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3" w:history="1">
        <w:r w:rsidRPr="001D7FA9">
          <w:rPr>
            <w:rStyle w:val="TextoNormalCaracter"/>
          </w:rPr>
          <w:t>43/2025</w:t>
        </w:r>
      </w:hyperlink>
      <w:r>
        <w:t>, f. 1.</w:t>
      </w:r>
    </w:p>
    <w:p w14:paraId="193683FF" w14:textId="5B729CFC" w:rsidR="001D7FA9" w:rsidRDefault="001D7FA9" w:rsidP="001D7FA9">
      <w:pPr>
        <w:pStyle w:val="TextoNormal"/>
      </w:pPr>
    </w:p>
    <w:p w14:paraId="5B63D1B9" w14:textId="77777777" w:rsidR="001D7FA9" w:rsidRDefault="001D7FA9" w:rsidP="001D7FA9">
      <w:pPr>
        <w:pStyle w:val="TextoNormalNegritaCentrado"/>
        <w:suppressAutoHyphens/>
      </w:pPr>
      <w:r w:rsidRPr="001D7FA9">
        <w:rPr>
          <w:rStyle w:val="TextoNormalNegritaCentradoSombreado"/>
        </w:rPr>
        <w:t>J.5) Cantabria</w:t>
      </w:r>
    </w:p>
    <w:p w14:paraId="0D1CAFB2" w14:textId="208CFA1C" w:rsidR="001D7FA9" w:rsidRDefault="001D7FA9" w:rsidP="001D7FA9">
      <w:pPr>
        <w:pStyle w:val="TextoNormal"/>
      </w:pPr>
    </w:p>
    <w:p w14:paraId="1F3A0D36" w14:textId="77777777" w:rsidR="001D7FA9" w:rsidRDefault="001D7FA9" w:rsidP="001D7FA9">
      <w:pPr>
        <w:pStyle w:val="TextoNormalNegritaCentradoSubrayado"/>
        <w:suppressAutoHyphens/>
      </w:pPr>
      <w:r>
        <w:t>J.5.a) Estatuto de Autonomía</w:t>
      </w:r>
    </w:p>
    <w:p w14:paraId="3605CBA2" w14:textId="1761D521" w:rsidR="001D7FA9" w:rsidRDefault="001D7FA9" w:rsidP="001D7FA9">
      <w:pPr>
        <w:pStyle w:val="TextoNormalNegritaCentradoSubrayado"/>
      </w:pPr>
    </w:p>
    <w:p w14:paraId="52DCE7C4" w14:textId="77777777" w:rsidR="001D7FA9" w:rsidRDefault="001D7FA9" w:rsidP="001D7FA9">
      <w:pPr>
        <w:pStyle w:val="TextoNormalNegritaCursivandice"/>
        <w:keepNext/>
      </w:pPr>
      <w:r>
        <w:t>Ley Orgánica 8/1981, de 30 de diciembre, de Estatuto de Autonomía para Cantabria</w:t>
      </w:r>
    </w:p>
    <w:p w14:paraId="729A4124" w14:textId="1DA9CEE7" w:rsidR="001D7FA9" w:rsidRDefault="001D7FA9" w:rsidP="001D7FA9">
      <w:pPr>
        <w:pStyle w:val="SangriaFrancesaArticulo"/>
      </w:pPr>
      <w:r w:rsidRPr="001D7FA9">
        <w:rPr>
          <w:rStyle w:val="TextoNormalNegritaCaracter"/>
        </w:rPr>
        <w:t>Artículo 35.3.</w:t>
      </w:r>
      <w:r w:rsidRPr="001D7FA9">
        <w:rPr>
          <w:rStyle w:val="TextoNormalCaracter"/>
        </w:rPr>
        <w:t>-</w:t>
      </w:r>
      <w:r>
        <w:t xml:space="preserve"> Sentencia </w:t>
      </w:r>
      <w:hyperlink w:anchor="SENTENCIA_2025_44" w:history="1">
        <w:r w:rsidRPr="001D7FA9">
          <w:rPr>
            <w:rStyle w:val="TextoNormalCaracter"/>
          </w:rPr>
          <w:t>44/2025</w:t>
        </w:r>
      </w:hyperlink>
      <w:r>
        <w:t>, f. 4.</w:t>
      </w:r>
    </w:p>
    <w:p w14:paraId="4007E6F1" w14:textId="0A33719D" w:rsidR="001D7FA9" w:rsidRDefault="001D7FA9" w:rsidP="001D7FA9">
      <w:pPr>
        <w:pStyle w:val="TextoNormal"/>
      </w:pPr>
    </w:p>
    <w:p w14:paraId="2DF795BB" w14:textId="77777777" w:rsidR="001D7FA9" w:rsidRDefault="001D7FA9" w:rsidP="001D7FA9">
      <w:pPr>
        <w:pStyle w:val="TextoNormalNegritaCentradoSubrayado"/>
        <w:suppressAutoHyphens/>
      </w:pPr>
      <w:r>
        <w:t>J.5.b) Leyes y disposiciones con fuerza de Ley</w:t>
      </w:r>
    </w:p>
    <w:p w14:paraId="2E85FB49" w14:textId="6505E38D" w:rsidR="001D7FA9" w:rsidRDefault="001D7FA9" w:rsidP="001D7FA9">
      <w:pPr>
        <w:pStyle w:val="TextoNormalNegritaCentradoSubrayado"/>
      </w:pPr>
    </w:p>
    <w:p w14:paraId="12925534" w14:textId="77777777" w:rsidR="001D7FA9" w:rsidRDefault="001D7FA9" w:rsidP="001D7FA9">
      <w:pPr>
        <w:pStyle w:val="TextoNormalNegritaCursivandice"/>
        <w:keepNext/>
      </w:pPr>
      <w:r>
        <w:t>Comunidad Autónoma de Cantabria. Ley 8/2021, de 17 de noviembre, de memoria histórica y democrática de Cantabria</w:t>
      </w:r>
    </w:p>
    <w:p w14:paraId="6DC6053A" w14:textId="25ECC7A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4" w:history="1">
        <w:r w:rsidRPr="001D7FA9">
          <w:rPr>
            <w:rStyle w:val="TextoNormalCaracter"/>
          </w:rPr>
          <w:t>64/2025</w:t>
        </w:r>
      </w:hyperlink>
      <w:r>
        <w:t>, ff. 1, 3, VP I, VP II, VP III.</w:t>
      </w:r>
    </w:p>
    <w:p w14:paraId="067E9876" w14:textId="41AB9027" w:rsidR="001D7FA9" w:rsidRDefault="001D7FA9" w:rsidP="001D7FA9">
      <w:pPr>
        <w:pStyle w:val="SangriaFrancesaArticulo"/>
      </w:pPr>
    </w:p>
    <w:p w14:paraId="706C6F60" w14:textId="77777777" w:rsidR="001D7FA9" w:rsidRDefault="001D7FA9" w:rsidP="001D7FA9">
      <w:pPr>
        <w:pStyle w:val="TextoNormalNegritaCursivandice"/>
        <w:keepNext/>
      </w:pPr>
      <w:r>
        <w:t>Comunidad Autónoma de Cantabria. Ley 1/2024, de 8 de noviembre, de derogación de la Ley 8/2021, de 17 de noviembre, de memoria histórica y democrática de Cantabria</w:t>
      </w:r>
    </w:p>
    <w:p w14:paraId="68EA6562" w14:textId="61DF57E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4" w:history="1">
        <w:r w:rsidRPr="001D7FA9">
          <w:rPr>
            <w:rStyle w:val="TextoNormalCaracter"/>
          </w:rPr>
          <w:t>64/2025</w:t>
        </w:r>
      </w:hyperlink>
      <w:r>
        <w:t>, f. 1, VP I, VP II, VP III.</w:t>
      </w:r>
    </w:p>
    <w:p w14:paraId="24C8BD42" w14:textId="44115B5A" w:rsidR="001D7FA9" w:rsidRDefault="001D7FA9" w:rsidP="001D7FA9">
      <w:pPr>
        <w:pStyle w:val="TextoNormal"/>
      </w:pPr>
    </w:p>
    <w:p w14:paraId="6AE3E811" w14:textId="77777777" w:rsidR="001D7FA9" w:rsidRDefault="001D7FA9" w:rsidP="001D7FA9">
      <w:pPr>
        <w:pStyle w:val="TextoNormalNegritaCentrado"/>
        <w:suppressAutoHyphens/>
      </w:pPr>
      <w:r w:rsidRPr="001D7FA9">
        <w:rPr>
          <w:rStyle w:val="TextoNormalNegritaCentradoSombreado"/>
        </w:rPr>
        <w:t>J.6) Castilla-La Mancha</w:t>
      </w:r>
    </w:p>
    <w:p w14:paraId="382EFB70" w14:textId="7D70C935" w:rsidR="001D7FA9" w:rsidRDefault="001D7FA9" w:rsidP="001D7FA9">
      <w:pPr>
        <w:pStyle w:val="TextoNormal"/>
      </w:pPr>
    </w:p>
    <w:p w14:paraId="1A95264B" w14:textId="77777777" w:rsidR="001D7FA9" w:rsidRDefault="001D7FA9" w:rsidP="001D7FA9">
      <w:pPr>
        <w:pStyle w:val="TextoNormalNegritaCentradoSubrayado"/>
        <w:suppressAutoHyphens/>
      </w:pPr>
      <w:r>
        <w:t>J.6.c) Decretos y otras disposiciones reglamentarias</w:t>
      </w:r>
    </w:p>
    <w:p w14:paraId="16AACA77" w14:textId="312604DB" w:rsidR="001D7FA9" w:rsidRDefault="001D7FA9" w:rsidP="001D7FA9">
      <w:pPr>
        <w:pStyle w:val="TextoNormalNegritaCentradoSubrayado"/>
      </w:pPr>
    </w:p>
    <w:p w14:paraId="0F7E5FB4" w14:textId="77777777" w:rsidR="001D7FA9" w:rsidRDefault="001D7FA9" w:rsidP="001D7FA9">
      <w:pPr>
        <w:pStyle w:val="TextoNormalNegritaCursivandice"/>
        <w:keepNext/>
      </w:pPr>
      <w:r>
        <w:t>Comunidad Autónoma de Castilla-La Mancha. Orden 95/2024, de 3 de junio, de la Consejería de Fomento, por la que se regula la competencia y el procedimiento de conciliación previa a los procesos judiciales de desahucio, recuperación de la posesión y ejecución hipotecaria de personas en situación de vulnerabilidad económica, previsto en la Ley 1/2000, de 7 de enero, de enjuiciamiento civil, en la redacción dada por la Ley 12/2023, de 24 de mayo, por el derecho a la vivienda</w:t>
      </w:r>
    </w:p>
    <w:p w14:paraId="6EF88805" w14:textId="14B3784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3272B538" w14:textId="759EFA62" w:rsidR="001D7FA9" w:rsidRDefault="001D7FA9" w:rsidP="001D7FA9">
      <w:pPr>
        <w:pStyle w:val="TextoNormal"/>
      </w:pPr>
    </w:p>
    <w:p w14:paraId="7D838915" w14:textId="77777777" w:rsidR="001D7FA9" w:rsidRDefault="001D7FA9" w:rsidP="001D7FA9">
      <w:pPr>
        <w:pStyle w:val="TextoNormalNegritaCentrado"/>
        <w:suppressAutoHyphens/>
      </w:pPr>
      <w:r w:rsidRPr="001D7FA9">
        <w:rPr>
          <w:rStyle w:val="TextoNormalNegritaCentradoSombreado"/>
        </w:rPr>
        <w:t>J.7) Cataluña</w:t>
      </w:r>
    </w:p>
    <w:p w14:paraId="30166F9D" w14:textId="67C4A1E4" w:rsidR="001D7FA9" w:rsidRDefault="001D7FA9" w:rsidP="001D7FA9">
      <w:pPr>
        <w:pStyle w:val="TextoNormal"/>
      </w:pPr>
    </w:p>
    <w:p w14:paraId="0883C89C" w14:textId="77777777" w:rsidR="001D7FA9" w:rsidRDefault="001D7FA9" w:rsidP="001D7FA9">
      <w:pPr>
        <w:pStyle w:val="TextoNormalNegritaCentradoSubrayado"/>
        <w:suppressAutoHyphens/>
      </w:pPr>
      <w:r>
        <w:t>J.7.a) Estatuto de Autonomía</w:t>
      </w:r>
    </w:p>
    <w:p w14:paraId="1336ABBA" w14:textId="3366C441" w:rsidR="001D7FA9" w:rsidRDefault="001D7FA9" w:rsidP="001D7FA9">
      <w:pPr>
        <w:pStyle w:val="TextoNormalNegritaCentradoSubrayado"/>
      </w:pPr>
    </w:p>
    <w:p w14:paraId="742FA0B4" w14:textId="77777777" w:rsidR="001D7FA9" w:rsidRDefault="001D7FA9" w:rsidP="001D7FA9">
      <w:pPr>
        <w:pStyle w:val="TextoNormalNegritaCursivandice"/>
        <w:keepNext/>
      </w:pPr>
      <w:r>
        <w:t>Ley Orgánica 6/2006, de 19 de julio, de reforma del Estatuto de Autonomía de Cataluña</w:t>
      </w:r>
    </w:p>
    <w:p w14:paraId="389E76F7" w14:textId="33F66BB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82" w:history="1">
        <w:r w:rsidRPr="001D7FA9">
          <w:rPr>
            <w:rStyle w:val="TextoNormalCaracter"/>
          </w:rPr>
          <w:t>82/2025</w:t>
        </w:r>
      </w:hyperlink>
      <w:r>
        <w:t>, f. 4.</w:t>
      </w:r>
    </w:p>
    <w:p w14:paraId="17F4C737" w14:textId="2BBD7563"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64" w:history="1">
        <w:r w:rsidRPr="001D7FA9">
          <w:rPr>
            <w:rStyle w:val="TextoNormalCaracter"/>
          </w:rPr>
          <w:t>64/2025</w:t>
        </w:r>
      </w:hyperlink>
      <w:r>
        <w:t>, ff. 1, 6.</w:t>
      </w:r>
    </w:p>
    <w:p w14:paraId="13402FC6" w14:textId="34A4C86D" w:rsidR="001D7FA9" w:rsidRDefault="001D7FA9" w:rsidP="001D7FA9">
      <w:pPr>
        <w:pStyle w:val="SangriaFrancesaArticulo"/>
      </w:pPr>
      <w:r w:rsidRPr="001D7FA9">
        <w:rPr>
          <w:rStyle w:val="TextoNormalNegritaCaracter"/>
        </w:rPr>
        <w:t>Artículo 9.9.</w:t>
      </w:r>
      <w:r w:rsidRPr="001D7FA9">
        <w:rPr>
          <w:rStyle w:val="TextoNormalCaracter"/>
        </w:rPr>
        <w:t>-</w:t>
      </w:r>
      <w:r>
        <w:t xml:space="preserve"> Sentencia </w:t>
      </w:r>
      <w:hyperlink w:anchor="SENTENCIA_2025_26" w:history="1">
        <w:r w:rsidRPr="001D7FA9">
          <w:rPr>
            <w:rStyle w:val="TextoNormalCaracter"/>
          </w:rPr>
          <w:t>26/2025</w:t>
        </w:r>
      </w:hyperlink>
      <w:r>
        <w:t>, VP I.</w:t>
      </w:r>
    </w:p>
    <w:p w14:paraId="31FBDF0F" w14:textId="02988639" w:rsidR="001D7FA9" w:rsidRDefault="001D7FA9" w:rsidP="001D7FA9">
      <w:pPr>
        <w:pStyle w:val="SangriaFrancesaArticulo"/>
      </w:pPr>
      <w:r w:rsidRPr="001D7FA9">
        <w:rPr>
          <w:rStyle w:val="TextoNormalNegritaCaracter"/>
        </w:rPr>
        <w:t>Artículo 64.</w:t>
      </w:r>
      <w:r w:rsidRPr="001D7FA9">
        <w:rPr>
          <w:rStyle w:val="TextoNormalCaracter"/>
        </w:rPr>
        <w:t>-</w:t>
      </w:r>
      <w:r>
        <w:t xml:space="preserve"> Sentencia </w:t>
      </w:r>
      <w:hyperlink w:anchor="SENTENCIA_2025_64" w:history="1">
        <w:r w:rsidRPr="001D7FA9">
          <w:rPr>
            <w:rStyle w:val="TextoNormalCaracter"/>
          </w:rPr>
          <w:t>64/2025</w:t>
        </w:r>
      </w:hyperlink>
      <w:r>
        <w:t>, ff. 1, 3, VP.</w:t>
      </w:r>
    </w:p>
    <w:p w14:paraId="4DFD43E4" w14:textId="5A8BCDBB" w:rsidR="001D7FA9" w:rsidRDefault="001D7FA9" w:rsidP="001D7FA9">
      <w:pPr>
        <w:pStyle w:val="SangriaFrancesaArticulo"/>
      </w:pPr>
      <w:r w:rsidRPr="001D7FA9">
        <w:rPr>
          <w:rStyle w:val="TextoNormalNegritaCaracter"/>
        </w:rPr>
        <w:t>Artículo 64.1.</w:t>
      </w:r>
      <w:r w:rsidRPr="001D7FA9">
        <w:rPr>
          <w:rStyle w:val="TextoNormalCaracter"/>
        </w:rPr>
        <w:t>-</w:t>
      </w:r>
      <w:r>
        <w:t xml:space="preserve"> Sentencias </w:t>
      </w:r>
      <w:hyperlink w:anchor="SENTENCIA_2025_25" w:history="1">
        <w:r w:rsidRPr="001D7FA9">
          <w:rPr>
            <w:rStyle w:val="TextoNormalCaracter"/>
          </w:rPr>
          <w:t>25/2025</w:t>
        </w:r>
      </w:hyperlink>
      <w:r>
        <w:t xml:space="preserve">, f. 3; </w:t>
      </w:r>
      <w:hyperlink w:anchor="SENTENCIA_2025_40" w:history="1">
        <w:r w:rsidRPr="001D7FA9">
          <w:rPr>
            <w:rStyle w:val="TextoNormalCaracter"/>
          </w:rPr>
          <w:t>40/2025</w:t>
        </w:r>
      </w:hyperlink>
      <w:r>
        <w:t xml:space="preserve">, f. 6; </w:t>
      </w:r>
      <w:hyperlink w:anchor="SENTENCIA_2025_118" w:history="1">
        <w:r w:rsidRPr="001D7FA9">
          <w:rPr>
            <w:rStyle w:val="TextoNormalCaracter"/>
          </w:rPr>
          <w:t>118/2025</w:t>
        </w:r>
      </w:hyperlink>
      <w:r>
        <w:t>, f. 5.</w:t>
      </w:r>
    </w:p>
    <w:p w14:paraId="3B91566F" w14:textId="46D7B54B" w:rsidR="001D7FA9" w:rsidRDefault="001D7FA9" w:rsidP="001D7FA9">
      <w:pPr>
        <w:pStyle w:val="SangriaFrancesaArticulo"/>
      </w:pPr>
      <w:r w:rsidRPr="001D7FA9">
        <w:rPr>
          <w:rStyle w:val="TextoNormalNegritaCaracter"/>
        </w:rPr>
        <w:t>Artículo 64.2.</w:t>
      </w:r>
      <w:r w:rsidRPr="001D7FA9">
        <w:rPr>
          <w:rStyle w:val="TextoNormalCaracter"/>
        </w:rPr>
        <w:t>-</w:t>
      </w:r>
      <w:r>
        <w:t xml:space="preserve"> Sentencia </w:t>
      </w:r>
      <w:hyperlink w:anchor="SENTENCIA_2025_25" w:history="1">
        <w:r w:rsidRPr="001D7FA9">
          <w:rPr>
            <w:rStyle w:val="TextoNormalCaracter"/>
          </w:rPr>
          <w:t>25/2025</w:t>
        </w:r>
      </w:hyperlink>
      <w:r>
        <w:t>, f. 2.</w:t>
      </w:r>
    </w:p>
    <w:p w14:paraId="0737EC2A" w14:textId="22F0B6A6" w:rsidR="001D7FA9" w:rsidRDefault="001D7FA9" w:rsidP="001D7FA9">
      <w:pPr>
        <w:pStyle w:val="SangriaFrancesaArticulo"/>
      </w:pPr>
      <w:r w:rsidRPr="001D7FA9">
        <w:rPr>
          <w:rStyle w:val="TextoNormalNegritaCaracter"/>
        </w:rPr>
        <w:t>Artículo 68.1.</w:t>
      </w:r>
      <w:r w:rsidRPr="001D7FA9">
        <w:rPr>
          <w:rStyle w:val="TextoNormalCaracter"/>
        </w:rPr>
        <w:t>-</w:t>
      </w:r>
      <w:r>
        <w:t xml:space="preserve"> Sentencia </w:t>
      </w:r>
      <w:hyperlink w:anchor="SENTENCIA_2025_40" w:history="1">
        <w:r w:rsidRPr="001D7FA9">
          <w:rPr>
            <w:rStyle w:val="TextoNormalCaracter"/>
          </w:rPr>
          <w:t>40/2025</w:t>
        </w:r>
      </w:hyperlink>
      <w:r>
        <w:t>, f. 6.</w:t>
      </w:r>
    </w:p>
    <w:p w14:paraId="6281499C" w14:textId="2A01A631" w:rsidR="001D7FA9" w:rsidRDefault="001D7FA9" w:rsidP="001D7FA9">
      <w:pPr>
        <w:pStyle w:val="SangriaFrancesaArticulo"/>
      </w:pPr>
      <w:r w:rsidRPr="001D7FA9">
        <w:rPr>
          <w:rStyle w:val="TextoNormalNegritaCaracter"/>
        </w:rPr>
        <w:t>Artículo 111.</w:t>
      </w:r>
      <w:r w:rsidRPr="001D7FA9">
        <w:rPr>
          <w:rStyle w:val="TextoNormalCaracter"/>
        </w:rPr>
        <w:t>-</w:t>
      </w:r>
      <w:r>
        <w:t xml:space="preserve"> Sentencia </w:t>
      </w:r>
      <w:hyperlink w:anchor="SENTENCIA_2025_82" w:history="1">
        <w:r w:rsidRPr="001D7FA9">
          <w:rPr>
            <w:rStyle w:val="TextoNormalCaracter"/>
          </w:rPr>
          <w:t>82/2025</w:t>
        </w:r>
      </w:hyperlink>
      <w:r>
        <w:t>, f. 4.</w:t>
      </w:r>
    </w:p>
    <w:p w14:paraId="3489E6C8" w14:textId="7ABE608B" w:rsidR="001D7FA9" w:rsidRDefault="001D7FA9" w:rsidP="001D7FA9">
      <w:pPr>
        <w:pStyle w:val="SangriaFrancesaArticulo"/>
      </w:pPr>
      <w:r w:rsidRPr="001D7FA9">
        <w:rPr>
          <w:rStyle w:val="TextoNormalNegritaCaracter"/>
        </w:rPr>
        <w:t>Artículo 131.</w:t>
      </w:r>
      <w:r w:rsidRPr="001D7FA9">
        <w:rPr>
          <w:rStyle w:val="TextoNormalCaracter"/>
        </w:rPr>
        <w:t>-</w:t>
      </w:r>
      <w:r>
        <w:t xml:space="preserve"> Sentencia </w:t>
      </w:r>
      <w:hyperlink w:anchor="SENTENCIA_2025_82" w:history="1">
        <w:r w:rsidRPr="001D7FA9">
          <w:rPr>
            <w:rStyle w:val="TextoNormalCaracter"/>
          </w:rPr>
          <w:t>82/2025</w:t>
        </w:r>
      </w:hyperlink>
      <w:r>
        <w:t>, f. 4.</w:t>
      </w:r>
    </w:p>
    <w:p w14:paraId="6B78F02C" w14:textId="2CA11892" w:rsidR="001D7FA9" w:rsidRDefault="001D7FA9" w:rsidP="001D7FA9">
      <w:pPr>
        <w:pStyle w:val="SangriaFrancesaArticulo"/>
      </w:pPr>
      <w:r w:rsidRPr="001D7FA9">
        <w:rPr>
          <w:rStyle w:val="TextoNormalNegritaCaracter"/>
        </w:rPr>
        <w:t>Artículo 131.1.</w:t>
      </w:r>
      <w:r w:rsidRPr="001D7FA9">
        <w:rPr>
          <w:rStyle w:val="TextoNormalCaracter"/>
        </w:rPr>
        <w:t>-</w:t>
      </w:r>
      <w:r>
        <w:t xml:space="preserve"> Sentencia </w:t>
      </w:r>
      <w:hyperlink w:anchor="SENTENCIA_2025_82" w:history="1">
        <w:r w:rsidRPr="001D7FA9">
          <w:rPr>
            <w:rStyle w:val="TextoNormalCaracter"/>
          </w:rPr>
          <w:t>82/2025</w:t>
        </w:r>
      </w:hyperlink>
      <w:r>
        <w:t>, f. 4.</w:t>
      </w:r>
    </w:p>
    <w:p w14:paraId="08DF7D27" w14:textId="07646E5A" w:rsidR="001D7FA9" w:rsidRDefault="001D7FA9" w:rsidP="001D7FA9">
      <w:pPr>
        <w:pStyle w:val="SangriaFrancesaArticulo"/>
      </w:pPr>
      <w:r w:rsidRPr="001D7FA9">
        <w:rPr>
          <w:rStyle w:val="TextoNormalNegritaCaracter"/>
        </w:rPr>
        <w:t>Artículo 131.2.</w:t>
      </w:r>
      <w:r w:rsidRPr="001D7FA9">
        <w:rPr>
          <w:rStyle w:val="TextoNormalCaracter"/>
        </w:rPr>
        <w:t>-</w:t>
      </w:r>
      <w:r>
        <w:t xml:space="preserve"> Sentencia </w:t>
      </w:r>
      <w:hyperlink w:anchor="SENTENCIA_2025_82" w:history="1">
        <w:r w:rsidRPr="001D7FA9">
          <w:rPr>
            <w:rStyle w:val="TextoNormalCaracter"/>
          </w:rPr>
          <w:t>82/2025</w:t>
        </w:r>
      </w:hyperlink>
      <w:r>
        <w:t>, f. 4.</w:t>
      </w:r>
    </w:p>
    <w:p w14:paraId="5CA03BAD" w14:textId="52364A7C" w:rsidR="001D7FA9" w:rsidRDefault="001D7FA9" w:rsidP="001D7FA9">
      <w:pPr>
        <w:pStyle w:val="SangriaFrancesaArticulo"/>
      </w:pPr>
      <w:r w:rsidRPr="001D7FA9">
        <w:rPr>
          <w:rStyle w:val="TextoNormalNegritaCaracter"/>
        </w:rPr>
        <w:t>Artículo 131.3.</w:t>
      </w:r>
      <w:r w:rsidRPr="001D7FA9">
        <w:rPr>
          <w:rStyle w:val="TextoNormalCaracter"/>
        </w:rPr>
        <w:t>-</w:t>
      </w:r>
      <w:r>
        <w:t xml:space="preserve"> Sentencia </w:t>
      </w:r>
      <w:hyperlink w:anchor="SENTENCIA_2025_82" w:history="1">
        <w:r w:rsidRPr="001D7FA9">
          <w:rPr>
            <w:rStyle w:val="TextoNormalCaracter"/>
          </w:rPr>
          <w:t>82/2025</w:t>
        </w:r>
      </w:hyperlink>
      <w:r>
        <w:t>, f. 4.</w:t>
      </w:r>
    </w:p>
    <w:p w14:paraId="49EC31D7" w14:textId="632196A0" w:rsidR="001D7FA9" w:rsidRDefault="001D7FA9" w:rsidP="001D7FA9">
      <w:pPr>
        <w:pStyle w:val="SangriaFrancesaArticulo"/>
      </w:pPr>
      <w:r w:rsidRPr="001D7FA9">
        <w:rPr>
          <w:rStyle w:val="TextoNormalNegritaCaracter"/>
        </w:rPr>
        <w:t>Artículo 131.3 h).</w:t>
      </w:r>
      <w:r w:rsidRPr="001D7FA9">
        <w:rPr>
          <w:rStyle w:val="TextoNormalCaracter"/>
        </w:rPr>
        <w:t>-</w:t>
      </w:r>
      <w:r>
        <w:t xml:space="preserve"> Sentencia </w:t>
      </w:r>
      <w:hyperlink w:anchor="SENTENCIA_2025_82" w:history="1">
        <w:r w:rsidRPr="001D7FA9">
          <w:rPr>
            <w:rStyle w:val="TextoNormalCaracter"/>
          </w:rPr>
          <w:t>82/2025</w:t>
        </w:r>
      </w:hyperlink>
      <w:r>
        <w:t>, f. 5.</w:t>
      </w:r>
    </w:p>
    <w:p w14:paraId="08A343CF" w14:textId="1FD8C27B" w:rsidR="001D7FA9" w:rsidRDefault="001D7FA9" w:rsidP="001D7FA9">
      <w:pPr>
        <w:pStyle w:val="SangriaFrancesaArticulo"/>
      </w:pPr>
      <w:r w:rsidRPr="001D7FA9">
        <w:rPr>
          <w:rStyle w:val="TextoNormalNegritaCaracter"/>
        </w:rPr>
        <w:t>Artículo 137.</w:t>
      </w:r>
      <w:r w:rsidRPr="001D7FA9">
        <w:rPr>
          <w:rStyle w:val="TextoNormalCaracter"/>
        </w:rPr>
        <w:t>-</w:t>
      </w:r>
      <w:r>
        <w:t xml:space="preserve"> Sentencias </w:t>
      </w:r>
      <w:hyperlink w:anchor="SENTENCIA_2025_25" w:history="1">
        <w:r w:rsidRPr="001D7FA9">
          <w:rPr>
            <w:rStyle w:val="TextoNormalCaracter"/>
          </w:rPr>
          <w:t>25/2025</w:t>
        </w:r>
      </w:hyperlink>
      <w:r>
        <w:t xml:space="preserve">, f. 4; </w:t>
      </w:r>
      <w:hyperlink w:anchor="SENTENCIA_2025_64" w:history="1">
        <w:r w:rsidRPr="001D7FA9">
          <w:rPr>
            <w:rStyle w:val="TextoNormalCaracter"/>
          </w:rPr>
          <w:t>64/2025</w:t>
        </w:r>
      </w:hyperlink>
      <w:r>
        <w:t>, f. 6.</w:t>
      </w:r>
    </w:p>
    <w:p w14:paraId="16A11615" w14:textId="1135461C" w:rsidR="001D7FA9" w:rsidRDefault="001D7FA9" w:rsidP="001D7FA9">
      <w:pPr>
        <w:pStyle w:val="SangriaFrancesaArticulo"/>
      </w:pPr>
      <w:r w:rsidRPr="001D7FA9">
        <w:rPr>
          <w:rStyle w:val="TextoNormalNegritaCaracter"/>
        </w:rPr>
        <w:t>Artículo 141.1 e).</w:t>
      </w:r>
      <w:r w:rsidRPr="001D7FA9">
        <w:rPr>
          <w:rStyle w:val="TextoNormalCaracter"/>
        </w:rPr>
        <w:t>-</w:t>
      </w:r>
      <w:r>
        <w:t xml:space="preserve"> Sentencia </w:t>
      </w:r>
      <w:hyperlink w:anchor="SENTENCIA_2025_64" w:history="1">
        <w:r w:rsidRPr="001D7FA9">
          <w:rPr>
            <w:rStyle w:val="TextoNormalCaracter"/>
          </w:rPr>
          <w:t>64/2025</w:t>
        </w:r>
      </w:hyperlink>
      <w:r>
        <w:t>, f. 6.</w:t>
      </w:r>
    </w:p>
    <w:p w14:paraId="6A0BCDE5" w14:textId="60F36006" w:rsidR="001D7FA9" w:rsidRDefault="001D7FA9" w:rsidP="001D7FA9">
      <w:pPr>
        <w:pStyle w:val="SangriaFrancesaArticulo"/>
      </w:pPr>
      <w:r w:rsidRPr="001D7FA9">
        <w:rPr>
          <w:rStyle w:val="TextoNormalNegritaCaracter"/>
        </w:rPr>
        <w:t>Artículo 149.1.</w:t>
      </w:r>
      <w:r w:rsidRPr="001D7FA9">
        <w:rPr>
          <w:rStyle w:val="TextoNormalCaracter"/>
        </w:rPr>
        <w:t>-</w:t>
      </w:r>
      <w:r>
        <w:t xml:space="preserve"> Sentencia </w:t>
      </w:r>
      <w:hyperlink w:anchor="SENTENCIA_2025_64" w:history="1">
        <w:r w:rsidRPr="001D7FA9">
          <w:rPr>
            <w:rStyle w:val="TextoNormalCaracter"/>
          </w:rPr>
          <w:t>64/2025</w:t>
        </w:r>
      </w:hyperlink>
      <w:r>
        <w:t>, f. 6.</w:t>
      </w:r>
    </w:p>
    <w:p w14:paraId="57325510" w14:textId="19E9D3E3" w:rsidR="001D7FA9" w:rsidRDefault="001D7FA9" w:rsidP="001D7FA9">
      <w:pPr>
        <w:pStyle w:val="SangriaFrancesaArticulo"/>
      </w:pPr>
      <w:r w:rsidRPr="001D7FA9">
        <w:rPr>
          <w:rStyle w:val="TextoNormalNegritaCaracter"/>
        </w:rPr>
        <w:t>Artículo 149.5.</w:t>
      </w:r>
      <w:r w:rsidRPr="001D7FA9">
        <w:rPr>
          <w:rStyle w:val="TextoNormalCaracter"/>
        </w:rPr>
        <w:t>-</w:t>
      </w:r>
      <w:r>
        <w:t xml:space="preserve"> Sentencia </w:t>
      </w:r>
      <w:hyperlink w:anchor="SENTENCIA_2025_64" w:history="1">
        <w:r w:rsidRPr="001D7FA9">
          <w:rPr>
            <w:rStyle w:val="TextoNormalCaracter"/>
          </w:rPr>
          <w:t>64/2025</w:t>
        </w:r>
      </w:hyperlink>
      <w:r>
        <w:t>, f. 6.</w:t>
      </w:r>
    </w:p>
    <w:p w14:paraId="55BC8C8E" w14:textId="396A8C34" w:rsidR="001D7FA9" w:rsidRDefault="001D7FA9" w:rsidP="001D7FA9">
      <w:pPr>
        <w:pStyle w:val="SangriaFrancesaArticulo"/>
      </w:pPr>
      <w:r w:rsidRPr="001D7FA9">
        <w:rPr>
          <w:rStyle w:val="TextoNormalNegritaCaracter"/>
        </w:rPr>
        <w:t>Artículo 149.5 a).</w:t>
      </w:r>
      <w:r w:rsidRPr="001D7FA9">
        <w:rPr>
          <w:rStyle w:val="TextoNormalCaracter"/>
        </w:rPr>
        <w:t>-</w:t>
      </w:r>
      <w:r>
        <w:t xml:space="preserve"> Sentencia </w:t>
      </w:r>
      <w:hyperlink w:anchor="SENTENCIA_2025_64" w:history="1">
        <w:r w:rsidRPr="001D7FA9">
          <w:rPr>
            <w:rStyle w:val="TextoNormalCaracter"/>
          </w:rPr>
          <w:t>64/2025</w:t>
        </w:r>
      </w:hyperlink>
      <w:r>
        <w:t>, f. 6.</w:t>
      </w:r>
    </w:p>
    <w:p w14:paraId="1BD7C49E" w14:textId="351D7633" w:rsidR="001D7FA9" w:rsidRDefault="001D7FA9" w:rsidP="001D7FA9">
      <w:pPr>
        <w:pStyle w:val="SangriaFrancesaArticulo"/>
      </w:pPr>
      <w:r w:rsidRPr="001D7FA9">
        <w:rPr>
          <w:rStyle w:val="TextoNormalNegritaCaracter"/>
        </w:rPr>
        <w:t>Artículo 149.5 d).</w:t>
      </w:r>
      <w:r w:rsidRPr="001D7FA9">
        <w:rPr>
          <w:rStyle w:val="TextoNormalCaracter"/>
        </w:rPr>
        <w:t>-</w:t>
      </w:r>
      <w:r>
        <w:t xml:space="preserve"> Sentencia </w:t>
      </w:r>
      <w:hyperlink w:anchor="SENTENCIA_2025_64" w:history="1">
        <w:r w:rsidRPr="001D7FA9">
          <w:rPr>
            <w:rStyle w:val="TextoNormalCaracter"/>
          </w:rPr>
          <w:t>64/2025</w:t>
        </w:r>
      </w:hyperlink>
      <w:r>
        <w:t>, f. 6.</w:t>
      </w:r>
    </w:p>
    <w:p w14:paraId="692F214F" w14:textId="23C0023F" w:rsidR="001D7FA9" w:rsidRDefault="001D7FA9" w:rsidP="001D7FA9">
      <w:pPr>
        <w:pStyle w:val="SangriaFrancesaArticulo"/>
      </w:pPr>
      <w:r w:rsidRPr="001D7FA9">
        <w:rPr>
          <w:rStyle w:val="TextoNormalNegritaCaracter"/>
        </w:rPr>
        <w:t>Artículo 172.</w:t>
      </w:r>
      <w:r w:rsidRPr="001D7FA9">
        <w:rPr>
          <w:rStyle w:val="TextoNormalCaracter"/>
        </w:rPr>
        <w:t>-</w:t>
      </w:r>
      <w:r>
        <w:t xml:space="preserve"> Sentencia </w:t>
      </w:r>
      <w:hyperlink w:anchor="SENTENCIA_2025_82" w:history="1">
        <w:r w:rsidRPr="001D7FA9">
          <w:rPr>
            <w:rStyle w:val="TextoNormalCaracter"/>
          </w:rPr>
          <w:t>82/2025</w:t>
        </w:r>
      </w:hyperlink>
      <w:r>
        <w:t>, f. 2.</w:t>
      </w:r>
    </w:p>
    <w:p w14:paraId="751E0794" w14:textId="0C119D6D" w:rsidR="001D7FA9" w:rsidRDefault="001D7FA9" w:rsidP="001D7FA9">
      <w:pPr>
        <w:pStyle w:val="SangriaFrancesaArticulo"/>
      </w:pPr>
      <w:r w:rsidRPr="001D7FA9">
        <w:rPr>
          <w:rStyle w:val="TextoNormalNegritaCaracter"/>
        </w:rPr>
        <w:t>Artículo 172.1.</w:t>
      </w:r>
      <w:r w:rsidRPr="001D7FA9">
        <w:rPr>
          <w:rStyle w:val="TextoNormalCaracter"/>
        </w:rPr>
        <w:t>-</w:t>
      </w:r>
      <w:r>
        <w:t xml:space="preserve"> Sentencia </w:t>
      </w:r>
      <w:hyperlink w:anchor="SENTENCIA_2025_82" w:history="1">
        <w:r w:rsidRPr="001D7FA9">
          <w:rPr>
            <w:rStyle w:val="TextoNormalCaracter"/>
          </w:rPr>
          <w:t>82/2025</w:t>
        </w:r>
      </w:hyperlink>
      <w:r>
        <w:t>, f. 7.</w:t>
      </w:r>
    </w:p>
    <w:p w14:paraId="275F7FDB" w14:textId="35E59C46" w:rsidR="001D7FA9" w:rsidRDefault="001D7FA9" w:rsidP="001D7FA9">
      <w:pPr>
        <w:pStyle w:val="SangriaFrancesaArticulo"/>
      </w:pPr>
      <w:r w:rsidRPr="001D7FA9">
        <w:rPr>
          <w:rStyle w:val="TextoNormalNegritaCaracter"/>
        </w:rPr>
        <w:t>Artículo 174.</w:t>
      </w:r>
      <w:r w:rsidRPr="001D7FA9">
        <w:rPr>
          <w:rStyle w:val="TextoNormalCaracter"/>
        </w:rPr>
        <w:t>-</w:t>
      </w:r>
      <w:r>
        <w:t xml:space="preserve"> Sentencia </w:t>
      </w:r>
      <w:hyperlink w:anchor="SENTENCIA_2025_82" w:history="1">
        <w:r w:rsidRPr="001D7FA9">
          <w:rPr>
            <w:rStyle w:val="TextoNormalCaracter"/>
          </w:rPr>
          <w:t>82/2025</w:t>
        </w:r>
      </w:hyperlink>
      <w:r>
        <w:t>, f. 7.</w:t>
      </w:r>
    </w:p>
    <w:p w14:paraId="799B78D4" w14:textId="456C4529" w:rsidR="001D7FA9" w:rsidRDefault="001D7FA9" w:rsidP="001D7FA9">
      <w:pPr>
        <w:pStyle w:val="SangriaFrancesaArticulo"/>
      </w:pPr>
      <w:r w:rsidRPr="001D7FA9">
        <w:rPr>
          <w:rStyle w:val="TextoNormalNegritaCaracter"/>
        </w:rPr>
        <w:t>Artículo 174.3.</w:t>
      </w:r>
      <w:r w:rsidRPr="001D7FA9">
        <w:rPr>
          <w:rStyle w:val="TextoNormalCaracter"/>
        </w:rPr>
        <w:t>-</w:t>
      </w:r>
      <w:r>
        <w:t xml:space="preserve"> Sentencia </w:t>
      </w:r>
      <w:hyperlink w:anchor="SENTENCIA_2025_82" w:history="1">
        <w:r w:rsidRPr="001D7FA9">
          <w:rPr>
            <w:rStyle w:val="TextoNormalCaracter"/>
          </w:rPr>
          <w:t>82/2025</w:t>
        </w:r>
      </w:hyperlink>
      <w:r>
        <w:t>, f. 2.</w:t>
      </w:r>
    </w:p>
    <w:p w14:paraId="173505DA" w14:textId="543388D9" w:rsidR="001D7FA9" w:rsidRDefault="001D7FA9" w:rsidP="001D7FA9">
      <w:pPr>
        <w:pStyle w:val="SangriaFrancesaArticulo"/>
      </w:pPr>
      <w:r w:rsidRPr="001D7FA9">
        <w:rPr>
          <w:rStyle w:val="TextoNormalNegritaCaracter"/>
        </w:rPr>
        <w:t>Artículo 203.5.</w:t>
      </w:r>
      <w:r w:rsidRPr="001D7FA9">
        <w:rPr>
          <w:rStyle w:val="TextoNormalCaracter"/>
        </w:rPr>
        <w:t>-</w:t>
      </w:r>
      <w:r>
        <w:t xml:space="preserve"> Sentencia </w:t>
      </w:r>
      <w:hyperlink w:anchor="SENTENCIA_2025_40" w:history="1">
        <w:r w:rsidRPr="001D7FA9">
          <w:rPr>
            <w:rStyle w:val="TextoNormalCaracter"/>
          </w:rPr>
          <w:t>40/2025</w:t>
        </w:r>
      </w:hyperlink>
      <w:r>
        <w:t>, f. 6.</w:t>
      </w:r>
    </w:p>
    <w:p w14:paraId="303D5F62" w14:textId="3D80F49D" w:rsidR="001D7FA9" w:rsidRDefault="001D7FA9" w:rsidP="001D7FA9">
      <w:pPr>
        <w:pStyle w:val="TextoNormal"/>
      </w:pPr>
    </w:p>
    <w:p w14:paraId="27BF2E76" w14:textId="77777777" w:rsidR="001D7FA9" w:rsidRDefault="001D7FA9" w:rsidP="001D7FA9">
      <w:pPr>
        <w:pStyle w:val="TextoNormalNegritaCentradoSubrayado"/>
        <w:suppressAutoHyphens/>
      </w:pPr>
      <w:r>
        <w:t>J.7.b) Leyes y disposiciones con fuerza de Ley</w:t>
      </w:r>
    </w:p>
    <w:p w14:paraId="1EA78FAC" w14:textId="1D3F7D86" w:rsidR="001D7FA9" w:rsidRDefault="001D7FA9" w:rsidP="001D7FA9">
      <w:pPr>
        <w:pStyle w:val="TextoNormalNegritaCentradoSubrayado"/>
      </w:pPr>
    </w:p>
    <w:p w14:paraId="03989FCC" w14:textId="77777777" w:rsidR="001D7FA9" w:rsidRDefault="001D7FA9" w:rsidP="001D7FA9">
      <w:pPr>
        <w:pStyle w:val="TextoNormalNegritaCursivandice"/>
        <w:keepNext/>
      </w:pPr>
      <w:r>
        <w:t>Comunidad Autónoma de Cataluña. Ley del Parlamento 13/2002, de 21 de junio, de turismo de Cataluña</w:t>
      </w:r>
    </w:p>
    <w:p w14:paraId="354E94F2" w14:textId="63127194" w:rsidR="001D7FA9" w:rsidRDefault="001D7FA9" w:rsidP="001D7FA9">
      <w:pPr>
        <w:pStyle w:val="SangriaFrancesaArticulo"/>
      </w:pPr>
      <w:r w:rsidRPr="001D7FA9">
        <w:rPr>
          <w:rStyle w:val="TextoNormalNegritaCaracter"/>
        </w:rPr>
        <w:t>Artículo 50 bis</w:t>
      </w:r>
      <w:r>
        <w:t xml:space="preserve"> (redactado por la Ley del Parlamento de Cataluña 9/2011)</w:t>
      </w:r>
      <w:r w:rsidRPr="001D7FA9">
        <w:rPr>
          <w:rStyle w:val="TextoNormalNegritaCaracter"/>
        </w:rPr>
        <w:t>.</w:t>
      </w:r>
      <w:r w:rsidRPr="001D7FA9">
        <w:rPr>
          <w:rStyle w:val="TextoNormalCaracter"/>
        </w:rPr>
        <w:t>-</w:t>
      </w:r>
      <w:r>
        <w:t xml:space="preserve"> Sentencia </w:t>
      </w:r>
      <w:hyperlink w:anchor="SENTENCIA_2025_64" w:history="1">
        <w:r w:rsidRPr="001D7FA9">
          <w:rPr>
            <w:rStyle w:val="TextoNormalCaracter"/>
          </w:rPr>
          <w:t>64/2025</w:t>
        </w:r>
      </w:hyperlink>
      <w:r>
        <w:t>, f. 2.</w:t>
      </w:r>
    </w:p>
    <w:p w14:paraId="4471F35D" w14:textId="6AC87CED" w:rsidR="001D7FA9" w:rsidRDefault="001D7FA9" w:rsidP="001D7FA9">
      <w:pPr>
        <w:pStyle w:val="SangriaFrancesaArticulo"/>
      </w:pPr>
      <w:r w:rsidRPr="001D7FA9">
        <w:rPr>
          <w:rStyle w:val="TextoNormalNegritaCaracter"/>
        </w:rPr>
        <w:t>Artículo 50 bis, apartado 1.</w:t>
      </w:r>
      <w:r w:rsidRPr="001D7FA9">
        <w:rPr>
          <w:rStyle w:val="TextoNormalCaracter"/>
        </w:rPr>
        <w:t>-</w:t>
      </w:r>
      <w:r>
        <w:t xml:space="preserve"> Sentencia </w:t>
      </w:r>
      <w:hyperlink w:anchor="SENTENCIA_2025_64" w:history="1">
        <w:r w:rsidRPr="001D7FA9">
          <w:rPr>
            <w:rStyle w:val="TextoNormalCaracter"/>
          </w:rPr>
          <w:t>64/2025</w:t>
        </w:r>
      </w:hyperlink>
      <w:r>
        <w:t>, ff. 2, 4.</w:t>
      </w:r>
    </w:p>
    <w:p w14:paraId="0F756B48" w14:textId="1A071153" w:rsidR="001D7FA9" w:rsidRDefault="001D7FA9" w:rsidP="001D7FA9">
      <w:pPr>
        <w:pStyle w:val="SangriaFrancesaArticulo"/>
      </w:pPr>
      <w:r w:rsidRPr="001D7FA9">
        <w:rPr>
          <w:rStyle w:val="TextoNormalNegritaCaracter"/>
        </w:rPr>
        <w:t>Disposición adicional décima.</w:t>
      </w:r>
      <w:r w:rsidRPr="001D7FA9">
        <w:rPr>
          <w:rStyle w:val="TextoNormalCaracter"/>
        </w:rPr>
        <w:t>-</w:t>
      </w:r>
      <w:r>
        <w:t xml:space="preserve"> Sentencia </w:t>
      </w:r>
      <w:hyperlink w:anchor="SENTENCIA_2025_64" w:history="1">
        <w:r w:rsidRPr="001D7FA9">
          <w:rPr>
            <w:rStyle w:val="TextoNormalCaracter"/>
          </w:rPr>
          <w:t>64/2025</w:t>
        </w:r>
      </w:hyperlink>
      <w:r>
        <w:t>, f. 2.</w:t>
      </w:r>
    </w:p>
    <w:p w14:paraId="094C44F1" w14:textId="4DFD74C4" w:rsidR="001D7FA9" w:rsidRDefault="001D7FA9" w:rsidP="001D7FA9">
      <w:pPr>
        <w:pStyle w:val="SangriaFrancesaArticulo"/>
      </w:pPr>
    </w:p>
    <w:p w14:paraId="23BEFEDD" w14:textId="77777777" w:rsidR="001D7FA9" w:rsidRDefault="001D7FA9" w:rsidP="001D7FA9">
      <w:pPr>
        <w:pStyle w:val="TextoNormalNegritaCursivandice"/>
        <w:keepNext/>
      </w:pPr>
      <w:r>
        <w:t>Comunidad Autónoma de Cataluña. Ley 5/2006, de 10 de mayo, del libro quinto del Código civil de Cataluña, relativo a los derechos reales</w:t>
      </w:r>
    </w:p>
    <w:p w14:paraId="368414C5" w14:textId="667B5A0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2.</w:t>
      </w:r>
    </w:p>
    <w:p w14:paraId="607235EB" w14:textId="188B63E5" w:rsidR="001D7FA9" w:rsidRDefault="001D7FA9" w:rsidP="001D7FA9">
      <w:pPr>
        <w:pStyle w:val="SangriaFrancesaArticulo"/>
      </w:pPr>
    </w:p>
    <w:p w14:paraId="7F890409" w14:textId="77777777" w:rsidR="001D7FA9" w:rsidRDefault="001D7FA9" w:rsidP="001D7FA9">
      <w:pPr>
        <w:pStyle w:val="TextoNormalNegritaCursivandice"/>
        <w:keepNext/>
      </w:pPr>
      <w:r>
        <w:t>Comunidad Autónoma de Cataluña. Ley del Parlamento 18/2007, de 28 de diciembre, del derecho a la vivienda</w:t>
      </w:r>
    </w:p>
    <w:p w14:paraId="60F51025" w14:textId="063CA98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25" w:history="1">
        <w:r w:rsidRPr="001D7FA9">
          <w:rPr>
            <w:rStyle w:val="TextoNormalCaracter"/>
          </w:rPr>
          <w:t>25/2025</w:t>
        </w:r>
      </w:hyperlink>
      <w:r>
        <w:t xml:space="preserve">, ff. 2, 5, VP II; </w:t>
      </w:r>
      <w:hyperlink w:anchor="SENTENCIA_2025_64" w:history="1">
        <w:r w:rsidRPr="001D7FA9">
          <w:rPr>
            <w:rStyle w:val="TextoNormalCaracter"/>
          </w:rPr>
          <w:t>64/2025</w:t>
        </w:r>
      </w:hyperlink>
      <w:r>
        <w:t>, f. 2.</w:t>
      </w:r>
    </w:p>
    <w:p w14:paraId="2153F7E5" w14:textId="659C32E6" w:rsidR="001D7FA9" w:rsidRDefault="001D7FA9" w:rsidP="001D7FA9">
      <w:pPr>
        <w:pStyle w:val="SangriaFrancesaArticulo"/>
      </w:pPr>
      <w:r w:rsidRPr="001D7FA9">
        <w:rPr>
          <w:rStyle w:val="TextoNormalNegritaCaracter"/>
        </w:rPr>
        <w:t>Artículo 3 l).</w:t>
      </w:r>
      <w:r w:rsidRPr="001D7FA9">
        <w:rPr>
          <w:rStyle w:val="TextoNormalCaracter"/>
        </w:rPr>
        <w:t>-</w:t>
      </w:r>
      <w:r>
        <w:t xml:space="preserve"> Sentencia </w:t>
      </w:r>
      <w:hyperlink w:anchor="SENTENCIA_2025_64" w:history="1">
        <w:r w:rsidRPr="001D7FA9">
          <w:rPr>
            <w:rStyle w:val="TextoNormalCaracter"/>
          </w:rPr>
          <w:t>64/2025</w:t>
        </w:r>
      </w:hyperlink>
      <w:r>
        <w:t>, f. 2.</w:t>
      </w:r>
    </w:p>
    <w:p w14:paraId="7E61E0D9" w14:textId="05EA6789" w:rsidR="001D7FA9" w:rsidRDefault="001D7FA9" w:rsidP="001D7FA9">
      <w:pPr>
        <w:pStyle w:val="SangriaFrancesaArticulo"/>
      </w:pPr>
      <w:r w:rsidRPr="001D7FA9">
        <w:rPr>
          <w:rStyle w:val="TextoNormalNegritaCaracter"/>
        </w:rPr>
        <w:t>Artículo 5.2 b)</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06EB309B" w14:textId="6D6F78E8" w:rsidR="001D7FA9" w:rsidRDefault="001D7FA9" w:rsidP="001D7FA9">
      <w:pPr>
        <w:pStyle w:val="SangriaFrancesaArticulo"/>
      </w:pPr>
      <w:r w:rsidRPr="001D7FA9">
        <w:rPr>
          <w:rStyle w:val="TextoNormalNegritaCaracter"/>
        </w:rPr>
        <w:t>Artículo 5.2 bis</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6C9F77B7" w14:textId="66D3F283" w:rsidR="001D7FA9" w:rsidRDefault="001D7FA9" w:rsidP="001D7FA9">
      <w:pPr>
        <w:pStyle w:val="SangriaFrancesaArticulo"/>
      </w:pPr>
      <w:r w:rsidRPr="001D7FA9">
        <w:rPr>
          <w:rStyle w:val="TextoNormalNegritaCaracter"/>
        </w:rPr>
        <w:t>Artículo 5.2 d)</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5268D0F6" w14:textId="649910AF" w:rsidR="001D7FA9" w:rsidRDefault="001D7FA9" w:rsidP="001D7FA9">
      <w:pPr>
        <w:pStyle w:val="SangriaFrancesaArticulo"/>
      </w:pPr>
      <w:r w:rsidRPr="001D7FA9">
        <w:rPr>
          <w:rStyle w:val="TextoNormalNegritaCaracter"/>
        </w:rPr>
        <w:t>Artículo 5.2 f)</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0DBBDB83" w14:textId="6DBF02F3" w:rsidR="001D7FA9" w:rsidRDefault="001D7FA9" w:rsidP="001D7FA9">
      <w:pPr>
        <w:pStyle w:val="SangriaFrancesaArticulo"/>
      </w:pPr>
      <w:r w:rsidRPr="001D7FA9">
        <w:rPr>
          <w:rStyle w:val="TextoNormalNegritaCaracter"/>
        </w:rPr>
        <w:t>Artículo 5.3 bis</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 VP II.</w:t>
      </w:r>
    </w:p>
    <w:p w14:paraId="5BD33D28" w14:textId="323D4832" w:rsidR="001D7FA9" w:rsidRDefault="001D7FA9" w:rsidP="001D7FA9">
      <w:pPr>
        <w:pStyle w:val="SangriaFrancesaArticulo"/>
      </w:pPr>
      <w:r w:rsidRPr="001D7FA9">
        <w:rPr>
          <w:rStyle w:val="TextoNormalNegritaCaracter"/>
        </w:rPr>
        <w:t>Artículo 5.3 bis inciso segundo</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07E15C2D" w14:textId="42B36A76" w:rsidR="001D7FA9" w:rsidRDefault="001D7FA9" w:rsidP="001D7FA9">
      <w:pPr>
        <w:pStyle w:val="SangriaFrancesaArticulo"/>
      </w:pPr>
      <w:r w:rsidRPr="001D7FA9">
        <w:rPr>
          <w:rStyle w:val="TextoNormalNegritaCaracter"/>
        </w:rPr>
        <w:t>Artículo 19.1</w:t>
      </w:r>
      <w:r>
        <w:t xml:space="preserve"> (redactado por la Ley del Parlamento de Cataluña 9/2011)</w:t>
      </w:r>
      <w:r w:rsidRPr="001D7FA9">
        <w:rPr>
          <w:rStyle w:val="TextoNormalNegritaCaracter"/>
        </w:rPr>
        <w:t>.</w:t>
      </w:r>
      <w:r w:rsidRPr="001D7FA9">
        <w:rPr>
          <w:rStyle w:val="TextoNormalCaracter"/>
        </w:rPr>
        <w:t>-</w:t>
      </w:r>
      <w:r>
        <w:t xml:space="preserve"> Sentencia </w:t>
      </w:r>
      <w:hyperlink w:anchor="SENTENCIA_2025_64" w:history="1">
        <w:r w:rsidRPr="001D7FA9">
          <w:rPr>
            <w:rStyle w:val="TextoNormalCaracter"/>
          </w:rPr>
          <w:t>64/2025</w:t>
        </w:r>
      </w:hyperlink>
      <w:r>
        <w:t>, f. 2.</w:t>
      </w:r>
    </w:p>
    <w:p w14:paraId="7021B3DC" w14:textId="13D99580" w:rsidR="001D7FA9" w:rsidRDefault="001D7FA9" w:rsidP="001D7FA9">
      <w:pPr>
        <w:pStyle w:val="SangriaFrancesaArticulo"/>
      </w:pPr>
      <w:r w:rsidRPr="001D7FA9">
        <w:rPr>
          <w:rStyle w:val="TextoNormalNegritaCaracter"/>
        </w:rPr>
        <w:t>Artículo 41.1 a)</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6F385680" w14:textId="53C65399" w:rsidR="001D7FA9" w:rsidRDefault="001D7FA9" w:rsidP="001D7FA9">
      <w:pPr>
        <w:pStyle w:val="SangriaFrancesaArticulo"/>
      </w:pPr>
      <w:r w:rsidRPr="001D7FA9">
        <w:rPr>
          <w:rStyle w:val="TextoNormalNegritaCaracter"/>
        </w:rPr>
        <w:t>Artículo 42.6</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 VP I, VP II.</w:t>
      </w:r>
    </w:p>
    <w:p w14:paraId="49DE826B" w14:textId="1A58F44B" w:rsidR="001D7FA9" w:rsidRDefault="001D7FA9" w:rsidP="001D7FA9">
      <w:pPr>
        <w:pStyle w:val="SangriaFrancesaArticulo"/>
      </w:pPr>
      <w:r w:rsidRPr="001D7FA9">
        <w:rPr>
          <w:rStyle w:val="TextoNormalNegritaCaracter"/>
        </w:rPr>
        <w:t>Artículo 42.7</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 VP I, VP II.</w:t>
      </w:r>
    </w:p>
    <w:p w14:paraId="13CB9495" w14:textId="22EDAB32" w:rsidR="001D7FA9" w:rsidRDefault="001D7FA9" w:rsidP="001D7FA9">
      <w:pPr>
        <w:pStyle w:val="SangriaFrancesaArticulo"/>
      </w:pPr>
      <w:r w:rsidRPr="001D7FA9">
        <w:rPr>
          <w:rStyle w:val="TextoNormalNegritaCaracter"/>
        </w:rPr>
        <w:t>Artículo 113.1</w:t>
      </w:r>
      <w:r>
        <w:t xml:space="preserve"> (redactado por el Decreto-ley 17/2019, de 23 de diciembre)</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VP I.</w:t>
      </w:r>
    </w:p>
    <w:p w14:paraId="4D561690" w14:textId="0BA054B0" w:rsidR="001D7FA9" w:rsidRDefault="001D7FA9" w:rsidP="001D7FA9">
      <w:pPr>
        <w:pStyle w:val="SangriaFrancesaArticulo"/>
      </w:pPr>
      <w:r w:rsidRPr="001D7FA9">
        <w:rPr>
          <w:rStyle w:val="TextoNormalNegritaCaracter"/>
        </w:rPr>
        <w:t>Artículo 113.2 bis</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 VP I.</w:t>
      </w:r>
    </w:p>
    <w:p w14:paraId="258DAC8B" w14:textId="5290DE21" w:rsidR="001D7FA9" w:rsidRDefault="001D7FA9" w:rsidP="001D7FA9">
      <w:pPr>
        <w:pStyle w:val="SangriaFrancesaArticulo"/>
      </w:pPr>
      <w:r w:rsidRPr="001D7FA9">
        <w:rPr>
          <w:rStyle w:val="TextoNormalNegritaCaracter"/>
        </w:rPr>
        <w:t>Artículo 118.1.</w:t>
      </w:r>
      <w:r w:rsidRPr="001D7FA9">
        <w:rPr>
          <w:rStyle w:val="TextoNormalCaracter"/>
        </w:rPr>
        <w:t>-</w:t>
      </w:r>
      <w:r>
        <w:t xml:space="preserve"> Sentencia </w:t>
      </w:r>
      <w:hyperlink w:anchor="SENTENCIA_2025_25" w:history="1">
        <w:r w:rsidRPr="001D7FA9">
          <w:rPr>
            <w:rStyle w:val="TextoNormalCaracter"/>
          </w:rPr>
          <w:t>25/2025</w:t>
        </w:r>
      </w:hyperlink>
      <w:r>
        <w:t>, f. 5, VP I.</w:t>
      </w:r>
    </w:p>
    <w:p w14:paraId="658C793D" w14:textId="32170770" w:rsidR="001D7FA9" w:rsidRDefault="001D7FA9" w:rsidP="001D7FA9">
      <w:pPr>
        <w:pStyle w:val="SangriaFrancesaArticulo"/>
      </w:pPr>
      <w:r w:rsidRPr="001D7FA9">
        <w:rPr>
          <w:rStyle w:val="TextoNormalNegritaCaracter"/>
        </w:rPr>
        <w:t>Artículo 123 h)</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VP I.</w:t>
      </w:r>
    </w:p>
    <w:p w14:paraId="1A2ABC70" w14:textId="6F028F22" w:rsidR="001D7FA9" w:rsidRDefault="001D7FA9" w:rsidP="001D7FA9">
      <w:pPr>
        <w:pStyle w:val="SangriaFrancesaArticulo"/>
      </w:pPr>
      <w:r w:rsidRPr="001D7FA9">
        <w:rPr>
          <w:rStyle w:val="TextoNormalNegritaCaracter"/>
        </w:rPr>
        <w:t>Artículo 123.1 h)</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 VP I.</w:t>
      </w:r>
    </w:p>
    <w:p w14:paraId="4E057B41" w14:textId="54C41552" w:rsidR="001D7FA9" w:rsidRDefault="001D7FA9" w:rsidP="001D7FA9">
      <w:pPr>
        <w:pStyle w:val="SangriaFrancesaArticulo"/>
      </w:pPr>
      <w:r w:rsidRPr="001D7FA9">
        <w:rPr>
          <w:rStyle w:val="TextoNormalNegritaCaracter"/>
        </w:rPr>
        <w:t>Artículo 124.2 j)</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 VP I.</w:t>
      </w:r>
    </w:p>
    <w:p w14:paraId="5E2D7481" w14:textId="10DB7433" w:rsidR="001D7FA9" w:rsidRDefault="001D7FA9" w:rsidP="001D7FA9">
      <w:pPr>
        <w:pStyle w:val="SangriaFrancesaArticulo"/>
      </w:pPr>
    </w:p>
    <w:p w14:paraId="2681F314" w14:textId="77777777" w:rsidR="001D7FA9" w:rsidRDefault="001D7FA9" w:rsidP="001D7FA9">
      <w:pPr>
        <w:pStyle w:val="TextoNormalNegritaCursivandice"/>
        <w:keepNext/>
      </w:pPr>
      <w:r>
        <w:t>Comunidad Autónoma de Cataluña. Decreto Legislativo 1/2010, de 3 de agosto, por el que se aprueba el texto refundido de la Ley de urbanismo</w:t>
      </w:r>
    </w:p>
    <w:p w14:paraId="5CB4EA52" w14:textId="437727E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4" w:history="1">
        <w:r w:rsidRPr="001D7FA9">
          <w:rPr>
            <w:rStyle w:val="TextoNormalCaracter"/>
          </w:rPr>
          <w:t>64/2025</w:t>
        </w:r>
      </w:hyperlink>
      <w:r>
        <w:t>, f. 2.</w:t>
      </w:r>
    </w:p>
    <w:p w14:paraId="4927C165" w14:textId="7456271E" w:rsidR="001D7FA9" w:rsidRDefault="001D7FA9" w:rsidP="001D7FA9">
      <w:pPr>
        <w:pStyle w:val="SangriaFrancesaArticulo"/>
      </w:pPr>
      <w:r w:rsidRPr="001D7FA9">
        <w:rPr>
          <w:rStyle w:val="TextoNormalNegritaCaracter"/>
        </w:rPr>
        <w:t>Disposición adicional.</w:t>
      </w:r>
      <w:r w:rsidRPr="001D7FA9">
        <w:rPr>
          <w:rStyle w:val="TextoNormalCaracter"/>
        </w:rPr>
        <w:t>-</w:t>
      </w:r>
      <w:r>
        <w:t xml:space="preserve"> Sentencia </w:t>
      </w:r>
      <w:hyperlink w:anchor="SENTENCIA_2025_64" w:history="1">
        <w:r w:rsidRPr="001D7FA9">
          <w:rPr>
            <w:rStyle w:val="TextoNormalCaracter"/>
          </w:rPr>
          <w:t>64/2025</w:t>
        </w:r>
      </w:hyperlink>
      <w:r>
        <w:t>, f. 4.</w:t>
      </w:r>
    </w:p>
    <w:p w14:paraId="1A9AC015" w14:textId="46348264" w:rsidR="001D7FA9" w:rsidRDefault="001D7FA9" w:rsidP="001D7FA9">
      <w:pPr>
        <w:pStyle w:val="SangriaFrancesaArticulo"/>
      </w:pPr>
      <w:r w:rsidRPr="001D7FA9">
        <w:rPr>
          <w:rStyle w:val="TextoNormalNegritaCaracter"/>
        </w:rPr>
        <w:t>Disposición adicional vigesimoséptima</w:t>
      </w:r>
      <w:r>
        <w:t xml:space="preserve"> (redactada por el Decreto-ley 3/2023)</w:t>
      </w:r>
      <w:r w:rsidRPr="001D7FA9">
        <w:rPr>
          <w:rStyle w:val="TextoNormalNegritaCaracter"/>
        </w:rPr>
        <w:t>.</w:t>
      </w:r>
      <w:r w:rsidRPr="001D7FA9">
        <w:rPr>
          <w:rStyle w:val="TextoNormalCaracter"/>
        </w:rPr>
        <w:t>-</w:t>
      </w:r>
      <w:r>
        <w:t xml:space="preserve"> Sentencia </w:t>
      </w:r>
      <w:hyperlink w:anchor="SENTENCIA_2025_64" w:history="1">
        <w:r w:rsidRPr="001D7FA9">
          <w:rPr>
            <w:rStyle w:val="TextoNormalCaracter"/>
          </w:rPr>
          <w:t>64/2025</w:t>
        </w:r>
      </w:hyperlink>
      <w:r>
        <w:t>, ff. 4, 6.</w:t>
      </w:r>
    </w:p>
    <w:p w14:paraId="47C9CB69" w14:textId="08F2340E" w:rsidR="001D7FA9" w:rsidRDefault="001D7FA9" w:rsidP="001D7FA9">
      <w:pPr>
        <w:pStyle w:val="SangriaFrancesaArticulo"/>
      </w:pPr>
      <w:r w:rsidRPr="001D7FA9">
        <w:rPr>
          <w:rStyle w:val="TextoNormalNegritaCaracter"/>
        </w:rPr>
        <w:t>Disposición final primera, apartado 1</w:t>
      </w:r>
      <w:r>
        <w:t xml:space="preserve"> (redactado por el Decreto-ley 3/2023)</w:t>
      </w:r>
      <w:r w:rsidRPr="001D7FA9">
        <w:rPr>
          <w:rStyle w:val="TextoNormalNegritaCaracter"/>
        </w:rPr>
        <w:t>.</w:t>
      </w:r>
      <w:r w:rsidRPr="001D7FA9">
        <w:rPr>
          <w:rStyle w:val="TextoNormalCaracter"/>
        </w:rPr>
        <w:t>-</w:t>
      </w:r>
      <w:r>
        <w:t xml:space="preserve"> Sentencia </w:t>
      </w:r>
      <w:hyperlink w:anchor="SENTENCIA_2025_64" w:history="1">
        <w:r w:rsidRPr="001D7FA9">
          <w:rPr>
            <w:rStyle w:val="TextoNormalCaracter"/>
          </w:rPr>
          <w:t>64/2025</w:t>
        </w:r>
      </w:hyperlink>
      <w:r>
        <w:t>, f. 5.</w:t>
      </w:r>
    </w:p>
    <w:p w14:paraId="7789CEE5" w14:textId="7CD30DEA" w:rsidR="001D7FA9" w:rsidRDefault="001D7FA9" w:rsidP="001D7FA9">
      <w:pPr>
        <w:pStyle w:val="SangriaFrancesaArticulo"/>
      </w:pPr>
    </w:p>
    <w:p w14:paraId="313515AF" w14:textId="77777777" w:rsidR="001D7FA9" w:rsidRDefault="001D7FA9" w:rsidP="001D7FA9">
      <w:pPr>
        <w:pStyle w:val="TextoNormalNegritaCursivandice"/>
        <w:keepNext/>
      </w:pPr>
      <w:r>
        <w:t>Comunidad Autónoma de Cataluña. Ley del Parlamento 9/2011, de 29 de diciembre, de promoción de la actividad económica</w:t>
      </w:r>
    </w:p>
    <w:p w14:paraId="54204FF4" w14:textId="495AA40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4" w:history="1">
        <w:r w:rsidRPr="001D7FA9">
          <w:rPr>
            <w:rStyle w:val="TextoNormalCaracter"/>
          </w:rPr>
          <w:t>64/2025</w:t>
        </w:r>
      </w:hyperlink>
      <w:r>
        <w:t>, f. 2.</w:t>
      </w:r>
    </w:p>
    <w:p w14:paraId="3EC8AC4C" w14:textId="3386C42A" w:rsidR="001D7FA9" w:rsidRDefault="001D7FA9" w:rsidP="001D7FA9">
      <w:pPr>
        <w:pStyle w:val="SangriaFrancesaArticulo"/>
      </w:pPr>
    </w:p>
    <w:p w14:paraId="44F575ED" w14:textId="77777777" w:rsidR="001D7FA9" w:rsidRDefault="001D7FA9" w:rsidP="001D7FA9">
      <w:pPr>
        <w:pStyle w:val="TextoNormalNegritaCursivandice"/>
        <w:keepNext/>
      </w:pPr>
      <w:r>
        <w:t>Comunidad Autónoma de Cataluña. Ley 14/2015, de 21 de julio, del impuesto sobre las viviendas vacías, y de modificación de normas tributarias y de la Ley 3/2012</w:t>
      </w:r>
    </w:p>
    <w:p w14:paraId="6B3EE59F" w14:textId="407BF9C8" w:rsidR="001D7FA9" w:rsidRDefault="001D7FA9" w:rsidP="001D7FA9">
      <w:pPr>
        <w:pStyle w:val="SangriaFrancesaArticulo"/>
      </w:pPr>
      <w:r w:rsidRPr="001D7FA9">
        <w:rPr>
          <w:rStyle w:val="TextoNormalNegritaCaracter"/>
        </w:rPr>
        <w:t>Artículo 9.1.</w:t>
      </w:r>
      <w:r w:rsidRPr="001D7FA9">
        <w:rPr>
          <w:rStyle w:val="TextoNormalCaracter"/>
        </w:rPr>
        <w:t>-</w:t>
      </w:r>
      <w:r>
        <w:t xml:space="preserve"> Sentencia </w:t>
      </w:r>
      <w:hyperlink w:anchor="SENTENCIA_2025_25" w:history="1">
        <w:r w:rsidRPr="001D7FA9">
          <w:rPr>
            <w:rStyle w:val="TextoNormalCaracter"/>
          </w:rPr>
          <w:t>25/2025</w:t>
        </w:r>
      </w:hyperlink>
      <w:r>
        <w:t>, f. 5.</w:t>
      </w:r>
    </w:p>
    <w:p w14:paraId="4DF88DE6" w14:textId="5368818D" w:rsidR="001D7FA9" w:rsidRDefault="001D7FA9" w:rsidP="001D7FA9">
      <w:pPr>
        <w:pStyle w:val="SangriaFrancesaArticulo"/>
      </w:pPr>
    </w:p>
    <w:p w14:paraId="4A23C273" w14:textId="77777777" w:rsidR="001D7FA9" w:rsidRDefault="001D7FA9" w:rsidP="001D7FA9">
      <w:pPr>
        <w:pStyle w:val="TextoNormalNegritaCursivandice"/>
        <w:keepNext/>
      </w:pPr>
      <w:r>
        <w:t>Comunidad Autónoma de Cataluña. Ley del Parlamento 16/2015, de 21 de julio, de simplificación de la actividad administrativa de la Administración de la Generalitat y de los gobiernos locales de Cataluña y de impulso de la actividad económica</w:t>
      </w:r>
    </w:p>
    <w:p w14:paraId="44012169" w14:textId="453C8EA8"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64" w:history="1">
        <w:r w:rsidRPr="001D7FA9">
          <w:rPr>
            <w:rStyle w:val="TextoNormalCaracter"/>
          </w:rPr>
          <w:t>64/2025</w:t>
        </w:r>
      </w:hyperlink>
      <w:r>
        <w:t>, f. 2.</w:t>
      </w:r>
    </w:p>
    <w:p w14:paraId="4D6FABA4" w14:textId="0DAB6528" w:rsidR="001D7FA9" w:rsidRDefault="001D7FA9" w:rsidP="001D7FA9">
      <w:pPr>
        <w:pStyle w:val="SangriaFrancesaArticulo"/>
      </w:pPr>
      <w:r w:rsidRPr="001D7FA9">
        <w:rPr>
          <w:rStyle w:val="TextoNormalNegritaCaracter"/>
        </w:rPr>
        <w:t>Artículo 13.2.</w:t>
      </w:r>
      <w:r w:rsidRPr="001D7FA9">
        <w:rPr>
          <w:rStyle w:val="TextoNormalCaracter"/>
        </w:rPr>
        <w:t>-</w:t>
      </w:r>
      <w:r>
        <w:t xml:space="preserve"> Sentencia </w:t>
      </w:r>
      <w:hyperlink w:anchor="SENTENCIA_2025_64" w:history="1">
        <w:r w:rsidRPr="001D7FA9">
          <w:rPr>
            <w:rStyle w:val="TextoNormalCaracter"/>
          </w:rPr>
          <w:t>64/2025</w:t>
        </w:r>
      </w:hyperlink>
      <w:r>
        <w:t>, f. 2.</w:t>
      </w:r>
    </w:p>
    <w:p w14:paraId="3DA3B546" w14:textId="27B25C68" w:rsidR="001D7FA9" w:rsidRDefault="001D7FA9" w:rsidP="001D7FA9">
      <w:pPr>
        <w:pStyle w:val="SangriaFrancesaArticulo"/>
      </w:pPr>
      <w:r w:rsidRPr="001D7FA9">
        <w:rPr>
          <w:rStyle w:val="TextoNormalNegritaCaracter"/>
        </w:rPr>
        <w:t>Artículo 13.3.</w:t>
      </w:r>
      <w:r w:rsidRPr="001D7FA9">
        <w:rPr>
          <w:rStyle w:val="TextoNormalCaracter"/>
        </w:rPr>
        <w:t>-</w:t>
      </w:r>
      <w:r>
        <w:t xml:space="preserve"> Sentencia </w:t>
      </w:r>
      <w:hyperlink w:anchor="SENTENCIA_2025_64" w:history="1">
        <w:r w:rsidRPr="001D7FA9">
          <w:rPr>
            <w:rStyle w:val="TextoNormalCaracter"/>
          </w:rPr>
          <w:t>64/2025</w:t>
        </w:r>
      </w:hyperlink>
      <w:r>
        <w:t>, f. 2.</w:t>
      </w:r>
    </w:p>
    <w:p w14:paraId="3D98BB54" w14:textId="742B561D"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 </w:t>
      </w:r>
      <w:hyperlink w:anchor="SENTENCIA_2025_64" w:history="1">
        <w:r w:rsidRPr="001D7FA9">
          <w:rPr>
            <w:rStyle w:val="TextoNormalCaracter"/>
          </w:rPr>
          <w:t>64/2025</w:t>
        </w:r>
      </w:hyperlink>
      <w:r>
        <w:t>, f. 2.</w:t>
      </w:r>
    </w:p>
    <w:p w14:paraId="418CCABB" w14:textId="70818D38" w:rsidR="001D7FA9" w:rsidRDefault="001D7FA9" w:rsidP="001D7FA9">
      <w:pPr>
        <w:pStyle w:val="SangriaFrancesaArticulo"/>
      </w:pPr>
      <w:r w:rsidRPr="001D7FA9">
        <w:rPr>
          <w:rStyle w:val="TextoNormalNegritaCaracter"/>
        </w:rPr>
        <w:t>Anexo I.</w:t>
      </w:r>
      <w:r w:rsidRPr="001D7FA9">
        <w:rPr>
          <w:rStyle w:val="TextoNormalCaracter"/>
        </w:rPr>
        <w:t>-</w:t>
      </w:r>
      <w:r>
        <w:t xml:space="preserve"> Sentencia </w:t>
      </w:r>
      <w:hyperlink w:anchor="SENTENCIA_2025_64" w:history="1">
        <w:r w:rsidRPr="001D7FA9">
          <w:rPr>
            <w:rStyle w:val="TextoNormalCaracter"/>
          </w:rPr>
          <w:t>64/2025</w:t>
        </w:r>
      </w:hyperlink>
      <w:r>
        <w:t>, f. 2.</w:t>
      </w:r>
    </w:p>
    <w:p w14:paraId="60921346" w14:textId="5EFA4097" w:rsidR="001D7FA9" w:rsidRDefault="001D7FA9" w:rsidP="001D7FA9">
      <w:pPr>
        <w:pStyle w:val="SangriaFrancesaArticulo"/>
      </w:pPr>
    </w:p>
    <w:p w14:paraId="1C0CFFCB" w14:textId="77777777" w:rsidR="001D7FA9" w:rsidRDefault="001D7FA9" w:rsidP="001D7FA9">
      <w:pPr>
        <w:pStyle w:val="TextoNormalNegritaCursivandice"/>
        <w:keepNext/>
      </w:pPr>
      <w:r>
        <w:t>Comunidad Autónoma de Cataluña. Ley 24/2015, de 29 de julio, de medidas urgentes para afrontar la emergencia en el ámbito de la vivienda y la pobreza energética</w:t>
      </w:r>
    </w:p>
    <w:p w14:paraId="4DF9EBE5" w14:textId="7DC8E36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ff. 2, 5.</w:t>
      </w:r>
    </w:p>
    <w:p w14:paraId="729FDDAB" w14:textId="1F7088FC"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25" w:history="1">
        <w:r w:rsidRPr="001D7FA9">
          <w:rPr>
            <w:rStyle w:val="TextoNormalCaracter"/>
          </w:rPr>
          <w:t>25/2025</w:t>
        </w:r>
      </w:hyperlink>
      <w:r>
        <w:t>, f. 5, VP I.</w:t>
      </w:r>
    </w:p>
    <w:p w14:paraId="58760939" w14:textId="3C9D0E13" w:rsidR="001D7FA9" w:rsidRDefault="001D7FA9" w:rsidP="001D7FA9">
      <w:pPr>
        <w:pStyle w:val="SangriaFrancesaArticulo"/>
      </w:pPr>
      <w:r w:rsidRPr="001D7FA9">
        <w:rPr>
          <w:rStyle w:val="TextoNormalNegritaCaracter"/>
        </w:rPr>
        <w:t>Artículo 5.1.</w:t>
      </w:r>
      <w:r w:rsidRPr="001D7FA9">
        <w:rPr>
          <w:rStyle w:val="TextoNormalCaracter"/>
        </w:rPr>
        <w:t>-</w:t>
      </w:r>
      <w:r>
        <w:t xml:space="preserve"> Sentencia </w:t>
      </w:r>
      <w:hyperlink w:anchor="SENTENCIA_2025_25" w:history="1">
        <w:r w:rsidRPr="001D7FA9">
          <w:rPr>
            <w:rStyle w:val="TextoNormalCaracter"/>
          </w:rPr>
          <w:t>25/2025</w:t>
        </w:r>
      </w:hyperlink>
      <w:r>
        <w:t>, f. 5.</w:t>
      </w:r>
    </w:p>
    <w:p w14:paraId="34022565" w14:textId="67A433F7" w:rsidR="001D7FA9" w:rsidRDefault="001D7FA9" w:rsidP="001D7FA9">
      <w:pPr>
        <w:pStyle w:val="SangriaFrancesaArticulo"/>
      </w:pPr>
      <w:r w:rsidRPr="001D7FA9">
        <w:rPr>
          <w:rStyle w:val="TextoNormalNegritaCaracter"/>
        </w:rPr>
        <w:t>Artículo 5.2.</w:t>
      </w:r>
      <w:r w:rsidRPr="001D7FA9">
        <w:rPr>
          <w:rStyle w:val="TextoNormalCaracter"/>
        </w:rPr>
        <w:t>-</w:t>
      </w:r>
      <w:r>
        <w:t xml:space="preserve"> Sentencia </w:t>
      </w:r>
      <w:hyperlink w:anchor="SENTENCIA_2025_25" w:history="1">
        <w:r w:rsidRPr="001D7FA9">
          <w:rPr>
            <w:rStyle w:val="TextoNormalCaracter"/>
          </w:rPr>
          <w:t>25/2025</w:t>
        </w:r>
      </w:hyperlink>
      <w:r>
        <w:t>, f. 5.</w:t>
      </w:r>
    </w:p>
    <w:p w14:paraId="69BC0A9E" w14:textId="2EF0632C"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25" w:history="1">
        <w:r w:rsidRPr="001D7FA9">
          <w:rPr>
            <w:rStyle w:val="TextoNormalCaracter"/>
          </w:rPr>
          <w:t>25/2025</w:t>
        </w:r>
      </w:hyperlink>
      <w:r>
        <w:t>, VP I.</w:t>
      </w:r>
    </w:p>
    <w:p w14:paraId="0E15DED7" w14:textId="2CAFCB96" w:rsidR="001D7FA9" w:rsidRDefault="001D7FA9" w:rsidP="001D7FA9">
      <w:pPr>
        <w:pStyle w:val="SangriaFrancesaArticulo"/>
      </w:pPr>
      <w:r w:rsidRPr="001D7FA9">
        <w:rPr>
          <w:rStyle w:val="TextoNormalNegritaCaracter"/>
        </w:rPr>
        <w:t>Artículo 7.1.</w:t>
      </w:r>
      <w:r w:rsidRPr="001D7FA9">
        <w:rPr>
          <w:rStyle w:val="TextoNormalCaracter"/>
        </w:rPr>
        <w:t>-</w:t>
      </w:r>
      <w:r>
        <w:t xml:space="preserve"> Sentencia </w:t>
      </w:r>
      <w:hyperlink w:anchor="SENTENCIA_2025_25" w:history="1">
        <w:r w:rsidRPr="001D7FA9">
          <w:rPr>
            <w:rStyle w:val="TextoNormalCaracter"/>
          </w:rPr>
          <w:t>25/2025</w:t>
        </w:r>
      </w:hyperlink>
      <w:r>
        <w:t>, ff. 2, 5, VP II.</w:t>
      </w:r>
    </w:p>
    <w:p w14:paraId="5B53C1CA" w14:textId="26F60EF2" w:rsidR="001D7FA9" w:rsidRDefault="001D7FA9" w:rsidP="001D7FA9">
      <w:pPr>
        <w:pStyle w:val="SangriaFrancesaArticulo"/>
      </w:pPr>
      <w:r w:rsidRPr="001D7FA9">
        <w:rPr>
          <w:rStyle w:val="TextoNormalNegritaCaracter"/>
        </w:rPr>
        <w:t>Artículo 7.1</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VP I.</w:t>
      </w:r>
    </w:p>
    <w:p w14:paraId="66C7BFD3" w14:textId="67AAFB8A" w:rsidR="001D7FA9" w:rsidRDefault="001D7FA9" w:rsidP="001D7FA9">
      <w:pPr>
        <w:pStyle w:val="SangriaFrancesaArticulo"/>
      </w:pPr>
      <w:r w:rsidRPr="001D7FA9">
        <w:rPr>
          <w:rStyle w:val="TextoNormalNegritaCaracter"/>
        </w:rPr>
        <w:t>Artículo 7.1 a).</w:t>
      </w:r>
      <w:r w:rsidRPr="001D7FA9">
        <w:rPr>
          <w:rStyle w:val="TextoNormalCaracter"/>
        </w:rPr>
        <w:t>-</w:t>
      </w:r>
      <w:r>
        <w:t xml:space="preserve"> Sentencia </w:t>
      </w:r>
      <w:hyperlink w:anchor="SENTENCIA_2025_25" w:history="1">
        <w:r w:rsidRPr="001D7FA9">
          <w:rPr>
            <w:rStyle w:val="TextoNormalCaracter"/>
          </w:rPr>
          <w:t>25/2025</w:t>
        </w:r>
      </w:hyperlink>
      <w:r>
        <w:t>, f. 2.</w:t>
      </w:r>
    </w:p>
    <w:p w14:paraId="18029D85" w14:textId="0A881AFF" w:rsidR="001D7FA9" w:rsidRDefault="001D7FA9" w:rsidP="001D7FA9">
      <w:pPr>
        <w:pStyle w:val="SangriaFrancesaArticulo"/>
      </w:pPr>
      <w:r w:rsidRPr="001D7FA9">
        <w:rPr>
          <w:rStyle w:val="TextoNormalNegritaCaracter"/>
        </w:rPr>
        <w:t>Artículo 7.1 b).</w:t>
      </w:r>
      <w:r w:rsidRPr="001D7FA9">
        <w:rPr>
          <w:rStyle w:val="TextoNormalCaracter"/>
        </w:rPr>
        <w:t>-</w:t>
      </w:r>
      <w:r>
        <w:t xml:space="preserve"> Sentencia </w:t>
      </w:r>
      <w:hyperlink w:anchor="SENTENCIA_2025_25" w:history="1">
        <w:r w:rsidRPr="001D7FA9">
          <w:rPr>
            <w:rStyle w:val="TextoNormalCaracter"/>
          </w:rPr>
          <w:t>25/2025</w:t>
        </w:r>
      </w:hyperlink>
      <w:r>
        <w:t>, f. 2.</w:t>
      </w:r>
    </w:p>
    <w:p w14:paraId="3150B925" w14:textId="6E87FB6D" w:rsidR="001D7FA9" w:rsidRDefault="001D7FA9" w:rsidP="001D7FA9">
      <w:pPr>
        <w:pStyle w:val="SangriaFrancesaArticulo"/>
      </w:pPr>
      <w:r w:rsidRPr="001D7FA9">
        <w:rPr>
          <w:rStyle w:val="TextoNormalNegritaCaracter"/>
        </w:rPr>
        <w:t>Artículo 7.1 c).</w:t>
      </w:r>
      <w:r w:rsidRPr="001D7FA9">
        <w:rPr>
          <w:rStyle w:val="TextoNormalCaracter"/>
        </w:rPr>
        <w:t>-</w:t>
      </w:r>
      <w:r>
        <w:t xml:space="preserve"> Sentencia </w:t>
      </w:r>
      <w:hyperlink w:anchor="SENTENCIA_2025_25" w:history="1">
        <w:r w:rsidRPr="001D7FA9">
          <w:rPr>
            <w:rStyle w:val="TextoNormalCaracter"/>
          </w:rPr>
          <w:t>25/2025</w:t>
        </w:r>
      </w:hyperlink>
      <w:r>
        <w:t>, f. 2.</w:t>
      </w:r>
    </w:p>
    <w:p w14:paraId="5A732E94" w14:textId="1615E901" w:rsidR="001D7FA9" w:rsidRDefault="001D7FA9" w:rsidP="001D7FA9">
      <w:pPr>
        <w:pStyle w:val="SangriaFrancesaArticulo"/>
      </w:pPr>
      <w:r w:rsidRPr="001D7FA9">
        <w:rPr>
          <w:rStyle w:val="TextoNormalNegritaCaracter"/>
        </w:rPr>
        <w:t>Artículo 7.1 c)</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ff. 2, 5.</w:t>
      </w:r>
    </w:p>
    <w:p w14:paraId="442060EA" w14:textId="25D549D5" w:rsidR="001D7FA9" w:rsidRDefault="001D7FA9" w:rsidP="001D7FA9">
      <w:pPr>
        <w:pStyle w:val="SangriaFrancesaArticulo"/>
      </w:pPr>
      <w:r w:rsidRPr="001D7FA9">
        <w:rPr>
          <w:rStyle w:val="TextoNormalNegritaCaracter"/>
        </w:rPr>
        <w:t>Artículo 7.3.</w:t>
      </w:r>
      <w:r w:rsidRPr="001D7FA9">
        <w:rPr>
          <w:rStyle w:val="TextoNormalCaracter"/>
        </w:rPr>
        <w:t>-</w:t>
      </w:r>
      <w:r>
        <w:t xml:space="preserve"> Sentencia </w:t>
      </w:r>
      <w:hyperlink w:anchor="SENTENCIA_2025_25" w:history="1">
        <w:r w:rsidRPr="001D7FA9">
          <w:rPr>
            <w:rStyle w:val="TextoNormalCaracter"/>
          </w:rPr>
          <w:t>25/2025</w:t>
        </w:r>
      </w:hyperlink>
      <w:r>
        <w:t>, VP I.</w:t>
      </w:r>
    </w:p>
    <w:p w14:paraId="4FDA3E53" w14:textId="67A8748A" w:rsidR="001D7FA9" w:rsidRDefault="001D7FA9" w:rsidP="001D7FA9">
      <w:pPr>
        <w:pStyle w:val="SangriaFrancesaArticulo"/>
      </w:pPr>
      <w:r w:rsidRPr="001D7FA9">
        <w:rPr>
          <w:rStyle w:val="TextoNormalNegritaCaracter"/>
        </w:rPr>
        <w:t>Disposición adicional primera.</w:t>
      </w:r>
      <w:r w:rsidRPr="001D7FA9">
        <w:rPr>
          <w:rStyle w:val="TextoNormalCaracter"/>
        </w:rPr>
        <w:t>-</w:t>
      </w:r>
      <w:r>
        <w:t xml:space="preserve"> Sentencia </w:t>
      </w:r>
      <w:hyperlink w:anchor="SENTENCIA_2025_25" w:history="1">
        <w:r w:rsidRPr="001D7FA9">
          <w:rPr>
            <w:rStyle w:val="TextoNormalCaracter"/>
          </w:rPr>
          <w:t>25/2025</w:t>
        </w:r>
      </w:hyperlink>
      <w:r>
        <w:t>, ff. 2, 3.</w:t>
      </w:r>
    </w:p>
    <w:p w14:paraId="07C5BBDF" w14:textId="34D6B2D9" w:rsidR="001D7FA9" w:rsidRDefault="001D7FA9" w:rsidP="001D7FA9">
      <w:pPr>
        <w:pStyle w:val="SangriaFrancesaArticulo"/>
      </w:pPr>
      <w:r w:rsidRPr="001D7FA9">
        <w:rPr>
          <w:rStyle w:val="TextoNormalNegritaCaracter"/>
        </w:rPr>
        <w:t>Disposición adicional primera.1.</w:t>
      </w:r>
      <w:r w:rsidRPr="001D7FA9">
        <w:rPr>
          <w:rStyle w:val="TextoNormalCaracter"/>
        </w:rPr>
        <w:t>-</w:t>
      </w:r>
      <w:r>
        <w:t xml:space="preserve"> Sentencia </w:t>
      </w:r>
      <w:hyperlink w:anchor="SENTENCIA_2025_25" w:history="1">
        <w:r w:rsidRPr="001D7FA9">
          <w:rPr>
            <w:rStyle w:val="TextoNormalCaracter"/>
          </w:rPr>
          <w:t>25/2025</w:t>
        </w:r>
      </w:hyperlink>
      <w:r>
        <w:t>, f. 5.</w:t>
      </w:r>
    </w:p>
    <w:p w14:paraId="528E1A7B" w14:textId="65855415" w:rsidR="001D7FA9" w:rsidRDefault="001D7FA9" w:rsidP="001D7FA9">
      <w:pPr>
        <w:pStyle w:val="SangriaFrancesaArticulo"/>
      </w:pPr>
      <w:r w:rsidRPr="001D7FA9">
        <w:rPr>
          <w:rStyle w:val="TextoNormalNegritaCaracter"/>
        </w:rPr>
        <w:t>Disposición adicional primera.2.</w:t>
      </w:r>
      <w:r w:rsidRPr="001D7FA9">
        <w:rPr>
          <w:rStyle w:val="TextoNormalCaracter"/>
        </w:rPr>
        <w:t>-</w:t>
      </w:r>
      <w:r>
        <w:t xml:space="preserve"> Sentencia </w:t>
      </w:r>
      <w:hyperlink w:anchor="SENTENCIA_2025_25" w:history="1">
        <w:r w:rsidRPr="001D7FA9">
          <w:rPr>
            <w:rStyle w:val="TextoNormalCaracter"/>
          </w:rPr>
          <w:t>25/2025</w:t>
        </w:r>
      </w:hyperlink>
      <w:r>
        <w:t>, f. 5.</w:t>
      </w:r>
    </w:p>
    <w:p w14:paraId="6C07AEEA" w14:textId="1C605F4C" w:rsidR="001D7FA9" w:rsidRDefault="001D7FA9" w:rsidP="001D7FA9">
      <w:pPr>
        <w:pStyle w:val="SangriaFrancesaArticulo"/>
      </w:pPr>
      <w:r w:rsidRPr="001D7FA9">
        <w:rPr>
          <w:rStyle w:val="TextoNormalNegritaCaracter"/>
        </w:rPr>
        <w:t>Disposición adicional primera apartado 3 inciso "y, en cualquier caso, no inferior a cinco años si el titular de la vivienda es una persona física y no inferior a siete años si es una persona jurídica"</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2.</w:t>
      </w:r>
    </w:p>
    <w:p w14:paraId="731DD35B" w14:textId="256F9791" w:rsidR="001D7FA9" w:rsidRDefault="001D7FA9" w:rsidP="001D7FA9">
      <w:pPr>
        <w:pStyle w:val="SangriaFrancesaArticulo"/>
      </w:pPr>
      <w:r w:rsidRPr="001D7FA9">
        <w:rPr>
          <w:rStyle w:val="TextoNormalNegritaCaracter"/>
        </w:rPr>
        <w:t>Disposición adicional segunda</w:t>
      </w:r>
      <w:r>
        <w:t xml:space="preserve"> (redactada por el Decreto-ley 1/2019, de 22 de febrero)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57FC0DA6" w14:textId="7BA48F63" w:rsidR="001D7FA9" w:rsidRDefault="001D7FA9" w:rsidP="001D7FA9">
      <w:pPr>
        <w:pStyle w:val="SangriaFrancesaArticulo"/>
      </w:pPr>
    </w:p>
    <w:p w14:paraId="747925C1" w14:textId="77777777" w:rsidR="001D7FA9" w:rsidRDefault="001D7FA9" w:rsidP="001D7FA9">
      <w:pPr>
        <w:pStyle w:val="TextoNormalNegritaCursivandice"/>
        <w:keepNext/>
      </w:pPr>
      <w:r>
        <w:t>Comunidad Autónoma de Cataluña. Ley 4/2016, de 23 de diciembre, de medidas de protección del derecho a la vivienda de las personas en riesgo de exclusión residencial</w:t>
      </w:r>
    </w:p>
    <w:p w14:paraId="4C09A98E" w14:textId="20CE7FB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2.</w:t>
      </w:r>
    </w:p>
    <w:p w14:paraId="2BDB565A" w14:textId="0FE22E74" w:rsidR="001D7FA9" w:rsidRDefault="001D7FA9" w:rsidP="001D7FA9">
      <w:pPr>
        <w:pStyle w:val="SangriaFrancesaArticulo"/>
      </w:pPr>
      <w:r w:rsidRPr="001D7FA9">
        <w:rPr>
          <w:rStyle w:val="TextoNormalNegritaCaracter"/>
        </w:rPr>
        <w:t>Artículo 15.1.</w:t>
      </w:r>
      <w:r w:rsidRPr="001D7FA9">
        <w:rPr>
          <w:rStyle w:val="TextoNormalCaracter"/>
        </w:rPr>
        <w:t>-</w:t>
      </w:r>
      <w:r>
        <w:t xml:space="preserve"> Sentencia </w:t>
      </w:r>
      <w:hyperlink w:anchor="SENTENCIA_2025_25" w:history="1">
        <w:r w:rsidRPr="001D7FA9">
          <w:rPr>
            <w:rStyle w:val="TextoNormalCaracter"/>
          </w:rPr>
          <w:t>25/2025</w:t>
        </w:r>
      </w:hyperlink>
      <w:r>
        <w:t>, f. 2.</w:t>
      </w:r>
    </w:p>
    <w:p w14:paraId="04D568AD" w14:textId="3B172400" w:rsidR="001D7FA9" w:rsidRDefault="001D7FA9" w:rsidP="001D7FA9">
      <w:pPr>
        <w:pStyle w:val="SangriaFrancesaArticulo"/>
      </w:pPr>
      <w:r w:rsidRPr="001D7FA9">
        <w:rPr>
          <w:rStyle w:val="TextoNormalNegritaCaracter"/>
        </w:rPr>
        <w:t>Artículo 15.1</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ff. 4, 5, VP I.</w:t>
      </w:r>
    </w:p>
    <w:p w14:paraId="5EB87D7F" w14:textId="33A9C1D7" w:rsidR="001D7FA9" w:rsidRDefault="001D7FA9" w:rsidP="001D7FA9">
      <w:pPr>
        <w:pStyle w:val="SangriaFrancesaArticulo"/>
      </w:pPr>
      <w:r w:rsidRPr="001D7FA9">
        <w:rPr>
          <w:rStyle w:val="TextoNormalNegritaCaracter"/>
        </w:rPr>
        <w:t>Artículo 15.2</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4.</w:t>
      </w:r>
    </w:p>
    <w:p w14:paraId="25E723B1" w14:textId="14C42A6B" w:rsidR="001D7FA9" w:rsidRDefault="001D7FA9" w:rsidP="001D7FA9">
      <w:pPr>
        <w:pStyle w:val="SangriaFrancesaArticulo"/>
      </w:pPr>
      <w:r w:rsidRPr="001D7FA9">
        <w:rPr>
          <w:rStyle w:val="TextoNormalNegritaCaracter"/>
        </w:rPr>
        <w:t>Artículo 15.3</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2.</w:t>
      </w:r>
    </w:p>
    <w:p w14:paraId="342AF827" w14:textId="12E8F8B6" w:rsidR="001D7FA9" w:rsidRDefault="001D7FA9" w:rsidP="001D7FA9">
      <w:pPr>
        <w:pStyle w:val="SangriaFrancesaArticulo"/>
      </w:pPr>
      <w:r w:rsidRPr="001D7FA9">
        <w:rPr>
          <w:rStyle w:val="TextoNormalNegritaCaracter"/>
        </w:rPr>
        <w:t>Artículo 15.3</w:t>
      </w:r>
      <w:r>
        <w:t xml:space="preserve"> (redactado porla Ley 3/2023 de 16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2.</w:t>
      </w:r>
    </w:p>
    <w:p w14:paraId="18095BA5" w14:textId="4789A32F" w:rsidR="001D7FA9" w:rsidRDefault="001D7FA9" w:rsidP="001D7FA9">
      <w:pPr>
        <w:pStyle w:val="SangriaFrancesaArticulo"/>
      </w:pPr>
      <w:r w:rsidRPr="001D7FA9">
        <w:rPr>
          <w:rStyle w:val="TextoNormalNegritaCaracter"/>
        </w:rPr>
        <w:t>Artículo 15.4.</w:t>
      </w:r>
      <w:r w:rsidRPr="001D7FA9">
        <w:rPr>
          <w:rStyle w:val="TextoNormalCaracter"/>
        </w:rPr>
        <w:t>-</w:t>
      </w:r>
      <w:r>
        <w:t xml:space="preserve"> Sentencia </w:t>
      </w:r>
      <w:hyperlink w:anchor="SENTENCIA_2025_25" w:history="1">
        <w:r w:rsidRPr="001D7FA9">
          <w:rPr>
            <w:rStyle w:val="TextoNormalCaracter"/>
          </w:rPr>
          <w:t>25/2025</w:t>
        </w:r>
      </w:hyperlink>
      <w:r>
        <w:t>, ff. 2, 4.</w:t>
      </w:r>
    </w:p>
    <w:p w14:paraId="0394AB78" w14:textId="3C00DE8F" w:rsidR="001D7FA9" w:rsidRDefault="001D7FA9" w:rsidP="001D7FA9">
      <w:pPr>
        <w:pStyle w:val="SangriaFrancesaArticulo"/>
      </w:pPr>
      <w:r w:rsidRPr="001D7FA9">
        <w:rPr>
          <w:rStyle w:val="TextoNormalNegritaCaracter"/>
        </w:rPr>
        <w:t>Artículo 15.4</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2.</w:t>
      </w:r>
    </w:p>
    <w:p w14:paraId="53036C9E" w14:textId="4EA2DBDC" w:rsidR="001D7FA9" w:rsidRDefault="001D7FA9" w:rsidP="001D7FA9">
      <w:pPr>
        <w:pStyle w:val="SangriaFrancesaArticulo"/>
      </w:pPr>
      <w:r w:rsidRPr="001D7FA9">
        <w:rPr>
          <w:rStyle w:val="TextoNormalNegritaCaracter"/>
        </w:rPr>
        <w:t>Artículo 15.4 inciso "y de que, de conformidad con el artículo 49.3 del texto refundido de la Ley del suelo y rehabilitación urbana, el contenido del derecho de propiedad se reduce en un 50 por 100 de su valor, cuya diferencia corresponde a la administración expropiante"</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4, VP I.</w:t>
      </w:r>
    </w:p>
    <w:p w14:paraId="0C8882CE" w14:textId="4EF3D17B" w:rsidR="001D7FA9" w:rsidRDefault="001D7FA9" w:rsidP="001D7FA9">
      <w:pPr>
        <w:pStyle w:val="SangriaFrancesaArticulo"/>
      </w:pPr>
      <w:r w:rsidRPr="001D7FA9">
        <w:rPr>
          <w:rStyle w:val="TextoNormalNegritaCaracter"/>
        </w:rPr>
        <w:t>Artículo 15.5</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4.</w:t>
      </w:r>
    </w:p>
    <w:p w14:paraId="1010763A" w14:textId="725094D6" w:rsidR="001D7FA9" w:rsidRDefault="001D7FA9" w:rsidP="001D7FA9">
      <w:pPr>
        <w:pStyle w:val="SangriaFrancesaArticulo"/>
      </w:pPr>
      <w:r w:rsidRPr="001D7FA9">
        <w:rPr>
          <w:rStyle w:val="TextoNormalNegritaCaracter"/>
        </w:rPr>
        <w:t>Artículo 15.6</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4.</w:t>
      </w:r>
    </w:p>
    <w:p w14:paraId="10D3741B" w14:textId="6CE7835D" w:rsidR="001D7FA9" w:rsidRDefault="001D7FA9" w:rsidP="001D7FA9">
      <w:pPr>
        <w:pStyle w:val="SangriaFrancesaArticulo"/>
      </w:pPr>
      <w:r w:rsidRPr="001D7FA9">
        <w:rPr>
          <w:rStyle w:val="TextoNormalNegritaCaracter"/>
        </w:rPr>
        <w:t>Artículo 15.7.</w:t>
      </w:r>
      <w:r w:rsidRPr="001D7FA9">
        <w:rPr>
          <w:rStyle w:val="TextoNormalCaracter"/>
        </w:rPr>
        <w:t>-</w:t>
      </w:r>
      <w:r>
        <w:t xml:space="preserve"> Sentencia </w:t>
      </w:r>
      <w:hyperlink w:anchor="SENTENCIA_2025_25" w:history="1">
        <w:r w:rsidRPr="001D7FA9">
          <w:rPr>
            <w:rStyle w:val="TextoNormalCaracter"/>
          </w:rPr>
          <w:t>25/2025</w:t>
        </w:r>
      </w:hyperlink>
      <w:r>
        <w:t>, f. 5.</w:t>
      </w:r>
    </w:p>
    <w:p w14:paraId="2C7F3C90" w14:textId="447B9770" w:rsidR="001D7FA9" w:rsidRDefault="001D7FA9" w:rsidP="001D7FA9">
      <w:pPr>
        <w:pStyle w:val="SangriaFrancesaArticulo"/>
      </w:pPr>
      <w:r w:rsidRPr="001D7FA9">
        <w:rPr>
          <w:rStyle w:val="TextoNormalNegritaCaracter"/>
        </w:rPr>
        <w:t>Artículo 42.7.</w:t>
      </w:r>
      <w:r w:rsidRPr="001D7FA9">
        <w:rPr>
          <w:rStyle w:val="TextoNormalCaracter"/>
        </w:rPr>
        <w:t>-</w:t>
      </w:r>
      <w:r>
        <w:t xml:space="preserve"> Sentencia </w:t>
      </w:r>
      <w:hyperlink w:anchor="SENTENCIA_2025_25" w:history="1">
        <w:r w:rsidRPr="001D7FA9">
          <w:rPr>
            <w:rStyle w:val="TextoNormalCaracter"/>
          </w:rPr>
          <w:t>25/2025</w:t>
        </w:r>
      </w:hyperlink>
      <w:r>
        <w:t>, VP I.</w:t>
      </w:r>
    </w:p>
    <w:p w14:paraId="1CD8B655" w14:textId="40D7A91B" w:rsidR="001D7FA9" w:rsidRDefault="001D7FA9" w:rsidP="001D7FA9">
      <w:pPr>
        <w:pStyle w:val="SangriaFrancesaArticulo"/>
      </w:pPr>
    </w:p>
    <w:p w14:paraId="253F31CE" w14:textId="77777777" w:rsidR="001D7FA9" w:rsidRDefault="001D7FA9" w:rsidP="001D7FA9">
      <w:pPr>
        <w:pStyle w:val="TextoNormalNegritaCursivandice"/>
        <w:keepNext/>
      </w:pPr>
      <w:r>
        <w:t>Comunidad Autónoma de Cataluña. Ley 19/2017, de 6 de septiembre, del referéndum de autodeterminación</w:t>
      </w:r>
    </w:p>
    <w:p w14:paraId="465AEFD5" w14:textId="7A3DABB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88B41B6" w14:textId="19EEEFF8"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020BBC3" w14:textId="02CFCA29" w:rsidR="001D7FA9" w:rsidRDefault="001D7FA9" w:rsidP="001D7FA9">
      <w:pPr>
        <w:pStyle w:val="SangriaFrancesaArticulo"/>
      </w:pPr>
    </w:p>
    <w:p w14:paraId="732003DE" w14:textId="77777777" w:rsidR="001D7FA9" w:rsidRDefault="001D7FA9" w:rsidP="001D7FA9">
      <w:pPr>
        <w:pStyle w:val="TextoNormalNegritaCursivandice"/>
        <w:keepNext/>
      </w:pPr>
      <w:r>
        <w:t>Comunidad Autónoma de Cataluña. Decreto-ley 17/2019, de 23 de diciembre, de medidas urgentes para mejorar el acceso a la vivienda</w:t>
      </w:r>
    </w:p>
    <w:p w14:paraId="66347CB1" w14:textId="509A001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3, VP II.</w:t>
      </w:r>
    </w:p>
    <w:p w14:paraId="1C340E88" w14:textId="141E3719" w:rsidR="001D7FA9" w:rsidRDefault="001D7FA9" w:rsidP="001D7FA9">
      <w:pPr>
        <w:pStyle w:val="SangriaFrancesaArticulo"/>
      </w:pPr>
    </w:p>
    <w:p w14:paraId="7781526A" w14:textId="77777777" w:rsidR="001D7FA9" w:rsidRDefault="001D7FA9" w:rsidP="001D7FA9">
      <w:pPr>
        <w:pStyle w:val="TextoNormalNegritaCursivandice"/>
        <w:keepNext/>
      </w:pPr>
      <w:r>
        <w:t>Comunidad Autónoma de Cataluña. Decreto-ley 37/2020, de 3 de noviembre, de refuerzo de la protección del derecho a la vivienda ante los efectos de la pandemia de la covid-19</w:t>
      </w:r>
    </w:p>
    <w:p w14:paraId="6B89D234" w14:textId="5C7C01E1" w:rsidR="001D7FA9" w:rsidRDefault="001D7FA9" w:rsidP="001D7FA9">
      <w:pPr>
        <w:pStyle w:val="SangriaFrancesaArticulo"/>
      </w:pPr>
      <w:r w:rsidRPr="001D7FA9">
        <w:rPr>
          <w:rStyle w:val="TextoNormalNegritaCaracter"/>
        </w:rPr>
        <w:t>Apartado I.</w:t>
      </w:r>
      <w:r w:rsidRPr="001D7FA9">
        <w:rPr>
          <w:rStyle w:val="TextoNormalCaracter"/>
        </w:rPr>
        <w:t>-</w:t>
      </w:r>
      <w:r>
        <w:t xml:space="preserve"> Sentencia </w:t>
      </w:r>
      <w:hyperlink w:anchor="SENTENCIA_2025_25" w:history="1">
        <w:r w:rsidRPr="001D7FA9">
          <w:rPr>
            <w:rStyle w:val="TextoNormalCaracter"/>
          </w:rPr>
          <w:t>25/2025</w:t>
        </w:r>
      </w:hyperlink>
      <w:r>
        <w:t>, f. 3.</w:t>
      </w:r>
    </w:p>
    <w:p w14:paraId="4CA8CD73" w14:textId="7A222163" w:rsidR="001D7FA9" w:rsidRDefault="001D7FA9" w:rsidP="001D7FA9">
      <w:pPr>
        <w:pStyle w:val="SangriaFrancesaArticulo"/>
      </w:pPr>
      <w:r w:rsidRPr="001D7FA9">
        <w:rPr>
          <w:rStyle w:val="TextoNormalNegritaCaracter"/>
        </w:rPr>
        <w:t>Apartado II.</w:t>
      </w:r>
      <w:r w:rsidRPr="001D7FA9">
        <w:rPr>
          <w:rStyle w:val="TextoNormalCaracter"/>
        </w:rPr>
        <w:t>-</w:t>
      </w:r>
      <w:r>
        <w:t xml:space="preserve"> Sentencia </w:t>
      </w:r>
      <w:hyperlink w:anchor="SENTENCIA_2025_25" w:history="1">
        <w:r w:rsidRPr="001D7FA9">
          <w:rPr>
            <w:rStyle w:val="TextoNormalCaracter"/>
          </w:rPr>
          <w:t>25/2025</w:t>
        </w:r>
      </w:hyperlink>
      <w:r>
        <w:t>, f. 3.</w:t>
      </w:r>
    </w:p>
    <w:p w14:paraId="5AAECB4B" w14:textId="2246C772" w:rsidR="001D7FA9" w:rsidRDefault="001D7FA9" w:rsidP="001D7FA9">
      <w:pPr>
        <w:pStyle w:val="SangriaFrancesaArticulo"/>
      </w:pPr>
      <w:r w:rsidRPr="001D7FA9">
        <w:rPr>
          <w:rStyle w:val="TextoNormalNegritaCaracter"/>
        </w:rPr>
        <w:t>Apartado III.</w:t>
      </w:r>
      <w:r w:rsidRPr="001D7FA9">
        <w:rPr>
          <w:rStyle w:val="TextoNormalCaracter"/>
        </w:rPr>
        <w:t>-</w:t>
      </w:r>
      <w:r>
        <w:t xml:space="preserve"> Sentencia </w:t>
      </w:r>
      <w:hyperlink w:anchor="SENTENCIA_2025_25" w:history="1">
        <w:r w:rsidRPr="001D7FA9">
          <w:rPr>
            <w:rStyle w:val="TextoNormalCaracter"/>
          </w:rPr>
          <w:t>25/2025</w:t>
        </w:r>
      </w:hyperlink>
      <w:r>
        <w:t>, f. 3.</w:t>
      </w:r>
    </w:p>
    <w:p w14:paraId="4D397DA4" w14:textId="3195CB8E" w:rsidR="001D7FA9" w:rsidRDefault="001D7FA9" w:rsidP="001D7FA9">
      <w:pPr>
        <w:pStyle w:val="SangriaFrancesaArticulo"/>
      </w:pPr>
    </w:p>
    <w:p w14:paraId="3A718967" w14:textId="77777777" w:rsidR="001D7FA9" w:rsidRDefault="001D7FA9" w:rsidP="001D7FA9">
      <w:pPr>
        <w:pStyle w:val="TextoNormalNegritaCursivandice"/>
        <w:keepNext/>
      </w:pPr>
      <w:r>
        <w:t>Comunidad Autónoma de Cataluña. Ley del Parlamento 18/2020, de 28 de diciembre, de facilitación de la actividad económica</w:t>
      </w:r>
    </w:p>
    <w:p w14:paraId="3BAF16F7" w14:textId="11ECED4B" w:rsidR="001D7FA9" w:rsidRDefault="001D7FA9" w:rsidP="001D7FA9">
      <w:pPr>
        <w:pStyle w:val="SangriaFrancesaArticulo"/>
      </w:pPr>
      <w:r w:rsidRPr="001D7FA9">
        <w:rPr>
          <w:rStyle w:val="TextoNormalNegritaCaracter"/>
        </w:rPr>
        <w:t>Artículo 32.</w:t>
      </w:r>
      <w:r w:rsidRPr="001D7FA9">
        <w:rPr>
          <w:rStyle w:val="TextoNormalCaracter"/>
        </w:rPr>
        <w:t>-</w:t>
      </w:r>
      <w:r>
        <w:t xml:space="preserve"> Sentencia </w:t>
      </w:r>
      <w:hyperlink w:anchor="SENTENCIA_2025_64" w:history="1">
        <w:r w:rsidRPr="001D7FA9">
          <w:rPr>
            <w:rStyle w:val="TextoNormalCaracter"/>
          </w:rPr>
          <w:t>64/2025</w:t>
        </w:r>
      </w:hyperlink>
      <w:r>
        <w:t>, f. 2.</w:t>
      </w:r>
    </w:p>
    <w:p w14:paraId="7F5AE0BF" w14:textId="1C225ADF" w:rsidR="001D7FA9" w:rsidRDefault="001D7FA9" w:rsidP="001D7FA9">
      <w:pPr>
        <w:pStyle w:val="SangriaFrancesaArticulo"/>
      </w:pPr>
      <w:r w:rsidRPr="001D7FA9">
        <w:rPr>
          <w:rStyle w:val="TextoNormalNegritaCaracter"/>
        </w:rPr>
        <w:t>Anexo.</w:t>
      </w:r>
      <w:r w:rsidRPr="001D7FA9">
        <w:rPr>
          <w:rStyle w:val="TextoNormalCaracter"/>
        </w:rPr>
        <w:t>-</w:t>
      </w:r>
      <w:r>
        <w:t xml:space="preserve"> Sentencia </w:t>
      </w:r>
      <w:hyperlink w:anchor="SENTENCIA_2025_64" w:history="1">
        <w:r w:rsidRPr="001D7FA9">
          <w:rPr>
            <w:rStyle w:val="TextoNormalCaracter"/>
          </w:rPr>
          <w:t>64/2025</w:t>
        </w:r>
      </w:hyperlink>
      <w:r>
        <w:t>, f. 2.</w:t>
      </w:r>
    </w:p>
    <w:p w14:paraId="5065DC4B" w14:textId="6EC10E9F" w:rsidR="001D7FA9" w:rsidRDefault="001D7FA9" w:rsidP="001D7FA9">
      <w:pPr>
        <w:pStyle w:val="SangriaFrancesaArticulo"/>
      </w:pPr>
    </w:p>
    <w:p w14:paraId="5209DDBE" w14:textId="77777777" w:rsidR="001D7FA9" w:rsidRDefault="001D7FA9" w:rsidP="001D7FA9">
      <w:pPr>
        <w:pStyle w:val="TextoNormalNegritaCursivandice"/>
        <w:keepNext/>
      </w:pPr>
      <w:r>
        <w:t>Comunidad Autónoma de Cataluña. Ley 1/2022, de 3 de marzo, de modificación de la Ley 18/2007, la Ley 24/2015 y la Ley 4/2016, para afrontar la emergencia en el ámbito de la vivienda</w:t>
      </w:r>
    </w:p>
    <w:p w14:paraId="35F7DC48" w14:textId="45637C0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ff. 1 a 5, VP I, VP II.</w:t>
      </w:r>
    </w:p>
    <w:p w14:paraId="52F1BA10" w14:textId="5C768ABE"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25" w:history="1">
        <w:r w:rsidRPr="001D7FA9">
          <w:rPr>
            <w:rStyle w:val="TextoNormalCaracter"/>
          </w:rPr>
          <w:t>25/2025</w:t>
        </w:r>
      </w:hyperlink>
      <w:r>
        <w:t>, f. 1.</w:t>
      </w:r>
    </w:p>
    <w:p w14:paraId="3C3582AF" w14:textId="022196D8"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25" w:history="1">
        <w:r w:rsidRPr="001D7FA9">
          <w:rPr>
            <w:rStyle w:val="TextoNormalCaracter"/>
          </w:rPr>
          <w:t>25/2025</w:t>
        </w:r>
      </w:hyperlink>
      <w:r>
        <w:t>, ff. 1, 2, 5, VP II.</w:t>
      </w:r>
    </w:p>
    <w:p w14:paraId="4DEB3CEF" w14:textId="7EBE0FF3"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25" w:history="1">
        <w:r w:rsidRPr="001D7FA9">
          <w:rPr>
            <w:rStyle w:val="TextoNormalCaracter"/>
          </w:rPr>
          <w:t>25/2025</w:t>
        </w:r>
      </w:hyperlink>
      <w:r>
        <w:t>, ff. 1, 2, 5, VP II.</w:t>
      </w:r>
    </w:p>
    <w:p w14:paraId="480C8BD6" w14:textId="6C4BC960"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25" w:history="1">
        <w:r w:rsidRPr="001D7FA9">
          <w:rPr>
            <w:rStyle w:val="TextoNormalCaracter"/>
          </w:rPr>
          <w:t>25/2025</w:t>
        </w:r>
      </w:hyperlink>
      <w:r>
        <w:t>, ff. 1, 2, 5.</w:t>
      </w:r>
    </w:p>
    <w:p w14:paraId="2B0A8B9A" w14:textId="2F5FD837"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 </w:t>
      </w:r>
      <w:hyperlink w:anchor="SENTENCIA_2025_25" w:history="1">
        <w:r w:rsidRPr="001D7FA9">
          <w:rPr>
            <w:rStyle w:val="TextoNormalCaracter"/>
          </w:rPr>
          <w:t>25/2025</w:t>
        </w:r>
      </w:hyperlink>
      <w:r>
        <w:t>, ff. 1, 2, 5, VP II.</w:t>
      </w:r>
    </w:p>
    <w:p w14:paraId="628427AD" w14:textId="6BD1C1CC"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 </w:t>
      </w:r>
      <w:hyperlink w:anchor="SENTENCIA_2025_25" w:history="1">
        <w:r w:rsidRPr="001D7FA9">
          <w:rPr>
            <w:rStyle w:val="TextoNormalCaracter"/>
          </w:rPr>
          <w:t>25/2025</w:t>
        </w:r>
      </w:hyperlink>
      <w:r>
        <w:t>, ff. 1, 2, 5, VP II.</w:t>
      </w:r>
    </w:p>
    <w:p w14:paraId="6BB5B5D0" w14:textId="2E21AABB"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25" w:history="1">
        <w:r w:rsidRPr="001D7FA9">
          <w:rPr>
            <w:rStyle w:val="TextoNormalCaracter"/>
          </w:rPr>
          <w:t>25/2025</w:t>
        </w:r>
      </w:hyperlink>
      <w:r>
        <w:t>, ff. 1, 2, 5, VP II.</w:t>
      </w:r>
    </w:p>
    <w:p w14:paraId="0F159E3E" w14:textId="7DFC1373"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25" w:history="1">
        <w:r w:rsidRPr="001D7FA9">
          <w:rPr>
            <w:rStyle w:val="TextoNormalCaracter"/>
          </w:rPr>
          <w:t>25/2025</w:t>
        </w:r>
      </w:hyperlink>
      <w:r>
        <w:t>, ff. 1, 2, 5, VP I, VP II.</w:t>
      </w:r>
    </w:p>
    <w:p w14:paraId="6F9F1510" w14:textId="31B17911"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25" w:history="1">
        <w:r w:rsidRPr="001D7FA9">
          <w:rPr>
            <w:rStyle w:val="TextoNormalCaracter"/>
          </w:rPr>
          <w:t>25/2025</w:t>
        </w:r>
      </w:hyperlink>
      <w:r>
        <w:t>, ff. 1, 2, 5, VP I, VP II.</w:t>
      </w:r>
    </w:p>
    <w:p w14:paraId="765051CA" w14:textId="142A4014"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25" w:history="1">
        <w:r w:rsidRPr="001D7FA9">
          <w:rPr>
            <w:rStyle w:val="TextoNormalCaracter"/>
          </w:rPr>
          <w:t>25/2025</w:t>
        </w:r>
      </w:hyperlink>
      <w:r>
        <w:t>, ff. 1, 2, 5, VP I, VP II.</w:t>
      </w:r>
    </w:p>
    <w:p w14:paraId="6316323B" w14:textId="41235E6A" w:rsidR="001D7FA9" w:rsidRDefault="001D7FA9" w:rsidP="001D7FA9">
      <w:pPr>
        <w:pStyle w:val="SangriaFrancesaArticulo"/>
      </w:pPr>
      <w:r w:rsidRPr="001D7FA9">
        <w:rPr>
          <w:rStyle w:val="TextoNormalNegritaCaracter"/>
        </w:rPr>
        <w:t>Artículo 6.2.</w:t>
      </w:r>
      <w:r w:rsidRPr="001D7FA9">
        <w:rPr>
          <w:rStyle w:val="TextoNormalCaracter"/>
        </w:rPr>
        <w:t>-</w:t>
      </w:r>
      <w:r>
        <w:t xml:space="preserve"> Sentencia </w:t>
      </w:r>
      <w:hyperlink w:anchor="SENTENCIA_2025_25" w:history="1">
        <w:r w:rsidRPr="001D7FA9">
          <w:rPr>
            <w:rStyle w:val="TextoNormalCaracter"/>
          </w:rPr>
          <w:t>25/2025</w:t>
        </w:r>
      </w:hyperlink>
      <w:r>
        <w:t>, ff. 1, 2, 5.</w:t>
      </w:r>
    </w:p>
    <w:p w14:paraId="2F6A9BE9" w14:textId="7E4911CE"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25" w:history="1">
        <w:r w:rsidRPr="001D7FA9">
          <w:rPr>
            <w:rStyle w:val="TextoNormalCaracter"/>
          </w:rPr>
          <w:t>25/2025</w:t>
        </w:r>
      </w:hyperlink>
      <w:r>
        <w:t>, ff. 1, 2.</w:t>
      </w:r>
    </w:p>
    <w:p w14:paraId="7359E0B0" w14:textId="284F1915"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25" w:history="1">
        <w:r w:rsidRPr="001D7FA9">
          <w:rPr>
            <w:rStyle w:val="TextoNormalCaracter"/>
          </w:rPr>
          <w:t>25/2025</w:t>
        </w:r>
      </w:hyperlink>
      <w:r>
        <w:t>, ff. 1, 2, 5, VP I, VP II.</w:t>
      </w:r>
    </w:p>
    <w:p w14:paraId="15B48DB5" w14:textId="46542040" w:rsidR="001D7FA9" w:rsidRDefault="001D7FA9" w:rsidP="001D7FA9">
      <w:pPr>
        <w:pStyle w:val="SangriaFrancesaArticulo"/>
      </w:pPr>
      <w:r w:rsidRPr="001D7FA9">
        <w:rPr>
          <w:rStyle w:val="TextoNormalNegritaCaracter"/>
        </w:rPr>
        <w:t>Artículo 10.1 párrafo primero.</w:t>
      </w:r>
      <w:r w:rsidRPr="001D7FA9">
        <w:rPr>
          <w:rStyle w:val="TextoNormalCaracter"/>
        </w:rPr>
        <w:t>-</w:t>
      </w:r>
      <w:r>
        <w:t xml:space="preserve"> Sentencia </w:t>
      </w:r>
      <w:hyperlink w:anchor="SENTENCIA_2025_25" w:history="1">
        <w:r w:rsidRPr="001D7FA9">
          <w:rPr>
            <w:rStyle w:val="TextoNormalCaracter"/>
          </w:rPr>
          <w:t>25/2025</w:t>
        </w:r>
      </w:hyperlink>
      <w:r>
        <w:t>, f. 2.</w:t>
      </w:r>
    </w:p>
    <w:p w14:paraId="042352BB" w14:textId="6F085ADF"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25" w:history="1">
        <w:r w:rsidRPr="001D7FA9">
          <w:rPr>
            <w:rStyle w:val="TextoNormalCaracter"/>
          </w:rPr>
          <w:t>25/2025</w:t>
        </w:r>
      </w:hyperlink>
      <w:r>
        <w:t>, ff. 1, 2, 5.</w:t>
      </w:r>
    </w:p>
    <w:p w14:paraId="0EA0F52C" w14:textId="27B94456" w:rsidR="001D7FA9" w:rsidRDefault="001D7FA9" w:rsidP="001D7FA9">
      <w:pPr>
        <w:pStyle w:val="SangriaFrancesaArticulo"/>
      </w:pPr>
      <w:r w:rsidRPr="001D7FA9">
        <w:rPr>
          <w:rStyle w:val="TextoNormalNegritaCaracter"/>
        </w:rPr>
        <w:t>Artículo 12.</w:t>
      </w:r>
      <w:r w:rsidRPr="001D7FA9">
        <w:rPr>
          <w:rStyle w:val="TextoNormalCaracter"/>
        </w:rPr>
        <w:t>-</w:t>
      </w:r>
      <w:r>
        <w:t xml:space="preserve"> Sentencia </w:t>
      </w:r>
      <w:hyperlink w:anchor="SENTENCIA_2025_25" w:history="1">
        <w:r w:rsidRPr="001D7FA9">
          <w:rPr>
            <w:rStyle w:val="TextoNormalCaracter"/>
          </w:rPr>
          <w:t>25/2025</w:t>
        </w:r>
      </w:hyperlink>
      <w:r>
        <w:t>, ff. 1 a 3, 5.</w:t>
      </w:r>
    </w:p>
    <w:p w14:paraId="46A84A69" w14:textId="50782BF5"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25" w:history="1">
        <w:r w:rsidRPr="001D7FA9">
          <w:rPr>
            <w:rStyle w:val="TextoNormalCaracter"/>
          </w:rPr>
          <w:t>25/2025</w:t>
        </w:r>
      </w:hyperlink>
      <w:r>
        <w:t>, f. 2.</w:t>
      </w:r>
    </w:p>
    <w:p w14:paraId="6784183D" w14:textId="6B9C23CB"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25" w:history="1">
        <w:r w:rsidRPr="001D7FA9">
          <w:rPr>
            <w:rStyle w:val="TextoNormalCaracter"/>
          </w:rPr>
          <w:t>25/2025</w:t>
        </w:r>
      </w:hyperlink>
      <w:r>
        <w:t>, f. 2.</w:t>
      </w:r>
    </w:p>
    <w:p w14:paraId="708FE4AB" w14:textId="06CD7BAB" w:rsidR="001D7FA9" w:rsidRDefault="001D7FA9" w:rsidP="001D7FA9">
      <w:pPr>
        <w:pStyle w:val="SangriaFrancesaArticulo"/>
      </w:pPr>
      <w:r w:rsidRPr="001D7FA9">
        <w:rPr>
          <w:rStyle w:val="TextoNormalNegritaCaracter"/>
        </w:rPr>
        <w:t>Artículo 12.3.</w:t>
      </w:r>
      <w:r w:rsidRPr="001D7FA9">
        <w:rPr>
          <w:rStyle w:val="TextoNormalCaracter"/>
        </w:rPr>
        <w:t>-</w:t>
      </w:r>
      <w:r>
        <w:t xml:space="preserve"> Sentencia </w:t>
      </w:r>
      <w:hyperlink w:anchor="SENTENCIA_2025_25" w:history="1">
        <w:r w:rsidRPr="001D7FA9">
          <w:rPr>
            <w:rStyle w:val="TextoNormalCaracter"/>
          </w:rPr>
          <w:t>25/2025</w:t>
        </w:r>
      </w:hyperlink>
      <w:r>
        <w:t>, f. 2.</w:t>
      </w:r>
    </w:p>
    <w:p w14:paraId="5A2F0628" w14:textId="5CA280EC" w:rsidR="001D7FA9" w:rsidRDefault="001D7FA9" w:rsidP="001D7FA9">
      <w:pPr>
        <w:pStyle w:val="SangriaFrancesaArticulo"/>
      </w:pPr>
      <w:r w:rsidRPr="001D7FA9">
        <w:rPr>
          <w:rStyle w:val="TextoNormalNegritaCaracter"/>
        </w:rPr>
        <w:t>Articulo 12.3 inciso "y, en cualquier caso, no inferior a cinco años si el titular de la vivienda es una persona física y no inferior a siete años si es una persona jurídica".</w:t>
      </w:r>
      <w:r w:rsidRPr="001D7FA9">
        <w:rPr>
          <w:rStyle w:val="TextoNormalCaracter"/>
        </w:rPr>
        <w:t>-</w:t>
      </w:r>
      <w:r>
        <w:t xml:space="preserve"> Sentencia </w:t>
      </w:r>
      <w:hyperlink w:anchor="SENTENCIA_2025_25" w:history="1">
        <w:r w:rsidRPr="001D7FA9">
          <w:rPr>
            <w:rStyle w:val="TextoNormalCaracter"/>
          </w:rPr>
          <w:t>25/2025</w:t>
        </w:r>
      </w:hyperlink>
      <w:r>
        <w:t>, f. 2.</w:t>
      </w:r>
    </w:p>
    <w:p w14:paraId="7E67450B" w14:textId="2DEB5CC5"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 </w:t>
      </w:r>
      <w:hyperlink w:anchor="SENTENCIA_2025_25" w:history="1">
        <w:r w:rsidRPr="001D7FA9">
          <w:rPr>
            <w:rStyle w:val="TextoNormalCaracter"/>
          </w:rPr>
          <w:t>25/2025</w:t>
        </w:r>
      </w:hyperlink>
      <w:r>
        <w:t>, ff. 2, 4.</w:t>
      </w:r>
    </w:p>
    <w:p w14:paraId="6186E3DC" w14:textId="4255DDF3" w:rsidR="001D7FA9" w:rsidRDefault="001D7FA9" w:rsidP="001D7FA9">
      <w:pPr>
        <w:pStyle w:val="SangriaFrancesaArticulo"/>
      </w:pPr>
      <w:r w:rsidRPr="001D7FA9">
        <w:rPr>
          <w:rStyle w:val="TextoNormalNegritaCaracter"/>
        </w:rPr>
        <w:t>Artículo 15 inciso "y de que, de conformidad con el artículo 49.3 del texto refundido de la Ley del suelo y rehabilitación urbana, el contenido del derecho de propiedad se reduce en un 50 por 100 de su valor, cuya diferencia corresponde a la administración expropiante".</w:t>
      </w:r>
      <w:r w:rsidRPr="001D7FA9">
        <w:rPr>
          <w:rStyle w:val="TextoNormalCaracter"/>
        </w:rPr>
        <w:t>-</w:t>
      </w:r>
      <w:r>
        <w:t xml:space="preserve"> Sentencia </w:t>
      </w:r>
      <w:hyperlink w:anchor="SENTENCIA_2025_25" w:history="1">
        <w:r w:rsidRPr="001D7FA9">
          <w:rPr>
            <w:rStyle w:val="TextoNormalCaracter"/>
          </w:rPr>
          <w:t>25/2025</w:t>
        </w:r>
      </w:hyperlink>
      <w:r>
        <w:t>, f. 4.</w:t>
      </w:r>
    </w:p>
    <w:p w14:paraId="015EE152" w14:textId="31227165" w:rsidR="001D7FA9" w:rsidRDefault="001D7FA9" w:rsidP="001D7FA9">
      <w:pPr>
        <w:pStyle w:val="SangriaFrancesaArticulo"/>
      </w:pPr>
      <w:r w:rsidRPr="001D7FA9">
        <w:rPr>
          <w:rStyle w:val="TextoNormalNegritaCaracter"/>
        </w:rPr>
        <w:t>Artículo 15.1.</w:t>
      </w:r>
      <w:r w:rsidRPr="001D7FA9">
        <w:rPr>
          <w:rStyle w:val="TextoNormalCaracter"/>
        </w:rPr>
        <w:t>-</w:t>
      </w:r>
      <w:r>
        <w:t xml:space="preserve"> Sentencia </w:t>
      </w:r>
      <w:hyperlink w:anchor="SENTENCIA_2025_25" w:history="1">
        <w:r w:rsidRPr="001D7FA9">
          <w:rPr>
            <w:rStyle w:val="TextoNormalCaracter"/>
          </w:rPr>
          <w:t>25/2025</w:t>
        </w:r>
      </w:hyperlink>
      <w:r>
        <w:t>, ff. 1, 2, 5, VP II.</w:t>
      </w:r>
    </w:p>
    <w:p w14:paraId="003B16EE" w14:textId="5CE7E7A2" w:rsidR="001D7FA9" w:rsidRDefault="001D7FA9" w:rsidP="001D7FA9">
      <w:pPr>
        <w:pStyle w:val="SangriaFrancesaArticulo"/>
      </w:pPr>
      <w:r w:rsidRPr="001D7FA9">
        <w:rPr>
          <w:rStyle w:val="TextoNormalNegritaCaracter"/>
        </w:rPr>
        <w:t>Artículo 15.4.</w:t>
      </w:r>
      <w:r w:rsidRPr="001D7FA9">
        <w:rPr>
          <w:rStyle w:val="TextoNormalCaracter"/>
        </w:rPr>
        <w:t>-</w:t>
      </w:r>
      <w:r>
        <w:t xml:space="preserve"> Sentencia </w:t>
      </w:r>
      <w:hyperlink w:anchor="SENTENCIA_2025_25" w:history="1">
        <w:r w:rsidRPr="001D7FA9">
          <w:rPr>
            <w:rStyle w:val="TextoNormalCaracter"/>
          </w:rPr>
          <w:t>25/2025</w:t>
        </w:r>
      </w:hyperlink>
      <w:r>
        <w:t>, ff. 1, 2, VP II.</w:t>
      </w:r>
    </w:p>
    <w:p w14:paraId="2676FDFF" w14:textId="15973AAC" w:rsidR="001D7FA9" w:rsidRDefault="001D7FA9" w:rsidP="001D7FA9">
      <w:pPr>
        <w:pStyle w:val="SangriaFrancesaArticulo"/>
      </w:pPr>
      <w:r w:rsidRPr="001D7FA9">
        <w:rPr>
          <w:rStyle w:val="TextoNormalNegritaCaracter"/>
        </w:rPr>
        <w:t>Disposición adicional primera apartado 3 inciso "y, en cualquier caso, no inferior a cinco años si el titular de la vivienda es una persona física y no inferior a siete años si es una persona jurídica"</w:t>
      </w:r>
      <w:r>
        <w:t xml:space="preserve"> (redactado por la Ley 1/2022, de 3 de marzo)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2.</w:t>
      </w:r>
    </w:p>
    <w:p w14:paraId="28738E52" w14:textId="175EB19F" w:rsidR="001D7FA9" w:rsidRDefault="001D7FA9" w:rsidP="001D7FA9">
      <w:pPr>
        <w:pStyle w:val="SangriaFrancesaArticulo"/>
      </w:pPr>
      <w:r w:rsidRPr="001D7FA9">
        <w:rPr>
          <w:rStyle w:val="TextoNormalNegritaCaracter"/>
        </w:rPr>
        <w:t>Disposición transitoria.</w:t>
      </w:r>
      <w:r w:rsidRPr="001D7FA9">
        <w:rPr>
          <w:rStyle w:val="TextoNormalCaracter"/>
        </w:rPr>
        <w:t>-</w:t>
      </w:r>
      <w:r>
        <w:t xml:space="preserve"> Sentencia </w:t>
      </w:r>
      <w:hyperlink w:anchor="SENTENCIA_2025_25" w:history="1">
        <w:r w:rsidRPr="001D7FA9">
          <w:rPr>
            <w:rStyle w:val="TextoNormalCaracter"/>
          </w:rPr>
          <w:t>25/2025</w:t>
        </w:r>
      </w:hyperlink>
      <w:r>
        <w:t>, ff. 1, 2, 5.</w:t>
      </w:r>
    </w:p>
    <w:p w14:paraId="0EF4FF6E" w14:textId="67F7CCAA" w:rsidR="001D7FA9" w:rsidRDefault="001D7FA9" w:rsidP="001D7FA9">
      <w:pPr>
        <w:pStyle w:val="SangriaFrancesaArticulo"/>
      </w:pPr>
    </w:p>
    <w:p w14:paraId="26134150" w14:textId="77777777" w:rsidR="001D7FA9" w:rsidRDefault="001D7FA9" w:rsidP="001D7FA9">
      <w:pPr>
        <w:pStyle w:val="TextoNormalNegritaCursivandice"/>
        <w:keepNext/>
      </w:pPr>
      <w:r>
        <w:t>Comunidad Autónoma de Cataluña. Ley 1/2023, de 15 de febrero, de modificación de la Ley 18/2007, del derecho a la vivienda, y del libro quinto del Código civil de Cataluña, relativo a los derechos reales, en relación con la adopción de medidas urgentes para afrontar la inactividad de los propietarios en los casos de ocupación ilegal de viviendas con alteración de la convivencia vecinal</w:t>
      </w:r>
    </w:p>
    <w:p w14:paraId="552549BA" w14:textId="02EDA31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2.</w:t>
      </w:r>
    </w:p>
    <w:p w14:paraId="3D567F20" w14:textId="3A57CB76" w:rsidR="001D7FA9" w:rsidRDefault="001D7FA9" w:rsidP="001D7FA9">
      <w:pPr>
        <w:pStyle w:val="SangriaFrancesaArticulo"/>
      </w:pPr>
    </w:p>
    <w:p w14:paraId="3C411211" w14:textId="77777777" w:rsidR="001D7FA9" w:rsidRDefault="001D7FA9" w:rsidP="001D7FA9">
      <w:pPr>
        <w:pStyle w:val="TextoNormalNegritaCursivandice"/>
        <w:keepNext/>
      </w:pPr>
      <w:r>
        <w:t>Comunidad Autónoma de Cataluña. Ley 3/2023, de 16 de marzo, de medidas fiscales, financieras, administrativas y del sector público para el 2023</w:t>
      </w:r>
    </w:p>
    <w:p w14:paraId="59892C1F" w14:textId="60A00A0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2.</w:t>
      </w:r>
    </w:p>
    <w:p w14:paraId="6520F7AF" w14:textId="06263C3D" w:rsidR="001D7FA9" w:rsidRDefault="001D7FA9" w:rsidP="001D7FA9">
      <w:pPr>
        <w:pStyle w:val="SangriaFrancesaArticulo"/>
      </w:pPr>
      <w:r w:rsidRPr="001D7FA9">
        <w:rPr>
          <w:rStyle w:val="TextoNormalNegritaCaracter"/>
        </w:rPr>
        <w:t>Artículo 63.</w:t>
      </w:r>
      <w:r w:rsidRPr="001D7FA9">
        <w:rPr>
          <w:rStyle w:val="TextoNormalCaracter"/>
        </w:rPr>
        <w:t>-</w:t>
      </w:r>
      <w:r>
        <w:t xml:space="preserve"> Sentencia </w:t>
      </w:r>
      <w:hyperlink w:anchor="SENTENCIA_2025_25" w:history="1">
        <w:r w:rsidRPr="001D7FA9">
          <w:rPr>
            <w:rStyle w:val="TextoNormalCaracter"/>
          </w:rPr>
          <w:t>25/2025</w:t>
        </w:r>
      </w:hyperlink>
      <w:r>
        <w:t>, f. 2.</w:t>
      </w:r>
    </w:p>
    <w:p w14:paraId="60C4AFBF" w14:textId="749722DA" w:rsidR="001D7FA9" w:rsidRDefault="001D7FA9" w:rsidP="001D7FA9">
      <w:pPr>
        <w:pStyle w:val="SangriaFrancesaArticulo"/>
      </w:pPr>
    </w:p>
    <w:p w14:paraId="31215AE0" w14:textId="77777777" w:rsidR="001D7FA9" w:rsidRDefault="001D7FA9" w:rsidP="001D7FA9">
      <w:pPr>
        <w:pStyle w:val="TextoNormalNegritaCursivandice"/>
        <w:keepNext/>
      </w:pPr>
      <w:r>
        <w:t>Comunidad Autónoma de Cataluña. Decreto-ley 3/2023, de 7 de noviembre, de medidas urgentes sobre el régimen urbanístico de las viviendas de uso turístico</w:t>
      </w:r>
    </w:p>
    <w:p w14:paraId="1C7ED294" w14:textId="4DFA2BA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4" w:history="1">
        <w:r w:rsidRPr="001D7FA9">
          <w:rPr>
            <w:rStyle w:val="TextoNormalCaracter"/>
          </w:rPr>
          <w:t>64/2025</w:t>
        </w:r>
      </w:hyperlink>
      <w:r>
        <w:t>, ff. 2 a 5.</w:t>
      </w:r>
    </w:p>
    <w:p w14:paraId="6C2B11E6" w14:textId="175762B7" w:rsidR="001D7FA9" w:rsidRDefault="001D7FA9" w:rsidP="001D7FA9">
      <w:pPr>
        <w:pStyle w:val="SangriaFrancesaArticulo"/>
      </w:pPr>
      <w:r w:rsidRPr="001D7FA9">
        <w:rPr>
          <w:rStyle w:val="TextoNormalNegritaCaracter"/>
        </w:rPr>
        <w:t>Exposición de motivos.</w:t>
      </w:r>
      <w:r w:rsidRPr="001D7FA9">
        <w:rPr>
          <w:rStyle w:val="TextoNormalCaracter"/>
        </w:rPr>
        <w:t>-</w:t>
      </w:r>
      <w:r>
        <w:t xml:space="preserve"> Sentencia </w:t>
      </w:r>
      <w:hyperlink w:anchor="SENTENCIA_2025_64" w:history="1">
        <w:r w:rsidRPr="001D7FA9">
          <w:rPr>
            <w:rStyle w:val="TextoNormalCaracter"/>
          </w:rPr>
          <w:t>64/2025</w:t>
        </w:r>
      </w:hyperlink>
      <w:r>
        <w:t>, ff. 2, 3, 5.</w:t>
      </w:r>
    </w:p>
    <w:p w14:paraId="034D5DAF" w14:textId="460B0FE3" w:rsidR="001D7FA9" w:rsidRDefault="001D7FA9" w:rsidP="001D7FA9">
      <w:pPr>
        <w:pStyle w:val="SangriaFrancesaArticulo"/>
      </w:pPr>
      <w:r w:rsidRPr="001D7FA9">
        <w:rPr>
          <w:rStyle w:val="TextoNormalNegritaCaracter"/>
        </w:rPr>
        <w:t>Disposición transitoria segunda, apartado 1.</w:t>
      </w:r>
      <w:r w:rsidRPr="001D7FA9">
        <w:rPr>
          <w:rStyle w:val="TextoNormalCaracter"/>
        </w:rPr>
        <w:t>-</w:t>
      </w:r>
      <w:r>
        <w:t xml:space="preserve"> Sentencia </w:t>
      </w:r>
      <w:hyperlink w:anchor="SENTENCIA_2025_64" w:history="1">
        <w:r w:rsidRPr="001D7FA9">
          <w:rPr>
            <w:rStyle w:val="TextoNormalCaracter"/>
          </w:rPr>
          <w:t>64/2025</w:t>
        </w:r>
      </w:hyperlink>
      <w:r>
        <w:t>, f. 5.</w:t>
      </w:r>
    </w:p>
    <w:p w14:paraId="00EEAB7E" w14:textId="5FA79FDC" w:rsidR="001D7FA9" w:rsidRDefault="001D7FA9" w:rsidP="001D7FA9">
      <w:pPr>
        <w:pStyle w:val="SangriaFrancesaArticulo"/>
      </w:pPr>
      <w:r w:rsidRPr="001D7FA9">
        <w:rPr>
          <w:rStyle w:val="TextoNormalNegritaCaracter"/>
        </w:rPr>
        <w:t>Disposición final primera, apartado 2.</w:t>
      </w:r>
      <w:r w:rsidRPr="001D7FA9">
        <w:rPr>
          <w:rStyle w:val="TextoNormalCaracter"/>
        </w:rPr>
        <w:t>-</w:t>
      </w:r>
      <w:r>
        <w:t xml:space="preserve"> Sentencia </w:t>
      </w:r>
      <w:hyperlink w:anchor="SENTENCIA_2025_64" w:history="1">
        <w:r w:rsidRPr="001D7FA9">
          <w:rPr>
            <w:rStyle w:val="TextoNormalCaracter"/>
          </w:rPr>
          <w:t>64/2025</w:t>
        </w:r>
      </w:hyperlink>
      <w:r>
        <w:t>, ff. 4, 7.</w:t>
      </w:r>
    </w:p>
    <w:p w14:paraId="4C1F54A0" w14:textId="68FE5ACF" w:rsidR="001D7FA9" w:rsidRDefault="001D7FA9" w:rsidP="001D7FA9">
      <w:pPr>
        <w:pStyle w:val="SangriaFrancesaArticulo"/>
      </w:pPr>
    </w:p>
    <w:p w14:paraId="7D215596" w14:textId="77777777" w:rsidR="001D7FA9" w:rsidRDefault="001D7FA9" w:rsidP="001D7FA9">
      <w:pPr>
        <w:pStyle w:val="TextoNormalNegritaCursivandice"/>
        <w:keepNext/>
      </w:pPr>
      <w:r>
        <w:t>Comunidad Autónoma de Cataluña. Acuerdo de la Diputación Permanente de derogación del Decreto-ley 6/2024, de 24 de abril, de medidas urgentes en materia de vivienda</w:t>
      </w:r>
    </w:p>
    <w:p w14:paraId="2CDF2727" w14:textId="05E281D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2.</w:t>
      </w:r>
    </w:p>
    <w:p w14:paraId="00335781" w14:textId="4CB09208" w:rsidR="001D7FA9" w:rsidRDefault="001D7FA9" w:rsidP="001D7FA9">
      <w:pPr>
        <w:pStyle w:val="SangriaFrancesaArticulo"/>
      </w:pPr>
    </w:p>
    <w:p w14:paraId="69675FB6" w14:textId="77777777" w:rsidR="001D7FA9" w:rsidRDefault="001D7FA9" w:rsidP="001D7FA9">
      <w:pPr>
        <w:pStyle w:val="TextoNormalNegritaCursivandice"/>
        <w:keepNext/>
      </w:pPr>
      <w:r>
        <w:t>Comunidad Autónoma de Cataluña. Decreto-ley 6/2024, de 24 de abril, de medidas urgentes en materia de vivienda</w:t>
      </w:r>
    </w:p>
    <w:p w14:paraId="3401B46F" w14:textId="4CB97D6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2.</w:t>
      </w:r>
    </w:p>
    <w:p w14:paraId="62AB372A" w14:textId="5D703081" w:rsidR="001D7FA9" w:rsidRDefault="001D7FA9" w:rsidP="001D7FA9">
      <w:pPr>
        <w:pStyle w:val="TextoNormal"/>
      </w:pPr>
    </w:p>
    <w:p w14:paraId="5722D464" w14:textId="77777777" w:rsidR="001D7FA9" w:rsidRDefault="001D7FA9" w:rsidP="001D7FA9">
      <w:pPr>
        <w:pStyle w:val="TextoNormalNegritaCentradoSubrayado"/>
        <w:suppressAutoHyphens/>
      </w:pPr>
      <w:r>
        <w:t>J.7.c) Decretos y otras disposiciones reglamentarias</w:t>
      </w:r>
    </w:p>
    <w:p w14:paraId="30B7D010" w14:textId="16B5CA69" w:rsidR="001D7FA9" w:rsidRDefault="001D7FA9" w:rsidP="001D7FA9">
      <w:pPr>
        <w:pStyle w:val="TextoNormalNegritaCentradoSubrayado"/>
      </w:pPr>
    </w:p>
    <w:p w14:paraId="64C3D6A2" w14:textId="77777777" w:rsidR="001D7FA9" w:rsidRDefault="001D7FA9" w:rsidP="001D7FA9">
      <w:pPr>
        <w:pStyle w:val="TextoNormalNegritaCursivandice"/>
        <w:keepNext/>
      </w:pPr>
      <w:r>
        <w:t>Comunidad Autónoma de Cataluña. Decreto de la Presidencia 164/2010, de 9 de noviembre, de regulación de las viviendas de uso turístico</w:t>
      </w:r>
    </w:p>
    <w:p w14:paraId="17A4EEF1" w14:textId="3E3B9C54"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64" w:history="1">
        <w:r w:rsidRPr="001D7FA9">
          <w:rPr>
            <w:rStyle w:val="TextoNormalCaracter"/>
          </w:rPr>
          <w:t>64/2025</w:t>
        </w:r>
      </w:hyperlink>
      <w:r>
        <w:t>, f. 2.</w:t>
      </w:r>
    </w:p>
    <w:p w14:paraId="6FB29AD5" w14:textId="4BB58E77"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 </w:t>
      </w:r>
      <w:hyperlink w:anchor="SENTENCIA_2025_64" w:history="1">
        <w:r w:rsidRPr="001D7FA9">
          <w:rPr>
            <w:rStyle w:val="TextoNormalCaracter"/>
          </w:rPr>
          <w:t>64/2025</w:t>
        </w:r>
      </w:hyperlink>
      <w:r>
        <w:t>, f. 2.</w:t>
      </w:r>
    </w:p>
    <w:p w14:paraId="79EC6384" w14:textId="7CB2BABB" w:rsidR="001D7FA9" w:rsidRDefault="001D7FA9" w:rsidP="001D7FA9">
      <w:pPr>
        <w:pStyle w:val="SangriaFrancesaArticulo"/>
      </w:pPr>
    </w:p>
    <w:p w14:paraId="0585FDF2" w14:textId="77777777" w:rsidR="001D7FA9" w:rsidRDefault="001D7FA9" w:rsidP="001D7FA9">
      <w:pPr>
        <w:pStyle w:val="TextoNormalNegritaCursivandice"/>
        <w:keepNext/>
      </w:pPr>
      <w:r>
        <w:t>Comunidad Autónoma de Cataluña. Decreto de la Consejería de Empresa y Empleo 159/2012, de 20 de noviembre, de establecimientos de alojamiento turístico y de viviendas de uso turístico</w:t>
      </w:r>
    </w:p>
    <w:p w14:paraId="31B070AB" w14:textId="1FA8353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4" w:history="1">
        <w:r w:rsidRPr="001D7FA9">
          <w:rPr>
            <w:rStyle w:val="TextoNormalCaracter"/>
          </w:rPr>
          <w:t>64/2025</w:t>
        </w:r>
      </w:hyperlink>
      <w:r>
        <w:t>, f. 2.</w:t>
      </w:r>
    </w:p>
    <w:p w14:paraId="4807FD60" w14:textId="456237AE" w:rsidR="001D7FA9" w:rsidRDefault="001D7FA9" w:rsidP="001D7FA9">
      <w:pPr>
        <w:pStyle w:val="SangriaFrancesaArticulo"/>
      </w:pPr>
      <w:r w:rsidRPr="001D7FA9">
        <w:rPr>
          <w:rStyle w:val="TextoNormalNegritaCaracter"/>
        </w:rPr>
        <w:t>Artículo 66.1.</w:t>
      </w:r>
      <w:r w:rsidRPr="001D7FA9">
        <w:rPr>
          <w:rStyle w:val="TextoNormalCaracter"/>
        </w:rPr>
        <w:t>-</w:t>
      </w:r>
      <w:r>
        <w:t xml:space="preserve"> Sentencia </w:t>
      </w:r>
      <w:hyperlink w:anchor="SENTENCIA_2025_64" w:history="1">
        <w:r w:rsidRPr="001D7FA9">
          <w:rPr>
            <w:rStyle w:val="TextoNormalCaracter"/>
          </w:rPr>
          <w:t>64/2025</w:t>
        </w:r>
      </w:hyperlink>
      <w:r>
        <w:t>, f. 2.</w:t>
      </w:r>
    </w:p>
    <w:p w14:paraId="364749DD" w14:textId="7849A562" w:rsidR="001D7FA9" w:rsidRDefault="001D7FA9" w:rsidP="001D7FA9">
      <w:pPr>
        <w:pStyle w:val="SangriaFrancesaArticulo"/>
      </w:pPr>
      <w:r w:rsidRPr="001D7FA9">
        <w:rPr>
          <w:rStyle w:val="TextoNormalNegritaCaracter"/>
        </w:rPr>
        <w:t>Artículo 68.</w:t>
      </w:r>
      <w:r w:rsidRPr="001D7FA9">
        <w:rPr>
          <w:rStyle w:val="TextoNormalCaracter"/>
        </w:rPr>
        <w:t>-</w:t>
      </w:r>
      <w:r>
        <w:t xml:space="preserve"> Sentencia </w:t>
      </w:r>
      <w:hyperlink w:anchor="SENTENCIA_2025_64" w:history="1">
        <w:r w:rsidRPr="001D7FA9">
          <w:rPr>
            <w:rStyle w:val="TextoNormalCaracter"/>
          </w:rPr>
          <w:t>64/2025</w:t>
        </w:r>
      </w:hyperlink>
      <w:r>
        <w:t>, f. 2.</w:t>
      </w:r>
    </w:p>
    <w:p w14:paraId="350A10EB" w14:textId="40E0DF62" w:rsidR="001D7FA9" w:rsidRDefault="001D7FA9" w:rsidP="001D7FA9">
      <w:pPr>
        <w:pStyle w:val="SangriaFrancesaArticulo"/>
      </w:pPr>
      <w:r w:rsidRPr="001D7FA9">
        <w:rPr>
          <w:rStyle w:val="TextoNormalNegritaCaracter"/>
        </w:rPr>
        <w:t>Artículo 68.1.</w:t>
      </w:r>
      <w:r w:rsidRPr="001D7FA9">
        <w:rPr>
          <w:rStyle w:val="TextoNormalCaracter"/>
        </w:rPr>
        <w:t>-</w:t>
      </w:r>
      <w:r>
        <w:t xml:space="preserve"> Sentencia </w:t>
      </w:r>
      <w:hyperlink w:anchor="SENTENCIA_2025_64" w:history="1">
        <w:r w:rsidRPr="001D7FA9">
          <w:rPr>
            <w:rStyle w:val="TextoNormalCaracter"/>
          </w:rPr>
          <w:t>64/2025</w:t>
        </w:r>
      </w:hyperlink>
      <w:r>
        <w:t>, f. 2.</w:t>
      </w:r>
    </w:p>
    <w:p w14:paraId="68C4D3A6" w14:textId="6DA7FFC1" w:rsidR="001D7FA9" w:rsidRDefault="001D7FA9" w:rsidP="001D7FA9">
      <w:pPr>
        <w:pStyle w:val="SangriaFrancesaArticulo"/>
      </w:pPr>
      <w:r w:rsidRPr="001D7FA9">
        <w:rPr>
          <w:rStyle w:val="TextoNormalNegritaCaracter"/>
        </w:rPr>
        <w:t>Artículo 68.6.</w:t>
      </w:r>
      <w:r w:rsidRPr="001D7FA9">
        <w:rPr>
          <w:rStyle w:val="TextoNormalCaracter"/>
        </w:rPr>
        <w:t>-</w:t>
      </w:r>
      <w:r>
        <w:t xml:space="preserve"> Sentencia </w:t>
      </w:r>
      <w:hyperlink w:anchor="SENTENCIA_2025_64" w:history="1">
        <w:r w:rsidRPr="001D7FA9">
          <w:rPr>
            <w:rStyle w:val="TextoNormalCaracter"/>
          </w:rPr>
          <w:t>64/2025</w:t>
        </w:r>
      </w:hyperlink>
      <w:r>
        <w:t>, f. 2.</w:t>
      </w:r>
    </w:p>
    <w:p w14:paraId="0858FE53" w14:textId="252406F9" w:rsidR="001D7FA9" w:rsidRDefault="001D7FA9" w:rsidP="001D7FA9">
      <w:pPr>
        <w:pStyle w:val="SangriaFrancesaArticulo"/>
      </w:pPr>
      <w:r w:rsidRPr="001D7FA9">
        <w:rPr>
          <w:rStyle w:val="TextoNormalNegritaCaracter"/>
        </w:rPr>
        <w:t>Disposición transitoria tercera.</w:t>
      </w:r>
      <w:r w:rsidRPr="001D7FA9">
        <w:rPr>
          <w:rStyle w:val="TextoNormalCaracter"/>
        </w:rPr>
        <w:t>-</w:t>
      </w:r>
      <w:r>
        <w:t xml:space="preserve"> Sentencia </w:t>
      </w:r>
      <w:hyperlink w:anchor="SENTENCIA_2025_64" w:history="1">
        <w:r w:rsidRPr="001D7FA9">
          <w:rPr>
            <w:rStyle w:val="TextoNormalCaracter"/>
          </w:rPr>
          <w:t>64/2025</w:t>
        </w:r>
      </w:hyperlink>
      <w:r>
        <w:t>, f. 2.</w:t>
      </w:r>
    </w:p>
    <w:p w14:paraId="11A5DDB3" w14:textId="2336CCBC" w:rsidR="001D7FA9" w:rsidRDefault="001D7FA9" w:rsidP="001D7FA9">
      <w:pPr>
        <w:pStyle w:val="SangriaFrancesaArticulo"/>
      </w:pPr>
    </w:p>
    <w:p w14:paraId="60495B7D" w14:textId="77777777" w:rsidR="001D7FA9" w:rsidRDefault="001D7FA9" w:rsidP="001D7FA9">
      <w:pPr>
        <w:pStyle w:val="TextoNormalNegritaCursivandice"/>
        <w:keepNext/>
      </w:pPr>
      <w:r>
        <w:t>Comunidad Autónoma de Cataluña. Decreto 139/2017, de 6 de septiembre, de convocatoria del referéndum de autodeterminación de Cataluña</w:t>
      </w:r>
    </w:p>
    <w:p w14:paraId="18052072" w14:textId="6877D0A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F1B5E66" w14:textId="68016178" w:rsidR="001D7FA9" w:rsidRDefault="001D7FA9" w:rsidP="001D7FA9">
      <w:pPr>
        <w:pStyle w:val="SangriaFrancesaArticulo"/>
      </w:pPr>
    </w:p>
    <w:p w14:paraId="423709F2" w14:textId="406BDF7E" w:rsidR="001D7FA9" w:rsidRDefault="001D7FA9" w:rsidP="001D7FA9">
      <w:pPr>
        <w:pStyle w:val="TextoNormalNegritaCursivandice"/>
        <w:keepNext/>
      </w:pPr>
      <w:r>
        <w:t>Comunidad Autónoma de Cataluña. Decreto 140/2017, de 7</w:t>
      </w:r>
      <w:r w:rsidR="00D50628">
        <w:fldChar w:fldCharType="begin"/>
      </w:r>
      <w:r w:rsidR="00D50628">
        <w:instrText xml:space="preserve"> PAGEREF SUMARIOSINDICES \h </w:instrText>
      </w:r>
      <w:r w:rsidR="00D50628">
        <w:fldChar w:fldCharType="separate"/>
      </w:r>
      <w:r w:rsidR="00D50628">
        <w:rPr>
          <w:noProof/>
        </w:rPr>
        <w:t>2</w:t>
      </w:r>
      <w:r w:rsidR="00D50628">
        <w:fldChar w:fldCharType="end"/>
      </w:r>
      <w:r>
        <w:t xml:space="preserve"> de septiembre, de normas complementarias para la realización del referéndum de autodeterminación de Cataluña</w:t>
      </w:r>
    </w:p>
    <w:p w14:paraId="0733C746" w14:textId="5541444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D60C9D2" w14:textId="252B3F9A" w:rsidR="001D7FA9" w:rsidRDefault="001D7FA9" w:rsidP="001D7FA9">
      <w:pPr>
        <w:pStyle w:val="SangriaFrancesaArticulo"/>
      </w:pPr>
    </w:p>
    <w:p w14:paraId="76780F4A" w14:textId="77777777" w:rsidR="001D7FA9" w:rsidRDefault="001D7FA9" w:rsidP="001D7FA9">
      <w:pPr>
        <w:pStyle w:val="TextoNormalNegritaCursivandice"/>
        <w:keepNext/>
      </w:pPr>
      <w:r>
        <w:t>Comunidad Autónoma de Cataluña. Decreto de la Consejería de Empresa y Conocimiento 75/2020, de 4 de agosto, de turismo de Cataluña</w:t>
      </w:r>
    </w:p>
    <w:p w14:paraId="21C8BBCE" w14:textId="6A5B1F4C" w:rsidR="001D7FA9" w:rsidRDefault="001D7FA9" w:rsidP="001D7FA9">
      <w:pPr>
        <w:pStyle w:val="SangriaFrancesaArticulo"/>
      </w:pPr>
      <w:r w:rsidRPr="001D7FA9">
        <w:rPr>
          <w:rStyle w:val="TextoNormalNegritaCaracter"/>
        </w:rPr>
        <w:t>Artículo 221.1.</w:t>
      </w:r>
      <w:r w:rsidRPr="001D7FA9">
        <w:rPr>
          <w:rStyle w:val="TextoNormalCaracter"/>
        </w:rPr>
        <w:t>-</w:t>
      </w:r>
      <w:r>
        <w:t xml:space="preserve"> Sentencia </w:t>
      </w:r>
      <w:hyperlink w:anchor="SENTENCIA_2025_64" w:history="1">
        <w:r w:rsidRPr="001D7FA9">
          <w:rPr>
            <w:rStyle w:val="TextoNormalCaracter"/>
          </w:rPr>
          <w:t>64/2025</w:t>
        </w:r>
      </w:hyperlink>
      <w:r>
        <w:t>, ff. 2, 4.</w:t>
      </w:r>
    </w:p>
    <w:p w14:paraId="5E3DE390" w14:textId="074FF723" w:rsidR="001D7FA9" w:rsidRDefault="001D7FA9" w:rsidP="001D7FA9">
      <w:pPr>
        <w:pStyle w:val="SangriaFrancesaArticulo"/>
      </w:pPr>
    </w:p>
    <w:p w14:paraId="70EC93EE" w14:textId="77777777" w:rsidR="001D7FA9" w:rsidRDefault="001D7FA9" w:rsidP="001D7FA9">
      <w:pPr>
        <w:pStyle w:val="TextoNormalNegritaCursivandice"/>
        <w:keepNext/>
      </w:pPr>
      <w:r>
        <w:t>Comunidad Autónoma de Cataluña. Acuerdo del Ayuntamiento de Barcelona de 23 de diciembre de 2021 por el que se aprueba el plan especial urbanístico para la regulación de los establecimientos de alojamiento turístico, albergues de juventud, viviendas de uso turístico, hogares compartidos y residencias colectivas docentes de alojamiento temporal</w:t>
      </w:r>
    </w:p>
    <w:p w14:paraId="187FDC60" w14:textId="02FB3264" w:rsidR="001D7FA9" w:rsidRDefault="001D7FA9" w:rsidP="001D7FA9">
      <w:pPr>
        <w:pStyle w:val="SangriaFrancesaArticulo"/>
      </w:pPr>
      <w:r w:rsidRPr="001D7FA9">
        <w:rPr>
          <w:rStyle w:val="TextoNormalNegritaCaracter"/>
        </w:rPr>
        <w:t>Artículo 10.1.</w:t>
      </w:r>
      <w:r w:rsidRPr="001D7FA9">
        <w:rPr>
          <w:rStyle w:val="TextoNormalCaracter"/>
        </w:rPr>
        <w:t>-</w:t>
      </w:r>
      <w:r>
        <w:t xml:space="preserve"> Sentencia </w:t>
      </w:r>
      <w:hyperlink w:anchor="SENTENCIA_2025_64" w:history="1">
        <w:r w:rsidRPr="001D7FA9">
          <w:rPr>
            <w:rStyle w:val="TextoNormalCaracter"/>
          </w:rPr>
          <w:t>64/2025</w:t>
        </w:r>
      </w:hyperlink>
      <w:r>
        <w:t>, f. 2.</w:t>
      </w:r>
    </w:p>
    <w:p w14:paraId="335F43A1" w14:textId="68B23A9F" w:rsidR="001D7FA9" w:rsidRDefault="001D7FA9" w:rsidP="001D7FA9">
      <w:pPr>
        <w:pStyle w:val="SangriaFrancesaArticulo"/>
      </w:pPr>
    </w:p>
    <w:p w14:paraId="3ABE3DFE" w14:textId="77777777" w:rsidR="001D7FA9" w:rsidRDefault="001D7FA9" w:rsidP="001D7FA9">
      <w:pPr>
        <w:pStyle w:val="TextoNormalNegritaCursivandice"/>
        <w:keepNext/>
      </w:pPr>
      <w:r>
        <w:t>Comunidad Autónoma de Cataluña. Resolución de la Consejería de Territorio TER/2940/2023, de 11 de agosto, por la que se declaran zona de mercado residencial tensionado varios municipios, de acuerdo con la Ley estatal 12/2023, de 24 de mayo, por el derecho a la vivienda</w:t>
      </w:r>
    </w:p>
    <w:p w14:paraId="04EB09AD" w14:textId="322DE6A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4" w:history="1">
        <w:r w:rsidRPr="001D7FA9">
          <w:rPr>
            <w:rStyle w:val="TextoNormalCaracter"/>
          </w:rPr>
          <w:t>64/2025</w:t>
        </w:r>
      </w:hyperlink>
      <w:r>
        <w:t>, f. 3.</w:t>
      </w:r>
    </w:p>
    <w:p w14:paraId="21F222DB" w14:textId="612FE181" w:rsidR="001D7FA9" w:rsidRDefault="001D7FA9" w:rsidP="001D7FA9">
      <w:pPr>
        <w:pStyle w:val="TextoNormal"/>
      </w:pPr>
    </w:p>
    <w:p w14:paraId="67363370" w14:textId="77777777" w:rsidR="001D7FA9" w:rsidRDefault="001D7FA9" w:rsidP="001D7FA9">
      <w:pPr>
        <w:pStyle w:val="TextoNormalNegritaCentradoSubrayado"/>
        <w:suppressAutoHyphens/>
      </w:pPr>
      <w:r>
        <w:t>J.7.d) Disposiciones parlamentarias autonómicas</w:t>
      </w:r>
    </w:p>
    <w:p w14:paraId="5C1AF0BF" w14:textId="1092B4FE" w:rsidR="001D7FA9" w:rsidRDefault="001D7FA9" w:rsidP="001D7FA9">
      <w:pPr>
        <w:pStyle w:val="TextoNormalNegritaCentradoSubrayado"/>
      </w:pPr>
    </w:p>
    <w:p w14:paraId="67D0E1F6" w14:textId="77777777" w:rsidR="001D7FA9" w:rsidRDefault="001D7FA9" w:rsidP="001D7FA9">
      <w:pPr>
        <w:pStyle w:val="TextoNormalNegritaCursivandice"/>
        <w:keepNext/>
      </w:pPr>
      <w:r>
        <w:t>Comunidad Autónoma de Cataluña. Resolución del Parlamento de Cataluña 807/XI, de 7 de septiembre de 2017, por la que se designan cinco síndicos de la sindicatura electoral</w:t>
      </w:r>
    </w:p>
    <w:p w14:paraId="1F455887" w14:textId="4CD7DF1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64C1CD6" w14:textId="60FB2EF5" w:rsidR="001D7FA9" w:rsidRDefault="001D7FA9" w:rsidP="001D7FA9">
      <w:pPr>
        <w:pStyle w:val="SangriaFrancesaArticulo"/>
      </w:pPr>
    </w:p>
    <w:p w14:paraId="65930E63" w14:textId="77777777" w:rsidR="001D7FA9" w:rsidRDefault="001D7FA9" w:rsidP="001D7FA9">
      <w:pPr>
        <w:pStyle w:val="TextoNormalNegritaCursivandice"/>
        <w:keepNext/>
      </w:pPr>
      <w:r>
        <w:t>Comunidad Autónoma de Cataluña. Reglamento del Parlamento de Cataluña, texto refundido aprobado por acuerdo de la mesa del Parlamento de Cataluña de 20 de febrero de 2018</w:t>
      </w:r>
    </w:p>
    <w:p w14:paraId="38E8DC2F" w14:textId="03269E2D" w:rsidR="001D7FA9" w:rsidRDefault="001D7FA9" w:rsidP="001D7FA9">
      <w:pPr>
        <w:pStyle w:val="SangriaFrancesaArticulo"/>
      </w:pPr>
      <w:r w:rsidRPr="001D7FA9">
        <w:rPr>
          <w:rStyle w:val="TextoNormalNegritaCaracter"/>
        </w:rPr>
        <w:t>Artículo 95.</w:t>
      </w:r>
      <w:r w:rsidRPr="001D7FA9">
        <w:rPr>
          <w:rStyle w:val="TextoNormalCaracter"/>
        </w:rPr>
        <w:t>-</w:t>
      </w:r>
      <w:r>
        <w:t xml:space="preserve"> Sentencia </w:t>
      </w:r>
      <w:hyperlink w:anchor="SENTENCIA_2025_136" w:history="1">
        <w:r w:rsidRPr="001D7FA9">
          <w:rPr>
            <w:rStyle w:val="TextoNormalCaracter"/>
          </w:rPr>
          <w:t>136/2025</w:t>
        </w:r>
      </w:hyperlink>
      <w:r>
        <w:t>, f. 1.</w:t>
      </w:r>
    </w:p>
    <w:p w14:paraId="5983A202" w14:textId="29EB09EF" w:rsidR="001D7FA9" w:rsidRDefault="001D7FA9" w:rsidP="001D7FA9">
      <w:pPr>
        <w:pStyle w:val="TextoNormal"/>
      </w:pPr>
    </w:p>
    <w:p w14:paraId="5746BB60" w14:textId="77777777" w:rsidR="001D7FA9" w:rsidRDefault="001D7FA9" w:rsidP="001D7FA9">
      <w:pPr>
        <w:pStyle w:val="TextoNormalNegritaCentrado"/>
        <w:suppressAutoHyphens/>
      </w:pPr>
      <w:r w:rsidRPr="001D7FA9">
        <w:rPr>
          <w:rStyle w:val="TextoNormalNegritaCentradoSombreado"/>
        </w:rPr>
        <w:t>J.8) Extremadura</w:t>
      </w:r>
    </w:p>
    <w:p w14:paraId="4BC6D523" w14:textId="25EB847F" w:rsidR="001D7FA9" w:rsidRDefault="001D7FA9" w:rsidP="001D7FA9">
      <w:pPr>
        <w:pStyle w:val="TextoNormal"/>
      </w:pPr>
    </w:p>
    <w:p w14:paraId="74B496D3" w14:textId="77777777" w:rsidR="001D7FA9" w:rsidRDefault="001D7FA9" w:rsidP="001D7FA9">
      <w:pPr>
        <w:pStyle w:val="TextoNormalNegritaCentradoSubrayado"/>
        <w:suppressAutoHyphens/>
      </w:pPr>
      <w:r>
        <w:t>J.8.b) Leyes y disposiciones con fuerza de Ley</w:t>
      </w:r>
    </w:p>
    <w:p w14:paraId="5C75EDCE" w14:textId="3330DDAA" w:rsidR="001D7FA9" w:rsidRDefault="001D7FA9" w:rsidP="001D7FA9">
      <w:pPr>
        <w:pStyle w:val="TextoNormalNegritaCentradoSubrayado"/>
      </w:pPr>
    </w:p>
    <w:p w14:paraId="1989E6AD" w14:textId="77777777" w:rsidR="001D7FA9" w:rsidRDefault="001D7FA9" w:rsidP="001D7FA9">
      <w:pPr>
        <w:pStyle w:val="TextoNormalNegritaCursivandice"/>
        <w:keepNext/>
      </w:pPr>
      <w:r>
        <w:t>Comunidad Autónoma de Extremadura.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w:t>
      </w:r>
    </w:p>
    <w:p w14:paraId="041917AB" w14:textId="47AF7F0A"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Auto </w:t>
      </w:r>
      <w:hyperlink w:anchor="AUTO_2025_29" w:history="1">
        <w:r w:rsidRPr="001D7FA9">
          <w:rPr>
            <w:rStyle w:val="TextoNormalCaracter"/>
          </w:rPr>
          <w:t>29/2025</w:t>
        </w:r>
      </w:hyperlink>
      <w:r>
        <w:t>, f. 3.</w:t>
      </w:r>
    </w:p>
    <w:p w14:paraId="5982A770" w14:textId="4CE8B3B1"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Auto </w:t>
      </w:r>
      <w:hyperlink w:anchor="AUTO_2025_29" w:history="1">
        <w:r w:rsidRPr="001D7FA9">
          <w:rPr>
            <w:rStyle w:val="TextoNormalCaracter"/>
          </w:rPr>
          <w:t>29/2025</w:t>
        </w:r>
      </w:hyperlink>
      <w:r>
        <w:t>, f. 3.</w:t>
      </w:r>
    </w:p>
    <w:p w14:paraId="3793049D" w14:textId="46BB98CF" w:rsidR="001D7FA9" w:rsidRDefault="001D7FA9" w:rsidP="001D7FA9">
      <w:pPr>
        <w:pStyle w:val="SangriaFrancesaArticulo"/>
      </w:pPr>
      <w:r w:rsidRPr="001D7FA9">
        <w:rPr>
          <w:rStyle w:val="TextoNormalNegritaCaracter"/>
        </w:rPr>
        <w:t>Artículo 3, párrafo primero, inciso "en las mismas condiciones a las establecidas en el artículo 1".</w:t>
      </w:r>
      <w:r w:rsidRPr="001D7FA9">
        <w:rPr>
          <w:rStyle w:val="TextoNormalCaracter"/>
        </w:rPr>
        <w:t>-</w:t>
      </w:r>
      <w:r>
        <w:t xml:space="preserve"> Auto </w:t>
      </w:r>
      <w:hyperlink w:anchor="AUTO_2025_29" w:history="1">
        <w:r w:rsidRPr="001D7FA9">
          <w:rPr>
            <w:rStyle w:val="TextoNormalCaracter"/>
          </w:rPr>
          <w:t>29/2025</w:t>
        </w:r>
      </w:hyperlink>
      <w:r>
        <w:t>, f. 1.</w:t>
      </w:r>
    </w:p>
    <w:p w14:paraId="0E8C89F5" w14:textId="40953806" w:rsidR="001D7FA9" w:rsidRDefault="001D7FA9" w:rsidP="001D7FA9">
      <w:pPr>
        <w:pStyle w:val="TextoNormal"/>
      </w:pPr>
    </w:p>
    <w:p w14:paraId="74F4173E" w14:textId="77777777" w:rsidR="001D7FA9" w:rsidRDefault="001D7FA9" w:rsidP="001D7FA9">
      <w:pPr>
        <w:pStyle w:val="TextoNormalNegritaCentradoSubrayado"/>
        <w:suppressAutoHyphens/>
      </w:pPr>
      <w:r>
        <w:t>J.8.d) Disposiciones parlamentarias autonómicas</w:t>
      </w:r>
    </w:p>
    <w:p w14:paraId="738F9BFE" w14:textId="67605043" w:rsidR="001D7FA9" w:rsidRDefault="001D7FA9" w:rsidP="001D7FA9">
      <w:pPr>
        <w:pStyle w:val="TextoNormalNegritaCentradoSubrayado"/>
      </w:pPr>
    </w:p>
    <w:p w14:paraId="3DAF0B8B" w14:textId="77777777" w:rsidR="001D7FA9" w:rsidRDefault="001D7FA9" w:rsidP="001D7FA9">
      <w:pPr>
        <w:pStyle w:val="TextoNormalNegritaCursivandice"/>
        <w:keepNext/>
      </w:pPr>
      <w:r>
        <w:t>Reglamento de la Asamblea de Extremadura de 19 de junio de 2008</w:t>
      </w:r>
    </w:p>
    <w:p w14:paraId="138EFE5B" w14:textId="6618B964" w:rsidR="001D7FA9" w:rsidRDefault="001D7FA9" w:rsidP="001D7FA9">
      <w:pPr>
        <w:pStyle w:val="SangriaFrancesaArticulo"/>
      </w:pPr>
      <w:r w:rsidRPr="001D7FA9">
        <w:rPr>
          <w:rStyle w:val="TextoNormalNegritaCaracter"/>
        </w:rPr>
        <w:t>Artículo 39.5.</w:t>
      </w:r>
      <w:r w:rsidRPr="001D7FA9">
        <w:rPr>
          <w:rStyle w:val="TextoNormalCaracter"/>
        </w:rPr>
        <w:t>-</w:t>
      </w:r>
      <w:r>
        <w:t xml:space="preserve"> Sentencia </w:t>
      </w:r>
      <w:hyperlink w:anchor="SENTENCIA_2025_15" w:history="1">
        <w:r w:rsidRPr="001D7FA9">
          <w:rPr>
            <w:rStyle w:val="TextoNormalCaracter"/>
          </w:rPr>
          <w:t>15/2025</w:t>
        </w:r>
      </w:hyperlink>
      <w:r>
        <w:t>, f. 3.</w:t>
      </w:r>
    </w:p>
    <w:p w14:paraId="599C0F83" w14:textId="2C26407C" w:rsidR="001D7FA9" w:rsidRDefault="001D7FA9" w:rsidP="001D7FA9">
      <w:pPr>
        <w:pStyle w:val="SangriaFrancesaArticulo"/>
      </w:pPr>
      <w:r w:rsidRPr="001D7FA9">
        <w:rPr>
          <w:rStyle w:val="TextoNormalNegritaCaracter"/>
        </w:rPr>
        <w:t>Artículo 39.6.</w:t>
      </w:r>
      <w:r w:rsidRPr="001D7FA9">
        <w:rPr>
          <w:rStyle w:val="TextoNormalCaracter"/>
        </w:rPr>
        <w:t>-</w:t>
      </w:r>
      <w:r>
        <w:t xml:space="preserve"> Sentencia </w:t>
      </w:r>
      <w:hyperlink w:anchor="SENTENCIA_2025_15" w:history="1">
        <w:r w:rsidRPr="001D7FA9">
          <w:rPr>
            <w:rStyle w:val="TextoNormalCaracter"/>
          </w:rPr>
          <w:t>15/2025</w:t>
        </w:r>
      </w:hyperlink>
      <w:r>
        <w:t>, f. 4.</w:t>
      </w:r>
    </w:p>
    <w:p w14:paraId="080ED57E" w14:textId="3C2103D0" w:rsidR="001D7FA9" w:rsidRDefault="001D7FA9" w:rsidP="001D7FA9">
      <w:pPr>
        <w:pStyle w:val="SangriaFrancesaArticulo"/>
      </w:pPr>
    </w:p>
    <w:p w14:paraId="072D4BB7" w14:textId="77777777" w:rsidR="001D7FA9" w:rsidRDefault="001D7FA9" w:rsidP="001D7FA9">
      <w:pPr>
        <w:pStyle w:val="TextoNormalNegritaCursivandice"/>
        <w:keepNext/>
      </w:pPr>
      <w:r>
        <w:t>Comunidad Autónoma de Extremadura. Reglamento de la Asamblea de Extremadura, aprobado por el Pleno el día 19 de marzo de 2015</w:t>
      </w:r>
    </w:p>
    <w:p w14:paraId="5039C395" w14:textId="568DF45C" w:rsidR="001D7FA9" w:rsidRDefault="001D7FA9" w:rsidP="001D7FA9">
      <w:pPr>
        <w:pStyle w:val="SangriaFrancesaArticulo"/>
      </w:pPr>
      <w:r w:rsidRPr="001D7FA9">
        <w:rPr>
          <w:rStyle w:val="TextoNormalNegritaCaracter"/>
        </w:rPr>
        <w:t>Artículo 39.5.</w:t>
      </w:r>
      <w:r w:rsidRPr="001D7FA9">
        <w:rPr>
          <w:rStyle w:val="TextoNormalCaracter"/>
        </w:rPr>
        <w:t>-</w:t>
      </w:r>
      <w:r>
        <w:t xml:space="preserve"> Sentencia </w:t>
      </w:r>
      <w:hyperlink w:anchor="SENTENCIA_2025_14" w:history="1">
        <w:r w:rsidRPr="001D7FA9">
          <w:rPr>
            <w:rStyle w:val="TextoNormalCaracter"/>
          </w:rPr>
          <w:t>14/2025</w:t>
        </w:r>
      </w:hyperlink>
      <w:r>
        <w:t>, f. 4.</w:t>
      </w:r>
    </w:p>
    <w:p w14:paraId="460B9112" w14:textId="5979A9F0" w:rsidR="001D7FA9" w:rsidRDefault="001D7FA9" w:rsidP="001D7FA9">
      <w:pPr>
        <w:pStyle w:val="SangriaFrancesaArticulo"/>
      </w:pPr>
      <w:r w:rsidRPr="001D7FA9">
        <w:rPr>
          <w:rStyle w:val="TextoNormalNegritaCaracter"/>
        </w:rPr>
        <w:t>Artículo 39.6.</w:t>
      </w:r>
      <w:r w:rsidRPr="001D7FA9">
        <w:rPr>
          <w:rStyle w:val="TextoNormalCaracter"/>
        </w:rPr>
        <w:t>-</w:t>
      </w:r>
      <w:r>
        <w:t xml:space="preserve"> Sentencia </w:t>
      </w:r>
      <w:hyperlink w:anchor="SENTENCIA_2025_14" w:history="1">
        <w:r w:rsidRPr="001D7FA9">
          <w:rPr>
            <w:rStyle w:val="TextoNormalCaracter"/>
          </w:rPr>
          <w:t>14/2025</w:t>
        </w:r>
      </w:hyperlink>
      <w:r>
        <w:t>, f. 5.</w:t>
      </w:r>
    </w:p>
    <w:p w14:paraId="38D62CC2" w14:textId="0B7FEF4A" w:rsidR="001D7FA9" w:rsidRDefault="001D7FA9" w:rsidP="001D7FA9">
      <w:pPr>
        <w:pStyle w:val="TextoNormal"/>
      </w:pPr>
    </w:p>
    <w:p w14:paraId="4B15B32B" w14:textId="77777777" w:rsidR="001D7FA9" w:rsidRDefault="001D7FA9" w:rsidP="001D7FA9">
      <w:pPr>
        <w:pStyle w:val="TextoNormalNegritaCentrado"/>
        <w:suppressAutoHyphens/>
      </w:pPr>
      <w:r w:rsidRPr="001D7FA9">
        <w:rPr>
          <w:rStyle w:val="TextoNormalNegritaCentradoSombreado"/>
        </w:rPr>
        <w:t>J.9) Galicia</w:t>
      </w:r>
    </w:p>
    <w:p w14:paraId="19E0BCC7" w14:textId="5DB6DBA8" w:rsidR="001D7FA9" w:rsidRDefault="001D7FA9" w:rsidP="001D7FA9">
      <w:pPr>
        <w:pStyle w:val="TextoNormal"/>
      </w:pPr>
    </w:p>
    <w:p w14:paraId="1840576B" w14:textId="77777777" w:rsidR="001D7FA9" w:rsidRDefault="001D7FA9" w:rsidP="001D7FA9">
      <w:pPr>
        <w:pStyle w:val="TextoNormalNegritaCentradoSubrayado"/>
        <w:suppressAutoHyphens/>
      </w:pPr>
      <w:r>
        <w:t>J.9.b) Leyes y disposiciones con fuerza de Ley</w:t>
      </w:r>
    </w:p>
    <w:p w14:paraId="4F495408" w14:textId="4B29A8DF" w:rsidR="001D7FA9" w:rsidRDefault="001D7FA9" w:rsidP="001D7FA9">
      <w:pPr>
        <w:pStyle w:val="TextoNormalNegritaCentradoSubrayado"/>
      </w:pPr>
    </w:p>
    <w:p w14:paraId="3ED9DF76" w14:textId="77777777" w:rsidR="001D7FA9" w:rsidRDefault="001D7FA9" w:rsidP="001D7FA9">
      <w:pPr>
        <w:pStyle w:val="TextoNormalNegritaCursivandice"/>
        <w:keepNext/>
      </w:pPr>
      <w:r>
        <w:t>Comunidad Autónoma de Galicia. Ley 11/2007, de 27 de julio, gallega para la prevención y el tratamiento integral de la violencia de género</w:t>
      </w:r>
    </w:p>
    <w:p w14:paraId="0D99A3C7" w14:textId="6EB53C6E" w:rsidR="001D7FA9" w:rsidRDefault="001D7FA9" w:rsidP="001D7FA9">
      <w:pPr>
        <w:pStyle w:val="SangriaFrancesaArticulo"/>
      </w:pPr>
      <w:r w:rsidRPr="001D7FA9">
        <w:rPr>
          <w:rStyle w:val="TextoNormalNegritaCaracter"/>
        </w:rPr>
        <w:t>Artículo 5 b).</w:t>
      </w:r>
      <w:r w:rsidRPr="001D7FA9">
        <w:rPr>
          <w:rStyle w:val="TextoNormalCaracter"/>
        </w:rPr>
        <w:t>-</w:t>
      </w:r>
      <w:r>
        <w:t xml:space="preserve"> Sentencia </w:t>
      </w:r>
      <w:hyperlink w:anchor="SENTENCIA_2025_54" w:history="1">
        <w:r w:rsidRPr="001D7FA9">
          <w:rPr>
            <w:rStyle w:val="TextoNormalCaracter"/>
          </w:rPr>
          <w:t>54/2025</w:t>
        </w:r>
      </w:hyperlink>
      <w:r>
        <w:t>, VP.</w:t>
      </w:r>
    </w:p>
    <w:p w14:paraId="134D76C4" w14:textId="460DF88C" w:rsidR="001D7FA9" w:rsidRDefault="001D7FA9" w:rsidP="001D7FA9">
      <w:pPr>
        <w:pStyle w:val="SangriaFrancesaArticulo"/>
      </w:pPr>
      <w:r w:rsidRPr="001D7FA9">
        <w:rPr>
          <w:rStyle w:val="TextoNormalNegritaCaracter"/>
        </w:rPr>
        <w:t>Artículo 5 c).</w:t>
      </w:r>
      <w:r w:rsidRPr="001D7FA9">
        <w:rPr>
          <w:rStyle w:val="TextoNormalCaracter"/>
        </w:rPr>
        <w:t>-</w:t>
      </w:r>
      <w:r>
        <w:t xml:space="preserve"> Sentencia </w:t>
      </w:r>
      <w:hyperlink w:anchor="SENTENCIA_2025_54" w:history="1">
        <w:r w:rsidRPr="001D7FA9">
          <w:rPr>
            <w:rStyle w:val="TextoNormalCaracter"/>
          </w:rPr>
          <w:t>54/2025</w:t>
        </w:r>
      </w:hyperlink>
      <w:r>
        <w:t>, f. 3, VP.</w:t>
      </w:r>
    </w:p>
    <w:p w14:paraId="4BCE2AFC" w14:textId="20F1B88B" w:rsidR="001D7FA9" w:rsidRDefault="001D7FA9" w:rsidP="001D7FA9">
      <w:pPr>
        <w:pStyle w:val="SangriaFrancesaArticulo"/>
      </w:pPr>
      <w:r w:rsidRPr="001D7FA9">
        <w:rPr>
          <w:rStyle w:val="TextoNormalNegritaCaracter"/>
        </w:rPr>
        <w:t>Artículo 5 e).</w:t>
      </w:r>
      <w:r w:rsidRPr="001D7FA9">
        <w:rPr>
          <w:rStyle w:val="TextoNormalCaracter"/>
        </w:rPr>
        <w:t>-</w:t>
      </w:r>
      <w:r>
        <w:t xml:space="preserve"> Sentencia </w:t>
      </w:r>
      <w:hyperlink w:anchor="SENTENCIA_2025_54" w:history="1">
        <w:r w:rsidRPr="001D7FA9">
          <w:rPr>
            <w:rStyle w:val="TextoNormalCaracter"/>
          </w:rPr>
          <w:t>54/2025</w:t>
        </w:r>
      </w:hyperlink>
      <w:r>
        <w:t>, f. 3, VP.</w:t>
      </w:r>
    </w:p>
    <w:p w14:paraId="548665DF" w14:textId="42FF00CA" w:rsidR="001D7FA9" w:rsidRDefault="001D7FA9" w:rsidP="001D7FA9">
      <w:pPr>
        <w:pStyle w:val="SangriaFrancesaArticulo"/>
      </w:pPr>
    </w:p>
    <w:p w14:paraId="736EB1A8" w14:textId="77777777" w:rsidR="001D7FA9" w:rsidRDefault="001D7FA9" w:rsidP="001D7FA9">
      <w:pPr>
        <w:pStyle w:val="TextoNormalNegritaCursivandice"/>
        <w:keepNext/>
      </w:pPr>
      <w:r>
        <w:t>Comunidad Autónoma de Galicia. Ley 8/2021, de 25 de febrero, de modificación de la Ley 8/2008, de 10 de julio, de salud de Galicia</w:t>
      </w:r>
    </w:p>
    <w:p w14:paraId="19940946" w14:textId="33D18B8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3" w:history="1">
        <w:r w:rsidRPr="001D7FA9">
          <w:rPr>
            <w:rStyle w:val="TextoNormalCaracter"/>
          </w:rPr>
          <w:t>133/2025</w:t>
        </w:r>
      </w:hyperlink>
      <w:r>
        <w:t>, ff. 2, 3.</w:t>
      </w:r>
    </w:p>
    <w:p w14:paraId="08B749E6" w14:textId="7A9AA40A" w:rsidR="001D7FA9" w:rsidRDefault="001D7FA9" w:rsidP="001D7FA9">
      <w:pPr>
        <w:pStyle w:val="TextoNormal"/>
      </w:pPr>
    </w:p>
    <w:p w14:paraId="16B45BEC" w14:textId="77777777" w:rsidR="001D7FA9" w:rsidRDefault="001D7FA9" w:rsidP="001D7FA9">
      <w:pPr>
        <w:pStyle w:val="TextoNormalNegritaCentrado"/>
        <w:suppressAutoHyphens/>
      </w:pPr>
      <w:r w:rsidRPr="001D7FA9">
        <w:rPr>
          <w:rStyle w:val="TextoNormalNegritaCentradoSombreado"/>
        </w:rPr>
        <w:t>J.10) La Rioja</w:t>
      </w:r>
    </w:p>
    <w:p w14:paraId="6E9AAF75" w14:textId="3F4A0BD2" w:rsidR="001D7FA9" w:rsidRDefault="001D7FA9" w:rsidP="001D7FA9">
      <w:pPr>
        <w:pStyle w:val="TextoNormal"/>
      </w:pPr>
    </w:p>
    <w:p w14:paraId="132DBA95" w14:textId="77777777" w:rsidR="001D7FA9" w:rsidRDefault="001D7FA9" w:rsidP="001D7FA9">
      <w:pPr>
        <w:pStyle w:val="TextoNormalNegritaCentradoSubrayado"/>
        <w:suppressAutoHyphens/>
      </w:pPr>
      <w:r>
        <w:t>J.10.a) Estatuto de Autonomía</w:t>
      </w:r>
    </w:p>
    <w:p w14:paraId="3D47F6C6" w14:textId="0CD2EF29" w:rsidR="001D7FA9" w:rsidRDefault="001D7FA9" w:rsidP="001D7FA9">
      <w:pPr>
        <w:pStyle w:val="TextoNormalNegritaCentradoSubrayado"/>
      </w:pPr>
    </w:p>
    <w:p w14:paraId="7C5553F3" w14:textId="77777777" w:rsidR="001D7FA9" w:rsidRDefault="001D7FA9" w:rsidP="001D7FA9">
      <w:pPr>
        <w:pStyle w:val="TextoNormalNegritaCursivandice"/>
        <w:keepNext/>
      </w:pPr>
      <w:r>
        <w:t>Ley Orgánica 3/1982, de 9 de junio, de Estatuto de Autonomía de La Rioja</w:t>
      </w:r>
    </w:p>
    <w:p w14:paraId="59CD0D49" w14:textId="2F51E5F9" w:rsidR="001D7FA9" w:rsidRDefault="001D7FA9" w:rsidP="001D7FA9">
      <w:pPr>
        <w:pStyle w:val="SangriaFrancesaArticulo"/>
      </w:pPr>
      <w:r w:rsidRPr="001D7FA9">
        <w:rPr>
          <w:rStyle w:val="TextoNormalNegritaCaracter"/>
        </w:rPr>
        <w:t>Artículo 8.1.</w:t>
      </w:r>
      <w:r w:rsidRPr="001D7FA9">
        <w:rPr>
          <w:rStyle w:val="TextoNormalCaracter"/>
        </w:rPr>
        <w:t>-</w:t>
      </w:r>
      <w:r>
        <w:t xml:space="preserve"> Sentencia </w:t>
      </w:r>
      <w:hyperlink w:anchor="SENTENCIA_2025_44" w:history="1">
        <w:r w:rsidRPr="001D7FA9">
          <w:rPr>
            <w:rStyle w:val="TextoNormalCaracter"/>
          </w:rPr>
          <w:t>44/2025</w:t>
        </w:r>
      </w:hyperlink>
      <w:r>
        <w:t>, f. 3.</w:t>
      </w:r>
    </w:p>
    <w:p w14:paraId="7CDFB147" w14:textId="79562569" w:rsidR="001D7FA9" w:rsidRDefault="001D7FA9" w:rsidP="001D7FA9">
      <w:pPr>
        <w:pStyle w:val="SangriaFrancesaArticulo"/>
      </w:pPr>
      <w:r w:rsidRPr="001D7FA9">
        <w:rPr>
          <w:rStyle w:val="TextoNormalNegritaCaracter"/>
        </w:rPr>
        <w:t>Artículo 8.1.1.</w:t>
      </w:r>
      <w:r w:rsidRPr="001D7FA9">
        <w:rPr>
          <w:rStyle w:val="TextoNormalCaracter"/>
        </w:rPr>
        <w:t>-</w:t>
      </w:r>
      <w:r>
        <w:t xml:space="preserve"> Sentencia </w:t>
      </w:r>
      <w:hyperlink w:anchor="SENTENCIA_2025_44" w:history="1">
        <w:r w:rsidRPr="001D7FA9">
          <w:rPr>
            <w:rStyle w:val="TextoNormalCaracter"/>
          </w:rPr>
          <w:t>44/2025</w:t>
        </w:r>
      </w:hyperlink>
      <w:r>
        <w:t>, f. 4.</w:t>
      </w:r>
    </w:p>
    <w:p w14:paraId="43F4A3F9" w14:textId="45FE4729" w:rsidR="001D7FA9" w:rsidRDefault="001D7FA9" w:rsidP="001D7FA9">
      <w:pPr>
        <w:pStyle w:val="SangriaFrancesaArticulo"/>
      </w:pPr>
      <w:r w:rsidRPr="001D7FA9">
        <w:rPr>
          <w:rStyle w:val="TextoNormalNegritaCaracter"/>
        </w:rPr>
        <w:t>Artículo 8.1.2.</w:t>
      </w:r>
      <w:r w:rsidRPr="001D7FA9">
        <w:rPr>
          <w:rStyle w:val="TextoNormalCaracter"/>
        </w:rPr>
        <w:t>-</w:t>
      </w:r>
      <w:r>
        <w:t xml:space="preserve"> Sentencia </w:t>
      </w:r>
      <w:hyperlink w:anchor="SENTENCIA_2025_44" w:history="1">
        <w:r w:rsidRPr="001D7FA9">
          <w:rPr>
            <w:rStyle w:val="TextoNormalCaracter"/>
          </w:rPr>
          <w:t>44/2025</w:t>
        </w:r>
      </w:hyperlink>
      <w:r>
        <w:t>, f. 3.</w:t>
      </w:r>
    </w:p>
    <w:p w14:paraId="188740F0" w14:textId="1E4FE4C7" w:rsidR="001D7FA9" w:rsidRDefault="001D7FA9" w:rsidP="001D7FA9">
      <w:pPr>
        <w:pStyle w:val="SangriaFrancesaArticulo"/>
      </w:pPr>
      <w:r w:rsidRPr="001D7FA9">
        <w:rPr>
          <w:rStyle w:val="TextoNormalNegritaCaracter"/>
        </w:rPr>
        <w:t>Artículo 19.1.</w:t>
      </w:r>
      <w:r w:rsidRPr="001D7FA9">
        <w:rPr>
          <w:rStyle w:val="TextoNormalCaracter"/>
        </w:rPr>
        <w:t>-</w:t>
      </w:r>
      <w:r>
        <w:t xml:space="preserve"> Sentencia </w:t>
      </w:r>
      <w:hyperlink w:anchor="SENTENCIA_2025_120" w:history="1">
        <w:r w:rsidRPr="001D7FA9">
          <w:rPr>
            <w:rStyle w:val="TextoNormalCaracter"/>
          </w:rPr>
          <w:t>120/2025</w:t>
        </w:r>
      </w:hyperlink>
      <w:r>
        <w:t>, f. 2.</w:t>
      </w:r>
    </w:p>
    <w:p w14:paraId="0E22A54D" w14:textId="7A12A823" w:rsidR="001D7FA9" w:rsidRDefault="001D7FA9" w:rsidP="001D7FA9">
      <w:pPr>
        <w:pStyle w:val="SangriaFrancesaArticulo"/>
      </w:pPr>
      <w:r w:rsidRPr="001D7FA9">
        <w:rPr>
          <w:rStyle w:val="TextoNormalNegritaCaracter"/>
        </w:rPr>
        <w:t>Artículo 31.5.</w:t>
      </w:r>
      <w:r w:rsidRPr="001D7FA9">
        <w:rPr>
          <w:rStyle w:val="TextoNormalCaracter"/>
        </w:rPr>
        <w:t>-</w:t>
      </w:r>
      <w:r>
        <w:t xml:space="preserve"> Sentencia </w:t>
      </w:r>
      <w:hyperlink w:anchor="SENTENCIA_2025_44" w:history="1">
        <w:r w:rsidRPr="001D7FA9">
          <w:rPr>
            <w:rStyle w:val="TextoNormalCaracter"/>
          </w:rPr>
          <w:t>44/2025</w:t>
        </w:r>
      </w:hyperlink>
      <w:r>
        <w:t>, f. 4.</w:t>
      </w:r>
    </w:p>
    <w:p w14:paraId="2F3A574A" w14:textId="6C337BD6" w:rsidR="001D7FA9" w:rsidRDefault="001D7FA9" w:rsidP="001D7FA9">
      <w:pPr>
        <w:pStyle w:val="TextoNormal"/>
      </w:pPr>
    </w:p>
    <w:p w14:paraId="254E65E0" w14:textId="77777777" w:rsidR="001D7FA9" w:rsidRDefault="001D7FA9" w:rsidP="001D7FA9">
      <w:pPr>
        <w:pStyle w:val="TextoNormalNegritaCentradoSubrayado"/>
        <w:suppressAutoHyphens/>
      </w:pPr>
      <w:r>
        <w:t>J.10.b) Leyes y disposiciones con fuerza de Ley</w:t>
      </w:r>
    </w:p>
    <w:p w14:paraId="78165F31" w14:textId="0D4EDBAE" w:rsidR="001D7FA9" w:rsidRDefault="001D7FA9" w:rsidP="001D7FA9">
      <w:pPr>
        <w:pStyle w:val="TextoNormalNegritaCentradoSubrayado"/>
      </w:pPr>
    </w:p>
    <w:p w14:paraId="140D67AB" w14:textId="77777777" w:rsidR="001D7FA9" w:rsidRDefault="001D7FA9" w:rsidP="001D7FA9">
      <w:pPr>
        <w:pStyle w:val="TextoNormalNegritaCursivandice"/>
        <w:keepNext/>
      </w:pPr>
      <w:r>
        <w:t>Comunidad Autónoma de La Rioja. Ley 13/2023, de 28 de diciembre, de medidas fiscales y administrativas para el año 2024</w:t>
      </w:r>
    </w:p>
    <w:p w14:paraId="17EC7CAA" w14:textId="587B7D1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4" w:history="1">
        <w:r w:rsidRPr="001D7FA9">
          <w:rPr>
            <w:rStyle w:val="TextoNormalCaracter"/>
          </w:rPr>
          <w:t>44/2025</w:t>
        </w:r>
      </w:hyperlink>
      <w:r>
        <w:t>, f. 2.</w:t>
      </w:r>
    </w:p>
    <w:p w14:paraId="5A984AC1" w14:textId="7D7AD17F" w:rsidR="001D7FA9" w:rsidRDefault="001D7FA9" w:rsidP="001D7FA9">
      <w:pPr>
        <w:pStyle w:val="SangriaFrancesaArticulo"/>
      </w:pPr>
      <w:r w:rsidRPr="001D7FA9">
        <w:rPr>
          <w:rStyle w:val="TextoNormalNegritaCaracter"/>
        </w:rPr>
        <w:t>Capítulo IX.</w:t>
      </w:r>
      <w:r w:rsidRPr="001D7FA9">
        <w:rPr>
          <w:rStyle w:val="TextoNormalCaracter"/>
        </w:rPr>
        <w:t>-</w:t>
      </w:r>
      <w:r>
        <w:t xml:space="preserve"> Sentencia </w:t>
      </w:r>
      <w:hyperlink w:anchor="SENTENCIA_2025_44" w:history="1">
        <w:r w:rsidRPr="001D7FA9">
          <w:rPr>
            <w:rStyle w:val="TextoNormalCaracter"/>
          </w:rPr>
          <w:t>44/2025</w:t>
        </w:r>
      </w:hyperlink>
      <w:r>
        <w:t>, f. 2.</w:t>
      </w:r>
    </w:p>
    <w:p w14:paraId="546B7B85" w14:textId="420FFCE5" w:rsidR="001D7FA9" w:rsidRDefault="001D7FA9" w:rsidP="001D7FA9">
      <w:pPr>
        <w:pStyle w:val="SangriaFrancesaArticulo"/>
      </w:pPr>
      <w:r w:rsidRPr="001D7FA9">
        <w:rPr>
          <w:rStyle w:val="TextoNormalNegritaCaracter"/>
        </w:rPr>
        <w:t>Exposición de motivos, apartado I.</w:t>
      </w:r>
      <w:r w:rsidRPr="001D7FA9">
        <w:rPr>
          <w:rStyle w:val="TextoNormalCaracter"/>
        </w:rPr>
        <w:t>-</w:t>
      </w:r>
      <w:r>
        <w:t xml:space="preserve"> Sentencia </w:t>
      </w:r>
      <w:hyperlink w:anchor="SENTENCIA_2025_44" w:history="1">
        <w:r w:rsidRPr="001D7FA9">
          <w:rPr>
            <w:rStyle w:val="TextoNormalCaracter"/>
          </w:rPr>
          <w:t>44/2025</w:t>
        </w:r>
      </w:hyperlink>
      <w:r>
        <w:t>, f. 3.</w:t>
      </w:r>
    </w:p>
    <w:p w14:paraId="2CD88AF6" w14:textId="70BE0E17" w:rsidR="001D7FA9" w:rsidRDefault="001D7FA9" w:rsidP="001D7FA9">
      <w:pPr>
        <w:pStyle w:val="SangriaFrancesaArticulo"/>
      </w:pPr>
      <w:r w:rsidRPr="001D7FA9">
        <w:rPr>
          <w:rStyle w:val="TextoNormalNegritaCaracter"/>
        </w:rPr>
        <w:t>Exposición de motivos, apartado III.</w:t>
      </w:r>
      <w:r w:rsidRPr="001D7FA9">
        <w:rPr>
          <w:rStyle w:val="TextoNormalCaracter"/>
        </w:rPr>
        <w:t>-</w:t>
      </w:r>
      <w:r>
        <w:t xml:space="preserve"> Sentencia </w:t>
      </w:r>
      <w:hyperlink w:anchor="SENTENCIA_2025_44" w:history="1">
        <w:r w:rsidRPr="001D7FA9">
          <w:rPr>
            <w:rStyle w:val="TextoNormalCaracter"/>
          </w:rPr>
          <w:t>44/2025</w:t>
        </w:r>
      </w:hyperlink>
      <w:r>
        <w:t>, f. 2.</w:t>
      </w:r>
    </w:p>
    <w:p w14:paraId="76D03F5C" w14:textId="0C6E8D7B" w:rsidR="001D7FA9" w:rsidRDefault="001D7FA9" w:rsidP="001D7FA9">
      <w:pPr>
        <w:pStyle w:val="SangriaFrancesaArticulo"/>
      </w:pPr>
      <w:r w:rsidRPr="001D7FA9">
        <w:rPr>
          <w:rStyle w:val="TextoNormalNegritaCaracter"/>
        </w:rPr>
        <w:t>Artículo 12.1.</w:t>
      </w:r>
      <w:r w:rsidRPr="001D7FA9">
        <w:rPr>
          <w:rStyle w:val="TextoNormalCaracter"/>
        </w:rPr>
        <w:t>-</w:t>
      </w:r>
      <w:r>
        <w:t xml:space="preserve"> Sentencia </w:t>
      </w:r>
      <w:hyperlink w:anchor="SENTENCIA_2025_44" w:history="1">
        <w:r w:rsidRPr="001D7FA9">
          <w:rPr>
            <w:rStyle w:val="TextoNormalCaracter"/>
          </w:rPr>
          <w:t>44/2025</w:t>
        </w:r>
      </w:hyperlink>
      <w:r>
        <w:t>, ff. 1 a 3.</w:t>
      </w:r>
    </w:p>
    <w:p w14:paraId="322BFE6D" w14:textId="33ED283A"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44" w:history="1">
        <w:r w:rsidRPr="001D7FA9">
          <w:rPr>
            <w:rStyle w:val="TextoNormalCaracter"/>
          </w:rPr>
          <w:t>44/2025</w:t>
        </w:r>
      </w:hyperlink>
      <w:r>
        <w:t>, ff. 1 a 4.</w:t>
      </w:r>
    </w:p>
    <w:p w14:paraId="279C0DD8" w14:textId="28CBEC11" w:rsidR="001D7FA9" w:rsidRDefault="001D7FA9" w:rsidP="001D7FA9">
      <w:pPr>
        <w:pStyle w:val="TextoNormal"/>
      </w:pPr>
    </w:p>
    <w:p w14:paraId="1BF5789D" w14:textId="77777777" w:rsidR="001D7FA9" w:rsidRDefault="001D7FA9" w:rsidP="001D7FA9">
      <w:pPr>
        <w:pStyle w:val="TextoNormalNegritaCentradoSubrayado"/>
        <w:suppressAutoHyphens/>
      </w:pPr>
      <w:r>
        <w:t>J.10.d) Disposiciones parlamentarias autonómicas</w:t>
      </w:r>
    </w:p>
    <w:p w14:paraId="05A1EBDE" w14:textId="2FE2697C" w:rsidR="001D7FA9" w:rsidRDefault="001D7FA9" w:rsidP="001D7FA9">
      <w:pPr>
        <w:pStyle w:val="TextoNormalNegritaCentradoSubrayado"/>
      </w:pPr>
    </w:p>
    <w:p w14:paraId="2664B131" w14:textId="77777777" w:rsidR="001D7FA9" w:rsidRDefault="001D7FA9" w:rsidP="001D7FA9">
      <w:pPr>
        <w:pStyle w:val="TextoNormalNegritaCursivandice"/>
        <w:keepNext/>
      </w:pPr>
      <w:r>
        <w:t>Comunidad Autónoma de La Rioja. Reglamento del Parlamento de La Rioja, aprobado por el Pleno el 18 de abril de 2001</w:t>
      </w:r>
    </w:p>
    <w:p w14:paraId="4685BDA7" w14:textId="483EDDA6" w:rsidR="001D7FA9" w:rsidRDefault="001D7FA9" w:rsidP="001D7FA9">
      <w:pPr>
        <w:pStyle w:val="SangriaFrancesaArticulo"/>
      </w:pPr>
      <w:r w:rsidRPr="001D7FA9">
        <w:rPr>
          <w:rStyle w:val="TextoNormalNegritaCaracter"/>
        </w:rPr>
        <w:t>Artículo 13.2.</w:t>
      </w:r>
      <w:r w:rsidRPr="001D7FA9">
        <w:rPr>
          <w:rStyle w:val="TextoNormalCaracter"/>
        </w:rPr>
        <w:t>-</w:t>
      </w:r>
      <w:r>
        <w:t xml:space="preserve"> Sentencia </w:t>
      </w:r>
      <w:hyperlink w:anchor="SENTENCIA_2025_120" w:history="1">
        <w:r w:rsidRPr="001D7FA9">
          <w:rPr>
            <w:rStyle w:val="TextoNormalCaracter"/>
          </w:rPr>
          <w:t>120/2025</w:t>
        </w:r>
      </w:hyperlink>
      <w:r>
        <w:t>, f. 6.</w:t>
      </w:r>
    </w:p>
    <w:p w14:paraId="1F64F697" w14:textId="271DAC8D" w:rsidR="001D7FA9" w:rsidRDefault="001D7FA9" w:rsidP="001D7FA9">
      <w:pPr>
        <w:pStyle w:val="SangriaFrancesaArticulo"/>
      </w:pPr>
      <w:r w:rsidRPr="001D7FA9">
        <w:rPr>
          <w:rStyle w:val="TextoNormalNegritaCaracter"/>
        </w:rPr>
        <w:t xml:space="preserve">Artículo 26.1 </w:t>
      </w:r>
      <w:r w:rsidRPr="001D7FA9">
        <w:rPr>
          <w:rStyle w:val="TextoNormalNegritaCursivaCaracter"/>
        </w:rPr>
        <w:t>in fine</w:t>
      </w:r>
      <w:r w:rsidRPr="001D7FA9">
        <w:rPr>
          <w:rStyle w:val="TextoNormalNegritaCaracter"/>
        </w:rPr>
        <w:t>.</w:t>
      </w:r>
      <w:r w:rsidRPr="001D7FA9">
        <w:rPr>
          <w:rStyle w:val="TextoNormalCaracter"/>
        </w:rPr>
        <w:t>-</w:t>
      </w:r>
      <w:r>
        <w:t xml:space="preserve"> Sentencia </w:t>
      </w:r>
      <w:hyperlink w:anchor="SENTENCIA_2025_120" w:history="1">
        <w:r w:rsidRPr="001D7FA9">
          <w:rPr>
            <w:rStyle w:val="TextoNormalCaracter"/>
          </w:rPr>
          <w:t>120/2025</w:t>
        </w:r>
      </w:hyperlink>
      <w:r>
        <w:t>, f. 6.</w:t>
      </w:r>
    </w:p>
    <w:p w14:paraId="7904B777" w14:textId="017408C1" w:rsidR="001D7FA9" w:rsidRDefault="001D7FA9" w:rsidP="001D7FA9">
      <w:pPr>
        <w:pStyle w:val="SangriaFrancesaArticulo"/>
      </w:pPr>
      <w:r w:rsidRPr="001D7FA9">
        <w:rPr>
          <w:rStyle w:val="TextoNormalNegritaCaracter"/>
        </w:rPr>
        <w:t>Artículo 28.1 b).</w:t>
      </w:r>
      <w:r w:rsidRPr="001D7FA9">
        <w:rPr>
          <w:rStyle w:val="TextoNormalCaracter"/>
        </w:rPr>
        <w:t>-</w:t>
      </w:r>
      <w:r>
        <w:t xml:space="preserve"> Sentencia </w:t>
      </w:r>
      <w:hyperlink w:anchor="SENTENCIA_2025_120" w:history="1">
        <w:r w:rsidRPr="001D7FA9">
          <w:rPr>
            <w:rStyle w:val="TextoNormalCaracter"/>
          </w:rPr>
          <w:t>120/2025</w:t>
        </w:r>
      </w:hyperlink>
      <w:r>
        <w:t>, ff. 4, 5.</w:t>
      </w:r>
    </w:p>
    <w:p w14:paraId="1ED461DC" w14:textId="033FF2A0" w:rsidR="001D7FA9" w:rsidRDefault="001D7FA9" w:rsidP="001D7FA9">
      <w:pPr>
        <w:pStyle w:val="SangriaFrancesaArticulo"/>
      </w:pPr>
      <w:r w:rsidRPr="001D7FA9">
        <w:rPr>
          <w:rStyle w:val="TextoNormalNegritaCaracter"/>
        </w:rPr>
        <w:t>Artículo 28.1 e).</w:t>
      </w:r>
      <w:r w:rsidRPr="001D7FA9">
        <w:rPr>
          <w:rStyle w:val="TextoNormalCaracter"/>
        </w:rPr>
        <w:t>-</w:t>
      </w:r>
      <w:r>
        <w:t xml:space="preserve"> Sentencia </w:t>
      </w:r>
      <w:hyperlink w:anchor="SENTENCIA_2025_120" w:history="1">
        <w:r w:rsidRPr="001D7FA9">
          <w:rPr>
            <w:rStyle w:val="TextoNormalCaracter"/>
          </w:rPr>
          <w:t>120/2025</w:t>
        </w:r>
      </w:hyperlink>
      <w:r>
        <w:t>, f. 5.</w:t>
      </w:r>
    </w:p>
    <w:p w14:paraId="7EDA29DA" w14:textId="3DB0731D" w:rsidR="001D7FA9" w:rsidRDefault="001D7FA9" w:rsidP="001D7FA9">
      <w:pPr>
        <w:pStyle w:val="SangriaFrancesaArticulo"/>
      </w:pPr>
      <w:r w:rsidRPr="001D7FA9">
        <w:rPr>
          <w:rStyle w:val="TextoNormalNegritaCaracter"/>
        </w:rPr>
        <w:t>Artículo 28.1 h).</w:t>
      </w:r>
      <w:r w:rsidRPr="001D7FA9">
        <w:rPr>
          <w:rStyle w:val="TextoNormalCaracter"/>
        </w:rPr>
        <w:t>-</w:t>
      </w:r>
      <w:r>
        <w:t xml:space="preserve"> Sentencia </w:t>
      </w:r>
      <w:hyperlink w:anchor="SENTENCIA_2025_120" w:history="1">
        <w:r w:rsidRPr="001D7FA9">
          <w:rPr>
            <w:rStyle w:val="TextoNormalCaracter"/>
          </w:rPr>
          <w:t>120/2025</w:t>
        </w:r>
      </w:hyperlink>
      <w:r>
        <w:t>, f. 6.</w:t>
      </w:r>
    </w:p>
    <w:p w14:paraId="5087CE59" w14:textId="4679ACEC" w:rsidR="001D7FA9" w:rsidRDefault="001D7FA9" w:rsidP="001D7FA9">
      <w:pPr>
        <w:pStyle w:val="SangriaFrancesaArticulo"/>
      </w:pPr>
      <w:r w:rsidRPr="001D7FA9">
        <w:rPr>
          <w:rStyle w:val="TextoNormalNegritaCaracter"/>
        </w:rPr>
        <w:t>Artículo 28.1 i).</w:t>
      </w:r>
      <w:r w:rsidRPr="001D7FA9">
        <w:rPr>
          <w:rStyle w:val="TextoNormalCaracter"/>
        </w:rPr>
        <w:t>-</w:t>
      </w:r>
      <w:r>
        <w:t xml:space="preserve"> Sentencia </w:t>
      </w:r>
      <w:hyperlink w:anchor="SENTENCIA_2025_120" w:history="1">
        <w:r w:rsidRPr="001D7FA9">
          <w:rPr>
            <w:rStyle w:val="TextoNormalCaracter"/>
          </w:rPr>
          <w:t>120/2025</w:t>
        </w:r>
      </w:hyperlink>
      <w:r>
        <w:t>, f. 4.</w:t>
      </w:r>
    </w:p>
    <w:p w14:paraId="7ABCDA47" w14:textId="1FC92AEA" w:rsidR="001D7FA9" w:rsidRDefault="001D7FA9" w:rsidP="001D7FA9">
      <w:pPr>
        <w:pStyle w:val="SangriaFrancesaArticulo"/>
      </w:pPr>
      <w:r w:rsidRPr="001D7FA9">
        <w:rPr>
          <w:rStyle w:val="TextoNormalNegritaCaracter"/>
        </w:rPr>
        <w:t>Artículo 28.2.</w:t>
      </w:r>
      <w:r w:rsidRPr="001D7FA9">
        <w:rPr>
          <w:rStyle w:val="TextoNormalCaracter"/>
        </w:rPr>
        <w:t>-</w:t>
      </w:r>
      <w:r>
        <w:t xml:space="preserve"> Sentencia </w:t>
      </w:r>
      <w:hyperlink w:anchor="SENTENCIA_2025_120" w:history="1">
        <w:r w:rsidRPr="001D7FA9">
          <w:rPr>
            <w:rStyle w:val="TextoNormalCaracter"/>
          </w:rPr>
          <w:t>120/2025</w:t>
        </w:r>
      </w:hyperlink>
      <w:r>
        <w:t>, f. 6.</w:t>
      </w:r>
    </w:p>
    <w:p w14:paraId="0C228292" w14:textId="2A2FAB12" w:rsidR="001D7FA9" w:rsidRDefault="001D7FA9" w:rsidP="001D7FA9">
      <w:pPr>
        <w:pStyle w:val="SangriaFrancesaArticulo"/>
      </w:pPr>
      <w:r w:rsidRPr="001D7FA9">
        <w:rPr>
          <w:rStyle w:val="TextoNormalNegritaCaracter"/>
        </w:rPr>
        <w:t>Artículo 29.</w:t>
      </w:r>
      <w:r w:rsidRPr="001D7FA9">
        <w:rPr>
          <w:rStyle w:val="TextoNormalCaracter"/>
        </w:rPr>
        <w:t>-</w:t>
      </w:r>
      <w:r>
        <w:t xml:space="preserve"> Sentencia </w:t>
      </w:r>
      <w:hyperlink w:anchor="SENTENCIA_2025_120" w:history="1">
        <w:r w:rsidRPr="001D7FA9">
          <w:rPr>
            <w:rStyle w:val="TextoNormalCaracter"/>
          </w:rPr>
          <w:t>120/2025</w:t>
        </w:r>
      </w:hyperlink>
      <w:r>
        <w:t>, ff. 3, 4.</w:t>
      </w:r>
    </w:p>
    <w:p w14:paraId="5D2A9E5A" w14:textId="730A726D" w:rsidR="001D7FA9" w:rsidRDefault="001D7FA9" w:rsidP="001D7FA9">
      <w:pPr>
        <w:pStyle w:val="SangriaFrancesaArticulo"/>
      </w:pPr>
      <w:r w:rsidRPr="001D7FA9">
        <w:rPr>
          <w:rStyle w:val="TextoNormalNegritaCaracter"/>
        </w:rPr>
        <w:t>Artículo 36.2.</w:t>
      </w:r>
      <w:r w:rsidRPr="001D7FA9">
        <w:rPr>
          <w:rStyle w:val="TextoNormalCaracter"/>
        </w:rPr>
        <w:t>-</w:t>
      </w:r>
      <w:r>
        <w:t xml:space="preserve"> Sentencia </w:t>
      </w:r>
      <w:hyperlink w:anchor="SENTENCIA_2025_120" w:history="1">
        <w:r w:rsidRPr="001D7FA9">
          <w:rPr>
            <w:rStyle w:val="TextoNormalCaracter"/>
          </w:rPr>
          <w:t>120/2025</w:t>
        </w:r>
      </w:hyperlink>
      <w:r>
        <w:t>, f. 6.</w:t>
      </w:r>
    </w:p>
    <w:p w14:paraId="73B22510" w14:textId="20C19187" w:rsidR="001D7FA9" w:rsidRDefault="001D7FA9" w:rsidP="001D7FA9">
      <w:pPr>
        <w:pStyle w:val="SangriaFrancesaArticulo"/>
      </w:pPr>
      <w:r w:rsidRPr="001D7FA9">
        <w:rPr>
          <w:rStyle w:val="TextoNormalNegritaCaracter"/>
        </w:rPr>
        <w:t>Artículo 50.</w:t>
      </w:r>
      <w:r w:rsidRPr="001D7FA9">
        <w:rPr>
          <w:rStyle w:val="TextoNormalCaracter"/>
        </w:rPr>
        <w:t>-</w:t>
      </w:r>
      <w:r>
        <w:t xml:space="preserve"> Sentencia </w:t>
      </w:r>
      <w:hyperlink w:anchor="SENTENCIA_2025_120" w:history="1">
        <w:r w:rsidRPr="001D7FA9">
          <w:rPr>
            <w:rStyle w:val="TextoNormalCaracter"/>
          </w:rPr>
          <w:t>120/2025</w:t>
        </w:r>
      </w:hyperlink>
      <w:r>
        <w:t>, f. 3.</w:t>
      </w:r>
    </w:p>
    <w:p w14:paraId="6A7158F5" w14:textId="10CF6267" w:rsidR="001D7FA9" w:rsidRDefault="001D7FA9" w:rsidP="001D7FA9">
      <w:pPr>
        <w:pStyle w:val="SangriaFrancesaArticulo"/>
      </w:pPr>
      <w:r w:rsidRPr="001D7FA9">
        <w:rPr>
          <w:rStyle w:val="TextoNormalNegritaCaracter"/>
        </w:rPr>
        <w:t>Artículo 54.</w:t>
      </w:r>
      <w:r w:rsidRPr="001D7FA9">
        <w:rPr>
          <w:rStyle w:val="TextoNormalCaracter"/>
        </w:rPr>
        <w:t>-</w:t>
      </w:r>
      <w:r>
        <w:t xml:space="preserve"> Sentencia </w:t>
      </w:r>
      <w:hyperlink w:anchor="SENTENCIA_2025_120" w:history="1">
        <w:r w:rsidRPr="001D7FA9">
          <w:rPr>
            <w:rStyle w:val="TextoNormalCaracter"/>
          </w:rPr>
          <w:t>120/2025</w:t>
        </w:r>
      </w:hyperlink>
      <w:r>
        <w:t>, f. 4.</w:t>
      </w:r>
    </w:p>
    <w:p w14:paraId="048A0F07" w14:textId="7E6097F7" w:rsidR="001D7FA9" w:rsidRDefault="001D7FA9" w:rsidP="001D7FA9">
      <w:pPr>
        <w:pStyle w:val="SangriaFrancesaArticulo"/>
      </w:pPr>
      <w:r w:rsidRPr="001D7FA9">
        <w:rPr>
          <w:rStyle w:val="TextoNormalNegritaCaracter"/>
        </w:rPr>
        <w:t>Artículo 54.1.</w:t>
      </w:r>
      <w:r w:rsidRPr="001D7FA9">
        <w:rPr>
          <w:rStyle w:val="TextoNormalCaracter"/>
        </w:rPr>
        <w:t>-</w:t>
      </w:r>
      <w:r>
        <w:t xml:space="preserve"> Sentencia </w:t>
      </w:r>
      <w:hyperlink w:anchor="SENTENCIA_2025_120" w:history="1">
        <w:r w:rsidRPr="001D7FA9">
          <w:rPr>
            <w:rStyle w:val="TextoNormalCaracter"/>
          </w:rPr>
          <w:t>120/2025</w:t>
        </w:r>
      </w:hyperlink>
      <w:r>
        <w:t>, ff. 3, 4.</w:t>
      </w:r>
    </w:p>
    <w:p w14:paraId="543BC9F7" w14:textId="5521B554" w:rsidR="001D7FA9" w:rsidRDefault="001D7FA9" w:rsidP="001D7FA9">
      <w:pPr>
        <w:pStyle w:val="SangriaFrancesaArticulo"/>
      </w:pPr>
      <w:r w:rsidRPr="001D7FA9">
        <w:rPr>
          <w:rStyle w:val="TextoNormalNegritaCaracter"/>
        </w:rPr>
        <w:t>Artículo 58.1.</w:t>
      </w:r>
      <w:r w:rsidRPr="001D7FA9">
        <w:rPr>
          <w:rStyle w:val="TextoNormalCaracter"/>
        </w:rPr>
        <w:t>-</w:t>
      </w:r>
      <w:r>
        <w:t xml:space="preserve"> Sentencia </w:t>
      </w:r>
      <w:hyperlink w:anchor="SENTENCIA_2025_120" w:history="1">
        <w:r w:rsidRPr="001D7FA9">
          <w:rPr>
            <w:rStyle w:val="TextoNormalCaracter"/>
          </w:rPr>
          <w:t>120/2025</w:t>
        </w:r>
      </w:hyperlink>
      <w:r>
        <w:t>, ff. 3 a 5.</w:t>
      </w:r>
    </w:p>
    <w:p w14:paraId="376B8806" w14:textId="53B427F5" w:rsidR="001D7FA9" w:rsidRDefault="001D7FA9" w:rsidP="001D7FA9">
      <w:pPr>
        <w:pStyle w:val="SangriaFrancesaArticulo"/>
      </w:pPr>
      <w:r w:rsidRPr="001D7FA9">
        <w:rPr>
          <w:rStyle w:val="TextoNormalNegritaCaracter"/>
        </w:rPr>
        <w:t>Artículo 79.</w:t>
      </w:r>
      <w:r w:rsidRPr="001D7FA9">
        <w:rPr>
          <w:rStyle w:val="TextoNormalCaracter"/>
        </w:rPr>
        <w:t>-</w:t>
      </w:r>
      <w:r>
        <w:t xml:space="preserve"> Sentencia </w:t>
      </w:r>
      <w:hyperlink w:anchor="SENTENCIA_2025_120" w:history="1">
        <w:r w:rsidRPr="001D7FA9">
          <w:rPr>
            <w:rStyle w:val="TextoNormalCaracter"/>
          </w:rPr>
          <w:t>120/2025</w:t>
        </w:r>
      </w:hyperlink>
      <w:r>
        <w:t>, f. 3.</w:t>
      </w:r>
    </w:p>
    <w:p w14:paraId="7DD3C9AC" w14:textId="0B0FC6B3" w:rsidR="001D7FA9" w:rsidRDefault="001D7FA9" w:rsidP="001D7FA9">
      <w:pPr>
        <w:pStyle w:val="SangriaFrancesaArticulo"/>
      </w:pPr>
      <w:r w:rsidRPr="001D7FA9">
        <w:rPr>
          <w:rStyle w:val="TextoNormalNegritaCaracter"/>
        </w:rPr>
        <w:t>Artículo 107.</w:t>
      </w:r>
      <w:r w:rsidRPr="001D7FA9">
        <w:rPr>
          <w:rStyle w:val="TextoNormalCaracter"/>
        </w:rPr>
        <w:t>-</w:t>
      </w:r>
      <w:r>
        <w:t xml:space="preserve"> Sentencia </w:t>
      </w:r>
      <w:hyperlink w:anchor="SENTENCIA_2025_120" w:history="1">
        <w:r w:rsidRPr="001D7FA9">
          <w:rPr>
            <w:rStyle w:val="TextoNormalCaracter"/>
          </w:rPr>
          <w:t>120/2025</w:t>
        </w:r>
      </w:hyperlink>
      <w:r>
        <w:t>, f. 5.</w:t>
      </w:r>
    </w:p>
    <w:p w14:paraId="0024B61B" w14:textId="6B540A2B" w:rsidR="001D7FA9" w:rsidRDefault="001D7FA9" w:rsidP="001D7FA9">
      <w:pPr>
        <w:pStyle w:val="SangriaFrancesaArticulo"/>
      </w:pPr>
      <w:r w:rsidRPr="001D7FA9">
        <w:rPr>
          <w:rStyle w:val="TextoNormalNegritaCaracter"/>
        </w:rPr>
        <w:t>Artículo 133.2.</w:t>
      </w:r>
      <w:r w:rsidRPr="001D7FA9">
        <w:rPr>
          <w:rStyle w:val="TextoNormalCaracter"/>
        </w:rPr>
        <w:t>-</w:t>
      </w:r>
      <w:r>
        <w:t xml:space="preserve"> Sentencia </w:t>
      </w:r>
      <w:hyperlink w:anchor="SENTENCIA_2025_120" w:history="1">
        <w:r w:rsidRPr="001D7FA9">
          <w:rPr>
            <w:rStyle w:val="TextoNormalCaracter"/>
          </w:rPr>
          <w:t>120/2025</w:t>
        </w:r>
      </w:hyperlink>
      <w:r>
        <w:t>, f. 5.</w:t>
      </w:r>
    </w:p>
    <w:p w14:paraId="62F3816D" w14:textId="32B90C96" w:rsidR="001D7FA9" w:rsidRDefault="001D7FA9" w:rsidP="001D7FA9">
      <w:pPr>
        <w:pStyle w:val="SangriaFrancesaArticulo"/>
      </w:pPr>
    </w:p>
    <w:p w14:paraId="698971C6" w14:textId="77777777" w:rsidR="001D7FA9" w:rsidRDefault="001D7FA9" w:rsidP="001D7FA9">
      <w:pPr>
        <w:pStyle w:val="TextoNormalNegritaCursivandice"/>
        <w:keepNext/>
      </w:pPr>
      <w:r>
        <w:t>Comunidad Autónoma de La Rioja. Reforma del Reglamento del Parlamento de La Rioja por el que se modifican los artículos 22.1, 28.1.b), 58.1 y 133.2</w:t>
      </w:r>
    </w:p>
    <w:p w14:paraId="60D4E466" w14:textId="3470CCB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0" w:history="1">
        <w:r w:rsidRPr="001D7FA9">
          <w:rPr>
            <w:rStyle w:val="TextoNormalCaracter"/>
          </w:rPr>
          <w:t>120/2025</w:t>
        </w:r>
      </w:hyperlink>
      <w:r>
        <w:t>, f. 3.</w:t>
      </w:r>
    </w:p>
    <w:p w14:paraId="19A77746" w14:textId="2D84D5E1" w:rsidR="001D7FA9" w:rsidRDefault="001D7FA9" w:rsidP="001D7FA9">
      <w:pPr>
        <w:pStyle w:val="SangriaFrancesaArticulo"/>
      </w:pPr>
      <w:r w:rsidRPr="001D7FA9">
        <w:rPr>
          <w:rStyle w:val="TextoNormalNegritaCaracter"/>
        </w:rPr>
        <w:t>Artículo 28.1 b).</w:t>
      </w:r>
      <w:r w:rsidRPr="001D7FA9">
        <w:rPr>
          <w:rStyle w:val="TextoNormalCaracter"/>
        </w:rPr>
        <w:t>-</w:t>
      </w:r>
      <w:r>
        <w:t xml:space="preserve"> Sentencia </w:t>
      </w:r>
      <w:hyperlink w:anchor="SENTENCIA_2025_120" w:history="1">
        <w:r w:rsidRPr="001D7FA9">
          <w:rPr>
            <w:rStyle w:val="TextoNormalCaracter"/>
          </w:rPr>
          <w:t>120/2025</w:t>
        </w:r>
      </w:hyperlink>
      <w:r>
        <w:t>, f. 4.</w:t>
      </w:r>
    </w:p>
    <w:p w14:paraId="7E689200" w14:textId="1FD12681" w:rsidR="001D7FA9" w:rsidRDefault="001D7FA9" w:rsidP="001D7FA9">
      <w:pPr>
        <w:pStyle w:val="SangriaFrancesaArticulo"/>
      </w:pPr>
      <w:r w:rsidRPr="001D7FA9">
        <w:rPr>
          <w:rStyle w:val="TextoNormalNegritaCaracter"/>
        </w:rPr>
        <w:t>Artículo 58.1.</w:t>
      </w:r>
      <w:r w:rsidRPr="001D7FA9">
        <w:rPr>
          <w:rStyle w:val="TextoNormalCaracter"/>
        </w:rPr>
        <w:t>-</w:t>
      </w:r>
      <w:r>
        <w:t xml:space="preserve"> Sentencia </w:t>
      </w:r>
      <w:hyperlink w:anchor="SENTENCIA_2025_120" w:history="1">
        <w:r w:rsidRPr="001D7FA9">
          <w:rPr>
            <w:rStyle w:val="TextoNormalCaracter"/>
          </w:rPr>
          <w:t>120/2025</w:t>
        </w:r>
      </w:hyperlink>
      <w:r>
        <w:t>, f. 3.</w:t>
      </w:r>
    </w:p>
    <w:p w14:paraId="1DC3ED94" w14:textId="007E0A94" w:rsidR="001D7FA9" w:rsidRDefault="001D7FA9" w:rsidP="001D7FA9">
      <w:pPr>
        <w:pStyle w:val="TextoNormal"/>
      </w:pPr>
    </w:p>
    <w:p w14:paraId="071BB37E" w14:textId="77777777" w:rsidR="001D7FA9" w:rsidRDefault="001D7FA9" w:rsidP="001D7FA9">
      <w:pPr>
        <w:pStyle w:val="TextoNormalNegritaCentrado"/>
        <w:suppressAutoHyphens/>
      </w:pPr>
      <w:r w:rsidRPr="001D7FA9">
        <w:rPr>
          <w:rStyle w:val="TextoNormalNegritaCentradoSombreado"/>
        </w:rPr>
        <w:t>J.11) Madrid</w:t>
      </w:r>
    </w:p>
    <w:p w14:paraId="4656DB56" w14:textId="0D295E84" w:rsidR="001D7FA9" w:rsidRDefault="001D7FA9" w:rsidP="001D7FA9">
      <w:pPr>
        <w:pStyle w:val="TextoNormal"/>
      </w:pPr>
    </w:p>
    <w:p w14:paraId="355E114A" w14:textId="77777777" w:rsidR="001D7FA9" w:rsidRDefault="001D7FA9" w:rsidP="001D7FA9">
      <w:pPr>
        <w:pStyle w:val="TextoNormalNegritaCentradoSubrayado"/>
        <w:suppressAutoHyphens/>
      </w:pPr>
      <w:r>
        <w:t>J.11.a) Estatuto de Autonomía</w:t>
      </w:r>
    </w:p>
    <w:p w14:paraId="7E011B6D" w14:textId="0B862C4C" w:rsidR="001D7FA9" w:rsidRDefault="001D7FA9" w:rsidP="001D7FA9">
      <w:pPr>
        <w:pStyle w:val="TextoNormalNegritaCentradoSubrayado"/>
      </w:pPr>
    </w:p>
    <w:p w14:paraId="3D4D11E4" w14:textId="77777777" w:rsidR="001D7FA9" w:rsidRDefault="001D7FA9" w:rsidP="001D7FA9">
      <w:pPr>
        <w:pStyle w:val="TextoNormalNegritaCursivandice"/>
        <w:keepNext/>
      </w:pPr>
      <w:r>
        <w:t>Ley Orgánica 3/1983, de 25 de febrero, de Estatuto de Autonomía de la Comunidad de Madrid</w:t>
      </w:r>
    </w:p>
    <w:p w14:paraId="39A655A3" w14:textId="1F1AB4A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9" w:history="1">
        <w:r w:rsidRPr="001D7FA9">
          <w:rPr>
            <w:rStyle w:val="TextoNormalCaracter"/>
          </w:rPr>
          <w:t>59/2025</w:t>
        </w:r>
      </w:hyperlink>
      <w:r>
        <w:t>, f. 4.</w:t>
      </w:r>
    </w:p>
    <w:p w14:paraId="7ACE153C" w14:textId="736CA695" w:rsidR="001D7FA9" w:rsidRDefault="001D7FA9" w:rsidP="001D7FA9">
      <w:pPr>
        <w:pStyle w:val="SangriaFrancesaArticulo"/>
      </w:pPr>
      <w:r w:rsidRPr="001D7FA9">
        <w:rPr>
          <w:rStyle w:val="TextoNormalNegritaCaracter"/>
        </w:rPr>
        <w:t>Artículo 7.2.</w:t>
      </w:r>
      <w:r w:rsidRPr="001D7FA9">
        <w:rPr>
          <w:rStyle w:val="TextoNormalCaracter"/>
        </w:rPr>
        <w:t>-</w:t>
      </w:r>
      <w:r>
        <w:t xml:space="preserve"> Auto </w:t>
      </w:r>
      <w:hyperlink w:anchor="AUTO_2025_59" w:history="1">
        <w:r w:rsidRPr="001D7FA9">
          <w:rPr>
            <w:rStyle w:val="TextoNormalCaracter"/>
          </w:rPr>
          <w:t>59/2025</w:t>
        </w:r>
      </w:hyperlink>
      <w:r>
        <w:t>, f. 4.</w:t>
      </w:r>
    </w:p>
    <w:p w14:paraId="7C30B787" w14:textId="141C10CC" w:rsidR="001D7FA9" w:rsidRDefault="001D7FA9" w:rsidP="001D7FA9">
      <w:pPr>
        <w:pStyle w:val="SangriaFrancesaArticulo"/>
      </w:pPr>
      <w:r w:rsidRPr="001D7FA9">
        <w:rPr>
          <w:rStyle w:val="TextoNormalNegritaCaracter"/>
        </w:rPr>
        <w:t>Artículo 26.1.4.</w:t>
      </w:r>
      <w:r w:rsidRPr="001D7FA9">
        <w:rPr>
          <w:rStyle w:val="TextoNormalCaracter"/>
        </w:rPr>
        <w:t>-</w:t>
      </w:r>
      <w:r>
        <w:t xml:space="preserve"> Auto </w:t>
      </w:r>
      <w:hyperlink w:anchor="AUTO_2025_59" w:history="1">
        <w:r w:rsidRPr="001D7FA9">
          <w:rPr>
            <w:rStyle w:val="TextoNormalCaracter"/>
          </w:rPr>
          <w:t>59/2025</w:t>
        </w:r>
      </w:hyperlink>
      <w:r>
        <w:t>, f. 4.</w:t>
      </w:r>
    </w:p>
    <w:p w14:paraId="1D3F1458" w14:textId="10B14FB0" w:rsidR="001D7FA9" w:rsidRDefault="001D7FA9" w:rsidP="001D7FA9">
      <w:pPr>
        <w:pStyle w:val="SangriaFrancesaArticulo"/>
      </w:pPr>
      <w:r w:rsidRPr="001D7FA9">
        <w:rPr>
          <w:rStyle w:val="TextoNormalNegritaCaracter"/>
        </w:rPr>
        <w:t>Artículo 26.1.17.</w:t>
      </w:r>
      <w:r w:rsidRPr="001D7FA9">
        <w:rPr>
          <w:rStyle w:val="TextoNormalCaracter"/>
        </w:rPr>
        <w:t>-</w:t>
      </w:r>
      <w:r>
        <w:t xml:space="preserve"> Auto </w:t>
      </w:r>
      <w:hyperlink w:anchor="AUTO_2025_59" w:history="1">
        <w:r w:rsidRPr="001D7FA9">
          <w:rPr>
            <w:rStyle w:val="TextoNormalCaracter"/>
          </w:rPr>
          <w:t>59/2025</w:t>
        </w:r>
      </w:hyperlink>
      <w:r>
        <w:t>, f. 4.</w:t>
      </w:r>
    </w:p>
    <w:p w14:paraId="0F53B0D6" w14:textId="09A74940" w:rsidR="001D7FA9" w:rsidRDefault="001D7FA9" w:rsidP="001D7FA9">
      <w:pPr>
        <w:pStyle w:val="SangriaFrancesaArticulo"/>
      </w:pPr>
      <w:r w:rsidRPr="001D7FA9">
        <w:rPr>
          <w:rStyle w:val="TextoNormalNegritaCaracter"/>
        </w:rPr>
        <w:t>Artículo 26.1.20.</w:t>
      </w:r>
      <w:r w:rsidRPr="001D7FA9">
        <w:rPr>
          <w:rStyle w:val="TextoNormalCaracter"/>
        </w:rPr>
        <w:t>-</w:t>
      </w:r>
      <w:r>
        <w:t xml:space="preserve"> Auto </w:t>
      </w:r>
      <w:hyperlink w:anchor="AUTO_2025_59" w:history="1">
        <w:r w:rsidRPr="001D7FA9">
          <w:rPr>
            <w:rStyle w:val="TextoNormalCaracter"/>
          </w:rPr>
          <w:t>59/2025</w:t>
        </w:r>
      </w:hyperlink>
      <w:r>
        <w:t>, f. 4.</w:t>
      </w:r>
    </w:p>
    <w:p w14:paraId="04EF4BEF" w14:textId="42BC016B" w:rsidR="001D7FA9" w:rsidRDefault="001D7FA9" w:rsidP="001D7FA9">
      <w:pPr>
        <w:pStyle w:val="SangriaFrancesaArticulo"/>
      </w:pPr>
      <w:r w:rsidRPr="001D7FA9">
        <w:rPr>
          <w:rStyle w:val="TextoNormalNegritaCaracter"/>
        </w:rPr>
        <w:t>Artículo 26.1.22.</w:t>
      </w:r>
      <w:r w:rsidRPr="001D7FA9">
        <w:rPr>
          <w:rStyle w:val="TextoNormalCaracter"/>
        </w:rPr>
        <w:t>-</w:t>
      </w:r>
      <w:r>
        <w:t xml:space="preserve"> Auto </w:t>
      </w:r>
      <w:hyperlink w:anchor="AUTO_2025_59" w:history="1">
        <w:r w:rsidRPr="001D7FA9">
          <w:rPr>
            <w:rStyle w:val="TextoNormalCaracter"/>
          </w:rPr>
          <w:t>59/2025</w:t>
        </w:r>
      </w:hyperlink>
      <w:r>
        <w:t>, f. 4.</w:t>
      </w:r>
    </w:p>
    <w:p w14:paraId="313BEC8D" w14:textId="367C7F6F" w:rsidR="001D7FA9" w:rsidRDefault="001D7FA9" w:rsidP="001D7FA9">
      <w:pPr>
        <w:pStyle w:val="SangriaFrancesaArticulo"/>
      </w:pPr>
      <w:r w:rsidRPr="001D7FA9">
        <w:rPr>
          <w:rStyle w:val="TextoNormalNegritaCaracter"/>
        </w:rPr>
        <w:t>Artículo 26.1.23.</w:t>
      </w:r>
      <w:r w:rsidRPr="001D7FA9">
        <w:rPr>
          <w:rStyle w:val="TextoNormalCaracter"/>
        </w:rPr>
        <w:t>-</w:t>
      </w:r>
      <w:r>
        <w:t xml:space="preserve"> Sentencia </w:t>
      </w:r>
      <w:hyperlink w:anchor="SENTENCIA_2025_96" w:history="1">
        <w:r w:rsidRPr="001D7FA9">
          <w:rPr>
            <w:rStyle w:val="TextoNormalCaracter"/>
          </w:rPr>
          <w:t>96/2025</w:t>
        </w:r>
      </w:hyperlink>
      <w:r>
        <w:t>, ff. 1, 3, VP.</w:t>
      </w:r>
    </w:p>
    <w:p w14:paraId="1C568F17" w14:textId="4E3C79A1" w:rsidR="001D7FA9" w:rsidRDefault="001D7FA9" w:rsidP="001D7FA9">
      <w:pPr>
        <w:pStyle w:val="SangriaIzquierdaArticulo"/>
      </w:pPr>
      <w:r>
        <w:t xml:space="preserve">Auto </w:t>
      </w:r>
      <w:hyperlink w:anchor="AUTO_2025_59" w:history="1">
        <w:r w:rsidRPr="001D7FA9">
          <w:rPr>
            <w:rStyle w:val="TextoNormalCaracter"/>
          </w:rPr>
          <w:t>59/2025</w:t>
        </w:r>
      </w:hyperlink>
      <w:r>
        <w:t>, f. 4.</w:t>
      </w:r>
    </w:p>
    <w:p w14:paraId="37C671AE" w14:textId="688B8BFC" w:rsidR="001D7FA9" w:rsidRDefault="001D7FA9" w:rsidP="001D7FA9">
      <w:pPr>
        <w:pStyle w:val="SangriaFrancesaArticulo"/>
      </w:pPr>
      <w:r w:rsidRPr="001D7FA9">
        <w:rPr>
          <w:rStyle w:val="TextoNormalNegritaCaracter"/>
        </w:rPr>
        <w:t>Artículo 27.4.</w:t>
      </w:r>
      <w:r w:rsidRPr="001D7FA9">
        <w:rPr>
          <w:rStyle w:val="TextoNormalCaracter"/>
        </w:rPr>
        <w:t>-</w:t>
      </w:r>
      <w:r>
        <w:t xml:space="preserve"> Sentencia </w:t>
      </w:r>
      <w:hyperlink w:anchor="SENTENCIA_2025_96" w:history="1">
        <w:r w:rsidRPr="001D7FA9">
          <w:rPr>
            <w:rStyle w:val="TextoNormalCaracter"/>
          </w:rPr>
          <w:t>96/2025</w:t>
        </w:r>
      </w:hyperlink>
      <w:r>
        <w:t>, f. 2.</w:t>
      </w:r>
    </w:p>
    <w:p w14:paraId="71828D59" w14:textId="7B3B2F92" w:rsidR="001D7FA9" w:rsidRDefault="001D7FA9" w:rsidP="001D7FA9">
      <w:pPr>
        <w:pStyle w:val="SangriaIzquierdaArticulo"/>
      </w:pPr>
      <w:r>
        <w:t xml:space="preserve">Auto </w:t>
      </w:r>
      <w:hyperlink w:anchor="AUTO_2025_59" w:history="1">
        <w:r w:rsidRPr="001D7FA9">
          <w:rPr>
            <w:rStyle w:val="TextoNormalCaracter"/>
          </w:rPr>
          <w:t>59/2025</w:t>
        </w:r>
      </w:hyperlink>
      <w:r>
        <w:t>, f. 4.</w:t>
      </w:r>
    </w:p>
    <w:p w14:paraId="3381286B" w14:textId="6DBE51F0" w:rsidR="001D7FA9" w:rsidRDefault="001D7FA9" w:rsidP="001D7FA9">
      <w:pPr>
        <w:pStyle w:val="SangriaFrancesaArticulo"/>
      </w:pPr>
      <w:r w:rsidRPr="001D7FA9">
        <w:rPr>
          <w:rStyle w:val="TextoNormalNegritaCaracter"/>
        </w:rPr>
        <w:t>Artículo 27.5.</w:t>
      </w:r>
      <w:r w:rsidRPr="001D7FA9">
        <w:rPr>
          <w:rStyle w:val="TextoNormalCaracter"/>
        </w:rPr>
        <w:t>-</w:t>
      </w:r>
      <w:r>
        <w:t xml:space="preserve"> Auto </w:t>
      </w:r>
      <w:hyperlink w:anchor="AUTO_2025_59" w:history="1">
        <w:r w:rsidRPr="001D7FA9">
          <w:rPr>
            <w:rStyle w:val="TextoNormalCaracter"/>
          </w:rPr>
          <w:t>59/2025</w:t>
        </w:r>
      </w:hyperlink>
      <w:r>
        <w:t>, f. 4.</w:t>
      </w:r>
    </w:p>
    <w:p w14:paraId="1BE87751" w14:textId="6D4E3DD9" w:rsidR="001D7FA9" w:rsidRDefault="001D7FA9" w:rsidP="001D7FA9">
      <w:pPr>
        <w:pStyle w:val="SangriaFrancesaArticulo"/>
      </w:pPr>
      <w:r w:rsidRPr="001D7FA9">
        <w:rPr>
          <w:rStyle w:val="TextoNormalNegritaCaracter"/>
        </w:rPr>
        <w:t>Artículo 28.1.1.</w:t>
      </w:r>
      <w:r w:rsidRPr="001D7FA9">
        <w:rPr>
          <w:rStyle w:val="TextoNormalCaracter"/>
        </w:rPr>
        <w:t>-</w:t>
      </w:r>
      <w:r>
        <w:t xml:space="preserve"> Sentencia </w:t>
      </w:r>
      <w:hyperlink w:anchor="SENTENCIA_2025_96" w:history="1">
        <w:r w:rsidRPr="001D7FA9">
          <w:rPr>
            <w:rStyle w:val="TextoNormalCaracter"/>
          </w:rPr>
          <w:t>96/2025</w:t>
        </w:r>
      </w:hyperlink>
      <w:r>
        <w:t>, f. 2.</w:t>
      </w:r>
    </w:p>
    <w:p w14:paraId="1D718F3C" w14:textId="37855C39" w:rsidR="001D7FA9" w:rsidRDefault="001D7FA9" w:rsidP="001D7FA9">
      <w:pPr>
        <w:pStyle w:val="SangriaFrancesaArticulo"/>
      </w:pPr>
      <w:r w:rsidRPr="001D7FA9">
        <w:rPr>
          <w:rStyle w:val="TextoNormalNegritaCaracter"/>
        </w:rPr>
        <w:t>Artículo 28.1.12.</w:t>
      </w:r>
      <w:r w:rsidRPr="001D7FA9">
        <w:rPr>
          <w:rStyle w:val="TextoNormalCaracter"/>
        </w:rPr>
        <w:t>-</w:t>
      </w:r>
      <w:r>
        <w:t xml:space="preserve"> Sentencia </w:t>
      </w:r>
      <w:hyperlink w:anchor="SENTENCIA_2025_96" w:history="1">
        <w:r w:rsidRPr="001D7FA9">
          <w:rPr>
            <w:rStyle w:val="TextoNormalCaracter"/>
          </w:rPr>
          <w:t>96/2025</w:t>
        </w:r>
      </w:hyperlink>
      <w:r>
        <w:t>, f. 2.</w:t>
      </w:r>
    </w:p>
    <w:p w14:paraId="27A1A8AD" w14:textId="3420D830" w:rsidR="001D7FA9" w:rsidRDefault="001D7FA9" w:rsidP="001D7FA9">
      <w:pPr>
        <w:pStyle w:val="SangriaFrancesaArticulo"/>
      </w:pPr>
      <w:r w:rsidRPr="001D7FA9">
        <w:rPr>
          <w:rStyle w:val="TextoNormalNegritaCaracter"/>
        </w:rPr>
        <w:t>Artículo 29.</w:t>
      </w:r>
      <w:r w:rsidRPr="001D7FA9">
        <w:rPr>
          <w:rStyle w:val="TextoNormalCaracter"/>
        </w:rPr>
        <w:t>-</w:t>
      </w:r>
      <w:r>
        <w:t xml:space="preserve"> Sentencia </w:t>
      </w:r>
      <w:hyperlink w:anchor="SENTENCIA_2025_96" w:history="1">
        <w:r w:rsidRPr="001D7FA9">
          <w:rPr>
            <w:rStyle w:val="TextoNormalCaracter"/>
          </w:rPr>
          <w:t>96/2025</w:t>
        </w:r>
      </w:hyperlink>
      <w:r>
        <w:t>, f. 2.</w:t>
      </w:r>
    </w:p>
    <w:p w14:paraId="26FBE7A3" w14:textId="0ADB4F85" w:rsidR="001D7FA9" w:rsidRDefault="001D7FA9" w:rsidP="001D7FA9">
      <w:pPr>
        <w:pStyle w:val="SangriaIzquierdaArticulo"/>
      </w:pPr>
      <w:r>
        <w:t xml:space="preserve">Auto </w:t>
      </w:r>
      <w:hyperlink w:anchor="AUTO_2025_59" w:history="1">
        <w:r w:rsidRPr="001D7FA9">
          <w:rPr>
            <w:rStyle w:val="TextoNormalCaracter"/>
          </w:rPr>
          <w:t>59/2025</w:t>
        </w:r>
      </w:hyperlink>
      <w:r>
        <w:t>, f. 4.</w:t>
      </w:r>
    </w:p>
    <w:p w14:paraId="4076CA23" w14:textId="28357CA7" w:rsidR="001D7FA9" w:rsidRDefault="001D7FA9" w:rsidP="001D7FA9">
      <w:pPr>
        <w:pStyle w:val="TextoNormal"/>
      </w:pPr>
    </w:p>
    <w:p w14:paraId="37635796" w14:textId="77777777" w:rsidR="001D7FA9" w:rsidRDefault="001D7FA9" w:rsidP="001D7FA9">
      <w:pPr>
        <w:pStyle w:val="TextoNormalNegritaCentradoSubrayado"/>
        <w:suppressAutoHyphens/>
      </w:pPr>
      <w:r>
        <w:t>J.11.b) Leyes y disposiciones con fuerza de Ley</w:t>
      </w:r>
    </w:p>
    <w:p w14:paraId="33BC43A8" w14:textId="587C6609" w:rsidR="001D7FA9" w:rsidRDefault="001D7FA9" w:rsidP="001D7FA9">
      <w:pPr>
        <w:pStyle w:val="TextoNormalNegritaCentradoSubrayado"/>
      </w:pPr>
    </w:p>
    <w:p w14:paraId="0ADB0C6A" w14:textId="77777777" w:rsidR="001D7FA9" w:rsidRDefault="001D7FA9" w:rsidP="001D7FA9">
      <w:pPr>
        <w:pStyle w:val="TextoNormalNegritaCursivandice"/>
        <w:keepNext/>
      </w:pPr>
      <w:r>
        <w:t>Comunidad de Madrid. Ley 12/1996, de 19 de diciembre, de ayuda a las víctimas del terrorismo</w:t>
      </w:r>
    </w:p>
    <w:p w14:paraId="2E174E3E" w14:textId="11D2D86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9" w:history="1">
        <w:r w:rsidRPr="001D7FA9">
          <w:rPr>
            <w:rStyle w:val="TextoNormalCaracter"/>
          </w:rPr>
          <w:t>59/2025</w:t>
        </w:r>
      </w:hyperlink>
      <w:r>
        <w:t>, f. 4.</w:t>
      </w:r>
    </w:p>
    <w:p w14:paraId="6506BCA8" w14:textId="4E806108" w:rsidR="001D7FA9" w:rsidRDefault="001D7FA9" w:rsidP="001D7FA9">
      <w:pPr>
        <w:pStyle w:val="SangriaFrancesaArticulo"/>
      </w:pPr>
    </w:p>
    <w:p w14:paraId="2920E9A1" w14:textId="77777777" w:rsidR="001D7FA9" w:rsidRDefault="001D7FA9" w:rsidP="001D7FA9">
      <w:pPr>
        <w:pStyle w:val="TextoNormalNegritaCursivandice"/>
        <w:keepNext/>
      </w:pPr>
      <w:r>
        <w:t>Comunidad de Madrid. Ley 3/2016, de 22 de julio, de protección integral contra LGTBIfobia y la discriminación por razón de orientación e identidad sexual en la Comunidad de Madrid</w:t>
      </w:r>
    </w:p>
    <w:p w14:paraId="2576E430" w14:textId="205F7F8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6" w:history="1">
        <w:r w:rsidRPr="001D7FA9">
          <w:rPr>
            <w:rStyle w:val="TextoNormalCaracter"/>
          </w:rPr>
          <w:t>96/2025</w:t>
        </w:r>
      </w:hyperlink>
      <w:r>
        <w:t>, ff. 2, 3.</w:t>
      </w:r>
    </w:p>
    <w:p w14:paraId="6D5C995C" w14:textId="70B7CEAA" w:rsidR="001D7FA9" w:rsidRDefault="001D7FA9" w:rsidP="001D7FA9">
      <w:pPr>
        <w:pStyle w:val="SangriaFrancesaArticulo"/>
      </w:pPr>
      <w:r w:rsidRPr="001D7FA9">
        <w:rPr>
          <w:rStyle w:val="TextoNormalNegritaCaracter"/>
        </w:rPr>
        <w:t>Título II.</w:t>
      </w:r>
      <w:r w:rsidRPr="001D7FA9">
        <w:rPr>
          <w:rStyle w:val="TextoNormalCaracter"/>
        </w:rPr>
        <w:t>-</w:t>
      </w:r>
      <w:r>
        <w:t xml:space="preserve"> Sentencia </w:t>
      </w:r>
      <w:hyperlink w:anchor="SENTENCIA_2025_96" w:history="1">
        <w:r w:rsidRPr="001D7FA9">
          <w:rPr>
            <w:rStyle w:val="TextoNormalCaracter"/>
          </w:rPr>
          <w:t>96/2025</w:t>
        </w:r>
      </w:hyperlink>
      <w:r>
        <w:t>, f. 2.</w:t>
      </w:r>
    </w:p>
    <w:p w14:paraId="4B1E03C6" w14:textId="775AE9C4" w:rsidR="001D7FA9" w:rsidRDefault="001D7FA9" w:rsidP="001D7FA9">
      <w:pPr>
        <w:pStyle w:val="SangriaFrancesaArticulo"/>
      </w:pPr>
      <w:r w:rsidRPr="001D7FA9">
        <w:rPr>
          <w:rStyle w:val="TextoNormalNegritaCaracter"/>
        </w:rPr>
        <w:t>Capítulo I.</w:t>
      </w:r>
      <w:r w:rsidRPr="001D7FA9">
        <w:rPr>
          <w:rStyle w:val="TextoNormalCaracter"/>
        </w:rPr>
        <w:t>-</w:t>
      </w:r>
      <w:r>
        <w:t xml:space="preserve"> Sentencia </w:t>
      </w:r>
      <w:hyperlink w:anchor="SENTENCIA_2025_96" w:history="1">
        <w:r w:rsidRPr="001D7FA9">
          <w:rPr>
            <w:rStyle w:val="TextoNormalCaracter"/>
          </w:rPr>
          <w:t>96/2025</w:t>
        </w:r>
      </w:hyperlink>
      <w:r>
        <w:t>, f. 2.</w:t>
      </w:r>
    </w:p>
    <w:p w14:paraId="0FEE83F3" w14:textId="1622A526" w:rsidR="001D7FA9" w:rsidRDefault="001D7FA9" w:rsidP="001D7FA9">
      <w:pPr>
        <w:pStyle w:val="SangriaFrancesaArticulo"/>
      </w:pPr>
      <w:r w:rsidRPr="001D7FA9">
        <w:rPr>
          <w:rStyle w:val="TextoNormalNegritaCaracter"/>
        </w:rPr>
        <w:t>Capítulo II.</w:t>
      </w:r>
      <w:r w:rsidRPr="001D7FA9">
        <w:rPr>
          <w:rStyle w:val="TextoNormalCaracter"/>
        </w:rPr>
        <w:t>-</w:t>
      </w:r>
      <w:r>
        <w:t xml:space="preserve"> Sentencia </w:t>
      </w:r>
      <w:hyperlink w:anchor="SENTENCIA_2025_96" w:history="1">
        <w:r w:rsidRPr="001D7FA9">
          <w:rPr>
            <w:rStyle w:val="TextoNormalCaracter"/>
          </w:rPr>
          <w:t>96/2025</w:t>
        </w:r>
      </w:hyperlink>
      <w:r>
        <w:t>, f. 2.</w:t>
      </w:r>
    </w:p>
    <w:p w14:paraId="4EB77C0A" w14:textId="02F8A7D2" w:rsidR="001D7FA9" w:rsidRDefault="001D7FA9" w:rsidP="001D7FA9">
      <w:pPr>
        <w:pStyle w:val="SangriaFrancesaArticulo"/>
      </w:pPr>
      <w:r w:rsidRPr="001D7FA9">
        <w:rPr>
          <w:rStyle w:val="TextoNormalNegritaCaracter"/>
        </w:rPr>
        <w:t>Capítulo III.</w:t>
      </w:r>
      <w:r w:rsidRPr="001D7FA9">
        <w:rPr>
          <w:rStyle w:val="TextoNormalCaracter"/>
        </w:rPr>
        <w:t>-</w:t>
      </w:r>
      <w:r>
        <w:t xml:space="preserve"> Sentencia </w:t>
      </w:r>
      <w:hyperlink w:anchor="SENTENCIA_2025_96" w:history="1">
        <w:r w:rsidRPr="001D7FA9">
          <w:rPr>
            <w:rStyle w:val="TextoNormalCaracter"/>
          </w:rPr>
          <w:t>96/2025</w:t>
        </w:r>
      </w:hyperlink>
      <w:r>
        <w:t>, f. 2.</w:t>
      </w:r>
    </w:p>
    <w:p w14:paraId="54F69B91" w14:textId="0E200B52" w:rsidR="001D7FA9" w:rsidRDefault="001D7FA9" w:rsidP="001D7FA9">
      <w:pPr>
        <w:pStyle w:val="SangriaFrancesaArticulo"/>
      </w:pPr>
      <w:r w:rsidRPr="001D7FA9">
        <w:rPr>
          <w:rStyle w:val="TextoNormalNegritaCaracter"/>
        </w:rPr>
        <w:t>Capítulo IV.</w:t>
      </w:r>
      <w:r w:rsidRPr="001D7FA9">
        <w:rPr>
          <w:rStyle w:val="TextoNormalCaracter"/>
        </w:rPr>
        <w:t>-</w:t>
      </w:r>
      <w:r>
        <w:t xml:space="preserve"> Sentencia </w:t>
      </w:r>
      <w:hyperlink w:anchor="SENTENCIA_2025_96" w:history="1">
        <w:r w:rsidRPr="001D7FA9">
          <w:rPr>
            <w:rStyle w:val="TextoNormalCaracter"/>
          </w:rPr>
          <w:t>96/2025</w:t>
        </w:r>
      </w:hyperlink>
      <w:r>
        <w:t>, f. 2.</w:t>
      </w:r>
    </w:p>
    <w:p w14:paraId="165C6F59" w14:textId="1C019F23" w:rsidR="001D7FA9" w:rsidRDefault="001D7FA9" w:rsidP="001D7FA9">
      <w:pPr>
        <w:pStyle w:val="SangriaFrancesaArticulo"/>
      </w:pPr>
      <w:r w:rsidRPr="001D7FA9">
        <w:rPr>
          <w:rStyle w:val="TextoNormalNegritaCaracter"/>
        </w:rPr>
        <w:t>Artículo 65</w:t>
      </w:r>
      <w:r>
        <w:t xml:space="preserve"> (redactado por la Ley 18/2023, de 27 de diciembre)</w:t>
      </w:r>
      <w:r w:rsidRPr="001D7FA9">
        <w:rPr>
          <w:rStyle w:val="TextoNormalNegritaCaracter"/>
        </w:rPr>
        <w:t>.</w:t>
      </w:r>
      <w:r w:rsidRPr="001D7FA9">
        <w:rPr>
          <w:rStyle w:val="TextoNormalCaracter"/>
        </w:rPr>
        <w:t>-</w:t>
      </w:r>
      <w:r>
        <w:t xml:space="preserve"> Sentencia </w:t>
      </w:r>
      <w:hyperlink w:anchor="SENTENCIA_2025_96" w:history="1">
        <w:r w:rsidRPr="001D7FA9">
          <w:rPr>
            <w:rStyle w:val="TextoNormalCaracter"/>
          </w:rPr>
          <w:t>96/2025</w:t>
        </w:r>
      </w:hyperlink>
      <w:r>
        <w:t>, ff. 1, 2, VP.</w:t>
      </w:r>
    </w:p>
    <w:p w14:paraId="57942796" w14:textId="66068A33" w:rsidR="001D7FA9" w:rsidRDefault="001D7FA9" w:rsidP="001D7FA9">
      <w:pPr>
        <w:pStyle w:val="SangriaFrancesaArticulo"/>
      </w:pPr>
      <w:r w:rsidRPr="001D7FA9">
        <w:rPr>
          <w:rStyle w:val="TextoNormalNegritaCaracter"/>
        </w:rPr>
        <w:t>Artículo 65 a).</w:t>
      </w:r>
      <w:r w:rsidRPr="001D7FA9">
        <w:rPr>
          <w:rStyle w:val="TextoNormalCaracter"/>
        </w:rPr>
        <w:t>-</w:t>
      </w:r>
      <w:r>
        <w:t xml:space="preserve"> Sentencia </w:t>
      </w:r>
      <w:hyperlink w:anchor="SENTENCIA_2025_96" w:history="1">
        <w:r w:rsidRPr="001D7FA9">
          <w:rPr>
            <w:rStyle w:val="TextoNormalCaracter"/>
          </w:rPr>
          <w:t>96/2025</w:t>
        </w:r>
      </w:hyperlink>
      <w:r>
        <w:t>, f. 2.</w:t>
      </w:r>
    </w:p>
    <w:p w14:paraId="265D8562" w14:textId="22A7687D" w:rsidR="001D7FA9" w:rsidRDefault="001D7FA9" w:rsidP="001D7FA9">
      <w:pPr>
        <w:pStyle w:val="SangriaFrancesaArticulo"/>
      </w:pPr>
      <w:r w:rsidRPr="001D7FA9">
        <w:rPr>
          <w:rStyle w:val="TextoNormalNegritaCaracter"/>
        </w:rPr>
        <w:t>Artículo 65 c).</w:t>
      </w:r>
      <w:r w:rsidRPr="001D7FA9">
        <w:rPr>
          <w:rStyle w:val="TextoNormalCaracter"/>
        </w:rPr>
        <w:t>-</w:t>
      </w:r>
      <w:r>
        <w:t xml:space="preserve"> Sentencia </w:t>
      </w:r>
      <w:hyperlink w:anchor="SENTENCIA_2025_96" w:history="1">
        <w:r w:rsidRPr="001D7FA9">
          <w:rPr>
            <w:rStyle w:val="TextoNormalCaracter"/>
          </w:rPr>
          <w:t>96/2025</w:t>
        </w:r>
      </w:hyperlink>
      <w:r>
        <w:t>, f. 2.</w:t>
      </w:r>
    </w:p>
    <w:p w14:paraId="01BB5B91" w14:textId="39BD1ED5" w:rsidR="001D7FA9" w:rsidRDefault="001D7FA9" w:rsidP="001D7FA9">
      <w:pPr>
        <w:pStyle w:val="SangriaFrancesaArticulo"/>
      </w:pPr>
      <w:r w:rsidRPr="001D7FA9">
        <w:rPr>
          <w:rStyle w:val="TextoNormalNegritaCaracter"/>
        </w:rPr>
        <w:t>Artículo 65 d)</w:t>
      </w:r>
      <w:r>
        <w:t xml:space="preserve"> (redactado por la Ley 18/2023, de 27 de diciembre)</w:t>
      </w:r>
      <w:r w:rsidRPr="001D7FA9">
        <w:rPr>
          <w:rStyle w:val="TextoNormalNegritaCaracter"/>
        </w:rPr>
        <w:t>.</w:t>
      </w:r>
      <w:r w:rsidRPr="001D7FA9">
        <w:rPr>
          <w:rStyle w:val="TextoNormalCaracter"/>
        </w:rPr>
        <w:t>-</w:t>
      </w:r>
      <w:r>
        <w:t xml:space="preserve"> Sentencia </w:t>
      </w:r>
      <w:hyperlink w:anchor="SENTENCIA_2025_96" w:history="1">
        <w:r w:rsidRPr="001D7FA9">
          <w:rPr>
            <w:rStyle w:val="TextoNormalCaracter"/>
          </w:rPr>
          <w:t>96/2025</w:t>
        </w:r>
      </w:hyperlink>
      <w:r>
        <w:t>, ff. 1, 4, VP.</w:t>
      </w:r>
    </w:p>
    <w:p w14:paraId="0A457C4A" w14:textId="46633D71" w:rsidR="001D7FA9" w:rsidRDefault="001D7FA9" w:rsidP="001D7FA9">
      <w:pPr>
        <w:pStyle w:val="SangriaFrancesaArticulo"/>
      </w:pPr>
      <w:r w:rsidRPr="001D7FA9">
        <w:rPr>
          <w:rStyle w:val="TextoNormalNegritaCaracter"/>
        </w:rPr>
        <w:t>Artículo 68</w:t>
      </w:r>
      <w:r>
        <w:t xml:space="preserve"> ( redactado por la Ley 18/2023, de 27 de diciembre)</w:t>
      </w:r>
      <w:r w:rsidRPr="001D7FA9">
        <w:rPr>
          <w:rStyle w:val="TextoNormalNegritaCaracter"/>
        </w:rPr>
        <w:t>.</w:t>
      </w:r>
      <w:r w:rsidRPr="001D7FA9">
        <w:rPr>
          <w:rStyle w:val="TextoNormalCaracter"/>
        </w:rPr>
        <w:t>-</w:t>
      </w:r>
      <w:r>
        <w:t xml:space="preserve"> Sentencia </w:t>
      </w:r>
      <w:hyperlink w:anchor="SENTENCIA_2025_96" w:history="1">
        <w:r w:rsidRPr="001D7FA9">
          <w:rPr>
            <w:rStyle w:val="TextoNormalCaracter"/>
          </w:rPr>
          <w:t>96/2025</w:t>
        </w:r>
      </w:hyperlink>
      <w:r>
        <w:t>, f. 4.</w:t>
      </w:r>
    </w:p>
    <w:p w14:paraId="76B20F95" w14:textId="280CB341" w:rsidR="001D7FA9" w:rsidRDefault="001D7FA9" w:rsidP="001D7FA9">
      <w:pPr>
        <w:pStyle w:val="SangriaFrancesaArticulo"/>
      </w:pPr>
    </w:p>
    <w:p w14:paraId="2222647C" w14:textId="77777777" w:rsidR="001D7FA9" w:rsidRDefault="001D7FA9" w:rsidP="001D7FA9">
      <w:pPr>
        <w:pStyle w:val="TextoNormalNegritaCursivandice"/>
        <w:keepNext/>
      </w:pPr>
      <w:r>
        <w:t>Comunidad de Madrid. Ley 1/2018, de 22 de febrero, de coordinación de policías locales de la Comunidad de Madrid</w:t>
      </w:r>
    </w:p>
    <w:p w14:paraId="3F352465" w14:textId="434EDBF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2" w:history="1">
        <w:r w:rsidRPr="001D7FA9">
          <w:rPr>
            <w:rStyle w:val="TextoNormalCaracter"/>
          </w:rPr>
          <w:t>42/2025</w:t>
        </w:r>
      </w:hyperlink>
      <w:r>
        <w:t>, f. 4.</w:t>
      </w:r>
    </w:p>
    <w:p w14:paraId="6744E0E7" w14:textId="11E76B0B" w:rsidR="001D7FA9" w:rsidRDefault="001D7FA9" w:rsidP="001D7FA9">
      <w:pPr>
        <w:pStyle w:val="SangriaFrancesaArticulo"/>
      </w:pPr>
      <w:r w:rsidRPr="001D7FA9">
        <w:rPr>
          <w:rStyle w:val="TextoNormalNegritaCaracter"/>
        </w:rPr>
        <w:t>Disposición transitoria primera.</w:t>
      </w:r>
      <w:r w:rsidRPr="001D7FA9">
        <w:rPr>
          <w:rStyle w:val="TextoNormalCaracter"/>
        </w:rPr>
        <w:t>-</w:t>
      </w:r>
      <w:r>
        <w:t xml:space="preserve"> Sentencia </w:t>
      </w:r>
      <w:hyperlink w:anchor="SENTENCIA_2025_42" w:history="1">
        <w:r w:rsidRPr="001D7FA9">
          <w:rPr>
            <w:rStyle w:val="TextoNormalCaracter"/>
          </w:rPr>
          <w:t>42/2025</w:t>
        </w:r>
      </w:hyperlink>
      <w:r>
        <w:t>, f. 4.</w:t>
      </w:r>
    </w:p>
    <w:p w14:paraId="0E049491" w14:textId="61560C7D" w:rsidR="001D7FA9" w:rsidRDefault="001D7FA9" w:rsidP="001D7FA9">
      <w:pPr>
        <w:pStyle w:val="SangriaFrancesaArticulo"/>
      </w:pPr>
      <w:r w:rsidRPr="001D7FA9">
        <w:rPr>
          <w:rStyle w:val="TextoNormalNegritaCaracter"/>
        </w:rPr>
        <w:t>Disposición transitoria primera, apartado 1.</w:t>
      </w:r>
      <w:r w:rsidRPr="001D7FA9">
        <w:rPr>
          <w:rStyle w:val="TextoNormalCaracter"/>
        </w:rPr>
        <w:t>-</w:t>
      </w:r>
      <w:r>
        <w:t xml:space="preserve"> Sentencia </w:t>
      </w:r>
      <w:hyperlink w:anchor="SENTENCIA_2025_42" w:history="1">
        <w:r w:rsidRPr="001D7FA9">
          <w:rPr>
            <w:rStyle w:val="TextoNormalCaracter"/>
          </w:rPr>
          <w:t>42/2025</w:t>
        </w:r>
      </w:hyperlink>
      <w:r>
        <w:t>, f. 4.</w:t>
      </w:r>
    </w:p>
    <w:p w14:paraId="506252ED" w14:textId="67143A11" w:rsidR="001D7FA9" w:rsidRDefault="001D7FA9" w:rsidP="001D7FA9">
      <w:pPr>
        <w:pStyle w:val="SangriaFrancesaArticulo"/>
      </w:pPr>
    </w:p>
    <w:p w14:paraId="3C048EFF" w14:textId="77777777" w:rsidR="001D7FA9" w:rsidRDefault="001D7FA9" w:rsidP="001D7FA9">
      <w:pPr>
        <w:pStyle w:val="TextoNormalNegritaCursivandice"/>
        <w:keepNext/>
      </w:pPr>
      <w:r>
        <w:t>Comunidad de Madrid. Ley 5/2018, de 17 de octubre, para la protección, reconocimiento y memoria de las víctimas del terrorismo</w:t>
      </w:r>
    </w:p>
    <w:p w14:paraId="463A5E95" w14:textId="409935F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9" w:history="1">
        <w:r w:rsidRPr="001D7FA9">
          <w:rPr>
            <w:rStyle w:val="TextoNormalCaracter"/>
          </w:rPr>
          <w:t>59/2025</w:t>
        </w:r>
      </w:hyperlink>
      <w:r>
        <w:t>, f. 4.</w:t>
      </w:r>
    </w:p>
    <w:p w14:paraId="6C285D7B" w14:textId="6D781802" w:rsidR="001D7FA9" w:rsidRDefault="001D7FA9" w:rsidP="001D7FA9">
      <w:pPr>
        <w:pStyle w:val="SangriaFrancesaArticulo"/>
      </w:pPr>
      <w:r w:rsidRPr="001D7FA9">
        <w:rPr>
          <w:rStyle w:val="TextoNormalNegritaCaracter"/>
        </w:rPr>
        <w:t>Preámbulo.</w:t>
      </w:r>
      <w:r w:rsidRPr="001D7FA9">
        <w:rPr>
          <w:rStyle w:val="TextoNormalCaracter"/>
        </w:rPr>
        <w:t>-</w:t>
      </w:r>
      <w:r>
        <w:t xml:space="preserve"> Auto </w:t>
      </w:r>
      <w:hyperlink w:anchor="AUTO_2025_59" w:history="1">
        <w:r w:rsidRPr="001D7FA9">
          <w:rPr>
            <w:rStyle w:val="TextoNormalCaracter"/>
          </w:rPr>
          <w:t>59/2025</w:t>
        </w:r>
      </w:hyperlink>
      <w:r>
        <w:t>, f. 4.</w:t>
      </w:r>
    </w:p>
    <w:p w14:paraId="05E337D7" w14:textId="7B72AC75" w:rsidR="001D7FA9" w:rsidRDefault="001D7FA9" w:rsidP="001D7FA9">
      <w:pPr>
        <w:pStyle w:val="SangriaFrancesaArticulo"/>
      </w:pPr>
      <w:r w:rsidRPr="001D7FA9">
        <w:rPr>
          <w:rStyle w:val="TextoNormalNegritaCaracter"/>
        </w:rPr>
        <w:t>Preámbulo, apartado 3.</w:t>
      </w:r>
      <w:r w:rsidRPr="001D7FA9">
        <w:rPr>
          <w:rStyle w:val="TextoNormalCaracter"/>
        </w:rPr>
        <w:t>-</w:t>
      </w:r>
      <w:r>
        <w:t xml:space="preserve"> Auto </w:t>
      </w:r>
      <w:hyperlink w:anchor="AUTO_2025_59" w:history="1">
        <w:r w:rsidRPr="001D7FA9">
          <w:rPr>
            <w:rStyle w:val="TextoNormalCaracter"/>
          </w:rPr>
          <w:t>59/2025</w:t>
        </w:r>
      </w:hyperlink>
      <w:r>
        <w:t>, f. 4.</w:t>
      </w:r>
    </w:p>
    <w:p w14:paraId="23FC62E8" w14:textId="16600299"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Auto </w:t>
      </w:r>
      <w:hyperlink w:anchor="AUTO_2025_59" w:history="1">
        <w:r w:rsidRPr="001D7FA9">
          <w:rPr>
            <w:rStyle w:val="TextoNormalCaracter"/>
          </w:rPr>
          <w:t>59/2025</w:t>
        </w:r>
      </w:hyperlink>
      <w:r>
        <w:t>, ff. 1, 4.</w:t>
      </w:r>
    </w:p>
    <w:p w14:paraId="7BB24D49" w14:textId="40DEE447"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Auto </w:t>
      </w:r>
      <w:hyperlink w:anchor="AUTO_2025_59" w:history="1">
        <w:r w:rsidRPr="001D7FA9">
          <w:rPr>
            <w:rStyle w:val="TextoNormalCaracter"/>
          </w:rPr>
          <w:t>59/2025</w:t>
        </w:r>
      </w:hyperlink>
      <w:r>
        <w:t>, ff. 1, 4.</w:t>
      </w:r>
    </w:p>
    <w:p w14:paraId="241F9D55" w14:textId="2600C6BB"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Auto </w:t>
      </w:r>
      <w:hyperlink w:anchor="AUTO_2025_59" w:history="1">
        <w:r w:rsidRPr="001D7FA9">
          <w:rPr>
            <w:rStyle w:val="TextoNormalCaracter"/>
          </w:rPr>
          <w:t>59/2025</w:t>
        </w:r>
      </w:hyperlink>
      <w:r>
        <w:t>, f. 1.</w:t>
      </w:r>
    </w:p>
    <w:p w14:paraId="61832DF5" w14:textId="63ACDA26" w:rsidR="001D7FA9" w:rsidRDefault="001D7FA9" w:rsidP="001D7FA9">
      <w:pPr>
        <w:pStyle w:val="SangriaFrancesaArticulo"/>
      </w:pPr>
      <w:r w:rsidRPr="001D7FA9">
        <w:rPr>
          <w:rStyle w:val="TextoNormalNegritaCaracter"/>
        </w:rPr>
        <w:t>Artículo 2.2 a).</w:t>
      </w:r>
      <w:r w:rsidRPr="001D7FA9">
        <w:rPr>
          <w:rStyle w:val="TextoNormalCaracter"/>
        </w:rPr>
        <w:t>-</w:t>
      </w:r>
      <w:r>
        <w:t xml:space="preserve"> Auto </w:t>
      </w:r>
      <w:hyperlink w:anchor="AUTO_2025_59" w:history="1">
        <w:r w:rsidRPr="001D7FA9">
          <w:rPr>
            <w:rStyle w:val="TextoNormalCaracter"/>
          </w:rPr>
          <w:t>59/2025</w:t>
        </w:r>
      </w:hyperlink>
      <w:r>
        <w:t>, ff. 1, 4.</w:t>
      </w:r>
    </w:p>
    <w:p w14:paraId="1FC1C2D9" w14:textId="725D70B8" w:rsidR="001D7FA9" w:rsidRDefault="001D7FA9" w:rsidP="001D7FA9">
      <w:pPr>
        <w:pStyle w:val="SangriaFrancesaArticulo"/>
      </w:pPr>
      <w:r w:rsidRPr="001D7FA9">
        <w:rPr>
          <w:rStyle w:val="TextoNormalNegritaCaracter"/>
        </w:rPr>
        <w:t>Artículo 2.2 b).</w:t>
      </w:r>
      <w:r w:rsidRPr="001D7FA9">
        <w:rPr>
          <w:rStyle w:val="TextoNormalCaracter"/>
        </w:rPr>
        <w:t>-</w:t>
      </w:r>
      <w:r>
        <w:t xml:space="preserve"> Auto </w:t>
      </w:r>
      <w:hyperlink w:anchor="AUTO_2025_59" w:history="1">
        <w:r w:rsidRPr="001D7FA9">
          <w:rPr>
            <w:rStyle w:val="TextoNormalCaracter"/>
          </w:rPr>
          <w:t>59/2025</w:t>
        </w:r>
      </w:hyperlink>
      <w:r>
        <w:t>, ff. 1, 4.</w:t>
      </w:r>
    </w:p>
    <w:p w14:paraId="5A937BD9" w14:textId="55E49D59" w:rsidR="001D7FA9" w:rsidRDefault="001D7FA9" w:rsidP="001D7FA9">
      <w:pPr>
        <w:pStyle w:val="SangriaFrancesaArticulo"/>
      </w:pPr>
      <w:r w:rsidRPr="001D7FA9">
        <w:rPr>
          <w:rStyle w:val="TextoNormalNegritaCaracter"/>
        </w:rPr>
        <w:t>Artículo 2.2 b)</w:t>
      </w:r>
      <w:r>
        <w:t xml:space="preserve"> (redactado por la Ley de la Asamblea de Madrid 9/2022, de 16 de noviembre)</w:t>
      </w:r>
      <w:r w:rsidRPr="001D7FA9">
        <w:rPr>
          <w:rStyle w:val="TextoNormalNegritaCaracter"/>
        </w:rPr>
        <w:t>.</w:t>
      </w:r>
      <w:r w:rsidRPr="001D7FA9">
        <w:rPr>
          <w:rStyle w:val="TextoNormalCaracter"/>
        </w:rPr>
        <w:t>-</w:t>
      </w:r>
      <w:r>
        <w:t xml:space="preserve"> Auto </w:t>
      </w:r>
      <w:hyperlink w:anchor="AUTO_2025_59" w:history="1">
        <w:r w:rsidRPr="001D7FA9">
          <w:rPr>
            <w:rStyle w:val="TextoNormalCaracter"/>
          </w:rPr>
          <w:t>59/2025</w:t>
        </w:r>
      </w:hyperlink>
      <w:r>
        <w:t>, f. 1.</w:t>
      </w:r>
    </w:p>
    <w:p w14:paraId="39EC051E" w14:textId="2201B538" w:rsidR="001D7FA9" w:rsidRDefault="001D7FA9" w:rsidP="001D7FA9">
      <w:pPr>
        <w:pStyle w:val="SangriaFrancesaArticulo"/>
      </w:pPr>
      <w:r w:rsidRPr="001D7FA9">
        <w:rPr>
          <w:rStyle w:val="TextoNormalNegritaCaracter"/>
        </w:rPr>
        <w:t xml:space="preserve">Artículo 2.2 b) </w:t>
      </w:r>
      <w:r w:rsidRPr="001D7FA9">
        <w:rPr>
          <w:rStyle w:val="TextoNormalNegritaCursivaCaracter"/>
        </w:rPr>
        <w:t>in fine</w:t>
      </w:r>
      <w:r w:rsidRPr="001D7FA9">
        <w:rPr>
          <w:rStyle w:val="TextoNormalCaracter"/>
        </w:rPr>
        <w:t xml:space="preserve"> "Así mismo, deberán haber permanecido empadronadas en un municipio de la región durante al menos los dos años inmediatanemte anteriores a la entrada en vigor de esta ley o, en su defecto durante un tiempo equivalente a las dos terceras partes del periodo transcurrido desde la perpetración del acto terrorista hasta la entrada en vigor de esta ley"</w:t>
      </w:r>
      <w:r w:rsidRPr="001D7FA9">
        <w:rPr>
          <w:rStyle w:val="TextoNormalNegritaCaracter"/>
        </w:rPr>
        <w:t>.</w:t>
      </w:r>
      <w:r w:rsidRPr="001D7FA9">
        <w:rPr>
          <w:rStyle w:val="TextoNormalCaracter"/>
        </w:rPr>
        <w:t>-</w:t>
      </w:r>
      <w:r>
        <w:t xml:space="preserve"> Auto </w:t>
      </w:r>
      <w:hyperlink w:anchor="AUTO_2025_59" w:history="1">
        <w:r w:rsidRPr="001D7FA9">
          <w:rPr>
            <w:rStyle w:val="TextoNormalCaracter"/>
          </w:rPr>
          <w:t>59/2025</w:t>
        </w:r>
      </w:hyperlink>
      <w:r>
        <w:t>, ff. 2, 4.</w:t>
      </w:r>
    </w:p>
    <w:p w14:paraId="598FB6B5" w14:textId="6DF50DF4" w:rsidR="001D7FA9" w:rsidRDefault="001D7FA9" w:rsidP="001D7FA9">
      <w:pPr>
        <w:pStyle w:val="SangriaFrancesaArticulo"/>
      </w:pPr>
      <w:r w:rsidRPr="001D7FA9">
        <w:rPr>
          <w:rStyle w:val="TextoNormalNegritaCaracter"/>
        </w:rPr>
        <w:t>Artículo 2.2 c).</w:t>
      </w:r>
      <w:r w:rsidRPr="001D7FA9">
        <w:rPr>
          <w:rStyle w:val="TextoNormalCaracter"/>
        </w:rPr>
        <w:t>-</w:t>
      </w:r>
      <w:r>
        <w:t xml:space="preserve"> Auto </w:t>
      </w:r>
      <w:hyperlink w:anchor="AUTO_2025_59" w:history="1">
        <w:r w:rsidRPr="001D7FA9">
          <w:rPr>
            <w:rStyle w:val="TextoNormalCaracter"/>
          </w:rPr>
          <w:t>59/2025</w:t>
        </w:r>
      </w:hyperlink>
      <w:r>
        <w:t>, f. 1.</w:t>
      </w:r>
    </w:p>
    <w:p w14:paraId="11015586" w14:textId="35F35151" w:rsidR="001D7FA9" w:rsidRDefault="001D7FA9" w:rsidP="001D7FA9">
      <w:pPr>
        <w:pStyle w:val="SangriaFrancesaArticulo"/>
      </w:pPr>
      <w:r w:rsidRPr="001D7FA9">
        <w:rPr>
          <w:rStyle w:val="TextoNormalNegritaCaracter"/>
        </w:rPr>
        <w:t>Artículo 4.1.</w:t>
      </w:r>
      <w:r w:rsidRPr="001D7FA9">
        <w:rPr>
          <w:rStyle w:val="TextoNormalCaracter"/>
        </w:rPr>
        <w:t>-</w:t>
      </w:r>
      <w:r>
        <w:t xml:space="preserve"> Auto </w:t>
      </w:r>
      <w:hyperlink w:anchor="AUTO_2025_59" w:history="1">
        <w:r w:rsidRPr="001D7FA9">
          <w:rPr>
            <w:rStyle w:val="TextoNormalCaracter"/>
          </w:rPr>
          <w:t>59/2025</w:t>
        </w:r>
      </w:hyperlink>
      <w:r>
        <w:t>, f. 4.</w:t>
      </w:r>
    </w:p>
    <w:p w14:paraId="509806DD" w14:textId="2690FB73"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Auto </w:t>
      </w:r>
      <w:hyperlink w:anchor="AUTO_2025_59" w:history="1">
        <w:r w:rsidRPr="001D7FA9">
          <w:rPr>
            <w:rStyle w:val="TextoNormalCaracter"/>
          </w:rPr>
          <w:t>59/2025</w:t>
        </w:r>
      </w:hyperlink>
      <w:r>
        <w:t>, f. 4.</w:t>
      </w:r>
    </w:p>
    <w:p w14:paraId="10B4B013" w14:textId="622135AD" w:rsidR="001D7FA9" w:rsidRDefault="001D7FA9" w:rsidP="001D7FA9">
      <w:pPr>
        <w:pStyle w:val="SangriaFrancesaArticulo"/>
      </w:pPr>
      <w:r w:rsidRPr="001D7FA9">
        <w:rPr>
          <w:rStyle w:val="TextoNormalNegritaCaracter"/>
        </w:rPr>
        <w:t>Artículos 5, 6.</w:t>
      </w:r>
      <w:r w:rsidRPr="001D7FA9">
        <w:rPr>
          <w:rStyle w:val="TextoNormalCaracter"/>
        </w:rPr>
        <w:t>-</w:t>
      </w:r>
      <w:r>
        <w:t xml:space="preserve"> Auto </w:t>
      </w:r>
      <w:hyperlink w:anchor="AUTO_2025_59" w:history="1">
        <w:r w:rsidRPr="001D7FA9">
          <w:rPr>
            <w:rStyle w:val="TextoNormalCaracter"/>
          </w:rPr>
          <w:t>59/2025</w:t>
        </w:r>
      </w:hyperlink>
      <w:r>
        <w:t>, f. 4.</w:t>
      </w:r>
    </w:p>
    <w:p w14:paraId="439C01A7" w14:textId="544C62DC" w:rsidR="001D7FA9" w:rsidRDefault="001D7FA9" w:rsidP="001D7FA9">
      <w:pPr>
        <w:pStyle w:val="SangriaFrancesaArticulo"/>
      </w:pPr>
      <w:r w:rsidRPr="001D7FA9">
        <w:rPr>
          <w:rStyle w:val="TextoNormalNegritaCaracter"/>
        </w:rPr>
        <w:t>Artículos 7 a 15.</w:t>
      </w:r>
      <w:r w:rsidRPr="001D7FA9">
        <w:rPr>
          <w:rStyle w:val="TextoNormalCaracter"/>
        </w:rPr>
        <w:t>-</w:t>
      </w:r>
      <w:r>
        <w:t xml:space="preserve"> Auto </w:t>
      </w:r>
      <w:hyperlink w:anchor="AUTO_2025_59" w:history="1">
        <w:r w:rsidRPr="001D7FA9">
          <w:rPr>
            <w:rStyle w:val="TextoNormalCaracter"/>
          </w:rPr>
          <w:t>59/2025</w:t>
        </w:r>
      </w:hyperlink>
      <w:r>
        <w:t>, f. 4.</w:t>
      </w:r>
    </w:p>
    <w:p w14:paraId="39DCA8D3" w14:textId="16B51F41" w:rsidR="001D7FA9" w:rsidRDefault="001D7FA9" w:rsidP="001D7FA9">
      <w:pPr>
        <w:pStyle w:val="SangriaFrancesaArticulo"/>
      </w:pPr>
      <w:r w:rsidRPr="001D7FA9">
        <w:rPr>
          <w:rStyle w:val="TextoNormalNegritaCaracter"/>
        </w:rPr>
        <w:t>Artículos 16, 17.</w:t>
      </w:r>
      <w:r w:rsidRPr="001D7FA9">
        <w:rPr>
          <w:rStyle w:val="TextoNormalCaracter"/>
        </w:rPr>
        <w:t>-</w:t>
      </w:r>
      <w:r>
        <w:t xml:space="preserve"> Auto </w:t>
      </w:r>
      <w:hyperlink w:anchor="AUTO_2025_59" w:history="1">
        <w:r w:rsidRPr="001D7FA9">
          <w:rPr>
            <w:rStyle w:val="TextoNormalCaracter"/>
          </w:rPr>
          <w:t>59/2025</w:t>
        </w:r>
      </w:hyperlink>
      <w:r>
        <w:t>, f. 4.</w:t>
      </w:r>
    </w:p>
    <w:p w14:paraId="28B08AC8" w14:textId="5CC2D2F1" w:rsidR="001D7FA9" w:rsidRDefault="001D7FA9" w:rsidP="001D7FA9">
      <w:pPr>
        <w:pStyle w:val="SangriaFrancesaArticulo"/>
      </w:pPr>
      <w:r w:rsidRPr="001D7FA9">
        <w:rPr>
          <w:rStyle w:val="TextoNormalNegritaCaracter"/>
        </w:rPr>
        <w:t>Artículo 18.</w:t>
      </w:r>
      <w:r w:rsidRPr="001D7FA9">
        <w:rPr>
          <w:rStyle w:val="TextoNormalCaracter"/>
        </w:rPr>
        <w:t>-</w:t>
      </w:r>
      <w:r>
        <w:t xml:space="preserve"> Auto </w:t>
      </w:r>
      <w:hyperlink w:anchor="AUTO_2025_59" w:history="1">
        <w:r w:rsidRPr="001D7FA9">
          <w:rPr>
            <w:rStyle w:val="TextoNormalCaracter"/>
          </w:rPr>
          <w:t>59/2025</w:t>
        </w:r>
      </w:hyperlink>
      <w:r>
        <w:t>, f. 4.</w:t>
      </w:r>
    </w:p>
    <w:p w14:paraId="1D792298" w14:textId="7F838A86" w:rsidR="001D7FA9" w:rsidRDefault="001D7FA9" w:rsidP="001D7FA9">
      <w:pPr>
        <w:pStyle w:val="SangriaFrancesaArticulo"/>
      </w:pPr>
      <w:r w:rsidRPr="001D7FA9">
        <w:rPr>
          <w:rStyle w:val="TextoNormalNegritaCaracter"/>
        </w:rPr>
        <w:t>Artículos 19 a 21.</w:t>
      </w:r>
      <w:r w:rsidRPr="001D7FA9">
        <w:rPr>
          <w:rStyle w:val="TextoNormalCaracter"/>
        </w:rPr>
        <w:t>-</w:t>
      </w:r>
      <w:r>
        <w:t xml:space="preserve"> Auto </w:t>
      </w:r>
      <w:hyperlink w:anchor="AUTO_2025_59" w:history="1">
        <w:r w:rsidRPr="001D7FA9">
          <w:rPr>
            <w:rStyle w:val="TextoNormalCaracter"/>
          </w:rPr>
          <w:t>59/2025</w:t>
        </w:r>
      </w:hyperlink>
      <w:r>
        <w:t>, f. 4.</w:t>
      </w:r>
    </w:p>
    <w:p w14:paraId="7D294CF8" w14:textId="624060F9"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Auto </w:t>
      </w:r>
      <w:hyperlink w:anchor="AUTO_2025_59" w:history="1">
        <w:r w:rsidRPr="001D7FA9">
          <w:rPr>
            <w:rStyle w:val="TextoNormalCaracter"/>
          </w:rPr>
          <w:t>59/2025</w:t>
        </w:r>
      </w:hyperlink>
      <w:r>
        <w:t>, f. 4.</w:t>
      </w:r>
    </w:p>
    <w:p w14:paraId="4C33F130" w14:textId="735D40F1" w:rsidR="001D7FA9" w:rsidRDefault="001D7FA9" w:rsidP="001D7FA9">
      <w:pPr>
        <w:pStyle w:val="SangriaFrancesaArticulo"/>
      </w:pPr>
      <w:r w:rsidRPr="001D7FA9">
        <w:rPr>
          <w:rStyle w:val="TextoNormalNegritaCaracter"/>
        </w:rPr>
        <w:t>Artículo 23.</w:t>
      </w:r>
      <w:r w:rsidRPr="001D7FA9">
        <w:rPr>
          <w:rStyle w:val="TextoNormalCaracter"/>
        </w:rPr>
        <w:t>-</w:t>
      </w:r>
      <w:r>
        <w:t xml:space="preserve"> Auto </w:t>
      </w:r>
      <w:hyperlink w:anchor="AUTO_2025_59" w:history="1">
        <w:r w:rsidRPr="001D7FA9">
          <w:rPr>
            <w:rStyle w:val="TextoNormalCaracter"/>
          </w:rPr>
          <w:t>59/2025</w:t>
        </w:r>
      </w:hyperlink>
      <w:r>
        <w:t>, f. 4.</w:t>
      </w:r>
    </w:p>
    <w:p w14:paraId="37D57FE7" w14:textId="6B59C6C6" w:rsidR="001D7FA9" w:rsidRDefault="001D7FA9" w:rsidP="001D7FA9">
      <w:pPr>
        <w:pStyle w:val="SangriaFrancesaArticulo"/>
      </w:pPr>
      <w:r w:rsidRPr="001D7FA9">
        <w:rPr>
          <w:rStyle w:val="TextoNormalNegritaCaracter"/>
        </w:rPr>
        <w:t>Artículo 24 a 25 bis.</w:t>
      </w:r>
      <w:r w:rsidRPr="001D7FA9">
        <w:rPr>
          <w:rStyle w:val="TextoNormalCaracter"/>
        </w:rPr>
        <w:t>-</w:t>
      </w:r>
      <w:r>
        <w:t xml:space="preserve"> Auto </w:t>
      </w:r>
      <w:hyperlink w:anchor="AUTO_2025_59" w:history="1">
        <w:r w:rsidRPr="001D7FA9">
          <w:rPr>
            <w:rStyle w:val="TextoNormalCaracter"/>
          </w:rPr>
          <w:t>59/2025</w:t>
        </w:r>
      </w:hyperlink>
      <w:r>
        <w:t>, f. 4.</w:t>
      </w:r>
    </w:p>
    <w:p w14:paraId="4C1448CF" w14:textId="7DF590E4"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Auto </w:t>
      </w:r>
      <w:hyperlink w:anchor="AUTO_2025_59" w:history="1">
        <w:r w:rsidRPr="001D7FA9">
          <w:rPr>
            <w:rStyle w:val="TextoNormalCaracter"/>
          </w:rPr>
          <w:t>59/2025</w:t>
        </w:r>
      </w:hyperlink>
      <w:r>
        <w:t>, f. 2.</w:t>
      </w:r>
    </w:p>
    <w:p w14:paraId="16D0DE0A" w14:textId="65E2E266" w:rsidR="001D7FA9" w:rsidRDefault="001D7FA9" w:rsidP="001D7FA9">
      <w:pPr>
        <w:pStyle w:val="SangriaFrancesaArticulo"/>
      </w:pPr>
    </w:p>
    <w:p w14:paraId="6085AD03" w14:textId="77777777" w:rsidR="001D7FA9" w:rsidRDefault="001D7FA9" w:rsidP="001D7FA9">
      <w:pPr>
        <w:pStyle w:val="TextoNormalNegritaCursivandice"/>
        <w:keepNext/>
      </w:pPr>
      <w:r>
        <w:t>Comunidad de Madrid. Ley 2/2019, de 6 de marzo, de modificación de la Ley 5/2018, de 17 de octubre, para la protección, reconocimiento y memoria de las víctimas del terrorismo</w:t>
      </w:r>
    </w:p>
    <w:p w14:paraId="78D416F5" w14:textId="63C6C27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9" w:history="1">
        <w:r w:rsidRPr="001D7FA9">
          <w:rPr>
            <w:rStyle w:val="TextoNormalCaracter"/>
          </w:rPr>
          <w:t>59/2025</w:t>
        </w:r>
      </w:hyperlink>
      <w:r>
        <w:t>, f. 4.</w:t>
      </w:r>
    </w:p>
    <w:p w14:paraId="763CDEA5" w14:textId="18365E80" w:rsidR="001D7FA9" w:rsidRDefault="001D7FA9" w:rsidP="001D7FA9">
      <w:pPr>
        <w:pStyle w:val="SangriaFrancesaArticulo"/>
      </w:pPr>
    </w:p>
    <w:p w14:paraId="37D6DD82" w14:textId="77777777" w:rsidR="001D7FA9" w:rsidRDefault="001D7FA9" w:rsidP="001D7FA9">
      <w:pPr>
        <w:pStyle w:val="TextoNormalNegritaCursivandice"/>
        <w:keepNext/>
      </w:pPr>
      <w:r>
        <w:t>Comunidad de Madrid. Ley 9/2022, de 16 de noviembre, de reforma de la Ley 5/2018, de 17 de octubre, para la protección, reconocimiento y memoria de las víctimas del terrorismo</w:t>
      </w:r>
    </w:p>
    <w:p w14:paraId="696D7D90" w14:textId="1CA1EEA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59" w:history="1">
        <w:r w:rsidRPr="001D7FA9">
          <w:rPr>
            <w:rStyle w:val="TextoNormalCaracter"/>
          </w:rPr>
          <w:t>59/2025</w:t>
        </w:r>
      </w:hyperlink>
      <w:r>
        <w:t>, ff. 1, 4.</w:t>
      </w:r>
    </w:p>
    <w:p w14:paraId="591769E3" w14:textId="50E0E2A0" w:rsidR="001D7FA9" w:rsidRDefault="001D7FA9" w:rsidP="001D7FA9">
      <w:pPr>
        <w:pStyle w:val="SangriaFrancesaArticulo"/>
      </w:pPr>
      <w:r w:rsidRPr="001D7FA9">
        <w:rPr>
          <w:rStyle w:val="TextoNormalNegritaCaracter"/>
        </w:rPr>
        <w:t>Disposición final.</w:t>
      </w:r>
      <w:r w:rsidRPr="001D7FA9">
        <w:rPr>
          <w:rStyle w:val="TextoNormalCaracter"/>
        </w:rPr>
        <w:t>-</w:t>
      </w:r>
      <w:r>
        <w:t xml:space="preserve"> Auto </w:t>
      </w:r>
      <w:hyperlink w:anchor="AUTO_2025_59" w:history="1">
        <w:r w:rsidRPr="001D7FA9">
          <w:rPr>
            <w:rStyle w:val="TextoNormalCaracter"/>
          </w:rPr>
          <w:t>59/2025</w:t>
        </w:r>
      </w:hyperlink>
      <w:r>
        <w:t>, f. 2.</w:t>
      </w:r>
    </w:p>
    <w:p w14:paraId="1C7BB70D" w14:textId="512A2698" w:rsidR="001D7FA9" w:rsidRDefault="001D7FA9" w:rsidP="001D7FA9">
      <w:pPr>
        <w:pStyle w:val="SangriaFrancesaArticulo"/>
      </w:pPr>
    </w:p>
    <w:p w14:paraId="42089192" w14:textId="77777777" w:rsidR="001D7FA9" w:rsidRDefault="001D7FA9" w:rsidP="001D7FA9">
      <w:pPr>
        <w:pStyle w:val="TextoNormalNegritaCursivandice"/>
        <w:keepNext/>
      </w:pPr>
      <w:r>
        <w:t>Comunidad de Madrid. Ley 18/2023, de 27 de diciembre, por la que se modifica la Ley 3/2016, de 22 de julio, de protección integral contra la LGTBIfobia y la discriminación por razón de orientación e identidad sexual en la Comunidad de Madrid</w:t>
      </w:r>
    </w:p>
    <w:p w14:paraId="48200712" w14:textId="1F6C5B2B"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96" w:history="1">
        <w:r w:rsidRPr="001D7FA9">
          <w:rPr>
            <w:rStyle w:val="TextoNormalCaracter"/>
          </w:rPr>
          <w:t>96/2025</w:t>
        </w:r>
      </w:hyperlink>
      <w:r>
        <w:t>, f. 2.</w:t>
      </w:r>
    </w:p>
    <w:p w14:paraId="3FB1CF7B" w14:textId="1C045217" w:rsidR="001D7FA9" w:rsidRDefault="001D7FA9" w:rsidP="001D7FA9">
      <w:pPr>
        <w:pStyle w:val="SangriaFrancesaArticulo"/>
      </w:pPr>
      <w:r w:rsidRPr="001D7FA9">
        <w:rPr>
          <w:rStyle w:val="TextoNormalNegritaCaracter"/>
        </w:rPr>
        <w:t>Artículo único apartado 14 ter.</w:t>
      </w:r>
      <w:r w:rsidRPr="001D7FA9">
        <w:rPr>
          <w:rStyle w:val="TextoNormalCaracter"/>
        </w:rPr>
        <w:t>-</w:t>
      </w:r>
      <w:r>
        <w:t xml:space="preserve"> Sentencia </w:t>
      </w:r>
      <w:hyperlink w:anchor="SENTENCIA_2025_96" w:history="1">
        <w:r w:rsidRPr="001D7FA9">
          <w:rPr>
            <w:rStyle w:val="TextoNormalCaracter"/>
          </w:rPr>
          <w:t>96/2025</w:t>
        </w:r>
      </w:hyperlink>
      <w:r>
        <w:t>, f. 1.</w:t>
      </w:r>
    </w:p>
    <w:p w14:paraId="5D9C5D03" w14:textId="52A93061" w:rsidR="001D7FA9" w:rsidRDefault="001D7FA9" w:rsidP="001D7FA9">
      <w:pPr>
        <w:pStyle w:val="TextoNormal"/>
      </w:pPr>
    </w:p>
    <w:p w14:paraId="411C1317" w14:textId="77777777" w:rsidR="001D7FA9" w:rsidRDefault="001D7FA9" w:rsidP="001D7FA9">
      <w:pPr>
        <w:pStyle w:val="TextoNormalNegritaCentrado"/>
        <w:suppressAutoHyphens/>
      </w:pPr>
      <w:r w:rsidRPr="001D7FA9">
        <w:rPr>
          <w:rStyle w:val="TextoNormalNegritaCentradoSombreado"/>
        </w:rPr>
        <w:t>J.12) Murcia</w:t>
      </w:r>
    </w:p>
    <w:p w14:paraId="64492824" w14:textId="6595DBBF" w:rsidR="001D7FA9" w:rsidRDefault="001D7FA9" w:rsidP="001D7FA9">
      <w:pPr>
        <w:pStyle w:val="TextoNormal"/>
      </w:pPr>
    </w:p>
    <w:p w14:paraId="09BA6CB7" w14:textId="77777777" w:rsidR="001D7FA9" w:rsidRDefault="001D7FA9" w:rsidP="001D7FA9">
      <w:pPr>
        <w:pStyle w:val="TextoNormalNegritaCentradoSubrayado"/>
        <w:suppressAutoHyphens/>
      </w:pPr>
      <w:r>
        <w:t>J.12.a) Estatuto de Autonomía</w:t>
      </w:r>
    </w:p>
    <w:p w14:paraId="64E6184B" w14:textId="6A3EE3EA" w:rsidR="001D7FA9" w:rsidRDefault="001D7FA9" w:rsidP="001D7FA9">
      <w:pPr>
        <w:pStyle w:val="TextoNormalNegritaCentradoSubrayado"/>
      </w:pPr>
    </w:p>
    <w:p w14:paraId="0704BCD6" w14:textId="77777777" w:rsidR="001D7FA9" w:rsidRDefault="001D7FA9" w:rsidP="001D7FA9">
      <w:pPr>
        <w:pStyle w:val="TextoNormalNegritaCursivandice"/>
        <w:keepNext/>
      </w:pPr>
      <w:r>
        <w:t>Ley Orgánica 4/1982, de 9 de junio, de Estatuto de Autonomía de la Región de Murcia</w:t>
      </w:r>
    </w:p>
    <w:p w14:paraId="30E3D1BB" w14:textId="5DFD2C74" w:rsidR="001D7FA9" w:rsidRDefault="001D7FA9" w:rsidP="001D7FA9">
      <w:pPr>
        <w:pStyle w:val="SangriaFrancesaArticulo"/>
      </w:pPr>
      <w:r w:rsidRPr="001D7FA9">
        <w:rPr>
          <w:rStyle w:val="TextoNormalNegritaCaracter"/>
        </w:rPr>
        <w:t>Artículo 10.21.</w:t>
      </w:r>
      <w:r w:rsidRPr="001D7FA9">
        <w:rPr>
          <w:rStyle w:val="TextoNormalCaracter"/>
        </w:rPr>
        <w:t>-</w:t>
      </w:r>
      <w:r>
        <w:t xml:space="preserve"> Sentencia </w:t>
      </w:r>
      <w:hyperlink w:anchor="SENTENCIA_2025_42" w:history="1">
        <w:r w:rsidRPr="001D7FA9">
          <w:rPr>
            <w:rStyle w:val="TextoNormalCaracter"/>
          </w:rPr>
          <w:t>42/2025</w:t>
        </w:r>
      </w:hyperlink>
      <w:r>
        <w:t>, f. 4.</w:t>
      </w:r>
    </w:p>
    <w:p w14:paraId="41AD9330" w14:textId="4ADFFA93" w:rsidR="001D7FA9" w:rsidRDefault="001D7FA9" w:rsidP="001D7FA9">
      <w:pPr>
        <w:pStyle w:val="SangriaFrancesaArticulo"/>
      </w:pPr>
      <w:r w:rsidRPr="001D7FA9">
        <w:rPr>
          <w:rStyle w:val="TextoNormalNegritaCaracter"/>
        </w:rPr>
        <w:t>Artículo 55.2.</w:t>
      </w:r>
      <w:r w:rsidRPr="001D7FA9">
        <w:rPr>
          <w:rStyle w:val="TextoNormalCaracter"/>
        </w:rPr>
        <w:t>-</w:t>
      </w:r>
      <w:r>
        <w:t xml:space="preserve"> Sentencia </w:t>
      </w:r>
      <w:hyperlink w:anchor="SENTENCIA_2025_42" w:history="1">
        <w:r w:rsidRPr="001D7FA9">
          <w:rPr>
            <w:rStyle w:val="TextoNormalCaracter"/>
          </w:rPr>
          <w:t>42/2025</w:t>
        </w:r>
      </w:hyperlink>
      <w:r>
        <w:t>, f. 4.</w:t>
      </w:r>
    </w:p>
    <w:p w14:paraId="7ABD8F28" w14:textId="5529DA6E" w:rsidR="001D7FA9" w:rsidRDefault="001D7FA9" w:rsidP="001D7FA9">
      <w:pPr>
        <w:pStyle w:val="TextoNormal"/>
      </w:pPr>
    </w:p>
    <w:p w14:paraId="0142ADB3" w14:textId="77777777" w:rsidR="001D7FA9" w:rsidRDefault="001D7FA9" w:rsidP="001D7FA9">
      <w:pPr>
        <w:pStyle w:val="TextoNormalNegritaCentradoSubrayado"/>
        <w:suppressAutoHyphens/>
      </w:pPr>
      <w:r>
        <w:t>J.12.b) Leyes y disposiciones con fuerza de Ley</w:t>
      </w:r>
    </w:p>
    <w:p w14:paraId="3F94B582" w14:textId="47040BBA" w:rsidR="001D7FA9" w:rsidRDefault="001D7FA9" w:rsidP="001D7FA9">
      <w:pPr>
        <w:pStyle w:val="TextoNormalNegritaCentradoSubrayado"/>
      </w:pPr>
    </w:p>
    <w:p w14:paraId="370A43A4" w14:textId="77777777" w:rsidR="001D7FA9" w:rsidRDefault="001D7FA9" w:rsidP="001D7FA9">
      <w:pPr>
        <w:pStyle w:val="TextoNormalNegritaCursivandice"/>
        <w:keepNext/>
      </w:pPr>
      <w:r>
        <w:t>Comunidad Autónoma de Murcia. Ley 4/1998, de 22 de julio, de coordinación de las policías locales de la Comunidad Autónoma de la Región de Murcia</w:t>
      </w:r>
    </w:p>
    <w:p w14:paraId="0523E730" w14:textId="29B379B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2" w:history="1">
        <w:r w:rsidRPr="001D7FA9">
          <w:rPr>
            <w:rStyle w:val="TextoNormalCaracter"/>
          </w:rPr>
          <w:t>42/2025</w:t>
        </w:r>
      </w:hyperlink>
      <w:r>
        <w:t>, f. 3.</w:t>
      </w:r>
    </w:p>
    <w:p w14:paraId="49BA38F6" w14:textId="082817C0" w:rsidR="001D7FA9" w:rsidRDefault="001D7FA9" w:rsidP="001D7FA9">
      <w:pPr>
        <w:pStyle w:val="SangriaFrancesaArticulo"/>
      </w:pPr>
    </w:p>
    <w:p w14:paraId="05DBB7A7" w14:textId="77777777" w:rsidR="001D7FA9" w:rsidRDefault="001D7FA9" w:rsidP="001D7FA9">
      <w:pPr>
        <w:pStyle w:val="TextoNormalNegritaCursivandice"/>
        <w:keepNext/>
      </w:pPr>
      <w:r>
        <w:t>Comunidad Autónoma de Murcia. Ley 6/2019, de 4 de abril, de coordinación de las policías locales de la Comunidad Autónoma de la Región de Murcia</w:t>
      </w:r>
    </w:p>
    <w:p w14:paraId="4FB83A3A" w14:textId="2777179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2" w:history="1">
        <w:r w:rsidRPr="001D7FA9">
          <w:rPr>
            <w:rStyle w:val="TextoNormalCaracter"/>
          </w:rPr>
          <w:t>42/2025</w:t>
        </w:r>
      </w:hyperlink>
      <w:r>
        <w:t>, f. 3.</w:t>
      </w:r>
    </w:p>
    <w:p w14:paraId="031E37CA" w14:textId="4BE8FBE8"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 </w:t>
      </w:r>
      <w:hyperlink w:anchor="SENTENCIA_2025_42" w:history="1">
        <w:r w:rsidRPr="001D7FA9">
          <w:rPr>
            <w:rStyle w:val="TextoNormalCaracter"/>
          </w:rPr>
          <w:t>42/2025</w:t>
        </w:r>
      </w:hyperlink>
      <w:r>
        <w:t>, f. 4.</w:t>
      </w:r>
    </w:p>
    <w:p w14:paraId="29547074" w14:textId="69A88369" w:rsidR="001D7FA9" w:rsidRDefault="001D7FA9" w:rsidP="001D7FA9">
      <w:pPr>
        <w:pStyle w:val="SangriaFrancesaArticulo"/>
      </w:pPr>
      <w:r w:rsidRPr="001D7FA9">
        <w:rPr>
          <w:rStyle w:val="TextoNormalNegritaCaracter"/>
        </w:rPr>
        <w:t>Artículo 22.</w:t>
      </w:r>
      <w:r w:rsidRPr="001D7FA9">
        <w:rPr>
          <w:rStyle w:val="TextoNormalCaracter"/>
        </w:rPr>
        <w:t>-</w:t>
      </w:r>
      <w:r>
        <w:t xml:space="preserve"> Sentencia </w:t>
      </w:r>
      <w:hyperlink w:anchor="SENTENCIA_2025_42" w:history="1">
        <w:r w:rsidRPr="001D7FA9">
          <w:rPr>
            <w:rStyle w:val="TextoNormalCaracter"/>
          </w:rPr>
          <w:t>42/2025</w:t>
        </w:r>
      </w:hyperlink>
      <w:r>
        <w:t>, f. 3.</w:t>
      </w:r>
    </w:p>
    <w:p w14:paraId="5E00AC77" w14:textId="4D68ECEA" w:rsidR="001D7FA9" w:rsidRDefault="001D7FA9" w:rsidP="001D7FA9">
      <w:pPr>
        <w:pStyle w:val="SangriaFrancesaArticulo"/>
      </w:pPr>
      <w:r w:rsidRPr="001D7FA9">
        <w:rPr>
          <w:rStyle w:val="TextoNormalNegritaCaracter"/>
        </w:rPr>
        <w:t>Artículo 22.1 c).</w:t>
      </w:r>
      <w:r w:rsidRPr="001D7FA9">
        <w:rPr>
          <w:rStyle w:val="TextoNormalCaracter"/>
        </w:rPr>
        <w:t>-</w:t>
      </w:r>
      <w:r>
        <w:t xml:space="preserve"> Sentencia </w:t>
      </w:r>
      <w:hyperlink w:anchor="SENTENCIA_2025_42" w:history="1">
        <w:r w:rsidRPr="001D7FA9">
          <w:rPr>
            <w:rStyle w:val="TextoNormalCaracter"/>
          </w:rPr>
          <w:t>42/2025</w:t>
        </w:r>
      </w:hyperlink>
      <w:r>
        <w:t>, f. 3.</w:t>
      </w:r>
    </w:p>
    <w:p w14:paraId="6988DD52" w14:textId="7C56F657" w:rsidR="001D7FA9" w:rsidRDefault="001D7FA9" w:rsidP="001D7FA9">
      <w:pPr>
        <w:pStyle w:val="SangriaFrancesaArticulo"/>
      </w:pPr>
      <w:r w:rsidRPr="001D7FA9">
        <w:rPr>
          <w:rStyle w:val="TextoNormalNegritaCaracter"/>
        </w:rPr>
        <w:t>Artículo 22.1 e).</w:t>
      </w:r>
      <w:r w:rsidRPr="001D7FA9">
        <w:rPr>
          <w:rStyle w:val="TextoNormalCaracter"/>
        </w:rPr>
        <w:t>-</w:t>
      </w:r>
      <w:r>
        <w:t xml:space="preserve"> Sentencia </w:t>
      </w:r>
      <w:hyperlink w:anchor="SENTENCIA_2025_42" w:history="1">
        <w:r w:rsidRPr="001D7FA9">
          <w:rPr>
            <w:rStyle w:val="TextoNormalCaracter"/>
          </w:rPr>
          <w:t>42/2025</w:t>
        </w:r>
      </w:hyperlink>
      <w:r>
        <w:t>, f. 3.</w:t>
      </w:r>
    </w:p>
    <w:p w14:paraId="09B962E1" w14:textId="6CCF6E05" w:rsidR="001D7FA9" w:rsidRDefault="001D7FA9" w:rsidP="001D7FA9">
      <w:pPr>
        <w:pStyle w:val="SangriaFrancesaArticulo"/>
      </w:pPr>
      <w:r w:rsidRPr="001D7FA9">
        <w:rPr>
          <w:rStyle w:val="TextoNormalNegritaCaracter"/>
        </w:rPr>
        <w:t>Artículo 22.2.</w:t>
      </w:r>
      <w:r w:rsidRPr="001D7FA9">
        <w:rPr>
          <w:rStyle w:val="TextoNormalCaracter"/>
        </w:rPr>
        <w:t>-</w:t>
      </w:r>
      <w:r>
        <w:t xml:space="preserve"> Sentencia </w:t>
      </w:r>
      <w:hyperlink w:anchor="SENTENCIA_2025_42" w:history="1">
        <w:r w:rsidRPr="001D7FA9">
          <w:rPr>
            <w:rStyle w:val="TextoNormalCaracter"/>
          </w:rPr>
          <w:t>42/2025</w:t>
        </w:r>
      </w:hyperlink>
      <w:r>
        <w:t>, f. 3.</w:t>
      </w:r>
    </w:p>
    <w:p w14:paraId="14CF6CCA" w14:textId="42296BDC" w:rsidR="001D7FA9" w:rsidRDefault="001D7FA9" w:rsidP="001D7FA9">
      <w:pPr>
        <w:pStyle w:val="SangriaFrancesaArticulo"/>
      </w:pPr>
      <w:r w:rsidRPr="001D7FA9">
        <w:rPr>
          <w:rStyle w:val="TextoNormalNegritaCaracter"/>
        </w:rPr>
        <w:t>Artículo 23.4.</w:t>
      </w:r>
      <w:r w:rsidRPr="001D7FA9">
        <w:rPr>
          <w:rStyle w:val="TextoNormalCaracter"/>
        </w:rPr>
        <w:t>-</w:t>
      </w:r>
      <w:r>
        <w:t xml:space="preserve"> Sentencia </w:t>
      </w:r>
      <w:hyperlink w:anchor="SENTENCIA_2025_42" w:history="1">
        <w:r w:rsidRPr="001D7FA9">
          <w:rPr>
            <w:rStyle w:val="TextoNormalCaracter"/>
          </w:rPr>
          <w:t>42/2025</w:t>
        </w:r>
      </w:hyperlink>
      <w:r>
        <w:t>, f. 4.</w:t>
      </w:r>
    </w:p>
    <w:p w14:paraId="629009D2" w14:textId="08A50555" w:rsidR="001D7FA9" w:rsidRDefault="001D7FA9" w:rsidP="001D7FA9">
      <w:pPr>
        <w:pStyle w:val="SangriaFrancesaArticulo"/>
      </w:pPr>
      <w:r w:rsidRPr="001D7FA9">
        <w:rPr>
          <w:rStyle w:val="TextoNormalNegritaCaracter"/>
        </w:rPr>
        <w:t>Disposición adicional primera.</w:t>
      </w:r>
      <w:r w:rsidRPr="001D7FA9">
        <w:rPr>
          <w:rStyle w:val="TextoNormalCaracter"/>
        </w:rPr>
        <w:t>-</w:t>
      </w:r>
      <w:r>
        <w:t xml:space="preserve"> Sentencia </w:t>
      </w:r>
      <w:hyperlink w:anchor="SENTENCIA_2025_42" w:history="1">
        <w:r w:rsidRPr="001D7FA9">
          <w:rPr>
            <w:rStyle w:val="TextoNormalCaracter"/>
          </w:rPr>
          <w:t>42/2025</w:t>
        </w:r>
      </w:hyperlink>
      <w:r>
        <w:t>, f. 3.</w:t>
      </w:r>
    </w:p>
    <w:p w14:paraId="1E4760E3" w14:textId="12774C28" w:rsidR="001D7FA9" w:rsidRDefault="001D7FA9" w:rsidP="001D7FA9">
      <w:pPr>
        <w:pStyle w:val="SangriaFrancesaArticulo"/>
      </w:pPr>
      <w:r w:rsidRPr="001D7FA9">
        <w:rPr>
          <w:rStyle w:val="TextoNormalNegritaCaracter"/>
        </w:rPr>
        <w:t>Disposición transitoria quinta.</w:t>
      </w:r>
      <w:r w:rsidRPr="001D7FA9">
        <w:rPr>
          <w:rStyle w:val="TextoNormalCaracter"/>
        </w:rPr>
        <w:t>-</w:t>
      </w:r>
      <w:r>
        <w:t xml:space="preserve"> Sentencia </w:t>
      </w:r>
      <w:hyperlink w:anchor="SENTENCIA_2025_42" w:history="1">
        <w:r w:rsidRPr="001D7FA9">
          <w:rPr>
            <w:rStyle w:val="TextoNormalCaracter"/>
          </w:rPr>
          <w:t>42/2025</w:t>
        </w:r>
      </w:hyperlink>
      <w:r>
        <w:t>, ff. 1, 2, 4.</w:t>
      </w:r>
    </w:p>
    <w:p w14:paraId="6A4D3A52" w14:textId="5A774EAA" w:rsidR="001D7FA9" w:rsidRDefault="001D7FA9" w:rsidP="001D7FA9">
      <w:pPr>
        <w:pStyle w:val="SangriaFrancesaArticulo"/>
      </w:pPr>
      <w:r w:rsidRPr="001D7FA9">
        <w:rPr>
          <w:rStyle w:val="TextoNormalNegritaCaracter"/>
        </w:rPr>
        <w:t>Disposición transitoria quinta, apartado 1, párrafo 1.</w:t>
      </w:r>
      <w:r w:rsidRPr="001D7FA9">
        <w:rPr>
          <w:rStyle w:val="TextoNormalCaracter"/>
        </w:rPr>
        <w:t>-</w:t>
      </w:r>
      <w:r>
        <w:t xml:space="preserve"> Sentencia </w:t>
      </w:r>
      <w:hyperlink w:anchor="SENTENCIA_2025_42" w:history="1">
        <w:r w:rsidRPr="001D7FA9">
          <w:rPr>
            <w:rStyle w:val="TextoNormalCaracter"/>
          </w:rPr>
          <w:t>42/2025</w:t>
        </w:r>
      </w:hyperlink>
      <w:r>
        <w:t>, ff. 2 a 4.</w:t>
      </w:r>
    </w:p>
    <w:p w14:paraId="7F354AD0" w14:textId="0225B5F6" w:rsidR="001D7FA9" w:rsidRDefault="001D7FA9" w:rsidP="001D7FA9">
      <w:pPr>
        <w:pStyle w:val="SangriaFrancesaArticulo"/>
      </w:pPr>
      <w:r w:rsidRPr="001D7FA9">
        <w:rPr>
          <w:rStyle w:val="TextoNormalNegritaCaracter"/>
        </w:rPr>
        <w:t>Disposición transitoria quinta, apartado 1, párrafo 2.</w:t>
      </w:r>
      <w:r w:rsidRPr="001D7FA9">
        <w:rPr>
          <w:rStyle w:val="TextoNormalCaracter"/>
        </w:rPr>
        <w:t>-</w:t>
      </w:r>
      <w:r>
        <w:t xml:space="preserve"> Sentencia </w:t>
      </w:r>
      <w:hyperlink w:anchor="SENTENCIA_2025_42" w:history="1">
        <w:r w:rsidRPr="001D7FA9">
          <w:rPr>
            <w:rStyle w:val="TextoNormalCaracter"/>
          </w:rPr>
          <w:t>42/2025</w:t>
        </w:r>
      </w:hyperlink>
      <w:r>
        <w:t>, f. 2.</w:t>
      </w:r>
    </w:p>
    <w:p w14:paraId="61756090" w14:textId="1177ADA8" w:rsidR="001D7FA9" w:rsidRDefault="001D7FA9" w:rsidP="001D7FA9">
      <w:pPr>
        <w:pStyle w:val="SangriaFrancesaArticulo"/>
      </w:pPr>
      <w:r w:rsidRPr="001D7FA9">
        <w:rPr>
          <w:rStyle w:val="TextoNormalNegritaCaracter"/>
        </w:rPr>
        <w:t>Disposición transitoria quinta, apartado 2.</w:t>
      </w:r>
      <w:r w:rsidRPr="001D7FA9">
        <w:rPr>
          <w:rStyle w:val="TextoNormalCaracter"/>
        </w:rPr>
        <w:t>-</w:t>
      </w:r>
      <w:r>
        <w:t xml:space="preserve"> Sentencia </w:t>
      </w:r>
      <w:hyperlink w:anchor="SENTENCIA_2025_42" w:history="1">
        <w:r w:rsidRPr="001D7FA9">
          <w:rPr>
            <w:rStyle w:val="TextoNormalCaracter"/>
          </w:rPr>
          <w:t>42/2025</w:t>
        </w:r>
      </w:hyperlink>
      <w:r>
        <w:t>, f. 4.</w:t>
      </w:r>
    </w:p>
    <w:p w14:paraId="5D980E08" w14:textId="56D23109" w:rsidR="001D7FA9" w:rsidRDefault="001D7FA9" w:rsidP="001D7FA9">
      <w:pPr>
        <w:pStyle w:val="SangriaFrancesaArticulo"/>
      </w:pPr>
      <w:r w:rsidRPr="001D7FA9">
        <w:rPr>
          <w:rStyle w:val="TextoNormalNegritaCaracter"/>
        </w:rPr>
        <w:t>Disposición transitoria quinta, apartado 3.</w:t>
      </w:r>
      <w:r w:rsidRPr="001D7FA9">
        <w:rPr>
          <w:rStyle w:val="TextoNormalCaracter"/>
        </w:rPr>
        <w:t>-</w:t>
      </w:r>
      <w:r>
        <w:t xml:space="preserve"> Sentencia </w:t>
      </w:r>
      <w:hyperlink w:anchor="SENTENCIA_2025_42" w:history="1">
        <w:r w:rsidRPr="001D7FA9">
          <w:rPr>
            <w:rStyle w:val="TextoNormalCaracter"/>
          </w:rPr>
          <w:t>42/2025</w:t>
        </w:r>
      </w:hyperlink>
      <w:r>
        <w:t>, f. 4.</w:t>
      </w:r>
    </w:p>
    <w:p w14:paraId="3EA40170" w14:textId="34D80080" w:rsidR="001D7FA9" w:rsidRDefault="001D7FA9" w:rsidP="001D7FA9">
      <w:pPr>
        <w:pStyle w:val="TextoNormal"/>
      </w:pPr>
    </w:p>
    <w:p w14:paraId="058836A0" w14:textId="77777777" w:rsidR="001D7FA9" w:rsidRDefault="001D7FA9" w:rsidP="001D7FA9">
      <w:pPr>
        <w:pStyle w:val="TextoNormalNegritaCentrado"/>
        <w:suppressAutoHyphens/>
      </w:pPr>
      <w:r w:rsidRPr="001D7FA9">
        <w:rPr>
          <w:rStyle w:val="TextoNormalNegritaCentradoSombreado"/>
        </w:rPr>
        <w:t>J.13) Navarra</w:t>
      </w:r>
    </w:p>
    <w:p w14:paraId="143ED500" w14:textId="497E18BF" w:rsidR="001D7FA9" w:rsidRDefault="001D7FA9" w:rsidP="001D7FA9">
      <w:pPr>
        <w:pStyle w:val="TextoNormal"/>
      </w:pPr>
    </w:p>
    <w:p w14:paraId="47170208" w14:textId="77777777" w:rsidR="001D7FA9" w:rsidRDefault="001D7FA9" w:rsidP="001D7FA9">
      <w:pPr>
        <w:pStyle w:val="TextoNormalNegritaCentradoSubrayado"/>
        <w:suppressAutoHyphens/>
      </w:pPr>
      <w:r>
        <w:t>J.13.b) Leyes y disposiciones con fuerza de Ley</w:t>
      </w:r>
    </w:p>
    <w:p w14:paraId="01CF679F" w14:textId="0CC6F0F8" w:rsidR="001D7FA9" w:rsidRDefault="001D7FA9" w:rsidP="001D7FA9">
      <w:pPr>
        <w:pStyle w:val="TextoNormalNegritaCentradoSubrayado"/>
      </w:pPr>
    </w:p>
    <w:p w14:paraId="399186DE" w14:textId="77777777" w:rsidR="001D7FA9" w:rsidRDefault="001D7FA9" w:rsidP="001D7FA9">
      <w:pPr>
        <w:pStyle w:val="TextoNormalNegritaCursivandice"/>
        <w:keepNext/>
      </w:pPr>
      <w:r>
        <w:t>Comunidad Foral de Navarra. Ley Foral 2/1995, de 10 de marzo, de haciendas locales de Navarra</w:t>
      </w:r>
    </w:p>
    <w:p w14:paraId="68566D78" w14:textId="105986E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8" w:history="1">
        <w:r w:rsidRPr="001D7FA9">
          <w:rPr>
            <w:rStyle w:val="TextoNormalCaracter"/>
          </w:rPr>
          <w:t>98/2025</w:t>
        </w:r>
      </w:hyperlink>
      <w:r>
        <w:t>, f. 2.</w:t>
      </w:r>
    </w:p>
    <w:p w14:paraId="1CDED27E" w14:textId="135C98B8" w:rsidR="001D7FA9" w:rsidRDefault="001D7FA9" w:rsidP="001D7FA9">
      <w:pPr>
        <w:pStyle w:val="SangriaFrancesaArticulo"/>
      </w:pPr>
      <w:r w:rsidRPr="001D7FA9">
        <w:rPr>
          <w:rStyle w:val="TextoNormalNegritaCaracter"/>
        </w:rPr>
        <w:t>Artículo 58.2.</w:t>
      </w:r>
      <w:r w:rsidRPr="001D7FA9">
        <w:rPr>
          <w:rStyle w:val="TextoNormalCaracter"/>
        </w:rPr>
        <w:t>-</w:t>
      </w:r>
      <w:r>
        <w:t xml:space="preserve"> Sentencia </w:t>
      </w:r>
      <w:hyperlink w:anchor="SENTENCIA_2025_98" w:history="1">
        <w:r w:rsidRPr="001D7FA9">
          <w:rPr>
            <w:rStyle w:val="TextoNormalCaracter"/>
          </w:rPr>
          <w:t>98/2025</w:t>
        </w:r>
      </w:hyperlink>
      <w:r>
        <w:t>, f. 1.</w:t>
      </w:r>
    </w:p>
    <w:p w14:paraId="2BA422DF" w14:textId="63F4DEC3" w:rsidR="001D7FA9" w:rsidRDefault="001D7FA9" w:rsidP="001D7FA9">
      <w:pPr>
        <w:pStyle w:val="SangriaFrancesaArticulo"/>
      </w:pPr>
      <w:r w:rsidRPr="001D7FA9">
        <w:rPr>
          <w:rStyle w:val="TextoNormalNegritaCaracter"/>
        </w:rPr>
        <w:t>Artículo 175.</w:t>
      </w:r>
      <w:r w:rsidRPr="001D7FA9">
        <w:rPr>
          <w:rStyle w:val="TextoNormalCaracter"/>
        </w:rPr>
        <w:t>-</w:t>
      </w:r>
      <w:r>
        <w:t xml:space="preserve"> Sentencia </w:t>
      </w:r>
      <w:hyperlink w:anchor="SENTENCIA_2025_98" w:history="1">
        <w:r w:rsidRPr="001D7FA9">
          <w:rPr>
            <w:rStyle w:val="TextoNormalCaracter"/>
          </w:rPr>
          <w:t>98/2025</w:t>
        </w:r>
      </w:hyperlink>
      <w:r>
        <w:t>, f. 1.</w:t>
      </w:r>
    </w:p>
    <w:p w14:paraId="54F1A0F8" w14:textId="567610A0" w:rsidR="001D7FA9" w:rsidRDefault="001D7FA9" w:rsidP="001D7FA9">
      <w:pPr>
        <w:pStyle w:val="SangriaFrancesaArticulo"/>
      </w:pPr>
      <w:r w:rsidRPr="001D7FA9">
        <w:rPr>
          <w:rStyle w:val="TextoNormalNegritaCaracter"/>
        </w:rPr>
        <w:t>Artículo 175.2</w:t>
      </w:r>
      <w:r>
        <w:t xml:space="preserve"> (redacción original)</w:t>
      </w:r>
      <w:r w:rsidRPr="001D7FA9">
        <w:rPr>
          <w:rStyle w:val="TextoNormalNegritaCaracter"/>
        </w:rPr>
        <w:t>.</w:t>
      </w:r>
      <w:r w:rsidRPr="001D7FA9">
        <w:rPr>
          <w:rStyle w:val="TextoNormalCaracter"/>
        </w:rPr>
        <w:t>-</w:t>
      </w:r>
      <w:r>
        <w:t xml:space="preserve"> Sentencia </w:t>
      </w:r>
      <w:hyperlink w:anchor="SENTENCIA_2025_98" w:history="1">
        <w:r w:rsidRPr="001D7FA9">
          <w:rPr>
            <w:rStyle w:val="TextoNormalCaracter"/>
          </w:rPr>
          <w:t>98/2025</w:t>
        </w:r>
      </w:hyperlink>
      <w:r>
        <w:t>, ff. 1 a 3, VP.</w:t>
      </w:r>
    </w:p>
    <w:p w14:paraId="7589EE06" w14:textId="36443303" w:rsidR="001D7FA9" w:rsidRDefault="001D7FA9" w:rsidP="001D7FA9">
      <w:pPr>
        <w:pStyle w:val="SangriaFrancesaArticulo"/>
      </w:pPr>
      <w:r w:rsidRPr="001D7FA9">
        <w:rPr>
          <w:rStyle w:val="TextoNormalNegritaCaracter"/>
        </w:rPr>
        <w:t>Artículo 175.2</w:t>
      </w:r>
      <w:r>
        <w:t xml:space="preserve"> (redactado por la Ley Foral 19/2017, de 27 de diciembre)</w:t>
      </w:r>
      <w:r w:rsidRPr="001D7FA9">
        <w:rPr>
          <w:rStyle w:val="TextoNormalNegritaCaracter"/>
        </w:rPr>
        <w:t>.</w:t>
      </w:r>
      <w:r w:rsidRPr="001D7FA9">
        <w:rPr>
          <w:rStyle w:val="TextoNormalCaracter"/>
        </w:rPr>
        <w:t>-</w:t>
      </w:r>
      <w:r>
        <w:t xml:space="preserve"> Sentencia </w:t>
      </w:r>
      <w:hyperlink w:anchor="SENTENCIA_2025_98" w:history="1">
        <w:r w:rsidRPr="001D7FA9">
          <w:rPr>
            <w:rStyle w:val="TextoNormalCaracter"/>
          </w:rPr>
          <w:t>98/2025</w:t>
        </w:r>
      </w:hyperlink>
      <w:r>
        <w:t>, f. 2.</w:t>
      </w:r>
    </w:p>
    <w:p w14:paraId="0908610F" w14:textId="38AD7F29" w:rsidR="001D7FA9" w:rsidRDefault="001D7FA9" w:rsidP="001D7FA9">
      <w:pPr>
        <w:pStyle w:val="SangriaFrancesaArticulo"/>
      </w:pPr>
      <w:r w:rsidRPr="001D7FA9">
        <w:rPr>
          <w:rStyle w:val="TextoNormalNegritaCaracter"/>
        </w:rPr>
        <w:t>Artículo 175.2</w:t>
      </w:r>
      <w:r>
        <w:t xml:space="preserve"> (redactado por la Ley Foral 20/2021, de 29 de diciembre)</w:t>
      </w:r>
      <w:r w:rsidRPr="001D7FA9">
        <w:rPr>
          <w:rStyle w:val="TextoNormalNegritaCaracter"/>
        </w:rPr>
        <w:t>.</w:t>
      </w:r>
      <w:r w:rsidRPr="001D7FA9">
        <w:rPr>
          <w:rStyle w:val="TextoNormalCaracter"/>
        </w:rPr>
        <w:t>-</w:t>
      </w:r>
      <w:r>
        <w:t xml:space="preserve"> Sentencia </w:t>
      </w:r>
      <w:hyperlink w:anchor="SENTENCIA_2025_98" w:history="1">
        <w:r w:rsidRPr="001D7FA9">
          <w:rPr>
            <w:rStyle w:val="TextoNormalCaracter"/>
          </w:rPr>
          <w:t>98/2025</w:t>
        </w:r>
      </w:hyperlink>
      <w:r>
        <w:t>, f. 2.</w:t>
      </w:r>
    </w:p>
    <w:p w14:paraId="6776744E" w14:textId="7A56553D" w:rsidR="001D7FA9" w:rsidRDefault="001D7FA9" w:rsidP="001D7FA9">
      <w:pPr>
        <w:pStyle w:val="SangriaFrancesaArticulo"/>
      </w:pPr>
      <w:r w:rsidRPr="001D7FA9">
        <w:rPr>
          <w:rStyle w:val="TextoNormalNegritaCaracter"/>
        </w:rPr>
        <w:t>Artículo 175.3.</w:t>
      </w:r>
      <w:r w:rsidRPr="001D7FA9">
        <w:rPr>
          <w:rStyle w:val="TextoNormalCaracter"/>
        </w:rPr>
        <w:t>-</w:t>
      </w:r>
      <w:r>
        <w:t xml:space="preserve"> Sentencia </w:t>
      </w:r>
      <w:hyperlink w:anchor="SENTENCIA_2025_98" w:history="1">
        <w:r w:rsidRPr="001D7FA9">
          <w:rPr>
            <w:rStyle w:val="TextoNormalCaracter"/>
          </w:rPr>
          <w:t>98/2025</w:t>
        </w:r>
      </w:hyperlink>
      <w:r>
        <w:t>, f. 3.</w:t>
      </w:r>
    </w:p>
    <w:p w14:paraId="18FBAF47" w14:textId="0A7FE4BA" w:rsidR="001D7FA9" w:rsidRDefault="001D7FA9" w:rsidP="001D7FA9">
      <w:pPr>
        <w:pStyle w:val="SangriaFrancesaArticulo"/>
      </w:pPr>
    </w:p>
    <w:p w14:paraId="2BA95AA7" w14:textId="77777777" w:rsidR="001D7FA9" w:rsidRDefault="001D7FA9" w:rsidP="001D7FA9">
      <w:pPr>
        <w:pStyle w:val="TextoNormalNegritaCursivandice"/>
        <w:keepNext/>
      </w:pPr>
      <w:r>
        <w:t>Comunidad Foral de Navarra. Ley Foral 10/2010, de 10 de mayo, del derecho a la vivienda en Navarra</w:t>
      </w:r>
    </w:p>
    <w:p w14:paraId="06425FF1" w14:textId="7C7B483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5.</w:t>
      </w:r>
    </w:p>
    <w:p w14:paraId="6085E4D1" w14:textId="43C0E0ED" w:rsidR="001D7FA9" w:rsidRDefault="001D7FA9" w:rsidP="001D7FA9">
      <w:pPr>
        <w:pStyle w:val="SangriaFrancesaArticulo"/>
      </w:pPr>
      <w:r w:rsidRPr="001D7FA9">
        <w:rPr>
          <w:rStyle w:val="TextoNormalNegritaCaracter"/>
        </w:rPr>
        <w:t>Artículo 52.2 a)</w:t>
      </w:r>
      <w:r>
        <w:t xml:space="preserve"> (redactado por la Ley Foral 24/2013, de 2 de julio)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0400CCE3" w14:textId="18A4F841" w:rsidR="001D7FA9" w:rsidRDefault="001D7FA9" w:rsidP="001D7FA9">
      <w:pPr>
        <w:pStyle w:val="SangriaFrancesaArticulo"/>
      </w:pPr>
      <w:r w:rsidRPr="001D7FA9">
        <w:rPr>
          <w:rStyle w:val="TextoNormalNegritaCaracter"/>
        </w:rPr>
        <w:t>Artículo 66.1</w:t>
      </w:r>
      <w:r>
        <w:t xml:space="preserve"> (redactado por la Ley Foral 24/2013, de 2 de julio)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0F739F90" w14:textId="582D2C00" w:rsidR="001D7FA9" w:rsidRDefault="001D7FA9" w:rsidP="001D7FA9">
      <w:pPr>
        <w:pStyle w:val="SangriaFrancesaArticulo"/>
      </w:pPr>
      <w:r w:rsidRPr="001D7FA9">
        <w:rPr>
          <w:rStyle w:val="TextoNormalNegritaCaracter"/>
        </w:rPr>
        <w:t>Artículo 72.2</w:t>
      </w:r>
      <w:r>
        <w:t xml:space="preserve"> (redactado por la Ley Foral 24/2013, de 2 de julio)</w:t>
      </w:r>
      <w:r w:rsidRPr="001D7FA9">
        <w:rPr>
          <w:rStyle w:val="TextoNormalNegritaCaracter"/>
        </w:rPr>
        <w:t>.</w:t>
      </w:r>
      <w:r w:rsidRPr="001D7FA9">
        <w:rPr>
          <w:rStyle w:val="TextoNormalCaracter"/>
        </w:rPr>
        <w:t>-</w:t>
      </w:r>
      <w:r>
        <w:t xml:space="preserve"> Sentencia </w:t>
      </w:r>
      <w:hyperlink w:anchor="SENTENCIA_2025_25" w:history="1">
        <w:r w:rsidRPr="001D7FA9">
          <w:rPr>
            <w:rStyle w:val="TextoNormalCaracter"/>
          </w:rPr>
          <w:t>25/2025</w:t>
        </w:r>
      </w:hyperlink>
      <w:r>
        <w:t>, f. 5.</w:t>
      </w:r>
    </w:p>
    <w:p w14:paraId="72A1F447" w14:textId="4A252E72" w:rsidR="001D7FA9" w:rsidRDefault="001D7FA9" w:rsidP="001D7FA9">
      <w:pPr>
        <w:pStyle w:val="SangriaFrancesaArticulo"/>
      </w:pPr>
    </w:p>
    <w:p w14:paraId="7A9904C7" w14:textId="77777777" w:rsidR="001D7FA9" w:rsidRDefault="001D7FA9" w:rsidP="001D7FA9">
      <w:pPr>
        <w:pStyle w:val="TextoNormalNegritaCursivandice"/>
        <w:keepNext/>
      </w:pPr>
      <w:r>
        <w:t>Comunidad Foral de Navarra. Ley Foral 24/2013, de 2 de julio, de medidas urgentes para garantizar el derecho a la vivienda en Navarra</w:t>
      </w:r>
    </w:p>
    <w:p w14:paraId="1122E9B3" w14:textId="34D74B3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5, VP I.</w:t>
      </w:r>
    </w:p>
    <w:p w14:paraId="252341EC" w14:textId="621528C3"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25" w:history="1">
        <w:r w:rsidRPr="001D7FA9">
          <w:rPr>
            <w:rStyle w:val="TextoNormalCaracter"/>
          </w:rPr>
          <w:t>25/2025</w:t>
        </w:r>
      </w:hyperlink>
      <w:r>
        <w:t>, f. 5.</w:t>
      </w:r>
    </w:p>
    <w:p w14:paraId="56C406F8" w14:textId="6F80814D"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25" w:history="1">
        <w:r w:rsidRPr="001D7FA9">
          <w:rPr>
            <w:rStyle w:val="TextoNormalCaracter"/>
          </w:rPr>
          <w:t>25/2025</w:t>
        </w:r>
      </w:hyperlink>
      <w:r>
        <w:t>, f. 5.</w:t>
      </w:r>
    </w:p>
    <w:p w14:paraId="1F9AAF45" w14:textId="1D07DE02" w:rsidR="001D7FA9" w:rsidRDefault="001D7FA9" w:rsidP="001D7FA9">
      <w:pPr>
        <w:pStyle w:val="SangriaFrancesaArticulo"/>
      </w:pPr>
      <w:r w:rsidRPr="001D7FA9">
        <w:rPr>
          <w:rStyle w:val="TextoNormalNegritaCaracter"/>
        </w:rPr>
        <w:t>Artículo 6.</w:t>
      </w:r>
      <w:r w:rsidRPr="001D7FA9">
        <w:rPr>
          <w:rStyle w:val="TextoNormalCaracter"/>
        </w:rPr>
        <w:t>-</w:t>
      </w:r>
      <w:r>
        <w:t xml:space="preserve"> Sentencia </w:t>
      </w:r>
      <w:hyperlink w:anchor="SENTENCIA_2025_25" w:history="1">
        <w:r w:rsidRPr="001D7FA9">
          <w:rPr>
            <w:rStyle w:val="TextoNormalCaracter"/>
          </w:rPr>
          <w:t>25/2025</w:t>
        </w:r>
      </w:hyperlink>
      <w:r>
        <w:t>, f. 5.</w:t>
      </w:r>
    </w:p>
    <w:p w14:paraId="2EF3F96B" w14:textId="6F1663FE" w:rsidR="001D7FA9" w:rsidRDefault="001D7FA9" w:rsidP="001D7FA9">
      <w:pPr>
        <w:pStyle w:val="SangriaFrancesaArticulo"/>
      </w:pPr>
      <w:r w:rsidRPr="001D7FA9">
        <w:rPr>
          <w:rStyle w:val="TextoNormalNegritaCaracter"/>
        </w:rPr>
        <w:t>Artículo 7.</w:t>
      </w:r>
      <w:r w:rsidRPr="001D7FA9">
        <w:rPr>
          <w:rStyle w:val="TextoNormalCaracter"/>
        </w:rPr>
        <w:t>-</w:t>
      </w:r>
      <w:r>
        <w:t xml:space="preserve"> Sentencia </w:t>
      </w:r>
      <w:hyperlink w:anchor="SENTENCIA_2025_25" w:history="1">
        <w:r w:rsidRPr="001D7FA9">
          <w:rPr>
            <w:rStyle w:val="TextoNormalCaracter"/>
          </w:rPr>
          <w:t>25/2025</w:t>
        </w:r>
      </w:hyperlink>
      <w:r>
        <w:t>, VP I.</w:t>
      </w:r>
    </w:p>
    <w:p w14:paraId="72D849CD" w14:textId="6A23EB17" w:rsidR="001D7FA9" w:rsidRDefault="001D7FA9" w:rsidP="001D7FA9">
      <w:pPr>
        <w:pStyle w:val="SangriaFrancesaArticulo"/>
      </w:pPr>
      <w:r w:rsidRPr="001D7FA9">
        <w:rPr>
          <w:rStyle w:val="TextoNormalNegritaCaracter"/>
        </w:rPr>
        <w:t>Artículo 72.2.</w:t>
      </w:r>
      <w:r w:rsidRPr="001D7FA9">
        <w:rPr>
          <w:rStyle w:val="TextoNormalCaracter"/>
        </w:rPr>
        <w:t>-</w:t>
      </w:r>
      <w:r>
        <w:t xml:space="preserve"> Sentencia </w:t>
      </w:r>
      <w:hyperlink w:anchor="SENTENCIA_2025_25" w:history="1">
        <w:r w:rsidRPr="001D7FA9">
          <w:rPr>
            <w:rStyle w:val="TextoNormalCaracter"/>
          </w:rPr>
          <w:t>25/2025</w:t>
        </w:r>
      </w:hyperlink>
      <w:r>
        <w:t>, VP I.</w:t>
      </w:r>
    </w:p>
    <w:p w14:paraId="2AFF045E" w14:textId="145743FF" w:rsidR="001D7FA9" w:rsidRDefault="001D7FA9" w:rsidP="001D7FA9">
      <w:pPr>
        <w:pStyle w:val="SangriaFrancesaArticulo"/>
      </w:pPr>
    </w:p>
    <w:p w14:paraId="10A53632" w14:textId="77777777" w:rsidR="001D7FA9" w:rsidRDefault="001D7FA9" w:rsidP="001D7FA9">
      <w:pPr>
        <w:pStyle w:val="TextoNormalNegritaCursivandice"/>
        <w:keepNext/>
      </w:pPr>
      <w:r>
        <w:t>Comunidad Foral de Navarra. Ley Foral 19/2017, de 27 de diciembre, por la que se modifica la Ley Foral 2/1995, de 10 de marzo, de haciendas locales de Navarra</w:t>
      </w:r>
    </w:p>
    <w:p w14:paraId="1730A90E" w14:textId="102DD9A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8" w:history="1">
        <w:r w:rsidRPr="001D7FA9">
          <w:rPr>
            <w:rStyle w:val="TextoNormalCaracter"/>
          </w:rPr>
          <w:t>98/2025</w:t>
        </w:r>
      </w:hyperlink>
      <w:r>
        <w:t>, f. 2.</w:t>
      </w:r>
    </w:p>
    <w:p w14:paraId="7F15EE08" w14:textId="5C42C14B" w:rsidR="001D7FA9" w:rsidRDefault="001D7FA9" w:rsidP="001D7FA9">
      <w:pPr>
        <w:pStyle w:val="SangriaFrancesaArticulo"/>
      </w:pPr>
      <w:r w:rsidRPr="001D7FA9">
        <w:rPr>
          <w:rStyle w:val="TextoNormalNegritaCaracter"/>
        </w:rPr>
        <w:t>Disposición transitoria única.</w:t>
      </w:r>
      <w:r w:rsidRPr="001D7FA9">
        <w:rPr>
          <w:rStyle w:val="TextoNormalCaracter"/>
        </w:rPr>
        <w:t>-</w:t>
      </w:r>
      <w:r>
        <w:t xml:space="preserve"> Sentencia </w:t>
      </w:r>
      <w:hyperlink w:anchor="SENTENCIA_2025_98" w:history="1">
        <w:r w:rsidRPr="001D7FA9">
          <w:rPr>
            <w:rStyle w:val="TextoNormalCaracter"/>
          </w:rPr>
          <w:t>98/2025</w:t>
        </w:r>
      </w:hyperlink>
      <w:r>
        <w:t>, f. 2.</w:t>
      </w:r>
    </w:p>
    <w:p w14:paraId="1577D940" w14:textId="31D62353" w:rsidR="001D7FA9" w:rsidRDefault="001D7FA9" w:rsidP="001D7FA9">
      <w:pPr>
        <w:pStyle w:val="SangriaFrancesaArticulo"/>
      </w:pPr>
    </w:p>
    <w:p w14:paraId="2E1A038F" w14:textId="77777777" w:rsidR="001D7FA9" w:rsidRDefault="001D7FA9" w:rsidP="001D7FA9">
      <w:pPr>
        <w:pStyle w:val="TextoNormalNegritaCursivandice"/>
        <w:keepNext/>
      </w:pPr>
      <w:r>
        <w:t>Comunidad Foral de Navarra. Ley Foral 20/2021, de 29 de diciembre, por la que se modifica la Ley Foral 2/1995, de 10 de marzo, de haciendas locales de Navarra</w:t>
      </w:r>
    </w:p>
    <w:p w14:paraId="1B09B34D" w14:textId="726670A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8" w:history="1">
        <w:r w:rsidRPr="001D7FA9">
          <w:rPr>
            <w:rStyle w:val="TextoNormalCaracter"/>
          </w:rPr>
          <w:t>98/2025</w:t>
        </w:r>
      </w:hyperlink>
      <w:r>
        <w:t>, f. 2.</w:t>
      </w:r>
    </w:p>
    <w:p w14:paraId="43E78011" w14:textId="0CF4BA02" w:rsidR="001D7FA9" w:rsidRDefault="001D7FA9" w:rsidP="001D7FA9">
      <w:pPr>
        <w:pStyle w:val="SangriaFrancesaArticulo"/>
      </w:pPr>
      <w:r w:rsidRPr="001D7FA9">
        <w:rPr>
          <w:rStyle w:val="TextoNormalNegritaCaracter"/>
        </w:rPr>
        <w:t>Exposición de motivos.</w:t>
      </w:r>
      <w:r w:rsidRPr="001D7FA9">
        <w:rPr>
          <w:rStyle w:val="TextoNormalCaracter"/>
        </w:rPr>
        <w:t>-</w:t>
      </w:r>
      <w:r>
        <w:t xml:space="preserve"> Sentencia </w:t>
      </w:r>
      <w:hyperlink w:anchor="SENTENCIA_2025_98" w:history="1">
        <w:r w:rsidRPr="001D7FA9">
          <w:rPr>
            <w:rStyle w:val="TextoNormalCaracter"/>
          </w:rPr>
          <w:t>98/2025</w:t>
        </w:r>
      </w:hyperlink>
      <w:r>
        <w:t>, f. 2.</w:t>
      </w:r>
    </w:p>
    <w:p w14:paraId="37902343" w14:textId="3315EBFC" w:rsidR="001D7FA9" w:rsidRDefault="001D7FA9" w:rsidP="001D7FA9">
      <w:pPr>
        <w:pStyle w:val="SangriaFrancesaArticulo"/>
      </w:pPr>
      <w:r w:rsidRPr="001D7FA9">
        <w:rPr>
          <w:rStyle w:val="TextoNormalNegritaCaracter"/>
        </w:rPr>
        <w:t>Artículo único.</w:t>
      </w:r>
      <w:r w:rsidRPr="001D7FA9">
        <w:rPr>
          <w:rStyle w:val="TextoNormalCaracter"/>
        </w:rPr>
        <w:t>-</w:t>
      </w:r>
      <w:r>
        <w:t xml:space="preserve"> Sentencia </w:t>
      </w:r>
      <w:hyperlink w:anchor="SENTENCIA_2025_98" w:history="1">
        <w:r w:rsidRPr="001D7FA9">
          <w:rPr>
            <w:rStyle w:val="TextoNormalCaracter"/>
          </w:rPr>
          <w:t>98/2025</w:t>
        </w:r>
      </w:hyperlink>
      <w:r>
        <w:t>, f. 2.</w:t>
      </w:r>
    </w:p>
    <w:p w14:paraId="7CF7DE8A" w14:textId="4C2160EC" w:rsidR="001D7FA9" w:rsidRDefault="001D7FA9" w:rsidP="001D7FA9">
      <w:pPr>
        <w:pStyle w:val="TextoNormal"/>
      </w:pPr>
    </w:p>
    <w:p w14:paraId="407B4DA4" w14:textId="77777777" w:rsidR="001D7FA9" w:rsidRDefault="001D7FA9" w:rsidP="001D7FA9">
      <w:pPr>
        <w:pStyle w:val="TextoNormalNegritaCentrado"/>
        <w:suppressAutoHyphens/>
      </w:pPr>
      <w:r w:rsidRPr="001D7FA9">
        <w:rPr>
          <w:rStyle w:val="TextoNormalNegritaCentradoSombreado"/>
        </w:rPr>
        <w:t>J.14) País Vasco</w:t>
      </w:r>
    </w:p>
    <w:p w14:paraId="7B0B1FB0" w14:textId="74CB90B4" w:rsidR="001D7FA9" w:rsidRDefault="001D7FA9" w:rsidP="001D7FA9">
      <w:pPr>
        <w:pStyle w:val="TextoNormal"/>
      </w:pPr>
    </w:p>
    <w:p w14:paraId="3E678356" w14:textId="77777777" w:rsidR="001D7FA9" w:rsidRDefault="001D7FA9" w:rsidP="001D7FA9">
      <w:pPr>
        <w:pStyle w:val="TextoNormalNegritaCentradoSubrayado"/>
        <w:suppressAutoHyphens/>
      </w:pPr>
      <w:r>
        <w:t>J.14.b) Leyes y disposiciones con fuerza de Ley</w:t>
      </w:r>
    </w:p>
    <w:p w14:paraId="07D149ED" w14:textId="030DAB0B" w:rsidR="001D7FA9" w:rsidRDefault="001D7FA9" w:rsidP="001D7FA9">
      <w:pPr>
        <w:pStyle w:val="TextoNormalNegritaCentradoSubrayado"/>
      </w:pPr>
    </w:p>
    <w:p w14:paraId="025038BE" w14:textId="77777777" w:rsidR="001D7FA9" w:rsidRDefault="001D7FA9" w:rsidP="001D7FA9">
      <w:pPr>
        <w:pStyle w:val="TextoNormalNegritaCursivandice"/>
        <w:keepNext/>
      </w:pPr>
      <w:r>
        <w:t>Comunidad Autónoma del País Vasco. Ley 2/1998, de 20 de febrero, de la potestad sancionadora de las administraciones públicas de la Comunidad Autónoma del País Vasco</w:t>
      </w:r>
    </w:p>
    <w:p w14:paraId="22360597" w14:textId="2957A0ED"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 </w:t>
      </w:r>
      <w:hyperlink w:anchor="SENTENCIA_2025_133" w:history="1">
        <w:r w:rsidRPr="001D7FA9">
          <w:rPr>
            <w:rStyle w:val="TextoNormalCaracter"/>
          </w:rPr>
          <w:t>133/2025</w:t>
        </w:r>
      </w:hyperlink>
      <w:r>
        <w:t>, f. 1.</w:t>
      </w:r>
    </w:p>
    <w:p w14:paraId="0DAD4CD5" w14:textId="1F13D93C" w:rsidR="001D7FA9" w:rsidRDefault="001D7FA9" w:rsidP="001D7FA9">
      <w:pPr>
        <w:pStyle w:val="SangriaFrancesaArticulo"/>
      </w:pPr>
      <w:r w:rsidRPr="001D7FA9">
        <w:rPr>
          <w:rStyle w:val="TextoNormalNegritaCaracter"/>
        </w:rPr>
        <w:t>Artículo 31.3.</w:t>
      </w:r>
      <w:r w:rsidRPr="001D7FA9">
        <w:rPr>
          <w:rStyle w:val="TextoNormalCaracter"/>
        </w:rPr>
        <w:t>-</w:t>
      </w:r>
      <w:r>
        <w:t xml:space="preserve"> Sentencia </w:t>
      </w:r>
      <w:hyperlink w:anchor="SENTENCIA_2025_133" w:history="1">
        <w:r w:rsidRPr="001D7FA9">
          <w:rPr>
            <w:rStyle w:val="TextoNormalCaracter"/>
          </w:rPr>
          <w:t>133/2025</w:t>
        </w:r>
      </w:hyperlink>
      <w:r>
        <w:t>, f. 1.</w:t>
      </w:r>
    </w:p>
    <w:p w14:paraId="43EC3385" w14:textId="55AB8161" w:rsidR="001D7FA9" w:rsidRDefault="001D7FA9" w:rsidP="001D7FA9">
      <w:pPr>
        <w:pStyle w:val="SangriaFrancesaArticulo"/>
      </w:pPr>
      <w:r w:rsidRPr="001D7FA9">
        <w:rPr>
          <w:rStyle w:val="TextoNormalNegritaCaracter"/>
        </w:rPr>
        <w:t>Artículo 31.4.</w:t>
      </w:r>
      <w:r w:rsidRPr="001D7FA9">
        <w:rPr>
          <w:rStyle w:val="TextoNormalCaracter"/>
        </w:rPr>
        <w:t>-</w:t>
      </w:r>
      <w:r>
        <w:t xml:space="preserve"> Sentencia </w:t>
      </w:r>
      <w:hyperlink w:anchor="SENTENCIA_2025_133" w:history="1">
        <w:r w:rsidRPr="001D7FA9">
          <w:rPr>
            <w:rStyle w:val="TextoNormalCaracter"/>
          </w:rPr>
          <w:t>133/2025</w:t>
        </w:r>
      </w:hyperlink>
      <w:r>
        <w:t>, f. 1.</w:t>
      </w:r>
    </w:p>
    <w:p w14:paraId="2147E33D" w14:textId="5DE561F7" w:rsidR="001D7FA9" w:rsidRDefault="001D7FA9" w:rsidP="001D7FA9">
      <w:pPr>
        <w:pStyle w:val="SangriaFrancesaArticulo"/>
      </w:pPr>
    </w:p>
    <w:p w14:paraId="3765751E" w14:textId="77777777" w:rsidR="001D7FA9" w:rsidRDefault="001D7FA9" w:rsidP="001D7FA9">
      <w:pPr>
        <w:pStyle w:val="TextoNormalNegritaCursivandice"/>
        <w:keepNext/>
      </w:pPr>
      <w:r>
        <w:t>Comunidad Autónoma del País Vasco. Ley 3/1998, de 27 de febrero, general de protección del medio ambiente del País Vasco</w:t>
      </w:r>
    </w:p>
    <w:p w14:paraId="2D275678" w14:textId="33185365"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Sentencia </w:t>
      </w:r>
      <w:hyperlink w:anchor="SENTENCIA_2025_69" w:history="1">
        <w:r w:rsidRPr="001D7FA9">
          <w:rPr>
            <w:rStyle w:val="TextoNormalCaracter"/>
          </w:rPr>
          <w:t>69/2025</w:t>
        </w:r>
      </w:hyperlink>
      <w:r>
        <w:t>, f. 3.</w:t>
      </w:r>
    </w:p>
    <w:p w14:paraId="2AD7FF02" w14:textId="78E292B9" w:rsidR="001D7FA9" w:rsidRDefault="001D7FA9" w:rsidP="001D7FA9">
      <w:pPr>
        <w:pStyle w:val="SangriaFrancesaArticulo"/>
      </w:pPr>
      <w:r w:rsidRPr="001D7FA9">
        <w:rPr>
          <w:rStyle w:val="TextoNormalNegritaCaracter"/>
        </w:rPr>
        <w:t>Artículo 3.4 inciso "como jurisdiccional".</w:t>
      </w:r>
      <w:r w:rsidRPr="001D7FA9">
        <w:rPr>
          <w:rStyle w:val="TextoNormalCaracter"/>
        </w:rPr>
        <w:t>-</w:t>
      </w:r>
      <w:r>
        <w:t xml:space="preserve"> Sentencia </w:t>
      </w:r>
      <w:hyperlink w:anchor="SENTENCIA_2025_69" w:history="1">
        <w:r w:rsidRPr="001D7FA9">
          <w:rPr>
            <w:rStyle w:val="TextoNormalCaracter"/>
          </w:rPr>
          <w:t>69/2025</w:t>
        </w:r>
      </w:hyperlink>
      <w:r>
        <w:t>, f. 3.</w:t>
      </w:r>
    </w:p>
    <w:p w14:paraId="18A171C9" w14:textId="0496DE3A" w:rsidR="001D7FA9" w:rsidRDefault="001D7FA9" w:rsidP="001D7FA9">
      <w:pPr>
        <w:pStyle w:val="SangriaFrancesaArticulo"/>
      </w:pPr>
    </w:p>
    <w:p w14:paraId="4209F0BE" w14:textId="77777777" w:rsidR="001D7FA9" w:rsidRDefault="001D7FA9" w:rsidP="001D7FA9">
      <w:pPr>
        <w:pStyle w:val="TextoNormalNegritaCursivandice"/>
        <w:keepNext/>
      </w:pPr>
      <w:r>
        <w:t>Comunidad Autónoma del País Vasco. Ley 3/2015, de 18 de junio, de vivienda</w:t>
      </w:r>
    </w:p>
    <w:p w14:paraId="542F635B" w14:textId="3F0CDF8D" w:rsidR="001D7FA9" w:rsidRDefault="001D7FA9" w:rsidP="001D7FA9">
      <w:pPr>
        <w:pStyle w:val="SangriaFrancesaArticulo"/>
      </w:pPr>
      <w:r w:rsidRPr="001D7FA9">
        <w:rPr>
          <w:rStyle w:val="TextoNormalNegritaCaracter"/>
        </w:rPr>
        <w:t>Artículo 72.3 c).</w:t>
      </w:r>
      <w:r w:rsidRPr="001D7FA9">
        <w:rPr>
          <w:rStyle w:val="TextoNormalCaracter"/>
        </w:rPr>
        <w:t>-</w:t>
      </w:r>
      <w:r>
        <w:t xml:space="preserve"> Sentencia </w:t>
      </w:r>
      <w:hyperlink w:anchor="SENTENCIA_2025_25" w:history="1">
        <w:r w:rsidRPr="001D7FA9">
          <w:rPr>
            <w:rStyle w:val="TextoNormalCaracter"/>
          </w:rPr>
          <w:t>25/2025</w:t>
        </w:r>
      </w:hyperlink>
      <w:r>
        <w:t>, f. 5.</w:t>
      </w:r>
    </w:p>
    <w:p w14:paraId="5C515ED5" w14:textId="38B007FE" w:rsidR="001D7FA9" w:rsidRDefault="001D7FA9" w:rsidP="001D7FA9">
      <w:pPr>
        <w:pStyle w:val="SangriaFrancesaArticulo"/>
      </w:pPr>
    </w:p>
    <w:p w14:paraId="70CDB842" w14:textId="77777777" w:rsidR="001D7FA9" w:rsidRDefault="001D7FA9" w:rsidP="001D7FA9">
      <w:pPr>
        <w:pStyle w:val="TextoNormalNegritaCursivandice"/>
        <w:keepNext/>
      </w:pPr>
      <w:r>
        <w:t>Comunidad Autónoma del País Vasco. Ley 7/2015, de 30 de junio, de relaciones familiares en supuestos de separación o ruptura de los progenitores</w:t>
      </w:r>
    </w:p>
    <w:p w14:paraId="25AB0182" w14:textId="759394B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f. 2.</w:t>
      </w:r>
    </w:p>
    <w:p w14:paraId="03539024" w14:textId="69EF744F"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54" w:history="1">
        <w:r w:rsidRPr="001D7FA9">
          <w:rPr>
            <w:rStyle w:val="TextoNormalCaracter"/>
          </w:rPr>
          <w:t>54/2025</w:t>
        </w:r>
      </w:hyperlink>
      <w:r>
        <w:t>, VP.</w:t>
      </w:r>
    </w:p>
    <w:p w14:paraId="2BBC2768" w14:textId="6C408C4E" w:rsidR="001D7FA9" w:rsidRDefault="001D7FA9" w:rsidP="001D7FA9">
      <w:pPr>
        <w:pStyle w:val="SangriaFrancesaArticulo"/>
      </w:pPr>
    </w:p>
    <w:p w14:paraId="23E18417" w14:textId="77777777" w:rsidR="001D7FA9" w:rsidRDefault="001D7FA9" w:rsidP="001D7FA9">
      <w:pPr>
        <w:pStyle w:val="TextoNormalNegritaCursivandice"/>
        <w:keepNext/>
      </w:pPr>
      <w:r>
        <w:t>Comunidad Autónoma del País Vasco. Ley 2/2021, de 24 de junio, de medidas para la gestión de la pandemia de covid-19</w:t>
      </w:r>
    </w:p>
    <w:p w14:paraId="44D454AC" w14:textId="07DF5141" w:rsidR="001D7FA9" w:rsidRDefault="001D7FA9" w:rsidP="001D7FA9">
      <w:pPr>
        <w:pStyle w:val="SangriaFrancesaArticulo"/>
      </w:pPr>
      <w:r w:rsidRPr="001D7FA9">
        <w:rPr>
          <w:rStyle w:val="TextoNormalNegritaCaracter"/>
        </w:rPr>
        <w:t>Título VI.</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7719D7D6" w14:textId="4F60C2A7"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133" w:history="1">
        <w:r w:rsidRPr="001D7FA9">
          <w:rPr>
            <w:rStyle w:val="TextoNormalCaracter"/>
          </w:rPr>
          <w:t>133/2025</w:t>
        </w:r>
      </w:hyperlink>
      <w:r>
        <w:t>, f. 2.</w:t>
      </w:r>
    </w:p>
    <w:p w14:paraId="1D9C102E" w14:textId="149D88EF" w:rsidR="001D7FA9" w:rsidRDefault="001D7FA9" w:rsidP="001D7FA9">
      <w:pPr>
        <w:pStyle w:val="SangriaFrancesaArticulo"/>
      </w:pPr>
      <w:r w:rsidRPr="001D7FA9">
        <w:rPr>
          <w:rStyle w:val="TextoNormalNegritaCaracter"/>
        </w:rPr>
        <w:t>Artículo 1 a).</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1F6038BD" w14:textId="36059EC9"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118D2813" w14:textId="1036E6E9"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00F66956" w14:textId="44B77F27" w:rsidR="001D7FA9" w:rsidRDefault="001D7FA9" w:rsidP="001D7FA9">
      <w:pPr>
        <w:pStyle w:val="SangriaFrancesaArticulo"/>
      </w:pPr>
      <w:r w:rsidRPr="001D7FA9">
        <w:rPr>
          <w:rStyle w:val="TextoNormalNegritaCaracter"/>
        </w:rPr>
        <w:t>Artículo 8.1.</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61902A0E" w14:textId="2B2C4C1C" w:rsidR="001D7FA9" w:rsidRDefault="001D7FA9" w:rsidP="001D7FA9">
      <w:pPr>
        <w:pStyle w:val="SangriaFrancesaArticulo"/>
      </w:pPr>
      <w:r w:rsidRPr="001D7FA9">
        <w:rPr>
          <w:rStyle w:val="TextoNormalNegritaCaracter"/>
        </w:rPr>
        <w:t>Artículo 11.1.</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0A914016" w14:textId="4A5F3C5B" w:rsidR="001D7FA9" w:rsidRDefault="001D7FA9" w:rsidP="001D7FA9">
      <w:pPr>
        <w:pStyle w:val="SangriaFrancesaArticulo"/>
      </w:pPr>
      <w:r w:rsidRPr="001D7FA9">
        <w:rPr>
          <w:rStyle w:val="TextoNormalNegritaCaracter"/>
        </w:rPr>
        <w:t>Artículo 14.3.</w:t>
      </w:r>
      <w:r w:rsidRPr="001D7FA9">
        <w:rPr>
          <w:rStyle w:val="TextoNormalCaracter"/>
        </w:rPr>
        <w:t>-</w:t>
      </w:r>
      <w:r>
        <w:t xml:space="preserve"> Sentencia </w:t>
      </w:r>
      <w:hyperlink w:anchor="SENTENCIA_2025_133" w:history="1">
        <w:r w:rsidRPr="001D7FA9">
          <w:rPr>
            <w:rStyle w:val="TextoNormalCaracter"/>
          </w:rPr>
          <w:t>133/2025</w:t>
        </w:r>
      </w:hyperlink>
      <w:r>
        <w:t>, ff. 1 a 4.</w:t>
      </w:r>
    </w:p>
    <w:p w14:paraId="7E071334" w14:textId="50137356" w:rsidR="001D7FA9" w:rsidRDefault="001D7FA9" w:rsidP="001D7FA9">
      <w:pPr>
        <w:pStyle w:val="SangriaFrancesaArticulo"/>
      </w:pPr>
      <w:r w:rsidRPr="001D7FA9">
        <w:rPr>
          <w:rStyle w:val="TextoNormalNegritaCaracter"/>
        </w:rPr>
        <w:t>Artículo 14.3 inciso "este mismo precepto se aplicará a los efectos de la exigencia de vacunación".</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131F5BA0" w14:textId="7CF04E87" w:rsidR="001D7FA9" w:rsidRDefault="001D7FA9" w:rsidP="001D7FA9">
      <w:pPr>
        <w:pStyle w:val="SangriaFrancesaArticulo"/>
      </w:pPr>
      <w:r w:rsidRPr="001D7FA9">
        <w:rPr>
          <w:rStyle w:val="TextoNormalNegritaCaracter"/>
        </w:rPr>
        <w:t>Artículo 15.</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758DEDD9" w14:textId="7A8DEAF4" w:rsidR="001D7FA9" w:rsidRDefault="001D7FA9" w:rsidP="001D7FA9">
      <w:pPr>
        <w:pStyle w:val="SangriaFrancesaArticulo"/>
      </w:pPr>
      <w:r w:rsidRPr="001D7FA9">
        <w:rPr>
          <w:rStyle w:val="TextoNormalNegritaCaracter"/>
        </w:rPr>
        <w:t>Artículo 15.2.</w:t>
      </w:r>
      <w:r w:rsidRPr="001D7FA9">
        <w:rPr>
          <w:rStyle w:val="TextoNormalCaracter"/>
        </w:rPr>
        <w:t>-</w:t>
      </w:r>
      <w:r>
        <w:t xml:space="preserve"> Sentencia </w:t>
      </w:r>
      <w:hyperlink w:anchor="SENTENCIA_2025_133" w:history="1">
        <w:r w:rsidRPr="001D7FA9">
          <w:rPr>
            <w:rStyle w:val="TextoNormalCaracter"/>
          </w:rPr>
          <w:t>133/2025</w:t>
        </w:r>
      </w:hyperlink>
      <w:r>
        <w:t>, ff. 1 a 4.</w:t>
      </w:r>
    </w:p>
    <w:p w14:paraId="1270B6B3" w14:textId="608B8FA0" w:rsidR="001D7FA9" w:rsidRDefault="001D7FA9" w:rsidP="001D7FA9">
      <w:pPr>
        <w:pStyle w:val="SangriaFrancesaArticulo"/>
      </w:pPr>
      <w:r w:rsidRPr="001D7FA9">
        <w:rPr>
          <w:rStyle w:val="TextoNormalNegritaCaracter"/>
        </w:rPr>
        <w:t>Artículo 19.3.</w:t>
      </w:r>
      <w:r w:rsidRPr="001D7FA9">
        <w:rPr>
          <w:rStyle w:val="TextoNormalCaracter"/>
        </w:rPr>
        <w:t>-</w:t>
      </w:r>
      <w:r>
        <w:t xml:space="preserve"> Sentencia </w:t>
      </w:r>
      <w:hyperlink w:anchor="SENTENCIA_2025_133" w:history="1">
        <w:r w:rsidRPr="001D7FA9">
          <w:rPr>
            <w:rStyle w:val="TextoNormalCaracter"/>
          </w:rPr>
          <w:t>133/2025</w:t>
        </w:r>
      </w:hyperlink>
      <w:r>
        <w:t>, ff. 1, 4.</w:t>
      </w:r>
    </w:p>
    <w:p w14:paraId="6003CF46" w14:textId="13ADF8AE" w:rsidR="001D7FA9" w:rsidRDefault="001D7FA9" w:rsidP="001D7FA9">
      <w:pPr>
        <w:pStyle w:val="SangriaFrancesaArticulo"/>
      </w:pPr>
      <w:r w:rsidRPr="001D7FA9">
        <w:rPr>
          <w:rStyle w:val="TextoNormalNegritaCaracter"/>
        </w:rPr>
        <w:t>Artículo 23.1.</w:t>
      </w:r>
      <w:r w:rsidRPr="001D7FA9">
        <w:rPr>
          <w:rStyle w:val="TextoNormalCaracter"/>
        </w:rPr>
        <w:t>-</w:t>
      </w:r>
      <w:r>
        <w:t xml:space="preserve"> Sentencia </w:t>
      </w:r>
      <w:hyperlink w:anchor="SENTENCIA_2025_133" w:history="1">
        <w:r w:rsidRPr="001D7FA9">
          <w:rPr>
            <w:rStyle w:val="TextoNormalCaracter"/>
          </w:rPr>
          <w:t>133/2025</w:t>
        </w:r>
      </w:hyperlink>
      <w:r>
        <w:t>, ff. 1, 3.</w:t>
      </w:r>
    </w:p>
    <w:p w14:paraId="44815D2B" w14:textId="2667E953" w:rsidR="001D7FA9" w:rsidRDefault="001D7FA9" w:rsidP="001D7FA9">
      <w:pPr>
        <w:pStyle w:val="SangriaFrancesaArticulo"/>
      </w:pPr>
      <w:r w:rsidRPr="001D7FA9">
        <w:rPr>
          <w:rStyle w:val="TextoNormalNegritaCaracter"/>
        </w:rPr>
        <w:t>Artículo 23.1 a).</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7AF7615C" w14:textId="08D00540" w:rsidR="001D7FA9" w:rsidRDefault="001D7FA9" w:rsidP="001D7FA9">
      <w:pPr>
        <w:pStyle w:val="SangriaFrancesaArticulo"/>
      </w:pPr>
      <w:r w:rsidRPr="001D7FA9">
        <w:rPr>
          <w:rStyle w:val="TextoNormalNegritaCaracter"/>
        </w:rPr>
        <w:t>Artículo 23.1 b).</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243C9659" w14:textId="14F0C3B8" w:rsidR="001D7FA9" w:rsidRDefault="001D7FA9" w:rsidP="001D7FA9">
      <w:pPr>
        <w:pStyle w:val="SangriaFrancesaArticulo"/>
      </w:pPr>
      <w:r w:rsidRPr="001D7FA9">
        <w:rPr>
          <w:rStyle w:val="TextoNormalNegritaCaracter"/>
        </w:rPr>
        <w:t>Artículo 23.2.</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66FD2C8A" w14:textId="66BF07B5" w:rsidR="001D7FA9" w:rsidRDefault="001D7FA9" w:rsidP="001D7FA9">
      <w:pPr>
        <w:pStyle w:val="SangriaFrancesaArticulo"/>
      </w:pPr>
      <w:r w:rsidRPr="001D7FA9">
        <w:rPr>
          <w:rStyle w:val="TextoNormalNegritaCaracter"/>
        </w:rPr>
        <w:t>Artículo 23.3.</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000E37F5" w14:textId="7EC611DB" w:rsidR="001D7FA9" w:rsidRDefault="001D7FA9" w:rsidP="001D7FA9">
      <w:pPr>
        <w:pStyle w:val="SangriaFrancesaArticulo"/>
      </w:pPr>
      <w:r w:rsidRPr="001D7FA9">
        <w:rPr>
          <w:rStyle w:val="TextoNormalNegritaCaracter"/>
        </w:rPr>
        <w:t>Artículo 23.4.</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3937146D" w14:textId="4A53A04D" w:rsidR="001D7FA9" w:rsidRDefault="001D7FA9" w:rsidP="001D7FA9">
      <w:pPr>
        <w:pStyle w:val="SangriaFrancesaArticulo"/>
      </w:pPr>
      <w:r w:rsidRPr="001D7FA9">
        <w:rPr>
          <w:rStyle w:val="TextoNormalNegritaCaracter"/>
        </w:rPr>
        <w:t>Artículo 23.5.</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14BF7B41" w14:textId="2D2514DF" w:rsidR="001D7FA9" w:rsidRDefault="001D7FA9" w:rsidP="001D7FA9">
      <w:pPr>
        <w:pStyle w:val="SangriaFrancesaArticulo"/>
      </w:pPr>
      <w:r w:rsidRPr="001D7FA9">
        <w:rPr>
          <w:rStyle w:val="TextoNormalNegritaCaracter"/>
        </w:rPr>
        <w:t>Artículo 24.3.</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6445195E" w14:textId="09062E03" w:rsidR="001D7FA9" w:rsidRDefault="001D7FA9" w:rsidP="001D7FA9">
      <w:pPr>
        <w:pStyle w:val="SangriaFrancesaArticulo"/>
      </w:pPr>
      <w:r w:rsidRPr="001D7FA9">
        <w:rPr>
          <w:rStyle w:val="TextoNormalNegritaCaracter"/>
        </w:rPr>
        <w:t>Artículo 26.1.</w:t>
      </w:r>
      <w:r w:rsidRPr="001D7FA9">
        <w:rPr>
          <w:rStyle w:val="TextoNormalCaracter"/>
        </w:rPr>
        <w:t>-</w:t>
      </w:r>
      <w:r>
        <w:t xml:space="preserve"> Sentencia </w:t>
      </w:r>
      <w:hyperlink w:anchor="SENTENCIA_2025_133" w:history="1">
        <w:r w:rsidRPr="001D7FA9">
          <w:rPr>
            <w:rStyle w:val="TextoNormalCaracter"/>
          </w:rPr>
          <w:t>133/2025</w:t>
        </w:r>
      </w:hyperlink>
      <w:r>
        <w:t>, ff. 1, 3.</w:t>
      </w:r>
    </w:p>
    <w:p w14:paraId="0F9EADFE" w14:textId="0446436C" w:rsidR="001D7FA9" w:rsidRDefault="001D7FA9" w:rsidP="001D7FA9">
      <w:pPr>
        <w:pStyle w:val="SangriaFrancesaArticulo"/>
      </w:pPr>
      <w:r w:rsidRPr="001D7FA9">
        <w:rPr>
          <w:rStyle w:val="TextoNormalNegritaCaracter"/>
        </w:rPr>
        <w:t>Artículo 26.3.</w:t>
      </w:r>
      <w:r w:rsidRPr="001D7FA9">
        <w:rPr>
          <w:rStyle w:val="TextoNormalCaracter"/>
        </w:rPr>
        <w:t>-</w:t>
      </w:r>
      <w:r>
        <w:t xml:space="preserve"> Sentencia </w:t>
      </w:r>
      <w:hyperlink w:anchor="SENTENCIA_2025_133" w:history="1">
        <w:r w:rsidRPr="001D7FA9">
          <w:rPr>
            <w:rStyle w:val="TextoNormalCaracter"/>
          </w:rPr>
          <w:t>133/2025</w:t>
        </w:r>
      </w:hyperlink>
      <w:r>
        <w:t>, ff. 1, 3.</w:t>
      </w:r>
    </w:p>
    <w:p w14:paraId="60253B32" w14:textId="67E3951D" w:rsidR="001D7FA9" w:rsidRDefault="001D7FA9" w:rsidP="001D7FA9">
      <w:pPr>
        <w:pStyle w:val="SangriaFrancesaArticulo"/>
      </w:pPr>
      <w:r w:rsidRPr="001D7FA9">
        <w:rPr>
          <w:rStyle w:val="TextoNormalNegritaCaracter"/>
        </w:rPr>
        <w:t>Apartado a) del artículo 28.1.</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09C34F8A" w14:textId="173A6D0A" w:rsidR="001D7FA9" w:rsidRDefault="001D7FA9" w:rsidP="001D7FA9">
      <w:pPr>
        <w:pStyle w:val="SangriaFrancesaArticulo"/>
      </w:pPr>
      <w:r w:rsidRPr="001D7FA9">
        <w:rPr>
          <w:rStyle w:val="TextoNormalNegritaCaracter"/>
        </w:rPr>
        <w:t>Apartado d) del artículo 40.1.</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7F194F4C" w14:textId="5A0F49D8" w:rsidR="001D7FA9" w:rsidRDefault="001D7FA9" w:rsidP="001D7FA9">
      <w:pPr>
        <w:pStyle w:val="SangriaFrancesaArticulo"/>
      </w:pPr>
      <w:r w:rsidRPr="001D7FA9">
        <w:rPr>
          <w:rStyle w:val="TextoNormalNegritaCaracter"/>
        </w:rPr>
        <w:t>Apartado e) del artículo 40.2.</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5168E14B" w14:textId="06E3F612" w:rsidR="001D7FA9" w:rsidRDefault="001D7FA9" w:rsidP="001D7FA9">
      <w:pPr>
        <w:pStyle w:val="SangriaFrancesaArticulo"/>
      </w:pPr>
      <w:r w:rsidRPr="001D7FA9">
        <w:rPr>
          <w:rStyle w:val="TextoNormalNegritaCaracter"/>
        </w:rPr>
        <w:t>Artículo 24.4.</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6AF142A0" w14:textId="369B48B8" w:rsidR="001D7FA9" w:rsidRDefault="001D7FA9" w:rsidP="001D7FA9">
      <w:pPr>
        <w:pStyle w:val="SangriaFrancesaArticulo"/>
      </w:pPr>
      <w:r w:rsidRPr="001D7FA9">
        <w:rPr>
          <w:rStyle w:val="TextoNormalNegritaCaracter"/>
        </w:rPr>
        <w:t>Artículo 30.1.</w:t>
      </w:r>
      <w:r w:rsidRPr="001D7FA9">
        <w:rPr>
          <w:rStyle w:val="TextoNormalCaracter"/>
        </w:rPr>
        <w:t>-</w:t>
      </w:r>
      <w:r>
        <w:t xml:space="preserve"> Sentencia </w:t>
      </w:r>
      <w:hyperlink w:anchor="SENTENCIA_2025_133" w:history="1">
        <w:r w:rsidRPr="001D7FA9">
          <w:rPr>
            <w:rStyle w:val="TextoNormalCaracter"/>
          </w:rPr>
          <w:t>133/2025</w:t>
        </w:r>
      </w:hyperlink>
      <w:r>
        <w:t>, ff. 1, 3.</w:t>
      </w:r>
    </w:p>
    <w:p w14:paraId="45F412A6" w14:textId="3DDF4FC6" w:rsidR="001D7FA9" w:rsidRDefault="001D7FA9" w:rsidP="001D7FA9">
      <w:pPr>
        <w:pStyle w:val="SangriaFrancesaArticulo"/>
      </w:pPr>
      <w:r w:rsidRPr="001D7FA9">
        <w:rPr>
          <w:rStyle w:val="TextoNormalNegritaCaracter"/>
        </w:rPr>
        <w:t>Artículo 30.1 a).</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36D92DA4" w14:textId="4B70F311" w:rsidR="001D7FA9" w:rsidRDefault="001D7FA9" w:rsidP="001D7FA9">
      <w:pPr>
        <w:pStyle w:val="SangriaFrancesaArticulo"/>
      </w:pPr>
      <w:r w:rsidRPr="001D7FA9">
        <w:rPr>
          <w:rStyle w:val="TextoNormalNegritaCaracter"/>
        </w:rPr>
        <w:t>Artículo 30.1 b).</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3C48EEEE" w14:textId="4521EB39" w:rsidR="001D7FA9" w:rsidRDefault="001D7FA9" w:rsidP="001D7FA9">
      <w:pPr>
        <w:pStyle w:val="SangriaFrancesaArticulo"/>
      </w:pPr>
      <w:r w:rsidRPr="001D7FA9">
        <w:rPr>
          <w:rStyle w:val="TextoNormalNegritaCaracter"/>
        </w:rPr>
        <w:t>Artículo 30.1 c).</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54DFC332" w14:textId="23BADF68" w:rsidR="001D7FA9" w:rsidRDefault="001D7FA9" w:rsidP="001D7FA9">
      <w:pPr>
        <w:pStyle w:val="SangriaFrancesaArticulo"/>
      </w:pPr>
      <w:r w:rsidRPr="001D7FA9">
        <w:rPr>
          <w:rStyle w:val="TextoNormalNegritaCaracter"/>
        </w:rPr>
        <w:t>Artículo 32.1.</w:t>
      </w:r>
      <w:r w:rsidRPr="001D7FA9">
        <w:rPr>
          <w:rStyle w:val="TextoNormalCaracter"/>
        </w:rPr>
        <w:t>-</w:t>
      </w:r>
      <w:r>
        <w:t xml:space="preserve"> Sentencia </w:t>
      </w:r>
      <w:hyperlink w:anchor="SENTENCIA_2025_133" w:history="1">
        <w:r w:rsidRPr="001D7FA9">
          <w:rPr>
            <w:rStyle w:val="TextoNormalCaracter"/>
          </w:rPr>
          <w:t>133/2025</w:t>
        </w:r>
      </w:hyperlink>
      <w:r>
        <w:t>, ff. 1, 3.</w:t>
      </w:r>
    </w:p>
    <w:p w14:paraId="0FD71ECB" w14:textId="6C54A8E7" w:rsidR="001D7FA9" w:rsidRDefault="001D7FA9" w:rsidP="001D7FA9">
      <w:pPr>
        <w:pStyle w:val="SangriaFrancesaArticulo"/>
      </w:pPr>
      <w:r w:rsidRPr="001D7FA9">
        <w:rPr>
          <w:rStyle w:val="TextoNormalNegritaCaracter"/>
        </w:rPr>
        <w:t>Artículo 32.1 a).</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2F607B9E" w14:textId="016E299F" w:rsidR="001D7FA9" w:rsidRDefault="001D7FA9" w:rsidP="001D7FA9">
      <w:pPr>
        <w:pStyle w:val="SangriaFrancesaArticulo"/>
      </w:pPr>
      <w:r w:rsidRPr="001D7FA9">
        <w:rPr>
          <w:rStyle w:val="TextoNormalNegritaCaracter"/>
        </w:rPr>
        <w:t>Artículo 32.1 b).</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5044D4E0" w14:textId="1E0BD7C6" w:rsidR="001D7FA9" w:rsidRDefault="001D7FA9" w:rsidP="001D7FA9">
      <w:pPr>
        <w:pStyle w:val="SangriaFrancesaArticulo"/>
      </w:pPr>
      <w:r w:rsidRPr="001D7FA9">
        <w:rPr>
          <w:rStyle w:val="TextoNormalNegritaCaracter"/>
        </w:rPr>
        <w:t>Artículo 33.2.</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0366DD39" w14:textId="7229F45E" w:rsidR="001D7FA9" w:rsidRDefault="001D7FA9" w:rsidP="001D7FA9">
      <w:pPr>
        <w:pStyle w:val="SangriaFrancesaArticulo"/>
      </w:pPr>
      <w:r w:rsidRPr="001D7FA9">
        <w:rPr>
          <w:rStyle w:val="TextoNormalNegritaCaracter"/>
        </w:rPr>
        <w:t>Artículo 34.1 a).</w:t>
      </w:r>
      <w:r w:rsidRPr="001D7FA9">
        <w:rPr>
          <w:rStyle w:val="TextoNormalCaracter"/>
        </w:rPr>
        <w:t>-</w:t>
      </w:r>
      <w:r>
        <w:t xml:space="preserve"> Sentencia </w:t>
      </w:r>
      <w:hyperlink w:anchor="SENTENCIA_2025_133" w:history="1">
        <w:r w:rsidRPr="001D7FA9">
          <w:rPr>
            <w:rStyle w:val="TextoNormalCaracter"/>
          </w:rPr>
          <w:t>133/2025</w:t>
        </w:r>
      </w:hyperlink>
      <w:r>
        <w:t>, ff. 1, 3.</w:t>
      </w:r>
    </w:p>
    <w:p w14:paraId="6BA9ACB6" w14:textId="6BAE94EF" w:rsidR="001D7FA9" w:rsidRDefault="001D7FA9" w:rsidP="001D7FA9">
      <w:pPr>
        <w:pStyle w:val="SangriaFrancesaArticulo"/>
      </w:pPr>
      <w:r w:rsidRPr="001D7FA9">
        <w:rPr>
          <w:rStyle w:val="TextoNormalNegritaCaracter"/>
        </w:rPr>
        <w:t>Artículo 34.1 b).</w:t>
      </w:r>
      <w:r w:rsidRPr="001D7FA9">
        <w:rPr>
          <w:rStyle w:val="TextoNormalCaracter"/>
        </w:rPr>
        <w:t>-</w:t>
      </w:r>
      <w:r>
        <w:t xml:space="preserve"> Sentencia </w:t>
      </w:r>
      <w:hyperlink w:anchor="SENTENCIA_2025_133" w:history="1">
        <w:r w:rsidRPr="001D7FA9">
          <w:rPr>
            <w:rStyle w:val="TextoNormalCaracter"/>
          </w:rPr>
          <w:t>133/2025</w:t>
        </w:r>
      </w:hyperlink>
      <w:r>
        <w:t>, ff. 1, 3.</w:t>
      </w:r>
    </w:p>
    <w:p w14:paraId="005EE488" w14:textId="740A7861" w:rsidR="001D7FA9" w:rsidRDefault="001D7FA9" w:rsidP="001D7FA9">
      <w:pPr>
        <w:pStyle w:val="SangriaFrancesaArticulo"/>
      </w:pPr>
      <w:r w:rsidRPr="001D7FA9">
        <w:rPr>
          <w:rStyle w:val="TextoNormalNegritaCaracter"/>
        </w:rPr>
        <w:t>Artículos 35 a 43.</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428AB37B" w14:textId="19548E27" w:rsidR="001D7FA9" w:rsidRDefault="001D7FA9" w:rsidP="001D7FA9">
      <w:pPr>
        <w:pStyle w:val="SangriaFrancesaArticulo"/>
      </w:pPr>
      <w:r w:rsidRPr="001D7FA9">
        <w:rPr>
          <w:rStyle w:val="TextoNormalNegritaCaracter"/>
        </w:rPr>
        <w:t>Artículo 36.2 a).</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22005B41" w14:textId="47BA794E" w:rsidR="001D7FA9" w:rsidRDefault="001D7FA9" w:rsidP="001D7FA9">
      <w:pPr>
        <w:pStyle w:val="SangriaFrancesaArticulo"/>
      </w:pPr>
      <w:r w:rsidRPr="001D7FA9">
        <w:rPr>
          <w:rStyle w:val="TextoNormalNegritaCaracter"/>
        </w:rPr>
        <w:t>Artículo 36.2 b).</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104643FB" w14:textId="0114BE19" w:rsidR="001D7FA9" w:rsidRDefault="001D7FA9" w:rsidP="001D7FA9">
      <w:pPr>
        <w:pStyle w:val="SangriaFrancesaArticulo"/>
      </w:pPr>
      <w:r w:rsidRPr="001D7FA9">
        <w:rPr>
          <w:rStyle w:val="TextoNormalNegritaCaracter"/>
        </w:rPr>
        <w:t>Artículo 36.2 c).</w:t>
      </w:r>
      <w:r w:rsidRPr="001D7FA9">
        <w:rPr>
          <w:rStyle w:val="TextoNormalCaracter"/>
        </w:rPr>
        <w:t>-</w:t>
      </w:r>
      <w:r>
        <w:t xml:space="preserve"> Sentencia </w:t>
      </w:r>
      <w:hyperlink w:anchor="SENTENCIA_2025_133" w:history="1">
        <w:r w:rsidRPr="001D7FA9">
          <w:rPr>
            <w:rStyle w:val="TextoNormalCaracter"/>
          </w:rPr>
          <w:t>133/2025</w:t>
        </w:r>
      </w:hyperlink>
      <w:r>
        <w:t>, ff. 1, 2.</w:t>
      </w:r>
    </w:p>
    <w:p w14:paraId="5A04E3B4" w14:textId="3B2225CF" w:rsidR="001D7FA9" w:rsidRDefault="001D7FA9" w:rsidP="001D7FA9">
      <w:pPr>
        <w:pStyle w:val="SangriaFrancesaArticulo"/>
      </w:pPr>
      <w:r w:rsidRPr="001D7FA9">
        <w:rPr>
          <w:rStyle w:val="TextoNormalNegritaCaracter"/>
        </w:rPr>
        <w:t>Artículo 40.</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5C981070" w14:textId="1912C661" w:rsidR="001D7FA9" w:rsidRDefault="001D7FA9" w:rsidP="001D7FA9">
      <w:pPr>
        <w:pStyle w:val="SangriaFrancesaArticulo"/>
      </w:pPr>
      <w:r w:rsidRPr="001D7FA9">
        <w:rPr>
          <w:rStyle w:val="TextoNormalNegritaCaracter"/>
        </w:rPr>
        <w:t>Artículo 40.1 d).</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1CCA4F8C" w14:textId="21F097DC" w:rsidR="001D7FA9" w:rsidRDefault="001D7FA9" w:rsidP="001D7FA9">
      <w:pPr>
        <w:pStyle w:val="SangriaFrancesaArticulo"/>
      </w:pPr>
      <w:r w:rsidRPr="001D7FA9">
        <w:rPr>
          <w:rStyle w:val="TextoNormalNegritaCaracter"/>
        </w:rPr>
        <w:t>Artículo 40.1 f).</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0425D2F8" w14:textId="75377100" w:rsidR="001D7FA9" w:rsidRDefault="001D7FA9" w:rsidP="001D7FA9">
      <w:pPr>
        <w:pStyle w:val="SangriaFrancesaArticulo"/>
      </w:pPr>
      <w:r w:rsidRPr="001D7FA9">
        <w:rPr>
          <w:rStyle w:val="TextoNormalNegritaCaracter"/>
        </w:rPr>
        <w:t>Artículo 40.1 f) inciso "restricción de la movilidad nocturna y de limitación de la libertad de circulación de las personas en horario nocturno".</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4DC5711C" w14:textId="26EC386B" w:rsidR="001D7FA9" w:rsidRDefault="001D7FA9" w:rsidP="001D7FA9">
      <w:pPr>
        <w:pStyle w:val="SangriaFrancesaArticulo"/>
      </w:pPr>
      <w:r w:rsidRPr="001D7FA9">
        <w:rPr>
          <w:rStyle w:val="TextoNormalNegritaCaracter"/>
        </w:rPr>
        <w:t>Artículo 40.2 e).</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1A5AA0B3" w14:textId="10C4E26B" w:rsidR="001D7FA9" w:rsidRDefault="001D7FA9" w:rsidP="001D7FA9">
      <w:pPr>
        <w:pStyle w:val="SangriaFrancesaArticulo"/>
      </w:pPr>
      <w:r w:rsidRPr="001D7FA9">
        <w:rPr>
          <w:rStyle w:val="TextoNormalNegritaCaracter"/>
        </w:rPr>
        <w:t>Artículo 40.3 j).</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044EBDD9" w14:textId="47715C62" w:rsidR="001D7FA9" w:rsidRDefault="001D7FA9" w:rsidP="001D7FA9">
      <w:pPr>
        <w:pStyle w:val="SangriaFrancesaArticulo"/>
      </w:pPr>
      <w:r w:rsidRPr="001D7FA9">
        <w:rPr>
          <w:rStyle w:val="TextoNormalNegritaCaracter"/>
        </w:rPr>
        <w:t>Artículo 40.3 j) inciso "o de los límites del número de asistentes a los actos y reuniones sociales de carácter privado".</w:t>
      </w:r>
      <w:r w:rsidRPr="001D7FA9">
        <w:rPr>
          <w:rStyle w:val="TextoNormalCaracter"/>
        </w:rPr>
        <w:t>-</w:t>
      </w:r>
      <w:r>
        <w:t xml:space="preserve"> Sentencia </w:t>
      </w:r>
      <w:hyperlink w:anchor="SENTENCIA_2025_133" w:history="1">
        <w:r w:rsidRPr="001D7FA9">
          <w:rPr>
            <w:rStyle w:val="TextoNormalCaracter"/>
          </w:rPr>
          <w:t>133/2025</w:t>
        </w:r>
      </w:hyperlink>
      <w:r>
        <w:t>, f. 3.</w:t>
      </w:r>
    </w:p>
    <w:p w14:paraId="5AB133B6" w14:textId="5B19B557" w:rsidR="001D7FA9" w:rsidRDefault="001D7FA9" w:rsidP="001D7FA9">
      <w:pPr>
        <w:pStyle w:val="TextoNormal"/>
      </w:pPr>
    </w:p>
    <w:p w14:paraId="0FEF6B0C" w14:textId="77777777" w:rsidR="001D7FA9" w:rsidRDefault="001D7FA9" w:rsidP="001D7FA9">
      <w:pPr>
        <w:pStyle w:val="TextoNormalNegritaCentradoSubrayado"/>
        <w:suppressAutoHyphens/>
      </w:pPr>
      <w:r>
        <w:t>J.14.c) Decretos y otras disposiciones reglamentarias</w:t>
      </w:r>
    </w:p>
    <w:p w14:paraId="337CD46E" w14:textId="56EE52E8" w:rsidR="001D7FA9" w:rsidRDefault="001D7FA9" w:rsidP="001D7FA9">
      <w:pPr>
        <w:pStyle w:val="TextoNormalNegritaCentradoSubrayado"/>
      </w:pPr>
    </w:p>
    <w:p w14:paraId="4B17691D" w14:textId="77777777" w:rsidR="001D7FA9" w:rsidRDefault="001D7FA9" w:rsidP="001D7FA9">
      <w:pPr>
        <w:pStyle w:val="TextoNormalNegritaCursivandice"/>
        <w:keepNext/>
      </w:pPr>
      <w:r>
        <w:t>Comunidad Autónoma del País Vasco. Instrucción 2/2023, del viceconsejero de Vivienda, sobre el procedimiento de conciliación o intermediación previsto en la Ley 12/2023, de 24 de mayo, por el derecho a la vivienda</w:t>
      </w:r>
    </w:p>
    <w:p w14:paraId="315258F9" w14:textId="276DB72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12427456" w14:textId="1A75B94C" w:rsidR="001D7FA9" w:rsidRDefault="001D7FA9" w:rsidP="001D7FA9">
      <w:pPr>
        <w:pStyle w:val="SangriaFrancesaArticulo"/>
      </w:pPr>
    </w:p>
    <w:p w14:paraId="2382FE60" w14:textId="77777777" w:rsidR="001D7FA9" w:rsidRDefault="001D7FA9" w:rsidP="001D7FA9">
      <w:pPr>
        <w:pStyle w:val="TextoNormalNegritaCursivandice"/>
        <w:keepNext/>
      </w:pPr>
      <w:r>
        <w:t>Comunidad Autónoma del País Vasco. Instrucción 1/2024, del viceconsejero de Vivienda, sobre el procedimiento de conciliación o intermediación previsto en la Ley 12/2023, de 24 de mayo, por el derecho a la vivienda</w:t>
      </w:r>
    </w:p>
    <w:p w14:paraId="7DC766E2" w14:textId="35FFC74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6" w:history="1">
        <w:r w:rsidRPr="001D7FA9">
          <w:rPr>
            <w:rStyle w:val="TextoNormalCaracter"/>
          </w:rPr>
          <w:t>26/2025</w:t>
        </w:r>
      </w:hyperlink>
      <w:r>
        <w:t>, VP II.</w:t>
      </w:r>
    </w:p>
    <w:p w14:paraId="13583193" w14:textId="3972A241" w:rsidR="001D7FA9" w:rsidRDefault="001D7FA9" w:rsidP="001D7FA9">
      <w:pPr>
        <w:pStyle w:val="TextoNormal"/>
      </w:pPr>
    </w:p>
    <w:p w14:paraId="3AE53A46" w14:textId="77777777" w:rsidR="001D7FA9" w:rsidRDefault="001D7FA9" w:rsidP="001D7FA9">
      <w:pPr>
        <w:pStyle w:val="TextoNormalNegritaCentradoSubrayado"/>
        <w:suppressAutoHyphens/>
      </w:pPr>
      <w:r>
        <w:t>J.14.d) Disposiciones parlamentarias autonómicas</w:t>
      </w:r>
    </w:p>
    <w:p w14:paraId="1C6DADCA" w14:textId="36B0E245" w:rsidR="001D7FA9" w:rsidRDefault="001D7FA9" w:rsidP="001D7FA9">
      <w:pPr>
        <w:pStyle w:val="TextoNormalNegritaCentradoSubrayado"/>
      </w:pPr>
    </w:p>
    <w:p w14:paraId="479D369D" w14:textId="77777777" w:rsidR="001D7FA9" w:rsidRDefault="001D7FA9" w:rsidP="001D7FA9">
      <w:pPr>
        <w:pStyle w:val="TextoNormalNegritaCursivandice"/>
        <w:keepNext/>
      </w:pPr>
      <w:r>
        <w:t>Comunidad Autónoma del País Vasco. Reglamento del Parlamento Vasco, aprobado por el Pleno el 30 de junio de 2011</w:t>
      </w:r>
    </w:p>
    <w:p w14:paraId="7E04EC92" w14:textId="4A51D035" w:rsidR="001D7FA9" w:rsidRDefault="001D7FA9" w:rsidP="001D7FA9">
      <w:pPr>
        <w:pStyle w:val="SangriaFrancesaArticulo"/>
      </w:pPr>
      <w:r w:rsidRPr="001D7FA9">
        <w:rPr>
          <w:rStyle w:val="TextoNormalNegritaCaracter"/>
        </w:rPr>
        <w:t>Artículo 36.1.</w:t>
      </w:r>
      <w:r w:rsidRPr="001D7FA9">
        <w:rPr>
          <w:rStyle w:val="TextoNormalCaracter"/>
        </w:rPr>
        <w:t>-</w:t>
      </w:r>
      <w:r>
        <w:t xml:space="preserve"> Sentencia </w:t>
      </w:r>
      <w:hyperlink w:anchor="SENTENCIA_2025_97" w:history="1">
        <w:r w:rsidRPr="001D7FA9">
          <w:rPr>
            <w:rStyle w:val="TextoNormalCaracter"/>
          </w:rPr>
          <w:t>97/2025</w:t>
        </w:r>
      </w:hyperlink>
      <w:r>
        <w:t>, f. 3.</w:t>
      </w:r>
    </w:p>
    <w:p w14:paraId="202C21D6" w14:textId="64F2A43F" w:rsidR="001D7FA9" w:rsidRDefault="001D7FA9" w:rsidP="001D7FA9">
      <w:pPr>
        <w:pStyle w:val="SangriaFrancesaArticulo"/>
      </w:pPr>
      <w:r w:rsidRPr="001D7FA9">
        <w:rPr>
          <w:rStyle w:val="TextoNormalNegritaCaracter"/>
        </w:rPr>
        <w:t>Artículo 36.2.</w:t>
      </w:r>
      <w:r w:rsidRPr="001D7FA9">
        <w:rPr>
          <w:rStyle w:val="TextoNormalCaracter"/>
        </w:rPr>
        <w:t>-</w:t>
      </w:r>
      <w:r>
        <w:t xml:space="preserve"> Sentencia </w:t>
      </w:r>
      <w:hyperlink w:anchor="SENTENCIA_2025_97" w:history="1">
        <w:r w:rsidRPr="001D7FA9">
          <w:rPr>
            <w:rStyle w:val="TextoNormalCaracter"/>
          </w:rPr>
          <w:t>97/2025</w:t>
        </w:r>
      </w:hyperlink>
      <w:r>
        <w:t>, ff. 2, 3.</w:t>
      </w:r>
    </w:p>
    <w:p w14:paraId="60F3D793" w14:textId="3FC16B9E" w:rsidR="001D7FA9" w:rsidRDefault="001D7FA9" w:rsidP="001D7FA9">
      <w:pPr>
        <w:pStyle w:val="SangriaFrancesaArticulo"/>
      </w:pPr>
      <w:r w:rsidRPr="001D7FA9">
        <w:rPr>
          <w:rStyle w:val="TextoNormalNegritaCaracter"/>
        </w:rPr>
        <w:t>Artículo 63.</w:t>
      </w:r>
      <w:r w:rsidRPr="001D7FA9">
        <w:rPr>
          <w:rStyle w:val="TextoNormalCaracter"/>
        </w:rPr>
        <w:t>-</w:t>
      </w:r>
      <w:r>
        <w:t xml:space="preserve"> Sentencia </w:t>
      </w:r>
      <w:hyperlink w:anchor="SENTENCIA_2025_97" w:history="1">
        <w:r w:rsidRPr="001D7FA9">
          <w:rPr>
            <w:rStyle w:val="TextoNormalCaracter"/>
          </w:rPr>
          <w:t>97/2025</w:t>
        </w:r>
      </w:hyperlink>
      <w:r>
        <w:t>, f. 3.</w:t>
      </w:r>
    </w:p>
    <w:p w14:paraId="08467886" w14:textId="128A5BE3" w:rsidR="001D7FA9" w:rsidRDefault="001D7FA9" w:rsidP="001D7FA9">
      <w:pPr>
        <w:pStyle w:val="TextoNormal"/>
      </w:pPr>
    </w:p>
    <w:p w14:paraId="11F392D6" w14:textId="77777777" w:rsidR="001D7FA9" w:rsidRDefault="001D7FA9" w:rsidP="001D7FA9">
      <w:pPr>
        <w:pStyle w:val="SangriaFrancesaArticulo"/>
      </w:pPr>
      <w:bookmarkStart w:id="221" w:name="INDICE22869"/>
    </w:p>
    <w:bookmarkEnd w:id="221"/>
    <w:p w14:paraId="370FF809" w14:textId="77777777" w:rsidR="001D7FA9" w:rsidRDefault="001D7FA9" w:rsidP="001D7FA9">
      <w:pPr>
        <w:pStyle w:val="TextoIndiceNivel2"/>
        <w:suppressAutoHyphens/>
      </w:pPr>
      <w:r>
        <w:t>K) Territorios históricos y corporaciones locales</w:t>
      </w:r>
    </w:p>
    <w:p w14:paraId="6A09B6CF" w14:textId="11B710E6" w:rsidR="001D7FA9" w:rsidRDefault="001D7FA9" w:rsidP="001D7FA9">
      <w:pPr>
        <w:pStyle w:val="TextoNormal"/>
      </w:pPr>
    </w:p>
    <w:p w14:paraId="1B8F560E" w14:textId="77777777" w:rsidR="001D7FA9" w:rsidRDefault="001D7FA9" w:rsidP="001D7FA9">
      <w:pPr>
        <w:pStyle w:val="TextoNormalNegritaCentrado"/>
        <w:suppressAutoHyphens/>
      </w:pPr>
      <w:r w:rsidRPr="001D7FA9">
        <w:rPr>
          <w:rStyle w:val="TextoNormalNegritaCentradoSombreado"/>
        </w:rPr>
        <w:t>K.15) Territorios históricos</w:t>
      </w:r>
    </w:p>
    <w:p w14:paraId="1E41B158" w14:textId="593D310B" w:rsidR="001D7FA9" w:rsidRDefault="001D7FA9" w:rsidP="001D7FA9">
      <w:pPr>
        <w:pStyle w:val="TextoNormal"/>
      </w:pPr>
    </w:p>
    <w:p w14:paraId="6165BC24" w14:textId="77777777" w:rsidR="001D7FA9" w:rsidRDefault="001D7FA9" w:rsidP="001D7FA9">
      <w:pPr>
        <w:pStyle w:val="TextoNormalNegritaCentradoSubrayado"/>
        <w:suppressAutoHyphens/>
      </w:pPr>
      <w:r>
        <w:t>K.15.1) Gipuzkoa</w:t>
      </w:r>
    </w:p>
    <w:p w14:paraId="0D439DCC" w14:textId="7609649C" w:rsidR="001D7FA9" w:rsidRDefault="001D7FA9" w:rsidP="001D7FA9">
      <w:pPr>
        <w:pStyle w:val="TextoNormalNegritaCentradoSubrayado"/>
      </w:pPr>
    </w:p>
    <w:p w14:paraId="6EADBD40" w14:textId="77777777" w:rsidR="001D7FA9" w:rsidRDefault="001D7FA9" w:rsidP="001D7FA9">
      <w:pPr>
        <w:pStyle w:val="TextoNormalNegritaCursivandice"/>
        <w:keepNext/>
      </w:pPr>
      <w:r>
        <w:t>Territorio Histórico de Gipuzkoa. Norma Foral 16/1989, de 5 de julio, del impuesto sobre el incremento de valor de los terrenos de naturaleza urbana</w:t>
      </w:r>
    </w:p>
    <w:p w14:paraId="52BD8496" w14:textId="35ED0B0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8" w:history="1">
        <w:r w:rsidRPr="001D7FA9">
          <w:rPr>
            <w:rStyle w:val="TextoNormalCaracter"/>
          </w:rPr>
          <w:t>98/2025</w:t>
        </w:r>
      </w:hyperlink>
      <w:r>
        <w:t>, VP.</w:t>
      </w:r>
    </w:p>
    <w:p w14:paraId="6B60248F" w14:textId="70B722DE" w:rsidR="001D7FA9" w:rsidRDefault="001D7FA9" w:rsidP="001D7FA9">
      <w:pPr>
        <w:pStyle w:val="SangriaFrancesaArticulo"/>
      </w:pPr>
      <w:r w:rsidRPr="001D7FA9">
        <w:rPr>
          <w:rStyle w:val="TextoNormalNegritaCaracter"/>
        </w:rPr>
        <w:t>Artículo 4.1 párrafo 2.</w:t>
      </w:r>
      <w:r w:rsidRPr="001D7FA9">
        <w:rPr>
          <w:rStyle w:val="TextoNormalCaracter"/>
        </w:rPr>
        <w:t>-</w:t>
      </w:r>
      <w:r>
        <w:t xml:space="preserve"> Sentencia </w:t>
      </w:r>
      <w:hyperlink w:anchor="SENTENCIA_2025_98" w:history="1">
        <w:r w:rsidRPr="001D7FA9">
          <w:rPr>
            <w:rStyle w:val="TextoNormalCaracter"/>
          </w:rPr>
          <w:t>98/2025</w:t>
        </w:r>
      </w:hyperlink>
      <w:r>
        <w:t>, f. 3.</w:t>
      </w:r>
    </w:p>
    <w:p w14:paraId="01AB4A13" w14:textId="03F4ACA8" w:rsidR="001D7FA9" w:rsidRDefault="001D7FA9" w:rsidP="001D7FA9">
      <w:pPr>
        <w:pStyle w:val="SangriaFrancesaArticulo"/>
      </w:pPr>
      <w:r w:rsidRPr="001D7FA9">
        <w:rPr>
          <w:rStyle w:val="TextoNormalNegritaCaracter"/>
        </w:rPr>
        <w:t>Artículo 4.2 a).</w:t>
      </w:r>
      <w:r w:rsidRPr="001D7FA9">
        <w:rPr>
          <w:rStyle w:val="TextoNormalCaracter"/>
        </w:rPr>
        <w:t>-</w:t>
      </w:r>
      <w:r>
        <w:t xml:space="preserve"> Sentencia </w:t>
      </w:r>
      <w:hyperlink w:anchor="SENTENCIA_2025_98" w:history="1">
        <w:r w:rsidRPr="001D7FA9">
          <w:rPr>
            <w:rStyle w:val="TextoNormalCaracter"/>
          </w:rPr>
          <w:t>98/2025</w:t>
        </w:r>
      </w:hyperlink>
      <w:r>
        <w:t>, f. 3.</w:t>
      </w:r>
    </w:p>
    <w:p w14:paraId="6A92B417" w14:textId="684F2C1E" w:rsidR="001D7FA9" w:rsidRDefault="001D7FA9" w:rsidP="001D7FA9">
      <w:pPr>
        <w:pStyle w:val="SangriaFrancesaArticulo"/>
      </w:pPr>
      <w:r w:rsidRPr="001D7FA9">
        <w:rPr>
          <w:rStyle w:val="TextoNormalNegritaCaracter"/>
        </w:rPr>
        <w:t>Artículo 4.3.</w:t>
      </w:r>
      <w:r w:rsidRPr="001D7FA9">
        <w:rPr>
          <w:rStyle w:val="TextoNormalCaracter"/>
        </w:rPr>
        <w:t>-</w:t>
      </w:r>
      <w:r>
        <w:t xml:space="preserve"> Sentencia </w:t>
      </w:r>
      <w:hyperlink w:anchor="SENTENCIA_2025_98" w:history="1">
        <w:r w:rsidRPr="001D7FA9">
          <w:rPr>
            <w:rStyle w:val="TextoNormalCaracter"/>
          </w:rPr>
          <w:t>98/2025</w:t>
        </w:r>
      </w:hyperlink>
      <w:r>
        <w:t>, f. 3.</w:t>
      </w:r>
    </w:p>
    <w:p w14:paraId="2AA9A859" w14:textId="49AC1AF3" w:rsidR="001D7FA9" w:rsidRDefault="001D7FA9" w:rsidP="001D7FA9">
      <w:pPr>
        <w:pStyle w:val="SangriaFrancesaArticulo"/>
      </w:pPr>
    </w:p>
    <w:p w14:paraId="18AEDF1D" w14:textId="77777777" w:rsidR="001D7FA9" w:rsidRDefault="001D7FA9" w:rsidP="001D7FA9">
      <w:pPr>
        <w:pStyle w:val="TextoNormalNegritaCursivandice"/>
        <w:keepNext/>
      </w:pPr>
      <w:r>
        <w:t>Territorio Histórico de Gipuzkoa. Decreto Foral-Norma 7/2021, de 16 de noviembre, de adaptación de la Norma Foral 16/1989, de 5 de julio, del impuesto sobre el incremento de valor de los terrenos de naturaleza urbana a la jurisprudencia del Tribunal Constitucional</w:t>
      </w:r>
    </w:p>
    <w:p w14:paraId="2CCD6EEB" w14:textId="7BAB434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98" w:history="1">
        <w:r w:rsidRPr="001D7FA9">
          <w:rPr>
            <w:rStyle w:val="TextoNormalCaracter"/>
          </w:rPr>
          <w:t>98/2025</w:t>
        </w:r>
      </w:hyperlink>
      <w:r>
        <w:t>, f. 3.</w:t>
      </w:r>
    </w:p>
    <w:p w14:paraId="57A2D8FB" w14:textId="1D6AFF36" w:rsidR="001D7FA9" w:rsidRDefault="001D7FA9" w:rsidP="001D7FA9">
      <w:pPr>
        <w:pStyle w:val="TextoNormal"/>
      </w:pPr>
    </w:p>
    <w:p w14:paraId="2552FD6F" w14:textId="77777777" w:rsidR="001D7FA9" w:rsidRDefault="001D7FA9" w:rsidP="001D7FA9">
      <w:pPr>
        <w:pStyle w:val="SangriaFrancesaArticulo"/>
      </w:pPr>
      <w:bookmarkStart w:id="222" w:name="INDICE22870"/>
    </w:p>
    <w:bookmarkEnd w:id="222"/>
    <w:p w14:paraId="6B204531" w14:textId="77777777" w:rsidR="001D7FA9" w:rsidRDefault="001D7FA9" w:rsidP="001D7FA9">
      <w:pPr>
        <w:pStyle w:val="TextoIndiceNivel2"/>
        <w:suppressAutoHyphens/>
      </w:pPr>
      <w:r>
        <w:t>L) Tratados y acuerdos internacionales</w:t>
      </w:r>
    </w:p>
    <w:p w14:paraId="19505D59" w14:textId="3B19E2D8" w:rsidR="001D7FA9" w:rsidRDefault="001D7FA9" w:rsidP="001D7FA9">
      <w:pPr>
        <w:pStyle w:val="TextoIndiceNivel2"/>
      </w:pPr>
    </w:p>
    <w:p w14:paraId="7F5A9E2B" w14:textId="77777777" w:rsidR="001D7FA9" w:rsidRDefault="001D7FA9" w:rsidP="001D7FA9">
      <w:pPr>
        <w:pStyle w:val="TextoNormalNegritaCursivandice"/>
        <w:keepNext/>
      </w:pPr>
      <w:r>
        <w:t>Pacto internacional de derechos civiles y políticos. Nueva York, 19 de diciembre de 1966. Ratificado por Instrumento de 13 de abril de 1977</w:t>
      </w:r>
    </w:p>
    <w:p w14:paraId="55DDC4C2" w14:textId="58150506" w:rsidR="001D7FA9" w:rsidRDefault="001D7FA9" w:rsidP="001D7FA9">
      <w:pPr>
        <w:pStyle w:val="SangriaFrancesaArticulo"/>
      </w:pPr>
      <w:r w:rsidRPr="001D7FA9">
        <w:rPr>
          <w:rStyle w:val="TextoNormalNegritaCaracter"/>
        </w:rPr>
        <w:t>Artículo 14.</w:t>
      </w:r>
      <w:r w:rsidRPr="001D7FA9">
        <w:rPr>
          <w:rStyle w:val="TextoNormalCaracter"/>
        </w:rPr>
        <w:t>-</w:t>
      </w:r>
      <w:r>
        <w:t xml:space="preserve"> Sentencia </w:t>
      </w:r>
      <w:hyperlink w:anchor="SENTENCIA_2025_41" w:history="1">
        <w:r w:rsidRPr="001D7FA9">
          <w:rPr>
            <w:rStyle w:val="TextoNormalCaracter"/>
          </w:rPr>
          <w:t>41/2025</w:t>
        </w:r>
      </w:hyperlink>
      <w:r>
        <w:t>, VP.</w:t>
      </w:r>
    </w:p>
    <w:p w14:paraId="1328584C" w14:textId="059A0E6D" w:rsidR="001D7FA9" w:rsidRDefault="001D7FA9" w:rsidP="001D7FA9">
      <w:pPr>
        <w:pStyle w:val="SangriaFrancesaArticulo"/>
      </w:pPr>
      <w:r w:rsidRPr="001D7FA9">
        <w:rPr>
          <w:rStyle w:val="TextoNormalNegritaCaracter"/>
        </w:rPr>
        <w:t>Artículo 14.5.</w:t>
      </w:r>
      <w:r w:rsidRPr="001D7FA9">
        <w:rPr>
          <w:rStyle w:val="TextoNormalCaracter"/>
        </w:rPr>
        <w:t>-</w:t>
      </w:r>
      <w:r>
        <w:t xml:space="preserve"> Sentencias </w:t>
      </w:r>
      <w:hyperlink w:anchor="SENTENCIA_2025_105" w:history="1">
        <w:r w:rsidRPr="001D7FA9">
          <w:rPr>
            <w:rStyle w:val="TextoNormalCaracter"/>
          </w:rPr>
          <w:t>105/2025</w:t>
        </w:r>
      </w:hyperlink>
      <w:r>
        <w:t xml:space="preserve">, VP II; </w:t>
      </w:r>
      <w:hyperlink w:anchor="SENTENCIA_2025_110" w:history="1">
        <w:r w:rsidRPr="001D7FA9">
          <w:rPr>
            <w:rStyle w:val="TextoNormalCaracter"/>
          </w:rPr>
          <w:t>110/2025</w:t>
        </w:r>
      </w:hyperlink>
      <w:r>
        <w:t>, VP I, VP II.</w:t>
      </w:r>
    </w:p>
    <w:p w14:paraId="61B87EBF" w14:textId="7DE34704" w:rsidR="001D7FA9" w:rsidRDefault="001D7FA9" w:rsidP="001D7FA9">
      <w:pPr>
        <w:pStyle w:val="SangriaFrancesaArticulo"/>
      </w:pPr>
    </w:p>
    <w:p w14:paraId="1BF63105" w14:textId="77777777" w:rsidR="001D7FA9" w:rsidRDefault="001D7FA9" w:rsidP="001D7FA9">
      <w:pPr>
        <w:pStyle w:val="TextoNormalNegritaCursivandice"/>
        <w:keepNext/>
      </w:pPr>
      <w:r>
        <w:t>Convenio sobre los aspectos civiles de la sustracción internacional de menores, hecho en La Haya el 25 de octubre de 1980. Ratificado por Instrumento de 28 de mayo de 1987</w:t>
      </w:r>
    </w:p>
    <w:p w14:paraId="052B26E0" w14:textId="6D67B2A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6D15A248" w14:textId="0FF95005"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 </w:t>
      </w:r>
      <w:hyperlink w:anchor="SENTENCIA_2025_54" w:history="1">
        <w:r w:rsidRPr="001D7FA9">
          <w:rPr>
            <w:rStyle w:val="TextoNormalCaracter"/>
          </w:rPr>
          <w:t>54/2025</w:t>
        </w:r>
      </w:hyperlink>
      <w:r>
        <w:t>, VP.</w:t>
      </w:r>
    </w:p>
    <w:p w14:paraId="4445E8D5" w14:textId="4902020E" w:rsidR="001D7FA9" w:rsidRDefault="001D7FA9" w:rsidP="001D7FA9">
      <w:pPr>
        <w:pStyle w:val="SangriaFrancesaArticulo"/>
      </w:pPr>
    </w:p>
    <w:p w14:paraId="2443CA1B" w14:textId="77777777" w:rsidR="001D7FA9" w:rsidRDefault="001D7FA9" w:rsidP="001D7FA9">
      <w:pPr>
        <w:pStyle w:val="TextoNormalNegritaCursivandice"/>
        <w:keepNext/>
      </w:pPr>
      <w:r>
        <w:t>Convención sobre los derechos del niño, adoptada por la Asamblea General de Naciones Unidas el 20 de noviembre de 1989. Ratificada por Instrumento de 30 de noviembre de 1990</w:t>
      </w:r>
    </w:p>
    <w:p w14:paraId="3BEDEA1A" w14:textId="15B9A84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9" w:history="1">
        <w:r w:rsidRPr="001D7FA9">
          <w:rPr>
            <w:rStyle w:val="TextoNormalCaracter"/>
          </w:rPr>
          <w:t>119/2025</w:t>
        </w:r>
      </w:hyperlink>
      <w:r>
        <w:t>, f. 3.</w:t>
      </w:r>
    </w:p>
    <w:p w14:paraId="002C87D7" w14:textId="0613AD6E" w:rsidR="001D7FA9" w:rsidRDefault="001D7FA9" w:rsidP="001D7FA9">
      <w:pPr>
        <w:pStyle w:val="SangriaFrancesaArticulo"/>
      </w:pPr>
      <w:r w:rsidRPr="001D7FA9">
        <w:rPr>
          <w:rStyle w:val="TextoNormalNegritaCaracter"/>
        </w:rPr>
        <w:t>Artículo 3.1.</w:t>
      </w:r>
      <w:r w:rsidRPr="001D7FA9">
        <w:rPr>
          <w:rStyle w:val="TextoNormalCaracter"/>
        </w:rPr>
        <w:t>-</w:t>
      </w:r>
      <w:r>
        <w:t xml:space="preserve"> Sentencia </w:t>
      </w:r>
      <w:hyperlink w:anchor="SENTENCIA_2025_43" w:history="1">
        <w:r w:rsidRPr="001D7FA9">
          <w:rPr>
            <w:rStyle w:val="TextoNormalCaracter"/>
          </w:rPr>
          <w:t>43/2025</w:t>
        </w:r>
      </w:hyperlink>
      <w:r>
        <w:t>, f. 3.</w:t>
      </w:r>
    </w:p>
    <w:p w14:paraId="2730B04C" w14:textId="5DE6C000" w:rsidR="001D7FA9" w:rsidRDefault="001D7FA9" w:rsidP="001D7FA9">
      <w:pPr>
        <w:pStyle w:val="SangriaFrancesaArticulo"/>
      </w:pPr>
      <w:r w:rsidRPr="001D7FA9">
        <w:rPr>
          <w:rStyle w:val="TextoNormalNegritaCaracter"/>
        </w:rPr>
        <w:t>Artículo 14.1.</w:t>
      </w:r>
      <w:r w:rsidRPr="001D7FA9">
        <w:rPr>
          <w:rStyle w:val="TextoNormalCaracter"/>
        </w:rPr>
        <w:t>-</w:t>
      </w:r>
      <w:r>
        <w:t xml:space="preserve"> Sentencia </w:t>
      </w:r>
      <w:hyperlink w:anchor="SENTENCIA_2025_119" w:history="1">
        <w:r w:rsidRPr="001D7FA9">
          <w:rPr>
            <w:rStyle w:val="TextoNormalCaracter"/>
          </w:rPr>
          <w:t>119/2025</w:t>
        </w:r>
      </w:hyperlink>
      <w:r>
        <w:t>, f. 3.</w:t>
      </w:r>
    </w:p>
    <w:p w14:paraId="6FCB021B" w14:textId="5D46DA34" w:rsidR="001D7FA9" w:rsidRDefault="001D7FA9" w:rsidP="001D7FA9">
      <w:pPr>
        <w:pStyle w:val="SangriaFrancesaArticulo"/>
      </w:pPr>
      <w:r w:rsidRPr="001D7FA9">
        <w:rPr>
          <w:rStyle w:val="TextoNormalNegritaCaracter"/>
        </w:rPr>
        <w:t>Artículo 14.2.</w:t>
      </w:r>
      <w:r w:rsidRPr="001D7FA9">
        <w:rPr>
          <w:rStyle w:val="TextoNormalCaracter"/>
        </w:rPr>
        <w:t>-</w:t>
      </w:r>
      <w:r>
        <w:t xml:space="preserve"> Sentencia </w:t>
      </w:r>
      <w:hyperlink w:anchor="SENTENCIA_2025_119" w:history="1">
        <w:r w:rsidRPr="001D7FA9">
          <w:rPr>
            <w:rStyle w:val="TextoNormalCaracter"/>
          </w:rPr>
          <w:t>119/2025</w:t>
        </w:r>
      </w:hyperlink>
      <w:r>
        <w:t>, f. 3.</w:t>
      </w:r>
    </w:p>
    <w:p w14:paraId="720AD368" w14:textId="7AF02AD3" w:rsidR="001D7FA9" w:rsidRDefault="001D7FA9" w:rsidP="001D7FA9">
      <w:pPr>
        <w:pStyle w:val="SangriaFrancesaArticulo"/>
      </w:pPr>
      <w:r w:rsidRPr="001D7FA9">
        <w:rPr>
          <w:rStyle w:val="TextoNormalNegritaCaracter"/>
        </w:rPr>
        <w:t>Artículo 14.3.</w:t>
      </w:r>
      <w:r w:rsidRPr="001D7FA9">
        <w:rPr>
          <w:rStyle w:val="TextoNormalCaracter"/>
        </w:rPr>
        <w:t>-</w:t>
      </w:r>
      <w:r>
        <w:t xml:space="preserve"> Sentencia </w:t>
      </w:r>
      <w:hyperlink w:anchor="SENTENCIA_2025_119" w:history="1">
        <w:r w:rsidRPr="001D7FA9">
          <w:rPr>
            <w:rStyle w:val="TextoNormalCaracter"/>
          </w:rPr>
          <w:t>119/2025</w:t>
        </w:r>
      </w:hyperlink>
      <w:r>
        <w:t>, f. 3.</w:t>
      </w:r>
    </w:p>
    <w:p w14:paraId="36A1726E" w14:textId="6AAFB6F5" w:rsidR="001D7FA9" w:rsidRDefault="001D7FA9" w:rsidP="001D7FA9">
      <w:pPr>
        <w:pStyle w:val="SangriaFrancesaArticulo"/>
      </w:pPr>
    </w:p>
    <w:p w14:paraId="45BE7A70" w14:textId="77777777" w:rsidR="001D7FA9" w:rsidRDefault="001D7FA9" w:rsidP="001D7FA9">
      <w:pPr>
        <w:pStyle w:val="TextoNormalNegritaCursivandice"/>
        <w:keepNext/>
      </w:pPr>
      <w:r>
        <w:t>Convenio sobre el acceso a la información, la participación del público en la toma de decisiones y el acceso a la justicia en materia de medio ambiente, hecho en Aarhus (Dinamarca), el 25 de junio de 1998. Ratificado por España el 15 de diciembre de 2004</w:t>
      </w:r>
    </w:p>
    <w:p w14:paraId="31E9D297" w14:textId="582C17A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9" w:history="1">
        <w:r w:rsidRPr="001D7FA9">
          <w:rPr>
            <w:rStyle w:val="TextoNormalCaracter"/>
          </w:rPr>
          <w:t>69/2025</w:t>
        </w:r>
      </w:hyperlink>
      <w:r>
        <w:t>, f. 3.</w:t>
      </w:r>
    </w:p>
    <w:p w14:paraId="45CCB6FB" w14:textId="5994861C" w:rsidR="001D7FA9" w:rsidRDefault="001D7FA9" w:rsidP="001D7FA9">
      <w:pPr>
        <w:pStyle w:val="SangriaFrancesaArticulo"/>
      </w:pPr>
    </w:p>
    <w:p w14:paraId="2F9D4A14" w14:textId="77777777" w:rsidR="001D7FA9" w:rsidRDefault="001D7FA9" w:rsidP="001D7FA9">
      <w:pPr>
        <w:pStyle w:val="TextoNormalNegritaCursivandice"/>
        <w:keepNext/>
      </w:pPr>
      <w:r>
        <w:t>Convenio sobre la eliminación de la violencia y el acoso en el mundo del trabajo, hecho en Ginebra el 21 de junio de 2019. Ratificado por Instrumento de 8 de marzo de 2022</w:t>
      </w:r>
    </w:p>
    <w:p w14:paraId="5A7E1ABE" w14:textId="67D704F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8" w:history="1">
        <w:r w:rsidRPr="001D7FA9">
          <w:rPr>
            <w:rStyle w:val="TextoNormalCaracter"/>
          </w:rPr>
          <w:t>28/2025</w:t>
        </w:r>
      </w:hyperlink>
      <w:r>
        <w:t>, f. 3.</w:t>
      </w:r>
    </w:p>
    <w:p w14:paraId="4D6F88E5" w14:textId="0199464F" w:rsidR="001D7FA9" w:rsidRDefault="001D7FA9" w:rsidP="001D7FA9">
      <w:pPr>
        <w:pStyle w:val="SangriaFrancesaArticulo"/>
      </w:pPr>
      <w:r w:rsidRPr="001D7FA9">
        <w:rPr>
          <w:rStyle w:val="TextoNormalNegritaCaracter"/>
        </w:rPr>
        <w:t>Artículo 1.1 a).</w:t>
      </w:r>
      <w:r w:rsidRPr="001D7FA9">
        <w:rPr>
          <w:rStyle w:val="TextoNormalCaracter"/>
        </w:rPr>
        <w:t>-</w:t>
      </w:r>
      <w:r>
        <w:t xml:space="preserve"> Sentencia </w:t>
      </w:r>
      <w:hyperlink w:anchor="SENTENCIA_2025_28" w:history="1">
        <w:r w:rsidRPr="001D7FA9">
          <w:rPr>
            <w:rStyle w:val="TextoNormalCaracter"/>
          </w:rPr>
          <w:t>28/2025</w:t>
        </w:r>
      </w:hyperlink>
      <w:r>
        <w:t>, f. 3.</w:t>
      </w:r>
    </w:p>
    <w:p w14:paraId="72B39BD7" w14:textId="0DD19EA7" w:rsidR="001D7FA9" w:rsidRDefault="001D7FA9" w:rsidP="001D7FA9">
      <w:pPr>
        <w:pStyle w:val="SangriaFrancesaArticulo"/>
      </w:pPr>
      <w:r w:rsidRPr="001D7FA9">
        <w:rPr>
          <w:rStyle w:val="TextoNormalNegritaCaracter"/>
        </w:rPr>
        <w:t>Artículo 4.1.</w:t>
      </w:r>
      <w:r w:rsidRPr="001D7FA9">
        <w:rPr>
          <w:rStyle w:val="TextoNormalCaracter"/>
        </w:rPr>
        <w:t>-</w:t>
      </w:r>
      <w:r>
        <w:t xml:space="preserve"> Sentencia </w:t>
      </w:r>
      <w:hyperlink w:anchor="SENTENCIA_2025_28" w:history="1">
        <w:r w:rsidRPr="001D7FA9">
          <w:rPr>
            <w:rStyle w:val="TextoNormalCaracter"/>
          </w:rPr>
          <w:t>28/2025</w:t>
        </w:r>
      </w:hyperlink>
      <w:r>
        <w:t>, f. 3.</w:t>
      </w:r>
    </w:p>
    <w:p w14:paraId="1DD3F016" w14:textId="56A16DCE"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 </w:t>
      </w:r>
      <w:hyperlink w:anchor="SENTENCIA_2025_28" w:history="1">
        <w:r w:rsidRPr="001D7FA9">
          <w:rPr>
            <w:rStyle w:val="TextoNormalCaracter"/>
          </w:rPr>
          <w:t>28/2025</w:t>
        </w:r>
      </w:hyperlink>
      <w:r>
        <w:t>, f. 3.</w:t>
      </w:r>
    </w:p>
    <w:p w14:paraId="0F44B59E" w14:textId="59F81895" w:rsidR="001D7FA9" w:rsidRDefault="001D7FA9" w:rsidP="001D7FA9">
      <w:pPr>
        <w:pStyle w:val="TextoNormal"/>
      </w:pPr>
    </w:p>
    <w:p w14:paraId="7FF16497" w14:textId="77777777" w:rsidR="001D7FA9" w:rsidRDefault="001D7FA9" w:rsidP="001D7FA9">
      <w:pPr>
        <w:pStyle w:val="SangriaFrancesaArticulo"/>
      </w:pPr>
      <w:bookmarkStart w:id="223" w:name="INDICE22871"/>
    </w:p>
    <w:bookmarkEnd w:id="223"/>
    <w:p w14:paraId="01314432" w14:textId="77777777" w:rsidR="001D7FA9" w:rsidRDefault="001D7FA9" w:rsidP="001D7FA9">
      <w:pPr>
        <w:pStyle w:val="TextoIndiceNivel2"/>
        <w:suppressAutoHyphens/>
      </w:pPr>
      <w:r>
        <w:t>M) Unión Europea</w:t>
      </w:r>
    </w:p>
    <w:p w14:paraId="4F281CC9" w14:textId="50E52109" w:rsidR="001D7FA9" w:rsidRDefault="001D7FA9" w:rsidP="001D7FA9">
      <w:pPr>
        <w:pStyle w:val="TextoIndiceNivel2"/>
      </w:pPr>
    </w:p>
    <w:p w14:paraId="4FDEFD4A" w14:textId="77777777" w:rsidR="001D7FA9" w:rsidRDefault="001D7FA9" w:rsidP="001D7FA9">
      <w:pPr>
        <w:pStyle w:val="TextoNormalNegritaCursivandice"/>
        <w:keepNext/>
      </w:pPr>
      <w:r>
        <w:t>Tratado constitutivo de la Comunidad Económica Europea, firmado en Roma el 25 de marzo de 1957</w:t>
      </w:r>
    </w:p>
    <w:p w14:paraId="004EE15C" w14:textId="4C24DAB0" w:rsidR="001D7FA9" w:rsidRDefault="001D7FA9" w:rsidP="001D7FA9">
      <w:pPr>
        <w:pStyle w:val="SangriaFrancesaArticulo"/>
      </w:pPr>
      <w:r w:rsidRPr="001D7FA9">
        <w:rPr>
          <w:rStyle w:val="TextoNormalNegritaCaracter"/>
        </w:rPr>
        <w:t>Artículo 43.</w:t>
      </w:r>
      <w:r w:rsidRPr="001D7FA9">
        <w:rPr>
          <w:rStyle w:val="TextoNormalCaracter"/>
        </w:rPr>
        <w:t>-</w:t>
      </w:r>
      <w:r>
        <w:t xml:space="preserve"> Sentencia </w:t>
      </w:r>
      <w:hyperlink w:anchor="SENTENCIA_2025_64" w:history="1">
        <w:r w:rsidRPr="001D7FA9">
          <w:rPr>
            <w:rStyle w:val="TextoNormalCaracter"/>
          </w:rPr>
          <w:t>64/2025</w:t>
        </w:r>
      </w:hyperlink>
      <w:r>
        <w:t>, f. 5.</w:t>
      </w:r>
    </w:p>
    <w:p w14:paraId="138AE485" w14:textId="4F327FF7" w:rsidR="001D7FA9" w:rsidRDefault="001D7FA9" w:rsidP="001D7FA9">
      <w:pPr>
        <w:pStyle w:val="SangriaFrancesaArticulo"/>
      </w:pPr>
      <w:r w:rsidRPr="001D7FA9">
        <w:rPr>
          <w:rStyle w:val="TextoNormalNegritaCaracter"/>
        </w:rPr>
        <w:t>Artículo 49.</w:t>
      </w:r>
      <w:r w:rsidRPr="001D7FA9">
        <w:rPr>
          <w:rStyle w:val="TextoNormalCaracter"/>
        </w:rPr>
        <w:t>-</w:t>
      </w:r>
      <w:r>
        <w:t xml:space="preserve"> Sentencia </w:t>
      </w:r>
      <w:hyperlink w:anchor="SENTENCIA_2025_64" w:history="1">
        <w:r w:rsidRPr="001D7FA9">
          <w:rPr>
            <w:rStyle w:val="TextoNormalCaracter"/>
          </w:rPr>
          <w:t>64/2025</w:t>
        </w:r>
      </w:hyperlink>
      <w:r>
        <w:t>, f. 5.</w:t>
      </w:r>
    </w:p>
    <w:p w14:paraId="6F14DF36" w14:textId="0EC415F4" w:rsidR="001D7FA9" w:rsidRDefault="001D7FA9" w:rsidP="001D7FA9">
      <w:pPr>
        <w:pStyle w:val="SangriaFrancesaArticulo"/>
      </w:pPr>
    </w:p>
    <w:p w14:paraId="2DCC915E" w14:textId="77777777" w:rsidR="001D7FA9" w:rsidRDefault="001D7FA9" w:rsidP="001D7FA9">
      <w:pPr>
        <w:pStyle w:val="TextoNormalNegritaCursivandice"/>
        <w:keepNext/>
      </w:pPr>
      <w:r>
        <w:t>Reglamento de procedimiento del Tribunal de Justicia de las Comunidades Europeas, 19 de junio de 1991</w:t>
      </w:r>
    </w:p>
    <w:p w14:paraId="73AEDDD4" w14:textId="1519F93B" w:rsidR="001D7FA9" w:rsidRDefault="001D7FA9" w:rsidP="001D7FA9">
      <w:pPr>
        <w:pStyle w:val="SangriaFrancesaArticulo"/>
      </w:pPr>
      <w:r w:rsidRPr="001D7FA9">
        <w:rPr>
          <w:rStyle w:val="TextoNormalNegritaCaracter"/>
        </w:rPr>
        <w:t>Artículo 94.</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DDE7612" w14:textId="7A6444C3" w:rsidR="001D7FA9" w:rsidRDefault="001D7FA9" w:rsidP="001D7FA9">
      <w:pPr>
        <w:pStyle w:val="SangriaFrancesaArticulo"/>
      </w:pPr>
    </w:p>
    <w:p w14:paraId="7D6524C0" w14:textId="77777777" w:rsidR="001D7FA9" w:rsidRDefault="001D7FA9" w:rsidP="001D7FA9">
      <w:pPr>
        <w:pStyle w:val="TextoNormalNegritaCursivandice"/>
        <w:keepNext/>
      </w:pPr>
      <w:r>
        <w:t>Tratado de la Unión Europea —TUE—, hecho en Maastricht el 7 de febrero de 1992</w:t>
      </w:r>
    </w:p>
    <w:p w14:paraId="47D8CB3D" w14:textId="510BE7D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44F8FEE9" w14:textId="7CEBB5EF"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Auto </w:t>
      </w:r>
      <w:hyperlink w:anchor="AUTO_2025_65" w:history="1">
        <w:r w:rsidRPr="001D7FA9">
          <w:rPr>
            <w:rStyle w:val="TextoNormalCaracter"/>
          </w:rPr>
          <w:t>65/2025</w:t>
        </w:r>
      </w:hyperlink>
      <w:r>
        <w:t>, VP.</w:t>
      </w:r>
    </w:p>
    <w:p w14:paraId="69DFBF20" w14:textId="717B77F5"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137" w:history="1">
        <w:r w:rsidRPr="001D7FA9">
          <w:rPr>
            <w:rStyle w:val="TextoNormalCaracter"/>
          </w:rPr>
          <w:t>137/2025</w:t>
        </w:r>
      </w:hyperlink>
      <w:r>
        <w:t>, ff. 1, 5, 11, VP II, VP III, VP IV.</w:t>
      </w:r>
    </w:p>
    <w:p w14:paraId="7BBDFAC6" w14:textId="208418AE"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F7635DD" w14:textId="718A2419"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Auto </w:t>
      </w:r>
      <w:hyperlink w:anchor="AUTO_2025_65" w:history="1">
        <w:r w:rsidRPr="001D7FA9">
          <w:rPr>
            <w:rStyle w:val="TextoNormalCaracter"/>
          </w:rPr>
          <w:t>65/2025</w:t>
        </w:r>
      </w:hyperlink>
      <w:r>
        <w:t>, VP.</w:t>
      </w:r>
    </w:p>
    <w:p w14:paraId="607940E7" w14:textId="2AEEA589" w:rsidR="001D7FA9" w:rsidRDefault="001D7FA9" w:rsidP="001D7FA9">
      <w:pPr>
        <w:pStyle w:val="SangriaFrancesaArticulo"/>
      </w:pPr>
      <w:r w:rsidRPr="001D7FA9">
        <w:rPr>
          <w:rStyle w:val="TextoNormalNegritaCaracter"/>
        </w:rPr>
        <w:t>Artículo 3.2.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23F5C60" w14:textId="78755C10"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82FE0B7" w14:textId="6BBDDCAB" w:rsidR="001D7FA9" w:rsidRDefault="001D7FA9" w:rsidP="001D7FA9">
      <w:pPr>
        <w:pStyle w:val="SangriaFrancesaArticulo"/>
      </w:pPr>
      <w:r w:rsidRPr="001D7FA9">
        <w:rPr>
          <w:rStyle w:val="TextoNormalNegritaCaracter"/>
        </w:rPr>
        <w:t>Artículo 3.3.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D608617" w14:textId="6B317A99"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5967FD9" w14:textId="71FA7A65"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458FEFA7" w14:textId="708EE192"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5C1700F1" w14:textId="782A2D41"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A722EE8" w14:textId="5180CC14" w:rsidR="001D7FA9" w:rsidRDefault="001D7FA9" w:rsidP="001D7FA9">
      <w:pPr>
        <w:pStyle w:val="SangriaFrancesaArticulo"/>
      </w:pPr>
      <w:r w:rsidRPr="001D7FA9">
        <w:rPr>
          <w:rStyle w:val="TextoNormalNegritaCaracter"/>
        </w:rPr>
        <w:t>Artículo 4.3.</w:t>
      </w:r>
      <w:r w:rsidRPr="001D7FA9">
        <w:rPr>
          <w:rStyle w:val="TextoNormalCaracter"/>
        </w:rPr>
        <w:t>-</w:t>
      </w:r>
      <w:r>
        <w:t xml:space="preserve"> Sentencia </w:t>
      </w:r>
      <w:hyperlink w:anchor="SENTENCIA_2025_137" w:history="1">
        <w:r w:rsidRPr="001D7FA9">
          <w:rPr>
            <w:rStyle w:val="TextoNormalCaracter"/>
          </w:rPr>
          <w:t>137/2025</w:t>
        </w:r>
      </w:hyperlink>
      <w:r>
        <w:t>, VP II, VP III, VP IV.</w:t>
      </w:r>
    </w:p>
    <w:p w14:paraId="4D48CCED" w14:textId="2F64ACF2"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281CE0D" w14:textId="5F226599"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2E5218C" w14:textId="0463BE0F"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F1918BA" w14:textId="5328B210"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07EAFFE" w14:textId="19341F72" w:rsidR="001D7FA9" w:rsidRDefault="001D7FA9" w:rsidP="001D7FA9">
      <w:pPr>
        <w:pStyle w:val="SangriaFrancesaArticulo"/>
      </w:pPr>
      <w:r w:rsidRPr="001D7FA9">
        <w:rPr>
          <w:rStyle w:val="TextoNormalNegritaCaracter"/>
        </w:rPr>
        <w:t>Articulo 19.</w:t>
      </w:r>
      <w:r w:rsidRPr="001D7FA9">
        <w:rPr>
          <w:rStyle w:val="TextoNormalCaracter"/>
        </w:rPr>
        <w:t>-</w:t>
      </w:r>
      <w:r>
        <w:t xml:space="preserve"> Sentencia </w:t>
      </w:r>
      <w:hyperlink w:anchor="SENTENCIA_2025_137" w:history="1">
        <w:r w:rsidRPr="001D7FA9">
          <w:rPr>
            <w:rStyle w:val="TextoNormalCaracter"/>
          </w:rPr>
          <w:t>137/2025</w:t>
        </w:r>
      </w:hyperlink>
      <w:r>
        <w:t>, f. 11, VP IV.</w:t>
      </w:r>
    </w:p>
    <w:p w14:paraId="2B18945D" w14:textId="1296F63B"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BD515DE" w14:textId="6EFC9C5E" w:rsidR="001D7FA9" w:rsidRDefault="001D7FA9" w:rsidP="001D7FA9">
      <w:pPr>
        <w:pStyle w:val="SangriaFrancesaArticulo"/>
      </w:pPr>
      <w:r w:rsidRPr="001D7FA9">
        <w:rPr>
          <w:rStyle w:val="TextoNormalNegritaCaracter"/>
        </w:rPr>
        <w:t>Artículo 19.1.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17E6537" w14:textId="56FAD3E1"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1316BC3" w14:textId="553043C8" w:rsidR="001D7FA9" w:rsidRDefault="001D7FA9" w:rsidP="001D7FA9">
      <w:pPr>
        <w:pStyle w:val="SangriaFrancesaArticulo"/>
      </w:pPr>
      <w:r w:rsidRPr="001D7FA9">
        <w:rPr>
          <w:rStyle w:val="TextoNormalNegritaCaracter"/>
        </w:rPr>
        <w:t>Artículo 19.1, párrafo 2.</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40267D67" w14:textId="1F1BE549" w:rsidR="001D7FA9" w:rsidRDefault="001D7FA9" w:rsidP="001D7FA9">
      <w:pPr>
        <w:pStyle w:val="SangriaFrancesaArticulo"/>
      </w:pPr>
      <w:r w:rsidRPr="001D7FA9">
        <w:rPr>
          <w:rStyle w:val="TextoNormalNegritaCaracter"/>
        </w:rPr>
        <w:t>Artículo 19.2.</w:t>
      </w:r>
      <w:r w:rsidRPr="001D7FA9">
        <w:rPr>
          <w:rStyle w:val="TextoNormalCaracter"/>
        </w:rPr>
        <w:t>-</w:t>
      </w:r>
      <w:r>
        <w:t xml:space="preserve"> Auto </w:t>
      </w:r>
      <w:hyperlink w:anchor="AUTO_2025_65" w:history="1">
        <w:r w:rsidRPr="001D7FA9">
          <w:rPr>
            <w:rStyle w:val="TextoNormalCaracter"/>
          </w:rPr>
          <w:t>65/2025</w:t>
        </w:r>
      </w:hyperlink>
      <w:r>
        <w:t>, VP.</w:t>
      </w:r>
    </w:p>
    <w:p w14:paraId="1B2B8A05" w14:textId="73BC9B2B" w:rsidR="001D7FA9" w:rsidRDefault="001D7FA9" w:rsidP="001D7FA9">
      <w:pPr>
        <w:pStyle w:val="SangriaFrancesaArticulo"/>
      </w:pPr>
      <w:r w:rsidRPr="001D7FA9">
        <w:rPr>
          <w:rStyle w:val="TextoNormalNegritaCaracter"/>
        </w:rPr>
        <w:t>Artículo 19.3 b).</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B876A20" w14:textId="0F76BC08" w:rsidR="001D7FA9" w:rsidRDefault="001D7FA9" w:rsidP="001D7FA9">
      <w:pPr>
        <w:pStyle w:val="SangriaFrancesaArticulo"/>
      </w:pPr>
      <w:r w:rsidRPr="001D7FA9">
        <w:rPr>
          <w:rStyle w:val="TextoNormalNegritaCaracter"/>
        </w:rPr>
        <w:t>Artículo 49.</w:t>
      </w:r>
      <w:r w:rsidRPr="001D7FA9">
        <w:rPr>
          <w:rStyle w:val="TextoNormalCaracter"/>
        </w:rPr>
        <w:t>-</w:t>
      </w:r>
      <w:r>
        <w:t xml:space="preserve"> Auto </w:t>
      </w:r>
      <w:hyperlink w:anchor="AUTO_2025_65" w:history="1">
        <w:r w:rsidRPr="001D7FA9">
          <w:rPr>
            <w:rStyle w:val="TextoNormalCaracter"/>
          </w:rPr>
          <w:t>65/2025</w:t>
        </w:r>
      </w:hyperlink>
      <w:r>
        <w:t>, VP.</w:t>
      </w:r>
    </w:p>
    <w:p w14:paraId="16FFEAF8" w14:textId="72E5F8D1" w:rsidR="001D7FA9" w:rsidRDefault="001D7FA9" w:rsidP="001D7FA9">
      <w:pPr>
        <w:pStyle w:val="SangriaFrancesaArticulo"/>
      </w:pPr>
    </w:p>
    <w:p w14:paraId="2FF2119E" w14:textId="77777777" w:rsidR="001D7FA9" w:rsidRDefault="001D7FA9" w:rsidP="001D7FA9">
      <w:pPr>
        <w:pStyle w:val="TextoNormalNegritaCursivandice"/>
        <w:keepNext/>
      </w:pPr>
      <w:r>
        <w:t>Resolución del Parlamento Europeo A3-0172/92. Carta europea de derechos del niño, de 8 de julio de 1992</w:t>
      </w:r>
    </w:p>
    <w:p w14:paraId="7C564371" w14:textId="6B90BF01" w:rsidR="001D7FA9" w:rsidRDefault="001D7FA9" w:rsidP="001D7FA9">
      <w:pPr>
        <w:pStyle w:val="SangriaFrancesaArticulo"/>
      </w:pPr>
      <w:r w:rsidRPr="001D7FA9">
        <w:rPr>
          <w:rStyle w:val="TextoNormalNegritaCaracter"/>
        </w:rPr>
        <w:t>Apartado 8.25.</w:t>
      </w:r>
      <w:r w:rsidRPr="001D7FA9">
        <w:rPr>
          <w:rStyle w:val="TextoNormalCaracter"/>
        </w:rPr>
        <w:t>-</w:t>
      </w:r>
      <w:r>
        <w:t xml:space="preserve"> Sentencia </w:t>
      </w:r>
      <w:hyperlink w:anchor="SENTENCIA_2025_119" w:history="1">
        <w:r w:rsidRPr="001D7FA9">
          <w:rPr>
            <w:rStyle w:val="TextoNormalCaracter"/>
          </w:rPr>
          <w:t>119/2025</w:t>
        </w:r>
      </w:hyperlink>
      <w:r>
        <w:t>, f. 3.</w:t>
      </w:r>
    </w:p>
    <w:p w14:paraId="54CF9706" w14:textId="5177CFDC" w:rsidR="001D7FA9" w:rsidRDefault="001D7FA9" w:rsidP="001D7FA9">
      <w:pPr>
        <w:pStyle w:val="SangriaFrancesaArticulo"/>
      </w:pPr>
      <w:r w:rsidRPr="001D7FA9">
        <w:rPr>
          <w:rStyle w:val="TextoNormalNegritaCaracter"/>
        </w:rPr>
        <w:t>Apartado 8.27.</w:t>
      </w:r>
      <w:r w:rsidRPr="001D7FA9">
        <w:rPr>
          <w:rStyle w:val="TextoNormalCaracter"/>
        </w:rPr>
        <w:t>-</w:t>
      </w:r>
      <w:r>
        <w:t xml:space="preserve"> Sentencia </w:t>
      </w:r>
      <w:hyperlink w:anchor="SENTENCIA_2025_119" w:history="1">
        <w:r w:rsidRPr="001D7FA9">
          <w:rPr>
            <w:rStyle w:val="TextoNormalCaracter"/>
          </w:rPr>
          <w:t>119/2025</w:t>
        </w:r>
      </w:hyperlink>
      <w:r>
        <w:t>, f. 3.</w:t>
      </w:r>
    </w:p>
    <w:p w14:paraId="4397B37B" w14:textId="6D37744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9" w:history="1">
        <w:r w:rsidRPr="001D7FA9">
          <w:rPr>
            <w:rStyle w:val="TextoNormalCaracter"/>
          </w:rPr>
          <w:t>119/2025</w:t>
        </w:r>
      </w:hyperlink>
      <w:r>
        <w:t>, f. 3.</w:t>
      </w:r>
    </w:p>
    <w:p w14:paraId="22664DC6" w14:textId="49C271E1" w:rsidR="001D7FA9" w:rsidRDefault="001D7FA9" w:rsidP="001D7FA9">
      <w:pPr>
        <w:pStyle w:val="SangriaFrancesaArticulo"/>
      </w:pPr>
    </w:p>
    <w:p w14:paraId="3EEB0BD6" w14:textId="77777777" w:rsidR="001D7FA9" w:rsidRDefault="001D7FA9" w:rsidP="001D7FA9">
      <w:pPr>
        <w:pStyle w:val="TextoNormalNegritaCursivandice"/>
        <w:keepNext/>
      </w:pPr>
      <w:r>
        <w:t>Directiva 93/13/CEE del Consejo, de 5 de abril de 1993, sobre las cláusulas abusivas en los contratos celebrados con consumidores</w:t>
      </w:r>
    </w:p>
    <w:p w14:paraId="28C314D3" w14:textId="3E34D3B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5" w:history="1">
        <w:r w:rsidRPr="001D7FA9">
          <w:rPr>
            <w:rStyle w:val="TextoNormalCaracter"/>
          </w:rPr>
          <w:t>45/2025</w:t>
        </w:r>
      </w:hyperlink>
      <w:r>
        <w:t xml:space="preserve">, ff. 1, 2; </w:t>
      </w:r>
      <w:hyperlink w:anchor="SENTENCIA_2025_109" w:history="1">
        <w:r w:rsidRPr="001D7FA9">
          <w:rPr>
            <w:rStyle w:val="TextoNormalCaracter"/>
          </w:rPr>
          <w:t>109/2025</w:t>
        </w:r>
      </w:hyperlink>
      <w:r>
        <w:t xml:space="preserve">, f. 2; </w:t>
      </w:r>
      <w:hyperlink w:anchor="SENTENCIA_2025_137" w:history="1">
        <w:r w:rsidRPr="001D7FA9">
          <w:rPr>
            <w:rStyle w:val="TextoNormalCaracter"/>
          </w:rPr>
          <w:t>137/2025</w:t>
        </w:r>
      </w:hyperlink>
      <w:r>
        <w:t>, VP IV.</w:t>
      </w:r>
    </w:p>
    <w:p w14:paraId="35072171" w14:textId="1F363BF8"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Sentencias </w:t>
      </w:r>
      <w:hyperlink w:anchor="SENTENCIA_2025_45" w:history="1">
        <w:r w:rsidRPr="001D7FA9">
          <w:rPr>
            <w:rStyle w:val="TextoNormalCaracter"/>
          </w:rPr>
          <w:t>45/2025</w:t>
        </w:r>
      </w:hyperlink>
      <w:r>
        <w:t xml:space="preserve">, ff. 1, 2; </w:t>
      </w:r>
      <w:hyperlink w:anchor="SENTENCIA_2025_109" w:history="1">
        <w:r w:rsidRPr="001D7FA9">
          <w:rPr>
            <w:rStyle w:val="TextoNormalCaracter"/>
          </w:rPr>
          <w:t>109/2025</w:t>
        </w:r>
      </w:hyperlink>
      <w:r>
        <w:t xml:space="preserve">, ff. 2, 3; </w:t>
      </w:r>
      <w:hyperlink w:anchor="SENTENCIA_2025_121" w:history="1">
        <w:r w:rsidRPr="001D7FA9">
          <w:rPr>
            <w:rStyle w:val="TextoNormalCaracter"/>
          </w:rPr>
          <w:t>121/2025</w:t>
        </w:r>
      </w:hyperlink>
      <w:r>
        <w:t>, ff. 3, 4.</w:t>
      </w:r>
    </w:p>
    <w:p w14:paraId="06835A46" w14:textId="3D3041AB" w:rsidR="001D7FA9" w:rsidRDefault="001D7FA9" w:rsidP="001D7FA9">
      <w:pPr>
        <w:pStyle w:val="SangriaFrancesaArticulo"/>
      </w:pPr>
      <w:r w:rsidRPr="001D7FA9">
        <w:rPr>
          <w:rStyle w:val="TextoNormalNegritaCaracter"/>
        </w:rPr>
        <w:t>Artículo 7.1.</w:t>
      </w:r>
      <w:r w:rsidRPr="001D7FA9">
        <w:rPr>
          <w:rStyle w:val="TextoNormalCaracter"/>
        </w:rPr>
        <w:t>-</w:t>
      </w:r>
      <w:r>
        <w:t xml:space="preserve"> Sentencias </w:t>
      </w:r>
      <w:hyperlink w:anchor="SENTENCIA_2025_45" w:history="1">
        <w:r w:rsidRPr="001D7FA9">
          <w:rPr>
            <w:rStyle w:val="TextoNormalCaracter"/>
          </w:rPr>
          <w:t>45/2025</w:t>
        </w:r>
      </w:hyperlink>
      <w:r>
        <w:t xml:space="preserve">, f. 2; </w:t>
      </w:r>
      <w:hyperlink w:anchor="SENTENCIA_2025_109" w:history="1">
        <w:r w:rsidRPr="001D7FA9">
          <w:rPr>
            <w:rStyle w:val="TextoNormalCaracter"/>
          </w:rPr>
          <w:t>109/2025</w:t>
        </w:r>
      </w:hyperlink>
      <w:r>
        <w:t xml:space="preserve">, ff. 2, 3; </w:t>
      </w:r>
      <w:hyperlink w:anchor="SENTENCIA_2025_121" w:history="1">
        <w:r w:rsidRPr="001D7FA9">
          <w:rPr>
            <w:rStyle w:val="TextoNormalCaracter"/>
          </w:rPr>
          <w:t>121/2025</w:t>
        </w:r>
      </w:hyperlink>
      <w:r>
        <w:t>, ff. 3, 4.</w:t>
      </w:r>
    </w:p>
    <w:p w14:paraId="6547DDD0" w14:textId="13D3DD2E" w:rsidR="001D7FA9" w:rsidRDefault="001D7FA9" w:rsidP="001D7FA9">
      <w:pPr>
        <w:pStyle w:val="SangriaFrancesaArticulo"/>
      </w:pPr>
      <w:r w:rsidRPr="001D7FA9">
        <w:rPr>
          <w:rStyle w:val="TextoNormalNegritaCaracter"/>
        </w:rPr>
        <w:t>Artículo 7.2.</w:t>
      </w:r>
      <w:r w:rsidRPr="001D7FA9">
        <w:rPr>
          <w:rStyle w:val="TextoNormalCaracter"/>
        </w:rPr>
        <w:t>-</w:t>
      </w:r>
      <w:r>
        <w:t xml:space="preserve"> Sentencia </w:t>
      </w:r>
      <w:hyperlink w:anchor="SENTENCIA_2025_45" w:history="1">
        <w:r w:rsidRPr="001D7FA9">
          <w:rPr>
            <w:rStyle w:val="TextoNormalCaracter"/>
          </w:rPr>
          <w:t>45/2025</w:t>
        </w:r>
      </w:hyperlink>
      <w:r>
        <w:t>, f. 1.</w:t>
      </w:r>
    </w:p>
    <w:p w14:paraId="5552ABF2" w14:textId="5F9B563A" w:rsidR="001D7FA9" w:rsidRDefault="001D7FA9" w:rsidP="001D7FA9">
      <w:pPr>
        <w:pStyle w:val="SangriaFrancesaArticulo"/>
      </w:pPr>
    </w:p>
    <w:p w14:paraId="4C94B8EF" w14:textId="77777777" w:rsidR="001D7FA9" w:rsidRDefault="001D7FA9" w:rsidP="001D7FA9">
      <w:pPr>
        <w:pStyle w:val="TextoNormalNegritaCursivandice"/>
        <w:keepNext/>
      </w:pPr>
      <w:r>
        <w:t>Reglamento (CE, Euratom) 2988/95 del Consejo, de 18 de diciembre de 1995, relativo a la protección de los intereses financieros de las Comunidades Europeas</w:t>
      </w:r>
    </w:p>
    <w:p w14:paraId="355A2154" w14:textId="70D018AE"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F11926A" w14:textId="6436F96B"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5EE89989" w14:textId="1C56F56A" w:rsidR="001D7FA9" w:rsidRDefault="001D7FA9" w:rsidP="001D7FA9">
      <w:pPr>
        <w:pStyle w:val="SangriaIzquierdaArticulo"/>
      </w:pPr>
    </w:p>
    <w:p w14:paraId="0BE3A19B" w14:textId="77777777" w:rsidR="001D7FA9" w:rsidRDefault="001D7FA9" w:rsidP="001D7FA9">
      <w:pPr>
        <w:pStyle w:val="TextoNormalNegritaCursivandice"/>
        <w:keepNext/>
      </w:pPr>
      <w:r>
        <w:t>Directiva 2000/43/CE del Consejo, de 29 de junio de 2000, relativa a la aplicación del principio de igualdad de trato de las personas independientemente de su origen racial o étnico</w:t>
      </w:r>
    </w:p>
    <w:p w14:paraId="6F0EDBFA" w14:textId="18E9B968" w:rsidR="001D7FA9" w:rsidRDefault="001D7FA9" w:rsidP="001D7FA9">
      <w:pPr>
        <w:pStyle w:val="SangriaFrancesaArticulo"/>
      </w:pPr>
      <w:r w:rsidRPr="001D7FA9">
        <w:rPr>
          <w:rStyle w:val="TextoNormalNegritaCaracter"/>
        </w:rPr>
        <w:t>Artículo 8.1.</w:t>
      </w:r>
      <w:r w:rsidRPr="001D7FA9">
        <w:rPr>
          <w:rStyle w:val="TextoNormalCaracter"/>
        </w:rPr>
        <w:t>-</w:t>
      </w:r>
      <w:r>
        <w:t xml:space="preserve"> Sentencia </w:t>
      </w:r>
      <w:hyperlink w:anchor="SENTENCIA_2025_28" w:history="1">
        <w:r w:rsidRPr="001D7FA9">
          <w:rPr>
            <w:rStyle w:val="TextoNormalCaracter"/>
          </w:rPr>
          <w:t>28/2025</w:t>
        </w:r>
      </w:hyperlink>
      <w:r>
        <w:t>, ´f. 3.</w:t>
      </w:r>
    </w:p>
    <w:p w14:paraId="500206EC" w14:textId="78D06DBD" w:rsidR="001D7FA9" w:rsidRDefault="001D7FA9" w:rsidP="001D7FA9">
      <w:pPr>
        <w:pStyle w:val="SangriaFrancesaArticulo"/>
      </w:pPr>
    </w:p>
    <w:p w14:paraId="0ADDA41B" w14:textId="77777777" w:rsidR="001D7FA9" w:rsidRDefault="001D7FA9" w:rsidP="001D7FA9">
      <w:pPr>
        <w:pStyle w:val="TextoNormalNegritaCursivandice"/>
        <w:keepNext/>
      </w:pPr>
      <w:r>
        <w:t>Directiva 2000/78/CE, del Consejo, de 27 de noviembre, relativa al establecimiento de un marco general para la igualdad de trato en el empleo y la ocupación</w:t>
      </w:r>
    </w:p>
    <w:p w14:paraId="629610EE" w14:textId="6156E8AE" w:rsidR="001D7FA9" w:rsidRDefault="001D7FA9" w:rsidP="001D7FA9">
      <w:pPr>
        <w:pStyle w:val="SangriaFrancesaArticulo"/>
      </w:pPr>
      <w:r w:rsidRPr="001D7FA9">
        <w:rPr>
          <w:rStyle w:val="TextoNormalNegritaCaracter"/>
        </w:rPr>
        <w:t>Artículo 10.1.</w:t>
      </w:r>
      <w:r w:rsidRPr="001D7FA9">
        <w:rPr>
          <w:rStyle w:val="TextoNormalCaracter"/>
        </w:rPr>
        <w:t>-</w:t>
      </w:r>
      <w:r>
        <w:t xml:space="preserve"> Sentencia </w:t>
      </w:r>
      <w:hyperlink w:anchor="SENTENCIA_2025_28" w:history="1">
        <w:r w:rsidRPr="001D7FA9">
          <w:rPr>
            <w:rStyle w:val="TextoNormalCaracter"/>
          </w:rPr>
          <w:t>28/2025</w:t>
        </w:r>
      </w:hyperlink>
      <w:r>
        <w:t>, f. 3.</w:t>
      </w:r>
    </w:p>
    <w:p w14:paraId="7275CB21" w14:textId="2BFEA1E8" w:rsidR="001D7FA9" w:rsidRDefault="001D7FA9" w:rsidP="001D7FA9">
      <w:pPr>
        <w:pStyle w:val="SangriaFrancesaArticulo"/>
      </w:pPr>
    </w:p>
    <w:p w14:paraId="51916FA1" w14:textId="77777777" w:rsidR="001D7FA9" w:rsidRDefault="001D7FA9" w:rsidP="001D7FA9">
      <w:pPr>
        <w:pStyle w:val="TextoNormalNegritaCursivandice"/>
        <w:keepNext/>
      </w:pPr>
      <w:r>
        <w:t>Carta de los derechos fundamentales de la Unión Europea, firmada en Niza el 7 de diciembre de 2000</w:t>
      </w:r>
    </w:p>
    <w:p w14:paraId="1F1207A6" w14:textId="2EC305D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 VP III, VP IV.</w:t>
      </w:r>
    </w:p>
    <w:p w14:paraId="4A41B085" w14:textId="6341D063"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 </w:t>
      </w:r>
      <w:hyperlink w:anchor="SENTENCIA_2025_28" w:history="1">
        <w:r w:rsidRPr="001D7FA9">
          <w:rPr>
            <w:rStyle w:val="TextoNormalCaracter"/>
          </w:rPr>
          <w:t>28/2025</w:t>
        </w:r>
      </w:hyperlink>
      <w:r>
        <w:t>, f. 3.</w:t>
      </w:r>
    </w:p>
    <w:p w14:paraId="14696209" w14:textId="0B28C270" w:rsidR="001D7FA9" w:rsidRDefault="001D7FA9" w:rsidP="001D7FA9">
      <w:pPr>
        <w:pStyle w:val="SangriaFrancesaArticulo"/>
      </w:pPr>
      <w:r w:rsidRPr="001D7FA9">
        <w:rPr>
          <w:rStyle w:val="TextoNormalNegritaCaracter"/>
        </w:rPr>
        <w:t>Artículo 20.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0C04FE5" w14:textId="59157013"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45FCB9C1" w14:textId="08A018BF"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99B82A3" w14:textId="41F1173E"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3503F26" w14:textId="46B4AF6E" w:rsidR="001D7FA9" w:rsidRDefault="001D7FA9" w:rsidP="001D7FA9">
      <w:pPr>
        <w:pStyle w:val="SangriaFrancesaArticulo"/>
      </w:pPr>
      <w:r w:rsidRPr="001D7FA9">
        <w:rPr>
          <w:rStyle w:val="TextoNormalNegritaCaracter"/>
        </w:rPr>
        <w:t>Artículo 24.</w:t>
      </w:r>
      <w:r w:rsidRPr="001D7FA9">
        <w:rPr>
          <w:rStyle w:val="TextoNormalCaracter"/>
        </w:rPr>
        <w:t>-</w:t>
      </w:r>
      <w:r>
        <w:t xml:space="preserve"> Sentencia </w:t>
      </w:r>
      <w:hyperlink w:anchor="SENTENCIA_2025_54" w:history="1">
        <w:r w:rsidRPr="001D7FA9">
          <w:rPr>
            <w:rStyle w:val="TextoNormalCaracter"/>
          </w:rPr>
          <w:t>54/2025</w:t>
        </w:r>
      </w:hyperlink>
      <w:r>
        <w:t>, VP.</w:t>
      </w:r>
    </w:p>
    <w:p w14:paraId="550A11B1" w14:textId="2FF0FD8F" w:rsidR="001D7FA9" w:rsidRDefault="001D7FA9" w:rsidP="001D7FA9">
      <w:pPr>
        <w:pStyle w:val="SangriaFrancesaArticulo"/>
      </w:pPr>
      <w:r w:rsidRPr="001D7FA9">
        <w:rPr>
          <w:rStyle w:val="TextoNormalNegritaCaracter"/>
        </w:rPr>
        <w:t>Artículo 31.1.</w:t>
      </w:r>
      <w:r w:rsidRPr="001D7FA9">
        <w:rPr>
          <w:rStyle w:val="TextoNormalCaracter"/>
        </w:rPr>
        <w:t>-</w:t>
      </w:r>
      <w:r>
        <w:t xml:space="preserve"> Sentencia </w:t>
      </w:r>
      <w:hyperlink w:anchor="SENTENCIA_2025_28" w:history="1">
        <w:r w:rsidRPr="001D7FA9">
          <w:rPr>
            <w:rStyle w:val="TextoNormalCaracter"/>
          </w:rPr>
          <w:t>28/2025</w:t>
        </w:r>
      </w:hyperlink>
      <w:r>
        <w:t>, f. 3.</w:t>
      </w:r>
    </w:p>
    <w:p w14:paraId="52BDBC52" w14:textId="382BF8C5" w:rsidR="001D7FA9" w:rsidRDefault="001D7FA9" w:rsidP="001D7FA9">
      <w:pPr>
        <w:pStyle w:val="SangriaFrancesaArticulo"/>
      </w:pPr>
      <w:r w:rsidRPr="001D7FA9">
        <w:rPr>
          <w:rStyle w:val="TextoNormalNegritaCaracter"/>
        </w:rPr>
        <w:t>Artículo 47.</w:t>
      </w:r>
      <w:r w:rsidRPr="001D7FA9">
        <w:rPr>
          <w:rStyle w:val="TextoNormalCaracter"/>
        </w:rPr>
        <w:t>-</w:t>
      </w:r>
      <w:r>
        <w:t xml:space="preserve"> Sentencia </w:t>
      </w:r>
      <w:hyperlink w:anchor="SENTENCIA_2025_137" w:history="1">
        <w:r w:rsidRPr="001D7FA9">
          <w:rPr>
            <w:rStyle w:val="TextoNormalCaracter"/>
          </w:rPr>
          <w:t>137/2025</w:t>
        </w:r>
      </w:hyperlink>
      <w:r>
        <w:t>, f. 11, VP II, VP III, VP IV.</w:t>
      </w:r>
    </w:p>
    <w:p w14:paraId="0E1371CC" w14:textId="6137B9A0" w:rsidR="001D7FA9" w:rsidRDefault="001D7FA9" w:rsidP="001D7FA9">
      <w:pPr>
        <w:pStyle w:val="SangriaIzquierdaArticulo"/>
      </w:pPr>
      <w:r>
        <w:t xml:space="preserve">Autos </w:t>
      </w:r>
      <w:hyperlink w:anchor="AUTO_2025_12" w:history="1">
        <w:r w:rsidRPr="001D7FA9">
          <w:rPr>
            <w:rStyle w:val="TextoNormalCaracter"/>
          </w:rPr>
          <w:t>12/2025</w:t>
        </w:r>
      </w:hyperlink>
      <w:r>
        <w:t xml:space="preserve">, VP II; </w:t>
      </w:r>
      <w:hyperlink w:anchor="AUTO_2025_35" w:history="1">
        <w:r w:rsidRPr="001D7FA9">
          <w:rPr>
            <w:rStyle w:val="TextoNormalCaracter"/>
          </w:rPr>
          <w:t>35/2025</w:t>
        </w:r>
      </w:hyperlink>
      <w:r>
        <w:t xml:space="preserve">, VP II; </w:t>
      </w:r>
      <w:hyperlink w:anchor="AUTO_2025_65" w:history="1">
        <w:r w:rsidRPr="001D7FA9">
          <w:rPr>
            <w:rStyle w:val="TextoNormalCaracter"/>
          </w:rPr>
          <w:t>65/2025</w:t>
        </w:r>
      </w:hyperlink>
      <w:r>
        <w:t>, VP.</w:t>
      </w:r>
    </w:p>
    <w:p w14:paraId="51E89FB9" w14:textId="23265F0C" w:rsidR="001D7FA9" w:rsidRDefault="001D7FA9" w:rsidP="001D7FA9">
      <w:pPr>
        <w:pStyle w:val="SangriaFrancesaArticulo"/>
      </w:pPr>
      <w:r w:rsidRPr="001D7FA9">
        <w:rPr>
          <w:rStyle w:val="TextoNormalNegritaCaracter"/>
        </w:rPr>
        <w:t>Artículo 47, párrafo 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C52E3BC" w14:textId="31483C12"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CE58F52" w14:textId="21220D5E" w:rsidR="001D7FA9" w:rsidRDefault="001D7FA9" w:rsidP="001D7FA9">
      <w:pPr>
        <w:pStyle w:val="SangriaFrancesaArticulo"/>
      </w:pPr>
      <w:r w:rsidRPr="001D7FA9">
        <w:rPr>
          <w:rStyle w:val="TextoNormalNegritaCaracter"/>
        </w:rPr>
        <w:t>Artículo 49.</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309974E" w14:textId="7323E101" w:rsidR="001D7FA9" w:rsidRDefault="001D7FA9" w:rsidP="001D7FA9">
      <w:pPr>
        <w:pStyle w:val="SangriaFrancesaArticulo"/>
      </w:pPr>
      <w:r w:rsidRPr="001D7FA9">
        <w:rPr>
          <w:rStyle w:val="TextoNormalNegritaCaracter"/>
        </w:rPr>
        <w:t>Artículo 54.</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7F6E6B4" w14:textId="65FD5743" w:rsidR="001D7FA9" w:rsidRDefault="001D7FA9" w:rsidP="001D7FA9">
      <w:pPr>
        <w:pStyle w:val="SangriaFrancesaArticulo"/>
      </w:pPr>
    </w:p>
    <w:p w14:paraId="7CB6BEED" w14:textId="77777777" w:rsidR="001D7FA9" w:rsidRDefault="001D7FA9" w:rsidP="001D7FA9">
      <w:pPr>
        <w:pStyle w:val="TextoNormalNegritaCursivandice"/>
        <w:keepNext/>
      </w:pPr>
      <w:r>
        <w:t>Resolución de 20 de septiembre de 2001, del Parlamento europeo sobre el acoso moral en el lugar de trabajo</w:t>
      </w:r>
    </w:p>
    <w:p w14:paraId="2635DBC3" w14:textId="39E92E8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8" w:history="1">
        <w:r w:rsidRPr="001D7FA9">
          <w:rPr>
            <w:rStyle w:val="TextoNormalCaracter"/>
          </w:rPr>
          <w:t>28/2025</w:t>
        </w:r>
      </w:hyperlink>
      <w:r>
        <w:t>, f. 3.</w:t>
      </w:r>
    </w:p>
    <w:p w14:paraId="488CECA6" w14:textId="615F75C4" w:rsidR="001D7FA9" w:rsidRDefault="001D7FA9" w:rsidP="001D7FA9">
      <w:pPr>
        <w:pStyle w:val="SangriaFrancesaArticulo"/>
      </w:pPr>
    </w:p>
    <w:p w14:paraId="3AC560BF" w14:textId="77777777" w:rsidR="001D7FA9" w:rsidRDefault="001D7FA9" w:rsidP="001D7FA9">
      <w:pPr>
        <w:pStyle w:val="TextoNormalNegritaCursivandice"/>
        <w:keepNext/>
      </w:pPr>
      <w:r>
        <w:t>Comunicación de la Comisión sobre como adaptarse a los cambios en la sociedad y en el mundo del trabajo: una nueva estrategia comunitaria de salud y seguridad (2002-2006) de 11 de marzo de 2022 (COM/2002/118 final)</w:t>
      </w:r>
    </w:p>
    <w:p w14:paraId="38046946" w14:textId="04021F3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8" w:history="1">
        <w:r w:rsidRPr="001D7FA9">
          <w:rPr>
            <w:rStyle w:val="TextoNormalCaracter"/>
          </w:rPr>
          <w:t>28/2025</w:t>
        </w:r>
      </w:hyperlink>
      <w:r>
        <w:t>, f. 3.</w:t>
      </w:r>
    </w:p>
    <w:p w14:paraId="1B45D6A7" w14:textId="6148918B" w:rsidR="001D7FA9" w:rsidRDefault="001D7FA9" w:rsidP="001D7FA9">
      <w:pPr>
        <w:pStyle w:val="SangriaFrancesaArticulo"/>
      </w:pPr>
    </w:p>
    <w:p w14:paraId="6808EBBD" w14:textId="77777777" w:rsidR="001D7FA9" w:rsidRDefault="001D7FA9" w:rsidP="001D7FA9">
      <w:pPr>
        <w:pStyle w:val="TextoNormalNegritaCursivandice"/>
        <w:keepNext/>
      </w:pPr>
      <w:r>
        <w:t>Decisión marco 2002/475/JAI del Consejo, de 13 de junio de 2002. Lucha contra el terrorismo</w:t>
      </w:r>
    </w:p>
    <w:p w14:paraId="50828704" w14:textId="3707F299"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85ACC2B" w14:textId="637BF0B0"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48810B1" w14:textId="52F55215" w:rsidR="001D7FA9" w:rsidRDefault="001D7FA9" w:rsidP="001D7FA9">
      <w:pPr>
        <w:pStyle w:val="SangriaIzquierdaArticulo"/>
      </w:pPr>
    </w:p>
    <w:p w14:paraId="36E9FBA3" w14:textId="77777777" w:rsidR="001D7FA9" w:rsidRDefault="001D7FA9" w:rsidP="001D7FA9">
      <w:pPr>
        <w:pStyle w:val="TextoNormalNegritaCursivandice"/>
        <w:keepNext/>
      </w:pPr>
      <w:r>
        <w:t>Decisión marco 2002/584/JAI del Consejo, de 13 de junio de 2002, relativa a la orden de detención europea y procedimientos de entrega entre Estados miembros</w:t>
      </w:r>
    </w:p>
    <w:p w14:paraId="015139D2" w14:textId="1B51A1A6"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 VP I, VP III, VP IV.</w:t>
      </w:r>
    </w:p>
    <w:p w14:paraId="12881478" w14:textId="04D6790D"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45306F0B" w14:textId="610C7F8B"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05ABE43" w14:textId="0ED61FC7" w:rsidR="001D7FA9" w:rsidRDefault="001D7FA9" w:rsidP="001D7FA9">
      <w:pPr>
        <w:pStyle w:val="SangriaFrancesaArticulo"/>
      </w:pPr>
      <w:r w:rsidRPr="001D7FA9">
        <w:rPr>
          <w:rStyle w:val="TextoNormalNegritaCaracter"/>
        </w:rPr>
        <w:t>Artículo 4.</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0E56DD34" w14:textId="222163EF" w:rsidR="001D7FA9" w:rsidRDefault="001D7FA9" w:rsidP="001D7FA9">
      <w:pPr>
        <w:pStyle w:val="SangriaFrancesaArticulo"/>
      </w:pPr>
      <w:r w:rsidRPr="001D7FA9">
        <w:rPr>
          <w:rStyle w:val="TextoNormalNegritaCaracter"/>
        </w:rPr>
        <w:t>Artículo 4 bis.</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4594AE1" w14:textId="109A6665" w:rsidR="001D7FA9" w:rsidRDefault="001D7FA9" w:rsidP="001D7FA9">
      <w:pPr>
        <w:pStyle w:val="SangriaFrancesaArticulo"/>
      </w:pPr>
    </w:p>
    <w:p w14:paraId="1FBDACD4" w14:textId="77777777" w:rsidR="001D7FA9" w:rsidRDefault="001D7FA9" w:rsidP="001D7FA9">
      <w:pPr>
        <w:pStyle w:val="TextoNormalNegritaCursivandice"/>
        <w:keepNext/>
      </w:pPr>
      <w:r>
        <w:t>Reglamento (CE) 2201/2003 del Consejo, de 27 de noviembre de 2003, relativo a la competencia, el reconocimiento y la ejecución de resoluciones judiciales en materia matrimonial y de responsabilidad parental, por el que se deroga el Reglamento (CE) 1347/2000</w:t>
      </w:r>
    </w:p>
    <w:p w14:paraId="550D7561" w14:textId="0B5F971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5FB9AC82" w14:textId="711BDD80" w:rsidR="001D7FA9" w:rsidRDefault="001D7FA9" w:rsidP="001D7FA9">
      <w:pPr>
        <w:pStyle w:val="SangriaFrancesaArticulo"/>
      </w:pPr>
    </w:p>
    <w:p w14:paraId="24DEBC3D" w14:textId="77777777" w:rsidR="001D7FA9" w:rsidRDefault="001D7FA9" w:rsidP="001D7FA9">
      <w:pPr>
        <w:pStyle w:val="TextoNormalNegritaCursivandice"/>
        <w:keepNext/>
      </w:pPr>
      <w:r>
        <w:t>Tratado por el que se establece una Constitución para Europa, hecho en Roma el 29 de octubre de 2004</w:t>
      </w:r>
    </w:p>
    <w:p w14:paraId="6A588B7F" w14:textId="7C71CF21" w:rsidR="001D7FA9" w:rsidRDefault="001D7FA9" w:rsidP="001D7FA9">
      <w:pPr>
        <w:pStyle w:val="SangriaFrancesaArticulo"/>
      </w:pPr>
      <w:r w:rsidRPr="001D7FA9">
        <w:rPr>
          <w:rStyle w:val="TextoNormalNegritaCaracter"/>
        </w:rPr>
        <w:t>Artículo I-6.</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9C29DD5" w14:textId="1A2DCE85" w:rsidR="001D7FA9" w:rsidRDefault="001D7FA9" w:rsidP="001D7FA9">
      <w:pPr>
        <w:pStyle w:val="SangriaFrancesaArticulo"/>
      </w:pPr>
    </w:p>
    <w:p w14:paraId="55512B58" w14:textId="77777777" w:rsidR="001D7FA9" w:rsidRDefault="001D7FA9" w:rsidP="001D7FA9">
      <w:pPr>
        <w:pStyle w:val="TextoNormalNegritaCursivandice"/>
        <w:keepNext/>
      </w:pPr>
      <w:r>
        <w:t>Directiva 2006/123/CE del Parlamento Europeo y del Consejo, de 12 de diciembre de 2006, relativa a los servicios en el mercado interior</w:t>
      </w:r>
    </w:p>
    <w:p w14:paraId="3313FFAA" w14:textId="54A5F97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4" w:history="1">
        <w:r w:rsidRPr="001D7FA9">
          <w:rPr>
            <w:rStyle w:val="TextoNormalCaracter"/>
          </w:rPr>
          <w:t>64/2025</w:t>
        </w:r>
      </w:hyperlink>
      <w:r>
        <w:t>, f. 5.</w:t>
      </w:r>
    </w:p>
    <w:p w14:paraId="3D5F7FB1" w14:textId="0E96D207" w:rsidR="001D7FA9" w:rsidRDefault="001D7FA9" w:rsidP="001D7FA9">
      <w:pPr>
        <w:pStyle w:val="SangriaFrancesaArticulo"/>
      </w:pPr>
      <w:r w:rsidRPr="001D7FA9">
        <w:rPr>
          <w:rStyle w:val="TextoNormalNegritaCaracter"/>
        </w:rPr>
        <w:t>Considerando 40.</w:t>
      </w:r>
      <w:r w:rsidRPr="001D7FA9">
        <w:rPr>
          <w:rStyle w:val="TextoNormalCaracter"/>
        </w:rPr>
        <w:t>-</w:t>
      </w:r>
      <w:r>
        <w:t xml:space="preserve"> Sentencia </w:t>
      </w:r>
      <w:hyperlink w:anchor="SENTENCIA_2025_64" w:history="1">
        <w:r w:rsidRPr="001D7FA9">
          <w:rPr>
            <w:rStyle w:val="TextoNormalCaracter"/>
          </w:rPr>
          <w:t>64/2025</w:t>
        </w:r>
      </w:hyperlink>
      <w:r>
        <w:t>, f. 5.</w:t>
      </w:r>
    </w:p>
    <w:p w14:paraId="3CE9673F" w14:textId="612AADEE" w:rsidR="001D7FA9" w:rsidRDefault="001D7FA9" w:rsidP="001D7FA9">
      <w:pPr>
        <w:pStyle w:val="SangriaFrancesaArticulo"/>
      </w:pPr>
    </w:p>
    <w:p w14:paraId="65562EA5" w14:textId="77777777" w:rsidR="001D7FA9" w:rsidRDefault="001D7FA9" w:rsidP="001D7FA9">
      <w:pPr>
        <w:pStyle w:val="TextoNormalNegritaCursivandice"/>
        <w:keepNext/>
      </w:pPr>
      <w:r>
        <w:t>Acuerdo marco de la CES, BUSINESSEUROPE, la UEAPME y el CEEP sobre el acoso y la violencia en el trabajo de 26 de abril de 2007</w:t>
      </w:r>
    </w:p>
    <w:p w14:paraId="10C85B92" w14:textId="22702FC7" w:rsidR="001D7FA9" w:rsidRDefault="001D7FA9" w:rsidP="001D7FA9">
      <w:pPr>
        <w:pStyle w:val="SangriaFrancesaArticulo"/>
      </w:pPr>
      <w:r w:rsidRPr="001D7FA9">
        <w:rPr>
          <w:rStyle w:val="TextoNormalNegritaCaracter"/>
        </w:rPr>
        <w:t>Apartado 3.</w:t>
      </w:r>
      <w:r w:rsidRPr="001D7FA9">
        <w:rPr>
          <w:rStyle w:val="TextoNormalCaracter"/>
        </w:rPr>
        <w:t>-</w:t>
      </w:r>
      <w:r>
        <w:t xml:space="preserve"> Sentencia </w:t>
      </w:r>
      <w:hyperlink w:anchor="SENTENCIA_2025_28" w:history="1">
        <w:r w:rsidRPr="001D7FA9">
          <w:rPr>
            <w:rStyle w:val="TextoNormalCaracter"/>
          </w:rPr>
          <w:t>28/2025</w:t>
        </w:r>
      </w:hyperlink>
      <w:r>
        <w:t>, f. 3.</w:t>
      </w:r>
    </w:p>
    <w:p w14:paraId="11C1471C" w14:textId="3ED1C6E7" w:rsidR="001D7FA9" w:rsidRDefault="001D7FA9" w:rsidP="001D7FA9">
      <w:pPr>
        <w:pStyle w:val="SangriaFrancesaArticulo"/>
      </w:pPr>
    </w:p>
    <w:p w14:paraId="72BF33F1" w14:textId="77777777" w:rsidR="001D7FA9" w:rsidRDefault="001D7FA9" w:rsidP="001D7FA9">
      <w:pPr>
        <w:pStyle w:val="TextoNormalNegritaCursivandice"/>
        <w:keepNext/>
      </w:pPr>
      <w:r>
        <w:t>Tratado de funcionamiento de la Unión Europea —TFUE— hecho en Lisboa, de 13 de diciembre de 2007</w:t>
      </w:r>
    </w:p>
    <w:p w14:paraId="208D04C8" w14:textId="09DE241D"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E7B7BB7" w14:textId="3FC23548"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836B729" w14:textId="547E8507"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B575D63" w14:textId="2DBD6D7F" w:rsidR="001D7FA9" w:rsidRDefault="001D7FA9" w:rsidP="001D7FA9">
      <w:pPr>
        <w:pStyle w:val="SangriaFrancesaArticulo"/>
      </w:pPr>
      <w:r w:rsidRPr="001D7FA9">
        <w:rPr>
          <w:rStyle w:val="TextoNormalNegritaCaracter"/>
        </w:rPr>
        <w:t>Artículo 18.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D8C085D" w14:textId="5FD0D16E"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79CBF734" w14:textId="6A00E407"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E1EDF68" w14:textId="671E35BC"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F951F0C" w14:textId="0C8A0E17" w:rsidR="001D7FA9" w:rsidRDefault="001D7FA9" w:rsidP="001D7FA9">
      <w:pPr>
        <w:pStyle w:val="SangriaFrancesaArticulo"/>
      </w:pPr>
      <w:r w:rsidRPr="001D7FA9">
        <w:rPr>
          <w:rStyle w:val="TextoNormalNegritaCaracter"/>
        </w:rPr>
        <w:t>Artículo 19.1.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6567A8E" w14:textId="6BDF0A58" w:rsidR="001D7FA9" w:rsidRDefault="001D7FA9" w:rsidP="001D7FA9">
      <w:pPr>
        <w:pStyle w:val="SangriaFrancesaArticulo"/>
      </w:pPr>
      <w:r w:rsidRPr="001D7FA9">
        <w:rPr>
          <w:rStyle w:val="TextoNormalNegritaCaracter"/>
        </w:rPr>
        <w:t>Ártículo 20.2.</w:t>
      </w:r>
      <w:r w:rsidRPr="001D7FA9">
        <w:rPr>
          <w:rStyle w:val="TextoNormalCaracter"/>
        </w:rPr>
        <w:t>-</w:t>
      </w:r>
      <w:r>
        <w:t xml:space="preserve"> Auto </w:t>
      </w:r>
      <w:hyperlink w:anchor="AUTO_2025_65" w:history="1">
        <w:r w:rsidRPr="001D7FA9">
          <w:rPr>
            <w:rStyle w:val="TextoNormalCaracter"/>
          </w:rPr>
          <w:t>65/2025</w:t>
        </w:r>
      </w:hyperlink>
      <w:r>
        <w:t>, VP.</w:t>
      </w:r>
    </w:p>
    <w:p w14:paraId="2BE02D10" w14:textId="07E1408B" w:rsidR="001D7FA9" w:rsidRDefault="001D7FA9" w:rsidP="001D7FA9">
      <w:pPr>
        <w:pStyle w:val="SangriaFrancesaArticulo"/>
      </w:pPr>
      <w:r w:rsidRPr="001D7FA9">
        <w:rPr>
          <w:rStyle w:val="TextoNormalNegritaCaracter"/>
        </w:rPr>
        <w:t>Artículo 20.2 a).</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72BD265" w14:textId="722BB4A4"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7FC1684F" w14:textId="2DDD1117" w:rsidR="001D7FA9" w:rsidRDefault="001D7FA9" w:rsidP="001D7FA9">
      <w:pPr>
        <w:pStyle w:val="SangriaFrancesaArticulo"/>
      </w:pPr>
      <w:r w:rsidRPr="001D7FA9">
        <w:rPr>
          <w:rStyle w:val="TextoNormalNegritaCaracter"/>
        </w:rPr>
        <w:t>Artículo 21.1.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7819948" w14:textId="7553F060"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9681E96" w14:textId="182B4FE1" w:rsidR="001D7FA9" w:rsidRDefault="001D7FA9" w:rsidP="001D7FA9">
      <w:pPr>
        <w:pStyle w:val="SangriaFrancesaArticulo"/>
      </w:pPr>
      <w:r w:rsidRPr="001D7FA9">
        <w:rPr>
          <w:rStyle w:val="TextoNormalNegritaCaracter"/>
        </w:rPr>
        <w:t>Artículo 67.</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3DCFB57" w14:textId="40DCD144"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1158CAC" w14:textId="6A15BB98" w:rsidR="001D7FA9" w:rsidRDefault="001D7FA9" w:rsidP="001D7FA9">
      <w:pPr>
        <w:pStyle w:val="SangriaFrancesaArticulo"/>
      </w:pPr>
      <w:r w:rsidRPr="001D7FA9">
        <w:rPr>
          <w:rStyle w:val="TextoNormalNegritaCaracter"/>
        </w:rPr>
        <w:t>Artículo 82.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4E1AFAD" w14:textId="24CC8F4B" w:rsidR="001D7FA9" w:rsidRDefault="001D7FA9" w:rsidP="001D7FA9">
      <w:pPr>
        <w:pStyle w:val="SangriaFrancesaArticulo"/>
      </w:pPr>
      <w:r w:rsidRPr="001D7FA9">
        <w:rPr>
          <w:rStyle w:val="TextoNormalNegritaCaracter"/>
        </w:rPr>
        <w:t>Artículo 82.1.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697BF3B" w14:textId="5457EE76"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2C4C0D3" w14:textId="1FBFC8BE" w:rsidR="001D7FA9" w:rsidRDefault="001D7FA9" w:rsidP="001D7FA9">
      <w:pPr>
        <w:pStyle w:val="SangriaFrancesaArticulo"/>
      </w:pPr>
      <w:r w:rsidRPr="001D7FA9">
        <w:rPr>
          <w:rStyle w:val="TextoNormalNegritaCaracter"/>
        </w:rPr>
        <w:t>Artículo 83.1.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5D30368" w14:textId="3A1DD1B3"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A23CA23" w14:textId="4B80C4D5" w:rsidR="001D7FA9" w:rsidRDefault="001D7FA9" w:rsidP="001D7FA9">
      <w:pPr>
        <w:pStyle w:val="SangriaFrancesaArticulo"/>
      </w:pPr>
      <w:r w:rsidRPr="001D7FA9">
        <w:rPr>
          <w:rStyle w:val="TextoNormalNegritaCaracter"/>
        </w:rPr>
        <w:t>Artículo 87.3.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DE25812" w14:textId="1B5006C7"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1501318" w14:textId="6301F147" w:rsidR="001D7FA9" w:rsidRDefault="001D7FA9" w:rsidP="001D7FA9">
      <w:pPr>
        <w:pStyle w:val="SangriaFrancesaArticulo"/>
      </w:pPr>
      <w:r w:rsidRPr="001D7FA9">
        <w:rPr>
          <w:rStyle w:val="TextoNormalNegritaCaracter"/>
        </w:rPr>
        <w:t>Artículo 258.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BAF38BF" w14:textId="2547047A" w:rsidR="001D7FA9" w:rsidRDefault="001D7FA9" w:rsidP="001D7FA9">
      <w:pPr>
        <w:pStyle w:val="SangriaFrancesaArticulo"/>
      </w:pPr>
      <w:r w:rsidRPr="001D7FA9">
        <w:rPr>
          <w:rStyle w:val="TextoNormalNegritaCaracter"/>
        </w:rPr>
        <w:t>Artículo 267.</w:t>
      </w:r>
      <w:r w:rsidRPr="001D7FA9">
        <w:rPr>
          <w:rStyle w:val="TextoNormalCaracter"/>
        </w:rPr>
        <w:t>-</w:t>
      </w:r>
      <w:r>
        <w:t xml:space="preserve"> Sentencias </w:t>
      </w:r>
      <w:hyperlink w:anchor="SENTENCIA_2025_105" w:history="1">
        <w:r w:rsidRPr="001D7FA9">
          <w:rPr>
            <w:rStyle w:val="TextoNormalCaracter"/>
          </w:rPr>
          <w:t>105/2025</w:t>
        </w:r>
      </w:hyperlink>
      <w:r>
        <w:t xml:space="preserve">, VP III; </w:t>
      </w:r>
      <w:hyperlink w:anchor="SENTENCIA_2025_137" w:history="1">
        <w:r w:rsidRPr="001D7FA9">
          <w:rPr>
            <w:rStyle w:val="TextoNormalCaracter"/>
          </w:rPr>
          <w:t>137/2025</w:t>
        </w:r>
      </w:hyperlink>
      <w:r>
        <w:t>, ff. 1, 7, 11, VP II, VP III, VP IV.</w:t>
      </w:r>
    </w:p>
    <w:p w14:paraId="60932559" w14:textId="38B93C48" w:rsidR="001D7FA9" w:rsidRDefault="001D7FA9" w:rsidP="001D7FA9">
      <w:pPr>
        <w:pStyle w:val="SangriaIzquierdaArticulo"/>
      </w:pPr>
      <w:r>
        <w:t xml:space="preserve">Auto </w:t>
      </w:r>
      <w:hyperlink w:anchor="AUTO_2025_65" w:history="1">
        <w:r w:rsidRPr="001D7FA9">
          <w:rPr>
            <w:rStyle w:val="TextoNormalCaracter"/>
          </w:rPr>
          <w:t>65/2025</w:t>
        </w:r>
      </w:hyperlink>
      <w:r>
        <w:t>, f. 2, VP.</w:t>
      </w:r>
    </w:p>
    <w:p w14:paraId="42A922CA" w14:textId="5CC315F2" w:rsidR="001D7FA9" w:rsidRDefault="001D7FA9" w:rsidP="001D7FA9">
      <w:pPr>
        <w:pStyle w:val="SangriaFrancesaArticulo"/>
      </w:pPr>
      <w:r w:rsidRPr="001D7FA9">
        <w:rPr>
          <w:rStyle w:val="TextoNormalNegritaCaracter"/>
        </w:rPr>
        <w:t>Artículo 267, párrafo tercero.</w:t>
      </w:r>
      <w:r w:rsidRPr="001D7FA9">
        <w:rPr>
          <w:rStyle w:val="TextoNormalCaracter"/>
        </w:rPr>
        <w:t>-</w:t>
      </w:r>
      <w:r>
        <w:t xml:space="preserve"> Sentencia </w:t>
      </w:r>
      <w:hyperlink w:anchor="SENTENCIA_2025_137" w:history="1">
        <w:r w:rsidRPr="001D7FA9">
          <w:rPr>
            <w:rStyle w:val="TextoNormalCaracter"/>
          </w:rPr>
          <w:t>137/2025</w:t>
        </w:r>
      </w:hyperlink>
      <w:r>
        <w:t>, VP II, VP III, VP IV.</w:t>
      </w:r>
    </w:p>
    <w:p w14:paraId="4B7C865D" w14:textId="7D8CE8C5"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4B67C9C2" w14:textId="3AF49C54" w:rsidR="001D7FA9" w:rsidRDefault="001D7FA9" w:rsidP="001D7FA9">
      <w:pPr>
        <w:pStyle w:val="SangriaFrancesaArticulo"/>
      </w:pPr>
      <w:r w:rsidRPr="001D7FA9">
        <w:rPr>
          <w:rStyle w:val="TextoNormalNegritaCaracter"/>
        </w:rPr>
        <w:t>Artículo 288.</w:t>
      </w:r>
      <w:r w:rsidRPr="001D7FA9">
        <w:rPr>
          <w:rStyle w:val="TextoNormalCaracter"/>
        </w:rPr>
        <w:t>-</w:t>
      </w:r>
      <w:r>
        <w:t xml:space="preserve"> Sentencias </w:t>
      </w:r>
      <w:hyperlink w:anchor="SENTENCIA_2025_44" w:history="1">
        <w:r w:rsidRPr="001D7FA9">
          <w:rPr>
            <w:rStyle w:val="TextoNormalCaracter"/>
          </w:rPr>
          <w:t>44/2025</w:t>
        </w:r>
      </w:hyperlink>
      <w:r>
        <w:t xml:space="preserve">, f. 4; </w:t>
      </w:r>
      <w:hyperlink w:anchor="SENTENCIA_2025_137" w:history="1">
        <w:r w:rsidRPr="001D7FA9">
          <w:rPr>
            <w:rStyle w:val="TextoNormalCaracter"/>
          </w:rPr>
          <w:t>137/2025</w:t>
        </w:r>
      </w:hyperlink>
      <w:r>
        <w:t>, VP III.</w:t>
      </w:r>
    </w:p>
    <w:p w14:paraId="168DA8B8" w14:textId="67766F40" w:rsidR="001D7FA9" w:rsidRDefault="001D7FA9" w:rsidP="001D7FA9">
      <w:pPr>
        <w:pStyle w:val="SangriaFrancesaArticulo"/>
      </w:pPr>
      <w:r w:rsidRPr="001D7FA9">
        <w:rPr>
          <w:rStyle w:val="TextoNormalNegritaCaracter"/>
        </w:rPr>
        <w:t>Artículo 288, párrafo tercero.</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3F509C8" w14:textId="1BB5FF11" w:rsidR="001D7FA9" w:rsidRDefault="001D7FA9" w:rsidP="001D7FA9">
      <w:pPr>
        <w:pStyle w:val="SangriaFrancesaArticulo"/>
      </w:pPr>
      <w:r w:rsidRPr="001D7FA9">
        <w:rPr>
          <w:rStyle w:val="TextoNormalNegritaCaracter"/>
        </w:rPr>
        <w:t>Artículo 310.6.</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5133128" w14:textId="30635CB0"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493B255" w14:textId="4EE46935" w:rsidR="001D7FA9" w:rsidRDefault="001D7FA9" w:rsidP="001D7FA9">
      <w:pPr>
        <w:pStyle w:val="SangriaFrancesaArticulo"/>
      </w:pPr>
      <w:r w:rsidRPr="001D7FA9">
        <w:rPr>
          <w:rStyle w:val="TextoNormalNegritaCaracter"/>
        </w:rPr>
        <w:t>Artículo 325.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9876EA7" w14:textId="22CE5503"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F37CFAF" w14:textId="08850D5C" w:rsidR="001D7FA9" w:rsidRDefault="001D7FA9" w:rsidP="001D7FA9">
      <w:pPr>
        <w:pStyle w:val="SangriaFrancesaArticulo"/>
      </w:pPr>
      <w:r w:rsidRPr="001D7FA9">
        <w:rPr>
          <w:rStyle w:val="TextoNormalNegritaCaracter"/>
        </w:rPr>
        <w:t>Artículo 325.1.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08C59D6" w14:textId="6A5E0F72"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2FB4B10" w14:textId="7D7B5C2E" w:rsidR="001D7FA9" w:rsidRDefault="001D7FA9" w:rsidP="001D7FA9">
      <w:pPr>
        <w:pStyle w:val="SangriaIzquierdaArticulo"/>
      </w:pPr>
    </w:p>
    <w:p w14:paraId="5DE8B791" w14:textId="77777777" w:rsidR="001D7FA9" w:rsidRDefault="001D7FA9" w:rsidP="001D7FA9">
      <w:pPr>
        <w:pStyle w:val="TextoNormalNegritaCursivandice"/>
        <w:keepNext/>
      </w:pPr>
      <w:r>
        <w:t>Protocolo núm. 3 al Tratado de funcionamiento de la Unión Europea, sobre el estatuto del Tribunal de Justicia de la Unión Europea (DOUE de 17 de diciembre de 2007)</w:t>
      </w:r>
    </w:p>
    <w:p w14:paraId="034DFD88" w14:textId="479C8B9B" w:rsidR="001D7FA9" w:rsidRDefault="001D7FA9" w:rsidP="001D7FA9">
      <w:pPr>
        <w:pStyle w:val="SangriaFrancesaArticulo"/>
      </w:pPr>
      <w:r w:rsidRPr="001D7FA9">
        <w:rPr>
          <w:rStyle w:val="TextoNormalNegritaCaracter"/>
        </w:rPr>
        <w:t>Artículo 23.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126D6D4" w14:textId="3A0C4208" w:rsidR="001D7FA9" w:rsidRDefault="001D7FA9" w:rsidP="001D7FA9">
      <w:pPr>
        <w:pStyle w:val="SangriaFrancesaArticulo"/>
      </w:pPr>
    </w:p>
    <w:p w14:paraId="4B0C4B1C" w14:textId="77777777" w:rsidR="001D7FA9" w:rsidRDefault="001D7FA9" w:rsidP="001D7FA9">
      <w:pPr>
        <w:pStyle w:val="TextoNormalNegritaCursivandice"/>
        <w:keepNext/>
      </w:pPr>
      <w:r>
        <w:t>Directiva 2008/115/CE del Parlamento Europeo y del Consejo, de 16 de diciembre de 2008, relativa a normas y procedimientos comunes en los Estados miembros para el retorno de los nacionales de terceros países en situación irregular</w:t>
      </w:r>
    </w:p>
    <w:p w14:paraId="3631891D" w14:textId="1EF090C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CF584CB" w14:textId="21F45A1B" w:rsidR="001D7FA9" w:rsidRDefault="001D7FA9" w:rsidP="001D7FA9">
      <w:pPr>
        <w:pStyle w:val="SangriaFrancesaArticulo"/>
      </w:pPr>
    </w:p>
    <w:p w14:paraId="5CE8007F" w14:textId="77777777" w:rsidR="001D7FA9" w:rsidRDefault="001D7FA9" w:rsidP="001D7FA9">
      <w:pPr>
        <w:pStyle w:val="TextoNormalNegritaCursivandice"/>
        <w:keepNext/>
      </w:pPr>
      <w:r>
        <w:t>Decisión marco 2009/299/JAI del Consejo, de 26 de febrero de 2009, por la que se modifican las decisiones marco 2002/584/JAI, 2005/214/JAI, 2006/783/JAI, 2008/909/JAI y 2008/947/JAI, destinada a reforzar los derechos procesales de las personas y a propiciar la aplicación del principio de reconocimiento mutuo de las resoluciones dictadas a raíz de juicios celebrados sin comparecencia del imputado</w:t>
      </w:r>
    </w:p>
    <w:p w14:paraId="2B8B613A" w14:textId="1194A6F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w:t>
      </w:r>
    </w:p>
    <w:p w14:paraId="6B18A835" w14:textId="2BF9DC76" w:rsidR="001D7FA9" w:rsidRDefault="001D7FA9" w:rsidP="001D7FA9">
      <w:pPr>
        <w:pStyle w:val="SangriaFrancesaArticulo"/>
      </w:pPr>
    </w:p>
    <w:p w14:paraId="3FE9D4D5" w14:textId="77777777" w:rsidR="001D7FA9" w:rsidRDefault="001D7FA9" w:rsidP="001D7FA9">
      <w:pPr>
        <w:pStyle w:val="TextoNormalNegritaCursivandice"/>
        <w:keepNext/>
      </w:pPr>
      <w:r>
        <w:t>Directiva 2011/92/UE del Parlamento Europeo y del Consejo, de 13 de diciembre de 2011, relativa a la evaluación de las repercusiones de determinados proyectos públicos y privados sobre el medio ambiente</w:t>
      </w:r>
    </w:p>
    <w:p w14:paraId="613D3368" w14:textId="283E8D8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9" w:history="1">
        <w:r w:rsidRPr="001D7FA9">
          <w:rPr>
            <w:rStyle w:val="TextoNormalCaracter"/>
          </w:rPr>
          <w:t>69/2025</w:t>
        </w:r>
      </w:hyperlink>
      <w:r>
        <w:t>, f. 3.</w:t>
      </w:r>
    </w:p>
    <w:p w14:paraId="2ED943A1" w14:textId="0D60B06E" w:rsidR="001D7FA9" w:rsidRDefault="001D7FA9" w:rsidP="001D7FA9">
      <w:pPr>
        <w:pStyle w:val="SangriaFrancesaArticulo"/>
      </w:pPr>
      <w:r w:rsidRPr="001D7FA9">
        <w:rPr>
          <w:rStyle w:val="TextoNormalNegritaCaracter"/>
        </w:rPr>
        <w:t>Artículo 11.1.</w:t>
      </w:r>
      <w:r w:rsidRPr="001D7FA9">
        <w:rPr>
          <w:rStyle w:val="TextoNormalCaracter"/>
        </w:rPr>
        <w:t>-</w:t>
      </w:r>
      <w:r>
        <w:t xml:space="preserve"> Sentencia </w:t>
      </w:r>
      <w:hyperlink w:anchor="SENTENCIA_2025_69" w:history="1">
        <w:r w:rsidRPr="001D7FA9">
          <w:rPr>
            <w:rStyle w:val="TextoNormalCaracter"/>
          </w:rPr>
          <w:t>69/2025</w:t>
        </w:r>
      </w:hyperlink>
      <w:r>
        <w:t>, f. 3.</w:t>
      </w:r>
    </w:p>
    <w:p w14:paraId="03AA01BC" w14:textId="2C114D8F" w:rsidR="001D7FA9" w:rsidRDefault="001D7FA9" w:rsidP="001D7FA9">
      <w:pPr>
        <w:pStyle w:val="SangriaFrancesaArticulo"/>
      </w:pPr>
    </w:p>
    <w:p w14:paraId="074C693B" w14:textId="77777777" w:rsidR="001D7FA9" w:rsidRDefault="001D7FA9" w:rsidP="001D7FA9">
      <w:pPr>
        <w:pStyle w:val="TextoNormalNegritaCursivandice"/>
        <w:keepNext/>
      </w:pPr>
      <w:r>
        <w:t>Directiva 2012/29/UE del Parlamento Europeo y del Consejo, de 25 de octubre de 2012, por la que se establecen normas mínimas sobre los derechos, el apoyo y la protección de las víctimas de delitos, y por la que se sustituye la Decisión marco 2001/220/JAI del Consejo</w:t>
      </w:r>
    </w:p>
    <w:p w14:paraId="73423C04" w14:textId="2171935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6" w:history="1">
        <w:r w:rsidRPr="001D7FA9">
          <w:rPr>
            <w:rStyle w:val="TextoNormalCaracter"/>
          </w:rPr>
          <w:t>126/2025</w:t>
        </w:r>
      </w:hyperlink>
      <w:r>
        <w:t>, f. 6.</w:t>
      </w:r>
    </w:p>
    <w:p w14:paraId="1DD78847" w14:textId="7093DAEA" w:rsidR="001D7FA9" w:rsidRDefault="001D7FA9" w:rsidP="001D7FA9">
      <w:pPr>
        <w:pStyle w:val="SangriaFrancesaArticulo"/>
      </w:pPr>
    </w:p>
    <w:p w14:paraId="59D5AF30" w14:textId="77777777" w:rsidR="001D7FA9" w:rsidRDefault="001D7FA9" w:rsidP="001D7FA9">
      <w:pPr>
        <w:pStyle w:val="TextoNormalNegritaCursivandice"/>
        <w:keepNext/>
      </w:pPr>
      <w:r>
        <w:t>Protocolo núm. 7 sobre los privilegios y las inmunidades de la Unión Europea; anexo al Tratado de la Unión Europea, al Tratado de funcionamiento de la Unión Europea y al Tratado constitutivo de la Comunidad Europea de la Energía Atómica. DOUE de 26 de octubre de 2012</w:t>
      </w:r>
    </w:p>
    <w:p w14:paraId="5C20BB51" w14:textId="561AF9F7" w:rsidR="001D7FA9" w:rsidRDefault="001D7FA9" w:rsidP="001D7FA9">
      <w:pPr>
        <w:pStyle w:val="SangriaFrancesaArticulo"/>
      </w:pPr>
      <w:r w:rsidRPr="001D7FA9">
        <w:rPr>
          <w:rStyle w:val="TextoNormalNegritaCaracter"/>
        </w:rPr>
        <w:t>Artículo 9.</w:t>
      </w:r>
      <w:r w:rsidRPr="001D7FA9">
        <w:rPr>
          <w:rStyle w:val="TextoNormalCaracter"/>
        </w:rPr>
        <w:t>-</w:t>
      </w:r>
      <w:r>
        <w:t xml:space="preserve"> Sentencia </w:t>
      </w:r>
      <w:hyperlink w:anchor="SENTENCIA_2025_132" w:history="1">
        <w:r w:rsidRPr="001D7FA9">
          <w:rPr>
            <w:rStyle w:val="TextoNormalCaracter"/>
          </w:rPr>
          <w:t>132/2025</w:t>
        </w:r>
      </w:hyperlink>
      <w:r>
        <w:t>, f. 2.</w:t>
      </w:r>
    </w:p>
    <w:p w14:paraId="4620654B" w14:textId="63DACE14" w:rsidR="001D7FA9" w:rsidRDefault="001D7FA9" w:rsidP="001D7FA9">
      <w:pPr>
        <w:pStyle w:val="SangriaFrancesaArticulo"/>
      </w:pPr>
    </w:p>
    <w:p w14:paraId="53B0F367" w14:textId="77777777" w:rsidR="001D7FA9" w:rsidRDefault="001D7FA9" w:rsidP="001D7FA9">
      <w:pPr>
        <w:pStyle w:val="TextoNormalNegritaCursivandice"/>
        <w:keepNext/>
      </w:pPr>
      <w:r>
        <w:t>Reglamento (UE, Euratom) 883/2013 del Parlamento Europeo y del Consejo, de 11 de septiembre de 2013, relativo a las investigaciones efectuadas por la Oficina Europea de Lucha contra el Fraude (OLAF) y por el que se deroga el Reglamento (CE) 1073/1999 del Parlamento Europeo y del Consejo y el Reglamento (Euratom) 1074/1999 del Consejo</w:t>
      </w:r>
    </w:p>
    <w:p w14:paraId="61886DE2" w14:textId="37370C06" w:rsidR="001D7FA9" w:rsidRDefault="001D7FA9" w:rsidP="001D7FA9">
      <w:pPr>
        <w:pStyle w:val="SangriaFrancesaArticulo"/>
        <w:keepNext/>
      </w:pPr>
      <w:r w:rsidRPr="001D7FA9">
        <w:rPr>
          <w:rStyle w:val="TextoNormalNegritaCaracter"/>
        </w:rPr>
        <w:t>Artículo 2.1.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70AA60A" w14:textId="285DFFE5"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B16C3B2" w14:textId="635E630C" w:rsidR="001D7FA9" w:rsidRDefault="001D7FA9" w:rsidP="001D7FA9">
      <w:pPr>
        <w:pStyle w:val="SangriaIzquierdaArticulo"/>
      </w:pPr>
    </w:p>
    <w:p w14:paraId="5E1E9879" w14:textId="77777777" w:rsidR="001D7FA9" w:rsidRDefault="001D7FA9" w:rsidP="001D7FA9">
      <w:pPr>
        <w:pStyle w:val="TextoNormalNegritaCursivandice"/>
        <w:keepNext/>
      </w:pPr>
      <w:r>
        <w:t>Directiva 2014/24/UE del Parlamento Europeo y del Consejo, de 26 de febrero de 2014, sobre contratación pública y por la que se deroga la Directiva 2004/18/CE</w:t>
      </w:r>
    </w:p>
    <w:p w14:paraId="536D4F0A" w14:textId="4E4C323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4" w:history="1">
        <w:r w:rsidRPr="001D7FA9">
          <w:rPr>
            <w:rStyle w:val="TextoNormalCaracter"/>
          </w:rPr>
          <w:t>44/2025</w:t>
        </w:r>
      </w:hyperlink>
      <w:r>
        <w:t>, f. 4.</w:t>
      </w:r>
    </w:p>
    <w:p w14:paraId="7405B51B" w14:textId="1A01D5A1" w:rsidR="001D7FA9" w:rsidRDefault="001D7FA9" w:rsidP="001D7FA9">
      <w:pPr>
        <w:pStyle w:val="SangriaFrancesaArticulo"/>
      </w:pPr>
    </w:p>
    <w:p w14:paraId="044B9066" w14:textId="77777777" w:rsidR="001D7FA9" w:rsidRDefault="001D7FA9" w:rsidP="001D7FA9">
      <w:pPr>
        <w:pStyle w:val="TextoNormalNegritaCursivandice"/>
        <w:keepNext/>
      </w:pPr>
      <w:r>
        <w:t>Directiva (UE) 2017/541 del Parlamento Europeo y del Consejo, de 15 de marzo de 2017, relativa a la lucha contra el terrorismo y por la que se sustituye la Decisión marco 2002/475/JAI del Consejo y se modifica la Decisión 2005/671/JAI del Consejo</w:t>
      </w:r>
    </w:p>
    <w:p w14:paraId="7E479019" w14:textId="6C36ED13"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14, VP III, VP IV.</w:t>
      </w:r>
    </w:p>
    <w:p w14:paraId="45294339" w14:textId="0B7A248A"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FE68E95" w14:textId="21069424" w:rsidR="001D7FA9" w:rsidRDefault="001D7FA9" w:rsidP="001D7FA9">
      <w:pPr>
        <w:pStyle w:val="SangriaFrancesaArticulo"/>
      </w:pPr>
      <w:r w:rsidRPr="001D7FA9">
        <w:rPr>
          <w:rStyle w:val="TextoNormalNegritaCaracter"/>
        </w:rPr>
        <w:t>Preámbulo.</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2B3A6F6" w14:textId="66A4B031" w:rsidR="001D7FA9" w:rsidRDefault="001D7FA9" w:rsidP="001D7FA9">
      <w:pPr>
        <w:pStyle w:val="SangriaFrancesaArticulo"/>
      </w:pPr>
      <w:r w:rsidRPr="001D7FA9">
        <w:rPr>
          <w:rStyle w:val="TextoNormalNegritaCaracter"/>
        </w:rPr>
        <w:t>Considerando 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215EEE8" w14:textId="39176BC6" w:rsidR="001D7FA9" w:rsidRDefault="001D7FA9" w:rsidP="001D7FA9">
      <w:pPr>
        <w:pStyle w:val="SangriaFrancesaArticulo"/>
      </w:pPr>
      <w:r w:rsidRPr="001D7FA9">
        <w:rPr>
          <w:rStyle w:val="TextoNormalNegritaCaracter"/>
        </w:rPr>
        <w:t>Artículo 3.2.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D6CB95D" w14:textId="75046CB4" w:rsidR="001D7FA9" w:rsidRDefault="001D7FA9" w:rsidP="001D7FA9">
      <w:pPr>
        <w:pStyle w:val="SangriaFrancesaArticulo"/>
      </w:pPr>
      <w:r w:rsidRPr="001D7FA9">
        <w:rPr>
          <w:rStyle w:val="TextoNormalNegritaCaracter"/>
        </w:rPr>
        <w:t>Artículos 3 a 15.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8F6AB2F" w14:textId="6A11F18E" w:rsidR="001D7FA9" w:rsidRDefault="001D7FA9" w:rsidP="001D7FA9">
      <w:pPr>
        <w:pStyle w:val="SangriaFrancesaArticulo"/>
      </w:pPr>
    </w:p>
    <w:p w14:paraId="6078181B" w14:textId="77777777" w:rsidR="001D7FA9" w:rsidRDefault="001D7FA9" w:rsidP="001D7FA9">
      <w:pPr>
        <w:pStyle w:val="TextoNormalNegritaCursivandice"/>
        <w:keepNext/>
      </w:pPr>
      <w:r>
        <w:t>Directiva (UE) 2017/1371 del Parlamento Europeo y del Consejo, de 5 de julio de 2017, sobre la lucha contra el fraude que afecta a los intereses financieros de la Unión a través del Derecho penal</w:t>
      </w:r>
    </w:p>
    <w:p w14:paraId="5013F148" w14:textId="646659E9"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593EF433" w14:textId="658BEE0B"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1989FC5" w14:textId="746DF623" w:rsidR="001D7FA9" w:rsidRDefault="001D7FA9" w:rsidP="001D7FA9">
      <w:pPr>
        <w:pStyle w:val="SangriaFrancesaArticulo"/>
      </w:pPr>
      <w:r w:rsidRPr="001D7FA9">
        <w:rPr>
          <w:rStyle w:val="TextoNormalNegritaCaracter"/>
        </w:rPr>
        <w:t>Artículo 2.1 a).</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A3AEB3E" w14:textId="24AACAA5"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360A733" w14:textId="4E2B018E" w:rsidR="001D7FA9" w:rsidRDefault="001D7FA9" w:rsidP="001D7FA9">
      <w:pPr>
        <w:pStyle w:val="SangriaFrancesaArticulo"/>
      </w:pPr>
      <w:r w:rsidRPr="001D7FA9">
        <w:rPr>
          <w:rStyle w:val="TextoNormalNegritaCaracter"/>
        </w:rPr>
        <w:t>Artículo 4.2.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BD2DA12" w14:textId="4FA68137"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40CC2BC" w14:textId="58979F9B" w:rsidR="001D7FA9" w:rsidRDefault="001D7FA9" w:rsidP="001D7FA9">
      <w:pPr>
        <w:pStyle w:val="SangriaIzquierdaArticulo"/>
      </w:pPr>
    </w:p>
    <w:p w14:paraId="737B0D27" w14:textId="77777777" w:rsidR="001D7FA9" w:rsidRDefault="001D7FA9" w:rsidP="001D7FA9">
      <w:pPr>
        <w:pStyle w:val="TextoNormalNegritaCursivandice"/>
        <w:keepNext/>
      </w:pPr>
      <w:r>
        <w:t>Reglamento (UE, Euratom) 2020/2092 del Parlamento Europeo y del Consejo, de 16 de diciembre de 2020, relativo a un régimen general de condicionalidad para la protección del presupuesto de la Unión</w:t>
      </w:r>
    </w:p>
    <w:p w14:paraId="3A49C7B2" w14:textId="45B9AAF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3DADF99" w14:textId="2EC0ECD1" w:rsidR="001D7FA9" w:rsidRDefault="001D7FA9" w:rsidP="001D7FA9">
      <w:pPr>
        <w:pStyle w:val="SangriaFrancesaArticulo"/>
      </w:pPr>
    </w:p>
    <w:p w14:paraId="1391869B" w14:textId="77777777" w:rsidR="001D7FA9" w:rsidRDefault="001D7FA9" w:rsidP="001D7FA9">
      <w:pPr>
        <w:pStyle w:val="TextoNormalNegritaCursivandice"/>
        <w:keepNext/>
      </w:pPr>
      <w:r>
        <w:t>Reglamento (UE)2021/241 del Parlamento Europeo y del Consejo, de 12 de febrero de 2021, por el que se establece el mecanismo de recuperación y resiliencia</w:t>
      </w:r>
    </w:p>
    <w:p w14:paraId="0F00BCC3" w14:textId="22134E0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4" w:history="1">
        <w:r w:rsidRPr="001D7FA9">
          <w:rPr>
            <w:rStyle w:val="TextoNormalCaracter"/>
          </w:rPr>
          <w:t>44/2025</w:t>
        </w:r>
      </w:hyperlink>
      <w:r>
        <w:t>, f. 4.</w:t>
      </w:r>
    </w:p>
    <w:p w14:paraId="2EE0C179" w14:textId="6B0FEC0D" w:rsidR="001D7FA9" w:rsidRDefault="001D7FA9" w:rsidP="001D7FA9">
      <w:pPr>
        <w:pStyle w:val="SangriaFrancesaArticulo"/>
      </w:pPr>
      <w:r w:rsidRPr="001D7FA9">
        <w:rPr>
          <w:rStyle w:val="TextoNormalNegritaCaracter"/>
        </w:rPr>
        <w:t>Artículo 36.</w:t>
      </w:r>
      <w:r w:rsidRPr="001D7FA9">
        <w:rPr>
          <w:rStyle w:val="TextoNormalCaracter"/>
        </w:rPr>
        <w:t>-</w:t>
      </w:r>
      <w:r>
        <w:t xml:space="preserve"> Sentencia </w:t>
      </w:r>
      <w:hyperlink w:anchor="SENTENCIA_2025_44" w:history="1">
        <w:r w:rsidRPr="001D7FA9">
          <w:rPr>
            <w:rStyle w:val="TextoNormalCaracter"/>
          </w:rPr>
          <w:t>44/2025</w:t>
        </w:r>
      </w:hyperlink>
      <w:r>
        <w:t>, f. 4.</w:t>
      </w:r>
    </w:p>
    <w:p w14:paraId="05685ADC" w14:textId="0F724C2B" w:rsidR="001D7FA9" w:rsidRDefault="001D7FA9" w:rsidP="001D7FA9">
      <w:pPr>
        <w:pStyle w:val="SangriaFrancesaArticulo"/>
      </w:pPr>
    </w:p>
    <w:p w14:paraId="5DC761DA" w14:textId="77777777" w:rsidR="001D7FA9" w:rsidRDefault="001D7FA9" w:rsidP="001D7FA9">
      <w:pPr>
        <w:pStyle w:val="TextoNormalNegritaCursivandice"/>
        <w:keepNext/>
      </w:pPr>
      <w:r>
        <w:t>Reglamento (UE) 2022/2065 del Parlamento Europeo y del Consejo, de 19 de octubre de 2022, relativo a un mercado único de servicios digitales y por el que se modifica la Directiva 2000/31/CE (Reglamento de Servicios Digitales)</w:t>
      </w:r>
    </w:p>
    <w:p w14:paraId="64EBBD92" w14:textId="5490D27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2" w:history="1">
        <w:r w:rsidRPr="001D7FA9">
          <w:rPr>
            <w:rStyle w:val="TextoNormalCaracter"/>
          </w:rPr>
          <w:t>62/2025</w:t>
        </w:r>
      </w:hyperlink>
      <w:r>
        <w:t>, VP I.</w:t>
      </w:r>
    </w:p>
    <w:p w14:paraId="6F7AC511" w14:textId="53E7210C" w:rsidR="001D7FA9" w:rsidRDefault="001D7FA9" w:rsidP="001D7FA9">
      <w:pPr>
        <w:pStyle w:val="SangriaFrancesaArticulo"/>
      </w:pPr>
    </w:p>
    <w:p w14:paraId="1C0ED5BF" w14:textId="77777777" w:rsidR="001D7FA9" w:rsidRDefault="001D7FA9" w:rsidP="001D7FA9">
      <w:pPr>
        <w:pStyle w:val="TextoNormalNegritaCursivandice"/>
        <w:keepNext/>
      </w:pPr>
      <w:r>
        <w:t>Reglamento (UE) 2024/1083 del Parlamento Europeo y del Consejo, de 11 de abril de 2024, por el que se establece un marco común para los servicios de medios de comunicación en el mercado interior y se modifica la Directiva 2010/13/UE (Reglamento Europeo sobre la Libertad de los Medios de Comunicación).</w:t>
      </w:r>
    </w:p>
    <w:p w14:paraId="4E5803F6" w14:textId="09EA1AC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2" w:history="1">
        <w:r w:rsidRPr="001D7FA9">
          <w:rPr>
            <w:rStyle w:val="TextoNormalCaracter"/>
          </w:rPr>
          <w:t>62/2025</w:t>
        </w:r>
      </w:hyperlink>
      <w:r>
        <w:t>, VP I.</w:t>
      </w:r>
    </w:p>
    <w:p w14:paraId="059E44C8" w14:textId="23C16BF9" w:rsidR="001D7FA9" w:rsidRDefault="001D7FA9" w:rsidP="001D7FA9">
      <w:pPr>
        <w:pStyle w:val="SangriaFrancesaArticulo"/>
      </w:pPr>
    </w:p>
    <w:p w14:paraId="73FFB0F0" w14:textId="77777777" w:rsidR="001D7FA9" w:rsidRDefault="001D7FA9" w:rsidP="001D7FA9">
      <w:pPr>
        <w:pStyle w:val="TextoNormalNegritaCursivandice"/>
        <w:keepNext/>
      </w:pPr>
      <w:r>
        <w:t>Tribunal de Justicia de la Unión Europea. Recomendaciones a los órganos jurisdiccionales nacionales, relativas al planteamiento de cuestiones prejudiciales C/2024/6008 (DOUE de 9 de octubre de 2024)</w:t>
      </w:r>
    </w:p>
    <w:p w14:paraId="75475DE8" w14:textId="4950C729" w:rsidR="001D7FA9" w:rsidRDefault="001D7FA9" w:rsidP="001D7FA9">
      <w:pPr>
        <w:pStyle w:val="SangriaFrancesaArticulo"/>
      </w:pPr>
      <w:r w:rsidRPr="001D7FA9">
        <w:rPr>
          <w:rStyle w:val="TextoNormalNegritaCaracter"/>
        </w:rPr>
        <w:t>Recomendación 30.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9F8D210" w14:textId="50A39A3C" w:rsidR="001D7FA9" w:rsidRDefault="001D7FA9" w:rsidP="001D7FA9">
      <w:pPr>
        <w:pStyle w:val="SangriaFrancesaArticulo"/>
      </w:pPr>
      <w:r w:rsidRPr="001D7FA9">
        <w:rPr>
          <w:rStyle w:val="TextoNormalNegritaCaracter"/>
        </w:rPr>
        <w:t>Recomendación 6.</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72961D5" w14:textId="670FCE2D" w:rsidR="001D7FA9" w:rsidRDefault="001D7FA9" w:rsidP="001D7FA9">
      <w:pPr>
        <w:pStyle w:val="SangriaFrancesaArticulo"/>
      </w:pPr>
      <w:r w:rsidRPr="001D7FA9">
        <w:rPr>
          <w:rStyle w:val="TextoNormalNegritaCaracter"/>
        </w:rPr>
        <w:t>Recomendación 12.</w:t>
      </w:r>
      <w:r w:rsidRPr="001D7FA9">
        <w:rPr>
          <w:rStyle w:val="TextoNormalCaracter"/>
        </w:rPr>
        <w:t>-</w:t>
      </w:r>
      <w:r>
        <w:t xml:space="preserve"> Auto </w:t>
      </w:r>
      <w:hyperlink w:anchor="AUTO_2025_65" w:history="1">
        <w:r w:rsidRPr="001D7FA9">
          <w:rPr>
            <w:rStyle w:val="TextoNormalCaracter"/>
          </w:rPr>
          <w:t>65/2025</w:t>
        </w:r>
      </w:hyperlink>
      <w:r>
        <w:t>, VP.</w:t>
      </w:r>
    </w:p>
    <w:p w14:paraId="430B33A5" w14:textId="1448D88F" w:rsidR="001D7FA9" w:rsidRDefault="001D7FA9" w:rsidP="001D7FA9">
      <w:pPr>
        <w:pStyle w:val="SangriaFrancesaArticulo"/>
      </w:pPr>
      <w:r w:rsidRPr="001D7FA9">
        <w:rPr>
          <w:rStyle w:val="TextoNormalNegritaCaracter"/>
        </w:rPr>
        <w:t>Recomendación 13.</w:t>
      </w:r>
      <w:r w:rsidRPr="001D7FA9">
        <w:rPr>
          <w:rStyle w:val="TextoNormalCaracter"/>
        </w:rPr>
        <w:t>-</w:t>
      </w:r>
      <w:r>
        <w:t xml:space="preserve"> Auto </w:t>
      </w:r>
      <w:hyperlink w:anchor="AUTO_2025_65" w:history="1">
        <w:r w:rsidRPr="001D7FA9">
          <w:rPr>
            <w:rStyle w:val="TextoNormalCaracter"/>
          </w:rPr>
          <w:t>65/2025</w:t>
        </w:r>
      </w:hyperlink>
      <w:r>
        <w:t>, VP.</w:t>
      </w:r>
    </w:p>
    <w:p w14:paraId="03B090FB" w14:textId="3E3894C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2A4D23D" w14:textId="6A4189B3" w:rsidR="001D7FA9" w:rsidRDefault="001D7FA9" w:rsidP="001D7FA9">
      <w:pPr>
        <w:pStyle w:val="SangriaIzquierdaArticulo"/>
      </w:pPr>
      <w:r>
        <w:t xml:space="preserve">Auto </w:t>
      </w:r>
      <w:hyperlink w:anchor="AUTO_2025_65" w:history="1">
        <w:r w:rsidRPr="001D7FA9">
          <w:rPr>
            <w:rStyle w:val="TextoNormalCaracter"/>
          </w:rPr>
          <w:t>65/2025</w:t>
        </w:r>
      </w:hyperlink>
      <w:r>
        <w:t>, f. 2, VP.</w:t>
      </w:r>
    </w:p>
    <w:p w14:paraId="5F8D6330" w14:textId="4E231336" w:rsidR="001D7FA9" w:rsidRDefault="001D7FA9" w:rsidP="001D7FA9">
      <w:pPr>
        <w:pStyle w:val="TextoNormal"/>
      </w:pPr>
    </w:p>
    <w:p w14:paraId="68002689" w14:textId="77777777" w:rsidR="001D7FA9" w:rsidRDefault="001D7FA9" w:rsidP="001D7FA9">
      <w:pPr>
        <w:pStyle w:val="SangriaIzquierdaArticulo"/>
      </w:pPr>
      <w:bookmarkStart w:id="224" w:name="INDICE27994"/>
    </w:p>
    <w:bookmarkEnd w:id="224"/>
    <w:p w14:paraId="5E208079" w14:textId="77777777" w:rsidR="001D7FA9" w:rsidRDefault="001D7FA9" w:rsidP="001D7FA9">
      <w:pPr>
        <w:pStyle w:val="TextoIndiceNivel2"/>
        <w:suppressAutoHyphens/>
      </w:pPr>
      <w:r>
        <w:t>N) Consejo de Europa</w:t>
      </w:r>
    </w:p>
    <w:p w14:paraId="39633D8E" w14:textId="2F3D4F85" w:rsidR="001D7FA9" w:rsidRDefault="001D7FA9" w:rsidP="001D7FA9">
      <w:pPr>
        <w:pStyle w:val="TextoIndiceNivel2"/>
      </w:pPr>
    </w:p>
    <w:p w14:paraId="2DDF4403" w14:textId="77777777" w:rsidR="001D7FA9" w:rsidRDefault="001D7FA9" w:rsidP="001D7FA9">
      <w:pPr>
        <w:pStyle w:val="TextoNormalNegritaCursivandice"/>
        <w:keepNext/>
      </w:pPr>
      <w:r>
        <w:t>Estatuto del Consejo de Europa, hecho en Londres el 5 de mayo de 1949. Ratificado por Instrumento de 22 de noviembre de 1977</w:t>
      </w:r>
    </w:p>
    <w:p w14:paraId="5EEF35FB" w14:textId="7EDA90CF" w:rsidR="001D7FA9" w:rsidRDefault="001D7FA9" w:rsidP="001D7FA9">
      <w:pPr>
        <w:pStyle w:val="SangriaFrancesaArticulo"/>
      </w:pPr>
      <w:r w:rsidRPr="001D7FA9">
        <w:rPr>
          <w:rStyle w:val="TextoNormalNegritaCaracter"/>
        </w:rPr>
        <w:t>Artículo 1 a).</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7B79159" w14:textId="63527E07"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5B54557" w14:textId="7632035A" w:rsidR="001D7FA9" w:rsidRDefault="001D7FA9" w:rsidP="001D7FA9">
      <w:pPr>
        <w:pStyle w:val="SangriaFrancesaArticulo"/>
      </w:pPr>
    </w:p>
    <w:p w14:paraId="71C7D7DC" w14:textId="77777777" w:rsidR="001D7FA9" w:rsidRDefault="001D7FA9" w:rsidP="001D7FA9">
      <w:pPr>
        <w:pStyle w:val="TextoNormalNegritaCursivandice"/>
        <w:keepNext/>
      </w:pPr>
      <w:r>
        <w:t>Convenio europeo para la protección de los derechos humanos y de las libertades fundamentales, hecho en Roma el 4 de noviembre de 1950. Ratificado por Instrumento de 26 de septiembre de 1979</w:t>
      </w:r>
    </w:p>
    <w:p w14:paraId="37A4836C" w14:textId="352BEE0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26" w:history="1">
        <w:r w:rsidRPr="001D7FA9">
          <w:rPr>
            <w:rStyle w:val="TextoNormalCaracter"/>
          </w:rPr>
          <w:t>26/2025</w:t>
        </w:r>
      </w:hyperlink>
      <w:r>
        <w:t xml:space="preserve">, f. 5; </w:t>
      </w:r>
      <w:hyperlink w:anchor="SENTENCIA_2025_126" w:history="1">
        <w:r w:rsidRPr="001D7FA9">
          <w:rPr>
            <w:rStyle w:val="TextoNormalCaracter"/>
          </w:rPr>
          <w:t>126/2025</w:t>
        </w:r>
      </w:hyperlink>
      <w:r>
        <w:t xml:space="preserve">, f. 4; </w:t>
      </w:r>
      <w:hyperlink w:anchor="SENTENCIA_2025_137" w:history="1">
        <w:r w:rsidRPr="001D7FA9">
          <w:rPr>
            <w:rStyle w:val="TextoNormalCaracter"/>
          </w:rPr>
          <w:t>137/2025</w:t>
        </w:r>
      </w:hyperlink>
      <w:r>
        <w:t>, f. 14, VP IV.</w:t>
      </w:r>
    </w:p>
    <w:p w14:paraId="29D999A0" w14:textId="12ADD311"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Sentencias </w:t>
      </w:r>
      <w:hyperlink w:anchor="SENTENCIA_2025_26" w:history="1">
        <w:r w:rsidRPr="001D7FA9">
          <w:rPr>
            <w:rStyle w:val="TextoNormalCaracter"/>
          </w:rPr>
          <w:t>26/2025</w:t>
        </w:r>
      </w:hyperlink>
      <w:r>
        <w:t xml:space="preserve">, f. 5; </w:t>
      </w:r>
      <w:hyperlink w:anchor="SENTENCIA_2025_126" w:history="1">
        <w:r w:rsidRPr="001D7FA9">
          <w:rPr>
            <w:rStyle w:val="TextoNormalCaracter"/>
          </w:rPr>
          <w:t>126/2025</w:t>
        </w:r>
      </w:hyperlink>
      <w:r>
        <w:t>, f. 5.</w:t>
      </w:r>
    </w:p>
    <w:p w14:paraId="10FE6B30" w14:textId="3F2A196D"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Sentencias </w:t>
      </w:r>
      <w:hyperlink w:anchor="SENTENCIA_2025_126" w:history="1">
        <w:r w:rsidRPr="001D7FA9">
          <w:rPr>
            <w:rStyle w:val="TextoNormalCaracter"/>
          </w:rPr>
          <w:t>126/2025</w:t>
        </w:r>
      </w:hyperlink>
      <w:r>
        <w:t xml:space="preserve">, ff. 1, 2, 4, 5, 7; </w:t>
      </w:r>
      <w:hyperlink w:anchor="SENTENCIA_2025_137" w:history="1">
        <w:r w:rsidRPr="001D7FA9">
          <w:rPr>
            <w:rStyle w:val="TextoNormalCaracter"/>
          </w:rPr>
          <w:t>137/2025</w:t>
        </w:r>
      </w:hyperlink>
      <w:r>
        <w:t>, ff. 8, 14, VP IV.</w:t>
      </w:r>
    </w:p>
    <w:p w14:paraId="3428FB14" w14:textId="48707499" w:rsidR="001D7FA9" w:rsidRDefault="001D7FA9" w:rsidP="001D7FA9">
      <w:pPr>
        <w:pStyle w:val="SangriaFrancesaArticulo"/>
      </w:pPr>
      <w:r w:rsidRPr="001D7FA9">
        <w:rPr>
          <w:rStyle w:val="TextoNormalNegritaCaracter"/>
        </w:rPr>
        <w:t>Artículo 3.</w:t>
      </w:r>
      <w:r w:rsidRPr="001D7FA9">
        <w:rPr>
          <w:rStyle w:val="TextoNormalCaracter"/>
        </w:rPr>
        <w:t>-</w:t>
      </w:r>
      <w:r>
        <w:t xml:space="preserve"> Sentencias </w:t>
      </w:r>
      <w:hyperlink w:anchor="SENTENCIA_2025_28" w:history="1">
        <w:r w:rsidRPr="001D7FA9">
          <w:rPr>
            <w:rStyle w:val="TextoNormalCaracter"/>
          </w:rPr>
          <w:t>28/2025</w:t>
        </w:r>
      </w:hyperlink>
      <w:r>
        <w:t xml:space="preserve">, f. 3; </w:t>
      </w:r>
      <w:hyperlink w:anchor="SENTENCIA_2025_126" w:history="1">
        <w:r w:rsidRPr="001D7FA9">
          <w:rPr>
            <w:rStyle w:val="TextoNormalCaracter"/>
          </w:rPr>
          <w:t>126/2025</w:t>
        </w:r>
      </w:hyperlink>
      <w:r>
        <w:t xml:space="preserve">, f. 4; </w:t>
      </w:r>
      <w:hyperlink w:anchor="SENTENCIA_2025_137" w:history="1">
        <w:r w:rsidRPr="001D7FA9">
          <w:rPr>
            <w:rStyle w:val="TextoNormalCaracter"/>
          </w:rPr>
          <w:t>137/2025</w:t>
        </w:r>
      </w:hyperlink>
      <w:r>
        <w:t>, ff. 8, 14, VP IV.</w:t>
      </w:r>
    </w:p>
    <w:p w14:paraId="6ABA192B" w14:textId="51780A9A" w:rsidR="001D7FA9" w:rsidRDefault="001D7FA9" w:rsidP="001D7FA9">
      <w:pPr>
        <w:pStyle w:val="SangriaFrancesaArticulo"/>
      </w:pPr>
      <w:r w:rsidRPr="001D7FA9">
        <w:rPr>
          <w:rStyle w:val="TextoNormalNegritaCaracter"/>
        </w:rPr>
        <w:t>Artículo 5.</w:t>
      </w:r>
      <w:r w:rsidRPr="001D7FA9">
        <w:rPr>
          <w:rStyle w:val="TextoNormalCaracter"/>
        </w:rPr>
        <w:t>-</w:t>
      </w:r>
      <w:r>
        <w:t xml:space="preserve"> Sentencia </w:t>
      </w:r>
      <w:hyperlink w:anchor="SENTENCIA_2025_41" w:history="1">
        <w:r w:rsidRPr="001D7FA9">
          <w:rPr>
            <w:rStyle w:val="TextoNormalCaracter"/>
          </w:rPr>
          <w:t>41/2025</w:t>
        </w:r>
      </w:hyperlink>
      <w:r>
        <w:t>, VP.</w:t>
      </w:r>
    </w:p>
    <w:p w14:paraId="3A6B1F81" w14:textId="27967D92" w:rsidR="001D7FA9" w:rsidRDefault="001D7FA9" w:rsidP="001D7FA9">
      <w:pPr>
        <w:pStyle w:val="SangriaFrancesaArticulo"/>
      </w:pPr>
      <w:r w:rsidRPr="001D7FA9">
        <w:rPr>
          <w:rStyle w:val="TextoNormalNegritaCaracter"/>
        </w:rPr>
        <w:t>Artículo 6.</w:t>
      </w:r>
      <w:r w:rsidRPr="001D7FA9">
        <w:rPr>
          <w:rStyle w:val="TextoNormalCaracter"/>
        </w:rPr>
        <w:t>-</w:t>
      </w:r>
      <w:r>
        <w:t xml:space="preserve"> Sentencias </w:t>
      </w:r>
      <w:hyperlink w:anchor="SENTENCIA_2025_12" w:history="1">
        <w:r w:rsidRPr="001D7FA9">
          <w:rPr>
            <w:rStyle w:val="TextoNormalCaracter"/>
          </w:rPr>
          <w:t>12/2025</w:t>
        </w:r>
      </w:hyperlink>
      <w:r>
        <w:t xml:space="preserve">, VP II; </w:t>
      </w:r>
      <w:hyperlink w:anchor="SENTENCIA_2025_108" w:history="1">
        <w:r w:rsidRPr="001D7FA9">
          <w:rPr>
            <w:rStyle w:val="TextoNormalCaracter"/>
          </w:rPr>
          <w:t>108/2025</w:t>
        </w:r>
      </w:hyperlink>
      <w:r>
        <w:t xml:space="preserve">, f. 2; </w:t>
      </w:r>
      <w:hyperlink w:anchor="SENTENCIA_2025_126" w:history="1">
        <w:r w:rsidRPr="001D7FA9">
          <w:rPr>
            <w:rStyle w:val="TextoNormalCaracter"/>
          </w:rPr>
          <w:t>126/2025</w:t>
        </w:r>
      </w:hyperlink>
      <w:r>
        <w:t xml:space="preserve">, ff. 1, 2, 7, 8; </w:t>
      </w:r>
      <w:hyperlink w:anchor="SENTENCIA_2025_137" w:history="1">
        <w:r w:rsidRPr="001D7FA9">
          <w:rPr>
            <w:rStyle w:val="TextoNormalCaracter"/>
          </w:rPr>
          <w:t>137/2025</w:t>
        </w:r>
      </w:hyperlink>
      <w:r>
        <w:t>, f. 9, VP II, VP III, VP IV.</w:t>
      </w:r>
    </w:p>
    <w:p w14:paraId="45C4BAFF" w14:textId="7FFA704F" w:rsidR="001D7FA9" w:rsidRDefault="001D7FA9" w:rsidP="001D7FA9">
      <w:pPr>
        <w:pStyle w:val="SangriaIzquierdaArticulo"/>
      </w:pPr>
      <w:r>
        <w:t xml:space="preserve">Autos </w:t>
      </w:r>
      <w:hyperlink w:anchor="AUTO_2025_28" w:history="1">
        <w:r w:rsidRPr="001D7FA9">
          <w:rPr>
            <w:rStyle w:val="TextoNormalCaracter"/>
          </w:rPr>
          <w:t>28/2025</w:t>
        </w:r>
      </w:hyperlink>
      <w:r>
        <w:t xml:space="preserve">, VP; </w:t>
      </w:r>
      <w:hyperlink w:anchor="AUTO_2025_65" w:history="1">
        <w:r w:rsidRPr="001D7FA9">
          <w:rPr>
            <w:rStyle w:val="TextoNormalCaracter"/>
          </w:rPr>
          <w:t>65/2025</w:t>
        </w:r>
      </w:hyperlink>
      <w:r>
        <w:t>, VP.</w:t>
      </w:r>
    </w:p>
    <w:p w14:paraId="19074E57" w14:textId="57DE5665" w:rsidR="001D7FA9" w:rsidRDefault="001D7FA9" w:rsidP="001D7FA9">
      <w:pPr>
        <w:pStyle w:val="SangriaFrancesaArticulo"/>
      </w:pPr>
      <w:r w:rsidRPr="001D7FA9">
        <w:rPr>
          <w:rStyle w:val="TextoNormalNegritaCaracter"/>
        </w:rPr>
        <w:t>Artículo 6.1.</w:t>
      </w:r>
      <w:r w:rsidRPr="001D7FA9">
        <w:rPr>
          <w:rStyle w:val="TextoNormalCaracter"/>
        </w:rPr>
        <w:t>-</w:t>
      </w:r>
      <w:r>
        <w:t xml:space="preserve"> Sentencias </w:t>
      </w:r>
      <w:hyperlink w:anchor="SENTENCIA_2025_41" w:history="1">
        <w:r w:rsidRPr="001D7FA9">
          <w:rPr>
            <w:rStyle w:val="TextoNormalCaracter"/>
          </w:rPr>
          <w:t>41/2025</w:t>
        </w:r>
      </w:hyperlink>
      <w:r>
        <w:t xml:space="preserve">, f. 1; </w:t>
      </w:r>
      <w:hyperlink w:anchor="SENTENCIA_2025_137" w:history="1">
        <w:r w:rsidRPr="001D7FA9">
          <w:rPr>
            <w:rStyle w:val="TextoNormalCaracter"/>
          </w:rPr>
          <w:t>137/2025</w:t>
        </w:r>
      </w:hyperlink>
      <w:r>
        <w:t>, f. 7, VP III, VP IV.</w:t>
      </w:r>
    </w:p>
    <w:p w14:paraId="37473FE8" w14:textId="2FE51871" w:rsidR="001D7FA9" w:rsidRDefault="001D7FA9" w:rsidP="001D7FA9">
      <w:pPr>
        <w:pStyle w:val="SangriaIzquierdaArticulo"/>
      </w:pPr>
      <w:r>
        <w:t xml:space="preserve">Autos </w:t>
      </w:r>
      <w:hyperlink w:anchor="AUTO_2025_12" w:history="1">
        <w:r w:rsidRPr="001D7FA9">
          <w:rPr>
            <w:rStyle w:val="TextoNormalCaracter"/>
          </w:rPr>
          <w:t>12/2025</w:t>
        </w:r>
      </w:hyperlink>
      <w:r>
        <w:t xml:space="preserve">, VP II, VP III; </w:t>
      </w:r>
      <w:hyperlink w:anchor="AUTO_2025_28" w:history="1">
        <w:r w:rsidRPr="001D7FA9">
          <w:rPr>
            <w:rStyle w:val="TextoNormalCaracter"/>
          </w:rPr>
          <w:t>28/2025</w:t>
        </w:r>
      </w:hyperlink>
      <w:r>
        <w:t xml:space="preserve">, f. 3; </w:t>
      </w:r>
      <w:hyperlink w:anchor="AUTO_2025_35" w:history="1">
        <w:r w:rsidRPr="001D7FA9">
          <w:rPr>
            <w:rStyle w:val="TextoNormalCaracter"/>
          </w:rPr>
          <w:t>35/2025</w:t>
        </w:r>
      </w:hyperlink>
      <w:r>
        <w:t>, VP I, VP II.</w:t>
      </w:r>
    </w:p>
    <w:p w14:paraId="0D214598" w14:textId="3A0CE2A1" w:rsidR="001D7FA9" w:rsidRDefault="001D7FA9" w:rsidP="001D7FA9">
      <w:pPr>
        <w:pStyle w:val="SangriaFrancesaArticulo"/>
      </w:pPr>
      <w:r w:rsidRPr="001D7FA9">
        <w:rPr>
          <w:rStyle w:val="TextoNormalNegritaCaracter"/>
        </w:rPr>
        <w:t>Artículo 6.2.</w:t>
      </w:r>
      <w:r w:rsidRPr="001D7FA9">
        <w:rPr>
          <w:rStyle w:val="TextoNormalCaracter"/>
        </w:rPr>
        <w:t>-</w:t>
      </w:r>
      <w:r>
        <w:t xml:space="preserve"> Sentencias </w:t>
      </w:r>
      <w:hyperlink w:anchor="SENTENCIA_2025_54" w:history="1">
        <w:r w:rsidRPr="001D7FA9">
          <w:rPr>
            <w:rStyle w:val="TextoNormalCaracter"/>
          </w:rPr>
          <w:t>54/2025</w:t>
        </w:r>
      </w:hyperlink>
      <w:r>
        <w:t xml:space="preserve">, VP;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f. 2.</w:t>
      </w:r>
    </w:p>
    <w:p w14:paraId="386B8F08" w14:textId="3FF2463E" w:rsidR="001D7FA9" w:rsidRDefault="001D7FA9" w:rsidP="001D7FA9">
      <w:pPr>
        <w:pStyle w:val="SangriaFrancesaArticulo"/>
      </w:pPr>
      <w:r w:rsidRPr="001D7FA9">
        <w:rPr>
          <w:rStyle w:val="TextoNormalNegritaCaracter"/>
        </w:rPr>
        <w:t>Artículo 6.3.</w:t>
      </w:r>
      <w:r w:rsidRPr="001D7FA9">
        <w:rPr>
          <w:rStyle w:val="TextoNormalCaracter"/>
        </w:rPr>
        <w:t>-</w:t>
      </w:r>
      <w:r>
        <w:t xml:space="preserve"> Sentencia </w:t>
      </w:r>
      <w:hyperlink w:anchor="SENTENCIA_2025_41" w:history="1">
        <w:r w:rsidRPr="001D7FA9">
          <w:rPr>
            <w:rStyle w:val="TextoNormalCaracter"/>
          </w:rPr>
          <w:t>41/2025</w:t>
        </w:r>
      </w:hyperlink>
      <w:r>
        <w:t>, f. 1.</w:t>
      </w:r>
    </w:p>
    <w:p w14:paraId="554A1E2E" w14:textId="5879290B" w:rsidR="001D7FA9" w:rsidRDefault="001D7FA9" w:rsidP="001D7FA9">
      <w:pPr>
        <w:pStyle w:val="SangriaIzquierdaArticulo"/>
      </w:pPr>
      <w:r>
        <w:t xml:space="preserve">Auto </w:t>
      </w:r>
      <w:hyperlink w:anchor="AUTO_2025_28" w:history="1">
        <w:r w:rsidRPr="001D7FA9">
          <w:rPr>
            <w:rStyle w:val="TextoNormalCaracter"/>
          </w:rPr>
          <w:t>28/2025</w:t>
        </w:r>
      </w:hyperlink>
      <w:r>
        <w:t>, f. 3, VP.</w:t>
      </w:r>
    </w:p>
    <w:p w14:paraId="1486C91C" w14:textId="59B185AF" w:rsidR="001D7FA9" w:rsidRDefault="001D7FA9" w:rsidP="001D7FA9">
      <w:pPr>
        <w:pStyle w:val="SangriaFrancesaArticulo"/>
      </w:pPr>
      <w:r w:rsidRPr="001D7FA9">
        <w:rPr>
          <w:rStyle w:val="TextoNormalNegritaCaracter"/>
        </w:rPr>
        <w:t>Artículo 6.3 c).</w:t>
      </w:r>
      <w:r w:rsidRPr="001D7FA9">
        <w:rPr>
          <w:rStyle w:val="TextoNormalCaracter"/>
        </w:rPr>
        <w:t>-</w:t>
      </w:r>
      <w:r>
        <w:t xml:space="preserve"> Auto </w:t>
      </w:r>
      <w:hyperlink w:anchor="AUTO_2025_28" w:history="1">
        <w:r w:rsidRPr="001D7FA9">
          <w:rPr>
            <w:rStyle w:val="TextoNormalCaracter"/>
          </w:rPr>
          <w:t>28/2025</w:t>
        </w:r>
      </w:hyperlink>
      <w:r>
        <w:t>, f. 3.</w:t>
      </w:r>
    </w:p>
    <w:p w14:paraId="10C05884" w14:textId="0DEAFC9A" w:rsidR="001D7FA9" w:rsidRDefault="001D7FA9" w:rsidP="001D7FA9">
      <w:pPr>
        <w:pStyle w:val="SangriaFrancesaArticulo"/>
      </w:pPr>
      <w:r w:rsidRPr="001D7FA9">
        <w:rPr>
          <w:rStyle w:val="TextoNormalNegritaCaracter"/>
        </w:rPr>
        <w:t>Artículo 8.</w:t>
      </w:r>
      <w:r w:rsidRPr="001D7FA9">
        <w:rPr>
          <w:rStyle w:val="TextoNormalCaracter"/>
        </w:rPr>
        <w:t>-</w:t>
      </w:r>
      <w:r>
        <w:t xml:space="preserve"> Sentencias </w:t>
      </w:r>
      <w:hyperlink w:anchor="SENTENCIA_2025_1" w:history="1">
        <w:r w:rsidRPr="001D7FA9">
          <w:rPr>
            <w:rStyle w:val="TextoNormalCaracter"/>
          </w:rPr>
          <w:t>1/2025</w:t>
        </w:r>
      </w:hyperlink>
      <w:r>
        <w:t xml:space="preserve">, f. 3; </w:t>
      </w:r>
      <w:hyperlink w:anchor="SENTENCIA_2025_28" w:history="1">
        <w:r w:rsidRPr="001D7FA9">
          <w:rPr>
            <w:rStyle w:val="TextoNormalCaracter"/>
          </w:rPr>
          <w:t>28/2025</w:t>
        </w:r>
      </w:hyperlink>
      <w:r>
        <w:t xml:space="preserve">, ff. 3, 4; </w:t>
      </w:r>
      <w:hyperlink w:anchor="SENTENCIA_2025_54" w:history="1">
        <w:r w:rsidRPr="001D7FA9">
          <w:rPr>
            <w:rStyle w:val="TextoNormalCaracter"/>
          </w:rPr>
          <w:t>54/2025</w:t>
        </w:r>
      </w:hyperlink>
      <w:r>
        <w:t xml:space="preserve">, VP; </w:t>
      </w:r>
      <w:hyperlink w:anchor="SENTENCIA_2025_111" w:history="1">
        <w:r w:rsidRPr="001D7FA9">
          <w:rPr>
            <w:rStyle w:val="TextoNormalCaracter"/>
          </w:rPr>
          <w:t>111/2025</w:t>
        </w:r>
      </w:hyperlink>
      <w:r>
        <w:t xml:space="preserve">, f. 1; </w:t>
      </w:r>
      <w:hyperlink w:anchor="SENTENCIA_2025_126" w:history="1">
        <w:r w:rsidRPr="001D7FA9">
          <w:rPr>
            <w:rStyle w:val="TextoNormalCaracter"/>
          </w:rPr>
          <w:t>126/2025</w:t>
        </w:r>
      </w:hyperlink>
      <w:r>
        <w:t>, f. 4.</w:t>
      </w:r>
    </w:p>
    <w:p w14:paraId="0A12323A" w14:textId="0A40B7E3" w:rsidR="001D7FA9" w:rsidRDefault="001D7FA9" w:rsidP="001D7FA9">
      <w:pPr>
        <w:pStyle w:val="SangriaFrancesaArticulo"/>
      </w:pPr>
      <w:r w:rsidRPr="001D7FA9">
        <w:rPr>
          <w:rStyle w:val="TextoNormalNegritaCaracter"/>
        </w:rPr>
        <w:t>Artículo 10.</w:t>
      </w:r>
      <w:r w:rsidRPr="001D7FA9">
        <w:rPr>
          <w:rStyle w:val="TextoNormalCaracter"/>
        </w:rPr>
        <w:t>-</w:t>
      </w:r>
      <w:r>
        <w:t xml:space="preserve"> Sentencias </w:t>
      </w:r>
      <w:hyperlink w:anchor="SENTENCIA_2025_1" w:history="1">
        <w:r w:rsidRPr="001D7FA9">
          <w:rPr>
            <w:rStyle w:val="TextoNormalCaracter"/>
          </w:rPr>
          <w:t>1/2025</w:t>
        </w:r>
      </w:hyperlink>
      <w:r>
        <w:t xml:space="preserve">, f. 3; </w:t>
      </w:r>
      <w:hyperlink w:anchor="SENTENCIA_2025_28" w:history="1">
        <w:r w:rsidRPr="001D7FA9">
          <w:rPr>
            <w:rStyle w:val="TextoNormalCaracter"/>
          </w:rPr>
          <w:t>28/2025</w:t>
        </w:r>
      </w:hyperlink>
      <w:r>
        <w:t xml:space="preserve">, f. 4; </w:t>
      </w:r>
      <w:hyperlink w:anchor="SENTENCIA_2025_62" w:history="1">
        <w:r w:rsidRPr="001D7FA9">
          <w:rPr>
            <w:rStyle w:val="TextoNormalCaracter"/>
          </w:rPr>
          <w:t>62/2025</w:t>
        </w:r>
      </w:hyperlink>
      <w:r>
        <w:t xml:space="preserve">, f. 4; </w:t>
      </w:r>
      <w:hyperlink w:anchor="SENTENCIA_2025_100" w:history="1">
        <w:r w:rsidRPr="001D7FA9">
          <w:rPr>
            <w:rStyle w:val="TextoNormalCaracter"/>
          </w:rPr>
          <w:t>100/2025</w:t>
        </w:r>
      </w:hyperlink>
      <w:r>
        <w:t xml:space="preserve">, f. 4; </w:t>
      </w:r>
      <w:hyperlink w:anchor="SENTENCIA_2025_117" w:history="1">
        <w:r w:rsidRPr="001D7FA9">
          <w:rPr>
            <w:rStyle w:val="TextoNormalCaracter"/>
          </w:rPr>
          <w:t>117/2025</w:t>
        </w:r>
      </w:hyperlink>
      <w:r>
        <w:t>, ff. 5, 6.</w:t>
      </w:r>
    </w:p>
    <w:p w14:paraId="159259DE" w14:textId="30B754C8" w:rsidR="001D7FA9" w:rsidRDefault="001D7FA9" w:rsidP="001D7FA9">
      <w:pPr>
        <w:pStyle w:val="SangriaFrancesaArticulo"/>
      </w:pPr>
      <w:r w:rsidRPr="001D7FA9">
        <w:rPr>
          <w:rStyle w:val="TextoNormalNegritaCaracter"/>
        </w:rPr>
        <w:t>Artículo 10.1.</w:t>
      </w:r>
      <w:r w:rsidRPr="001D7FA9">
        <w:rPr>
          <w:rStyle w:val="TextoNormalCaracter"/>
        </w:rPr>
        <w:t>-</w:t>
      </w:r>
      <w:r>
        <w:t xml:space="preserve"> Sentencia </w:t>
      </w:r>
      <w:hyperlink w:anchor="SENTENCIA_2025_12" w:history="1">
        <w:r w:rsidRPr="001D7FA9">
          <w:rPr>
            <w:rStyle w:val="TextoNormalCaracter"/>
          </w:rPr>
          <w:t>12/2025</w:t>
        </w:r>
      </w:hyperlink>
      <w:r>
        <w:t>, VP II.</w:t>
      </w:r>
    </w:p>
    <w:p w14:paraId="5E18B518" w14:textId="47F004D5" w:rsidR="001D7FA9" w:rsidRDefault="001D7FA9" w:rsidP="001D7FA9">
      <w:pPr>
        <w:pStyle w:val="SangriaFrancesaArticulo"/>
      </w:pPr>
      <w:r w:rsidRPr="001D7FA9">
        <w:rPr>
          <w:rStyle w:val="TextoNormalNegritaCaracter"/>
        </w:rPr>
        <w:t>Artículo 10.2.</w:t>
      </w:r>
      <w:r w:rsidRPr="001D7FA9">
        <w:rPr>
          <w:rStyle w:val="TextoNormalCaracter"/>
        </w:rPr>
        <w:t>-</w:t>
      </w:r>
      <w:r>
        <w:t xml:space="preserve"> Sentencia </w:t>
      </w:r>
      <w:hyperlink w:anchor="SENTENCIA_2025_100" w:history="1">
        <w:r w:rsidRPr="001D7FA9">
          <w:rPr>
            <w:rStyle w:val="TextoNormalCaracter"/>
          </w:rPr>
          <w:t>100/2025</w:t>
        </w:r>
      </w:hyperlink>
      <w:r>
        <w:t>, f. 4.</w:t>
      </w:r>
    </w:p>
    <w:p w14:paraId="78A06B8E" w14:textId="675A968D" w:rsidR="001D7FA9" w:rsidRDefault="001D7FA9" w:rsidP="001D7FA9">
      <w:pPr>
        <w:pStyle w:val="SangriaFrancesaArticulo"/>
      </w:pPr>
      <w:r w:rsidRPr="001D7FA9">
        <w:rPr>
          <w:rStyle w:val="TextoNormalNegritaCaracter"/>
        </w:rPr>
        <w:t>Artículo 11.</w:t>
      </w:r>
      <w:r w:rsidRPr="001D7FA9">
        <w:rPr>
          <w:rStyle w:val="TextoNormalCaracter"/>
        </w:rPr>
        <w:t>-</w:t>
      </w:r>
      <w:r>
        <w:t xml:space="preserve"> Sentencia </w:t>
      </w:r>
      <w:hyperlink w:anchor="SENTENCIA_2025_95" w:history="1">
        <w:r w:rsidRPr="001D7FA9">
          <w:rPr>
            <w:rStyle w:val="TextoNormalCaracter"/>
          </w:rPr>
          <w:t>95/2025</w:t>
        </w:r>
      </w:hyperlink>
      <w:r>
        <w:t>, f. 3.</w:t>
      </w:r>
    </w:p>
    <w:p w14:paraId="255677C1" w14:textId="4BC4BD44" w:rsidR="001D7FA9" w:rsidRDefault="001D7FA9" w:rsidP="001D7FA9">
      <w:pPr>
        <w:pStyle w:val="SangriaFrancesaArticulo"/>
      </w:pPr>
      <w:r w:rsidRPr="001D7FA9">
        <w:rPr>
          <w:rStyle w:val="TextoNormalNegritaCaracter"/>
        </w:rPr>
        <w:t>Artículo 13.</w:t>
      </w:r>
      <w:r w:rsidRPr="001D7FA9">
        <w:rPr>
          <w:rStyle w:val="TextoNormalCaracter"/>
        </w:rPr>
        <w:t>-</w:t>
      </w:r>
      <w:r>
        <w:t xml:space="preserve"> Sentencia </w:t>
      </w:r>
      <w:hyperlink w:anchor="SENTENCIA_2025_126" w:history="1">
        <w:r w:rsidRPr="001D7FA9">
          <w:rPr>
            <w:rStyle w:val="TextoNormalCaracter"/>
          </w:rPr>
          <w:t>126/2025</w:t>
        </w:r>
      </w:hyperlink>
      <w:r>
        <w:t>, ff. 1, 8.</w:t>
      </w:r>
    </w:p>
    <w:p w14:paraId="30EA5D64" w14:textId="00B84DE7" w:rsidR="001D7FA9" w:rsidRDefault="001D7FA9" w:rsidP="001D7FA9">
      <w:pPr>
        <w:pStyle w:val="SangriaFrancesaArticulo"/>
      </w:pPr>
      <w:r w:rsidRPr="001D7FA9">
        <w:rPr>
          <w:rStyle w:val="TextoNormalNegritaCaracter"/>
        </w:rPr>
        <w:t>Artículo 20.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A4B9EDE" w14:textId="73D81673"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1567E69" w14:textId="4ADB439F"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Auto </w:t>
      </w:r>
      <w:hyperlink w:anchor="AUTO_2025_65" w:history="1">
        <w:r w:rsidRPr="001D7FA9">
          <w:rPr>
            <w:rStyle w:val="TextoNormalCaracter"/>
          </w:rPr>
          <w:t>65/2025</w:t>
        </w:r>
      </w:hyperlink>
      <w:r>
        <w:t>, VP.</w:t>
      </w:r>
    </w:p>
    <w:p w14:paraId="0894DB46" w14:textId="06CB794F" w:rsidR="001D7FA9" w:rsidRDefault="001D7FA9" w:rsidP="001D7FA9">
      <w:pPr>
        <w:pStyle w:val="SangriaFrancesaArticulo"/>
      </w:pPr>
      <w:r w:rsidRPr="001D7FA9">
        <w:rPr>
          <w:rStyle w:val="TextoNormalNegritaCaracter"/>
        </w:rPr>
        <w:t>Artículo 47.</w:t>
      </w:r>
      <w:r w:rsidRPr="001D7FA9">
        <w:rPr>
          <w:rStyle w:val="TextoNormalCaracter"/>
        </w:rPr>
        <w:t>-</w:t>
      </w:r>
      <w:r>
        <w:t xml:space="preserve"> Auto </w:t>
      </w:r>
      <w:hyperlink w:anchor="AUTO_2025_65" w:history="1">
        <w:r w:rsidRPr="001D7FA9">
          <w:rPr>
            <w:rStyle w:val="TextoNormalCaracter"/>
          </w:rPr>
          <w:t>65/2025</w:t>
        </w:r>
      </w:hyperlink>
      <w:r>
        <w:t>, VP.</w:t>
      </w:r>
    </w:p>
    <w:p w14:paraId="3B7E4A78" w14:textId="2A145C10" w:rsidR="001D7FA9" w:rsidRDefault="001D7FA9" w:rsidP="001D7FA9">
      <w:pPr>
        <w:pStyle w:val="SangriaFrancesaArticulo"/>
      </w:pPr>
      <w:r w:rsidRPr="001D7FA9">
        <w:rPr>
          <w:rStyle w:val="TextoNormalNegritaCaracter"/>
        </w:rPr>
        <w:t>Artículo 54.</w:t>
      </w:r>
      <w:r w:rsidRPr="001D7FA9">
        <w:rPr>
          <w:rStyle w:val="TextoNormalCaracter"/>
        </w:rPr>
        <w:t>-</w:t>
      </w:r>
      <w:r>
        <w:t xml:space="preserve"> Auto </w:t>
      </w:r>
      <w:hyperlink w:anchor="AUTO_2025_65" w:history="1">
        <w:r w:rsidRPr="001D7FA9">
          <w:rPr>
            <w:rStyle w:val="TextoNormalCaracter"/>
          </w:rPr>
          <w:t>65/2025</w:t>
        </w:r>
      </w:hyperlink>
      <w:r>
        <w:t>, VP.</w:t>
      </w:r>
    </w:p>
    <w:p w14:paraId="6B65C078" w14:textId="39959B94" w:rsidR="001D7FA9" w:rsidRDefault="001D7FA9" w:rsidP="001D7FA9">
      <w:pPr>
        <w:pStyle w:val="SangriaFrancesaArticulo"/>
      </w:pPr>
    </w:p>
    <w:p w14:paraId="2DDB838B" w14:textId="77777777" w:rsidR="001D7FA9" w:rsidRDefault="001D7FA9" w:rsidP="001D7FA9">
      <w:pPr>
        <w:pStyle w:val="TextoNormalNegritaCursivandice"/>
        <w:keepNext/>
      </w:pPr>
      <w:r>
        <w:t>Protocolo adicional (conocido como núm. 1) al Convenio europeo para la protección de los derechos humanos y de las libertades fundamentales, de 20 de marzo de 1952. Ratificado por Instrumento de 2 de noviembre de 1990</w:t>
      </w:r>
    </w:p>
    <w:p w14:paraId="023D25E1" w14:textId="3D676F91" w:rsidR="001D7FA9" w:rsidRDefault="001D7FA9" w:rsidP="001D7FA9">
      <w:pPr>
        <w:pStyle w:val="SangriaFrancesaArticulo"/>
      </w:pPr>
      <w:r w:rsidRPr="001D7FA9">
        <w:rPr>
          <w:rStyle w:val="TextoNormalNegritaCaracter"/>
        </w:rPr>
        <w:t>Artículo 1.</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2C5152A8" w14:textId="48B5127D" w:rsidR="001D7FA9" w:rsidRDefault="001D7FA9" w:rsidP="001D7FA9">
      <w:pPr>
        <w:pStyle w:val="SangriaFrancesaArticulo"/>
      </w:pPr>
      <w:r w:rsidRPr="001D7FA9">
        <w:rPr>
          <w:rStyle w:val="TextoNormalNegritaCaracter"/>
        </w:rPr>
        <w:t>Artículo 1, párrafo 1.</w:t>
      </w:r>
      <w:r w:rsidRPr="001D7FA9">
        <w:rPr>
          <w:rStyle w:val="TextoNormalCaracter"/>
        </w:rPr>
        <w:t>-</w:t>
      </w:r>
      <w:r>
        <w:t xml:space="preserve"> Sentencia </w:t>
      </w:r>
      <w:hyperlink w:anchor="SENTENCIA_2025_26" w:history="1">
        <w:r w:rsidRPr="001D7FA9">
          <w:rPr>
            <w:rStyle w:val="TextoNormalCaracter"/>
          </w:rPr>
          <w:t>26/2025</w:t>
        </w:r>
      </w:hyperlink>
      <w:r>
        <w:t>, f. 5.</w:t>
      </w:r>
    </w:p>
    <w:p w14:paraId="34E41A52" w14:textId="02CF3CB2" w:rsidR="001D7FA9" w:rsidRDefault="001D7FA9" w:rsidP="001D7FA9">
      <w:pPr>
        <w:pStyle w:val="SangriaFrancesaArticulo"/>
      </w:pPr>
      <w:r w:rsidRPr="001D7FA9">
        <w:rPr>
          <w:rStyle w:val="TextoNormalNegritaCaracter"/>
        </w:rPr>
        <w:t>Artículo 1, párrafo 2.</w:t>
      </w:r>
      <w:r w:rsidRPr="001D7FA9">
        <w:rPr>
          <w:rStyle w:val="TextoNormalCaracter"/>
        </w:rPr>
        <w:t>-</w:t>
      </w:r>
      <w:r>
        <w:t xml:space="preserve"> Sentencia </w:t>
      </w:r>
      <w:hyperlink w:anchor="SENTENCIA_2025_26" w:history="1">
        <w:r w:rsidRPr="001D7FA9">
          <w:rPr>
            <w:rStyle w:val="TextoNormalCaracter"/>
          </w:rPr>
          <w:t>26/2025</w:t>
        </w:r>
      </w:hyperlink>
      <w:r>
        <w:t>, f. 5.</w:t>
      </w:r>
    </w:p>
    <w:p w14:paraId="5A0B55EF" w14:textId="7FECA788" w:rsidR="001D7FA9" w:rsidRDefault="001D7FA9" w:rsidP="001D7FA9">
      <w:pPr>
        <w:pStyle w:val="SangriaFrancesaArticulo"/>
      </w:pPr>
    </w:p>
    <w:p w14:paraId="4DB435FC" w14:textId="77777777" w:rsidR="001D7FA9" w:rsidRDefault="001D7FA9" w:rsidP="001D7FA9">
      <w:pPr>
        <w:pStyle w:val="TextoNormalNegritaCursivandice"/>
        <w:keepNext/>
      </w:pPr>
      <w:r>
        <w:t>Protocolo núm. 7 al Convenio europeo para la protección de los derechos humanos y de las libertades fundamentales, de 22 de noviembre de 1984. Ratificado por Instrumento de 28 de agosto de 2009</w:t>
      </w:r>
    </w:p>
    <w:p w14:paraId="6FF68C03" w14:textId="51A765B1" w:rsidR="001D7FA9" w:rsidRDefault="001D7FA9" w:rsidP="001D7FA9">
      <w:pPr>
        <w:pStyle w:val="SangriaFrancesaArticulo"/>
      </w:pPr>
      <w:r w:rsidRPr="001D7FA9">
        <w:rPr>
          <w:rStyle w:val="TextoNormalNegritaCaracter"/>
        </w:rPr>
        <w:t>Artículo 2.</w:t>
      </w:r>
      <w:r w:rsidRPr="001D7FA9">
        <w:rPr>
          <w:rStyle w:val="TextoNormalCaracter"/>
        </w:rPr>
        <w:t>-</w:t>
      </w:r>
      <w:r>
        <w:t xml:space="preserve"> Sentencias </w:t>
      </w:r>
      <w:hyperlink w:anchor="SENTENCIA_2025_105" w:history="1">
        <w:r w:rsidRPr="001D7FA9">
          <w:rPr>
            <w:rStyle w:val="TextoNormalCaracter"/>
          </w:rPr>
          <w:t>105/2025</w:t>
        </w:r>
      </w:hyperlink>
      <w:r>
        <w:t xml:space="preserve">, VP II; </w:t>
      </w:r>
      <w:hyperlink w:anchor="SENTENCIA_2025_110" w:history="1">
        <w:r w:rsidRPr="001D7FA9">
          <w:rPr>
            <w:rStyle w:val="TextoNormalCaracter"/>
          </w:rPr>
          <w:t>110/2025</w:t>
        </w:r>
      </w:hyperlink>
      <w:r>
        <w:t>, VP I, VP II.</w:t>
      </w:r>
    </w:p>
    <w:p w14:paraId="110B8F47" w14:textId="56988C7D" w:rsidR="001D7FA9" w:rsidRDefault="001D7FA9" w:rsidP="001D7FA9">
      <w:pPr>
        <w:pStyle w:val="SangriaFrancesaArticulo"/>
      </w:pPr>
      <w:r w:rsidRPr="001D7FA9">
        <w:rPr>
          <w:rStyle w:val="TextoNormalNegritaCaracter"/>
        </w:rPr>
        <w:t>Artículo 2.1.</w:t>
      </w:r>
      <w:r w:rsidRPr="001D7FA9">
        <w:rPr>
          <w:rStyle w:val="TextoNormalCaracter"/>
        </w:rPr>
        <w:t>-</w:t>
      </w:r>
      <w:r>
        <w:t xml:space="preserve"> Sentencia </w:t>
      </w:r>
      <w:hyperlink w:anchor="SENTENCIA_2025_110" w:history="1">
        <w:r w:rsidRPr="001D7FA9">
          <w:rPr>
            <w:rStyle w:val="TextoNormalCaracter"/>
          </w:rPr>
          <w:t>110/2025</w:t>
        </w:r>
      </w:hyperlink>
      <w:r>
        <w:t>, VP I.</w:t>
      </w:r>
    </w:p>
    <w:p w14:paraId="5D82A50B" w14:textId="7802733B" w:rsidR="001D7FA9" w:rsidRDefault="001D7FA9" w:rsidP="001D7FA9">
      <w:pPr>
        <w:pStyle w:val="SangriaFrancesaArticulo"/>
      </w:pPr>
    </w:p>
    <w:p w14:paraId="36E5EFF6" w14:textId="77777777" w:rsidR="001D7FA9" w:rsidRDefault="001D7FA9" w:rsidP="001D7FA9">
      <w:pPr>
        <w:pStyle w:val="TextoNormalNegritaCursivandice"/>
        <w:keepNext/>
      </w:pPr>
      <w:r>
        <w:t>Carta social europea (revisada) hecha en Estrasburgo el 3 de mayo de 1996. Ratificada por Instrumento de 29 de abril de 2021</w:t>
      </w:r>
    </w:p>
    <w:p w14:paraId="3C227CAA" w14:textId="7EC22154" w:rsidR="001D7FA9" w:rsidRDefault="001D7FA9" w:rsidP="001D7FA9">
      <w:pPr>
        <w:pStyle w:val="SangriaFrancesaArticulo"/>
      </w:pPr>
      <w:r w:rsidRPr="001D7FA9">
        <w:rPr>
          <w:rStyle w:val="TextoNormalNegritaCaracter"/>
        </w:rPr>
        <w:t>Artículo 26.</w:t>
      </w:r>
      <w:r w:rsidRPr="001D7FA9">
        <w:rPr>
          <w:rStyle w:val="TextoNormalCaracter"/>
        </w:rPr>
        <w:t>-</w:t>
      </w:r>
      <w:r>
        <w:t xml:space="preserve"> Sentencia </w:t>
      </w:r>
      <w:hyperlink w:anchor="SENTENCIA_2025_28" w:history="1">
        <w:r w:rsidRPr="001D7FA9">
          <w:rPr>
            <w:rStyle w:val="TextoNormalCaracter"/>
          </w:rPr>
          <w:t>28/2025</w:t>
        </w:r>
      </w:hyperlink>
      <w:r>
        <w:t>, f. 3.</w:t>
      </w:r>
    </w:p>
    <w:p w14:paraId="07F6DFB3" w14:textId="24F0921F" w:rsidR="001D7FA9" w:rsidRDefault="001D7FA9" w:rsidP="001D7FA9">
      <w:pPr>
        <w:pStyle w:val="SangriaFrancesaArticulo"/>
      </w:pPr>
    </w:p>
    <w:p w14:paraId="6F146F45" w14:textId="77777777" w:rsidR="001D7FA9" w:rsidRDefault="001D7FA9" w:rsidP="001D7FA9">
      <w:pPr>
        <w:pStyle w:val="TextoNormalNegritaCursivandice"/>
        <w:keepNext/>
      </w:pPr>
      <w:r>
        <w:t>Recomendación CM/Rec(2010)12, del Comité de Ministros del Consejo de Europa, de 17 de noviembre de 2010, sobre los jueces: independencia, eficiencia y responsabilidad</w:t>
      </w:r>
    </w:p>
    <w:p w14:paraId="5D6C5F74" w14:textId="418460F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5A28007" w14:textId="461637ED" w:rsidR="001D7FA9" w:rsidRDefault="001D7FA9" w:rsidP="001D7FA9">
      <w:pPr>
        <w:pStyle w:val="SangriaFrancesaArticulo"/>
      </w:pPr>
    </w:p>
    <w:p w14:paraId="29E50111" w14:textId="77777777" w:rsidR="001D7FA9" w:rsidRDefault="001D7FA9" w:rsidP="001D7FA9">
      <w:pPr>
        <w:pStyle w:val="TextoNormalNegritaCursivandice"/>
        <w:keepNext/>
      </w:pPr>
      <w:r>
        <w:t>Convenio del Consejo de Europa sobre prevención y lucha contra la violencia contra la mujer y la violencia doméstica, hecho en Estambul el 11 de mayo de 2011. Ratificado por Instrumento de 18 de marzo de 2014</w:t>
      </w:r>
    </w:p>
    <w:p w14:paraId="7DB9F11C" w14:textId="7E8FCF6F" w:rsidR="001D7FA9" w:rsidRDefault="001D7FA9" w:rsidP="001D7FA9">
      <w:pPr>
        <w:pStyle w:val="SangriaFrancesaArticulo"/>
      </w:pPr>
      <w:r w:rsidRPr="001D7FA9">
        <w:rPr>
          <w:rStyle w:val="TextoNormalNegritaCaracter"/>
        </w:rPr>
        <w:t>Artículo 45.</w:t>
      </w:r>
      <w:r w:rsidRPr="001D7FA9">
        <w:rPr>
          <w:rStyle w:val="TextoNormalCaracter"/>
        </w:rPr>
        <w:t>-</w:t>
      </w:r>
      <w:r>
        <w:t xml:space="preserve"> Sentencia </w:t>
      </w:r>
      <w:hyperlink w:anchor="SENTENCIA_2025_54" w:history="1">
        <w:r w:rsidRPr="001D7FA9">
          <w:rPr>
            <w:rStyle w:val="TextoNormalCaracter"/>
          </w:rPr>
          <w:t>54/2025</w:t>
        </w:r>
      </w:hyperlink>
      <w:r>
        <w:t>, VP.</w:t>
      </w:r>
    </w:p>
    <w:p w14:paraId="6C06FCA2" w14:textId="6316D36D" w:rsidR="001D7FA9" w:rsidRDefault="001D7FA9" w:rsidP="001D7FA9">
      <w:pPr>
        <w:pStyle w:val="SangriaFrancesaArticulo"/>
      </w:pPr>
    </w:p>
    <w:p w14:paraId="318E45E7" w14:textId="77777777" w:rsidR="001D7FA9" w:rsidRDefault="001D7FA9" w:rsidP="001D7FA9">
      <w:pPr>
        <w:pStyle w:val="TextoNormalNegritaCursivandice"/>
        <w:keepNext/>
      </w:pPr>
      <w:r>
        <w:t>Opinión 710/2012 de la Comisión de Venecia, de 11 de marzo de 2013, CDL-AD(2013)009-e, sobre las disposiciones relativas a los presos políticos en la Ley de amnistía de Georgia</w:t>
      </w:r>
    </w:p>
    <w:p w14:paraId="5C5ECD40" w14:textId="2C4B3F4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F9B3B7B" w14:textId="3145C336" w:rsidR="001D7FA9" w:rsidRDefault="001D7FA9" w:rsidP="001D7FA9">
      <w:pPr>
        <w:pStyle w:val="SangriaFrancesaArticulo"/>
      </w:pPr>
    </w:p>
    <w:p w14:paraId="0B2647E8" w14:textId="77777777" w:rsidR="001D7FA9" w:rsidRDefault="001D7FA9" w:rsidP="001D7FA9">
      <w:pPr>
        <w:pStyle w:val="TextoNormalNegritaCursivandice"/>
        <w:keepNext/>
      </w:pPr>
      <w:r>
        <w:t>Opiniones 1167/2023 y 1168/2023 de la Comisión de Venecia, de 18 de marzo de 2024, CDL-AD(2024)003, sobre los requisitos del Estado de Derecho para decretar una amnistía con especial referencia a la proposición de ley parlamentaria "proposición de ley orgánica de amnistía para la normalización institucional, política y social en Cataluña"</w:t>
      </w:r>
    </w:p>
    <w:p w14:paraId="7475265D" w14:textId="2D120E5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87A38CD" w14:textId="76654F36" w:rsidR="001D7FA9" w:rsidRDefault="001D7FA9" w:rsidP="001D7FA9">
      <w:pPr>
        <w:pStyle w:val="SangriaFrancesaArticulo"/>
      </w:pPr>
      <w:r w:rsidRPr="001D7FA9">
        <w:rPr>
          <w:rStyle w:val="TextoNormalNegritaCaracter"/>
        </w:rPr>
        <w:t>§ 74.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F7402D9" w14:textId="5B42F60D" w:rsidR="001D7FA9" w:rsidRDefault="001D7FA9" w:rsidP="001D7FA9">
      <w:pPr>
        <w:pStyle w:val="SangriaFrancesaArticulo"/>
      </w:pPr>
      <w:r w:rsidRPr="001D7FA9">
        <w:rPr>
          <w:rStyle w:val="TextoNormalNegritaCaracter"/>
        </w:rPr>
        <w:t>§ 80.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93DF27F" w14:textId="5F3AF53F" w:rsidR="001D7FA9" w:rsidRDefault="001D7FA9" w:rsidP="001D7FA9">
      <w:pPr>
        <w:pStyle w:val="SangriaFrancesaArticulo"/>
      </w:pPr>
      <w:r w:rsidRPr="001D7FA9">
        <w:rPr>
          <w:rStyle w:val="TextoNormalNegritaCaracter"/>
        </w:rPr>
        <w:t>§ 127.</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F4C13C4" w14:textId="513C4D7F" w:rsidR="001D7FA9" w:rsidRDefault="001D7FA9" w:rsidP="001D7FA9">
      <w:pPr>
        <w:pStyle w:val="SangriaFrancesaArticulo"/>
      </w:pPr>
      <w:r w:rsidRPr="001D7FA9">
        <w:rPr>
          <w:rStyle w:val="TextoNormalNegritaCaracter"/>
        </w:rPr>
        <w:t>§ 128.</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92C6772" w14:textId="178974A1" w:rsidR="001D7FA9" w:rsidRDefault="001D7FA9" w:rsidP="001D7FA9">
      <w:pPr>
        <w:pStyle w:val="TextoNormal"/>
      </w:pPr>
    </w:p>
    <w:p w14:paraId="711F3D56" w14:textId="77777777" w:rsidR="001D7FA9" w:rsidRDefault="001D7FA9" w:rsidP="001D7FA9">
      <w:pPr>
        <w:pStyle w:val="SangriaFrancesaArticulo"/>
      </w:pPr>
      <w:bookmarkStart w:id="225" w:name="INDICE22872"/>
    </w:p>
    <w:bookmarkEnd w:id="225"/>
    <w:p w14:paraId="417644F9" w14:textId="77777777" w:rsidR="001D7FA9" w:rsidRDefault="001D7FA9" w:rsidP="001D7FA9">
      <w:pPr>
        <w:pStyle w:val="TextoIndiceNivel2"/>
        <w:suppressAutoHyphens/>
      </w:pPr>
      <w:r>
        <w:t>Ñ) Legislación extranjera</w:t>
      </w:r>
    </w:p>
    <w:p w14:paraId="19AFF067" w14:textId="0DA65778" w:rsidR="001D7FA9" w:rsidRDefault="001D7FA9" w:rsidP="001D7FA9">
      <w:pPr>
        <w:pStyle w:val="TextoIndiceNivel2"/>
      </w:pPr>
    </w:p>
    <w:p w14:paraId="51B229B4" w14:textId="77777777" w:rsidR="001D7FA9" w:rsidRDefault="001D7FA9" w:rsidP="001D7FA9">
      <w:pPr>
        <w:pStyle w:val="TextoNormalNegritaCursivandice"/>
        <w:keepNext/>
      </w:pPr>
      <w:r>
        <w:t>Constitución de los Países Bajos, de 24 de agosto de 1815</w:t>
      </w:r>
    </w:p>
    <w:p w14:paraId="3F2B6B21" w14:textId="7140C08A" w:rsidR="001D7FA9" w:rsidRDefault="001D7FA9" w:rsidP="001D7FA9">
      <w:pPr>
        <w:pStyle w:val="SangriaFrancesaArticulo"/>
      </w:pPr>
      <w:r w:rsidRPr="001D7FA9">
        <w:rPr>
          <w:rStyle w:val="TextoNormalNegritaCaracter"/>
        </w:rPr>
        <w:t>Artículo 122.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5EF8224" w14:textId="70607312" w:rsidR="001D7FA9" w:rsidRDefault="001D7FA9" w:rsidP="001D7FA9">
      <w:pPr>
        <w:pStyle w:val="SangriaFrancesaArticulo"/>
      </w:pPr>
    </w:p>
    <w:p w14:paraId="1A910349" w14:textId="77777777" w:rsidR="001D7FA9" w:rsidRDefault="001D7FA9" w:rsidP="001D7FA9">
      <w:pPr>
        <w:pStyle w:val="TextoNormalNegritaCursivandice"/>
        <w:keepNext/>
      </w:pPr>
      <w:r>
        <w:t>Constitución de Bélgica, de 17 de febrero de 1994</w:t>
      </w:r>
    </w:p>
    <w:p w14:paraId="4967C80A" w14:textId="181C911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157A8E9" w14:textId="3AF7A453" w:rsidR="001D7FA9" w:rsidRDefault="001D7FA9" w:rsidP="001D7FA9">
      <w:pPr>
        <w:pStyle w:val="SangriaFrancesaArticulo"/>
      </w:pPr>
    </w:p>
    <w:p w14:paraId="38873071" w14:textId="77777777" w:rsidR="001D7FA9" w:rsidRDefault="001D7FA9" w:rsidP="001D7FA9">
      <w:pPr>
        <w:pStyle w:val="TextoNormalNegritaCursivandice"/>
        <w:keepNext/>
      </w:pPr>
      <w:r>
        <w:t>Constitución de Austria, de 1 de octubre de 1920</w:t>
      </w:r>
    </w:p>
    <w:p w14:paraId="14557A79" w14:textId="194E3CB0" w:rsidR="001D7FA9" w:rsidRDefault="001D7FA9" w:rsidP="001D7FA9">
      <w:pPr>
        <w:pStyle w:val="SangriaFrancesaArticulo"/>
      </w:pPr>
      <w:r w:rsidRPr="001D7FA9">
        <w:rPr>
          <w:rStyle w:val="TextoNormalNegritaCaracter"/>
        </w:rPr>
        <w:t>Artículo 93.</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084BD2A" w14:textId="5F59D537" w:rsidR="001D7FA9" w:rsidRDefault="001D7FA9" w:rsidP="001D7FA9">
      <w:pPr>
        <w:pStyle w:val="SangriaFrancesaArticulo"/>
      </w:pPr>
    </w:p>
    <w:p w14:paraId="6FFFEFF3" w14:textId="77777777" w:rsidR="001D7FA9" w:rsidRDefault="001D7FA9" w:rsidP="001D7FA9">
      <w:pPr>
        <w:pStyle w:val="TextoNormalNegritaCursivandice"/>
        <w:keepNext/>
      </w:pPr>
      <w:r>
        <w:t>Constitución de Letonia, de 15 de febrero de 1922</w:t>
      </w:r>
    </w:p>
    <w:p w14:paraId="2473DDA0" w14:textId="17F6D797" w:rsidR="001D7FA9" w:rsidRDefault="001D7FA9" w:rsidP="001D7FA9">
      <w:pPr>
        <w:pStyle w:val="SangriaFrancesaArticulo"/>
      </w:pPr>
      <w:r w:rsidRPr="001D7FA9">
        <w:rPr>
          <w:rStyle w:val="TextoNormalNegritaCaracter"/>
        </w:rPr>
        <w:t>Artículo 45.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306EDF5" w14:textId="3BE39264" w:rsidR="001D7FA9" w:rsidRDefault="001D7FA9" w:rsidP="001D7FA9">
      <w:pPr>
        <w:pStyle w:val="SangriaFrancesaArticulo"/>
      </w:pPr>
    </w:p>
    <w:p w14:paraId="0D15AA02" w14:textId="77777777" w:rsidR="001D7FA9" w:rsidRDefault="001D7FA9" w:rsidP="001D7FA9">
      <w:pPr>
        <w:pStyle w:val="TextoNormalNegritaCursivandice"/>
        <w:keepNext/>
      </w:pPr>
      <w:r>
        <w:t>Constitución de Irlanda, de 1 de julio de 1937</w:t>
      </w:r>
    </w:p>
    <w:p w14:paraId="317E55A9" w14:textId="2992F1F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660A16C" w14:textId="741DACE2" w:rsidR="001D7FA9" w:rsidRDefault="001D7FA9" w:rsidP="001D7FA9">
      <w:pPr>
        <w:pStyle w:val="SangriaFrancesaArticulo"/>
      </w:pPr>
    </w:p>
    <w:p w14:paraId="4301CF42" w14:textId="77777777" w:rsidR="001D7FA9" w:rsidRDefault="001D7FA9" w:rsidP="001D7FA9">
      <w:pPr>
        <w:pStyle w:val="TextoNormalNegritaCursivandice"/>
        <w:keepNext/>
      </w:pPr>
      <w:r>
        <w:t>Constitución de Italia, de 27 de diciembre de 1947</w:t>
      </w:r>
    </w:p>
    <w:p w14:paraId="72B1EC4E" w14:textId="205D528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6BC8BCD" w14:textId="11A0C309" w:rsidR="001D7FA9" w:rsidRDefault="001D7FA9" w:rsidP="001D7FA9">
      <w:pPr>
        <w:pStyle w:val="SangriaFrancesaArticulo"/>
      </w:pPr>
      <w:r w:rsidRPr="001D7FA9">
        <w:rPr>
          <w:rStyle w:val="TextoNormalNegritaCaracter"/>
        </w:rPr>
        <w:t>Artículo 75.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235FEA0" w14:textId="09795548" w:rsidR="001D7FA9" w:rsidRDefault="001D7FA9" w:rsidP="001D7FA9">
      <w:pPr>
        <w:pStyle w:val="SangriaFrancesaArticulo"/>
      </w:pPr>
      <w:r w:rsidRPr="001D7FA9">
        <w:rPr>
          <w:rStyle w:val="TextoNormalNegritaCaracter"/>
        </w:rPr>
        <w:t>Artículo 75, párrafo 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0F4B5BF" w14:textId="7A5A82C0" w:rsidR="001D7FA9" w:rsidRDefault="001D7FA9" w:rsidP="001D7FA9">
      <w:pPr>
        <w:pStyle w:val="SangriaFrancesaArticulo"/>
      </w:pPr>
      <w:r w:rsidRPr="001D7FA9">
        <w:rPr>
          <w:rStyle w:val="TextoNormalNegritaCaracter"/>
        </w:rPr>
        <w:t>Artículo 79.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C88724F" w14:textId="79962ACB" w:rsidR="001D7FA9" w:rsidRDefault="001D7FA9" w:rsidP="001D7FA9">
      <w:pPr>
        <w:pStyle w:val="SangriaFrancesaArticulo"/>
      </w:pPr>
    </w:p>
    <w:p w14:paraId="423C4B32" w14:textId="77777777" w:rsidR="001D7FA9" w:rsidRDefault="001D7FA9" w:rsidP="001D7FA9">
      <w:pPr>
        <w:pStyle w:val="TextoNormalNegritaCursivandice"/>
        <w:keepNext/>
      </w:pPr>
      <w:r>
        <w:t>Constitución de Alemania, de 23 de mayo de 1949</w:t>
      </w:r>
    </w:p>
    <w:p w14:paraId="7EBB7E0C" w14:textId="5DF72F5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FBB3898" w14:textId="7C77105B" w:rsidR="001D7FA9" w:rsidRDefault="001D7FA9" w:rsidP="001D7FA9">
      <w:pPr>
        <w:pStyle w:val="SangriaFrancesaArticulo"/>
      </w:pPr>
    </w:p>
    <w:p w14:paraId="40BC7C57" w14:textId="77777777" w:rsidR="001D7FA9" w:rsidRDefault="001D7FA9" w:rsidP="001D7FA9">
      <w:pPr>
        <w:pStyle w:val="TextoNormalNegritaCursivandice"/>
        <w:keepNext/>
      </w:pPr>
      <w:r>
        <w:t>Constitución de Hungría, de 20 de agosto de 1949</w:t>
      </w:r>
    </w:p>
    <w:p w14:paraId="3F1A63BD" w14:textId="4F695153"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995C789" w14:textId="1214B2C1" w:rsidR="001D7FA9" w:rsidRDefault="001D7FA9" w:rsidP="001D7FA9">
      <w:pPr>
        <w:pStyle w:val="SangriaFrancesaArticulo"/>
      </w:pPr>
    </w:p>
    <w:p w14:paraId="33BCFDDF" w14:textId="77777777" w:rsidR="001D7FA9" w:rsidRDefault="001D7FA9" w:rsidP="001D7FA9">
      <w:pPr>
        <w:pStyle w:val="TextoNormalNegritaCursivandice"/>
        <w:keepNext/>
      </w:pPr>
      <w:r>
        <w:t>Constitución de Francia, de 4 de octubre de 1958</w:t>
      </w:r>
    </w:p>
    <w:p w14:paraId="41A74ED5" w14:textId="1CB6F5AC" w:rsidR="001D7FA9" w:rsidRDefault="001D7FA9" w:rsidP="001D7FA9">
      <w:pPr>
        <w:pStyle w:val="SangriaFrancesaArticulo"/>
      </w:pPr>
      <w:r w:rsidRPr="001D7FA9">
        <w:rPr>
          <w:rStyle w:val="TextoNormalNegritaCaracter"/>
        </w:rPr>
        <w:t>Artículo 34.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2231729" w14:textId="573C5C21" w:rsidR="001D7FA9" w:rsidRDefault="001D7FA9" w:rsidP="001D7FA9">
      <w:pPr>
        <w:pStyle w:val="SangriaFrancesaArticulo"/>
      </w:pPr>
    </w:p>
    <w:p w14:paraId="014E4C18" w14:textId="77777777" w:rsidR="001D7FA9" w:rsidRDefault="001D7FA9" w:rsidP="001D7FA9">
      <w:pPr>
        <w:pStyle w:val="TextoNormalNegritaCursivandice"/>
        <w:keepNext/>
      </w:pPr>
      <w:r>
        <w:t>Constitución de Suecia, de 1 de enero de 1974</w:t>
      </w:r>
    </w:p>
    <w:p w14:paraId="16E2DD9D" w14:textId="3160C25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1EC4E35" w14:textId="4181428C" w:rsidR="001D7FA9" w:rsidRDefault="001D7FA9" w:rsidP="001D7FA9">
      <w:pPr>
        <w:pStyle w:val="SangriaFrancesaArticulo"/>
      </w:pPr>
    </w:p>
    <w:p w14:paraId="52D037B8" w14:textId="77777777" w:rsidR="001D7FA9" w:rsidRDefault="001D7FA9" w:rsidP="001D7FA9">
      <w:pPr>
        <w:pStyle w:val="TextoNormalNegritaCursivandice"/>
        <w:keepNext/>
      </w:pPr>
      <w:r>
        <w:t>Constitución de Grecia, de 11 de junio de 1975</w:t>
      </w:r>
    </w:p>
    <w:p w14:paraId="6739FFC0" w14:textId="1DE51C39" w:rsidR="001D7FA9" w:rsidRDefault="001D7FA9" w:rsidP="001D7FA9">
      <w:pPr>
        <w:pStyle w:val="SangriaFrancesaArticulo"/>
      </w:pPr>
      <w:r w:rsidRPr="001D7FA9">
        <w:rPr>
          <w:rStyle w:val="TextoNormalNegritaCaracter"/>
        </w:rPr>
        <w:t>Artículo 47.</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2EE33FA" w14:textId="474CC54D" w:rsidR="001D7FA9" w:rsidRDefault="001D7FA9" w:rsidP="001D7FA9">
      <w:pPr>
        <w:pStyle w:val="SangriaFrancesaArticulo"/>
      </w:pPr>
    </w:p>
    <w:p w14:paraId="05C9DECE" w14:textId="77777777" w:rsidR="001D7FA9" w:rsidRDefault="001D7FA9" w:rsidP="001D7FA9">
      <w:pPr>
        <w:pStyle w:val="TextoNormalNegritaCursivandice"/>
        <w:keepNext/>
      </w:pPr>
      <w:r>
        <w:t>Constitución de Portugal, de 2 de abril de 1976</w:t>
      </w:r>
    </w:p>
    <w:p w14:paraId="440E39A9" w14:textId="2AF0904B" w:rsidR="001D7FA9" w:rsidRDefault="001D7FA9" w:rsidP="001D7FA9">
      <w:pPr>
        <w:pStyle w:val="SangriaFrancesaArticulo"/>
      </w:pPr>
      <w:r w:rsidRPr="001D7FA9">
        <w:rPr>
          <w:rStyle w:val="TextoNormalNegritaCaracter"/>
        </w:rPr>
        <w:t>Artículo 161.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A038F75" w14:textId="65A34801" w:rsidR="001D7FA9" w:rsidRDefault="001D7FA9" w:rsidP="001D7FA9">
      <w:pPr>
        <w:pStyle w:val="SangriaFrancesaArticulo"/>
      </w:pPr>
    </w:p>
    <w:p w14:paraId="6ABC0118" w14:textId="77777777" w:rsidR="001D7FA9" w:rsidRDefault="001D7FA9" w:rsidP="001D7FA9">
      <w:pPr>
        <w:pStyle w:val="TextoNormalNegritaCursivandice"/>
        <w:keepNext/>
      </w:pPr>
      <w:r>
        <w:t>Constitución de Lituania, de 25 de octubre de 1992</w:t>
      </w:r>
    </w:p>
    <w:p w14:paraId="539F19C3" w14:textId="0358EFAB" w:rsidR="001D7FA9" w:rsidRDefault="001D7FA9" w:rsidP="001D7FA9">
      <w:pPr>
        <w:pStyle w:val="SangriaFrancesaArticulo"/>
      </w:pPr>
      <w:r w:rsidRPr="001D7FA9">
        <w:rPr>
          <w:rStyle w:val="TextoNormalNegritaCaracter"/>
        </w:rPr>
        <w:t>Artículo 19.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4324B19" w14:textId="73232510" w:rsidR="001D7FA9" w:rsidRDefault="001D7FA9" w:rsidP="001D7FA9">
      <w:pPr>
        <w:pStyle w:val="SangriaFrancesaArticulo"/>
      </w:pPr>
      <w:r w:rsidRPr="001D7FA9">
        <w:rPr>
          <w:rStyle w:val="TextoNormalNegritaCaracter"/>
        </w:rPr>
        <w:t>Artículo 67.1.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3E79EE6" w14:textId="27C7B9DE" w:rsidR="001D7FA9" w:rsidRDefault="001D7FA9" w:rsidP="001D7FA9">
      <w:pPr>
        <w:pStyle w:val="SangriaFrancesaArticulo"/>
      </w:pPr>
    </w:p>
    <w:p w14:paraId="705205BF" w14:textId="77777777" w:rsidR="001D7FA9" w:rsidRDefault="001D7FA9" w:rsidP="001D7FA9">
      <w:pPr>
        <w:pStyle w:val="TextoNormalNegritaCursivandice"/>
        <w:keepNext/>
      </w:pPr>
      <w:r>
        <w:t>Constitución de Suiza, de 18 de abril de 1999</w:t>
      </w:r>
    </w:p>
    <w:p w14:paraId="2F2CD05E" w14:textId="74B7B481" w:rsidR="001D7FA9" w:rsidRDefault="001D7FA9" w:rsidP="001D7FA9">
      <w:pPr>
        <w:pStyle w:val="SangriaFrancesaArticulo"/>
      </w:pPr>
      <w:r w:rsidRPr="001D7FA9">
        <w:rPr>
          <w:rStyle w:val="TextoNormalNegritaCaracter"/>
        </w:rPr>
        <w:t>Artículo 173.</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C66CB79" w14:textId="2E9898DB" w:rsidR="001D7FA9" w:rsidRDefault="001D7FA9" w:rsidP="001D7FA9">
      <w:pPr>
        <w:pStyle w:val="SangriaFrancesaArticulo"/>
      </w:pPr>
    </w:p>
    <w:p w14:paraId="43D074C6" w14:textId="77777777" w:rsidR="001D7FA9" w:rsidRDefault="001D7FA9" w:rsidP="001D7FA9">
      <w:pPr>
        <w:pStyle w:val="TextoNormalNegritaCursivandice"/>
        <w:keepNext/>
      </w:pPr>
      <w:r>
        <w:t>Constitución de Finlandia, de 11 de junio de 1999</w:t>
      </w:r>
    </w:p>
    <w:p w14:paraId="211C1284" w14:textId="6480300F" w:rsidR="001D7FA9" w:rsidRDefault="001D7FA9" w:rsidP="001D7FA9">
      <w:pPr>
        <w:pStyle w:val="SangriaFrancesaArticulo"/>
      </w:pPr>
      <w:r w:rsidRPr="001D7FA9">
        <w:rPr>
          <w:rStyle w:val="TextoNormalNegritaCaracter"/>
        </w:rPr>
        <w:t>Artículos 1 y 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6E3BC2E" w14:textId="19B71E8F" w:rsidR="001D7FA9" w:rsidRDefault="001D7FA9" w:rsidP="001D7FA9">
      <w:pPr>
        <w:pStyle w:val="SangriaFrancesaArticulo"/>
      </w:pPr>
    </w:p>
    <w:p w14:paraId="3C33F1A1" w14:textId="77777777" w:rsidR="001D7FA9" w:rsidRDefault="001D7FA9" w:rsidP="001D7FA9">
      <w:pPr>
        <w:pStyle w:val="TextoNormalNegritaCursivandice"/>
        <w:keepNext/>
      </w:pPr>
      <w:r>
        <w:t>Ley de la República de Portugal 38-A/2023, de 2 de agosto, perdón de penas y amnistía de infracciones</w:t>
      </w:r>
    </w:p>
    <w:p w14:paraId="30470FAC" w14:textId="3FD7CD8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1B80E05" w14:textId="4CFEACCF" w:rsidR="001D7FA9" w:rsidRDefault="001D7FA9">
      <w:pPr>
        <w:spacing w:after="160" w:line="278" w:lineRule="auto"/>
        <w:rPr>
          <w:rFonts w:ascii="Times New Roman" w:eastAsia="Times New Roman" w:hAnsi="Times New Roman" w:cs="Times New Roman"/>
          <w:sz w:val="24"/>
          <w:szCs w:val="24"/>
          <w:lang w:eastAsia="es-ES"/>
        </w:rPr>
      </w:pPr>
      <w:r>
        <w:br w:type="page"/>
      </w:r>
    </w:p>
    <w:p w14:paraId="6138569E" w14:textId="77777777" w:rsidR="001D7FA9" w:rsidRDefault="001D7FA9" w:rsidP="001D7FA9">
      <w:pPr>
        <w:pStyle w:val="SangriaFrancesaArticulo"/>
      </w:pPr>
    </w:p>
    <w:p w14:paraId="7A86022C" w14:textId="77777777" w:rsidR="001D7FA9" w:rsidRDefault="001D7FA9" w:rsidP="001D7FA9">
      <w:pPr>
        <w:pStyle w:val="TextoNormal"/>
      </w:pPr>
    </w:p>
    <w:p w14:paraId="7B26052A" w14:textId="77777777" w:rsidR="001D7FA9" w:rsidRDefault="001D7FA9" w:rsidP="001D7FA9">
      <w:pPr>
        <w:pStyle w:val="TextoNormal"/>
      </w:pPr>
    </w:p>
    <w:p w14:paraId="48FC4414" w14:textId="77777777" w:rsidR="001D7FA9" w:rsidRDefault="001D7FA9" w:rsidP="001D7FA9">
      <w:pPr>
        <w:pStyle w:val="TextoNormal"/>
      </w:pPr>
    </w:p>
    <w:p w14:paraId="5E29CA95" w14:textId="77777777" w:rsidR="001D7FA9" w:rsidRDefault="001D7FA9" w:rsidP="001D7FA9">
      <w:pPr>
        <w:pStyle w:val="Ttulondice"/>
        <w:suppressAutoHyphens/>
      </w:pPr>
      <w:r>
        <w:t>6. ÍNDICE DE RESOLUCIONES DE OTROS TRIBUNALES CITADAS</w:t>
      </w:r>
    </w:p>
    <w:p w14:paraId="11B89D35" w14:textId="7273C3C1" w:rsidR="001D7FA9" w:rsidRDefault="001D7FA9" w:rsidP="001D7FA9">
      <w:pPr>
        <w:pStyle w:val="TextoNormal"/>
        <w:suppressAutoHyphens/>
      </w:pPr>
    </w:p>
    <w:p w14:paraId="30EED3DE" w14:textId="77777777" w:rsidR="001D7FA9" w:rsidRDefault="001D7FA9" w:rsidP="001D7FA9">
      <w:pPr>
        <w:pStyle w:val="TextoNormal"/>
        <w:suppressAutoHyphens/>
      </w:pPr>
    </w:p>
    <w:p w14:paraId="7B93F59E" w14:textId="77777777" w:rsidR="001D7FA9" w:rsidRDefault="001D7FA9" w:rsidP="001D7FA9">
      <w:pPr>
        <w:pStyle w:val="TextoNormal"/>
        <w:suppressAutoHyphens/>
      </w:pPr>
    </w:p>
    <w:p w14:paraId="748ABA36" w14:textId="77777777" w:rsidR="001D7FA9" w:rsidRDefault="001D7FA9" w:rsidP="001D7FA9">
      <w:pPr>
        <w:pStyle w:val="TextoNormal"/>
        <w:suppressAutoHyphens/>
      </w:pPr>
    </w:p>
    <w:p w14:paraId="42C04E97" w14:textId="77777777" w:rsidR="001D7FA9" w:rsidRDefault="001D7FA9" w:rsidP="001D7FA9">
      <w:pPr>
        <w:pStyle w:val="TextoNormal"/>
        <w:suppressAutoHyphens/>
      </w:pPr>
    </w:p>
    <w:p w14:paraId="51EA951E" w14:textId="77777777" w:rsidR="001D7FA9" w:rsidRDefault="001D7FA9" w:rsidP="001D7FA9">
      <w:pPr>
        <w:pStyle w:val="TextoNormal"/>
        <w:suppressAutoHyphens/>
      </w:pPr>
    </w:p>
    <w:p w14:paraId="2FF2769E" w14:textId="77777777" w:rsidR="001D7FA9" w:rsidRDefault="001D7FA9" w:rsidP="001D7FA9">
      <w:pPr>
        <w:pStyle w:val="TextoNormal"/>
        <w:suppressAutoHyphens/>
      </w:pPr>
    </w:p>
    <w:p w14:paraId="1257D88E" w14:textId="77777777" w:rsidR="001D7FA9" w:rsidRDefault="001D7FA9" w:rsidP="001D7FA9">
      <w:pPr>
        <w:pStyle w:val="TextoNormal"/>
        <w:suppressAutoHyphens/>
      </w:pPr>
    </w:p>
    <w:p w14:paraId="6967F203" w14:textId="77777777" w:rsidR="001D7FA9" w:rsidRDefault="001D7FA9" w:rsidP="001D7FA9">
      <w:pPr>
        <w:pStyle w:val="TextoNormal"/>
        <w:suppressAutoHyphens/>
      </w:pPr>
    </w:p>
    <w:p w14:paraId="77C7AC4B" w14:textId="77777777" w:rsidR="001D7FA9" w:rsidRDefault="001D7FA9" w:rsidP="001D7FA9">
      <w:pPr>
        <w:pStyle w:val="TextoNormal"/>
      </w:pPr>
    </w:p>
    <w:p w14:paraId="52D3C3F2" w14:textId="77777777" w:rsidR="001D7FA9" w:rsidRDefault="001D7FA9" w:rsidP="001D7FA9">
      <w:pPr>
        <w:pStyle w:val="TextoNormal"/>
      </w:pPr>
      <w:bookmarkStart w:id="226" w:name="INDICE22805"/>
      <w:bookmarkEnd w:id="226"/>
    </w:p>
    <w:p w14:paraId="41E167B4" w14:textId="77777777" w:rsidR="001D7FA9" w:rsidRDefault="001D7FA9" w:rsidP="001D7FA9">
      <w:pPr>
        <w:pStyle w:val="TextoIndiceNivel2"/>
        <w:suppressAutoHyphens/>
      </w:pPr>
      <w:r>
        <w:t>A) Tribunal Europeo de Derechos Humanos</w:t>
      </w:r>
    </w:p>
    <w:p w14:paraId="21738E55" w14:textId="69281603" w:rsidR="001D7FA9" w:rsidRDefault="001D7FA9" w:rsidP="001D7FA9">
      <w:pPr>
        <w:pStyle w:val="TextoIndiceNivel2"/>
      </w:pPr>
    </w:p>
    <w:p w14:paraId="5FC74500" w14:textId="77777777" w:rsidR="001D7FA9" w:rsidRDefault="001D7FA9" w:rsidP="001D7FA9">
      <w:pPr>
        <w:pStyle w:val="TextoNormalNegritaCursivandice"/>
        <w:keepNext/>
      </w:pPr>
      <w:r>
        <w:t>Sentencia del Tribunal Europeo de Derechos Humanos de 8 de junio de 1976 (Engel y otros c. Países Bajos)</w:t>
      </w:r>
    </w:p>
    <w:p w14:paraId="73901FBB" w14:textId="218F540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 w:history="1">
        <w:r w:rsidRPr="001D7FA9">
          <w:rPr>
            <w:rStyle w:val="TextoNormalCaracter"/>
          </w:rPr>
          <w:t>12/2025</w:t>
        </w:r>
      </w:hyperlink>
      <w:r>
        <w:t>, VP I.</w:t>
      </w:r>
    </w:p>
    <w:p w14:paraId="2670A961" w14:textId="4B1EB199" w:rsidR="001D7FA9" w:rsidRDefault="001D7FA9" w:rsidP="001D7FA9">
      <w:pPr>
        <w:pStyle w:val="SangriaFrancesaArticulo"/>
      </w:pPr>
    </w:p>
    <w:p w14:paraId="48325239" w14:textId="77777777" w:rsidR="001D7FA9" w:rsidRDefault="001D7FA9" w:rsidP="001D7FA9">
      <w:pPr>
        <w:pStyle w:val="TextoNormalNegritaCursivandice"/>
        <w:keepNext/>
      </w:pPr>
      <w:r>
        <w:t>Sentencia del Tribunal Europeo de Derechos Humanos de 7 de diciembre de 1976 (Handyside c. Reino Unido)</w:t>
      </w:r>
    </w:p>
    <w:p w14:paraId="4B6889FE" w14:textId="452BF7BA" w:rsidR="001D7FA9" w:rsidRDefault="001D7FA9" w:rsidP="001D7FA9">
      <w:pPr>
        <w:pStyle w:val="SangriaFrancesaArticulo"/>
      </w:pPr>
      <w:r w:rsidRPr="001D7FA9">
        <w:rPr>
          <w:rStyle w:val="TextoNormalNegritaCaracter"/>
        </w:rPr>
        <w:t>§ 49.</w:t>
      </w:r>
      <w:r w:rsidRPr="001D7FA9">
        <w:rPr>
          <w:rStyle w:val="TextoNormalCaracter"/>
        </w:rPr>
        <w:t>-</w:t>
      </w:r>
      <w:r>
        <w:t xml:space="preserve"> Sentencia </w:t>
      </w:r>
      <w:hyperlink w:anchor="SENTENCIA_2025_117" w:history="1">
        <w:r w:rsidRPr="001D7FA9">
          <w:rPr>
            <w:rStyle w:val="TextoNormalCaracter"/>
          </w:rPr>
          <w:t>117/2025</w:t>
        </w:r>
      </w:hyperlink>
      <w:r>
        <w:t>, f. 4.</w:t>
      </w:r>
    </w:p>
    <w:p w14:paraId="2238E921" w14:textId="7C545C5E" w:rsidR="001D7FA9" w:rsidRDefault="001D7FA9" w:rsidP="001D7FA9">
      <w:pPr>
        <w:pStyle w:val="SangriaFrancesaArticulo"/>
      </w:pPr>
    </w:p>
    <w:p w14:paraId="08CF04F4" w14:textId="77777777" w:rsidR="001D7FA9" w:rsidRDefault="001D7FA9" w:rsidP="001D7FA9">
      <w:pPr>
        <w:pStyle w:val="TextoNormalNegritaCursivandice"/>
        <w:keepNext/>
      </w:pPr>
      <w:r>
        <w:t>Sentencia del Tribunal Europeo de Derechos Humanos de 18 de enero de 1978 (Irlanda c. Reino Unido)</w:t>
      </w:r>
    </w:p>
    <w:p w14:paraId="330601B8" w14:textId="02BE7D37" w:rsidR="001D7FA9" w:rsidRDefault="001D7FA9" w:rsidP="001D7FA9">
      <w:pPr>
        <w:pStyle w:val="SangriaFrancesaArticulo"/>
      </w:pPr>
      <w:r w:rsidRPr="001D7FA9">
        <w:rPr>
          <w:rStyle w:val="TextoNormalNegritaCaracter"/>
        </w:rPr>
        <w:t>§ 167.</w:t>
      </w:r>
      <w:r w:rsidRPr="001D7FA9">
        <w:rPr>
          <w:rStyle w:val="TextoNormalCaracter"/>
        </w:rPr>
        <w:t>-</w:t>
      </w:r>
      <w:r>
        <w:t xml:space="preserve"> Sentencia </w:t>
      </w:r>
      <w:hyperlink w:anchor="SENTENCIA_2025_28" w:history="1">
        <w:r w:rsidRPr="001D7FA9">
          <w:rPr>
            <w:rStyle w:val="TextoNormalCaracter"/>
          </w:rPr>
          <w:t>28/2025</w:t>
        </w:r>
      </w:hyperlink>
      <w:r>
        <w:t>, f. 4.</w:t>
      </w:r>
    </w:p>
    <w:p w14:paraId="06A47E8F" w14:textId="6F97F103" w:rsidR="001D7FA9" w:rsidRDefault="001D7FA9" w:rsidP="001D7FA9">
      <w:pPr>
        <w:pStyle w:val="SangriaFrancesaArticulo"/>
      </w:pPr>
    </w:p>
    <w:p w14:paraId="5993CD1A" w14:textId="77777777" w:rsidR="001D7FA9" w:rsidRDefault="001D7FA9" w:rsidP="001D7FA9">
      <w:pPr>
        <w:pStyle w:val="TextoNormalNegritaCursivandice"/>
        <w:keepNext/>
      </w:pPr>
      <w:r>
        <w:t>Sentencia del Tribunal Europeo de Derechos Humanos de 26 de abril de 1979 (The Sunday Times c. Reino Unido —núm. 1—)</w:t>
      </w:r>
    </w:p>
    <w:p w14:paraId="2F2DEADF" w14:textId="0AE33321" w:rsidR="001D7FA9" w:rsidRDefault="001D7FA9" w:rsidP="001D7FA9">
      <w:pPr>
        <w:pStyle w:val="SangriaFrancesaArticulo"/>
      </w:pPr>
      <w:r w:rsidRPr="001D7FA9">
        <w:rPr>
          <w:rStyle w:val="TextoNormalNegritaCaracter"/>
        </w:rPr>
        <w:t>§ 65.</w:t>
      </w:r>
      <w:r w:rsidRPr="001D7FA9">
        <w:rPr>
          <w:rStyle w:val="TextoNormalCaracter"/>
        </w:rPr>
        <w:t>-</w:t>
      </w:r>
      <w:r>
        <w:t xml:space="preserve"> Sentencia </w:t>
      </w:r>
      <w:hyperlink w:anchor="SENTENCIA_2025_117" w:history="1">
        <w:r w:rsidRPr="001D7FA9">
          <w:rPr>
            <w:rStyle w:val="TextoNormalCaracter"/>
          </w:rPr>
          <w:t>117/2025</w:t>
        </w:r>
      </w:hyperlink>
      <w:r>
        <w:t>, f. 4.</w:t>
      </w:r>
    </w:p>
    <w:p w14:paraId="5658D2BF" w14:textId="2899CBD8" w:rsidR="001D7FA9" w:rsidRDefault="001D7FA9" w:rsidP="001D7FA9">
      <w:pPr>
        <w:pStyle w:val="SangriaFrancesaArticulo"/>
      </w:pPr>
    </w:p>
    <w:p w14:paraId="037DCBC8" w14:textId="77777777" w:rsidR="001D7FA9" w:rsidRDefault="001D7FA9" w:rsidP="001D7FA9">
      <w:pPr>
        <w:pStyle w:val="TextoNormalNegritaCursivandice"/>
        <w:keepNext/>
      </w:pPr>
      <w:r>
        <w:t>Sentencia del Tribunal Europeo de Derechos Humanos de 13 de mayo de 1980 (Artico c. Italia)</w:t>
      </w:r>
    </w:p>
    <w:p w14:paraId="124B3D21" w14:textId="083FE2E5" w:rsidR="001D7FA9" w:rsidRDefault="001D7FA9" w:rsidP="001D7FA9">
      <w:pPr>
        <w:pStyle w:val="SangriaFrancesaArticulo"/>
      </w:pPr>
      <w:r w:rsidRPr="001D7FA9">
        <w:rPr>
          <w:rStyle w:val="TextoNormalNegritaCaracter"/>
        </w:rPr>
        <w:t>§ 33.</w:t>
      </w:r>
      <w:r w:rsidRPr="001D7FA9">
        <w:rPr>
          <w:rStyle w:val="TextoNormalCaracter"/>
        </w:rPr>
        <w:t>-</w:t>
      </w:r>
      <w:r>
        <w:t xml:space="preserve"> Auto </w:t>
      </w:r>
      <w:hyperlink w:anchor="AUTO_2025_28" w:history="1">
        <w:r w:rsidRPr="001D7FA9">
          <w:rPr>
            <w:rStyle w:val="TextoNormalCaracter"/>
          </w:rPr>
          <w:t>28/2025</w:t>
        </w:r>
      </w:hyperlink>
      <w:r>
        <w:t>, f. 3.</w:t>
      </w:r>
    </w:p>
    <w:p w14:paraId="5DBE4B8D" w14:textId="686553C3" w:rsidR="001D7FA9" w:rsidRDefault="001D7FA9" w:rsidP="001D7FA9">
      <w:pPr>
        <w:pStyle w:val="SangriaFrancesaArticulo"/>
      </w:pPr>
    </w:p>
    <w:p w14:paraId="6A193C4F" w14:textId="77777777" w:rsidR="001D7FA9" w:rsidRDefault="001D7FA9" w:rsidP="001D7FA9">
      <w:pPr>
        <w:pStyle w:val="TextoNormalNegritaCursivandice"/>
        <w:keepNext/>
      </w:pPr>
      <w:r>
        <w:t>Sentencia del Tribunal Europeo de Derechos Humanos de 13 de agosto de 1981 (Young, James y Webster c. Reino Unido)</w:t>
      </w:r>
    </w:p>
    <w:p w14:paraId="6AA69114" w14:textId="285A3845" w:rsidR="001D7FA9" w:rsidRDefault="001D7FA9" w:rsidP="001D7FA9">
      <w:pPr>
        <w:pStyle w:val="SangriaFrancesaArticulo"/>
      </w:pPr>
      <w:r w:rsidRPr="001D7FA9">
        <w:rPr>
          <w:rStyle w:val="TextoNormalNegritaCaracter"/>
        </w:rPr>
        <w:t>§ 63.</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5523D474" w14:textId="5A9A406E" w:rsidR="001D7FA9" w:rsidRDefault="001D7FA9" w:rsidP="001D7FA9">
      <w:pPr>
        <w:pStyle w:val="SangriaFrancesaArticulo"/>
      </w:pPr>
    </w:p>
    <w:p w14:paraId="4F1D3A72" w14:textId="77777777" w:rsidR="001D7FA9" w:rsidRDefault="001D7FA9" w:rsidP="001D7FA9">
      <w:pPr>
        <w:pStyle w:val="TextoNormalNegritaCursivandice"/>
        <w:keepNext/>
      </w:pPr>
      <w:r>
        <w:t>Sentencia del Tribunal Europeo de Derechos Humanos de 25 de febrero de 1982 (Campbell y Cosans c. Reino Unido)</w:t>
      </w:r>
    </w:p>
    <w:p w14:paraId="266FBB41" w14:textId="02572370" w:rsidR="001D7FA9" w:rsidRDefault="001D7FA9" w:rsidP="001D7FA9">
      <w:pPr>
        <w:pStyle w:val="SangriaFrancesaArticulo"/>
      </w:pPr>
      <w:r w:rsidRPr="001D7FA9">
        <w:rPr>
          <w:rStyle w:val="TextoNormalNegritaCaracter"/>
        </w:rPr>
        <w:t>§ 28.</w:t>
      </w:r>
      <w:r w:rsidRPr="001D7FA9">
        <w:rPr>
          <w:rStyle w:val="TextoNormalCaracter"/>
        </w:rPr>
        <w:t>-</w:t>
      </w:r>
      <w:r>
        <w:t xml:space="preserve"> Sentencia </w:t>
      </w:r>
      <w:hyperlink w:anchor="SENTENCIA_2025_28" w:history="1">
        <w:r w:rsidRPr="001D7FA9">
          <w:rPr>
            <w:rStyle w:val="TextoNormalCaracter"/>
          </w:rPr>
          <w:t>28/2025</w:t>
        </w:r>
      </w:hyperlink>
      <w:r>
        <w:t>, f. 4.</w:t>
      </w:r>
    </w:p>
    <w:p w14:paraId="5C82DFD0" w14:textId="23D1106C" w:rsidR="001D7FA9" w:rsidRDefault="001D7FA9" w:rsidP="001D7FA9">
      <w:pPr>
        <w:pStyle w:val="SangriaFrancesaArticulo"/>
      </w:pPr>
    </w:p>
    <w:p w14:paraId="5A65BCC5" w14:textId="77777777" w:rsidR="001D7FA9" w:rsidRDefault="001D7FA9" w:rsidP="001D7FA9">
      <w:pPr>
        <w:pStyle w:val="TextoNormalNegritaCursivandice"/>
        <w:keepNext/>
      </w:pPr>
      <w:r>
        <w:t>Sentencia del Tribunal Europeo de Derechos Humanos de 23 de septiembre de 1982 (Sporrong y Lönnroth c. Suecia)</w:t>
      </w:r>
    </w:p>
    <w:p w14:paraId="530CC550" w14:textId="468B97E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f. 5.</w:t>
      </w:r>
    </w:p>
    <w:p w14:paraId="2DE34854" w14:textId="1ABF7C00" w:rsidR="001D7FA9" w:rsidRDefault="001D7FA9" w:rsidP="001D7FA9">
      <w:pPr>
        <w:pStyle w:val="SangriaFrancesaArticulo"/>
      </w:pPr>
      <w:r w:rsidRPr="001D7FA9">
        <w:rPr>
          <w:rStyle w:val="TextoNormalNegritaCaracter"/>
        </w:rPr>
        <w:t>§ 69.</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502A5C2C" w14:textId="041ED523" w:rsidR="001D7FA9" w:rsidRDefault="001D7FA9" w:rsidP="001D7FA9">
      <w:pPr>
        <w:pStyle w:val="SangriaFrancesaArticulo"/>
      </w:pPr>
    </w:p>
    <w:p w14:paraId="722E7EC4" w14:textId="77777777" w:rsidR="001D7FA9" w:rsidRDefault="001D7FA9" w:rsidP="001D7FA9">
      <w:pPr>
        <w:pStyle w:val="TextoNormalNegritaCursivandice"/>
        <w:keepNext/>
      </w:pPr>
      <w:r>
        <w:t>Sentencia del Tribunal Europeo de Derechos Humanos de 21 de febrero de 1986 (James y otros c. Reino Unido)</w:t>
      </w:r>
    </w:p>
    <w:p w14:paraId="7FBC86E1" w14:textId="38A4F648" w:rsidR="001D7FA9" w:rsidRDefault="001D7FA9" w:rsidP="001D7FA9">
      <w:pPr>
        <w:pStyle w:val="SangriaFrancesaArticulo"/>
      </w:pPr>
      <w:r w:rsidRPr="001D7FA9">
        <w:rPr>
          <w:rStyle w:val="TextoNormalNegritaCaracter"/>
        </w:rPr>
        <w:t>§ 37.</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47711D28" w14:textId="68DD9EA1" w:rsidR="001D7FA9" w:rsidRDefault="001D7FA9" w:rsidP="001D7FA9">
      <w:pPr>
        <w:pStyle w:val="SangriaFrancesaArticulo"/>
      </w:pPr>
      <w:r w:rsidRPr="001D7FA9">
        <w:rPr>
          <w:rStyle w:val="TextoNormalNegritaCaracter"/>
        </w:rPr>
        <w:t>§ 40.</w:t>
      </w:r>
      <w:r w:rsidRPr="001D7FA9">
        <w:rPr>
          <w:rStyle w:val="TextoNormalCaracter"/>
        </w:rPr>
        <w:t>-</w:t>
      </w:r>
      <w:r>
        <w:t xml:space="preserve"> Sentencia </w:t>
      </w:r>
      <w:hyperlink w:anchor="SENTENCIA_2025_25" w:history="1">
        <w:r w:rsidRPr="001D7FA9">
          <w:rPr>
            <w:rStyle w:val="TextoNormalCaracter"/>
          </w:rPr>
          <w:t>25/2025</w:t>
        </w:r>
      </w:hyperlink>
      <w:r>
        <w:t>, f. 5.</w:t>
      </w:r>
    </w:p>
    <w:p w14:paraId="402D4FEA" w14:textId="651CE3A4" w:rsidR="001D7FA9" w:rsidRDefault="001D7FA9" w:rsidP="001D7FA9">
      <w:pPr>
        <w:pStyle w:val="SangriaFrancesaArticulo"/>
      </w:pPr>
      <w:r w:rsidRPr="001D7FA9">
        <w:rPr>
          <w:rStyle w:val="TextoNormalNegritaCaracter"/>
        </w:rPr>
        <w:t>§ 42.</w:t>
      </w:r>
      <w:r w:rsidRPr="001D7FA9">
        <w:rPr>
          <w:rStyle w:val="TextoNormalCaracter"/>
        </w:rPr>
        <w:t>-</w:t>
      </w:r>
      <w:r>
        <w:t xml:space="preserve"> Sentencia </w:t>
      </w:r>
      <w:hyperlink w:anchor="SENTENCIA_2025_25" w:history="1">
        <w:r w:rsidRPr="001D7FA9">
          <w:rPr>
            <w:rStyle w:val="TextoNormalCaracter"/>
          </w:rPr>
          <w:t>25/2025</w:t>
        </w:r>
      </w:hyperlink>
      <w:r>
        <w:t>, f. 5.</w:t>
      </w:r>
    </w:p>
    <w:p w14:paraId="6161B0AD" w14:textId="33702EEC" w:rsidR="001D7FA9" w:rsidRDefault="001D7FA9" w:rsidP="001D7FA9">
      <w:pPr>
        <w:pStyle w:val="SangriaFrancesaArticulo"/>
      </w:pPr>
      <w:r w:rsidRPr="001D7FA9">
        <w:rPr>
          <w:rStyle w:val="TextoNormalNegritaCaracter"/>
        </w:rPr>
        <w:t>§ 46.</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0D8F7626" w14:textId="363E706E" w:rsidR="001D7FA9" w:rsidRDefault="001D7FA9" w:rsidP="001D7FA9">
      <w:pPr>
        <w:pStyle w:val="SangriaFrancesaArticulo"/>
      </w:pPr>
      <w:r w:rsidRPr="001D7FA9">
        <w:rPr>
          <w:rStyle w:val="TextoNormalNegritaCaracter"/>
        </w:rPr>
        <w:t>§ 50.</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2BACC8A3" w14:textId="1E99CE63" w:rsidR="001D7FA9" w:rsidRDefault="001D7FA9" w:rsidP="001D7FA9">
      <w:pPr>
        <w:pStyle w:val="SangriaFrancesaArticulo"/>
      </w:pPr>
    </w:p>
    <w:p w14:paraId="48B74E1E" w14:textId="77777777" w:rsidR="001D7FA9" w:rsidRDefault="001D7FA9" w:rsidP="001D7FA9">
      <w:pPr>
        <w:pStyle w:val="TextoNormalNegritaCursivandice"/>
        <w:keepNext/>
      </w:pPr>
      <w:r>
        <w:t>Sentencia del Tribunal Europeo de Derechos Humanos de 24 de mayo de 1988 (Müller y otros c. Suiza)</w:t>
      </w:r>
    </w:p>
    <w:p w14:paraId="054560C3" w14:textId="3FF0FEA5" w:rsidR="001D7FA9" w:rsidRDefault="001D7FA9" w:rsidP="001D7FA9">
      <w:pPr>
        <w:pStyle w:val="SangriaFrancesaArticulo"/>
      </w:pPr>
      <w:r w:rsidRPr="001D7FA9">
        <w:rPr>
          <w:rStyle w:val="TextoNormalNegritaCaracter"/>
        </w:rPr>
        <w:t>§ 33.</w:t>
      </w:r>
      <w:r w:rsidRPr="001D7FA9">
        <w:rPr>
          <w:rStyle w:val="TextoNormalCaracter"/>
        </w:rPr>
        <w:t>-</w:t>
      </w:r>
      <w:r>
        <w:t xml:space="preserve"> Sentencia </w:t>
      </w:r>
      <w:hyperlink w:anchor="SENTENCIA_2025_117" w:history="1">
        <w:r w:rsidRPr="001D7FA9">
          <w:rPr>
            <w:rStyle w:val="TextoNormalCaracter"/>
          </w:rPr>
          <w:t>117/2025</w:t>
        </w:r>
      </w:hyperlink>
      <w:r>
        <w:t>, f. 5.</w:t>
      </w:r>
    </w:p>
    <w:p w14:paraId="231C4DEB" w14:textId="0FE5FDC6" w:rsidR="001D7FA9" w:rsidRDefault="001D7FA9" w:rsidP="001D7FA9">
      <w:pPr>
        <w:pStyle w:val="SangriaFrancesaArticulo"/>
      </w:pPr>
    </w:p>
    <w:p w14:paraId="50F56AC4" w14:textId="77777777" w:rsidR="001D7FA9" w:rsidRDefault="001D7FA9" w:rsidP="001D7FA9">
      <w:pPr>
        <w:pStyle w:val="TextoNormalNegritaCursivandice"/>
        <w:keepNext/>
      </w:pPr>
      <w:r>
        <w:t>Sentencia del Tribunal Europeo de Derechos Humanos de 22 de junio de 1989 (Langborger c. Suecia)</w:t>
      </w:r>
    </w:p>
    <w:p w14:paraId="24C6DD24" w14:textId="34637C3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5" w:history="1">
        <w:r w:rsidRPr="001D7FA9">
          <w:rPr>
            <w:rStyle w:val="TextoNormalCaracter"/>
          </w:rPr>
          <w:t>35/2025</w:t>
        </w:r>
      </w:hyperlink>
      <w:r>
        <w:t>, VP I.</w:t>
      </w:r>
    </w:p>
    <w:p w14:paraId="14D2FAE7" w14:textId="7CF02BA2" w:rsidR="001D7FA9" w:rsidRDefault="001D7FA9" w:rsidP="001D7FA9">
      <w:pPr>
        <w:pStyle w:val="SangriaFrancesaArticulo"/>
      </w:pPr>
    </w:p>
    <w:p w14:paraId="062E1384" w14:textId="77777777" w:rsidR="001D7FA9" w:rsidRDefault="001D7FA9" w:rsidP="001D7FA9">
      <w:pPr>
        <w:pStyle w:val="TextoNormalNegritaCursivandice"/>
        <w:keepNext/>
      </w:pPr>
      <w:r>
        <w:t>Sentencia del Tribunal Europeo de Derechos Humanos de 7 de julio de 1989 (Soering c. Reino Unido)</w:t>
      </w:r>
    </w:p>
    <w:p w14:paraId="7ABBB5BC" w14:textId="27FAD02B" w:rsidR="001D7FA9" w:rsidRDefault="001D7FA9" w:rsidP="001D7FA9">
      <w:pPr>
        <w:pStyle w:val="SangriaFrancesaArticulo"/>
      </w:pPr>
      <w:r w:rsidRPr="001D7FA9">
        <w:rPr>
          <w:rStyle w:val="TextoNormalNegritaCaracter"/>
        </w:rPr>
        <w:t>§ 100.</w:t>
      </w:r>
      <w:r w:rsidRPr="001D7FA9">
        <w:rPr>
          <w:rStyle w:val="TextoNormalCaracter"/>
        </w:rPr>
        <w:t>-</w:t>
      </w:r>
      <w:r>
        <w:t xml:space="preserve"> Sentencia </w:t>
      </w:r>
      <w:hyperlink w:anchor="SENTENCIA_2025_28" w:history="1">
        <w:r w:rsidRPr="001D7FA9">
          <w:rPr>
            <w:rStyle w:val="TextoNormalCaracter"/>
          </w:rPr>
          <w:t>28/2025</w:t>
        </w:r>
      </w:hyperlink>
      <w:r>
        <w:t>, f. 4.</w:t>
      </w:r>
    </w:p>
    <w:p w14:paraId="54263EB5" w14:textId="5A4095B2" w:rsidR="001D7FA9" w:rsidRDefault="001D7FA9" w:rsidP="001D7FA9">
      <w:pPr>
        <w:pStyle w:val="SangriaFrancesaArticulo"/>
      </w:pPr>
    </w:p>
    <w:p w14:paraId="1869E3D1" w14:textId="77777777" w:rsidR="001D7FA9" w:rsidRDefault="001D7FA9" w:rsidP="001D7FA9">
      <w:pPr>
        <w:pStyle w:val="TextoNormalNegritaCursivandice"/>
        <w:keepNext/>
      </w:pPr>
      <w:r>
        <w:t>Sentencia del Tribunal Europeo de Derechos Humanos de 23 de abril de 1992 (Castells c. España)</w:t>
      </w:r>
    </w:p>
    <w:p w14:paraId="21BABC5C" w14:textId="41861601" w:rsidR="001D7FA9" w:rsidRDefault="001D7FA9" w:rsidP="001D7FA9">
      <w:pPr>
        <w:pStyle w:val="SangriaFrancesaArticulo"/>
      </w:pPr>
      <w:r w:rsidRPr="001D7FA9">
        <w:rPr>
          <w:rStyle w:val="TextoNormalNegritaCaracter"/>
        </w:rPr>
        <w:t>§ 42.</w:t>
      </w:r>
      <w:r w:rsidRPr="001D7FA9">
        <w:rPr>
          <w:rStyle w:val="TextoNormalCaracter"/>
        </w:rPr>
        <w:t>-</w:t>
      </w:r>
      <w:r>
        <w:t xml:space="preserve"> Sentencia </w:t>
      </w:r>
      <w:hyperlink w:anchor="SENTENCIA_2025_100" w:history="1">
        <w:r w:rsidRPr="001D7FA9">
          <w:rPr>
            <w:rStyle w:val="TextoNormalCaracter"/>
          </w:rPr>
          <w:t>100/2025</w:t>
        </w:r>
      </w:hyperlink>
      <w:r>
        <w:t>, f. 4.</w:t>
      </w:r>
    </w:p>
    <w:p w14:paraId="382AA63D" w14:textId="573830F3" w:rsidR="001D7FA9" w:rsidRDefault="001D7FA9" w:rsidP="001D7FA9">
      <w:pPr>
        <w:pStyle w:val="SangriaFrancesaArticulo"/>
      </w:pPr>
    </w:p>
    <w:p w14:paraId="7F6AD238" w14:textId="77777777" w:rsidR="001D7FA9" w:rsidRDefault="001D7FA9" w:rsidP="001D7FA9">
      <w:pPr>
        <w:pStyle w:val="TextoNormalNegritaCursivandice"/>
        <w:keepNext/>
      </w:pPr>
      <w:r>
        <w:t>Sentencia del Tribunal Europeo de Derechos Humanos de 27 de agosto de 1992 (Tomasi c. Francia)</w:t>
      </w:r>
    </w:p>
    <w:p w14:paraId="5B82D923" w14:textId="56576EE3" w:rsidR="001D7FA9" w:rsidRDefault="001D7FA9" w:rsidP="001D7FA9">
      <w:pPr>
        <w:pStyle w:val="SangriaFrancesaArticulo"/>
      </w:pPr>
      <w:r w:rsidRPr="001D7FA9">
        <w:rPr>
          <w:rStyle w:val="TextoNormalNegritaCaracter"/>
        </w:rPr>
        <w:t>§ 112.</w:t>
      </w:r>
      <w:r w:rsidRPr="001D7FA9">
        <w:rPr>
          <w:rStyle w:val="TextoNormalCaracter"/>
        </w:rPr>
        <w:t>-</w:t>
      </w:r>
      <w:r>
        <w:t xml:space="preserve"> Sentencia </w:t>
      </w:r>
      <w:hyperlink w:anchor="SENTENCIA_2025_28" w:history="1">
        <w:r w:rsidRPr="001D7FA9">
          <w:rPr>
            <w:rStyle w:val="TextoNormalCaracter"/>
          </w:rPr>
          <w:t>28/2025</w:t>
        </w:r>
      </w:hyperlink>
      <w:r>
        <w:t>, f. 4.</w:t>
      </w:r>
    </w:p>
    <w:p w14:paraId="337D100F" w14:textId="5FDDD009" w:rsidR="001D7FA9" w:rsidRDefault="001D7FA9" w:rsidP="001D7FA9">
      <w:pPr>
        <w:pStyle w:val="SangriaFrancesaArticulo"/>
      </w:pPr>
    </w:p>
    <w:p w14:paraId="5D05B866" w14:textId="77777777" w:rsidR="001D7FA9" w:rsidRDefault="001D7FA9" w:rsidP="001D7FA9">
      <w:pPr>
        <w:pStyle w:val="TextoNormalNegritaCursivandice"/>
        <w:keepNext/>
      </w:pPr>
      <w:r>
        <w:t>Sentencia del Tribunal Europeo de Derechos Humanos de 25 de marzo de 1993 (Costello-Roberts c. Reino Unido)</w:t>
      </w:r>
    </w:p>
    <w:p w14:paraId="5DBD7EB7" w14:textId="4C203520" w:rsidR="001D7FA9" w:rsidRDefault="001D7FA9" w:rsidP="001D7FA9">
      <w:pPr>
        <w:pStyle w:val="SangriaFrancesaArticulo"/>
      </w:pPr>
      <w:r w:rsidRPr="001D7FA9">
        <w:rPr>
          <w:rStyle w:val="TextoNormalNegritaCaracter"/>
        </w:rPr>
        <w:t>§ 30.</w:t>
      </w:r>
      <w:r w:rsidRPr="001D7FA9">
        <w:rPr>
          <w:rStyle w:val="TextoNormalCaracter"/>
        </w:rPr>
        <w:t>-</w:t>
      </w:r>
      <w:r>
        <w:t xml:space="preserve"> Sentencia </w:t>
      </w:r>
      <w:hyperlink w:anchor="SENTENCIA_2025_28" w:history="1">
        <w:r w:rsidRPr="001D7FA9">
          <w:rPr>
            <w:rStyle w:val="TextoNormalCaracter"/>
          </w:rPr>
          <w:t>28/2025</w:t>
        </w:r>
      </w:hyperlink>
      <w:r>
        <w:t>, f. 4.</w:t>
      </w:r>
    </w:p>
    <w:p w14:paraId="2B27FC1B" w14:textId="37FF71CC" w:rsidR="001D7FA9" w:rsidRDefault="001D7FA9" w:rsidP="001D7FA9">
      <w:pPr>
        <w:pStyle w:val="SangriaFrancesaArticulo"/>
      </w:pPr>
    </w:p>
    <w:p w14:paraId="04EB4C8B" w14:textId="77777777" w:rsidR="001D7FA9" w:rsidRDefault="001D7FA9" w:rsidP="001D7FA9">
      <w:pPr>
        <w:pStyle w:val="TextoNormalNegritaCursivandice"/>
        <w:keepNext/>
      </w:pPr>
      <w:r>
        <w:t>Sentencia del Tribunal Europeo de Derechos Humanos de 23 de junio de 1993 (Hoffmann c. Austria)</w:t>
      </w:r>
    </w:p>
    <w:p w14:paraId="4CF3C3AB" w14:textId="1B040ED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57DA70E0" w14:textId="6731FAAD" w:rsidR="001D7FA9" w:rsidRDefault="001D7FA9" w:rsidP="001D7FA9">
      <w:pPr>
        <w:pStyle w:val="SangriaFrancesaArticulo"/>
      </w:pPr>
      <w:r w:rsidRPr="001D7FA9">
        <w:rPr>
          <w:rStyle w:val="TextoNormalNegritaCaracter"/>
        </w:rPr>
        <w:t>§ 33.</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5220DF8E" w14:textId="01950FD9" w:rsidR="001D7FA9" w:rsidRDefault="001D7FA9" w:rsidP="001D7FA9">
      <w:pPr>
        <w:pStyle w:val="SangriaFrancesaArticulo"/>
      </w:pPr>
      <w:r w:rsidRPr="001D7FA9">
        <w:rPr>
          <w:rStyle w:val="TextoNormalNegritaCaracter"/>
        </w:rPr>
        <w:t>§ 36.</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6031FF3B" w14:textId="6D8E55F4" w:rsidR="001D7FA9" w:rsidRDefault="001D7FA9" w:rsidP="001D7FA9">
      <w:pPr>
        <w:pStyle w:val="SangriaFrancesaArticulo"/>
      </w:pPr>
      <w:r w:rsidRPr="001D7FA9">
        <w:rPr>
          <w:rStyle w:val="TextoNormalNegritaCaracter"/>
        </w:rPr>
        <w:t>§ 38.</w:t>
      </w:r>
      <w:r w:rsidRPr="001D7FA9">
        <w:rPr>
          <w:rStyle w:val="TextoNormalCaracter"/>
        </w:rPr>
        <w:t>-</w:t>
      </w:r>
      <w:r>
        <w:t xml:space="preserve"> Sentencia </w:t>
      </w:r>
      <w:hyperlink w:anchor="SENTENCIA_2025_119" w:history="1">
        <w:r w:rsidRPr="001D7FA9">
          <w:rPr>
            <w:rStyle w:val="TextoNormalCaracter"/>
          </w:rPr>
          <w:t>119/2025</w:t>
        </w:r>
      </w:hyperlink>
      <w:r>
        <w:t>, f. 5.</w:t>
      </w:r>
    </w:p>
    <w:p w14:paraId="2B706D32" w14:textId="1319CF4A" w:rsidR="001D7FA9" w:rsidRDefault="001D7FA9" w:rsidP="001D7FA9">
      <w:pPr>
        <w:pStyle w:val="SangriaFrancesaArticulo"/>
      </w:pPr>
    </w:p>
    <w:p w14:paraId="1B3F0E9D" w14:textId="77777777" w:rsidR="001D7FA9" w:rsidRDefault="001D7FA9" w:rsidP="001D7FA9">
      <w:pPr>
        <w:pStyle w:val="TextoNormalNegritaCursivandice"/>
        <w:keepNext/>
      </w:pPr>
      <w:r>
        <w:t>Sentencia del Tribunal Europeo de Derechos Humanos de 23 de junio de 1993 (Ruiz-Mateos c. España)</w:t>
      </w:r>
    </w:p>
    <w:p w14:paraId="6B3AE62D" w14:textId="01037635" w:rsidR="001D7FA9" w:rsidRDefault="001D7FA9" w:rsidP="001D7FA9">
      <w:pPr>
        <w:pStyle w:val="SangriaFrancesaArticulo"/>
      </w:pPr>
      <w:r w:rsidRPr="001D7FA9">
        <w:rPr>
          <w:rStyle w:val="TextoNormalNegritaCaracter"/>
        </w:rPr>
        <w:t>§ 35 a 38.</w:t>
      </w:r>
      <w:r w:rsidRPr="001D7FA9">
        <w:rPr>
          <w:rStyle w:val="TextoNormalCaracter"/>
        </w:rPr>
        <w:t>-</w:t>
      </w:r>
      <w:r>
        <w:t xml:space="preserve"> Auto </w:t>
      </w:r>
      <w:hyperlink w:anchor="AUTO_2025_12" w:history="1">
        <w:r w:rsidRPr="001D7FA9">
          <w:rPr>
            <w:rStyle w:val="TextoNormalCaracter"/>
          </w:rPr>
          <w:t>12/2025</w:t>
        </w:r>
      </w:hyperlink>
      <w:r>
        <w:t>, VP II.</w:t>
      </w:r>
    </w:p>
    <w:p w14:paraId="3CA0990C" w14:textId="781C2817" w:rsidR="001D7FA9" w:rsidRDefault="001D7FA9" w:rsidP="001D7FA9">
      <w:pPr>
        <w:pStyle w:val="SangriaFrancesaArticulo"/>
      </w:pPr>
    </w:p>
    <w:p w14:paraId="11A92C6B" w14:textId="77777777" w:rsidR="001D7FA9" w:rsidRDefault="001D7FA9" w:rsidP="001D7FA9">
      <w:pPr>
        <w:pStyle w:val="TextoNormalNegritaCursivandice"/>
        <w:keepNext/>
      </w:pPr>
      <w:r>
        <w:t>Sentencia del Tribunal Europeo de Derechos Humanos de 25 de agosto de 1993 (Sekanina c. Austria)</w:t>
      </w:r>
    </w:p>
    <w:p w14:paraId="3DBC34E6" w14:textId="0507E4D6" w:rsidR="001D7FA9" w:rsidRDefault="001D7FA9" w:rsidP="001D7FA9">
      <w:pPr>
        <w:pStyle w:val="SangriaFrancesaArticulo"/>
      </w:pPr>
      <w:r w:rsidRPr="001D7FA9">
        <w:rPr>
          <w:rStyle w:val="TextoNormalNegritaCaracter"/>
        </w:rPr>
        <w:t>§ 30.</w:t>
      </w:r>
      <w:r w:rsidRPr="001D7FA9">
        <w:rPr>
          <w:rStyle w:val="TextoNormalCaracter"/>
        </w:rPr>
        <w:t>-</w:t>
      </w:r>
      <w:r>
        <w:t xml:space="preserve"> Sentencia </w:t>
      </w:r>
      <w:hyperlink w:anchor="SENTENCIA_2025_54" w:history="1">
        <w:r w:rsidRPr="001D7FA9">
          <w:rPr>
            <w:rStyle w:val="TextoNormalCaracter"/>
          </w:rPr>
          <w:t>54/2025</w:t>
        </w:r>
      </w:hyperlink>
      <w:r>
        <w:t>, VP.</w:t>
      </w:r>
    </w:p>
    <w:p w14:paraId="52D59C91" w14:textId="67E455CB" w:rsidR="001D7FA9" w:rsidRDefault="001D7FA9" w:rsidP="001D7FA9">
      <w:pPr>
        <w:pStyle w:val="SangriaFrancesaArticulo"/>
      </w:pPr>
    </w:p>
    <w:p w14:paraId="45E5A5CB" w14:textId="77777777" w:rsidR="001D7FA9" w:rsidRDefault="001D7FA9" w:rsidP="001D7FA9">
      <w:pPr>
        <w:pStyle w:val="TextoNormalNegritaCursivandice"/>
        <w:keepNext/>
      </w:pPr>
      <w:r>
        <w:t>Sentencia del Tribunal Europeo de Derechos Humanos de 25 de noviembre de 1993 (Holm c. Suecia)</w:t>
      </w:r>
    </w:p>
    <w:p w14:paraId="1A898CAE" w14:textId="295F2A12"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5" w:history="1">
        <w:r w:rsidRPr="001D7FA9">
          <w:rPr>
            <w:rStyle w:val="TextoNormalCaracter"/>
          </w:rPr>
          <w:t>35/2025</w:t>
        </w:r>
      </w:hyperlink>
      <w:r>
        <w:t>, VP I.</w:t>
      </w:r>
    </w:p>
    <w:p w14:paraId="6A9288AF" w14:textId="12928874" w:rsidR="001D7FA9" w:rsidRDefault="001D7FA9" w:rsidP="001D7FA9">
      <w:pPr>
        <w:pStyle w:val="SangriaFrancesaArticulo"/>
      </w:pPr>
    </w:p>
    <w:p w14:paraId="141DAA24" w14:textId="77777777" w:rsidR="001D7FA9" w:rsidRDefault="001D7FA9" w:rsidP="001D7FA9">
      <w:pPr>
        <w:pStyle w:val="TextoNormalNegritaCursivandice"/>
        <w:keepNext/>
      </w:pPr>
      <w:r>
        <w:t>Sentencia del Tribunal Europeo de Derechos Humanos de 23 de septiembre de 1994 (Jersild c. Dinamarca)</w:t>
      </w:r>
    </w:p>
    <w:p w14:paraId="571E95A5" w14:textId="07EAC9A8" w:rsidR="001D7FA9" w:rsidRDefault="001D7FA9" w:rsidP="001D7FA9">
      <w:pPr>
        <w:pStyle w:val="SangriaFrancesaArticulo"/>
      </w:pPr>
      <w:r w:rsidRPr="001D7FA9">
        <w:rPr>
          <w:rStyle w:val="TextoNormalNegritaCaracter"/>
        </w:rPr>
        <w:t>§ 35.</w:t>
      </w:r>
      <w:r w:rsidRPr="001D7FA9">
        <w:rPr>
          <w:rStyle w:val="TextoNormalCaracter"/>
        </w:rPr>
        <w:t>-</w:t>
      </w:r>
      <w:r>
        <w:t xml:space="preserve"> Sentencia </w:t>
      </w:r>
      <w:hyperlink w:anchor="SENTENCIA_2025_62" w:history="1">
        <w:r w:rsidRPr="001D7FA9">
          <w:rPr>
            <w:rStyle w:val="TextoNormalCaracter"/>
          </w:rPr>
          <w:t>62/2025</w:t>
        </w:r>
      </w:hyperlink>
      <w:r>
        <w:t>, ff. 2, 3.</w:t>
      </w:r>
    </w:p>
    <w:p w14:paraId="285C07E6" w14:textId="6DA7BD85" w:rsidR="001D7FA9" w:rsidRDefault="001D7FA9" w:rsidP="001D7FA9">
      <w:pPr>
        <w:pStyle w:val="SangriaFrancesaArticulo"/>
      </w:pPr>
    </w:p>
    <w:p w14:paraId="5AC97A2D" w14:textId="77777777" w:rsidR="001D7FA9" w:rsidRDefault="001D7FA9" w:rsidP="001D7FA9">
      <w:pPr>
        <w:pStyle w:val="TextoNormalNegritaCursivandice"/>
        <w:keepNext/>
      </w:pPr>
      <w:r>
        <w:t>Sentencia del Tribunal Europeo de Derechos Humanos de 9 de diciembre de 1994 (Ruiz Torija c. España)</w:t>
      </w:r>
    </w:p>
    <w:p w14:paraId="111D327C" w14:textId="6CE7A773" w:rsidR="001D7FA9" w:rsidRDefault="001D7FA9" w:rsidP="001D7FA9">
      <w:pPr>
        <w:pStyle w:val="SangriaFrancesaArticulo"/>
      </w:pPr>
      <w:r w:rsidRPr="001D7FA9">
        <w:rPr>
          <w:rStyle w:val="TextoNormalNegritaCaracter"/>
        </w:rPr>
        <w:t>§ 29-30.</w:t>
      </w:r>
      <w:r w:rsidRPr="001D7FA9">
        <w:rPr>
          <w:rStyle w:val="TextoNormalCaracter"/>
        </w:rPr>
        <w:t>-</w:t>
      </w:r>
      <w:r>
        <w:t xml:space="preserve"> Auto </w:t>
      </w:r>
      <w:hyperlink w:anchor="AUTO_2025_35" w:history="1">
        <w:r w:rsidRPr="001D7FA9">
          <w:rPr>
            <w:rStyle w:val="TextoNormalCaracter"/>
          </w:rPr>
          <w:t>35/2025</w:t>
        </w:r>
      </w:hyperlink>
      <w:r>
        <w:t>, VP II.</w:t>
      </w:r>
    </w:p>
    <w:p w14:paraId="6821984E" w14:textId="6BDCCFCF" w:rsidR="001D7FA9" w:rsidRDefault="001D7FA9" w:rsidP="001D7FA9">
      <w:pPr>
        <w:pStyle w:val="SangriaFrancesaArticulo"/>
      </w:pPr>
    </w:p>
    <w:p w14:paraId="79863A86" w14:textId="77777777" w:rsidR="001D7FA9" w:rsidRDefault="001D7FA9" w:rsidP="001D7FA9">
      <w:pPr>
        <w:pStyle w:val="TextoNormalNegritaCursivandice"/>
        <w:keepNext/>
      </w:pPr>
      <w:r>
        <w:t>Sentencia del Tribunal Europeo de Derechos Humanos de 20 de noviembre de 1995 (Pressos Compania Naviera S.A. c. Bélgica)</w:t>
      </w:r>
    </w:p>
    <w:p w14:paraId="0BC5BD52" w14:textId="24A3797D" w:rsidR="001D7FA9" w:rsidRDefault="001D7FA9" w:rsidP="001D7FA9">
      <w:pPr>
        <w:pStyle w:val="SangriaFrancesaArticulo"/>
      </w:pPr>
      <w:r w:rsidRPr="001D7FA9">
        <w:rPr>
          <w:rStyle w:val="TextoNormalNegritaCaracter"/>
        </w:rPr>
        <w:t>§ 38.</w:t>
      </w:r>
      <w:r w:rsidRPr="001D7FA9">
        <w:rPr>
          <w:rStyle w:val="TextoNormalCaracter"/>
        </w:rPr>
        <w:t>-</w:t>
      </w:r>
      <w:r>
        <w:t xml:space="preserve"> Sentencia </w:t>
      </w:r>
      <w:hyperlink w:anchor="SENTENCIA_2025_25" w:history="1">
        <w:r w:rsidRPr="001D7FA9">
          <w:rPr>
            <w:rStyle w:val="TextoNormalCaracter"/>
          </w:rPr>
          <w:t>25/2025</w:t>
        </w:r>
      </w:hyperlink>
      <w:r>
        <w:t>, f. 5.</w:t>
      </w:r>
    </w:p>
    <w:p w14:paraId="273E2AFD" w14:textId="1703E71B" w:rsidR="001D7FA9" w:rsidRDefault="001D7FA9" w:rsidP="001D7FA9">
      <w:pPr>
        <w:pStyle w:val="SangriaFrancesaArticulo"/>
      </w:pPr>
    </w:p>
    <w:p w14:paraId="7E34D062" w14:textId="77777777" w:rsidR="001D7FA9" w:rsidRDefault="001D7FA9" w:rsidP="001D7FA9">
      <w:pPr>
        <w:pStyle w:val="TextoNormalNegritaCursivandice"/>
        <w:keepNext/>
      </w:pPr>
      <w:r>
        <w:t>Sentencia del Tribunal Europeo de Derechos Humanos de 16 de septiembre de 1996 (Süßmann c. Alemania)</w:t>
      </w:r>
    </w:p>
    <w:p w14:paraId="14165962" w14:textId="20CAA1D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12" w:history="1">
        <w:r w:rsidRPr="001D7FA9">
          <w:rPr>
            <w:rStyle w:val="TextoNormalCaracter"/>
          </w:rPr>
          <w:t>12/2025</w:t>
        </w:r>
      </w:hyperlink>
      <w:r>
        <w:t>, VP II.</w:t>
      </w:r>
    </w:p>
    <w:p w14:paraId="5580907A" w14:textId="403388DD" w:rsidR="001D7FA9" w:rsidRDefault="001D7FA9" w:rsidP="001D7FA9">
      <w:pPr>
        <w:pStyle w:val="SangriaFrancesaArticulo"/>
      </w:pPr>
    </w:p>
    <w:p w14:paraId="41DAFBD9" w14:textId="77777777" w:rsidR="001D7FA9" w:rsidRDefault="001D7FA9" w:rsidP="001D7FA9">
      <w:pPr>
        <w:pStyle w:val="TextoNormalNegritaCursivandice"/>
        <w:keepNext/>
      </w:pPr>
      <w:r>
        <w:t>Sentencia del Tribunal Europeo de Derechos Humanos de 24 de febrero de 1997 (De Haes y Gijsels c. Bélgica)</w:t>
      </w:r>
    </w:p>
    <w:p w14:paraId="719E240D" w14:textId="4CAFC973" w:rsidR="001D7FA9" w:rsidRDefault="001D7FA9" w:rsidP="001D7FA9">
      <w:pPr>
        <w:pStyle w:val="SangriaFrancesaArticulo"/>
      </w:pPr>
      <w:r w:rsidRPr="001D7FA9">
        <w:rPr>
          <w:rStyle w:val="TextoNormalNegritaCaracter"/>
        </w:rPr>
        <w:t>§ 49.</w:t>
      </w:r>
      <w:r w:rsidRPr="001D7FA9">
        <w:rPr>
          <w:rStyle w:val="TextoNormalCaracter"/>
        </w:rPr>
        <w:t>-</w:t>
      </w:r>
      <w:r>
        <w:t xml:space="preserve"> Sentencia </w:t>
      </w:r>
      <w:hyperlink w:anchor="SENTENCIA_2025_117" w:history="1">
        <w:r w:rsidRPr="001D7FA9">
          <w:rPr>
            <w:rStyle w:val="TextoNormalCaracter"/>
          </w:rPr>
          <w:t>117/2025</w:t>
        </w:r>
      </w:hyperlink>
      <w:r>
        <w:t>, f. 4.</w:t>
      </w:r>
    </w:p>
    <w:p w14:paraId="5DD37A22" w14:textId="15016576" w:rsidR="001D7FA9" w:rsidRDefault="001D7FA9" w:rsidP="001D7FA9">
      <w:pPr>
        <w:pStyle w:val="SangriaFrancesaArticulo"/>
      </w:pPr>
    </w:p>
    <w:p w14:paraId="2B34C375" w14:textId="77777777" w:rsidR="001D7FA9" w:rsidRDefault="001D7FA9" w:rsidP="001D7FA9">
      <w:pPr>
        <w:pStyle w:val="TextoNormalNegritaCursivandice"/>
        <w:keepNext/>
      </w:pPr>
      <w:r>
        <w:t>Sentencia del Tribunal Europeo de Derechos Humanos de 1 de julio de 1997 (Pammel c. Alemania)</w:t>
      </w:r>
    </w:p>
    <w:p w14:paraId="6BCB9709" w14:textId="4498D483" w:rsidR="001D7FA9" w:rsidRDefault="001D7FA9" w:rsidP="001D7FA9">
      <w:pPr>
        <w:pStyle w:val="SangriaFrancesaArticulo"/>
      </w:pPr>
      <w:r w:rsidRPr="001D7FA9">
        <w:rPr>
          <w:rStyle w:val="TextoNormalNegritaCaracter"/>
        </w:rPr>
        <w:t>§ 48 a 58.</w:t>
      </w:r>
      <w:r w:rsidRPr="001D7FA9">
        <w:rPr>
          <w:rStyle w:val="TextoNormalCaracter"/>
        </w:rPr>
        <w:t>-</w:t>
      </w:r>
      <w:r>
        <w:t xml:space="preserve"> Auto </w:t>
      </w:r>
      <w:hyperlink w:anchor="AUTO_2025_12" w:history="1">
        <w:r w:rsidRPr="001D7FA9">
          <w:rPr>
            <w:rStyle w:val="TextoNormalCaracter"/>
          </w:rPr>
          <w:t>12/2025</w:t>
        </w:r>
      </w:hyperlink>
      <w:r>
        <w:t>, VP II.</w:t>
      </w:r>
    </w:p>
    <w:p w14:paraId="531F8D24" w14:textId="7C7691FD" w:rsidR="001D7FA9" w:rsidRDefault="001D7FA9" w:rsidP="001D7FA9">
      <w:pPr>
        <w:pStyle w:val="SangriaFrancesaArticulo"/>
      </w:pPr>
    </w:p>
    <w:p w14:paraId="7AB667C6" w14:textId="77777777" w:rsidR="001D7FA9" w:rsidRDefault="001D7FA9" w:rsidP="001D7FA9">
      <w:pPr>
        <w:pStyle w:val="TextoNormalNegritaCursivandice"/>
        <w:keepNext/>
      </w:pPr>
      <w:r>
        <w:t>Sentencia del Tribunal Europeo de Derechos Humanos de 20 de mayo de 1998 (Gautrin y otros c. Francia)</w:t>
      </w:r>
    </w:p>
    <w:p w14:paraId="3F94056E" w14:textId="751A5BF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5" w:history="1">
        <w:r w:rsidRPr="001D7FA9">
          <w:rPr>
            <w:rStyle w:val="TextoNormalCaracter"/>
          </w:rPr>
          <w:t>35/2025</w:t>
        </w:r>
      </w:hyperlink>
      <w:r>
        <w:t>, VP I.</w:t>
      </w:r>
    </w:p>
    <w:p w14:paraId="279C304C" w14:textId="2DF588F6" w:rsidR="001D7FA9" w:rsidRDefault="001D7FA9" w:rsidP="001D7FA9">
      <w:pPr>
        <w:pStyle w:val="SangriaFrancesaArticulo"/>
      </w:pPr>
    </w:p>
    <w:p w14:paraId="452BC255" w14:textId="77777777" w:rsidR="001D7FA9" w:rsidRDefault="001D7FA9" w:rsidP="001D7FA9">
      <w:pPr>
        <w:pStyle w:val="TextoNormalNegritaCursivandice"/>
        <w:keepNext/>
      </w:pPr>
      <w:r>
        <w:t>Sentencia del Tribunal Europeo de Derechos Humanos de 2 de septiembre de 1998 (Dujardin y otros c. Francia)</w:t>
      </w:r>
    </w:p>
    <w:p w14:paraId="740E05FC" w14:textId="25B3DF7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1CC2FAB5" w14:textId="7F18C36C" w:rsidR="001D7FA9" w:rsidRDefault="001D7FA9" w:rsidP="001D7FA9">
      <w:pPr>
        <w:pStyle w:val="SangriaFrancesaArticulo"/>
      </w:pPr>
    </w:p>
    <w:p w14:paraId="356676B7" w14:textId="77777777" w:rsidR="001D7FA9" w:rsidRDefault="001D7FA9" w:rsidP="001D7FA9">
      <w:pPr>
        <w:pStyle w:val="TextoNormalNegritaCursivandice"/>
        <w:keepNext/>
      </w:pPr>
      <w:r>
        <w:t>Sentencia del Tribunal Europeo de Derechos Humanos de 28 de octubre de 1998 (Osman c. Reino Unido)</w:t>
      </w:r>
    </w:p>
    <w:p w14:paraId="2EA498B5" w14:textId="2BC58B81" w:rsidR="001D7FA9" w:rsidRDefault="001D7FA9" w:rsidP="001D7FA9">
      <w:pPr>
        <w:pStyle w:val="SangriaFrancesaArticulo"/>
      </w:pPr>
      <w:r w:rsidRPr="001D7FA9">
        <w:rPr>
          <w:rStyle w:val="TextoNormalNegritaCaracter"/>
        </w:rPr>
        <w:t>§ 115.</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10198AAE" w14:textId="3EE9E936" w:rsidR="001D7FA9" w:rsidRDefault="001D7FA9" w:rsidP="001D7FA9">
      <w:pPr>
        <w:pStyle w:val="SangriaFrancesaArticulo"/>
      </w:pPr>
    </w:p>
    <w:p w14:paraId="1E94D4D5" w14:textId="77777777" w:rsidR="001D7FA9" w:rsidRDefault="001D7FA9" w:rsidP="001D7FA9">
      <w:pPr>
        <w:pStyle w:val="TextoNormalNegritaCursivandice"/>
        <w:keepNext/>
      </w:pPr>
      <w:r>
        <w:t>Sentencia del Tribunal Europeo de Derechos Humanos de 21 de enero de 1999 (García Ruiz c. España)</w:t>
      </w:r>
    </w:p>
    <w:p w14:paraId="6AD22B42" w14:textId="12C701B5" w:rsidR="001D7FA9" w:rsidRDefault="001D7FA9" w:rsidP="001D7FA9">
      <w:pPr>
        <w:pStyle w:val="SangriaFrancesaArticulo"/>
      </w:pPr>
      <w:r w:rsidRPr="001D7FA9">
        <w:rPr>
          <w:rStyle w:val="TextoNormalNegritaCaracter"/>
        </w:rPr>
        <w:t>§ 26.</w:t>
      </w:r>
      <w:r w:rsidRPr="001D7FA9">
        <w:rPr>
          <w:rStyle w:val="TextoNormalCaracter"/>
        </w:rPr>
        <w:t>-</w:t>
      </w:r>
      <w:r>
        <w:t xml:space="preserve"> Auto </w:t>
      </w:r>
      <w:hyperlink w:anchor="AUTO_2025_35" w:history="1">
        <w:r w:rsidRPr="001D7FA9">
          <w:rPr>
            <w:rStyle w:val="TextoNormalCaracter"/>
          </w:rPr>
          <w:t>35/2025</w:t>
        </w:r>
      </w:hyperlink>
      <w:r>
        <w:t>, VP II.</w:t>
      </w:r>
    </w:p>
    <w:p w14:paraId="2C62F8A2" w14:textId="6BE928E1" w:rsidR="001D7FA9" w:rsidRDefault="001D7FA9" w:rsidP="001D7FA9">
      <w:pPr>
        <w:pStyle w:val="SangriaFrancesaArticulo"/>
      </w:pPr>
    </w:p>
    <w:p w14:paraId="28B577D9" w14:textId="77777777" w:rsidR="001D7FA9" w:rsidRDefault="001D7FA9" w:rsidP="001D7FA9">
      <w:pPr>
        <w:pStyle w:val="TextoNormalNegritaCursivandice"/>
        <w:keepNext/>
      </w:pPr>
      <w:r>
        <w:t>Sentencia del Tribunal Europeo de Derechos Humanos de 29 de abril de 1999 (Chassagnou y otros c. Francia)</w:t>
      </w:r>
    </w:p>
    <w:p w14:paraId="2FD106F3" w14:textId="25F3E7C8" w:rsidR="001D7FA9" w:rsidRDefault="001D7FA9" w:rsidP="001D7FA9">
      <w:pPr>
        <w:pStyle w:val="SangriaFrancesaArticulo"/>
      </w:pPr>
      <w:r w:rsidRPr="001D7FA9">
        <w:rPr>
          <w:rStyle w:val="TextoNormalNegritaCaracter"/>
        </w:rPr>
        <w:t>§ 75.</w:t>
      </w:r>
      <w:r w:rsidRPr="001D7FA9">
        <w:rPr>
          <w:rStyle w:val="TextoNormalCaracter"/>
        </w:rPr>
        <w:t>-</w:t>
      </w:r>
      <w:r>
        <w:t xml:space="preserve"> Sentencia </w:t>
      </w:r>
      <w:hyperlink w:anchor="SENTENCIA_2025_25" w:history="1">
        <w:r w:rsidRPr="001D7FA9">
          <w:rPr>
            <w:rStyle w:val="TextoNormalCaracter"/>
          </w:rPr>
          <w:t>25/2025</w:t>
        </w:r>
      </w:hyperlink>
      <w:r>
        <w:t>, f. 5.</w:t>
      </w:r>
    </w:p>
    <w:p w14:paraId="6DC03A9B" w14:textId="02952C4C" w:rsidR="001D7FA9" w:rsidRDefault="001D7FA9" w:rsidP="001D7FA9">
      <w:pPr>
        <w:pStyle w:val="SangriaFrancesaArticulo"/>
      </w:pPr>
    </w:p>
    <w:p w14:paraId="473F02E7" w14:textId="77777777" w:rsidR="001D7FA9" w:rsidRDefault="001D7FA9" w:rsidP="001D7FA9">
      <w:pPr>
        <w:pStyle w:val="TextoNormalNegritaCursivandice"/>
        <w:keepNext/>
      </w:pPr>
      <w:r>
        <w:t>Sentencia del Tribunal Europeo de Derechos Humanos de 20 de mayo de 1999 (Rekvényi c. Hungría)</w:t>
      </w:r>
    </w:p>
    <w:p w14:paraId="6EF902C8" w14:textId="3A1D93D2" w:rsidR="001D7FA9" w:rsidRDefault="001D7FA9" w:rsidP="001D7FA9">
      <w:pPr>
        <w:pStyle w:val="SangriaFrancesaArticulo"/>
      </w:pPr>
      <w:r w:rsidRPr="001D7FA9">
        <w:rPr>
          <w:rStyle w:val="TextoNormalNegritaCaracter"/>
        </w:rPr>
        <w:t>§ 58.</w:t>
      </w:r>
      <w:r w:rsidRPr="001D7FA9">
        <w:rPr>
          <w:rStyle w:val="TextoNormalCaracter"/>
        </w:rPr>
        <w:t>-</w:t>
      </w:r>
      <w:r>
        <w:t xml:space="preserve"> Sentencia </w:t>
      </w:r>
      <w:hyperlink w:anchor="SENTENCIA_2025_95" w:history="1">
        <w:r w:rsidRPr="001D7FA9">
          <w:rPr>
            <w:rStyle w:val="TextoNormalCaracter"/>
          </w:rPr>
          <w:t>95/2025</w:t>
        </w:r>
      </w:hyperlink>
      <w:r>
        <w:t>, f. 3.</w:t>
      </w:r>
    </w:p>
    <w:p w14:paraId="7AD0C7F7" w14:textId="3694366F" w:rsidR="001D7FA9" w:rsidRDefault="001D7FA9" w:rsidP="001D7FA9">
      <w:pPr>
        <w:pStyle w:val="SangriaFrancesaArticulo"/>
      </w:pPr>
    </w:p>
    <w:p w14:paraId="35D8E405" w14:textId="77777777" w:rsidR="001D7FA9" w:rsidRDefault="001D7FA9" w:rsidP="001D7FA9">
      <w:pPr>
        <w:pStyle w:val="TextoNormalNegritaCursivandice"/>
        <w:keepNext/>
      </w:pPr>
      <w:r>
        <w:t>Sentencia del Tribunal Europeo de Derechos Humanos de 8 de julio de 1999 (Tanrikulu c. Turkey)</w:t>
      </w:r>
    </w:p>
    <w:p w14:paraId="526D28D2" w14:textId="62EA469A" w:rsidR="001D7FA9" w:rsidRDefault="001D7FA9" w:rsidP="001D7FA9">
      <w:pPr>
        <w:pStyle w:val="SangriaFrancesaArticulo"/>
      </w:pPr>
      <w:r w:rsidRPr="001D7FA9">
        <w:rPr>
          <w:rStyle w:val="TextoNormalNegritaCaracter"/>
        </w:rPr>
        <w:t>§ 101 a 110.</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78CD27CB" w14:textId="717C8E54" w:rsidR="001D7FA9" w:rsidRDefault="001D7FA9" w:rsidP="001D7FA9">
      <w:pPr>
        <w:pStyle w:val="SangriaFrancesaArticulo"/>
      </w:pPr>
    </w:p>
    <w:p w14:paraId="0F2983D4" w14:textId="77777777" w:rsidR="001D7FA9" w:rsidRDefault="001D7FA9" w:rsidP="001D7FA9">
      <w:pPr>
        <w:pStyle w:val="TextoNormalNegritaCursivandice"/>
        <w:keepNext/>
      </w:pPr>
      <w:r>
        <w:t>Sentencia del Tribunal Europeo de Derechos Humanos de 28 de octubre de 1999 (Zielinski y Pradal y González y otros c. Francia)</w:t>
      </w:r>
    </w:p>
    <w:p w14:paraId="0FEF6DB6" w14:textId="6A9AD70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DC52DB0" w14:textId="707692EC" w:rsidR="001D7FA9" w:rsidRDefault="001D7FA9" w:rsidP="001D7FA9">
      <w:pPr>
        <w:pStyle w:val="SangriaFrancesaArticulo"/>
      </w:pPr>
    </w:p>
    <w:p w14:paraId="47CE547E" w14:textId="77777777" w:rsidR="001D7FA9" w:rsidRDefault="001D7FA9" w:rsidP="001D7FA9">
      <w:pPr>
        <w:pStyle w:val="TextoNormalNegritaCursivandice"/>
        <w:keepNext/>
      </w:pPr>
      <w:r>
        <w:t>Sentencia del Tribunal Europeo de Derechos Humanos de 5 de enero de 2000 (Beyeler c. Italia)</w:t>
      </w:r>
    </w:p>
    <w:p w14:paraId="2C554FD8" w14:textId="3D541CA3" w:rsidR="001D7FA9" w:rsidRDefault="001D7FA9" w:rsidP="001D7FA9">
      <w:pPr>
        <w:pStyle w:val="SangriaFrancesaArticulo"/>
      </w:pPr>
      <w:r w:rsidRPr="001D7FA9">
        <w:rPr>
          <w:rStyle w:val="TextoNormalNegritaCaracter"/>
        </w:rPr>
        <w:t>§ 114.</w:t>
      </w:r>
      <w:r w:rsidRPr="001D7FA9">
        <w:rPr>
          <w:rStyle w:val="TextoNormalCaracter"/>
        </w:rPr>
        <w:t>-</w:t>
      </w:r>
      <w:r>
        <w:t xml:space="preserve"> Sentencia </w:t>
      </w:r>
      <w:hyperlink w:anchor="SENTENCIA_2025_26" w:history="1">
        <w:r w:rsidRPr="001D7FA9">
          <w:rPr>
            <w:rStyle w:val="TextoNormalCaracter"/>
          </w:rPr>
          <w:t>26/2025</w:t>
        </w:r>
      </w:hyperlink>
      <w:r>
        <w:t>, f. 5.</w:t>
      </w:r>
    </w:p>
    <w:p w14:paraId="0C575CE0" w14:textId="0E92AF21" w:rsidR="001D7FA9" w:rsidRDefault="001D7FA9" w:rsidP="001D7FA9">
      <w:pPr>
        <w:pStyle w:val="SangriaFrancesaArticulo"/>
      </w:pPr>
    </w:p>
    <w:p w14:paraId="0342F216" w14:textId="77777777" w:rsidR="001D7FA9" w:rsidRDefault="001D7FA9" w:rsidP="001D7FA9">
      <w:pPr>
        <w:pStyle w:val="TextoNormalNegritaCursivandice"/>
        <w:keepNext/>
      </w:pPr>
      <w:r>
        <w:t>Sentencia del Tribunal Europeo de Derechos Humanos de 29 de febrero de 2000 (Fuentes Bobo c. España)</w:t>
      </w:r>
    </w:p>
    <w:p w14:paraId="732CBB2F" w14:textId="171BA616" w:rsidR="001D7FA9" w:rsidRDefault="001D7FA9" w:rsidP="001D7FA9">
      <w:pPr>
        <w:pStyle w:val="SangriaFrancesaArticulo"/>
      </w:pPr>
      <w:r w:rsidRPr="001D7FA9">
        <w:rPr>
          <w:rStyle w:val="TextoNormalNegritaCaracter"/>
        </w:rPr>
        <w:t>§ 43.</w:t>
      </w:r>
      <w:r w:rsidRPr="001D7FA9">
        <w:rPr>
          <w:rStyle w:val="TextoNormalCaracter"/>
        </w:rPr>
        <w:t>-</w:t>
      </w:r>
      <w:r>
        <w:t xml:space="preserve"> Sentencia </w:t>
      </w:r>
      <w:hyperlink w:anchor="SENTENCIA_2025_100" w:history="1">
        <w:r w:rsidRPr="001D7FA9">
          <w:rPr>
            <w:rStyle w:val="TextoNormalCaracter"/>
          </w:rPr>
          <w:t>100/2025</w:t>
        </w:r>
      </w:hyperlink>
      <w:r>
        <w:t>, f. 4.</w:t>
      </w:r>
    </w:p>
    <w:p w14:paraId="5C38B8CA" w14:textId="0716078F" w:rsidR="001D7FA9" w:rsidRDefault="001D7FA9" w:rsidP="001D7FA9">
      <w:pPr>
        <w:pStyle w:val="SangriaFrancesaArticulo"/>
      </w:pPr>
    </w:p>
    <w:p w14:paraId="04210D2A" w14:textId="77777777" w:rsidR="001D7FA9" w:rsidRDefault="001D7FA9" w:rsidP="001D7FA9">
      <w:pPr>
        <w:pStyle w:val="TextoNormalNegritaCursivandice"/>
        <w:keepNext/>
      </w:pPr>
      <w:r>
        <w:t>Sentencia del Tribunal Europeo de Derechos Humanos de 21 de marzo de 2000 (Rushiti c. Austria)</w:t>
      </w:r>
    </w:p>
    <w:p w14:paraId="08E59108" w14:textId="01A474D4" w:rsidR="001D7FA9" w:rsidRDefault="001D7FA9" w:rsidP="001D7FA9">
      <w:pPr>
        <w:pStyle w:val="SangriaFrancesaArticulo"/>
      </w:pPr>
      <w:r w:rsidRPr="001D7FA9">
        <w:rPr>
          <w:rStyle w:val="TextoNormalNegritaCaracter"/>
        </w:rPr>
        <w:t>§ 31.</w:t>
      </w:r>
      <w:r w:rsidRPr="001D7FA9">
        <w:rPr>
          <w:rStyle w:val="TextoNormalCaracter"/>
        </w:rPr>
        <w:t>-</w:t>
      </w:r>
      <w:r>
        <w:t xml:space="preserve"> Sentencia </w:t>
      </w:r>
      <w:hyperlink w:anchor="SENTENCIA_2025_54" w:history="1">
        <w:r w:rsidRPr="001D7FA9">
          <w:rPr>
            <w:rStyle w:val="TextoNormalCaracter"/>
          </w:rPr>
          <w:t>54/2025</w:t>
        </w:r>
      </w:hyperlink>
      <w:r>
        <w:t>, VP.</w:t>
      </w:r>
    </w:p>
    <w:p w14:paraId="18A2D042" w14:textId="391C2C8B" w:rsidR="001D7FA9" w:rsidRDefault="001D7FA9" w:rsidP="001D7FA9">
      <w:pPr>
        <w:pStyle w:val="SangriaFrancesaArticulo"/>
      </w:pPr>
    </w:p>
    <w:p w14:paraId="7D9023E8" w14:textId="77777777" w:rsidR="001D7FA9" w:rsidRDefault="001D7FA9" w:rsidP="001D7FA9">
      <w:pPr>
        <w:pStyle w:val="TextoNormalNegritaCursivandice"/>
        <w:keepNext/>
      </w:pPr>
      <w:r>
        <w:t>Sentencia del Tribunal Europeo de Derechos Humanos de 18 de mayo de 2000 (Velikova c. Bulgaria)</w:t>
      </w:r>
    </w:p>
    <w:p w14:paraId="40D8EEEA" w14:textId="646048E2" w:rsidR="001D7FA9" w:rsidRDefault="001D7FA9" w:rsidP="001D7FA9">
      <w:pPr>
        <w:pStyle w:val="SangriaFrancesaArticulo"/>
      </w:pPr>
      <w:r w:rsidRPr="001D7FA9">
        <w:rPr>
          <w:rStyle w:val="TextoNormalNegritaCaracter"/>
        </w:rPr>
        <w:t>§ 80.</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2F9415CC" w14:textId="5F14ED1A" w:rsidR="001D7FA9" w:rsidRDefault="001D7FA9" w:rsidP="001D7FA9">
      <w:pPr>
        <w:pStyle w:val="SangriaFrancesaArticulo"/>
      </w:pPr>
    </w:p>
    <w:p w14:paraId="6397210A" w14:textId="77777777" w:rsidR="001D7FA9" w:rsidRDefault="001D7FA9" w:rsidP="001D7FA9">
      <w:pPr>
        <w:pStyle w:val="TextoNormalNegritaCursivandice"/>
        <w:keepNext/>
      </w:pPr>
      <w:r>
        <w:t>Sentencia del Tribunal Europeo de Derechos Humanos de 28 de septiembre de 2000 (Lopes Gomes da Silva c. Portugal)</w:t>
      </w:r>
    </w:p>
    <w:p w14:paraId="294B39CB" w14:textId="3B9D82F6" w:rsidR="001D7FA9" w:rsidRDefault="001D7FA9" w:rsidP="001D7FA9">
      <w:pPr>
        <w:pStyle w:val="SangriaFrancesaArticulo"/>
      </w:pPr>
      <w:r w:rsidRPr="001D7FA9">
        <w:rPr>
          <w:rStyle w:val="TextoNormalNegritaCaracter"/>
        </w:rPr>
        <w:t>§ 30.</w:t>
      </w:r>
      <w:r w:rsidRPr="001D7FA9">
        <w:rPr>
          <w:rStyle w:val="TextoNormalCaracter"/>
        </w:rPr>
        <w:t>-</w:t>
      </w:r>
      <w:r>
        <w:t xml:space="preserve"> Sentencia </w:t>
      </w:r>
      <w:hyperlink w:anchor="SENTENCIA_2025_100" w:history="1">
        <w:r w:rsidRPr="001D7FA9">
          <w:rPr>
            <w:rStyle w:val="TextoNormalCaracter"/>
          </w:rPr>
          <w:t>100/2025</w:t>
        </w:r>
      </w:hyperlink>
      <w:r>
        <w:t>, f. 4.</w:t>
      </w:r>
    </w:p>
    <w:p w14:paraId="7E723AD9" w14:textId="416F079B" w:rsidR="001D7FA9" w:rsidRDefault="001D7FA9" w:rsidP="001D7FA9">
      <w:pPr>
        <w:pStyle w:val="SangriaFrancesaArticulo"/>
      </w:pPr>
      <w:r w:rsidRPr="001D7FA9">
        <w:rPr>
          <w:rStyle w:val="TextoNormalNegritaCaracter"/>
        </w:rPr>
        <w:t>§ 34.</w:t>
      </w:r>
      <w:r w:rsidRPr="001D7FA9">
        <w:rPr>
          <w:rStyle w:val="TextoNormalCaracter"/>
        </w:rPr>
        <w:t>-</w:t>
      </w:r>
      <w:r>
        <w:t xml:space="preserve"> Sentencia </w:t>
      </w:r>
      <w:hyperlink w:anchor="SENTENCIA_2025_100" w:history="1">
        <w:r w:rsidRPr="001D7FA9">
          <w:rPr>
            <w:rStyle w:val="TextoNormalCaracter"/>
          </w:rPr>
          <w:t>100/2025</w:t>
        </w:r>
      </w:hyperlink>
      <w:r>
        <w:t>, f. 4.</w:t>
      </w:r>
    </w:p>
    <w:p w14:paraId="6F783804" w14:textId="7209D661" w:rsidR="001D7FA9" w:rsidRDefault="001D7FA9" w:rsidP="001D7FA9">
      <w:pPr>
        <w:pStyle w:val="SangriaFrancesaArticulo"/>
      </w:pPr>
    </w:p>
    <w:p w14:paraId="346F243F" w14:textId="77777777" w:rsidR="001D7FA9" w:rsidRDefault="001D7FA9" w:rsidP="001D7FA9">
      <w:pPr>
        <w:pStyle w:val="TextoNormalNegritaCursivandice"/>
        <w:keepNext/>
      </w:pPr>
      <w:r>
        <w:t>Sentencia del Tribunal Europeo de Derechos Humanos de 23 de noviembre de 2000 (ex Rey de Grecia y otros c. Grecia)</w:t>
      </w:r>
    </w:p>
    <w:p w14:paraId="0BF19D12" w14:textId="24B33944" w:rsidR="001D7FA9" w:rsidRDefault="001D7FA9" w:rsidP="001D7FA9">
      <w:pPr>
        <w:pStyle w:val="SangriaFrancesaArticulo"/>
      </w:pPr>
      <w:r w:rsidRPr="001D7FA9">
        <w:rPr>
          <w:rStyle w:val="TextoNormalNegritaCaracter"/>
        </w:rPr>
        <w:t>§ 87.</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52F89B11" w14:textId="2661AB33" w:rsidR="001D7FA9" w:rsidRDefault="001D7FA9" w:rsidP="001D7FA9">
      <w:pPr>
        <w:pStyle w:val="SangriaFrancesaArticulo"/>
      </w:pPr>
    </w:p>
    <w:p w14:paraId="7687F6E7" w14:textId="77777777" w:rsidR="001D7FA9" w:rsidRDefault="001D7FA9" w:rsidP="001D7FA9">
      <w:pPr>
        <w:pStyle w:val="TextoNormalNegritaCursivandice"/>
        <w:keepNext/>
      </w:pPr>
      <w:r>
        <w:t>Sentencia del Tribunal Europeo de Derechos Humanos de 10 de abril de 2001 (Tanli c. Turquía)</w:t>
      </w:r>
    </w:p>
    <w:p w14:paraId="184E015F" w14:textId="4A6CEA40" w:rsidR="001D7FA9" w:rsidRDefault="001D7FA9" w:rsidP="001D7FA9">
      <w:pPr>
        <w:pStyle w:val="SangriaFrancesaArticulo"/>
      </w:pPr>
      <w:r w:rsidRPr="001D7FA9">
        <w:rPr>
          <w:rStyle w:val="TextoNormalNegritaCaracter"/>
        </w:rPr>
        <w:t>§ 152.</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059800D0" w14:textId="3363D779" w:rsidR="001D7FA9" w:rsidRDefault="001D7FA9" w:rsidP="001D7FA9">
      <w:pPr>
        <w:pStyle w:val="SangriaFrancesaArticulo"/>
      </w:pPr>
    </w:p>
    <w:p w14:paraId="75204508" w14:textId="77777777" w:rsidR="001D7FA9" w:rsidRDefault="001D7FA9" w:rsidP="001D7FA9">
      <w:pPr>
        <w:pStyle w:val="TextoNormalNegritaCursivandice"/>
        <w:keepNext/>
      </w:pPr>
      <w:r>
        <w:t>Sentencia del Tribunal Europeo de Derechos Humanos de 5 de julio de 2001 (Erdem c. Alemania)</w:t>
      </w:r>
    </w:p>
    <w:p w14:paraId="3E4321D8" w14:textId="4B244C4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8" w:history="1">
        <w:r w:rsidRPr="001D7FA9">
          <w:rPr>
            <w:rStyle w:val="TextoNormalCaracter"/>
          </w:rPr>
          <w:t>28/2025</w:t>
        </w:r>
      </w:hyperlink>
      <w:r>
        <w:t>, VP.</w:t>
      </w:r>
    </w:p>
    <w:p w14:paraId="143EC3B8" w14:textId="067FE7F0" w:rsidR="001D7FA9" w:rsidRDefault="001D7FA9" w:rsidP="001D7FA9">
      <w:pPr>
        <w:pStyle w:val="SangriaFrancesaArticulo"/>
      </w:pPr>
      <w:r w:rsidRPr="001D7FA9">
        <w:rPr>
          <w:rStyle w:val="TextoNormalNegritaCaracter"/>
        </w:rPr>
        <w:t>§ 65.</w:t>
      </w:r>
      <w:r w:rsidRPr="001D7FA9">
        <w:rPr>
          <w:rStyle w:val="TextoNormalCaracter"/>
        </w:rPr>
        <w:t>-</w:t>
      </w:r>
      <w:r>
        <w:t xml:space="preserve"> Auto </w:t>
      </w:r>
      <w:hyperlink w:anchor="AUTO_2025_28" w:history="1">
        <w:r w:rsidRPr="001D7FA9">
          <w:rPr>
            <w:rStyle w:val="TextoNormalCaracter"/>
          </w:rPr>
          <w:t>28/2025</w:t>
        </w:r>
      </w:hyperlink>
      <w:r>
        <w:t>, f. 3.</w:t>
      </w:r>
    </w:p>
    <w:p w14:paraId="1809B308" w14:textId="4725E7EA" w:rsidR="001D7FA9" w:rsidRDefault="001D7FA9" w:rsidP="001D7FA9">
      <w:pPr>
        <w:pStyle w:val="SangriaFrancesaArticulo"/>
      </w:pPr>
    </w:p>
    <w:p w14:paraId="1BC4F7FD" w14:textId="77777777" w:rsidR="001D7FA9" w:rsidRDefault="001D7FA9" w:rsidP="001D7FA9">
      <w:pPr>
        <w:pStyle w:val="TextoNormalNegritaCursivandice"/>
        <w:keepNext/>
      </w:pPr>
      <w:r>
        <w:t>Sentencia del Tribunal Europeo de Derechos Humanos de 2 de octubre de 2001 (Stankov y la United Macedonian Organisation Ilinden c. Bulgaria)</w:t>
      </w:r>
    </w:p>
    <w:p w14:paraId="5177A8DA" w14:textId="02BC0883" w:rsidR="001D7FA9" w:rsidRDefault="001D7FA9" w:rsidP="001D7FA9">
      <w:pPr>
        <w:pStyle w:val="SangriaFrancesaArticulo"/>
      </w:pPr>
      <w:r w:rsidRPr="001D7FA9">
        <w:rPr>
          <w:rStyle w:val="TextoNormalNegritaCaracter"/>
        </w:rPr>
        <w:t>§ 85.</w:t>
      </w:r>
      <w:r w:rsidRPr="001D7FA9">
        <w:rPr>
          <w:rStyle w:val="TextoNormalCaracter"/>
        </w:rPr>
        <w:t>-</w:t>
      </w:r>
      <w:r>
        <w:t xml:space="preserve"> Sentencia </w:t>
      </w:r>
      <w:hyperlink w:anchor="SENTENCIA_2025_95" w:history="1">
        <w:r w:rsidRPr="001D7FA9">
          <w:rPr>
            <w:rStyle w:val="TextoNormalCaracter"/>
          </w:rPr>
          <w:t>95/2025</w:t>
        </w:r>
      </w:hyperlink>
      <w:r>
        <w:t>, f. 3.</w:t>
      </w:r>
    </w:p>
    <w:p w14:paraId="02548E0D" w14:textId="00DA4AE3" w:rsidR="001D7FA9" w:rsidRDefault="001D7FA9" w:rsidP="001D7FA9">
      <w:pPr>
        <w:pStyle w:val="SangriaFrancesaArticulo"/>
      </w:pPr>
    </w:p>
    <w:p w14:paraId="2E894BD7" w14:textId="77777777" w:rsidR="001D7FA9" w:rsidRDefault="001D7FA9" w:rsidP="001D7FA9">
      <w:pPr>
        <w:pStyle w:val="TextoNormalNegritaCursivandice"/>
        <w:keepNext/>
      </w:pPr>
      <w:r>
        <w:t>Sentencia del Tribunal Europeo de Derechos Humanos de 29 de abril de 2002 (Pretty c. Reino Unido)</w:t>
      </w:r>
    </w:p>
    <w:p w14:paraId="6EDB7A3E" w14:textId="098AA779" w:rsidR="001D7FA9" w:rsidRDefault="001D7FA9" w:rsidP="001D7FA9">
      <w:pPr>
        <w:pStyle w:val="SangriaFrancesaArticulo"/>
      </w:pPr>
      <w:r w:rsidRPr="001D7FA9">
        <w:rPr>
          <w:rStyle w:val="TextoNormalNegritaCaracter"/>
        </w:rPr>
        <w:t>§ 63.</w:t>
      </w:r>
      <w:r w:rsidRPr="001D7FA9">
        <w:rPr>
          <w:rStyle w:val="TextoNormalCaracter"/>
        </w:rPr>
        <w:t>-</w:t>
      </w:r>
      <w:r>
        <w:t xml:space="preserve"> Sentencia </w:t>
      </w:r>
      <w:hyperlink w:anchor="SENTENCIA_2025_95" w:history="1">
        <w:r w:rsidRPr="001D7FA9">
          <w:rPr>
            <w:rStyle w:val="TextoNormalCaracter"/>
          </w:rPr>
          <w:t>95/2025</w:t>
        </w:r>
      </w:hyperlink>
      <w:r>
        <w:t>, f. 3.</w:t>
      </w:r>
    </w:p>
    <w:p w14:paraId="05EAE978" w14:textId="200B5C2A" w:rsidR="001D7FA9" w:rsidRDefault="001D7FA9" w:rsidP="001D7FA9">
      <w:pPr>
        <w:pStyle w:val="SangriaFrancesaArticulo"/>
      </w:pPr>
    </w:p>
    <w:p w14:paraId="097AAC03" w14:textId="77777777" w:rsidR="001D7FA9" w:rsidRDefault="001D7FA9" w:rsidP="001D7FA9">
      <w:pPr>
        <w:pStyle w:val="TextoNormalNegritaCursivandice"/>
        <w:keepNext/>
      </w:pPr>
      <w:r>
        <w:t>Decisión del Tribunal Europeo de Derechos Humanos de 6 de febrero de 2003 (Wendenburg y otros c. Alemania)</w:t>
      </w:r>
    </w:p>
    <w:p w14:paraId="44B16EDE" w14:textId="320192C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12" w:history="1">
        <w:r w:rsidRPr="001D7FA9">
          <w:rPr>
            <w:rStyle w:val="TextoNormalCaracter"/>
          </w:rPr>
          <w:t>12/2025</w:t>
        </w:r>
      </w:hyperlink>
      <w:r>
        <w:t>, VP II.</w:t>
      </w:r>
    </w:p>
    <w:p w14:paraId="3B6CA8BC" w14:textId="5291F6AF" w:rsidR="001D7FA9" w:rsidRDefault="001D7FA9" w:rsidP="001D7FA9">
      <w:pPr>
        <w:pStyle w:val="SangriaFrancesaArticulo"/>
      </w:pPr>
    </w:p>
    <w:p w14:paraId="41FD0828" w14:textId="77777777" w:rsidR="001D7FA9" w:rsidRDefault="001D7FA9" w:rsidP="001D7FA9">
      <w:pPr>
        <w:pStyle w:val="TextoNormalNegritaCursivandice"/>
        <w:keepNext/>
      </w:pPr>
      <w:r>
        <w:t>Sentencia del Tribunal Europeo de Derechos Humanos de 6 de febrero de 2003 (Hesse-Anger c. Alemania)</w:t>
      </w:r>
    </w:p>
    <w:p w14:paraId="4AAC1103" w14:textId="699D7DB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12" w:history="1">
        <w:r w:rsidRPr="001D7FA9">
          <w:rPr>
            <w:rStyle w:val="TextoNormalCaracter"/>
          </w:rPr>
          <w:t>12/2025</w:t>
        </w:r>
      </w:hyperlink>
      <w:r>
        <w:t>, VP II.</w:t>
      </w:r>
    </w:p>
    <w:p w14:paraId="543AA6D0" w14:textId="691E4E3B" w:rsidR="001D7FA9" w:rsidRDefault="001D7FA9" w:rsidP="001D7FA9">
      <w:pPr>
        <w:pStyle w:val="SangriaFrancesaArticulo"/>
      </w:pPr>
    </w:p>
    <w:p w14:paraId="6C82DF8D" w14:textId="77777777" w:rsidR="001D7FA9" w:rsidRDefault="001D7FA9" w:rsidP="001D7FA9">
      <w:pPr>
        <w:pStyle w:val="TextoNormalNegritaCursivandice"/>
        <w:keepNext/>
      </w:pPr>
      <w:r>
        <w:t>Sentencia del Tribunal Europeo de Derechos Humanos de 27 de mayo de 2003 (Skalka c. Polonia)</w:t>
      </w:r>
    </w:p>
    <w:p w14:paraId="73D70F36" w14:textId="28DECDFB" w:rsidR="001D7FA9" w:rsidRDefault="001D7FA9" w:rsidP="001D7FA9">
      <w:pPr>
        <w:pStyle w:val="SangriaFrancesaArticulo"/>
      </w:pPr>
      <w:r w:rsidRPr="001D7FA9">
        <w:rPr>
          <w:rStyle w:val="TextoNormalNegritaCaracter"/>
        </w:rPr>
        <w:t>§ 34.</w:t>
      </w:r>
      <w:r w:rsidRPr="001D7FA9">
        <w:rPr>
          <w:rStyle w:val="TextoNormalCaracter"/>
        </w:rPr>
        <w:t>-</w:t>
      </w:r>
      <w:r>
        <w:t xml:space="preserve"> Sentencia </w:t>
      </w:r>
      <w:hyperlink w:anchor="SENTENCIA_2025_100" w:history="1">
        <w:r w:rsidRPr="001D7FA9">
          <w:rPr>
            <w:rStyle w:val="TextoNormalCaracter"/>
          </w:rPr>
          <w:t>100/2025</w:t>
        </w:r>
      </w:hyperlink>
      <w:r>
        <w:t>, f. 4.</w:t>
      </w:r>
    </w:p>
    <w:p w14:paraId="38ADC847" w14:textId="7DE92255" w:rsidR="001D7FA9" w:rsidRDefault="001D7FA9" w:rsidP="001D7FA9">
      <w:pPr>
        <w:pStyle w:val="SangriaFrancesaArticulo"/>
      </w:pPr>
    </w:p>
    <w:p w14:paraId="4A4FCEA5" w14:textId="77777777" w:rsidR="001D7FA9" w:rsidRDefault="001D7FA9" w:rsidP="001D7FA9">
      <w:pPr>
        <w:pStyle w:val="TextoNormalNegritaCursivandice"/>
        <w:keepNext/>
      </w:pPr>
      <w:r>
        <w:t>Sentencia del Tribunal Europeo de Derechos Humanos de 6 de junio de 2003 (Menson c. the United Kingdom)</w:t>
      </w:r>
    </w:p>
    <w:p w14:paraId="5ED91284" w14:textId="6D616711"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04616CCD" w14:textId="2897B3CA" w:rsidR="001D7FA9" w:rsidRDefault="001D7FA9" w:rsidP="001D7FA9">
      <w:pPr>
        <w:pStyle w:val="SangriaFrancesaArticulo"/>
      </w:pPr>
    </w:p>
    <w:p w14:paraId="7563CD1D" w14:textId="77777777" w:rsidR="001D7FA9" w:rsidRDefault="001D7FA9" w:rsidP="001D7FA9">
      <w:pPr>
        <w:pStyle w:val="TextoNormalNegritaCursivandice"/>
        <w:keepNext/>
      </w:pPr>
      <w:r>
        <w:t>Sentencia del Tribunal Europeo de Derechos Humanos de 8 de enero de 2004 (Voggenreiter c. Alemania)</w:t>
      </w:r>
    </w:p>
    <w:p w14:paraId="30F32F4C" w14:textId="5017B50D" w:rsidR="001D7FA9" w:rsidRDefault="001D7FA9" w:rsidP="001D7FA9">
      <w:pPr>
        <w:pStyle w:val="SangriaFrancesaArticulo"/>
      </w:pPr>
      <w:r w:rsidRPr="001D7FA9">
        <w:rPr>
          <w:rStyle w:val="TextoNormalNegritaCaracter"/>
        </w:rPr>
        <w:t>§ 31, 32 y 33.</w:t>
      </w:r>
      <w:r w:rsidRPr="001D7FA9">
        <w:rPr>
          <w:rStyle w:val="TextoNormalCaracter"/>
        </w:rPr>
        <w:t>-</w:t>
      </w:r>
      <w:r>
        <w:t xml:space="preserve"> Auto </w:t>
      </w:r>
      <w:hyperlink w:anchor="AUTO_2025_12" w:history="1">
        <w:r w:rsidRPr="001D7FA9">
          <w:rPr>
            <w:rStyle w:val="TextoNormalCaracter"/>
          </w:rPr>
          <w:t>12/2025</w:t>
        </w:r>
      </w:hyperlink>
      <w:r>
        <w:t>, VP II.</w:t>
      </w:r>
    </w:p>
    <w:p w14:paraId="4EA003D3" w14:textId="6BBF9CE7" w:rsidR="001D7FA9" w:rsidRDefault="001D7FA9" w:rsidP="001D7FA9">
      <w:pPr>
        <w:pStyle w:val="SangriaFrancesaArticulo"/>
      </w:pPr>
    </w:p>
    <w:p w14:paraId="58D44B83" w14:textId="77777777" w:rsidR="001D7FA9" w:rsidRDefault="001D7FA9" w:rsidP="001D7FA9">
      <w:pPr>
        <w:pStyle w:val="TextoNormalNegritaCursivandice"/>
        <w:keepNext/>
      </w:pPr>
      <w:r>
        <w:t>Sentencia del Tribunal Europeo de Derechos Humanos de 22 de junio de 2004 (Broniowski c. Polonia)</w:t>
      </w:r>
    </w:p>
    <w:p w14:paraId="6E197F8B" w14:textId="736A2856" w:rsidR="001D7FA9" w:rsidRDefault="001D7FA9" w:rsidP="001D7FA9">
      <w:pPr>
        <w:pStyle w:val="SangriaFrancesaArticulo"/>
      </w:pPr>
      <w:r w:rsidRPr="001D7FA9">
        <w:rPr>
          <w:rStyle w:val="TextoNormalNegritaCaracter"/>
        </w:rPr>
        <w:t>§ 149.</w:t>
      </w:r>
      <w:r w:rsidRPr="001D7FA9">
        <w:rPr>
          <w:rStyle w:val="TextoNormalCaracter"/>
        </w:rPr>
        <w:t>-</w:t>
      </w:r>
      <w:r>
        <w:t xml:space="preserve"> Sentencias </w:t>
      </w:r>
      <w:hyperlink w:anchor="SENTENCIA_2025_25" w:history="1">
        <w:r w:rsidRPr="001D7FA9">
          <w:rPr>
            <w:rStyle w:val="TextoNormalCaracter"/>
          </w:rPr>
          <w:t>25/2025</w:t>
        </w:r>
      </w:hyperlink>
      <w:r>
        <w:t xml:space="preserve">, f. 5; </w:t>
      </w:r>
      <w:hyperlink w:anchor="SENTENCIA_2025_26" w:history="1">
        <w:r w:rsidRPr="001D7FA9">
          <w:rPr>
            <w:rStyle w:val="TextoNormalCaracter"/>
          </w:rPr>
          <w:t>26/2025</w:t>
        </w:r>
      </w:hyperlink>
      <w:r>
        <w:t>, f. 5.</w:t>
      </w:r>
    </w:p>
    <w:p w14:paraId="3736FFC3" w14:textId="53FEB959" w:rsidR="001D7FA9" w:rsidRDefault="001D7FA9" w:rsidP="001D7FA9">
      <w:pPr>
        <w:pStyle w:val="SangriaFrancesaArticulo"/>
      </w:pPr>
    </w:p>
    <w:p w14:paraId="56FA2006" w14:textId="77777777" w:rsidR="001D7FA9" w:rsidRDefault="001D7FA9" w:rsidP="001D7FA9">
      <w:pPr>
        <w:pStyle w:val="TextoNormalNegritaCursivandice"/>
        <w:keepNext/>
      </w:pPr>
      <w:r>
        <w:t>Sentencia del Tribunal Europeo de Derechos Humanos de 9 de noviembre de 2004 (Del Latte c. Países Bajos)</w:t>
      </w:r>
    </w:p>
    <w:p w14:paraId="53D2AD01" w14:textId="5F829A3F" w:rsidR="001D7FA9" w:rsidRDefault="001D7FA9" w:rsidP="001D7FA9">
      <w:pPr>
        <w:pStyle w:val="SangriaFrancesaArticulo"/>
      </w:pPr>
      <w:r w:rsidRPr="001D7FA9">
        <w:rPr>
          <w:rStyle w:val="TextoNormalNegritaCaracter"/>
        </w:rPr>
        <w:t>§ 30.</w:t>
      </w:r>
      <w:r w:rsidRPr="001D7FA9">
        <w:rPr>
          <w:rStyle w:val="TextoNormalCaracter"/>
        </w:rPr>
        <w:t>-</w:t>
      </w:r>
      <w:r>
        <w:t xml:space="preserve"> Sentencia </w:t>
      </w:r>
      <w:hyperlink w:anchor="SENTENCIA_2025_54" w:history="1">
        <w:r w:rsidRPr="001D7FA9">
          <w:rPr>
            <w:rStyle w:val="TextoNormalCaracter"/>
          </w:rPr>
          <w:t>54/2025</w:t>
        </w:r>
      </w:hyperlink>
      <w:r>
        <w:t>, VP.</w:t>
      </w:r>
    </w:p>
    <w:p w14:paraId="4D3095C1" w14:textId="5BEDFB68" w:rsidR="001D7FA9" w:rsidRDefault="001D7FA9" w:rsidP="001D7FA9">
      <w:pPr>
        <w:pStyle w:val="SangriaFrancesaArticulo"/>
      </w:pPr>
    </w:p>
    <w:p w14:paraId="4588B918" w14:textId="77777777" w:rsidR="001D7FA9" w:rsidRDefault="001D7FA9" w:rsidP="001D7FA9">
      <w:pPr>
        <w:pStyle w:val="TextoNormalNegritaCursivandice"/>
        <w:keepNext/>
      </w:pPr>
      <w:r>
        <w:t>Sentencia del Tribunal Europeo de Derechos Humanos de 17 de diciembre de 2004 (Pedersen y otros c. Dinamarca)</w:t>
      </w:r>
    </w:p>
    <w:p w14:paraId="7CBF660E" w14:textId="6BF216C2" w:rsidR="001D7FA9" w:rsidRDefault="001D7FA9" w:rsidP="001D7FA9">
      <w:pPr>
        <w:pStyle w:val="SangriaFrancesaArticulo"/>
      </w:pPr>
      <w:r w:rsidRPr="001D7FA9">
        <w:rPr>
          <w:rStyle w:val="TextoNormalNegritaCaracter"/>
        </w:rPr>
        <w:t>§ 77.</w:t>
      </w:r>
      <w:r w:rsidRPr="001D7FA9">
        <w:rPr>
          <w:rStyle w:val="TextoNormalCaracter"/>
        </w:rPr>
        <w:t>-</w:t>
      </w:r>
      <w:r>
        <w:t xml:space="preserve"> Sentencia </w:t>
      </w:r>
      <w:hyperlink w:anchor="SENTENCIA_2025_62" w:history="1">
        <w:r w:rsidRPr="001D7FA9">
          <w:rPr>
            <w:rStyle w:val="TextoNormalCaracter"/>
          </w:rPr>
          <w:t>62/2025</w:t>
        </w:r>
      </w:hyperlink>
      <w:r>
        <w:t>, ff. 2, 3.</w:t>
      </w:r>
    </w:p>
    <w:p w14:paraId="6EFEE140" w14:textId="43144C49" w:rsidR="001D7FA9" w:rsidRDefault="001D7FA9" w:rsidP="001D7FA9">
      <w:pPr>
        <w:pStyle w:val="SangriaFrancesaArticulo"/>
      </w:pPr>
    </w:p>
    <w:p w14:paraId="0DD4085E" w14:textId="77777777" w:rsidR="001D7FA9" w:rsidRDefault="001D7FA9" w:rsidP="001D7FA9">
      <w:pPr>
        <w:pStyle w:val="TextoNormalNegritaCursivandice"/>
        <w:keepNext/>
      </w:pPr>
      <w:r>
        <w:t>Sentencia del Tribunal Europeo de Derechos Humanos de 29 de marzo de 2005 (Alinak c. Turquía)</w:t>
      </w:r>
    </w:p>
    <w:p w14:paraId="38272533" w14:textId="52F76B4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 w:history="1">
        <w:r w:rsidRPr="001D7FA9">
          <w:rPr>
            <w:rStyle w:val="TextoNormalCaracter"/>
          </w:rPr>
          <w:t>1/2025</w:t>
        </w:r>
      </w:hyperlink>
      <w:r>
        <w:t>, f. 3.</w:t>
      </w:r>
    </w:p>
    <w:p w14:paraId="3DAF3DE6" w14:textId="064298A7" w:rsidR="001D7FA9" w:rsidRDefault="001D7FA9" w:rsidP="001D7FA9">
      <w:pPr>
        <w:pStyle w:val="SangriaFrancesaArticulo"/>
      </w:pPr>
      <w:r w:rsidRPr="001D7FA9">
        <w:rPr>
          <w:rStyle w:val="TextoNormalNegritaCaracter"/>
        </w:rPr>
        <w:t>§ 41.</w:t>
      </w:r>
      <w:r w:rsidRPr="001D7FA9">
        <w:rPr>
          <w:rStyle w:val="TextoNormalCaracter"/>
        </w:rPr>
        <w:t>-</w:t>
      </w:r>
      <w:r>
        <w:t xml:space="preserve"> Sentencia </w:t>
      </w:r>
      <w:hyperlink w:anchor="SENTENCIA_2025_117" w:history="1">
        <w:r w:rsidRPr="001D7FA9">
          <w:rPr>
            <w:rStyle w:val="TextoNormalCaracter"/>
          </w:rPr>
          <w:t>117/2025</w:t>
        </w:r>
      </w:hyperlink>
      <w:r>
        <w:t>, f. 5.</w:t>
      </w:r>
    </w:p>
    <w:p w14:paraId="138E983E" w14:textId="60732DC1" w:rsidR="001D7FA9" w:rsidRDefault="001D7FA9" w:rsidP="001D7FA9">
      <w:pPr>
        <w:pStyle w:val="SangriaFrancesaArticulo"/>
      </w:pPr>
    </w:p>
    <w:p w14:paraId="07A8EFCA" w14:textId="77777777" w:rsidR="001D7FA9" w:rsidRDefault="001D7FA9" w:rsidP="001D7FA9">
      <w:pPr>
        <w:pStyle w:val="TextoNormalNegritaCursivandice"/>
        <w:keepNext/>
      </w:pPr>
      <w:r>
        <w:t>Sentencia del Tribunal Europeo de Derechos Humanos de 12 de mayo de 2005 (Öcalan c. Turquía)</w:t>
      </w:r>
    </w:p>
    <w:p w14:paraId="61A28D33" w14:textId="2C542D1F" w:rsidR="001D7FA9" w:rsidRDefault="001D7FA9" w:rsidP="001D7FA9">
      <w:pPr>
        <w:pStyle w:val="SangriaFrancesaArticulo"/>
      </w:pPr>
      <w:r w:rsidRPr="001D7FA9">
        <w:rPr>
          <w:rStyle w:val="TextoNormalNegritaCaracter"/>
        </w:rPr>
        <w:t>§ 133.</w:t>
      </w:r>
      <w:r w:rsidRPr="001D7FA9">
        <w:rPr>
          <w:rStyle w:val="TextoNormalCaracter"/>
        </w:rPr>
        <w:t>-</w:t>
      </w:r>
      <w:r>
        <w:t xml:space="preserve"> Auto </w:t>
      </w:r>
      <w:hyperlink w:anchor="AUTO_2025_28" w:history="1">
        <w:r w:rsidRPr="001D7FA9">
          <w:rPr>
            <w:rStyle w:val="TextoNormalCaracter"/>
          </w:rPr>
          <w:t>28/2025</w:t>
        </w:r>
      </w:hyperlink>
      <w:r>
        <w:t>, f. 3.</w:t>
      </w:r>
    </w:p>
    <w:p w14:paraId="68ECBA5E" w14:textId="5CB68894" w:rsidR="001D7FA9" w:rsidRDefault="001D7FA9" w:rsidP="001D7FA9">
      <w:pPr>
        <w:pStyle w:val="SangriaFrancesaArticulo"/>
      </w:pPr>
    </w:p>
    <w:p w14:paraId="6CF6A030" w14:textId="77777777" w:rsidR="001D7FA9" w:rsidRDefault="001D7FA9" w:rsidP="001D7FA9">
      <w:pPr>
        <w:pStyle w:val="TextoNormalNegritaCursivandice"/>
        <w:keepNext/>
      </w:pPr>
      <w:r>
        <w:t>Sentencia del Tribunal Europeo de Derechos Humanos de 6 de julio de 2005 (Nachova and Others c. Bulgaria)</w:t>
      </w:r>
    </w:p>
    <w:p w14:paraId="22C3060F" w14:textId="78E9A700" w:rsidR="001D7FA9" w:rsidRDefault="001D7FA9" w:rsidP="001D7FA9">
      <w:pPr>
        <w:pStyle w:val="SangriaFrancesaArticulo"/>
      </w:pPr>
      <w:r w:rsidRPr="001D7FA9">
        <w:rPr>
          <w:rStyle w:val="TextoNormalNegritaCaracter"/>
        </w:rPr>
        <w:t>§ 160.</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6FC49215" w14:textId="6325232B" w:rsidR="001D7FA9" w:rsidRDefault="001D7FA9" w:rsidP="001D7FA9">
      <w:pPr>
        <w:pStyle w:val="SangriaFrancesaArticulo"/>
      </w:pPr>
    </w:p>
    <w:p w14:paraId="1AA3E74A" w14:textId="77777777" w:rsidR="001D7FA9" w:rsidRDefault="001D7FA9" w:rsidP="001D7FA9">
      <w:pPr>
        <w:pStyle w:val="TextoNormalNegritaCursivandice"/>
        <w:keepNext/>
      </w:pPr>
      <w:r>
        <w:t>Decisión del Tribunal Europeo de Derechos Humanos de 3 de noviembre de 2005 (F.L., c. Francia)</w:t>
      </w:r>
    </w:p>
    <w:p w14:paraId="327A4FB5" w14:textId="65123D8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9" w:history="1">
        <w:r w:rsidRPr="001D7FA9">
          <w:rPr>
            <w:rStyle w:val="TextoNormalCaracter"/>
          </w:rPr>
          <w:t>119/2025</w:t>
        </w:r>
      </w:hyperlink>
      <w:r>
        <w:t>, f. 6.</w:t>
      </w:r>
    </w:p>
    <w:p w14:paraId="3F97805D" w14:textId="322437B8" w:rsidR="001D7FA9" w:rsidRDefault="001D7FA9" w:rsidP="001D7FA9">
      <w:pPr>
        <w:pStyle w:val="SangriaFrancesaArticulo"/>
      </w:pPr>
    </w:p>
    <w:p w14:paraId="6963B9A5" w14:textId="77777777" w:rsidR="001D7FA9" w:rsidRDefault="001D7FA9" w:rsidP="001D7FA9">
      <w:pPr>
        <w:pStyle w:val="TextoNormalNegritaCursivandice"/>
        <w:keepNext/>
      </w:pPr>
      <w:r>
        <w:t>Sentencia del Tribunal Europeo de Derechos Humanos de 15 de diciembre de 2005 (Kyprianou c. Chipre)</w:t>
      </w:r>
    </w:p>
    <w:p w14:paraId="63275287" w14:textId="43566FF3" w:rsidR="001D7FA9" w:rsidRDefault="001D7FA9" w:rsidP="001D7FA9">
      <w:pPr>
        <w:pStyle w:val="SangriaFrancesaArticulo"/>
      </w:pPr>
      <w:r w:rsidRPr="001D7FA9">
        <w:rPr>
          <w:rStyle w:val="TextoNormalNegritaCaracter"/>
        </w:rPr>
        <w:t>§ 171.</w:t>
      </w:r>
      <w:r w:rsidRPr="001D7FA9">
        <w:rPr>
          <w:rStyle w:val="TextoNormalCaracter"/>
        </w:rPr>
        <w:t>-</w:t>
      </w:r>
      <w:r>
        <w:t xml:space="preserve"> Sentencia </w:t>
      </w:r>
      <w:hyperlink w:anchor="SENTENCIA_2025_12" w:history="1">
        <w:r w:rsidRPr="001D7FA9">
          <w:rPr>
            <w:rStyle w:val="TextoNormalCaracter"/>
          </w:rPr>
          <w:t>12/2025</w:t>
        </w:r>
      </w:hyperlink>
      <w:r>
        <w:t>, VP I.</w:t>
      </w:r>
    </w:p>
    <w:p w14:paraId="721FAB57" w14:textId="43FD3000" w:rsidR="001D7FA9" w:rsidRDefault="001D7FA9" w:rsidP="001D7FA9">
      <w:pPr>
        <w:pStyle w:val="SangriaFrancesaArticulo"/>
      </w:pPr>
    </w:p>
    <w:p w14:paraId="7D6E00F5" w14:textId="77777777" w:rsidR="001D7FA9" w:rsidRDefault="001D7FA9" w:rsidP="001D7FA9">
      <w:pPr>
        <w:pStyle w:val="TextoNormalNegritaCursivandice"/>
        <w:keepNext/>
      </w:pPr>
      <w:r>
        <w:t>Sentencia del Tribunal Europeo de Derechos Humanos de 9 de mayo de 2006 (Pereira Henriques c. Luxembourg)</w:t>
      </w:r>
    </w:p>
    <w:p w14:paraId="244E3E6E" w14:textId="3299924B" w:rsidR="001D7FA9" w:rsidRDefault="001D7FA9" w:rsidP="001D7FA9">
      <w:pPr>
        <w:pStyle w:val="SangriaFrancesaArticulo"/>
      </w:pPr>
      <w:r w:rsidRPr="001D7FA9">
        <w:rPr>
          <w:rStyle w:val="TextoNormalNegritaCaracter"/>
        </w:rPr>
        <w:t>§ 56.</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0BEEDD8F" w14:textId="65B67909" w:rsidR="001D7FA9" w:rsidRDefault="001D7FA9" w:rsidP="001D7FA9">
      <w:pPr>
        <w:pStyle w:val="SangriaFrancesaArticulo"/>
      </w:pPr>
    </w:p>
    <w:p w14:paraId="0D716473" w14:textId="77777777" w:rsidR="001D7FA9" w:rsidRDefault="001D7FA9" w:rsidP="001D7FA9">
      <w:pPr>
        <w:pStyle w:val="TextoNormalNegritaCursivandice"/>
        <w:keepNext/>
      </w:pPr>
      <w:r>
        <w:t>Sentencia del Tribunal Europeo de Derechos Humanos de 19 de junio de 2006 (Hutten-Czapska c. Polonia)</w:t>
      </w:r>
    </w:p>
    <w:p w14:paraId="0B53124F" w14:textId="49157114" w:rsidR="001D7FA9" w:rsidRDefault="001D7FA9" w:rsidP="001D7FA9">
      <w:pPr>
        <w:pStyle w:val="SangriaFrancesaArticulo"/>
      </w:pPr>
      <w:r w:rsidRPr="001D7FA9">
        <w:rPr>
          <w:rStyle w:val="TextoNormalNegritaCaracter"/>
        </w:rPr>
        <w:t>§ 225.</w:t>
      </w:r>
      <w:r w:rsidRPr="001D7FA9">
        <w:rPr>
          <w:rStyle w:val="TextoNormalCaracter"/>
        </w:rPr>
        <w:t>-</w:t>
      </w:r>
      <w:r>
        <w:t xml:space="preserve"> Sentencia </w:t>
      </w:r>
      <w:hyperlink w:anchor="SENTENCIA_2025_26" w:history="1">
        <w:r w:rsidRPr="001D7FA9">
          <w:rPr>
            <w:rStyle w:val="TextoNormalCaracter"/>
          </w:rPr>
          <w:t>26/2025</w:t>
        </w:r>
      </w:hyperlink>
      <w:r>
        <w:t>, f. 5, VP II.</w:t>
      </w:r>
    </w:p>
    <w:p w14:paraId="49DE28AB" w14:textId="6ACB10DE" w:rsidR="001D7FA9" w:rsidRDefault="001D7FA9" w:rsidP="001D7FA9">
      <w:pPr>
        <w:pStyle w:val="SangriaFrancesaArticulo"/>
      </w:pPr>
    </w:p>
    <w:p w14:paraId="555EA494" w14:textId="77777777" w:rsidR="001D7FA9" w:rsidRDefault="001D7FA9" w:rsidP="001D7FA9">
      <w:pPr>
        <w:pStyle w:val="TextoNormalNegritaCursivandice"/>
        <w:keepNext/>
      </w:pPr>
      <w:r>
        <w:t>Sentencia del Tribunal Europeo de Derechos Humanos de 11 de julio de 2006 (Jalloh c. Alemania)</w:t>
      </w:r>
    </w:p>
    <w:p w14:paraId="0FFB55A2" w14:textId="28E524A8" w:rsidR="001D7FA9" w:rsidRDefault="001D7FA9" w:rsidP="001D7FA9">
      <w:pPr>
        <w:pStyle w:val="SangriaFrancesaArticulo"/>
      </w:pPr>
      <w:r w:rsidRPr="001D7FA9">
        <w:rPr>
          <w:rStyle w:val="TextoNormalNegritaCaracter"/>
        </w:rPr>
        <w:t>§ 96.</w:t>
      </w:r>
      <w:r w:rsidRPr="001D7FA9">
        <w:rPr>
          <w:rStyle w:val="TextoNormalCaracter"/>
        </w:rPr>
        <w:t>-</w:t>
      </w:r>
      <w:r>
        <w:t xml:space="preserve"> Auto </w:t>
      </w:r>
      <w:hyperlink w:anchor="AUTO_2025_28" w:history="1">
        <w:r w:rsidRPr="001D7FA9">
          <w:rPr>
            <w:rStyle w:val="TextoNormalCaracter"/>
          </w:rPr>
          <w:t>28/2025</w:t>
        </w:r>
      </w:hyperlink>
      <w:r>
        <w:t>, f. 3.</w:t>
      </w:r>
    </w:p>
    <w:p w14:paraId="6D9D8BB8" w14:textId="5005F7AC" w:rsidR="001D7FA9" w:rsidRDefault="001D7FA9" w:rsidP="001D7FA9">
      <w:pPr>
        <w:pStyle w:val="SangriaFrancesaArticulo"/>
      </w:pPr>
    </w:p>
    <w:p w14:paraId="40A46899" w14:textId="77777777" w:rsidR="001D7FA9" w:rsidRDefault="001D7FA9" w:rsidP="001D7FA9">
      <w:pPr>
        <w:pStyle w:val="TextoNormalNegritaCursivandice"/>
        <w:keepNext/>
      </w:pPr>
      <w:r>
        <w:t>Sentencia del Tribunal Europeo de Derechos Humanos de 12 de octubre de 2006 (Mubilanzila Mayeka y Kaniki Mitunga c. Bélgica)</w:t>
      </w:r>
    </w:p>
    <w:p w14:paraId="451472FF" w14:textId="74E6C75A" w:rsidR="001D7FA9" w:rsidRDefault="001D7FA9" w:rsidP="001D7FA9">
      <w:pPr>
        <w:pStyle w:val="SangriaFrancesaArticulo"/>
      </w:pPr>
      <w:r w:rsidRPr="001D7FA9">
        <w:rPr>
          <w:rStyle w:val="TextoNormalNegritaCaracter"/>
        </w:rPr>
        <w:t>§ 55.</w:t>
      </w:r>
      <w:r w:rsidRPr="001D7FA9">
        <w:rPr>
          <w:rStyle w:val="TextoNormalCaracter"/>
        </w:rPr>
        <w:t>-</w:t>
      </w:r>
      <w:r>
        <w:t xml:space="preserve"> Sentencia </w:t>
      </w:r>
      <w:hyperlink w:anchor="SENTENCIA_2025_43" w:history="1">
        <w:r w:rsidRPr="001D7FA9">
          <w:rPr>
            <w:rStyle w:val="TextoNormalCaracter"/>
          </w:rPr>
          <w:t>43/2025</w:t>
        </w:r>
      </w:hyperlink>
      <w:r>
        <w:t>, f. 3.</w:t>
      </w:r>
    </w:p>
    <w:p w14:paraId="7D8D160B" w14:textId="2893B1B0" w:rsidR="001D7FA9" w:rsidRDefault="001D7FA9" w:rsidP="001D7FA9">
      <w:pPr>
        <w:pStyle w:val="SangriaFrancesaArticulo"/>
      </w:pPr>
    </w:p>
    <w:p w14:paraId="4791602D" w14:textId="77777777" w:rsidR="001D7FA9" w:rsidRDefault="001D7FA9" w:rsidP="001D7FA9">
      <w:pPr>
        <w:pStyle w:val="TextoNormalNegritaCursivandice"/>
        <w:keepNext/>
      </w:pPr>
      <w:r>
        <w:t>Sentencia del Tribunal Europeo de Derechos Humanos de 25 de enero de 2007 (Vereinigung Bildender Künstler c. Austria)</w:t>
      </w:r>
    </w:p>
    <w:p w14:paraId="335EFAA9" w14:textId="4E701806" w:rsidR="001D7FA9" w:rsidRDefault="001D7FA9" w:rsidP="001D7FA9">
      <w:pPr>
        <w:pStyle w:val="SangriaFrancesaArticulo"/>
      </w:pPr>
      <w:r w:rsidRPr="001D7FA9">
        <w:rPr>
          <w:rStyle w:val="TextoNormalNegritaCaracter"/>
        </w:rPr>
        <w:t>§ 26.</w:t>
      </w:r>
      <w:r w:rsidRPr="001D7FA9">
        <w:rPr>
          <w:rStyle w:val="TextoNormalCaracter"/>
        </w:rPr>
        <w:t>-</w:t>
      </w:r>
      <w:r>
        <w:t xml:space="preserve"> Sentencia </w:t>
      </w:r>
      <w:hyperlink w:anchor="SENTENCIA_2025_117" w:history="1">
        <w:r w:rsidRPr="001D7FA9">
          <w:rPr>
            <w:rStyle w:val="TextoNormalCaracter"/>
          </w:rPr>
          <w:t>117/2025</w:t>
        </w:r>
      </w:hyperlink>
      <w:r>
        <w:t>, ff. 5, 6.</w:t>
      </w:r>
    </w:p>
    <w:p w14:paraId="00E302CD" w14:textId="1FEF1E02" w:rsidR="001D7FA9" w:rsidRDefault="001D7FA9" w:rsidP="001D7FA9">
      <w:pPr>
        <w:pStyle w:val="SangriaFrancesaArticulo"/>
      </w:pPr>
    </w:p>
    <w:p w14:paraId="2147ABD9" w14:textId="77777777" w:rsidR="001D7FA9" w:rsidRDefault="001D7FA9" w:rsidP="001D7FA9">
      <w:pPr>
        <w:pStyle w:val="TextoNormalNegritaCursivandice"/>
        <w:keepNext/>
      </w:pPr>
      <w:r>
        <w:t>Sentencia del Tribunal Europeo de Derechos Humanos de 26 de abril de 2007 (Salduz c. Turquía)</w:t>
      </w:r>
    </w:p>
    <w:p w14:paraId="67BF8B04" w14:textId="55160F40" w:rsidR="001D7FA9" w:rsidRDefault="001D7FA9" w:rsidP="001D7FA9">
      <w:pPr>
        <w:pStyle w:val="SangriaFrancesaArticulo"/>
      </w:pPr>
      <w:r w:rsidRPr="001D7FA9">
        <w:rPr>
          <w:rStyle w:val="TextoNormalNegritaCaracter"/>
        </w:rPr>
        <w:t>§ 54.</w:t>
      </w:r>
      <w:r w:rsidRPr="001D7FA9">
        <w:rPr>
          <w:rStyle w:val="TextoNormalCaracter"/>
        </w:rPr>
        <w:t>-</w:t>
      </w:r>
      <w:r>
        <w:t xml:space="preserve"> Auto </w:t>
      </w:r>
      <w:hyperlink w:anchor="AUTO_2025_28" w:history="1">
        <w:r w:rsidRPr="001D7FA9">
          <w:rPr>
            <w:rStyle w:val="TextoNormalCaracter"/>
          </w:rPr>
          <w:t>28/2025</w:t>
        </w:r>
      </w:hyperlink>
      <w:r>
        <w:t>, VP.</w:t>
      </w:r>
    </w:p>
    <w:p w14:paraId="5248AD20" w14:textId="49269218" w:rsidR="001D7FA9" w:rsidRDefault="001D7FA9" w:rsidP="001D7FA9">
      <w:pPr>
        <w:pStyle w:val="SangriaFrancesaArticulo"/>
      </w:pPr>
    </w:p>
    <w:p w14:paraId="1AA8679E" w14:textId="77777777" w:rsidR="001D7FA9" w:rsidRDefault="001D7FA9" w:rsidP="001D7FA9">
      <w:pPr>
        <w:pStyle w:val="TextoNormalNegritaCursivandice"/>
        <w:keepNext/>
      </w:pPr>
      <w:r>
        <w:t>Sentencia del Tribunal Europeo de Derechos Humanos de 15 de mayo de 2007 (Ramsahai y otros c. Paises Bajos)</w:t>
      </w:r>
    </w:p>
    <w:p w14:paraId="3F0551C2" w14:textId="1B5040C9" w:rsidR="001D7FA9" w:rsidRDefault="001D7FA9" w:rsidP="001D7FA9">
      <w:pPr>
        <w:pStyle w:val="SangriaFrancesaArticulo"/>
      </w:pPr>
      <w:r w:rsidRPr="001D7FA9">
        <w:rPr>
          <w:rStyle w:val="TextoNormalNegritaCaracter"/>
        </w:rPr>
        <w:t>§ 324.</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7B47A6C1" w14:textId="06D546AF" w:rsidR="001D7FA9" w:rsidRDefault="001D7FA9" w:rsidP="001D7FA9">
      <w:pPr>
        <w:pStyle w:val="SangriaFrancesaArticulo"/>
      </w:pPr>
    </w:p>
    <w:p w14:paraId="721CC41E" w14:textId="77777777" w:rsidR="001D7FA9" w:rsidRDefault="001D7FA9" w:rsidP="001D7FA9">
      <w:pPr>
        <w:pStyle w:val="TextoNormalNegritaCursivandice"/>
        <w:keepNext/>
      </w:pPr>
      <w:r>
        <w:t>Sentencia del Tribunal Europeo de Derechos Humanos de 29 de junio de 2007 (Folgerø y otros  c. Noruega)</w:t>
      </w:r>
    </w:p>
    <w:p w14:paraId="702A2A61" w14:textId="3CE76E5F" w:rsidR="001D7FA9" w:rsidRDefault="001D7FA9" w:rsidP="001D7FA9">
      <w:pPr>
        <w:pStyle w:val="SangriaFrancesaArticulo"/>
      </w:pPr>
      <w:r w:rsidRPr="001D7FA9">
        <w:rPr>
          <w:rStyle w:val="TextoNormalNegritaCaracter"/>
        </w:rPr>
        <w:t>§ 84.</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166DEDC9" w14:textId="12480666" w:rsidR="001D7FA9" w:rsidRDefault="001D7FA9" w:rsidP="001D7FA9">
      <w:pPr>
        <w:pStyle w:val="SangriaFrancesaArticulo"/>
      </w:pPr>
    </w:p>
    <w:p w14:paraId="1AEDAA3D" w14:textId="77777777" w:rsidR="001D7FA9" w:rsidRDefault="001D7FA9" w:rsidP="001D7FA9">
      <w:pPr>
        <w:pStyle w:val="TextoNormalNegritaCursivandice"/>
        <w:keepNext/>
      </w:pPr>
      <w:r>
        <w:t>Sentencia del Tribunal Europeo de Derechos Humanos de 17 de julio de 2007 (Bukta y otros c. Hungría)</w:t>
      </w:r>
    </w:p>
    <w:p w14:paraId="22B4F2A0" w14:textId="6C4443A4" w:rsidR="001D7FA9" w:rsidRDefault="001D7FA9" w:rsidP="001D7FA9">
      <w:pPr>
        <w:pStyle w:val="SangriaFrancesaArticulo"/>
      </w:pPr>
      <w:r w:rsidRPr="001D7FA9">
        <w:rPr>
          <w:rStyle w:val="TextoNormalNegritaCaracter"/>
        </w:rPr>
        <w:t>§ 36.</w:t>
      </w:r>
      <w:r w:rsidRPr="001D7FA9">
        <w:rPr>
          <w:rStyle w:val="TextoNormalCaracter"/>
        </w:rPr>
        <w:t>-</w:t>
      </w:r>
      <w:r>
        <w:t xml:space="preserve"> Sentencia </w:t>
      </w:r>
      <w:hyperlink w:anchor="SENTENCIA_2025_95" w:history="1">
        <w:r w:rsidRPr="001D7FA9">
          <w:rPr>
            <w:rStyle w:val="TextoNormalCaracter"/>
          </w:rPr>
          <w:t>95/2025</w:t>
        </w:r>
      </w:hyperlink>
      <w:r>
        <w:t>, f. 3.</w:t>
      </w:r>
    </w:p>
    <w:p w14:paraId="23B2D604" w14:textId="1EC9119A" w:rsidR="001D7FA9" w:rsidRDefault="001D7FA9" w:rsidP="001D7FA9">
      <w:pPr>
        <w:pStyle w:val="SangriaFrancesaArticulo"/>
      </w:pPr>
    </w:p>
    <w:p w14:paraId="64DC87B9" w14:textId="77777777" w:rsidR="001D7FA9" w:rsidRDefault="001D7FA9" w:rsidP="001D7FA9">
      <w:pPr>
        <w:pStyle w:val="TextoNormalNegritaCursivandice"/>
        <w:keepNext/>
      </w:pPr>
      <w:r>
        <w:t>Sentencia del Tribunal Europeo de Derechos Humanos de 27 de septiembre de 2007 (Vassilios Stavropoulos c. Grecia)</w:t>
      </w:r>
    </w:p>
    <w:p w14:paraId="19A49DEE" w14:textId="5FB69705" w:rsidR="001D7FA9" w:rsidRDefault="001D7FA9" w:rsidP="001D7FA9">
      <w:pPr>
        <w:pStyle w:val="SangriaFrancesaArticulo"/>
      </w:pPr>
      <w:r w:rsidRPr="001D7FA9">
        <w:rPr>
          <w:rStyle w:val="TextoNormalNegritaCaracter"/>
        </w:rPr>
        <w:t>§ 39.</w:t>
      </w:r>
      <w:r w:rsidRPr="001D7FA9">
        <w:rPr>
          <w:rStyle w:val="TextoNormalCaracter"/>
        </w:rPr>
        <w:t>-</w:t>
      </w:r>
      <w:r>
        <w:t xml:space="preserve"> Sentencia </w:t>
      </w:r>
      <w:hyperlink w:anchor="SENTENCIA_2025_54" w:history="1">
        <w:r w:rsidRPr="001D7FA9">
          <w:rPr>
            <w:rStyle w:val="TextoNormalCaracter"/>
          </w:rPr>
          <w:t>54/2025</w:t>
        </w:r>
      </w:hyperlink>
      <w:r>
        <w:t>, VP.</w:t>
      </w:r>
    </w:p>
    <w:p w14:paraId="3BC4BD9F" w14:textId="05AB59E7" w:rsidR="001D7FA9" w:rsidRDefault="001D7FA9" w:rsidP="001D7FA9">
      <w:pPr>
        <w:pStyle w:val="SangriaFrancesaArticulo"/>
      </w:pPr>
    </w:p>
    <w:p w14:paraId="2973D1E8" w14:textId="77777777" w:rsidR="001D7FA9" w:rsidRDefault="001D7FA9" w:rsidP="001D7FA9">
      <w:pPr>
        <w:pStyle w:val="TextoNormalNegritaCursivandice"/>
        <w:keepNext/>
      </w:pPr>
      <w:r>
        <w:t>Sentencia del Tribunal Europeo de Derechos Humanos de 22 de octubre de 2007 (Lindon, Otchakovsky-Laurens y July c. Francia)</w:t>
      </w:r>
    </w:p>
    <w:p w14:paraId="346FF00E" w14:textId="24B9FC9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00" w:history="1">
        <w:r w:rsidRPr="001D7FA9">
          <w:rPr>
            <w:rStyle w:val="TextoNormalCaracter"/>
          </w:rPr>
          <w:t>100/2025</w:t>
        </w:r>
      </w:hyperlink>
      <w:r>
        <w:t>, f. 5.</w:t>
      </w:r>
    </w:p>
    <w:p w14:paraId="086FDD0D" w14:textId="467FEB3A" w:rsidR="001D7FA9" w:rsidRDefault="001D7FA9" w:rsidP="001D7FA9">
      <w:pPr>
        <w:pStyle w:val="SangriaFrancesaArticulo"/>
      </w:pPr>
    </w:p>
    <w:p w14:paraId="5152B0F6" w14:textId="77777777" w:rsidR="001D7FA9" w:rsidRDefault="001D7FA9" w:rsidP="001D7FA9">
      <w:pPr>
        <w:pStyle w:val="TextoNormalNegritaCursivandice"/>
        <w:keepNext/>
      </w:pPr>
      <w:r>
        <w:t>Sentencia del Tribunal Europeo de Derechos Humanos de 8 de abril de 2008 (Ali y  Ayse Duran c. Turquía)</w:t>
      </w:r>
    </w:p>
    <w:p w14:paraId="321D4410" w14:textId="19AE5DF8" w:rsidR="001D7FA9" w:rsidRDefault="001D7FA9" w:rsidP="001D7FA9">
      <w:pPr>
        <w:pStyle w:val="SangriaFrancesaArticulo"/>
      </w:pPr>
      <w:r w:rsidRPr="001D7FA9">
        <w:rPr>
          <w:rStyle w:val="TextoNormalNegritaCaracter"/>
        </w:rPr>
        <w:t>§ 68 a 72.</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16830764" w14:textId="3BBF39E8" w:rsidR="001D7FA9" w:rsidRDefault="001D7FA9" w:rsidP="001D7FA9">
      <w:pPr>
        <w:pStyle w:val="SangriaFrancesaArticulo"/>
      </w:pPr>
    </w:p>
    <w:p w14:paraId="04385660" w14:textId="77777777" w:rsidR="001D7FA9" w:rsidRDefault="001D7FA9" w:rsidP="001D7FA9">
      <w:pPr>
        <w:pStyle w:val="TextoNormalNegritaCursivandice"/>
        <w:keepNext/>
      </w:pPr>
      <w:r>
        <w:t>Sentencia del Tribunal Europeo de Derechos Humanos de 10 de marzo de 2009 (Times Newspapers Ltd. c. Reino Unido -núms. 1 y 2-)</w:t>
      </w:r>
    </w:p>
    <w:p w14:paraId="4E9F7C79" w14:textId="4E550353" w:rsidR="001D7FA9" w:rsidRDefault="001D7FA9" w:rsidP="001D7FA9">
      <w:pPr>
        <w:pStyle w:val="SangriaFrancesaArticulo"/>
      </w:pPr>
      <w:r w:rsidRPr="001D7FA9">
        <w:rPr>
          <w:rStyle w:val="TextoNormalNegritaCaracter"/>
        </w:rPr>
        <w:t>§ 27.</w:t>
      </w:r>
      <w:r w:rsidRPr="001D7FA9">
        <w:rPr>
          <w:rStyle w:val="TextoNormalCaracter"/>
        </w:rPr>
        <w:t>-</w:t>
      </w:r>
      <w:r>
        <w:t xml:space="preserve"> Sentencia </w:t>
      </w:r>
      <w:hyperlink w:anchor="SENTENCIA_2025_100" w:history="1">
        <w:r w:rsidRPr="001D7FA9">
          <w:rPr>
            <w:rStyle w:val="TextoNormalCaracter"/>
          </w:rPr>
          <w:t>100/2025</w:t>
        </w:r>
      </w:hyperlink>
      <w:r>
        <w:t>, f. 3.</w:t>
      </w:r>
    </w:p>
    <w:p w14:paraId="09DDBEA8" w14:textId="1AE7EDEE" w:rsidR="001D7FA9" w:rsidRDefault="001D7FA9" w:rsidP="001D7FA9">
      <w:pPr>
        <w:pStyle w:val="SangriaFrancesaArticulo"/>
      </w:pPr>
    </w:p>
    <w:p w14:paraId="11BD3CC4" w14:textId="77777777" w:rsidR="001D7FA9" w:rsidRDefault="001D7FA9" w:rsidP="001D7FA9">
      <w:pPr>
        <w:pStyle w:val="TextoNormalNegritaCursivandice"/>
        <w:keepNext/>
      </w:pPr>
      <w:r>
        <w:t>Sentencia del Tribunal Europeo de Derechos Humanos de 17 de marzo de 2009 (Ould Dah c. Francia)</w:t>
      </w:r>
    </w:p>
    <w:p w14:paraId="5F8A04F6" w14:textId="4C7288E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1D355F52" w14:textId="23967EC5" w:rsidR="001D7FA9" w:rsidRDefault="001D7FA9" w:rsidP="001D7FA9">
      <w:pPr>
        <w:pStyle w:val="SangriaFrancesaArticulo"/>
      </w:pPr>
    </w:p>
    <w:p w14:paraId="4531C3D2" w14:textId="77777777" w:rsidR="001D7FA9" w:rsidRDefault="001D7FA9" w:rsidP="001D7FA9">
      <w:pPr>
        <w:pStyle w:val="TextoNormalNegritaCursivandice"/>
        <w:keepNext/>
      </w:pPr>
      <w:r>
        <w:t>Sentencia del Tribunal Europeo de Derechos Humanos de 20 de marzo de 2009 (Gorou c. Grecia)</w:t>
      </w:r>
    </w:p>
    <w:p w14:paraId="2540AA51" w14:textId="21D8E3C8" w:rsidR="001D7FA9" w:rsidRDefault="001D7FA9" w:rsidP="001D7FA9">
      <w:pPr>
        <w:pStyle w:val="SangriaFrancesaArticulo"/>
      </w:pPr>
      <w:r w:rsidRPr="001D7FA9">
        <w:rPr>
          <w:rStyle w:val="TextoNormalNegritaCaracter"/>
        </w:rPr>
        <w:t>§ 29.</w:t>
      </w:r>
      <w:r w:rsidRPr="001D7FA9">
        <w:rPr>
          <w:rStyle w:val="TextoNormalCaracter"/>
        </w:rPr>
        <w:t>-</w:t>
      </w:r>
      <w:r>
        <w:t xml:space="preserve"> Sentencia </w:t>
      </w:r>
      <w:hyperlink w:anchor="SENTENCIA_2025_137" w:history="1">
        <w:r w:rsidRPr="001D7FA9">
          <w:rPr>
            <w:rStyle w:val="TextoNormalCaracter"/>
          </w:rPr>
          <w:t>137/2025</w:t>
        </w:r>
      </w:hyperlink>
      <w:r>
        <w:t>, f. 7.</w:t>
      </w:r>
    </w:p>
    <w:p w14:paraId="303CFDCB" w14:textId="1B771912" w:rsidR="001D7FA9" w:rsidRDefault="001D7FA9" w:rsidP="001D7FA9">
      <w:pPr>
        <w:pStyle w:val="SangriaFrancesaArticulo"/>
      </w:pPr>
      <w:r w:rsidRPr="001D7FA9">
        <w:rPr>
          <w:rStyle w:val="TextoNormalNegritaCaracter"/>
        </w:rPr>
        <w:t>§ 59.</w:t>
      </w:r>
      <w:r w:rsidRPr="001D7FA9">
        <w:rPr>
          <w:rStyle w:val="TextoNormalCaracter"/>
        </w:rPr>
        <w:t>-</w:t>
      </w:r>
      <w:r>
        <w:t xml:space="preserve"> Sentencia </w:t>
      </w:r>
      <w:hyperlink w:anchor="SENTENCIA_2025_137" w:history="1">
        <w:r w:rsidRPr="001D7FA9">
          <w:rPr>
            <w:rStyle w:val="TextoNormalCaracter"/>
          </w:rPr>
          <w:t>137/2025</w:t>
        </w:r>
      </w:hyperlink>
      <w:r>
        <w:t>, f. 7.</w:t>
      </w:r>
    </w:p>
    <w:p w14:paraId="638D8C63" w14:textId="484F9612" w:rsidR="001D7FA9" w:rsidRDefault="001D7FA9" w:rsidP="001D7FA9">
      <w:pPr>
        <w:pStyle w:val="SangriaFrancesaArticulo"/>
      </w:pPr>
    </w:p>
    <w:p w14:paraId="3266D267" w14:textId="77777777" w:rsidR="001D7FA9" w:rsidRDefault="001D7FA9" w:rsidP="001D7FA9">
      <w:pPr>
        <w:pStyle w:val="TextoNormalNegritaCursivandice"/>
        <w:keepNext/>
      </w:pPr>
      <w:r>
        <w:t>Sentencia del Tribunal Europeo de Derechos Humanos de 9 de junio de 2009 (Opuz c. Turquía)</w:t>
      </w:r>
    </w:p>
    <w:p w14:paraId="589E1EE0" w14:textId="7C82E56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446D8603" w14:textId="6702FC05" w:rsidR="001D7FA9" w:rsidRDefault="001D7FA9" w:rsidP="001D7FA9">
      <w:pPr>
        <w:pStyle w:val="SangriaFrancesaArticulo"/>
      </w:pPr>
      <w:r w:rsidRPr="001D7FA9">
        <w:rPr>
          <w:rStyle w:val="TextoNormalNegritaCaracter"/>
        </w:rPr>
        <w:t>§ 74.</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223EECD3" w14:textId="1B4E6BC9" w:rsidR="001D7FA9" w:rsidRDefault="001D7FA9" w:rsidP="001D7FA9">
      <w:pPr>
        <w:pStyle w:val="SangriaFrancesaArticulo"/>
      </w:pPr>
      <w:r w:rsidRPr="001D7FA9">
        <w:rPr>
          <w:rStyle w:val="TextoNormalNegritaCaracter"/>
        </w:rPr>
        <w:t>§ 75.</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4EDE4F94" w14:textId="7F3B9FB1" w:rsidR="001D7FA9" w:rsidRDefault="001D7FA9" w:rsidP="001D7FA9">
      <w:pPr>
        <w:pStyle w:val="SangriaFrancesaArticulo"/>
      </w:pPr>
      <w:r w:rsidRPr="001D7FA9">
        <w:rPr>
          <w:rStyle w:val="TextoNormalNegritaCaracter"/>
        </w:rPr>
        <w:t>§ 132.</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38F527D2" w14:textId="0327B175" w:rsidR="001D7FA9" w:rsidRDefault="001D7FA9" w:rsidP="001D7FA9">
      <w:pPr>
        <w:pStyle w:val="SangriaFrancesaArticulo"/>
      </w:pPr>
      <w:r w:rsidRPr="001D7FA9">
        <w:rPr>
          <w:rStyle w:val="TextoNormalNegritaCaracter"/>
        </w:rPr>
        <w:t>§ 159.</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639AF420" w14:textId="4A945E5E" w:rsidR="001D7FA9" w:rsidRDefault="001D7FA9" w:rsidP="001D7FA9">
      <w:pPr>
        <w:pStyle w:val="SangriaFrancesaArticulo"/>
      </w:pPr>
    </w:p>
    <w:p w14:paraId="64328ABF" w14:textId="77777777" w:rsidR="001D7FA9" w:rsidRDefault="001D7FA9" w:rsidP="001D7FA9">
      <w:pPr>
        <w:pStyle w:val="TextoNormalNegritaCursivandice"/>
        <w:keepNext/>
      </w:pPr>
      <w:r>
        <w:t>Sentencia del Tribunal Europeo de Derechos Humanos de 16 de julio de 2009 (Féret c. Bélgica)</w:t>
      </w:r>
    </w:p>
    <w:p w14:paraId="2BCE6857" w14:textId="5BC970C9" w:rsidR="001D7FA9" w:rsidRDefault="001D7FA9" w:rsidP="001D7FA9">
      <w:pPr>
        <w:pStyle w:val="SangriaFrancesaArticulo"/>
      </w:pPr>
      <w:r w:rsidRPr="001D7FA9">
        <w:rPr>
          <w:rStyle w:val="TextoNormalNegritaCaracter"/>
        </w:rPr>
        <w:t>§ 64.</w:t>
      </w:r>
      <w:r w:rsidRPr="001D7FA9">
        <w:rPr>
          <w:rStyle w:val="TextoNormalCaracter"/>
        </w:rPr>
        <w:t>-</w:t>
      </w:r>
      <w:r>
        <w:t xml:space="preserve"> Sentencia </w:t>
      </w:r>
      <w:hyperlink w:anchor="SENTENCIA_2025_117" w:history="1">
        <w:r w:rsidRPr="001D7FA9">
          <w:rPr>
            <w:rStyle w:val="TextoNormalCaracter"/>
          </w:rPr>
          <w:t>117/2025</w:t>
        </w:r>
      </w:hyperlink>
      <w:r>
        <w:t>, f. 4.</w:t>
      </w:r>
    </w:p>
    <w:p w14:paraId="14507EDD" w14:textId="6F1FA373" w:rsidR="001D7FA9" w:rsidRDefault="001D7FA9" w:rsidP="001D7FA9">
      <w:pPr>
        <w:pStyle w:val="SangriaFrancesaArticulo"/>
      </w:pPr>
    </w:p>
    <w:p w14:paraId="748658CA" w14:textId="77777777" w:rsidR="001D7FA9" w:rsidRDefault="001D7FA9" w:rsidP="001D7FA9">
      <w:pPr>
        <w:pStyle w:val="TextoNormalNegritaCursivandice"/>
        <w:keepNext/>
      </w:pPr>
      <w:r>
        <w:t>Sentencia del Tribunal Europeo de Derechos Humanos de 15 de septiembre de 2009 (Amato Gauci c. Malta)</w:t>
      </w:r>
    </w:p>
    <w:p w14:paraId="67BEAD11" w14:textId="50A48E99" w:rsidR="001D7FA9" w:rsidRDefault="001D7FA9" w:rsidP="001D7FA9">
      <w:pPr>
        <w:pStyle w:val="SangriaFrancesaArticulo"/>
      </w:pPr>
      <w:r w:rsidRPr="001D7FA9">
        <w:rPr>
          <w:rStyle w:val="TextoNormalNegritaCaracter"/>
        </w:rPr>
        <w:t>§ 62.</w:t>
      </w:r>
      <w:r w:rsidRPr="001D7FA9">
        <w:rPr>
          <w:rStyle w:val="TextoNormalCaracter"/>
        </w:rPr>
        <w:t>-</w:t>
      </w:r>
      <w:r>
        <w:t xml:space="preserve"> Sentencia </w:t>
      </w:r>
      <w:hyperlink w:anchor="SENTENCIA_2025_26" w:history="1">
        <w:r w:rsidRPr="001D7FA9">
          <w:rPr>
            <w:rStyle w:val="TextoNormalCaracter"/>
          </w:rPr>
          <w:t>26/2025</w:t>
        </w:r>
      </w:hyperlink>
      <w:r>
        <w:t>, f. 5, VP II.</w:t>
      </w:r>
    </w:p>
    <w:p w14:paraId="3AC032E9" w14:textId="7A6DF78C" w:rsidR="001D7FA9" w:rsidRDefault="001D7FA9" w:rsidP="001D7FA9">
      <w:pPr>
        <w:pStyle w:val="SangriaFrancesaArticulo"/>
      </w:pPr>
    </w:p>
    <w:p w14:paraId="006C33A3" w14:textId="77777777" w:rsidR="001D7FA9" w:rsidRDefault="001D7FA9" w:rsidP="001D7FA9">
      <w:pPr>
        <w:pStyle w:val="TextoNormalNegritaCursivandice"/>
        <w:keepNext/>
      </w:pPr>
      <w:r>
        <w:t>Sentencia del Tribunal Europeo de Derechos Humanos de 13 de octubre de 2009 (Dayanan c. Turquía)</w:t>
      </w:r>
    </w:p>
    <w:p w14:paraId="01AD28E0" w14:textId="04B3D91F" w:rsidR="001D7FA9" w:rsidRDefault="001D7FA9" w:rsidP="001D7FA9">
      <w:pPr>
        <w:pStyle w:val="SangriaFrancesaArticulo"/>
      </w:pPr>
      <w:r w:rsidRPr="001D7FA9">
        <w:rPr>
          <w:rStyle w:val="TextoNormalNegritaCaracter"/>
        </w:rPr>
        <w:t>§ 32.</w:t>
      </w:r>
      <w:r w:rsidRPr="001D7FA9">
        <w:rPr>
          <w:rStyle w:val="TextoNormalCaracter"/>
        </w:rPr>
        <w:t>-</w:t>
      </w:r>
      <w:r>
        <w:t xml:space="preserve"> Auto </w:t>
      </w:r>
      <w:hyperlink w:anchor="AUTO_2025_28" w:history="1">
        <w:r w:rsidRPr="001D7FA9">
          <w:rPr>
            <w:rStyle w:val="TextoNormalCaracter"/>
          </w:rPr>
          <w:t>28/2025</w:t>
        </w:r>
      </w:hyperlink>
      <w:r>
        <w:t>, VP.</w:t>
      </w:r>
    </w:p>
    <w:p w14:paraId="3C5E35BA" w14:textId="053FF52B" w:rsidR="001D7FA9" w:rsidRDefault="001D7FA9" w:rsidP="001D7FA9">
      <w:pPr>
        <w:pStyle w:val="SangriaFrancesaArticulo"/>
      </w:pPr>
    </w:p>
    <w:p w14:paraId="660B0711" w14:textId="77777777" w:rsidR="001D7FA9" w:rsidRDefault="001D7FA9" w:rsidP="001D7FA9">
      <w:pPr>
        <w:pStyle w:val="TextoNormalNegritaCursivandice"/>
        <w:keepNext/>
      </w:pPr>
      <w:r>
        <w:t>Sentencia del Tribunal Europeo de Derechos Humanos de 1 de diciembre de 2009 (Eberhard y M c. Eslovenia)</w:t>
      </w:r>
    </w:p>
    <w:p w14:paraId="5DFEF062" w14:textId="566FDA2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39E9BB15" w14:textId="56BAF968" w:rsidR="001D7FA9" w:rsidRDefault="001D7FA9" w:rsidP="001D7FA9">
      <w:pPr>
        <w:pStyle w:val="SangriaFrancesaArticulo"/>
      </w:pPr>
    </w:p>
    <w:p w14:paraId="34E9C943" w14:textId="77777777" w:rsidR="001D7FA9" w:rsidRDefault="001D7FA9" w:rsidP="001D7FA9">
      <w:pPr>
        <w:pStyle w:val="TextoNormalNegritaCursivandice"/>
        <w:keepNext/>
      </w:pPr>
      <w:r>
        <w:t>Sentencia del Tribunal Europeo de Derechos Humanos de 15 de diciembre de 2009 (Gurguchiani c. España)</w:t>
      </w:r>
    </w:p>
    <w:p w14:paraId="67DA5295" w14:textId="6E644D3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57A8B28C" w14:textId="69248A41" w:rsidR="001D7FA9" w:rsidRDefault="001D7FA9" w:rsidP="001D7FA9">
      <w:pPr>
        <w:pStyle w:val="SangriaFrancesaArticulo"/>
      </w:pPr>
      <w:r w:rsidRPr="001D7FA9">
        <w:rPr>
          <w:rStyle w:val="TextoNormalNegritaCaracter"/>
        </w:rPr>
        <w:t>§ 40.</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6A8847DC" w14:textId="1E00156B" w:rsidR="001D7FA9" w:rsidRDefault="001D7FA9" w:rsidP="001D7FA9">
      <w:pPr>
        <w:pStyle w:val="SangriaFrancesaArticulo"/>
      </w:pPr>
      <w:r w:rsidRPr="001D7FA9">
        <w:rPr>
          <w:rStyle w:val="TextoNormalNegritaCaracter"/>
        </w:rPr>
        <w:t>§ 43.</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7A83E00D" w14:textId="3F6D4C16" w:rsidR="001D7FA9" w:rsidRDefault="001D7FA9" w:rsidP="001D7FA9">
      <w:pPr>
        <w:pStyle w:val="SangriaFrancesaArticulo"/>
      </w:pPr>
      <w:r w:rsidRPr="001D7FA9">
        <w:rPr>
          <w:rStyle w:val="TextoNormalNegritaCaracter"/>
        </w:rPr>
        <w:t>§ 44.</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7DB52D9B" w14:textId="3DC68B64" w:rsidR="001D7FA9" w:rsidRDefault="001D7FA9" w:rsidP="001D7FA9">
      <w:pPr>
        <w:pStyle w:val="SangriaFrancesaArticulo"/>
      </w:pPr>
      <w:r w:rsidRPr="001D7FA9">
        <w:rPr>
          <w:rStyle w:val="TextoNormalNegritaCaracter"/>
        </w:rPr>
        <w:t>§ 47.</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0946851B" w14:textId="716D0066" w:rsidR="001D7FA9" w:rsidRDefault="001D7FA9" w:rsidP="001D7FA9">
      <w:pPr>
        <w:pStyle w:val="SangriaFrancesaArticulo"/>
      </w:pPr>
    </w:p>
    <w:p w14:paraId="2A592E1F" w14:textId="77777777" w:rsidR="001D7FA9" w:rsidRDefault="001D7FA9" w:rsidP="001D7FA9">
      <w:pPr>
        <w:pStyle w:val="TextoNormalNegritaCursivandice"/>
        <w:keepNext/>
      </w:pPr>
      <w:r>
        <w:t>Sentencia del Tribunal Europeo de Derechos Humanos de 22 de diciembre de 2009 (Tapia Gasca y D. c. Eapaña)</w:t>
      </w:r>
    </w:p>
    <w:p w14:paraId="1F38F3E0" w14:textId="6F371D9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714CA31B" w14:textId="241A4795" w:rsidR="001D7FA9" w:rsidRDefault="001D7FA9" w:rsidP="001D7FA9">
      <w:pPr>
        <w:pStyle w:val="SangriaFrancesaArticulo"/>
      </w:pPr>
    </w:p>
    <w:p w14:paraId="521D142C" w14:textId="77777777" w:rsidR="001D7FA9" w:rsidRDefault="001D7FA9" w:rsidP="001D7FA9">
      <w:pPr>
        <w:pStyle w:val="TextoNormalNegritaCursivandice"/>
        <w:keepNext/>
      </w:pPr>
      <w:r>
        <w:t>Sentencia del Tribunal Europeo de Derechos Humanos de 6 de enero de 2010 (Vera Fernández-Huidobro c. España)</w:t>
      </w:r>
    </w:p>
    <w:p w14:paraId="18AF7A9F" w14:textId="296382A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5" w:history="1">
        <w:r w:rsidRPr="001D7FA9">
          <w:rPr>
            <w:rStyle w:val="TextoNormalCaracter"/>
          </w:rPr>
          <w:t>35/2025</w:t>
        </w:r>
      </w:hyperlink>
      <w:r>
        <w:t>, VP I.</w:t>
      </w:r>
    </w:p>
    <w:p w14:paraId="2F61DF6C" w14:textId="58C50075" w:rsidR="001D7FA9" w:rsidRDefault="001D7FA9" w:rsidP="001D7FA9">
      <w:pPr>
        <w:pStyle w:val="SangriaFrancesaArticulo"/>
      </w:pPr>
    </w:p>
    <w:p w14:paraId="126E119C" w14:textId="77777777" w:rsidR="001D7FA9" w:rsidRDefault="001D7FA9" w:rsidP="001D7FA9">
      <w:pPr>
        <w:pStyle w:val="TextoNormalNegritaCursivandice"/>
        <w:keepNext/>
      </w:pPr>
      <w:r>
        <w:t>Sentencia del Tribunal Europeo de Derechos Humanos de 23 de marzo de 2010 (Iorga c. Moldova)</w:t>
      </w:r>
    </w:p>
    <w:p w14:paraId="4614B7CB" w14:textId="5B1920FC" w:rsidR="001D7FA9" w:rsidRDefault="001D7FA9" w:rsidP="001D7FA9">
      <w:pPr>
        <w:pStyle w:val="SangriaFrancesaArticulo"/>
      </w:pPr>
      <w:r w:rsidRPr="001D7FA9">
        <w:rPr>
          <w:rStyle w:val="TextoNormalNegritaCaracter"/>
        </w:rPr>
        <w:t>§ 26.</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3AB3F0C6" w14:textId="2428A37D" w:rsidR="001D7FA9" w:rsidRDefault="001D7FA9" w:rsidP="001D7FA9">
      <w:pPr>
        <w:pStyle w:val="SangriaFrancesaArticulo"/>
      </w:pPr>
    </w:p>
    <w:p w14:paraId="36C4FFC5" w14:textId="77777777" w:rsidR="001D7FA9" w:rsidRDefault="001D7FA9" w:rsidP="001D7FA9">
      <w:pPr>
        <w:pStyle w:val="TextoNormalNegritaCursivandice"/>
        <w:keepNext/>
      </w:pPr>
      <w:r>
        <w:t>Sentencia del Tribunal Europeo de Derechos Humanos de 1 de junio de 2010 (Gäfgen c. Alemania)</w:t>
      </w:r>
    </w:p>
    <w:p w14:paraId="3ED9C607" w14:textId="56D6F065" w:rsidR="001D7FA9" w:rsidRDefault="001D7FA9" w:rsidP="001D7FA9">
      <w:pPr>
        <w:pStyle w:val="SangriaFrancesaArticulo"/>
      </w:pPr>
      <w:r w:rsidRPr="001D7FA9">
        <w:rPr>
          <w:rStyle w:val="TextoNormalNegritaCaracter"/>
        </w:rPr>
        <w:t>§ 107.</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76563845" w14:textId="64B996C4" w:rsidR="001D7FA9" w:rsidRDefault="001D7FA9" w:rsidP="001D7FA9">
      <w:pPr>
        <w:pStyle w:val="SangriaFrancesaArticulo"/>
      </w:pPr>
    </w:p>
    <w:p w14:paraId="0C928F08" w14:textId="77777777" w:rsidR="001D7FA9" w:rsidRDefault="001D7FA9" w:rsidP="001D7FA9">
      <w:pPr>
        <w:pStyle w:val="TextoNormalNegritaCursivandice"/>
        <w:keepNext/>
      </w:pPr>
      <w:r>
        <w:t>Sentencia del Tribunal Europeo de Derechos Humanos de 13 de julio de 2010 (Fusca c. Rumanía)</w:t>
      </w:r>
    </w:p>
    <w:p w14:paraId="0AC2AE2B" w14:textId="07D4912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432513F2" w14:textId="007B06DB" w:rsidR="001D7FA9" w:rsidRDefault="001D7FA9" w:rsidP="001D7FA9">
      <w:pPr>
        <w:pStyle w:val="SangriaFrancesaArticulo"/>
      </w:pPr>
    </w:p>
    <w:p w14:paraId="118A936A" w14:textId="77777777" w:rsidR="001D7FA9" w:rsidRDefault="001D7FA9" w:rsidP="001D7FA9">
      <w:pPr>
        <w:pStyle w:val="TextoNormalNegritaCursivandice"/>
        <w:keepNext/>
      </w:pPr>
      <w:r>
        <w:t>Sentencia del Tribunal Europeo de Derechos Humanos de 13 de julio de 2010 (Tendam c. España)</w:t>
      </w:r>
    </w:p>
    <w:p w14:paraId="0F16DCB1" w14:textId="56E1E399" w:rsidR="001D7FA9" w:rsidRDefault="001D7FA9" w:rsidP="001D7FA9">
      <w:pPr>
        <w:pStyle w:val="SangriaFrancesaArticulo"/>
      </w:pPr>
      <w:r w:rsidRPr="001D7FA9">
        <w:rPr>
          <w:rStyle w:val="TextoNormalNegritaCaracter"/>
        </w:rPr>
        <w:t>§ 38.</w:t>
      </w:r>
      <w:r w:rsidRPr="001D7FA9">
        <w:rPr>
          <w:rStyle w:val="TextoNormalCaracter"/>
        </w:rPr>
        <w:t>-</w:t>
      </w:r>
      <w:r>
        <w:t xml:space="preserve"> Sentencia </w:t>
      </w:r>
      <w:hyperlink w:anchor="SENTENCIA_2025_54" w:history="1">
        <w:r w:rsidRPr="001D7FA9">
          <w:rPr>
            <w:rStyle w:val="TextoNormalCaracter"/>
          </w:rPr>
          <w:t>54/2025</w:t>
        </w:r>
      </w:hyperlink>
      <w:r>
        <w:t>, VP.</w:t>
      </w:r>
    </w:p>
    <w:p w14:paraId="7243D585" w14:textId="2F6349E7" w:rsidR="001D7FA9" w:rsidRDefault="001D7FA9" w:rsidP="001D7FA9">
      <w:pPr>
        <w:pStyle w:val="SangriaFrancesaArticulo"/>
      </w:pPr>
    </w:p>
    <w:p w14:paraId="7DE842B8" w14:textId="77777777" w:rsidR="001D7FA9" w:rsidRDefault="001D7FA9" w:rsidP="001D7FA9">
      <w:pPr>
        <w:pStyle w:val="TextoNormalNegritaCursivandice"/>
        <w:keepNext/>
      </w:pPr>
      <w:r>
        <w:t>Sentencia del Tribunal Europeo de Derechos Humanos de 21 de septiembre de 2010 (Mijuškovic c. Montenegro)</w:t>
      </w:r>
    </w:p>
    <w:p w14:paraId="7FB5F794" w14:textId="1613405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114C302E" w14:textId="32E11381" w:rsidR="001D7FA9" w:rsidRDefault="001D7FA9" w:rsidP="001D7FA9">
      <w:pPr>
        <w:pStyle w:val="SangriaFrancesaArticulo"/>
      </w:pPr>
    </w:p>
    <w:p w14:paraId="15B0F5C6" w14:textId="77777777" w:rsidR="001D7FA9" w:rsidRDefault="001D7FA9" w:rsidP="001D7FA9">
      <w:pPr>
        <w:pStyle w:val="TextoNormalNegritaCursivandice"/>
        <w:keepNext/>
      </w:pPr>
      <w:r>
        <w:t>Sentencia del Tribunal Europeo de Derechos Humanos de 16 de noviembre de 2010 (Taxquet c. Bélgica)</w:t>
      </w:r>
    </w:p>
    <w:p w14:paraId="29A0B040" w14:textId="10AAF175" w:rsidR="001D7FA9" w:rsidRDefault="001D7FA9" w:rsidP="001D7FA9">
      <w:pPr>
        <w:pStyle w:val="SangriaFrancesaArticulo"/>
      </w:pPr>
      <w:r w:rsidRPr="001D7FA9">
        <w:rPr>
          <w:rStyle w:val="TextoNormalNegritaCaracter"/>
        </w:rPr>
        <w:t>§ 91.</w:t>
      </w:r>
      <w:r w:rsidRPr="001D7FA9">
        <w:rPr>
          <w:rStyle w:val="TextoNormalCaracter"/>
        </w:rPr>
        <w:t>-</w:t>
      </w:r>
      <w:r>
        <w:t xml:space="preserve"> Auto </w:t>
      </w:r>
      <w:hyperlink w:anchor="AUTO_2025_35" w:history="1">
        <w:r w:rsidRPr="001D7FA9">
          <w:rPr>
            <w:rStyle w:val="TextoNormalCaracter"/>
          </w:rPr>
          <w:t>35/2025</w:t>
        </w:r>
      </w:hyperlink>
      <w:r>
        <w:t>, VP II.</w:t>
      </w:r>
    </w:p>
    <w:p w14:paraId="3AAE8FFD" w14:textId="55D6B9BF" w:rsidR="001D7FA9" w:rsidRDefault="001D7FA9" w:rsidP="001D7FA9">
      <w:pPr>
        <w:pStyle w:val="SangriaFrancesaArticulo"/>
      </w:pPr>
    </w:p>
    <w:p w14:paraId="35095CF4" w14:textId="77777777" w:rsidR="001D7FA9" w:rsidRDefault="001D7FA9" w:rsidP="001D7FA9">
      <w:pPr>
        <w:pStyle w:val="TextoNormalNegritaCursivandice"/>
        <w:keepNext/>
      </w:pPr>
      <w:r>
        <w:t>Sentencia del Tribunal Europeo de Derechos Humanos de 6 de enero de 2011 (Paksas c. Lituania)</w:t>
      </w:r>
    </w:p>
    <w:p w14:paraId="0271EEB3" w14:textId="65CA9D32" w:rsidR="001D7FA9" w:rsidRDefault="001D7FA9" w:rsidP="001D7FA9">
      <w:pPr>
        <w:pStyle w:val="SangriaFrancesaArticulo"/>
      </w:pPr>
      <w:r w:rsidRPr="001D7FA9">
        <w:rPr>
          <w:rStyle w:val="TextoNormalNegritaCaracter"/>
        </w:rPr>
        <w:t>§ 65.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41DE266" w14:textId="09830560" w:rsidR="001D7FA9" w:rsidRDefault="001D7FA9" w:rsidP="001D7FA9">
      <w:pPr>
        <w:pStyle w:val="SangriaFrancesaArticulo"/>
      </w:pPr>
    </w:p>
    <w:p w14:paraId="35790F56" w14:textId="77777777" w:rsidR="001D7FA9" w:rsidRDefault="001D7FA9" w:rsidP="001D7FA9">
      <w:pPr>
        <w:pStyle w:val="TextoNormalNegritaCursivandice"/>
        <w:keepNext/>
      </w:pPr>
      <w:r>
        <w:t>Sentencia del Tribunal Europeo de Derechos Humanos de 24 de marzo de 2011 (Giuliani y Gaggio c. Italia)</w:t>
      </w:r>
    </w:p>
    <w:p w14:paraId="2B8EC46D" w14:textId="01F2607D" w:rsidR="001D7FA9" w:rsidRDefault="001D7FA9" w:rsidP="001D7FA9">
      <w:pPr>
        <w:pStyle w:val="SangriaFrancesaArticulo"/>
      </w:pPr>
      <w:r w:rsidRPr="001D7FA9">
        <w:rPr>
          <w:rStyle w:val="TextoNormalNegritaCaracter"/>
        </w:rPr>
        <w:t>§ 244 a 251.</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52B42602" w14:textId="6422F145" w:rsidR="001D7FA9" w:rsidRDefault="001D7FA9" w:rsidP="001D7FA9">
      <w:pPr>
        <w:pStyle w:val="SangriaFrancesaArticulo"/>
      </w:pPr>
    </w:p>
    <w:p w14:paraId="5632395D" w14:textId="77777777" w:rsidR="001D7FA9" w:rsidRDefault="001D7FA9" w:rsidP="001D7FA9">
      <w:pPr>
        <w:pStyle w:val="TextoNormalNegritaCursivandice"/>
        <w:keepNext/>
      </w:pPr>
      <w:r>
        <w:t>Sentencia del Tribunal Europeo de Derechos Humanos de 29 de marzo de 2011 (Potomska y Potomski c. Polonia)</w:t>
      </w:r>
    </w:p>
    <w:p w14:paraId="35E0C4F3" w14:textId="22167B0F" w:rsidR="001D7FA9" w:rsidRDefault="001D7FA9" w:rsidP="001D7FA9">
      <w:pPr>
        <w:pStyle w:val="SangriaFrancesaArticulo"/>
      </w:pPr>
      <w:r w:rsidRPr="001D7FA9">
        <w:rPr>
          <w:rStyle w:val="TextoNormalNegritaCaracter"/>
        </w:rPr>
        <w:t>§ 65.</w:t>
      </w:r>
      <w:r w:rsidRPr="001D7FA9">
        <w:rPr>
          <w:rStyle w:val="TextoNormalCaracter"/>
        </w:rPr>
        <w:t>-</w:t>
      </w:r>
      <w:r>
        <w:t xml:space="preserve"> Sentencia </w:t>
      </w:r>
      <w:hyperlink w:anchor="SENTENCIA_2025_26" w:history="1">
        <w:r w:rsidRPr="001D7FA9">
          <w:rPr>
            <w:rStyle w:val="TextoNormalCaracter"/>
          </w:rPr>
          <w:t>26/2025</w:t>
        </w:r>
      </w:hyperlink>
      <w:r>
        <w:t>, f. 5.</w:t>
      </w:r>
    </w:p>
    <w:p w14:paraId="371F8774" w14:textId="4F9C2FC0" w:rsidR="001D7FA9" w:rsidRDefault="001D7FA9" w:rsidP="001D7FA9">
      <w:pPr>
        <w:pStyle w:val="SangriaFrancesaArticulo"/>
      </w:pPr>
    </w:p>
    <w:p w14:paraId="708EE067" w14:textId="77777777" w:rsidR="001D7FA9" w:rsidRDefault="001D7FA9" w:rsidP="001D7FA9">
      <w:pPr>
        <w:pStyle w:val="TextoNormalNegritaCursivandice"/>
        <w:keepNext/>
      </w:pPr>
      <w:r>
        <w:t>Sentencia del Tribunal Europeo de Derechos Humanos de 19 de abril de 2011 (Bozhkov c. Bulgaria)</w:t>
      </w:r>
    </w:p>
    <w:p w14:paraId="6950ED2E" w14:textId="6FC0BE5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2" w:history="1">
        <w:r w:rsidRPr="001D7FA9">
          <w:rPr>
            <w:rStyle w:val="TextoNormalCaracter"/>
          </w:rPr>
          <w:t>62/2025</w:t>
        </w:r>
      </w:hyperlink>
      <w:r>
        <w:t>, VP II.</w:t>
      </w:r>
    </w:p>
    <w:p w14:paraId="119ABACD" w14:textId="5D782F17" w:rsidR="001D7FA9" w:rsidRDefault="001D7FA9" w:rsidP="001D7FA9">
      <w:pPr>
        <w:pStyle w:val="SangriaFrancesaArticulo"/>
      </w:pPr>
      <w:r w:rsidRPr="001D7FA9">
        <w:rPr>
          <w:rStyle w:val="TextoNormalNegritaCaracter"/>
        </w:rPr>
        <w:t>§ 46.</w:t>
      </w:r>
      <w:r w:rsidRPr="001D7FA9">
        <w:rPr>
          <w:rStyle w:val="TextoNormalCaracter"/>
        </w:rPr>
        <w:t>-</w:t>
      </w:r>
      <w:r>
        <w:t xml:space="preserve"> Sentencia </w:t>
      </w:r>
      <w:hyperlink w:anchor="SENTENCIA_2025_62" w:history="1">
        <w:r w:rsidRPr="001D7FA9">
          <w:rPr>
            <w:rStyle w:val="TextoNormalCaracter"/>
          </w:rPr>
          <w:t>62/2025</w:t>
        </w:r>
      </w:hyperlink>
      <w:r>
        <w:t>, f. 4.</w:t>
      </w:r>
    </w:p>
    <w:p w14:paraId="0E69B88A" w14:textId="08D940E1" w:rsidR="001D7FA9" w:rsidRDefault="001D7FA9" w:rsidP="001D7FA9">
      <w:pPr>
        <w:pStyle w:val="SangriaFrancesaArticulo"/>
      </w:pPr>
    </w:p>
    <w:p w14:paraId="09BB9CF2" w14:textId="77777777" w:rsidR="001D7FA9" w:rsidRDefault="001D7FA9" w:rsidP="001D7FA9">
      <w:pPr>
        <w:pStyle w:val="TextoNormalNegritaCursivandice"/>
        <w:keepNext/>
      </w:pPr>
      <w:r>
        <w:t>Sentencia del Tribunal Europeo de Derechos Humanos de 26 de abril de 2011 (Enukidze y Girgvliani c. Georgia)</w:t>
      </w:r>
    </w:p>
    <w:p w14:paraId="7C66396B" w14:textId="306392EF" w:rsidR="001D7FA9" w:rsidRDefault="001D7FA9" w:rsidP="001D7FA9">
      <w:pPr>
        <w:pStyle w:val="SangriaFrancesaArticulo"/>
      </w:pPr>
      <w:r w:rsidRPr="001D7FA9">
        <w:rPr>
          <w:rStyle w:val="TextoNormalNegritaCaracter"/>
        </w:rPr>
        <w:t>§ 273 a 275.</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4CA41282" w14:textId="4D66D0D4" w:rsidR="001D7FA9" w:rsidRDefault="001D7FA9" w:rsidP="001D7FA9">
      <w:pPr>
        <w:pStyle w:val="SangriaFrancesaArticulo"/>
      </w:pPr>
    </w:p>
    <w:p w14:paraId="11319750" w14:textId="77777777" w:rsidR="001D7FA9" w:rsidRDefault="001D7FA9" w:rsidP="001D7FA9">
      <w:pPr>
        <w:pStyle w:val="TextoNormalNegritaCursivandice"/>
        <w:keepNext/>
      </w:pPr>
      <w:r>
        <w:t>Sentencia del Tribunal Europeo de Derechos Humanos de 3 de mayo de 2011 (Saleck Bardi c. España)</w:t>
      </w:r>
    </w:p>
    <w:p w14:paraId="6040BB90" w14:textId="011825F5" w:rsidR="001D7FA9" w:rsidRDefault="001D7FA9" w:rsidP="001D7FA9">
      <w:pPr>
        <w:pStyle w:val="SangriaFrancesaArticulo"/>
      </w:pPr>
      <w:r w:rsidRPr="001D7FA9">
        <w:rPr>
          <w:rStyle w:val="TextoNormalNegritaCaracter"/>
        </w:rPr>
        <w:t>§ 52.</w:t>
      </w:r>
      <w:r w:rsidRPr="001D7FA9">
        <w:rPr>
          <w:rStyle w:val="TextoNormalCaracter"/>
        </w:rPr>
        <w:t>-</w:t>
      </w:r>
      <w:r>
        <w:t xml:space="preserve"> Sentencia </w:t>
      </w:r>
      <w:hyperlink w:anchor="SENTENCIA_2025_54" w:history="1">
        <w:r w:rsidRPr="001D7FA9">
          <w:rPr>
            <w:rStyle w:val="TextoNormalCaracter"/>
          </w:rPr>
          <w:t>54/2025</w:t>
        </w:r>
      </w:hyperlink>
      <w:r>
        <w:t>, VP.</w:t>
      </w:r>
    </w:p>
    <w:p w14:paraId="621A0503" w14:textId="1B3F237A" w:rsidR="001D7FA9" w:rsidRDefault="001D7FA9" w:rsidP="001D7FA9">
      <w:pPr>
        <w:pStyle w:val="SangriaFrancesaArticulo"/>
      </w:pPr>
    </w:p>
    <w:p w14:paraId="665BD990" w14:textId="77777777" w:rsidR="001D7FA9" w:rsidRDefault="001D7FA9" w:rsidP="001D7FA9">
      <w:pPr>
        <w:pStyle w:val="TextoNormalNegritaCursivandice"/>
        <w:keepNext/>
      </w:pPr>
      <w:r>
        <w:t>Sentencia del Tribunal Europeo de Derechos Humanos de 28 de junio de 2011 (Ruspoli Morenés c. España)</w:t>
      </w:r>
    </w:p>
    <w:p w14:paraId="48FD95D5" w14:textId="003D9DB3" w:rsidR="001D7FA9" w:rsidRDefault="001D7FA9" w:rsidP="001D7FA9">
      <w:pPr>
        <w:pStyle w:val="SangriaFrancesaArticulo"/>
      </w:pPr>
      <w:r w:rsidRPr="001D7FA9">
        <w:rPr>
          <w:rStyle w:val="TextoNormalNegritaCaracter"/>
        </w:rPr>
        <w:t>§ 34.</w:t>
      </w:r>
      <w:r w:rsidRPr="001D7FA9">
        <w:rPr>
          <w:rStyle w:val="TextoNormalCaracter"/>
        </w:rPr>
        <w:t>-</w:t>
      </w:r>
      <w:r>
        <w:t xml:space="preserve"> Sentencia </w:t>
      </w:r>
      <w:hyperlink w:anchor="SENTENCIA_2025_25" w:history="1">
        <w:r w:rsidRPr="001D7FA9">
          <w:rPr>
            <w:rStyle w:val="TextoNormalCaracter"/>
          </w:rPr>
          <w:t>25/2025</w:t>
        </w:r>
      </w:hyperlink>
      <w:r>
        <w:t>, f. 5.</w:t>
      </w:r>
    </w:p>
    <w:p w14:paraId="4B52E8E1" w14:textId="2D4B9667" w:rsidR="001D7FA9" w:rsidRDefault="001D7FA9" w:rsidP="001D7FA9">
      <w:pPr>
        <w:pStyle w:val="SangriaFrancesaArticulo"/>
      </w:pPr>
      <w:r w:rsidRPr="001D7FA9">
        <w:rPr>
          <w:rStyle w:val="TextoNormalNegritaCaracter"/>
        </w:rPr>
        <w:t>§ 36.</w:t>
      </w:r>
      <w:r w:rsidRPr="001D7FA9">
        <w:rPr>
          <w:rStyle w:val="TextoNormalCaracter"/>
        </w:rPr>
        <w:t>-</w:t>
      </w:r>
      <w:r>
        <w:t xml:space="preserve"> Sentencia </w:t>
      </w:r>
      <w:hyperlink w:anchor="SENTENCIA_2025_25" w:history="1">
        <w:r w:rsidRPr="001D7FA9">
          <w:rPr>
            <w:rStyle w:val="TextoNormalCaracter"/>
          </w:rPr>
          <w:t>25/2025</w:t>
        </w:r>
      </w:hyperlink>
      <w:r>
        <w:t>, f. 5.</w:t>
      </w:r>
    </w:p>
    <w:p w14:paraId="25CEA35E" w14:textId="035E14DC" w:rsidR="001D7FA9" w:rsidRDefault="001D7FA9" w:rsidP="001D7FA9">
      <w:pPr>
        <w:pStyle w:val="SangriaFrancesaArticulo"/>
      </w:pPr>
    </w:p>
    <w:p w14:paraId="542E655C" w14:textId="77777777" w:rsidR="001D7FA9" w:rsidRDefault="001D7FA9" w:rsidP="001D7FA9">
      <w:pPr>
        <w:pStyle w:val="TextoNormalNegritaCursivandice"/>
        <w:keepNext/>
      </w:pPr>
      <w:r>
        <w:t>Sentencia del Tribunal Europeo de Derechos Humanos de 7 de julio de 2011 (Al-Skeini y otros c. Reino Unido)</w:t>
      </w:r>
    </w:p>
    <w:p w14:paraId="39DAB675" w14:textId="060A07E4" w:rsidR="001D7FA9" w:rsidRDefault="001D7FA9" w:rsidP="001D7FA9">
      <w:pPr>
        <w:pStyle w:val="SangriaFrancesaArticulo"/>
      </w:pPr>
      <w:r w:rsidRPr="001D7FA9">
        <w:rPr>
          <w:rStyle w:val="TextoNormalNegritaCaracter"/>
        </w:rPr>
        <w:t>§ 166.</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1AEECBC8" w14:textId="560C886E" w:rsidR="001D7FA9" w:rsidRDefault="001D7FA9" w:rsidP="001D7FA9">
      <w:pPr>
        <w:pStyle w:val="SangriaFrancesaArticulo"/>
      </w:pPr>
    </w:p>
    <w:p w14:paraId="380B971B" w14:textId="77777777" w:rsidR="001D7FA9" w:rsidRDefault="001D7FA9" w:rsidP="001D7FA9">
      <w:pPr>
        <w:pStyle w:val="TextoNormalNegritaCursivandice"/>
        <w:keepNext/>
      </w:pPr>
      <w:r>
        <w:t>Sentencia del Tribunal Europeo de Derechos Humanos de 11 de julio de 2017 (Moreira Ferreira c. Portugal)</w:t>
      </w:r>
    </w:p>
    <w:p w14:paraId="39DBC3E5" w14:textId="39E866D7" w:rsidR="001D7FA9" w:rsidRDefault="001D7FA9" w:rsidP="001D7FA9">
      <w:pPr>
        <w:pStyle w:val="SangriaFrancesaArticulo"/>
      </w:pPr>
      <w:r w:rsidRPr="001D7FA9">
        <w:rPr>
          <w:rStyle w:val="TextoNormalNegritaCaracter"/>
        </w:rPr>
        <w:t>§ 84.</w:t>
      </w:r>
      <w:r w:rsidRPr="001D7FA9">
        <w:rPr>
          <w:rStyle w:val="TextoNormalCaracter"/>
        </w:rPr>
        <w:t>-</w:t>
      </w:r>
      <w:r>
        <w:t xml:space="preserve"> Auto </w:t>
      </w:r>
      <w:hyperlink w:anchor="AUTO_2025_35" w:history="1">
        <w:r w:rsidRPr="001D7FA9">
          <w:rPr>
            <w:rStyle w:val="TextoNormalCaracter"/>
          </w:rPr>
          <w:t>35/2025</w:t>
        </w:r>
      </w:hyperlink>
      <w:r>
        <w:t>, VP II.</w:t>
      </w:r>
    </w:p>
    <w:p w14:paraId="2A4038F6" w14:textId="7CD6071C" w:rsidR="001D7FA9" w:rsidRDefault="001D7FA9" w:rsidP="001D7FA9">
      <w:pPr>
        <w:pStyle w:val="SangriaFrancesaArticulo"/>
      </w:pPr>
    </w:p>
    <w:p w14:paraId="7CAF3155" w14:textId="77777777" w:rsidR="001D7FA9" w:rsidRDefault="001D7FA9" w:rsidP="001D7FA9">
      <w:pPr>
        <w:pStyle w:val="TextoNormalNegritaCursivandice"/>
        <w:keepNext/>
      </w:pPr>
      <w:r>
        <w:t>Sentencia del Tribunal Europeo de Derechos Humanos de 20 de septiembre de 2011 (Ullens de Schooten y Rezabek c. Bélgica)</w:t>
      </w:r>
    </w:p>
    <w:p w14:paraId="23BE2AA0" w14:textId="6FC5AB2A"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022B2A5" w14:textId="5FDBEA20"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5D6664B4" w14:textId="01EF8E81" w:rsidR="001D7FA9" w:rsidRDefault="001D7FA9" w:rsidP="001D7FA9">
      <w:pPr>
        <w:pStyle w:val="SangriaFrancesaArticulo"/>
      </w:pPr>
      <w:r w:rsidRPr="001D7FA9">
        <w:rPr>
          <w:rStyle w:val="TextoNormalNegritaCaracter"/>
        </w:rPr>
        <w:t>§ 54 a 59.</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34B8C85" w14:textId="45AB9EEC" w:rsidR="001D7FA9" w:rsidRDefault="001D7FA9" w:rsidP="001D7FA9">
      <w:pPr>
        <w:pStyle w:val="SangriaFrancesaArticulo"/>
      </w:pPr>
      <w:r w:rsidRPr="001D7FA9">
        <w:rPr>
          <w:rStyle w:val="TextoNormalNegritaCaracter"/>
        </w:rPr>
        <w:t>§ 56.</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A57BB98" w14:textId="62C4645F" w:rsidR="001D7FA9" w:rsidRDefault="001D7FA9" w:rsidP="001D7FA9">
      <w:pPr>
        <w:pStyle w:val="SangriaFrancesaArticulo"/>
      </w:pPr>
    </w:p>
    <w:p w14:paraId="7824C1C8" w14:textId="77777777" w:rsidR="001D7FA9" w:rsidRDefault="001D7FA9" w:rsidP="001D7FA9">
      <w:pPr>
        <w:pStyle w:val="TextoNormalNegritaCursivandice"/>
        <w:keepNext/>
      </w:pPr>
      <w:r>
        <w:t>Sentencia del Tribunal Europeo de Derechos Humanos de 17 de enero de 2012 (Kopf y Liberda c. Austria)</w:t>
      </w:r>
    </w:p>
    <w:p w14:paraId="2ECB26D1" w14:textId="347CCC7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4E2C6A89" w14:textId="18FFF79E" w:rsidR="001D7FA9" w:rsidRDefault="001D7FA9" w:rsidP="001D7FA9">
      <w:pPr>
        <w:pStyle w:val="SangriaFrancesaArticulo"/>
      </w:pPr>
    </w:p>
    <w:p w14:paraId="03EDE7FB" w14:textId="77777777" w:rsidR="001D7FA9" w:rsidRDefault="001D7FA9" w:rsidP="001D7FA9">
      <w:pPr>
        <w:pStyle w:val="TextoNormalNegritaCursivandice"/>
        <w:keepNext/>
      </w:pPr>
      <w:r>
        <w:t>Sentencia del Tribunal Europeo de Derechos Humanos de 7 de febrero de 2012 (Von Hannover c. Alemania —núm. 2—)</w:t>
      </w:r>
    </w:p>
    <w:p w14:paraId="0FCED0BE" w14:textId="1C1E0E6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2" w:history="1">
        <w:r w:rsidRPr="001D7FA9">
          <w:rPr>
            <w:rStyle w:val="TextoNormalCaracter"/>
          </w:rPr>
          <w:t>62/2025</w:t>
        </w:r>
      </w:hyperlink>
      <w:r>
        <w:t>, VP II.</w:t>
      </w:r>
    </w:p>
    <w:p w14:paraId="216DD2C3" w14:textId="30E51454" w:rsidR="001D7FA9" w:rsidRDefault="001D7FA9" w:rsidP="001D7FA9">
      <w:pPr>
        <w:pStyle w:val="SangriaFrancesaArticulo"/>
      </w:pPr>
      <w:r w:rsidRPr="001D7FA9">
        <w:rPr>
          <w:rStyle w:val="TextoNormalNegritaCaracter"/>
        </w:rPr>
        <w:t>§ 96.</w:t>
      </w:r>
      <w:r w:rsidRPr="001D7FA9">
        <w:rPr>
          <w:rStyle w:val="TextoNormalCaracter"/>
        </w:rPr>
        <w:t>-</w:t>
      </w:r>
      <w:r>
        <w:t xml:space="preserve"> Sentencia </w:t>
      </w:r>
      <w:hyperlink w:anchor="SENTENCIA_2025_62" w:history="1">
        <w:r w:rsidRPr="001D7FA9">
          <w:rPr>
            <w:rStyle w:val="TextoNormalCaracter"/>
          </w:rPr>
          <w:t>62/2025</w:t>
        </w:r>
      </w:hyperlink>
      <w:r>
        <w:t>, f. 4.</w:t>
      </w:r>
    </w:p>
    <w:p w14:paraId="4D1393AA" w14:textId="0969E779" w:rsidR="001D7FA9" w:rsidRDefault="001D7FA9" w:rsidP="001D7FA9">
      <w:pPr>
        <w:pStyle w:val="SangriaFrancesaArticulo"/>
      </w:pPr>
      <w:r w:rsidRPr="001D7FA9">
        <w:rPr>
          <w:rStyle w:val="TextoNormalNegritaCaracter"/>
        </w:rPr>
        <w:t>§ 113.</w:t>
      </w:r>
      <w:r w:rsidRPr="001D7FA9">
        <w:rPr>
          <w:rStyle w:val="TextoNormalCaracter"/>
        </w:rPr>
        <w:t>-</w:t>
      </w:r>
      <w:r>
        <w:t xml:space="preserve"> Sentencia </w:t>
      </w:r>
      <w:hyperlink w:anchor="SENTENCIA_2025_62" w:history="1">
        <w:r w:rsidRPr="001D7FA9">
          <w:rPr>
            <w:rStyle w:val="TextoNormalCaracter"/>
          </w:rPr>
          <w:t>62/2025</w:t>
        </w:r>
      </w:hyperlink>
      <w:r>
        <w:t>, f. 4.</w:t>
      </w:r>
    </w:p>
    <w:p w14:paraId="278230C9" w14:textId="489667A9" w:rsidR="001D7FA9" w:rsidRDefault="001D7FA9" w:rsidP="001D7FA9">
      <w:pPr>
        <w:pStyle w:val="SangriaFrancesaArticulo"/>
      </w:pPr>
    </w:p>
    <w:p w14:paraId="21B015C0" w14:textId="77777777" w:rsidR="001D7FA9" w:rsidRDefault="001D7FA9" w:rsidP="001D7FA9">
      <w:pPr>
        <w:pStyle w:val="TextoNormalNegritaCursivandice"/>
        <w:keepNext/>
      </w:pPr>
      <w:r>
        <w:t>Sentencia del Tribunal Europeo de Derechos Humanos de 12 de septiembre de 2012 (Nada c. Suiza)</w:t>
      </w:r>
    </w:p>
    <w:p w14:paraId="1F0A7122" w14:textId="048EA8A4" w:rsidR="001D7FA9" w:rsidRDefault="001D7FA9" w:rsidP="001D7FA9">
      <w:pPr>
        <w:pStyle w:val="SangriaFrancesaArticulo"/>
      </w:pPr>
      <w:r w:rsidRPr="001D7FA9">
        <w:rPr>
          <w:rStyle w:val="TextoNormalNegritaCaracter"/>
        </w:rPr>
        <w:t>§ 165.</w:t>
      </w:r>
      <w:r w:rsidRPr="001D7FA9">
        <w:rPr>
          <w:rStyle w:val="TextoNormalCaracter"/>
        </w:rPr>
        <w:t>-</w:t>
      </w:r>
      <w:r>
        <w:t xml:space="preserve"> Sentencia </w:t>
      </w:r>
      <w:hyperlink w:anchor="SENTENCIA_2025_95" w:history="1">
        <w:r w:rsidRPr="001D7FA9">
          <w:rPr>
            <w:rStyle w:val="TextoNormalCaracter"/>
          </w:rPr>
          <w:t>95/2025</w:t>
        </w:r>
      </w:hyperlink>
      <w:r>
        <w:t>, f. 3.</w:t>
      </w:r>
    </w:p>
    <w:p w14:paraId="436FE01B" w14:textId="35F54FFD" w:rsidR="001D7FA9" w:rsidRDefault="001D7FA9" w:rsidP="001D7FA9">
      <w:pPr>
        <w:pStyle w:val="SangriaFrancesaArticulo"/>
      </w:pPr>
    </w:p>
    <w:p w14:paraId="7B28C761" w14:textId="77777777" w:rsidR="001D7FA9" w:rsidRDefault="001D7FA9" w:rsidP="001D7FA9">
      <w:pPr>
        <w:pStyle w:val="TextoNormalNegritaCursivandice"/>
        <w:keepNext/>
      </w:pPr>
      <w:r>
        <w:t>Sentencia del Tribunal Europeo de Derechos Humanos de 23 de octubre de 2012 (Yotova c. Bulgaria)</w:t>
      </w:r>
    </w:p>
    <w:p w14:paraId="0AF020AE" w14:textId="18F97324" w:rsidR="001D7FA9" w:rsidRDefault="001D7FA9" w:rsidP="001D7FA9">
      <w:pPr>
        <w:pStyle w:val="SangriaFrancesaArticulo"/>
      </w:pPr>
      <w:r w:rsidRPr="001D7FA9">
        <w:rPr>
          <w:rStyle w:val="TextoNormalNegritaCaracter"/>
        </w:rPr>
        <w:t>§ 68.</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521BBC85" w14:textId="0D1C1F79" w:rsidR="001D7FA9" w:rsidRDefault="001D7FA9" w:rsidP="001D7FA9">
      <w:pPr>
        <w:pStyle w:val="SangriaFrancesaArticulo"/>
      </w:pPr>
    </w:p>
    <w:p w14:paraId="3D7826E9" w14:textId="77777777" w:rsidR="001D7FA9" w:rsidRDefault="001D7FA9" w:rsidP="001D7FA9">
      <w:pPr>
        <w:pStyle w:val="TextoNormalNegritaCursivandice"/>
        <w:keepNext/>
      </w:pPr>
      <w:r>
        <w:t>Sentencia del Tribunal Europeo de Derechos Humanos de 18 de diciembre de 2012 (Ahmet Yildirim c. Turquía)</w:t>
      </w:r>
    </w:p>
    <w:p w14:paraId="3CE9F0B4" w14:textId="1FCF712B" w:rsidR="001D7FA9" w:rsidRDefault="001D7FA9" w:rsidP="001D7FA9">
      <w:pPr>
        <w:pStyle w:val="SangriaFrancesaArticulo"/>
      </w:pPr>
      <w:r w:rsidRPr="001D7FA9">
        <w:rPr>
          <w:rStyle w:val="TextoNormalNegritaCaracter"/>
        </w:rPr>
        <w:t>§ 48.</w:t>
      </w:r>
      <w:r w:rsidRPr="001D7FA9">
        <w:rPr>
          <w:rStyle w:val="TextoNormalCaracter"/>
        </w:rPr>
        <w:t>-</w:t>
      </w:r>
      <w:r>
        <w:t xml:space="preserve"> Sentencia </w:t>
      </w:r>
      <w:hyperlink w:anchor="SENTENCIA_2025_100" w:history="1">
        <w:r w:rsidRPr="001D7FA9">
          <w:rPr>
            <w:rStyle w:val="TextoNormalCaracter"/>
          </w:rPr>
          <w:t>100/2025</w:t>
        </w:r>
      </w:hyperlink>
      <w:r>
        <w:t>, f. 3.</w:t>
      </w:r>
    </w:p>
    <w:p w14:paraId="62AADF97" w14:textId="50508ACE" w:rsidR="001D7FA9" w:rsidRDefault="001D7FA9" w:rsidP="001D7FA9">
      <w:pPr>
        <w:pStyle w:val="SangriaFrancesaArticulo"/>
      </w:pPr>
    </w:p>
    <w:p w14:paraId="3A1FC8BC" w14:textId="77777777" w:rsidR="001D7FA9" w:rsidRDefault="001D7FA9" w:rsidP="001D7FA9">
      <w:pPr>
        <w:pStyle w:val="TextoNormalNegritaCursivandice"/>
        <w:keepNext/>
      </w:pPr>
      <w:r>
        <w:t>Sentencia del Tribunal Europeo de Derechos Humanos de 14 de marzo de 2013 (Eon c. Francia)</w:t>
      </w:r>
    </w:p>
    <w:p w14:paraId="0E8D8DB7" w14:textId="148D0F2A" w:rsidR="001D7FA9" w:rsidRDefault="001D7FA9" w:rsidP="001D7FA9">
      <w:pPr>
        <w:pStyle w:val="SangriaFrancesaArticulo"/>
      </w:pPr>
      <w:r w:rsidRPr="001D7FA9">
        <w:rPr>
          <w:rStyle w:val="TextoNormalNegritaCaracter"/>
        </w:rPr>
        <w:t>§ 60.</w:t>
      </w:r>
      <w:r w:rsidRPr="001D7FA9">
        <w:rPr>
          <w:rStyle w:val="TextoNormalCaracter"/>
        </w:rPr>
        <w:t>-</w:t>
      </w:r>
      <w:r>
        <w:t xml:space="preserve"> Sentencia </w:t>
      </w:r>
      <w:hyperlink w:anchor="SENTENCIA_2025_117" w:history="1">
        <w:r w:rsidRPr="001D7FA9">
          <w:rPr>
            <w:rStyle w:val="TextoNormalCaracter"/>
          </w:rPr>
          <w:t>117/2025</w:t>
        </w:r>
      </w:hyperlink>
      <w:r>
        <w:t>, f. 6.</w:t>
      </w:r>
    </w:p>
    <w:p w14:paraId="60C70E67" w14:textId="4F807822" w:rsidR="001D7FA9" w:rsidRDefault="001D7FA9" w:rsidP="001D7FA9">
      <w:pPr>
        <w:pStyle w:val="SangriaFrancesaArticulo"/>
      </w:pPr>
    </w:p>
    <w:p w14:paraId="073FF47B" w14:textId="77777777" w:rsidR="001D7FA9" w:rsidRDefault="001D7FA9" w:rsidP="001D7FA9">
      <w:pPr>
        <w:pStyle w:val="TextoNormalNegritaCursivandice"/>
        <w:keepNext/>
      </w:pPr>
      <w:r>
        <w:t>Sentencia del Tribunal Europeo de Derechos Humanos de 25 de abril de 2013 (Zahirovic c. Croacia)</w:t>
      </w:r>
    </w:p>
    <w:p w14:paraId="4E62F90E" w14:textId="479B6B6C" w:rsidR="001D7FA9" w:rsidRDefault="001D7FA9" w:rsidP="001D7FA9">
      <w:pPr>
        <w:pStyle w:val="SangriaFrancesaArticulo"/>
      </w:pPr>
      <w:r w:rsidRPr="001D7FA9">
        <w:rPr>
          <w:rStyle w:val="TextoNormalNegritaCaracter"/>
        </w:rPr>
        <w:t>§ 35.</w:t>
      </w:r>
      <w:r w:rsidRPr="001D7FA9">
        <w:rPr>
          <w:rStyle w:val="TextoNormalCaracter"/>
        </w:rPr>
        <w:t>-</w:t>
      </w:r>
      <w:r>
        <w:t xml:space="preserve"> Auto </w:t>
      </w:r>
      <w:hyperlink w:anchor="AUTO_2025_6" w:history="1">
        <w:r w:rsidRPr="001D7FA9">
          <w:rPr>
            <w:rStyle w:val="TextoNormalCaracter"/>
          </w:rPr>
          <w:t>6/2025</w:t>
        </w:r>
      </w:hyperlink>
      <w:r>
        <w:t>, VP II.</w:t>
      </w:r>
    </w:p>
    <w:p w14:paraId="46214BC5" w14:textId="5360ACDE" w:rsidR="001D7FA9" w:rsidRDefault="001D7FA9" w:rsidP="001D7FA9">
      <w:pPr>
        <w:pStyle w:val="SangriaFrancesaArticulo"/>
      </w:pPr>
      <w:r w:rsidRPr="001D7FA9">
        <w:rPr>
          <w:rStyle w:val="TextoNormalNegritaCaracter"/>
        </w:rPr>
        <w:t>§ 36.</w:t>
      </w:r>
      <w:r w:rsidRPr="001D7FA9">
        <w:rPr>
          <w:rStyle w:val="TextoNormalCaracter"/>
        </w:rPr>
        <w:t>-</w:t>
      </w:r>
      <w:r>
        <w:t xml:space="preserve"> Auto </w:t>
      </w:r>
      <w:hyperlink w:anchor="AUTO_2025_6" w:history="1">
        <w:r w:rsidRPr="001D7FA9">
          <w:rPr>
            <w:rStyle w:val="TextoNormalCaracter"/>
          </w:rPr>
          <w:t>6/2025</w:t>
        </w:r>
      </w:hyperlink>
      <w:r>
        <w:t>, VP II.</w:t>
      </w:r>
    </w:p>
    <w:p w14:paraId="0FF512B5" w14:textId="47DB60E7" w:rsidR="001D7FA9" w:rsidRDefault="001D7FA9" w:rsidP="001D7FA9">
      <w:pPr>
        <w:pStyle w:val="SangriaFrancesaArticulo"/>
      </w:pPr>
    </w:p>
    <w:p w14:paraId="40529F6A" w14:textId="77777777" w:rsidR="001D7FA9" w:rsidRDefault="001D7FA9" w:rsidP="001D7FA9">
      <w:pPr>
        <w:pStyle w:val="TextoNormalNegritaCursivandice"/>
        <w:keepNext/>
      </w:pPr>
      <w:r>
        <w:t>Sentencia del Tribunal Europeo de Derechos Humanos de 12 de julio de 2013 (Allen c. Reino Unido)</w:t>
      </w:r>
    </w:p>
    <w:p w14:paraId="3E26A72D" w14:textId="76FAECD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7731BC00" w14:textId="0879522F" w:rsidR="001D7FA9" w:rsidRDefault="001D7FA9" w:rsidP="001D7FA9">
      <w:pPr>
        <w:pStyle w:val="SangriaFrancesaArticulo"/>
      </w:pPr>
      <w:r w:rsidRPr="001D7FA9">
        <w:rPr>
          <w:rStyle w:val="TextoNormalNegritaCaracter"/>
        </w:rPr>
        <w:t>§ 102.</w:t>
      </w:r>
      <w:r w:rsidRPr="001D7FA9">
        <w:rPr>
          <w:rStyle w:val="TextoNormalCaracter"/>
        </w:rPr>
        <w:t>-</w:t>
      </w:r>
      <w:r>
        <w:t xml:space="preserve"> Sentencia </w:t>
      </w:r>
      <w:hyperlink w:anchor="SENTENCIA_2025_54" w:history="1">
        <w:r w:rsidRPr="001D7FA9">
          <w:rPr>
            <w:rStyle w:val="TextoNormalCaracter"/>
          </w:rPr>
          <w:t>54/2025</w:t>
        </w:r>
      </w:hyperlink>
      <w:r>
        <w:t>, VP.</w:t>
      </w:r>
    </w:p>
    <w:p w14:paraId="049EBFD7" w14:textId="59323BEC" w:rsidR="001D7FA9" w:rsidRDefault="001D7FA9" w:rsidP="001D7FA9">
      <w:pPr>
        <w:pStyle w:val="SangriaFrancesaArticulo"/>
      </w:pPr>
    </w:p>
    <w:p w14:paraId="0AEFF678" w14:textId="77777777" w:rsidR="001D7FA9" w:rsidRDefault="001D7FA9" w:rsidP="001D7FA9">
      <w:pPr>
        <w:pStyle w:val="TextoNormalNegritaCursivandice"/>
        <w:keepNext/>
      </w:pPr>
      <w:r>
        <w:t>Sentencia del Tribunal Europeo de Derechos Humanos de 25 de julio de 2013 (Khodorkovskiy y Lebedev c. Rusia)</w:t>
      </w:r>
    </w:p>
    <w:p w14:paraId="7B67C8EE" w14:textId="16C0F27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8" w:history="1">
        <w:r w:rsidRPr="001D7FA9">
          <w:rPr>
            <w:rStyle w:val="TextoNormalCaracter"/>
          </w:rPr>
          <w:t>28/2025</w:t>
        </w:r>
      </w:hyperlink>
      <w:r>
        <w:t>, VP.</w:t>
      </w:r>
    </w:p>
    <w:p w14:paraId="7A91C09D" w14:textId="283051DB" w:rsidR="001D7FA9" w:rsidRDefault="001D7FA9" w:rsidP="001D7FA9">
      <w:pPr>
        <w:pStyle w:val="SangriaFrancesaArticulo"/>
      </w:pPr>
      <w:r w:rsidRPr="001D7FA9">
        <w:rPr>
          <w:rStyle w:val="TextoNormalNegritaCaracter"/>
        </w:rPr>
        <w:t>§ 627.</w:t>
      </w:r>
      <w:r w:rsidRPr="001D7FA9">
        <w:rPr>
          <w:rStyle w:val="TextoNormalCaracter"/>
        </w:rPr>
        <w:t>-</w:t>
      </w:r>
      <w:r>
        <w:t xml:space="preserve"> Auto </w:t>
      </w:r>
      <w:hyperlink w:anchor="AUTO_2025_28" w:history="1">
        <w:r w:rsidRPr="001D7FA9">
          <w:rPr>
            <w:rStyle w:val="TextoNormalCaracter"/>
          </w:rPr>
          <w:t>28/2025</w:t>
        </w:r>
      </w:hyperlink>
      <w:r>
        <w:t>, f. 3.</w:t>
      </w:r>
    </w:p>
    <w:p w14:paraId="46CBCAF0" w14:textId="1335307C" w:rsidR="001D7FA9" w:rsidRDefault="001D7FA9" w:rsidP="001D7FA9">
      <w:pPr>
        <w:pStyle w:val="SangriaFrancesaArticulo"/>
      </w:pPr>
    </w:p>
    <w:p w14:paraId="6704107B" w14:textId="77777777" w:rsidR="001D7FA9" w:rsidRDefault="001D7FA9" w:rsidP="001D7FA9">
      <w:pPr>
        <w:pStyle w:val="TextoNormalNegritaCursivandice"/>
        <w:keepNext/>
      </w:pPr>
      <w:r>
        <w:t>Sentencia del Tribunal Europeo de Derechos Humanos de 21 de octubre de 2013 (del Río Prada c. España)</w:t>
      </w:r>
    </w:p>
    <w:p w14:paraId="08D163E1" w14:textId="524444E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1" w:history="1">
        <w:r w:rsidRPr="001D7FA9">
          <w:rPr>
            <w:rStyle w:val="TextoNormalCaracter"/>
          </w:rPr>
          <w:t>111/2025</w:t>
        </w:r>
      </w:hyperlink>
      <w:r>
        <w:t>, f. 2.</w:t>
      </w:r>
    </w:p>
    <w:p w14:paraId="707B8CD1" w14:textId="4ED62835" w:rsidR="001D7FA9" w:rsidRDefault="001D7FA9" w:rsidP="001D7FA9">
      <w:pPr>
        <w:pStyle w:val="SangriaFrancesaArticulo"/>
      </w:pPr>
    </w:p>
    <w:p w14:paraId="3913E91D" w14:textId="77777777" w:rsidR="001D7FA9" w:rsidRDefault="001D7FA9" w:rsidP="001D7FA9">
      <w:pPr>
        <w:pStyle w:val="TextoNormalNegritaCursivandice"/>
        <w:keepNext/>
      </w:pPr>
      <w:r>
        <w:t>Sentencia del Tribunal Europeo de Derechos Humanos de 26 de noviembre de 2013 (Blaja News Sp. z o.o. c. Polonia)</w:t>
      </w:r>
    </w:p>
    <w:p w14:paraId="791F581A" w14:textId="2A2EB0E1" w:rsidR="001D7FA9" w:rsidRDefault="001D7FA9" w:rsidP="001D7FA9">
      <w:pPr>
        <w:pStyle w:val="SangriaFrancesaArticulo"/>
      </w:pPr>
      <w:r w:rsidRPr="001D7FA9">
        <w:rPr>
          <w:rStyle w:val="TextoNormalNegritaCaracter"/>
        </w:rPr>
        <w:t>§ 71.</w:t>
      </w:r>
      <w:r w:rsidRPr="001D7FA9">
        <w:rPr>
          <w:rStyle w:val="TextoNormalCaracter"/>
        </w:rPr>
        <w:t>-</w:t>
      </w:r>
      <w:r>
        <w:t xml:space="preserve"> Sentencia </w:t>
      </w:r>
      <w:hyperlink w:anchor="SENTENCIA_2025_62" w:history="1">
        <w:r w:rsidRPr="001D7FA9">
          <w:rPr>
            <w:rStyle w:val="TextoNormalCaracter"/>
          </w:rPr>
          <w:t>62/2025</w:t>
        </w:r>
      </w:hyperlink>
      <w:r>
        <w:t>, f. 4, VP.</w:t>
      </w:r>
    </w:p>
    <w:p w14:paraId="554E3380" w14:textId="341A89A5" w:rsidR="001D7FA9" w:rsidRDefault="001D7FA9" w:rsidP="001D7FA9">
      <w:pPr>
        <w:pStyle w:val="SangriaFrancesaArticulo"/>
      </w:pPr>
    </w:p>
    <w:p w14:paraId="36ACA759" w14:textId="77777777" w:rsidR="001D7FA9" w:rsidRDefault="001D7FA9" w:rsidP="001D7FA9">
      <w:pPr>
        <w:pStyle w:val="TextoNormalNegritaCursivandice"/>
        <w:keepNext/>
      </w:pPr>
      <w:r>
        <w:t>Sentencia del Tribunal Europeo de Derechos Humanos de 28 de enero de 2014 (Bittó y otros c. Eslovaquia)</w:t>
      </w:r>
    </w:p>
    <w:p w14:paraId="31A1CE56" w14:textId="7DD9EC77" w:rsidR="001D7FA9" w:rsidRDefault="001D7FA9" w:rsidP="001D7FA9">
      <w:pPr>
        <w:pStyle w:val="SangriaFrancesaArticulo"/>
      </w:pPr>
      <w:r w:rsidRPr="001D7FA9">
        <w:rPr>
          <w:rStyle w:val="TextoNormalNegritaCaracter"/>
        </w:rPr>
        <w:t>§ 115.</w:t>
      </w:r>
      <w:r w:rsidRPr="001D7FA9">
        <w:rPr>
          <w:rStyle w:val="TextoNormalCaracter"/>
        </w:rPr>
        <w:t>-</w:t>
      </w:r>
      <w:r>
        <w:t xml:space="preserve"> Sentencia </w:t>
      </w:r>
      <w:hyperlink w:anchor="SENTENCIA_2025_26" w:history="1">
        <w:r w:rsidRPr="001D7FA9">
          <w:rPr>
            <w:rStyle w:val="TextoNormalCaracter"/>
          </w:rPr>
          <w:t>26/2025</w:t>
        </w:r>
      </w:hyperlink>
      <w:r>
        <w:t>, f. 5, VP II.</w:t>
      </w:r>
    </w:p>
    <w:p w14:paraId="519FDA8A" w14:textId="7C8FBF10" w:rsidR="001D7FA9" w:rsidRDefault="001D7FA9" w:rsidP="001D7FA9">
      <w:pPr>
        <w:pStyle w:val="SangriaFrancesaArticulo"/>
      </w:pPr>
    </w:p>
    <w:p w14:paraId="27D5F782" w14:textId="77777777" w:rsidR="001D7FA9" w:rsidRDefault="001D7FA9" w:rsidP="001D7FA9">
      <w:pPr>
        <w:pStyle w:val="TextoNormalNegritaCursivandice"/>
        <w:keepNext/>
      </w:pPr>
      <w:r>
        <w:t>Sentencia del Tribunal Europeo de Derechos Humanos de 8 de abril de 2014 (Dhahbi c. Italia)</w:t>
      </w:r>
    </w:p>
    <w:p w14:paraId="3F7407C4" w14:textId="0E957A1F"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8AAEB93" w14:textId="413AD123"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2FDC418" w14:textId="64F1F063" w:rsidR="001D7FA9" w:rsidRDefault="001D7FA9" w:rsidP="001D7FA9">
      <w:pPr>
        <w:pStyle w:val="SangriaFrancesaArticulo"/>
      </w:pPr>
      <w:r w:rsidRPr="001D7FA9">
        <w:rPr>
          <w:rStyle w:val="TextoNormalNegritaCaracter"/>
        </w:rPr>
        <w:t>§ 33.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0CBC0C3" w14:textId="13AEC665" w:rsidR="001D7FA9" w:rsidRDefault="001D7FA9" w:rsidP="001D7FA9">
      <w:pPr>
        <w:pStyle w:val="SangriaFrancesaArticulo"/>
      </w:pPr>
    </w:p>
    <w:p w14:paraId="5585F95E" w14:textId="77777777" w:rsidR="001D7FA9" w:rsidRDefault="001D7FA9" w:rsidP="001D7FA9">
      <w:pPr>
        <w:pStyle w:val="TextoNormalNegritaCursivandice"/>
        <w:keepNext/>
      </w:pPr>
      <w:r>
        <w:t>Sentencia del Tribunal Europeo de Derechos Humanos de 27 de mayo de 2014 (Marguš c. Croacia)</w:t>
      </w:r>
    </w:p>
    <w:p w14:paraId="3D7B41CC" w14:textId="38DA1C4C" w:rsidR="001D7FA9" w:rsidRDefault="001D7FA9" w:rsidP="001D7FA9">
      <w:pPr>
        <w:pStyle w:val="SangriaFrancesaArticulo"/>
      </w:pPr>
      <w:r w:rsidRPr="001D7FA9">
        <w:rPr>
          <w:rStyle w:val="TextoNormalNegritaCaracter"/>
        </w:rPr>
        <w:t>§ 125 a 138.</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7BB88331" w14:textId="57CBD22B" w:rsidR="001D7FA9" w:rsidRDefault="001D7FA9" w:rsidP="001D7FA9">
      <w:pPr>
        <w:pStyle w:val="SangriaFrancesaArticulo"/>
      </w:pPr>
      <w:r w:rsidRPr="001D7FA9">
        <w:rPr>
          <w:rStyle w:val="TextoNormalNegritaCaracter"/>
        </w:rPr>
        <w:t>§ 139.</w:t>
      </w:r>
      <w:r w:rsidRPr="001D7FA9">
        <w:rPr>
          <w:rStyle w:val="TextoNormalCaracter"/>
        </w:rPr>
        <w:t>-</w:t>
      </w:r>
      <w:r>
        <w:t xml:space="preserve"> Sentencia </w:t>
      </w:r>
      <w:hyperlink w:anchor="SENTENCIA_2025_137" w:history="1">
        <w:r w:rsidRPr="001D7FA9">
          <w:rPr>
            <w:rStyle w:val="TextoNormalCaracter"/>
          </w:rPr>
          <w:t>137/2025</w:t>
        </w:r>
      </w:hyperlink>
      <w:r>
        <w:t>, f. 8, VP IV.</w:t>
      </w:r>
    </w:p>
    <w:p w14:paraId="1C9E35C9" w14:textId="62712D7C" w:rsidR="001D7FA9" w:rsidRDefault="001D7FA9" w:rsidP="001D7FA9">
      <w:pPr>
        <w:pStyle w:val="SangriaFrancesaArticulo"/>
      </w:pPr>
      <w:r w:rsidRPr="001D7FA9">
        <w:rPr>
          <w:rStyle w:val="TextoNormalNegritaCaracter"/>
        </w:rPr>
        <w:t>§ 346.</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69B2CF3B" w14:textId="0BC4EBFE" w:rsidR="001D7FA9" w:rsidRDefault="001D7FA9" w:rsidP="001D7FA9">
      <w:pPr>
        <w:pStyle w:val="SangriaFrancesaArticulo"/>
      </w:pPr>
    </w:p>
    <w:p w14:paraId="0A5FE7A9" w14:textId="77777777" w:rsidR="001D7FA9" w:rsidRDefault="001D7FA9" w:rsidP="001D7FA9">
      <w:pPr>
        <w:pStyle w:val="TextoNormalNegritaCursivandice"/>
        <w:keepNext/>
      </w:pPr>
      <w:r>
        <w:t>Sentencia del Tribunal Europeo de Derechos Humanos de 17 de septiembre de 2014 (Mocanu y otros c. Rumanía)</w:t>
      </w:r>
    </w:p>
    <w:p w14:paraId="192F8BCC" w14:textId="446875C5" w:rsidR="001D7FA9" w:rsidRDefault="001D7FA9" w:rsidP="001D7FA9">
      <w:pPr>
        <w:pStyle w:val="SangriaFrancesaArticulo"/>
      </w:pPr>
      <w:r w:rsidRPr="001D7FA9">
        <w:rPr>
          <w:rStyle w:val="TextoNormalNegritaCaracter"/>
        </w:rPr>
        <w:t>§ 316 a 319.</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47A62AD4" w14:textId="047572D8" w:rsidR="001D7FA9" w:rsidRDefault="001D7FA9" w:rsidP="001D7FA9">
      <w:pPr>
        <w:pStyle w:val="SangriaFrancesaArticulo"/>
      </w:pPr>
      <w:r w:rsidRPr="001D7FA9">
        <w:rPr>
          <w:rStyle w:val="TextoNormalNegritaCaracter"/>
        </w:rPr>
        <w:t>§ 326.</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61143D91" w14:textId="608ACB4D" w:rsidR="001D7FA9" w:rsidRDefault="001D7FA9" w:rsidP="001D7FA9">
      <w:pPr>
        <w:pStyle w:val="SangriaFrancesaArticulo"/>
      </w:pPr>
    </w:p>
    <w:p w14:paraId="10F8391B" w14:textId="77777777" w:rsidR="001D7FA9" w:rsidRDefault="001D7FA9" w:rsidP="001D7FA9">
      <w:pPr>
        <w:pStyle w:val="TextoNormalNegritaCursivandice"/>
        <w:keepNext/>
      </w:pPr>
      <w:r>
        <w:t>Sentencia del Tribunal Europeo de Derechos Humanos de 14 de octubre de 2014 (Yilmaz Yildiz y otros c. Turquía)</w:t>
      </w:r>
    </w:p>
    <w:p w14:paraId="13000368" w14:textId="6BBB69B4" w:rsidR="001D7FA9" w:rsidRDefault="001D7FA9" w:rsidP="001D7FA9">
      <w:pPr>
        <w:pStyle w:val="SangriaFrancesaArticulo"/>
      </w:pPr>
      <w:r w:rsidRPr="001D7FA9">
        <w:rPr>
          <w:rStyle w:val="TextoNormalNegritaCaracter"/>
        </w:rPr>
        <w:t>§ 42.</w:t>
      </w:r>
      <w:r w:rsidRPr="001D7FA9">
        <w:rPr>
          <w:rStyle w:val="TextoNormalCaracter"/>
        </w:rPr>
        <w:t>-</w:t>
      </w:r>
      <w:r>
        <w:t xml:space="preserve"> Sentencia </w:t>
      </w:r>
      <w:hyperlink w:anchor="SENTENCIA_2025_95" w:history="1">
        <w:r w:rsidRPr="001D7FA9">
          <w:rPr>
            <w:rStyle w:val="TextoNormalCaracter"/>
          </w:rPr>
          <w:t>95/2025</w:t>
        </w:r>
      </w:hyperlink>
      <w:r>
        <w:t>, f. 3.</w:t>
      </w:r>
    </w:p>
    <w:p w14:paraId="2F3D4932" w14:textId="110708CF" w:rsidR="001D7FA9" w:rsidRDefault="001D7FA9" w:rsidP="001D7FA9">
      <w:pPr>
        <w:pStyle w:val="SangriaFrancesaArticulo"/>
      </w:pPr>
      <w:r w:rsidRPr="001D7FA9">
        <w:rPr>
          <w:rStyle w:val="TextoNormalNegritaCaracter"/>
        </w:rPr>
        <w:t>§ 45.</w:t>
      </w:r>
      <w:r w:rsidRPr="001D7FA9">
        <w:rPr>
          <w:rStyle w:val="TextoNormalCaracter"/>
        </w:rPr>
        <w:t>-</w:t>
      </w:r>
      <w:r>
        <w:t xml:space="preserve"> Sentencia </w:t>
      </w:r>
      <w:hyperlink w:anchor="SENTENCIA_2025_95" w:history="1">
        <w:r w:rsidRPr="001D7FA9">
          <w:rPr>
            <w:rStyle w:val="TextoNormalCaracter"/>
          </w:rPr>
          <w:t>95/2025</w:t>
        </w:r>
      </w:hyperlink>
      <w:r>
        <w:t>, f. 3.</w:t>
      </w:r>
    </w:p>
    <w:p w14:paraId="2FC5705A" w14:textId="4473F2FA" w:rsidR="001D7FA9" w:rsidRDefault="001D7FA9" w:rsidP="001D7FA9">
      <w:pPr>
        <w:pStyle w:val="SangriaFrancesaArticulo"/>
      </w:pPr>
    </w:p>
    <w:p w14:paraId="3EE9E460" w14:textId="77777777" w:rsidR="001D7FA9" w:rsidRDefault="001D7FA9" w:rsidP="001D7FA9">
      <w:pPr>
        <w:pStyle w:val="TextoNormalNegritaCursivandice"/>
        <w:keepNext/>
      </w:pPr>
      <w:r>
        <w:t>Sentencia del Tribunal Europeo de Derechos Humanos de 21 de octubre de 2014 (Murat Mural c. Turquía)</w:t>
      </w:r>
    </w:p>
    <w:p w14:paraId="4979FFE5" w14:textId="554B2280" w:rsidR="001D7FA9" w:rsidRDefault="001D7FA9" w:rsidP="001D7FA9">
      <w:pPr>
        <w:pStyle w:val="SangriaFrancesaArticulo"/>
      </w:pPr>
      <w:r w:rsidRPr="001D7FA9">
        <w:rPr>
          <w:rStyle w:val="TextoNormalNegritaCaracter"/>
        </w:rPr>
        <w:t>§§ 44 a 51.</w:t>
      </w:r>
      <w:r w:rsidRPr="001D7FA9">
        <w:rPr>
          <w:rStyle w:val="TextoNormalCaracter"/>
        </w:rPr>
        <w:t>-</w:t>
      </w:r>
      <w:r>
        <w:t xml:space="preserve"> Sentencia </w:t>
      </w:r>
      <w:hyperlink w:anchor="SENTENCIA_2025_117" w:history="1">
        <w:r w:rsidRPr="001D7FA9">
          <w:rPr>
            <w:rStyle w:val="TextoNormalCaracter"/>
          </w:rPr>
          <w:t>117/2025</w:t>
        </w:r>
      </w:hyperlink>
      <w:r>
        <w:t>, f. 5.</w:t>
      </w:r>
    </w:p>
    <w:p w14:paraId="2E68A898" w14:textId="001890DC" w:rsidR="001D7FA9" w:rsidRDefault="001D7FA9" w:rsidP="001D7FA9">
      <w:pPr>
        <w:pStyle w:val="SangriaFrancesaArticulo"/>
      </w:pPr>
    </w:p>
    <w:p w14:paraId="45D7B50B" w14:textId="77777777" w:rsidR="001D7FA9" w:rsidRDefault="001D7FA9" w:rsidP="001D7FA9">
      <w:pPr>
        <w:pStyle w:val="TextoNormalNegritaCursivandice"/>
        <w:keepNext/>
      </w:pPr>
      <w:r>
        <w:t>Sentencia del Tribunal Europeo de Derechos Humanos de 20 de noviembre de 2014 (Jaloud c. the Netherlands)</w:t>
      </w:r>
    </w:p>
    <w:p w14:paraId="2D0D398D" w14:textId="16E29583" w:rsidR="001D7FA9" w:rsidRDefault="001D7FA9" w:rsidP="001D7FA9">
      <w:pPr>
        <w:pStyle w:val="SangriaFrancesaArticulo"/>
      </w:pPr>
      <w:r w:rsidRPr="001D7FA9">
        <w:rPr>
          <w:rStyle w:val="TextoNormalNegritaCaracter"/>
        </w:rPr>
        <w:t>§ 186.</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3A9948C6" w14:textId="2589A860" w:rsidR="001D7FA9" w:rsidRDefault="001D7FA9" w:rsidP="001D7FA9">
      <w:pPr>
        <w:pStyle w:val="SangriaFrancesaArticulo"/>
      </w:pPr>
    </w:p>
    <w:p w14:paraId="59DFB009" w14:textId="77777777" w:rsidR="001D7FA9" w:rsidRDefault="001D7FA9" w:rsidP="001D7FA9">
      <w:pPr>
        <w:pStyle w:val="TextoNormalNegritaCursivandice"/>
        <w:keepNext/>
      </w:pPr>
      <w:r>
        <w:t>Sentencia del Tribunal Europeo de Derechos Humanos de 20 de enero de 2015 (Arribas Antón c. España)</w:t>
      </w:r>
    </w:p>
    <w:p w14:paraId="59F4DBEB" w14:textId="22C77E38" w:rsidR="001D7FA9" w:rsidRDefault="001D7FA9" w:rsidP="001D7FA9">
      <w:pPr>
        <w:pStyle w:val="SangriaFrancesaArticulo"/>
      </w:pPr>
      <w:r w:rsidRPr="001D7FA9">
        <w:rPr>
          <w:rStyle w:val="TextoNormalNegritaCaracter"/>
        </w:rPr>
        <w:t>§ 46.</w:t>
      </w:r>
      <w:r w:rsidRPr="001D7FA9">
        <w:rPr>
          <w:rStyle w:val="TextoNormalCaracter"/>
        </w:rPr>
        <w:t>-</w:t>
      </w:r>
      <w:r>
        <w:t xml:space="preserve"> Sentencia </w:t>
      </w:r>
      <w:hyperlink w:anchor="SENTENCIA_2025_49" w:history="1">
        <w:r w:rsidRPr="001D7FA9">
          <w:rPr>
            <w:rStyle w:val="TextoNormalCaracter"/>
          </w:rPr>
          <w:t>49/2025</w:t>
        </w:r>
      </w:hyperlink>
      <w:r>
        <w:t>, f. Único.</w:t>
      </w:r>
    </w:p>
    <w:p w14:paraId="114E2FFC" w14:textId="7F9388D2" w:rsidR="001D7FA9" w:rsidRDefault="001D7FA9" w:rsidP="001D7FA9">
      <w:pPr>
        <w:pStyle w:val="SangriaFrancesaArticulo"/>
      </w:pPr>
    </w:p>
    <w:p w14:paraId="64E812C3" w14:textId="77777777" w:rsidR="001D7FA9" w:rsidRDefault="001D7FA9" w:rsidP="001D7FA9">
      <w:pPr>
        <w:pStyle w:val="TextoNormalNegritaCursivandice"/>
        <w:keepNext/>
      </w:pPr>
      <w:r>
        <w:t>Sentencia del Tribunal Europeo de Derechos Humanos de 14 de abril de 2015 (Mustafa Tunç y Fecire Tunç c. Turquía)</w:t>
      </w:r>
    </w:p>
    <w:p w14:paraId="5E801C37" w14:textId="4FDB0C3A" w:rsidR="001D7FA9" w:rsidRDefault="001D7FA9" w:rsidP="001D7FA9">
      <w:pPr>
        <w:pStyle w:val="SangriaFrancesaArticulo"/>
      </w:pPr>
      <w:r w:rsidRPr="001D7FA9">
        <w:rPr>
          <w:rStyle w:val="TextoNormalNegritaCaracter"/>
        </w:rPr>
        <w:t>§ 171 y ss.</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2C70D99E" w14:textId="2E82289B" w:rsidR="001D7FA9" w:rsidRDefault="001D7FA9" w:rsidP="001D7FA9">
      <w:pPr>
        <w:pStyle w:val="SangriaFrancesaArticulo"/>
      </w:pPr>
      <w:r w:rsidRPr="001D7FA9">
        <w:rPr>
          <w:rStyle w:val="TextoNormalNegritaCaracter"/>
        </w:rPr>
        <w:t>§ 176.</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046B3DE8" w14:textId="21329452" w:rsidR="001D7FA9" w:rsidRDefault="001D7FA9" w:rsidP="001D7FA9">
      <w:pPr>
        <w:pStyle w:val="SangriaFrancesaArticulo"/>
      </w:pPr>
    </w:p>
    <w:p w14:paraId="28DE9E01" w14:textId="77777777" w:rsidR="001D7FA9" w:rsidRDefault="001D7FA9" w:rsidP="001D7FA9">
      <w:pPr>
        <w:pStyle w:val="TextoNormalNegritaCursivandice"/>
        <w:keepNext/>
      </w:pPr>
      <w:r>
        <w:t>Sentencia del Tribunal Europeo de Derechos Humanos de 16 de junio de 2015 (Delfi AS c. Estonia)</w:t>
      </w:r>
    </w:p>
    <w:p w14:paraId="799195F7" w14:textId="416B456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00" w:history="1">
        <w:r w:rsidRPr="001D7FA9">
          <w:rPr>
            <w:rStyle w:val="TextoNormalCaracter"/>
          </w:rPr>
          <w:t>100/2025</w:t>
        </w:r>
      </w:hyperlink>
      <w:r>
        <w:t>, f. 3.</w:t>
      </w:r>
    </w:p>
    <w:p w14:paraId="2D552C0F" w14:textId="37880E19" w:rsidR="001D7FA9" w:rsidRDefault="001D7FA9" w:rsidP="001D7FA9">
      <w:pPr>
        <w:pStyle w:val="SangriaFrancesaArticulo"/>
      </w:pPr>
    </w:p>
    <w:p w14:paraId="4A296ACD" w14:textId="77777777" w:rsidR="001D7FA9" w:rsidRDefault="001D7FA9" w:rsidP="001D7FA9">
      <w:pPr>
        <w:pStyle w:val="TextoNormalNegritaCursivandice"/>
        <w:keepNext/>
      </w:pPr>
      <w:r>
        <w:t>Sentencia del Tribunal Europeo de Derechos Humanos de 21 de julio de 2015 (Schipani y otros c. Italia)</w:t>
      </w:r>
    </w:p>
    <w:p w14:paraId="2DB6D848" w14:textId="1201237A"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498A9D8" w14:textId="4B52837B"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8162F01" w14:textId="7615FD05" w:rsidR="001D7FA9" w:rsidRDefault="001D7FA9" w:rsidP="001D7FA9">
      <w:pPr>
        <w:pStyle w:val="SangriaIzquierdaArticulo"/>
      </w:pPr>
    </w:p>
    <w:p w14:paraId="58D81729" w14:textId="77777777" w:rsidR="001D7FA9" w:rsidRDefault="001D7FA9" w:rsidP="001D7FA9">
      <w:pPr>
        <w:pStyle w:val="TextoNormalNegritaCursivandice"/>
        <w:keepNext/>
      </w:pPr>
      <w:r>
        <w:t>Sentencia del Tribunal Europeo de Derechos Humanos de 30 de julio de 2015 (Zammit y Attard Cassar c. Malta)</w:t>
      </w:r>
    </w:p>
    <w:p w14:paraId="225C20E2" w14:textId="19F88A44" w:rsidR="001D7FA9" w:rsidRDefault="001D7FA9" w:rsidP="001D7FA9">
      <w:pPr>
        <w:pStyle w:val="SangriaFrancesaArticulo"/>
      </w:pPr>
      <w:r w:rsidRPr="001D7FA9">
        <w:rPr>
          <w:rStyle w:val="TextoNormalNegritaCaracter"/>
        </w:rPr>
        <w:t>§ 62.</w:t>
      </w:r>
      <w:r w:rsidRPr="001D7FA9">
        <w:rPr>
          <w:rStyle w:val="TextoNormalCaracter"/>
        </w:rPr>
        <w:t>-</w:t>
      </w:r>
      <w:r>
        <w:t xml:space="preserve"> Sentencia </w:t>
      </w:r>
      <w:hyperlink w:anchor="SENTENCIA_2025_26" w:history="1">
        <w:r w:rsidRPr="001D7FA9">
          <w:rPr>
            <w:rStyle w:val="TextoNormalCaracter"/>
          </w:rPr>
          <w:t>26/2025</w:t>
        </w:r>
      </w:hyperlink>
      <w:r>
        <w:t>, f. 5, VP II.</w:t>
      </w:r>
    </w:p>
    <w:p w14:paraId="36AD4FDE" w14:textId="31DDBB03" w:rsidR="001D7FA9" w:rsidRDefault="001D7FA9" w:rsidP="001D7FA9">
      <w:pPr>
        <w:pStyle w:val="SangriaFrancesaArticulo"/>
      </w:pPr>
    </w:p>
    <w:p w14:paraId="430D25A6" w14:textId="77777777" w:rsidR="001D7FA9" w:rsidRDefault="001D7FA9" w:rsidP="001D7FA9">
      <w:pPr>
        <w:pStyle w:val="TextoNormalNegritaCursivandice"/>
        <w:keepNext/>
      </w:pPr>
      <w:r>
        <w:t>Sentencia del Tribunal Europeo de Derechos Humanos de 28 de septiembre de 2015 (Bouyid c. Bélgica)</w:t>
      </w:r>
    </w:p>
    <w:p w14:paraId="2F784435" w14:textId="2867ACFE" w:rsidR="001D7FA9" w:rsidRDefault="001D7FA9" w:rsidP="001D7FA9">
      <w:pPr>
        <w:pStyle w:val="SangriaFrancesaArticulo"/>
      </w:pPr>
      <w:r w:rsidRPr="001D7FA9">
        <w:rPr>
          <w:rStyle w:val="TextoNormalNegritaCaracter"/>
        </w:rPr>
        <w:t>§ 81.</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04BE4ADC" w14:textId="134A9664" w:rsidR="001D7FA9" w:rsidRDefault="001D7FA9" w:rsidP="001D7FA9">
      <w:pPr>
        <w:pStyle w:val="SangriaFrancesaArticulo"/>
      </w:pPr>
    </w:p>
    <w:p w14:paraId="05568A7F" w14:textId="77777777" w:rsidR="001D7FA9" w:rsidRDefault="001D7FA9" w:rsidP="001D7FA9">
      <w:pPr>
        <w:pStyle w:val="TextoNormalNegritaCursivandice"/>
        <w:keepNext/>
      </w:pPr>
      <w:r>
        <w:t>Sentencia del Tribunal Europeo de Derechos Humanos de 15 de octubre de 2015 (Kudrevicius y otros c. Lituania)</w:t>
      </w:r>
    </w:p>
    <w:p w14:paraId="7FFD1DC8" w14:textId="7D66EFB9" w:rsidR="001D7FA9" w:rsidRDefault="001D7FA9" w:rsidP="001D7FA9">
      <w:pPr>
        <w:pStyle w:val="SangriaFrancesaArticulo"/>
      </w:pPr>
      <w:r w:rsidRPr="001D7FA9">
        <w:rPr>
          <w:rStyle w:val="TextoNormalNegritaCaracter"/>
        </w:rPr>
        <w:t>§ 155.</w:t>
      </w:r>
      <w:r w:rsidRPr="001D7FA9">
        <w:rPr>
          <w:rStyle w:val="TextoNormalCaracter"/>
        </w:rPr>
        <w:t>-</w:t>
      </w:r>
      <w:r>
        <w:t xml:space="preserve"> Sentencia </w:t>
      </w:r>
      <w:hyperlink w:anchor="SENTENCIA_2025_95" w:history="1">
        <w:r w:rsidRPr="001D7FA9">
          <w:rPr>
            <w:rStyle w:val="TextoNormalCaracter"/>
          </w:rPr>
          <w:t>95/2025</w:t>
        </w:r>
      </w:hyperlink>
      <w:r>
        <w:t>, f. 3.</w:t>
      </w:r>
    </w:p>
    <w:p w14:paraId="385E0965" w14:textId="0A9B3997" w:rsidR="001D7FA9" w:rsidRDefault="001D7FA9" w:rsidP="001D7FA9">
      <w:pPr>
        <w:pStyle w:val="SangriaFrancesaArticulo"/>
      </w:pPr>
    </w:p>
    <w:p w14:paraId="27A124B2" w14:textId="77777777" w:rsidR="001D7FA9" w:rsidRDefault="001D7FA9" w:rsidP="001D7FA9">
      <w:pPr>
        <w:pStyle w:val="TextoNormalNegritaCursivandice"/>
        <w:keepNext/>
      </w:pPr>
      <w:r>
        <w:t>Decisión del Tribunal Europeo de Derechos Humanos de 10 de noviembre de 2015 (Smailagic c. Croacia)</w:t>
      </w:r>
    </w:p>
    <w:p w14:paraId="215F9510" w14:textId="4538E7E2" w:rsidR="001D7FA9" w:rsidRDefault="001D7FA9" w:rsidP="001D7FA9">
      <w:pPr>
        <w:pStyle w:val="SangriaFrancesaArticulo"/>
      </w:pPr>
      <w:r w:rsidRPr="001D7FA9">
        <w:rPr>
          <w:rStyle w:val="TextoNormalNegritaCaracter"/>
        </w:rPr>
        <w:t>§ 32.</w:t>
      </w:r>
      <w:r w:rsidRPr="001D7FA9">
        <w:rPr>
          <w:rStyle w:val="TextoNormalCaracter"/>
        </w:rPr>
        <w:t>-</w:t>
      </w:r>
      <w:r>
        <w:t xml:space="preserve"> Auto </w:t>
      </w:r>
      <w:hyperlink w:anchor="AUTO_2025_6" w:history="1">
        <w:r w:rsidRPr="001D7FA9">
          <w:rPr>
            <w:rStyle w:val="TextoNormalCaracter"/>
          </w:rPr>
          <w:t>6/2025</w:t>
        </w:r>
      </w:hyperlink>
      <w:r>
        <w:t>, VP II.</w:t>
      </w:r>
    </w:p>
    <w:p w14:paraId="466AE4B1" w14:textId="0DD43771" w:rsidR="001D7FA9" w:rsidRDefault="001D7FA9" w:rsidP="001D7FA9">
      <w:pPr>
        <w:pStyle w:val="SangriaFrancesaArticulo"/>
      </w:pPr>
    </w:p>
    <w:p w14:paraId="76D14A37" w14:textId="77777777" w:rsidR="001D7FA9" w:rsidRDefault="001D7FA9" w:rsidP="001D7FA9">
      <w:pPr>
        <w:pStyle w:val="TextoNormalNegritaCursivandice"/>
        <w:keepNext/>
      </w:pPr>
      <w:r>
        <w:t>Sentencia del Tribunal Europeo de Derechos Humanos de 16 de febrero de 2016 (Vlieeland Boddy y Marcelo Lanni c. España)</w:t>
      </w:r>
    </w:p>
    <w:p w14:paraId="0E1D2A2C" w14:textId="0245D59C" w:rsidR="001D7FA9" w:rsidRDefault="001D7FA9" w:rsidP="001D7FA9">
      <w:pPr>
        <w:pStyle w:val="SangriaFrancesaArticulo"/>
      </w:pPr>
      <w:r w:rsidRPr="001D7FA9">
        <w:rPr>
          <w:rStyle w:val="TextoNormalNegritaCaracter"/>
        </w:rPr>
        <w:t>§ 39, 40.</w:t>
      </w:r>
      <w:r w:rsidRPr="001D7FA9">
        <w:rPr>
          <w:rStyle w:val="TextoNormalCaracter"/>
        </w:rPr>
        <w:t>-</w:t>
      </w:r>
      <w:r>
        <w:t xml:space="preserve"> Sentencia </w:t>
      </w:r>
      <w:hyperlink w:anchor="SENTENCIA_2025_54" w:history="1">
        <w:r w:rsidRPr="001D7FA9">
          <w:rPr>
            <w:rStyle w:val="TextoNormalCaracter"/>
          </w:rPr>
          <w:t>54/2025</w:t>
        </w:r>
      </w:hyperlink>
      <w:r>
        <w:t>, VP.</w:t>
      </w:r>
    </w:p>
    <w:p w14:paraId="1D9B3553" w14:textId="6659624E" w:rsidR="001D7FA9" w:rsidRDefault="001D7FA9" w:rsidP="001D7FA9">
      <w:pPr>
        <w:pStyle w:val="SangriaFrancesaArticulo"/>
      </w:pPr>
    </w:p>
    <w:p w14:paraId="59D01F94" w14:textId="77777777" w:rsidR="001D7FA9" w:rsidRDefault="001D7FA9" w:rsidP="001D7FA9">
      <w:pPr>
        <w:pStyle w:val="TextoNormalNegritaCursivandice"/>
        <w:keepNext/>
      </w:pPr>
      <w:r>
        <w:t>Sentencia del Tribunal Europeo de Derechos Humanos de 18 de febrero de 2016 (Rywin c. Polonia)</w:t>
      </w:r>
    </w:p>
    <w:p w14:paraId="50D429F5" w14:textId="4E6EFE59" w:rsidR="001D7FA9" w:rsidRDefault="001D7FA9" w:rsidP="001D7FA9">
      <w:pPr>
        <w:pStyle w:val="SangriaFrancesaArticulo"/>
      </w:pPr>
      <w:r w:rsidRPr="001D7FA9">
        <w:rPr>
          <w:rStyle w:val="TextoNormalNegritaCaracter"/>
        </w:rPr>
        <w:t>§ 205.</w:t>
      </w:r>
      <w:r w:rsidRPr="001D7FA9">
        <w:rPr>
          <w:rStyle w:val="TextoNormalCaracter"/>
        </w:rPr>
        <w:t>-</w:t>
      </w:r>
      <w:r>
        <w:t xml:space="preserve"> Sentencias </w:t>
      </w:r>
      <w:hyperlink w:anchor="SENTENCIA_2025_107" w:history="1">
        <w:r w:rsidRPr="001D7FA9">
          <w:rPr>
            <w:rStyle w:val="TextoNormalCaracter"/>
          </w:rPr>
          <w:t>107/2025</w:t>
        </w:r>
      </w:hyperlink>
      <w:r>
        <w:t xml:space="preserve">, f. 2; </w:t>
      </w:r>
      <w:hyperlink w:anchor="SENTENCIA_2025_108" w:history="1">
        <w:r w:rsidRPr="001D7FA9">
          <w:rPr>
            <w:rStyle w:val="TextoNormalCaracter"/>
          </w:rPr>
          <w:t>108/2025</w:t>
        </w:r>
      </w:hyperlink>
      <w:r>
        <w:t>, f. 2.</w:t>
      </w:r>
    </w:p>
    <w:p w14:paraId="780A58C5" w14:textId="3FFC65A4" w:rsidR="001D7FA9" w:rsidRDefault="001D7FA9" w:rsidP="001D7FA9">
      <w:pPr>
        <w:pStyle w:val="SangriaFrancesaArticulo"/>
      </w:pPr>
    </w:p>
    <w:p w14:paraId="54F3A502" w14:textId="77777777" w:rsidR="001D7FA9" w:rsidRDefault="001D7FA9" w:rsidP="001D7FA9">
      <w:pPr>
        <w:pStyle w:val="TextoNormalNegritaCursivandice"/>
        <w:keepNext/>
      </w:pPr>
      <w:r>
        <w:t>Sentencia del Tribunal Europeo de Derechos Humanos de 12 de abril de 2016 (M.C. y A.C. c. Rumanía)</w:t>
      </w:r>
    </w:p>
    <w:p w14:paraId="6D4DABB7" w14:textId="50D19AD3" w:rsidR="001D7FA9" w:rsidRDefault="001D7FA9" w:rsidP="001D7FA9">
      <w:pPr>
        <w:pStyle w:val="SangriaFrancesaArticulo"/>
      </w:pPr>
      <w:r w:rsidRPr="001D7FA9">
        <w:rPr>
          <w:rStyle w:val="TextoNormalNegritaCaracter"/>
        </w:rPr>
        <w:t>§ 71 a 73.</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12BE2226" w14:textId="64BCCA3D" w:rsidR="001D7FA9" w:rsidRDefault="001D7FA9" w:rsidP="001D7FA9">
      <w:pPr>
        <w:pStyle w:val="SangriaFrancesaArticulo"/>
      </w:pPr>
      <w:r w:rsidRPr="001D7FA9">
        <w:rPr>
          <w:rStyle w:val="TextoNormalNegritaCaracter"/>
        </w:rPr>
        <w:t>§ 110 a 113.</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30213581" w14:textId="050E5ACD" w:rsidR="001D7FA9" w:rsidRDefault="001D7FA9" w:rsidP="001D7FA9">
      <w:pPr>
        <w:pStyle w:val="SangriaFrancesaArticulo"/>
      </w:pPr>
    </w:p>
    <w:p w14:paraId="22F99AA5" w14:textId="77777777" w:rsidR="001D7FA9" w:rsidRDefault="001D7FA9" w:rsidP="001D7FA9">
      <w:pPr>
        <w:pStyle w:val="TextoNormalNegritaCursivandice"/>
        <w:keepNext/>
      </w:pPr>
      <w:r>
        <w:t>Sentencia del Tribunal Europeo de Derechos Humanos de 26 de abril de 2016 (Izzettin Dogan y otros c. Turquía)</w:t>
      </w:r>
    </w:p>
    <w:p w14:paraId="5C3A8501" w14:textId="19D6F682" w:rsidR="001D7FA9" w:rsidRDefault="001D7FA9" w:rsidP="001D7FA9">
      <w:pPr>
        <w:pStyle w:val="SangriaFrancesaArticulo"/>
      </w:pPr>
      <w:r w:rsidRPr="001D7FA9">
        <w:rPr>
          <w:rStyle w:val="TextoNormalNegritaCaracter"/>
        </w:rPr>
        <w:t>§ 100.</w:t>
      </w:r>
      <w:r w:rsidRPr="001D7FA9">
        <w:rPr>
          <w:rStyle w:val="TextoNormalCaracter"/>
        </w:rPr>
        <w:t>-</w:t>
      </w:r>
      <w:r>
        <w:t xml:space="preserve"> Sentencia </w:t>
      </w:r>
      <w:hyperlink w:anchor="SENTENCIA_2025_137" w:history="1">
        <w:r w:rsidRPr="001D7FA9">
          <w:rPr>
            <w:rStyle w:val="TextoNormalCaracter"/>
          </w:rPr>
          <w:t>137/2025</w:t>
        </w:r>
      </w:hyperlink>
      <w:r>
        <w:t>, VP II.</w:t>
      </w:r>
    </w:p>
    <w:p w14:paraId="2B74FC2E" w14:textId="41FB2EAD" w:rsidR="001D7FA9" w:rsidRDefault="001D7FA9" w:rsidP="001D7FA9">
      <w:pPr>
        <w:pStyle w:val="SangriaFrancesaArticulo"/>
      </w:pPr>
    </w:p>
    <w:p w14:paraId="65EDFBF3" w14:textId="77777777" w:rsidR="001D7FA9" w:rsidRDefault="001D7FA9" w:rsidP="001D7FA9">
      <w:pPr>
        <w:pStyle w:val="TextoNormalNegritaCursivandice"/>
        <w:keepNext/>
      </w:pPr>
      <w:r>
        <w:t>Sentencia del Tribunal Europeo de Derechos Humanos de 21 de junio de 2016 (Al-Dulimi y Montana Management Inc., c. Suiza)</w:t>
      </w:r>
    </w:p>
    <w:p w14:paraId="5A364BEC" w14:textId="3A7E1565" w:rsidR="001D7FA9" w:rsidRDefault="001D7FA9" w:rsidP="001D7FA9">
      <w:pPr>
        <w:pStyle w:val="SangriaFrancesaArticulo"/>
      </w:pPr>
      <w:r w:rsidRPr="001D7FA9">
        <w:rPr>
          <w:rStyle w:val="TextoNormalNegritaCaracter"/>
        </w:rPr>
        <w:t>§ 145.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DECD867" w14:textId="1236C528" w:rsidR="001D7FA9" w:rsidRDefault="001D7FA9" w:rsidP="001D7FA9">
      <w:pPr>
        <w:pStyle w:val="SangriaFrancesaArticulo"/>
      </w:pPr>
    </w:p>
    <w:p w14:paraId="20228302" w14:textId="77777777" w:rsidR="001D7FA9" w:rsidRDefault="001D7FA9" w:rsidP="001D7FA9">
      <w:pPr>
        <w:pStyle w:val="TextoNormalNegritaCursivandice"/>
        <w:keepNext/>
      </w:pPr>
      <w:r>
        <w:t>Sentencia del Tribunal Europeo de Derechos Humanos de 26 de junio de 2016 (Radobuljac c. Croacia)</w:t>
      </w:r>
    </w:p>
    <w:p w14:paraId="25ED7006" w14:textId="5600F2C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 w:history="1">
        <w:r w:rsidRPr="001D7FA9">
          <w:rPr>
            <w:rStyle w:val="TextoNormalCaracter"/>
          </w:rPr>
          <w:t>12/2025</w:t>
        </w:r>
      </w:hyperlink>
      <w:r>
        <w:t>, VP I.</w:t>
      </w:r>
    </w:p>
    <w:p w14:paraId="16D24806" w14:textId="6A81109E" w:rsidR="001D7FA9" w:rsidRDefault="001D7FA9" w:rsidP="001D7FA9">
      <w:pPr>
        <w:pStyle w:val="SangriaFrancesaArticulo"/>
      </w:pPr>
      <w:r w:rsidRPr="001D7FA9">
        <w:rPr>
          <w:rStyle w:val="TextoNormalNegritaCaracter"/>
        </w:rPr>
        <w:t>§ 67.</w:t>
      </w:r>
      <w:r w:rsidRPr="001D7FA9">
        <w:rPr>
          <w:rStyle w:val="TextoNormalCaracter"/>
        </w:rPr>
        <w:t>-</w:t>
      </w:r>
      <w:r>
        <w:t xml:space="preserve"> Sentencia </w:t>
      </w:r>
      <w:hyperlink w:anchor="SENTENCIA_2025_12" w:history="1">
        <w:r w:rsidRPr="001D7FA9">
          <w:rPr>
            <w:rStyle w:val="TextoNormalCaracter"/>
          </w:rPr>
          <w:t>12/2025</w:t>
        </w:r>
      </w:hyperlink>
      <w:r>
        <w:t>, VP I.</w:t>
      </w:r>
    </w:p>
    <w:p w14:paraId="3C7BF2A5" w14:textId="7A1871CA" w:rsidR="001D7FA9" w:rsidRDefault="001D7FA9" w:rsidP="001D7FA9">
      <w:pPr>
        <w:pStyle w:val="SangriaFrancesaArticulo"/>
      </w:pPr>
    </w:p>
    <w:p w14:paraId="7BF80125" w14:textId="77777777" w:rsidR="001D7FA9" w:rsidRDefault="001D7FA9" w:rsidP="001D7FA9">
      <w:pPr>
        <w:pStyle w:val="TextoNormalNegritaCursivandice"/>
        <w:keepNext/>
      </w:pPr>
      <w:r>
        <w:t>Sentencia del Tribunal Europeo de Derechos Humanos de 13 de septiembre de 2016 (Ibrahim y otros c. Reino Unido)</w:t>
      </w:r>
    </w:p>
    <w:p w14:paraId="5F6DC82F" w14:textId="3DF1C544" w:rsidR="001D7FA9" w:rsidRDefault="001D7FA9" w:rsidP="001D7FA9">
      <w:pPr>
        <w:pStyle w:val="SangriaFrancesaArticulo"/>
      </w:pPr>
      <w:r w:rsidRPr="001D7FA9">
        <w:rPr>
          <w:rStyle w:val="TextoNormalNegritaCaracter"/>
        </w:rPr>
        <w:t>§ 257.</w:t>
      </w:r>
      <w:r w:rsidRPr="001D7FA9">
        <w:rPr>
          <w:rStyle w:val="TextoNormalCaracter"/>
        </w:rPr>
        <w:t>-</w:t>
      </w:r>
      <w:r>
        <w:t xml:space="preserve"> Auto </w:t>
      </w:r>
      <w:hyperlink w:anchor="AUTO_2025_28" w:history="1">
        <w:r w:rsidRPr="001D7FA9">
          <w:rPr>
            <w:rStyle w:val="TextoNormalCaracter"/>
          </w:rPr>
          <w:t>28/2025</w:t>
        </w:r>
      </w:hyperlink>
      <w:r>
        <w:t>, f. 3.</w:t>
      </w:r>
    </w:p>
    <w:p w14:paraId="4BF9AA09" w14:textId="6E32C57A" w:rsidR="001D7FA9" w:rsidRDefault="001D7FA9" w:rsidP="001D7FA9">
      <w:pPr>
        <w:pStyle w:val="SangriaFrancesaArticulo"/>
      </w:pPr>
      <w:r w:rsidRPr="001D7FA9">
        <w:rPr>
          <w:rStyle w:val="TextoNormalNegritaCaracter"/>
        </w:rPr>
        <w:t>§ 258-262.</w:t>
      </w:r>
      <w:r w:rsidRPr="001D7FA9">
        <w:rPr>
          <w:rStyle w:val="TextoNormalCaracter"/>
        </w:rPr>
        <w:t>-</w:t>
      </w:r>
      <w:r>
        <w:t xml:space="preserve"> Auto </w:t>
      </w:r>
      <w:hyperlink w:anchor="AUTO_2025_28" w:history="1">
        <w:r w:rsidRPr="001D7FA9">
          <w:rPr>
            <w:rStyle w:val="TextoNormalCaracter"/>
          </w:rPr>
          <w:t>28/2025</w:t>
        </w:r>
      </w:hyperlink>
      <w:r>
        <w:t>, f. 3.</w:t>
      </w:r>
    </w:p>
    <w:p w14:paraId="29B87B28" w14:textId="79B4CE53" w:rsidR="001D7FA9" w:rsidRDefault="001D7FA9" w:rsidP="001D7FA9">
      <w:pPr>
        <w:pStyle w:val="SangriaFrancesaArticulo"/>
      </w:pPr>
      <w:r w:rsidRPr="001D7FA9">
        <w:rPr>
          <w:rStyle w:val="TextoNormalNegritaCaracter"/>
        </w:rPr>
        <w:t>§ 262.</w:t>
      </w:r>
      <w:r w:rsidRPr="001D7FA9">
        <w:rPr>
          <w:rStyle w:val="TextoNormalCaracter"/>
        </w:rPr>
        <w:t>-</w:t>
      </w:r>
      <w:r>
        <w:t xml:space="preserve"> Auto </w:t>
      </w:r>
      <w:hyperlink w:anchor="AUTO_2025_28" w:history="1">
        <w:r w:rsidRPr="001D7FA9">
          <w:rPr>
            <w:rStyle w:val="TextoNormalCaracter"/>
          </w:rPr>
          <w:t>28/2025</w:t>
        </w:r>
      </w:hyperlink>
      <w:r>
        <w:t>, f. 3.</w:t>
      </w:r>
    </w:p>
    <w:p w14:paraId="150BCBFC" w14:textId="009D32F4" w:rsidR="001D7FA9" w:rsidRDefault="001D7FA9" w:rsidP="001D7FA9">
      <w:pPr>
        <w:pStyle w:val="SangriaFrancesaArticulo"/>
      </w:pPr>
    </w:p>
    <w:p w14:paraId="5B43F368" w14:textId="77777777" w:rsidR="001D7FA9" w:rsidRDefault="001D7FA9" w:rsidP="001D7FA9">
      <w:pPr>
        <w:pStyle w:val="TextoNormalNegritaCursivandice"/>
        <w:keepNext/>
      </w:pPr>
      <w:r>
        <w:t>Sentencia del Tribunal Europeo de Derechos Humanos de 2 de marzo de 2017 (Talpis c. Italia)</w:t>
      </w:r>
    </w:p>
    <w:p w14:paraId="441BAC6E" w14:textId="4030954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06EAFA96" w14:textId="254CC08E" w:rsidR="001D7FA9" w:rsidRDefault="001D7FA9" w:rsidP="001D7FA9">
      <w:pPr>
        <w:pStyle w:val="SangriaFrancesaArticulo"/>
      </w:pPr>
      <w:r w:rsidRPr="001D7FA9">
        <w:rPr>
          <w:rStyle w:val="TextoNormalNegritaCaracter"/>
        </w:rPr>
        <w:t>§ 98.</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2FAADEE1" w14:textId="5C76ACF7" w:rsidR="001D7FA9" w:rsidRDefault="001D7FA9" w:rsidP="001D7FA9">
      <w:pPr>
        <w:pStyle w:val="SangriaFrancesaArticulo"/>
      </w:pPr>
      <w:r w:rsidRPr="001D7FA9">
        <w:rPr>
          <w:rStyle w:val="TextoNormalNegritaCaracter"/>
        </w:rPr>
        <w:t>§ 99.</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378586A9" w14:textId="1A9D0BA9" w:rsidR="001D7FA9" w:rsidRDefault="001D7FA9" w:rsidP="001D7FA9">
      <w:pPr>
        <w:pStyle w:val="SangriaFrancesaArticulo"/>
      </w:pPr>
      <w:r w:rsidRPr="001D7FA9">
        <w:rPr>
          <w:rStyle w:val="TextoNormalNegritaCaracter"/>
        </w:rPr>
        <w:t>§ 129 a 131.</w:t>
      </w:r>
      <w:r w:rsidRPr="001D7FA9">
        <w:rPr>
          <w:rStyle w:val="TextoNormalCaracter"/>
        </w:rPr>
        <w:t>-</w:t>
      </w:r>
      <w:r>
        <w:t xml:space="preserve"> Sentencia </w:t>
      </w:r>
      <w:hyperlink w:anchor="SENTENCIA_2025_126" w:history="1">
        <w:r w:rsidRPr="001D7FA9">
          <w:rPr>
            <w:rStyle w:val="TextoNormalCaracter"/>
          </w:rPr>
          <w:t>126/2025</w:t>
        </w:r>
      </w:hyperlink>
      <w:r>
        <w:t>, f. 4.</w:t>
      </w:r>
    </w:p>
    <w:p w14:paraId="6CF20AD0" w14:textId="1C95BD22" w:rsidR="001D7FA9" w:rsidRDefault="001D7FA9" w:rsidP="001D7FA9">
      <w:pPr>
        <w:pStyle w:val="SangriaFrancesaArticulo"/>
      </w:pPr>
    </w:p>
    <w:p w14:paraId="007F4005" w14:textId="77777777" w:rsidR="001D7FA9" w:rsidRDefault="001D7FA9" w:rsidP="001D7FA9">
      <w:pPr>
        <w:pStyle w:val="TextoNormalNegritaCursivandice"/>
        <w:keepNext/>
      </w:pPr>
      <w:r>
        <w:t>Sentencia del Tribunal Europeo de Derechos Humanos de 13 de abril de 2017 (Tagayeva y otros c. Rusia)</w:t>
      </w:r>
    </w:p>
    <w:p w14:paraId="751DC80C" w14:textId="19EE79C5" w:rsidR="001D7FA9" w:rsidRDefault="001D7FA9" w:rsidP="001D7FA9">
      <w:pPr>
        <w:pStyle w:val="SangriaFrancesaArticulo"/>
      </w:pPr>
      <w:r w:rsidRPr="001D7FA9">
        <w:rPr>
          <w:rStyle w:val="TextoNormalNegritaCaracter"/>
        </w:rPr>
        <w:t>§ 562 y ss..</w:t>
      </w:r>
      <w:r w:rsidRPr="001D7FA9">
        <w:rPr>
          <w:rStyle w:val="TextoNormalCaracter"/>
        </w:rPr>
        <w:t>-</w:t>
      </w:r>
      <w:r>
        <w:t xml:space="preserve"> Sentencia </w:t>
      </w:r>
      <w:hyperlink w:anchor="SENTENCIA_2025_137" w:history="1">
        <w:r w:rsidRPr="001D7FA9">
          <w:rPr>
            <w:rStyle w:val="TextoNormalCaracter"/>
          </w:rPr>
          <w:t>137/2025</w:t>
        </w:r>
      </w:hyperlink>
      <w:r>
        <w:t>, f. 14.</w:t>
      </w:r>
    </w:p>
    <w:p w14:paraId="0119D9BF" w14:textId="57C3298C" w:rsidR="001D7FA9" w:rsidRDefault="001D7FA9" w:rsidP="001D7FA9">
      <w:pPr>
        <w:pStyle w:val="SangriaFrancesaArticulo"/>
      </w:pPr>
    </w:p>
    <w:p w14:paraId="372B624C" w14:textId="77777777" w:rsidR="001D7FA9" w:rsidRDefault="001D7FA9" w:rsidP="001D7FA9">
      <w:pPr>
        <w:pStyle w:val="TextoNormalNegritaCursivandice"/>
        <w:keepNext/>
      </w:pPr>
      <w:r>
        <w:t>Sentencia del Tribunal Europeo de Derechos Humanos de 25 de julio de 2017 (M c. Países Bajos)</w:t>
      </w:r>
    </w:p>
    <w:p w14:paraId="1B7740C6" w14:textId="5D8CF102" w:rsidR="001D7FA9" w:rsidRDefault="001D7FA9" w:rsidP="001D7FA9">
      <w:pPr>
        <w:pStyle w:val="SangriaFrancesaArticulo"/>
      </w:pPr>
      <w:r w:rsidRPr="001D7FA9">
        <w:rPr>
          <w:rStyle w:val="TextoNormalNegritaCaracter"/>
        </w:rPr>
        <w:t>§ 88.</w:t>
      </w:r>
      <w:r w:rsidRPr="001D7FA9">
        <w:rPr>
          <w:rStyle w:val="TextoNormalCaracter"/>
        </w:rPr>
        <w:t>-</w:t>
      </w:r>
      <w:r>
        <w:t xml:space="preserve"> Auto </w:t>
      </w:r>
      <w:hyperlink w:anchor="AUTO_2025_28" w:history="1">
        <w:r w:rsidRPr="001D7FA9">
          <w:rPr>
            <w:rStyle w:val="TextoNormalCaracter"/>
          </w:rPr>
          <w:t>28/2025</w:t>
        </w:r>
      </w:hyperlink>
      <w:r>
        <w:t>, f. 3.</w:t>
      </w:r>
    </w:p>
    <w:p w14:paraId="03B75931" w14:textId="2BE56C44" w:rsidR="001D7FA9" w:rsidRDefault="001D7FA9" w:rsidP="001D7FA9">
      <w:pPr>
        <w:pStyle w:val="SangriaFrancesaArticulo"/>
      </w:pPr>
    </w:p>
    <w:p w14:paraId="09CFF25A" w14:textId="77777777" w:rsidR="001D7FA9" w:rsidRDefault="001D7FA9" w:rsidP="001D7FA9">
      <w:pPr>
        <w:pStyle w:val="TextoNormalNegritaCursivandice"/>
        <w:keepNext/>
      </w:pPr>
      <w:r>
        <w:t>Sentencia del Tribunal Europeo de Derechos Humanos de 6 de noviembre de 2018 (Otegi Mondragón y otros c. España)</w:t>
      </w:r>
    </w:p>
    <w:p w14:paraId="4D733B95" w14:textId="2B2D2CD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5" w:history="1">
        <w:r w:rsidRPr="001D7FA9">
          <w:rPr>
            <w:rStyle w:val="TextoNormalCaracter"/>
          </w:rPr>
          <w:t>35/2025</w:t>
        </w:r>
      </w:hyperlink>
      <w:r>
        <w:t>, VP I.</w:t>
      </w:r>
    </w:p>
    <w:p w14:paraId="1CB771E7" w14:textId="4499703A" w:rsidR="001D7FA9" w:rsidRDefault="001D7FA9" w:rsidP="001D7FA9">
      <w:pPr>
        <w:pStyle w:val="SangriaFrancesaArticulo"/>
      </w:pPr>
    </w:p>
    <w:p w14:paraId="0C539986" w14:textId="77777777" w:rsidR="001D7FA9" w:rsidRDefault="001D7FA9" w:rsidP="001D7FA9">
      <w:pPr>
        <w:pStyle w:val="TextoNormalNegritaCursivandice"/>
        <w:keepNext/>
      </w:pPr>
      <w:r>
        <w:t>Sentencia del Tribunal Europeo de Derechos Humanos de 9 de noviembre de 2018 (Beuze c. Bélgica)</w:t>
      </w:r>
    </w:p>
    <w:p w14:paraId="1E23FCE7" w14:textId="2BA790A9" w:rsidR="001D7FA9" w:rsidRDefault="001D7FA9" w:rsidP="001D7FA9">
      <w:pPr>
        <w:pStyle w:val="SangriaFrancesaArticulo"/>
      </w:pPr>
      <w:r w:rsidRPr="001D7FA9">
        <w:rPr>
          <w:rStyle w:val="TextoNormalNegritaCaracter"/>
        </w:rPr>
        <w:t>§ 82.</w:t>
      </w:r>
      <w:r w:rsidRPr="001D7FA9">
        <w:rPr>
          <w:rStyle w:val="TextoNormalCaracter"/>
        </w:rPr>
        <w:t>-</w:t>
      </w:r>
      <w:r>
        <w:t xml:space="preserve"> Auto </w:t>
      </w:r>
      <w:hyperlink w:anchor="AUTO_2025_28" w:history="1">
        <w:r w:rsidRPr="001D7FA9">
          <w:rPr>
            <w:rStyle w:val="TextoNormalCaracter"/>
          </w:rPr>
          <w:t>28/2025</w:t>
        </w:r>
      </w:hyperlink>
      <w:r>
        <w:t>, f. 3.</w:t>
      </w:r>
    </w:p>
    <w:p w14:paraId="6C68A7A6" w14:textId="48CB9D6F" w:rsidR="001D7FA9" w:rsidRDefault="001D7FA9" w:rsidP="001D7FA9">
      <w:pPr>
        <w:pStyle w:val="SangriaFrancesaArticulo"/>
      </w:pPr>
      <w:r w:rsidRPr="001D7FA9">
        <w:rPr>
          <w:rStyle w:val="TextoNormalNegritaCaracter"/>
        </w:rPr>
        <w:t>§ 138.</w:t>
      </w:r>
      <w:r w:rsidRPr="001D7FA9">
        <w:rPr>
          <w:rStyle w:val="TextoNormalCaracter"/>
        </w:rPr>
        <w:t>-</w:t>
      </w:r>
      <w:r>
        <w:t xml:space="preserve"> Auto </w:t>
      </w:r>
      <w:hyperlink w:anchor="AUTO_2025_28" w:history="1">
        <w:r w:rsidRPr="001D7FA9">
          <w:rPr>
            <w:rStyle w:val="TextoNormalCaracter"/>
          </w:rPr>
          <w:t>28/2025</w:t>
        </w:r>
      </w:hyperlink>
      <w:r>
        <w:t>, f. 3.</w:t>
      </w:r>
    </w:p>
    <w:p w14:paraId="6AF8107B" w14:textId="1B16D235" w:rsidR="001D7FA9" w:rsidRDefault="001D7FA9" w:rsidP="001D7FA9">
      <w:pPr>
        <w:pStyle w:val="SangriaFrancesaArticulo"/>
      </w:pPr>
      <w:r w:rsidRPr="001D7FA9">
        <w:rPr>
          <w:rStyle w:val="TextoNormalNegritaCaracter"/>
        </w:rPr>
        <w:t>§ 141.</w:t>
      </w:r>
      <w:r w:rsidRPr="001D7FA9">
        <w:rPr>
          <w:rStyle w:val="TextoNormalCaracter"/>
        </w:rPr>
        <w:t>-</w:t>
      </w:r>
      <w:r>
        <w:t xml:space="preserve"> Auto </w:t>
      </w:r>
      <w:hyperlink w:anchor="AUTO_2025_28" w:history="1">
        <w:r w:rsidRPr="001D7FA9">
          <w:rPr>
            <w:rStyle w:val="TextoNormalCaracter"/>
          </w:rPr>
          <w:t>28/2025</w:t>
        </w:r>
      </w:hyperlink>
      <w:r>
        <w:t>, f. 3.</w:t>
      </w:r>
    </w:p>
    <w:p w14:paraId="3CBAF798" w14:textId="172FC4EB" w:rsidR="001D7FA9" w:rsidRDefault="001D7FA9" w:rsidP="001D7FA9">
      <w:pPr>
        <w:pStyle w:val="SangriaFrancesaArticulo"/>
      </w:pPr>
      <w:r w:rsidRPr="001D7FA9">
        <w:rPr>
          <w:rStyle w:val="TextoNormalNegritaCaracter"/>
        </w:rPr>
        <w:t>§ 145.</w:t>
      </w:r>
      <w:r w:rsidRPr="001D7FA9">
        <w:rPr>
          <w:rStyle w:val="TextoNormalCaracter"/>
        </w:rPr>
        <w:t>-</w:t>
      </w:r>
      <w:r>
        <w:t xml:space="preserve"> Auto </w:t>
      </w:r>
      <w:hyperlink w:anchor="AUTO_2025_28" w:history="1">
        <w:r w:rsidRPr="001D7FA9">
          <w:rPr>
            <w:rStyle w:val="TextoNormalCaracter"/>
          </w:rPr>
          <w:t>28/2025</w:t>
        </w:r>
      </w:hyperlink>
      <w:r>
        <w:t>, f. 3.</w:t>
      </w:r>
    </w:p>
    <w:p w14:paraId="4E87E702" w14:textId="4EB6251F" w:rsidR="001D7FA9" w:rsidRDefault="001D7FA9" w:rsidP="001D7FA9">
      <w:pPr>
        <w:pStyle w:val="SangriaFrancesaArticulo"/>
      </w:pPr>
    </w:p>
    <w:p w14:paraId="208A029F" w14:textId="77777777" w:rsidR="001D7FA9" w:rsidRDefault="001D7FA9" w:rsidP="001D7FA9">
      <w:pPr>
        <w:pStyle w:val="TextoNormalNegritaCursivandice"/>
        <w:keepNext/>
      </w:pPr>
      <w:r>
        <w:t>Sentencia del Tribunal Europeo de Derechos Humanos de 16 de abril de 2019 (Baltic Master Ltd. c. Lituania)</w:t>
      </w:r>
    </w:p>
    <w:p w14:paraId="3527F38B" w14:textId="12030809" w:rsidR="001D7FA9" w:rsidRDefault="001D7FA9" w:rsidP="001D7FA9">
      <w:pPr>
        <w:pStyle w:val="SangriaFrancesaArticulo"/>
      </w:pPr>
      <w:r w:rsidRPr="001D7FA9">
        <w:rPr>
          <w:rStyle w:val="TextoNormalNegritaCaracter"/>
        </w:rPr>
        <w:t>§ 36 a 38.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2A7A268" w14:textId="040E56E3" w:rsidR="001D7FA9" w:rsidRDefault="001D7FA9" w:rsidP="001D7FA9">
      <w:pPr>
        <w:pStyle w:val="SangriaFrancesaArticulo"/>
      </w:pPr>
    </w:p>
    <w:p w14:paraId="3BC40B27" w14:textId="77777777" w:rsidR="001D7FA9" w:rsidRDefault="001D7FA9" w:rsidP="001D7FA9">
      <w:pPr>
        <w:pStyle w:val="TextoNormalNegritaCursivandice"/>
        <w:keepNext/>
      </w:pPr>
      <w:r>
        <w:t>Decisión del Tribunal Europeo de Derechos Humanos de 25 de junio de 2019 (Martínez Agirre y otros c. España)</w:t>
      </w:r>
    </w:p>
    <w:p w14:paraId="45251717" w14:textId="76170B0C" w:rsidR="001D7FA9" w:rsidRDefault="001D7FA9" w:rsidP="001D7FA9">
      <w:pPr>
        <w:pStyle w:val="SangriaFrancesaArticulo"/>
      </w:pPr>
      <w:r w:rsidRPr="001D7FA9">
        <w:rPr>
          <w:rStyle w:val="TextoNormalNegritaCaracter"/>
        </w:rPr>
        <w:t>§ 40.</w:t>
      </w:r>
      <w:r w:rsidRPr="001D7FA9">
        <w:rPr>
          <w:rStyle w:val="TextoNormalCaracter"/>
        </w:rPr>
        <w:t>-</w:t>
      </w:r>
      <w:r>
        <w:t xml:space="preserve"> Sentencia </w:t>
      </w:r>
      <w:hyperlink w:anchor="SENTENCIA_2025_54" w:history="1">
        <w:r w:rsidRPr="001D7FA9">
          <w:rPr>
            <w:rStyle w:val="TextoNormalCaracter"/>
          </w:rPr>
          <w:t>54/2025</w:t>
        </w:r>
      </w:hyperlink>
      <w:r>
        <w:t>, VP.</w:t>
      </w:r>
    </w:p>
    <w:p w14:paraId="16915CEB" w14:textId="61A65559" w:rsidR="001D7FA9" w:rsidRDefault="001D7FA9" w:rsidP="001D7FA9">
      <w:pPr>
        <w:pStyle w:val="SangriaFrancesaArticulo"/>
      </w:pPr>
    </w:p>
    <w:p w14:paraId="35D9CECD" w14:textId="77777777" w:rsidR="001D7FA9" w:rsidRDefault="001D7FA9" w:rsidP="001D7FA9">
      <w:pPr>
        <w:pStyle w:val="TextoNormalNegritaCursivandice"/>
        <w:keepNext/>
      </w:pPr>
      <w:r>
        <w:t>Sentencia del Tribunal Europeo de Derechos Humanos de 13 de febrero de 2020 (Sanofi Pasteur c. Francia)</w:t>
      </w:r>
    </w:p>
    <w:p w14:paraId="094C6477" w14:textId="13BCB69D"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1E60A2E" w14:textId="7E631FF9"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5B985F47" w14:textId="4105D432" w:rsidR="001D7FA9" w:rsidRDefault="001D7FA9" w:rsidP="001D7FA9">
      <w:pPr>
        <w:pStyle w:val="SangriaFrancesaArticulo"/>
      </w:pPr>
      <w:r w:rsidRPr="001D7FA9">
        <w:rPr>
          <w:rStyle w:val="TextoNormalNegritaCaracter"/>
        </w:rPr>
        <w:t>§ 68 a 70.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90BBB8D" w14:textId="3DB43893" w:rsidR="001D7FA9" w:rsidRDefault="001D7FA9" w:rsidP="001D7FA9">
      <w:pPr>
        <w:pStyle w:val="SangriaFrancesaArticulo"/>
      </w:pPr>
      <w:r w:rsidRPr="001D7FA9">
        <w:rPr>
          <w:rStyle w:val="TextoNormalNegritaCaracter"/>
        </w:rPr>
        <w:t>§ 69.</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F223250" w14:textId="5DF131AE" w:rsidR="001D7FA9" w:rsidRDefault="001D7FA9" w:rsidP="001D7FA9">
      <w:pPr>
        <w:pStyle w:val="SangriaFrancesaArticulo"/>
      </w:pPr>
    </w:p>
    <w:p w14:paraId="10ECFC51" w14:textId="77777777" w:rsidR="001D7FA9" w:rsidRDefault="001D7FA9" w:rsidP="001D7FA9">
      <w:pPr>
        <w:pStyle w:val="TextoNormalNegritaCursivandice"/>
        <w:keepNext/>
      </w:pPr>
      <w:r>
        <w:t>Sentencia del Tribunal Europeo de Derechos Humanos de 11 de junio de 2020 (Baldassi y otros c. Francia)</w:t>
      </w:r>
    </w:p>
    <w:p w14:paraId="1EF395B1" w14:textId="693BA4F9" w:rsidR="001D7FA9" w:rsidRDefault="001D7FA9" w:rsidP="001D7FA9">
      <w:pPr>
        <w:pStyle w:val="SangriaFrancesaArticulo"/>
      </w:pPr>
      <w:r w:rsidRPr="001D7FA9">
        <w:rPr>
          <w:rStyle w:val="TextoNormalNegritaCaracter"/>
        </w:rPr>
        <w:t>§ 78.</w:t>
      </w:r>
      <w:r w:rsidRPr="001D7FA9">
        <w:rPr>
          <w:rStyle w:val="TextoNormalCaracter"/>
        </w:rPr>
        <w:t>-</w:t>
      </w:r>
      <w:r>
        <w:t xml:space="preserve"> Sentencia </w:t>
      </w:r>
      <w:hyperlink w:anchor="SENTENCIA_2025_117" w:history="1">
        <w:r w:rsidRPr="001D7FA9">
          <w:rPr>
            <w:rStyle w:val="TextoNormalCaracter"/>
          </w:rPr>
          <w:t>117/2025</w:t>
        </w:r>
      </w:hyperlink>
      <w:r>
        <w:t>, f. 6.</w:t>
      </w:r>
    </w:p>
    <w:p w14:paraId="666A9159" w14:textId="2156EDF5" w:rsidR="001D7FA9" w:rsidRDefault="001D7FA9" w:rsidP="001D7FA9">
      <w:pPr>
        <w:pStyle w:val="SangriaFrancesaArticulo"/>
      </w:pPr>
    </w:p>
    <w:p w14:paraId="5BC2A08B" w14:textId="77777777" w:rsidR="001D7FA9" w:rsidRDefault="001D7FA9" w:rsidP="001D7FA9">
      <w:pPr>
        <w:pStyle w:val="TextoNormalNegritaCursivandice"/>
        <w:keepNext/>
      </w:pPr>
      <w:r>
        <w:t>Sentencia del Tribunal Europeo de Derechos Humanos de 23 de junio de 2020 (Omorefe c. España)</w:t>
      </w:r>
    </w:p>
    <w:p w14:paraId="5D392F39" w14:textId="54F4C49B" w:rsidR="001D7FA9" w:rsidRDefault="001D7FA9" w:rsidP="001D7FA9">
      <w:pPr>
        <w:pStyle w:val="SangriaFrancesaArticulo"/>
      </w:pPr>
      <w:r w:rsidRPr="001D7FA9">
        <w:rPr>
          <w:rStyle w:val="TextoNormalNegritaCaracter"/>
        </w:rPr>
        <w:t>§ 59.</w:t>
      </w:r>
      <w:r w:rsidRPr="001D7FA9">
        <w:rPr>
          <w:rStyle w:val="TextoNormalCaracter"/>
        </w:rPr>
        <w:t>-</w:t>
      </w:r>
      <w:r>
        <w:t xml:space="preserve"> Sentencia </w:t>
      </w:r>
      <w:hyperlink w:anchor="SENTENCIA_2025_54" w:history="1">
        <w:r w:rsidRPr="001D7FA9">
          <w:rPr>
            <w:rStyle w:val="TextoNormalCaracter"/>
          </w:rPr>
          <w:t>54/2025</w:t>
        </w:r>
      </w:hyperlink>
      <w:r>
        <w:t>, VP.</w:t>
      </w:r>
    </w:p>
    <w:p w14:paraId="11E00D81" w14:textId="5B72C695" w:rsidR="001D7FA9" w:rsidRDefault="001D7FA9" w:rsidP="001D7FA9">
      <w:pPr>
        <w:pStyle w:val="SangriaFrancesaArticulo"/>
      </w:pPr>
    </w:p>
    <w:p w14:paraId="26E10760" w14:textId="77777777" w:rsidR="001D7FA9" w:rsidRDefault="001D7FA9" w:rsidP="001D7FA9">
      <w:pPr>
        <w:pStyle w:val="TextoNormalNegritaCursivandice"/>
        <w:keepNext/>
      </w:pPr>
      <w:r>
        <w:t>Sentencia del Tribunal Europeo de Derechos Humanos de 25 de junio de 2020 (Miljevic c. Croacia)</w:t>
      </w:r>
    </w:p>
    <w:p w14:paraId="46997009" w14:textId="21F4A806" w:rsidR="001D7FA9" w:rsidRDefault="001D7FA9" w:rsidP="001D7FA9">
      <w:pPr>
        <w:pStyle w:val="SangriaFrancesaArticulo"/>
      </w:pPr>
      <w:r w:rsidRPr="001D7FA9">
        <w:rPr>
          <w:rStyle w:val="TextoNormalNegritaCaracter"/>
        </w:rPr>
        <w:t>§ 88.</w:t>
      </w:r>
      <w:r w:rsidRPr="001D7FA9">
        <w:rPr>
          <w:rStyle w:val="TextoNormalCaracter"/>
        </w:rPr>
        <w:t>-</w:t>
      </w:r>
      <w:r>
        <w:t xml:space="preserve"> Auto </w:t>
      </w:r>
      <w:hyperlink w:anchor="AUTO_2025_6" w:history="1">
        <w:r w:rsidRPr="001D7FA9">
          <w:rPr>
            <w:rStyle w:val="TextoNormalCaracter"/>
          </w:rPr>
          <w:t>6/2025</w:t>
        </w:r>
      </w:hyperlink>
      <w:r>
        <w:t>, VP II.</w:t>
      </w:r>
    </w:p>
    <w:p w14:paraId="603ECF9E" w14:textId="64AFC806" w:rsidR="001D7FA9" w:rsidRDefault="001D7FA9" w:rsidP="001D7FA9">
      <w:pPr>
        <w:pStyle w:val="SangriaFrancesaArticulo"/>
      </w:pPr>
    </w:p>
    <w:p w14:paraId="26DCFFEB" w14:textId="77777777" w:rsidR="001D7FA9" w:rsidRDefault="001D7FA9" w:rsidP="001D7FA9">
      <w:pPr>
        <w:pStyle w:val="TextoNormalNegritaCursivandice"/>
        <w:keepNext/>
      </w:pPr>
      <w:r>
        <w:t>Sentencia del Tribunal Europeo de Derechos Humanos de 30 de junio de 2020 (Saquetti Iglesias c. España)</w:t>
      </w:r>
    </w:p>
    <w:p w14:paraId="7FE2F64F" w14:textId="1FF33C9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 w:history="1">
        <w:r w:rsidRPr="001D7FA9">
          <w:rPr>
            <w:rStyle w:val="TextoNormalCaracter"/>
          </w:rPr>
          <w:t>12/2025</w:t>
        </w:r>
      </w:hyperlink>
      <w:r>
        <w:t>, VP I.</w:t>
      </w:r>
    </w:p>
    <w:p w14:paraId="0A45B3E3" w14:textId="2F12D0DA" w:rsidR="001D7FA9" w:rsidRDefault="001D7FA9" w:rsidP="001D7FA9">
      <w:pPr>
        <w:pStyle w:val="SangriaFrancesaArticulo"/>
      </w:pPr>
    </w:p>
    <w:p w14:paraId="4C637DED" w14:textId="77777777" w:rsidR="001D7FA9" w:rsidRDefault="001D7FA9" w:rsidP="001D7FA9">
      <w:pPr>
        <w:pStyle w:val="TextoNormalNegritaCursivandice"/>
        <w:keepNext/>
      </w:pPr>
      <w:r>
        <w:t>Sentencia del Tribunal Europeo de Derechos Humanos de 13 de octubre de 2020 (Kothencz c. Hungría)</w:t>
      </w:r>
    </w:p>
    <w:p w14:paraId="1DEDF9E3" w14:textId="6FB13D9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VP II.</w:t>
      </w:r>
    </w:p>
    <w:p w14:paraId="2339434D" w14:textId="288AEA49" w:rsidR="001D7FA9" w:rsidRDefault="001D7FA9" w:rsidP="001D7FA9">
      <w:pPr>
        <w:pStyle w:val="SangriaFrancesaArticulo"/>
      </w:pPr>
      <w:r w:rsidRPr="001D7FA9">
        <w:rPr>
          <w:rStyle w:val="TextoNormalNegritaCaracter"/>
        </w:rPr>
        <w:t>§ 39.</w:t>
      </w:r>
      <w:r w:rsidRPr="001D7FA9">
        <w:rPr>
          <w:rStyle w:val="TextoNormalCaracter"/>
        </w:rPr>
        <w:t>-</w:t>
      </w:r>
      <w:r>
        <w:t xml:space="preserve"> Sentencia </w:t>
      </w:r>
      <w:hyperlink w:anchor="SENTENCIA_2025_25" w:history="1">
        <w:r w:rsidRPr="001D7FA9">
          <w:rPr>
            <w:rStyle w:val="TextoNormalCaracter"/>
          </w:rPr>
          <w:t>25/2025</w:t>
        </w:r>
      </w:hyperlink>
      <w:r>
        <w:t>, f. 5.</w:t>
      </w:r>
    </w:p>
    <w:p w14:paraId="6AB93832" w14:textId="1042FA50" w:rsidR="001D7FA9" w:rsidRDefault="001D7FA9" w:rsidP="001D7FA9">
      <w:pPr>
        <w:pStyle w:val="SangriaFrancesaArticulo"/>
      </w:pPr>
      <w:r w:rsidRPr="001D7FA9">
        <w:rPr>
          <w:rStyle w:val="TextoNormalNegritaCaracter"/>
        </w:rPr>
        <w:t>§ 43.</w:t>
      </w:r>
      <w:r w:rsidRPr="001D7FA9">
        <w:rPr>
          <w:rStyle w:val="TextoNormalCaracter"/>
        </w:rPr>
        <w:t>-</w:t>
      </w:r>
      <w:r>
        <w:t xml:space="preserve"> Sentencia </w:t>
      </w:r>
      <w:hyperlink w:anchor="SENTENCIA_2025_25" w:history="1">
        <w:r w:rsidRPr="001D7FA9">
          <w:rPr>
            <w:rStyle w:val="TextoNormalCaracter"/>
          </w:rPr>
          <w:t>25/2025</w:t>
        </w:r>
      </w:hyperlink>
      <w:r>
        <w:t>, f. 5.</w:t>
      </w:r>
    </w:p>
    <w:p w14:paraId="71658B7F" w14:textId="5FA57CFF" w:rsidR="001D7FA9" w:rsidRDefault="001D7FA9" w:rsidP="001D7FA9">
      <w:pPr>
        <w:pStyle w:val="SangriaFrancesaArticulo"/>
      </w:pPr>
    </w:p>
    <w:p w14:paraId="2A6CAE3F" w14:textId="77777777" w:rsidR="001D7FA9" w:rsidRDefault="001D7FA9" w:rsidP="001D7FA9">
      <w:pPr>
        <w:pStyle w:val="TextoNormalNegritaCursivandice"/>
        <w:keepNext/>
      </w:pPr>
      <w:r>
        <w:t>Sentencia del Tribunal Europeo de Derechos Humanos de 17 de diciembre de 2020 (Croatian Golf Federation c. Croacia)</w:t>
      </w:r>
    </w:p>
    <w:p w14:paraId="57AF498E" w14:textId="40DBF8C7" w:rsidR="001D7FA9" w:rsidRDefault="001D7FA9" w:rsidP="001D7FA9">
      <w:pPr>
        <w:pStyle w:val="SangriaFrancesaArticulo"/>
      </w:pPr>
      <w:r w:rsidRPr="001D7FA9">
        <w:rPr>
          <w:rStyle w:val="TextoNormalNegritaCaracter"/>
        </w:rPr>
        <w:t>§ 110.</w:t>
      </w:r>
      <w:r w:rsidRPr="001D7FA9">
        <w:rPr>
          <w:rStyle w:val="TextoNormalCaracter"/>
        </w:rPr>
        <w:t>-</w:t>
      </w:r>
      <w:r>
        <w:t xml:space="preserve"> Auto </w:t>
      </w:r>
      <w:hyperlink w:anchor="AUTO_2025_6" w:history="1">
        <w:r w:rsidRPr="001D7FA9">
          <w:rPr>
            <w:rStyle w:val="TextoNormalCaracter"/>
          </w:rPr>
          <w:t>6/2025</w:t>
        </w:r>
      </w:hyperlink>
      <w:r>
        <w:t>, VP II.</w:t>
      </w:r>
    </w:p>
    <w:p w14:paraId="1EB7B4DE" w14:textId="08A25BFA" w:rsidR="001D7FA9" w:rsidRDefault="001D7FA9" w:rsidP="001D7FA9">
      <w:pPr>
        <w:pStyle w:val="SangriaFrancesaArticulo"/>
      </w:pPr>
    </w:p>
    <w:p w14:paraId="39EC2617" w14:textId="77777777" w:rsidR="001D7FA9" w:rsidRDefault="001D7FA9" w:rsidP="001D7FA9">
      <w:pPr>
        <w:pStyle w:val="TextoNormalNegritaCursivandice"/>
        <w:keepNext/>
      </w:pPr>
      <w:r>
        <w:t>Sentencia del Tribunal Europeo de Derechos Humanos de 9 de marzo de 2021 (Bilgen c. Turquía)</w:t>
      </w:r>
    </w:p>
    <w:p w14:paraId="13DFB30A" w14:textId="5602E040" w:rsidR="001D7FA9" w:rsidRDefault="001D7FA9" w:rsidP="001D7FA9">
      <w:pPr>
        <w:pStyle w:val="SangriaFrancesaArticulo"/>
      </w:pPr>
      <w:r w:rsidRPr="001D7FA9">
        <w:rPr>
          <w:rStyle w:val="TextoNormalNegritaCaracter"/>
        </w:rPr>
        <w:t>§ 79.</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07FEFEFF" w14:textId="5C8921BA" w:rsidR="001D7FA9" w:rsidRDefault="001D7FA9" w:rsidP="001D7FA9">
      <w:pPr>
        <w:pStyle w:val="SangriaFrancesaArticulo"/>
      </w:pPr>
    </w:p>
    <w:p w14:paraId="54BE3FE0" w14:textId="77777777" w:rsidR="001D7FA9" w:rsidRDefault="001D7FA9" w:rsidP="001D7FA9">
      <w:pPr>
        <w:pStyle w:val="TextoNormalNegritaCursivandice"/>
        <w:keepNext/>
      </w:pPr>
      <w:r>
        <w:t>Sentencia del Tribunal Europeo de Derechos Humanos de 6 de abril de 2021 (Handzhiyski c. Bulgaria)</w:t>
      </w:r>
    </w:p>
    <w:p w14:paraId="3404B29A" w14:textId="25E840D6" w:rsidR="001D7FA9" w:rsidRDefault="001D7FA9" w:rsidP="001D7FA9">
      <w:pPr>
        <w:pStyle w:val="SangriaFrancesaArticulo"/>
      </w:pPr>
      <w:r w:rsidRPr="001D7FA9">
        <w:rPr>
          <w:rStyle w:val="TextoNormalNegritaCaracter"/>
        </w:rPr>
        <w:t>§ 55.</w:t>
      </w:r>
      <w:r w:rsidRPr="001D7FA9">
        <w:rPr>
          <w:rStyle w:val="TextoNormalCaracter"/>
        </w:rPr>
        <w:t>-</w:t>
      </w:r>
      <w:r>
        <w:t xml:space="preserve"> Sentencia </w:t>
      </w:r>
      <w:hyperlink w:anchor="SENTENCIA_2025_117" w:history="1">
        <w:r w:rsidRPr="001D7FA9">
          <w:rPr>
            <w:rStyle w:val="TextoNormalCaracter"/>
          </w:rPr>
          <w:t>117/2025</w:t>
        </w:r>
      </w:hyperlink>
      <w:r>
        <w:t>, f. 6.</w:t>
      </w:r>
    </w:p>
    <w:p w14:paraId="5F099664" w14:textId="0DDB6029" w:rsidR="001D7FA9" w:rsidRDefault="001D7FA9" w:rsidP="001D7FA9">
      <w:pPr>
        <w:pStyle w:val="SangriaFrancesaArticulo"/>
      </w:pPr>
    </w:p>
    <w:p w14:paraId="7CBF29AC" w14:textId="77777777" w:rsidR="001D7FA9" w:rsidRDefault="001D7FA9" w:rsidP="001D7FA9">
      <w:pPr>
        <w:pStyle w:val="TextoNormalNegritaCursivandice"/>
        <w:keepNext/>
      </w:pPr>
      <w:r>
        <w:t>Decisión del Tribunal Europeo de Derechos Humanos de 13 de abril de 2021 (Terhes c. Rumanía)</w:t>
      </w:r>
    </w:p>
    <w:p w14:paraId="116F424A" w14:textId="065B6DE5" w:rsidR="001D7FA9" w:rsidRDefault="001D7FA9" w:rsidP="001D7FA9">
      <w:pPr>
        <w:pStyle w:val="SangriaFrancesaArticulo"/>
      </w:pPr>
      <w:r w:rsidRPr="001D7FA9">
        <w:rPr>
          <w:rStyle w:val="TextoNormalNegritaCaracter"/>
        </w:rPr>
        <w:t>§ 36.</w:t>
      </w:r>
      <w:r w:rsidRPr="001D7FA9">
        <w:rPr>
          <w:rStyle w:val="TextoNormalCaracter"/>
        </w:rPr>
        <w:t>-</w:t>
      </w:r>
      <w:r>
        <w:t xml:space="preserve"> Sentencia </w:t>
      </w:r>
      <w:hyperlink w:anchor="SENTENCIA_2025_95" w:history="1">
        <w:r w:rsidRPr="001D7FA9">
          <w:rPr>
            <w:rStyle w:val="TextoNormalCaracter"/>
          </w:rPr>
          <w:t>95/2025</w:t>
        </w:r>
      </w:hyperlink>
      <w:r>
        <w:t>, f. 3.</w:t>
      </w:r>
    </w:p>
    <w:p w14:paraId="609377FF" w14:textId="146F6B2C" w:rsidR="001D7FA9" w:rsidRDefault="001D7FA9" w:rsidP="001D7FA9">
      <w:pPr>
        <w:pStyle w:val="SangriaFrancesaArticulo"/>
      </w:pPr>
    </w:p>
    <w:p w14:paraId="4F759312" w14:textId="77777777" w:rsidR="001D7FA9" w:rsidRDefault="001D7FA9" w:rsidP="001D7FA9">
      <w:pPr>
        <w:pStyle w:val="TextoNormalNegritaCursivandice"/>
        <w:keepNext/>
      </w:pPr>
      <w:r>
        <w:t>Sentencia del Tribunal Europeo de Derechos Humanos de 27 de abril de 2021 (Tökés c. Rumanía)</w:t>
      </w:r>
    </w:p>
    <w:p w14:paraId="2DAF8111" w14:textId="7567FA03" w:rsidR="001D7FA9" w:rsidRDefault="001D7FA9" w:rsidP="001D7FA9">
      <w:pPr>
        <w:pStyle w:val="SangriaFrancesaArticulo"/>
      </w:pPr>
      <w:r w:rsidRPr="001D7FA9">
        <w:rPr>
          <w:rStyle w:val="TextoNormalNegritaCaracter"/>
        </w:rPr>
        <w:t>§ 82.</w:t>
      </w:r>
      <w:r w:rsidRPr="001D7FA9">
        <w:rPr>
          <w:rStyle w:val="TextoNormalCaracter"/>
        </w:rPr>
        <w:t>-</w:t>
      </w:r>
      <w:r>
        <w:t xml:space="preserve"> Sentencia </w:t>
      </w:r>
      <w:hyperlink w:anchor="SENTENCIA_2025_117" w:history="1">
        <w:r w:rsidRPr="001D7FA9">
          <w:rPr>
            <w:rStyle w:val="TextoNormalCaracter"/>
          </w:rPr>
          <w:t>117/2025</w:t>
        </w:r>
      </w:hyperlink>
      <w:r>
        <w:t>, f. 4.</w:t>
      </w:r>
    </w:p>
    <w:p w14:paraId="1FBEFB1D" w14:textId="7CB45861" w:rsidR="001D7FA9" w:rsidRDefault="001D7FA9" w:rsidP="001D7FA9">
      <w:pPr>
        <w:pStyle w:val="SangriaFrancesaArticulo"/>
      </w:pPr>
    </w:p>
    <w:p w14:paraId="18EDEC6B" w14:textId="77777777" w:rsidR="001D7FA9" w:rsidRDefault="001D7FA9" w:rsidP="001D7FA9">
      <w:pPr>
        <w:pStyle w:val="TextoNormalNegritaCursivandice"/>
        <w:keepNext/>
      </w:pPr>
      <w:r>
        <w:t>Sentencia del Tribunal Europeo de Derechos Humanos de 29 de junio de 2021 (Broda y Bojara c. Polonia)</w:t>
      </w:r>
    </w:p>
    <w:p w14:paraId="160A3870" w14:textId="00DC4C8A" w:rsidR="001D7FA9" w:rsidRDefault="001D7FA9" w:rsidP="001D7FA9">
      <w:pPr>
        <w:pStyle w:val="SangriaFrancesaArticulo"/>
      </w:pPr>
      <w:r w:rsidRPr="001D7FA9">
        <w:rPr>
          <w:rStyle w:val="TextoNormalNegritaCaracter"/>
        </w:rPr>
        <w:t>§ 120.</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0AA73007" w14:textId="4AEA3543" w:rsidR="001D7FA9" w:rsidRDefault="001D7FA9" w:rsidP="001D7FA9">
      <w:pPr>
        <w:pStyle w:val="SangriaFrancesaArticulo"/>
      </w:pPr>
    </w:p>
    <w:p w14:paraId="09A34C1E" w14:textId="77777777" w:rsidR="001D7FA9" w:rsidRDefault="001D7FA9" w:rsidP="001D7FA9">
      <w:pPr>
        <w:pStyle w:val="TextoNormalNegritaCursivandice"/>
        <w:keepNext/>
      </w:pPr>
      <w:r>
        <w:t>Sentencia del Tribunal Europeo de Derechos Humanos de 19 de octubre de 2021 (Miroslava Todorova c. Bulgaria)</w:t>
      </w:r>
    </w:p>
    <w:p w14:paraId="51FA09FB" w14:textId="1F9C11F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 w:history="1">
        <w:r w:rsidRPr="001D7FA9">
          <w:rPr>
            <w:rStyle w:val="TextoNormalCaracter"/>
          </w:rPr>
          <w:t>6/2025</w:t>
        </w:r>
      </w:hyperlink>
      <w:r>
        <w:t>, VP II.</w:t>
      </w:r>
    </w:p>
    <w:p w14:paraId="53581C31" w14:textId="763E601C" w:rsidR="001D7FA9" w:rsidRDefault="001D7FA9" w:rsidP="001D7FA9">
      <w:pPr>
        <w:pStyle w:val="SangriaFrancesaArticulo"/>
      </w:pPr>
    </w:p>
    <w:p w14:paraId="4E4B8C13" w14:textId="77777777" w:rsidR="001D7FA9" w:rsidRDefault="001D7FA9" w:rsidP="001D7FA9">
      <w:pPr>
        <w:pStyle w:val="TextoNormalNegritaCursivandice"/>
        <w:keepNext/>
      </w:pPr>
      <w:r>
        <w:t>Sentencia del Tribunal Europeo de Derechos Humanos de 9 de noviembre de 2021 (Špadijer c. Montenegro)</w:t>
      </w:r>
    </w:p>
    <w:p w14:paraId="597C2FBF" w14:textId="096BA741" w:rsidR="001D7FA9" w:rsidRDefault="001D7FA9" w:rsidP="001D7FA9">
      <w:pPr>
        <w:pStyle w:val="SangriaFrancesaArticulo"/>
      </w:pPr>
      <w:r w:rsidRPr="001D7FA9">
        <w:rPr>
          <w:rStyle w:val="TextoNormalNegritaCaracter"/>
        </w:rPr>
        <w:t>§ 69.</w:t>
      </w:r>
      <w:r w:rsidRPr="001D7FA9">
        <w:rPr>
          <w:rStyle w:val="TextoNormalCaracter"/>
        </w:rPr>
        <w:t>-</w:t>
      </w:r>
      <w:r>
        <w:t xml:space="preserve"> Sentencia </w:t>
      </w:r>
      <w:hyperlink w:anchor="SENTENCIA_2025_28" w:history="1">
        <w:r w:rsidRPr="001D7FA9">
          <w:rPr>
            <w:rStyle w:val="TextoNormalCaracter"/>
          </w:rPr>
          <w:t>28/2025</w:t>
        </w:r>
      </w:hyperlink>
      <w:r>
        <w:t>, f. 3.</w:t>
      </w:r>
    </w:p>
    <w:p w14:paraId="29F7B032" w14:textId="2960354B" w:rsidR="001D7FA9" w:rsidRDefault="001D7FA9" w:rsidP="001D7FA9">
      <w:pPr>
        <w:pStyle w:val="SangriaFrancesaArticulo"/>
      </w:pPr>
      <w:r w:rsidRPr="001D7FA9">
        <w:rPr>
          <w:rStyle w:val="TextoNormalNegritaCaracter"/>
        </w:rPr>
        <w:t>§ 88.</w:t>
      </w:r>
      <w:r w:rsidRPr="001D7FA9">
        <w:rPr>
          <w:rStyle w:val="TextoNormalCaracter"/>
        </w:rPr>
        <w:t>-</w:t>
      </w:r>
      <w:r>
        <w:t xml:space="preserve"> Sentencia </w:t>
      </w:r>
      <w:hyperlink w:anchor="SENTENCIA_2025_28" w:history="1">
        <w:r w:rsidRPr="001D7FA9">
          <w:rPr>
            <w:rStyle w:val="TextoNormalCaracter"/>
          </w:rPr>
          <w:t>28/2025</w:t>
        </w:r>
      </w:hyperlink>
      <w:r>
        <w:t>, f. 4.</w:t>
      </w:r>
    </w:p>
    <w:p w14:paraId="4AED8C2D" w14:textId="1E1D2841" w:rsidR="001D7FA9" w:rsidRDefault="001D7FA9" w:rsidP="001D7FA9">
      <w:pPr>
        <w:pStyle w:val="SangriaFrancesaArticulo"/>
      </w:pPr>
      <w:r w:rsidRPr="001D7FA9">
        <w:rPr>
          <w:rStyle w:val="TextoNormalNegritaCaracter"/>
        </w:rPr>
        <w:t>§ 89.</w:t>
      </w:r>
      <w:r w:rsidRPr="001D7FA9">
        <w:rPr>
          <w:rStyle w:val="TextoNormalCaracter"/>
        </w:rPr>
        <w:t>-</w:t>
      </w:r>
      <w:r>
        <w:t xml:space="preserve"> Sentencia </w:t>
      </w:r>
      <w:hyperlink w:anchor="SENTENCIA_2025_28" w:history="1">
        <w:r w:rsidRPr="001D7FA9">
          <w:rPr>
            <w:rStyle w:val="TextoNormalCaracter"/>
          </w:rPr>
          <w:t>28/2025</w:t>
        </w:r>
      </w:hyperlink>
      <w:r>
        <w:t>, f. 4.</w:t>
      </w:r>
    </w:p>
    <w:p w14:paraId="1FC152B1" w14:textId="5765E1D9" w:rsidR="001D7FA9" w:rsidRDefault="001D7FA9" w:rsidP="001D7FA9">
      <w:pPr>
        <w:pStyle w:val="SangriaFrancesaArticulo"/>
      </w:pPr>
      <w:r w:rsidRPr="001D7FA9">
        <w:rPr>
          <w:rStyle w:val="TextoNormalNegritaCaracter"/>
        </w:rPr>
        <w:t>§ 90.</w:t>
      </w:r>
      <w:r w:rsidRPr="001D7FA9">
        <w:rPr>
          <w:rStyle w:val="TextoNormalCaracter"/>
        </w:rPr>
        <w:t>-</w:t>
      </w:r>
      <w:r>
        <w:t xml:space="preserve"> Sentencia </w:t>
      </w:r>
      <w:hyperlink w:anchor="SENTENCIA_2025_28" w:history="1">
        <w:r w:rsidRPr="001D7FA9">
          <w:rPr>
            <w:rStyle w:val="TextoNormalCaracter"/>
          </w:rPr>
          <w:t>28/2025</w:t>
        </w:r>
      </w:hyperlink>
      <w:r>
        <w:t>, f. 4.</w:t>
      </w:r>
    </w:p>
    <w:p w14:paraId="00794811" w14:textId="1ABB3D14" w:rsidR="001D7FA9" w:rsidRDefault="001D7FA9" w:rsidP="001D7FA9">
      <w:pPr>
        <w:pStyle w:val="SangriaFrancesaArticulo"/>
      </w:pPr>
      <w:r w:rsidRPr="001D7FA9">
        <w:rPr>
          <w:rStyle w:val="TextoNormalNegritaCaracter"/>
        </w:rPr>
        <w:t>§ 95.</w:t>
      </w:r>
      <w:r w:rsidRPr="001D7FA9">
        <w:rPr>
          <w:rStyle w:val="TextoNormalCaracter"/>
        </w:rPr>
        <w:t>-</w:t>
      </w:r>
      <w:r>
        <w:t xml:space="preserve"> Sentencia </w:t>
      </w:r>
      <w:hyperlink w:anchor="SENTENCIA_2025_28" w:history="1">
        <w:r w:rsidRPr="001D7FA9">
          <w:rPr>
            <w:rStyle w:val="TextoNormalCaracter"/>
          </w:rPr>
          <w:t>28/2025</w:t>
        </w:r>
      </w:hyperlink>
      <w:r>
        <w:t>, f. 4.</w:t>
      </w:r>
    </w:p>
    <w:p w14:paraId="49A9D85C" w14:textId="7E986DFB" w:rsidR="001D7FA9" w:rsidRDefault="001D7FA9" w:rsidP="001D7FA9">
      <w:pPr>
        <w:pStyle w:val="SangriaFrancesaArticulo"/>
      </w:pPr>
      <w:r w:rsidRPr="001D7FA9">
        <w:rPr>
          <w:rStyle w:val="TextoNormalNegritaCaracter"/>
        </w:rPr>
        <w:t>§ 97.</w:t>
      </w:r>
      <w:r w:rsidRPr="001D7FA9">
        <w:rPr>
          <w:rStyle w:val="TextoNormalCaracter"/>
        </w:rPr>
        <w:t>-</w:t>
      </w:r>
      <w:r>
        <w:t xml:space="preserve"> Sentencia </w:t>
      </w:r>
      <w:hyperlink w:anchor="SENTENCIA_2025_28" w:history="1">
        <w:r w:rsidRPr="001D7FA9">
          <w:rPr>
            <w:rStyle w:val="TextoNormalCaracter"/>
          </w:rPr>
          <w:t>28/2025</w:t>
        </w:r>
      </w:hyperlink>
      <w:r>
        <w:t>, f. 4.</w:t>
      </w:r>
    </w:p>
    <w:p w14:paraId="0154AE30" w14:textId="28AB2B53" w:rsidR="001D7FA9" w:rsidRDefault="001D7FA9" w:rsidP="001D7FA9">
      <w:pPr>
        <w:pStyle w:val="SangriaFrancesaArticulo"/>
      </w:pPr>
    </w:p>
    <w:p w14:paraId="0510B79E" w14:textId="77777777" w:rsidR="001D7FA9" w:rsidRDefault="001D7FA9" w:rsidP="001D7FA9">
      <w:pPr>
        <w:pStyle w:val="TextoNormalNegritaCursivandice"/>
        <w:keepNext/>
      </w:pPr>
      <w:r>
        <w:t>Sentencia del Tribunal Europeo de Derechos Humanos de 18 de enero de 2022 (Atristain Gorosabel c. España)</w:t>
      </w:r>
    </w:p>
    <w:p w14:paraId="72BA474E" w14:textId="48BAF16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8" w:history="1">
        <w:r w:rsidRPr="001D7FA9">
          <w:rPr>
            <w:rStyle w:val="TextoNormalCaracter"/>
          </w:rPr>
          <w:t>28/2025</w:t>
        </w:r>
      </w:hyperlink>
      <w:r>
        <w:t>, ff. 1, 3, 4, VP.</w:t>
      </w:r>
    </w:p>
    <w:p w14:paraId="22F4600C" w14:textId="17991CAA" w:rsidR="001D7FA9" w:rsidRDefault="001D7FA9" w:rsidP="001D7FA9">
      <w:pPr>
        <w:pStyle w:val="SangriaFrancesaArticulo"/>
      </w:pPr>
      <w:r w:rsidRPr="001D7FA9">
        <w:rPr>
          <w:rStyle w:val="TextoNormalNegritaCaracter"/>
        </w:rPr>
        <w:t>§ 50.</w:t>
      </w:r>
      <w:r w:rsidRPr="001D7FA9">
        <w:rPr>
          <w:rStyle w:val="TextoNormalCaracter"/>
        </w:rPr>
        <w:t>-</w:t>
      </w:r>
      <w:r>
        <w:t xml:space="preserve"> Auto </w:t>
      </w:r>
      <w:hyperlink w:anchor="AUTO_2025_28" w:history="1">
        <w:r w:rsidRPr="001D7FA9">
          <w:rPr>
            <w:rStyle w:val="TextoNormalCaracter"/>
          </w:rPr>
          <w:t>28/2025</w:t>
        </w:r>
      </w:hyperlink>
      <w:r>
        <w:t>, f. 3.</w:t>
      </w:r>
    </w:p>
    <w:p w14:paraId="783795CA" w14:textId="36E6F0FD" w:rsidR="001D7FA9" w:rsidRDefault="001D7FA9" w:rsidP="001D7FA9">
      <w:pPr>
        <w:pStyle w:val="SangriaFrancesaArticulo"/>
      </w:pPr>
      <w:r w:rsidRPr="001D7FA9">
        <w:rPr>
          <w:rStyle w:val="TextoNormalNegritaCaracter"/>
        </w:rPr>
        <w:t>§ 51.</w:t>
      </w:r>
      <w:r w:rsidRPr="001D7FA9">
        <w:rPr>
          <w:rStyle w:val="TextoNormalCaracter"/>
        </w:rPr>
        <w:t>-</w:t>
      </w:r>
      <w:r>
        <w:t xml:space="preserve"> Auto </w:t>
      </w:r>
      <w:hyperlink w:anchor="AUTO_2025_28" w:history="1">
        <w:r w:rsidRPr="001D7FA9">
          <w:rPr>
            <w:rStyle w:val="TextoNormalCaracter"/>
          </w:rPr>
          <w:t>28/2025</w:t>
        </w:r>
      </w:hyperlink>
      <w:r>
        <w:t>, f. 3.</w:t>
      </w:r>
    </w:p>
    <w:p w14:paraId="11190E80" w14:textId="37F44196" w:rsidR="001D7FA9" w:rsidRDefault="001D7FA9" w:rsidP="001D7FA9">
      <w:pPr>
        <w:pStyle w:val="SangriaFrancesaArticulo"/>
      </w:pPr>
      <w:r w:rsidRPr="001D7FA9">
        <w:rPr>
          <w:rStyle w:val="TextoNormalNegritaCaracter"/>
        </w:rPr>
        <w:t>§ 53.</w:t>
      </w:r>
      <w:r w:rsidRPr="001D7FA9">
        <w:rPr>
          <w:rStyle w:val="TextoNormalCaracter"/>
        </w:rPr>
        <w:t>-</w:t>
      </w:r>
      <w:r>
        <w:t xml:space="preserve"> Auto </w:t>
      </w:r>
      <w:hyperlink w:anchor="AUTO_2025_28" w:history="1">
        <w:r w:rsidRPr="001D7FA9">
          <w:rPr>
            <w:rStyle w:val="TextoNormalCaracter"/>
          </w:rPr>
          <w:t>28/2025</w:t>
        </w:r>
      </w:hyperlink>
      <w:r>
        <w:t>, f. 3.</w:t>
      </w:r>
    </w:p>
    <w:p w14:paraId="356AA58F" w14:textId="32997B78" w:rsidR="001D7FA9" w:rsidRDefault="001D7FA9" w:rsidP="001D7FA9">
      <w:pPr>
        <w:pStyle w:val="SangriaFrancesaArticulo"/>
      </w:pPr>
      <w:r w:rsidRPr="001D7FA9">
        <w:rPr>
          <w:rStyle w:val="TextoNormalNegritaCaracter"/>
        </w:rPr>
        <w:t>§ 57.</w:t>
      </w:r>
      <w:r w:rsidRPr="001D7FA9">
        <w:rPr>
          <w:rStyle w:val="TextoNormalCaracter"/>
        </w:rPr>
        <w:t>-</w:t>
      </w:r>
      <w:r>
        <w:t xml:space="preserve"> Auto </w:t>
      </w:r>
      <w:hyperlink w:anchor="AUTO_2025_28" w:history="1">
        <w:r w:rsidRPr="001D7FA9">
          <w:rPr>
            <w:rStyle w:val="TextoNormalCaracter"/>
          </w:rPr>
          <w:t>28/2025</w:t>
        </w:r>
      </w:hyperlink>
      <w:r>
        <w:t>, f. 3.</w:t>
      </w:r>
    </w:p>
    <w:p w14:paraId="6091F7EC" w14:textId="0272E05F" w:rsidR="001D7FA9" w:rsidRDefault="001D7FA9" w:rsidP="001D7FA9">
      <w:pPr>
        <w:pStyle w:val="SangriaFrancesaArticulo"/>
      </w:pPr>
      <w:r w:rsidRPr="001D7FA9">
        <w:rPr>
          <w:rStyle w:val="TextoNormalNegritaCaracter"/>
        </w:rPr>
        <w:t>§ 59.</w:t>
      </w:r>
      <w:r w:rsidRPr="001D7FA9">
        <w:rPr>
          <w:rStyle w:val="TextoNormalCaracter"/>
        </w:rPr>
        <w:t>-</w:t>
      </w:r>
      <w:r>
        <w:t xml:space="preserve"> Auto </w:t>
      </w:r>
      <w:hyperlink w:anchor="AUTO_2025_28" w:history="1">
        <w:r w:rsidRPr="001D7FA9">
          <w:rPr>
            <w:rStyle w:val="TextoNormalCaracter"/>
          </w:rPr>
          <w:t>28/2025</w:t>
        </w:r>
      </w:hyperlink>
      <w:r>
        <w:t>, VP.</w:t>
      </w:r>
    </w:p>
    <w:p w14:paraId="35E82741" w14:textId="369CF7FC" w:rsidR="001D7FA9" w:rsidRDefault="001D7FA9" w:rsidP="001D7FA9">
      <w:pPr>
        <w:pStyle w:val="SangriaFrancesaArticulo"/>
      </w:pPr>
      <w:r w:rsidRPr="001D7FA9">
        <w:rPr>
          <w:rStyle w:val="TextoNormalNegritaCaracter"/>
        </w:rPr>
        <w:t>§ 60.</w:t>
      </w:r>
      <w:r w:rsidRPr="001D7FA9">
        <w:rPr>
          <w:rStyle w:val="TextoNormalCaracter"/>
        </w:rPr>
        <w:t>-</w:t>
      </w:r>
      <w:r>
        <w:t xml:space="preserve"> Auto </w:t>
      </w:r>
      <w:hyperlink w:anchor="AUTO_2025_28" w:history="1">
        <w:r w:rsidRPr="001D7FA9">
          <w:rPr>
            <w:rStyle w:val="TextoNormalCaracter"/>
          </w:rPr>
          <w:t>28/2025</w:t>
        </w:r>
      </w:hyperlink>
      <w:r>
        <w:t>, VP.</w:t>
      </w:r>
    </w:p>
    <w:p w14:paraId="69D7EDF0" w14:textId="7A2F113A" w:rsidR="001D7FA9" w:rsidRDefault="001D7FA9" w:rsidP="001D7FA9">
      <w:pPr>
        <w:pStyle w:val="SangriaFrancesaArticulo"/>
      </w:pPr>
      <w:r w:rsidRPr="001D7FA9">
        <w:rPr>
          <w:rStyle w:val="TextoNormalNegritaCaracter"/>
        </w:rPr>
        <w:t>§ 61.</w:t>
      </w:r>
      <w:r w:rsidRPr="001D7FA9">
        <w:rPr>
          <w:rStyle w:val="TextoNormalCaracter"/>
        </w:rPr>
        <w:t>-</w:t>
      </w:r>
      <w:r>
        <w:t xml:space="preserve"> Auto </w:t>
      </w:r>
      <w:hyperlink w:anchor="AUTO_2025_28" w:history="1">
        <w:r w:rsidRPr="001D7FA9">
          <w:rPr>
            <w:rStyle w:val="TextoNormalCaracter"/>
          </w:rPr>
          <w:t>28/2025</w:t>
        </w:r>
      </w:hyperlink>
      <w:r>
        <w:t>, f. 3.</w:t>
      </w:r>
    </w:p>
    <w:p w14:paraId="3AD13A0A" w14:textId="546ABDDE" w:rsidR="001D7FA9" w:rsidRDefault="001D7FA9" w:rsidP="001D7FA9">
      <w:pPr>
        <w:pStyle w:val="SangriaFrancesaArticulo"/>
      </w:pPr>
      <w:r w:rsidRPr="001D7FA9">
        <w:rPr>
          <w:rStyle w:val="TextoNormalNegritaCaracter"/>
        </w:rPr>
        <w:t>§ 62.</w:t>
      </w:r>
      <w:r w:rsidRPr="001D7FA9">
        <w:rPr>
          <w:rStyle w:val="TextoNormalCaracter"/>
        </w:rPr>
        <w:t>-</w:t>
      </w:r>
      <w:r>
        <w:t xml:space="preserve"> Auto </w:t>
      </w:r>
      <w:hyperlink w:anchor="AUTO_2025_28" w:history="1">
        <w:r w:rsidRPr="001D7FA9">
          <w:rPr>
            <w:rStyle w:val="TextoNormalCaracter"/>
          </w:rPr>
          <w:t>28/2025</w:t>
        </w:r>
      </w:hyperlink>
      <w:r>
        <w:t>, f. 3.</w:t>
      </w:r>
    </w:p>
    <w:p w14:paraId="63681964" w14:textId="2C1B4A0F" w:rsidR="001D7FA9" w:rsidRDefault="001D7FA9" w:rsidP="001D7FA9">
      <w:pPr>
        <w:pStyle w:val="SangriaFrancesaArticulo"/>
      </w:pPr>
      <w:r w:rsidRPr="001D7FA9">
        <w:rPr>
          <w:rStyle w:val="TextoNormalNegritaCaracter"/>
        </w:rPr>
        <w:t>§ 66.</w:t>
      </w:r>
      <w:r w:rsidRPr="001D7FA9">
        <w:rPr>
          <w:rStyle w:val="TextoNormalCaracter"/>
        </w:rPr>
        <w:t>-</w:t>
      </w:r>
      <w:r>
        <w:t xml:space="preserve"> Auto </w:t>
      </w:r>
      <w:hyperlink w:anchor="AUTO_2025_28" w:history="1">
        <w:r w:rsidRPr="001D7FA9">
          <w:rPr>
            <w:rStyle w:val="TextoNormalCaracter"/>
          </w:rPr>
          <w:t>28/2025</w:t>
        </w:r>
      </w:hyperlink>
      <w:r>
        <w:t>, f. 3.</w:t>
      </w:r>
    </w:p>
    <w:p w14:paraId="042D091A" w14:textId="419F035B" w:rsidR="001D7FA9" w:rsidRDefault="001D7FA9" w:rsidP="001D7FA9">
      <w:pPr>
        <w:pStyle w:val="SangriaFrancesaArticulo"/>
      </w:pPr>
      <w:r w:rsidRPr="001D7FA9">
        <w:rPr>
          <w:rStyle w:val="TextoNormalNegritaCaracter"/>
        </w:rPr>
        <w:t>§ 67.</w:t>
      </w:r>
      <w:r w:rsidRPr="001D7FA9">
        <w:rPr>
          <w:rStyle w:val="TextoNormalCaracter"/>
        </w:rPr>
        <w:t>-</w:t>
      </w:r>
      <w:r>
        <w:t xml:space="preserve"> Auto </w:t>
      </w:r>
      <w:hyperlink w:anchor="AUTO_2025_28" w:history="1">
        <w:r w:rsidRPr="001D7FA9">
          <w:rPr>
            <w:rStyle w:val="TextoNormalCaracter"/>
          </w:rPr>
          <w:t>28/2025</w:t>
        </w:r>
      </w:hyperlink>
      <w:r>
        <w:t>, f. 3.</w:t>
      </w:r>
    </w:p>
    <w:p w14:paraId="7F0CEB75" w14:textId="78B37611" w:rsidR="001D7FA9" w:rsidRDefault="001D7FA9" w:rsidP="001D7FA9">
      <w:pPr>
        <w:pStyle w:val="SangriaFrancesaArticulo"/>
      </w:pPr>
      <w:r w:rsidRPr="001D7FA9">
        <w:rPr>
          <w:rStyle w:val="TextoNormalNegritaCaracter"/>
        </w:rPr>
        <w:t>§ 71.</w:t>
      </w:r>
      <w:r w:rsidRPr="001D7FA9">
        <w:rPr>
          <w:rStyle w:val="TextoNormalCaracter"/>
        </w:rPr>
        <w:t>-</w:t>
      </w:r>
      <w:r>
        <w:t xml:space="preserve"> Auto </w:t>
      </w:r>
      <w:hyperlink w:anchor="AUTO_2025_28" w:history="1">
        <w:r w:rsidRPr="001D7FA9">
          <w:rPr>
            <w:rStyle w:val="TextoNormalCaracter"/>
          </w:rPr>
          <w:t>28/2025</w:t>
        </w:r>
      </w:hyperlink>
      <w:r>
        <w:t>, f. 3.</w:t>
      </w:r>
    </w:p>
    <w:p w14:paraId="0AF60857" w14:textId="1BAAB5CB" w:rsidR="001D7FA9" w:rsidRDefault="001D7FA9" w:rsidP="001D7FA9">
      <w:pPr>
        <w:pStyle w:val="SangriaFrancesaArticulo"/>
      </w:pPr>
    </w:p>
    <w:p w14:paraId="36AC55BF" w14:textId="77777777" w:rsidR="001D7FA9" w:rsidRDefault="001D7FA9" w:rsidP="001D7FA9">
      <w:pPr>
        <w:pStyle w:val="TextoNormalNegritaCursivandice"/>
        <w:keepNext/>
      </w:pPr>
      <w:r>
        <w:t>Sentencia del Tribunal Europeo de Derechos Humanos de 15 de marzo de 2022 (Grzeda c. Polonia)</w:t>
      </w:r>
    </w:p>
    <w:p w14:paraId="71C76571" w14:textId="3AE216E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 w:history="1">
        <w:r w:rsidRPr="001D7FA9">
          <w:rPr>
            <w:rStyle w:val="TextoNormalCaracter"/>
          </w:rPr>
          <w:t>6/2025</w:t>
        </w:r>
      </w:hyperlink>
      <w:r>
        <w:t>, VP II.</w:t>
      </w:r>
    </w:p>
    <w:p w14:paraId="682368BA" w14:textId="2331F866" w:rsidR="001D7FA9" w:rsidRDefault="001D7FA9" w:rsidP="001D7FA9">
      <w:pPr>
        <w:pStyle w:val="SangriaFrancesaArticulo"/>
      </w:pPr>
      <w:r w:rsidRPr="001D7FA9">
        <w:rPr>
          <w:rStyle w:val="TextoNormalNegritaCaracter"/>
        </w:rPr>
        <w:t>§ 264.</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44081C7C" w14:textId="06398802" w:rsidR="001D7FA9" w:rsidRDefault="001D7FA9" w:rsidP="001D7FA9">
      <w:pPr>
        <w:pStyle w:val="SangriaFrancesaArticulo"/>
      </w:pPr>
    </w:p>
    <w:p w14:paraId="0B6D6ABC" w14:textId="77777777" w:rsidR="001D7FA9" w:rsidRDefault="001D7FA9" w:rsidP="001D7FA9">
      <w:pPr>
        <w:pStyle w:val="TextoNormalNegritaCursivandice"/>
        <w:keepNext/>
      </w:pPr>
      <w:r>
        <w:t>Sentencia del Tribunal Europeo de Derechos Humanos de 19 de mayo de 2022 (T.C., c. Italia)</w:t>
      </w:r>
    </w:p>
    <w:p w14:paraId="657DB869" w14:textId="7BAC2991" w:rsidR="001D7FA9" w:rsidRDefault="001D7FA9" w:rsidP="001D7FA9">
      <w:pPr>
        <w:pStyle w:val="SangriaFrancesaArticulo"/>
      </w:pPr>
      <w:r w:rsidRPr="001D7FA9">
        <w:rPr>
          <w:rStyle w:val="TextoNormalNegritaCaracter"/>
        </w:rPr>
        <w:t>§ 42 a 50.</w:t>
      </w:r>
      <w:r w:rsidRPr="001D7FA9">
        <w:rPr>
          <w:rStyle w:val="TextoNormalCaracter"/>
        </w:rPr>
        <w:t>-</w:t>
      </w:r>
      <w:r>
        <w:t xml:space="preserve"> Sentencia </w:t>
      </w:r>
      <w:hyperlink w:anchor="SENTENCIA_2025_119" w:history="1">
        <w:r w:rsidRPr="001D7FA9">
          <w:rPr>
            <w:rStyle w:val="TextoNormalCaracter"/>
          </w:rPr>
          <w:t>119/2025</w:t>
        </w:r>
      </w:hyperlink>
      <w:r>
        <w:t>, f. 6.</w:t>
      </w:r>
    </w:p>
    <w:p w14:paraId="61644DCC" w14:textId="60097295" w:rsidR="001D7FA9" w:rsidRDefault="001D7FA9" w:rsidP="001D7FA9">
      <w:pPr>
        <w:pStyle w:val="SangriaFrancesaArticulo"/>
      </w:pPr>
    </w:p>
    <w:p w14:paraId="589B8C15" w14:textId="77777777" w:rsidR="001D7FA9" w:rsidRDefault="001D7FA9" w:rsidP="001D7FA9">
      <w:pPr>
        <w:pStyle w:val="TextoNormalNegritaCursivandice"/>
        <w:keepNext/>
      </w:pPr>
      <w:r>
        <w:t>Sentencia del Tribunal Europeo de Derechos Humanos de 21 de julio de 2022 (Darboe y Camara c. Italia)</w:t>
      </w:r>
    </w:p>
    <w:p w14:paraId="12E355FF" w14:textId="203E3935" w:rsidR="001D7FA9" w:rsidRDefault="001D7FA9" w:rsidP="001D7FA9">
      <w:pPr>
        <w:pStyle w:val="SangriaFrancesaArticulo"/>
      </w:pPr>
      <w:r w:rsidRPr="001D7FA9">
        <w:rPr>
          <w:rStyle w:val="TextoNormalNegritaCaracter"/>
        </w:rPr>
        <w:t>§ 153.</w:t>
      </w:r>
      <w:r w:rsidRPr="001D7FA9">
        <w:rPr>
          <w:rStyle w:val="TextoNormalCaracter"/>
        </w:rPr>
        <w:t>-</w:t>
      </w:r>
      <w:r>
        <w:t xml:space="preserve"> Sentencia </w:t>
      </w:r>
      <w:hyperlink w:anchor="SENTENCIA_2025_43" w:history="1">
        <w:r w:rsidRPr="001D7FA9">
          <w:rPr>
            <w:rStyle w:val="TextoNormalCaracter"/>
          </w:rPr>
          <w:t>43/2025</w:t>
        </w:r>
      </w:hyperlink>
      <w:r>
        <w:t>, f. 3.</w:t>
      </w:r>
    </w:p>
    <w:p w14:paraId="748F81BA" w14:textId="2E39A0E5" w:rsidR="001D7FA9" w:rsidRDefault="001D7FA9" w:rsidP="001D7FA9">
      <w:pPr>
        <w:pStyle w:val="SangriaFrancesaArticulo"/>
      </w:pPr>
      <w:r w:rsidRPr="001D7FA9">
        <w:rPr>
          <w:rStyle w:val="TextoNormalNegritaCaracter"/>
        </w:rPr>
        <w:t>§ 173.</w:t>
      </w:r>
      <w:r w:rsidRPr="001D7FA9">
        <w:rPr>
          <w:rStyle w:val="TextoNormalCaracter"/>
        </w:rPr>
        <w:t>-</w:t>
      </w:r>
      <w:r>
        <w:t xml:space="preserve"> Sentencia </w:t>
      </w:r>
      <w:hyperlink w:anchor="SENTENCIA_2025_43" w:history="1">
        <w:r w:rsidRPr="001D7FA9">
          <w:rPr>
            <w:rStyle w:val="TextoNormalCaracter"/>
          </w:rPr>
          <w:t>43/2025</w:t>
        </w:r>
      </w:hyperlink>
      <w:r>
        <w:t>, f. 3.</w:t>
      </w:r>
    </w:p>
    <w:p w14:paraId="4F1D50FC" w14:textId="32B8BF4B" w:rsidR="001D7FA9" w:rsidRDefault="001D7FA9" w:rsidP="001D7FA9">
      <w:pPr>
        <w:pStyle w:val="SangriaFrancesaArticulo"/>
      </w:pPr>
    </w:p>
    <w:p w14:paraId="667DA3A7" w14:textId="77777777" w:rsidR="001D7FA9" w:rsidRDefault="001D7FA9" w:rsidP="001D7FA9">
      <w:pPr>
        <w:pStyle w:val="TextoNormalNegritaCursivandice"/>
        <w:keepNext/>
      </w:pPr>
      <w:r>
        <w:t>Sentencia del Tribunal Europeo de Derechos Humanos de 11 de octubre de 2022 (Garrido Herrero c. España)</w:t>
      </w:r>
    </w:p>
    <w:p w14:paraId="41552166" w14:textId="014AE29A" w:rsidR="001D7FA9" w:rsidRDefault="001D7FA9" w:rsidP="001D7FA9">
      <w:pPr>
        <w:pStyle w:val="SangriaFrancesaArticulo"/>
      </w:pPr>
      <w:r w:rsidRPr="001D7FA9">
        <w:rPr>
          <w:rStyle w:val="TextoNormalNegritaCaracter"/>
        </w:rPr>
        <w:t>§ 69.</w:t>
      </w:r>
      <w:r w:rsidRPr="001D7FA9">
        <w:rPr>
          <w:rStyle w:val="TextoNormalCaracter"/>
        </w:rPr>
        <w:t>-</w:t>
      </w:r>
      <w:r>
        <w:t xml:space="preserve"> Sentencia </w:t>
      </w:r>
      <w:hyperlink w:anchor="SENTENCIA_2025_126" w:history="1">
        <w:r w:rsidRPr="001D7FA9">
          <w:rPr>
            <w:rStyle w:val="TextoNormalCaracter"/>
          </w:rPr>
          <w:t>126/2025</w:t>
        </w:r>
      </w:hyperlink>
      <w:r>
        <w:t>, f. 5.</w:t>
      </w:r>
    </w:p>
    <w:p w14:paraId="6FEA9334" w14:textId="151E2A9A" w:rsidR="001D7FA9" w:rsidRDefault="001D7FA9" w:rsidP="001D7FA9">
      <w:pPr>
        <w:pStyle w:val="SangriaFrancesaArticulo"/>
      </w:pPr>
    </w:p>
    <w:p w14:paraId="12DF30CE" w14:textId="77777777" w:rsidR="001D7FA9" w:rsidRDefault="001D7FA9" w:rsidP="001D7FA9">
      <w:pPr>
        <w:pStyle w:val="TextoNormalNegritaCursivandice"/>
        <w:keepNext/>
      </w:pPr>
      <w:r>
        <w:t>Sentencia del Tribunal Europeo de Derechos Humanos de 15 de diciembre de 2022 (Rutar y Rutar Marketing d.o.o., c. Eslovenia)</w:t>
      </w:r>
    </w:p>
    <w:p w14:paraId="2759B15C" w14:textId="37998FD2"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66DB585" w14:textId="40BB80F4"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4DC350BD" w14:textId="25CDB81A" w:rsidR="001D7FA9" w:rsidRDefault="001D7FA9" w:rsidP="001D7FA9">
      <w:pPr>
        <w:pStyle w:val="SangriaFrancesaArticulo"/>
      </w:pPr>
      <w:r w:rsidRPr="001D7FA9">
        <w:rPr>
          <w:rStyle w:val="TextoNormalNegritaCaracter"/>
        </w:rPr>
        <w:t>§ 62.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105B7B52" w14:textId="2096A1A1" w:rsidR="001D7FA9" w:rsidRDefault="001D7FA9" w:rsidP="001D7FA9">
      <w:pPr>
        <w:pStyle w:val="SangriaFrancesaArticulo"/>
      </w:pPr>
    </w:p>
    <w:p w14:paraId="05CAB529" w14:textId="77777777" w:rsidR="001D7FA9" w:rsidRDefault="001D7FA9" w:rsidP="001D7FA9">
      <w:pPr>
        <w:pStyle w:val="TextoNormalNegritaCursivandice"/>
        <w:keepNext/>
      </w:pPr>
      <w:r>
        <w:t>Sentencia del Tribunal Europeo de Derechos Humanos de 26 de septiembre de 2023 (Yüksel Yalçinkaya c. Turquía)</w:t>
      </w:r>
    </w:p>
    <w:p w14:paraId="12221F03" w14:textId="39E2A5EB" w:rsidR="001D7FA9" w:rsidRDefault="001D7FA9" w:rsidP="001D7FA9">
      <w:pPr>
        <w:pStyle w:val="SangriaFrancesaArticulo"/>
      </w:pPr>
      <w:r w:rsidRPr="001D7FA9">
        <w:rPr>
          <w:rStyle w:val="TextoNormalNegritaCaracter"/>
        </w:rPr>
        <w:t xml:space="preserve">§ 305 </w:t>
      </w:r>
      <w:r w:rsidRPr="001D7FA9">
        <w:rPr>
          <w:rStyle w:val="TextoNormalNegritaCursivaCaracter"/>
        </w:rPr>
        <w:t>in fine</w:t>
      </w:r>
      <w:r w:rsidRPr="001D7FA9">
        <w:rPr>
          <w:rStyle w:val="TextoNormalNegritaCaracter"/>
        </w:rPr>
        <w:t>.</w:t>
      </w:r>
      <w:r w:rsidRPr="001D7FA9">
        <w:rPr>
          <w:rStyle w:val="TextoNormalCaracter"/>
        </w:rPr>
        <w:t>-</w:t>
      </w:r>
      <w:r>
        <w:t xml:space="preserve"> Auto </w:t>
      </w:r>
      <w:hyperlink w:anchor="AUTO_2025_35" w:history="1">
        <w:r w:rsidRPr="001D7FA9">
          <w:rPr>
            <w:rStyle w:val="TextoNormalCaracter"/>
          </w:rPr>
          <w:t>35/2025</w:t>
        </w:r>
      </w:hyperlink>
      <w:r>
        <w:t>, VP II.</w:t>
      </w:r>
    </w:p>
    <w:p w14:paraId="7B9BC561" w14:textId="21F01353" w:rsidR="001D7FA9" w:rsidRDefault="001D7FA9" w:rsidP="001D7FA9">
      <w:pPr>
        <w:pStyle w:val="SangriaFrancesaArticulo"/>
      </w:pPr>
    </w:p>
    <w:p w14:paraId="6AB9F03E" w14:textId="77777777" w:rsidR="001D7FA9" w:rsidRDefault="001D7FA9" w:rsidP="001D7FA9">
      <w:pPr>
        <w:pStyle w:val="TextoNormalNegritaCursivandice"/>
        <w:keepNext/>
      </w:pPr>
      <w:r>
        <w:t>Sentencia del Tribunal Europeo de Derechos Humanos de 12 de febrero de 2004 (Pérez c. Francia)</w:t>
      </w:r>
    </w:p>
    <w:p w14:paraId="7C713986" w14:textId="641F0DB7" w:rsidR="001D7FA9" w:rsidRDefault="001D7FA9" w:rsidP="001D7FA9">
      <w:pPr>
        <w:pStyle w:val="SangriaFrancesaArticulo"/>
      </w:pPr>
      <w:r w:rsidRPr="001D7FA9">
        <w:rPr>
          <w:rStyle w:val="TextoNormalNegritaCaracter"/>
        </w:rPr>
        <w:t>§ 70.</w:t>
      </w:r>
      <w:r w:rsidRPr="001D7FA9">
        <w:rPr>
          <w:rStyle w:val="TextoNormalCaracter"/>
        </w:rPr>
        <w:t>-</w:t>
      </w:r>
      <w:r>
        <w:t xml:space="preserve"> Sentencia </w:t>
      </w:r>
      <w:hyperlink w:anchor="SENTENCIA_2025_137" w:history="1">
        <w:r w:rsidRPr="001D7FA9">
          <w:rPr>
            <w:rStyle w:val="TextoNormalCaracter"/>
          </w:rPr>
          <w:t>137/2025</w:t>
        </w:r>
      </w:hyperlink>
      <w:r>
        <w:t>, f. 9.</w:t>
      </w:r>
    </w:p>
    <w:p w14:paraId="5F7450E5" w14:textId="0C503796" w:rsidR="001D7FA9" w:rsidRDefault="001D7FA9" w:rsidP="001D7FA9">
      <w:pPr>
        <w:pStyle w:val="SangriaFrancesaArticulo"/>
      </w:pPr>
    </w:p>
    <w:p w14:paraId="063DB3CC" w14:textId="77777777" w:rsidR="001D7FA9" w:rsidRDefault="001D7FA9" w:rsidP="001D7FA9">
      <w:pPr>
        <w:pStyle w:val="TextoNormalNegritaCursivandice"/>
        <w:keepNext/>
      </w:pPr>
      <w:r>
        <w:t>Decisión del Tribunal Europeo de Derechos Humanos de 4 de julio de 2024 (Atristain Gorosabel c. España)</w:t>
      </w:r>
    </w:p>
    <w:p w14:paraId="3C19E0CC" w14:textId="60D43D5D" w:rsidR="001D7FA9" w:rsidRDefault="001D7FA9" w:rsidP="001D7FA9">
      <w:pPr>
        <w:pStyle w:val="SangriaFrancesaArticulo"/>
      </w:pPr>
      <w:r w:rsidRPr="001D7FA9">
        <w:rPr>
          <w:rStyle w:val="TextoNormalNegritaCaracter"/>
        </w:rPr>
        <w:t>§ 24.</w:t>
      </w:r>
      <w:r w:rsidRPr="001D7FA9">
        <w:rPr>
          <w:rStyle w:val="TextoNormalCaracter"/>
        </w:rPr>
        <w:t>-</w:t>
      </w:r>
      <w:r>
        <w:t xml:space="preserve"> Auto </w:t>
      </w:r>
      <w:hyperlink w:anchor="AUTO_2025_28" w:history="1">
        <w:r w:rsidRPr="001D7FA9">
          <w:rPr>
            <w:rStyle w:val="TextoNormalCaracter"/>
          </w:rPr>
          <w:t>28/2025</w:t>
        </w:r>
      </w:hyperlink>
      <w:r>
        <w:t>, f. 4.</w:t>
      </w:r>
    </w:p>
    <w:p w14:paraId="7FCCEF10" w14:textId="0769FEC2" w:rsidR="001D7FA9" w:rsidRDefault="001D7FA9" w:rsidP="001D7FA9">
      <w:pPr>
        <w:pStyle w:val="SangriaFrancesaArticulo"/>
      </w:pPr>
      <w:r w:rsidRPr="001D7FA9">
        <w:rPr>
          <w:rStyle w:val="TextoNormalNegritaCaracter"/>
        </w:rPr>
        <w:t>§ 25.</w:t>
      </w:r>
      <w:r w:rsidRPr="001D7FA9">
        <w:rPr>
          <w:rStyle w:val="TextoNormalCaracter"/>
        </w:rPr>
        <w:t>-</w:t>
      </w:r>
      <w:r>
        <w:t xml:space="preserve"> Auto </w:t>
      </w:r>
      <w:hyperlink w:anchor="AUTO_2025_28" w:history="1">
        <w:r w:rsidRPr="001D7FA9">
          <w:rPr>
            <w:rStyle w:val="TextoNormalCaracter"/>
          </w:rPr>
          <w:t>28/2025</w:t>
        </w:r>
      </w:hyperlink>
      <w:r>
        <w:t>, f. 4.</w:t>
      </w:r>
    </w:p>
    <w:p w14:paraId="0DFBF700" w14:textId="6ADE6C3F" w:rsidR="001D7FA9" w:rsidRDefault="001D7FA9" w:rsidP="001D7FA9">
      <w:pPr>
        <w:pStyle w:val="SangriaFrancesaArticulo"/>
      </w:pPr>
      <w:r w:rsidRPr="001D7FA9">
        <w:rPr>
          <w:rStyle w:val="TextoNormalNegritaCaracter"/>
        </w:rPr>
        <w:t>§ 26.</w:t>
      </w:r>
      <w:r w:rsidRPr="001D7FA9">
        <w:rPr>
          <w:rStyle w:val="TextoNormalCaracter"/>
        </w:rPr>
        <w:t>-</w:t>
      </w:r>
      <w:r>
        <w:t xml:space="preserve"> Auto </w:t>
      </w:r>
      <w:hyperlink w:anchor="AUTO_2025_28" w:history="1">
        <w:r w:rsidRPr="001D7FA9">
          <w:rPr>
            <w:rStyle w:val="TextoNormalCaracter"/>
          </w:rPr>
          <w:t>28/2025</w:t>
        </w:r>
      </w:hyperlink>
      <w:r>
        <w:t>, f. 4.</w:t>
      </w:r>
    </w:p>
    <w:p w14:paraId="431ACD23" w14:textId="763C9A64" w:rsidR="001D7FA9" w:rsidRDefault="001D7FA9" w:rsidP="001D7FA9">
      <w:pPr>
        <w:pStyle w:val="SangriaFrancesaArticulo"/>
      </w:pPr>
    </w:p>
    <w:p w14:paraId="509D8C47" w14:textId="77777777" w:rsidR="001D7FA9" w:rsidRDefault="001D7FA9" w:rsidP="001D7FA9">
      <w:pPr>
        <w:pStyle w:val="TextoNormalNegritaCursivandice"/>
        <w:keepNext/>
      </w:pPr>
      <w:r>
        <w:t>Sentencia del Tribunal Europeo de Derechos Humanos de 25 de febrero de 2025 (Gomes Costa c. Portugal)</w:t>
      </w:r>
    </w:p>
    <w:p w14:paraId="443C1E70" w14:textId="2D00EE36" w:rsidR="001D7FA9" w:rsidRDefault="001D7FA9" w:rsidP="001D7FA9">
      <w:pPr>
        <w:pStyle w:val="SangriaFrancesaArticulo"/>
      </w:pPr>
      <w:r w:rsidRPr="001D7FA9">
        <w:rPr>
          <w:rStyle w:val="TextoNormalNegritaCaracter"/>
        </w:rPr>
        <w:t>§ 98.</w:t>
      </w:r>
      <w:r w:rsidRPr="001D7FA9">
        <w:rPr>
          <w:rStyle w:val="TextoNormalCaracter"/>
        </w:rPr>
        <w:t>-</w:t>
      </w:r>
      <w:r>
        <w:t xml:space="preserve"> Sentencia </w:t>
      </w:r>
      <w:hyperlink w:anchor="SENTENCIA_2025_54" w:history="1">
        <w:r w:rsidRPr="001D7FA9">
          <w:rPr>
            <w:rStyle w:val="TextoNormalCaracter"/>
          </w:rPr>
          <w:t>54/2025</w:t>
        </w:r>
      </w:hyperlink>
      <w:r>
        <w:t>, VP.</w:t>
      </w:r>
    </w:p>
    <w:p w14:paraId="0135F76A" w14:textId="0E614260" w:rsidR="001D7FA9" w:rsidRDefault="001D7FA9" w:rsidP="001D7FA9">
      <w:pPr>
        <w:pStyle w:val="SangriaFrancesaArticulo"/>
      </w:pPr>
    </w:p>
    <w:p w14:paraId="1622DCF7" w14:textId="77777777" w:rsidR="001D7FA9" w:rsidRDefault="001D7FA9" w:rsidP="001D7FA9">
      <w:pPr>
        <w:pStyle w:val="TextoNormalNegritaCursivandice"/>
        <w:keepNext/>
      </w:pPr>
      <w:r>
        <w:t>Sentencia del Tribunal Europeo de Derechos Humanos de 18 de marzo de 2025 (Mustafa Aydin c. Turquía)</w:t>
      </w:r>
    </w:p>
    <w:p w14:paraId="52C8E3DB" w14:textId="163C228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35" w:history="1">
        <w:r w:rsidRPr="001D7FA9">
          <w:rPr>
            <w:rStyle w:val="TextoNormalCaracter"/>
          </w:rPr>
          <w:t>35/2025</w:t>
        </w:r>
      </w:hyperlink>
      <w:r>
        <w:t>, VP II.</w:t>
      </w:r>
    </w:p>
    <w:p w14:paraId="7CC76125" w14:textId="11E63C5F" w:rsidR="001D7FA9" w:rsidRDefault="001D7FA9" w:rsidP="001D7FA9">
      <w:pPr>
        <w:pStyle w:val="SangriaFrancesaArticulo"/>
      </w:pPr>
      <w:r w:rsidRPr="001D7FA9">
        <w:rPr>
          <w:rStyle w:val="TextoNormalNegritaCaracter"/>
        </w:rPr>
        <w:t>§ 48.</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57F42A9" w14:textId="04CD7B29" w:rsidR="001D7FA9" w:rsidRDefault="001D7FA9" w:rsidP="001D7FA9">
      <w:pPr>
        <w:pStyle w:val="SangriaIzquierdaArticulo"/>
      </w:pPr>
      <w:r>
        <w:t xml:space="preserve">Auto </w:t>
      </w:r>
      <w:hyperlink w:anchor="AUTO_2025_35" w:history="1">
        <w:r w:rsidRPr="001D7FA9">
          <w:rPr>
            <w:rStyle w:val="TextoNormalCaracter"/>
          </w:rPr>
          <w:t>35/2025</w:t>
        </w:r>
      </w:hyperlink>
      <w:r>
        <w:t>, VP II.</w:t>
      </w:r>
    </w:p>
    <w:p w14:paraId="433E1FC6" w14:textId="4155D954" w:rsidR="001D7FA9" w:rsidRDefault="001D7FA9" w:rsidP="001D7FA9">
      <w:pPr>
        <w:pStyle w:val="SangriaIzquierdaArticulo"/>
      </w:pPr>
    </w:p>
    <w:p w14:paraId="0DD60E24" w14:textId="77777777" w:rsidR="001D7FA9" w:rsidRDefault="001D7FA9" w:rsidP="001D7FA9">
      <w:pPr>
        <w:pStyle w:val="TextoNormalNegritaCursivandice"/>
        <w:keepNext/>
      </w:pPr>
      <w:r>
        <w:t>Sentencia del Tribunal Europeo de Derechos Humanos de 13 de mayo de 2025 (Spiteri c. Malta)</w:t>
      </w:r>
    </w:p>
    <w:p w14:paraId="4F0297BB" w14:textId="3E45AEA0" w:rsidR="001D7FA9" w:rsidRDefault="001D7FA9" w:rsidP="001D7FA9">
      <w:pPr>
        <w:pStyle w:val="SangriaFrancesaArticulo"/>
        <w:keepNext/>
      </w:pPr>
      <w:r w:rsidRPr="001D7FA9">
        <w:rPr>
          <w:rStyle w:val="TextoNormalNegritaCaracter"/>
        </w:rPr>
        <w:t>§ 105.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AFD4365" w14:textId="58CAA875"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6F35BB3" w14:textId="111197E7" w:rsidR="001D7FA9" w:rsidRDefault="001D7FA9" w:rsidP="001D7FA9">
      <w:pPr>
        <w:pStyle w:val="TextoNormal"/>
      </w:pPr>
    </w:p>
    <w:p w14:paraId="25F4F6B6" w14:textId="77777777" w:rsidR="001D7FA9" w:rsidRDefault="001D7FA9" w:rsidP="001D7FA9">
      <w:pPr>
        <w:pStyle w:val="SangriaIzquierdaArticulo"/>
      </w:pPr>
      <w:bookmarkStart w:id="227" w:name="INDICE22924"/>
    </w:p>
    <w:bookmarkEnd w:id="227"/>
    <w:p w14:paraId="57E720BF" w14:textId="77777777" w:rsidR="001D7FA9" w:rsidRDefault="001D7FA9" w:rsidP="001D7FA9">
      <w:pPr>
        <w:pStyle w:val="TextoIndiceNivel2"/>
        <w:suppressAutoHyphens/>
      </w:pPr>
      <w:r>
        <w:t>B) Tribunales de Justicia de las Comunidades Europeas y de la Unión Europea</w:t>
      </w:r>
    </w:p>
    <w:p w14:paraId="635ACB85" w14:textId="2D3EA906" w:rsidR="001D7FA9" w:rsidRDefault="001D7FA9" w:rsidP="001D7FA9">
      <w:pPr>
        <w:pStyle w:val="TextoIndiceNivel2"/>
      </w:pPr>
    </w:p>
    <w:p w14:paraId="5F73ECEE" w14:textId="77777777" w:rsidR="001D7FA9" w:rsidRDefault="001D7FA9" w:rsidP="001D7FA9">
      <w:pPr>
        <w:pStyle w:val="TextoNormalNegritaCursivandice"/>
        <w:keepNext/>
      </w:pPr>
      <w:r>
        <w:t>Sentencia del Tribunal de Justicia de las Comunidades Europeas de 15 de julio de 1964 (Costa c. E.N.E.L., asunto C-6/64)</w:t>
      </w:r>
    </w:p>
    <w:p w14:paraId="26242748" w14:textId="19D0EB9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4" w:history="1">
        <w:r w:rsidRPr="001D7FA9">
          <w:rPr>
            <w:rStyle w:val="TextoNormalCaracter"/>
          </w:rPr>
          <w:t>44/2025</w:t>
        </w:r>
      </w:hyperlink>
      <w:r>
        <w:t xml:space="preserve">, f. 4; </w:t>
      </w:r>
      <w:hyperlink w:anchor="SENTENCIA_2025_137" w:history="1">
        <w:r w:rsidRPr="001D7FA9">
          <w:rPr>
            <w:rStyle w:val="TextoNormalCaracter"/>
          </w:rPr>
          <w:t>137/2025</w:t>
        </w:r>
      </w:hyperlink>
      <w:r>
        <w:t>, VP IV.</w:t>
      </w:r>
    </w:p>
    <w:p w14:paraId="4AB31A18" w14:textId="53FCD92B" w:rsidR="001D7FA9" w:rsidRDefault="001D7FA9" w:rsidP="001D7FA9">
      <w:pPr>
        <w:pStyle w:val="SangriaFrancesaArticulo"/>
      </w:pPr>
    </w:p>
    <w:p w14:paraId="09DB0F28" w14:textId="77777777" w:rsidR="001D7FA9" w:rsidRDefault="001D7FA9" w:rsidP="001D7FA9">
      <w:pPr>
        <w:pStyle w:val="TextoNormalNegritaCursivandice"/>
        <w:keepNext/>
      </w:pPr>
      <w:r>
        <w:t>Sentencia del Tribunal de Justicia de las Comunidades Europeas de 17 de diciembre de 1970 (Internationale Handelsgesellschaft mbH c. Einfuhr- und Vorratsstelle für Getreide und Futtermittel c. Einfuhr, asunto C-11/70)</w:t>
      </w:r>
    </w:p>
    <w:p w14:paraId="6C2CD5AB" w14:textId="76C1831B" w:rsidR="001D7FA9" w:rsidRDefault="001D7FA9" w:rsidP="001D7FA9">
      <w:pPr>
        <w:pStyle w:val="SangriaFrancesaArticulo"/>
      </w:pPr>
      <w:r w:rsidRPr="001D7FA9">
        <w:rPr>
          <w:rStyle w:val="TextoNormalNegritaCaracter"/>
        </w:rPr>
        <w:t>§ 21.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0470489" w14:textId="1F85D443" w:rsidR="001D7FA9" w:rsidRDefault="001D7FA9" w:rsidP="001D7FA9">
      <w:pPr>
        <w:pStyle w:val="SangriaFrancesaArticulo"/>
      </w:pPr>
    </w:p>
    <w:p w14:paraId="3312860A" w14:textId="77777777" w:rsidR="001D7FA9" w:rsidRDefault="001D7FA9" w:rsidP="001D7FA9">
      <w:pPr>
        <w:pStyle w:val="TextoNormalNegritaCursivandice"/>
        <w:keepNext/>
      </w:pPr>
      <w:r>
        <w:t>Sentencia del Tribunal de Justicia de las Comunidades Europeas de 16 de enero de 1974 (Rheinmühlen-Düsseldorf c. Einfuhr, asunto C-166/73)</w:t>
      </w:r>
    </w:p>
    <w:p w14:paraId="473C87B6" w14:textId="3C52737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398A1A7" w14:textId="5AB1680A" w:rsidR="001D7FA9" w:rsidRDefault="001D7FA9" w:rsidP="001D7FA9">
      <w:pPr>
        <w:pStyle w:val="SangriaFrancesaArticulo"/>
      </w:pPr>
      <w:r w:rsidRPr="001D7FA9">
        <w:rPr>
          <w:rStyle w:val="TextoNormalNegritaCaracter"/>
        </w:rPr>
        <w:t>§ 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53526AC" w14:textId="13197B37" w:rsidR="001D7FA9" w:rsidRDefault="001D7FA9" w:rsidP="001D7FA9">
      <w:pPr>
        <w:pStyle w:val="SangriaFrancesaArticulo"/>
      </w:pPr>
    </w:p>
    <w:p w14:paraId="791A3630" w14:textId="77777777" w:rsidR="001D7FA9" w:rsidRDefault="001D7FA9" w:rsidP="001D7FA9">
      <w:pPr>
        <w:pStyle w:val="TextoNormalNegritaCursivandice"/>
        <w:keepNext/>
      </w:pPr>
      <w:r>
        <w:t>Sentencia del Tribunal de Justicia de las Comunidades Europeas de 24 de mayo de 1977 (Hoffmann-La Roche c. Centrafarm, asunto C-107/76)</w:t>
      </w:r>
    </w:p>
    <w:p w14:paraId="45FD234E" w14:textId="26292FB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787771B" w14:textId="12F1169C" w:rsidR="001D7FA9" w:rsidRDefault="001D7FA9" w:rsidP="001D7FA9">
      <w:pPr>
        <w:pStyle w:val="SangriaFrancesaArticulo"/>
      </w:pPr>
    </w:p>
    <w:p w14:paraId="0AE2F775" w14:textId="77777777" w:rsidR="001D7FA9" w:rsidRDefault="001D7FA9" w:rsidP="001D7FA9">
      <w:pPr>
        <w:pStyle w:val="TextoNormalNegritaCursivandice"/>
        <w:keepNext/>
      </w:pPr>
      <w:r>
        <w:t>Sentencia del Tribunal de Justicia de las Comunidades Europeas de 9 de marzo de 1978 (Amministrazione delle Finanze dello Stato c. SpA Simmenthal, asunto C-106/77)</w:t>
      </w:r>
    </w:p>
    <w:p w14:paraId="3DF54E31" w14:textId="0614944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FD7A566" w14:textId="698DBDF1" w:rsidR="001D7FA9" w:rsidRDefault="001D7FA9" w:rsidP="001D7FA9">
      <w:pPr>
        <w:pStyle w:val="SangriaFrancesaArticulo"/>
      </w:pPr>
      <w:r w:rsidRPr="001D7FA9">
        <w:rPr>
          <w:rStyle w:val="TextoNormalNegritaCaracter"/>
        </w:rPr>
        <w:t>§ 24.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2E67B8C" w14:textId="7F1E7E13" w:rsidR="001D7FA9" w:rsidRDefault="001D7FA9" w:rsidP="001D7FA9">
      <w:pPr>
        <w:pStyle w:val="SangriaFrancesaArticulo"/>
      </w:pPr>
    </w:p>
    <w:p w14:paraId="72E1E441" w14:textId="77777777" w:rsidR="001D7FA9" w:rsidRDefault="001D7FA9" w:rsidP="001D7FA9">
      <w:pPr>
        <w:pStyle w:val="TextoNormalNegritaCursivandice"/>
        <w:keepNext/>
      </w:pPr>
      <w:r>
        <w:t>Sentencia del Tribunal de Justicia de las Comunidades Europeas de 6 de octubre de 1982 (Srl Cilfit y Lanificio di Gavardo SpA c. Ministero della Sanità, asunto C-283/81)</w:t>
      </w:r>
    </w:p>
    <w:p w14:paraId="46955383" w14:textId="26023F23"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 VP III, VP IV.</w:t>
      </w:r>
    </w:p>
    <w:p w14:paraId="5781188B" w14:textId="0AB47B57"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E2CEF0F" w14:textId="3CDBCE2B" w:rsidR="001D7FA9" w:rsidRDefault="001D7FA9" w:rsidP="001D7FA9">
      <w:pPr>
        <w:pStyle w:val="SangriaIzquierdaArticulo"/>
      </w:pPr>
    </w:p>
    <w:p w14:paraId="76E2D361" w14:textId="77777777" w:rsidR="001D7FA9" w:rsidRDefault="001D7FA9" w:rsidP="001D7FA9">
      <w:pPr>
        <w:pStyle w:val="TextoNormalNegritaCursivandice"/>
        <w:keepNext/>
      </w:pPr>
      <w:r>
        <w:t>Sentencia del Tribunal de Justicia de las Comunidades Europeas de 22 de octubre de 1987 (Foto-Frost c. Hauptzollamt Lübeck-Ost, asunto C-314/85)</w:t>
      </w:r>
    </w:p>
    <w:p w14:paraId="1315DFF1" w14:textId="4AF6212C" w:rsidR="001D7FA9" w:rsidRDefault="001D7FA9" w:rsidP="001D7FA9">
      <w:pPr>
        <w:pStyle w:val="SangriaFrancesaArticulo"/>
      </w:pPr>
      <w:r w:rsidRPr="001D7FA9">
        <w:rPr>
          <w:rStyle w:val="TextoNormalNegritaCaracter"/>
        </w:rPr>
        <w:t>§ 17.</w:t>
      </w:r>
      <w:r w:rsidRPr="001D7FA9">
        <w:rPr>
          <w:rStyle w:val="TextoNormalCaracter"/>
        </w:rPr>
        <w:t>-</w:t>
      </w:r>
      <w:r>
        <w:t xml:space="preserve"> Auto </w:t>
      </w:r>
      <w:hyperlink w:anchor="AUTO_2025_65" w:history="1">
        <w:r w:rsidRPr="001D7FA9">
          <w:rPr>
            <w:rStyle w:val="TextoNormalCaracter"/>
          </w:rPr>
          <w:t>65/2025</w:t>
        </w:r>
      </w:hyperlink>
      <w:r>
        <w:t>, VP.</w:t>
      </w:r>
    </w:p>
    <w:p w14:paraId="4392C4F9" w14:textId="709B5B99" w:rsidR="001D7FA9" w:rsidRDefault="001D7FA9" w:rsidP="001D7FA9">
      <w:pPr>
        <w:pStyle w:val="SangriaFrancesaArticulo"/>
      </w:pPr>
    </w:p>
    <w:p w14:paraId="0769FC89" w14:textId="77777777" w:rsidR="001D7FA9" w:rsidRDefault="001D7FA9" w:rsidP="001D7FA9">
      <w:pPr>
        <w:pStyle w:val="TextoNormalNegritaCursivandice"/>
        <w:keepNext/>
      </w:pPr>
      <w:r>
        <w:t>Sentencia del Tribunal de Justicia de las Comunidades Europeas de 18 de octubre de 1990 (Massam Dzodzi c. Estado belga, asunto C-297/88)</w:t>
      </w:r>
    </w:p>
    <w:p w14:paraId="7F4A9F14" w14:textId="04CE4D4C" w:rsidR="001D7FA9" w:rsidRDefault="001D7FA9" w:rsidP="001D7FA9">
      <w:pPr>
        <w:pStyle w:val="SangriaFrancesaArticulo"/>
      </w:pPr>
      <w:r w:rsidRPr="001D7FA9">
        <w:rPr>
          <w:rStyle w:val="TextoNormalNegritaCaracter"/>
        </w:rPr>
        <w:t>§ 37.</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5D11407" w14:textId="1E2485F1" w:rsidR="001D7FA9" w:rsidRDefault="001D7FA9" w:rsidP="001D7FA9">
      <w:pPr>
        <w:pStyle w:val="SangriaFrancesaArticulo"/>
      </w:pPr>
      <w:r w:rsidRPr="001D7FA9">
        <w:rPr>
          <w:rStyle w:val="TextoNormalNegritaCaracter"/>
        </w:rPr>
        <w:t>§ 38.</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BDA8704" w14:textId="597A59BA" w:rsidR="001D7FA9" w:rsidRDefault="001D7FA9" w:rsidP="001D7FA9">
      <w:pPr>
        <w:pStyle w:val="SangriaFrancesaArticulo"/>
      </w:pPr>
    </w:p>
    <w:p w14:paraId="4C03E414" w14:textId="77777777" w:rsidR="001D7FA9" w:rsidRDefault="001D7FA9" w:rsidP="001D7FA9">
      <w:pPr>
        <w:pStyle w:val="TextoNormalNegritaCursivandice"/>
        <w:keepNext/>
      </w:pPr>
      <w:r>
        <w:t>Sentencia del Tribunal de Justicia de las Comunidades Europeas, Sala quinta, de 13 de noviembre de 1990 (The Queen c. The Minister of Agriculture, Fisheries and Food y The Secretary of State for Health, asunto FEDESA, C-331/88)</w:t>
      </w:r>
    </w:p>
    <w:p w14:paraId="62CB023C" w14:textId="145DFF3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25" w:history="1">
        <w:r w:rsidRPr="001D7FA9">
          <w:rPr>
            <w:rStyle w:val="TextoNormalCaracter"/>
          </w:rPr>
          <w:t>25/2025</w:t>
        </w:r>
      </w:hyperlink>
      <w:r>
        <w:t>, VP I.</w:t>
      </w:r>
    </w:p>
    <w:p w14:paraId="743F986B" w14:textId="46C731B7" w:rsidR="001D7FA9" w:rsidRDefault="001D7FA9" w:rsidP="001D7FA9">
      <w:pPr>
        <w:pStyle w:val="SangriaFrancesaArticulo"/>
      </w:pPr>
    </w:p>
    <w:p w14:paraId="20374523" w14:textId="77777777" w:rsidR="001D7FA9" w:rsidRDefault="001D7FA9" w:rsidP="001D7FA9">
      <w:pPr>
        <w:pStyle w:val="TextoNormalNegritaCursivandice"/>
        <w:keepNext/>
      </w:pPr>
      <w:r>
        <w:t>Sentencia del Tribunal de Justicia de la Unión Europea de 22 de junio de 2010 (Aziz Melki, asunto C-188/10, y Sélim Abdeli, asunto C-189/10)</w:t>
      </w:r>
    </w:p>
    <w:p w14:paraId="69D152BE" w14:textId="60E3F0C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89939E7" w14:textId="6E4F5BC6" w:rsidR="001D7FA9" w:rsidRDefault="001D7FA9" w:rsidP="001D7FA9">
      <w:pPr>
        <w:pStyle w:val="SangriaFrancesaArticulo"/>
      </w:pPr>
      <w:r w:rsidRPr="001D7FA9">
        <w:rPr>
          <w:rStyle w:val="TextoNormalNegritaCaracter"/>
        </w:rPr>
        <w:t>§ 41 a 45.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EBA0A43" w14:textId="52288C3F" w:rsidR="001D7FA9" w:rsidRDefault="001D7FA9" w:rsidP="001D7FA9">
      <w:pPr>
        <w:pStyle w:val="SangriaFrancesaArticulo"/>
      </w:pPr>
    </w:p>
    <w:p w14:paraId="7C0FF44E" w14:textId="77777777" w:rsidR="001D7FA9" w:rsidRDefault="001D7FA9" w:rsidP="001D7FA9">
      <w:pPr>
        <w:pStyle w:val="TextoNormalNegritaCursivandice"/>
        <w:keepNext/>
      </w:pPr>
      <w:r>
        <w:t>Sentencia del Tribunal de Justicia de la Unión Europea de 9 de noviembre de 2010 (Bundesrepublik Deutschland c. B y D, asuntos acumulados C-57/09 y C-101/09)</w:t>
      </w:r>
    </w:p>
    <w:p w14:paraId="26E7BAEF" w14:textId="7F1DA69C" w:rsidR="001D7FA9" w:rsidRDefault="001D7FA9" w:rsidP="001D7FA9">
      <w:pPr>
        <w:pStyle w:val="SangriaFrancesaArticulo"/>
      </w:pPr>
      <w:r w:rsidRPr="001D7FA9">
        <w:rPr>
          <w:rStyle w:val="TextoNormalNegritaCaracter"/>
        </w:rPr>
        <w:t>§ 81.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70C9917" w14:textId="1959D908" w:rsidR="001D7FA9" w:rsidRDefault="001D7FA9" w:rsidP="001D7FA9">
      <w:pPr>
        <w:pStyle w:val="SangriaFrancesaArticulo"/>
      </w:pPr>
    </w:p>
    <w:p w14:paraId="722E7E21" w14:textId="77777777" w:rsidR="001D7FA9" w:rsidRDefault="001D7FA9" w:rsidP="001D7FA9">
      <w:pPr>
        <w:pStyle w:val="TextoNormalNegritaCursivandice"/>
        <w:keepNext/>
      </w:pPr>
      <w:r>
        <w:t>Sentencia del Tribunal de Justicia de la Unión Europea de 12 de mayo de 2011 (Federación Alemana de Medio Ambiente y Conservación de la Naturaleza, asunto C-115/09)</w:t>
      </w:r>
    </w:p>
    <w:p w14:paraId="1B94F9C0" w14:textId="3EDE46A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9" w:history="1">
        <w:r w:rsidRPr="001D7FA9">
          <w:rPr>
            <w:rStyle w:val="TextoNormalCaracter"/>
          </w:rPr>
          <w:t>69/2025</w:t>
        </w:r>
      </w:hyperlink>
      <w:r>
        <w:t>, f. 3.</w:t>
      </w:r>
    </w:p>
    <w:p w14:paraId="1559C992" w14:textId="30969312" w:rsidR="001D7FA9" w:rsidRDefault="001D7FA9" w:rsidP="001D7FA9">
      <w:pPr>
        <w:pStyle w:val="SangriaFrancesaArticulo"/>
      </w:pPr>
    </w:p>
    <w:p w14:paraId="70CD3C93" w14:textId="77777777" w:rsidR="001D7FA9" w:rsidRDefault="001D7FA9" w:rsidP="001D7FA9">
      <w:pPr>
        <w:pStyle w:val="TextoNormalNegritaCursivandice"/>
        <w:keepNext/>
      </w:pPr>
      <w:r>
        <w:t>Sentencia del Tribunal de Justicia de la Unión Europea de 16 de octubre de 2012 (Comisión Europea c. Austria, asunto C-614/10)</w:t>
      </w:r>
    </w:p>
    <w:p w14:paraId="1B909B77" w14:textId="6AE24B66" w:rsidR="001D7FA9" w:rsidRDefault="001D7FA9" w:rsidP="001D7FA9">
      <w:pPr>
        <w:pStyle w:val="SangriaFrancesaArticulo"/>
      </w:pPr>
      <w:r w:rsidRPr="001D7FA9">
        <w:rPr>
          <w:rStyle w:val="TextoNormalNegritaCaracter"/>
        </w:rPr>
        <w:t>§ 43.</w:t>
      </w:r>
      <w:r w:rsidRPr="001D7FA9">
        <w:rPr>
          <w:rStyle w:val="TextoNormalCaracter"/>
        </w:rPr>
        <w:t>-</w:t>
      </w:r>
      <w:r>
        <w:t xml:space="preserve"> Auto </w:t>
      </w:r>
      <w:hyperlink w:anchor="AUTO_2025_6" w:history="1">
        <w:r w:rsidRPr="001D7FA9">
          <w:rPr>
            <w:rStyle w:val="TextoNormalCaracter"/>
          </w:rPr>
          <w:t>6/2025</w:t>
        </w:r>
      </w:hyperlink>
      <w:r>
        <w:t>, VP II.</w:t>
      </w:r>
    </w:p>
    <w:p w14:paraId="041E35A5" w14:textId="15FCBAA2" w:rsidR="001D7FA9" w:rsidRDefault="001D7FA9" w:rsidP="001D7FA9">
      <w:pPr>
        <w:pStyle w:val="SangriaFrancesaArticulo"/>
      </w:pPr>
    </w:p>
    <w:p w14:paraId="74A5638B" w14:textId="77777777" w:rsidR="001D7FA9" w:rsidRDefault="001D7FA9" w:rsidP="001D7FA9">
      <w:pPr>
        <w:pStyle w:val="TextoNormalNegritaCursivandice"/>
        <w:keepNext/>
      </w:pPr>
      <w:r>
        <w:t>Sentencia del Tribunal de Justicia de la Unión Europea de 15 de enero de 2013 (Križan y otros, asunto C-416/10)</w:t>
      </w:r>
    </w:p>
    <w:p w14:paraId="26317EAB" w14:textId="263BF9B5" w:rsidR="001D7FA9" w:rsidRDefault="001D7FA9" w:rsidP="001D7FA9">
      <w:pPr>
        <w:pStyle w:val="SangriaFrancesaArticulo"/>
      </w:pPr>
      <w:r w:rsidRPr="001D7FA9">
        <w:rPr>
          <w:rStyle w:val="TextoNormalNegritaCaracter"/>
        </w:rPr>
        <w:t>§ 70.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8069FB5" w14:textId="2D5FFEE4" w:rsidR="001D7FA9" w:rsidRDefault="001D7FA9" w:rsidP="001D7FA9">
      <w:pPr>
        <w:pStyle w:val="SangriaFrancesaArticulo"/>
      </w:pPr>
      <w:r w:rsidRPr="001D7FA9">
        <w:rPr>
          <w:rStyle w:val="TextoNormalNegritaCaracter"/>
        </w:rPr>
        <w:t>§ 72.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53462E4" w14:textId="1C2BB5E7" w:rsidR="001D7FA9" w:rsidRDefault="001D7FA9" w:rsidP="001D7FA9">
      <w:pPr>
        <w:pStyle w:val="SangriaFrancesaArticulo"/>
      </w:pPr>
      <w:r w:rsidRPr="001D7FA9">
        <w:rPr>
          <w:rStyle w:val="TextoNormalNegritaCaracter"/>
        </w:rPr>
        <w:t>§ 107.</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49AEC1A" w14:textId="7660A8B0" w:rsidR="001D7FA9" w:rsidRDefault="001D7FA9" w:rsidP="001D7FA9">
      <w:pPr>
        <w:pStyle w:val="SangriaFrancesaArticulo"/>
      </w:pPr>
    </w:p>
    <w:p w14:paraId="4D04FC63" w14:textId="77777777" w:rsidR="001D7FA9" w:rsidRDefault="001D7FA9" w:rsidP="001D7FA9">
      <w:pPr>
        <w:pStyle w:val="TextoNormalNegritaCursivandice"/>
        <w:keepNext/>
      </w:pPr>
      <w:r>
        <w:t>Sentencia del Tribunal de Justicia de la Unión Europea de 26 de febrero de 2013 (Melloni, asunto C-399/11)</w:t>
      </w:r>
    </w:p>
    <w:p w14:paraId="397F72FE" w14:textId="3C35FAFE"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431A63D1" w14:textId="55FC0C90"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456A1A40" w14:textId="61FFC27A" w:rsidR="001D7FA9" w:rsidRDefault="001D7FA9" w:rsidP="001D7FA9">
      <w:pPr>
        <w:pStyle w:val="SangriaFrancesaArticulo"/>
      </w:pPr>
      <w:r w:rsidRPr="001D7FA9">
        <w:rPr>
          <w:rStyle w:val="TextoNormalNegritaCaracter"/>
        </w:rPr>
        <w:t>§ 63.</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0A6D4F4" w14:textId="3B444725" w:rsidR="001D7FA9" w:rsidRDefault="001D7FA9" w:rsidP="001D7FA9">
      <w:pPr>
        <w:pStyle w:val="SangriaFrancesaArticulo"/>
      </w:pPr>
    </w:p>
    <w:p w14:paraId="06174A7D" w14:textId="77777777" w:rsidR="001D7FA9" w:rsidRDefault="001D7FA9" w:rsidP="001D7FA9">
      <w:pPr>
        <w:pStyle w:val="TextoNormalNegritaCursivandice"/>
        <w:keepNext/>
      </w:pPr>
      <w:r>
        <w:t>Sentencia del Tribunal de Justicia de la Unión Europea de 18 de julio de 2013 (Consiglio nazionale dei geologi c. Autorità garante della concorrenza e del mercato, asunto C-136/12)</w:t>
      </w:r>
    </w:p>
    <w:p w14:paraId="5EF68C88" w14:textId="127AC5F2" w:rsidR="001D7FA9" w:rsidRDefault="001D7FA9" w:rsidP="001D7FA9">
      <w:pPr>
        <w:pStyle w:val="SangriaFrancesaArticulo"/>
      </w:pPr>
      <w:r w:rsidRPr="001D7FA9">
        <w:rPr>
          <w:rStyle w:val="TextoNormalNegritaCaracter"/>
        </w:rPr>
        <w:t>§ 25.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1DE4EDB" w14:textId="58841A6C" w:rsidR="001D7FA9" w:rsidRDefault="001D7FA9" w:rsidP="001D7FA9">
      <w:pPr>
        <w:pStyle w:val="SangriaFrancesaArticulo"/>
      </w:pPr>
    </w:p>
    <w:p w14:paraId="090C2313" w14:textId="77777777" w:rsidR="001D7FA9" w:rsidRDefault="001D7FA9" w:rsidP="001D7FA9">
      <w:pPr>
        <w:pStyle w:val="TextoNormalNegritaCursivandice"/>
        <w:keepNext/>
      </w:pPr>
      <w:r>
        <w:t>Sentencia del Tribunal de Justicia de la Unión Europea de 8 de abril de 2014 (Comisión Europea c. Hungría, asunto C-288/12)</w:t>
      </w:r>
    </w:p>
    <w:p w14:paraId="40839223" w14:textId="06C84DD2" w:rsidR="001D7FA9" w:rsidRDefault="001D7FA9" w:rsidP="001D7FA9">
      <w:pPr>
        <w:pStyle w:val="SangriaFrancesaArticulo"/>
      </w:pPr>
      <w:r w:rsidRPr="001D7FA9">
        <w:rPr>
          <w:rStyle w:val="TextoNormalNegritaCaracter"/>
        </w:rPr>
        <w:t>§ 51.</w:t>
      </w:r>
      <w:r w:rsidRPr="001D7FA9">
        <w:rPr>
          <w:rStyle w:val="TextoNormalCaracter"/>
        </w:rPr>
        <w:t>-</w:t>
      </w:r>
      <w:r>
        <w:t xml:space="preserve"> Auto </w:t>
      </w:r>
      <w:hyperlink w:anchor="AUTO_2025_6" w:history="1">
        <w:r w:rsidRPr="001D7FA9">
          <w:rPr>
            <w:rStyle w:val="TextoNormalCaracter"/>
          </w:rPr>
          <w:t>6/2025</w:t>
        </w:r>
      </w:hyperlink>
      <w:r>
        <w:t>, VP II.</w:t>
      </w:r>
    </w:p>
    <w:p w14:paraId="6BC53376" w14:textId="07541A5A" w:rsidR="001D7FA9" w:rsidRDefault="001D7FA9" w:rsidP="001D7FA9">
      <w:pPr>
        <w:pStyle w:val="SangriaFrancesaArticulo"/>
      </w:pPr>
    </w:p>
    <w:p w14:paraId="3442C65A" w14:textId="77777777" w:rsidR="001D7FA9" w:rsidRDefault="001D7FA9" w:rsidP="001D7FA9">
      <w:pPr>
        <w:pStyle w:val="TextoNormalNegritaCursivandice"/>
        <w:keepNext/>
      </w:pPr>
      <w:r>
        <w:t>Sentencia del Tribunal de Justicia de la Unión Europea de 22 de mayo de 2014 (Wolfgang Glatzel c. Freistaat Bayern, asunto C-356/12)</w:t>
      </w:r>
    </w:p>
    <w:p w14:paraId="5F6DCC98" w14:textId="6A42045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9AD9D7A" w14:textId="447F3700" w:rsidR="001D7FA9" w:rsidRDefault="001D7FA9" w:rsidP="001D7FA9">
      <w:pPr>
        <w:pStyle w:val="SangriaFrancesaArticulo"/>
      </w:pPr>
    </w:p>
    <w:p w14:paraId="54B9D8C5" w14:textId="77777777" w:rsidR="001D7FA9" w:rsidRDefault="001D7FA9" w:rsidP="001D7FA9">
      <w:pPr>
        <w:pStyle w:val="TextoNormalNegritaCursivandice"/>
        <w:keepNext/>
      </w:pPr>
      <w:r>
        <w:t>Sentencia del Tribunal de Justicia de la Unión Europea de 16 de abril de 2015 (Gruber, asunto C-570/13)</w:t>
      </w:r>
    </w:p>
    <w:p w14:paraId="72B3C055" w14:textId="5324FD9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9" w:history="1">
        <w:r w:rsidRPr="001D7FA9">
          <w:rPr>
            <w:rStyle w:val="TextoNormalCaracter"/>
          </w:rPr>
          <w:t>69/2025</w:t>
        </w:r>
      </w:hyperlink>
      <w:r>
        <w:t>, f. 3.</w:t>
      </w:r>
    </w:p>
    <w:p w14:paraId="27C0CE27" w14:textId="2AB16671" w:rsidR="001D7FA9" w:rsidRDefault="001D7FA9" w:rsidP="001D7FA9">
      <w:pPr>
        <w:pStyle w:val="SangriaFrancesaArticulo"/>
      </w:pPr>
    </w:p>
    <w:p w14:paraId="09F56EA8" w14:textId="77777777" w:rsidR="001D7FA9" w:rsidRDefault="001D7FA9" w:rsidP="001D7FA9">
      <w:pPr>
        <w:pStyle w:val="TextoNormalNegritaCursivandice"/>
        <w:keepNext/>
      </w:pPr>
      <w:r>
        <w:t>Sentencia del Tribunal de Justicia de la Unión Europea de 4 de junio de 2015 (Kernkraftwerke Lippe-Ems GmbH c. Hauptzollamt Osnabrück, asunto C-5/14)</w:t>
      </w:r>
    </w:p>
    <w:p w14:paraId="3916FC24" w14:textId="4E474FE2" w:rsidR="001D7FA9" w:rsidRDefault="001D7FA9" w:rsidP="001D7FA9">
      <w:pPr>
        <w:pStyle w:val="SangriaFrancesaArticulo"/>
      </w:pPr>
      <w:r w:rsidRPr="001D7FA9">
        <w:rPr>
          <w:rStyle w:val="TextoNormalNegritaCaracter"/>
        </w:rPr>
        <w:t>§ 31 a 35.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D0C0AE6" w14:textId="420AF2F2" w:rsidR="001D7FA9" w:rsidRDefault="001D7FA9" w:rsidP="001D7FA9">
      <w:pPr>
        <w:pStyle w:val="SangriaFrancesaArticulo"/>
      </w:pPr>
    </w:p>
    <w:p w14:paraId="458DB93F" w14:textId="77777777" w:rsidR="001D7FA9" w:rsidRDefault="001D7FA9" w:rsidP="001D7FA9">
      <w:pPr>
        <w:pStyle w:val="TextoNormalNegritaCursivandice"/>
        <w:keepNext/>
      </w:pPr>
      <w:r>
        <w:t>Sentencia del Tribunal de Justicia de la Unión Europea de 16 de junio de 2015 (Gauweiler y otros, asunto C-62/14)</w:t>
      </w:r>
    </w:p>
    <w:p w14:paraId="0C7CA9E3" w14:textId="65596B1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8BC55DB" w14:textId="3C365C38" w:rsidR="001D7FA9" w:rsidRDefault="001D7FA9" w:rsidP="001D7FA9">
      <w:pPr>
        <w:pStyle w:val="SangriaFrancesaArticulo"/>
      </w:pPr>
    </w:p>
    <w:p w14:paraId="5ECCE2FB" w14:textId="77777777" w:rsidR="001D7FA9" w:rsidRDefault="001D7FA9" w:rsidP="001D7FA9">
      <w:pPr>
        <w:pStyle w:val="TextoNormalNegritaCursivandice"/>
        <w:keepNext/>
      </w:pPr>
      <w:r>
        <w:t>Sentencia del Tribunal de Justicia de la Unión Europea de 9 de septiembre de 2015 (Ferreira da Silva e Brito y otros c. Portugal, asunto C-160/14)</w:t>
      </w:r>
    </w:p>
    <w:p w14:paraId="0911147B" w14:textId="4A5C7B86" w:rsidR="001D7FA9" w:rsidRDefault="001D7FA9" w:rsidP="001D7FA9">
      <w:pPr>
        <w:pStyle w:val="SangriaFrancesaArticulo"/>
      </w:pPr>
      <w:r w:rsidRPr="001D7FA9">
        <w:rPr>
          <w:rStyle w:val="TextoNormalNegritaCaracter"/>
        </w:rPr>
        <w:t>§ 42.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EAC51FB" w14:textId="28F358C4" w:rsidR="001D7FA9" w:rsidRDefault="001D7FA9" w:rsidP="001D7FA9">
      <w:pPr>
        <w:pStyle w:val="SangriaFrancesaArticulo"/>
      </w:pPr>
      <w:r w:rsidRPr="001D7FA9">
        <w:rPr>
          <w:rStyle w:val="TextoNormalNegritaCaracter"/>
        </w:rPr>
        <w:t>§ 43.</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1C5C6852" w14:textId="1456B8DC"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FE83E45" w14:textId="60BCEC80" w:rsidR="001D7FA9" w:rsidRDefault="001D7FA9" w:rsidP="001D7FA9">
      <w:pPr>
        <w:pStyle w:val="SangriaFrancesaArticulo"/>
      </w:pPr>
      <w:r w:rsidRPr="001D7FA9">
        <w:rPr>
          <w:rStyle w:val="TextoNormalNegritaCaracter"/>
        </w:rPr>
        <w:t>§ 44.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BE9BED5" w14:textId="4C58043E"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3C74ED23" w14:textId="6CBA2351" w:rsidR="001D7FA9" w:rsidRDefault="001D7FA9" w:rsidP="001D7FA9">
      <w:pPr>
        <w:pStyle w:val="SangriaIzquierdaArticulo"/>
      </w:pPr>
    </w:p>
    <w:p w14:paraId="786971FA" w14:textId="77777777" w:rsidR="001D7FA9" w:rsidRDefault="001D7FA9" w:rsidP="001D7FA9">
      <w:pPr>
        <w:pStyle w:val="TextoNormalNegritaCursivandice"/>
        <w:keepNext/>
      </w:pPr>
      <w:r>
        <w:t>Sentencia del Tribunal de Justicia de la Unión Europea de 5 de julio de 2016 (Atanas Ognyanov, asunto C-614/14)</w:t>
      </w:r>
    </w:p>
    <w:p w14:paraId="7756A078" w14:textId="41ECE308" w:rsidR="001D7FA9" w:rsidRDefault="001D7FA9" w:rsidP="001D7FA9">
      <w:pPr>
        <w:pStyle w:val="SangriaFrancesaArticulo"/>
      </w:pPr>
      <w:r w:rsidRPr="001D7FA9">
        <w:rPr>
          <w:rStyle w:val="TextoNormalNegritaCaracter"/>
        </w:rPr>
        <w:t>§ 16.</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AF63AEE" w14:textId="433F8824" w:rsidR="001D7FA9" w:rsidRDefault="001D7FA9" w:rsidP="001D7FA9">
      <w:pPr>
        <w:pStyle w:val="SangriaFrancesaArticulo"/>
      </w:pPr>
    </w:p>
    <w:p w14:paraId="519302A2" w14:textId="77777777" w:rsidR="001D7FA9" w:rsidRDefault="001D7FA9" w:rsidP="001D7FA9">
      <w:pPr>
        <w:pStyle w:val="TextoNormalNegritaCursivandice"/>
        <w:keepNext/>
      </w:pPr>
      <w:r>
        <w:t>Sentencia del Tribunal de Justicia de la Unión Europea de 28 de julio de 2016 (Association France Nature Environnement, asunto C-379/15)</w:t>
      </w:r>
    </w:p>
    <w:p w14:paraId="00F8D6DE" w14:textId="72E8B1DE" w:rsidR="001D7FA9" w:rsidRDefault="001D7FA9" w:rsidP="001D7FA9">
      <w:pPr>
        <w:pStyle w:val="SangriaFrancesaArticulo"/>
      </w:pPr>
      <w:r w:rsidRPr="001D7FA9">
        <w:rPr>
          <w:rStyle w:val="TextoNormalNegritaCaracter"/>
        </w:rPr>
        <w:t>§ 48.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EF116F7" w14:textId="520ABCC6" w:rsidR="001D7FA9" w:rsidRDefault="001D7FA9" w:rsidP="001D7FA9">
      <w:pPr>
        <w:pStyle w:val="SangriaFrancesaArticulo"/>
      </w:pPr>
    </w:p>
    <w:p w14:paraId="2B723794" w14:textId="77777777" w:rsidR="001D7FA9" w:rsidRDefault="001D7FA9" w:rsidP="001D7FA9">
      <w:pPr>
        <w:pStyle w:val="TextoNormalNegritaCursivandice"/>
        <w:keepNext/>
      </w:pPr>
      <w:r>
        <w:t>Sentencia del Tribunal de Justicia de la Unión Europea de 21 de diciembre de 2016 (Tele2 Sverige AB, asuntos acumulados C-203/15 y C-698/15)</w:t>
      </w:r>
    </w:p>
    <w:p w14:paraId="4126A3DA" w14:textId="1B59803F" w:rsidR="001D7FA9" w:rsidRDefault="001D7FA9" w:rsidP="001D7FA9">
      <w:pPr>
        <w:pStyle w:val="SangriaFrancesaArticulo"/>
      </w:pPr>
      <w:r w:rsidRPr="001D7FA9">
        <w:rPr>
          <w:rStyle w:val="TextoNormalNegritaCaracter"/>
        </w:rPr>
        <w:t>§ 52 y 53.</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75980389" w14:textId="699DEFC6" w:rsidR="001D7FA9" w:rsidRDefault="001D7FA9" w:rsidP="001D7FA9">
      <w:pPr>
        <w:pStyle w:val="SangriaFrancesaArticulo"/>
      </w:pPr>
      <w:r w:rsidRPr="001D7FA9">
        <w:rPr>
          <w:rStyle w:val="TextoNormalNegritaCaracter"/>
        </w:rPr>
        <w:t>§ 52 a 53.</w:t>
      </w:r>
      <w:r w:rsidRPr="001D7FA9">
        <w:rPr>
          <w:rStyle w:val="TextoNormalCaracter"/>
        </w:rPr>
        <w:t>-</w:t>
      </w:r>
      <w:r>
        <w:t xml:space="preserve"> Sentencia </w:t>
      </w:r>
      <w:hyperlink w:anchor="SENTENCIA_2025_137" w:history="1">
        <w:r w:rsidRPr="001D7FA9">
          <w:rPr>
            <w:rStyle w:val="TextoNormalCaracter"/>
          </w:rPr>
          <w:t>137/2025</w:t>
        </w:r>
      </w:hyperlink>
      <w:r>
        <w:t>, f. 15.</w:t>
      </w:r>
    </w:p>
    <w:p w14:paraId="47EFF935" w14:textId="5C384410" w:rsidR="001D7FA9" w:rsidRDefault="001D7FA9" w:rsidP="001D7FA9">
      <w:pPr>
        <w:pStyle w:val="SangriaFrancesaArticulo"/>
      </w:pPr>
    </w:p>
    <w:p w14:paraId="5753C532" w14:textId="77777777" w:rsidR="001D7FA9" w:rsidRDefault="001D7FA9" w:rsidP="001D7FA9">
      <w:pPr>
        <w:pStyle w:val="TextoNormalNegritaCursivandice"/>
        <w:keepNext/>
      </w:pPr>
      <w:r>
        <w:t>Sentencia del Tribunal de Justicia de la Unión Europea de 28 de marzo de 2017 (PJSC Rosneft Oil Company c. Her Majesty's Treasury y otros, asunto C-72/15)</w:t>
      </w:r>
    </w:p>
    <w:p w14:paraId="210D6B5A" w14:textId="1077BC2B" w:rsidR="001D7FA9" w:rsidRDefault="001D7FA9" w:rsidP="001D7FA9">
      <w:pPr>
        <w:pStyle w:val="SangriaFrancesaArticulo"/>
      </w:pPr>
      <w:r w:rsidRPr="001D7FA9">
        <w:rPr>
          <w:rStyle w:val="TextoNormalNegritaCaracter"/>
        </w:rPr>
        <w:t>§ 161.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A6CE065" w14:textId="1DE97A81" w:rsidR="001D7FA9" w:rsidRDefault="001D7FA9" w:rsidP="001D7FA9">
      <w:pPr>
        <w:pStyle w:val="SangriaFrancesaArticulo"/>
      </w:pPr>
    </w:p>
    <w:p w14:paraId="13A55009" w14:textId="77777777" w:rsidR="001D7FA9" w:rsidRDefault="001D7FA9" w:rsidP="001D7FA9">
      <w:pPr>
        <w:pStyle w:val="TextoNormalNegritaCursivandice"/>
        <w:keepNext/>
      </w:pPr>
      <w:r>
        <w:t>Sentencia del Tribunal de Justicia de la Unión Europea de 5 de diciembre de 2017 (M.A.S., y M.B., asunto C-42/17)</w:t>
      </w:r>
    </w:p>
    <w:p w14:paraId="1B436ACB" w14:textId="48D3B9C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5" w:history="1">
        <w:r w:rsidRPr="001D7FA9">
          <w:rPr>
            <w:rStyle w:val="TextoNormalCaracter"/>
          </w:rPr>
          <w:t>65/2025</w:t>
        </w:r>
      </w:hyperlink>
      <w:r>
        <w:t>, VP.</w:t>
      </w:r>
    </w:p>
    <w:p w14:paraId="14E3D876" w14:textId="5E79446D" w:rsidR="001D7FA9" w:rsidRDefault="001D7FA9" w:rsidP="001D7FA9">
      <w:pPr>
        <w:pStyle w:val="SangriaFrancesaArticulo"/>
      </w:pPr>
      <w:r w:rsidRPr="001D7FA9">
        <w:rPr>
          <w:rStyle w:val="TextoNormalNegritaCaracter"/>
        </w:rPr>
        <w:t>§ 59.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8A61FFF" w14:textId="18266B02" w:rsidR="001D7FA9" w:rsidRDefault="001D7FA9" w:rsidP="001D7FA9">
      <w:pPr>
        <w:pStyle w:val="SangriaFrancesaArticulo"/>
      </w:pPr>
    </w:p>
    <w:p w14:paraId="5FEBFC46" w14:textId="77777777" w:rsidR="001D7FA9" w:rsidRDefault="001D7FA9" w:rsidP="001D7FA9">
      <w:pPr>
        <w:pStyle w:val="TextoNormalNegritaCursivandice"/>
        <w:keepNext/>
      </w:pPr>
      <w:r>
        <w:t>Sentencia del Tribunal de Justicia de la Unión Europea (Gran Sala) de 30 de enero de 2018 (College van Burgemeester en Wethouders van de gemeente Amersfoort c. X BV y Visser Vastgoed Beleggingen BV c. Raad van de gemeente Appingedam, asuntos acumulados C-360/15 y C-31/16)</w:t>
      </w:r>
    </w:p>
    <w:p w14:paraId="541A8830" w14:textId="170ED532" w:rsidR="001D7FA9" w:rsidRDefault="001D7FA9" w:rsidP="001D7FA9">
      <w:pPr>
        <w:pStyle w:val="SangriaFrancesaArticulo"/>
      </w:pPr>
      <w:r w:rsidRPr="001D7FA9">
        <w:rPr>
          <w:rStyle w:val="TextoNormalNegritaCaracter"/>
        </w:rPr>
        <w:t>§ 134.</w:t>
      </w:r>
      <w:r w:rsidRPr="001D7FA9">
        <w:rPr>
          <w:rStyle w:val="TextoNormalCaracter"/>
        </w:rPr>
        <w:t>-</w:t>
      </w:r>
      <w:r>
        <w:t xml:space="preserve"> Sentencia </w:t>
      </w:r>
      <w:hyperlink w:anchor="SENTENCIA_2025_64" w:history="1">
        <w:r w:rsidRPr="001D7FA9">
          <w:rPr>
            <w:rStyle w:val="TextoNormalCaracter"/>
          </w:rPr>
          <w:t>64/2025</w:t>
        </w:r>
      </w:hyperlink>
      <w:r>
        <w:t>, f. 5.</w:t>
      </w:r>
    </w:p>
    <w:p w14:paraId="2889C83C" w14:textId="172552D2" w:rsidR="001D7FA9" w:rsidRDefault="001D7FA9" w:rsidP="001D7FA9">
      <w:pPr>
        <w:pStyle w:val="SangriaFrancesaArticulo"/>
      </w:pPr>
      <w:r w:rsidRPr="001D7FA9">
        <w:rPr>
          <w:rStyle w:val="TextoNormalNegritaCaracter"/>
        </w:rPr>
        <w:t>§ 135.</w:t>
      </w:r>
      <w:r w:rsidRPr="001D7FA9">
        <w:rPr>
          <w:rStyle w:val="TextoNormalCaracter"/>
        </w:rPr>
        <w:t>-</w:t>
      </w:r>
      <w:r>
        <w:t xml:space="preserve"> Sentencia </w:t>
      </w:r>
      <w:hyperlink w:anchor="SENTENCIA_2025_64" w:history="1">
        <w:r w:rsidRPr="001D7FA9">
          <w:rPr>
            <w:rStyle w:val="TextoNormalCaracter"/>
          </w:rPr>
          <w:t>64/2025</w:t>
        </w:r>
      </w:hyperlink>
      <w:r>
        <w:t>, f. 5.</w:t>
      </w:r>
    </w:p>
    <w:p w14:paraId="6B64FB34" w14:textId="1C05E0B2" w:rsidR="001D7FA9" w:rsidRDefault="001D7FA9" w:rsidP="001D7FA9">
      <w:pPr>
        <w:pStyle w:val="SangriaFrancesaArticulo"/>
      </w:pPr>
    </w:p>
    <w:p w14:paraId="52C96028" w14:textId="77777777" w:rsidR="001D7FA9" w:rsidRDefault="001D7FA9" w:rsidP="001D7FA9">
      <w:pPr>
        <w:pStyle w:val="TextoNormalNegritaCursivandice"/>
        <w:keepNext/>
      </w:pPr>
      <w:r>
        <w:t>Sentencia del Tribunal de Justicia de la Unión Europea de 27 de febrero de 2018 (Asociación Sindical de Jueces Portugueses, asunto C-64/16)</w:t>
      </w:r>
    </w:p>
    <w:p w14:paraId="527EFA10" w14:textId="59D2E95A"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6C1BDC51" w14:textId="3AD2F8C9"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3B816B8" w14:textId="72CFA21A" w:rsidR="001D7FA9" w:rsidRDefault="001D7FA9" w:rsidP="001D7FA9">
      <w:pPr>
        <w:pStyle w:val="SangriaFrancesaArticulo"/>
      </w:pPr>
      <w:r w:rsidRPr="001D7FA9">
        <w:rPr>
          <w:rStyle w:val="TextoNormalNegritaCaracter"/>
        </w:rPr>
        <w:t>§ 29.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04AEC89" w14:textId="67109090" w:rsidR="001D7FA9" w:rsidRDefault="001D7FA9" w:rsidP="001D7FA9">
      <w:pPr>
        <w:pStyle w:val="SangriaFrancesaArticulo"/>
      </w:pPr>
      <w:r w:rsidRPr="001D7FA9">
        <w:rPr>
          <w:rStyle w:val="TextoNormalNegritaCaracter"/>
        </w:rPr>
        <w:t>§ 30.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C4C5EA4" w14:textId="58D78D0C" w:rsidR="001D7FA9" w:rsidRDefault="001D7FA9" w:rsidP="001D7FA9">
      <w:pPr>
        <w:pStyle w:val="SangriaFrancesaArticulo"/>
      </w:pPr>
    </w:p>
    <w:p w14:paraId="0220E95A" w14:textId="77777777" w:rsidR="001D7FA9" w:rsidRDefault="001D7FA9" w:rsidP="001D7FA9">
      <w:pPr>
        <w:pStyle w:val="TextoNormalNegritaCursivandice"/>
        <w:keepNext/>
      </w:pPr>
      <w:r>
        <w:t>Sentencia del Tribunal de Justicia de la Unión Europea de 13 de septiembre de 2018 (Profi Credit Polska S.A. w Bielsku Bialej c. Mariusz Wawrzosek, asunto C-176/17)</w:t>
      </w:r>
    </w:p>
    <w:p w14:paraId="507A4C23" w14:textId="54AB8980"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1" w:history="1">
        <w:r w:rsidRPr="001D7FA9">
          <w:rPr>
            <w:rStyle w:val="TextoNormalCaracter"/>
          </w:rPr>
          <w:t>121/2025</w:t>
        </w:r>
      </w:hyperlink>
      <w:r>
        <w:t>, f. 3.</w:t>
      </w:r>
    </w:p>
    <w:p w14:paraId="23F66437" w14:textId="3E6F5770" w:rsidR="001D7FA9" w:rsidRDefault="001D7FA9" w:rsidP="001D7FA9">
      <w:pPr>
        <w:pStyle w:val="SangriaFrancesaArticulo"/>
      </w:pPr>
    </w:p>
    <w:p w14:paraId="0F256BCE" w14:textId="77777777" w:rsidR="001D7FA9" w:rsidRDefault="001D7FA9" w:rsidP="001D7FA9">
      <w:pPr>
        <w:pStyle w:val="TextoNormalNegritaCursivandice"/>
        <w:keepNext/>
      </w:pPr>
      <w:r>
        <w:t>Sentencia del Tribunal de Justicia de la Unión Europea de 20 de septiembre de 2018 (EOS KSI Slovensko s.r.o. c. Ján Danko y Margita Danková, asunto C-448/17)</w:t>
      </w:r>
    </w:p>
    <w:p w14:paraId="599ACE8C" w14:textId="19B649B7" w:rsidR="001D7FA9" w:rsidRDefault="001D7FA9" w:rsidP="001D7FA9">
      <w:pPr>
        <w:pStyle w:val="SangriaFrancesaArticulo"/>
      </w:pPr>
      <w:r w:rsidRPr="001D7FA9">
        <w:rPr>
          <w:rStyle w:val="TextoNormalNegritaCaracter"/>
        </w:rPr>
        <w:t>§ 57.</w:t>
      </w:r>
      <w:r w:rsidRPr="001D7FA9">
        <w:rPr>
          <w:rStyle w:val="TextoNormalCaracter"/>
        </w:rPr>
        <w:t>-</w:t>
      </w:r>
      <w:r>
        <w:t xml:space="preserve"> Auto </w:t>
      </w:r>
      <w:hyperlink w:anchor="AUTO_2025_65" w:history="1">
        <w:r w:rsidRPr="001D7FA9">
          <w:rPr>
            <w:rStyle w:val="TextoNormalCaracter"/>
          </w:rPr>
          <w:t>65/2025</w:t>
        </w:r>
      </w:hyperlink>
      <w:r>
        <w:t>, VP.</w:t>
      </w:r>
    </w:p>
    <w:p w14:paraId="4C8B49A1" w14:textId="16947D62" w:rsidR="001D7FA9" w:rsidRDefault="001D7FA9" w:rsidP="001D7FA9">
      <w:pPr>
        <w:pStyle w:val="SangriaFrancesaArticulo"/>
      </w:pPr>
    </w:p>
    <w:p w14:paraId="446EFA21" w14:textId="77777777" w:rsidR="001D7FA9" w:rsidRDefault="001D7FA9" w:rsidP="001D7FA9">
      <w:pPr>
        <w:pStyle w:val="TextoNormalNegritaCursivandice"/>
        <w:keepNext/>
      </w:pPr>
      <w:r>
        <w:t>Sentencia del Tribunal de Justicia de la Unión Europea de 4 de octubre de 2018 (Comisión Europea c. Francia, asunto C-416/17)</w:t>
      </w:r>
    </w:p>
    <w:p w14:paraId="5C7BDDE6" w14:textId="3AF4F3C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6FD82B8" w14:textId="068CA3FD" w:rsidR="001D7FA9" w:rsidRDefault="001D7FA9" w:rsidP="001D7FA9">
      <w:pPr>
        <w:pStyle w:val="SangriaFrancesaArticulo"/>
      </w:pPr>
    </w:p>
    <w:p w14:paraId="1253C087" w14:textId="77777777" w:rsidR="001D7FA9" w:rsidRDefault="001D7FA9" w:rsidP="001D7FA9">
      <w:pPr>
        <w:pStyle w:val="TextoNormalNegritaCursivandice"/>
        <w:keepNext/>
      </w:pPr>
      <w:r>
        <w:t>Sentencia del Tribunal de Justicia de la Unión Europea de 28 de noviembre de 2018 (Amt Azienda Trasporti e Mobilità SpA y otros c. Atpl Liguria - Agenzia regionale per il trasporto pubblico locale SpA y Regione Liguria, asunto C-328/17)</w:t>
      </w:r>
    </w:p>
    <w:p w14:paraId="0AF89AD6" w14:textId="74D764A4" w:rsidR="001D7FA9" w:rsidRDefault="001D7FA9" w:rsidP="001D7FA9">
      <w:pPr>
        <w:pStyle w:val="SangriaFrancesaArticulo"/>
      </w:pPr>
      <w:r w:rsidRPr="001D7FA9">
        <w:rPr>
          <w:rStyle w:val="TextoNormalNegritaCaracter"/>
        </w:rPr>
        <w:t>§ 35.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482183E" w14:textId="1DE8E728" w:rsidR="001D7FA9" w:rsidRDefault="001D7FA9" w:rsidP="001D7FA9">
      <w:pPr>
        <w:pStyle w:val="SangriaFrancesaArticulo"/>
      </w:pPr>
    </w:p>
    <w:p w14:paraId="238612F6" w14:textId="77777777" w:rsidR="001D7FA9" w:rsidRDefault="001D7FA9" w:rsidP="001D7FA9">
      <w:pPr>
        <w:pStyle w:val="TextoNormalNegritaCursivandice"/>
        <w:keepNext/>
      </w:pPr>
      <w:r>
        <w:t>Sentencia del Tribunal de Justicia de la Unión Europea de 11 de diciembre de 2018 (Weiss y otros, asunto C-493/17)</w:t>
      </w:r>
    </w:p>
    <w:p w14:paraId="4379382E" w14:textId="72D717F9"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9021544" w14:textId="4FF6A087" w:rsidR="001D7FA9" w:rsidRDefault="001D7FA9" w:rsidP="001D7FA9">
      <w:pPr>
        <w:pStyle w:val="SangriaFrancesaArticulo"/>
      </w:pPr>
    </w:p>
    <w:p w14:paraId="5D2AE82D" w14:textId="77777777" w:rsidR="001D7FA9" w:rsidRDefault="001D7FA9" w:rsidP="001D7FA9">
      <w:pPr>
        <w:pStyle w:val="TextoNormalNegritaCursivandice"/>
        <w:keepNext/>
      </w:pPr>
      <w:r>
        <w:t>Sentencia del Tribunal de Justicia de la Unión Europea de 24 de junio de 2019 (Comisión Europea c. República de Polonia, asunto C-619/18)</w:t>
      </w:r>
    </w:p>
    <w:p w14:paraId="1049A23D" w14:textId="5B830C0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 w:history="1">
        <w:r w:rsidRPr="001D7FA9">
          <w:rPr>
            <w:rStyle w:val="TextoNormalCaracter"/>
          </w:rPr>
          <w:t>6/2025</w:t>
        </w:r>
      </w:hyperlink>
      <w:r>
        <w:t>, VP II.</w:t>
      </w:r>
    </w:p>
    <w:p w14:paraId="29638088" w14:textId="672F5F98" w:rsidR="001D7FA9" w:rsidRDefault="001D7FA9" w:rsidP="001D7FA9">
      <w:pPr>
        <w:pStyle w:val="SangriaFrancesaArticulo"/>
      </w:pPr>
      <w:r w:rsidRPr="001D7FA9">
        <w:rPr>
          <w:rStyle w:val="TextoNormalNegritaCaracter"/>
        </w:rPr>
        <w:t>§ 51.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477B1B4" w14:textId="6A89BD7B" w:rsidR="001D7FA9" w:rsidRDefault="001D7FA9" w:rsidP="001D7FA9">
      <w:pPr>
        <w:pStyle w:val="SangriaFrancesaArticulo"/>
      </w:pPr>
      <w:r w:rsidRPr="001D7FA9">
        <w:rPr>
          <w:rStyle w:val="TextoNormalNegritaCaracter"/>
        </w:rPr>
        <w:t>§ 77.</w:t>
      </w:r>
      <w:r w:rsidRPr="001D7FA9">
        <w:rPr>
          <w:rStyle w:val="TextoNormalCaracter"/>
        </w:rPr>
        <w:t>-</w:t>
      </w:r>
      <w:r>
        <w:t xml:space="preserve"> Auto </w:t>
      </w:r>
      <w:hyperlink w:anchor="AUTO_2025_6" w:history="1">
        <w:r w:rsidRPr="001D7FA9">
          <w:rPr>
            <w:rStyle w:val="TextoNormalCaracter"/>
          </w:rPr>
          <w:t>6/2025</w:t>
        </w:r>
      </w:hyperlink>
      <w:r>
        <w:t>, VP II.</w:t>
      </w:r>
    </w:p>
    <w:p w14:paraId="41B147EC" w14:textId="13E63865" w:rsidR="001D7FA9" w:rsidRDefault="001D7FA9" w:rsidP="001D7FA9">
      <w:pPr>
        <w:pStyle w:val="SangriaFrancesaArticulo"/>
      </w:pPr>
      <w:r w:rsidRPr="001D7FA9">
        <w:rPr>
          <w:rStyle w:val="TextoNormalNegritaCaracter"/>
        </w:rPr>
        <w:t>§ 112.</w:t>
      </w:r>
      <w:r w:rsidRPr="001D7FA9">
        <w:rPr>
          <w:rStyle w:val="TextoNormalCaracter"/>
        </w:rPr>
        <w:t>-</w:t>
      </w:r>
      <w:r>
        <w:t xml:space="preserve"> Auto </w:t>
      </w:r>
      <w:hyperlink w:anchor="AUTO_2025_6" w:history="1">
        <w:r w:rsidRPr="001D7FA9">
          <w:rPr>
            <w:rStyle w:val="TextoNormalCaracter"/>
          </w:rPr>
          <w:t>6/2025</w:t>
        </w:r>
      </w:hyperlink>
      <w:r>
        <w:t>, VP II.</w:t>
      </w:r>
    </w:p>
    <w:p w14:paraId="788B1D6B" w14:textId="0BF4997F" w:rsidR="001D7FA9" w:rsidRDefault="001D7FA9" w:rsidP="001D7FA9">
      <w:pPr>
        <w:pStyle w:val="SangriaFrancesaArticulo"/>
      </w:pPr>
    </w:p>
    <w:p w14:paraId="6125F1DB" w14:textId="77777777" w:rsidR="001D7FA9" w:rsidRDefault="001D7FA9" w:rsidP="001D7FA9">
      <w:pPr>
        <w:pStyle w:val="TextoNormalNegritaCursivandice"/>
        <w:keepNext/>
      </w:pPr>
      <w:r>
        <w:t>Sentencia del Tribunal de Justicia de la Unión Europea de 24 de junio de 2019 (Daniel Adam Poplawski, asunto C-573/17)</w:t>
      </w:r>
    </w:p>
    <w:p w14:paraId="474D63AD" w14:textId="63B8E7B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B9691A4" w14:textId="2D3BC4F3" w:rsidR="001D7FA9" w:rsidRDefault="001D7FA9" w:rsidP="001D7FA9">
      <w:pPr>
        <w:pStyle w:val="SangriaFrancesaArticulo"/>
      </w:pPr>
      <w:r w:rsidRPr="001D7FA9">
        <w:rPr>
          <w:rStyle w:val="TextoNormalNegritaCaracter"/>
        </w:rPr>
        <w:t>§ 58.</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0A6CD08" w14:textId="3A37A4F1" w:rsidR="001D7FA9" w:rsidRDefault="001D7FA9" w:rsidP="001D7FA9">
      <w:pPr>
        <w:pStyle w:val="SangriaFrancesaArticulo"/>
      </w:pPr>
      <w:r w:rsidRPr="001D7FA9">
        <w:rPr>
          <w:rStyle w:val="TextoNormalNegritaCaracter"/>
        </w:rPr>
        <w:t>§ 60.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A26E323" w14:textId="2D8C0FCE" w:rsidR="001D7FA9" w:rsidRDefault="001D7FA9" w:rsidP="001D7FA9">
      <w:pPr>
        <w:pStyle w:val="SangriaFrancesaArticulo"/>
      </w:pPr>
      <w:r w:rsidRPr="001D7FA9">
        <w:rPr>
          <w:rStyle w:val="TextoNormalNegritaCaracter"/>
        </w:rPr>
        <w:t>§ 65.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663F2DE7" w14:textId="20D0ED28" w:rsidR="001D7FA9" w:rsidRDefault="001D7FA9" w:rsidP="001D7FA9">
      <w:pPr>
        <w:pStyle w:val="SangriaFrancesaArticulo"/>
      </w:pPr>
    </w:p>
    <w:p w14:paraId="371DB25C" w14:textId="77777777" w:rsidR="001D7FA9" w:rsidRDefault="001D7FA9" w:rsidP="001D7FA9">
      <w:pPr>
        <w:pStyle w:val="TextoNormalNegritaCursivandice"/>
        <w:keepNext/>
      </w:pPr>
      <w:r>
        <w:t>Sentencia del Tribunal de Justicia de la Unión Europea de 19 de noviembre de 2019 (A.K. c. Krajowa Rada Sadownictwa y CP y DO c. Sad Najwyzszy, asuntos acumulados C-585/18, C-624/18 y C-625/18)</w:t>
      </w:r>
    </w:p>
    <w:p w14:paraId="42C0E890" w14:textId="2EE9F182" w:rsidR="001D7FA9" w:rsidRDefault="001D7FA9" w:rsidP="001D7FA9">
      <w:pPr>
        <w:pStyle w:val="SangriaFrancesaArticulo"/>
      </w:pPr>
      <w:r w:rsidRPr="001D7FA9">
        <w:rPr>
          <w:rStyle w:val="TextoNormalNegritaCaracter"/>
        </w:rPr>
        <w:t>§ 121.</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02284623" w14:textId="5C24A210" w:rsidR="001D7FA9" w:rsidRDefault="001D7FA9" w:rsidP="001D7FA9">
      <w:pPr>
        <w:pStyle w:val="SangriaFrancesaArticulo"/>
      </w:pPr>
      <w:r w:rsidRPr="001D7FA9">
        <w:rPr>
          <w:rStyle w:val="TextoNormalNegritaCaracter"/>
        </w:rPr>
        <w:t>§ 124.</w:t>
      </w:r>
      <w:r w:rsidRPr="001D7FA9">
        <w:rPr>
          <w:rStyle w:val="TextoNormalCaracter"/>
        </w:rPr>
        <w:t>-</w:t>
      </w:r>
      <w:r>
        <w:t xml:space="preserve"> Sentencia </w:t>
      </w:r>
      <w:hyperlink w:anchor="SENTENCIA_2025_137" w:history="1">
        <w:r w:rsidRPr="001D7FA9">
          <w:rPr>
            <w:rStyle w:val="TextoNormalCaracter"/>
          </w:rPr>
          <w:t>137/2025</w:t>
        </w:r>
      </w:hyperlink>
      <w:r>
        <w:t>, f. 11, VP IV.</w:t>
      </w:r>
    </w:p>
    <w:p w14:paraId="5BC26BD8" w14:textId="73B52F62" w:rsidR="001D7FA9" w:rsidRDefault="001D7FA9" w:rsidP="001D7FA9">
      <w:pPr>
        <w:pStyle w:val="SangriaFrancesaArticulo"/>
      </w:pPr>
      <w:r w:rsidRPr="001D7FA9">
        <w:rPr>
          <w:rStyle w:val="TextoNormalNegritaCaracter"/>
        </w:rPr>
        <w:t>§ 125.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8187DAA" w14:textId="2EE08E9A" w:rsidR="001D7FA9" w:rsidRDefault="001D7FA9" w:rsidP="001D7FA9">
      <w:pPr>
        <w:pStyle w:val="SangriaFrancesaArticulo"/>
      </w:pPr>
      <w:r w:rsidRPr="001D7FA9">
        <w:rPr>
          <w:rStyle w:val="TextoNormalNegritaCaracter"/>
        </w:rPr>
        <w:t>§ 142.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D7F9223" w14:textId="62162F11" w:rsidR="001D7FA9" w:rsidRDefault="001D7FA9" w:rsidP="001D7FA9">
      <w:pPr>
        <w:pStyle w:val="SangriaFrancesaArticulo"/>
      </w:pPr>
    </w:p>
    <w:p w14:paraId="361DEA19" w14:textId="77777777" w:rsidR="001D7FA9" w:rsidRDefault="001D7FA9" w:rsidP="001D7FA9">
      <w:pPr>
        <w:pStyle w:val="TextoNormalNegritaCursivandice"/>
        <w:keepNext/>
      </w:pPr>
      <w:r>
        <w:t>Sentencia del Tribunal de Justicia de la Unión Europea de 30 de abril de 2020 (Hecta Viticol, asunto C-184/190)</w:t>
      </w:r>
    </w:p>
    <w:p w14:paraId="536FF9A8" w14:textId="30230F13" w:rsidR="001D7FA9" w:rsidRDefault="001D7FA9" w:rsidP="001D7FA9">
      <w:pPr>
        <w:pStyle w:val="SangriaFrancesaArticulo"/>
      </w:pPr>
      <w:r w:rsidRPr="001D7FA9">
        <w:rPr>
          <w:rStyle w:val="TextoNormalNegritaCaracter"/>
        </w:rPr>
        <w:t>§ 53.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DC73B46" w14:textId="2F39B20A" w:rsidR="001D7FA9" w:rsidRDefault="001D7FA9" w:rsidP="001D7FA9">
      <w:pPr>
        <w:pStyle w:val="SangriaFrancesaArticulo"/>
      </w:pPr>
    </w:p>
    <w:p w14:paraId="57EDF9A5" w14:textId="77777777" w:rsidR="001D7FA9" w:rsidRDefault="001D7FA9" w:rsidP="001D7FA9">
      <w:pPr>
        <w:pStyle w:val="TextoNormalNegritaCursivandice"/>
        <w:keepNext/>
      </w:pPr>
      <w:r>
        <w:t>Sentencia del Tribunal de Justicia de la Unión Europea de 9 de julio de 2020 (Land Hessen, asunto C-272/20)</w:t>
      </w:r>
    </w:p>
    <w:p w14:paraId="14D99F70" w14:textId="0272475D" w:rsidR="001D7FA9" w:rsidRDefault="001D7FA9" w:rsidP="001D7FA9">
      <w:pPr>
        <w:pStyle w:val="SangriaFrancesaArticulo"/>
      </w:pPr>
      <w:r w:rsidRPr="001D7FA9">
        <w:rPr>
          <w:rStyle w:val="TextoNormalNegritaCaracter"/>
        </w:rPr>
        <w:t>§ 45.</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0EA3E312" w14:textId="404AE901" w:rsidR="001D7FA9" w:rsidRDefault="001D7FA9" w:rsidP="001D7FA9">
      <w:pPr>
        <w:pStyle w:val="SangriaFrancesaArticulo"/>
      </w:pPr>
    </w:p>
    <w:p w14:paraId="044A46FF" w14:textId="77777777" w:rsidR="001D7FA9" w:rsidRDefault="001D7FA9" w:rsidP="001D7FA9">
      <w:pPr>
        <w:pStyle w:val="TextoNormalNegritaCursivandice"/>
        <w:keepNext/>
      </w:pPr>
      <w:r>
        <w:t>Sentencia del Tribunal de Justicia de la Unión Europea de 16 de julio de 2020 (CY c. Caixabank, S.A. y LG y PK c. Banco Bilbao Vizcaya Argentaria, S.A., asuntos acumulados C-224/19 y C-259/19)</w:t>
      </w:r>
    </w:p>
    <w:p w14:paraId="4687569A" w14:textId="0F908E0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5" w:history="1">
        <w:r w:rsidRPr="001D7FA9">
          <w:rPr>
            <w:rStyle w:val="TextoNormalCaracter"/>
          </w:rPr>
          <w:t>45/2025</w:t>
        </w:r>
      </w:hyperlink>
      <w:r>
        <w:t xml:space="preserve">, ff. 2, 3; </w:t>
      </w:r>
      <w:hyperlink w:anchor="SENTENCIA_2025_109" w:history="1">
        <w:r w:rsidRPr="001D7FA9">
          <w:rPr>
            <w:rStyle w:val="TextoNormalCaracter"/>
          </w:rPr>
          <w:t>109/2025</w:t>
        </w:r>
      </w:hyperlink>
      <w:r>
        <w:t xml:space="preserve">, f. 2; </w:t>
      </w:r>
      <w:hyperlink w:anchor="SENTENCIA_2025_121" w:history="1">
        <w:r w:rsidRPr="001D7FA9">
          <w:rPr>
            <w:rStyle w:val="TextoNormalCaracter"/>
          </w:rPr>
          <w:t>121/2025</w:t>
        </w:r>
      </w:hyperlink>
      <w:r>
        <w:t>, ff. 2 a 4.</w:t>
      </w:r>
    </w:p>
    <w:p w14:paraId="6CC2F390" w14:textId="3C058F17" w:rsidR="001D7FA9" w:rsidRDefault="001D7FA9" w:rsidP="001D7FA9">
      <w:pPr>
        <w:pStyle w:val="SangriaFrancesaArticulo"/>
      </w:pPr>
      <w:r w:rsidRPr="001D7FA9">
        <w:rPr>
          <w:rStyle w:val="TextoNormalNegritaCaracter"/>
        </w:rPr>
        <w:t>§ 85.</w:t>
      </w:r>
      <w:r w:rsidRPr="001D7FA9">
        <w:rPr>
          <w:rStyle w:val="TextoNormalCaracter"/>
        </w:rPr>
        <w:t>-</w:t>
      </w:r>
      <w:r>
        <w:t xml:space="preserve"> Sentencia </w:t>
      </w:r>
      <w:hyperlink w:anchor="SENTENCIA_2025_121" w:history="1">
        <w:r w:rsidRPr="001D7FA9">
          <w:rPr>
            <w:rStyle w:val="TextoNormalCaracter"/>
          </w:rPr>
          <w:t>121/2025</w:t>
        </w:r>
      </w:hyperlink>
      <w:r>
        <w:t>, f. 4.</w:t>
      </w:r>
    </w:p>
    <w:p w14:paraId="05B99AF9" w14:textId="47C56E53" w:rsidR="001D7FA9" w:rsidRDefault="001D7FA9" w:rsidP="001D7FA9">
      <w:pPr>
        <w:pStyle w:val="SangriaFrancesaArticulo"/>
      </w:pPr>
      <w:r w:rsidRPr="001D7FA9">
        <w:rPr>
          <w:rStyle w:val="TextoNormalNegritaCaracter"/>
        </w:rPr>
        <w:t>§ 87.</w:t>
      </w:r>
      <w:r w:rsidRPr="001D7FA9">
        <w:rPr>
          <w:rStyle w:val="TextoNormalCaracter"/>
        </w:rPr>
        <w:t>-</w:t>
      </w:r>
      <w:r>
        <w:t xml:space="preserve"> Sentencia </w:t>
      </w:r>
      <w:hyperlink w:anchor="SENTENCIA_2025_121" w:history="1">
        <w:r w:rsidRPr="001D7FA9">
          <w:rPr>
            <w:rStyle w:val="TextoNormalCaracter"/>
          </w:rPr>
          <w:t>121/2025</w:t>
        </w:r>
      </w:hyperlink>
      <w:r>
        <w:t>, f. 3.</w:t>
      </w:r>
    </w:p>
    <w:p w14:paraId="6A6245BC" w14:textId="262F2745" w:rsidR="001D7FA9" w:rsidRDefault="001D7FA9" w:rsidP="001D7FA9">
      <w:pPr>
        <w:pStyle w:val="SangriaFrancesaArticulo"/>
      </w:pPr>
      <w:r w:rsidRPr="001D7FA9">
        <w:rPr>
          <w:rStyle w:val="TextoNormalNegritaCaracter"/>
        </w:rPr>
        <w:t>§ 95.</w:t>
      </w:r>
      <w:r w:rsidRPr="001D7FA9">
        <w:rPr>
          <w:rStyle w:val="TextoNormalCaracter"/>
        </w:rPr>
        <w:t>-</w:t>
      </w:r>
      <w:r>
        <w:t xml:space="preserve"> Sentencia </w:t>
      </w:r>
      <w:hyperlink w:anchor="SENTENCIA_2025_121" w:history="1">
        <w:r w:rsidRPr="001D7FA9">
          <w:rPr>
            <w:rStyle w:val="TextoNormalCaracter"/>
          </w:rPr>
          <w:t>121/2025</w:t>
        </w:r>
      </w:hyperlink>
      <w:r>
        <w:t>, f. 3.</w:t>
      </w:r>
    </w:p>
    <w:p w14:paraId="33E3E888" w14:textId="742F53FD" w:rsidR="001D7FA9" w:rsidRDefault="001D7FA9" w:rsidP="001D7FA9">
      <w:pPr>
        <w:pStyle w:val="SangriaFrancesaArticulo"/>
      </w:pPr>
      <w:r w:rsidRPr="001D7FA9">
        <w:rPr>
          <w:rStyle w:val="TextoNormalNegritaCaracter"/>
        </w:rPr>
        <w:t>§ 99.</w:t>
      </w:r>
      <w:r w:rsidRPr="001D7FA9">
        <w:rPr>
          <w:rStyle w:val="TextoNormalCaracter"/>
        </w:rPr>
        <w:t>-</w:t>
      </w:r>
      <w:r>
        <w:t xml:space="preserve"> Sentencias </w:t>
      </w:r>
      <w:hyperlink w:anchor="SENTENCIA_2025_45" w:history="1">
        <w:r w:rsidRPr="001D7FA9">
          <w:rPr>
            <w:rStyle w:val="TextoNormalCaracter"/>
          </w:rPr>
          <w:t>45/2025</w:t>
        </w:r>
      </w:hyperlink>
      <w:r>
        <w:t xml:space="preserve">, f. 2; </w:t>
      </w:r>
      <w:hyperlink w:anchor="SENTENCIA_2025_109" w:history="1">
        <w:r w:rsidRPr="001D7FA9">
          <w:rPr>
            <w:rStyle w:val="TextoNormalCaracter"/>
          </w:rPr>
          <w:t>109/2025</w:t>
        </w:r>
      </w:hyperlink>
      <w:r>
        <w:t>, f. 2.</w:t>
      </w:r>
    </w:p>
    <w:p w14:paraId="43343701" w14:textId="452EEA6B" w:rsidR="001D7FA9" w:rsidRDefault="001D7FA9" w:rsidP="001D7FA9">
      <w:pPr>
        <w:pStyle w:val="SangriaFrancesaArticulo"/>
      </w:pPr>
    </w:p>
    <w:p w14:paraId="0E03D9E8" w14:textId="77777777" w:rsidR="001D7FA9" w:rsidRDefault="001D7FA9" w:rsidP="001D7FA9">
      <w:pPr>
        <w:pStyle w:val="TextoNormalNegritaCursivandice"/>
        <w:keepNext/>
      </w:pPr>
      <w:r>
        <w:t>Sentencia del Tribunal de Justicia de la Unión Europea de 22 de septiembre de 2020 (Cali Apartments SCI y HX c. procureur général près la Cour d’Appel de Paris et la Ville de Paris, asuntos acumulados C-724/18 y C-727/18)</w:t>
      </w:r>
    </w:p>
    <w:p w14:paraId="5172427C" w14:textId="725FAF8E" w:rsidR="001D7FA9" w:rsidRDefault="001D7FA9" w:rsidP="001D7FA9">
      <w:pPr>
        <w:pStyle w:val="SangriaFrancesaArticulo"/>
      </w:pPr>
      <w:r w:rsidRPr="001D7FA9">
        <w:rPr>
          <w:rStyle w:val="TextoNormalNegritaCaracter"/>
        </w:rPr>
        <w:t>§ 37 a 45.</w:t>
      </w:r>
      <w:r w:rsidRPr="001D7FA9">
        <w:rPr>
          <w:rStyle w:val="TextoNormalCaracter"/>
        </w:rPr>
        <w:t>-</w:t>
      </w:r>
      <w:r>
        <w:t xml:space="preserve"> Sentencia </w:t>
      </w:r>
      <w:hyperlink w:anchor="SENTENCIA_2025_64" w:history="1">
        <w:r w:rsidRPr="001D7FA9">
          <w:rPr>
            <w:rStyle w:val="TextoNormalCaracter"/>
          </w:rPr>
          <w:t>64/2025</w:t>
        </w:r>
      </w:hyperlink>
      <w:r>
        <w:t>, f. 5.</w:t>
      </w:r>
    </w:p>
    <w:p w14:paraId="4E8C5721" w14:textId="4A5947CE" w:rsidR="001D7FA9" w:rsidRDefault="001D7FA9" w:rsidP="001D7FA9">
      <w:pPr>
        <w:pStyle w:val="SangriaFrancesaArticulo"/>
      </w:pPr>
      <w:r w:rsidRPr="001D7FA9">
        <w:rPr>
          <w:rStyle w:val="TextoNormalNegritaCaracter"/>
        </w:rPr>
        <w:t>§ 73 a 75.</w:t>
      </w:r>
      <w:r w:rsidRPr="001D7FA9">
        <w:rPr>
          <w:rStyle w:val="TextoNormalCaracter"/>
        </w:rPr>
        <w:t>-</w:t>
      </w:r>
      <w:r>
        <w:t xml:space="preserve"> Sentencia </w:t>
      </w:r>
      <w:hyperlink w:anchor="SENTENCIA_2025_64" w:history="1">
        <w:r w:rsidRPr="001D7FA9">
          <w:rPr>
            <w:rStyle w:val="TextoNormalCaracter"/>
          </w:rPr>
          <w:t>64/2025</w:t>
        </w:r>
      </w:hyperlink>
      <w:r>
        <w:t>, f. 5.</w:t>
      </w:r>
    </w:p>
    <w:p w14:paraId="0B5D5885" w14:textId="1719A99B" w:rsidR="001D7FA9" w:rsidRDefault="001D7FA9" w:rsidP="001D7FA9">
      <w:pPr>
        <w:pStyle w:val="SangriaFrancesaArticulo"/>
      </w:pPr>
    </w:p>
    <w:p w14:paraId="2A865144" w14:textId="77777777" w:rsidR="001D7FA9" w:rsidRDefault="001D7FA9" w:rsidP="001D7FA9">
      <w:pPr>
        <w:pStyle w:val="TextoNormalNegritaCursivandice"/>
        <w:keepNext/>
      </w:pPr>
      <w:r>
        <w:t>Sentencia del Tribunal de Justicia de la Unión Europea de 2 de marzo de 2021 (A.B. y otros c. Krajowa Rada Sadownictwa y otros, asunto C-824/18)</w:t>
      </w:r>
    </w:p>
    <w:p w14:paraId="271C8598" w14:textId="321BF3C4" w:rsidR="001D7FA9" w:rsidRDefault="001D7FA9" w:rsidP="001D7FA9">
      <w:pPr>
        <w:pStyle w:val="SangriaFrancesaArticulo"/>
      </w:pPr>
      <w:r w:rsidRPr="001D7FA9">
        <w:rPr>
          <w:rStyle w:val="TextoNormalNegritaCaracter"/>
        </w:rPr>
        <w:t>§ 118.</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9BDA2AC" w14:textId="4BA577FB" w:rsidR="001D7FA9" w:rsidRDefault="001D7FA9" w:rsidP="001D7FA9">
      <w:pPr>
        <w:pStyle w:val="SangriaFrancesaArticulo"/>
      </w:pPr>
      <w:r w:rsidRPr="001D7FA9">
        <w:rPr>
          <w:rStyle w:val="TextoNormalNegritaCaracter"/>
        </w:rPr>
        <w:t>§ 119.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5390F06" w14:textId="56FDF973" w:rsidR="001D7FA9" w:rsidRDefault="001D7FA9" w:rsidP="001D7FA9">
      <w:pPr>
        <w:pStyle w:val="SangriaFrancesaArticulo"/>
      </w:pPr>
      <w:r w:rsidRPr="001D7FA9">
        <w:rPr>
          <w:rStyle w:val="TextoNormalNegritaCaracter"/>
        </w:rPr>
        <w:t>§ 129.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B64ACE4" w14:textId="1C93E8EE" w:rsidR="001D7FA9" w:rsidRDefault="001D7FA9" w:rsidP="001D7FA9">
      <w:pPr>
        <w:pStyle w:val="SangriaFrancesaArticulo"/>
      </w:pPr>
      <w:r w:rsidRPr="001D7FA9">
        <w:rPr>
          <w:rStyle w:val="TextoNormalNegritaCaracter"/>
        </w:rPr>
        <w:t>§ 156.</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3E044E2" w14:textId="4DBF3518" w:rsidR="001D7FA9" w:rsidRDefault="001D7FA9" w:rsidP="001D7FA9">
      <w:pPr>
        <w:pStyle w:val="SangriaFrancesaArticulo"/>
      </w:pPr>
    </w:p>
    <w:p w14:paraId="53A4708E" w14:textId="77777777" w:rsidR="001D7FA9" w:rsidRDefault="001D7FA9" w:rsidP="001D7FA9">
      <w:pPr>
        <w:pStyle w:val="TextoNormalNegritaCursivandice"/>
        <w:keepNext/>
      </w:pPr>
      <w:r>
        <w:t>Sentencia del Tribunal de Justicia de la Unión Europea (Gran Sala) de 22 de marzo de 2021 (Prokurator Generalny, Chambre disciplinaire de la Cour suprême - Nomination), asunto C-508/19)</w:t>
      </w:r>
    </w:p>
    <w:p w14:paraId="58F5B520" w14:textId="602B518A" w:rsidR="001D7FA9" w:rsidRDefault="001D7FA9" w:rsidP="001D7FA9">
      <w:pPr>
        <w:pStyle w:val="SangriaFrancesaArticulo"/>
      </w:pPr>
      <w:r w:rsidRPr="001D7FA9">
        <w:rPr>
          <w:rStyle w:val="TextoNormalNegritaCaracter"/>
        </w:rPr>
        <w:t>§ 80.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D70EF06" w14:textId="608E94F7" w:rsidR="001D7FA9" w:rsidRDefault="001D7FA9" w:rsidP="001D7FA9">
      <w:pPr>
        <w:pStyle w:val="SangriaFrancesaArticulo"/>
      </w:pPr>
    </w:p>
    <w:p w14:paraId="14340CBB" w14:textId="77777777" w:rsidR="001D7FA9" w:rsidRDefault="001D7FA9" w:rsidP="001D7FA9">
      <w:pPr>
        <w:pStyle w:val="TextoNormalNegritaCursivandice"/>
        <w:keepNext/>
      </w:pPr>
      <w:r>
        <w:t>Sentencia del Tribunal de Justicia de la Unión Europea de 20 de abril de 2021 (Repubblika c. Il-Prim Ministru, asunto C-896/19)</w:t>
      </w:r>
    </w:p>
    <w:p w14:paraId="14613A02" w14:textId="131A4B3D"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11, VP IV.</w:t>
      </w:r>
    </w:p>
    <w:p w14:paraId="600A4D27" w14:textId="0EDB86B1"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BA7E30B" w14:textId="15D6CE14" w:rsidR="001D7FA9" w:rsidRDefault="001D7FA9" w:rsidP="001D7FA9">
      <w:pPr>
        <w:pStyle w:val="SangriaFrancesaArticulo"/>
      </w:pPr>
      <w:r w:rsidRPr="001D7FA9">
        <w:rPr>
          <w:rStyle w:val="TextoNormalNegritaCaracter"/>
        </w:rPr>
        <w:t>§ 51.</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7694483B" w14:textId="1F6422A4" w:rsidR="001D7FA9" w:rsidRDefault="001D7FA9" w:rsidP="001D7FA9">
      <w:pPr>
        <w:pStyle w:val="SangriaFrancesaArticulo"/>
      </w:pPr>
      <w:r w:rsidRPr="001D7FA9">
        <w:rPr>
          <w:rStyle w:val="TextoNormalNegritaCaracter"/>
        </w:rPr>
        <w:t>§ 54.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5B1EFC5" w14:textId="6CE169F2" w:rsidR="001D7FA9" w:rsidRDefault="001D7FA9" w:rsidP="001D7FA9">
      <w:pPr>
        <w:pStyle w:val="SangriaFrancesaArticulo"/>
      </w:pPr>
      <w:r w:rsidRPr="001D7FA9">
        <w:rPr>
          <w:rStyle w:val="TextoNormalNegritaCaracter"/>
        </w:rPr>
        <w:t>§ 55.</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415F269" w14:textId="5ED65A34" w:rsidR="001D7FA9" w:rsidRDefault="001D7FA9" w:rsidP="001D7FA9">
      <w:pPr>
        <w:pStyle w:val="SangriaFrancesaArticulo"/>
      </w:pPr>
      <w:r w:rsidRPr="001D7FA9">
        <w:rPr>
          <w:rStyle w:val="TextoNormalNegritaCaracter"/>
        </w:rPr>
        <w:t>§ 62.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7DD94B0" w14:textId="5A9DD58A" w:rsidR="001D7FA9" w:rsidRDefault="001D7FA9" w:rsidP="001D7FA9">
      <w:pPr>
        <w:pStyle w:val="SangriaFrancesaArticulo"/>
      </w:pPr>
    </w:p>
    <w:p w14:paraId="69A3C4C6" w14:textId="77777777" w:rsidR="001D7FA9" w:rsidRDefault="001D7FA9" w:rsidP="001D7FA9">
      <w:pPr>
        <w:pStyle w:val="TextoNormalNegritaCursivandice"/>
        <w:keepNext/>
      </w:pPr>
      <w:r>
        <w:t>Sentencia del Tribunal de Justicia de la Unión Europea de 11 de mayo de 2021 (R.I. c. Inspectia Judiciara, asunto C-817/21)</w:t>
      </w:r>
    </w:p>
    <w:p w14:paraId="2ACABA09" w14:textId="28C6E75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7.</w:t>
      </w:r>
    </w:p>
    <w:p w14:paraId="6443AB72" w14:textId="131514C6" w:rsidR="001D7FA9" w:rsidRDefault="001D7FA9" w:rsidP="001D7FA9">
      <w:pPr>
        <w:pStyle w:val="SangriaFrancesaArticulo"/>
      </w:pPr>
    </w:p>
    <w:p w14:paraId="1A13721C" w14:textId="77777777" w:rsidR="001D7FA9" w:rsidRDefault="001D7FA9" w:rsidP="001D7FA9">
      <w:pPr>
        <w:pStyle w:val="TextoNormalNegritaCursivandice"/>
        <w:keepNext/>
      </w:pPr>
      <w:r>
        <w:t>Sentencia del Tribunal de Justicia de la Unión Europea de 6 de octubre de 2021 (Consorzio Italian Management y Catania Multiservizi SpA c. Rete Ferroviaria Italiana SpA, asunto C-561/19)</w:t>
      </w:r>
    </w:p>
    <w:p w14:paraId="64596809" w14:textId="6CBD80CC"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760E366F" w14:textId="38BD5666"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FF5E2BA" w14:textId="0417DF0F" w:rsidR="001D7FA9" w:rsidRDefault="001D7FA9" w:rsidP="001D7FA9">
      <w:pPr>
        <w:pStyle w:val="SangriaFrancesaArticulo"/>
      </w:pPr>
      <w:r w:rsidRPr="001D7FA9">
        <w:rPr>
          <w:rStyle w:val="TextoNormalNegritaCaracter"/>
        </w:rPr>
        <w:t>§ 32.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A3F4CC4" w14:textId="66AD1D45" w:rsidR="001D7FA9" w:rsidRDefault="001D7FA9" w:rsidP="001D7FA9">
      <w:pPr>
        <w:pStyle w:val="SangriaFrancesaArticulo"/>
      </w:pPr>
      <w:r w:rsidRPr="001D7FA9">
        <w:rPr>
          <w:rStyle w:val="TextoNormalNegritaCaracter"/>
        </w:rPr>
        <w:t>§ 50.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47AEFDC" w14:textId="56CCADFA"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744593EF" w14:textId="0B1AA9AB" w:rsidR="001D7FA9" w:rsidRDefault="001D7FA9" w:rsidP="001D7FA9">
      <w:pPr>
        <w:pStyle w:val="SangriaFrancesaArticulo"/>
      </w:pPr>
      <w:r w:rsidRPr="001D7FA9">
        <w:rPr>
          <w:rStyle w:val="TextoNormalNegritaCaracter"/>
        </w:rPr>
        <w:t>§ 51.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06975A85" w14:textId="3D2C4B91"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6A7EE9BF" w14:textId="0434A3CB" w:rsidR="001D7FA9" w:rsidRDefault="001D7FA9" w:rsidP="001D7FA9">
      <w:pPr>
        <w:pStyle w:val="SangriaFrancesaArticulo"/>
      </w:pPr>
      <w:r w:rsidRPr="001D7FA9">
        <w:rPr>
          <w:rStyle w:val="TextoNormalNegritaCaracter"/>
        </w:rPr>
        <w:t>§ 53.</w:t>
      </w:r>
      <w:r w:rsidRPr="001D7FA9">
        <w:rPr>
          <w:rStyle w:val="TextoNormalCaracter"/>
        </w:rPr>
        <w:t>-</w:t>
      </w:r>
      <w:r>
        <w:t xml:space="preserve"> Auto </w:t>
      </w:r>
      <w:hyperlink w:anchor="AUTO_2025_65" w:history="1">
        <w:r w:rsidRPr="001D7FA9">
          <w:rPr>
            <w:rStyle w:val="TextoNormalCaracter"/>
          </w:rPr>
          <w:t>65/2025</w:t>
        </w:r>
      </w:hyperlink>
      <w:r>
        <w:t>, VP.</w:t>
      </w:r>
    </w:p>
    <w:p w14:paraId="4980789B" w14:textId="609FB8BC" w:rsidR="001D7FA9" w:rsidRDefault="001D7FA9" w:rsidP="001D7FA9">
      <w:pPr>
        <w:pStyle w:val="SangriaFrancesaArticulo"/>
      </w:pPr>
    </w:p>
    <w:p w14:paraId="6DC1A16B" w14:textId="77777777" w:rsidR="001D7FA9" w:rsidRDefault="001D7FA9" w:rsidP="001D7FA9">
      <w:pPr>
        <w:pStyle w:val="TextoNormalNegritaCursivandice"/>
        <w:keepNext/>
      </w:pPr>
      <w:r>
        <w:t>Sentencia del Tribunal de Justicia de la Unión Europea de 6 de octubre de 2021 (W.Z., asunto C-487/19)</w:t>
      </w:r>
    </w:p>
    <w:p w14:paraId="248A4FC6" w14:textId="6ED223DF"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78CACFE" w14:textId="17A749FD" w:rsidR="001D7FA9" w:rsidRDefault="001D7FA9" w:rsidP="001D7FA9">
      <w:pPr>
        <w:pStyle w:val="SangriaFrancesaArticulo"/>
      </w:pPr>
      <w:r w:rsidRPr="001D7FA9">
        <w:rPr>
          <w:rStyle w:val="TextoNormalNegritaCaracter"/>
        </w:rPr>
        <w:t>§ 142.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1217B51" w14:textId="1C84A3CD" w:rsidR="001D7FA9" w:rsidRDefault="001D7FA9" w:rsidP="001D7FA9">
      <w:pPr>
        <w:pStyle w:val="SangriaFrancesaArticulo"/>
      </w:pPr>
    </w:p>
    <w:p w14:paraId="51D70401" w14:textId="77777777" w:rsidR="001D7FA9" w:rsidRDefault="001D7FA9" w:rsidP="001D7FA9">
      <w:pPr>
        <w:pStyle w:val="TextoNormalNegritaCursivandice"/>
        <w:keepNext/>
      </w:pPr>
      <w:r>
        <w:t>Sentencia del Tribunal de Justicia de la Unión Europea de 16 de noviembre de 2021 (WB y otros, asuntos acumulados C-748/19 a C-754/19)</w:t>
      </w:r>
    </w:p>
    <w:p w14:paraId="208513A4" w14:textId="0A8B1620" w:rsidR="001D7FA9" w:rsidRDefault="001D7FA9" w:rsidP="001D7FA9">
      <w:pPr>
        <w:pStyle w:val="SangriaFrancesaArticulo"/>
      </w:pPr>
      <w:r w:rsidRPr="001D7FA9">
        <w:rPr>
          <w:rStyle w:val="TextoNormalNegritaCaracter"/>
        </w:rPr>
        <w:t>§ 68 a 69.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7DBC8D7" w14:textId="25B4B4B4" w:rsidR="001D7FA9" w:rsidRDefault="001D7FA9" w:rsidP="001D7FA9">
      <w:pPr>
        <w:pStyle w:val="SangriaFrancesaArticulo"/>
      </w:pPr>
    </w:p>
    <w:p w14:paraId="7F26F597" w14:textId="77777777" w:rsidR="001D7FA9" w:rsidRDefault="001D7FA9" w:rsidP="001D7FA9">
      <w:pPr>
        <w:pStyle w:val="TextoNormalNegritaCursivandice"/>
        <w:keepNext/>
      </w:pPr>
      <w:r>
        <w:t>Sentencia del Tribunal de Justicia de la Unión Europea de 16 de diciembre de 2021 (AB y otros, asunto C-203/20)</w:t>
      </w:r>
    </w:p>
    <w:p w14:paraId="279E07C0" w14:textId="557C0DE2" w:rsidR="001D7FA9" w:rsidRDefault="001D7FA9" w:rsidP="001D7FA9">
      <w:pPr>
        <w:pStyle w:val="SangriaFrancesaArticulo"/>
      </w:pPr>
      <w:r w:rsidRPr="001D7FA9">
        <w:rPr>
          <w:rStyle w:val="TextoNormalNegritaCaracter"/>
        </w:rPr>
        <w:t>§ 52.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BEE28F4" w14:textId="1FFAC6AC" w:rsidR="001D7FA9" w:rsidRDefault="001D7FA9" w:rsidP="001D7FA9">
      <w:pPr>
        <w:pStyle w:val="SangriaFrancesaArticulo"/>
      </w:pPr>
      <w:r w:rsidRPr="001D7FA9">
        <w:rPr>
          <w:rStyle w:val="TextoNormalNegritaCaracter"/>
        </w:rPr>
        <w:t>§ 53.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3216A66" w14:textId="43FBBF7E" w:rsidR="001D7FA9" w:rsidRDefault="001D7FA9" w:rsidP="001D7FA9">
      <w:pPr>
        <w:pStyle w:val="SangriaFrancesaArticulo"/>
      </w:pPr>
    </w:p>
    <w:p w14:paraId="51787AFC" w14:textId="77777777" w:rsidR="001D7FA9" w:rsidRDefault="001D7FA9" w:rsidP="001D7FA9">
      <w:pPr>
        <w:pStyle w:val="TextoNormalNegritaCursivandice"/>
        <w:keepNext/>
      </w:pPr>
      <w:r>
        <w:t>Sentencia del Tribunal de Justicia de la Unión Europea de 21 de diciembre de 2021 (Euro Box Promotion y otros, asuntos acumulados C-357/19, C-379/19, C-547/19, C-811/19 y C-840/19)</w:t>
      </w:r>
    </w:p>
    <w:p w14:paraId="3417F2E5" w14:textId="74E43445"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5" w:history="1">
        <w:r w:rsidRPr="001D7FA9">
          <w:rPr>
            <w:rStyle w:val="TextoNormalCaracter"/>
          </w:rPr>
          <w:t>65/2025</w:t>
        </w:r>
      </w:hyperlink>
      <w:r>
        <w:t>, VP.</w:t>
      </w:r>
    </w:p>
    <w:p w14:paraId="723F5A90" w14:textId="03822D7E" w:rsidR="001D7FA9" w:rsidRDefault="001D7FA9" w:rsidP="001D7FA9">
      <w:pPr>
        <w:pStyle w:val="SangriaFrancesaArticulo"/>
      </w:pPr>
    </w:p>
    <w:p w14:paraId="1DA7493B" w14:textId="77777777" w:rsidR="001D7FA9" w:rsidRDefault="001D7FA9" w:rsidP="001D7FA9">
      <w:pPr>
        <w:pStyle w:val="TextoNormalNegritaCursivandice"/>
        <w:keepNext/>
      </w:pPr>
      <w:r>
        <w:t>Sentencia del Tribunal de Justicia de la Unión Europea de 16 de febrero de 2022 (Hungría c. Parlamento Europeo y Consejo de la Unión Europea, asunto C-156/21)</w:t>
      </w:r>
    </w:p>
    <w:p w14:paraId="7A38C6FB" w14:textId="0435BD3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F39724E" w14:textId="2BAA88E3" w:rsidR="001D7FA9" w:rsidRDefault="001D7FA9" w:rsidP="001D7FA9">
      <w:pPr>
        <w:pStyle w:val="SangriaFrancesaArticulo"/>
      </w:pPr>
      <w:r w:rsidRPr="001D7FA9">
        <w:rPr>
          <w:rStyle w:val="TextoNormalNegritaCaracter"/>
        </w:rPr>
        <w:t>§ 232.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18E3FAD" w14:textId="4AFA7137"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1F1A5F3A" w14:textId="69131E08" w:rsidR="001D7FA9" w:rsidRDefault="001D7FA9" w:rsidP="001D7FA9">
      <w:pPr>
        <w:pStyle w:val="SangriaFrancesaArticulo"/>
      </w:pPr>
      <w:r w:rsidRPr="001D7FA9">
        <w:rPr>
          <w:rStyle w:val="TextoNormalNegritaCaracter"/>
        </w:rPr>
        <w:t>§ 240.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52D0B06" w14:textId="4C0CB8CD" w:rsidR="001D7FA9" w:rsidRDefault="001D7FA9" w:rsidP="001D7FA9">
      <w:pPr>
        <w:pStyle w:val="SangriaFrancesaArticulo"/>
      </w:pPr>
    </w:p>
    <w:p w14:paraId="684EE4E3" w14:textId="77777777" w:rsidR="001D7FA9" w:rsidRDefault="001D7FA9" w:rsidP="001D7FA9">
      <w:pPr>
        <w:pStyle w:val="TextoNormalNegritaCursivandice"/>
        <w:keepNext/>
      </w:pPr>
      <w:r>
        <w:t>Sentencia del Tribunal de Justicia de la Unión Europea de 16 de febrero de 2022 (Polonia apoyada por Hungría c. Parlamento Europeo y Consejo de la Unión Europea, asunto C-157/21)</w:t>
      </w:r>
    </w:p>
    <w:p w14:paraId="4B4046C6" w14:textId="024A114E" w:rsidR="001D7FA9" w:rsidRDefault="001D7FA9" w:rsidP="001D7FA9">
      <w:pPr>
        <w:pStyle w:val="SangriaFrancesaArticulo"/>
      </w:pPr>
      <w:r w:rsidRPr="001D7FA9">
        <w:rPr>
          <w:rStyle w:val="TextoNormalNegritaCaracter"/>
        </w:rPr>
        <w:t>§ 150.</w:t>
      </w:r>
      <w:r w:rsidRPr="001D7FA9">
        <w:rPr>
          <w:rStyle w:val="TextoNormalCaracter"/>
        </w:rPr>
        <w:t>-</w:t>
      </w:r>
      <w:r>
        <w:t xml:space="preserve"> Sentencia </w:t>
      </w:r>
      <w:hyperlink w:anchor="SENTENCIA_2025_137" w:history="1">
        <w:r w:rsidRPr="001D7FA9">
          <w:rPr>
            <w:rStyle w:val="TextoNormalCaracter"/>
          </w:rPr>
          <w:t>137/2025</w:t>
        </w:r>
      </w:hyperlink>
      <w:r>
        <w:t>, f. 11.</w:t>
      </w:r>
    </w:p>
    <w:p w14:paraId="36FCD79C" w14:textId="25E7ECF7" w:rsidR="001D7FA9" w:rsidRDefault="001D7FA9" w:rsidP="001D7FA9">
      <w:pPr>
        <w:pStyle w:val="SangriaFrancesaArticulo"/>
      </w:pPr>
      <w:r w:rsidRPr="001D7FA9">
        <w:rPr>
          <w:rStyle w:val="TextoNormalNegritaCaracter"/>
        </w:rPr>
        <w:t>§ 171.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5BA96AE" w14:textId="491B44F8" w:rsidR="001D7FA9" w:rsidRDefault="001D7FA9" w:rsidP="001D7FA9">
      <w:pPr>
        <w:pStyle w:val="SangriaFrancesaArticulo"/>
      </w:pPr>
      <w:r w:rsidRPr="001D7FA9">
        <w:rPr>
          <w:rStyle w:val="TextoNormalNegritaCaracter"/>
        </w:rPr>
        <w:t>§ 192.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750F7D7" w14:textId="276CA1E9" w:rsidR="001D7FA9" w:rsidRDefault="001D7FA9" w:rsidP="001D7FA9">
      <w:pPr>
        <w:pStyle w:val="SangriaFrancesaArticulo"/>
      </w:pPr>
      <w:r w:rsidRPr="001D7FA9">
        <w:rPr>
          <w:rStyle w:val="TextoNormalNegritaCaracter"/>
        </w:rPr>
        <w:t>§ 223.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BE4E166" w14:textId="6D36AEAB" w:rsidR="001D7FA9" w:rsidRDefault="001D7FA9" w:rsidP="001D7FA9">
      <w:pPr>
        <w:pStyle w:val="SangriaFrancesaArticulo"/>
      </w:pPr>
      <w:r w:rsidRPr="001D7FA9">
        <w:rPr>
          <w:rStyle w:val="TextoNormalNegritaCaracter"/>
        </w:rPr>
        <w:t>§ 264 a 266.</w:t>
      </w:r>
      <w:r w:rsidRPr="001D7FA9">
        <w:rPr>
          <w:rStyle w:val="TextoNormalCaracter"/>
        </w:rPr>
        <w:t>-</w:t>
      </w:r>
      <w:r>
        <w:t xml:space="preserve"> Auto </w:t>
      </w:r>
      <w:hyperlink w:anchor="AUTO_2025_65" w:history="1">
        <w:r w:rsidRPr="001D7FA9">
          <w:rPr>
            <w:rStyle w:val="TextoNormalCaracter"/>
          </w:rPr>
          <w:t>65/2025</w:t>
        </w:r>
      </w:hyperlink>
      <w:r>
        <w:t>, VP.</w:t>
      </w:r>
    </w:p>
    <w:p w14:paraId="1756FE44" w14:textId="07390496" w:rsidR="001D7FA9" w:rsidRDefault="001D7FA9" w:rsidP="001D7FA9">
      <w:pPr>
        <w:pStyle w:val="SangriaFrancesaArticulo"/>
      </w:pPr>
      <w:r w:rsidRPr="001D7FA9">
        <w:rPr>
          <w:rStyle w:val="TextoNormalNegritaCaracter"/>
        </w:rPr>
        <w:t>§ 264.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3CC24D7" w14:textId="18158662" w:rsidR="001D7FA9" w:rsidRDefault="001D7FA9" w:rsidP="001D7FA9">
      <w:pPr>
        <w:pStyle w:val="SangriaFrancesaArticulo"/>
      </w:pPr>
      <w:r w:rsidRPr="001D7FA9">
        <w:rPr>
          <w:rStyle w:val="TextoNormalNegritaCaracter"/>
        </w:rPr>
        <w:t>§ 264 a 266.</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CA25BED" w14:textId="028EE8E8" w:rsidR="001D7FA9" w:rsidRDefault="001D7FA9" w:rsidP="001D7FA9">
      <w:pPr>
        <w:pStyle w:val="SangriaFrancesaArticulo"/>
      </w:pPr>
      <w:r w:rsidRPr="001D7FA9">
        <w:rPr>
          <w:rStyle w:val="TextoNormalNegritaCaracter"/>
        </w:rPr>
        <w:t>§ 289.</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32724041" w14:textId="104B6D4E" w:rsidR="001D7FA9" w:rsidRDefault="001D7FA9" w:rsidP="001D7FA9">
      <w:pPr>
        <w:pStyle w:val="SangriaFrancesaArticulo"/>
      </w:pPr>
      <w:r w:rsidRPr="001D7FA9">
        <w:rPr>
          <w:rStyle w:val="TextoNormalNegritaCaracter"/>
        </w:rPr>
        <w:t>§ 291.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226BC8B4" w14:textId="1BFF7683" w:rsidR="001D7FA9" w:rsidRDefault="001D7FA9" w:rsidP="001D7FA9">
      <w:pPr>
        <w:pStyle w:val="SangriaFrancesaArticulo"/>
      </w:pPr>
    </w:p>
    <w:p w14:paraId="49349E11" w14:textId="77777777" w:rsidR="001D7FA9" w:rsidRDefault="001D7FA9" w:rsidP="001D7FA9">
      <w:pPr>
        <w:pStyle w:val="TextoNormalNegritaCursivandice"/>
        <w:keepNext/>
      </w:pPr>
      <w:r>
        <w:t>Sentencia del Tribunal de Justicia de la Unión Europea de 22 de febrero de 2022 (R.S., asunto C-430/21)</w:t>
      </w:r>
    </w:p>
    <w:p w14:paraId="2C9F7C7D" w14:textId="6145925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1356AD7D" w14:textId="528CCAA9" w:rsidR="001D7FA9" w:rsidRDefault="001D7FA9" w:rsidP="001D7FA9">
      <w:pPr>
        <w:pStyle w:val="SangriaFrancesaArticulo"/>
      </w:pPr>
      <w:r w:rsidRPr="001D7FA9">
        <w:rPr>
          <w:rStyle w:val="TextoNormalNegritaCaracter"/>
        </w:rPr>
        <w:t>§ 38.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AC1AB46" w14:textId="1546C34C" w:rsidR="001D7FA9" w:rsidRDefault="001D7FA9" w:rsidP="001D7FA9">
      <w:pPr>
        <w:pStyle w:val="SangriaFrancesaArticulo"/>
      </w:pPr>
      <w:r w:rsidRPr="001D7FA9">
        <w:rPr>
          <w:rStyle w:val="TextoNormalNegritaCaracter"/>
        </w:rPr>
        <w:t>§ 39.</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7E0F5AFC" w14:textId="72B158A1" w:rsidR="001D7FA9" w:rsidRDefault="001D7FA9" w:rsidP="001D7FA9">
      <w:pPr>
        <w:pStyle w:val="SangriaFrancesaArticulo"/>
      </w:pPr>
      <w:r w:rsidRPr="001D7FA9">
        <w:rPr>
          <w:rStyle w:val="TextoNormalNegritaCaracter"/>
        </w:rPr>
        <w:t>§ 51.</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8B153D3" w14:textId="714179B4" w:rsidR="001D7FA9" w:rsidRDefault="001D7FA9" w:rsidP="001D7FA9">
      <w:pPr>
        <w:pStyle w:val="SangriaFrancesaArticulo"/>
      </w:pPr>
      <w:r w:rsidRPr="001D7FA9">
        <w:rPr>
          <w:rStyle w:val="TextoNormalNegritaCaracter"/>
        </w:rPr>
        <w:t>§ 70.</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5AD4C47F" w14:textId="79B0A866"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56BC3FF" w14:textId="5CBD5E2D" w:rsidR="001D7FA9" w:rsidRDefault="001D7FA9" w:rsidP="001D7FA9">
      <w:pPr>
        <w:pStyle w:val="SangriaFrancesaArticulo"/>
      </w:pPr>
      <w:r w:rsidRPr="001D7FA9">
        <w:rPr>
          <w:rStyle w:val="TextoNormalNegritaCaracter"/>
        </w:rPr>
        <w:t>§ 71.</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3C2CAE4" w14:textId="731B9646" w:rsidR="001D7FA9" w:rsidRDefault="001D7FA9" w:rsidP="001D7FA9">
      <w:pPr>
        <w:pStyle w:val="SangriaFrancesaArticulo"/>
      </w:pPr>
      <w:r w:rsidRPr="001D7FA9">
        <w:rPr>
          <w:rStyle w:val="TextoNormalNegritaCaracter"/>
        </w:rPr>
        <w:t>§ 73.</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D130F60" w14:textId="7F41A0CD" w:rsidR="001D7FA9" w:rsidRDefault="001D7FA9" w:rsidP="001D7FA9">
      <w:pPr>
        <w:pStyle w:val="SangriaFrancesaArticulo"/>
      </w:pPr>
    </w:p>
    <w:p w14:paraId="6FD67D03" w14:textId="77777777" w:rsidR="001D7FA9" w:rsidRDefault="001D7FA9" w:rsidP="001D7FA9">
      <w:pPr>
        <w:pStyle w:val="TextoNormalNegritaCursivandice"/>
        <w:keepNext/>
      </w:pPr>
      <w:r>
        <w:t>Sentencia del Tribunal de Justicia de la Unión Europea de 24 de febrero de 2022 (VB c. Glavna direktisia Pozharna bezopasnost i zashtita na naselenieto kam Ministerstvo na vatreshnite raboti, asunto C-262/20)</w:t>
      </w:r>
    </w:p>
    <w:p w14:paraId="2ED41FC7" w14:textId="68A35B0F" w:rsidR="001D7FA9" w:rsidRDefault="001D7FA9" w:rsidP="001D7FA9">
      <w:pPr>
        <w:pStyle w:val="SangriaFrancesaArticulo"/>
      </w:pPr>
      <w:r w:rsidRPr="001D7FA9">
        <w:rPr>
          <w:rStyle w:val="TextoNormalNegritaCaracter"/>
        </w:rPr>
        <w:t>§ 78.</w:t>
      </w:r>
      <w:r w:rsidRPr="001D7FA9">
        <w:rPr>
          <w:rStyle w:val="TextoNormalCaracter"/>
        </w:rPr>
        <w:t>-</w:t>
      </w:r>
      <w:r>
        <w:t xml:space="preserve"> Sentencia </w:t>
      </w:r>
      <w:hyperlink w:anchor="SENTENCIA_2025_137" w:history="1">
        <w:r w:rsidRPr="001D7FA9">
          <w:rPr>
            <w:rStyle w:val="TextoNormalCaracter"/>
          </w:rPr>
          <w:t>137/2025</w:t>
        </w:r>
      </w:hyperlink>
      <w:r>
        <w:t>, VP I.</w:t>
      </w:r>
    </w:p>
    <w:p w14:paraId="5A761E4D" w14:textId="00754B3D" w:rsidR="001D7FA9" w:rsidRDefault="001D7FA9" w:rsidP="001D7FA9">
      <w:pPr>
        <w:pStyle w:val="SangriaFrancesaArticulo"/>
      </w:pPr>
    </w:p>
    <w:p w14:paraId="71EA272B" w14:textId="77777777" w:rsidR="001D7FA9" w:rsidRDefault="001D7FA9" w:rsidP="001D7FA9">
      <w:pPr>
        <w:pStyle w:val="TextoNormalNegritaCursivandice"/>
        <w:keepNext/>
      </w:pPr>
      <w:r>
        <w:t>Sentencia del Tribunal de Justicia de la Unión Europea de 7 de abril de 2022 (EL y TP c. Caixabank, S. A., asunto C-385/20)</w:t>
      </w:r>
    </w:p>
    <w:p w14:paraId="52318412" w14:textId="0D44A36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1" w:history="1">
        <w:r w:rsidRPr="001D7FA9">
          <w:rPr>
            <w:rStyle w:val="TextoNormalCaracter"/>
          </w:rPr>
          <w:t>121/2025</w:t>
        </w:r>
      </w:hyperlink>
      <w:r>
        <w:t>, f. 3.</w:t>
      </w:r>
    </w:p>
    <w:p w14:paraId="5956F0FC" w14:textId="2B218DA7" w:rsidR="001D7FA9" w:rsidRDefault="001D7FA9" w:rsidP="001D7FA9">
      <w:pPr>
        <w:pStyle w:val="SangriaFrancesaArticulo"/>
      </w:pPr>
      <w:r w:rsidRPr="001D7FA9">
        <w:rPr>
          <w:rStyle w:val="TextoNormalNegritaCaracter"/>
        </w:rPr>
        <w:t>§ 58.</w:t>
      </w:r>
      <w:r w:rsidRPr="001D7FA9">
        <w:rPr>
          <w:rStyle w:val="TextoNormalCaracter"/>
        </w:rPr>
        <w:t>-</w:t>
      </w:r>
      <w:r>
        <w:t xml:space="preserve"> Sentencia </w:t>
      </w:r>
      <w:hyperlink w:anchor="SENTENCIA_2025_121" w:history="1">
        <w:r w:rsidRPr="001D7FA9">
          <w:rPr>
            <w:rStyle w:val="TextoNormalCaracter"/>
          </w:rPr>
          <w:t>121/2025</w:t>
        </w:r>
      </w:hyperlink>
      <w:r>
        <w:t>, f. 3.</w:t>
      </w:r>
    </w:p>
    <w:p w14:paraId="77CC4515" w14:textId="50A491DD" w:rsidR="001D7FA9" w:rsidRDefault="001D7FA9" w:rsidP="001D7FA9">
      <w:pPr>
        <w:pStyle w:val="SangriaFrancesaArticulo"/>
      </w:pPr>
      <w:r w:rsidRPr="001D7FA9">
        <w:rPr>
          <w:rStyle w:val="TextoNormalNegritaCaracter"/>
        </w:rPr>
        <w:t>§ 67.</w:t>
      </w:r>
      <w:r w:rsidRPr="001D7FA9">
        <w:rPr>
          <w:rStyle w:val="TextoNormalCaracter"/>
        </w:rPr>
        <w:t>-</w:t>
      </w:r>
      <w:r>
        <w:t xml:space="preserve"> Sentencia </w:t>
      </w:r>
      <w:hyperlink w:anchor="SENTENCIA_2025_121" w:history="1">
        <w:r w:rsidRPr="001D7FA9">
          <w:rPr>
            <w:rStyle w:val="TextoNormalCaracter"/>
          </w:rPr>
          <w:t>121/2025</w:t>
        </w:r>
      </w:hyperlink>
      <w:r>
        <w:t>, f. 3.</w:t>
      </w:r>
    </w:p>
    <w:p w14:paraId="69C7B91A" w14:textId="2E150778" w:rsidR="001D7FA9" w:rsidRDefault="001D7FA9" w:rsidP="001D7FA9">
      <w:pPr>
        <w:pStyle w:val="SangriaFrancesaArticulo"/>
      </w:pPr>
    </w:p>
    <w:p w14:paraId="03B88AAE" w14:textId="77777777" w:rsidR="001D7FA9" w:rsidRDefault="001D7FA9" w:rsidP="001D7FA9">
      <w:pPr>
        <w:pStyle w:val="TextoNormalNegritaCursivandice"/>
        <w:keepNext/>
      </w:pPr>
      <w:r>
        <w:t>Sentencia del Tribunal de Justicia de la Unión Europea de 30 de junio de 2022 (RI c. Spetsializirana prokuratura, asunto C-105/21)</w:t>
      </w:r>
    </w:p>
    <w:p w14:paraId="6960D9B5" w14:textId="531B22E2" w:rsidR="001D7FA9" w:rsidRDefault="001D7FA9" w:rsidP="001D7FA9">
      <w:pPr>
        <w:pStyle w:val="SangriaFrancesaArticulo"/>
      </w:pPr>
      <w:r w:rsidRPr="001D7FA9">
        <w:rPr>
          <w:rStyle w:val="TextoNormalNegritaCaracter"/>
        </w:rPr>
        <w:t>§ 50.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B53037E" w14:textId="1AB9EA5E" w:rsidR="001D7FA9" w:rsidRDefault="001D7FA9" w:rsidP="001D7FA9">
      <w:pPr>
        <w:pStyle w:val="SangriaFrancesaArticulo"/>
      </w:pPr>
    </w:p>
    <w:p w14:paraId="33201289" w14:textId="77777777" w:rsidR="001D7FA9" w:rsidRDefault="001D7FA9" w:rsidP="001D7FA9">
      <w:pPr>
        <w:pStyle w:val="TextoNormalNegritaCursivandice"/>
        <w:keepNext/>
      </w:pPr>
      <w:r>
        <w:t>Sentencia del Tribunal de Justicia de la Unión Europea de 22 de diciembre de 2022 (Airbnb Ireland y Airbnb Payments UK, asunto C-83/21)</w:t>
      </w:r>
    </w:p>
    <w:p w14:paraId="3FA17790" w14:textId="27B5F7F4" w:rsidR="001D7FA9" w:rsidRDefault="001D7FA9" w:rsidP="001D7FA9">
      <w:pPr>
        <w:pStyle w:val="SangriaFrancesaArticulo"/>
      </w:pPr>
      <w:r w:rsidRPr="001D7FA9">
        <w:rPr>
          <w:rStyle w:val="TextoNormalNegritaCaracter"/>
        </w:rPr>
        <w:t>§ 79.</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B2265D6" w14:textId="61A986B3" w:rsidR="001D7FA9" w:rsidRDefault="001D7FA9" w:rsidP="001D7FA9">
      <w:pPr>
        <w:pStyle w:val="SangriaFrancesaArticulo"/>
      </w:pPr>
    </w:p>
    <w:p w14:paraId="04C1AE48" w14:textId="77777777" w:rsidR="001D7FA9" w:rsidRDefault="001D7FA9" w:rsidP="001D7FA9">
      <w:pPr>
        <w:pStyle w:val="TextoNormalNegritaCursivandice"/>
        <w:keepNext/>
      </w:pPr>
      <w:r>
        <w:t>Sentencia del Tribunal de Justicia de la Unión Europea de 31 de enero de 2023 (Puig Gordi y otros, asunto C-158/21)</w:t>
      </w:r>
    </w:p>
    <w:p w14:paraId="4894842A" w14:textId="19422003" w:rsidR="001D7FA9" w:rsidRDefault="001D7FA9" w:rsidP="001D7FA9">
      <w:pPr>
        <w:pStyle w:val="SangriaFrancesaArticulo"/>
      </w:pPr>
      <w:r w:rsidRPr="001D7FA9">
        <w:rPr>
          <w:rStyle w:val="TextoNormalNegritaCaracter"/>
        </w:rPr>
        <w:t>§ 75.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9560FF2" w14:textId="75AEA8F4" w:rsidR="001D7FA9" w:rsidRDefault="001D7FA9" w:rsidP="001D7FA9">
      <w:pPr>
        <w:pStyle w:val="SangriaFrancesaArticulo"/>
      </w:pPr>
    </w:p>
    <w:p w14:paraId="46B2DB59" w14:textId="77777777" w:rsidR="001D7FA9" w:rsidRDefault="001D7FA9" w:rsidP="001D7FA9">
      <w:pPr>
        <w:pStyle w:val="TextoNormalNegritaCursivandice"/>
        <w:keepNext/>
      </w:pPr>
      <w:r>
        <w:t>Sentencia del Tribunal de Justicia de la Unión Europea de 16 de febrero de 2023 (Rzecznik Praw Dziecka y otros, asunto C-638/22)</w:t>
      </w:r>
    </w:p>
    <w:p w14:paraId="1BD366DB" w14:textId="5D40CD3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54" w:history="1">
        <w:r w:rsidRPr="001D7FA9">
          <w:rPr>
            <w:rStyle w:val="TextoNormalCaracter"/>
          </w:rPr>
          <w:t>54/2025</w:t>
        </w:r>
      </w:hyperlink>
      <w:r>
        <w:t>, VP.</w:t>
      </w:r>
    </w:p>
    <w:p w14:paraId="49CB2D0B" w14:textId="128BE4C0" w:rsidR="001D7FA9" w:rsidRDefault="001D7FA9" w:rsidP="001D7FA9">
      <w:pPr>
        <w:pStyle w:val="SangriaFrancesaArticulo"/>
      </w:pPr>
    </w:p>
    <w:p w14:paraId="421219D8" w14:textId="77777777" w:rsidR="001D7FA9" w:rsidRDefault="001D7FA9" w:rsidP="001D7FA9">
      <w:pPr>
        <w:pStyle w:val="TextoNormalNegritaCursivandice"/>
        <w:keepNext/>
      </w:pPr>
      <w:r>
        <w:t>Sentencia del Tribunal de Justicia de la Unión Europea de 4 de mayo de 2023 (Bundesrepublik Deutschland, asunto C-60/22)</w:t>
      </w:r>
    </w:p>
    <w:p w14:paraId="1074457B" w14:textId="3162AAA6" w:rsidR="001D7FA9" w:rsidRDefault="001D7FA9" w:rsidP="001D7FA9">
      <w:pPr>
        <w:pStyle w:val="SangriaFrancesaArticulo"/>
      </w:pPr>
      <w:r w:rsidRPr="001D7FA9">
        <w:rPr>
          <w:rStyle w:val="TextoNormalNegritaCaracter"/>
        </w:rPr>
        <w:t>§ 41.</w:t>
      </w:r>
      <w:r w:rsidRPr="001D7FA9">
        <w:rPr>
          <w:rStyle w:val="TextoNormalCaracter"/>
        </w:rPr>
        <w:t>-</w:t>
      </w:r>
      <w:r>
        <w:t xml:space="preserve"> Auto </w:t>
      </w:r>
      <w:hyperlink w:anchor="AUTO_2025_65" w:history="1">
        <w:r w:rsidRPr="001D7FA9">
          <w:rPr>
            <w:rStyle w:val="TextoNormalCaracter"/>
          </w:rPr>
          <w:t>65/2025</w:t>
        </w:r>
      </w:hyperlink>
      <w:r>
        <w:t>, VP.</w:t>
      </w:r>
    </w:p>
    <w:p w14:paraId="11CEC06A" w14:textId="43B84D24" w:rsidR="001D7FA9" w:rsidRDefault="001D7FA9" w:rsidP="001D7FA9">
      <w:pPr>
        <w:pStyle w:val="SangriaFrancesaArticulo"/>
      </w:pPr>
    </w:p>
    <w:p w14:paraId="0DC7F80B" w14:textId="77777777" w:rsidR="001D7FA9" w:rsidRDefault="001D7FA9" w:rsidP="001D7FA9">
      <w:pPr>
        <w:pStyle w:val="TextoNormalNegritaCursivandice"/>
        <w:keepNext/>
      </w:pPr>
      <w:r>
        <w:t>Sentencia del Tribunal de Justicia de la Unión Europea de 17 de mayo de 2023 (BK y ZhP, asunto C-176/22)</w:t>
      </w:r>
    </w:p>
    <w:p w14:paraId="1751D0DD" w14:textId="42D7E760" w:rsidR="001D7FA9" w:rsidRDefault="001D7FA9" w:rsidP="001D7FA9">
      <w:pPr>
        <w:pStyle w:val="SangriaFrancesaArticulo"/>
      </w:pPr>
      <w:r w:rsidRPr="001D7FA9">
        <w:rPr>
          <w:rStyle w:val="TextoNormalNegritaCaracter"/>
        </w:rPr>
        <w:t>§ 32.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DDB72AA" w14:textId="36CAA612" w:rsidR="001D7FA9" w:rsidRDefault="001D7FA9" w:rsidP="001D7FA9">
      <w:pPr>
        <w:pStyle w:val="SangriaFrancesaArticulo"/>
      </w:pPr>
    </w:p>
    <w:p w14:paraId="3DFA610E" w14:textId="77777777" w:rsidR="001D7FA9" w:rsidRDefault="001D7FA9" w:rsidP="001D7FA9">
      <w:pPr>
        <w:pStyle w:val="TextoNormalNegritaCursivandice"/>
        <w:keepNext/>
      </w:pPr>
      <w:r>
        <w:t>Sentencia del Tribunal de Justicia de la Unión Europea de 5 de junio de 2023 (Comisión Europea c. República de Polonia, asunto C-204/21)</w:t>
      </w:r>
    </w:p>
    <w:p w14:paraId="447EE1D4" w14:textId="2D4871D0" w:rsidR="001D7FA9" w:rsidRDefault="001D7FA9" w:rsidP="001D7FA9">
      <w:pPr>
        <w:pStyle w:val="SangriaFrancesaArticulo"/>
      </w:pPr>
      <w:r w:rsidRPr="001D7FA9">
        <w:rPr>
          <w:rStyle w:val="TextoNormalNegritaCaracter"/>
        </w:rPr>
        <w:t>§ 72.</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161B26E" w14:textId="675522C1" w:rsidR="001D7FA9" w:rsidRDefault="001D7FA9" w:rsidP="001D7FA9">
      <w:pPr>
        <w:pStyle w:val="SangriaFrancesaArticulo"/>
      </w:pPr>
      <w:r w:rsidRPr="001D7FA9">
        <w:rPr>
          <w:rStyle w:val="TextoNormalNegritaCaracter"/>
        </w:rPr>
        <w:t>§ 73.</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57EF4EB" w14:textId="60A562C6"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07F7D505" w14:textId="49B3E5AD" w:rsidR="001D7FA9" w:rsidRDefault="001D7FA9" w:rsidP="001D7FA9">
      <w:pPr>
        <w:pStyle w:val="SangriaIzquierdaArticulo"/>
      </w:pPr>
    </w:p>
    <w:p w14:paraId="700ADDCB" w14:textId="77777777" w:rsidR="001D7FA9" w:rsidRDefault="001D7FA9" w:rsidP="001D7FA9">
      <w:pPr>
        <w:pStyle w:val="TextoNormalNegritaCursivandice"/>
        <w:keepNext/>
      </w:pPr>
      <w:r>
        <w:t>Sentencia del Tribunal de Justicia de la Unión Europea de 6 de junio de 2023 (O.G., asunto C-700/21)</w:t>
      </w:r>
    </w:p>
    <w:p w14:paraId="3A9F6E69" w14:textId="7D606317" w:rsidR="001D7FA9" w:rsidRDefault="001D7FA9" w:rsidP="001D7FA9">
      <w:pPr>
        <w:pStyle w:val="SangriaFrancesaArticulo"/>
      </w:pPr>
      <w:r w:rsidRPr="001D7FA9">
        <w:rPr>
          <w:rStyle w:val="TextoNormalNegritaCaracter"/>
        </w:rPr>
        <w:t>§ 38.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4342979" w14:textId="2DCDB4B0" w:rsidR="001D7FA9" w:rsidRDefault="001D7FA9" w:rsidP="001D7FA9">
      <w:pPr>
        <w:pStyle w:val="SangriaFrancesaArticulo"/>
      </w:pPr>
      <w:r w:rsidRPr="001D7FA9">
        <w:rPr>
          <w:rStyle w:val="TextoNormalNegritaCaracter"/>
        </w:rPr>
        <w:t>§ 39.</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2A32597" w14:textId="23C138F9" w:rsidR="001D7FA9" w:rsidRDefault="001D7FA9" w:rsidP="001D7FA9">
      <w:pPr>
        <w:pStyle w:val="SangriaFrancesaArticulo"/>
      </w:pPr>
      <w:r w:rsidRPr="001D7FA9">
        <w:rPr>
          <w:rStyle w:val="TextoNormalNegritaCaracter"/>
        </w:rPr>
        <w:t>§ 40.</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68752D6C" w14:textId="725C8690" w:rsidR="001D7FA9" w:rsidRDefault="001D7FA9" w:rsidP="001D7FA9">
      <w:pPr>
        <w:pStyle w:val="SangriaFrancesaArticulo"/>
      </w:pPr>
    </w:p>
    <w:p w14:paraId="0BEC3AE1" w14:textId="77777777" w:rsidR="001D7FA9" w:rsidRDefault="001D7FA9" w:rsidP="001D7FA9">
      <w:pPr>
        <w:pStyle w:val="TextoNormalNegritaCursivandice"/>
        <w:keepNext/>
      </w:pPr>
      <w:r>
        <w:t>Sentencia del Tribunal General de la Unión Europea de 5 de julio de 2023 (Puigdemont i Casamajó y otros c. el Parlamento Europeo, asunto T-272/21 R)</w:t>
      </w:r>
    </w:p>
    <w:p w14:paraId="63ED9599" w14:textId="15B72BC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2" w:history="1">
        <w:r w:rsidRPr="001D7FA9">
          <w:rPr>
            <w:rStyle w:val="TextoNormalCaracter"/>
          </w:rPr>
          <w:t>132/2025</w:t>
        </w:r>
      </w:hyperlink>
      <w:r>
        <w:t>, f. 2.</w:t>
      </w:r>
    </w:p>
    <w:p w14:paraId="685EB5CE" w14:textId="147191A8" w:rsidR="001D7FA9" w:rsidRDefault="001D7FA9" w:rsidP="001D7FA9">
      <w:pPr>
        <w:pStyle w:val="SangriaFrancesaArticulo"/>
      </w:pPr>
    </w:p>
    <w:p w14:paraId="0E1FD21A" w14:textId="77777777" w:rsidR="001D7FA9" w:rsidRDefault="001D7FA9" w:rsidP="001D7FA9">
      <w:pPr>
        <w:pStyle w:val="TextoNormalNegritaCursivandice"/>
        <w:keepNext/>
      </w:pPr>
      <w:r>
        <w:t>Sentencia del Tribunal de Justicia de la Unión Europea de 24 de julio de 2023 (Lin, asunto C-107/23)</w:t>
      </w:r>
    </w:p>
    <w:p w14:paraId="13DE99F4" w14:textId="38AACE94"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65" w:history="1">
        <w:r w:rsidRPr="001D7FA9">
          <w:rPr>
            <w:rStyle w:val="TextoNormalCaracter"/>
          </w:rPr>
          <w:t>65/2025</w:t>
        </w:r>
      </w:hyperlink>
      <w:r>
        <w:t>, VP.</w:t>
      </w:r>
    </w:p>
    <w:p w14:paraId="28A1A2CD" w14:textId="51027925" w:rsidR="001D7FA9" w:rsidRDefault="001D7FA9" w:rsidP="001D7FA9">
      <w:pPr>
        <w:pStyle w:val="SangriaFrancesaArticulo"/>
      </w:pPr>
      <w:r w:rsidRPr="001D7FA9">
        <w:rPr>
          <w:rStyle w:val="TextoNormalNegritaCaracter"/>
        </w:rPr>
        <w:t>§ 114.</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720E2C84" w14:textId="24CEB279" w:rsidR="001D7FA9" w:rsidRDefault="001D7FA9" w:rsidP="001D7FA9">
      <w:pPr>
        <w:pStyle w:val="SangriaFrancesaArticulo"/>
      </w:pPr>
    </w:p>
    <w:p w14:paraId="6C13185A" w14:textId="77777777" w:rsidR="001D7FA9" w:rsidRDefault="001D7FA9" w:rsidP="001D7FA9">
      <w:pPr>
        <w:pStyle w:val="TextoNormalNegritaCursivandice"/>
        <w:keepNext/>
      </w:pPr>
      <w:r>
        <w:t>Sentencia del Tribunal de Justicia de la Unión Europea de 14 de septiembre de 2023 (KT c. Sofiyska gradska prokuratura y otros, asunto C-71/21)</w:t>
      </w:r>
    </w:p>
    <w:p w14:paraId="5C810A36" w14:textId="2283ED5F" w:rsidR="001D7FA9" w:rsidRDefault="001D7FA9" w:rsidP="001D7FA9">
      <w:pPr>
        <w:pStyle w:val="SangriaFrancesaArticulo"/>
      </w:pPr>
      <w:r w:rsidRPr="001D7FA9">
        <w:rPr>
          <w:rStyle w:val="TextoNormalNegritaCaracter"/>
        </w:rPr>
        <w:t>§ 35.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6E0FB7E" w14:textId="415DD708" w:rsidR="001D7FA9" w:rsidRDefault="001D7FA9" w:rsidP="001D7FA9">
      <w:pPr>
        <w:pStyle w:val="SangriaFrancesaArticulo"/>
      </w:pPr>
      <w:r w:rsidRPr="001D7FA9">
        <w:rPr>
          <w:rStyle w:val="TextoNormalNegritaCaracter"/>
        </w:rPr>
        <w:t>§ 53.</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469EDC99" w14:textId="5781BA9D" w:rsidR="001D7FA9" w:rsidRDefault="001D7FA9" w:rsidP="001D7FA9">
      <w:pPr>
        <w:pStyle w:val="SangriaFrancesaArticulo"/>
      </w:pPr>
    </w:p>
    <w:p w14:paraId="6322854F" w14:textId="77777777" w:rsidR="001D7FA9" w:rsidRDefault="001D7FA9" w:rsidP="001D7FA9">
      <w:pPr>
        <w:pStyle w:val="TextoNormalNegritaCursivandice"/>
        <w:keepNext/>
      </w:pPr>
      <w:r>
        <w:t>Sentencia del Tribunal de Justicia de la Unión Europea de 21 de septiembre de 2023 (Juan, asunto C-164/22)</w:t>
      </w:r>
    </w:p>
    <w:p w14:paraId="55A3E606" w14:textId="3A020279" w:rsidR="001D7FA9" w:rsidRDefault="001D7FA9" w:rsidP="001D7FA9">
      <w:pPr>
        <w:pStyle w:val="SangriaFrancesaArticulo"/>
      </w:pPr>
      <w:r w:rsidRPr="001D7FA9">
        <w:rPr>
          <w:rStyle w:val="TextoNormalNegritaCaracter"/>
        </w:rPr>
        <w:t>§ 27.</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F19A80B" w14:textId="0650679F" w:rsidR="001D7FA9" w:rsidRDefault="001D7FA9" w:rsidP="001D7FA9">
      <w:pPr>
        <w:pStyle w:val="SangriaFrancesaArticulo"/>
      </w:pPr>
    </w:p>
    <w:p w14:paraId="595A1942" w14:textId="77777777" w:rsidR="001D7FA9" w:rsidRDefault="001D7FA9" w:rsidP="001D7FA9">
      <w:pPr>
        <w:pStyle w:val="TextoNormalNegritaCursivandice"/>
        <w:keepNext/>
      </w:pPr>
      <w:r>
        <w:t>Auto del Tribunal de Justicia de la Unión Europea de 16 de noviembre de 2023 (PY, asunto C-636/22)</w:t>
      </w:r>
    </w:p>
    <w:p w14:paraId="4216D963" w14:textId="5418AAB6" w:rsidR="001D7FA9" w:rsidRDefault="001D7FA9" w:rsidP="001D7FA9">
      <w:pPr>
        <w:pStyle w:val="SangriaFrancesaArticulo"/>
      </w:pPr>
      <w:r w:rsidRPr="001D7FA9">
        <w:rPr>
          <w:rStyle w:val="TextoNormalNegritaCaracter"/>
        </w:rPr>
        <w:t>§ 25.</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28C8C9E8" w14:textId="39F689F2" w:rsidR="001D7FA9" w:rsidRDefault="001D7FA9" w:rsidP="001D7FA9">
      <w:pPr>
        <w:pStyle w:val="SangriaFrancesaArticulo"/>
      </w:pPr>
    </w:p>
    <w:p w14:paraId="6331916D" w14:textId="77777777" w:rsidR="001D7FA9" w:rsidRDefault="001D7FA9" w:rsidP="001D7FA9">
      <w:pPr>
        <w:pStyle w:val="TextoNormalNegritaCursivandice"/>
        <w:keepNext/>
      </w:pPr>
      <w:r>
        <w:t>Sentencia del Tribunal de Justicia de la Unión Europea de 6 de junio de 2024 (AVVA y otros, asuntos acumulados C-255/23 y C-285/23)</w:t>
      </w:r>
    </w:p>
    <w:p w14:paraId="567F2471" w14:textId="4074CCEB" w:rsidR="001D7FA9" w:rsidRDefault="001D7FA9" w:rsidP="001D7FA9">
      <w:pPr>
        <w:pStyle w:val="SangriaFrancesaArticulo"/>
      </w:pPr>
      <w:r w:rsidRPr="001D7FA9">
        <w:rPr>
          <w:rStyle w:val="TextoNormalNegritaCaracter"/>
        </w:rPr>
        <w:t>§ 35 a 37.</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77B14C6B" w14:textId="67CD9FFA" w:rsidR="001D7FA9" w:rsidRDefault="001D7FA9" w:rsidP="001D7FA9">
      <w:pPr>
        <w:pStyle w:val="SangriaFrancesaArticulo"/>
      </w:pPr>
    </w:p>
    <w:p w14:paraId="43A60031" w14:textId="77777777" w:rsidR="001D7FA9" w:rsidRDefault="001D7FA9" w:rsidP="001D7FA9">
      <w:pPr>
        <w:pStyle w:val="TextoNormalNegritaCursivandice"/>
        <w:keepNext/>
      </w:pPr>
      <w:r>
        <w:t>Sentencia del Tribunal de Justicia de la Unión Europea de 15 de octubre de 2024 (Kubera, asunto C-144/23)</w:t>
      </w:r>
    </w:p>
    <w:p w14:paraId="3FC0039A" w14:textId="6B5016D8" w:rsidR="001D7FA9" w:rsidRDefault="001D7FA9" w:rsidP="001D7FA9">
      <w:pPr>
        <w:pStyle w:val="SangriaFrancesaArticulo"/>
        <w:keepNext/>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5BF87066" w14:textId="79E4465C"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5108107" w14:textId="4548E4CB" w:rsidR="001D7FA9" w:rsidRDefault="001D7FA9" w:rsidP="001D7FA9">
      <w:pPr>
        <w:pStyle w:val="SangriaFrancesaArticulo"/>
      </w:pPr>
      <w:r w:rsidRPr="001D7FA9">
        <w:rPr>
          <w:rStyle w:val="TextoNormalNegritaCaracter"/>
        </w:rPr>
        <w:t>§ 57.</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79FFA17" w14:textId="16B48351" w:rsidR="001D7FA9" w:rsidRDefault="001D7FA9" w:rsidP="001D7FA9">
      <w:pPr>
        <w:pStyle w:val="SangriaFrancesaArticulo"/>
      </w:pPr>
      <w:r w:rsidRPr="001D7FA9">
        <w:rPr>
          <w:rStyle w:val="TextoNormalNegritaCaracter"/>
        </w:rPr>
        <w:t>§ 58.</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087DFCE1" w14:textId="5DEB7A45" w:rsidR="001D7FA9" w:rsidRDefault="001D7FA9" w:rsidP="001D7FA9">
      <w:pPr>
        <w:pStyle w:val="SangriaFrancesaArticulo"/>
      </w:pPr>
      <w:r w:rsidRPr="001D7FA9">
        <w:rPr>
          <w:rStyle w:val="TextoNormalNegritaCaracter"/>
        </w:rPr>
        <w:t>§ 62.</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517FD8C9" w14:textId="4A39E248" w:rsidR="001D7FA9" w:rsidRDefault="001D7FA9" w:rsidP="001D7FA9">
      <w:pPr>
        <w:pStyle w:val="SangriaIzquierdaArticulo"/>
      </w:pPr>
      <w:r>
        <w:t xml:space="preserve">Auto </w:t>
      </w:r>
      <w:hyperlink w:anchor="AUTO_2025_65" w:history="1">
        <w:r w:rsidRPr="001D7FA9">
          <w:rPr>
            <w:rStyle w:val="TextoNormalCaracter"/>
          </w:rPr>
          <w:t>65/2025</w:t>
        </w:r>
      </w:hyperlink>
      <w:r>
        <w:t>, VP.</w:t>
      </w:r>
    </w:p>
    <w:p w14:paraId="2F355B00" w14:textId="251E2311" w:rsidR="001D7FA9" w:rsidRDefault="001D7FA9" w:rsidP="001D7FA9">
      <w:pPr>
        <w:pStyle w:val="SangriaFrancesaArticulo"/>
      </w:pPr>
      <w:r w:rsidRPr="001D7FA9">
        <w:rPr>
          <w:rStyle w:val="TextoNormalNegritaCaracter"/>
        </w:rPr>
        <w:t>§ 63.</w:t>
      </w:r>
      <w:r w:rsidRPr="001D7FA9">
        <w:rPr>
          <w:rStyle w:val="TextoNormalCaracter"/>
        </w:rPr>
        <w:t>-</w:t>
      </w:r>
      <w:r>
        <w:t xml:space="preserve"> Sentencia </w:t>
      </w:r>
      <w:hyperlink w:anchor="SENTENCIA_2025_137" w:history="1">
        <w:r w:rsidRPr="001D7FA9">
          <w:rPr>
            <w:rStyle w:val="TextoNormalCaracter"/>
          </w:rPr>
          <w:t>137/2025</w:t>
        </w:r>
      </w:hyperlink>
      <w:r>
        <w:t>, VP III, VP IV.</w:t>
      </w:r>
    </w:p>
    <w:p w14:paraId="7DAC55EE" w14:textId="18333E1D" w:rsidR="001D7FA9" w:rsidRDefault="001D7FA9" w:rsidP="001D7FA9">
      <w:pPr>
        <w:pStyle w:val="SangriaFrancesaArticulo"/>
      </w:pPr>
      <w:r w:rsidRPr="001D7FA9">
        <w:rPr>
          <w:rStyle w:val="TextoNormalNegritaCaracter"/>
        </w:rPr>
        <w:t>§ 64.</w:t>
      </w:r>
      <w:r w:rsidRPr="001D7FA9">
        <w:rPr>
          <w:rStyle w:val="TextoNormalCaracter"/>
        </w:rPr>
        <w:t>-</w:t>
      </w:r>
      <w:r>
        <w:t xml:space="preserve"> Sentencia </w:t>
      </w:r>
      <w:hyperlink w:anchor="SENTENCIA_2025_137" w:history="1">
        <w:r w:rsidRPr="001D7FA9">
          <w:rPr>
            <w:rStyle w:val="TextoNormalCaracter"/>
          </w:rPr>
          <w:t>137/2025</w:t>
        </w:r>
      </w:hyperlink>
      <w:r>
        <w:t>, VP III.</w:t>
      </w:r>
    </w:p>
    <w:p w14:paraId="3741D70B" w14:textId="73E39A88" w:rsidR="001D7FA9" w:rsidRDefault="001D7FA9" w:rsidP="001D7FA9">
      <w:pPr>
        <w:pStyle w:val="TextoNormal"/>
      </w:pPr>
    </w:p>
    <w:p w14:paraId="11C2CF57" w14:textId="77777777" w:rsidR="001D7FA9" w:rsidRDefault="001D7FA9" w:rsidP="001D7FA9">
      <w:pPr>
        <w:pStyle w:val="SangriaFrancesaArticulo"/>
      </w:pPr>
      <w:bookmarkStart w:id="228" w:name="INDICE22925"/>
    </w:p>
    <w:bookmarkEnd w:id="228"/>
    <w:p w14:paraId="40A03E74" w14:textId="77777777" w:rsidR="001D7FA9" w:rsidRDefault="001D7FA9" w:rsidP="001D7FA9">
      <w:pPr>
        <w:pStyle w:val="TextoIndiceNivel2"/>
        <w:suppressAutoHyphens/>
      </w:pPr>
      <w:r>
        <w:t>C) Tribunal Supremo</w:t>
      </w:r>
    </w:p>
    <w:p w14:paraId="6BAFA624" w14:textId="4C85B5E7" w:rsidR="001D7FA9" w:rsidRDefault="001D7FA9" w:rsidP="001D7FA9">
      <w:pPr>
        <w:pStyle w:val="TextoIndiceNivel2"/>
      </w:pPr>
    </w:p>
    <w:p w14:paraId="48893F14" w14:textId="77777777" w:rsidR="001D7FA9" w:rsidRDefault="001D7FA9" w:rsidP="001D7FA9">
      <w:pPr>
        <w:pStyle w:val="TextoNormalNegritaCursivandice"/>
        <w:keepNext/>
      </w:pPr>
      <w:r>
        <w:t>Sentencia de 25 de enero de 1995 de la Sala de lo Penal del Tribunal Supremo</w:t>
      </w:r>
    </w:p>
    <w:p w14:paraId="05EAD39E" w14:textId="6FB2B28F" w:rsidR="001D7FA9" w:rsidRDefault="001D7FA9" w:rsidP="001D7FA9">
      <w:pPr>
        <w:pStyle w:val="SangriaFrancesaArticulo"/>
      </w:pPr>
      <w:r>
        <w:t xml:space="preserve">Sentencia </w:t>
      </w:r>
      <w:hyperlink w:anchor="SENTENCIA_2025_105" w:history="1">
        <w:r w:rsidRPr="001D7FA9">
          <w:rPr>
            <w:rStyle w:val="TextoNormalCaracter"/>
          </w:rPr>
          <w:t>105/2025</w:t>
        </w:r>
      </w:hyperlink>
      <w:r>
        <w:t>, f. 3.</w:t>
      </w:r>
    </w:p>
    <w:p w14:paraId="144532DA" w14:textId="3DBC8FF1" w:rsidR="001D7FA9" w:rsidRDefault="001D7FA9" w:rsidP="001D7FA9">
      <w:pPr>
        <w:pStyle w:val="SangriaFrancesaArticulo"/>
      </w:pPr>
    </w:p>
    <w:p w14:paraId="7BB2C8C3" w14:textId="77777777" w:rsidR="001D7FA9" w:rsidRDefault="001D7FA9" w:rsidP="001D7FA9">
      <w:pPr>
        <w:pStyle w:val="TextoNormalNegritaCursivandice"/>
        <w:keepNext/>
      </w:pPr>
      <w:r>
        <w:t>Sentencia de 5 de mayo de 1995 de la Sala de lo Penal del Tribunal Supremo</w:t>
      </w:r>
    </w:p>
    <w:p w14:paraId="347C927C" w14:textId="6BE0E9E6" w:rsidR="001D7FA9" w:rsidRDefault="001D7FA9" w:rsidP="001D7FA9">
      <w:pPr>
        <w:pStyle w:val="SangriaFrancesaArticulo"/>
      </w:pPr>
      <w:r>
        <w:t xml:space="preserve">Sentencia </w:t>
      </w:r>
      <w:hyperlink w:anchor="SENTENCIA_2025_105" w:history="1">
        <w:r w:rsidRPr="001D7FA9">
          <w:rPr>
            <w:rStyle w:val="TextoNormalCaracter"/>
          </w:rPr>
          <w:t>105/2025</w:t>
        </w:r>
      </w:hyperlink>
      <w:r>
        <w:t>, f. 3.</w:t>
      </w:r>
    </w:p>
    <w:p w14:paraId="11FC3F18" w14:textId="150D2622" w:rsidR="001D7FA9" w:rsidRDefault="001D7FA9" w:rsidP="001D7FA9">
      <w:pPr>
        <w:pStyle w:val="SangriaFrancesaArticulo"/>
      </w:pPr>
    </w:p>
    <w:p w14:paraId="070D6AF5" w14:textId="77777777" w:rsidR="001D7FA9" w:rsidRDefault="001D7FA9" w:rsidP="001D7FA9">
      <w:pPr>
        <w:pStyle w:val="TextoNormalNegritaCursivandice"/>
        <w:keepNext/>
      </w:pPr>
      <w:r>
        <w:t>Acuerdo de 14 de noviembre de 2003, del Pleno no jurisdiccional de la Sala de lo Penal del Tribunal Supremo (¿El Servicio de Vigilancia Aduanera es Policía Judicial?)</w:t>
      </w:r>
    </w:p>
    <w:p w14:paraId="1EF49CF9" w14:textId="31976339" w:rsidR="001D7FA9" w:rsidRDefault="001D7FA9" w:rsidP="001D7FA9">
      <w:pPr>
        <w:pStyle w:val="SangriaFrancesaArticulo"/>
      </w:pPr>
      <w:r>
        <w:t xml:space="preserve">Auto </w:t>
      </w:r>
      <w:hyperlink w:anchor="AUTO_2025_8" w:history="1">
        <w:r w:rsidRPr="001D7FA9">
          <w:rPr>
            <w:rStyle w:val="TextoNormalCaracter"/>
          </w:rPr>
          <w:t>8/2025</w:t>
        </w:r>
      </w:hyperlink>
      <w:r>
        <w:t>, VP.</w:t>
      </w:r>
    </w:p>
    <w:p w14:paraId="5A174B27" w14:textId="4AAB0BE8" w:rsidR="001D7FA9" w:rsidRDefault="001D7FA9" w:rsidP="001D7FA9">
      <w:pPr>
        <w:pStyle w:val="SangriaFrancesaArticulo"/>
      </w:pPr>
    </w:p>
    <w:p w14:paraId="607228D7" w14:textId="77777777" w:rsidR="001D7FA9" w:rsidRDefault="001D7FA9" w:rsidP="001D7FA9">
      <w:pPr>
        <w:pStyle w:val="TextoNormalNegritaCursivandice"/>
        <w:keepNext/>
      </w:pPr>
      <w:r>
        <w:t>Sentencia de 22 de julio de 2004 de la Sala de lo Penal del Tribunal Supremo (ECLI:ES:TS:2004:5478)</w:t>
      </w:r>
    </w:p>
    <w:p w14:paraId="05504EFD" w14:textId="04292678" w:rsidR="001D7FA9" w:rsidRDefault="001D7FA9" w:rsidP="001D7FA9">
      <w:pPr>
        <w:pStyle w:val="SangriaFrancesaArticulo"/>
      </w:pPr>
      <w:r>
        <w:t xml:space="preserve">Auto </w:t>
      </w:r>
      <w:hyperlink w:anchor="AUTO_2025_8" w:history="1">
        <w:r w:rsidRPr="001D7FA9">
          <w:rPr>
            <w:rStyle w:val="TextoNormalCaracter"/>
          </w:rPr>
          <w:t>8/2025</w:t>
        </w:r>
      </w:hyperlink>
      <w:r>
        <w:t>, VP.</w:t>
      </w:r>
    </w:p>
    <w:p w14:paraId="061CD51F" w14:textId="1B28BFBC" w:rsidR="001D7FA9" w:rsidRDefault="001D7FA9" w:rsidP="001D7FA9">
      <w:pPr>
        <w:pStyle w:val="SangriaFrancesaArticulo"/>
      </w:pPr>
    </w:p>
    <w:p w14:paraId="00A618F4" w14:textId="77777777" w:rsidR="001D7FA9" w:rsidRDefault="001D7FA9" w:rsidP="001D7FA9">
      <w:pPr>
        <w:pStyle w:val="TextoNormalNegritaCursivandice"/>
        <w:keepNext/>
      </w:pPr>
      <w:r>
        <w:t>Sentencia de 25 de junio de 2012 de la Sala de lo Penal del Tribunal Supremo (ECLI:ES:TS:2012:4559)</w:t>
      </w:r>
    </w:p>
    <w:p w14:paraId="0D23642E" w14:textId="59292F5A" w:rsidR="001D7FA9" w:rsidRDefault="001D7FA9" w:rsidP="001D7FA9">
      <w:pPr>
        <w:pStyle w:val="SangriaFrancesaArticulo"/>
      </w:pPr>
      <w:r>
        <w:t xml:space="preserve">Sentencia </w:t>
      </w:r>
      <w:hyperlink w:anchor="SENTENCIA_2025_105" w:history="1">
        <w:r w:rsidRPr="001D7FA9">
          <w:rPr>
            <w:rStyle w:val="TextoNormalCaracter"/>
          </w:rPr>
          <w:t>105/2025</w:t>
        </w:r>
      </w:hyperlink>
      <w:r>
        <w:t>, f. 3.</w:t>
      </w:r>
    </w:p>
    <w:p w14:paraId="5864B328" w14:textId="2A39F972" w:rsidR="001D7FA9" w:rsidRDefault="001D7FA9" w:rsidP="001D7FA9">
      <w:pPr>
        <w:pStyle w:val="SangriaFrancesaArticulo"/>
      </w:pPr>
    </w:p>
    <w:p w14:paraId="41747F33" w14:textId="77777777" w:rsidR="001D7FA9" w:rsidRDefault="001D7FA9" w:rsidP="001D7FA9">
      <w:pPr>
        <w:pStyle w:val="TextoNormalNegritaCursivandice"/>
        <w:keepNext/>
      </w:pPr>
      <w:r>
        <w:t>Sentencia de 4 de julio de 2017, de la Sala de lo Civil del Tribunal Supremo (ECLI:ES:TS:2019:2761)</w:t>
      </w:r>
    </w:p>
    <w:p w14:paraId="381DE43E" w14:textId="70868B1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45" w:history="1">
        <w:r w:rsidRPr="001D7FA9">
          <w:rPr>
            <w:rStyle w:val="TextoNormalCaracter"/>
          </w:rPr>
          <w:t>45/2025</w:t>
        </w:r>
      </w:hyperlink>
      <w:r>
        <w:t>, ff. 1, 2.</w:t>
      </w:r>
    </w:p>
    <w:p w14:paraId="203EA738" w14:textId="376EF472" w:rsidR="001D7FA9" w:rsidRDefault="001D7FA9" w:rsidP="001D7FA9">
      <w:pPr>
        <w:pStyle w:val="SangriaFrancesaArticulo"/>
      </w:pPr>
      <w:r>
        <w:t xml:space="preserve">Sentencia </w:t>
      </w:r>
      <w:hyperlink w:anchor="SENTENCIA_2025_121" w:history="1">
        <w:r w:rsidRPr="001D7FA9">
          <w:rPr>
            <w:rStyle w:val="TextoNormalCaracter"/>
          </w:rPr>
          <w:t>121/2025</w:t>
        </w:r>
      </w:hyperlink>
      <w:r>
        <w:t>, ff. 2 a 4.</w:t>
      </w:r>
    </w:p>
    <w:p w14:paraId="3C6DA73A" w14:textId="55B51DA2" w:rsidR="001D7FA9" w:rsidRDefault="001D7FA9" w:rsidP="001D7FA9">
      <w:pPr>
        <w:pStyle w:val="SangriaFrancesaArticulo"/>
      </w:pPr>
    </w:p>
    <w:p w14:paraId="75EAA48E" w14:textId="77777777" w:rsidR="001D7FA9" w:rsidRDefault="001D7FA9" w:rsidP="001D7FA9">
      <w:pPr>
        <w:pStyle w:val="TextoNormalNegritaCursivandice"/>
        <w:keepNext/>
      </w:pPr>
      <w:r>
        <w:t>Sentencia de 31 de enero de 2018, dictada por la Sala de lo Contencioso-Administrativo del Tribunal Supremo (ECLI:ES:TS:2018:262)</w:t>
      </w:r>
    </w:p>
    <w:p w14:paraId="26396F37" w14:textId="2006F557" w:rsidR="001D7FA9" w:rsidRDefault="001D7FA9" w:rsidP="001D7FA9">
      <w:pPr>
        <w:pStyle w:val="SangriaFrancesaArticulo"/>
      </w:pPr>
      <w:r>
        <w:t xml:space="preserve">Sentencia </w:t>
      </w:r>
      <w:hyperlink w:anchor="SENTENCIA_2025_43" w:history="1">
        <w:r w:rsidRPr="001D7FA9">
          <w:rPr>
            <w:rStyle w:val="TextoNormalCaracter"/>
          </w:rPr>
          <w:t>43/2025</w:t>
        </w:r>
      </w:hyperlink>
      <w:r>
        <w:t>, f. 2.</w:t>
      </w:r>
    </w:p>
    <w:p w14:paraId="3A9FB8E2" w14:textId="1C849AF5" w:rsidR="001D7FA9" w:rsidRDefault="001D7FA9" w:rsidP="001D7FA9">
      <w:pPr>
        <w:pStyle w:val="SangriaFrancesaArticulo"/>
      </w:pPr>
    </w:p>
    <w:p w14:paraId="54ABDD69" w14:textId="77777777" w:rsidR="001D7FA9" w:rsidRDefault="001D7FA9" w:rsidP="001D7FA9">
      <w:pPr>
        <w:pStyle w:val="TextoNormalNegritaCursivandice"/>
        <w:keepNext/>
      </w:pPr>
      <w:r>
        <w:t>Sentencia de 28 de noviembre de 2018 de la Sala de lo Penal del Tribunal Supremo (ECLI:ES:TS:2018:4071)</w:t>
      </w:r>
    </w:p>
    <w:p w14:paraId="1649273A" w14:textId="6073690D" w:rsidR="001D7FA9" w:rsidRDefault="001D7FA9" w:rsidP="001D7FA9">
      <w:pPr>
        <w:pStyle w:val="SangriaFrancesaArticulo"/>
      </w:pPr>
      <w:r>
        <w:t xml:space="preserve">Sentencias </w:t>
      </w:r>
      <w:hyperlink w:anchor="SENTENCIA_2025_105" w:history="1">
        <w:r w:rsidRPr="001D7FA9">
          <w:rPr>
            <w:rStyle w:val="TextoNormalCaracter"/>
          </w:rPr>
          <w:t>105/2025</w:t>
        </w:r>
      </w:hyperlink>
      <w:r>
        <w:t xml:space="preserve">, ff. 2, 3, VP I, VP II, VP III; </w:t>
      </w:r>
      <w:hyperlink w:anchor="SENTENCIA_2025_110" w:history="1">
        <w:r w:rsidRPr="001D7FA9">
          <w:rPr>
            <w:rStyle w:val="TextoNormalCaracter"/>
          </w:rPr>
          <w:t>110/2025</w:t>
        </w:r>
      </w:hyperlink>
      <w:r>
        <w:t>, f. 2, VP I.</w:t>
      </w:r>
    </w:p>
    <w:p w14:paraId="73B7F09C" w14:textId="729697C4" w:rsidR="001D7FA9" w:rsidRDefault="001D7FA9" w:rsidP="001D7FA9">
      <w:pPr>
        <w:pStyle w:val="SangriaFrancesaArticulo"/>
      </w:pPr>
    </w:p>
    <w:p w14:paraId="0152F8D2" w14:textId="77777777" w:rsidR="001D7FA9" w:rsidRDefault="001D7FA9" w:rsidP="001D7FA9">
      <w:pPr>
        <w:pStyle w:val="TextoNormalNegritaCursivandice"/>
        <w:keepNext/>
      </w:pPr>
      <w:r>
        <w:t>Causa especial núm. 20907-2017 (derivada del denominado “procés” en Cataluña): Sentencia núm. 459/2019 de 14 de octubre de 2019, dictada por la Sala de lo Penal del Tribunal Supremo (ECLI:ES:TS:2019:2997)</w:t>
      </w:r>
    </w:p>
    <w:p w14:paraId="379D1551" w14:textId="21285378"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II, VP III.</w:t>
      </w:r>
    </w:p>
    <w:p w14:paraId="58E089E3" w14:textId="3916B7FC" w:rsidR="001D7FA9" w:rsidRDefault="001D7FA9" w:rsidP="001D7FA9">
      <w:pPr>
        <w:pStyle w:val="SangriaFrancesaArticulo"/>
      </w:pPr>
    </w:p>
    <w:p w14:paraId="42EDE454" w14:textId="77777777" w:rsidR="001D7FA9" w:rsidRDefault="001D7FA9" w:rsidP="001D7FA9">
      <w:pPr>
        <w:pStyle w:val="TextoNormalNegritaCursivandice"/>
        <w:keepNext/>
      </w:pPr>
      <w:r>
        <w:t>Sentencia 389/2020, de 10 de julio, de la Sala de lo Penal del Tribunal Supremo (ECLI:ES:TS:2020:2493)</w:t>
      </w:r>
    </w:p>
    <w:p w14:paraId="221C835A" w14:textId="6A535833" w:rsidR="001D7FA9" w:rsidRDefault="001D7FA9" w:rsidP="001D7FA9">
      <w:pPr>
        <w:pStyle w:val="SangriaFrancesaArticulo"/>
      </w:pPr>
      <w:r>
        <w:t xml:space="preserve">Sentencia </w:t>
      </w:r>
      <w:hyperlink w:anchor="SENTENCIA_2025_41" w:history="1">
        <w:r w:rsidRPr="001D7FA9">
          <w:rPr>
            <w:rStyle w:val="TextoNormalCaracter"/>
          </w:rPr>
          <w:t>41/2025</w:t>
        </w:r>
      </w:hyperlink>
      <w:r>
        <w:t>, f. 2, VP.</w:t>
      </w:r>
    </w:p>
    <w:p w14:paraId="06672DF7" w14:textId="3F5B06B1" w:rsidR="001D7FA9" w:rsidRDefault="001D7FA9" w:rsidP="001D7FA9">
      <w:pPr>
        <w:pStyle w:val="SangriaFrancesaArticulo"/>
      </w:pPr>
    </w:p>
    <w:p w14:paraId="2D86372C" w14:textId="77777777" w:rsidR="001D7FA9" w:rsidRDefault="001D7FA9" w:rsidP="001D7FA9">
      <w:pPr>
        <w:pStyle w:val="TextoNormalNegritaCursivandice"/>
        <w:keepNext/>
      </w:pPr>
      <w:r>
        <w:t>Sentencia de 17 de septiembre de 2020, de la Sala de lo Civil del Tribunal Supremo (ECLI:ES:TS:2020:2838)</w:t>
      </w:r>
    </w:p>
    <w:p w14:paraId="65599DCD" w14:textId="6F125037"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Sentencias </w:t>
      </w:r>
      <w:hyperlink w:anchor="SENTENCIA_2025_45" w:history="1">
        <w:r w:rsidRPr="001D7FA9">
          <w:rPr>
            <w:rStyle w:val="TextoNormalCaracter"/>
          </w:rPr>
          <w:t>45/2025</w:t>
        </w:r>
      </w:hyperlink>
      <w:r>
        <w:t xml:space="preserve">, ff. 1, 2; </w:t>
      </w:r>
      <w:hyperlink w:anchor="SENTENCIA_2025_121" w:history="1">
        <w:r w:rsidRPr="001D7FA9">
          <w:rPr>
            <w:rStyle w:val="TextoNormalCaracter"/>
          </w:rPr>
          <w:t>121/2025</w:t>
        </w:r>
      </w:hyperlink>
      <w:r>
        <w:t>, ff. 3, 4.</w:t>
      </w:r>
    </w:p>
    <w:p w14:paraId="2FE52482" w14:textId="04B66BFE" w:rsidR="001D7FA9" w:rsidRDefault="001D7FA9" w:rsidP="001D7FA9">
      <w:pPr>
        <w:pStyle w:val="SangriaFrancesaArticulo"/>
      </w:pPr>
    </w:p>
    <w:p w14:paraId="41F261A4" w14:textId="77777777" w:rsidR="001D7FA9" w:rsidRDefault="001D7FA9" w:rsidP="001D7FA9">
      <w:pPr>
        <w:pStyle w:val="TextoNormalNegritaCursivandice"/>
        <w:keepNext/>
      </w:pPr>
      <w:r>
        <w:t>Sentencia 2198/2023, de 22 de mayo, de la Sala de lo Civil del Tribunal Supremo (ECLI:ES:TS:2023:2198)</w:t>
      </w:r>
    </w:p>
    <w:p w14:paraId="1F2815D0" w14:textId="449B09DE"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00" w:history="1">
        <w:r w:rsidRPr="001D7FA9">
          <w:rPr>
            <w:rStyle w:val="TextoNormalCaracter"/>
          </w:rPr>
          <w:t>100/2025</w:t>
        </w:r>
      </w:hyperlink>
      <w:r>
        <w:t>, f. 1.</w:t>
      </w:r>
    </w:p>
    <w:p w14:paraId="1B0B7C5C" w14:textId="22AE98C9" w:rsidR="001D7FA9" w:rsidRDefault="001D7FA9" w:rsidP="001D7FA9">
      <w:pPr>
        <w:pStyle w:val="SangriaFrancesaArticulo"/>
      </w:pPr>
    </w:p>
    <w:p w14:paraId="219B35A7" w14:textId="77777777" w:rsidR="001D7FA9" w:rsidRDefault="001D7FA9" w:rsidP="001D7FA9">
      <w:pPr>
        <w:pStyle w:val="TextoNormalNegritaCursivandice"/>
        <w:keepNext/>
      </w:pPr>
      <w:r>
        <w:t>Sentencia de 8 de junio de 2023 de la Sala de lo Penal del Tribunal Supremo (ECLI:ES:TS:2023:2821)</w:t>
      </w:r>
    </w:p>
    <w:p w14:paraId="13469AD4" w14:textId="226DDE01" w:rsidR="001D7FA9" w:rsidRDefault="001D7FA9" w:rsidP="001D7FA9">
      <w:pPr>
        <w:pStyle w:val="SangriaFrancesaArticulo"/>
      </w:pPr>
      <w:r>
        <w:t xml:space="preserve">Sentencia </w:t>
      </w:r>
      <w:hyperlink w:anchor="SENTENCIA_2025_105" w:history="1">
        <w:r w:rsidRPr="001D7FA9">
          <w:rPr>
            <w:rStyle w:val="TextoNormalCaracter"/>
          </w:rPr>
          <w:t>105/2025</w:t>
        </w:r>
      </w:hyperlink>
      <w:r>
        <w:t>, f. 3.</w:t>
      </w:r>
    </w:p>
    <w:p w14:paraId="1AAA6F34" w14:textId="1778E06E" w:rsidR="001D7FA9" w:rsidRDefault="001D7FA9" w:rsidP="001D7FA9">
      <w:pPr>
        <w:pStyle w:val="SangriaFrancesaArticulo"/>
      </w:pPr>
    </w:p>
    <w:p w14:paraId="50AEA0AD" w14:textId="77777777" w:rsidR="001D7FA9" w:rsidRDefault="001D7FA9" w:rsidP="001D7FA9">
      <w:pPr>
        <w:pStyle w:val="TextoNormalNegritaCursivandice"/>
        <w:keepNext/>
      </w:pPr>
      <w:r>
        <w:t>Sentencia de 14 de junio de 2023 de la Sala de lo Penal del Tribunal Supremo (ECLI:ES:TS:2023:2820)</w:t>
      </w:r>
    </w:p>
    <w:p w14:paraId="5115C526" w14:textId="4517FBAC" w:rsidR="001D7FA9" w:rsidRDefault="001D7FA9" w:rsidP="001D7FA9">
      <w:pPr>
        <w:pStyle w:val="SangriaFrancesaArticulo"/>
      </w:pPr>
      <w:r>
        <w:t xml:space="preserve">Sentencia </w:t>
      </w:r>
      <w:hyperlink w:anchor="SENTENCIA_2025_105" w:history="1">
        <w:r w:rsidRPr="001D7FA9">
          <w:rPr>
            <w:rStyle w:val="TextoNormalCaracter"/>
          </w:rPr>
          <w:t>105/2025</w:t>
        </w:r>
      </w:hyperlink>
      <w:r>
        <w:t>, f. 3.</w:t>
      </w:r>
    </w:p>
    <w:p w14:paraId="5F4FBA6F" w14:textId="10B028B1" w:rsidR="001D7FA9" w:rsidRDefault="001D7FA9" w:rsidP="001D7FA9">
      <w:pPr>
        <w:pStyle w:val="SangriaFrancesaArticulo"/>
      </w:pPr>
    </w:p>
    <w:p w14:paraId="537A2BB7" w14:textId="77777777" w:rsidR="001D7FA9" w:rsidRDefault="001D7FA9" w:rsidP="001D7FA9">
      <w:pPr>
        <w:pStyle w:val="TextoNormalNegritaCursivandice"/>
        <w:keepNext/>
      </w:pPr>
      <w:r>
        <w:t>Sentencia de 15 de junio de 2023 de la Sala de lo Penal del Tribunal Supremo (ECLI:ES:TS:2023:2822)</w:t>
      </w:r>
    </w:p>
    <w:p w14:paraId="652CE726" w14:textId="44D0DC34" w:rsidR="001D7FA9" w:rsidRDefault="001D7FA9" w:rsidP="001D7FA9">
      <w:pPr>
        <w:pStyle w:val="SangriaFrancesaArticulo"/>
      </w:pPr>
      <w:r>
        <w:t xml:space="preserve">Sentencia </w:t>
      </w:r>
      <w:hyperlink w:anchor="SENTENCIA_2025_105" w:history="1">
        <w:r w:rsidRPr="001D7FA9">
          <w:rPr>
            <w:rStyle w:val="TextoNormalCaracter"/>
          </w:rPr>
          <w:t>105/2025</w:t>
        </w:r>
      </w:hyperlink>
      <w:r>
        <w:t>, f. 3.</w:t>
      </w:r>
    </w:p>
    <w:p w14:paraId="47B1E1F8" w14:textId="0E36BE3D" w:rsidR="001D7FA9" w:rsidRDefault="001D7FA9" w:rsidP="001D7FA9">
      <w:pPr>
        <w:pStyle w:val="SangriaFrancesaArticulo"/>
      </w:pPr>
    </w:p>
    <w:p w14:paraId="243B26DC" w14:textId="77777777" w:rsidR="001D7FA9" w:rsidRDefault="001D7FA9" w:rsidP="001D7FA9">
      <w:pPr>
        <w:pStyle w:val="TextoNormalNegritaCursivandice"/>
        <w:keepNext/>
      </w:pPr>
      <w:r>
        <w:t>Sentencia de 21 de septiembre de 2023 de la Sala de lo Penal del Tribunal Supremo (ECLI:ES:TS:2023:3731)</w:t>
      </w:r>
    </w:p>
    <w:p w14:paraId="1878EFE7" w14:textId="6DA981A6" w:rsidR="001D7FA9" w:rsidRDefault="001D7FA9" w:rsidP="001D7FA9">
      <w:pPr>
        <w:pStyle w:val="SangriaFrancesaArticulo"/>
      </w:pPr>
      <w:r>
        <w:t xml:space="preserve">Sentencia </w:t>
      </w:r>
      <w:hyperlink w:anchor="SENTENCIA_2025_105" w:history="1">
        <w:r w:rsidRPr="001D7FA9">
          <w:rPr>
            <w:rStyle w:val="TextoNormalCaracter"/>
          </w:rPr>
          <w:t>105/2025</w:t>
        </w:r>
      </w:hyperlink>
      <w:r>
        <w:t>, f. 3.</w:t>
      </w:r>
    </w:p>
    <w:p w14:paraId="3BA4F7EE" w14:textId="42C847D8" w:rsidR="001D7FA9" w:rsidRDefault="001D7FA9" w:rsidP="001D7FA9">
      <w:pPr>
        <w:pStyle w:val="SangriaFrancesaArticulo"/>
      </w:pPr>
    </w:p>
    <w:p w14:paraId="0634A7E6" w14:textId="77777777" w:rsidR="001D7FA9" w:rsidRDefault="001D7FA9" w:rsidP="001D7FA9">
      <w:pPr>
        <w:pStyle w:val="TextoNormalNegritaCursivandice"/>
        <w:keepNext/>
      </w:pPr>
      <w:r>
        <w:t>Sentencia 1273/2023, de 21 de diciembre, de la Sala de lo Social del Tribunal Supremo (ECLI:ES:TS:2023:5827)</w:t>
      </w:r>
    </w:p>
    <w:p w14:paraId="6BA5BDFA" w14:textId="016A2F0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36" w:history="1">
        <w:r w:rsidRPr="001D7FA9">
          <w:rPr>
            <w:rStyle w:val="TextoNormalCaracter"/>
          </w:rPr>
          <w:t>36/2025</w:t>
        </w:r>
      </w:hyperlink>
      <w:r>
        <w:t>, f. único (anula).</w:t>
      </w:r>
    </w:p>
    <w:p w14:paraId="51AAF44C" w14:textId="266AD623" w:rsidR="001D7FA9" w:rsidRDefault="001D7FA9" w:rsidP="001D7FA9">
      <w:pPr>
        <w:pStyle w:val="SangriaFrancesaArticulo"/>
      </w:pPr>
    </w:p>
    <w:p w14:paraId="29E8A7EB" w14:textId="77777777" w:rsidR="001D7FA9" w:rsidRDefault="001D7FA9" w:rsidP="001D7FA9">
      <w:pPr>
        <w:pStyle w:val="TextoNormalNegritaCursivandice"/>
        <w:keepNext/>
      </w:pPr>
      <w:r>
        <w:t>Sentencia de 8 de febrero de 2024 de la Sala de lo social del Tribunal Supremo (ECLI:ES:TS:2024:1102)</w:t>
      </w:r>
    </w:p>
    <w:p w14:paraId="038AB429" w14:textId="7815D6E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70" w:history="1">
        <w:r w:rsidRPr="001D7FA9">
          <w:rPr>
            <w:rStyle w:val="TextoNormalCaracter"/>
          </w:rPr>
          <w:t>70/2025</w:t>
        </w:r>
      </w:hyperlink>
      <w:r>
        <w:t>, f. 2 (anula).</w:t>
      </w:r>
    </w:p>
    <w:p w14:paraId="6001CC91" w14:textId="4011BCF4" w:rsidR="001D7FA9" w:rsidRDefault="001D7FA9" w:rsidP="001D7FA9">
      <w:pPr>
        <w:pStyle w:val="SangriaFrancesaArticulo"/>
      </w:pPr>
    </w:p>
    <w:p w14:paraId="5E77210A" w14:textId="77777777" w:rsidR="001D7FA9" w:rsidRDefault="001D7FA9" w:rsidP="001D7FA9">
      <w:pPr>
        <w:pStyle w:val="TextoNormalNegritaCursivandice"/>
        <w:keepNext/>
      </w:pPr>
      <w:r>
        <w:t>Sentencia de 21 de febrero de 2024, de la Sala de lo Social del Tribunal Supremo (ECLI:ES:TS:2024:1274)</w:t>
      </w:r>
    </w:p>
    <w:p w14:paraId="1252297F" w14:textId="105B2DF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0" w:history="1">
        <w:r w:rsidRPr="001D7FA9">
          <w:rPr>
            <w:rStyle w:val="TextoNormalCaracter"/>
          </w:rPr>
          <w:t>60/2025</w:t>
        </w:r>
      </w:hyperlink>
      <w:r>
        <w:t>, f. 2 (anula).</w:t>
      </w:r>
    </w:p>
    <w:p w14:paraId="51680F7C" w14:textId="2026FA04" w:rsidR="001D7FA9" w:rsidRDefault="001D7FA9" w:rsidP="001D7FA9">
      <w:pPr>
        <w:pStyle w:val="SangriaFrancesaArticulo"/>
      </w:pPr>
    </w:p>
    <w:p w14:paraId="196F4214" w14:textId="77777777" w:rsidR="001D7FA9" w:rsidRDefault="001D7FA9" w:rsidP="001D7FA9">
      <w:pPr>
        <w:pStyle w:val="TextoNormalNegritaCursivandice"/>
        <w:keepNext/>
      </w:pPr>
      <w:r>
        <w:t>Sentencia 695/2024, de 21 de mayo de 2024, de la Sala de lo Social del Tribunal Supremo (ECLI:ES:TS:2024:2909)</w:t>
      </w:r>
    </w:p>
    <w:p w14:paraId="25C9239C" w14:textId="7A33BE1C"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22" w:history="1">
        <w:r w:rsidRPr="001D7FA9">
          <w:rPr>
            <w:rStyle w:val="TextoNormalCaracter"/>
          </w:rPr>
          <w:t>122/2025</w:t>
        </w:r>
      </w:hyperlink>
      <w:r>
        <w:t>, f. único (anula).</w:t>
      </w:r>
    </w:p>
    <w:p w14:paraId="1DF08B9D" w14:textId="3028BC36" w:rsidR="001D7FA9" w:rsidRDefault="001D7FA9" w:rsidP="001D7FA9">
      <w:pPr>
        <w:pStyle w:val="SangriaFrancesaArticulo"/>
      </w:pPr>
    </w:p>
    <w:p w14:paraId="473B3AA2" w14:textId="77777777" w:rsidR="001D7FA9" w:rsidRDefault="001D7FA9" w:rsidP="001D7FA9">
      <w:pPr>
        <w:pStyle w:val="TextoNormalNegritaCursivandice"/>
        <w:keepNext/>
      </w:pPr>
      <w:r>
        <w:t>Sentencia 714/2024, de 22 de mayo, de la Sala de lo Social del Tribunal Supremo (ECLI:ES:TS:2024:2905)</w:t>
      </w:r>
    </w:p>
    <w:p w14:paraId="62E971AA" w14:textId="70992E9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2" w:history="1">
        <w:r w:rsidRPr="001D7FA9">
          <w:rPr>
            <w:rStyle w:val="TextoNormalCaracter"/>
          </w:rPr>
          <w:t>112/2025</w:t>
        </w:r>
      </w:hyperlink>
      <w:r>
        <w:t xml:space="preserve"> (anula).</w:t>
      </w:r>
    </w:p>
    <w:p w14:paraId="67BF2195" w14:textId="2A784485" w:rsidR="001D7FA9" w:rsidRDefault="001D7FA9" w:rsidP="001D7FA9">
      <w:pPr>
        <w:pStyle w:val="SangriaFrancesaArticulo"/>
      </w:pPr>
    </w:p>
    <w:p w14:paraId="4E2DB121" w14:textId="77777777" w:rsidR="001D7FA9" w:rsidRDefault="001D7FA9" w:rsidP="001D7FA9">
      <w:pPr>
        <w:pStyle w:val="TextoNormalNegritaCursivandice"/>
        <w:keepNext/>
      </w:pPr>
      <w:r>
        <w:t>Sentencia de 2 de julio de 2024 de la Sala de lo Penal del Tribunal Supremo (ECLI:ES:TS:2024:3653)</w:t>
      </w:r>
    </w:p>
    <w:p w14:paraId="39712A65" w14:textId="3CAD6935" w:rsidR="001D7FA9" w:rsidRDefault="001D7FA9" w:rsidP="001D7FA9">
      <w:pPr>
        <w:pStyle w:val="SangriaFrancesaArticulo"/>
      </w:pPr>
      <w:r>
        <w:t xml:space="preserve">Auto </w:t>
      </w:r>
      <w:hyperlink w:anchor="AUTO_2025_8" w:history="1">
        <w:r w:rsidRPr="001D7FA9">
          <w:rPr>
            <w:rStyle w:val="TextoNormalCaracter"/>
          </w:rPr>
          <w:t>8/2025</w:t>
        </w:r>
      </w:hyperlink>
      <w:r>
        <w:t>, VP.</w:t>
      </w:r>
    </w:p>
    <w:p w14:paraId="425AC2CA" w14:textId="2EEF9D45" w:rsidR="001D7FA9" w:rsidRDefault="001D7FA9" w:rsidP="001D7FA9">
      <w:pPr>
        <w:pStyle w:val="SangriaFrancesaArticulo"/>
      </w:pPr>
    </w:p>
    <w:p w14:paraId="38B6A0A9" w14:textId="77777777" w:rsidR="001D7FA9" w:rsidRDefault="001D7FA9" w:rsidP="001D7FA9">
      <w:pPr>
        <w:pStyle w:val="TextoNormalNegritaCursivandice"/>
        <w:keepNext/>
      </w:pPr>
      <w:r>
        <w:t>Auto de 18 de septiembre de 2024 de la Sala de lo social del Tribunal Supremo (ECLI:ES:TS:2024:11551A)</w:t>
      </w:r>
    </w:p>
    <w:p w14:paraId="7BFA1413" w14:textId="29C5A8AB"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16" w:history="1">
        <w:r w:rsidRPr="001D7FA9">
          <w:rPr>
            <w:rStyle w:val="TextoNormalCaracter"/>
          </w:rPr>
          <w:t>116/2025</w:t>
        </w:r>
      </w:hyperlink>
      <w:r>
        <w:t>, f. único (anula).</w:t>
      </w:r>
    </w:p>
    <w:p w14:paraId="5F61FA3E" w14:textId="4CC9FCF5" w:rsidR="001D7FA9" w:rsidRDefault="001D7FA9" w:rsidP="001D7FA9">
      <w:pPr>
        <w:pStyle w:val="SangriaFrancesaArticulo"/>
      </w:pPr>
    </w:p>
    <w:p w14:paraId="2F4E2E95" w14:textId="77777777" w:rsidR="001D7FA9" w:rsidRDefault="001D7FA9" w:rsidP="001D7FA9">
      <w:pPr>
        <w:pStyle w:val="TextoNormalNegritaCursivandice"/>
        <w:keepNext/>
      </w:pPr>
      <w:r>
        <w:t>Auto de 25 de septiembre de 2024 de la Sala de lo social del Tribunal Supremo (ECLI:ES:TS:2024:11570A)</w:t>
      </w:r>
    </w:p>
    <w:p w14:paraId="3C004132" w14:textId="3910EC8A"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61" w:history="1">
        <w:r w:rsidRPr="001D7FA9">
          <w:rPr>
            <w:rStyle w:val="TextoNormalCaracter"/>
          </w:rPr>
          <w:t>61/2025</w:t>
        </w:r>
      </w:hyperlink>
      <w:r>
        <w:t>, f. único (anula).</w:t>
      </w:r>
    </w:p>
    <w:p w14:paraId="5A8CFA78" w14:textId="6D71A628" w:rsidR="001D7FA9" w:rsidRDefault="001D7FA9" w:rsidP="001D7FA9">
      <w:pPr>
        <w:pStyle w:val="TextoNormal"/>
      </w:pPr>
    </w:p>
    <w:p w14:paraId="525F6893" w14:textId="77777777" w:rsidR="001D7FA9" w:rsidRDefault="001D7FA9" w:rsidP="001D7FA9">
      <w:pPr>
        <w:pStyle w:val="SangriaFrancesaArticulo"/>
      </w:pPr>
      <w:bookmarkStart w:id="229" w:name="INDICE22926"/>
    </w:p>
    <w:bookmarkEnd w:id="229"/>
    <w:p w14:paraId="08C10DFE" w14:textId="77777777" w:rsidR="001D7FA9" w:rsidRDefault="001D7FA9" w:rsidP="001D7FA9">
      <w:pPr>
        <w:pStyle w:val="TextoIndiceNivel2"/>
        <w:suppressAutoHyphens/>
      </w:pPr>
      <w:r>
        <w:t>D) Otros Tribunales</w:t>
      </w:r>
    </w:p>
    <w:p w14:paraId="6108328C" w14:textId="12880F56" w:rsidR="001D7FA9" w:rsidRDefault="001D7FA9" w:rsidP="001D7FA9">
      <w:pPr>
        <w:pStyle w:val="TextoIndiceNivel2"/>
      </w:pPr>
    </w:p>
    <w:p w14:paraId="7961E46C" w14:textId="77777777" w:rsidR="001D7FA9" w:rsidRDefault="001D7FA9" w:rsidP="001D7FA9">
      <w:pPr>
        <w:pStyle w:val="TextoNormalNegritaCursivandice"/>
        <w:keepNext/>
      </w:pPr>
      <w:r>
        <w:t>Auto de la Sala Primera del Tribunal Constitucional federal alemán, de 15 de diciembre de 1959 (caso Doctor Platow)</w:t>
      </w:r>
    </w:p>
    <w:p w14:paraId="3C1E848B" w14:textId="74D9BA5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f. 8, VP III.</w:t>
      </w:r>
    </w:p>
    <w:p w14:paraId="7618D181" w14:textId="312A3ACC" w:rsidR="001D7FA9" w:rsidRDefault="001D7FA9" w:rsidP="001D7FA9">
      <w:pPr>
        <w:pStyle w:val="SangriaFrancesaArticulo"/>
      </w:pPr>
    </w:p>
    <w:p w14:paraId="7023B0BB" w14:textId="77777777" w:rsidR="001D7FA9" w:rsidRDefault="001D7FA9" w:rsidP="001D7FA9">
      <w:pPr>
        <w:pStyle w:val="TextoNormalNegritaCursivandice"/>
        <w:keepNext/>
      </w:pPr>
      <w:r>
        <w:t>Sentencia del Tribunal Constitucional de Austria de 14 de marzo de 2012, VfSlg 19632/2012</w:t>
      </w:r>
    </w:p>
    <w:p w14:paraId="769E50B3" w14:textId="5766930D"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401844FC" w14:textId="7E1B411F" w:rsidR="001D7FA9" w:rsidRDefault="001D7FA9" w:rsidP="001D7FA9">
      <w:pPr>
        <w:pStyle w:val="SangriaFrancesaArticulo"/>
      </w:pPr>
    </w:p>
    <w:p w14:paraId="0F006A75" w14:textId="77777777" w:rsidR="001D7FA9" w:rsidRDefault="001D7FA9" w:rsidP="001D7FA9">
      <w:pPr>
        <w:pStyle w:val="TextoNormalNegritaCursivandice"/>
        <w:keepNext/>
      </w:pPr>
      <w:r>
        <w:t>Sentencia del Tribunal Constitucional de Alemania de 6 de noviembre de 2019, 1 BvR 276/17</w:t>
      </w:r>
    </w:p>
    <w:p w14:paraId="22E1B54D" w14:textId="5AD3BE46" w:rsidR="001D7FA9" w:rsidRDefault="001D7FA9" w:rsidP="001D7FA9">
      <w:pPr>
        <w:pStyle w:val="SangriaFrancesaArticulo"/>
      </w:pPr>
      <w:r w:rsidRPr="001D7FA9">
        <w:rPr>
          <w:rStyle w:val="TextoNormalNegritaCaracter"/>
        </w:rPr>
        <w:t>En general.</w:t>
      </w:r>
      <w:r w:rsidRPr="001D7FA9">
        <w:rPr>
          <w:rStyle w:val="TextoNormalCaracter"/>
        </w:rPr>
        <w:t>-</w:t>
      </w:r>
      <w:r>
        <w:t xml:space="preserve"> Sentencia </w:t>
      </w:r>
      <w:hyperlink w:anchor="SENTENCIA_2025_137" w:history="1">
        <w:r w:rsidRPr="001D7FA9">
          <w:rPr>
            <w:rStyle w:val="TextoNormalCaracter"/>
          </w:rPr>
          <w:t>137/2025</w:t>
        </w:r>
      </w:hyperlink>
      <w:r>
        <w:t>, VP IV.</w:t>
      </w:r>
    </w:p>
    <w:p w14:paraId="1FF1FBEC" w14:textId="215A5E55" w:rsidR="001D7FA9" w:rsidRDefault="001D7FA9" w:rsidP="001D7FA9">
      <w:pPr>
        <w:pStyle w:val="SangriaFrancesaArticulo"/>
      </w:pPr>
    </w:p>
    <w:p w14:paraId="4442B9F5" w14:textId="77777777" w:rsidR="001D7FA9" w:rsidRDefault="001D7FA9" w:rsidP="001D7FA9">
      <w:pPr>
        <w:pStyle w:val="TextoNormalNegritaCursivandice"/>
        <w:keepNext/>
      </w:pPr>
      <w:r>
        <w:t>Sentencia de 7 de marzo de 2022 de la Sala de lo Penal de la Audiencia Nacional (ECLI:ES:AN:2022:901)</w:t>
      </w:r>
    </w:p>
    <w:p w14:paraId="628899AA" w14:textId="23579F43" w:rsidR="001D7FA9" w:rsidRDefault="001D7FA9" w:rsidP="001D7FA9">
      <w:pPr>
        <w:pStyle w:val="SangriaFrancesaArticulo"/>
      </w:pPr>
      <w:r w:rsidRPr="001D7FA9">
        <w:rPr>
          <w:rStyle w:val="TextoNormalNegritaCaracter"/>
        </w:rPr>
        <w:t>En general.</w:t>
      </w:r>
      <w:r w:rsidRPr="001D7FA9">
        <w:rPr>
          <w:rStyle w:val="TextoNormalCaracter"/>
        </w:rPr>
        <w:t>-</w:t>
      </w:r>
      <w:r>
        <w:t xml:space="preserve"> Auto </w:t>
      </w:r>
      <w:hyperlink w:anchor="AUTO_2025_28" w:history="1">
        <w:r w:rsidRPr="001D7FA9">
          <w:rPr>
            <w:rStyle w:val="TextoNormalCaracter"/>
          </w:rPr>
          <w:t>28/2025</w:t>
        </w:r>
      </w:hyperlink>
      <w:r>
        <w:t>, f. 4.</w:t>
      </w:r>
    </w:p>
    <w:p w14:paraId="68884B99" w14:textId="4FC918B4" w:rsidR="001D7FA9" w:rsidRDefault="001D7FA9">
      <w:pPr>
        <w:spacing w:after="160" w:line="278" w:lineRule="auto"/>
        <w:rPr>
          <w:rFonts w:ascii="Times New Roman" w:eastAsia="Times New Roman" w:hAnsi="Times New Roman" w:cs="Times New Roman"/>
          <w:sz w:val="24"/>
          <w:szCs w:val="24"/>
          <w:lang w:eastAsia="es-ES"/>
        </w:rPr>
      </w:pPr>
      <w:r>
        <w:br w:type="page"/>
      </w:r>
    </w:p>
    <w:p w14:paraId="70C58F59" w14:textId="77777777" w:rsidR="001D7FA9" w:rsidRDefault="001D7FA9" w:rsidP="001D7FA9">
      <w:pPr>
        <w:pStyle w:val="SangriaFrancesaArticulo"/>
      </w:pPr>
      <w:bookmarkStart w:id="230" w:name="DESCRIPTOR1"/>
      <w:bookmarkStart w:id="231" w:name="DESCRIPTOR2"/>
      <w:bookmarkStart w:id="232" w:name="DESCRIPTOR3"/>
      <w:bookmarkStart w:id="233" w:name="DESCRIPTOR4"/>
      <w:bookmarkStart w:id="234" w:name="DESCRIPTOR5"/>
      <w:bookmarkStart w:id="235" w:name="DESCRIPTOR6"/>
      <w:bookmarkStart w:id="236" w:name="DESCRIPTOR7"/>
      <w:bookmarkStart w:id="237" w:name="DESCRIPTOR8"/>
      <w:bookmarkStart w:id="238" w:name="DESCRIPTOR9"/>
      <w:bookmarkStart w:id="239" w:name="DESCRIPTOR10"/>
      <w:bookmarkStart w:id="240" w:name="DESCRIPTOR11"/>
      <w:bookmarkStart w:id="241" w:name="DESCRIPTOR12"/>
      <w:bookmarkStart w:id="242" w:name="DESCRIPTOR13"/>
      <w:bookmarkStart w:id="243" w:name="DESCRIPTOR14"/>
      <w:bookmarkStart w:id="244" w:name="DESCRIPTOR15"/>
      <w:bookmarkStart w:id="245" w:name="DESCRIPTOR16"/>
      <w:bookmarkStart w:id="246" w:name="DESCRIPTOR17"/>
      <w:bookmarkStart w:id="247" w:name="DESCRIPTOR18"/>
      <w:bookmarkStart w:id="248" w:name="DESCRIPTOR19"/>
      <w:bookmarkStart w:id="249" w:name="DESCRIPTOR20"/>
      <w:bookmarkStart w:id="250" w:name="DESCRIPTOR21"/>
      <w:bookmarkStart w:id="251" w:name="DESCRIPTOR22"/>
      <w:bookmarkStart w:id="252" w:name="DESCRIPTOR23"/>
      <w:bookmarkStart w:id="253" w:name="DESCRIPTOR24"/>
      <w:bookmarkStart w:id="254" w:name="DESCRIPTOR25"/>
      <w:bookmarkStart w:id="255" w:name="DESCRIPTOR26"/>
      <w:bookmarkStart w:id="256" w:name="DESCRIPTOR27"/>
      <w:bookmarkStart w:id="257" w:name="DESCRIPTOR28"/>
      <w:bookmarkStart w:id="258" w:name="DESCRIPTOR29"/>
      <w:bookmarkStart w:id="259" w:name="DESCRIPTOR30"/>
      <w:bookmarkStart w:id="260" w:name="DESCRIPTOR31"/>
      <w:bookmarkStart w:id="261" w:name="DESCRIPTOR32"/>
      <w:bookmarkStart w:id="262" w:name="DESCRIPTOR33"/>
      <w:bookmarkStart w:id="263" w:name="DESCRIPTOR34"/>
      <w:bookmarkStart w:id="264" w:name="DESCRIPTOR35"/>
      <w:bookmarkStart w:id="265" w:name="DESCRIPTOR36"/>
      <w:bookmarkStart w:id="266" w:name="DESCRIPTOR37"/>
      <w:bookmarkStart w:id="267" w:name="DESCRIPTOR38"/>
      <w:bookmarkStart w:id="268" w:name="DESCRIPTOR39"/>
      <w:bookmarkStart w:id="269" w:name="DESCRIPTOR40"/>
      <w:bookmarkStart w:id="270" w:name="DESCRIPTOR41"/>
      <w:bookmarkStart w:id="271" w:name="DESCRIPTOR42"/>
      <w:bookmarkStart w:id="272" w:name="DESCRIPTOR43"/>
      <w:bookmarkStart w:id="273" w:name="DESCRIPTOR44"/>
      <w:bookmarkStart w:id="274" w:name="DESCRIPTOR45"/>
      <w:bookmarkStart w:id="275" w:name="DESCRIPTOR46"/>
      <w:bookmarkStart w:id="276" w:name="DESCRIPTOR47"/>
      <w:bookmarkStart w:id="277" w:name="DESCRIPTOR48"/>
      <w:bookmarkStart w:id="278" w:name="DESCRIPTOR49"/>
      <w:bookmarkStart w:id="279" w:name="DESCRIPTOR50"/>
      <w:bookmarkStart w:id="280" w:name="DESCRIPTOR51"/>
      <w:bookmarkStart w:id="281" w:name="DESCRIPTOR52"/>
      <w:bookmarkStart w:id="282" w:name="DESCRIPTOR53"/>
      <w:bookmarkStart w:id="283" w:name="DESCRIPTOR54"/>
      <w:bookmarkStart w:id="284" w:name="DESCRIPTOR55"/>
      <w:bookmarkStart w:id="285" w:name="DESCRIPTOR56"/>
      <w:bookmarkStart w:id="286" w:name="DESCRIPTOR57"/>
      <w:bookmarkStart w:id="287" w:name="DESCRIPTOR58"/>
      <w:bookmarkStart w:id="288" w:name="DESCRIPTOR59"/>
      <w:bookmarkStart w:id="289" w:name="DESCRIPTOR60"/>
      <w:bookmarkStart w:id="290" w:name="DESCRIPTOR61"/>
      <w:bookmarkStart w:id="291" w:name="DESCRIPTOR62"/>
      <w:bookmarkStart w:id="292" w:name="DESCRIPTOR63"/>
      <w:bookmarkStart w:id="293" w:name="DESCRIPTOR64"/>
      <w:bookmarkStart w:id="294" w:name="DESCRIPTOR65"/>
      <w:bookmarkStart w:id="295" w:name="DESCRIPTOR66"/>
      <w:bookmarkStart w:id="296" w:name="DESCRIPTOR67"/>
      <w:bookmarkStart w:id="297" w:name="DESCRIPTOR68"/>
      <w:bookmarkStart w:id="298" w:name="DESCRIPTOR69"/>
      <w:bookmarkStart w:id="299" w:name="DESCRIPTOR70"/>
      <w:bookmarkStart w:id="300" w:name="DESCRIPTOR71"/>
      <w:bookmarkStart w:id="301" w:name="DESCRIPTOR72"/>
      <w:bookmarkStart w:id="302" w:name="DESCRIPTOR73"/>
      <w:bookmarkStart w:id="303" w:name="DESCRIPTOR74"/>
      <w:bookmarkStart w:id="304" w:name="DESCRIPTOR75"/>
      <w:bookmarkStart w:id="305" w:name="DESCRIPTOR76"/>
      <w:bookmarkStart w:id="306" w:name="DESCRIPTOR77"/>
      <w:bookmarkStart w:id="307" w:name="DESCRIPTOR78"/>
      <w:bookmarkStart w:id="308" w:name="DESCRIPTOR79"/>
      <w:bookmarkStart w:id="309" w:name="DESCRIPTOR80"/>
      <w:bookmarkStart w:id="310" w:name="DESCRIPTOR81"/>
      <w:bookmarkStart w:id="311" w:name="DESCRIPTOR82"/>
      <w:bookmarkStart w:id="312" w:name="DESCRIPTOR83"/>
      <w:bookmarkStart w:id="313" w:name="DESCRIPTOR84"/>
      <w:bookmarkStart w:id="314" w:name="DESCRIPTOR85"/>
      <w:bookmarkStart w:id="315" w:name="DESCRIPTOR86"/>
      <w:bookmarkStart w:id="316" w:name="DESCRIPTOR87"/>
      <w:bookmarkStart w:id="317" w:name="DESCRIPTOR88"/>
      <w:bookmarkStart w:id="318" w:name="DESCRIPTOR89"/>
      <w:bookmarkStart w:id="319" w:name="DESCRIPTOR90"/>
      <w:bookmarkStart w:id="320" w:name="DESCRIPTOR91"/>
      <w:bookmarkStart w:id="321" w:name="DESCRIPTOR92"/>
      <w:bookmarkStart w:id="322" w:name="DESCRIPTOR93"/>
      <w:bookmarkStart w:id="323" w:name="DESCRIPTOR94"/>
      <w:bookmarkStart w:id="324" w:name="DESCRIPTOR95"/>
      <w:bookmarkStart w:id="325" w:name="DESCRIPTOR96"/>
      <w:bookmarkStart w:id="326" w:name="DESCRIPTOR97"/>
      <w:bookmarkStart w:id="327" w:name="DESCRIPTOR98"/>
      <w:bookmarkStart w:id="328" w:name="DESCRIPTOR99"/>
      <w:bookmarkStart w:id="329" w:name="DESCRIPTOR100"/>
      <w:bookmarkStart w:id="330" w:name="DESCRIPTOR101"/>
      <w:bookmarkStart w:id="331" w:name="DESCRIPTOR102"/>
      <w:bookmarkStart w:id="332" w:name="DESCRIPTOR103"/>
      <w:bookmarkStart w:id="333" w:name="DESCRIPTOR104"/>
      <w:bookmarkStart w:id="334" w:name="DESCRIPTOR105"/>
      <w:bookmarkStart w:id="335" w:name="DESCRIPTOR106"/>
      <w:bookmarkStart w:id="336" w:name="DESCRIPTOR107"/>
      <w:bookmarkStart w:id="337" w:name="DESCRIPTOR108"/>
      <w:bookmarkStart w:id="338" w:name="DESCRIPTOR109"/>
      <w:bookmarkStart w:id="339" w:name="DESCRIPTOR110"/>
      <w:bookmarkStart w:id="340" w:name="DESCRIPTOR111"/>
      <w:bookmarkStart w:id="341" w:name="DESCRIPTOR112"/>
      <w:bookmarkStart w:id="342" w:name="DESCRIPTOR113"/>
      <w:bookmarkStart w:id="343" w:name="DESCRIPTOR114"/>
      <w:bookmarkStart w:id="344" w:name="DESCRIPTOR115"/>
      <w:bookmarkStart w:id="345" w:name="DESCRIPTOR116"/>
      <w:bookmarkStart w:id="346" w:name="DESCRIPTOR117"/>
      <w:bookmarkStart w:id="347" w:name="DESCRIPTOR118"/>
      <w:bookmarkStart w:id="348" w:name="DESCRIPTOR119"/>
      <w:bookmarkStart w:id="349" w:name="DESCRIPTOR120"/>
      <w:bookmarkStart w:id="350" w:name="DESCRIPTOR121"/>
      <w:bookmarkStart w:id="351" w:name="DESCRIPTOR122"/>
      <w:bookmarkStart w:id="352" w:name="DESCRIPTOR123"/>
      <w:bookmarkStart w:id="353" w:name="DESCRIPTOR124"/>
      <w:bookmarkStart w:id="354" w:name="DESCRIPTOR125"/>
      <w:bookmarkStart w:id="355" w:name="DESCRIPTOR126"/>
      <w:bookmarkStart w:id="356" w:name="DESCRIPTOR127"/>
      <w:bookmarkStart w:id="357" w:name="DESCRIPTOR128"/>
      <w:bookmarkStart w:id="358" w:name="DESCRIPTOR129"/>
      <w:bookmarkStart w:id="359" w:name="DESCRIPTOR130"/>
      <w:bookmarkStart w:id="360" w:name="DESCRIPTOR131"/>
      <w:bookmarkStart w:id="361" w:name="DESCRIPTOR132"/>
      <w:bookmarkStart w:id="362" w:name="DESCRIPTOR133"/>
      <w:bookmarkStart w:id="363" w:name="DESCRIPTOR134"/>
      <w:bookmarkStart w:id="364" w:name="DESCRIPTOR135"/>
      <w:bookmarkStart w:id="365" w:name="DESCRIPTOR136"/>
      <w:bookmarkStart w:id="366" w:name="DESCRIPTOR137"/>
      <w:bookmarkStart w:id="367" w:name="DESCRIPTOR138"/>
      <w:bookmarkStart w:id="368" w:name="DESCRIPTOR139"/>
      <w:bookmarkStart w:id="369" w:name="DESCRIPTOR140"/>
      <w:bookmarkStart w:id="370" w:name="DESCRIPTOR141"/>
      <w:bookmarkStart w:id="371" w:name="DESCRIPTOR142"/>
      <w:bookmarkStart w:id="372" w:name="DESCRIPTOR143"/>
      <w:bookmarkStart w:id="373" w:name="DESCRIPTOR144"/>
      <w:bookmarkStart w:id="374" w:name="DESCRIPTOR145"/>
      <w:bookmarkStart w:id="375" w:name="DESCRIPTOR146"/>
      <w:bookmarkStart w:id="376" w:name="DESCRIPTOR147"/>
      <w:bookmarkStart w:id="377" w:name="DESCRIPTOR148"/>
      <w:bookmarkStart w:id="378" w:name="DESCRIPTOR149"/>
      <w:bookmarkStart w:id="379" w:name="DESCRIPTOR150"/>
      <w:bookmarkStart w:id="380" w:name="DESCRIPTOR151"/>
      <w:bookmarkStart w:id="381" w:name="DESCRIPTOR152"/>
      <w:bookmarkStart w:id="382" w:name="DESCRIPTOR153"/>
      <w:bookmarkStart w:id="383" w:name="DESCRIPTOR154"/>
      <w:bookmarkStart w:id="384" w:name="DESCRIPTOR155"/>
      <w:bookmarkStart w:id="385" w:name="DESCRIPTOR156"/>
      <w:bookmarkStart w:id="386" w:name="DESCRIPTOR157"/>
      <w:bookmarkStart w:id="387" w:name="DESCRIPTOR158"/>
      <w:bookmarkStart w:id="388" w:name="DESCRIPTOR159"/>
      <w:bookmarkStart w:id="389" w:name="DESCRIPTOR160"/>
      <w:bookmarkStart w:id="390" w:name="DESCRIPTOR161"/>
      <w:bookmarkStart w:id="391" w:name="DESCRIPTOR162"/>
      <w:bookmarkStart w:id="392" w:name="DESCRIPTOR163"/>
      <w:bookmarkStart w:id="393" w:name="DESCRIPTOR164"/>
      <w:bookmarkStart w:id="394" w:name="DESCRIPTOR165"/>
      <w:bookmarkStart w:id="395" w:name="DESCRIPTOR166"/>
      <w:bookmarkStart w:id="396" w:name="DESCRIPTOR167"/>
      <w:bookmarkStart w:id="397" w:name="DESCRIPTOR168"/>
      <w:bookmarkStart w:id="398" w:name="DESCRIPTOR169"/>
      <w:bookmarkStart w:id="399" w:name="DESCRIPTOR170"/>
      <w:bookmarkStart w:id="400" w:name="DESCRIPTOR171"/>
      <w:bookmarkStart w:id="401" w:name="DESCRIPTOR172"/>
      <w:bookmarkStart w:id="402" w:name="DESCRIPTOR173"/>
      <w:bookmarkStart w:id="403" w:name="DESCRIPTOR174"/>
      <w:bookmarkStart w:id="404" w:name="DESCRIPTOR175"/>
      <w:bookmarkStart w:id="405" w:name="DESCRIPTOR176"/>
      <w:bookmarkStart w:id="406" w:name="DESCRIPTOR177"/>
      <w:bookmarkStart w:id="407" w:name="DESCRIPTOR178"/>
      <w:bookmarkStart w:id="408" w:name="DESCRIPTOR179"/>
      <w:bookmarkStart w:id="409" w:name="DESCRIPTOR180"/>
      <w:bookmarkStart w:id="410" w:name="DESCRIPTOR181"/>
      <w:bookmarkStart w:id="411" w:name="DESCRIPTOR182"/>
      <w:bookmarkStart w:id="412" w:name="DESCRIPTOR183"/>
      <w:bookmarkStart w:id="413" w:name="DESCRIPTOR184"/>
      <w:bookmarkStart w:id="414" w:name="DESCRIPTOR185"/>
      <w:bookmarkStart w:id="415" w:name="DESCRIPTOR186"/>
      <w:bookmarkStart w:id="416" w:name="DESCRIPTOR187"/>
      <w:bookmarkStart w:id="417" w:name="DESCRIPTOR188"/>
      <w:bookmarkStart w:id="418" w:name="DESCRIPTOR189"/>
      <w:bookmarkStart w:id="419" w:name="DESCRIPTOR190"/>
      <w:bookmarkStart w:id="420" w:name="DESCRIPTOR191"/>
      <w:bookmarkStart w:id="421" w:name="DESCRIPTOR192"/>
      <w:bookmarkStart w:id="422" w:name="DESCRIPTOR193"/>
      <w:bookmarkStart w:id="423" w:name="DESCRIPTOR194"/>
      <w:bookmarkStart w:id="424" w:name="DESCRIPTOR195"/>
      <w:bookmarkStart w:id="425" w:name="DESCRIPTOR196"/>
      <w:bookmarkStart w:id="426" w:name="DESCRIPTOR197"/>
      <w:bookmarkStart w:id="427" w:name="DESCRIPTOR198"/>
      <w:bookmarkStart w:id="428" w:name="DESCRIPTOR199"/>
      <w:bookmarkStart w:id="429" w:name="DESCRIPTOR200"/>
      <w:bookmarkStart w:id="430" w:name="DESCRIPTOR201"/>
      <w:bookmarkStart w:id="431" w:name="DESCRIPTOR202"/>
      <w:bookmarkStart w:id="432" w:name="DESCRIPTOR203"/>
      <w:bookmarkStart w:id="433" w:name="DESCRIPTOR204"/>
      <w:bookmarkStart w:id="434" w:name="DESCRIPTOR205"/>
      <w:bookmarkStart w:id="435" w:name="DESCRIPTOR206"/>
      <w:bookmarkStart w:id="436" w:name="DESCRIPTOR207"/>
      <w:bookmarkStart w:id="437" w:name="DESCRIPTOR208"/>
      <w:bookmarkStart w:id="438" w:name="DESCRIPTOR209"/>
      <w:bookmarkStart w:id="439" w:name="DESCRIPTOR210"/>
      <w:bookmarkStart w:id="440" w:name="DESCRIPTOR211"/>
      <w:bookmarkStart w:id="441" w:name="DESCRIPTOR212"/>
      <w:bookmarkStart w:id="442" w:name="DESCRIPTOR213"/>
      <w:bookmarkStart w:id="443" w:name="DESCRIPTOR214"/>
      <w:bookmarkStart w:id="444" w:name="DESCRIPTOR215"/>
      <w:bookmarkStart w:id="445" w:name="DESCRIPTOR216"/>
      <w:bookmarkStart w:id="446" w:name="DESCRIPTOR217"/>
      <w:bookmarkStart w:id="447" w:name="DESCRIPTOR218"/>
      <w:bookmarkStart w:id="448" w:name="DESCRIPTOR219"/>
      <w:bookmarkStart w:id="449" w:name="DESCRIPTOR220"/>
      <w:bookmarkStart w:id="450" w:name="DESCRIPTOR221"/>
      <w:bookmarkStart w:id="451" w:name="DESCRIPTOR222"/>
      <w:bookmarkStart w:id="452" w:name="DESCRIPTOR223"/>
      <w:bookmarkStart w:id="453" w:name="DESCRIPTOR224"/>
      <w:bookmarkStart w:id="454" w:name="DESCRIPTOR225"/>
      <w:bookmarkStart w:id="455" w:name="DESCRIPTOR226"/>
      <w:bookmarkStart w:id="456" w:name="DESCRIPTOR227"/>
      <w:bookmarkStart w:id="457" w:name="DESCRIPTOR228"/>
      <w:bookmarkStart w:id="458" w:name="DESCRIPTOR229"/>
      <w:bookmarkStart w:id="459" w:name="DESCRIPTOR230"/>
      <w:bookmarkStart w:id="460" w:name="DESCRIPTOR231"/>
      <w:bookmarkStart w:id="461" w:name="DESCRIPTOR232"/>
      <w:bookmarkStart w:id="462" w:name="DESCRIPTOR233"/>
      <w:bookmarkStart w:id="463" w:name="DESCRIPTOR234"/>
      <w:bookmarkStart w:id="464" w:name="DESCRIPTOR235"/>
      <w:bookmarkStart w:id="465" w:name="DESCRIPTOR236"/>
      <w:bookmarkStart w:id="466" w:name="DESCRIPTOR237"/>
      <w:bookmarkStart w:id="467" w:name="DESCRIPTOR238"/>
      <w:bookmarkStart w:id="468" w:name="DESCRIPTOR239"/>
      <w:bookmarkStart w:id="469" w:name="DESCRIPTOR240"/>
      <w:bookmarkStart w:id="470" w:name="DESCRIPTOR241"/>
      <w:bookmarkStart w:id="471" w:name="DESCRIPTOR242"/>
      <w:bookmarkStart w:id="472" w:name="DESCRIPTOR243"/>
      <w:bookmarkStart w:id="473" w:name="DESCRIPTOR244"/>
      <w:bookmarkStart w:id="474" w:name="DESCRIPTOR245"/>
      <w:bookmarkStart w:id="475" w:name="DESCRIPTOR246"/>
      <w:bookmarkStart w:id="476" w:name="DESCRIPTOR247"/>
      <w:bookmarkStart w:id="477" w:name="DESCRIPTOR248"/>
      <w:bookmarkStart w:id="478" w:name="DESCRIPTOR249"/>
      <w:bookmarkStart w:id="479" w:name="DESCRIPTOR250"/>
      <w:bookmarkStart w:id="480" w:name="DESCRIPTOR251"/>
      <w:bookmarkStart w:id="481" w:name="DESCRIPTOR252"/>
      <w:bookmarkStart w:id="482" w:name="DESCRIPTOR253"/>
      <w:bookmarkStart w:id="483" w:name="DESCRIPTOR254"/>
      <w:bookmarkStart w:id="484" w:name="DESCRIPTOR255"/>
      <w:bookmarkStart w:id="485" w:name="DESCRIPTOR256"/>
      <w:bookmarkStart w:id="486" w:name="DESCRIPTOR257"/>
      <w:bookmarkStart w:id="487" w:name="DESCRIPTOR258"/>
      <w:bookmarkStart w:id="488" w:name="DESCRIPTOR259"/>
      <w:bookmarkStart w:id="489" w:name="DESCRIPTOR260"/>
      <w:bookmarkStart w:id="490" w:name="DESCRIPTOR261"/>
      <w:bookmarkStart w:id="491" w:name="DESCRIPTOR262"/>
      <w:bookmarkStart w:id="492" w:name="DESCRIPTOR263"/>
      <w:bookmarkStart w:id="493" w:name="DESCRIPTOR264"/>
      <w:bookmarkStart w:id="494" w:name="DESCRIPTOR265"/>
      <w:bookmarkStart w:id="495" w:name="DESCRIPTOR266"/>
      <w:bookmarkStart w:id="496" w:name="DESCRIPTOR267"/>
      <w:bookmarkStart w:id="497" w:name="DESCRIPTOR268"/>
      <w:bookmarkStart w:id="498" w:name="DESCRIPTOR269"/>
      <w:bookmarkStart w:id="499" w:name="DESCRIPTOR270"/>
      <w:bookmarkStart w:id="500" w:name="DESCRIPTOR271"/>
      <w:bookmarkStart w:id="501" w:name="DESCRIPTOR272"/>
      <w:bookmarkStart w:id="502" w:name="DESCRIPTOR273"/>
      <w:bookmarkStart w:id="503" w:name="DESCRIPTOR274"/>
      <w:bookmarkStart w:id="504" w:name="DESCRIPTOR275"/>
      <w:bookmarkStart w:id="505" w:name="DESCRIPTOR276"/>
      <w:bookmarkStart w:id="506" w:name="DESCRIPTOR277"/>
      <w:bookmarkStart w:id="507" w:name="DESCRIPTOR278"/>
      <w:bookmarkStart w:id="508" w:name="DESCRIPTOR279"/>
      <w:bookmarkStart w:id="509" w:name="DESCRIPTOR280"/>
      <w:bookmarkStart w:id="510" w:name="DESCRIPTOR281"/>
      <w:bookmarkStart w:id="511" w:name="DESCRIPTOR282"/>
      <w:bookmarkStart w:id="512" w:name="DESCRIPTOR283"/>
      <w:bookmarkStart w:id="513" w:name="DESCRIPTOR284"/>
      <w:bookmarkStart w:id="514" w:name="DESCRIPTOR285"/>
      <w:bookmarkStart w:id="515" w:name="DESCRIPTOR286"/>
      <w:bookmarkStart w:id="516" w:name="DESCRIPTOR287"/>
      <w:bookmarkStart w:id="517" w:name="DESCRIPTOR288"/>
      <w:bookmarkStart w:id="518" w:name="DESCRIPTOR289"/>
      <w:bookmarkStart w:id="519" w:name="DESCRIPTOR290"/>
      <w:bookmarkStart w:id="520" w:name="DESCRIPTOR291"/>
      <w:bookmarkStart w:id="521" w:name="DESCRIPTOR292"/>
      <w:bookmarkStart w:id="522" w:name="DESCRIPTOR293"/>
      <w:bookmarkStart w:id="523" w:name="DESCRIPTOR294"/>
      <w:bookmarkStart w:id="524" w:name="DESCRIPTOR295"/>
      <w:bookmarkStart w:id="525" w:name="DESCRIPTOR296"/>
      <w:bookmarkStart w:id="526" w:name="DESCRIPTOR297"/>
      <w:bookmarkStart w:id="527" w:name="DESCRIPTOR298"/>
      <w:bookmarkStart w:id="528" w:name="DESCRIPTOR299"/>
      <w:bookmarkStart w:id="529" w:name="DESCRIPTOR300"/>
      <w:bookmarkStart w:id="530" w:name="DESCRIPTOR301"/>
      <w:bookmarkStart w:id="531" w:name="DESCRIPTOR302"/>
      <w:bookmarkStart w:id="532" w:name="DESCRIPTOR303"/>
      <w:bookmarkStart w:id="533" w:name="DESCRIPTOR304"/>
      <w:bookmarkStart w:id="534" w:name="DESCRIPTOR305"/>
      <w:bookmarkStart w:id="535" w:name="DESCRIPTOR306"/>
      <w:bookmarkStart w:id="536" w:name="DESCRIPTOR307"/>
      <w:bookmarkStart w:id="537" w:name="DESCRIPTOR308"/>
      <w:bookmarkStart w:id="538" w:name="DESCRIPTOR309"/>
      <w:bookmarkStart w:id="539" w:name="DESCRIPTOR310"/>
      <w:bookmarkStart w:id="540" w:name="DESCRIPTOR311"/>
      <w:bookmarkStart w:id="541" w:name="DESCRIPTOR312"/>
      <w:bookmarkStart w:id="542" w:name="DESCRIPTOR313"/>
      <w:bookmarkStart w:id="543" w:name="DESCRIPTOR314"/>
      <w:bookmarkStart w:id="544" w:name="DESCRIPTOR315"/>
      <w:bookmarkStart w:id="545" w:name="DESCRIPTOR316"/>
      <w:bookmarkStart w:id="546" w:name="DESCRIPTOR317"/>
      <w:bookmarkStart w:id="547" w:name="DESCRIPTOR318"/>
      <w:bookmarkStart w:id="548" w:name="DESCRIPTOR319"/>
      <w:bookmarkStart w:id="549" w:name="DESCRIPTOR320"/>
      <w:bookmarkStart w:id="550" w:name="DESCRIPTOR321"/>
      <w:bookmarkStart w:id="551" w:name="DESCRIPTOR322"/>
      <w:bookmarkStart w:id="552" w:name="DESCRIPTOR323"/>
      <w:bookmarkStart w:id="553" w:name="DESCRIPTOR324"/>
      <w:bookmarkStart w:id="554" w:name="DESCRIPTOR325"/>
      <w:bookmarkStart w:id="555" w:name="DESCRIPTOR326"/>
      <w:bookmarkStart w:id="556" w:name="DESCRIPTOR327"/>
      <w:bookmarkStart w:id="557" w:name="DESCRIPTOR328"/>
      <w:bookmarkStart w:id="558" w:name="DESCRIPTOR329"/>
      <w:bookmarkStart w:id="559" w:name="DESCRIPTOR330"/>
      <w:bookmarkStart w:id="560" w:name="DESCRIPTOR331"/>
      <w:bookmarkStart w:id="561" w:name="DESCRIPTOR332"/>
      <w:bookmarkStart w:id="562" w:name="DESCRIPTOR333"/>
      <w:bookmarkStart w:id="563" w:name="DESCRIPTOR334"/>
      <w:bookmarkStart w:id="564" w:name="DESCRIPTOR335"/>
      <w:bookmarkStart w:id="565" w:name="DESCRIPTOR336"/>
      <w:bookmarkStart w:id="566" w:name="DESCRIPTOR337"/>
      <w:bookmarkStart w:id="567" w:name="DESCRIPTOR338"/>
      <w:bookmarkStart w:id="568" w:name="DESCRIPTOR339"/>
      <w:bookmarkStart w:id="569" w:name="DESCRIPTOR340"/>
      <w:bookmarkStart w:id="570" w:name="DESCRIPTOR341"/>
      <w:bookmarkStart w:id="571" w:name="DESCRIPTOR342"/>
      <w:bookmarkStart w:id="572" w:name="DESCRIPTOR343"/>
      <w:bookmarkStart w:id="573" w:name="DESCRIPTOR344"/>
      <w:bookmarkStart w:id="574" w:name="DESCRIPTOR345"/>
      <w:bookmarkStart w:id="575" w:name="DESCRIPTOR346"/>
      <w:bookmarkStart w:id="576" w:name="DESCRIPTOR347"/>
      <w:bookmarkStart w:id="577" w:name="DESCRIPTOR348"/>
      <w:bookmarkStart w:id="578" w:name="DESCRIPTOR349"/>
      <w:bookmarkStart w:id="579" w:name="DESCRIPTOR350"/>
      <w:bookmarkStart w:id="580" w:name="DESCRIPTOR351"/>
      <w:bookmarkStart w:id="581" w:name="DESCRIPTOR352"/>
      <w:bookmarkStart w:id="582" w:name="DESCRIPTOR353"/>
      <w:bookmarkStart w:id="583" w:name="DESCRIPTOR354"/>
      <w:bookmarkStart w:id="584" w:name="DESCRIPTOR355"/>
      <w:bookmarkStart w:id="585" w:name="DESCRIPTOR356"/>
      <w:bookmarkStart w:id="586" w:name="DESCRIPTOR357"/>
      <w:bookmarkStart w:id="587" w:name="DESCRIPTOR358"/>
      <w:bookmarkStart w:id="588" w:name="DESCRIPTOR359"/>
      <w:bookmarkStart w:id="589" w:name="DESCRIPTOR360"/>
      <w:bookmarkStart w:id="590" w:name="DESCRIPTOR361"/>
      <w:bookmarkStart w:id="591" w:name="DESCRIPTOR362"/>
      <w:bookmarkStart w:id="592" w:name="DESCRIPTOR363"/>
      <w:bookmarkStart w:id="593" w:name="DESCRIPTOR364"/>
      <w:bookmarkStart w:id="594" w:name="DESCRIPTOR365"/>
      <w:bookmarkStart w:id="595" w:name="DESCRIPTOR366"/>
      <w:bookmarkStart w:id="596" w:name="DESCRIPTOR367"/>
      <w:bookmarkStart w:id="597" w:name="DESCRIPTOR368"/>
      <w:bookmarkStart w:id="598" w:name="DESCRIPTOR369"/>
      <w:bookmarkStart w:id="599" w:name="DESCRIPTOR370"/>
      <w:bookmarkStart w:id="600" w:name="DESCRIPTOR371"/>
      <w:bookmarkStart w:id="601" w:name="DESCRIPTOR372"/>
      <w:bookmarkStart w:id="602" w:name="DESCRIPTOR373"/>
      <w:bookmarkStart w:id="603" w:name="DESCRIPTOR374"/>
      <w:bookmarkStart w:id="604" w:name="DESCRIPTOR375"/>
      <w:bookmarkStart w:id="605" w:name="DESCRIPTOR376"/>
      <w:bookmarkStart w:id="606" w:name="DESCRIPTOR377"/>
      <w:bookmarkStart w:id="607" w:name="DESCRIPTOR378"/>
      <w:bookmarkStart w:id="608" w:name="DESCRIPTOR379"/>
      <w:bookmarkStart w:id="609" w:name="DESCRIPTOR380"/>
      <w:bookmarkStart w:id="610" w:name="DESCRIPTOR381"/>
      <w:bookmarkStart w:id="611" w:name="DESCRIPTOR382"/>
      <w:bookmarkStart w:id="612" w:name="DESCRIPTOR383"/>
      <w:bookmarkStart w:id="613" w:name="DESCRIPTOR384"/>
      <w:bookmarkStart w:id="614" w:name="DESCRIPTOR385"/>
      <w:bookmarkStart w:id="615" w:name="DESCRIPTOR386"/>
      <w:bookmarkStart w:id="616" w:name="DESCRIPTOR387"/>
      <w:bookmarkStart w:id="617" w:name="DESCRIPTOR388"/>
      <w:bookmarkStart w:id="618" w:name="DESCRIPTOR389"/>
      <w:bookmarkStart w:id="619" w:name="DESCRIPTOR390"/>
      <w:bookmarkStart w:id="620" w:name="DESCRIPTOR391"/>
      <w:bookmarkStart w:id="621" w:name="DESCRIPTOR392"/>
      <w:bookmarkStart w:id="622" w:name="DESCRIPTOR393"/>
      <w:bookmarkStart w:id="623" w:name="DESCRIPTOR394"/>
      <w:bookmarkStart w:id="624" w:name="DESCRIPTOR395"/>
      <w:bookmarkStart w:id="625" w:name="DESCRIPTOR396"/>
      <w:bookmarkStart w:id="626" w:name="DESCRIPTOR397"/>
      <w:bookmarkStart w:id="627" w:name="DESCRIPTOR398"/>
      <w:bookmarkStart w:id="628" w:name="DESCRIPTOR399"/>
      <w:bookmarkStart w:id="629" w:name="DESCRIPTOR400"/>
      <w:bookmarkStart w:id="630" w:name="DESCRIPTOR401"/>
      <w:bookmarkStart w:id="631" w:name="DESCRIPTOR402"/>
      <w:bookmarkStart w:id="632" w:name="DESCRIPTOR403"/>
      <w:bookmarkStart w:id="633" w:name="DESCRIPTOR404"/>
      <w:bookmarkStart w:id="634" w:name="DESCRIPTOR405"/>
      <w:bookmarkStart w:id="635" w:name="DESCRIPTOR406"/>
      <w:bookmarkStart w:id="636" w:name="DESCRIPTOR407"/>
      <w:bookmarkStart w:id="637" w:name="DESCRIPTOR408"/>
      <w:bookmarkStart w:id="638" w:name="DESCRIPTOR409"/>
      <w:bookmarkStart w:id="639" w:name="DESCRIPTOR410"/>
      <w:bookmarkStart w:id="640" w:name="DESCRIPTOR411"/>
      <w:bookmarkStart w:id="641" w:name="DESCRIPTOR412"/>
      <w:bookmarkStart w:id="642" w:name="DESCRIPTOR413"/>
      <w:bookmarkStart w:id="643" w:name="DESCRIPTOR414"/>
      <w:bookmarkStart w:id="644" w:name="DESCRIPTOR415"/>
      <w:bookmarkStart w:id="645" w:name="DESCRIPTOR416"/>
      <w:bookmarkStart w:id="646" w:name="DESCRIPTOR417"/>
      <w:bookmarkStart w:id="647" w:name="DESCRIPTOR418"/>
      <w:bookmarkStart w:id="648" w:name="DESCRIPTOR419"/>
      <w:bookmarkStart w:id="649" w:name="DESCRIPTOR420"/>
      <w:bookmarkStart w:id="650" w:name="DESCRIPTOR421"/>
      <w:bookmarkStart w:id="651" w:name="DESCRIPTOR422"/>
      <w:bookmarkStart w:id="652" w:name="DESCRIPTOR423"/>
      <w:bookmarkStart w:id="653" w:name="DESCRIPTOR424"/>
      <w:bookmarkStart w:id="654" w:name="DESCRIPTOR425"/>
      <w:bookmarkStart w:id="655" w:name="DESCRIPTOR426"/>
      <w:bookmarkStart w:id="656" w:name="DESCRIPTOR427"/>
      <w:bookmarkStart w:id="657" w:name="DESCRIPTOR428"/>
      <w:bookmarkStart w:id="658" w:name="DESCRIPTOR429"/>
      <w:bookmarkStart w:id="659" w:name="DESCRIPTOR430"/>
      <w:bookmarkStart w:id="660" w:name="DESCRIPTOR431"/>
      <w:bookmarkStart w:id="661" w:name="DESCRIPTOR432"/>
      <w:bookmarkStart w:id="662" w:name="DESCRIPTOR433"/>
      <w:bookmarkStart w:id="663" w:name="DESCRIPTOR434"/>
      <w:bookmarkStart w:id="664" w:name="DESCRIPTOR435"/>
      <w:bookmarkStart w:id="665" w:name="DESCRIPTOR436"/>
      <w:bookmarkStart w:id="666" w:name="DESCRIPTOR437"/>
      <w:bookmarkStart w:id="667" w:name="DESCRIPTOR438"/>
      <w:bookmarkStart w:id="668" w:name="DESCRIPTOR439"/>
      <w:bookmarkStart w:id="669" w:name="DESCRIPTOR440"/>
      <w:bookmarkStart w:id="670" w:name="DESCRIPTOR441"/>
      <w:bookmarkStart w:id="671" w:name="DESCRIPTOR442"/>
      <w:bookmarkStart w:id="672" w:name="DESCRIPTOR443"/>
      <w:bookmarkStart w:id="673" w:name="DESCRIPTOR444"/>
      <w:bookmarkStart w:id="674" w:name="DESCRIPTOR445"/>
      <w:bookmarkStart w:id="675" w:name="DESCRIPTOR446"/>
      <w:bookmarkStart w:id="676" w:name="DESCRIPTOR447"/>
      <w:bookmarkStart w:id="677" w:name="DESCRIPTOR448"/>
      <w:bookmarkStart w:id="678" w:name="DESCRIPTOR449"/>
      <w:bookmarkStart w:id="679" w:name="DESCRIPTOR450"/>
      <w:bookmarkStart w:id="680" w:name="DESCRIPTOR451"/>
      <w:bookmarkStart w:id="681" w:name="DESCRIPTOR452"/>
      <w:bookmarkStart w:id="682" w:name="DESCRIPTOR453"/>
      <w:bookmarkStart w:id="683" w:name="DESCRIPTOR454"/>
      <w:bookmarkStart w:id="684" w:name="DESCRIPTOR455"/>
      <w:bookmarkStart w:id="685" w:name="DESCRIPTOR456"/>
      <w:bookmarkStart w:id="686" w:name="DESCRIPTOR457"/>
      <w:bookmarkStart w:id="687" w:name="DESCRIPTOR458"/>
      <w:bookmarkStart w:id="688" w:name="DESCRIPTOR459"/>
      <w:bookmarkStart w:id="689" w:name="DESCRIPTOR460"/>
      <w:bookmarkStart w:id="690" w:name="DESCRIPTOR461"/>
      <w:bookmarkStart w:id="691" w:name="DESCRIPTOR462"/>
      <w:bookmarkStart w:id="692" w:name="DESCRIPTOR463"/>
      <w:bookmarkStart w:id="693" w:name="DESCRIPTOR464"/>
      <w:bookmarkStart w:id="694" w:name="DESCRIPTOR465"/>
      <w:bookmarkStart w:id="695" w:name="DESCRIPTOR466"/>
      <w:bookmarkStart w:id="696" w:name="DESCRIPTOR467"/>
      <w:bookmarkStart w:id="697" w:name="DESCRIPTOR468"/>
      <w:bookmarkStart w:id="698" w:name="DESCRIPTOR469"/>
      <w:bookmarkStart w:id="699" w:name="DESCRIPTOR470"/>
      <w:bookmarkStart w:id="700" w:name="DESCRIPTOR471"/>
      <w:bookmarkStart w:id="701" w:name="DESCRIPTOR472"/>
      <w:bookmarkStart w:id="702" w:name="DESCRIPTOR473"/>
      <w:bookmarkStart w:id="703" w:name="DESCRIPTOR474"/>
      <w:bookmarkStart w:id="704" w:name="DESCRIPTOR475"/>
      <w:bookmarkStart w:id="705" w:name="DESCRIPTOR476"/>
      <w:bookmarkStart w:id="706" w:name="DESCRIPTOR477"/>
      <w:bookmarkStart w:id="707" w:name="DESCRIPTOR478"/>
      <w:bookmarkStart w:id="708" w:name="DESCRIPTOR479"/>
      <w:bookmarkStart w:id="709" w:name="DESCRIPTOR480"/>
      <w:bookmarkStart w:id="710" w:name="DESCRIPTOR481"/>
      <w:bookmarkStart w:id="711" w:name="DESCRIPTOR482"/>
      <w:bookmarkStart w:id="712" w:name="DESCRIPTOR483"/>
      <w:bookmarkStart w:id="713" w:name="DESCRIPTOR484"/>
      <w:bookmarkStart w:id="714" w:name="DESCRIPTOR485"/>
      <w:bookmarkStart w:id="715" w:name="DESCRIPTOR486"/>
      <w:bookmarkStart w:id="716" w:name="DESCRIPTOR487"/>
      <w:bookmarkStart w:id="717" w:name="DESCRIPTOR488"/>
      <w:bookmarkStart w:id="718" w:name="DESCRIPTOR489"/>
      <w:bookmarkStart w:id="719" w:name="DESCRIPTOR490"/>
      <w:bookmarkStart w:id="720" w:name="DESCRIPTOR491"/>
      <w:bookmarkStart w:id="721" w:name="DESCRIPTOR492"/>
      <w:bookmarkStart w:id="722" w:name="INDICE5ALFABETICO"/>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2303077E" w14:textId="77777777" w:rsidR="00C72046" w:rsidRDefault="00C72046" w:rsidP="00C72046">
      <w:pPr>
        <w:pStyle w:val="TextoNormal"/>
      </w:pPr>
    </w:p>
    <w:p w14:paraId="1C6938B0" w14:textId="77777777" w:rsidR="00C72046" w:rsidRDefault="00C72046" w:rsidP="00C72046">
      <w:pPr>
        <w:pStyle w:val="TextoNormal"/>
      </w:pPr>
    </w:p>
    <w:p w14:paraId="099FB87C" w14:textId="77777777" w:rsidR="00C72046" w:rsidRDefault="00C72046" w:rsidP="00C72046">
      <w:pPr>
        <w:pStyle w:val="TextoNormal"/>
      </w:pPr>
    </w:p>
    <w:p w14:paraId="123C86FA" w14:textId="77777777" w:rsidR="00C72046" w:rsidRDefault="00C72046" w:rsidP="00C72046">
      <w:pPr>
        <w:pStyle w:val="Ttulondice"/>
      </w:pPr>
      <w:r>
        <w:t>7. ÍNDICE ANALÍTICO</w:t>
      </w:r>
    </w:p>
    <w:p w14:paraId="5DAF4C5B" w14:textId="2911281C" w:rsidR="00C72046" w:rsidRDefault="00C72046" w:rsidP="00C72046">
      <w:pPr>
        <w:pStyle w:val="TextoNormal"/>
      </w:pPr>
    </w:p>
    <w:p w14:paraId="6A0C0140" w14:textId="77777777" w:rsidR="00C72046" w:rsidRDefault="00C72046" w:rsidP="00C72046">
      <w:pPr>
        <w:pStyle w:val="Ttulondice"/>
      </w:pPr>
    </w:p>
    <w:p w14:paraId="2BE3F7F1" w14:textId="77777777" w:rsidR="00C72046" w:rsidRDefault="00C72046" w:rsidP="00C72046">
      <w:pPr>
        <w:pStyle w:val="Ttulondice"/>
      </w:pPr>
    </w:p>
    <w:p w14:paraId="4D7451AA" w14:textId="77777777" w:rsidR="00C72046" w:rsidRDefault="00C72046" w:rsidP="00C72046">
      <w:pPr>
        <w:pStyle w:val="Ttulondice"/>
      </w:pPr>
    </w:p>
    <w:p w14:paraId="45ED317D" w14:textId="77777777" w:rsidR="00C72046" w:rsidRDefault="00C72046" w:rsidP="00C72046">
      <w:pPr>
        <w:pStyle w:val="Ttulondice"/>
      </w:pPr>
    </w:p>
    <w:p w14:paraId="39DC7101" w14:textId="77777777" w:rsidR="00C72046" w:rsidRDefault="00C72046" w:rsidP="00C72046">
      <w:pPr>
        <w:pStyle w:val="Ttulondice"/>
      </w:pPr>
    </w:p>
    <w:p w14:paraId="5583C146" w14:textId="77777777" w:rsidR="00C72046" w:rsidRDefault="00C72046" w:rsidP="00C72046">
      <w:pPr>
        <w:pStyle w:val="Ttulondice"/>
      </w:pPr>
    </w:p>
    <w:p w14:paraId="54203914" w14:textId="77777777" w:rsidR="00C72046" w:rsidRDefault="00C72046" w:rsidP="00C72046">
      <w:pPr>
        <w:pStyle w:val="Ttulondice"/>
      </w:pPr>
    </w:p>
    <w:p w14:paraId="134BAE61" w14:textId="77777777" w:rsidR="00C72046" w:rsidRDefault="00C72046" w:rsidP="00C72046">
      <w:pPr>
        <w:pStyle w:val="TextoNormalNegritaCentrado"/>
      </w:pPr>
      <w:r>
        <w:t>A</w:t>
      </w:r>
    </w:p>
    <w:p w14:paraId="1459FEAA" w14:textId="5B8B8A76" w:rsidR="00C72046" w:rsidRDefault="00C72046" w:rsidP="00C72046">
      <w:pPr>
        <w:pStyle w:val="TextoNormalNegritaCentrado"/>
      </w:pPr>
    </w:p>
    <w:p w14:paraId="03EB8B7E" w14:textId="77777777" w:rsidR="00C72046" w:rsidRPr="00C72046" w:rsidRDefault="00C72046" w:rsidP="00C72046">
      <w:pPr>
        <w:pStyle w:val="TextoNormalSangraFrancesa"/>
        <w:rPr>
          <w:rStyle w:val="TextoNormalCaracter"/>
        </w:rPr>
      </w:pPr>
      <w:bookmarkStart w:id="723" w:name="DESCRIPTORALFABETICO158"/>
      <w:r w:rsidRPr="00C72046">
        <w:rPr>
          <w:rStyle w:val="TextoNormalNegritaCaracter"/>
        </w:rPr>
        <w:t>Abstención de magistrados del Tribunal Constitucional</w:t>
      </w:r>
      <w:bookmarkEnd w:id="723"/>
      <w:r w:rsidRPr="00C72046">
        <w:rPr>
          <w:rStyle w:val="TextoNormalCaracter"/>
        </w:rPr>
        <w:t xml:space="preserve">, </w:t>
      </w:r>
    </w:p>
    <w:p w14:paraId="29F1C4C6" w14:textId="1D40F9D6" w:rsidR="00C72046" w:rsidRPr="00C72046" w:rsidRDefault="00C72046" w:rsidP="00C72046">
      <w:pPr>
        <w:pStyle w:val="TextoNormalSangraFrancesa"/>
        <w:rPr>
          <w:rStyle w:val="TextoNormalCaracter"/>
        </w:rPr>
      </w:pPr>
      <w:r w:rsidRPr="00C72046">
        <w:rPr>
          <w:rStyle w:val="TextoNormalCursivaCaracter"/>
        </w:rPr>
        <w:t xml:space="preserve">    Acepta, </w:t>
      </w:r>
      <w:r w:rsidRPr="00C72046">
        <w:rPr>
          <w:rStyle w:val="TextoNormalCaracter"/>
        </w:rPr>
        <w:t xml:space="preserve">Autos </w:t>
      </w:r>
      <w:hyperlink w:anchor="AUTO_2025_1" w:history="1">
        <w:r w:rsidRPr="00C72046">
          <w:rPr>
            <w:rStyle w:val="TextoNormalCaracter"/>
          </w:rPr>
          <w:t>1/2025</w:t>
        </w:r>
      </w:hyperlink>
      <w:r w:rsidRPr="00C72046">
        <w:rPr>
          <w:rStyle w:val="TextoNormalCaracter"/>
        </w:rPr>
        <w:t xml:space="preserve">, f. único; </w:t>
      </w:r>
      <w:hyperlink w:anchor="AUTO_2025_3" w:history="1">
        <w:r w:rsidRPr="00C72046">
          <w:rPr>
            <w:rStyle w:val="TextoNormalCaracter"/>
          </w:rPr>
          <w:t>3/2025</w:t>
        </w:r>
      </w:hyperlink>
      <w:r w:rsidRPr="00C72046">
        <w:rPr>
          <w:rStyle w:val="TextoNormalCaracter"/>
        </w:rPr>
        <w:t xml:space="preserve">, f. único; </w:t>
      </w:r>
      <w:hyperlink w:anchor="AUTO_2025_14" w:history="1">
        <w:r w:rsidRPr="00C72046">
          <w:rPr>
            <w:rStyle w:val="TextoNormalCaracter"/>
          </w:rPr>
          <w:t>14/2025</w:t>
        </w:r>
      </w:hyperlink>
      <w:r w:rsidRPr="00C72046">
        <w:rPr>
          <w:rStyle w:val="TextoNormalCaracter"/>
        </w:rPr>
        <w:t xml:space="preserve">, f. 2; </w:t>
      </w:r>
      <w:hyperlink w:anchor="AUTO_2025_15" w:history="1">
        <w:r w:rsidRPr="00C72046">
          <w:rPr>
            <w:rStyle w:val="TextoNormalCaracter"/>
          </w:rPr>
          <w:t>15/2025</w:t>
        </w:r>
      </w:hyperlink>
      <w:r w:rsidRPr="00C72046">
        <w:rPr>
          <w:rStyle w:val="TextoNormalCaracter"/>
        </w:rPr>
        <w:t xml:space="preserve">, f. 2; </w:t>
      </w:r>
      <w:hyperlink w:anchor="AUTO_2025_17" w:history="1">
        <w:r w:rsidRPr="00C72046">
          <w:rPr>
            <w:rStyle w:val="TextoNormalCaracter"/>
          </w:rPr>
          <w:t>17/2025</w:t>
        </w:r>
      </w:hyperlink>
      <w:r w:rsidRPr="00C72046">
        <w:rPr>
          <w:rStyle w:val="TextoNormalCaracter"/>
        </w:rPr>
        <w:t xml:space="preserve">, f. 2; </w:t>
      </w:r>
      <w:hyperlink w:anchor="AUTO_2025_25" w:history="1">
        <w:r w:rsidRPr="00C72046">
          <w:rPr>
            <w:rStyle w:val="TextoNormalCaracter"/>
          </w:rPr>
          <w:t>25/2025</w:t>
        </w:r>
      </w:hyperlink>
      <w:r w:rsidRPr="00C72046">
        <w:rPr>
          <w:rStyle w:val="TextoNormalCaracter"/>
        </w:rPr>
        <w:t xml:space="preserve">, f. 2; </w:t>
      </w:r>
      <w:hyperlink w:anchor="AUTO_2025_26" w:history="1">
        <w:r w:rsidRPr="00C72046">
          <w:rPr>
            <w:rStyle w:val="TextoNormalCaracter"/>
          </w:rPr>
          <w:t>26/2025</w:t>
        </w:r>
      </w:hyperlink>
      <w:r w:rsidRPr="00C72046">
        <w:rPr>
          <w:rStyle w:val="TextoNormalCaracter"/>
        </w:rPr>
        <w:t xml:space="preserve">, f. 2; </w:t>
      </w:r>
      <w:hyperlink w:anchor="AUTO_2025_27" w:history="1">
        <w:r w:rsidRPr="00C72046">
          <w:rPr>
            <w:rStyle w:val="TextoNormalCaracter"/>
          </w:rPr>
          <w:t>27/2025</w:t>
        </w:r>
      </w:hyperlink>
      <w:r w:rsidRPr="00C72046">
        <w:rPr>
          <w:rStyle w:val="TextoNormalCaracter"/>
        </w:rPr>
        <w:t xml:space="preserve">, f. 2; </w:t>
      </w:r>
      <w:hyperlink w:anchor="AUTO_2025_66" w:history="1">
        <w:r w:rsidRPr="00C72046">
          <w:rPr>
            <w:rStyle w:val="TextoNormalCaracter"/>
          </w:rPr>
          <w:t>66/2025</w:t>
        </w:r>
      </w:hyperlink>
      <w:r w:rsidRPr="00C72046">
        <w:rPr>
          <w:rStyle w:val="TextoNormalCaracter"/>
        </w:rPr>
        <w:t>, f. único.</w:t>
      </w:r>
    </w:p>
    <w:p w14:paraId="00A30C10" w14:textId="05089655" w:rsidR="00C72046" w:rsidRPr="00C72046" w:rsidRDefault="00C72046" w:rsidP="00C72046">
      <w:pPr>
        <w:pStyle w:val="TextoNormalSangraFrancesa"/>
        <w:rPr>
          <w:rStyle w:val="TextoNormalCaracter"/>
        </w:rPr>
      </w:pPr>
      <w:bookmarkStart w:id="724" w:name="DESCRIPTORALFABETICO156"/>
      <w:r w:rsidRPr="00C72046">
        <w:rPr>
          <w:rStyle w:val="TextoNormalNegritaCaracter"/>
        </w:rPr>
        <w:t>Abstención y recusación</w:t>
      </w:r>
      <w:bookmarkEnd w:id="724"/>
      <w:r w:rsidRPr="00C72046">
        <w:rPr>
          <w:rStyle w:val="TextoNormalCaracter"/>
        </w:rPr>
        <w:t xml:space="preserve">, Auto </w:t>
      </w:r>
      <w:hyperlink w:anchor="AUTO_2025_16" w:history="1">
        <w:r w:rsidRPr="00C72046">
          <w:rPr>
            <w:rStyle w:val="TextoNormalCaracter"/>
          </w:rPr>
          <w:t>16/2025</w:t>
        </w:r>
      </w:hyperlink>
      <w:r w:rsidRPr="00C72046">
        <w:rPr>
          <w:rStyle w:val="TextoNormalCaracter"/>
        </w:rPr>
        <w:t>, f. 1.</w:t>
      </w:r>
    </w:p>
    <w:p w14:paraId="786B12B5" w14:textId="57368520" w:rsidR="00C72046" w:rsidRPr="00C72046" w:rsidRDefault="00C72046" w:rsidP="00C72046">
      <w:pPr>
        <w:pStyle w:val="TextoNormalSangraFrancesa"/>
        <w:rPr>
          <w:rStyle w:val="TextoNormalCaracter"/>
        </w:rPr>
      </w:pPr>
      <w:bookmarkStart w:id="725" w:name="DESCRIPTORALFABETICO157"/>
      <w:r w:rsidRPr="00C72046">
        <w:rPr>
          <w:rStyle w:val="TextoNormalNegritaCaracter"/>
        </w:rPr>
        <w:t>Abstención y recusación de magistrados del Tribunal Constitucional</w:t>
      </w:r>
      <w:bookmarkEnd w:id="725"/>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VP III, VP IV.</w:t>
      </w:r>
    </w:p>
    <w:p w14:paraId="4639DD8A" w14:textId="0955B1AF" w:rsidR="00C72046" w:rsidRPr="00C72046" w:rsidRDefault="00C72046" w:rsidP="00C72046">
      <w:pPr>
        <w:pStyle w:val="TextoNormalSangraFrancesa"/>
        <w:rPr>
          <w:rStyle w:val="TextoNormalCaracter"/>
        </w:rPr>
      </w:pPr>
      <w:r w:rsidRPr="00C72046">
        <w:rPr>
          <w:rStyle w:val="TextoNormalCaracter"/>
        </w:rPr>
        <w:t xml:space="preserve">    Auto </w:t>
      </w:r>
      <w:hyperlink w:anchor="AUTO_2025_31" w:history="1">
        <w:r w:rsidRPr="00C72046">
          <w:rPr>
            <w:rStyle w:val="TextoNormalCaracter"/>
          </w:rPr>
          <w:t>31/2025</w:t>
        </w:r>
      </w:hyperlink>
      <w:r w:rsidRPr="00C72046">
        <w:rPr>
          <w:rStyle w:val="TextoNormalCaracter"/>
        </w:rPr>
        <w:t>, ff. 2 y 3, VP.</w:t>
      </w:r>
    </w:p>
    <w:p w14:paraId="5D23ACCD" w14:textId="58894181" w:rsidR="00C72046" w:rsidRPr="00C72046" w:rsidRDefault="00C72046" w:rsidP="00C72046">
      <w:pPr>
        <w:pStyle w:val="TextoNormalSangraFrancesa"/>
        <w:rPr>
          <w:rStyle w:val="TextoNormalCaracter"/>
        </w:rPr>
      </w:pPr>
      <w:bookmarkStart w:id="726" w:name="DESCRIPTORALFABETICO320"/>
      <w:r w:rsidRPr="00C72046">
        <w:rPr>
          <w:rStyle w:val="TextoNormalNegritaCaracter"/>
        </w:rPr>
        <w:t>Acceso a la función pública</w:t>
      </w:r>
      <w:bookmarkEnd w:id="726"/>
      <w:r w:rsidRPr="00C72046">
        <w:rPr>
          <w:rStyle w:val="TextoNormalCaracter"/>
        </w:rPr>
        <w:t xml:space="preserve">, Sentencia </w:t>
      </w:r>
      <w:hyperlink w:anchor="SENTENCIA_2025_27" w:history="1">
        <w:r w:rsidRPr="00C72046">
          <w:rPr>
            <w:rStyle w:val="TextoNormalCaracter"/>
          </w:rPr>
          <w:t>27/2025</w:t>
        </w:r>
      </w:hyperlink>
      <w:r w:rsidRPr="00C72046">
        <w:rPr>
          <w:rStyle w:val="TextoNormalCaracter"/>
        </w:rPr>
        <w:t>, ff. 1 y 2.</w:t>
      </w:r>
    </w:p>
    <w:p w14:paraId="29F0E3E1" w14:textId="279287C3" w:rsidR="00C72046" w:rsidRPr="00C72046" w:rsidRDefault="00C72046" w:rsidP="00C72046">
      <w:pPr>
        <w:pStyle w:val="TextoNormalSangraFrancesa"/>
        <w:rPr>
          <w:rStyle w:val="TextoNormalCaracter"/>
        </w:rPr>
      </w:pPr>
      <w:bookmarkStart w:id="727" w:name="DESCRIPTORALFABETICO212"/>
      <w:r w:rsidRPr="00C72046">
        <w:rPr>
          <w:rStyle w:val="TextoNormalNegritaCaracter"/>
        </w:rPr>
        <w:t>Aclaración de doctrina constitucional</w:t>
      </w:r>
      <w:bookmarkEnd w:id="727"/>
      <w:r w:rsidRPr="00C72046">
        <w:rPr>
          <w:rStyle w:val="TextoNormalCaracter"/>
        </w:rPr>
        <w:t xml:space="preserve">, Sentencias </w:t>
      </w:r>
      <w:hyperlink w:anchor="SENTENCIA_2025_1" w:history="1">
        <w:r w:rsidRPr="00C72046">
          <w:rPr>
            <w:rStyle w:val="TextoNormalCaracter"/>
          </w:rPr>
          <w:t>1/2025</w:t>
        </w:r>
      </w:hyperlink>
      <w:r w:rsidRPr="00C72046">
        <w:rPr>
          <w:rStyle w:val="TextoNormalCaracter"/>
        </w:rPr>
        <w:t xml:space="preserve">, f. 2; </w:t>
      </w:r>
      <w:hyperlink w:anchor="SENTENCIA_2025_119" w:history="1">
        <w:r w:rsidRPr="00C72046">
          <w:rPr>
            <w:rStyle w:val="TextoNormalCaracter"/>
          </w:rPr>
          <w:t>119/2025</w:t>
        </w:r>
      </w:hyperlink>
      <w:r w:rsidRPr="00C72046">
        <w:rPr>
          <w:rStyle w:val="TextoNormalCaracter"/>
        </w:rPr>
        <w:t>, f. 2.</w:t>
      </w:r>
    </w:p>
    <w:p w14:paraId="6E2566DB" w14:textId="48A235C3" w:rsidR="00C72046" w:rsidRPr="00C72046" w:rsidRDefault="00C72046" w:rsidP="00C72046">
      <w:pPr>
        <w:pStyle w:val="TextoNormalSangraFrancesa"/>
        <w:rPr>
          <w:rStyle w:val="TextoNormalCaracter"/>
        </w:rPr>
      </w:pPr>
      <w:bookmarkStart w:id="728" w:name="DESCRIPTORALFABETICO316"/>
      <w:r w:rsidRPr="00C72046">
        <w:rPr>
          <w:rStyle w:val="TextoNormalNegritaCaracter"/>
        </w:rPr>
        <w:t>Acoso laboral</w:t>
      </w:r>
      <w:bookmarkEnd w:id="728"/>
      <w:r w:rsidRPr="00C72046">
        <w:rPr>
          <w:rStyle w:val="TextoNormalCaracter"/>
        </w:rPr>
        <w:t xml:space="preserve">, Sentencia </w:t>
      </w:r>
      <w:hyperlink w:anchor="SENTENCIA_2025_28" w:history="1">
        <w:r w:rsidRPr="00C72046">
          <w:rPr>
            <w:rStyle w:val="TextoNormalCaracter"/>
          </w:rPr>
          <w:t>28/2025</w:t>
        </w:r>
      </w:hyperlink>
      <w:r w:rsidRPr="00C72046">
        <w:rPr>
          <w:rStyle w:val="TextoNormalCaracter"/>
        </w:rPr>
        <w:t>, ff. 1, 3, 4 y 5.</w:t>
      </w:r>
    </w:p>
    <w:p w14:paraId="64238E28" w14:textId="77777777" w:rsidR="00C72046" w:rsidRPr="00C72046" w:rsidRDefault="00C72046" w:rsidP="00C72046">
      <w:pPr>
        <w:pStyle w:val="TextoNormalSangraFrancesa"/>
        <w:rPr>
          <w:rStyle w:val="TextoNormalCaracter"/>
        </w:rPr>
      </w:pPr>
      <w:bookmarkStart w:id="729" w:name="DESCRIPTORALFABETICO426"/>
      <w:r w:rsidRPr="00C72046">
        <w:rPr>
          <w:rStyle w:val="TextoNormalNegritaCaracter"/>
        </w:rPr>
        <w:t>Actos procesales de comunicación</w:t>
      </w:r>
      <w:bookmarkEnd w:id="729"/>
      <w:r w:rsidRPr="00C72046">
        <w:rPr>
          <w:rStyle w:val="TextoNormalCaracter"/>
        </w:rPr>
        <w:t xml:space="preserve">, </w:t>
      </w:r>
    </w:p>
    <w:p w14:paraId="0BF52566" w14:textId="03A759C8"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 </w:t>
      </w:r>
      <w:hyperlink w:anchor="SENTENCIA_2025_2" w:history="1">
        <w:r w:rsidRPr="00C72046">
          <w:rPr>
            <w:rStyle w:val="TextoNormalCaracter"/>
          </w:rPr>
          <w:t>2/2025</w:t>
        </w:r>
      </w:hyperlink>
      <w:r w:rsidRPr="00C72046">
        <w:rPr>
          <w:rStyle w:val="TextoNormalCaracter"/>
        </w:rPr>
        <w:t>, f. 2.</w:t>
      </w:r>
    </w:p>
    <w:p w14:paraId="4E6A844E" w14:textId="66D20DD6" w:rsidR="00C72046" w:rsidRPr="00C72046" w:rsidRDefault="00C72046" w:rsidP="00C72046">
      <w:pPr>
        <w:pStyle w:val="TextoNormalSangraFrancesa"/>
        <w:rPr>
          <w:rStyle w:val="TextoNormalCaracter"/>
        </w:rPr>
      </w:pPr>
      <w:bookmarkStart w:id="730" w:name="DESCRIPTORALFABETICO269"/>
      <w:r w:rsidRPr="00C72046">
        <w:rPr>
          <w:rStyle w:val="TextoNormalNegritaCaracter"/>
        </w:rPr>
        <w:t>Acuerdo de la Mesa inadmitiendo proposición no de ley</w:t>
      </w:r>
      <w:bookmarkEnd w:id="730"/>
      <w:r w:rsidRPr="00C72046">
        <w:rPr>
          <w:rStyle w:val="TextoNormalCaracter"/>
        </w:rPr>
        <w:t xml:space="preserve">, Sentencia </w:t>
      </w:r>
      <w:hyperlink w:anchor="SENTENCIA_2025_97" w:history="1">
        <w:r w:rsidRPr="00C72046">
          <w:rPr>
            <w:rStyle w:val="TextoNormalCaracter"/>
          </w:rPr>
          <w:t>97/2025</w:t>
        </w:r>
      </w:hyperlink>
      <w:r w:rsidRPr="00C72046">
        <w:rPr>
          <w:rStyle w:val="TextoNormalCaracter"/>
        </w:rPr>
        <w:t>, f. 3.</w:t>
      </w:r>
    </w:p>
    <w:p w14:paraId="2E6A065B" w14:textId="56530821" w:rsidR="00C72046" w:rsidRPr="00C72046" w:rsidRDefault="00C72046" w:rsidP="00C72046">
      <w:pPr>
        <w:pStyle w:val="TextoNormalSangraFrancesa"/>
        <w:rPr>
          <w:rStyle w:val="TextoNormalCaracter"/>
        </w:rPr>
      </w:pPr>
      <w:bookmarkStart w:id="731" w:name="DESCRIPTORALFABETICO268"/>
      <w:r w:rsidRPr="00C72046">
        <w:rPr>
          <w:rStyle w:val="TextoNormalNegritaCaracter"/>
        </w:rPr>
        <w:t>Acuerdos de las mesas parlamentarias</w:t>
      </w:r>
      <w:bookmarkEnd w:id="731"/>
      <w:r w:rsidRPr="00C72046">
        <w:rPr>
          <w:rStyle w:val="TextoNormalCaracter"/>
        </w:rPr>
        <w:t xml:space="preserve">, Sentencias </w:t>
      </w:r>
      <w:hyperlink w:anchor="SENTENCIA_2025_97" w:history="1">
        <w:r w:rsidRPr="00C72046">
          <w:rPr>
            <w:rStyle w:val="TextoNormalCaracter"/>
          </w:rPr>
          <w:t>97/2025</w:t>
        </w:r>
      </w:hyperlink>
      <w:r w:rsidRPr="00C72046">
        <w:rPr>
          <w:rStyle w:val="TextoNormalCaracter"/>
        </w:rPr>
        <w:t xml:space="preserve">, f. 3; </w:t>
      </w:r>
      <w:hyperlink w:anchor="SENTENCIA_2025_120" w:history="1">
        <w:r w:rsidRPr="00C72046">
          <w:rPr>
            <w:rStyle w:val="TextoNormalCaracter"/>
          </w:rPr>
          <w:t>120/2025</w:t>
        </w:r>
      </w:hyperlink>
      <w:r w:rsidRPr="00C72046">
        <w:rPr>
          <w:rStyle w:val="TextoNormalCaracter"/>
        </w:rPr>
        <w:t>, ff. 3 a 5.</w:t>
      </w:r>
    </w:p>
    <w:p w14:paraId="64C3BB98" w14:textId="77777777" w:rsidR="00C72046" w:rsidRPr="00C72046" w:rsidRDefault="00C72046" w:rsidP="00C72046">
      <w:pPr>
        <w:pStyle w:val="TextoNormalSangraFrancesa"/>
        <w:rPr>
          <w:rStyle w:val="TextoNormalCaracter"/>
        </w:rPr>
      </w:pPr>
      <w:bookmarkStart w:id="732" w:name="DESCRIPTORALFABETICO165"/>
      <w:r w:rsidRPr="00C72046">
        <w:rPr>
          <w:rStyle w:val="TextoNormalNegritaCaracter"/>
        </w:rPr>
        <w:t>Acumulación de recursos de amparo</w:t>
      </w:r>
      <w:bookmarkEnd w:id="732"/>
      <w:r w:rsidRPr="00C72046">
        <w:rPr>
          <w:rStyle w:val="TextoNormalCaracter"/>
        </w:rPr>
        <w:t xml:space="preserve">, </w:t>
      </w:r>
    </w:p>
    <w:p w14:paraId="7ADAF9F7" w14:textId="784BA7DD" w:rsidR="00C72046" w:rsidRPr="00C72046" w:rsidRDefault="00C72046" w:rsidP="00C72046">
      <w:pPr>
        <w:pStyle w:val="TextoNormalSangraFrancesa"/>
        <w:rPr>
          <w:rStyle w:val="TextoNormalCaracter"/>
        </w:rPr>
      </w:pPr>
      <w:r w:rsidRPr="00C72046">
        <w:rPr>
          <w:rStyle w:val="TextoNormalCursivaCaracter"/>
        </w:rPr>
        <w:t xml:space="preserve">    Improcedencia, </w:t>
      </w:r>
      <w:r w:rsidRPr="00C72046">
        <w:rPr>
          <w:rStyle w:val="TextoNormalCaracter"/>
        </w:rPr>
        <w:t xml:space="preserve">Auto </w:t>
      </w:r>
      <w:hyperlink w:anchor="AUTO_2025_22" w:history="1">
        <w:r w:rsidRPr="00C72046">
          <w:rPr>
            <w:rStyle w:val="TextoNormalCaracter"/>
          </w:rPr>
          <w:t>22/2025</w:t>
        </w:r>
      </w:hyperlink>
      <w:r w:rsidRPr="00C72046">
        <w:rPr>
          <w:rStyle w:val="TextoNormalCaracter"/>
        </w:rPr>
        <w:t>, f. único.</w:t>
      </w:r>
    </w:p>
    <w:p w14:paraId="3652E8D9" w14:textId="7E2342F2" w:rsidR="00C72046" w:rsidRPr="00C72046" w:rsidRDefault="00C72046" w:rsidP="00C72046">
      <w:pPr>
        <w:pStyle w:val="TextoNormalSangraFrancesa"/>
        <w:rPr>
          <w:rStyle w:val="TextoNormalCaracter"/>
        </w:rPr>
      </w:pPr>
      <w:bookmarkStart w:id="733" w:name="DESCRIPTORALFABETICO38"/>
      <w:r w:rsidRPr="00C72046">
        <w:rPr>
          <w:rStyle w:val="TextoNormalNegritaCaracter"/>
        </w:rPr>
        <w:t>Administración electoral</w:t>
      </w:r>
      <w:bookmarkEnd w:id="733"/>
      <w:r w:rsidRPr="00C72046">
        <w:rPr>
          <w:rStyle w:val="TextoNormalCaracter"/>
        </w:rPr>
        <w:t xml:space="preserve">, Sentencia </w:t>
      </w:r>
      <w:hyperlink w:anchor="SENTENCIA_2025_51" w:history="1">
        <w:r w:rsidRPr="00C72046">
          <w:rPr>
            <w:rStyle w:val="TextoNormalCaracter"/>
          </w:rPr>
          <w:t>51/2025</w:t>
        </w:r>
      </w:hyperlink>
      <w:r w:rsidRPr="00C72046">
        <w:rPr>
          <w:rStyle w:val="TextoNormalCaracter"/>
        </w:rPr>
        <w:t>, f. 3.</w:t>
      </w:r>
    </w:p>
    <w:p w14:paraId="24BA7513" w14:textId="4837EC1D" w:rsidR="00C72046" w:rsidRPr="00C72046" w:rsidRDefault="00C72046" w:rsidP="00C72046">
      <w:pPr>
        <w:pStyle w:val="TextoNormalSangraFrancesa"/>
        <w:rPr>
          <w:rStyle w:val="TextoNormalCaracter"/>
        </w:rPr>
      </w:pPr>
      <w:bookmarkStart w:id="734" w:name="DESCRIPTORALFABETICO209"/>
      <w:r w:rsidRPr="00C72046">
        <w:rPr>
          <w:rStyle w:val="TextoNormalNegritaCaracter"/>
        </w:rPr>
        <w:t>Admisión de recurso de amparo por auto</w:t>
      </w:r>
      <w:bookmarkEnd w:id="734"/>
      <w:r w:rsidRPr="00C72046">
        <w:rPr>
          <w:rStyle w:val="TextoNormalCaracter"/>
        </w:rPr>
        <w:t xml:space="preserve">, Autos </w:t>
      </w:r>
      <w:hyperlink w:anchor="AUTO_2025_4" w:history="1">
        <w:r w:rsidRPr="00C72046">
          <w:rPr>
            <w:rStyle w:val="TextoNormalCaracter"/>
          </w:rPr>
          <w:t>4/2025</w:t>
        </w:r>
      </w:hyperlink>
      <w:r w:rsidRPr="00C72046">
        <w:rPr>
          <w:rStyle w:val="TextoNormalCaracter"/>
        </w:rPr>
        <w:t xml:space="preserve">, f. único; </w:t>
      </w:r>
      <w:hyperlink w:anchor="AUTO_2025_5" w:history="1">
        <w:r w:rsidRPr="00C72046">
          <w:rPr>
            <w:rStyle w:val="TextoNormalCaracter"/>
          </w:rPr>
          <w:t>5/2025</w:t>
        </w:r>
      </w:hyperlink>
      <w:r w:rsidRPr="00C72046">
        <w:rPr>
          <w:rStyle w:val="TextoNormalCaracter"/>
        </w:rPr>
        <w:t xml:space="preserve">, f. único; </w:t>
      </w:r>
      <w:hyperlink w:anchor="AUTO_2025_11" w:history="1">
        <w:r w:rsidRPr="00C72046">
          <w:rPr>
            <w:rStyle w:val="TextoNormalCaracter"/>
          </w:rPr>
          <w:t>11/2025</w:t>
        </w:r>
      </w:hyperlink>
      <w:r w:rsidRPr="00C72046">
        <w:rPr>
          <w:rStyle w:val="TextoNormalCaracter"/>
        </w:rPr>
        <w:t>, f. único.</w:t>
      </w:r>
    </w:p>
    <w:p w14:paraId="0F09B3E5" w14:textId="147177B5" w:rsidR="00C72046" w:rsidRPr="00C72046" w:rsidRDefault="00C72046" w:rsidP="00C72046">
      <w:pPr>
        <w:pStyle w:val="TextoNormalSangraFrancesa"/>
        <w:rPr>
          <w:rStyle w:val="TextoNormalCaracter"/>
        </w:rPr>
      </w:pPr>
      <w:bookmarkStart w:id="735" w:name="DESCRIPTORALFABETICO350"/>
      <w:r w:rsidRPr="00C72046">
        <w:rPr>
          <w:rStyle w:val="TextoNormalNegritaCaracter"/>
        </w:rPr>
        <w:t>Adopción</w:t>
      </w:r>
      <w:bookmarkEnd w:id="735"/>
      <w:r w:rsidRPr="00C72046">
        <w:rPr>
          <w:rStyle w:val="TextoNormalCaracter"/>
        </w:rPr>
        <w:t xml:space="preserve">, Sentencia </w:t>
      </w:r>
      <w:hyperlink w:anchor="SENTENCIA_2025_123" w:history="1">
        <w:r w:rsidRPr="00C72046">
          <w:rPr>
            <w:rStyle w:val="TextoNormalCaracter"/>
          </w:rPr>
          <w:t>123/2025</w:t>
        </w:r>
      </w:hyperlink>
      <w:r w:rsidRPr="00C72046">
        <w:rPr>
          <w:rStyle w:val="TextoNormalCaracter"/>
        </w:rPr>
        <w:t>, f. 2.</w:t>
      </w:r>
    </w:p>
    <w:p w14:paraId="37BB7BBA" w14:textId="762F91BF" w:rsidR="00C72046" w:rsidRPr="00C72046" w:rsidRDefault="00C72046" w:rsidP="00C72046">
      <w:pPr>
        <w:pStyle w:val="TextoNormalSangraFrancesa"/>
        <w:rPr>
          <w:rStyle w:val="TextoNormalCaracter"/>
        </w:rPr>
      </w:pPr>
      <w:bookmarkStart w:id="736" w:name="DESCRIPTORALFABETICO210"/>
      <w:r w:rsidRPr="00C72046">
        <w:rPr>
          <w:rStyle w:val="TextoNormalNegritaCaracter"/>
        </w:rPr>
        <w:t>Agotamiento de la vía judicial</w:t>
      </w:r>
      <w:bookmarkEnd w:id="736"/>
      <w:r w:rsidRPr="00C72046">
        <w:rPr>
          <w:rStyle w:val="TextoNormalCaracter"/>
        </w:rPr>
        <w:t xml:space="preserve">, Sentencia </w:t>
      </w:r>
      <w:hyperlink w:anchor="SENTENCIA_2025_13" w:history="1">
        <w:r w:rsidRPr="00C72046">
          <w:rPr>
            <w:rStyle w:val="TextoNormalCaracter"/>
          </w:rPr>
          <w:t>13/2025</w:t>
        </w:r>
      </w:hyperlink>
      <w:r w:rsidRPr="00C72046">
        <w:rPr>
          <w:rStyle w:val="TextoNormalCaracter"/>
        </w:rPr>
        <w:t>, f. 2.</w:t>
      </w:r>
    </w:p>
    <w:p w14:paraId="690288AF" w14:textId="7EAB12AA" w:rsidR="00C72046" w:rsidRPr="00C72046" w:rsidRDefault="00C72046" w:rsidP="00C72046">
      <w:pPr>
        <w:pStyle w:val="TextoNormalSangraFrancesa"/>
        <w:rPr>
          <w:rStyle w:val="TextoNormalCaracter"/>
        </w:rPr>
      </w:pPr>
      <w:bookmarkStart w:id="737" w:name="DESCRIPTORALFABETICO181"/>
      <w:r w:rsidRPr="00C72046">
        <w:rPr>
          <w:rStyle w:val="TextoNormalNegritaCaracter"/>
        </w:rPr>
        <w:t>Alcance del fallo en cuestión de inconstitucionalidad</w:t>
      </w:r>
      <w:bookmarkEnd w:id="737"/>
      <w:r w:rsidRPr="00C72046">
        <w:rPr>
          <w:rStyle w:val="TextoNormalCaracter"/>
        </w:rPr>
        <w:t xml:space="preserve">, Sentencias </w:t>
      </w:r>
      <w:hyperlink w:anchor="SENTENCIA_2025_98" w:history="1">
        <w:r w:rsidRPr="00C72046">
          <w:rPr>
            <w:rStyle w:val="TextoNormalCaracter"/>
          </w:rPr>
          <w:t>98/2025</w:t>
        </w:r>
      </w:hyperlink>
      <w:r w:rsidRPr="00C72046">
        <w:rPr>
          <w:rStyle w:val="TextoNormalCaracter"/>
        </w:rPr>
        <w:t xml:space="preserve">, f. 4, VP; </w:t>
      </w:r>
      <w:hyperlink w:anchor="SENTENCIA_2025_134" w:history="1">
        <w:r w:rsidRPr="00C72046">
          <w:rPr>
            <w:rStyle w:val="TextoNormalCaracter"/>
          </w:rPr>
          <w:t>134/2025</w:t>
        </w:r>
      </w:hyperlink>
      <w:r w:rsidRPr="00C72046">
        <w:rPr>
          <w:rStyle w:val="TextoNormalCaracter"/>
        </w:rPr>
        <w:t>, f. 6.</w:t>
      </w:r>
    </w:p>
    <w:p w14:paraId="33C0257C" w14:textId="012C4A37" w:rsidR="00C72046" w:rsidRPr="00C72046" w:rsidRDefault="00C72046" w:rsidP="00C72046">
      <w:pPr>
        <w:pStyle w:val="TextoNormalSangraFrancesa"/>
        <w:rPr>
          <w:rStyle w:val="TextoNormalCaracter"/>
        </w:rPr>
      </w:pPr>
      <w:bookmarkStart w:id="738" w:name="DESCRIPTORALFABETICO199"/>
      <w:r w:rsidRPr="00C72046">
        <w:rPr>
          <w:rStyle w:val="TextoNormalNegritaCaracter"/>
        </w:rPr>
        <w:t>Alcance del fallo en recurso de inconstitucionalidad</w:t>
      </w:r>
      <w:bookmarkEnd w:id="738"/>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ff. 8 y 3.5.</w:t>
      </w:r>
    </w:p>
    <w:p w14:paraId="715A000E" w14:textId="1D553EC1" w:rsidR="00C72046" w:rsidRPr="00C72046" w:rsidRDefault="00C72046" w:rsidP="00C72046">
      <w:pPr>
        <w:pStyle w:val="TextoNormalSangraFrancesa"/>
        <w:rPr>
          <w:rStyle w:val="TextoNormalCaracter"/>
        </w:rPr>
      </w:pPr>
      <w:bookmarkStart w:id="739" w:name="DESCRIPTORALFABETICO420"/>
      <w:r w:rsidRPr="00C72046">
        <w:rPr>
          <w:rStyle w:val="TextoNormalNegritaCaracter"/>
        </w:rPr>
        <w:t>Alquiler social</w:t>
      </w:r>
      <w:bookmarkEnd w:id="739"/>
      <w:r w:rsidRPr="00C72046">
        <w:rPr>
          <w:rStyle w:val="TextoNormalCaracter"/>
        </w:rPr>
        <w:t xml:space="preserve">, Sentencia </w:t>
      </w:r>
      <w:hyperlink w:anchor="SENTENCIA_2025_25" w:history="1">
        <w:r w:rsidRPr="00C72046">
          <w:rPr>
            <w:rStyle w:val="TextoNormalCaracter"/>
          </w:rPr>
          <w:t>25/2025</w:t>
        </w:r>
      </w:hyperlink>
      <w:r w:rsidRPr="00C72046">
        <w:rPr>
          <w:rStyle w:val="TextoNormalCaracter"/>
        </w:rPr>
        <w:t>, f. 5.</w:t>
      </w:r>
    </w:p>
    <w:p w14:paraId="306D2758" w14:textId="712C90CD" w:rsidR="00C72046" w:rsidRPr="00C72046" w:rsidRDefault="00C72046" w:rsidP="00C72046">
      <w:pPr>
        <w:pStyle w:val="TextoNormalSangraFrancesa"/>
        <w:rPr>
          <w:rStyle w:val="TextoNormalCaracter"/>
        </w:rPr>
      </w:pPr>
      <w:bookmarkStart w:id="740" w:name="DESCRIPTORALFABETICO233"/>
      <w:r w:rsidRPr="00C72046">
        <w:rPr>
          <w:rStyle w:val="TextoNormalNegritaCaracter"/>
        </w:rPr>
        <w:t>Amnistía</w:t>
      </w:r>
      <w:bookmarkEnd w:id="740"/>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ff. 2, 3, 6, 10, 14, VP I, VP II, VP III, VP IV.</w:t>
      </w:r>
    </w:p>
    <w:p w14:paraId="2D38A2D4" w14:textId="173CB1C9" w:rsidR="00C72046" w:rsidRPr="00C72046" w:rsidRDefault="00C72046" w:rsidP="00C72046">
      <w:pPr>
        <w:pStyle w:val="TextoNormalSangraFrancesa"/>
        <w:rPr>
          <w:rStyle w:val="TextoNormalCaracter"/>
        </w:rPr>
      </w:pPr>
      <w:bookmarkStart w:id="741" w:name="DESCRIPTORALFABETICO385"/>
      <w:r w:rsidRPr="00C72046">
        <w:rPr>
          <w:rStyle w:val="TextoNormalNegritaCaracter"/>
        </w:rPr>
        <w:t xml:space="preserve">Analogía </w:t>
      </w:r>
      <w:r w:rsidRPr="00C72046">
        <w:rPr>
          <w:rStyle w:val="TextoNormalNegritaCaracter"/>
          <w:i/>
        </w:rPr>
        <w:t>in malam partem</w:t>
      </w:r>
      <w:bookmarkEnd w:id="741"/>
      <w:r w:rsidRPr="00C72046">
        <w:rPr>
          <w:rStyle w:val="TextoNormalCaracter"/>
        </w:rPr>
        <w:t xml:space="preserve">, Sentencia </w:t>
      </w:r>
      <w:hyperlink w:anchor="SENTENCIA_2025_51" w:history="1">
        <w:r w:rsidRPr="00C72046">
          <w:rPr>
            <w:rStyle w:val="TextoNormalCaracter"/>
          </w:rPr>
          <w:t>51/2025</w:t>
        </w:r>
      </w:hyperlink>
      <w:r w:rsidRPr="00C72046">
        <w:rPr>
          <w:rStyle w:val="TextoNormalCaracter"/>
        </w:rPr>
        <w:t>, f. 4.</w:t>
      </w:r>
    </w:p>
    <w:p w14:paraId="7FA2F538" w14:textId="4D2275EB" w:rsidR="00C72046" w:rsidRPr="00C72046" w:rsidRDefault="00C72046" w:rsidP="00C72046">
      <w:pPr>
        <w:pStyle w:val="TextoNormalSangraFrancesa"/>
        <w:rPr>
          <w:rStyle w:val="TextoNormalCaracter"/>
        </w:rPr>
      </w:pPr>
      <w:bookmarkStart w:id="742" w:name="DESCRIPTORALFABETICO483"/>
      <w:r w:rsidRPr="00C72046">
        <w:rPr>
          <w:rStyle w:val="TextoNormalNegritaCaracter"/>
        </w:rPr>
        <w:t>Andalucía</w:t>
      </w:r>
      <w:bookmarkEnd w:id="742"/>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 1.</w:t>
      </w:r>
    </w:p>
    <w:p w14:paraId="3C20D7F8" w14:textId="41335300" w:rsidR="00C72046" w:rsidRPr="00C72046" w:rsidRDefault="00C72046" w:rsidP="00C72046">
      <w:pPr>
        <w:pStyle w:val="TextoNormalSangraFrancesa"/>
        <w:rPr>
          <w:rStyle w:val="TextoNormalCaracter"/>
        </w:rPr>
      </w:pPr>
      <w:bookmarkStart w:id="743" w:name="DESCRIPTORALFABETICO364"/>
      <w:r w:rsidRPr="00C72046">
        <w:rPr>
          <w:rStyle w:val="TextoNormalNegritaCaracter"/>
        </w:rPr>
        <w:t>Aplicación del Derecho de la Unión Europea</w:t>
      </w:r>
      <w:bookmarkEnd w:id="743"/>
      <w:r w:rsidRPr="00C72046">
        <w:rPr>
          <w:rStyle w:val="TextoNormalCaracter"/>
        </w:rPr>
        <w:t xml:space="preserve">, Sentencias </w:t>
      </w:r>
      <w:hyperlink w:anchor="SENTENCIA_2025_45" w:history="1">
        <w:r w:rsidRPr="00C72046">
          <w:rPr>
            <w:rStyle w:val="TextoNormalCaracter"/>
          </w:rPr>
          <w:t>45/2025</w:t>
        </w:r>
      </w:hyperlink>
      <w:r w:rsidRPr="00C72046">
        <w:rPr>
          <w:rStyle w:val="TextoNormalCaracter"/>
        </w:rPr>
        <w:t xml:space="preserve">, f. 2; </w:t>
      </w:r>
      <w:hyperlink w:anchor="SENTENCIA_2025_109" w:history="1">
        <w:r w:rsidRPr="00C72046">
          <w:rPr>
            <w:rStyle w:val="TextoNormalCaracter"/>
          </w:rPr>
          <w:t>109/2025</w:t>
        </w:r>
      </w:hyperlink>
      <w:r w:rsidRPr="00C72046">
        <w:rPr>
          <w:rStyle w:val="TextoNormalCaracter"/>
        </w:rPr>
        <w:t xml:space="preserve">, ff. 2 y 3; </w:t>
      </w:r>
      <w:hyperlink w:anchor="SENTENCIA_2025_121" w:history="1">
        <w:r w:rsidRPr="00C72046">
          <w:rPr>
            <w:rStyle w:val="TextoNormalCaracter"/>
          </w:rPr>
          <w:t>121/2025</w:t>
        </w:r>
      </w:hyperlink>
      <w:r w:rsidRPr="00C72046">
        <w:rPr>
          <w:rStyle w:val="TextoNormalCaracter"/>
        </w:rPr>
        <w:t>, ff. 3 y 4.</w:t>
      </w:r>
    </w:p>
    <w:p w14:paraId="62629D03" w14:textId="5A14386B" w:rsidR="00C72046" w:rsidRPr="00C72046" w:rsidRDefault="00C72046" w:rsidP="00C72046">
      <w:pPr>
        <w:pStyle w:val="TextoNormalSangraFrancesa"/>
        <w:rPr>
          <w:rStyle w:val="TextoNormalCaracter"/>
        </w:rPr>
      </w:pPr>
      <w:bookmarkStart w:id="744" w:name="DESCRIPTORALFABETICO297"/>
      <w:r w:rsidRPr="00C72046">
        <w:rPr>
          <w:rStyle w:val="TextoNormalNegritaCaracter"/>
        </w:rPr>
        <w:t>Arbitrariedad del legislador</w:t>
      </w:r>
      <w:bookmarkEnd w:id="744"/>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7, VP I, VP II, VP IV.</w:t>
      </w:r>
    </w:p>
    <w:p w14:paraId="1DB587DE" w14:textId="06043035" w:rsidR="00C72046" w:rsidRPr="00C72046" w:rsidRDefault="00C72046" w:rsidP="00C72046">
      <w:pPr>
        <w:pStyle w:val="TextoNormalSangraFrancesa"/>
        <w:rPr>
          <w:rStyle w:val="TextoNormalCaracter"/>
        </w:rPr>
      </w:pPr>
      <w:bookmarkStart w:id="745" w:name="DESCRIPTORALFABETICO471"/>
      <w:r w:rsidRPr="00C72046">
        <w:rPr>
          <w:rStyle w:val="TextoNormalNegritaCaracter"/>
        </w:rPr>
        <w:t>Archivo de demanda por despido</w:t>
      </w:r>
      <w:bookmarkEnd w:id="745"/>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ff. 2 y 3.</w:t>
      </w:r>
    </w:p>
    <w:p w14:paraId="6613FCD9" w14:textId="647690A8" w:rsidR="00C72046" w:rsidRPr="00C72046" w:rsidRDefault="00C72046" w:rsidP="00C72046">
      <w:pPr>
        <w:pStyle w:val="TextoNormalSangraFrancesa"/>
        <w:rPr>
          <w:rStyle w:val="TextoNormalCaracter"/>
        </w:rPr>
      </w:pPr>
      <w:bookmarkStart w:id="746" w:name="DESCRIPTORALFABETICO323"/>
      <w:r w:rsidRPr="00C72046">
        <w:rPr>
          <w:rStyle w:val="TextoNormalNegritaCaracter"/>
        </w:rPr>
        <w:t>Arrendamientos urbanos</w:t>
      </w:r>
      <w:bookmarkEnd w:id="746"/>
      <w:r w:rsidRPr="00C72046">
        <w:rPr>
          <w:rStyle w:val="TextoNormalCaracter"/>
        </w:rPr>
        <w:t xml:space="preserve">, Sentencia </w:t>
      </w:r>
      <w:hyperlink w:anchor="SENTENCIA_2025_26" w:history="1">
        <w:r w:rsidRPr="00C72046">
          <w:rPr>
            <w:rStyle w:val="TextoNormalCaracter"/>
          </w:rPr>
          <w:t>26/2025</w:t>
        </w:r>
      </w:hyperlink>
      <w:r w:rsidRPr="00C72046">
        <w:rPr>
          <w:rStyle w:val="TextoNormalCaracter"/>
        </w:rPr>
        <w:t>, f. 5, VP I.</w:t>
      </w:r>
    </w:p>
    <w:p w14:paraId="0383AA1C" w14:textId="7A415CB3" w:rsidR="00C72046" w:rsidRPr="00C72046" w:rsidRDefault="00C72046" w:rsidP="00C72046">
      <w:pPr>
        <w:pStyle w:val="TextoNormalSangraFrancesa"/>
        <w:rPr>
          <w:rStyle w:val="TextoNormalCaracter"/>
        </w:rPr>
      </w:pPr>
      <w:bookmarkStart w:id="747" w:name="DESCRIPTORALFABETICO407"/>
      <w:r w:rsidRPr="00C72046">
        <w:rPr>
          <w:rStyle w:val="TextoNormalNegritaCaracter"/>
        </w:rPr>
        <w:t>Asociaciones de vecinos</w:t>
      </w:r>
      <w:bookmarkEnd w:id="747"/>
      <w:r w:rsidRPr="00C72046">
        <w:rPr>
          <w:rStyle w:val="TextoNormalCaracter"/>
        </w:rPr>
        <w:t xml:space="preserve">, Sentencia </w:t>
      </w:r>
      <w:hyperlink w:anchor="SENTENCIA_2025_69" w:history="1">
        <w:r w:rsidRPr="00C72046">
          <w:rPr>
            <w:rStyle w:val="TextoNormalCaracter"/>
          </w:rPr>
          <w:t>69/2025</w:t>
        </w:r>
      </w:hyperlink>
      <w:r w:rsidRPr="00C72046">
        <w:rPr>
          <w:rStyle w:val="TextoNormalCaracter"/>
        </w:rPr>
        <w:t>, f.1..</w:t>
      </w:r>
    </w:p>
    <w:p w14:paraId="4014B9C0" w14:textId="4CFE1D14" w:rsidR="00C72046" w:rsidRPr="00C72046" w:rsidRDefault="00C72046" w:rsidP="00C72046">
      <w:pPr>
        <w:pStyle w:val="TextoNormalSangraFrancesa"/>
        <w:rPr>
          <w:rStyle w:val="TextoNormalCaracter"/>
        </w:rPr>
      </w:pPr>
      <w:bookmarkStart w:id="748" w:name="DESCRIPTORALFABETICO182"/>
      <w:r w:rsidRPr="00C72046">
        <w:rPr>
          <w:rStyle w:val="TextoNormalNegritaCaracter"/>
        </w:rPr>
        <w:t>Audiencia previa a todas las partes</w:t>
      </w:r>
      <w:bookmarkEnd w:id="748"/>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2.</w:t>
      </w:r>
    </w:p>
    <w:p w14:paraId="041C19FC" w14:textId="3CA1A44A" w:rsidR="00C72046" w:rsidRPr="00C72046" w:rsidRDefault="00C72046" w:rsidP="00C72046">
      <w:pPr>
        <w:pStyle w:val="TextoNormalSangraFrancesa"/>
        <w:rPr>
          <w:rStyle w:val="TextoNormalCaracter"/>
        </w:rPr>
      </w:pPr>
      <w:bookmarkStart w:id="749" w:name="DESCRIPTORALFABETICO213"/>
      <w:r w:rsidRPr="00C72046">
        <w:rPr>
          <w:rStyle w:val="TextoNormalNegritaCaracter"/>
        </w:rPr>
        <w:t>Ausencia de doctrina constitucional</w:t>
      </w:r>
      <w:bookmarkEnd w:id="749"/>
      <w:r w:rsidRPr="00C72046">
        <w:rPr>
          <w:rStyle w:val="TextoNormalCaracter"/>
        </w:rPr>
        <w:t xml:space="preserve">, Sentencias </w:t>
      </w:r>
      <w:hyperlink w:anchor="SENTENCIA_2025_117" w:history="1">
        <w:r w:rsidRPr="00C72046">
          <w:rPr>
            <w:rStyle w:val="TextoNormalCaracter"/>
          </w:rPr>
          <w:t>117/2025</w:t>
        </w:r>
      </w:hyperlink>
      <w:r w:rsidRPr="00C72046">
        <w:rPr>
          <w:rStyle w:val="TextoNormalCaracter"/>
        </w:rPr>
        <w:t xml:space="preserve">, f. 3; </w:t>
      </w:r>
      <w:hyperlink w:anchor="SENTENCIA_2025_126" w:history="1">
        <w:r w:rsidRPr="00C72046">
          <w:rPr>
            <w:rStyle w:val="TextoNormalCaracter"/>
          </w:rPr>
          <w:t>126/2025</w:t>
        </w:r>
      </w:hyperlink>
      <w:r w:rsidRPr="00C72046">
        <w:rPr>
          <w:rStyle w:val="TextoNormalCaracter"/>
        </w:rPr>
        <w:t>, f. 2.</w:t>
      </w:r>
    </w:p>
    <w:p w14:paraId="61D8C741" w14:textId="6AF1C959" w:rsidR="00C72046" w:rsidRPr="00C72046" w:rsidRDefault="00C72046" w:rsidP="00C72046">
      <w:pPr>
        <w:pStyle w:val="TextoNormalSangraFrancesa"/>
        <w:rPr>
          <w:rStyle w:val="TextoNormalCaracter"/>
        </w:rPr>
      </w:pPr>
      <w:r w:rsidRPr="00C72046">
        <w:rPr>
          <w:rStyle w:val="TextoNormalCaracter"/>
        </w:rPr>
        <w:t xml:space="preserve">    Autos </w:t>
      </w:r>
      <w:hyperlink w:anchor="AUTO_2025_4" w:history="1">
        <w:r w:rsidRPr="00C72046">
          <w:rPr>
            <w:rStyle w:val="TextoNormalCaracter"/>
          </w:rPr>
          <w:t>4/2025</w:t>
        </w:r>
      </w:hyperlink>
      <w:r w:rsidRPr="00C72046">
        <w:rPr>
          <w:rStyle w:val="TextoNormalCaracter"/>
        </w:rPr>
        <w:t xml:space="preserve">, f. único; </w:t>
      </w:r>
      <w:hyperlink w:anchor="AUTO_2025_5" w:history="1">
        <w:r w:rsidRPr="00C72046">
          <w:rPr>
            <w:rStyle w:val="TextoNormalCaracter"/>
          </w:rPr>
          <w:t>5/2025</w:t>
        </w:r>
      </w:hyperlink>
      <w:r w:rsidRPr="00C72046">
        <w:rPr>
          <w:rStyle w:val="TextoNormalCaracter"/>
        </w:rPr>
        <w:t>, f. único.</w:t>
      </w:r>
    </w:p>
    <w:p w14:paraId="31802C5A" w14:textId="05F139CC" w:rsidR="00C72046" w:rsidRPr="00C72046" w:rsidRDefault="00C72046" w:rsidP="00C72046">
      <w:pPr>
        <w:pStyle w:val="TextoNormalSangraFrancesa"/>
        <w:rPr>
          <w:rStyle w:val="TextoNormalCaracter"/>
        </w:rPr>
      </w:pPr>
      <w:bookmarkStart w:id="750" w:name="DESCRIPTORALFABETICO295"/>
      <w:r w:rsidRPr="00C72046">
        <w:rPr>
          <w:rStyle w:val="TextoNormalNegritaCaracter"/>
        </w:rPr>
        <w:t>Autonomía local</w:t>
      </w:r>
      <w:bookmarkEnd w:id="750"/>
      <w:r w:rsidRPr="00C72046">
        <w:rPr>
          <w:rStyle w:val="TextoNormalCaracter"/>
        </w:rPr>
        <w:t xml:space="preserve">, Sentencias </w:t>
      </w:r>
      <w:hyperlink w:anchor="SENTENCIA_2025_26" w:history="1">
        <w:r w:rsidRPr="00C72046">
          <w:rPr>
            <w:rStyle w:val="TextoNormalCaracter"/>
          </w:rPr>
          <w:t>26/2025</w:t>
        </w:r>
      </w:hyperlink>
      <w:r w:rsidRPr="00C72046">
        <w:rPr>
          <w:rStyle w:val="TextoNormalCaracter"/>
        </w:rPr>
        <w:t xml:space="preserve">, f. 3, VP I, VP II; </w:t>
      </w:r>
      <w:hyperlink w:anchor="SENTENCIA_2025_64" w:history="1">
        <w:r w:rsidRPr="00C72046">
          <w:rPr>
            <w:rStyle w:val="TextoNormalCaracter"/>
          </w:rPr>
          <w:t>64/2025</w:t>
        </w:r>
      </w:hyperlink>
      <w:r w:rsidRPr="00C72046">
        <w:rPr>
          <w:rStyle w:val="TextoNormalCaracter"/>
        </w:rPr>
        <w:t>, f. 6, VP.</w:t>
      </w:r>
    </w:p>
    <w:p w14:paraId="26AFBC64" w14:textId="2C2D6BF4" w:rsidR="00C72046" w:rsidRPr="00C72046" w:rsidRDefault="00C72046" w:rsidP="00C72046">
      <w:pPr>
        <w:pStyle w:val="TextoNormalSangraFrancesa"/>
        <w:rPr>
          <w:rStyle w:val="TextoNormalCaracter"/>
        </w:rPr>
      </w:pPr>
      <w:bookmarkStart w:id="751" w:name="DESCRIPTORALFABETICO259"/>
      <w:r w:rsidRPr="00C72046">
        <w:rPr>
          <w:rStyle w:val="TextoNormalNegritaCaracter"/>
        </w:rPr>
        <w:t>Autonomía parlamentaria</w:t>
      </w:r>
      <w:bookmarkEnd w:id="751"/>
      <w:r w:rsidRPr="00C72046">
        <w:rPr>
          <w:rStyle w:val="TextoNormalCaracter"/>
        </w:rPr>
        <w:t xml:space="preserve">, Sentencias </w:t>
      </w:r>
      <w:hyperlink w:anchor="SENTENCIA_2025_63" w:history="1">
        <w:r w:rsidRPr="00C72046">
          <w:rPr>
            <w:rStyle w:val="TextoNormalCaracter"/>
          </w:rPr>
          <w:t>63/2025</w:t>
        </w:r>
      </w:hyperlink>
      <w:r w:rsidRPr="00C72046">
        <w:rPr>
          <w:rStyle w:val="TextoNormalCaracter"/>
        </w:rPr>
        <w:t xml:space="preserve">, f. 10 y VP; </w:t>
      </w:r>
      <w:hyperlink w:anchor="SENTENCIA_2025_107" w:history="1">
        <w:r w:rsidRPr="00C72046">
          <w:rPr>
            <w:rStyle w:val="TextoNormalCaracter"/>
          </w:rPr>
          <w:t>107/2025</w:t>
        </w:r>
      </w:hyperlink>
      <w:r w:rsidRPr="00C72046">
        <w:rPr>
          <w:rStyle w:val="TextoNormalCaracter"/>
        </w:rPr>
        <w:t xml:space="preserve">, f. 3; </w:t>
      </w:r>
      <w:hyperlink w:anchor="SENTENCIA_2025_108" w:history="1">
        <w:r w:rsidRPr="00C72046">
          <w:rPr>
            <w:rStyle w:val="TextoNormalCaracter"/>
          </w:rPr>
          <w:t>108/2025</w:t>
        </w:r>
      </w:hyperlink>
      <w:r w:rsidRPr="00C72046">
        <w:rPr>
          <w:rStyle w:val="TextoNormalCaracter"/>
        </w:rPr>
        <w:t xml:space="preserve">; </w:t>
      </w:r>
      <w:hyperlink w:anchor="SENTENCIA_2025_120" w:history="1">
        <w:r w:rsidRPr="00C72046">
          <w:rPr>
            <w:rStyle w:val="TextoNormalCaracter"/>
          </w:rPr>
          <w:t>120/2025</w:t>
        </w:r>
      </w:hyperlink>
      <w:r w:rsidRPr="00C72046">
        <w:rPr>
          <w:rStyle w:val="TextoNormalCaracter"/>
        </w:rPr>
        <w:t>, ff. 2 a 5.</w:t>
      </w:r>
    </w:p>
    <w:p w14:paraId="30E44386" w14:textId="7C5A139F" w:rsidR="00C72046" w:rsidRDefault="00C72046" w:rsidP="00C72046">
      <w:pPr>
        <w:pStyle w:val="TextoNormalSangraFrancesa"/>
      </w:pPr>
    </w:p>
    <w:p w14:paraId="59AB5C94" w14:textId="77777777" w:rsidR="00C72046" w:rsidRDefault="00C72046" w:rsidP="00C72046">
      <w:pPr>
        <w:pStyle w:val="TextoNormalSangraFrancesa"/>
      </w:pPr>
    </w:p>
    <w:p w14:paraId="791F0116" w14:textId="77777777" w:rsidR="00C72046" w:rsidRDefault="00C72046" w:rsidP="00C72046">
      <w:pPr>
        <w:pStyle w:val="TextoNormalNegritaCentrado"/>
      </w:pPr>
      <w:r>
        <w:t>B</w:t>
      </w:r>
    </w:p>
    <w:p w14:paraId="183E69E7" w14:textId="2D7192F1" w:rsidR="00C72046" w:rsidRDefault="00C72046" w:rsidP="00C72046">
      <w:pPr>
        <w:pStyle w:val="TextoNormalNegritaCentrado"/>
      </w:pPr>
    </w:p>
    <w:p w14:paraId="3ADE1922" w14:textId="261B5494" w:rsidR="00C72046" w:rsidRPr="00C72046" w:rsidRDefault="00C72046" w:rsidP="00C72046">
      <w:pPr>
        <w:pStyle w:val="TextoNormalSangraFrancesa"/>
        <w:rPr>
          <w:rStyle w:val="TextoNormalCaracter"/>
        </w:rPr>
      </w:pPr>
      <w:bookmarkStart w:id="752" w:name="DESCRIPTORALFABETICO32"/>
      <w:r w:rsidRPr="00C72046">
        <w:rPr>
          <w:rStyle w:val="TextoNormalNegritaCaracter"/>
        </w:rPr>
        <w:t>Base imponible</w:t>
      </w:r>
      <w:bookmarkEnd w:id="752"/>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ff. 1 a 3.</w:t>
      </w:r>
    </w:p>
    <w:p w14:paraId="058906A2" w14:textId="2E85AA48" w:rsidR="00C72046" w:rsidRPr="00C72046" w:rsidRDefault="00C72046" w:rsidP="00C72046">
      <w:pPr>
        <w:pStyle w:val="TextoNormalSangraFrancesa"/>
        <w:rPr>
          <w:rStyle w:val="TextoNormalCaracter"/>
        </w:rPr>
      </w:pPr>
      <w:bookmarkStart w:id="753" w:name="DESCRIPTORALFABETICO324"/>
      <w:r w:rsidRPr="00C72046">
        <w:rPr>
          <w:rStyle w:val="TextoNormalNegritaCaracter"/>
        </w:rPr>
        <w:t>Bases de las obligaciones contractuales</w:t>
      </w:r>
      <w:bookmarkEnd w:id="753"/>
      <w:r w:rsidRPr="00C72046">
        <w:rPr>
          <w:rStyle w:val="TextoNormalCaracter"/>
        </w:rPr>
        <w:t xml:space="preserve">, Sentencia </w:t>
      </w:r>
      <w:hyperlink w:anchor="SENTENCIA_2025_26" w:history="1">
        <w:r w:rsidRPr="00C72046">
          <w:rPr>
            <w:rStyle w:val="TextoNormalCaracter"/>
          </w:rPr>
          <w:t>26/2025</w:t>
        </w:r>
      </w:hyperlink>
      <w:r w:rsidRPr="00C72046">
        <w:rPr>
          <w:rStyle w:val="TextoNormalCaracter"/>
        </w:rPr>
        <w:t>, f. 4.</w:t>
      </w:r>
    </w:p>
    <w:p w14:paraId="266BAD53" w14:textId="7A287F9B" w:rsidR="00C72046" w:rsidRPr="00C72046" w:rsidRDefault="00C72046" w:rsidP="00C72046">
      <w:pPr>
        <w:pStyle w:val="TextoNormalSangraFrancesa"/>
        <w:rPr>
          <w:rStyle w:val="TextoNormalCaracter"/>
        </w:rPr>
      </w:pPr>
      <w:bookmarkStart w:id="754" w:name="DESCRIPTORALFABETICO289"/>
      <w:r w:rsidRPr="00C72046">
        <w:rPr>
          <w:rStyle w:val="TextoNormalNegritaCaracter"/>
        </w:rPr>
        <w:t>Bicameralismo</w:t>
      </w:r>
      <w:bookmarkEnd w:id="754"/>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ff. 9 y 10, VP.</w:t>
      </w:r>
    </w:p>
    <w:p w14:paraId="7DA6D961" w14:textId="6209A0D3" w:rsidR="00C72046" w:rsidRDefault="00C72046" w:rsidP="00C72046">
      <w:pPr>
        <w:pStyle w:val="TextoNormalSangraFrancesa"/>
      </w:pPr>
    </w:p>
    <w:p w14:paraId="670FCC5F" w14:textId="77777777" w:rsidR="00C72046" w:rsidRDefault="00C72046" w:rsidP="00C72046">
      <w:pPr>
        <w:pStyle w:val="TextoNormalSangraFrancesa"/>
      </w:pPr>
    </w:p>
    <w:p w14:paraId="0CE0BB68" w14:textId="77777777" w:rsidR="00C72046" w:rsidRDefault="00C72046" w:rsidP="00C72046">
      <w:pPr>
        <w:pStyle w:val="TextoNormalNegritaCentrado"/>
      </w:pPr>
      <w:r>
        <w:t>C</w:t>
      </w:r>
    </w:p>
    <w:p w14:paraId="0FB17E26" w14:textId="27413D7D" w:rsidR="00C72046" w:rsidRDefault="00C72046" w:rsidP="00C72046">
      <w:pPr>
        <w:pStyle w:val="TextoNormalNegritaCentrado"/>
      </w:pPr>
    </w:p>
    <w:p w14:paraId="1A87F693" w14:textId="3BF44418" w:rsidR="00C72046" w:rsidRPr="00C72046" w:rsidRDefault="00C72046" w:rsidP="00C72046">
      <w:pPr>
        <w:pStyle w:val="TextoNormalSangraFrancesa"/>
        <w:rPr>
          <w:rStyle w:val="TextoNormalCaracter"/>
        </w:rPr>
      </w:pPr>
      <w:bookmarkStart w:id="755" w:name="DESCRIPTORALFABETICO484"/>
      <w:r w:rsidRPr="00C72046">
        <w:rPr>
          <w:rStyle w:val="TextoNormalNegritaCaracter"/>
        </w:rPr>
        <w:t>Canarias</w:t>
      </w:r>
      <w:bookmarkEnd w:id="755"/>
      <w:r w:rsidRPr="00C72046">
        <w:rPr>
          <w:rStyle w:val="TextoNormalCaracter"/>
        </w:rPr>
        <w:t xml:space="preserve">, Sentencias </w:t>
      </w:r>
      <w:hyperlink w:anchor="SENTENCIA_2025_43" w:history="1">
        <w:r w:rsidRPr="00C72046">
          <w:rPr>
            <w:rStyle w:val="TextoNormalCaracter"/>
          </w:rPr>
          <w:t>43/2025</w:t>
        </w:r>
      </w:hyperlink>
      <w:r w:rsidRPr="00C72046">
        <w:rPr>
          <w:rStyle w:val="TextoNormalCaracter"/>
        </w:rPr>
        <w:t xml:space="preserve">; </w:t>
      </w:r>
      <w:hyperlink w:anchor="SENTENCIA_2025_95" w:history="1">
        <w:r w:rsidRPr="00C72046">
          <w:rPr>
            <w:rStyle w:val="TextoNormalCaracter"/>
          </w:rPr>
          <w:t>95/2025</w:t>
        </w:r>
      </w:hyperlink>
      <w:r w:rsidRPr="00C72046">
        <w:rPr>
          <w:rStyle w:val="TextoNormalCaracter"/>
        </w:rPr>
        <w:t>, f. 1.</w:t>
      </w:r>
    </w:p>
    <w:p w14:paraId="780DC63A" w14:textId="2211022F" w:rsidR="00C72046" w:rsidRPr="00C72046" w:rsidRDefault="00C72046" w:rsidP="00C72046">
      <w:pPr>
        <w:pStyle w:val="TextoNormalSangraFrancesa"/>
        <w:rPr>
          <w:rStyle w:val="TextoNormalCaracter"/>
        </w:rPr>
      </w:pPr>
      <w:bookmarkStart w:id="756" w:name="DESCRIPTORALFABETICO145"/>
      <w:r w:rsidRPr="00C72046">
        <w:rPr>
          <w:rStyle w:val="TextoNormalNegritaCaracter"/>
        </w:rPr>
        <w:t>Canon de constitucionalidad de la ley</w:t>
      </w:r>
      <w:bookmarkEnd w:id="756"/>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 4.</w:t>
      </w:r>
    </w:p>
    <w:p w14:paraId="4C03D35B" w14:textId="1F287893" w:rsidR="00C72046" w:rsidRPr="00C72046" w:rsidRDefault="00C72046" w:rsidP="00C72046">
      <w:pPr>
        <w:pStyle w:val="TextoNormalSangraFrancesa"/>
        <w:rPr>
          <w:rStyle w:val="TextoNormalCaracter"/>
        </w:rPr>
      </w:pPr>
      <w:bookmarkStart w:id="757" w:name="DESCRIPTORALFABETICO146"/>
      <w:r w:rsidRPr="00C72046">
        <w:rPr>
          <w:rStyle w:val="TextoNormalNegritaCaracter"/>
        </w:rPr>
        <w:t>Canon de constitucionalidad reforzado</w:t>
      </w:r>
      <w:bookmarkEnd w:id="757"/>
      <w:r w:rsidRPr="00C72046">
        <w:rPr>
          <w:rStyle w:val="TextoNormalCaracter"/>
        </w:rPr>
        <w:t xml:space="preserve">, Sentencia </w:t>
      </w:r>
      <w:hyperlink w:anchor="SENTENCIA_2025_69" w:history="1">
        <w:r w:rsidRPr="00C72046">
          <w:rPr>
            <w:rStyle w:val="TextoNormalCaracter"/>
          </w:rPr>
          <w:t>69/2025</w:t>
        </w:r>
      </w:hyperlink>
      <w:r w:rsidRPr="00C72046">
        <w:rPr>
          <w:rStyle w:val="TextoNormalCaracter"/>
        </w:rPr>
        <w:t>, f. 3..</w:t>
      </w:r>
    </w:p>
    <w:p w14:paraId="03033014" w14:textId="7198070A" w:rsidR="00C72046" w:rsidRPr="00C72046" w:rsidRDefault="00C72046" w:rsidP="00C72046">
      <w:pPr>
        <w:pStyle w:val="TextoNormalSangraFrancesa"/>
        <w:rPr>
          <w:rStyle w:val="TextoNormalCaracter"/>
        </w:rPr>
      </w:pPr>
      <w:bookmarkStart w:id="758" w:name="DESCRIPTORALFABETICO87"/>
      <w:r w:rsidRPr="00C72046">
        <w:rPr>
          <w:rStyle w:val="TextoNormalNegritaCaracter"/>
        </w:rPr>
        <w:t>Canon de motivación reforzado</w:t>
      </w:r>
      <w:bookmarkEnd w:id="758"/>
      <w:r w:rsidRPr="00C72046">
        <w:rPr>
          <w:rStyle w:val="TextoNormalCaracter"/>
        </w:rPr>
        <w:t xml:space="preserve">, Sentencia </w:t>
      </w:r>
      <w:hyperlink w:anchor="SENTENCIA_2025_54" w:history="1">
        <w:r w:rsidRPr="00C72046">
          <w:rPr>
            <w:rStyle w:val="TextoNormalCaracter"/>
          </w:rPr>
          <w:t>54/2025</w:t>
        </w:r>
      </w:hyperlink>
      <w:r w:rsidRPr="00C72046">
        <w:rPr>
          <w:rStyle w:val="TextoNormalCaracter"/>
        </w:rPr>
        <w:t>, ff. 2 y 3, VP.</w:t>
      </w:r>
    </w:p>
    <w:p w14:paraId="3D4E9C6A" w14:textId="55647529" w:rsidR="00C72046" w:rsidRPr="00C72046" w:rsidRDefault="00C72046" w:rsidP="00C72046">
      <w:pPr>
        <w:pStyle w:val="TextoNormalSangraFrancesa"/>
        <w:rPr>
          <w:rStyle w:val="TextoNormalCaracter"/>
        </w:rPr>
      </w:pPr>
      <w:bookmarkStart w:id="759" w:name="DESCRIPTORALFABETICO88"/>
      <w:r w:rsidRPr="00C72046">
        <w:rPr>
          <w:rStyle w:val="TextoNormalNegritaCaracter"/>
        </w:rPr>
        <w:t>Canon de motivación reforzado cuando afecta a la libertad personal</w:t>
      </w:r>
      <w:bookmarkEnd w:id="759"/>
      <w:r w:rsidRPr="00C72046">
        <w:rPr>
          <w:rStyle w:val="TextoNormalCaracter"/>
        </w:rPr>
        <w:t xml:space="preserve">, Sentencias </w:t>
      </w:r>
      <w:hyperlink w:anchor="SENTENCIA_2025_37" w:history="1">
        <w:r w:rsidRPr="00C72046">
          <w:rPr>
            <w:rStyle w:val="TextoNormalCaracter"/>
          </w:rPr>
          <w:t>37/2025</w:t>
        </w:r>
      </w:hyperlink>
      <w:r w:rsidRPr="00C72046">
        <w:rPr>
          <w:rStyle w:val="TextoNormalCaracter"/>
        </w:rPr>
        <w:t xml:space="preserve">, ff. 2 y 3; </w:t>
      </w:r>
      <w:hyperlink w:anchor="SENTENCIA_2025_49" w:history="1">
        <w:r w:rsidRPr="00C72046">
          <w:rPr>
            <w:rStyle w:val="TextoNormalCaracter"/>
          </w:rPr>
          <w:t>49/2025</w:t>
        </w:r>
      </w:hyperlink>
      <w:r w:rsidRPr="00C72046">
        <w:rPr>
          <w:rStyle w:val="TextoNormalCaracter"/>
        </w:rPr>
        <w:t>, f. único.</w:t>
      </w:r>
    </w:p>
    <w:p w14:paraId="30E2533E" w14:textId="0A5A4641" w:rsidR="00C72046" w:rsidRPr="00C72046" w:rsidRDefault="00C72046" w:rsidP="00C72046">
      <w:pPr>
        <w:pStyle w:val="TextoNormalSangraFrancesa"/>
        <w:rPr>
          <w:rStyle w:val="TextoNormalCaracter"/>
        </w:rPr>
      </w:pPr>
      <w:bookmarkStart w:id="760" w:name="DESCRIPTORALFABETICO60"/>
      <w:r w:rsidRPr="00C72046">
        <w:rPr>
          <w:rStyle w:val="TextoNormalNegritaCaracter"/>
        </w:rPr>
        <w:t>Canon reforzado de investigación</w:t>
      </w:r>
      <w:bookmarkEnd w:id="760"/>
      <w:r w:rsidRPr="00C72046">
        <w:rPr>
          <w:rStyle w:val="TextoNormalCaracter"/>
        </w:rPr>
        <w:t xml:space="preserve">, Sentencia </w:t>
      </w:r>
      <w:hyperlink w:anchor="SENTENCIA_2025_126" w:history="1">
        <w:r w:rsidRPr="00C72046">
          <w:rPr>
            <w:rStyle w:val="TextoNormalCaracter"/>
          </w:rPr>
          <w:t>126/2025</w:t>
        </w:r>
      </w:hyperlink>
      <w:r w:rsidRPr="00C72046">
        <w:rPr>
          <w:rStyle w:val="TextoNormalCaracter"/>
        </w:rPr>
        <w:t>, ff. 3 y 4.</w:t>
      </w:r>
    </w:p>
    <w:p w14:paraId="7E7BA805" w14:textId="4408CA51" w:rsidR="00C72046" w:rsidRPr="00C72046" w:rsidRDefault="00C72046" w:rsidP="00C72046">
      <w:pPr>
        <w:pStyle w:val="TextoNormalSangraFrancesa"/>
        <w:rPr>
          <w:rStyle w:val="TextoNormalCaracter"/>
        </w:rPr>
      </w:pPr>
      <w:bookmarkStart w:id="761" w:name="DESCRIPTORALFABETICO485"/>
      <w:r w:rsidRPr="00C72046">
        <w:rPr>
          <w:rStyle w:val="TextoNormalNegritaCaracter"/>
        </w:rPr>
        <w:t>Cantabria</w:t>
      </w:r>
      <w:bookmarkEnd w:id="761"/>
      <w:r w:rsidRPr="00C72046">
        <w:rPr>
          <w:rStyle w:val="TextoNormalCaracter"/>
        </w:rPr>
        <w:t xml:space="preserve">, Auto </w:t>
      </w:r>
      <w:hyperlink w:anchor="AUTO_2025_64" w:history="1">
        <w:r w:rsidRPr="00C72046">
          <w:rPr>
            <w:rStyle w:val="TextoNormalCaracter"/>
          </w:rPr>
          <w:t>64/2025</w:t>
        </w:r>
      </w:hyperlink>
      <w:r w:rsidRPr="00C72046">
        <w:rPr>
          <w:rStyle w:val="TextoNormalCaracter"/>
        </w:rPr>
        <w:t>, f. 3.</w:t>
      </w:r>
    </w:p>
    <w:p w14:paraId="18930384" w14:textId="6A4EC2E2" w:rsidR="00C72046" w:rsidRPr="00C72046" w:rsidRDefault="00C72046" w:rsidP="00C72046">
      <w:pPr>
        <w:pStyle w:val="TextoNormalSangraFrancesa"/>
        <w:rPr>
          <w:rStyle w:val="TextoNormalCaracter"/>
        </w:rPr>
      </w:pPr>
      <w:bookmarkStart w:id="762" w:name="DESCRIPTORALFABETICO429"/>
      <w:r w:rsidRPr="00C72046">
        <w:rPr>
          <w:rStyle w:val="TextoNormalNegritaCaracter"/>
        </w:rPr>
        <w:t>Carácter excepcional del emplazamiento edictal</w:t>
      </w:r>
      <w:bookmarkEnd w:id="762"/>
      <w:r w:rsidRPr="00C72046">
        <w:rPr>
          <w:rStyle w:val="TextoNormalCaracter"/>
        </w:rPr>
        <w:t xml:space="preserve">, Sentencia </w:t>
      </w:r>
      <w:hyperlink w:anchor="SENTENCIA_2025_99" w:history="1">
        <w:r w:rsidRPr="00C72046">
          <w:rPr>
            <w:rStyle w:val="TextoNormalCaracter"/>
          </w:rPr>
          <w:t>99/2025</w:t>
        </w:r>
      </w:hyperlink>
      <w:r w:rsidRPr="00C72046">
        <w:rPr>
          <w:rStyle w:val="TextoNormalCaracter"/>
        </w:rPr>
        <w:t>, f. 2.</w:t>
      </w:r>
    </w:p>
    <w:p w14:paraId="6BCBF7DE" w14:textId="3E0471EC" w:rsidR="00C72046" w:rsidRPr="00C72046" w:rsidRDefault="00C72046" w:rsidP="00C72046">
      <w:pPr>
        <w:pStyle w:val="TextoNormalSangraFrancesa"/>
        <w:rPr>
          <w:rStyle w:val="TextoNormalCaracter"/>
        </w:rPr>
      </w:pPr>
      <w:bookmarkStart w:id="763" w:name="DESCRIPTORALFABETICO463"/>
      <w:r w:rsidRPr="00C72046">
        <w:rPr>
          <w:rStyle w:val="TextoNormalNegritaCaracter"/>
        </w:rPr>
        <w:t>Carácter extraordinario del recurso de casación</w:t>
      </w:r>
      <w:bookmarkEnd w:id="763"/>
      <w:r w:rsidRPr="00C72046">
        <w:rPr>
          <w:rStyle w:val="TextoNormalCaracter"/>
        </w:rPr>
        <w:t xml:space="preserve">, Sentencia </w:t>
      </w:r>
      <w:hyperlink w:anchor="SENTENCIA_2025_16" w:history="1">
        <w:r w:rsidRPr="00C72046">
          <w:rPr>
            <w:rStyle w:val="TextoNormalCaracter"/>
          </w:rPr>
          <w:t>16/2025</w:t>
        </w:r>
      </w:hyperlink>
      <w:r w:rsidRPr="00C72046">
        <w:rPr>
          <w:rStyle w:val="TextoNormalCaracter"/>
        </w:rPr>
        <w:t>, ff. 1 a 3.</w:t>
      </w:r>
    </w:p>
    <w:p w14:paraId="3A7E32B8" w14:textId="37528DB4" w:rsidR="00C72046" w:rsidRPr="00C72046" w:rsidRDefault="00C72046" w:rsidP="00C72046">
      <w:pPr>
        <w:pStyle w:val="TextoNormalSangraFrancesa"/>
        <w:rPr>
          <w:rStyle w:val="TextoNormalCaracter"/>
        </w:rPr>
      </w:pPr>
      <w:bookmarkStart w:id="764" w:name="DESCRIPTORALFABETICO203"/>
      <w:r w:rsidRPr="00C72046">
        <w:rPr>
          <w:rStyle w:val="TextoNormalNegritaCaracter"/>
        </w:rPr>
        <w:t>Carácter subsidiario del recurso de amparo</w:t>
      </w:r>
      <w:bookmarkEnd w:id="764"/>
      <w:r w:rsidRPr="00C72046">
        <w:rPr>
          <w:rStyle w:val="TextoNormalCaracter"/>
        </w:rPr>
        <w:t xml:space="preserve">, Sentencia </w:t>
      </w:r>
      <w:hyperlink w:anchor="SENTENCIA_2025_105" w:history="1">
        <w:r w:rsidRPr="00C72046">
          <w:rPr>
            <w:rStyle w:val="TextoNormalCaracter"/>
          </w:rPr>
          <w:t>105/2025</w:t>
        </w:r>
      </w:hyperlink>
      <w:r w:rsidRPr="00C72046">
        <w:rPr>
          <w:rStyle w:val="TextoNormalCaracter"/>
        </w:rPr>
        <w:t>, f. 1.</w:t>
      </w:r>
    </w:p>
    <w:p w14:paraId="50167352" w14:textId="795809BA" w:rsidR="00C72046" w:rsidRPr="00C72046" w:rsidRDefault="00C72046" w:rsidP="00C72046">
      <w:pPr>
        <w:pStyle w:val="TextoNormalSangraFrancesa"/>
        <w:rPr>
          <w:rStyle w:val="TextoNormalCaracter"/>
        </w:rPr>
      </w:pPr>
      <w:bookmarkStart w:id="765" w:name="DESCRIPTORALFABETICO218"/>
      <w:r w:rsidRPr="00C72046">
        <w:rPr>
          <w:rStyle w:val="TextoNormalNegritaCaracter"/>
        </w:rPr>
        <w:t>Carencia de especial trascendencia constitucional</w:t>
      </w:r>
      <w:bookmarkEnd w:id="765"/>
      <w:r w:rsidRPr="00C72046">
        <w:rPr>
          <w:rStyle w:val="TextoNormalCaracter"/>
        </w:rPr>
        <w:t xml:space="preserve">, Autos </w:t>
      </w:r>
      <w:hyperlink w:anchor="AUTO_2025_4" w:history="1">
        <w:r w:rsidRPr="00C72046">
          <w:rPr>
            <w:rStyle w:val="TextoNormalCaracter"/>
          </w:rPr>
          <w:t>4/2025</w:t>
        </w:r>
      </w:hyperlink>
      <w:r w:rsidRPr="00C72046">
        <w:rPr>
          <w:rStyle w:val="TextoNormalCaracter"/>
        </w:rPr>
        <w:t xml:space="preserve">, VP I; </w:t>
      </w:r>
      <w:hyperlink w:anchor="AUTO_2025_5" w:history="1">
        <w:r w:rsidRPr="00C72046">
          <w:rPr>
            <w:rStyle w:val="TextoNormalCaracter"/>
          </w:rPr>
          <w:t>5/2025</w:t>
        </w:r>
      </w:hyperlink>
      <w:r w:rsidRPr="00C72046">
        <w:rPr>
          <w:rStyle w:val="TextoNormalCaracter"/>
        </w:rPr>
        <w:t xml:space="preserve">, VP; </w:t>
      </w:r>
      <w:hyperlink w:anchor="AUTO_2025_8" w:history="1">
        <w:r w:rsidRPr="00C72046">
          <w:rPr>
            <w:rStyle w:val="TextoNormalCaracter"/>
          </w:rPr>
          <w:t>8/2025</w:t>
        </w:r>
      </w:hyperlink>
      <w:r w:rsidRPr="00C72046">
        <w:rPr>
          <w:rStyle w:val="TextoNormalCaracter"/>
        </w:rPr>
        <w:t xml:space="preserve">, f. 2; </w:t>
      </w:r>
      <w:hyperlink w:anchor="AUTO_2025_28" w:history="1">
        <w:r w:rsidRPr="00C72046">
          <w:rPr>
            <w:rStyle w:val="TextoNormalCaracter"/>
          </w:rPr>
          <w:t>28/2025</w:t>
        </w:r>
      </w:hyperlink>
      <w:r w:rsidRPr="00C72046">
        <w:rPr>
          <w:rStyle w:val="TextoNormalCaracter"/>
        </w:rPr>
        <w:t>, ff. 2 a 4, VP I.</w:t>
      </w:r>
    </w:p>
    <w:p w14:paraId="3A626345" w14:textId="3CF50EC5" w:rsidR="00C72046" w:rsidRPr="00C72046" w:rsidRDefault="00C72046" w:rsidP="00C72046">
      <w:pPr>
        <w:pStyle w:val="TextoNormalSangraFrancesa"/>
        <w:rPr>
          <w:rStyle w:val="TextoNormalCaracter"/>
        </w:rPr>
      </w:pPr>
      <w:bookmarkStart w:id="766" w:name="DESCRIPTORALFABETICO219"/>
      <w:r w:rsidRPr="00C72046">
        <w:rPr>
          <w:rStyle w:val="TextoNormalNegritaCaracter"/>
        </w:rPr>
        <w:t>Carencia de justificación de la especial trascendencia constitucional</w:t>
      </w:r>
      <w:bookmarkEnd w:id="766"/>
      <w:r w:rsidRPr="00C72046">
        <w:rPr>
          <w:rStyle w:val="TextoNormalCaracter"/>
        </w:rPr>
        <w:t xml:space="preserve">, Auto </w:t>
      </w:r>
      <w:hyperlink w:anchor="AUTO_2025_67" w:history="1">
        <w:r w:rsidRPr="00C72046">
          <w:rPr>
            <w:rStyle w:val="TextoNormalCaracter"/>
          </w:rPr>
          <w:t>67/2025</w:t>
        </w:r>
      </w:hyperlink>
      <w:r w:rsidRPr="00C72046">
        <w:rPr>
          <w:rStyle w:val="TextoNormalCaracter"/>
        </w:rPr>
        <w:t>, f. único.</w:t>
      </w:r>
    </w:p>
    <w:p w14:paraId="442F1A50" w14:textId="000A1089" w:rsidR="00C72046" w:rsidRPr="00C72046" w:rsidRDefault="00C72046" w:rsidP="00C72046">
      <w:pPr>
        <w:pStyle w:val="TextoNormalSangraFrancesa"/>
        <w:rPr>
          <w:rStyle w:val="TextoNormalCaracter"/>
        </w:rPr>
      </w:pPr>
      <w:bookmarkStart w:id="767" w:name="DESCRIPTORALFABETICO143"/>
      <w:r w:rsidRPr="00C72046">
        <w:rPr>
          <w:rStyle w:val="TextoNormalNegritaCaracter"/>
        </w:rPr>
        <w:t>Carga de la prueba de la vulneración de derechos fundamentales</w:t>
      </w:r>
      <w:bookmarkEnd w:id="767"/>
      <w:r w:rsidRPr="00C72046">
        <w:rPr>
          <w:rStyle w:val="TextoNormalCaracter"/>
        </w:rPr>
        <w:t xml:space="preserve">, Sentencia </w:t>
      </w:r>
      <w:hyperlink w:anchor="SENTENCIA_2025_28" w:history="1">
        <w:r w:rsidRPr="00C72046">
          <w:rPr>
            <w:rStyle w:val="TextoNormalCaracter"/>
          </w:rPr>
          <w:t>28/2025</w:t>
        </w:r>
      </w:hyperlink>
      <w:r w:rsidRPr="00C72046">
        <w:rPr>
          <w:rStyle w:val="TextoNormalCaracter"/>
        </w:rPr>
        <w:t>, ff. 4 y 5.</w:t>
      </w:r>
    </w:p>
    <w:p w14:paraId="779A0493" w14:textId="2D727345" w:rsidR="00C72046" w:rsidRPr="00C72046" w:rsidRDefault="00C72046" w:rsidP="00C72046">
      <w:pPr>
        <w:pStyle w:val="TextoNormalSangraFrancesa"/>
        <w:rPr>
          <w:rStyle w:val="TextoNormalCaracter"/>
        </w:rPr>
      </w:pPr>
      <w:bookmarkStart w:id="768" w:name="DESCRIPTORALFABETICO416"/>
      <w:r w:rsidRPr="00C72046">
        <w:rPr>
          <w:rStyle w:val="TextoNormalNegritaCaracter"/>
        </w:rPr>
        <w:t>Carta de despido</w:t>
      </w:r>
      <w:bookmarkEnd w:id="768"/>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 3.</w:t>
      </w:r>
    </w:p>
    <w:p w14:paraId="1A0F60FF" w14:textId="31C46955" w:rsidR="00C72046" w:rsidRPr="00C72046" w:rsidRDefault="00C72046" w:rsidP="00C72046">
      <w:pPr>
        <w:pStyle w:val="TextoNormalSangraFrancesa"/>
        <w:rPr>
          <w:rStyle w:val="TextoNormalCaracter"/>
        </w:rPr>
      </w:pPr>
      <w:bookmarkStart w:id="769" w:name="DESCRIPTORALFABETICO486"/>
      <w:r w:rsidRPr="00C72046">
        <w:rPr>
          <w:rStyle w:val="TextoNormalNegritaCaracter"/>
        </w:rPr>
        <w:t>Cataluña</w:t>
      </w:r>
      <w:bookmarkEnd w:id="769"/>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w:t>
      </w:r>
      <w:hyperlink w:anchor="SENTENCIA_2025_64" w:history="1">
        <w:r w:rsidRPr="00C72046">
          <w:rPr>
            <w:rStyle w:val="TextoNormalCaracter"/>
          </w:rPr>
          <w:t>64/2025</w:t>
        </w:r>
      </w:hyperlink>
      <w:r w:rsidRPr="00C72046">
        <w:rPr>
          <w:rStyle w:val="TextoNormalCaracter"/>
        </w:rPr>
        <w:t>, f. 1.</w:t>
      </w:r>
    </w:p>
    <w:p w14:paraId="68497B8F" w14:textId="36296360" w:rsidR="00C72046" w:rsidRPr="00C72046" w:rsidRDefault="00C72046" w:rsidP="00C72046">
      <w:pPr>
        <w:pStyle w:val="TextoNormalSangraFrancesa"/>
        <w:rPr>
          <w:rStyle w:val="TextoNormalCaracter"/>
        </w:rPr>
      </w:pPr>
      <w:bookmarkStart w:id="770" w:name="DESCRIPTORALFABETICO159"/>
      <w:r w:rsidRPr="00C72046">
        <w:rPr>
          <w:rStyle w:val="TextoNormalNegritaCaracter"/>
        </w:rPr>
        <w:t>Causas de abstención y recusación de magistrados del Tribunal Constitucional</w:t>
      </w:r>
      <w:bookmarkEnd w:id="770"/>
      <w:r w:rsidRPr="00C72046">
        <w:rPr>
          <w:rStyle w:val="TextoNormalCaracter"/>
        </w:rPr>
        <w:t xml:space="preserve">, Auto </w:t>
      </w:r>
      <w:hyperlink w:anchor="AUTO_2025_23" w:history="1">
        <w:r w:rsidRPr="00C72046">
          <w:rPr>
            <w:rStyle w:val="TextoNormalCaracter"/>
          </w:rPr>
          <w:t>23/2025</w:t>
        </w:r>
      </w:hyperlink>
      <w:r w:rsidRPr="00C72046">
        <w:rPr>
          <w:rStyle w:val="TextoNormalCaracter"/>
        </w:rPr>
        <w:t>, f. 3.</w:t>
      </w:r>
    </w:p>
    <w:p w14:paraId="15716603" w14:textId="0A6C34D3" w:rsidR="00C72046" w:rsidRPr="00C72046" w:rsidRDefault="00C72046" w:rsidP="00C72046">
      <w:pPr>
        <w:pStyle w:val="TextoNormalSangraFrancesa"/>
        <w:rPr>
          <w:rStyle w:val="TextoNormalCaracter"/>
        </w:rPr>
      </w:pPr>
      <w:bookmarkStart w:id="771" w:name="DESCRIPTORALFABETICO39"/>
      <w:r w:rsidRPr="00C72046">
        <w:rPr>
          <w:rStyle w:val="TextoNormalNegritaCaracter"/>
        </w:rPr>
        <w:t>Censo electoral</w:t>
      </w:r>
      <w:bookmarkEnd w:id="771"/>
      <w:r w:rsidRPr="00C72046">
        <w:rPr>
          <w:rStyle w:val="TextoNormalCaracter"/>
        </w:rPr>
        <w:t xml:space="preserve">, Sentencia </w:t>
      </w:r>
      <w:hyperlink w:anchor="SENTENCIA_2025_51" w:history="1">
        <w:r w:rsidRPr="00C72046">
          <w:rPr>
            <w:rStyle w:val="TextoNormalCaracter"/>
          </w:rPr>
          <w:t>51/2025</w:t>
        </w:r>
      </w:hyperlink>
      <w:r w:rsidRPr="00C72046">
        <w:rPr>
          <w:rStyle w:val="TextoNormalCaracter"/>
        </w:rPr>
        <w:t>, f. 1.</w:t>
      </w:r>
    </w:p>
    <w:p w14:paraId="46D43312" w14:textId="3422BCF2" w:rsidR="00C72046" w:rsidRPr="00C72046" w:rsidRDefault="00C72046" w:rsidP="00C72046">
      <w:pPr>
        <w:pStyle w:val="TextoNormalSangraFrancesa"/>
        <w:rPr>
          <w:rStyle w:val="TextoNormalCaracter"/>
        </w:rPr>
      </w:pPr>
      <w:bookmarkStart w:id="772" w:name="DESCRIPTORALFABETICO343"/>
      <w:r w:rsidRPr="00C72046">
        <w:rPr>
          <w:rStyle w:val="TextoNormalNegritaCaracter"/>
        </w:rPr>
        <w:t>Centros de formación profesional</w:t>
      </w:r>
      <w:bookmarkEnd w:id="772"/>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6.</w:t>
      </w:r>
    </w:p>
    <w:p w14:paraId="367EC544" w14:textId="3625F8AF" w:rsidR="00C72046" w:rsidRPr="00C72046" w:rsidRDefault="00C72046" w:rsidP="00C72046">
      <w:pPr>
        <w:pStyle w:val="TextoNormalSangraFrancesa"/>
        <w:rPr>
          <w:rStyle w:val="TextoNormalCaracter"/>
        </w:rPr>
      </w:pPr>
      <w:bookmarkStart w:id="773" w:name="DESCRIPTORALFABETICO332"/>
      <w:r w:rsidRPr="00C72046">
        <w:rPr>
          <w:rStyle w:val="TextoNormalNegritaCaracter"/>
        </w:rPr>
        <w:t>Centros docentes con especialización curricular</w:t>
      </w:r>
      <w:bookmarkEnd w:id="773"/>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31F677FB" w14:textId="3A710E19" w:rsidR="00C72046" w:rsidRPr="00C72046" w:rsidRDefault="00C72046" w:rsidP="00C72046">
      <w:pPr>
        <w:pStyle w:val="TextoNormalSangraFrancesa"/>
        <w:rPr>
          <w:rStyle w:val="TextoNormalCaracter"/>
        </w:rPr>
      </w:pPr>
      <w:bookmarkStart w:id="774" w:name="DESCRIPTORALFABETICO333"/>
      <w:r w:rsidRPr="00C72046">
        <w:rPr>
          <w:rStyle w:val="TextoNormalNegritaCaracter"/>
        </w:rPr>
        <w:t>Centros docentes concertados</w:t>
      </w:r>
      <w:bookmarkEnd w:id="774"/>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38437557" w14:textId="03B23EF6" w:rsidR="00C72046" w:rsidRPr="00C72046" w:rsidRDefault="00C72046" w:rsidP="00C72046">
      <w:pPr>
        <w:pStyle w:val="TextoNormalSangraFrancesa"/>
        <w:rPr>
          <w:rStyle w:val="TextoNormalCaracter"/>
        </w:rPr>
      </w:pPr>
      <w:bookmarkStart w:id="775" w:name="DESCRIPTORALFABETICO334"/>
      <w:r w:rsidRPr="00C72046">
        <w:rPr>
          <w:rStyle w:val="TextoNormalNegritaCaracter"/>
        </w:rPr>
        <w:t>Centros docentes sostenidos con fondos públicos</w:t>
      </w:r>
      <w:bookmarkEnd w:id="775"/>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232BB9F4" w14:textId="659E9219" w:rsidR="00C72046" w:rsidRPr="00C72046" w:rsidRDefault="00C72046" w:rsidP="00C72046">
      <w:pPr>
        <w:pStyle w:val="TextoNormalSangraFrancesa"/>
        <w:rPr>
          <w:rStyle w:val="TextoNormalCaracter"/>
        </w:rPr>
      </w:pPr>
      <w:bookmarkStart w:id="776" w:name="DESCRIPTORALFABETICO311"/>
      <w:r w:rsidRPr="00C72046">
        <w:rPr>
          <w:rStyle w:val="TextoNormalNegritaCaracter"/>
        </w:rPr>
        <w:t>Cese de alcalde</w:t>
      </w:r>
      <w:bookmarkEnd w:id="776"/>
      <w:r w:rsidRPr="00C72046">
        <w:rPr>
          <w:rStyle w:val="TextoNormalCaracter"/>
        </w:rPr>
        <w:t xml:space="preserve">, Sentencia </w:t>
      </w:r>
      <w:hyperlink w:anchor="SENTENCIA_2025_134" w:history="1">
        <w:r w:rsidRPr="00C72046">
          <w:rPr>
            <w:rStyle w:val="TextoNormalCaracter"/>
          </w:rPr>
          <w:t>134/2025</w:t>
        </w:r>
      </w:hyperlink>
      <w:r w:rsidRPr="00C72046">
        <w:rPr>
          <w:rStyle w:val="TextoNormalCaracter"/>
        </w:rPr>
        <w:t>, ff. 2 y 3.</w:t>
      </w:r>
    </w:p>
    <w:p w14:paraId="74B75784" w14:textId="3C4C22C4" w:rsidR="00C72046" w:rsidRPr="00C72046" w:rsidRDefault="00C72046" w:rsidP="00C72046">
      <w:pPr>
        <w:pStyle w:val="TextoNormalSangraFrancesa"/>
        <w:rPr>
          <w:rStyle w:val="TextoNormalCaracter"/>
        </w:rPr>
      </w:pPr>
      <w:bookmarkStart w:id="777" w:name="DESCRIPTORALFABETICO2"/>
      <w:r w:rsidRPr="00C72046">
        <w:rPr>
          <w:rStyle w:val="TextoNormalNegritaCaracter"/>
        </w:rPr>
        <w:t>Cláusula de prevalencia</w:t>
      </w:r>
      <w:bookmarkEnd w:id="777"/>
      <w:r w:rsidRPr="00C72046">
        <w:rPr>
          <w:rStyle w:val="TextoNormalCaracter"/>
        </w:rPr>
        <w:t xml:space="preserve">, Auto </w:t>
      </w:r>
      <w:hyperlink w:anchor="AUTO_2025_32" w:history="1">
        <w:r w:rsidRPr="00C72046">
          <w:rPr>
            <w:rStyle w:val="TextoNormalCaracter"/>
          </w:rPr>
          <w:t>32/2025</w:t>
        </w:r>
      </w:hyperlink>
      <w:r w:rsidRPr="00C72046">
        <w:rPr>
          <w:rStyle w:val="TextoNormalCaracter"/>
        </w:rPr>
        <w:t>, ff. 4 a 6.</w:t>
      </w:r>
    </w:p>
    <w:p w14:paraId="5F6AD416" w14:textId="4428CC84" w:rsidR="00C72046" w:rsidRPr="00C72046" w:rsidRDefault="00C72046" w:rsidP="00C72046">
      <w:pPr>
        <w:pStyle w:val="TextoNormalSangraFrancesa"/>
        <w:rPr>
          <w:rStyle w:val="TextoNormalCaracter"/>
        </w:rPr>
      </w:pPr>
      <w:bookmarkStart w:id="778" w:name="DESCRIPTORALFABETICO322"/>
      <w:r w:rsidRPr="00C72046">
        <w:rPr>
          <w:rStyle w:val="TextoNormalNegritaCaracter"/>
        </w:rPr>
        <w:t>Cláusulas abusivas</w:t>
      </w:r>
      <w:bookmarkEnd w:id="778"/>
      <w:r w:rsidRPr="00C72046">
        <w:rPr>
          <w:rStyle w:val="TextoNormalCaracter"/>
        </w:rPr>
        <w:t xml:space="preserve">, Sentencias </w:t>
      </w:r>
      <w:hyperlink w:anchor="SENTENCIA_2025_45" w:history="1">
        <w:r w:rsidRPr="00C72046">
          <w:rPr>
            <w:rStyle w:val="TextoNormalCaracter"/>
          </w:rPr>
          <w:t>45/2025</w:t>
        </w:r>
      </w:hyperlink>
      <w:r w:rsidRPr="00C72046">
        <w:rPr>
          <w:rStyle w:val="TextoNormalCaracter"/>
        </w:rPr>
        <w:t xml:space="preserve">, ff. 2 y 3; </w:t>
      </w:r>
      <w:hyperlink w:anchor="SENTENCIA_2025_109" w:history="1">
        <w:r w:rsidRPr="00C72046">
          <w:rPr>
            <w:rStyle w:val="TextoNormalCaracter"/>
          </w:rPr>
          <w:t>109/2025</w:t>
        </w:r>
      </w:hyperlink>
      <w:r w:rsidRPr="00C72046">
        <w:rPr>
          <w:rStyle w:val="TextoNormalCaracter"/>
        </w:rPr>
        <w:t xml:space="preserve">, ff. 2 y 3; </w:t>
      </w:r>
      <w:hyperlink w:anchor="SENTENCIA_2025_121" w:history="1">
        <w:r w:rsidRPr="00C72046">
          <w:rPr>
            <w:rStyle w:val="TextoNormalCaracter"/>
          </w:rPr>
          <w:t>121/2025</w:t>
        </w:r>
      </w:hyperlink>
      <w:r w:rsidRPr="00C72046">
        <w:rPr>
          <w:rStyle w:val="TextoNormalCaracter"/>
        </w:rPr>
        <w:t>, ff. 3 y 4.</w:t>
      </w:r>
    </w:p>
    <w:p w14:paraId="5E0AAE25" w14:textId="573908EE" w:rsidR="00C72046" w:rsidRPr="00C72046" w:rsidRDefault="00C72046" w:rsidP="00C72046">
      <w:pPr>
        <w:pStyle w:val="TextoNormalSangraFrancesa"/>
        <w:rPr>
          <w:rStyle w:val="TextoNormalCaracter"/>
        </w:rPr>
      </w:pPr>
      <w:bookmarkStart w:id="779" w:name="DESCRIPTORALFABETICO138"/>
      <w:r w:rsidRPr="00C72046">
        <w:rPr>
          <w:rStyle w:val="TextoNormalNegritaCaracter"/>
        </w:rPr>
        <w:t>Cobertura legal de medidas limitativas de derechos fundamentales</w:t>
      </w:r>
      <w:bookmarkEnd w:id="779"/>
      <w:r w:rsidRPr="00C72046">
        <w:rPr>
          <w:rStyle w:val="TextoNormalCaracter"/>
        </w:rPr>
        <w:t xml:space="preserve">, Sentencias </w:t>
      </w:r>
      <w:hyperlink w:anchor="SENTENCIA_2025_105" w:history="1">
        <w:r w:rsidRPr="00C72046">
          <w:rPr>
            <w:rStyle w:val="TextoNormalCaracter"/>
          </w:rPr>
          <w:t>105/2025</w:t>
        </w:r>
      </w:hyperlink>
      <w:r w:rsidRPr="00C72046">
        <w:rPr>
          <w:rStyle w:val="TextoNormalCaracter"/>
        </w:rPr>
        <w:t xml:space="preserve">, ff. 2 a 3, VP I, VP II; </w:t>
      </w:r>
      <w:hyperlink w:anchor="SENTENCIA_2025_110" w:history="1">
        <w:r w:rsidRPr="00C72046">
          <w:rPr>
            <w:rStyle w:val="TextoNormalCaracter"/>
          </w:rPr>
          <w:t>110/2025</w:t>
        </w:r>
      </w:hyperlink>
      <w:r w:rsidRPr="00C72046">
        <w:rPr>
          <w:rStyle w:val="TextoNormalCaracter"/>
        </w:rPr>
        <w:t>, f. 2, VP I, VP II.</w:t>
      </w:r>
    </w:p>
    <w:p w14:paraId="12FCC8A6" w14:textId="3FD5D1EE" w:rsidR="00C72046" w:rsidRPr="00C72046" w:rsidRDefault="00C72046" w:rsidP="00C72046">
      <w:pPr>
        <w:pStyle w:val="TextoNormalSangraFrancesa"/>
        <w:rPr>
          <w:rStyle w:val="TextoNormalCaracter"/>
        </w:rPr>
      </w:pPr>
      <w:bookmarkStart w:id="780" w:name="DESCRIPTORALFABETICO266"/>
      <w:r w:rsidRPr="00C72046">
        <w:rPr>
          <w:rStyle w:val="TextoNormalNegritaCaracter"/>
        </w:rPr>
        <w:t>Comisiones de investigación</w:t>
      </w:r>
      <w:bookmarkEnd w:id="780"/>
      <w:r w:rsidRPr="00C72046">
        <w:rPr>
          <w:rStyle w:val="TextoNormalCaracter"/>
        </w:rPr>
        <w:t xml:space="preserve">, Sentencias </w:t>
      </w:r>
      <w:hyperlink w:anchor="SENTENCIA_2025_107" w:history="1">
        <w:r w:rsidRPr="00C72046">
          <w:rPr>
            <w:rStyle w:val="TextoNormalCaracter"/>
          </w:rPr>
          <w:t>107/2025</w:t>
        </w:r>
      </w:hyperlink>
      <w:r w:rsidRPr="00C72046">
        <w:rPr>
          <w:rStyle w:val="TextoNormalCaracter"/>
        </w:rPr>
        <w:t xml:space="preserve">, ff. 2 y 3; </w:t>
      </w:r>
      <w:hyperlink w:anchor="SENTENCIA_2025_108" w:history="1">
        <w:r w:rsidRPr="00C72046">
          <w:rPr>
            <w:rStyle w:val="TextoNormalCaracter"/>
          </w:rPr>
          <w:t>108/2025</w:t>
        </w:r>
      </w:hyperlink>
      <w:r w:rsidRPr="00C72046">
        <w:rPr>
          <w:rStyle w:val="TextoNormalCaracter"/>
        </w:rPr>
        <w:t>, ff. 2 y 3.</w:t>
      </w:r>
    </w:p>
    <w:p w14:paraId="1C235521" w14:textId="034F800D" w:rsidR="00C72046" w:rsidRPr="00C72046" w:rsidRDefault="00C72046" w:rsidP="00C72046">
      <w:pPr>
        <w:pStyle w:val="TextoNormalSangraFrancesa"/>
        <w:rPr>
          <w:rStyle w:val="TextoNormalCaracter"/>
        </w:rPr>
      </w:pPr>
      <w:bookmarkStart w:id="781" w:name="DESCRIPTORALFABETICO263"/>
      <w:r w:rsidRPr="00C72046">
        <w:rPr>
          <w:rStyle w:val="TextoNormalNegritaCaracter"/>
        </w:rPr>
        <w:t>Comparecencia parlamentaria</w:t>
      </w:r>
      <w:bookmarkEnd w:id="781"/>
      <w:r w:rsidRPr="00C72046">
        <w:rPr>
          <w:rStyle w:val="TextoNormalCaracter"/>
        </w:rPr>
        <w:t xml:space="preserve">, Sentencias </w:t>
      </w:r>
      <w:hyperlink w:anchor="SENTENCIA_2025_107" w:history="1">
        <w:r w:rsidRPr="00C72046">
          <w:rPr>
            <w:rStyle w:val="TextoNormalCaracter"/>
          </w:rPr>
          <w:t>107/2025</w:t>
        </w:r>
      </w:hyperlink>
      <w:r w:rsidRPr="00C72046">
        <w:rPr>
          <w:rStyle w:val="TextoNormalCaracter"/>
        </w:rPr>
        <w:t xml:space="preserve">, ff. 2 y 3; </w:t>
      </w:r>
      <w:hyperlink w:anchor="SENTENCIA_2025_108" w:history="1">
        <w:r w:rsidRPr="00C72046">
          <w:rPr>
            <w:rStyle w:val="TextoNormalCaracter"/>
          </w:rPr>
          <w:t>108/2025</w:t>
        </w:r>
      </w:hyperlink>
      <w:r w:rsidRPr="00C72046">
        <w:rPr>
          <w:rStyle w:val="TextoNormalCaracter"/>
        </w:rPr>
        <w:t>, f. 2.</w:t>
      </w:r>
    </w:p>
    <w:p w14:paraId="7092C329" w14:textId="72E1E239" w:rsidR="00C72046" w:rsidRPr="00C72046" w:rsidRDefault="00C72046" w:rsidP="00C72046">
      <w:pPr>
        <w:pStyle w:val="TextoNormalSangraFrancesa"/>
        <w:rPr>
          <w:rStyle w:val="TextoNormalCaracter"/>
        </w:rPr>
      </w:pPr>
      <w:bookmarkStart w:id="782" w:name="DESCRIPTORALFABETICO149"/>
      <w:r w:rsidRPr="00C72046">
        <w:rPr>
          <w:rStyle w:val="TextoNormalNegritaCaracter"/>
        </w:rPr>
        <w:t>Competencia para la definición de las bases</w:t>
      </w:r>
      <w:bookmarkEnd w:id="782"/>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ff. 4 a 8.</w:t>
      </w:r>
    </w:p>
    <w:p w14:paraId="1D4128A0" w14:textId="7D5BFAF1" w:rsidR="00C72046" w:rsidRPr="00C72046" w:rsidRDefault="00C72046" w:rsidP="00C72046">
      <w:pPr>
        <w:pStyle w:val="TextoNormalSangraFrancesa"/>
        <w:rPr>
          <w:rStyle w:val="TextoNormalCaracter"/>
        </w:rPr>
      </w:pPr>
      <w:bookmarkStart w:id="783" w:name="DESCRIPTORALFABETICO5"/>
      <w:r w:rsidRPr="00C72046">
        <w:rPr>
          <w:rStyle w:val="TextoNormalNegritaCaracter"/>
        </w:rPr>
        <w:t>Competencias autonómicas de desarrollo normativo</w:t>
      </w:r>
      <w:bookmarkEnd w:id="783"/>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ff. 4 a 8.</w:t>
      </w:r>
    </w:p>
    <w:p w14:paraId="4C0B1A02" w14:textId="36A09158" w:rsidR="00C72046" w:rsidRPr="00C72046" w:rsidRDefault="00C72046" w:rsidP="00C72046">
      <w:pPr>
        <w:pStyle w:val="TextoNormalSangraFrancesa"/>
        <w:rPr>
          <w:rStyle w:val="TextoNormalCaracter"/>
        </w:rPr>
      </w:pPr>
      <w:bookmarkStart w:id="784" w:name="DESCRIPTORALFABETICO3"/>
      <w:r w:rsidRPr="00C72046">
        <w:rPr>
          <w:rStyle w:val="TextoNormalNegritaCaracter"/>
        </w:rPr>
        <w:t>Competencias compartidas</w:t>
      </w:r>
      <w:bookmarkEnd w:id="784"/>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4 a 8.</w:t>
      </w:r>
    </w:p>
    <w:p w14:paraId="4A7B502F" w14:textId="5BE845FD" w:rsidR="00C72046" w:rsidRPr="00C72046" w:rsidRDefault="00C72046" w:rsidP="00C72046">
      <w:pPr>
        <w:pStyle w:val="TextoNormalSangraFrancesa"/>
        <w:rPr>
          <w:rStyle w:val="TextoNormalCaracter"/>
        </w:rPr>
      </w:pPr>
      <w:bookmarkStart w:id="785" w:name="DESCRIPTORALFABETICO4"/>
      <w:r w:rsidRPr="00C72046">
        <w:rPr>
          <w:rStyle w:val="TextoNormalNegritaCaracter"/>
        </w:rPr>
        <w:t>Competencias de coordinación</w:t>
      </w:r>
      <w:bookmarkEnd w:id="785"/>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6.</w:t>
      </w:r>
    </w:p>
    <w:p w14:paraId="1DC9B472" w14:textId="5AC1DD3D" w:rsidR="00C72046" w:rsidRPr="00C72046" w:rsidRDefault="00C72046" w:rsidP="00C72046">
      <w:pPr>
        <w:pStyle w:val="TextoNormalSangraFrancesa"/>
        <w:rPr>
          <w:rStyle w:val="TextoNormalCaracter"/>
        </w:rPr>
      </w:pPr>
      <w:bookmarkStart w:id="786" w:name="DESCRIPTORALFABETICO6"/>
      <w:r w:rsidRPr="00C72046">
        <w:rPr>
          <w:rStyle w:val="TextoNormalNegritaCaracter"/>
        </w:rPr>
        <w:t>Competencias en materia de asistencia social</w:t>
      </w:r>
      <w:bookmarkEnd w:id="786"/>
      <w:r w:rsidRPr="00C72046">
        <w:rPr>
          <w:rStyle w:val="TextoNormalCaracter"/>
        </w:rPr>
        <w:t xml:space="preserve">, Sentencia </w:t>
      </w:r>
      <w:hyperlink w:anchor="SENTENCIA_2025_43" w:history="1">
        <w:r w:rsidRPr="00C72046">
          <w:rPr>
            <w:rStyle w:val="TextoNormalCaracter"/>
          </w:rPr>
          <w:t>43/2025</w:t>
        </w:r>
      </w:hyperlink>
      <w:r w:rsidRPr="00C72046">
        <w:rPr>
          <w:rStyle w:val="TextoNormalCaracter"/>
        </w:rPr>
        <w:t>, ff. 2 a 4.</w:t>
      </w:r>
    </w:p>
    <w:p w14:paraId="7EB84D7F" w14:textId="25EF271A" w:rsidR="00C72046" w:rsidRPr="00C72046" w:rsidRDefault="00C72046" w:rsidP="00C72046">
      <w:pPr>
        <w:pStyle w:val="TextoNormalSangraFrancesa"/>
        <w:rPr>
          <w:rStyle w:val="TextoNormalCaracter"/>
        </w:rPr>
      </w:pPr>
      <w:bookmarkStart w:id="787" w:name="DESCRIPTORALFABETICO7"/>
      <w:r w:rsidRPr="00C72046">
        <w:rPr>
          <w:rStyle w:val="TextoNormalNegritaCaracter"/>
        </w:rPr>
        <w:t>Competencias en materia de bases del régimen estatutario de los funcionarios</w:t>
      </w:r>
      <w:bookmarkEnd w:id="787"/>
      <w:r w:rsidRPr="00C72046">
        <w:rPr>
          <w:rStyle w:val="TextoNormalCaracter"/>
        </w:rPr>
        <w:t xml:space="preserve">, Sentencia </w:t>
      </w:r>
      <w:hyperlink w:anchor="SENTENCIA_2025_42" w:history="1">
        <w:r w:rsidRPr="00C72046">
          <w:rPr>
            <w:rStyle w:val="TextoNormalCaracter"/>
          </w:rPr>
          <w:t>42/2025</w:t>
        </w:r>
      </w:hyperlink>
      <w:r w:rsidRPr="00C72046">
        <w:rPr>
          <w:rStyle w:val="TextoNormalCaracter"/>
        </w:rPr>
        <w:t>, f. 4.</w:t>
      </w:r>
    </w:p>
    <w:p w14:paraId="22E37409" w14:textId="7E35A8CC" w:rsidR="00C72046" w:rsidRPr="00C72046" w:rsidRDefault="00C72046" w:rsidP="00C72046">
      <w:pPr>
        <w:pStyle w:val="TextoNormalSangraFrancesa"/>
        <w:rPr>
          <w:rStyle w:val="TextoNormalCaracter"/>
        </w:rPr>
      </w:pPr>
      <w:r w:rsidRPr="00C72046">
        <w:rPr>
          <w:rStyle w:val="TextoNormalCaracter"/>
        </w:rPr>
        <w:t xml:space="preserve">    Auto </w:t>
      </w:r>
      <w:hyperlink w:anchor="AUTO_2025_32" w:history="1">
        <w:r w:rsidRPr="00C72046">
          <w:rPr>
            <w:rStyle w:val="TextoNormalCaracter"/>
          </w:rPr>
          <w:t>32/2025</w:t>
        </w:r>
      </w:hyperlink>
      <w:r w:rsidRPr="00C72046">
        <w:rPr>
          <w:rStyle w:val="TextoNormalCaracter"/>
        </w:rPr>
        <w:t>, f. 6.</w:t>
      </w:r>
    </w:p>
    <w:p w14:paraId="24ACC123" w14:textId="1ACC6B29" w:rsidR="00C72046" w:rsidRPr="00C72046" w:rsidRDefault="00C72046" w:rsidP="00C72046">
      <w:pPr>
        <w:pStyle w:val="TextoNormalSangraFrancesa"/>
        <w:rPr>
          <w:rStyle w:val="TextoNormalCaracter"/>
        </w:rPr>
      </w:pPr>
      <w:bookmarkStart w:id="788" w:name="DESCRIPTORALFABETICO8"/>
      <w:r w:rsidRPr="00C72046">
        <w:rPr>
          <w:rStyle w:val="TextoNormalNegritaCaracter"/>
        </w:rPr>
        <w:t>Competencias en materia de centros docentes públicos</w:t>
      </w:r>
      <w:bookmarkEnd w:id="788"/>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ff. 4 a 8.</w:t>
      </w:r>
    </w:p>
    <w:p w14:paraId="2E4B79FE" w14:textId="094C03AA" w:rsidR="00C72046" w:rsidRPr="00C72046" w:rsidRDefault="00C72046" w:rsidP="00C72046">
      <w:pPr>
        <w:pStyle w:val="TextoNormalSangraFrancesa"/>
        <w:rPr>
          <w:rStyle w:val="TextoNormalCaracter"/>
        </w:rPr>
      </w:pPr>
      <w:bookmarkStart w:id="789" w:name="DESCRIPTORALFABETICO9"/>
      <w:r w:rsidRPr="00C72046">
        <w:rPr>
          <w:rStyle w:val="TextoNormalNegritaCaracter"/>
        </w:rPr>
        <w:t>Competencias en materia de contratación administrativa</w:t>
      </w:r>
      <w:bookmarkEnd w:id="789"/>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ff. 3, 4.</w:t>
      </w:r>
    </w:p>
    <w:p w14:paraId="487E1DA8" w14:textId="7083CEF5" w:rsidR="00C72046" w:rsidRPr="00C72046" w:rsidRDefault="00C72046" w:rsidP="00C72046">
      <w:pPr>
        <w:pStyle w:val="TextoNormalSangraFrancesa"/>
        <w:rPr>
          <w:rStyle w:val="TextoNormalCaracter"/>
        </w:rPr>
      </w:pPr>
      <w:bookmarkStart w:id="790" w:name="DESCRIPTORALFABETICO10"/>
      <w:r w:rsidRPr="00C72046">
        <w:rPr>
          <w:rStyle w:val="TextoNormalNegritaCaracter"/>
        </w:rPr>
        <w:t>Competencias en materia de educación</w:t>
      </w:r>
      <w:bookmarkEnd w:id="790"/>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37702C80" w14:textId="41E96BD1" w:rsidR="00C72046" w:rsidRPr="00C72046" w:rsidRDefault="00C72046" w:rsidP="00C72046">
      <w:pPr>
        <w:pStyle w:val="TextoNormalSangraFrancesa"/>
        <w:rPr>
          <w:rStyle w:val="TextoNormalCaracter"/>
        </w:rPr>
      </w:pPr>
      <w:bookmarkStart w:id="791" w:name="DESCRIPTORALFABETICO11"/>
      <w:r w:rsidRPr="00C72046">
        <w:rPr>
          <w:rStyle w:val="TextoNormalNegritaCaracter"/>
        </w:rPr>
        <w:t>Competencias en materia de formación profesional</w:t>
      </w:r>
      <w:bookmarkEnd w:id="791"/>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ff. 2 a 8.</w:t>
      </w:r>
    </w:p>
    <w:p w14:paraId="4D0A0565" w14:textId="164808B4" w:rsidR="00C72046" w:rsidRPr="00C72046" w:rsidRDefault="00C72046" w:rsidP="00C72046">
      <w:pPr>
        <w:pStyle w:val="TextoNormalSangraFrancesa"/>
        <w:rPr>
          <w:rStyle w:val="TextoNormalCaracter"/>
        </w:rPr>
      </w:pPr>
      <w:bookmarkStart w:id="792" w:name="DESCRIPTORALFABETICO12"/>
      <w:r w:rsidRPr="00C72046">
        <w:rPr>
          <w:rStyle w:val="TextoNormalNegritaCaracter"/>
        </w:rPr>
        <w:t>Competencias en materia de inmigración, extranjería y asilo</w:t>
      </w:r>
      <w:bookmarkEnd w:id="792"/>
      <w:r w:rsidRPr="00C72046">
        <w:rPr>
          <w:rStyle w:val="TextoNormalCaracter"/>
        </w:rPr>
        <w:t xml:space="preserve">, Sentencia </w:t>
      </w:r>
      <w:hyperlink w:anchor="SENTENCIA_2025_43" w:history="1">
        <w:r w:rsidRPr="00C72046">
          <w:rPr>
            <w:rStyle w:val="TextoNormalCaracter"/>
          </w:rPr>
          <w:t>43/2025</w:t>
        </w:r>
      </w:hyperlink>
      <w:r w:rsidRPr="00C72046">
        <w:rPr>
          <w:rStyle w:val="TextoNormalCaracter"/>
        </w:rPr>
        <w:t>, ff. 2 a 4.</w:t>
      </w:r>
    </w:p>
    <w:p w14:paraId="5AC4EC11" w14:textId="73164A4A" w:rsidR="00C72046" w:rsidRPr="00C72046" w:rsidRDefault="00C72046" w:rsidP="00C72046">
      <w:pPr>
        <w:pStyle w:val="TextoNormalSangraFrancesa"/>
        <w:rPr>
          <w:rStyle w:val="TextoNormalCaracter"/>
        </w:rPr>
      </w:pPr>
      <w:bookmarkStart w:id="793" w:name="DESCRIPTORALFABETICO13"/>
      <w:r w:rsidRPr="00C72046">
        <w:rPr>
          <w:rStyle w:val="TextoNormalNegritaCaracter"/>
        </w:rPr>
        <w:t>Competencias en materia de legislación civil</w:t>
      </w:r>
      <w:bookmarkEnd w:id="793"/>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 2; </w:t>
      </w:r>
      <w:hyperlink w:anchor="SENTENCIA_2025_26" w:history="1">
        <w:r w:rsidRPr="00C72046">
          <w:rPr>
            <w:rStyle w:val="TextoNormalCaracter"/>
          </w:rPr>
          <w:t>26/2025</w:t>
        </w:r>
      </w:hyperlink>
      <w:r w:rsidRPr="00C72046">
        <w:rPr>
          <w:rStyle w:val="TextoNormalCaracter"/>
        </w:rPr>
        <w:t>, f. 4, VP I, VP II.</w:t>
      </w:r>
    </w:p>
    <w:p w14:paraId="4499F5A7" w14:textId="71464BA2" w:rsidR="00C72046" w:rsidRPr="00C72046" w:rsidRDefault="00C72046" w:rsidP="00C72046">
      <w:pPr>
        <w:pStyle w:val="TextoNormalSangraFrancesa"/>
        <w:rPr>
          <w:rStyle w:val="TextoNormalCaracter"/>
        </w:rPr>
      </w:pPr>
      <w:bookmarkStart w:id="794" w:name="DESCRIPTORALFABETICO14"/>
      <w:r w:rsidRPr="00C72046">
        <w:rPr>
          <w:rStyle w:val="TextoNormalNegritaCaracter"/>
        </w:rPr>
        <w:t>Competencias en materia de legislación procesal</w:t>
      </w:r>
      <w:bookmarkEnd w:id="794"/>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ff. 2 y 5; </w:t>
      </w:r>
      <w:hyperlink w:anchor="SENTENCIA_2025_96" w:history="1">
        <w:r w:rsidRPr="00C72046">
          <w:rPr>
            <w:rStyle w:val="TextoNormalCaracter"/>
          </w:rPr>
          <w:t>96/2025</w:t>
        </w:r>
      </w:hyperlink>
      <w:r w:rsidRPr="00C72046">
        <w:rPr>
          <w:rStyle w:val="TextoNormalCaracter"/>
        </w:rPr>
        <w:t>, ff. 2 y 3, VP.</w:t>
      </w:r>
    </w:p>
    <w:p w14:paraId="31C3DCB3" w14:textId="52CE1D52" w:rsidR="00C72046" w:rsidRPr="00C72046" w:rsidRDefault="00C72046" w:rsidP="00C72046">
      <w:pPr>
        <w:pStyle w:val="TextoNormalSangraFrancesa"/>
        <w:rPr>
          <w:rStyle w:val="TextoNormalCaracter"/>
        </w:rPr>
      </w:pPr>
      <w:bookmarkStart w:id="795" w:name="DESCRIPTORALFABETICO15"/>
      <w:r w:rsidRPr="00C72046">
        <w:rPr>
          <w:rStyle w:val="TextoNormalNegritaCaracter"/>
        </w:rPr>
        <w:t>Competencias en materia de legislación sobre expropiación forzosa</w:t>
      </w:r>
      <w:bookmarkEnd w:id="795"/>
      <w:r w:rsidRPr="00C72046">
        <w:rPr>
          <w:rStyle w:val="TextoNormalCaracter"/>
        </w:rPr>
        <w:t xml:space="preserve">, Sentencia </w:t>
      </w:r>
      <w:hyperlink w:anchor="SENTENCIA_2025_25" w:history="1">
        <w:r w:rsidRPr="00C72046">
          <w:rPr>
            <w:rStyle w:val="TextoNormalCaracter"/>
          </w:rPr>
          <w:t>25/2025</w:t>
        </w:r>
      </w:hyperlink>
      <w:r w:rsidRPr="00C72046">
        <w:rPr>
          <w:rStyle w:val="TextoNormalCaracter"/>
        </w:rPr>
        <w:t>, ff. 4 y 5, VP I, VP II.</w:t>
      </w:r>
    </w:p>
    <w:p w14:paraId="2AB757D7" w14:textId="536246A9" w:rsidR="00C72046" w:rsidRPr="00C72046" w:rsidRDefault="00C72046" w:rsidP="00C72046">
      <w:pPr>
        <w:pStyle w:val="TextoNormalSangraFrancesa"/>
        <w:rPr>
          <w:rStyle w:val="TextoNormalCaracter"/>
        </w:rPr>
      </w:pPr>
      <w:bookmarkStart w:id="796" w:name="DESCRIPTORALFABETICO16"/>
      <w:r w:rsidRPr="00C72046">
        <w:rPr>
          <w:rStyle w:val="TextoNormalNegritaCaracter"/>
        </w:rPr>
        <w:t>Competencias en materia de medios de comunicación audiovisual</w:t>
      </w:r>
      <w:bookmarkEnd w:id="796"/>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 6.</w:t>
      </w:r>
    </w:p>
    <w:p w14:paraId="4DCFCE3F" w14:textId="2DD74B1F" w:rsidR="00C72046" w:rsidRPr="00C72046" w:rsidRDefault="00C72046" w:rsidP="00C72046">
      <w:pPr>
        <w:pStyle w:val="TextoNormalSangraFrancesa"/>
        <w:rPr>
          <w:rStyle w:val="TextoNormalCaracter"/>
        </w:rPr>
      </w:pPr>
      <w:bookmarkStart w:id="797" w:name="DESCRIPTORALFABETICO17"/>
      <w:r w:rsidRPr="00C72046">
        <w:rPr>
          <w:rStyle w:val="TextoNormalNegritaCaracter"/>
        </w:rPr>
        <w:t>Competencias en materia de ordenación del territorio</w:t>
      </w:r>
      <w:bookmarkEnd w:id="797"/>
      <w:r w:rsidRPr="00C72046">
        <w:rPr>
          <w:rStyle w:val="TextoNormalCaracter"/>
        </w:rPr>
        <w:t xml:space="preserve">, Sentencia </w:t>
      </w:r>
      <w:hyperlink w:anchor="SENTENCIA_2025_26" w:history="1">
        <w:r w:rsidRPr="00C72046">
          <w:rPr>
            <w:rStyle w:val="TextoNormalCaracter"/>
          </w:rPr>
          <w:t>26/2025</w:t>
        </w:r>
      </w:hyperlink>
      <w:r w:rsidRPr="00C72046">
        <w:rPr>
          <w:rStyle w:val="TextoNormalCaracter"/>
        </w:rPr>
        <w:t>, f. 3.</w:t>
      </w:r>
    </w:p>
    <w:p w14:paraId="08B03CE5" w14:textId="1842E262" w:rsidR="00C72046" w:rsidRPr="00C72046" w:rsidRDefault="00C72046" w:rsidP="00C72046">
      <w:pPr>
        <w:pStyle w:val="TextoNormalSangraFrancesa"/>
        <w:rPr>
          <w:rStyle w:val="TextoNormalCaracter"/>
        </w:rPr>
      </w:pPr>
      <w:bookmarkStart w:id="798" w:name="DESCRIPTORALFABETICO18"/>
      <w:r w:rsidRPr="00C72046">
        <w:rPr>
          <w:rStyle w:val="TextoNormalNegritaCaracter"/>
        </w:rPr>
        <w:t>Competencias en materia de patrimonio histórico y cultural</w:t>
      </w:r>
      <w:bookmarkEnd w:id="798"/>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ff. 1 y 2.</w:t>
      </w:r>
    </w:p>
    <w:p w14:paraId="03E41FE0" w14:textId="2411B3C4" w:rsidR="00C72046" w:rsidRPr="00C72046" w:rsidRDefault="00C72046" w:rsidP="00C72046">
      <w:pPr>
        <w:pStyle w:val="TextoNormalSangraFrancesa"/>
        <w:rPr>
          <w:rStyle w:val="TextoNormalCaracter"/>
        </w:rPr>
      </w:pPr>
      <w:bookmarkStart w:id="799" w:name="DESCRIPTORALFABETICO19"/>
      <w:r w:rsidRPr="00C72046">
        <w:rPr>
          <w:rStyle w:val="TextoNormalNegritaCaracter"/>
        </w:rPr>
        <w:t>Competencias en materia de planificación económica</w:t>
      </w:r>
      <w:bookmarkEnd w:id="799"/>
      <w:r w:rsidRPr="00C72046">
        <w:rPr>
          <w:rStyle w:val="TextoNormalCaracter"/>
        </w:rPr>
        <w:t xml:space="preserve">, Sentencias </w:t>
      </w:r>
      <w:hyperlink w:anchor="SENTENCIA_2025_26" w:history="1">
        <w:r w:rsidRPr="00C72046">
          <w:rPr>
            <w:rStyle w:val="TextoNormalCaracter"/>
          </w:rPr>
          <w:t>26/2025</w:t>
        </w:r>
      </w:hyperlink>
      <w:r w:rsidRPr="00C72046">
        <w:rPr>
          <w:rStyle w:val="TextoNormalCaracter"/>
        </w:rPr>
        <w:t xml:space="preserve">, f. 3, VP I, VP II; </w:t>
      </w:r>
      <w:hyperlink w:anchor="SENTENCIA_2025_64" w:history="1">
        <w:r w:rsidRPr="00C72046">
          <w:rPr>
            <w:rStyle w:val="TextoNormalCaracter"/>
          </w:rPr>
          <w:t>64/2025</w:t>
        </w:r>
      </w:hyperlink>
      <w:r w:rsidRPr="00C72046">
        <w:rPr>
          <w:rStyle w:val="TextoNormalCaracter"/>
        </w:rPr>
        <w:t>, f. 5.</w:t>
      </w:r>
    </w:p>
    <w:p w14:paraId="60B6F5A5" w14:textId="0A3E355E" w:rsidR="00C72046" w:rsidRPr="00C72046" w:rsidRDefault="00C72046" w:rsidP="00C72046">
      <w:pPr>
        <w:pStyle w:val="TextoNormalSangraFrancesa"/>
        <w:rPr>
          <w:rStyle w:val="TextoNormalCaracter"/>
        </w:rPr>
      </w:pPr>
      <w:bookmarkStart w:id="800" w:name="DESCRIPTORALFABETICO20"/>
      <w:r w:rsidRPr="00C72046">
        <w:rPr>
          <w:rStyle w:val="TextoNormalNegritaCaracter"/>
        </w:rPr>
        <w:t>Competencias en materia de procedimiento administrativo común</w:t>
      </w:r>
      <w:bookmarkEnd w:id="800"/>
      <w:r w:rsidRPr="00C72046">
        <w:rPr>
          <w:rStyle w:val="TextoNormalCaracter"/>
        </w:rPr>
        <w:t xml:space="preserve">, Sentencias </w:t>
      </w:r>
      <w:hyperlink w:anchor="SENTENCIA_2025_44" w:history="1">
        <w:r w:rsidRPr="00C72046">
          <w:rPr>
            <w:rStyle w:val="TextoNormalCaracter"/>
          </w:rPr>
          <w:t>44/2025</w:t>
        </w:r>
      </w:hyperlink>
      <w:r w:rsidRPr="00C72046">
        <w:rPr>
          <w:rStyle w:val="TextoNormalCaracter"/>
        </w:rPr>
        <w:t xml:space="preserve">, f. 3; </w:t>
      </w:r>
      <w:hyperlink w:anchor="SENTENCIA_2025_96" w:history="1">
        <w:r w:rsidRPr="00C72046">
          <w:rPr>
            <w:rStyle w:val="TextoNormalCaracter"/>
          </w:rPr>
          <w:t>96/2025</w:t>
        </w:r>
      </w:hyperlink>
      <w:r w:rsidRPr="00C72046">
        <w:rPr>
          <w:rStyle w:val="TextoNormalCaracter"/>
        </w:rPr>
        <w:t>, ff. 2 y 4, VP.</w:t>
      </w:r>
    </w:p>
    <w:p w14:paraId="79299887" w14:textId="40C35B39" w:rsidR="00C72046" w:rsidRPr="00C72046" w:rsidRDefault="00C72046" w:rsidP="00C72046">
      <w:pPr>
        <w:pStyle w:val="TextoNormalSangraFrancesa"/>
        <w:rPr>
          <w:rStyle w:val="TextoNormalCaracter"/>
        </w:rPr>
      </w:pPr>
      <w:bookmarkStart w:id="801" w:name="DESCRIPTORALFABETICO21"/>
      <w:r w:rsidRPr="00C72046">
        <w:rPr>
          <w:rStyle w:val="TextoNormalNegritaCaracter"/>
        </w:rPr>
        <w:t>Competencias en materia de protección y tutela de menores</w:t>
      </w:r>
      <w:bookmarkEnd w:id="801"/>
      <w:r w:rsidRPr="00C72046">
        <w:rPr>
          <w:rStyle w:val="TextoNormalCaracter"/>
        </w:rPr>
        <w:t xml:space="preserve">, Sentencia </w:t>
      </w:r>
      <w:hyperlink w:anchor="SENTENCIA_2025_43" w:history="1">
        <w:r w:rsidRPr="00C72046">
          <w:rPr>
            <w:rStyle w:val="TextoNormalCaracter"/>
          </w:rPr>
          <w:t>43/2025</w:t>
        </w:r>
      </w:hyperlink>
      <w:r w:rsidRPr="00C72046">
        <w:rPr>
          <w:rStyle w:val="TextoNormalCaracter"/>
        </w:rPr>
        <w:t>, f. 3.</w:t>
      </w:r>
    </w:p>
    <w:p w14:paraId="583309B3" w14:textId="6A1BF80F" w:rsidR="00C72046" w:rsidRPr="00C72046" w:rsidRDefault="00C72046" w:rsidP="00C72046">
      <w:pPr>
        <w:pStyle w:val="TextoNormalSangraFrancesa"/>
        <w:rPr>
          <w:rStyle w:val="TextoNormalCaracter"/>
        </w:rPr>
      </w:pPr>
      <w:bookmarkStart w:id="802" w:name="DESCRIPTORALFABETICO22"/>
      <w:r w:rsidRPr="00C72046">
        <w:rPr>
          <w:rStyle w:val="TextoNormalNegritaCaracter"/>
        </w:rPr>
        <w:t>Competencias en materia de regulación de condiciones básicas de igualdad</w:t>
      </w:r>
      <w:bookmarkEnd w:id="802"/>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 2, VP II; </w:t>
      </w:r>
      <w:hyperlink w:anchor="SENTENCIA_2025_26" w:history="1">
        <w:r w:rsidRPr="00C72046">
          <w:rPr>
            <w:rStyle w:val="TextoNormalCaracter"/>
          </w:rPr>
          <w:t>26/2025</w:t>
        </w:r>
      </w:hyperlink>
      <w:r w:rsidRPr="00C72046">
        <w:rPr>
          <w:rStyle w:val="TextoNormalCaracter"/>
        </w:rPr>
        <w:t xml:space="preserve">, f. 3, VP I, VP II; </w:t>
      </w:r>
      <w:hyperlink w:anchor="SENTENCIA_2025_82" w:history="1">
        <w:r w:rsidRPr="00C72046">
          <w:rPr>
            <w:rStyle w:val="TextoNormalCaracter"/>
          </w:rPr>
          <w:t>82/2025</w:t>
        </w:r>
      </w:hyperlink>
      <w:r w:rsidRPr="00C72046">
        <w:rPr>
          <w:rStyle w:val="TextoNormalCaracter"/>
        </w:rPr>
        <w:t xml:space="preserve">, ff. 4, 5 y 8; </w:t>
      </w:r>
      <w:hyperlink w:anchor="SENTENCIA_2025_133" w:history="1">
        <w:r w:rsidRPr="00C72046">
          <w:rPr>
            <w:rStyle w:val="TextoNormalCaracter"/>
          </w:rPr>
          <w:t>133/2025</w:t>
        </w:r>
      </w:hyperlink>
      <w:r w:rsidRPr="00C72046">
        <w:rPr>
          <w:rStyle w:val="TextoNormalCaracter"/>
        </w:rPr>
        <w:t>, ff. 1 a 4.</w:t>
      </w:r>
    </w:p>
    <w:p w14:paraId="291DBBD8" w14:textId="3CFB1E77" w:rsidR="00C72046" w:rsidRPr="00C72046" w:rsidRDefault="00C72046" w:rsidP="00C72046">
      <w:pPr>
        <w:pStyle w:val="TextoNormalSangraFrancesa"/>
        <w:rPr>
          <w:rStyle w:val="TextoNormalCaracter"/>
        </w:rPr>
      </w:pPr>
      <w:bookmarkStart w:id="803" w:name="DESCRIPTORALFABETICO23"/>
      <w:r w:rsidRPr="00C72046">
        <w:rPr>
          <w:rStyle w:val="TextoNormalNegritaCaracter"/>
        </w:rPr>
        <w:t>Competencias en materia de sanidad</w:t>
      </w:r>
      <w:bookmarkEnd w:id="803"/>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ff. 1 a 4.</w:t>
      </w:r>
    </w:p>
    <w:p w14:paraId="103CAE24" w14:textId="4688DF55" w:rsidR="00C72046" w:rsidRPr="00C72046" w:rsidRDefault="00C72046" w:rsidP="00C72046">
      <w:pPr>
        <w:pStyle w:val="TextoNormalSangraFrancesa"/>
        <w:rPr>
          <w:rStyle w:val="TextoNormalCaracter"/>
        </w:rPr>
      </w:pPr>
      <w:bookmarkStart w:id="804" w:name="DESCRIPTORALFABETICO24"/>
      <w:r w:rsidRPr="00C72046">
        <w:rPr>
          <w:rStyle w:val="TextoNormalNegritaCaracter"/>
        </w:rPr>
        <w:t>Competencias en materia de títulos académicos y profesionales</w:t>
      </w:r>
      <w:bookmarkEnd w:id="804"/>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4 a 8.</w:t>
      </w:r>
    </w:p>
    <w:p w14:paraId="0E830092" w14:textId="4AB8950C" w:rsidR="00C72046" w:rsidRPr="00C72046" w:rsidRDefault="00C72046" w:rsidP="00C72046">
      <w:pPr>
        <w:pStyle w:val="TextoNormalSangraFrancesa"/>
        <w:rPr>
          <w:rStyle w:val="TextoNormalCaracter"/>
        </w:rPr>
      </w:pPr>
      <w:bookmarkStart w:id="805" w:name="DESCRIPTORALFABETICO25"/>
      <w:r w:rsidRPr="00C72046">
        <w:rPr>
          <w:rStyle w:val="TextoNormalNegritaCaracter"/>
        </w:rPr>
        <w:t>Competencias en materia de urbanismo</w:t>
      </w:r>
      <w:bookmarkEnd w:id="805"/>
      <w:r w:rsidRPr="00C72046">
        <w:rPr>
          <w:rStyle w:val="TextoNormalCaracter"/>
        </w:rPr>
        <w:t xml:space="preserve">, Sentencias </w:t>
      </w:r>
      <w:hyperlink w:anchor="SENTENCIA_2025_26" w:history="1">
        <w:r w:rsidRPr="00C72046">
          <w:rPr>
            <w:rStyle w:val="TextoNormalCaracter"/>
          </w:rPr>
          <w:t>26/2025</w:t>
        </w:r>
      </w:hyperlink>
      <w:r w:rsidRPr="00C72046">
        <w:rPr>
          <w:rStyle w:val="TextoNormalCaracter"/>
        </w:rPr>
        <w:t xml:space="preserve">, f. 3, VP I, VP II; </w:t>
      </w:r>
      <w:hyperlink w:anchor="SENTENCIA_2025_64" w:history="1">
        <w:r w:rsidRPr="00C72046">
          <w:rPr>
            <w:rStyle w:val="TextoNormalCaracter"/>
          </w:rPr>
          <w:t>64/2025</w:t>
        </w:r>
      </w:hyperlink>
      <w:r w:rsidRPr="00C72046">
        <w:rPr>
          <w:rStyle w:val="TextoNormalCaracter"/>
        </w:rPr>
        <w:t>, f. 6.</w:t>
      </w:r>
    </w:p>
    <w:p w14:paraId="54DBA3ED" w14:textId="0A37C771" w:rsidR="00C72046" w:rsidRPr="00C72046" w:rsidRDefault="00C72046" w:rsidP="00C72046">
      <w:pPr>
        <w:pStyle w:val="TextoNormalSangraFrancesa"/>
        <w:rPr>
          <w:rStyle w:val="TextoNormalCaracter"/>
        </w:rPr>
      </w:pPr>
      <w:bookmarkStart w:id="806" w:name="DESCRIPTORALFABETICO26"/>
      <w:r w:rsidRPr="00C72046">
        <w:rPr>
          <w:rStyle w:val="TextoNormalNegritaCaracter"/>
        </w:rPr>
        <w:t>Competencias en materia de vivienda</w:t>
      </w:r>
      <w:bookmarkEnd w:id="806"/>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ff. 2 a 5; </w:t>
      </w:r>
      <w:hyperlink w:anchor="SENTENCIA_2025_26" w:history="1">
        <w:r w:rsidRPr="00C72046">
          <w:rPr>
            <w:rStyle w:val="TextoNormalCaracter"/>
          </w:rPr>
          <w:t>26/2025</w:t>
        </w:r>
      </w:hyperlink>
      <w:r w:rsidRPr="00C72046">
        <w:rPr>
          <w:rStyle w:val="TextoNormalCaracter"/>
        </w:rPr>
        <w:t>, f. 3.</w:t>
      </w:r>
    </w:p>
    <w:p w14:paraId="71B2ED0D" w14:textId="2C127461" w:rsidR="00C72046" w:rsidRPr="00C72046" w:rsidRDefault="00C72046" w:rsidP="00C72046">
      <w:pPr>
        <w:pStyle w:val="TextoNormalSangraFrancesa"/>
        <w:rPr>
          <w:rStyle w:val="TextoNormalCaracter"/>
        </w:rPr>
      </w:pPr>
      <w:bookmarkStart w:id="807" w:name="DESCRIPTORALFABETICO339"/>
      <w:r w:rsidRPr="00C72046">
        <w:rPr>
          <w:rStyle w:val="TextoNormalNegritaCaracter"/>
        </w:rPr>
        <w:t>Competencias para fijar enseñanzas mínimas</w:t>
      </w:r>
      <w:bookmarkEnd w:id="807"/>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64E08DB9" w14:textId="30D88D68" w:rsidR="00C72046" w:rsidRPr="00C72046" w:rsidRDefault="00C72046" w:rsidP="00C72046">
      <w:pPr>
        <w:pStyle w:val="TextoNormalSangraFrancesa"/>
        <w:rPr>
          <w:rStyle w:val="TextoNormalCaracter"/>
        </w:rPr>
      </w:pPr>
      <w:bookmarkStart w:id="808" w:name="DESCRIPTORALFABETICO340"/>
      <w:r w:rsidRPr="00C72046">
        <w:rPr>
          <w:rStyle w:val="TextoNormalNegritaCaracter"/>
        </w:rPr>
        <w:t>Competencias para fijar horarios mínimos</w:t>
      </w:r>
      <w:bookmarkEnd w:id="808"/>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6CF30359" w14:textId="73ACE927" w:rsidR="00C72046" w:rsidRPr="00C72046" w:rsidRDefault="00C72046" w:rsidP="00C72046">
      <w:pPr>
        <w:pStyle w:val="TextoNormalSangraFrancesa"/>
        <w:rPr>
          <w:rStyle w:val="TextoNormalCaracter"/>
        </w:rPr>
      </w:pPr>
      <w:bookmarkStart w:id="809" w:name="DESCRIPTORALFABETICO487"/>
      <w:r w:rsidRPr="00C72046">
        <w:rPr>
          <w:rStyle w:val="TextoNormalNegritaCaracter"/>
        </w:rPr>
        <w:t>Comunidad de Madrid</w:t>
      </w:r>
      <w:bookmarkEnd w:id="809"/>
      <w:r w:rsidRPr="00C72046">
        <w:rPr>
          <w:rStyle w:val="TextoNormalCaracter"/>
        </w:rPr>
        <w:t xml:space="preserve">, Sentencia </w:t>
      </w:r>
      <w:hyperlink w:anchor="SENTENCIA_2025_96" w:history="1">
        <w:r w:rsidRPr="00C72046">
          <w:rPr>
            <w:rStyle w:val="TextoNormalCaracter"/>
          </w:rPr>
          <w:t>96/2025</w:t>
        </w:r>
      </w:hyperlink>
      <w:r w:rsidRPr="00C72046">
        <w:rPr>
          <w:rStyle w:val="TextoNormalCaracter"/>
        </w:rPr>
        <w:t>, f. 1.</w:t>
      </w:r>
    </w:p>
    <w:p w14:paraId="547CDC69" w14:textId="172EC40E" w:rsidR="00C72046" w:rsidRPr="00C72046" w:rsidRDefault="00C72046" w:rsidP="00C72046">
      <w:pPr>
        <w:pStyle w:val="TextoNormalSangraFrancesa"/>
        <w:rPr>
          <w:rStyle w:val="TextoNormalCaracter"/>
        </w:rPr>
      </w:pPr>
      <w:r w:rsidRPr="00C72046">
        <w:rPr>
          <w:rStyle w:val="TextoNormalCaracter"/>
        </w:rPr>
        <w:t xml:space="preserve">    Auto </w:t>
      </w:r>
      <w:hyperlink w:anchor="AUTO_2025_59" w:history="1">
        <w:r w:rsidRPr="00C72046">
          <w:rPr>
            <w:rStyle w:val="TextoNormalCaracter"/>
          </w:rPr>
          <w:t>59/2025</w:t>
        </w:r>
      </w:hyperlink>
      <w:r w:rsidRPr="00C72046">
        <w:rPr>
          <w:rStyle w:val="TextoNormalCaracter"/>
        </w:rPr>
        <w:t>, f. 1.</w:t>
      </w:r>
    </w:p>
    <w:p w14:paraId="22923BBD" w14:textId="6F89D8C0" w:rsidR="00C72046" w:rsidRPr="00C72046" w:rsidRDefault="00C72046" w:rsidP="00C72046">
      <w:pPr>
        <w:pStyle w:val="TextoNormalSangraFrancesa"/>
        <w:rPr>
          <w:rStyle w:val="TextoNormalCaracter"/>
        </w:rPr>
      </w:pPr>
      <w:bookmarkStart w:id="810" w:name="DESCRIPTORALFABETICO488"/>
      <w:r w:rsidRPr="00C72046">
        <w:rPr>
          <w:rStyle w:val="TextoNormalNegritaCaracter"/>
        </w:rPr>
        <w:t>Comunidad Foral de Navarra</w:t>
      </w:r>
      <w:bookmarkEnd w:id="810"/>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1.</w:t>
      </w:r>
    </w:p>
    <w:p w14:paraId="56D97479" w14:textId="0D281ED4" w:rsidR="00C72046" w:rsidRPr="00C72046" w:rsidRDefault="00C72046" w:rsidP="00C72046">
      <w:pPr>
        <w:pStyle w:val="TextoNormalSangraFrancesa"/>
        <w:rPr>
          <w:rStyle w:val="TextoNormalCaracter"/>
        </w:rPr>
      </w:pPr>
      <w:bookmarkStart w:id="811" w:name="DESCRIPTORALFABETICO312"/>
      <w:r w:rsidRPr="00C72046">
        <w:rPr>
          <w:rStyle w:val="TextoNormalNegritaCaracter"/>
        </w:rPr>
        <w:t>Concejales no adscritos</w:t>
      </w:r>
      <w:bookmarkEnd w:id="811"/>
      <w:r w:rsidRPr="00C72046">
        <w:rPr>
          <w:rStyle w:val="TextoNormalCaracter"/>
        </w:rPr>
        <w:t xml:space="preserve">, Sentencia </w:t>
      </w:r>
      <w:hyperlink w:anchor="SENTENCIA_2025_134" w:history="1">
        <w:r w:rsidRPr="00C72046">
          <w:rPr>
            <w:rStyle w:val="TextoNormalCaracter"/>
          </w:rPr>
          <w:t>134/2025</w:t>
        </w:r>
      </w:hyperlink>
      <w:r w:rsidRPr="00C72046">
        <w:rPr>
          <w:rStyle w:val="TextoNormalCaracter"/>
        </w:rPr>
        <w:t>, ff. 2 y 5.</w:t>
      </w:r>
    </w:p>
    <w:p w14:paraId="075D0FF1" w14:textId="15C7FB0E" w:rsidR="00C72046" w:rsidRPr="00C72046" w:rsidRDefault="00C72046" w:rsidP="00C72046">
      <w:pPr>
        <w:pStyle w:val="TextoNormalSangraFrancesa"/>
        <w:rPr>
          <w:rStyle w:val="TextoNormalCaracter"/>
        </w:rPr>
      </w:pPr>
      <w:bookmarkStart w:id="812" w:name="DESCRIPTORALFABETICO439"/>
      <w:r w:rsidRPr="00C72046">
        <w:rPr>
          <w:rStyle w:val="TextoNormalNegritaCaracter"/>
        </w:rPr>
        <w:t>Condena en costas procesales</w:t>
      </w:r>
      <w:bookmarkEnd w:id="812"/>
      <w:r w:rsidRPr="00C72046">
        <w:rPr>
          <w:rStyle w:val="TextoNormalCaracter"/>
        </w:rPr>
        <w:t xml:space="preserve">, Sentencia </w:t>
      </w:r>
      <w:hyperlink w:anchor="SENTENCIA_2025_45" w:history="1">
        <w:r w:rsidRPr="00C72046">
          <w:rPr>
            <w:rStyle w:val="TextoNormalCaracter"/>
          </w:rPr>
          <w:t>45/2025</w:t>
        </w:r>
      </w:hyperlink>
      <w:r w:rsidRPr="00C72046">
        <w:rPr>
          <w:rStyle w:val="TextoNormalCaracter"/>
        </w:rPr>
        <w:t>, ff. 2 y 3.</w:t>
      </w:r>
    </w:p>
    <w:p w14:paraId="453AE677" w14:textId="6DE4F6A3" w:rsidR="00C72046" w:rsidRPr="00C72046" w:rsidRDefault="00C72046" w:rsidP="00C72046">
      <w:pPr>
        <w:pStyle w:val="TextoNormalSangraFrancesa"/>
        <w:rPr>
          <w:rStyle w:val="TextoNormalCaracter"/>
        </w:rPr>
      </w:pPr>
      <w:bookmarkStart w:id="813" w:name="DESCRIPTORALFABETICO479"/>
      <w:r w:rsidRPr="00C72046">
        <w:rPr>
          <w:rStyle w:val="TextoNormalNegritaCaracter"/>
        </w:rPr>
        <w:t>Condena penal en apelación fundada en pruebas sin garantías</w:t>
      </w:r>
      <w:bookmarkEnd w:id="813"/>
      <w:r w:rsidRPr="00C72046">
        <w:rPr>
          <w:rStyle w:val="TextoNormalCaracter"/>
        </w:rPr>
        <w:t xml:space="preserve">, Sentencia </w:t>
      </w:r>
      <w:hyperlink w:anchor="SENTENCIA_2025_85" w:history="1">
        <w:r w:rsidRPr="00C72046">
          <w:rPr>
            <w:rStyle w:val="TextoNormalCaracter"/>
          </w:rPr>
          <w:t>85/2025</w:t>
        </w:r>
      </w:hyperlink>
      <w:r w:rsidRPr="00C72046">
        <w:rPr>
          <w:rStyle w:val="TextoNormalCaracter"/>
        </w:rPr>
        <w:t>, ff. 2 y 3.</w:t>
      </w:r>
    </w:p>
    <w:p w14:paraId="570C00AF" w14:textId="67B6A2DC" w:rsidR="00C72046" w:rsidRPr="00C72046" w:rsidRDefault="00C72046" w:rsidP="00C72046">
      <w:pPr>
        <w:pStyle w:val="TextoNormalSangraFrancesa"/>
        <w:rPr>
          <w:rStyle w:val="TextoNormalCaracter"/>
        </w:rPr>
      </w:pPr>
      <w:bookmarkStart w:id="814" w:name="DESCRIPTORALFABETICO480"/>
      <w:r w:rsidRPr="00C72046">
        <w:rPr>
          <w:rStyle w:val="TextoNormalNegritaCaracter"/>
        </w:rPr>
        <w:t>Condena penal en apelación que no motiva la alteración de hechos declarados probados</w:t>
      </w:r>
      <w:bookmarkEnd w:id="814"/>
      <w:r w:rsidRPr="00C72046">
        <w:rPr>
          <w:rStyle w:val="TextoNormalCaracter"/>
        </w:rPr>
        <w:t xml:space="preserve">, Sentencia </w:t>
      </w:r>
      <w:hyperlink w:anchor="SENTENCIA_2025_85" w:history="1">
        <w:r w:rsidRPr="00C72046">
          <w:rPr>
            <w:rStyle w:val="TextoNormalCaracter"/>
          </w:rPr>
          <w:t>85/2025</w:t>
        </w:r>
      </w:hyperlink>
      <w:r w:rsidRPr="00C72046">
        <w:rPr>
          <w:rStyle w:val="TextoNormalCaracter"/>
        </w:rPr>
        <w:t>, ff. 2 y 3.</w:t>
      </w:r>
    </w:p>
    <w:p w14:paraId="3464B040" w14:textId="3686E2A7" w:rsidR="00C72046" w:rsidRPr="00C72046" w:rsidRDefault="00C72046" w:rsidP="00C72046">
      <w:pPr>
        <w:pStyle w:val="TextoNormalSangraFrancesa"/>
        <w:rPr>
          <w:rStyle w:val="TextoNormalCaracter"/>
        </w:rPr>
      </w:pPr>
      <w:bookmarkStart w:id="815" w:name="DESCRIPTORALFABETICO374"/>
      <w:r w:rsidRPr="00C72046">
        <w:rPr>
          <w:rStyle w:val="TextoNormalNegritaCaracter"/>
        </w:rPr>
        <w:t>Conexión de sentido entre la situación de urgencia y las medidas adoptadas</w:t>
      </w:r>
      <w:bookmarkEnd w:id="815"/>
      <w:r w:rsidRPr="00C72046">
        <w:rPr>
          <w:rStyle w:val="TextoNormalCaracter"/>
        </w:rPr>
        <w:t xml:space="preserve">, Sentencias </w:t>
      </w:r>
      <w:hyperlink w:anchor="SENTENCIA_2025_64" w:history="1">
        <w:r w:rsidRPr="00C72046">
          <w:rPr>
            <w:rStyle w:val="TextoNormalCaracter"/>
          </w:rPr>
          <w:t>64/2025</w:t>
        </w:r>
      </w:hyperlink>
      <w:r w:rsidRPr="00C72046">
        <w:rPr>
          <w:rStyle w:val="TextoNormalCaracter"/>
        </w:rPr>
        <w:t xml:space="preserve">, f. 3; </w:t>
      </w:r>
      <w:hyperlink w:anchor="SENTENCIA_2025_118" w:history="1">
        <w:r w:rsidRPr="00C72046">
          <w:rPr>
            <w:rStyle w:val="TextoNormalCaracter"/>
          </w:rPr>
          <w:t>118/2025</w:t>
        </w:r>
      </w:hyperlink>
      <w:r w:rsidRPr="00C72046">
        <w:rPr>
          <w:rStyle w:val="TextoNormalCaracter"/>
        </w:rPr>
        <w:t>, f. 5.</w:t>
      </w:r>
    </w:p>
    <w:p w14:paraId="139DA788" w14:textId="391CA729" w:rsidR="00C72046" w:rsidRPr="00C72046" w:rsidRDefault="00C72046" w:rsidP="00C72046">
      <w:pPr>
        <w:pStyle w:val="TextoNormalSangraFrancesa"/>
        <w:rPr>
          <w:rStyle w:val="TextoNormalCaracter"/>
        </w:rPr>
      </w:pPr>
      <w:bookmarkStart w:id="816" w:name="DESCRIPTORALFABETICO117"/>
      <w:r w:rsidRPr="00C72046">
        <w:rPr>
          <w:rStyle w:val="TextoNormalNegritaCaracter"/>
        </w:rPr>
        <w:t>Contenido de la libertad de circulación</w:t>
      </w:r>
      <w:bookmarkEnd w:id="816"/>
      <w:r w:rsidRPr="00C72046">
        <w:rPr>
          <w:rStyle w:val="TextoNormalCaracter"/>
        </w:rPr>
        <w:t xml:space="preserve">, Sentencia </w:t>
      </w:r>
      <w:hyperlink w:anchor="SENTENCIA_2025_95" w:history="1">
        <w:r w:rsidRPr="00C72046">
          <w:rPr>
            <w:rStyle w:val="TextoNormalCaracter"/>
          </w:rPr>
          <w:t>95/2025</w:t>
        </w:r>
      </w:hyperlink>
      <w:r w:rsidRPr="00C72046">
        <w:rPr>
          <w:rStyle w:val="TextoNormalCaracter"/>
        </w:rPr>
        <w:t>, f. 3.</w:t>
      </w:r>
    </w:p>
    <w:p w14:paraId="2DF9A92A" w14:textId="3BCB3DC5" w:rsidR="00C72046" w:rsidRPr="00C72046" w:rsidRDefault="00C72046" w:rsidP="00C72046">
      <w:pPr>
        <w:pStyle w:val="TextoNormalSangraFrancesa"/>
        <w:rPr>
          <w:rStyle w:val="TextoNormalCaracter"/>
        </w:rPr>
      </w:pPr>
      <w:bookmarkStart w:id="817" w:name="DESCRIPTORALFABETICO134"/>
      <w:r w:rsidRPr="00C72046">
        <w:rPr>
          <w:rStyle w:val="TextoNormalNegritaCaracter"/>
        </w:rPr>
        <w:t>Contenido de la libertad religiosa</w:t>
      </w:r>
      <w:bookmarkEnd w:id="817"/>
      <w:r w:rsidRPr="00C72046">
        <w:rPr>
          <w:rStyle w:val="TextoNormalCaracter"/>
        </w:rPr>
        <w:t xml:space="preserve">, Sentencia </w:t>
      </w:r>
      <w:hyperlink w:anchor="SENTENCIA_2025_119" w:history="1">
        <w:r w:rsidRPr="00C72046">
          <w:rPr>
            <w:rStyle w:val="TextoNormalCaracter"/>
          </w:rPr>
          <w:t>119/2025</w:t>
        </w:r>
      </w:hyperlink>
      <w:r w:rsidRPr="00C72046">
        <w:rPr>
          <w:rStyle w:val="TextoNormalCaracter"/>
        </w:rPr>
        <w:t>, ff. 3 a 7.</w:t>
      </w:r>
    </w:p>
    <w:p w14:paraId="22F54D17" w14:textId="1E5543A8" w:rsidR="00C72046" w:rsidRPr="00C72046" w:rsidRDefault="00C72046" w:rsidP="00C72046">
      <w:pPr>
        <w:pStyle w:val="TextoNormalSangraFrancesa"/>
        <w:rPr>
          <w:rStyle w:val="TextoNormalCaracter"/>
        </w:rPr>
      </w:pPr>
      <w:bookmarkStart w:id="818" w:name="DESCRIPTORALFABETICO369"/>
      <w:r w:rsidRPr="00C72046">
        <w:rPr>
          <w:rStyle w:val="TextoNormalNegritaCaracter"/>
        </w:rPr>
        <w:t>Contenido de los Estatutos de Autonomía</w:t>
      </w:r>
      <w:bookmarkEnd w:id="818"/>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ff. 3, 4, 6.</w:t>
      </w:r>
    </w:p>
    <w:p w14:paraId="2C5CDB87" w14:textId="2AA82B95" w:rsidR="00C72046" w:rsidRPr="00C72046" w:rsidRDefault="00C72046" w:rsidP="00C72046">
      <w:pPr>
        <w:pStyle w:val="TextoNormalSangraFrancesa"/>
        <w:rPr>
          <w:rStyle w:val="TextoNormalCaracter"/>
        </w:rPr>
      </w:pPr>
      <w:bookmarkStart w:id="819" w:name="DESCRIPTORALFABETICO125"/>
      <w:r w:rsidRPr="00C72046">
        <w:rPr>
          <w:rStyle w:val="TextoNormalNegritaCaracter"/>
        </w:rPr>
        <w:t>Contenido del derecho a comunicar libremente información</w:t>
      </w:r>
      <w:bookmarkEnd w:id="819"/>
      <w:r w:rsidRPr="00C72046">
        <w:rPr>
          <w:rStyle w:val="TextoNormalCaracter"/>
        </w:rPr>
        <w:t xml:space="preserve">, Sentencia </w:t>
      </w:r>
      <w:hyperlink w:anchor="SENTENCIA_2025_62" w:history="1">
        <w:r w:rsidRPr="00C72046">
          <w:rPr>
            <w:rStyle w:val="TextoNormalCaracter"/>
          </w:rPr>
          <w:t>62/2025</w:t>
        </w:r>
      </w:hyperlink>
      <w:r w:rsidRPr="00C72046">
        <w:rPr>
          <w:rStyle w:val="TextoNormalCaracter"/>
        </w:rPr>
        <w:t>, ff. 2 a 4, VP I, VP II, VP III.</w:t>
      </w:r>
    </w:p>
    <w:p w14:paraId="0ADF7E73" w14:textId="48F09740" w:rsidR="00C72046" w:rsidRPr="00C72046" w:rsidRDefault="00C72046" w:rsidP="00C72046">
      <w:pPr>
        <w:pStyle w:val="TextoNormalSangraFrancesa"/>
        <w:rPr>
          <w:rStyle w:val="TextoNormalCaracter"/>
        </w:rPr>
      </w:pPr>
      <w:bookmarkStart w:id="820" w:name="DESCRIPTORALFABETICO43"/>
      <w:r w:rsidRPr="00C72046">
        <w:rPr>
          <w:rStyle w:val="TextoNormalNegritaCaracter"/>
        </w:rPr>
        <w:t>Contenido del derecho a ejercer los cargos públicos</w:t>
      </w:r>
      <w:bookmarkEnd w:id="820"/>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ff. 1 y 3, VP III; </w:t>
      </w:r>
      <w:hyperlink w:anchor="SENTENCIA_2025_83" w:history="1">
        <w:r w:rsidRPr="00C72046">
          <w:rPr>
            <w:rStyle w:val="TextoNormalCaracter"/>
          </w:rPr>
          <w:t>83/2025</w:t>
        </w:r>
      </w:hyperlink>
      <w:r w:rsidRPr="00C72046">
        <w:rPr>
          <w:rStyle w:val="TextoNormalCaracter"/>
        </w:rPr>
        <w:t xml:space="preserve">, ff. 2 a 3; </w:t>
      </w:r>
      <w:hyperlink w:anchor="SENTENCIA_2025_136" w:history="1">
        <w:r w:rsidRPr="00C72046">
          <w:rPr>
            <w:rStyle w:val="TextoNormalCaracter"/>
          </w:rPr>
          <w:t>136/2025</w:t>
        </w:r>
      </w:hyperlink>
      <w:r w:rsidRPr="00C72046">
        <w:rPr>
          <w:rStyle w:val="TextoNormalCaracter"/>
        </w:rPr>
        <w:t>, ff. 2 y 3.</w:t>
      </w:r>
    </w:p>
    <w:p w14:paraId="5F93AF2E" w14:textId="13BE8139" w:rsidR="00C72046" w:rsidRPr="00C72046" w:rsidRDefault="00C72046" w:rsidP="00C72046">
      <w:pPr>
        <w:pStyle w:val="TextoNormalSangraFrancesa"/>
        <w:rPr>
          <w:rStyle w:val="TextoNormalCaracter"/>
        </w:rPr>
      </w:pPr>
      <w:bookmarkStart w:id="821" w:name="DESCRIPTORALFABETICO106"/>
      <w:r w:rsidRPr="00C72046">
        <w:rPr>
          <w:rStyle w:val="TextoNormalNegritaCaracter"/>
        </w:rPr>
        <w:t>Contenido del derecho a la asistencia letrada</w:t>
      </w:r>
      <w:bookmarkEnd w:id="821"/>
      <w:r w:rsidRPr="00C72046">
        <w:rPr>
          <w:rStyle w:val="TextoNormalCaracter"/>
        </w:rPr>
        <w:t xml:space="preserve">, Auto </w:t>
      </w:r>
      <w:hyperlink w:anchor="AUTO_2025_28" w:history="1">
        <w:r w:rsidRPr="00C72046">
          <w:rPr>
            <w:rStyle w:val="TextoNormalCaracter"/>
          </w:rPr>
          <w:t>28/2025</w:t>
        </w:r>
      </w:hyperlink>
      <w:r w:rsidRPr="00C72046">
        <w:rPr>
          <w:rStyle w:val="TextoNormalCaracter"/>
        </w:rPr>
        <w:t>, ff. 2 a 4, VP I.</w:t>
      </w:r>
    </w:p>
    <w:p w14:paraId="5698F4E6" w14:textId="2446862B" w:rsidR="00C72046" w:rsidRPr="00C72046" w:rsidRDefault="00C72046" w:rsidP="00C72046">
      <w:pPr>
        <w:pStyle w:val="TextoNormalSangraFrancesa"/>
        <w:rPr>
          <w:rStyle w:val="TextoNormalCaracter"/>
        </w:rPr>
      </w:pPr>
      <w:bookmarkStart w:id="822" w:name="DESCRIPTORALFABETICO49"/>
      <w:r w:rsidRPr="00C72046">
        <w:rPr>
          <w:rStyle w:val="TextoNormalNegritaCaracter"/>
        </w:rPr>
        <w:t>Contenido del derecho a la creación literaria, artística, científica y técnica</w:t>
      </w:r>
      <w:bookmarkEnd w:id="822"/>
      <w:r w:rsidRPr="00C72046">
        <w:rPr>
          <w:rStyle w:val="TextoNormalCaracter"/>
        </w:rPr>
        <w:t xml:space="preserve">, Sentencia </w:t>
      </w:r>
      <w:hyperlink w:anchor="SENTENCIA_2025_1" w:history="1">
        <w:r w:rsidRPr="00C72046">
          <w:rPr>
            <w:rStyle w:val="TextoNormalCaracter"/>
          </w:rPr>
          <w:t>1/2025</w:t>
        </w:r>
      </w:hyperlink>
      <w:r w:rsidRPr="00C72046">
        <w:rPr>
          <w:rStyle w:val="TextoNormalCaracter"/>
        </w:rPr>
        <w:t>, f. 3.</w:t>
      </w:r>
    </w:p>
    <w:p w14:paraId="3BE5D1C4" w14:textId="76888118" w:rsidR="00C72046" w:rsidRPr="00C72046" w:rsidRDefault="00C72046" w:rsidP="00C72046">
      <w:pPr>
        <w:pStyle w:val="TextoNormalSangraFrancesa"/>
        <w:rPr>
          <w:rStyle w:val="TextoNormalCaracter"/>
        </w:rPr>
      </w:pPr>
      <w:bookmarkStart w:id="823" w:name="DESCRIPTORALFABETICO59"/>
      <w:r w:rsidRPr="00C72046">
        <w:rPr>
          <w:rStyle w:val="TextoNormalNegritaCaracter"/>
        </w:rPr>
        <w:t>Contenido del derecho a la integridad física y moral</w:t>
      </w:r>
      <w:bookmarkEnd w:id="823"/>
      <w:r w:rsidRPr="00C72046">
        <w:rPr>
          <w:rStyle w:val="TextoNormalCaracter"/>
        </w:rPr>
        <w:t xml:space="preserve">, Sentencias </w:t>
      </w:r>
      <w:hyperlink w:anchor="SENTENCIA_2025_28" w:history="1">
        <w:r w:rsidRPr="00C72046">
          <w:rPr>
            <w:rStyle w:val="TextoNormalCaracter"/>
          </w:rPr>
          <w:t>28/2025</w:t>
        </w:r>
      </w:hyperlink>
      <w:r w:rsidRPr="00C72046">
        <w:rPr>
          <w:rStyle w:val="TextoNormalCaracter"/>
        </w:rPr>
        <w:t xml:space="preserve">, ff. 4 y 5; </w:t>
      </w:r>
      <w:hyperlink w:anchor="SENTENCIA_2025_95" w:history="1">
        <w:r w:rsidRPr="00C72046">
          <w:rPr>
            <w:rStyle w:val="TextoNormalCaracter"/>
          </w:rPr>
          <w:t>95/2025</w:t>
        </w:r>
      </w:hyperlink>
      <w:r w:rsidRPr="00C72046">
        <w:rPr>
          <w:rStyle w:val="TextoNormalCaracter"/>
        </w:rPr>
        <w:t>, f. 3.</w:t>
      </w:r>
    </w:p>
    <w:p w14:paraId="29ADD4F6" w14:textId="20E4469E" w:rsidR="00C72046" w:rsidRPr="00C72046" w:rsidRDefault="00C72046" w:rsidP="00C72046">
      <w:pPr>
        <w:pStyle w:val="TextoNormalSangraFrancesa"/>
        <w:rPr>
          <w:rStyle w:val="TextoNormalCaracter"/>
        </w:rPr>
      </w:pPr>
      <w:bookmarkStart w:id="824" w:name="DESCRIPTORALFABETICO63"/>
      <w:r w:rsidRPr="00C72046">
        <w:rPr>
          <w:rStyle w:val="TextoNormalNegritaCaracter"/>
        </w:rPr>
        <w:t>Contenido del derecho a la intimidad</w:t>
      </w:r>
      <w:bookmarkEnd w:id="824"/>
      <w:r w:rsidRPr="00C72046">
        <w:rPr>
          <w:rStyle w:val="TextoNormalCaracter"/>
        </w:rPr>
        <w:t xml:space="preserve">, Sentencia </w:t>
      </w:r>
      <w:hyperlink w:anchor="SENTENCIA_2025_95" w:history="1">
        <w:r w:rsidRPr="00C72046">
          <w:rPr>
            <w:rStyle w:val="TextoNormalCaracter"/>
          </w:rPr>
          <w:t>95/2025</w:t>
        </w:r>
      </w:hyperlink>
      <w:r w:rsidRPr="00C72046">
        <w:rPr>
          <w:rStyle w:val="TextoNormalCaracter"/>
        </w:rPr>
        <w:t>, f. 3.</w:t>
      </w:r>
    </w:p>
    <w:p w14:paraId="1D84067C" w14:textId="65DC287F" w:rsidR="00C72046" w:rsidRPr="00C72046" w:rsidRDefault="00C72046" w:rsidP="00C72046">
      <w:pPr>
        <w:pStyle w:val="TextoNormalSangraFrancesa"/>
        <w:rPr>
          <w:rStyle w:val="TextoNormalCaracter"/>
        </w:rPr>
      </w:pPr>
      <w:bookmarkStart w:id="825" w:name="DESCRIPTORALFABETICO66"/>
      <w:r w:rsidRPr="00C72046">
        <w:rPr>
          <w:rStyle w:val="TextoNormalNegritaCaracter"/>
        </w:rPr>
        <w:t>Contenido del derecho a la libertad personal</w:t>
      </w:r>
      <w:bookmarkEnd w:id="825"/>
      <w:r w:rsidRPr="00C72046">
        <w:rPr>
          <w:rStyle w:val="TextoNormalCaracter"/>
        </w:rPr>
        <w:t xml:space="preserve">, Sentencias </w:t>
      </w:r>
      <w:hyperlink w:anchor="SENTENCIA_2025_86" w:history="1">
        <w:r w:rsidRPr="00C72046">
          <w:rPr>
            <w:rStyle w:val="TextoNormalCaracter"/>
          </w:rPr>
          <w:t>86/2025</w:t>
        </w:r>
      </w:hyperlink>
      <w:r w:rsidRPr="00C72046">
        <w:rPr>
          <w:rStyle w:val="TextoNormalCaracter"/>
        </w:rPr>
        <w:t xml:space="preserve">, ff. 2 y 3; </w:t>
      </w:r>
      <w:hyperlink w:anchor="SENTENCIA_2025_95" w:history="1">
        <w:r w:rsidRPr="00C72046">
          <w:rPr>
            <w:rStyle w:val="TextoNormalCaracter"/>
          </w:rPr>
          <w:t>95/2025</w:t>
        </w:r>
      </w:hyperlink>
      <w:r w:rsidRPr="00C72046">
        <w:rPr>
          <w:rStyle w:val="TextoNormalCaracter"/>
        </w:rPr>
        <w:t>, f. 3.</w:t>
      </w:r>
    </w:p>
    <w:p w14:paraId="2CE7DB43" w14:textId="55EA942F" w:rsidR="00C72046" w:rsidRPr="00C72046" w:rsidRDefault="00C72046" w:rsidP="00C72046">
      <w:pPr>
        <w:pStyle w:val="TextoNormalSangraFrancesa"/>
        <w:rPr>
          <w:rStyle w:val="TextoNormalCaracter"/>
        </w:rPr>
      </w:pPr>
      <w:bookmarkStart w:id="826" w:name="DESCRIPTORALFABETICO73"/>
      <w:r w:rsidRPr="00C72046">
        <w:rPr>
          <w:rStyle w:val="TextoNormalNegritaCaracter"/>
        </w:rPr>
        <w:t>Contenido del derecho a la presunción de inocencia</w:t>
      </w:r>
      <w:bookmarkEnd w:id="826"/>
      <w:r w:rsidRPr="00C72046">
        <w:rPr>
          <w:rStyle w:val="TextoNormalCaracter"/>
        </w:rPr>
        <w:t xml:space="preserve">, Sentencias </w:t>
      </w:r>
      <w:hyperlink w:anchor="SENTENCIA_2025_85" w:history="1">
        <w:r w:rsidRPr="00C72046">
          <w:rPr>
            <w:rStyle w:val="TextoNormalCaracter"/>
          </w:rPr>
          <w:t>85/2025</w:t>
        </w:r>
      </w:hyperlink>
      <w:r w:rsidRPr="00C72046">
        <w:rPr>
          <w:rStyle w:val="TextoNormalCaracter"/>
        </w:rPr>
        <w:t xml:space="preserve">, ff. 2 y 4; </w:t>
      </w:r>
      <w:hyperlink w:anchor="SENTENCIA_2025_107" w:history="1">
        <w:r w:rsidRPr="00C72046">
          <w:rPr>
            <w:rStyle w:val="TextoNormalCaracter"/>
          </w:rPr>
          <w:t>107/2025</w:t>
        </w:r>
      </w:hyperlink>
      <w:r w:rsidRPr="00C72046">
        <w:rPr>
          <w:rStyle w:val="TextoNormalCaracter"/>
        </w:rPr>
        <w:t xml:space="preserve">, ff. 2 y 3; </w:t>
      </w:r>
      <w:hyperlink w:anchor="SENTENCIA_2025_108" w:history="1">
        <w:r w:rsidRPr="00C72046">
          <w:rPr>
            <w:rStyle w:val="TextoNormalCaracter"/>
          </w:rPr>
          <w:t>108/2025</w:t>
        </w:r>
      </w:hyperlink>
      <w:r w:rsidRPr="00C72046">
        <w:rPr>
          <w:rStyle w:val="TextoNormalCaracter"/>
        </w:rPr>
        <w:t>, ff. 2 y 3.</w:t>
      </w:r>
    </w:p>
    <w:p w14:paraId="0C4218BB" w14:textId="3D7938F3" w:rsidR="00C72046" w:rsidRPr="00C72046" w:rsidRDefault="00C72046" w:rsidP="00C72046">
      <w:pPr>
        <w:pStyle w:val="TextoNormalSangraFrancesa"/>
        <w:rPr>
          <w:rStyle w:val="TextoNormalCaracter"/>
        </w:rPr>
      </w:pPr>
      <w:bookmarkStart w:id="827" w:name="DESCRIPTORALFABETICO76"/>
      <w:r w:rsidRPr="00C72046">
        <w:rPr>
          <w:rStyle w:val="TextoNormalNegritaCaracter"/>
        </w:rPr>
        <w:t>Contenido del derecho a la tutela judicial efectiva</w:t>
      </w:r>
      <w:bookmarkEnd w:id="827"/>
      <w:r w:rsidRPr="00C72046">
        <w:rPr>
          <w:rStyle w:val="TextoNormalCaracter"/>
        </w:rPr>
        <w:t xml:space="preserve">, Sentencias </w:t>
      </w:r>
      <w:hyperlink w:anchor="SENTENCIA_2025_85" w:history="1">
        <w:r w:rsidRPr="00C72046">
          <w:rPr>
            <w:rStyle w:val="TextoNormalCaracter"/>
          </w:rPr>
          <w:t>85/2025</w:t>
        </w:r>
      </w:hyperlink>
      <w:r w:rsidRPr="00C72046">
        <w:rPr>
          <w:rStyle w:val="TextoNormalCaracter"/>
        </w:rPr>
        <w:t xml:space="preserve">, ff. 2 y 3; </w:t>
      </w:r>
      <w:hyperlink w:anchor="SENTENCIA_2025_126" w:history="1">
        <w:r w:rsidRPr="00C72046">
          <w:rPr>
            <w:rStyle w:val="TextoNormalCaracter"/>
          </w:rPr>
          <w:t>126/2025</w:t>
        </w:r>
      </w:hyperlink>
      <w:r w:rsidRPr="00C72046">
        <w:rPr>
          <w:rStyle w:val="TextoNormalCaracter"/>
        </w:rPr>
        <w:t>, ff. 3 a 8.</w:t>
      </w:r>
    </w:p>
    <w:p w14:paraId="6DAE3302" w14:textId="2B1AD148" w:rsidR="00C72046" w:rsidRPr="00C72046" w:rsidRDefault="00C72046" w:rsidP="00C72046">
      <w:pPr>
        <w:pStyle w:val="TextoNormalSangraFrancesa"/>
        <w:rPr>
          <w:rStyle w:val="TextoNormalCaracter"/>
        </w:rPr>
      </w:pPr>
      <w:bookmarkStart w:id="828" w:name="DESCRIPTORALFABETICO95"/>
      <w:r w:rsidRPr="00C72046">
        <w:rPr>
          <w:rStyle w:val="TextoNormalNegritaCaracter"/>
        </w:rPr>
        <w:t>Contenido del derecho a la vida</w:t>
      </w:r>
      <w:bookmarkEnd w:id="828"/>
      <w:r w:rsidRPr="00C72046">
        <w:rPr>
          <w:rStyle w:val="TextoNormalCaracter"/>
        </w:rPr>
        <w:t xml:space="preserve">, Sentencia </w:t>
      </w:r>
      <w:hyperlink w:anchor="SENTENCIA_2025_126" w:history="1">
        <w:r w:rsidRPr="00C72046">
          <w:rPr>
            <w:rStyle w:val="TextoNormalCaracter"/>
          </w:rPr>
          <w:t>126/2025</w:t>
        </w:r>
      </w:hyperlink>
      <w:r w:rsidRPr="00C72046">
        <w:rPr>
          <w:rStyle w:val="TextoNormalCaracter"/>
        </w:rPr>
        <w:t>, ff. 5 y 7.</w:t>
      </w:r>
    </w:p>
    <w:p w14:paraId="3F25AF72" w14:textId="01CC9372" w:rsidR="00C72046" w:rsidRPr="00C72046" w:rsidRDefault="00C72046" w:rsidP="00C72046">
      <w:pPr>
        <w:pStyle w:val="TextoNormalSangraFrancesa"/>
        <w:rPr>
          <w:rStyle w:val="TextoNormalCaracter"/>
        </w:rPr>
      </w:pPr>
      <w:bookmarkStart w:id="829" w:name="DESCRIPTORALFABETICO101"/>
      <w:r w:rsidRPr="00C72046">
        <w:rPr>
          <w:rStyle w:val="TextoNormalNegritaCaracter"/>
        </w:rPr>
        <w:t>Contenido del derecho a participar en los asuntos públicos</w:t>
      </w:r>
      <w:bookmarkEnd w:id="829"/>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 2.</w:t>
      </w:r>
    </w:p>
    <w:p w14:paraId="72B125ED" w14:textId="11E78C82" w:rsidR="00C72046" w:rsidRPr="00C72046" w:rsidRDefault="00C72046" w:rsidP="00C72046">
      <w:pPr>
        <w:pStyle w:val="TextoNormalSangraFrancesa"/>
        <w:rPr>
          <w:rStyle w:val="TextoNormalCaracter"/>
        </w:rPr>
      </w:pPr>
      <w:bookmarkStart w:id="830" w:name="DESCRIPTORALFABETICO108"/>
      <w:r w:rsidRPr="00C72046">
        <w:rPr>
          <w:rStyle w:val="TextoNormalNegritaCaracter"/>
        </w:rPr>
        <w:t>Contenido del derecho a un juez imparcial</w:t>
      </w:r>
      <w:bookmarkEnd w:id="830"/>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VP II, VP III, VP IV.</w:t>
      </w:r>
    </w:p>
    <w:p w14:paraId="48B3A63A" w14:textId="36CFA006" w:rsidR="00C72046" w:rsidRPr="00C72046" w:rsidRDefault="00C72046" w:rsidP="00C72046">
      <w:pPr>
        <w:pStyle w:val="TextoNormalSangraFrancesa"/>
        <w:rPr>
          <w:rStyle w:val="TextoNormalCaracter"/>
        </w:rPr>
      </w:pPr>
      <w:bookmarkStart w:id="831" w:name="DESCRIPTORALFABETICO104"/>
      <w:r w:rsidRPr="00C72046">
        <w:rPr>
          <w:rStyle w:val="TextoNormalNegritaCaracter"/>
        </w:rPr>
        <w:t>Contenido del derecho a un proceso con todas las garantías</w:t>
      </w:r>
      <w:bookmarkEnd w:id="831"/>
      <w:r w:rsidRPr="00C72046">
        <w:rPr>
          <w:rStyle w:val="TextoNormalCaracter"/>
        </w:rPr>
        <w:t xml:space="preserve">, Sentencias </w:t>
      </w:r>
      <w:hyperlink w:anchor="SENTENCIA_2025_85" w:history="1">
        <w:r w:rsidRPr="00C72046">
          <w:rPr>
            <w:rStyle w:val="TextoNormalCaracter"/>
          </w:rPr>
          <w:t>85/2025</w:t>
        </w:r>
      </w:hyperlink>
      <w:r w:rsidRPr="00C72046">
        <w:rPr>
          <w:rStyle w:val="TextoNormalCaracter"/>
        </w:rPr>
        <w:t xml:space="preserve">, ff. 2 y 3; </w:t>
      </w:r>
      <w:hyperlink w:anchor="SENTENCIA_2025_107" w:history="1">
        <w:r w:rsidRPr="00C72046">
          <w:rPr>
            <w:rStyle w:val="TextoNormalCaracter"/>
          </w:rPr>
          <w:t>107/2025</w:t>
        </w:r>
      </w:hyperlink>
      <w:r w:rsidRPr="00C72046">
        <w:rPr>
          <w:rStyle w:val="TextoNormalCaracter"/>
        </w:rPr>
        <w:t xml:space="preserve">, f. 2; </w:t>
      </w:r>
      <w:hyperlink w:anchor="SENTENCIA_2025_108" w:history="1">
        <w:r w:rsidRPr="00C72046">
          <w:rPr>
            <w:rStyle w:val="TextoNormalCaracter"/>
          </w:rPr>
          <w:t>108/2025</w:t>
        </w:r>
      </w:hyperlink>
      <w:r w:rsidRPr="00C72046">
        <w:rPr>
          <w:rStyle w:val="TextoNormalCaracter"/>
        </w:rPr>
        <w:t>, f. 2.</w:t>
      </w:r>
    </w:p>
    <w:p w14:paraId="0B083E04" w14:textId="248E488E" w:rsidR="00C72046" w:rsidRPr="00C72046" w:rsidRDefault="00C72046" w:rsidP="00C72046">
      <w:pPr>
        <w:pStyle w:val="TextoNormalSangraFrancesa"/>
        <w:rPr>
          <w:rStyle w:val="TextoNormalCaracter"/>
        </w:rPr>
      </w:pPr>
      <w:bookmarkStart w:id="832" w:name="DESCRIPTORALFABETICO113"/>
      <w:r w:rsidRPr="00C72046">
        <w:rPr>
          <w:rStyle w:val="TextoNormalNegritaCaracter"/>
        </w:rPr>
        <w:t>Contenido del derecho de reunión y de manifestación</w:t>
      </w:r>
      <w:bookmarkEnd w:id="832"/>
      <w:r w:rsidRPr="00C72046">
        <w:rPr>
          <w:rStyle w:val="TextoNormalCaracter"/>
        </w:rPr>
        <w:t xml:space="preserve">, Sentencia </w:t>
      </w:r>
      <w:hyperlink w:anchor="SENTENCIA_2025_95" w:history="1">
        <w:r w:rsidRPr="00C72046">
          <w:rPr>
            <w:rStyle w:val="TextoNormalCaracter"/>
          </w:rPr>
          <w:t>95/2025</w:t>
        </w:r>
      </w:hyperlink>
      <w:r w:rsidRPr="00C72046">
        <w:rPr>
          <w:rStyle w:val="TextoNormalCaracter"/>
        </w:rPr>
        <w:t>, f. 3.</w:t>
      </w:r>
    </w:p>
    <w:p w14:paraId="1DE3C08C" w14:textId="2A1FA710" w:rsidR="00C72046" w:rsidRPr="00C72046" w:rsidRDefault="00C72046" w:rsidP="00C72046">
      <w:pPr>
        <w:pStyle w:val="TextoNormalSangraFrancesa"/>
        <w:rPr>
          <w:rStyle w:val="TextoNormalCaracter"/>
        </w:rPr>
      </w:pPr>
      <w:bookmarkStart w:id="833" w:name="DESCRIPTORALFABETICO135"/>
      <w:r w:rsidRPr="00C72046">
        <w:rPr>
          <w:rStyle w:val="TextoNormalNegritaCaracter"/>
        </w:rPr>
        <w:t>Contenido esencial de los derechos fundamentales</w:t>
      </w:r>
      <w:bookmarkEnd w:id="833"/>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 5, VP I; </w:t>
      </w:r>
      <w:hyperlink w:anchor="SENTENCIA_2025_95" w:history="1">
        <w:r w:rsidRPr="00C72046">
          <w:rPr>
            <w:rStyle w:val="TextoNormalCaracter"/>
          </w:rPr>
          <w:t>95/2025</w:t>
        </w:r>
      </w:hyperlink>
      <w:r w:rsidRPr="00C72046">
        <w:rPr>
          <w:rStyle w:val="TextoNormalCaracter"/>
        </w:rPr>
        <w:t xml:space="preserve">, f. 3; </w:t>
      </w:r>
      <w:hyperlink w:anchor="SENTENCIA_2025_133" w:history="1">
        <w:r w:rsidRPr="00C72046">
          <w:rPr>
            <w:rStyle w:val="TextoNormalCaracter"/>
          </w:rPr>
          <w:t>133/2025</w:t>
        </w:r>
      </w:hyperlink>
      <w:r w:rsidRPr="00C72046">
        <w:rPr>
          <w:rStyle w:val="TextoNormalCaracter"/>
        </w:rPr>
        <w:t>, ff. 1 a 4.</w:t>
      </w:r>
    </w:p>
    <w:p w14:paraId="78445133" w14:textId="730E0D39" w:rsidR="00C72046" w:rsidRPr="00C72046" w:rsidRDefault="00C72046" w:rsidP="00C72046">
      <w:pPr>
        <w:pStyle w:val="TextoNormalSangraFrancesa"/>
        <w:rPr>
          <w:rStyle w:val="TextoNormalCaracter"/>
        </w:rPr>
      </w:pPr>
      <w:r w:rsidRPr="00C72046">
        <w:rPr>
          <w:rStyle w:val="TextoNormalCursivaCaracter"/>
        </w:rPr>
        <w:t xml:space="preserve">    Concepto, </w:t>
      </w:r>
      <w:r w:rsidRPr="00C72046">
        <w:rPr>
          <w:rStyle w:val="TextoNormalCaracter"/>
        </w:rPr>
        <w:t xml:space="preserve">Sentencia </w:t>
      </w:r>
      <w:hyperlink w:anchor="SENTENCIA_2025_26" w:history="1">
        <w:r w:rsidRPr="00C72046">
          <w:rPr>
            <w:rStyle w:val="TextoNormalCaracter"/>
          </w:rPr>
          <w:t>26/2025</w:t>
        </w:r>
      </w:hyperlink>
      <w:r w:rsidRPr="00C72046">
        <w:rPr>
          <w:rStyle w:val="TextoNormalCaracter"/>
        </w:rPr>
        <w:t>, f. 5.</w:t>
      </w:r>
    </w:p>
    <w:p w14:paraId="3AF9E8FD" w14:textId="16075CEB" w:rsidR="00C72046" w:rsidRPr="00C72046" w:rsidRDefault="00C72046" w:rsidP="00C72046">
      <w:pPr>
        <w:pStyle w:val="TextoNormalSangraFrancesa"/>
        <w:rPr>
          <w:rStyle w:val="TextoNormalCaracter"/>
        </w:rPr>
      </w:pPr>
      <w:bookmarkStart w:id="834" w:name="DESCRIPTORALFABETICO314"/>
      <w:r w:rsidRPr="00C72046">
        <w:rPr>
          <w:rStyle w:val="TextoNormalNegritaCaracter"/>
        </w:rPr>
        <w:t>Contratos administrativos</w:t>
      </w:r>
      <w:bookmarkEnd w:id="834"/>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ff. 2 a 4.</w:t>
      </w:r>
    </w:p>
    <w:p w14:paraId="22B58BD2" w14:textId="2CE85421" w:rsidR="00C72046" w:rsidRPr="00C72046" w:rsidRDefault="00C72046" w:rsidP="00C72046">
      <w:pPr>
        <w:pStyle w:val="TextoNormalSangraFrancesa"/>
        <w:rPr>
          <w:rStyle w:val="TextoNormalCaracter"/>
        </w:rPr>
      </w:pPr>
      <w:bookmarkStart w:id="835" w:name="DESCRIPTORALFABETICO147"/>
      <w:r w:rsidRPr="00C72046">
        <w:rPr>
          <w:rStyle w:val="TextoNormalNegritaCaracter"/>
        </w:rPr>
        <w:t>Control constitucional de los actos parlamentarios</w:t>
      </w:r>
      <w:bookmarkEnd w:id="835"/>
      <w:r w:rsidRPr="00C72046">
        <w:rPr>
          <w:rStyle w:val="TextoNormalCaracter"/>
        </w:rPr>
        <w:t xml:space="preserve">, Sentencias </w:t>
      </w:r>
      <w:hyperlink w:anchor="SENTENCIA_2025_83" w:history="1">
        <w:r w:rsidRPr="00C72046">
          <w:rPr>
            <w:rStyle w:val="TextoNormalCaracter"/>
          </w:rPr>
          <w:t>83/2025</w:t>
        </w:r>
      </w:hyperlink>
      <w:r w:rsidRPr="00C72046">
        <w:rPr>
          <w:rStyle w:val="TextoNormalCaracter"/>
        </w:rPr>
        <w:t xml:space="preserve">, ff. 2 a 3; </w:t>
      </w:r>
      <w:hyperlink w:anchor="SENTENCIA_2025_136" w:history="1">
        <w:r w:rsidRPr="00C72046">
          <w:rPr>
            <w:rStyle w:val="TextoNormalCaracter"/>
          </w:rPr>
          <w:t>136/2025</w:t>
        </w:r>
      </w:hyperlink>
      <w:r w:rsidRPr="00C72046">
        <w:rPr>
          <w:rStyle w:val="TextoNormalCaracter"/>
        </w:rPr>
        <w:t>, ff. 2 y 3.</w:t>
      </w:r>
    </w:p>
    <w:p w14:paraId="3A1C60E6" w14:textId="787F2545" w:rsidR="00C72046" w:rsidRPr="00C72046" w:rsidRDefault="00C72046" w:rsidP="00C72046">
      <w:pPr>
        <w:pStyle w:val="TextoNormalSangraFrancesa"/>
        <w:rPr>
          <w:rStyle w:val="TextoNormalCaracter"/>
        </w:rPr>
      </w:pPr>
      <w:bookmarkStart w:id="836" w:name="DESCRIPTORALFABETICO148"/>
      <w:r w:rsidRPr="00C72046">
        <w:rPr>
          <w:rStyle w:val="TextoNormalNegritaCaracter"/>
        </w:rPr>
        <w:t>Control de constitucionalidad de los decretos-leyes</w:t>
      </w:r>
      <w:bookmarkEnd w:id="836"/>
      <w:r w:rsidRPr="00C72046">
        <w:rPr>
          <w:rStyle w:val="TextoNormalCaracter"/>
        </w:rPr>
        <w:t xml:space="preserve">, Sentencia </w:t>
      </w:r>
      <w:hyperlink w:anchor="SENTENCIA_2025_118" w:history="1">
        <w:r w:rsidRPr="00C72046">
          <w:rPr>
            <w:rStyle w:val="TextoNormalCaracter"/>
          </w:rPr>
          <w:t>118/2025</w:t>
        </w:r>
      </w:hyperlink>
      <w:r w:rsidRPr="00C72046">
        <w:rPr>
          <w:rStyle w:val="TextoNormalCaracter"/>
        </w:rPr>
        <w:t>, ff. 3 a 6.</w:t>
      </w:r>
    </w:p>
    <w:p w14:paraId="2B3229F3" w14:textId="6BDFA272" w:rsidR="00C72046" w:rsidRPr="00C72046" w:rsidRDefault="00C72046" w:rsidP="00C72046">
      <w:pPr>
        <w:pStyle w:val="TextoNormalSangraFrancesa"/>
        <w:rPr>
          <w:rStyle w:val="TextoNormalCaracter"/>
        </w:rPr>
      </w:pPr>
      <w:bookmarkStart w:id="837" w:name="DESCRIPTORALFABETICO472"/>
      <w:r w:rsidRPr="00C72046">
        <w:rPr>
          <w:rStyle w:val="TextoNormalNegritaCaracter"/>
        </w:rPr>
        <w:t>Control judicial de la detención</w:t>
      </w:r>
      <w:bookmarkEnd w:id="837"/>
      <w:r w:rsidRPr="00C72046">
        <w:rPr>
          <w:rStyle w:val="TextoNormalCaracter"/>
        </w:rPr>
        <w:t xml:space="preserve">, Sentencia </w:t>
      </w:r>
      <w:hyperlink w:anchor="SENTENCIA_2025_86" w:history="1">
        <w:r w:rsidRPr="00C72046">
          <w:rPr>
            <w:rStyle w:val="TextoNormalCaracter"/>
          </w:rPr>
          <w:t>86/2025</w:t>
        </w:r>
      </w:hyperlink>
      <w:r w:rsidRPr="00C72046">
        <w:rPr>
          <w:rStyle w:val="TextoNormalCaracter"/>
        </w:rPr>
        <w:t>, ff. 2 y 3.</w:t>
      </w:r>
    </w:p>
    <w:p w14:paraId="64506828" w14:textId="12629FBB" w:rsidR="00C72046" w:rsidRPr="00C72046" w:rsidRDefault="00C72046" w:rsidP="00C72046">
      <w:pPr>
        <w:pStyle w:val="TextoNormalSangraFrancesa"/>
        <w:rPr>
          <w:rStyle w:val="TextoNormalCaracter"/>
        </w:rPr>
      </w:pPr>
      <w:bookmarkStart w:id="838" w:name="DESCRIPTORALFABETICO370"/>
      <w:r w:rsidRPr="00C72046">
        <w:rPr>
          <w:rStyle w:val="TextoNormalNegritaCaracter"/>
        </w:rPr>
        <w:t>Convalidación de decretos-leyes</w:t>
      </w:r>
      <w:bookmarkEnd w:id="838"/>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ff. 2, 3, 4, VP I, VP III; </w:t>
      </w:r>
      <w:hyperlink w:anchor="SENTENCIA_2025_52" w:history="1">
        <w:r w:rsidRPr="00C72046">
          <w:rPr>
            <w:rStyle w:val="TextoNormalCaracter"/>
          </w:rPr>
          <w:t>52/2025</w:t>
        </w:r>
      </w:hyperlink>
      <w:r w:rsidRPr="00C72046">
        <w:rPr>
          <w:rStyle w:val="TextoNormalCaracter"/>
        </w:rPr>
        <w:t xml:space="preserve">, f. único; </w:t>
      </w:r>
      <w:hyperlink w:anchor="SENTENCIA_2025_53" w:history="1">
        <w:r w:rsidRPr="00C72046">
          <w:rPr>
            <w:rStyle w:val="TextoNormalCaracter"/>
          </w:rPr>
          <w:t>53/2025</w:t>
        </w:r>
      </w:hyperlink>
      <w:r w:rsidRPr="00C72046">
        <w:rPr>
          <w:rStyle w:val="TextoNormalCaracter"/>
        </w:rPr>
        <w:t>, f. único.</w:t>
      </w:r>
    </w:p>
    <w:p w14:paraId="72507DDF" w14:textId="4421757F" w:rsidR="00C72046" w:rsidRPr="00C72046" w:rsidRDefault="00C72046" w:rsidP="00C72046">
      <w:pPr>
        <w:pStyle w:val="TextoNormalSangraFrancesa"/>
        <w:rPr>
          <w:rStyle w:val="TextoNormalCaracter"/>
        </w:rPr>
      </w:pPr>
      <w:bookmarkStart w:id="839" w:name="DESCRIPTORALFABETICO310"/>
      <w:r w:rsidRPr="00C72046">
        <w:rPr>
          <w:rStyle w:val="TextoNormalNegritaCaracter"/>
        </w:rPr>
        <w:t>Cooficialidad lingüística</w:t>
      </w:r>
      <w:bookmarkEnd w:id="839"/>
      <w:r w:rsidRPr="00C72046">
        <w:rPr>
          <w:rStyle w:val="TextoNormalCaracter"/>
        </w:rPr>
        <w:t xml:space="preserve">, Sentencia </w:t>
      </w:r>
      <w:hyperlink w:anchor="SENTENCIA_2025_118" w:history="1">
        <w:r w:rsidRPr="00C72046">
          <w:rPr>
            <w:rStyle w:val="TextoNormalCaracter"/>
          </w:rPr>
          <w:t>118/2025</w:t>
        </w:r>
      </w:hyperlink>
      <w:r w:rsidRPr="00C72046">
        <w:rPr>
          <w:rStyle w:val="TextoNormalCaracter"/>
        </w:rPr>
        <w:t>, f. 6.</w:t>
      </w:r>
    </w:p>
    <w:p w14:paraId="0B6FDF24" w14:textId="19F43EA3" w:rsidR="00C72046" w:rsidRPr="00C72046" w:rsidRDefault="00C72046" w:rsidP="00C72046">
      <w:pPr>
        <w:pStyle w:val="TextoNormalSangraFrancesa"/>
        <w:rPr>
          <w:rStyle w:val="TextoNormalCaracter"/>
        </w:rPr>
      </w:pPr>
      <w:bookmarkStart w:id="840" w:name="DESCRIPTORALFABETICO243"/>
      <w:r w:rsidRPr="00C72046">
        <w:rPr>
          <w:rStyle w:val="TextoNormalNegritaCaracter"/>
        </w:rPr>
        <w:t>Cooperación en el ejercicio de competencias compartidas</w:t>
      </w:r>
      <w:bookmarkEnd w:id="840"/>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6.</w:t>
      </w:r>
    </w:p>
    <w:p w14:paraId="5E13589A" w14:textId="463D3004" w:rsidR="00C72046" w:rsidRPr="00C72046" w:rsidRDefault="00C72046" w:rsidP="00C72046">
      <w:pPr>
        <w:pStyle w:val="TextoNormalSangraFrancesa"/>
        <w:rPr>
          <w:rStyle w:val="TextoNormalCaracter"/>
        </w:rPr>
      </w:pPr>
      <w:bookmarkStart w:id="841" w:name="DESCRIPTORALFABETICO435"/>
      <w:r w:rsidRPr="00C72046">
        <w:rPr>
          <w:rStyle w:val="TextoNormalNegritaCaracter"/>
        </w:rPr>
        <w:t>Corrección de abogados y/o procuradores</w:t>
      </w:r>
      <w:bookmarkEnd w:id="841"/>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ff. 1 a 4, VP I; </w:t>
      </w:r>
      <w:hyperlink w:anchor="SENTENCIA_2025_13" w:history="1">
        <w:r w:rsidRPr="00C72046">
          <w:rPr>
            <w:rStyle w:val="TextoNormalCaracter"/>
          </w:rPr>
          <w:t>13/2025</w:t>
        </w:r>
      </w:hyperlink>
      <w:r w:rsidRPr="00C72046">
        <w:rPr>
          <w:rStyle w:val="TextoNormalCaracter"/>
        </w:rPr>
        <w:t>, ff. 1, 3 y 4.</w:t>
      </w:r>
    </w:p>
    <w:p w14:paraId="32810AA9" w14:textId="0059E7E0" w:rsidR="00C72046" w:rsidRPr="00C72046" w:rsidRDefault="00C72046" w:rsidP="00C72046">
      <w:pPr>
        <w:pStyle w:val="TextoNormalSangraFrancesa"/>
        <w:rPr>
          <w:rStyle w:val="TextoNormalCaracter"/>
        </w:rPr>
      </w:pPr>
      <w:bookmarkStart w:id="842" w:name="DESCRIPTORALFABETICO437"/>
      <w:r w:rsidRPr="00C72046">
        <w:rPr>
          <w:rStyle w:val="TextoNormalNegritaCaracter"/>
        </w:rPr>
        <w:t>Cosa juzgada material</w:t>
      </w:r>
      <w:bookmarkEnd w:id="842"/>
      <w:r w:rsidRPr="00C72046">
        <w:rPr>
          <w:rStyle w:val="TextoNormalCaracter"/>
        </w:rPr>
        <w:t xml:space="preserve">, Sentencia </w:t>
      </w:r>
      <w:hyperlink w:anchor="SENTENCIA_2025_31" w:history="1">
        <w:r w:rsidRPr="00C72046">
          <w:rPr>
            <w:rStyle w:val="TextoNormalCaracter"/>
          </w:rPr>
          <w:t>31/2025</w:t>
        </w:r>
      </w:hyperlink>
      <w:r w:rsidRPr="00C72046">
        <w:rPr>
          <w:rStyle w:val="TextoNormalCaracter"/>
        </w:rPr>
        <w:t>, f. 2.</w:t>
      </w:r>
    </w:p>
    <w:p w14:paraId="7539B40D" w14:textId="21C49600" w:rsidR="00C72046" w:rsidRPr="00C72046" w:rsidRDefault="00C72046" w:rsidP="00C72046">
      <w:pPr>
        <w:pStyle w:val="TextoNormalSangraFrancesa"/>
        <w:rPr>
          <w:rStyle w:val="TextoNormalCaracter"/>
        </w:rPr>
      </w:pPr>
      <w:bookmarkStart w:id="843" w:name="DESCRIPTORALFABETICO325"/>
      <w:r w:rsidRPr="00C72046">
        <w:rPr>
          <w:rStyle w:val="TextoNormalNegritaCaracter"/>
        </w:rPr>
        <w:t>Crisis derivada de la covid-19</w:t>
      </w:r>
      <w:bookmarkEnd w:id="843"/>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 1, VP I; </w:t>
      </w:r>
      <w:hyperlink w:anchor="SENTENCIA_2025_52" w:history="1">
        <w:r w:rsidRPr="00C72046">
          <w:rPr>
            <w:rStyle w:val="TextoNormalCaracter"/>
          </w:rPr>
          <w:t>52/2025</w:t>
        </w:r>
      </w:hyperlink>
      <w:r w:rsidRPr="00C72046">
        <w:rPr>
          <w:rStyle w:val="TextoNormalCaracter"/>
        </w:rPr>
        <w:t xml:space="preserve">, f. único; </w:t>
      </w:r>
      <w:hyperlink w:anchor="SENTENCIA_2025_53" w:history="1">
        <w:r w:rsidRPr="00C72046">
          <w:rPr>
            <w:rStyle w:val="TextoNormalCaracter"/>
          </w:rPr>
          <w:t>53/2025</w:t>
        </w:r>
      </w:hyperlink>
      <w:r w:rsidRPr="00C72046">
        <w:rPr>
          <w:rStyle w:val="TextoNormalCaracter"/>
        </w:rPr>
        <w:t xml:space="preserve">, f. único; </w:t>
      </w:r>
      <w:hyperlink w:anchor="SENTENCIA_2025_95" w:history="1">
        <w:r w:rsidRPr="00C72046">
          <w:rPr>
            <w:rStyle w:val="TextoNormalCaracter"/>
          </w:rPr>
          <w:t>95/2025</w:t>
        </w:r>
      </w:hyperlink>
      <w:r w:rsidRPr="00C72046">
        <w:rPr>
          <w:rStyle w:val="TextoNormalCaracter"/>
        </w:rPr>
        <w:t xml:space="preserve">, f. 1; </w:t>
      </w:r>
      <w:hyperlink w:anchor="SENTENCIA_2025_133" w:history="1">
        <w:r w:rsidRPr="00C72046">
          <w:rPr>
            <w:rStyle w:val="TextoNormalCaracter"/>
          </w:rPr>
          <w:t>133/2025</w:t>
        </w:r>
      </w:hyperlink>
      <w:r w:rsidRPr="00C72046">
        <w:rPr>
          <w:rStyle w:val="TextoNormalCaracter"/>
        </w:rPr>
        <w:t>, ff. 1 a 4.</w:t>
      </w:r>
    </w:p>
    <w:p w14:paraId="5E38EB2E" w14:textId="0C21F0E4" w:rsidR="00C72046" w:rsidRPr="00C72046" w:rsidRDefault="00C72046" w:rsidP="00C72046">
      <w:pPr>
        <w:pStyle w:val="TextoNormalSangraFrancesa"/>
        <w:rPr>
          <w:rStyle w:val="TextoNormalCaracter"/>
        </w:rPr>
      </w:pPr>
      <w:bookmarkStart w:id="844" w:name="DESCRIPTORALFABETICO338"/>
      <w:r w:rsidRPr="00C72046">
        <w:rPr>
          <w:rStyle w:val="TextoNormalNegritaCaracter"/>
        </w:rPr>
        <w:t>Criterios objetivos de selección de alumnos</w:t>
      </w:r>
      <w:bookmarkEnd w:id="844"/>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6E71F3A4" w14:textId="410EDBD9" w:rsidR="00C72046" w:rsidRPr="00C72046" w:rsidRDefault="00C72046" w:rsidP="00C72046">
      <w:pPr>
        <w:pStyle w:val="TextoNormalSangraFrancesa"/>
        <w:rPr>
          <w:rStyle w:val="TextoNormalCaracter"/>
        </w:rPr>
      </w:pPr>
      <w:bookmarkStart w:id="845" w:name="DESCRIPTORALFABETICO119"/>
      <w:r w:rsidRPr="00C72046">
        <w:rPr>
          <w:rStyle w:val="TextoNormalNegritaCaracter"/>
        </w:rPr>
        <w:t>Crítica a personajes públicos</w:t>
      </w:r>
      <w:bookmarkEnd w:id="845"/>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 3.</w:t>
      </w:r>
    </w:p>
    <w:p w14:paraId="606FD63D" w14:textId="052B7933" w:rsidR="00C72046" w:rsidRPr="00C72046" w:rsidRDefault="00C72046" w:rsidP="00C72046">
      <w:pPr>
        <w:pStyle w:val="TextoNormalSangraFrancesa"/>
        <w:rPr>
          <w:rStyle w:val="TextoNormalCaracter"/>
        </w:rPr>
      </w:pPr>
      <w:bookmarkStart w:id="846" w:name="DESCRIPTORALFABETICO184"/>
      <w:r w:rsidRPr="00C72046">
        <w:rPr>
          <w:rStyle w:val="TextoNormalNegritaCaracter"/>
        </w:rPr>
        <w:t>Cuestión de inconstitucionalidad notoriamente infundada</w:t>
      </w:r>
      <w:bookmarkEnd w:id="846"/>
      <w:r w:rsidRPr="00C72046">
        <w:rPr>
          <w:rStyle w:val="TextoNormalCaracter"/>
        </w:rPr>
        <w:t xml:space="preserve">, Autos </w:t>
      </w:r>
      <w:hyperlink w:anchor="AUTO_2025_20" w:history="1">
        <w:r w:rsidRPr="00C72046">
          <w:rPr>
            <w:rStyle w:val="TextoNormalCaracter"/>
          </w:rPr>
          <w:t>20/2025</w:t>
        </w:r>
      </w:hyperlink>
      <w:r w:rsidRPr="00C72046">
        <w:rPr>
          <w:rStyle w:val="TextoNormalCaracter"/>
        </w:rPr>
        <w:t xml:space="preserve">, f. 6; </w:t>
      </w:r>
      <w:hyperlink w:anchor="AUTO_2025_24" w:history="1">
        <w:r w:rsidRPr="00C72046">
          <w:rPr>
            <w:rStyle w:val="TextoNormalCaracter"/>
          </w:rPr>
          <w:t>24/2025</w:t>
        </w:r>
      </w:hyperlink>
      <w:r w:rsidRPr="00C72046">
        <w:rPr>
          <w:rStyle w:val="TextoNormalCaracter"/>
        </w:rPr>
        <w:t xml:space="preserve">, f. 4; </w:t>
      </w:r>
      <w:hyperlink w:anchor="AUTO_2025_59" w:history="1">
        <w:r w:rsidRPr="00C72046">
          <w:rPr>
            <w:rStyle w:val="TextoNormalCaracter"/>
          </w:rPr>
          <w:t>59/2025</w:t>
        </w:r>
      </w:hyperlink>
      <w:r w:rsidRPr="00C72046">
        <w:rPr>
          <w:rStyle w:val="TextoNormalCaracter"/>
        </w:rPr>
        <w:t>, f. 4.</w:t>
      </w:r>
    </w:p>
    <w:p w14:paraId="568820A3" w14:textId="0AA15E97" w:rsidR="00C72046" w:rsidRPr="00C72046" w:rsidRDefault="00C72046" w:rsidP="00C72046">
      <w:pPr>
        <w:pStyle w:val="TextoNormalSangraFrancesa"/>
        <w:rPr>
          <w:rStyle w:val="TextoNormalCaracter"/>
        </w:rPr>
      </w:pPr>
      <w:bookmarkStart w:id="847" w:name="DESCRIPTORALFABETICO185"/>
      <w:r w:rsidRPr="00C72046">
        <w:rPr>
          <w:rStyle w:val="TextoNormalNegritaCaracter"/>
        </w:rPr>
        <w:t>Cuestión de inconstitucionalidad resuelta previamente</w:t>
      </w:r>
      <w:bookmarkEnd w:id="847"/>
      <w:r w:rsidRPr="00C72046">
        <w:rPr>
          <w:rStyle w:val="TextoNormalCaracter"/>
        </w:rPr>
        <w:t xml:space="preserve">, Auto </w:t>
      </w:r>
      <w:hyperlink w:anchor="AUTO_2025_10" w:history="1">
        <w:r w:rsidRPr="00C72046">
          <w:rPr>
            <w:rStyle w:val="TextoNormalCaracter"/>
          </w:rPr>
          <w:t>10/2025</w:t>
        </w:r>
      </w:hyperlink>
      <w:r w:rsidRPr="00C72046">
        <w:rPr>
          <w:rStyle w:val="TextoNormalCaracter"/>
        </w:rPr>
        <w:t>, f. único.</w:t>
      </w:r>
    </w:p>
    <w:p w14:paraId="383C3847" w14:textId="5C8BFC1C" w:rsidR="00C72046" w:rsidRPr="00C72046" w:rsidRDefault="00C72046" w:rsidP="00C72046">
      <w:pPr>
        <w:pStyle w:val="TextoNormalSangraFrancesa"/>
        <w:rPr>
          <w:rStyle w:val="TextoNormalCaracter"/>
        </w:rPr>
      </w:pPr>
      <w:bookmarkStart w:id="848" w:name="DESCRIPTORALFABETICO292"/>
      <w:r w:rsidRPr="00C72046">
        <w:rPr>
          <w:rStyle w:val="TextoNormalNegritaCaracter"/>
        </w:rPr>
        <w:t>Cuestión prejudicial ante el TJUE</w:t>
      </w:r>
      <w:bookmarkEnd w:id="848"/>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1, VP I, VP III.</w:t>
      </w:r>
    </w:p>
    <w:p w14:paraId="6B3A4718" w14:textId="05E80A14" w:rsidR="00C72046" w:rsidRPr="00C72046" w:rsidRDefault="00C72046" w:rsidP="00C72046">
      <w:pPr>
        <w:pStyle w:val="TextoNormalSangraFrancesa"/>
        <w:rPr>
          <w:rStyle w:val="TextoNormalCaracter"/>
        </w:rPr>
      </w:pPr>
      <w:bookmarkStart w:id="849" w:name="DESCRIPTORALFABETICO33"/>
      <w:r w:rsidRPr="00C72046">
        <w:rPr>
          <w:rStyle w:val="TextoNormalNegritaCaracter"/>
        </w:rPr>
        <w:t>Cuota tributaria</w:t>
      </w:r>
      <w:bookmarkEnd w:id="849"/>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ff. 1 a 4.</w:t>
      </w:r>
    </w:p>
    <w:p w14:paraId="03E6841F" w14:textId="12CA054E" w:rsidR="00C72046" w:rsidRDefault="00C72046" w:rsidP="00C72046">
      <w:pPr>
        <w:pStyle w:val="TextoNormalSangraFrancesa"/>
      </w:pPr>
    </w:p>
    <w:p w14:paraId="2C0EB7E1" w14:textId="77777777" w:rsidR="00C72046" w:rsidRDefault="00C72046" w:rsidP="00C72046">
      <w:pPr>
        <w:pStyle w:val="TextoNormalSangraFrancesa"/>
      </w:pPr>
    </w:p>
    <w:p w14:paraId="2093D816" w14:textId="77777777" w:rsidR="00C72046" w:rsidRDefault="00C72046" w:rsidP="00C72046">
      <w:pPr>
        <w:pStyle w:val="TextoNormalNegritaCentrado"/>
      </w:pPr>
      <w:r>
        <w:t>D</w:t>
      </w:r>
    </w:p>
    <w:p w14:paraId="202E40E5" w14:textId="297C4C9C" w:rsidR="00C72046" w:rsidRDefault="00C72046" w:rsidP="00C72046">
      <w:pPr>
        <w:pStyle w:val="TextoNormalNegritaCentrado"/>
      </w:pPr>
    </w:p>
    <w:p w14:paraId="67502E48" w14:textId="3EF3B7E9" w:rsidR="00C72046" w:rsidRPr="00C72046" w:rsidRDefault="00C72046" w:rsidP="00C72046">
      <w:pPr>
        <w:pStyle w:val="TextoNormalSangraFrancesa"/>
        <w:rPr>
          <w:rStyle w:val="TextoNormalCaracter"/>
        </w:rPr>
      </w:pPr>
      <w:bookmarkStart w:id="850" w:name="DESCRIPTORALFABETICO260"/>
      <w:r w:rsidRPr="00C72046">
        <w:rPr>
          <w:rStyle w:val="TextoNormalNegritaCaracter"/>
        </w:rPr>
        <w:t>Debates parlamentarios</w:t>
      </w:r>
      <w:bookmarkEnd w:id="850"/>
      <w:r w:rsidRPr="00C72046">
        <w:rPr>
          <w:rStyle w:val="TextoNormalCaracter"/>
        </w:rPr>
        <w:t xml:space="preserve">, Sentencia </w:t>
      </w:r>
      <w:hyperlink w:anchor="SENTENCIA_2025_97" w:history="1">
        <w:r w:rsidRPr="00C72046">
          <w:rPr>
            <w:rStyle w:val="TextoNormalCaracter"/>
          </w:rPr>
          <w:t>97/2025</w:t>
        </w:r>
      </w:hyperlink>
      <w:r w:rsidRPr="00C72046">
        <w:rPr>
          <w:rStyle w:val="TextoNormalCaracter"/>
        </w:rPr>
        <w:t>, f. 3.</w:t>
      </w:r>
    </w:p>
    <w:p w14:paraId="7753F463" w14:textId="288B204A" w:rsidR="00C72046" w:rsidRPr="00C72046" w:rsidRDefault="00C72046" w:rsidP="00C72046">
      <w:pPr>
        <w:pStyle w:val="TextoNormalSangraFrancesa"/>
        <w:rPr>
          <w:rStyle w:val="TextoNormalCaracter"/>
        </w:rPr>
      </w:pPr>
      <w:bookmarkStart w:id="851" w:name="DESCRIPTORALFABETICO388"/>
      <w:r w:rsidRPr="00C72046">
        <w:rPr>
          <w:rStyle w:val="TextoNormalNegritaCaracter"/>
        </w:rPr>
        <w:t>Debates parlamentarios como elemento de interpretación de las normas jurídicas</w:t>
      </w:r>
      <w:bookmarkEnd w:id="851"/>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 6.</w:t>
      </w:r>
    </w:p>
    <w:p w14:paraId="0926EB31" w14:textId="0B28B74E" w:rsidR="00C72046" w:rsidRPr="00C72046" w:rsidRDefault="00C72046" w:rsidP="00C72046">
      <w:pPr>
        <w:pStyle w:val="TextoNormalSangraFrancesa"/>
        <w:rPr>
          <w:rStyle w:val="TextoNormalCaracter"/>
        </w:rPr>
      </w:pPr>
      <w:bookmarkStart w:id="852" w:name="DESCRIPTORALFABETICO126"/>
      <w:r w:rsidRPr="00C72046">
        <w:rPr>
          <w:rStyle w:val="TextoNormalNegritaCaracter"/>
        </w:rPr>
        <w:t>Deber de diligencia del informador</w:t>
      </w:r>
      <w:bookmarkEnd w:id="852"/>
      <w:r w:rsidRPr="00C72046">
        <w:rPr>
          <w:rStyle w:val="TextoNormalCaracter"/>
        </w:rPr>
        <w:t xml:space="preserve">, Sentencias </w:t>
      </w:r>
      <w:hyperlink w:anchor="SENTENCIA_2025_62" w:history="1">
        <w:r w:rsidRPr="00C72046">
          <w:rPr>
            <w:rStyle w:val="TextoNormalCaracter"/>
          </w:rPr>
          <w:t>62/2025</w:t>
        </w:r>
      </w:hyperlink>
      <w:r w:rsidRPr="00C72046">
        <w:rPr>
          <w:rStyle w:val="TextoNormalCaracter"/>
        </w:rPr>
        <w:t xml:space="preserve">, ff. 2 a 4, VP I, VP II, VP III; </w:t>
      </w:r>
      <w:hyperlink w:anchor="SENTENCIA_2025_87" w:history="1">
        <w:r w:rsidRPr="00C72046">
          <w:rPr>
            <w:rStyle w:val="TextoNormalCaracter"/>
          </w:rPr>
          <w:t>87/2025</w:t>
        </w:r>
      </w:hyperlink>
      <w:r w:rsidRPr="00C72046">
        <w:rPr>
          <w:rStyle w:val="TextoNormalCaracter"/>
        </w:rPr>
        <w:t xml:space="preserve">, ff. 2 y 3, VP I; </w:t>
      </w:r>
      <w:hyperlink w:anchor="SENTENCIA_2025_101" w:history="1">
        <w:r w:rsidRPr="00C72046">
          <w:rPr>
            <w:rStyle w:val="TextoNormalCaracter"/>
          </w:rPr>
          <w:t>101/2025</w:t>
        </w:r>
      </w:hyperlink>
      <w:r w:rsidRPr="00C72046">
        <w:rPr>
          <w:rStyle w:val="TextoNormalCaracter"/>
        </w:rPr>
        <w:t>, f. 2, VP.</w:t>
      </w:r>
    </w:p>
    <w:p w14:paraId="2A603F63" w14:textId="23BA3266" w:rsidR="00C72046" w:rsidRPr="00C72046" w:rsidRDefault="00C72046" w:rsidP="00C72046">
      <w:pPr>
        <w:pStyle w:val="TextoNormalSangraFrancesa"/>
        <w:rPr>
          <w:rStyle w:val="TextoNormalCaracter"/>
        </w:rPr>
      </w:pPr>
      <w:bookmarkStart w:id="853" w:name="DESCRIPTORALFABETICO150"/>
      <w:r w:rsidRPr="00C72046">
        <w:rPr>
          <w:rStyle w:val="TextoNormalNegritaCaracter"/>
        </w:rPr>
        <w:t>Declaración de incompetencia del Tribunal Constitucional</w:t>
      </w:r>
      <w:bookmarkEnd w:id="853"/>
      <w:r w:rsidRPr="00C72046">
        <w:rPr>
          <w:rStyle w:val="TextoNormalCaracter"/>
        </w:rPr>
        <w:t xml:space="preserve">, Auto </w:t>
      </w:r>
      <w:hyperlink w:anchor="AUTO_2025_36" w:history="1">
        <w:r w:rsidRPr="00C72046">
          <w:rPr>
            <w:rStyle w:val="TextoNormalCaracter"/>
          </w:rPr>
          <w:t>36/2025</w:t>
        </w:r>
      </w:hyperlink>
      <w:r w:rsidRPr="00C72046">
        <w:rPr>
          <w:rStyle w:val="TextoNormalCaracter"/>
        </w:rPr>
        <w:t>, f. 2.</w:t>
      </w:r>
    </w:p>
    <w:p w14:paraId="2C4375A2" w14:textId="3CA7BD56" w:rsidR="00C72046" w:rsidRPr="00C72046" w:rsidRDefault="00C72046" w:rsidP="00C72046">
      <w:pPr>
        <w:pStyle w:val="TextoNormalSangraFrancesa"/>
        <w:rPr>
          <w:rStyle w:val="TextoNormalCaracter"/>
        </w:rPr>
      </w:pPr>
      <w:bookmarkStart w:id="854" w:name="DESCRIPTORALFABETICO256"/>
      <w:r w:rsidRPr="00C72046">
        <w:rPr>
          <w:rStyle w:val="TextoNormalNegritaCaracter"/>
        </w:rPr>
        <w:t>Declaración de urgencia</w:t>
      </w:r>
      <w:bookmarkEnd w:id="854"/>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 10.</w:t>
      </w:r>
    </w:p>
    <w:p w14:paraId="6E52D51F" w14:textId="27464300" w:rsidR="00C72046" w:rsidRPr="00C72046" w:rsidRDefault="00C72046" w:rsidP="00C72046">
      <w:pPr>
        <w:pStyle w:val="TextoNormalSangraFrancesa"/>
        <w:rPr>
          <w:rStyle w:val="TextoNormalCaracter"/>
        </w:rPr>
      </w:pPr>
      <w:bookmarkStart w:id="855" w:name="DESCRIPTORALFABETICO111"/>
      <w:r w:rsidRPr="00C72046">
        <w:rPr>
          <w:rStyle w:val="TextoNormalNegritaCaracter"/>
        </w:rPr>
        <w:t>Declaraciones públicas</w:t>
      </w:r>
      <w:bookmarkEnd w:id="855"/>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ff. 3 a 5.</w:t>
      </w:r>
    </w:p>
    <w:p w14:paraId="6F5AC268" w14:textId="17F9D1E2" w:rsidR="00C72046" w:rsidRPr="00C72046" w:rsidRDefault="00C72046" w:rsidP="00C72046">
      <w:pPr>
        <w:pStyle w:val="TextoNormalSangraFrancesa"/>
        <w:rPr>
          <w:rStyle w:val="TextoNormalCaracter"/>
        </w:rPr>
      </w:pPr>
      <w:bookmarkStart w:id="856" w:name="DESCRIPTORALFABETICO371"/>
      <w:r w:rsidRPr="00C72046">
        <w:rPr>
          <w:rStyle w:val="TextoNormalNegritaCaracter"/>
        </w:rPr>
        <w:t>Decretos-leyes autonómicos</w:t>
      </w:r>
      <w:bookmarkEnd w:id="856"/>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ff. 2, 3, 4, VP I,  VP II, VP III; </w:t>
      </w:r>
      <w:hyperlink w:anchor="SENTENCIA_2025_95" w:history="1">
        <w:r w:rsidRPr="00C72046">
          <w:rPr>
            <w:rStyle w:val="TextoNormalCaracter"/>
          </w:rPr>
          <w:t>95/2025</w:t>
        </w:r>
      </w:hyperlink>
      <w:r w:rsidRPr="00C72046">
        <w:rPr>
          <w:rStyle w:val="TextoNormalCaracter"/>
        </w:rPr>
        <w:t xml:space="preserve">, f. 3; </w:t>
      </w:r>
      <w:hyperlink w:anchor="SENTENCIA_2025_118" w:history="1">
        <w:r w:rsidRPr="00C72046">
          <w:rPr>
            <w:rStyle w:val="TextoNormalCaracter"/>
          </w:rPr>
          <w:t>118/2025</w:t>
        </w:r>
      </w:hyperlink>
      <w:r w:rsidRPr="00C72046">
        <w:rPr>
          <w:rStyle w:val="TextoNormalCaracter"/>
        </w:rPr>
        <w:t>, f. 1.</w:t>
      </w:r>
    </w:p>
    <w:p w14:paraId="48287D79" w14:textId="4DE5FD57" w:rsidR="00C72046" w:rsidRPr="00C72046" w:rsidRDefault="00C72046" w:rsidP="00C72046">
      <w:pPr>
        <w:pStyle w:val="TextoNormalSangraFrancesa"/>
        <w:rPr>
          <w:rStyle w:val="TextoNormalCaracter"/>
        </w:rPr>
      </w:pPr>
      <w:bookmarkStart w:id="857" w:name="DESCRIPTORALFABETICO441"/>
      <w:r w:rsidRPr="00C72046">
        <w:rPr>
          <w:rStyle w:val="TextoNormalNegritaCaracter"/>
        </w:rPr>
        <w:t>Defectos procesales no imputables al recurrente</w:t>
      </w:r>
      <w:bookmarkEnd w:id="857"/>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 3.</w:t>
      </w:r>
    </w:p>
    <w:p w14:paraId="43463E46" w14:textId="17B27A9A" w:rsidR="00C72046" w:rsidRPr="00C72046" w:rsidRDefault="00C72046" w:rsidP="00C72046">
      <w:pPr>
        <w:pStyle w:val="TextoNormalSangraFrancesa"/>
        <w:rPr>
          <w:rStyle w:val="TextoNormalCaracter"/>
        </w:rPr>
      </w:pPr>
      <w:bookmarkStart w:id="858" w:name="DESCRIPTORALFABETICO291"/>
      <w:r w:rsidRPr="00C72046">
        <w:rPr>
          <w:rStyle w:val="TextoNormalNegritaCaracter"/>
        </w:rPr>
        <w:t>Delegación de voto parlamentario</w:t>
      </w:r>
      <w:bookmarkEnd w:id="858"/>
      <w:r w:rsidRPr="00C72046">
        <w:rPr>
          <w:rStyle w:val="TextoNormalCaracter"/>
        </w:rPr>
        <w:t xml:space="preserve">, Sentencias </w:t>
      </w:r>
      <w:hyperlink w:anchor="SENTENCIA_2025_83" w:history="1">
        <w:r w:rsidRPr="00C72046">
          <w:rPr>
            <w:rStyle w:val="TextoNormalCaracter"/>
          </w:rPr>
          <w:t>83/2025</w:t>
        </w:r>
      </w:hyperlink>
      <w:r w:rsidRPr="00C72046">
        <w:rPr>
          <w:rStyle w:val="TextoNormalCaracter"/>
        </w:rPr>
        <w:t xml:space="preserve">, ff. 2 a 3; </w:t>
      </w:r>
      <w:hyperlink w:anchor="SENTENCIA_2025_136" w:history="1">
        <w:r w:rsidRPr="00C72046">
          <w:rPr>
            <w:rStyle w:val="TextoNormalCaracter"/>
          </w:rPr>
          <w:t>136/2025</w:t>
        </w:r>
      </w:hyperlink>
      <w:r w:rsidRPr="00C72046">
        <w:rPr>
          <w:rStyle w:val="TextoNormalCaracter"/>
        </w:rPr>
        <w:t>, ff. 2 y 3.</w:t>
      </w:r>
    </w:p>
    <w:p w14:paraId="0F2D3752" w14:textId="6DAFD36D" w:rsidR="00C72046" w:rsidRPr="00C72046" w:rsidRDefault="00C72046" w:rsidP="00C72046">
      <w:pPr>
        <w:pStyle w:val="TextoNormalSangraFrancesa"/>
        <w:rPr>
          <w:rStyle w:val="TextoNormalCaracter"/>
        </w:rPr>
      </w:pPr>
      <w:bookmarkStart w:id="859" w:name="DESCRIPTORALFABETICO120"/>
      <w:r w:rsidRPr="00C72046">
        <w:rPr>
          <w:rStyle w:val="TextoNormalNegritaCaracter"/>
        </w:rPr>
        <w:t>Delimitación de los derechos a la libre expresión e información</w:t>
      </w:r>
      <w:bookmarkEnd w:id="859"/>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 5.</w:t>
      </w:r>
    </w:p>
    <w:p w14:paraId="14CE3BD7" w14:textId="6D97EB82" w:rsidR="00C72046" w:rsidRPr="00C72046" w:rsidRDefault="00C72046" w:rsidP="00C72046">
      <w:pPr>
        <w:pStyle w:val="TextoNormalSangraFrancesa"/>
        <w:rPr>
          <w:rStyle w:val="TextoNormalCaracter"/>
        </w:rPr>
      </w:pPr>
      <w:bookmarkStart w:id="860" w:name="DESCRIPTORALFABETICO200"/>
      <w:r w:rsidRPr="00C72046">
        <w:rPr>
          <w:rStyle w:val="TextoNormalNegritaCaracter"/>
        </w:rPr>
        <w:t>Delimitación del objeto del recurso de inconstitucionalidad</w:t>
      </w:r>
      <w:bookmarkEnd w:id="860"/>
      <w:r w:rsidRPr="00C72046">
        <w:rPr>
          <w:rStyle w:val="TextoNormalCaracter"/>
        </w:rPr>
        <w:t xml:space="preserve">, Sentencias </w:t>
      </w:r>
      <w:hyperlink w:anchor="SENTENCIA_2025_95" w:history="1">
        <w:r w:rsidRPr="00C72046">
          <w:rPr>
            <w:rStyle w:val="TextoNormalCaracter"/>
          </w:rPr>
          <w:t>95/2025</w:t>
        </w:r>
      </w:hyperlink>
      <w:r w:rsidRPr="00C72046">
        <w:rPr>
          <w:rStyle w:val="TextoNormalCaracter"/>
        </w:rPr>
        <w:t xml:space="preserve">, f. 2; </w:t>
      </w:r>
      <w:hyperlink w:anchor="SENTENCIA_2025_133" w:history="1">
        <w:r w:rsidRPr="00C72046">
          <w:rPr>
            <w:rStyle w:val="TextoNormalCaracter"/>
          </w:rPr>
          <w:t>133/2025</w:t>
        </w:r>
      </w:hyperlink>
      <w:r w:rsidRPr="00C72046">
        <w:rPr>
          <w:rStyle w:val="TextoNormalCaracter"/>
        </w:rPr>
        <w:t>, f. 2.</w:t>
      </w:r>
    </w:p>
    <w:p w14:paraId="090EA605" w14:textId="743A34CC" w:rsidR="00C72046" w:rsidRPr="00C72046" w:rsidRDefault="00C72046" w:rsidP="00C72046">
      <w:pPr>
        <w:pStyle w:val="TextoNormalSangraFrancesa"/>
        <w:rPr>
          <w:rStyle w:val="TextoNormalCaracter"/>
        </w:rPr>
      </w:pPr>
      <w:bookmarkStart w:id="861" w:name="DESCRIPTORALFABETICO293"/>
      <w:r w:rsidRPr="00C72046">
        <w:rPr>
          <w:rStyle w:val="TextoNormalNegritaCaracter"/>
        </w:rPr>
        <w:t>Denegación de planteamiento de cuestión prejudicial ante el TJUE</w:t>
      </w:r>
      <w:bookmarkEnd w:id="861"/>
      <w:r w:rsidRPr="00C72046">
        <w:rPr>
          <w:rStyle w:val="TextoNormalCaracter"/>
        </w:rPr>
        <w:t xml:space="preserve">, Auto </w:t>
      </w:r>
      <w:hyperlink w:anchor="AUTO_2025_65" w:history="1">
        <w:r w:rsidRPr="00C72046">
          <w:rPr>
            <w:rStyle w:val="TextoNormalCaracter"/>
          </w:rPr>
          <w:t>65/2025</w:t>
        </w:r>
      </w:hyperlink>
      <w:r w:rsidRPr="00C72046">
        <w:rPr>
          <w:rStyle w:val="TextoNormalCaracter"/>
        </w:rPr>
        <w:t>, ff. 1 a 4.</w:t>
      </w:r>
    </w:p>
    <w:p w14:paraId="0FBCCBE5" w14:textId="5E58C6EF" w:rsidR="00C72046" w:rsidRPr="00C72046" w:rsidRDefault="00C72046" w:rsidP="00C72046">
      <w:pPr>
        <w:pStyle w:val="TextoNormalSangraFrancesa"/>
        <w:rPr>
          <w:rStyle w:val="TextoNormalCaracter"/>
        </w:rPr>
      </w:pPr>
      <w:bookmarkStart w:id="862" w:name="DESCRIPTORALFABETICO153"/>
      <w:r w:rsidRPr="00C72046">
        <w:rPr>
          <w:rStyle w:val="TextoNormalNegritaCaracter"/>
        </w:rPr>
        <w:t>Denegación de suspensión de resoluciones judiciales</w:t>
      </w:r>
      <w:bookmarkEnd w:id="862"/>
      <w:r w:rsidRPr="00C72046">
        <w:rPr>
          <w:rStyle w:val="TextoNormalCaracter"/>
        </w:rPr>
        <w:t xml:space="preserve">, Auto </w:t>
      </w:r>
      <w:hyperlink w:anchor="AUTO_2025_5" w:history="1">
        <w:r w:rsidRPr="00C72046">
          <w:rPr>
            <w:rStyle w:val="TextoNormalCaracter"/>
          </w:rPr>
          <w:t>5/2025</w:t>
        </w:r>
      </w:hyperlink>
      <w:r w:rsidRPr="00C72046">
        <w:rPr>
          <w:rStyle w:val="TextoNormalCaracter"/>
        </w:rPr>
        <w:t>, f. único.</w:t>
      </w:r>
    </w:p>
    <w:p w14:paraId="02B3C6AE" w14:textId="0E4D13E3" w:rsidR="00C72046" w:rsidRPr="00C72046" w:rsidRDefault="00C72046" w:rsidP="00C72046">
      <w:pPr>
        <w:pStyle w:val="TextoNormalSangraFrancesa"/>
        <w:rPr>
          <w:rStyle w:val="TextoNormalCaracter"/>
        </w:rPr>
      </w:pPr>
      <w:bookmarkStart w:id="863" w:name="DESCRIPTORALFABETICO70"/>
      <w:r w:rsidRPr="00C72046">
        <w:rPr>
          <w:rStyle w:val="TextoNormalNegritaCaracter"/>
        </w:rPr>
        <w:t xml:space="preserve">Denegación no motivada de </w:t>
      </w:r>
      <w:r w:rsidRPr="00C72046">
        <w:rPr>
          <w:rStyle w:val="TextoNormalNegritaCaracter"/>
          <w:i/>
        </w:rPr>
        <w:t>habeas corpus</w:t>
      </w:r>
      <w:bookmarkEnd w:id="863"/>
      <w:r w:rsidRPr="00C72046">
        <w:rPr>
          <w:rStyle w:val="TextoNormalCaracter"/>
        </w:rPr>
        <w:t xml:space="preserve">, Sentencia </w:t>
      </w:r>
      <w:hyperlink w:anchor="SENTENCIA_2025_86" w:history="1">
        <w:r w:rsidRPr="00C72046">
          <w:rPr>
            <w:rStyle w:val="TextoNormalCaracter"/>
          </w:rPr>
          <w:t>86/2025</w:t>
        </w:r>
      </w:hyperlink>
      <w:r w:rsidRPr="00C72046">
        <w:rPr>
          <w:rStyle w:val="TextoNormalCaracter"/>
        </w:rPr>
        <w:t>, ff. 2 y 3.</w:t>
      </w:r>
    </w:p>
    <w:p w14:paraId="0BA24500" w14:textId="77777777" w:rsidR="00C72046" w:rsidRPr="00C72046" w:rsidRDefault="00C72046" w:rsidP="00C72046">
      <w:pPr>
        <w:pStyle w:val="TextoNormalSangraFrancesa"/>
        <w:rPr>
          <w:rStyle w:val="TextoNormalCaracter"/>
        </w:rPr>
      </w:pPr>
      <w:bookmarkStart w:id="864" w:name="DESCRIPTORALFABETICO41"/>
      <w:r w:rsidRPr="00C72046">
        <w:rPr>
          <w:rStyle w:val="TextoNormalNegritaCaracter"/>
        </w:rPr>
        <w:t>Derecho a acceder a los cargos públicos</w:t>
      </w:r>
      <w:bookmarkEnd w:id="864"/>
      <w:r w:rsidRPr="00C72046">
        <w:rPr>
          <w:rStyle w:val="TextoNormalCaracter"/>
        </w:rPr>
        <w:t xml:space="preserve">, </w:t>
      </w:r>
    </w:p>
    <w:p w14:paraId="47C11540" w14:textId="327CCA18"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134" w:history="1">
        <w:r w:rsidRPr="00C72046">
          <w:rPr>
            <w:rStyle w:val="TextoNormalCaracter"/>
          </w:rPr>
          <w:t>134/2025</w:t>
        </w:r>
      </w:hyperlink>
      <w:r w:rsidRPr="00C72046">
        <w:rPr>
          <w:rStyle w:val="TextoNormalCaracter"/>
        </w:rPr>
        <w:t>, f.5.</w:t>
      </w:r>
    </w:p>
    <w:p w14:paraId="3C6DBF0A" w14:textId="77777777" w:rsidR="00C72046" w:rsidRPr="00C72046" w:rsidRDefault="00C72046" w:rsidP="00C72046">
      <w:pPr>
        <w:pStyle w:val="TextoNormalSangraFrancesa"/>
        <w:rPr>
          <w:rStyle w:val="TextoNormalCaracter"/>
        </w:rPr>
      </w:pPr>
      <w:bookmarkStart w:id="865" w:name="DESCRIPTORALFABETICO124"/>
      <w:r w:rsidRPr="00C72046">
        <w:rPr>
          <w:rStyle w:val="TextoNormalNegritaCaracter"/>
        </w:rPr>
        <w:t>Derecho a comunicar libremente información</w:t>
      </w:r>
      <w:bookmarkEnd w:id="865"/>
      <w:r w:rsidRPr="00C72046">
        <w:rPr>
          <w:rStyle w:val="TextoNormalCaracter"/>
        </w:rPr>
        <w:t xml:space="preserve">, </w:t>
      </w:r>
    </w:p>
    <w:p w14:paraId="71F35BC9" w14:textId="104B45BD"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Sentencias </w:t>
      </w:r>
      <w:hyperlink w:anchor="SENTENCIA_2025_62" w:history="1">
        <w:r w:rsidRPr="00C72046">
          <w:rPr>
            <w:rStyle w:val="TextoNormalCaracter"/>
          </w:rPr>
          <w:t>62/2025</w:t>
        </w:r>
      </w:hyperlink>
      <w:r w:rsidRPr="00C72046">
        <w:rPr>
          <w:rStyle w:val="TextoNormalCaracter"/>
        </w:rPr>
        <w:t xml:space="preserve">, ff. 2 a 4; </w:t>
      </w:r>
      <w:hyperlink w:anchor="SENTENCIA_2025_87" w:history="1">
        <w:r w:rsidRPr="00C72046">
          <w:rPr>
            <w:rStyle w:val="TextoNormalCaracter"/>
          </w:rPr>
          <w:t>87/2025</w:t>
        </w:r>
      </w:hyperlink>
      <w:r w:rsidRPr="00C72046">
        <w:rPr>
          <w:rStyle w:val="TextoNormalCaracter"/>
        </w:rPr>
        <w:t xml:space="preserve">, f.3, VP I; </w:t>
      </w:r>
      <w:hyperlink w:anchor="SENTENCIA_2025_101" w:history="1">
        <w:r w:rsidRPr="00C72046">
          <w:rPr>
            <w:rStyle w:val="TextoNormalCaracter"/>
          </w:rPr>
          <w:t>101/2025</w:t>
        </w:r>
      </w:hyperlink>
      <w:r w:rsidRPr="00C72046">
        <w:rPr>
          <w:rStyle w:val="TextoNormalCaracter"/>
        </w:rPr>
        <w:t>, ff. 2 y 3.</w:t>
      </w:r>
    </w:p>
    <w:p w14:paraId="76109920" w14:textId="6744FADD" w:rsidR="00C72046" w:rsidRPr="00C72046" w:rsidRDefault="00C72046" w:rsidP="00C72046">
      <w:pPr>
        <w:pStyle w:val="TextoNormalSangraFrancesa"/>
        <w:rPr>
          <w:rStyle w:val="TextoNormalCaracter"/>
        </w:rPr>
      </w:pPr>
      <w:bookmarkStart w:id="866" w:name="DESCRIPTORALFABETICO42"/>
      <w:r w:rsidRPr="00C72046">
        <w:rPr>
          <w:rStyle w:val="TextoNormalNegritaCaracter"/>
        </w:rPr>
        <w:t>Derecho a ejercer los cargos públicos</w:t>
      </w:r>
      <w:bookmarkEnd w:id="866"/>
      <w:r w:rsidRPr="00C72046">
        <w:rPr>
          <w:rStyle w:val="TextoNormalCaracter"/>
        </w:rPr>
        <w:t xml:space="preserve">, Sentencia </w:t>
      </w:r>
      <w:hyperlink w:anchor="SENTENCIA_2025_134" w:history="1">
        <w:r w:rsidRPr="00C72046">
          <w:rPr>
            <w:rStyle w:val="TextoNormalCaracter"/>
          </w:rPr>
          <w:t>134/2025</w:t>
        </w:r>
      </w:hyperlink>
      <w:r w:rsidRPr="00C72046">
        <w:rPr>
          <w:rStyle w:val="TextoNormalCaracter"/>
        </w:rPr>
        <w:t>, ff. 2 y 3.</w:t>
      </w:r>
    </w:p>
    <w:p w14:paraId="5EFC8796" w14:textId="4D56F9E5"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Sentencias </w:t>
      </w:r>
      <w:hyperlink w:anchor="SENTENCIA_2025_14" w:history="1">
        <w:r w:rsidRPr="00C72046">
          <w:rPr>
            <w:rStyle w:val="TextoNormalCaracter"/>
          </w:rPr>
          <w:t>14/2025</w:t>
        </w:r>
      </w:hyperlink>
      <w:r w:rsidRPr="00C72046">
        <w:rPr>
          <w:rStyle w:val="TextoNormalCaracter"/>
        </w:rPr>
        <w:t xml:space="preserve">, ff. 1, 2, 4, 5, VP; </w:t>
      </w:r>
      <w:hyperlink w:anchor="SENTENCIA_2025_15" w:history="1">
        <w:r w:rsidRPr="00C72046">
          <w:rPr>
            <w:rStyle w:val="TextoNormalCaracter"/>
          </w:rPr>
          <w:t>15/2025</w:t>
        </w:r>
      </w:hyperlink>
      <w:r w:rsidRPr="00C72046">
        <w:rPr>
          <w:rStyle w:val="TextoNormalCaracter"/>
        </w:rPr>
        <w:t>, ff. 1, 3, 4.</w:t>
      </w:r>
    </w:p>
    <w:p w14:paraId="0A5C5FC7" w14:textId="5009E120"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83" w:history="1">
        <w:r w:rsidRPr="00C72046">
          <w:rPr>
            <w:rStyle w:val="TextoNormalCaracter"/>
          </w:rPr>
          <w:t>83/2025</w:t>
        </w:r>
      </w:hyperlink>
      <w:r w:rsidRPr="00C72046">
        <w:rPr>
          <w:rStyle w:val="TextoNormalCaracter"/>
        </w:rPr>
        <w:t xml:space="preserve">, ff. 2 a 3; </w:t>
      </w:r>
      <w:hyperlink w:anchor="SENTENCIA_2025_97" w:history="1">
        <w:r w:rsidRPr="00C72046">
          <w:rPr>
            <w:rStyle w:val="TextoNormalCaracter"/>
          </w:rPr>
          <w:t>97/2025</w:t>
        </w:r>
      </w:hyperlink>
      <w:r w:rsidRPr="00C72046">
        <w:rPr>
          <w:rStyle w:val="TextoNormalCaracter"/>
        </w:rPr>
        <w:t xml:space="preserve">, f. 3; </w:t>
      </w:r>
      <w:hyperlink w:anchor="SENTENCIA_2025_120" w:history="1">
        <w:r w:rsidRPr="00C72046">
          <w:rPr>
            <w:rStyle w:val="TextoNormalCaracter"/>
          </w:rPr>
          <w:t>120/2025</w:t>
        </w:r>
      </w:hyperlink>
      <w:r w:rsidRPr="00C72046">
        <w:rPr>
          <w:rStyle w:val="TextoNormalCaracter"/>
        </w:rPr>
        <w:t xml:space="preserve">, ff. 2 a 5; </w:t>
      </w:r>
      <w:hyperlink w:anchor="SENTENCIA_2025_136" w:history="1">
        <w:r w:rsidRPr="00C72046">
          <w:rPr>
            <w:rStyle w:val="TextoNormalCaracter"/>
          </w:rPr>
          <w:t>136/2025</w:t>
        </w:r>
      </w:hyperlink>
      <w:r w:rsidRPr="00C72046">
        <w:rPr>
          <w:rStyle w:val="TextoNormalCaracter"/>
        </w:rPr>
        <w:t>, ff. 2 y 3.</w:t>
      </w:r>
    </w:p>
    <w:p w14:paraId="605FF43D" w14:textId="77777777" w:rsidR="00C72046" w:rsidRPr="00C72046" w:rsidRDefault="00C72046" w:rsidP="00C72046">
      <w:pPr>
        <w:pStyle w:val="TextoNormalSangraFrancesa"/>
        <w:rPr>
          <w:rStyle w:val="TextoNormalCaracter"/>
        </w:rPr>
      </w:pPr>
      <w:bookmarkStart w:id="867" w:name="DESCRIPTORALFABETICO54"/>
      <w:r w:rsidRPr="00C72046">
        <w:rPr>
          <w:rStyle w:val="TextoNormalNegritaCaracter"/>
        </w:rPr>
        <w:t>Derecho a elegir la formación religiosa y moral de los hijos</w:t>
      </w:r>
      <w:bookmarkEnd w:id="867"/>
      <w:r w:rsidRPr="00C72046">
        <w:rPr>
          <w:rStyle w:val="TextoNormalCaracter"/>
        </w:rPr>
        <w:t xml:space="preserve">, </w:t>
      </w:r>
    </w:p>
    <w:p w14:paraId="03E47B1B" w14:textId="5CD52AB3"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 </w:t>
      </w:r>
      <w:hyperlink w:anchor="SENTENCIA_2025_119" w:history="1">
        <w:r w:rsidRPr="00C72046">
          <w:rPr>
            <w:rStyle w:val="TextoNormalCaracter"/>
          </w:rPr>
          <w:t>119/2025</w:t>
        </w:r>
      </w:hyperlink>
      <w:r w:rsidRPr="00C72046">
        <w:rPr>
          <w:rStyle w:val="TextoNormalCaracter"/>
        </w:rPr>
        <w:t>, ff. 3 a 7.</w:t>
      </w:r>
    </w:p>
    <w:p w14:paraId="2B439662" w14:textId="1D6587F2" w:rsidR="00C72046" w:rsidRPr="00C72046" w:rsidRDefault="00C72046" w:rsidP="00C72046">
      <w:pPr>
        <w:pStyle w:val="TextoNormalSangraFrancesa"/>
        <w:rPr>
          <w:rStyle w:val="TextoNormalCaracter"/>
        </w:rPr>
      </w:pPr>
      <w:bookmarkStart w:id="868" w:name="DESCRIPTORALFABETICO79"/>
      <w:r w:rsidRPr="00C72046">
        <w:rPr>
          <w:rStyle w:val="TextoNormalNegritaCaracter"/>
        </w:rPr>
        <w:t>Derecho a la acción penal</w:t>
      </w:r>
      <w:bookmarkEnd w:id="868"/>
      <w:r w:rsidRPr="00C72046">
        <w:rPr>
          <w:rStyle w:val="TextoNormalCaracter"/>
        </w:rPr>
        <w:t xml:space="preserve">, Sentencia </w:t>
      </w:r>
      <w:hyperlink w:anchor="SENTENCIA_2025_126" w:history="1">
        <w:r w:rsidRPr="00C72046">
          <w:rPr>
            <w:rStyle w:val="TextoNormalCaracter"/>
          </w:rPr>
          <w:t>126/2025</w:t>
        </w:r>
      </w:hyperlink>
      <w:r w:rsidRPr="00C72046">
        <w:rPr>
          <w:rStyle w:val="TextoNormalCaracter"/>
        </w:rPr>
        <w:t>, f. 6.</w:t>
      </w:r>
    </w:p>
    <w:p w14:paraId="33BF344D" w14:textId="77777777" w:rsidR="00C72046" w:rsidRPr="00C72046" w:rsidRDefault="00C72046" w:rsidP="00C72046">
      <w:pPr>
        <w:pStyle w:val="TextoNormalSangraFrancesa"/>
        <w:rPr>
          <w:rStyle w:val="TextoNormalCaracter"/>
        </w:rPr>
      </w:pPr>
      <w:bookmarkStart w:id="869" w:name="DESCRIPTORALFABETICO50"/>
      <w:r w:rsidRPr="00C72046">
        <w:rPr>
          <w:rStyle w:val="TextoNormalNegritaCaracter"/>
        </w:rPr>
        <w:t>Derecho a la creación artística</w:t>
      </w:r>
      <w:bookmarkEnd w:id="869"/>
      <w:r w:rsidRPr="00C72046">
        <w:rPr>
          <w:rStyle w:val="TextoNormalCaracter"/>
        </w:rPr>
        <w:t xml:space="preserve">, </w:t>
      </w:r>
    </w:p>
    <w:p w14:paraId="52478EEE" w14:textId="1A6722FB"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117" w:history="1">
        <w:r w:rsidRPr="00C72046">
          <w:rPr>
            <w:rStyle w:val="TextoNormalCaracter"/>
          </w:rPr>
          <w:t>117/2025</w:t>
        </w:r>
      </w:hyperlink>
      <w:r w:rsidRPr="00C72046">
        <w:rPr>
          <w:rStyle w:val="TextoNormalCaracter"/>
        </w:rPr>
        <w:t>, ff. 5 y 6.</w:t>
      </w:r>
    </w:p>
    <w:p w14:paraId="084C3A6F" w14:textId="68D14307" w:rsidR="00C72046" w:rsidRPr="00C72046" w:rsidRDefault="00C72046" w:rsidP="00C72046">
      <w:pPr>
        <w:pStyle w:val="TextoNormalSangraFrancesa"/>
        <w:rPr>
          <w:rStyle w:val="TextoNormalCaracter"/>
        </w:rPr>
      </w:pPr>
      <w:bookmarkStart w:id="870" w:name="DESCRIPTORALFABETICO51"/>
      <w:r w:rsidRPr="00C72046">
        <w:rPr>
          <w:rStyle w:val="TextoNormalNegritaCaracter"/>
        </w:rPr>
        <w:t>Derecho a la creación literaria</w:t>
      </w:r>
      <w:bookmarkEnd w:id="870"/>
      <w:r w:rsidRPr="00C72046">
        <w:rPr>
          <w:rStyle w:val="TextoNormalCaracter"/>
        </w:rPr>
        <w:t xml:space="preserve">, Sentencia </w:t>
      </w:r>
      <w:hyperlink w:anchor="SENTENCIA_2025_1" w:history="1">
        <w:r w:rsidRPr="00C72046">
          <w:rPr>
            <w:rStyle w:val="TextoNormalCaracter"/>
          </w:rPr>
          <w:t>1/2025</w:t>
        </w:r>
      </w:hyperlink>
      <w:r w:rsidRPr="00C72046">
        <w:rPr>
          <w:rStyle w:val="TextoNormalCaracter"/>
        </w:rPr>
        <w:t>, f. 3.</w:t>
      </w:r>
    </w:p>
    <w:p w14:paraId="00CB02AC" w14:textId="5EAEBF0F" w:rsidR="00C72046" w:rsidRPr="00C72046" w:rsidRDefault="00C72046" w:rsidP="00C72046">
      <w:pPr>
        <w:pStyle w:val="TextoNormalSangraFrancesa"/>
        <w:rPr>
          <w:rStyle w:val="TextoNormalCaracter"/>
        </w:rPr>
      </w:pPr>
      <w:bookmarkStart w:id="871" w:name="DESCRIPTORALFABETICO105"/>
      <w:r w:rsidRPr="00C72046">
        <w:rPr>
          <w:rStyle w:val="TextoNormalNegritaCaracter"/>
        </w:rPr>
        <w:t>Derecho a la defensa</w:t>
      </w:r>
      <w:bookmarkEnd w:id="871"/>
      <w:r w:rsidRPr="00C72046">
        <w:rPr>
          <w:rStyle w:val="TextoNormalCaracter"/>
        </w:rPr>
        <w:t xml:space="preserve">, Auto </w:t>
      </w:r>
      <w:hyperlink w:anchor="AUTO_2025_28" w:history="1">
        <w:r w:rsidRPr="00C72046">
          <w:rPr>
            <w:rStyle w:val="TextoNormalCaracter"/>
          </w:rPr>
          <w:t>28/2025</w:t>
        </w:r>
      </w:hyperlink>
      <w:r w:rsidRPr="00C72046">
        <w:rPr>
          <w:rStyle w:val="TextoNormalCaracter"/>
        </w:rPr>
        <w:t>, ff. 2 a 4, VP I.</w:t>
      </w:r>
    </w:p>
    <w:p w14:paraId="05515783" w14:textId="0249E688" w:rsidR="00C72046" w:rsidRPr="00C72046" w:rsidRDefault="00C72046" w:rsidP="00C72046">
      <w:pPr>
        <w:pStyle w:val="TextoNormalSangraFrancesa"/>
        <w:rPr>
          <w:rStyle w:val="TextoNormalCaracter"/>
        </w:rPr>
      </w:pPr>
      <w:bookmarkStart w:id="872" w:name="DESCRIPTORALFABETICO53"/>
      <w:r w:rsidRPr="00C72046">
        <w:rPr>
          <w:rStyle w:val="TextoNormalNegritaCaracter"/>
        </w:rPr>
        <w:t>Derecho a la educación</w:t>
      </w:r>
      <w:bookmarkEnd w:id="872"/>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1.</w:t>
      </w:r>
    </w:p>
    <w:p w14:paraId="0ABD161D" w14:textId="2B1EEDEC" w:rsidR="00C72046" w:rsidRPr="00C72046" w:rsidRDefault="00C72046" w:rsidP="00C72046">
      <w:pPr>
        <w:pStyle w:val="TextoNormalSangraFrancesa"/>
        <w:rPr>
          <w:rStyle w:val="TextoNormalCaracter"/>
        </w:rPr>
      </w:pPr>
      <w:bookmarkStart w:id="873" w:name="DESCRIPTORALFABETICO77"/>
      <w:r w:rsidRPr="00C72046">
        <w:rPr>
          <w:rStyle w:val="TextoNormalNegritaCaracter"/>
        </w:rPr>
        <w:t>Derecho a la ejecución de resoluciones judiciales</w:t>
      </w:r>
      <w:bookmarkEnd w:id="873"/>
      <w:r w:rsidRPr="00C72046">
        <w:rPr>
          <w:rStyle w:val="TextoNormalCaracter"/>
        </w:rPr>
        <w:t xml:space="preserve">, Sentencias </w:t>
      </w:r>
      <w:hyperlink w:anchor="SENTENCIA_2025_26" w:history="1">
        <w:r w:rsidRPr="00C72046">
          <w:rPr>
            <w:rStyle w:val="TextoNormalCaracter"/>
          </w:rPr>
          <w:t>26/2025</w:t>
        </w:r>
      </w:hyperlink>
      <w:r w:rsidRPr="00C72046">
        <w:rPr>
          <w:rStyle w:val="TextoNormalCaracter"/>
        </w:rPr>
        <w:t xml:space="preserve">, f. 6; </w:t>
      </w:r>
      <w:hyperlink w:anchor="SENTENCIA_2025_137" w:history="1">
        <w:r w:rsidRPr="00C72046">
          <w:rPr>
            <w:rStyle w:val="TextoNormalCaracter"/>
          </w:rPr>
          <w:t>137/2025</w:t>
        </w:r>
      </w:hyperlink>
      <w:r w:rsidRPr="00C72046">
        <w:rPr>
          <w:rStyle w:val="TextoNormalCaracter"/>
        </w:rPr>
        <w:t>, f. 9, VP III.</w:t>
      </w:r>
    </w:p>
    <w:p w14:paraId="7BE61679" w14:textId="25467229" w:rsidR="00C72046" w:rsidRPr="00C72046" w:rsidRDefault="00C72046" w:rsidP="00C72046">
      <w:pPr>
        <w:pStyle w:val="TextoNormalSangraFrancesa"/>
        <w:rPr>
          <w:rStyle w:val="TextoNormalCaracter"/>
        </w:rPr>
      </w:pPr>
      <w:bookmarkStart w:id="874" w:name="DESCRIPTORALFABETICO67"/>
      <w:r w:rsidRPr="00C72046">
        <w:rPr>
          <w:rStyle w:val="TextoNormalNegritaCaracter"/>
        </w:rPr>
        <w:t>Derecho a la información sobre las razones de la detención</w:t>
      </w:r>
      <w:bookmarkEnd w:id="874"/>
      <w:r w:rsidRPr="00C72046">
        <w:rPr>
          <w:rStyle w:val="TextoNormalCaracter"/>
        </w:rPr>
        <w:t xml:space="preserve">, Sentencia </w:t>
      </w:r>
      <w:hyperlink w:anchor="SENTENCIA_2025_86" w:history="1">
        <w:r w:rsidRPr="00C72046">
          <w:rPr>
            <w:rStyle w:val="TextoNormalCaracter"/>
          </w:rPr>
          <w:t>86/2025</w:t>
        </w:r>
      </w:hyperlink>
      <w:r w:rsidRPr="00C72046">
        <w:rPr>
          <w:rStyle w:val="TextoNormalCaracter"/>
        </w:rPr>
        <w:t>, ff. 2 y 3.</w:t>
      </w:r>
    </w:p>
    <w:p w14:paraId="770ECC64" w14:textId="3515A340" w:rsidR="00C72046" w:rsidRPr="00C72046" w:rsidRDefault="00C72046" w:rsidP="00C72046">
      <w:pPr>
        <w:pStyle w:val="TextoNormalSangraFrancesa"/>
        <w:rPr>
          <w:rStyle w:val="TextoNormalCaracter"/>
        </w:rPr>
      </w:pPr>
      <w:bookmarkStart w:id="875" w:name="DESCRIPTORALFABETICO58"/>
      <w:r w:rsidRPr="00C72046">
        <w:rPr>
          <w:rStyle w:val="TextoNormalNegritaCaracter"/>
        </w:rPr>
        <w:t>Derecho a la integridad física y moral</w:t>
      </w:r>
      <w:bookmarkEnd w:id="875"/>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 3.</w:t>
      </w:r>
    </w:p>
    <w:p w14:paraId="01B81260" w14:textId="31E01B22"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28" w:history="1">
        <w:r w:rsidRPr="00C72046">
          <w:rPr>
            <w:rStyle w:val="TextoNormalCaracter"/>
          </w:rPr>
          <w:t>28/2025</w:t>
        </w:r>
      </w:hyperlink>
      <w:r w:rsidRPr="00C72046">
        <w:rPr>
          <w:rStyle w:val="TextoNormalCaracter"/>
        </w:rPr>
        <w:t>, f. 5.</w:t>
      </w:r>
    </w:p>
    <w:p w14:paraId="143C02BD" w14:textId="637EFFFB" w:rsidR="00C72046" w:rsidRPr="00C72046" w:rsidRDefault="00C72046" w:rsidP="00C72046">
      <w:pPr>
        <w:pStyle w:val="TextoNormalSangraFrancesa"/>
        <w:rPr>
          <w:rStyle w:val="TextoNormalCaracter"/>
        </w:rPr>
      </w:pPr>
      <w:bookmarkStart w:id="876" w:name="DESCRIPTORALFABETICO62"/>
      <w:r w:rsidRPr="00C72046">
        <w:rPr>
          <w:rStyle w:val="TextoNormalNegritaCaracter"/>
        </w:rPr>
        <w:t>Derecho a la intimidad personal y familiar</w:t>
      </w:r>
      <w:bookmarkEnd w:id="876"/>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ff. 2 y 3.</w:t>
      </w:r>
    </w:p>
    <w:p w14:paraId="346B8821" w14:textId="0447C434" w:rsidR="00C72046" w:rsidRPr="00C72046" w:rsidRDefault="00C72046" w:rsidP="00C72046">
      <w:pPr>
        <w:pStyle w:val="TextoNormalSangraFrancesa"/>
        <w:rPr>
          <w:rStyle w:val="TextoNormalCaracter"/>
        </w:rPr>
      </w:pPr>
      <w:bookmarkStart w:id="877" w:name="DESCRIPTORALFABETICO64"/>
      <w:r w:rsidRPr="00C72046">
        <w:rPr>
          <w:rStyle w:val="TextoNormalNegritaCaracter"/>
        </w:rPr>
        <w:t>Derecho a la legalidad penal</w:t>
      </w:r>
      <w:bookmarkEnd w:id="877"/>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ff. 5, 13, 18, VP III, VP IV.</w:t>
      </w:r>
    </w:p>
    <w:p w14:paraId="4C1C9EAC" w14:textId="07CB2047"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 </w:t>
      </w:r>
      <w:hyperlink w:anchor="SENTENCIA_2025_51" w:history="1">
        <w:r w:rsidRPr="00C72046">
          <w:rPr>
            <w:rStyle w:val="TextoNormalCaracter"/>
          </w:rPr>
          <w:t>51/2025</w:t>
        </w:r>
      </w:hyperlink>
      <w:r w:rsidRPr="00C72046">
        <w:rPr>
          <w:rStyle w:val="TextoNormalCaracter"/>
        </w:rPr>
        <w:t>, ff. 2 y 4.</w:t>
      </w:r>
    </w:p>
    <w:p w14:paraId="03382A33" w14:textId="68DCE2B7"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111" w:history="1">
        <w:r w:rsidRPr="00C72046">
          <w:rPr>
            <w:rStyle w:val="TextoNormalCaracter"/>
          </w:rPr>
          <w:t>111/2025</w:t>
        </w:r>
      </w:hyperlink>
      <w:r w:rsidRPr="00C72046">
        <w:rPr>
          <w:rStyle w:val="TextoNormalCaracter"/>
        </w:rPr>
        <w:t>, f. 3.</w:t>
      </w:r>
    </w:p>
    <w:p w14:paraId="4FC55BC4" w14:textId="77777777" w:rsidR="00C72046" w:rsidRPr="00C72046" w:rsidRDefault="00C72046" w:rsidP="00C72046">
      <w:pPr>
        <w:pStyle w:val="TextoNormalSangraFrancesa"/>
        <w:rPr>
          <w:rStyle w:val="TextoNormalCaracter"/>
        </w:rPr>
      </w:pPr>
      <w:bookmarkStart w:id="878" w:name="DESCRIPTORALFABETICO65"/>
      <w:r w:rsidRPr="00C72046">
        <w:rPr>
          <w:rStyle w:val="TextoNormalNegritaCaracter"/>
        </w:rPr>
        <w:t>Derecho a la libertad personal</w:t>
      </w:r>
      <w:bookmarkEnd w:id="878"/>
      <w:r w:rsidRPr="00C72046">
        <w:rPr>
          <w:rStyle w:val="TextoNormalCaracter"/>
        </w:rPr>
        <w:t xml:space="preserve">, </w:t>
      </w:r>
    </w:p>
    <w:p w14:paraId="2EF35179" w14:textId="0101FEE5"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 </w:t>
      </w:r>
      <w:hyperlink w:anchor="SENTENCIA_2025_3" w:history="1">
        <w:r w:rsidRPr="00C72046">
          <w:rPr>
            <w:rStyle w:val="TextoNormalCaracter"/>
          </w:rPr>
          <w:t>3/2025</w:t>
        </w:r>
      </w:hyperlink>
      <w:r w:rsidRPr="00C72046">
        <w:rPr>
          <w:rStyle w:val="TextoNormalCaracter"/>
        </w:rPr>
        <w:t>, ff. 3 y 4.</w:t>
      </w:r>
    </w:p>
    <w:p w14:paraId="0A52001B" w14:textId="3C0671B5"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3" w:history="1">
        <w:r w:rsidRPr="00C72046">
          <w:rPr>
            <w:rStyle w:val="TextoNormalCaracter"/>
          </w:rPr>
          <w:t>3/2025</w:t>
        </w:r>
      </w:hyperlink>
      <w:r w:rsidRPr="00C72046">
        <w:rPr>
          <w:rStyle w:val="TextoNormalCaracter"/>
        </w:rPr>
        <w:t xml:space="preserve">, f. 4; </w:t>
      </w:r>
      <w:hyperlink w:anchor="SENTENCIA_2025_37" w:history="1">
        <w:r w:rsidRPr="00C72046">
          <w:rPr>
            <w:rStyle w:val="TextoNormalCaracter"/>
          </w:rPr>
          <w:t>37/2025</w:t>
        </w:r>
      </w:hyperlink>
      <w:r w:rsidRPr="00C72046">
        <w:rPr>
          <w:rStyle w:val="TextoNormalCaracter"/>
        </w:rPr>
        <w:t xml:space="preserve">, f. 3; </w:t>
      </w:r>
      <w:hyperlink w:anchor="SENTENCIA_2025_49" w:history="1">
        <w:r w:rsidRPr="00C72046">
          <w:rPr>
            <w:rStyle w:val="TextoNormalCaracter"/>
          </w:rPr>
          <w:t>49/2025</w:t>
        </w:r>
      </w:hyperlink>
      <w:r w:rsidRPr="00C72046">
        <w:rPr>
          <w:rStyle w:val="TextoNormalCaracter"/>
        </w:rPr>
        <w:t xml:space="preserve">, f. único; </w:t>
      </w:r>
      <w:hyperlink w:anchor="SENTENCIA_2025_86" w:history="1">
        <w:r w:rsidRPr="00C72046">
          <w:rPr>
            <w:rStyle w:val="TextoNormalCaracter"/>
          </w:rPr>
          <w:t>86/2025</w:t>
        </w:r>
      </w:hyperlink>
      <w:r w:rsidRPr="00C72046">
        <w:rPr>
          <w:rStyle w:val="TextoNormalCaracter"/>
        </w:rPr>
        <w:t>, ff. 2 y 3.</w:t>
      </w:r>
    </w:p>
    <w:p w14:paraId="613AFF71" w14:textId="77777777" w:rsidR="00C72046" w:rsidRPr="00C72046" w:rsidRDefault="00C72046" w:rsidP="00C72046">
      <w:pPr>
        <w:pStyle w:val="TextoNormalSangraFrancesa"/>
        <w:rPr>
          <w:rStyle w:val="TextoNormalCaracter"/>
        </w:rPr>
      </w:pPr>
      <w:bookmarkStart w:id="879" w:name="DESCRIPTORALFABETICO72"/>
      <w:r w:rsidRPr="00C72046">
        <w:rPr>
          <w:rStyle w:val="TextoNormalNegritaCaracter"/>
        </w:rPr>
        <w:t>Derecho a la presunción de inocencia</w:t>
      </w:r>
      <w:bookmarkEnd w:id="879"/>
      <w:r w:rsidRPr="00C72046">
        <w:rPr>
          <w:rStyle w:val="TextoNormalCaracter"/>
        </w:rPr>
        <w:t xml:space="preserve">, </w:t>
      </w:r>
    </w:p>
    <w:p w14:paraId="1D5A60CC" w14:textId="3913AFE3"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Sentencias </w:t>
      </w:r>
      <w:hyperlink w:anchor="SENTENCIA_2025_41" w:history="1">
        <w:r w:rsidRPr="00C72046">
          <w:rPr>
            <w:rStyle w:val="TextoNormalCaracter"/>
          </w:rPr>
          <w:t>41/2025</w:t>
        </w:r>
      </w:hyperlink>
      <w:r w:rsidRPr="00C72046">
        <w:rPr>
          <w:rStyle w:val="TextoNormalCaracter"/>
        </w:rPr>
        <w:t xml:space="preserve">, ff. 1 y 2; </w:t>
      </w:r>
      <w:hyperlink w:anchor="SENTENCIA_2025_107" w:history="1">
        <w:r w:rsidRPr="00C72046">
          <w:rPr>
            <w:rStyle w:val="TextoNormalCaracter"/>
          </w:rPr>
          <w:t>107/2025</w:t>
        </w:r>
      </w:hyperlink>
      <w:r w:rsidRPr="00C72046">
        <w:rPr>
          <w:rStyle w:val="TextoNormalCaracter"/>
        </w:rPr>
        <w:t xml:space="preserve">, ff. 2 y 3; </w:t>
      </w:r>
      <w:hyperlink w:anchor="SENTENCIA_2025_108" w:history="1">
        <w:r w:rsidRPr="00C72046">
          <w:rPr>
            <w:rStyle w:val="TextoNormalCaracter"/>
          </w:rPr>
          <w:t>108/2025</w:t>
        </w:r>
      </w:hyperlink>
      <w:r w:rsidRPr="00C72046">
        <w:rPr>
          <w:rStyle w:val="TextoNormalCaracter"/>
        </w:rPr>
        <w:t>, ff. 2 y 3.</w:t>
      </w:r>
    </w:p>
    <w:p w14:paraId="0229FF37" w14:textId="02DFB9AF"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85" w:history="1">
        <w:r w:rsidRPr="00C72046">
          <w:rPr>
            <w:rStyle w:val="TextoNormalCaracter"/>
          </w:rPr>
          <w:t>85/2025</w:t>
        </w:r>
      </w:hyperlink>
      <w:r w:rsidRPr="00C72046">
        <w:rPr>
          <w:rStyle w:val="TextoNormalCaracter"/>
        </w:rPr>
        <w:t>, ff. 2 y 3.</w:t>
      </w:r>
    </w:p>
    <w:p w14:paraId="3A505CE1" w14:textId="067C62A2" w:rsidR="00C72046" w:rsidRPr="00C72046" w:rsidRDefault="00C72046" w:rsidP="00C72046">
      <w:pPr>
        <w:pStyle w:val="TextoNormalSangraFrancesa"/>
        <w:rPr>
          <w:rStyle w:val="TextoNormalCaracter"/>
        </w:rPr>
      </w:pPr>
      <w:bookmarkStart w:id="880" w:name="DESCRIPTORALFABETICO74"/>
      <w:r w:rsidRPr="00C72046">
        <w:rPr>
          <w:rStyle w:val="TextoNormalNegritaCaracter"/>
        </w:rPr>
        <w:t>Derecho a la propia imagen</w:t>
      </w:r>
      <w:bookmarkEnd w:id="880"/>
      <w:r w:rsidRPr="00C72046">
        <w:rPr>
          <w:rStyle w:val="TextoNormalCaracter"/>
        </w:rPr>
        <w:t xml:space="preserve">, Sentencias </w:t>
      </w:r>
      <w:hyperlink w:anchor="SENTENCIA_2025_62" w:history="1">
        <w:r w:rsidRPr="00C72046">
          <w:rPr>
            <w:rStyle w:val="TextoNormalCaracter"/>
          </w:rPr>
          <w:t>62/2025</w:t>
        </w:r>
      </w:hyperlink>
      <w:r w:rsidRPr="00C72046">
        <w:rPr>
          <w:rStyle w:val="TextoNormalCaracter"/>
        </w:rPr>
        <w:t xml:space="preserve">, f. 4, VP II; </w:t>
      </w:r>
      <w:hyperlink w:anchor="SENTENCIA_2025_87" w:history="1">
        <w:r w:rsidRPr="00C72046">
          <w:rPr>
            <w:rStyle w:val="TextoNormalCaracter"/>
          </w:rPr>
          <w:t>87/2025</w:t>
        </w:r>
      </w:hyperlink>
      <w:r w:rsidRPr="00C72046">
        <w:rPr>
          <w:rStyle w:val="TextoNormalCaracter"/>
        </w:rPr>
        <w:t xml:space="preserve">, ff. 1 y 2, VP II; </w:t>
      </w:r>
      <w:hyperlink w:anchor="SENTENCIA_2025_101" w:history="1">
        <w:r w:rsidRPr="00C72046">
          <w:rPr>
            <w:rStyle w:val="TextoNormalCaracter"/>
          </w:rPr>
          <w:t>101/2025</w:t>
        </w:r>
      </w:hyperlink>
      <w:r w:rsidRPr="00C72046">
        <w:rPr>
          <w:rStyle w:val="TextoNormalCaracter"/>
        </w:rPr>
        <w:t>, ff. 1 y 2, VP.</w:t>
      </w:r>
    </w:p>
    <w:p w14:paraId="328A1C6A" w14:textId="69CE9583" w:rsidR="00C72046" w:rsidRPr="00C72046" w:rsidRDefault="00C72046" w:rsidP="00C72046">
      <w:pPr>
        <w:pStyle w:val="TextoNormalSangraFrancesa"/>
        <w:rPr>
          <w:rStyle w:val="TextoNormalCaracter"/>
        </w:rPr>
      </w:pPr>
      <w:bookmarkStart w:id="881" w:name="DESCRIPTORALFABETICO75"/>
      <w:r w:rsidRPr="00C72046">
        <w:rPr>
          <w:rStyle w:val="TextoNormalNegritaCaracter"/>
        </w:rPr>
        <w:t>Derecho a la tutela judicial efectiva</w:t>
      </w:r>
      <w:bookmarkEnd w:id="881"/>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ff. 1 y 4, VP I; </w:t>
      </w:r>
      <w:hyperlink w:anchor="SENTENCIA_2025_137" w:history="1">
        <w:r w:rsidRPr="00C72046">
          <w:rPr>
            <w:rStyle w:val="TextoNormalCaracter"/>
          </w:rPr>
          <w:t>137/2025</w:t>
        </w:r>
      </w:hyperlink>
      <w:r w:rsidRPr="00C72046">
        <w:rPr>
          <w:rStyle w:val="TextoNormalCaracter"/>
        </w:rPr>
        <w:t>, ff. 9, 17, 20, VP III.</w:t>
      </w:r>
    </w:p>
    <w:p w14:paraId="45C7C828" w14:textId="10426996"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 </w:t>
      </w:r>
      <w:hyperlink w:anchor="SENTENCIA_2025_64" w:history="1">
        <w:r w:rsidRPr="00C72046">
          <w:rPr>
            <w:rStyle w:val="TextoNormalCaracter"/>
          </w:rPr>
          <w:t>64/2025</w:t>
        </w:r>
      </w:hyperlink>
      <w:r w:rsidRPr="00C72046">
        <w:rPr>
          <w:rStyle w:val="TextoNormalCaracter"/>
        </w:rPr>
        <w:t>, f. 7.</w:t>
      </w:r>
    </w:p>
    <w:p w14:paraId="6E7459A1" w14:textId="59BB7656"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26" w:history="1">
        <w:r w:rsidRPr="00C72046">
          <w:rPr>
            <w:rStyle w:val="TextoNormalCaracter"/>
          </w:rPr>
          <w:t>26/2025</w:t>
        </w:r>
      </w:hyperlink>
      <w:r w:rsidRPr="00C72046">
        <w:rPr>
          <w:rStyle w:val="TextoNormalCaracter"/>
        </w:rPr>
        <w:t xml:space="preserve">, f. 6, VP II; </w:t>
      </w:r>
      <w:hyperlink w:anchor="SENTENCIA_2025_28" w:history="1">
        <w:r w:rsidRPr="00C72046">
          <w:rPr>
            <w:rStyle w:val="TextoNormalCaracter"/>
          </w:rPr>
          <w:t>28/2025</w:t>
        </w:r>
      </w:hyperlink>
      <w:r w:rsidRPr="00C72046">
        <w:rPr>
          <w:rStyle w:val="TextoNormalCaracter"/>
        </w:rPr>
        <w:t xml:space="preserve">, f. 5; </w:t>
      </w:r>
      <w:hyperlink w:anchor="SENTENCIA_2025_37" w:history="1">
        <w:r w:rsidRPr="00C72046">
          <w:rPr>
            <w:rStyle w:val="TextoNormalCaracter"/>
          </w:rPr>
          <w:t>37/2025</w:t>
        </w:r>
      </w:hyperlink>
      <w:r w:rsidRPr="00C72046">
        <w:rPr>
          <w:rStyle w:val="TextoNormalCaracter"/>
        </w:rPr>
        <w:t xml:space="preserve">, f. 3; </w:t>
      </w:r>
      <w:hyperlink w:anchor="SENTENCIA_2025_45" w:history="1">
        <w:r w:rsidRPr="00C72046">
          <w:rPr>
            <w:rStyle w:val="TextoNormalCaracter"/>
          </w:rPr>
          <w:t>45/2025</w:t>
        </w:r>
      </w:hyperlink>
      <w:r w:rsidRPr="00C72046">
        <w:rPr>
          <w:rStyle w:val="TextoNormalCaracter"/>
        </w:rPr>
        <w:t xml:space="preserve">, ff. 2 y 3; </w:t>
      </w:r>
      <w:hyperlink w:anchor="SENTENCIA_2025_49" w:history="1">
        <w:r w:rsidRPr="00C72046">
          <w:rPr>
            <w:rStyle w:val="TextoNormalCaracter"/>
          </w:rPr>
          <w:t>49/2025</w:t>
        </w:r>
      </w:hyperlink>
      <w:r w:rsidRPr="00C72046">
        <w:rPr>
          <w:rStyle w:val="TextoNormalCaracter"/>
        </w:rPr>
        <w:t xml:space="preserve">, f. único; </w:t>
      </w:r>
      <w:hyperlink w:anchor="SENTENCIA_2025_54" w:history="1">
        <w:r w:rsidRPr="00C72046">
          <w:rPr>
            <w:rStyle w:val="TextoNormalCaracter"/>
          </w:rPr>
          <w:t>54/2025</w:t>
        </w:r>
      </w:hyperlink>
      <w:r w:rsidRPr="00C72046">
        <w:rPr>
          <w:rStyle w:val="TextoNormalCaracter"/>
        </w:rPr>
        <w:t xml:space="preserve">, ff. 2 y 3; </w:t>
      </w:r>
      <w:hyperlink w:anchor="SENTENCIA_2025_55" w:history="1">
        <w:r w:rsidRPr="00C72046">
          <w:rPr>
            <w:rStyle w:val="TextoNormalCaracter"/>
          </w:rPr>
          <w:t>55/2025</w:t>
        </w:r>
      </w:hyperlink>
      <w:r w:rsidRPr="00C72046">
        <w:rPr>
          <w:rStyle w:val="TextoNormalCaracter"/>
        </w:rPr>
        <w:t xml:space="preserve">, ff. 2 a 4; </w:t>
      </w:r>
      <w:hyperlink w:anchor="SENTENCIA_2025_69" w:history="1">
        <w:r w:rsidRPr="00C72046">
          <w:rPr>
            <w:rStyle w:val="TextoNormalCaracter"/>
          </w:rPr>
          <w:t>69/2025</w:t>
        </w:r>
      </w:hyperlink>
      <w:r w:rsidRPr="00C72046">
        <w:rPr>
          <w:rStyle w:val="TextoNormalCaracter"/>
        </w:rPr>
        <w:t xml:space="preserve">, ff.1 a 3.; </w:t>
      </w:r>
      <w:hyperlink w:anchor="SENTENCIA_2025_84" w:history="1">
        <w:r w:rsidRPr="00C72046">
          <w:rPr>
            <w:rStyle w:val="TextoNormalCaracter"/>
          </w:rPr>
          <w:t>84/2025</w:t>
        </w:r>
      </w:hyperlink>
      <w:r w:rsidRPr="00C72046">
        <w:rPr>
          <w:rStyle w:val="TextoNormalCaracter"/>
        </w:rPr>
        <w:t xml:space="preserve">, ff. 1 a 4, VP I; </w:t>
      </w:r>
      <w:hyperlink w:anchor="SENTENCIA_2025_85" w:history="1">
        <w:r w:rsidRPr="00C72046">
          <w:rPr>
            <w:rStyle w:val="TextoNormalCaracter"/>
          </w:rPr>
          <w:t>85/2025</w:t>
        </w:r>
      </w:hyperlink>
      <w:r w:rsidRPr="00C72046">
        <w:rPr>
          <w:rStyle w:val="TextoNormalCaracter"/>
        </w:rPr>
        <w:t xml:space="preserve">, ff. 2 y 3; </w:t>
      </w:r>
      <w:hyperlink w:anchor="SENTENCIA_2025_126" w:history="1">
        <w:r w:rsidRPr="00C72046">
          <w:rPr>
            <w:rStyle w:val="TextoNormalCaracter"/>
          </w:rPr>
          <w:t>126/2025</w:t>
        </w:r>
      </w:hyperlink>
      <w:r w:rsidRPr="00C72046">
        <w:rPr>
          <w:rStyle w:val="TextoNormalCaracter"/>
        </w:rPr>
        <w:t>, ff. 3 a 9.</w:t>
      </w:r>
    </w:p>
    <w:p w14:paraId="48A07B40" w14:textId="2C4AE463" w:rsidR="00C72046" w:rsidRPr="00C72046" w:rsidRDefault="00C72046" w:rsidP="00C72046">
      <w:pPr>
        <w:pStyle w:val="TextoNormalSangraFrancesa"/>
        <w:rPr>
          <w:rStyle w:val="TextoNormalCaracter"/>
        </w:rPr>
      </w:pPr>
      <w:bookmarkStart w:id="882" w:name="DESCRIPTORALFABETICO93"/>
      <w:r w:rsidRPr="00C72046">
        <w:rPr>
          <w:rStyle w:val="TextoNormalNegritaCaracter"/>
        </w:rPr>
        <w:t>Derecho a la tutela judicial sin indefensión</w:t>
      </w:r>
      <w:bookmarkEnd w:id="882"/>
      <w:r w:rsidRPr="00C72046">
        <w:rPr>
          <w:rStyle w:val="TextoNormalCaracter"/>
        </w:rPr>
        <w:t xml:space="preserve">, Sentencia </w:t>
      </w:r>
      <w:hyperlink w:anchor="SENTENCIA_2025_107" w:history="1">
        <w:r w:rsidRPr="00C72046">
          <w:rPr>
            <w:rStyle w:val="TextoNormalCaracter"/>
          </w:rPr>
          <w:t>107/2025</w:t>
        </w:r>
      </w:hyperlink>
      <w:r w:rsidRPr="00C72046">
        <w:rPr>
          <w:rStyle w:val="TextoNormalCaracter"/>
        </w:rPr>
        <w:t>, ff. 2 y 3.</w:t>
      </w:r>
    </w:p>
    <w:p w14:paraId="6F3247F7" w14:textId="03409181"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 </w:t>
      </w:r>
      <w:hyperlink w:anchor="SENTENCIA_2025_99" w:history="1">
        <w:r w:rsidRPr="00C72046">
          <w:rPr>
            <w:rStyle w:val="TextoNormalCaracter"/>
          </w:rPr>
          <w:t>99/2025</w:t>
        </w:r>
      </w:hyperlink>
      <w:r w:rsidRPr="00C72046">
        <w:rPr>
          <w:rStyle w:val="TextoNormalCaracter"/>
        </w:rPr>
        <w:t>, f. 3.</w:t>
      </w:r>
    </w:p>
    <w:p w14:paraId="5F077B68" w14:textId="1441020E"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2" w:history="1">
        <w:r w:rsidRPr="00C72046">
          <w:rPr>
            <w:rStyle w:val="TextoNormalCaracter"/>
          </w:rPr>
          <w:t>2/2025</w:t>
        </w:r>
      </w:hyperlink>
      <w:r w:rsidRPr="00C72046">
        <w:rPr>
          <w:rStyle w:val="TextoNormalCaracter"/>
        </w:rPr>
        <w:t xml:space="preserve">, f. 4; </w:t>
      </w:r>
      <w:hyperlink w:anchor="SENTENCIA_2025_16" w:history="1">
        <w:r w:rsidRPr="00C72046">
          <w:rPr>
            <w:rStyle w:val="TextoNormalCaracter"/>
          </w:rPr>
          <w:t>16/2025</w:t>
        </w:r>
      </w:hyperlink>
      <w:r w:rsidRPr="00C72046">
        <w:rPr>
          <w:rStyle w:val="TextoNormalCaracter"/>
        </w:rPr>
        <w:t xml:space="preserve">; </w:t>
      </w:r>
      <w:hyperlink w:anchor="SENTENCIA_2025_105" w:history="1">
        <w:r w:rsidRPr="00C72046">
          <w:rPr>
            <w:rStyle w:val="TextoNormalCaracter"/>
          </w:rPr>
          <w:t>105/2025</w:t>
        </w:r>
      </w:hyperlink>
      <w:r w:rsidRPr="00C72046">
        <w:rPr>
          <w:rStyle w:val="TextoNormalCaracter"/>
        </w:rPr>
        <w:t xml:space="preserve">, ff. 2 a 3, VP I, VP III; </w:t>
      </w:r>
      <w:hyperlink w:anchor="SENTENCIA_2025_109" w:history="1">
        <w:r w:rsidRPr="00C72046">
          <w:rPr>
            <w:rStyle w:val="TextoNormalCaracter"/>
          </w:rPr>
          <w:t>109/2025</w:t>
        </w:r>
      </w:hyperlink>
      <w:r w:rsidRPr="00C72046">
        <w:rPr>
          <w:rStyle w:val="TextoNormalCaracter"/>
        </w:rPr>
        <w:t xml:space="preserve">, f. 3; </w:t>
      </w:r>
      <w:hyperlink w:anchor="SENTENCIA_2025_110" w:history="1">
        <w:r w:rsidRPr="00C72046">
          <w:rPr>
            <w:rStyle w:val="TextoNormalCaracter"/>
          </w:rPr>
          <w:t>110/2025</w:t>
        </w:r>
      </w:hyperlink>
      <w:r w:rsidRPr="00C72046">
        <w:rPr>
          <w:rStyle w:val="TextoNormalCaracter"/>
        </w:rPr>
        <w:t>, f. 2, VP I, VP II.</w:t>
      </w:r>
    </w:p>
    <w:p w14:paraId="3BF973F4" w14:textId="0C503E4D" w:rsidR="00C72046" w:rsidRPr="00C72046" w:rsidRDefault="00C72046" w:rsidP="00C72046">
      <w:pPr>
        <w:pStyle w:val="TextoNormalSangraFrancesa"/>
        <w:rPr>
          <w:rStyle w:val="TextoNormalCaracter"/>
        </w:rPr>
      </w:pPr>
      <w:bookmarkStart w:id="883" w:name="DESCRIPTORALFABETICO94"/>
      <w:r w:rsidRPr="00C72046">
        <w:rPr>
          <w:rStyle w:val="TextoNormalNegritaCaracter"/>
        </w:rPr>
        <w:t>Derecho a la vida</w:t>
      </w:r>
      <w:bookmarkEnd w:id="883"/>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14.</w:t>
      </w:r>
    </w:p>
    <w:p w14:paraId="2BCC1C3B" w14:textId="66148649"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126" w:history="1">
        <w:r w:rsidRPr="00C72046">
          <w:rPr>
            <w:rStyle w:val="TextoNormalCaracter"/>
          </w:rPr>
          <w:t>126/2025</w:t>
        </w:r>
      </w:hyperlink>
      <w:r w:rsidRPr="00C72046">
        <w:rPr>
          <w:rStyle w:val="TextoNormalCaracter"/>
        </w:rPr>
        <w:t>, ff. 3 a 9.</w:t>
      </w:r>
    </w:p>
    <w:p w14:paraId="4F361324" w14:textId="27A670F4" w:rsidR="00C72046" w:rsidRPr="00C72046" w:rsidRDefault="00C72046" w:rsidP="00C72046">
      <w:pPr>
        <w:pStyle w:val="TextoNormalSangraFrancesa"/>
        <w:rPr>
          <w:rStyle w:val="TextoNormalCaracter"/>
        </w:rPr>
      </w:pPr>
      <w:bookmarkStart w:id="884" w:name="DESCRIPTORALFABETICO96"/>
      <w:r w:rsidRPr="00C72046">
        <w:rPr>
          <w:rStyle w:val="TextoNormalNegritaCaracter"/>
        </w:rPr>
        <w:t>Derecho a la vivienda</w:t>
      </w:r>
      <w:bookmarkEnd w:id="884"/>
      <w:r w:rsidRPr="00C72046">
        <w:rPr>
          <w:rStyle w:val="TextoNormalCaracter"/>
        </w:rPr>
        <w:t xml:space="preserve">, Sentencia </w:t>
      </w:r>
      <w:hyperlink w:anchor="SENTENCIA_2025_25" w:history="1">
        <w:r w:rsidRPr="00C72046">
          <w:rPr>
            <w:rStyle w:val="TextoNormalCaracter"/>
          </w:rPr>
          <w:t>25/2025</w:t>
        </w:r>
      </w:hyperlink>
      <w:r w:rsidRPr="00C72046">
        <w:rPr>
          <w:rStyle w:val="TextoNormalCaracter"/>
        </w:rPr>
        <w:t>, ff. 2 y 3, VP II.</w:t>
      </w:r>
    </w:p>
    <w:p w14:paraId="655DA20E" w14:textId="77777777" w:rsidR="00C72046" w:rsidRPr="00C72046" w:rsidRDefault="00C72046" w:rsidP="00C72046">
      <w:pPr>
        <w:pStyle w:val="TextoNormalSangraFrancesa"/>
        <w:rPr>
          <w:rStyle w:val="TextoNormalCaracter"/>
        </w:rPr>
      </w:pPr>
      <w:bookmarkStart w:id="885" w:name="DESCRIPTORALFABETICO97"/>
      <w:r w:rsidRPr="00C72046">
        <w:rPr>
          <w:rStyle w:val="TextoNormalNegritaCaracter"/>
        </w:rPr>
        <w:t>Derecho a no padecer discriminación</w:t>
      </w:r>
      <w:bookmarkEnd w:id="885"/>
      <w:r w:rsidRPr="00C72046">
        <w:rPr>
          <w:rStyle w:val="TextoNormalCaracter"/>
        </w:rPr>
        <w:t xml:space="preserve">, </w:t>
      </w:r>
    </w:p>
    <w:p w14:paraId="3F8B4C81" w14:textId="262C3556"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22" w:history="1">
        <w:r w:rsidRPr="00C72046">
          <w:rPr>
            <w:rStyle w:val="TextoNormalCaracter"/>
          </w:rPr>
          <w:t>22/2025</w:t>
        </w:r>
      </w:hyperlink>
      <w:r w:rsidRPr="00C72046">
        <w:rPr>
          <w:rStyle w:val="TextoNormalCaracter"/>
        </w:rPr>
        <w:t xml:space="preserve">, f. único; </w:t>
      </w:r>
      <w:hyperlink w:anchor="SENTENCIA_2025_36" w:history="1">
        <w:r w:rsidRPr="00C72046">
          <w:rPr>
            <w:rStyle w:val="TextoNormalCaracter"/>
          </w:rPr>
          <w:t>36/2025</w:t>
        </w:r>
      </w:hyperlink>
      <w:r w:rsidRPr="00C72046">
        <w:rPr>
          <w:rStyle w:val="TextoNormalCaracter"/>
        </w:rPr>
        <w:t xml:space="preserve">, f.único; </w:t>
      </w:r>
      <w:hyperlink w:anchor="SENTENCIA_2025_48" w:history="1">
        <w:r w:rsidRPr="00C72046">
          <w:rPr>
            <w:rStyle w:val="TextoNormalCaracter"/>
          </w:rPr>
          <w:t>48/2025</w:t>
        </w:r>
      </w:hyperlink>
      <w:r w:rsidRPr="00C72046">
        <w:rPr>
          <w:rStyle w:val="TextoNormalCaracter"/>
        </w:rPr>
        <w:t xml:space="preserve">, f. 2; </w:t>
      </w:r>
      <w:hyperlink w:anchor="SENTENCIA_2025_50" w:history="1">
        <w:r w:rsidRPr="00C72046">
          <w:rPr>
            <w:rStyle w:val="TextoNormalCaracter"/>
          </w:rPr>
          <w:t>50/2025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88" w:history="1">
        <w:r w:rsidRPr="00C72046">
          <w:rPr>
            <w:rStyle w:val="TextoNormalCaracter"/>
          </w:rPr>
          <w:t>88/2025</w:t>
        </w:r>
      </w:hyperlink>
      <w:r w:rsidRPr="00C72046">
        <w:rPr>
          <w:rStyle w:val="TextoNormalCaracter"/>
        </w:rPr>
        <w:t>, f. 2.</w:t>
      </w:r>
    </w:p>
    <w:p w14:paraId="76F55BC3" w14:textId="35D1D16A" w:rsidR="00C72046" w:rsidRPr="00C72046" w:rsidRDefault="00C72046" w:rsidP="00C72046">
      <w:pPr>
        <w:pStyle w:val="TextoNormalSangraFrancesa"/>
        <w:rPr>
          <w:rStyle w:val="TextoNormalCaracter"/>
        </w:rPr>
      </w:pPr>
      <w:bookmarkStart w:id="886" w:name="DESCRIPTORALFABETICO100"/>
      <w:r w:rsidRPr="00C72046">
        <w:rPr>
          <w:rStyle w:val="TextoNormalNegritaCaracter"/>
        </w:rPr>
        <w:t>Derecho a participar en los asuntos públicos</w:t>
      </w:r>
      <w:bookmarkEnd w:id="886"/>
      <w:r w:rsidRPr="00C72046">
        <w:rPr>
          <w:rStyle w:val="TextoNormalCaracter"/>
        </w:rPr>
        <w:t xml:space="preserve">, Sentencias </w:t>
      </w:r>
      <w:hyperlink w:anchor="SENTENCIA_2025_97" w:history="1">
        <w:r w:rsidRPr="00C72046">
          <w:rPr>
            <w:rStyle w:val="TextoNormalCaracter"/>
          </w:rPr>
          <w:t>97/2025</w:t>
        </w:r>
      </w:hyperlink>
      <w:r w:rsidRPr="00C72046">
        <w:rPr>
          <w:rStyle w:val="TextoNormalCaracter"/>
        </w:rPr>
        <w:t xml:space="preserve">, f. 3; </w:t>
      </w:r>
      <w:hyperlink w:anchor="SENTENCIA_2025_137" w:history="1">
        <w:r w:rsidRPr="00C72046">
          <w:rPr>
            <w:rStyle w:val="TextoNormalCaracter"/>
          </w:rPr>
          <w:t>137/2025</w:t>
        </w:r>
      </w:hyperlink>
      <w:r w:rsidRPr="00C72046">
        <w:rPr>
          <w:rStyle w:val="TextoNormalCaracter"/>
        </w:rPr>
        <w:t>, VP III.</w:t>
      </w:r>
    </w:p>
    <w:p w14:paraId="446B48E6" w14:textId="4DF2F6CD"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83" w:history="1">
        <w:r w:rsidRPr="00C72046">
          <w:rPr>
            <w:rStyle w:val="TextoNormalCaracter"/>
          </w:rPr>
          <w:t>83/2025</w:t>
        </w:r>
      </w:hyperlink>
      <w:r w:rsidRPr="00C72046">
        <w:rPr>
          <w:rStyle w:val="TextoNormalCaracter"/>
        </w:rPr>
        <w:t xml:space="preserve">, ff. 2 a 3; </w:t>
      </w:r>
      <w:hyperlink w:anchor="SENTENCIA_2025_136" w:history="1">
        <w:r w:rsidRPr="00C72046">
          <w:rPr>
            <w:rStyle w:val="TextoNormalCaracter"/>
          </w:rPr>
          <w:t>136/2025</w:t>
        </w:r>
      </w:hyperlink>
      <w:r w:rsidRPr="00C72046">
        <w:rPr>
          <w:rStyle w:val="TextoNormalCaracter"/>
        </w:rPr>
        <w:t>, ff. 2 y 3.</w:t>
      </w:r>
    </w:p>
    <w:p w14:paraId="3AFDAA37" w14:textId="23F91195" w:rsidR="00C72046" w:rsidRPr="00C72046" w:rsidRDefault="00C72046" w:rsidP="00C72046">
      <w:pPr>
        <w:pStyle w:val="TextoNormalSangraFrancesa"/>
        <w:rPr>
          <w:rStyle w:val="TextoNormalCaracter"/>
        </w:rPr>
      </w:pPr>
      <w:bookmarkStart w:id="887" w:name="DESCRIPTORALFABETICO44"/>
      <w:r w:rsidRPr="00C72046">
        <w:rPr>
          <w:rStyle w:val="TextoNormalNegritaCaracter"/>
        </w:rPr>
        <w:t>Derecho a permanecer en los cargos públicos</w:t>
      </w:r>
      <w:bookmarkEnd w:id="887"/>
      <w:r w:rsidRPr="00C72046">
        <w:rPr>
          <w:rStyle w:val="TextoNormalCaracter"/>
        </w:rPr>
        <w:t xml:space="preserve">, Sentencia </w:t>
      </w:r>
      <w:hyperlink w:anchor="SENTENCIA_2025_134" w:history="1">
        <w:r w:rsidRPr="00C72046">
          <w:rPr>
            <w:rStyle w:val="TextoNormalCaracter"/>
          </w:rPr>
          <w:t>134/2025</w:t>
        </w:r>
      </w:hyperlink>
      <w:r w:rsidRPr="00C72046">
        <w:rPr>
          <w:rStyle w:val="TextoNormalCaracter"/>
        </w:rPr>
        <w:t>, ff. 2 y 3.</w:t>
      </w:r>
    </w:p>
    <w:p w14:paraId="29BF2886" w14:textId="77777777" w:rsidR="00C72046" w:rsidRPr="00C72046" w:rsidRDefault="00C72046" w:rsidP="00C72046">
      <w:pPr>
        <w:pStyle w:val="TextoNormalSangraFrancesa"/>
        <w:rPr>
          <w:rStyle w:val="TextoNormalCaracter"/>
        </w:rPr>
      </w:pPr>
      <w:bookmarkStart w:id="888" w:name="DESCRIPTORALFABETICO107"/>
      <w:r w:rsidRPr="00C72046">
        <w:rPr>
          <w:rStyle w:val="TextoNormalNegritaCaracter"/>
        </w:rPr>
        <w:t>Derecho a un juez imparcial</w:t>
      </w:r>
      <w:bookmarkEnd w:id="888"/>
      <w:r w:rsidRPr="00C72046">
        <w:rPr>
          <w:rStyle w:val="TextoNormalCaracter"/>
        </w:rPr>
        <w:t xml:space="preserve">, </w:t>
      </w:r>
    </w:p>
    <w:p w14:paraId="4E5F54EA" w14:textId="5B62859A"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 </w:t>
      </w:r>
      <w:hyperlink w:anchor="SENTENCIA_2025_41" w:history="1">
        <w:r w:rsidRPr="00C72046">
          <w:rPr>
            <w:rStyle w:val="TextoNormalCaracter"/>
          </w:rPr>
          <w:t>41/2025</w:t>
        </w:r>
      </w:hyperlink>
      <w:r w:rsidRPr="00C72046">
        <w:rPr>
          <w:rStyle w:val="TextoNormalCaracter"/>
        </w:rPr>
        <w:t>, ff. 1 y 3.</w:t>
      </w:r>
    </w:p>
    <w:p w14:paraId="4AE6E5D2" w14:textId="77777777" w:rsidR="00C72046" w:rsidRPr="00C72046" w:rsidRDefault="00C72046" w:rsidP="00C72046">
      <w:pPr>
        <w:pStyle w:val="TextoNormalSangraFrancesa"/>
        <w:rPr>
          <w:rStyle w:val="TextoNormalCaracter"/>
        </w:rPr>
      </w:pPr>
      <w:bookmarkStart w:id="889" w:name="DESCRIPTORALFABETICO103"/>
      <w:r w:rsidRPr="00C72046">
        <w:rPr>
          <w:rStyle w:val="TextoNormalNegritaCaracter"/>
        </w:rPr>
        <w:t>Derecho a un proceso con todas las garantías</w:t>
      </w:r>
      <w:bookmarkEnd w:id="889"/>
      <w:r w:rsidRPr="00C72046">
        <w:rPr>
          <w:rStyle w:val="TextoNormalCaracter"/>
        </w:rPr>
        <w:t xml:space="preserve">, </w:t>
      </w:r>
    </w:p>
    <w:p w14:paraId="19DD9B88" w14:textId="32AE6142"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84" w:history="1">
        <w:r w:rsidRPr="00C72046">
          <w:rPr>
            <w:rStyle w:val="TextoNormalCaracter"/>
          </w:rPr>
          <w:t>84/2025</w:t>
        </w:r>
      </w:hyperlink>
      <w:r w:rsidRPr="00C72046">
        <w:rPr>
          <w:rStyle w:val="TextoNormalCaracter"/>
        </w:rPr>
        <w:t xml:space="preserve">, ff. 1 a 4, VP I; </w:t>
      </w:r>
      <w:hyperlink w:anchor="SENTENCIA_2025_85" w:history="1">
        <w:r w:rsidRPr="00C72046">
          <w:rPr>
            <w:rStyle w:val="TextoNormalCaracter"/>
          </w:rPr>
          <w:t>85/2025</w:t>
        </w:r>
      </w:hyperlink>
      <w:r w:rsidRPr="00C72046">
        <w:rPr>
          <w:rStyle w:val="TextoNormalCaracter"/>
        </w:rPr>
        <w:t>, ff. 2 y 3.</w:t>
      </w:r>
    </w:p>
    <w:p w14:paraId="6AD6B778" w14:textId="448E26B6" w:rsidR="00C72046" w:rsidRPr="00C72046" w:rsidRDefault="00C72046" w:rsidP="00C72046">
      <w:pPr>
        <w:pStyle w:val="TextoNormalSangraFrancesa"/>
        <w:rPr>
          <w:rStyle w:val="TextoNormalCaracter"/>
        </w:rPr>
      </w:pPr>
      <w:bookmarkStart w:id="890" w:name="DESCRIPTORALFABETICO110"/>
      <w:r w:rsidRPr="00C72046">
        <w:rPr>
          <w:rStyle w:val="TextoNormalNegritaCaracter"/>
        </w:rPr>
        <w:t>Derecho al honor</w:t>
      </w:r>
      <w:bookmarkEnd w:id="890"/>
      <w:r w:rsidRPr="00C72046">
        <w:rPr>
          <w:rStyle w:val="TextoNormalCaracter"/>
        </w:rPr>
        <w:t xml:space="preserve">, Sentencias </w:t>
      </w:r>
      <w:hyperlink w:anchor="SENTENCIA_2025_62" w:history="1">
        <w:r w:rsidRPr="00C72046">
          <w:rPr>
            <w:rStyle w:val="TextoNormalCaracter"/>
          </w:rPr>
          <w:t>62/2025</w:t>
        </w:r>
      </w:hyperlink>
      <w:r w:rsidRPr="00C72046">
        <w:rPr>
          <w:rStyle w:val="TextoNormalCaracter"/>
        </w:rPr>
        <w:t xml:space="preserve">, f. 4, VP I, VP II, VP III; </w:t>
      </w:r>
      <w:hyperlink w:anchor="SENTENCIA_2025_87" w:history="1">
        <w:r w:rsidRPr="00C72046">
          <w:rPr>
            <w:rStyle w:val="TextoNormalCaracter"/>
          </w:rPr>
          <w:t>87/2025</w:t>
        </w:r>
      </w:hyperlink>
      <w:r w:rsidRPr="00C72046">
        <w:rPr>
          <w:rStyle w:val="TextoNormalCaracter"/>
        </w:rPr>
        <w:t xml:space="preserve">, f. 3, VP I; </w:t>
      </w:r>
      <w:hyperlink w:anchor="SENTENCIA_2025_100" w:history="1">
        <w:r w:rsidRPr="00C72046">
          <w:rPr>
            <w:rStyle w:val="TextoNormalCaracter"/>
          </w:rPr>
          <w:t>100/2025</w:t>
        </w:r>
      </w:hyperlink>
      <w:r w:rsidRPr="00C72046">
        <w:rPr>
          <w:rStyle w:val="TextoNormalCaracter"/>
        </w:rPr>
        <w:t xml:space="preserve">, ff. 3 a 5; </w:t>
      </w:r>
      <w:hyperlink w:anchor="SENTENCIA_2025_101" w:history="1">
        <w:r w:rsidRPr="00C72046">
          <w:rPr>
            <w:rStyle w:val="TextoNormalCaracter"/>
          </w:rPr>
          <w:t>101/2025</w:t>
        </w:r>
      </w:hyperlink>
      <w:r w:rsidRPr="00C72046">
        <w:rPr>
          <w:rStyle w:val="TextoNormalCaracter"/>
        </w:rPr>
        <w:t>, f. 3, VP.</w:t>
      </w:r>
    </w:p>
    <w:p w14:paraId="1D272A26" w14:textId="43470DC1"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Sentencias </w:t>
      </w:r>
      <w:hyperlink w:anchor="SENTENCIA_2025_1" w:history="1">
        <w:r w:rsidRPr="00C72046">
          <w:rPr>
            <w:rStyle w:val="TextoNormalCaracter"/>
          </w:rPr>
          <w:t>1/2025</w:t>
        </w:r>
      </w:hyperlink>
      <w:r w:rsidRPr="00C72046">
        <w:rPr>
          <w:rStyle w:val="TextoNormalCaracter"/>
        </w:rPr>
        <w:t xml:space="preserve">, ff. 4 y 5; </w:t>
      </w:r>
      <w:hyperlink w:anchor="SENTENCIA_2025_107" w:history="1">
        <w:r w:rsidRPr="00C72046">
          <w:rPr>
            <w:rStyle w:val="TextoNormalCaracter"/>
          </w:rPr>
          <w:t>107/2025</w:t>
        </w:r>
      </w:hyperlink>
      <w:r w:rsidRPr="00C72046">
        <w:rPr>
          <w:rStyle w:val="TextoNormalCaracter"/>
        </w:rPr>
        <w:t xml:space="preserve">, ff. 2 y 3; </w:t>
      </w:r>
      <w:hyperlink w:anchor="SENTENCIA_2025_108" w:history="1">
        <w:r w:rsidRPr="00C72046">
          <w:rPr>
            <w:rStyle w:val="TextoNormalCaracter"/>
          </w:rPr>
          <w:t>108/2025</w:t>
        </w:r>
      </w:hyperlink>
      <w:r w:rsidRPr="00C72046">
        <w:rPr>
          <w:rStyle w:val="TextoNormalCaracter"/>
        </w:rPr>
        <w:t>, ff. 2 y 3.</w:t>
      </w:r>
    </w:p>
    <w:p w14:paraId="42C12F6F" w14:textId="436BB914" w:rsidR="00C72046" w:rsidRPr="00C72046" w:rsidRDefault="00C72046" w:rsidP="00C72046">
      <w:pPr>
        <w:pStyle w:val="TextoNormalSangraFrancesa"/>
        <w:rPr>
          <w:rStyle w:val="TextoNormalCaracter"/>
        </w:rPr>
      </w:pPr>
      <w:bookmarkStart w:id="891" w:name="DESCRIPTORALFABETICO109"/>
      <w:r w:rsidRPr="00C72046">
        <w:rPr>
          <w:rStyle w:val="TextoNormalNegritaCaracter"/>
        </w:rPr>
        <w:t>Derecho al juez predeterminado por la ley</w:t>
      </w:r>
      <w:bookmarkEnd w:id="891"/>
      <w:r w:rsidRPr="00C72046">
        <w:rPr>
          <w:rStyle w:val="TextoNormalCaracter"/>
        </w:rPr>
        <w:t xml:space="preserve">, Auto </w:t>
      </w:r>
      <w:hyperlink w:anchor="AUTO_2025_35" w:history="1">
        <w:r w:rsidRPr="00C72046">
          <w:rPr>
            <w:rStyle w:val="TextoNormalCaracter"/>
          </w:rPr>
          <w:t>35/2025</w:t>
        </w:r>
      </w:hyperlink>
      <w:r w:rsidRPr="00C72046">
        <w:rPr>
          <w:rStyle w:val="TextoNormalCaracter"/>
        </w:rPr>
        <w:t>, f. 7.</w:t>
      </w:r>
    </w:p>
    <w:p w14:paraId="7C0A8956" w14:textId="54A34CFC"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13" w:history="1">
        <w:r w:rsidRPr="00C72046">
          <w:rPr>
            <w:rStyle w:val="TextoNormalCaracter"/>
          </w:rPr>
          <w:t>13/2025</w:t>
        </w:r>
      </w:hyperlink>
      <w:r w:rsidRPr="00C72046">
        <w:rPr>
          <w:rStyle w:val="TextoNormalCaracter"/>
        </w:rPr>
        <w:t xml:space="preserve">, f. 4; </w:t>
      </w:r>
      <w:hyperlink w:anchor="SENTENCIA_2025_84" w:history="1">
        <w:r w:rsidRPr="00C72046">
          <w:rPr>
            <w:rStyle w:val="TextoNormalCaracter"/>
          </w:rPr>
          <w:t>84/2025</w:t>
        </w:r>
      </w:hyperlink>
      <w:r w:rsidRPr="00C72046">
        <w:rPr>
          <w:rStyle w:val="TextoNormalCaracter"/>
        </w:rPr>
        <w:t>, f. 2.</w:t>
      </w:r>
    </w:p>
    <w:p w14:paraId="3EBE34FC" w14:textId="77777777" w:rsidR="00C72046" w:rsidRPr="00C72046" w:rsidRDefault="00C72046" w:rsidP="00C72046">
      <w:pPr>
        <w:pStyle w:val="TextoNormalSangraFrancesa"/>
        <w:rPr>
          <w:rStyle w:val="TextoNormalCaracter"/>
        </w:rPr>
      </w:pPr>
      <w:bookmarkStart w:id="892" w:name="DESCRIPTORALFABETICO82"/>
      <w:r w:rsidRPr="00C72046">
        <w:rPr>
          <w:rStyle w:val="TextoNormalNegritaCaracter"/>
        </w:rPr>
        <w:t>Derecho al recurso penal</w:t>
      </w:r>
      <w:bookmarkEnd w:id="892"/>
      <w:r w:rsidRPr="00C72046">
        <w:rPr>
          <w:rStyle w:val="TextoNormalCaracter"/>
        </w:rPr>
        <w:t xml:space="preserve">, </w:t>
      </w:r>
    </w:p>
    <w:p w14:paraId="32555325" w14:textId="3B95DBA4"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105" w:history="1">
        <w:r w:rsidRPr="00C72046">
          <w:rPr>
            <w:rStyle w:val="TextoNormalCaracter"/>
          </w:rPr>
          <w:t>105/2025</w:t>
        </w:r>
      </w:hyperlink>
      <w:r w:rsidRPr="00C72046">
        <w:rPr>
          <w:rStyle w:val="TextoNormalCaracter"/>
        </w:rPr>
        <w:t xml:space="preserve">, ff. 2 a 3, VP II; </w:t>
      </w:r>
      <w:hyperlink w:anchor="SENTENCIA_2025_110" w:history="1">
        <w:r w:rsidRPr="00C72046">
          <w:rPr>
            <w:rStyle w:val="TextoNormalCaracter"/>
          </w:rPr>
          <w:t>110/2025</w:t>
        </w:r>
      </w:hyperlink>
      <w:r w:rsidRPr="00C72046">
        <w:rPr>
          <w:rStyle w:val="TextoNormalCaracter"/>
        </w:rPr>
        <w:t>, f. 2, VP I, VP II.</w:t>
      </w:r>
    </w:p>
    <w:p w14:paraId="4213A3FA" w14:textId="65F8B9F2" w:rsidR="00C72046" w:rsidRPr="00C72046" w:rsidRDefault="00C72046" w:rsidP="00C72046">
      <w:pPr>
        <w:pStyle w:val="TextoNormalSangraFrancesa"/>
        <w:rPr>
          <w:rStyle w:val="TextoNormalCaracter"/>
        </w:rPr>
      </w:pPr>
      <w:bookmarkStart w:id="893" w:name="DESCRIPTORALFABETICO78"/>
      <w:r w:rsidRPr="00C72046">
        <w:rPr>
          <w:rStyle w:val="TextoNormalNegritaCaracter"/>
        </w:rPr>
        <w:t>Derecho de acceso a la jurisdicción</w:t>
      </w:r>
      <w:bookmarkEnd w:id="893"/>
      <w:r w:rsidRPr="00C72046">
        <w:rPr>
          <w:rStyle w:val="TextoNormalCaracter"/>
        </w:rPr>
        <w:t xml:space="preserve">, Sentencia </w:t>
      </w:r>
      <w:hyperlink w:anchor="SENTENCIA_2025_95" w:history="1">
        <w:r w:rsidRPr="00C72046">
          <w:rPr>
            <w:rStyle w:val="TextoNormalCaracter"/>
          </w:rPr>
          <w:t>95/2025</w:t>
        </w:r>
      </w:hyperlink>
      <w:r w:rsidRPr="00C72046">
        <w:rPr>
          <w:rStyle w:val="TextoNormalCaracter"/>
        </w:rPr>
        <w:t>, f. 4.</w:t>
      </w:r>
    </w:p>
    <w:p w14:paraId="4D657836" w14:textId="6AEE55B0"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55" w:history="1">
        <w:r w:rsidRPr="00C72046">
          <w:rPr>
            <w:rStyle w:val="TextoNormalCaracter"/>
          </w:rPr>
          <w:t>55/2025</w:t>
        </w:r>
      </w:hyperlink>
      <w:r w:rsidRPr="00C72046">
        <w:rPr>
          <w:rStyle w:val="TextoNormalCaracter"/>
        </w:rPr>
        <w:t xml:space="preserve">, f. 2; </w:t>
      </w:r>
      <w:hyperlink w:anchor="SENTENCIA_2025_69" w:history="1">
        <w:r w:rsidRPr="00C72046">
          <w:rPr>
            <w:rStyle w:val="TextoNormalCaracter"/>
          </w:rPr>
          <w:t>69/2025</w:t>
        </w:r>
      </w:hyperlink>
      <w:r w:rsidRPr="00C72046">
        <w:rPr>
          <w:rStyle w:val="TextoNormalCaracter"/>
        </w:rPr>
        <w:t>, f. 1 a 3..</w:t>
      </w:r>
    </w:p>
    <w:p w14:paraId="12990AEE" w14:textId="175363D6" w:rsidR="00C72046" w:rsidRPr="00C72046" w:rsidRDefault="00C72046" w:rsidP="00C72046">
      <w:pPr>
        <w:pStyle w:val="TextoNormalSangraFrancesa"/>
        <w:rPr>
          <w:rStyle w:val="TextoNormalCaracter"/>
        </w:rPr>
      </w:pPr>
      <w:bookmarkStart w:id="894" w:name="DESCRIPTORALFABETICO68"/>
      <w:r w:rsidRPr="00C72046">
        <w:rPr>
          <w:rStyle w:val="TextoNormalNegritaCaracter"/>
        </w:rPr>
        <w:t>Derecho de acceso a las actuaciones durante la detención</w:t>
      </w:r>
      <w:bookmarkEnd w:id="894"/>
      <w:r w:rsidRPr="00C72046">
        <w:rPr>
          <w:rStyle w:val="TextoNormalCaracter"/>
        </w:rPr>
        <w:t xml:space="preserve">, Sentencia </w:t>
      </w:r>
      <w:hyperlink w:anchor="SENTENCIA_2025_86" w:history="1">
        <w:r w:rsidRPr="00C72046">
          <w:rPr>
            <w:rStyle w:val="TextoNormalCaracter"/>
          </w:rPr>
          <w:t>86/2025</w:t>
        </w:r>
      </w:hyperlink>
      <w:r w:rsidRPr="00C72046">
        <w:rPr>
          <w:rStyle w:val="TextoNormalCaracter"/>
        </w:rPr>
        <w:t>, ff. 2 y 3.</w:t>
      </w:r>
    </w:p>
    <w:p w14:paraId="7FABDB64" w14:textId="77777777" w:rsidR="00C72046" w:rsidRPr="00C72046" w:rsidRDefault="00C72046" w:rsidP="00C72046">
      <w:pPr>
        <w:pStyle w:val="TextoNormalSangraFrancesa"/>
        <w:rPr>
          <w:rStyle w:val="TextoNormalCaracter"/>
        </w:rPr>
      </w:pPr>
      <w:bookmarkStart w:id="895" w:name="DESCRIPTORALFABETICO80"/>
      <w:r w:rsidRPr="00C72046">
        <w:rPr>
          <w:rStyle w:val="TextoNormalNegritaCaracter"/>
        </w:rPr>
        <w:t>Derecho de acceso al proceso</w:t>
      </w:r>
      <w:bookmarkEnd w:id="895"/>
      <w:r w:rsidRPr="00C72046">
        <w:rPr>
          <w:rStyle w:val="TextoNormalCaracter"/>
        </w:rPr>
        <w:t xml:space="preserve">, </w:t>
      </w:r>
    </w:p>
    <w:p w14:paraId="70823A43" w14:textId="010E4F59"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 </w:t>
      </w:r>
      <w:hyperlink w:anchor="SENTENCIA_2025_26" w:history="1">
        <w:r w:rsidRPr="00C72046">
          <w:rPr>
            <w:rStyle w:val="TextoNormalCaracter"/>
          </w:rPr>
          <w:t>26/2025</w:t>
        </w:r>
      </w:hyperlink>
      <w:r w:rsidRPr="00C72046">
        <w:rPr>
          <w:rStyle w:val="TextoNormalCaracter"/>
        </w:rPr>
        <w:t>, f. 6.</w:t>
      </w:r>
    </w:p>
    <w:p w14:paraId="70B52F29" w14:textId="77777777" w:rsidR="00C72046" w:rsidRPr="00C72046" w:rsidRDefault="00C72046" w:rsidP="00C72046">
      <w:pPr>
        <w:pStyle w:val="TextoNormalSangraFrancesa"/>
        <w:rPr>
          <w:rStyle w:val="TextoNormalCaracter"/>
        </w:rPr>
      </w:pPr>
      <w:bookmarkStart w:id="896" w:name="DESCRIPTORALFABETICO81"/>
      <w:r w:rsidRPr="00C72046">
        <w:rPr>
          <w:rStyle w:val="TextoNormalNegritaCaracter"/>
        </w:rPr>
        <w:t>Derecho de acceso al recurso legal</w:t>
      </w:r>
      <w:bookmarkEnd w:id="896"/>
      <w:r w:rsidRPr="00C72046">
        <w:rPr>
          <w:rStyle w:val="TextoNormalCaracter"/>
        </w:rPr>
        <w:t xml:space="preserve">, </w:t>
      </w:r>
    </w:p>
    <w:p w14:paraId="6CCD0E93" w14:textId="0AA1F5E0"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105" w:history="1">
        <w:r w:rsidRPr="00C72046">
          <w:rPr>
            <w:rStyle w:val="TextoNormalCaracter"/>
          </w:rPr>
          <w:t>105/2025</w:t>
        </w:r>
      </w:hyperlink>
      <w:r w:rsidRPr="00C72046">
        <w:rPr>
          <w:rStyle w:val="TextoNormalCaracter"/>
        </w:rPr>
        <w:t xml:space="preserve">, ff. 2 a 3, VP I; </w:t>
      </w:r>
      <w:hyperlink w:anchor="SENTENCIA_2025_110" w:history="1">
        <w:r w:rsidRPr="00C72046">
          <w:rPr>
            <w:rStyle w:val="TextoNormalCaracter"/>
          </w:rPr>
          <w:t>110/2025</w:t>
        </w:r>
      </w:hyperlink>
      <w:r w:rsidRPr="00C72046">
        <w:rPr>
          <w:rStyle w:val="TextoNormalCaracter"/>
        </w:rPr>
        <w:t>, f. 2, VP I, VP II.</w:t>
      </w:r>
    </w:p>
    <w:p w14:paraId="5CE30659" w14:textId="5A00BB46" w:rsidR="00C72046" w:rsidRPr="00C72046" w:rsidRDefault="00C72046" w:rsidP="00C72046">
      <w:pPr>
        <w:pStyle w:val="TextoNormalSangraFrancesa"/>
        <w:rPr>
          <w:rStyle w:val="TextoNormalCaracter"/>
        </w:rPr>
      </w:pPr>
      <w:bookmarkStart w:id="897" w:name="DESCRIPTORALFABETICO352"/>
      <w:r w:rsidRPr="00C72046">
        <w:rPr>
          <w:rStyle w:val="TextoNormalNegritaCaracter"/>
        </w:rPr>
        <w:t>Derecho de guarda y custodia</w:t>
      </w:r>
      <w:bookmarkEnd w:id="897"/>
      <w:r w:rsidRPr="00C72046">
        <w:rPr>
          <w:rStyle w:val="TextoNormalCaracter"/>
        </w:rPr>
        <w:t xml:space="preserve">, Sentencia </w:t>
      </w:r>
      <w:hyperlink w:anchor="SENTENCIA_2025_54" w:history="1">
        <w:r w:rsidRPr="00C72046">
          <w:rPr>
            <w:rStyle w:val="TextoNormalCaracter"/>
          </w:rPr>
          <w:t>54/2025</w:t>
        </w:r>
      </w:hyperlink>
      <w:r w:rsidRPr="00C72046">
        <w:rPr>
          <w:rStyle w:val="TextoNormalCaracter"/>
        </w:rPr>
        <w:t>, ff. 1, 2 y 3, VP.</w:t>
      </w:r>
    </w:p>
    <w:p w14:paraId="23D7E469" w14:textId="686C191C" w:rsidR="00C72046" w:rsidRPr="00C72046" w:rsidRDefault="00C72046" w:rsidP="00C72046">
      <w:pPr>
        <w:pStyle w:val="TextoNormalSangraFrancesa"/>
        <w:rPr>
          <w:rStyle w:val="TextoNormalCaracter"/>
        </w:rPr>
      </w:pPr>
      <w:bookmarkStart w:id="898" w:name="DESCRIPTORALFABETICO363"/>
      <w:r w:rsidRPr="00C72046">
        <w:rPr>
          <w:rStyle w:val="TextoNormalNegritaCaracter"/>
        </w:rPr>
        <w:t>Derecho de la Unión Europea</w:t>
      </w:r>
      <w:bookmarkEnd w:id="898"/>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ff. 1, 14, 15, VP III.</w:t>
      </w:r>
    </w:p>
    <w:p w14:paraId="306271EE" w14:textId="3B2E611A" w:rsidR="00C72046" w:rsidRPr="00C72046" w:rsidRDefault="00C72046" w:rsidP="00C72046">
      <w:pPr>
        <w:pStyle w:val="TextoNormalSangraFrancesa"/>
        <w:rPr>
          <w:rStyle w:val="TextoNormalCaracter"/>
        </w:rPr>
      </w:pPr>
      <w:bookmarkStart w:id="899" w:name="DESCRIPTORALFABETICO102"/>
      <w:r w:rsidRPr="00C72046">
        <w:rPr>
          <w:rStyle w:val="TextoNormalNegritaCaracter"/>
        </w:rPr>
        <w:t>Derecho de participación política</w:t>
      </w:r>
      <w:bookmarkEnd w:id="899"/>
      <w:r w:rsidRPr="00C72046">
        <w:rPr>
          <w:rStyle w:val="TextoNormalCaracter"/>
        </w:rPr>
        <w:t xml:space="preserve">, Sentencia </w:t>
      </w:r>
      <w:hyperlink w:anchor="SENTENCIA_2025_134" w:history="1">
        <w:r w:rsidRPr="00C72046">
          <w:rPr>
            <w:rStyle w:val="TextoNormalCaracter"/>
          </w:rPr>
          <w:t>134/2025</w:t>
        </w:r>
      </w:hyperlink>
      <w:r w:rsidRPr="00C72046">
        <w:rPr>
          <w:rStyle w:val="TextoNormalCaracter"/>
        </w:rPr>
        <w:t>, f. 5.</w:t>
      </w:r>
    </w:p>
    <w:p w14:paraId="1BD14874" w14:textId="66F73E80"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Sentencias </w:t>
      </w:r>
      <w:hyperlink w:anchor="SENTENCIA_2025_97" w:history="1">
        <w:r w:rsidRPr="00C72046">
          <w:rPr>
            <w:rStyle w:val="TextoNormalCaracter"/>
          </w:rPr>
          <w:t>97/2025</w:t>
        </w:r>
      </w:hyperlink>
      <w:r w:rsidRPr="00C72046">
        <w:rPr>
          <w:rStyle w:val="TextoNormalCaracter"/>
        </w:rPr>
        <w:t xml:space="preserve">, f. 3; </w:t>
      </w:r>
      <w:hyperlink w:anchor="SENTENCIA_2025_120" w:history="1">
        <w:r w:rsidRPr="00C72046">
          <w:rPr>
            <w:rStyle w:val="TextoNormalCaracter"/>
          </w:rPr>
          <w:t>120/2025</w:t>
        </w:r>
      </w:hyperlink>
      <w:r w:rsidRPr="00C72046">
        <w:rPr>
          <w:rStyle w:val="TextoNormalCaracter"/>
        </w:rPr>
        <w:t>, ff. 1 a 3.</w:t>
      </w:r>
    </w:p>
    <w:p w14:paraId="5E700EC3" w14:textId="65523773" w:rsidR="00C72046" w:rsidRPr="00C72046" w:rsidRDefault="00C72046" w:rsidP="00C72046">
      <w:pPr>
        <w:pStyle w:val="TextoNormalSangraFrancesa"/>
        <w:rPr>
          <w:rStyle w:val="TextoNormalCaracter"/>
        </w:rPr>
      </w:pPr>
      <w:bookmarkStart w:id="900" w:name="DESCRIPTORALFABETICO329"/>
      <w:r w:rsidRPr="00C72046">
        <w:rPr>
          <w:rStyle w:val="TextoNormalNegritaCaracter"/>
        </w:rPr>
        <w:t>Derecho de propiedad</w:t>
      </w:r>
      <w:bookmarkEnd w:id="900"/>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ff. 2 a 5, VP I, VP II; </w:t>
      </w:r>
      <w:hyperlink w:anchor="SENTENCIA_2025_26" w:history="1">
        <w:r w:rsidRPr="00C72046">
          <w:rPr>
            <w:rStyle w:val="TextoNormalCaracter"/>
          </w:rPr>
          <w:t>26/2025</w:t>
        </w:r>
      </w:hyperlink>
      <w:r w:rsidRPr="00C72046">
        <w:rPr>
          <w:rStyle w:val="TextoNormalCaracter"/>
        </w:rPr>
        <w:t xml:space="preserve">, f. 5, VP II; </w:t>
      </w:r>
      <w:hyperlink w:anchor="SENTENCIA_2025_64" w:history="1">
        <w:r w:rsidRPr="00C72046">
          <w:rPr>
            <w:rStyle w:val="TextoNormalCaracter"/>
          </w:rPr>
          <w:t>64/2025</w:t>
        </w:r>
      </w:hyperlink>
      <w:r w:rsidRPr="00C72046">
        <w:rPr>
          <w:rStyle w:val="TextoNormalCaracter"/>
        </w:rPr>
        <w:t>, f. 4, VP.</w:t>
      </w:r>
    </w:p>
    <w:p w14:paraId="17F4E363" w14:textId="23792184" w:rsidR="00C72046" w:rsidRPr="00C72046" w:rsidRDefault="00C72046" w:rsidP="00C72046">
      <w:pPr>
        <w:pStyle w:val="TextoNormalSangraFrancesa"/>
        <w:rPr>
          <w:rStyle w:val="TextoNormalCaracter"/>
        </w:rPr>
      </w:pPr>
      <w:bookmarkStart w:id="901" w:name="DESCRIPTORALFABETICO48"/>
      <w:r w:rsidRPr="00C72046">
        <w:rPr>
          <w:rStyle w:val="TextoNormalNegritaCaracter"/>
        </w:rPr>
        <w:t>Derecho de representación política</w:t>
      </w:r>
      <w:bookmarkEnd w:id="901"/>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ff. 1 a 6.</w:t>
      </w:r>
    </w:p>
    <w:p w14:paraId="7302C63A" w14:textId="550CD6C2"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Sentencias </w:t>
      </w:r>
      <w:hyperlink w:anchor="SENTENCIA_2025_52" w:history="1">
        <w:r w:rsidRPr="00C72046">
          <w:rPr>
            <w:rStyle w:val="TextoNormalCaracter"/>
          </w:rPr>
          <w:t>52/2025</w:t>
        </w:r>
      </w:hyperlink>
      <w:r w:rsidRPr="00C72046">
        <w:rPr>
          <w:rStyle w:val="TextoNormalCaracter"/>
        </w:rPr>
        <w:t xml:space="preserve">, f. único; </w:t>
      </w:r>
      <w:hyperlink w:anchor="SENTENCIA_2025_53" w:history="1">
        <w:r w:rsidRPr="00C72046">
          <w:rPr>
            <w:rStyle w:val="TextoNormalCaracter"/>
          </w:rPr>
          <w:t>53/2025</w:t>
        </w:r>
      </w:hyperlink>
      <w:r w:rsidRPr="00C72046">
        <w:rPr>
          <w:rStyle w:val="TextoNormalCaracter"/>
        </w:rPr>
        <w:t>, f. único.</w:t>
      </w:r>
    </w:p>
    <w:p w14:paraId="7937D659" w14:textId="67CD2E9D" w:rsidR="00C72046" w:rsidRPr="00C72046" w:rsidRDefault="00C72046" w:rsidP="00C72046">
      <w:pPr>
        <w:pStyle w:val="TextoNormalSangraFrancesa"/>
        <w:rPr>
          <w:rStyle w:val="TextoNormalCaracter"/>
        </w:rPr>
      </w:pPr>
      <w:bookmarkStart w:id="902" w:name="DESCRIPTORALFABETICO114"/>
      <w:r w:rsidRPr="00C72046">
        <w:rPr>
          <w:rStyle w:val="TextoNormalNegritaCaracter"/>
        </w:rPr>
        <w:t>Derecho de reunión</w:t>
      </w:r>
      <w:bookmarkEnd w:id="902"/>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ff. 2 y 3.</w:t>
      </w:r>
    </w:p>
    <w:p w14:paraId="699B356F" w14:textId="1BF7AD8E" w:rsidR="00C72046" w:rsidRPr="00C72046" w:rsidRDefault="00C72046" w:rsidP="00C72046">
      <w:pPr>
        <w:pStyle w:val="TextoNormalSangraFrancesa"/>
        <w:rPr>
          <w:rStyle w:val="TextoNormalCaracter"/>
        </w:rPr>
      </w:pPr>
      <w:bookmarkStart w:id="903" w:name="DESCRIPTORALFABETICO115"/>
      <w:r w:rsidRPr="00C72046">
        <w:rPr>
          <w:rStyle w:val="TextoNormalNegritaCaracter"/>
        </w:rPr>
        <w:t>Derechos de configuración legal</w:t>
      </w:r>
      <w:bookmarkEnd w:id="903"/>
      <w:r w:rsidRPr="00C72046">
        <w:rPr>
          <w:rStyle w:val="TextoNormalCaracter"/>
        </w:rPr>
        <w:t xml:space="preserve">, Sentencia </w:t>
      </w:r>
      <w:hyperlink w:anchor="SENTENCIA_2025_134" w:history="1">
        <w:r w:rsidRPr="00C72046">
          <w:rPr>
            <w:rStyle w:val="TextoNormalCaracter"/>
          </w:rPr>
          <w:t>134/2025</w:t>
        </w:r>
      </w:hyperlink>
      <w:r w:rsidRPr="00C72046">
        <w:rPr>
          <w:rStyle w:val="TextoNormalCaracter"/>
        </w:rPr>
        <w:t>, ff. 2 y 3.</w:t>
      </w:r>
    </w:p>
    <w:p w14:paraId="0ECF5C24" w14:textId="738FFA67" w:rsidR="00C72046" w:rsidRPr="00C72046" w:rsidRDefault="00C72046" w:rsidP="00C72046">
      <w:pPr>
        <w:pStyle w:val="TextoNormalSangraFrancesa"/>
        <w:rPr>
          <w:rStyle w:val="TextoNormalCaracter"/>
        </w:rPr>
      </w:pPr>
      <w:bookmarkStart w:id="904" w:name="DESCRIPTORALFABETICO353"/>
      <w:r w:rsidRPr="00C72046">
        <w:rPr>
          <w:rStyle w:val="TextoNormalNegritaCaracter"/>
        </w:rPr>
        <w:t>Desacuerdo en el ejercicio de la patria potestad</w:t>
      </w:r>
      <w:bookmarkEnd w:id="904"/>
      <w:r w:rsidRPr="00C72046">
        <w:rPr>
          <w:rStyle w:val="TextoNormalCaracter"/>
        </w:rPr>
        <w:t xml:space="preserve">, Sentencia </w:t>
      </w:r>
      <w:hyperlink w:anchor="SENTENCIA_2025_119" w:history="1">
        <w:r w:rsidRPr="00C72046">
          <w:rPr>
            <w:rStyle w:val="TextoNormalCaracter"/>
          </w:rPr>
          <w:t>119/2025</w:t>
        </w:r>
      </w:hyperlink>
      <w:r w:rsidRPr="00C72046">
        <w:rPr>
          <w:rStyle w:val="TextoNormalCaracter"/>
        </w:rPr>
        <w:t>, ff. 3 a 7.</w:t>
      </w:r>
    </w:p>
    <w:p w14:paraId="48D61EB5" w14:textId="1BF7F5E7" w:rsidR="00C72046" w:rsidRPr="00C72046" w:rsidRDefault="00C72046" w:rsidP="00C72046">
      <w:pPr>
        <w:pStyle w:val="TextoNormalSangraFrancesa"/>
        <w:rPr>
          <w:rStyle w:val="TextoNormalCaracter"/>
        </w:rPr>
      </w:pPr>
      <w:bookmarkStart w:id="905" w:name="DESCRIPTORALFABETICO223"/>
      <w:r w:rsidRPr="00C72046">
        <w:rPr>
          <w:rStyle w:val="TextoNormalNegritaCaracter"/>
        </w:rPr>
        <w:t>Desestimación de incidente de ejecución de sentencias de amparo</w:t>
      </w:r>
      <w:bookmarkEnd w:id="905"/>
      <w:r w:rsidRPr="00C72046">
        <w:rPr>
          <w:rStyle w:val="TextoNormalCaracter"/>
        </w:rPr>
        <w:t xml:space="preserve">, Auto </w:t>
      </w:r>
      <w:hyperlink w:anchor="AUTO_2025_54" w:history="1">
        <w:r w:rsidRPr="00C72046">
          <w:rPr>
            <w:rStyle w:val="TextoNormalCaracter"/>
          </w:rPr>
          <w:t>54/2025</w:t>
        </w:r>
      </w:hyperlink>
      <w:r w:rsidRPr="00C72046">
        <w:rPr>
          <w:rStyle w:val="TextoNormalCaracter"/>
        </w:rPr>
        <w:t>, f. 3.</w:t>
      </w:r>
    </w:p>
    <w:p w14:paraId="2C55811B" w14:textId="20701CC3" w:rsidR="00C72046" w:rsidRPr="00C72046" w:rsidRDefault="00C72046" w:rsidP="00C72046">
      <w:pPr>
        <w:pStyle w:val="TextoNormalSangraFrancesa"/>
        <w:rPr>
          <w:rStyle w:val="TextoNormalCaracter"/>
        </w:rPr>
      </w:pPr>
      <w:bookmarkStart w:id="906" w:name="DESCRIPTORALFABETICO173"/>
      <w:r w:rsidRPr="00C72046">
        <w:rPr>
          <w:rStyle w:val="TextoNormalNegritaCaracter"/>
        </w:rPr>
        <w:t>Desestimación de recurso de súplica contra Autos del Tribunal Constitucional</w:t>
      </w:r>
      <w:bookmarkEnd w:id="906"/>
      <w:r w:rsidRPr="00C72046">
        <w:rPr>
          <w:rStyle w:val="TextoNormalCaracter"/>
        </w:rPr>
        <w:t xml:space="preserve">, Auto </w:t>
      </w:r>
      <w:hyperlink w:anchor="AUTO_2025_35" w:history="1">
        <w:r w:rsidRPr="00C72046">
          <w:rPr>
            <w:rStyle w:val="TextoNormalCaracter"/>
          </w:rPr>
          <w:t>35/2025</w:t>
        </w:r>
      </w:hyperlink>
      <w:r w:rsidRPr="00C72046">
        <w:rPr>
          <w:rStyle w:val="TextoNormalCaracter"/>
        </w:rPr>
        <w:t>, ff. 6 y 7.</w:t>
      </w:r>
    </w:p>
    <w:p w14:paraId="21727A54" w14:textId="77777777" w:rsidR="00C72046" w:rsidRPr="00C72046" w:rsidRDefault="00C72046" w:rsidP="00C72046">
      <w:pPr>
        <w:pStyle w:val="TextoNormalSangraFrancesa"/>
        <w:rPr>
          <w:rStyle w:val="TextoNormalCaracter"/>
        </w:rPr>
      </w:pPr>
      <w:bookmarkStart w:id="907" w:name="DESCRIPTORALFABETICO177"/>
      <w:r w:rsidRPr="00C72046">
        <w:rPr>
          <w:rStyle w:val="TextoNormalNegritaCaracter"/>
        </w:rPr>
        <w:t>Desistimiento en el recurso de amparo</w:t>
      </w:r>
      <w:bookmarkEnd w:id="907"/>
      <w:r w:rsidRPr="00C72046">
        <w:rPr>
          <w:rStyle w:val="TextoNormalCaracter"/>
        </w:rPr>
        <w:t xml:space="preserve">, </w:t>
      </w:r>
    </w:p>
    <w:p w14:paraId="71988B27" w14:textId="66DC6604" w:rsidR="00C72046" w:rsidRPr="00C72046" w:rsidRDefault="00C72046" w:rsidP="00C72046">
      <w:pPr>
        <w:pStyle w:val="TextoNormalSangraFrancesa"/>
        <w:rPr>
          <w:rStyle w:val="TextoNormalCaracter"/>
        </w:rPr>
      </w:pPr>
      <w:r w:rsidRPr="00C72046">
        <w:rPr>
          <w:rStyle w:val="TextoNormalCursivaCaracter"/>
        </w:rPr>
        <w:t xml:space="preserve">    Procedencia, </w:t>
      </w:r>
      <w:r w:rsidRPr="00C72046">
        <w:rPr>
          <w:rStyle w:val="TextoNormalCaracter"/>
        </w:rPr>
        <w:t xml:space="preserve">Auto </w:t>
      </w:r>
      <w:hyperlink w:anchor="AUTO_2025_2" w:history="1">
        <w:r w:rsidRPr="00C72046">
          <w:rPr>
            <w:rStyle w:val="TextoNormalCaracter"/>
          </w:rPr>
          <w:t>2/2025</w:t>
        </w:r>
      </w:hyperlink>
      <w:r w:rsidRPr="00C72046">
        <w:rPr>
          <w:rStyle w:val="TextoNormalCaracter"/>
        </w:rPr>
        <w:t>, f. único.</w:t>
      </w:r>
    </w:p>
    <w:p w14:paraId="13E3D609" w14:textId="703D3811" w:rsidR="00C72046" w:rsidRPr="00C72046" w:rsidRDefault="00C72046" w:rsidP="00C72046">
      <w:pPr>
        <w:pStyle w:val="TextoNormalSangraFrancesa"/>
        <w:rPr>
          <w:rStyle w:val="TextoNormalCaracter"/>
        </w:rPr>
      </w:pPr>
      <w:bookmarkStart w:id="908" w:name="DESCRIPTORALFABETICO473"/>
      <w:r w:rsidRPr="00C72046">
        <w:rPr>
          <w:rStyle w:val="TextoNormalNegritaCaracter"/>
        </w:rPr>
        <w:t>Detención incomunicada</w:t>
      </w:r>
      <w:bookmarkEnd w:id="908"/>
      <w:r w:rsidRPr="00C72046">
        <w:rPr>
          <w:rStyle w:val="TextoNormalCaracter"/>
        </w:rPr>
        <w:t xml:space="preserve">, Auto </w:t>
      </w:r>
      <w:hyperlink w:anchor="AUTO_2025_28" w:history="1">
        <w:r w:rsidRPr="00C72046">
          <w:rPr>
            <w:rStyle w:val="TextoNormalCaracter"/>
          </w:rPr>
          <w:t>28/2025</w:t>
        </w:r>
      </w:hyperlink>
      <w:r w:rsidRPr="00C72046">
        <w:rPr>
          <w:rStyle w:val="TextoNormalCaracter"/>
        </w:rPr>
        <w:t>, ff. 2 a 4, VP I.</w:t>
      </w:r>
    </w:p>
    <w:p w14:paraId="3D592A14" w14:textId="4C39AE29" w:rsidR="00C72046" w:rsidRPr="00C72046" w:rsidRDefault="00C72046" w:rsidP="00C72046">
      <w:pPr>
        <w:pStyle w:val="TextoNormalSangraFrancesa"/>
        <w:rPr>
          <w:rStyle w:val="TextoNormalCaracter"/>
        </w:rPr>
      </w:pPr>
      <w:bookmarkStart w:id="909" w:name="DESCRIPTORALFABETICO214"/>
      <w:r w:rsidRPr="00C72046">
        <w:rPr>
          <w:rStyle w:val="TextoNormalNegritaCaracter"/>
        </w:rPr>
        <w:t>Determinación del contenido y alcance de los derechos fundamentales</w:t>
      </w:r>
      <w:bookmarkEnd w:id="909"/>
      <w:r w:rsidRPr="00C72046">
        <w:rPr>
          <w:rStyle w:val="TextoNormalCaracter"/>
        </w:rPr>
        <w:t xml:space="preserve">, Sentencia </w:t>
      </w:r>
      <w:hyperlink w:anchor="SENTENCIA_2025_28" w:history="1">
        <w:r w:rsidRPr="00C72046">
          <w:rPr>
            <w:rStyle w:val="TextoNormalCaracter"/>
          </w:rPr>
          <w:t>28/2025</w:t>
        </w:r>
      </w:hyperlink>
      <w:r w:rsidRPr="00C72046">
        <w:rPr>
          <w:rStyle w:val="TextoNormalCaracter"/>
        </w:rPr>
        <w:t>, ff. 4 y 5.</w:t>
      </w:r>
    </w:p>
    <w:p w14:paraId="42C218C1" w14:textId="7A285987" w:rsidR="00C72046" w:rsidRPr="00C72046" w:rsidRDefault="00C72046" w:rsidP="00C72046">
      <w:pPr>
        <w:pStyle w:val="TextoNormalSangraFrancesa"/>
        <w:rPr>
          <w:rStyle w:val="TextoNormalCaracter"/>
        </w:rPr>
      </w:pPr>
      <w:bookmarkStart w:id="910" w:name="DESCRIPTORALFABETICO427"/>
      <w:r w:rsidRPr="00C72046">
        <w:rPr>
          <w:rStyle w:val="TextoNormalNegritaCaracter"/>
        </w:rPr>
        <w:t>Diligencia del órgano judicial en la averiguación del domicilio</w:t>
      </w:r>
      <w:bookmarkEnd w:id="910"/>
      <w:r w:rsidRPr="00C72046">
        <w:rPr>
          <w:rStyle w:val="TextoNormalCaracter"/>
        </w:rPr>
        <w:t xml:space="preserve">, Sentencias </w:t>
      </w:r>
      <w:hyperlink w:anchor="SENTENCIA_2025_2" w:history="1">
        <w:r w:rsidRPr="00C72046">
          <w:rPr>
            <w:rStyle w:val="TextoNormalCaracter"/>
          </w:rPr>
          <w:t>2/2025</w:t>
        </w:r>
      </w:hyperlink>
      <w:r w:rsidRPr="00C72046">
        <w:rPr>
          <w:rStyle w:val="TextoNormalCaracter"/>
        </w:rPr>
        <w:t xml:space="preserve">, f. 3; </w:t>
      </w:r>
      <w:hyperlink w:anchor="SENTENCIA_2025_99" w:history="1">
        <w:r w:rsidRPr="00C72046">
          <w:rPr>
            <w:rStyle w:val="TextoNormalCaracter"/>
          </w:rPr>
          <w:t>99/2025</w:t>
        </w:r>
      </w:hyperlink>
      <w:r w:rsidRPr="00C72046">
        <w:rPr>
          <w:rStyle w:val="TextoNormalCaracter"/>
        </w:rPr>
        <w:t>, f. 2.</w:t>
      </w:r>
    </w:p>
    <w:p w14:paraId="2ED18821" w14:textId="0DC6B416" w:rsidR="00C72046" w:rsidRPr="00C72046" w:rsidRDefault="00C72046" w:rsidP="00C72046">
      <w:pPr>
        <w:pStyle w:val="TextoNormalSangraFrancesa"/>
        <w:rPr>
          <w:rStyle w:val="TextoNormalCaracter"/>
        </w:rPr>
      </w:pPr>
      <w:bookmarkStart w:id="911" w:name="DESCRIPTORALFABETICO267"/>
      <w:r w:rsidRPr="00C72046">
        <w:rPr>
          <w:rStyle w:val="TextoNormalNegritaCaracter"/>
        </w:rPr>
        <w:t>Diputación permanente</w:t>
      </w:r>
      <w:bookmarkEnd w:id="911"/>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 1; </w:t>
      </w:r>
      <w:hyperlink w:anchor="SENTENCIA_2025_52" w:history="1">
        <w:r w:rsidRPr="00C72046">
          <w:rPr>
            <w:rStyle w:val="TextoNormalCaracter"/>
          </w:rPr>
          <w:t>52/2025</w:t>
        </w:r>
      </w:hyperlink>
      <w:r w:rsidRPr="00C72046">
        <w:rPr>
          <w:rStyle w:val="TextoNormalCaracter"/>
        </w:rPr>
        <w:t xml:space="preserve">, f. único; </w:t>
      </w:r>
      <w:hyperlink w:anchor="SENTENCIA_2025_53" w:history="1">
        <w:r w:rsidRPr="00C72046">
          <w:rPr>
            <w:rStyle w:val="TextoNormalCaracter"/>
          </w:rPr>
          <w:t>53/2025</w:t>
        </w:r>
      </w:hyperlink>
      <w:r w:rsidRPr="00C72046">
        <w:rPr>
          <w:rStyle w:val="TextoNormalCaracter"/>
        </w:rPr>
        <w:t>, f. único.</w:t>
      </w:r>
    </w:p>
    <w:p w14:paraId="527BDE0D" w14:textId="740C3135" w:rsidR="00C72046" w:rsidRPr="00C72046" w:rsidRDefault="00C72046" w:rsidP="00C72046">
      <w:pPr>
        <w:pStyle w:val="TextoNormalSangraFrancesa"/>
        <w:rPr>
          <w:rStyle w:val="TextoNormalCaracter"/>
        </w:rPr>
      </w:pPr>
      <w:bookmarkStart w:id="912" w:name="DESCRIPTORALFABETICO274"/>
      <w:r w:rsidRPr="00C72046">
        <w:rPr>
          <w:rStyle w:val="TextoNormalNegritaCaracter"/>
        </w:rPr>
        <w:t>Diputados autonómicos</w:t>
      </w:r>
      <w:bookmarkEnd w:id="912"/>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 3, VP I, VP III; </w:t>
      </w:r>
      <w:hyperlink w:anchor="SENTENCIA_2025_120" w:history="1">
        <w:r w:rsidRPr="00C72046">
          <w:rPr>
            <w:rStyle w:val="TextoNormalCaracter"/>
          </w:rPr>
          <w:t>120/2025</w:t>
        </w:r>
      </w:hyperlink>
      <w:r w:rsidRPr="00C72046">
        <w:rPr>
          <w:rStyle w:val="TextoNormalCaracter"/>
        </w:rPr>
        <w:t>, ff. 1 a 6.</w:t>
      </w:r>
    </w:p>
    <w:p w14:paraId="78CED2C9" w14:textId="0A96C6AD" w:rsidR="00C72046" w:rsidRPr="00C72046" w:rsidRDefault="00C72046" w:rsidP="00C72046">
      <w:pPr>
        <w:pStyle w:val="TextoNormalSangraFrancesa"/>
        <w:rPr>
          <w:rStyle w:val="TextoNormalCaracter"/>
        </w:rPr>
      </w:pPr>
      <w:bookmarkStart w:id="913" w:name="DESCRIPTORALFABETICO98"/>
      <w:r w:rsidRPr="00C72046">
        <w:rPr>
          <w:rStyle w:val="TextoNormalNegritaCaracter"/>
        </w:rPr>
        <w:t>Discriminación por razón de nacimiento</w:t>
      </w:r>
      <w:bookmarkEnd w:id="913"/>
      <w:r w:rsidRPr="00C72046">
        <w:rPr>
          <w:rStyle w:val="TextoNormalCaracter"/>
        </w:rPr>
        <w:t xml:space="preserve">, Sentencias </w:t>
      </w:r>
      <w:hyperlink w:anchor="SENTENCIA_2025_4" w:history="1">
        <w:r w:rsidRPr="00C72046">
          <w:rPr>
            <w:rStyle w:val="TextoNormalCaracter"/>
          </w:rPr>
          <w:t>4/2025</w:t>
        </w:r>
      </w:hyperlink>
      <w:r w:rsidRPr="00C72046">
        <w:rPr>
          <w:rStyle w:val="TextoNormalCaracter"/>
        </w:rPr>
        <w:t xml:space="preserve">, f. 3; </w:t>
      </w:r>
      <w:hyperlink w:anchor="SENTENCIA_2025_5" w:history="1">
        <w:r w:rsidRPr="00C72046">
          <w:rPr>
            <w:rStyle w:val="TextoNormalCaracter"/>
          </w:rPr>
          <w:t>5/2025</w:t>
        </w:r>
      </w:hyperlink>
      <w:r w:rsidRPr="00C72046">
        <w:rPr>
          <w:rStyle w:val="TextoNormalCaracter"/>
        </w:rPr>
        <w:t xml:space="preserve">, f. único;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xml:space="preserve">, f. 3; </w:t>
      </w:r>
      <w:hyperlink w:anchor="SENTENCIA_2025_11" w:history="1">
        <w:r w:rsidRPr="00C72046">
          <w:rPr>
            <w:rStyle w:val="TextoNormalCaracter"/>
          </w:rPr>
          <w:t>11/2025</w:t>
        </w:r>
      </w:hyperlink>
      <w:r w:rsidRPr="00C72046">
        <w:rPr>
          <w:rStyle w:val="TextoNormalCaracter"/>
        </w:rPr>
        <w:t xml:space="preserve">, f. 2; </w:t>
      </w:r>
      <w:hyperlink w:anchor="SENTENCIA_2025_17" w:history="1">
        <w:r w:rsidRPr="00C72046">
          <w:rPr>
            <w:rStyle w:val="TextoNormalCaracter"/>
          </w:rPr>
          <w:t>17/2025</w:t>
        </w:r>
      </w:hyperlink>
      <w:r w:rsidRPr="00C72046">
        <w:rPr>
          <w:rStyle w:val="TextoNormalCaracter"/>
        </w:rPr>
        <w:t xml:space="preserve">, f. único; </w:t>
      </w:r>
      <w:hyperlink w:anchor="SENTENCIA_2025_18" w:history="1">
        <w:r w:rsidRPr="00C72046">
          <w:rPr>
            <w:rStyle w:val="TextoNormalCaracter"/>
          </w:rPr>
          <w:t>18/2025</w:t>
        </w:r>
      </w:hyperlink>
      <w:r w:rsidRPr="00C72046">
        <w:rPr>
          <w:rStyle w:val="TextoNormalCaracter"/>
        </w:rPr>
        <w:t xml:space="preserve">, f. único; </w:t>
      </w:r>
      <w:hyperlink w:anchor="SENTENCIA_2025_19" w:history="1">
        <w:r w:rsidRPr="00C72046">
          <w:rPr>
            <w:rStyle w:val="TextoNormalCaracter"/>
          </w:rPr>
          <w:t>19/2025</w:t>
        </w:r>
      </w:hyperlink>
      <w:r w:rsidRPr="00C72046">
        <w:rPr>
          <w:rStyle w:val="TextoNormalCaracter"/>
        </w:rPr>
        <w:t xml:space="preserve">, f. único; </w:t>
      </w:r>
      <w:hyperlink w:anchor="SENTENCIA_2025_20" w:history="1">
        <w:r w:rsidRPr="00C72046">
          <w:rPr>
            <w:rStyle w:val="TextoNormalCaracter"/>
          </w:rPr>
          <w:t>20/2025</w:t>
        </w:r>
      </w:hyperlink>
      <w:r w:rsidRPr="00C72046">
        <w:rPr>
          <w:rStyle w:val="TextoNormalCaracter"/>
        </w:rPr>
        <w:t xml:space="preserve">, f. único; </w:t>
      </w:r>
      <w:hyperlink w:anchor="SENTENCIA_2025_21" w:history="1">
        <w:r w:rsidRPr="00C72046">
          <w:rPr>
            <w:rStyle w:val="TextoNormalCaracter"/>
          </w:rPr>
          <w:t>21/2025</w:t>
        </w:r>
      </w:hyperlink>
      <w:r w:rsidRPr="00C72046">
        <w:rPr>
          <w:rStyle w:val="TextoNormalCaracter"/>
        </w:rPr>
        <w:t xml:space="preserve">, f. 2; </w:t>
      </w:r>
      <w:hyperlink w:anchor="SENTENCIA_2025_23" w:history="1">
        <w:r w:rsidRPr="00C72046">
          <w:rPr>
            <w:rStyle w:val="TextoNormalCaracter"/>
          </w:rPr>
          <w:t>23/2025</w:t>
        </w:r>
      </w:hyperlink>
      <w:r w:rsidRPr="00C72046">
        <w:rPr>
          <w:rStyle w:val="TextoNormalCaracter"/>
        </w:rPr>
        <w:t xml:space="preserve">, f. 2; </w:t>
      </w:r>
      <w:hyperlink w:anchor="SENTENCIA_2025_24" w:history="1">
        <w:r w:rsidRPr="00C72046">
          <w:rPr>
            <w:rStyle w:val="TextoNormalCaracter"/>
          </w:rPr>
          <w:t>24/2025</w:t>
        </w:r>
      </w:hyperlink>
      <w:r w:rsidRPr="00C72046">
        <w:rPr>
          <w:rStyle w:val="TextoNormalCaracter"/>
        </w:rPr>
        <w:t xml:space="preserve">, f. 2; </w:t>
      </w:r>
      <w:hyperlink w:anchor="SENTENCIA_2025_29" w:history="1">
        <w:r w:rsidRPr="00C72046">
          <w:rPr>
            <w:rStyle w:val="TextoNormalCaracter"/>
          </w:rPr>
          <w:t>29/2025</w:t>
        </w:r>
      </w:hyperlink>
      <w:r w:rsidRPr="00C72046">
        <w:rPr>
          <w:rStyle w:val="TextoNormalCaracter"/>
        </w:rPr>
        <w:t xml:space="preserve">, f. único; </w:t>
      </w:r>
      <w:hyperlink w:anchor="SENTENCIA_2025_30" w:history="1">
        <w:r w:rsidRPr="00C72046">
          <w:rPr>
            <w:rStyle w:val="TextoNormalCaracter"/>
          </w:rPr>
          <w:t>30/2025</w:t>
        </w:r>
      </w:hyperlink>
      <w:r w:rsidRPr="00C72046">
        <w:rPr>
          <w:rStyle w:val="TextoNormalCaracter"/>
        </w:rPr>
        <w:t xml:space="preserve">, f. 2; </w:t>
      </w:r>
      <w:hyperlink w:anchor="SENTENCIA_2025_32" w:history="1">
        <w:r w:rsidRPr="00C72046">
          <w:rPr>
            <w:rStyle w:val="TextoNormalCaracter"/>
          </w:rPr>
          <w:t>32/2025</w:t>
        </w:r>
      </w:hyperlink>
      <w:r w:rsidRPr="00C72046">
        <w:rPr>
          <w:rStyle w:val="TextoNormalCaracter"/>
        </w:rPr>
        <w:t xml:space="preserve">, f. 2; </w:t>
      </w:r>
      <w:hyperlink w:anchor="SENTENCIA_2025_33" w:history="1">
        <w:r w:rsidRPr="00C72046">
          <w:rPr>
            <w:rStyle w:val="TextoNormalCaracter"/>
          </w:rPr>
          <w:t>33/2025</w:t>
        </w:r>
      </w:hyperlink>
      <w:r w:rsidRPr="00C72046">
        <w:rPr>
          <w:rStyle w:val="TextoNormalCaracter"/>
        </w:rPr>
        <w:t xml:space="preserve">, f. 2; </w:t>
      </w:r>
      <w:hyperlink w:anchor="SENTENCIA_2025_34" w:history="1">
        <w:r w:rsidRPr="00C72046">
          <w:rPr>
            <w:rStyle w:val="TextoNormalCaracter"/>
          </w:rPr>
          <w:t>34/2025</w:t>
        </w:r>
      </w:hyperlink>
      <w:r w:rsidRPr="00C72046">
        <w:rPr>
          <w:rStyle w:val="TextoNormalCaracter"/>
        </w:rPr>
        <w:t xml:space="preserve">, f. único; </w:t>
      </w:r>
      <w:hyperlink w:anchor="SENTENCIA_2025_35" w:history="1">
        <w:r w:rsidRPr="00C72046">
          <w:rPr>
            <w:rStyle w:val="TextoNormalCaracter"/>
          </w:rPr>
          <w:t>35/2025</w:t>
        </w:r>
      </w:hyperlink>
      <w:r w:rsidRPr="00C72046">
        <w:rPr>
          <w:rStyle w:val="TextoNormalCaracter"/>
        </w:rPr>
        <w:t xml:space="preserve">, f. 2; </w:t>
      </w:r>
      <w:hyperlink w:anchor="SENTENCIA_2025_38" w:history="1">
        <w:r w:rsidRPr="00C72046">
          <w:rPr>
            <w:rStyle w:val="TextoNormalCaracter"/>
          </w:rPr>
          <w:t>38/2025</w:t>
        </w:r>
      </w:hyperlink>
      <w:r w:rsidRPr="00C72046">
        <w:rPr>
          <w:rStyle w:val="TextoNormalCaracter"/>
        </w:rPr>
        <w:t xml:space="preserve">, f. 2; </w:t>
      </w:r>
      <w:hyperlink w:anchor="SENTENCIA_2025_39" w:history="1">
        <w:r w:rsidRPr="00C72046">
          <w:rPr>
            <w:rStyle w:val="TextoNormalCaracter"/>
          </w:rPr>
          <w:t>39/2025</w:t>
        </w:r>
      </w:hyperlink>
      <w:r w:rsidRPr="00C72046">
        <w:rPr>
          <w:rStyle w:val="TextoNormalCaracter"/>
        </w:rPr>
        <w:t xml:space="preserve">, f. 2; </w:t>
      </w:r>
      <w:hyperlink w:anchor="SENTENCIA_2025_46" w:history="1">
        <w:r w:rsidRPr="00C72046">
          <w:rPr>
            <w:rStyle w:val="TextoNormalCaracter"/>
          </w:rPr>
          <w:t>46/2025</w:t>
        </w:r>
      </w:hyperlink>
      <w:r w:rsidRPr="00C72046">
        <w:rPr>
          <w:rStyle w:val="TextoNormalCaracter"/>
        </w:rPr>
        <w:t xml:space="preserve">, f. único; </w:t>
      </w:r>
      <w:hyperlink w:anchor="SENTENCIA_2025_47" w:history="1">
        <w:r w:rsidRPr="00C72046">
          <w:rPr>
            <w:rStyle w:val="TextoNormalCaracter"/>
          </w:rPr>
          <w:t>47/2025</w:t>
        </w:r>
      </w:hyperlink>
      <w:r w:rsidRPr="00C72046">
        <w:rPr>
          <w:rStyle w:val="TextoNormalCaracter"/>
        </w:rPr>
        <w:t xml:space="preserve">, f. 2; </w:t>
      </w:r>
      <w:hyperlink w:anchor="SENTENCIA_2025_56" w:history="1">
        <w:r w:rsidRPr="00C72046">
          <w:rPr>
            <w:rStyle w:val="TextoNormalCaracter"/>
          </w:rPr>
          <w:t>56/2025</w:t>
        </w:r>
      </w:hyperlink>
      <w:r w:rsidRPr="00C72046">
        <w:rPr>
          <w:rStyle w:val="TextoNormalCaracter"/>
        </w:rPr>
        <w:t xml:space="preserve">, f. 2; </w:t>
      </w:r>
      <w:hyperlink w:anchor="SENTENCIA_2025_57" w:history="1">
        <w:r w:rsidRPr="00C72046">
          <w:rPr>
            <w:rStyle w:val="TextoNormalCaracter"/>
          </w:rPr>
          <w:t>57/2025</w:t>
        </w:r>
      </w:hyperlink>
      <w:r w:rsidRPr="00C72046">
        <w:rPr>
          <w:rStyle w:val="TextoNormalCaracter"/>
        </w:rPr>
        <w:t xml:space="preserve">, f. 2; </w:t>
      </w:r>
      <w:hyperlink w:anchor="SENTENCIA_2025_58" w:history="1">
        <w:r w:rsidRPr="00C72046">
          <w:rPr>
            <w:rStyle w:val="TextoNormalCaracter"/>
          </w:rPr>
          <w:t>58/2025</w:t>
        </w:r>
      </w:hyperlink>
      <w:r w:rsidRPr="00C72046">
        <w:rPr>
          <w:rStyle w:val="TextoNormalCaracter"/>
        </w:rPr>
        <w:t xml:space="preserve">, f. 2; </w:t>
      </w:r>
      <w:hyperlink w:anchor="SENTENCIA_2025_59" w:history="1">
        <w:r w:rsidRPr="00C72046">
          <w:rPr>
            <w:rStyle w:val="TextoNormalCaracter"/>
          </w:rPr>
          <w:t>59/2025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65" w:history="1">
        <w:r w:rsidRPr="00C72046">
          <w:rPr>
            <w:rStyle w:val="TextoNormalCaracter"/>
          </w:rPr>
          <w:t>65/2025</w:t>
        </w:r>
      </w:hyperlink>
      <w:r w:rsidRPr="00C72046">
        <w:rPr>
          <w:rStyle w:val="TextoNormalCaracter"/>
        </w:rPr>
        <w:t xml:space="preserve">, f. único; </w:t>
      </w:r>
      <w:hyperlink w:anchor="SENTENCIA_2025_66" w:history="1">
        <w:r w:rsidRPr="00C72046">
          <w:rPr>
            <w:rStyle w:val="TextoNormalCaracter"/>
          </w:rPr>
          <w:t>66/2025</w:t>
        </w:r>
      </w:hyperlink>
      <w:r w:rsidRPr="00C72046">
        <w:rPr>
          <w:rStyle w:val="TextoNormalCaracter"/>
        </w:rPr>
        <w:t xml:space="preserve">, f. 2; </w:t>
      </w:r>
      <w:hyperlink w:anchor="SENTENCIA_2025_67" w:history="1">
        <w:r w:rsidRPr="00C72046">
          <w:rPr>
            <w:rStyle w:val="TextoNormalCaracter"/>
          </w:rPr>
          <w:t>67/2025</w:t>
        </w:r>
      </w:hyperlink>
      <w:r w:rsidRPr="00C72046">
        <w:rPr>
          <w:rStyle w:val="TextoNormalCaracter"/>
        </w:rPr>
        <w:t xml:space="preserve">, f. 2; </w:t>
      </w:r>
      <w:hyperlink w:anchor="SENTENCIA_2025_68" w:history="1">
        <w:r w:rsidRPr="00C72046">
          <w:rPr>
            <w:rStyle w:val="TextoNormalCaracter"/>
          </w:rPr>
          <w:t>68/2025</w:t>
        </w:r>
      </w:hyperlink>
      <w:r w:rsidRPr="00C72046">
        <w:rPr>
          <w:rStyle w:val="TextoNormalCaracter"/>
        </w:rPr>
        <w:t xml:space="preserve">, f. 2; </w:t>
      </w:r>
      <w:hyperlink w:anchor="SENTENCIA_2025_70" w:history="1">
        <w:r w:rsidRPr="00C72046">
          <w:rPr>
            <w:rStyle w:val="TextoNormalCaracter"/>
          </w:rPr>
          <w:t>70/2025</w:t>
        </w:r>
      </w:hyperlink>
      <w:r w:rsidRPr="00C72046">
        <w:rPr>
          <w:rStyle w:val="TextoNormalCaracter"/>
        </w:rPr>
        <w:t xml:space="preserve">, f. 2; </w:t>
      </w:r>
      <w:hyperlink w:anchor="SENTENCIA_2025_71" w:history="1">
        <w:r w:rsidRPr="00C72046">
          <w:rPr>
            <w:rStyle w:val="TextoNormalCaracter"/>
          </w:rPr>
          <w:t>71/2025</w:t>
        </w:r>
      </w:hyperlink>
      <w:r w:rsidRPr="00C72046">
        <w:rPr>
          <w:rStyle w:val="TextoNormalCaracter"/>
        </w:rPr>
        <w:t xml:space="preserve">, f. único; </w:t>
      </w:r>
      <w:hyperlink w:anchor="SENTENCIA_2025_72" w:history="1">
        <w:r w:rsidRPr="00C72046">
          <w:rPr>
            <w:rStyle w:val="TextoNormalCaracter"/>
          </w:rPr>
          <w:t>72/2025</w:t>
        </w:r>
      </w:hyperlink>
      <w:r w:rsidRPr="00C72046">
        <w:rPr>
          <w:rStyle w:val="TextoNormalCaracter"/>
        </w:rPr>
        <w:t xml:space="preserve">, f. único; </w:t>
      </w:r>
      <w:hyperlink w:anchor="SENTENCIA_2025_73" w:history="1">
        <w:r w:rsidRPr="00C72046">
          <w:rPr>
            <w:rStyle w:val="TextoNormalCaracter"/>
          </w:rPr>
          <w:t>73/2025</w:t>
        </w:r>
      </w:hyperlink>
      <w:r w:rsidRPr="00C72046">
        <w:rPr>
          <w:rStyle w:val="TextoNormalCaracter"/>
        </w:rPr>
        <w:t xml:space="preserve">, f. 2; </w:t>
      </w:r>
      <w:hyperlink w:anchor="SENTENCIA_2025_74" w:history="1">
        <w:r w:rsidRPr="00C72046">
          <w:rPr>
            <w:rStyle w:val="TextoNormalCaracter"/>
          </w:rPr>
          <w:t>74/2025</w:t>
        </w:r>
      </w:hyperlink>
      <w:r w:rsidRPr="00C72046">
        <w:rPr>
          <w:rStyle w:val="TextoNormalCaracter"/>
        </w:rPr>
        <w:t xml:space="preserve">, f. único; </w:t>
      </w:r>
      <w:hyperlink w:anchor="SENTENCIA_2025_75" w:history="1">
        <w:r w:rsidRPr="00C72046">
          <w:rPr>
            <w:rStyle w:val="TextoNormalCaracter"/>
          </w:rPr>
          <w:t>75/2025</w:t>
        </w:r>
      </w:hyperlink>
      <w:r w:rsidRPr="00C72046">
        <w:rPr>
          <w:rStyle w:val="TextoNormalCaracter"/>
        </w:rPr>
        <w:t xml:space="preserve">, f. único; </w:t>
      </w:r>
      <w:hyperlink w:anchor="SENTENCIA_2025_76" w:history="1">
        <w:r w:rsidRPr="00C72046">
          <w:rPr>
            <w:rStyle w:val="TextoNormalCaracter"/>
          </w:rPr>
          <w:t>76/2025</w:t>
        </w:r>
      </w:hyperlink>
      <w:r w:rsidRPr="00C72046">
        <w:rPr>
          <w:rStyle w:val="TextoNormalCaracter"/>
        </w:rPr>
        <w:t xml:space="preserve">, f. 2; </w:t>
      </w:r>
      <w:hyperlink w:anchor="SENTENCIA_2025_77" w:history="1">
        <w:r w:rsidRPr="00C72046">
          <w:rPr>
            <w:rStyle w:val="TextoNormalCaracter"/>
          </w:rPr>
          <w:t>77/2025</w:t>
        </w:r>
      </w:hyperlink>
      <w:r w:rsidRPr="00C72046">
        <w:rPr>
          <w:rStyle w:val="TextoNormalCaracter"/>
        </w:rPr>
        <w:t xml:space="preserve">, f. único; </w:t>
      </w:r>
      <w:hyperlink w:anchor="SENTENCIA_2025_78" w:history="1">
        <w:r w:rsidRPr="00C72046">
          <w:rPr>
            <w:rStyle w:val="TextoNormalCaracter"/>
          </w:rPr>
          <w:t>78/2025</w:t>
        </w:r>
      </w:hyperlink>
      <w:r w:rsidRPr="00C72046">
        <w:rPr>
          <w:rStyle w:val="TextoNormalCaracter"/>
        </w:rPr>
        <w:t xml:space="preserve">, f. único; </w:t>
      </w:r>
      <w:hyperlink w:anchor="SENTENCIA_2025_79" w:history="1">
        <w:r w:rsidRPr="00C72046">
          <w:rPr>
            <w:rStyle w:val="TextoNormalCaracter"/>
          </w:rPr>
          <w:t>79/2025</w:t>
        </w:r>
      </w:hyperlink>
      <w:r w:rsidRPr="00C72046">
        <w:rPr>
          <w:rStyle w:val="TextoNormalCaracter"/>
        </w:rPr>
        <w:t xml:space="preserve">, f. 3; </w:t>
      </w:r>
      <w:hyperlink w:anchor="SENTENCIA_2025_80" w:history="1">
        <w:r w:rsidRPr="00C72046">
          <w:rPr>
            <w:rStyle w:val="TextoNormalCaracter"/>
          </w:rPr>
          <w:t>80/2025</w:t>
        </w:r>
      </w:hyperlink>
      <w:r w:rsidRPr="00C72046">
        <w:rPr>
          <w:rStyle w:val="TextoNormalCaracter"/>
        </w:rPr>
        <w:t xml:space="preserve">, f. 2; </w:t>
      </w:r>
      <w:hyperlink w:anchor="SENTENCIA_2025_81" w:history="1">
        <w:r w:rsidRPr="00C72046">
          <w:rPr>
            <w:rStyle w:val="TextoNormalCaracter"/>
          </w:rPr>
          <w:t>81/2025</w:t>
        </w:r>
      </w:hyperlink>
      <w:r w:rsidRPr="00C72046">
        <w:rPr>
          <w:rStyle w:val="TextoNormalCaracter"/>
        </w:rPr>
        <w:t xml:space="preserve">, f. 2; </w:t>
      </w:r>
      <w:hyperlink w:anchor="SENTENCIA_2025_89" w:history="1">
        <w:r w:rsidRPr="00C72046">
          <w:rPr>
            <w:rStyle w:val="TextoNormalCaracter"/>
          </w:rPr>
          <w:t>89/2025</w:t>
        </w:r>
      </w:hyperlink>
      <w:r w:rsidRPr="00C72046">
        <w:rPr>
          <w:rStyle w:val="TextoNormalCaracter"/>
        </w:rPr>
        <w:t xml:space="preserve">, f. 2; </w:t>
      </w:r>
      <w:hyperlink w:anchor="SENTENCIA_2025_90" w:history="1">
        <w:r w:rsidRPr="00C72046">
          <w:rPr>
            <w:rStyle w:val="TextoNormalCaracter"/>
          </w:rPr>
          <w:t>90/2025</w:t>
        </w:r>
      </w:hyperlink>
      <w:r w:rsidRPr="00C72046">
        <w:rPr>
          <w:rStyle w:val="TextoNormalCaracter"/>
        </w:rPr>
        <w:t xml:space="preserve">, f. 2; </w:t>
      </w:r>
      <w:hyperlink w:anchor="SENTENCIA_2025_91" w:history="1">
        <w:r w:rsidRPr="00C72046">
          <w:rPr>
            <w:rStyle w:val="TextoNormalCaracter"/>
          </w:rPr>
          <w:t>91/2025</w:t>
        </w:r>
      </w:hyperlink>
      <w:r w:rsidRPr="00C72046">
        <w:rPr>
          <w:rStyle w:val="TextoNormalCaracter"/>
        </w:rPr>
        <w:t xml:space="preserve">, f. único; </w:t>
      </w:r>
      <w:hyperlink w:anchor="SENTENCIA_2025_92" w:history="1">
        <w:r w:rsidRPr="00C72046">
          <w:rPr>
            <w:rStyle w:val="TextoNormalCaracter"/>
          </w:rPr>
          <w:t>92/2025</w:t>
        </w:r>
      </w:hyperlink>
      <w:r w:rsidRPr="00C72046">
        <w:rPr>
          <w:rStyle w:val="TextoNormalCaracter"/>
        </w:rPr>
        <w:t xml:space="preserve">, f. 2; </w:t>
      </w:r>
      <w:hyperlink w:anchor="SENTENCIA_2025_93" w:history="1">
        <w:r w:rsidRPr="00C72046">
          <w:rPr>
            <w:rStyle w:val="TextoNormalCaracter"/>
          </w:rPr>
          <w:t>93/2025</w:t>
        </w:r>
      </w:hyperlink>
      <w:r w:rsidRPr="00C72046">
        <w:rPr>
          <w:rStyle w:val="TextoNormalCaracter"/>
        </w:rPr>
        <w:t xml:space="preserve">, f. 2; </w:t>
      </w:r>
      <w:hyperlink w:anchor="SENTENCIA_2025_94" w:history="1">
        <w:r w:rsidRPr="00C72046">
          <w:rPr>
            <w:rStyle w:val="TextoNormalCaracter"/>
          </w:rPr>
          <w:t>94/2025</w:t>
        </w:r>
      </w:hyperlink>
      <w:r w:rsidRPr="00C72046">
        <w:rPr>
          <w:rStyle w:val="TextoNormalCaracter"/>
        </w:rPr>
        <w:t xml:space="preserve">, f.2; </w:t>
      </w:r>
      <w:hyperlink w:anchor="SENTENCIA_2025_102" w:history="1">
        <w:r w:rsidRPr="00C72046">
          <w:rPr>
            <w:rStyle w:val="TextoNormalCaracter"/>
          </w:rPr>
          <w:t>102/2025</w:t>
        </w:r>
      </w:hyperlink>
      <w:r w:rsidRPr="00C72046">
        <w:rPr>
          <w:rStyle w:val="TextoNormalCaracter"/>
        </w:rPr>
        <w:t xml:space="preserve">, f. 2; </w:t>
      </w:r>
      <w:hyperlink w:anchor="SENTENCIA_2025_103" w:history="1">
        <w:r w:rsidRPr="00C72046">
          <w:rPr>
            <w:rStyle w:val="TextoNormalCaracter"/>
          </w:rPr>
          <w:t>103/2025</w:t>
        </w:r>
      </w:hyperlink>
      <w:r w:rsidRPr="00C72046">
        <w:rPr>
          <w:rStyle w:val="TextoNormalCaracter"/>
        </w:rPr>
        <w:t xml:space="preserve">, f. único; </w:t>
      </w:r>
      <w:hyperlink w:anchor="SENTENCIA_2025_104" w:history="1">
        <w:r w:rsidRPr="00C72046">
          <w:rPr>
            <w:rStyle w:val="TextoNormalCaracter"/>
          </w:rPr>
          <w:t>104/2025</w:t>
        </w:r>
      </w:hyperlink>
      <w:r w:rsidRPr="00C72046">
        <w:rPr>
          <w:rStyle w:val="TextoNormalCaracter"/>
        </w:rPr>
        <w:t xml:space="preserve">, f. único; </w:t>
      </w:r>
      <w:hyperlink w:anchor="SENTENCIA_2025_112" w:history="1">
        <w:r w:rsidRPr="00C72046">
          <w:rPr>
            <w:rStyle w:val="TextoNormalCaracter"/>
          </w:rPr>
          <w:t>112/2025</w:t>
        </w:r>
      </w:hyperlink>
      <w:r w:rsidRPr="00C72046">
        <w:rPr>
          <w:rStyle w:val="TextoNormalCaracter"/>
        </w:rPr>
        <w:t xml:space="preserve">, f. 2; </w:t>
      </w:r>
      <w:hyperlink w:anchor="SENTENCIA_2025_113" w:history="1">
        <w:r w:rsidRPr="00C72046">
          <w:rPr>
            <w:rStyle w:val="TextoNormalCaracter"/>
          </w:rPr>
          <w:t>113/2025</w:t>
        </w:r>
      </w:hyperlink>
      <w:r w:rsidRPr="00C72046">
        <w:rPr>
          <w:rStyle w:val="TextoNormalCaracter"/>
        </w:rPr>
        <w:t xml:space="preserve">, f. único; </w:t>
      </w:r>
      <w:hyperlink w:anchor="SENTENCIA_2025_114" w:history="1">
        <w:r w:rsidRPr="00C72046">
          <w:rPr>
            <w:rStyle w:val="TextoNormalCaracter"/>
          </w:rPr>
          <w:t>114/2025</w:t>
        </w:r>
      </w:hyperlink>
      <w:r w:rsidRPr="00C72046">
        <w:rPr>
          <w:rStyle w:val="TextoNormalCaracter"/>
        </w:rPr>
        <w:t xml:space="preserve">, f. único; </w:t>
      </w:r>
      <w:hyperlink w:anchor="SENTENCIA_2025_115" w:history="1">
        <w:r w:rsidRPr="00C72046">
          <w:rPr>
            <w:rStyle w:val="TextoNormalCaracter"/>
          </w:rPr>
          <w:t>115/2025</w:t>
        </w:r>
      </w:hyperlink>
      <w:r w:rsidRPr="00C72046">
        <w:rPr>
          <w:rStyle w:val="TextoNormalCaracter"/>
        </w:rPr>
        <w:t xml:space="preserve">, f. único; </w:t>
      </w:r>
      <w:hyperlink w:anchor="SENTENCIA_2025_116" w:history="1">
        <w:r w:rsidRPr="00C72046">
          <w:rPr>
            <w:rStyle w:val="TextoNormalCaracter"/>
          </w:rPr>
          <w:t>116/2025</w:t>
        </w:r>
      </w:hyperlink>
      <w:r w:rsidRPr="00C72046">
        <w:rPr>
          <w:rStyle w:val="TextoNormalCaracter"/>
        </w:rPr>
        <w:t xml:space="preserve">, f. único; </w:t>
      </w:r>
      <w:hyperlink w:anchor="SENTENCIA_2025_122" w:history="1">
        <w:r w:rsidRPr="00C72046">
          <w:rPr>
            <w:rStyle w:val="TextoNormalCaracter"/>
          </w:rPr>
          <w:t>122/2025</w:t>
        </w:r>
      </w:hyperlink>
      <w:r w:rsidRPr="00C72046">
        <w:rPr>
          <w:rStyle w:val="TextoNormalCaracter"/>
        </w:rPr>
        <w:t xml:space="preserve">, f. único; </w:t>
      </w:r>
      <w:hyperlink w:anchor="SENTENCIA_2025_123" w:history="1">
        <w:r w:rsidRPr="00C72046">
          <w:rPr>
            <w:rStyle w:val="TextoNormalCaracter"/>
          </w:rPr>
          <w:t>123/2025</w:t>
        </w:r>
      </w:hyperlink>
      <w:r w:rsidRPr="00C72046">
        <w:rPr>
          <w:rStyle w:val="TextoNormalCaracter"/>
        </w:rPr>
        <w:t xml:space="preserve">, f. 2; </w:t>
      </w:r>
      <w:hyperlink w:anchor="SENTENCIA_2025_124" w:history="1">
        <w:r w:rsidRPr="00C72046">
          <w:rPr>
            <w:rStyle w:val="TextoNormalCaracter"/>
          </w:rPr>
          <w:t>124/2025</w:t>
        </w:r>
      </w:hyperlink>
      <w:r w:rsidRPr="00C72046">
        <w:rPr>
          <w:rStyle w:val="TextoNormalCaracter"/>
        </w:rPr>
        <w:t xml:space="preserve">, f. 2; </w:t>
      </w:r>
      <w:hyperlink w:anchor="SENTENCIA_2025_125" w:history="1">
        <w:r w:rsidRPr="00C72046">
          <w:rPr>
            <w:rStyle w:val="TextoNormalCaracter"/>
          </w:rPr>
          <w:t>125/2025</w:t>
        </w:r>
      </w:hyperlink>
      <w:r w:rsidRPr="00C72046">
        <w:rPr>
          <w:rStyle w:val="TextoNormalCaracter"/>
        </w:rPr>
        <w:t xml:space="preserve">, f. único; </w:t>
      </w:r>
      <w:hyperlink w:anchor="SENTENCIA_2025_127" w:history="1">
        <w:r w:rsidRPr="00C72046">
          <w:rPr>
            <w:rStyle w:val="TextoNormalCaracter"/>
          </w:rPr>
          <w:t>127/2025</w:t>
        </w:r>
      </w:hyperlink>
      <w:r w:rsidRPr="00C72046">
        <w:rPr>
          <w:rStyle w:val="TextoNormalCaracter"/>
        </w:rPr>
        <w:t xml:space="preserve">, ff. 1 y 2; </w:t>
      </w:r>
      <w:hyperlink w:anchor="SENTENCIA_2025_128" w:history="1">
        <w:r w:rsidRPr="00C72046">
          <w:rPr>
            <w:rStyle w:val="TextoNormalCaracter"/>
          </w:rPr>
          <w:t>128/2025</w:t>
        </w:r>
      </w:hyperlink>
      <w:r w:rsidRPr="00C72046">
        <w:rPr>
          <w:rStyle w:val="TextoNormalCaracter"/>
        </w:rPr>
        <w:t xml:space="preserve">, f. 2; </w:t>
      </w:r>
      <w:hyperlink w:anchor="SENTENCIA_2025_129" w:history="1">
        <w:r w:rsidRPr="00C72046">
          <w:rPr>
            <w:rStyle w:val="TextoNormalCaracter"/>
          </w:rPr>
          <w:t>129/2025</w:t>
        </w:r>
      </w:hyperlink>
      <w:r w:rsidRPr="00C72046">
        <w:rPr>
          <w:rStyle w:val="TextoNormalCaracter"/>
        </w:rPr>
        <w:t xml:space="preserve">, f. 2; </w:t>
      </w:r>
      <w:hyperlink w:anchor="SENTENCIA_2025_130" w:history="1">
        <w:r w:rsidRPr="00C72046">
          <w:rPr>
            <w:rStyle w:val="TextoNormalCaracter"/>
          </w:rPr>
          <w:t>130/2025</w:t>
        </w:r>
      </w:hyperlink>
      <w:r w:rsidRPr="00C72046">
        <w:rPr>
          <w:rStyle w:val="TextoNormalCaracter"/>
        </w:rPr>
        <w:t xml:space="preserve">, f. 2; </w:t>
      </w:r>
      <w:hyperlink w:anchor="SENTENCIA_2025_131" w:history="1">
        <w:r w:rsidRPr="00C72046">
          <w:rPr>
            <w:rStyle w:val="TextoNormalCaracter"/>
          </w:rPr>
          <w:t>131/2025</w:t>
        </w:r>
      </w:hyperlink>
      <w:r w:rsidRPr="00C72046">
        <w:rPr>
          <w:rStyle w:val="TextoNormalCaracter"/>
        </w:rPr>
        <w:t>, f. 2.</w:t>
      </w:r>
    </w:p>
    <w:p w14:paraId="015E01CA" w14:textId="654E4255" w:rsidR="00C72046" w:rsidRPr="00C72046" w:rsidRDefault="00C72046" w:rsidP="00C72046">
      <w:pPr>
        <w:pStyle w:val="TextoNormalSangraFrancesa"/>
        <w:rPr>
          <w:rStyle w:val="TextoNormalCaracter"/>
        </w:rPr>
      </w:pPr>
      <w:bookmarkStart w:id="914" w:name="DESCRIPTORALFABETICO451"/>
      <w:r w:rsidRPr="00C72046">
        <w:rPr>
          <w:rStyle w:val="TextoNormalNegritaCaracter"/>
        </w:rPr>
        <w:t>Dispensa de la obligación de declarar</w:t>
      </w:r>
      <w:bookmarkEnd w:id="914"/>
      <w:r w:rsidRPr="00C72046">
        <w:rPr>
          <w:rStyle w:val="TextoNormalCaracter"/>
        </w:rPr>
        <w:t xml:space="preserve">, Sentencia </w:t>
      </w:r>
      <w:hyperlink w:anchor="SENTENCIA_2025_41" w:history="1">
        <w:r w:rsidRPr="00C72046">
          <w:rPr>
            <w:rStyle w:val="TextoNormalCaracter"/>
          </w:rPr>
          <w:t>41/2025</w:t>
        </w:r>
      </w:hyperlink>
      <w:r w:rsidRPr="00C72046">
        <w:rPr>
          <w:rStyle w:val="TextoNormalCaracter"/>
        </w:rPr>
        <w:t>, ff. 1 y 3.</w:t>
      </w:r>
    </w:p>
    <w:p w14:paraId="6D3D9B1F" w14:textId="78090D56" w:rsidR="00C72046" w:rsidRPr="00C72046" w:rsidRDefault="00C72046" w:rsidP="00C72046">
      <w:pPr>
        <w:pStyle w:val="TextoNormalSangraFrancesa"/>
        <w:rPr>
          <w:rStyle w:val="TextoNormalCaracter"/>
        </w:rPr>
      </w:pPr>
      <w:bookmarkStart w:id="915" w:name="DESCRIPTORALFABETICO447"/>
      <w:r w:rsidRPr="00C72046">
        <w:rPr>
          <w:rStyle w:val="TextoNormalNegritaCaracter"/>
        </w:rPr>
        <w:t>Distribución de la carga de la prueba</w:t>
      </w:r>
      <w:bookmarkEnd w:id="915"/>
      <w:r w:rsidRPr="00C72046">
        <w:rPr>
          <w:rStyle w:val="TextoNormalCaracter"/>
        </w:rPr>
        <w:t xml:space="preserve">, Sentencia </w:t>
      </w:r>
      <w:hyperlink w:anchor="SENTENCIA_2025_28" w:history="1">
        <w:r w:rsidRPr="00C72046">
          <w:rPr>
            <w:rStyle w:val="TextoNormalCaracter"/>
          </w:rPr>
          <w:t>28/2025</w:t>
        </w:r>
      </w:hyperlink>
      <w:r w:rsidRPr="00C72046">
        <w:rPr>
          <w:rStyle w:val="TextoNormalCaracter"/>
        </w:rPr>
        <w:t>, ff. 4 y 5.</w:t>
      </w:r>
    </w:p>
    <w:p w14:paraId="197F9B5B" w14:textId="3027E82C" w:rsidR="00C72046" w:rsidRPr="00C72046" w:rsidRDefault="00C72046" w:rsidP="00C72046">
      <w:pPr>
        <w:pStyle w:val="TextoNormalSangraFrancesa"/>
        <w:rPr>
          <w:rStyle w:val="TextoNormalCaracter"/>
        </w:rPr>
      </w:pPr>
      <w:bookmarkStart w:id="916" w:name="DESCRIPTORALFABETICO330"/>
      <w:r w:rsidRPr="00C72046">
        <w:rPr>
          <w:rStyle w:val="TextoNormalNegritaCaracter"/>
        </w:rPr>
        <w:t>Doble dimensión del derecho de propiedad</w:t>
      </w:r>
      <w:bookmarkEnd w:id="916"/>
      <w:r w:rsidRPr="00C72046">
        <w:rPr>
          <w:rStyle w:val="TextoNormalCaracter"/>
        </w:rPr>
        <w:t xml:space="preserve">, Sentencia </w:t>
      </w:r>
      <w:hyperlink w:anchor="SENTENCIA_2025_26" w:history="1">
        <w:r w:rsidRPr="00C72046">
          <w:rPr>
            <w:rStyle w:val="TextoNormalCaracter"/>
          </w:rPr>
          <w:t>26/2025</w:t>
        </w:r>
      </w:hyperlink>
      <w:r w:rsidRPr="00C72046">
        <w:rPr>
          <w:rStyle w:val="TextoNormalCaracter"/>
        </w:rPr>
        <w:t>, f. 5.</w:t>
      </w:r>
    </w:p>
    <w:p w14:paraId="30E6B786" w14:textId="39E9BBD4" w:rsidR="00C72046" w:rsidRPr="00C72046" w:rsidRDefault="00C72046" w:rsidP="00C72046">
      <w:pPr>
        <w:pStyle w:val="TextoNormalSangraFrancesa"/>
        <w:rPr>
          <w:rStyle w:val="TextoNormalCaracter"/>
        </w:rPr>
      </w:pPr>
      <w:bookmarkStart w:id="917" w:name="DESCRIPTORALFABETICO294"/>
      <w:r w:rsidRPr="00C72046">
        <w:rPr>
          <w:rStyle w:val="TextoNormalNegritaCaracter"/>
        </w:rPr>
        <w:t>Doctrina del Tribunal de Justicia de la Unión Europea</w:t>
      </w:r>
      <w:bookmarkEnd w:id="917"/>
      <w:r w:rsidRPr="00C72046">
        <w:rPr>
          <w:rStyle w:val="TextoNormalCaracter"/>
        </w:rPr>
        <w:t xml:space="preserve">, Sentencias </w:t>
      </w:r>
      <w:hyperlink w:anchor="SENTENCIA_2025_45" w:history="1">
        <w:r w:rsidRPr="00C72046">
          <w:rPr>
            <w:rStyle w:val="TextoNormalCaracter"/>
          </w:rPr>
          <w:t>45/2025</w:t>
        </w:r>
      </w:hyperlink>
      <w:r w:rsidRPr="00C72046">
        <w:rPr>
          <w:rStyle w:val="TextoNormalCaracter"/>
        </w:rPr>
        <w:t xml:space="preserve">, f. 2; </w:t>
      </w:r>
      <w:hyperlink w:anchor="SENTENCIA_2025_64" w:history="1">
        <w:r w:rsidRPr="00C72046">
          <w:rPr>
            <w:rStyle w:val="TextoNormalCaracter"/>
          </w:rPr>
          <w:t>64/2025</w:t>
        </w:r>
      </w:hyperlink>
      <w:r w:rsidRPr="00C72046">
        <w:rPr>
          <w:rStyle w:val="TextoNormalCaracter"/>
        </w:rPr>
        <w:t xml:space="preserve">, f. 5; </w:t>
      </w:r>
      <w:hyperlink w:anchor="SENTENCIA_2025_109" w:history="1">
        <w:r w:rsidRPr="00C72046">
          <w:rPr>
            <w:rStyle w:val="TextoNormalCaracter"/>
          </w:rPr>
          <w:t>109/2025</w:t>
        </w:r>
      </w:hyperlink>
      <w:r w:rsidRPr="00C72046">
        <w:rPr>
          <w:rStyle w:val="TextoNormalCaracter"/>
        </w:rPr>
        <w:t xml:space="preserve">, ff. 2 y 3; </w:t>
      </w:r>
      <w:hyperlink w:anchor="SENTENCIA_2025_121" w:history="1">
        <w:r w:rsidRPr="00C72046">
          <w:rPr>
            <w:rStyle w:val="TextoNormalCaracter"/>
          </w:rPr>
          <w:t>121/2025</w:t>
        </w:r>
      </w:hyperlink>
      <w:r w:rsidRPr="00C72046">
        <w:rPr>
          <w:rStyle w:val="TextoNormalCaracter"/>
        </w:rPr>
        <w:t xml:space="preserve">, ff. 3 y 4; </w:t>
      </w:r>
      <w:hyperlink w:anchor="SENTENCIA_2025_137" w:history="1">
        <w:r w:rsidRPr="00C72046">
          <w:rPr>
            <w:rStyle w:val="TextoNormalCaracter"/>
          </w:rPr>
          <w:t>137/2025</w:t>
        </w:r>
      </w:hyperlink>
      <w:r w:rsidRPr="00C72046">
        <w:rPr>
          <w:rStyle w:val="TextoNormalCaracter"/>
        </w:rPr>
        <w:t>, f. 15, VP III.</w:t>
      </w:r>
    </w:p>
    <w:p w14:paraId="24054596" w14:textId="0B97C716" w:rsidR="00C72046" w:rsidRPr="00C72046" w:rsidRDefault="00C72046" w:rsidP="00C72046">
      <w:pPr>
        <w:pStyle w:val="TextoNormalSangraFrancesa"/>
        <w:rPr>
          <w:rStyle w:val="TextoNormalCaracter"/>
        </w:rPr>
      </w:pPr>
      <w:bookmarkStart w:id="918" w:name="DESCRIPTORALFABETICO367"/>
      <w:r w:rsidRPr="00C72046">
        <w:rPr>
          <w:rStyle w:val="TextoNormalNegritaCaracter"/>
        </w:rPr>
        <w:t>Doctrina del Tribunal Europeo de Derechos Humanos</w:t>
      </w:r>
      <w:bookmarkEnd w:id="918"/>
      <w:r w:rsidRPr="00C72046">
        <w:rPr>
          <w:rStyle w:val="TextoNormalCaracter"/>
        </w:rPr>
        <w:t xml:space="preserve">, Sentencias </w:t>
      </w:r>
      <w:hyperlink w:anchor="SENTENCIA_2025_1" w:history="1">
        <w:r w:rsidRPr="00C72046">
          <w:rPr>
            <w:rStyle w:val="TextoNormalCaracter"/>
          </w:rPr>
          <w:t>1/2025</w:t>
        </w:r>
      </w:hyperlink>
      <w:r w:rsidRPr="00C72046">
        <w:rPr>
          <w:rStyle w:val="TextoNormalCaracter"/>
        </w:rPr>
        <w:t xml:space="preserve">, f. 3; </w:t>
      </w:r>
      <w:hyperlink w:anchor="SENTENCIA_2025_12" w:history="1">
        <w:r w:rsidRPr="00C72046">
          <w:rPr>
            <w:rStyle w:val="TextoNormalCaracter"/>
          </w:rPr>
          <w:t>12/2025</w:t>
        </w:r>
      </w:hyperlink>
      <w:r w:rsidRPr="00C72046">
        <w:rPr>
          <w:rStyle w:val="TextoNormalCaracter"/>
        </w:rPr>
        <w:t xml:space="preserve">, VP II; </w:t>
      </w:r>
      <w:hyperlink w:anchor="SENTENCIA_2025_25" w:history="1">
        <w:r w:rsidRPr="00C72046">
          <w:rPr>
            <w:rStyle w:val="TextoNormalCaracter"/>
          </w:rPr>
          <w:t>25/2025</w:t>
        </w:r>
      </w:hyperlink>
      <w:r w:rsidRPr="00C72046">
        <w:rPr>
          <w:rStyle w:val="TextoNormalCaracter"/>
        </w:rPr>
        <w:t xml:space="preserve">, f. 5, VP II; </w:t>
      </w:r>
      <w:hyperlink w:anchor="SENTENCIA_2025_26" w:history="1">
        <w:r w:rsidRPr="00C72046">
          <w:rPr>
            <w:rStyle w:val="TextoNormalCaracter"/>
          </w:rPr>
          <w:t>26/2025</w:t>
        </w:r>
      </w:hyperlink>
      <w:r w:rsidRPr="00C72046">
        <w:rPr>
          <w:rStyle w:val="TextoNormalCaracter"/>
        </w:rPr>
        <w:t xml:space="preserve">, f. 5, VP II; </w:t>
      </w:r>
      <w:hyperlink w:anchor="SENTENCIA_2025_43" w:history="1">
        <w:r w:rsidRPr="00C72046">
          <w:rPr>
            <w:rStyle w:val="TextoNormalCaracter"/>
          </w:rPr>
          <w:t>43/2025</w:t>
        </w:r>
      </w:hyperlink>
      <w:r w:rsidRPr="00C72046">
        <w:rPr>
          <w:rStyle w:val="TextoNormalCaracter"/>
        </w:rPr>
        <w:t xml:space="preserve">, f. 3; </w:t>
      </w:r>
      <w:hyperlink w:anchor="SENTENCIA_2025_54" w:history="1">
        <w:r w:rsidRPr="00C72046">
          <w:rPr>
            <w:rStyle w:val="TextoNormalCaracter"/>
          </w:rPr>
          <w:t>54/2025</w:t>
        </w:r>
      </w:hyperlink>
      <w:r w:rsidRPr="00C72046">
        <w:rPr>
          <w:rStyle w:val="TextoNormalCaracter"/>
        </w:rPr>
        <w:t xml:space="preserve">, VP; </w:t>
      </w:r>
      <w:hyperlink w:anchor="SENTENCIA_2025_95" w:history="1">
        <w:r w:rsidRPr="00C72046">
          <w:rPr>
            <w:rStyle w:val="TextoNormalCaracter"/>
          </w:rPr>
          <w:t>95/2025</w:t>
        </w:r>
      </w:hyperlink>
      <w:r w:rsidRPr="00C72046">
        <w:rPr>
          <w:rStyle w:val="TextoNormalCaracter"/>
        </w:rPr>
        <w:t xml:space="preserve">, f. 3; </w:t>
      </w:r>
      <w:hyperlink w:anchor="SENTENCIA_2025_107" w:history="1">
        <w:r w:rsidRPr="00C72046">
          <w:rPr>
            <w:rStyle w:val="TextoNormalCaracter"/>
          </w:rPr>
          <w:t>107/2025</w:t>
        </w:r>
      </w:hyperlink>
      <w:r w:rsidRPr="00C72046">
        <w:rPr>
          <w:rStyle w:val="TextoNormalCaracter"/>
        </w:rPr>
        <w:t xml:space="preserve">, ff. 2 y 3; </w:t>
      </w:r>
      <w:hyperlink w:anchor="SENTENCIA_2025_108" w:history="1">
        <w:r w:rsidRPr="00C72046">
          <w:rPr>
            <w:rStyle w:val="TextoNormalCaracter"/>
          </w:rPr>
          <w:t>108/2025</w:t>
        </w:r>
      </w:hyperlink>
      <w:r w:rsidRPr="00C72046">
        <w:rPr>
          <w:rStyle w:val="TextoNormalCaracter"/>
        </w:rPr>
        <w:t xml:space="preserve">, f. 2; </w:t>
      </w:r>
      <w:hyperlink w:anchor="SENTENCIA_2025_111" w:history="1">
        <w:r w:rsidRPr="00C72046">
          <w:rPr>
            <w:rStyle w:val="TextoNormalCaracter"/>
          </w:rPr>
          <w:t>111/2025</w:t>
        </w:r>
      </w:hyperlink>
      <w:r w:rsidRPr="00C72046">
        <w:rPr>
          <w:rStyle w:val="TextoNormalCaracter"/>
        </w:rPr>
        <w:t xml:space="preserve">, f. 2; </w:t>
      </w:r>
      <w:hyperlink w:anchor="SENTENCIA_2025_117" w:history="1">
        <w:r w:rsidRPr="00C72046">
          <w:rPr>
            <w:rStyle w:val="TextoNormalCaracter"/>
          </w:rPr>
          <w:t>117/2025</w:t>
        </w:r>
      </w:hyperlink>
      <w:r w:rsidRPr="00C72046">
        <w:rPr>
          <w:rStyle w:val="TextoNormalCaracter"/>
        </w:rPr>
        <w:t xml:space="preserve">; </w:t>
      </w:r>
      <w:hyperlink w:anchor="SENTENCIA_2025_119" w:history="1">
        <w:r w:rsidRPr="00C72046">
          <w:rPr>
            <w:rStyle w:val="TextoNormalCaracter"/>
          </w:rPr>
          <w:t>119/2025</w:t>
        </w:r>
      </w:hyperlink>
      <w:r w:rsidRPr="00C72046">
        <w:rPr>
          <w:rStyle w:val="TextoNormalCaracter"/>
        </w:rPr>
        <w:t xml:space="preserve">, ff. 6 a 7; </w:t>
      </w:r>
      <w:hyperlink w:anchor="SENTENCIA_2025_126" w:history="1">
        <w:r w:rsidRPr="00C72046">
          <w:rPr>
            <w:rStyle w:val="TextoNormalCaracter"/>
          </w:rPr>
          <w:t>126/2025</w:t>
        </w:r>
      </w:hyperlink>
      <w:r w:rsidRPr="00C72046">
        <w:rPr>
          <w:rStyle w:val="TextoNormalCaracter"/>
        </w:rPr>
        <w:t xml:space="preserve">, ff. 3, 4 y 7; </w:t>
      </w:r>
      <w:hyperlink w:anchor="SENTENCIA_2025_137" w:history="1">
        <w:r w:rsidRPr="00C72046">
          <w:rPr>
            <w:rStyle w:val="TextoNormalCaracter"/>
          </w:rPr>
          <w:t>137/2025</w:t>
        </w:r>
      </w:hyperlink>
      <w:r w:rsidRPr="00C72046">
        <w:rPr>
          <w:rStyle w:val="TextoNormalCaracter"/>
        </w:rPr>
        <w:t>, f. 14, VP III.</w:t>
      </w:r>
    </w:p>
    <w:p w14:paraId="3F9CDA18" w14:textId="49A72DED" w:rsidR="00C72046" w:rsidRPr="00C72046" w:rsidRDefault="00C72046" w:rsidP="00C72046">
      <w:pPr>
        <w:pStyle w:val="TextoNormalSangraFrancesa"/>
        <w:rPr>
          <w:rStyle w:val="TextoNormalCaracter"/>
        </w:rPr>
      </w:pPr>
      <w:r w:rsidRPr="00C72046">
        <w:rPr>
          <w:rStyle w:val="TextoNormalCaracter"/>
        </w:rPr>
        <w:t xml:space="preserve">    Auto </w:t>
      </w:r>
      <w:hyperlink w:anchor="AUTO_2025_28" w:history="1">
        <w:r w:rsidRPr="00C72046">
          <w:rPr>
            <w:rStyle w:val="TextoNormalCaracter"/>
          </w:rPr>
          <w:t>28/2025</w:t>
        </w:r>
      </w:hyperlink>
      <w:r w:rsidRPr="00C72046">
        <w:rPr>
          <w:rStyle w:val="TextoNormalCaracter"/>
        </w:rPr>
        <w:t>, ff. 2 a 4, VP I.</w:t>
      </w:r>
    </w:p>
    <w:p w14:paraId="50C23C79" w14:textId="30386DAE" w:rsidR="00C72046" w:rsidRPr="00C72046" w:rsidRDefault="00C72046" w:rsidP="00C72046">
      <w:pPr>
        <w:pStyle w:val="TextoNormalSangraFrancesa"/>
        <w:rPr>
          <w:rStyle w:val="TextoNormalCaracter"/>
        </w:rPr>
      </w:pPr>
      <w:bookmarkStart w:id="919" w:name="DESCRIPTORALFABETICO247"/>
      <w:r w:rsidRPr="00C72046">
        <w:rPr>
          <w:rStyle w:val="TextoNormalNegritaCaracter"/>
        </w:rPr>
        <w:t>Doctrina del Tribunal Supremo</w:t>
      </w:r>
      <w:bookmarkEnd w:id="919"/>
      <w:r w:rsidRPr="00C72046">
        <w:rPr>
          <w:rStyle w:val="TextoNormalCaracter"/>
        </w:rPr>
        <w:t xml:space="preserve">, Sentencias </w:t>
      </w:r>
      <w:hyperlink w:anchor="SENTENCIA_2025_45" w:history="1">
        <w:r w:rsidRPr="00C72046">
          <w:rPr>
            <w:rStyle w:val="TextoNormalCaracter"/>
          </w:rPr>
          <w:t>45/2025</w:t>
        </w:r>
      </w:hyperlink>
      <w:r w:rsidRPr="00C72046">
        <w:rPr>
          <w:rStyle w:val="TextoNormalCaracter"/>
        </w:rPr>
        <w:t xml:space="preserve">, ff. 2 y 3; </w:t>
      </w:r>
      <w:hyperlink w:anchor="SENTENCIA_2025_105" w:history="1">
        <w:r w:rsidRPr="00C72046">
          <w:rPr>
            <w:rStyle w:val="TextoNormalCaracter"/>
          </w:rPr>
          <w:t>105/2025</w:t>
        </w:r>
      </w:hyperlink>
      <w:r w:rsidRPr="00C72046">
        <w:rPr>
          <w:rStyle w:val="TextoNormalCaracter"/>
        </w:rPr>
        <w:t xml:space="preserve">, ff. 2 a 3, VP I, VP II, VP III; </w:t>
      </w:r>
      <w:hyperlink w:anchor="SENTENCIA_2025_109" w:history="1">
        <w:r w:rsidRPr="00C72046">
          <w:rPr>
            <w:rStyle w:val="TextoNormalCaracter"/>
          </w:rPr>
          <w:t>109/2025</w:t>
        </w:r>
      </w:hyperlink>
      <w:r w:rsidRPr="00C72046">
        <w:rPr>
          <w:rStyle w:val="TextoNormalCaracter"/>
        </w:rPr>
        <w:t xml:space="preserve">, f. 2; </w:t>
      </w:r>
      <w:hyperlink w:anchor="SENTENCIA_2025_110" w:history="1">
        <w:r w:rsidRPr="00C72046">
          <w:rPr>
            <w:rStyle w:val="TextoNormalCaracter"/>
          </w:rPr>
          <w:t>110/2025</w:t>
        </w:r>
      </w:hyperlink>
      <w:r w:rsidRPr="00C72046">
        <w:rPr>
          <w:rStyle w:val="TextoNormalCaracter"/>
        </w:rPr>
        <w:t xml:space="preserve">, f. 2, VP I, VP I I; </w:t>
      </w:r>
      <w:hyperlink w:anchor="SENTENCIA_2025_121" w:history="1">
        <w:r w:rsidRPr="00C72046">
          <w:rPr>
            <w:rStyle w:val="TextoNormalCaracter"/>
          </w:rPr>
          <w:t>121/2025</w:t>
        </w:r>
      </w:hyperlink>
      <w:r w:rsidRPr="00C72046">
        <w:rPr>
          <w:rStyle w:val="TextoNormalCaracter"/>
        </w:rPr>
        <w:t>, f. 3.</w:t>
      </w:r>
    </w:p>
    <w:p w14:paraId="710CAD32" w14:textId="341CD272" w:rsidR="00C72046" w:rsidRDefault="00C72046" w:rsidP="00C72046">
      <w:pPr>
        <w:pStyle w:val="TextoNormalSangraFrancesa"/>
      </w:pPr>
    </w:p>
    <w:p w14:paraId="1527C96B" w14:textId="77777777" w:rsidR="00C72046" w:rsidRDefault="00C72046" w:rsidP="00C72046">
      <w:pPr>
        <w:pStyle w:val="TextoNormalSangraFrancesa"/>
      </w:pPr>
    </w:p>
    <w:p w14:paraId="3D3F8B0F" w14:textId="77777777" w:rsidR="00C72046" w:rsidRDefault="00C72046" w:rsidP="00C72046">
      <w:pPr>
        <w:pStyle w:val="TextoNormalNegritaCentrado"/>
      </w:pPr>
      <w:r>
        <w:t>E</w:t>
      </w:r>
    </w:p>
    <w:p w14:paraId="32F299FB" w14:textId="200A111F" w:rsidR="00C72046" w:rsidRDefault="00C72046" w:rsidP="00C72046">
      <w:pPr>
        <w:pStyle w:val="TextoNormalNegritaCentrado"/>
      </w:pPr>
    </w:p>
    <w:p w14:paraId="7DA2F2AA" w14:textId="4AF02BDE" w:rsidR="00C72046" w:rsidRPr="00C72046" w:rsidRDefault="00C72046" w:rsidP="00C72046">
      <w:pPr>
        <w:pStyle w:val="TextoNormalSangraFrancesa"/>
        <w:rPr>
          <w:rStyle w:val="TextoNormalCaracter"/>
        </w:rPr>
      </w:pPr>
      <w:bookmarkStart w:id="920" w:name="DESCRIPTORALFABETICO346"/>
      <w:r w:rsidRPr="00C72046">
        <w:rPr>
          <w:rStyle w:val="TextoNormalNegritaCaracter"/>
        </w:rPr>
        <w:t>Educación no universitaria</w:t>
      </w:r>
      <w:bookmarkEnd w:id="920"/>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1.</w:t>
      </w:r>
    </w:p>
    <w:p w14:paraId="7243AA25" w14:textId="4566C15B" w:rsidR="00C72046" w:rsidRPr="00C72046" w:rsidRDefault="00C72046" w:rsidP="00C72046">
      <w:pPr>
        <w:pStyle w:val="TextoNormalSangraFrancesa"/>
        <w:rPr>
          <w:rStyle w:val="TextoNormalCaracter"/>
        </w:rPr>
      </w:pPr>
      <w:bookmarkStart w:id="921" w:name="DESCRIPTORALFABETICO438"/>
      <w:r w:rsidRPr="00C72046">
        <w:rPr>
          <w:rStyle w:val="TextoNormalNegritaCaracter"/>
        </w:rPr>
        <w:t>Efectos de cosa juzgada</w:t>
      </w:r>
      <w:bookmarkEnd w:id="921"/>
      <w:r w:rsidRPr="00C72046">
        <w:rPr>
          <w:rStyle w:val="TextoNormalCaracter"/>
        </w:rPr>
        <w:t xml:space="preserve">, Sentencia </w:t>
      </w:r>
      <w:hyperlink w:anchor="SENTENCIA_2025_31" w:history="1">
        <w:r w:rsidRPr="00C72046">
          <w:rPr>
            <w:rStyle w:val="TextoNormalCaracter"/>
          </w:rPr>
          <w:t>31/2025</w:t>
        </w:r>
      </w:hyperlink>
      <w:r w:rsidRPr="00C72046">
        <w:rPr>
          <w:rStyle w:val="TextoNormalCaracter"/>
        </w:rPr>
        <w:t>, f. 2.</w:t>
      </w:r>
    </w:p>
    <w:p w14:paraId="02436B4E" w14:textId="63A35EE6" w:rsidR="00C72046" w:rsidRPr="00C72046" w:rsidRDefault="00C72046" w:rsidP="00C72046">
      <w:pPr>
        <w:pStyle w:val="TextoNormalSangraFrancesa"/>
        <w:rPr>
          <w:rStyle w:val="TextoNormalCaracter"/>
        </w:rPr>
      </w:pPr>
      <w:bookmarkStart w:id="922" w:name="DESCRIPTORALFABETICO226"/>
      <w:r w:rsidRPr="00C72046">
        <w:rPr>
          <w:rStyle w:val="TextoNormalNegritaCaracter"/>
        </w:rPr>
        <w:t>Efectos de la sentencia de amparo</w:t>
      </w:r>
      <w:bookmarkEnd w:id="922"/>
      <w:r w:rsidRPr="00C72046">
        <w:rPr>
          <w:rStyle w:val="TextoNormalCaracter"/>
        </w:rPr>
        <w:t xml:space="preserve">, Sentencias </w:t>
      </w:r>
      <w:hyperlink w:anchor="SENTENCIA_2025_31" w:history="1">
        <w:r w:rsidRPr="00C72046">
          <w:rPr>
            <w:rStyle w:val="TextoNormalCaracter"/>
          </w:rPr>
          <w:t>31/2025</w:t>
        </w:r>
      </w:hyperlink>
      <w:r w:rsidRPr="00C72046">
        <w:rPr>
          <w:rStyle w:val="TextoNormalCaracter"/>
        </w:rPr>
        <w:t xml:space="preserve">, f. 6; </w:t>
      </w:r>
      <w:hyperlink w:anchor="SENTENCIA_2025_85" w:history="1">
        <w:r w:rsidRPr="00C72046">
          <w:rPr>
            <w:rStyle w:val="TextoNormalCaracter"/>
          </w:rPr>
          <w:t>85/2025</w:t>
        </w:r>
      </w:hyperlink>
      <w:r w:rsidRPr="00C72046">
        <w:rPr>
          <w:rStyle w:val="TextoNormalCaracter"/>
        </w:rPr>
        <w:t xml:space="preserve">, f. 4; </w:t>
      </w:r>
      <w:hyperlink w:anchor="SENTENCIA_2025_105" w:history="1">
        <w:r w:rsidRPr="00C72046">
          <w:rPr>
            <w:rStyle w:val="TextoNormalCaracter"/>
          </w:rPr>
          <w:t>105/2025</w:t>
        </w:r>
      </w:hyperlink>
      <w:r w:rsidRPr="00C72046">
        <w:rPr>
          <w:rStyle w:val="TextoNormalCaracter"/>
        </w:rPr>
        <w:t xml:space="preserve">, f. 3; </w:t>
      </w:r>
      <w:hyperlink w:anchor="SENTENCIA_2025_126" w:history="1">
        <w:r w:rsidRPr="00C72046">
          <w:rPr>
            <w:rStyle w:val="TextoNormalCaracter"/>
          </w:rPr>
          <w:t>126/2025</w:t>
        </w:r>
      </w:hyperlink>
      <w:r w:rsidRPr="00C72046">
        <w:rPr>
          <w:rStyle w:val="TextoNormalCaracter"/>
        </w:rPr>
        <w:t>, f. 9.</w:t>
      </w:r>
    </w:p>
    <w:p w14:paraId="721AE970" w14:textId="17ABCA7E" w:rsidR="00C72046" w:rsidRPr="00C72046" w:rsidRDefault="00C72046" w:rsidP="00C72046">
      <w:pPr>
        <w:pStyle w:val="TextoNormalSangraFrancesa"/>
        <w:rPr>
          <w:rStyle w:val="TextoNormalCaracter"/>
        </w:rPr>
      </w:pPr>
      <w:bookmarkStart w:id="923" w:name="DESCRIPTORALFABETICO386"/>
      <w:r w:rsidRPr="00C72046">
        <w:rPr>
          <w:rStyle w:val="TextoNormalNegritaCaracter"/>
        </w:rPr>
        <w:t>Eficacia temporal de las normas jurídicas</w:t>
      </w:r>
      <w:bookmarkEnd w:id="923"/>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ff. 8, 13.</w:t>
      </w:r>
    </w:p>
    <w:p w14:paraId="224EE175" w14:textId="1C3D546C" w:rsidR="00C72046" w:rsidRPr="00C72046" w:rsidRDefault="00C72046" w:rsidP="00C72046">
      <w:pPr>
        <w:pStyle w:val="TextoNormalSangraFrancesa"/>
        <w:rPr>
          <w:rStyle w:val="TextoNormalCaracter"/>
        </w:rPr>
      </w:pPr>
      <w:bookmarkStart w:id="924" w:name="DESCRIPTORALFABETICO428"/>
      <w:r w:rsidRPr="00C72046">
        <w:rPr>
          <w:rStyle w:val="TextoNormalNegritaCaracter"/>
        </w:rPr>
        <w:t>Emplazamiento de sociedades inscritas en el Registro Mercantil</w:t>
      </w:r>
      <w:bookmarkEnd w:id="924"/>
      <w:r w:rsidRPr="00C72046">
        <w:rPr>
          <w:rStyle w:val="TextoNormalCaracter"/>
        </w:rPr>
        <w:t xml:space="preserve">, Sentencia </w:t>
      </w:r>
      <w:hyperlink w:anchor="SENTENCIA_2025_2" w:history="1">
        <w:r w:rsidRPr="00C72046">
          <w:rPr>
            <w:rStyle w:val="TextoNormalCaracter"/>
          </w:rPr>
          <w:t>2/2025</w:t>
        </w:r>
      </w:hyperlink>
      <w:r w:rsidRPr="00C72046">
        <w:rPr>
          <w:rStyle w:val="TextoNormalCaracter"/>
        </w:rPr>
        <w:t>, f. 3.</w:t>
      </w:r>
    </w:p>
    <w:p w14:paraId="61BB75A4" w14:textId="646EA3DF" w:rsidR="00C72046" w:rsidRPr="00C72046" w:rsidRDefault="00C72046" w:rsidP="00C72046">
      <w:pPr>
        <w:pStyle w:val="TextoNormalSangraFrancesa"/>
        <w:rPr>
          <w:rStyle w:val="TextoNormalCaracter"/>
        </w:rPr>
      </w:pPr>
      <w:bookmarkStart w:id="925" w:name="DESCRIPTORALFABETICO430"/>
      <w:r w:rsidRPr="00C72046">
        <w:rPr>
          <w:rStyle w:val="TextoNormalNegritaCaracter"/>
        </w:rPr>
        <w:t>Emplazamiento edictal causante de indefensión</w:t>
      </w:r>
      <w:bookmarkEnd w:id="925"/>
      <w:r w:rsidRPr="00C72046">
        <w:rPr>
          <w:rStyle w:val="TextoNormalCaracter"/>
        </w:rPr>
        <w:t xml:space="preserve">, Sentencia </w:t>
      </w:r>
      <w:hyperlink w:anchor="SENTENCIA_2025_2" w:history="1">
        <w:r w:rsidRPr="00C72046">
          <w:rPr>
            <w:rStyle w:val="TextoNormalCaracter"/>
          </w:rPr>
          <w:t>2/2025</w:t>
        </w:r>
      </w:hyperlink>
      <w:r w:rsidRPr="00C72046">
        <w:rPr>
          <w:rStyle w:val="TextoNormalCaracter"/>
        </w:rPr>
        <w:t>, ff. 3 y 4.</w:t>
      </w:r>
    </w:p>
    <w:p w14:paraId="54E6D49D" w14:textId="222834AD" w:rsidR="00C72046" w:rsidRPr="00C72046" w:rsidRDefault="00C72046" w:rsidP="00C72046">
      <w:pPr>
        <w:pStyle w:val="TextoNormalSangraFrancesa"/>
        <w:rPr>
          <w:rStyle w:val="TextoNormalCaracter"/>
        </w:rPr>
      </w:pPr>
      <w:bookmarkStart w:id="926" w:name="DESCRIPTORALFABETICO431"/>
      <w:r w:rsidRPr="00C72046">
        <w:rPr>
          <w:rStyle w:val="TextoNormalNegritaCaracter"/>
        </w:rPr>
        <w:t>Emplazamiento edictal sin agotar los medios de comunicación efectiva</w:t>
      </w:r>
      <w:bookmarkEnd w:id="926"/>
      <w:r w:rsidRPr="00C72046">
        <w:rPr>
          <w:rStyle w:val="TextoNormalCaracter"/>
        </w:rPr>
        <w:t xml:space="preserve">, Sentencia </w:t>
      </w:r>
      <w:hyperlink w:anchor="SENTENCIA_2025_2" w:history="1">
        <w:r w:rsidRPr="00C72046">
          <w:rPr>
            <w:rStyle w:val="TextoNormalCaracter"/>
          </w:rPr>
          <w:t>2/2025</w:t>
        </w:r>
      </w:hyperlink>
      <w:r w:rsidRPr="00C72046">
        <w:rPr>
          <w:rStyle w:val="TextoNormalCaracter"/>
        </w:rPr>
        <w:t>, f. 3.</w:t>
      </w:r>
    </w:p>
    <w:p w14:paraId="1DCD0C43" w14:textId="0689B41A" w:rsidR="00C72046" w:rsidRPr="00C72046" w:rsidRDefault="00C72046" w:rsidP="00C72046">
      <w:pPr>
        <w:pStyle w:val="TextoNormalSangraFrancesa"/>
        <w:rPr>
          <w:rStyle w:val="TextoNormalCaracter"/>
        </w:rPr>
      </w:pPr>
      <w:bookmarkStart w:id="927" w:name="DESCRIPTORALFABETICO315"/>
      <w:r w:rsidRPr="00C72046">
        <w:rPr>
          <w:rStyle w:val="TextoNormalNegritaCaracter"/>
        </w:rPr>
        <w:t>Empleados públicos</w:t>
      </w:r>
      <w:bookmarkEnd w:id="927"/>
      <w:r w:rsidRPr="00C72046">
        <w:rPr>
          <w:rStyle w:val="TextoNormalCaracter"/>
        </w:rPr>
        <w:t xml:space="preserve">, Sentencia </w:t>
      </w:r>
      <w:hyperlink w:anchor="SENTENCIA_2025_42" w:history="1">
        <w:r w:rsidRPr="00C72046">
          <w:rPr>
            <w:rStyle w:val="TextoNormalCaracter"/>
          </w:rPr>
          <w:t>42/2025</w:t>
        </w:r>
      </w:hyperlink>
      <w:r w:rsidRPr="00C72046">
        <w:rPr>
          <w:rStyle w:val="TextoNormalCaracter"/>
        </w:rPr>
        <w:t>, ff. 1 a 4.</w:t>
      </w:r>
    </w:p>
    <w:p w14:paraId="46B1642E" w14:textId="4F2221B1" w:rsidR="00C72046" w:rsidRPr="00C72046" w:rsidRDefault="00C72046" w:rsidP="00C72046">
      <w:pPr>
        <w:pStyle w:val="TextoNormalSangraFrancesa"/>
        <w:rPr>
          <w:rStyle w:val="TextoNormalCaracter"/>
        </w:rPr>
      </w:pPr>
      <w:bookmarkStart w:id="928" w:name="DESCRIPTORALFABETICO436"/>
      <w:r w:rsidRPr="00C72046">
        <w:rPr>
          <w:rStyle w:val="TextoNormalNegritaCaracter"/>
        </w:rPr>
        <w:t>Entrada y registro de domicilio</w:t>
      </w:r>
      <w:bookmarkEnd w:id="928"/>
      <w:r w:rsidRPr="00C72046">
        <w:rPr>
          <w:rStyle w:val="TextoNormalCaracter"/>
        </w:rPr>
        <w:t xml:space="preserve">, Sentencia </w:t>
      </w:r>
      <w:hyperlink w:anchor="SENTENCIA_2025_31" w:history="1">
        <w:r w:rsidRPr="00C72046">
          <w:rPr>
            <w:rStyle w:val="TextoNormalCaracter"/>
          </w:rPr>
          <w:t>31/2025</w:t>
        </w:r>
      </w:hyperlink>
      <w:r w:rsidRPr="00C72046">
        <w:rPr>
          <w:rStyle w:val="TextoNormalCaracter"/>
        </w:rPr>
        <w:t>, ff. 1 y 5.</w:t>
      </w:r>
    </w:p>
    <w:p w14:paraId="0CB85DDD" w14:textId="38BA2FA3" w:rsidR="00C72046" w:rsidRPr="00C72046" w:rsidRDefault="00C72046" w:rsidP="00C72046">
      <w:pPr>
        <w:pStyle w:val="TextoNormalSangraFrancesa"/>
        <w:rPr>
          <w:rStyle w:val="TextoNormalCaracter"/>
        </w:rPr>
      </w:pPr>
      <w:bookmarkStart w:id="929" w:name="DESCRIPTORALFABETICO211"/>
      <w:r w:rsidRPr="00C72046">
        <w:rPr>
          <w:rStyle w:val="TextoNormalNegritaCaracter"/>
        </w:rPr>
        <w:t>Especial trascendencia constitucional</w:t>
      </w:r>
      <w:bookmarkEnd w:id="929"/>
      <w:r w:rsidRPr="00C72046">
        <w:rPr>
          <w:rStyle w:val="TextoNormalCaracter"/>
        </w:rPr>
        <w:t xml:space="preserve">, Sentencias </w:t>
      </w:r>
      <w:hyperlink w:anchor="SENTENCIA_2025_8" w:history="1">
        <w:r w:rsidRPr="00C72046">
          <w:rPr>
            <w:rStyle w:val="TextoNormalCaracter"/>
          </w:rPr>
          <w:t>8/2025</w:t>
        </w:r>
      </w:hyperlink>
      <w:r w:rsidRPr="00C72046">
        <w:rPr>
          <w:rStyle w:val="TextoNormalCaracter"/>
        </w:rPr>
        <w:t xml:space="preserve">, f. 2; </w:t>
      </w:r>
      <w:hyperlink w:anchor="SENTENCIA_2025_14" w:history="1">
        <w:r w:rsidRPr="00C72046">
          <w:rPr>
            <w:rStyle w:val="TextoNormalCaracter"/>
          </w:rPr>
          <w:t>14/2025</w:t>
        </w:r>
      </w:hyperlink>
      <w:r w:rsidRPr="00C72046">
        <w:rPr>
          <w:rStyle w:val="TextoNormalCaracter"/>
        </w:rPr>
        <w:t xml:space="preserve">, f. 3; </w:t>
      </w:r>
      <w:hyperlink w:anchor="SENTENCIA_2025_15" w:history="1">
        <w:r w:rsidRPr="00C72046">
          <w:rPr>
            <w:rStyle w:val="TextoNormalCaracter"/>
          </w:rPr>
          <w:t>15/2025</w:t>
        </w:r>
      </w:hyperlink>
      <w:r w:rsidRPr="00C72046">
        <w:rPr>
          <w:rStyle w:val="TextoNormalCaracter"/>
        </w:rPr>
        <w:t>, f. 2.</w:t>
      </w:r>
    </w:p>
    <w:p w14:paraId="3BEAE7C8" w14:textId="06289D41"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Sentencias </w:t>
      </w:r>
      <w:hyperlink w:anchor="SENTENCIA_2025_4" w:history="1">
        <w:r w:rsidRPr="00C72046">
          <w:rPr>
            <w:rStyle w:val="TextoNormalCaracter"/>
          </w:rPr>
          <w:t>4/2025</w:t>
        </w:r>
      </w:hyperlink>
      <w:r w:rsidRPr="00C72046">
        <w:rPr>
          <w:rStyle w:val="TextoNormalCaracter"/>
        </w:rPr>
        <w:t xml:space="preserve">, f. 2; </w:t>
      </w:r>
      <w:hyperlink w:anchor="SENTENCIA_2025_6" w:history="1">
        <w:r w:rsidRPr="00C72046">
          <w:rPr>
            <w:rStyle w:val="TextoNormalCaracter"/>
          </w:rPr>
          <w:t>6/2025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f. 2.</w:t>
      </w:r>
    </w:p>
    <w:p w14:paraId="5A601880" w14:textId="057149B2" w:rsidR="00C72046" w:rsidRPr="00C72046" w:rsidRDefault="00C72046" w:rsidP="00C72046">
      <w:pPr>
        <w:pStyle w:val="TextoNormalSangraFrancesa"/>
        <w:rPr>
          <w:rStyle w:val="TextoNormalCaracter"/>
        </w:rPr>
      </w:pPr>
      <w:bookmarkStart w:id="930" w:name="DESCRIPTORALFABETICO136"/>
      <w:r w:rsidRPr="00C72046">
        <w:rPr>
          <w:rStyle w:val="TextoNormalNegritaCaracter"/>
        </w:rPr>
        <w:t>Estado de alarma</w:t>
      </w:r>
      <w:bookmarkEnd w:id="930"/>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 3, VP I; </w:t>
      </w:r>
      <w:hyperlink w:anchor="SENTENCIA_2025_52" w:history="1">
        <w:r w:rsidRPr="00C72046">
          <w:rPr>
            <w:rStyle w:val="TextoNormalCaracter"/>
          </w:rPr>
          <w:t>52/2025</w:t>
        </w:r>
      </w:hyperlink>
      <w:r w:rsidRPr="00C72046">
        <w:rPr>
          <w:rStyle w:val="TextoNormalCaracter"/>
        </w:rPr>
        <w:t xml:space="preserve">, f. único; </w:t>
      </w:r>
      <w:hyperlink w:anchor="SENTENCIA_2025_53" w:history="1">
        <w:r w:rsidRPr="00C72046">
          <w:rPr>
            <w:rStyle w:val="TextoNormalCaracter"/>
          </w:rPr>
          <w:t>53/2025</w:t>
        </w:r>
      </w:hyperlink>
      <w:r w:rsidRPr="00C72046">
        <w:rPr>
          <w:rStyle w:val="TextoNormalCaracter"/>
        </w:rPr>
        <w:t>, f. único.</w:t>
      </w:r>
    </w:p>
    <w:p w14:paraId="3140EA70" w14:textId="0DDD5E6B" w:rsidR="00C72046" w:rsidRPr="00C72046" w:rsidRDefault="00C72046" w:rsidP="00C72046">
      <w:pPr>
        <w:pStyle w:val="TextoNormalSangraFrancesa"/>
        <w:rPr>
          <w:rStyle w:val="TextoNormalCaracter"/>
        </w:rPr>
      </w:pPr>
      <w:bookmarkStart w:id="931" w:name="DESCRIPTORALFABETICO307"/>
      <w:r w:rsidRPr="00C72046">
        <w:rPr>
          <w:rStyle w:val="TextoNormalNegritaCaracter"/>
        </w:rPr>
        <w:t>Estado de Derecho</w:t>
      </w:r>
      <w:bookmarkEnd w:id="931"/>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VP I, VP III, VP IV.</w:t>
      </w:r>
    </w:p>
    <w:p w14:paraId="55DE1D03" w14:textId="1835C27F" w:rsidR="00C72046" w:rsidRPr="00C72046" w:rsidRDefault="00C72046" w:rsidP="00C72046">
      <w:pPr>
        <w:pStyle w:val="TextoNormalSangraFrancesa"/>
        <w:rPr>
          <w:rStyle w:val="TextoNormalCaracter"/>
        </w:rPr>
      </w:pPr>
      <w:bookmarkStart w:id="932" w:name="DESCRIPTORALFABETICO402"/>
      <w:r w:rsidRPr="00C72046">
        <w:rPr>
          <w:rStyle w:val="TextoNormalNegritaCaracter"/>
        </w:rPr>
        <w:t>Estatuto jurídico de los menores</w:t>
      </w:r>
      <w:bookmarkEnd w:id="932"/>
      <w:r w:rsidRPr="00C72046">
        <w:rPr>
          <w:rStyle w:val="TextoNormalCaracter"/>
        </w:rPr>
        <w:t xml:space="preserve">, Sentencia </w:t>
      </w:r>
      <w:hyperlink w:anchor="SENTENCIA_2025_119" w:history="1">
        <w:r w:rsidRPr="00C72046">
          <w:rPr>
            <w:rStyle w:val="TextoNormalCaracter"/>
          </w:rPr>
          <w:t>119/2025</w:t>
        </w:r>
      </w:hyperlink>
      <w:r w:rsidRPr="00C72046">
        <w:rPr>
          <w:rStyle w:val="TextoNormalCaracter"/>
        </w:rPr>
        <w:t>, f. 3.</w:t>
      </w:r>
    </w:p>
    <w:p w14:paraId="521CD1D1" w14:textId="5BE7CB0E" w:rsidR="00C72046" w:rsidRPr="00C72046" w:rsidRDefault="00C72046" w:rsidP="00C72046">
      <w:pPr>
        <w:pStyle w:val="TextoNormalSangraFrancesa"/>
        <w:rPr>
          <w:rStyle w:val="TextoNormalCaracter"/>
        </w:rPr>
      </w:pPr>
      <w:bookmarkStart w:id="933" w:name="DESCRIPTORALFABETICO368"/>
      <w:r w:rsidRPr="00C72046">
        <w:rPr>
          <w:rStyle w:val="TextoNormalNegritaCaracter"/>
        </w:rPr>
        <w:t>Estatutos de Autonomía</w:t>
      </w:r>
      <w:bookmarkEnd w:id="933"/>
      <w:r w:rsidRPr="00C72046">
        <w:rPr>
          <w:rStyle w:val="TextoNormalCaracter"/>
        </w:rPr>
        <w:t xml:space="preserve">, Sentencia </w:t>
      </w:r>
      <w:hyperlink w:anchor="SENTENCIA_2025_43" w:history="1">
        <w:r w:rsidRPr="00C72046">
          <w:rPr>
            <w:rStyle w:val="TextoNormalCaracter"/>
          </w:rPr>
          <w:t>43/2025</w:t>
        </w:r>
      </w:hyperlink>
      <w:r w:rsidRPr="00C72046">
        <w:rPr>
          <w:rStyle w:val="TextoNormalCaracter"/>
        </w:rPr>
        <w:t>, f. 3.</w:t>
      </w:r>
    </w:p>
    <w:p w14:paraId="6F97C009" w14:textId="6B80E7E7" w:rsidR="00C72046" w:rsidRPr="00C72046" w:rsidRDefault="00C72046" w:rsidP="00C72046">
      <w:pPr>
        <w:pStyle w:val="TextoNormalSangraFrancesa"/>
        <w:rPr>
          <w:rStyle w:val="TextoNormalCaracter"/>
        </w:rPr>
      </w:pPr>
      <w:bookmarkStart w:id="934" w:name="DESCRIPTORALFABETICO174"/>
      <w:r w:rsidRPr="00C72046">
        <w:rPr>
          <w:rStyle w:val="TextoNormalNegritaCaracter"/>
        </w:rPr>
        <w:t>Estimación de recurso de súplica contra providencias de inadmisión del Tribunal Constitucional</w:t>
      </w:r>
      <w:bookmarkEnd w:id="934"/>
      <w:r w:rsidRPr="00C72046">
        <w:rPr>
          <w:rStyle w:val="TextoNormalCaracter"/>
        </w:rPr>
        <w:t xml:space="preserve">, Auto </w:t>
      </w:r>
      <w:hyperlink w:anchor="AUTO_2025_67" w:history="1">
        <w:r w:rsidRPr="00C72046">
          <w:rPr>
            <w:rStyle w:val="TextoNormalCaracter"/>
          </w:rPr>
          <w:t>67/2025</w:t>
        </w:r>
      </w:hyperlink>
      <w:r w:rsidRPr="00C72046">
        <w:rPr>
          <w:rStyle w:val="TextoNormalCaracter"/>
        </w:rPr>
        <w:t>, f. único.</w:t>
      </w:r>
    </w:p>
    <w:p w14:paraId="123BCB58" w14:textId="22CA549B" w:rsidR="00C72046" w:rsidRPr="00C72046" w:rsidRDefault="00C72046" w:rsidP="00C72046">
      <w:pPr>
        <w:pStyle w:val="TextoNormalSangraFrancesa"/>
        <w:rPr>
          <w:rStyle w:val="TextoNormalCaracter"/>
        </w:rPr>
      </w:pPr>
      <w:bookmarkStart w:id="935" w:name="DESCRIPTORALFABETICO121"/>
      <w:r w:rsidRPr="00C72046">
        <w:rPr>
          <w:rStyle w:val="TextoNormalNegritaCaracter"/>
        </w:rPr>
        <w:t>Expresiones inapropiadas</w:t>
      </w:r>
      <w:bookmarkEnd w:id="935"/>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 3.</w:t>
      </w:r>
    </w:p>
    <w:p w14:paraId="3671DF09" w14:textId="22BB91F8" w:rsidR="00C72046" w:rsidRPr="00C72046" w:rsidRDefault="00C72046" w:rsidP="00C72046">
      <w:pPr>
        <w:pStyle w:val="TextoNormalSangraFrancesa"/>
        <w:rPr>
          <w:rStyle w:val="TextoNormalCaracter"/>
        </w:rPr>
      </w:pPr>
      <w:bookmarkStart w:id="936" w:name="DESCRIPTORALFABETICO348"/>
      <w:r w:rsidRPr="00C72046">
        <w:rPr>
          <w:rStyle w:val="TextoNormalNegritaCaracter"/>
        </w:rPr>
        <w:t>Expropiación legislativa</w:t>
      </w:r>
      <w:bookmarkEnd w:id="936"/>
      <w:r w:rsidRPr="00C72046">
        <w:rPr>
          <w:rStyle w:val="TextoNormalCaracter"/>
        </w:rPr>
        <w:t xml:space="preserve">, Sentencia </w:t>
      </w:r>
      <w:hyperlink w:anchor="SENTENCIA_2025_64" w:history="1">
        <w:r w:rsidRPr="00C72046">
          <w:rPr>
            <w:rStyle w:val="TextoNormalCaracter"/>
          </w:rPr>
          <w:t>64/2025</w:t>
        </w:r>
      </w:hyperlink>
      <w:r w:rsidRPr="00C72046">
        <w:rPr>
          <w:rStyle w:val="TextoNormalCaracter"/>
        </w:rPr>
        <w:t>, f. 4, VP.</w:t>
      </w:r>
    </w:p>
    <w:p w14:paraId="65B1025F" w14:textId="3B53C5BD" w:rsidR="00C72046" w:rsidRPr="00C72046" w:rsidRDefault="00C72046" w:rsidP="00C72046">
      <w:pPr>
        <w:pStyle w:val="TextoNormalSangraFrancesa"/>
        <w:rPr>
          <w:rStyle w:val="TextoNormalCaracter"/>
        </w:rPr>
      </w:pPr>
      <w:bookmarkStart w:id="937" w:name="DESCRIPTORALFABETICO349"/>
      <w:r w:rsidRPr="00C72046">
        <w:rPr>
          <w:rStyle w:val="TextoNormalNegritaCaracter"/>
        </w:rPr>
        <w:t>Expropiación por incumplimiento de la función social de la propiedad</w:t>
      </w:r>
      <w:bookmarkEnd w:id="937"/>
      <w:r w:rsidRPr="00C72046">
        <w:rPr>
          <w:rStyle w:val="TextoNormalCaracter"/>
        </w:rPr>
        <w:t xml:space="preserve">, Sentencia </w:t>
      </w:r>
      <w:hyperlink w:anchor="SENTENCIA_2025_25" w:history="1">
        <w:r w:rsidRPr="00C72046">
          <w:rPr>
            <w:rStyle w:val="TextoNormalCaracter"/>
          </w:rPr>
          <w:t>25/2025</w:t>
        </w:r>
      </w:hyperlink>
      <w:r w:rsidRPr="00C72046">
        <w:rPr>
          <w:rStyle w:val="TextoNormalCaracter"/>
        </w:rPr>
        <w:t>, ff. 4 y 5, VP I, VP II.</w:t>
      </w:r>
    </w:p>
    <w:p w14:paraId="579586C9" w14:textId="6659B91C" w:rsidR="00C72046" w:rsidRPr="00C72046" w:rsidRDefault="00C72046" w:rsidP="00C72046">
      <w:pPr>
        <w:pStyle w:val="TextoNormalSangraFrancesa"/>
        <w:rPr>
          <w:rStyle w:val="TextoNormalCaracter"/>
        </w:rPr>
      </w:pPr>
      <w:bookmarkStart w:id="938" w:name="DESCRIPTORALFABETICO206"/>
      <w:r w:rsidRPr="00C72046">
        <w:rPr>
          <w:rStyle w:val="TextoNormalNegritaCaracter"/>
        </w:rPr>
        <w:t>Extemporaneidad del recurso de amparo</w:t>
      </w:r>
      <w:bookmarkEnd w:id="938"/>
      <w:r w:rsidRPr="00C72046">
        <w:rPr>
          <w:rStyle w:val="TextoNormalCaracter"/>
        </w:rPr>
        <w:t xml:space="preserve">, Sentencia </w:t>
      </w:r>
      <w:hyperlink w:anchor="SENTENCIA_2025_11" w:history="1">
        <w:r w:rsidRPr="00C72046">
          <w:rPr>
            <w:rStyle w:val="TextoNormalCaracter"/>
          </w:rPr>
          <w:t>11/2025</w:t>
        </w:r>
      </w:hyperlink>
      <w:r w:rsidRPr="00C72046">
        <w:rPr>
          <w:rStyle w:val="TextoNormalCaracter"/>
        </w:rPr>
        <w:t>, f. 2.</w:t>
      </w:r>
    </w:p>
    <w:p w14:paraId="60998684" w14:textId="7DEABBE1" w:rsidR="00C72046" w:rsidRPr="00C72046" w:rsidRDefault="00C72046" w:rsidP="00C72046">
      <w:pPr>
        <w:pStyle w:val="TextoNormalSangraFrancesa"/>
        <w:rPr>
          <w:rStyle w:val="TextoNormalCaracter"/>
        </w:rPr>
      </w:pPr>
      <w:bookmarkStart w:id="939" w:name="DESCRIPTORALFABETICO412"/>
      <w:r w:rsidRPr="00C72046">
        <w:rPr>
          <w:rStyle w:val="TextoNormalNegritaCaracter"/>
        </w:rPr>
        <w:t>Extinción de la responsabilidad penal</w:t>
      </w:r>
      <w:bookmarkEnd w:id="939"/>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ff. 4, 10, VP IV.</w:t>
      </w:r>
    </w:p>
    <w:p w14:paraId="66506EAD" w14:textId="361A9F16" w:rsidR="00C72046" w:rsidRPr="00C72046" w:rsidRDefault="00C72046" w:rsidP="00C72046">
      <w:pPr>
        <w:pStyle w:val="TextoNormalSangraFrancesa"/>
        <w:rPr>
          <w:rStyle w:val="TextoNormalCaracter"/>
        </w:rPr>
      </w:pPr>
      <w:bookmarkStart w:id="940" w:name="DESCRIPTORALFABETICO202"/>
      <w:r w:rsidRPr="00C72046">
        <w:rPr>
          <w:rStyle w:val="TextoNormalNegritaCaracter"/>
        </w:rPr>
        <w:t>Extinción del recurso de amparo</w:t>
      </w:r>
      <w:bookmarkEnd w:id="940"/>
      <w:r w:rsidRPr="00C72046">
        <w:rPr>
          <w:rStyle w:val="TextoNormalCaracter"/>
        </w:rPr>
        <w:t xml:space="preserve">, Sentencia </w:t>
      </w:r>
      <w:hyperlink w:anchor="SENTENCIA_2025_132" w:history="1">
        <w:r w:rsidRPr="00C72046">
          <w:rPr>
            <w:rStyle w:val="TextoNormalCaracter"/>
          </w:rPr>
          <w:t>132/2025</w:t>
        </w:r>
      </w:hyperlink>
      <w:r w:rsidRPr="00C72046">
        <w:rPr>
          <w:rStyle w:val="TextoNormalCaracter"/>
        </w:rPr>
        <w:t>, f. 2.</w:t>
      </w:r>
    </w:p>
    <w:p w14:paraId="7D5A24A3" w14:textId="3DBA1B6A" w:rsidR="00C72046" w:rsidRPr="00C72046" w:rsidRDefault="00C72046" w:rsidP="00C72046">
      <w:pPr>
        <w:pStyle w:val="TextoNormalSangraFrancesa"/>
        <w:rPr>
          <w:rStyle w:val="TextoNormalCaracter"/>
        </w:rPr>
      </w:pPr>
      <w:r w:rsidRPr="00C72046">
        <w:rPr>
          <w:rStyle w:val="TextoNormalCaracter"/>
        </w:rPr>
        <w:t xml:space="preserve">    Auto </w:t>
      </w:r>
      <w:hyperlink w:anchor="AUTO_2025_7" w:history="1">
        <w:r w:rsidRPr="00C72046">
          <w:rPr>
            <w:rStyle w:val="TextoNormalCaracter"/>
          </w:rPr>
          <w:t>7/2025</w:t>
        </w:r>
      </w:hyperlink>
      <w:r w:rsidRPr="00C72046">
        <w:rPr>
          <w:rStyle w:val="TextoNormalCaracter"/>
        </w:rPr>
        <w:t>, f. único.</w:t>
      </w:r>
    </w:p>
    <w:p w14:paraId="0610EEAB" w14:textId="52A0C95F" w:rsidR="00C72046" w:rsidRDefault="00C72046" w:rsidP="00C72046">
      <w:pPr>
        <w:pStyle w:val="TextoNormalSangraFrancesa"/>
      </w:pPr>
    </w:p>
    <w:p w14:paraId="17289832" w14:textId="77777777" w:rsidR="00C72046" w:rsidRDefault="00C72046" w:rsidP="00C72046">
      <w:pPr>
        <w:pStyle w:val="TextoNormalSangraFrancesa"/>
      </w:pPr>
    </w:p>
    <w:p w14:paraId="3FBDD6B7" w14:textId="77777777" w:rsidR="00C72046" w:rsidRDefault="00C72046" w:rsidP="00C72046">
      <w:pPr>
        <w:pStyle w:val="TextoNormalNegritaCentrado"/>
      </w:pPr>
      <w:r>
        <w:t>F</w:t>
      </w:r>
    </w:p>
    <w:p w14:paraId="2947FD74" w14:textId="49D306EF" w:rsidR="00C72046" w:rsidRDefault="00C72046" w:rsidP="00C72046">
      <w:pPr>
        <w:pStyle w:val="TextoNormalNegritaCentrado"/>
      </w:pPr>
    </w:p>
    <w:p w14:paraId="30EA1D09" w14:textId="51FAB1AE" w:rsidR="00C72046" w:rsidRPr="00C72046" w:rsidRDefault="00C72046" w:rsidP="00C72046">
      <w:pPr>
        <w:pStyle w:val="TextoNormalSangraFrancesa"/>
        <w:rPr>
          <w:rStyle w:val="TextoNormalCaracter"/>
        </w:rPr>
      </w:pPr>
      <w:bookmarkStart w:id="941" w:name="DESCRIPTORALFABETICO443"/>
      <w:r w:rsidRPr="00C72046">
        <w:rPr>
          <w:rStyle w:val="TextoNormalNegritaCaracter"/>
        </w:rPr>
        <w:t>Falta de diligencia procesal de la parte</w:t>
      </w:r>
      <w:bookmarkEnd w:id="941"/>
      <w:r w:rsidRPr="00C72046">
        <w:rPr>
          <w:rStyle w:val="TextoNormalCaracter"/>
        </w:rPr>
        <w:t xml:space="preserve">, Sentencia </w:t>
      </w:r>
      <w:hyperlink w:anchor="SENTENCIA_2025_99" w:history="1">
        <w:r w:rsidRPr="00C72046">
          <w:rPr>
            <w:rStyle w:val="TextoNormalCaracter"/>
          </w:rPr>
          <w:t>99/2025</w:t>
        </w:r>
      </w:hyperlink>
      <w:r w:rsidRPr="00C72046">
        <w:rPr>
          <w:rStyle w:val="TextoNormalCaracter"/>
        </w:rPr>
        <w:t>, ff. 2 y 3.</w:t>
      </w:r>
    </w:p>
    <w:p w14:paraId="327CE808" w14:textId="29965C39" w:rsidR="00C72046" w:rsidRPr="00C72046" w:rsidRDefault="00C72046" w:rsidP="00C72046">
      <w:pPr>
        <w:pStyle w:val="TextoNormalSangraFrancesa"/>
        <w:rPr>
          <w:rStyle w:val="TextoNormalCaracter"/>
        </w:rPr>
      </w:pPr>
      <w:bookmarkStart w:id="942" w:name="DESCRIPTORALFABETICO432"/>
      <w:r w:rsidRPr="00C72046">
        <w:rPr>
          <w:rStyle w:val="TextoNormalNegritaCaracter"/>
        </w:rPr>
        <w:t>Falta de emplazamiento que no produce perjuicio</w:t>
      </w:r>
      <w:bookmarkEnd w:id="942"/>
      <w:r w:rsidRPr="00C72046">
        <w:rPr>
          <w:rStyle w:val="TextoNormalCaracter"/>
        </w:rPr>
        <w:t xml:space="preserve">, Sentencia </w:t>
      </w:r>
      <w:hyperlink w:anchor="SENTENCIA_2025_99" w:history="1">
        <w:r w:rsidRPr="00C72046">
          <w:rPr>
            <w:rStyle w:val="TextoNormalCaracter"/>
          </w:rPr>
          <w:t>99/2025</w:t>
        </w:r>
      </w:hyperlink>
      <w:r w:rsidRPr="00C72046">
        <w:rPr>
          <w:rStyle w:val="TextoNormalCaracter"/>
        </w:rPr>
        <w:t>, f. 2.</w:t>
      </w:r>
    </w:p>
    <w:p w14:paraId="7C6EB7B4" w14:textId="553C079D" w:rsidR="00C72046" w:rsidRPr="00C72046" w:rsidRDefault="00C72046" w:rsidP="00C72046">
      <w:pPr>
        <w:pStyle w:val="TextoNormalSangraFrancesa"/>
        <w:rPr>
          <w:rStyle w:val="TextoNormalCaracter"/>
        </w:rPr>
      </w:pPr>
      <w:bookmarkStart w:id="943" w:name="DESCRIPTORALFABETICO89"/>
      <w:r w:rsidRPr="00C72046">
        <w:rPr>
          <w:rStyle w:val="TextoNormalNegritaCaracter"/>
        </w:rPr>
        <w:t>Falta de motivación de las resoluciones judiciales</w:t>
      </w:r>
      <w:bookmarkEnd w:id="943"/>
      <w:r w:rsidRPr="00C72046">
        <w:rPr>
          <w:rStyle w:val="TextoNormalCaracter"/>
        </w:rPr>
        <w:t xml:space="preserve">, Sentencias </w:t>
      </w:r>
      <w:hyperlink w:anchor="SENTENCIA_2025_45" w:history="1">
        <w:r w:rsidRPr="00C72046">
          <w:rPr>
            <w:rStyle w:val="TextoNormalCaracter"/>
          </w:rPr>
          <w:t>45/2025</w:t>
        </w:r>
      </w:hyperlink>
      <w:r w:rsidRPr="00C72046">
        <w:rPr>
          <w:rStyle w:val="TextoNormalCaracter"/>
        </w:rPr>
        <w:t xml:space="preserve">, ff. 2 y 3; </w:t>
      </w:r>
      <w:hyperlink w:anchor="SENTENCIA_2025_126" w:history="1">
        <w:r w:rsidRPr="00C72046">
          <w:rPr>
            <w:rStyle w:val="TextoNormalCaracter"/>
          </w:rPr>
          <w:t>126/2025</w:t>
        </w:r>
      </w:hyperlink>
      <w:r w:rsidRPr="00C72046">
        <w:rPr>
          <w:rStyle w:val="TextoNormalCaracter"/>
        </w:rPr>
        <w:t>, ff. 3 a 7.</w:t>
      </w:r>
    </w:p>
    <w:p w14:paraId="09399F54" w14:textId="56637470" w:rsidR="00C72046" w:rsidRPr="00C72046" w:rsidRDefault="00C72046" w:rsidP="00C72046">
      <w:pPr>
        <w:pStyle w:val="TextoNormalSangraFrancesa"/>
        <w:rPr>
          <w:rStyle w:val="TextoNormalCaracter"/>
        </w:rPr>
      </w:pPr>
      <w:bookmarkStart w:id="944" w:name="DESCRIPTORALFABETICO351"/>
      <w:r w:rsidRPr="00C72046">
        <w:rPr>
          <w:rStyle w:val="TextoNormalNegritaCaracter"/>
        </w:rPr>
        <w:t>Familia monoparental</w:t>
      </w:r>
      <w:bookmarkEnd w:id="944"/>
      <w:r w:rsidRPr="00C72046">
        <w:rPr>
          <w:rStyle w:val="TextoNormalCaracter"/>
        </w:rPr>
        <w:t xml:space="preserve">, Sentencias </w:t>
      </w:r>
      <w:hyperlink w:anchor="SENTENCIA_2025_4" w:history="1">
        <w:r w:rsidRPr="00C72046">
          <w:rPr>
            <w:rStyle w:val="TextoNormalCaracter"/>
          </w:rPr>
          <w:t>4/2025</w:t>
        </w:r>
      </w:hyperlink>
      <w:r w:rsidRPr="00C72046">
        <w:rPr>
          <w:rStyle w:val="TextoNormalCaracter"/>
        </w:rPr>
        <w:t xml:space="preserve">, f. 3; </w:t>
      </w:r>
      <w:hyperlink w:anchor="SENTENCIA_2025_5" w:history="1">
        <w:r w:rsidRPr="00C72046">
          <w:rPr>
            <w:rStyle w:val="TextoNormalCaracter"/>
          </w:rPr>
          <w:t>5/2025</w:t>
        </w:r>
      </w:hyperlink>
      <w:r w:rsidRPr="00C72046">
        <w:rPr>
          <w:rStyle w:val="TextoNormalCaracter"/>
        </w:rPr>
        <w:t xml:space="preserve">, f. único;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xml:space="preserve">, f. 3; </w:t>
      </w:r>
      <w:hyperlink w:anchor="SENTENCIA_2025_17" w:history="1">
        <w:r w:rsidRPr="00C72046">
          <w:rPr>
            <w:rStyle w:val="TextoNormalCaracter"/>
          </w:rPr>
          <w:t>17/2025</w:t>
        </w:r>
      </w:hyperlink>
      <w:r w:rsidRPr="00C72046">
        <w:rPr>
          <w:rStyle w:val="TextoNormalCaracter"/>
        </w:rPr>
        <w:t xml:space="preserve">, f. único; </w:t>
      </w:r>
      <w:hyperlink w:anchor="SENTENCIA_2025_18" w:history="1">
        <w:r w:rsidRPr="00C72046">
          <w:rPr>
            <w:rStyle w:val="TextoNormalCaracter"/>
          </w:rPr>
          <w:t>18/2025</w:t>
        </w:r>
      </w:hyperlink>
      <w:r w:rsidRPr="00C72046">
        <w:rPr>
          <w:rStyle w:val="TextoNormalCaracter"/>
        </w:rPr>
        <w:t xml:space="preserve">, f. único; </w:t>
      </w:r>
      <w:hyperlink w:anchor="SENTENCIA_2025_19" w:history="1">
        <w:r w:rsidRPr="00C72046">
          <w:rPr>
            <w:rStyle w:val="TextoNormalCaracter"/>
          </w:rPr>
          <w:t>19/2025</w:t>
        </w:r>
      </w:hyperlink>
      <w:r w:rsidRPr="00C72046">
        <w:rPr>
          <w:rStyle w:val="TextoNormalCaracter"/>
        </w:rPr>
        <w:t xml:space="preserve">, f. único; </w:t>
      </w:r>
      <w:hyperlink w:anchor="SENTENCIA_2025_20" w:history="1">
        <w:r w:rsidRPr="00C72046">
          <w:rPr>
            <w:rStyle w:val="TextoNormalCaracter"/>
          </w:rPr>
          <w:t>20/2025</w:t>
        </w:r>
      </w:hyperlink>
      <w:r w:rsidRPr="00C72046">
        <w:rPr>
          <w:rStyle w:val="TextoNormalCaracter"/>
        </w:rPr>
        <w:t xml:space="preserve">, f. único; </w:t>
      </w:r>
      <w:hyperlink w:anchor="SENTENCIA_2025_21" w:history="1">
        <w:r w:rsidRPr="00C72046">
          <w:rPr>
            <w:rStyle w:val="TextoNormalCaracter"/>
          </w:rPr>
          <w:t>21/2025</w:t>
        </w:r>
      </w:hyperlink>
      <w:r w:rsidRPr="00C72046">
        <w:rPr>
          <w:rStyle w:val="TextoNormalCaracter"/>
        </w:rPr>
        <w:t xml:space="preserve">, f. 2; </w:t>
      </w:r>
      <w:hyperlink w:anchor="SENTENCIA_2025_22" w:history="1">
        <w:r w:rsidRPr="00C72046">
          <w:rPr>
            <w:rStyle w:val="TextoNormalCaracter"/>
          </w:rPr>
          <w:t>22/2025</w:t>
        </w:r>
      </w:hyperlink>
      <w:r w:rsidRPr="00C72046">
        <w:rPr>
          <w:rStyle w:val="TextoNormalCaracter"/>
        </w:rPr>
        <w:t xml:space="preserve">, f. único; </w:t>
      </w:r>
      <w:hyperlink w:anchor="SENTENCIA_2025_23" w:history="1">
        <w:r w:rsidRPr="00C72046">
          <w:rPr>
            <w:rStyle w:val="TextoNormalCaracter"/>
          </w:rPr>
          <w:t>23/2025</w:t>
        </w:r>
      </w:hyperlink>
      <w:r w:rsidRPr="00C72046">
        <w:rPr>
          <w:rStyle w:val="TextoNormalCaracter"/>
        </w:rPr>
        <w:t xml:space="preserve">, f. 2; </w:t>
      </w:r>
      <w:hyperlink w:anchor="SENTENCIA_2025_24" w:history="1">
        <w:r w:rsidRPr="00C72046">
          <w:rPr>
            <w:rStyle w:val="TextoNormalCaracter"/>
          </w:rPr>
          <w:t>24/2025</w:t>
        </w:r>
      </w:hyperlink>
      <w:r w:rsidRPr="00C72046">
        <w:rPr>
          <w:rStyle w:val="TextoNormalCaracter"/>
        </w:rPr>
        <w:t xml:space="preserve">, f. 2; </w:t>
      </w:r>
      <w:hyperlink w:anchor="SENTENCIA_2025_29" w:history="1">
        <w:r w:rsidRPr="00C72046">
          <w:rPr>
            <w:rStyle w:val="TextoNormalCaracter"/>
          </w:rPr>
          <w:t>29/2025</w:t>
        </w:r>
      </w:hyperlink>
      <w:r w:rsidRPr="00C72046">
        <w:rPr>
          <w:rStyle w:val="TextoNormalCaracter"/>
        </w:rPr>
        <w:t xml:space="preserve">, f. único; </w:t>
      </w:r>
      <w:hyperlink w:anchor="SENTENCIA_2025_30" w:history="1">
        <w:r w:rsidRPr="00C72046">
          <w:rPr>
            <w:rStyle w:val="TextoNormalCaracter"/>
          </w:rPr>
          <w:t>30/2025</w:t>
        </w:r>
      </w:hyperlink>
      <w:r w:rsidRPr="00C72046">
        <w:rPr>
          <w:rStyle w:val="TextoNormalCaracter"/>
        </w:rPr>
        <w:t xml:space="preserve">, f. 2; </w:t>
      </w:r>
      <w:hyperlink w:anchor="SENTENCIA_2025_32" w:history="1">
        <w:r w:rsidRPr="00C72046">
          <w:rPr>
            <w:rStyle w:val="TextoNormalCaracter"/>
          </w:rPr>
          <w:t>32/2025</w:t>
        </w:r>
      </w:hyperlink>
      <w:r w:rsidRPr="00C72046">
        <w:rPr>
          <w:rStyle w:val="TextoNormalCaracter"/>
        </w:rPr>
        <w:t xml:space="preserve">, f. 2; </w:t>
      </w:r>
      <w:hyperlink w:anchor="SENTENCIA_2025_33" w:history="1">
        <w:r w:rsidRPr="00C72046">
          <w:rPr>
            <w:rStyle w:val="TextoNormalCaracter"/>
          </w:rPr>
          <w:t>33/2025</w:t>
        </w:r>
      </w:hyperlink>
      <w:r w:rsidRPr="00C72046">
        <w:rPr>
          <w:rStyle w:val="TextoNormalCaracter"/>
        </w:rPr>
        <w:t xml:space="preserve">, f. 2; </w:t>
      </w:r>
      <w:hyperlink w:anchor="SENTENCIA_2025_34" w:history="1">
        <w:r w:rsidRPr="00C72046">
          <w:rPr>
            <w:rStyle w:val="TextoNormalCaracter"/>
          </w:rPr>
          <w:t>34/2025</w:t>
        </w:r>
      </w:hyperlink>
      <w:r w:rsidRPr="00C72046">
        <w:rPr>
          <w:rStyle w:val="TextoNormalCaracter"/>
        </w:rPr>
        <w:t xml:space="preserve">, f. único; </w:t>
      </w:r>
      <w:hyperlink w:anchor="SENTENCIA_2025_35" w:history="1">
        <w:r w:rsidRPr="00C72046">
          <w:rPr>
            <w:rStyle w:val="TextoNormalCaracter"/>
          </w:rPr>
          <w:t>35/2025</w:t>
        </w:r>
      </w:hyperlink>
      <w:r w:rsidRPr="00C72046">
        <w:rPr>
          <w:rStyle w:val="TextoNormalCaracter"/>
        </w:rPr>
        <w:t xml:space="preserve">, f. 2; </w:t>
      </w:r>
      <w:hyperlink w:anchor="SENTENCIA_2025_36" w:history="1">
        <w:r w:rsidRPr="00C72046">
          <w:rPr>
            <w:rStyle w:val="TextoNormalCaracter"/>
          </w:rPr>
          <w:t>36/2025</w:t>
        </w:r>
      </w:hyperlink>
      <w:r w:rsidRPr="00C72046">
        <w:rPr>
          <w:rStyle w:val="TextoNormalCaracter"/>
        </w:rPr>
        <w:t xml:space="preserve">, f.único; </w:t>
      </w:r>
      <w:hyperlink w:anchor="SENTENCIA_2025_38" w:history="1">
        <w:r w:rsidRPr="00C72046">
          <w:rPr>
            <w:rStyle w:val="TextoNormalCaracter"/>
          </w:rPr>
          <w:t>38/2025</w:t>
        </w:r>
      </w:hyperlink>
      <w:r w:rsidRPr="00C72046">
        <w:rPr>
          <w:rStyle w:val="TextoNormalCaracter"/>
        </w:rPr>
        <w:t xml:space="preserve">, f. 2; </w:t>
      </w:r>
      <w:hyperlink w:anchor="SENTENCIA_2025_39" w:history="1">
        <w:r w:rsidRPr="00C72046">
          <w:rPr>
            <w:rStyle w:val="TextoNormalCaracter"/>
          </w:rPr>
          <w:t>39/2025</w:t>
        </w:r>
      </w:hyperlink>
      <w:r w:rsidRPr="00C72046">
        <w:rPr>
          <w:rStyle w:val="TextoNormalCaracter"/>
        </w:rPr>
        <w:t xml:space="preserve">, f. 2; </w:t>
      </w:r>
      <w:hyperlink w:anchor="SENTENCIA_2025_46" w:history="1">
        <w:r w:rsidRPr="00C72046">
          <w:rPr>
            <w:rStyle w:val="TextoNormalCaracter"/>
          </w:rPr>
          <w:t>46/2025</w:t>
        </w:r>
      </w:hyperlink>
      <w:r w:rsidRPr="00C72046">
        <w:rPr>
          <w:rStyle w:val="TextoNormalCaracter"/>
        </w:rPr>
        <w:t xml:space="preserve">, f. único; </w:t>
      </w:r>
      <w:hyperlink w:anchor="SENTENCIA_2025_47" w:history="1">
        <w:r w:rsidRPr="00C72046">
          <w:rPr>
            <w:rStyle w:val="TextoNormalCaracter"/>
          </w:rPr>
          <w:t>47/2025</w:t>
        </w:r>
      </w:hyperlink>
      <w:r w:rsidRPr="00C72046">
        <w:rPr>
          <w:rStyle w:val="TextoNormalCaracter"/>
        </w:rPr>
        <w:t xml:space="preserve">, f. 2; </w:t>
      </w:r>
      <w:hyperlink w:anchor="SENTENCIA_2025_48" w:history="1">
        <w:r w:rsidRPr="00C72046">
          <w:rPr>
            <w:rStyle w:val="TextoNormalCaracter"/>
          </w:rPr>
          <w:t>48/2025</w:t>
        </w:r>
      </w:hyperlink>
      <w:r w:rsidRPr="00C72046">
        <w:rPr>
          <w:rStyle w:val="TextoNormalCaracter"/>
        </w:rPr>
        <w:t xml:space="preserve">, f. 2; </w:t>
      </w:r>
      <w:hyperlink w:anchor="SENTENCIA_2025_50" w:history="1">
        <w:r w:rsidRPr="00C72046">
          <w:rPr>
            <w:rStyle w:val="TextoNormalCaracter"/>
          </w:rPr>
          <w:t>50/2025</w:t>
        </w:r>
      </w:hyperlink>
      <w:r w:rsidRPr="00C72046">
        <w:rPr>
          <w:rStyle w:val="TextoNormalCaracter"/>
        </w:rPr>
        <w:t xml:space="preserve">, f. 2; </w:t>
      </w:r>
      <w:hyperlink w:anchor="SENTENCIA_2025_56" w:history="1">
        <w:r w:rsidRPr="00C72046">
          <w:rPr>
            <w:rStyle w:val="TextoNormalCaracter"/>
          </w:rPr>
          <w:t>56/2025</w:t>
        </w:r>
      </w:hyperlink>
      <w:r w:rsidRPr="00C72046">
        <w:rPr>
          <w:rStyle w:val="TextoNormalCaracter"/>
        </w:rPr>
        <w:t xml:space="preserve">, f. 2; </w:t>
      </w:r>
      <w:hyperlink w:anchor="SENTENCIA_2025_57" w:history="1">
        <w:r w:rsidRPr="00C72046">
          <w:rPr>
            <w:rStyle w:val="TextoNormalCaracter"/>
          </w:rPr>
          <w:t>57/2025</w:t>
        </w:r>
      </w:hyperlink>
      <w:r w:rsidRPr="00C72046">
        <w:rPr>
          <w:rStyle w:val="TextoNormalCaracter"/>
        </w:rPr>
        <w:t xml:space="preserve">, f. 2; </w:t>
      </w:r>
      <w:hyperlink w:anchor="SENTENCIA_2025_58" w:history="1">
        <w:r w:rsidRPr="00C72046">
          <w:rPr>
            <w:rStyle w:val="TextoNormalCaracter"/>
          </w:rPr>
          <w:t>58/2025</w:t>
        </w:r>
      </w:hyperlink>
      <w:r w:rsidRPr="00C72046">
        <w:rPr>
          <w:rStyle w:val="TextoNormalCaracter"/>
        </w:rPr>
        <w:t xml:space="preserve">, f. 2; </w:t>
      </w:r>
      <w:hyperlink w:anchor="SENTENCIA_2025_59" w:history="1">
        <w:r w:rsidRPr="00C72046">
          <w:rPr>
            <w:rStyle w:val="TextoNormalCaracter"/>
          </w:rPr>
          <w:t>59/2025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65" w:history="1">
        <w:r w:rsidRPr="00C72046">
          <w:rPr>
            <w:rStyle w:val="TextoNormalCaracter"/>
          </w:rPr>
          <w:t>65/2025</w:t>
        </w:r>
      </w:hyperlink>
      <w:r w:rsidRPr="00C72046">
        <w:rPr>
          <w:rStyle w:val="TextoNormalCaracter"/>
        </w:rPr>
        <w:t xml:space="preserve">, f. único; </w:t>
      </w:r>
      <w:hyperlink w:anchor="SENTENCIA_2025_66" w:history="1">
        <w:r w:rsidRPr="00C72046">
          <w:rPr>
            <w:rStyle w:val="TextoNormalCaracter"/>
          </w:rPr>
          <w:t>66/2025</w:t>
        </w:r>
      </w:hyperlink>
      <w:r w:rsidRPr="00C72046">
        <w:rPr>
          <w:rStyle w:val="TextoNormalCaracter"/>
        </w:rPr>
        <w:t xml:space="preserve">, f. 2; </w:t>
      </w:r>
      <w:hyperlink w:anchor="SENTENCIA_2025_67" w:history="1">
        <w:r w:rsidRPr="00C72046">
          <w:rPr>
            <w:rStyle w:val="TextoNormalCaracter"/>
          </w:rPr>
          <w:t>67/2025</w:t>
        </w:r>
      </w:hyperlink>
      <w:r w:rsidRPr="00C72046">
        <w:rPr>
          <w:rStyle w:val="TextoNormalCaracter"/>
        </w:rPr>
        <w:t xml:space="preserve">, f. 2; </w:t>
      </w:r>
      <w:hyperlink w:anchor="SENTENCIA_2025_68" w:history="1">
        <w:r w:rsidRPr="00C72046">
          <w:rPr>
            <w:rStyle w:val="TextoNormalCaracter"/>
          </w:rPr>
          <w:t>68/2025</w:t>
        </w:r>
      </w:hyperlink>
      <w:r w:rsidRPr="00C72046">
        <w:rPr>
          <w:rStyle w:val="TextoNormalCaracter"/>
        </w:rPr>
        <w:t xml:space="preserve">, f. 2; </w:t>
      </w:r>
      <w:hyperlink w:anchor="SENTENCIA_2025_70" w:history="1">
        <w:r w:rsidRPr="00C72046">
          <w:rPr>
            <w:rStyle w:val="TextoNormalCaracter"/>
          </w:rPr>
          <w:t>70/2025</w:t>
        </w:r>
      </w:hyperlink>
      <w:r w:rsidRPr="00C72046">
        <w:rPr>
          <w:rStyle w:val="TextoNormalCaracter"/>
        </w:rPr>
        <w:t xml:space="preserve">, f. 2; </w:t>
      </w:r>
      <w:hyperlink w:anchor="SENTENCIA_2025_71" w:history="1">
        <w:r w:rsidRPr="00C72046">
          <w:rPr>
            <w:rStyle w:val="TextoNormalCaracter"/>
          </w:rPr>
          <w:t>71/2025</w:t>
        </w:r>
      </w:hyperlink>
      <w:r w:rsidRPr="00C72046">
        <w:rPr>
          <w:rStyle w:val="TextoNormalCaracter"/>
        </w:rPr>
        <w:t xml:space="preserve">, f. único; </w:t>
      </w:r>
      <w:hyperlink w:anchor="SENTENCIA_2025_72" w:history="1">
        <w:r w:rsidRPr="00C72046">
          <w:rPr>
            <w:rStyle w:val="TextoNormalCaracter"/>
          </w:rPr>
          <w:t>72/2025</w:t>
        </w:r>
      </w:hyperlink>
      <w:r w:rsidRPr="00C72046">
        <w:rPr>
          <w:rStyle w:val="TextoNormalCaracter"/>
        </w:rPr>
        <w:t xml:space="preserve">, f. único; </w:t>
      </w:r>
      <w:hyperlink w:anchor="SENTENCIA_2025_73" w:history="1">
        <w:r w:rsidRPr="00C72046">
          <w:rPr>
            <w:rStyle w:val="TextoNormalCaracter"/>
          </w:rPr>
          <w:t>73/2025</w:t>
        </w:r>
      </w:hyperlink>
      <w:r w:rsidRPr="00C72046">
        <w:rPr>
          <w:rStyle w:val="TextoNormalCaracter"/>
        </w:rPr>
        <w:t xml:space="preserve">, f. 2; </w:t>
      </w:r>
      <w:hyperlink w:anchor="SENTENCIA_2025_74" w:history="1">
        <w:r w:rsidRPr="00C72046">
          <w:rPr>
            <w:rStyle w:val="TextoNormalCaracter"/>
          </w:rPr>
          <w:t>74/2025</w:t>
        </w:r>
      </w:hyperlink>
      <w:r w:rsidRPr="00C72046">
        <w:rPr>
          <w:rStyle w:val="TextoNormalCaracter"/>
        </w:rPr>
        <w:t xml:space="preserve">, f. único; </w:t>
      </w:r>
      <w:hyperlink w:anchor="SENTENCIA_2025_75" w:history="1">
        <w:r w:rsidRPr="00C72046">
          <w:rPr>
            <w:rStyle w:val="TextoNormalCaracter"/>
          </w:rPr>
          <w:t>75/2025</w:t>
        </w:r>
      </w:hyperlink>
      <w:r w:rsidRPr="00C72046">
        <w:rPr>
          <w:rStyle w:val="TextoNormalCaracter"/>
        </w:rPr>
        <w:t xml:space="preserve">, f. único; </w:t>
      </w:r>
      <w:hyperlink w:anchor="SENTENCIA_2025_76" w:history="1">
        <w:r w:rsidRPr="00C72046">
          <w:rPr>
            <w:rStyle w:val="TextoNormalCaracter"/>
          </w:rPr>
          <w:t>76/2025</w:t>
        </w:r>
      </w:hyperlink>
      <w:r w:rsidRPr="00C72046">
        <w:rPr>
          <w:rStyle w:val="TextoNormalCaracter"/>
        </w:rPr>
        <w:t xml:space="preserve">, f. 2; </w:t>
      </w:r>
      <w:hyperlink w:anchor="SENTENCIA_2025_77" w:history="1">
        <w:r w:rsidRPr="00C72046">
          <w:rPr>
            <w:rStyle w:val="TextoNormalCaracter"/>
          </w:rPr>
          <w:t>77/2025</w:t>
        </w:r>
      </w:hyperlink>
      <w:r w:rsidRPr="00C72046">
        <w:rPr>
          <w:rStyle w:val="TextoNormalCaracter"/>
        </w:rPr>
        <w:t xml:space="preserve">, f. único; </w:t>
      </w:r>
      <w:hyperlink w:anchor="SENTENCIA_2025_78" w:history="1">
        <w:r w:rsidRPr="00C72046">
          <w:rPr>
            <w:rStyle w:val="TextoNormalCaracter"/>
          </w:rPr>
          <w:t>78/2025</w:t>
        </w:r>
      </w:hyperlink>
      <w:r w:rsidRPr="00C72046">
        <w:rPr>
          <w:rStyle w:val="TextoNormalCaracter"/>
        </w:rPr>
        <w:t xml:space="preserve">, f. único; </w:t>
      </w:r>
      <w:hyperlink w:anchor="SENTENCIA_2025_79" w:history="1">
        <w:r w:rsidRPr="00C72046">
          <w:rPr>
            <w:rStyle w:val="TextoNormalCaracter"/>
          </w:rPr>
          <w:t>79/2025</w:t>
        </w:r>
      </w:hyperlink>
      <w:r w:rsidRPr="00C72046">
        <w:rPr>
          <w:rStyle w:val="TextoNormalCaracter"/>
        </w:rPr>
        <w:t xml:space="preserve">, f. 3; </w:t>
      </w:r>
      <w:hyperlink w:anchor="SENTENCIA_2025_80" w:history="1">
        <w:r w:rsidRPr="00C72046">
          <w:rPr>
            <w:rStyle w:val="TextoNormalCaracter"/>
          </w:rPr>
          <w:t>80/2025</w:t>
        </w:r>
      </w:hyperlink>
      <w:r w:rsidRPr="00C72046">
        <w:rPr>
          <w:rStyle w:val="TextoNormalCaracter"/>
        </w:rPr>
        <w:t xml:space="preserve">, f. 2; </w:t>
      </w:r>
      <w:hyperlink w:anchor="SENTENCIA_2025_81" w:history="1">
        <w:r w:rsidRPr="00C72046">
          <w:rPr>
            <w:rStyle w:val="TextoNormalCaracter"/>
          </w:rPr>
          <w:t>81/2025</w:t>
        </w:r>
      </w:hyperlink>
      <w:r w:rsidRPr="00C72046">
        <w:rPr>
          <w:rStyle w:val="TextoNormalCaracter"/>
        </w:rPr>
        <w:t xml:space="preserve">, f. 2; </w:t>
      </w:r>
      <w:hyperlink w:anchor="SENTENCIA_2025_88" w:history="1">
        <w:r w:rsidRPr="00C72046">
          <w:rPr>
            <w:rStyle w:val="TextoNormalCaracter"/>
          </w:rPr>
          <w:t>88/2025</w:t>
        </w:r>
      </w:hyperlink>
      <w:r w:rsidRPr="00C72046">
        <w:rPr>
          <w:rStyle w:val="TextoNormalCaracter"/>
        </w:rPr>
        <w:t xml:space="preserve">, f. 2; </w:t>
      </w:r>
      <w:hyperlink w:anchor="SENTENCIA_2025_89" w:history="1">
        <w:r w:rsidRPr="00C72046">
          <w:rPr>
            <w:rStyle w:val="TextoNormalCaracter"/>
          </w:rPr>
          <w:t>89/2025</w:t>
        </w:r>
      </w:hyperlink>
      <w:r w:rsidRPr="00C72046">
        <w:rPr>
          <w:rStyle w:val="TextoNormalCaracter"/>
        </w:rPr>
        <w:t xml:space="preserve">, f. 2; </w:t>
      </w:r>
      <w:hyperlink w:anchor="SENTENCIA_2025_90" w:history="1">
        <w:r w:rsidRPr="00C72046">
          <w:rPr>
            <w:rStyle w:val="TextoNormalCaracter"/>
          </w:rPr>
          <w:t>90/2025</w:t>
        </w:r>
      </w:hyperlink>
      <w:r w:rsidRPr="00C72046">
        <w:rPr>
          <w:rStyle w:val="TextoNormalCaracter"/>
        </w:rPr>
        <w:t xml:space="preserve">, f. 2; </w:t>
      </w:r>
      <w:hyperlink w:anchor="SENTENCIA_2025_91" w:history="1">
        <w:r w:rsidRPr="00C72046">
          <w:rPr>
            <w:rStyle w:val="TextoNormalCaracter"/>
          </w:rPr>
          <w:t>91/2025</w:t>
        </w:r>
      </w:hyperlink>
      <w:r w:rsidRPr="00C72046">
        <w:rPr>
          <w:rStyle w:val="TextoNormalCaracter"/>
        </w:rPr>
        <w:t xml:space="preserve">, f. único; </w:t>
      </w:r>
      <w:hyperlink w:anchor="SENTENCIA_2025_92" w:history="1">
        <w:r w:rsidRPr="00C72046">
          <w:rPr>
            <w:rStyle w:val="TextoNormalCaracter"/>
          </w:rPr>
          <w:t>92/2025</w:t>
        </w:r>
      </w:hyperlink>
      <w:r w:rsidRPr="00C72046">
        <w:rPr>
          <w:rStyle w:val="TextoNormalCaracter"/>
        </w:rPr>
        <w:t xml:space="preserve">, f. 2; </w:t>
      </w:r>
      <w:hyperlink w:anchor="SENTENCIA_2025_93" w:history="1">
        <w:r w:rsidRPr="00C72046">
          <w:rPr>
            <w:rStyle w:val="TextoNormalCaracter"/>
          </w:rPr>
          <w:t>93/2025</w:t>
        </w:r>
      </w:hyperlink>
      <w:r w:rsidRPr="00C72046">
        <w:rPr>
          <w:rStyle w:val="TextoNormalCaracter"/>
        </w:rPr>
        <w:t xml:space="preserve">, f. 2; </w:t>
      </w:r>
      <w:hyperlink w:anchor="SENTENCIA_2025_94" w:history="1">
        <w:r w:rsidRPr="00C72046">
          <w:rPr>
            <w:rStyle w:val="TextoNormalCaracter"/>
          </w:rPr>
          <w:t>94/2025</w:t>
        </w:r>
      </w:hyperlink>
      <w:r w:rsidRPr="00C72046">
        <w:rPr>
          <w:rStyle w:val="TextoNormalCaracter"/>
        </w:rPr>
        <w:t xml:space="preserve">, f. 2; </w:t>
      </w:r>
      <w:hyperlink w:anchor="SENTENCIA_2025_102" w:history="1">
        <w:r w:rsidRPr="00C72046">
          <w:rPr>
            <w:rStyle w:val="TextoNormalCaracter"/>
          </w:rPr>
          <w:t>102/2025</w:t>
        </w:r>
      </w:hyperlink>
      <w:r w:rsidRPr="00C72046">
        <w:rPr>
          <w:rStyle w:val="TextoNormalCaracter"/>
        </w:rPr>
        <w:t xml:space="preserve">, f. 2; </w:t>
      </w:r>
      <w:hyperlink w:anchor="SENTENCIA_2025_103" w:history="1">
        <w:r w:rsidRPr="00C72046">
          <w:rPr>
            <w:rStyle w:val="TextoNormalCaracter"/>
          </w:rPr>
          <w:t>103/2025</w:t>
        </w:r>
      </w:hyperlink>
      <w:r w:rsidRPr="00C72046">
        <w:rPr>
          <w:rStyle w:val="TextoNormalCaracter"/>
        </w:rPr>
        <w:t xml:space="preserve">, f. único; </w:t>
      </w:r>
      <w:hyperlink w:anchor="SENTENCIA_2025_104" w:history="1">
        <w:r w:rsidRPr="00C72046">
          <w:rPr>
            <w:rStyle w:val="TextoNormalCaracter"/>
          </w:rPr>
          <w:t>104/2025</w:t>
        </w:r>
      </w:hyperlink>
      <w:r w:rsidRPr="00C72046">
        <w:rPr>
          <w:rStyle w:val="TextoNormalCaracter"/>
        </w:rPr>
        <w:t xml:space="preserve">, f. único; </w:t>
      </w:r>
      <w:hyperlink w:anchor="SENTENCIA_2025_112" w:history="1">
        <w:r w:rsidRPr="00C72046">
          <w:rPr>
            <w:rStyle w:val="TextoNormalCaracter"/>
          </w:rPr>
          <w:t>112/2025</w:t>
        </w:r>
      </w:hyperlink>
      <w:r w:rsidRPr="00C72046">
        <w:rPr>
          <w:rStyle w:val="TextoNormalCaracter"/>
        </w:rPr>
        <w:t xml:space="preserve">, f. 2; </w:t>
      </w:r>
      <w:hyperlink w:anchor="SENTENCIA_2025_113" w:history="1">
        <w:r w:rsidRPr="00C72046">
          <w:rPr>
            <w:rStyle w:val="TextoNormalCaracter"/>
          </w:rPr>
          <w:t>113/2025</w:t>
        </w:r>
      </w:hyperlink>
      <w:r w:rsidRPr="00C72046">
        <w:rPr>
          <w:rStyle w:val="TextoNormalCaracter"/>
        </w:rPr>
        <w:t xml:space="preserve">, f. único; </w:t>
      </w:r>
      <w:hyperlink w:anchor="SENTENCIA_2025_114" w:history="1">
        <w:r w:rsidRPr="00C72046">
          <w:rPr>
            <w:rStyle w:val="TextoNormalCaracter"/>
          </w:rPr>
          <w:t>114/2025</w:t>
        </w:r>
      </w:hyperlink>
      <w:r w:rsidRPr="00C72046">
        <w:rPr>
          <w:rStyle w:val="TextoNormalCaracter"/>
        </w:rPr>
        <w:t xml:space="preserve">, f. único; </w:t>
      </w:r>
      <w:hyperlink w:anchor="SENTENCIA_2025_115" w:history="1">
        <w:r w:rsidRPr="00C72046">
          <w:rPr>
            <w:rStyle w:val="TextoNormalCaracter"/>
          </w:rPr>
          <w:t>115/2025</w:t>
        </w:r>
      </w:hyperlink>
      <w:r w:rsidRPr="00C72046">
        <w:rPr>
          <w:rStyle w:val="TextoNormalCaracter"/>
        </w:rPr>
        <w:t xml:space="preserve">, f. único; </w:t>
      </w:r>
      <w:hyperlink w:anchor="SENTENCIA_2025_116" w:history="1">
        <w:r w:rsidRPr="00C72046">
          <w:rPr>
            <w:rStyle w:val="TextoNormalCaracter"/>
          </w:rPr>
          <w:t>116/2025</w:t>
        </w:r>
      </w:hyperlink>
      <w:r w:rsidRPr="00C72046">
        <w:rPr>
          <w:rStyle w:val="TextoNormalCaracter"/>
        </w:rPr>
        <w:t xml:space="preserve">, f. único; </w:t>
      </w:r>
      <w:hyperlink w:anchor="SENTENCIA_2025_122" w:history="1">
        <w:r w:rsidRPr="00C72046">
          <w:rPr>
            <w:rStyle w:val="TextoNormalCaracter"/>
          </w:rPr>
          <w:t>122/2025</w:t>
        </w:r>
      </w:hyperlink>
      <w:r w:rsidRPr="00C72046">
        <w:rPr>
          <w:rStyle w:val="TextoNormalCaracter"/>
        </w:rPr>
        <w:t xml:space="preserve">, f. único; </w:t>
      </w:r>
      <w:hyperlink w:anchor="SENTENCIA_2025_123" w:history="1">
        <w:r w:rsidRPr="00C72046">
          <w:rPr>
            <w:rStyle w:val="TextoNormalCaracter"/>
          </w:rPr>
          <w:t>123/2025</w:t>
        </w:r>
      </w:hyperlink>
      <w:r w:rsidRPr="00C72046">
        <w:rPr>
          <w:rStyle w:val="TextoNormalCaracter"/>
        </w:rPr>
        <w:t xml:space="preserve">, ff. 1 a 3; </w:t>
      </w:r>
      <w:hyperlink w:anchor="SENTENCIA_2025_124" w:history="1">
        <w:r w:rsidRPr="00C72046">
          <w:rPr>
            <w:rStyle w:val="TextoNormalCaracter"/>
          </w:rPr>
          <w:t>124/2025</w:t>
        </w:r>
      </w:hyperlink>
      <w:r w:rsidRPr="00C72046">
        <w:rPr>
          <w:rStyle w:val="TextoNormalCaracter"/>
        </w:rPr>
        <w:t xml:space="preserve">, f. 2; </w:t>
      </w:r>
      <w:hyperlink w:anchor="SENTENCIA_2025_125" w:history="1">
        <w:r w:rsidRPr="00C72046">
          <w:rPr>
            <w:rStyle w:val="TextoNormalCaracter"/>
          </w:rPr>
          <w:t>125/2025</w:t>
        </w:r>
      </w:hyperlink>
      <w:r w:rsidRPr="00C72046">
        <w:rPr>
          <w:rStyle w:val="TextoNormalCaracter"/>
        </w:rPr>
        <w:t xml:space="preserve">, f. único; </w:t>
      </w:r>
      <w:hyperlink w:anchor="SENTENCIA_2025_127" w:history="1">
        <w:r w:rsidRPr="00C72046">
          <w:rPr>
            <w:rStyle w:val="TextoNormalCaracter"/>
          </w:rPr>
          <w:t>127/2025</w:t>
        </w:r>
      </w:hyperlink>
      <w:r w:rsidRPr="00C72046">
        <w:rPr>
          <w:rStyle w:val="TextoNormalCaracter"/>
        </w:rPr>
        <w:t xml:space="preserve">, ff. 1 y 2; </w:t>
      </w:r>
      <w:hyperlink w:anchor="SENTENCIA_2025_128" w:history="1">
        <w:r w:rsidRPr="00C72046">
          <w:rPr>
            <w:rStyle w:val="TextoNormalCaracter"/>
          </w:rPr>
          <w:t>128/2025</w:t>
        </w:r>
      </w:hyperlink>
      <w:r w:rsidRPr="00C72046">
        <w:rPr>
          <w:rStyle w:val="TextoNormalCaracter"/>
        </w:rPr>
        <w:t xml:space="preserve">, f. 2; </w:t>
      </w:r>
      <w:hyperlink w:anchor="SENTENCIA_2025_129" w:history="1">
        <w:r w:rsidRPr="00C72046">
          <w:rPr>
            <w:rStyle w:val="TextoNormalCaracter"/>
          </w:rPr>
          <w:t>129/2025</w:t>
        </w:r>
      </w:hyperlink>
      <w:r w:rsidRPr="00C72046">
        <w:rPr>
          <w:rStyle w:val="TextoNormalCaracter"/>
        </w:rPr>
        <w:t xml:space="preserve">, f. 2; </w:t>
      </w:r>
      <w:hyperlink w:anchor="SENTENCIA_2025_130" w:history="1">
        <w:r w:rsidRPr="00C72046">
          <w:rPr>
            <w:rStyle w:val="TextoNormalCaracter"/>
          </w:rPr>
          <w:t>130/2025</w:t>
        </w:r>
      </w:hyperlink>
      <w:r w:rsidRPr="00C72046">
        <w:rPr>
          <w:rStyle w:val="TextoNormalCaracter"/>
        </w:rPr>
        <w:t xml:space="preserve">, f. 2; </w:t>
      </w:r>
      <w:hyperlink w:anchor="SENTENCIA_2025_131" w:history="1">
        <w:r w:rsidRPr="00C72046">
          <w:rPr>
            <w:rStyle w:val="TextoNormalCaracter"/>
          </w:rPr>
          <w:t>131/2025</w:t>
        </w:r>
      </w:hyperlink>
      <w:r w:rsidRPr="00C72046">
        <w:rPr>
          <w:rStyle w:val="TextoNormalCaracter"/>
        </w:rPr>
        <w:t>, f. 2.</w:t>
      </w:r>
    </w:p>
    <w:p w14:paraId="5366006B" w14:textId="638449E0" w:rsidR="00C72046" w:rsidRPr="00C72046" w:rsidRDefault="00C72046" w:rsidP="00C72046">
      <w:pPr>
        <w:pStyle w:val="TextoNormalSangraFrancesa"/>
        <w:rPr>
          <w:rStyle w:val="TextoNormalCaracter"/>
        </w:rPr>
      </w:pPr>
      <w:bookmarkStart w:id="945" w:name="DESCRIPTORALFABETICO321"/>
      <w:r w:rsidRPr="00C72046">
        <w:rPr>
          <w:rStyle w:val="TextoNormalNegritaCaracter"/>
        </w:rPr>
        <w:t>Financiación de servicios públicos</w:t>
      </w:r>
      <w:bookmarkEnd w:id="945"/>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ff. 2 a 4.</w:t>
      </w:r>
    </w:p>
    <w:p w14:paraId="15BC8035" w14:textId="3F146EC8" w:rsidR="00C72046" w:rsidRPr="00C72046" w:rsidRDefault="00C72046" w:rsidP="00C72046">
      <w:pPr>
        <w:pStyle w:val="TextoNormalSangraFrancesa"/>
        <w:rPr>
          <w:rStyle w:val="TextoNormalCaracter"/>
        </w:rPr>
      </w:pPr>
      <w:bookmarkStart w:id="946" w:name="DESCRIPTORALFABETICO341"/>
      <w:r w:rsidRPr="00C72046">
        <w:rPr>
          <w:rStyle w:val="TextoNormalNegritaCaracter"/>
        </w:rPr>
        <w:t>Formación en categorías presencial y virtual</w:t>
      </w:r>
      <w:bookmarkEnd w:id="946"/>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49531CC8" w14:textId="65D5E6C9" w:rsidR="00C72046" w:rsidRPr="00C72046" w:rsidRDefault="00C72046" w:rsidP="00C72046">
      <w:pPr>
        <w:pStyle w:val="TextoNormalSangraFrancesa"/>
        <w:rPr>
          <w:rStyle w:val="TextoNormalCaracter"/>
        </w:rPr>
      </w:pPr>
      <w:bookmarkStart w:id="947" w:name="DESCRIPTORALFABETICO342"/>
      <w:r w:rsidRPr="00C72046">
        <w:rPr>
          <w:rStyle w:val="TextoNormalNegritaCaracter"/>
        </w:rPr>
        <w:t>Formación profesional</w:t>
      </w:r>
      <w:bookmarkEnd w:id="947"/>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ff. 2 a 8.</w:t>
      </w:r>
    </w:p>
    <w:p w14:paraId="74830385" w14:textId="01BD4BBF" w:rsidR="00C72046" w:rsidRPr="00C72046" w:rsidRDefault="00C72046" w:rsidP="00C72046">
      <w:pPr>
        <w:pStyle w:val="TextoNormalSangraFrancesa"/>
        <w:rPr>
          <w:rStyle w:val="TextoNormalCaracter"/>
        </w:rPr>
      </w:pPr>
      <w:bookmarkStart w:id="948" w:name="DESCRIPTORALFABETICO271"/>
      <w:r w:rsidRPr="00C72046">
        <w:rPr>
          <w:rStyle w:val="TextoNormalNegritaCaracter"/>
        </w:rPr>
        <w:t>Función calificadora de la mesa</w:t>
      </w:r>
      <w:bookmarkEnd w:id="948"/>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ff. 3 y 4.</w:t>
      </w:r>
    </w:p>
    <w:p w14:paraId="079D510A" w14:textId="7CFBAD97" w:rsidR="00C72046" w:rsidRPr="00C72046" w:rsidRDefault="00C72046" w:rsidP="00C72046">
      <w:pPr>
        <w:pStyle w:val="TextoNormalSangraFrancesa"/>
        <w:rPr>
          <w:rStyle w:val="TextoNormalCaracter"/>
        </w:rPr>
      </w:pPr>
      <w:bookmarkStart w:id="949" w:name="DESCRIPTORALFABETICO232"/>
      <w:r w:rsidRPr="00C72046">
        <w:rPr>
          <w:rStyle w:val="TextoNormalNegritaCaracter"/>
        </w:rPr>
        <w:t>Función de enjuiciamiento contable</w:t>
      </w:r>
      <w:bookmarkEnd w:id="949"/>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20.</w:t>
      </w:r>
    </w:p>
    <w:p w14:paraId="7E238450" w14:textId="5D6457E7" w:rsidR="00C72046" w:rsidRPr="00C72046" w:rsidRDefault="00C72046" w:rsidP="00C72046">
      <w:pPr>
        <w:pStyle w:val="TextoNormalSangraFrancesa"/>
        <w:rPr>
          <w:rStyle w:val="TextoNormalCaracter"/>
        </w:rPr>
      </w:pPr>
      <w:bookmarkStart w:id="950" w:name="DESCRIPTORALFABETICO381"/>
      <w:r w:rsidRPr="00C72046">
        <w:rPr>
          <w:rStyle w:val="TextoNormalNegritaCaracter"/>
        </w:rPr>
        <w:t>Función de las leyes de presupuestos</w:t>
      </w:r>
      <w:bookmarkEnd w:id="950"/>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ff. 3 y 4.</w:t>
      </w:r>
    </w:p>
    <w:p w14:paraId="5216BCA5" w14:textId="4B1F5F89" w:rsidR="00C72046" w:rsidRPr="00C72046" w:rsidRDefault="00C72046" w:rsidP="00C72046">
      <w:pPr>
        <w:pStyle w:val="TextoNormalSangraFrancesa"/>
        <w:rPr>
          <w:rStyle w:val="TextoNormalCaracter"/>
        </w:rPr>
      </w:pPr>
      <w:bookmarkStart w:id="951" w:name="DESCRIPTORALFABETICO331"/>
      <w:r w:rsidRPr="00C72046">
        <w:rPr>
          <w:rStyle w:val="TextoNormalNegritaCaracter"/>
        </w:rPr>
        <w:t>Función social de la propiedad</w:t>
      </w:r>
      <w:bookmarkEnd w:id="951"/>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ff. 2 y 5, VP I, VP II; </w:t>
      </w:r>
      <w:hyperlink w:anchor="SENTENCIA_2025_64" w:history="1">
        <w:r w:rsidRPr="00C72046">
          <w:rPr>
            <w:rStyle w:val="TextoNormalCaracter"/>
          </w:rPr>
          <w:t>64/2025</w:t>
        </w:r>
      </w:hyperlink>
      <w:r w:rsidRPr="00C72046">
        <w:rPr>
          <w:rStyle w:val="TextoNormalCaracter"/>
        </w:rPr>
        <w:t>, f. 4.</w:t>
      </w:r>
    </w:p>
    <w:p w14:paraId="42A2EADB" w14:textId="297208AE" w:rsidR="00C72046" w:rsidRPr="00C72046" w:rsidRDefault="00C72046" w:rsidP="00C72046">
      <w:pPr>
        <w:pStyle w:val="TextoNormalSangraFrancesa"/>
        <w:rPr>
          <w:rStyle w:val="TextoNormalCaracter"/>
        </w:rPr>
      </w:pPr>
      <w:bookmarkStart w:id="952" w:name="DESCRIPTORALFABETICO421"/>
      <w:r w:rsidRPr="00C72046">
        <w:rPr>
          <w:rStyle w:val="TextoNormalNegritaCaracter"/>
        </w:rPr>
        <w:t>Función social de la vivienda</w:t>
      </w:r>
      <w:bookmarkEnd w:id="952"/>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ff. 4 y 5, VP II; </w:t>
      </w:r>
      <w:hyperlink w:anchor="SENTENCIA_2025_26" w:history="1">
        <w:r w:rsidRPr="00C72046">
          <w:rPr>
            <w:rStyle w:val="TextoNormalCaracter"/>
          </w:rPr>
          <w:t>26/2025</w:t>
        </w:r>
      </w:hyperlink>
      <w:r w:rsidRPr="00C72046">
        <w:rPr>
          <w:rStyle w:val="TextoNormalCaracter"/>
        </w:rPr>
        <w:t>, f. 5.</w:t>
      </w:r>
    </w:p>
    <w:p w14:paraId="6B7A4EDD" w14:textId="72EB191D" w:rsidR="00C72046" w:rsidRPr="00C72046" w:rsidRDefault="00C72046" w:rsidP="00C72046">
      <w:pPr>
        <w:pStyle w:val="TextoNormalSangraFrancesa"/>
        <w:rPr>
          <w:rStyle w:val="TextoNormalCaracter"/>
        </w:rPr>
      </w:pPr>
      <w:bookmarkStart w:id="953" w:name="DESCRIPTORALFABETICO317"/>
      <w:r w:rsidRPr="00C72046">
        <w:rPr>
          <w:rStyle w:val="TextoNormalNegritaCaracter"/>
        </w:rPr>
        <w:t>Funcionarios interinos</w:t>
      </w:r>
      <w:bookmarkEnd w:id="953"/>
      <w:r w:rsidRPr="00C72046">
        <w:rPr>
          <w:rStyle w:val="TextoNormalCaracter"/>
        </w:rPr>
        <w:t xml:space="preserve">, Sentencia </w:t>
      </w:r>
      <w:hyperlink w:anchor="SENTENCIA_2025_27" w:history="1">
        <w:r w:rsidRPr="00C72046">
          <w:rPr>
            <w:rStyle w:val="TextoNormalCaracter"/>
          </w:rPr>
          <w:t>27/2025</w:t>
        </w:r>
      </w:hyperlink>
      <w:r w:rsidRPr="00C72046">
        <w:rPr>
          <w:rStyle w:val="TextoNormalCaracter"/>
        </w:rPr>
        <w:t>, f. 1.</w:t>
      </w:r>
    </w:p>
    <w:p w14:paraId="1D7B7527" w14:textId="301CA1D2" w:rsidR="00C72046" w:rsidRPr="00C72046" w:rsidRDefault="00C72046" w:rsidP="00C72046">
      <w:pPr>
        <w:pStyle w:val="TextoNormalSangraFrancesa"/>
        <w:rPr>
          <w:rStyle w:val="TextoNormalCaracter"/>
        </w:rPr>
      </w:pPr>
      <w:bookmarkStart w:id="954" w:name="DESCRIPTORALFABETICO284"/>
      <w:r w:rsidRPr="00C72046">
        <w:rPr>
          <w:rStyle w:val="TextoNormalNegritaCaracter"/>
        </w:rPr>
        <w:t>Funciones constitucionales del Senado</w:t>
      </w:r>
      <w:bookmarkEnd w:id="954"/>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ff. 9 y 10, VP.</w:t>
      </w:r>
    </w:p>
    <w:p w14:paraId="3E44C2D3" w14:textId="5BCBA56F" w:rsidR="00C72046" w:rsidRPr="00C72046" w:rsidRDefault="00C72046" w:rsidP="00C72046">
      <w:pPr>
        <w:pStyle w:val="TextoNormalSangraFrancesa"/>
        <w:rPr>
          <w:rStyle w:val="TextoNormalCaracter"/>
        </w:rPr>
      </w:pPr>
      <w:bookmarkStart w:id="955" w:name="DESCRIPTORALFABETICO241"/>
      <w:r w:rsidRPr="00C72046">
        <w:rPr>
          <w:rStyle w:val="TextoNormalNegritaCaracter"/>
        </w:rPr>
        <w:t>Funciones de la policía de estrados</w:t>
      </w:r>
      <w:bookmarkEnd w:id="955"/>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ff. 1 y 3, VP I, VP II; </w:t>
      </w:r>
      <w:hyperlink w:anchor="SENTENCIA_2025_84" w:history="1">
        <w:r w:rsidRPr="00C72046">
          <w:rPr>
            <w:rStyle w:val="TextoNormalCaracter"/>
          </w:rPr>
          <w:t>84/2025</w:t>
        </w:r>
      </w:hyperlink>
      <w:r w:rsidRPr="00C72046">
        <w:rPr>
          <w:rStyle w:val="TextoNormalCaracter"/>
        </w:rPr>
        <w:t>, f. 3, VP I.</w:t>
      </w:r>
    </w:p>
    <w:p w14:paraId="47E6D514" w14:textId="085265C5" w:rsidR="00C72046" w:rsidRPr="00C72046" w:rsidRDefault="00C72046" w:rsidP="00C72046">
      <w:pPr>
        <w:pStyle w:val="TextoNormalSangraFrancesa"/>
        <w:rPr>
          <w:rStyle w:val="TextoNormalCaracter"/>
        </w:rPr>
      </w:pPr>
      <w:bookmarkStart w:id="956" w:name="DESCRIPTORALFABETICO238"/>
      <w:r w:rsidRPr="00C72046">
        <w:rPr>
          <w:rStyle w:val="TextoNormalNegritaCaracter"/>
        </w:rPr>
        <w:t>Funciones de los letrados de la Administración de justicia</w:t>
      </w:r>
      <w:bookmarkEnd w:id="956"/>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ff. 1 y 2, VP I; </w:t>
      </w:r>
      <w:hyperlink w:anchor="SENTENCIA_2025_13" w:history="1">
        <w:r w:rsidRPr="00C72046">
          <w:rPr>
            <w:rStyle w:val="TextoNormalCaracter"/>
          </w:rPr>
          <w:t>13/2025</w:t>
        </w:r>
      </w:hyperlink>
      <w:r w:rsidRPr="00C72046">
        <w:rPr>
          <w:rStyle w:val="TextoNormalCaracter"/>
        </w:rPr>
        <w:t xml:space="preserve">, f. 3; </w:t>
      </w:r>
      <w:hyperlink w:anchor="SENTENCIA_2025_84" w:history="1">
        <w:r w:rsidRPr="00C72046">
          <w:rPr>
            <w:rStyle w:val="TextoNormalCaracter"/>
          </w:rPr>
          <w:t>84/2025</w:t>
        </w:r>
      </w:hyperlink>
      <w:r w:rsidRPr="00C72046">
        <w:rPr>
          <w:rStyle w:val="TextoNormalCaracter"/>
        </w:rPr>
        <w:t>, f. 4.</w:t>
      </w:r>
    </w:p>
    <w:p w14:paraId="5337C53A" w14:textId="43F27281" w:rsidR="00C72046" w:rsidRPr="00C72046" w:rsidRDefault="00C72046" w:rsidP="00C72046">
      <w:pPr>
        <w:pStyle w:val="TextoNormalSangraFrancesa"/>
        <w:rPr>
          <w:rStyle w:val="TextoNormalCaracter"/>
        </w:rPr>
      </w:pPr>
      <w:bookmarkStart w:id="957" w:name="DESCRIPTORALFABETICO276"/>
      <w:r w:rsidRPr="00C72046">
        <w:rPr>
          <w:rStyle w:val="TextoNormalNegritaCaracter"/>
        </w:rPr>
        <w:t>Funciones parlamentarias</w:t>
      </w:r>
      <w:bookmarkEnd w:id="957"/>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ff. 1 a 6.</w:t>
      </w:r>
    </w:p>
    <w:p w14:paraId="23330377" w14:textId="74006A58" w:rsidR="00C72046" w:rsidRPr="00C72046" w:rsidRDefault="00C72046" w:rsidP="00C72046">
      <w:pPr>
        <w:pStyle w:val="TextoNormalSangraFrancesa"/>
        <w:rPr>
          <w:rStyle w:val="TextoNormalCaracter"/>
        </w:rPr>
      </w:pPr>
      <w:bookmarkStart w:id="958" w:name="DESCRIPTORALFABETICO28"/>
      <w:r w:rsidRPr="00C72046">
        <w:rPr>
          <w:rStyle w:val="TextoNormalNegritaCaracter"/>
        </w:rPr>
        <w:t>Funciones presupuestarias</w:t>
      </w:r>
      <w:bookmarkEnd w:id="958"/>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 3.</w:t>
      </w:r>
    </w:p>
    <w:p w14:paraId="3F2E98F1" w14:textId="07ABB918" w:rsidR="00C72046" w:rsidRPr="00C72046" w:rsidRDefault="00C72046" w:rsidP="00C72046">
      <w:pPr>
        <w:pStyle w:val="TextoNormalSangraFrancesa"/>
        <w:rPr>
          <w:rStyle w:val="TextoNormalCaracter"/>
        </w:rPr>
      </w:pPr>
      <w:bookmarkStart w:id="959" w:name="DESCRIPTORALFABETICO277"/>
      <w:r w:rsidRPr="00C72046">
        <w:rPr>
          <w:rStyle w:val="TextoNormalNegritaCaracter"/>
        </w:rPr>
        <w:t>Funciones representativas</w:t>
      </w:r>
      <w:bookmarkEnd w:id="959"/>
      <w:r w:rsidRPr="00C72046">
        <w:rPr>
          <w:rStyle w:val="TextoNormalCaracter"/>
        </w:rPr>
        <w:t xml:space="preserve">, Sentencias </w:t>
      </w:r>
      <w:hyperlink w:anchor="SENTENCIA_2025_14" w:history="1">
        <w:r w:rsidRPr="00C72046">
          <w:rPr>
            <w:rStyle w:val="TextoNormalCaracter"/>
          </w:rPr>
          <w:t>14/2025</w:t>
        </w:r>
      </w:hyperlink>
      <w:r w:rsidRPr="00C72046">
        <w:rPr>
          <w:rStyle w:val="TextoNormalCaracter"/>
        </w:rPr>
        <w:t xml:space="preserve">, ff. 1, 4, 5; </w:t>
      </w:r>
      <w:hyperlink w:anchor="SENTENCIA_2025_15" w:history="1">
        <w:r w:rsidRPr="00C72046">
          <w:rPr>
            <w:rStyle w:val="TextoNormalCaracter"/>
          </w:rPr>
          <w:t>15/2025</w:t>
        </w:r>
      </w:hyperlink>
      <w:r w:rsidRPr="00C72046">
        <w:rPr>
          <w:rStyle w:val="TextoNormalCaracter"/>
        </w:rPr>
        <w:t>, ff. 1, 3, 5.</w:t>
      </w:r>
    </w:p>
    <w:p w14:paraId="63C117B4" w14:textId="1007045F" w:rsidR="00C72046" w:rsidRPr="00C72046" w:rsidRDefault="00C72046" w:rsidP="00C72046">
      <w:pPr>
        <w:pStyle w:val="TextoNormalSangraFrancesa"/>
        <w:rPr>
          <w:rStyle w:val="TextoNormalCaracter"/>
        </w:rPr>
      </w:pPr>
      <w:bookmarkStart w:id="960" w:name="DESCRIPTORALFABETICO161"/>
      <w:r w:rsidRPr="00C72046">
        <w:rPr>
          <w:rStyle w:val="TextoNormalNegritaCaracter"/>
        </w:rPr>
        <w:t>Fundamentación de la recusación de magistrados del Tribunal Constitucional</w:t>
      </w:r>
      <w:bookmarkEnd w:id="960"/>
      <w:r w:rsidRPr="00C72046">
        <w:rPr>
          <w:rStyle w:val="TextoNormalCaracter"/>
        </w:rPr>
        <w:t xml:space="preserve">, Auto </w:t>
      </w:r>
      <w:hyperlink w:anchor="AUTO_2025_6" w:history="1">
        <w:r w:rsidRPr="00C72046">
          <w:rPr>
            <w:rStyle w:val="TextoNormalCaracter"/>
          </w:rPr>
          <w:t>6/2025</w:t>
        </w:r>
      </w:hyperlink>
      <w:r w:rsidRPr="00C72046">
        <w:rPr>
          <w:rStyle w:val="TextoNormalCaracter"/>
        </w:rPr>
        <w:t>, f. 3, VVPP I y II.</w:t>
      </w:r>
    </w:p>
    <w:p w14:paraId="2E133F76" w14:textId="1E70AD9D" w:rsidR="00C72046" w:rsidRDefault="00C72046" w:rsidP="00C72046">
      <w:pPr>
        <w:pStyle w:val="TextoNormalSangraFrancesa"/>
      </w:pPr>
    </w:p>
    <w:p w14:paraId="32D4B39E" w14:textId="77777777" w:rsidR="00C72046" w:rsidRDefault="00C72046" w:rsidP="00C72046">
      <w:pPr>
        <w:pStyle w:val="TextoNormalSangraFrancesa"/>
      </w:pPr>
    </w:p>
    <w:p w14:paraId="024BB8EC" w14:textId="77777777" w:rsidR="00C72046" w:rsidRDefault="00C72046" w:rsidP="00C72046">
      <w:pPr>
        <w:pStyle w:val="TextoNormalNegritaCentrado"/>
      </w:pPr>
      <w:r>
        <w:t>G</w:t>
      </w:r>
    </w:p>
    <w:p w14:paraId="61A8234D" w14:textId="0A5F3A49" w:rsidR="00C72046" w:rsidRDefault="00C72046" w:rsidP="00C72046">
      <w:pPr>
        <w:pStyle w:val="TextoNormalNegritaCentrado"/>
      </w:pPr>
    </w:p>
    <w:p w14:paraId="5F42524A" w14:textId="627C82E7" w:rsidR="00C72046" w:rsidRPr="00C72046" w:rsidRDefault="00C72046" w:rsidP="00C72046">
      <w:pPr>
        <w:pStyle w:val="TextoNormalSangraFrancesa"/>
        <w:rPr>
          <w:rStyle w:val="TextoNormalCaracter"/>
        </w:rPr>
      </w:pPr>
      <w:bookmarkStart w:id="961" w:name="DESCRIPTORALFABETICO83"/>
      <w:r w:rsidRPr="00C72046">
        <w:rPr>
          <w:rStyle w:val="TextoNormalNegritaCaracter"/>
        </w:rPr>
        <w:t>Garantía de indemnidad</w:t>
      </w:r>
      <w:bookmarkEnd w:id="961"/>
      <w:r w:rsidRPr="00C72046">
        <w:rPr>
          <w:rStyle w:val="TextoNormalCaracter"/>
        </w:rPr>
        <w:t xml:space="preserve">, Sentencia </w:t>
      </w:r>
      <w:hyperlink w:anchor="SENTENCIA_2025_28" w:history="1">
        <w:r w:rsidRPr="00C72046">
          <w:rPr>
            <w:rStyle w:val="TextoNormalCaracter"/>
          </w:rPr>
          <w:t>28/2025</w:t>
        </w:r>
      </w:hyperlink>
      <w:r w:rsidRPr="00C72046">
        <w:rPr>
          <w:rStyle w:val="TextoNormalCaracter"/>
        </w:rPr>
        <w:t>, f. 4.</w:t>
      </w:r>
    </w:p>
    <w:p w14:paraId="474921CF" w14:textId="222DCA43" w:rsidR="00C72046" w:rsidRPr="00C72046" w:rsidRDefault="00C72046" w:rsidP="00C72046">
      <w:pPr>
        <w:pStyle w:val="TextoNormalSangraFrancesa"/>
        <w:rPr>
          <w:rStyle w:val="TextoNormalCaracter"/>
        </w:rPr>
      </w:pPr>
      <w:bookmarkStart w:id="962" w:name="DESCRIPTORALFABETICO300"/>
      <w:r w:rsidRPr="00C72046">
        <w:rPr>
          <w:rStyle w:val="TextoNormalNegritaCaracter"/>
        </w:rPr>
        <w:t>Garantías materiales del principio de legalidad penal</w:t>
      </w:r>
      <w:bookmarkEnd w:id="962"/>
      <w:r w:rsidRPr="00C72046">
        <w:rPr>
          <w:rStyle w:val="TextoNormalCaracter"/>
        </w:rPr>
        <w:t xml:space="preserve">, Sentencia </w:t>
      </w:r>
      <w:hyperlink w:anchor="SENTENCIA_2025_51" w:history="1">
        <w:r w:rsidRPr="00C72046">
          <w:rPr>
            <w:rStyle w:val="TextoNormalCaracter"/>
          </w:rPr>
          <w:t>51/2025</w:t>
        </w:r>
      </w:hyperlink>
      <w:r w:rsidRPr="00C72046">
        <w:rPr>
          <w:rStyle w:val="TextoNormalCaracter"/>
        </w:rPr>
        <w:t>, f. 2.</w:t>
      </w:r>
    </w:p>
    <w:p w14:paraId="2908526D" w14:textId="56B32C37" w:rsidR="00C72046" w:rsidRPr="00C72046" w:rsidRDefault="00C72046" w:rsidP="00C72046">
      <w:pPr>
        <w:pStyle w:val="TextoNormalSangraFrancesa"/>
        <w:rPr>
          <w:rStyle w:val="TextoNormalCaracter"/>
        </w:rPr>
      </w:pPr>
      <w:bookmarkStart w:id="963" w:name="DESCRIPTORALFABETICO418"/>
      <w:r w:rsidRPr="00C72046">
        <w:rPr>
          <w:rStyle w:val="TextoNormalNegritaCaracter"/>
        </w:rPr>
        <w:t>Gestión aeroportuaria</w:t>
      </w:r>
      <w:bookmarkEnd w:id="963"/>
      <w:r w:rsidRPr="00C72046">
        <w:rPr>
          <w:rStyle w:val="TextoNormalCaracter"/>
        </w:rPr>
        <w:t xml:space="preserve">, Sentencias </w:t>
      </w:r>
      <w:hyperlink w:anchor="SENTENCIA_2025_107" w:history="1">
        <w:r w:rsidRPr="00C72046">
          <w:rPr>
            <w:rStyle w:val="TextoNormalCaracter"/>
          </w:rPr>
          <w:t>107/2025</w:t>
        </w:r>
      </w:hyperlink>
      <w:r w:rsidRPr="00C72046">
        <w:rPr>
          <w:rStyle w:val="TextoNormalCaracter"/>
        </w:rPr>
        <w:t xml:space="preserve">, f. 3; </w:t>
      </w:r>
      <w:hyperlink w:anchor="SENTENCIA_2025_108" w:history="1">
        <w:r w:rsidRPr="00C72046">
          <w:rPr>
            <w:rStyle w:val="TextoNormalCaracter"/>
          </w:rPr>
          <w:t>108/2025</w:t>
        </w:r>
      </w:hyperlink>
      <w:r w:rsidRPr="00C72046">
        <w:rPr>
          <w:rStyle w:val="TextoNormalCaracter"/>
        </w:rPr>
        <w:t>, f. 3.</w:t>
      </w:r>
    </w:p>
    <w:p w14:paraId="5C74D55A" w14:textId="20663E03" w:rsidR="00C72046" w:rsidRPr="00C72046" w:rsidRDefault="00C72046" w:rsidP="00C72046">
      <w:pPr>
        <w:pStyle w:val="TextoNormalSangraFrancesa"/>
        <w:rPr>
          <w:rStyle w:val="TextoNormalCaracter"/>
        </w:rPr>
      </w:pPr>
      <w:bookmarkStart w:id="964" w:name="DESCRIPTORALFABETICO335"/>
      <w:r w:rsidRPr="00C72046">
        <w:rPr>
          <w:rStyle w:val="TextoNormalNegritaCaracter"/>
        </w:rPr>
        <w:t>Gestión de centros docentes</w:t>
      </w:r>
      <w:bookmarkEnd w:id="964"/>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4AEF87FB" w14:textId="56F1F3FF" w:rsidR="00C72046" w:rsidRPr="00C72046" w:rsidRDefault="00C72046" w:rsidP="00C72046">
      <w:pPr>
        <w:pStyle w:val="TextoNormalSangraFrancesa"/>
        <w:rPr>
          <w:rStyle w:val="TextoNormalCaracter"/>
        </w:rPr>
      </w:pPr>
      <w:bookmarkStart w:id="965" w:name="DESCRIPTORALFABETICO336"/>
      <w:r w:rsidRPr="00C72046">
        <w:rPr>
          <w:rStyle w:val="TextoNormalNegritaCaracter"/>
        </w:rPr>
        <w:t>Gestión de centros docentes privados</w:t>
      </w:r>
      <w:bookmarkEnd w:id="965"/>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0AAFDC20" w14:textId="277A403E" w:rsidR="00C72046" w:rsidRPr="00C72046" w:rsidRDefault="00C72046" w:rsidP="00C72046">
      <w:pPr>
        <w:pStyle w:val="TextoNormalSangraFrancesa"/>
        <w:rPr>
          <w:rStyle w:val="TextoNormalCaracter"/>
        </w:rPr>
      </w:pPr>
      <w:bookmarkStart w:id="966" w:name="DESCRIPTORALFABETICO264"/>
      <w:r w:rsidRPr="00C72046">
        <w:rPr>
          <w:rStyle w:val="TextoNormalNegritaCaracter"/>
        </w:rPr>
        <w:t>Grupo mixto</w:t>
      </w:r>
      <w:bookmarkEnd w:id="966"/>
      <w:r w:rsidRPr="00C72046">
        <w:rPr>
          <w:rStyle w:val="TextoNormalCaracter"/>
        </w:rPr>
        <w:t xml:space="preserve">, Sentencia </w:t>
      </w:r>
      <w:hyperlink w:anchor="SENTENCIA_2025_97" w:history="1">
        <w:r w:rsidRPr="00C72046">
          <w:rPr>
            <w:rStyle w:val="TextoNormalCaracter"/>
          </w:rPr>
          <w:t>97/2025</w:t>
        </w:r>
      </w:hyperlink>
      <w:r w:rsidRPr="00C72046">
        <w:rPr>
          <w:rStyle w:val="TextoNormalCaracter"/>
        </w:rPr>
        <w:t>, f. 3.</w:t>
      </w:r>
    </w:p>
    <w:p w14:paraId="44A6BB42" w14:textId="51642A19" w:rsidR="00C72046" w:rsidRDefault="00C72046" w:rsidP="00C72046">
      <w:pPr>
        <w:pStyle w:val="TextoNormalSangraFrancesa"/>
      </w:pPr>
    </w:p>
    <w:p w14:paraId="3858DC63" w14:textId="77777777" w:rsidR="00C72046" w:rsidRDefault="00C72046" w:rsidP="00C72046">
      <w:pPr>
        <w:pStyle w:val="TextoNormalSangraFrancesa"/>
      </w:pPr>
    </w:p>
    <w:p w14:paraId="518CD1B1" w14:textId="77777777" w:rsidR="00C72046" w:rsidRDefault="00C72046" w:rsidP="00C72046">
      <w:pPr>
        <w:pStyle w:val="TextoNormalNegritaCentrado"/>
      </w:pPr>
      <w:r>
        <w:t>H</w:t>
      </w:r>
    </w:p>
    <w:p w14:paraId="0E2577C6" w14:textId="4E709EE7" w:rsidR="00C72046" w:rsidRDefault="00C72046" w:rsidP="00C72046">
      <w:pPr>
        <w:pStyle w:val="TextoNormalNegritaCentrado"/>
      </w:pPr>
    </w:p>
    <w:p w14:paraId="7C7F7765" w14:textId="77777777" w:rsidR="00C72046" w:rsidRPr="00C72046" w:rsidRDefault="00C72046" w:rsidP="00C72046">
      <w:pPr>
        <w:pStyle w:val="TextoNormalSangraFrancesa"/>
        <w:rPr>
          <w:rStyle w:val="TextoNormalCaracter"/>
        </w:rPr>
      </w:pPr>
      <w:bookmarkStart w:id="967" w:name="DESCRIPTORALFABETICO69"/>
      <w:r w:rsidRPr="00C72046">
        <w:rPr>
          <w:rStyle w:val="TextoNormalNegritaCaracter"/>
          <w:i/>
        </w:rPr>
        <w:t>Habeas corpus</w:t>
      </w:r>
      <w:bookmarkEnd w:id="967"/>
      <w:r w:rsidRPr="00C72046">
        <w:rPr>
          <w:rStyle w:val="TextoNormalCaracter"/>
        </w:rPr>
        <w:t xml:space="preserve">, </w:t>
      </w:r>
    </w:p>
    <w:p w14:paraId="73AD23FB" w14:textId="083A1A6D"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 </w:t>
      </w:r>
      <w:hyperlink w:anchor="SENTENCIA_2025_106" w:history="1">
        <w:r w:rsidRPr="00C72046">
          <w:rPr>
            <w:rStyle w:val="TextoNormalCaracter"/>
          </w:rPr>
          <w:t>106/2025</w:t>
        </w:r>
      </w:hyperlink>
      <w:r w:rsidRPr="00C72046">
        <w:rPr>
          <w:rStyle w:val="TextoNormalCaracter"/>
        </w:rPr>
        <w:t>, ff. 1 y 2.</w:t>
      </w:r>
    </w:p>
    <w:p w14:paraId="4509CFDF" w14:textId="0524E68B" w:rsidR="00C72046" w:rsidRDefault="00C72046" w:rsidP="00C72046">
      <w:pPr>
        <w:pStyle w:val="TextoNormalSangraFrancesa"/>
      </w:pPr>
    </w:p>
    <w:p w14:paraId="03440AC7" w14:textId="77777777" w:rsidR="00C72046" w:rsidRDefault="00C72046" w:rsidP="00C72046">
      <w:pPr>
        <w:pStyle w:val="TextoNormalSangraFrancesa"/>
      </w:pPr>
    </w:p>
    <w:p w14:paraId="4F787A71" w14:textId="77777777" w:rsidR="00C72046" w:rsidRDefault="00C72046" w:rsidP="00C72046">
      <w:pPr>
        <w:pStyle w:val="TextoNormalNegritaCentrado"/>
      </w:pPr>
      <w:r>
        <w:t>I</w:t>
      </w:r>
    </w:p>
    <w:p w14:paraId="32EF8F56" w14:textId="2B5AA4FE" w:rsidR="00C72046" w:rsidRDefault="00C72046" w:rsidP="00C72046">
      <w:pPr>
        <w:pStyle w:val="TextoNormalNegritaCentrado"/>
      </w:pPr>
    </w:p>
    <w:p w14:paraId="67272182" w14:textId="107511D1" w:rsidR="00C72046" w:rsidRPr="00C72046" w:rsidRDefault="00C72046" w:rsidP="00C72046">
      <w:pPr>
        <w:pStyle w:val="TextoNormalSangraFrancesa"/>
        <w:rPr>
          <w:rStyle w:val="TextoNormalCaracter"/>
        </w:rPr>
      </w:pPr>
      <w:bookmarkStart w:id="968" w:name="DESCRIPTORALFABETICO55"/>
      <w:r w:rsidRPr="00C72046">
        <w:rPr>
          <w:rStyle w:val="TextoNormalNegritaCaracter"/>
        </w:rPr>
        <w:t>Igualdad ante la ley</w:t>
      </w:r>
      <w:bookmarkEnd w:id="968"/>
      <w:r w:rsidRPr="00C72046">
        <w:rPr>
          <w:rStyle w:val="TextoNormalCaracter"/>
        </w:rPr>
        <w:t xml:space="preserve">, Sentencias </w:t>
      </w:r>
      <w:hyperlink w:anchor="SENTENCIA_2025_104" w:history="1">
        <w:r w:rsidRPr="00C72046">
          <w:rPr>
            <w:rStyle w:val="TextoNormalCaracter"/>
          </w:rPr>
          <w:t>104/2025</w:t>
        </w:r>
      </w:hyperlink>
      <w:r w:rsidRPr="00C72046">
        <w:rPr>
          <w:rStyle w:val="TextoNormalCaracter"/>
        </w:rPr>
        <w:t xml:space="preserve">, f. único; </w:t>
      </w:r>
      <w:hyperlink w:anchor="SENTENCIA_2025_137" w:history="1">
        <w:r w:rsidRPr="00C72046">
          <w:rPr>
            <w:rStyle w:val="TextoNormalCaracter"/>
          </w:rPr>
          <w:t>137/2025</w:t>
        </w:r>
      </w:hyperlink>
      <w:r w:rsidRPr="00C72046">
        <w:rPr>
          <w:rStyle w:val="TextoNormalCaracter"/>
        </w:rPr>
        <w:t>, f. 8.</w:t>
      </w:r>
    </w:p>
    <w:p w14:paraId="4634600E" w14:textId="11A84653" w:rsidR="00C72046" w:rsidRPr="00C72046" w:rsidRDefault="00C72046" w:rsidP="00C72046">
      <w:pPr>
        <w:pStyle w:val="TextoNormalSangraFrancesa"/>
        <w:rPr>
          <w:rStyle w:val="TextoNormalCaracter"/>
        </w:rPr>
      </w:pPr>
      <w:r w:rsidRPr="00C72046">
        <w:rPr>
          <w:rStyle w:val="TextoNormalCursivaCaracter"/>
        </w:rPr>
        <w:t xml:space="preserve">    Vulnerada, </w:t>
      </w:r>
      <w:r w:rsidRPr="00C72046">
        <w:rPr>
          <w:rStyle w:val="TextoNormalCaracter"/>
        </w:rPr>
        <w:t xml:space="preserve">Sentencias </w:t>
      </w:r>
      <w:hyperlink w:anchor="SENTENCIA_2025_4" w:history="1">
        <w:r w:rsidRPr="00C72046">
          <w:rPr>
            <w:rStyle w:val="TextoNormalCaracter"/>
          </w:rPr>
          <w:t>4/2025</w:t>
        </w:r>
      </w:hyperlink>
      <w:r w:rsidRPr="00C72046">
        <w:rPr>
          <w:rStyle w:val="TextoNormalCaracter"/>
        </w:rPr>
        <w:t xml:space="preserve">, f. 3; </w:t>
      </w:r>
      <w:hyperlink w:anchor="SENTENCIA_2025_5" w:history="1">
        <w:r w:rsidRPr="00C72046">
          <w:rPr>
            <w:rStyle w:val="TextoNormalCaracter"/>
          </w:rPr>
          <w:t>5/2025</w:t>
        </w:r>
      </w:hyperlink>
      <w:r w:rsidRPr="00C72046">
        <w:rPr>
          <w:rStyle w:val="TextoNormalCaracter"/>
        </w:rPr>
        <w:t xml:space="preserve">, f. único;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xml:space="preserve">, f. 3; </w:t>
      </w:r>
      <w:hyperlink w:anchor="SENTENCIA_2025_17" w:history="1">
        <w:r w:rsidRPr="00C72046">
          <w:rPr>
            <w:rStyle w:val="TextoNormalCaracter"/>
          </w:rPr>
          <w:t>17/2025</w:t>
        </w:r>
      </w:hyperlink>
      <w:r w:rsidRPr="00C72046">
        <w:rPr>
          <w:rStyle w:val="TextoNormalCaracter"/>
        </w:rPr>
        <w:t xml:space="preserve">, f. único; </w:t>
      </w:r>
      <w:hyperlink w:anchor="SENTENCIA_2025_18" w:history="1">
        <w:r w:rsidRPr="00C72046">
          <w:rPr>
            <w:rStyle w:val="TextoNormalCaracter"/>
          </w:rPr>
          <w:t>18/2025</w:t>
        </w:r>
      </w:hyperlink>
      <w:r w:rsidRPr="00C72046">
        <w:rPr>
          <w:rStyle w:val="TextoNormalCaracter"/>
        </w:rPr>
        <w:t xml:space="preserve">, f. único; </w:t>
      </w:r>
      <w:hyperlink w:anchor="SENTENCIA_2025_19" w:history="1">
        <w:r w:rsidRPr="00C72046">
          <w:rPr>
            <w:rStyle w:val="TextoNormalCaracter"/>
          </w:rPr>
          <w:t>19/2025</w:t>
        </w:r>
      </w:hyperlink>
      <w:r w:rsidRPr="00C72046">
        <w:rPr>
          <w:rStyle w:val="TextoNormalCaracter"/>
        </w:rPr>
        <w:t xml:space="preserve">, f. único; </w:t>
      </w:r>
      <w:hyperlink w:anchor="SENTENCIA_2025_20" w:history="1">
        <w:r w:rsidRPr="00C72046">
          <w:rPr>
            <w:rStyle w:val="TextoNormalCaracter"/>
          </w:rPr>
          <w:t>20/2025</w:t>
        </w:r>
      </w:hyperlink>
      <w:r w:rsidRPr="00C72046">
        <w:rPr>
          <w:rStyle w:val="TextoNormalCaracter"/>
        </w:rPr>
        <w:t xml:space="preserve">, f. único; </w:t>
      </w:r>
      <w:hyperlink w:anchor="SENTENCIA_2025_21" w:history="1">
        <w:r w:rsidRPr="00C72046">
          <w:rPr>
            <w:rStyle w:val="TextoNormalCaracter"/>
          </w:rPr>
          <w:t>21/2025</w:t>
        </w:r>
      </w:hyperlink>
      <w:r w:rsidRPr="00C72046">
        <w:rPr>
          <w:rStyle w:val="TextoNormalCaracter"/>
        </w:rPr>
        <w:t xml:space="preserve">, f. 2; </w:t>
      </w:r>
      <w:hyperlink w:anchor="SENTENCIA_2025_22" w:history="1">
        <w:r w:rsidRPr="00C72046">
          <w:rPr>
            <w:rStyle w:val="TextoNormalCaracter"/>
          </w:rPr>
          <w:t>22/2025</w:t>
        </w:r>
      </w:hyperlink>
      <w:r w:rsidRPr="00C72046">
        <w:rPr>
          <w:rStyle w:val="TextoNormalCaracter"/>
        </w:rPr>
        <w:t xml:space="preserve">, f. único; </w:t>
      </w:r>
      <w:hyperlink w:anchor="SENTENCIA_2025_23" w:history="1">
        <w:r w:rsidRPr="00C72046">
          <w:rPr>
            <w:rStyle w:val="TextoNormalCaracter"/>
          </w:rPr>
          <w:t>23/2025</w:t>
        </w:r>
      </w:hyperlink>
      <w:r w:rsidRPr="00C72046">
        <w:rPr>
          <w:rStyle w:val="TextoNormalCaracter"/>
        </w:rPr>
        <w:t xml:space="preserve">, f. 2; </w:t>
      </w:r>
      <w:hyperlink w:anchor="SENTENCIA_2025_24" w:history="1">
        <w:r w:rsidRPr="00C72046">
          <w:rPr>
            <w:rStyle w:val="TextoNormalCaracter"/>
          </w:rPr>
          <w:t>24/2025</w:t>
        </w:r>
      </w:hyperlink>
      <w:r w:rsidRPr="00C72046">
        <w:rPr>
          <w:rStyle w:val="TextoNormalCaracter"/>
        </w:rPr>
        <w:t xml:space="preserve">, f. 2; </w:t>
      </w:r>
      <w:hyperlink w:anchor="SENTENCIA_2025_29" w:history="1">
        <w:r w:rsidRPr="00C72046">
          <w:rPr>
            <w:rStyle w:val="TextoNormalCaracter"/>
          </w:rPr>
          <w:t>29/2025</w:t>
        </w:r>
      </w:hyperlink>
      <w:r w:rsidRPr="00C72046">
        <w:rPr>
          <w:rStyle w:val="TextoNormalCaracter"/>
        </w:rPr>
        <w:t xml:space="preserve">, f. único; </w:t>
      </w:r>
      <w:hyperlink w:anchor="SENTENCIA_2025_30" w:history="1">
        <w:r w:rsidRPr="00C72046">
          <w:rPr>
            <w:rStyle w:val="TextoNormalCaracter"/>
          </w:rPr>
          <w:t>30/2025</w:t>
        </w:r>
      </w:hyperlink>
      <w:r w:rsidRPr="00C72046">
        <w:rPr>
          <w:rStyle w:val="TextoNormalCaracter"/>
        </w:rPr>
        <w:t xml:space="preserve">, f. 2; </w:t>
      </w:r>
      <w:hyperlink w:anchor="SENTENCIA_2025_32" w:history="1">
        <w:r w:rsidRPr="00C72046">
          <w:rPr>
            <w:rStyle w:val="TextoNormalCaracter"/>
          </w:rPr>
          <w:t>32/2025</w:t>
        </w:r>
      </w:hyperlink>
      <w:r w:rsidRPr="00C72046">
        <w:rPr>
          <w:rStyle w:val="TextoNormalCaracter"/>
        </w:rPr>
        <w:t xml:space="preserve">, f. 2; </w:t>
      </w:r>
      <w:hyperlink w:anchor="SENTENCIA_2025_33" w:history="1">
        <w:r w:rsidRPr="00C72046">
          <w:rPr>
            <w:rStyle w:val="TextoNormalCaracter"/>
          </w:rPr>
          <w:t>33/2025</w:t>
        </w:r>
      </w:hyperlink>
      <w:r w:rsidRPr="00C72046">
        <w:rPr>
          <w:rStyle w:val="TextoNormalCaracter"/>
        </w:rPr>
        <w:t xml:space="preserve">, f. 2; </w:t>
      </w:r>
      <w:hyperlink w:anchor="SENTENCIA_2025_34" w:history="1">
        <w:r w:rsidRPr="00C72046">
          <w:rPr>
            <w:rStyle w:val="TextoNormalCaracter"/>
          </w:rPr>
          <w:t>34/2025</w:t>
        </w:r>
      </w:hyperlink>
      <w:r w:rsidRPr="00C72046">
        <w:rPr>
          <w:rStyle w:val="TextoNormalCaracter"/>
        </w:rPr>
        <w:t xml:space="preserve">, f. único; </w:t>
      </w:r>
      <w:hyperlink w:anchor="SENTENCIA_2025_35" w:history="1">
        <w:r w:rsidRPr="00C72046">
          <w:rPr>
            <w:rStyle w:val="TextoNormalCaracter"/>
          </w:rPr>
          <w:t>35/2025</w:t>
        </w:r>
      </w:hyperlink>
      <w:r w:rsidRPr="00C72046">
        <w:rPr>
          <w:rStyle w:val="TextoNormalCaracter"/>
        </w:rPr>
        <w:t xml:space="preserve">, f. 2; </w:t>
      </w:r>
      <w:hyperlink w:anchor="SENTENCIA_2025_36" w:history="1">
        <w:r w:rsidRPr="00C72046">
          <w:rPr>
            <w:rStyle w:val="TextoNormalCaracter"/>
          </w:rPr>
          <w:t>36/2025</w:t>
        </w:r>
      </w:hyperlink>
      <w:r w:rsidRPr="00C72046">
        <w:rPr>
          <w:rStyle w:val="TextoNormalCaracter"/>
        </w:rPr>
        <w:t xml:space="preserve">, f.único; </w:t>
      </w:r>
      <w:hyperlink w:anchor="SENTENCIA_2025_38" w:history="1">
        <w:r w:rsidRPr="00C72046">
          <w:rPr>
            <w:rStyle w:val="TextoNormalCaracter"/>
          </w:rPr>
          <w:t>38/2025</w:t>
        </w:r>
      </w:hyperlink>
      <w:r w:rsidRPr="00C72046">
        <w:rPr>
          <w:rStyle w:val="TextoNormalCaracter"/>
        </w:rPr>
        <w:t xml:space="preserve">, f. 2; </w:t>
      </w:r>
      <w:hyperlink w:anchor="SENTENCIA_2025_39" w:history="1">
        <w:r w:rsidRPr="00C72046">
          <w:rPr>
            <w:rStyle w:val="TextoNormalCaracter"/>
          </w:rPr>
          <w:t>39/2025</w:t>
        </w:r>
      </w:hyperlink>
      <w:r w:rsidRPr="00C72046">
        <w:rPr>
          <w:rStyle w:val="TextoNormalCaracter"/>
        </w:rPr>
        <w:t xml:space="preserve">, f. 2; </w:t>
      </w:r>
      <w:hyperlink w:anchor="SENTENCIA_2025_46" w:history="1">
        <w:r w:rsidRPr="00C72046">
          <w:rPr>
            <w:rStyle w:val="TextoNormalCaracter"/>
          </w:rPr>
          <w:t>46/2025</w:t>
        </w:r>
      </w:hyperlink>
      <w:r w:rsidRPr="00C72046">
        <w:rPr>
          <w:rStyle w:val="TextoNormalCaracter"/>
        </w:rPr>
        <w:t xml:space="preserve">, f. único; </w:t>
      </w:r>
      <w:hyperlink w:anchor="SENTENCIA_2025_47" w:history="1">
        <w:r w:rsidRPr="00C72046">
          <w:rPr>
            <w:rStyle w:val="TextoNormalCaracter"/>
          </w:rPr>
          <w:t>47/2025</w:t>
        </w:r>
      </w:hyperlink>
      <w:r w:rsidRPr="00C72046">
        <w:rPr>
          <w:rStyle w:val="TextoNormalCaracter"/>
        </w:rPr>
        <w:t xml:space="preserve">, f. 2; </w:t>
      </w:r>
      <w:hyperlink w:anchor="SENTENCIA_2025_48" w:history="1">
        <w:r w:rsidRPr="00C72046">
          <w:rPr>
            <w:rStyle w:val="TextoNormalCaracter"/>
          </w:rPr>
          <w:t>48/2025</w:t>
        </w:r>
      </w:hyperlink>
      <w:r w:rsidRPr="00C72046">
        <w:rPr>
          <w:rStyle w:val="TextoNormalCaracter"/>
        </w:rPr>
        <w:t xml:space="preserve">, f. 2; </w:t>
      </w:r>
      <w:hyperlink w:anchor="SENTENCIA_2025_50" w:history="1">
        <w:r w:rsidRPr="00C72046">
          <w:rPr>
            <w:rStyle w:val="TextoNormalCaracter"/>
          </w:rPr>
          <w:t>50/2025</w:t>
        </w:r>
      </w:hyperlink>
      <w:r w:rsidRPr="00C72046">
        <w:rPr>
          <w:rStyle w:val="TextoNormalCaracter"/>
        </w:rPr>
        <w:t xml:space="preserve">, f. 2; </w:t>
      </w:r>
      <w:hyperlink w:anchor="SENTENCIA_2025_56" w:history="1">
        <w:r w:rsidRPr="00C72046">
          <w:rPr>
            <w:rStyle w:val="TextoNormalCaracter"/>
          </w:rPr>
          <w:t>56/2025</w:t>
        </w:r>
      </w:hyperlink>
      <w:r w:rsidRPr="00C72046">
        <w:rPr>
          <w:rStyle w:val="TextoNormalCaracter"/>
        </w:rPr>
        <w:t xml:space="preserve">, f. 2; </w:t>
      </w:r>
      <w:hyperlink w:anchor="SENTENCIA_2025_57" w:history="1">
        <w:r w:rsidRPr="00C72046">
          <w:rPr>
            <w:rStyle w:val="TextoNormalCaracter"/>
          </w:rPr>
          <w:t>57/2025</w:t>
        </w:r>
      </w:hyperlink>
      <w:r w:rsidRPr="00C72046">
        <w:rPr>
          <w:rStyle w:val="TextoNormalCaracter"/>
        </w:rPr>
        <w:t xml:space="preserve">, f. 2; </w:t>
      </w:r>
      <w:hyperlink w:anchor="SENTENCIA_2025_58" w:history="1">
        <w:r w:rsidRPr="00C72046">
          <w:rPr>
            <w:rStyle w:val="TextoNormalCaracter"/>
          </w:rPr>
          <w:t>58/2025</w:t>
        </w:r>
      </w:hyperlink>
      <w:r w:rsidRPr="00C72046">
        <w:rPr>
          <w:rStyle w:val="TextoNormalCaracter"/>
        </w:rPr>
        <w:t xml:space="preserve">, f. 2; </w:t>
      </w:r>
      <w:hyperlink w:anchor="SENTENCIA_2025_59" w:history="1">
        <w:r w:rsidRPr="00C72046">
          <w:rPr>
            <w:rStyle w:val="TextoNormalCaracter"/>
          </w:rPr>
          <w:t>59/2025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65" w:history="1">
        <w:r w:rsidRPr="00C72046">
          <w:rPr>
            <w:rStyle w:val="TextoNormalCaracter"/>
          </w:rPr>
          <w:t>65/2025</w:t>
        </w:r>
      </w:hyperlink>
      <w:r w:rsidRPr="00C72046">
        <w:rPr>
          <w:rStyle w:val="TextoNormalCaracter"/>
        </w:rPr>
        <w:t xml:space="preserve">, f. único; </w:t>
      </w:r>
      <w:hyperlink w:anchor="SENTENCIA_2025_66" w:history="1">
        <w:r w:rsidRPr="00C72046">
          <w:rPr>
            <w:rStyle w:val="TextoNormalCaracter"/>
          </w:rPr>
          <w:t>66/2025</w:t>
        </w:r>
      </w:hyperlink>
      <w:r w:rsidRPr="00C72046">
        <w:rPr>
          <w:rStyle w:val="TextoNormalCaracter"/>
        </w:rPr>
        <w:t xml:space="preserve">, f. 2; </w:t>
      </w:r>
      <w:hyperlink w:anchor="SENTENCIA_2025_67" w:history="1">
        <w:r w:rsidRPr="00C72046">
          <w:rPr>
            <w:rStyle w:val="TextoNormalCaracter"/>
          </w:rPr>
          <w:t>67/2025</w:t>
        </w:r>
      </w:hyperlink>
      <w:r w:rsidRPr="00C72046">
        <w:rPr>
          <w:rStyle w:val="TextoNormalCaracter"/>
        </w:rPr>
        <w:t xml:space="preserve">, f. 2; </w:t>
      </w:r>
      <w:hyperlink w:anchor="SENTENCIA_2025_68" w:history="1">
        <w:r w:rsidRPr="00C72046">
          <w:rPr>
            <w:rStyle w:val="TextoNormalCaracter"/>
          </w:rPr>
          <w:t>68/2025</w:t>
        </w:r>
      </w:hyperlink>
      <w:r w:rsidRPr="00C72046">
        <w:rPr>
          <w:rStyle w:val="TextoNormalCaracter"/>
        </w:rPr>
        <w:t xml:space="preserve">, f. 2; </w:t>
      </w:r>
      <w:hyperlink w:anchor="SENTENCIA_2025_70" w:history="1">
        <w:r w:rsidRPr="00C72046">
          <w:rPr>
            <w:rStyle w:val="TextoNormalCaracter"/>
          </w:rPr>
          <w:t>70/2025</w:t>
        </w:r>
      </w:hyperlink>
      <w:r w:rsidRPr="00C72046">
        <w:rPr>
          <w:rStyle w:val="TextoNormalCaracter"/>
        </w:rPr>
        <w:t xml:space="preserve">, f. 2; </w:t>
      </w:r>
      <w:hyperlink w:anchor="SENTENCIA_2025_71" w:history="1">
        <w:r w:rsidRPr="00C72046">
          <w:rPr>
            <w:rStyle w:val="TextoNormalCaracter"/>
          </w:rPr>
          <w:t>71/2025</w:t>
        </w:r>
      </w:hyperlink>
      <w:r w:rsidRPr="00C72046">
        <w:rPr>
          <w:rStyle w:val="TextoNormalCaracter"/>
        </w:rPr>
        <w:t xml:space="preserve">, f. único; </w:t>
      </w:r>
      <w:hyperlink w:anchor="SENTENCIA_2025_72" w:history="1">
        <w:r w:rsidRPr="00C72046">
          <w:rPr>
            <w:rStyle w:val="TextoNormalCaracter"/>
          </w:rPr>
          <w:t>72/2025</w:t>
        </w:r>
      </w:hyperlink>
      <w:r w:rsidRPr="00C72046">
        <w:rPr>
          <w:rStyle w:val="TextoNormalCaracter"/>
        </w:rPr>
        <w:t xml:space="preserve">, f. único; </w:t>
      </w:r>
      <w:hyperlink w:anchor="SENTENCIA_2025_73" w:history="1">
        <w:r w:rsidRPr="00C72046">
          <w:rPr>
            <w:rStyle w:val="TextoNormalCaracter"/>
          </w:rPr>
          <w:t>73/2025</w:t>
        </w:r>
      </w:hyperlink>
      <w:r w:rsidRPr="00C72046">
        <w:rPr>
          <w:rStyle w:val="TextoNormalCaracter"/>
        </w:rPr>
        <w:t xml:space="preserve">, f. 2; </w:t>
      </w:r>
      <w:hyperlink w:anchor="SENTENCIA_2025_74" w:history="1">
        <w:r w:rsidRPr="00C72046">
          <w:rPr>
            <w:rStyle w:val="TextoNormalCaracter"/>
          </w:rPr>
          <w:t>74/2025</w:t>
        </w:r>
      </w:hyperlink>
      <w:r w:rsidRPr="00C72046">
        <w:rPr>
          <w:rStyle w:val="TextoNormalCaracter"/>
        </w:rPr>
        <w:t xml:space="preserve">, f. único; </w:t>
      </w:r>
      <w:hyperlink w:anchor="SENTENCIA_2025_75" w:history="1">
        <w:r w:rsidRPr="00C72046">
          <w:rPr>
            <w:rStyle w:val="TextoNormalCaracter"/>
          </w:rPr>
          <w:t>75/2025</w:t>
        </w:r>
      </w:hyperlink>
      <w:r w:rsidRPr="00C72046">
        <w:rPr>
          <w:rStyle w:val="TextoNormalCaracter"/>
        </w:rPr>
        <w:t xml:space="preserve">, f. único; </w:t>
      </w:r>
      <w:hyperlink w:anchor="SENTENCIA_2025_76" w:history="1">
        <w:r w:rsidRPr="00C72046">
          <w:rPr>
            <w:rStyle w:val="TextoNormalCaracter"/>
          </w:rPr>
          <w:t>76/2025</w:t>
        </w:r>
      </w:hyperlink>
      <w:r w:rsidRPr="00C72046">
        <w:rPr>
          <w:rStyle w:val="TextoNormalCaracter"/>
        </w:rPr>
        <w:t xml:space="preserve">, f. 2; </w:t>
      </w:r>
      <w:hyperlink w:anchor="SENTENCIA_2025_77" w:history="1">
        <w:r w:rsidRPr="00C72046">
          <w:rPr>
            <w:rStyle w:val="TextoNormalCaracter"/>
          </w:rPr>
          <w:t>77/2025</w:t>
        </w:r>
      </w:hyperlink>
      <w:r w:rsidRPr="00C72046">
        <w:rPr>
          <w:rStyle w:val="TextoNormalCaracter"/>
        </w:rPr>
        <w:t xml:space="preserve">, f. único; </w:t>
      </w:r>
      <w:hyperlink w:anchor="SENTENCIA_2025_78" w:history="1">
        <w:r w:rsidRPr="00C72046">
          <w:rPr>
            <w:rStyle w:val="TextoNormalCaracter"/>
          </w:rPr>
          <w:t>78/2025</w:t>
        </w:r>
      </w:hyperlink>
      <w:r w:rsidRPr="00C72046">
        <w:rPr>
          <w:rStyle w:val="TextoNormalCaracter"/>
        </w:rPr>
        <w:t xml:space="preserve">, f. único; </w:t>
      </w:r>
      <w:hyperlink w:anchor="SENTENCIA_2025_79" w:history="1">
        <w:r w:rsidRPr="00C72046">
          <w:rPr>
            <w:rStyle w:val="TextoNormalCaracter"/>
          </w:rPr>
          <w:t>79/2025</w:t>
        </w:r>
      </w:hyperlink>
      <w:r w:rsidRPr="00C72046">
        <w:rPr>
          <w:rStyle w:val="TextoNormalCaracter"/>
        </w:rPr>
        <w:t xml:space="preserve">, f. 3; </w:t>
      </w:r>
      <w:hyperlink w:anchor="SENTENCIA_2025_80" w:history="1">
        <w:r w:rsidRPr="00C72046">
          <w:rPr>
            <w:rStyle w:val="TextoNormalCaracter"/>
          </w:rPr>
          <w:t>80/2025</w:t>
        </w:r>
      </w:hyperlink>
      <w:r w:rsidRPr="00C72046">
        <w:rPr>
          <w:rStyle w:val="TextoNormalCaracter"/>
        </w:rPr>
        <w:t xml:space="preserve">, f. 2; </w:t>
      </w:r>
      <w:hyperlink w:anchor="SENTENCIA_2025_81" w:history="1">
        <w:r w:rsidRPr="00C72046">
          <w:rPr>
            <w:rStyle w:val="TextoNormalCaracter"/>
          </w:rPr>
          <w:t>81/2025</w:t>
        </w:r>
      </w:hyperlink>
      <w:r w:rsidRPr="00C72046">
        <w:rPr>
          <w:rStyle w:val="TextoNormalCaracter"/>
        </w:rPr>
        <w:t xml:space="preserve">, f. 2; </w:t>
      </w:r>
      <w:hyperlink w:anchor="SENTENCIA_2025_88" w:history="1">
        <w:r w:rsidRPr="00C72046">
          <w:rPr>
            <w:rStyle w:val="TextoNormalCaracter"/>
          </w:rPr>
          <w:t>88/2025</w:t>
        </w:r>
      </w:hyperlink>
      <w:r w:rsidRPr="00C72046">
        <w:rPr>
          <w:rStyle w:val="TextoNormalCaracter"/>
        </w:rPr>
        <w:t xml:space="preserve">, f. 2; </w:t>
      </w:r>
      <w:hyperlink w:anchor="SENTENCIA_2025_89" w:history="1">
        <w:r w:rsidRPr="00C72046">
          <w:rPr>
            <w:rStyle w:val="TextoNormalCaracter"/>
          </w:rPr>
          <w:t>89/2025</w:t>
        </w:r>
      </w:hyperlink>
      <w:r w:rsidRPr="00C72046">
        <w:rPr>
          <w:rStyle w:val="TextoNormalCaracter"/>
        </w:rPr>
        <w:t xml:space="preserve">, f. 2; </w:t>
      </w:r>
      <w:hyperlink w:anchor="SENTENCIA_2025_90" w:history="1">
        <w:r w:rsidRPr="00C72046">
          <w:rPr>
            <w:rStyle w:val="TextoNormalCaracter"/>
          </w:rPr>
          <w:t>90/2025</w:t>
        </w:r>
      </w:hyperlink>
      <w:r w:rsidRPr="00C72046">
        <w:rPr>
          <w:rStyle w:val="TextoNormalCaracter"/>
        </w:rPr>
        <w:t xml:space="preserve">, f. 2; </w:t>
      </w:r>
      <w:hyperlink w:anchor="SENTENCIA_2025_91" w:history="1">
        <w:r w:rsidRPr="00C72046">
          <w:rPr>
            <w:rStyle w:val="TextoNormalCaracter"/>
          </w:rPr>
          <w:t>91/2025</w:t>
        </w:r>
      </w:hyperlink>
      <w:r w:rsidRPr="00C72046">
        <w:rPr>
          <w:rStyle w:val="TextoNormalCaracter"/>
        </w:rPr>
        <w:t xml:space="preserve">, f. único; </w:t>
      </w:r>
      <w:hyperlink w:anchor="SENTENCIA_2025_92" w:history="1">
        <w:r w:rsidRPr="00C72046">
          <w:rPr>
            <w:rStyle w:val="TextoNormalCaracter"/>
          </w:rPr>
          <w:t>92/2025</w:t>
        </w:r>
      </w:hyperlink>
      <w:r w:rsidRPr="00C72046">
        <w:rPr>
          <w:rStyle w:val="TextoNormalCaracter"/>
        </w:rPr>
        <w:t xml:space="preserve">, f. 2; </w:t>
      </w:r>
      <w:hyperlink w:anchor="SENTENCIA_2025_93" w:history="1">
        <w:r w:rsidRPr="00C72046">
          <w:rPr>
            <w:rStyle w:val="TextoNormalCaracter"/>
          </w:rPr>
          <w:t>93/2025</w:t>
        </w:r>
      </w:hyperlink>
      <w:r w:rsidRPr="00C72046">
        <w:rPr>
          <w:rStyle w:val="TextoNormalCaracter"/>
        </w:rPr>
        <w:t xml:space="preserve">, f. 2; </w:t>
      </w:r>
      <w:hyperlink w:anchor="SENTENCIA_2025_94" w:history="1">
        <w:r w:rsidRPr="00C72046">
          <w:rPr>
            <w:rStyle w:val="TextoNormalCaracter"/>
          </w:rPr>
          <w:t>94/2025</w:t>
        </w:r>
      </w:hyperlink>
      <w:r w:rsidRPr="00C72046">
        <w:rPr>
          <w:rStyle w:val="TextoNormalCaracter"/>
        </w:rPr>
        <w:t xml:space="preserve">, ff. 1 y 2; </w:t>
      </w:r>
      <w:hyperlink w:anchor="SENTENCIA_2025_102" w:history="1">
        <w:r w:rsidRPr="00C72046">
          <w:rPr>
            <w:rStyle w:val="TextoNormalCaracter"/>
          </w:rPr>
          <w:t>102/2025</w:t>
        </w:r>
      </w:hyperlink>
      <w:r w:rsidRPr="00C72046">
        <w:rPr>
          <w:rStyle w:val="TextoNormalCaracter"/>
        </w:rPr>
        <w:t xml:space="preserve">, f. 2; </w:t>
      </w:r>
      <w:hyperlink w:anchor="SENTENCIA_2025_103" w:history="1">
        <w:r w:rsidRPr="00C72046">
          <w:rPr>
            <w:rStyle w:val="TextoNormalCaracter"/>
          </w:rPr>
          <w:t>103/2025</w:t>
        </w:r>
      </w:hyperlink>
      <w:r w:rsidRPr="00C72046">
        <w:rPr>
          <w:rStyle w:val="TextoNormalCaracter"/>
        </w:rPr>
        <w:t xml:space="preserve">, f. único; </w:t>
      </w:r>
      <w:hyperlink w:anchor="SENTENCIA_2025_112" w:history="1">
        <w:r w:rsidRPr="00C72046">
          <w:rPr>
            <w:rStyle w:val="TextoNormalCaracter"/>
          </w:rPr>
          <w:t>112/2025</w:t>
        </w:r>
      </w:hyperlink>
      <w:r w:rsidRPr="00C72046">
        <w:rPr>
          <w:rStyle w:val="TextoNormalCaracter"/>
        </w:rPr>
        <w:t xml:space="preserve">, f. 2; </w:t>
      </w:r>
      <w:hyperlink w:anchor="SENTENCIA_2025_113" w:history="1">
        <w:r w:rsidRPr="00C72046">
          <w:rPr>
            <w:rStyle w:val="TextoNormalCaracter"/>
          </w:rPr>
          <w:t>113/2025</w:t>
        </w:r>
      </w:hyperlink>
      <w:r w:rsidRPr="00C72046">
        <w:rPr>
          <w:rStyle w:val="TextoNormalCaracter"/>
        </w:rPr>
        <w:t xml:space="preserve">, f. único; </w:t>
      </w:r>
      <w:hyperlink w:anchor="SENTENCIA_2025_114" w:history="1">
        <w:r w:rsidRPr="00C72046">
          <w:rPr>
            <w:rStyle w:val="TextoNormalCaracter"/>
          </w:rPr>
          <w:t>114/2025</w:t>
        </w:r>
      </w:hyperlink>
      <w:r w:rsidRPr="00C72046">
        <w:rPr>
          <w:rStyle w:val="TextoNormalCaracter"/>
        </w:rPr>
        <w:t xml:space="preserve">, f. único; </w:t>
      </w:r>
      <w:hyperlink w:anchor="SENTENCIA_2025_115" w:history="1">
        <w:r w:rsidRPr="00C72046">
          <w:rPr>
            <w:rStyle w:val="TextoNormalCaracter"/>
          </w:rPr>
          <w:t>115/2025</w:t>
        </w:r>
      </w:hyperlink>
      <w:r w:rsidRPr="00C72046">
        <w:rPr>
          <w:rStyle w:val="TextoNormalCaracter"/>
        </w:rPr>
        <w:t xml:space="preserve">, f. único; </w:t>
      </w:r>
      <w:hyperlink w:anchor="SENTENCIA_2025_116" w:history="1">
        <w:r w:rsidRPr="00C72046">
          <w:rPr>
            <w:rStyle w:val="TextoNormalCaracter"/>
          </w:rPr>
          <w:t>116/2025</w:t>
        </w:r>
      </w:hyperlink>
      <w:r w:rsidRPr="00C72046">
        <w:rPr>
          <w:rStyle w:val="TextoNormalCaracter"/>
        </w:rPr>
        <w:t xml:space="preserve">, f. único; </w:t>
      </w:r>
      <w:hyperlink w:anchor="SENTENCIA_2025_122" w:history="1">
        <w:r w:rsidRPr="00C72046">
          <w:rPr>
            <w:rStyle w:val="TextoNormalCaracter"/>
          </w:rPr>
          <w:t>122/2025</w:t>
        </w:r>
      </w:hyperlink>
      <w:r w:rsidRPr="00C72046">
        <w:rPr>
          <w:rStyle w:val="TextoNormalCaracter"/>
        </w:rPr>
        <w:t xml:space="preserve">, f. único; </w:t>
      </w:r>
      <w:hyperlink w:anchor="SENTENCIA_2025_123" w:history="1">
        <w:r w:rsidRPr="00C72046">
          <w:rPr>
            <w:rStyle w:val="TextoNormalCaracter"/>
          </w:rPr>
          <w:t>123/2025</w:t>
        </w:r>
      </w:hyperlink>
      <w:r w:rsidRPr="00C72046">
        <w:rPr>
          <w:rStyle w:val="TextoNormalCaracter"/>
        </w:rPr>
        <w:t xml:space="preserve">, ff. 2 y 3; </w:t>
      </w:r>
      <w:hyperlink w:anchor="SENTENCIA_2025_124" w:history="1">
        <w:r w:rsidRPr="00C72046">
          <w:rPr>
            <w:rStyle w:val="TextoNormalCaracter"/>
          </w:rPr>
          <w:t>124/2025</w:t>
        </w:r>
      </w:hyperlink>
      <w:r w:rsidRPr="00C72046">
        <w:rPr>
          <w:rStyle w:val="TextoNormalCaracter"/>
        </w:rPr>
        <w:t xml:space="preserve">, f. 2; </w:t>
      </w:r>
      <w:hyperlink w:anchor="SENTENCIA_2025_125" w:history="1">
        <w:r w:rsidRPr="00C72046">
          <w:rPr>
            <w:rStyle w:val="TextoNormalCaracter"/>
          </w:rPr>
          <w:t>125/2025</w:t>
        </w:r>
      </w:hyperlink>
      <w:r w:rsidRPr="00C72046">
        <w:rPr>
          <w:rStyle w:val="TextoNormalCaracter"/>
        </w:rPr>
        <w:t xml:space="preserve">, f. único; </w:t>
      </w:r>
      <w:hyperlink w:anchor="SENTENCIA_2025_127" w:history="1">
        <w:r w:rsidRPr="00C72046">
          <w:rPr>
            <w:rStyle w:val="TextoNormalCaracter"/>
          </w:rPr>
          <w:t>127/2025</w:t>
        </w:r>
      </w:hyperlink>
      <w:r w:rsidRPr="00C72046">
        <w:rPr>
          <w:rStyle w:val="TextoNormalCaracter"/>
        </w:rPr>
        <w:t xml:space="preserve">, f. 2; </w:t>
      </w:r>
      <w:hyperlink w:anchor="SENTENCIA_2025_128" w:history="1">
        <w:r w:rsidRPr="00C72046">
          <w:rPr>
            <w:rStyle w:val="TextoNormalCaracter"/>
          </w:rPr>
          <w:t>128/2025</w:t>
        </w:r>
      </w:hyperlink>
      <w:r w:rsidRPr="00C72046">
        <w:rPr>
          <w:rStyle w:val="TextoNormalCaracter"/>
        </w:rPr>
        <w:t xml:space="preserve">, f. 2; </w:t>
      </w:r>
      <w:hyperlink w:anchor="SENTENCIA_2025_129" w:history="1">
        <w:r w:rsidRPr="00C72046">
          <w:rPr>
            <w:rStyle w:val="TextoNormalCaracter"/>
          </w:rPr>
          <w:t>129/2025</w:t>
        </w:r>
      </w:hyperlink>
      <w:r w:rsidRPr="00C72046">
        <w:rPr>
          <w:rStyle w:val="TextoNormalCaracter"/>
        </w:rPr>
        <w:t xml:space="preserve">, f. 2; </w:t>
      </w:r>
      <w:hyperlink w:anchor="SENTENCIA_2025_130" w:history="1">
        <w:r w:rsidRPr="00C72046">
          <w:rPr>
            <w:rStyle w:val="TextoNormalCaracter"/>
          </w:rPr>
          <w:t>130/2025</w:t>
        </w:r>
      </w:hyperlink>
      <w:r w:rsidRPr="00C72046">
        <w:rPr>
          <w:rStyle w:val="TextoNormalCaracter"/>
        </w:rPr>
        <w:t xml:space="preserve">, f. 2; </w:t>
      </w:r>
      <w:hyperlink w:anchor="SENTENCIA_2025_131" w:history="1">
        <w:r w:rsidRPr="00C72046">
          <w:rPr>
            <w:rStyle w:val="TextoNormalCaracter"/>
          </w:rPr>
          <w:t>131/2025</w:t>
        </w:r>
      </w:hyperlink>
      <w:r w:rsidRPr="00C72046">
        <w:rPr>
          <w:rStyle w:val="TextoNormalCaracter"/>
        </w:rPr>
        <w:t>, f. 2.</w:t>
      </w:r>
    </w:p>
    <w:p w14:paraId="6928DC5E" w14:textId="2CD929AB" w:rsidR="00C72046" w:rsidRPr="00C72046" w:rsidRDefault="00C72046" w:rsidP="00C72046">
      <w:pPr>
        <w:pStyle w:val="TextoNormalSangraFrancesa"/>
        <w:rPr>
          <w:rStyle w:val="TextoNormalCaracter"/>
        </w:rPr>
      </w:pPr>
      <w:bookmarkStart w:id="969" w:name="DESCRIPTORALFABETICO45"/>
      <w:r w:rsidRPr="00C72046">
        <w:rPr>
          <w:rStyle w:val="TextoNormalNegritaCaracter"/>
        </w:rPr>
        <w:t>Igualdad en el ejercicio de cargos públicos</w:t>
      </w:r>
      <w:bookmarkEnd w:id="969"/>
      <w:r w:rsidRPr="00C72046">
        <w:rPr>
          <w:rStyle w:val="TextoNormalCaracter"/>
        </w:rPr>
        <w:t xml:space="preserve">, Sentencia </w:t>
      </w:r>
      <w:hyperlink w:anchor="SENTENCIA_2025_97" w:history="1">
        <w:r w:rsidRPr="00C72046">
          <w:rPr>
            <w:rStyle w:val="TextoNormalCaracter"/>
          </w:rPr>
          <w:t>97/2025</w:t>
        </w:r>
      </w:hyperlink>
      <w:r w:rsidRPr="00C72046">
        <w:rPr>
          <w:rStyle w:val="TextoNormalCaracter"/>
        </w:rPr>
        <w:t>, f. 3.</w:t>
      </w:r>
    </w:p>
    <w:p w14:paraId="151FB088" w14:textId="169A7BBD" w:rsidR="00C72046" w:rsidRPr="00C72046" w:rsidRDefault="00C72046" w:rsidP="00C72046">
      <w:pPr>
        <w:pStyle w:val="TextoNormalSangraFrancesa"/>
        <w:rPr>
          <w:rStyle w:val="TextoNormalCaracter"/>
        </w:rPr>
      </w:pPr>
      <w:bookmarkStart w:id="970" w:name="DESCRIPTORALFABETICO489"/>
      <w:r w:rsidRPr="00C72046">
        <w:rPr>
          <w:rStyle w:val="TextoNormalNegritaCaracter"/>
        </w:rPr>
        <w:t>Illes Balears</w:t>
      </w:r>
      <w:bookmarkEnd w:id="970"/>
      <w:r w:rsidRPr="00C72046">
        <w:rPr>
          <w:rStyle w:val="TextoNormalCaracter"/>
        </w:rPr>
        <w:t xml:space="preserve">, Sentencia </w:t>
      </w:r>
      <w:hyperlink w:anchor="SENTENCIA_2025_118" w:history="1">
        <w:r w:rsidRPr="00C72046">
          <w:rPr>
            <w:rStyle w:val="TextoNormalCaracter"/>
          </w:rPr>
          <w:t>118/2025</w:t>
        </w:r>
      </w:hyperlink>
      <w:r w:rsidRPr="00C72046">
        <w:rPr>
          <w:rStyle w:val="TextoNormalCaracter"/>
        </w:rPr>
        <w:t>, f. 1.</w:t>
      </w:r>
    </w:p>
    <w:p w14:paraId="5A26200A" w14:textId="07CF2473" w:rsidR="00C72046" w:rsidRPr="00C72046" w:rsidRDefault="00C72046" w:rsidP="00C72046">
      <w:pPr>
        <w:pStyle w:val="TextoNormalSangraFrancesa"/>
        <w:rPr>
          <w:rStyle w:val="TextoNormalCaracter"/>
        </w:rPr>
      </w:pPr>
      <w:bookmarkStart w:id="971" w:name="DESCRIPTORALFABETICO231"/>
      <w:r w:rsidRPr="00C72046">
        <w:rPr>
          <w:rStyle w:val="TextoNormalNegritaCaracter"/>
        </w:rPr>
        <w:t>Imparcialidad de magistrados del Tribunal Constitucional</w:t>
      </w:r>
      <w:bookmarkEnd w:id="971"/>
      <w:r w:rsidRPr="00C72046">
        <w:rPr>
          <w:rStyle w:val="TextoNormalCaracter"/>
        </w:rPr>
        <w:t xml:space="preserve">, Autos </w:t>
      </w:r>
      <w:hyperlink w:anchor="AUTO_2025_6" w:history="1">
        <w:r w:rsidRPr="00C72046">
          <w:rPr>
            <w:rStyle w:val="TextoNormalCaracter"/>
          </w:rPr>
          <w:t>6/2025</w:t>
        </w:r>
      </w:hyperlink>
      <w:r w:rsidRPr="00C72046">
        <w:rPr>
          <w:rStyle w:val="TextoNormalCaracter"/>
        </w:rPr>
        <w:t xml:space="preserve">, f. 4, VVPP I y II; </w:t>
      </w:r>
      <w:hyperlink w:anchor="AUTO_2025_35" w:history="1">
        <w:r w:rsidRPr="00C72046">
          <w:rPr>
            <w:rStyle w:val="TextoNormalCaracter"/>
          </w:rPr>
          <w:t>35/2025</w:t>
        </w:r>
      </w:hyperlink>
      <w:r w:rsidRPr="00C72046">
        <w:rPr>
          <w:rStyle w:val="TextoNormalCaracter"/>
        </w:rPr>
        <w:t>, ff. 4 a 7.</w:t>
      </w:r>
    </w:p>
    <w:p w14:paraId="08EC3AFF" w14:textId="031DB8DF" w:rsidR="00C72046" w:rsidRPr="00C72046" w:rsidRDefault="00C72046" w:rsidP="00C72046">
      <w:pPr>
        <w:pStyle w:val="TextoNormalSangraFrancesa"/>
        <w:rPr>
          <w:rStyle w:val="TextoNormalCaracter"/>
        </w:rPr>
      </w:pPr>
      <w:bookmarkStart w:id="972" w:name="DESCRIPTORALFABETICO246"/>
      <w:r w:rsidRPr="00C72046">
        <w:rPr>
          <w:rStyle w:val="TextoNormalNegritaCaracter"/>
        </w:rPr>
        <w:t>Imparcialidad judicial</w:t>
      </w:r>
      <w:bookmarkEnd w:id="972"/>
      <w:r w:rsidRPr="00C72046">
        <w:rPr>
          <w:rStyle w:val="TextoNormalCaracter"/>
        </w:rPr>
        <w:t xml:space="preserve">, Sentencia </w:t>
      </w:r>
      <w:hyperlink w:anchor="SENTENCIA_2025_41" w:history="1">
        <w:r w:rsidRPr="00C72046">
          <w:rPr>
            <w:rStyle w:val="TextoNormalCaracter"/>
          </w:rPr>
          <w:t>41/2025</w:t>
        </w:r>
      </w:hyperlink>
      <w:r w:rsidRPr="00C72046">
        <w:rPr>
          <w:rStyle w:val="TextoNormalCaracter"/>
        </w:rPr>
        <w:t>, ff. 1 y 3.</w:t>
      </w:r>
    </w:p>
    <w:p w14:paraId="7E93111F" w14:textId="1E28BB9D" w:rsidR="00C72046" w:rsidRPr="00C72046" w:rsidRDefault="00C72046" w:rsidP="00C72046">
      <w:pPr>
        <w:pStyle w:val="TextoNormalSangraFrancesa"/>
        <w:rPr>
          <w:rStyle w:val="TextoNormalCaracter"/>
        </w:rPr>
      </w:pPr>
      <w:bookmarkStart w:id="973" w:name="DESCRIPTORALFABETICO36"/>
      <w:r w:rsidRPr="00C72046">
        <w:rPr>
          <w:rStyle w:val="TextoNormalNegritaCaracter"/>
        </w:rPr>
        <w:t>Impuesto municipal sobre el incremento del valor de los terrenos</w:t>
      </w:r>
      <w:bookmarkEnd w:id="973"/>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1 a 4.</w:t>
      </w:r>
    </w:p>
    <w:p w14:paraId="2FDC6477" w14:textId="39E0052B" w:rsidR="00C72046" w:rsidRPr="00C72046" w:rsidRDefault="00C72046" w:rsidP="00C72046">
      <w:pPr>
        <w:pStyle w:val="TextoNormalSangraFrancesa"/>
        <w:rPr>
          <w:rStyle w:val="TextoNormalCaracter"/>
        </w:rPr>
      </w:pPr>
      <w:bookmarkStart w:id="974" w:name="DESCRIPTORALFABETICO37"/>
      <w:r w:rsidRPr="00C72046">
        <w:rPr>
          <w:rStyle w:val="TextoNormalNegritaCaracter"/>
        </w:rPr>
        <w:t>Impuesto sobre sucesiones y donaciones</w:t>
      </w:r>
      <w:bookmarkEnd w:id="974"/>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 2.</w:t>
      </w:r>
    </w:p>
    <w:p w14:paraId="651CC137" w14:textId="31126FA6" w:rsidR="00C72046" w:rsidRPr="00C72046" w:rsidRDefault="00C72046" w:rsidP="00C72046">
      <w:pPr>
        <w:pStyle w:val="TextoNormalSangraFrancesa"/>
        <w:rPr>
          <w:rStyle w:val="TextoNormalCaracter"/>
        </w:rPr>
      </w:pPr>
      <w:bookmarkStart w:id="975" w:name="DESCRIPTORALFABETICO272"/>
      <w:r w:rsidRPr="00C72046">
        <w:rPr>
          <w:rStyle w:val="TextoNormalNegritaCaracter"/>
        </w:rPr>
        <w:t>Impugnación de acuerdos de las mesas parlamentarias</w:t>
      </w:r>
      <w:bookmarkEnd w:id="975"/>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ff. 2 a 5.</w:t>
      </w:r>
    </w:p>
    <w:p w14:paraId="2C1F5084" w14:textId="3F3BF267" w:rsidR="00C72046" w:rsidRPr="00C72046" w:rsidRDefault="00C72046" w:rsidP="00C72046">
      <w:pPr>
        <w:pStyle w:val="TextoNormalSangraFrancesa"/>
        <w:rPr>
          <w:rStyle w:val="TextoNormalCaracter"/>
        </w:rPr>
      </w:pPr>
      <w:bookmarkStart w:id="976" w:name="DESCRIPTORALFABETICO454"/>
      <w:r w:rsidRPr="00C72046">
        <w:rPr>
          <w:rStyle w:val="TextoNormalNegritaCaracter"/>
        </w:rPr>
        <w:t>Impugnación de la denegación de justicia gratuita</w:t>
      </w:r>
      <w:bookmarkEnd w:id="976"/>
      <w:r w:rsidRPr="00C72046">
        <w:rPr>
          <w:rStyle w:val="TextoNormalCaracter"/>
        </w:rPr>
        <w:t xml:space="preserve">, Auto </w:t>
      </w:r>
      <w:hyperlink w:anchor="AUTO_2025_36" w:history="1">
        <w:r w:rsidRPr="00C72046">
          <w:rPr>
            <w:rStyle w:val="TextoNormalCaracter"/>
          </w:rPr>
          <w:t>36/2025</w:t>
        </w:r>
      </w:hyperlink>
      <w:r w:rsidRPr="00C72046">
        <w:rPr>
          <w:rStyle w:val="TextoNormalCaracter"/>
        </w:rPr>
        <w:t>, f. 1.</w:t>
      </w:r>
    </w:p>
    <w:p w14:paraId="6BA92D85" w14:textId="5ACE5808" w:rsidR="00C72046" w:rsidRPr="00C72046" w:rsidRDefault="00C72046" w:rsidP="00C72046">
      <w:pPr>
        <w:pStyle w:val="TextoNormalSangraFrancesa"/>
        <w:rPr>
          <w:rStyle w:val="TextoNormalCaracter"/>
        </w:rPr>
      </w:pPr>
      <w:bookmarkStart w:id="977" w:name="DESCRIPTORALFABETICO239"/>
      <w:r w:rsidRPr="00C72046">
        <w:rPr>
          <w:rStyle w:val="TextoNormalNegritaCaracter"/>
        </w:rPr>
        <w:t>Impugnación de las resoluciones de los letrados de la Administración de justicia</w:t>
      </w:r>
      <w:bookmarkEnd w:id="977"/>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 1; </w:t>
      </w:r>
      <w:hyperlink w:anchor="SENTENCIA_2025_13" w:history="1">
        <w:r w:rsidRPr="00C72046">
          <w:rPr>
            <w:rStyle w:val="TextoNormalCaracter"/>
          </w:rPr>
          <w:t>13/2025</w:t>
        </w:r>
      </w:hyperlink>
      <w:r w:rsidRPr="00C72046">
        <w:rPr>
          <w:rStyle w:val="TextoNormalCaracter"/>
        </w:rPr>
        <w:t xml:space="preserve">, f. 1; </w:t>
      </w:r>
      <w:hyperlink w:anchor="SENTENCIA_2025_84" w:history="1">
        <w:r w:rsidRPr="00C72046">
          <w:rPr>
            <w:rStyle w:val="TextoNormalCaracter"/>
          </w:rPr>
          <w:t>84/2025</w:t>
        </w:r>
      </w:hyperlink>
      <w:r w:rsidRPr="00C72046">
        <w:rPr>
          <w:rStyle w:val="TextoNormalCaracter"/>
        </w:rPr>
        <w:t>, f. 3 y 4.</w:t>
      </w:r>
    </w:p>
    <w:p w14:paraId="23F9D3CB" w14:textId="5B64EA4E" w:rsidR="00C72046" w:rsidRPr="00C72046" w:rsidRDefault="00C72046" w:rsidP="00C72046">
      <w:pPr>
        <w:pStyle w:val="TextoNormalSangraFrancesa"/>
        <w:rPr>
          <w:rStyle w:val="TextoNormalCaracter"/>
        </w:rPr>
      </w:pPr>
      <w:bookmarkStart w:id="978" w:name="DESCRIPTORALFABETICO179"/>
      <w:r w:rsidRPr="00C72046">
        <w:rPr>
          <w:rStyle w:val="TextoNormalNegritaCaracter"/>
        </w:rPr>
        <w:t>Inadmisión de conflicto positivo de competencia por sentencia</w:t>
      </w:r>
      <w:bookmarkEnd w:id="978"/>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2.</w:t>
      </w:r>
    </w:p>
    <w:p w14:paraId="7A58F218" w14:textId="3AE78822" w:rsidR="00C72046" w:rsidRPr="00C72046" w:rsidRDefault="00C72046" w:rsidP="00C72046">
      <w:pPr>
        <w:pStyle w:val="TextoNormalSangraFrancesa"/>
        <w:rPr>
          <w:rStyle w:val="TextoNormalCaracter"/>
        </w:rPr>
      </w:pPr>
      <w:bookmarkStart w:id="979" w:name="DESCRIPTORALFABETICO183"/>
      <w:r w:rsidRPr="00C72046">
        <w:rPr>
          <w:rStyle w:val="TextoNormalNegritaCaracter"/>
        </w:rPr>
        <w:t>Inadmisión de cuestión de inconstitucionalidad</w:t>
      </w:r>
      <w:bookmarkEnd w:id="979"/>
      <w:r w:rsidRPr="00C72046">
        <w:rPr>
          <w:rStyle w:val="TextoNormalCaracter"/>
        </w:rPr>
        <w:t xml:space="preserve">, Autos </w:t>
      </w:r>
      <w:hyperlink w:anchor="AUTO_2025_10" w:history="1">
        <w:r w:rsidRPr="00C72046">
          <w:rPr>
            <w:rStyle w:val="TextoNormalCaracter"/>
          </w:rPr>
          <w:t>10/2025</w:t>
        </w:r>
      </w:hyperlink>
      <w:r w:rsidRPr="00C72046">
        <w:rPr>
          <w:rStyle w:val="TextoNormalCaracter"/>
        </w:rPr>
        <w:t xml:space="preserve">, f. único; </w:t>
      </w:r>
      <w:hyperlink w:anchor="AUTO_2025_19" w:history="1">
        <w:r w:rsidRPr="00C72046">
          <w:rPr>
            <w:rStyle w:val="TextoNormalCaracter"/>
          </w:rPr>
          <w:t>19/2025</w:t>
        </w:r>
      </w:hyperlink>
      <w:r w:rsidRPr="00C72046">
        <w:rPr>
          <w:rStyle w:val="TextoNormalCaracter"/>
        </w:rPr>
        <w:t xml:space="preserve">, f. único; </w:t>
      </w:r>
      <w:hyperlink w:anchor="AUTO_2025_55" w:history="1">
        <w:r w:rsidRPr="00C72046">
          <w:rPr>
            <w:rStyle w:val="TextoNormalCaracter"/>
          </w:rPr>
          <w:t>55/2025</w:t>
        </w:r>
      </w:hyperlink>
      <w:r w:rsidRPr="00C72046">
        <w:rPr>
          <w:rStyle w:val="TextoNormalCaracter"/>
        </w:rPr>
        <w:t xml:space="preserve">, f. único; </w:t>
      </w:r>
      <w:hyperlink w:anchor="AUTO_2025_59" w:history="1">
        <w:r w:rsidRPr="00C72046">
          <w:rPr>
            <w:rStyle w:val="TextoNormalCaracter"/>
          </w:rPr>
          <w:t>59/2025</w:t>
        </w:r>
      </w:hyperlink>
      <w:r w:rsidRPr="00C72046">
        <w:rPr>
          <w:rStyle w:val="TextoNormalCaracter"/>
        </w:rPr>
        <w:t>, f. 4.</w:t>
      </w:r>
    </w:p>
    <w:p w14:paraId="526F77E6" w14:textId="7B6DA611" w:rsidR="00C72046" w:rsidRPr="00C72046" w:rsidRDefault="00C72046" w:rsidP="00C72046">
      <w:pPr>
        <w:pStyle w:val="TextoNormalSangraFrancesa"/>
        <w:rPr>
          <w:rStyle w:val="TextoNormalCaracter"/>
        </w:rPr>
      </w:pPr>
      <w:bookmarkStart w:id="980" w:name="DESCRIPTORALFABETICO186"/>
      <w:r w:rsidRPr="00C72046">
        <w:rPr>
          <w:rStyle w:val="TextoNormalNegritaCaracter"/>
        </w:rPr>
        <w:t>Inadmisión de cuestión de inconstitucionalidad por falta de requisitos procesales</w:t>
      </w:r>
      <w:bookmarkEnd w:id="980"/>
      <w:r w:rsidRPr="00C72046">
        <w:rPr>
          <w:rStyle w:val="TextoNormalCaracter"/>
        </w:rPr>
        <w:t xml:space="preserve">, Autos </w:t>
      </w:r>
      <w:hyperlink w:anchor="AUTO_2025_13" w:history="1">
        <w:r w:rsidRPr="00C72046">
          <w:rPr>
            <w:rStyle w:val="TextoNormalCaracter"/>
          </w:rPr>
          <w:t>13/2025</w:t>
        </w:r>
      </w:hyperlink>
      <w:r w:rsidRPr="00C72046">
        <w:rPr>
          <w:rStyle w:val="TextoNormalCaracter"/>
        </w:rPr>
        <w:t xml:space="preserve">, f. 3; </w:t>
      </w:r>
      <w:hyperlink w:anchor="AUTO_2025_32" w:history="1">
        <w:r w:rsidRPr="00C72046">
          <w:rPr>
            <w:rStyle w:val="TextoNormalCaracter"/>
          </w:rPr>
          <w:t>32/2025</w:t>
        </w:r>
      </w:hyperlink>
      <w:r w:rsidRPr="00C72046">
        <w:rPr>
          <w:rStyle w:val="TextoNormalCaracter"/>
        </w:rPr>
        <w:t>, ff. 2 a 4.</w:t>
      </w:r>
    </w:p>
    <w:p w14:paraId="6E7141F0" w14:textId="5A8E6674" w:rsidR="00C72046" w:rsidRPr="00C72046" w:rsidRDefault="00C72046" w:rsidP="00C72046">
      <w:pPr>
        <w:pStyle w:val="TextoNormalSangraFrancesa"/>
        <w:rPr>
          <w:rStyle w:val="TextoNormalCaracter"/>
        </w:rPr>
      </w:pPr>
      <w:bookmarkStart w:id="981" w:name="DESCRIPTORALFABETICO187"/>
      <w:r w:rsidRPr="00C72046">
        <w:rPr>
          <w:rStyle w:val="TextoNormalNegritaCaracter"/>
        </w:rPr>
        <w:t>Inadmisión de cuestión de inconstitucionalidad por sentencia</w:t>
      </w:r>
      <w:bookmarkEnd w:id="981"/>
      <w:r w:rsidRPr="00C72046">
        <w:rPr>
          <w:rStyle w:val="TextoNormalCaracter"/>
        </w:rPr>
        <w:t xml:space="preserve">, Sentencia </w:t>
      </w:r>
      <w:hyperlink w:anchor="SENTENCIA_2025_27" w:history="1">
        <w:r w:rsidRPr="00C72046">
          <w:rPr>
            <w:rStyle w:val="TextoNormalCaracter"/>
          </w:rPr>
          <w:t>27/2025</w:t>
        </w:r>
      </w:hyperlink>
      <w:r w:rsidRPr="00C72046">
        <w:rPr>
          <w:rStyle w:val="TextoNormalCaracter"/>
        </w:rPr>
        <w:t>, ff. 1 y 2.</w:t>
      </w:r>
    </w:p>
    <w:p w14:paraId="1B590873" w14:textId="7585BDCB" w:rsidR="00C72046" w:rsidRPr="00C72046" w:rsidRDefault="00C72046" w:rsidP="00C72046">
      <w:pPr>
        <w:pStyle w:val="TextoNormalSangraFrancesa"/>
        <w:rPr>
          <w:rStyle w:val="TextoNormalCaracter"/>
        </w:rPr>
      </w:pPr>
      <w:bookmarkStart w:id="982" w:name="DESCRIPTORALFABETICO444"/>
      <w:r w:rsidRPr="00C72046">
        <w:rPr>
          <w:rStyle w:val="TextoNormalNegritaCaracter"/>
        </w:rPr>
        <w:t>Inadmisión de demanda por extemporaneidad</w:t>
      </w:r>
      <w:bookmarkEnd w:id="982"/>
      <w:r w:rsidRPr="00C72046">
        <w:rPr>
          <w:rStyle w:val="TextoNormalCaracter"/>
        </w:rPr>
        <w:t xml:space="preserve">, Sentencia </w:t>
      </w:r>
      <w:hyperlink w:anchor="SENTENCIA_2025_106" w:history="1">
        <w:r w:rsidRPr="00C72046">
          <w:rPr>
            <w:rStyle w:val="TextoNormalCaracter"/>
          </w:rPr>
          <w:t>106/2025</w:t>
        </w:r>
      </w:hyperlink>
      <w:r w:rsidRPr="00C72046">
        <w:rPr>
          <w:rStyle w:val="TextoNormalCaracter"/>
        </w:rPr>
        <w:t>, f. 2.</w:t>
      </w:r>
    </w:p>
    <w:p w14:paraId="513EE213" w14:textId="392C7CD6" w:rsidR="00C72046" w:rsidRPr="00C72046" w:rsidRDefault="00C72046" w:rsidP="00C72046">
      <w:pPr>
        <w:pStyle w:val="TextoNormalSangraFrancesa"/>
        <w:rPr>
          <w:rStyle w:val="TextoNormalCaracter"/>
        </w:rPr>
      </w:pPr>
      <w:bookmarkStart w:id="983" w:name="DESCRIPTORALFABETICO445"/>
      <w:r w:rsidRPr="00C72046">
        <w:rPr>
          <w:rStyle w:val="TextoNormalNegritaCaracter"/>
        </w:rPr>
        <w:t>Inadmisión de demanda por falta de requisitos procesales</w:t>
      </w:r>
      <w:bookmarkEnd w:id="983"/>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 2.</w:t>
      </w:r>
    </w:p>
    <w:p w14:paraId="0936A5E0" w14:textId="171E4034" w:rsidR="00C72046" w:rsidRPr="00C72046" w:rsidRDefault="00C72046" w:rsidP="00C72046">
      <w:pPr>
        <w:pStyle w:val="TextoNormalSangraFrancesa"/>
        <w:rPr>
          <w:rStyle w:val="TextoNormalCaracter"/>
        </w:rPr>
      </w:pPr>
      <w:bookmarkStart w:id="984" w:name="DESCRIPTORALFABETICO224"/>
      <w:r w:rsidRPr="00C72046">
        <w:rPr>
          <w:rStyle w:val="TextoNormalNegritaCaracter"/>
        </w:rPr>
        <w:t>Inadmisión de incidente de ejecución de sentencias de amparo</w:t>
      </w:r>
      <w:bookmarkEnd w:id="984"/>
      <w:r w:rsidRPr="00C72046">
        <w:rPr>
          <w:rStyle w:val="TextoNormalCaracter"/>
        </w:rPr>
        <w:t xml:space="preserve">, Autos </w:t>
      </w:r>
      <w:hyperlink w:anchor="AUTO_2025_34" w:history="1">
        <w:r w:rsidRPr="00C72046">
          <w:rPr>
            <w:rStyle w:val="TextoNormalCaracter"/>
          </w:rPr>
          <w:t>34/2025</w:t>
        </w:r>
      </w:hyperlink>
      <w:r w:rsidRPr="00C72046">
        <w:rPr>
          <w:rStyle w:val="TextoNormalCaracter"/>
        </w:rPr>
        <w:t xml:space="preserve">, f. único; </w:t>
      </w:r>
      <w:hyperlink w:anchor="AUTO_2025_37" w:history="1">
        <w:r w:rsidRPr="00C72046">
          <w:rPr>
            <w:rStyle w:val="TextoNormalCaracter"/>
          </w:rPr>
          <w:t>37/2025</w:t>
        </w:r>
      </w:hyperlink>
      <w:r w:rsidRPr="00C72046">
        <w:rPr>
          <w:rStyle w:val="TextoNormalCaracter"/>
        </w:rPr>
        <w:t xml:space="preserve">, f. único; </w:t>
      </w:r>
      <w:hyperlink w:anchor="AUTO_2025_38" w:history="1">
        <w:r w:rsidRPr="00C72046">
          <w:rPr>
            <w:rStyle w:val="TextoNormalCaracter"/>
          </w:rPr>
          <w:t>38/2025</w:t>
        </w:r>
      </w:hyperlink>
      <w:r w:rsidRPr="00C72046">
        <w:rPr>
          <w:rStyle w:val="TextoNormalCaracter"/>
        </w:rPr>
        <w:t xml:space="preserve">, f. único; </w:t>
      </w:r>
      <w:hyperlink w:anchor="AUTO_2025_39" w:history="1">
        <w:r w:rsidRPr="00C72046">
          <w:rPr>
            <w:rStyle w:val="TextoNormalCaracter"/>
          </w:rPr>
          <w:t>39/2025</w:t>
        </w:r>
      </w:hyperlink>
      <w:r w:rsidRPr="00C72046">
        <w:rPr>
          <w:rStyle w:val="TextoNormalCaracter"/>
        </w:rPr>
        <w:t xml:space="preserve">, f. único; </w:t>
      </w:r>
      <w:hyperlink w:anchor="AUTO_2025_40" w:history="1">
        <w:r w:rsidRPr="00C72046">
          <w:rPr>
            <w:rStyle w:val="TextoNormalCaracter"/>
          </w:rPr>
          <w:t>40/2025</w:t>
        </w:r>
      </w:hyperlink>
      <w:r w:rsidRPr="00C72046">
        <w:rPr>
          <w:rStyle w:val="TextoNormalCaracter"/>
        </w:rPr>
        <w:t xml:space="preserve">, f. único; </w:t>
      </w:r>
      <w:hyperlink w:anchor="AUTO_2025_41" w:history="1">
        <w:r w:rsidRPr="00C72046">
          <w:rPr>
            <w:rStyle w:val="TextoNormalCaracter"/>
          </w:rPr>
          <w:t>41/2025</w:t>
        </w:r>
      </w:hyperlink>
      <w:r w:rsidRPr="00C72046">
        <w:rPr>
          <w:rStyle w:val="TextoNormalCaracter"/>
        </w:rPr>
        <w:t xml:space="preserve">, f. único; </w:t>
      </w:r>
      <w:hyperlink w:anchor="AUTO_2025_42" w:history="1">
        <w:r w:rsidRPr="00C72046">
          <w:rPr>
            <w:rStyle w:val="TextoNormalCaracter"/>
          </w:rPr>
          <w:t>42/2025</w:t>
        </w:r>
      </w:hyperlink>
      <w:r w:rsidRPr="00C72046">
        <w:rPr>
          <w:rStyle w:val="TextoNormalCaracter"/>
        </w:rPr>
        <w:t xml:space="preserve">, f. único; </w:t>
      </w:r>
      <w:hyperlink w:anchor="AUTO_2025_43" w:history="1">
        <w:r w:rsidRPr="00C72046">
          <w:rPr>
            <w:rStyle w:val="TextoNormalCaracter"/>
          </w:rPr>
          <w:t>43/2025</w:t>
        </w:r>
      </w:hyperlink>
      <w:r w:rsidRPr="00C72046">
        <w:rPr>
          <w:rStyle w:val="TextoNormalCaracter"/>
        </w:rPr>
        <w:t xml:space="preserve">, f. único; </w:t>
      </w:r>
      <w:hyperlink w:anchor="AUTO_2025_44" w:history="1">
        <w:r w:rsidRPr="00C72046">
          <w:rPr>
            <w:rStyle w:val="TextoNormalCaracter"/>
          </w:rPr>
          <w:t>44/2025</w:t>
        </w:r>
      </w:hyperlink>
      <w:r w:rsidRPr="00C72046">
        <w:rPr>
          <w:rStyle w:val="TextoNormalCaracter"/>
        </w:rPr>
        <w:t xml:space="preserve">, f. único; </w:t>
      </w:r>
      <w:hyperlink w:anchor="AUTO_2025_45" w:history="1">
        <w:r w:rsidRPr="00C72046">
          <w:rPr>
            <w:rStyle w:val="TextoNormalCaracter"/>
          </w:rPr>
          <w:t>45/2025</w:t>
        </w:r>
      </w:hyperlink>
      <w:r w:rsidRPr="00C72046">
        <w:rPr>
          <w:rStyle w:val="TextoNormalCaracter"/>
        </w:rPr>
        <w:t xml:space="preserve">, f. único; </w:t>
      </w:r>
      <w:hyperlink w:anchor="AUTO_2025_46" w:history="1">
        <w:r w:rsidRPr="00C72046">
          <w:rPr>
            <w:rStyle w:val="TextoNormalCaracter"/>
          </w:rPr>
          <w:t>46/2025</w:t>
        </w:r>
      </w:hyperlink>
      <w:r w:rsidRPr="00C72046">
        <w:rPr>
          <w:rStyle w:val="TextoNormalCaracter"/>
        </w:rPr>
        <w:t xml:space="preserve">, f. único; </w:t>
      </w:r>
      <w:hyperlink w:anchor="AUTO_2025_47" w:history="1">
        <w:r w:rsidRPr="00C72046">
          <w:rPr>
            <w:rStyle w:val="TextoNormalCaracter"/>
          </w:rPr>
          <w:t>47/2025</w:t>
        </w:r>
      </w:hyperlink>
      <w:r w:rsidRPr="00C72046">
        <w:rPr>
          <w:rStyle w:val="TextoNormalCaracter"/>
        </w:rPr>
        <w:t xml:space="preserve">, f. único; </w:t>
      </w:r>
      <w:hyperlink w:anchor="AUTO_2025_48" w:history="1">
        <w:r w:rsidRPr="00C72046">
          <w:rPr>
            <w:rStyle w:val="TextoNormalCaracter"/>
          </w:rPr>
          <w:t>48/2025</w:t>
        </w:r>
      </w:hyperlink>
      <w:r w:rsidRPr="00C72046">
        <w:rPr>
          <w:rStyle w:val="TextoNormalCaracter"/>
        </w:rPr>
        <w:t xml:space="preserve">, f. único; </w:t>
      </w:r>
      <w:hyperlink w:anchor="AUTO_2025_49" w:history="1">
        <w:r w:rsidRPr="00C72046">
          <w:rPr>
            <w:rStyle w:val="TextoNormalCaracter"/>
          </w:rPr>
          <w:t>49/2025</w:t>
        </w:r>
      </w:hyperlink>
      <w:r w:rsidRPr="00C72046">
        <w:rPr>
          <w:rStyle w:val="TextoNormalCaracter"/>
        </w:rPr>
        <w:t xml:space="preserve">, f. único; </w:t>
      </w:r>
      <w:hyperlink w:anchor="AUTO_2025_50" w:history="1">
        <w:r w:rsidRPr="00C72046">
          <w:rPr>
            <w:rStyle w:val="TextoNormalCaracter"/>
          </w:rPr>
          <w:t>50/2025</w:t>
        </w:r>
      </w:hyperlink>
      <w:r w:rsidRPr="00C72046">
        <w:rPr>
          <w:rStyle w:val="TextoNormalCaracter"/>
        </w:rPr>
        <w:t xml:space="preserve">, f. único; </w:t>
      </w:r>
      <w:hyperlink w:anchor="AUTO_2025_51" w:history="1">
        <w:r w:rsidRPr="00C72046">
          <w:rPr>
            <w:rStyle w:val="TextoNormalCaracter"/>
          </w:rPr>
          <w:t>51/2025</w:t>
        </w:r>
      </w:hyperlink>
      <w:r w:rsidRPr="00C72046">
        <w:rPr>
          <w:rStyle w:val="TextoNormalCaracter"/>
        </w:rPr>
        <w:t xml:space="preserve">, f. único; </w:t>
      </w:r>
      <w:hyperlink w:anchor="AUTO_2025_52" w:history="1">
        <w:r w:rsidRPr="00C72046">
          <w:rPr>
            <w:rStyle w:val="TextoNormalCaracter"/>
          </w:rPr>
          <w:t>52/2025</w:t>
        </w:r>
      </w:hyperlink>
      <w:r w:rsidRPr="00C72046">
        <w:rPr>
          <w:rStyle w:val="TextoNormalCaracter"/>
        </w:rPr>
        <w:t xml:space="preserve">, f. único; </w:t>
      </w:r>
      <w:hyperlink w:anchor="AUTO_2025_53" w:history="1">
        <w:r w:rsidRPr="00C72046">
          <w:rPr>
            <w:rStyle w:val="TextoNormalCaracter"/>
          </w:rPr>
          <w:t>53/2025</w:t>
        </w:r>
      </w:hyperlink>
      <w:r w:rsidRPr="00C72046">
        <w:rPr>
          <w:rStyle w:val="TextoNormalCaracter"/>
        </w:rPr>
        <w:t xml:space="preserve">, f. único; </w:t>
      </w:r>
      <w:hyperlink w:anchor="AUTO_2025_58" w:history="1">
        <w:r w:rsidRPr="00C72046">
          <w:rPr>
            <w:rStyle w:val="TextoNormalCaracter"/>
          </w:rPr>
          <w:t>58/2025</w:t>
        </w:r>
      </w:hyperlink>
      <w:r w:rsidRPr="00C72046">
        <w:rPr>
          <w:rStyle w:val="TextoNormalCaracter"/>
        </w:rPr>
        <w:t xml:space="preserve">, f. único; </w:t>
      </w:r>
      <w:hyperlink w:anchor="AUTO_2025_60" w:history="1">
        <w:r w:rsidRPr="00C72046">
          <w:rPr>
            <w:rStyle w:val="TextoNormalCaracter"/>
          </w:rPr>
          <w:t>60/2025</w:t>
        </w:r>
      </w:hyperlink>
      <w:r w:rsidRPr="00C72046">
        <w:rPr>
          <w:rStyle w:val="TextoNormalCaracter"/>
        </w:rPr>
        <w:t xml:space="preserve">, f. único; </w:t>
      </w:r>
      <w:hyperlink w:anchor="AUTO_2025_61" w:history="1">
        <w:r w:rsidRPr="00C72046">
          <w:rPr>
            <w:rStyle w:val="TextoNormalCaracter"/>
          </w:rPr>
          <w:t>61/2025</w:t>
        </w:r>
      </w:hyperlink>
      <w:r w:rsidRPr="00C72046">
        <w:rPr>
          <w:rStyle w:val="TextoNormalCaracter"/>
        </w:rPr>
        <w:t xml:space="preserve">, f. único; </w:t>
      </w:r>
      <w:hyperlink w:anchor="AUTO_2025_62" w:history="1">
        <w:r w:rsidRPr="00C72046">
          <w:rPr>
            <w:rStyle w:val="TextoNormalCaracter"/>
          </w:rPr>
          <w:t>62/2025</w:t>
        </w:r>
      </w:hyperlink>
      <w:r w:rsidRPr="00C72046">
        <w:rPr>
          <w:rStyle w:val="TextoNormalCaracter"/>
        </w:rPr>
        <w:t xml:space="preserve">, f. único; </w:t>
      </w:r>
      <w:hyperlink w:anchor="AUTO_2025_63" w:history="1">
        <w:r w:rsidRPr="00C72046">
          <w:rPr>
            <w:rStyle w:val="TextoNormalCaracter"/>
          </w:rPr>
          <w:t>63/2025</w:t>
        </w:r>
      </w:hyperlink>
      <w:r w:rsidRPr="00C72046">
        <w:rPr>
          <w:rStyle w:val="TextoNormalCaracter"/>
        </w:rPr>
        <w:t>, f. único.</w:t>
      </w:r>
    </w:p>
    <w:p w14:paraId="279B5085" w14:textId="2DB8CE7C" w:rsidR="00C72046" w:rsidRPr="00C72046" w:rsidRDefault="00C72046" w:rsidP="00C72046">
      <w:pPr>
        <w:pStyle w:val="TextoNormalSangraFrancesa"/>
        <w:rPr>
          <w:rStyle w:val="TextoNormalCaracter"/>
        </w:rPr>
      </w:pPr>
      <w:bookmarkStart w:id="985" w:name="DESCRIPTORALFABETICO225"/>
      <w:r w:rsidRPr="00C72046">
        <w:rPr>
          <w:rStyle w:val="TextoNormalNegritaCaracter"/>
        </w:rPr>
        <w:t>Inadmisión de incidente de ejecución de sentencias del Tribunal Constitucional</w:t>
      </w:r>
      <w:bookmarkEnd w:id="985"/>
      <w:r w:rsidRPr="00C72046">
        <w:rPr>
          <w:rStyle w:val="TextoNormalCaracter"/>
        </w:rPr>
        <w:t xml:space="preserve">, Auto </w:t>
      </w:r>
      <w:hyperlink w:anchor="AUTO_2025_33" w:history="1">
        <w:r w:rsidRPr="00C72046">
          <w:rPr>
            <w:rStyle w:val="TextoNormalCaracter"/>
          </w:rPr>
          <w:t>33/2025</w:t>
        </w:r>
      </w:hyperlink>
      <w:r w:rsidRPr="00C72046">
        <w:rPr>
          <w:rStyle w:val="TextoNormalCaracter"/>
        </w:rPr>
        <w:t>, f. 2.</w:t>
      </w:r>
    </w:p>
    <w:p w14:paraId="65E7644F" w14:textId="6821F933" w:rsidR="00C72046" w:rsidRPr="00C72046" w:rsidRDefault="00C72046" w:rsidP="00C72046">
      <w:pPr>
        <w:pStyle w:val="TextoNormalSangraFrancesa"/>
        <w:rPr>
          <w:rStyle w:val="TextoNormalCaracter"/>
        </w:rPr>
      </w:pPr>
      <w:bookmarkStart w:id="986" w:name="DESCRIPTORALFABETICO453"/>
      <w:r w:rsidRPr="00C72046">
        <w:rPr>
          <w:rStyle w:val="TextoNormalNegritaCaracter"/>
        </w:rPr>
        <w:t>Inadmisión de incidente de nulidad de actuaciones</w:t>
      </w:r>
      <w:bookmarkEnd w:id="986"/>
      <w:r w:rsidRPr="00C72046">
        <w:rPr>
          <w:rStyle w:val="TextoNormalCaracter"/>
        </w:rPr>
        <w:t xml:space="preserve">, Sentencia </w:t>
      </w:r>
      <w:hyperlink w:anchor="SENTENCIA_2025_16" w:history="1">
        <w:r w:rsidRPr="00C72046">
          <w:rPr>
            <w:rStyle w:val="TextoNormalCaracter"/>
          </w:rPr>
          <w:t>16/2025</w:t>
        </w:r>
      </w:hyperlink>
      <w:r w:rsidRPr="00C72046">
        <w:rPr>
          <w:rStyle w:val="TextoNormalCaracter"/>
        </w:rPr>
        <w:t>, ff. 1 a 3.</w:t>
      </w:r>
    </w:p>
    <w:p w14:paraId="02B2112E" w14:textId="00F39340" w:rsidR="00C72046" w:rsidRPr="00C72046" w:rsidRDefault="00C72046" w:rsidP="00C72046">
      <w:pPr>
        <w:pStyle w:val="TextoNormalSangraFrancesa"/>
        <w:rPr>
          <w:rStyle w:val="TextoNormalCaracter"/>
        </w:rPr>
      </w:pPr>
      <w:bookmarkStart w:id="987" w:name="DESCRIPTORALFABETICO470"/>
      <w:r w:rsidRPr="00C72046">
        <w:rPr>
          <w:rStyle w:val="TextoNormalNegritaCaracter"/>
        </w:rPr>
        <w:t>Inadmisión de recurso contencioso-administrativo por falta de legitimación</w:t>
      </w:r>
      <w:bookmarkEnd w:id="987"/>
      <w:r w:rsidRPr="00C72046">
        <w:rPr>
          <w:rStyle w:val="TextoNormalCaracter"/>
        </w:rPr>
        <w:t xml:space="preserve">, Sentencia </w:t>
      </w:r>
      <w:hyperlink w:anchor="SENTENCIA_2025_69" w:history="1">
        <w:r w:rsidRPr="00C72046">
          <w:rPr>
            <w:rStyle w:val="TextoNormalCaracter"/>
          </w:rPr>
          <w:t>69/2025</w:t>
        </w:r>
      </w:hyperlink>
      <w:r w:rsidRPr="00C72046">
        <w:rPr>
          <w:rStyle w:val="TextoNormalCaracter"/>
        </w:rPr>
        <w:t>, f. 2..</w:t>
      </w:r>
    </w:p>
    <w:p w14:paraId="6150A9E4" w14:textId="5661E8CC" w:rsidR="00C72046" w:rsidRPr="00C72046" w:rsidRDefault="00C72046" w:rsidP="00C72046">
      <w:pPr>
        <w:pStyle w:val="TextoNormalSangraFrancesa"/>
        <w:rPr>
          <w:rStyle w:val="TextoNormalCaracter"/>
        </w:rPr>
      </w:pPr>
      <w:bookmarkStart w:id="988" w:name="DESCRIPTORALFABETICO217"/>
      <w:r w:rsidRPr="00C72046">
        <w:rPr>
          <w:rStyle w:val="TextoNormalNegritaCaracter"/>
        </w:rPr>
        <w:t>Inadmisión de recurso de amparo</w:t>
      </w:r>
      <w:bookmarkEnd w:id="988"/>
      <w:r w:rsidRPr="00C72046">
        <w:rPr>
          <w:rStyle w:val="TextoNormalCaracter"/>
        </w:rPr>
        <w:t xml:space="preserve">, Auto </w:t>
      </w:r>
      <w:hyperlink w:anchor="AUTO_2025_22" w:history="1">
        <w:r w:rsidRPr="00C72046">
          <w:rPr>
            <w:rStyle w:val="TextoNormalCaracter"/>
          </w:rPr>
          <w:t>22/2025</w:t>
        </w:r>
      </w:hyperlink>
      <w:r w:rsidRPr="00C72046">
        <w:rPr>
          <w:rStyle w:val="TextoNormalCaracter"/>
        </w:rPr>
        <w:t>, f. único.</w:t>
      </w:r>
    </w:p>
    <w:p w14:paraId="54DD35A5" w14:textId="7D07D6C8" w:rsidR="00C72046" w:rsidRPr="00C72046" w:rsidRDefault="00C72046" w:rsidP="00C72046">
      <w:pPr>
        <w:pStyle w:val="TextoNormalSangraFrancesa"/>
        <w:rPr>
          <w:rStyle w:val="TextoNormalCaracter"/>
        </w:rPr>
      </w:pPr>
      <w:bookmarkStart w:id="989" w:name="DESCRIPTORALFABETICO220"/>
      <w:r w:rsidRPr="00C72046">
        <w:rPr>
          <w:rStyle w:val="TextoNormalNegritaCaracter"/>
        </w:rPr>
        <w:t>Inadmisión de recurso de amparo por Auto</w:t>
      </w:r>
      <w:bookmarkEnd w:id="989"/>
      <w:r w:rsidRPr="00C72046">
        <w:rPr>
          <w:rStyle w:val="TextoNormalCaracter"/>
        </w:rPr>
        <w:t xml:space="preserve">, Autos </w:t>
      </w:r>
      <w:hyperlink w:anchor="AUTO_2025_8" w:history="1">
        <w:r w:rsidRPr="00C72046">
          <w:rPr>
            <w:rStyle w:val="TextoNormalCaracter"/>
          </w:rPr>
          <w:t>8/2025</w:t>
        </w:r>
      </w:hyperlink>
      <w:r w:rsidRPr="00C72046">
        <w:rPr>
          <w:rStyle w:val="TextoNormalCaracter"/>
        </w:rPr>
        <w:t xml:space="preserve">, f. 2, VP; </w:t>
      </w:r>
      <w:hyperlink w:anchor="AUTO_2025_28" w:history="1">
        <w:r w:rsidRPr="00C72046">
          <w:rPr>
            <w:rStyle w:val="TextoNormalCaracter"/>
          </w:rPr>
          <w:t>28/2025</w:t>
        </w:r>
      </w:hyperlink>
      <w:r w:rsidRPr="00C72046">
        <w:rPr>
          <w:rStyle w:val="TextoNormalCaracter"/>
        </w:rPr>
        <w:t>, ff. 2 a 4, VP I.</w:t>
      </w:r>
    </w:p>
    <w:p w14:paraId="6FE3F087" w14:textId="6A652FF9" w:rsidR="00C72046" w:rsidRPr="00C72046" w:rsidRDefault="00C72046" w:rsidP="00C72046">
      <w:pPr>
        <w:pStyle w:val="TextoNormalSangraFrancesa"/>
        <w:rPr>
          <w:rStyle w:val="TextoNormalCaracter"/>
        </w:rPr>
      </w:pPr>
      <w:bookmarkStart w:id="990" w:name="DESCRIPTORALFABETICO221"/>
      <w:r w:rsidRPr="00C72046">
        <w:rPr>
          <w:rStyle w:val="TextoNormalNegritaCaracter"/>
        </w:rPr>
        <w:t>Inadmisión de recurso de amparo por sentencia</w:t>
      </w:r>
      <w:bookmarkEnd w:id="990"/>
      <w:r w:rsidRPr="00C72046">
        <w:rPr>
          <w:rStyle w:val="TextoNormalCaracter"/>
        </w:rPr>
        <w:t xml:space="preserve">, Sentencias </w:t>
      </w:r>
      <w:hyperlink w:anchor="SENTENCIA_2025_11" w:history="1">
        <w:r w:rsidRPr="00C72046">
          <w:rPr>
            <w:rStyle w:val="TextoNormalCaracter"/>
          </w:rPr>
          <w:t>11/2025</w:t>
        </w:r>
      </w:hyperlink>
      <w:r w:rsidRPr="00C72046">
        <w:rPr>
          <w:rStyle w:val="TextoNormalCaracter"/>
        </w:rPr>
        <w:t xml:space="preserve">, f. 2; </w:t>
      </w:r>
      <w:hyperlink w:anchor="SENTENCIA_2025_106" w:history="1">
        <w:r w:rsidRPr="00C72046">
          <w:rPr>
            <w:rStyle w:val="TextoNormalCaracter"/>
          </w:rPr>
          <w:t>106/2025</w:t>
        </w:r>
      </w:hyperlink>
      <w:r w:rsidRPr="00C72046">
        <w:rPr>
          <w:rStyle w:val="TextoNormalCaracter"/>
        </w:rPr>
        <w:t>, f. 2.</w:t>
      </w:r>
    </w:p>
    <w:p w14:paraId="6D660CE1" w14:textId="42B5D4B3" w:rsidR="00C72046" w:rsidRPr="00C72046" w:rsidRDefault="00C72046" w:rsidP="00C72046">
      <w:pPr>
        <w:pStyle w:val="TextoNormalSangraFrancesa"/>
        <w:rPr>
          <w:rStyle w:val="TextoNormalCaracter"/>
        </w:rPr>
      </w:pPr>
      <w:bookmarkStart w:id="991" w:name="DESCRIPTORALFABETICO464"/>
      <w:r w:rsidRPr="00C72046">
        <w:rPr>
          <w:rStyle w:val="TextoNormalNegritaCaracter"/>
        </w:rPr>
        <w:t>Inadmisión de recurso de reposición</w:t>
      </w:r>
      <w:bookmarkEnd w:id="991"/>
      <w:r w:rsidRPr="00C72046">
        <w:rPr>
          <w:rStyle w:val="TextoNormalCaracter"/>
        </w:rPr>
        <w:t xml:space="preserve">, Auto </w:t>
      </w:r>
      <w:hyperlink w:anchor="AUTO_2025_31" w:history="1">
        <w:r w:rsidRPr="00C72046">
          <w:rPr>
            <w:rStyle w:val="TextoNormalCaracter"/>
          </w:rPr>
          <w:t>31/2025</w:t>
        </w:r>
      </w:hyperlink>
      <w:r w:rsidRPr="00C72046">
        <w:rPr>
          <w:rStyle w:val="TextoNormalCaracter"/>
        </w:rPr>
        <w:t>, ff. 1, 2 y 3, VP.</w:t>
      </w:r>
    </w:p>
    <w:p w14:paraId="2DCBF5C2" w14:textId="0F893CB0" w:rsidR="00C72046" w:rsidRPr="00C72046" w:rsidRDefault="00C72046" w:rsidP="00C72046">
      <w:pPr>
        <w:pStyle w:val="TextoNormalSangraFrancesa"/>
        <w:rPr>
          <w:rStyle w:val="TextoNormalCaracter"/>
        </w:rPr>
      </w:pPr>
      <w:bookmarkStart w:id="992" w:name="DESCRIPTORALFABETICO163"/>
      <w:r w:rsidRPr="00C72046">
        <w:rPr>
          <w:rStyle w:val="TextoNormalNegritaCaracter"/>
        </w:rPr>
        <w:t>Inadmisión del incidente de recusación de magistrados del Tribunal Constitucional</w:t>
      </w:r>
      <w:bookmarkEnd w:id="992"/>
      <w:r w:rsidRPr="00C72046">
        <w:rPr>
          <w:rStyle w:val="TextoNormalCaracter"/>
        </w:rPr>
        <w:t xml:space="preserve">, Autos </w:t>
      </w:r>
      <w:hyperlink w:anchor="AUTO_2025_23" w:history="1">
        <w:r w:rsidRPr="00C72046">
          <w:rPr>
            <w:rStyle w:val="TextoNormalCaracter"/>
          </w:rPr>
          <w:t>23/2025</w:t>
        </w:r>
      </w:hyperlink>
      <w:r w:rsidRPr="00C72046">
        <w:rPr>
          <w:rStyle w:val="TextoNormalCaracter"/>
        </w:rPr>
        <w:t xml:space="preserve">, f. 3; </w:t>
      </w:r>
      <w:hyperlink w:anchor="AUTO_2025_30" w:history="1">
        <w:r w:rsidRPr="00C72046">
          <w:rPr>
            <w:rStyle w:val="TextoNormalCaracter"/>
          </w:rPr>
          <w:t>30/2025</w:t>
        </w:r>
      </w:hyperlink>
      <w:r w:rsidRPr="00C72046">
        <w:rPr>
          <w:rStyle w:val="TextoNormalCaracter"/>
        </w:rPr>
        <w:t xml:space="preserve">, f. único; </w:t>
      </w:r>
      <w:hyperlink w:anchor="AUTO_2025_56" w:history="1">
        <w:r w:rsidRPr="00C72046">
          <w:rPr>
            <w:rStyle w:val="TextoNormalCaracter"/>
          </w:rPr>
          <w:t>56/2025</w:t>
        </w:r>
      </w:hyperlink>
      <w:r w:rsidRPr="00C72046">
        <w:rPr>
          <w:rStyle w:val="TextoNormalCaracter"/>
        </w:rPr>
        <w:t xml:space="preserve">, f. único; </w:t>
      </w:r>
      <w:hyperlink w:anchor="AUTO_2025_57" w:history="1">
        <w:r w:rsidRPr="00C72046">
          <w:rPr>
            <w:rStyle w:val="TextoNormalCaracter"/>
          </w:rPr>
          <w:t>57/2025</w:t>
        </w:r>
      </w:hyperlink>
      <w:r w:rsidRPr="00C72046">
        <w:rPr>
          <w:rStyle w:val="TextoNormalCaracter"/>
        </w:rPr>
        <w:t>, f. único.</w:t>
      </w:r>
    </w:p>
    <w:p w14:paraId="665B6DCA" w14:textId="2757ADF8" w:rsidR="00C72046" w:rsidRPr="00C72046" w:rsidRDefault="00C72046" w:rsidP="00C72046">
      <w:pPr>
        <w:pStyle w:val="TextoNormalSangraFrancesa"/>
        <w:rPr>
          <w:rStyle w:val="TextoNormalCaracter"/>
        </w:rPr>
      </w:pPr>
      <w:bookmarkStart w:id="993" w:name="DESCRIPTORALFABETICO71"/>
      <w:r w:rsidRPr="00C72046">
        <w:rPr>
          <w:rStyle w:val="TextoNormalNegritaCaracter"/>
        </w:rPr>
        <w:t>Inadmisión o denegación de habeas corpus por razones de fondo</w:t>
      </w:r>
      <w:bookmarkEnd w:id="993"/>
      <w:r w:rsidRPr="00C72046">
        <w:rPr>
          <w:rStyle w:val="TextoNormalCaracter"/>
        </w:rPr>
        <w:t xml:space="preserve">, Sentencia </w:t>
      </w:r>
      <w:hyperlink w:anchor="SENTENCIA_2025_86" w:history="1">
        <w:r w:rsidRPr="00C72046">
          <w:rPr>
            <w:rStyle w:val="TextoNormalCaracter"/>
          </w:rPr>
          <w:t>86/2025</w:t>
        </w:r>
      </w:hyperlink>
      <w:r w:rsidRPr="00C72046">
        <w:rPr>
          <w:rStyle w:val="TextoNormalCaracter"/>
        </w:rPr>
        <w:t>, ff. 2 y 3.</w:t>
      </w:r>
    </w:p>
    <w:p w14:paraId="2741BB84" w14:textId="2CCE29A1" w:rsidR="00C72046" w:rsidRPr="00C72046" w:rsidRDefault="00C72046" w:rsidP="00C72046">
      <w:pPr>
        <w:pStyle w:val="TextoNormalSangraFrancesa"/>
        <w:rPr>
          <w:rStyle w:val="TextoNormalCaracter"/>
        </w:rPr>
      </w:pPr>
      <w:bookmarkStart w:id="994" w:name="DESCRIPTORALFABETICO452"/>
      <w:r w:rsidRPr="00C72046">
        <w:rPr>
          <w:rStyle w:val="TextoNormalNegritaCaracter"/>
        </w:rPr>
        <w:t>Incidente de nulidad de actuaciones</w:t>
      </w:r>
      <w:bookmarkEnd w:id="994"/>
      <w:r w:rsidRPr="00C72046">
        <w:rPr>
          <w:rStyle w:val="TextoNormalCaracter"/>
        </w:rPr>
        <w:t xml:space="preserve">, Auto </w:t>
      </w:r>
      <w:hyperlink w:anchor="AUTO_2025_31" w:history="1">
        <w:r w:rsidRPr="00C72046">
          <w:rPr>
            <w:rStyle w:val="TextoNormalCaracter"/>
          </w:rPr>
          <w:t>31/2025</w:t>
        </w:r>
      </w:hyperlink>
      <w:r w:rsidRPr="00C72046">
        <w:rPr>
          <w:rStyle w:val="TextoNormalCaracter"/>
        </w:rPr>
        <w:t>, ff. 2 y 3, VP.</w:t>
      </w:r>
    </w:p>
    <w:p w14:paraId="2A9DAF67" w14:textId="57302FE5" w:rsidR="00C72046" w:rsidRPr="00C72046" w:rsidRDefault="00C72046" w:rsidP="00C72046">
      <w:pPr>
        <w:pStyle w:val="TextoNormalSangraFrancesa"/>
        <w:rPr>
          <w:rStyle w:val="TextoNormalCaracter"/>
        </w:rPr>
      </w:pPr>
      <w:bookmarkStart w:id="995" w:name="DESCRIPTORALFABETICO162"/>
      <w:r w:rsidRPr="00C72046">
        <w:rPr>
          <w:rStyle w:val="TextoNormalNegritaCaracter"/>
        </w:rPr>
        <w:t>Incidente de recusación de magistrados del Tribunal Constitucional</w:t>
      </w:r>
      <w:bookmarkEnd w:id="995"/>
      <w:r w:rsidRPr="00C72046">
        <w:rPr>
          <w:rStyle w:val="TextoNormalCaracter"/>
        </w:rPr>
        <w:t xml:space="preserve">, Autos </w:t>
      </w:r>
      <w:hyperlink w:anchor="AUTO_2025_12" w:history="1">
        <w:r w:rsidRPr="00C72046">
          <w:rPr>
            <w:rStyle w:val="TextoNormalCaracter"/>
          </w:rPr>
          <w:t>12/2025</w:t>
        </w:r>
      </w:hyperlink>
      <w:r w:rsidRPr="00C72046">
        <w:rPr>
          <w:rStyle w:val="TextoNormalCaracter"/>
        </w:rPr>
        <w:t xml:space="preserve">, ff. 1 a 5; </w:t>
      </w:r>
      <w:hyperlink w:anchor="AUTO_2025_35" w:history="1">
        <w:r w:rsidRPr="00C72046">
          <w:rPr>
            <w:rStyle w:val="TextoNormalCaracter"/>
          </w:rPr>
          <w:t>35/2025</w:t>
        </w:r>
      </w:hyperlink>
      <w:r w:rsidRPr="00C72046">
        <w:rPr>
          <w:rStyle w:val="TextoNormalCaracter"/>
        </w:rPr>
        <w:t>, f. 1.</w:t>
      </w:r>
    </w:p>
    <w:p w14:paraId="3056EA1A" w14:textId="2EB2860E" w:rsidR="00C72046" w:rsidRPr="00C72046" w:rsidRDefault="00C72046" w:rsidP="00C72046">
      <w:pPr>
        <w:pStyle w:val="TextoNormalSangraFrancesa"/>
        <w:rPr>
          <w:rStyle w:val="TextoNormalCaracter"/>
        </w:rPr>
      </w:pPr>
      <w:bookmarkStart w:id="996" w:name="DESCRIPTORALFABETICO192"/>
      <w:r w:rsidRPr="00C72046">
        <w:rPr>
          <w:rStyle w:val="TextoNormalNegritaCaracter"/>
        </w:rPr>
        <w:t>Inconstitucionalidad mediata</w:t>
      </w:r>
      <w:bookmarkEnd w:id="996"/>
      <w:r w:rsidRPr="00C72046">
        <w:rPr>
          <w:rStyle w:val="TextoNormalCaracter"/>
        </w:rPr>
        <w:t xml:space="preserve">, Sentencias </w:t>
      </w:r>
      <w:hyperlink w:anchor="SENTENCIA_2025_42" w:history="1">
        <w:r w:rsidRPr="00C72046">
          <w:rPr>
            <w:rStyle w:val="TextoNormalCaracter"/>
          </w:rPr>
          <w:t>42/2025</w:t>
        </w:r>
      </w:hyperlink>
      <w:r w:rsidRPr="00C72046">
        <w:rPr>
          <w:rStyle w:val="TextoNormalCaracter"/>
        </w:rPr>
        <w:t xml:space="preserve">, f. 4; </w:t>
      </w:r>
      <w:hyperlink w:anchor="SENTENCIA_2025_44" w:history="1">
        <w:r w:rsidRPr="00C72046">
          <w:rPr>
            <w:rStyle w:val="TextoNormalCaracter"/>
          </w:rPr>
          <w:t>44/2025</w:t>
        </w:r>
      </w:hyperlink>
      <w:r w:rsidRPr="00C72046">
        <w:rPr>
          <w:rStyle w:val="TextoNormalCaracter"/>
        </w:rPr>
        <w:t xml:space="preserve">, f. 4; </w:t>
      </w:r>
      <w:hyperlink w:anchor="SENTENCIA_2025_96" w:history="1">
        <w:r w:rsidRPr="00C72046">
          <w:rPr>
            <w:rStyle w:val="TextoNormalCaracter"/>
          </w:rPr>
          <w:t>96/2025</w:t>
        </w:r>
      </w:hyperlink>
      <w:r w:rsidRPr="00C72046">
        <w:rPr>
          <w:rStyle w:val="TextoNormalCaracter"/>
        </w:rPr>
        <w:t>, f. 4.</w:t>
      </w:r>
    </w:p>
    <w:p w14:paraId="64D2B9A2" w14:textId="0B165703" w:rsidR="00C72046" w:rsidRPr="00C72046" w:rsidRDefault="00C72046" w:rsidP="00C72046">
      <w:pPr>
        <w:pStyle w:val="TextoNormalSangraFrancesa"/>
        <w:rPr>
          <w:rStyle w:val="TextoNormalCaracter"/>
        </w:rPr>
      </w:pPr>
      <w:bookmarkStart w:id="997" w:name="DESCRIPTORALFABETICO193"/>
      <w:r w:rsidRPr="00C72046">
        <w:rPr>
          <w:rStyle w:val="TextoNormalNegritaCaracter"/>
        </w:rPr>
        <w:t>Inconstitucionalidad por conexión</w:t>
      </w:r>
      <w:bookmarkEnd w:id="997"/>
      <w:r w:rsidRPr="00C72046">
        <w:rPr>
          <w:rStyle w:val="TextoNormalCaracter"/>
        </w:rPr>
        <w:t xml:space="preserve">, Sentencias </w:t>
      </w:r>
      <w:hyperlink w:anchor="SENTENCIA_2025_26" w:history="1">
        <w:r w:rsidRPr="00C72046">
          <w:rPr>
            <w:rStyle w:val="TextoNormalCaracter"/>
          </w:rPr>
          <w:t>26/2025</w:t>
        </w:r>
      </w:hyperlink>
      <w:r w:rsidRPr="00C72046">
        <w:rPr>
          <w:rStyle w:val="TextoNormalCaracter"/>
        </w:rPr>
        <w:t xml:space="preserve">, f. 7; </w:t>
      </w:r>
      <w:hyperlink w:anchor="SENTENCIA_2025_95" w:history="1">
        <w:r w:rsidRPr="00C72046">
          <w:rPr>
            <w:rStyle w:val="TextoNormalCaracter"/>
          </w:rPr>
          <w:t>95/2025</w:t>
        </w:r>
      </w:hyperlink>
      <w:r w:rsidRPr="00C72046">
        <w:rPr>
          <w:rStyle w:val="TextoNormalCaracter"/>
        </w:rPr>
        <w:t xml:space="preserve">, f. 3; </w:t>
      </w:r>
      <w:hyperlink w:anchor="SENTENCIA_2025_133" w:history="1">
        <w:r w:rsidRPr="00C72046">
          <w:rPr>
            <w:rStyle w:val="TextoNormalCaracter"/>
          </w:rPr>
          <w:t>133/2025</w:t>
        </w:r>
      </w:hyperlink>
      <w:r w:rsidRPr="00C72046">
        <w:rPr>
          <w:rStyle w:val="TextoNormalCaracter"/>
        </w:rPr>
        <w:t xml:space="preserve">, ff. 2 y 3; </w:t>
      </w:r>
      <w:hyperlink w:anchor="SENTENCIA_2025_134" w:history="1">
        <w:r w:rsidRPr="00C72046">
          <w:rPr>
            <w:rStyle w:val="TextoNormalCaracter"/>
          </w:rPr>
          <w:t>134/2025</w:t>
        </w:r>
      </w:hyperlink>
      <w:r w:rsidRPr="00C72046">
        <w:rPr>
          <w:rStyle w:val="TextoNormalCaracter"/>
        </w:rPr>
        <w:t>, f. 6.</w:t>
      </w:r>
    </w:p>
    <w:p w14:paraId="7CE264A0" w14:textId="229CC641" w:rsidR="00C72046" w:rsidRPr="00C72046" w:rsidRDefault="00C72046" w:rsidP="00C72046">
      <w:pPr>
        <w:pStyle w:val="TextoNormalSangraFrancesa"/>
        <w:rPr>
          <w:rStyle w:val="TextoNormalCaracter"/>
        </w:rPr>
      </w:pPr>
      <w:bookmarkStart w:id="998" w:name="DESCRIPTORALFABETICO413"/>
      <w:r w:rsidRPr="00C72046">
        <w:rPr>
          <w:rStyle w:val="TextoNormalNegritaCaracter"/>
        </w:rPr>
        <w:t>Indulto</w:t>
      </w:r>
      <w:bookmarkEnd w:id="998"/>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ff.3 10, VP IV.</w:t>
      </w:r>
    </w:p>
    <w:p w14:paraId="64B53317" w14:textId="4B4D5B8B" w:rsidR="00C72046" w:rsidRPr="00C72046" w:rsidRDefault="00C72046" w:rsidP="00C72046">
      <w:pPr>
        <w:pStyle w:val="TextoNormalSangraFrancesa"/>
        <w:rPr>
          <w:rStyle w:val="TextoNormalCaracter"/>
        </w:rPr>
      </w:pPr>
      <w:bookmarkStart w:id="999" w:name="DESCRIPTORALFABETICO34"/>
      <w:r w:rsidRPr="00C72046">
        <w:rPr>
          <w:rStyle w:val="TextoNormalNegritaCaracter"/>
        </w:rPr>
        <w:t>Inspección tributaria</w:t>
      </w:r>
      <w:bookmarkEnd w:id="999"/>
      <w:r w:rsidRPr="00C72046">
        <w:rPr>
          <w:rStyle w:val="TextoNormalCaracter"/>
        </w:rPr>
        <w:t xml:space="preserve">, Sentencia </w:t>
      </w:r>
      <w:hyperlink w:anchor="SENTENCIA_2025_31" w:history="1">
        <w:r w:rsidRPr="00C72046">
          <w:rPr>
            <w:rStyle w:val="TextoNormalCaracter"/>
          </w:rPr>
          <w:t>31/2025</w:t>
        </w:r>
      </w:hyperlink>
      <w:r w:rsidRPr="00C72046">
        <w:rPr>
          <w:rStyle w:val="TextoNormalCaracter"/>
        </w:rPr>
        <w:t>, f. 1.</w:t>
      </w:r>
    </w:p>
    <w:p w14:paraId="4E1DF11B" w14:textId="68A90B87" w:rsidR="00C72046" w:rsidRPr="00C72046" w:rsidRDefault="00C72046" w:rsidP="00C72046">
      <w:pPr>
        <w:pStyle w:val="TextoNormalSangraFrancesa"/>
        <w:rPr>
          <w:rStyle w:val="TextoNormalCaracter"/>
        </w:rPr>
      </w:pPr>
      <w:bookmarkStart w:id="1000" w:name="DESCRIPTORALFABETICO84"/>
      <w:r w:rsidRPr="00C72046">
        <w:rPr>
          <w:rStyle w:val="TextoNormalNegritaCaracter"/>
        </w:rPr>
        <w:t>Intangibilidad de sentencias firmes</w:t>
      </w:r>
      <w:bookmarkEnd w:id="1000"/>
      <w:r w:rsidRPr="00C72046">
        <w:rPr>
          <w:rStyle w:val="TextoNormalCaracter"/>
        </w:rPr>
        <w:t xml:space="preserve">, Sentencia </w:t>
      </w:r>
      <w:hyperlink w:anchor="SENTENCIA_2025_31" w:history="1">
        <w:r w:rsidRPr="00C72046">
          <w:rPr>
            <w:rStyle w:val="TextoNormalCaracter"/>
          </w:rPr>
          <w:t>31/2025</w:t>
        </w:r>
      </w:hyperlink>
      <w:r w:rsidRPr="00C72046">
        <w:rPr>
          <w:rStyle w:val="TextoNormalCaracter"/>
        </w:rPr>
        <w:t>, f. 2.</w:t>
      </w:r>
    </w:p>
    <w:p w14:paraId="2E8EB41A" w14:textId="7DC3F9BE" w:rsidR="00C72046" w:rsidRPr="00C72046" w:rsidRDefault="00C72046" w:rsidP="00C72046">
      <w:pPr>
        <w:pStyle w:val="TextoNormalSangraFrancesa"/>
        <w:rPr>
          <w:rStyle w:val="TextoNormalCaracter"/>
        </w:rPr>
      </w:pPr>
      <w:bookmarkStart w:id="1001" w:name="DESCRIPTORALFABETICO455"/>
      <w:r w:rsidRPr="00C72046">
        <w:rPr>
          <w:rStyle w:val="TextoNormalNegritaCaracter"/>
        </w:rPr>
        <w:t>Interés legítimo</w:t>
      </w:r>
      <w:bookmarkEnd w:id="1001"/>
      <w:r w:rsidRPr="00C72046">
        <w:rPr>
          <w:rStyle w:val="TextoNormalCaracter"/>
        </w:rPr>
        <w:t xml:space="preserve">, Sentencia </w:t>
      </w:r>
      <w:hyperlink w:anchor="SENTENCIA_2025_96" w:history="1">
        <w:r w:rsidRPr="00C72046">
          <w:rPr>
            <w:rStyle w:val="TextoNormalCaracter"/>
          </w:rPr>
          <w:t>96/2025</w:t>
        </w:r>
      </w:hyperlink>
      <w:r w:rsidRPr="00C72046">
        <w:rPr>
          <w:rStyle w:val="TextoNormalCaracter"/>
        </w:rPr>
        <w:t>, ff. 2 y 3.</w:t>
      </w:r>
    </w:p>
    <w:p w14:paraId="035B432A" w14:textId="225E0337" w:rsidR="00C72046" w:rsidRPr="00C72046" w:rsidRDefault="00C72046" w:rsidP="00C72046">
      <w:pPr>
        <w:pStyle w:val="TextoNormalSangraFrancesa"/>
        <w:rPr>
          <w:rStyle w:val="TextoNormalCaracter"/>
        </w:rPr>
      </w:pPr>
      <w:r w:rsidRPr="00C72046">
        <w:rPr>
          <w:rStyle w:val="TextoNormalCursivaCaracter"/>
        </w:rPr>
        <w:t xml:space="preserve">    Concepto, </w:t>
      </w:r>
      <w:r w:rsidRPr="00C72046">
        <w:rPr>
          <w:rStyle w:val="TextoNormalCaracter"/>
        </w:rPr>
        <w:t xml:space="preserve">Sentencia </w:t>
      </w:r>
      <w:hyperlink w:anchor="SENTENCIA_2025_69" w:history="1">
        <w:r w:rsidRPr="00C72046">
          <w:rPr>
            <w:rStyle w:val="TextoNormalCaracter"/>
          </w:rPr>
          <w:t>69/2025</w:t>
        </w:r>
      </w:hyperlink>
      <w:r w:rsidRPr="00C72046">
        <w:rPr>
          <w:rStyle w:val="TextoNormalCaracter"/>
        </w:rPr>
        <w:t>, f. 2..</w:t>
      </w:r>
    </w:p>
    <w:p w14:paraId="7DF374DA" w14:textId="58770632" w:rsidR="00C72046" w:rsidRPr="00C72046" w:rsidRDefault="00C72046" w:rsidP="00C72046">
      <w:pPr>
        <w:pStyle w:val="TextoNormalSangraFrancesa"/>
        <w:rPr>
          <w:rStyle w:val="TextoNormalCaracter"/>
        </w:rPr>
      </w:pPr>
      <w:bookmarkStart w:id="1002" w:name="DESCRIPTORALFABETICO403"/>
      <w:r w:rsidRPr="00C72046">
        <w:rPr>
          <w:rStyle w:val="TextoNormalNegritaCaracter"/>
        </w:rPr>
        <w:t>Interés superior del menor</w:t>
      </w:r>
      <w:bookmarkEnd w:id="1002"/>
      <w:r w:rsidRPr="00C72046">
        <w:rPr>
          <w:rStyle w:val="TextoNormalCaracter"/>
        </w:rPr>
        <w:t xml:space="preserve">, Sentencias </w:t>
      </w:r>
      <w:hyperlink w:anchor="SENTENCIA_2025_54" w:history="1">
        <w:r w:rsidRPr="00C72046">
          <w:rPr>
            <w:rStyle w:val="TextoNormalCaracter"/>
          </w:rPr>
          <w:t>54/2025</w:t>
        </w:r>
      </w:hyperlink>
      <w:r w:rsidRPr="00C72046">
        <w:rPr>
          <w:rStyle w:val="TextoNormalCaracter"/>
        </w:rPr>
        <w:t xml:space="preserve">, ff. 2 y 3, VP; </w:t>
      </w:r>
      <w:hyperlink w:anchor="SENTENCIA_2025_119" w:history="1">
        <w:r w:rsidRPr="00C72046">
          <w:rPr>
            <w:rStyle w:val="TextoNormalCaracter"/>
          </w:rPr>
          <w:t>119/2025</w:t>
        </w:r>
      </w:hyperlink>
      <w:r w:rsidRPr="00C72046">
        <w:rPr>
          <w:rStyle w:val="TextoNormalCaracter"/>
        </w:rPr>
        <w:t>, ff. 3 a 7.</w:t>
      </w:r>
    </w:p>
    <w:p w14:paraId="3C473EF4" w14:textId="369A0837" w:rsidR="00C72046" w:rsidRPr="00C72046" w:rsidRDefault="00C72046" w:rsidP="00C72046">
      <w:pPr>
        <w:pStyle w:val="TextoNormalSangraFrancesa"/>
        <w:rPr>
          <w:rStyle w:val="TextoNormalCaracter"/>
        </w:rPr>
      </w:pPr>
      <w:bookmarkStart w:id="1003" w:name="DESCRIPTORALFABETICO389"/>
      <w:r w:rsidRPr="00C72046">
        <w:rPr>
          <w:rStyle w:val="TextoNormalNegritaCaracter"/>
        </w:rPr>
        <w:t>Interpretación de las normas más favorable a los derechos fundamentales</w:t>
      </w:r>
      <w:bookmarkEnd w:id="1003"/>
      <w:r w:rsidRPr="00C72046">
        <w:rPr>
          <w:rStyle w:val="TextoNormalCaracter"/>
        </w:rPr>
        <w:t xml:space="preserve">, Sentencia </w:t>
      </w:r>
      <w:hyperlink w:anchor="SENTENCIA_2025_69" w:history="1">
        <w:r w:rsidRPr="00C72046">
          <w:rPr>
            <w:rStyle w:val="TextoNormalCaracter"/>
          </w:rPr>
          <w:t>69/2025</w:t>
        </w:r>
      </w:hyperlink>
      <w:r w:rsidRPr="00C72046">
        <w:rPr>
          <w:rStyle w:val="TextoNormalCaracter"/>
        </w:rPr>
        <w:t>, f. 2..</w:t>
      </w:r>
    </w:p>
    <w:p w14:paraId="01120D9D" w14:textId="2125DF97" w:rsidR="00C72046" w:rsidRPr="00C72046" w:rsidRDefault="00C72046" w:rsidP="00C72046">
      <w:pPr>
        <w:pStyle w:val="TextoNormalSangraFrancesa"/>
        <w:rPr>
          <w:rStyle w:val="TextoNormalCaracter"/>
        </w:rPr>
      </w:pPr>
      <w:bookmarkStart w:id="1004" w:name="DESCRIPTORALFABETICO390"/>
      <w:r w:rsidRPr="00C72046">
        <w:rPr>
          <w:rStyle w:val="TextoNormalNegritaCaracter"/>
        </w:rPr>
        <w:t>Interpretación de Reglamentos parlamentarios</w:t>
      </w:r>
      <w:bookmarkEnd w:id="1004"/>
      <w:r w:rsidRPr="00C72046">
        <w:rPr>
          <w:rStyle w:val="TextoNormalCaracter"/>
        </w:rPr>
        <w:t xml:space="preserve">, Sentencias </w:t>
      </w:r>
      <w:hyperlink w:anchor="SENTENCIA_2025_97" w:history="1">
        <w:r w:rsidRPr="00C72046">
          <w:rPr>
            <w:rStyle w:val="TextoNormalCaracter"/>
          </w:rPr>
          <w:t>97/2025</w:t>
        </w:r>
      </w:hyperlink>
      <w:r w:rsidRPr="00C72046">
        <w:rPr>
          <w:rStyle w:val="TextoNormalCaracter"/>
        </w:rPr>
        <w:t xml:space="preserve">, f. 3; </w:t>
      </w:r>
      <w:hyperlink w:anchor="SENTENCIA_2025_120" w:history="1">
        <w:r w:rsidRPr="00C72046">
          <w:rPr>
            <w:rStyle w:val="TextoNormalCaracter"/>
          </w:rPr>
          <w:t>120/2025</w:t>
        </w:r>
      </w:hyperlink>
      <w:r w:rsidRPr="00C72046">
        <w:rPr>
          <w:rStyle w:val="TextoNormalCaracter"/>
        </w:rPr>
        <w:t>, ff. 2 a 4.</w:t>
      </w:r>
    </w:p>
    <w:p w14:paraId="192E78CD" w14:textId="75F8DDE8" w:rsidR="00C72046" w:rsidRPr="00C72046" w:rsidRDefault="00C72046" w:rsidP="00C72046">
      <w:pPr>
        <w:pStyle w:val="TextoNormalSangraFrancesa"/>
        <w:rPr>
          <w:rStyle w:val="TextoNormalCaracter"/>
        </w:rPr>
      </w:pPr>
      <w:bookmarkStart w:id="1005" w:name="DESCRIPTORALFABETICO391"/>
      <w:r w:rsidRPr="00C72046">
        <w:rPr>
          <w:rStyle w:val="TextoNormalNegritaCaracter"/>
        </w:rPr>
        <w:t>Interpretación formalista</w:t>
      </w:r>
      <w:bookmarkEnd w:id="1005"/>
      <w:r w:rsidRPr="00C72046">
        <w:rPr>
          <w:rStyle w:val="TextoNormalCaracter"/>
        </w:rPr>
        <w:t xml:space="preserve">, Sentencias </w:t>
      </w:r>
      <w:hyperlink w:anchor="SENTENCIA_2025_55" w:history="1">
        <w:r w:rsidRPr="00C72046">
          <w:rPr>
            <w:rStyle w:val="TextoNormalCaracter"/>
          </w:rPr>
          <w:t>55/2025</w:t>
        </w:r>
      </w:hyperlink>
      <w:r w:rsidRPr="00C72046">
        <w:rPr>
          <w:rStyle w:val="TextoNormalCaracter"/>
        </w:rPr>
        <w:t xml:space="preserve">, ff. 2 y 3; </w:t>
      </w:r>
      <w:hyperlink w:anchor="SENTENCIA_2025_69" w:history="1">
        <w:r w:rsidRPr="00C72046">
          <w:rPr>
            <w:rStyle w:val="TextoNormalCaracter"/>
          </w:rPr>
          <w:t>69/2025</w:t>
        </w:r>
      </w:hyperlink>
      <w:r w:rsidRPr="00C72046">
        <w:rPr>
          <w:rStyle w:val="TextoNormalCaracter"/>
        </w:rPr>
        <w:t>, f. 3..</w:t>
      </w:r>
    </w:p>
    <w:p w14:paraId="4684E6CF" w14:textId="4840C80E" w:rsidR="00C72046" w:rsidRPr="00C72046" w:rsidRDefault="00C72046" w:rsidP="00C72046">
      <w:pPr>
        <w:pStyle w:val="TextoNormalSangraFrancesa"/>
        <w:rPr>
          <w:rStyle w:val="TextoNormalCaracter"/>
        </w:rPr>
      </w:pPr>
      <w:bookmarkStart w:id="1006" w:name="DESCRIPTORALFABETICO392"/>
      <w:r w:rsidRPr="00C72046">
        <w:rPr>
          <w:rStyle w:val="TextoNormalNegritaCaracter"/>
        </w:rPr>
        <w:t xml:space="preserve">Interpretación </w:t>
      </w:r>
      <w:r w:rsidRPr="00C72046">
        <w:rPr>
          <w:rStyle w:val="TextoNormalNegritaCaracter"/>
          <w:i/>
        </w:rPr>
        <w:t>pro actione</w:t>
      </w:r>
      <w:bookmarkEnd w:id="1006"/>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ff. 2 y 3.</w:t>
      </w:r>
    </w:p>
    <w:p w14:paraId="7ED04F63" w14:textId="3F760914" w:rsidR="00C72046" w:rsidRPr="00C72046" w:rsidRDefault="00C72046" w:rsidP="00C72046">
      <w:pPr>
        <w:pStyle w:val="TextoNormalSangraFrancesa"/>
        <w:rPr>
          <w:rStyle w:val="TextoNormalCaracter"/>
        </w:rPr>
      </w:pPr>
      <w:bookmarkStart w:id="1007" w:name="DESCRIPTORALFABETICO393"/>
      <w:r w:rsidRPr="00C72046">
        <w:rPr>
          <w:rStyle w:val="TextoNormalNegritaCaracter"/>
        </w:rPr>
        <w:t>Interpretación sistemática</w:t>
      </w:r>
      <w:bookmarkEnd w:id="1007"/>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ff. 9 y 10.</w:t>
      </w:r>
    </w:p>
    <w:p w14:paraId="28BA712D" w14:textId="0FCCD999" w:rsidR="00C72046" w:rsidRPr="00C72046" w:rsidRDefault="00C72046" w:rsidP="00C72046">
      <w:pPr>
        <w:pStyle w:val="TextoNormalSangraFrancesa"/>
        <w:rPr>
          <w:rStyle w:val="TextoNormalCaracter"/>
        </w:rPr>
      </w:pPr>
      <w:bookmarkStart w:id="1008" w:name="DESCRIPTORALFABETICO450"/>
      <w:r w:rsidRPr="00C72046">
        <w:rPr>
          <w:rStyle w:val="TextoNormalNegritaCaracter"/>
        </w:rPr>
        <w:t>Interrogatorio de testigos</w:t>
      </w:r>
      <w:bookmarkEnd w:id="1008"/>
      <w:r w:rsidRPr="00C72046">
        <w:rPr>
          <w:rStyle w:val="TextoNormalCaracter"/>
        </w:rPr>
        <w:t xml:space="preserve">, Sentencia </w:t>
      </w:r>
      <w:hyperlink w:anchor="SENTENCIA_2025_41" w:history="1">
        <w:r w:rsidRPr="00C72046">
          <w:rPr>
            <w:rStyle w:val="TextoNormalCaracter"/>
          </w:rPr>
          <w:t>41/2025</w:t>
        </w:r>
      </w:hyperlink>
      <w:r w:rsidRPr="00C72046">
        <w:rPr>
          <w:rStyle w:val="TextoNormalCaracter"/>
        </w:rPr>
        <w:t>, ff. 1 y 3.</w:t>
      </w:r>
    </w:p>
    <w:p w14:paraId="4639CB40" w14:textId="0BBEA3D6" w:rsidR="00C72046" w:rsidRPr="00C72046" w:rsidRDefault="00C72046" w:rsidP="00C72046">
      <w:pPr>
        <w:pStyle w:val="TextoNormalSangraFrancesa"/>
        <w:rPr>
          <w:rStyle w:val="TextoNormalCaracter"/>
        </w:rPr>
      </w:pPr>
      <w:bookmarkStart w:id="1009" w:name="DESCRIPTORALFABETICO474"/>
      <w:r w:rsidRPr="00C72046">
        <w:rPr>
          <w:rStyle w:val="TextoNormalNegritaCaracter"/>
        </w:rPr>
        <w:t>Investigación suficiente</w:t>
      </w:r>
      <w:bookmarkEnd w:id="1009"/>
      <w:r w:rsidRPr="00C72046">
        <w:rPr>
          <w:rStyle w:val="TextoNormalCaracter"/>
        </w:rPr>
        <w:t xml:space="preserve">, Sentencia </w:t>
      </w:r>
      <w:hyperlink w:anchor="SENTENCIA_2025_126" w:history="1">
        <w:r w:rsidRPr="00C72046">
          <w:rPr>
            <w:rStyle w:val="TextoNormalCaracter"/>
          </w:rPr>
          <w:t>126/2025</w:t>
        </w:r>
      </w:hyperlink>
      <w:r w:rsidRPr="00C72046">
        <w:rPr>
          <w:rStyle w:val="TextoNormalCaracter"/>
        </w:rPr>
        <w:t>, ff. 3 a 7.</w:t>
      </w:r>
    </w:p>
    <w:p w14:paraId="2EA20D90" w14:textId="1AAFAC1C" w:rsidR="00C72046" w:rsidRPr="00C72046" w:rsidRDefault="00C72046" w:rsidP="00C72046">
      <w:pPr>
        <w:pStyle w:val="TextoNormalSangraFrancesa"/>
        <w:rPr>
          <w:rStyle w:val="TextoNormalCaracter"/>
        </w:rPr>
      </w:pPr>
      <w:bookmarkStart w:id="1010" w:name="DESCRIPTORALFABETICO85"/>
      <w:r w:rsidRPr="00C72046">
        <w:rPr>
          <w:rStyle w:val="TextoNormalNegritaCaracter"/>
        </w:rPr>
        <w:t>Irrazonabilidad de las sentencias</w:t>
      </w:r>
      <w:bookmarkEnd w:id="1010"/>
      <w:r w:rsidRPr="00C72046">
        <w:rPr>
          <w:rStyle w:val="TextoNormalCaracter"/>
        </w:rPr>
        <w:t xml:space="preserve">, Sentencia </w:t>
      </w:r>
      <w:hyperlink w:anchor="SENTENCIA_2025_45" w:history="1">
        <w:r w:rsidRPr="00C72046">
          <w:rPr>
            <w:rStyle w:val="TextoNormalCaracter"/>
          </w:rPr>
          <w:t>45/2025</w:t>
        </w:r>
      </w:hyperlink>
      <w:r w:rsidRPr="00C72046">
        <w:rPr>
          <w:rStyle w:val="TextoNormalCaracter"/>
        </w:rPr>
        <w:t>, f. 2.</w:t>
      </w:r>
    </w:p>
    <w:p w14:paraId="347BF7EE" w14:textId="5BDC547C" w:rsidR="00C72046" w:rsidRDefault="00C72046" w:rsidP="00C72046">
      <w:pPr>
        <w:pStyle w:val="TextoNormalSangraFrancesa"/>
      </w:pPr>
    </w:p>
    <w:p w14:paraId="6E2AD836" w14:textId="77777777" w:rsidR="00C72046" w:rsidRDefault="00C72046" w:rsidP="00C72046">
      <w:pPr>
        <w:pStyle w:val="TextoNormalSangraFrancesa"/>
      </w:pPr>
    </w:p>
    <w:p w14:paraId="18A9033C" w14:textId="77777777" w:rsidR="00C72046" w:rsidRDefault="00C72046" w:rsidP="00C72046">
      <w:pPr>
        <w:pStyle w:val="TextoNormalNegritaCentrado"/>
      </w:pPr>
      <w:r>
        <w:t>J</w:t>
      </w:r>
    </w:p>
    <w:p w14:paraId="58361FF1" w14:textId="2F743885" w:rsidR="00C72046" w:rsidRDefault="00C72046" w:rsidP="00C72046">
      <w:pPr>
        <w:pStyle w:val="TextoNormalNegritaCentrado"/>
      </w:pPr>
    </w:p>
    <w:p w14:paraId="7DF5F087" w14:textId="229941A1" w:rsidR="00C72046" w:rsidRPr="00C72046" w:rsidRDefault="00C72046" w:rsidP="00C72046">
      <w:pPr>
        <w:pStyle w:val="TextoNormalSangraFrancesa"/>
        <w:rPr>
          <w:rStyle w:val="TextoNormalCaracter"/>
        </w:rPr>
      </w:pPr>
      <w:bookmarkStart w:id="1011" w:name="DESCRIPTORALFABETICO195"/>
      <w:r w:rsidRPr="00C72046">
        <w:rPr>
          <w:rStyle w:val="TextoNormalNegritaCaracter"/>
        </w:rPr>
        <w:t>Juicio de aplicabilidad</w:t>
      </w:r>
      <w:bookmarkEnd w:id="1011"/>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2.</w:t>
      </w:r>
    </w:p>
    <w:p w14:paraId="01CAA111" w14:textId="4AC53A60" w:rsidR="00C72046" w:rsidRPr="00C72046" w:rsidRDefault="00C72046" w:rsidP="00C72046">
      <w:pPr>
        <w:pStyle w:val="TextoNormalSangraFrancesa"/>
        <w:rPr>
          <w:rStyle w:val="TextoNormalCaracter"/>
        </w:rPr>
      </w:pPr>
      <w:bookmarkStart w:id="1012" w:name="DESCRIPTORALFABETICO196"/>
      <w:r w:rsidRPr="00C72046">
        <w:rPr>
          <w:rStyle w:val="TextoNormalNegritaCaracter"/>
        </w:rPr>
        <w:t>Juicio de aplicabilidad inconsistente</w:t>
      </w:r>
      <w:bookmarkEnd w:id="1012"/>
      <w:r w:rsidRPr="00C72046">
        <w:rPr>
          <w:rStyle w:val="TextoNormalCaracter"/>
        </w:rPr>
        <w:t xml:space="preserve">, Sentencia </w:t>
      </w:r>
      <w:hyperlink w:anchor="SENTENCIA_2025_27" w:history="1">
        <w:r w:rsidRPr="00C72046">
          <w:rPr>
            <w:rStyle w:val="TextoNormalCaracter"/>
          </w:rPr>
          <w:t>27/2025</w:t>
        </w:r>
      </w:hyperlink>
      <w:r w:rsidRPr="00C72046">
        <w:rPr>
          <w:rStyle w:val="TextoNormalCaracter"/>
        </w:rPr>
        <w:t>, f. 2.</w:t>
      </w:r>
    </w:p>
    <w:p w14:paraId="09ABA8EA" w14:textId="6458DE19" w:rsidR="00C72046" w:rsidRPr="00C72046" w:rsidRDefault="00C72046" w:rsidP="00C72046">
      <w:pPr>
        <w:pStyle w:val="TextoNormalSangraFrancesa"/>
        <w:rPr>
          <w:rStyle w:val="TextoNormalCaracter"/>
        </w:rPr>
      </w:pPr>
      <w:r w:rsidRPr="00C72046">
        <w:rPr>
          <w:rStyle w:val="TextoNormalCaracter"/>
        </w:rPr>
        <w:t xml:space="preserve">    Autos </w:t>
      </w:r>
      <w:hyperlink w:anchor="AUTO_2025_24" w:history="1">
        <w:r w:rsidRPr="00C72046">
          <w:rPr>
            <w:rStyle w:val="TextoNormalCaracter"/>
          </w:rPr>
          <w:t>24/2025</w:t>
        </w:r>
      </w:hyperlink>
      <w:r w:rsidRPr="00C72046">
        <w:rPr>
          <w:rStyle w:val="TextoNormalCaracter"/>
        </w:rPr>
        <w:t xml:space="preserve">, f. 2; </w:t>
      </w:r>
      <w:hyperlink w:anchor="AUTO_2025_55" w:history="1">
        <w:r w:rsidRPr="00C72046">
          <w:rPr>
            <w:rStyle w:val="TextoNormalCaracter"/>
          </w:rPr>
          <w:t>55/2025</w:t>
        </w:r>
      </w:hyperlink>
      <w:r w:rsidRPr="00C72046">
        <w:rPr>
          <w:rStyle w:val="TextoNormalCaracter"/>
        </w:rPr>
        <w:t>, f. único.</w:t>
      </w:r>
    </w:p>
    <w:p w14:paraId="60BDC52E" w14:textId="2D14D8B8" w:rsidR="00C72046" w:rsidRPr="00C72046" w:rsidRDefault="00C72046" w:rsidP="00C72046">
      <w:pPr>
        <w:pStyle w:val="TextoNormalSangraFrancesa"/>
        <w:rPr>
          <w:rStyle w:val="TextoNormalCaracter"/>
        </w:rPr>
      </w:pPr>
      <w:bookmarkStart w:id="1013" w:name="DESCRIPTORALFABETICO56"/>
      <w:r w:rsidRPr="00C72046">
        <w:rPr>
          <w:rStyle w:val="TextoNormalNegritaCaracter"/>
        </w:rPr>
        <w:t>Juicio de igualdad</w:t>
      </w:r>
      <w:bookmarkEnd w:id="1013"/>
      <w:r w:rsidRPr="00C72046">
        <w:rPr>
          <w:rStyle w:val="TextoNormalCaracter"/>
        </w:rPr>
        <w:t xml:space="preserve">, Sentencias </w:t>
      </w:r>
      <w:hyperlink w:anchor="SENTENCIA_2025_4" w:history="1">
        <w:r w:rsidRPr="00C72046">
          <w:rPr>
            <w:rStyle w:val="TextoNormalCaracter"/>
          </w:rPr>
          <w:t>4/2025</w:t>
        </w:r>
      </w:hyperlink>
      <w:r w:rsidRPr="00C72046">
        <w:rPr>
          <w:rStyle w:val="TextoNormalCaracter"/>
        </w:rPr>
        <w:t xml:space="preserve">, f. 3;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f. 3.</w:t>
      </w:r>
    </w:p>
    <w:p w14:paraId="7FB19864" w14:textId="773BF7C2" w:rsidR="00C72046" w:rsidRPr="00C72046" w:rsidRDefault="00C72046" w:rsidP="00C72046">
      <w:pPr>
        <w:pStyle w:val="TextoNormalSangraFrancesa"/>
        <w:rPr>
          <w:rStyle w:val="TextoNormalCaracter"/>
        </w:rPr>
      </w:pPr>
      <w:bookmarkStart w:id="1014" w:name="DESCRIPTORALFABETICO250"/>
      <w:r w:rsidRPr="00C72046">
        <w:rPr>
          <w:rStyle w:val="TextoNormalNegritaCaracter"/>
        </w:rPr>
        <w:t>Juicio de oportunidad política</w:t>
      </w:r>
      <w:bookmarkEnd w:id="1014"/>
      <w:r w:rsidRPr="00C72046">
        <w:rPr>
          <w:rStyle w:val="TextoNormalCaracter"/>
        </w:rPr>
        <w:t xml:space="preserve">, Sentencias </w:t>
      </w:r>
      <w:hyperlink w:anchor="SENTENCIA_2025_107" w:history="1">
        <w:r w:rsidRPr="00C72046">
          <w:rPr>
            <w:rStyle w:val="TextoNormalCaracter"/>
          </w:rPr>
          <w:t>107/2025</w:t>
        </w:r>
      </w:hyperlink>
      <w:r w:rsidRPr="00C72046">
        <w:rPr>
          <w:rStyle w:val="TextoNormalCaracter"/>
        </w:rPr>
        <w:t xml:space="preserve">, f. 2; </w:t>
      </w:r>
      <w:hyperlink w:anchor="SENTENCIA_2025_108" w:history="1">
        <w:r w:rsidRPr="00C72046">
          <w:rPr>
            <w:rStyle w:val="TextoNormalCaracter"/>
          </w:rPr>
          <w:t>108/2025</w:t>
        </w:r>
      </w:hyperlink>
      <w:r w:rsidRPr="00C72046">
        <w:rPr>
          <w:rStyle w:val="TextoNormalCaracter"/>
        </w:rPr>
        <w:t>, f. 2.</w:t>
      </w:r>
    </w:p>
    <w:p w14:paraId="76540EB4" w14:textId="42A664EE" w:rsidR="00C72046" w:rsidRPr="00C72046" w:rsidRDefault="00C72046" w:rsidP="00C72046">
      <w:pPr>
        <w:pStyle w:val="TextoNormalSangraFrancesa"/>
        <w:rPr>
          <w:rStyle w:val="TextoNormalCaracter"/>
        </w:rPr>
      </w:pPr>
      <w:bookmarkStart w:id="1015" w:name="DESCRIPTORALFABETICO197"/>
      <w:r w:rsidRPr="00C72046">
        <w:rPr>
          <w:rStyle w:val="TextoNormalNegritaCaracter"/>
        </w:rPr>
        <w:t>Juicio de relevancia</w:t>
      </w:r>
      <w:bookmarkEnd w:id="1015"/>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2.</w:t>
      </w:r>
    </w:p>
    <w:p w14:paraId="6BF6B020" w14:textId="0B91CF99" w:rsidR="00C72046" w:rsidRPr="00C72046" w:rsidRDefault="00C72046" w:rsidP="00C72046">
      <w:pPr>
        <w:pStyle w:val="TextoNormalSangraFrancesa"/>
        <w:rPr>
          <w:rStyle w:val="TextoNormalCaracter"/>
        </w:rPr>
      </w:pPr>
      <w:bookmarkStart w:id="1016" w:name="DESCRIPTORALFABETICO198"/>
      <w:r w:rsidRPr="00C72046">
        <w:rPr>
          <w:rStyle w:val="TextoNormalNegritaCaracter"/>
        </w:rPr>
        <w:t>Juicio de relevancia inconsistente</w:t>
      </w:r>
      <w:bookmarkEnd w:id="1016"/>
      <w:r w:rsidRPr="00C72046">
        <w:rPr>
          <w:rStyle w:val="TextoNormalCaracter"/>
        </w:rPr>
        <w:t xml:space="preserve">, Auto </w:t>
      </w:r>
      <w:hyperlink w:anchor="AUTO_2025_24" w:history="1">
        <w:r w:rsidRPr="00C72046">
          <w:rPr>
            <w:rStyle w:val="TextoNormalCaracter"/>
          </w:rPr>
          <w:t>24/2025</w:t>
        </w:r>
      </w:hyperlink>
      <w:r w:rsidRPr="00C72046">
        <w:rPr>
          <w:rStyle w:val="TextoNormalCaracter"/>
        </w:rPr>
        <w:t>, f. 3.</w:t>
      </w:r>
    </w:p>
    <w:p w14:paraId="3CCEB266" w14:textId="58F64925" w:rsidR="00C72046" w:rsidRPr="00C72046" w:rsidRDefault="00C72046" w:rsidP="00C72046">
      <w:pPr>
        <w:pStyle w:val="TextoNormalSangraFrancesa"/>
        <w:rPr>
          <w:rStyle w:val="TextoNormalCaracter"/>
        </w:rPr>
      </w:pPr>
      <w:bookmarkStart w:id="1017" w:name="DESCRIPTORALFABETICO265"/>
      <w:r w:rsidRPr="00C72046">
        <w:rPr>
          <w:rStyle w:val="TextoNormalNegritaCaracter"/>
        </w:rPr>
        <w:t>Junta de portavoces</w:t>
      </w:r>
      <w:bookmarkEnd w:id="1017"/>
      <w:r w:rsidRPr="00C72046">
        <w:rPr>
          <w:rStyle w:val="TextoNormalCaracter"/>
        </w:rPr>
        <w:t xml:space="preserve">, Sentencias </w:t>
      </w:r>
      <w:hyperlink w:anchor="SENTENCIA_2025_97" w:history="1">
        <w:r w:rsidRPr="00C72046">
          <w:rPr>
            <w:rStyle w:val="TextoNormalCaracter"/>
          </w:rPr>
          <w:t>97/2025</w:t>
        </w:r>
      </w:hyperlink>
      <w:r w:rsidRPr="00C72046">
        <w:rPr>
          <w:rStyle w:val="TextoNormalCaracter"/>
        </w:rPr>
        <w:t xml:space="preserve">, f. 3; </w:t>
      </w:r>
      <w:hyperlink w:anchor="SENTENCIA_2025_120" w:history="1">
        <w:r w:rsidRPr="00C72046">
          <w:rPr>
            <w:rStyle w:val="TextoNormalCaracter"/>
          </w:rPr>
          <w:t>120/2025</w:t>
        </w:r>
      </w:hyperlink>
      <w:r w:rsidRPr="00C72046">
        <w:rPr>
          <w:rStyle w:val="TextoNormalCaracter"/>
        </w:rPr>
        <w:t>, ff. 1 a 4.</w:t>
      </w:r>
    </w:p>
    <w:p w14:paraId="371F8768" w14:textId="545B1B21" w:rsidR="00C72046" w:rsidRPr="00C72046" w:rsidRDefault="00C72046" w:rsidP="00C72046">
      <w:pPr>
        <w:pStyle w:val="TextoNormalSangraFrancesa"/>
        <w:rPr>
          <w:rStyle w:val="TextoNormalCaracter"/>
        </w:rPr>
      </w:pPr>
      <w:bookmarkStart w:id="1018" w:name="DESCRIPTORALFABETICO57"/>
      <w:r w:rsidRPr="00C72046">
        <w:rPr>
          <w:rStyle w:val="TextoNormalNegritaCaracter"/>
        </w:rPr>
        <w:t>Justificación razonable del tratamiento legal diferenciado</w:t>
      </w:r>
      <w:bookmarkEnd w:id="1018"/>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8.</w:t>
      </w:r>
    </w:p>
    <w:p w14:paraId="51D48923" w14:textId="01C32999" w:rsidR="00C72046" w:rsidRDefault="00C72046" w:rsidP="00C72046">
      <w:pPr>
        <w:pStyle w:val="TextoNormalSangraFrancesa"/>
      </w:pPr>
    </w:p>
    <w:p w14:paraId="37F78BCB" w14:textId="77777777" w:rsidR="00C72046" w:rsidRDefault="00C72046" w:rsidP="00C72046">
      <w:pPr>
        <w:pStyle w:val="TextoNormalSangraFrancesa"/>
      </w:pPr>
    </w:p>
    <w:p w14:paraId="3192E4A7" w14:textId="77777777" w:rsidR="00C72046" w:rsidRDefault="00C72046" w:rsidP="00C72046">
      <w:pPr>
        <w:pStyle w:val="TextoNormalNegritaCentrado"/>
      </w:pPr>
      <w:r>
        <w:t>L</w:t>
      </w:r>
    </w:p>
    <w:p w14:paraId="5CEEFA98" w14:textId="571090E1" w:rsidR="00C72046" w:rsidRDefault="00C72046" w:rsidP="00C72046">
      <w:pPr>
        <w:pStyle w:val="TextoNormalNegritaCentrado"/>
      </w:pPr>
    </w:p>
    <w:p w14:paraId="3948762E" w14:textId="4117A26F" w:rsidR="00C72046" w:rsidRPr="00C72046" w:rsidRDefault="00C72046" w:rsidP="00C72046">
      <w:pPr>
        <w:pStyle w:val="TextoNormalSangraFrancesa"/>
        <w:rPr>
          <w:rStyle w:val="TextoNormalCaracter"/>
        </w:rPr>
      </w:pPr>
      <w:bookmarkStart w:id="1019" w:name="DESCRIPTORALFABETICO490"/>
      <w:r w:rsidRPr="00C72046">
        <w:rPr>
          <w:rStyle w:val="TextoNormalNegritaCaracter"/>
        </w:rPr>
        <w:t>La Rioja</w:t>
      </w:r>
      <w:bookmarkEnd w:id="1019"/>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 1.</w:t>
      </w:r>
    </w:p>
    <w:p w14:paraId="731AA848" w14:textId="6CC2F1DF" w:rsidR="00C72046" w:rsidRPr="00C72046" w:rsidRDefault="00C72046" w:rsidP="00C72046">
      <w:pPr>
        <w:pStyle w:val="TextoNormalSangraFrancesa"/>
        <w:rPr>
          <w:rStyle w:val="TextoNormalCaracter"/>
        </w:rPr>
      </w:pPr>
      <w:bookmarkStart w:id="1020" w:name="DESCRIPTORALFABETICO376"/>
      <w:r w:rsidRPr="00C72046">
        <w:rPr>
          <w:rStyle w:val="TextoNormalNegritaCaracter"/>
        </w:rPr>
        <w:t>Legislación básica</w:t>
      </w:r>
      <w:bookmarkEnd w:id="1020"/>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 4.</w:t>
      </w:r>
    </w:p>
    <w:p w14:paraId="3031EA3F" w14:textId="4CA3A368"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 </w:t>
      </w:r>
      <w:hyperlink w:anchor="SENTENCIA_2025_82" w:history="1">
        <w:r w:rsidRPr="00C72046">
          <w:rPr>
            <w:rStyle w:val="TextoNormalCaracter"/>
          </w:rPr>
          <w:t>82/2025</w:t>
        </w:r>
      </w:hyperlink>
      <w:r w:rsidRPr="00C72046">
        <w:rPr>
          <w:rStyle w:val="TextoNormalCaracter"/>
        </w:rPr>
        <w:t>, ff. 4 a 8.</w:t>
      </w:r>
    </w:p>
    <w:p w14:paraId="596A056A" w14:textId="4488A92B" w:rsidR="00C72046" w:rsidRPr="00C72046" w:rsidRDefault="00C72046" w:rsidP="00C72046">
      <w:pPr>
        <w:pStyle w:val="TextoNormalSangraFrancesa"/>
        <w:rPr>
          <w:rStyle w:val="TextoNormalCaracter"/>
        </w:rPr>
      </w:pPr>
      <w:bookmarkStart w:id="1021" w:name="DESCRIPTORALFABETICO456"/>
      <w:r w:rsidRPr="00C72046">
        <w:rPr>
          <w:rStyle w:val="TextoNormalNegritaCaracter"/>
        </w:rPr>
        <w:t>Legitimación activa</w:t>
      </w:r>
      <w:bookmarkEnd w:id="1021"/>
      <w:r w:rsidRPr="00C72046">
        <w:rPr>
          <w:rStyle w:val="TextoNormalCaracter"/>
        </w:rPr>
        <w:t xml:space="preserve">, Sentencias </w:t>
      </w:r>
      <w:hyperlink w:anchor="SENTENCIA_2025_69" w:history="1">
        <w:r w:rsidRPr="00C72046">
          <w:rPr>
            <w:rStyle w:val="TextoNormalCaracter"/>
          </w:rPr>
          <w:t>69/2025</w:t>
        </w:r>
      </w:hyperlink>
      <w:r w:rsidRPr="00C72046">
        <w:rPr>
          <w:rStyle w:val="TextoNormalCaracter"/>
        </w:rPr>
        <w:t xml:space="preserve">, ff. 1 a 3.; </w:t>
      </w:r>
      <w:hyperlink w:anchor="SENTENCIA_2025_96" w:history="1">
        <w:r w:rsidRPr="00C72046">
          <w:rPr>
            <w:rStyle w:val="TextoNormalCaracter"/>
          </w:rPr>
          <w:t>96/2025</w:t>
        </w:r>
      </w:hyperlink>
      <w:r w:rsidRPr="00C72046">
        <w:rPr>
          <w:rStyle w:val="TextoNormalCaracter"/>
        </w:rPr>
        <w:t>, ff. 2 y 3.</w:t>
      </w:r>
    </w:p>
    <w:p w14:paraId="18C56775" w14:textId="53A3F61A" w:rsidR="00C72046" w:rsidRPr="00C72046" w:rsidRDefault="00C72046" w:rsidP="00C72046">
      <w:pPr>
        <w:pStyle w:val="TextoNormalSangraFrancesa"/>
        <w:rPr>
          <w:rStyle w:val="TextoNormalCaracter"/>
        </w:rPr>
      </w:pPr>
      <w:bookmarkStart w:id="1022" w:name="DESCRIPTORALFABETICO457"/>
      <w:r w:rsidRPr="00C72046">
        <w:rPr>
          <w:rStyle w:val="TextoNormalNegritaCaracter"/>
        </w:rPr>
        <w:t>Legitimación de asociaciones</w:t>
      </w:r>
      <w:bookmarkEnd w:id="1022"/>
      <w:r w:rsidRPr="00C72046">
        <w:rPr>
          <w:rStyle w:val="TextoNormalCaracter"/>
        </w:rPr>
        <w:t xml:space="preserve">, Sentencia </w:t>
      </w:r>
      <w:hyperlink w:anchor="SENTENCIA_2025_96" w:history="1">
        <w:r w:rsidRPr="00C72046">
          <w:rPr>
            <w:rStyle w:val="TextoNormalCaracter"/>
          </w:rPr>
          <w:t>96/2025</w:t>
        </w:r>
      </w:hyperlink>
      <w:r w:rsidRPr="00C72046">
        <w:rPr>
          <w:rStyle w:val="TextoNormalCaracter"/>
        </w:rPr>
        <w:t>, ff. 2 a 4.</w:t>
      </w:r>
    </w:p>
    <w:p w14:paraId="32EE2591" w14:textId="1E6BAE3D" w:rsidR="00C72046" w:rsidRPr="00C72046" w:rsidRDefault="00C72046" w:rsidP="00C72046">
      <w:pPr>
        <w:pStyle w:val="TextoNormalSangraFrancesa"/>
        <w:rPr>
          <w:rStyle w:val="TextoNormalCaracter"/>
        </w:rPr>
      </w:pPr>
      <w:bookmarkStart w:id="1023" w:name="DESCRIPTORALFABETICO458"/>
      <w:r w:rsidRPr="00C72046">
        <w:rPr>
          <w:rStyle w:val="TextoNormalNegritaCaracter"/>
        </w:rPr>
        <w:t>Legitimación en proceso contencioso-administrativo</w:t>
      </w:r>
      <w:bookmarkEnd w:id="1023"/>
      <w:r w:rsidRPr="00C72046">
        <w:rPr>
          <w:rStyle w:val="TextoNormalCaracter"/>
        </w:rPr>
        <w:t xml:space="preserve">, Sentencia </w:t>
      </w:r>
      <w:hyperlink w:anchor="SENTENCIA_2025_69" w:history="1">
        <w:r w:rsidRPr="00C72046">
          <w:rPr>
            <w:rStyle w:val="TextoNormalCaracter"/>
          </w:rPr>
          <w:t>69/2025</w:t>
        </w:r>
      </w:hyperlink>
      <w:r w:rsidRPr="00C72046">
        <w:rPr>
          <w:rStyle w:val="TextoNormalCaracter"/>
        </w:rPr>
        <w:t>, ff. 1 a 3..</w:t>
      </w:r>
    </w:p>
    <w:p w14:paraId="1E718AC2" w14:textId="7AB38209" w:rsidR="00C72046" w:rsidRPr="00C72046" w:rsidRDefault="00C72046" w:rsidP="00C72046">
      <w:pPr>
        <w:pStyle w:val="TextoNormalSangraFrancesa"/>
        <w:rPr>
          <w:rStyle w:val="TextoNormalCaracter"/>
        </w:rPr>
      </w:pPr>
      <w:bookmarkStart w:id="1024" w:name="DESCRIPTORALFABETICO382"/>
      <w:r w:rsidRPr="00C72046">
        <w:rPr>
          <w:rStyle w:val="TextoNormalNegritaCaracter"/>
        </w:rPr>
        <w:t>Ley de presupuestos como vehículo de dirección de la política económica</w:t>
      </w:r>
      <w:bookmarkEnd w:id="1024"/>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 3.</w:t>
      </w:r>
    </w:p>
    <w:p w14:paraId="6DE76979" w14:textId="5E2668CA" w:rsidR="00C72046" w:rsidRPr="00C72046" w:rsidRDefault="00C72046" w:rsidP="00C72046">
      <w:pPr>
        <w:pStyle w:val="TextoNormalSangraFrancesa"/>
        <w:rPr>
          <w:rStyle w:val="TextoNormalCaracter"/>
        </w:rPr>
      </w:pPr>
      <w:bookmarkStart w:id="1025" w:name="DESCRIPTORALFABETICO234"/>
      <w:r w:rsidRPr="00C72046">
        <w:rPr>
          <w:rStyle w:val="TextoNormalNegritaCaracter"/>
        </w:rPr>
        <w:t>Leyes de amnistía</w:t>
      </w:r>
      <w:bookmarkEnd w:id="1025"/>
      <w:r w:rsidRPr="00C72046">
        <w:rPr>
          <w:rStyle w:val="TextoNormalCaracter"/>
        </w:rPr>
        <w:t xml:space="preserve">, Auto </w:t>
      </w:r>
      <w:hyperlink w:anchor="AUTO_2025_12" w:history="1">
        <w:r w:rsidRPr="00C72046">
          <w:rPr>
            <w:rStyle w:val="TextoNormalCaracter"/>
          </w:rPr>
          <w:t>12/2025</w:t>
        </w:r>
      </w:hyperlink>
      <w:r w:rsidRPr="00C72046">
        <w:rPr>
          <w:rStyle w:val="TextoNormalCaracter"/>
        </w:rPr>
        <w:t>, ff. 1 a 5.</w:t>
      </w:r>
    </w:p>
    <w:p w14:paraId="5BF2BBED" w14:textId="0587C367" w:rsidR="00C72046" w:rsidRPr="00C72046" w:rsidRDefault="00C72046" w:rsidP="00C72046">
      <w:pPr>
        <w:pStyle w:val="TextoNormalSangraFrancesa"/>
        <w:rPr>
          <w:rStyle w:val="TextoNormalCaracter"/>
        </w:rPr>
      </w:pPr>
      <w:r w:rsidRPr="00C72046">
        <w:rPr>
          <w:rStyle w:val="TextoNormalCursivaCaracter"/>
        </w:rPr>
        <w:t xml:space="preserve">    Naturaleza, </w:t>
      </w:r>
      <w:r w:rsidRPr="00C72046">
        <w:rPr>
          <w:rStyle w:val="TextoNormalCaracter"/>
        </w:rPr>
        <w:t xml:space="preserve">Auto </w:t>
      </w:r>
      <w:hyperlink w:anchor="AUTO_2025_65" w:history="1">
        <w:r w:rsidRPr="00C72046">
          <w:rPr>
            <w:rStyle w:val="TextoNormalCaracter"/>
          </w:rPr>
          <w:t>65/2025</w:t>
        </w:r>
      </w:hyperlink>
      <w:r w:rsidRPr="00C72046">
        <w:rPr>
          <w:rStyle w:val="TextoNormalCaracter"/>
        </w:rPr>
        <w:t>, ff. 1 a 4.</w:t>
      </w:r>
    </w:p>
    <w:p w14:paraId="4C8F2D39" w14:textId="6D71E271" w:rsidR="00C72046" w:rsidRPr="00C72046" w:rsidRDefault="00C72046" w:rsidP="00C72046">
      <w:pPr>
        <w:pStyle w:val="TextoNormalSangraFrancesa"/>
        <w:rPr>
          <w:rStyle w:val="TextoNormalCaracter"/>
        </w:rPr>
      </w:pPr>
      <w:bookmarkStart w:id="1026" w:name="DESCRIPTORALFABETICO383"/>
      <w:r w:rsidRPr="00C72046">
        <w:rPr>
          <w:rStyle w:val="TextoNormalNegritaCaracter"/>
        </w:rPr>
        <w:t>Leyes singulares</w:t>
      </w:r>
      <w:bookmarkEnd w:id="1026"/>
      <w:r w:rsidRPr="00C72046">
        <w:rPr>
          <w:rStyle w:val="TextoNormalCaracter"/>
        </w:rPr>
        <w:t xml:space="preserve">, Sentencias </w:t>
      </w:r>
      <w:hyperlink w:anchor="SENTENCIA_2025_64" w:history="1">
        <w:r w:rsidRPr="00C72046">
          <w:rPr>
            <w:rStyle w:val="TextoNormalCaracter"/>
          </w:rPr>
          <w:t>64/2025</w:t>
        </w:r>
      </w:hyperlink>
      <w:r w:rsidRPr="00C72046">
        <w:rPr>
          <w:rStyle w:val="TextoNormalCaracter"/>
        </w:rPr>
        <w:t xml:space="preserve">, f. 7; </w:t>
      </w:r>
      <w:hyperlink w:anchor="SENTENCIA_2025_95" w:history="1">
        <w:r w:rsidRPr="00C72046">
          <w:rPr>
            <w:rStyle w:val="TextoNormalCaracter"/>
          </w:rPr>
          <w:t>95/2025</w:t>
        </w:r>
      </w:hyperlink>
      <w:r w:rsidRPr="00C72046">
        <w:rPr>
          <w:rStyle w:val="TextoNormalCaracter"/>
        </w:rPr>
        <w:t xml:space="preserve">, f. 4; </w:t>
      </w:r>
      <w:hyperlink w:anchor="SENTENCIA_2025_137" w:history="1">
        <w:r w:rsidRPr="00C72046">
          <w:rPr>
            <w:rStyle w:val="TextoNormalCaracter"/>
          </w:rPr>
          <w:t>137/2025</w:t>
        </w:r>
      </w:hyperlink>
      <w:r w:rsidRPr="00C72046">
        <w:rPr>
          <w:rStyle w:val="TextoNormalCaracter"/>
        </w:rPr>
        <w:t>, f. 5, VP III, VP IV.</w:t>
      </w:r>
    </w:p>
    <w:p w14:paraId="50BCE407" w14:textId="2BBC8465" w:rsidR="00C72046" w:rsidRPr="00C72046" w:rsidRDefault="00C72046" w:rsidP="00C72046">
      <w:pPr>
        <w:pStyle w:val="TextoNormalSangraFrancesa"/>
        <w:rPr>
          <w:rStyle w:val="TextoNormalCaracter"/>
        </w:rPr>
      </w:pPr>
      <w:bookmarkStart w:id="1027" w:name="DESCRIPTORALFABETICO116"/>
      <w:r w:rsidRPr="00C72046">
        <w:rPr>
          <w:rStyle w:val="TextoNormalNegritaCaracter"/>
        </w:rPr>
        <w:t>Libertad de circulación</w:t>
      </w:r>
      <w:bookmarkEnd w:id="1027"/>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 3.</w:t>
      </w:r>
    </w:p>
    <w:p w14:paraId="0F5ED49D" w14:textId="7C8CE063" w:rsidR="00C72046" w:rsidRPr="00C72046" w:rsidRDefault="00C72046" w:rsidP="00C72046">
      <w:pPr>
        <w:pStyle w:val="TextoNormalSangraFrancesa"/>
        <w:rPr>
          <w:rStyle w:val="TextoNormalCaracter"/>
        </w:rPr>
      </w:pPr>
      <w:r w:rsidRPr="00C72046">
        <w:rPr>
          <w:rStyle w:val="TextoNormalCursivaCaracter"/>
        </w:rPr>
        <w:t xml:space="preserve">    Vulnerada, </w:t>
      </w:r>
      <w:r w:rsidRPr="00C72046">
        <w:rPr>
          <w:rStyle w:val="TextoNormalCaracter"/>
        </w:rPr>
        <w:t xml:space="preserve">Sentencia </w:t>
      </w:r>
      <w:hyperlink w:anchor="SENTENCIA_2025_54" w:history="1">
        <w:r w:rsidRPr="00C72046">
          <w:rPr>
            <w:rStyle w:val="TextoNormalCaracter"/>
          </w:rPr>
          <w:t>54/2025</w:t>
        </w:r>
      </w:hyperlink>
      <w:r w:rsidRPr="00C72046">
        <w:rPr>
          <w:rStyle w:val="TextoNormalCaracter"/>
        </w:rPr>
        <w:t>, ff. 2 y 3.</w:t>
      </w:r>
    </w:p>
    <w:p w14:paraId="5114631E" w14:textId="1AA14A55" w:rsidR="00C72046" w:rsidRPr="00C72046" w:rsidRDefault="00C72046" w:rsidP="00C72046">
      <w:pPr>
        <w:pStyle w:val="TextoNormalSangraFrancesa"/>
        <w:rPr>
          <w:rStyle w:val="TextoNormalCaracter"/>
        </w:rPr>
      </w:pPr>
      <w:bookmarkStart w:id="1028" w:name="DESCRIPTORALFABETICO251"/>
      <w:r w:rsidRPr="00C72046">
        <w:rPr>
          <w:rStyle w:val="TextoNormalNegritaCaracter"/>
        </w:rPr>
        <w:t>Libertad de configuración del legislador</w:t>
      </w:r>
      <w:bookmarkEnd w:id="1028"/>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3, VP IV.</w:t>
      </w:r>
    </w:p>
    <w:p w14:paraId="7A276556" w14:textId="33E8379F" w:rsidR="00C72046" w:rsidRPr="00C72046" w:rsidRDefault="00C72046" w:rsidP="00C72046">
      <w:pPr>
        <w:pStyle w:val="TextoNormalSangraFrancesa"/>
        <w:rPr>
          <w:rStyle w:val="TextoNormalCaracter"/>
        </w:rPr>
      </w:pPr>
      <w:bookmarkStart w:id="1029" w:name="DESCRIPTORALFABETICO122"/>
      <w:r w:rsidRPr="00C72046">
        <w:rPr>
          <w:rStyle w:val="TextoNormalNegritaCaracter"/>
        </w:rPr>
        <w:t>Libertad de crítica</w:t>
      </w:r>
      <w:bookmarkEnd w:id="1029"/>
      <w:r w:rsidRPr="00C72046">
        <w:rPr>
          <w:rStyle w:val="TextoNormalCaracter"/>
        </w:rPr>
        <w:t xml:space="preserve">, Sentencia </w:t>
      </w:r>
      <w:hyperlink w:anchor="SENTENCIA_2025_117" w:history="1">
        <w:r w:rsidRPr="00C72046">
          <w:rPr>
            <w:rStyle w:val="TextoNormalCaracter"/>
          </w:rPr>
          <w:t>117/2025</w:t>
        </w:r>
      </w:hyperlink>
      <w:r w:rsidRPr="00C72046">
        <w:rPr>
          <w:rStyle w:val="TextoNormalCaracter"/>
        </w:rPr>
        <w:t>, f. 4.</w:t>
      </w:r>
    </w:p>
    <w:p w14:paraId="7DF46F90" w14:textId="77777777" w:rsidR="00C72046" w:rsidRPr="00C72046" w:rsidRDefault="00C72046" w:rsidP="00C72046">
      <w:pPr>
        <w:pStyle w:val="TextoNormalSangraFrancesa"/>
        <w:rPr>
          <w:rStyle w:val="TextoNormalCaracter"/>
        </w:rPr>
      </w:pPr>
      <w:bookmarkStart w:id="1030" w:name="DESCRIPTORALFABETICO118"/>
      <w:r w:rsidRPr="00C72046">
        <w:rPr>
          <w:rStyle w:val="TextoNormalNegritaCaracter"/>
        </w:rPr>
        <w:t>Libertad de expresión</w:t>
      </w:r>
      <w:bookmarkEnd w:id="1030"/>
      <w:r w:rsidRPr="00C72046">
        <w:rPr>
          <w:rStyle w:val="TextoNormalCaracter"/>
        </w:rPr>
        <w:t xml:space="preserve">, </w:t>
      </w:r>
    </w:p>
    <w:p w14:paraId="5BD2707B" w14:textId="656AB65A" w:rsidR="00C72046" w:rsidRPr="00C72046" w:rsidRDefault="00C72046" w:rsidP="00C72046">
      <w:pPr>
        <w:pStyle w:val="TextoNormalSangraFrancesa"/>
        <w:rPr>
          <w:rStyle w:val="TextoNormalCaracter"/>
        </w:rPr>
      </w:pPr>
      <w:r w:rsidRPr="00C72046">
        <w:rPr>
          <w:rStyle w:val="TextoNormalCursivaCaracter"/>
        </w:rPr>
        <w:t xml:space="preserve">    Respetada, </w:t>
      </w:r>
      <w:r w:rsidRPr="00C72046">
        <w:rPr>
          <w:rStyle w:val="TextoNormalCaracter"/>
        </w:rPr>
        <w:t xml:space="preserve">Sentencia </w:t>
      </w:r>
      <w:hyperlink w:anchor="SENTENCIA_2025_100" w:history="1">
        <w:r w:rsidRPr="00C72046">
          <w:rPr>
            <w:rStyle w:val="TextoNormalCaracter"/>
          </w:rPr>
          <w:t>100/2025</w:t>
        </w:r>
      </w:hyperlink>
      <w:r w:rsidRPr="00C72046">
        <w:rPr>
          <w:rStyle w:val="TextoNormalCaracter"/>
        </w:rPr>
        <w:t>, ff. 3 a 5.</w:t>
      </w:r>
    </w:p>
    <w:p w14:paraId="6DCF94E9" w14:textId="598C2890" w:rsidR="00C72046" w:rsidRPr="00C72046" w:rsidRDefault="00C72046" w:rsidP="00C72046">
      <w:pPr>
        <w:pStyle w:val="TextoNormalSangraFrancesa"/>
        <w:rPr>
          <w:rStyle w:val="TextoNormalCaracter"/>
        </w:rPr>
      </w:pPr>
      <w:r w:rsidRPr="00C72046">
        <w:rPr>
          <w:rStyle w:val="TextoNormalCursivaCaracter"/>
        </w:rPr>
        <w:t xml:space="preserve">    Vulnerada, </w:t>
      </w:r>
      <w:r w:rsidRPr="00C72046">
        <w:rPr>
          <w:rStyle w:val="TextoNormalCaracter"/>
        </w:rPr>
        <w:t xml:space="preserve">Sentencia </w:t>
      </w:r>
      <w:hyperlink w:anchor="SENTENCIA_2025_117" w:history="1">
        <w:r w:rsidRPr="00C72046">
          <w:rPr>
            <w:rStyle w:val="TextoNormalCaracter"/>
          </w:rPr>
          <w:t>117/2025</w:t>
        </w:r>
      </w:hyperlink>
      <w:r w:rsidRPr="00C72046">
        <w:rPr>
          <w:rStyle w:val="TextoNormalCaracter"/>
        </w:rPr>
        <w:t>, ff. 2 a 6.</w:t>
      </w:r>
    </w:p>
    <w:p w14:paraId="5079792E" w14:textId="77777777" w:rsidR="00C72046" w:rsidRPr="00C72046" w:rsidRDefault="00C72046" w:rsidP="00C72046">
      <w:pPr>
        <w:pStyle w:val="TextoNormalSangraFrancesa"/>
        <w:rPr>
          <w:rStyle w:val="TextoNormalCaracter"/>
        </w:rPr>
      </w:pPr>
      <w:bookmarkStart w:id="1031" w:name="DESCRIPTORALFABETICO131"/>
      <w:r w:rsidRPr="00C72046">
        <w:rPr>
          <w:rStyle w:val="TextoNormalNegritaCaracter"/>
        </w:rPr>
        <w:t>Libertad de residencia</w:t>
      </w:r>
      <w:bookmarkEnd w:id="1031"/>
      <w:r w:rsidRPr="00C72046">
        <w:rPr>
          <w:rStyle w:val="TextoNormalCaracter"/>
        </w:rPr>
        <w:t xml:space="preserve">, </w:t>
      </w:r>
    </w:p>
    <w:p w14:paraId="295241F9" w14:textId="13607120" w:rsidR="00C72046" w:rsidRPr="00C72046" w:rsidRDefault="00C72046" w:rsidP="00C72046">
      <w:pPr>
        <w:pStyle w:val="TextoNormalSangraFrancesa"/>
        <w:rPr>
          <w:rStyle w:val="TextoNormalCaracter"/>
        </w:rPr>
      </w:pPr>
      <w:r w:rsidRPr="00C72046">
        <w:rPr>
          <w:rStyle w:val="TextoNormalCursivaCaracter"/>
        </w:rPr>
        <w:t xml:space="preserve">    Vulnerada, </w:t>
      </w:r>
      <w:r w:rsidRPr="00C72046">
        <w:rPr>
          <w:rStyle w:val="TextoNormalCaracter"/>
        </w:rPr>
        <w:t xml:space="preserve">Sentencia </w:t>
      </w:r>
      <w:hyperlink w:anchor="SENTENCIA_2025_54" w:history="1">
        <w:r w:rsidRPr="00C72046">
          <w:rPr>
            <w:rStyle w:val="TextoNormalCaracter"/>
          </w:rPr>
          <w:t>54/2025</w:t>
        </w:r>
      </w:hyperlink>
      <w:r w:rsidRPr="00C72046">
        <w:rPr>
          <w:rStyle w:val="TextoNormalCaracter"/>
        </w:rPr>
        <w:t>, ff. 2 y 3, VP.</w:t>
      </w:r>
    </w:p>
    <w:p w14:paraId="4EAFBF8E" w14:textId="6228A0EC" w:rsidR="00C72046" w:rsidRPr="00C72046" w:rsidRDefault="00C72046" w:rsidP="00C72046">
      <w:pPr>
        <w:pStyle w:val="TextoNormalSangraFrancesa"/>
        <w:rPr>
          <w:rStyle w:val="TextoNormalCaracter"/>
        </w:rPr>
      </w:pPr>
      <w:bookmarkStart w:id="1032" w:name="DESCRIPTORALFABETICO133"/>
      <w:r w:rsidRPr="00C72046">
        <w:rPr>
          <w:rStyle w:val="TextoNormalNegritaCaracter"/>
        </w:rPr>
        <w:t>Libertad religiosa</w:t>
      </w:r>
      <w:bookmarkEnd w:id="1032"/>
      <w:r w:rsidRPr="00C72046">
        <w:rPr>
          <w:rStyle w:val="TextoNormalCaracter"/>
        </w:rPr>
        <w:t xml:space="preserve">, Sentencia </w:t>
      </w:r>
      <w:hyperlink w:anchor="SENTENCIA_2025_119" w:history="1">
        <w:r w:rsidRPr="00C72046">
          <w:rPr>
            <w:rStyle w:val="TextoNormalCaracter"/>
          </w:rPr>
          <w:t>119/2025</w:t>
        </w:r>
      </w:hyperlink>
      <w:r w:rsidRPr="00C72046">
        <w:rPr>
          <w:rStyle w:val="TextoNormalCaracter"/>
        </w:rPr>
        <w:t>, ff. 3 a 7.</w:t>
      </w:r>
    </w:p>
    <w:p w14:paraId="290F6E06" w14:textId="77777777" w:rsidR="00C72046" w:rsidRPr="00C72046" w:rsidRDefault="00C72046" w:rsidP="00C72046">
      <w:pPr>
        <w:pStyle w:val="TextoNormalSangraFrancesa"/>
        <w:rPr>
          <w:rStyle w:val="TextoNormalCaracter"/>
        </w:rPr>
      </w:pPr>
      <w:bookmarkStart w:id="1033" w:name="DESCRIPTORALFABETICO132"/>
      <w:r w:rsidRPr="00C72046">
        <w:rPr>
          <w:rStyle w:val="TextoNormalNegritaCaracter"/>
        </w:rPr>
        <w:t>Libertad religiosa y de culto</w:t>
      </w:r>
      <w:bookmarkEnd w:id="1033"/>
      <w:r w:rsidRPr="00C72046">
        <w:rPr>
          <w:rStyle w:val="TextoNormalCaracter"/>
        </w:rPr>
        <w:t xml:space="preserve">, </w:t>
      </w:r>
    </w:p>
    <w:p w14:paraId="5F32B986" w14:textId="0A177EB1" w:rsidR="00C72046" w:rsidRPr="00C72046" w:rsidRDefault="00C72046" w:rsidP="00C72046">
      <w:pPr>
        <w:pStyle w:val="TextoNormalSangraFrancesa"/>
        <w:rPr>
          <w:rStyle w:val="TextoNormalCaracter"/>
        </w:rPr>
      </w:pPr>
      <w:r w:rsidRPr="00C72046">
        <w:rPr>
          <w:rStyle w:val="TextoNormalCursivaCaracter"/>
        </w:rPr>
        <w:t xml:space="preserve">    Respetada, </w:t>
      </w:r>
      <w:r w:rsidRPr="00C72046">
        <w:rPr>
          <w:rStyle w:val="TextoNormalCaracter"/>
        </w:rPr>
        <w:t xml:space="preserve">Sentencia </w:t>
      </w:r>
      <w:hyperlink w:anchor="SENTENCIA_2025_119" w:history="1">
        <w:r w:rsidRPr="00C72046">
          <w:rPr>
            <w:rStyle w:val="TextoNormalCaracter"/>
          </w:rPr>
          <w:t>119/2025</w:t>
        </w:r>
      </w:hyperlink>
      <w:r w:rsidRPr="00C72046">
        <w:rPr>
          <w:rStyle w:val="TextoNormalCaracter"/>
        </w:rPr>
        <w:t>, ff. 3 a7.</w:t>
      </w:r>
    </w:p>
    <w:p w14:paraId="05BDBB78" w14:textId="496F6B11" w:rsidR="00C72046" w:rsidRPr="00C72046" w:rsidRDefault="00C72046" w:rsidP="00C72046">
      <w:pPr>
        <w:pStyle w:val="TextoNormalSangraFrancesa"/>
        <w:rPr>
          <w:rStyle w:val="TextoNormalCaracter"/>
        </w:rPr>
      </w:pPr>
      <w:bookmarkStart w:id="1034" w:name="DESCRIPTORALFABETICO235"/>
      <w:r w:rsidRPr="00C72046">
        <w:rPr>
          <w:rStyle w:val="TextoNormalNegritaCaracter"/>
        </w:rPr>
        <w:t>Licencias administrativas</w:t>
      </w:r>
      <w:bookmarkEnd w:id="1034"/>
      <w:r w:rsidRPr="00C72046">
        <w:rPr>
          <w:rStyle w:val="TextoNormalCaracter"/>
        </w:rPr>
        <w:t xml:space="preserve">, Sentencia </w:t>
      </w:r>
      <w:hyperlink w:anchor="SENTENCIA_2025_64" w:history="1">
        <w:r w:rsidRPr="00C72046">
          <w:rPr>
            <w:rStyle w:val="TextoNormalCaracter"/>
          </w:rPr>
          <w:t>64/2025</w:t>
        </w:r>
      </w:hyperlink>
      <w:r w:rsidRPr="00C72046">
        <w:rPr>
          <w:rStyle w:val="TextoNormalCaracter"/>
        </w:rPr>
        <w:t>, ff. 2 a 7.</w:t>
      </w:r>
    </w:p>
    <w:p w14:paraId="793FC55B" w14:textId="415BAA5A" w:rsidR="00C72046" w:rsidRPr="00C72046" w:rsidRDefault="00C72046" w:rsidP="00C72046">
      <w:pPr>
        <w:pStyle w:val="TextoNormalSangraFrancesa"/>
        <w:rPr>
          <w:rStyle w:val="TextoNormalCaracter"/>
        </w:rPr>
      </w:pPr>
      <w:bookmarkStart w:id="1035" w:name="DESCRIPTORALFABETICO137"/>
      <w:r w:rsidRPr="00C72046">
        <w:rPr>
          <w:rStyle w:val="TextoNormalNegritaCaracter"/>
        </w:rPr>
        <w:t>Limitación de derechos fundamentales</w:t>
      </w:r>
      <w:bookmarkEnd w:id="1035"/>
      <w:r w:rsidRPr="00C72046">
        <w:rPr>
          <w:rStyle w:val="TextoNormalCaracter"/>
        </w:rPr>
        <w:t xml:space="preserve">, Sentencia </w:t>
      </w:r>
      <w:hyperlink w:anchor="SENTENCIA_2025_26" w:history="1">
        <w:r w:rsidRPr="00C72046">
          <w:rPr>
            <w:rStyle w:val="TextoNormalCaracter"/>
          </w:rPr>
          <w:t>26/2025</w:t>
        </w:r>
      </w:hyperlink>
      <w:r w:rsidRPr="00C72046">
        <w:rPr>
          <w:rStyle w:val="TextoNormalCaracter"/>
        </w:rPr>
        <w:t>, f. 6.</w:t>
      </w:r>
    </w:p>
    <w:p w14:paraId="2BE998BA" w14:textId="484073F8" w:rsidR="00C72046" w:rsidRPr="00C72046" w:rsidRDefault="00C72046" w:rsidP="00C72046">
      <w:pPr>
        <w:pStyle w:val="TextoNormalSangraFrancesa"/>
        <w:rPr>
          <w:rStyle w:val="TextoNormalCaracter"/>
        </w:rPr>
      </w:pPr>
      <w:bookmarkStart w:id="1036" w:name="DESCRIPTORALFABETICO46"/>
      <w:r w:rsidRPr="00C72046">
        <w:rPr>
          <w:rStyle w:val="TextoNormalNegritaCaracter"/>
        </w:rPr>
        <w:t>Limitaciones al derecho a ejercer cargos públicos</w:t>
      </w:r>
      <w:bookmarkEnd w:id="1036"/>
      <w:r w:rsidRPr="00C72046">
        <w:rPr>
          <w:rStyle w:val="TextoNormalCaracter"/>
        </w:rPr>
        <w:t xml:space="preserve">, Sentencia </w:t>
      </w:r>
      <w:hyperlink w:anchor="SENTENCIA_2025_97" w:history="1">
        <w:r w:rsidRPr="00C72046">
          <w:rPr>
            <w:rStyle w:val="TextoNormalCaracter"/>
          </w:rPr>
          <w:t>97/2025</w:t>
        </w:r>
      </w:hyperlink>
      <w:r w:rsidRPr="00C72046">
        <w:rPr>
          <w:rStyle w:val="TextoNormalCaracter"/>
        </w:rPr>
        <w:t>, f. 3.</w:t>
      </w:r>
    </w:p>
    <w:p w14:paraId="7C160BF4" w14:textId="3A871BE5" w:rsidR="00C72046" w:rsidRPr="00C72046" w:rsidRDefault="00C72046" w:rsidP="00C72046">
      <w:pPr>
        <w:pStyle w:val="TextoNormalSangraFrancesa"/>
        <w:rPr>
          <w:rStyle w:val="TextoNormalCaracter"/>
        </w:rPr>
      </w:pPr>
      <w:bookmarkStart w:id="1037" w:name="DESCRIPTORALFABETICO372"/>
      <w:r w:rsidRPr="00C72046">
        <w:rPr>
          <w:rStyle w:val="TextoNormalNegritaCaracter"/>
        </w:rPr>
        <w:t>Límite material de los decretos-leyes</w:t>
      </w:r>
      <w:bookmarkEnd w:id="1037"/>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 6; </w:t>
      </w:r>
      <w:hyperlink w:anchor="SENTENCIA_2025_64" w:history="1">
        <w:r w:rsidRPr="00C72046">
          <w:rPr>
            <w:rStyle w:val="TextoNormalCaracter"/>
          </w:rPr>
          <w:t>64/2025</w:t>
        </w:r>
      </w:hyperlink>
      <w:r w:rsidRPr="00C72046">
        <w:rPr>
          <w:rStyle w:val="TextoNormalCaracter"/>
        </w:rPr>
        <w:t xml:space="preserve">, f. 4; </w:t>
      </w:r>
      <w:hyperlink w:anchor="SENTENCIA_2025_95" w:history="1">
        <w:r w:rsidRPr="00C72046">
          <w:rPr>
            <w:rStyle w:val="TextoNormalCaracter"/>
          </w:rPr>
          <w:t>95/2025</w:t>
        </w:r>
      </w:hyperlink>
      <w:r w:rsidRPr="00C72046">
        <w:rPr>
          <w:rStyle w:val="TextoNormalCaracter"/>
        </w:rPr>
        <w:t xml:space="preserve">, f. 3; </w:t>
      </w:r>
      <w:hyperlink w:anchor="SENTENCIA_2025_118" w:history="1">
        <w:r w:rsidRPr="00C72046">
          <w:rPr>
            <w:rStyle w:val="TextoNormalCaracter"/>
          </w:rPr>
          <w:t>118/2025</w:t>
        </w:r>
      </w:hyperlink>
      <w:r w:rsidRPr="00C72046">
        <w:rPr>
          <w:rStyle w:val="TextoNormalCaracter"/>
        </w:rPr>
        <w:t>, ff. 3 a 6.</w:t>
      </w:r>
    </w:p>
    <w:p w14:paraId="52473624" w14:textId="2B4205BE" w:rsidR="00C72046" w:rsidRPr="00C72046" w:rsidRDefault="00C72046" w:rsidP="00C72046">
      <w:pPr>
        <w:pStyle w:val="TextoNormalSangraFrancesa"/>
        <w:rPr>
          <w:rStyle w:val="TextoNormalCaracter"/>
        </w:rPr>
      </w:pPr>
      <w:bookmarkStart w:id="1038" w:name="DESCRIPTORALFABETICO123"/>
      <w:r w:rsidRPr="00C72046">
        <w:rPr>
          <w:rStyle w:val="TextoNormalNegritaCaracter"/>
        </w:rPr>
        <w:t>Límites a la libertad de expresión</w:t>
      </w:r>
      <w:bookmarkEnd w:id="1038"/>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ff. 3 a 5.</w:t>
      </w:r>
    </w:p>
    <w:p w14:paraId="52BB4AD9" w14:textId="005F1DB1" w:rsidR="00C72046" w:rsidRPr="00C72046" w:rsidRDefault="00C72046" w:rsidP="00C72046">
      <w:pPr>
        <w:pStyle w:val="TextoNormalSangraFrancesa"/>
        <w:rPr>
          <w:rStyle w:val="TextoNormalCaracter"/>
        </w:rPr>
      </w:pPr>
      <w:bookmarkStart w:id="1039" w:name="DESCRIPTORALFABETICO128"/>
      <w:r w:rsidRPr="00C72046">
        <w:rPr>
          <w:rStyle w:val="TextoNormalNegritaCaracter"/>
        </w:rPr>
        <w:t>Límites a la libertad de información</w:t>
      </w:r>
      <w:bookmarkEnd w:id="1039"/>
      <w:r w:rsidRPr="00C72046">
        <w:rPr>
          <w:rStyle w:val="TextoNormalCaracter"/>
        </w:rPr>
        <w:t xml:space="preserve">, Sentencias </w:t>
      </w:r>
      <w:hyperlink w:anchor="SENTENCIA_2025_87" w:history="1">
        <w:r w:rsidRPr="00C72046">
          <w:rPr>
            <w:rStyle w:val="TextoNormalCaracter"/>
          </w:rPr>
          <w:t>87/2025</w:t>
        </w:r>
      </w:hyperlink>
      <w:r w:rsidRPr="00C72046">
        <w:rPr>
          <w:rStyle w:val="TextoNormalCaracter"/>
        </w:rPr>
        <w:t xml:space="preserve">, ff. 2 y 3, VP I; </w:t>
      </w:r>
      <w:hyperlink w:anchor="SENTENCIA_2025_101" w:history="1">
        <w:r w:rsidRPr="00C72046">
          <w:rPr>
            <w:rStyle w:val="TextoNormalCaracter"/>
          </w:rPr>
          <w:t>101/2025</w:t>
        </w:r>
      </w:hyperlink>
      <w:r w:rsidRPr="00C72046">
        <w:rPr>
          <w:rStyle w:val="TextoNormalCaracter"/>
        </w:rPr>
        <w:t>, ff. 2 y 3, VP.</w:t>
      </w:r>
    </w:p>
    <w:p w14:paraId="2F77F348" w14:textId="0A7F92B0" w:rsidR="00C72046" w:rsidRPr="00C72046" w:rsidRDefault="00C72046" w:rsidP="00C72046">
      <w:pPr>
        <w:pStyle w:val="TextoNormalSangraFrancesa"/>
        <w:rPr>
          <w:rStyle w:val="TextoNormalCaracter"/>
        </w:rPr>
      </w:pPr>
      <w:bookmarkStart w:id="1040" w:name="DESCRIPTORALFABETICO112"/>
      <w:r w:rsidRPr="00C72046">
        <w:rPr>
          <w:rStyle w:val="TextoNormalNegritaCaracter"/>
        </w:rPr>
        <w:t>Límites al derecho al honor</w:t>
      </w:r>
      <w:bookmarkEnd w:id="1040"/>
      <w:r w:rsidRPr="00C72046">
        <w:rPr>
          <w:rStyle w:val="TextoNormalCaracter"/>
        </w:rPr>
        <w:t xml:space="preserve">, Sentencias </w:t>
      </w:r>
      <w:hyperlink w:anchor="SENTENCIA_2025_100" w:history="1">
        <w:r w:rsidRPr="00C72046">
          <w:rPr>
            <w:rStyle w:val="TextoNormalCaracter"/>
          </w:rPr>
          <w:t>100/2025</w:t>
        </w:r>
      </w:hyperlink>
      <w:r w:rsidRPr="00C72046">
        <w:rPr>
          <w:rStyle w:val="TextoNormalCaracter"/>
        </w:rPr>
        <w:t xml:space="preserve">, ff. 3 a 5; </w:t>
      </w:r>
      <w:hyperlink w:anchor="SENTENCIA_2025_107" w:history="1">
        <w:r w:rsidRPr="00C72046">
          <w:rPr>
            <w:rStyle w:val="TextoNormalCaracter"/>
          </w:rPr>
          <w:t>107/2025</w:t>
        </w:r>
      </w:hyperlink>
      <w:r w:rsidRPr="00C72046">
        <w:rPr>
          <w:rStyle w:val="TextoNormalCaracter"/>
        </w:rPr>
        <w:t xml:space="preserve">, ff. 2 y 3; </w:t>
      </w:r>
      <w:hyperlink w:anchor="SENTENCIA_2025_108" w:history="1">
        <w:r w:rsidRPr="00C72046">
          <w:rPr>
            <w:rStyle w:val="TextoNormalCaracter"/>
          </w:rPr>
          <w:t>108/2025</w:t>
        </w:r>
      </w:hyperlink>
      <w:r w:rsidRPr="00C72046">
        <w:rPr>
          <w:rStyle w:val="TextoNormalCaracter"/>
        </w:rPr>
        <w:t>, ff. 2 y 3.</w:t>
      </w:r>
    </w:p>
    <w:p w14:paraId="723ECF38" w14:textId="207E7C6C" w:rsidR="00C72046" w:rsidRDefault="00C72046" w:rsidP="00C72046">
      <w:pPr>
        <w:pStyle w:val="TextoNormalSangraFrancesa"/>
      </w:pPr>
    </w:p>
    <w:p w14:paraId="1FC3C0CE" w14:textId="77777777" w:rsidR="00C72046" w:rsidRDefault="00C72046" w:rsidP="00C72046">
      <w:pPr>
        <w:pStyle w:val="TextoNormalSangraFrancesa"/>
      </w:pPr>
    </w:p>
    <w:p w14:paraId="1585F4A9" w14:textId="77777777" w:rsidR="00C72046" w:rsidRDefault="00C72046" w:rsidP="00C72046">
      <w:pPr>
        <w:pStyle w:val="TextoNormalNegritaCentrado"/>
      </w:pPr>
      <w:r>
        <w:t>M</w:t>
      </w:r>
    </w:p>
    <w:p w14:paraId="04D636CA" w14:textId="29008F4B" w:rsidR="00C72046" w:rsidRDefault="00C72046" w:rsidP="00C72046">
      <w:pPr>
        <w:pStyle w:val="TextoNormalNegritaCentrado"/>
      </w:pPr>
    </w:p>
    <w:p w14:paraId="4E0C6069" w14:textId="53ACD785" w:rsidR="00C72046" w:rsidRPr="00C72046" w:rsidRDefault="00C72046" w:rsidP="00C72046">
      <w:pPr>
        <w:pStyle w:val="TextoNormalSangraFrancesa"/>
        <w:rPr>
          <w:rStyle w:val="TextoNormalCaracter"/>
        </w:rPr>
      </w:pPr>
      <w:bookmarkStart w:id="1041" w:name="DESCRIPTORALFABETICO405"/>
      <w:r w:rsidRPr="00C72046">
        <w:rPr>
          <w:rStyle w:val="TextoNormalNegritaCaracter"/>
        </w:rPr>
        <w:t>Madre biológica</w:t>
      </w:r>
      <w:bookmarkEnd w:id="1041"/>
      <w:r w:rsidRPr="00C72046">
        <w:rPr>
          <w:rStyle w:val="TextoNormalCaracter"/>
        </w:rPr>
        <w:t xml:space="preserve">, Sentencias </w:t>
      </w:r>
      <w:hyperlink w:anchor="SENTENCIA_2025_4" w:history="1">
        <w:r w:rsidRPr="00C72046">
          <w:rPr>
            <w:rStyle w:val="TextoNormalCaracter"/>
          </w:rPr>
          <w:t>4/2025</w:t>
        </w:r>
      </w:hyperlink>
      <w:r w:rsidRPr="00C72046">
        <w:rPr>
          <w:rStyle w:val="TextoNormalCaracter"/>
        </w:rPr>
        <w:t xml:space="preserve">, f. 3; </w:t>
      </w:r>
      <w:hyperlink w:anchor="SENTENCIA_2025_5" w:history="1">
        <w:r w:rsidRPr="00C72046">
          <w:rPr>
            <w:rStyle w:val="TextoNormalCaracter"/>
          </w:rPr>
          <w:t>5/2025</w:t>
        </w:r>
      </w:hyperlink>
      <w:r w:rsidRPr="00C72046">
        <w:rPr>
          <w:rStyle w:val="TextoNormalCaracter"/>
        </w:rPr>
        <w:t xml:space="preserve">, f. único;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xml:space="preserve">, f. 3; </w:t>
      </w:r>
      <w:hyperlink w:anchor="SENTENCIA_2025_17" w:history="1">
        <w:r w:rsidRPr="00C72046">
          <w:rPr>
            <w:rStyle w:val="TextoNormalCaracter"/>
          </w:rPr>
          <w:t>17/2025</w:t>
        </w:r>
      </w:hyperlink>
      <w:r w:rsidRPr="00C72046">
        <w:rPr>
          <w:rStyle w:val="TextoNormalCaracter"/>
        </w:rPr>
        <w:t xml:space="preserve">, f. único; </w:t>
      </w:r>
      <w:hyperlink w:anchor="SENTENCIA_2025_18" w:history="1">
        <w:r w:rsidRPr="00C72046">
          <w:rPr>
            <w:rStyle w:val="TextoNormalCaracter"/>
          </w:rPr>
          <w:t>18/2025</w:t>
        </w:r>
      </w:hyperlink>
      <w:r w:rsidRPr="00C72046">
        <w:rPr>
          <w:rStyle w:val="TextoNormalCaracter"/>
        </w:rPr>
        <w:t xml:space="preserve">, f. único; </w:t>
      </w:r>
      <w:hyperlink w:anchor="SENTENCIA_2025_19" w:history="1">
        <w:r w:rsidRPr="00C72046">
          <w:rPr>
            <w:rStyle w:val="TextoNormalCaracter"/>
          </w:rPr>
          <w:t>19/2025</w:t>
        </w:r>
      </w:hyperlink>
      <w:r w:rsidRPr="00C72046">
        <w:rPr>
          <w:rStyle w:val="TextoNormalCaracter"/>
        </w:rPr>
        <w:t xml:space="preserve">, f. único; </w:t>
      </w:r>
      <w:hyperlink w:anchor="SENTENCIA_2025_20" w:history="1">
        <w:r w:rsidRPr="00C72046">
          <w:rPr>
            <w:rStyle w:val="TextoNormalCaracter"/>
          </w:rPr>
          <w:t>20/2025</w:t>
        </w:r>
      </w:hyperlink>
      <w:r w:rsidRPr="00C72046">
        <w:rPr>
          <w:rStyle w:val="TextoNormalCaracter"/>
        </w:rPr>
        <w:t xml:space="preserve">, f. único; </w:t>
      </w:r>
      <w:hyperlink w:anchor="SENTENCIA_2025_21" w:history="1">
        <w:r w:rsidRPr="00C72046">
          <w:rPr>
            <w:rStyle w:val="TextoNormalCaracter"/>
          </w:rPr>
          <w:t>21/2025</w:t>
        </w:r>
      </w:hyperlink>
      <w:r w:rsidRPr="00C72046">
        <w:rPr>
          <w:rStyle w:val="TextoNormalCaracter"/>
        </w:rPr>
        <w:t xml:space="preserve">, f. 2; </w:t>
      </w:r>
      <w:hyperlink w:anchor="SENTENCIA_2025_22" w:history="1">
        <w:r w:rsidRPr="00C72046">
          <w:rPr>
            <w:rStyle w:val="TextoNormalCaracter"/>
          </w:rPr>
          <w:t>22/2025</w:t>
        </w:r>
      </w:hyperlink>
      <w:r w:rsidRPr="00C72046">
        <w:rPr>
          <w:rStyle w:val="TextoNormalCaracter"/>
        </w:rPr>
        <w:t xml:space="preserve">, f. único; </w:t>
      </w:r>
      <w:hyperlink w:anchor="SENTENCIA_2025_23" w:history="1">
        <w:r w:rsidRPr="00C72046">
          <w:rPr>
            <w:rStyle w:val="TextoNormalCaracter"/>
          </w:rPr>
          <w:t>23/2025</w:t>
        </w:r>
      </w:hyperlink>
      <w:r w:rsidRPr="00C72046">
        <w:rPr>
          <w:rStyle w:val="TextoNormalCaracter"/>
        </w:rPr>
        <w:t xml:space="preserve">, f. 2; </w:t>
      </w:r>
      <w:hyperlink w:anchor="SENTENCIA_2025_24" w:history="1">
        <w:r w:rsidRPr="00C72046">
          <w:rPr>
            <w:rStyle w:val="TextoNormalCaracter"/>
          </w:rPr>
          <w:t>24/2025</w:t>
        </w:r>
      </w:hyperlink>
      <w:r w:rsidRPr="00C72046">
        <w:rPr>
          <w:rStyle w:val="TextoNormalCaracter"/>
        </w:rPr>
        <w:t xml:space="preserve">, f. 2; </w:t>
      </w:r>
      <w:hyperlink w:anchor="SENTENCIA_2025_29" w:history="1">
        <w:r w:rsidRPr="00C72046">
          <w:rPr>
            <w:rStyle w:val="TextoNormalCaracter"/>
          </w:rPr>
          <w:t>29/2025</w:t>
        </w:r>
      </w:hyperlink>
      <w:r w:rsidRPr="00C72046">
        <w:rPr>
          <w:rStyle w:val="TextoNormalCaracter"/>
        </w:rPr>
        <w:t xml:space="preserve">, f. único; </w:t>
      </w:r>
      <w:hyperlink w:anchor="SENTENCIA_2025_30" w:history="1">
        <w:r w:rsidRPr="00C72046">
          <w:rPr>
            <w:rStyle w:val="TextoNormalCaracter"/>
          </w:rPr>
          <w:t>30/2025</w:t>
        </w:r>
      </w:hyperlink>
      <w:r w:rsidRPr="00C72046">
        <w:rPr>
          <w:rStyle w:val="TextoNormalCaracter"/>
        </w:rPr>
        <w:t xml:space="preserve">, f. 2; </w:t>
      </w:r>
      <w:hyperlink w:anchor="SENTENCIA_2025_32" w:history="1">
        <w:r w:rsidRPr="00C72046">
          <w:rPr>
            <w:rStyle w:val="TextoNormalCaracter"/>
          </w:rPr>
          <w:t>32/2025</w:t>
        </w:r>
      </w:hyperlink>
      <w:r w:rsidRPr="00C72046">
        <w:rPr>
          <w:rStyle w:val="TextoNormalCaracter"/>
        </w:rPr>
        <w:t xml:space="preserve">, f. 2; </w:t>
      </w:r>
      <w:hyperlink w:anchor="SENTENCIA_2025_33" w:history="1">
        <w:r w:rsidRPr="00C72046">
          <w:rPr>
            <w:rStyle w:val="TextoNormalCaracter"/>
          </w:rPr>
          <w:t>33/2025</w:t>
        </w:r>
      </w:hyperlink>
      <w:r w:rsidRPr="00C72046">
        <w:rPr>
          <w:rStyle w:val="TextoNormalCaracter"/>
        </w:rPr>
        <w:t xml:space="preserve">, f. 2; </w:t>
      </w:r>
      <w:hyperlink w:anchor="SENTENCIA_2025_34" w:history="1">
        <w:r w:rsidRPr="00C72046">
          <w:rPr>
            <w:rStyle w:val="TextoNormalCaracter"/>
          </w:rPr>
          <w:t>34/2025</w:t>
        </w:r>
      </w:hyperlink>
      <w:r w:rsidRPr="00C72046">
        <w:rPr>
          <w:rStyle w:val="TextoNormalCaracter"/>
        </w:rPr>
        <w:t xml:space="preserve">, f. único; </w:t>
      </w:r>
      <w:hyperlink w:anchor="SENTENCIA_2025_35" w:history="1">
        <w:r w:rsidRPr="00C72046">
          <w:rPr>
            <w:rStyle w:val="TextoNormalCaracter"/>
          </w:rPr>
          <w:t>35/2025</w:t>
        </w:r>
      </w:hyperlink>
      <w:r w:rsidRPr="00C72046">
        <w:rPr>
          <w:rStyle w:val="TextoNormalCaracter"/>
        </w:rPr>
        <w:t xml:space="preserve">, f. 2; </w:t>
      </w:r>
      <w:hyperlink w:anchor="SENTENCIA_2025_36" w:history="1">
        <w:r w:rsidRPr="00C72046">
          <w:rPr>
            <w:rStyle w:val="TextoNormalCaracter"/>
          </w:rPr>
          <w:t>36/2025</w:t>
        </w:r>
      </w:hyperlink>
      <w:r w:rsidRPr="00C72046">
        <w:rPr>
          <w:rStyle w:val="TextoNormalCaracter"/>
        </w:rPr>
        <w:t xml:space="preserve">, f.único; </w:t>
      </w:r>
      <w:hyperlink w:anchor="SENTENCIA_2025_38" w:history="1">
        <w:r w:rsidRPr="00C72046">
          <w:rPr>
            <w:rStyle w:val="TextoNormalCaracter"/>
          </w:rPr>
          <w:t>38/2025</w:t>
        </w:r>
      </w:hyperlink>
      <w:r w:rsidRPr="00C72046">
        <w:rPr>
          <w:rStyle w:val="TextoNormalCaracter"/>
        </w:rPr>
        <w:t xml:space="preserve">, f. 2; </w:t>
      </w:r>
      <w:hyperlink w:anchor="SENTENCIA_2025_39" w:history="1">
        <w:r w:rsidRPr="00C72046">
          <w:rPr>
            <w:rStyle w:val="TextoNormalCaracter"/>
          </w:rPr>
          <w:t>39/2025</w:t>
        </w:r>
      </w:hyperlink>
      <w:r w:rsidRPr="00C72046">
        <w:rPr>
          <w:rStyle w:val="TextoNormalCaracter"/>
        </w:rPr>
        <w:t xml:space="preserve">, f. 2; </w:t>
      </w:r>
      <w:hyperlink w:anchor="SENTENCIA_2025_46" w:history="1">
        <w:r w:rsidRPr="00C72046">
          <w:rPr>
            <w:rStyle w:val="TextoNormalCaracter"/>
          </w:rPr>
          <w:t>46/2025</w:t>
        </w:r>
      </w:hyperlink>
      <w:r w:rsidRPr="00C72046">
        <w:rPr>
          <w:rStyle w:val="TextoNormalCaracter"/>
        </w:rPr>
        <w:t xml:space="preserve">, f. único; </w:t>
      </w:r>
      <w:hyperlink w:anchor="SENTENCIA_2025_47" w:history="1">
        <w:r w:rsidRPr="00C72046">
          <w:rPr>
            <w:rStyle w:val="TextoNormalCaracter"/>
          </w:rPr>
          <w:t>47/2025</w:t>
        </w:r>
      </w:hyperlink>
      <w:r w:rsidRPr="00C72046">
        <w:rPr>
          <w:rStyle w:val="TextoNormalCaracter"/>
        </w:rPr>
        <w:t xml:space="preserve">, f. 2; </w:t>
      </w:r>
      <w:hyperlink w:anchor="SENTENCIA_2025_48" w:history="1">
        <w:r w:rsidRPr="00C72046">
          <w:rPr>
            <w:rStyle w:val="TextoNormalCaracter"/>
          </w:rPr>
          <w:t>48/2025</w:t>
        </w:r>
      </w:hyperlink>
      <w:r w:rsidRPr="00C72046">
        <w:rPr>
          <w:rStyle w:val="TextoNormalCaracter"/>
        </w:rPr>
        <w:t xml:space="preserve">, f. 2; </w:t>
      </w:r>
      <w:hyperlink w:anchor="SENTENCIA_2025_50" w:history="1">
        <w:r w:rsidRPr="00C72046">
          <w:rPr>
            <w:rStyle w:val="TextoNormalCaracter"/>
          </w:rPr>
          <w:t>50/2025</w:t>
        </w:r>
      </w:hyperlink>
      <w:r w:rsidRPr="00C72046">
        <w:rPr>
          <w:rStyle w:val="TextoNormalCaracter"/>
        </w:rPr>
        <w:t xml:space="preserve">, f. 2; </w:t>
      </w:r>
      <w:hyperlink w:anchor="SENTENCIA_2025_56" w:history="1">
        <w:r w:rsidRPr="00C72046">
          <w:rPr>
            <w:rStyle w:val="TextoNormalCaracter"/>
          </w:rPr>
          <w:t>56/2025</w:t>
        </w:r>
      </w:hyperlink>
      <w:r w:rsidRPr="00C72046">
        <w:rPr>
          <w:rStyle w:val="TextoNormalCaracter"/>
        </w:rPr>
        <w:t xml:space="preserve">, f. 2; </w:t>
      </w:r>
      <w:hyperlink w:anchor="SENTENCIA_2025_57" w:history="1">
        <w:r w:rsidRPr="00C72046">
          <w:rPr>
            <w:rStyle w:val="TextoNormalCaracter"/>
          </w:rPr>
          <w:t>57/2025</w:t>
        </w:r>
      </w:hyperlink>
      <w:r w:rsidRPr="00C72046">
        <w:rPr>
          <w:rStyle w:val="TextoNormalCaracter"/>
        </w:rPr>
        <w:t xml:space="preserve">, f. 2; </w:t>
      </w:r>
      <w:hyperlink w:anchor="SENTENCIA_2025_58" w:history="1">
        <w:r w:rsidRPr="00C72046">
          <w:rPr>
            <w:rStyle w:val="TextoNormalCaracter"/>
          </w:rPr>
          <w:t>58/2025</w:t>
        </w:r>
      </w:hyperlink>
      <w:r w:rsidRPr="00C72046">
        <w:rPr>
          <w:rStyle w:val="TextoNormalCaracter"/>
        </w:rPr>
        <w:t xml:space="preserve">, f. 2; </w:t>
      </w:r>
      <w:hyperlink w:anchor="SENTENCIA_2025_59" w:history="1">
        <w:r w:rsidRPr="00C72046">
          <w:rPr>
            <w:rStyle w:val="TextoNormalCaracter"/>
          </w:rPr>
          <w:t>59/2025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65" w:history="1">
        <w:r w:rsidRPr="00C72046">
          <w:rPr>
            <w:rStyle w:val="TextoNormalCaracter"/>
          </w:rPr>
          <w:t>65/2025</w:t>
        </w:r>
      </w:hyperlink>
      <w:r w:rsidRPr="00C72046">
        <w:rPr>
          <w:rStyle w:val="TextoNormalCaracter"/>
        </w:rPr>
        <w:t xml:space="preserve">, f. único; </w:t>
      </w:r>
      <w:hyperlink w:anchor="SENTENCIA_2025_66" w:history="1">
        <w:r w:rsidRPr="00C72046">
          <w:rPr>
            <w:rStyle w:val="TextoNormalCaracter"/>
          </w:rPr>
          <w:t>66/2025</w:t>
        </w:r>
      </w:hyperlink>
      <w:r w:rsidRPr="00C72046">
        <w:rPr>
          <w:rStyle w:val="TextoNormalCaracter"/>
        </w:rPr>
        <w:t xml:space="preserve">, f. 2; </w:t>
      </w:r>
      <w:hyperlink w:anchor="SENTENCIA_2025_67" w:history="1">
        <w:r w:rsidRPr="00C72046">
          <w:rPr>
            <w:rStyle w:val="TextoNormalCaracter"/>
          </w:rPr>
          <w:t>67/2025</w:t>
        </w:r>
      </w:hyperlink>
      <w:r w:rsidRPr="00C72046">
        <w:rPr>
          <w:rStyle w:val="TextoNormalCaracter"/>
        </w:rPr>
        <w:t xml:space="preserve">, f. 2; </w:t>
      </w:r>
      <w:hyperlink w:anchor="SENTENCIA_2025_68" w:history="1">
        <w:r w:rsidRPr="00C72046">
          <w:rPr>
            <w:rStyle w:val="TextoNormalCaracter"/>
          </w:rPr>
          <w:t>68/2025</w:t>
        </w:r>
      </w:hyperlink>
      <w:r w:rsidRPr="00C72046">
        <w:rPr>
          <w:rStyle w:val="TextoNormalCaracter"/>
        </w:rPr>
        <w:t xml:space="preserve">, f. 2; </w:t>
      </w:r>
      <w:hyperlink w:anchor="SENTENCIA_2025_70" w:history="1">
        <w:r w:rsidRPr="00C72046">
          <w:rPr>
            <w:rStyle w:val="TextoNormalCaracter"/>
          </w:rPr>
          <w:t>70/2025</w:t>
        </w:r>
      </w:hyperlink>
      <w:r w:rsidRPr="00C72046">
        <w:rPr>
          <w:rStyle w:val="TextoNormalCaracter"/>
        </w:rPr>
        <w:t xml:space="preserve">, f. 2; </w:t>
      </w:r>
      <w:hyperlink w:anchor="SENTENCIA_2025_71" w:history="1">
        <w:r w:rsidRPr="00C72046">
          <w:rPr>
            <w:rStyle w:val="TextoNormalCaracter"/>
          </w:rPr>
          <w:t>71/2025</w:t>
        </w:r>
      </w:hyperlink>
      <w:r w:rsidRPr="00C72046">
        <w:rPr>
          <w:rStyle w:val="TextoNormalCaracter"/>
        </w:rPr>
        <w:t xml:space="preserve">, f. único; </w:t>
      </w:r>
      <w:hyperlink w:anchor="SENTENCIA_2025_72" w:history="1">
        <w:r w:rsidRPr="00C72046">
          <w:rPr>
            <w:rStyle w:val="TextoNormalCaracter"/>
          </w:rPr>
          <w:t>72/2025</w:t>
        </w:r>
      </w:hyperlink>
      <w:r w:rsidRPr="00C72046">
        <w:rPr>
          <w:rStyle w:val="TextoNormalCaracter"/>
        </w:rPr>
        <w:t xml:space="preserve">, f. único; </w:t>
      </w:r>
      <w:hyperlink w:anchor="SENTENCIA_2025_73" w:history="1">
        <w:r w:rsidRPr="00C72046">
          <w:rPr>
            <w:rStyle w:val="TextoNormalCaracter"/>
          </w:rPr>
          <w:t>73/2025</w:t>
        </w:r>
      </w:hyperlink>
      <w:r w:rsidRPr="00C72046">
        <w:rPr>
          <w:rStyle w:val="TextoNormalCaracter"/>
        </w:rPr>
        <w:t xml:space="preserve">, f. 2; </w:t>
      </w:r>
      <w:hyperlink w:anchor="SENTENCIA_2025_74" w:history="1">
        <w:r w:rsidRPr="00C72046">
          <w:rPr>
            <w:rStyle w:val="TextoNormalCaracter"/>
          </w:rPr>
          <w:t>74/2025</w:t>
        </w:r>
      </w:hyperlink>
      <w:r w:rsidRPr="00C72046">
        <w:rPr>
          <w:rStyle w:val="TextoNormalCaracter"/>
        </w:rPr>
        <w:t xml:space="preserve">, f. único; </w:t>
      </w:r>
      <w:hyperlink w:anchor="SENTENCIA_2025_75" w:history="1">
        <w:r w:rsidRPr="00C72046">
          <w:rPr>
            <w:rStyle w:val="TextoNormalCaracter"/>
          </w:rPr>
          <w:t>75/2025</w:t>
        </w:r>
      </w:hyperlink>
      <w:r w:rsidRPr="00C72046">
        <w:rPr>
          <w:rStyle w:val="TextoNormalCaracter"/>
        </w:rPr>
        <w:t xml:space="preserve">, f. único; </w:t>
      </w:r>
      <w:hyperlink w:anchor="SENTENCIA_2025_76" w:history="1">
        <w:r w:rsidRPr="00C72046">
          <w:rPr>
            <w:rStyle w:val="TextoNormalCaracter"/>
          </w:rPr>
          <w:t>76/2025</w:t>
        </w:r>
      </w:hyperlink>
      <w:r w:rsidRPr="00C72046">
        <w:rPr>
          <w:rStyle w:val="TextoNormalCaracter"/>
        </w:rPr>
        <w:t xml:space="preserve">, f. 2; </w:t>
      </w:r>
      <w:hyperlink w:anchor="SENTENCIA_2025_77" w:history="1">
        <w:r w:rsidRPr="00C72046">
          <w:rPr>
            <w:rStyle w:val="TextoNormalCaracter"/>
          </w:rPr>
          <w:t>77/2025</w:t>
        </w:r>
      </w:hyperlink>
      <w:r w:rsidRPr="00C72046">
        <w:rPr>
          <w:rStyle w:val="TextoNormalCaracter"/>
        </w:rPr>
        <w:t xml:space="preserve">, f. único; </w:t>
      </w:r>
      <w:hyperlink w:anchor="SENTENCIA_2025_78" w:history="1">
        <w:r w:rsidRPr="00C72046">
          <w:rPr>
            <w:rStyle w:val="TextoNormalCaracter"/>
          </w:rPr>
          <w:t>78/2025</w:t>
        </w:r>
      </w:hyperlink>
      <w:r w:rsidRPr="00C72046">
        <w:rPr>
          <w:rStyle w:val="TextoNormalCaracter"/>
        </w:rPr>
        <w:t xml:space="preserve">, f. único; </w:t>
      </w:r>
      <w:hyperlink w:anchor="SENTENCIA_2025_79" w:history="1">
        <w:r w:rsidRPr="00C72046">
          <w:rPr>
            <w:rStyle w:val="TextoNormalCaracter"/>
          </w:rPr>
          <w:t>79/2025</w:t>
        </w:r>
      </w:hyperlink>
      <w:r w:rsidRPr="00C72046">
        <w:rPr>
          <w:rStyle w:val="TextoNormalCaracter"/>
        </w:rPr>
        <w:t xml:space="preserve">, f. 3; </w:t>
      </w:r>
      <w:hyperlink w:anchor="SENTENCIA_2025_80" w:history="1">
        <w:r w:rsidRPr="00C72046">
          <w:rPr>
            <w:rStyle w:val="TextoNormalCaracter"/>
          </w:rPr>
          <w:t>80/2025</w:t>
        </w:r>
      </w:hyperlink>
      <w:r w:rsidRPr="00C72046">
        <w:rPr>
          <w:rStyle w:val="TextoNormalCaracter"/>
        </w:rPr>
        <w:t xml:space="preserve">, f. 2; </w:t>
      </w:r>
      <w:hyperlink w:anchor="SENTENCIA_2025_81" w:history="1">
        <w:r w:rsidRPr="00C72046">
          <w:rPr>
            <w:rStyle w:val="TextoNormalCaracter"/>
          </w:rPr>
          <w:t>81/2025</w:t>
        </w:r>
      </w:hyperlink>
      <w:r w:rsidRPr="00C72046">
        <w:rPr>
          <w:rStyle w:val="TextoNormalCaracter"/>
        </w:rPr>
        <w:t xml:space="preserve">, f. 2; </w:t>
      </w:r>
      <w:hyperlink w:anchor="SENTENCIA_2025_88" w:history="1">
        <w:r w:rsidRPr="00C72046">
          <w:rPr>
            <w:rStyle w:val="TextoNormalCaracter"/>
          </w:rPr>
          <w:t>88/2025</w:t>
        </w:r>
      </w:hyperlink>
      <w:r w:rsidRPr="00C72046">
        <w:rPr>
          <w:rStyle w:val="TextoNormalCaracter"/>
        </w:rPr>
        <w:t xml:space="preserve">, f. 2; </w:t>
      </w:r>
      <w:hyperlink w:anchor="SENTENCIA_2025_89" w:history="1">
        <w:r w:rsidRPr="00C72046">
          <w:rPr>
            <w:rStyle w:val="TextoNormalCaracter"/>
          </w:rPr>
          <w:t>89/2025</w:t>
        </w:r>
      </w:hyperlink>
      <w:r w:rsidRPr="00C72046">
        <w:rPr>
          <w:rStyle w:val="TextoNormalCaracter"/>
        </w:rPr>
        <w:t xml:space="preserve">, f. 2; </w:t>
      </w:r>
      <w:hyperlink w:anchor="SENTENCIA_2025_90" w:history="1">
        <w:r w:rsidRPr="00C72046">
          <w:rPr>
            <w:rStyle w:val="TextoNormalCaracter"/>
          </w:rPr>
          <w:t>90/2025</w:t>
        </w:r>
      </w:hyperlink>
      <w:r w:rsidRPr="00C72046">
        <w:rPr>
          <w:rStyle w:val="TextoNormalCaracter"/>
        </w:rPr>
        <w:t xml:space="preserve">, f. 2; </w:t>
      </w:r>
      <w:hyperlink w:anchor="SENTENCIA_2025_91" w:history="1">
        <w:r w:rsidRPr="00C72046">
          <w:rPr>
            <w:rStyle w:val="TextoNormalCaracter"/>
          </w:rPr>
          <w:t>91/2025</w:t>
        </w:r>
      </w:hyperlink>
      <w:r w:rsidRPr="00C72046">
        <w:rPr>
          <w:rStyle w:val="TextoNormalCaracter"/>
        </w:rPr>
        <w:t xml:space="preserve">, f. único; </w:t>
      </w:r>
      <w:hyperlink w:anchor="SENTENCIA_2025_92" w:history="1">
        <w:r w:rsidRPr="00C72046">
          <w:rPr>
            <w:rStyle w:val="TextoNormalCaracter"/>
          </w:rPr>
          <w:t>92/2025</w:t>
        </w:r>
      </w:hyperlink>
      <w:r w:rsidRPr="00C72046">
        <w:rPr>
          <w:rStyle w:val="TextoNormalCaracter"/>
        </w:rPr>
        <w:t xml:space="preserve">, f. 2; </w:t>
      </w:r>
      <w:hyperlink w:anchor="SENTENCIA_2025_93" w:history="1">
        <w:r w:rsidRPr="00C72046">
          <w:rPr>
            <w:rStyle w:val="TextoNormalCaracter"/>
          </w:rPr>
          <w:t>93/2025</w:t>
        </w:r>
      </w:hyperlink>
      <w:r w:rsidRPr="00C72046">
        <w:rPr>
          <w:rStyle w:val="TextoNormalCaracter"/>
        </w:rPr>
        <w:t xml:space="preserve">, f. 2; </w:t>
      </w:r>
      <w:hyperlink w:anchor="SENTENCIA_2025_94" w:history="1">
        <w:r w:rsidRPr="00C72046">
          <w:rPr>
            <w:rStyle w:val="TextoNormalCaracter"/>
          </w:rPr>
          <w:t>94/2025</w:t>
        </w:r>
      </w:hyperlink>
      <w:r w:rsidRPr="00C72046">
        <w:rPr>
          <w:rStyle w:val="TextoNormalCaracter"/>
        </w:rPr>
        <w:t xml:space="preserve">, f. 2; </w:t>
      </w:r>
      <w:hyperlink w:anchor="SENTENCIA_2025_102" w:history="1">
        <w:r w:rsidRPr="00C72046">
          <w:rPr>
            <w:rStyle w:val="TextoNormalCaracter"/>
          </w:rPr>
          <w:t>102/2025</w:t>
        </w:r>
      </w:hyperlink>
      <w:r w:rsidRPr="00C72046">
        <w:rPr>
          <w:rStyle w:val="TextoNormalCaracter"/>
        </w:rPr>
        <w:t xml:space="preserve">, f. 2; </w:t>
      </w:r>
      <w:hyperlink w:anchor="SENTENCIA_2025_103" w:history="1">
        <w:r w:rsidRPr="00C72046">
          <w:rPr>
            <w:rStyle w:val="TextoNormalCaracter"/>
          </w:rPr>
          <w:t>103/2025</w:t>
        </w:r>
      </w:hyperlink>
      <w:r w:rsidRPr="00C72046">
        <w:rPr>
          <w:rStyle w:val="TextoNormalCaracter"/>
        </w:rPr>
        <w:t xml:space="preserve">, f. único; </w:t>
      </w:r>
      <w:hyperlink w:anchor="SENTENCIA_2025_104" w:history="1">
        <w:r w:rsidRPr="00C72046">
          <w:rPr>
            <w:rStyle w:val="TextoNormalCaracter"/>
          </w:rPr>
          <w:t>104/2025</w:t>
        </w:r>
      </w:hyperlink>
      <w:r w:rsidRPr="00C72046">
        <w:rPr>
          <w:rStyle w:val="TextoNormalCaracter"/>
        </w:rPr>
        <w:t xml:space="preserve">, f. único; </w:t>
      </w:r>
      <w:hyperlink w:anchor="SENTENCIA_2025_112" w:history="1">
        <w:r w:rsidRPr="00C72046">
          <w:rPr>
            <w:rStyle w:val="TextoNormalCaracter"/>
          </w:rPr>
          <w:t>112/2025</w:t>
        </w:r>
      </w:hyperlink>
      <w:r w:rsidRPr="00C72046">
        <w:rPr>
          <w:rStyle w:val="TextoNormalCaracter"/>
        </w:rPr>
        <w:t xml:space="preserve">, f. 2; </w:t>
      </w:r>
      <w:hyperlink w:anchor="SENTENCIA_2025_113" w:history="1">
        <w:r w:rsidRPr="00C72046">
          <w:rPr>
            <w:rStyle w:val="TextoNormalCaracter"/>
          </w:rPr>
          <w:t>113/2025</w:t>
        </w:r>
      </w:hyperlink>
      <w:r w:rsidRPr="00C72046">
        <w:rPr>
          <w:rStyle w:val="TextoNormalCaracter"/>
        </w:rPr>
        <w:t xml:space="preserve">, f. único; </w:t>
      </w:r>
      <w:hyperlink w:anchor="SENTENCIA_2025_114" w:history="1">
        <w:r w:rsidRPr="00C72046">
          <w:rPr>
            <w:rStyle w:val="TextoNormalCaracter"/>
          </w:rPr>
          <w:t>114/2025</w:t>
        </w:r>
      </w:hyperlink>
      <w:r w:rsidRPr="00C72046">
        <w:rPr>
          <w:rStyle w:val="TextoNormalCaracter"/>
        </w:rPr>
        <w:t xml:space="preserve">, f. único; </w:t>
      </w:r>
      <w:hyperlink w:anchor="SENTENCIA_2025_115" w:history="1">
        <w:r w:rsidRPr="00C72046">
          <w:rPr>
            <w:rStyle w:val="TextoNormalCaracter"/>
          </w:rPr>
          <w:t>115/2025</w:t>
        </w:r>
      </w:hyperlink>
      <w:r w:rsidRPr="00C72046">
        <w:rPr>
          <w:rStyle w:val="TextoNormalCaracter"/>
        </w:rPr>
        <w:t xml:space="preserve">, f. único; </w:t>
      </w:r>
      <w:hyperlink w:anchor="SENTENCIA_2025_116" w:history="1">
        <w:r w:rsidRPr="00C72046">
          <w:rPr>
            <w:rStyle w:val="TextoNormalCaracter"/>
          </w:rPr>
          <w:t>116/2025</w:t>
        </w:r>
      </w:hyperlink>
      <w:r w:rsidRPr="00C72046">
        <w:rPr>
          <w:rStyle w:val="TextoNormalCaracter"/>
        </w:rPr>
        <w:t xml:space="preserve">, f. único; </w:t>
      </w:r>
      <w:hyperlink w:anchor="SENTENCIA_2025_122" w:history="1">
        <w:r w:rsidRPr="00C72046">
          <w:rPr>
            <w:rStyle w:val="TextoNormalCaracter"/>
          </w:rPr>
          <w:t>122/2025</w:t>
        </w:r>
      </w:hyperlink>
      <w:r w:rsidRPr="00C72046">
        <w:rPr>
          <w:rStyle w:val="TextoNormalCaracter"/>
        </w:rPr>
        <w:t xml:space="preserve">, f. único; </w:t>
      </w:r>
      <w:hyperlink w:anchor="SENTENCIA_2025_124" w:history="1">
        <w:r w:rsidRPr="00C72046">
          <w:rPr>
            <w:rStyle w:val="TextoNormalCaracter"/>
          </w:rPr>
          <w:t>124/2025</w:t>
        </w:r>
      </w:hyperlink>
      <w:r w:rsidRPr="00C72046">
        <w:rPr>
          <w:rStyle w:val="TextoNormalCaracter"/>
        </w:rPr>
        <w:t xml:space="preserve">, f. 2; </w:t>
      </w:r>
      <w:hyperlink w:anchor="SENTENCIA_2025_125" w:history="1">
        <w:r w:rsidRPr="00C72046">
          <w:rPr>
            <w:rStyle w:val="TextoNormalCaracter"/>
          </w:rPr>
          <w:t>125/2025</w:t>
        </w:r>
      </w:hyperlink>
      <w:r w:rsidRPr="00C72046">
        <w:rPr>
          <w:rStyle w:val="TextoNormalCaracter"/>
        </w:rPr>
        <w:t xml:space="preserve">, f. único; </w:t>
      </w:r>
      <w:hyperlink w:anchor="SENTENCIA_2025_127" w:history="1">
        <w:r w:rsidRPr="00C72046">
          <w:rPr>
            <w:rStyle w:val="TextoNormalCaracter"/>
          </w:rPr>
          <w:t>127/2025</w:t>
        </w:r>
      </w:hyperlink>
      <w:r w:rsidRPr="00C72046">
        <w:rPr>
          <w:rStyle w:val="TextoNormalCaracter"/>
        </w:rPr>
        <w:t xml:space="preserve">, f. 2; </w:t>
      </w:r>
      <w:hyperlink w:anchor="SENTENCIA_2025_128" w:history="1">
        <w:r w:rsidRPr="00C72046">
          <w:rPr>
            <w:rStyle w:val="TextoNormalCaracter"/>
          </w:rPr>
          <w:t>128/2025</w:t>
        </w:r>
      </w:hyperlink>
      <w:r w:rsidRPr="00C72046">
        <w:rPr>
          <w:rStyle w:val="TextoNormalCaracter"/>
        </w:rPr>
        <w:t xml:space="preserve">, f. 2; </w:t>
      </w:r>
      <w:hyperlink w:anchor="SENTENCIA_2025_129" w:history="1">
        <w:r w:rsidRPr="00C72046">
          <w:rPr>
            <w:rStyle w:val="TextoNormalCaracter"/>
          </w:rPr>
          <w:t>129/2025</w:t>
        </w:r>
      </w:hyperlink>
      <w:r w:rsidRPr="00C72046">
        <w:rPr>
          <w:rStyle w:val="TextoNormalCaracter"/>
        </w:rPr>
        <w:t xml:space="preserve">, f. 2; </w:t>
      </w:r>
      <w:hyperlink w:anchor="SENTENCIA_2025_130" w:history="1">
        <w:r w:rsidRPr="00C72046">
          <w:rPr>
            <w:rStyle w:val="TextoNormalCaracter"/>
          </w:rPr>
          <w:t>130/2025</w:t>
        </w:r>
      </w:hyperlink>
      <w:r w:rsidRPr="00C72046">
        <w:rPr>
          <w:rStyle w:val="TextoNormalCaracter"/>
        </w:rPr>
        <w:t xml:space="preserve">, f. 2; </w:t>
      </w:r>
      <w:hyperlink w:anchor="SENTENCIA_2025_131" w:history="1">
        <w:r w:rsidRPr="00C72046">
          <w:rPr>
            <w:rStyle w:val="TextoNormalCaracter"/>
          </w:rPr>
          <w:t>131/2025</w:t>
        </w:r>
      </w:hyperlink>
      <w:r w:rsidRPr="00C72046">
        <w:rPr>
          <w:rStyle w:val="TextoNormalCaracter"/>
        </w:rPr>
        <w:t>, f. 2.</w:t>
      </w:r>
    </w:p>
    <w:p w14:paraId="4C3E6FE0" w14:textId="2ACF591E" w:rsidR="00C72046" w:rsidRPr="00C72046" w:rsidRDefault="00C72046" w:rsidP="00C72046">
      <w:pPr>
        <w:pStyle w:val="TextoNormalSangraFrancesa"/>
        <w:rPr>
          <w:rStyle w:val="TextoNormalCaracter"/>
        </w:rPr>
      </w:pPr>
      <w:bookmarkStart w:id="1042" w:name="DESCRIPTORALFABETICO155"/>
      <w:r w:rsidRPr="00C72046">
        <w:rPr>
          <w:rStyle w:val="TextoNormalNegritaCaracter"/>
        </w:rPr>
        <w:t>Mantenimiento de la suspensión de disposiciones de las Comunidades Autónomas</w:t>
      </w:r>
      <w:bookmarkEnd w:id="1042"/>
      <w:r w:rsidRPr="00C72046">
        <w:rPr>
          <w:rStyle w:val="TextoNormalCaracter"/>
        </w:rPr>
        <w:t xml:space="preserve">, Auto </w:t>
      </w:r>
      <w:hyperlink w:anchor="AUTO_2025_64" w:history="1">
        <w:r w:rsidRPr="00C72046">
          <w:rPr>
            <w:rStyle w:val="TextoNormalCaracter"/>
          </w:rPr>
          <w:t>64/2025</w:t>
        </w:r>
      </w:hyperlink>
      <w:r w:rsidRPr="00C72046">
        <w:rPr>
          <w:rStyle w:val="TextoNormalCaracter"/>
        </w:rPr>
        <w:t>, f. 3.</w:t>
      </w:r>
    </w:p>
    <w:p w14:paraId="21D9D4B2" w14:textId="16CCC9DA" w:rsidR="00C72046" w:rsidRPr="00C72046" w:rsidRDefault="00C72046" w:rsidP="00C72046">
      <w:pPr>
        <w:pStyle w:val="TextoNormalSangraFrancesa"/>
        <w:rPr>
          <w:rStyle w:val="TextoNormalCaracter"/>
        </w:rPr>
      </w:pPr>
      <w:bookmarkStart w:id="1043" w:name="DESCRIPTORALFABETICO152"/>
      <w:r w:rsidRPr="00C72046">
        <w:rPr>
          <w:rStyle w:val="TextoNormalNegritaCaracter"/>
        </w:rPr>
        <w:t>Mantenimiento de la suspensión del acto que origina el amparo</w:t>
      </w:r>
      <w:bookmarkEnd w:id="1043"/>
      <w:r w:rsidRPr="00C72046">
        <w:rPr>
          <w:rStyle w:val="TextoNormalCaracter"/>
        </w:rPr>
        <w:t xml:space="preserve">, Auto </w:t>
      </w:r>
      <w:hyperlink w:anchor="AUTO_2025_21" w:history="1">
        <w:r w:rsidRPr="00C72046">
          <w:rPr>
            <w:rStyle w:val="TextoNormalCaracter"/>
          </w:rPr>
          <w:t>21/2025</w:t>
        </w:r>
      </w:hyperlink>
      <w:r w:rsidRPr="00C72046">
        <w:rPr>
          <w:rStyle w:val="TextoNormalCaracter"/>
        </w:rPr>
        <w:t>, ff. 1 a 3.</w:t>
      </w:r>
    </w:p>
    <w:p w14:paraId="6566F617" w14:textId="79F93F45" w:rsidR="00C72046" w:rsidRPr="00C72046" w:rsidRDefault="00C72046" w:rsidP="00C72046">
      <w:pPr>
        <w:pStyle w:val="TextoNormalSangraFrancesa"/>
        <w:rPr>
          <w:rStyle w:val="TextoNormalCaracter"/>
        </w:rPr>
      </w:pPr>
      <w:bookmarkStart w:id="1044" w:name="DESCRIPTORALFABETICO139"/>
      <w:r w:rsidRPr="00C72046">
        <w:rPr>
          <w:rStyle w:val="TextoNormalNegritaCaracter"/>
        </w:rPr>
        <w:t>Medidas restrictivas de derechos fundamentales</w:t>
      </w:r>
      <w:bookmarkEnd w:id="1044"/>
      <w:r w:rsidRPr="00C72046">
        <w:rPr>
          <w:rStyle w:val="TextoNormalCaracter"/>
        </w:rPr>
        <w:t xml:space="preserve">, Sentencias </w:t>
      </w:r>
      <w:hyperlink w:anchor="SENTENCIA_2025_95" w:history="1">
        <w:r w:rsidRPr="00C72046">
          <w:rPr>
            <w:rStyle w:val="TextoNormalCaracter"/>
          </w:rPr>
          <w:t>95/2025</w:t>
        </w:r>
      </w:hyperlink>
      <w:r w:rsidRPr="00C72046">
        <w:rPr>
          <w:rStyle w:val="TextoNormalCaracter"/>
        </w:rPr>
        <w:t xml:space="preserve">, f. 3; </w:t>
      </w:r>
      <w:hyperlink w:anchor="SENTENCIA_2025_133" w:history="1">
        <w:r w:rsidRPr="00C72046">
          <w:rPr>
            <w:rStyle w:val="TextoNormalCaracter"/>
          </w:rPr>
          <w:t>133/2025</w:t>
        </w:r>
      </w:hyperlink>
      <w:r w:rsidRPr="00C72046">
        <w:rPr>
          <w:rStyle w:val="TextoNormalCaracter"/>
        </w:rPr>
        <w:t>, ff. 1 a 4.</w:t>
      </w:r>
    </w:p>
    <w:p w14:paraId="0AF307B4" w14:textId="5E580837" w:rsidR="00C72046" w:rsidRPr="00C72046" w:rsidRDefault="00C72046" w:rsidP="00C72046">
      <w:pPr>
        <w:pStyle w:val="TextoNormalSangraFrancesa"/>
        <w:rPr>
          <w:rStyle w:val="TextoNormalCaracter"/>
        </w:rPr>
      </w:pPr>
      <w:bookmarkStart w:id="1045" w:name="DESCRIPTORALFABETICO273"/>
      <w:r w:rsidRPr="00C72046">
        <w:rPr>
          <w:rStyle w:val="TextoNormalNegritaCaracter"/>
        </w:rPr>
        <w:t>Mesa del Senado</w:t>
      </w:r>
      <w:bookmarkEnd w:id="1045"/>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 1.</w:t>
      </w:r>
    </w:p>
    <w:p w14:paraId="0F47DF99" w14:textId="4D22ED08" w:rsidR="00C72046" w:rsidRPr="00C72046" w:rsidRDefault="00C72046" w:rsidP="00C72046">
      <w:pPr>
        <w:pStyle w:val="TextoNormalSangraFrancesa"/>
        <w:rPr>
          <w:rStyle w:val="TextoNormalCaracter"/>
        </w:rPr>
      </w:pPr>
      <w:bookmarkStart w:id="1046" w:name="DESCRIPTORALFABETICO40"/>
      <w:r w:rsidRPr="00C72046">
        <w:rPr>
          <w:rStyle w:val="TextoNormalNegritaCaracter"/>
        </w:rPr>
        <w:t>Mesas electorales</w:t>
      </w:r>
      <w:bookmarkEnd w:id="1046"/>
      <w:r w:rsidRPr="00C72046">
        <w:rPr>
          <w:rStyle w:val="TextoNormalCaracter"/>
        </w:rPr>
        <w:t xml:space="preserve">, Sentencia </w:t>
      </w:r>
      <w:hyperlink w:anchor="SENTENCIA_2025_51" w:history="1">
        <w:r w:rsidRPr="00C72046">
          <w:rPr>
            <w:rStyle w:val="TextoNormalCaracter"/>
          </w:rPr>
          <w:t>51/2025</w:t>
        </w:r>
      </w:hyperlink>
      <w:r w:rsidRPr="00C72046">
        <w:rPr>
          <w:rStyle w:val="TextoNormalCaracter"/>
        </w:rPr>
        <w:t>, ff. 3 y 4.</w:t>
      </w:r>
    </w:p>
    <w:p w14:paraId="0EDD1AB6" w14:textId="5975F726" w:rsidR="00C72046" w:rsidRPr="00C72046" w:rsidRDefault="00C72046" w:rsidP="00C72046">
      <w:pPr>
        <w:pStyle w:val="TextoNormalSangraFrancesa"/>
        <w:rPr>
          <w:rStyle w:val="TextoNormalCaracter"/>
        </w:rPr>
      </w:pPr>
      <w:bookmarkStart w:id="1047" w:name="DESCRIPTORALFABETICO313"/>
      <w:r w:rsidRPr="00C72046">
        <w:rPr>
          <w:rStyle w:val="TextoNormalNegritaCaracter"/>
        </w:rPr>
        <w:t>Moción de censura en el ámbito local</w:t>
      </w:r>
      <w:bookmarkEnd w:id="1047"/>
      <w:r w:rsidRPr="00C72046">
        <w:rPr>
          <w:rStyle w:val="TextoNormalCaracter"/>
        </w:rPr>
        <w:t xml:space="preserve">, Sentencia </w:t>
      </w:r>
      <w:hyperlink w:anchor="SENTENCIA_2025_134" w:history="1">
        <w:r w:rsidRPr="00C72046">
          <w:rPr>
            <w:rStyle w:val="TextoNormalCaracter"/>
          </w:rPr>
          <w:t>134/2025</w:t>
        </w:r>
      </w:hyperlink>
      <w:r w:rsidRPr="00C72046">
        <w:rPr>
          <w:rStyle w:val="TextoNormalCaracter"/>
        </w:rPr>
        <w:t>, ff. 2 a 5.</w:t>
      </w:r>
    </w:p>
    <w:p w14:paraId="1412BB76" w14:textId="2C9284A3" w:rsidR="00C72046" w:rsidRPr="00C72046" w:rsidRDefault="00C72046" w:rsidP="00C72046">
      <w:pPr>
        <w:pStyle w:val="TextoNormalSangraFrancesa"/>
        <w:rPr>
          <w:rStyle w:val="TextoNormalCaracter"/>
        </w:rPr>
      </w:pPr>
      <w:bookmarkStart w:id="1048" w:name="DESCRIPTORALFABETICO201"/>
      <w:r w:rsidRPr="00C72046">
        <w:rPr>
          <w:rStyle w:val="TextoNormalNegritaCaracter"/>
        </w:rPr>
        <w:t>Momento procesal idóneo para la invocación</w:t>
      </w:r>
      <w:bookmarkEnd w:id="1048"/>
      <w:r w:rsidRPr="00C72046">
        <w:rPr>
          <w:rStyle w:val="TextoNormalCaracter"/>
        </w:rPr>
        <w:t xml:space="preserve">, Sentencias </w:t>
      </w:r>
      <w:hyperlink w:anchor="SENTENCIA_2025_31" w:history="1">
        <w:r w:rsidRPr="00C72046">
          <w:rPr>
            <w:rStyle w:val="TextoNormalCaracter"/>
          </w:rPr>
          <w:t>31/2025</w:t>
        </w:r>
      </w:hyperlink>
      <w:r w:rsidRPr="00C72046">
        <w:rPr>
          <w:rStyle w:val="TextoNormalCaracter"/>
        </w:rPr>
        <w:t xml:space="preserve">, f. 4; </w:t>
      </w:r>
      <w:hyperlink w:anchor="SENTENCIA_2025_105" w:history="1">
        <w:r w:rsidRPr="00C72046">
          <w:rPr>
            <w:rStyle w:val="TextoNormalCaracter"/>
          </w:rPr>
          <w:t>105/2025</w:t>
        </w:r>
      </w:hyperlink>
      <w:r w:rsidRPr="00C72046">
        <w:rPr>
          <w:rStyle w:val="TextoNormalCaracter"/>
        </w:rPr>
        <w:t>, f. 1.</w:t>
      </w:r>
    </w:p>
    <w:p w14:paraId="5522C420" w14:textId="4686B3C1" w:rsidR="00C72046" w:rsidRPr="00C72046" w:rsidRDefault="00C72046" w:rsidP="00C72046">
      <w:pPr>
        <w:pStyle w:val="TextoNormalSangraFrancesa"/>
        <w:rPr>
          <w:rStyle w:val="TextoNormalCaracter"/>
        </w:rPr>
      </w:pPr>
      <w:bookmarkStart w:id="1049" w:name="DESCRIPTORALFABETICO190"/>
      <w:r w:rsidRPr="00C72046">
        <w:rPr>
          <w:rStyle w:val="TextoNormalNegritaCaracter"/>
        </w:rPr>
        <w:t>Momento procesal para plantear la cuestión de inconstitucionalidad</w:t>
      </w:r>
      <w:bookmarkEnd w:id="1049"/>
      <w:r w:rsidRPr="00C72046">
        <w:rPr>
          <w:rStyle w:val="TextoNormalCaracter"/>
        </w:rPr>
        <w:t xml:space="preserve">, Auto </w:t>
      </w:r>
      <w:hyperlink w:anchor="AUTO_2025_20" w:history="1">
        <w:r w:rsidRPr="00C72046">
          <w:rPr>
            <w:rStyle w:val="TextoNormalCaracter"/>
          </w:rPr>
          <w:t>20/2025</w:t>
        </w:r>
      </w:hyperlink>
      <w:r w:rsidRPr="00C72046">
        <w:rPr>
          <w:rStyle w:val="TextoNormalCaracter"/>
        </w:rPr>
        <w:t>, f. 4.</w:t>
      </w:r>
    </w:p>
    <w:p w14:paraId="27BD08F2" w14:textId="127D42D7" w:rsidR="00C72046" w:rsidRPr="00C72046" w:rsidRDefault="00C72046" w:rsidP="00C72046">
      <w:pPr>
        <w:pStyle w:val="TextoNormalSangraFrancesa"/>
        <w:rPr>
          <w:rStyle w:val="TextoNormalCaracter"/>
        </w:rPr>
      </w:pPr>
      <w:bookmarkStart w:id="1050" w:name="DESCRIPTORALFABETICO375"/>
      <w:r w:rsidRPr="00C72046">
        <w:rPr>
          <w:rStyle w:val="TextoNormalNegritaCaracter"/>
        </w:rPr>
        <w:t>Motivación de la extraordinaria y urgente necesidad</w:t>
      </w:r>
      <w:bookmarkEnd w:id="1050"/>
      <w:r w:rsidRPr="00C72046">
        <w:rPr>
          <w:rStyle w:val="TextoNormalCaracter"/>
        </w:rPr>
        <w:t xml:space="preserve">, Sentencias </w:t>
      </w:r>
      <w:hyperlink w:anchor="SENTENCIA_2025_64" w:history="1">
        <w:r w:rsidRPr="00C72046">
          <w:rPr>
            <w:rStyle w:val="TextoNormalCaracter"/>
          </w:rPr>
          <w:t>64/2025</w:t>
        </w:r>
      </w:hyperlink>
      <w:r w:rsidRPr="00C72046">
        <w:rPr>
          <w:rStyle w:val="TextoNormalCaracter"/>
        </w:rPr>
        <w:t xml:space="preserve">, f. 3, VP; </w:t>
      </w:r>
      <w:hyperlink w:anchor="SENTENCIA_2025_118" w:history="1">
        <w:r w:rsidRPr="00C72046">
          <w:rPr>
            <w:rStyle w:val="TextoNormalCaracter"/>
          </w:rPr>
          <w:t>118/2025</w:t>
        </w:r>
      </w:hyperlink>
      <w:r w:rsidRPr="00C72046">
        <w:rPr>
          <w:rStyle w:val="TextoNormalCaracter"/>
        </w:rPr>
        <w:t>, ff. 4 y 5.</w:t>
      </w:r>
    </w:p>
    <w:p w14:paraId="26703070" w14:textId="77777777" w:rsidR="00C72046" w:rsidRPr="00C72046" w:rsidRDefault="00C72046" w:rsidP="00C72046">
      <w:pPr>
        <w:pStyle w:val="TextoNormalSangraFrancesa"/>
        <w:rPr>
          <w:rStyle w:val="TextoNormalCaracter"/>
        </w:rPr>
      </w:pPr>
      <w:bookmarkStart w:id="1051" w:name="DESCRIPTORALFABETICO86"/>
      <w:r w:rsidRPr="00C72046">
        <w:rPr>
          <w:rStyle w:val="TextoNormalNegritaCaracter"/>
        </w:rPr>
        <w:t>Motivación de las resoluciones judiciales</w:t>
      </w:r>
      <w:bookmarkEnd w:id="1051"/>
      <w:r w:rsidRPr="00C72046">
        <w:rPr>
          <w:rStyle w:val="TextoNormalCaracter"/>
        </w:rPr>
        <w:t xml:space="preserve">, </w:t>
      </w:r>
    </w:p>
    <w:p w14:paraId="24CA3757" w14:textId="2313D07C"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31" w:history="1">
        <w:r w:rsidRPr="00C72046">
          <w:rPr>
            <w:rStyle w:val="TextoNormalCaracter"/>
          </w:rPr>
          <w:t>31/2025</w:t>
        </w:r>
      </w:hyperlink>
      <w:r w:rsidRPr="00C72046">
        <w:rPr>
          <w:rStyle w:val="TextoNormalCaracter"/>
        </w:rPr>
        <w:t>, ff. 5 y 6.</w:t>
      </w:r>
    </w:p>
    <w:p w14:paraId="1D7D97C5" w14:textId="134624BC" w:rsidR="00C72046" w:rsidRPr="00C72046" w:rsidRDefault="00C72046" w:rsidP="00C72046">
      <w:pPr>
        <w:pStyle w:val="TextoNormalSangraFrancesa"/>
        <w:rPr>
          <w:rStyle w:val="TextoNormalCaracter"/>
        </w:rPr>
      </w:pPr>
      <w:bookmarkStart w:id="1052" w:name="DESCRIPTORALFABETICO189"/>
      <w:r w:rsidRPr="00C72046">
        <w:rPr>
          <w:rStyle w:val="TextoNormalNegritaCaracter"/>
        </w:rPr>
        <w:t>Motivación del Auto de planteamiento de cuestión de inconstitucionalidad</w:t>
      </w:r>
      <w:bookmarkEnd w:id="1052"/>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2.</w:t>
      </w:r>
    </w:p>
    <w:p w14:paraId="1252FC19" w14:textId="0E0B5BBF" w:rsidR="00C72046" w:rsidRPr="00C72046" w:rsidRDefault="00C72046" w:rsidP="00C72046">
      <w:pPr>
        <w:pStyle w:val="TextoNormalSangraFrancesa"/>
        <w:rPr>
          <w:rStyle w:val="TextoNormalCaracter"/>
        </w:rPr>
      </w:pPr>
      <w:bookmarkStart w:id="1053" w:name="DESCRIPTORALFABETICO90"/>
      <w:r w:rsidRPr="00C72046">
        <w:rPr>
          <w:rStyle w:val="TextoNormalNegritaCaracter"/>
        </w:rPr>
        <w:t>Motivación insuficiente de resoluciones judiciales</w:t>
      </w:r>
      <w:bookmarkEnd w:id="1053"/>
      <w:r w:rsidRPr="00C72046">
        <w:rPr>
          <w:rStyle w:val="TextoNormalCaracter"/>
        </w:rPr>
        <w:t xml:space="preserve">, Sentencia </w:t>
      </w:r>
      <w:hyperlink w:anchor="SENTENCIA_2025_16" w:history="1">
        <w:r w:rsidRPr="00C72046">
          <w:rPr>
            <w:rStyle w:val="TextoNormalCaracter"/>
          </w:rPr>
          <w:t>16/2025</w:t>
        </w:r>
      </w:hyperlink>
      <w:r w:rsidRPr="00C72046">
        <w:rPr>
          <w:rStyle w:val="TextoNormalCaracter"/>
        </w:rPr>
        <w:t>, ff. 2 y 3.</w:t>
      </w:r>
    </w:p>
    <w:p w14:paraId="525BF23D" w14:textId="166A97EC" w:rsidR="00C72046" w:rsidRDefault="00C72046" w:rsidP="00C72046">
      <w:pPr>
        <w:pStyle w:val="TextoNormalSangraFrancesa"/>
      </w:pPr>
    </w:p>
    <w:p w14:paraId="699E6B25" w14:textId="77777777" w:rsidR="00C72046" w:rsidRDefault="00C72046" w:rsidP="00C72046">
      <w:pPr>
        <w:pStyle w:val="TextoNormalSangraFrancesa"/>
      </w:pPr>
    </w:p>
    <w:p w14:paraId="03B03BB0" w14:textId="77777777" w:rsidR="00C72046" w:rsidRDefault="00C72046" w:rsidP="00C72046">
      <w:pPr>
        <w:pStyle w:val="TextoNormalNegritaCentrado"/>
      </w:pPr>
      <w:r>
        <w:t>N</w:t>
      </w:r>
    </w:p>
    <w:p w14:paraId="258251A0" w14:textId="13822ACA" w:rsidR="00C72046" w:rsidRDefault="00C72046" w:rsidP="00C72046">
      <w:pPr>
        <w:pStyle w:val="TextoNormalNegritaCentrado"/>
      </w:pPr>
    </w:p>
    <w:p w14:paraId="660BC96D" w14:textId="4FE95EDB" w:rsidR="00C72046" w:rsidRPr="00C72046" w:rsidRDefault="00C72046" w:rsidP="00C72046">
      <w:pPr>
        <w:pStyle w:val="TextoNormalSangraFrancesa"/>
        <w:rPr>
          <w:rStyle w:val="TextoNormalCaracter"/>
        </w:rPr>
      </w:pPr>
      <w:bookmarkStart w:id="1054" w:name="DESCRIPTORALFABETICO287"/>
      <w:r w:rsidRPr="00C72046">
        <w:rPr>
          <w:rStyle w:val="TextoNormalNegritaCaracter"/>
        </w:rPr>
        <w:t>Naturaleza de los Reglamentos parlamentarios autonómicos</w:t>
      </w:r>
      <w:bookmarkEnd w:id="1054"/>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 2.</w:t>
      </w:r>
    </w:p>
    <w:p w14:paraId="6EF12FEA" w14:textId="36F9C8DB" w:rsidR="00C72046" w:rsidRPr="00C72046" w:rsidRDefault="00C72046" w:rsidP="00C72046">
      <w:pPr>
        <w:pStyle w:val="TextoNormalSangraFrancesa"/>
        <w:rPr>
          <w:rStyle w:val="TextoNormalCaracter"/>
        </w:rPr>
      </w:pPr>
      <w:bookmarkStart w:id="1055" w:name="DESCRIPTORALFABETICO378"/>
      <w:r w:rsidRPr="00C72046">
        <w:rPr>
          <w:rStyle w:val="TextoNormalNegritaCaracter"/>
        </w:rPr>
        <w:t>Normas básicas en forma de reglamento</w:t>
      </w:r>
      <w:bookmarkEnd w:id="1055"/>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ff. 3 a 8.</w:t>
      </w:r>
    </w:p>
    <w:p w14:paraId="13088412" w14:textId="5CCF6235" w:rsidR="00C72046" w:rsidRPr="00C72046" w:rsidRDefault="00C72046" w:rsidP="00C72046">
      <w:pPr>
        <w:pStyle w:val="TextoNormalSangraFrancesa"/>
        <w:rPr>
          <w:rStyle w:val="TextoNormalCaracter"/>
        </w:rPr>
      </w:pPr>
      <w:bookmarkStart w:id="1056" w:name="DESCRIPTORALFABETICO380"/>
      <w:r w:rsidRPr="00C72046">
        <w:rPr>
          <w:rStyle w:val="TextoNormalNegritaCaracter"/>
        </w:rPr>
        <w:t>Normas procesales autonómicas</w:t>
      </w:r>
      <w:bookmarkEnd w:id="1056"/>
      <w:r w:rsidRPr="00C72046">
        <w:rPr>
          <w:rStyle w:val="TextoNormalCaracter"/>
        </w:rPr>
        <w:t xml:space="preserve">, Sentencia </w:t>
      </w:r>
      <w:hyperlink w:anchor="SENTENCIA_2025_96" w:history="1">
        <w:r w:rsidRPr="00C72046">
          <w:rPr>
            <w:rStyle w:val="TextoNormalCaracter"/>
          </w:rPr>
          <w:t>96/2025</w:t>
        </w:r>
      </w:hyperlink>
      <w:r w:rsidRPr="00C72046">
        <w:rPr>
          <w:rStyle w:val="TextoNormalCaracter"/>
        </w:rPr>
        <w:t>, f. 3.</w:t>
      </w:r>
    </w:p>
    <w:p w14:paraId="2C4986A6" w14:textId="508D00D1" w:rsidR="00C72046" w:rsidRPr="00C72046" w:rsidRDefault="00C72046" w:rsidP="00C72046">
      <w:pPr>
        <w:pStyle w:val="TextoNormalSangraFrancesa"/>
        <w:rPr>
          <w:rStyle w:val="TextoNormalCaracter"/>
        </w:rPr>
      </w:pPr>
      <w:bookmarkStart w:id="1057" w:name="DESCRIPTORALFABETICO433"/>
      <w:r w:rsidRPr="00C72046">
        <w:rPr>
          <w:rStyle w:val="TextoNormalNegritaCaracter"/>
        </w:rPr>
        <w:t>Notificación al litigante rebelde</w:t>
      </w:r>
      <w:bookmarkEnd w:id="1057"/>
      <w:r w:rsidRPr="00C72046">
        <w:rPr>
          <w:rStyle w:val="TextoNormalCaracter"/>
        </w:rPr>
        <w:t xml:space="preserve">, Sentencia </w:t>
      </w:r>
      <w:hyperlink w:anchor="SENTENCIA_2025_99" w:history="1">
        <w:r w:rsidRPr="00C72046">
          <w:rPr>
            <w:rStyle w:val="TextoNormalCaracter"/>
          </w:rPr>
          <w:t>99/2025</w:t>
        </w:r>
      </w:hyperlink>
      <w:r w:rsidRPr="00C72046">
        <w:rPr>
          <w:rStyle w:val="TextoNormalCaracter"/>
        </w:rPr>
        <w:t>, ff. 2 y 3.</w:t>
      </w:r>
    </w:p>
    <w:p w14:paraId="31510416" w14:textId="48CA8C37" w:rsidR="00C72046" w:rsidRPr="00C72046" w:rsidRDefault="00C72046" w:rsidP="00C72046">
      <w:pPr>
        <w:pStyle w:val="TextoNormalSangraFrancesa"/>
        <w:rPr>
          <w:rStyle w:val="TextoNormalCaracter"/>
        </w:rPr>
      </w:pPr>
      <w:bookmarkStart w:id="1058" w:name="DESCRIPTORALFABETICO434"/>
      <w:r w:rsidRPr="00C72046">
        <w:rPr>
          <w:rStyle w:val="TextoNormalNegritaCaracter"/>
        </w:rPr>
        <w:t>Notificación en domicilio extranjero</w:t>
      </w:r>
      <w:bookmarkEnd w:id="1058"/>
      <w:r w:rsidRPr="00C72046">
        <w:rPr>
          <w:rStyle w:val="TextoNormalCaracter"/>
        </w:rPr>
        <w:t xml:space="preserve">, Sentencia </w:t>
      </w:r>
      <w:hyperlink w:anchor="SENTENCIA_2025_99" w:history="1">
        <w:r w:rsidRPr="00C72046">
          <w:rPr>
            <w:rStyle w:val="TextoNormalCaracter"/>
          </w:rPr>
          <w:t>99/2025</w:t>
        </w:r>
      </w:hyperlink>
      <w:r w:rsidRPr="00C72046">
        <w:rPr>
          <w:rStyle w:val="TextoNormalCaracter"/>
        </w:rPr>
        <w:t>, ff. 2 y 3.</w:t>
      </w:r>
    </w:p>
    <w:p w14:paraId="28ED8055" w14:textId="59920A60" w:rsidR="00C72046" w:rsidRPr="00C72046" w:rsidRDefault="00C72046" w:rsidP="00C72046">
      <w:pPr>
        <w:pStyle w:val="TextoNormalSangraFrancesa"/>
        <w:rPr>
          <w:rStyle w:val="TextoNormalCaracter"/>
        </w:rPr>
      </w:pPr>
      <w:bookmarkStart w:id="1059" w:name="DESCRIPTORALFABETICO270"/>
      <w:r w:rsidRPr="00C72046">
        <w:rPr>
          <w:rStyle w:val="TextoNormalNegritaCaracter"/>
        </w:rPr>
        <w:t>Nulidad de acuerdos de las mesas parlamentarias</w:t>
      </w:r>
      <w:bookmarkEnd w:id="1059"/>
      <w:r w:rsidRPr="00C72046">
        <w:rPr>
          <w:rStyle w:val="TextoNormalCaracter"/>
        </w:rPr>
        <w:t xml:space="preserve">, Sentencias </w:t>
      </w:r>
      <w:hyperlink w:anchor="SENTENCIA_2025_83" w:history="1">
        <w:r w:rsidRPr="00C72046">
          <w:rPr>
            <w:rStyle w:val="TextoNormalCaracter"/>
          </w:rPr>
          <w:t>83/2025</w:t>
        </w:r>
      </w:hyperlink>
      <w:r w:rsidRPr="00C72046">
        <w:rPr>
          <w:rStyle w:val="TextoNormalCaracter"/>
        </w:rPr>
        <w:t xml:space="preserve">, ff. 2 a 3; </w:t>
      </w:r>
      <w:hyperlink w:anchor="SENTENCIA_2025_136" w:history="1">
        <w:r w:rsidRPr="00C72046">
          <w:rPr>
            <w:rStyle w:val="TextoNormalCaracter"/>
          </w:rPr>
          <w:t>136/2025</w:t>
        </w:r>
      </w:hyperlink>
      <w:r w:rsidRPr="00C72046">
        <w:rPr>
          <w:rStyle w:val="TextoNormalCaracter"/>
        </w:rPr>
        <w:t>, ff. 2 y 3.</w:t>
      </w:r>
    </w:p>
    <w:p w14:paraId="4831E77A" w14:textId="634A9199" w:rsidR="00C72046" w:rsidRPr="00C72046" w:rsidRDefault="00C72046" w:rsidP="00C72046">
      <w:pPr>
        <w:pStyle w:val="TextoNormalSangraFrancesa"/>
        <w:rPr>
          <w:rStyle w:val="TextoNormalCaracter"/>
        </w:rPr>
      </w:pPr>
      <w:bookmarkStart w:id="1060" w:name="DESCRIPTORALFABETICO194"/>
      <w:r w:rsidRPr="00C72046">
        <w:rPr>
          <w:rStyle w:val="TextoNormalNegritaCaracter"/>
        </w:rPr>
        <w:t>Nulidad de leyes autonómicas</w:t>
      </w:r>
      <w:bookmarkEnd w:id="1060"/>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4.</w:t>
      </w:r>
    </w:p>
    <w:p w14:paraId="192C2DBA" w14:textId="42E0E159" w:rsidR="00C72046" w:rsidRDefault="00C72046" w:rsidP="00C72046">
      <w:pPr>
        <w:pStyle w:val="TextoNormalSangraFrancesa"/>
      </w:pPr>
    </w:p>
    <w:p w14:paraId="7CA320B9" w14:textId="77777777" w:rsidR="00C72046" w:rsidRDefault="00C72046" w:rsidP="00C72046">
      <w:pPr>
        <w:pStyle w:val="TextoNormalSangraFrancesa"/>
      </w:pPr>
    </w:p>
    <w:p w14:paraId="7FCFBBEC" w14:textId="77777777" w:rsidR="00C72046" w:rsidRDefault="00C72046" w:rsidP="00C72046">
      <w:pPr>
        <w:pStyle w:val="TextoNormalNegritaCentrado"/>
      </w:pPr>
      <w:r>
        <w:t>O</w:t>
      </w:r>
    </w:p>
    <w:p w14:paraId="48C0CE59" w14:textId="27B903B3" w:rsidR="00C72046" w:rsidRDefault="00C72046" w:rsidP="00C72046">
      <w:pPr>
        <w:pStyle w:val="TextoNormalNegritaCentrado"/>
      </w:pPr>
    </w:p>
    <w:p w14:paraId="29FFF88E" w14:textId="1ABDE4DA" w:rsidR="00C72046" w:rsidRPr="00C72046" w:rsidRDefault="00C72046" w:rsidP="00C72046">
      <w:pPr>
        <w:pStyle w:val="TextoNormalSangraFrancesa"/>
        <w:rPr>
          <w:rStyle w:val="TextoNormalCaracter"/>
        </w:rPr>
      </w:pPr>
      <w:bookmarkStart w:id="1061" w:name="DESCRIPTORALFABETICO178"/>
      <w:r w:rsidRPr="00C72046">
        <w:rPr>
          <w:rStyle w:val="TextoNormalNegritaCaracter"/>
        </w:rPr>
        <w:t>Objeto del conflicto entre órganos constitucionales</w:t>
      </w:r>
      <w:bookmarkEnd w:id="1061"/>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 2.</w:t>
      </w:r>
    </w:p>
    <w:p w14:paraId="57A605C7" w14:textId="7592B0D7" w:rsidR="00C72046" w:rsidRPr="00C72046" w:rsidRDefault="00C72046" w:rsidP="00C72046">
      <w:pPr>
        <w:pStyle w:val="TextoNormalSangraFrancesa"/>
        <w:rPr>
          <w:rStyle w:val="TextoNormalCaracter"/>
        </w:rPr>
      </w:pPr>
      <w:bookmarkStart w:id="1062" w:name="DESCRIPTORALFABETICO52"/>
      <w:r w:rsidRPr="00C72046">
        <w:rPr>
          <w:rStyle w:val="TextoNormalNegritaCaracter"/>
        </w:rPr>
        <w:t>Obras literarias</w:t>
      </w:r>
      <w:bookmarkEnd w:id="1062"/>
      <w:r w:rsidRPr="00C72046">
        <w:rPr>
          <w:rStyle w:val="TextoNormalCaracter"/>
        </w:rPr>
        <w:t xml:space="preserve">, Sentencia </w:t>
      </w:r>
      <w:hyperlink w:anchor="SENTENCIA_2025_1" w:history="1">
        <w:r w:rsidRPr="00C72046">
          <w:rPr>
            <w:rStyle w:val="TextoNormalCaracter"/>
          </w:rPr>
          <w:t>1/2025</w:t>
        </w:r>
      </w:hyperlink>
      <w:r w:rsidRPr="00C72046">
        <w:rPr>
          <w:rStyle w:val="TextoNormalCaracter"/>
        </w:rPr>
        <w:t>, ff. 3 y 5.</w:t>
      </w:r>
    </w:p>
    <w:p w14:paraId="2C3DA2A0" w14:textId="2BC985A4" w:rsidR="00C72046" w:rsidRPr="00C72046" w:rsidRDefault="00C72046" w:rsidP="00C72046">
      <w:pPr>
        <w:pStyle w:val="TextoNormalSangraFrancesa"/>
        <w:rPr>
          <w:rStyle w:val="TextoNormalCaracter"/>
        </w:rPr>
      </w:pPr>
      <w:bookmarkStart w:id="1063" w:name="DESCRIPTORALFABETICO237"/>
      <w:r w:rsidRPr="00C72046">
        <w:rPr>
          <w:rStyle w:val="TextoNormalNegritaCaracter"/>
        </w:rPr>
        <w:t>Oficina judicial</w:t>
      </w:r>
      <w:bookmarkEnd w:id="1063"/>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 4; </w:t>
      </w:r>
      <w:hyperlink w:anchor="SENTENCIA_2025_13" w:history="1">
        <w:r w:rsidRPr="00C72046">
          <w:rPr>
            <w:rStyle w:val="TextoNormalCaracter"/>
          </w:rPr>
          <w:t>13/2025</w:t>
        </w:r>
      </w:hyperlink>
      <w:r w:rsidRPr="00C72046">
        <w:rPr>
          <w:rStyle w:val="TextoNormalCaracter"/>
        </w:rPr>
        <w:t>, ff. 3 y 4.</w:t>
      </w:r>
    </w:p>
    <w:p w14:paraId="67090E4A" w14:textId="2506D55D" w:rsidR="00C72046" w:rsidRPr="00C72046" w:rsidRDefault="00C72046" w:rsidP="00C72046">
      <w:pPr>
        <w:pStyle w:val="TextoNormalSangraFrancesa"/>
        <w:rPr>
          <w:rStyle w:val="TextoNormalCaracter"/>
        </w:rPr>
      </w:pPr>
      <w:bookmarkStart w:id="1064" w:name="DESCRIPTORALFABETICO465"/>
      <w:r w:rsidRPr="00C72046">
        <w:rPr>
          <w:rStyle w:val="TextoNormalNegritaCaracter"/>
        </w:rPr>
        <w:t>Omisión de pronunciamiento sobre el fondo del asunto</w:t>
      </w:r>
      <w:bookmarkEnd w:id="1064"/>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ff. 2 y 3.</w:t>
      </w:r>
    </w:p>
    <w:p w14:paraId="3B29EB01" w14:textId="52BB8038" w:rsidR="00C72046" w:rsidRPr="00C72046" w:rsidRDefault="00C72046" w:rsidP="00C72046">
      <w:pPr>
        <w:pStyle w:val="TextoNormalSangraFrancesa"/>
        <w:rPr>
          <w:rStyle w:val="TextoNormalCaracter"/>
        </w:rPr>
      </w:pPr>
      <w:bookmarkStart w:id="1065" w:name="DESCRIPTORALFABETICO446"/>
      <w:r w:rsidRPr="00C72046">
        <w:rPr>
          <w:rStyle w:val="TextoNormalNegritaCaracter"/>
        </w:rPr>
        <w:t>Omisión de trámite de audiencia</w:t>
      </w:r>
      <w:bookmarkEnd w:id="1065"/>
      <w:r w:rsidRPr="00C72046">
        <w:rPr>
          <w:rStyle w:val="TextoNormalCaracter"/>
        </w:rPr>
        <w:t xml:space="preserve">, Sentencia </w:t>
      </w:r>
      <w:hyperlink w:anchor="SENTENCIA_2025_86" w:history="1">
        <w:r w:rsidRPr="00C72046">
          <w:rPr>
            <w:rStyle w:val="TextoNormalCaracter"/>
          </w:rPr>
          <w:t>86/2025</w:t>
        </w:r>
      </w:hyperlink>
      <w:r w:rsidRPr="00C72046">
        <w:rPr>
          <w:rStyle w:val="TextoNormalCaracter"/>
        </w:rPr>
        <w:t>, ff. 2 y 3.</w:t>
      </w:r>
    </w:p>
    <w:p w14:paraId="60B430AB" w14:textId="0FB515C8" w:rsidR="00C72046" w:rsidRPr="00C72046" w:rsidRDefault="00C72046" w:rsidP="00C72046">
      <w:pPr>
        <w:pStyle w:val="TextoNormalSangraFrancesa"/>
        <w:rPr>
          <w:rStyle w:val="TextoNormalCaracter"/>
        </w:rPr>
      </w:pPr>
      <w:bookmarkStart w:id="1066" w:name="DESCRIPTORALFABETICO99"/>
      <w:r w:rsidRPr="00C72046">
        <w:rPr>
          <w:rStyle w:val="TextoNormalNegritaCaracter"/>
        </w:rPr>
        <w:t>Opiniones políticas</w:t>
      </w:r>
      <w:bookmarkEnd w:id="1066"/>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ff. 3 a 5.</w:t>
      </w:r>
    </w:p>
    <w:p w14:paraId="4F867003" w14:textId="0ECBC1C0" w:rsidR="00C72046" w:rsidRPr="00C72046" w:rsidRDefault="00C72046" w:rsidP="00C72046">
      <w:pPr>
        <w:pStyle w:val="TextoNormalSangraFrancesa"/>
        <w:rPr>
          <w:rStyle w:val="TextoNormalCaracter"/>
        </w:rPr>
      </w:pPr>
      <w:bookmarkStart w:id="1067" w:name="DESCRIPTORALFABETICO469"/>
      <w:r w:rsidRPr="00C72046">
        <w:rPr>
          <w:rStyle w:val="TextoNormalNegritaCaracter"/>
        </w:rPr>
        <w:t>Oposición a la ejecución hipotecaria</w:t>
      </w:r>
      <w:bookmarkEnd w:id="1067"/>
      <w:r w:rsidRPr="00C72046">
        <w:rPr>
          <w:rStyle w:val="TextoNormalCaracter"/>
        </w:rPr>
        <w:t xml:space="preserve">, Sentencia </w:t>
      </w:r>
      <w:hyperlink w:anchor="SENTENCIA_2025_45" w:history="1">
        <w:r w:rsidRPr="00C72046">
          <w:rPr>
            <w:rStyle w:val="TextoNormalCaracter"/>
          </w:rPr>
          <w:t>45/2025</w:t>
        </w:r>
      </w:hyperlink>
      <w:r w:rsidRPr="00C72046">
        <w:rPr>
          <w:rStyle w:val="TextoNormalCaracter"/>
        </w:rPr>
        <w:t>, f. 3.</w:t>
      </w:r>
    </w:p>
    <w:p w14:paraId="6C0DDF9A" w14:textId="69858540" w:rsidR="00C72046" w:rsidRPr="00C72046" w:rsidRDefault="00C72046" w:rsidP="00C72046">
      <w:pPr>
        <w:pStyle w:val="TextoNormalSangraFrancesa"/>
        <w:rPr>
          <w:rStyle w:val="TextoNormalCaracter"/>
        </w:rPr>
      </w:pPr>
      <w:bookmarkStart w:id="1068" w:name="DESCRIPTORALFABETICO1"/>
      <w:r w:rsidRPr="00C72046">
        <w:rPr>
          <w:rStyle w:val="TextoNormalNegritaCaracter"/>
        </w:rPr>
        <w:t>Orden constitucional de competencias</w:t>
      </w:r>
      <w:bookmarkEnd w:id="1068"/>
      <w:r w:rsidRPr="00C72046">
        <w:rPr>
          <w:rStyle w:val="TextoNormalCaracter"/>
        </w:rPr>
        <w:t xml:space="preserve">, Sentencia </w:t>
      </w:r>
      <w:hyperlink w:anchor="SENTENCIA_2025_43" w:history="1">
        <w:r w:rsidRPr="00C72046">
          <w:rPr>
            <w:rStyle w:val="TextoNormalCaracter"/>
          </w:rPr>
          <w:t>43/2025</w:t>
        </w:r>
      </w:hyperlink>
      <w:r w:rsidRPr="00C72046">
        <w:rPr>
          <w:rStyle w:val="TextoNormalCaracter"/>
        </w:rPr>
        <w:t>, ff. 3 y 4.</w:t>
      </w:r>
    </w:p>
    <w:p w14:paraId="2BA22991" w14:textId="17E33C0C" w:rsidR="00C72046" w:rsidRPr="00C72046" w:rsidRDefault="00C72046" w:rsidP="00C72046">
      <w:pPr>
        <w:pStyle w:val="TextoNormalSangraFrancesa"/>
        <w:rPr>
          <w:rStyle w:val="TextoNormalCaracter"/>
        </w:rPr>
      </w:pPr>
      <w:bookmarkStart w:id="1069" w:name="DESCRIPTORALFABETICO358"/>
      <w:r w:rsidRPr="00C72046">
        <w:rPr>
          <w:rStyle w:val="TextoNormalNegritaCaracter"/>
        </w:rPr>
        <w:t>Ordenación del territorio</w:t>
      </w:r>
      <w:bookmarkEnd w:id="1069"/>
      <w:r w:rsidRPr="00C72046">
        <w:rPr>
          <w:rStyle w:val="TextoNormalCaracter"/>
        </w:rPr>
        <w:t xml:space="preserve">, Sentencia </w:t>
      </w:r>
      <w:hyperlink w:anchor="SENTENCIA_2025_64" w:history="1">
        <w:r w:rsidRPr="00C72046">
          <w:rPr>
            <w:rStyle w:val="TextoNormalCaracter"/>
          </w:rPr>
          <w:t>64/2025</w:t>
        </w:r>
      </w:hyperlink>
      <w:r w:rsidRPr="00C72046">
        <w:rPr>
          <w:rStyle w:val="TextoNormalCaracter"/>
        </w:rPr>
        <w:t>, f. 6.</w:t>
      </w:r>
    </w:p>
    <w:p w14:paraId="742E0289" w14:textId="63075704" w:rsidR="00C72046" w:rsidRDefault="00C72046" w:rsidP="00C72046">
      <w:pPr>
        <w:pStyle w:val="TextoNormalSangraFrancesa"/>
      </w:pPr>
    </w:p>
    <w:p w14:paraId="624E3C64" w14:textId="77777777" w:rsidR="00C72046" w:rsidRDefault="00C72046" w:rsidP="00C72046">
      <w:pPr>
        <w:pStyle w:val="TextoNormalSangraFrancesa"/>
      </w:pPr>
    </w:p>
    <w:p w14:paraId="53D99FE6" w14:textId="77777777" w:rsidR="00C72046" w:rsidRDefault="00C72046" w:rsidP="00C72046">
      <w:pPr>
        <w:pStyle w:val="TextoNormalNegritaCentrado"/>
      </w:pPr>
      <w:r>
        <w:t>P</w:t>
      </w:r>
    </w:p>
    <w:p w14:paraId="64276F82" w14:textId="57EDAB83" w:rsidR="00C72046" w:rsidRDefault="00C72046" w:rsidP="00C72046">
      <w:pPr>
        <w:pStyle w:val="TextoNormalNegritaCentrado"/>
      </w:pPr>
    </w:p>
    <w:p w14:paraId="259D4844" w14:textId="3D2CBB22" w:rsidR="00C72046" w:rsidRPr="00C72046" w:rsidRDefault="00C72046" w:rsidP="00C72046">
      <w:pPr>
        <w:pStyle w:val="TextoNormalSangraFrancesa"/>
        <w:rPr>
          <w:rStyle w:val="TextoNormalCaracter"/>
        </w:rPr>
      </w:pPr>
      <w:bookmarkStart w:id="1070" w:name="DESCRIPTORALFABETICO356"/>
      <w:r w:rsidRPr="00C72046">
        <w:rPr>
          <w:rStyle w:val="TextoNormalNegritaCaracter"/>
        </w:rPr>
        <w:t>Páginas web</w:t>
      </w:r>
      <w:bookmarkEnd w:id="1070"/>
      <w:r w:rsidRPr="00C72046">
        <w:rPr>
          <w:rStyle w:val="TextoNormalCaracter"/>
        </w:rPr>
        <w:t xml:space="preserve">, Sentencia </w:t>
      </w:r>
      <w:hyperlink w:anchor="SENTENCIA_2025_117" w:history="1">
        <w:r w:rsidRPr="00C72046">
          <w:rPr>
            <w:rStyle w:val="TextoNormalCaracter"/>
          </w:rPr>
          <w:t>117/2025</w:t>
        </w:r>
      </w:hyperlink>
      <w:r w:rsidRPr="00C72046">
        <w:rPr>
          <w:rStyle w:val="TextoNormalCaracter"/>
        </w:rPr>
        <w:t>.</w:t>
      </w:r>
    </w:p>
    <w:p w14:paraId="0F49EFF9" w14:textId="24AB0B44" w:rsidR="00C72046" w:rsidRPr="00C72046" w:rsidRDefault="00C72046" w:rsidP="00C72046">
      <w:pPr>
        <w:pStyle w:val="TextoNormalSangraFrancesa"/>
        <w:rPr>
          <w:rStyle w:val="TextoNormalCaracter"/>
        </w:rPr>
      </w:pPr>
      <w:bookmarkStart w:id="1071" w:name="DESCRIPTORALFABETICO491"/>
      <w:r w:rsidRPr="00C72046">
        <w:rPr>
          <w:rStyle w:val="TextoNormalNegritaCaracter"/>
        </w:rPr>
        <w:t>País Vasco</w:t>
      </w:r>
      <w:bookmarkEnd w:id="1071"/>
      <w:r w:rsidRPr="00C72046">
        <w:rPr>
          <w:rStyle w:val="TextoNormalCaracter"/>
        </w:rPr>
        <w:t xml:space="preserve">, Sentencias </w:t>
      </w:r>
      <w:hyperlink w:anchor="SENTENCIA_2025_97" w:history="1">
        <w:r w:rsidRPr="00C72046">
          <w:rPr>
            <w:rStyle w:val="TextoNormalCaracter"/>
          </w:rPr>
          <w:t>97/2025</w:t>
        </w:r>
      </w:hyperlink>
      <w:r w:rsidRPr="00C72046">
        <w:rPr>
          <w:rStyle w:val="TextoNormalCaracter"/>
        </w:rPr>
        <w:t xml:space="preserve">, f. 2; </w:t>
      </w:r>
      <w:hyperlink w:anchor="SENTENCIA_2025_98" w:history="1">
        <w:r w:rsidRPr="00C72046">
          <w:rPr>
            <w:rStyle w:val="TextoNormalCaracter"/>
          </w:rPr>
          <w:t>98/2025</w:t>
        </w:r>
      </w:hyperlink>
      <w:r w:rsidRPr="00C72046">
        <w:rPr>
          <w:rStyle w:val="TextoNormalCaracter"/>
        </w:rPr>
        <w:t xml:space="preserve">, f. 1; </w:t>
      </w:r>
      <w:hyperlink w:anchor="SENTENCIA_2025_133" w:history="1">
        <w:r w:rsidRPr="00C72046">
          <w:rPr>
            <w:rStyle w:val="TextoNormalCaracter"/>
          </w:rPr>
          <w:t>133/2025</w:t>
        </w:r>
      </w:hyperlink>
      <w:r w:rsidRPr="00C72046">
        <w:rPr>
          <w:rStyle w:val="TextoNormalCaracter"/>
        </w:rPr>
        <w:t>, ff. 1 a 4.</w:t>
      </w:r>
    </w:p>
    <w:p w14:paraId="23A4E5A3" w14:textId="559D5DB0" w:rsidR="00C72046" w:rsidRPr="00C72046" w:rsidRDefault="00C72046" w:rsidP="00C72046">
      <w:pPr>
        <w:pStyle w:val="TextoNormalSangraFrancesa"/>
        <w:rPr>
          <w:rStyle w:val="TextoNormalCaracter"/>
        </w:rPr>
      </w:pPr>
      <w:bookmarkStart w:id="1072" w:name="DESCRIPTORALFABETICO278"/>
      <w:r w:rsidRPr="00C72046">
        <w:rPr>
          <w:rStyle w:val="TextoNormalNegritaCaracter"/>
        </w:rPr>
        <w:t>Parlamentarios autonómicos no adscritos</w:t>
      </w:r>
      <w:bookmarkEnd w:id="1072"/>
      <w:r w:rsidRPr="00C72046">
        <w:rPr>
          <w:rStyle w:val="TextoNormalCaracter"/>
        </w:rPr>
        <w:t xml:space="preserve">, Sentencias </w:t>
      </w:r>
      <w:hyperlink w:anchor="SENTENCIA_2025_14" w:history="1">
        <w:r w:rsidRPr="00C72046">
          <w:rPr>
            <w:rStyle w:val="TextoNormalCaracter"/>
          </w:rPr>
          <w:t>14/2025</w:t>
        </w:r>
      </w:hyperlink>
      <w:r w:rsidRPr="00C72046">
        <w:rPr>
          <w:rStyle w:val="TextoNormalCaracter"/>
        </w:rPr>
        <w:t xml:space="preserve">, ff. 4, 5, VP; </w:t>
      </w:r>
      <w:hyperlink w:anchor="SENTENCIA_2025_15" w:history="1">
        <w:r w:rsidRPr="00C72046">
          <w:rPr>
            <w:rStyle w:val="TextoNormalCaracter"/>
          </w:rPr>
          <w:t>15/2025</w:t>
        </w:r>
      </w:hyperlink>
      <w:r w:rsidRPr="00C72046">
        <w:rPr>
          <w:rStyle w:val="TextoNormalCaracter"/>
        </w:rPr>
        <w:t>, ff. 3 y 4.</w:t>
      </w:r>
    </w:p>
    <w:p w14:paraId="0DD2A9AE" w14:textId="29688A40" w:rsidR="00C72046" w:rsidRPr="00C72046" w:rsidRDefault="00C72046" w:rsidP="00C72046">
      <w:pPr>
        <w:pStyle w:val="TextoNormalSangraFrancesa"/>
        <w:rPr>
          <w:rStyle w:val="TextoNormalCaracter"/>
        </w:rPr>
      </w:pPr>
      <w:bookmarkStart w:id="1073" w:name="DESCRIPTORALFABETICO279"/>
      <w:r w:rsidRPr="00C72046">
        <w:rPr>
          <w:rStyle w:val="TextoNormalNegritaCaracter"/>
        </w:rPr>
        <w:t>Parlamento de Andalucía</w:t>
      </w:r>
      <w:bookmarkEnd w:id="1073"/>
      <w:r w:rsidRPr="00C72046">
        <w:rPr>
          <w:rStyle w:val="TextoNormalCaracter"/>
        </w:rPr>
        <w:t xml:space="preserve">, Sentencias </w:t>
      </w:r>
      <w:hyperlink w:anchor="SENTENCIA_2025_52" w:history="1">
        <w:r w:rsidRPr="00C72046">
          <w:rPr>
            <w:rStyle w:val="TextoNormalCaracter"/>
          </w:rPr>
          <w:t>52/2025</w:t>
        </w:r>
      </w:hyperlink>
      <w:r w:rsidRPr="00C72046">
        <w:rPr>
          <w:rStyle w:val="TextoNormalCaracter"/>
        </w:rPr>
        <w:t xml:space="preserve">, f. único; </w:t>
      </w:r>
      <w:hyperlink w:anchor="SENTENCIA_2025_53" w:history="1">
        <w:r w:rsidRPr="00C72046">
          <w:rPr>
            <w:rStyle w:val="TextoNormalCaracter"/>
          </w:rPr>
          <w:t>53/2025</w:t>
        </w:r>
      </w:hyperlink>
      <w:r w:rsidRPr="00C72046">
        <w:rPr>
          <w:rStyle w:val="TextoNormalCaracter"/>
        </w:rPr>
        <w:t>, f. único.</w:t>
      </w:r>
    </w:p>
    <w:p w14:paraId="434D817C" w14:textId="29D3AA94" w:rsidR="00C72046" w:rsidRPr="00C72046" w:rsidRDefault="00C72046" w:rsidP="00C72046">
      <w:pPr>
        <w:pStyle w:val="TextoNormalSangraFrancesa"/>
        <w:rPr>
          <w:rStyle w:val="TextoNormalCaracter"/>
        </w:rPr>
      </w:pPr>
      <w:bookmarkStart w:id="1074" w:name="DESCRIPTORALFABETICO280"/>
      <w:r w:rsidRPr="00C72046">
        <w:rPr>
          <w:rStyle w:val="TextoNormalNegritaCaracter"/>
        </w:rPr>
        <w:t>Parlamento de Cataluña</w:t>
      </w:r>
      <w:bookmarkEnd w:id="1074"/>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ff. 2 a 5, VP II; </w:t>
      </w:r>
      <w:hyperlink w:anchor="SENTENCIA_2025_83" w:history="1">
        <w:r w:rsidRPr="00C72046">
          <w:rPr>
            <w:rStyle w:val="TextoNormalCaracter"/>
          </w:rPr>
          <w:t>83/2025</w:t>
        </w:r>
      </w:hyperlink>
      <w:r w:rsidRPr="00C72046">
        <w:rPr>
          <w:rStyle w:val="TextoNormalCaracter"/>
        </w:rPr>
        <w:t xml:space="preserve">, ff. 2 a 3; </w:t>
      </w:r>
      <w:hyperlink w:anchor="SENTENCIA_2025_136" w:history="1">
        <w:r w:rsidRPr="00C72046">
          <w:rPr>
            <w:rStyle w:val="TextoNormalCaracter"/>
          </w:rPr>
          <w:t>136/2025</w:t>
        </w:r>
      </w:hyperlink>
      <w:r w:rsidRPr="00C72046">
        <w:rPr>
          <w:rStyle w:val="TextoNormalCaracter"/>
        </w:rPr>
        <w:t>, ff. 2 y 3.</w:t>
      </w:r>
    </w:p>
    <w:p w14:paraId="258F1BC8" w14:textId="3BC8F5C8" w:rsidR="00C72046" w:rsidRPr="00C72046" w:rsidRDefault="00C72046" w:rsidP="00C72046">
      <w:pPr>
        <w:pStyle w:val="TextoNormalSangraFrancesa"/>
        <w:rPr>
          <w:rStyle w:val="TextoNormalCaracter"/>
        </w:rPr>
      </w:pPr>
      <w:bookmarkStart w:id="1075" w:name="DESCRIPTORALFABETICO281"/>
      <w:r w:rsidRPr="00C72046">
        <w:rPr>
          <w:rStyle w:val="TextoNormalNegritaCaracter"/>
        </w:rPr>
        <w:t>Parlamento de La Rioja</w:t>
      </w:r>
      <w:bookmarkEnd w:id="1075"/>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ff. 1 a 6.</w:t>
      </w:r>
    </w:p>
    <w:p w14:paraId="230ADE7B" w14:textId="6CBA1511" w:rsidR="00C72046" w:rsidRPr="00C72046" w:rsidRDefault="00C72046" w:rsidP="00C72046">
      <w:pPr>
        <w:pStyle w:val="TextoNormalSangraFrancesa"/>
        <w:rPr>
          <w:rStyle w:val="TextoNormalCaracter"/>
        </w:rPr>
      </w:pPr>
      <w:bookmarkStart w:id="1076" w:name="DESCRIPTORALFABETICO282"/>
      <w:r w:rsidRPr="00C72046">
        <w:rPr>
          <w:rStyle w:val="TextoNormalNegritaCaracter"/>
        </w:rPr>
        <w:t>Parlamento de las Illes Balears</w:t>
      </w:r>
      <w:bookmarkEnd w:id="1076"/>
      <w:r w:rsidRPr="00C72046">
        <w:rPr>
          <w:rStyle w:val="TextoNormalCaracter"/>
        </w:rPr>
        <w:t xml:space="preserve">, Sentencias </w:t>
      </w:r>
      <w:hyperlink w:anchor="SENTENCIA_2025_14" w:history="1">
        <w:r w:rsidRPr="00C72046">
          <w:rPr>
            <w:rStyle w:val="TextoNormalCaracter"/>
          </w:rPr>
          <w:t>14/2025</w:t>
        </w:r>
      </w:hyperlink>
      <w:r w:rsidRPr="00C72046">
        <w:rPr>
          <w:rStyle w:val="TextoNormalCaracter"/>
        </w:rPr>
        <w:t xml:space="preserve">, f. 1; </w:t>
      </w:r>
      <w:hyperlink w:anchor="SENTENCIA_2025_15" w:history="1">
        <w:r w:rsidRPr="00C72046">
          <w:rPr>
            <w:rStyle w:val="TextoNormalCaracter"/>
          </w:rPr>
          <w:t>15/2025</w:t>
        </w:r>
      </w:hyperlink>
      <w:r w:rsidRPr="00C72046">
        <w:rPr>
          <w:rStyle w:val="TextoNormalCaracter"/>
        </w:rPr>
        <w:t>, f. 1.</w:t>
      </w:r>
    </w:p>
    <w:p w14:paraId="4DFA6FF6" w14:textId="520FE2FC" w:rsidR="00C72046" w:rsidRPr="00C72046" w:rsidRDefault="00C72046" w:rsidP="00C72046">
      <w:pPr>
        <w:pStyle w:val="TextoNormalSangraFrancesa"/>
        <w:rPr>
          <w:rStyle w:val="TextoNormalCaracter"/>
        </w:rPr>
      </w:pPr>
      <w:bookmarkStart w:id="1077" w:name="DESCRIPTORALFABETICO283"/>
      <w:r w:rsidRPr="00C72046">
        <w:rPr>
          <w:rStyle w:val="TextoNormalNegritaCaracter"/>
        </w:rPr>
        <w:t>Parlamento Vasco</w:t>
      </w:r>
      <w:bookmarkEnd w:id="1077"/>
      <w:r w:rsidRPr="00C72046">
        <w:rPr>
          <w:rStyle w:val="TextoNormalCaracter"/>
        </w:rPr>
        <w:t xml:space="preserve">, Sentencia </w:t>
      </w:r>
      <w:hyperlink w:anchor="SENTENCIA_2025_97" w:history="1">
        <w:r w:rsidRPr="00C72046">
          <w:rPr>
            <w:rStyle w:val="TextoNormalCaracter"/>
          </w:rPr>
          <w:t>97/2025</w:t>
        </w:r>
      </w:hyperlink>
      <w:r w:rsidRPr="00C72046">
        <w:rPr>
          <w:rStyle w:val="TextoNormalCaracter"/>
        </w:rPr>
        <w:t>, f. 3.</w:t>
      </w:r>
    </w:p>
    <w:p w14:paraId="5C4B84C5" w14:textId="26543A11" w:rsidR="00C72046" w:rsidRPr="00C72046" w:rsidRDefault="00C72046" w:rsidP="00C72046">
      <w:pPr>
        <w:pStyle w:val="TextoNormalSangraFrancesa"/>
        <w:rPr>
          <w:rStyle w:val="TextoNormalCaracter"/>
        </w:rPr>
      </w:pPr>
      <w:bookmarkStart w:id="1078" w:name="DESCRIPTORALFABETICO360"/>
      <w:r w:rsidRPr="00C72046">
        <w:rPr>
          <w:rStyle w:val="TextoNormalNegritaCaracter"/>
        </w:rPr>
        <w:t>Participación de los municipios en el planeamiento urbanístico</w:t>
      </w:r>
      <w:bookmarkEnd w:id="1078"/>
      <w:r w:rsidRPr="00C72046">
        <w:rPr>
          <w:rStyle w:val="TextoNormalCaracter"/>
        </w:rPr>
        <w:t xml:space="preserve">, Sentencia </w:t>
      </w:r>
      <w:hyperlink w:anchor="SENTENCIA_2025_64" w:history="1">
        <w:r w:rsidRPr="00C72046">
          <w:rPr>
            <w:rStyle w:val="TextoNormalCaracter"/>
          </w:rPr>
          <w:t>64/2025</w:t>
        </w:r>
      </w:hyperlink>
      <w:r w:rsidRPr="00C72046">
        <w:rPr>
          <w:rStyle w:val="TextoNormalCaracter"/>
        </w:rPr>
        <w:t>, f. 6.</w:t>
      </w:r>
    </w:p>
    <w:p w14:paraId="687CB136" w14:textId="677FDB50" w:rsidR="00C72046" w:rsidRPr="00C72046" w:rsidRDefault="00C72046" w:rsidP="00C72046">
      <w:pPr>
        <w:pStyle w:val="TextoNormalSangraFrancesa"/>
        <w:rPr>
          <w:rStyle w:val="TextoNormalCaracter"/>
        </w:rPr>
      </w:pPr>
      <w:bookmarkStart w:id="1079" w:name="DESCRIPTORALFABETICO400"/>
      <w:r w:rsidRPr="00C72046">
        <w:rPr>
          <w:rStyle w:val="TextoNormalNegritaCaracter"/>
        </w:rPr>
        <w:t>Penas privativas de libertad</w:t>
      </w:r>
      <w:bookmarkEnd w:id="1079"/>
      <w:r w:rsidRPr="00C72046">
        <w:rPr>
          <w:rStyle w:val="TextoNormalCaracter"/>
        </w:rPr>
        <w:t xml:space="preserve">, Sentencias </w:t>
      </w:r>
      <w:hyperlink w:anchor="SENTENCIA_2025_37" w:history="1">
        <w:r w:rsidRPr="00C72046">
          <w:rPr>
            <w:rStyle w:val="TextoNormalCaracter"/>
          </w:rPr>
          <w:t>37/2025</w:t>
        </w:r>
      </w:hyperlink>
      <w:r w:rsidRPr="00C72046">
        <w:rPr>
          <w:rStyle w:val="TextoNormalCaracter"/>
        </w:rPr>
        <w:t xml:space="preserve">, f. 2; </w:t>
      </w:r>
      <w:hyperlink w:anchor="SENTENCIA_2025_49" w:history="1">
        <w:r w:rsidRPr="00C72046">
          <w:rPr>
            <w:rStyle w:val="TextoNormalCaracter"/>
          </w:rPr>
          <w:t>49/2025</w:t>
        </w:r>
      </w:hyperlink>
      <w:r w:rsidRPr="00C72046">
        <w:rPr>
          <w:rStyle w:val="TextoNormalCaracter"/>
        </w:rPr>
        <w:t>, f. único.</w:t>
      </w:r>
    </w:p>
    <w:p w14:paraId="2FC728F9" w14:textId="3F655DF2" w:rsidR="00C72046" w:rsidRPr="00C72046" w:rsidRDefault="00C72046" w:rsidP="00C72046">
      <w:pPr>
        <w:pStyle w:val="TextoNormalSangraFrancesa"/>
        <w:rPr>
          <w:rStyle w:val="TextoNormalCaracter"/>
        </w:rPr>
      </w:pPr>
      <w:bookmarkStart w:id="1080" w:name="DESCRIPTORALFABETICO166"/>
      <w:r w:rsidRPr="00C72046">
        <w:rPr>
          <w:rStyle w:val="TextoNormalNegritaCaracter"/>
        </w:rPr>
        <w:t>Pérdida parcial de objeto del proceso constitucional</w:t>
      </w:r>
      <w:bookmarkEnd w:id="1080"/>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 2; </w:t>
      </w:r>
      <w:hyperlink w:anchor="SENTENCIA_2025_82" w:history="1">
        <w:r w:rsidRPr="00C72046">
          <w:rPr>
            <w:rStyle w:val="TextoNormalCaracter"/>
          </w:rPr>
          <w:t>82/2025</w:t>
        </w:r>
      </w:hyperlink>
      <w:r w:rsidRPr="00C72046">
        <w:rPr>
          <w:rStyle w:val="TextoNormalCaracter"/>
        </w:rPr>
        <w:t>, f. 2.</w:t>
      </w:r>
    </w:p>
    <w:p w14:paraId="12CAC0E9" w14:textId="6C8B6BE0" w:rsidR="00C72046" w:rsidRPr="00C72046" w:rsidRDefault="00C72046" w:rsidP="00C72046">
      <w:pPr>
        <w:pStyle w:val="TextoNormalSangraFrancesa"/>
        <w:rPr>
          <w:rStyle w:val="TextoNormalCaracter"/>
        </w:rPr>
      </w:pPr>
      <w:bookmarkStart w:id="1081" w:name="DESCRIPTORALFABETICO164"/>
      <w:r w:rsidRPr="00C72046">
        <w:rPr>
          <w:rStyle w:val="TextoNormalNegritaCaracter"/>
        </w:rPr>
        <w:t>Pérdida sobrevenida de objeto de incidente de recusación</w:t>
      </w:r>
      <w:bookmarkEnd w:id="1081"/>
      <w:r w:rsidRPr="00C72046">
        <w:rPr>
          <w:rStyle w:val="TextoNormalCaracter"/>
        </w:rPr>
        <w:t xml:space="preserve">, Auto </w:t>
      </w:r>
      <w:hyperlink w:anchor="AUTO_2025_15" w:history="1">
        <w:r w:rsidRPr="00C72046">
          <w:rPr>
            <w:rStyle w:val="TextoNormalCaracter"/>
          </w:rPr>
          <w:t>15/2025</w:t>
        </w:r>
      </w:hyperlink>
      <w:r w:rsidRPr="00C72046">
        <w:rPr>
          <w:rStyle w:val="TextoNormalCaracter"/>
        </w:rPr>
        <w:t>, f. 2.</w:t>
      </w:r>
    </w:p>
    <w:p w14:paraId="68AEED0A" w14:textId="129279D0" w:rsidR="00C72046" w:rsidRPr="00C72046" w:rsidRDefault="00C72046" w:rsidP="00C72046">
      <w:pPr>
        <w:pStyle w:val="TextoNormalSangraFrancesa"/>
        <w:rPr>
          <w:rStyle w:val="TextoNormalCaracter"/>
        </w:rPr>
      </w:pPr>
      <w:bookmarkStart w:id="1082" w:name="DESCRIPTORALFABETICO151"/>
      <w:r w:rsidRPr="00C72046">
        <w:rPr>
          <w:rStyle w:val="TextoNormalNegritaCaracter"/>
        </w:rPr>
        <w:t>Pérdida sobrevenida de objeto del incidente de suspensión cautelar</w:t>
      </w:r>
      <w:bookmarkEnd w:id="1082"/>
      <w:r w:rsidRPr="00C72046">
        <w:rPr>
          <w:rStyle w:val="TextoNormalCaracter"/>
        </w:rPr>
        <w:t xml:space="preserve">, Auto </w:t>
      </w:r>
      <w:hyperlink w:anchor="AUTO_2025_9" w:history="1">
        <w:r w:rsidRPr="00C72046">
          <w:rPr>
            <w:rStyle w:val="TextoNormalCaracter"/>
          </w:rPr>
          <w:t>9/2025</w:t>
        </w:r>
      </w:hyperlink>
      <w:r w:rsidRPr="00C72046">
        <w:rPr>
          <w:rStyle w:val="TextoNormalCaracter"/>
        </w:rPr>
        <w:t>, ff. 1 y 2.</w:t>
      </w:r>
    </w:p>
    <w:p w14:paraId="3E578A78" w14:textId="3CD88897" w:rsidR="00C72046" w:rsidRPr="00C72046" w:rsidRDefault="00C72046" w:rsidP="00C72046">
      <w:pPr>
        <w:pStyle w:val="TextoNormalSangraFrancesa"/>
        <w:rPr>
          <w:rStyle w:val="TextoNormalCaracter"/>
        </w:rPr>
      </w:pPr>
      <w:bookmarkStart w:id="1083" w:name="DESCRIPTORALFABETICO167"/>
      <w:r w:rsidRPr="00C72046">
        <w:rPr>
          <w:rStyle w:val="TextoNormalNegritaCaracter"/>
        </w:rPr>
        <w:t>Pérdida sobrevenida de objeto del proceso constitucional</w:t>
      </w:r>
      <w:bookmarkEnd w:id="1083"/>
      <w:r w:rsidRPr="00C72046">
        <w:rPr>
          <w:rStyle w:val="TextoNormalCaracter"/>
        </w:rPr>
        <w:t xml:space="preserve">, Autos </w:t>
      </w:r>
      <w:hyperlink w:anchor="AUTO_2025_7" w:history="1">
        <w:r w:rsidRPr="00C72046">
          <w:rPr>
            <w:rStyle w:val="TextoNormalCaracter"/>
          </w:rPr>
          <w:t>7/2025</w:t>
        </w:r>
      </w:hyperlink>
      <w:r w:rsidRPr="00C72046">
        <w:rPr>
          <w:rStyle w:val="TextoNormalCaracter"/>
        </w:rPr>
        <w:t xml:space="preserve">, f. único; </w:t>
      </w:r>
      <w:hyperlink w:anchor="AUTO_2025_55" w:history="1">
        <w:r w:rsidRPr="00C72046">
          <w:rPr>
            <w:rStyle w:val="TextoNormalCaracter"/>
          </w:rPr>
          <w:t>55/2025</w:t>
        </w:r>
      </w:hyperlink>
      <w:r w:rsidRPr="00C72046">
        <w:rPr>
          <w:rStyle w:val="TextoNormalCaracter"/>
        </w:rPr>
        <w:t>, f. único.</w:t>
      </w:r>
    </w:p>
    <w:p w14:paraId="607531A6" w14:textId="6FE31842" w:rsidR="00C72046" w:rsidRPr="00C72046" w:rsidRDefault="00C72046" w:rsidP="00C72046">
      <w:pPr>
        <w:pStyle w:val="TextoNormalSangraFrancesa"/>
        <w:rPr>
          <w:rStyle w:val="TextoNormalCaracter"/>
        </w:rPr>
      </w:pPr>
      <w:bookmarkStart w:id="1084" w:name="DESCRIPTORALFABETICO168"/>
      <w:r w:rsidRPr="00C72046">
        <w:rPr>
          <w:rStyle w:val="TextoNormalNegritaCaracter"/>
        </w:rPr>
        <w:t>Pérdida sobrevenida de objeto por declaración de inconstitucionalidad de la norma</w:t>
      </w:r>
      <w:bookmarkEnd w:id="1084"/>
      <w:r w:rsidRPr="00C72046">
        <w:rPr>
          <w:rStyle w:val="TextoNormalCaracter"/>
        </w:rPr>
        <w:t xml:space="preserve">, Auto </w:t>
      </w:r>
      <w:hyperlink w:anchor="AUTO_2025_19" w:history="1">
        <w:r w:rsidRPr="00C72046">
          <w:rPr>
            <w:rStyle w:val="TextoNormalCaracter"/>
          </w:rPr>
          <w:t>19/2025</w:t>
        </w:r>
      </w:hyperlink>
      <w:r w:rsidRPr="00C72046">
        <w:rPr>
          <w:rStyle w:val="TextoNormalCaracter"/>
        </w:rPr>
        <w:t>, f. único.</w:t>
      </w:r>
    </w:p>
    <w:p w14:paraId="558E2586" w14:textId="0331A6F4" w:rsidR="00C72046" w:rsidRPr="00C72046" w:rsidRDefault="00C72046" w:rsidP="00C72046">
      <w:pPr>
        <w:pStyle w:val="TextoNormalSangraFrancesa"/>
        <w:rPr>
          <w:rStyle w:val="TextoNormalCaracter"/>
        </w:rPr>
      </w:pPr>
      <w:bookmarkStart w:id="1085" w:name="DESCRIPTORALFABETICO169"/>
      <w:r w:rsidRPr="00C72046">
        <w:rPr>
          <w:rStyle w:val="TextoNormalNegritaCaracter"/>
        </w:rPr>
        <w:t>Pérdida sobrevenida de objeto por derogación de la norma</w:t>
      </w:r>
      <w:bookmarkEnd w:id="1085"/>
      <w:r w:rsidRPr="00C72046">
        <w:rPr>
          <w:rStyle w:val="TextoNormalCaracter"/>
        </w:rPr>
        <w:t xml:space="preserve">, Sentencias </w:t>
      </w:r>
      <w:hyperlink w:anchor="SENTENCIA_2025_95" w:history="1">
        <w:r w:rsidRPr="00C72046">
          <w:rPr>
            <w:rStyle w:val="TextoNormalCaracter"/>
          </w:rPr>
          <w:t>95/2025</w:t>
        </w:r>
      </w:hyperlink>
      <w:r w:rsidRPr="00C72046">
        <w:rPr>
          <w:rStyle w:val="TextoNormalCaracter"/>
        </w:rPr>
        <w:t xml:space="preserve">, f. 2; </w:t>
      </w:r>
      <w:hyperlink w:anchor="SENTENCIA_2025_118" w:history="1">
        <w:r w:rsidRPr="00C72046">
          <w:rPr>
            <w:rStyle w:val="TextoNormalCaracter"/>
          </w:rPr>
          <w:t>118/2025</w:t>
        </w:r>
      </w:hyperlink>
      <w:r w:rsidRPr="00C72046">
        <w:rPr>
          <w:rStyle w:val="TextoNormalCaracter"/>
        </w:rPr>
        <w:t>, f. 2.</w:t>
      </w:r>
    </w:p>
    <w:p w14:paraId="00CAEA2A" w14:textId="382FC726" w:rsidR="00C72046" w:rsidRPr="00C72046" w:rsidRDefault="00C72046" w:rsidP="00C72046">
      <w:pPr>
        <w:pStyle w:val="TextoNormalSangraFrancesa"/>
        <w:rPr>
          <w:rStyle w:val="TextoNormalCaracter"/>
        </w:rPr>
      </w:pPr>
      <w:bookmarkStart w:id="1086" w:name="DESCRIPTORALFABETICO170"/>
      <w:r w:rsidRPr="00C72046">
        <w:rPr>
          <w:rStyle w:val="TextoNormalNegritaCaracter"/>
        </w:rPr>
        <w:t>Pérdida sobrevenida de objeto por modificación de la norma</w:t>
      </w:r>
      <w:bookmarkEnd w:id="1086"/>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 2; </w:t>
      </w:r>
      <w:hyperlink w:anchor="SENTENCIA_2025_82" w:history="1">
        <w:r w:rsidRPr="00C72046">
          <w:rPr>
            <w:rStyle w:val="TextoNormalCaracter"/>
          </w:rPr>
          <w:t>82/2025</w:t>
        </w:r>
      </w:hyperlink>
      <w:r w:rsidRPr="00C72046">
        <w:rPr>
          <w:rStyle w:val="TextoNormalCaracter"/>
        </w:rPr>
        <w:t xml:space="preserve">, f. 2; </w:t>
      </w:r>
      <w:hyperlink w:anchor="SENTENCIA_2025_118" w:history="1">
        <w:r w:rsidRPr="00C72046">
          <w:rPr>
            <w:rStyle w:val="TextoNormalCaracter"/>
          </w:rPr>
          <w:t>118/2025</w:t>
        </w:r>
      </w:hyperlink>
      <w:r w:rsidRPr="00C72046">
        <w:rPr>
          <w:rStyle w:val="TextoNormalCaracter"/>
        </w:rPr>
        <w:t>, f. 2.</w:t>
      </w:r>
    </w:p>
    <w:p w14:paraId="5A74BFDC" w14:textId="26FFF589" w:rsidR="00C72046" w:rsidRPr="00C72046" w:rsidRDefault="00C72046" w:rsidP="00C72046">
      <w:pPr>
        <w:pStyle w:val="TextoNormalSangraFrancesa"/>
        <w:rPr>
          <w:rStyle w:val="TextoNormalCaracter"/>
        </w:rPr>
      </w:pPr>
      <w:bookmarkStart w:id="1087" w:name="DESCRIPTORALFABETICO417"/>
      <w:r w:rsidRPr="00C72046">
        <w:rPr>
          <w:rStyle w:val="TextoNormalNegritaCaracter"/>
        </w:rPr>
        <w:t>Permiso por nacimiento</w:t>
      </w:r>
      <w:bookmarkEnd w:id="1087"/>
      <w:r w:rsidRPr="00C72046">
        <w:rPr>
          <w:rStyle w:val="TextoNormalCaracter"/>
        </w:rPr>
        <w:t xml:space="preserve">, Sentencias </w:t>
      </w:r>
      <w:hyperlink w:anchor="SENTENCIA_2025_4" w:history="1">
        <w:r w:rsidRPr="00C72046">
          <w:rPr>
            <w:rStyle w:val="TextoNormalCaracter"/>
          </w:rPr>
          <w:t>4/2025</w:t>
        </w:r>
      </w:hyperlink>
      <w:r w:rsidRPr="00C72046">
        <w:rPr>
          <w:rStyle w:val="TextoNormalCaracter"/>
        </w:rPr>
        <w:t xml:space="preserve">, f. 3; </w:t>
      </w:r>
      <w:hyperlink w:anchor="SENTENCIA_2025_5" w:history="1">
        <w:r w:rsidRPr="00C72046">
          <w:rPr>
            <w:rStyle w:val="TextoNormalCaracter"/>
          </w:rPr>
          <w:t>5/2025</w:t>
        </w:r>
      </w:hyperlink>
      <w:r w:rsidRPr="00C72046">
        <w:rPr>
          <w:rStyle w:val="TextoNormalCaracter"/>
        </w:rPr>
        <w:t xml:space="preserve">, f. único;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xml:space="preserve">, f. 3; </w:t>
      </w:r>
      <w:hyperlink w:anchor="SENTENCIA_2025_17" w:history="1">
        <w:r w:rsidRPr="00C72046">
          <w:rPr>
            <w:rStyle w:val="TextoNormalCaracter"/>
          </w:rPr>
          <w:t>17/2025</w:t>
        </w:r>
      </w:hyperlink>
      <w:r w:rsidRPr="00C72046">
        <w:rPr>
          <w:rStyle w:val="TextoNormalCaracter"/>
        </w:rPr>
        <w:t xml:space="preserve">, f. único; </w:t>
      </w:r>
      <w:hyperlink w:anchor="SENTENCIA_2025_18" w:history="1">
        <w:r w:rsidRPr="00C72046">
          <w:rPr>
            <w:rStyle w:val="TextoNormalCaracter"/>
          </w:rPr>
          <w:t>18/2025</w:t>
        </w:r>
      </w:hyperlink>
      <w:r w:rsidRPr="00C72046">
        <w:rPr>
          <w:rStyle w:val="TextoNormalCaracter"/>
        </w:rPr>
        <w:t xml:space="preserve">, f. único; </w:t>
      </w:r>
      <w:hyperlink w:anchor="SENTENCIA_2025_19" w:history="1">
        <w:r w:rsidRPr="00C72046">
          <w:rPr>
            <w:rStyle w:val="TextoNormalCaracter"/>
          </w:rPr>
          <w:t>19/2025</w:t>
        </w:r>
      </w:hyperlink>
      <w:r w:rsidRPr="00C72046">
        <w:rPr>
          <w:rStyle w:val="TextoNormalCaracter"/>
        </w:rPr>
        <w:t xml:space="preserve">, f. único; </w:t>
      </w:r>
      <w:hyperlink w:anchor="SENTENCIA_2025_20" w:history="1">
        <w:r w:rsidRPr="00C72046">
          <w:rPr>
            <w:rStyle w:val="TextoNormalCaracter"/>
          </w:rPr>
          <w:t>20/2025</w:t>
        </w:r>
      </w:hyperlink>
      <w:r w:rsidRPr="00C72046">
        <w:rPr>
          <w:rStyle w:val="TextoNormalCaracter"/>
        </w:rPr>
        <w:t xml:space="preserve">, f. único; </w:t>
      </w:r>
      <w:hyperlink w:anchor="SENTENCIA_2025_21" w:history="1">
        <w:r w:rsidRPr="00C72046">
          <w:rPr>
            <w:rStyle w:val="TextoNormalCaracter"/>
          </w:rPr>
          <w:t>21/2025</w:t>
        </w:r>
      </w:hyperlink>
      <w:r w:rsidRPr="00C72046">
        <w:rPr>
          <w:rStyle w:val="TextoNormalCaracter"/>
        </w:rPr>
        <w:t xml:space="preserve">, f. 2; </w:t>
      </w:r>
      <w:hyperlink w:anchor="SENTENCIA_2025_22" w:history="1">
        <w:r w:rsidRPr="00C72046">
          <w:rPr>
            <w:rStyle w:val="TextoNormalCaracter"/>
          </w:rPr>
          <w:t>22/2025</w:t>
        </w:r>
      </w:hyperlink>
      <w:r w:rsidRPr="00C72046">
        <w:rPr>
          <w:rStyle w:val="TextoNormalCaracter"/>
        </w:rPr>
        <w:t xml:space="preserve">, f. único; </w:t>
      </w:r>
      <w:hyperlink w:anchor="SENTENCIA_2025_23" w:history="1">
        <w:r w:rsidRPr="00C72046">
          <w:rPr>
            <w:rStyle w:val="TextoNormalCaracter"/>
          </w:rPr>
          <w:t>23/2025</w:t>
        </w:r>
      </w:hyperlink>
      <w:r w:rsidRPr="00C72046">
        <w:rPr>
          <w:rStyle w:val="TextoNormalCaracter"/>
        </w:rPr>
        <w:t xml:space="preserve">, f. 2; </w:t>
      </w:r>
      <w:hyperlink w:anchor="SENTENCIA_2025_24" w:history="1">
        <w:r w:rsidRPr="00C72046">
          <w:rPr>
            <w:rStyle w:val="TextoNormalCaracter"/>
          </w:rPr>
          <w:t>24/2025</w:t>
        </w:r>
      </w:hyperlink>
      <w:r w:rsidRPr="00C72046">
        <w:rPr>
          <w:rStyle w:val="TextoNormalCaracter"/>
        </w:rPr>
        <w:t xml:space="preserve">, f. 2; </w:t>
      </w:r>
      <w:hyperlink w:anchor="SENTENCIA_2025_29" w:history="1">
        <w:r w:rsidRPr="00C72046">
          <w:rPr>
            <w:rStyle w:val="TextoNormalCaracter"/>
          </w:rPr>
          <w:t>29/2025</w:t>
        </w:r>
      </w:hyperlink>
      <w:r w:rsidRPr="00C72046">
        <w:rPr>
          <w:rStyle w:val="TextoNormalCaracter"/>
        </w:rPr>
        <w:t xml:space="preserve">, f. único; </w:t>
      </w:r>
      <w:hyperlink w:anchor="SENTENCIA_2025_30" w:history="1">
        <w:r w:rsidRPr="00C72046">
          <w:rPr>
            <w:rStyle w:val="TextoNormalCaracter"/>
          </w:rPr>
          <w:t>30/2025</w:t>
        </w:r>
      </w:hyperlink>
      <w:r w:rsidRPr="00C72046">
        <w:rPr>
          <w:rStyle w:val="TextoNormalCaracter"/>
        </w:rPr>
        <w:t xml:space="preserve">, f. 2; </w:t>
      </w:r>
      <w:hyperlink w:anchor="SENTENCIA_2025_32" w:history="1">
        <w:r w:rsidRPr="00C72046">
          <w:rPr>
            <w:rStyle w:val="TextoNormalCaracter"/>
          </w:rPr>
          <w:t>32/2025</w:t>
        </w:r>
      </w:hyperlink>
      <w:r w:rsidRPr="00C72046">
        <w:rPr>
          <w:rStyle w:val="TextoNormalCaracter"/>
        </w:rPr>
        <w:t xml:space="preserve">, f. 2; </w:t>
      </w:r>
      <w:hyperlink w:anchor="SENTENCIA_2025_33" w:history="1">
        <w:r w:rsidRPr="00C72046">
          <w:rPr>
            <w:rStyle w:val="TextoNormalCaracter"/>
          </w:rPr>
          <w:t>33/2025</w:t>
        </w:r>
      </w:hyperlink>
      <w:r w:rsidRPr="00C72046">
        <w:rPr>
          <w:rStyle w:val="TextoNormalCaracter"/>
        </w:rPr>
        <w:t xml:space="preserve">, f. 2; </w:t>
      </w:r>
      <w:hyperlink w:anchor="SENTENCIA_2025_34" w:history="1">
        <w:r w:rsidRPr="00C72046">
          <w:rPr>
            <w:rStyle w:val="TextoNormalCaracter"/>
          </w:rPr>
          <w:t>34/2025</w:t>
        </w:r>
      </w:hyperlink>
      <w:r w:rsidRPr="00C72046">
        <w:rPr>
          <w:rStyle w:val="TextoNormalCaracter"/>
        </w:rPr>
        <w:t xml:space="preserve">, f. único; </w:t>
      </w:r>
      <w:hyperlink w:anchor="SENTENCIA_2025_35" w:history="1">
        <w:r w:rsidRPr="00C72046">
          <w:rPr>
            <w:rStyle w:val="TextoNormalCaracter"/>
          </w:rPr>
          <w:t>35/2025</w:t>
        </w:r>
      </w:hyperlink>
      <w:r w:rsidRPr="00C72046">
        <w:rPr>
          <w:rStyle w:val="TextoNormalCaracter"/>
        </w:rPr>
        <w:t xml:space="preserve">, f. 2; </w:t>
      </w:r>
      <w:hyperlink w:anchor="SENTENCIA_2025_36" w:history="1">
        <w:r w:rsidRPr="00C72046">
          <w:rPr>
            <w:rStyle w:val="TextoNormalCaracter"/>
          </w:rPr>
          <w:t>36/2025</w:t>
        </w:r>
      </w:hyperlink>
      <w:r w:rsidRPr="00C72046">
        <w:rPr>
          <w:rStyle w:val="TextoNormalCaracter"/>
        </w:rPr>
        <w:t xml:space="preserve">, f.único; </w:t>
      </w:r>
      <w:hyperlink w:anchor="SENTENCIA_2025_38" w:history="1">
        <w:r w:rsidRPr="00C72046">
          <w:rPr>
            <w:rStyle w:val="TextoNormalCaracter"/>
          </w:rPr>
          <w:t>38/2025</w:t>
        </w:r>
      </w:hyperlink>
      <w:r w:rsidRPr="00C72046">
        <w:rPr>
          <w:rStyle w:val="TextoNormalCaracter"/>
        </w:rPr>
        <w:t xml:space="preserve">, f. 2; </w:t>
      </w:r>
      <w:hyperlink w:anchor="SENTENCIA_2025_39" w:history="1">
        <w:r w:rsidRPr="00C72046">
          <w:rPr>
            <w:rStyle w:val="TextoNormalCaracter"/>
          </w:rPr>
          <w:t>39/2025</w:t>
        </w:r>
      </w:hyperlink>
      <w:r w:rsidRPr="00C72046">
        <w:rPr>
          <w:rStyle w:val="TextoNormalCaracter"/>
        </w:rPr>
        <w:t xml:space="preserve">, f. 2; </w:t>
      </w:r>
      <w:hyperlink w:anchor="SENTENCIA_2025_46" w:history="1">
        <w:r w:rsidRPr="00C72046">
          <w:rPr>
            <w:rStyle w:val="TextoNormalCaracter"/>
          </w:rPr>
          <w:t>46/2025</w:t>
        </w:r>
      </w:hyperlink>
      <w:r w:rsidRPr="00C72046">
        <w:rPr>
          <w:rStyle w:val="TextoNormalCaracter"/>
        </w:rPr>
        <w:t xml:space="preserve">, f. único; </w:t>
      </w:r>
      <w:hyperlink w:anchor="SENTENCIA_2025_47" w:history="1">
        <w:r w:rsidRPr="00C72046">
          <w:rPr>
            <w:rStyle w:val="TextoNormalCaracter"/>
          </w:rPr>
          <w:t>47/2025</w:t>
        </w:r>
      </w:hyperlink>
      <w:r w:rsidRPr="00C72046">
        <w:rPr>
          <w:rStyle w:val="TextoNormalCaracter"/>
        </w:rPr>
        <w:t xml:space="preserve">, f. 2; </w:t>
      </w:r>
      <w:hyperlink w:anchor="SENTENCIA_2025_48" w:history="1">
        <w:r w:rsidRPr="00C72046">
          <w:rPr>
            <w:rStyle w:val="TextoNormalCaracter"/>
          </w:rPr>
          <w:t>48/2025</w:t>
        </w:r>
      </w:hyperlink>
      <w:r w:rsidRPr="00C72046">
        <w:rPr>
          <w:rStyle w:val="TextoNormalCaracter"/>
        </w:rPr>
        <w:t xml:space="preserve">, f. 2; </w:t>
      </w:r>
      <w:hyperlink w:anchor="SENTENCIA_2025_50" w:history="1">
        <w:r w:rsidRPr="00C72046">
          <w:rPr>
            <w:rStyle w:val="TextoNormalCaracter"/>
          </w:rPr>
          <w:t>50/2025</w:t>
        </w:r>
      </w:hyperlink>
      <w:r w:rsidRPr="00C72046">
        <w:rPr>
          <w:rStyle w:val="TextoNormalCaracter"/>
        </w:rPr>
        <w:t xml:space="preserve">, f. 2; </w:t>
      </w:r>
      <w:hyperlink w:anchor="SENTENCIA_2025_56" w:history="1">
        <w:r w:rsidRPr="00C72046">
          <w:rPr>
            <w:rStyle w:val="TextoNormalCaracter"/>
          </w:rPr>
          <w:t>56/2025</w:t>
        </w:r>
      </w:hyperlink>
      <w:r w:rsidRPr="00C72046">
        <w:rPr>
          <w:rStyle w:val="TextoNormalCaracter"/>
        </w:rPr>
        <w:t xml:space="preserve">, f. 2; </w:t>
      </w:r>
      <w:hyperlink w:anchor="SENTENCIA_2025_57" w:history="1">
        <w:r w:rsidRPr="00C72046">
          <w:rPr>
            <w:rStyle w:val="TextoNormalCaracter"/>
          </w:rPr>
          <w:t>57/2025</w:t>
        </w:r>
      </w:hyperlink>
      <w:r w:rsidRPr="00C72046">
        <w:rPr>
          <w:rStyle w:val="TextoNormalCaracter"/>
        </w:rPr>
        <w:t xml:space="preserve">, f. 2; </w:t>
      </w:r>
      <w:hyperlink w:anchor="SENTENCIA_2025_58" w:history="1">
        <w:r w:rsidRPr="00C72046">
          <w:rPr>
            <w:rStyle w:val="TextoNormalCaracter"/>
          </w:rPr>
          <w:t>58/2025</w:t>
        </w:r>
      </w:hyperlink>
      <w:r w:rsidRPr="00C72046">
        <w:rPr>
          <w:rStyle w:val="TextoNormalCaracter"/>
        </w:rPr>
        <w:t xml:space="preserve">, f. 2; </w:t>
      </w:r>
      <w:hyperlink w:anchor="SENTENCIA_2025_59" w:history="1">
        <w:r w:rsidRPr="00C72046">
          <w:rPr>
            <w:rStyle w:val="TextoNormalCaracter"/>
          </w:rPr>
          <w:t>59/2025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65" w:history="1">
        <w:r w:rsidRPr="00C72046">
          <w:rPr>
            <w:rStyle w:val="TextoNormalCaracter"/>
          </w:rPr>
          <w:t>65/2025</w:t>
        </w:r>
      </w:hyperlink>
      <w:r w:rsidRPr="00C72046">
        <w:rPr>
          <w:rStyle w:val="TextoNormalCaracter"/>
        </w:rPr>
        <w:t xml:space="preserve">, f. único; </w:t>
      </w:r>
      <w:hyperlink w:anchor="SENTENCIA_2025_66" w:history="1">
        <w:r w:rsidRPr="00C72046">
          <w:rPr>
            <w:rStyle w:val="TextoNormalCaracter"/>
          </w:rPr>
          <w:t>66/2025</w:t>
        </w:r>
      </w:hyperlink>
      <w:r w:rsidRPr="00C72046">
        <w:rPr>
          <w:rStyle w:val="TextoNormalCaracter"/>
        </w:rPr>
        <w:t xml:space="preserve">, f. 2; </w:t>
      </w:r>
      <w:hyperlink w:anchor="SENTENCIA_2025_67" w:history="1">
        <w:r w:rsidRPr="00C72046">
          <w:rPr>
            <w:rStyle w:val="TextoNormalCaracter"/>
          </w:rPr>
          <w:t>67/2025</w:t>
        </w:r>
      </w:hyperlink>
      <w:r w:rsidRPr="00C72046">
        <w:rPr>
          <w:rStyle w:val="TextoNormalCaracter"/>
        </w:rPr>
        <w:t xml:space="preserve">, f. 2; </w:t>
      </w:r>
      <w:hyperlink w:anchor="SENTENCIA_2025_68" w:history="1">
        <w:r w:rsidRPr="00C72046">
          <w:rPr>
            <w:rStyle w:val="TextoNormalCaracter"/>
          </w:rPr>
          <w:t>68/2025</w:t>
        </w:r>
      </w:hyperlink>
      <w:r w:rsidRPr="00C72046">
        <w:rPr>
          <w:rStyle w:val="TextoNormalCaracter"/>
        </w:rPr>
        <w:t xml:space="preserve">, f. 2; </w:t>
      </w:r>
      <w:hyperlink w:anchor="SENTENCIA_2025_70" w:history="1">
        <w:r w:rsidRPr="00C72046">
          <w:rPr>
            <w:rStyle w:val="TextoNormalCaracter"/>
          </w:rPr>
          <w:t>70/2025</w:t>
        </w:r>
      </w:hyperlink>
      <w:r w:rsidRPr="00C72046">
        <w:rPr>
          <w:rStyle w:val="TextoNormalCaracter"/>
        </w:rPr>
        <w:t xml:space="preserve">, f. 2; </w:t>
      </w:r>
      <w:hyperlink w:anchor="SENTENCIA_2025_71" w:history="1">
        <w:r w:rsidRPr="00C72046">
          <w:rPr>
            <w:rStyle w:val="TextoNormalCaracter"/>
          </w:rPr>
          <w:t>71/2025</w:t>
        </w:r>
      </w:hyperlink>
      <w:r w:rsidRPr="00C72046">
        <w:rPr>
          <w:rStyle w:val="TextoNormalCaracter"/>
        </w:rPr>
        <w:t xml:space="preserve">, f. único; </w:t>
      </w:r>
      <w:hyperlink w:anchor="SENTENCIA_2025_72" w:history="1">
        <w:r w:rsidRPr="00C72046">
          <w:rPr>
            <w:rStyle w:val="TextoNormalCaracter"/>
          </w:rPr>
          <w:t>72/2025</w:t>
        </w:r>
      </w:hyperlink>
      <w:r w:rsidRPr="00C72046">
        <w:rPr>
          <w:rStyle w:val="TextoNormalCaracter"/>
        </w:rPr>
        <w:t xml:space="preserve">, f. único; </w:t>
      </w:r>
      <w:hyperlink w:anchor="SENTENCIA_2025_73" w:history="1">
        <w:r w:rsidRPr="00C72046">
          <w:rPr>
            <w:rStyle w:val="TextoNormalCaracter"/>
          </w:rPr>
          <w:t>73/2025</w:t>
        </w:r>
      </w:hyperlink>
      <w:r w:rsidRPr="00C72046">
        <w:rPr>
          <w:rStyle w:val="TextoNormalCaracter"/>
        </w:rPr>
        <w:t xml:space="preserve">, f. 2; </w:t>
      </w:r>
      <w:hyperlink w:anchor="SENTENCIA_2025_74" w:history="1">
        <w:r w:rsidRPr="00C72046">
          <w:rPr>
            <w:rStyle w:val="TextoNormalCaracter"/>
          </w:rPr>
          <w:t>74/2025</w:t>
        </w:r>
      </w:hyperlink>
      <w:r w:rsidRPr="00C72046">
        <w:rPr>
          <w:rStyle w:val="TextoNormalCaracter"/>
        </w:rPr>
        <w:t xml:space="preserve">, f. único; </w:t>
      </w:r>
      <w:hyperlink w:anchor="SENTENCIA_2025_75" w:history="1">
        <w:r w:rsidRPr="00C72046">
          <w:rPr>
            <w:rStyle w:val="TextoNormalCaracter"/>
          </w:rPr>
          <w:t>75/2025</w:t>
        </w:r>
      </w:hyperlink>
      <w:r w:rsidRPr="00C72046">
        <w:rPr>
          <w:rStyle w:val="TextoNormalCaracter"/>
        </w:rPr>
        <w:t xml:space="preserve">, f. único; </w:t>
      </w:r>
      <w:hyperlink w:anchor="SENTENCIA_2025_76" w:history="1">
        <w:r w:rsidRPr="00C72046">
          <w:rPr>
            <w:rStyle w:val="TextoNormalCaracter"/>
          </w:rPr>
          <w:t>76/2025</w:t>
        </w:r>
      </w:hyperlink>
      <w:r w:rsidRPr="00C72046">
        <w:rPr>
          <w:rStyle w:val="TextoNormalCaracter"/>
        </w:rPr>
        <w:t xml:space="preserve">, f. 2; </w:t>
      </w:r>
      <w:hyperlink w:anchor="SENTENCIA_2025_77" w:history="1">
        <w:r w:rsidRPr="00C72046">
          <w:rPr>
            <w:rStyle w:val="TextoNormalCaracter"/>
          </w:rPr>
          <w:t>77/2025</w:t>
        </w:r>
      </w:hyperlink>
      <w:r w:rsidRPr="00C72046">
        <w:rPr>
          <w:rStyle w:val="TextoNormalCaracter"/>
        </w:rPr>
        <w:t xml:space="preserve">, f. único; </w:t>
      </w:r>
      <w:hyperlink w:anchor="SENTENCIA_2025_78" w:history="1">
        <w:r w:rsidRPr="00C72046">
          <w:rPr>
            <w:rStyle w:val="TextoNormalCaracter"/>
          </w:rPr>
          <w:t>78/2025</w:t>
        </w:r>
      </w:hyperlink>
      <w:r w:rsidRPr="00C72046">
        <w:rPr>
          <w:rStyle w:val="TextoNormalCaracter"/>
        </w:rPr>
        <w:t xml:space="preserve">, f. único; </w:t>
      </w:r>
      <w:hyperlink w:anchor="SENTENCIA_2025_79" w:history="1">
        <w:r w:rsidRPr="00C72046">
          <w:rPr>
            <w:rStyle w:val="TextoNormalCaracter"/>
          </w:rPr>
          <w:t>79/2025</w:t>
        </w:r>
      </w:hyperlink>
      <w:r w:rsidRPr="00C72046">
        <w:rPr>
          <w:rStyle w:val="TextoNormalCaracter"/>
        </w:rPr>
        <w:t xml:space="preserve">, f. 3; </w:t>
      </w:r>
      <w:hyperlink w:anchor="SENTENCIA_2025_80" w:history="1">
        <w:r w:rsidRPr="00C72046">
          <w:rPr>
            <w:rStyle w:val="TextoNormalCaracter"/>
          </w:rPr>
          <w:t>80/2025</w:t>
        </w:r>
      </w:hyperlink>
      <w:r w:rsidRPr="00C72046">
        <w:rPr>
          <w:rStyle w:val="TextoNormalCaracter"/>
        </w:rPr>
        <w:t xml:space="preserve">, f. 2; </w:t>
      </w:r>
      <w:hyperlink w:anchor="SENTENCIA_2025_81" w:history="1">
        <w:r w:rsidRPr="00C72046">
          <w:rPr>
            <w:rStyle w:val="TextoNormalCaracter"/>
          </w:rPr>
          <w:t>81/2025</w:t>
        </w:r>
      </w:hyperlink>
      <w:r w:rsidRPr="00C72046">
        <w:rPr>
          <w:rStyle w:val="TextoNormalCaracter"/>
        </w:rPr>
        <w:t xml:space="preserve">, f. 2; </w:t>
      </w:r>
      <w:hyperlink w:anchor="SENTENCIA_2025_88" w:history="1">
        <w:r w:rsidRPr="00C72046">
          <w:rPr>
            <w:rStyle w:val="TextoNormalCaracter"/>
          </w:rPr>
          <w:t>88/2025</w:t>
        </w:r>
      </w:hyperlink>
      <w:r w:rsidRPr="00C72046">
        <w:rPr>
          <w:rStyle w:val="TextoNormalCaracter"/>
        </w:rPr>
        <w:t xml:space="preserve">, f. 2; </w:t>
      </w:r>
      <w:hyperlink w:anchor="SENTENCIA_2025_89" w:history="1">
        <w:r w:rsidRPr="00C72046">
          <w:rPr>
            <w:rStyle w:val="TextoNormalCaracter"/>
          </w:rPr>
          <w:t>89/2025</w:t>
        </w:r>
      </w:hyperlink>
      <w:r w:rsidRPr="00C72046">
        <w:rPr>
          <w:rStyle w:val="TextoNormalCaracter"/>
        </w:rPr>
        <w:t xml:space="preserve">, f. 2; </w:t>
      </w:r>
      <w:hyperlink w:anchor="SENTENCIA_2025_90" w:history="1">
        <w:r w:rsidRPr="00C72046">
          <w:rPr>
            <w:rStyle w:val="TextoNormalCaracter"/>
          </w:rPr>
          <w:t>90/2025</w:t>
        </w:r>
      </w:hyperlink>
      <w:r w:rsidRPr="00C72046">
        <w:rPr>
          <w:rStyle w:val="TextoNormalCaracter"/>
        </w:rPr>
        <w:t xml:space="preserve">, f. 2; </w:t>
      </w:r>
      <w:hyperlink w:anchor="SENTENCIA_2025_91" w:history="1">
        <w:r w:rsidRPr="00C72046">
          <w:rPr>
            <w:rStyle w:val="TextoNormalCaracter"/>
          </w:rPr>
          <w:t>91/2025</w:t>
        </w:r>
      </w:hyperlink>
      <w:r w:rsidRPr="00C72046">
        <w:rPr>
          <w:rStyle w:val="TextoNormalCaracter"/>
        </w:rPr>
        <w:t xml:space="preserve">, f. único; </w:t>
      </w:r>
      <w:hyperlink w:anchor="SENTENCIA_2025_92" w:history="1">
        <w:r w:rsidRPr="00C72046">
          <w:rPr>
            <w:rStyle w:val="TextoNormalCaracter"/>
          </w:rPr>
          <w:t>92/2025</w:t>
        </w:r>
      </w:hyperlink>
      <w:r w:rsidRPr="00C72046">
        <w:rPr>
          <w:rStyle w:val="TextoNormalCaracter"/>
        </w:rPr>
        <w:t xml:space="preserve">, f. 2; </w:t>
      </w:r>
      <w:hyperlink w:anchor="SENTENCIA_2025_93" w:history="1">
        <w:r w:rsidRPr="00C72046">
          <w:rPr>
            <w:rStyle w:val="TextoNormalCaracter"/>
          </w:rPr>
          <w:t>93/2025</w:t>
        </w:r>
      </w:hyperlink>
      <w:r w:rsidRPr="00C72046">
        <w:rPr>
          <w:rStyle w:val="TextoNormalCaracter"/>
        </w:rPr>
        <w:t xml:space="preserve">, f. 2; </w:t>
      </w:r>
      <w:hyperlink w:anchor="SENTENCIA_2025_94" w:history="1">
        <w:r w:rsidRPr="00C72046">
          <w:rPr>
            <w:rStyle w:val="TextoNormalCaracter"/>
          </w:rPr>
          <w:t>94/2025</w:t>
        </w:r>
      </w:hyperlink>
      <w:r w:rsidRPr="00C72046">
        <w:rPr>
          <w:rStyle w:val="TextoNormalCaracter"/>
        </w:rPr>
        <w:t xml:space="preserve">, f. 2; </w:t>
      </w:r>
      <w:hyperlink w:anchor="SENTENCIA_2025_102" w:history="1">
        <w:r w:rsidRPr="00C72046">
          <w:rPr>
            <w:rStyle w:val="TextoNormalCaracter"/>
          </w:rPr>
          <w:t>102/2025</w:t>
        </w:r>
      </w:hyperlink>
      <w:r w:rsidRPr="00C72046">
        <w:rPr>
          <w:rStyle w:val="TextoNormalCaracter"/>
        </w:rPr>
        <w:t xml:space="preserve">, f. 2; </w:t>
      </w:r>
      <w:hyperlink w:anchor="SENTENCIA_2025_103" w:history="1">
        <w:r w:rsidRPr="00C72046">
          <w:rPr>
            <w:rStyle w:val="TextoNormalCaracter"/>
          </w:rPr>
          <w:t>103/2025</w:t>
        </w:r>
      </w:hyperlink>
      <w:r w:rsidRPr="00C72046">
        <w:rPr>
          <w:rStyle w:val="TextoNormalCaracter"/>
        </w:rPr>
        <w:t xml:space="preserve">, f. único; </w:t>
      </w:r>
      <w:hyperlink w:anchor="SENTENCIA_2025_104" w:history="1">
        <w:r w:rsidRPr="00C72046">
          <w:rPr>
            <w:rStyle w:val="TextoNormalCaracter"/>
          </w:rPr>
          <w:t>104/2025</w:t>
        </w:r>
      </w:hyperlink>
      <w:r w:rsidRPr="00C72046">
        <w:rPr>
          <w:rStyle w:val="TextoNormalCaracter"/>
        </w:rPr>
        <w:t>, f. único.</w:t>
      </w:r>
    </w:p>
    <w:p w14:paraId="37F4544B" w14:textId="3009A5F5" w:rsidR="00C72046" w:rsidRPr="00C72046" w:rsidRDefault="00C72046" w:rsidP="00C72046">
      <w:pPr>
        <w:pStyle w:val="TextoNormalSangraFrancesa"/>
        <w:rPr>
          <w:rStyle w:val="TextoNormalCaracter"/>
        </w:rPr>
      </w:pPr>
      <w:bookmarkStart w:id="1088" w:name="DESCRIPTORALFABETICO318"/>
      <w:r w:rsidRPr="00C72046">
        <w:rPr>
          <w:rStyle w:val="TextoNormalNegritaCaracter"/>
        </w:rPr>
        <w:t>Personal al servicio de la Administración autonómica</w:t>
      </w:r>
      <w:bookmarkEnd w:id="1088"/>
      <w:r w:rsidRPr="00C72046">
        <w:rPr>
          <w:rStyle w:val="TextoNormalCaracter"/>
        </w:rPr>
        <w:t xml:space="preserve">, Sentencia </w:t>
      </w:r>
      <w:hyperlink w:anchor="SENTENCIA_2025_118" w:history="1">
        <w:r w:rsidRPr="00C72046">
          <w:rPr>
            <w:rStyle w:val="TextoNormalCaracter"/>
          </w:rPr>
          <w:t>118/2025</w:t>
        </w:r>
      </w:hyperlink>
      <w:r w:rsidRPr="00C72046">
        <w:rPr>
          <w:rStyle w:val="TextoNormalCaracter"/>
        </w:rPr>
        <w:t>, f. 3 a 5.</w:t>
      </w:r>
    </w:p>
    <w:p w14:paraId="08456E60" w14:textId="3474C9EE" w:rsidR="00C72046" w:rsidRPr="00C72046" w:rsidRDefault="00C72046" w:rsidP="00C72046">
      <w:pPr>
        <w:pStyle w:val="TextoNormalSangraFrancesa"/>
        <w:rPr>
          <w:rStyle w:val="TextoNormalCaracter"/>
        </w:rPr>
      </w:pPr>
      <w:bookmarkStart w:id="1089" w:name="DESCRIPTORALFABETICO409"/>
      <w:r w:rsidRPr="00C72046">
        <w:rPr>
          <w:rStyle w:val="TextoNormalNegritaCaracter"/>
        </w:rPr>
        <w:t>Personas en riesgo de exclusión social</w:t>
      </w:r>
      <w:bookmarkEnd w:id="1089"/>
      <w:r w:rsidRPr="00C72046">
        <w:rPr>
          <w:rStyle w:val="TextoNormalCaracter"/>
        </w:rPr>
        <w:t xml:space="preserve">, Sentencia </w:t>
      </w:r>
      <w:hyperlink w:anchor="SENTENCIA_2025_25" w:history="1">
        <w:r w:rsidRPr="00C72046">
          <w:rPr>
            <w:rStyle w:val="TextoNormalCaracter"/>
          </w:rPr>
          <w:t>25/2025</w:t>
        </w:r>
      </w:hyperlink>
      <w:r w:rsidRPr="00C72046">
        <w:rPr>
          <w:rStyle w:val="TextoNormalCaracter"/>
        </w:rPr>
        <w:t>, f. 4.</w:t>
      </w:r>
    </w:p>
    <w:p w14:paraId="43936834" w14:textId="1AA4A901" w:rsidR="00C72046" w:rsidRPr="00C72046" w:rsidRDefault="00C72046" w:rsidP="00C72046">
      <w:pPr>
        <w:pStyle w:val="TextoNormalSangraFrancesa"/>
        <w:rPr>
          <w:rStyle w:val="TextoNormalCaracter"/>
        </w:rPr>
      </w:pPr>
      <w:bookmarkStart w:id="1090" w:name="DESCRIPTORALFABETICO205"/>
      <w:r w:rsidRPr="00C72046">
        <w:rPr>
          <w:rStyle w:val="TextoNormalNegritaCaracter"/>
        </w:rPr>
        <w:t>Pervivencia del objeto del recurso de amparo</w:t>
      </w:r>
      <w:bookmarkEnd w:id="1090"/>
      <w:r w:rsidRPr="00C72046">
        <w:rPr>
          <w:rStyle w:val="TextoNormalCaracter"/>
        </w:rPr>
        <w:t xml:space="preserve">, Sentencia </w:t>
      </w:r>
      <w:hyperlink w:anchor="SENTENCIA_2025_132" w:history="1">
        <w:r w:rsidRPr="00C72046">
          <w:rPr>
            <w:rStyle w:val="TextoNormalCaracter"/>
          </w:rPr>
          <w:t>132/2025</w:t>
        </w:r>
      </w:hyperlink>
      <w:r w:rsidRPr="00C72046">
        <w:rPr>
          <w:rStyle w:val="TextoNormalCaracter"/>
        </w:rPr>
        <w:t>, f. 2.</w:t>
      </w:r>
    </w:p>
    <w:p w14:paraId="56F22244" w14:textId="36E758C8" w:rsidR="00C72046" w:rsidRPr="00C72046" w:rsidRDefault="00C72046" w:rsidP="00C72046">
      <w:pPr>
        <w:pStyle w:val="TextoNormalSangraFrancesa"/>
        <w:rPr>
          <w:rStyle w:val="TextoNormalCaracter"/>
        </w:rPr>
      </w:pPr>
      <w:bookmarkStart w:id="1091" w:name="DESCRIPTORALFABETICO171"/>
      <w:r w:rsidRPr="00C72046">
        <w:rPr>
          <w:rStyle w:val="TextoNormalNegritaCaracter"/>
        </w:rPr>
        <w:t>Pervivencia del objeto pese a la derogación de la norma</w:t>
      </w:r>
      <w:bookmarkEnd w:id="1091"/>
      <w:r w:rsidRPr="00C72046">
        <w:rPr>
          <w:rStyle w:val="TextoNormalCaracter"/>
        </w:rPr>
        <w:t xml:space="preserve">, Sentencia </w:t>
      </w:r>
      <w:hyperlink w:anchor="SENTENCIA_2025_118" w:history="1">
        <w:r w:rsidRPr="00C72046">
          <w:rPr>
            <w:rStyle w:val="TextoNormalCaracter"/>
          </w:rPr>
          <w:t>118/2025</w:t>
        </w:r>
      </w:hyperlink>
      <w:r w:rsidRPr="00C72046">
        <w:rPr>
          <w:rStyle w:val="TextoNormalCaracter"/>
        </w:rPr>
        <w:t>, f. 2.</w:t>
      </w:r>
    </w:p>
    <w:p w14:paraId="56C39F8C" w14:textId="000A3B17" w:rsidR="00C72046" w:rsidRPr="00C72046" w:rsidRDefault="00C72046" w:rsidP="00C72046">
      <w:pPr>
        <w:pStyle w:val="TextoNormalSangraFrancesa"/>
        <w:rPr>
          <w:rStyle w:val="TextoNormalCaracter"/>
        </w:rPr>
      </w:pPr>
      <w:bookmarkStart w:id="1092" w:name="DESCRIPTORALFABETICO172"/>
      <w:r w:rsidRPr="00C72046">
        <w:rPr>
          <w:rStyle w:val="TextoNormalNegritaCaracter"/>
        </w:rPr>
        <w:t>Pervivencia del objeto pese a la modificación de la norma</w:t>
      </w:r>
      <w:bookmarkEnd w:id="1092"/>
      <w:r w:rsidRPr="00C72046">
        <w:rPr>
          <w:rStyle w:val="TextoNormalCaracter"/>
        </w:rPr>
        <w:t xml:space="preserve">, Sentencia </w:t>
      </w:r>
      <w:hyperlink w:anchor="SENTENCIA_2025_118" w:history="1">
        <w:r w:rsidRPr="00C72046">
          <w:rPr>
            <w:rStyle w:val="TextoNormalCaracter"/>
          </w:rPr>
          <w:t>118/2025</w:t>
        </w:r>
      </w:hyperlink>
      <w:r w:rsidRPr="00C72046">
        <w:rPr>
          <w:rStyle w:val="TextoNormalCaracter"/>
        </w:rPr>
        <w:t>, f. 2.</w:t>
      </w:r>
    </w:p>
    <w:p w14:paraId="048A4E05" w14:textId="7D1994A8" w:rsidR="00C72046" w:rsidRPr="00C72046" w:rsidRDefault="00C72046" w:rsidP="00C72046">
      <w:pPr>
        <w:pStyle w:val="TextoNormalSangraFrancesa"/>
        <w:rPr>
          <w:rStyle w:val="TextoNormalCaracter"/>
        </w:rPr>
      </w:pPr>
      <w:bookmarkStart w:id="1093" w:name="DESCRIPTORALFABETICO207"/>
      <w:r w:rsidRPr="00C72046">
        <w:rPr>
          <w:rStyle w:val="TextoNormalNegritaCaracter"/>
        </w:rPr>
        <w:t>Plazo de interposición del recurso de amparo</w:t>
      </w:r>
      <w:bookmarkEnd w:id="1093"/>
      <w:r w:rsidRPr="00C72046">
        <w:rPr>
          <w:rStyle w:val="TextoNormalCaracter"/>
        </w:rPr>
        <w:t xml:space="preserve">, Sentencia </w:t>
      </w:r>
      <w:hyperlink w:anchor="SENTENCIA_2025_106" w:history="1">
        <w:r w:rsidRPr="00C72046">
          <w:rPr>
            <w:rStyle w:val="TextoNormalCaracter"/>
          </w:rPr>
          <w:t>106/2025</w:t>
        </w:r>
      </w:hyperlink>
      <w:r w:rsidRPr="00C72046">
        <w:rPr>
          <w:rStyle w:val="TextoNormalCaracter"/>
        </w:rPr>
        <w:t>, f. 2.</w:t>
      </w:r>
    </w:p>
    <w:p w14:paraId="00B67DBD" w14:textId="665B6F92" w:rsidR="00C72046" w:rsidRPr="00C72046" w:rsidRDefault="00C72046" w:rsidP="00C72046">
      <w:pPr>
        <w:pStyle w:val="TextoNormalSangraFrancesa"/>
        <w:rPr>
          <w:rStyle w:val="TextoNormalCaracter"/>
        </w:rPr>
      </w:pPr>
      <w:bookmarkStart w:id="1094" w:name="DESCRIPTORALFABETICO476"/>
      <w:r w:rsidRPr="00C72046">
        <w:rPr>
          <w:rStyle w:val="TextoNormalNegritaCaracter"/>
        </w:rPr>
        <w:t>Plazo máximo de prisión provisional</w:t>
      </w:r>
      <w:bookmarkEnd w:id="1094"/>
      <w:r w:rsidRPr="00C72046">
        <w:rPr>
          <w:rStyle w:val="TextoNormalCaracter"/>
        </w:rPr>
        <w:t xml:space="preserve">, Sentencia </w:t>
      </w:r>
      <w:hyperlink w:anchor="SENTENCIA_2025_3" w:history="1">
        <w:r w:rsidRPr="00C72046">
          <w:rPr>
            <w:rStyle w:val="TextoNormalCaracter"/>
          </w:rPr>
          <w:t>3/2025</w:t>
        </w:r>
      </w:hyperlink>
      <w:r w:rsidRPr="00C72046">
        <w:rPr>
          <w:rStyle w:val="TextoNormalCaracter"/>
        </w:rPr>
        <w:t>, f. 3.</w:t>
      </w:r>
    </w:p>
    <w:p w14:paraId="6B78DF26" w14:textId="4D9E4A50" w:rsidR="00C72046" w:rsidRPr="00C72046" w:rsidRDefault="00C72046" w:rsidP="00C72046">
      <w:pPr>
        <w:pStyle w:val="TextoNormalSangraFrancesa"/>
        <w:rPr>
          <w:rStyle w:val="TextoNormalCaracter"/>
        </w:rPr>
      </w:pPr>
      <w:bookmarkStart w:id="1095" w:name="DESCRIPTORALFABETICO361"/>
      <w:r w:rsidRPr="00C72046">
        <w:rPr>
          <w:rStyle w:val="TextoNormalNegritaCaracter"/>
        </w:rPr>
        <w:t>Plusvalías urbanísticas</w:t>
      </w:r>
      <w:bookmarkEnd w:id="1095"/>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ff. 1 a 4.</w:t>
      </w:r>
    </w:p>
    <w:p w14:paraId="47022B42" w14:textId="0C7B16ED" w:rsidR="00C72046" w:rsidRPr="00C72046" w:rsidRDefault="00C72046" w:rsidP="00C72046">
      <w:pPr>
        <w:pStyle w:val="TextoNormalSangraFrancesa"/>
        <w:rPr>
          <w:rStyle w:val="TextoNormalCaracter"/>
        </w:rPr>
      </w:pPr>
      <w:bookmarkStart w:id="1096" w:name="DESCRIPTORALFABETICO240"/>
      <w:r w:rsidRPr="00C72046">
        <w:rPr>
          <w:rStyle w:val="TextoNormalNegritaCaracter"/>
        </w:rPr>
        <w:t>Policía de estrados</w:t>
      </w:r>
      <w:bookmarkEnd w:id="1096"/>
      <w:r w:rsidRPr="00C72046">
        <w:rPr>
          <w:rStyle w:val="TextoNormalCaracter"/>
        </w:rPr>
        <w:t xml:space="preserve">, Sentencia </w:t>
      </w:r>
      <w:hyperlink w:anchor="SENTENCIA_2025_13" w:history="1">
        <w:r w:rsidRPr="00C72046">
          <w:rPr>
            <w:rStyle w:val="TextoNormalCaracter"/>
          </w:rPr>
          <w:t>13/2025</w:t>
        </w:r>
      </w:hyperlink>
      <w:r w:rsidRPr="00C72046">
        <w:rPr>
          <w:rStyle w:val="TextoNormalCaracter"/>
        </w:rPr>
        <w:t>, f. 3.</w:t>
      </w:r>
    </w:p>
    <w:p w14:paraId="77D3B4B7" w14:textId="3D8EC77F" w:rsidR="00C72046" w:rsidRPr="00C72046" w:rsidRDefault="00C72046" w:rsidP="00C72046">
      <w:pPr>
        <w:pStyle w:val="TextoNormalSangraFrancesa"/>
        <w:rPr>
          <w:rStyle w:val="TextoNormalCaracter"/>
        </w:rPr>
      </w:pPr>
      <w:bookmarkStart w:id="1097" w:name="DESCRIPTORALFABETICO355"/>
      <w:r w:rsidRPr="00C72046">
        <w:rPr>
          <w:rStyle w:val="TextoNormalNegritaCaracter"/>
        </w:rPr>
        <w:t>Policía local</w:t>
      </w:r>
      <w:bookmarkEnd w:id="1097"/>
      <w:r w:rsidRPr="00C72046">
        <w:rPr>
          <w:rStyle w:val="TextoNormalCaracter"/>
        </w:rPr>
        <w:t xml:space="preserve">, Sentencia </w:t>
      </w:r>
      <w:hyperlink w:anchor="SENTENCIA_2025_42" w:history="1">
        <w:r w:rsidRPr="00C72046">
          <w:rPr>
            <w:rStyle w:val="TextoNormalCaracter"/>
          </w:rPr>
          <w:t>42/2025</w:t>
        </w:r>
      </w:hyperlink>
      <w:r w:rsidRPr="00C72046">
        <w:rPr>
          <w:rStyle w:val="TextoNormalCaracter"/>
        </w:rPr>
        <w:t>, ff. 1 a 4.</w:t>
      </w:r>
    </w:p>
    <w:p w14:paraId="6DE91124" w14:textId="5F421B55" w:rsidR="00C72046" w:rsidRPr="00C72046" w:rsidRDefault="00C72046" w:rsidP="00C72046">
      <w:pPr>
        <w:pStyle w:val="TextoNormalSangraFrancesa"/>
        <w:rPr>
          <w:rStyle w:val="TextoNormalCaracter"/>
        </w:rPr>
      </w:pPr>
      <w:bookmarkStart w:id="1098" w:name="DESCRIPTORALFABETICO140"/>
      <w:r w:rsidRPr="00C72046">
        <w:rPr>
          <w:rStyle w:val="TextoNormalNegritaCaracter"/>
        </w:rPr>
        <w:t>Ponderación entre el derecho al honor y la libertad de expresión</w:t>
      </w:r>
      <w:bookmarkEnd w:id="1098"/>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ff. 3 a 5.</w:t>
      </w:r>
    </w:p>
    <w:p w14:paraId="56840DD8" w14:textId="046A6E19" w:rsidR="00C72046" w:rsidRPr="00C72046" w:rsidRDefault="00C72046" w:rsidP="00C72046">
      <w:pPr>
        <w:pStyle w:val="TextoNormalSangraFrancesa"/>
        <w:rPr>
          <w:rStyle w:val="TextoNormalCaracter"/>
        </w:rPr>
      </w:pPr>
      <w:bookmarkStart w:id="1099" w:name="DESCRIPTORALFABETICO141"/>
      <w:r w:rsidRPr="00C72046">
        <w:rPr>
          <w:rStyle w:val="TextoNormalNegritaCaracter"/>
        </w:rPr>
        <w:t>Ponderación judicial en caso de conflicto con otros derechos</w:t>
      </w:r>
      <w:bookmarkEnd w:id="1099"/>
      <w:r w:rsidRPr="00C72046">
        <w:rPr>
          <w:rStyle w:val="TextoNormalCaracter"/>
        </w:rPr>
        <w:t xml:space="preserve">, Sentencias </w:t>
      </w:r>
      <w:hyperlink w:anchor="SENTENCIA_2025_62" w:history="1">
        <w:r w:rsidRPr="00C72046">
          <w:rPr>
            <w:rStyle w:val="TextoNormalCaracter"/>
          </w:rPr>
          <w:t>62/2025</w:t>
        </w:r>
      </w:hyperlink>
      <w:r w:rsidRPr="00C72046">
        <w:rPr>
          <w:rStyle w:val="TextoNormalCaracter"/>
        </w:rPr>
        <w:t xml:space="preserve">, f. 4, VP I, VP II; </w:t>
      </w:r>
      <w:hyperlink w:anchor="SENTENCIA_2025_87" w:history="1">
        <w:r w:rsidRPr="00C72046">
          <w:rPr>
            <w:rStyle w:val="TextoNormalCaracter"/>
          </w:rPr>
          <w:t>87/2025</w:t>
        </w:r>
      </w:hyperlink>
      <w:r w:rsidRPr="00C72046">
        <w:rPr>
          <w:rStyle w:val="TextoNormalCaracter"/>
        </w:rPr>
        <w:t xml:space="preserve">, f. 3, VP I; </w:t>
      </w:r>
      <w:hyperlink w:anchor="SENTENCIA_2025_101" w:history="1">
        <w:r w:rsidRPr="00C72046">
          <w:rPr>
            <w:rStyle w:val="TextoNormalCaracter"/>
          </w:rPr>
          <w:t>101/2025</w:t>
        </w:r>
      </w:hyperlink>
      <w:r w:rsidRPr="00C72046">
        <w:rPr>
          <w:rStyle w:val="TextoNormalCaracter"/>
        </w:rPr>
        <w:t>, f. 3, VP.</w:t>
      </w:r>
    </w:p>
    <w:p w14:paraId="646CE16B" w14:textId="4387ACD2" w:rsidR="00C72046" w:rsidRPr="00C72046" w:rsidRDefault="00C72046" w:rsidP="00C72046">
      <w:pPr>
        <w:pStyle w:val="TextoNormalSangraFrancesa"/>
        <w:rPr>
          <w:rStyle w:val="TextoNormalCaracter"/>
        </w:rPr>
      </w:pPr>
      <w:bookmarkStart w:id="1100" w:name="DESCRIPTORALFABETICO285"/>
      <w:r w:rsidRPr="00C72046">
        <w:rPr>
          <w:rStyle w:val="TextoNormalNegritaCaracter"/>
        </w:rPr>
        <w:t>Potestad colegisladora</w:t>
      </w:r>
      <w:bookmarkEnd w:id="1100"/>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 10 y VP.</w:t>
      </w:r>
    </w:p>
    <w:p w14:paraId="4F335AE4" w14:textId="09DD94CA" w:rsidR="00C72046" w:rsidRPr="00C72046" w:rsidRDefault="00C72046" w:rsidP="00C72046">
      <w:pPr>
        <w:pStyle w:val="TextoNormalSangraFrancesa"/>
        <w:rPr>
          <w:rStyle w:val="TextoNormalCaracter"/>
        </w:rPr>
      </w:pPr>
      <w:bookmarkStart w:id="1101" w:name="DESCRIPTORALFABETICO424"/>
      <w:r w:rsidRPr="00C72046">
        <w:rPr>
          <w:rStyle w:val="TextoNormalNegritaCaracter"/>
        </w:rPr>
        <w:t>Potestad disciplinaria respecto de abogados y/o procuradores</w:t>
      </w:r>
      <w:bookmarkEnd w:id="1101"/>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ff. 1 y 3, VP I; </w:t>
      </w:r>
      <w:hyperlink w:anchor="SENTENCIA_2025_13" w:history="1">
        <w:r w:rsidRPr="00C72046">
          <w:rPr>
            <w:rStyle w:val="TextoNormalCaracter"/>
          </w:rPr>
          <w:t>13/2025</w:t>
        </w:r>
      </w:hyperlink>
      <w:r w:rsidRPr="00C72046">
        <w:rPr>
          <w:rStyle w:val="TextoNormalCaracter"/>
        </w:rPr>
        <w:t xml:space="preserve">, f. 3; </w:t>
      </w:r>
      <w:hyperlink w:anchor="SENTENCIA_2025_84" w:history="1">
        <w:r w:rsidRPr="00C72046">
          <w:rPr>
            <w:rStyle w:val="TextoNormalCaracter"/>
          </w:rPr>
          <w:t>84/2025</w:t>
        </w:r>
      </w:hyperlink>
      <w:r w:rsidRPr="00C72046">
        <w:rPr>
          <w:rStyle w:val="TextoNormalCaracter"/>
        </w:rPr>
        <w:t>, f. 3.</w:t>
      </w:r>
    </w:p>
    <w:p w14:paraId="0DD51282" w14:textId="5CF41924" w:rsidR="00C72046" w:rsidRPr="00C72046" w:rsidRDefault="00C72046" w:rsidP="00C72046">
      <w:pPr>
        <w:pStyle w:val="TextoNormalSangraFrancesa"/>
        <w:rPr>
          <w:rStyle w:val="TextoNormalCaracter"/>
        </w:rPr>
      </w:pPr>
      <w:bookmarkStart w:id="1102" w:name="DESCRIPTORALFABETICO248"/>
      <w:r w:rsidRPr="00C72046">
        <w:rPr>
          <w:rStyle w:val="TextoNormalNegritaCaracter"/>
        </w:rPr>
        <w:t>Potestad jurisdiccional</w:t>
      </w:r>
      <w:bookmarkEnd w:id="1102"/>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ff. 1 a 4, VP I, VP II; </w:t>
      </w:r>
      <w:hyperlink w:anchor="SENTENCIA_2025_13" w:history="1">
        <w:r w:rsidRPr="00C72046">
          <w:rPr>
            <w:rStyle w:val="TextoNormalCaracter"/>
          </w:rPr>
          <w:t>13/2025</w:t>
        </w:r>
      </w:hyperlink>
      <w:r w:rsidRPr="00C72046">
        <w:rPr>
          <w:rStyle w:val="TextoNormalCaracter"/>
        </w:rPr>
        <w:t>, f. 3.</w:t>
      </w:r>
    </w:p>
    <w:p w14:paraId="5A147C7B" w14:textId="77777777" w:rsidR="00C72046" w:rsidRPr="00C72046" w:rsidRDefault="00C72046" w:rsidP="00C72046">
      <w:pPr>
        <w:pStyle w:val="TextoNormalSangraFrancesa"/>
        <w:rPr>
          <w:rStyle w:val="TextoNormalCaracter"/>
        </w:rPr>
      </w:pPr>
      <w:bookmarkStart w:id="1103" w:name="DESCRIPTORALFABETICO242"/>
      <w:r w:rsidRPr="00C72046">
        <w:rPr>
          <w:rStyle w:val="TextoNormalNegritaCaracter"/>
        </w:rPr>
        <w:t>Potestad sancionadora</w:t>
      </w:r>
      <w:bookmarkEnd w:id="1103"/>
      <w:r w:rsidRPr="00C72046">
        <w:rPr>
          <w:rStyle w:val="TextoNormalCaracter"/>
        </w:rPr>
        <w:t xml:space="preserve">, </w:t>
      </w:r>
    </w:p>
    <w:p w14:paraId="22DB3EC6" w14:textId="4BC2BBF9"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 </w:t>
      </w:r>
      <w:hyperlink w:anchor="SENTENCIA_2025_84" w:history="1">
        <w:r w:rsidRPr="00C72046">
          <w:rPr>
            <w:rStyle w:val="TextoNormalCaracter"/>
          </w:rPr>
          <w:t>84/2025</w:t>
        </w:r>
      </w:hyperlink>
      <w:r w:rsidRPr="00C72046">
        <w:rPr>
          <w:rStyle w:val="TextoNormalCaracter"/>
        </w:rPr>
        <w:t>, f. 2, VP I.</w:t>
      </w:r>
    </w:p>
    <w:p w14:paraId="26C5836A" w14:textId="7C5B54E0" w:rsidR="00C72046" w:rsidRPr="00C72046" w:rsidRDefault="00C72046" w:rsidP="00C72046">
      <w:pPr>
        <w:pStyle w:val="TextoNormalSangraFrancesa"/>
        <w:rPr>
          <w:rStyle w:val="TextoNormalCaracter"/>
        </w:rPr>
      </w:pPr>
      <w:bookmarkStart w:id="1104" w:name="DESCRIPTORALFABETICO397"/>
      <w:r w:rsidRPr="00C72046">
        <w:rPr>
          <w:rStyle w:val="TextoNormalNegritaCaracter"/>
        </w:rPr>
        <w:t>Preámbulo de textos legales</w:t>
      </w:r>
      <w:bookmarkEnd w:id="1104"/>
      <w:r w:rsidRPr="00C72046">
        <w:rPr>
          <w:rStyle w:val="TextoNormalCaracter"/>
        </w:rPr>
        <w:t xml:space="preserve">, Auto </w:t>
      </w:r>
      <w:hyperlink w:anchor="AUTO_2025_59" w:history="1">
        <w:r w:rsidRPr="00C72046">
          <w:rPr>
            <w:rStyle w:val="TextoNormalCaracter"/>
          </w:rPr>
          <w:t>59/2025</w:t>
        </w:r>
      </w:hyperlink>
      <w:r w:rsidRPr="00C72046">
        <w:rPr>
          <w:rStyle w:val="TextoNormalCaracter"/>
        </w:rPr>
        <w:t>, f. 4.</w:t>
      </w:r>
    </w:p>
    <w:p w14:paraId="7AB2F0A2" w14:textId="4A91D596" w:rsidR="00C72046" w:rsidRPr="00C72046" w:rsidRDefault="00C72046" w:rsidP="00C72046">
      <w:pPr>
        <w:pStyle w:val="TextoNormalSangraFrancesa"/>
        <w:rPr>
          <w:rStyle w:val="TextoNormalCaracter"/>
        </w:rPr>
      </w:pPr>
      <w:bookmarkStart w:id="1105" w:name="DESCRIPTORALFABETICO415"/>
      <w:r w:rsidRPr="00C72046">
        <w:rPr>
          <w:rStyle w:val="TextoNormalNegritaCaracter"/>
        </w:rPr>
        <w:t>Prestación por nacimiento y cuidado de menor</w:t>
      </w:r>
      <w:bookmarkEnd w:id="1105"/>
      <w:r w:rsidRPr="00C72046">
        <w:rPr>
          <w:rStyle w:val="TextoNormalCaracter"/>
        </w:rPr>
        <w:t xml:space="preserve">, Sentencias </w:t>
      </w:r>
      <w:hyperlink w:anchor="SENTENCIA_2025_4" w:history="1">
        <w:r w:rsidRPr="00C72046">
          <w:rPr>
            <w:rStyle w:val="TextoNormalCaracter"/>
          </w:rPr>
          <w:t>4/2025</w:t>
        </w:r>
      </w:hyperlink>
      <w:r w:rsidRPr="00C72046">
        <w:rPr>
          <w:rStyle w:val="TextoNormalCaracter"/>
        </w:rPr>
        <w:t xml:space="preserve">, f. 3; </w:t>
      </w:r>
      <w:hyperlink w:anchor="SENTENCIA_2025_5" w:history="1">
        <w:r w:rsidRPr="00C72046">
          <w:rPr>
            <w:rStyle w:val="TextoNormalCaracter"/>
          </w:rPr>
          <w:t>5/2025</w:t>
        </w:r>
      </w:hyperlink>
      <w:r w:rsidRPr="00C72046">
        <w:rPr>
          <w:rStyle w:val="TextoNormalCaracter"/>
        </w:rPr>
        <w:t xml:space="preserve">, f. único;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xml:space="preserve">, f. 3; </w:t>
      </w:r>
      <w:hyperlink w:anchor="SENTENCIA_2025_17" w:history="1">
        <w:r w:rsidRPr="00C72046">
          <w:rPr>
            <w:rStyle w:val="TextoNormalCaracter"/>
          </w:rPr>
          <w:t>17/2025</w:t>
        </w:r>
      </w:hyperlink>
      <w:r w:rsidRPr="00C72046">
        <w:rPr>
          <w:rStyle w:val="TextoNormalCaracter"/>
        </w:rPr>
        <w:t xml:space="preserve">, f. único; </w:t>
      </w:r>
      <w:hyperlink w:anchor="SENTENCIA_2025_18" w:history="1">
        <w:r w:rsidRPr="00C72046">
          <w:rPr>
            <w:rStyle w:val="TextoNormalCaracter"/>
          </w:rPr>
          <w:t>18/2025</w:t>
        </w:r>
      </w:hyperlink>
      <w:r w:rsidRPr="00C72046">
        <w:rPr>
          <w:rStyle w:val="TextoNormalCaracter"/>
        </w:rPr>
        <w:t xml:space="preserve">, f. único; </w:t>
      </w:r>
      <w:hyperlink w:anchor="SENTENCIA_2025_20" w:history="1">
        <w:r w:rsidRPr="00C72046">
          <w:rPr>
            <w:rStyle w:val="TextoNormalCaracter"/>
          </w:rPr>
          <w:t>20/2025</w:t>
        </w:r>
      </w:hyperlink>
      <w:r w:rsidRPr="00C72046">
        <w:rPr>
          <w:rStyle w:val="TextoNormalCaracter"/>
        </w:rPr>
        <w:t xml:space="preserve">, f. único; </w:t>
      </w:r>
      <w:hyperlink w:anchor="SENTENCIA_2025_21" w:history="1">
        <w:r w:rsidRPr="00C72046">
          <w:rPr>
            <w:rStyle w:val="TextoNormalCaracter"/>
          </w:rPr>
          <w:t>21/2025</w:t>
        </w:r>
      </w:hyperlink>
      <w:r w:rsidRPr="00C72046">
        <w:rPr>
          <w:rStyle w:val="TextoNormalCaracter"/>
        </w:rPr>
        <w:t xml:space="preserve">, f. 2; </w:t>
      </w:r>
      <w:hyperlink w:anchor="SENTENCIA_2025_22" w:history="1">
        <w:r w:rsidRPr="00C72046">
          <w:rPr>
            <w:rStyle w:val="TextoNormalCaracter"/>
          </w:rPr>
          <w:t>22/2025</w:t>
        </w:r>
      </w:hyperlink>
      <w:r w:rsidRPr="00C72046">
        <w:rPr>
          <w:rStyle w:val="TextoNormalCaracter"/>
        </w:rPr>
        <w:t xml:space="preserve">, f. único; </w:t>
      </w:r>
      <w:hyperlink w:anchor="SENTENCIA_2025_23" w:history="1">
        <w:r w:rsidRPr="00C72046">
          <w:rPr>
            <w:rStyle w:val="TextoNormalCaracter"/>
          </w:rPr>
          <w:t>23/2025</w:t>
        </w:r>
      </w:hyperlink>
      <w:r w:rsidRPr="00C72046">
        <w:rPr>
          <w:rStyle w:val="TextoNormalCaracter"/>
        </w:rPr>
        <w:t xml:space="preserve">, f. 2; </w:t>
      </w:r>
      <w:hyperlink w:anchor="SENTENCIA_2025_24" w:history="1">
        <w:r w:rsidRPr="00C72046">
          <w:rPr>
            <w:rStyle w:val="TextoNormalCaracter"/>
          </w:rPr>
          <w:t>24/2025</w:t>
        </w:r>
      </w:hyperlink>
      <w:r w:rsidRPr="00C72046">
        <w:rPr>
          <w:rStyle w:val="TextoNormalCaracter"/>
        </w:rPr>
        <w:t xml:space="preserve">, f. 2; </w:t>
      </w:r>
      <w:hyperlink w:anchor="SENTENCIA_2025_29" w:history="1">
        <w:r w:rsidRPr="00C72046">
          <w:rPr>
            <w:rStyle w:val="TextoNormalCaracter"/>
          </w:rPr>
          <w:t>29/2025</w:t>
        </w:r>
      </w:hyperlink>
      <w:r w:rsidRPr="00C72046">
        <w:rPr>
          <w:rStyle w:val="TextoNormalCaracter"/>
        </w:rPr>
        <w:t xml:space="preserve">, f. único; </w:t>
      </w:r>
      <w:hyperlink w:anchor="SENTENCIA_2025_30" w:history="1">
        <w:r w:rsidRPr="00C72046">
          <w:rPr>
            <w:rStyle w:val="TextoNormalCaracter"/>
          </w:rPr>
          <w:t>30/2025</w:t>
        </w:r>
      </w:hyperlink>
      <w:r w:rsidRPr="00C72046">
        <w:rPr>
          <w:rStyle w:val="TextoNormalCaracter"/>
        </w:rPr>
        <w:t xml:space="preserve">, f. 2; </w:t>
      </w:r>
      <w:hyperlink w:anchor="SENTENCIA_2025_32" w:history="1">
        <w:r w:rsidRPr="00C72046">
          <w:rPr>
            <w:rStyle w:val="TextoNormalCaracter"/>
          </w:rPr>
          <w:t>32/2025</w:t>
        </w:r>
      </w:hyperlink>
      <w:r w:rsidRPr="00C72046">
        <w:rPr>
          <w:rStyle w:val="TextoNormalCaracter"/>
        </w:rPr>
        <w:t xml:space="preserve">, f. 2; </w:t>
      </w:r>
      <w:hyperlink w:anchor="SENTENCIA_2025_33" w:history="1">
        <w:r w:rsidRPr="00C72046">
          <w:rPr>
            <w:rStyle w:val="TextoNormalCaracter"/>
          </w:rPr>
          <w:t>33/2025</w:t>
        </w:r>
      </w:hyperlink>
      <w:r w:rsidRPr="00C72046">
        <w:rPr>
          <w:rStyle w:val="TextoNormalCaracter"/>
        </w:rPr>
        <w:t xml:space="preserve">, f. 2; </w:t>
      </w:r>
      <w:hyperlink w:anchor="SENTENCIA_2025_34" w:history="1">
        <w:r w:rsidRPr="00C72046">
          <w:rPr>
            <w:rStyle w:val="TextoNormalCaracter"/>
          </w:rPr>
          <w:t>34/2025</w:t>
        </w:r>
      </w:hyperlink>
      <w:r w:rsidRPr="00C72046">
        <w:rPr>
          <w:rStyle w:val="TextoNormalCaracter"/>
        </w:rPr>
        <w:t xml:space="preserve">, f. único; </w:t>
      </w:r>
      <w:hyperlink w:anchor="SENTENCIA_2025_35" w:history="1">
        <w:r w:rsidRPr="00C72046">
          <w:rPr>
            <w:rStyle w:val="TextoNormalCaracter"/>
          </w:rPr>
          <w:t>35/2025</w:t>
        </w:r>
      </w:hyperlink>
      <w:r w:rsidRPr="00C72046">
        <w:rPr>
          <w:rStyle w:val="TextoNormalCaracter"/>
        </w:rPr>
        <w:t xml:space="preserve">, f. 2; </w:t>
      </w:r>
      <w:hyperlink w:anchor="SENTENCIA_2025_36" w:history="1">
        <w:r w:rsidRPr="00C72046">
          <w:rPr>
            <w:rStyle w:val="TextoNormalCaracter"/>
          </w:rPr>
          <w:t>36/2025</w:t>
        </w:r>
      </w:hyperlink>
      <w:r w:rsidRPr="00C72046">
        <w:rPr>
          <w:rStyle w:val="TextoNormalCaracter"/>
        </w:rPr>
        <w:t xml:space="preserve">, f. único; </w:t>
      </w:r>
      <w:hyperlink w:anchor="SENTENCIA_2025_38" w:history="1">
        <w:r w:rsidRPr="00C72046">
          <w:rPr>
            <w:rStyle w:val="TextoNormalCaracter"/>
          </w:rPr>
          <w:t>38/2025</w:t>
        </w:r>
      </w:hyperlink>
      <w:r w:rsidRPr="00C72046">
        <w:rPr>
          <w:rStyle w:val="TextoNormalCaracter"/>
        </w:rPr>
        <w:t xml:space="preserve">, f. 2; </w:t>
      </w:r>
      <w:hyperlink w:anchor="SENTENCIA_2025_39" w:history="1">
        <w:r w:rsidRPr="00C72046">
          <w:rPr>
            <w:rStyle w:val="TextoNormalCaracter"/>
          </w:rPr>
          <w:t>39/2025</w:t>
        </w:r>
      </w:hyperlink>
      <w:r w:rsidRPr="00C72046">
        <w:rPr>
          <w:rStyle w:val="TextoNormalCaracter"/>
        </w:rPr>
        <w:t xml:space="preserve">, f. 2; </w:t>
      </w:r>
      <w:hyperlink w:anchor="SENTENCIA_2025_46" w:history="1">
        <w:r w:rsidRPr="00C72046">
          <w:rPr>
            <w:rStyle w:val="TextoNormalCaracter"/>
          </w:rPr>
          <w:t>46/2025</w:t>
        </w:r>
      </w:hyperlink>
      <w:r w:rsidRPr="00C72046">
        <w:rPr>
          <w:rStyle w:val="TextoNormalCaracter"/>
        </w:rPr>
        <w:t xml:space="preserve">, f. único; </w:t>
      </w:r>
      <w:hyperlink w:anchor="SENTENCIA_2025_47" w:history="1">
        <w:r w:rsidRPr="00C72046">
          <w:rPr>
            <w:rStyle w:val="TextoNormalCaracter"/>
          </w:rPr>
          <w:t>47/2025</w:t>
        </w:r>
      </w:hyperlink>
      <w:r w:rsidRPr="00C72046">
        <w:rPr>
          <w:rStyle w:val="TextoNormalCaracter"/>
        </w:rPr>
        <w:t xml:space="preserve">, f. 2; </w:t>
      </w:r>
      <w:hyperlink w:anchor="SENTENCIA_2025_48" w:history="1">
        <w:r w:rsidRPr="00C72046">
          <w:rPr>
            <w:rStyle w:val="TextoNormalCaracter"/>
          </w:rPr>
          <w:t>48/2025</w:t>
        </w:r>
      </w:hyperlink>
      <w:r w:rsidRPr="00C72046">
        <w:rPr>
          <w:rStyle w:val="TextoNormalCaracter"/>
        </w:rPr>
        <w:t xml:space="preserve">, f. 2; </w:t>
      </w:r>
      <w:hyperlink w:anchor="SENTENCIA_2025_50" w:history="1">
        <w:r w:rsidRPr="00C72046">
          <w:rPr>
            <w:rStyle w:val="TextoNormalCaracter"/>
          </w:rPr>
          <w:t>50/2025</w:t>
        </w:r>
      </w:hyperlink>
      <w:r w:rsidRPr="00C72046">
        <w:rPr>
          <w:rStyle w:val="TextoNormalCaracter"/>
        </w:rPr>
        <w:t xml:space="preserve">, f. 2; </w:t>
      </w:r>
      <w:hyperlink w:anchor="SENTENCIA_2025_56" w:history="1">
        <w:r w:rsidRPr="00C72046">
          <w:rPr>
            <w:rStyle w:val="TextoNormalCaracter"/>
          </w:rPr>
          <w:t>56/2025</w:t>
        </w:r>
      </w:hyperlink>
      <w:r w:rsidRPr="00C72046">
        <w:rPr>
          <w:rStyle w:val="TextoNormalCaracter"/>
        </w:rPr>
        <w:t xml:space="preserve">, f. 2; </w:t>
      </w:r>
      <w:hyperlink w:anchor="SENTENCIA_2025_57" w:history="1">
        <w:r w:rsidRPr="00C72046">
          <w:rPr>
            <w:rStyle w:val="TextoNormalCaracter"/>
          </w:rPr>
          <w:t>57/2025</w:t>
        </w:r>
      </w:hyperlink>
      <w:r w:rsidRPr="00C72046">
        <w:rPr>
          <w:rStyle w:val="TextoNormalCaracter"/>
        </w:rPr>
        <w:t xml:space="preserve">, f. 2; </w:t>
      </w:r>
      <w:hyperlink w:anchor="SENTENCIA_2025_58" w:history="1">
        <w:r w:rsidRPr="00C72046">
          <w:rPr>
            <w:rStyle w:val="TextoNormalCaracter"/>
          </w:rPr>
          <w:t>58/2025</w:t>
        </w:r>
      </w:hyperlink>
      <w:r w:rsidRPr="00C72046">
        <w:rPr>
          <w:rStyle w:val="TextoNormalCaracter"/>
        </w:rPr>
        <w:t xml:space="preserve">, f. 2; </w:t>
      </w:r>
      <w:hyperlink w:anchor="SENTENCIA_2025_59" w:history="1">
        <w:r w:rsidRPr="00C72046">
          <w:rPr>
            <w:rStyle w:val="TextoNormalCaracter"/>
          </w:rPr>
          <w:t>59/2025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65" w:history="1">
        <w:r w:rsidRPr="00C72046">
          <w:rPr>
            <w:rStyle w:val="TextoNormalCaracter"/>
          </w:rPr>
          <w:t>65/2025</w:t>
        </w:r>
      </w:hyperlink>
      <w:r w:rsidRPr="00C72046">
        <w:rPr>
          <w:rStyle w:val="TextoNormalCaracter"/>
        </w:rPr>
        <w:t xml:space="preserve">, f. único; </w:t>
      </w:r>
      <w:hyperlink w:anchor="SENTENCIA_2025_66" w:history="1">
        <w:r w:rsidRPr="00C72046">
          <w:rPr>
            <w:rStyle w:val="TextoNormalCaracter"/>
          </w:rPr>
          <w:t>66/2025</w:t>
        </w:r>
      </w:hyperlink>
      <w:r w:rsidRPr="00C72046">
        <w:rPr>
          <w:rStyle w:val="TextoNormalCaracter"/>
        </w:rPr>
        <w:t xml:space="preserve">, f. 2; </w:t>
      </w:r>
      <w:hyperlink w:anchor="SENTENCIA_2025_67" w:history="1">
        <w:r w:rsidRPr="00C72046">
          <w:rPr>
            <w:rStyle w:val="TextoNormalCaracter"/>
          </w:rPr>
          <w:t>67/2025</w:t>
        </w:r>
      </w:hyperlink>
      <w:r w:rsidRPr="00C72046">
        <w:rPr>
          <w:rStyle w:val="TextoNormalCaracter"/>
        </w:rPr>
        <w:t xml:space="preserve">, f. 2; </w:t>
      </w:r>
      <w:hyperlink w:anchor="SENTENCIA_2025_68" w:history="1">
        <w:r w:rsidRPr="00C72046">
          <w:rPr>
            <w:rStyle w:val="TextoNormalCaracter"/>
          </w:rPr>
          <w:t>68/2025</w:t>
        </w:r>
      </w:hyperlink>
      <w:r w:rsidRPr="00C72046">
        <w:rPr>
          <w:rStyle w:val="TextoNormalCaracter"/>
        </w:rPr>
        <w:t xml:space="preserve">, f. 2; </w:t>
      </w:r>
      <w:hyperlink w:anchor="SENTENCIA_2025_70" w:history="1">
        <w:r w:rsidRPr="00C72046">
          <w:rPr>
            <w:rStyle w:val="TextoNormalCaracter"/>
          </w:rPr>
          <w:t>70/2025</w:t>
        </w:r>
      </w:hyperlink>
      <w:r w:rsidRPr="00C72046">
        <w:rPr>
          <w:rStyle w:val="TextoNormalCaracter"/>
        </w:rPr>
        <w:t xml:space="preserve">, f. 2; </w:t>
      </w:r>
      <w:hyperlink w:anchor="SENTENCIA_2025_71" w:history="1">
        <w:r w:rsidRPr="00C72046">
          <w:rPr>
            <w:rStyle w:val="TextoNormalCaracter"/>
          </w:rPr>
          <w:t>71/2025</w:t>
        </w:r>
      </w:hyperlink>
      <w:r w:rsidRPr="00C72046">
        <w:rPr>
          <w:rStyle w:val="TextoNormalCaracter"/>
        </w:rPr>
        <w:t xml:space="preserve">, f. único; </w:t>
      </w:r>
      <w:hyperlink w:anchor="SENTENCIA_2025_72" w:history="1">
        <w:r w:rsidRPr="00C72046">
          <w:rPr>
            <w:rStyle w:val="TextoNormalCaracter"/>
          </w:rPr>
          <w:t>72/2025</w:t>
        </w:r>
      </w:hyperlink>
      <w:r w:rsidRPr="00C72046">
        <w:rPr>
          <w:rStyle w:val="TextoNormalCaracter"/>
        </w:rPr>
        <w:t xml:space="preserve">, f. único; </w:t>
      </w:r>
      <w:hyperlink w:anchor="SENTENCIA_2025_73" w:history="1">
        <w:r w:rsidRPr="00C72046">
          <w:rPr>
            <w:rStyle w:val="TextoNormalCaracter"/>
          </w:rPr>
          <w:t>73/2025</w:t>
        </w:r>
      </w:hyperlink>
      <w:r w:rsidRPr="00C72046">
        <w:rPr>
          <w:rStyle w:val="TextoNormalCaracter"/>
        </w:rPr>
        <w:t xml:space="preserve">, f. 2; </w:t>
      </w:r>
      <w:hyperlink w:anchor="SENTENCIA_2025_74" w:history="1">
        <w:r w:rsidRPr="00C72046">
          <w:rPr>
            <w:rStyle w:val="TextoNormalCaracter"/>
          </w:rPr>
          <w:t>74/2025</w:t>
        </w:r>
      </w:hyperlink>
      <w:r w:rsidRPr="00C72046">
        <w:rPr>
          <w:rStyle w:val="TextoNormalCaracter"/>
        </w:rPr>
        <w:t xml:space="preserve">, f. único; </w:t>
      </w:r>
      <w:hyperlink w:anchor="SENTENCIA_2025_75" w:history="1">
        <w:r w:rsidRPr="00C72046">
          <w:rPr>
            <w:rStyle w:val="TextoNormalCaracter"/>
          </w:rPr>
          <w:t>75/2025</w:t>
        </w:r>
      </w:hyperlink>
      <w:r w:rsidRPr="00C72046">
        <w:rPr>
          <w:rStyle w:val="TextoNormalCaracter"/>
        </w:rPr>
        <w:t xml:space="preserve">, f. único; </w:t>
      </w:r>
      <w:hyperlink w:anchor="SENTENCIA_2025_76" w:history="1">
        <w:r w:rsidRPr="00C72046">
          <w:rPr>
            <w:rStyle w:val="TextoNormalCaracter"/>
          </w:rPr>
          <w:t>76/2025</w:t>
        </w:r>
      </w:hyperlink>
      <w:r w:rsidRPr="00C72046">
        <w:rPr>
          <w:rStyle w:val="TextoNormalCaracter"/>
        </w:rPr>
        <w:t xml:space="preserve">, f. 2; </w:t>
      </w:r>
      <w:hyperlink w:anchor="SENTENCIA_2025_77" w:history="1">
        <w:r w:rsidRPr="00C72046">
          <w:rPr>
            <w:rStyle w:val="TextoNormalCaracter"/>
          </w:rPr>
          <w:t>77/2025</w:t>
        </w:r>
      </w:hyperlink>
      <w:r w:rsidRPr="00C72046">
        <w:rPr>
          <w:rStyle w:val="TextoNormalCaracter"/>
        </w:rPr>
        <w:t xml:space="preserve">, f. único; </w:t>
      </w:r>
      <w:hyperlink w:anchor="SENTENCIA_2025_78" w:history="1">
        <w:r w:rsidRPr="00C72046">
          <w:rPr>
            <w:rStyle w:val="TextoNormalCaracter"/>
          </w:rPr>
          <w:t>78/2025</w:t>
        </w:r>
      </w:hyperlink>
      <w:r w:rsidRPr="00C72046">
        <w:rPr>
          <w:rStyle w:val="TextoNormalCaracter"/>
        </w:rPr>
        <w:t xml:space="preserve">, f. único; </w:t>
      </w:r>
      <w:hyperlink w:anchor="SENTENCIA_2025_79" w:history="1">
        <w:r w:rsidRPr="00C72046">
          <w:rPr>
            <w:rStyle w:val="TextoNormalCaracter"/>
          </w:rPr>
          <w:t>79/2025</w:t>
        </w:r>
      </w:hyperlink>
      <w:r w:rsidRPr="00C72046">
        <w:rPr>
          <w:rStyle w:val="TextoNormalCaracter"/>
        </w:rPr>
        <w:t xml:space="preserve">, f. 3; </w:t>
      </w:r>
      <w:hyperlink w:anchor="SENTENCIA_2025_80" w:history="1">
        <w:r w:rsidRPr="00C72046">
          <w:rPr>
            <w:rStyle w:val="TextoNormalCaracter"/>
          </w:rPr>
          <w:t>80/2025</w:t>
        </w:r>
      </w:hyperlink>
      <w:r w:rsidRPr="00C72046">
        <w:rPr>
          <w:rStyle w:val="TextoNormalCaracter"/>
        </w:rPr>
        <w:t xml:space="preserve">, f. 2; </w:t>
      </w:r>
      <w:hyperlink w:anchor="SENTENCIA_2025_81" w:history="1">
        <w:r w:rsidRPr="00C72046">
          <w:rPr>
            <w:rStyle w:val="TextoNormalCaracter"/>
          </w:rPr>
          <w:t>81/2025</w:t>
        </w:r>
      </w:hyperlink>
      <w:r w:rsidRPr="00C72046">
        <w:rPr>
          <w:rStyle w:val="TextoNormalCaracter"/>
        </w:rPr>
        <w:t xml:space="preserve">, f. 2; </w:t>
      </w:r>
      <w:hyperlink w:anchor="SENTENCIA_2025_88" w:history="1">
        <w:r w:rsidRPr="00C72046">
          <w:rPr>
            <w:rStyle w:val="TextoNormalCaracter"/>
          </w:rPr>
          <w:t>88/2025</w:t>
        </w:r>
      </w:hyperlink>
      <w:r w:rsidRPr="00C72046">
        <w:rPr>
          <w:rStyle w:val="TextoNormalCaracter"/>
        </w:rPr>
        <w:t xml:space="preserve">, f. 2; </w:t>
      </w:r>
      <w:hyperlink w:anchor="SENTENCIA_2025_89" w:history="1">
        <w:r w:rsidRPr="00C72046">
          <w:rPr>
            <w:rStyle w:val="TextoNormalCaracter"/>
          </w:rPr>
          <w:t>89/2025</w:t>
        </w:r>
      </w:hyperlink>
      <w:r w:rsidRPr="00C72046">
        <w:rPr>
          <w:rStyle w:val="TextoNormalCaracter"/>
        </w:rPr>
        <w:t xml:space="preserve">, f. 2; </w:t>
      </w:r>
      <w:hyperlink w:anchor="SENTENCIA_2025_90" w:history="1">
        <w:r w:rsidRPr="00C72046">
          <w:rPr>
            <w:rStyle w:val="TextoNormalCaracter"/>
          </w:rPr>
          <w:t>90/2025</w:t>
        </w:r>
      </w:hyperlink>
      <w:r w:rsidRPr="00C72046">
        <w:rPr>
          <w:rStyle w:val="TextoNormalCaracter"/>
        </w:rPr>
        <w:t xml:space="preserve">, f. 2; </w:t>
      </w:r>
      <w:hyperlink w:anchor="SENTENCIA_2025_91" w:history="1">
        <w:r w:rsidRPr="00C72046">
          <w:rPr>
            <w:rStyle w:val="TextoNormalCaracter"/>
          </w:rPr>
          <w:t>91/2025</w:t>
        </w:r>
      </w:hyperlink>
      <w:r w:rsidRPr="00C72046">
        <w:rPr>
          <w:rStyle w:val="TextoNormalCaracter"/>
        </w:rPr>
        <w:t xml:space="preserve">, f. único; </w:t>
      </w:r>
      <w:hyperlink w:anchor="SENTENCIA_2025_92" w:history="1">
        <w:r w:rsidRPr="00C72046">
          <w:rPr>
            <w:rStyle w:val="TextoNormalCaracter"/>
          </w:rPr>
          <w:t>92/2025</w:t>
        </w:r>
      </w:hyperlink>
      <w:r w:rsidRPr="00C72046">
        <w:rPr>
          <w:rStyle w:val="TextoNormalCaracter"/>
        </w:rPr>
        <w:t xml:space="preserve">, f. 2; </w:t>
      </w:r>
      <w:hyperlink w:anchor="SENTENCIA_2025_93" w:history="1">
        <w:r w:rsidRPr="00C72046">
          <w:rPr>
            <w:rStyle w:val="TextoNormalCaracter"/>
          </w:rPr>
          <w:t>93/2025</w:t>
        </w:r>
      </w:hyperlink>
      <w:r w:rsidRPr="00C72046">
        <w:rPr>
          <w:rStyle w:val="TextoNormalCaracter"/>
        </w:rPr>
        <w:t xml:space="preserve">, f. 2; </w:t>
      </w:r>
      <w:hyperlink w:anchor="SENTENCIA_2025_94" w:history="1">
        <w:r w:rsidRPr="00C72046">
          <w:rPr>
            <w:rStyle w:val="TextoNormalCaracter"/>
          </w:rPr>
          <w:t>94/2025</w:t>
        </w:r>
      </w:hyperlink>
      <w:r w:rsidRPr="00C72046">
        <w:rPr>
          <w:rStyle w:val="TextoNormalCaracter"/>
        </w:rPr>
        <w:t xml:space="preserve">, f. 2; </w:t>
      </w:r>
      <w:hyperlink w:anchor="SENTENCIA_2025_102" w:history="1">
        <w:r w:rsidRPr="00C72046">
          <w:rPr>
            <w:rStyle w:val="TextoNormalCaracter"/>
          </w:rPr>
          <w:t>102/2025</w:t>
        </w:r>
      </w:hyperlink>
      <w:r w:rsidRPr="00C72046">
        <w:rPr>
          <w:rStyle w:val="TextoNormalCaracter"/>
        </w:rPr>
        <w:t xml:space="preserve">, f. 2; </w:t>
      </w:r>
      <w:hyperlink w:anchor="SENTENCIA_2025_103" w:history="1">
        <w:r w:rsidRPr="00C72046">
          <w:rPr>
            <w:rStyle w:val="TextoNormalCaracter"/>
          </w:rPr>
          <w:t>103/2025</w:t>
        </w:r>
      </w:hyperlink>
      <w:r w:rsidRPr="00C72046">
        <w:rPr>
          <w:rStyle w:val="TextoNormalCaracter"/>
        </w:rPr>
        <w:t xml:space="preserve">, f. único; </w:t>
      </w:r>
      <w:hyperlink w:anchor="SENTENCIA_2025_104" w:history="1">
        <w:r w:rsidRPr="00C72046">
          <w:rPr>
            <w:rStyle w:val="TextoNormalCaracter"/>
          </w:rPr>
          <w:t>104/2025</w:t>
        </w:r>
      </w:hyperlink>
      <w:r w:rsidRPr="00C72046">
        <w:rPr>
          <w:rStyle w:val="TextoNormalCaracter"/>
        </w:rPr>
        <w:t xml:space="preserve">, f. único; </w:t>
      </w:r>
      <w:hyperlink w:anchor="SENTENCIA_2025_112" w:history="1">
        <w:r w:rsidRPr="00C72046">
          <w:rPr>
            <w:rStyle w:val="TextoNormalCaracter"/>
          </w:rPr>
          <w:t>112/2025</w:t>
        </w:r>
      </w:hyperlink>
      <w:r w:rsidRPr="00C72046">
        <w:rPr>
          <w:rStyle w:val="TextoNormalCaracter"/>
        </w:rPr>
        <w:t xml:space="preserve">, f. 2; </w:t>
      </w:r>
      <w:hyperlink w:anchor="SENTENCIA_2025_113" w:history="1">
        <w:r w:rsidRPr="00C72046">
          <w:rPr>
            <w:rStyle w:val="TextoNormalCaracter"/>
          </w:rPr>
          <w:t>113/2025</w:t>
        </w:r>
      </w:hyperlink>
      <w:r w:rsidRPr="00C72046">
        <w:rPr>
          <w:rStyle w:val="TextoNormalCaracter"/>
        </w:rPr>
        <w:t xml:space="preserve">, f. único; </w:t>
      </w:r>
      <w:hyperlink w:anchor="SENTENCIA_2025_114" w:history="1">
        <w:r w:rsidRPr="00C72046">
          <w:rPr>
            <w:rStyle w:val="TextoNormalCaracter"/>
          </w:rPr>
          <w:t>114/2025</w:t>
        </w:r>
      </w:hyperlink>
      <w:r w:rsidRPr="00C72046">
        <w:rPr>
          <w:rStyle w:val="TextoNormalCaracter"/>
        </w:rPr>
        <w:t xml:space="preserve">, f. único; </w:t>
      </w:r>
      <w:hyperlink w:anchor="SENTENCIA_2025_115" w:history="1">
        <w:r w:rsidRPr="00C72046">
          <w:rPr>
            <w:rStyle w:val="TextoNormalCaracter"/>
          </w:rPr>
          <w:t>115/2025</w:t>
        </w:r>
      </w:hyperlink>
      <w:r w:rsidRPr="00C72046">
        <w:rPr>
          <w:rStyle w:val="TextoNormalCaracter"/>
        </w:rPr>
        <w:t xml:space="preserve">, f. único; </w:t>
      </w:r>
      <w:hyperlink w:anchor="SENTENCIA_2025_116" w:history="1">
        <w:r w:rsidRPr="00C72046">
          <w:rPr>
            <w:rStyle w:val="TextoNormalCaracter"/>
          </w:rPr>
          <w:t>116/2025</w:t>
        </w:r>
      </w:hyperlink>
      <w:r w:rsidRPr="00C72046">
        <w:rPr>
          <w:rStyle w:val="TextoNormalCaracter"/>
        </w:rPr>
        <w:t xml:space="preserve">, f. único; </w:t>
      </w:r>
      <w:hyperlink w:anchor="SENTENCIA_2025_122" w:history="1">
        <w:r w:rsidRPr="00C72046">
          <w:rPr>
            <w:rStyle w:val="TextoNormalCaracter"/>
          </w:rPr>
          <w:t>122/2025</w:t>
        </w:r>
      </w:hyperlink>
      <w:r w:rsidRPr="00C72046">
        <w:rPr>
          <w:rStyle w:val="TextoNormalCaracter"/>
        </w:rPr>
        <w:t xml:space="preserve">, f. único; </w:t>
      </w:r>
      <w:hyperlink w:anchor="SENTENCIA_2025_123" w:history="1">
        <w:r w:rsidRPr="00C72046">
          <w:rPr>
            <w:rStyle w:val="TextoNormalCaracter"/>
          </w:rPr>
          <w:t>123/2025</w:t>
        </w:r>
      </w:hyperlink>
      <w:r w:rsidRPr="00C72046">
        <w:rPr>
          <w:rStyle w:val="TextoNormalCaracter"/>
        </w:rPr>
        <w:t xml:space="preserve">, f. 2; </w:t>
      </w:r>
      <w:hyperlink w:anchor="SENTENCIA_2025_124" w:history="1">
        <w:r w:rsidRPr="00C72046">
          <w:rPr>
            <w:rStyle w:val="TextoNormalCaracter"/>
          </w:rPr>
          <w:t>124/2025</w:t>
        </w:r>
      </w:hyperlink>
      <w:r w:rsidRPr="00C72046">
        <w:rPr>
          <w:rStyle w:val="TextoNormalCaracter"/>
        </w:rPr>
        <w:t xml:space="preserve">, f. 2; </w:t>
      </w:r>
      <w:hyperlink w:anchor="SENTENCIA_2025_125" w:history="1">
        <w:r w:rsidRPr="00C72046">
          <w:rPr>
            <w:rStyle w:val="TextoNormalCaracter"/>
          </w:rPr>
          <w:t>125/2025</w:t>
        </w:r>
      </w:hyperlink>
      <w:r w:rsidRPr="00C72046">
        <w:rPr>
          <w:rStyle w:val="TextoNormalCaracter"/>
        </w:rPr>
        <w:t xml:space="preserve">, f. único; </w:t>
      </w:r>
      <w:hyperlink w:anchor="SENTENCIA_2025_127" w:history="1">
        <w:r w:rsidRPr="00C72046">
          <w:rPr>
            <w:rStyle w:val="TextoNormalCaracter"/>
          </w:rPr>
          <w:t>127/2025</w:t>
        </w:r>
      </w:hyperlink>
      <w:r w:rsidRPr="00C72046">
        <w:rPr>
          <w:rStyle w:val="TextoNormalCaracter"/>
        </w:rPr>
        <w:t xml:space="preserve">, f. 2; </w:t>
      </w:r>
      <w:hyperlink w:anchor="SENTENCIA_2025_128" w:history="1">
        <w:r w:rsidRPr="00C72046">
          <w:rPr>
            <w:rStyle w:val="TextoNormalCaracter"/>
          </w:rPr>
          <w:t>128/2025</w:t>
        </w:r>
      </w:hyperlink>
      <w:r w:rsidRPr="00C72046">
        <w:rPr>
          <w:rStyle w:val="TextoNormalCaracter"/>
        </w:rPr>
        <w:t xml:space="preserve">, f. 2; </w:t>
      </w:r>
      <w:hyperlink w:anchor="SENTENCIA_2025_129" w:history="1">
        <w:r w:rsidRPr="00C72046">
          <w:rPr>
            <w:rStyle w:val="TextoNormalCaracter"/>
          </w:rPr>
          <w:t>129/2025</w:t>
        </w:r>
      </w:hyperlink>
      <w:r w:rsidRPr="00C72046">
        <w:rPr>
          <w:rStyle w:val="TextoNormalCaracter"/>
        </w:rPr>
        <w:t xml:space="preserve">, f. 2; </w:t>
      </w:r>
      <w:hyperlink w:anchor="SENTENCIA_2025_130" w:history="1">
        <w:r w:rsidRPr="00C72046">
          <w:rPr>
            <w:rStyle w:val="TextoNormalCaracter"/>
          </w:rPr>
          <w:t>130/2025</w:t>
        </w:r>
      </w:hyperlink>
      <w:r w:rsidRPr="00C72046">
        <w:rPr>
          <w:rStyle w:val="TextoNormalCaracter"/>
        </w:rPr>
        <w:t xml:space="preserve">, f. 2; </w:t>
      </w:r>
      <w:hyperlink w:anchor="SENTENCIA_2025_131" w:history="1">
        <w:r w:rsidRPr="00C72046">
          <w:rPr>
            <w:rStyle w:val="TextoNormalCaracter"/>
          </w:rPr>
          <w:t>131/2025</w:t>
        </w:r>
      </w:hyperlink>
      <w:r w:rsidRPr="00C72046">
        <w:rPr>
          <w:rStyle w:val="TextoNormalCaracter"/>
        </w:rPr>
        <w:t>, f. 2.</w:t>
      </w:r>
    </w:p>
    <w:p w14:paraId="3B9BBE4D" w14:textId="0F482AAC" w:rsidR="00C72046" w:rsidRPr="00C72046" w:rsidRDefault="00C72046" w:rsidP="00C72046">
      <w:pPr>
        <w:pStyle w:val="TextoNormalSangraFrancesa"/>
        <w:rPr>
          <w:rStyle w:val="TextoNormalCaracter"/>
        </w:rPr>
      </w:pPr>
      <w:r w:rsidRPr="00C72046">
        <w:rPr>
          <w:rStyle w:val="TextoNormalCaracter"/>
        </w:rPr>
        <w:t xml:space="preserve">    Autos </w:t>
      </w:r>
      <w:hyperlink w:anchor="AUTO_2025_34" w:history="1">
        <w:r w:rsidRPr="00C72046">
          <w:rPr>
            <w:rStyle w:val="TextoNormalCaracter"/>
          </w:rPr>
          <w:t>34/2025</w:t>
        </w:r>
      </w:hyperlink>
      <w:r w:rsidRPr="00C72046">
        <w:rPr>
          <w:rStyle w:val="TextoNormalCaracter"/>
        </w:rPr>
        <w:t xml:space="preserve">, f. único; </w:t>
      </w:r>
      <w:hyperlink w:anchor="AUTO_2025_37" w:history="1">
        <w:r w:rsidRPr="00C72046">
          <w:rPr>
            <w:rStyle w:val="TextoNormalCaracter"/>
          </w:rPr>
          <w:t>37/2025</w:t>
        </w:r>
      </w:hyperlink>
      <w:r w:rsidRPr="00C72046">
        <w:rPr>
          <w:rStyle w:val="TextoNormalCaracter"/>
        </w:rPr>
        <w:t xml:space="preserve">, f. único; </w:t>
      </w:r>
      <w:hyperlink w:anchor="AUTO_2025_38" w:history="1">
        <w:r w:rsidRPr="00C72046">
          <w:rPr>
            <w:rStyle w:val="TextoNormalCaracter"/>
          </w:rPr>
          <w:t>38/2025</w:t>
        </w:r>
      </w:hyperlink>
      <w:r w:rsidRPr="00C72046">
        <w:rPr>
          <w:rStyle w:val="TextoNormalCaracter"/>
        </w:rPr>
        <w:t xml:space="preserve">, f. único; </w:t>
      </w:r>
      <w:hyperlink w:anchor="AUTO_2025_39" w:history="1">
        <w:r w:rsidRPr="00C72046">
          <w:rPr>
            <w:rStyle w:val="TextoNormalCaracter"/>
          </w:rPr>
          <w:t>39/2025</w:t>
        </w:r>
      </w:hyperlink>
      <w:r w:rsidRPr="00C72046">
        <w:rPr>
          <w:rStyle w:val="TextoNormalCaracter"/>
        </w:rPr>
        <w:t xml:space="preserve">, f. único; </w:t>
      </w:r>
      <w:hyperlink w:anchor="AUTO_2025_40" w:history="1">
        <w:r w:rsidRPr="00C72046">
          <w:rPr>
            <w:rStyle w:val="TextoNormalCaracter"/>
          </w:rPr>
          <w:t>40/2025</w:t>
        </w:r>
      </w:hyperlink>
      <w:r w:rsidRPr="00C72046">
        <w:rPr>
          <w:rStyle w:val="TextoNormalCaracter"/>
        </w:rPr>
        <w:t xml:space="preserve">, f. único; </w:t>
      </w:r>
      <w:hyperlink w:anchor="AUTO_2025_41" w:history="1">
        <w:r w:rsidRPr="00C72046">
          <w:rPr>
            <w:rStyle w:val="TextoNormalCaracter"/>
          </w:rPr>
          <w:t>41/2025</w:t>
        </w:r>
      </w:hyperlink>
      <w:r w:rsidRPr="00C72046">
        <w:rPr>
          <w:rStyle w:val="TextoNormalCaracter"/>
        </w:rPr>
        <w:t xml:space="preserve">, f. único; </w:t>
      </w:r>
      <w:hyperlink w:anchor="AUTO_2025_42" w:history="1">
        <w:r w:rsidRPr="00C72046">
          <w:rPr>
            <w:rStyle w:val="TextoNormalCaracter"/>
          </w:rPr>
          <w:t>42/2025</w:t>
        </w:r>
      </w:hyperlink>
      <w:r w:rsidRPr="00C72046">
        <w:rPr>
          <w:rStyle w:val="TextoNormalCaracter"/>
        </w:rPr>
        <w:t xml:space="preserve">, f. único; </w:t>
      </w:r>
      <w:hyperlink w:anchor="AUTO_2025_43" w:history="1">
        <w:r w:rsidRPr="00C72046">
          <w:rPr>
            <w:rStyle w:val="TextoNormalCaracter"/>
          </w:rPr>
          <w:t>43/2025</w:t>
        </w:r>
      </w:hyperlink>
      <w:r w:rsidRPr="00C72046">
        <w:rPr>
          <w:rStyle w:val="TextoNormalCaracter"/>
        </w:rPr>
        <w:t xml:space="preserve">, f. único; </w:t>
      </w:r>
      <w:hyperlink w:anchor="AUTO_2025_44" w:history="1">
        <w:r w:rsidRPr="00C72046">
          <w:rPr>
            <w:rStyle w:val="TextoNormalCaracter"/>
          </w:rPr>
          <w:t>44/2025</w:t>
        </w:r>
      </w:hyperlink>
      <w:r w:rsidRPr="00C72046">
        <w:rPr>
          <w:rStyle w:val="TextoNormalCaracter"/>
        </w:rPr>
        <w:t xml:space="preserve">, f. único; </w:t>
      </w:r>
      <w:hyperlink w:anchor="AUTO_2025_45" w:history="1">
        <w:r w:rsidRPr="00C72046">
          <w:rPr>
            <w:rStyle w:val="TextoNormalCaracter"/>
          </w:rPr>
          <w:t>45/2025</w:t>
        </w:r>
      </w:hyperlink>
      <w:r w:rsidRPr="00C72046">
        <w:rPr>
          <w:rStyle w:val="TextoNormalCaracter"/>
        </w:rPr>
        <w:t xml:space="preserve">, f. único; </w:t>
      </w:r>
      <w:hyperlink w:anchor="AUTO_2025_46" w:history="1">
        <w:r w:rsidRPr="00C72046">
          <w:rPr>
            <w:rStyle w:val="TextoNormalCaracter"/>
          </w:rPr>
          <w:t>46/2025</w:t>
        </w:r>
      </w:hyperlink>
      <w:r w:rsidRPr="00C72046">
        <w:rPr>
          <w:rStyle w:val="TextoNormalCaracter"/>
        </w:rPr>
        <w:t xml:space="preserve">, f. único; </w:t>
      </w:r>
      <w:hyperlink w:anchor="AUTO_2025_47" w:history="1">
        <w:r w:rsidRPr="00C72046">
          <w:rPr>
            <w:rStyle w:val="TextoNormalCaracter"/>
          </w:rPr>
          <w:t>47/2025</w:t>
        </w:r>
      </w:hyperlink>
      <w:r w:rsidRPr="00C72046">
        <w:rPr>
          <w:rStyle w:val="TextoNormalCaracter"/>
        </w:rPr>
        <w:t xml:space="preserve">, f. único; </w:t>
      </w:r>
      <w:hyperlink w:anchor="AUTO_2025_48" w:history="1">
        <w:r w:rsidRPr="00C72046">
          <w:rPr>
            <w:rStyle w:val="TextoNormalCaracter"/>
          </w:rPr>
          <w:t>48/2025</w:t>
        </w:r>
      </w:hyperlink>
      <w:r w:rsidRPr="00C72046">
        <w:rPr>
          <w:rStyle w:val="TextoNormalCaracter"/>
        </w:rPr>
        <w:t xml:space="preserve">, f. único; </w:t>
      </w:r>
      <w:hyperlink w:anchor="AUTO_2025_49" w:history="1">
        <w:r w:rsidRPr="00C72046">
          <w:rPr>
            <w:rStyle w:val="TextoNormalCaracter"/>
          </w:rPr>
          <w:t>49/2025</w:t>
        </w:r>
      </w:hyperlink>
      <w:r w:rsidRPr="00C72046">
        <w:rPr>
          <w:rStyle w:val="TextoNormalCaracter"/>
        </w:rPr>
        <w:t xml:space="preserve">, f. único; </w:t>
      </w:r>
      <w:hyperlink w:anchor="AUTO_2025_50" w:history="1">
        <w:r w:rsidRPr="00C72046">
          <w:rPr>
            <w:rStyle w:val="TextoNormalCaracter"/>
          </w:rPr>
          <w:t>50/2025</w:t>
        </w:r>
      </w:hyperlink>
      <w:r w:rsidRPr="00C72046">
        <w:rPr>
          <w:rStyle w:val="TextoNormalCaracter"/>
        </w:rPr>
        <w:t xml:space="preserve">, f. único; </w:t>
      </w:r>
      <w:hyperlink w:anchor="AUTO_2025_51" w:history="1">
        <w:r w:rsidRPr="00C72046">
          <w:rPr>
            <w:rStyle w:val="TextoNormalCaracter"/>
          </w:rPr>
          <w:t>51/2025</w:t>
        </w:r>
      </w:hyperlink>
      <w:r w:rsidRPr="00C72046">
        <w:rPr>
          <w:rStyle w:val="TextoNormalCaracter"/>
        </w:rPr>
        <w:t xml:space="preserve">, f. único; </w:t>
      </w:r>
      <w:hyperlink w:anchor="AUTO_2025_52" w:history="1">
        <w:r w:rsidRPr="00C72046">
          <w:rPr>
            <w:rStyle w:val="TextoNormalCaracter"/>
          </w:rPr>
          <w:t>52/2025</w:t>
        </w:r>
      </w:hyperlink>
      <w:r w:rsidRPr="00C72046">
        <w:rPr>
          <w:rStyle w:val="TextoNormalCaracter"/>
        </w:rPr>
        <w:t xml:space="preserve">, f. único; </w:t>
      </w:r>
      <w:hyperlink w:anchor="AUTO_2025_53" w:history="1">
        <w:r w:rsidRPr="00C72046">
          <w:rPr>
            <w:rStyle w:val="TextoNormalCaracter"/>
          </w:rPr>
          <w:t>53/2025</w:t>
        </w:r>
      </w:hyperlink>
      <w:r w:rsidRPr="00C72046">
        <w:rPr>
          <w:rStyle w:val="TextoNormalCaracter"/>
        </w:rPr>
        <w:t xml:space="preserve">, f. único; </w:t>
      </w:r>
      <w:hyperlink w:anchor="AUTO_2025_58" w:history="1">
        <w:r w:rsidRPr="00C72046">
          <w:rPr>
            <w:rStyle w:val="TextoNormalCaracter"/>
          </w:rPr>
          <w:t>58/2025</w:t>
        </w:r>
      </w:hyperlink>
      <w:r w:rsidRPr="00C72046">
        <w:rPr>
          <w:rStyle w:val="TextoNormalCaracter"/>
        </w:rPr>
        <w:t xml:space="preserve">, f. único; </w:t>
      </w:r>
      <w:hyperlink w:anchor="AUTO_2025_60" w:history="1">
        <w:r w:rsidRPr="00C72046">
          <w:rPr>
            <w:rStyle w:val="TextoNormalCaracter"/>
          </w:rPr>
          <w:t>60/2025</w:t>
        </w:r>
      </w:hyperlink>
      <w:r w:rsidRPr="00C72046">
        <w:rPr>
          <w:rStyle w:val="TextoNormalCaracter"/>
        </w:rPr>
        <w:t xml:space="preserve">, f. único; </w:t>
      </w:r>
      <w:hyperlink w:anchor="AUTO_2025_61" w:history="1">
        <w:r w:rsidRPr="00C72046">
          <w:rPr>
            <w:rStyle w:val="TextoNormalCaracter"/>
          </w:rPr>
          <w:t>61/2025</w:t>
        </w:r>
      </w:hyperlink>
      <w:r w:rsidRPr="00C72046">
        <w:rPr>
          <w:rStyle w:val="TextoNormalCaracter"/>
        </w:rPr>
        <w:t xml:space="preserve">, f. único; </w:t>
      </w:r>
      <w:hyperlink w:anchor="AUTO_2025_62" w:history="1">
        <w:r w:rsidRPr="00C72046">
          <w:rPr>
            <w:rStyle w:val="TextoNormalCaracter"/>
          </w:rPr>
          <w:t>62/2025</w:t>
        </w:r>
      </w:hyperlink>
      <w:r w:rsidRPr="00C72046">
        <w:rPr>
          <w:rStyle w:val="TextoNormalCaracter"/>
        </w:rPr>
        <w:t xml:space="preserve">, f. único; </w:t>
      </w:r>
      <w:hyperlink w:anchor="AUTO_2025_63" w:history="1">
        <w:r w:rsidRPr="00C72046">
          <w:rPr>
            <w:rStyle w:val="TextoNormalCaracter"/>
          </w:rPr>
          <w:t>63/2025</w:t>
        </w:r>
      </w:hyperlink>
      <w:r w:rsidRPr="00C72046">
        <w:rPr>
          <w:rStyle w:val="TextoNormalCaracter"/>
        </w:rPr>
        <w:t>, f. único.</w:t>
      </w:r>
    </w:p>
    <w:p w14:paraId="02D10523" w14:textId="5E8901CC" w:rsidR="00C72046" w:rsidRPr="00C72046" w:rsidRDefault="00C72046" w:rsidP="00C72046">
      <w:pPr>
        <w:pStyle w:val="TextoNormalSangraFrancesa"/>
        <w:rPr>
          <w:rStyle w:val="TextoNormalCaracter"/>
        </w:rPr>
      </w:pPr>
      <w:bookmarkStart w:id="1106" w:name="DESCRIPTORALFABETICO373"/>
      <w:r w:rsidRPr="00C72046">
        <w:rPr>
          <w:rStyle w:val="TextoNormalNegritaCaracter"/>
        </w:rPr>
        <w:t>Presupuesto habilitante</w:t>
      </w:r>
      <w:bookmarkEnd w:id="1106"/>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ff. 1, 4, 5, VP II, VP III; </w:t>
      </w:r>
      <w:hyperlink w:anchor="SENTENCIA_2025_118" w:history="1">
        <w:r w:rsidRPr="00C72046">
          <w:rPr>
            <w:rStyle w:val="TextoNormalCaracter"/>
          </w:rPr>
          <w:t>118/2025</w:t>
        </w:r>
      </w:hyperlink>
      <w:r w:rsidRPr="00C72046">
        <w:rPr>
          <w:rStyle w:val="TextoNormalCaracter"/>
        </w:rPr>
        <w:t>, ff. 3 a 5.</w:t>
      </w:r>
    </w:p>
    <w:p w14:paraId="33D677B5" w14:textId="59CE0F2A" w:rsidR="00C72046" w:rsidRPr="00C72046" w:rsidRDefault="00C72046" w:rsidP="00C72046">
      <w:pPr>
        <w:pStyle w:val="TextoNormalSangraFrancesa"/>
        <w:rPr>
          <w:rStyle w:val="TextoNormalCaracter"/>
        </w:rPr>
      </w:pPr>
      <w:bookmarkStart w:id="1107" w:name="DESCRIPTORALFABETICO29"/>
      <w:r w:rsidRPr="00C72046">
        <w:rPr>
          <w:rStyle w:val="TextoNormalNegritaCaracter"/>
        </w:rPr>
        <w:t>Previsión de ingresos y gastos</w:t>
      </w:r>
      <w:bookmarkEnd w:id="1107"/>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ff. 3 y 4.</w:t>
      </w:r>
    </w:p>
    <w:p w14:paraId="10E608CE" w14:textId="258AF39A" w:rsidR="00C72046" w:rsidRPr="00C72046" w:rsidRDefault="00C72046" w:rsidP="00C72046">
      <w:pPr>
        <w:pStyle w:val="TextoNormalSangraFrancesa"/>
        <w:rPr>
          <w:rStyle w:val="TextoNormalCaracter"/>
        </w:rPr>
      </w:pPr>
      <w:bookmarkStart w:id="1108" w:name="DESCRIPTORALFABETICO30"/>
      <w:r w:rsidRPr="00C72046">
        <w:rPr>
          <w:rStyle w:val="TextoNormalNegritaCaracter"/>
        </w:rPr>
        <w:t>Principio de anualidad presupuestaria</w:t>
      </w:r>
      <w:bookmarkEnd w:id="1108"/>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ff. 3 y 4.</w:t>
      </w:r>
    </w:p>
    <w:p w14:paraId="2AC5E6E1" w14:textId="123E1670" w:rsidR="00C72046" w:rsidRPr="00C72046" w:rsidRDefault="00C72046" w:rsidP="00C72046">
      <w:pPr>
        <w:pStyle w:val="TextoNormalSangraFrancesa"/>
        <w:rPr>
          <w:rStyle w:val="TextoNormalCaracter"/>
        </w:rPr>
      </w:pPr>
      <w:bookmarkStart w:id="1109" w:name="DESCRIPTORALFABETICO35"/>
      <w:r w:rsidRPr="00C72046">
        <w:rPr>
          <w:rStyle w:val="TextoNormalNegritaCaracter"/>
        </w:rPr>
        <w:t>Principio de capacidad económica</w:t>
      </w:r>
      <w:bookmarkEnd w:id="1109"/>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3.</w:t>
      </w:r>
    </w:p>
    <w:p w14:paraId="23163BF1" w14:textId="4A1B3ADC" w:rsidR="00C72046" w:rsidRPr="00C72046" w:rsidRDefault="00C72046" w:rsidP="00C72046">
      <w:pPr>
        <w:pStyle w:val="TextoNormalSangraFrancesa"/>
        <w:rPr>
          <w:rStyle w:val="TextoNormalCaracter"/>
        </w:rPr>
      </w:pPr>
      <w:bookmarkStart w:id="1110" w:name="DESCRIPTORALFABETICO459"/>
      <w:r w:rsidRPr="00C72046">
        <w:rPr>
          <w:rStyle w:val="TextoNormalNegritaCaracter"/>
        </w:rPr>
        <w:t>Principio de conservación de los actos procesales</w:t>
      </w:r>
      <w:bookmarkEnd w:id="1110"/>
      <w:r w:rsidRPr="00C72046">
        <w:rPr>
          <w:rStyle w:val="TextoNormalCaracter"/>
        </w:rPr>
        <w:t xml:space="preserve">, Auto </w:t>
      </w:r>
      <w:hyperlink w:anchor="AUTO_2025_31" w:history="1">
        <w:r w:rsidRPr="00C72046">
          <w:rPr>
            <w:rStyle w:val="TextoNormalCaracter"/>
          </w:rPr>
          <w:t>31/2025</w:t>
        </w:r>
      </w:hyperlink>
      <w:r w:rsidRPr="00C72046">
        <w:rPr>
          <w:rStyle w:val="TextoNormalCaracter"/>
        </w:rPr>
        <w:t>, f. 3, VP.</w:t>
      </w:r>
    </w:p>
    <w:p w14:paraId="1250095D" w14:textId="4DF8B477" w:rsidR="00C72046" w:rsidRPr="00C72046" w:rsidRDefault="00C72046" w:rsidP="00C72046">
      <w:pPr>
        <w:pStyle w:val="TextoNormalSangraFrancesa"/>
        <w:rPr>
          <w:rStyle w:val="TextoNormalCaracter"/>
        </w:rPr>
      </w:pPr>
      <w:bookmarkStart w:id="1111" w:name="DESCRIPTORALFABETICO460"/>
      <w:r w:rsidRPr="00C72046">
        <w:rPr>
          <w:rStyle w:val="TextoNormalNegritaCaracter"/>
        </w:rPr>
        <w:t>Principio de contradicción</w:t>
      </w:r>
      <w:bookmarkEnd w:id="1111"/>
      <w:r w:rsidRPr="00C72046">
        <w:rPr>
          <w:rStyle w:val="TextoNormalCaracter"/>
        </w:rPr>
        <w:t xml:space="preserve">, Sentencia </w:t>
      </w:r>
      <w:hyperlink w:anchor="SENTENCIA_2025_85" w:history="1">
        <w:r w:rsidRPr="00C72046">
          <w:rPr>
            <w:rStyle w:val="TextoNormalCaracter"/>
          </w:rPr>
          <w:t>85/2025</w:t>
        </w:r>
      </w:hyperlink>
      <w:r w:rsidRPr="00C72046">
        <w:rPr>
          <w:rStyle w:val="TextoNormalCaracter"/>
        </w:rPr>
        <w:t>, ff. 2 y 3.</w:t>
      </w:r>
    </w:p>
    <w:p w14:paraId="3003E008" w14:textId="0B880F6F" w:rsidR="00C72046" w:rsidRPr="00C72046" w:rsidRDefault="00C72046" w:rsidP="00C72046">
      <w:pPr>
        <w:pStyle w:val="TextoNormalSangraFrancesa"/>
        <w:rPr>
          <w:rStyle w:val="TextoNormalCaracter"/>
        </w:rPr>
      </w:pPr>
      <w:bookmarkStart w:id="1112" w:name="DESCRIPTORALFABETICO365"/>
      <w:r w:rsidRPr="00C72046">
        <w:rPr>
          <w:rStyle w:val="TextoNormalNegritaCaracter"/>
        </w:rPr>
        <w:t>Principio de efectividad del Derecho de la Unión Europea</w:t>
      </w:r>
      <w:bookmarkEnd w:id="1112"/>
      <w:r w:rsidRPr="00C72046">
        <w:rPr>
          <w:rStyle w:val="TextoNormalCaracter"/>
        </w:rPr>
        <w:t xml:space="preserve">, Sentencias </w:t>
      </w:r>
      <w:hyperlink w:anchor="SENTENCIA_2025_45" w:history="1">
        <w:r w:rsidRPr="00C72046">
          <w:rPr>
            <w:rStyle w:val="TextoNormalCaracter"/>
          </w:rPr>
          <w:t>45/2025</w:t>
        </w:r>
      </w:hyperlink>
      <w:r w:rsidRPr="00C72046">
        <w:rPr>
          <w:rStyle w:val="TextoNormalCaracter"/>
        </w:rPr>
        <w:t xml:space="preserve">, ff. 2 y 3; </w:t>
      </w:r>
      <w:hyperlink w:anchor="SENTENCIA_2025_109" w:history="1">
        <w:r w:rsidRPr="00C72046">
          <w:rPr>
            <w:rStyle w:val="TextoNormalCaracter"/>
          </w:rPr>
          <w:t>109/2025</w:t>
        </w:r>
      </w:hyperlink>
      <w:r w:rsidRPr="00C72046">
        <w:rPr>
          <w:rStyle w:val="TextoNormalCaracter"/>
        </w:rPr>
        <w:t xml:space="preserve">, ff. 2 y 3; </w:t>
      </w:r>
      <w:hyperlink w:anchor="SENTENCIA_2025_121" w:history="1">
        <w:r w:rsidRPr="00C72046">
          <w:rPr>
            <w:rStyle w:val="TextoNormalCaracter"/>
          </w:rPr>
          <w:t>121/2025</w:t>
        </w:r>
      </w:hyperlink>
      <w:r w:rsidRPr="00C72046">
        <w:rPr>
          <w:rStyle w:val="TextoNormalCaracter"/>
        </w:rPr>
        <w:t>, ff. 3 y 4.</w:t>
      </w:r>
    </w:p>
    <w:p w14:paraId="6740C2E6" w14:textId="16BB6FDB" w:rsidR="00C72046" w:rsidRPr="00C72046" w:rsidRDefault="00C72046" w:rsidP="00C72046">
      <w:pPr>
        <w:pStyle w:val="TextoNormalSangraFrancesa"/>
        <w:rPr>
          <w:rStyle w:val="TextoNormalCaracter"/>
        </w:rPr>
      </w:pPr>
      <w:bookmarkStart w:id="1113" w:name="DESCRIPTORALFABETICO249"/>
      <w:r w:rsidRPr="00C72046">
        <w:rPr>
          <w:rStyle w:val="TextoNormalNegritaCaracter"/>
        </w:rPr>
        <w:t>Principio de exclusividad jurisdiccional</w:t>
      </w:r>
      <w:bookmarkEnd w:id="1113"/>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ff. 1 y 4, VP I; </w:t>
      </w:r>
      <w:hyperlink w:anchor="SENTENCIA_2025_13" w:history="1">
        <w:r w:rsidRPr="00C72046">
          <w:rPr>
            <w:rStyle w:val="TextoNormalCaracter"/>
          </w:rPr>
          <w:t>13/2025</w:t>
        </w:r>
      </w:hyperlink>
      <w:r w:rsidRPr="00C72046">
        <w:rPr>
          <w:rStyle w:val="TextoNormalCaracter"/>
        </w:rPr>
        <w:t xml:space="preserve">, f. 3; </w:t>
      </w:r>
      <w:hyperlink w:anchor="SENTENCIA_2025_137" w:history="1">
        <w:r w:rsidRPr="00C72046">
          <w:rPr>
            <w:rStyle w:val="TextoNormalCaracter"/>
          </w:rPr>
          <w:t>137/2025</w:t>
        </w:r>
      </w:hyperlink>
      <w:r w:rsidRPr="00C72046">
        <w:rPr>
          <w:rStyle w:val="TextoNormalCaracter"/>
        </w:rPr>
        <w:t>, f. 15, VP II, VP III, VP IV.</w:t>
      </w:r>
    </w:p>
    <w:p w14:paraId="289C1802" w14:textId="77777777" w:rsidR="00C72046" w:rsidRPr="00C72046" w:rsidRDefault="00C72046" w:rsidP="00C72046">
      <w:pPr>
        <w:pStyle w:val="TextoNormalSangraFrancesa"/>
        <w:rPr>
          <w:rStyle w:val="TextoNormalCaracter"/>
        </w:rPr>
      </w:pPr>
      <w:bookmarkStart w:id="1114" w:name="DESCRIPTORALFABETICO296"/>
      <w:r w:rsidRPr="00C72046">
        <w:rPr>
          <w:rStyle w:val="TextoNormalNegritaCaracter"/>
        </w:rPr>
        <w:t>Principio de igualdad</w:t>
      </w:r>
      <w:bookmarkEnd w:id="1114"/>
      <w:r w:rsidRPr="00C72046">
        <w:rPr>
          <w:rStyle w:val="TextoNormalCaracter"/>
        </w:rPr>
        <w:t xml:space="preserve">, </w:t>
      </w:r>
    </w:p>
    <w:p w14:paraId="39B2335D" w14:textId="62FCD28A"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 </w:t>
      </w:r>
      <w:hyperlink w:anchor="SENTENCIA_2025_64" w:history="1">
        <w:r w:rsidRPr="00C72046">
          <w:rPr>
            <w:rStyle w:val="TextoNormalCaracter"/>
          </w:rPr>
          <w:t>64/2025</w:t>
        </w:r>
      </w:hyperlink>
      <w:r w:rsidRPr="00C72046">
        <w:rPr>
          <w:rStyle w:val="TextoNormalCaracter"/>
        </w:rPr>
        <w:t>, f. 7.</w:t>
      </w:r>
    </w:p>
    <w:p w14:paraId="2189CD52" w14:textId="2976FA92" w:rsidR="00C72046" w:rsidRPr="00C72046" w:rsidRDefault="00C72046" w:rsidP="00C72046">
      <w:pPr>
        <w:pStyle w:val="TextoNormalSangraFrancesa"/>
        <w:rPr>
          <w:rStyle w:val="TextoNormalCaracter"/>
        </w:rPr>
      </w:pPr>
      <w:bookmarkStart w:id="1115" w:name="DESCRIPTORALFABETICO461"/>
      <w:r w:rsidRPr="00C72046">
        <w:rPr>
          <w:rStyle w:val="TextoNormalNegritaCaracter"/>
        </w:rPr>
        <w:t>Principio de inmediación</w:t>
      </w:r>
      <w:bookmarkEnd w:id="1115"/>
      <w:r w:rsidRPr="00C72046">
        <w:rPr>
          <w:rStyle w:val="TextoNormalCaracter"/>
        </w:rPr>
        <w:t xml:space="preserve">, Sentencia </w:t>
      </w:r>
      <w:hyperlink w:anchor="SENTENCIA_2025_85" w:history="1">
        <w:r w:rsidRPr="00C72046">
          <w:rPr>
            <w:rStyle w:val="TextoNormalCaracter"/>
          </w:rPr>
          <w:t>85/2025</w:t>
        </w:r>
      </w:hyperlink>
      <w:r w:rsidRPr="00C72046">
        <w:rPr>
          <w:rStyle w:val="TextoNormalCaracter"/>
        </w:rPr>
        <w:t>, ff. 2 y 3.</w:t>
      </w:r>
    </w:p>
    <w:p w14:paraId="4D62E44E" w14:textId="127777DC" w:rsidR="00C72046" w:rsidRPr="00C72046" w:rsidRDefault="00C72046" w:rsidP="00C72046">
      <w:pPr>
        <w:pStyle w:val="TextoNormalSangraFrancesa"/>
        <w:rPr>
          <w:rStyle w:val="TextoNormalCaracter"/>
        </w:rPr>
      </w:pPr>
      <w:bookmarkStart w:id="1116" w:name="DESCRIPTORALFABETICO298"/>
      <w:r w:rsidRPr="00C72046">
        <w:rPr>
          <w:rStyle w:val="TextoNormalNegritaCaracter"/>
        </w:rPr>
        <w:t>Principio de irretroactividad</w:t>
      </w:r>
      <w:bookmarkEnd w:id="1116"/>
      <w:r w:rsidRPr="00C72046">
        <w:rPr>
          <w:rStyle w:val="TextoNormalCaracter"/>
        </w:rPr>
        <w:t xml:space="preserve">, Sentencia </w:t>
      </w:r>
      <w:hyperlink w:anchor="SENTENCIA_2025_111" w:history="1">
        <w:r w:rsidRPr="00C72046">
          <w:rPr>
            <w:rStyle w:val="TextoNormalCaracter"/>
          </w:rPr>
          <w:t>111/2025</w:t>
        </w:r>
      </w:hyperlink>
      <w:r w:rsidRPr="00C72046">
        <w:rPr>
          <w:rStyle w:val="TextoNormalCaracter"/>
        </w:rPr>
        <w:t>, ff. 2 y 3.</w:t>
      </w:r>
    </w:p>
    <w:p w14:paraId="0C063902" w14:textId="10313AD4" w:rsidR="00C72046" w:rsidRPr="00C72046" w:rsidRDefault="00C72046" w:rsidP="00C72046">
      <w:pPr>
        <w:pStyle w:val="TextoNormalSangraFrancesa"/>
        <w:rPr>
          <w:rStyle w:val="TextoNormalCaracter"/>
        </w:rPr>
      </w:pPr>
      <w:bookmarkStart w:id="1117" w:name="DESCRIPTORALFABETICO299"/>
      <w:r w:rsidRPr="00C72046">
        <w:rPr>
          <w:rStyle w:val="TextoNormalNegritaCaracter"/>
        </w:rPr>
        <w:t>Principio de legalidad penal</w:t>
      </w:r>
      <w:bookmarkEnd w:id="1117"/>
      <w:r w:rsidRPr="00C72046">
        <w:rPr>
          <w:rStyle w:val="TextoNormalCaracter"/>
        </w:rPr>
        <w:t xml:space="preserve">, Sentencias </w:t>
      </w:r>
      <w:hyperlink w:anchor="SENTENCIA_2025_3" w:history="1">
        <w:r w:rsidRPr="00C72046">
          <w:rPr>
            <w:rStyle w:val="TextoNormalCaracter"/>
          </w:rPr>
          <w:t>3/2025</w:t>
        </w:r>
      </w:hyperlink>
      <w:r w:rsidRPr="00C72046">
        <w:rPr>
          <w:rStyle w:val="TextoNormalCaracter"/>
        </w:rPr>
        <w:t xml:space="preserve">, f. 3; </w:t>
      </w:r>
      <w:hyperlink w:anchor="SENTENCIA_2025_41" w:history="1">
        <w:r w:rsidRPr="00C72046">
          <w:rPr>
            <w:rStyle w:val="TextoNormalCaracter"/>
          </w:rPr>
          <w:t>41/2025</w:t>
        </w:r>
      </w:hyperlink>
      <w:r w:rsidRPr="00C72046">
        <w:rPr>
          <w:rStyle w:val="TextoNormalCaracter"/>
        </w:rPr>
        <w:t>, ff. 1 y 3.</w:t>
      </w:r>
    </w:p>
    <w:p w14:paraId="006B5C0A" w14:textId="2F722FEF" w:rsidR="00C72046" w:rsidRPr="00C72046" w:rsidRDefault="00C72046" w:rsidP="00C72046">
      <w:pPr>
        <w:pStyle w:val="TextoNormalSangraFrancesa"/>
        <w:rPr>
          <w:rStyle w:val="TextoNormalCaracter"/>
        </w:rPr>
      </w:pPr>
      <w:bookmarkStart w:id="1118" w:name="DESCRIPTORALFABETICO366"/>
      <w:r w:rsidRPr="00C72046">
        <w:rPr>
          <w:rStyle w:val="TextoNormalNegritaCaracter"/>
        </w:rPr>
        <w:t>Principio de primacía del Derecho de la Unión Europea</w:t>
      </w:r>
      <w:bookmarkEnd w:id="1118"/>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 4.</w:t>
      </w:r>
    </w:p>
    <w:p w14:paraId="5B033BA8" w14:textId="3901ABAC" w:rsidR="00C72046" w:rsidRPr="00C72046" w:rsidRDefault="00C72046" w:rsidP="00C72046">
      <w:pPr>
        <w:pStyle w:val="TextoNormalSangraFrancesa"/>
        <w:rPr>
          <w:rStyle w:val="TextoNormalCaracter"/>
        </w:rPr>
      </w:pPr>
      <w:bookmarkStart w:id="1119" w:name="DESCRIPTORALFABETICO302"/>
      <w:r w:rsidRPr="00C72046">
        <w:rPr>
          <w:rStyle w:val="TextoNormalNegritaCaracter"/>
        </w:rPr>
        <w:t>Principio de proporcionalidad</w:t>
      </w:r>
      <w:bookmarkEnd w:id="1119"/>
      <w:r w:rsidRPr="00C72046">
        <w:rPr>
          <w:rStyle w:val="TextoNormalCaracter"/>
        </w:rPr>
        <w:t xml:space="preserve">, Sentencias </w:t>
      </w:r>
      <w:hyperlink w:anchor="SENTENCIA_2025_4" w:history="1">
        <w:r w:rsidRPr="00C72046">
          <w:rPr>
            <w:rStyle w:val="TextoNormalCaracter"/>
          </w:rPr>
          <w:t>4/2025</w:t>
        </w:r>
      </w:hyperlink>
      <w:r w:rsidRPr="00C72046">
        <w:rPr>
          <w:rStyle w:val="TextoNormalCaracter"/>
        </w:rPr>
        <w:t xml:space="preserve">, f. 3; </w:t>
      </w:r>
      <w:hyperlink w:anchor="SENTENCIA_2025_5" w:history="1">
        <w:r w:rsidRPr="00C72046">
          <w:rPr>
            <w:rStyle w:val="TextoNormalCaracter"/>
          </w:rPr>
          <w:t>5/2025</w:t>
        </w:r>
      </w:hyperlink>
      <w:r w:rsidRPr="00C72046">
        <w:rPr>
          <w:rStyle w:val="TextoNormalCaracter"/>
        </w:rPr>
        <w:t xml:space="preserve">, f. único; </w:t>
      </w:r>
      <w:hyperlink w:anchor="SENTENCIA_2025_6" w:history="1">
        <w:r w:rsidRPr="00C72046">
          <w:rPr>
            <w:rStyle w:val="TextoNormalCaracter"/>
          </w:rPr>
          <w:t>6/2025</w:t>
        </w:r>
      </w:hyperlink>
      <w:r w:rsidRPr="00C72046">
        <w:rPr>
          <w:rStyle w:val="TextoNormalCaracter"/>
        </w:rPr>
        <w:t xml:space="preserve">, f. 3; </w:t>
      </w:r>
      <w:hyperlink w:anchor="SENTENCIA_2025_7" w:history="1">
        <w:r w:rsidRPr="00C72046">
          <w:rPr>
            <w:rStyle w:val="TextoNormalCaracter"/>
          </w:rPr>
          <w:t>7/2025</w:t>
        </w:r>
      </w:hyperlink>
      <w:r w:rsidRPr="00C72046">
        <w:rPr>
          <w:rStyle w:val="TextoNormalCaracter"/>
        </w:rPr>
        <w:t xml:space="preserve">, f. único; </w:t>
      </w:r>
      <w:hyperlink w:anchor="SENTENCIA_2025_8" w:history="1">
        <w:r w:rsidRPr="00C72046">
          <w:rPr>
            <w:rStyle w:val="TextoNormalCaracter"/>
          </w:rPr>
          <w:t>8/2025</w:t>
        </w:r>
      </w:hyperlink>
      <w:r w:rsidRPr="00C72046">
        <w:rPr>
          <w:rStyle w:val="TextoNormalCaracter"/>
        </w:rPr>
        <w:t xml:space="preserve">, f. 3; </w:t>
      </w:r>
      <w:hyperlink w:anchor="SENTENCIA_2025_9" w:history="1">
        <w:r w:rsidRPr="00C72046">
          <w:rPr>
            <w:rStyle w:val="TextoNormalCaracter"/>
          </w:rPr>
          <w:t>9/2025</w:t>
        </w:r>
      </w:hyperlink>
      <w:r w:rsidRPr="00C72046">
        <w:rPr>
          <w:rStyle w:val="TextoNormalCaracter"/>
        </w:rPr>
        <w:t xml:space="preserve">, f. 2; </w:t>
      </w:r>
      <w:hyperlink w:anchor="SENTENCIA_2025_10" w:history="1">
        <w:r w:rsidRPr="00C72046">
          <w:rPr>
            <w:rStyle w:val="TextoNormalCaracter"/>
          </w:rPr>
          <w:t>10/2025</w:t>
        </w:r>
      </w:hyperlink>
      <w:r w:rsidRPr="00C72046">
        <w:rPr>
          <w:rStyle w:val="TextoNormalCaracter"/>
        </w:rPr>
        <w:t xml:space="preserve">, f. 3; </w:t>
      </w:r>
      <w:hyperlink w:anchor="SENTENCIA_2025_17" w:history="1">
        <w:r w:rsidRPr="00C72046">
          <w:rPr>
            <w:rStyle w:val="TextoNormalCaracter"/>
          </w:rPr>
          <w:t>17/2025</w:t>
        </w:r>
      </w:hyperlink>
      <w:r w:rsidRPr="00C72046">
        <w:rPr>
          <w:rStyle w:val="TextoNormalCaracter"/>
        </w:rPr>
        <w:t xml:space="preserve">, f. único; </w:t>
      </w:r>
      <w:hyperlink w:anchor="SENTENCIA_2025_18" w:history="1">
        <w:r w:rsidRPr="00C72046">
          <w:rPr>
            <w:rStyle w:val="TextoNormalCaracter"/>
          </w:rPr>
          <w:t>18/2025</w:t>
        </w:r>
      </w:hyperlink>
      <w:r w:rsidRPr="00C72046">
        <w:rPr>
          <w:rStyle w:val="TextoNormalCaracter"/>
        </w:rPr>
        <w:t xml:space="preserve">, f. único; </w:t>
      </w:r>
      <w:hyperlink w:anchor="SENTENCIA_2025_19" w:history="1">
        <w:r w:rsidRPr="00C72046">
          <w:rPr>
            <w:rStyle w:val="TextoNormalCaracter"/>
          </w:rPr>
          <w:t>19/2025</w:t>
        </w:r>
      </w:hyperlink>
      <w:r w:rsidRPr="00C72046">
        <w:rPr>
          <w:rStyle w:val="TextoNormalCaracter"/>
        </w:rPr>
        <w:t xml:space="preserve">, f. único; </w:t>
      </w:r>
      <w:hyperlink w:anchor="SENTENCIA_2025_20" w:history="1">
        <w:r w:rsidRPr="00C72046">
          <w:rPr>
            <w:rStyle w:val="TextoNormalCaracter"/>
          </w:rPr>
          <w:t>20/2025</w:t>
        </w:r>
      </w:hyperlink>
      <w:r w:rsidRPr="00C72046">
        <w:rPr>
          <w:rStyle w:val="TextoNormalCaracter"/>
        </w:rPr>
        <w:t xml:space="preserve">, f. único; </w:t>
      </w:r>
      <w:hyperlink w:anchor="SENTENCIA_2025_21" w:history="1">
        <w:r w:rsidRPr="00C72046">
          <w:rPr>
            <w:rStyle w:val="TextoNormalCaracter"/>
          </w:rPr>
          <w:t>21/2025</w:t>
        </w:r>
      </w:hyperlink>
      <w:r w:rsidRPr="00C72046">
        <w:rPr>
          <w:rStyle w:val="TextoNormalCaracter"/>
        </w:rPr>
        <w:t xml:space="preserve">, f. 2; </w:t>
      </w:r>
      <w:hyperlink w:anchor="SENTENCIA_2025_22" w:history="1">
        <w:r w:rsidRPr="00C72046">
          <w:rPr>
            <w:rStyle w:val="TextoNormalCaracter"/>
          </w:rPr>
          <w:t>22/2025</w:t>
        </w:r>
      </w:hyperlink>
      <w:r w:rsidRPr="00C72046">
        <w:rPr>
          <w:rStyle w:val="TextoNormalCaracter"/>
        </w:rPr>
        <w:t xml:space="preserve">, f. único; </w:t>
      </w:r>
      <w:hyperlink w:anchor="SENTENCIA_2025_23" w:history="1">
        <w:r w:rsidRPr="00C72046">
          <w:rPr>
            <w:rStyle w:val="TextoNormalCaracter"/>
          </w:rPr>
          <w:t>23/2025</w:t>
        </w:r>
      </w:hyperlink>
      <w:r w:rsidRPr="00C72046">
        <w:rPr>
          <w:rStyle w:val="TextoNormalCaracter"/>
        </w:rPr>
        <w:t xml:space="preserve">, f. 2; </w:t>
      </w:r>
      <w:hyperlink w:anchor="SENTENCIA_2025_24" w:history="1">
        <w:r w:rsidRPr="00C72046">
          <w:rPr>
            <w:rStyle w:val="TextoNormalCaracter"/>
          </w:rPr>
          <w:t>24/2025</w:t>
        </w:r>
      </w:hyperlink>
      <w:r w:rsidRPr="00C72046">
        <w:rPr>
          <w:rStyle w:val="TextoNormalCaracter"/>
        </w:rPr>
        <w:t xml:space="preserve">, f. 2; </w:t>
      </w:r>
      <w:hyperlink w:anchor="SENTENCIA_2025_25" w:history="1">
        <w:r w:rsidRPr="00C72046">
          <w:rPr>
            <w:rStyle w:val="TextoNormalCaracter"/>
          </w:rPr>
          <w:t>25/2025</w:t>
        </w:r>
      </w:hyperlink>
      <w:r w:rsidRPr="00C72046">
        <w:rPr>
          <w:rStyle w:val="TextoNormalCaracter"/>
        </w:rPr>
        <w:t xml:space="preserve">, f. 5, VP I; </w:t>
      </w:r>
      <w:hyperlink w:anchor="SENTENCIA_2025_26" w:history="1">
        <w:r w:rsidRPr="00C72046">
          <w:rPr>
            <w:rStyle w:val="TextoNormalCaracter"/>
          </w:rPr>
          <w:t>26/2025</w:t>
        </w:r>
      </w:hyperlink>
      <w:r w:rsidRPr="00C72046">
        <w:rPr>
          <w:rStyle w:val="TextoNormalCaracter"/>
        </w:rPr>
        <w:t xml:space="preserve">, f. 6; </w:t>
      </w:r>
      <w:hyperlink w:anchor="SENTENCIA_2025_29" w:history="1">
        <w:r w:rsidRPr="00C72046">
          <w:rPr>
            <w:rStyle w:val="TextoNormalCaracter"/>
          </w:rPr>
          <w:t>29/2025</w:t>
        </w:r>
      </w:hyperlink>
      <w:r w:rsidRPr="00C72046">
        <w:rPr>
          <w:rStyle w:val="TextoNormalCaracter"/>
        </w:rPr>
        <w:t xml:space="preserve">, f. único; </w:t>
      </w:r>
      <w:hyperlink w:anchor="SENTENCIA_2025_30" w:history="1">
        <w:r w:rsidRPr="00C72046">
          <w:rPr>
            <w:rStyle w:val="TextoNormalCaracter"/>
          </w:rPr>
          <w:t>30/2025</w:t>
        </w:r>
      </w:hyperlink>
      <w:r w:rsidRPr="00C72046">
        <w:rPr>
          <w:rStyle w:val="TextoNormalCaracter"/>
        </w:rPr>
        <w:t xml:space="preserve">, f. 2; </w:t>
      </w:r>
      <w:hyperlink w:anchor="SENTENCIA_2025_32" w:history="1">
        <w:r w:rsidRPr="00C72046">
          <w:rPr>
            <w:rStyle w:val="TextoNormalCaracter"/>
          </w:rPr>
          <w:t>32/2025</w:t>
        </w:r>
      </w:hyperlink>
      <w:r w:rsidRPr="00C72046">
        <w:rPr>
          <w:rStyle w:val="TextoNormalCaracter"/>
        </w:rPr>
        <w:t xml:space="preserve">, f. 2; </w:t>
      </w:r>
      <w:hyperlink w:anchor="SENTENCIA_2025_33" w:history="1">
        <w:r w:rsidRPr="00C72046">
          <w:rPr>
            <w:rStyle w:val="TextoNormalCaracter"/>
          </w:rPr>
          <w:t>33/2025</w:t>
        </w:r>
      </w:hyperlink>
      <w:r w:rsidRPr="00C72046">
        <w:rPr>
          <w:rStyle w:val="TextoNormalCaracter"/>
        </w:rPr>
        <w:t xml:space="preserve">, f. 2; </w:t>
      </w:r>
      <w:hyperlink w:anchor="SENTENCIA_2025_34" w:history="1">
        <w:r w:rsidRPr="00C72046">
          <w:rPr>
            <w:rStyle w:val="TextoNormalCaracter"/>
          </w:rPr>
          <w:t>34/2025</w:t>
        </w:r>
      </w:hyperlink>
      <w:r w:rsidRPr="00C72046">
        <w:rPr>
          <w:rStyle w:val="TextoNormalCaracter"/>
        </w:rPr>
        <w:t xml:space="preserve">, f. único; </w:t>
      </w:r>
      <w:hyperlink w:anchor="SENTENCIA_2025_35" w:history="1">
        <w:r w:rsidRPr="00C72046">
          <w:rPr>
            <w:rStyle w:val="TextoNormalCaracter"/>
          </w:rPr>
          <w:t>35/2025</w:t>
        </w:r>
      </w:hyperlink>
      <w:r w:rsidRPr="00C72046">
        <w:rPr>
          <w:rStyle w:val="TextoNormalCaracter"/>
        </w:rPr>
        <w:t xml:space="preserve">, f. 2; </w:t>
      </w:r>
      <w:hyperlink w:anchor="SENTENCIA_2025_36" w:history="1">
        <w:r w:rsidRPr="00C72046">
          <w:rPr>
            <w:rStyle w:val="TextoNormalCaracter"/>
          </w:rPr>
          <w:t>36/2025</w:t>
        </w:r>
      </w:hyperlink>
      <w:r w:rsidRPr="00C72046">
        <w:rPr>
          <w:rStyle w:val="TextoNormalCaracter"/>
        </w:rPr>
        <w:t xml:space="preserve">, f.único; </w:t>
      </w:r>
      <w:hyperlink w:anchor="SENTENCIA_2025_38" w:history="1">
        <w:r w:rsidRPr="00C72046">
          <w:rPr>
            <w:rStyle w:val="TextoNormalCaracter"/>
          </w:rPr>
          <w:t>38/2025</w:t>
        </w:r>
      </w:hyperlink>
      <w:r w:rsidRPr="00C72046">
        <w:rPr>
          <w:rStyle w:val="TextoNormalCaracter"/>
        </w:rPr>
        <w:t xml:space="preserve">, f. 2; </w:t>
      </w:r>
      <w:hyperlink w:anchor="SENTENCIA_2025_39" w:history="1">
        <w:r w:rsidRPr="00C72046">
          <w:rPr>
            <w:rStyle w:val="TextoNormalCaracter"/>
          </w:rPr>
          <w:t>39/2025</w:t>
        </w:r>
      </w:hyperlink>
      <w:r w:rsidRPr="00C72046">
        <w:rPr>
          <w:rStyle w:val="TextoNormalCaracter"/>
        </w:rPr>
        <w:t xml:space="preserve">, f. 2; </w:t>
      </w:r>
      <w:hyperlink w:anchor="SENTENCIA_2025_46" w:history="1">
        <w:r w:rsidRPr="00C72046">
          <w:rPr>
            <w:rStyle w:val="TextoNormalCaracter"/>
          </w:rPr>
          <w:t>46/2025</w:t>
        </w:r>
      </w:hyperlink>
      <w:r w:rsidRPr="00C72046">
        <w:rPr>
          <w:rStyle w:val="TextoNormalCaracter"/>
        </w:rPr>
        <w:t xml:space="preserve">, f. único; </w:t>
      </w:r>
      <w:hyperlink w:anchor="SENTENCIA_2025_47" w:history="1">
        <w:r w:rsidRPr="00C72046">
          <w:rPr>
            <w:rStyle w:val="TextoNormalCaracter"/>
          </w:rPr>
          <w:t>47/2025</w:t>
        </w:r>
      </w:hyperlink>
      <w:r w:rsidRPr="00C72046">
        <w:rPr>
          <w:rStyle w:val="TextoNormalCaracter"/>
        </w:rPr>
        <w:t xml:space="preserve">, f. 2; </w:t>
      </w:r>
      <w:hyperlink w:anchor="SENTENCIA_2025_48" w:history="1">
        <w:r w:rsidRPr="00C72046">
          <w:rPr>
            <w:rStyle w:val="TextoNormalCaracter"/>
          </w:rPr>
          <w:t>48/2025</w:t>
        </w:r>
      </w:hyperlink>
      <w:r w:rsidRPr="00C72046">
        <w:rPr>
          <w:rStyle w:val="TextoNormalCaracter"/>
        </w:rPr>
        <w:t xml:space="preserve">, f. 2; </w:t>
      </w:r>
      <w:hyperlink w:anchor="SENTENCIA_2025_50" w:history="1">
        <w:r w:rsidRPr="00C72046">
          <w:rPr>
            <w:rStyle w:val="TextoNormalCaracter"/>
          </w:rPr>
          <w:t>50/2025</w:t>
        </w:r>
      </w:hyperlink>
      <w:r w:rsidRPr="00C72046">
        <w:rPr>
          <w:rStyle w:val="TextoNormalCaracter"/>
        </w:rPr>
        <w:t xml:space="preserve">, f. 2; </w:t>
      </w:r>
      <w:hyperlink w:anchor="SENTENCIA_2025_56" w:history="1">
        <w:r w:rsidRPr="00C72046">
          <w:rPr>
            <w:rStyle w:val="TextoNormalCaracter"/>
          </w:rPr>
          <w:t>56/2025</w:t>
        </w:r>
      </w:hyperlink>
      <w:r w:rsidRPr="00C72046">
        <w:rPr>
          <w:rStyle w:val="TextoNormalCaracter"/>
        </w:rPr>
        <w:t xml:space="preserve">, f. 2; </w:t>
      </w:r>
      <w:hyperlink w:anchor="SENTENCIA_2025_57" w:history="1">
        <w:r w:rsidRPr="00C72046">
          <w:rPr>
            <w:rStyle w:val="TextoNormalCaracter"/>
          </w:rPr>
          <w:t>57/2025</w:t>
        </w:r>
      </w:hyperlink>
      <w:r w:rsidRPr="00C72046">
        <w:rPr>
          <w:rStyle w:val="TextoNormalCaracter"/>
        </w:rPr>
        <w:t xml:space="preserve">, f. 2; </w:t>
      </w:r>
      <w:hyperlink w:anchor="SENTENCIA_2025_58" w:history="1">
        <w:r w:rsidRPr="00C72046">
          <w:rPr>
            <w:rStyle w:val="TextoNormalCaracter"/>
          </w:rPr>
          <w:t>58/2025</w:t>
        </w:r>
      </w:hyperlink>
      <w:r w:rsidRPr="00C72046">
        <w:rPr>
          <w:rStyle w:val="TextoNormalCaracter"/>
        </w:rPr>
        <w:t xml:space="preserve">, f. 2; </w:t>
      </w:r>
      <w:hyperlink w:anchor="SENTENCIA_2025_59" w:history="1">
        <w:r w:rsidRPr="00C72046">
          <w:rPr>
            <w:rStyle w:val="TextoNormalCaracter"/>
          </w:rPr>
          <w:t>59/2025</w:t>
        </w:r>
      </w:hyperlink>
      <w:r w:rsidRPr="00C72046">
        <w:rPr>
          <w:rStyle w:val="TextoNormalCaracter"/>
        </w:rPr>
        <w:t xml:space="preserve">, f. 2; </w:t>
      </w:r>
      <w:hyperlink w:anchor="SENTENCIA_2025_60" w:history="1">
        <w:r w:rsidRPr="00C72046">
          <w:rPr>
            <w:rStyle w:val="TextoNormalCaracter"/>
          </w:rPr>
          <w:t>60/2025</w:t>
        </w:r>
      </w:hyperlink>
      <w:r w:rsidRPr="00C72046">
        <w:rPr>
          <w:rStyle w:val="TextoNormalCaracter"/>
        </w:rPr>
        <w:t xml:space="preserve">, f. 2; </w:t>
      </w:r>
      <w:hyperlink w:anchor="SENTENCIA_2025_61" w:history="1">
        <w:r w:rsidRPr="00C72046">
          <w:rPr>
            <w:rStyle w:val="TextoNormalCaracter"/>
          </w:rPr>
          <w:t>61/2025</w:t>
        </w:r>
      </w:hyperlink>
      <w:r w:rsidRPr="00C72046">
        <w:rPr>
          <w:rStyle w:val="TextoNormalCaracter"/>
        </w:rPr>
        <w:t xml:space="preserve">, f. único; </w:t>
      </w:r>
      <w:hyperlink w:anchor="SENTENCIA_2025_65" w:history="1">
        <w:r w:rsidRPr="00C72046">
          <w:rPr>
            <w:rStyle w:val="TextoNormalCaracter"/>
          </w:rPr>
          <w:t>65/2025</w:t>
        </w:r>
      </w:hyperlink>
      <w:r w:rsidRPr="00C72046">
        <w:rPr>
          <w:rStyle w:val="TextoNormalCaracter"/>
        </w:rPr>
        <w:t xml:space="preserve">, f. único; </w:t>
      </w:r>
      <w:hyperlink w:anchor="SENTENCIA_2025_66" w:history="1">
        <w:r w:rsidRPr="00C72046">
          <w:rPr>
            <w:rStyle w:val="TextoNormalCaracter"/>
          </w:rPr>
          <w:t>66/2025</w:t>
        </w:r>
      </w:hyperlink>
      <w:r w:rsidRPr="00C72046">
        <w:rPr>
          <w:rStyle w:val="TextoNormalCaracter"/>
        </w:rPr>
        <w:t xml:space="preserve">, f. 2; </w:t>
      </w:r>
      <w:hyperlink w:anchor="SENTENCIA_2025_67" w:history="1">
        <w:r w:rsidRPr="00C72046">
          <w:rPr>
            <w:rStyle w:val="TextoNormalCaracter"/>
          </w:rPr>
          <w:t>67/2025</w:t>
        </w:r>
      </w:hyperlink>
      <w:r w:rsidRPr="00C72046">
        <w:rPr>
          <w:rStyle w:val="TextoNormalCaracter"/>
        </w:rPr>
        <w:t xml:space="preserve">, f. 2; </w:t>
      </w:r>
      <w:hyperlink w:anchor="SENTENCIA_2025_68" w:history="1">
        <w:r w:rsidRPr="00C72046">
          <w:rPr>
            <w:rStyle w:val="TextoNormalCaracter"/>
          </w:rPr>
          <w:t>68/2025</w:t>
        </w:r>
      </w:hyperlink>
      <w:r w:rsidRPr="00C72046">
        <w:rPr>
          <w:rStyle w:val="TextoNormalCaracter"/>
        </w:rPr>
        <w:t xml:space="preserve">, f. 2; </w:t>
      </w:r>
      <w:hyperlink w:anchor="SENTENCIA_2025_69" w:history="1">
        <w:r w:rsidRPr="00C72046">
          <w:rPr>
            <w:rStyle w:val="TextoNormalCaracter"/>
          </w:rPr>
          <w:t>69/2025</w:t>
        </w:r>
      </w:hyperlink>
      <w:r w:rsidRPr="00C72046">
        <w:rPr>
          <w:rStyle w:val="TextoNormalCaracter"/>
        </w:rPr>
        <w:t xml:space="preserve">, f. 3.; </w:t>
      </w:r>
      <w:hyperlink w:anchor="SENTENCIA_2025_70" w:history="1">
        <w:r w:rsidRPr="00C72046">
          <w:rPr>
            <w:rStyle w:val="TextoNormalCaracter"/>
          </w:rPr>
          <w:t>70/2025</w:t>
        </w:r>
      </w:hyperlink>
      <w:r w:rsidRPr="00C72046">
        <w:rPr>
          <w:rStyle w:val="TextoNormalCaracter"/>
        </w:rPr>
        <w:t xml:space="preserve">, f. 2; </w:t>
      </w:r>
      <w:hyperlink w:anchor="SENTENCIA_2025_71" w:history="1">
        <w:r w:rsidRPr="00C72046">
          <w:rPr>
            <w:rStyle w:val="TextoNormalCaracter"/>
          </w:rPr>
          <w:t>71/2025</w:t>
        </w:r>
      </w:hyperlink>
      <w:r w:rsidRPr="00C72046">
        <w:rPr>
          <w:rStyle w:val="TextoNormalCaracter"/>
        </w:rPr>
        <w:t xml:space="preserve">, f. único; </w:t>
      </w:r>
      <w:hyperlink w:anchor="SENTENCIA_2025_72" w:history="1">
        <w:r w:rsidRPr="00C72046">
          <w:rPr>
            <w:rStyle w:val="TextoNormalCaracter"/>
          </w:rPr>
          <w:t>72/2025</w:t>
        </w:r>
      </w:hyperlink>
      <w:r w:rsidRPr="00C72046">
        <w:rPr>
          <w:rStyle w:val="TextoNormalCaracter"/>
        </w:rPr>
        <w:t xml:space="preserve">, f. único; </w:t>
      </w:r>
      <w:hyperlink w:anchor="SENTENCIA_2025_73" w:history="1">
        <w:r w:rsidRPr="00C72046">
          <w:rPr>
            <w:rStyle w:val="TextoNormalCaracter"/>
          </w:rPr>
          <w:t>73/2025</w:t>
        </w:r>
      </w:hyperlink>
      <w:r w:rsidRPr="00C72046">
        <w:rPr>
          <w:rStyle w:val="TextoNormalCaracter"/>
        </w:rPr>
        <w:t xml:space="preserve">, f. 2; </w:t>
      </w:r>
      <w:hyperlink w:anchor="SENTENCIA_2025_74" w:history="1">
        <w:r w:rsidRPr="00C72046">
          <w:rPr>
            <w:rStyle w:val="TextoNormalCaracter"/>
          </w:rPr>
          <w:t>74/2025</w:t>
        </w:r>
      </w:hyperlink>
      <w:r w:rsidRPr="00C72046">
        <w:rPr>
          <w:rStyle w:val="TextoNormalCaracter"/>
        </w:rPr>
        <w:t xml:space="preserve">, f. único; </w:t>
      </w:r>
      <w:hyperlink w:anchor="SENTENCIA_2025_75" w:history="1">
        <w:r w:rsidRPr="00C72046">
          <w:rPr>
            <w:rStyle w:val="TextoNormalCaracter"/>
          </w:rPr>
          <w:t>75/2025</w:t>
        </w:r>
      </w:hyperlink>
      <w:r w:rsidRPr="00C72046">
        <w:rPr>
          <w:rStyle w:val="TextoNormalCaracter"/>
        </w:rPr>
        <w:t xml:space="preserve">, f. único; </w:t>
      </w:r>
      <w:hyperlink w:anchor="SENTENCIA_2025_76" w:history="1">
        <w:r w:rsidRPr="00C72046">
          <w:rPr>
            <w:rStyle w:val="TextoNormalCaracter"/>
          </w:rPr>
          <w:t>76/2025</w:t>
        </w:r>
      </w:hyperlink>
      <w:r w:rsidRPr="00C72046">
        <w:rPr>
          <w:rStyle w:val="TextoNormalCaracter"/>
        </w:rPr>
        <w:t xml:space="preserve">, f. 2; </w:t>
      </w:r>
      <w:hyperlink w:anchor="SENTENCIA_2025_77" w:history="1">
        <w:r w:rsidRPr="00C72046">
          <w:rPr>
            <w:rStyle w:val="TextoNormalCaracter"/>
          </w:rPr>
          <w:t>77/2025</w:t>
        </w:r>
      </w:hyperlink>
      <w:r w:rsidRPr="00C72046">
        <w:rPr>
          <w:rStyle w:val="TextoNormalCaracter"/>
        </w:rPr>
        <w:t xml:space="preserve">, f. único; </w:t>
      </w:r>
      <w:hyperlink w:anchor="SENTENCIA_2025_78" w:history="1">
        <w:r w:rsidRPr="00C72046">
          <w:rPr>
            <w:rStyle w:val="TextoNormalCaracter"/>
          </w:rPr>
          <w:t>78/2025</w:t>
        </w:r>
      </w:hyperlink>
      <w:r w:rsidRPr="00C72046">
        <w:rPr>
          <w:rStyle w:val="TextoNormalCaracter"/>
        </w:rPr>
        <w:t xml:space="preserve">, f. único; </w:t>
      </w:r>
      <w:hyperlink w:anchor="SENTENCIA_2025_79" w:history="1">
        <w:r w:rsidRPr="00C72046">
          <w:rPr>
            <w:rStyle w:val="TextoNormalCaracter"/>
          </w:rPr>
          <w:t>79/2025</w:t>
        </w:r>
      </w:hyperlink>
      <w:r w:rsidRPr="00C72046">
        <w:rPr>
          <w:rStyle w:val="TextoNormalCaracter"/>
        </w:rPr>
        <w:t xml:space="preserve">, f. 3; </w:t>
      </w:r>
      <w:hyperlink w:anchor="SENTENCIA_2025_80" w:history="1">
        <w:r w:rsidRPr="00C72046">
          <w:rPr>
            <w:rStyle w:val="TextoNormalCaracter"/>
          </w:rPr>
          <w:t>80/2025</w:t>
        </w:r>
      </w:hyperlink>
      <w:r w:rsidRPr="00C72046">
        <w:rPr>
          <w:rStyle w:val="TextoNormalCaracter"/>
        </w:rPr>
        <w:t xml:space="preserve">, f. 2; </w:t>
      </w:r>
      <w:hyperlink w:anchor="SENTENCIA_2025_81" w:history="1">
        <w:r w:rsidRPr="00C72046">
          <w:rPr>
            <w:rStyle w:val="TextoNormalCaracter"/>
          </w:rPr>
          <w:t>81/2025</w:t>
        </w:r>
      </w:hyperlink>
      <w:r w:rsidRPr="00C72046">
        <w:rPr>
          <w:rStyle w:val="TextoNormalCaracter"/>
        </w:rPr>
        <w:t xml:space="preserve">, f. 2; </w:t>
      </w:r>
      <w:hyperlink w:anchor="SENTENCIA_2025_88" w:history="1">
        <w:r w:rsidRPr="00C72046">
          <w:rPr>
            <w:rStyle w:val="TextoNormalCaracter"/>
          </w:rPr>
          <w:t>88/2025</w:t>
        </w:r>
      </w:hyperlink>
      <w:r w:rsidRPr="00C72046">
        <w:rPr>
          <w:rStyle w:val="TextoNormalCaracter"/>
        </w:rPr>
        <w:t xml:space="preserve">, f. 2; </w:t>
      </w:r>
      <w:hyperlink w:anchor="SENTENCIA_2025_89" w:history="1">
        <w:r w:rsidRPr="00C72046">
          <w:rPr>
            <w:rStyle w:val="TextoNormalCaracter"/>
          </w:rPr>
          <w:t>89/2025</w:t>
        </w:r>
      </w:hyperlink>
      <w:r w:rsidRPr="00C72046">
        <w:rPr>
          <w:rStyle w:val="TextoNormalCaracter"/>
        </w:rPr>
        <w:t xml:space="preserve">, f. 2; </w:t>
      </w:r>
      <w:hyperlink w:anchor="SENTENCIA_2025_90" w:history="1">
        <w:r w:rsidRPr="00C72046">
          <w:rPr>
            <w:rStyle w:val="TextoNormalCaracter"/>
          </w:rPr>
          <w:t>90/2025</w:t>
        </w:r>
      </w:hyperlink>
      <w:r w:rsidRPr="00C72046">
        <w:rPr>
          <w:rStyle w:val="TextoNormalCaracter"/>
        </w:rPr>
        <w:t xml:space="preserve">, f. 2; </w:t>
      </w:r>
      <w:hyperlink w:anchor="SENTENCIA_2025_91" w:history="1">
        <w:r w:rsidRPr="00C72046">
          <w:rPr>
            <w:rStyle w:val="TextoNormalCaracter"/>
          </w:rPr>
          <w:t>91/2025</w:t>
        </w:r>
      </w:hyperlink>
      <w:r w:rsidRPr="00C72046">
        <w:rPr>
          <w:rStyle w:val="TextoNormalCaracter"/>
        </w:rPr>
        <w:t xml:space="preserve">, f. único; </w:t>
      </w:r>
      <w:hyperlink w:anchor="SENTENCIA_2025_92" w:history="1">
        <w:r w:rsidRPr="00C72046">
          <w:rPr>
            <w:rStyle w:val="TextoNormalCaracter"/>
          </w:rPr>
          <w:t>92/2025</w:t>
        </w:r>
      </w:hyperlink>
      <w:r w:rsidRPr="00C72046">
        <w:rPr>
          <w:rStyle w:val="TextoNormalCaracter"/>
        </w:rPr>
        <w:t xml:space="preserve">, f. 2; </w:t>
      </w:r>
      <w:hyperlink w:anchor="SENTENCIA_2025_93" w:history="1">
        <w:r w:rsidRPr="00C72046">
          <w:rPr>
            <w:rStyle w:val="TextoNormalCaracter"/>
          </w:rPr>
          <w:t>93/2025</w:t>
        </w:r>
      </w:hyperlink>
      <w:r w:rsidRPr="00C72046">
        <w:rPr>
          <w:rStyle w:val="TextoNormalCaracter"/>
        </w:rPr>
        <w:t xml:space="preserve">, f. 2; </w:t>
      </w:r>
      <w:hyperlink w:anchor="SENTENCIA_2025_94" w:history="1">
        <w:r w:rsidRPr="00C72046">
          <w:rPr>
            <w:rStyle w:val="TextoNormalCaracter"/>
          </w:rPr>
          <w:t>94/2025</w:t>
        </w:r>
      </w:hyperlink>
      <w:r w:rsidRPr="00C72046">
        <w:rPr>
          <w:rStyle w:val="TextoNormalCaracter"/>
        </w:rPr>
        <w:t xml:space="preserve">, f. 2; </w:t>
      </w:r>
      <w:hyperlink w:anchor="SENTENCIA_2025_102" w:history="1">
        <w:r w:rsidRPr="00C72046">
          <w:rPr>
            <w:rStyle w:val="TextoNormalCaracter"/>
          </w:rPr>
          <w:t>102/2025</w:t>
        </w:r>
      </w:hyperlink>
      <w:r w:rsidRPr="00C72046">
        <w:rPr>
          <w:rStyle w:val="TextoNormalCaracter"/>
        </w:rPr>
        <w:t xml:space="preserve">, f. 2; </w:t>
      </w:r>
      <w:hyperlink w:anchor="SENTENCIA_2025_103" w:history="1">
        <w:r w:rsidRPr="00C72046">
          <w:rPr>
            <w:rStyle w:val="TextoNormalCaracter"/>
          </w:rPr>
          <w:t>103/2025</w:t>
        </w:r>
      </w:hyperlink>
      <w:r w:rsidRPr="00C72046">
        <w:rPr>
          <w:rStyle w:val="TextoNormalCaracter"/>
        </w:rPr>
        <w:t xml:space="preserve">, f. único; </w:t>
      </w:r>
      <w:hyperlink w:anchor="SENTENCIA_2025_104" w:history="1">
        <w:r w:rsidRPr="00C72046">
          <w:rPr>
            <w:rStyle w:val="TextoNormalCaracter"/>
          </w:rPr>
          <w:t>104/2025</w:t>
        </w:r>
      </w:hyperlink>
      <w:r w:rsidRPr="00C72046">
        <w:rPr>
          <w:rStyle w:val="TextoNormalCaracter"/>
        </w:rPr>
        <w:t xml:space="preserve">, f. único; </w:t>
      </w:r>
      <w:hyperlink w:anchor="SENTENCIA_2025_117" w:history="1">
        <w:r w:rsidRPr="00C72046">
          <w:rPr>
            <w:rStyle w:val="TextoNormalCaracter"/>
          </w:rPr>
          <w:t>117/2025</w:t>
        </w:r>
      </w:hyperlink>
      <w:r w:rsidRPr="00C72046">
        <w:rPr>
          <w:rStyle w:val="TextoNormalCaracter"/>
        </w:rPr>
        <w:t xml:space="preserve">, f. 4; </w:t>
      </w:r>
      <w:hyperlink w:anchor="SENTENCIA_2025_119" w:history="1">
        <w:r w:rsidRPr="00C72046">
          <w:rPr>
            <w:rStyle w:val="TextoNormalCaracter"/>
          </w:rPr>
          <w:t>119/2025</w:t>
        </w:r>
      </w:hyperlink>
      <w:r w:rsidRPr="00C72046">
        <w:rPr>
          <w:rStyle w:val="TextoNormalCaracter"/>
        </w:rPr>
        <w:t>, ff. 6 y 7.</w:t>
      </w:r>
    </w:p>
    <w:p w14:paraId="01F94B6A" w14:textId="5523BF17" w:rsidR="00C72046" w:rsidRPr="00C72046" w:rsidRDefault="00C72046" w:rsidP="00C72046">
      <w:pPr>
        <w:pStyle w:val="TextoNormalSangraFrancesa"/>
        <w:rPr>
          <w:rStyle w:val="TextoNormalCaracter"/>
        </w:rPr>
      </w:pPr>
      <w:bookmarkStart w:id="1120" w:name="DESCRIPTORALFABETICO303"/>
      <w:r w:rsidRPr="00C72046">
        <w:rPr>
          <w:rStyle w:val="TextoNormalNegritaCaracter"/>
        </w:rPr>
        <w:t>Principio de seguridad jurídica</w:t>
      </w:r>
      <w:bookmarkEnd w:id="1120"/>
      <w:r w:rsidRPr="00C72046">
        <w:rPr>
          <w:rStyle w:val="TextoNormalCaracter"/>
        </w:rPr>
        <w:t xml:space="preserve">, Sentencias </w:t>
      </w:r>
      <w:hyperlink w:anchor="SENTENCIA_2025_25" w:history="1">
        <w:r w:rsidRPr="00C72046">
          <w:rPr>
            <w:rStyle w:val="TextoNormalCaracter"/>
          </w:rPr>
          <w:t>25/2025</w:t>
        </w:r>
      </w:hyperlink>
      <w:r w:rsidRPr="00C72046">
        <w:rPr>
          <w:rStyle w:val="TextoNormalCaracter"/>
        </w:rPr>
        <w:t xml:space="preserve">, f. 5, VP I; </w:t>
      </w:r>
      <w:hyperlink w:anchor="SENTENCIA_2025_137" w:history="1">
        <w:r w:rsidRPr="00C72046">
          <w:rPr>
            <w:rStyle w:val="TextoNormalCaracter"/>
          </w:rPr>
          <w:t>137/2025</w:t>
        </w:r>
      </w:hyperlink>
      <w:r w:rsidRPr="00C72046">
        <w:rPr>
          <w:rStyle w:val="TextoNormalCaracter"/>
        </w:rPr>
        <w:t>, ff 5, 8, 13, 14, VP III, VP IV.</w:t>
      </w:r>
    </w:p>
    <w:p w14:paraId="6CAD5E6F" w14:textId="2B1CFE55" w:rsidR="00C72046" w:rsidRPr="00C72046" w:rsidRDefault="00C72046" w:rsidP="00C72046">
      <w:pPr>
        <w:pStyle w:val="TextoNormalSangraFrancesa"/>
        <w:rPr>
          <w:rStyle w:val="TextoNormalCaracter"/>
        </w:rPr>
      </w:pPr>
      <w:r w:rsidRPr="00C72046">
        <w:rPr>
          <w:rStyle w:val="TextoNormalCursivaCaracter"/>
        </w:rPr>
        <w:t xml:space="preserve">    Respetado, </w:t>
      </w:r>
      <w:r w:rsidRPr="00C72046">
        <w:rPr>
          <w:rStyle w:val="TextoNormalCaracter"/>
        </w:rPr>
        <w:t xml:space="preserve">Sentencia </w:t>
      </w:r>
      <w:hyperlink w:anchor="SENTENCIA_2025_64" w:history="1">
        <w:r w:rsidRPr="00C72046">
          <w:rPr>
            <w:rStyle w:val="TextoNormalCaracter"/>
          </w:rPr>
          <w:t>64/2025</w:t>
        </w:r>
      </w:hyperlink>
      <w:r w:rsidRPr="00C72046">
        <w:rPr>
          <w:rStyle w:val="TextoNormalCaracter"/>
        </w:rPr>
        <w:t>, f. 7.</w:t>
      </w:r>
    </w:p>
    <w:p w14:paraId="096366BD" w14:textId="63A0F9D4" w:rsidR="00C72046" w:rsidRPr="00C72046" w:rsidRDefault="00C72046" w:rsidP="00C72046">
      <w:pPr>
        <w:pStyle w:val="TextoNormalSangraFrancesa"/>
        <w:rPr>
          <w:rStyle w:val="TextoNormalCaracter"/>
        </w:rPr>
      </w:pPr>
      <w:bookmarkStart w:id="1121" w:name="DESCRIPTORALFABETICO301"/>
      <w:r w:rsidRPr="00C72046">
        <w:rPr>
          <w:rStyle w:val="TextoNormalNegritaCaracter"/>
        </w:rPr>
        <w:t>Principio de taxatividad</w:t>
      </w:r>
      <w:bookmarkEnd w:id="1121"/>
      <w:r w:rsidRPr="00C72046">
        <w:rPr>
          <w:rStyle w:val="TextoNormalCaracter"/>
        </w:rPr>
        <w:t xml:space="preserve">, Sentencia </w:t>
      </w:r>
      <w:hyperlink w:anchor="SENTENCIA_2025_51" w:history="1">
        <w:r w:rsidRPr="00C72046">
          <w:rPr>
            <w:rStyle w:val="TextoNormalCaracter"/>
          </w:rPr>
          <w:t>51/2025</w:t>
        </w:r>
      </w:hyperlink>
      <w:r w:rsidRPr="00C72046">
        <w:rPr>
          <w:rStyle w:val="TextoNormalCaracter"/>
        </w:rPr>
        <w:t>, f. 2.</w:t>
      </w:r>
    </w:p>
    <w:p w14:paraId="659FFE84" w14:textId="3C67C661" w:rsidR="00C72046" w:rsidRPr="00C72046" w:rsidRDefault="00C72046" w:rsidP="00C72046">
      <w:pPr>
        <w:pStyle w:val="TextoNormalSangraFrancesa"/>
        <w:rPr>
          <w:rStyle w:val="TextoNormalCaracter"/>
        </w:rPr>
      </w:pPr>
      <w:bookmarkStart w:id="1122" w:name="DESCRIPTORALFABETICO308"/>
      <w:r w:rsidRPr="00C72046">
        <w:rPr>
          <w:rStyle w:val="TextoNormalNegritaCaracter"/>
        </w:rPr>
        <w:t>Principio de vinculación negativa</w:t>
      </w:r>
      <w:bookmarkEnd w:id="1122"/>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3, VP I.</w:t>
      </w:r>
    </w:p>
    <w:p w14:paraId="78D96EDE" w14:textId="6BE65A17" w:rsidR="00C72046" w:rsidRPr="00C72046" w:rsidRDefault="00C72046" w:rsidP="00C72046">
      <w:pPr>
        <w:pStyle w:val="TextoNormalSangraFrancesa"/>
        <w:rPr>
          <w:rStyle w:val="TextoNormalCaracter"/>
        </w:rPr>
      </w:pPr>
      <w:bookmarkStart w:id="1123" w:name="DESCRIPTORALFABETICO309"/>
      <w:r w:rsidRPr="00C72046">
        <w:rPr>
          <w:rStyle w:val="TextoNormalNegritaCaracter"/>
        </w:rPr>
        <w:t>Principio de vinculación positiva</w:t>
      </w:r>
      <w:bookmarkEnd w:id="1123"/>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VP II, VP IV.</w:t>
      </w:r>
    </w:p>
    <w:p w14:paraId="4CD0AE65" w14:textId="4817BBE2" w:rsidR="00C72046" w:rsidRPr="00C72046" w:rsidRDefault="00C72046" w:rsidP="00C72046">
      <w:pPr>
        <w:pStyle w:val="TextoNormalSangraFrancesa"/>
        <w:rPr>
          <w:rStyle w:val="TextoNormalCaracter"/>
        </w:rPr>
      </w:pPr>
      <w:bookmarkStart w:id="1124" w:name="DESCRIPTORALFABETICO304"/>
      <w:r w:rsidRPr="00C72046">
        <w:rPr>
          <w:rStyle w:val="TextoNormalNegritaCaracter"/>
        </w:rPr>
        <w:t>Principio democrático</w:t>
      </w:r>
      <w:bookmarkEnd w:id="1124"/>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 1, VP III.</w:t>
      </w:r>
    </w:p>
    <w:p w14:paraId="420F4B6B" w14:textId="77777777" w:rsidR="00C72046" w:rsidRPr="00C72046" w:rsidRDefault="00C72046" w:rsidP="00C72046">
      <w:pPr>
        <w:pStyle w:val="TextoNormalSangraFrancesa"/>
        <w:rPr>
          <w:rStyle w:val="TextoNormalCaracter"/>
        </w:rPr>
      </w:pPr>
      <w:bookmarkStart w:id="1125" w:name="DESCRIPTORALFABETICO462"/>
      <w:r w:rsidRPr="00C72046">
        <w:rPr>
          <w:rStyle w:val="TextoNormalNegritaCaracter"/>
        </w:rPr>
        <w:t xml:space="preserve">Principio </w:t>
      </w:r>
      <w:r w:rsidRPr="00C72046">
        <w:rPr>
          <w:rStyle w:val="TextoNormalNegritaCaracter"/>
          <w:i/>
        </w:rPr>
        <w:t>pro actione</w:t>
      </w:r>
      <w:bookmarkEnd w:id="1125"/>
      <w:r w:rsidRPr="00C72046">
        <w:rPr>
          <w:rStyle w:val="TextoNormalCaracter"/>
        </w:rPr>
        <w:t xml:space="preserve">, </w:t>
      </w:r>
    </w:p>
    <w:p w14:paraId="3E6AF41D" w14:textId="7B5A9E87" w:rsidR="00C72046" w:rsidRPr="00C72046" w:rsidRDefault="00C72046" w:rsidP="00C72046">
      <w:pPr>
        <w:pStyle w:val="TextoNormalSangraFrancesa"/>
        <w:rPr>
          <w:rStyle w:val="TextoNormalCaracter"/>
        </w:rPr>
      </w:pPr>
      <w:r w:rsidRPr="00C72046">
        <w:rPr>
          <w:rStyle w:val="TextoNormalCursivaCaracter"/>
        </w:rPr>
        <w:t xml:space="preserve">    Doctrina constitucional, </w:t>
      </w:r>
      <w:r w:rsidRPr="00C72046">
        <w:rPr>
          <w:rStyle w:val="TextoNormalCaracter"/>
        </w:rPr>
        <w:t xml:space="preserve">Sentencias </w:t>
      </w:r>
      <w:hyperlink w:anchor="SENTENCIA_2025_55" w:history="1">
        <w:r w:rsidRPr="00C72046">
          <w:rPr>
            <w:rStyle w:val="TextoNormalCaracter"/>
          </w:rPr>
          <w:t>55/2025</w:t>
        </w:r>
      </w:hyperlink>
      <w:r w:rsidRPr="00C72046">
        <w:rPr>
          <w:rStyle w:val="TextoNormalCaracter"/>
        </w:rPr>
        <w:t xml:space="preserve">, ff. 2 y 3; </w:t>
      </w:r>
      <w:hyperlink w:anchor="SENTENCIA_2025_69" w:history="1">
        <w:r w:rsidRPr="00C72046">
          <w:rPr>
            <w:rStyle w:val="TextoNormalCaracter"/>
          </w:rPr>
          <w:t>69/2025</w:t>
        </w:r>
      </w:hyperlink>
      <w:r w:rsidRPr="00C72046">
        <w:rPr>
          <w:rStyle w:val="TextoNormalCaracter"/>
        </w:rPr>
        <w:t>, ff. 2 y 3..</w:t>
      </w:r>
    </w:p>
    <w:p w14:paraId="53763937" w14:textId="09ADE37F" w:rsidR="00C72046" w:rsidRPr="00C72046" w:rsidRDefault="00C72046" w:rsidP="00C72046">
      <w:pPr>
        <w:pStyle w:val="TextoNormalSangraFrancesa"/>
        <w:rPr>
          <w:rStyle w:val="TextoNormalCaracter"/>
        </w:rPr>
      </w:pPr>
      <w:bookmarkStart w:id="1126" w:name="DESCRIPTORALFABETICO244"/>
      <w:r w:rsidRPr="00C72046">
        <w:rPr>
          <w:rStyle w:val="TextoNormalNegritaCaracter"/>
        </w:rPr>
        <w:t>Principios de mérito y capacidad</w:t>
      </w:r>
      <w:bookmarkEnd w:id="1126"/>
      <w:r w:rsidRPr="00C72046">
        <w:rPr>
          <w:rStyle w:val="TextoNormalCaracter"/>
        </w:rPr>
        <w:t xml:space="preserve">, Sentencia </w:t>
      </w:r>
      <w:hyperlink w:anchor="SENTENCIA_2025_42" w:history="1">
        <w:r w:rsidRPr="00C72046">
          <w:rPr>
            <w:rStyle w:val="TextoNormalCaracter"/>
          </w:rPr>
          <w:t>42/2025</w:t>
        </w:r>
      </w:hyperlink>
      <w:r w:rsidRPr="00C72046">
        <w:rPr>
          <w:rStyle w:val="TextoNormalCaracter"/>
        </w:rPr>
        <w:t>, f. 4.</w:t>
      </w:r>
    </w:p>
    <w:p w14:paraId="5EAC4E14" w14:textId="1EE3CD27" w:rsidR="00C72046" w:rsidRPr="00C72046" w:rsidRDefault="00C72046" w:rsidP="00C72046">
      <w:pPr>
        <w:pStyle w:val="TextoNormalSangraFrancesa"/>
        <w:rPr>
          <w:rStyle w:val="TextoNormalCaracter"/>
        </w:rPr>
      </w:pPr>
      <w:bookmarkStart w:id="1127" w:name="DESCRIPTORALFABETICO475"/>
      <w:r w:rsidRPr="00C72046">
        <w:rPr>
          <w:rStyle w:val="TextoNormalNegritaCaracter"/>
        </w:rPr>
        <w:t>Prisión provisional</w:t>
      </w:r>
      <w:bookmarkEnd w:id="1127"/>
      <w:r w:rsidRPr="00C72046">
        <w:rPr>
          <w:rStyle w:val="TextoNormalCaracter"/>
        </w:rPr>
        <w:t xml:space="preserve">, Sentencia </w:t>
      </w:r>
      <w:hyperlink w:anchor="SENTENCIA_2025_3" w:history="1">
        <w:r w:rsidRPr="00C72046">
          <w:rPr>
            <w:rStyle w:val="TextoNormalCaracter"/>
          </w:rPr>
          <w:t>3/2025</w:t>
        </w:r>
      </w:hyperlink>
      <w:r w:rsidRPr="00C72046">
        <w:rPr>
          <w:rStyle w:val="TextoNormalCaracter"/>
        </w:rPr>
        <w:t>, f. 1.</w:t>
      </w:r>
    </w:p>
    <w:p w14:paraId="0B85AA59" w14:textId="365E7AEE" w:rsidR="00C72046" w:rsidRPr="00C72046" w:rsidRDefault="00C72046" w:rsidP="00C72046">
      <w:pPr>
        <w:pStyle w:val="TextoNormalSangraFrancesa"/>
        <w:rPr>
          <w:rStyle w:val="TextoNormalCaracter"/>
        </w:rPr>
      </w:pPr>
      <w:bookmarkStart w:id="1128" w:name="DESCRIPTORALFABETICO275"/>
      <w:r w:rsidRPr="00C72046">
        <w:rPr>
          <w:rStyle w:val="TextoNormalNegritaCaracter"/>
        </w:rPr>
        <w:t>Privación de derechos de los parlamentarios</w:t>
      </w:r>
      <w:bookmarkEnd w:id="1128"/>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 2.</w:t>
      </w:r>
    </w:p>
    <w:p w14:paraId="14F2B4EA" w14:textId="6D6BDC13" w:rsidR="00C72046" w:rsidRPr="00C72046" w:rsidRDefault="00C72046" w:rsidP="00C72046">
      <w:pPr>
        <w:pStyle w:val="TextoNormalSangraFrancesa"/>
        <w:rPr>
          <w:rStyle w:val="TextoNormalCaracter"/>
        </w:rPr>
      </w:pPr>
      <w:bookmarkStart w:id="1129" w:name="DESCRIPTORALFABETICO408"/>
      <w:r w:rsidRPr="00C72046">
        <w:rPr>
          <w:rStyle w:val="TextoNormalNegritaCaracter"/>
        </w:rPr>
        <w:t>Procedimiento administrativo</w:t>
      </w:r>
      <w:bookmarkEnd w:id="1129"/>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ff. 2 a 4.</w:t>
      </w:r>
    </w:p>
    <w:p w14:paraId="414584EC" w14:textId="09AD9A85" w:rsidR="00C72046" w:rsidRPr="00C72046" w:rsidRDefault="00C72046" w:rsidP="00C72046">
      <w:pPr>
        <w:pStyle w:val="TextoNormalSangraFrancesa"/>
        <w:rPr>
          <w:rStyle w:val="TextoNormalCaracter"/>
        </w:rPr>
      </w:pPr>
      <w:bookmarkStart w:id="1130" w:name="DESCRIPTORALFABETICO327"/>
      <w:r w:rsidRPr="00C72046">
        <w:rPr>
          <w:rStyle w:val="TextoNormalNegritaCaracter"/>
        </w:rPr>
        <w:t>Procedimiento administrativo disciplinario</w:t>
      </w:r>
      <w:bookmarkEnd w:id="1130"/>
      <w:r w:rsidRPr="00C72046">
        <w:rPr>
          <w:rStyle w:val="TextoNormalCaracter"/>
        </w:rPr>
        <w:t xml:space="preserve">, Sentencia </w:t>
      </w:r>
      <w:hyperlink w:anchor="SENTENCIA_2025_84" w:history="1">
        <w:r w:rsidRPr="00C72046">
          <w:rPr>
            <w:rStyle w:val="TextoNormalCaracter"/>
          </w:rPr>
          <w:t>84/2025</w:t>
        </w:r>
      </w:hyperlink>
      <w:r w:rsidRPr="00C72046">
        <w:rPr>
          <w:rStyle w:val="TextoNormalCaracter"/>
        </w:rPr>
        <w:t>, ff. 1 a 4.</w:t>
      </w:r>
    </w:p>
    <w:p w14:paraId="67608C8D" w14:textId="7B20F5D9" w:rsidR="00C72046" w:rsidRPr="00C72046" w:rsidRDefault="00C72046" w:rsidP="00C72046">
      <w:pPr>
        <w:pStyle w:val="TextoNormalSangraFrancesa"/>
        <w:rPr>
          <w:rStyle w:val="TextoNormalCaracter"/>
        </w:rPr>
      </w:pPr>
      <w:bookmarkStart w:id="1131" w:name="DESCRIPTORALFABETICO328"/>
      <w:r w:rsidRPr="00C72046">
        <w:rPr>
          <w:rStyle w:val="TextoNormalNegritaCaracter"/>
        </w:rPr>
        <w:t>Procedimiento administrativo sancionador</w:t>
      </w:r>
      <w:bookmarkEnd w:id="1131"/>
      <w:r w:rsidRPr="00C72046">
        <w:rPr>
          <w:rStyle w:val="TextoNormalCaracter"/>
        </w:rPr>
        <w:t xml:space="preserve">, Sentencia </w:t>
      </w:r>
      <w:hyperlink w:anchor="SENTENCIA_2025_96" w:history="1">
        <w:r w:rsidRPr="00C72046">
          <w:rPr>
            <w:rStyle w:val="TextoNormalCaracter"/>
          </w:rPr>
          <w:t>96/2025</w:t>
        </w:r>
      </w:hyperlink>
      <w:r w:rsidRPr="00C72046">
        <w:rPr>
          <w:rStyle w:val="TextoNormalCaracter"/>
        </w:rPr>
        <w:t>, f. 4.</w:t>
      </w:r>
    </w:p>
    <w:p w14:paraId="0D5BD0D0" w14:textId="03D4DDE3" w:rsidR="00C72046" w:rsidRPr="00C72046" w:rsidRDefault="00C72046" w:rsidP="00C72046">
      <w:pPr>
        <w:pStyle w:val="TextoNormalSangraFrancesa"/>
        <w:rPr>
          <w:rStyle w:val="TextoNormalCaracter"/>
        </w:rPr>
      </w:pPr>
      <w:bookmarkStart w:id="1132" w:name="DESCRIPTORALFABETICO252"/>
      <w:r w:rsidRPr="00C72046">
        <w:rPr>
          <w:rStyle w:val="TextoNormalNegritaCaracter"/>
        </w:rPr>
        <w:t>Procedimiento legislativo</w:t>
      </w:r>
      <w:bookmarkEnd w:id="1132"/>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12.</w:t>
      </w:r>
    </w:p>
    <w:p w14:paraId="54B76A0C" w14:textId="6F773066" w:rsidR="00C72046" w:rsidRPr="00C72046" w:rsidRDefault="00C72046" w:rsidP="00C72046">
      <w:pPr>
        <w:pStyle w:val="TextoNormalSangraFrancesa"/>
        <w:rPr>
          <w:rStyle w:val="TextoNormalCaracter"/>
        </w:rPr>
      </w:pPr>
      <w:bookmarkStart w:id="1133" w:name="DESCRIPTORALFABETICO254"/>
      <w:r w:rsidRPr="00C72046">
        <w:rPr>
          <w:rStyle w:val="TextoNormalNegritaCaracter"/>
        </w:rPr>
        <w:t>Procedimiento legislativo de urgencia</w:t>
      </w:r>
      <w:bookmarkEnd w:id="1133"/>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ff. 8 y 9.</w:t>
      </w:r>
    </w:p>
    <w:p w14:paraId="2CE893DB" w14:textId="7D0BDA32" w:rsidR="00C72046" w:rsidRPr="00C72046" w:rsidRDefault="00C72046" w:rsidP="00C72046">
      <w:pPr>
        <w:pStyle w:val="TextoNormalSangraFrancesa"/>
        <w:rPr>
          <w:rStyle w:val="TextoNormalCaracter"/>
        </w:rPr>
      </w:pPr>
      <w:bookmarkStart w:id="1134" w:name="DESCRIPTORALFABETICO468"/>
      <w:r w:rsidRPr="00C72046">
        <w:rPr>
          <w:rStyle w:val="TextoNormalNegritaCaracter"/>
        </w:rPr>
        <w:t>Proceso de ejecución hipotecaria</w:t>
      </w:r>
      <w:bookmarkEnd w:id="1134"/>
      <w:r w:rsidRPr="00C72046">
        <w:rPr>
          <w:rStyle w:val="TextoNormalCaracter"/>
        </w:rPr>
        <w:t xml:space="preserve">, Sentencias </w:t>
      </w:r>
      <w:hyperlink w:anchor="SENTENCIA_2025_2" w:history="1">
        <w:r w:rsidRPr="00C72046">
          <w:rPr>
            <w:rStyle w:val="TextoNormalCaracter"/>
          </w:rPr>
          <w:t>2/2025</w:t>
        </w:r>
      </w:hyperlink>
      <w:r w:rsidRPr="00C72046">
        <w:rPr>
          <w:rStyle w:val="TextoNormalCaracter"/>
        </w:rPr>
        <w:t xml:space="preserve">, f. 1; </w:t>
      </w:r>
      <w:hyperlink w:anchor="SENTENCIA_2025_45" w:history="1">
        <w:r w:rsidRPr="00C72046">
          <w:rPr>
            <w:rStyle w:val="TextoNormalCaracter"/>
          </w:rPr>
          <w:t>45/2025</w:t>
        </w:r>
      </w:hyperlink>
      <w:r w:rsidRPr="00C72046">
        <w:rPr>
          <w:rStyle w:val="TextoNormalCaracter"/>
        </w:rPr>
        <w:t>, ff. 2 y 3.</w:t>
      </w:r>
    </w:p>
    <w:p w14:paraId="40257FAA" w14:textId="6538A97E" w:rsidR="00C72046" w:rsidRPr="00C72046" w:rsidRDefault="00C72046" w:rsidP="00C72046">
      <w:pPr>
        <w:pStyle w:val="TextoNormalSangraFrancesa"/>
        <w:rPr>
          <w:rStyle w:val="TextoNormalCaracter"/>
        </w:rPr>
      </w:pPr>
      <w:bookmarkStart w:id="1135" w:name="DESCRIPTORALFABETICO337"/>
      <w:r w:rsidRPr="00C72046">
        <w:rPr>
          <w:rStyle w:val="TextoNormalNegritaCaracter"/>
        </w:rPr>
        <w:t>Programación general del centro docente</w:t>
      </w:r>
      <w:bookmarkEnd w:id="1135"/>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45D3AB52" w14:textId="1843C5F3" w:rsidR="00C72046" w:rsidRPr="00C72046" w:rsidRDefault="00C72046" w:rsidP="00C72046">
      <w:pPr>
        <w:pStyle w:val="TextoNormalSangraFrancesa"/>
        <w:rPr>
          <w:rStyle w:val="TextoNormalCaracter"/>
        </w:rPr>
      </w:pPr>
      <w:bookmarkStart w:id="1136" w:name="DESCRIPTORALFABETICO319"/>
      <w:r w:rsidRPr="00C72046">
        <w:rPr>
          <w:rStyle w:val="TextoNormalNegritaCaracter"/>
        </w:rPr>
        <w:t>Promoción interna</w:t>
      </w:r>
      <w:bookmarkEnd w:id="1136"/>
      <w:r w:rsidRPr="00C72046">
        <w:rPr>
          <w:rStyle w:val="TextoNormalCaracter"/>
        </w:rPr>
        <w:t xml:space="preserve">, Sentencia </w:t>
      </w:r>
      <w:hyperlink w:anchor="SENTENCIA_2025_42" w:history="1">
        <w:r w:rsidRPr="00C72046">
          <w:rPr>
            <w:rStyle w:val="TextoNormalCaracter"/>
          </w:rPr>
          <w:t>42/2025</w:t>
        </w:r>
      </w:hyperlink>
      <w:r w:rsidRPr="00C72046">
        <w:rPr>
          <w:rStyle w:val="TextoNormalCaracter"/>
        </w:rPr>
        <w:t>, ff. 1 y 4.</w:t>
      </w:r>
    </w:p>
    <w:p w14:paraId="48ED784A" w14:textId="1C231AA6" w:rsidR="00C72046" w:rsidRPr="00C72046" w:rsidRDefault="00C72046" w:rsidP="00C72046">
      <w:pPr>
        <w:pStyle w:val="TextoNormalSangraFrancesa"/>
        <w:rPr>
          <w:rStyle w:val="TextoNormalCaracter"/>
        </w:rPr>
      </w:pPr>
      <w:bookmarkStart w:id="1137" w:name="DESCRIPTORALFABETICO442"/>
      <w:r w:rsidRPr="00C72046">
        <w:rPr>
          <w:rStyle w:val="TextoNormalNegritaCaracter"/>
        </w:rPr>
        <w:t>Proporcionalidad entre el defecto procesal y la decisión adoptada</w:t>
      </w:r>
      <w:bookmarkEnd w:id="1137"/>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ff. 2 y 3.</w:t>
      </w:r>
    </w:p>
    <w:p w14:paraId="36B48B90" w14:textId="03E62453" w:rsidR="00C72046" w:rsidRPr="00C72046" w:rsidRDefault="00C72046" w:rsidP="00C72046">
      <w:pPr>
        <w:pStyle w:val="TextoNormalSangraFrancesa"/>
        <w:rPr>
          <w:rStyle w:val="TextoNormalCaracter"/>
        </w:rPr>
      </w:pPr>
      <w:bookmarkStart w:id="1138" w:name="DESCRIPTORALFABETICO257"/>
      <w:r w:rsidRPr="00C72046">
        <w:rPr>
          <w:rStyle w:val="TextoNormalNegritaCaracter"/>
        </w:rPr>
        <w:t>Proposición de ley</w:t>
      </w:r>
      <w:bookmarkEnd w:id="1138"/>
      <w:r w:rsidRPr="00C72046">
        <w:rPr>
          <w:rStyle w:val="TextoNormalCaracter"/>
        </w:rPr>
        <w:t xml:space="preserve">, Sentencias </w:t>
      </w:r>
      <w:hyperlink w:anchor="SENTENCIA_2025_63" w:history="1">
        <w:r w:rsidRPr="00C72046">
          <w:rPr>
            <w:rStyle w:val="TextoNormalCaracter"/>
          </w:rPr>
          <w:t>63/2025</w:t>
        </w:r>
      </w:hyperlink>
      <w:r w:rsidRPr="00C72046">
        <w:rPr>
          <w:rStyle w:val="TextoNormalCaracter"/>
        </w:rPr>
        <w:t xml:space="preserve">, f. 9 y VP; </w:t>
      </w:r>
      <w:hyperlink w:anchor="SENTENCIA_2025_137" w:history="1">
        <w:r w:rsidRPr="00C72046">
          <w:rPr>
            <w:rStyle w:val="TextoNormalCaracter"/>
          </w:rPr>
          <w:t>137/2025</w:t>
        </w:r>
      </w:hyperlink>
      <w:r w:rsidRPr="00C72046">
        <w:rPr>
          <w:rStyle w:val="TextoNormalCaracter"/>
        </w:rPr>
        <w:t>, f. 12.</w:t>
      </w:r>
    </w:p>
    <w:p w14:paraId="36FDE872" w14:textId="189AEB54" w:rsidR="00C72046" w:rsidRPr="00C72046" w:rsidRDefault="00C72046" w:rsidP="00C72046">
      <w:pPr>
        <w:pStyle w:val="TextoNormalSangraFrancesa"/>
        <w:rPr>
          <w:rStyle w:val="TextoNormalCaracter"/>
        </w:rPr>
      </w:pPr>
      <w:bookmarkStart w:id="1139" w:name="DESCRIPTORALFABETICO477"/>
      <w:r w:rsidRPr="00C72046">
        <w:rPr>
          <w:rStyle w:val="TextoNormalNegritaCaracter"/>
        </w:rPr>
        <w:t>Prórroga de prisión provisional</w:t>
      </w:r>
      <w:bookmarkEnd w:id="1139"/>
      <w:r w:rsidRPr="00C72046">
        <w:rPr>
          <w:rStyle w:val="TextoNormalCaracter"/>
        </w:rPr>
        <w:t xml:space="preserve">, Sentencia </w:t>
      </w:r>
      <w:hyperlink w:anchor="SENTENCIA_2025_3" w:history="1">
        <w:r w:rsidRPr="00C72046">
          <w:rPr>
            <w:rStyle w:val="TextoNormalCaracter"/>
          </w:rPr>
          <w:t>3/2025</w:t>
        </w:r>
      </w:hyperlink>
      <w:r w:rsidRPr="00C72046">
        <w:rPr>
          <w:rStyle w:val="TextoNormalCaracter"/>
        </w:rPr>
        <w:t>, f. 1 a 4.</w:t>
      </w:r>
    </w:p>
    <w:p w14:paraId="50417817" w14:textId="5F73DA3E" w:rsidR="00C72046" w:rsidRPr="00C72046" w:rsidRDefault="00C72046" w:rsidP="00C72046">
      <w:pPr>
        <w:pStyle w:val="TextoNormalSangraFrancesa"/>
        <w:rPr>
          <w:rStyle w:val="TextoNormalCaracter"/>
        </w:rPr>
      </w:pPr>
      <w:bookmarkStart w:id="1140" w:name="DESCRIPTORALFABETICO31"/>
      <w:r w:rsidRPr="00C72046">
        <w:rPr>
          <w:rStyle w:val="TextoNormalNegritaCaracter"/>
        </w:rPr>
        <w:t>Prórrogas presupuestarias</w:t>
      </w:r>
      <w:bookmarkEnd w:id="1140"/>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 4.</w:t>
      </w:r>
    </w:p>
    <w:p w14:paraId="6E8B469B" w14:textId="78C3B516" w:rsidR="00C72046" w:rsidRPr="00C72046" w:rsidRDefault="00C72046" w:rsidP="00C72046">
      <w:pPr>
        <w:pStyle w:val="TextoNormalSangraFrancesa"/>
        <w:rPr>
          <w:rStyle w:val="TextoNormalCaracter"/>
        </w:rPr>
      </w:pPr>
      <w:bookmarkStart w:id="1141" w:name="DESCRIPTORALFABETICO404"/>
      <w:r w:rsidRPr="00C72046">
        <w:rPr>
          <w:rStyle w:val="TextoNormalNegritaCaracter"/>
        </w:rPr>
        <w:t>Protección de menores</w:t>
      </w:r>
      <w:bookmarkEnd w:id="1141"/>
      <w:r w:rsidRPr="00C72046">
        <w:rPr>
          <w:rStyle w:val="TextoNormalCaracter"/>
        </w:rPr>
        <w:t xml:space="preserve">, Sentencia </w:t>
      </w:r>
      <w:hyperlink w:anchor="SENTENCIA_2025_43" w:history="1">
        <w:r w:rsidRPr="00C72046">
          <w:rPr>
            <w:rStyle w:val="TextoNormalCaracter"/>
          </w:rPr>
          <w:t>43/2025</w:t>
        </w:r>
      </w:hyperlink>
      <w:r w:rsidRPr="00C72046">
        <w:rPr>
          <w:rStyle w:val="TextoNormalCaracter"/>
        </w:rPr>
        <w:t>, ff. 2 a 4.</w:t>
      </w:r>
    </w:p>
    <w:p w14:paraId="40D4E794" w14:textId="64384C36" w:rsidR="00C72046" w:rsidRPr="00C72046" w:rsidRDefault="00C72046" w:rsidP="00C72046">
      <w:pPr>
        <w:pStyle w:val="TextoNormalSangraFrancesa"/>
        <w:rPr>
          <w:rStyle w:val="TextoNormalCaracter"/>
        </w:rPr>
      </w:pPr>
      <w:bookmarkStart w:id="1142" w:name="DESCRIPTORALFABETICO326"/>
      <w:r w:rsidRPr="00C72046">
        <w:rPr>
          <w:rStyle w:val="TextoNormalNegritaCaracter"/>
        </w:rPr>
        <w:t>Protección del consumidor</w:t>
      </w:r>
      <w:bookmarkEnd w:id="1142"/>
      <w:r w:rsidRPr="00C72046">
        <w:rPr>
          <w:rStyle w:val="TextoNormalCaracter"/>
        </w:rPr>
        <w:t xml:space="preserve">, Sentencias </w:t>
      </w:r>
      <w:hyperlink w:anchor="SENTENCIA_2025_45" w:history="1">
        <w:r w:rsidRPr="00C72046">
          <w:rPr>
            <w:rStyle w:val="TextoNormalCaracter"/>
          </w:rPr>
          <w:t>45/2025</w:t>
        </w:r>
      </w:hyperlink>
      <w:r w:rsidRPr="00C72046">
        <w:rPr>
          <w:rStyle w:val="TextoNormalCaracter"/>
        </w:rPr>
        <w:t xml:space="preserve">, ff. 2 y 3; </w:t>
      </w:r>
      <w:hyperlink w:anchor="SENTENCIA_2025_109" w:history="1">
        <w:r w:rsidRPr="00C72046">
          <w:rPr>
            <w:rStyle w:val="TextoNormalCaracter"/>
          </w:rPr>
          <w:t>109/2025</w:t>
        </w:r>
      </w:hyperlink>
      <w:r w:rsidRPr="00C72046">
        <w:rPr>
          <w:rStyle w:val="TextoNormalCaracter"/>
        </w:rPr>
        <w:t xml:space="preserve">, ff. 2 y 3; </w:t>
      </w:r>
      <w:hyperlink w:anchor="SENTENCIA_2025_121" w:history="1">
        <w:r w:rsidRPr="00C72046">
          <w:rPr>
            <w:rStyle w:val="TextoNormalCaracter"/>
          </w:rPr>
          <w:t>121/2025</w:t>
        </w:r>
      </w:hyperlink>
      <w:r w:rsidRPr="00C72046">
        <w:rPr>
          <w:rStyle w:val="TextoNormalCaracter"/>
        </w:rPr>
        <w:t>, ff. 3 y 4.</w:t>
      </w:r>
    </w:p>
    <w:p w14:paraId="427E549D" w14:textId="089A7FA1" w:rsidR="00C72046" w:rsidRPr="00C72046" w:rsidRDefault="00C72046" w:rsidP="00C72046">
      <w:pPr>
        <w:pStyle w:val="TextoNormalSangraFrancesa"/>
        <w:rPr>
          <w:rStyle w:val="TextoNormalCaracter"/>
        </w:rPr>
      </w:pPr>
      <w:bookmarkStart w:id="1143" w:name="DESCRIPTORALFABETICO253"/>
      <w:r w:rsidRPr="00C72046">
        <w:rPr>
          <w:rStyle w:val="TextoNormalNegritaCaracter"/>
        </w:rPr>
        <w:t>Proyectos de ley</w:t>
      </w:r>
      <w:bookmarkEnd w:id="1143"/>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ff. 5, 7, 9 y 10, VP.</w:t>
      </w:r>
    </w:p>
    <w:p w14:paraId="0640291E" w14:textId="74246861" w:rsidR="00C72046" w:rsidRPr="00C72046" w:rsidRDefault="00C72046" w:rsidP="00C72046">
      <w:pPr>
        <w:pStyle w:val="TextoNormalSangraFrancesa"/>
        <w:rPr>
          <w:rStyle w:val="TextoNormalCaracter"/>
        </w:rPr>
      </w:pPr>
      <w:bookmarkStart w:id="1144" w:name="DESCRIPTORALFABETICO448"/>
      <w:r w:rsidRPr="00C72046">
        <w:rPr>
          <w:rStyle w:val="TextoNormalNegritaCaracter"/>
        </w:rPr>
        <w:t>Prueba ilícita</w:t>
      </w:r>
      <w:bookmarkEnd w:id="1144"/>
      <w:r w:rsidRPr="00C72046">
        <w:rPr>
          <w:rStyle w:val="TextoNormalCaracter"/>
        </w:rPr>
        <w:t xml:space="preserve">, Auto </w:t>
      </w:r>
      <w:hyperlink w:anchor="AUTO_2025_28" w:history="1">
        <w:r w:rsidRPr="00C72046">
          <w:rPr>
            <w:rStyle w:val="TextoNormalCaracter"/>
          </w:rPr>
          <w:t>28/2025</w:t>
        </w:r>
      </w:hyperlink>
      <w:r w:rsidRPr="00C72046">
        <w:rPr>
          <w:rStyle w:val="TextoNormalCaracter"/>
        </w:rPr>
        <w:t>, ff. 2 a 4, VP I.</w:t>
      </w:r>
    </w:p>
    <w:p w14:paraId="70D22BC7" w14:textId="08956FE1" w:rsidR="00C72046" w:rsidRPr="00C72046" w:rsidRDefault="00C72046" w:rsidP="00C72046">
      <w:pPr>
        <w:pStyle w:val="TextoNormalSangraFrancesa"/>
        <w:rPr>
          <w:rStyle w:val="TextoNormalCaracter"/>
        </w:rPr>
      </w:pPr>
      <w:bookmarkStart w:id="1145" w:name="DESCRIPTORALFABETICO449"/>
      <w:r w:rsidRPr="00C72046">
        <w:rPr>
          <w:rStyle w:val="TextoNormalNegritaCaracter"/>
        </w:rPr>
        <w:t>Prueba indiciaria</w:t>
      </w:r>
      <w:bookmarkEnd w:id="1145"/>
      <w:r w:rsidRPr="00C72046">
        <w:rPr>
          <w:rStyle w:val="TextoNormalCaracter"/>
        </w:rPr>
        <w:t xml:space="preserve">, Sentencias </w:t>
      </w:r>
      <w:hyperlink w:anchor="SENTENCIA_2025_28" w:history="1">
        <w:r w:rsidRPr="00C72046">
          <w:rPr>
            <w:rStyle w:val="TextoNormalCaracter"/>
          </w:rPr>
          <w:t>28/2025</w:t>
        </w:r>
      </w:hyperlink>
      <w:r w:rsidRPr="00C72046">
        <w:rPr>
          <w:rStyle w:val="TextoNormalCaracter"/>
        </w:rPr>
        <w:t xml:space="preserve">, ff. 4 y 5; </w:t>
      </w:r>
      <w:hyperlink w:anchor="SENTENCIA_2025_54" w:history="1">
        <w:r w:rsidRPr="00C72046">
          <w:rPr>
            <w:rStyle w:val="TextoNormalCaracter"/>
          </w:rPr>
          <w:t>54/2025</w:t>
        </w:r>
      </w:hyperlink>
      <w:r w:rsidRPr="00C72046">
        <w:rPr>
          <w:rStyle w:val="TextoNormalCaracter"/>
        </w:rPr>
        <w:t>, f. 3, VP.</w:t>
      </w:r>
    </w:p>
    <w:p w14:paraId="30F52EB4" w14:textId="7AD24C9D" w:rsidR="00C72046" w:rsidRDefault="00C72046" w:rsidP="00C72046">
      <w:pPr>
        <w:pStyle w:val="TextoNormalSangraFrancesa"/>
      </w:pPr>
    </w:p>
    <w:p w14:paraId="418B0519" w14:textId="77777777" w:rsidR="00C72046" w:rsidRDefault="00C72046" w:rsidP="00C72046">
      <w:pPr>
        <w:pStyle w:val="TextoNormalSangraFrancesa"/>
      </w:pPr>
    </w:p>
    <w:p w14:paraId="673D0137" w14:textId="77777777" w:rsidR="00C72046" w:rsidRDefault="00C72046" w:rsidP="00C72046">
      <w:pPr>
        <w:pStyle w:val="TextoNormalNegritaCentrado"/>
      </w:pPr>
      <w:r>
        <w:t>R</w:t>
      </w:r>
    </w:p>
    <w:p w14:paraId="2D0FD252" w14:textId="53044E4F" w:rsidR="00C72046" w:rsidRDefault="00C72046" w:rsidP="00C72046">
      <w:pPr>
        <w:pStyle w:val="TextoNormalNegritaCentrado"/>
      </w:pPr>
    </w:p>
    <w:p w14:paraId="7F52CA83" w14:textId="19B63571" w:rsidR="00C72046" w:rsidRPr="00C72046" w:rsidRDefault="00C72046" w:rsidP="00C72046">
      <w:pPr>
        <w:pStyle w:val="TextoNormalSangraFrancesa"/>
        <w:rPr>
          <w:rStyle w:val="TextoNormalCaracter"/>
        </w:rPr>
      </w:pPr>
      <w:bookmarkStart w:id="1146" w:name="DESCRIPTORALFABETICO344"/>
      <w:r w:rsidRPr="00C72046">
        <w:rPr>
          <w:rStyle w:val="TextoNormalNegritaCaracter"/>
        </w:rPr>
        <w:t>Reconocimiento de estudios entre el sistema de formación profesional y el sistema universitario</w:t>
      </w:r>
      <w:bookmarkEnd w:id="1146"/>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7.</w:t>
      </w:r>
    </w:p>
    <w:p w14:paraId="1EAC1356" w14:textId="3031D8E1" w:rsidR="00C72046" w:rsidRPr="00C72046" w:rsidRDefault="00C72046" w:rsidP="00C72046">
      <w:pPr>
        <w:pStyle w:val="TextoNormalSangraFrancesa"/>
        <w:rPr>
          <w:rStyle w:val="TextoNormalCaracter"/>
        </w:rPr>
      </w:pPr>
      <w:bookmarkStart w:id="1147" w:name="DESCRIPTORALFABETICO204"/>
      <w:r w:rsidRPr="00C72046">
        <w:rPr>
          <w:rStyle w:val="TextoNormalNegritaCaracter"/>
        </w:rPr>
        <w:t>Recurso de amparo mixto</w:t>
      </w:r>
      <w:bookmarkEnd w:id="1147"/>
      <w:r w:rsidRPr="00C72046">
        <w:rPr>
          <w:rStyle w:val="TextoNormalCaracter"/>
        </w:rPr>
        <w:t xml:space="preserve">, Sentencia </w:t>
      </w:r>
      <w:hyperlink w:anchor="SENTENCIA_2025_106" w:history="1">
        <w:r w:rsidRPr="00C72046">
          <w:rPr>
            <w:rStyle w:val="TextoNormalCaracter"/>
          </w:rPr>
          <w:t>106/2025</w:t>
        </w:r>
      </w:hyperlink>
      <w:r w:rsidRPr="00C72046">
        <w:rPr>
          <w:rStyle w:val="TextoNormalCaracter"/>
        </w:rPr>
        <w:t>, ff. 1 y 2.</w:t>
      </w:r>
    </w:p>
    <w:p w14:paraId="3373BD85" w14:textId="113F0FF7" w:rsidR="00C72046" w:rsidRPr="00C72046" w:rsidRDefault="00C72046" w:rsidP="00C72046">
      <w:pPr>
        <w:pStyle w:val="TextoNormalSangraFrancesa"/>
        <w:rPr>
          <w:rStyle w:val="TextoNormalCaracter"/>
        </w:rPr>
      </w:pPr>
      <w:bookmarkStart w:id="1148" w:name="DESCRIPTORALFABETICO478"/>
      <w:r w:rsidRPr="00C72046">
        <w:rPr>
          <w:rStyle w:val="TextoNormalNegritaCaracter"/>
        </w:rPr>
        <w:t>Recurso de revisión penal</w:t>
      </w:r>
      <w:bookmarkEnd w:id="1148"/>
      <w:r w:rsidRPr="00C72046">
        <w:rPr>
          <w:rStyle w:val="TextoNormalCaracter"/>
        </w:rPr>
        <w:t xml:space="preserve">, Sentencias </w:t>
      </w:r>
      <w:hyperlink w:anchor="SENTENCIA_2025_105" w:history="1">
        <w:r w:rsidRPr="00C72046">
          <w:rPr>
            <w:rStyle w:val="TextoNormalCaracter"/>
          </w:rPr>
          <w:t>105/2025</w:t>
        </w:r>
      </w:hyperlink>
      <w:r w:rsidRPr="00C72046">
        <w:rPr>
          <w:rStyle w:val="TextoNormalCaracter"/>
        </w:rPr>
        <w:t xml:space="preserve">, ff. 2 a 3; </w:t>
      </w:r>
      <w:hyperlink w:anchor="SENTENCIA_2025_110" w:history="1">
        <w:r w:rsidRPr="00C72046">
          <w:rPr>
            <w:rStyle w:val="TextoNormalCaracter"/>
          </w:rPr>
          <w:t>110/2025</w:t>
        </w:r>
      </w:hyperlink>
      <w:r w:rsidRPr="00C72046">
        <w:rPr>
          <w:rStyle w:val="TextoNormalCaracter"/>
        </w:rPr>
        <w:t>, f. 2, VP I, VP I.</w:t>
      </w:r>
    </w:p>
    <w:p w14:paraId="2D287C61" w14:textId="77777777" w:rsidR="00C72046" w:rsidRPr="00C72046" w:rsidRDefault="00C72046" w:rsidP="00C72046">
      <w:pPr>
        <w:pStyle w:val="TextoNormalSangraFrancesa"/>
        <w:rPr>
          <w:rStyle w:val="TextoNormalCaracter"/>
        </w:rPr>
      </w:pPr>
      <w:bookmarkStart w:id="1149" w:name="DESCRIPTORALFABETICO160"/>
      <w:r w:rsidRPr="00C72046">
        <w:rPr>
          <w:rStyle w:val="TextoNormalNegritaCaracter"/>
        </w:rPr>
        <w:t>Recusación de magistrados del Tribunal Constitucional</w:t>
      </w:r>
      <w:bookmarkEnd w:id="1149"/>
      <w:r w:rsidRPr="00C72046">
        <w:rPr>
          <w:rStyle w:val="TextoNormalCaracter"/>
        </w:rPr>
        <w:t xml:space="preserve">, </w:t>
      </w:r>
    </w:p>
    <w:p w14:paraId="49D87617" w14:textId="575B76BA" w:rsidR="00C72046" w:rsidRPr="00C72046" w:rsidRDefault="00C72046" w:rsidP="00C72046">
      <w:pPr>
        <w:pStyle w:val="TextoNormalSangraFrancesa"/>
        <w:rPr>
          <w:rStyle w:val="TextoNormalCaracter"/>
        </w:rPr>
      </w:pPr>
      <w:r w:rsidRPr="00C72046">
        <w:rPr>
          <w:rStyle w:val="TextoNormalCursivaCaracter"/>
        </w:rPr>
        <w:t xml:space="preserve">    Acepta, </w:t>
      </w:r>
      <w:r w:rsidRPr="00C72046">
        <w:rPr>
          <w:rStyle w:val="TextoNormalCaracter"/>
        </w:rPr>
        <w:t xml:space="preserve">Auto </w:t>
      </w:r>
      <w:hyperlink w:anchor="AUTO_2025_6" w:history="1">
        <w:r w:rsidRPr="00C72046">
          <w:rPr>
            <w:rStyle w:val="TextoNormalCaracter"/>
          </w:rPr>
          <w:t>6/2025</w:t>
        </w:r>
      </w:hyperlink>
      <w:r w:rsidRPr="00C72046">
        <w:rPr>
          <w:rStyle w:val="TextoNormalCaracter"/>
        </w:rPr>
        <w:t>, f. 5, VVPP I y II.</w:t>
      </w:r>
    </w:p>
    <w:p w14:paraId="1B1C25BE" w14:textId="46865E1C" w:rsidR="00C72046" w:rsidRPr="00C72046" w:rsidRDefault="00C72046" w:rsidP="00C72046">
      <w:pPr>
        <w:pStyle w:val="TextoNormalSangraFrancesa"/>
        <w:rPr>
          <w:rStyle w:val="TextoNormalCaracter"/>
        </w:rPr>
      </w:pPr>
      <w:bookmarkStart w:id="1150" w:name="DESCRIPTORALFABETICO354"/>
      <w:r w:rsidRPr="00C72046">
        <w:rPr>
          <w:rStyle w:val="TextoNormalNegritaCaracter"/>
        </w:rPr>
        <w:t>Régimen de visitas a los hijos</w:t>
      </w:r>
      <w:bookmarkEnd w:id="1150"/>
      <w:r w:rsidRPr="00C72046">
        <w:rPr>
          <w:rStyle w:val="TextoNormalCaracter"/>
        </w:rPr>
        <w:t xml:space="preserve">, Sentencia </w:t>
      </w:r>
      <w:hyperlink w:anchor="SENTENCIA_2025_54" w:history="1">
        <w:r w:rsidRPr="00C72046">
          <w:rPr>
            <w:rStyle w:val="TextoNormalCaracter"/>
          </w:rPr>
          <w:t>54/2025</w:t>
        </w:r>
      </w:hyperlink>
      <w:r w:rsidRPr="00C72046">
        <w:rPr>
          <w:rStyle w:val="TextoNormalCaracter"/>
        </w:rPr>
        <w:t>, ff. 1 y 2,  VP.</w:t>
      </w:r>
    </w:p>
    <w:p w14:paraId="4CF716DC" w14:textId="318CA5F9" w:rsidR="00C72046" w:rsidRPr="00C72046" w:rsidRDefault="00C72046" w:rsidP="00C72046">
      <w:pPr>
        <w:pStyle w:val="TextoNormalSangraFrancesa"/>
        <w:rPr>
          <w:rStyle w:val="TextoNormalCaracter"/>
        </w:rPr>
      </w:pPr>
      <w:bookmarkStart w:id="1151" w:name="DESCRIPTORALFABETICO492"/>
      <w:r w:rsidRPr="00C72046">
        <w:rPr>
          <w:rStyle w:val="TextoNormalNegritaCaracter"/>
        </w:rPr>
        <w:t>Región de Murcia</w:t>
      </w:r>
      <w:bookmarkEnd w:id="1151"/>
      <w:r w:rsidRPr="00C72046">
        <w:rPr>
          <w:rStyle w:val="TextoNormalCaracter"/>
        </w:rPr>
        <w:t xml:space="preserve">, Sentencia </w:t>
      </w:r>
      <w:hyperlink w:anchor="SENTENCIA_2025_42" w:history="1">
        <w:r w:rsidRPr="00C72046">
          <w:rPr>
            <w:rStyle w:val="TextoNormalCaracter"/>
          </w:rPr>
          <w:t>42/2025</w:t>
        </w:r>
      </w:hyperlink>
      <w:r w:rsidRPr="00C72046">
        <w:rPr>
          <w:rStyle w:val="TextoNormalCaracter"/>
        </w:rPr>
        <w:t>, f. 1.</w:t>
      </w:r>
    </w:p>
    <w:p w14:paraId="18DB02EC" w14:textId="366BAEF8" w:rsidR="00C72046" w:rsidRPr="00C72046" w:rsidRDefault="00C72046" w:rsidP="00C72046">
      <w:pPr>
        <w:pStyle w:val="TextoNormalSangraFrancesa"/>
        <w:rPr>
          <w:rStyle w:val="TextoNormalCaracter"/>
        </w:rPr>
      </w:pPr>
      <w:bookmarkStart w:id="1152" w:name="DESCRIPTORALFABETICO288"/>
      <w:r w:rsidRPr="00C72046">
        <w:rPr>
          <w:rStyle w:val="TextoNormalNegritaCaracter"/>
        </w:rPr>
        <w:t>Reglamento del Senado</w:t>
      </w:r>
      <w:bookmarkEnd w:id="1152"/>
      <w:r w:rsidRPr="00C72046">
        <w:rPr>
          <w:rStyle w:val="TextoNormalCaracter"/>
        </w:rPr>
        <w:t xml:space="preserve">, Sentencia </w:t>
      </w:r>
      <w:hyperlink w:anchor="SENTENCIA_2025_63" w:history="1">
        <w:r w:rsidRPr="00C72046">
          <w:rPr>
            <w:rStyle w:val="TextoNormalCaracter"/>
          </w:rPr>
          <w:t>63/2025</w:t>
        </w:r>
      </w:hyperlink>
      <w:r w:rsidRPr="00C72046">
        <w:rPr>
          <w:rStyle w:val="TextoNormalCaracter"/>
        </w:rPr>
        <w:t>, ff. 1,4 y 6.</w:t>
      </w:r>
    </w:p>
    <w:p w14:paraId="775F3E43" w14:textId="1526104B" w:rsidR="00C72046" w:rsidRPr="00C72046" w:rsidRDefault="00C72046" w:rsidP="00C72046">
      <w:pPr>
        <w:pStyle w:val="TextoNormalSangraFrancesa"/>
        <w:rPr>
          <w:rStyle w:val="TextoNormalCaracter"/>
        </w:rPr>
      </w:pPr>
      <w:bookmarkStart w:id="1153" w:name="DESCRIPTORALFABETICO286"/>
      <w:r w:rsidRPr="00C72046">
        <w:rPr>
          <w:rStyle w:val="TextoNormalNegritaCaracter"/>
        </w:rPr>
        <w:t>Reglamentos parlamentarios</w:t>
      </w:r>
      <w:bookmarkEnd w:id="1153"/>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f. 1, VP I; </w:t>
      </w:r>
      <w:hyperlink w:anchor="SENTENCIA_2025_52" w:history="1">
        <w:r w:rsidRPr="00C72046">
          <w:rPr>
            <w:rStyle w:val="TextoNormalCaracter"/>
          </w:rPr>
          <w:t>52/2025</w:t>
        </w:r>
      </w:hyperlink>
      <w:r w:rsidRPr="00C72046">
        <w:rPr>
          <w:rStyle w:val="TextoNormalCaracter"/>
        </w:rPr>
        <w:t xml:space="preserve">, f. único; </w:t>
      </w:r>
      <w:hyperlink w:anchor="SENTENCIA_2025_53" w:history="1">
        <w:r w:rsidRPr="00C72046">
          <w:rPr>
            <w:rStyle w:val="TextoNormalCaracter"/>
          </w:rPr>
          <w:t>53/2025</w:t>
        </w:r>
      </w:hyperlink>
      <w:r w:rsidRPr="00C72046">
        <w:rPr>
          <w:rStyle w:val="TextoNormalCaracter"/>
        </w:rPr>
        <w:t>, f. único.</w:t>
      </w:r>
    </w:p>
    <w:p w14:paraId="0988F024" w14:textId="60B83559" w:rsidR="00C72046" w:rsidRPr="00C72046" w:rsidRDefault="00C72046" w:rsidP="00C72046">
      <w:pPr>
        <w:pStyle w:val="TextoNormalSangraFrancesa"/>
        <w:rPr>
          <w:rStyle w:val="TextoNormalCaracter"/>
        </w:rPr>
      </w:pPr>
      <w:bookmarkStart w:id="1154" w:name="DESCRIPTORALFABETICO425"/>
      <w:r w:rsidRPr="00C72046">
        <w:rPr>
          <w:rStyle w:val="TextoNormalNegritaCaracter"/>
        </w:rPr>
        <w:t>Regulación del procedimiento de protección de menores</w:t>
      </w:r>
      <w:bookmarkEnd w:id="1154"/>
      <w:r w:rsidRPr="00C72046">
        <w:rPr>
          <w:rStyle w:val="TextoNormalCaracter"/>
        </w:rPr>
        <w:t xml:space="preserve">, Sentencia </w:t>
      </w:r>
      <w:hyperlink w:anchor="SENTENCIA_2025_43" w:history="1">
        <w:r w:rsidRPr="00C72046">
          <w:rPr>
            <w:rStyle w:val="TextoNormalCaracter"/>
          </w:rPr>
          <w:t>43/2025</w:t>
        </w:r>
      </w:hyperlink>
      <w:r w:rsidRPr="00C72046">
        <w:rPr>
          <w:rStyle w:val="TextoNormalCaracter"/>
        </w:rPr>
        <w:t>, f. 3.</w:t>
      </w:r>
    </w:p>
    <w:p w14:paraId="0FC65DAA" w14:textId="14DE5CB1" w:rsidR="00C72046" w:rsidRPr="00C72046" w:rsidRDefault="00C72046" w:rsidP="00C72046">
      <w:pPr>
        <w:pStyle w:val="TextoNormalSangraFrancesa"/>
        <w:rPr>
          <w:rStyle w:val="TextoNormalCaracter"/>
        </w:rPr>
      </w:pPr>
      <w:bookmarkStart w:id="1155" w:name="DESCRIPTORALFABETICO180"/>
      <w:r w:rsidRPr="00C72046">
        <w:rPr>
          <w:rStyle w:val="TextoNormalNegritaCaracter"/>
        </w:rPr>
        <w:t>Reivindicaciones competenciales preventivas</w:t>
      </w:r>
      <w:bookmarkEnd w:id="1155"/>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w:t>
      </w:r>
    </w:p>
    <w:p w14:paraId="30D3BFFD" w14:textId="66168757" w:rsidR="00C72046" w:rsidRPr="00C72046" w:rsidRDefault="00C72046" w:rsidP="00C72046">
      <w:pPr>
        <w:pStyle w:val="TextoNormalSangraFrancesa"/>
        <w:rPr>
          <w:rStyle w:val="TextoNormalCaracter"/>
        </w:rPr>
      </w:pPr>
      <w:bookmarkStart w:id="1156" w:name="DESCRIPTORALFABETICO129"/>
      <w:r w:rsidRPr="00C72046">
        <w:rPr>
          <w:rStyle w:val="TextoNormalNegritaCaracter"/>
        </w:rPr>
        <w:t>Relevancia pública de la información</w:t>
      </w:r>
      <w:bookmarkEnd w:id="1156"/>
      <w:r w:rsidRPr="00C72046">
        <w:rPr>
          <w:rStyle w:val="TextoNormalCaracter"/>
        </w:rPr>
        <w:t xml:space="preserve">, Sentencia </w:t>
      </w:r>
      <w:hyperlink w:anchor="SENTENCIA_2025_62" w:history="1">
        <w:r w:rsidRPr="00C72046">
          <w:rPr>
            <w:rStyle w:val="TextoNormalCaracter"/>
          </w:rPr>
          <w:t>62/2025</w:t>
        </w:r>
      </w:hyperlink>
      <w:r w:rsidRPr="00C72046">
        <w:rPr>
          <w:rStyle w:val="TextoNormalCaracter"/>
        </w:rPr>
        <w:t>, ff. 2 y 3, VP I, VP II.</w:t>
      </w:r>
    </w:p>
    <w:p w14:paraId="47A31F06" w14:textId="21F8E359" w:rsidR="00C72046" w:rsidRPr="00C72046" w:rsidRDefault="00C72046" w:rsidP="00C72046">
      <w:pPr>
        <w:pStyle w:val="TextoNormalSangraFrancesa"/>
        <w:rPr>
          <w:rStyle w:val="TextoNormalCaracter"/>
        </w:rPr>
      </w:pPr>
      <w:bookmarkStart w:id="1157" w:name="DESCRIPTORALFABETICO394"/>
      <w:r w:rsidRPr="00C72046">
        <w:rPr>
          <w:rStyle w:val="TextoNormalNegritaCaracter"/>
        </w:rPr>
        <w:t>Remisión a normas reglamentarias</w:t>
      </w:r>
      <w:bookmarkEnd w:id="1157"/>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ff. 4 a 8.</w:t>
      </w:r>
    </w:p>
    <w:p w14:paraId="4353F6A8" w14:textId="1C3DA1C2" w:rsidR="00C72046" w:rsidRPr="00C72046" w:rsidRDefault="00C72046" w:rsidP="00C72046">
      <w:pPr>
        <w:pStyle w:val="TextoNormalSangraFrancesa"/>
        <w:rPr>
          <w:rStyle w:val="TextoNormalCaracter"/>
        </w:rPr>
      </w:pPr>
      <w:bookmarkStart w:id="1158" w:name="DESCRIPTORALFABETICO215"/>
      <w:r w:rsidRPr="00C72046">
        <w:rPr>
          <w:rStyle w:val="TextoNormalNegritaCaracter"/>
        </w:rPr>
        <w:t>Repercusión política del asunto</w:t>
      </w:r>
      <w:bookmarkEnd w:id="1158"/>
      <w:r w:rsidRPr="00C72046">
        <w:rPr>
          <w:rStyle w:val="TextoNormalCaracter"/>
        </w:rPr>
        <w:t xml:space="preserve">, Autos </w:t>
      </w:r>
      <w:hyperlink w:anchor="AUTO_2025_4" w:history="1">
        <w:r w:rsidRPr="00C72046">
          <w:rPr>
            <w:rStyle w:val="TextoNormalCaracter"/>
          </w:rPr>
          <w:t>4/2025</w:t>
        </w:r>
      </w:hyperlink>
      <w:r w:rsidRPr="00C72046">
        <w:rPr>
          <w:rStyle w:val="TextoNormalCaracter"/>
        </w:rPr>
        <w:t xml:space="preserve">, f. único; </w:t>
      </w:r>
      <w:hyperlink w:anchor="AUTO_2025_5" w:history="1">
        <w:r w:rsidRPr="00C72046">
          <w:rPr>
            <w:rStyle w:val="TextoNormalCaracter"/>
          </w:rPr>
          <w:t>5/2025</w:t>
        </w:r>
      </w:hyperlink>
      <w:r w:rsidRPr="00C72046">
        <w:rPr>
          <w:rStyle w:val="TextoNormalCaracter"/>
        </w:rPr>
        <w:t>, f. único.</w:t>
      </w:r>
    </w:p>
    <w:p w14:paraId="6E59EC1E" w14:textId="5579E500" w:rsidR="00C72046" w:rsidRPr="00C72046" w:rsidRDefault="00C72046" w:rsidP="00C72046">
      <w:pPr>
        <w:pStyle w:val="TextoNormalSangraFrancesa"/>
        <w:rPr>
          <w:rStyle w:val="TextoNormalCaracter"/>
        </w:rPr>
      </w:pPr>
      <w:bookmarkStart w:id="1159" w:name="DESCRIPTORALFABETICO216"/>
      <w:r w:rsidRPr="00C72046">
        <w:rPr>
          <w:rStyle w:val="TextoNormalNegritaCaracter"/>
        </w:rPr>
        <w:t>Repercusión social o económica del asunto</w:t>
      </w:r>
      <w:bookmarkEnd w:id="1159"/>
      <w:r w:rsidRPr="00C72046">
        <w:rPr>
          <w:rStyle w:val="TextoNormalCaracter"/>
        </w:rPr>
        <w:t xml:space="preserve">, Autos </w:t>
      </w:r>
      <w:hyperlink w:anchor="AUTO_2025_4" w:history="1">
        <w:r w:rsidRPr="00C72046">
          <w:rPr>
            <w:rStyle w:val="TextoNormalCaracter"/>
          </w:rPr>
          <w:t>4/2025</w:t>
        </w:r>
      </w:hyperlink>
      <w:r w:rsidRPr="00C72046">
        <w:rPr>
          <w:rStyle w:val="TextoNormalCaracter"/>
        </w:rPr>
        <w:t xml:space="preserve">, f. único; </w:t>
      </w:r>
      <w:hyperlink w:anchor="AUTO_2025_5" w:history="1">
        <w:r w:rsidRPr="00C72046">
          <w:rPr>
            <w:rStyle w:val="TextoNormalCaracter"/>
          </w:rPr>
          <w:t>5/2025</w:t>
        </w:r>
      </w:hyperlink>
      <w:r w:rsidRPr="00C72046">
        <w:rPr>
          <w:rStyle w:val="TextoNormalCaracter"/>
        </w:rPr>
        <w:t>, f. único.</w:t>
      </w:r>
    </w:p>
    <w:p w14:paraId="0204EF78" w14:textId="6337DCF4" w:rsidR="00C72046" w:rsidRPr="00C72046" w:rsidRDefault="00C72046" w:rsidP="00C72046">
      <w:pPr>
        <w:pStyle w:val="TextoNormalSangraFrancesa"/>
        <w:rPr>
          <w:rStyle w:val="TextoNormalCaracter"/>
        </w:rPr>
      </w:pPr>
      <w:bookmarkStart w:id="1160" w:name="DESCRIPTORALFABETICO127"/>
      <w:r w:rsidRPr="00C72046">
        <w:rPr>
          <w:rStyle w:val="TextoNormalNegritaCaracter"/>
        </w:rPr>
        <w:t>Reportaje neutral</w:t>
      </w:r>
      <w:bookmarkEnd w:id="1160"/>
      <w:r w:rsidRPr="00C72046">
        <w:rPr>
          <w:rStyle w:val="TextoNormalCaracter"/>
        </w:rPr>
        <w:t xml:space="preserve">, Sentencias </w:t>
      </w:r>
      <w:hyperlink w:anchor="SENTENCIA_2025_62" w:history="1">
        <w:r w:rsidRPr="00C72046">
          <w:rPr>
            <w:rStyle w:val="TextoNormalCaracter"/>
          </w:rPr>
          <w:t>62/2025</w:t>
        </w:r>
      </w:hyperlink>
      <w:r w:rsidRPr="00C72046">
        <w:rPr>
          <w:rStyle w:val="TextoNormalCaracter"/>
        </w:rPr>
        <w:t xml:space="preserve">, ff. 2 y 3, VP I, VP II, VP III; </w:t>
      </w:r>
      <w:hyperlink w:anchor="SENTENCIA_2025_87" w:history="1">
        <w:r w:rsidRPr="00C72046">
          <w:rPr>
            <w:rStyle w:val="TextoNormalCaracter"/>
          </w:rPr>
          <w:t>87/2025</w:t>
        </w:r>
      </w:hyperlink>
      <w:r w:rsidRPr="00C72046">
        <w:rPr>
          <w:rStyle w:val="TextoNormalCaracter"/>
        </w:rPr>
        <w:t xml:space="preserve">, ff. 2 y 3; </w:t>
      </w:r>
      <w:hyperlink w:anchor="SENTENCIA_2025_101" w:history="1">
        <w:r w:rsidRPr="00C72046">
          <w:rPr>
            <w:rStyle w:val="TextoNormalCaracter"/>
          </w:rPr>
          <w:t>101/2025</w:t>
        </w:r>
      </w:hyperlink>
      <w:r w:rsidRPr="00C72046">
        <w:rPr>
          <w:rStyle w:val="TextoNormalCaracter"/>
        </w:rPr>
        <w:t>, ff. 2 y 3.</w:t>
      </w:r>
    </w:p>
    <w:p w14:paraId="7EA88071" w14:textId="011A86ED" w:rsidR="00C72046" w:rsidRPr="00C72046" w:rsidRDefault="00C72046" w:rsidP="00C72046">
      <w:pPr>
        <w:pStyle w:val="TextoNormalSangraFrancesa"/>
        <w:rPr>
          <w:rStyle w:val="TextoNormalCaracter"/>
        </w:rPr>
      </w:pPr>
      <w:bookmarkStart w:id="1161" w:name="DESCRIPTORALFABETICO377"/>
      <w:r w:rsidRPr="00C72046">
        <w:rPr>
          <w:rStyle w:val="TextoNormalNegritaCaracter"/>
        </w:rPr>
        <w:t>Requisitos formales de la normativa básica</w:t>
      </w:r>
      <w:bookmarkEnd w:id="1161"/>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4.</w:t>
      </w:r>
    </w:p>
    <w:p w14:paraId="07022553" w14:textId="7CB278B0" w:rsidR="00C72046" w:rsidRPr="00C72046" w:rsidRDefault="00C72046" w:rsidP="00C72046">
      <w:pPr>
        <w:pStyle w:val="TextoNormalSangraFrancesa"/>
        <w:rPr>
          <w:rStyle w:val="TextoNormalCaracter"/>
        </w:rPr>
      </w:pPr>
      <w:bookmarkStart w:id="1162" w:name="DESCRIPTORALFABETICO379"/>
      <w:r w:rsidRPr="00C72046">
        <w:rPr>
          <w:rStyle w:val="TextoNormalNegritaCaracter"/>
        </w:rPr>
        <w:t>Requisitos materiales de la normativa básica</w:t>
      </w:r>
      <w:bookmarkEnd w:id="1162"/>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4.</w:t>
      </w:r>
    </w:p>
    <w:p w14:paraId="7857D3E3" w14:textId="630559CC" w:rsidR="00C72046" w:rsidRPr="00C72046" w:rsidRDefault="00C72046" w:rsidP="00C72046">
      <w:pPr>
        <w:pStyle w:val="TextoNormalSangraFrancesa"/>
        <w:rPr>
          <w:rStyle w:val="TextoNormalCaracter"/>
        </w:rPr>
      </w:pPr>
      <w:bookmarkStart w:id="1163" w:name="DESCRIPTORALFABETICO191"/>
      <w:r w:rsidRPr="00C72046">
        <w:rPr>
          <w:rStyle w:val="TextoNormalNegritaCaracter"/>
        </w:rPr>
        <w:t>Requisitos procesales de la cuestión de inconstitucionalidad</w:t>
      </w:r>
      <w:bookmarkEnd w:id="1163"/>
      <w:r w:rsidRPr="00C72046">
        <w:rPr>
          <w:rStyle w:val="TextoNormalCaracter"/>
        </w:rPr>
        <w:t xml:space="preserve">, Auto </w:t>
      </w:r>
      <w:hyperlink w:anchor="AUTO_2025_20" w:history="1">
        <w:r w:rsidRPr="00C72046">
          <w:rPr>
            <w:rStyle w:val="TextoNormalCaracter"/>
          </w:rPr>
          <w:t>20/2025</w:t>
        </w:r>
      </w:hyperlink>
      <w:r w:rsidRPr="00C72046">
        <w:rPr>
          <w:rStyle w:val="TextoNormalCaracter"/>
        </w:rPr>
        <w:t>, f. 5.</w:t>
      </w:r>
    </w:p>
    <w:p w14:paraId="62905BFD" w14:textId="210647DC" w:rsidR="00C72046" w:rsidRPr="00C72046" w:rsidRDefault="00C72046" w:rsidP="00C72046">
      <w:pPr>
        <w:pStyle w:val="TextoNormalSangraFrancesa"/>
        <w:rPr>
          <w:rStyle w:val="TextoNormalCaracter"/>
        </w:rPr>
      </w:pPr>
      <w:bookmarkStart w:id="1164" w:name="DESCRIPTORALFABETICO395"/>
      <w:r w:rsidRPr="00C72046">
        <w:rPr>
          <w:rStyle w:val="TextoNormalNegritaCaracter"/>
        </w:rPr>
        <w:t>Reserva de ley</w:t>
      </w:r>
      <w:bookmarkEnd w:id="1164"/>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 6.</w:t>
      </w:r>
    </w:p>
    <w:p w14:paraId="20AF37C0" w14:textId="5C217EB0" w:rsidR="00C72046" w:rsidRPr="00C72046" w:rsidRDefault="00C72046" w:rsidP="00C72046">
      <w:pPr>
        <w:pStyle w:val="TextoNormalSangraFrancesa"/>
        <w:rPr>
          <w:rStyle w:val="TextoNormalCaracter"/>
        </w:rPr>
      </w:pPr>
      <w:bookmarkStart w:id="1165" w:name="DESCRIPTORALFABETICO396"/>
      <w:r w:rsidRPr="00C72046">
        <w:rPr>
          <w:rStyle w:val="TextoNormalNegritaCaracter"/>
        </w:rPr>
        <w:t>Reserva de ley orgánica</w:t>
      </w:r>
      <w:bookmarkEnd w:id="1165"/>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ff. 1 a 3.</w:t>
      </w:r>
    </w:p>
    <w:p w14:paraId="2783E77D" w14:textId="374AD601" w:rsidR="00C72046" w:rsidRPr="00C72046" w:rsidRDefault="00C72046" w:rsidP="00C72046">
      <w:pPr>
        <w:pStyle w:val="TextoNormalSangraFrancesa"/>
        <w:rPr>
          <w:rStyle w:val="TextoNormalCaracter"/>
        </w:rPr>
      </w:pPr>
      <w:bookmarkStart w:id="1166" w:name="DESCRIPTORALFABETICO91"/>
      <w:r w:rsidRPr="00C72046">
        <w:rPr>
          <w:rStyle w:val="TextoNormalNegritaCaracter"/>
        </w:rPr>
        <w:t>Resolución fundada en Derecho</w:t>
      </w:r>
      <w:bookmarkEnd w:id="1166"/>
      <w:r w:rsidRPr="00C72046">
        <w:rPr>
          <w:rStyle w:val="TextoNormalCaracter"/>
        </w:rPr>
        <w:t xml:space="preserve">, Sentencia </w:t>
      </w:r>
      <w:hyperlink w:anchor="SENTENCIA_2025_109" w:history="1">
        <w:r w:rsidRPr="00C72046">
          <w:rPr>
            <w:rStyle w:val="TextoNormalCaracter"/>
          </w:rPr>
          <w:t>109/2025</w:t>
        </w:r>
      </w:hyperlink>
      <w:r w:rsidRPr="00C72046">
        <w:rPr>
          <w:rStyle w:val="TextoNormalCaracter"/>
        </w:rPr>
        <w:t>, f. 3.</w:t>
      </w:r>
    </w:p>
    <w:p w14:paraId="6F4A233F" w14:textId="08102567" w:rsidR="00C72046" w:rsidRPr="00C72046" w:rsidRDefault="00C72046" w:rsidP="00C72046">
      <w:pPr>
        <w:pStyle w:val="TextoNormalSangraFrancesa"/>
        <w:rPr>
          <w:rStyle w:val="TextoNormalCaracter"/>
        </w:rPr>
      </w:pPr>
      <w:r w:rsidRPr="00C72046">
        <w:rPr>
          <w:rStyle w:val="TextoNormalCursivaCaracter"/>
        </w:rPr>
        <w:t xml:space="preserve">    Vulnerado, </w:t>
      </w:r>
      <w:r w:rsidRPr="00C72046">
        <w:rPr>
          <w:rStyle w:val="TextoNormalCaracter"/>
        </w:rPr>
        <w:t xml:space="preserve">Sentencia </w:t>
      </w:r>
      <w:hyperlink w:anchor="SENTENCIA_2025_121" w:history="1">
        <w:r w:rsidRPr="00C72046">
          <w:rPr>
            <w:rStyle w:val="TextoNormalCaracter"/>
          </w:rPr>
          <w:t>121/2025</w:t>
        </w:r>
      </w:hyperlink>
      <w:r w:rsidRPr="00C72046">
        <w:rPr>
          <w:rStyle w:val="TextoNormalCaracter"/>
        </w:rPr>
        <w:t>, ff. 3 y 4.</w:t>
      </w:r>
    </w:p>
    <w:p w14:paraId="5DD19CB6" w14:textId="064EAED0" w:rsidR="00C72046" w:rsidRPr="00C72046" w:rsidRDefault="00C72046" w:rsidP="00C72046">
      <w:pPr>
        <w:pStyle w:val="TextoNormalSangraFrancesa"/>
        <w:rPr>
          <w:rStyle w:val="TextoNormalCaracter"/>
        </w:rPr>
      </w:pPr>
      <w:bookmarkStart w:id="1167" w:name="DESCRIPTORALFABETICO261"/>
      <w:r w:rsidRPr="00C72046">
        <w:rPr>
          <w:rStyle w:val="TextoNormalNegritaCaracter"/>
        </w:rPr>
        <w:t>Resoluciones parlamentarias</w:t>
      </w:r>
      <w:bookmarkEnd w:id="1167"/>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 1, VP I.</w:t>
      </w:r>
    </w:p>
    <w:p w14:paraId="3782658B" w14:textId="01A07BB1" w:rsidR="00C72046" w:rsidRPr="00C72046" w:rsidRDefault="00C72046" w:rsidP="00C72046">
      <w:pPr>
        <w:pStyle w:val="TextoNormalSangraFrancesa"/>
        <w:rPr>
          <w:rStyle w:val="TextoNormalCaracter"/>
        </w:rPr>
      </w:pPr>
      <w:bookmarkStart w:id="1168" w:name="DESCRIPTORALFABETICO411"/>
      <w:r w:rsidRPr="00C72046">
        <w:rPr>
          <w:rStyle w:val="TextoNormalNegritaCaracter"/>
        </w:rPr>
        <w:t>Responsabilidad civil derivada de delito</w:t>
      </w:r>
      <w:bookmarkEnd w:id="1168"/>
      <w:r w:rsidRPr="00C72046">
        <w:rPr>
          <w:rStyle w:val="TextoNormalCaracter"/>
        </w:rPr>
        <w:t xml:space="preserve">, Sentencia </w:t>
      </w:r>
      <w:hyperlink w:anchor="SENTENCIA_2025_49" w:history="1">
        <w:r w:rsidRPr="00C72046">
          <w:rPr>
            <w:rStyle w:val="TextoNormalCaracter"/>
          </w:rPr>
          <w:t>49/2025</w:t>
        </w:r>
      </w:hyperlink>
      <w:r w:rsidRPr="00C72046">
        <w:rPr>
          <w:rStyle w:val="TextoNormalCaracter"/>
        </w:rPr>
        <w:t>, f. único.</w:t>
      </w:r>
    </w:p>
    <w:p w14:paraId="650AA2F9" w14:textId="59C942F4" w:rsidR="00C72046" w:rsidRPr="00C72046" w:rsidRDefault="00C72046" w:rsidP="00C72046">
      <w:pPr>
        <w:pStyle w:val="TextoNormalSangraFrancesa"/>
        <w:rPr>
          <w:rStyle w:val="TextoNormalCaracter"/>
        </w:rPr>
      </w:pPr>
      <w:bookmarkStart w:id="1169" w:name="DESCRIPTORALFABETICO387"/>
      <w:r w:rsidRPr="00C72046">
        <w:rPr>
          <w:rStyle w:val="TextoNormalNegritaCaracter"/>
        </w:rPr>
        <w:t>Retroactividad de la ley penal</w:t>
      </w:r>
      <w:bookmarkEnd w:id="1169"/>
      <w:r w:rsidRPr="00C72046">
        <w:rPr>
          <w:rStyle w:val="TextoNormalCaracter"/>
        </w:rPr>
        <w:t xml:space="preserve">, Sentencia </w:t>
      </w:r>
      <w:hyperlink w:anchor="SENTENCIA_2025_111" w:history="1">
        <w:r w:rsidRPr="00C72046">
          <w:rPr>
            <w:rStyle w:val="TextoNormalCaracter"/>
          </w:rPr>
          <w:t>111/2025</w:t>
        </w:r>
      </w:hyperlink>
      <w:r w:rsidRPr="00C72046">
        <w:rPr>
          <w:rStyle w:val="TextoNormalCaracter"/>
        </w:rPr>
        <w:t>, ff. 2 y 3.</w:t>
      </w:r>
    </w:p>
    <w:p w14:paraId="0ECF093B" w14:textId="0674EEF8" w:rsidR="00C72046" w:rsidRPr="00C72046" w:rsidRDefault="00C72046" w:rsidP="00C72046">
      <w:pPr>
        <w:pStyle w:val="TextoNormalSangraFrancesa"/>
        <w:rPr>
          <w:rStyle w:val="TextoNormalCaracter"/>
        </w:rPr>
      </w:pPr>
      <w:bookmarkStart w:id="1170" w:name="DESCRIPTORALFABETICO481"/>
      <w:r w:rsidRPr="00C72046">
        <w:rPr>
          <w:rStyle w:val="TextoNormalNegritaCaracter"/>
        </w:rPr>
        <w:t>Revisión de condena ante un tribunal superior</w:t>
      </w:r>
      <w:bookmarkEnd w:id="1170"/>
      <w:r w:rsidRPr="00C72046">
        <w:rPr>
          <w:rStyle w:val="TextoNormalCaracter"/>
        </w:rPr>
        <w:t xml:space="preserve">, Sentencias </w:t>
      </w:r>
      <w:hyperlink w:anchor="SENTENCIA_2025_105" w:history="1">
        <w:r w:rsidRPr="00C72046">
          <w:rPr>
            <w:rStyle w:val="TextoNormalCaracter"/>
          </w:rPr>
          <w:t>105/2025</w:t>
        </w:r>
      </w:hyperlink>
      <w:r w:rsidRPr="00C72046">
        <w:rPr>
          <w:rStyle w:val="TextoNormalCaracter"/>
        </w:rPr>
        <w:t xml:space="preserve">, ff. 2 a 3, VP I, VP II; </w:t>
      </w:r>
      <w:hyperlink w:anchor="SENTENCIA_2025_110" w:history="1">
        <w:r w:rsidRPr="00C72046">
          <w:rPr>
            <w:rStyle w:val="TextoNormalCaracter"/>
          </w:rPr>
          <w:t>110/2025</w:t>
        </w:r>
      </w:hyperlink>
      <w:r w:rsidRPr="00C72046">
        <w:rPr>
          <w:rStyle w:val="TextoNormalCaracter"/>
        </w:rPr>
        <w:t>, f. 2, VP I, VP II.</w:t>
      </w:r>
    </w:p>
    <w:p w14:paraId="43B85E75" w14:textId="05C4D45D" w:rsidR="00C72046" w:rsidRPr="00C72046" w:rsidRDefault="00C72046" w:rsidP="00C72046">
      <w:pPr>
        <w:pStyle w:val="TextoNormalSangraFrancesa"/>
        <w:rPr>
          <w:rStyle w:val="TextoNormalCaracter"/>
        </w:rPr>
      </w:pPr>
      <w:bookmarkStart w:id="1171" w:name="DESCRIPTORALFABETICO398"/>
      <w:r w:rsidRPr="00C72046">
        <w:rPr>
          <w:rStyle w:val="TextoNormalNegritaCaracter"/>
        </w:rPr>
        <w:t>Revocación de la suspensión de la ejecución de la pena</w:t>
      </w:r>
      <w:bookmarkEnd w:id="1171"/>
      <w:r w:rsidRPr="00C72046">
        <w:rPr>
          <w:rStyle w:val="TextoNormalCaracter"/>
        </w:rPr>
        <w:t xml:space="preserve">, Sentencias </w:t>
      </w:r>
      <w:hyperlink w:anchor="SENTENCIA_2025_37" w:history="1">
        <w:r w:rsidRPr="00C72046">
          <w:rPr>
            <w:rStyle w:val="TextoNormalCaracter"/>
          </w:rPr>
          <w:t>37/2025</w:t>
        </w:r>
      </w:hyperlink>
      <w:r w:rsidRPr="00C72046">
        <w:rPr>
          <w:rStyle w:val="TextoNormalCaracter"/>
        </w:rPr>
        <w:t xml:space="preserve">, f. 2; </w:t>
      </w:r>
      <w:hyperlink w:anchor="SENTENCIA_2025_49" w:history="1">
        <w:r w:rsidRPr="00C72046">
          <w:rPr>
            <w:rStyle w:val="TextoNormalCaracter"/>
          </w:rPr>
          <w:t>49/2025</w:t>
        </w:r>
      </w:hyperlink>
      <w:r w:rsidRPr="00C72046">
        <w:rPr>
          <w:rStyle w:val="TextoNormalCaracter"/>
        </w:rPr>
        <w:t>, f. único.</w:t>
      </w:r>
    </w:p>
    <w:p w14:paraId="55945E2D" w14:textId="39AA71A1" w:rsidR="00C72046" w:rsidRPr="00C72046" w:rsidRDefault="00C72046" w:rsidP="00C72046">
      <w:pPr>
        <w:pStyle w:val="TextoNormalSangraFrancesa"/>
        <w:rPr>
          <w:rStyle w:val="TextoNormalCaracter"/>
        </w:rPr>
      </w:pPr>
      <w:bookmarkStart w:id="1172" w:name="DESCRIPTORALFABETICO482"/>
      <w:r w:rsidRPr="00C72046">
        <w:rPr>
          <w:rStyle w:val="TextoNormalNegritaCaracter"/>
        </w:rPr>
        <w:t>Revocación de sentencia absolutoria</w:t>
      </w:r>
      <w:bookmarkEnd w:id="1172"/>
      <w:r w:rsidRPr="00C72046">
        <w:rPr>
          <w:rStyle w:val="TextoNormalCaracter"/>
        </w:rPr>
        <w:t xml:space="preserve">, Sentencia </w:t>
      </w:r>
      <w:hyperlink w:anchor="SENTENCIA_2025_31" w:history="1">
        <w:r w:rsidRPr="00C72046">
          <w:rPr>
            <w:rStyle w:val="TextoNormalCaracter"/>
          </w:rPr>
          <w:t>31/2025</w:t>
        </w:r>
      </w:hyperlink>
      <w:r w:rsidRPr="00C72046">
        <w:rPr>
          <w:rStyle w:val="TextoNormalCaracter"/>
        </w:rPr>
        <w:t>, f. 3.</w:t>
      </w:r>
    </w:p>
    <w:p w14:paraId="6A49DAED" w14:textId="0F5BF360" w:rsidR="00C72046" w:rsidRDefault="00C72046" w:rsidP="00C72046">
      <w:pPr>
        <w:pStyle w:val="TextoNormalSangraFrancesa"/>
      </w:pPr>
    </w:p>
    <w:p w14:paraId="6128C492" w14:textId="77777777" w:rsidR="00C72046" w:rsidRDefault="00C72046" w:rsidP="00C72046">
      <w:pPr>
        <w:pStyle w:val="TextoNormalSangraFrancesa"/>
      </w:pPr>
    </w:p>
    <w:p w14:paraId="088FED4D" w14:textId="77777777" w:rsidR="00C72046" w:rsidRDefault="00C72046" w:rsidP="00C72046">
      <w:pPr>
        <w:pStyle w:val="TextoNormalNegritaCentrado"/>
      </w:pPr>
      <w:r>
        <w:t>S</w:t>
      </w:r>
    </w:p>
    <w:p w14:paraId="224F3C2D" w14:textId="54C444CA" w:rsidR="00C72046" w:rsidRDefault="00C72046" w:rsidP="00C72046">
      <w:pPr>
        <w:pStyle w:val="TextoNormalNegritaCentrado"/>
      </w:pPr>
    </w:p>
    <w:p w14:paraId="564F2E90" w14:textId="684C2141" w:rsidR="00C72046" w:rsidRPr="00C72046" w:rsidRDefault="00C72046" w:rsidP="00C72046">
      <w:pPr>
        <w:pStyle w:val="TextoNormalSangraFrancesa"/>
        <w:rPr>
          <w:rStyle w:val="TextoNormalCaracter"/>
        </w:rPr>
      </w:pPr>
      <w:bookmarkStart w:id="1173" w:name="DESCRIPTORALFABETICO144"/>
      <w:r w:rsidRPr="00C72046">
        <w:rPr>
          <w:rStyle w:val="TextoNormalNegritaCaracter"/>
        </w:rPr>
        <w:t>Sacrificio desproporcionado de derechos fundamentales</w:t>
      </w:r>
      <w:bookmarkEnd w:id="1173"/>
      <w:r w:rsidRPr="00C72046">
        <w:rPr>
          <w:rStyle w:val="TextoNormalCaracter"/>
        </w:rPr>
        <w:t xml:space="preserve">, Sentencia </w:t>
      </w:r>
      <w:hyperlink w:anchor="SENTENCIA_2025_55" w:history="1">
        <w:r w:rsidRPr="00C72046">
          <w:rPr>
            <w:rStyle w:val="TextoNormalCaracter"/>
          </w:rPr>
          <w:t>55/2025</w:t>
        </w:r>
      </w:hyperlink>
      <w:r w:rsidRPr="00C72046">
        <w:rPr>
          <w:rStyle w:val="TextoNormalCaracter"/>
        </w:rPr>
        <w:t>, f. 2.</w:t>
      </w:r>
    </w:p>
    <w:p w14:paraId="488BD42E" w14:textId="08E20222" w:rsidR="00C72046" w:rsidRPr="00C72046" w:rsidRDefault="00C72046" w:rsidP="00C72046">
      <w:pPr>
        <w:pStyle w:val="TextoNormalSangraFrancesa"/>
        <w:rPr>
          <w:rStyle w:val="TextoNormalCaracter"/>
        </w:rPr>
      </w:pPr>
      <w:bookmarkStart w:id="1174" w:name="DESCRIPTORALFABETICO414"/>
      <w:r w:rsidRPr="00C72046">
        <w:rPr>
          <w:rStyle w:val="TextoNormalNegritaCaracter"/>
        </w:rPr>
        <w:t>Salud pública</w:t>
      </w:r>
      <w:bookmarkEnd w:id="1174"/>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ff. 1 a 4.</w:t>
      </w:r>
    </w:p>
    <w:p w14:paraId="4B933DC5" w14:textId="798474C7" w:rsidR="00C72046" w:rsidRPr="00C72046" w:rsidRDefault="00C72046" w:rsidP="00C72046">
      <w:pPr>
        <w:pStyle w:val="TextoNormalSangraFrancesa"/>
        <w:rPr>
          <w:rStyle w:val="TextoNormalCaracter"/>
        </w:rPr>
      </w:pPr>
      <w:bookmarkStart w:id="1175" w:name="DESCRIPTORALFABETICO466"/>
      <w:r w:rsidRPr="00C72046">
        <w:rPr>
          <w:rStyle w:val="TextoNormalNegritaCaracter"/>
        </w:rPr>
        <w:t>Satisfacción extraprocesal de la pretensión</w:t>
      </w:r>
      <w:bookmarkEnd w:id="1175"/>
      <w:r w:rsidRPr="00C72046">
        <w:rPr>
          <w:rStyle w:val="TextoNormalCaracter"/>
        </w:rPr>
        <w:t xml:space="preserve">, Sentencia </w:t>
      </w:r>
      <w:hyperlink w:anchor="SENTENCIA_2025_132" w:history="1">
        <w:r w:rsidRPr="00C72046">
          <w:rPr>
            <w:rStyle w:val="TextoNormalCaracter"/>
          </w:rPr>
          <w:t>132/2025</w:t>
        </w:r>
      </w:hyperlink>
      <w:r w:rsidRPr="00C72046">
        <w:rPr>
          <w:rStyle w:val="TextoNormalCaracter"/>
        </w:rPr>
        <w:t>, f. 2.</w:t>
      </w:r>
    </w:p>
    <w:p w14:paraId="7016349D" w14:textId="2A50EFF7" w:rsidR="00C72046" w:rsidRPr="00C72046" w:rsidRDefault="00C72046" w:rsidP="00C72046">
      <w:pPr>
        <w:pStyle w:val="TextoNormalSangraFrancesa"/>
        <w:rPr>
          <w:rStyle w:val="TextoNormalCaracter"/>
        </w:rPr>
      </w:pPr>
      <w:bookmarkStart w:id="1176" w:name="DESCRIPTORALFABETICO92"/>
      <w:r w:rsidRPr="00C72046">
        <w:rPr>
          <w:rStyle w:val="TextoNormalNegritaCaracter"/>
        </w:rPr>
        <w:t xml:space="preserve">Sentencia dictada </w:t>
      </w:r>
      <w:r w:rsidRPr="00C72046">
        <w:rPr>
          <w:rStyle w:val="TextoNormalNegritaCaracter"/>
          <w:i/>
        </w:rPr>
        <w:t>inaudita parte</w:t>
      </w:r>
      <w:bookmarkEnd w:id="1176"/>
      <w:r w:rsidRPr="00C72046">
        <w:rPr>
          <w:rStyle w:val="TextoNormalCaracter"/>
        </w:rPr>
        <w:t xml:space="preserve">, Sentencia </w:t>
      </w:r>
      <w:hyperlink w:anchor="SENTENCIA_2025_99" w:history="1">
        <w:r w:rsidRPr="00C72046">
          <w:rPr>
            <w:rStyle w:val="TextoNormalCaracter"/>
          </w:rPr>
          <w:t>99/2025</w:t>
        </w:r>
      </w:hyperlink>
      <w:r w:rsidRPr="00C72046">
        <w:rPr>
          <w:rStyle w:val="TextoNormalCaracter"/>
        </w:rPr>
        <w:t>, ff. 2 y 3.</w:t>
      </w:r>
    </w:p>
    <w:p w14:paraId="0539C122" w14:textId="78BEAC8D" w:rsidR="00C72046" w:rsidRPr="00C72046" w:rsidRDefault="00C72046" w:rsidP="00C72046">
      <w:pPr>
        <w:pStyle w:val="TextoNormalSangraFrancesa"/>
        <w:rPr>
          <w:rStyle w:val="TextoNormalCaracter"/>
        </w:rPr>
      </w:pPr>
      <w:bookmarkStart w:id="1177" w:name="DESCRIPTORALFABETICO306"/>
      <w:r w:rsidRPr="00C72046">
        <w:rPr>
          <w:rStyle w:val="TextoNormalNegritaCaracter"/>
        </w:rPr>
        <w:t>Separación de poderes</w:t>
      </w:r>
      <w:bookmarkEnd w:id="1177"/>
      <w:r w:rsidRPr="00C72046">
        <w:rPr>
          <w:rStyle w:val="TextoNormalCaracter"/>
        </w:rPr>
        <w:t xml:space="preserve">, Sentencias </w:t>
      </w:r>
      <w:hyperlink w:anchor="SENTENCIA_2025_107" w:history="1">
        <w:r w:rsidRPr="00C72046">
          <w:rPr>
            <w:rStyle w:val="TextoNormalCaracter"/>
          </w:rPr>
          <w:t>107/2025</w:t>
        </w:r>
      </w:hyperlink>
      <w:r w:rsidRPr="00C72046">
        <w:rPr>
          <w:rStyle w:val="TextoNormalCaracter"/>
        </w:rPr>
        <w:t xml:space="preserve">, f. 2; </w:t>
      </w:r>
      <w:hyperlink w:anchor="SENTENCIA_2025_108" w:history="1">
        <w:r w:rsidRPr="00C72046">
          <w:rPr>
            <w:rStyle w:val="TextoNormalCaracter"/>
          </w:rPr>
          <w:t>108/2025</w:t>
        </w:r>
      </w:hyperlink>
      <w:r w:rsidRPr="00C72046">
        <w:rPr>
          <w:rStyle w:val="TextoNormalCaracter"/>
        </w:rPr>
        <w:t xml:space="preserve">, f. 2; </w:t>
      </w:r>
      <w:hyperlink w:anchor="SENTENCIA_2025_137" w:history="1">
        <w:r w:rsidRPr="00C72046">
          <w:rPr>
            <w:rStyle w:val="TextoNormalCaracter"/>
          </w:rPr>
          <w:t>137/2025</w:t>
        </w:r>
      </w:hyperlink>
      <w:r w:rsidRPr="00C72046">
        <w:rPr>
          <w:rStyle w:val="TextoNormalCaracter"/>
        </w:rPr>
        <w:t>, f. 8, VP III, VP IV.</w:t>
      </w:r>
    </w:p>
    <w:p w14:paraId="1B51370F" w14:textId="392578F7" w:rsidR="00C72046" w:rsidRPr="00C72046" w:rsidRDefault="00C72046" w:rsidP="00C72046">
      <w:pPr>
        <w:pStyle w:val="TextoNormalSangraFrancesa"/>
        <w:rPr>
          <w:rStyle w:val="TextoNormalCaracter"/>
        </w:rPr>
      </w:pPr>
      <w:bookmarkStart w:id="1178" w:name="DESCRIPTORALFABETICO262"/>
      <w:r w:rsidRPr="00C72046">
        <w:rPr>
          <w:rStyle w:val="TextoNormalNegritaCaracter"/>
        </w:rPr>
        <w:t>Sesiones parlamentarias</w:t>
      </w:r>
      <w:bookmarkEnd w:id="1178"/>
      <w:r w:rsidRPr="00C72046">
        <w:rPr>
          <w:rStyle w:val="TextoNormalCaracter"/>
        </w:rPr>
        <w:t xml:space="preserve">, Sentencia </w:t>
      </w:r>
      <w:hyperlink w:anchor="SENTENCIA_2025_120" w:history="1">
        <w:r w:rsidRPr="00C72046">
          <w:rPr>
            <w:rStyle w:val="TextoNormalCaracter"/>
          </w:rPr>
          <w:t>120/2025</w:t>
        </w:r>
      </w:hyperlink>
      <w:r w:rsidRPr="00C72046">
        <w:rPr>
          <w:rStyle w:val="TextoNormalCaracter"/>
        </w:rPr>
        <w:t>, f. 4.</w:t>
      </w:r>
    </w:p>
    <w:p w14:paraId="29536EA4" w14:textId="56AC2278" w:rsidR="00C72046" w:rsidRPr="00C72046" w:rsidRDefault="00C72046" w:rsidP="00C72046">
      <w:pPr>
        <w:pStyle w:val="TextoNormalSangraFrancesa"/>
        <w:rPr>
          <w:rStyle w:val="TextoNormalCaracter"/>
        </w:rPr>
      </w:pPr>
      <w:bookmarkStart w:id="1179" w:name="DESCRIPTORALFABETICO384"/>
      <w:r w:rsidRPr="00C72046">
        <w:rPr>
          <w:rStyle w:val="TextoNormalNegritaCaracter"/>
        </w:rPr>
        <w:t>Sistema de fuentes</w:t>
      </w:r>
      <w:bookmarkEnd w:id="1179"/>
      <w:r w:rsidRPr="00C72046">
        <w:rPr>
          <w:rStyle w:val="TextoNormalCaracter"/>
        </w:rPr>
        <w:t xml:space="preserve">, Sentencia </w:t>
      </w:r>
      <w:hyperlink w:anchor="SENTENCIA_2025_40" w:history="1">
        <w:r w:rsidRPr="00C72046">
          <w:rPr>
            <w:rStyle w:val="TextoNormalCaracter"/>
          </w:rPr>
          <w:t>40/2025</w:t>
        </w:r>
      </w:hyperlink>
      <w:r w:rsidRPr="00C72046">
        <w:rPr>
          <w:rStyle w:val="TextoNormalCaracter"/>
        </w:rPr>
        <w:t>, f. 5, VP I.</w:t>
      </w:r>
    </w:p>
    <w:p w14:paraId="50F1DB44" w14:textId="730E2EFA" w:rsidR="00C72046" w:rsidRPr="00C72046" w:rsidRDefault="00C72046" w:rsidP="00C72046">
      <w:pPr>
        <w:pStyle w:val="TextoNormalSangraFrancesa"/>
        <w:rPr>
          <w:rStyle w:val="TextoNormalCaracter"/>
        </w:rPr>
      </w:pPr>
      <w:bookmarkStart w:id="1180" w:name="DESCRIPTORALFABETICO345"/>
      <w:r w:rsidRPr="00C72046">
        <w:rPr>
          <w:rStyle w:val="TextoNormalNegritaCaracter"/>
        </w:rPr>
        <w:t>Sistema dual en centros formativos y en empresas</w:t>
      </w:r>
      <w:bookmarkEnd w:id="1180"/>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5.</w:t>
      </w:r>
    </w:p>
    <w:p w14:paraId="57558C01" w14:textId="680F2CD2" w:rsidR="00C72046" w:rsidRPr="00C72046" w:rsidRDefault="00C72046" w:rsidP="00C72046">
      <w:pPr>
        <w:pStyle w:val="TextoNormalSangraFrancesa"/>
        <w:rPr>
          <w:rStyle w:val="TextoNormalCaracter"/>
        </w:rPr>
      </w:pPr>
      <w:bookmarkStart w:id="1181" w:name="DESCRIPTORALFABETICO440"/>
      <w:r w:rsidRPr="00C72046">
        <w:rPr>
          <w:rStyle w:val="TextoNormalNegritaCaracter"/>
        </w:rPr>
        <w:t>Sistemas de imposición de costas</w:t>
      </w:r>
      <w:bookmarkEnd w:id="1181"/>
      <w:r w:rsidRPr="00C72046">
        <w:rPr>
          <w:rStyle w:val="TextoNormalCaracter"/>
        </w:rPr>
        <w:t xml:space="preserve">, Sentencias </w:t>
      </w:r>
      <w:hyperlink w:anchor="SENTENCIA_2025_109" w:history="1">
        <w:r w:rsidRPr="00C72046">
          <w:rPr>
            <w:rStyle w:val="TextoNormalCaracter"/>
          </w:rPr>
          <w:t>109/2025</w:t>
        </w:r>
      </w:hyperlink>
      <w:r w:rsidRPr="00C72046">
        <w:rPr>
          <w:rStyle w:val="TextoNormalCaracter"/>
        </w:rPr>
        <w:t xml:space="preserve">, ff. 2 y 3; </w:t>
      </w:r>
      <w:hyperlink w:anchor="SENTENCIA_2025_121" w:history="1">
        <w:r w:rsidRPr="00C72046">
          <w:rPr>
            <w:rStyle w:val="TextoNormalCaracter"/>
          </w:rPr>
          <w:t>121/2025</w:t>
        </w:r>
      </w:hyperlink>
      <w:r w:rsidRPr="00C72046">
        <w:rPr>
          <w:rStyle w:val="TextoNormalCaracter"/>
        </w:rPr>
        <w:t>, ff. 3 y 4.</w:t>
      </w:r>
    </w:p>
    <w:p w14:paraId="0DAB4C9F" w14:textId="4719CE7F" w:rsidR="00C72046" w:rsidRPr="00C72046" w:rsidRDefault="00C72046" w:rsidP="00C72046">
      <w:pPr>
        <w:pStyle w:val="TextoNormalSangraFrancesa"/>
        <w:rPr>
          <w:rStyle w:val="TextoNormalCaracter"/>
        </w:rPr>
      </w:pPr>
      <w:bookmarkStart w:id="1182" w:name="DESCRIPTORALFABETICO467"/>
      <w:r w:rsidRPr="00C72046">
        <w:rPr>
          <w:rStyle w:val="TextoNormalNegritaCaracter"/>
        </w:rPr>
        <w:t>Sobreseimiento</w:t>
      </w:r>
      <w:bookmarkEnd w:id="1182"/>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19.</w:t>
      </w:r>
    </w:p>
    <w:p w14:paraId="7568B449" w14:textId="32BE2CA5" w:rsidR="00C72046" w:rsidRPr="00C72046" w:rsidRDefault="00C72046" w:rsidP="00C72046">
      <w:pPr>
        <w:pStyle w:val="TextoNormalSangraFrancesa"/>
        <w:rPr>
          <w:rStyle w:val="TextoNormalCaracter"/>
        </w:rPr>
      </w:pPr>
      <w:bookmarkStart w:id="1183" w:name="DESCRIPTORALFABETICO175"/>
      <w:r w:rsidRPr="00C72046">
        <w:rPr>
          <w:rStyle w:val="TextoNormalNegritaCaracter"/>
        </w:rPr>
        <w:t>Supletoriedad de la ley de enjuiciamiento civil</w:t>
      </w:r>
      <w:bookmarkEnd w:id="1183"/>
      <w:r w:rsidRPr="00C72046">
        <w:rPr>
          <w:rStyle w:val="TextoNormalCaracter"/>
        </w:rPr>
        <w:t xml:space="preserve">, Auto </w:t>
      </w:r>
      <w:hyperlink w:anchor="AUTO_2025_31" w:history="1">
        <w:r w:rsidRPr="00C72046">
          <w:rPr>
            <w:rStyle w:val="TextoNormalCaracter"/>
          </w:rPr>
          <w:t>31/2025</w:t>
        </w:r>
      </w:hyperlink>
      <w:r w:rsidRPr="00C72046">
        <w:rPr>
          <w:rStyle w:val="TextoNormalCaracter"/>
        </w:rPr>
        <w:t>, ff. 1, 2 y 3, VP.</w:t>
      </w:r>
    </w:p>
    <w:p w14:paraId="1D80FC55" w14:textId="3A86503A" w:rsidR="00C72046" w:rsidRPr="00C72046" w:rsidRDefault="00C72046" w:rsidP="00C72046">
      <w:pPr>
        <w:pStyle w:val="TextoNormalSangraFrancesa"/>
        <w:rPr>
          <w:rStyle w:val="TextoNormalCaracter"/>
        </w:rPr>
      </w:pPr>
      <w:bookmarkStart w:id="1184" w:name="DESCRIPTORALFABETICO176"/>
      <w:r w:rsidRPr="00C72046">
        <w:rPr>
          <w:rStyle w:val="TextoNormalNegritaCaracter"/>
        </w:rPr>
        <w:t>Supletoriedad de la ley orgánica del poder judicial</w:t>
      </w:r>
      <w:bookmarkEnd w:id="1184"/>
      <w:r w:rsidRPr="00C72046">
        <w:rPr>
          <w:rStyle w:val="TextoNormalCaracter"/>
        </w:rPr>
        <w:t xml:space="preserve">, Auto </w:t>
      </w:r>
      <w:hyperlink w:anchor="AUTO_2025_31" w:history="1">
        <w:r w:rsidRPr="00C72046">
          <w:rPr>
            <w:rStyle w:val="TextoNormalCaracter"/>
          </w:rPr>
          <w:t>31/2025</w:t>
        </w:r>
      </w:hyperlink>
      <w:r w:rsidRPr="00C72046">
        <w:rPr>
          <w:rStyle w:val="TextoNormalCaracter"/>
        </w:rPr>
        <w:t>, ff. 1, 2 y 3, VP.</w:t>
      </w:r>
    </w:p>
    <w:p w14:paraId="3F67671A" w14:textId="77777777" w:rsidR="00C72046" w:rsidRPr="00C72046" w:rsidRDefault="00C72046" w:rsidP="00C72046">
      <w:pPr>
        <w:pStyle w:val="TextoNormalSangraFrancesa"/>
        <w:rPr>
          <w:rStyle w:val="TextoNormalCaracter"/>
        </w:rPr>
      </w:pPr>
      <w:bookmarkStart w:id="1185" w:name="DESCRIPTORALFABETICO154"/>
      <w:r w:rsidRPr="00C72046">
        <w:rPr>
          <w:rStyle w:val="TextoNormalNegritaCaracter"/>
        </w:rPr>
        <w:t>Suspensión cautelar de resoluciones penales</w:t>
      </w:r>
      <w:bookmarkEnd w:id="1185"/>
      <w:r w:rsidRPr="00C72046">
        <w:rPr>
          <w:rStyle w:val="TextoNormalCaracter"/>
        </w:rPr>
        <w:t xml:space="preserve">, </w:t>
      </w:r>
    </w:p>
    <w:p w14:paraId="537693C2" w14:textId="791CE343" w:rsidR="00C72046" w:rsidRPr="00C72046" w:rsidRDefault="00C72046" w:rsidP="00C72046">
      <w:pPr>
        <w:pStyle w:val="TextoNormalSangraFrancesa"/>
        <w:rPr>
          <w:rStyle w:val="TextoNormalCaracter"/>
        </w:rPr>
      </w:pPr>
      <w:r w:rsidRPr="00C72046">
        <w:rPr>
          <w:rStyle w:val="TextoNormalCursivaCaracter"/>
        </w:rPr>
        <w:t xml:space="preserve">    Suspende, </w:t>
      </w:r>
      <w:r w:rsidRPr="00C72046">
        <w:rPr>
          <w:rStyle w:val="TextoNormalCaracter"/>
        </w:rPr>
        <w:t xml:space="preserve">Auto </w:t>
      </w:r>
      <w:hyperlink w:anchor="AUTO_2025_18" w:history="1">
        <w:r w:rsidRPr="00C72046">
          <w:rPr>
            <w:rStyle w:val="TextoNormalCaracter"/>
          </w:rPr>
          <w:t>18/2025</w:t>
        </w:r>
      </w:hyperlink>
      <w:r w:rsidRPr="00C72046">
        <w:rPr>
          <w:rStyle w:val="TextoNormalCaracter"/>
        </w:rPr>
        <w:t>, f. 3.</w:t>
      </w:r>
    </w:p>
    <w:p w14:paraId="3D5266EE" w14:textId="3B3DF456" w:rsidR="00C72046" w:rsidRPr="00C72046" w:rsidRDefault="00C72046" w:rsidP="00C72046">
      <w:pPr>
        <w:pStyle w:val="TextoNormalSangraFrancesa"/>
        <w:rPr>
          <w:rStyle w:val="TextoNormalCaracter"/>
        </w:rPr>
      </w:pPr>
      <w:bookmarkStart w:id="1186" w:name="DESCRIPTORALFABETICO399"/>
      <w:r w:rsidRPr="00C72046">
        <w:rPr>
          <w:rStyle w:val="TextoNormalNegritaCaracter"/>
        </w:rPr>
        <w:t>Suspensión condicionada al pago de una cantidad</w:t>
      </w:r>
      <w:bookmarkEnd w:id="1186"/>
      <w:r w:rsidRPr="00C72046">
        <w:rPr>
          <w:rStyle w:val="TextoNormalCaracter"/>
        </w:rPr>
        <w:t xml:space="preserve">, Sentencia </w:t>
      </w:r>
      <w:hyperlink w:anchor="SENTENCIA_2025_49" w:history="1">
        <w:r w:rsidRPr="00C72046">
          <w:rPr>
            <w:rStyle w:val="TextoNormalCaracter"/>
          </w:rPr>
          <w:t>49/2025</w:t>
        </w:r>
      </w:hyperlink>
      <w:r w:rsidRPr="00C72046">
        <w:rPr>
          <w:rStyle w:val="TextoNormalCaracter"/>
        </w:rPr>
        <w:t>, f. único.</w:t>
      </w:r>
    </w:p>
    <w:p w14:paraId="672FE58F" w14:textId="17FA01BB" w:rsidR="00C72046" w:rsidRPr="00C72046" w:rsidRDefault="00C72046" w:rsidP="00C72046">
      <w:pPr>
        <w:pStyle w:val="TextoNormalSangraFrancesa"/>
        <w:rPr>
          <w:rStyle w:val="TextoNormalCaracter"/>
        </w:rPr>
      </w:pPr>
      <w:bookmarkStart w:id="1187" w:name="DESCRIPTORALFABETICO142"/>
      <w:r w:rsidRPr="00C72046">
        <w:rPr>
          <w:rStyle w:val="TextoNormalNegritaCaracter"/>
        </w:rPr>
        <w:t>Suspensión de derechos fundamentales</w:t>
      </w:r>
      <w:bookmarkEnd w:id="1187"/>
      <w:r w:rsidRPr="00C72046">
        <w:rPr>
          <w:rStyle w:val="TextoNormalCaracter"/>
        </w:rPr>
        <w:t xml:space="preserve">, Sentencia </w:t>
      </w:r>
      <w:hyperlink w:anchor="SENTENCIA_2025_133" w:history="1">
        <w:r w:rsidRPr="00C72046">
          <w:rPr>
            <w:rStyle w:val="TextoNormalCaracter"/>
          </w:rPr>
          <w:t>133/2025</w:t>
        </w:r>
      </w:hyperlink>
      <w:r w:rsidRPr="00C72046">
        <w:rPr>
          <w:rStyle w:val="TextoNormalCaracter"/>
        </w:rPr>
        <w:t>, ff. 1 a 4.</w:t>
      </w:r>
    </w:p>
    <w:p w14:paraId="6B944D01" w14:textId="53106FF9" w:rsidR="00C72046" w:rsidRPr="00C72046" w:rsidRDefault="00C72046" w:rsidP="00C72046">
      <w:pPr>
        <w:pStyle w:val="TextoNormalSangraFrancesa"/>
        <w:rPr>
          <w:rStyle w:val="TextoNormalCaracter"/>
        </w:rPr>
      </w:pPr>
      <w:bookmarkStart w:id="1188" w:name="DESCRIPTORALFABETICO222"/>
      <w:r w:rsidRPr="00C72046">
        <w:rPr>
          <w:rStyle w:val="TextoNormalNegritaCaracter"/>
        </w:rPr>
        <w:t>Suspensión de procesos constitucionales</w:t>
      </w:r>
      <w:bookmarkEnd w:id="1188"/>
      <w:r w:rsidRPr="00C72046">
        <w:rPr>
          <w:rStyle w:val="TextoNormalCaracter"/>
        </w:rPr>
        <w:t xml:space="preserve">, Auto </w:t>
      </w:r>
      <w:hyperlink w:anchor="AUTO_2025_65" w:history="1">
        <w:r w:rsidRPr="00C72046">
          <w:rPr>
            <w:rStyle w:val="TextoNormalCaracter"/>
          </w:rPr>
          <w:t>65/2025</w:t>
        </w:r>
      </w:hyperlink>
      <w:r w:rsidRPr="00C72046">
        <w:rPr>
          <w:rStyle w:val="TextoNormalCaracter"/>
        </w:rPr>
        <w:t>, ff. 1 a 4.</w:t>
      </w:r>
    </w:p>
    <w:p w14:paraId="0EDF475E" w14:textId="4E4670F6" w:rsidR="00C72046" w:rsidRPr="00C72046" w:rsidRDefault="00C72046" w:rsidP="00C72046">
      <w:pPr>
        <w:pStyle w:val="TextoNormalSangraFrancesa"/>
        <w:rPr>
          <w:rStyle w:val="TextoNormalCaracter"/>
        </w:rPr>
      </w:pPr>
      <w:bookmarkStart w:id="1189" w:name="DESCRIPTORALFABETICO401"/>
      <w:r w:rsidRPr="00C72046">
        <w:rPr>
          <w:rStyle w:val="TextoNormalNegritaCaracter"/>
        </w:rPr>
        <w:t>Sustitución de pena privativa de libertad por expulsión de extranjero</w:t>
      </w:r>
      <w:bookmarkEnd w:id="1189"/>
      <w:r w:rsidRPr="00C72046">
        <w:rPr>
          <w:rStyle w:val="TextoNormalCaracter"/>
        </w:rPr>
        <w:t xml:space="preserve">, Sentencia </w:t>
      </w:r>
      <w:hyperlink w:anchor="SENTENCIA_2025_111" w:history="1">
        <w:r w:rsidRPr="00C72046">
          <w:rPr>
            <w:rStyle w:val="TextoNormalCaracter"/>
          </w:rPr>
          <w:t>111/2025</w:t>
        </w:r>
      </w:hyperlink>
      <w:r w:rsidRPr="00C72046">
        <w:rPr>
          <w:rStyle w:val="TextoNormalCaracter"/>
        </w:rPr>
        <w:t>, ff. 1 a 3.</w:t>
      </w:r>
    </w:p>
    <w:p w14:paraId="18032E52" w14:textId="7A970672" w:rsidR="00C72046" w:rsidRDefault="00C72046" w:rsidP="00C72046">
      <w:pPr>
        <w:pStyle w:val="TextoNormalSangraFrancesa"/>
      </w:pPr>
    </w:p>
    <w:p w14:paraId="65C49179" w14:textId="77777777" w:rsidR="00C72046" w:rsidRDefault="00C72046" w:rsidP="00C72046">
      <w:pPr>
        <w:pStyle w:val="TextoNormalSangraFrancesa"/>
      </w:pPr>
    </w:p>
    <w:p w14:paraId="7B71EC32" w14:textId="77777777" w:rsidR="00C72046" w:rsidRDefault="00C72046" w:rsidP="00C72046">
      <w:pPr>
        <w:pStyle w:val="TextoNormalNegritaCentrado"/>
      </w:pPr>
      <w:r>
        <w:t>T</w:t>
      </w:r>
    </w:p>
    <w:p w14:paraId="62CD791A" w14:textId="7FABC357" w:rsidR="00C72046" w:rsidRDefault="00C72046" w:rsidP="00C72046">
      <w:pPr>
        <w:pStyle w:val="TextoNormalNegritaCentrado"/>
      </w:pPr>
    </w:p>
    <w:p w14:paraId="637E5E36" w14:textId="356F7921" w:rsidR="00C72046" w:rsidRPr="00C72046" w:rsidRDefault="00C72046" w:rsidP="00C72046">
      <w:pPr>
        <w:pStyle w:val="TextoNormalSangraFrancesa"/>
        <w:rPr>
          <w:rStyle w:val="TextoNormalCaracter"/>
        </w:rPr>
      </w:pPr>
      <w:bookmarkStart w:id="1190" w:name="DESCRIPTORALFABETICO347"/>
      <w:r w:rsidRPr="00C72046">
        <w:rPr>
          <w:rStyle w:val="TextoNormalNegritaCaracter"/>
        </w:rPr>
        <w:t>Títulos profesionales</w:t>
      </w:r>
      <w:bookmarkEnd w:id="1190"/>
      <w:r w:rsidRPr="00C72046">
        <w:rPr>
          <w:rStyle w:val="TextoNormalCaracter"/>
        </w:rPr>
        <w:t xml:space="preserve">, Sentencia </w:t>
      </w:r>
      <w:hyperlink w:anchor="SENTENCIA_2025_82" w:history="1">
        <w:r w:rsidRPr="00C72046">
          <w:rPr>
            <w:rStyle w:val="TextoNormalCaracter"/>
          </w:rPr>
          <w:t>82/2025</w:t>
        </w:r>
      </w:hyperlink>
      <w:r w:rsidRPr="00C72046">
        <w:rPr>
          <w:rStyle w:val="TextoNormalCaracter"/>
        </w:rPr>
        <w:t>, f. 7.</w:t>
      </w:r>
    </w:p>
    <w:p w14:paraId="1D70CDE3" w14:textId="64FAF39B" w:rsidR="00C72046" w:rsidRPr="00C72046" w:rsidRDefault="00C72046" w:rsidP="00C72046">
      <w:pPr>
        <w:pStyle w:val="TextoNormalSangraFrancesa"/>
        <w:rPr>
          <w:rStyle w:val="TextoNormalCaracter"/>
        </w:rPr>
      </w:pPr>
      <w:bookmarkStart w:id="1191" w:name="DESCRIPTORALFABETICO305"/>
      <w:r w:rsidRPr="00C72046">
        <w:rPr>
          <w:rStyle w:val="TextoNormalNegritaCaracter"/>
        </w:rPr>
        <w:t>Tolerancia</w:t>
      </w:r>
      <w:bookmarkEnd w:id="1191"/>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 3.</w:t>
      </w:r>
    </w:p>
    <w:p w14:paraId="77FE11D4" w14:textId="48A53E7E" w:rsidR="00C72046" w:rsidRPr="00C72046" w:rsidRDefault="00C72046" w:rsidP="00C72046">
      <w:pPr>
        <w:pStyle w:val="TextoNormalSangraFrancesa"/>
        <w:rPr>
          <w:rStyle w:val="TextoNormalCaracter"/>
        </w:rPr>
      </w:pPr>
      <w:bookmarkStart w:id="1192" w:name="DESCRIPTORALFABETICO258"/>
      <w:r w:rsidRPr="00C72046">
        <w:rPr>
          <w:rStyle w:val="TextoNormalNegritaCaracter"/>
        </w:rPr>
        <w:t>Tramitación de enmiendas</w:t>
      </w:r>
      <w:bookmarkEnd w:id="1192"/>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 f. 12.</w:t>
      </w:r>
    </w:p>
    <w:p w14:paraId="5C143309" w14:textId="0BC01D78" w:rsidR="00C72046" w:rsidRPr="00C72046" w:rsidRDefault="00C72046" w:rsidP="00C72046">
      <w:pPr>
        <w:pStyle w:val="TextoNormalSangraFrancesa"/>
        <w:rPr>
          <w:rStyle w:val="TextoNormalCaracter"/>
        </w:rPr>
      </w:pPr>
      <w:bookmarkStart w:id="1193" w:name="DESCRIPTORALFABETICO236"/>
      <w:r w:rsidRPr="00C72046">
        <w:rPr>
          <w:rStyle w:val="TextoNormalNegritaCaracter"/>
        </w:rPr>
        <w:t>Tramitación de urgencia</w:t>
      </w:r>
      <w:bookmarkEnd w:id="1193"/>
      <w:r w:rsidRPr="00C72046">
        <w:rPr>
          <w:rStyle w:val="TextoNormalCaracter"/>
        </w:rPr>
        <w:t xml:space="preserve">, Sentencia </w:t>
      </w:r>
      <w:hyperlink w:anchor="SENTENCIA_2025_44" w:history="1">
        <w:r w:rsidRPr="00C72046">
          <w:rPr>
            <w:rStyle w:val="TextoNormalCaracter"/>
          </w:rPr>
          <w:t>44/2025</w:t>
        </w:r>
      </w:hyperlink>
      <w:r w:rsidRPr="00C72046">
        <w:rPr>
          <w:rStyle w:val="TextoNormalCaracter"/>
        </w:rPr>
        <w:t>, ff. 2 y 3.</w:t>
      </w:r>
    </w:p>
    <w:p w14:paraId="5E9C46C5" w14:textId="6D264179" w:rsidR="00C72046" w:rsidRPr="00C72046" w:rsidRDefault="00C72046" w:rsidP="00C72046">
      <w:pPr>
        <w:pStyle w:val="TextoNormalSangraFrancesa"/>
        <w:rPr>
          <w:rStyle w:val="TextoNormalCaracter"/>
        </w:rPr>
      </w:pPr>
      <w:bookmarkStart w:id="1194" w:name="DESCRIPTORALFABETICO255"/>
      <w:r w:rsidRPr="00C72046">
        <w:rPr>
          <w:rStyle w:val="TextoNormalNegritaCaracter"/>
        </w:rPr>
        <w:t>Tramitación parlamentaria</w:t>
      </w:r>
      <w:bookmarkEnd w:id="1194"/>
      <w:r w:rsidRPr="00C72046">
        <w:rPr>
          <w:rStyle w:val="TextoNormalCaracter"/>
        </w:rPr>
        <w:t xml:space="preserve">, Sentencias </w:t>
      </w:r>
      <w:hyperlink w:anchor="SENTENCIA_2025_63" w:history="1">
        <w:r w:rsidRPr="00C72046">
          <w:rPr>
            <w:rStyle w:val="TextoNormalCaracter"/>
          </w:rPr>
          <w:t>63/2025</w:t>
        </w:r>
      </w:hyperlink>
      <w:r w:rsidRPr="00C72046">
        <w:rPr>
          <w:rStyle w:val="TextoNormalCaracter"/>
        </w:rPr>
        <w:t xml:space="preserve">, ff. 8 a 10; </w:t>
      </w:r>
      <w:hyperlink w:anchor="SENTENCIA_2025_135" w:history="1">
        <w:r w:rsidRPr="00C72046">
          <w:rPr>
            <w:rStyle w:val="TextoNormalCaracter"/>
          </w:rPr>
          <w:t>135/2025</w:t>
        </w:r>
      </w:hyperlink>
      <w:r w:rsidRPr="00C72046">
        <w:rPr>
          <w:rStyle w:val="TextoNormalCaracter"/>
        </w:rPr>
        <w:t>, f. 4.</w:t>
      </w:r>
    </w:p>
    <w:p w14:paraId="78C34B19" w14:textId="15101F26" w:rsidR="00C72046" w:rsidRPr="00C72046" w:rsidRDefault="00C72046" w:rsidP="00C72046">
      <w:pPr>
        <w:pStyle w:val="TextoNormalSangraFrancesa"/>
        <w:rPr>
          <w:rStyle w:val="TextoNormalCaracter"/>
        </w:rPr>
      </w:pPr>
      <w:bookmarkStart w:id="1195" w:name="DESCRIPTORALFABETICO208"/>
      <w:r w:rsidRPr="00C72046">
        <w:rPr>
          <w:rStyle w:val="TextoNormalNegritaCaracter"/>
        </w:rPr>
        <w:t>Trámite de admisión en el recurso de amparo</w:t>
      </w:r>
      <w:bookmarkEnd w:id="1195"/>
      <w:r w:rsidRPr="00C72046">
        <w:rPr>
          <w:rStyle w:val="TextoNormalCaracter"/>
        </w:rPr>
        <w:t xml:space="preserve">, Auto </w:t>
      </w:r>
      <w:hyperlink w:anchor="AUTO_2025_31" w:history="1">
        <w:r w:rsidRPr="00C72046">
          <w:rPr>
            <w:rStyle w:val="TextoNormalCaracter"/>
          </w:rPr>
          <w:t>31/2025</w:t>
        </w:r>
      </w:hyperlink>
      <w:r w:rsidRPr="00C72046">
        <w:rPr>
          <w:rStyle w:val="TextoNormalCaracter"/>
        </w:rPr>
        <w:t>, ff. 1, 2 y 3, VP.</w:t>
      </w:r>
    </w:p>
    <w:p w14:paraId="1A72C0CD" w14:textId="4C5F80C1" w:rsidR="00C72046" w:rsidRPr="00C72046" w:rsidRDefault="00C72046" w:rsidP="00C72046">
      <w:pPr>
        <w:pStyle w:val="TextoNormalSangraFrancesa"/>
        <w:rPr>
          <w:rStyle w:val="TextoNormalCaracter"/>
        </w:rPr>
      </w:pPr>
      <w:bookmarkStart w:id="1196" w:name="DESCRIPTORALFABETICO188"/>
      <w:r w:rsidRPr="00C72046">
        <w:rPr>
          <w:rStyle w:val="TextoNormalNegritaCaracter"/>
        </w:rPr>
        <w:t>Trámite de audiencia a las partes defectuoso</w:t>
      </w:r>
      <w:bookmarkEnd w:id="1196"/>
      <w:r w:rsidRPr="00C72046">
        <w:rPr>
          <w:rStyle w:val="TextoNormalCaracter"/>
        </w:rPr>
        <w:t xml:space="preserve">, Autos </w:t>
      </w:r>
      <w:hyperlink w:anchor="AUTO_2025_24" w:history="1">
        <w:r w:rsidRPr="00C72046">
          <w:rPr>
            <w:rStyle w:val="TextoNormalCaracter"/>
          </w:rPr>
          <w:t>24/2025</w:t>
        </w:r>
      </w:hyperlink>
      <w:r w:rsidRPr="00C72046">
        <w:rPr>
          <w:rStyle w:val="TextoNormalCaracter"/>
        </w:rPr>
        <w:t xml:space="preserve">, f. 3; </w:t>
      </w:r>
      <w:hyperlink w:anchor="AUTO_2025_29" w:history="1">
        <w:r w:rsidRPr="00C72046">
          <w:rPr>
            <w:rStyle w:val="TextoNormalCaracter"/>
          </w:rPr>
          <w:t>29/2025</w:t>
        </w:r>
      </w:hyperlink>
      <w:r w:rsidRPr="00C72046">
        <w:rPr>
          <w:rStyle w:val="TextoNormalCaracter"/>
        </w:rPr>
        <w:t>, f. 3.</w:t>
      </w:r>
    </w:p>
    <w:p w14:paraId="35A5D3A5" w14:textId="22B2EE41" w:rsidR="00C72046" w:rsidRPr="00C72046" w:rsidRDefault="00C72046" w:rsidP="00C72046">
      <w:pPr>
        <w:pStyle w:val="TextoNormalSangraFrancesa"/>
        <w:rPr>
          <w:rStyle w:val="TextoNormalCaracter"/>
        </w:rPr>
      </w:pPr>
      <w:bookmarkStart w:id="1197" w:name="DESCRIPTORALFABETICO47"/>
      <w:r w:rsidRPr="00C72046">
        <w:rPr>
          <w:rStyle w:val="TextoNormalNegritaCaracter"/>
        </w:rPr>
        <w:t>Transfuguismo</w:t>
      </w:r>
      <w:bookmarkEnd w:id="1197"/>
      <w:r w:rsidRPr="00C72046">
        <w:rPr>
          <w:rStyle w:val="TextoNormalCaracter"/>
        </w:rPr>
        <w:t xml:space="preserve">, Sentencias </w:t>
      </w:r>
      <w:hyperlink w:anchor="SENTENCIA_2025_14" w:history="1">
        <w:r w:rsidRPr="00C72046">
          <w:rPr>
            <w:rStyle w:val="TextoNormalCaracter"/>
          </w:rPr>
          <w:t>14/2025</w:t>
        </w:r>
      </w:hyperlink>
      <w:r w:rsidRPr="00C72046">
        <w:rPr>
          <w:rStyle w:val="TextoNormalCaracter"/>
        </w:rPr>
        <w:t xml:space="preserve">, f.4, VP; </w:t>
      </w:r>
      <w:hyperlink w:anchor="SENTENCIA_2025_15" w:history="1">
        <w:r w:rsidRPr="00C72046">
          <w:rPr>
            <w:rStyle w:val="TextoNormalCaracter"/>
          </w:rPr>
          <w:t>15/2025</w:t>
        </w:r>
      </w:hyperlink>
      <w:r w:rsidRPr="00C72046">
        <w:rPr>
          <w:rStyle w:val="TextoNormalCaracter"/>
        </w:rPr>
        <w:t>, f. 3.</w:t>
      </w:r>
    </w:p>
    <w:p w14:paraId="4268C55E" w14:textId="0E826A91" w:rsidR="00C72046" w:rsidRPr="00C72046" w:rsidRDefault="00C72046" w:rsidP="00C72046">
      <w:pPr>
        <w:pStyle w:val="TextoNormalSangraFrancesa"/>
        <w:rPr>
          <w:rStyle w:val="TextoNormalCaracter"/>
        </w:rPr>
      </w:pPr>
      <w:bookmarkStart w:id="1198" w:name="DESCRIPTORALFABETICO61"/>
      <w:r w:rsidRPr="00C72046">
        <w:rPr>
          <w:rStyle w:val="TextoNormalNegritaCaracter"/>
        </w:rPr>
        <w:t>Tratos inhumanos o degradantes</w:t>
      </w:r>
      <w:bookmarkEnd w:id="1198"/>
      <w:r w:rsidRPr="00C72046">
        <w:rPr>
          <w:rStyle w:val="TextoNormalCaracter"/>
        </w:rPr>
        <w:t xml:space="preserve">, Sentencia </w:t>
      </w:r>
      <w:hyperlink w:anchor="SENTENCIA_2025_28" w:history="1">
        <w:r w:rsidRPr="00C72046">
          <w:rPr>
            <w:rStyle w:val="TextoNormalCaracter"/>
          </w:rPr>
          <w:t>28/2025</w:t>
        </w:r>
      </w:hyperlink>
      <w:r w:rsidRPr="00C72046">
        <w:rPr>
          <w:rStyle w:val="TextoNormalCaracter"/>
        </w:rPr>
        <w:t>, f. 5.</w:t>
      </w:r>
    </w:p>
    <w:p w14:paraId="43EF3986" w14:textId="56809ED2" w:rsidR="00C72046" w:rsidRPr="00C72046" w:rsidRDefault="00C72046" w:rsidP="00C72046">
      <w:pPr>
        <w:pStyle w:val="TextoNormalSangraFrancesa"/>
        <w:rPr>
          <w:rStyle w:val="TextoNormalCaracter"/>
        </w:rPr>
      </w:pPr>
      <w:bookmarkStart w:id="1199" w:name="DESCRIPTORALFABETICO410"/>
      <w:r w:rsidRPr="00C72046">
        <w:rPr>
          <w:rStyle w:val="TextoNormalNegritaCaracter"/>
        </w:rPr>
        <w:t>Twitter</w:t>
      </w:r>
      <w:bookmarkEnd w:id="1199"/>
      <w:r w:rsidRPr="00C72046">
        <w:rPr>
          <w:rStyle w:val="TextoNormalCaracter"/>
        </w:rPr>
        <w:t xml:space="preserve">, Sentencia </w:t>
      </w:r>
      <w:hyperlink w:anchor="SENTENCIA_2025_100" w:history="1">
        <w:r w:rsidRPr="00C72046">
          <w:rPr>
            <w:rStyle w:val="TextoNormalCaracter"/>
          </w:rPr>
          <w:t>100/2025</w:t>
        </w:r>
      </w:hyperlink>
      <w:r w:rsidRPr="00C72046">
        <w:rPr>
          <w:rStyle w:val="TextoNormalCaracter"/>
        </w:rPr>
        <w:t>, f. 3.</w:t>
      </w:r>
    </w:p>
    <w:p w14:paraId="54060B8E" w14:textId="4E162DFE" w:rsidR="00C72046" w:rsidRDefault="00C72046" w:rsidP="00C72046">
      <w:pPr>
        <w:pStyle w:val="TextoNormalSangraFrancesa"/>
      </w:pPr>
    </w:p>
    <w:p w14:paraId="530A585A" w14:textId="77777777" w:rsidR="00C72046" w:rsidRDefault="00C72046" w:rsidP="00C72046">
      <w:pPr>
        <w:pStyle w:val="TextoNormalSangraFrancesa"/>
      </w:pPr>
    </w:p>
    <w:p w14:paraId="35680B00" w14:textId="77777777" w:rsidR="00C72046" w:rsidRDefault="00C72046" w:rsidP="00C72046">
      <w:pPr>
        <w:pStyle w:val="TextoNormalNegritaCentrado"/>
      </w:pPr>
      <w:r>
        <w:t>U</w:t>
      </w:r>
    </w:p>
    <w:p w14:paraId="22756202" w14:textId="0C3DAED0" w:rsidR="00C72046" w:rsidRDefault="00C72046" w:rsidP="00C72046">
      <w:pPr>
        <w:pStyle w:val="TextoNormalNegritaCentrado"/>
      </w:pPr>
    </w:p>
    <w:p w14:paraId="70B6F1BA" w14:textId="62E25050" w:rsidR="00C72046" w:rsidRPr="00C72046" w:rsidRDefault="00C72046" w:rsidP="00C72046">
      <w:pPr>
        <w:pStyle w:val="TextoNormalSangraFrancesa"/>
        <w:rPr>
          <w:rStyle w:val="TextoNormalCaracter"/>
        </w:rPr>
      </w:pPr>
      <w:bookmarkStart w:id="1200" w:name="DESCRIPTORALFABETICO27"/>
      <w:r w:rsidRPr="00C72046">
        <w:rPr>
          <w:rStyle w:val="TextoNormalNegritaCaracter"/>
        </w:rPr>
        <w:t>Unidad de mercado</w:t>
      </w:r>
      <w:bookmarkEnd w:id="1200"/>
      <w:r w:rsidRPr="00C72046">
        <w:rPr>
          <w:rStyle w:val="TextoNormalCaracter"/>
        </w:rPr>
        <w:t xml:space="preserve">, Sentencia </w:t>
      </w:r>
      <w:hyperlink w:anchor="SENTENCIA_2025_64" w:history="1">
        <w:r w:rsidRPr="00C72046">
          <w:rPr>
            <w:rStyle w:val="TextoNormalCaracter"/>
          </w:rPr>
          <w:t>64/2025</w:t>
        </w:r>
      </w:hyperlink>
      <w:r w:rsidRPr="00C72046">
        <w:rPr>
          <w:rStyle w:val="TextoNormalCaracter"/>
        </w:rPr>
        <w:t>, f. 5.</w:t>
      </w:r>
    </w:p>
    <w:p w14:paraId="1DCAECBF" w14:textId="50975DFE" w:rsidR="00C72046" w:rsidRPr="00C72046" w:rsidRDefault="00C72046" w:rsidP="00C72046">
      <w:pPr>
        <w:pStyle w:val="TextoNormalSangraFrancesa"/>
        <w:rPr>
          <w:rStyle w:val="TextoNormalCaracter"/>
        </w:rPr>
      </w:pPr>
      <w:bookmarkStart w:id="1201" w:name="DESCRIPTORALFABETICO359"/>
      <w:r w:rsidRPr="00C72046">
        <w:rPr>
          <w:rStyle w:val="TextoNormalNegritaCaracter"/>
        </w:rPr>
        <w:t>Urbanismo</w:t>
      </w:r>
      <w:bookmarkEnd w:id="1201"/>
      <w:r w:rsidRPr="00C72046">
        <w:rPr>
          <w:rStyle w:val="TextoNormalCaracter"/>
        </w:rPr>
        <w:t xml:space="preserve">, Sentencia </w:t>
      </w:r>
      <w:hyperlink w:anchor="SENTENCIA_2025_26" w:history="1">
        <w:r w:rsidRPr="00C72046">
          <w:rPr>
            <w:rStyle w:val="TextoNormalCaracter"/>
          </w:rPr>
          <w:t>26/2025</w:t>
        </w:r>
      </w:hyperlink>
      <w:r w:rsidRPr="00C72046">
        <w:rPr>
          <w:rStyle w:val="TextoNormalCaracter"/>
        </w:rPr>
        <w:t>, f. 3, VP I, VP II.</w:t>
      </w:r>
    </w:p>
    <w:p w14:paraId="0C9D1360" w14:textId="5F1E05A1" w:rsidR="00C72046" w:rsidRDefault="00C72046" w:rsidP="00C72046">
      <w:pPr>
        <w:pStyle w:val="TextoNormalSangraFrancesa"/>
      </w:pPr>
    </w:p>
    <w:p w14:paraId="75FDE37F" w14:textId="77777777" w:rsidR="00C72046" w:rsidRDefault="00C72046" w:rsidP="00C72046">
      <w:pPr>
        <w:pStyle w:val="TextoNormalSangraFrancesa"/>
      </w:pPr>
    </w:p>
    <w:p w14:paraId="4A30900E" w14:textId="77777777" w:rsidR="00C72046" w:rsidRDefault="00C72046" w:rsidP="00C72046">
      <w:pPr>
        <w:pStyle w:val="TextoNormalNegritaCentrado"/>
      </w:pPr>
      <w:r>
        <w:t>V</w:t>
      </w:r>
    </w:p>
    <w:p w14:paraId="45C15D2E" w14:textId="26208F92" w:rsidR="00C72046" w:rsidRDefault="00C72046" w:rsidP="00C72046">
      <w:pPr>
        <w:pStyle w:val="TextoNormalNegritaCentrado"/>
      </w:pPr>
    </w:p>
    <w:p w14:paraId="3F7D15BF" w14:textId="49928BB0" w:rsidR="00C72046" w:rsidRPr="00C72046" w:rsidRDefault="00C72046" w:rsidP="00C72046">
      <w:pPr>
        <w:pStyle w:val="TextoNormalSangraFrancesa"/>
        <w:rPr>
          <w:rStyle w:val="TextoNormalCaracter"/>
        </w:rPr>
      </w:pPr>
      <w:bookmarkStart w:id="1202" w:name="DESCRIPTORALFABETICO362"/>
      <w:r w:rsidRPr="00C72046">
        <w:rPr>
          <w:rStyle w:val="TextoNormalNegritaCaracter"/>
        </w:rPr>
        <w:t>Valor real del suelo</w:t>
      </w:r>
      <w:bookmarkEnd w:id="1202"/>
      <w:r w:rsidRPr="00C72046">
        <w:rPr>
          <w:rStyle w:val="TextoNormalCaracter"/>
        </w:rPr>
        <w:t xml:space="preserve">, Sentencia </w:t>
      </w:r>
      <w:hyperlink w:anchor="SENTENCIA_2025_98" w:history="1">
        <w:r w:rsidRPr="00C72046">
          <w:rPr>
            <w:rStyle w:val="TextoNormalCaracter"/>
          </w:rPr>
          <w:t>98/2025</w:t>
        </w:r>
      </w:hyperlink>
      <w:r w:rsidRPr="00C72046">
        <w:rPr>
          <w:rStyle w:val="TextoNormalCaracter"/>
        </w:rPr>
        <w:t>, f. 3.</w:t>
      </w:r>
    </w:p>
    <w:p w14:paraId="72C658C5" w14:textId="20CDE84F" w:rsidR="00C72046" w:rsidRPr="00C72046" w:rsidRDefault="00C72046" w:rsidP="00C72046">
      <w:pPr>
        <w:pStyle w:val="TextoNormalSangraFrancesa"/>
        <w:rPr>
          <w:rStyle w:val="TextoNormalCaracter"/>
        </w:rPr>
      </w:pPr>
      <w:bookmarkStart w:id="1203" w:name="DESCRIPTORALFABETICO130"/>
      <w:r w:rsidRPr="00C72046">
        <w:rPr>
          <w:rStyle w:val="TextoNormalNegritaCaracter"/>
        </w:rPr>
        <w:t>Veracidad de la información</w:t>
      </w:r>
      <w:bookmarkEnd w:id="1203"/>
      <w:r w:rsidRPr="00C72046">
        <w:rPr>
          <w:rStyle w:val="TextoNormalCaracter"/>
        </w:rPr>
        <w:t xml:space="preserve">, Sentencias </w:t>
      </w:r>
      <w:hyperlink w:anchor="SENTENCIA_2025_62" w:history="1">
        <w:r w:rsidRPr="00C72046">
          <w:rPr>
            <w:rStyle w:val="TextoNormalCaracter"/>
          </w:rPr>
          <w:t>62/2025</w:t>
        </w:r>
      </w:hyperlink>
      <w:r w:rsidRPr="00C72046">
        <w:rPr>
          <w:rStyle w:val="TextoNormalCaracter"/>
        </w:rPr>
        <w:t xml:space="preserve">, ff. 2 y 3, VP I, VP II, VP III; </w:t>
      </w:r>
      <w:hyperlink w:anchor="SENTENCIA_2025_87" w:history="1">
        <w:r w:rsidRPr="00C72046">
          <w:rPr>
            <w:rStyle w:val="TextoNormalCaracter"/>
          </w:rPr>
          <w:t>87/2025</w:t>
        </w:r>
      </w:hyperlink>
      <w:r w:rsidRPr="00C72046">
        <w:rPr>
          <w:rStyle w:val="TextoNormalCaracter"/>
        </w:rPr>
        <w:t xml:space="preserve">, ff. 2 y 3, VP I; </w:t>
      </w:r>
      <w:hyperlink w:anchor="SENTENCIA_2025_101" w:history="1">
        <w:r w:rsidRPr="00C72046">
          <w:rPr>
            <w:rStyle w:val="TextoNormalCaracter"/>
          </w:rPr>
          <w:t>101/2025</w:t>
        </w:r>
      </w:hyperlink>
      <w:r w:rsidRPr="00C72046">
        <w:rPr>
          <w:rStyle w:val="TextoNormalCaracter"/>
        </w:rPr>
        <w:t>, ff. 2 y 3, VP.</w:t>
      </w:r>
    </w:p>
    <w:p w14:paraId="4E18460F" w14:textId="496A9147" w:rsidR="00C72046" w:rsidRPr="00C72046" w:rsidRDefault="00C72046" w:rsidP="00C72046">
      <w:pPr>
        <w:pStyle w:val="TextoNormalSangraFrancesa"/>
        <w:rPr>
          <w:rStyle w:val="TextoNormalCaracter"/>
        </w:rPr>
      </w:pPr>
      <w:bookmarkStart w:id="1204" w:name="DESCRIPTORALFABETICO245"/>
      <w:r w:rsidRPr="00C72046">
        <w:rPr>
          <w:rStyle w:val="TextoNormalNegritaCaracter"/>
        </w:rPr>
        <w:t>Veto presupuestario</w:t>
      </w:r>
      <w:bookmarkEnd w:id="1204"/>
      <w:r w:rsidRPr="00C72046">
        <w:rPr>
          <w:rStyle w:val="TextoNormalCaracter"/>
        </w:rPr>
        <w:t xml:space="preserve">, Sentencia </w:t>
      </w:r>
      <w:hyperlink w:anchor="SENTENCIA_2025_135" w:history="1">
        <w:r w:rsidRPr="00C72046">
          <w:rPr>
            <w:rStyle w:val="TextoNormalCaracter"/>
          </w:rPr>
          <w:t>135/2025</w:t>
        </w:r>
      </w:hyperlink>
      <w:r w:rsidRPr="00C72046">
        <w:rPr>
          <w:rStyle w:val="TextoNormalCaracter"/>
        </w:rPr>
        <w:t>, ff. 3 y 4.</w:t>
      </w:r>
    </w:p>
    <w:p w14:paraId="43BBA4F0" w14:textId="73877D53" w:rsidR="00C72046" w:rsidRPr="00C72046" w:rsidRDefault="00C72046" w:rsidP="00C72046">
      <w:pPr>
        <w:pStyle w:val="TextoNormalSangraFrancesa"/>
        <w:rPr>
          <w:rStyle w:val="TextoNormalCaracter"/>
        </w:rPr>
      </w:pPr>
      <w:bookmarkStart w:id="1205" w:name="DESCRIPTORALFABETICO357"/>
      <w:r w:rsidRPr="00C72046">
        <w:rPr>
          <w:rStyle w:val="TextoNormalNegritaCaracter"/>
        </w:rPr>
        <w:t>Violencia de género</w:t>
      </w:r>
      <w:bookmarkEnd w:id="1205"/>
      <w:r w:rsidRPr="00C72046">
        <w:rPr>
          <w:rStyle w:val="TextoNormalCaracter"/>
        </w:rPr>
        <w:t xml:space="preserve">, Sentencia </w:t>
      </w:r>
      <w:hyperlink w:anchor="SENTENCIA_2025_126" w:history="1">
        <w:r w:rsidRPr="00C72046">
          <w:rPr>
            <w:rStyle w:val="TextoNormalCaracter"/>
          </w:rPr>
          <w:t>126/2025</w:t>
        </w:r>
      </w:hyperlink>
      <w:r w:rsidRPr="00C72046">
        <w:rPr>
          <w:rStyle w:val="TextoNormalCaracter"/>
        </w:rPr>
        <w:t>, f. 4.</w:t>
      </w:r>
    </w:p>
    <w:p w14:paraId="707C81E2" w14:textId="5E2634CB" w:rsidR="00C72046" w:rsidRPr="00C72046" w:rsidRDefault="00C72046" w:rsidP="00C72046">
      <w:pPr>
        <w:pStyle w:val="TextoNormalSangraFrancesa"/>
        <w:rPr>
          <w:rStyle w:val="TextoNormalCaracter"/>
        </w:rPr>
      </w:pPr>
      <w:bookmarkStart w:id="1206" w:name="DESCRIPTORALFABETICO406"/>
      <w:r w:rsidRPr="00C72046">
        <w:rPr>
          <w:rStyle w:val="TextoNormalNegritaCaracter"/>
        </w:rPr>
        <w:t>Violencia sobre la mujer</w:t>
      </w:r>
      <w:bookmarkEnd w:id="1206"/>
      <w:r w:rsidRPr="00C72046">
        <w:rPr>
          <w:rStyle w:val="TextoNormalCaracter"/>
        </w:rPr>
        <w:t xml:space="preserve">, Sentencias </w:t>
      </w:r>
      <w:hyperlink w:anchor="SENTENCIA_2025_41" w:history="1">
        <w:r w:rsidRPr="00C72046">
          <w:rPr>
            <w:rStyle w:val="TextoNormalCaracter"/>
          </w:rPr>
          <w:t>41/2025</w:t>
        </w:r>
      </w:hyperlink>
      <w:r w:rsidRPr="00C72046">
        <w:rPr>
          <w:rStyle w:val="TextoNormalCaracter"/>
        </w:rPr>
        <w:t xml:space="preserve">, VP; </w:t>
      </w:r>
      <w:hyperlink w:anchor="SENTENCIA_2025_54" w:history="1">
        <w:r w:rsidRPr="00C72046">
          <w:rPr>
            <w:rStyle w:val="TextoNormalCaracter"/>
          </w:rPr>
          <w:t>54/2025</w:t>
        </w:r>
      </w:hyperlink>
      <w:r w:rsidRPr="00C72046">
        <w:rPr>
          <w:rStyle w:val="TextoNormalCaracter"/>
        </w:rPr>
        <w:t>, ff. 1, 2 y 3, VP.</w:t>
      </w:r>
    </w:p>
    <w:p w14:paraId="413313E5" w14:textId="0C7460D0" w:rsidR="00C72046" w:rsidRPr="00C72046" w:rsidRDefault="00C72046" w:rsidP="00C72046">
      <w:pPr>
        <w:pStyle w:val="TextoNormalSangraFrancesa"/>
        <w:rPr>
          <w:rStyle w:val="TextoNormalCaracter"/>
        </w:rPr>
      </w:pPr>
      <w:bookmarkStart w:id="1207" w:name="DESCRIPTORALFABETICO419"/>
      <w:r w:rsidRPr="00C72046">
        <w:rPr>
          <w:rStyle w:val="TextoNormalNegritaCaracter"/>
        </w:rPr>
        <w:t>Vivienda</w:t>
      </w:r>
      <w:bookmarkEnd w:id="1207"/>
      <w:r w:rsidRPr="00C72046">
        <w:rPr>
          <w:rStyle w:val="TextoNormalCaracter"/>
        </w:rPr>
        <w:t xml:space="preserve">, Sentencias </w:t>
      </w:r>
      <w:hyperlink w:anchor="SENTENCIA_2025_26" w:history="1">
        <w:r w:rsidRPr="00C72046">
          <w:rPr>
            <w:rStyle w:val="TextoNormalCaracter"/>
          </w:rPr>
          <w:t>26/2025</w:t>
        </w:r>
      </w:hyperlink>
      <w:r w:rsidRPr="00C72046">
        <w:rPr>
          <w:rStyle w:val="TextoNormalCaracter"/>
        </w:rPr>
        <w:t xml:space="preserve">, f. 1; </w:t>
      </w:r>
      <w:hyperlink w:anchor="SENTENCIA_2025_64" w:history="1">
        <w:r w:rsidRPr="00C72046">
          <w:rPr>
            <w:rStyle w:val="TextoNormalCaracter"/>
          </w:rPr>
          <w:t>64/2025</w:t>
        </w:r>
      </w:hyperlink>
      <w:r w:rsidRPr="00C72046">
        <w:rPr>
          <w:rStyle w:val="TextoNormalCaracter"/>
        </w:rPr>
        <w:t>, f. 1, VP.</w:t>
      </w:r>
    </w:p>
    <w:p w14:paraId="58D3DFE2" w14:textId="101C06F3" w:rsidR="00C72046" w:rsidRPr="00C72046" w:rsidRDefault="00C72046" w:rsidP="00C72046">
      <w:pPr>
        <w:pStyle w:val="TextoNormalSangraFrancesa"/>
        <w:rPr>
          <w:rStyle w:val="TextoNormalCaracter"/>
        </w:rPr>
      </w:pPr>
      <w:bookmarkStart w:id="1208" w:name="DESCRIPTORALFABETICO422"/>
      <w:r w:rsidRPr="00C72046">
        <w:rPr>
          <w:rStyle w:val="TextoNormalNegritaCaracter"/>
        </w:rPr>
        <w:t>Vivienda de uso turístico</w:t>
      </w:r>
      <w:bookmarkEnd w:id="1208"/>
      <w:r w:rsidRPr="00C72046">
        <w:rPr>
          <w:rStyle w:val="TextoNormalCaracter"/>
        </w:rPr>
        <w:t xml:space="preserve">, Sentencia </w:t>
      </w:r>
      <w:hyperlink w:anchor="SENTENCIA_2025_64" w:history="1">
        <w:r w:rsidRPr="00C72046">
          <w:rPr>
            <w:rStyle w:val="TextoNormalCaracter"/>
          </w:rPr>
          <w:t>64/2025</w:t>
        </w:r>
      </w:hyperlink>
      <w:r w:rsidRPr="00C72046">
        <w:rPr>
          <w:rStyle w:val="TextoNormalCaracter"/>
        </w:rPr>
        <w:t>, ff. 2 a 6.</w:t>
      </w:r>
    </w:p>
    <w:p w14:paraId="206F922E" w14:textId="01E7AF9C" w:rsidR="00C72046" w:rsidRPr="00C72046" w:rsidRDefault="00C72046" w:rsidP="00C72046">
      <w:pPr>
        <w:pStyle w:val="TextoNormalSangraFrancesa"/>
        <w:rPr>
          <w:rStyle w:val="TextoNormalCaracter"/>
        </w:rPr>
      </w:pPr>
      <w:bookmarkStart w:id="1209" w:name="DESCRIPTORALFABETICO423"/>
      <w:r w:rsidRPr="00C72046">
        <w:rPr>
          <w:rStyle w:val="TextoNormalNegritaCaracter"/>
        </w:rPr>
        <w:t>Viviendas de renta limitada</w:t>
      </w:r>
      <w:bookmarkEnd w:id="1209"/>
      <w:r w:rsidRPr="00C72046">
        <w:rPr>
          <w:rStyle w:val="TextoNormalCaracter"/>
        </w:rPr>
        <w:t xml:space="preserve">, Sentencia </w:t>
      </w:r>
      <w:hyperlink w:anchor="SENTENCIA_2025_26" w:history="1">
        <w:r w:rsidRPr="00C72046">
          <w:rPr>
            <w:rStyle w:val="TextoNormalCaracter"/>
          </w:rPr>
          <w:t>26/2025</w:t>
        </w:r>
      </w:hyperlink>
      <w:r w:rsidRPr="00C72046">
        <w:rPr>
          <w:rStyle w:val="TextoNormalCaracter"/>
        </w:rPr>
        <w:t>, f. 5.</w:t>
      </w:r>
    </w:p>
    <w:p w14:paraId="74D94025" w14:textId="78F6D776" w:rsidR="00C72046" w:rsidRPr="00C72046" w:rsidRDefault="00C72046" w:rsidP="00C72046">
      <w:pPr>
        <w:pStyle w:val="TextoNormalSangraFrancesa"/>
        <w:rPr>
          <w:rStyle w:val="TextoNormalCaracter"/>
        </w:rPr>
      </w:pPr>
      <w:bookmarkStart w:id="1210" w:name="DESCRIPTORALFABETICO290"/>
      <w:r w:rsidRPr="00C72046">
        <w:rPr>
          <w:rStyle w:val="TextoNormalNegritaCaracter"/>
        </w:rPr>
        <w:t>Votaciones parlamentarias</w:t>
      </w:r>
      <w:bookmarkEnd w:id="1210"/>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VP III; </w:t>
      </w:r>
      <w:hyperlink w:anchor="SENTENCIA_2025_83" w:history="1">
        <w:r w:rsidRPr="00C72046">
          <w:rPr>
            <w:rStyle w:val="TextoNormalCaracter"/>
          </w:rPr>
          <w:t>83/2025</w:t>
        </w:r>
      </w:hyperlink>
      <w:r w:rsidRPr="00C72046">
        <w:rPr>
          <w:rStyle w:val="TextoNormalCaracter"/>
        </w:rPr>
        <w:t xml:space="preserve">, ff. 2 a 3; </w:t>
      </w:r>
      <w:hyperlink w:anchor="SENTENCIA_2025_136" w:history="1">
        <w:r w:rsidRPr="00C72046">
          <w:rPr>
            <w:rStyle w:val="TextoNormalCaracter"/>
          </w:rPr>
          <w:t>136/2025</w:t>
        </w:r>
      </w:hyperlink>
      <w:r w:rsidRPr="00C72046">
        <w:rPr>
          <w:rStyle w:val="TextoNormalCaracter"/>
        </w:rPr>
        <w:t>, ff. 2 y 3.</w:t>
      </w:r>
    </w:p>
    <w:p w14:paraId="0AF7D52D" w14:textId="3783763D" w:rsidR="00C72046" w:rsidRPr="00C72046" w:rsidRDefault="00C72046" w:rsidP="00C72046">
      <w:pPr>
        <w:pStyle w:val="TextoNormalSangraFrancesa"/>
        <w:rPr>
          <w:rStyle w:val="TextoNormalCaracter"/>
        </w:rPr>
      </w:pPr>
      <w:bookmarkStart w:id="1211" w:name="DESCRIPTORALFABETICO227"/>
      <w:r w:rsidRPr="00C72046">
        <w:rPr>
          <w:rStyle w:val="TextoNormalNegritaCaracter"/>
        </w:rPr>
        <w:t>Voto particular, formulado uno</w:t>
      </w:r>
      <w:bookmarkEnd w:id="1211"/>
      <w:r w:rsidRPr="00C72046">
        <w:rPr>
          <w:rStyle w:val="TextoNormalCaracter"/>
        </w:rPr>
        <w:t xml:space="preserve">, Sentencias </w:t>
      </w:r>
      <w:hyperlink w:anchor="SENTENCIA_2025_14" w:history="1">
        <w:r w:rsidRPr="00C72046">
          <w:rPr>
            <w:rStyle w:val="TextoNormalCaracter"/>
          </w:rPr>
          <w:t>14/2025</w:t>
        </w:r>
      </w:hyperlink>
      <w:r w:rsidRPr="00C72046">
        <w:rPr>
          <w:rStyle w:val="TextoNormalCaracter"/>
        </w:rPr>
        <w:t xml:space="preserve">; </w:t>
      </w:r>
      <w:hyperlink w:anchor="SENTENCIA_2025_15" w:history="1">
        <w:r w:rsidRPr="00C72046">
          <w:rPr>
            <w:rStyle w:val="TextoNormalCaracter"/>
          </w:rPr>
          <w:t>15/2025</w:t>
        </w:r>
      </w:hyperlink>
      <w:r w:rsidRPr="00C72046">
        <w:rPr>
          <w:rStyle w:val="TextoNormalCaracter"/>
        </w:rPr>
        <w:t xml:space="preserve">; </w:t>
      </w:r>
      <w:hyperlink w:anchor="SENTENCIA_2025_41" w:history="1">
        <w:r w:rsidRPr="00C72046">
          <w:rPr>
            <w:rStyle w:val="TextoNormalCaracter"/>
          </w:rPr>
          <w:t>41/2025</w:t>
        </w:r>
      </w:hyperlink>
      <w:r w:rsidRPr="00C72046">
        <w:rPr>
          <w:rStyle w:val="TextoNormalCaracter"/>
        </w:rPr>
        <w:t xml:space="preserve">; </w:t>
      </w:r>
      <w:hyperlink w:anchor="SENTENCIA_2025_52" w:history="1">
        <w:r w:rsidRPr="00C72046">
          <w:rPr>
            <w:rStyle w:val="TextoNormalCaracter"/>
          </w:rPr>
          <w:t>52/2025</w:t>
        </w:r>
      </w:hyperlink>
      <w:r w:rsidRPr="00C72046">
        <w:rPr>
          <w:rStyle w:val="TextoNormalCaracter"/>
        </w:rPr>
        <w:t xml:space="preserve">; </w:t>
      </w:r>
      <w:hyperlink w:anchor="SENTENCIA_2025_53" w:history="1">
        <w:r w:rsidRPr="00C72046">
          <w:rPr>
            <w:rStyle w:val="TextoNormalCaracter"/>
          </w:rPr>
          <w:t>53/2025</w:t>
        </w:r>
      </w:hyperlink>
      <w:r w:rsidRPr="00C72046">
        <w:rPr>
          <w:rStyle w:val="TextoNormalCaracter"/>
        </w:rPr>
        <w:t xml:space="preserve">; </w:t>
      </w:r>
      <w:hyperlink w:anchor="SENTENCIA_2025_54" w:history="1">
        <w:r w:rsidRPr="00C72046">
          <w:rPr>
            <w:rStyle w:val="TextoNormalCaracter"/>
          </w:rPr>
          <w:t>54/2025</w:t>
        </w:r>
      </w:hyperlink>
      <w:r w:rsidRPr="00C72046">
        <w:rPr>
          <w:rStyle w:val="TextoNormalCaracter"/>
        </w:rPr>
        <w:t xml:space="preserve">; </w:t>
      </w:r>
      <w:hyperlink w:anchor="SENTENCIA_2025_64" w:history="1">
        <w:r w:rsidRPr="00C72046">
          <w:rPr>
            <w:rStyle w:val="TextoNormalCaracter"/>
          </w:rPr>
          <w:t>64/2025</w:t>
        </w:r>
      </w:hyperlink>
      <w:r w:rsidRPr="00C72046">
        <w:rPr>
          <w:rStyle w:val="TextoNormalCaracter"/>
        </w:rPr>
        <w:t xml:space="preserve">; </w:t>
      </w:r>
      <w:hyperlink w:anchor="SENTENCIA_2025_84" w:history="1">
        <w:r w:rsidRPr="00C72046">
          <w:rPr>
            <w:rStyle w:val="TextoNormalCaracter"/>
          </w:rPr>
          <w:t>84/2025</w:t>
        </w:r>
      </w:hyperlink>
      <w:r w:rsidRPr="00C72046">
        <w:rPr>
          <w:rStyle w:val="TextoNormalCaracter"/>
        </w:rPr>
        <w:t xml:space="preserve">; </w:t>
      </w:r>
      <w:hyperlink w:anchor="SENTENCIA_2025_96" w:history="1">
        <w:r w:rsidRPr="00C72046">
          <w:rPr>
            <w:rStyle w:val="TextoNormalCaracter"/>
          </w:rPr>
          <w:t>96/2025</w:t>
        </w:r>
      </w:hyperlink>
      <w:r w:rsidRPr="00C72046">
        <w:rPr>
          <w:rStyle w:val="TextoNormalCaracter"/>
        </w:rPr>
        <w:t xml:space="preserve">, VP; </w:t>
      </w:r>
      <w:hyperlink w:anchor="SENTENCIA_2025_98" w:history="1">
        <w:r w:rsidRPr="00C72046">
          <w:rPr>
            <w:rStyle w:val="TextoNormalCaracter"/>
          </w:rPr>
          <w:t>98/2025</w:t>
        </w:r>
      </w:hyperlink>
      <w:r w:rsidRPr="00C72046">
        <w:rPr>
          <w:rStyle w:val="TextoNormalCaracter"/>
        </w:rPr>
        <w:t xml:space="preserve">, VP; </w:t>
      </w:r>
      <w:hyperlink w:anchor="SENTENCIA_2025_101" w:history="1">
        <w:r w:rsidRPr="00C72046">
          <w:rPr>
            <w:rStyle w:val="TextoNormalCaracter"/>
          </w:rPr>
          <w:t>101/2025</w:t>
        </w:r>
      </w:hyperlink>
      <w:r w:rsidRPr="00C72046">
        <w:rPr>
          <w:rStyle w:val="TextoNormalCaracter"/>
        </w:rPr>
        <w:t>.</w:t>
      </w:r>
    </w:p>
    <w:p w14:paraId="64F68E34" w14:textId="0E89F6E3" w:rsidR="00C72046" w:rsidRPr="00C72046" w:rsidRDefault="00C72046" w:rsidP="00C72046">
      <w:pPr>
        <w:pStyle w:val="TextoNormalSangraFrancesa"/>
        <w:rPr>
          <w:rStyle w:val="TextoNormalCaracter"/>
        </w:rPr>
      </w:pPr>
      <w:r w:rsidRPr="00C72046">
        <w:rPr>
          <w:rStyle w:val="TextoNormalCaracter"/>
        </w:rPr>
        <w:t xml:space="preserve">    Autos </w:t>
      </w:r>
      <w:hyperlink w:anchor="AUTO_2025_4" w:history="1">
        <w:r w:rsidRPr="00C72046">
          <w:rPr>
            <w:rStyle w:val="TextoNormalCaracter"/>
          </w:rPr>
          <w:t>4/2025</w:t>
        </w:r>
      </w:hyperlink>
      <w:r w:rsidRPr="00C72046">
        <w:rPr>
          <w:rStyle w:val="TextoNormalCaracter"/>
        </w:rPr>
        <w:t xml:space="preserve">, f. único; </w:t>
      </w:r>
      <w:hyperlink w:anchor="AUTO_2025_5" w:history="1">
        <w:r w:rsidRPr="00C72046">
          <w:rPr>
            <w:rStyle w:val="TextoNormalCaracter"/>
          </w:rPr>
          <w:t>5/2025</w:t>
        </w:r>
      </w:hyperlink>
      <w:r w:rsidRPr="00C72046">
        <w:rPr>
          <w:rStyle w:val="TextoNormalCaracter"/>
        </w:rPr>
        <w:t xml:space="preserve">, f. único; </w:t>
      </w:r>
      <w:hyperlink w:anchor="AUTO_2025_8" w:history="1">
        <w:r w:rsidRPr="00C72046">
          <w:rPr>
            <w:rStyle w:val="TextoNormalCaracter"/>
          </w:rPr>
          <w:t>8/2025</w:t>
        </w:r>
      </w:hyperlink>
      <w:r w:rsidRPr="00C72046">
        <w:rPr>
          <w:rStyle w:val="TextoNormalCaracter"/>
        </w:rPr>
        <w:t xml:space="preserve">; </w:t>
      </w:r>
      <w:hyperlink w:anchor="AUTO_2025_11" w:history="1">
        <w:r w:rsidRPr="00C72046">
          <w:rPr>
            <w:rStyle w:val="TextoNormalCaracter"/>
          </w:rPr>
          <w:t>11/2025</w:t>
        </w:r>
      </w:hyperlink>
      <w:r w:rsidRPr="00C72046">
        <w:rPr>
          <w:rStyle w:val="TextoNormalCaracter"/>
        </w:rPr>
        <w:t xml:space="preserve">; </w:t>
      </w:r>
      <w:hyperlink w:anchor="AUTO_2025_15" w:history="1">
        <w:r w:rsidRPr="00C72046">
          <w:rPr>
            <w:rStyle w:val="TextoNormalCaracter"/>
          </w:rPr>
          <w:t>15/2025</w:t>
        </w:r>
      </w:hyperlink>
      <w:r w:rsidRPr="00C72046">
        <w:rPr>
          <w:rStyle w:val="TextoNormalCaracter"/>
        </w:rPr>
        <w:t xml:space="preserve">; </w:t>
      </w:r>
      <w:hyperlink w:anchor="AUTO_2025_28" w:history="1">
        <w:r w:rsidRPr="00C72046">
          <w:rPr>
            <w:rStyle w:val="TextoNormalCaracter"/>
          </w:rPr>
          <w:t>28/2025</w:t>
        </w:r>
      </w:hyperlink>
      <w:r w:rsidRPr="00C72046">
        <w:rPr>
          <w:rStyle w:val="TextoNormalCaracter"/>
        </w:rPr>
        <w:t xml:space="preserve">, VP I; </w:t>
      </w:r>
      <w:hyperlink w:anchor="AUTO_2025_31" w:history="1">
        <w:r w:rsidRPr="00C72046">
          <w:rPr>
            <w:rStyle w:val="TextoNormalCaracter"/>
          </w:rPr>
          <w:t>31/2025</w:t>
        </w:r>
      </w:hyperlink>
      <w:r w:rsidRPr="00C72046">
        <w:rPr>
          <w:rStyle w:val="TextoNormalCaracter"/>
        </w:rPr>
        <w:t xml:space="preserve">; </w:t>
      </w:r>
      <w:hyperlink w:anchor="AUTO_2025_34" w:history="1">
        <w:r w:rsidRPr="00C72046">
          <w:rPr>
            <w:rStyle w:val="TextoNormalCaracter"/>
          </w:rPr>
          <w:t>34/2025</w:t>
        </w:r>
      </w:hyperlink>
      <w:r w:rsidRPr="00C72046">
        <w:rPr>
          <w:rStyle w:val="TextoNormalCaracter"/>
        </w:rPr>
        <w:t xml:space="preserve">, VP; </w:t>
      </w:r>
      <w:hyperlink w:anchor="AUTO_2025_65" w:history="1">
        <w:r w:rsidRPr="00C72046">
          <w:rPr>
            <w:rStyle w:val="TextoNormalCaracter"/>
          </w:rPr>
          <w:t>65/2025</w:t>
        </w:r>
      </w:hyperlink>
      <w:r w:rsidRPr="00C72046">
        <w:rPr>
          <w:rStyle w:val="TextoNormalCaracter"/>
        </w:rPr>
        <w:t>.</w:t>
      </w:r>
    </w:p>
    <w:p w14:paraId="75DAF745" w14:textId="7EF80826" w:rsidR="00C72046" w:rsidRPr="00C72046" w:rsidRDefault="00C72046" w:rsidP="00C72046">
      <w:pPr>
        <w:pStyle w:val="TextoNormalSangraFrancesa"/>
        <w:rPr>
          <w:rStyle w:val="TextoNormalCaracter"/>
        </w:rPr>
      </w:pPr>
      <w:bookmarkStart w:id="1212" w:name="DESCRIPTORALFABETICO228"/>
      <w:r w:rsidRPr="00C72046">
        <w:rPr>
          <w:rStyle w:val="TextoNormalNegritaCaracter"/>
        </w:rPr>
        <w:t>Votos particulares, formulados cuatro</w:t>
      </w:r>
      <w:bookmarkEnd w:id="1212"/>
      <w:r w:rsidRPr="00C72046">
        <w:rPr>
          <w:rStyle w:val="TextoNormalCaracter"/>
        </w:rPr>
        <w:t xml:space="preserve">, Sentencia </w:t>
      </w:r>
      <w:hyperlink w:anchor="SENTENCIA_2025_137" w:history="1">
        <w:r w:rsidRPr="00C72046">
          <w:rPr>
            <w:rStyle w:val="TextoNormalCaracter"/>
          </w:rPr>
          <w:t>137/2025</w:t>
        </w:r>
      </w:hyperlink>
      <w:r w:rsidRPr="00C72046">
        <w:rPr>
          <w:rStyle w:val="TextoNormalCaracter"/>
        </w:rPr>
        <w:t>.</w:t>
      </w:r>
    </w:p>
    <w:p w14:paraId="7EA84C2E" w14:textId="25B65230" w:rsidR="00C72046" w:rsidRPr="00C72046" w:rsidRDefault="00C72046" w:rsidP="00C72046">
      <w:pPr>
        <w:pStyle w:val="TextoNormalSangraFrancesa"/>
        <w:rPr>
          <w:rStyle w:val="TextoNormalCaracter"/>
        </w:rPr>
      </w:pPr>
      <w:bookmarkStart w:id="1213" w:name="DESCRIPTORALFABETICO229"/>
      <w:r w:rsidRPr="00C72046">
        <w:rPr>
          <w:rStyle w:val="TextoNormalNegritaCaracter"/>
        </w:rPr>
        <w:t xml:space="preserve">Votos particulares, formulados dos </w:t>
      </w:r>
      <w:bookmarkEnd w:id="1213"/>
      <w:r w:rsidRPr="00C72046">
        <w:rPr>
          <w:rStyle w:val="TextoNormalCaracter"/>
        </w:rPr>
        <w:t xml:space="preserve">, Sentencias </w:t>
      </w:r>
      <w:hyperlink w:anchor="SENTENCIA_2025_12" w:history="1">
        <w:r w:rsidRPr="00C72046">
          <w:rPr>
            <w:rStyle w:val="TextoNormalCaracter"/>
          </w:rPr>
          <w:t>12/2025</w:t>
        </w:r>
      </w:hyperlink>
      <w:r w:rsidRPr="00C72046">
        <w:rPr>
          <w:rStyle w:val="TextoNormalCaracter"/>
        </w:rPr>
        <w:t xml:space="preserve">; </w:t>
      </w:r>
      <w:hyperlink w:anchor="SENTENCIA_2025_25" w:history="1">
        <w:r w:rsidRPr="00C72046">
          <w:rPr>
            <w:rStyle w:val="TextoNormalCaracter"/>
          </w:rPr>
          <w:t>25/2025</w:t>
        </w:r>
      </w:hyperlink>
      <w:r w:rsidRPr="00C72046">
        <w:rPr>
          <w:rStyle w:val="TextoNormalCaracter"/>
        </w:rPr>
        <w:t xml:space="preserve">; </w:t>
      </w:r>
      <w:hyperlink w:anchor="SENTENCIA_2025_26" w:history="1">
        <w:r w:rsidRPr="00C72046">
          <w:rPr>
            <w:rStyle w:val="TextoNormalCaracter"/>
          </w:rPr>
          <w:t>26/2025</w:t>
        </w:r>
      </w:hyperlink>
      <w:r w:rsidRPr="00C72046">
        <w:rPr>
          <w:rStyle w:val="TextoNormalCaracter"/>
        </w:rPr>
        <w:t xml:space="preserve">; </w:t>
      </w:r>
      <w:hyperlink w:anchor="SENTENCIA_2025_87" w:history="1">
        <w:r w:rsidRPr="00C72046">
          <w:rPr>
            <w:rStyle w:val="TextoNormalCaracter"/>
          </w:rPr>
          <w:t>87/2025</w:t>
        </w:r>
      </w:hyperlink>
      <w:r w:rsidRPr="00C72046">
        <w:rPr>
          <w:rStyle w:val="TextoNormalCaracter"/>
        </w:rPr>
        <w:t xml:space="preserve">; </w:t>
      </w:r>
      <w:hyperlink w:anchor="SENTENCIA_2025_110" w:history="1">
        <w:r w:rsidRPr="00C72046">
          <w:rPr>
            <w:rStyle w:val="TextoNormalCaracter"/>
          </w:rPr>
          <w:t>110/2025</w:t>
        </w:r>
      </w:hyperlink>
      <w:r w:rsidRPr="00C72046">
        <w:rPr>
          <w:rStyle w:val="TextoNormalCaracter"/>
        </w:rPr>
        <w:t>.</w:t>
      </w:r>
    </w:p>
    <w:p w14:paraId="25A203B9" w14:textId="456753FE" w:rsidR="00C72046" w:rsidRPr="00C72046" w:rsidRDefault="00C72046" w:rsidP="00C72046">
      <w:pPr>
        <w:pStyle w:val="TextoNormalSangraFrancesa"/>
        <w:rPr>
          <w:rStyle w:val="TextoNormalCaracter"/>
        </w:rPr>
      </w:pPr>
      <w:r w:rsidRPr="00C72046">
        <w:rPr>
          <w:rStyle w:val="TextoNormalCaracter"/>
        </w:rPr>
        <w:t xml:space="preserve">    Autos </w:t>
      </w:r>
      <w:hyperlink w:anchor="AUTO_2025_6" w:history="1">
        <w:r w:rsidRPr="00C72046">
          <w:rPr>
            <w:rStyle w:val="TextoNormalCaracter"/>
          </w:rPr>
          <w:t>6/2025</w:t>
        </w:r>
      </w:hyperlink>
      <w:r w:rsidRPr="00C72046">
        <w:rPr>
          <w:rStyle w:val="TextoNormalCaracter"/>
        </w:rPr>
        <w:t xml:space="preserve">; </w:t>
      </w:r>
      <w:hyperlink w:anchor="AUTO_2025_35" w:history="1">
        <w:r w:rsidRPr="00C72046">
          <w:rPr>
            <w:rStyle w:val="TextoNormalCaracter"/>
          </w:rPr>
          <w:t>35/2025</w:t>
        </w:r>
      </w:hyperlink>
      <w:r w:rsidRPr="00C72046">
        <w:rPr>
          <w:rStyle w:val="TextoNormalCaracter"/>
        </w:rPr>
        <w:t>, VP.</w:t>
      </w:r>
    </w:p>
    <w:p w14:paraId="5104E928" w14:textId="36FA8EFC" w:rsidR="00C72046" w:rsidRPr="00C72046" w:rsidRDefault="00C72046" w:rsidP="00C72046">
      <w:pPr>
        <w:pStyle w:val="TextoNormalSangraFrancesa"/>
        <w:rPr>
          <w:rStyle w:val="TextoNormalCaracter"/>
        </w:rPr>
      </w:pPr>
      <w:bookmarkStart w:id="1214" w:name="DESCRIPTORALFABETICO230"/>
      <w:r w:rsidRPr="00C72046">
        <w:rPr>
          <w:rStyle w:val="TextoNormalNegritaCaracter"/>
        </w:rPr>
        <w:t>Votos particulares, formulados tres</w:t>
      </w:r>
      <w:bookmarkEnd w:id="1214"/>
      <w:r w:rsidRPr="00C72046">
        <w:rPr>
          <w:rStyle w:val="TextoNormalCaracter"/>
        </w:rPr>
        <w:t xml:space="preserve">, Sentencias </w:t>
      </w:r>
      <w:hyperlink w:anchor="SENTENCIA_2025_40" w:history="1">
        <w:r w:rsidRPr="00C72046">
          <w:rPr>
            <w:rStyle w:val="TextoNormalCaracter"/>
          </w:rPr>
          <w:t>40/2025</w:t>
        </w:r>
      </w:hyperlink>
      <w:r w:rsidRPr="00C72046">
        <w:rPr>
          <w:rStyle w:val="TextoNormalCaracter"/>
        </w:rPr>
        <w:t xml:space="preserve">; </w:t>
      </w:r>
      <w:hyperlink w:anchor="SENTENCIA_2025_62" w:history="1">
        <w:r w:rsidRPr="00C72046">
          <w:rPr>
            <w:rStyle w:val="TextoNormalCaracter"/>
          </w:rPr>
          <w:t>62/2025</w:t>
        </w:r>
      </w:hyperlink>
      <w:r w:rsidRPr="00C72046">
        <w:rPr>
          <w:rStyle w:val="TextoNormalCaracter"/>
        </w:rPr>
        <w:t xml:space="preserve">, VP I, VP II, VP III; </w:t>
      </w:r>
      <w:hyperlink w:anchor="SENTENCIA_2025_105" w:history="1">
        <w:r w:rsidRPr="00C72046">
          <w:rPr>
            <w:rStyle w:val="TextoNormalCaracter"/>
          </w:rPr>
          <w:t>105/2025</w:t>
        </w:r>
      </w:hyperlink>
      <w:r w:rsidRPr="00C72046">
        <w:rPr>
          <w:rStyle w:val="TextoNormalCaracter"/>
        </w:rPr>
        <w:t>.</w:t>
      </w:r>
    </w:p>
    <w:p w14:paraId="0C4F047D" w14:textId="62F5ECFA" w:rsidR="00C72046" w:rsidRPr="00C72046" w:rsidRDefault="00C72046" w:rsidP="00C72046">
      <w:pPr>
        <w:pStyle w:val="TextoNormalSangraFrancesa"/>
        <w:rPr>
          <w:rStyle w:val="TextoNormalCaracter"/>
        </w:rPr>
      </w:pPr>
      <w:r w:rsidRPr="00C72046">
        <w:rPr>
          <w:rStyle w:val="TextoNormalCaracter"/>
        </w:rPr>
        <w:t xml:space="preserve">    Autos </w:t>
      </w:r>
      <w:hyperlink w:anchor="AUTO_2025_12" w:history="1">
        <w:r w:rsidRPr="00C72046">
          <w:rPr>
            <w:rStyle w:val="TextoNormalCaracter"/>
          </w:rPr>
          <w:t>12/2025</w:t>
        </w:r>
      </w:hyperlink>
      <w:r w:rsidRPr="00C72046">
        <w:rPr>
          <w:rStyle w:val="TextoNormalCaracter"/>
        </w:rPr>
        <w:t xml:space="preserve">; </w:t>
      </w:r>
      <w:hyperlink w:anchor="AUTO_2025_64" w:history="1">
        <w:r w:rsidRPr="00C72046">
          <w:rPr>
            <w:rStyle w:val="TextoNormalCaracter"/>
          </w:rPr>
          <w:t>64/2025</w:t>
        </w:r>
      </w:hyperlink>
      <w:r w:rsidRPr="00C72046">
        <w:rPr>
          <w:rStyle w:val="TextoNormalCaracter"/>
        </w:rPr>
        <w:t>.</w:t>
      </w:r>
    </w:p>
    <w:p w14:paraId="169E772D" w14:textId="4A366509" w:rsidR="00C72046" w:rsidRDefault="00C72046">
      <w:pPr>
        <w:spacing w:after="160" w:line="278" w:lineRule="auto"/>
        <w:rPr>
          <w:rFonts w:ascii="Times New Roman" w:eastAsia="Times New Roman" w:hAnsi="Times New Roman" w:cs="Times New Roman"/>
          <w:sz w:val="24"/>
          <w:szCs w:val="24"/>
          <w:lang w:eastAsia="es-ES"/>
        </w:rPr>
      </w:pPr>
      <w:r>
        <w:br w:type="page"/>
      </w:r>
    </w:p>
    <w:p w14:paraId="23CEF2B9" w14:textId="77777777" w:rsidR="00C72046" w:rsidRDefault="00C72046" w:rsidP="00C72046">
      <w:pPr>
        <w:pStyle w:val="TextoNormalSangraFrancesa"/>
      </w:pPr>
    </w:p>
    <w:p w14:paraId="44108AC4" w14:textId="77777777" w:rsidR="00CE0C2D" w:rsidRDefault="00CE0C2D" w:rsidP="00CE0C2D">
      <w:pPr>
        <w:pStyle w:val="TextoNormalSangraFrancesa"/>
      </w:pPr>
    </w:p>
    <w:p w14:paraId="592CD884" w14:textId="77777777" w:rsidR="00CE0C2D" w:rsidRDefault="00CE0C2D" w:rsidP="00CE0C2D">
      <w:pPr>
        <w:pStyle w:val="TextoNormalSangraFrancesa"/>
      </w:pPr>
    </w:p>
    <w:p w14:paraId="14855ED6" w14:textId="77777777" w:rsidR="00CE0C2D" w:rsidRDefault="00CE0C2D" w:rsidP="00CE0C2D">
      <w:pPr>
        <w:pStyle w:val="TextoNormalSangraFrancesa"/>
      </w:pPr>
    </w:p>
    <w:p w14:paraId="566E4119" w14:textId="77777777" w:rsidR="00CE0C2D" w:rsidRDefault="00CE0C2D" w:rsidP="00CE0C2D">
      <w:pPr>
        <w:pStyle w:val="TextoNormalSangraFrancesa"/>
      </w:pPr>
    </w:p>
    <w:p w14:paraId="2AE4D2EC" w14:textId="77777777" w:rsidR="00CE0C2D" w:rsidRDefault="00CE0C2D" w:rsidP="00CE0C2D">
      <w:pPr>
        <w:pStyle w:val="TextoNormalSangraFrancesa"/>
      </w:pPr>
    </w:p>
    <w:p w14:paraId="6B9E1770" w14:textId="77777777" w:rsidR="00CE0C2D" w:rsidRDefault="00CE0C2D" w:rsidP="00CE0C2D">
      <w:pPr>
        <w:pStyle w:val="TextoNormalSangraFrancesa"/>
      </w:pPr>
    </w:p>
    <w:p w14:paraId="3E16C73C" w14:textId="77777777" w:rsidR="00CE0C2D" w:rsidRDefault="00CE0C2D" w:rsidP="00CE0C2D">
      <w:pPr>
        <w:pStyle w:val="TextoNormalSangraFrancesa"/>
      </w:pPr>
    </w:p>
    <w:p w14:paraId="3877BCAC" w14:textId="77777777" w:rsidR="00CE0C2D" w:rsidRDefault="00CE0C2D" w:rsidP="00CE0C2D">
      <w:pPr>
        <w:pStyle w:val="Ttulondice"/>
      </w:pPr>
      <w:bookmarkStart w:id="1215" w:name="ACRONIMOS"/>
      <w:r>
        <w:t>8. ABREVIATURAS Y ACRÓNIMOS</w:t>
      </w:r>
    </w:p>
    <w:bookmarkEnd w:id="1215"/>
    <w:p w14:paraId="36E8DA20" w14:textId="1E04C7F5" w:rsidR="00CE0C2D" w:rsidRDefault="00CE0C2D" w:rsidP="00CE0C2D">
      <w:pPr>
        <w:pStyle w:val="Ttulondice"/>
      </w:pPr>
    </w:p>
    <w:p w14:paraId="34FA8EF4" w14:textId="77777777" w:rsidR="00CE0C2D" w:rsidRDefault="00CE0C2D" w:rsidP="00CE0C2D">
      <w:pPr>
        <w:pStyle w:val="Ttulondice"/>
      </w:pPr>
    </w:p>
    <w:p w14:paraId="5544B88A" w14:textId="77777777" w:rsidR="00CE0C2D" w:rsidRDefault="00CE0C2D" w:rsidP="00CE0C2D">
      <w:pPr>
        <w:pStyle w:val="Ttulondice"/>
      </w:pPr>
    </w:p>
    <w:p w14:paraId="76E27614" w14:textId="77777777" w:rsidR="00CE0C2D" w:rsidRDefault="00CE0C2D" w:rsidP="00CE0C2D">
      <w:pPr>
        <w:pStyle w:val="Ttulondice"/>
      </w:pPr>
    </w:p>
    <w:p w14:paraId="2711AF2E" w14:textId="77777777" w:rsidR="00CE0C2D" w:rsidRDefault="00CE0C2D" w:rsidP="00CE0C2D">
      <w:pPr>
        <w:pStyle w:val="TextoAbreviaturas"/>
      </w:pPr>
      <w:r>
        <w:t>§</w:t>
      </w:r>
      <w:r>
        <w:tab/>
        <w:t>Parágrafo (usual en SSTEDH)</w:t>
      </w:r>
    </w:p>
    <w:p w14:paraId="11A0EEEF" w14:textId="77777777" w:rsidR="00CE0C2D" w:rsidRDefault="00CE0C2D" w:rsidP="00CE0C2D">
      <w:pPr>
        <w:pStyle w:val="TextoAbreviaturas"/>
      </w:pPr>
      <w:r>
        <w:t>AEAT</w:t>
      </w:r>
      <w:r>
        <w:tab/>
        <w:t>Agencia estatal de la administración tributaria</w:t>
      </w:r>
    </w:p>
    <w:p w14:paraId="53C35F66" w14:textId="77777777" w:rsidR="00CE0C2D" w:rsidRDefault="00CE0C2D" w:rsidP="00CE0C2D">
      <w:pPr>
        <w:pStyle w:val="TextoAbreviaturas"/>
      </w:pPr>
      <w:r>
        <w:t>AENA</w:t>
      </w:r>
      <w:r>
        <w:tab/>
        <w:t>Aeropuertos Españoles y Navegación Aérea</w:t>
      </w:r>
    </w:p>
    <w:p w14:paraId="01F0CDA6" w14:textId="77777777" w:rsidR="00CE0C2D" w:rsidRDefault="00CE0C2D" w:rsidP="00CE0C2D">
      <w:pPr>
        <w:pStyle w:val="TextoAbreviaturas"/>
      </w:pPr>
      <w:r>
        <w:t>APM</w:t>
      </w:r>
      <w:r>
        <w:tab/>
        <w:t>Asociación Profesional de la Magistratura</w:t>
      </w:r>
    </w:p>
    <w:p w14:paraId="1FC8CDB9" w14:textId="77777777" w:rsidR="00CE0C2D" w:rsidRDefault="00CE0C2D" w:rsidP="00CE0C2D">
      <w:pPr>
        <w:pStyle w:val="TextoAbreviaturas"/>
      </w:pPr>
      <w:r>
        <w:t>ATC</w:t>
      </w:r>
      <w:r>
        <w:tab/>
        <w:t>Auto del Tribunal Constitucional</w:t>
      </w:r>
    </w:p>
    <w:p w14:paraId="49D7CA44" w14:textId="77777777" w:rsidR="00CE0C2D" w:rsidRDefault="00CE0C2D" w:rsidP="00CE0C2D">
      <w:pPr>
        <w:pStyle w:val="TextoAbreviaturas"/>
      </w:pPr>
      <w:r>
        <w:t>ATS</w:t>
      </w:r>
      <w:r>
        <w:tab/>
        <w:t>Auto del Tribunal Supremo</w:t>
      </w:r>
    </w:p>
    <w:p w14:paraId="325CD5BF" w14:textId="77777777" w:rsidR="00CE0C2D" w:rsidRDefault="00CE0C2D" w:rsidP="00CE0C2D">
      <w:pPr>
        <w:pStyle w:val="TextoAbreviaturas"/>
      </w:pPr>
      <w:r>
        <w:t>BBVA</w:t>
      </w:r>
      <w:r>
        <w:tab/>
        <w:t>Banco Bilbao Vizcaya Argentaria</w:t>
      </w:r>
    </w:p>
    <w:p w14:paraId="204E6217" w14:textId="77777777" w:rsidR="00CE0C2D" w:rsidRDefault="00CE0C2D" w:rsidP="00CE0C2D">
      <w:pPr>
        <w:pStyle w:val="TextoAbreviaturas"/>
      </w:pPr>
      <w:r>
        <w:t>BOE</w:t>
      </w:r>
      <w:r>
        <w:tab/>
        <w:t>Boletín Oficial del Estado</w:t>
      </w:r>
    </w:p>
    <w:p w14:paraId="7FB4A53A" w14:textId="77777777" w:rsidR="00CE0C2D" w:rsidRDefault="00CE0C2D" w:rsidP="00CE0C2D">
      <w:pPr>
        <w:pStyle w:val="TextoAbreviaturas"/>
      </w:pPr>
      <w:r>
        <w:t>BOJA</w:t>
      </w:r>
      <w:r>
        <w:tab/>
        <w:t>Boletín Oficial de la Junta de Andalucía</w:t>
      </w:r>
    </w:p>
    <w:p w14:paraId="621AE3B2" w14:textId="77777777" w:rsidR="00CE0C2D" w:rsidRDefault="00CE0C2D" w:rsidP="00CE0C2D">
      <w:pPr>
        <w:pStyle w:val="TextoAbreviaturas"/>
      </w:pPr>
      <w:r>
        <w:t>BORM</w:t>
      </w:r>
      <w:r>
        <w:tab/>
        <w:t>Boletín Oficial de la Región de Murcia</w:t>
      </w:r>
    </w:p>
    <w:p w14:paraId="4C304C3A" w14:textId="77777777" w:rsidR="00CE0C2D" w:rsidRDefault="00CE0C2D" w:rsidP="00CE0C2D">
      <w:pPr>
        <w:pStyle w:val="TextoAbreviaturas"/>
      </w:pPr>
      <w:r>
        <w:t>CC</w:t>
      </w:r>
      <w:r>
        <w:tab/>
        <w:t>Código civil</w:t>
      </w:r>
    </w:p>
    <w:p w14:paraId="25D844CA" w14:textId="77777777" w:rsidR="00CE0C2D" w:rsidRDefault="00CE0C2D" w:rsidP="00CE0C2D">
      <w:pPr>
        <w:pStyle w:val="TextoAbreviaturas"/>
      </w:pPr>
      <w:r>
        <w:t>CDFUE</w:t>
      </w:r>
      <w:r>
        <w:tab/>
        <w:t>Carta de los derechos fundamentales de la Unión Europea</w:t>
      </w:r>
    </w:p>
    <w:p w14:paraId="70C9DDC7" w14:textId="77777777" w:rsidR="00CE0C2D" w:rsidRDefault="00CE0C2D" w:rsidP="00CE0C2D">
      <w:pPr>
        <w:pStyle w:val="TextoAbreviaturas"/>
      </w:pPr>
      <w:r>
        <w:t>CE</w:t>
      </w:r>
      <w:r>
        <w:tab/>
        <w:t>Constitución española</w:t>
      </w:r>
    </w:p>
    <w:p w14:paraId="36EED1CF" w14:textId="77777777" w:rsidR="00CE0C2D" w:rsidRDefault="00CE0C2D" w:rsidP="00CE0C2D">
      <w:pPr>
        <w:pStyle w:val="TextoAbreviaturas"/>
      </w:pPr>
      <w:r>
        <w:t>CEDH</w:t>
      </w:r>
      <w:r>
        <w:tab/>
        <w:t>Convenio europeo para la protección de los derechos humanos y de las libertades fundamentales</w:t>
      </w:r>
    </w:p>
    <w:p w14:paraId="50FE137B" w14:textId="77777777" w:rsidR="00CE0C2D" w:rsidRDefault="00CE0C2D" w:rsidP="00CE0C2D">
      <w:pPr>
        <w:pStyle w:val="TextoAbreviaturas"/>
      </w:pPr>
      <w:r>
        <w:t>CEE</w:t>
      </w:r>
      <w:r>
        <w:tab/>
        <w:t>Comunidad Económica Europea</w:t>
      </w:r>
    </w:p>
    <w:p w14:paraId="0C79292D" w14:textId="77777777" w:rsidR="00CE0C2D" w:rsidRDefault="00CE0C2D" w:rsidP="00CE0C2D">
      <w:pPr>
        <w:pStyle w:val="TextoAbreviaturas"/>
      </w:pPr>
      <w:r>
        <w:t>CGPJ</w:t>
      </w:r>
      <w:r>
        <w:tab/>
        <w:t>Consejo General del Poder Judicial</w:t>
      </w:r>
    </w:p>
    <w:p w14:paraId="7B422FE0" w14:textId="77777777" w:rsidR="00CE0C2D" w:rsidRDefault="00CE0C2D" w:rsidP="00CE0C2D">
      <w:pPr>
        <w:pStyle w:val="TextoAbreviaturas"/>
      </w:pPr>
      <w:r>
        <w:t>CP</w:t>
      </w:r>
      <w:r>
        <w:tab/>
        <w:t>Código penal</w:t>
      </w:r>
    </w:p>
    <w:p w14:paraId="6DD98CCB" w14:textId="77777777" w:rsidR="00CE0C2D" w:rsidRDefault="00CE0C2D" w:rsidP="00CE0C2D">
      <w:pPr>
        <w:pStyle w:val="TextoAbreviaturas"/>
      </w:pPr>
      <w:r>
        <w:t>DOCM</w:t>
      </w:r>
      <w:r>
        <w:tab/>
        <w:t>Diario Oficial de Castilla-La Mancha</w:t>
      </w:r>
    </w:p>
    <w:p w14:paraId="456912C6" w14:textId="77777777" w:rsidR="00CE0C2D" w:rsidRDefault="00CE0C2D" w:rsidP="00CE0C2D">
      <w:pPr>
        <w:pStyle w:val="TextoAbreviaturas"/>
      </w:pPr>
      <w:r>
        <w:t>DOGC</w:t>
      </w:r>
      <w:r>
        <w:tab/>
        <w:t>Diario Oficial de la Generalidad de Cataluña</w:t>
      </w:r>
    </w:p>
    <w:p w14:paraId="612E7BAA" w14:textId="77777777" w:rsidR="00CE0C2D" w:rsidRDefault="00CE0C2D" w:rsidP="00CE0C2D">
      <w:pPr>
        <w:pStyle w:val="TextoAbreviaturas"/>
      </w:pPr>
      <w:r>
        <w:t>EAAnd</w:t>
      </w:r>
      <w:r>
        <w:tab/>
        <w:t>Estatuto de Autonomía para Andalucía</w:t>
      </w:r>
    </w:p>
    <w:p w14:paraId="2286F5DD" w14:textId="77777777" w:rsidR="00CE0C2D" w:rsidRDefault="00CE0C2D" w:rsidP="00CE0C2D">
      <w:pPr>
        <w:pStyle w:val="TextoAbreviaturas"/>
      </w:pPr>
      <w:r>
        <w:t>EAC</w:t>
      </w:r>
      <w:r>
        <w:tab/>
        <w:t>Estatuto de Autonomía de Cataluña</w:t>
      </w:r>
    </w:p>
    <w:p w14:paraId="6DFC2AF4" w14:textId="77777777" w:rsidR="00CE0C2D" w:rsidRDefault="00CE0C2D" w:rsidP="00CE0C2D">
      <w:pPr>
        <w:pStyle w:val="TextoAbreviaturas"/>
      </w:pPr>
      <w:r>
        <w:t>EACan</w:t>
      </w:r>
      <w:r>
        <w:tab/>
        <w:t>Estatuto de Autonomía de Canarias</w:t>
      </w:r>
    </w:p>
    <w:p w14:paraId="77860A79" w14:textId="77777777" w:rsidR="00CE0C2D" w:rsidRDefault="00CE0C2D" w:rsidP="00CE0C2D">
      <w:pPr>
        <w:pStyle w:val="TextoAbreviaturas"/>
      </w:pPr>
      <w:r>
        <w:t>EAIB</w:t>
      </w:r>
      <w:r>
        <w:tab/>
        <w:t>Estatuto de Autonomía de las Illes Balears</w:t>
      </w:r>
    </w:p>
    <w:p w14:paraId="17936556" w14:textId="77777777" w:rsidR="00CE0C2D" w:rsidRDefault="00CE0C2D" w:rsidP="00CE0C2D">
      <w:pPr>
        <w:pStyle w:val="TextoAbreviaturas"/>
      </w:pPr>
      <w:r>
        <w:t>EAM</w:t>
      </w:r>
      <w:r>
        <w:tab/>
        <w:t>Estatuto de Autonomía de la Comunidad de Madrid</w:t>
      </w:r>
    </w:p>
    <w:p w14:paraId="65F9EA61" w14:textId="77777777" w:rsidR="00CE0C2D" w:rsidRDefault="00CE0C2D" w:rsidP="00CE0C2D">
      <w:pPr>
        <w:pStyle w:val="TextoAbreviaturas"/>
      </w:pPr>
      <w:r>
        <w:t>EAPV</w:t>
      </w:r>
      <w:r>
        <w:tab/>
        <w:t>Estatuto de Autonomía para el País Vasco</w:t>
      </w:r>
    </w:p>
    <w:p w14:paraId="5B8AB3CB" w14:textId="77777777" w:rsidR="00CE0C2D" w:rsidRDefault="00CE0C2D" w:rsidP="00CE0C2D">
      <w:pPr>
        <w:pStyle w:val="TextoAbreviaturas"/>
      </w:pPr>
      <w:r>
        <w:t>ERC</w:t>
      </w:r>
      <w:r>
        <w:tab/>
        <w:t>Esquerra Republicana de Catalunya</w:t>
      </w:r>
    </w:p>
    <w:p w14:paraId="05D9D34F" w14:textId="77777777" w:rsidR="00CE0C2D" w:rsidRDefault="00CE0C2D" w:rsidP="00CE0C2D">
      <w:pPr>
        <w:pStyle w:val="TextoAbreviaturas"/>
      </w:pPr>
      <w:r>
        <w:t>ERE</w:t>
      </w:r>
      <w:r>
        <w:tab/>
        <w:t>Expediente de regulación de empleo</w:t>
      </w:r>
    </w:p>
    <w:p w14:paraId="197A5E63" w14:textId="77777777" w:rsidR="00CE0C2D" w:rsidRDefault="00CE0C2D" w:rsidP="00CE0C2D">
      <w:pPr>
        <w:pStyle w:val="TextoAbreviaturas"/>
      </w:pPr>
      <w:r>
        <w:t>ESO</w:t>
      </w:r>
      <w:r>
        <w:tab/>
        <w:t>Enseñanza Secundaria Obligatoria</w:t>
      </w:r>
    </w:p>
    <w:p w14:paraId="00896CC6" w14:textId="77777777" w:rsidR="00CE0C2D" w:rsidRDefault="00CE0C2D" w:rsidP="00CE0C2D">
      <w:pPr>
        <w:pStyle w:val="TextoAbreviaturas"/>
      </w:pPr>
      <w:r>
        <w:t>ETA</w:t>
      </w:r>
      <w:r>
        <w:tab/>
        <w:t>Euskadi Ta Askatasuna</w:t>
      </w:r>
    </w:p>
    <w:p w14:paraId="25B78740" w14:textId="77777777" w:rsidR="00CE0C2D" w:rsidRDefault="00CE0C2D" w:rsidP="00CE0C2D">
      <w:pPr>
        <w:pStyle w:val="TextoAbreviaturas"/>
      </w:pPr>
      <w:r>
        <w:t>FJ</w:t>
      </w:r>
      <w:r>
        <w:tab/>
        <w:t>Fundamento jurídico</w:t>
      </w:r>
    </w:p>
    <w:p w14:paraId="4B34B1DB" w14:textId="77777777" w:rsidR="00CE0C2D" w:rsidRDefault="00CE0C2D" w:rsidP="00CE0C2D">
      <w:pPr>
        <w:pStyle w:val="TextoAbreviaturas"/>
      </w:pPr>
      <w:r>
        <w:t>FMI</w:t>
      </w:r>
      <w:r>
        <w:tab/>
        <w:t>Fondo Monetario Internacional</w:t>
      </w:r>
    </w:p>
    <w:p w14:paraId="35382BAD" w14:textId="77777777" w:rsidR="00CE0C2D" w:rsidRDefault="00CE0C2D" w:rsidP="00CE0C2D">
      <w:pPr>
        <w:pStyle w:val="TextoAbreviaturas"/>
      </w:pPr>
      <w:r>
        <w:t>IBI</w:t>
      </w:r>
      <w:r>
        <w:tab/>
        <w:t>Impuesto sobre bienes inmuebles</w:t>
      </w:r>
    </w:p>
    <w:p w14:paraId="4BE54B77" w14:textId="77777777" w:rsidR="00CE0C2D" w:rsidRDefault="00CE0C2D" w:rsidP="00CE0C2D">
      <w:pPr>
        <w:pStyle w:val="TextoAbreviaturas"/>
      </w:pPr>
      <w:r>
        <w:t>IIVTNU</w:t>
      </w:r>
      <w:r>
        <w:tab/>
        <w:t>Impuesto sobre el incremento del valor de los terrenos de naturaleza urbana</w:t>
      </w:r>
    </w:p>
    <w:p w14:paraId="353DF39D" w14:textId="77777777" w:rsidR="00CE0C2D" w:rsidRDefault="00CE0C2D" w:rsidP="00CE0C2D">
      <w:pPr>
        <w:pStyle w:val="TextoAbreviaturas"/>
      </w:pPr>
      <w:r>
        <w:t>INE</w:t>
      </w:r>
      <w:r>
        <w:tab/>
        <w:t>Instituto Nacional de Estadística</w:t>
      </w:r>
    </w:p>
    <w:p w14:paraId="6821641E" w14:textId="77777777" w:rsidR="00CE0C2D" w:rsidRDefault="00CE0C2D" w:rsidP="00CE0C2D">
      <w:pPr>
        <w:pStyle w:val="TextoAbreviaturas"/>
      </w:pPr>
      <w:r>
        <w:t>INSS</w:t>
      </w:r>
      <w:r>
        <w:tab/>
        <w:t>Instituto Nacional de la Seguridad Social</w:t>
      </w:r>
    </w:p>
    <w:p w14:paraId="74D3AC9E" w14:textId="77777777" w:rsidR="00CE0C2D" w:rsidRDefault="00CE0C2D" w:rsidP="00CE0C2D">
      <w:pPr>
        <w:pStyle w:val="TextoAbreviaturas"/>
      </w:pPr>
      <w:r>
        <w:t>IRYDA</w:t>
      </w:r>
      <w:r>
        <w:tab/>
        <w:t>Instituto para la reforma y desarrollo agrario</w:t>
      </w:r>
    </w:p>
    <w:p w14:paraId="68B90822" w14:textId="77777777" w:rsidR="00CE0C2D" w:rsidRDefault="00CE0C2D" w:rsidP="00CE0C2D">
      <w:pPr>
        <w:pStyle w:val="TextoAbreviaturas"/>
      </w:pPr>
      <w:r>
        <w:t>IVA</w:t>
      </w:r>
      <w:r>
        <w:tab/>
        <w:t>Impuesto sobre el valor añadido</w:t>
      </w:r>
    </w:p>
    <w:p w14:paraId="71C12152" w14:textId="77777777" w:rsidR="00CE0C2D" w:rsidRDefault="00CE0C2D" w:rsidP="00CE0C2D">
      <w:pPr>
        <w:pStyle w:val="TextoAbreviaturas"/>
      </w:pPr>
      <w:r>
        <w:t>LAU</w:t>
      </w:r>
      <w:r>
        <w:tab/>
        <w:t>Ley de arrendamientos urbanos</w:t>
      </w:r>
    </w:p>
    <w:p w14:paraId="731FC62A" w14:textId="77777777" w:rsidR="00CE0C2D" w:rsidRDefault="00CE0C2D" w:rsidP="00CE0C2D">
      <w:pPr>
        <w:pStyle w:val="TextoAbreviaturas"/>
      </w:pPr>
      <w:r>
        <w:t>LBRL</w:t>
      </w:r>
      <w:r>
        <w:tab/>
        <w:t>Ley reguladora de las bases de régimen local</w:t>
      </w:r>
    </w:p>
    <w:p w14:paraId="3A9E5790" w14:textId="77777777" w:rsidR="00CE0C2D" w:rsidRDefault="00CE0C2D" w:rsidP="00CE0C2D">
      <w:pPr>
        <w:pStyle w:val="TextoAbreviaturas"/>
      </w:pPr>
      <w:r>
        <w:t>LCSP</w:t>
      </w:r>
      <w:r>
        <w:tab/>
        <w:t>Ley de contratos del sector público</w:t>
      </w:r>
    </w:p>
    <w:p w14:paraId="22710F77" w14:textId="77777777" w:rsidR="00CE0C2D" w:rsidRDefault="00CE0C2D" w:rsidP="00CE0C2D">
      <w:pPr>
        <w:pStyle w:val="TextoAbreviaturas"/>
      </w:pPr>
      <w:r>
        <w:t>LEC</w:t>
      </w:r>
      <w:r>
        <w:tab/>
        <w:t>Ley de enjuiciamiento civil</w:t>
      </w:r>
    </w:p>
    <w:p w14:paraId="71576E98" w14:textId="77777777" w:rsidR="00CE0C2D" w:rsidRDefault="00CE0C2D" w:rsidP="00CE0C2D">
      <w:pPr>
        <w:pStyle w:val="TextoAbreviaturas"/>
      </w:pPr>
      <w:r>
        <w:t>LECrim</w:t>
      </w:r>
      <w:r>
        <w:tab/>
        <w:t>Ley de enjuiciamiento criminal</w:t>
      </w:r>
    </w:p>
    <w:p w14:paraId="0C12F2A9" w14:textId="77777777" w:rsidR="00CE0C2D" w:rsidRDefault="00CE0C2D" w:rsidP="00CE0C2D">
      <w:pPr>
        <w:pStyle w:val="TextoAbreviaturas"/>
      </w:pPr>
      <w:r>
        <w:t>LEEP</w:t>
      </w:r>
      <w:r>
        <w:tab/>
        <w:t>Ley del estatuto básico del empleado público</w:t>
      </w:r>
    </w:p>
    <w:p w14:paraId="096999E5" w14:textId="77777777" w:rsidR="00CE0C2D" w:rsidRDefault="00CE0C2D" w:rsidP="00CE0C2D">
      <w:pPr>
        <w:pStyle w:val="TextoAbreviaturas"/>
      </w:pPr>
      <w:r>
        <w:t>LET</w:t>
      </w:r>
      <w:r>
        <w:tab/>
        <w:t>Ley del estatuto de los trabajadores</w:t>
      </w:r>
    </w:p>
    <w:p w14:paraId="2926898C" w14:textId="77777777" w:rsidR="00CE0C2D" w:rsidRDefault="00CE0C2D" w:rsidP="00CE0C2D">
      <w:pPr>
        <w:pStyle w:val="TextoAbreviaturas"/>
      </w:pPr>
      <w:r>
        <w:t>LFTCu</w:t>
      </w:r>
      <w:r>
        <w:tab/>
        <w:t>Ley de funcionamiento del Tribunal de Cuentas</w:t>
      </w:r>
    </w:p>
    <w:p w14:paraId="7408B8A6" w14:textId="77777777" w:rsidR="00CE0C2D" w:rsidRDefault="00CE0C2D" w:rsidP="00CE0C2D">
      <w:pPr>
        <w:pStyle w:val="TextoAbreviaturas"/>
      </w:pPr>
      <w:r>
        <w:t>LGS</w:t>
      </w:r>
      <w:r>
        <w:tab/>
        <w:t>Ley general de sanidad</w:t>
      </w:r>
    </w:p>
    <w:p w14:paraId="6E524E24" w14:textId="77777777" w:rsidR="00CE0C2D" w:rsidRDefault="00CE0C2D" w:rsidP="00CE0C2D">
      <w:pPr>
        <w:pStyle w:val="TextoAbreviaturas"/>
      </w:pPr>
      <w:r>
        <w:t>LGSS</w:t>
      </w:r>
      <w:r>
        <w:tab/>
        <w:t>Ley general de la Seguridad Social</w:t>
      </w:r>
    </w:p>
    <w:p w14:paraId="6ED563E9" w14:textId="77777777" w:rsidR="00CE0C2D" w:rsidRDefault="00CE0C2D" w:rsidP="00CE0C2D">
      <w:pPr>
        <w:pStyle w:val="TextoAbreviaturas"/>
      </w:pPr>
      <w:r>
        <w:t>LGT</w:t>
      </w:r>
      <w:r>
        <w:tab/>
        <w:t>Ley general tributaria</w:t>
      </w:r>
    </w:p>
    <w:p w14:paraId="0C16F1B1" w14:textId="77777777" w:rsidR="00CE0C2D" w:rsidRDefault="00CE0C2D" w:rsidP="00CE0C2D">
      <w:pPr>
        <w:pStyle w:val="TextoAbreviaturas"/>
      </w:pPr>
      <w:r>
        <w:t>LJCA</w:t>
      </w:r>
      <w:r>
        <w:tab/>
        <w:t>Ley reguladora de la jurisdicción contencioso-administrativa</w:t>
      </w:r>
    </w:p>
    <w:p w14:paraId="16348470" w14:textId="77777777" w:rsidR="00CE0C2D" w:rsidRDefault="00CE0C2D" w:rsidP="00CE0C2D">
      <w:pPr>
        <w:pStyle w:val="TextoAbreviaturas"/>
      </w:pPr>
      <w:r>
        <w:t>LJS</w:t>
      </w:r>
      <w:r>
        <w:tab/>
        <w:t>Ley reguladora de la jurisdicción social</w:t>
      </w:r>
    </w:p>
    <w:p w14:paraId="6549AA22" w14:textId="77777777" w:rsidR="00CE0C2D" w:rsidRDefault="00CE0C2D" w:rsidP="00CE0C2D">
      <w:pPr>
        <w:pStyle w:val="TextoAbreviaturas"/>
      </w:pPr>
      <w:r>
        <w:t>LOAES</w:t>
      </w:r>
      <w:r>
        <w:tab/>
        <w:t>Ley Orgánica de los estados de alarma, excepción y sitio</w:t>
      </w:r>
    </w:p>
    <w:p w14:paraId="62BF3FB5" w14:textId="77777777" w:rsidR="00CE0C2D" w:rsidRDefault="00CE0C2D" w:rsidP="00CE0C2D">
      <w:pPr>
        <w:pStyle w:val="TextoAbreviaturas"/>
      </w:pPr>
      <w:r>
        <w:t>LOAPA</w:t>
      </w:r>
      <w:r>
        <w:tab/>
        <w:t>Ley Orgánica de armonización del proceso autonómico</w:t>
      </w:r>
    </w:p>
    <w:p w14:paraId="4311CF82" w14:textId="77777777" w:rsidR="00CE0C2D" w:rsidRDefault="00CE0C2D" w:rsidP="00CE0C2D">
      <w:pPr>
        <w:pStyle w:val="TextoAbreviaturas"/>
      </w:pPr>
      <w:r>
        <w:t>LODH</w:t>
      </w:r>
      <w:r>
        <w:tab/>
        <w:t>Ley Orgánica de protección civil del derecho al honor, a la intimidad personal y familiar y a la propia imagen</w:t>
      </w:r>
    </w:p>
    <w:p w14:paraId="1D7DD7BB" w14:textId="77777777" w:rsidR="00CE0C2D" w:rsidRDefault="00CE0C2D" w:rsidP="00CE0C2D">
      <w:pPr>
        <w:pStyle w:val="TextoAbreviaturas"/>
      </w:pPr>
      <w:r>
        <w:t>LOE</w:t>
      </w:r>
      <w:r>
        <w:tab/>
        <w:t>Ley Orgánica de educación</w:t>
      </w:r>
    </w:p>
    <w:p w14:paraId="50723CEF" w14:textId="77777777" w:rsidR="00CE0C2D" w:rsidRDefault="00CE0C2D" w:rsidP="00CE0C2D">
      <w:pPr>
        <w:pStyle w:val="TextoAbreviaturas"/>
      </w:pPr>
      <w:r>
        <w:t>LOEx</w:t>
      </w:r>
      <w:r>
        <w:tab/>
        <w:t>Ley Orgánica sobre derechos y libertades de los extranjeros en España y su integración social</w:t>
      </w:r>
    </w:p>
    <w:p w14:paraId="72F71F4B" w14:textId="77777777" w:rsidR="00CE0C2D" w:rsidRDefault="00CE0C2D" w:rsidP="00CE0C2D">
      <w:pPr>
        <w:pStyle w:val="TextoAbreviaturas"/>
      </w:pPr>
      <w:r>
        <w:t>LOFCS</w:t>
      </w:r>
      <w:r>
        <w:tab/>
        <w:t>Ley Orgánica de las fuerzas y cuerpos de seguridad</w:t>
      </w:r>
    </w:p>
    <w:p w14:paraId="10175A6E" w14:textId="77777777" w:rsidR="00CE0C2D" w:rsidRDefault="00CE0C2D" w:rsidP="00CE0C2D">
      <w:pPr>
        <w:pStyle w:val="TextoAbreviaturas"/>
      </w:pPr>
      <w:r>
        <w:t>LOHC</w:t>
      </w:r>
      <w:r>
        <w:tab/>
        <w:t>Ley Orgánica de regulación del procedimiento de</w:t>
      </w:r>
      <w:r w:rsidRPr="00CE0C2D">
        <w:rPr>
          <w:rStyle w:val="TextoNormalCursivaCaracter"/>
        </w:rPr>
        <w:t xml:space="preserve"> habeas corpus</w:t>
      </w:r>
    </w:p>
    <w:p w14:paraId="50C98A03" w14:textId="77777777" w:rsidR="00CE0C2D" w:rsidRDefault="00CE0C2D" w:rsidP="00CE0C2D">
      <w:pPr>
        <w:pStyle w:val="TextoAbreviaturas"/>
      </w:pPr>
      <w:r>
        <w:t>LOLR</w:t>
      </w:r>
      <w:r>
        <w:tab/>
        <w:t>Ley Orgánica de libertad religiosa</w:t>
      </w:r>
    </w:p>
    <w:p w14:paraId="2DB5E682" w14:textId="77777777" w:rsidR="00CE0C2D" w:rsidRDefault="00CE0C2D" w:rsidP="00CE0C2D">
      <w:pPr>
        <w:pStyle w:val="TextoAbreviaturas"/>
      </w:pPr>
      <w:r>
        <w:t>LOPJ</w:t>
      </w:r>
      <w:r>
        <w:tab/>
        <w:t>Ley Orgánica del Poder Judicial</w:t>
      </w:r>
    </w:p>
    <w:p w14:paraId="5F877CA0" w14:textId="77777777" w:rsidR="00CE0C2D" w:rsidRDefault="00CE0C2D" w:rsidP="00CE0C2D">
      <w:pPr>
        <w:pStyle w:val="TextoAbreviaturas"/>
      </w:pPr>
      <w:r>
        <w:t>LOPSC</w:t>
      </w:r>
      <w:r>
        <w:tab/>
        <w:t>Ley Orgánica de protección de la seguridad ciudadana</w:t>
      </w:r>
    </w:p>
    <w:p w14:paraId="44AF1F7B" w14:textId="77777777" w:rsidR="00CE0C2D" w:rsidRDefault="00CE0C2D" w:rsidP="00CE0C2D">
      <w:pPr>
        <w:pStyle w:val="TextoAbreviaturas"/>
      </w:pPr>
      <w:r>
        <w:t>LOREG</w:t>
      </w:r>
      <w:r>
        <w:tab/>
        <w:t>Ley Orgánica del régimen electoral general</w:t>
      </w:r>
    </w:p>
    <w:p w14:paraId="53271DEF" w14:textId="77777777" w:rsidR="00CE0C2D" w:rsidRDefault="00CE0C2D" w:rsidP="00CE0C2D">
      <w:pPr>
        <w:pStyle w:val="TextoAbreviaturas"/>
      </w:pPr>
      <w:r>
        <w:t>LOTC</w:t>
      </w:r>
      <w:r>
        <w:tab/>
        <w:t>Ley Orgánica del Tribunal Constitucional</w:t>
      </w:r>
    </w:p>
    <w:p w14:paraId="4ACF0517" w14:textId="77777777" w:rsidR="00CE0C2D" w:rsidRDefault="00CE0C2D" w:rsidP="00CE0C2D">
      <w:pPr>
        <w:pStyle w:val="TextoAbreviaturas"/>
      </w:pPr>
      <w:r>
        <w:t>LOTCu</w:t>
      </w:r>
      <w:r>
        <w:tab/>
        <w:t>Ley Orgánica del Tribunal de Cuentas</w:t>
      </w:r>
    </w:p>
    <w:p w14:paraId="74280F5C" w14:textId="77777777" w:rsidR="00CE0C2D" w:rsidRDefault="00CE0C2D" w:rsidP="00CE0C2D">
      <w:pPr>
        <w:pStyle w:val="TextoAbreviaturas"/>
      </w:pPr>
      <w:r>
        <w:t>LPACAP</w:t>
      </w:r>
      <w:r>
        <w:tab/>
        <w:t>Ley del procedimiento administrativo común de las administraciones públicas</w:t>
      </w:r>
    </w:p>
    <w:p w14:paraId="69483774" w14:textId="77777777" w:rsidR="00CE0C2D" w:rsidRDefault="00CE0C2D" w:rsidP="00CE0C2D">
      <w:pPr>
        <w:pStyle w:val="TextoAbreviaturas"/>
      </w:pPr>
      <w:r>
        <w:t>LPL</w:t>
      </w:r>
      <w:r>
        <w:tab/>
        <w:t>Ley de procedimiento laboral</w:t>
      </w:r>
    </w:p>
    <w:p w14:paraId="6E24BB9B" w14:textId="77777777" w:rsidR="00CE0C2D" w:rsidRDefault="00CE0C2D" w:rsidP="00CE0C2D">
      <w:pPr>
        <w:pStyle w:val="TextoAbreviaturas"/>
      </w:pPr>
      <w:r>
        <w:t>LRJSP</w:t>
      </w:r>
      <w:r>
        <w:tab/>
        <w:t>Ley de régimen jurídico del sector público</w:t>
      </w:r>
    </w:p>
    <w:p w14:paraId="610195DA" w14:textId="77777777" w:rsidR="00CE0C2D" w:rsidRDefault="00CE0C2D" w:rsidP="00CE0C2D">
      <w:pPr>
        <w:pStyle w:val="TextoAbreviaturas"/>
      </w:pPr>
      <w:r>
        <w:t>OCDE</w:t>
      </w:r>
      <w:r>
        <w:tab/>
        <w:t>Organización para la Cooperación y Desarrollo Económico</w:t>
      </w:r>
    </w:p>
    <w:p w14:paraId="5EDC16F0" w14:textId="77777777" w:rsidR="00CE0C2D" w:rsidRDefault="00CE0C2D" w:rsidP="00CE0C2D">
      <w:pPr>
        <w:pStyle w:val="TextoAbreviaturas"/>
      </w:pPr>
      <w:r>
        <w:t>PDeCat</w:t>
      </w:r>
      <w:r>
        <w:tab/>
        <w:t>Partit Demòcrata</w:t>
      </w:r>
    </w:p>
    <w:p w14:paraId="60A846D9" w14:textId="77777777" w:rsidR="00CE0C2D" w:rsidRDefault="00CE0C2D" w:rsidP="00CE0C2D">
      <w:pPr>
        <w:pStyle w:val="TextoAbreviaturas"/>
      </w:pPr>
      <w:r>
        <w:t>PIDCP</w:t>
      </w:r>
      <w:r>
        <w:tab/>
        <w:t>Pacto internacional de derechos civiles y políticos</w:t>
      </w:r>
    </w:p>
    <w:p w14:paraId="035F56E9" w14:textId="77777777" w:rsidR="00CE0C2D" w:rsidRDefault="00CE0C2D" w:rsidP="00CE0C2D">
      <w:pPr>
        <w:pStyle w:val="TextoAbreviaturas"/>
      </w:pPr>
      <w:r>
        <w:t>PP</w:t>
      </w:r>
      <w:r>
        <w:tab/>
        <w:t>Partido Popular</w:t>
      </w:r>
    </w:p>
    <w:p w14:paraId="349048CC" w14:textId="77777777" w:rsidR="00CE0C2D" w:rsidRDefault="00CE0C2D" w:rsidP="00CE0C2D">
      <w:pPr>
        <w:pStyle w:val="TextoAbreviaturas"/>
      </w:pPr>
      <w:r>
        <w:t>PSOE</w:t>
      </w:r>
      <w:r>
        <w:tab/>
        <w:t>Partido Socialista Obrero Español</w:t>
      </w:r>
    </w:p>
    <w:p w14:paraId="12CD97AE" w14:textId="77777777" w:rsidR="00CE0C2D" w:rsidRDefault="00CE0C2D" w:rsidP="00CE0C2D">
      <w:pPr>
        <w:pStyle w:val="TextoAbreviaturas"/>
      </w:pPr>
      <w:r>
        <w:t>RCD</w:t>
      </w:r>
      <w:r>
        <w:tab/>
        <w:t>Reglamento del Congreso de los Diputados</w:t>
      </w:r>
    </w:p>
    <w:p w14:paraId="21933390" w14:textId="77777777" w:rsidR="00CE0C2D" w:rsidRDefault="00CE0C2D" w:rsidP="00CE0C2D">
      <w:pPr>
        <w:pStyle w:val="TextoAbreviaturas"/>
      </w:pPr>
      <w:r>
        <w:t>RH</w:t>
      </w:r>
      <w:r>
        <w:tab/>
        <w:t>Reglamento hipotecario</w:t>
      </w:r>
    </w:p>
    <w:p w14:paraId="0017A839" w14:textId="77777777" w:rsidR="00CE0C2D" w:rsidRDefault="00CE0C2D" w:rsidP="00CE0C2D">
      <w:pPr>
        <w:pStyle w:val="TextoAbreviaturas"/>
      </w:pPr>
      <w:r>
        <w:t>RP</w:t>
      </w:r>
      <w:r>
        <w:tab/>
        <w:t>Reglamento penitenciario</w:t>
      </w:r>
    </w:p>
    <w:p w14:paraId="18062471" w14:textId="77777777" w:rsidR="00CE0C2D" w:rsidRDefault="00CE0C2D" w:rsidP="00CE0C2D">
      <w:pPr>
        <w:pStyle w:val="TextoAbreviaturas"/>
      </w:pPr>
      <w:r>
        <w:t>RPC</w:t>
      </w:r>
      <w:r>
        <w:tab/>
        <w:t>Reglamento del Parlamento de Cataluña</w:t>
      </w:r>
    </w:p>
    <w:p w14:paraId="04EF6583" w14:textId="77777777" w:rsidR="00CE0C2D" w:rsidRDefault="00CE0C2D" w:rsidP="00CE0C2D">
      <w:pPr>
        <w:pStyle w:val="TextoAbreviaturas"/>
      </w:pPr>
      <w:r>
        <w:t>RPIB</w:t>
      </w:r>
      <w:r>
        <w:tab/>
        <w:t>Reglamento del Parlamento de las Illes Balears</w:t>
      </w:r>
    </w:p>
    <w:p w14:paraId="2926D3AB" w14:textId="77777777" w:rsidR="00CE0C2D" w:rsidRDefault="00CE0C2D" w:rsidP="00CE0C2D">
      <w:pPr>
        <w:pStyle w:val="TextoAbreviaturas"/>
      </w:pPr>
      <w:r>
        <w:t>RPR</w:t>
      </w:r>
      <w:r>
        <w:tab/>
        <w:t>Reglamento del Parlamento de La Rioja</w:t>
      </w:r>
    </w:p>
    <w:p w14:paraId="43BDFCDD" w14:textId="77777777" w:rsidR="00CE0C2D" w:rsidRDefault="00CE0C2D" w:rsidP="00CE0C2D">
      <w:pPr>
        <w:pStyle w:val="TextoAbreviaturas"/>
      </w:pPr>
      <w:r>
        <w:t>RPT</w:t>
      </w:r>
      <w:r>
        <w:tab/>
        <w:t>Relación de puestos de trabajo</w:t>
      </w:r>
    </w:p>
    <w:p w14:paraId="05F37F45" w14:textId="77777777" w:rsidR="00CE0C2D" w:rsidRDefault="00CE0C2D" w:rsidP="00CE0C2D">
      <w:pPr>
        <w:pStyle w:val="TextoAbreviaturas"/>
      </w:pPr>
      <w:r>
        <w:t>RPV</w:t>
      </w:r>
      <w:r>
        <w:tab/>
        <w:t>Reglamento del Parlamento Vasco</w:t>
      </w:r>
    </w:p>
    <w:p w14:paraId="7D979A30" w14:textId="77777777" w:rsidR="00CE0C2D" w:rsidRDefault="00CE0C2D" w:rsidP="00CE0C2D">
      <w:pPr>
        <w:pStyle w:val="TextoAbreviaturas"/>
      </w:pPr>
      <w:r>
        <w:t>RS</w:t>
      </w:r>
      <w:r>
        <w:tab/>
        <w:t>Reglamento del Senado</w:t>
      </w:r>
    </w:p>
    <w:p w14:paraId="6CAE6778" w14:textId="77777777" w:rsidR="00CE0C2D" w:rsidRDefault="00CE0C2D" w:rsidP="00CE0C2D">
      <w:pPr>
        <w:pStyle w:val="TextoAbreviaturas"/>
      </w:pPr>
      <w:r>
        <w:t>SSTJUE</w:t>
      </w:r>
      <w:r>
        <w:tab/>
        <w:t>Sentencias del Tribunal de Justicia de la Unión Europea</w:t>
      </w:r>
    </w:p>
    <w:p w14:paraId="5A634C1C" w14:textId="77777777" w:rsidR="00CE0C2D" w:rsidRDefault="00CE0C2D" w:rsidP="00CE0C2D">
      <w:pPr>
        <w:pStyle w:val="TextoAbreviaturas"/>
      </w:pPr>
      <w:r>
        <w:t>STC</w:t>
      </w:r>
      <w:r>
        <w:tab/>
        <w:t>Sentencia del Tribunal Constitucional</w:t>
      </w:r>
    </w:p>
    <w:p w14:paraId="465EEFF4" w14:textId="77777777" w:rsidR="00CE0C2D" w:rsidRDefault="00CE0C2D" w:rsidP="00CE0C2D">
      <w:pPr>
        <w:pStyle w:val="TextoAbreviaturas"/>
      </w:pPr>
      <w:r>
        <w:t>SSTC</w:t>
      </w:r>
      <w:r>
        <w:tab/>
        <w:t>Sentencias del Tribunal Constitucional</w:t>
      </w:r>
    </w:p>
    <w:p w14:paraId="5A13CBE3" w14:textId="77777777" w:rsidR="00CE0C2D" w:rsidRDefault="00CE0C2D" w:rsidP="00CE0C2D">
      <w:pPr>
        <w:pStyle w:val="TextoAbreviaturas"/>
      </w:pPr>
      <w:r>
        <w:t>STEDH</w:t>
      </w:r>
      <w:r>
        <w:tab/>
        <w:t>Sentencia del Tribunal Europeo de Derechos Humanos</w:t>
      </w:r>
    </w:p>
    <w:p w14:paraId="6B04C093" w14:textId="77777777" w:rsidR="00CE0C2D" w:rsidRDefault="00CE0C2D" w:rsidP="00CE0C2D">
      <w:pPr>
        <w:pStyle w:val="TextoAbreviaturas"/>
      </w:pPr>
      <w:r>
        <w:t>SSTEDH</w:t>
      </w:r>
      <w:r>
        <w:tab/>
        <w:t>Sentencias del Tribunal Europeo de Derechos Humanos</w:t>
      </w:r>
    </w:p>
    <w:p w14:paraId="283C72BD" w14:textId="77777777" w:rsidR="00CE0C2D" w:rsidRDefault="00CE0C2D" w:rsidP="00CE0C2D">
      <w:pPr>
        <w:pStyle w:val="TextoAbreviaturas"/>
      </w:pPr>
      <w:r>
        <w:t>STJCE</w:t>
      </w:r>
      <w:r>
        <w:tab/>
        <w:t>Sentencia del Tribunal de Justicia de las Comunidades Europeas</w:t>
      </w:r>
    </w:p>
    <w:p w14:paraId="6578508A" w14:textId="77777777" w:rsidR="00CE0C2D" w:rsidRDefault="00CE0C2D" w:rsidP="00CE0C2D">
      <w:pPr>
        <w:pStyle w:val="TextoAbreviaturas"/>
      </w:pPr>
      <w:r>
        <w:t>STJUE</w:t>
      </w:r>
      <w:r>
        <w:tab/>
        <w:t>Sentencia del Tribunal de Justicia de la Unión Europea</w:t>
      </w:r>
    </w:p>
    <w:p w14:paraId="42C2854A" w14:textId="77777777" w:rsidR="00CE0C2D" w:rsidRDefault="00CE0C2D" w:rsidP="00CE0C2D">
      <w:pPr>
        <w:pStyle w:val="TextoAbreviaturas"/>
      </w:pPr>
      <w:r>
        <w:t>STS</w:t>
      </w:r>
      <w:r>
        <w:tab/>
        <w:t>Sentencia del Tribunal Supremo</w:t>
      </w:r>
    </w:p>
    <w:p w14:paraId="55BD08F8" w14:textId="77777777" w:rsidR="00CE0C2D" w:rsidRDefault="00CE0C2D" w:rsidP="00CE0C2D">
      <w:pPr>
        <w:pStyle w:val="TextoAbreviaturas"/>
      </w:pPr>
      <w:r>
        <w:t>SSTS</w:t>
      </w:r>
      <w:r>
        <w:tab/>
        <w:t>Sentencias del Tribunal Supremo</w:t>
      </w:r>
    </w:p>
    <w:p w14:paraId="1C42D9D1" w14:textId="77777777" w:rsidR="00CE0C2D" w:rsidRDefault="00CE0C2D" w:rsidP="00CE0C2D">
      <w:pPr>
        <w:pStyle w:val="TextoAbreviaturas"/>
      </w:pPr>
      <w:r>
        <w:t>STSJ</w:t>
      </w:r>
      <w:r>
        <w:tab/>
        <w:t>Sentencia del Tribunal Superior de Justicia</w:t>
      </w:r>
    </w:p>
    <w:p w14:paraId="34926917" w14:textId="77777777" w:rsidR="00CE0C2D" w:rsidRDefault="00CE0C2D" w:rsidP="00CE0C2D">
      <w:pPr>
        <w:pStyle w:val="TextoAbreviaturas"/>
      </w:pPr>
      <w:r>
        <w:t>TFUE</w:t>
      </w:r>
      <w:r>
        <w:tab/>
        <w:t>Tratado de funcionamiento de la Unión Europea</w:t>
      </w:r>
    </w:p>
    <w:p w14:paraId="6514F5A1" w14:textId="77777777" w:rsidR="00CE0C2D" w:rsidRDefault="00CE0C2D" w:rsidP="00CE0C2D">
      <w:pPr>
        <w:pStyle w:val="TextoAbreviaturas"/>
      </w:pPr>
      <w:r>
        <w:t>TGSS</w:t>
      </w:r>
      <w:r>
        <w:tab/>
        <w:t>Tesorería General de la Seguridad Social</w:t>
      </w:r>
    </w:p>
    <w:p w14:paraId="17CBE31A" w14:textId="77777777" w:rsidR="00CE0C2D" w:rsidRDefault="00CE0C2D" w:rsidP="00CE0C2D">
      <w:pPr>
        <w:pStyle w:val="TextoAbreviaturas"/>
      </w:pPr>
      <w:r>
        <w:t>TRLEEP</w:t>
      </w:r>
      <w:r>
        <w:tab/>
        <w:t>Texto refundido de la Ley del estatuto del empleado público</w:t>
      </w:r>
    </w:p>
    <w:p w14:paraId="6E1A1D88" w14:textId="77777777" w:rsidR="00CE0C2D" w:rsidRDefault="00CE0C2D" w:rsidP="00CE0C2D">
      <w:pPr>
        <w:pStyle w:val="TextoAbreviaturas"/>
      </w:pPr>
      <w:r>
        <w:t>TRLHL</w:t>
      </w:r>
      <w:r>
        <w:tab/>
        <w:t>Texto refundido de la Ley reguladora de las haciendas locales</w:t>
      </w:r>
    </w:p>
    <w:p w14:paraId="23F2A5DE" w14:textId="77777777" w:rsidR="00CE0C2D" w:rsidRDefault="00CE0C2D" w:rsidP="00CE0C2D">
      <w:pPr>
        <w:pStyle w:val="TextoAbreviaturas"/>
      </w:pPr>
      <w:r>
        <w:t>TRLS</w:t>
      </w:r>
      <w:r>
        <w:tab/>
        <w:t>Texto refundido de la Ley del suelo/Ley de suelo</w:t>
      </w:r>
    </w:p>
    <w:p w14:paraId="26D3446F" w14:textId="77777777" w:rsidR="00CE0C2D" w:rsidRDefault="00CE0C2D" w:rsidP="00CE0C2D">
      <w:pPr>
        <w:pStyle w:val="TextoAbreviaturas"/>
      </w:pPr>
      <w:r>
        <w:t>TRLSRU</w:t>
      </w:r>
      <w:r>
        <w:tab/>
        <w:t>Texto refundido de la ley de suelo y rehabilitación urbana</w:t>
      </w:r>
    </w:p>
    <w:p w14:paraId="45FA6A94" w14:textId="77777777" w:rsidR="00CE0C2D" w:rsidRDefault="00CE0C2D" w:rsidP="00CE0C2D">
      <w:pPr>
        <w:pStyle w:val="TextoAbreviaturas"/>
      </w:pPr>
      <w:r>
        <w:t>TUE</w:t>
      </w:r>
      <w:r>
        <w:tab/>
        <w:t>Tratado de la Unión Europea</w:t>
      </w:r>
    </w:p>
    <w:p w14:paraId="05489850" w14:textId="4D07F979" w:rsidR="00CE0C2D" w:rsidRDefault="00CE0C2D" w:rsidP="00CE0C2D">
      <w:pPr>
        <w:pStyle w:val="TextoAbreviaturas"/>
      </w:pPr>
    </w:p>
    <w:sectPr w:rsidR="00CE0C2D" w:rsidSect="00D50628">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18FDC" w14:textId="77777777" w:rsidR="00764F92" w:rsidRDefault="00764F92" w:rsidP="00A8138F">
      <w:pPr>
        <w:spacing w:after="0" w:line="240" w:lineRule="auto"/>
      </w:pPr>
      <w:r>
        <w:separator/>
      </w:r>
    </w:p>
  </w:endnote>
  <w:endnote w:type="continuationSeparator" w:id="0">
    <w:p w14:paraId="5896CC97" w14:textId="77777777" w:rsidR="00764F92" w:rsidRDefault="00764F92" w:rsidP="00A81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AAB8" w14:textId="77777777" w:rsidR="00D50628" w:rsidRDefault="00D50628" w:rsidP="00D50628">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p w14:paraId="6779047A" w14:textId="77777777" w:rsidR="00A8138F" w:rsidRDefault="00A8138F" w:rsidP="00D506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0C7" w14:textId="45553DA0" w:rsidR="00D50628" w:rsidRDefault="00D50628" w:rsidP="00D50628">
    <w:pPr>
      <w:pStyle w:val="Piedepgina"/>
      <w:framePr w:wrap="around"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p w14:paraId="27ED62FB" w14:textId="77777777" w:rsidR="00A8138F" w:rsidRDefault="00A8138F" w:rsidP="00D50628">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A03C" w14:textId="77777777" w:rsidR="00A8138F" w:rsidRDefault="00A8138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3A4E5" w14:textId="77777777" w:rsidR="00764F92" w:rsidRDefault="00764F92" w:rsidP="00A8138F">
      <w:pPr>
        <w:spacing w:after="0" w:line="240" w:lineRule="auto"/>
      </w:pPr>
      <w:r>
        <w:separator/>
      </w:r>
    </w:p>
  </w:footnote>
  <w:footnote w:type="continuationSeparator" w:id="0">
    <w:p w14:paraId="2BA0ABFA" w14:textId="77777777" w:rsidR="00764F92" w:rsidRDefault="00764F92" w:rsidP="00A81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E6FD" w14:textId="77777777" w:rsidR="00A8138F" w:rsidRDefault="00A8138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5E9A" w14:textId="447D1181" w:rsidR="00A8138F" w:rsidRDefault="00D50628" w:rsidP="00D50628">
    <w:pPr>
      <w:pStyle w:val="Cabecera"/>
    </w:pPr>
    <w:r>
      <w:t>JURISPRUDENCIA CONSTITUCIONAL - Tomo: enero a junio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CDFA" w14:textId="77777777" w:rsidR="00A8138F" w:rsidRDefault="00A8138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16cid:durableId="651956072">
    <w:abstractNumId w:val="8"/>
  </w:num>
  <w:num w:numId="2" w16cid:durableId="617027400">
    <w:abstractNumId w:val="3"/>
  </w:num>
  <w:num w:numId="3" w16cid:durableId="682514228">
    <w:abstractNumId w:val="2"/>
  </w:num>
  <w:num w:numId="4" w16cid:durableId="1963530845">
    <w:abstractNumId w:val="1"/>
  </w:num>
  <w:num w:numId="5" w16cid:durableId="1653826986">
    <w:abstractNumId w:val="0"/>
  </w:num>
  <w:num w:numId="6" w16cid:durableId="457183460">
    <w:abstractNumId w:val="9"/>
  </w:num>
  <w:num w:numId="7" w16cid:durableId="382563959">
    <w:abstractNumId w:val="7"/>
  </w:num>
  <w:num w:numId="8" w16cid:durableId="570047671">
    <w:abstractNumId w:val="6"/>
  </w:num>
  <w:num w:numId="9" w16cid:durableId="1700546996">
    <w:abstractNumId w:val="5"/>
  </w:num>
  <w:num w:numId="10" w16cid:durableId="1373647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hideSpellingErrors/>
  <w:hideGrammaticalErrors/>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7A3"/>
    <w:rsid w:val="00032625"/>
    <w:rsid w:val="001D7FA9"/>
    <w:rsid w:val="003357A3"/>
    <w:rsid w:val="00764F92"/>
    <w:rsid w:val="00A8138F"/>
    <w:rsid w:val="00B35D37"/>
    <w:rsid w:val="00C72046"/>
    <w:rsid w:val="00CE0C2D"/>
    <w:rsid w:val="00D5062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D8C2A"/>
  <w15:chartTrackingRefBased/>
  <w15:docId w15:val="{02FCE778-A410-4CD6-B1E2-57ADF7F5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7A3"/>
    <w:pPr>
      <w:spacing w:after="200" w:line="276" w:lineRule="auto"/>
    </w:pPr>
    <w:rPr>
      <w:kern w:val="0"/>
      <w:sz w:val="22"/>
      <w:szCs w:val="22"/>
      <w14:ligatures w14:val="none"/>
    </w:rPr>
  </w:style>
  <w:style w:type="paragraph" w:styleId="Ttulo1">
    <w:name w:val="heading 1"/>
    <w:basedOn w:val="Normal"/>
    <w:next w:val="Normal"/>
    <w:link w:val="Ttulo1Car"/>
    <w:uiPriority w:val="9"/>
    <w:rsid w:val="003357A3"/>
    <w:pPr>
      <w:keepNext/>
      <w:keepLines/>
      <w:spacing w:before="480" w:after="0" w:line="240" w:lineRule="auto"/>
      <w:jc w:val="both"/>
      <w:outlineLvl w:val="0"/>
    </w:pPr>
    <w:rPr>
      <w:rFonts w:asciiTheme="majorHAnsi" w:eastAsiaTheme="majorEastAsia" w:hAnsiTheme="majorHAnsi" w:cstheme="majorBidi"/>
      <w:b/>
      <w:bCs/>
      <w:color w:val="0F4761" w:themeColor="accent1" w:themeShade="BF"/>
      <w:sz w:val="28"/>
      <w:szCs w:val="28"/>
      <w:lang w:eastAsia="es-ES"/>
    </w:rPr>
  </w:style>
  <w:style w:type="paragraph" w:styleId="Ttulo2">
    <w:name w:val="heading 2"/>
    <w:basedOn w:val="Normal"/>
    <w:next w:val="Normal"/>
    <w:link w:val="Ttulo2Car"/>
    <w:uiPriority w:val="9"/>
    <w:semiHidden/>
    <w:rsid w:val="003357A3"/>
    <w:pPr>
      <w:keepNext/>
      <w:keepLines/>
      <w:spacing w:before="200" w:after="0" w:line="240" w:lineRule="auto"/>
      <w:jc w:val="both"/>
      <w:outlineLvl w:val="1"/>
    </w:pPr>
    <w:rPr>
      <w:rFonts w:asciiTheme="majorHAnsi" w:eastAsiaTheme="majorEastAsia" w:hAnsiTheme="majorHAnsi" w:cstheme="majorBidi"/>
      <w:b/>
      <w:bCs/>
      <w:color w:val="156082" w:themeColor="accent1"/>
      <w:sz w:val="26"/>
      <w:szCs w:val="26"/>
      <w:lang w:eastAsia="es-ES"/>
    </w:rPr>
  </w:style>
  <w:style w:type="paragraph" w:styleId="Ttulo3">
    <w:name w:val="heading 3"/>
    <w:basedOn w:val="Normal"/>
    <w:next w:val="Normal"/>
    <w:link w:val="Ttulo3Car"/>
    <w:uiPriority w:val="9"/>
    <w:semiHidden/>
    <w:unhideWhenUsed/>
    <w:qFormat/>
    <w:rsid w:val="003357A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357A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rsid w:val="003357A3"/>
    <w:pPr>
      <w:keepNext/>
      <w:keepLines/>
      <w:spacing w:before="200" w:after="0" w:line="240" w:lineRule="auto"/>
      <w:jc w:val="both"/>
      <w:outlineLvl w:val="4"/>
    </w:pPr>
    <w:rPr>
      <w:rFonts w:asciiTheme="majorHAnsi" w:eastAsiaTheme="majorEastAsia" w:hAnsiTheme="majorHAnsi" w:cstheme="majorBidi"/>
      <w:color w:val="0A2F40" w:themeColor="accent1" w:themeShade="7F"/>
      <w:sz w:val="24"/>
      <w:szCs w:val="24"/>
      <w:lang w:eastAsia="es-ES"/>
    </w:rPr>
  </w:style>
  <w:style w:type="paragraph" w:styleId="Ttulo6">
    <w:name w:val="heading 6"/>
    <w:basedOn w:val="Normal"/>
    <w:next w:val="Normal"/>
    <w:link w:val="Ttulo6Car"/>
    <w:uiPriority w:val="9"/>
    <w:semiHidden/>
    <w:unhideWhenUsed/>
    <w:qFormat/>
    <w:rsid w:val="003357A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qFormat/>
    <w:rsid w:val="003357A3"/>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357A3"/>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357A3"/>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3357A3"/>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3357A3"/>
  </w:style>
  <w:style w:type="character" w:customStyle="1" w:styleId="Ttulo1Car">
    <w:name w:val="Título 1 Car"/>
    <w:basedOn w:val="Fuentedeprrafopredeter"/>
    <w:link w:val="Ttulo1"/>
    <w:uiPriority w:val="9"/>
    <w:rsid w:val="003357A3"/>
    <w:rPr>
      <w:rFonts w:asciiTheme="majorHAnsi" w:eastAsiaTheme="majorEastAsia" w:hAnsiTheme="majorHAnsi" w:cstheme="majorBidi"/>
      <w:b/>
      <w:bCs/>
      <w:color w:val="0F4761" w:themeColor="accent1" w:themeShade="BF"/>
      <w:kern w:val="0"/>
      <w:sz w:val="28"/>
      <w:szCs w:val="28"/>
      <w:lang w:eastAsia="es-ES"/>
      <w14:ligatures w14:val="none"/>
    </w:rPr>
  </w:style>
  <w:style w:type="character" w:customStyle="1" w:styleId="Ttulo2Car">
    <w:name w:val="Título 2 Car"/>
    <w:basedOn w:val="Fuentedeprrafopredeter"/>
    <w:link w:val="Ttulo2"/>
    <w:uiPriority w:val="9"/>
    <w:semiHidden/>
    <w:rsid w:val="003357A3"/>
    <w:rPr>
      <w:rFonts w:asciiTheme="majorHAnsi" w:eastAsiaTheme="majorEastAsia" w:hAnsiTheme="majorHAnsi" w:cstheme="majorBidi"/>
      <w:b/>
      <w:bCs/>
      <w:color w:val="156082" w:themeColor="accent1"/>
      <w:kern w:val="0"/>
      <w:sz w:val="26"/>
      <w:szCs w:val="26"/>
      <w:lang w:eastAsia="es-ES"/>
      <w14:ligatures w14:val="none"/>
    </w:rPr>
  </w:style>
  <w:style w:type="character" w:customStyle="1" w:styleId="Ttulo3Car">
    <w:name w:val="Título 3 Car"/>
    <w:basedOn w:val="Fuentedeprrafopredeter"/>
    <w:link w:val="Ttulo3"/>
    <w:uiPriority w:val="9"/>
    <w:semiHidden/>
    <w:rsid w:val="003357A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357A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357A3"/>
    <w:rPr>
      <w:rFonts w:asciiTheme="majorHAnsi" w:eastAsiaTheme="majorEastAsia" w:hAnsiTheme="majorHAnsi" w:cstheme="majorBidi"/>
      <w:color w:val="0A2F40" w:themeColor="accent1" w:themeShade="7F"/>
      <w:kern w:val="0"/>
      <w:lang w:eastAsia="es-ES"/>
      <w14:ligatures w14:val="none"/>
    </w:rPr>
  </w:style>
  <w:style w:type="character" w:customStyle="1" w:styleId="Ttulo6Car">
    <w:name w:val="Título 6 Car"/>
    <w:basedOn w:val="Fuentedeprrafopredeter"/>
    <w:link w:val="Ttulo6"/>
    <w:uiPriority w:val="9"/>
    <w:semiHidden/>
    <w:rsid w:val="003357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357A3"/>
    <w:rPr>
      <w:rFonts w:asciiTheme="majorHAnsi" w:eastAsiaTheme="majorEastAsia" w:hAnsiTheme="majorHAnsi" w:cstheme="majorBidi"/>
      <w:i/>
      <w:iCs/>
      <w:color w:val="404040" w:themeColor="text1" w:themeTint="BF"/>
      <w:kern w:val="0"/>
      <w:sz w:val="22"/>
      <w:szCs w:val="22"/>
      <w14:ligatures w14:val="none"/>
    </w:rPr>
  </w:style>
  <w:style w:type="character" w:customStyle="1" w:styleId="Ttulo8Car">
    <w:name w:val="Título 8 Car"/>
    <w:basedOn w:val="Fuentedeprrafopredeter"/>
    <w:link w:val="Ttulo8"/>
    <w:uiPriority w:val="9"/>
    <w:semiHidden/>
    <w:rsid w:val="003357A3"/>
    <w:rPr>
      <w:rFonts w:asciiTheme="majorHAnsi" w:eastAsiaTheme="majorEastAsia" w:hAnsiTheme="majorHAnsi" w:cstheme="majorBidi"/>
      <w:color w:val="404040" w:themeColor="text1" w:themeTint="BF"/>
      <w:kern w:val="0"/>
      <w:sz w:val="20"/>
      <w:szCs w:val="20"/>
      <w14:ligatures w14:val="none"/>
    </w:rPr>
  </w:style>
  <w:style w:type="character" w:customStyle="1" w:styleId="Ttulo9Car">
    <w:name w:val="Título 9 Car"/>
    <w:basedOn w:val="Fuentedeprrafopredeter"/>
    <w:link w:val="Ttulo9"/>
    <w:uiPriority w:val="9"/>
    <w:semiHidden/>
    <w:rsid w:val="003357A3"/>
    <w:rPr>
      <w:rFonts w:asciiTheme="majorHAnsi" w:eastAsiaTheme="majorEastAsia" w:hAnsiTheme="majorHAnsi" w:cstheme="majorBidi"/>
      <w:i/>
      <w:iCs/>
      <w:color w:val="404040" w:themeColor="text1" w:themeTint="BF"/>
      <w:kern w:val="0"/>
      <w:sz w:val="20"/>
      <w:szCs w:val="20"/>
      <w14:ligatures w14:val="none"/>
    </w:rPr>
  </w:style>
  <w:style w:type="paragraph" w:styleId="Ttulo">
    <w:name w:val="Title"/>
    <w:basedOn w:val="Normal"/>
    <w:next w:val="Normal"/>
    <w:link w:val="TtuloCar"/>
    <w:uiPriority w:val="10"/>
    <w:qFormat/>
    <w:rsid w:val="00335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357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357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357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57A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357A3"/>
    <w:rPr>
      <w:i/>
      <w:iCs/>
      <w:color w:val="404040" w:themeColor="text1" w:themeTint="BF"/>
      <w:kern w:val="0"/>
      <w:sz w:val="22"/>
      <w:szCs w:val="22"/>
      <w14:ligatures w14:val="none"/>
    </w:rPr>
  </w:style>
  <w:style w:type="paragraph" w:styleId="Prrafodelista">
    <w:name w:val="List Paragraph"/>
    <w:basedOn w:val="Normal"/>
    <w:uiPriority w:val="34"/>
    <w:qFormat/>
    <w:rsid w:val="003357A3"/>
    <w:pPr>
      <w:ind w:left="720"/>
      <w:contextualSpacing/>
    </w:pPr>
  </w:style>
  <w:style w:type="character" w:styleId="nfasisintenso">
    <w:name w:val="Intense Emphasis"/>
    <w:basedOn w:val="Fuentedeprrafopredeter"/>
    <w:uiPriority w:val="21"/>
    <w:qFormat/>
    <w:rsid w:val="003357A3"/>
    <w:rPr>
      <w:i/>
      <w:iCs/>
      <w:color w:val="0F4761" w:themeColor="accent1" w:themeShade="BF"/>
    </w:rPr>
  </w:style>
  <w:style w:type="paragraph" w:styleId="Citadestacada">
    <w:name w:val="Intense Quote"/>
    <w:basedOn w:val="Normal"/>
    <w:next w:val="Normal"/>
    <w:link w:val="CitadestacadaCar"/>
    <w:uiPriority w:val="30"/>
    <w:qFormat/>
    <w:rsid w:val="00335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357A3"/>
    <w:rPr>
      <w:i/>
      <w:iCs/>
      <w:color w:val="0F4761" w:themeColor="accent1" w:themeShade="BF"/>
    </w:rPr>
  </w:style>
  <w:style w:type="character" w:styleId="Referenciaintensa">
    <w:name w:val="Intense Reference"/>
    <w:basedOn w:val="Fuentedeprrafopredeter"/>
    <w:uiPriority w:val="32"/>
    <w:qFormat/>
    <w:rsid w:val="003357A3"/>
    <w:rPr>
      <w:b/>
      <w:bCs/>
      <w:smallCaps/>
      <w:color w:val="0F4761" w:themeColor="accent1" w:themeShade="BF"/>
      <w:spacing w:val="5"/>
    </w:rPr>
  </w:style>
  <w:style w:type="paragraph" w:styleId="Sinespaciado">
    <w:name w:val="No Spacing"/>
    <w:uiPriority w:val="1"/>
    <w:rsid w:val="003357A3"/>
    <w:pPr>
      <w:spacing w:after="0" w:line="240" w:lineRule="auto"/>
    </w:pPr>
    <w:rPr>
      <w:kern w:val="0"/>
      <w:sz w:val="22"/>
      <w:szCs w:val="22"/>
      <w14:ligatures w14:val="none"/>
    </w:rPr>
  </w:style>
  <w:style w:type="paragraph" w:styleId="Textocomentario">
    <w:name w:val="annotation text"/>
    <w:basedOn w:val="Normal"/>
    <w:link w:val="TextocomentarioCar"/>
    <w:uiPriority w:val="99"/>
    <w:semiHidden/>
    <w:rsid w:val="003357A3"/>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357A3"/>
    <w:rPr>
      <w:rFonts w:ascii="Times New Roman" w:eastAsia="Times New Roman" w:hAnsi="Times New Roman" w:cs="Times New Roman"/>
      <w:kern w:val="0"/>
      <w:sz w:val="20"/>
      <w:szCs w:val="20"/>
      <w:lang w:eastAsia="es-ES"/>
      <w14:ligatures w14:val="none"/>
    </w:rPr>
  </w:style>
  <w:style w:type="paragraph" w:styleId="Continuarlista4">
    <w:name w:val="List Continue 4"/>
    <w:basedOn w:val="Normal"/>
    <w:uiPriority w:val="99"/>
    <w:semiHidden/>
    <w:rsid w:val="003357A3"/>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357A3"/>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357A3"/>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357A3"/>
    <w:rPr>
      <w:rFonts w:ascii="Times New Roman" w:eastAsia="Times New Roman" w:hAnsi="Times New Roman" w:cs="Times New Roman"/>
      <w:b/>
      <w:kern w:val="0"/>
      <w:lang w:eastAsia="es-ES"/>
      <w14:ligatures w14:val="none"/>
    </w:rPr>
  </w:style>
  <w:style w:type="character" w:customStyle="1" w:styleId="TextoNormalCaracter">
    <w:name w:val="Texto Normal Caracter"/>
    <w:basedOn w:val="Fuentedeprrafopredeter"/>
    <w:uiPriority w:val="1"/>
    <w:qFormat/>
    <w:rsid w:val="003357A3"/>
    <w:rPr>
      <w:rFonts w:ascii="Times New Roman" w:hAnsi="Times New Roman"/>
      <w:i w:val="0"/>
      <w:sz w:val="24"/>
    </w:rPr>
  </w:style>
  <w:style w:type="character" w:customStyle="1" w:styleId="TtuloBOECar">
    <w:name w:val="Título BOE Car"/>
    <w:basedOn w:val="Fuentedeprrafopredeter"/>
    <w:link w:val="TtuloBOE"/>
    <w:rsid w:val="003357A3"/>
    <w:rPr>
      <w:rFonts w:ascii="Times New Roman" w:eastAsia="Times New Roman" w:hAnsi="Times New Roman" w:cs="Times New Roman"/>
      <w:i/>
      <w:kern w:val="0"/>
      <w:lang w:eastAsia="es-ES"/>
      <w14:ligatures w14:val="none"/>
    </w:rPr>
  </w:style>
  <w:style w:type="character" w:customStyle="1" w:styleId="TextoNormalCursivaCaracter">
    <w:name w:val="Texto Normal Cursiva Caracter"/>
    <w:basedOn w:val="TextoNormalCaracter"/>
    <w:uiPriority w:val="1"/>
    <w:qFormat/>
    <w:rsid w:val="003357A3"/>
    <w:rPr>
      <w:rFonts w:ascii="Times New Roman" w:hAnsi="Times New Roman"/>
      <w:i/>
      <w:sz w:val="24"/>
    </w:rPr>
  </w:style>
  <w:style w:type="paragraph" w:customStyle="1" w:styleId="Extracto">
    <w:name w:val="Extracto"/>
    <w:basedOn w:val="Normal"/>
    <w:link w:val="ExtractoCar"/>
    <w:qFormat/>
    <w:rsid w:val="003357A3"/>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357A3"/>
    <w:rPr>
      <w:rFonts w:ascii="Times New Roman" w:eastAsia="Times New Roman" w:hAnsi="Times New Roman" w:cs="Times New Roman"/>
      <w:b/>
      <w:color w:val="000000"/>
      <w:kern w:val="0"/>
      <w:lang w:eastAsia="es-ES"/>
      <w14:ligatures w14:val="none"/>
    </w:rPr>
  </w:style>
  <w:style w:type="paragraph" w:customStyle="1" w:styleId="TextoNormal">
    <w:name w:val="Texto Normal"/>
    <w:basedOn w:val="Normal"/>
    <w:link w:val="TextoNormalCar"/>
    <w:qFormat/>
    <w:rsid w:val="003357A3"/>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357A3"/>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357A3"/>
    <w:rPr>
      <w:rFonts w:ascii="Times New Roman" w:eastAsia="Times New Roman" w:hAnsi="Times New Roman" w:cs="Times New Roman"/>
      <w:kern w:val="0"/>
      <w:lang w:eastAsia="es-ES"/>
      <w14:ligatures w14:val="none"/>
    </w:rPr>
  </w:style>
  <w:style w:type="character" w:customStyle="1" w:styleId="TextoNormalCentradoCar">
    <w:name w:val="Texto Normal Centrado Car"/>
    <w:basedOn w:val="Fuentedeprrafopredeter"/>
    <w:link w:val="TextoNormalCentrado"/>
    <w:rsid w:val="003357A3"/>
    <w:rPr>
      <w:rFonts w:ascii="Times New Roman" w:eastAsia="Times New Roman" w:hAnsi="Times New Roman" w:cs="Times New Roman"/>
      <w:kern w:val="0"/>
      <w:lang w:eastAsia="es-ES"/>
      <w14:ligatures w14:val="none"/>
    </w:rPr>
  </w:style>
  <w:style w:type="paragraph" w:customStyle="1" w:styleId="TextoNormalNegritaCentrado">
    <w:name w:val="Texto Normal Negrita Centrado"/>
    <w:basedOn w:val="Normal"/>
    <w:link w:val="TextoNormalNegritaCentradoCar"/>
    <w:qFormat/>
    <w:rsid w:val="003357A3"/>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357A3"/>
    <w:rPr>
      <w:rFonts w:ascii="Times New Roman" w:eastAsia="Times New Roman" w:hAnsi="Times New Roman" w:cs="Times New Roman"/>
      <w:b/>
      <w:kern w:val="0"/>
      <w:sz w:val="26"/>
      <w:lang w:eastAsia="es-ES"/>
      <w14:ligatures w14:val="none"/>
    </w:rPr>
  </w:style>
  <w:style w:type="paragraph" w:customStyle="1" w:styleId="CabeceraApartado">
    <w:name w:val="Cabecera Apartado"/>
    <w:basedOn w:val="Normal"/>
    <w:link w:val="CabeceraApartadoCar"/>
    <w:qFormat/>
    <w:rsid w:val="003357A3"/>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357A3"/>
    <w:rPr>
      <w:rFonts w:ascii="Times New Roman" w:eastAsia="Times New Roman" w:hAnsi="Times New Roman" w:cs="Times New Roman"/>
      <w:kern w:val="0"/>
      <w:sz w:val="48"/>
      <w:lang w:eastAsia="es-ES"/>
      <w14:ligatures w14:val="none"/>
    </w:rPr>
  </w:style>
  <w:style w:type="paragraph" w:customStyle="1" w:styleId="CabeceraApartadoDerecha">
    <w:name w:val="Cabecera Apartado Derecha"/>
    <w:basedOn w:val="Normal"/>
    <w:link w:val="CabeceraApartadoDerechaCar"/>
    <w:qFormat/>
    <w:rsid w:val="003357A3"/>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357A3"/>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3357A3"/>
    <w:rPr>
      <w:rFonts w:ascii="Times New Roman" w:eastAsia="Times New Roman" w:hAnsi="Times New Roman" w:cs="Times New Roman"/>
      <w:kern w:val="0"/>
      <w:sz w:val="48"/>
      <w:lang w:eastAsia="es-ES"/>
      <w14:ligatures w14:val="none"/>
    </w:rPr>
  </w:style>
  <w:style w:type="paragraph" w:customStyle="1" w:styleId="EntradandiceAuto">
    <w:name w:val="Entrada Índice Auto"/>
    <w:basedOn w:val="Normal"/>
    <w:link w:val="EntradandiceAutoCar"/>
    <w:qFormat/>
    <w:rsid w:val="003357A3"/>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357A3"/>
    <w:rPr>
      <w:rFonts w:ascii="Times New Roman" w:eastAsia="Times New Roman" w:hAnsi="Times New Roman" w:cs="Times New Roman"/>
      <w:b/>
      <w:kern w:val="0"/>
      <w:lang w:eastAsia="es-ES"/>
      <w14:ligatures w14:val="none"/>
    </w:rPr>
  </w:style>
  <w:style w:type="character" w:customStyle="1" w:styleId="EntradandiceAutoCar">
    <w:name w:val="Entrada Índice Auto Car"/>
    <w:basedOn w:val="Fuentedeprrafopredeter"/>
    <w:link w:val="EntradandiceAuto"/>
    <w:rsid w:val="003357A3"/>
    <w:rPr>
      <w:rFonts w:ascii="Times New Roman" w:eastAsia="Times New Roman" w:hAnsi="Times New Roman" w:cs="Times New Roman"/>
      <w:kern w:val="0"/>
      <w:lang w:eastAsia="es-ES"/>
      <w14:ligatures w14:val="none"/>
    </w:rPr>
  </w:style>
  <w:style w:type="paragraph" w:customStyle="1" w:styleId="TtuloAbreviaturas">
    <w:name w:val="Título Abreviaturas"/>
    <w:basedOn w:val="Normal"/>
    <w:link w:val="TtuloAbreviaturasCar"/>
    <w:qFormat/>
    <w:rsid w:val="003357A3"/>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357A3"/>
    <w:rPr>
      <w:rFonts w:ascii="Times New Roman" w:eastAsia="Times New Roman" w:hAnsi="Times New Roman" w:cs="Times New Roman"/>
      <w:kern w:val="0"/>
      <w:sz w:val="32"/>
      <w:szCs w:val="32"/>
      <w:lang w:eastAsia="es-ES"/>
      <w14:ligatures w14:val="none"/>
    </w:rPr>
  </w:style>
  <w:style w:type="paragraph" w:customStyle="1" w:styleId="ParrafoNormal">
    <w:name w:val="Parrafo Normal"/>
    <w:basedOn w:val="Normal"/>
    <w:link w:val="ParrafoNormalCar"/>
    <w:qFormat/>
    <w:rsid w:val="003357A3"/>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357A3"/>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357A3"/>
    <w:rPr>
      <w:rFonts w:ascii="Times New Roman" w:eastAsia="Times New Roman" w:hAnsi="Times New Roman" w:cs="Times New Roman"/>
      <w:kern w:val="0"/>
      <w:lang w:eastAsia="es-ES"/>
      <w14:ligatures w14:val="none"/>
    </w:rPr>
  </w:style>
  <w:style w:type="paragraph" w:customStyle="1" w:styleId="Ttulondice">
    <w:name w:val="Título Índice"/>
    <w:basedOn w:val="Normal"/>
    <w:link w:val="TtulondiceCar"/>
    <w:qFormat/>
    <w:rsid w:val="003357A3"/>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357A3"/>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357A3"/>
    <w:rPr>
      <w:rFonts w:ascii="Times New Roman" w:eastAsia="Times New Roman" w:hAnsi="Times New Roman" w:cs="Times New Roman"/>
      <w:kern w:val="0"/>
      <w:sz w:val="40"/>
      <w:lang w:eastAsia="es-ES"/>
      <w14:ligatures w14:val="none"/>
    </w:rPr>
  </w:style>
  <w:style w:type="character" w:customStyle="1" w:styleId="TextoNormalNegritaCaracter">
    <w:name w:val="Texto Normal Negrita Caracter"/>
    <w:basedOn w:val="Fuentedeprrafopredeter"/>
    <w:uiPriority w:val="1"/>
    <w:qFormat/>
    <w:rsid w:val="003357A3"/>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357A3"/>
    <w:rPr>
      <w:rFonts w:ascii="Times New Roman" w:eastAsia="Times New Roman" w:hAnsi="Times New Roman" w:cs="Times New Roman"/>
      <w:b/>
      <w:i/>
      <w:kern w:val="0"/>
      <w:lang w:eastAsia="es-ES"/>
      <w14:ligatures w14:val="none"/>
    </w:rPr>
  </w:style>
  <w:style w:type="paragraph" w:customStyle="1" w:styleId="TextoNormalNegrita">
    <w:name w:val="Texto Normal Negrita"/>
    <w:basedOn w:val="Normal"/>
    <w:link w:val="TextoNormalNegritaCar"/>
    <w:qFormat/>
    <w:rsid w:val="003357A3"/>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357A3"/>
    <w:rPr>
      <w:rFonts w:ascii="Times New Roman" w:eastAsia="Times New Roman" w:hAnsi="Times New Roman" w:cs="Times New Roman"/>
      <w:b/>
      <w:kern w:val="0"/>
      <w:lang w:eastAsia="es-ES"/>
      <w14:ligatures w14:val="none"/>
    </w:rPr>
  </w:style>
  <w:style w:type="paragraph" w:customStyle="1" w:styleId="IndiceNivel1">
    <w:name w:val="Indice Nivel 1"/>
    <w:basedOn w:val="Normal"/>
    <w:link w:val="IndiceNivel1Car"/>
    <w:qFormat/>
    <w:rsid w:val="003357A3"/>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357A3"/>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357A3"/>
    <w:rPr>
      <w:rFonts w:ascii="Times New Roman" w:eastAsia="Times New Roman" w:hAnsi="Times New Roman" w:cs="Times New Roman"/>
      <w:kern w:val="0"/>
      <w:lang w:eastAsia="es-ES"/>
      <w14:ligatures w14:val="none"/>
    </w:rPr>
  </w:style>
  <w:style w:type="character" w:customStyle="1" w:styleId="IndiceNivel2Car">
    <w:name w:val="Indice Nivel 2 Car"/>
    <w:basedOn w:val="Fuentedeprrafopredeter"/>
    <w:link w:val="IndiceNivel2"/>
    <w:rsid w:val="003357A3"/>
    <w:rPr>
      <w:rFonts w:ascii="Times New Roman" w:eastAsia="Times New Roman" w:hAnsi="Times New Roman" w:cs="Times New Roman"/>
      <w:kern w:val="0"/>
      <w:lang w:eastAsia="es-ES"/>
      <w14:ligatures w14:val="none"/>
    </w:rPr>
  </w:style>
  <w:style w:type="paragraph" w:customStyle="1" w:styleId="SntesisDescriptiva">
    <w:name w:val="Síntesis Descriptiva"/>
    <w:basedOn w:val="ParrafoNormal"/>
    <w:link w:val="SntesisDescriptivaCar"/>
    <w:qFormat/>
    <w:rsid w:val="003357A3"/>
  </w:style>
  <w:style w:type="paragraph" w:customStyle="1" w:styleId="SntesisAnaltica">
    <w:name w:val="Síntesis Analítica"/>
    <w:basedOn w:val="ParrafoNormal"/>
    <w:link w:val="SntesisAnalticaCar"/>
    <w:qFormat/>
    <w:rsid w:val="003357A3"/>
    <w:rPr>
      <w:i/>
    </w:rPr>
  </w:style>
  <w:style w:type="character" w:customStyle="1" w:styleId="ParrafoNormalCar">
    <w:name w:val="Parrafo Normal Car"/>
    <w:basedOn w:val="Fuentedeprrafopredeter"/>
    <w:link w:val="ParrafoNormal"/>
    <w:rsid w:val="003357A3"/>
    <w:rPr>
      <w:rFonts w:ascii="Times New Roman" w:eastAsia="Times New Roman" w:hAnsi="Times New Roman" w:cs="Times New Roman"/>
      <w:kern w:val="0"/>
      <w:lang w:eastAsia="es-ES"/>
      <w14:ligatures w14:val="none"/>
    </w:rPr>
  </w:style>
  <w:style w:type="character" w:customStyle="1" w:styleId="SntesisDescriptivaCar">
    <w:name w:val="Síntesis Descriptiva Car"/>
    <w:basedOn w:val="ParrafoNormalCar"/>
    <w:link w:val="SntesisDescriptiva"/>
    <w:rsid w:val="003357A3"/>
    <w:rPr>
      <w:rFonts w:ascii="Times New Roman" w:eastAsia="Times New Roman" w:hAnsi="Times New Roman" w:cs="Times New Roman"/>
      <w:kern w:val="0"/>
      <w:lang w:eastAsia="es-ES"/>
      <w14:ligatures w14:val="none"/>
    </w:rPr>
  </w:style>
  <w:style w:type="character" w:customStyle="1" w:styleId="SntesisAnalticaCar">
    <w:name w:val="Síntesis Analítica Car"/>
    <w:basedOn w:val="ParrafoNormalCar"/>
    <w:link w:val="SntesisAnaltica"/>
    <w:rsid w:val="003357A3"/>
    <w:rPr>
      <w:rFonts w:ascii="Times New Roman" w:eastAsia="Times New Roman" w:hAnsi="Times New Roman" w:cs="Times New Roman"/>
      <w:i/>
      <w:kern w:val="0"/>
      <w:lang w:eastAsia="es-ES"/>
      <w14:ligatures w14:val="none"/>
    </w:rPr>
  </w:style>
  <w:style w:type="paragraph" w:customStyle="1" w:styleId="TextoNormalSangraFrancesa">
    <w:name w:val="Texto Normal Sangría Francesa"/>
    <w:basedOn w:val="Normal"/>
    <w:link w:val="TextoNormalSangraFrancesaCar"/>
    <w:qFormat/>
    <w:rsid w:val="003357A3"/>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357A3"/>
    <w:rPr>
      <w:rFonts w:ascii="Times New Roman" w:eastAsia="Times New Roman" w:hAnsi="Times New Roman" w:cs="Times New Roman"/>
      <w:kern w:val="0"/>
      <w:lang w:eastAsia="es-ES"/>
      <w14:ligatures w14:val="none"/>
    </w:rPr>
  </w:style>
  <w:style w:type="paragraph" w:customStyle="1" w:styleId="DescriptoresJerarquicoTextoNormal">
    <w:name w:val="Descriptores Jerarquico Texto Normal"/>
    <w:basedOn w:val="TextoNormalSangraFrancesa"/>
    <w:link w:val="DescriptoresJerarquicoTextoNormalCar"/>
    <w:qFormat/>
    <w:rsid w:val="003357A3"/>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357A3"/>
    <w:rPr>
      <w:rFonts w:ascii="Times New Roman" w:eastAsia="Times New Roman" w:hAnsi="Times New Roman" w:cs="Times New Roman"/>
      <w:kern w:val="0"/>
      <w:lang w:eastAsia="es-ES"/>
      <w14:ligatures w14:val="none"/>
    </w:rPr>
  </w:style>
  <w:style w:type="paragraph" w:styleId="Textodeglobo">
    <w:name w:val="Balloon Text"/>
    <w:basedOn w:val="Normal"/>
    <w:link w:val="TextodegloboCar"/>
    <w:uiPriority w:val="99"/>
    <w:semiHidden/>
    <w:unhideWhenUsed/>
    <w:rsid w:val="003357A3"/>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357A3"/>
    <w:rPr>
      <w:rFonts w:ascii="Tahoma" w:eastAsia="Times New Roman" w:hAnsi="Tahoma" w:cs="Tahoma"/>
      <w:kern w:val="0"/>
      <w:sz w:val="16"/>
      <w:szCs w:val="16"/>
      <w:lang w:eastAsia="es-ES"/>
      <w14:ligatures w14:val="none"/>
    </w:rPr>
  </w:style>
  <w:style w:type="paragraph" w:customStyle="1" w:styleId="Portada1">
    <w:name w:val="Portada 1"/>
    <w:basedOn w:val="Normal"/>
    <w:link w:val="Portada1Car"/>
    <w:qFormat/>
    <w:rsid w:val="003357A3"/>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357A3"/>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357A3"/>
    <w:rPr>
      <w:rFonts w:ascii="Times New Roman" w:eastAsia="Times New Roman" w:hAnsi="Times New Roman" w:cs="Times New Roman"/>
      <w:kern w:val="0"/>
      <w:sz w:val="32"/>
      <w:lang w:eastAsia="es-ES"/>
      <w14:ligatures w14:val="none"/>
    </w:rPr>
  </w:style>
  <w:style w:type="paragraph" w:customStyle="1" w:styleId="PortadaPrincipal">
    <w:name w:val="Portada Principal"/>
    <w:basedOn w:val="Normal"/>
    <w:link w:val="PortadaPrincipalCar"/>
    <w:qFormat/>
    <w:rsid w:val="003357A3"/>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357A3"/>
    <w:rPr>
      <w:rFonts w:ascii="Times New Roman" w:eastAsia="Times New Roman" w:hAnsi="Times New Roman" w:cs="Times New Roman"/>
      <w:kern w:val="0"/>
      <w:lang w:eastAsia="es-ES"/>
      <w14:ligatures w14:val="none"/>
    </w:rPr>
  </w:style>
  <w:style w:type="character" w:customStyle="1" w:styleId="PortadaPrincipalCar">
    <w:name w:val="Portada Principal Car"/>
    <w:basedOn w:val="Fuentedeprrafopredeter"/>
    <w:link w:val="PortadaPrincipal"/>
    <w:rsid w:val="003357A3"/>
    <w:rPr>
      <w:rFonts w:ascii="Times New Roman" w:eastAsia="Times New Roman" w:hAnsi="Times New Roman" w:cs="Times New Roman"/>
      <w:kern w:val="0"/>
      <w:sz w:val="96"/>
      <w:lang w:eastAsia="es-ES"/>
      <w14:ligatures w14:val="none"/>
    </w:rPr>
  </w:style>
  <w:style w:type="paragraph" w:customStyle="1" w:styleId="EntradaSumario">
    <w:name w:val="Entrada Sumario"/>
    <w:basedOn w:val="Normal"/>
    <w:link w:val="EntradaSumarioCar"/>
    <w:qFormat/>
    <w:rsid w:val="003357A3"/>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357A3"/>
    <w:rPr>
      <w:rFonts w:ascii="Times New Roman" w:hAnsi="Times New Roman"/>
      <w:kern w:val="0"/>
      <w:szCs w:val="22"/>
      <w14:ligatures w14:val="none"/>
    </w:rPr>
  </w:style>
  <w:style w:type="paragraph" w:customStyle="1" w:styleId="Prueba">
    <w:name w:val="Prueba"/>
    <w:basedOn w:val="Normal"/>
    <w:link w:val="PruebaCar"/>
    <w:qFormat/>
    <w:rsid w:val="003357A3"/>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357A3"/>
    <w:rPr>
      <w:rFonts w:ascii="Times New Roman" w:hAnsi="Times New Roman" w:cs="Times New Roman"/>
      <w:kern w:val="0"/>
      <w14:ligatures w14:val="none"/>
    </w:rPr>
  </w:style>
  <w:style w:type="paragraph" w:customStyle="1" w:styleId="Paginas">
    <w:name w:val="Paginas"/>
    <w:basedOn w:val="Prueba"/>
    <w:link w:val="PaginasCar"/>
    <w:qFormat/>
    <w:rsid w:val="003357A3"/>
  </w:style>
  <w:style w:type="character" w:customStyle="1" w:styleId="PaginasCar">
    <w:name w:val="Paginas Car"/>
    <w:basedOn w:val="PruebaCar"/>
    <w:link w:val="Paginas"/>
    <w:rsid w:val="003357A3"/>
    <w:rPr>
      <w:rFonts w:ascii="Times New Roman" w:hAnsi="Times New Roman" w:cs="Times New Roman"/>
      <w:kern w:val="0"/>
      <w14:ligatures w14:val="none"/>
    </w:rPr>
  </w:style>
  <w:style w:type="paragraph" w:customStyle="1" w:styleId="SangriaFrancesaArticulo">
    <w:name w:val="Sangria Francesa Articulo"/>
    <w:basedOn w:val="ParrafoNormal"/>
    <w:link w:val="SangriaFrancesaArticuloCar"/>
    <w:qFormat/>
    <w:rsid w:val="003357A3"/>
    <w:pPr>
      <w:ind w:left="568" w:hanging="284"/>
    </w:pPr>
  </w:style>
  <w:style w:type="paragraph" w:customStyle="1" w:styleId="SangriaIzquierdaArticulo">
    <w:name w:val="Sangria Izquierda Articulo"/>
    <w:basedOn w:val="SangriaFrancesaArticulo"/>
    <w:link w:val="SangriaIzquierdaArticuloCar"/>
    <w:qFormat/>
    <w:rsid w:val="003357A3"/>
    <w:pPr>
      <w:ind w:firstLine="0"/>
    </w:pPr>
  </w:style>
  <w:style w:type="character" w:customStyle="1" w:styleId="SangriaFrancesaArticuloCar">
    <w:name w:val="Sangria Francesa Articulo Car"/>
    <w:basedOn w:val="ParrafoNormalCar"/>
    <w:link w:val="SangriaFrancesaArticulo"/>
    <w:rsid w:val="003357A3"/>
    <w:rPr>
      <w:rFonts w:ascii="Times New Roman" w:eastAsia="Times New Roman" w:hAnsi="Times New Roman" w:cs="Times New Roman"/>
      <w:kern w:val="0"/>
      <w:lang w:eastAsia="es-ES"/>
      <w14:ligatures w14:val="none"/>
    </w:rPr>
  </w:style>
  <w:style w:type="character" w:customStyle="1" w:styleId="SangriaIzquierdaArticuloCar">
    <w:name w:val="Sangria Izquierda Articulo Car"/>
    <w:basedOn w:val="SangriaFrancesaArticuloCar"/>
    <w:link w:val="SangriaIzquierdaArticulo"/>
    <w:rsid w:val="003357A3"/>
    <w:rPr>
      <w:rFonts w:ascii="Times New Roman" w:eastAsia="Times New Roman" w:hAnsi="Times New Roman" w:cs="Times New Roman"/>
      <w:kern w:val="0"/>
      <w:lang w:eastAsia="es-ES"/>
      <w14:ligatures w14:val="none"/>
    </w:rPr>
  </w:style>
  <w:style w:type="paragraph" w:customStyle="1" w:styleId="DescriptoresJerarquicoNegrita">
    <w:name w:val="Descriptores Jerarquico Negrita"/>
    <w:basedOn w:val="TextoNormalNegrita"/>
    <w:link w:val="DescriptoresJerarquicoNegritaCar"/>
    <w:qFormat/>
    <w:rsid w:val="003357A3"/>
    <w:pPr>
      <w:tabs>
        <w:tab w:val="left" w:pos="1134"/>
      </w:tabs>
      <w:ind w:left="-567"/>
    </w:pPr>
  </w:style>
  <w:style w:type="character" w:customStyle="1" w:styleId="DescriptoresJerarquicoNegritaCar">
    <w:name w:val="Descriptores Jerarquico Negrita Car"/>
    <w:basedOn w:val="TextoNormalNegritaCar"/>
    <w:link w:val="DescriptoresJerarquicoNegrita"/>
    <w:rsid w:val="003357A3"/>
    <w:rPr>
      <w:rFonts w:ascii="Times New Roman" w:eastAsia="Times New Roman" w:hAnsi="Times New Roman" w:cs="Times New Roman"/>
      <w:b/>
      <w:kern w:val="0"/>
      <w:lang w:eastAsia="es-ES"/>
      <w14:ligatures w14:val="none"/>
    </w:rPr>
  </w:style>
  <w:style w:type="paragraph" w:customStyle="1" w:styleId="Notaalpie">
    <w:name w:val="Nota al pie"/>
    <w:basedOn w:val="TextoNormal"/>
    <w:qFormat/>
    <w:rsid w:val="003357A3"/>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357A3"/>
    <w:rPr>
      <w:rFonts w:ascii="Times New Roman" w:hAnsi="Times New Roman"/>
      <w:b/>
      <w:i/>
      <w:sz w:val="24"/>
    </w:rPr>
  </w:style>
  <w:style w:type="paragraph" w:customStyle="1" w:styleId="EntradandiceSumario">
    <w:name w:val="Entrada Índice Sumario"/>
    <w:basedOn w:val="EntradandiceSentencia"/>
    <w:qFormat/>
    <w:rsid w:val="003357A3"/>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3357A3"/>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357A3"/>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357A3"/>
    <w:rPr>
      <w:rFonts w:ascii="Bodoni MT Condensed" w:hAnsi="Bodoni MT Condensed"/>
      <w:b/>
      <w:i/>
      <w:color w:val="A6A6A6" w:themeColor="background1" w:themeShade="A6"/>
      <w:kern w:val="0"/>
      <w:sz w:val="68"/>
      <w:szCs w:val="22"/>
      <w14:textOutline w14:w="9525" w14:cap="rnd" w14:cmpd="sng" w14:algn="ctr">
        <w14:solidFill>
          <w14:schemeClr w14:val="tx1"/>
        </w14:solidFill>
        <w14:prstDash w14:val="solid"/>
        <w14:bevel/>
      </w14:textOutline>
      <w14:props3d w14:extrusionH="57150" w14:contourW="0" w14:prstMaterial="warmMatte">
        <w14:bevelT w14:w="63500" w14:h="12700" w14:prst="angle"/>
      </w14:props3d>
      <w14:ligatures w14:val="none"/>
    </w:rPr>
  </w:style>
  <w:style w:type="character" w:customStyle="1" w:styleId="SntesisDescriptivaTtulo">
    <w:name w:val="Síntesis Descriptiva Título"/>
    <w:basedOn w:val="Fuentedeprrafopredeter"/>
    <w:uiPriority w:val="1"/>
    <w:qFormat/>
    <w:rsid w:val="003357A3"/>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357A3"/>
    <w:rPr>
      <w:rFonts w:ascii="Times New Roman" w:hAnsi="Times New Roman"/>
      <w:i w:val="0"/>
      <w:color w:val="A7599E"/>
      <w:sz w:val="24"/>
    </w:rPr>
  </w:style>
  <w:style w:type="paragraph" w:customStyle="1" w:styleId="CabeceraGaceta">
    <w:name w:val="Cabecera Gaceta"/>
    <w:next w:val="Normal"/>
    <w:link w:val="CabeceraGacetaCar"/>
    <w:qFormat/>
    <w:rsid w:val="003357A3"/>
    <w:pPr>
      <w:pBdr>
        <w:top w:val="single" w:sz="4" w:space="10" w:color="A7599E"/>
        <w:bottom w:val="single" w:sz="4" w:space="10" w:color="A7599E"/>
      </w:pBdr>
      <w:spacing w:after="200" w:line="276" w:lineRule="auto"/>
      <w:contextualSpacing/>
    </w:pPr>
    <w:rPr>
      <w:rFonts w:ascii="Batang" w:hAnsi="Batang"/>
      <w:color w:val="000000" w:themeColor="text1"/>
      <w:kern w:val="0"/>
      <w:sz w:val="20"/>
      <w:szCs w:val="22"/>
      <w14:textOutline w14:w="9525" w14:cap="rnd" w14:cmpd="sng" w14:algn="ctr">
        <w14:noFill/>
        <w14:prstDash w14:val="solid"/>
        <w14:bevel/>
      </w14:textOutline>
      <w14:ligatures w14:val="none"/>
    </w:rPr>
  </w:style>
  <w:style w:type="character" w:customStyle="1" w:styleId="CabeceraGacetaCar">
    <w:name w:val="Cabecera Gaceta Car"/>
    <w:basedOn w:val="Fuentedeprrafopredeter"/>
    <w:link w:val="CabeceraGaceta"/>
    <w:rsid w:val="003357A3"/>
    <w:rPr>
      <w:rFonts w:ascii="Batang" w:hAnsi="Batang"/>
      <w:color w:val="000000" w:themeColor="text1"/>
      <w:kern w:val="0"/>
      <w:sz w:val="20"/>
      <w:szCs w:val="22"/>
      <w14:textOutline w14:w="9525" w14:cap="rnd" w14:cmpd="sng" w14:algn="ctr">
        <w14:noFill/>
        <w14:prstDash w14:val="solid"/>
        <w14:bevel/>
      </w14:textOutline>
      <w14:ligatures w14:val="none"/>
    </w:rPr>
  </w:style>
  <w:style w:type="paragraph" w:customStyle="1" w:styleId="TextoNormalSeparacionUltimoParrafo">
    <w:name w:val="Texto Normal Separacion Ultimo Parrafo"/>
    <w:basedOn w:val="TextoNormal"/>
    <w:qFormat/>
    <w:rsid w:val="003357A3"/>
    <w:pPr>
      <w:spacing w:after="1800"/>
    </w:pPr>
  </w:style>
  <w:style w:type="character" w:styleId="nfasis">
    <w:name w:val="Emphasis"/>
    <w:basedOn w:val="Fuentedeprrafopredeter"/>
    <w:uiPriority w:val="20"/>
    <w:qFormat/>
    <w:rsid w:val="003357A3"/>
    <w:rPr>
      <w:i/>
      <w:iCs/>
    </w:rPr>
  </w:style>
  <w:style w:type="character" w:styleId="Hipervnculo">
    <w:name w:val="Hyperlink"/>
    <w:basedOn w:val="Fuentedeprrafopredeter"/>
    <w:uiPriority w:val="99"/>
    <w:unhideWhenUsed/>
    <w:rsid w:val="003357A3"/>
    <w:rPr>
      <w:b w:val="0"/>
      <w:color w:val="000000" w:themeColor="text1"/>
      <w:u w:val="none"/>
    </w:rPr>
  </w:style>
  <w:style w:type="paragraph" w:customStyle="1" w:styleId="SntesisDescriptivaConSeparacion">
    <w:name w:val="Síntesis Descriptiva Con Separacion"/>
    <w:basedOn w:val="SntesisDescriptiva"/>
    <w:qFormat/>
    <w:rsid w:val="003357A3"/>
    <w:pPr>
      <w:spacing w:after="600"/>
    </w:pPr>
  </w:style>
  <w:style w:type="paragraph" w:customStyle="1" w:styleId="SntesisAnalticaConSeparacin">
    <w:name w:val="Síntesis Analítica Con Separación"/>
    <w:basedOn w:val="SntesisAnaltica"/>
    <w:qFormat/>
    <w:rsid w:val="003357A3"/>
    <w:pPr>
      <w:spacing w:after="600"/>
    </w:pPr>
  </w:style>
  <w:style w:type="paragraph" w:customStyle="1" w:styleId="TtuloListado">
    <w:name w:val="Título Listado"/>
    <w:basedOn w:val="TextoNormal"/>
    <w:qFormat/>
    <w:rsid w:val="003357A3"/>
    <w:pPr>
      <w:spacing w:line="360" w:lineRule="auto"/>
      <w:jc w:val="center"/>
    </w:pPr>
    <w:rPr>
      <w:b/>
      <w:u w:val="single"/>
    </w:rPr>
  </w:style>
  <w:style w:type="paragraph" w:customStyle="1" w:styleId="TextoNormalCentradoCursiva">
    <w:name w:val="Texto Normal Centrado Cursiva"/>
    <w:basedOn w:val="TextoNormalCentrado"/>
    <w:qFormat/>
    <w:rsid w:val="003357A3"/>
    <w:rPr>
      <w:i/>
    </w:rPr>
  </w:style>
  <w:style w:type="paragraph" w:customStyle="1" w:styleId="TextoConBorde">
    <w:name w:val="Texto Con Borde"/>
    <w:qFormat/>
    <w:rsid w:val="003357A3"/>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kern w:val="0"/>
      <w:lang w:eastAsia="es-ES"/>
      <w14:ligatures w14:val="none"/>
    </w:rPr>
  </w:style>
  <w:style w:type="paragraph" w:customStyle="1" w:styleId="TtuloSecundarioGaceta">
    <w:name w:val="Título Secundario Gaceta"/>
    <w:basedOn w:val="TtuloPrincipalGaceta"/>
    <w:qFormat/>
    <w:rsid w:val="003357A3"/>
    <w:rPr>
      <w:sz w:val="148"/>
    </w:rPr>
  </w:style>
  <w:style w:type="paragraph" w:customStyle="1" w:styleId="TextoNormalNegritaCentradoSubrayado">
    <w:name w:val="Texto Normal Negrita Centrado Subrayado"/>
    <w:basedOn w:val="TextoNormalNegritaCentrado"/>
    <w:qFormat/>
    <w:rsid w:val="003357A3"/>
    <w:rPr>
      <w:sz w:val="28"/>
      <w:u w:val="single"/>
    </w:rPr>
  </w:style>
  <w:style w:type="paragraph" w:customStyle="1" w:styleId="TextoIndiceNivel2">
    <w:name w:val="TextoIndice Nivel2"/>
    <w:basedOn w:val="TextoNormalNegritaCentrado"/>
    <w:qFormat/>
    <w:rsid w:val="003357A3"/>
    <w:rPr>
      <w:sz w:val="36"/>
    </w:rPr>
  </w:style>
  <w:style w:type="character" w:customStyle="1" w:styleId="TextoNormalNegritaCentradoSombreado">
    <w:name w:val="Texto Normal Negrita Centrado Sombreado"/>
    <w:basedOn w:val="TextoNormalNegritaCaracter"/>
    <w:uiPriority w:val="1"/>
    <w:qFormat/>
    <w:rsid w:val="003357A3"/>
    <w:rPr>
      <w:rFonts w:ascii="Times New Roman" w:hAnsi="Times New Roman"/>
      <w:b/>
      <w:sz w:val="32"/>
      <w:bdr w:val="none" w:sz="0" w:space="0" w:color="auto"/>
      <w:shd w:val="clear" w:color="auto" w:fill="E8E8E8" w:themeFill="background2"/>
    </w:rPr>
  </w:style>
  <w:style w:type="paragraph" w:customStyle="1" w:styleId="TextoNormalNegritaCursivandice">
    <w:name w:val="Texto Normal Negrita Cursiva Índice"/>
    <w:basedOn w:val="TextoNormalNegritaCursiva"/>
    <w:link w:val="TextoNormalNegritaCursivandiceCar"/>
    <w:qFormat/>
    <w:rsid w:val="003357A3"/>
    <w:rPr>
      <w:sz w:val="26"/>
    </w:rPr>
  </w:style>
  <w:style w:type="character" w:customStyle="1" w:styleId="ndiceJerrquicoDescriptor">
    <w:name w:val="Índice Jerárquico Descriptor"/>
    <w:basedOn w:val="TextoNormalCar"/>
    <w:uiPriority w:val="1"/>
    <w:qFormat/>
    <w:rsid w:val="003357A3"/>
    <w:rPr>
      <w:rFonts w:ascii="Times New Roman" w:eastAsia="Times New Roman" w:hAnsi="Times New Roman" w:cs="Times New Roman"/>
      <w:kern w:val="0"/>
      <w:sz w:val="18"/>
      <w:lang w:eastAsia="es-ES"/>
      <w14:ligatures w14:val="none"/>
    </w:rPr>
  </w:style>
  <w:style w:type="character" w:customStyle="1" w:styleId="ndiceJerrquicoDescriptorNegrita">
    <w:name w:val="Índice Jerárquico Descriptor Negrita"/>
    <w:basedOn w:val="ndiceJerrquicoDescriptor"/>
    <w:uiPriority w:val="1"/>
    <w:qFormat/>
    <w:rsid w:val="003357A3"/>
    <w:rPr>
      <w:rFonts w:ascii="Times New Roman" w:eastAsia="Times New Roman" w:hAnsi="Times New Roman" w:cs="Times New Roman"/>
      <w:b/>
      <w:kern w:val="0"/>
      <w:sz w:val="18"/>
      <w:lang w:eastAsia="es-ES"/>
      <w14:ligatures w14:val="none"/>
    </w:rPr>
  </w:style>
  <w:style w:type="paragraph" w:customStyle="1" w:styleId="DescriptoresJerarquicoNegritaTitulo">
    <w:name w:val="Descriptores Jerarquico Negrita Titulo"/>
    <w:basedOn w:val="DescriptoresJerarquicoNegrita"/>
    <w:qFormat/>
    <w:rsid w:val="003357A3"/>
    <w:pPr>
      <w:ind w:left="0"/>
    </w:pPr>
    <w:rPr>
      <w:sz w:val="28"/>
    </w:rPr>
  </w:style>
  <w:style w:type="character" w:styleId="Hipervnculovisitado">
    <w:name w:val="FollowedHyperlink"/>
    <w:basedOn w:val="Fuentedeprrafopredeter"/>
    <w:uiPriority w:val="99"/>
    <w:semiHidden/>
    <w:unhideWhenUsed/>
    <w:rsid w:val="003357A3"/>
    <w:rPr>
      <w:color w:val="auto"/>
      <w:u w:val="none"/>
    </w:rPr>
  </w:style>
  <w:style w:type="paragraph" w:customStyle="1" w:styleId="EntradandiceSumarioNivel2">
    <w:name w:val="Entrada Índice Sumario Nivel2"/>
    <w:basedOn w:val="EntradandiceSumario"/>
    <w:qFormat/>
    <w:rsid w:val="003357A3"/>
    <w:pPr>
      <w:spacing w:line="240" w:lineRule="exact"/>
      <w:ind w:firstLine="113"/>
    </w:pPr>
    <w:rPr>
      <w:sz w:val="23"/>
    </w:rPr>
  </w:style>
  <w:style w:type="paragraph" w:customStyle="1" w:styleId="TtuloSumariondices">
    <w:name w:val="Título Sumario Índices"/>
    <w:basedOn w:val="TextoNormal"/>
    <w:qFormat/>
    <w:rsid w:val="003357A3"/>
    <w:pPr>
      <w:ind w:firstLine="0"/>
      <w:jc w:val="center"/>
    </w:pPr>
    <w:rPr>
      <w:sz w:val="32"/>
    </w:rPr>
  </w:style>
  <w:style w:type="paragraph" w:styleId="Cierre">
    <w:name w:val="Closing"/>
    <w:basedOn w:val="Normal"/>
    <w:link w:val="CierreCar"/>
    <w:uiPriority w:val="99"/>
    <w:unhideWhenUsed/>
    <w:rsid w:val="003357A3"/>
    <w:pPr>
      <w:spacing w:after="0" w:line="240" w:lineRule="auto"/>
      <w:ind w:left="4252"/>
    </w:pPr>
  </w:style>
  <w:style w:type="character" w:customStyle="1" w:styleId="CierreCar">
    <w:name w:val="Cierre Car"/>
    <w:basedOn w:val="Fuentedeprrafopredeter"/>
    <w:link w:val="Cierre"/>
    <w:uiPriority w:val="99"/>
    <w:rsid w:val="003357A3"/>
    <w:rPr>
      <w:kern w:val="0"/>
      <w:sz w:val="22"/>
      <w:szCs w:val="22"/>
      <w14:ligatures w14:val="none"/>
    </w:rPr>
  </w:style>
  <w:style w:type="paragraph" w:customStyle="1" w:styleId="Cabecera">
    <w:name w:val="Cabecera"/>
    <w:link w:val="CabeceraCar"/>
    <w:qFormat/>
    <w:rsid w:val="003357A3"/>
    <w:pPr>
      <w:pBdr>
        <w:bottom w:val="single" w:sz="4" w:space="1" w:color="538135"/>
      </w:pBdr>
      <w:spacing w:after="200" w:line="276" w:lineRule="auto"/>
    </w:pPr>
    <w:rPr>
      <w:rFonts w:ascii="Arial" w:hAnsi="Arial"/>
      <w:b/>
      <w:iCs/>
      <w:color w:val="538135"/>
      <w:kern w:val="0"/>
      <w:sz w:val="20"/>
      <w:szCs w:val="22"/>
      <w14:ligatures w14:val="none"/>
    </w:rPr>
  </w:style>
  <w:style w:type="character" w:customStyle="1" w:styleId="CabeceraCar">
    <w:name w:val="Cabecera Car"/>
    <w:basedOn w:val="Fuentedeprrafopredeter"/>
    <w:link w:val="Cabecera"/>
    <w:rsid w:val="003357A3"/>
    <w:rPr>
      <w:rFonts w:ascii="Arial" w:hAnsi="Arial"/>
      <w:b/>
      <w:iCs/>
      <w:color w:val="538135"/>
      <w:kern w:val="0"/>
      <w:sz w:val="20"/>
      <w:szCs w:val="22"/>
      <w14:ligatures w14:val="none"/>
    </w:rPr>
  </w:style>
  <w:style w:type="paragraph" w:customStyle="1" w:styleId="TtuloSumarioResoluciones">
    <w:name w:val="Título Sumario Resoluciones"/>
    <w:basedOn w:val="TextoNormal"/>
    <w:link w:val="TtuloSumarioResolucionesCar"/>
    <w:qFormat/>
    <w:rsid w:val="003357A3"/>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357A3"/>
    <w:rPr>
      <w:rFonts w:ascii="Times New Roman" w:eastAsia="Times New Roman" w:hAnsi="Times New Roman" w:cs="Times New Roman"/>
      <w:color w:val="404040" w:themeColor="text1" w:themeTint="BF"/>
      <w:kern w:val="0"/>
      <w:sz w:val="32"/>
      <w:lang w:eastAsia="es-ES"/>
      <w14:ligatures w14:val="none"/>
    </w:rPr>
  </w:style>
  <w:style w:type="character" w:customStyle="1" w:styleId="NumeroAFNegritaCaracter">
    <w:name w:val="NumeroAF Negrita Caracter"/>
    <w:basedOn w:val="TextoNormalNegritaCaracter"/>
    <w:uiPriority w:val="1"/>
    <w:qFormat/>
    <w:rsid w:val="003357A3"/>
    <w:rPr>
      <w:rFonts w:ascii="Times New Roman" w:hAnsi="Times New Roman"/>
      <w:b/>
      <w:color w:val="538135"/>
      <w:sz w:val="32"/>
    </w:rPr>
  </w:style>
  <w:style w:type="paragraph" w:customStyle="1" w:styleId="Portada3">
    <w:name w:val="Portada 3"/>
    <w:basedOn w:val="NormalWeb"/>
    <w:link w:val="Portada3Car"/>
    <w:qFormat/>
    <w:rsid w:val="003357A3"/>
    <w:pPr>
      <w:jc w:val="center"/>
    </w:pPr>
    <w:rPr>
      <w:sz w:val="22"/>
    </w:rPr>
  </w:style>
  <w:style w:type="paragraph" w:styleId="NormalWeb">
    <w:name w:val="Normal (Web)"/>
    <w:basedOn w:val="Normal"/>
    <w:link w:val="NormalWebCar"/>
    <w:uiPriority w:val="99"/>
    <w:semiHidden/>
    <w:unhideWhenUsed/>
    <w:rsid w:val="003357A3"/>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3357A3"/>
    <w:rPr>
      <w:rFonts w:ascii="Times New Roman" w:hAnsi="Times New Roman" w:cs="Times New Roman"/>
      <w:kern w:val="0"/>
      <w14:ligatures w14:val="none"/>
    </w:rPr>
  </w:style>
  <w:style w:type="character" w:customStyle="1" w:styleId="Portada3Car">
    <w:name w:val="Portada 3 Car"/>
    <w:basedOn w:val="NormalWebCar"/>
    <w:link w:val="Portada3"/>
    <w:rsid w:val="003357A3"/>
    <w:rPr>
      <w:rFonts w:ascii="Times New Roman" w:hAnsi="Times New Roman" w:cs="Times New Roman"/>
      <w:kern w:val="0"/>
      <w:sz w:val="22"/>
      <w14:ligatures w14:val="none"/>
    </w:rPr>
  </w:style>
  <w:style w:type="paragraph" w:customStyle="1" w:styleId="EntradandiceAutoContenidoEspecifico">
    <w:name w:val="Entrada Índice Auto Contenido Especifico"/>
    <w:basedOn w:val="EntradaSumario"/>
    <w:link w:val="EntradandiceAutoContenidoEspecificoCar"/>
    <w:qFormat/>
    <w:rsid w:val="003357A3"/>
    <w:pPr>
      <w:spacing w:before="240"/>
    </w:pPr>
  </w:style>
  <w:style w:type="character" w:customStyle="1" w:styleId="EntradandiceAutoContenidoEspecificoCar">
    <w:name w:val="Entrada Índice Auto Contenido Especifico Car"/>
    <w:basedOn w:val="EntradaSumarioCar"/>
    <w:link w:val="EntradandiceAutoContenidoEspecifico"/>
    <w:rsid w:val="003357A3"/>
    <w:rPr>
      <w:rFonts w:ascii="Times New Roman" w:hAnsi="Times New Roman"/>
      <w:kern w:val="0"/>
      <w:szCs w:val="22"/>
      <w14:ligatures w14:val="none"/>
    </w:rPr>
  </w:style>
  <w:style w:type="paragraph" w:customStyle="1" w:styleId="TextoNormalNegritaCursivaSubrayadondice">
    <w:name w:val="Texto Normal Negrita Cursiva Subrayado Índice"/>
    <w:basedOn w:val="TextoNormalNegritaCursivandice"/>
    <w:link w:val="TextoNormalNegritaCursivaSubrayadondiceCar"/>
    <w:qFormat/>
    <w:rsid w:val="003357A3"/>
    <w:rPr>
      <w:b w:val="0"/>
      <w:i w:val="0"/>
      <w:u w:val="single"/>
    </w:rPr>
  </w:style>
  <w:style w:type="character" w:customStyle="1" w:styleId="TextoNormalNegritaCursivaSubrayadondiceCaracter">
    <w:name w:val="Texto Normal Negrita Cursiva Subrayado Índice Caracter"/>
    <w:basedOn w:val="TextoNormalCar"/>
    <w:uiPriority w:val="1"/>
    <w:qFormat/>
    <w:rsid w:val="003357A3"/>
    <w:rPr>
      <w:rFonts w:ascii="Times New Roman" w:eastAsia="Times New Roman" w:hAnsi="Times New Roman" w:cs="Times New Roman"/>
      <w:kern w:val="0"/>
      <w:sz w:val="26"/>
      <w:u w:val="single"/>
      <w:lang w:eastAsia="es-ES"/>
      <w14:ligatures w14:val="none"/>
    </w:rPr>
  </w:style>
  <w:style w:type="character" w:customStyle="1" w:styleId="TextoNormalNegritaCursivandiceCar">
    <w:name w:val="Texto Normal Negrita Cursiva Índice Car"/>
    <w:basedOn w:val="TextoNormalNegritaCursivaCar"/>
    <w:link w:val="TextoNormalNegritaCursivandice"/>
    <w:rsid w:val="003357A3"/>
    <w:rPr>
      <w:rFonts w:ascii="Times New Roman" w:eastAsia="Times New Roman" w:hAnsi="Times New Roman" w:cs="Times New Roman"/>
      <w:b/>
      <w:i/>
      <w:kern w:val="0"/>
      <w:sz w:val="26"/>
      <w:lang w:eastAsia="es-ES"/>
      <w14:ligatures w14:val="none"/>
    </w:rPr>
  </w:style>
  <w:style w:type="character" w:customStyle="1" w:styleId="TextoNormalNegritaCursivaSubrayadondiceCar">
    <w:name w:val="Texto Normal Negrita Cursiva Subrayado Índice Car"/>
    <w:basedOn w:val="TextoNormalNegritaCursivandiceCar"/>
    <w:link w:val="TextoNormalNegritaCursivaSubrayadondice"/>
    <w:rsid w:val="003357A3"/>
    <w:rPr>
      <w:rFonts w:ascii="Times New Roman" w:eastAsia="Times New Roman" w:hAnsi="Times New Roman" w:cs="Times New Roman"/>
      <w:b w:val="0"/>
      <w:i w:val="0"/>
      <w:kern w:val="0"/>
      <w:sz w:val="26"/>
      <w:u w:val="single"/>
      <w:lang w:eastAsia="es-ES"/>
      <w14:ligatures w14:val="none"/>
    </w:rPr>
  </w:style>
  <w:style w:type="paragraph" w:styleId="Encabezado">
    <w:name w:val="header"/>
    <w:basedOn w:val="Normal"/>
    <w:link w:val="EncabezadoCar"/>
    <w:uiPriority w:val="99"/>
    <w:unhideWhenUsed/>
    <w:rsid w:val="00A813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138F"/>
    <w:rPr>
      <w:kern w:val="0"/>
      <w:sz w:val="22"/>
      <w:szCs w:val="22"/>
      <w14:ligatures w14:val="none"/>
    </w:rPr>
  </w:style>
  <w:style w:type="paragraph" w:styleId="Piedepgina">
    <w:name w:val="footer"/>
    <w:basedOn w:val="Normal"/>
    <w:link w:val="PiedepginaCar"/>
    <w:uiPriority w:val="99"/>
    <w:unhideWhenUsed/>
    <w:rsid w:val="00A813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138F"/>
    <w:rPr>
      <w:kern w:val="0"/>
      <w:sz w:val="22"/>
      <w:szCs w:val="22"/>
      <w14:ligatures w14:val="none"/>
    </w:rPr>
  </w:style>
  <w:style w:type="character" w:styleId="Mencinsinresolver">
    <w:name w:val="Unresolved Mention"/>
    <w:basedOn w:val="Fuentedeprrafopredeter"/>
    <w:uiPriority w:val="99"/>
    <w:semiHidden/>
    <w:unhideWhenUsed/>
    <w:rsid w:val="001D7FA9"/>
    <w:rPr>
      <w:color w:val="605E5C"/>
      <w:shd w:val="clear" w:color="auto" w:fill="E1DFDD"/>
    </w:rPr>
  </w:style>
  <w:style w:type="character" w:styleId="Nmerodepgina">
    <w:name w:val="page number"/>
    <w:basedOn w:val="Fuentedeprrafopredeter"/>
    <w:uiPriority w:val="99"/>
    <w:semiHidden/>
    <w:unhideWhenUsed/>
    <w:rsid w:val="00D50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782916325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1782916325Resolucion</Template>
  <TotalTime>63</TotalTime>
  <Pages>1560</Pages>
  <Words>1576833</Words>
  <Characters>8187568</Characters>
  <Application>Microsoft Office Word</Application>
  <DocSecurity>0</DocSecurity>
  <Lines>139561</Lines>
  <Paragraphs>22931</Paragraphs>
  <ScaleCrop>false</ScaleCrop>
  <Manager>TC</Manager>
  <Company>TC</Company>
  <LinksUpToDate>false</LinksUpToDate>
  <CharactersWithSpaces>9742042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116</dc:title>
  <dc:subject>Tomo 116</dc:subject>
  <dc:creator>Tribunal Constitucional</dc:creator>
  <cp:keywords/>
  <dc:description>Tomo 116</dc:description>
  <cp:lastModifiedBy>RECIO BLÁZQUEZ, Julia</cp:lastModifiedBy>
  <cp:revision>7</cp:revision>
  <dcterms:created xsi:type="dcterms:W3CDTF">2026-07-01T14:32:00Z</dcterms:created>
  <dcterms:modified xsi:type="dcterms:W3CDTF">2026-07-01T15:35:00Z</dcterms:modified>
</cp:coreProperties>
</file>